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D61BB9" w14:textId="77777777" w:rsidR="00534573" w:rsidRPr="00BC31E0" w:rsidRDefault="00534573" w:rsidP="00224874">
      <w:pPr>
        <w:pStyle w:val="1HPIS"/>
        <w:rPr>
          <w:rFonts w:ascii="ＭＳ ゴシック" w:eastAsia="ＭＳ ゴシック" w:hAnsi="ＭＳ ゴシック"/>
          <w:sz w:val="24"/>
          <w:szCs w:val="24"/>
        </w:rPr>
      </w:pPr>
      <w:r w:rsidRPr="00BC31E0">
        <w:rPr>
          <w:rFonts w:eastAsia="ＭＳ ゴシック"/>
          <w:b/>
        </w:rPr>
        <w:t>HPIS</w:t>
      </w:r>
    </w:p>
    <w:p w14:paraId="1EF26F63" w14:textId="77777777" w:rsidR="00534573" w:rsidRPr="00BC31E0" w:rsidRDefault="00467796" w:rsidP="00467796">
      <w:pPr>
        <w:pStyle w:val="16"/>
      </w:pPr>
      <w:r w:rsidRPr="00BC31E0">
        <w:rPr>
          <w:rFonts w:hint="eastAsia"/>
        </w:rPr>
        <w:t>高圧容器規格</w:t>
      </w:r>
    </w:p>
    <w:p w14:paraId="55A7E103" w14:textId="77777777" w:rsidR="00534573" w:rsidRPr="00BC31E0" w:rsidRDefault="00534573" w:rsidP="00A91EE9">
      <w:pPr>
        <w:spacing w:line="360" w:lineRule="exact"/>
        <w:rPr>
          <w:rFonts w:ascii="Times New Roman" w:eastAsia="ＭＳ ゴシック" w:hAnsi="Times New Roman"/>
          <w:b/>
          <w:sz w:val="28"/>
          <w:szCs w:val="28"/>
        </w:rPr>
      </w:pPr>
    </w:p>
    <w:p w14:paraId="247004D6" w14:textId="77777777" w:rsidR="00534573" w:rsidRPr="00BC31E0" w:rsidRDefault="00467796" w:rsidP="00467796">
      <w:pPr>
        <w:pStyle w:val="19"/>
      </w:pPr>
      <w:r w:rsidRPr="00BC31E0">
        <w:t>Rules for Construction of High Pressure Vessels</w:t>
      </w:r>
    </w:p>
    <w:p w14:paraId="787649EC" w14:textId="77777777" w:rsidR="00534573" w:rsidRPr="00BC31E0" w:rsidRDefault="00534573" w:rsidP="00A91EE9">
      <w:pPr>
        <w:spacing w:line="360" w:lineRule="exact"/>
        <w:jc w:val="center"/>
        <w:rPr>
          <w:rFonts w:eastAsia="ＭＳ ゴシック"/>
          <w:sz w:val="22"/>
          <w:szCs w:val="22"/>
        </w:rPr>
      </w:pPr>
    </w:p>
    <w:p w14:paraId="6CFEEE2C" w14:textId="77777777" w:rsidR="00534573" w:rsidRPr="00BC31E0" w:rsidRDefault="00467796" w:rsidP="00467796">
      <w:pPr>
        <w:pStyle w:val="1a"/>
      </w:pPr>
      <w:r w:rsidRPr="00BC31E0">
        <w:rPr>
          <w:rFonts w:hint="eastAsia"/>
        </w:rPr>
        <w:t>HPIS C 106:20XX</w:t>
      </w:r>
    </w:p>
    <w:p w14:paraId="0B040F8A" w14:textId="77777777" w:rsidR="00534573" w:rsidRPr="00BC31E0" w:rsidRDefault="00534573" w:rsidP="00A91EE9">
      <w:pPr>
        <w:spacing w:line="360" w:lineRule="exact"/>
        <w:jc w:val="center"/>
        <w:rPr>
          <w:rFonts w:eastAsia="ＭＳ ゴシック"/>
          <w:sz w:val="22"/>
          <w:szCs w:val="22"/>
        </w:rPr>
      </w:pPr>
    </w:p>
    <w:p w14:paraId="35D4D6DB" w14:textId="77777777" w:rsidR="00534573" w:rsidRPr="00BC31E0" w:rsidRDefault="00534573" w:rsidP="00A91EE9">
      <w:pPr>
        <w:spacing w:line="360" w:lineRule="exact"/>
        <w:jc w:val="center"/>
        <w:rPr>
          <w:rFonts w:eastAsia="ＭＳ ゴシック"/>
          <w:sz w:val="22"/>
          <w:szCs w:val="22"/>
        </w:rPr>
      </w:pPr>
    </w:p>
    <w:p w14:paraId="41437277" w14:textId="77777777" w:rsidR="00467796" w:rsidRPr="00BC31E0" w:rsidRDefault="00467796" w:rsidP="00A91EE9">
      <w:pPr>
        <w:spacing w:line="360" w:lineRule="exact"/>
        <w:jc w:val="center"/>
        <w:rPr>
          <w:rFonts w:eastAsia="ＭＳ ゴシック"/>
          <w:sz w:val="22"/>
          <w:szCs w:val="22"/>
        </w:rPr>
      </w:pPr>
    </w:p>
    <w:p w14:paraId="538B1014" w14:textId="77777777" w:rsidR="00467796" w:rsidRPr="00BC31E0" w:rsidRDefault="00467796" w:rsidP="00A91EE9">
      <w:pPr>
        <w:spacing w:line="360" w:lineRule="exact"/>
        <w:jc w:val="center"/>
        <w:rPr>
          <w:rFonts w:eastAsia="ＭＳ ゴシック"/>
          <w:sz w:val="22"/>
          <w:szCs w:val="22"/>
        </w:rPr>
      </w:pPr>
    </w:p>
    <w:p w14:paraId="18F4A8BC" w14:textId="77777777" w:rsidR="00467796" w:rsidRPr="00BC31E0" w:rsidRDefault="00467796" w:rsidP="00A91EE9">
      <w:pPr>
        <w:spacing w:line="360" w:lineRule="exact"/>
        <w:jc w:val="center"/>
        <w:rPr>
          <w:rFonts w:eastAsia="ＭＳ ゴシック"/>
          <w:sz w:val="22"/>
          <w:szCs w:val="22"/>
        </w:rPr>
      </w:pPr>
    </w:p>
    <w:p w14:paraId="7CF9E320" w14:textId="77777777" w:rsidR="00467796" w:rsidRPr="00BC31E0" w:rsidRDefault="00467796" w:rsidP="00A91EE9">
      <w:pPr>
        <w:spacing w:line="360" w:lineRule="exact"/>
        <w:jc w:val="center"/>
        <w:rPr>
          <w:rFonts w:eastAsia="ＭＳ ゴシック"/>
          <w:sz w:val="22"/>
          <w:szCs w:val="22"/>
        </w:rPr>
      </w:pPr>
    </w:p>
    <w:p w14:paraId="198B309F" w14:textId="77777777" w:rsidR="00467796" w:rsidRPr="00BC31E0" w:rsidRDefault="00467796" w:rsidP="00A91EE9">
      <w:pPr>
        <w:spacing w:line="360" w:lineRule="exact"/>
        <w:jc w:val="center"/>
        <w:rPr>
          <w:rFonts w:eastAsia="ＭＳ ゴシック"/>
          <w:sz w:val="22"/>
          <w:szCs w:val="22"/>
        </w:rPr>
      </w:pPr>
    </w:p>
    <w:p w14:paraId="0BD5101E" w14:textId="77777777" w:rsidR="00467796" w:rsidRPr="00BC31E0" w:rsidRDefault="00467796" w:rsidP="00A91EE9">
      <w:pPr>
        <w:spacing w:line="360" w:lineRule="exact"/>
        <w:jc w:val="center"/>
        <w:rPr>
          <w:rFonts w:eastAsia="ＭＳ ゴシック"/>
          <w:sz w:val="22"/>
          <w:szCs w:val="22"/>
        </w:rPr>
      </w:pPr>
    </w:p>
    <w:p w14:paraId="07D805E6" w14:textId="77777777" w:rsidR="00467796" w:rsidRPr="00BC31E0" w:rsidRDefault="00467796" w:rsidP="00A91EE9">
      <w:pPr>
        <w:spacing w:line="360" w:lineRule="exact"/>
        <w:jc w:val="center"/>
        <w:rPr>
          <w:rFonts w:eastAsia="ＭＳ ゴシック"/>
          <w:sz w:val="22"/>
          <w:szCs w:val="22"/>
        </w:rPr>
      </w:pPr>
    </w:p>
    <w:p w14:paraId="05670879" w14:textId="77777777" w:rsidR="00534573" w:rsidRPr="00BC31E0" w:rsidRDefault="00534573" w:rsidP="00A91EE9">
      <w:pPr>
        <w:spacing w:line="360" w:lineRule="exact"/>
        <w:jc w:val="center"/>
        <w:rPr>
          <w:rFonts w:eastAsia="ＭＳ ゴシック"/>
          <w:sz w:val="22"/>
          <w:szCs w:val="22"/>
        </w:rPr>
      </w:pPr>
    </w:p>
    <w:p w14:paraId="5CBCBB1C" w14:textId="77777777" w:rsidR="00534573" w:rsidRPr="00BC31E0" w:rsidRDefault="00534573" w:rsidP="00A91EE9">
      <w:pPr>
        <w:spacing w:line="360" w:lineRule="exact"/>
        <w:jc w:val="center"/>
        <w:rPr>
          <w:rFonts w:eastAsia="ＭＳ ゴシック"/>
          <w:sz w:val="22"/>
          <w:szCs w:val="22"/>
        </w:rPr>
      </w:pPr>
    </w:p>
    <w:p w14:paraId="4F630101" w14:textId="77777777" w:rsidR="00534573" w:rsidRPr="00BC31E0" w:rsidRDefault="00534573" w:rsidP="00A91EE9">
      <w:pPr>
        <w:spacing w:line="360" w:lineRule="exact"/>
        <w:jc w:val="center"/>
        <w:rPr>
          <w:rFonts w:eastAsia="ＭＳ ゴシック"/>
          <w:sz w:val="22"/>
          <w:szCs w:val="22"/>
        </w:rPr>
      </w:pPr>
    </w:p>
    <w:p w14:paraId="242A696B" w14:textId="77777777" w:rsidR="00534573" w:rsidRPr="00BC31E0" w:rsidRDefault="00534573" w:rsidP="00A91EE9">
      <w:pPr>
        <w:spacing w:line="360" w:lineRule="exact"/>
        <w:jc w:val="center"/>
        <w:rPr>
          <w:rFonts w:eastAsia="ＭＳ ゴシック"/>
          <w:sz w:val="22"/>
          <w:szCs w:val="22"/>
        </w:rPr>
      </w:pPr>
    </w:p>
    <w:p w14:paraId="0A1AF07C" w14:textId="77777777" w:rsidR="00534573" w:rsidRPr="00BC31E0" w:rsidRDefault="00534573" w:rsidP="00A91EE9">
      <w:pPr>
        <w:spacing w:line="360" w:lineRule="exact"/>
        <w:jc w:val="center"/>
        <w:rPr>
          <w:rFonts w:eastAsia="ＭＳ ゴシック"/>
          <w:b/>
          <w:sz w:val="28"/>
          <w:szCs w:val="28"/>
        </w:rPr>
      </w:pPr>
    </w:p>
    <w:p w14:paraId="46888AE1" w14:textId="77777777" w:rsidR="00534573" w:rsidRPr="00BC31E0" w:rsidRDefault="00534573" w:rsidP="00A91EE9">
      <w:pPr>
        <w:spacing w:line="360" w:lineRule="exact"/>
        <w:jc w:val="center"/>
        <w:rPr>
          <w:rFonts w:eastAsia="ＭＳ ゴシック"/>
          <w:b/>
          <w:sz w:val="28"/>
          <w:szCs w:val="28"/>
        </w:rPr>
      </w:pPr>
    </w:p>
    <w:p w14:paraId="7F44BEAA" w14:textId="77777777" w:rsidR="00534573" w:rsidRPr="00BC31E0" w:rsidRDefault="00467796" w:rsidP="00467796">
      <w:pPr>
        <w:pStyle w:val="1a"/>
      </w:pPr>
      <w:r w:rsidRPr="00BC31E0">
        <w:t>20XX年XX月XX日</w:t>
      </w:r>
    </w:p>
    <w:p w14:paraId="0B53734D" w14:textId="77777777" w:rsidR="00534573" w:rsidRPr="00BC31E0" w:rsidRDefault="000D787C" w:rsidP="00A91EE9">
      <w:pPr>
        <w:pStyle w:val="1a"/>
        <w:spacing w:line="360" w:lineRule="exact"/>
        <w:rPr>
          <w:rFonts w:ascii="Times New Roman" w:hAnsi="Times New Roman"/>
          <w:sz w:val="28"/>
          <w:szCs w:val="28"/>
        </w:rPr>
      </w:pPr>
      <w:r w:rsidRPr="00BC31E0">
        <w:rPr>
          <w:rFonts w:hint="eastAsia"/>
        </w:rPr>
        <w:t>一般</w:t>
      </w:r>
      <w:r w:rsidR="00534573" w:rsidRPr="00BC31E0">
        <w:rPr>
          <w:rFonts w:hint="eastAsia"/>
        </w:rPr>
        <w:t>社団法人日本高圧力技術協会</w:t>
      </w:r>
    </w:p>
    <w:p w14:paraId="1B7B080C" w14:textId="77777777" w:rsidR="00534573" w:rsidRPr="00BC31E0" w:rsidRDefault="00534573" w:rsidP="00A91EE9">
      <w:pPr>
        <w:pStyle w:val="19"/>
        <w:spacing w:line="360" w:lineRule="exact"/>
      </w:pPr>
      <w:r w:rsidRPr="00BC31E0">
        <w:rPr>
          <w:rFonts w:hint="eastAsia"/>
        </w:rPr>
        <w:t>High Pressure Institute of Japan</w:t>
      </w:r>
    </w:p>
    <w:p w14:paraId="59F07B3E" w14:textId="77777777" w:rsidR="00534573" w:rsidRPr="00BC31E0" w:rsidRDefault="00534573" w:rsidP="00A91EE9">
      <w:pPr>
        <w:pStyle w:val="a5"/>
        <w:spacing w:line="360" w:lineRule="exact"/>
        <w:rPr>
          <w:sz w:val="16"/>
          <w:szCs w:val="16"/>
        </w:rPr>
      </w:pPr>
    </w:p>
    <w:p w14:paraId="79B4CCEA" w14:textId="77777777" w:rsidR="00D51063" w:rsidRPr="00BC31E0" w:rsidRDefault="00D51063">
      <w:pPr>
        <w:widowControl/>
        <w:jc w:val="left"/>
        <w:rPr>
          <w:sz w:val="16"/>
          <w:szCs w:val="16"/>
        </w:rPr>
      </w:pPr>
      <w:r w:rsidRPr="00BC31E0">
        <w:rPr>
          <w:sz w:val="16"/>
          <w:szCs w:val="16"/>
        </w:rPr>
        <w:br w:type="page"/>
      </w:r>
    </w:p>
    <w:p w14:paraId="28263395" w14:textId="77777777" w:rsidR="00D51063" w:rsidRPr="00BC31E0" w:rsidRDefault="00D51063" w:rsidP="00D51063">
      <w:pPr>
        <w:jc w:val="center"/>
        <w:rPr>
          <w:rFonts w:asciiTheme="minorHAnsi" w:eastAsiaTheme="minorEastAsia" w:hAnsiTheme="minorHAnsi"/>
        </w:rPr>
      </w:pPr>
      <w:r w:rsidRPr="00BC31E0">
        <w:rPr>
          <w:rFonts w:asciiTheme="minorHAnsi" w:eastAsiaTheme="minorEastAsia" w:hAnsiTheme="minorHAnsi"/>
        </w:rPr>
        <w:lastRenderedPageBreak/>
        <w:t>(</w:t>
      </w:r>
      <w:r w:rsidRPr="00BC31E0">
        <w:rPr>
          <w:rFonts w:asciiTheme="minorHAnsi" w:eastAsiaTheme="minorEastAsia" w:hAnsiTheme="minorEastAsia"/>
        </w:rPr>
        <w:t>一社</w:t>
      </w:r>
      <w:r w:rsidRPr="00BC31E0">
        <w:rPr>
          <w:rFonts w:asciiTheme="minorHAnsi" w:eastAsiaTheme="minorEastAsia" w:hAnsiTheme="minorHAnsi"/>
        </w:rPr>
        <w:t>)</w:t>
      </w:r>
      <w:r w:rsidRPr="00BC31E0">
        <w:rPr>
          <w:rFonts w:asciiTheme="minorHAnsi" w:eastAsiaTheme="minorEastAsia" w:hAnsiTheme="minorEastAsia"/>
        </w:rPr>
        <w:t>日本高圧力技術協会</w:t>
      </w:r>
      <w:r w:rsidRPr="00BC31E0">
        <w:rPr>
          <w:rFonts w:asciiTheme="minorHAnsi" w:eastAsiaTheme="minorEastAsia" w:hAnsiTheme="minorHAnsi"/>
        </w:rPr>
        <w:t xml:space="preserve"> </w:t>
      </w:r>
      <w:r w:rsidRPr="00BC31E0">
        <w:rPr>
          <w:rFonts w:asciiTheme="minorHAnsi" w:eastAsiaTheme="minorEastAsia" w:hAnsiTheme="minorEastAsia"/>
        </w:rPr>
        <w:t>圧力設備規格審議委員会　構成表</w:t>
      </w:r>
    </w:p>
    <w:p w14:paraId="5C95974B" w14:textId="77777777" w:rsidR="00D51063" w:rsidRPr="00BC31E0" w:rsidRDefault="00D51063" w:rsidP="00A33253">
      <w:pPr>
        <w:tabs>
          <w:tab w:val="left" w:pos="1680"/>
          <w:tab w:val="left" w:pos="3544"/>
        </w:tabs>
        <w:rPr>
          <w:rFonts w:asciiTheme="minorHAnsi" w:eastAsiaTheme="minorEastAsia" w:hAnsiTheme="minorHAnsi"/>
        </w:rPr>
      </w:pPr>
      <w:r w:rsidRPr="00BC31E0">
        <w:rPr>
          <w:rFonts w:asciiTheme="minorHAnsi" w:eastAsiaTheme="minorEastAsia" w:hAnsiTheme="minorHAnsi"/>
          <w:sz w:val="18"/>
        </w:rPr>
        <w:tab/>
      </w:r>
      <w:r w:rsidRPr="00BC31E0">
        <w:rPr>
          <w:rFonts w:asciiTheme="minorHAnsi" w:eastAsiaTheme="minorEastAsia" w:hAnsiTheme="minorEastAsia"/>
        </w:rPr>
        <w:t>氏名</w:t>
      </w:r>
      <w:r w:rsidRPr="00BC31E0">
        <w:rPr>
          <w:rFonts w:asciiTheme="minorHAnsi" w:eastAsiaTheme="minorEastAsia" w:hAnsiTheme="minorHAnsi"/>
        </w:rPr>
        <w:tab/>
      </w:r>
      <w:r w:rsidRPr="00BC31E0">
        <w:rPr>
          <w:rFonts w:asciiTheme="minorHAnsi" w:eastAsiaTheme="minorEastAsia" w:hAnsiTheme="minorEastAsia"/>
        </w:rPr>
        <w:t>所属</w:t>
      </w:r>
    </w:p>
    <w:p w14:paraId="71DA12FA" w14:textId="77777777" w:rsidR="00D51063" w:rsidRPr="00BC31E0" w:rsidRDefault="00D51063" w:rsidP="00A33253">
      <w:pPr>
        <w:tabs>
          <w:tab w:val="left" w:pos="1680"/>
          <w:tab w:val="left" w:pos="3544"/>
        </w:tabs>
        <w:rPr>
          <w:rFonts w:asciiTheme="minorHAnsi" w:eastAsiaTheme="minorEastAsia" w:hAnsiTheme="minorHAnsi"/>
        </w:rPr>
      </w:pPr>
      <w:r w:rsidRPr="00BC31E0">
        <w:rPr>
          <w:rFonts w:asciiTheme="minorHAnsi" w:eastAsiaTheme="minorEastAsia" w:hAnsiTheme="minorHAnsi"/>
        </w:rPr>
        <w:t>(</w:t>
      </w:r>
      <w:r w:rsidRPr="00BC31E0">
        <w:rPr>
          <w:rFonts w:asciiTheme="minorHAnsi" w:eastAsiaTheme="minorEastAsia" w:hAnsiTheme="minorEastAsia"/>
        </w:rPr>
        <w:t>委員長</w:t>
      </w:r>
      <w:r w:rsidRPr="00BC31E0">
        <w:rPr>
          <w:rFonts w:asciiTheme="minorHAnsi" w:eastAsiaTheme="minorEastAsia" w:hAnsiTheme="minorHAnsi"/>
        </w:rPr>
        <w:t>)</w:t>
      </w:r>
      <w:r w:rsidR="00244820" w:rsidRPr="00BC31E0">
        <w:rPr>
          <w:rFonts w:asciiTheme="minorHAnsi" w:eastAsiaTheme="minorEastAsia" w:hAnsiTheme="minorHAnsi" w:hint="eastAsia"/>
        </w:rPr>
        <w:tab/>
      </w:r>
      <w:r w:rsidRPr="00BC31E0">
        <w:rPr>
          <w:rFonts w:asciiTheme="minorHAnsi" w:eastAsiaTheme="minorEastAsia" w:hAnsiTheme="minorEastAsia"/>
        </w:rPr>
        <w:t>高木　愛夫</w:t>
      </w:r>
      <w:r w:rsidRPr="00BC31E0">
        <w:rPr>
          <w:rFonts w:asciiTheme="minorHAnsi" w:eastAsiaTheme="minorEastAsia" w:hAnsiTheme="minorHAnsi"/>
        </w:rPr>
        <w:tab/>
        <w:t>(</w:t>
      </w:r>
      <w:r w:rsidRPr="00BC31E0">
        <w:rPr>
          <w:rFonts w:asciiTheme="minorHAnsi" w:eastAsiaTheme="minorEastAsia" w:hAnsiTheme="minorEastAsia"/>
        </w:rPr>
        <w:t>一社</w:t>
      </w:r>
      <w:r w:rsidRPr="00BC31E0">
        <w:rPr>
          <w:rFonts w:asciiTheme="minorHAnsi" w:eastAsiaTheme="minorEastAsia" w:hAnsiTheme="minorHAnsi"/>
        </w:rPr>
        <w:t>)</w:t>
      </w:r>
      <w:r w:rsidRPr="00BC31E0">
        <w:rPr>
          <w:rFonts w:asciiTheme="minorHAnsi" w:eastAsiaTheme="minorEastAsia" w:hAnsiTheme="minorEastAsia"/>
        </w:rPr>
        <w:t>火力原子力発電技術協会</w:t>
      </w:r>
    </w:p>
    <w:p w14:paraId="5616EEE4" w14:textId="77777777" w:rsidR="00D51063" w:rsidRPr="00BC31E0" w:rsidRDefault="00D51063" w:rsidP="00A33253">
      <w:pPr>
        <w:tabs>
          <w:tab w:val="left" w:pos="1680"/>
          <w:tab w:val="left" w:pos="3544"/>
        </w:tabs>
        <w:rPr>
          <w:rFonts w:asciiTheme="minorHAnsi" w:eastAsiaTheme="minorEastAsia" w:hAnsiTheme="minorHAnsi"/>
        </w:rPr>
      </w:pPr>
      <w:r w:rsidRPr="00BC31E0">
        <w:rPr>
          <w:rFonts w:asciiTheme="minorHAnsi" w:eastAsiaTheme="minorEastAsia" w:hAnsiTheme="minorHAnsi"/>
        </w:rPr>
        <w:t>(</w:t>
      </w:r>
      <w:r w:rsidRPr="00BC31E0">
        <w:rPr>
          <w:rFonts w:asciiTheme="minorHAnsi" w:eastAsiaTheme="minorEastAsia" w:hAnsiTheme="minorEastAsia"/>
        </w:rPr>
        <w:t>副委員長</w:t>
      </w:r>
      <w:r w:rsidRPr="00BC31E0">
        <w:rPr>
          <w:rFonts w:asciiTheme="minorHAnsi" w:eastAsiaTheme="minorEastAsia" w:hAnsiTheme="minorHAnsi"/>
        </w:rPr>
        <w:t>)</w:t>
      </w:r>
      <w:r w:rsidRPr="00BC31E0">
        <w:rPr>
          <w:rFonts w:asciiTheme="minorHAnsi" w:eastAsiaTheme="minorEastAsia" w:hAnsiTheme="minorHAnsi"/>
        </w:rPr>
        <w:tab/>
      </w:r>
      <w:r w:rsidRPr="00BC31E0">
        <w:rPr>
          <w:rFonts w:asciiTheme="minorHAnsi" w:eastAsiaTheme="minorEastAsia" w:hAnsiTheme="minorEastAsia"/>
        </w:rPr>
        <w:t>朝田　誠治</w:t>
      </w:r>
      <w:r w:rsidRPr="00BC31E0">
        <w:rPr>
          <w:rFonts w:asciiTheme="minorHAnsi" w:eastAsiaTheme="minorEastAsia" w:hAnsiTheme="minorHAnsi"/>
        </w:rPr>
        <w:tab/>
      </w:r>
      <w:r w:rsidRPr="00BC31E0">
        <w:rPr>
          <w:rFonts w:asciiTheme="minorHAnsi" w:eastAsiaTheme="minorEastAsia" w:hAnsiTheme="minorEastAsia"/>
        </w:rPr>
        <w:t>三菱重工業</w:t>
      </w:r>
      <w:r w:rsidRPr="00BC31E0">
        <w:rPr>
          <w:rFonts w:asciiTheme="minorHAnsi" w:eastAsiaTheme="minorEastAsia" w:hAnsiTheme="minorHAnsi"/>
        </w:rPr>
        <w:t>(</w:t>
      </w:r>
      <w:r w:rsidRPr="00BC31E0">
        <w:rPr>
          <w:rFonts w:asciiTheme="minorHAnsi" w:eastAsiaTheme="minorEastAsia" w:hAnsiTheme="minorEastAsia"/>
        </w:rPr>
        <w:t>株</w:t>
      </w:r>
      <w:r w:rsidRPr="00BC31E0">
        <w:rPr>
          <w:rFonts w:asciiTheme="minorHAnsi" w:eastAsiaTheme="minorEastAsia" w:hAnsiTheme="minorHAnsi"/>
        </w:rPr>
        <w:t>)</w:t>
      </w:r>
    </w:p>
    <w:p w14:paraId="48D77439" w14:textId="77777777" w:rsidR="00D51063" w:rsidRPr="00BC31E0" w:rsidRDefault="00D51063" w:rsidP="00A33253">
      <w:pPr>
        <w:tabs>
          <w:tab w:val="left" w:pos="1680"/>
          <w:tab w:val="left" w:pos="3544"/>
        </w:tabs>
        <w:rPr>
          <w:rFonts w:asciiTheme="minorHAnsi" w:eastAsiaTheme="minorEastAsia" w:hAnsiTheme="minorHAnsi"/>
        </w:rPr>
      </w:pPr>
      <w:r w:rsidRPr="00BC31E0">
        <w:rPr>
          <w:rFonts w:asciiTheme="minorHAnsi" w:eastAsiaTheme="minorEastAsia" w:hAnsiTheme="minorHAnsi"/>
        </w:rPr>
        <w:t>(</w:t>
      </w:r>
      <w:r w:rsidRPr="00BC31E0">
        <w:rPr>
          <w:rFonts w:asciiTheme="minorHAnsi" w:eastAsiaTheme="minorEastAsia" w:hAnsiTheme="minorEastAsia"/>
        </w:rPr>
        <w:t>委　員</w:t>
      </w:r>
      <w:r w:rsidRPr="00BC31E0">
        <w:rPr>
          <w:rFonts w:asciiTheme="minorHAnsi" w:eastAsiaTheme="minorEastAsia" w:hAnsiTheme="minorHAnsi"/>
        </w:rPr>
        <w:t>)</w:t>
      </w:r>
      <w:r w:rsidRPr="00BC31E0">
        <w:rPr>
          <w:rFonts w:asciiTheme="minorHAnsi" w:eastAsiaTheme="minorEastAsia" w:hAnsiTheme="minorHAnsi"/>
        </w:rPr>
        <w:tab/>
      </w:r>
      <w:r w:rsidRPr="00BC31E0">
        <w:rPr>
          <w:rFonts w:asciiTheme="minorHAnsi" w:eastAsiaTheme="minorEastAsia" w:hAnsiTheme="minorEastAsia"/>
        </w:rPr>
        <w:t>木村　一弘</w:t>
      </w:r>
      <w:r w:rsidRPr="00BC31E0">
        <w:rPr>
          <w:rFonts w:asciiTheme="minorHAnsi" w:eastAsiaTheme="minorEastAsia" w:hAnsiTheme="minorHAnsi"/>
        </w:rPr>
        <w:tab/>
        <w:t>(</w:t>
      </w:r>
      <w:r w:rsidRPr="00BC31E0">
        <w:rPr>
          <w:rFonts w:asciiTheme="minorHAnsi" w:eastAsiaTheme="minorEastAsia" w:hAnsiTheme="minorEastAsia"/>
        </w:rPr>
        <w:t>国研</w:t>
      </w:r>
      <w:r w:rsidRPr="00BC31E0">
        <w:rPr>
          <w:rFonts w:asciiTheme="minorHAnsi" w:eastAsiaTheme="minorEastAsia" w:hAnsiTheme="minorHAnsi"/>
        </w:rPr>
        <w:t>)</w:t>
      </w:r>
      <w:r w:rsidRPr="00BC31E0">
        <w:rPr>
          <w:rFonts w:asciiTheme="minorHAnsi" w:eastAsiaTheme="minorEastAsia" w:hAnsiTheme="minorEastAsia"/>
        </w:rPr>
        <w:t>物質・材料研究機構</w:t>
      </w:r>
    </w:p>
    <w:p w14:paraId="0C928EEB" w14:textId="56D164D2" w:rsidR="00D51063" w:rsidRPr="00BC31E0" w:rsidRDefault="00D51063" w:rsidP="00A33253">
      <w:pPr>
        <w:tabs>
          <w:tab w:val="left" w:pos="1680"/>
          <w:tab w:val="left" w:pos="3544"/>
        </w:tabs>
        <w:rPr>
          <w:rFonts w:asciiTheme="minorHAnsi" w:eastAsiaTheme="minorEastAsia" w:hAnsiTheme="minorHAnsi"/>
        </w:rPr>
      </w:pPr>
      <w:r w:rsidRPr="00BC31E0">
        <w:rPr>
          <w:rFonts w:asciiTheme="minorHAnsi" w:eastAsiaTheme="minorEastAsia" w:hAnsiTheme="minorHAnsi"/>
        </w:rPr>
        <w:tab/>
      </w:r>
      <w:r w:rsidRPr="00BC31E0">
        <w:rPr>
          <w:rFonts w:asciiTheme="minorHAnsi" w:eastAsiaTheme="minorEastAsia" w:hAnsiTheme="minorEastAsia"/>
        </w:rPr>
        <w:t xml:space="preserve">加藤　</w:t>
      </w:r>
      <w:r w:rsidR="003F6E3F" w:rsidRPr="003F6E3F">
        <w:rPr>
          <w:rFonts w:asciiTheme="minorHAnsi" w:eastAsiaTheme="minorEastAsia" w:hAnsiTheme="minorEastAsia" w:hint="eastAsia"/>
        </w:rPr>
        <w:t>久志</w:t>
      </w:r>
      <w:r w:rsidRPr="00BC31E0">
        <w:rPr>
          <w:rFonts w:asciiTheme="minorHAnsi" w:eastAsiaTheme="minorEastAsia" w:hAnsiTheme="minorHAnsi"/>
        </w:rPr>
        <w:tab/>
      </w:r>
      <w:r w:rsidRPr="00BC31E0">
        <w:rPr>
          <w:rFonts w:asciiTheme="minorHAnsi" w:eastAsiaTheme="minorEastAsia" w:hAnsiTheme="minorEastAsia"/>
        </w:rPr>
        <w:t>高圧ガス保安協会</w:t>
      </w:r>
    </w:p>
    <w:p w14:paraId="6D818989" w14:textId="77777777" w:rsidR="00D51063" w:rsidRPr="00BC31E0" w:rsidRDefault="00D51063" w:rsidP="00A33253">
      <w:pPr>
        <w:tabs>
          <w:tab w:val="left" w:pos="1680"/>
          <w:tab w:val="left" w:pos="3544"/>
        </w:tabs>
        <w:rPr>
          <w:rFonts w:asciiTheme="minorHAnsi" w:eastAsiaTheme="minorEastAsia" w:hAnsiTheme="minorHAnsi"/>
        </w:rPr>
      </w:pPr>
      <w:r w:rsidRPr="00BC31E0">
        <w:rPr>
          <w:rFonts w:asciiTheme="minorHAnsi" w:eastAsiaTheme="minorEastAsia" w:hAnsiTheme="minorHAnsi"/>
        </w:rPr>
        <w:tab/>
      </w:r>
      <w:r w:rsidRPr="00BC31E0">
        <w:rPr>
          <w:rFonts w:asciiTheme="minorHAnsi" w:eastAsiaTheme="minorEastAsia" w:hAnsiTheme="minorEastAsia"/>
        </w:rPr>
        <w:t>熊谷　知久</w:t>
      </w:r>
      <w:r w:rsidRPr="00BC31E0">
        <w:rPr>
          <w:rFonts w:asciiTheme="minorHAnsi" w:eastAsiaTheme="minorEastAsia" w:hAnsiTheme="minorHAnsi"/>
        </w:rPr>
        <w:tab/>
        <w:t>(</w:t>
      </w:r>
      <w:r w:rsidRPr="00BC31E0">
        <w:rPr>
          <w:rFonts w:asciiTheme="minorHAnsi" w:eastAsiaTheme="minorEastAsia" w:hAnsiTheme="minorEastAsia"/>
        </w:rPr>
        <w:t>一財</w:t>
      </w:r>
      <w:r w:rsidRPr="00BC31E0">
        <w:rPr>
          <w:rFonts w:asciiTheme="minorHAnsi" w:eastAsiaTheme="minorEastAsia" w:hAnsiTheme="minorHAnsi"/>
        </w:rPr>
        <w:t>)</w:t>
      </w:r>
      <w:r w:rsidRPr="00BC31E0">
        <w:rPr>
          <w:rFonts w:asciiTheme="minorHAnsi" w:eastAsiaTheme="minorEastAsia" w:hAnsiTheme="minorEastAsia"/>
        </w:rPr>
        <w:t>電力中央研究所</w:t>
      </w:r>
    </w:p>
    <w:p w14:paraId="1D864781" w14:textId="77777777" w:rsidR="00D51063" w:rsidRPr="00BC31E0" w:rsidRDefault="00244820" w:rsidP="00A33253">
      <w:pPr>
        <w:tabs>
          <w:tab w:val="left" w:pos="1680"/>
          <w:tab w:val="left" w:pos="3544"/>
        </w:tabs>
        <w:rPr>
          <w:rFonts w:asciiTheme="minorHAnsi" w:eastAsiaTheme="minorEastAsia" w:hAnsiTheme="minorHAnsi"/>
        </w:rPr>
      </w:pPr>
      <w:r w:rsidRPr="00BC31E0">
        <w:rPr>
          <w:rFonts w:asciiTheme="minorHAnsi" w:eastAsiaTheme="minorEastAsia" w:hAnsiTheme="minorEastAsia" w:hint="eastAsia"/>
        </w:rPr>
        <w:tab/>
      </w:r>
      <w:r w:rsidR="00D51063" w:rsidRPr="00BC31E0">
        <w:rPr>
          <w:rFonts w:asciiTheme="minorHAnsi" w:eastAsiaTheme="minorEastAsia" w:hAnsiTheme="minorEastAsia"/>
        </w:rPr>
        <w:t>佐々木　哲也</w:t>
      </w:r>
      <w:r w:rsidR="00D51063" w:rsidRPr="00BC31E0">
        <w:rPr>
          <w:rFonts w:asciiTheme="minorHAnsi" w:eastAsiaTheme="minorEastAsia" w:hAnsiTheme="minorHAnsi"/>
        </w:rPr>
        <w:tab/>
        <w:t>(</w:t>
      </w:r>
      <w:r w:rsidR="00D51063" w:rsidRPr="00BC31E0">
        <w:rPr>
          <w:rFonts w:asciiTheme="minorHAnsi" w:eastAsiaTheme="minorEastAsia" w:hAnsiTheme="minorEastAsia"/>
        </w:rPr>
        <w:t>独</w:t>
      </w:r>
      <w:r w:rsidR="00D51063" w:rsidRPr="00BC31E0">
        <w:rPr>
          <w:rFonts w:asciiTheme="minorHAnsi" w:eastAsiaTheme="minorEastAsia" w:hAnsiTheme="minorHAnsi"/>
        </w:rPr>
        <w:t>)</w:t>
      </w:r>
      <w:r w:rsidR="00D51063" w:rsidRPr="00BC31E0">
        <w:rPr>
          <w:rFonts w:asciiTheme="minorHAnsi" w:eastAsiaTheme="minorEastAsia" w:hAnsiTheme="minorEastAsia"/>
        </w:rPr>
        <w:t>労働安全衛生総合研究所</w:t>
      </w:r>
    </w:p>
    <w:p w14:paraId="4371E7B8" w14:textId="77777777" w:rsidR="00D51063" w:rsidRPr="00BC31E0" w:rsidRDefault="00244820" w:rsidP="00A33253">
      <w:pPr>
        <w:tabs>
          <w:tab w:val="left" w:pos="1680"/>
          <w:tab w:val="left" w:pos="3544"/>
        </w:tabs>
        <w:rPr>
          <w:rFonts w:asciiTheme="minorHAnsi" w:eastAsiaTheme="minorEastAsia" w:hAnsiTheme="minorHAnsi"/>
        </w:rPr>
      </w:pPr>
      <w:r w:rsidRPr="00BC31E0">
        <w:rPr>
          <w:rFonts w:asciiTheme="minorHAnsi" w:eastAsiaTheme="minorEastAsia" w:hAnsiTheme="minorEastAsia" w:hint="eastAsia"/>
        </w:rPr>
        <w:tab/>
      </w:r>
      <w:r w:rsidR="00D51063" w:rsidRPr="00BC31E0">
        <w:rPr>
          <w:rFonts w:asciiTheme="minorHAnsi" w:eastAsiaTheme="minorEastAsia" w:hAnsiTheme="minorEastAsia"/>
        </w:rPr>
        <w:t>小川　武史</w:t>
      </w:r>
      <w:r w:rsidR="00D51063" w:rsidRPr="00BC31E0">
        <w:rPr>
          <w:rFonts w:asciiTheme="minorHAnsi" w:eastAsiaTheme="minorEastAsia" w:hAnsiTheme="minorHAnsi"/>
        </w:rPr>
        <w:tab/>
      </w:r>
      <w:r w:rsidR="00D51063" w:rsidRPr="00BC31E0">
        <w:rPr>
          <w:rFonts w:asciiTheme="minorHAnsi" w:eastAsiaTheme="minorEastAsia" w:hAnsiTheme="minorEastAsia"/>
        </w:rPr>
        <w:t>青山学院大学</w:t>
      </w:r>
    </w:p>
    <w:p w14:paraId="03D35F1B" w14:textId="77777777" w:rsidR="00D51063" w:rsidRPr="00BC31E0" w:rsidRDefault="00D51063" w:rsidP="00A33253">
      <w:pPr>
        <w:tabs>
          <w:tab w:val="left" w:pos="1680"/>
          <w:tab w:val="left" w:pos="3544"/>
        </w:tabs>
        <w:rPr>
          <w:rFonts w:asciiTheme="minorHAnsi" w:eastAsiaTheme="minorEastAsia" w:hAnsiTheme="minorHAnsi"/>
        </w:rPr>
      </w:pPr>
      <w:r w:rsidRPr="00BC31E0">
        <w:rPr>
          <w:rFonts w:asciiTheme="minorHAnsi" w:eastAsiaTheme="minorEastAsia" w:hAnsiTheme="minorHAnsi"/>
        </w:rPr>
        <w:tab/>
      </w:r>
      <w:r w:rsidRPr="00BC31E0">
        <w:rPr>
          <w:rFonts w:asciiTheme="minorHAnsi" w:eastAsiaTheme="minorEastAsia" w:hAnsiTheme="minorEastAsia"/>
        </w:rPr>
        <w:t>吉川　暢宏</w:t>
      </w:r>
      <w:r w:rsidRPr="00BC31E0">
        <w:rPr>
          <w:rFonts w:asciiTheme="minorHAnsi" w:eastAsiaTheme="minorEastAsia" w:hAnsiTheme="minorHAnsi"/>
        </w:rPr>
        <w:tab/>
      </w:r>
      <w:r w:rsidRPr="00BC31E0">
        <w:rPr>
          <w:rFonts w:asciiTheme="minorHAnsi" w:eastAsiaTheme="minorEastAsia" w:hAnsiTheme="minorEastAsia"/>
        </w:rPr>
        <w:t>東京大学</w:t>
      </w:r>
    </w:p>
    <w:p w14:paraId="5EF43971" w14:textId="77777777" w:rsidR="00D51063" w:rsidRPr="00BC31E0" w:rsidRDefault="00D51063" w:rsidP="00A33253">
      <w:pPr>
        <w:tabs>
          <w:tab w:val="left" w:pos="1698"/>
          <w:tab w:val="left" w:pos="3544"/>
        </w:tabs>
        <w:rPr>
          <w:rFonts w:asciiTheme="minorHAnsi" w:eastAsiaTheme="minorEastAsia" w:hAnsiTheme="minorHAnsi"/>
        </w:rPr>
      </w:pPr>
      <w:r w:rsidRPr="00BC31E0">
        <w:rPr>
          <w:rFonts w:asciiTheme="minorHAnsi" w:eastAsiaTheme="minorEastAsia" w:hAnsiTheme="minorHAnsi"/>
        </w:rPr>
        <w:tab/>
      </w:r>
      <w:r w:rsidRPr="00BC31E0">
        <w:rPr>
          <w:rFonts w:asciiTheme="minorHAnsi" w:eastAsiaTheme="minorEastAsia" w:hAnsiTheme="minorEastAsia"/>
        </w:rPr>
        <w:t>佐々木　駿介</w:t>
      </w:r>
      <w:r w:rsidRPr="00BC31E0">
        <w:rPr>
          <w:rFonts w:asciiTheme="minorHAnsi" w:eastAsiaTheme="minorEastAsia" w:hAnsiTheme="minorHAnsi"/>
        </w:rPr>
        <w:tab/>
      </w:r>
      <w:r w:rsidRPr="00BC31E0">
        <w:rPr>
          <w:rFonts w:asciiTheme="minorHAnsi" w:eastAsiaTheme="minorEastAsia" w:hAnsiTheme="minorEastAsia"/>
        </w:rPr>
        <w:t>東芝エネルギーシステムズ</w:t>
      </w:r>
      <w:r w:rsidRPr="00BC31E0">
        <w:rPr>
          <w:rFonts w:asciiTheme="minorHAnsi" w:eastAsiaTheme="minorEastAsia" w:hAnsiTheme="minorHAnsi"/>
        </w:rPr>
        <w:t>(</w:t>
      </w:r>
      <w:r w:rsidRPr="00BC31E0">
        <w:rPr>
          <w:rFonts w:asciiTheme="minorHAnsi" w:eastAsiaTheme="minorEastAsia" w:hAnsiTheme="minorEastAsia"/>
        </w:rPr>
        <w:t>株</w:t>
      </w:r>
      <w:r w:rsidRPr="00BC31E0">
        <w:rPr>
          <w:rFonts w:asciiTheme="minorHAnsi" w:eastAsiaTheme="minorEastAsia" w:hAnsiTheme="minorHAnsi"/>
        </w:rPr>
        <w:t>)</w:t>
      </w:r>
    </w:p>
    <w:p w14:paraId="5A4C8B73" w14:textId="77777777" w:rsidR="00244820" w:rsidRPr="00BC31E0" w:rsidRDefault="00244820" w:rsidP="00A33253">
      <w:pPr>
        <w:tabs>
          <w:tab w:val="left" w:pos="1680"/>
          <w:tab w:val="left" w:pos="3544"/>
        </w:tabs>
        <w:rPr>
          <w:rFonts w:asciiTheme="minorHAnsi" w:eastAsiaTheme="minorEastAsia" w:hAnsiTheme="minorHAnsi"/>
        </w:rPr>
      </w:pPr>
      <w:r w:rsidRPr="00BC31E0">
        <w:rPr>
          <w:rFonts w:asciiTheme="minorHAnsi" w:eastAsiaTheme="minorEastAsia" w:hAnsiTheme="minorEastAsia" w:hint="eastAsia"/>
        </w:rPr>
        <w:tab/>
      </w:r>
      <w:r w:rsidR="00D51063" w:rsidRPr="00BC31E0">
        <w:rPr>
          <w:rFonts w:asciiTheme="minorHAnsi" w:eastAsiaTheme="minorEastAsia" w:hAnsiTheme="minorEastAsia"/>
        </w:rPr>
        <w:t>児玉　正行</w:t>
      </w:r>
      <w:r w:rsidR="00D51063" w:rsidRPr="00BC31E0">
        <w:rPr>
          <w:rFonts w:asciiTheme="minorHAnsi" w:eastAsiaTheme="minorEastAsia" w:hAnsiTheme="minorHAnsi"/>
        </w:rPr>
        <w:tab/>
      </w:r>
      <w:r w:rsidR="00F474AA" w:rsidRPr="00BC31E0">
        <w:rPr>
          <w:rFonts w:asciiTheme="minorHAnsi" w:eastAsiaTheme="minorEastAsia" w:hAnsiTheme="minorHAnsi" w:hint="eastAsia"/>
        </w:rPr>
        <w:t>日本製鉄</w:t>
      </w:r>
      <w:r w:rsidR="00D51063" w:rsidRPr="00BC31E0">
        <w:rPr>
          <w:rFonts w:asciiTheme="minorHAnsi" w:eastAsiaTheme="minorEastAsia" w:hAnsiTheme="minorHAnsi"/>
        </w:rPr>
        <w:t>(</w:t>
      </w:r>
      <w:r w:rsidR="00D51063" w:rsidRPr="00BC31E0">
        <w:rPr>
          <w:rFonts w:asciiTheme="minorHAnsi" w:eastAsiaTheme="minorEastAsia" w:hAnsiTheme="minorEastAsia"/>
        </w:rPr>
        <w:t>株</w:t>
      </w:r>
      <w:r w:rsidR="00D51063" w:rsidRPr="00BC31E0">
        <w:rPr>
          <w:rFonts w:asciiTheme="minorHAnsi" w:eastAsiaTheme="minorEastAsia" w:hAnsiTheme="minorHAnsi"/>
        </w:rPr>
        <w:t>)</w:t>
      </w:r>
    </w:p>
    <w:p w14:paraId="458EAE18" w14:textId="77777777" w:rsidR="00D51063" w:rsidRPr="00BC31E0" w:rsidRDefault="00244820" w:rsidP="00A33253">
      <w:pPr>
        <w:tabs>
          <w:tab w:val="left" w:pos="1680"/>
          <w:tab w:val="left" w:pos="3544"/>
        </w:tabs>
        <w:rPr>
          <w:rFonts w:asciiTheme="minorHAnsi" w:eastAsiaTheme="minorEastAsia" w:hAnsiTheme="minorHAnsi"/>
        </w:rPr>
      </w:pPr>
      <w:r w:rsidRPr="00BC31E0">
        <w:rPr>
          <w:rFonts w:asciiTheme="minorHAnsi" w:eastAsiaTheme="minorEastAsia" w:hAnsiTheme="minorHAnsi" w:hint="eastAsia"/>
        </w:rPr>
        <w:tab/>
      </w:r>
      <w:r w:rsidR="00D51063" w:rsidRPr="00BC31E0">
        <w:rPr>
          <w:rFonts w:asciiTheme="minorHAnsi" w:eastAsiaTheme="minorEastAsia" w:hAnsiTheme="minorEastAsia"/>
        </w:rPr>
        <w:t>石毛　健吾</w:t>
      </w:r>
      <w:r w:rsidR="00D51063" w:rsidRPr="00BC31E0">
        <w:rPr>
          <w:rFonts w:asciiTheme="minorHAnsi" w:eastAsiaTheme="minorEastAsia" w:hAnsiTheme="minorHAnsi"/>
        </w:rPr>
        <w:tab/>
        <w:t>(</w:t>
      </w:r>
      <w:r w:rsidR="00D51063" w:rsidRPr="00BC31E0">
        <w:rPr>
          <w:rFonts w:asciiTheme="minorHAnsi" w:eastAsiaTheme="minorEastAsia" w:hAnsiTheme="minorEastAsia"/>
        </w:rPr>
        <w:t>株</w:t>
      </w:r>
      <w:r w:rsidR="00D51063" w:rsidRPr="00BC31E0">
        <w:rPr>
          <w:rFonts w:asciiTheme="minorHAnsi" w:eastAsiaTheme="minorEastAsia" w:hAnsiTheme="minorHAnsi"/>
        </w:rPr>
        <w:t>)IHI</w:t>
      </w:r>
    </w:p>
    <w:p w14:paraId="0DB9971A" w14:textId="77777777" w:rsidR="00D51063" w:rsidRPr="00BC31E0" w:rsidRDefault="00D51063" w:rsidP="00A33253">
      <w:pPr>
        <w:tabs>
          <w:tab w:val="left" w:pos="1680"/>
          <w:tab w:val="left" w:pos="3544"/>
        </w:tabs>
        <w:rPr>
          <w:rFonts w:asciiTheme="minorHAnsi" w:eastAsiaTheme="minorEastAsia" w:hAnsiTheme="minorHAnsi"/>
        </w:rPr>
      </w:pPr>
      <w:r w:rsidRPr="00BC31E0">
        <w:rPr>
          <w:rFonts w:asciiTheme="minorHAnsi" w:eastAsiaTheme="minorEastAsia" w:hAnsiTheme="minorHAnsi"/>
        </w:rPr>
        <w:tab/>
      </w:r>
      <w:r w:rsidRPr="00BC31E0">
        <w:rPr>
          <w:rFonts w:asciiTheme="minorHAnsi" w:eastAsiaTheme="minorEastAsia" w:hAnsiTheme="minorEastAsia"/>
        </w:rPr>
        <w:t>宮崎　克雅</w:t>
      </w:r>
      <w:r w:rsidRPr="00BC31E0">
        <w:rPr>
          <w:rFonts w:asciiTheme="minorHAnsi" w:eastAsiaTheme="minorEastAsia" w:hAnsiTheme="minorHAnsi"/>
        </w:rPr>
        <w:tab/>
        <w:t>(</w:t>
      </w:r>
      <w:r w:rsidRPr="00BC31E0">
        <w:rPr>
          <w:rFonts w:asciiTheme="minorHAnsi" w:eastAsiaTheme="minorEastAsia" w:hAnsiTheme="minorEastAsia"/>
        </w:rPr>
        <w:t>株</w:t>
      </w:r>
      <w:r w:rsidRPr="00BC31E0">
        <w:rPr>
          <w:rFonts w:asciiTheme="minorHAnsi" w:eastAsiaTheme="minorEastAsia" w:hAnsiTheme="minorHAnsi"/>
        </w:rPr>
        <w:t>)</w:t>
      </w:r>
      <w:r w:rsidRPr="00BC31E0">
        <w:rPr>
          <w:rFonts w:asciiTheme="minorHAnsi" w:eastAsiaTheme="minorEastAsia" w:hAnsiTheme="minorEastAsia"/>
        </w:rPr>
        <w:t>日立製作所</w:t>
      </w:r>
    </w:p>
    <w:p w14:paraId="23E685C2" w14:textId="77777777" w:rsidR="00D51063" w:rsidRPr="00BC31E0" w:rsidRDefault="00D51063" w:rsidP="00A33253">
      <w:pPr>
        <w:tabs>
          <w:tab w:val="left" w:pos="1680"/>
          <w:tab w:val="left" w:pos="3544"/>
        </w:tabs>
        <w:rPr>
          <w:rFonts w:asciiTheme="minorHAnsi" w:eastAsiaTheme="minorEastAsia" w:hAnsiTheme="minorHAnsi"/>
        </w:rPr>
      </w:pPr>
      <w:r w:rsidRPr="00BC31E0">
        <w:rPr>
          <w:rFonts w:asciiTheme="minorHAnsi" w:eastAsiaTheme="minorEastAsia" w:hAnsiTheme="minorHAnsi"/>
        </w:rPr>
        <w:tab/>
      </w:r>
      <w:r w:rsidRPr="00BC31E0">
        <w:rPr>
          <w:rFonts w:asciiTheme="minorHAnsi" w:eastAsiaTheme="minorEastAsia" w:hAnsiTheme="minorEastAsia"/>
        </w:rPr>
        <w:t>寺田　進</w:t>
      </w:r>
      <w:r w:rsidRPr="00BC31E0">
        <w:rPr>
          <w:rFonts w:asciiTheme="minorHAnsi" w:eastAsiaTheme="minorEastAsia" w:hAnsiTheme="minorHAnsi"/>
        </w:rPr>
        <w:tab/>
        <w:t>(</w:t>
      </w:r>
      <w:r w:rsidRPr="00BC31E0">
        <w:rPr>
          <w:rFonts w:asciiTheme="minorHAnsi" w:eastAsiaTheme="minorEastAsia" w:hAnsiTheme="minorEastAsia"/>
        </w:rPr>
        <w:t>株</w:t>
      </w:r>
      <w:r w:rsidRPr="00BC31E0">
        <w:rPr>
          <w:rFonts w:asciiTheme="minorHAnsi" w:eastAsiaTheme="minorEastAsia" w:hAnsiTheme="minorHAnsi"/>
        </w:rPr>
        <w:t>)</w:t>
      </w:r>
      <w:r w:rsidRPr="00BC31E0">
        <w:rPr>
          <w:rFonts w:asciiTheme="minorHAnsi" w:eastAsiaTheme="minorEastAsia" w:hAnsiTheme="minorEastAsia"/>
        </w:rPr>
        <w:t>神戸製鋼所</w:t>
      </w:r>
    </w:p>
    <w:p w14:paraId="5DA617A0" w14:textId="77777777" w:rsidR="00D51063" w:rsidRPr="00BC31E0" w:rsidRDefault="00244820" w:rsidP="00A33253">
      <w:pPr>
        <w:tabs>
          <w:tab w:val="left" w:pos="1680"/>
          <w:tab w:val="left" w:pos="3544"/>
        </w:tabs>
        <w:rPr>
          <w:rFonts w:asciiTheme="minorHAnsi" w:eastAsiaTheme="minorEastAsia" w:hAnsiTheme="minorHAnsi"/>
        </w:rPr>
      </w:pPr>
      <w:r w:rsidRPr="00BC31E0">
        <w:rPr>
          <w:rFonts w:asciiTheme="minorHAnsi" w:eastAsiaTheme="minorEastAsia" w:hAnsiTheme="minorEastAsia" w:hint="eastAsia"/>
        </w:rPr>
        <w:tab/>
      </w:r>
      <w:r w:rsidR="00D51063" w:rsidRPr="00BC31E0">
        <w:rPr>
          <w:rFonts w:asciiTheme="minorHAnsi" w:eastAsiaTheme="minorEastAsia" w:hAnsiTheme="minorEastAsia"/>
        </w:rPr>
        <w:t>石崎　陽一</w:t>
      </w:r>
      <w:r w:rsidR="00D51063" w:rsidRPr="00BC31E0">
        <w:rPr>
          <w:rFonts w:asciiTheme="minorHAnsi" w:eastAsiaTheme="minorEastAsia" w:hAnsiTheme="minorHAnsi"/>
        </w:rPr>
        <w:tab/>
      </w:r>
      <w:r w:rsidR="00D51063" w:rsidRPr="00BC31E0">
        <w:rPr>
          <w:rFonts w:asciiTheme="minorHAnsi" w:eastAsiaTheme="minorEastAsia" w:hAnsiTheme="minorEastAsia"/>
        </w:rPr>
        <w:t>出光興産</w:t>
      </w:r>
      <w:r w:rsidR="00D51063" w:rsidRPr="00BC31E0">
        <w:rPr>
          <w:rFonts w:asciiTheme="minorHAnsi" w:eastAsiaTheme="minorEastAsia" w:hAnsiTheme="minorHAnsi"/>
        </w:rPr>
        <w:t>(</w:t>
      </w:r>
      <w:r w:rsidR="00D51063" w:rsidRPr="00BC31E0">
        <w:rPr>
          <w:rFonts w:asciiTheme="minorHAnsi" w:eastAsiaTheme="minorEastAsia" w:hAnsiTheme="minorEastAsia"/>
        </w:rPr>
        <w:t>株</w:t>
      </w:r>
      <w:r w:rsidR="00D51063" w:rsidRPr="00BC31E0">
        <w:rPr>
          <w:rFonts w:asciiTheme="minorHAnsi" w:eastAsiaTheme="minorEastAsia" w:hAnsiTheme="minorHAnsi"/>
        </w:rPr>
        <w:t>)</w:t>
      </w:r>
    </w:p>
    <w:p w14:paraId="47E53F26" w14:textId="77777777" w:rsidR="00D51063" w:rsidRPr="00BC31E0" w:rsidRDefault="00244820" w:rsidP="00A33253">
      <w:pPr>
        <w:tabs>
          <w:tab w:val="left" w:pos="1680"/>
          <w:tab w:val="left" w:pos="3544"/>
        </w:tabs>
        <w:rPr>
          <w:rFonts w:asciiTheme="minorHAnsi" w:eastAsiaTheme="minorEastAsia" w:hAnsiTheme="minorHAnsi"/>
        </w:rPr>
      </w:pPr>
      <w:r w:rsidRPr="00BC31E0">
        <w:rPr>
          <w:rFonts w:asciiTheme="minorHAnsi" w:eastAsiaTheme="minorEastAsia" w:hAnsiTheme="minorEastAsia" w:hint="eastAsia"/>
        </w:rPr>
        <w:tab/>
      </w:r>
      <w:r w:rsidR="00D51063" w:rsidRPr="00BC31E0">
        <w:rPr>
          <w:rFonts w:asciiTheme="minorHAnsi" w:eastAsiaTheme="minorEastAsia" w:hAnsiTheme="minorEastAsia"/>
        </w:rPr>
        <w:t>木附　登</w:t>
      </w:r>
      <w:r w:rsidR="00D51063" w:rsidRPr="00BC31E0">
        <w:rPr>
          <w:rFonts w:asciiTheme="minorHAnsi" w:eastAsiaTheme="minorEastAsia" w:hAnsiTheme="minorHAnsi"/>
        </w:rPr>
        <w:tab/>
        <w:t>(</w:t>
      </w:r>
      <w:r w:rsidR="00D51063" w:rsidRPr="00BC31E0">
        <w:rPr>
          <w:rFonts w:asciiTheme="minorHAnsi" w:eastAsiaTheme="minorEastAsia" w:hAnsiTheme="minorEastAsia"/>
        </w:rPr>
        <w:t>一社</w:t>
      </w:r>
      <w:r w:rsidR="00D51063" w:rsidRPr="00BC31E0">
        <w:rPr>
          <w:rFonts w:asciiTheme="minorHAnsi" w:eastAsiaTheme="minorEastAsia" w:hAnsiTheme="minorHAnsi"/>
        </w:rPr>
        <w:t>)</w:t>
      </w:r>
      <w:r w:rsidR="00D51063" w:rsidRPr="00BC31E0">
        <w:rPr>
          <w:rFonts w:asciiTheme="minorHAnsi" w:eastAsiaTheme="minorEastAsia" w:hAnsiTheme="minorEastAsia"/>
        </w:rPr>
        <w:t>日本ガス協会</w:t>
      </w:r>
    </w:p>
    <w:p w14:paraId="40B46F78" w14:textId="77777777" w:rsidR="00D51063" w:rsidRPr="00BC31E0" w:rsidRDefault="00244820" w:rsidP="00A33253">
      <w:pPr>
        <w:tabs>
          <w:tab w:val="left" w:pos="1680"/>
          <w:tab w:val="left" w:pos="3544"/>
        </w:tabs>
        <w:rPr>
          <w:rFonts w:asciiTheme="minorHAnsi" w:eastAsiaTheme="minorEastAsia" w:hAnsiTheme="minorHAnsi"/>
        </w:rPr>
      </w:pPr>
      <w:r w:rsidRPr="00BC31E0">
        <w:rPr>
          <w:rFonts w:asciiTheme="minorHAnsi" w:eastAsiaTheme="minorEastAsia" w:hAnsiTheme="minorEastAsia" w:hint="eastAsia"/>
        </w:rPr>
        <w:tab/>
      </w:r>
      <w:r w:rsidR="00D51063" w:rsidRPr="00BC31E0">
        <w:rPr>
          <w:rFonts w:asciiTheme="minorHAnsi" w:eastAsiaTheme="minorEastAsia" w:hAnsiTheme="minorEastAsia"/>
        </w:rPr>
        <w:t>関口　優</w:t>
      </w:r>
      <w:r w:rsidR="00D51063" w:rsidRPr="00BC31E0">
        <w:rPr>
          <w:rFonts w:asciiTheme="minorHAnsi" w:eastAsiaTheme="minorEastAsia" w:hAnsiTheme="minorHAnsi"/>
        </w:rPr>
        <w:tab/>
      </w:r>
      <w:r w:rsidR="00D51063" w:rsidRPr="00BC31E0">
        <w:rPr>
          <w:rFonts w:asciiTheme="minorHAnsi" w:eastAsiaTheme="minorEastAsia" w:hAnsiTheme="minorEastAsia"/>
        </w:rPr>
        <w:t>東京ガス</w:t>
      </w:r>
      <w:r w:rsidR="00D51063" w:rsidRPr="00BC31E0">
        <w:rPr>
          <w:rFonts w:asciiTheme="minorHAnsi" w:eastAsiaTheme="minorEastAsia" w:hAnsiTheme="minorHAnsi"/>
        </w:rPr>
        <w:t>(</w:t>
      </w:r>
      <w:r w:rsidR="00D51063" w:rsidRPr="00BC31E0">
        <w:rPr>
          <w:rFonts w:asciiTheme="minorHAnsi" w:eastAsiaTheme="minorEastAsia" w:hAnsiTheme="minorEastAsia"/>
        </w:rPr>
        <w:t>株</w:t>
      </w:r>
      <w:r w:rsidR="00D51063" w:rsidRPr="00BC31E0">
        <w:rPr>
          <w:rFonts w:asciiTheme="minorHAnsi" w:eastAsiaTheme="minorEastAsia" w:hAnsiTheme="minorHAnsi"/>
        </w:rPr>
        <w:t>)</w:t>
      </w:r>
    </w:p>
    <w:p w14:paraId="65252030" w14:textId="77777777" w:rsidR="00D51063" w:rsidRPr="00BC31E0" w:rsidRDefault="00244820" w:rsidP="00A33253">
      <w:pPr>
        <w:tabs>
          <w:tab w:val="left" w:pos="1680"/>
          <w:tab w:val="left" w:pos="3544"/>
        </w:tabs>
        <w:rPr>
          <w:rFonts w:asciiTheme="minorHAnsi" w:eastAsiaTheme="minorEastAsia" w:hAnsiTheme="minorHAnsi"/>
        </w:rPr>
      </w:pPr>
      <w:r w:rsidRPr="00BC31E0">
        <w:rPr>
          <w:rFonts w:asciiTheme="minorHAnsi" w:eastAsiaTheme="minorEastAsia" w:hAnsiTheme="minorEastAsia" w:hint="eastAsia"/>
        </w:rPr>
        <w:tab/>
      </w:r>
      <w:r w:rsidR="00D51063" w:rsidRPr="00BC31E0">
        <w:rPr>
          <w:rFonts w:asciiTheme="minorHAnsi" w:eastAsiaTheme="minorEastAsia" w:hAnsiTheme="minorEastAsia"/>
        </w:rPr>
        <w:t>小森　一夫</w:t>
      </w:r>
      <w:r w:rsidR="00D51063" w:rsidRPr="00BC31E0">
        <w:rPr>
          <w:rFonts w:asciiTheme="minorHAnsi" w:eastAsiaTheme="minorEastAsia" w:hAnsiTheme="minorHAnsi"/>
        </w:rPr>
        <w:tab/>
      </w:r>
      <w:r w:rsidR="00D51063" w:rsidRPr="00BC31E0">
        <w:rPr>
          <w:rFonts w:asciiTheme="minorHAnsi" w:eastAsiaTheme="minorEastAsia" w:hAnsiTheme="minorEastAsia"/>
        </w:rPr>
        <w:t>三井化学</w:t>
      </w:r>
      <w:r w:rsidR="00D51063" w:rsidRPr="00BC31E0">
        <w:rPr>
          <w:rFonts w:asciiTheme="minorHAnsi" w:eastAsiaTheme="minorEastAsia" w:hAnsiTheme="minorHAnsi"/>
        </w:rPr>
        <w:t>(</w:t>
      </w:r>
      <w:r w:rsidR="00D51063" w:rsidRPr="00BC31E0">
        <w:rPr>
          <w:rFonts w:asciiTheme="minorHAnsi" w:eastAsiaTheme="minorEastAsia" w:hAnsiTheme="minorEastAsia"/>
        </w:rPr>
        <w:t>株</w:t>
      </w:r>
      <w:r w:rsidR="00D51063" w:rsidRPr="00BC31E0">
        <w:rPr>
          <w:rFonts w:asciiTheme="minorHAnsi" w:eastAsiaTheme="minorEastAsia" w:hAnsiTheme="minorHAnsi"/>
        </w:rPr>
        <w:t>)</w:t>
      </w:r>
    </w:p>
    <w:p w14:paraId="5C50CA38" w14:textId="77777777" w:rsidR="00D51063" w:rsidRPr="00BC31E0" w:rsidRDefault="00244820" w:rsidP="00A33253">
      <w:pPr>
        <w:tabs>
          <w:tab w:val="left" w:pos="1680"/>
          <w:tab w:val="left" w:pos="3544"/>
        </w:tabs>
        <w:rPr>
          <w:rFonts w:asciiTheme="minorHAnsi" w:eastAsiaTheme="minorEastAsia" w:hAnsiTheme="minorHAnsi"/>
        </w:rPr>
      </w:pPr>
      <w:r w:rsidRPr="00BC31E0">
        <w:rPr>
          <w:rFonts w:asciiTheme="minorHAnsi" w:eastAsiaTheme="minorEastAsia" w:hAnsiTheme="minorEastAsia" w:hint="eastAsia"/>
        </w:rPr>
        <w:tab/>
      </w:r>
      <w:r w:rsidR="00D51063" w:rsidRPr="00BC31E0">
        <w:rPr>
          <w:rFonts w:asciiTheme="minorHAnsi" w:eastAsiaTheme="minorEastAsia" w:hAnsiTheme="minorEastAsia"/>
        </w:rPr>
        <w:t>小山　聡</w:t>
      </w:r>
      <w:r w:rsidR="00D51063" w:rsidRPr="00BC31E0">
        <w:rPr>
          <w:rFonts w:asciiTheme="minorHAnsi" w:eastAsiaTheme="minorEastAsia" w:hAnsiTheme="minorHAnsi"/>
        </w:rPr>
        <w:tab/>
      </w:r>
      <w:r w:rsidR="00D51063" w:rsidRPr="00BC31E0">
        <w:rPr>
          <w:rFonts w:asciiTheme="minorHAnsi" w:eastAsiaTheme="minorEastAsia" w:hAnsiTheme="minorEastAsia"/>
        </w:rPr>
        <w:t>住友化学</w:t>
      </w:r>
      <w:r w:rsidR="00D51063" w:rsidRPr="00BC31E0">
        <w:rPr>
          <w:rFonts w:asciiTheme="minorHAnsi" w:eastAsiaTheme="minorEastAsia" w:hAnsiTheme="minorHAnsi"/>
        </w:rPr>
        <w:t>(</w:t>
      </w:r>
      <w:r w:rsidR="00D51063" w:rsidRPr="00BC31E0">
        <w:rPr>
          <w:rFonts w:asciiTheme="minorHAnsi" w:eastAsiaTheme="minorEastAsia" w:hAnsiTheme="minorEastAsia"/>
        </w:rPr>
        <w:t>株</w:t>
      </w:r>
      <w:r w:rsidR="00D51063" w:rsidRPr="00BC31E0">
        <w:rPr>
          <w:rFonts w:asciiTheme="minorHAnsi" w:eastAsiaTheme="minorEastAsia" w:hAnsiTheme="minorHAnsi"/>
        </w:rPr>
        <w:t>)</w:t>
      </w:r>
    </w:p>
    <w:p w14:paraId="226ABF0E" w14:textId="77777777" w:rsidR="00D51063" w:rsidRPr="00BC31E0" w:rsidRDefault="00244820" w:rsidP="00A33253">
      <w:pPr>
        <w:tabs>
          <w:tab w:val="left" w:pos="1680"/>
          <w:tab w:val="left" w:pos="3544"/>
        </w:tabs>
        <w:rPr>
          <w:rFonts w:asciiTheme="minorHAnsi" w:eastAsiaTheme="minorEastAsia" w:hAnsiTheme="minorHAnsi"/>
        </w:rPr>
      </w:pPr>
      <w:r w:rsidRPr="00BC31E0">
        <w:rPr>
          <w:rFonts w:asciiTheme="minorHAnsi" w:eastAsiaTheme="minorEastAsia" w:hAnsiTheme="minorEastAsia" w:hint="eastAsia"/>
        </w:rPr>
        <w:tab/>
      </w:r>
      <w:r w:rsidR="00D51063" w:rsidRPr="00BC31E0">
        <w:rPr>
          <w:rFonts w:asciiTheme="minorHAnsi" w:eastAsiaTheme="minorEastAsia" w:hAnsiTheme="minorEastAsia"/>
        </w:rPr>
        <w:t>片岡　俊二</w:t>
      </w:r>
      <w:r w:rsidR="00D51063" w:rsidRPr="00BC31E0">
        <w:rPr>
          <w:rFonts w:asciiTheme="minorHAnsi" w:eastAsiaTheme="minorEastAsia" w:hAnsiTheme="minorHAnsi"/>
        </w:rPr>
        <w:tab/>
      </w:r>
      <w:r w:rsidR="00D51063" w:rsidRPr="00BC31E0">
        <w:rPr>
          <w:rFonts w:asciiTheme="minorHAnsi" w:eastAsiaTheme="minorEastAsia" w:hAnsiTheme="minorEastAsia"/>
        </w:rPr>
        <w:t>日揮グローバル</w:t>
      </w:r>
      <w:r w:rsidR="00D51063" w:rsidRPr="00BC31E0">
        <w:rPr>
          <w:rFonts w:asciiTheme="minorHAnsi" w:eastAsiaTheme="minorEastAsia" w:hAnsiTheme="minorHAnsi"/>
        </w:rPr>
        <w:t>(</w:t>
      </w:r>
      <w:r w:rsidR="00D51063" w:rsidRPr="00BC31E0">
        <w:rPr>
          <w:rFonts w:asciiTheme="minorHAnsi" w:eastAsiaTheme="minorEastAsia" w:hAnsiTheme="minorEastAsia"/>
        </w:rPr>
        <w:t>株</w:t>
      </w:r>
      <w:r w:rsidR="00D51063" w:rsidRPr="00BC31E0">
        <w:rPr>
          <w:rFonts w:asciiTheme="minorHAnsi" w:eastAsiaTheme="minorEastAsia" w:hAnsiTheme="minorHAnsi"/>
        </w:rPr>
        <w:t>)</w:t>
      </w:r>
    </w:p>
    <w:p w14:paraId="74304776" w14:textId="77777777" w:rsidR="00D51063" w:rsidRPr="00BC31E0" w:rsidRDefault="00244820" w:rsidP="00A33253">
      <w:pPr>
        <w:tabs>
          <w:tab w:val="left" w:pos="1680"/>
          <w:tab w:val="left" w:pos="3544"/>
        </w:tabs>
        <w:rPr>
          <w:rFonts w:asciiTheme="minorHAnsi" w:eastAsiaTheme="minorEastAsia" w:hAnsiTheme="minorHAnsi"/>
        </w:rPr>
      </w:pPr>
      <w:r w:rsidRPr="00BC31E0">
        <w:rPr>
          <w:rFonts w:asciiTheme="minorHAnsi" w:eastAsiaTheme="minorEastAsia" w:hAnsiTheme="minorEastAsia" w:hint="eastAsia"/>
        </w:rPr>
        <w:tab/>
      </w:r>
      <w:r w:rsidR="00D51063" w:rsidRPr="00BC31E0">
        <w:rPr>
          <w:rFonts w:asciiTheme="minorHAnsi" w:eastAsiaTheme="minorEastAsia" w:hAnsiTheme="minorEastAsia"/>
        </w:rPr>
        <w:t>松田　宏康</w:t>
      </w:r>
      <w:r w:rsidR="00D51063" w:rsidRPr="00BC31E0">
        <w:rPr>
          <w:rFonts w:asciiTheme="minorHAnsi" w:eastAsiaTheme="minorEastAsia" w:hAnsiTheme="minorHAnsi"/>
        </w:rPr>
        <w:tab/>
        <w:t>(</w:t>
      </w:r>
      <w:r w:rsidR="00D51063" w:rsidRPr="00BC31E0">
        <w:rPr>
          <w:rFonts w:asciiTheme="minorHAnsi" w:eastAsiaTheme="minorEastAsia" w:hAnsiTheme="minorEastAsia"/>
        </w:rPr>
        <w:t>株</w:t>
      </w:r>
      <w:r w:rsidR="00D51063" w:rsidRPr="00BC31E0">
        <w:rPr>
          <w:rFonts w:asciiTheme="minorHAnsi" w:eastAsiaTheme="minorEastAsia" w:hAnsiTheme="minorHAnsi"/>
        </w:rPr>
        <w:t>)</w:t>
      </w:r>
      <w:r w:rsidR="00D51063" w:rsidRPr="00BC31E0">
        <w:rPr>
          <w:rFonts w:asciiTheme="minorHAnsi" w:eastAsiaTheme="minorEastAsia" w:hAnsiTheme="minorEastAsia"/>
        </w:rPr>
        <w:t>ベストマテリア</w:t>
      </w:r>
    </w:p>
    <w:p w14:paraId="7B326FBA" w14:textId="77777777" w:rsidR="00D51063" w:rsidRPr="00BC31E0" w:rsidRDefault="00244820" w:rsidP="00A33253">
      <w:pPr>
        <w:tabs>
          <w:tab w:val="left" w:pos="1680"/>
          <w:tab w:val="left" w:pos="3544"/>
        </w:tabs>
        <w:rPr>
          <w:rFonts w:asciiTheme="minorHAnsi" w:eastAsiaTheme="minorEastAsia" w:hAnsiTheme="minorHAnsi"/>
        </w:rPr>
      </w:pPr>
      <w:r w:rsidRPr="00BC31E0">
        <w:rPr>
          <w:rFonts w:asciiTheme="minorHAnsi" w:eastAsiaTheme="minorEastAsia" w:hAnsiTheme="minorEastAsia" w:hint="eastAsia"/>
        </w:rPr>
        <w:tab/>
      </w:r>
      <w:r w:rsidR="00D51063" w:rsidRPr="00BC31E0">
        <w:rPr>
          <w:rFonts w:asciiTheme="minorHAnsi" w:eastAsiaTheme="minorEastAsia" w:hAnsiTheme="minorEastAsia"/>
        </w:rPr>
        <w:t>土井　寛之</w:t>
      </w:r>
      <w:r w:rsidR="00D51063" w:rsidRPr="00BC31E0">
        <w:rPr>
          <w:rFonts w:asciiTheme="minorHAnsi" w:eastAsiaTheme="minorEastAsia" w:hAnsiTheme="minorHAnsi"/>
        </w:rPr>
        <w:tab/>
      </w:r>
      <w:r w:rsidR="00D51063" w:rsidRPr="00BC31E0">
        <w:rPr>
          <w:rFonts w:asciiTheme="minorHAnsi" w:eastAsiaTheme="minorEastAsia" w:hAnsiTheme="minorEastAsia"/>
        </w:rPr>
        <w:t>東洋エンジニアリング</w:t>
      </w:r>
      <w:r w:rsidR="00D51063" w:rsidRPr="00BC31E0">
        <w:rPr>
          <w:rFonts w:asciiTheme="minorHAnsi" w:eastAsiaTheme="minorEastAsia" w:hAnsiTheme="minorHAnsi"/>
        </w:rPr>
        <w:t>(</w:t>
      </w:r>
      <w:r w:rsidR="00D51063" w:rsidRPr="00BC31E0">
        <w:rPr>
          <w:rFonts w:asciiTheme="minorHAnsi" w:eastAsiaTheme="minorEastAsia" w:hAnsiTheme="minorEastAsia"/>
        </w:rPr>
        <w:t>株</w:t>
      </w:r>
      <w:r w:rsidR="00D51063" w:rsidRPr="00BC31E0">
        <w:rPr>
          <w:rFonts w:asciiTheme="minorHAnsi" w:eastAsiaTheme="minorEastAsia" w:hAnsiTheme="minorHAnsi"/>
        </w:rPr>
        <w:t>)</w:t>
      </w:r>
    </w:p>
    <w:p w14:paraId="58F52822" w14:textId="77777777" w:rsidR="00D51063" w:rsidRPr="00BC31E0" w:rsidRDefault="00D51063" w:rsidP="00244820">
      <w:pPr>
        <w:tabs>
          <w:tab w:val="left" w:pos="1701"/>
          <w:tab w:val="left" w:pos="3544"/>
        </w:tabs>
        <w:rPr>
          <w:rFonts w:asciiTheme="minorHAnsi" w:eastAsiaTheme="minorEastAsia" w:hAnsiTheme="minorHAnsi"/>
        </w:rPr>
      </w:pPr>
      <w:r w:rsidRPr="00BC31E0">
        <w:rPr>
          <w:rFonts w:asciiTheme="minorHAnsi" w:eastAsiaTheme="minorEastAsia" w:hAnsiTheme="minorEastAsia"/>
        </w:rPr>
        <w:t xml:space="preserve">　　　　　　</w:t>
      </w:r>
      <w:r w:rsidRPr="00BC31E0">
        <w:rPr>
          <w:rFonts w:asciiTheme="minorHAnsi" w:eastAsiaTheme="minorEastAsia" w:hAnsiTheme="minorHAnsi"/>
        </w:rPr>
        <w:tab/>
      </w:r>
      <w:r w:rsidRPr="00BC31E0">
        <w:rPr>
          <w:rFonts w:asciiTheme="minorHAnsi" w:eastAsiaTheme="minorEastAsia" w:hAnsiTheme="minorEastAsia"/>
        </w:rPr>
        <w:t>佐藤　長光</w:t>
      </w:r>
      <w:r w:rsidRPr="00BC31E0">
        <w:rPr>
          <w:rFonts w:asciiTheme="minorHAnsi" w:eastAsiaTheme="minorEastAsia" w:hAnsiTheme="minorHAnsi"/>
        </w:rPr>
        <w:tab/>
        <w:t>(</w:t>
      </w:r>
      <w:r w:rsidRPr="00BC31E0">
        <w:rPr>
          <w:rFonts w:asciiTheme="minorHAnsi" w:eastAsiaTheme="minorEastAsia" w:hAnsiTheme="minorEastAsia"/>
        </w:rPr>
        <w:t>一財</w:t>
      </w:r>
      <w:r w:rsidRPr="00BC31E0">
        <w:rPr>
          <w:rFonts w:asciiTheme="minorHAnsi" w:eastAsiaTheme="minorEastAsia" w:hAnsiTheme="minorHAnsi"/>
        </w:rPr>
        <w:t>)</w:t>
      </w:r>
      <w:r w:rsidRPr="00BC31E0">
        <w:rPr>
          <w:rFonts w:asciiTheme="minorHAnsi" w:eastAsiaTheme="minorEastAsia" w:hAnsiTheme="minorEastAsia"/>
        </w:rPr>
        <w:t>発電設備技術検査協会</w:t>
      </w:r>
    </w:p>
    <w:p w14:paraId="50117A0A" w14:textId="77777777" w:rsidR="00D51063" w:rsidRPr="00BC31E0" w:rsidRDefault="00D51063" w:rsidP="00A33253">
      <w:pPr>
        <w:tabs>
          <w:tab w:val="left" w:pos="1680"/>
          <w:tab w:val="left" w:pos="3544"/>
        </w:tabs>
        <w:rPr>
          <w:rFonts w:asciiTheme="minorHAnsi" w:eastAsiaTheme="minorEastAsia" w:hAnsiTheme="minorHAnsi"/>
        </w:rPr>
      </w:pPr>
      <w:r w:rsidRPr="00BC31E0">
        <w:rPr>
          <w:rFonts w:asciiTheme="minorHAnsi" w:eastAsiaTheme="minorEastAsia" w:hAnsiTheme="minorHAnsi"/>
        </w:rPr>
        <w:tab/>
      </w:r>
      <w:r w:rsidRPr="00BC31E0">
        <w:rPr>
          <w:rFonts w:asciiTheme="minorHAnsi" w:eastAsiaTheme="minorEastAsia" w:hAnsiTheme="minorEastAsia"/>
        </w:rPr>
        <w:t>高梨　正祐</w:t>
      </w:r>
      <w:r w:rsidRPr="00BC31E0">
        <w:rPr>
          <w:rFonts w:asciiTheme="minorHAnsi" w:eastAsiaTheme="minorEastAsia" w:hAnsiTheme="minorHAnsi"/>
        </w:rPr>
        <w:tab/>
        <w:t>(</w:t>
      </w:r>
      <w:r w:rsidRPr="00BC31E0">
        <w:rPr>
          <w:rFonts w:asciiTheme="minorHAnsi" w:eastAsiaTheme="minorEastAsia" w:hAnsiTheme="minorEastAsia"/>
        </w:rPr>
        <w:t>株</w:t>
      </w:r>
      <w:r w:rsidRPr="00BC31E0">
        <w:rPr>
          <w:rFonts w:asciiTheme="minorHAnsi" w:eastAsiaTheme="minorEastAsia" w:hAnsiTheme="minorHAnsi"/>
        </w:rPr>
        <w:t>)IHI</w:t>
      </w:r>
      <w:r w:rsidRPr="00BC31E0">
        <w:rPr>
          <w:rFonts w:asciiTheme="minorHAnsi" w:eastAsiaTheme="minorEastAsia" w:hAnsiTheme="minorEastAsia"/>
        </w:rPr>
        <w:t>検査計測</w:t>
      </w:r>
    </w:p>
    <w:p w14:paraId="4983BBBB" w14:textId="77777777" w:rsidR="00D51063" w:rsidRPr="00BC31E0" w:rsidRDefault="00D51063" w:rsidP="00A33253">
      <w:pPr>
        <w:tabs>
          <w:tab w:val="left" w:pos="1680"/>
          <w:tab w:val="left" w:pos="3544"/>
        </w:tabs>
        <w:rPr>
          <w:rFonts w:asciiTheme="minorHAnsi" w:eastAsiaTheme="minorEastAsia" w:hAnsiTheme="minorHAnsi"/>
        </w:rPr>
      </w:pPr>
      <w:r w:rsidRPr="00BC31E0">
        <w:rPr>
          <w:rFonts w:asciiTheme="minorHAnsi" w:eastAsiaTheme="minorEastAsia" w:hAnsiTheme="minorHAnsi"/>
        </w:rPr>
        <w:t>(</w:t>
      </w:r>
      <w:r w:rsidRPr="00BC31E0">
        <w:rPr>
          <w:rFonts w:asciiTheme="minorHAnsi" w:eastAsiaTheme="minorEastAsia" w:hAnsiTheme="minorEastAsia"/>
        </w:rPr>
        <w:t>事務局</w:t>
      </w:r>
      <w:r w:rsidRPr="00BC31E0">
        <w:rPr>
          <w:rFonts w:asciiTheme="minorHAnsi" w:eastAsiaTheme="minorEastAsia" w:hAnsiTheme="minorHAnsi"/>
        </w:rPr>
        <w:t>)</w:t>
      </w:r>
      <w:r w:rsidR="00244820" w:rsidRPr="00BC31E0">
        <w:rPr>
          <w:rFonts w:asciiTheme="minorHAnsi" w:eastAsiaTheme="minorEastAsia" w:hAnsiTheme="minorEastAsia" w:hint="eastAsia"/>
        </w:rPr>
        <w:tab/>
      </w:r>
      <w:r w:rsidRPr="00BC31E0">
        <w:rPr>
          <w:rFonts w:asciiTheme="minorHAnsi" w:eastAsiaTheme="minorEastAsia" w:hAnsiTheme="minorEastAsia"/>
        </w:rPr>
        <w:t>丸尾　紀昭</w:t>
      </w:r>
      <w:r w:rsidRPr="00BC31E0">
        <w:rPr>
          <w:rFonts w:asciiTheme="minorHAnsi" w:eastAsiaTheme="minorEastAsia" w:hAnsiTheme="minorHAnsi"/>
        </w:rPr>
        <w:tab/>
        <w:t>(</w:t>
      </w:r>
      <w:r w:rsidRPr="00BC31E0">
        <w:rPr>
          <w:rFonts w:asciiTheme="minorHAnsi" w:eastAsiaTheme="minorEastAsia" w:hAnsiTheme="minorEastAsia"/>
        </w:rPr>
        <w:t>一社</w:t>
      </w:r>
      <w:r w:rsidRPr="00BC31E0">
        <w:rPr>
          <w:rFonts w:asciiTheme="minorHAnsi" w:eastAsiaTheme="minorEastAsia" w:hAnsiTheme="minorHAnsi"/>
        </w:rPr>
        <w:t>)</w:t>
      </w:r>
      <w:r w:rsidRPr="00BC31E0">
        <w:rPr>
          <w:rFonts w:asciiTheme="minorHAnsi" w:eastAsiaTheme="minorEastAsia" w:hAnsiTheme="minorEastAsia"/>
        </w:rPr>
        <w:t>日本高圧力技術協会</w:t>
      </w:r>
    </w:p>
    <w:p w14:paraId="5DC5D690" w14:textId="77777777" w:rsidR="00D51063" w:rsidRPr="00BC31E0" w:rsidRDefault="00D51063" w:rsidP="00A33253">
      <w:pPr>
        <w:tabs>
          <w:tab w:val="left" w:pos="1680"/>
          <w:tab w:val="left" w:pos="3544"/>
        </w:tabs>
        <w:rPr>
          <w:rFonts w:asciiTheme="minorHAnsi" w:eastAsiaTheme="minorEastAsia" w:hAnsiTheme="minorHAnsi"/>
        </w:rPr>
      </w:pPr>
      <w:r w:rsidRPr="00BC31E0">
        <w:rPr>
          <w:rFonts w:asciiTheme="minorHAnsi" w:eastAsiaTheme="minorEastAsia" w:hAnsiTheme="minorHAnsi"/>
        </w:rPr>
        <w:tab/>
      </w:r>
      <w:r w:rsidRPr="00BC31E0">
        <w:rPr>
          <w:rFonts w:asciiTheme="minorHAnsi" w:eastAsiaTheme="minorEastAsia" w:hAnsiTheme="minorEastAsia"/>
        </w:rPr>
        <w:t>田中</w:t>
      </w:r>
      <w:r w:rsidRPr="00BC31E0">
        <w:rPr>
          <w:rFonts w:asciiTheme="minorHAnsi" w:eastAsiaTheme="minorEastAsia" w:hAnsiTheme="minorHAnsi"/>
        </w:rPr>
        <w:t xml:space="preserve"> </w:t>
      </w:r>
      <w:r w:rsidRPr="00BC31E0">
        <w:rPr>
          <w:rFonts w:asciiTheme="minorHAnsi" w:eastAsiaTheme="minorEastAsia" w:hAnsiTheme="minorEastAsia"/>
        </w:rPr>
        <w:t>夕香子</w:t>
      </w:r>
      <w:r w:rsidRPr="00BC31E0">
        <w:rPr>
          <w:rFonts w:asciiTheme="minorHAnsi" w:eastAsiaTheme="minorEastAsia" w:hAnsiTheme="minorHAnsi"/>
        </w:rPr>
        <w:tab/>
        <w:t>(</w:t>
      </w:r>
      <w:r w:rsidRPr="00BC31E0">
        <w:rPr>
          <w:rFonts w:asciiTheme="minorHAnsi" w:eastAsiaTheme="minorEastAsia" w:hAnsiTheme="minorEastAsia"/>
        </w:rPr>
        <w:t>一社</w:t>
      </w:r>
      <w:r w:rsidRPr="00BC31E0">
        <w:rPr>
          <w:rFonts w:asciiTheme="minorHAnsi" w:eastAsiaTheme="minorEastAsia" w:hAnsiTheme="minorHAnsi"/>
        </w:rPr>
        <w:t>)</w:t>
      </w:r>
      <w:r w:rsidRPr="00BC31E0">
        <w:rPr>
          <w:rFonts w:asciiTheme="minorHAnsi" w:eastAsiaTheme="minorEastAsia" w:hAnsiTheme="minorEastAsia"/>
        </w:rPr>
        <w:t>日本高圧力技術協会</w:t>
      </w:r>
    </w:p>
    <w:p w14:paraId="09C54628" w14:textId="77777777" w:rsidR="00D51063" w:rsidRPr="00BC31E0" w:rsidRDefault="00A51873" w:rsidP="00D51063">
      <w:pPr>
        <w:pStyle w:val="a5"/>
        <w:tabs>
          <w:tab w:val="clear" w:pos="4252"/>
          <w:tab w:val="clear" w:pos="8504"/>
        </w:tabs>
        <w:snapToGrid/>
        <w:rPr>
          <w:rFonts w:asciiTheme="minorHAnsi" w:eastAsiaTheme="minorEastAsia" w:hAnsiTheme="minorHAnsi"/>
          <w:sz w:val="16"/>
          <w:szCs w:val="16"/>
          <w:u w:val="single"/>
        </w:rPr>
      </w:pPr>
      <w:r>
        <w:rPr>
          <w:rFonts w:asciiTheme="minorHAnsi" w:eastAsiaTheme="minorEastAsia" w:hAnsiTheme="minorHAnsi"/>
          <w:noProof/>
          <w:sz w:val="20"/>
          <w:szCs w:val="16"/>
          <w:u w:val="single"/>
        </w:rPr>
        <w:pict w14:anchorId="104D40D1">
          <v:line id="Line 5" o:spid="_x0000_s3526" style="position:absolute;left:0;text-align:left;z-index:251883008;visibility:visible" from="14.6pt,8.8pt" to="442.8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">
            <w10:anchorlock/>
          </v:line>
        </w:pict>
      </w:r>
    </w:p>
    <w:p w14:paraId="702118F6" w14:textId="77777777" w:rsidR="00D51063" w:rsidRPr="00BC31E0" w:rsidRDefault="00D51063" w:rsidP="00D51063">
      <w:pPr>
        <w:ind w:leftChars="700" w:left="1470"/>
        <w:rPr>
          <w:rFonts w:asciiTheme="minorHAnsi" w:eastAsiaTheme="minorEastAsia" w:hAnsiTheme="minorEastAsia"/>
        </w:rPr>
      </w:pPr>
      <w:r w:rsidRPr="00BC31E0">
        <w:rPr>
          <w:rFonts w:asciiTheme="minorHAnsi" w:eastAsiaTheme="minorEastAsia" w:hAnsiTheme="minorEastAsia"/>
        </w:rPr>
        <w:t>制定：</w:t>
      </w:r>
      <w:r w:rsidRPr="00BC31E0">
        <w:rPr>
          <w:rFonts w:asciiTheme="minorHAnsi" w:eastAsiaTheme="minorEastAsia" w:hAnsiTheme="minorHAnsi"/>
        </w:rPr>
        <w:t>2005</w:t>
      </w:r>
      <w:r w:rsidRPr="00BC31E0">
        <w:rPr>
          <w:rFonts w:asciiTheme="minorHAnsi" w:eastAsiaTheme="minorEastAsia" w:hAnsiTheme="minorEastAsia"/>
        </w:rPr>
        <w:t>年</w:t>
      </w:r>
      <w:r w:rsidRPr="00BC31E0">
        <w:rPr>
          <w:rFonts w:asciiTheme="minorHAnsi" w:eastAsiaTheme="minorEastAsia" w:hAnsiTheme="minorHAnsi"/>
        </w:rPr>
        <w:t>7</w:t>
      </w:r>
      <w:r w:rsidRPr="00BC31E0">
        <w:rPr>
          <w:rFonts w:asciiTheme="minorHAnsi" w:eastAsiaTheme="minorEastAsia" w:hAnsiTheme="minorEastAsia"/>
        </w:rPr>
        <w:t>月</w:t>
      </w:r>
      <w:r w:rsidRPr="00BC31E0">
        <w:rPr>
          <w:rFonts w:asciiTheme="minorHAnsi" w:eastAsiaTheme="minorEastAsia" w:hAnsiTheme="minorHAnsi"/>
        </w:rPr>
        <w:t>1</w:t>
      </w:r>
      <w:r w:rsidRPr="00BC31E0">
        <w:rPr>
          <w:rFonts w:asciiTheme="minorHAnsi" w:eastAsiaTheme="minorEastAsia" w:hAnsiTheme="minorEastAsia"/>
        </w:rPr>
        <w:t>日　　　改正：</w:t>
      </w:r>
      <w:r w:rsidRPr="00BC31E0">
        <w:rPr>
          <w:rFonts w:asciiTheme="minorHAnsi" w:eastAsiaTheme="minorEastAsia" w:hAnsiTheme="minorHAnsi"/>
        </w:rPr>
        <w:tab/>
        <w:t>20</w:t>
      </w:r>
      <w:r w:rsidR="00D6627E" w:rsidRPr="00BC31E0">
        <w:rPr>
          <w:rFonts w:asciiTheme="minorHAnsi" w:eastAsiaTheme="minorEastAsia" w:hAnsiTheme="minorHAnsi" w:hint="eastAsia"/>
        </w:rPr>
        <w:t>2X</w:t>
      </w:r>
      <w:r w:rsidRPr="00BC31E0">
        <w:rPr>
          <w:rFonts w:asciiTheme="minorHAnsi" w:eastAsiaTheme="minorEastAsia" w:hAnsiTheme="minorEastAsia"/>
        </w:rPr>
        <w:t>年</w:t>
      </w:r>
      <w:r w:rsidR="00D6627E" w:rsidRPr="00BC31E0">
        <w:rPr>
          <w:rFonts w:asciiTheme="minorHAnsi" w:eastAsiaTheme="minorEastAsia" w:hAnsiTheme="minorEastAsia" w:hint="eastAsia"/>
        </w:rPr>
        <w:t>XX</w:t>
      </w:r>
      <w:r w:rsidRPr="00BC31E0">
        <w:rPr>
          <w:rFonts w:asciiTheme="minorHAnsi" w:eastAsiaTheme="minorEastAsia" w:hAnsiTheme="minorEastAsia"/>
        </w:rPr>
        <w:t>月</w:t>
      </w:r>
      <w:r w:rsidR="00D6627E" w:rsidRPr="00BC31E0">
        <w:rPr>
          <w:rFonts w:asciiTheme="minorHAnsi" w:eastAsiaTheme="minorEastAsia" w:hAnsiTheme="minorEastAsia" w:hint="eastAsia"/>
        </w:rPr>
        <w:t>XX</w:t>
      </w:r>
      <w:r w:rsidRPr="00BC31E0">
        <w:rPr>
          <w:rFonts w:asciiTheme="minorHAnsi" w:eastAsiaTheme="minorEastAsia" w:hAnsiTheme="minorEastAsia"/>
        </w:rPr>
        <w:t>日</w:t>
      </w:r>
    </w:p>
    <w:p w14:paraId="40C78A8E" w14:textId="77777777" w:rsidR="00244820" w:rsidRPr="00BC31E0" w:rsidRDefault="00244820" w:rsidP="00244820">
      <w:pPr>
        <w:rPr>
          <w:rFonts w:asciiTheme="minorHAnsi" w:eastAsiaTheme="minorEastAsia" w:hAnsiTheme="minorHAnsi"/>
        </w:rPr>
      </w:pPr>
    </w:p>
    <w:p w14:paraId="421B46B9" w14:textId="77777777" w:rsidR="00D51063" w:rsidRPr="00BC31E0" w:rsidRDefault="00D51063" w:rsidP="00D51063">
      <w:pPr>
        <w:ind w:leftChars="700" w:left="1470"/>
        <w:rPr>
          <w:rFonts w:asciiTheme="minorHAnsi" w:eastAsiaTheme="minorEastAsia" w:hAnsiTheme="minorHAnsi"/>
        </w:rPr>
      </w:pPr>
      <w:r w:rsidRPr="00BC31E0">
        <w:rPr>
          <w:rFonts w:asciiTheme="minorHAnsi" w:eastAsiaTheme="minorEastAsia" w:hAnsiTheme="minorEastAsia"/>
        </w:rPr>
        <w:t>原案作成者：圧力容器規格委員会</w:t>
      </w:r>
      <w:r w:rsidRPr="00BC31E0">
        <w:rPr>
          <w:rFonts w:asciiTheme="minorHAnsi" w:eastAsiaTheme="minorEastAsia" w:hAnsiTheme="minorHAnsi"/>
        </w:rPr>
        <w:t>(</w:t>
      </w:r>
      <w:r w:rsidRPr="00BC31E0">
        <w:rPr>
          <w:rFonts w:asciiTheme="minorHAnsi" w:eastAsiaTheme="minorEastAsia" w:hAnsiTheme="minorEastAsia"/>
        </w:rPr>
        <w:t xml:space="preserve">委員長　</w:t>
      </w:r>
      <w:r w:rsidR="00D6627E" w:rsidRPr="00BC31E0">
        <w:rPr>
          <w:rFonts w:asciiTheme="minorHAnsi" w:eastAsiaTheme="minorEastAsia" w:hAnsiTheme="minorEastAsia" w:hint="eastAsia"/>
        </w:rPr>
        <w:t>弥富</w:t>
      </w:r>
      <w:r w:rsidRPr="00BC31E0">
        <w:rPr>
          <w:rFonts w:asciiTheme="minorHAnsi" w:eastAsiaTheme="minorEastAsia" w:hAnsiTheme="minorEastAsia"/>
        </w:rPr>
        <w:t xml:space="preserve">　</w:t>
      </w:r>
      <w:r w:rsidR="00D6627E" w:rsidRPr="00BC31E0">
        <w:rPr>
          <w:rFonts w:asciiTheme="minorHAnsi" w:eastAsiaTheme="minorEastAsia" w:cstheme="minorBidi" w:hint="eastAsia"/>
          <w:szCs w:val="22"/>
        </w:rPr>
        <w:t>政享</w:t>
      </w:r>
      <w:r w:rsidRPr="00BC31E0">
        <w:rPr>
          <w:rFonts w:asciiTheme="minorHAnsi" w:eastAsiaTheme="minorEastAsia" w:hAnsiTheme="minorHAnsi"/>
        </w:rPr>
        <w:t>)</w:t>
      </w:r>
    </w:p>
    <w:p w14:paraId="2B74F895" w14:textId="77777777" w:rsidR="004C4437" w:rsidRPr="00BC31E0" w:rsidRDefault="00D51063" w:rsidP="00225E53">
      <w:pPr>
        <w:ind w:leftChars="1320" w:left="2772"/>
        <w:rPr>
          <w:rFonts w:asciiTheme="minorHAnsi" w:eastAsiaTheme="minorEastAsia" w:hAnsiTheme="minorHAnsi"/>
        </w:rPr>
      </w:pPr>
      <w:r w:rsidRPr="00BC31E0">
        <w:rPr>
          <w:rFonts w:asciiTheme="minorHAnsi" w:eastAsiaTheme="minorEastAsia" w:hAnsiTheme="minorEastAsia"/>
        </w:rPr>
        <w:t>高圧容器規格分科会</w:t>
      </w:r>
      <w:r w:rsidRPr="00BC31E0">
        <w:rPr>
          <w:rFonts w:asciiTheme="minorHAnsi" w:eastAsiaTheme="minorEastAsia" w:hAnsiTheme="minorHAnsi"/>
        </w:rPr>
        <w:t>(</w:t>
      </w:r>
      <w:r w:rsidRPr="00BC31E0">
        <w:rPr>
          <w:rFonts w:asciiTheme="minorHAnsi" w:eastAsiaTheme="minorEastAsia" w:hAnsiTheme="minorEastAsia"/>
        </w:rPr>
        <w:t xml:space="preserve">主査　</w:t>
      </w:r>
      <w:r w:rsidR="00CD581A" w:rsidRPr="00BC31E0">
        <w:rPr>
          <w:rFonts w:asciiTheme="minorHAnsi" w:eastAsiaTheme="minorEastAsia" w:hAnsiTheme="minorEastAsia" w:hint="eastAsia"/>
        </w:rPr>
        <w:t xml:space="preserve">　</w:t>
      </w:r>
      <w:r w:rsidRPr="00BC31E0">
        <w:rPr>
          <w:rFonts w:asciiTheme="minorHAnsi" w:eastAsiaTheme="minorEastAsia" w:hAnsiTheme="minorEastAsia"/>
        </w:rPr>
        <w:t>寺田　進</w:t>
      </w:r>
      <w:r w:rsidRPr="00BC31E0">
        <w:rPr>
          <w:rFonts w:asciiTheme="minorHAnsi" w:eastAsiaTheme="minorEastAsia" w:hAnsiTheme="minorHAnsi"/>
        </w:rPr>
        <w:t>)</w:t>
      </w:r>
    </w:p>
    <w:p w14:paraId="417129A5" w14:textId="77777777" w:rsidR="00CD4F29" w:rsidRPr="00BC31E0" w:rsidRDefault="00CD4F29" w:rsidP="00D51063">
      <w:pPr>
        <w:rPr>
          <w:rFonts w:ascii="ＭＳ 明朝" w:hAnsi="ＭＳ 明朝"/>
        </w:rPr>
      </w:pPr>
    </w:p>
    <w:p w14:paraId="2D577DA7" w14:textId="77777777" w:rsidR="00534573" w:rsidRPr="00BC31E0" w:rsidRDefault="00534573" w:rsidP="00D51063">
      <w:pPr>
        <w:pStyle w:val="a5"/>
        <w:snapToGrid/>
        <w:ind w:firstLineChars="1200" w:firstLine="2520"/>
      </w:pPr>
      <w:r w:rsidRPr="00BC31E0">
        <w:rPr>
          <w:rFonts w:hint="eastAsia"/>
        </w:rPr>
        <w:t xml:space="preserve">　</w:t>
      </w:r>
    </w:p>
    <w:p w14:paraId="107C39ED" w14:textId="77777777" w:rsidR="00534573" w:rsidRPr="00BC31E0" w:rsidRDefault="00534573" w:rsidP="00E118CD">
      <w:pPr>
        <w:pStyle w:val="af1"/>
        <w:spacing w:line="240" w:lineRule="auto"/>
        <w:rPr>
          <w:szCs w:val="28"/>
        </w:rPr>
      </w:pPr>
      <w:r w:rsidRPr="00BC31E0">
        <w:br w:type="page"/>
      </w:r>
      <w:r w:rsidRPr="00BC31E0">
        <w:rPr>
          <w:szCs w:val="28"/>
        </w:rPr>
        <w:lastRenderedPageBreak/>
        <w:t>日本高圧力技術協会規格免責条項</w:t>
      </w:r>
    </w:p>
    <w:p w14:paraId="08C6ECCD" w14:textId="77777777" w:rsidR="00534573" w:rsidRPr="00BC31E0" w:rsidRDefault="00534573" w:rsidP="00125425">
      <w:pPr>
        <w:rPr>
          <w:b/>
          <w:bCs/>
        </w:rPr>
      </w:pPr>
    </w:p>
    <w:p w14:paraId="527734AF" w14:textId="77777777" w:rsidR="00534573" w:rsidRPr="00BC31E0" w:rsidRDefault="00534573" w:rsidP="00125425">
      <w:pPr>
        <w:ind w:firstLineChars="100" w:firstLine="210"/>
      </w:pPr>
      <w:r w:rsidRPr="00BC31E0">
        <w:t>この規格は</w:t>
      </w:r>
      <w:r w:rsidRPr="00BC31E0">
        <w:rPr>
          <w:rFonts w:hint="eastAsia"/>
        </w:rPr>
        <w:t>，特定の専門，業種，所属に偏ることなく広く各界から参加した専門知識と関心を持つ委員による審議を経て</w:t>
      </w:r>
      <w:r w:rsidRPr="00BC31E0">
        <w:t>(</w:t>
      </w:r>
      <w:r w:rsidR="000D787C" w:rsidRPr="00BC31E0">
        <w:rPr>
          <w:rFonts w:hint="eastAsia"/>
        </w:rPr>
        <w:t>一</w:t>
      </w:r>
      <w:r w:rsidRPr="00BC31E0">
        <w:t>社</w:t>
      </w:r>
      <w:r w:rsidRPr="00BC31E0">
        <w:t>)</w:t>
      </w:r>
      <w:r w:rsidRPr="00BC31E0">
        <w:t>日本高圧力技術協会が</w:t>
      </w:r>
      <w:r w:rsidRPr="00BC31E0">
        <w:rPr>
          <w:rFonts w:hint="eastAsia"/>
        </w:rPr>
        <w:t>制定した。</w:t>
      </w:r>
    </w:p>
    <w:p w14:paraId="422D10F7" w14:textId="77777777" w:rsidR="00534573" w:rsidRPr="00BC31E0" w:rsidRDefault="00534573" w:rsidP="00125425">
      <w:pPr>
        <w:ind w:firstLineChars="100" w:firstLine="210"/>
        <w:rPr>
          <w:kern w:val="21"/>
        </w:rPr>
      </w:pPr>
      <w:r w:rsidRPr="00BC31E0">
        <w:t>(</w:t>
      </w:r>
      <w:r w:rsidR="000D787C" w:rsidRPr="00BC31E0">
        <w:rPr>
          <w:rFonts w:hint="eastAsia"/>
        </w:rPr>
        <w:t>一</w:t>
      </w:r>
      <w:r w:rsidRPr="00BC31E0">
        <w:t>社</w:t>
      </w:r>
      <w:r w:rsidRPr="00BC31E0">
        <w:t>)</w:t>
      </w:r>
      <w:r w:rsidRPr="00BC31E0">
        <w:t>日本高圧力技術協会は</w:t>
      </w:r>
      <w:r w:rsidRPr="00BC31E0">
        <w:rPr>
          <w:rFonts w:hint="eastAsia"/>
        </w:rPr>
        <w:t>，</w:t>
      </w:r>
      <w:r w:rsidRPr="00BC31E0">
        <w:rPr>
          <w:kern w:val="21"/>
        </w:rPr>
        <w:t>この規格内容について説明する責任を持つが，この規格に従</w:t>
      </w:r>
      <w:r w:rsidRPr="00BC31E0">
        <w:rPr>
          <w:rFonts w:hint="eastAsia"/>
          <w:kern w:val="21"/>
        </w:rPr>
        <w:t>って行われた</w:t>
      </w:r>
      <w:r w:rsidRPr="00BC31E0">
        <w:rPr>
          <w:kern w:val="21"/>
        </w:rPr>
        <w:t>活動</w:t>
      </w:r>
      <w:r w:rsidRPr="00BC31E0">
        <w:rPr>
          <w:rFonts w:hint="eastAsia"/>
          <w:kern w:val="21"/>
        </w:rPr>
        <w:t>及び製造</w:t>
      </w:r>
      <w:r w:rsidRPr="00BC31E0">
        <w:rPr>
          <w:kern w:val="21"/>
        </w:rPr>
        <w:t>についてまで</w:t>
      </w:r>
      <w:r w:rsidRPr="00BC31E0">
        <w:rPr>
          <w:rFonts w:hint="eastAsia"/>
          <w:kern w:val="21"/>
        </w:rPr>
        <w:t>は</w:t>
      </w:r>
      <w:r w:rsidRPr="00BC31E0">
        <w:rPr>
          <w:kern w:val="21"/>
        </w:rPr>
        <w:t>保証</w:t>
      </w:r>
      <w:r w:rsidRPr="00BC31E0">
        <w:rPr>
          <w:rFonts w:hint="eastAsia"/>
          <w:kern w:val="21"/>
        </w:rPr>
        <w:t>し</w:t>
      </w:r>
      <w:r w:rsidRPr="00BC31E0">
        <w:rPr>
          <w:kern w:val="21"/>
        </w:rPr>
        <w:t>ない。</w:t>
      </w:r>
    </w:p>
    <w:p w14:paraId="55F0A314" w14:textId="77777777" w:rsidR="00534573" w:rsidRPr="00BC31E0" w:rsidRDefault="00534573" w:rsidP="00125425">
      <w:pPr>
        <w:ind w:firstLineChars="100" w:firstLine="210"/>
        <w:rPr>
          <w:kern w:val="21"/>
        </w:rPr>
      </w:pPr>
      <w:r w:rsidRPr="00BC31E0">
        <w:rPr>
          <w:rFonts w:hint="eastAsia"/>
          <w:kern w:val="21"/>
        </w:rPr>
        <w:t>(</w:t>
      </w:r>
      <w:r w:rsidR="000D787C" w:rsidRPr="00BC31E0">
        <w:rPr>
          <w:rFonts w:hint="eastAsia"/>
          <w:kern w:val="21"/>
        </w:rPr>
        <w:t>一</w:t>
      </w:r>
      <w:r w:rsidRPr="00BC31E0">
        <w:rPr>
          <w:kern w:val="21"/>
        </w:rPr>
        <w:t>社</w:t>
      </w:r>
      <w:r w:rsidRPr="00BC31E0">
        <w:rPr>
          <w:kern w:val="21"/>
        </w:rPr>
        <w:t>)</w:t>
      </w:r>
      <w:r w:rsidRPr="00BC31E0">
        <w:rPr>
          <w:kern w:val="21"/>
        </w:rPr>
        <w:t>日本高圧力技術協会は</w:t>
      </w:r>
      <w:r w:rsidRPr="00BC31E0">
        <w:rPr>
          <w:rFonts w:hint="eastAsia"/>
          <w:kern w:val="21"/>
        </w:rPr>
        <w:t>，</w:t>
      </w:r>
      <w:r w:rsidRPr="00BC31E0">
        <w:rPr>
          <w:kern w:val="21"/>
        </w:rPr>
        <w:t>この規格の利用の結果発生する第三者の知的財産権の侵害に対し補償する責任を負わない。この規格の使用者は</w:t>
      </w:r>
      <w:r w:rsidRPr="00BC31E0">
        <w:rPr>
          <w:rFonts w:hint="eastAsia"/>
          <w:kern w:val="21"/>
        </w:rPr>
        <w:t>，</w:t>
      </w:r>
      <w:r w:rsidRPr="00BC31E0">
        <w:rPr>
          <w:kern w:val="21"/>
        </w:rPr>
        <w:t>この規格に関連した活動の結果発生する第三者の知的財産権の侵害に対し補償する責任は使用者にあることを認識して，この規格を使用する責任を持つ。</w:t>
      </w:r>
    </w:p>
    <w:p w14:paraId="0BAD1DD2" w14:textId="77777777" w:rsidR="00534573" w:rsidRPr="00BC31E0" w:rsidRDefault="00534573" w:rsidP="00125425">
      <w:pPr>
        <w:ind w:firstLineChars="100" w:firstLine="210"/>
        <w:rPr>
          <w:kern w:val="21"/>
        </w:rPr>
      </w:pPr>
      <w:r w:rsidRPr="00BC31E0">
        <w:rPr>
          <w:kern w:val="21"/>
        </w:rPr>
        <w:t>なお，この規格の審議，制定に関係官庁，産業界の関係者が参加したことをもって，この規格が関係官庁及び産業界によって承認されたと考えてはならない。</w:t>
      </w:r>
    </w:p>
    <w:p w14:paraId="0B5DB5D1" w14:textId="77777777" w:rsidR="00125425" w:rsidRPr="00BC31E0" w:rsidRDefault="00125425" w:rsidP="00125425">
      <w:pPr>
        <w:ind w:firstLineChars="100" w:firstLine="210"/>
        <w:rPr>
          <w:kern w:val="21"/>
        </w:rPr>
      </w:pPr>
    </w:p>
    <w:p w14:paraId="2514D311" w14:textId="77777777" w:rsidR="00125425" w:rsidRPr="00BC31E0" w:rsidRDefault="00125425">
      <w:pPr>
        <w:widowControl/>
        <w:jc w:val="left"/>
        <w:rPr>
          <w:kern w:val="21"/>
        </w:rPr>
      </w:pPr>
      <w:r w:rsidRPr="00BC31E0">
        <w:rPr>
          <w:kern w:val="21"/>
        </w:rPr>
        <w:br w:type="page"/>
      </w:r>
    </w:p>
    <w:p w14:paraId="2AF1F93C" w14:textId="77777777" w:rsidR="00125425" w:rsidRPr="00BC31E0" w:rsidRDefault="00125425" w:rsidP="00125425">
      <w:pPr>
        <w:pStyle w:val="af1"/>
        <w:spacing w:line="240" w:lineRule="auto"/>
      </w:pPr>
      <w:r w:rsidRPr="00BC31E0">
        <w:rPr>
          <w:rFonts w:hint="eastAsia"/>
        </w:rPr>
        <w:lastRenderedPageBreak/>
        <w:t>アメリカ機械学会との著作権に関する同意事項</w:t>
      </w:r>
    </w:p>
    <w:p w14:paraId="1FF34645" w14:textId="77777777" w:rsidR="00125425" w:rsidRPr="00BC31E0" w:rsidRDefault="00125425" w:rsidP="00125425"/>
    <w:p w14:paraId="52DB85E1" w14:textId="77777777" w:rsidR="00125425" w:rsidRPr="00BC31E0" w:rsidRDefault="00125425" w:rsidP="00125425">
      <w:pPr>
        <w:ind w:firstLineChars="100" w:firstLine="210"/>
      </w:pPr>
      <w:r w:rsidRPr="00BC31E0">
        <w:t>The High Pre</w:t>
      </w:r>
      <w:r w:rsidRPr="00BC31E0">
        <w:rPr>
          <w:rFonts w:hint="eastAsia"/>
        </w:rPr>
        <w:t>ss</w:t>
      </w:r>
      <w:r w:rsidRPr="00BC31E0">
        <w:t>ure In</w:t>
      </w:r>
      <w:r w:rsidRPr="00BC31E0">
        <w:rPr>
          <w:rFonts w:hint="eastAsia"/>
        </w:rPr>
        <w:t>s</w:t>
      </w:r>
      <w:r w:rsidRPr="00BC31E0">
        <w:t>titute of Japan ha</w:t>
      </w:r>
      <w:r w:rsidRPr="00BC31E0">
        <w:rPr>
          <w:rFonts w:hint="eastAsia"/>
        </w:rPr>
        <w:t>s</w:t>
      </w:r>
      <w:r w:rsidRPr="00BC31E0">
        <w:t xml:space="preserve"> tran</w:t>
      </w:r>
      <w:r w:rsidRPr="00BC31E0">
        <w:rPr>
          <w:rFonts w:hint="eastAsia"/>
        </w:rPr>
        <w:t>s</w:t>
      </w:r>
      <w:r w:rsidRPr="00BC31E0">
        <w:t>lated portion</w:t>
      </w:r>
      <w:r w:rsidRPr="00BC31E0">
        <w:rPr>
          <w:rFonts w:hint="eastAsia"/>
        </w:rPr>
        <w:t>s</w:t>
      </w:r>
      <w:r w:rsidRPr="00BC31E0">
        <w:t xml:space="preserve"> of the ASME BPVC Section VIII</w:t>
      </w:r>
      <w:r w:rsidRPr="00BC31E0">
        <w:t>，</w:t>
      </w:r>
      <w:r w:rsidRPr="00BC31E0">
        <w:t>Divi</w:t>
      </w:r>
      <w:r w:rsidRPr="00BC31E0">
        <w:rPr>
          <w:rFonts w:hint="eastAsia"/>
        </w:rPr>
        <w:t>s</w:t>
      </w:r>
      <w:r w:rsidRPr="00BC31E0">
        <w:t>ion 3 - 2021 b</w:t>
      </w:r>
      <w:r w:rsidRPr="00BC31E0">
        <w:rPr>
          <w:rFonts w:hint="eastAsia"/>
        </w:rPr>
        <w:t>y</w:t>
      </w:r>
      <w:r w:rsidRPr="00BC31E0">
        <w:t xml:space="preserve"> </w:t>
      </w:r>
      <w:r w:rsidRPr="00BC31E0">
        <w:rPr>
          <w:rFonts w:hint="eastAsia"/>
        </w:rPr>
        <w:t>T</w:t>
      </w:r>
      <w:r w:rsidRPr="00BC31E0">
        <w:t>he American Societ</w:t>
      </w:r>
      <w:r w:rsidRPr="00BC31E0">
        <w:rPr>
          <w:rFonts w:hint="eastAsia"/>
        </w:rPr>
        <w:t>y</w:t>
      </w:r>
      <w:r w:rsidRPr="00BC31E0">
        <w:t xml:space="preserve"> of Mechanical Engineer</w:t>
      </w:r>
      <w:r w:rsidRPr="00BC31E0">
        <w:rPr>
          <w:rFonts w:hint="eastAsia"/>
        </w:rPr>
        <w:t xml:space="preserve">s, </w:t>
      </w:r>
      <w:r w:rsidRPr="00BC31E0">
        <w:t>with the prior written con</w:t>
      </w:r>
      <w:r w:rsidRPr="00BC31E0">
        <w:rPr>
          <w:rFonts w:hint="eastAsia"/>
        </w:rPr>
        <w:t>s</w:t>
      </w:r>
      <w:r w:rsidRPr="00BC31E0">
        <w:t>ent of the ASME Code</w:t>
      </w:r>
      <w:r w:rsidRPr="00BC31E0">
        <w:rPr>
          <w:rFonts w:hint="eastAsia"/>
        </w:rPr>
        <w:t>s</w:t>
      </w:r>
      <w:r w:rsidRPr="00BC31E0">
        <w:t xml:space="preserve"> &amp; Standard</w:t>
      </w:r>
      <w:r w:rsidRPr="00BC31E0">
        <w:rPr>
          <w:rFonts w:hint="eastAsia"/>
        </w:rPr>
        <w:t>s</w:t>
      </w:r>
      <w:r w:rsidRPr="00BC31E0">
        <w:t xml:space="preserve"> Department</w:t>
      </w:r>
      <w:r w:rsidRPr="00BC31E0">
        <w:rPr>
          <w:rFonts w:hint="eastAsia"/>
        </w:rPr>
        <w:t xml:space="preserve"> at t</w:t>
      </w:r>
      <w:r w:rsidRPr="00BC31E0">
        <w:t>hird</w:t>
      </w:r>
      <w:r w:rsidRPr="00BC31E0">
        <w:rPr>
          <w:rFonts w:hint="eastAsia"/>
        </w:rPr>
        <w:t xml:space="preserve"> issue in 20</w:t>
      </w:r>
      <w:r w:rsidRPr="00BC31E0">
        <w:t>2</w:t>
      </w:r>
      <w:r w:rsidR="00A70308" w:rsidRPr="00BC31E0">
        <w:rPr>
          <w:rFonts w:hint="eastAsia"/>
        </w:rPr>
        <w:t>3</w:t>
      </w:r>
      <w:r w:rsidRPr="00BC31E0">
        <w:rPr>
          <w:rFonts w:hint="eastAsia"/>
        </w:rPr>
        <w:t>.</w:t>
      </w:r>
    </w:p>
    <w:p w14:paraId="4AABE726" w14:textId="77777777" w:rsidR="00125425" w:rsidRPr="00BC31E0" w:rsidRDefault="00125425" w:rsidP="00125425">
      <w:pPr>
        <w:ind w:firstLineChars="100" w:firstLine="210"/>
      </w:pPr>
      <w:r w:rsidRPr="00BC31E0">
        <w:t>No additional tran</w:t>
      </w:r>
      <w:r w:rsidRPr="00BC31E0">
        <w:rPr>
          <w:rFonts w:hint="eastAsia"/>
        </w:rPr>
        <w:t>s</w:t>
      </w:r>
      <w:r w:rsidRPr="00BC31E0">
        <w:t>lation or reproduction ma</w:t>
      </w:r>
      <w:r w:rsidRPr="00BC31E0">
        <w:rPr>
          <w:rFonts w:hint="eastAsia"/>
        </w:rPr>
        <w:t>y</w:t>
      </w:r>
      <w:r w:rsidRPr="00BC31E0">
        <w:t xml:space="preserve"> be made of thi</w:t>
      </w:r>
      <w:r w:rsidRPr="00BC31E0">
        <w:rPr>
          <w:rFonts w:hint="eastAsia"/>
        </w:rPr>
        <w:t>s</w:t>
      </w:r>
      <w:r w:rsidRPr="00BC31E0">
        <w:t xml:space="preserve"> material without the prior written con</w:t>
      </w:r>
      <w:r w:rsidRPr="00BC31E0">
        <w:rPr>
          <w:rFonts w:hint="eastAsia"/>
        </w:rPr>
        <w:t>s</w:t>
      </w:r>
      <w:r w:rsidRPr="00BC31E0">
        <w:t>ent of ASME.</w:t>
      </w:r>
    </w:p>
    <w:p w14:paraId="3FCF718D" w14:textId="77777777" w:rsidR="00125425" w:rsidRPr="00BC31E0" w:rsidRDefault="00125425" w:rsidP="00125425">
      <w:pPr>
        <w:ind w:firstLine="100"/>
      </w:pPr>
    </w:p>
    <w:p w14:paraId="1443F269" w14:textId="77777777" w:rsidR="00125425" w:rsidRPr="00BC31E0" w:rsidRDefault="00125425" w:rsidP="00125425">
      <w:pPr>
        <w:ind w:firstLineChars="100" w:firstLine="210"/>
        <w:rPr>
          <w:rFonts w:cs="Century"/>
        </w:rPr>
      </w:pPr>
      <w:r w:rsidRPr="00BC31E0">
        <w:t>(</w:t>
      </w:r>
      <w:r w:rsidRPr="00BC31E0">
        <w:rPr>
          <w:rFonts w:hint="eastAsia"/>
        </w:rPr>
        <w:t>一</w:t>
      </w:r>
      <w:r w:rsidRPr="00BC31E0">
        <w:t>社</w:t>
      </w:r>
      <w:r w:rsidRPr="00BC31E0">
        <w:t>)</w:t>
      </w:r>
      <w:r w:rsidRPr="00BC31E0">
        <w:t>日本高圧力技術協会は，</w:t>
      </w:r>
      <w:r w:rsidRPr="00BC31E0">
        <w:rPr>
          <w:rFonts w:hint="eastAsia"/>
        </w:rPr>
        <w:t>20</w:t>
      </w:r>
      <w:r w:rsidR="00A70308" w:rsidRPr="00BC31E0">
        <w:t>2</w:t>
      </w:r>
      <w:r w:rsidR="00A70308" w:rsidRPr="00BC31E0">
        <w:rPr>
          <w:rFonts w:hint="eastAsia"/>
        </w:rPr>
        <w:t>3</w:t>
      </w:r>
      <w:r w:rsidRPr="00BC31E0">
        <w:rPr>
          <w:rFonts w:hint="eastAsia"/>
        </w:rPr>
        <w:t>年版発行時に</w:t>
      </w:r>
      <w:r w:rsidRPr="00BC31E0">
        <w:t>アメリカ機械学会</w:t>
      </w:r>
      <w:r w:rsidRPr="00BC31E0">
        <w:t>(ASME)</w:t>
      </w:r>
      <w:r w:rsidRPr="00BC31E0">
        <w:t>が著作権</w:t>
      </w:r>
      <w:r w:rsidRPr="00BC31E0">
        <w:t>(c</w:t>
      </w:r>
      <w:r w:rsidRPr="00BC31E0">
        <w:rPr>
          <w:rFonts w:hint="eastAsia"/>
        </w:rPr>
        <w:t>20</w:t>
      </w:r>
      <w:r w:rsidRPr="00BC31E0">
        <w:t>21)</w:t>
      </w:r>
      <w:r w:rsidRPr="00BC31E0">
        <w:t>を保有する</w:t>
      </w:r>
      <w:r w:rsidRPr="00BC31E0">
        <w:t>ASME</w:t>
      </w:r>
      <w:r w:rsidRPr="00BC31E0">
        <w:rPr>
          <w:rFonts w:hint="eastAsia"/>
        </w:rPr>
        <w:t>ボイラ及び</w:t>
      </w:r>
      <w:r w:rsidRPr="00BC31E0">
        <w:t>圧力容器規格，</w:t>
      </w:r>
      <w:r w:rsidRPr="00BC31E0">
        <w:t>ASME CODE S</w:t>
      </w:r>
      <w:r w:rsidRPr="00BC31E0">
        <w:rPr>
          <w:rFonts w:hint="eastAsia"/>
        </w:rPr>
        <w:t>ection VIII</w:t>
      </w:r>
      <w:r w:rsidRPr="00BC31E0">
        <w:rPr>
          <w:rFonts w:cs="Century"/>
        </w:rPr>
        <w:t xml:space="preserve"> Divi</w:t>
      </w:r>
      <w:r w:rsidRPr="00BC31E0">
        <w:rPr>
          <w:rFonts w:cs="Century" w:hint="eastAsia"/>
        </w:rPr>
        <w:t>s</w:t>
      </w:r>
      <w:r w:rsidRPr="00BC31E0">
        <w:rPr>
          <w:rFonts w:cs="Century"/>
        </w:rPr>
        <w:t>ion 3</w:t>
      </w:r>
      <w:r w:rsidRPr="00BC31E0">
        <w:rPr>
          <w:rFonts w:cs="Century" w:hint="eastAsia"/>
        </w:rPr>
        <w:t>:20</w:t>
      </w:r>
      <w:r w:rsidRPr="00BC31E0">
        <w:rPr>
          <w:rFonts w:cs="Century"/>
        </w:rPr>
        <w:t xml:space="preserve">21 </w:t>
      </w:r>
      <w:r w:rsidRPr="00BC31E0">
        <w:t>の一部を</w:t>
      </w:r>
      <w:r w:rsidRPr="00BC31E0">
        <w:rPr>
          <w:rFonts w:hint="eastAsia"/>
        </w:rPr>
        <w:t>ASME</w:t>
      </w:r>
      <w:r w:rsidRPr="00BC31E0">
        <w:rPr>
          <w:rFonts w:hint="eastAsia"/>
        </w:rPr>
        <w:t>基準規格部</w:t>
      </w:r>
      <w:r w:rsidRPr="00BC31E0">
        <w:t>の事前の文書による同意を得て翻訳した。</w:t>
      </w:r>
      <w:r w:rsidRPr="00BC31E0">
        <w:t>ASME</w:t>
      </w:r>
      <w:r w:rsidRPr="00BC31E0">
        <w:t>の事前の書面による同意</w:t>
      </w:r>
      <w:r w:rsidRPr="00BC31E0">
        <w:rPr>
          <w:rFonts w:hint="eastAsia"/>
        </w:rPr>
        <w:t>なしに，</w:t>
      </w:r>
      <w:r w:rsidRPr="00BC31E0">
        <w:t>ASME CODE S</w:t>
      </w:r>
      <w:r w:rsidRPr="00BC31E0">
        <w:rPr>
          <w:rFonts w:hint="eastAsia"/>
        </w:rPr>
        <w:t>ection VIII</w:t>
      </w:r>
      <w:r w:rsidRPr="00BC31E0">
        <w:rPr>
          <w:rFonts w:cs="Century"/>
        </w:rPr>
        <w:t xml:space="preserve"> Divi</w:t>
      </w:r>
      <w:r w:rsidRPr="00BC31E0">
        <w:rPr>
          <w:rFonts w:cs="Century" w:hint="eastAsia"/>
        </w:rPr>
        <w:t>s</w:t>
      </w:r>
      <w:r w:rsidRPr="00BC31E0">
        <w:rPr>
          <w:rFonts w:cs="Century"/>
        </w:rPr>
        <w:t>ion</w:t>
      </w:r>
      <w:r w:rsidRPr="00BC31E0">
        <w:rPr>
          <w:rFonts w:cs="Century" w:hint="eastAsia"/>
        </w:rPr>
        <w:t xml:space="preserve"> 3</w:t>
      </w:r>
      <w:r w:rsidRPr="00BC31E0">
        <w:rPr>
          <w:rFonts w:cs="Century" w:hint="eastAsia"/>
        </w:rPr>
        <w:t>より引用した部分の追加の翻訳又は複写を行ってはならない。</w:t>
      </w:r>
    </w:p>
    <w:p w14:paraId="0DB764DD" w14:textId="77777777" w:rsidR="00125425" w:rsidRPr="00BC31E0" w:rsidRDefault="00125425" w:rsidP="00125425">
      <w:pPr>
        <w:ind w:firstLineChars="100" w:firstLine="210"/>
        <w:rPr>
          <w:rFonts w:cs="Century"/>
        </w:rPr>
      </w:pPr>
    </w:p>
    <w:p w14:paraId="4FA52709" w14:textId="77777777" w:rsidR="00534573" w:rsidRPr="00BC31E0" w:rsidRDefault="00125425" w:rsidP="00125425">
      <w:pPr>
        <w:ind w:firstLineChars="100" w:firstLine="210"/>
        <w:rPr>
          <w:kern w:val="21"/>
        </w:rPr>
      </w:pPr>
      <w:r w:rsidRPr="00BC31E0">
        <w:rPr>
          <w:rFonts w:cs="Century" w:hint="eastAsia"/>
        </w:rPr>
        <w:t>なお，この規格で</w:t>
      </w:r>
      <w:r w:rsidRPr="00BC31E0">
        <w:rPr>
          <w:rFonts w:ascii="ＭＳ 明朝" w:hAnsi="ＭＳ 明朝" w:hint="eastAsia"/>
        </w:rPr>
        <w:t>†の印を施している箇所は，</w:t>
      </w:r>
      <w:r w:rsidRPr="00BC31E0">
        <w:t>ASME CODE S</w:t>
      </w:r>
      <w:r w:rsidRPr="00BC31E0">
        <w:rPr>
          <w:rFonts w:hint="eastAsia"/>
        </w:rPr>
        <w:t>ection VIII</w:t>
      </w:r>
      <w:r w:rsidRPr="00BC31E0">
        <w:rPr>
          <w:rFonts w:cs="Century"/>
        </w:rPr>
        <w:t xml:space="preserve"> Divi</w:t>
      </w:r>
      <w:r w:rsidRPr="00BC31E0">
        <w:rPr>
          <w:rFonts w:cs="Century" w:hint="eastAsia"/>
        </w:rPr>
        <w:t>s</w:t>
      </w:r>
      <w:r w:rsidRPr="00BC31E0">
        <w:rPr>
          <w:rFonts w:cs="Century"/>
        </w:rPr>
        <w:t xml:space="preserve">ion 3 </w:t>
      </w:r>
      <w:r w:rsidRPr="00BC31E0">
        <w:rPr>
          <w:rFonts w:cs="Century" w:hint="eastAsia"/>
        </w:rPr>
        <w:t>の翻訳又は複写を示している。</w:t>
      </w:r>
    </w:p>
    <w:p w14:paraId="0DD75951" w14:textId="77777777" w:rsidR="00320384" w:rsidRPr="00BC31E0" w:rsidRDefault="00320384" w:rsidP="00125425">
      <w:pPr>
        <w:rPr>
          <w:kern w:val="21"/>
        </w:rPr>
      </w:pPr>
    </w:p>
    <w:p w14:paraId="198A3220" w14:textId="77777777" w:rsidR="00534573" w:rsidRPr="00BC31E0" w:rsidRDefault="00534573" w:rsidP="00125425">
      <w:pPr>
        <w:rPr>
          <w:kern w:val="21"/>
        </w:rPr>
      </w:pPr>
      <w:r w:rsidRPr="00BC31E0">
        <w:rPr>
          <w:kern w:val="21"/>
        </w:rPr>
        <w:br w:type="page"/>
      </w:r>
    </w:p>
    <w:p w14:paraId="65B1A3DB" w14:textId="77777777" w:rsidR="00125425" w:rsidRPr="00BC31E0" w:rsidRDefault="00125425" w:rsidP="00186DEF">
      <w:pPr>
        <w:jc w:val="center"/>
        <w:rPr>
          <w:rFonts w:eastAsia="ＭＳ ゴシック"/>
          <w:b/>
          <w:kern w:val="21"/>
          <w:sz w:val="28"/>
          <w:szCs w:val="28"/>
        </w:rPr>
      </w:pPr>
      <w:r w:rsidRPr="00BC31E0">
        <w:rPr>
          <w:rFonts w:eastAsia="ＭＳ ゴシック" w:hint="eastAsia"/>
          <w:b/>
          <w:kern w:val="21"/>
          <w:sz w:val="28"/>
          <w:szCs w:val="28"/>
        </w:rPr>
        <w:lastRenderedPageBreak/>
        <w:t>高圧ガス保安協会との著作権に関する同意事項</w:t>
      </w:r>
    </w:p>
    <w:p w14:paraId="6AE7E52B" w14:textId="77777777" w:rsidR="00125425" w:rsidRPr="00BC31E0" w:rsidRDefault="00125425" w:rsidP="00C412B8">
      <w:pPr>
        <w:jc w:val="left"/>
        <w:rPr>
          <w:rFonts w:asciiTheme="minorEastAsia" w:eastAsiaTheme="minorEastAsia" w:hAnsiTheme="minorEastAsia"/>
          <w:kern w:val="21"/>
        </w:rPr>
      </w:pPr>
    </w:p>
    <w:p w14:paraId="5D4F8FF1" w14:textId="77777777" w:rsidR="00624FF9" w:rsidRPr="00BC31E0" w:rsidRDefault="00125425" w:rsidP="00C412B8">
      <w:pPr>
        <w:ind w:firstLineChars="100" w:firstLine="210"/>
        <w:rPr>
          <w:kern w:val="21"/>
        </w:rPr>
      </w:pPr>
      <w:r w:rsidRPr="00BC31E0">
        <w:rPr>
          <w:rFonts w:hint="eastAsia"/>
          <w:kern w:val="21"/>
        </w:rPr>
        <w:t>(</w:t>
      </w:r>
      <w:r w:rsidRPr="00BC31E0">
        <w:rPr>
          <w:rFonts w:hint="eastAsia"/>
          <w:kern w:val="21"/>
        </w:rPr>
        <w:t>一社</w:t>
      </w:r>
      <w:r w:rsidRPr="00BC31E0">
        <w:rPr>
          <w:rFonts w:hint="eastAsia"/>
          <w:kern w:val="21"/>
        </w:rPr>
        <w:t>)</w:t>
      </w:r>
      <w:r w:rsidRPr="00BC31E0">
        <w:rPr>
          <w:rFonts w:hint="eastAsia"/>
          <w:kern w:val="21"/>
        </w:rPr>
        <w:t>日本高圧力技術協会は，</w:t>
      </w:r>
      <w:r w:rsidRPr="00BC31E0">
        <w:rPr>
          <w:rFonts w:hint="eastAsia"/>
          <w:kern w:val="21"/>
        </w:rPr>
        <w:t>202</w:t>
      </w:r>
      <w:r w:rsidR="009D412E" w:rsidRPr="00BC31E0">
        <w:rPr>
          <w:rFonts w:hint="eastAsia"/>
          <w:kern w:val="21"/>
        </w:rPr>
        <w:t>3</w:t>
      </w:r>
      <w:r w:rsidRPr="00BC31E0">
        <w:rPr>
          <w:rFonts w:hint="eastAsia"/>
          <w:kern w:val="21"/>
        </w:rPr>
        <w:t>年版発行時に高圧ガス保安協会が著作権を保有する超高圧ガス設備に関する基準</w:t>
      </w:r>
      <w:r w:rsidRPr="00BC31E0">
        <w:rPr>
          <w:rFonts w:hint="eastAsia"/>
          <w:kern w:val="21"/>
        </w:rPr>
        <w:t>KHKS 0220(2004)</w:t>
      </w:r>
      <w:r w:rsidRPr="00BC31E0">
        <w:rPr>
          <w:rFonts w:hint="eastAsia"/>
          <w:kern w:val="21"/>
        </w:rPr>
        <w:t>及び</w:t>
      </w:r>
      <w:r w:rsidRPr="00BC31E0">
        <w:rPr>
          <w:kern w:val="21"/>
        </w:rPr>
        <w:t>KHKS 0220(2020)</w:t>
      </w:r>
      <w:r w:rsidRPr="00BC31E0">
        <w:rPr>
          <w:rFonts w:hint="eastAsia"/>
          <w:kern w:val="21"/>
        </w:rPr>
        <w:t>の下記の図及び規定内容を高圧ガス保安協会の事前の文書による同意を得て転載した。高圧ガス保安協会の事前の書面による同意なしに，超高圧ガス設備に関する基準より</w:t>
      </w:r>
      <w:r w:rsidR="00F933D0" w:rsidRPr="00BC31E0">
        <w:rPr>
          <w:rFonts w:hint="eastAsia"/>
          <w:kern w:val="21"/>
        </w:rPr>
        <w:t>転載</w:t>
      </w:r>
      <w:r w:rsidRPr="00BC31E0">
        <w:rPr>
          <w:rFonts w:hint="eastAsia"/>
          <w:kern w:val="21"/>
        </w:rPr>
        <w:t>した部分の翻訳又は複写を行ってはならない。</w:t>
      </w:r>
    </w:p>
    <w:p w14:paraId="5051EAFD" w14:textId="77777777" w:rsidR="00125425" w:rsidRPr="00BC31E0" w:rsidRDefault="00125425" w:rsidP="00C412B8">
      <w:pPr>
        <w:widowControl/>
        <w:ind w:firstLineChars="100" w:firstLine="210"/>
        <w:jc w:val="left"/>
        <w:rPr>
          <w:rFonts w:asciiTheme="minorEastAsia" w:eastAsiaTheme="minorEastAsia" w:hAnsiTheme="minorEastAsia"/>
          <w:kern w:val="21"/>
        </w:rPr>
      </w:pPr>
    </w:p>
    <w:tbl>
      <w:tblPr>
        <w:tblStyle w:val="241"/>
        <w:tblpPr w:leftFromText="142" w:rightFromText="142" w:vertAnchor="text" w:tblpXSpec="center" w:tblpY="1"/>
        <w:tblW w:w="0" w:type="auto"/>
        <w:jc w:val="center"/>
        <w:tblLook w:val="04A0" w:firstRow="1" w:lastRow="0" w:firstColumn="1" w:lastColumn="0" w:noHBand="0" w:noVBand="1"/>
      </w:tblPr>
      <w:tblGrid>
        <w:gridCol w:w="3652"/>
        <w:gridCol w:w="2693"/>
        <w:gridCol w:w="2694"/>
      </w:tblGrid>
      <w:tr w:rsidR="002D7C56" w:rsidRPr="00BC31E0" w14:paraId="3C0C8129" w14:textId="77777777" w:rsidTr="00BF64F9">
        <w:trPr>
          <w:jc w:val="center"/>
        </w:trPr>
        <w:tc>
          <w:tcPr>
            <w:tcW w:w="3652" w:type="dxa"/>
            <w:vAlign w:val="center"/>
          </w:tcPr>
          <w:p w14:paraId="71B0CEF6" w14:textId="77777777" w:rsidR="002D7C56" w:rsidRPr="00BC31E0" w:rsidRDefault="002D7C56" w:rsidP="00C412B8">
            <w:pPr>
              <w:spacing w:line="240" w:lineRule="auto"/>
              <w:jc w:val="center"/>
              <w:rPr>
                <w:kern w:val="21"/>
              </w:rPr>
            </w:pPr>
            <w:r w:rsidRPr="00BC31E0">
              <w:rPr>
                <w:rFonts w:hint="eastAsia"/>
                <w:kern w:val="21"/>
              </w:rPr>
              <w:t>HPIS C</w:t>
            </w:r>
            <w:r w:rsidRPr="00BC31E0">
              <w:rPr>
                <w:kern w:val="21"/>
              </w:rPr>
              <w:t xml:space="preserve"> </w:t>
            </w:r>
            <w:r w:rsidRPr="00BC31E0">
              <w:rPr>
                <w:rFonts w:hint="eastAsia"/>
                <w:kern w:val="21"/>
              </w:rPr>
              <w:t>106:20</w:t>
            </w:r>
            <w:r w:rsidR="007B7B21" w:rsidRPr="00BC31E0">
              <w:rPr>
                <w:kern w:val="21"/>
              </w:rPr>
              <w:t>XX</w:t>
            </w:r>
          </w:p>
        </w:tc>
        <w:tc>
          <w:tcPr>
            <w:tcW w:w="2693" w:type="dxa"/>
            <w:vAlign w:val="center"/>
          </w:tcPr>
          <w:p w14:paraId="2700B884" w14:textId="77777777" w:rsidR="002D7C56" w:rsidRPr="00BC31E0" w:rsidRDefault="002D7C56" w:rsidP="00C412B8">
            <w:pPr>
              <w:spacing w:line="240" w:lineRule="auto"/>
              <w:jc w:val="center"/>
              <w:rPr>
                <w:kern w:val="21"/>
              </w:rPr>
            </w:pPr>
            <w:r w:rsidRPr="00BC31E0">
              <w:rPr>
                <w:rFonts w:hint="eastAsia"/>
                <w:kern w:val="21"/>
              </w:rPr>
              <w:t>KHKS 0220(2004)</w:t>
            </w:r>
          </w:p>
        </w:tc>
        <w:tc>
          <w:tcPr>
            <w:tcW w:w="2694" w:type="dxa"/>
            <w:vAlign w:val="center"/>
          </w:tcPr>
          <w:p w14:paraId="61B37140" w14:textId="77777777" w:rsidR="002D7C56" w:rsidRPr="00BC31E0" w:rsidRDefault="002D7C56" w:rsidP="00C412B8">
            <w:pPr>
              <w:spacing w:line="240" w:lineRule="auto"/>
              <w:jc w:val="center"/>
              <w:rPr>
                <w:kern w:val="21"/>
              </w:rPr>
            </w:pPr>
            <w:r w:rsidRPr="00BC31E0">
              <w:rPr>
                <w:rFonts w:hint="eastAsia"/>
                <w:kern w:val="21"/>
              </w:rPr>
              <w:t>KHKS 0220(20</w:t>
            </w:r>
            <w:r w:rsidRPr="00BC31E0">
              <w:rPr>
                <w:kern w:val="21"/>
              </w:rPr>
              <w:t>2</w:t>
            </w:r>
            <w:r w:rsidRPr="00BC31E0">
              <w:rPr>
                <w:rFonts w:hint="eastAsia"/>
                <w:kern w:val="21"/>
              </w:rPr>
              <w:t>0)</w:t>
            </w:r>
          </w:p>
        </w:tc>
      </w:tr>
      <w:tr w:rsidR="002D7C56" w:rsidRPr="00BC31E0" w14:paraId="61E25023" w14:textId="77777777" w:rsidTr="00BF64F9">
        <w:trPr>
          <w:jc w:val="center"/>
        </w:trPr>
        <w:tc>
          <w:tcPr>
            <w:tcW w:w="3652" w:type="dxa"/>
            <w:vAlign w:val="center"/>
          </w:tcPr>
          <w:p w14:paraId="46C3E4BA" w14:textId="77777777" w:rsidR="002D7C56" w:rsidRPr="00BC31E0" w:rsidRDefault="002D7C56" w:rsidP="00C412B8">
            <w:pPr>
              <w:spacing w:line="240" w:lineRule="auto"/>
              <w:rPr>
                <w:kern w:val="21"/>
              </w:rPr>
            </w:pPr>
            <w:r w:rsidRPr="00BC31E0">
              <w:rPr>
                <w:rFonts w:hint="eastAsia"/>
                <w:kern w:val="21"/>
              </w:rPr>
              <w:t>P</w:t>
            </w:r>
            <w:r w:rsidRPr="00BC31E0">
              <w:rPr>
                <w:kern w:val="21"/>
              </w:rPr>
              <w:t>.22</w:t>
            </w:r>
            <w:r w:rsidRPr="00BC31E0">
              <w:rPr>
                <w:rFonts w:hint="eastAsia"/>
                <w:kern w:val="21"/>
              </w:rPr>
              <w:t>及び</w:t>
            </w:r>
            <w:r w:rsidRPr="00BC31E0">
              <w:rPr>
                <w:rFonts w:hint="eastAsia"/>
                <w:kern w:val="21"/>
              </w:rPr>
              <w:t>P.</w:t>
            </w:r>
            <w:r w:rsidRPr="00BC31E0">
              <w:rPr>
                <w:kern w:val="21"/>
              </w:rPr>
              <w:t xml:space="preserve"> 23</w:t>
            </w:r>
            <w:r w:rsidRPr="00BC31E0">
              <w:rPr>
                <w:rFonts w:hint="eastAsia"/>
                <w:kern w:val="21"/>
              </w:rPr>
              <w:t>，</w:t>
            </w:r>
            <w:r w:rsidRPr="00BC31E0">
              <w:rPr>
                <w:rFonts w:hint="eastAsia"/>
                <w:kern w:val="21"/>
              </w:rPr>
              <w:t>5</w:t>
            </w:r>
            <w:r w:rsidRPr="00BC31E0">
              <w:rPr>
                <w:kern w:val="21"/>
              </w:rPr>
              <w:t>.4</w:t>
            </w:r>
            <w:r w:rsidRPr="00BC31E0">
              <w:rPr>
                <w:rFonts w:asciiTheme="minorEastAsia" w:eastAsiaTheme="minorEastAsia" w:hAnsiTheme="minorEastAsia"/>
                <w:kern w:val="21"/>
              </w:rPr>
              <w:t xml:space="preserve"> </w:t>
            </w:r>
            <w:r w:rsidRPr="00BC31E0">
              <w:rPr>
                <w:kern w:val="21"/>
              </w:rPr>
              <w:t>f)</w:t>
            </w:r>
          </w:p>
          <w:p w14:paraId="642A7D73" w14:textId="77777777" w:rsidR="002D7C56" w:rsidRPr="00BC31E0" w:rsidRDefault="002D7C56" w:rsidP="00C412B8">
            <w:pPr>
              <w:spacing w:line="240" w:lineRule="auto"/>
              <w:rPr>
                <w:kern w:val="21"/>
              </w:rPr>
            </w:pPr>
            <w:r w:rsidRPr="00BC31E0">
              <w:rPr>
                <w:kern w:val="21"/>
              </w:rPr>
              <w:t>SUS304</w:t>
            </w:r>
            <w:r w:rsidRPr="00BC31E0">
              <w:rPr>
                <w:rFonts w:hint="eastAsia"/>
                <w:kern w:val="21"/>
              </w:rPr>
              <w:t>及び</w:t>
            </w:r>
            <w:r w:rsidRPr="00BC31E0">
              <w:rPr>
                <w:kern w:val="21"/>
              </w:rPr>
              <w:t>SUS316</w:t>
            </w:r>
            <w:r w:rsidRPr="00BC31E0">
              <w:rPr>
                <w:rFonts w:hint="eastAsia"/>
                <w:kern w:val="21"/>
              </w:rPr>
              <w:t>冷間加工材の強度低下係数</w:t>
            </w:r>
          </w:p>
          <w:p w14:paraId="4D1B825D" w14:textId="77777777" w:rsidR="002D7C56" w:rsidRPr="00BC31E0" w:rsidRDefault="002D7C56" w:rsidP="00C412B8">
            <w:pPr>
              <w:spacing w:line="240" w:lineRule="auto"/>
              <w:rPr>
                <w:kern w:val="21"/>
              </w:rPr>
            </w:pPr>
            <w:r w:rsidRPr="00BC31E0">
              <w:rPr>
                <w:rFonts w:hint="eastAsia"/>
                <w:kern w:val="21"/>
              </w:rPr>
              <w:t>式</w:t>
            </w:r>
            <w:r w:rsidRPr="00BC31E0">
              <w:rPr>
                <w:rFonts w:hint="eastAsia"/>
                <w:kern w:val="21"/>
              </w:rPr>
              <w:t>(</w:t>
            </w:r>
            <w:r w:rsidRPr="00BC31E0">
              <w:rPr>
                <w:kern w:val="21"/>
              </w:rPr>
              <w:t>5.4.2)</w:t>
            </w:r>
            <w:r w:rsidRPr="00BC31E0">
              <w:rPr>
                <w:rFonts w:hint="eastAsia"/>
              </w:rPr>
              <w:t xml:space="preserve"> </w:t>
            </w:r>
            <w:r w:rsidRPr="00BC31E0">
              <w:rPr>
                <w:rFonts w:hint="eastAsia"/>
              </w:rPr>
              <w:t>，式</w:t>
            </w:r>
            <w:r w:rsidRPr="00BC31E0">
              <w:rPr>
                <w:kern w:val="21"/>
              </w:rPr>
              <w:t>(5.4.3)</w:t>
            </w:r>
            <w:r w:rsidRPr="00BC31E0">
              <w:rPr>
                <w:rFonts w:hint="eastAsia"/>
              </w:rPr>
              <w:t xml:space="preserve"> </w:t>
            </w:r>
            <w:r w:rsidRPr="00BC31E0">
              <w:rPr>
                <w:rFonts w:hint="eastAsia"/>
              </w:rPr>
              <w:t>，</w:t>
            </w:r>
            <w:r w:rsidRPr="00BC31E0">
              <w:rPr>
                <w:rFonts w:hint="eastAsia"/>
                <w:kern w:val="21"/>
              </w:rPr>
              <w:t>式</w:t>
            </w:r>
            <w:r w:rsidRPr="00BC31E0">
              <w:rPr>
                <w:kern w:val="21"/>
              </w:rPr>
              <w:t>(5.4.6)</w:t>
            </w:r>
            <w:r w:rsidRPr="00BC31E0">
              <w:rPr>
                <w:rFonts w:hint="eastAsia"/>
              </w:rPr>
              <w:t xml:space="preserve"> </w:t>
            </w:r>
            <w:r w:rsidRPr="00BC31E0">
              <w:rPr>
                <w:rFonts w:hint="eastAsia"/>
              </w:rPr>
              <w:t>，</w:t>
            </w:r>
            <w:r w:rsidRPr="00BC31E0">
              <w:rPr>
                <w:rFonts w:hint="eastAsia"/>
                <w:kern w:val="21"/>
              </w:rPr>
              <w:t>式</w:t>
            </w:r>
            <w:r w:rsidRPr="00BC31E0">
              <w:rPr>
                <w:kern w:val="21"/>
              </w:rPr>
              <w:t>(5.4.7)</w:t>
            </w:r>
          </w:p>
        </w:tc>
        <w:tc>
          <w:tcPr>
            <w:tcW w:w="2693" w:type="dxa"/>
            <w:vAlign w:val="center"/>
          </w:tcPr>
          <w:p w14:paraId="3364FE9B" w14:textId="77777777" w:rsidR="002D7C56" w:rsidRPr="00BC31E0" w:rsidRDefault="002D7C56" w:rsidP="00C412B8">
            <w:pPr>
              <w:spacing w:line="240" w:lineRule="auto"/>
              <w:jc w:val="center"/>
              <w:rPr>
                <w:kern w:val="21"/>
              </w:rPr>
            </w:pPr>
            <w:r w:rsidRPr="00BC31E0">
              <w:rPr>
                <w:rFonts w:hint="eastAsia"/>
                <w:kern w:val="21"/>
              </w:rPr>
              <w:t>－</w:t>
            </w:r>
          </w:p>
        </w:tc>
        <w:tc>
          <w:tcPr>
            <w:tcW w:w="2694" w:type="dxa"/>
            <w:vAlign w:val="center"/>
          </w:tcPr>
          <w:p w14:paraId="44884B76" w14:textId="77777777" w:rsidR="00E866C8" w:rsidRPr="00BC31E0" w:rsidRDefault="002D7C56" w:rsidP="00C412B8">
            <w:pPr>
              <w:spacing w:line="240" w:lineRule="auto"/>
              <w:rPr>
                <w:kern w:val="21"/>
              </w:rPr>
            </w:pPr>
            <w:r w:rsidRPr="00BC31E0">
              <w:rPr>
                <w:kern w:val="21"/>
              </w:rPr>
              <w:t>P.</w:t>
            </w:r>
            <w:r w:rsidRPr="00BC31E0">
              <w:rPr>
                <w:rFonts w:hint="eastAsia"/>
                <w:kern w:val="21"/>
              </w:rPr>
              <w:t>6</w:t>
            </w:r>
            <w:r w:rsidRPr="00BC31E0">
              <w:rPr>
                <w:kern w:val="21"/>
              </w:rPr>
              <w:t>1</w:t>
            </w:r>
            <w:r w:rsidRPr="00BC31E0">
              <w:rPr>
                <w:rFonts w:hint="eastAsia"/>
                <w:kern w:val="21"/>
              </w:rPr>
              <w:t>及び</w:t>
            </w:r>
            <w:r w:rsidRPr="00BC31E0">
              <w:rPr>
                <w:kern w:val="21"/>
              </w:rPr>
              <w:t xml:space="preserve"> P.</w:t>
            </w:r>
            <w:r w:rsidRPr="00BC31E0">
              <w:rPr>
                <w:rFonts w:hint="eastAsia"/>
                <w:kern w:val="21"/>
              </w:rPr>
              <w:t>6</w:t>
            </w:r>
            <w:r w:rsidRPr="00BC31E0">
              <w:rPr>
                <w:kern w:val="21"/>
              </w:rPr>
              <w:t>2</w:t>
            </w:r>
            <w:r w:rsidR="00E866C8" w:rsidRPr="00BC31E0">
              <w:rPr>
                <w:rFonts w:hint="eastAsia"/>
                <w:kern w:val="21"/>
              </w:rPr>
              <w:t>，</w:t>
            </w:r>
            <w:r w:rsidRPr="00BC31E0">
              <w:rPr>
                <w:rFonts w:hint="eastAsia"/>
                <w:kern w:val="21"/>
              </w:rPr>
              <w:t>附属書</w:t>
            </w:r>
            <w:r w:rsidRPr="00BC31E0">
              <w:rPr>
                <w:rFonts w:hint="eastAsia"/>
                <w:kern w:val="21"/>
              </w:rPr>
              <w:t>B</w:t>
            </w:r>
          </w:p>
          <w:p w14:paraId="3BC3CED3" w14:textId="77777777" w:rsidR="002D7C56" w:rsidRPr="00BC31E0" w:rsidRDefault="002D7C56" w:rsidP="00C412B8">
            <w:pPr>
              <w:spacing w:line="240" w:lineRule="auto"/>
              <w:rPr>
                <w:kern w:val="21"/>
              </w:rPr>
            </w:pPr>
            <w:r w:rsidRPr="00BC31E0">
              <w:rPr>
                <w:rFonts w:hint="eastAsia"/>
                <w:kern w:val="21"/>
              </w:rPr>
              <w:t>図</w:t>
            </w:r>
            <w:r w:rsidRPr="00BC31E0">
              <w:rPr>
                <w:rFonts w:hint="eastAsia"/>
                <w:kern w:val="21"/>
              </w:rPr>
              <w:t>B.2</w:t>
            </w:r>
            <w:r w:rsidR="00E866C8" w:rsidRPr="00BC31E0">
              <w:rPr>
                <w:rFonts w:hint="eastAsia"/>
                <w:kern w:val="21"/>
              </w:rPr>
              <w:t>，</w:t>
            </w:r>
            <w:r w:rsidRPr="00BC31E0">
              <w:rPr>
                <w:rFonts w:hint="eastAsia"/>
                <w:kern w:val="21"/>
              </w:rPr>
              <w:t>図</w:t>
            </w:r>
            <w:r w:rsidRPr="00BC31E0">
              <w:rPr>
                <w:rFonts w:hint="eastAsia"/>
                <w:kern w:val="21"/>
              </w:rPr>
              <w:t>B.3</w:t>
            </w:r>
          </w:p>
        </w:tc>
      </w:tr>
      <w:tr w:rsidR="00671DEE" w:rsidRPr="00BC31E0" w14:paraId="3DF0E7AC" w14:textId="77777777" w:rsidTr="00BF64F9">
        <w:trPr>
          <w:jc w:val="center"/>
        </w:trPr>
        <w:tc>
          <w:tcPr>
            <w:tcW w:w="3652" w:type="dxa"/>
            <w:vAlign w:val="center"/>
          </w:tcPr>
          <w:p w14:paraId="4229469A" w14:textId="77777777" w:rsidR="00E866C8" w:rsidRPr="00BC31E0" w:rsidRDefault="00671DEE" w:rsidP="00C412B8">
            <w:pPr>
              <w:spacing w:line="240" w:lineRule="auto"/>
              <w:rPr>
                <w:kern w:val="21"/>
              </w:rPr>
            </w:pPr>
            <w:r w:rsidRPr="00BC31E0">
              <w:rPr>
                <w:rFonts w:hint="eastAsia"/>
                <w:kern w:val="21"/>
              </w:rPr>
              <w:t>P</w:t>
            </w:r>
            <w:r w:rsidRPr="00BC31E0">
              <w:rPr>
                <w:kern w:val="21"/>
              </w:rPr>
              <w:t>.61</w:t>
            </w:r>
            <w:r w:rsidR="002612D7" w:rsidRPr="00BC31E0">
              <w:rPr>
                <w:rFonts w:hint="eastAsia"/>
                <w:kern w:val="21"/>
              </w:rPr>
              <w:t>及び</w:t>
            </w:r>
            <w:r w:rsidRPr="00BC31E0">
              <w:rPr>
                <w:rFonts w:hint="eastAsia"/>
                <w:kern w:val="21"/>
              </w:rPr>
              <w:t>P</w:t>
            </w:r>
            <w:r w:rsidRPr="00BC31E0">
              <w:rPr>
                <w:kern w:val="21"/>
              </w:rPr>
              <w:t>.62</w:t>
            </w:r>
            <w:r w:rsidR="00E866C8" w:rsidRPr="00BC31E0">
              <w:rPr>
                <w:rFonts w:hint="eastAsia"/>
                <w:kern w:val="21"/>
              </w:rPr>
              <w:t>，</w:t>
            </w:r>
            <w:r w:rsidRPr="00BC31E0">
              <w:rPr>
                <w:kern w:val="21"/>
              </w:rPr>
              <w:t>6.3.6</w:t>
            </w:r>
          </w:p>
          <w:p w14:paraId="44864D66" w14:textId="77777777" w:rsidR="00671DEE" w:rsidRPr="00BC31E0" w:rsidRDefault="00671DEE" w:rsidP="00C412B8">
            <w:pPr>
              <w:spacing w:line="240" w:lineRule="auto"/>
              <w:rPr>
                <w:kern w:val="21"/>
              </w:rPr>
            </w:pPr>
            <w:r w:rsidRPr="00BC31E0">
              <w:rPr>
                <w:kern w:val="21"/>
              </w:rPr>
              <w:t>10</w:t>
            </w:r>
            <w:r w:rsidRPr="00BC31E0">
              <w:rPr>
                <w:kern w:val="21"/>
                <w:vertAlign w:val="superscript"/>
              </w:rPr>
              <w:t>8</w:t>
            </w:r>
            <w:r w:rsidRPr="00BC31E0">
              <w:rPr>
                <w:rFonts w:hint="eastAsia"/>
                <w:kern w:val="21"/>
              </w:rPr>
              <w:t>回に対する許容応力振幅</w:t>
            </w:r>
          </w:p>
        </w:tc>
        <w:tc>
          <w:tcPr>
            <w:tcW w:w="2693" w:type="dxa"/>
            <w:vAlign w:val="center"/>
          </w:tcPr>
          <w:p w14:paraId="6F541885" w14:textId="77777777" w:rsidR="00671DEE" w:rsidRPr="00BC31E0" w:rsidRDefault="00671DEE" w:rsidP="00C412B8">
            <w:pPr>
              <w:spacing w:line="240" w:lineRule="auto"/>
              <w:rPr>
                <w:kern w:val="21"/>
              </w:rPr>
            </w:pPr>
            <w:r w:rsidRPr="00BC31E0">
              <w:rPr>
                <w:kern w:val="21"/>
              </w:rPr>
              <w:t>P.14</w:t>
            </w:r>
            <w:r w:rsidR="002612D7" w:rsidRPr="00BC31E0">
              <w:rPr>
                <w:rFonts w:hint="eastAsia"/>
                <w:kern w:val="21"/>
              </w:rPr>
              <w:t>及び</w:t>
            </w:r>
            <w:r w:rsidRPr="00BC31E0">
              <w:rPr>
                <w:rFonts w:hint="eastAsia"/>
                <w:kern w:val="21"/>
              </w:rPr>
              <w:t>P</w:t>
            </w:r>
            <w:r w:rsidRPr="00BC31E0">
              <w:rPr>
                <w:kern w:val="21"/>
              </w:rPr>
              <w:t>.15</w:t>
            </w:r>
            <w:r w:rsidR="002612D7" w:rsidRPr="00BC31E0">
              <w:rPr>
                <w:rFonts w:hint="eastAsia"/>
                <w:kern w:val="21"/>
              </w:rPr>
              <w:t>，</w:t>
            </w:r>
            <w:r w:rsidR="002612D7" w:rsidRPr="00BC31E0">
              <w:rPr>
                <w:rFonts w:hint="eastAsia"/>
                <w:kern w:val="21"/>
              </w:rPr>
              <w:t>4.4.7 (6)</w:t>
            </w:r>
          </w:p>
        </w:tc>
        <w:tc>
          <w:tcPr>
            <w:tcW w:w="2694" w:type="dxa"/>
            <w:vAlign w:val="center"/>
          </w:tcPr>
          <w:p w14:paraId="083D97B0" w14:textId="77777777" w:rsidR="00671DEE" w:rsidRPr="00BC31E0" w:rsidRDefault="00881B9C" w:rsidP="00C412B8">
            <w:pPr>
              <w:spacing w:line="240" w:lineRule="auto"/>
              <w:jc w:val="center"/>
              <w:rPr>
                <w:kern w:val="21"/>
              </w:rPr>
            </w:pPr>
            <w:r w:rsidRPr="00BC31E0">
              <w:rPr>
                <w:rFonts w:hint="eastAsia"/>
                <w:kern w:val="21"/>
              </w:rPr>
              <w:t>－</w:t>
            </w:r>
          </w:p>
        </w:tc>
      </w:tr>
      <w:tr w:rsidR="002D7C56" w:rsidRPr="00BC31E0" w14:paraId="2696FF8F" w14:textId="77777777" w:rsidTr="00BF64F9">
        <w:trPr>
          <w:jc w:val="center"/>
        </w:trPr>
        <w:tc>
          <w:tcPr>
            <w:tcW w:w="3652" w:type="dxa"/>
            <w:vAlign w:val="center"/>
          </w:tcPr>
          <w:p w14:paraId="5DF475D1" w14:textId="77777777" w:rsidR="002D7C56" w:rsidRPr="00BC31E0" w:rsidRDefault="002D7C56" w:rsidP="00C412B8">
            <w:pPr>
              <w:spacing w:line="240" w:lineRule="auto"/>
              <w:rPr>
                <w:kern w:val="21"/>
              </w:rPr>
            </w:pPr>
            <w:r w:rsidRPr="00BC31E0">
              <w:rPr>
                <w:rFonts w:hint="eastAsia"/>
                <w:kern w:val="21"/>
              </w:rPr>
              <w:t>P.6</w:t>
            </w:r>
            <w:r w:rsidRPr="00BC31E0">
              <w:rPr>
                <w:kern w:val="21"/>
              </w:rPr>
              <w:t>4</w:t>
            </w:r>
            <w:r w:rsidRPr="00BC31E0">
              <w:rPr>
                <w:rFonts w:hint="eastAsia"/>
                <w:kern w:val="21"/>
              </w:rPr>
              <w:t>，図</w:t>
            </w:r>
            <w:r w:rsidRPr="00BC31E0">
              <w:rPr>
                <w:rFonts w:hint="eastAsia"/>
                <w:kern w:val="21"/>
              </w:rPr>
              <w:t>6.3.2</w:t>
            </w:r>
          </w:p>
          <w:p w14:paraId="0658C5F2" w14:textId="77777777" w:rsidR="002D7C56" w:rsidRPr="00BC31E0" w:rsidRDefault="002D7C56" w:rsidP="00C412B8">
            <w:pPr>
              <w:spacing w:line="240" w:lineRule="auto"/>
              <w:rPr>
                <w:kern w:val="21"/>
              </w:rPr>
            </w:pPr>
            <w:r w:rsidRPr="00BC31E0">
              <w:rPr>
                <w:rFonts w:hint="eastAsia"/>
                <w:kern w:val="21"/>
              </w:rPr>
              <w:t>高強度低合金綱の設計疲労曲線</w:t>
            </w:r>
          </w:p>
        </w:tc>
        <w:tc>
          <w:tcPr>
            <w:tcW w:w="2693" w:type="dxa"/>
            <w:vAlign w:val="center"/>
          </w:tcPr>
          <w:p w14:paraId="16AE816D" w14:textId="77777777" w:rsidR="002D7C56" w:rsidRPr="00BC31E0" w:rsidRDefault="002D7C56" w:rsidP="00C412B8">
            <w:pPr>
              <w:spacing w:line="240" w:lineRule="auto"/>
              <w:rPr>
                <w:kern w:val="21"/>
              </w:rPr>
            </w:pPr>
            <w:r w:rsidRPr="00BC31E0">
              <w:rPr>
                <w:rFonts w:hint="eastAsia"/>
                <w:kern w:val="21"/>
              </w:rPr>
              <w:t>P.1</w:t>
            </w:r>
            <w:r w:rsidRPr="00BC31E0">
              <w:rPr>
                <w:kern w:val="21"/>
              </w:rPr>
              <w:t>7</w:t>
            </w:r>
            <w:r w:rsidRPr="00BC31E0">
              <w:rPr>
                <w:rFonts w:hint="eastAsia"/>
                <w:kern w:val="21"/>
              </w:rPr>
              <w:t>，図</w:t>
            </w:r>
            <w:r w:rsidRPr="00BC31E0">
              <w:rPr>
                <w:rFonts w:hint="eastAsia"/>
                <w:kern w:val="21"/>
              </w:rPr>
              <w:t>2</w:t>
            </w:r>
          </w:p>
        </w:tc>
        <w:tc>
          <w:tcPr>
            <w:tcW w:w="2694" w:type="dxa"/>
            <w:vAlign w:val="center"/>
          </w:tcPr>
          <w:p w14:paraId="3FA7E207" w14:textId="77777777" w:rsidR="002D7C56" w:rsidRPr="00BC31E0" w:rsidRDefault="002D7C56" w:rsidP="00C412B8">
            <w:pPr>
              <w:spacing w:line="240" w:lineRule="auto"/>
              <w:jc w:val="center"/>
              <w:rPr>
                <w:kern w:val="21"/>
              </w:rPr>
            </w:pPr>
            <w:r w:rsidRPr="00BC31E0">
              <w:rPr>
                <w:rFonts w:hint="eastAsia"/>
                <w:kern w:val="21"/>
              </w:rPr>
              <w:t>－</w:t>
            </w:r>
          </w:p>
        </w:tc>
      </w:tr>
      <w:tr w:rsidR="002D7C56" w:rsidRPr="00BC31E0" w14:paraId="03A667C4" w14:textId="77777777" w:rsidTr="00BF64F9">
        <w:trPr>
          <w:jc w:val="center"/>
        </w:trPr>
        <w:tc>
          <w:tcPr>
            <w:tcW w:w="3652" w:type="dxa"/>
            <w:vAlign w:val="center"/>
          </w:tcPr>
          <w:p w14:paraId="09D6E2B3" w14:textId="77777777" w:rsidR="002D7C56" w:rsidRPr="00BC31E0" w:rsidRDefault="002D7C56" w:rsidP="00C412B8">
            <w:pPr>
              <w:spacing w:line="240" w:lineRule="auto"/>
              <w:rPr>
                <w:kern w:val="21"/>
              </w:rPr>
            </w:pPr>
            <w:r w:rsidRPr="00BC31E0">
              <w:rPr>
                <w:rFonts w:hint="eastAsia"/>
                <w:kern w:val="21"/>
              </w:rPr>
              <w:t>P.6</w:t>
            </w:r>
            <w:r w:rsidRPr="00BC31E0">
              <w:rPr>
                <w:kern w:val="21"/>
              </w:rPr>
              <w:t>8</w:t>
            </w:r>
            <w:r w:rsidRPr="00BC31E0">
              <w:rPr>
                <w:rFonts w:hint="eastAsia"/>
                <w:kern w:val="21"/>
              </w:rPr>
              <w:t>，図</w:t>
            </w:r>
            <w:r w:rsidRPr="00BC31E0">
              <w:rPr>
                <w:rFonts w:hint="eastAsia"/>
                <w:kern w:val="21"/>
              </w:rPr>
              <w:t>6.3.6</w:t>
            </w:r>
          </w:p>
          <w:p w14:paraId="13C3A706" w14:textId="77777777" w:rsidR="002D7C56" w:rsidRPr="00BC31E0" w:rsidRDefault="002D7C56" w:rsidP="00C412B8">
            <w:pPr>
              <w:spacing w:line="240" w:lineRule="auto"/>
              <w:rPr>
                <w:kern w:val="21"/>
              </w:rPr>
            </w:pPr>
            <w:r w:rsidRPr="00BC31E0">
              <w:rPr>
                <w:rFonts w:hint="eastAsia"/>
                <w:kern w:val="21"/>
              </w:rPr>
              <w:t>SUS630</w:t>
            </w:r>
            <w:r w:rsidRPr="00BC31E0">
              <w:rPr>
                <w:rFonts w:hint="eastAsia"/>
                <w:kern w:val="21"/>
              </w:rPr>
              <w:t>系ステンレス鋼の設計疲労曲線</w:t>
            </w:r>
            <w:r w:rsidRPr="00BC31E0">
              <w:rPr>
                <w:rFonts w:hint="eastAsia"/>
                <w:kern w:val="21"/>
              </w:rPr>
              <w:t xml:space="preserve"> </w:t>
            </w:r>
          </w:p>
        </w:tc>
        <w:tc>
          <w:tcPr>
            <w:tcW w:w="2693" w:type="dxa"/>
            <w:vAlign w:val="center"/>
          </w:tcPr>
          <w:p w14:paraId="53EB5B48" w14:textId="77777777" w:rsidR="002D7C56" w:rsidRPr="00BC31E0" w:rsidRDefault="002D7C56" w:rsidP="00C412B8">
            <w:pPr>
              <w:spacing w:line="240" w:lineRule="auto"/>
              <w:rPr>
                <w:kern w:val="21"/>
              </w:rPr>
            </w:pPr>
            <w:r w:rsidRPr="00BC31E0">
              <w:rPr>
                <w:rFonts w:hint="eastAsia"/>
                <w:kern w:val="21"/>
              </w:rPr>
              <w:t>P.21</w:t>
            </w:r>
            <w:r w:rsidRPr="00BC31E0">
              <w:rPr>
                <w:rFonts w:hint="eastAsia"/>
                <w:kern w:val="21"/>
              </w:rPr>
              <w:t>，図</w:t>
            </w:r>
            <w:r w:rsidRPr="00BC31E0">
              <w:rPr>
                <w:rFonts w:hint="eastAsia"/>
                <w:kern w:val="21"/>
              </w:rPr>
              <w:t>6</w:t>
            </w:r>
          </w:p>
        </w:tc>
        <w:tc>
          <w:tcPr>
            <w:tcW w:w="2694" w:type="dxa"/>
            <w:vAlign w:val="center"/>
          </w:tcPr>
          <w:p w14:paraId="0719CBA7" w14:textId="77777777" w:rsidR="002D7C56" w:rsidRPr="00BC31E0" w:rsidRDefault="002D7C56" w:rsidP="00C412B8">
            <w:pPr>
              <w:spacing w:line="240" w:lineRule="auto"/>
              <w:jc w:val="center"/>
              <w:rPr>
                <w:kern w:val="21"/>
              </w:rPr>
            </w:pPr>
            <w:r w:rsidRPr="00BC31E0">
              <w:rPr>
                <w:rFonts w:hint="eastAsia"/>
                <w:kern w:val="21"/>
              </w:rPr>
              <w:t>－</w:t>
            </w:r>
          </w:p>
        </w:tc>
      </w:tr>
      <w:tr w:rsidR="002D7C56" w:rsidRPr="00BC31E0" w14:paraId="1EEAA5F7" w14:textId="77777777" w:rsidTr="00BF64F9">
        <w:trPr>
          <w:jc w:val="center"/>
        </w:trPr>
        <w:tc>
          <w:tcPr>
            <w:tcW w:w="3652" w:type="dxa"/>
            <w:vAlign w:val="center"/>
          </w:tcPr>
          <w:p w14:paraId="21E7701E" w14:textId="77777777" w:rsidR="002D7C56" w:rsidRPr="00BC31E0" w:rsidRDefault="002D7C56" w:rsidP="00C412B8">
            <w:pPr>
              <w:spacing w:line="240" w:lineRule="auto"/>
              <w:rPr>
                <w:kern w:val="21"/>
              </w:rPr>
            </w:pPr>
            <w:r w:rsidRPr="00BC31E0">
              <w:rPr>
                <w:rFonts w:hint="eastAsia"/>
                <w:kern w:val="21"/>
              </w:rPr>
              <w:t>P.6</w:t>
            </w:r>
            <w:r w:rsidRPr="00BC31E0">
              <w:rPr>
                <w:kern w:val="21"/>
              </w:rPr>
              <w:t>9</w:t>
            </w:r>
            <w:r w:rsidRPr="00BC31E0">
              <w:rPr>
                <w:rFonts w:hint="eastAsia"/>
                <w:kern w:val="21"/>
              </w:rPr>
              <w:t>，図</w:t>
            </w:r>
            <w:r w:rsidRPr="00BC31E0">
              <w:rPr>
                <w:rFonts w:hint="eastAsia"/>
                <w:kern w:val="21"/>
              </w:rPr>
              <w:t>6.3.7</w:t>
            </w:r>
          </w:p>
          <w:p w14:paraId="46C5054A" w14:textId="77777777" w:rsidR="002D7C56" w:rsidRPr="00BC31E0" w:rsidRDefault="002D7C56" w:rsidP="00C412B8">
            <w:pPr>
              <w:spacing w:line="240" w:lineRule="auto"/>
              <w:rPr>
                <w:kern w:val="21"/>
              </w:rPr>
            </w:pPr>
            <w:r w:rsidRPr="00BC31E0">
              <w:rPr>
                <w:rFonts w:hint="eastAsia"/>
                <w:kern w:val="21"/>
              </w:rPr>
              <w:t>インコネル</w:t>
            </w:r>
            <w:r w:rsidRPr="00BC31E0">
              <w:rPr>
                <w:rFonts w:hint="eastAsia"/>
                <w:kern w:val="21"/>
              </w:rPr>
              <w:t>718</w:t>
            </w:r>
            <w:r w:rsidRPr="00BC31E0">
              <w:rPr>
                <w:rFonts w:hint="eastAsia"/>
                <w:kern w:val="21"/>
              </w:rPr>
              <w:t>の設計疲労曲線</w:t>
            </w:r>
          </w:p>
        </w:tc>
        <w:tc>
          <w:tcPr>
            <w:tcW w:w="2693" w:type="dxa"/>
            <w:vAlign w:val="center"/>
          </w:tcPr>
          <w:p w14:paraId="0F68D249" w14:textId="77777777" w:rsidR="002D7C56" w:rsidRPr="00BC31E0" w:rsidRDefault="002D7C56" w:rsidP="00C412B8">
            <w:pPr>
              <w:spacing w:line="240" w:lineRule="auto"/>
              <w:rPr>
                <w:kern w:val="21"/>
              </w:rPr>
            </w:pPr>
            <w:r w:rsidRPr="00BC31E0">
              <w:rPr>
                <w:rFonts w:hint="eastAsia"/>
                <w:kern w:val="21"/>
              </w:rPr>
              <w:t>P.22</w:t>
            </w:r>
            <w:r w:rsidRPr="00BC31E0">
              <w:rPr>
                <w:rFonts w:hint="eastAsia"/>
                <w:kern w:val="21"/>
              </w:rPr>
              <w:t>，図</w:t>
            </w:r>
            <w:r w:rsidRPr="00BC31E0">
              <w:rPr>
                <w:rFonts w:hint="eastAsia"/>
                <w:kern w:val="21"/>
              </w:rPr>
              <w:t>7</w:t>
            </w:r>
          </w:p>
        </w:tc>
        <w:tc>
          <w:tcPr>
            <w:tcW w:w="2694" w:type="dxa"/>
            <w:vAlign w:val="center"/>
          </w:tcPr>
          <w:p w14:paraId="4357EB4C" w14:textId="77777777" w:rsidR="002D7C56" w:rsidRPr="00BC31E0" w:rsidRDefault="002D7C56" w:rsidP="00C412B8">
            <w:pPr>
              <w:spacing w:line="240" w:lineRule="auto"/>
              <w:jc w:val="center"/>
              <w:rPr>
                <w:kern w:val="21"/>
              </w:rPr>
            </w:pPr>
            <w:r w:rsidRPr="00BC31E0">
              <w:rPr>
                <w:rFonts w:hint="eastAsia"/>
                <w:kern w:val="21"/>
              </w:rPr>
              <w:t>－</w:t>
            </w:r>
          </w:p>
        </w:tc>
      </w:tr>
      <w:tr w:rsidR="002D7C56" w:rsidRPr="00BC31E0" w14:paraId="3B5B5075" w14:textId="77777777" w:rsidTr="00BF64F9">
        <w:trPr>
          <w:jc w:val="center"/>
        </w:trPr>
        <w:tc>
          <w:tcPr>
            <w:tcW w:w="3652" w:type="dxa"/>
            <w:vAlign w:val="center"/>
          </w:tcPr>
          <w:p w14:paraId="2AEDC907" w14:textId="77777777" w:rsidR="002D7C56" w:rsidRPr="00BC31E0" w:rsidRDefault="002D7C56" w:rsidP="00C412B8">
            <w:pPr>
              <w:spacing w:line="240" w:lineRule="auto"/>
              <w:rPr>
                <w:kern w:val="21"/>
              </w:rPr>
            </w:pPr>
            <w:r w:rsidRPr="00BC31E0">
              <w:rPr>
                <w:rFonts w:hint="eastAsia"/>
                <w:kern w:val="21"/>
              </w:rPr>
              <w:t>P.</w:t>
            </w:r>
            <w:r w:rsidRPr="00BC31E0">
              <w:rPr>
                <w:kern w:val="21"/>
              </w:rPr>
              <w:t>70</w:t>
            </w:r>
            <w:r w:rsidRPr="00BC31E0">
              <w:rPr>
                <w:rFonts w:hint="eastAsia"/>
                <w:kern w:val="21"/>
              </w:rPr>
              <w:t>，図</w:t>
            </w:r>
            <w:r w:rsidRPr="00BC31E0">
              <w:rPr>
                <w:rFonts w:hint="eastAsia"/>
                <w:kern w:val="21"/>
              </w:rPr>
              <w:t>6.3.8</w:t>
            </w:r>
          </w:p>
          <w:p w14:paraId="7F45D247" w14:textId="77777777" w:rsidR="002D7C56" w:rsidRPr="00BC31E0" w:rsidRDefault="002D7C56" w:rsidP="00C412B8">
            <w:pPr>
              <w:spacing w:line="240" w:lineRule="auto"/>
              <w:rPr>
                <w:kern w:val="21"/>
              </w:rPr>
            </w:pPr>
            <w:r w:rsidRPr="00BC31E0">
              <w:rPr>
                <w:rFonts w:hint="eastAsia"/>
                <w:kern w:val="21"/>
              </w:rPr>
              <w:t>2</w:t>
            </w:r>
            <w:r w:rsidRPr="00BC31E0">
              <w:rPr>
                <w:rFonts w:asciiTheme="minorEastAsia" w:eastAsiaTheme="minorEastAsia" w:hAnsiTheme="minorEastAsia" w:hint="eastAsia"/>
                <w:kern w:val="21"/>
              </w:rPr>
              <w:t>-</w:t>
            </w:r>
            <w:r w:rsidRPr="00BC31E0">
              <w:rPr>
                <w:rFonts w:hint="eastAsia"/>
                <w:kern w:val="21"/>
              </w:rPr>
              <w:t>1/4Cr</w:t>
            </w:r>
            <w:r w:rsidRPr="00BC31E0">
              <w:rPr>
                <w:rFonts w:asciiTheme="minorEastAsia" w:eastAsiaTheme="minorEastAsia" w:hAnsiTheme="minorEastAsia" w:hint="eastAsia"/>
                <w:kern w:val="21"/>
              </w:rPr>
              <w:t>-</w:t>
            </w:r>
            <w:r w:rsidRPr="00BC31E0">
              <w:rPr>
                <w:rFonts w:hint="eastAsia"/>
                <w:kern w:val="21"/>
              </w:rPr>
              <w:t>1Mo</w:t>
            </w:r>
            <w:r w:rsidRPr="00BC31E0">
              <w:rPr>
                <w:rFonts w:asciiTheme="minorEastAsia" w:eastAsiaTheme="minorEastAsia" w:hAnsiTheme="minorEastAsia" w:hint="eastAsia"/>
                <w:kern w:val="21"/>
              </w:rPr>
              <w:t>-</w:t>
            </w:r>
            <w:r w:rsidRPr="00BC31E0">
              <w:rPr>
                <w:rFonts w:hint="eastAsia"/>
                <w:kern w:val="21"/>
              </w:rPr>
              <w:t>1/4V</w:t>
            </w:r>
            <w:r w:rsidRPr="00BC31E0">
              <w:rPr>
                <w:rFonts w:hint="eastAsia"/>
                <w:kern w:val="21"/>
              </w:rPr>
              <w:t>鋼の設計疲労曲線</w:t>
            </w:r>
          </w:p>
        </w:tc>
        <w:tc>
          <w:tcPr>
            <w:tcW w:w="2693" w:type="dxa"/>
            <w:vAlign w:val="center"/>
          </w:tcPr>
          <w:p w14:paraId="34A0EB99" w14:textId="77777777" w:rsidR="002D7C56" w:rsidRPr="00BC31E0" w:rsidRDefault="002D7C56" w:rsidP="00C412B8">
            <w:pPr>
              <w:spacing w:line="240" w:lineRule="auto"/>
              <w:rPr>
                <w:kern w:val="21"/>
              </w:rPr>
            </w:pPr>
            <w:r w:rsidRPr="00BC31E0">
              <w:rPr>
                <w:rFonts w:hint="eastAsia"/>
                <w:kern w:val="21"/>
              </w:rPr>
              <w:t>P.2</w:t>
            </w:r>
            <w:r w:rsidRPr="00BC31E0">
              <w:rPr>
                <w:kern w:val="21"/>
              </w:rPr>
              <w:t>3</w:t>
            </w:r>
            <w:r w:rsidRPr="00BC31E0">
              <w:rPr>
                <w:rFonts w:hint="eastAsia"/>
                <w:kern w:val="21"/>
              </w:rPr>
              <w:t>，図</w:t>
            </w:r>
            <w:r w:rsidRPr="00BC31E0">
              <w:rPr>
                <w:kern w:val="21"/>
              </w:rPr>
              <w:t>8</w:t>
            </w:r>
          </w:p>
        </w:tc>
        <w:tc>
          <w:tcPr>
            <w:tcW w:w="2694" w:type="dxa"/>
            <w:vAlign w:val="center"/>
          </w:tcPr>
          <w:p w14:paraId="1C7B2586" w14:textId="77777777" w:rsidR="002D7C56" w:rsidRPr="00BC31E0" w:rsidRDefault="002D7C56" w:rsidP="00C412B8">
            <w:pPr>
              <w:spacing w:line="240" w:lineRule="auto"/>
              <w:jc w:val="center"/>
              <w:rPr>
                <w:kern w:val="21"/>
              </w:rPr>
            </w:pPr>
            <w:r w:rsidRPr="00BC31E0">
              <w:rPr>
                <w:rFonts w:hint="eastAsia"/>
                <w:kern w:val="21"/>
              </w:rPr>
              <w:t>－</w:t>
            </w:r>
          </w:p>
        </w:tc>
      </w:tr>
      <w:tr w:rsidR="002D7C56" w:rsidRPr="00BC31E0" w14:paraId="443486F0" w14:textId="77777777" w:rsidTr="00BF64F9">
        <w:trPr>
          <w:jc w:val="center"/>
        </w:trPr>
        <w:tc>
          <w:tcPr>
            <w:tcW w:w="3652" w:type="dxa"/>
            <w:vAlign w:val="center"/>
          </w:tcPr>
          <w:p w14:paraId="392A7CFC" w14:textId="77777777" w:rsidR="002D7C56" w:rsidRPr="00BC31E0" w:rsidRDefault="002D7C56" w:rsidP="00C412B8">
            <w:pPr>
              <w:spacing w:line="240" w:lineRule="auto"/>
              <w:rPr>
                <w:kern w:val="21"/>
              </w:rPr>
            </w:pPr>
            <w:r w:rsidRPr="00BC31E0">
              <w:rPr>
                <w:rFonts w:hint="eastAsia"/>
                <w:kern w:val="21"/>
              </w:rPr>
              <w:t>P.</w:t>
            </w:r>
            <w:r w:rsidRPr="00BC31E0">
              <w:rPr>
                <w:kern w:val="21"/>
              </w:rPr>
              <w:t>72</w:t>
            </w:r>
            <w:r w:rsidRPr="00BC31E0">
              <w:rPr>
                <w:rFonts w:hint="eastAsia"/>
                <w:kern w:val="21"/>
              </w:rPr>
              <w:t>，図</w:t>
            </w:r>
            <w:r w:rsidRPr="00BC31E0">
              <w:rPr>
                <w:rFonts w:hint="eastAsia"/>
                <w:kern w:val="21"/>
              </w:rPr>
              <w:t>6.3.</w:t>
            </w:r>
            <w:r w:rsidRPr="00BC31E0">
              <w:rPr>
                <w:kern w:val="21"/>
              </w:rPr>
              <w:t>10</w:t>
            </w:r>
          </w:p>
          <w:p w14:paraId="2E099947" w14:textId="77777777" w:rsidR="002D7C56" w:rsidRPr="00BC31E0" w:rsidRDefault="002D7C56" w:rsidP="00C412B8">
            <w:pPr>
              <w:spacing w:line="240" w:lineRule="auto"/>
              <w:rPr>
                <w:kern w:val="21"/>
              </w:rPr>
            </w:pPr>
            <w:r w:rsidRPr="00BC31E0">
              <w:rPr>
                <w:rFonts w:hint="eastAsia"/>
                <w:kern w:val="21"/>
              </w:rPr>
              <w:t>表面粗さによる影響係数</w:t>
            </w:r>
            <m:oMath>
              <m:sSub>
                <m:sSubPr>
                  <m:ctrlPr>
                    <w:rPr>
                      <w:rFonts w:ascii="Cambria Math" w:hAnsi="Cambria Math"/>
                      <w:i/>
                      <w:kern w:val="21"/>
                    </w:rPr>
                  </m:ctrlPr>
                </m:sSubPr>
                <m:e>
                  <m:r>
                    <w:rPr>
                      <w:rFonts w:ascii="Cambria Math" w:hAnsi="Cambria Math" w:hint="eastAsia"/>
                      <w:kern w:val="21"/>
                    </w:rPr>
                    <m:t xml:space="preserve"> K</m:t>
                  </m:r>
                </m:e>
                <m:sub>
                  <m:r>
                    <w:rPr>
                      <w:rFonts w:ascii="Cambria Math" w:hAnsi="Cambria Math" w:hint="eastAsia"/>
                      <w:kern w:val="21"/>
                    </w:rPr>
                    <m:t>r</m:t>
                  </m:r>
                </m:sub>
              </m:sSub>
            </m:oMath>
          </w:p>
        </w:tc>
        <w:tc>
          <w:tcPr>
            <w:tcW w:w="2693" w:type="dxa"/>
            <w:vAlign w:val="center"/>
          </w:tcPr>
          <w:p w14:paraId="414A0871" w14:textId="77777777" w:rsidR="002D7C56" w:rsidRPr="00BC31E0" w:rsidRDefault="002D7C56" w:rsidP="00C412B8">
            <w:pPr>
              <w:spacing w:line="240" w:lineRule="auto"/>
              <w:jc w:val="center"/>
              <w:rPr>
                <w:kern w:val="21"/>
              </w:rPr>
            </w:pPr>
            <w:r w:rsidRPr="00BC31E0">
              <w:rPr>
                <w:rFonts w:hint="eastAsia"/>
                <w:kern w:val="21"/>
              </w:rPr>
              <w:t>－</w:t>
            </w:r>
          </w:p>
        </w:tc>
        <w:tc>
          <w:tcPr>
            <w:tcW w:w="2694" w:type="dxa"/>
            <w:vAlign w:val="center"/>
          </w:tcPr>
          <w:p w14:paraId="5032B41C" w14:textId="77777777" w:rsidR="002D7C56" w:rsidRPr="00BC31E0" w:rsidRDefault="002D7C56" w:rsidP="00C412B8">
            <w:pPr>
              <w:spacing w:line="240" w:lineRule="auto"/>
              <w:rPr>
                <w:kern w:val="21"/>
              </w:rPr>
            </w:pPr>
            <w:r w:rsidRPr="00BC31E0">
              <w:rPr>
                <w:rFonts w:hint="eastAsia"/>
                <w:kern w:val="21"/>
              </w:rPr>
              <w:t>P.46</w:t>
            </w:r>
            <w:r w:rsidRPr="00BC31E0">
              <w:rPr>
                <w:rFonts w:hint="eastAsia"/>
                <w:kern w:val="21"/>
              </w:rPr>
              <w:t>，図</w:t>
            </w:r>
            <w:r w:rsidRPr="00BC31E0">
              <w:rPr>
                <w:rFonts w:hint="eastAsia"/>
                <w:kern w:val="21"/>
              </w:rPr>
              <w:t>10</w:t>
            </w:r>
          </w:p>
        </w:tc>
      </w:tr>
      <w:tr w:rsidR="002D7C56" w:rsidRPr="00BC31E0" w14:paraId="245117CE" w14:textId="77777777" w:rsidTr="00BF64F9">
        <w:trPr>
          <w:jc w:val="center"/>
        </w:trPr>
        <w:tc>
          <w:tcPr>
            <w:tcW w:w="3652" w:type="dxa"/>
            <w:vAlign w:val="center"/>
          </w:tcPr>
          <w:p w14:paraId="2E298D30" w14:textId="77777777" w:rsidR="002D7C56" w:rsidRPr="00BC31E0" w:rsidRDefault="002D7C56" w:rsidP="00C412B8">
            <w:pPr>
              <w:spacing w:line="240" w:lineRule="auto"/>
              <w:rPr>
                <w:kern w:val="21"/>
              </w:rPr>
            </w:pPr>
            <w:r w:rsidRPr="00BC31E0">
              <w:rPr>
                <w:rFonts w:hint="eastAsia"/>
                <w:kern w:val="21"/>
              </w:rPr>
              <w:t>P</w:t>
            </w:r>
            <w:r w:rsidRPr="00BC31E0">
              <w:rPr>
                <w:kern w:val="21"/>
              </w:rPr>
              <w:t>.121</w:t>
            </w:r>
            <w:r w:rsidRPr="00BC31E0">
              <w:rPr>
                <w:rFonts w:hint="eastAsia"/>
                <w:kern w:val="21"/>
              </w:rPr>
              <w:t>～</w:t>
            </w:r>
            <w:r w:rsidRPr="00BC31E0">
              <w:rPr>
                <w:rFonts w:hint="eastAsia"/>
                <w:kern w:val="21"/>
              </w:rPr>
              <w:t>P</w:t>
            </w:r>
            <w:r w:rsidRPr="00BC31E0">
              <w:rPr>
                <w:kern w:val="21"/>
              </w:rPr>
              <w:t>.123</w:t>
            </w:r>
            <w:r w:rsidRPr="00BC31E0">
              <w:rPr>
                <w:rFonts w:hint="eastAsia"/>
                <w:kern w:val="21"/>
              </w:rPr>
              <w:t>，</w:t>
            </w:r>
            <w:r w:rsidRPr="00BC31E0">
              <w:rPr>
                <w:kern w:val="21"/>
              </w:rPr>
              <w:t>6.13.5</w:t>
            </w:r>
          </w:p>
          <w:p w14:paraId="0B1A48C7" w14:textId="77777777" w:rsidR="002D7C56" w:rsidRPr="00BC31E0" w:rsidRDefault="002D7C56" w:rsidP="00C412B8">
            <w:pPr>
              <w:spacing w:line="240" w:lineRule="auto"/>
              <w:rPr>
                <w:kern w:val="21"/>
              </w:rPr>
            </w:pPr>
            <w:r w:rsidRPr="00BC31E0">
              <w:rPr>
                <w:rFonts w:hint="eastAsia"/>
                <w:kern w:val="21"/>
              </w:rPr>
              <w:t>材料の水素適合性</w:t>
            </w:r>
          </w:p>
        </w:tc>
        <w:tc>
          <w:tcPr>
            <w:tcW w:w="2693" w:type="dxa"/>
            <w:vAlign w:val="center"/>
          </w:tcPr>
          <w:p w14:paraId="0A66A1B5" w14:textId="77777777" w:rsidR="002D7C56" w:rsidRPr="00BC31E0" w:rsidRDefault="002D7C56" w:rsidP="00C412B8">
            <w:pPr>
              <w:spacing w:line="240" w:lineRule="auto"/>
              <w:jc w:val="center"/>
              <w:rPr>
                <w:kern w:val="21"/>
              </w:rPr>
            </w:pPr>
            <w:r w:rsidRPr="00BC31E0">
              <w:rPr>
                <w:rFonts w:hint="eastAsia"/>
                <w:kern w:val="21"/>
              </w:rPr>
              <w:t>－</w:t>
            </w:r>
          </w:p>
        </w:tc>
        <w:tc>
          <w:tcPr>
            <w:tcW w:w="2694" w:type="dxa"/>
            <w:vAlign w:val="center"/>
          </w:tcPr>
          <w:p w14:paraId="1E566510" w14:textId="77777777" w:rsidR="00E866C8" w:rsidRPr="00BC31E0" w:rsidRDefault="002D7C56" w:rsidP="00C412B8">
            <w:pPr>
              <w:spacing w:line="240" w:lineRule="auto"/>
              <w:rPr>
                <w:kern w:val="21"/>
              </w:rPr>
            </w:pPr>
            <w:r w:rsidRPr="00BC31E0">
              <w:rPr>
                <w:kern w:val="21"/>
              </w:rPr>
              <w:t>P.72</w:t>
            </w:r>
            <w:r w:rsidRPr="00BC31E0">
              <w:rPr>
                <w:rFonts w:hint="eastAsia"/>
                <w:kern w:val="21"/>
              </w:rPr>
              <w:t>～</w:t>
            </w:r>
            <w:r w:rsidRPr="00BC31E0">
              <w:rPr>
                <w:rFonts w:hint="eastAsia"/>
                <w:kern w:val="21"/>
              </w:rPr>
              <w:t>P.7</w:t>
            </w:r>
            <w:r w:rsidRPr="00BC31E0">
              <w:rPr>
                <w:kern w:val="21"/>
              </w:rPr>
              <w:t xml:space="preserve">7 </w:t>
            </w:r>
            <w:r w:rsidR="00973461" w:rsidRPr="00BC31E0">
              <w:rPr>
                <w:rFonts w:hint="eastAsia"/>
                <w:kern w:val="21"/>
              </w:rPr>
              <w:t>，</w:t>
            </w:r>
            <w:r w:rsidRPr="00BC31E0">
              <w:rPr>
                <w:rFonts w:hint="eastAsia"/>
                <w:kern w:val="21"/>
              </w:rPr>
              <w:t>附属書</w:t>
            </w:r>
            <w:r w:rsidRPr="00BC31E0">
              <w:rPr>
                <w:rFonts w:hint="eastAsia"/>
                <w:kern w:val="21"/>
              </w:rPr>
              <w:t>E</w:t>
            </w:r>
          </w:p>
          <w:p w14:paraId="736FD526" w14:textId="77777777" w:rsidR="002D7C56" w:rsidRPr="00BC31E0" w:rsidRDefault="002D7C56" w:rsidP="00C412B8">
            <w:pPr>
              <w:spacing w:line="240" w:lineRule="auto"/>
              <w:rPr>
                <w:kern w:val="21"/>
              </w:rPr>
            </w:pPr>
            <w:r w:rsidRPr="00BC31E0">
              <w:rPr>
                <w:kern w:val="21"/>
              </w:rPr>
              <w:t>E.3</w:t>
            </w:r>
            <w:r w:rsidR="00886906" w:rsidRPr="00BC31E0">
              <w:rPr>
                <w:rFonts w:hint="eastAsia"/>
                <w:kern w:val="21"/>
              </w:rPr>
              <w:t>.</w:t>
            </w:r>
            <w:r w:rsidR="00886906" w:rsidRPr="00BC31E0">
              <w:rPr>
                <w:kern w:val="21"/>
              </w:rPr>
              <w:t>1</w:t>
            </w:r>
            <w:r w:rsidR="00886906" w:rsidRPr="00BC31E0">
              <w:rPr>
                <w:rFonts w:hint="eastAsia"/>
                <w:kern w:val="21"/>
              </w:rPr>
              <w:t>～</w:t>
            </w:r>
            <w:r w:rsidR="00886906" w:rsidRPr="00BC31E0">
              <w:rPr>
                <w:rFonts w:hint="eastAsia"/>
                <w:kern w:val="21"/>
              </w:rPr>
              <w:t>E</w:t>
            </w:r>
            <w:r w:rsidR="00886906" w:rsidRPr="00BC31E0">
              <w:rPr>
                <w:kern w:val="21"/>
              </w:rPr>
              <w:t>.3.3</w:t>
            </w:r>
            <w:r w:rsidR="00E866C8" w:rsidRPr="00BC31E0">
              <w:rPr>
                <w:rFonts w:hint="eastAsia"/>
                <w:kern w:val="21"/>
              </w:rPr>
              <w:t>，</w:t>
            </w:r>
            <w:r w:rsidR="00886906" w:rsidRPr="00BC31E0">
              <w:rPr>
                <w:kern w:val="21"/>
              </w:rPr>
              <w:t>E.3.4.2</w:t>
            </w:r>
          </w:p>
        </w:tc>
      </w:tr>
      <w:tr w:rsidR="002D7C56" w:rsidRPr="00BC31E0" w14:paraId="0B163A20" w14:textId="77777777" w:rsidTr="00BF64F9">
        <w:trPr>
          <w:trHeight w:val="1204"/>
          <w:jc w:val="center"/>
        </w:trPr>
        <w:tc>
          <w:tcPr>
            <w:tcW w:w="3652" w:type="dxa"/>
            <w:vAlign w:val="center"/>
          </w:tcPr>
          <w:p w14:paraId="560AFD32" w14:textId="77777777" w:rsidR="002D7C56" w:rsidRPr="00BC31E0" w:rsidRDefault="002D7C56" w:rsidP="00C412B8">
            <w:pPr>
              <w:spacing w:line="240" w:lineRule="auto"/>
              <w:rPr>
                <w:kern w:val="21"/>
              </w:rPr>
            </w:pPr>
            <w:r w:rsidRPr="00BC31E0">
              <w:rPr>
                <w:rFonts w:hint="eastAsia"/>
                <w:kern w:val="21"/>
              </w:rPr>
              <w:t>P</w:t>
            </w:r>
            <w:r w:rsidRPr="00BC31E0">
              <w:rPr>
                <w:kern w:val="21"/>
              </w:rPr>
              <w:t>.125</w:t>
            </w:r>
            <w:r w:rsidRPr="00BC31E0">
              <w:rPr>
                <w:rFonts w:hint="eastAsia"/>
                <w:kern w:val="21"/>
              </w:rPr>
              <w:t>，</w:t>
            </w:r>
            <w:r w:rsidRPr="00BC31E0">
              <w:rPr>
                <w:kern w:val="21"/>
              </w:rPr>
              <w:t>6.13.8</w:t>
            </w:r>
          </w:p>
          <w:p w14:paraId="7EA04C50" w14:textId="77777777" w:rsidR="002D7C56" w:rsidRPr="00BC31E0" w:rsidRDefault="002D7C56" w:rsidP="00C412B8">
            <w:pPr>
              <w:spacing w:line="240" w:lineRule="auto"/>
              <w:rPr>
                <w:kern w:val="21"/>
              </w:rPr>
            </w:pPr>
            <w:r w:rsidRPr="00BC31E0">
              <w:rPr>
                <w:rFonts w:hint="eastAsia"/>
                <w:kern w:val="21"/>
              </w:rPr>
              <w:t>水素誘起割れに対する下限界応力拡大係数</w:t>
            </w:r>
            <m:oMath>
              <m:sSub>
                <m:sSubPr>
                  <m:ctrlPr>
                    <w:rPr>
                      <w:rFonts w:ascii="Cambria Math" w:hAnsi="Cambria Math"/>
                      <w:i/>
                      <w:kern w:val="21"/>
                    </w:rPr>
                  </m:ctrlPr>
                </m:sSubPr>
                <m:e>
                  <m:r>
                    <w:rPr>
                      <w:rFonts w:ascii="Cambria Math" w:hAnsi="Cambria Math" w:hint="eastAsia"/>
                      <w:kern w:val="21"/>
                    </w:rPr>
                    <m:t xml:space="preserve"> K</m:t>
                  </m:r>
                </m:e>
                <m:sub>
                  <m:r>
                    <m:rPr>
                      <m:sty m:val="p"/>
                    </m:rPr>
                    <w:rPr>
                      <w:rFonts w:ascii="Cambria Math" w:hAnsi="Cambria Math"/>
                      <w:kern w:val="21"/>
                    </w:rPr>
                    <m:t>I</m:t>
                  </m:r>
                  <m:r>
                    <w:rPr>
                      <w:rFonts w:ascii="Cambria Math" w:hAnsi="Cambria Math"/>
                      <w:kern w:val="21"/>
                    </w:rPr>
                    <m:t>H</m:t>
                  </m:r>
                </m:sub>
              </m:sSub>
              <m:r>
                <m:rPr>
                  <m:sty m:val="p"/>
                </m:rPr>
                <w:rPr>
                  <w:rFonts w:ascii="Cambria Math" w:hAnsi="Cambria Math" w:hint="eastAsia"/>
                  <w:kern w:val="21"/>
                </w:rPr>
                <m:t xml:space="preserve"> </m:t>
              </m:r>
            </m:oMath>
            <w:r w:rsidRPr="00BC31E0">
              <w:rPr>
                <w:rFonts w:hint="eastAsia"/>
                <w:kern w:val="21"/>
              </w:rPr>
              <w:t>決定の試験方法</w:t>
            </w:r>
          </w:p>
        </w:tc>
        <w:tc>
          <w:tcPr>
            <w:tcW w:w="2693" w:type="dxa"/>
            <w:vAlign w:val="center"/>
          </w:tcPr>
          <w:p w14:paraId="669CA181" w14:textId="77777777" w:rsidR="002D7C56" w:rsidRPr="00BC31E0" w:rsidRDefault="002D7C56" w:rsidP="00C412B8">
            <w:pPr>
              <w:spacing w:line="240" w:lineRule="auto"/>
              <w:jc w:val="center"/>
              <w:rPr>
                <w:kern w:val="21"/>
              </w:rPr>
            </w:pPr>
            <w:r w:rsidRPr="00BC31E0">
              <w:rPr>
                <w:rFonts w:hint="eastAsia"/>
                <w:kern w:val="21"/>
              </w:rPr>
              <w:t>－</w:t>
            </w:r>
          </w:p>
        </w:tc>
        <w:tc>
          <w:tcPr>
            <w:tcW w:w="2694" w:type="dxa"/>
            <w:vAlign w:val="center"/>
          </w:tcPr>
          <w:p w14:paraId="21ECC93A" w14:textId="77777777" w:rsidR="00E866C8" w:rsidRPr="00BC31E0" w:rsidRDefault="002D7C56" w:rsidP="00C412B8">
            <w:pPr>
              <w:spacing w:line="240" w:lineRule="auto"/>
              <w:rPr>
                <w:kern w:val="21"/>
              </w:rPr>
            </w:pPr>
            <w:r w:rsidRPr="00BC31E0">
              <w:rPr>
                <w:rFonts w:hint="eastAsia"/>
                <w:kern w:val="21"/>
              </w:rPr>
              <w:t>P</w:t>
            </w:r>
            <w:r w:rsidRPr="00BC31E0">
              <w:rPr>
                <w:kern w:val="21"/>
              </w:rPr>
              <w:t>.79</w:t>
            </w:r>
            <w:r w:rsidRPr="00BC31E0">
              <w:rPr>
                <w:rFonts w:hint="eastAsia"/>
                <w:kern w:val="21"/>
              </w:rPr>
              <w:t>～</w:t>
            </w:r>
            <w:r w:rsidRPr="00BC31E0">
              <w:rPr>
                <w:rFonts w:hint="eastAsia"/>
                <w:kern w:val="21"/>
              </w:rPr>
              <w:t>P.8</w:t>
            </w:r>
            <w:r w:rsidRPr="00BC31E0">
              <w:rPr>
                <w:kern w:val="21"/>
              </w:rPr>
              <w:t>0</w:t>
            </w:r>
            <w:r w:rsidR="00E866C8" w:rsidRPr="00BC31E0">
              <w:rPr>
                <w:rFonts w:hint="eastAsia"/>
                <w:kern w:val="21"/>
              </w:rPr>
              <w:t>，</w:t>
            </w:r>
            <w:r w:rsidRPr="00BC31E0">
              <w:rPr>
                <w:rFonts w:hint="eastAsia"/>
                <w:kern w:val="21"/>
              </w:rPr>
              <w:t>附属書</w:t>
            </w:r>
            <w:r w:rsidRPr="00BC31E0">
              <w:rPr>
                <w:rFonts w:hint="eastAsia"/>
                <w:kern w:val="21"/>
              </w:rPr>
              <w:t xml:space="preserve"> </w:t>
            </w:r>
            <w:r w:rsidRPr="00BC31E0">
              <w:rPr>
                <w:kern w:val="21"/>
              </w:rPr>
              <w:t>E</w:t>
            </w:r>
          </w:p>
          <w:p w14:paraId="13F0771C" w14:textId="77777777" w:rsidR="002D7C56" w:rsidRPr="00BC31E0" w:rsidRDefault="002D7C56" w:rsidP="00C412B8">
            <w:pPr>
              <w:spacing w:line="240" w:lineRule="auto"/>
              <w:rPr>
                <w:kern w:val="21"/>
              </w:rPr>
            </w:pPr>
            <w:r w:rsidRPr="00BC31E0">
              <w:rPr>
                <w:kern w:val="21"/>
              </w:rPr>
              <w:t>E.5.2</w:t>
            </w:r>
          </w:p>
        </w:tc>
      </w:tr>
      <w:tr w:rsidR="00EF003E" w:rsidRPr="00BC31E0" w14:paraId="62E30710" w14:textId="77777777" w:rsidTr="00BF64F9">
        <w:trPr>
          <w:trHeight w:val="726"/>
          <w:jc w:val="center"/>
        </w:trPr>
        <w:tc>
          <w:tcPr>
            <w:tcW w:w="3652" w:type="dxa"/>
            <w:vAlign w:val="center"/>
          </w:tcPr>
          <w:p w14:paraId="6EC0A601" w14:textId="77777777" w:rsidR="00EF003E" w:rsidRPr="00BC31E0" w:rsidRDefault="00EF003E" w:rsidP="00C412B8">
            <w:pPr>
              <w:spacing w:line="240" w:lineRule="auto"/>
              <w:rPr>
                <w:kern w:val="21"/>
              </w:rPr>
            </w:pPr>
            <w:r w:rsidRPr="00BC31E0">
              <w:rPr>
                <w:rFonts w:hint="eastAsia"/>
                <w:kern w:val="21"/>
              </w:rPr>
              <w:t>P</w:t>
            </w:r>
            <w:r w:rsidRPr="00BC31E0">
              <w:rPr>
                <w:kern w:val="21"/>
              </w:rPr>
              <w:t>.125</w:t>
            </w:r>
            <w:r w:rsidRPr="00BC31E0">
              <w:rPr>
                <w:rFonts w:hint="eastAsia"/>
                <w:kern w:val="21"/>
              </w:rPr>
              <w:t>，</w:t>
            </w:r>
            <w:r w:rsidRPr="00BC31E0">
              <w:rPr>
                <w:kern w:val="21"/>
              </w:rPr>
              <w:t>6.13.9</w:t>
            </w:r>
          </w:p>
          <w:p w14:paraId="6FAD6008" w14:textId="77777777" w:rsidR="00EF003E" w:rsidRPr="00BC31E0" w:rsidRDefault="00EF003E" w:rsidP="00C412B8">
            <w:pPr>
              <w:spacing w:line="240" w:lineRule="auto"/>
              <w:rPr>
                <w:kern w:val="21"/>
              </w:rPr>
            </w:pPr>
            <w:r w:rsidRPr="00BC31E0">
              <w:rPr>
                <w:rFonts w:hint="eastAsia"/>
                <w:kern w:val="21"/>
              </w:rPr>
              <w:t>疲労亀裂進展試験</w:t>
            </w:r>
          </w:p>
        </w:tc>
        <w:tc>
          <w:tcPr>
            <w:tcW w:w="2693" w:type="dxa"/>
            <w:vAlign w:val="center"/>
          </w:tcPr>
          <w:p w14:paraId="694A13DB" w14:textId="77777777" w:rsidR="00EF003E" w:rsidRPr="00BC31E0" w:rsidRDefault="00973461" w:rsidP="00C412B8">
            <w:pPr>
              <w:spacing w:line="240" w:lineRule="auto"/>
              <w:jc w:val="center"/>
              <w:rPr>
                <w:kern w:val="21"/>
              </w:rPr>
            </w:pPr>
            <w:r w:rsidRPr="00BC31E0">
              <w:rPr>
                <w:rFonts w:hint="eastAsia"/>
                <w:kern w:val="21"/>
              </w:rPr>
              <w:t>－</w:t>
            </w:r>
          </w:p>
        </w:tc>
        <w:tc>
          <w:tcPr>
            <w:tcW w:w="2694" w:type="dxa"/>
            <w:vAlign w:val="center"/>
          </w:tcPr>
          <w:p w14:paraId="59E8A9A0" w14:textId="77777777" w:rsidR="00E866C8" w:rsidRPr="00BC31E0" w:rsidRDefault="00EF003E" w:rsidP="00C412B8">
            <w:pPr>
              <w:spacing w:line="240" w:lineRule="auto"/>
              <w:rPr>
                <w:kern w:val="21"/>
              </w:rPr>
            </w:pPr>
            <w:r w:rsidRPr="00BC31E0">
              <w:rPr>
                <w:rFonts w:hint="eastAsia"/>
                <w:kern w:val="21"/>
              </w:rPr>
              <w:t>P</w:t>
            </w:r>
            <w:r w:rsidRPr="00BC31E0">
              <w:rPr>
                <w:kern w:val="21"/>
              </w:rPr>
              <w:t>.80</w:t>
            </w:r>
            <w:r w:rsidRPr="00BC31E0">
              <w:rPr>
                <w:rFonts w:hint="eastAsia"/>
                <w:kern w:val="21"/>
              </w:rPr>
              <w:t>～</w:t>
            </w:r>
            <w:r w:rsidRPr="00BC31E0">
              <w:rPr>
                <w:rFonts w:hint="eastAsia"/>
                <w:kern w:val="21"/>
              </w:rPr>
              <w:t>P.8</w:t>
            </w:r>
            <w:r w:rsidRPr="00BC31E0">
              <w:rPr>
                <w:kern w:val="21"/>
              </w:rPr>
              <w:t>1</w:t>
            </w:r>
            <w:r w:rsidR="00E866C8" w:rsidRPr="00BC31E0">
              <w:rPr>
                <w:rFonts w:hint="eastAsia"/>
                <w:kern w:val="21"/>
              </w:rPr>
              <w:t>，</w:t>
            </w:r>
            <w:r w:rsidRPr="00BC31E0">
              <w:rPr>
                <w:rFonts w:hint="eastAsia"/>
                <w:kern w:val="21"/>
              </w:rPr>
              <w:t>附属書</w:t>
            </w:r>
            <w:r w:rsidRPr="00BC31E0">
              <w:rPr>
                <w:rFonts w:hint="eastAsia"/>
                <w:kern w:val="21"/>
              </w:rPr>
              <w:t>E</w:t>
            </w:r>
          </w:p>
          <w:p w14:paraId="4DC03CA3" w14:textId="77777777" w:rsidR="00EF003E" w:rsidRPr="00BC31E0" w:rsidRDefault="00EF003E" w:rsidP="00C412B8">
            <w:pPr>
              <w:spacing w:line="240" w:lineRule="auto"/>
              <w:rPr>
                <w:kern w:val="21"/>
              </w:rPr>
            </w:pPr>
            <w:r w:rsidRPr="00BC31E0">
              <w:rPr>
                <w:rFonts w:hint="eastAsia"/>
                <w:kern w:val="21"/>
              </w:rPr>
              <w:t>E</w:t>
            </w:r>
            <w:r w:rsidRPr="00BC31E0">
              <w:rPr>
                <w:kern w:val="21"/>
              </w:rPr>
              <w:t>.6.2</w:t>
            </w:r>
          </w:p>
        </w:tc>
      </w:tr>
    </w:tbl>
    <w:p w14:paraId="3A92E673" w14:textId="77777777" w:rsidR="002F7FA3" w:rsidRPr="00BC31E0" w:rsidRDefault="002F7FA3" w:rsidP="00C412B8"/>
    <w:p w14:paraId="309FAA5C" w14:textId="77777777" w:rsidR="00C412B8" w:rsidRPr="00BC31E0" w:rsidRDefault="00C412B8" w:rsidP="00C412B8"/>
    <w:tbl>
      <w:tblPr>
        <w:tblpPr w:leftFromText="142" w:rightFromText="142" w:vertAnchor="text" w:tblpXSpec="center" w:tblpY="1"/>
        <w:tblOverlap w:val="neve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3402"/>
        <w:gridCol w:w="1985"/>
      </w:tblGrid>
      <w:tr w:rsidR="002D7C56" w:rsidRPr="00BC31E0" w14:paraId="74CC0BC4" w14:textId="77777777" w:rsidTr="00BF64F9">
        <w:trPr>
          <w:jc w:val="center"/>
        </w:trPr>
        <w:tc>
          <w:tcPr>
            <w:tcW w:w="3652" w:type="dxa"/>
            <w:tcBorders>
              <w:top w:val="single" w:sz="4" w:space="0" w:color="000000"/>
              <w:left w:val="single" w:sz="4" w:space="0" w:color="000000"/>
              <w:bottom w:val="single" w:sz="4" w:space="0" w:color="000000"/>
              <w:right w:val="single" w:sz="4" w:space="0" w:color="000000"/>
            </w:tcBorders>
            <w:vAlign w:val="center"/>
          </w:tcPr>
          <w:p w14:paraId="78576A6E" w14:textId="77777777" w:rsidR="002D7C56" w:rsidRPr="00BC31E0" w:rsidRDefault="002D7C56" w:rsidP="00C412B8">
            <w:pPr>
              <w:jc w:val="center"/>
              <w:rPr>
                <w:kern w:val="21"/>
              </w:rPr>
            </w:pPr>
            <w:r w:rsidRPr="00BC31E0">
              <w:rPr>
                <w:rFonts w:hint="eastAsia"/>
                <w:kern w:val="21"/>
              </w:rPr>
              <w:lastRenderedPageBreak/>
              <w:t>HPIS C</w:t>
            </w:r>
            <w:r w:rsidRPr="00BC31E0">
              <w:rPr>
                <w:kern w:val="21"/>
              </w:rPr>
              <w:t xml:space="preserve"> </w:t>
            </w:r>
            <w:r w:rsidRPr="00BC31E0">
              <w:rPr>
                <w:rFonts w:hint="eastAsia"/>
                <w:kern w:val="21"/>
              </w:rPr>
              <w:t>106:20</w:t>
            </w:r>
            <w:r w:rsidR="007B7B21" w:rsidRPr="00BC31E0">
              <w:rPr>
                <w:kern w:val="21"/>
              </w:rPr>
              <w:t>XX</w:t>
            </w:r>
          </w:p>
        </w:tc>
        <w:tc>
          <w:tcPr>
            <w:tcW w:w="3402" w:type="dxa"/>
            <w:tcBorders>
              <w:top w:val="single" w:sz="4" w:space="0" w:color="000000"/>
              <w:left w:val="single" w:sz="4" w:space="0" w:color="000000"/>
              <w:bottom w:val="single" w:sz="4" w:space="0" w:color="000000"/>
              <w:right w:val="single" w:sz="4" w:space="0" w:color="000000"/>
            </w:tcBorders>
            <w:vAlign w:val="center"/>
          </w:tcPr>
          <w:p w14:paraId="4C9AE416" w14:textId="77777777" w:rsidR="002D7C56" w:rsidRPr="00BC31E0" w:rsidRDefault="002D7C56" w:rsidP="00C412B8">
            <w:pPr>
              <w:jc w:val="center"/>
              <w:rPr>
                <w:kern w:val="21"/>
              </w:rPr>
            </w:pPr>
            <w:r w:rsidRPr="00BC31E0">
              <w:rPr>
                <w:rFonts w:hint="eastAsia"/>
                <w:kern w:val="21"/>
              </w:rPr>
              <w:t>KHKS 0220(2004)</w:t>
            </w:r>
          </w:p>
        </w:tc>
        <w:tc>
          <w:tcPr>
            <w:tcW w:w="1985" w:type="dxa"/>
            <w:tcBorders>
              <w:top w:val="single" w:sz="4" w:space="0" w:color="000000"/>
              <w:left w:val="single" w:sz="4" w:space="0" w:color="000000"/>
              <w:bottom w:val="single" w:sz="4" w:space="0" w:color="000000"/>
              <w:right w:val="single" w:sz="4" w:space="0" w:color="000000"/>
            </w:tcBorders>
            <w:vAlign w:val="center"/>
          </w:tcPr>
          <w:p w14:paraId="6D2D1002" w14:textId="77777777" w:rsidR="002D7C56" w:rsidRPr="00BC31E0" w:rsidRDefault="002D7C56" w:rsidP="00C412B8">
            <w:pPr>
              <w:jc w:val="center"/>
              <w:rPr>
                <w:kern w:val="21"/>
              </w:rPr>
            </w:pPr>
            <w:r w:rsidRPr="00BC31E0">
              <w:rPr>
                <w:rFonts w:hint="eastAsia"/>
                <w:kern w:val="21"/>
              </w:rPr>
              <w:t>KHKS 0220(20</w:t>
            </w:r>
            <w:r w:rsidRPr="00BC31E0">
              <w:rPr>
                <w:kern w:val="21"/>
              </w:rPr>
              <w:t>2</w:t>
            </w:r>
            <w:r w:rsidRPr="00BC31E0">
              <w:rPr>
                <w:rFonts w:hint="eastAsia"/>
                <w:kern w:val="21"/>
              </w:rPr>
              <w:t>0)</w:t>
            </w:r>
          </w:p>
        </w:tc>
      </w:tr>
      <w:tr w:rsidR="0036329A" w:rsidRPr="00BC31E0" w14:paraId="4869AAC8" w14:textId="77777777" w:rsidTr="00BF64F9">
        <w:trPr>
          <w:jc w:val="center"/>
        </w:trPr>
        <w:tc>
          <w:tcPr>
            <w:tcW w:w="3652" w:type="dxa"/>
            <w:tcBorders>
              <w:top w:val="single" w:sz="4" w:space="0" w:color="000000"/>
              <w:left w:val="single" w:sz="4" w:space="0" w:color="000000"/>
              <w:bottom w:val="single" w:sz="4" w:space="0" w:color="000000"/>
              <w:right w:val="single" w:sz="4" w:space="0" w:color="000000"/>
            </w:tcBorders>
            <w:vAlign w:val="center"/>
          </w:tcPr>
          <w:p w14:paraId="52EC65E6" w14:textId="77777777" w:rsidR="0036329A" w:rsidRPr="00BC31E0" w:rsidRDefault="0036329A" w:rsidP="00C412B8">
            <w:pPr>
              <w:rPr>
                <w:kern w:val="21"/>
              </w:rPr>
            </w:pPr>
            <w:r w:rsidRPr="00BC31E0">
              <w:rPr>
                <w:rFonts w:hint="eastAsia"/>
                <w:kern w:val="21"/>
              </w:rPr>
              <w:t>P.</w:t>
            </w:r>
            <w:r w:rsidRPr="00BC31E0">
              <w:rPr>
                <w:rFonts w:hint="eastAsia"/>
                <w:kern w:val="21"/>
              </w:rPr>
              <w:t>解</w:t>
            </w:r>
            <w:r w:rsidRPr="00BC31E0">
              <w:rPr>
                <w:rFonts w:hint="eastAsia"/>
                <w:kern w:val="21"/>
              </w:rPr>
              <w:t>2</w:t>
            </w:r>
            <w:r w:rsidRPr="00BC31E0">
              <w:rPr>
                <w:kern w:val="21"/>
              </w:rPr>
              <w:t>5</w:t>
            </w:r>
            <w:r w:rsidRPr="00BC31E0">
              <w:rPr>
                <w:rFonts w:hint="eastAsia"/>
                <w:kern w:val="21"/>
              </w:rPr>
              <w:t>，解説図</w:t>
            </w:r>
            <w:r w:rsidRPr="00BC31E0">
              <w:rPr>
                <w:rFonts w:hint="eastAsia"/>
                <w:kern w:val="21"/>
              </w:rPr>
              <w:t>6</w:t>
            </w:r>
            <w:r w:rsidRPr="00BC31E0">
              <w:rPr>
                <w:kern w:val="21"/>
              </w:rPr>
              <w:t>.3.3</w:t>
            </w:r>
          </w:p>
          <w:p w14:paraId="520E0098" w14:textId="77777777" w:rsidR="0036329A" w:rsidRPr="00BC31E0" w:rsidRDefault="0036329A" w:rsidP="00C412B8">
            <w:pPr>
              <w:rPr>
                <w:kern w:val="21"/>
              </w:rPr>
            </w:pPr>
            <w:r w:rsidRPr="00BC31E0">
              <w:rPr>
                <w:rFonts w:hint="eastAsia"/>
                <w:kern w:val="21"/>
              </w:rPr>
              <w:t>K</w:t>
            </w:r>
            <w:r w:rsidRPr="00BC31E0">
              <w:rPr>
                <w:kern w:val="21"/>
              </w:rPr>
              <w:t>HK</w:t>
            </w:r>
            <w:r w:rsidRPr="00BC31E0">
              <w:rPr>
                <w:rFonts w:hint="eastAsia"/>
                <w:kern w:val="21"/>
              </w:rPr>
              <w:t>と表記した設計疲労曲線</w:t>
            </w:r>
          </w:p>
        </w:tc>
        <w:tc>
          <w:tcPr>
            <w:tcW w:w="3402" w:type="dxa"/>
            <w:tcBorders>
              <w:top w:val="single" w:sz="4" w:space="0" w:color="000000"/>
              <w:left w:val="single" w:sz="4" w:space="0" w:color="000000"/>
              <w:bottom w:val="single" w:sz="4" w:space="0" w:color="000000"/>
              <w:right w:val="single" w:sz="4" w:space="0" w:color="000000"/>
            </w:tcBorders>
            <w:vAlign w:val="center"/>
          </w:tcPr>
          <w:p w14:paraId="7E39B177" w14:textId="77777777" w:rsidR="0036329A" w:rsidRPr="00BC31E0" w:rsidRDefault="0036329A" w:rsidP="00C412B8">
            <w:pPr>
              <w:rPr>
                <w:rFonts w:asciiTheme="minorHAnsi" w:eastAsiaTheme="minorEastAsia" w:hAnsiTheme="minorHAnsi"/>
                <w:kern w:val="21"/>
              </w:rPr>
            </w:pPr>
            <w:r w:rsidRPr="00BC31E0">
              <w:rPr>
                <w:rFonts w:asciiTheme="minorHAnsi" w:eastAsiaTheme="minorEastAsia" w:hAnsiTheme="minorHAnsi"/>
                <w:kern w:val="21"/>
              </w:rPr>
              <w:t>P.17</w:t>
            </w:r>
            <w:r w:rsidRPr="00BC31E0">
              <w:rPr>
                <w:rFonts w:asciiTheme="minorHAnsi" w:eastAsiaTheme="minorEastAsia" w:hAnsiTheme="minorEastAsia"/>
                <w:kern w:val="21"/>
              </w:rPr>
              <w:t>，図</w:t>
            </w:r>
            <w:r w:rsidRPr="00BC31E0">
              <w:rPr>
                <w:rFonts w:asciiTheme="minorHAnsi" w:eastAsiaTheme="minorEastAsia" w:hAnsiTheme="minorHAnsi"/>
                <w:kern w:val="21"/>
              </w:rPr>
              <w:t>2</w:t>
            </w:r>
            <w:r w:rsidR="003F3853" w:rsidRPr="00BC31E0">
              <w:rPr>
                <w:rFonts w:asciiTheme="minorHAnsi" w:eastAsiaTheme="minorEastAsia" w:hAnsiTheme="minorHAnsi" w:hint="eastAsia"/>
                <w:kern w:val="21"/>
              </w:rPr>
              <w:t xml:space="preserve"> (</w:t>
            </w:r>
            <w:r w:rsidR="003F3853" w:rsidRPr="00BC31E0">
              <w:rPr>
                <w:rFonts w:asciiTheme="minorHAnsi" w:eastAsiaTheme="minorEastAsia" w:hAnsiTheme="minorHAnsi" w:hint="eastAsia"/>
                <w:kern w:val="21"/>
              </w:rPr>
              <w:t>実線の設計疲労曲線</w:t>
            </w:r>
            <w:r w:rsidR="003F3853" w:rsidRPr="00BC31E0">
              <w:rPr>
                <w:rFonts w:asciiTheme="minorHAnsi" w:eastAsiaTheme="minorEastAsia" w:hAnsiTheme="minorHAnsi" w:hint="eastAsia"/>
                <w:kern w:val="21"/>
              </w:rPr>
              <w:t>)</w:t>
            </w:r>
          </w:p>
        </w:tc>
        <w:tc>
          <w:tcPr>
            <w:tcW w:w="1985" w:type="dxa"/>
            <w:tcBorders>
              <w:top w:val="single" w:sz="4" w:space="0" w:color="000000"/>
              <w:left w:val="single" w:sz="4" w:space="0" w:color="000000"/>
              <w:bottom w:val="single" w:sz="4" w:space="0" w:color="000000"/>
              <w:right w:val="single" w:sz="4" w:space="0" w:color="000000"/>
            </w:tcBorders>
            <w:vAlign w:val="center"/>
          </w:tcPr>
          <w:p w14:paraId="065A11CD" w14:textId="77777777" w:rsidR="0036329A" w:rsidRPr="00BC31E0" w:rsidRDefault="0036329A" w:rsidP="00C412B8">
            <w:pPr>
              <w:jc w:val="center"/>
              <w:rPr>
                <w:kern w:val="21"/>
              </w:rPr>
            </w:pPr>
            <w:r w:rsidRPr="00BC31E0">
              <w:rPr>
                <w:rFonts w:hint="eastAsia"/>
                <w:kern w:val="21"/>
              </w:rPr>
              <w:t>－</w:t>
            </w:r>
          </w:p>
        </w:tc>
      </w:tr>
      <w:tr w:rsidR="0036329A" w:rsidRPr="00BC31E0" w14:paraId="6AAD35B3" w14:textId="77777777" w:rsidTr="00BF64F9">
        <w:trPr>
          <w:jc w:val="center"/>
        </w:trPr>
        <w:tc>
          <w:tcPr>
            <w:tcW w:w="3652" w:type="dxa"/>
            <w:tcBorders>
              <w:top w:val="single" w:sz="4" w:space="0" w:color="000000"/>
              <w:left w:val="single" w:sz="4" w:space="0" w:color="000000"/>
              <w:bottom w:val="single" w:sz="4" w:space="0" w:color="000000"/>
              <w:right w:val="single" w:sz="4" w:space="0" w:color="000000"/>
            </w:tcBorders>
            <w:vAlign w:val="center"/>
          </w:tcPr>
          <w:p w14:paraId="18C9952C" w14:textId="77777777" w:rsidR="0036329A" w:rsidRPr="00BC31E0" w:rsidRDefault="0036329A" w:rsidP="00C412B8">
            <w:pPr>
              <w:rPr>
                <w:kern w:val="21"/>
              </w:rPr>
            </w:pPr>
            <w:r w:rsidRPr="00BC31E0">
              <w:rPr>
                <w:rFonts w:hint="eastAsia"/>
                <w:kern w:val="21"/>
              </w:rPr>
              <w:t>P.</w:t>
            </w:r>
            <w:r w:rsidRPr="00BC31E0">
              <w:rPr>
                <w:rFonts w:hint="eastAsia"/>
                <w:kern w:val="21"/>
              </w:rPr>
              <w:t>解</w:t>
            </w:r>
            <w:r w:rsidRPr="00BC31E0">
              <w:rPr>
                <w:kern w:val="21"/>
              </w:rPr>
              <w:t>26</w:t>
            </w:r>
            <w:r w:rsidRPr="00BC31E0">
              <w:rPr>
                <w:rFonts w:hint="eastAsia"/>
                <w:kern w:val="21"/>
              </w:rPr>
              <w:t>，解説図</w:t>
            </w:r>
            <w:r w:rsidRPr="00BC31E0">
              <w:rPr>
                <w:kern w:val="21"/>
              </w:rPr>
              <w:t>6.3.4(a)</w:t>
            </w:r>
            <w:r w:rsidRPr="00BC31E0">
              <w:rPr>
                <w:rFonts w:hint="eastAsia"/>
                <w:kern w:val="21"/>
              </w:rPr>
              <w:t>及び</w:t>
            </w:r>
            <w:r w:rsidRPr="00BC31E0">
              <w:rPr>
                <w:kern w:val="21"/>
              </w:rPr>
              <w:t>(b)</w:t>
            </w:r>
          </w:p>
          <w:p w14:paraId="086C7CA6" w14:textId="77777777" w:rsidR="0036329A" w:rsidRPr="00BC31E0" w:rsidRDefault="0036329A" w:rsidP="00C412B8">
            <w:pPr>
              <w:rPr>
                <w:kern w:val="21"/>
              </w:rPr>
            </w:pPr>
            <w:r w:rsidRPr="00BC31E0">
              <w:rPr>
                <w:rFonts w:hint="eastAsia"/>
                <w:kern w:val="21"/>
              </w:rPr>
              <w:t>K</w:t>
            </w:r>
            <w:r w:rsidRPr="00BC31E0">
              <w:rPr>
                <w:kern w:val="21"/>
              </w:rPr>
              <w:t>HK</w:t>
            </w:r>
            <w:r w:rsidRPr="00BC31E0">
              <w:rPr>
                <w:rFonts w:hint="eastAsia"/>
                <w:kern w:val="21"/>
              </w:rPr>
              <w:t>と表記した設計疲労曲線</w:t>
            </w:r>
          </w:p>
        </w:tc>
        <w:tc>
          <w:tcPr>
            <w:tcW w:w="3402" w:type="dxa"/>
            <w:tcBorders>
              <w:top w:val="single" w:sz="4" w:space="0" w:color="000000"/>
              <w:left w:val="single" w:sz="4" w:space="0" w:color="000000"/>
              <w:bottom w:val="single" w:sz="4" w:space="0" w:color="000000"/>
              <w:right w:val="single" w:sz="4" w:space="0" w:color="000000"/>
            </w:tcBorders>
            <w:vAlign w:val="center"/>
          </w:tcPr>
          <w:p w14:paraId="44F6A09B" w14:textId="77777777" w:rsidR="0036329A" w:rsidRPr="00BC31E0" w:rsidRDefault="0036329A" w:rsidP="00C412B8">
            <w:pPr>
              <w:rPr>
                <w:rFonts w:asciiTheme="minorHAnsi" w:eastAsiaTheme="minorEastAsia" w:hAnsiTheme="minorHAnsi"/>
                <w:kern w:val="21"/>
              </w:rPr>
            </w:pPr>
            <w:r w:rsidRPr="00BC31E0">
              <w:rPr>
                <w:rFonts w:asciiTheme="minorHAnsi" w:eastAsiaTheme="minorEastAsia" w:hAnsiTheme="minorHAnsi"/>
                <w:kern w:val="21"/>
              </w:rPr>
              <w:t>P.17</w:t>
            </w:r>
            <w:r w:rsidRPr="00BC31E0">
              <w:rPr>
                <w:rFonts w:asciiTheme="minorHAnsi" w:eastAsiaTheme="minorEastAsia" w:hAnsiTheme="minorEastAsia"/>
                <w:kern w:val="21"/>
              </w:rPr>
              <w:t>，図</w:t>
            </w:r>
            <w:r w:rsidRPr="00BC31E0">
              <w:rPr>
                <w:rFonts w:asciiTheme="minorHAnsi" w:eastAsiaTheme="minorEastAsia" w:hAnsiTheme="minorHAnsi"/>
                <w:kern w:val="21"/>
              </w:rPr>
              <w:t>2</w:t>
            </w:r>
            <w:r w:rsidR="003F3853" w:rsidRPr="00BC31E0">
              <w:rPr>
                <w:rFonts w:asciiTheme="minorHAnsi" w:eastAsiaTheme="minorEastAsia" w:hAnsiTheme="minorHAnsi" w:hint="eastAsia"/>
                <w:kern w:val="21"/>
              </w:rPr>
              <w:t xml:space="preserve"> (</w:t>
            </w:r>
            <w:r w:rsidR="003F3853" w:rsidRPr="00BC31E0">
              <w:rPr>
                <w:rFonts w:asciiTheme="minorHAnsi" w:eastAsiaTheme="minorEastAsia" w:hAnsiTheme="minorHAnsi" w:hint="eastAsia"/>
                <w:kern w:val="21"/>
              </w:rPr>
              <w:t>実線の設計疲労曲線</w:t>
            </w:r>
            <w:r w:rsidR="003F3853" w:rsidRPr="00BC31E0">
              <w:rPr>
                <w:rFonts w:asciiTheme="minorHAnsi" w:eastAsiaTheme="minorEastAsia" w:hAnsiTheme="minorHAnsi" w:hint="eastAsia"/>
                <w:kern w:val="21"/>
              </w:rPr>
              <w:t>)</w:t>
            </w:r>
          </w:p>
        </w:tc>
        <w:tc>
          <w:tcPr>
            <w:tcW w:w="1985" w:type="dxa"/>
            <w:tcBorders>
              <w:top w:val="single" w:sz="4" w:space="0" w:color="000000"/>
              <w:left w:val="single" w:sz="4" w:space="0" w:color="000000"/>
              <w:bottom w:val="single" w:sz="4" w:space="0" w:color="000000"/>
              <w:right w:val="single" w:sz="4" w:space="0" w:color="000000"/>
            </w:tcBorders>
            <w:vAlign w:val="center"/>
          </w:tcPr>
          <w:p w14:paraId="447C2BE8" w14:textId="77777777" w:rsidR="0036329A" w:rsidRPr="00BC31E0" w:rsidRDefault="0036329A" w:rsidP="00C412B8">
            <w:pPr>
              <w:jc w:val="center"/>
              <w:rPr>
                <w:kern w:val="21"/>
              </w:rPr>
            </w:pPr>
            <w:r w:rsidRPr="00BC31E0">
              <w:rPr>
                <w:rFonts w:hint="eastAsia"/>
                <w:kern w:val="21"/>
              </w:rPr>
              <w:t>－</w:t>
            </w:r>
          </w:p>
        </w:tc>
      </w:tr>
      <w:tr w:rsidR="0036329A" w:rsidRPr="00BC31E0" w14:paraId="43266EF7" w14:textId="77777777" w:rsidTr="00BF64F9">
        <w:trPr>
          <w:jc w:val="center"/>
        </w:trPr>
        <w:tc>
          <w:tcPr>
            <w:tcW w:w="3652" w:type="dxa"/>
            <w:tcBorders>
              <w:top w:val="single" w:sz="4" w:space="0" w:color="000000"/>
              <w:left w:val="single" w:sz="4" w:space="0" w:color="000000"/>
              <w:bottom w:val="single" w:sz="4" w:space="0" w:color="000000"/>
              <w:right w:val="single" w:sz="4" w:space="0" w:color="000000"/>
            </w:tcBorders>
            <w:vAlign w:val="center"/>
          </w:tcPr>
          <w:p w14:paraId="11F20CBD" w14:textId="77777777" w:rsidR="0036329A" w:rsidRPr="00BC31E0" w:rsidRDefault="0036329A" w:rsidP="00C412B8">
            <w:pPr>
              <w:rPr>
                <w:kern w:val="21"/>
              </w:rPr>
            </w:pPr>
            <w:r w:rsidRPr="00BC31E0">
              <w:rPr>
                <w:rFonts w:hint="eastAsia"/>
                <w:kern w:val="21"/>
              </w:rPr>
              <w:t>P.</w:t>
            </w:r>
            <w:r w:rsidRPr="00BC31E0">
              <w:rPr>
                <w:rFonts w:hint="eastAsia"/>
                <w:kern w:val="21"/>
              </w:rPr>
              <w:t>解</w:t>
            </w:r>
            <w:r w:rsidRPr="00BC31E0">
              <w:rPr>
                <w:rFonts w:hint="eastAsia"/>
                <w:kern w:val="21"/>
              </w:rPr>
              <w:t>3</w:t>
            </w:r>
            <w:r w:rsidRPr="00BC31E0">
              <w:rPr>
                <w:kern w:val="21"/>
              </w:rPr>
              <w:t>1</w:t>
            </w:r>
            <w:r w:rsidRPr="00BC31E0">
              <w:rPr>
                <w:rFonts w:hint="eastAsia"/>
                <w:kern w:val="21"/>
              </w:rPr>
              <w:t>，解説図</w:t>
            </w:r>
            <w:r w:rsidRPr="00BC31E0">
              <w:rPr>
                <w:rFonts w:hint="eastAsia"/>
                <w:kern w:val="21"/>
              </w:rPr>
              <w:t>6</w:t>
            </w:r>
            <w:r w:rsidRPr="00BC31E0">
              <w:rPr>
                <w:kern w:val="21"/>
              </w:rPr>
              <w:t>.3.10</w:t>
            </w:r>
            <w:r w:rsidRPr="00BC31E0">
              <w:rPr>
                <w:rFonts w:hint="eastAsia"/>
                <w:kern w:val="21"/>
              </w:rPr>
              <w:t>及び</w:t>
            </w:r>
            <w:r w:rsidRPr="00BC31E0">
              <w:rPr>
                <w:kern w:val="21"/>
              </w:rPr>
              <w:t>6.3.11</w:t>
            </w:r>
          </w:p>
          <w:p w14:paraId="0DDF7A0B" w14:textId="77777777" w:rsidR="0036329A" w:rsidRPr="00BC31E0" w:rsidRDefault="0036329A" w:rsidP="00C412B8">
            <w:pPr>
              <w:rPr>
                <w:kern w:val="21"/>
              </w:rPr>
            </w:pPr>
            <w:r w:rsidRPr="00BC31E0">
              <w:rPr>
                <w:rFonts w:hint="eastAsia"/>
                <w:kern w:val="21"/>
              </w:rPr>
              <w:t>K</w:t>
            </w:r>
            <w:r w:rsidRPr="00BC31E0">
              <w:rPr>
                <w:kern w:val="21"/>
              </w:rPr>
              <w:t>HK</w:t>
            </w:r>
            <w:r w:rsidRPr="00BC31E0">
              <w:rPr>
                <w:rFonts w:hint="eastAsia"/>
                <w:kern w:val="21"/>
              </w:rPr>
              <w:t>と表記した設計疲労曲線</w:t>
            </w:r>
          </w:p>
        </w:tc>
        <w:tc>
          <w:tcPr>
            <w:tcW w:w="3402" w:type="dxa"/>
            <w:tcBorders>
              <w:top w:val="single" w:sz="4" w:space="0" w:color="000000"/>
              <w:left w:val="single" w:sz="4" w:space="0" w:color="000000"/>
              <w:bottom w:val="single" w:sz="4" w:space="0" w:color="000000"/>
              <w:right w:val="single" w:sz="4" w:space="0" w:color="000000"/>
            </w:tcBorders>
            <w:vAlign w:val="center"/>
          </w:tcPr>
          <w:p w14:paraId="5159A122" w14:textId="77777777" w:rsidR="0036329A" w:rsidRPr="00BC31E0" w:rsidRDefault="0036329A" w:rsidP="00C412B8">
            <w:pPr>
              <w:rPr>
                <w:rFonts w:asciiTheme="minorHAnsi" w:eastAsiaTheme="minorEastAsia" w:hAnsiTheme="minorHAnsi"/>
                <w:kern w:val="21"/>
              </w:rPr>
            </w:pPr>
            <w:r w:rsidRPr="00BC31E0">
              <w:rPr>
                <w:rFonts w:asciiTheme="minorHAnsi" w:eastAsiaTheme="minorEastAsia" w:hAnsiTheme="minorHAnsi"/>
                <w:kern w:val="21"/>
              </w:rPr>
              <w:t>P.17</w:t>
            </w:r>
            <w:r w:rsidRPr="00BC31E0">
              <w:rPr>
                <w:rFonts w:asciiTheme="minorHAnsi" w:eastAsiaTheme="minorEastAsia" w:hAnsiTheme="minorEastAsia"/>
                <w:kern w:val="21"/>
              </w:rPr>
              <w:t>，図</w:t>
            </w:r>
            <w:r w:rsidRPr="00BC31E0">
              <w:rPr>
                <w:rFonts w:asciiTheme="minorHAnsi" w:eastAsiaTheme="minorEastAsia" w:hAnsiTheme="minorHAnsi"/>
                <w:kern w:val="21"/>
              </w:rPr>
              <w:t>2</w:t>
            </w:r>
            <w:r w:rsidR="003F3853" w:rsidRPr="00BC31E0">
              <w:rPr>
                <w:rFonts w:asciiTheme="minorHAnsi" w:eastAsiaTheme="minorEastAsia" w:hAnsiTheme="minorHAnsi" w:hint="eastAsia"/>
                <w:kern w:val="21"/>
              </w:rPr>
              <w:t xml:space="preserve"> (</w:t>
            </w:r>
            <w:r w:rsidRPr="00BC31E0">
              <w:rPr>
                <w:rFonts w:asciiTheme="minorHAnsi" w:eastAsiaTheme="minorEastAsia" w:hAnsiTheme="minorEastAsia"/>
                <w:kern w:val="21"/>
              </w:rPr>
              <w:t>実線</w:t>
            </w:r>
            <w:r w:rsidR="003F3853" w:rsidRPr="00BC31E0">
              <w:rPr>
                <w:rFonts w:asciiTheme="minorHAnsi" w:eastAsiaTheme="minorEastAsia" w:hAnsiTheme="minorHAnsi" w:hint="eastAsia"/>
                <w:kern w:val="21"/>
              </w:rPr>
              <w:t>の設計疲労曲線</w:t>
            </w:r>
            <w:r w:rsidR="003F3853" w:rsidRPr="00BC31E0">
              <w:rPr>
                <w:rFonts w:asciiTheme="minorHAnsi" w:eastAsiaTheme="minorEastAsia" w:hAnsiTheme="minorEastAsia" w:hint="eastAsia"/>
                <w:kern w:val="21"/>
              </w:rPr>
              <w:t>)</w:t>
            </w:r>
          </w:p>
        </w:tc>
        <w:tc>
          <w:tcPr>
            <w:tcW w:w="1985" w:type="dxa"/>
            <w:tcBorders>
              <w:top w:val="single" w:sz="4" w:space="0" w:color="000000"/>
              <w:left w:val="single" w:sz="4" w:space="0" w:color="000000"/>
              <w:bottom w:val="single" w:sz="4" w:space="0" w:color="000000"/>
              <w:right w:val="single" w:sz="4" w:space="0" w:color="000000"/>
            </w:tcBorders>
            <w:vAlign w:val="center"/>
          </w:tcPr>
          <w:p w14:paraId="76876479" w14:textId="77777777" w:rsidR="0036329A" w:rsidRPr="00BC31E0" w:rsidRDefault="0036329A" w:rsidP="00C412B8">
            <w:pPr>
              <w:jc w:val="center"/>
              <w:rPr>
                <w:kern w:val="21"/>
              </w:rPr>
            </w:pPr>
            <w:r w:rsidRPr="00BC31E0">
              <w:rPr>
                <w:rFonts w:hint="eastAsia"/>
                <w:kern w:val="21"/>
              </w:rPr>
              <w:t>－</w:t>
            </w:r>
          </w:p>
        </w:tc>
      </w:tr>
      <w:tr w:rsidR="0036329A" w:rsidRPr="00BC31E0" w14:paraId="5FE33550" w14:textId="77777777" w:rsidTr="00BF64F9">
        <w:trPr>
          <w:jc w:val="center"/>
        </w:trPr>
        <w:tc>
          <w:tcPr>
            <w:tcW w:w="3652" w:type="dxa"/>
            <w:tcBorders>
              <w:top w:val="single" w:sz="4" w:space="0" w:color="000000"/>
              <w:left w:val="single" w:sz="4" w:space="0" w:color="000000"/>
              <w:bottom w:val="single" w:sz="4" w:space="0" w:color="000000"/>
              <w:right w:val="single" w:sz="4" w:space="0" w:color="000000"/>
            </w:tcBorders>
            <w:vAlign w:val="center"/>
          </w:tcPr>
          <w:p w14:paraId="347BE10F" w14:textId="77777777" w:rsidR="0036329A" w:rsidRPr="00BC31E0" w:rsidRDefault="0036329A" w:rsidP="00C412B8">
            <w:pPr>
              <w:rPr>
                <w:kern w:val="21"/>
              </w:rPr>
            </w:pPr>
            <w:r w:rsidRPr="00BC31E0">
              <w:rPr>
                <w:rFonts w:hint="eastAsia"/>
                <w:kern w:val="21"/>
              </w:rPr>
              <w:t>P.</w:t>
            </w:r>
            <w:r w:rsidRPr="00BC31E0">
              <w:rPr>
                <w:rFonts w:hint="eastAsia"/>
                <w:kern w:val="21"/>
              </w:rPr>
              <w:t>解</w:t>
            </w:r>
            <w:r w:rsidRPr="00BC31E0">
              <w:rPr>
                <w:rFonts w:hint="eastAsia"/>
                <w:kern w:val="21"/>
              </w:rPr>
              <w:t>3</w:t>
            </w:r>
            <w:r w:rsidRPr="00BC31E0">
              <w:rPr>
                <w:kern w:val="21"/>
              </w:rPr>
              <w:t>3</w:t>
            </w:r>
            <w:r w:rsidRPr="00BC31E0">
              <w:rPr>
                <w:rFonts w:hint="eastAsia"/>
                <w:kern w:val="21"/>
              </w:rPr>
              <w:t>及び</w:t>
            </w:r>
            <w:r w:rsidRPr="00BC31E0">
              <w:rPr>
                <w:rFonts w:hint="eastAsia"/>
                <w:kern w:val="21"/>
              </w:rPr>
              <w:t xml:space="preserve"> P.</w:t>
            </w:r>
            <w:r w:rsidRPr="00BC31E0">
              <w:rPr>
                <w:rFonts w:hint="eastAsia"/>
                <w:kern w:val="21"/>
              </w:rPr>
              <w:t>解</w:t>
            </w:r>
            <w:r w:rsidRPr="00BC31E0">
              <w:rPr>
                <w:kern w:val="21"/>
              </w:rPr>
              <w:t>34</w:t>
            </w:r>
            <w:r w:rsidRPr="00BC31E0">
              <w:rPr>
                <w:rFonts w:hint="eastAsia"/>
                <w:kern w:val="21"/>
              </w:rPr>
              <w:t>，</w:t>
            </w:r>
            <w:r w:rsidR="00BF64F9" w:rsidRPr="00BC31E0">
              <w:rPr>
                <w:kern w:val="21"/>
              </w:rPr>
              <w:t xml:space="preserve">6 </w:t>
            </w:r>
            <w:r w:rsidRPr="00BC31E0">
              <w:rPr>
                <w:kern w:val="21"/>
              </w:rPr>
              <w:t>q)</w:t>
            </w:r>
            <w:r w:rsidRPr="00BC31E0">
              <w:rPr>
                <w:rFonts w:eastAsiaTheme="minorEastAsia"/>
                <w:kern w:val="21"/>
              </w:rPr>
              <w:t xml:space="preserve"> </w:t>
            </w:r>
            <w:r w:rsidRPr="00BC31E0">
              <w:rPr>
                <w:kern w:val="21"/>
              </w:rPr>
              <w:t>6.3.5</w:t>
            </w:r>
            <w:r w:rsidRPr="00BC31E0">
              <w:rPr>
                <w:rFonts w:eastAsiaTheme="minorEastAsia"/>
                <w:kern w:val="21"/>
              </w:rPr>
              <w:t xml:space="preserve"> </w:t>
            </w:r>
            <w:r w:rsidRPr="00BC31E0">
              <w:rPr>
                <w:kern w:val="21"/>
              </w:rPr>
              <w:t>b)</w:t>
            </w:r>
            <w:r w:rsidRPr="00BC31E0">
              <w:rPr>
                <w:rFonts w:eastAsiaTheme="minorEastAsia"/>
                <w:kern w:val="21"/>
              </w:rPr>
              <w:t xml:space="preserve"> </w:t>
            </w:r>
            <w:r w:rsidRPr="00BC31E0">
              <w:rPr>
                <w:kern w:val="21"/>
              </w:rPr>
              <w:t>4)</w:t>
            </w:r>
          </w:p>
          <w:p w14:paraId="0F75C26F" w14:textId="77777777" w:rsidR="0036329A" w:rsidRPr="00BC31E0" w:rsidRDefault="0036329A" w:rsidP="00C412B8">
            <w:pPr>
              <w:rPr>
                <w:kern w:val="21"/>
              </w:rPr>
            </w:pPr>
            <w:r w:rsidRPr="00BC31E0">
              <w:rPr>
                <w:rFonts w:hint="eastAsia"/>
                <w:kern w:val="21"/>
              </w:rPr>
              <w:t>設計許容繰返し回数の決定</w:t>
            </w:r>
          </w:p>
        </w:tc>
        <w:tc>
          <w:tcPr>
            <w:tcW w:w="3402" w:type="dxa"/>
            <w:tcBorders>
              <w:top w:val="single" w:sz="4" w:space="0" w:color="000000"/>
              <w:left w:val="single" w:sz="4" w:space="0" w:color="000000"/>
              <w:bottom w:val="single" w:sz="4" w:space="0" w:color="000000"/>
              <w:right w:val="single" w:sz="4" w:space="0" w:color="000000"/>
            </w:tcBorders>
            <w:vAlign w:val="center"/>
          </w:tcPr>
          <w:p w14:paraId="33B0E8D4" w14:textId="77777777" w:rsidR="0036329A" w:rsidRPr="00BC31E0" w:rsidRDefault="0036329A" w:rsidP="00C412B8">
            <w:pPr>
              <w:rPr>
                <w:rFonts w:asciiTheme="minorHAnsi" w:eastAsiaTheme="minorEastAsia" w:hAnsiTheme="minorHAnsi" w:cs="Arial"/>
              </w:rPr>
            </w:pPr>
            <w:r w:rsidRPr="00BC31E0">
              <w:rPr>
                <w:rFonts w:asciiTheme="minorHAnsi" w:eastAsiaTheme="minorEastAsia" w:hAnsiTheme="minorHAnsi"/>
                <w:kern w:val="21"/>
              </w:rPr>
              <w:t>P.158</w:t>
            </w:r>
            <w:r w:rsidRPr="00BC31E0">
              <w:rPr>
                <w:rFonts w:asciiTheme="minorHAnsi" w:eastAsiaTheme="minorEastAsia" w:hAnsiTheme="minorEastAsia"/>
                <w:kern w:val="21"/>
              </w:rPr>
              <w:t>及び</w:t>
            </w:r>
            <w:r w:rsidRPr="00BC31E0">
              <w:rPr>
                <w:rFonts w:asciiTheme="minorHAnsi" w:eastAsiaTheme="minorEastAsia" w:hAnsiTheme="minorHAnsi" w:cs="Arial"/>
              </w:rPr>
              <w:t>P.159</w:t>
            </w:r>
            <w:r w:rsidRPr="00BC31E0">
              <w:rPr>
                <w:rFonts w:asciiTheme="minorHAnsi" w:eastAsiaTheme="minorEastAsia" w:hAnsiTheme="minorHAnsi" w:cs="Arial" w:hint="eastAsia"/>
              </w:rPr>
              <w:t>，</w:t>
            </w:r>
            <w:r w:rsidRPr="00BC31E0">
              <w:rPr>
                <w:rFonts w:asciiTheme="minorHAnsi" w:eastAsiaTheme="minorEastAsia" w:hAnsiTheme="minorHAnsi" w:cs="Arial" w:hint="eastAsia"/>
              </w:rPr>
              <w:t>4.4.7</w:t>
            </w:r>
            <w:r w:rsidRPr="00BC31E0">
              <w:rPr>
                <w:rFonts w:asciiTheme="minorEastAsia" w:eastAsiaTheme="minorEastAsia" w:hAnsiTheme="minorEastAsia" w:cs="Arial" w:hint="eastAsia"/>
              </w:rPr>
              <w:t xml:space="preserve"> </w:t>
            </w:r>
            <w:r w:rsidRPr="00BC31E0">
              <w:rPr>
                <w:rFonts w:asciiTheme="minorHAnsi" w:eastAsiaTheme="minorEastAsia" w:hAnsiTheme="minorHAnsi" w:cs="Arial" w:hint="eastAsia"/>
              </w:rPr>
              <w:t>b)</w:t>
            </w:r>
            <w:r w:rsidRPr="00BC31E0">
              <w:rPr>
                <w:rFonts w:asciiTheme="minorEastAsia" w:eastAsiaTheme="minorEastAsia" w:hAnsiTheme="minorEastAsia" w:cs="Arial" w:hint="eastAsia"/>
              </w:rPr>
              <w:t xml:space="preserve"> </w:t>
            </w:r>
            <w:r w:rsidRPr="00BC31E0">
              <w:rPr>
                <w:rFonts w:asciiTheme="minorHAnsi" w:eastAsiaTheme="minorEastAsia" w:hAnsiTheme="minorHAnsi" w:cs="Arial" w:hint="eastAsia"/>
              </w:rPr>
              <w:t>1.7)</w:t>
            </w:r>
          </w:p>
        </w:tc>
        <w:tc>
          <w:tcPr>
            <w:tcW w:w="1985" w:type="dxa"/>
            <w:tcBorders>
              <w:top w:val="single" w:sz="4" w:space="0" w:color="000000"/>
              <w:left w:val="single" w:sz="4" w:space="0" w:color="000000"/>
              <w:bottom w:val="single" w:sz="4" w:space="0" w:color="000000"/>
              <w:right w:val="single" w:sz="4" w:space="0" w:color="000000"/>
            </w:tcBorders>
            <w:vAlign w:val="center"/>
          </w:tcPr>
          <w:p w14:paraId="24E0D1F4" w14:textId="77777777" w:rsidR="0036329A" w:rsidRPr="00BC31E0" w:rsidRDefault="0036329A" w:rsidP="00C412B8">
            <w:pPr>
              <w:jc w:val="center"/>
              <w:rPr>
                <w:kern w:val="21"/>
              </w:rPr>
            </w:pPr>
            <w:r w:rsidRPr="00BC31E0">
              <w:rPr>
                <w:rFonts w:hint="eastAsia"/>
                <w:kern w:val="21"/>
              </w:rPr>
              <w:t>－</w:t>
            </w:r>
          </w:p>
        </w:tc>
      </w:tr>
      <w:tr w:rsidR="0036329A" w:rsidRPr="00BC31E0" w14:paraId="1C294A90" w14:textId="77777777" w:rsidTr="00BF64F9">
        <w:trPr>
          <w:jc w:val="center"/>
        </w:trPr>
        <w:tc>
          <w:tcPr>
            <w:tcW w:w="3652" w:type="dxa"/>
            <w:tcBorders>
              <w:top w:val="single" w:sz="4" w:space="0" w:color="000000"/>
              <w:left w:val="single" w:sz="4" w:space="0" w:color="000000"/>
              <w:bottom w:val="single" w:sz="4" w:space="0" w:color="000000"/>
              <w:right w:val="single" w:sz="4" w:space="0" w:color="000000"/>
            </w:tcBorders>
            <w:vAlign w:val="center"/>
          </w:tcPr>
          <w:p w14:paraId="2A811654" w14:textId="77777777" w:rsidR="0036329A" w:rsidRPr="00BC31E0" w:rsidRDefault="0036329A" w:rsidP="00C412B8">
            <w:pPr>
              <w:rPr>
                <w:kern w:val="21"/>
              </w:rPr>
            </w:pPr>
            <w:r w:rsidRPr="00BC31E0">
              <w:rPr>
                <w:rFonts w:hint="eastAsia"/>
                <w:kern w:val="21"/>
              </w:rPr>
              <w:t>P.</w:t>
            </w:r>
            <w:r w:rsidRPr="00BC31E0">
              <w:rPr>
                <w:rFonts w:hint="eastAsia"/>
                <w:kern w:val="21"/>
              </w:rPr>
              <w:t>解</w:t>
            </w:r>
            <w:r w:rsidRPr="00BC31E0">
              <w:rPr>
                <w:kern w:val="21"/>
              </w:rPr>
              <w:t>36</w:t>
            </w:r>
            <w:r w:rsidRPr="00BC31E0">
              <w:rPr>
                <w:rFonts w:hint="eastAsia"/>
                <w:kern w:val="21"/>
              </w:rPr>
              <w:t>～</w:t>
            </w:r>
            <w:r w:rsidRPr="00BC31E0">
              <w:rPr>
                <w:rFonts w:hint="eastAsia"/>
                <w:kern w:val="21"/>
              </w:rPr>
              <w:t>P.</w:t>
            </w:r>
            <w:r w:rsidRPr="00BC31E0">
              <w:rPr>
                <w:rFonts w:hint="eastAsia"/>
                <w:kern w:val="21"/>
              </w:rPr>
              <w:t>解</w:t>
            </w:r>
            <w:r w:rsidRPr="00BC31E0">
              <w:rPr>
                <w:kern w:val="21"/>
              </w:rPr>
              <w:t>3</w:t>
            </w:r>
            <w:r w:rsidRPr="00BC31E0">
              <w:rPr>
                <w:rFonts w:hint="eastAsia"/>
                <w:kern w:val="21"/>
              </w:rPr>
              <w:t>8</w:t>
            </w:r>
            <w:r w:rsidRPr="00BC31E0">
              <w:rPr>
                <w:rFonts w:hint="eastAsia"/>
                <w:kern w:val="21"/>
              </w:rPr>
              <w:t>，解説表</w:t>
            </w:r>
            <w:r w:rsidRPr="00BC31E0">
              <w:rPr>
                <w:rFonts w:hint="eastAsia"/>
                <w:kern w:val="21"/>
              </w:rPr>
              <w:t>6</w:t>
            </w:r>
            <w:r w:rsidRPr="00BC31E0">
              <w:rPr>
                <w:kern w:val="21"/>
              </w:rPr>
              <w:t>.3.2</w:t>
            </w:r>
          </w:p>
          <w:p w14:paraId="35426D4E" w14:textId="77777777" w:rsidR="006834D5" w:rsidRPr="00BC31E0" w:rsidRDefault="0036329A" w:rsidP="00C412B8">
            <w:pPr>
              <w:rPr>
                <w:kern w:val="21"/>
              </w:rPr>
            </w:pPr>
            <w:r w:rsidRPr="00BC31E0">
              <w:rPr>
                <w:rFonts w:hint="eastAsia"/>
                <w:kern w:val="21"/>
              </w:rPr>
              <w:t>高強度低合金鋼</w:t>
            </w:r>
            <w:r w:rsidRPr="00BC31E0">
              <w:rPr>
                <w:rFonts w:hint="eastAsia"/>
                <w:kern w:val="21"/>
              </w:rPr>
              <w:t>,</w:t>
            </w:r>
            <w:r w:rsidRPr="00BC31E0">
              <w:rPr>
                <w:kern w:val="21"/>
              </w:rPr>
              <w:t xml:space="preserve"> SUS630</w:t>
            </w:r>
            <w:r w:rsidRPr="00BC31E0">
              <w:rPr>
                <w:rFonts w:hint="eastAsia"/>
                <w:kern w:val="21"/>
              </w:rPr>
              <w:t>系ステンレス鋼，インコネル</w:t>
            </w:r>
            <w:r w:rsidRPr="00BC31E0">
              <w:rPr>
                <w:rFonts w:hint="eastAsia"/>
                <w:kern w:val="21"/>
              </w:rPr>
              <w:t>7</w:t>
            </w:r>
            <w:r w:rsidRPr="00BC31E0">
              <w:rPr>
                <w:kern w:val="21"/>
              </w:rPr>
              <w:t>18</w:t>
            </w:r>
            <w:r w:rsidRPr="00BC31E0">
              <w:rPr>
                <w:rFonts w:hint="eastAsia"/>
                <w:kern w:val="21"/>
              </w:rPr>
              <w:t>及び</w:t>
            </w:r>
            <w:r w:rsidRPr="00BC31E0">
              <w:rPr>
                <w:kern w:val="21"/>
              </w:rPr>
              <w:t>2-1/4Cr</w:t>
            </w:r>
          </w:p>
          <w:p w14:paraId="50682C8A" w14:textId="77777777" w:rsidR="0036329A" w:rsidRPr="00BC31E0" w:rsidRDefault="0036329A" w:rsidP="00C412B8">
            <w:pPr>
              <w:rPr>
                <w:kern w:val="21"/>
              </w:rPr>
            </w:pPr>
            <w:r w:rsidRPr="00BC31E0">
              <w:rPr>
                <w:kern w:val="21"/>
              </w:rPr>
              <w:t>-1Mo-1/4V</w:t>
            </w:r>
            <w:r w:rsidRPr="00BC31E0">
              <w:rPr>
                <w:rFonts w:hint="eastAsia"/>
                <w:kern w:val="21"/>
              </w:rPr>
              <w:t>鋼の</w:t>
            </w:r>
            <w:r w:rsidRPr="00BC31E0">
              <w:rPr>
                <w:rFonts w:asciiTheme="minorEastAsia" w:eastAsiaTheme="minorEastAsia" w:hAnsiTheme="minorEastAsia" w:hint="eastAsia"/>
                <w:shd w:val="clear" w:color="auto" w:fill="FFFFFF"/>
              </w:rPr>
              <w:t>設計疲労曲線の繰返し回数と応力振幅値</w:t>
            </w:r>
          </w:p>
        </w:tc>
        <w:tc>
          <w:tcPr>
            <w:tcW w:w="3402" w:type="dxa"/>
            <w:tcBorders>
              <w:top w:val="single" w:sz="4" w:space="0" w:color="000000"/>
              <w:left w:val="single" w:sz="4" w:space="0" w:color="000000"/>
              <w:bottom w:val="single" w:sz="4" w:space="0" w:color="000000"/>
              <w:right w:val="single" w:sz="4" w:space="0" w:color="000000"/>
            </w:tcBorders>
            <w:vAlign w:val="center"/>
          </w:tcPr>
          <w:p w14:paraId="478196DB" w14:textId="77777777" w:rsidR="0036329A" w:rsidRPr="00BC31E0" w:rsidRDefault="0036329A" w:rsidP="00C412B8">
            <w:pPr>
              <w:rPr>
                <w:rFonts w:asciiTheme="minorHAnsi" w:eastAsiaTheme="minorEastAsia" w:hAnsiTheme="minorHAnsi"/>
                <w:kern w:val="21"/>
              </w:rPr>
            </w:pPr>
            <w:r w:rsidRPr="00BC31E0">
              <w:rPr>
                <w:rFonts w:asciiTheme="minorHAnsi" w:eastAsiaTheme="minorEastAsia" w:hAnsiTheme="minorHAnsi"/>
                <w:kern w:val="21"/>
              </w:rPr>
              <w:t>P.156</w:t>
            </w:r>
            <w:r w:rsidRPr="00BC31E0">
              <w:rPr>
                <w:rFonts w:asciiTheme="minorHAnsi" w:eastAsiaTheme="minorEastAsia" w:hAnsiTheme="minorHAnsi" w:hint="eastAsia"/>
                <w:kern w:val="21"/>
              </w:rPr>
              <w:t>及び</w:t>
            </w:r>
            <w:r w:rsidRPr="00BC31E0">
              <w:rPr>
                <w:rFonts w:asciiTheme="minorHAnsi" w:eastAsiaTheme="minorEastAsia" w:hAnsiTheme="minorHAnsi" w:hint="eastAsia"/>
                <w:kern w:val="21"/>
              </w:rPr>
              <w:t>P.157</w:t>
            </w:r>
            <w:r w:rsidRPr="00BC31E0">
              <w:rPr>
                <w:rFonts w:asciiTheme="minorHAnsi" w:eastAsiaTheme="minorEastAsia" w:hAnsiTheme="minorHAnsi" w:hint="eastAsia"/>
                <w:kern w:val="21"/>
              </w:rPr>
              <w:t>，表</w:t>
            </w:r>
            <w:r w:rsidRPr="00BC31E0">
              <w:rPr>
                <w:rFonts w:asciiTheme="minorHAnsi" w:eastAsiaTheme="minorEastAsia" w:hAnsiTheme="minorHAnsi" w:hint="eastAsia"/>
                <w:kern w:val="21"/>
              </w:rPr>
              <w:t xml:space="preserve"> </w:t>
            </w:r>
            <w:r w:rsidRPr="00BC31E0">
              <w:rPr>
                <w:rFonts w:asciiTheme="minorHAnsi" w:eastAsiaTheme="minorEastAsia" w:hAnsiTheme="minorHAnsi" w:hint="eastAsia"/>
                <w:kern w:val="21"/>
              </w:rPr>
              <w:t>設計</w:t>
            </w:r>
            <w:r w:rsidRPr="00BC31E0">
              <w:rPr>
                <w:rFonts w:asciiTheme="minorHAnsi" w:eastAsiaTheme="minorEastAsia" w:hAnsiTheme="minorEastAsia" w:hint="eastAsia"/>
                <w:kern w:val="21"/>
              </w:rPr>
              <w:t>疲労曲線のデータ</w:t>
            </w:r>
          </w:p>
          <w:p w14:paraId="5185188A" w14:textId="77777777" w:rsidR="0036329A" w:rsidRPr="00BC31E0" w:rsidRDefault="0036329A" w:rsidP="00C412B8">
            <w:pPr>
              <w:rPr>
                <w:rFonts w:asciiTheme="minorHAnsi" w:eastAsiaTheme="minorEastAsia" w:hAnsiTheme="minorHAnsi"/>
                <w:kern w:val="21"/>
              </w:rPr>
            </w:pPr>
            <w:r w:rsidRPr="00BC31E0">
              <w:rPr>
                <w:rFonts w:asciiTheme="minorHAnsi" w:eastAsiaTheme="minorEastAsia" w:hAnsiTheme="minorEastAsia"/>
                <w:kern w:val="21"/>
              </w:rPr>
              <w:t>図</w:t>
            </w:r>
            <w:r w:rsidRPr="00BC31E0">
              <w:rPr>
                <w:rFonts w:asciiTheme="minorHAnsi" w:eastAsiaTheme="minorEastAsia" w:hAnsiTheme="minorHAnsi"/>
                <w:kern w:val="21"/>
              </w:rPr>
              <w:t>2</w:t>
            </w:r>
            <w:r w:rsidRPr="00BC31E0">
              <w:rPr>
                <w:rFonts w:asciiTheme="minorHAnsi" w:eastAsiaTheme="minorEastAsia" w:hAnsiTheme="minorHAnsi" w:hint="eastAsia"/>
                <w:kern w:val="21"/>
              </w:rPr>
              <w:t>，</w:t>
            </w:r>
            <w:r w:rsidRPr="00BC31E0">
              <w:rPr>
                <w:rFonts w:asciiTheme="minorHAnsi" w:eastAsiaTheme="minorEastAsia" w:hAnsiTheme="minorEastAsia"/>
                <w:kern w:val="21"/>
              </w:rPr>
              <w:t>図</w:t>
            </w:r>
            <w:r w:rsidRPr="00BC31E0">
              <w:rPr>
                <w:rFonts w:asciiTheme="minorHAnsi" w:eastAsiaTheme="minorEastAsia" w:hAnsiTheme="minorHAnsi"/>
                <w:kern w:val="21"/>
              </w:rPr>
              <w:t>6</w:t>
            </w:r>
            <w:r w:rsidRPr="00BC31E0">
              <w:rPr>
                <w:rFonts w:asciiTheme="minorHAnsi" w:eastAsiaTheme="minorEastAsia" w:hAnsiTheme="minorHAnsi" w:hint="eastAsia"/>
                <w:kern w:val="21"/>
              </w:rPr>
              <w:t>，</w:t>
            </w:r>
            <w:r w:rsidRPr="00BC31E0">
              <w:rPr>
                <w:rFonts w:asciiTheme="minorHAnsi" w:eastAsiaTheme="minorEastAsia" w:hAnsiTheme="minorEastAsia"/>
                <w:kern w:val="21"/>
              </w:rPr>
              <w:t>図</w:t>
            </w:r>
            <w:r w:rsidRPr="00BC31E0">
              <w:rPr>
                <w:rFonts w:asciiTheme="minorHAnsi" w:eastAsiaTheme="minorEastAsia" w:hAnsiTheme="minorHAnsi"/>
                <w:kern w:val="21"/>
              </w:rPr>
              <w:t>7</w:t>
            </w:r>
            <w:r w:rsidRPr="00BC31E0">
              <w:rPr>
                <w:rFonts w:asciiTheme="minorHAnsi" w:eastAsiaTheme="minorEastAsia" w:hAnsiTheme="minorHAnsi" w:hint="eastAsia"/>
                <w:kern w:val="21"/>
              </w:rPr>
              <w:t>及び</w:t>
            </w:r>
            <w:r w:rsidRPr="00BC31E0">
              <w:rPr>
                <w:rFonts w:asciiTheme="minorHAnsi" w:eastAsiaTheme="minorEastAsia" w:hAnsiTheme="minorEastAsia"/>
                <w:kern w:val="21"/>
              </w:rPr>
              <w:t>図</w:t>
            </w:r>
            <w:r w:rsidRPr="00BC31E0">
              <w:rPr>
                <w:rFonts w:asciiTheme="minorHAnsi" w:eastAsiaTheme="minorEastAsia" w:hAnsiTheme="minorHAnsi"/>
                <w:kern w:val="21"/>
              </w:rPr>
              <w:t>8</w:t>
            </w:r>
            <w:r w:rsidRPr="00BC31E0">
              <w:rPr>
                <w:rFonts w:asciiTheme="minorHAnsi" w:eastAsiaTheme="minorEastAsia" w:hAnsiTheme="minorHAnsi" w:hint="eastAsia"/>
                <w:kern w:val="21"/>
              </w:rPr>
              <w:t>の</w:t>
            </w:r>
            <w:r w:rsidRPr="00BC31E0">
              <w:rPr>
                <w:rFonts w:asciiTheme="minorHAnsi" w:eastAsiaTheme="minorEastAsia" w:hAnsiTheme="minorEastAsia" w:hint="eastAsia"/>
                <w:kern w:val="21"/>
              </w:rPr>
              <w:t>設計疲労曲線の</w:t>
            </w:r>
            <w:r w:rsidRPr="00BC31E0">
              <w:rPr>
                <w:rFonts w:asciiTheme="minorEastAsia" w:eastAsiaTheme="minorEastAsia" w:hAnsiTheme="minorEastAsia" w:hint="eastAsia"/>
                <w:shd w:val="clear" w:color="auto" w:fill="FFFFFF"/>
              </w:rPr>
              <w:t>繰返し回数と応力振幅</w:t>
            </w:r>
            <w:r w:rsidRPr="00BC31E0">
              <w:rPr>
                <w:rFonts w:asciiTheme="minorHAnsi" w:eastAsiaTheme="minorEastAsia" w:hAnsiTheme="minorEastAsia" w:hint="eastAsia"/>
                <w:kern w:val="21"/>
              </w:rPr>
              <w:t>値</w:t>
            </w:r>
          </w:p>
        </w:tc>
        <w:tc>
          <w:tcPr>
            <w:tcW w:w="1985" w:type="dxa"/>
            <w:tcBorders>
              <w:top w:val="single" w:sz="4" w:space="0" w:color="000000"/>
              <w:left w:val="single" w:sz="4" w:space="0" w:color="000000"/>
              <w:bottom w:val="single" w:sz="4" w:space="0" w:color="000000"/>
              <w:right w:val="single" w:sz="4" w:space="0" w:color="000000"/>
            </w:tcBorders>
            <w:vAlign w:val="center"/>
          </w:tcPr>
          <w:p w14:paraId="7A0B3CD2" w14:textId="77777777" w:rsidR="0036329A" w:rsidRPr="00BC31E0" w:rsidRDefault="0036329A" w:rsidP="00C412B8">
            <w:pPr>
              <w:jc w:val="center"/>
              <w:rPr>
                <w:kern w:val="21"/>
              </w:rPr>
            </w:pPr>
            <w:r w:rsidRPr="00BC31E0">
              <w:rPr>
                <w:rFonts w:hint="eastAsia"/>
                <w:kern w:val="21"/>
              </w:rPr>
              <w:t>－</w:t>
            </w:r>
          </w:p>
        </w:tc>
      </w:tr>
    </w:tbl>
    <w:p w14:paraId="771E3CF8" w14:textId="77777777" w:rsidR="001D59C2" w:rsidRPr="00BC31E0" w:rsidRDefault="001D59C2" w:rsidP="00C412B8">
      <w:pPr>
        <w:rPr>
          <w:rFonts w:asciiTheme="minorEastAsia" w:eastAsiaTheme="minorEastAsia" w:hAnsiTheme="minorEastAsia"/>
          <w:bCs/>
        </w:rPr>
      </w:pPr>
    </w:p>
    <w:p w14:paraId="5E15DAF2" w14:textId="77777777" w:rsidR="001D59C2" w:rsidRPr="00BC31E0" w:rsidRDefault="001D59C2" w:rsidP="00C412B8">
      <w:pPr>
        <w:widowControl/>
        <w:rPr>
          <w:rFonts w:asciiTheme="minorEastAsia" w:eastAsiaTheme="minorEastAsia" w:hAnsiTheme="minorEastAsia"/>
          <w:bCs/>
        </w:rPr>
      </w:pPr>
      <w:r w:rsidRPr="00BC31E0">
        <w:rPr>
          <w:rFonts w:asciiTheme="minorEastAsia" w:eastAsiaTheme="minorEastAsia" w:hAnsiTheme="minorEastAsia"/>
          <w:bCs/>
        </w:rPr>
        <w:br w:type="page"/>
      </w:r>
    </w:p>
    <w:p w14:paraId="077D62A4" w14:textId="77777777" w:rsidR="00534573" w:rsidRPr="00BC31E0" w:rsidRDefault="00534573" w:rsidP="00125425">
      <w:pPr>
        <w:pStyle w:val="af1"/>
        <w:spacing w:line="240" w:lineRule="auto"/>
        <w:rPr>
          <w:szCs w:val="28"/>
        </w:rPr>
      </w:pPr>
      <w:r w:rsidRPr="00BC31E0">
        <w:rPr>
          <w:szCs w:val="28"/>
        </w:rPr>
        <w:lastRenderedPageBreak/>
        <w:t>まえがき</w:t>
      </w:r>
    </w:p>
    <w:p w14:paraId="703DD031" w14:textId="77777777" w:rsidR="00534573" w:rsidRPr="00BC31E0" w:rsidRDefault="00534573" w:rsidP="00125425"/>
    <w:p w14:paraId="0E68E4DC" w14:textId="77777777" w:rsidR="00534573" w:rsidRPr="00BC31E0" w:rsidRDefault="00534573" w:rsidP="00125425">
      <w:pPr>
        <w:ind w:firstLineChars="100" w:firstLine="210"/>
      </w:pPr>
      <w:r w:rsidRPr="00BC31E0">
        <w:t>この規格は，</w:t>
      </w:r>
      <w:r w:rsidR="000D787C" w:rsidRPr="00BC31E0">
        <w:rPr>
          <w:rFonts w:hint="eastAsia"/>
        </w:rPr>
        <w:t>一般</w:t>
      </w:r>
      <w:r w:rsidRPr="00BC31E0">
        <w:t>社団法人日本高圧力技術協会の圧力</w:t>
      </w:r>
      <w:r w:rsidR="00AA598B" w:rsidRPr="00BC31E0">
        <w:rPr>
          <w:rFonts w:hint="eastAsia"/>
        </w:rPr>
        <w:t>容器規格委員会</w:t>
      </w:r>
      <w:r w:rsidRPr="00BC31E0">
        <w:rPr>
          <w:rFonts w:hint="eastAsia"/>
        </w:rPr>
        <w:t>，</w:t>
      </w:r>
      <w:r w:rsidR="00AA598B" w:rsidRPr="00BC31E0">
        <w:rPr>
          <w:rFonts w:hint="eastAsia"/>
        </w:rPr>
        <w:t>高圧容器規格分科会</w:t>
      </w:r>
      <w:r w:rsidRPr="00BC31E0">
        <w:rPr>
          <w:rFonts w:hint="eastAsia"/>
        </w:rPr>
        <w:t>が原案を作成し</w:t>
      </w:r>
      <w:r w:rsidRPr="00BC31E0">
        <w:t>，圧力設備規格審議委員会の審議</w:t>
      </w:r>
      <w:r w:rsidR="00AA598B" w:rsidRPr="00BC31E0">
        <w:rPr>
          <w:rFonts w:hint="eastAsia"/>
        </w:rPr>
        <w:t>及びパブリックコメント</w:t>
      </w:r>
      <w:r w:rsidRPr="00BC31E0">
        <w:t>を経て，理事会により承認された日本高圧力技術協会規格である。</w:t>
      </w:r>
    </w:p>
    <w:p w14:paraId="6920858A" w14:textId="77777777" w:rsidR="00534573" w:rsidRPr="00BC31E0" w:rsidRDefault="00534573" w:rsidP="00125425">
      <w:pPr>
        <w:ind w:firstLineChars="100" w:firstLine="210"/>
      </w:pPr>
      <w:r w:rsidRPr="00BC31E0">
        <w:t>これによって，</w:t>
      </w:r>
      <w:r w:rsidRPr="00BC31E0">
        <w:rPr>
          <w:rFonts w:ascii="ＭＳ ゴシック" w:hAnsi="ＭＳ ゴシック"/>
          <w:b/>
          <w:bCs/>
        </w:rPr>
        <w:t xml:space="preserve">HPIS </w:t>
      </w:r>
      <w:r w:rsidR="00AA598B" w:rsidRPr="00BC31E0">
        <w:rPr>
          <w:rFonts w:ascii="ＭＳ ゴシック" w:hAnsi="ＭＳ ゴシック"/>
          <w:b/>
          <w:bCs/>
        </w:rPr>
        <w:t>C 106</w:t>
      </w:r>
      <w:r w:rsidRPr="00BC31E0">
        <w:rPr>
          <w:rFonts w:ascii="ＭＳ ゴシック" w:hAnsi="ＭＳ ゴシック" w:hint="eastAsia"/>
          <w:b/>
          <w:bCs/>
        </w:rPr>
        <w:t>：</w:t>
      </w:r>
      <w:r w:rsidR="00AA598B" w:rsidRPr="00BC31E0">
        <w:rPr>
          <w:rFonts w:ascii="ＭＳ ゴシック" w:eastAsia="ＭＳ ゴシック" w:hAnsi="ＭＳ ゴシック"/>
          <w:b/>
        </w:rPr>
        <w:t>20</w:t>
      </w:r>
      <w:r w:rsidR="00F61A88" w:rsidRPr="00BC31E0">
        <w:rPr>
          <w:rFonts w:ascii="ＭＳ ゴシック" w:eastAsia="ＭＳ ゴシック" w:hAnsi="ＭＳ ゴシック" w:hint="eastAsia"/>
          <w:b/>
        </w:rPr>
        <w:t>1</w:t>
      </w:r>
      <w:r w:rsidR="00F61A88" w:rsidRPr="00BC31E0">
        <w:rPr>
          <w:rFonts w:ascii="ＭＳ ゴシック" w:eastAsia="ＭＳ ゴシック" w:hAnsi="ＭＳ ゴシック"/>
          <w:b/>
        </w:rPr>
        <w:t>3</w:t>
      </w:r>
      <w:r w:rsidRPr="00BC31E0">
        <w:t>は改正され，この規格</w:t>
      </w:r>
      <w:r w:rsidRPr="00BC31E0">
        <w:rPr>
          <w:rFonts w:ascii="ＭＳ ゴシック" w:hAnsi="ＭＳ ゴシック"/>
          <w:b/>
          <w:bCs/>
        </w:rPr>
        <w:t xml:space="preserve">HPIS </w:t>
      </w:r>
      <w:r w:rsidR="00AA598B" w:rsidRPr="00BC31E0">
        <w:rPr>
          <w:rFonts w:ascii="ＭＳ ゴシック" w:hAnsi="ＭＳ ゴシック"/>
          <w:b/>
          <w:bCs/>
        </w:rPr>
        <w:t>C 106</w:t>
      </w:r>
      <w:r w:rsidRPr="00BC31E0">
        <w:rPr>
          <w:rFonts w:ascii="ＭＳ ゴシック" w:hAnsi="ＭＳ ゴシック" w:hint="eastAsia"/>
          <w:b/>
          <w:bCs/>
        </w:rPr>
        <w:t>：</w:t>
      </w:r>
      <w:r w:rsidRPr="00BC31E0">
        <w:rPr>
          <w:rFonts w:ascii="ＭＳ ゴシック" w:hAnsi="ＭＳ ゴシック" w:hint="eastAsia"/>
          <w:b/>
          <w:bCs/>
        </w:rPr>
        <w:t>2</w:t>
      </w:r>
      <w:r w:rsidR="00320384" w:rsidRPr="00BC31E0">
        <w:rPr>
          <w:rFonts w:ascii="ＭＳ ゴシック" w:hAnsi="ＭＳ ゴシック" w:hint="eastAsia"/>
          <w:b/>
          <w:bCs/>
        </w:rPr>
        <w:t>0</w:t>
      </w:r>
      <w:r w:rsidR="004C4437" w:rsidRPr="00BC31E0">
        <w:rPr>
          <w:rFonts w:ascii="ＭＳ ゴシック" w:hAnsi="ＭＳ ゴシック" w:hint="eastAsia"/>
          <w:b/>
          <w:bCs/>
        </w:rPr>
        <w:t>XX</w:t>
      </w:r>
      <w:r w:rsidRPr="00BC31E0">
        <w:t>に置き換えられた。</w:t>
      </w:r>
    </w:p>
    <w:p w14:paraId="1FAFF320" w14:textId="77777777" w:rsidR="00534573" w:rsidRPr="00BC31E0" w:rsidRDefault="00534573" w:rsidP="00125425">
      <w:pPr>
        <w:ind w:firstLineChars="100" w:firstLine="210"/>
      </w:pPr>
    </w:p>
    <w:p w14:paraId="3C0ECCFF" w14:textId="77777777" w:rsidR="00DB4A1C" w:rsidRPr="00BC31E0" w:rsidRDefault="00DB4A1C" w:rsidP="00125425">
      <w:pPr>
        <w:widowControl/>
        <w:jc w:val="left"/>
      </w:pPr>
      <w:r w:rsidRPr="00BC31E0">
        <w:br w:type="page"/>
      </w:r>
    </w:p>
    <w:p w14:paraId="1EDB1939" w14:textId="77777777" w:rsidR="00534573" w:rsidRPr="00BC31E0" w:rsidRDefault="00534573" w:rsidP="00CC4EA8">
      <w:pPr>
        <w:numPr>
          <w:ilvl w:val="0"/>
          <w:numId w:val="1"/>
        </w:numPr>
        <w:spacing w:line="360" w:lineRule="exact"/>
        <w:sectPr w:rsidR="00534573" w:rsidRPr="00BC31E0" w:rsidSect="00186DEF">
          <w:headerReference w:type="even" r:id="rId8"/>
          <w:headerReference w:type="default" r:id="rId9"/>
          <w:footerReference w:type="even" r:id="rId10"/>
          <w:footerReference w:type="default" r:id="rId11"/>
          <w:headerReference w:type="first" r:id="rId12"/>
          <w:footerReference w:type="first" r:id="rId13"/>
          <w:pgSz w:w="11906" w:h="16838" w:code="9"/>
          <w:pgMar w:top="1701" w:right="1418" w:bottom="1418" w:left="1418" w:header="720" w:footer="720" w:gutter="0"/>
          <w:pgNumType w:start="1"/>
          <w:cols w:space="425"/>
          <w:titlePg/>
          <w:docGrid w:type="linesAndChars" w:linePitch="360"/>
        </w:sectPr>
      </w:pPr>
    </w:p>
    <w:p w14:paraId="5663573A" w14:textId="77777777" w:rsidR="00534573" w:rsidRPr="00BC31E0" w:rsidRDefault="00534573" w:rsidP="00A91EE9">
      <w:pPr>
        <w:spacing w:line="360" w:lineRule="exact"/>
        <w:jc w:val="center"/>
        <w:rPr>
          <w:b/>
          <w:sz w:val="28"/>
          <w:szCs w:val="28"/>
        </w:rPr>
      </w:pPr>
      <w:r w:rsidRPr="00BC31E0">
        <w:rPr>
          <w:rFonts w:eastAsia="ＭＳ ゴシック" w:hint="eastAsia"/>
          <w:b/>
          <w:sz w:val="28"/>
          <w:szCs w:val="28"/>
        </w:rPr>
        <w:lastRenderedPageBreak/>
        <w:t>目次</w:t>
      </w:r>
    </w:p>
    <w:p w14:paraId="3C163CC3" w14:textId="77777777" w:rsidR="00534573" w:rsidRPr="00BC31E0" w:rsidRDefault="00534573" w:rsidP="00A91EE9">
      <w:pPr>
        <w:spacing w:line="360" w:lineRule="exact"/>
        <w:jc w:val="right"/>
        <w:rPr>
          <w:rFonts w:ascii="ＭＳ ゴシック" w:eastAsia="ＭＳ ゴシック" w:hAnsi="ＭＳ ゴシック"/>
          <w:b/>
        </w:rPr>
      </w:pPr>
      <w:r w:rsidRPr="00BC31E0">
        <w:rPr>
          <w:rFonts w:ascii="ＭＳ ゴシック" w:eastAsia="ＭＳ ゴシック" w:hAnsi="ＭＳ ゴシック" w:hint="eastAsia"/>
          <w:b/>
        </w:rPr>
        <w:t>ページ</w:t>
      </w:r>
    </w:p>
    <w:p w14:paraId="3C25E5DF" w14:textId="77777777" w:rsidR="00927DD8" w:rsidRPr="00BC31E0" w:rsidRDefault="002620C0">
      <w:pPr>
        <w:pStyle w:val="1f4"/>
        <w:rPr>
          <w:rFonts w:asciiTheme="minorHAnsi" w:eastAsiaTheme="minorEastAsia" w:hAnsiTheme="minorHAnsi" w:cstheme="minorBidi"/>
          <w:b w:val="0"/>
          <w:bCs w:val="0"/>
          <w:caps w:val="0"/>
          <w:noProof/>
          <w:szCs w:val="22"/>
        </w:rPr>
      </w:pPr>
      <w:r w:rsidRPr="00BC31E0">
        <w:rPr>
          <w:rFonts w:ascii="Arial" w:hAnsi="Arial" w:cs="Arial"/>
          <w:sz w:val="24"/>
          <w:szCs w:val="21"/>
        </w:rPr>
        <w:fldChar w:fldCharType="begin"/>
      </w:r>
      <w:r w:rsidR="00534573" w:rsidRPr="00BC31E0">
        <w:rPr>
          <w:rFonts w:ascii="Arial" w:hAnsi="Arial" w:cs="Arial"/>
          <w:sz w:val="24"/>
          <w:szCs w:val="21"/>
        </w:rPr>
        <w:instrText xml:space="preserve"> TOC \o "1-2" \h \z \u </w:instrText>
      </w:r>
      <w:r w:rsidRPr="00BC31E0">
        <w:rPr>
          <w:rFonts w:ascii="Arial" w:hAnsi="Arial" w:cs="Arial"/>
          <w:sz w:val="24"/>
          <w:szCs w:val="21"/>
        </w:rPr>
        <w:fldChar w:fldCharType="separate"/>
      </w:r>
      <w:hyperlink w:anchor="_Toc120092506" w:history="1">
        <w:r w:rsidR="00927DD8" w:rsidRPr="00BC31E0">
          <w:rPr>
            <w:rStyle w:val="aff3"/>
            <w:rFonts w:hint="eastAsia"/>
            <w:noProof/>
            <w:color w:val="auto"/>
          </w:rPr>
          <w:t>序文</w:t>
        </w:r>
        <w:r w:rsidR="00927DD8" w:rsidRPr="00BC31E0">
          <w:rPr>
            <w:noProof/>
            <w:webHidden/>
          </w:rPr>
          <w:tab/>
        </w:r>
        <w:r w:rsidRPr="00BC31E0">
          <w:rPr>
            <w:noProof/>
            <w:webHidden/>
          </w:rPr>
          <w:fldChar w:fldCharType="begin"/>
        </w:r>
        <w:r w:rsidR="00927DD8" w:rsidRPr="00BC31E0">
          <w:rPr>
            <w:noProof/>
            <w:webHidden/>
          </w:rPr>
          <w:instrText xml:space="preserve"> PAGEREF _Toc120092506 \h </w:instrText>
        </w:r>
        <w:r w:rsidRPr="00BC31E0">
          <w:rPr>
            <w:noProof/>
            <w:webHidden/>
          </w:rPr>
        </w:r>
        <w:r w:rsidRPr="00BC31E0">
          <w:rPr>
            <w:noProof/>
            <w:webHidden/>
          </w:rPr>
          <w:fldChar w:fldCharType="separate"/>
        </w:r>
        <w:r w:rsidR="00927DD8" w:rsidRPr="00BC31E0">
          <w:rPr>
            <w:noProof/>
            <w:webHidden/>
          </w:rPr>
          <w:t>1</w:t>
        </w:r>
        <w:r w:rsidRPr="00BC31E0">
          <w:rPr>
            <w:noProof/>
            <w:webHidden/>
          </w:rPr>
          <w:fldChar w:fldCharType="end"/>
        </w:r>
      </w:hyperlink>
    </w:p>
    <w:p w14:paraId="14F07E78" w14:textId="77777777" w:rsidR="00927DD8" w:rsidRPr="00BC31E0" w:rsidRDefault="00A51873">
      <w:pPr>
        <w:pStyle w:val="1f4"/>
        <w:rPr>
          <w:rFonts w:asciiTheme="minorHAnsi" w:eastAsiaTheme="minorEastAsia" w:hAnsiTheme="minorHAnsi" w:cstheme="minorBidi"/>
          <w:b w:val="0"/>
          <w:bCs w:val="0"/>
          <w:caps w:val="0"/>
          <w:noProof/>
          <w:szCs w:val="22"/>
        </w:rPr>
      </w:pPr>
      <w:hyperlink w:anchor="_Toc120092507" w:history="1">
        <w:r w:rsidR="00927DD8" w:rsidRPr="00BC31E0">
          <w:rPr>
            <w:rStyle w:val="aff3"/>
            <w:noProof/>
            <w:color w:val="auto"/>
          </w:rPr>
          <w:t>1</w:t>
        </w:r>
        <w:r w:rsidR="00927DD8" w:rsidRPr="00BC31E0">
          <w:rPr>
            <w:rFonts w:asciiTheme="minorHAnsi" w:eastAsiaTheme="minorEastAsia" w:hAnsiTheme="minorHAnsi" w:cstheme="minorBidi"/>
            <w:b w:val="0"/>
            <w:bCs w:val="0"/>
            <w:caps w:val="0"/>
            <w:noProof/>
            <w:szCs w:val="22"/>
          </w:rPr>
          <w:tab/>
        </w:r>
        <w:r w:rsidR="00927DD8" w:rsidRPr="00BC31E0">
          <w:rPr>
            <w:rStyle w:val="aff3"/>
            <w:rFonts w:hint="eastAsia"/>
            <w:noProof/>
            <w:color w:val="auto"/>
          </w:rPr>
          <w:t>一般要求</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_Toc120092507 \h </w:instrText>
        </w:r>
        <w:r w:rsidR="002620C0" w:rsidRPr="00BC31E0">
          <w:rPr>
            <w:noProof/>
            <w:webHidden/>
          </w:rPr>
        </w:r>
        <w:r w:rsidR="002620C0" w:rsidRPr="00BC31E0">
          <w:rPr>
            <w:noProof/>
            <w:webHidden/>
          </w:rPr>
          <w:fldChar w:fldCharType="separate"/>
        </w:r>
        <w:r w:rsidR="00927DD8" w:rsidRPr="00BC31E0">
          <w:rPr>
            <w:noProof/>
            <w:webHidden/>
          </w:rPr>
          <w:t>2</w:t>
        </w:r>
        <w:r w:rsidR="002620C0" w:rsidRPr="00BC31E0">
          <w:rPr>
            <w:noProof/>
            <w:webHidden/>
          </w:rPr>
          <w:fldChar w:fldCharType="end"/>
        </w:r>
      </w:hyperlink>
    </w:p>
    <w:p w14:paraId="69308EFE" w14:textId="77777777" w:rsidR="00927DD8" w:rsidRPr="00BC31E0" w:rsidRDefault="00A51873">
      <w:pPr>
        <w:pStyle w:val="24"/>
        <w:rPr>
          <w:rFonts w:asciiTheme="minorHAnsi" w:eastAsiaTheme="minorEastAsia" w:hAnsiTheme="minorHAnsi" w:cstheme="minorBidi"/>
          <w:b w:val="0"/>
          <w:smallCaps w:val="0"/>
          <w:noProof/>
          <w:szCs w:val="22"/>
        </w:rPr>
      </w:pPr>
      <w:hyperlink w:anchor="_Toc120092508" w:history="1">
        <w:r w:rsidR="00927DD8" w:rsidRPr="00BC31E0">
          <w:rPr>
            <w:rStyle w:val="aff3"/>
            <w:noProof/>
            <w:color w:val="auto"/>
          </w:rPr>
          <w:t>1.1</w:t>
        </w:r>
        <w:r w:rsidR="00927DD8" w:rsidRPr="00BC31E0">
          <w:rPr>
            <w:rFonts w:asciiTheme="minorHAnsi" w:eastAsiaTheme="minorEastAsia" w:hAnsiTheme="minorHAnsi" w:cstheme="minorBidi"/>
            <w:b w:val="0"/>
            <w:smallCaps w:val="0"/>
            <w:noProof/>
            <w:szCs w:val="22"/>
          </w:rPr>
          <w:tab/>
        </w:r>
        <w:r w:rsidR="00927DD8" w:rsidRPr="00BC31E0">
          <w:rPr>
            <w:rStyle w:val="aff3"/>
            <w:rFonts w:hint="eastAsia"/>
            <w:noProof/>
            <w:color w:val="auto"/>
          </w:rPr>
          <w:t>適用範囲</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_Toc120092508 \h </w:instrText>
        </w:r>
        <w:r w:rsidR="002620C0" w:rsidRPr="00BC31E0">
          <w:rPr>
            <w:noProof/>
            <w:webHidden/>
          </w:rPr>
        </w:r>
        <w:r w:rsidR="002620C0" w:rsidRPr="00BC31E0">
          <w:rPr>
            <w:noProof/>
            <w:webHidden/>
          </w:rPr>
          <w:fldChar w:fldCharType="separate"/>
        </w:r>
        <w:r w:rsidR="00927DD8" w:rsidRPr="00BC31E0">
          <w:rPr>
            <w:noProof/>
            <w:webHidden/>
          </w:rPr>
          <w:t>2</w:t>
        </w:r>
        <w:r w:rsidR="002620C0" w:rsidRPr="00BC31E0">
          <w:rPr>
            <w:noProof/>
            <w:webHidden/>
          </w:rPr>
          <w:fldChar w:fldCharType="end"/>
        </w:r>
      </w:hyperlink>
    </w:p>
    <w:p w14:paraId="06EA9878" w14:textId="77777777" w:rsidR="00927DD8" w:rsidRPr="00BC31E0" w:rsidRDefault="00A51873">
      <w:pPr>
        <w:pStyle w:val="24"/>
        <w:rPr>
          <w:rFonts w:asciiTheme="minorHAnsi" w:eastAsiaTheme="minorEastAsia" w:hAnsiTheme="minorHAnsi" w:cstheme="minorBidi"/>
          <w:b w:val="0"/>
          <w:smallCaps w:val="0"/>
          <w:noProof/>
          <w:szCs w:val="22"/>
        </w:rPr>
      </w:pPr>
      <w:hyperlink w:anchor="_Toc120092509" w:history="1">
        <w:r w:rsidR="00927DD8" w:rsidRPr="00BC31E0">
          <w:rPr>
            <w:rStyle w:val="aff3"/>
            <w:noProof/>
            <w:color w:val="auto"/>
          </w:rPr>
          <w:t>1.2</w:t>
        </w:r>
        <w:r w:rsidR="00927DD8" w:rsidRPr="00BC31E0">
          <w:rPr>
            <w:rFonts w:asciiTheme="minorHAnsi" w:eastAsiaTheme="minorEastAsia" w:hAnsiTheme="minorHAnsi" w:cstheme="minorBidi"/>
            <w:b w:val="0"/>
            <w:smallCaps w:val="0"/>
            <w:noProof/>
            <w:szCs w:val="22"/>
          </w:rPr>
          <w:tab/>
        </w:r>
        <w:r w:rsidR="00927DD8" w:rsidRPr="00BC31E0">
          <w:rPr>
            <w:rStyle w:val="aff3"/>
            <w:rFonts w:hint="eastAsia"/>
            <w:noProof/>
            <w:color w:val="auto"/>
          </w:rPr>
          <w:t>適用条件の明確化と品質マネジメントシステム</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_Toc120092509 \h </w:instrText>
        </w:r>
        <w:r w:rsidR="002620C0" w:rsidRPr="00BC31E0">
          <w:rPr>
            <w:noProof/>
            <w:webHidden/>
          </w:rPr>
        </w:r>
        <w:r w:rsidR="002620C0" w:rsidRPr="00BC31E0">
          <w:rPr>
            <w:noProof/>
            <w:webHidden/>
          </w:rPr>
          <w:fldChar w:fldCharType="separate"/>
        </w:r>
        <w:r w:rsidR="00927DD8" w:rsidRPr="00BC31E0">
          <w:rPr>
            <w:noProof/>
            <w:webHidden/>
          </w:rPr>
          <w:t>3</w:t>
        </w:r>
        <w:r w:rsidR="002620C0" w:rsidRPr="00BC31E0">
          <w:rPr>
            <w:noProof/>
            <w:webHidden/>
          </w:rPr>
          <w:fldChar w:fldCharType="end"/>
        </w:r>
      </w:hyperlink>
    </w:p>
    <w:p w14:paraId="70E7E02C" w14:textId="77777777" w:rsidR="00927DD8" w:rsidRPr="00BC31E0" w:rsidRDefault="00A51873">
      <w:pPr>
        <w:pStyle w:val="1f4"/>
        <w:rPr>
          <w:rFonts w:asciiTheme="minorHAnsi" w:eastAsiaTheme="minorEastAsia" w:hAnsiTheme="minorHAnsi" w:cstheme="minorBidi"/>
          <w:b w:val="0"/>
          <w:bCs w:val="0"/>
          <w:caps w:val="0"/>
          <w:noProof/>
          <w:szCs w:val="22"/>
        </w:rPr>
      </w:pPr>
      <w:hyperlink w:anchor="_Toc120092510" w:history="1">
        <w:r w:rsidR="00927DD8" w:rsidRPr="00BC31E0">
          <w:rPr>
            <w:rStyle w:val="aff3"/>
            <w:noProof/>
            <w:color w:val="auto"/>
          </w:rPr>
          <w:t>2</w:t>
        </w:r>
        <w:r w:rsidR="00927DD8" w:rsidRPr="00BC31E0">
          <w:rPr>
            <w:rFonts w:asciiTheme="minorHAnsi" w:eastAsiaTheme="minorEastAsia" w:hAnsiTheme="minorHAnsi" w:cstheme="minorBidi"/>
            <w:b w:val="0"/>
            <w:bCs w:val="0"/>
            <w:caps w:val="0"/>
            <w:noProof/>
            <w:szCs w:val="22"/>
          </w:rPr>
          <w:tab/>
        </w:r>
        <w:r w:rsidR="00927DD8" w:rsidRPr="00BC31E0">
          <w:rPr>
            <w:rStyle w:val="aff3"/>
            <w:rFonts w:hint="eastAsia"/>
            <w:noProof/>
            <w:color w:val="auto"/>
          </w:rPr>
          <w:t>この規格の構成</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_Toc120092510 \h </w:instrText>
        </w:r>
        <w:r w:rsidR="002620C0" w:rsidRPr="00BC31E0">
          <w:rPr>
            <w:noProof/>
            <w:webHidden/>
          </w:rPr>
        </w:r>
        <w:r w:rsidR="002620C0" w:rsidRPr="00BC31E0">
          <w:rPr>
            <w:noProof/>
            <w:webHidden/>
          </w:rPr>
          <w:fldChar w:fldCharType="separate"/>
        </w:r>
        <w:r w:rsidR="00927DD8" w:rsidRPr="00BC31E0">
          <w:rPr>
            <w:noProof/>
            <w:webHidden/>
          </w:rPr>
          <w:t>5</w:t>
        </w:r>
        <w:r w:rsidR="002620C0" w:rsidRPr="00BC31E0">
          <w:rPr>
            <w:noProof/>
            <w:webHidden/>
          </w:rPr>
          <w:fldChar w:fldCharType="end"/>
        </w:r>
      </w:hyperlink>
    </w:p>
    <w:p w14:paraId="0A8FFB1D" w14:textId="77777777" w:rsidR="00927DD8" w:rsidRPr="00BC31E0" w:rsidRDefault="00A51873">
      <w:pPr>
        <w:pStyle w:val="24"/>
        <w:rPr>
          <w:rFonts w:asciiTheme="minorHAnsi" w:eastAsiaTheme="minorEastAsia" w:hAnsiTheme="minorHAnsi" w:cstheme="minorBidi"/>
          <w:b w:val="0"/>
          <w:smallCaps w:val="0"/>
          <w:noProof/>
          <w:szCs w:val="22"/>
        </w:rPr>
      </w:pPr>
      <w:hyperlink w:anchor="_Toc120092511" w:history="1">
        <w:r w:rsidR="00927DD8" w:rsidRPr="00BC31E0">
          <w:rPr>
            <w:rStyle w:val="aff3"/>
            <w:noProof/>
            <w:color w:val="auto"/>
          </w:rPr>
          <w:t>2.1</w:t>
        </w:r>
        <w:r w:rsidR="00927DD8" w:rsidRPr="00BC31E0">
          <w:rPr>
            <w:rFonts w:asciiTheme="minorHAnsi" w:eastAsiaTheme="minorEastAsia" w:hAnsiTheme="minorHAnsi" w:cstheme="minorBidi"/>
            <w:b w:val="0"/>
            <w:smallCaps w:val="0"/>
            <w:noProof/>
            <w:szCs w:val="22"/>
          </w:rPr>
          <w:tab/>
        </w:r>
        <w:r w:rsidR="00927DD8" w:rsidRPr="00BC31E0">
          <w:rPr>
            <w:rStyle w:val="aff3"/>
            <w:rFonts w:hint="eastAsia"/>
            <w:noProof/>
            <w:color w:val="auto"/>
          </w:rPr>
          <w:t>この規格の本体</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_Toc120092511 \h </w:instrText>
        </w:r>
        <w:r w:rsidR="002620C0" w:rsidRPr="00BC31E0">
          <w:rPr>
            <w:noProof/>
            <w:webHidden/>
          </w:rPr>
        </w:r>
        <w:r w:rsidR="002620C0" w:rsidRPr="00BC31E0">
          <w:rPr>
            <w:noProof/>
            <w:webHidden/>
          </w:rPr>
          <w:fldChar w:fldCharType="separate"/>
        </w:r>
        <w:r w:rsidR="00927DD8" w:rsidRPr="00BC31E0">
          <w:rPr>
            <w:noProof/>
            <w:webHidden/>
          </w:rPr>
          <w:t>5</w:t>
        </w:r>
        <w:r w:rsidR="002620C0" w:rsidRPr="00BC31E0">
          <w:rPr>
            <w:noProof/>
            <w:webHidden/>
          </w:rPr>
          <w:fldChar w:fldCharType="end"/>
        </w:r>
      </w:hyperlink>
    </w:p>
    <w:p w14:paraId="50A13637" w14:textId="77777777" w:rsidR="00927DD8" w:rsidRPr="00BC31E0" w:rsidRDefault="00A51873">
      <w:pPr>
        <w:pStyle w:val="24"/>
        <w:rPr>
          <w:rFonts w:asciiTheme="minorHAnsi" w:eastAsiaTheme="minorEastAsia" w:hAnsiTheme="minorHAnsi" w:cstheme="minorBidi"/>
          <w:b w:val="0"/>
          <w:smallCaps w:val="0"/>
          <w:noProof/>
          <w:szCs w:val="22"/>
        </w:rPr>
      </w:pPr>
      <w:hyperlink w:anchor="_Toc120092512" w:history="1">
        <w:r w:rsidR="00927DD8" w:rsidRPr="00BC31E0">
          <w:rPr>
            <w:rStyle w:val="aff3"/>
            <w:noProof/>
            <w:color w:val="auto"/>
          </w:rPr>
          <w:t>2.2</w:t>
        </w:r>
        <w:r w:rsidR="00927DD8" w:rsidRPr="00BC31E0">
          <w:rPr>
            <w:rFonts w:asciiTheme="minorHAnsi" w:eastAsiaTheme="minorEastAsia" w:hAnsiTheme="minorHAnsi" w:cstheme="minorBidi"/>
            <w:b w:val="0"/>
            <w:smallCaps w:val="0"/>
            <w:noProof/>
            <w:szCs w:val="22"/>
          </w:rPr>
          <w:tab/>
        </w:r>
        <w:r w:rsidR="00927DD8" w:rsidRPr="00BC31E0">
          <w:rPr>
            <w:rStyle w:val="aff3"/>
            <w:rFonts w:hint="eastAsia"/>
            <w:noProof/>
            <w:color w:val="auto"/>
          </w:rPr>
          <w:t>附属書</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_Toc120092512 \h </w:instrText>
        </w:r>
        <w:r w:rsidR="002620C0" w:rsidRPr="00BC31E0">
          <w:rPr>
            <w:noProof/>
            <w:webHidden/>
          </w:rPr>
        </w:r>
        <w:r w:rsidR="002620C0" w:rsidRPr="00BC31E0">
          <w:rPr>
            <w:noProof/>
            <w:webHidden/>
          </w:rPr>
          <w:fldChar w:fldCharType="separate"/>
        </w:r>
        <w:r w:rsidR="00927DD8" w:rsidRPr="00BC31E0">
          <w:rPr>
            <w:noProof/>
            <w:webHidden/>
          </w:rPr>
          <w:t>5</w:t>
        </w:r>
        <w:r w:rsidR="002620C0" w:rsidRPr="00BC31E0">
          <w:rPr>
            <w:noProof/>
            <w:webHidden/>
          </w:rPr>
          <w:fldChar w:fldCharType="end"/>
        </w:r>
      </w:hyperlink>
    </w:p>
    <w:p w14:paraId="53A9BC0A" w14:textId="77777777" w:rsidR="00927DD8" w:rsidRPr="00BC31E0" w:rsidRDefault="00A51873">
      <w:pPr>
        <w:pStyle w:val="1f4"/>
        <w:rPr>
          <w:rFonts w:asciiTheme="minorHAnsi" w:eastAsiaTheme="minorEastAsia" w:hAnsiTheme="minorHAnsi" w:cstheme="minorBidi"/>
          <w:b w:val="0"/>
          <w:bCs w:val="0"/>
          <w:caps w:val="0"/>
          <w:noProof/>
          <w:szCs w:val="22"/>
        </w:rPr>
      </w:pPr>
      <w:hyperlink w:anchor="_Toc120092513" w:history="1">
        <w:r w:rsidR="00927DD8" w:rsidRPr="00BC31E0">
          <w:rPr>
            <w:rStyle w:val="aff3"/>
            <w:noProof/>
            <w:color w:val="auto"/>
          </w:rPr>
          <w:t>3</w:t>
        </w:r>
        <w:r w:rsidR="00927DD8" w:rsidRPr="00BC31E0">
          <w:rPr>
            <w:rFonts w:asciiTheme="minorHAnsi" w:eastAsiaTheme="minorEastAsia" w:hAnsiTheme="minorHAnsi" w:cstheme="minorBidi"/>
            <w:b w:val="0"/>
            <w:bCs w:val="0"/>
            <w:caps w:val="0"/>
            <w:noProof/>
            <w:szCs w:val="22"/>
          </w:rPr>
          <w:tab/>
        </w:r>
        <w:r w:rsidR="00927DD8" w:rsidRPr="00BC31E0">
          <w:rPr>
            <w:rStyle w:val="aff3"/>
            <w:rFonts w:hint="eastAsia"/>
            <w:noProof/>
            <w:color w:val="auto"/>
          </w:rPr>
          <w:t>引用規格</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_Toc120092513 \h </w:instrText>
        </w:r>
        <w:r w:rsidR="002620C0" w:rsidRPr="00BC31E0">
          <w:rPr>
            <w:noProof/>
            <w:webHidden/>
          </w:rPr>
        </w:r>
        <w:r w:rsidR="002620C0" w:rsidRPr="00BC31E0">
          <w:rPr>
            <w:noProof/>
            <w:webHidden/>
          </w:rPr>
          <w:fldChar w:fldCharType="separate"/>
        </w:r>
        <w:r w:rsidR="00927DD8" w:rsidRPr="00BC31E0">
          <w:rPr>
            <w:noProof/>
            <w:webHidden/>
          </w:rPr>
          <w:t>5</w:t>
        </w:r>
        <w:r w:rsidR="002620C0" w:rsidRPr="00BC31E0">
          <w:rPr>
            <w:noProof/>
            <w:webHidden/>
          </w:rPr>
          <w:fldChar w:fldCharType="end"/>
        </w:r>
      </w:hyperlink>
    </w:p>
    <w:p w14:paraId="319FA03A" w14:textId="77777777" w:rsidR="00927DD8" w:rsidRPr="00BC31E0" w:rsidRDefault="00A51873">
      <w:pPr>
        <w:pStyle w:val="1f4"/>
        <w:rPr>
          <w:rFonts w:asciiTheme="minorHAnsi" w:eastAsiaTheme="minorEastAsia" w:hAnsiTheme="minorHAnsi" w:cstheme="minorBidi"/>
          <w:b w:val="0"/>
          <w:bCs w:val="0"/>
          <w:caps w:val="0"/>
          <w:noProof/>
          <w:szCs w:val="22"/>
        </w:rPr>
      </w:pPr>
      <w:hyperlink w:anchor="_Toc120092514" w:history="1">
        <w:r w:rsidR="00927DD8" w:rsidRPr="00BC31E0">
          <w:rPr>
            <w:rStyle w:val="aff3"/>
            <w:noProof/>
            <w:color w:val="auto"/>
          </w:rPr>
          <w:t>4</w:t>
        </w:r>
        <w:r w:rsidR="00927DD8" w:rsidRPr="00BC31E0">
          <w:rPr>
            <w:rFonts w:asciiTheme="minorHAnsi" w:eastAsiaTheme="minorEastAsia" w:hAnsiTheme="minorHAnsi" w:cstheme="minorBidi"/>
            <w:b w:val="0"/>
            <w:bCs w:val="0"/>
            <w:caps w:val="0"/>
            <w:noProof/>
            <w:szCs w:val="22"/>
          </w:rPr>
          <w:tab/>
        </w:r>
        <w:r w:rsidR="00927DD8" w:rsidRPr="00BC31E0">
          <w:rPr>
            <w:rStyle w:val="aff3"/>
            <w:rFonts w:hint="eastAsia"/>
            <w:noProof/>
            <w:color w:val="auto"/>
          </w:rPr>
          <w:t>用語の定義</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_Toc120092514 \h </w:instrText>
        </w:r>
        <w:r w:rsidR="002620C0" w:rsidRPr="00BC31E0">
          <w:rPr>
            <w:noProof/>
            <w:webHidden/>
          </w:rPr>
        </w:r>
        <w:r w:rsidR="002620C0" w:rsidRPr="00BC31E0">
          <w:rPr>
            <w:noProof/>
            <w:webHidden/>
          </w:rPr>
          <w:fldChar w:fldCharType="separate"/>
        </w:r>
        <w:r w:rsidR="00927DD8" w:rsidRPr="00BC31E0">
          <w:rPr>
            <w:noProof/>
            <w:webHidden/>
          </w:rPr>
          <w:t>8</w:t>
        </w:r>
        <w:r w:rsidR="002620C0" w:rsidRPr="00BC31E0">
          <w:rPr>
            <w:noProof/>
            <w:webHidden/>
          </w:rPr>
          <w:fldChar w:fldCharType="end"/>
        </w:r>
      </w:hyperlink>
    </w:p>
    <w:p w14:paraId="53D2ADAE" w14:textId="77777777" w:rsidR="00927DD8" w:rsidRPr="00BC31E0" w:rsidRDefault="00A51873">
      <w:pPr>
        <w:pStyle w:val="1f4"/>
        <w:rPr>
          <w:rFonts w:asciiTheme="minorHAnsi" w:eastAsiaTheme="minorEastAsia" w:hAnsiTheme="minorHAnsi" w:cstheme="minorBidi"/>
          <w:b w:val="0"/>
          <w:bCs w:val="0"/>
          <w:caps w:val="0"/>
          <w:noProof/>
          <w:szCs w:val="22"/>
        </w:rPr>
      </w:pPr>
      <w:hyperlink w:anchor="_Toc120092515" w:history="1">
        <w:r w:rsidR="00927DD8" w:rsidRPr="00BC31E0">
          <w:rPr>
            <w:rStyle w:val="aff3"/>
            <w:noProof/>
            <w:color w:val="auto"/>
          </w:rPr>
          <w:t>5</w:t>
        </w:r>
        <w:r w:rsidR="00927DD8" w:rsidRPr="00BC31E0">
          <w:rPr>
            <w:rFonts w:asciiTheme="minorHAnsi" w:eastAsiaTheme="minorEastAsia" w:hAnsiTheme="minorHAnsi" w:cstheme="minorBidi"/>
            <w:b w:val="0"/>
            <w:bCs w:val="0"/>
            <w:caps w:val="0"/>
            <w:noProof/>
            <w:szCs w:val="22"/>
          </w:rPr>
          <w:tab/>
        </w:r>
        <w:r w:rsidR="00927DD8" w:rsidRPr="00BC31E0">
          <w:rPr>
            <w:rStyle w:val="aff3"/>
            <w:rFonts w:hint="eastAsia"/>
            <w:noProof/>
            <w:color w:val="auto"/>
          </w:rPr>
          <w:t>材料</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_Toc120092515 \h </w:instrText>
        </w:r>
        <w:r w:rsidR="002620C0" w:rsidRPr="00BC31E0">
          <w:rPr>
            <w:noProof/>
            <w:webHidden/>
          </w:rPr>
        </w:r>
        <w:r w:rsidR="002620C0" w:rsidRPr="00BC31E0">
          <w:rPr>
            <w:noProof/>
            <w:webHidden/>
          </w:rPr>
          <w:fldChar w:fldCharType="separate"/>
        </w:r>
        <w:r w:rsidR="00927DD8" w:rsidRPr="00BC31E0">
          <w:rPr>
            <w:noProof/>
            <w:webHidden/>
          </w:rPr>
          <w:t>8</w:t>
        </w:r>
        <w:r w:rsidR="002620C0" w:rsidRPr="00BC31E0">
          <w:rPr>
            <w:noProof/>
            <w:webHidden/>
          </w:rPr>
          <w:fldChar w:fldCharType="end"/>
        </w:r>
      </w:hyperlink>
    </w:p>
    <w:p w14:paraId="545DD988" w14:textId="77777777" w:rsidR="00927DD8" w:rsidRPr="00BC31E0" w:rsidRDefault="00A51873">
      <w:pPr>
        <w:pStyle w:val="24"/>
        <w:rPr>
          <w:rFonts w:asciiTheme="minorHAnsi" w:eastAsiaTheme="minorEastAsia" w:hAnsiTheme="minorHAnsi" w:cstheme="minorBidi"/>
          <w:b w:val="0"/>
          <w:smallCaps w:val="0"/>
          <w:noProof/>
          <w:szCs w:val="22"/>
        </w:rPr>
      </w:pPr>
      <w:hyperlink w:anchor="_Toc120092516" w:history="1">
        <w:r w:rsidR="00927DD8" w:rsidRPr="00BC31E0">
          <w:rPr>
            <w:rStyle w:val="aff3"/>
            <w:noProof/>
            <w:color w:val="auto"/>
          </w:rPr>
          <w:t>5.1</w:t>
        </w:r>
        <w:r w:rsidR="00927DD8" w:rsidRPr="00BC31E0">
          <w:rPr>
            <w:rFonts w:asciiTheme="minorHAnsi" w:eastAsiaTheme="minorEastAsia" w:hAnsiTheme="minorHAnsi" w:cstheme="minorBidi"/>
            <w:b w:val="0"/>
            <w:smallCaps w:val="0"/>
            <w:noProof/>
            <w:szCs w:val="22"/>
          </w:rPr>
          <w:tab/>
        </w:r>
        <w:r w:rsidR="00927DD8" w:rsidRPr="00BC31E0">
          <w:rPr>
            <w:rStyle w:val="aff3"/>
            <w:rFonts w:hint="eastAsia"/>
            <w:noProof/>
            <w:color w:val="auto"/>
          </w:rPr>
          <w:t>材料一般</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_Toc120092516 \h </w:instrText>
        </w:r>
        <w:r w:rsidR="002620C0" w:rsidRPr="00BC31E0">
          <w:rPr>
            <w:noProof/>
            <w:webHidden/>
          </w:rPr>
        </w:r>
        <w:r w:rsidR="002620C0" w:rsidRPr="00BC31E0">
          <w:rPr>
            <w:noProof/>
            <w:webHidden/>
          </w:rPr>
          <w:fldChar w:fldCharType="separate"/>
        </w:r>
        <w:r w:rsidR="00927DD8" w:rsidRPr="00BC31E0">
          <w:rPr>
            <w:noProof/>
            <w:webHidden/>
          </w:rPr>
          <w:t>8</w:t>
        </w:r>
        <w:r w:rsidR="002620C0" w:rsidRPr="00BC31E0">
          <w:rPr>
            <w:noProof/>
            <w:webHidden/>
          </w:rPr>
          <w:fldChar w:fldCharType="end"/>
        </w:r>
      </w:hyperlink>
    </w:p>
    <w:p w14:paraId="2F6F10C5" w14:textId="77777777" w:rsidR="00927DD8" w:rsidRPr="00BC31E0" w:rsidRDefault="00A51873">
      <w:pPr>
        <w:pStyle w:val="24"/>
        <w:rPr>
          <w:rFonts w:asciiTheme="minorHAnsi" w:eastAsiaTheme="minorEastAsia" w:hAnsiTheme="minorHAnsi" w:cstheme="minorBidi"/>
          <w:b w:val="0"/>
          <w:smallCaps w:val="0"/>
          <w:noProof/>
          <w:szCs w:val="22"/>
        </w:rPr>
      </w:pPr>
      <w:hyperlink w:anchor="_Toc120092517" w:history="1">
        <w:r w:rsidR="00927DD8" w:rsidRPr="00BC31E0">
          <w:rPr>
            <w:rStyle w:val="aff3"/>
            <w:noProof/>
            <w:color w:val="auto"/>
          </w:rPr>
          <w:t>5.2</w:t>
        </w:r>
        <w:r w:rsidR="00927DD8" w:rsidRPr="00BC31E0">
          <w:rPr>
            <w:rFonts w:asciiTheme="minorHAnsi" w:eastAsiaTheme="minorEastAsia" w:hAnsiTheme="minorHAnsi" w:cstheme="minorBidi"/>
            <w:b w:val="0"/>
            <w:smallCaps w:val="0"/>
            <w:noProof/>
            <w:szCs w:val="22"/>
          </w:rPr>
          <w:tab/>
        </w:r>
        <w:r w:rsidR="00927DD8" w:rsidRPr="00BC31E0">
          <w:rPr>
            <w:rStyle w:val="aff3"/>
            <w:rFonts w:hint="eastAsia"/>
            <w:noProof/>
            <w:color w:val="auto"/>
          </w:rPr>
          <w:t>材料の機械試験</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_Toc120092517 \h </w:instrText>
        </w:r>
        <w:r w:rsidR="002620C0" w:rsidRPr="00BC31E0">
          <w:rPr>
            <w:noProof/>
            <w:webHidden/>
          </w:rPr>
        </w:r>
        <w:r w:rsidR="002620C0" w:rsidRPr="00BC31E0">
          <w:rPr>
            <w:noProof/>
            <w:webHidden/>
          </w:rPr>
          <w:fldChar w:fldCharType="separate"/>
        </w:r>
        <w:r w:rsidR="00927DD8" w:rsidRPr="00BC31E0">
          <w:rPr>
            <w:noProof/>
            <w:webHidden/>
          </w:rPr>
          <w:t>9</w:t>
        </w:r>
        <w:r w:rsidR="002620C0" w:rsidRPr="00BC31E0">
          <w:rPr>
            <w:noProof/>
            <w:webHidden/>
          </w:rPr>
          <w:fldChar w:fldCharType="end"/>
        </w:r>
      </w:hyperlink>
    </w:p>
    <w:p w14:paraId="52E331A7" w14:textId="77777777" w:rsidR="00927DD8" w:rsidRPr="00BC31E0" w:rsidRDefault="00A51873">
      <w:pPr>
        <w:pStyle w:val="24"/>
        <w:rPr>
          <w:rFonts w:asciiTheme="minorHAnsi" w:eastAsiaTheme="minorEastAsia" w:hAnsiTheme="minorHAnsi" w:cstheme="minorBidi"/>
          <w:b w:val="0"/>
          <w:smallCaps w:val="0"/>
          <w:noProof/>
          <w:szCs w:val="22"/>
        </w:rPr>
      </w:pPr>
      <w:hyperlink w:anchor="_Toc120092518" w:history="1">
        <w:r w:rsidR="00927DD8" w:rsidRPr="00BC31E0">
          <w:rPr>
            <w:rStyle w:val="aff3"/>
            <w:noProof/>
            <w:color w:val="auto"/>
          </w:rPr>
          <w:t>5.3</w:t>
        </w:r>
        <w:r w:rsidR="00927DD8" w:rsidRPr="00BC31E0">
          <w:rPr>
            <w:rFonts w:asciiTheme="minorHAnsi" w:eastAsiaTheme="minorEastAsia" w:hAnsiTheme="minorHAnsi" w:cstheme="minorBidi"/>
            <w:b w:val="0"/>
            <w:smallCaps w:val="0"/>
            <w:noProof/>
            <w:szCs w:val="22"/>
          </w:rPr>
          <w:tab/>
        </w:r>
        <w:r w:rsidR="00927DD8" w:rsidRPr="00BC31E0">
          <w:rPr>
            <w:rStyle w:val="aff3"/>
            <w:rFonts w:hint="eastAsia"/>
            <w:noProof/>
            <w:color w:val="auto"/>
          </w:rPr>
          <w:t>ボルトの追加規定</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_Toc120092518 \h </w:instrText>
        </w:r>
        <w:r w:rsidR="002620C0" w:rsidRPr="00BC31E0">
          <w:rPr>
            <w:noProof/>
            <w:webHidden/>
          </w:rPr>
        </w:r>
        <w:r w:rsidR="002620C0" w:rsidRPr="00BC31E0">
          <w:rPr>
            <w:noProof/>
            <w:webHidden/>
          </w:rPr>
          <w:fldChar w:fldCharType="separate"/>
        </w:r>
        <w:r w:rsidR="00927DD8" w:rsidRPr="00BC31E0">
          <w:rPr>
            <w:noProof/>
            <w:webHidden/>
          </w:rPr>
          <w:t>19</w:t>
        </w:r>
        <w:r w:rsidR="002620C0" w:rsidRPr="00BC31E0">
          <w:rPr>
            <w:noProof/>
            <w:webHidden/>
          </w:rPr>
          <w:fldChar w:fldCharType="end"/>
        </w:r>
      </w:hyperlink>
    </w:p>
    <w:p w14:paraId="70F4B692" w14:textId="77777777" w:rsidR="00927DD8" w:rsidRPr="00BC31E0" w:rsidRDefault="00A51873">
      <w:pPr>
        <w:pStyle w:val="24"/>
        <w:rPr>
          <w:rFonts w:asciiTheme="minorHAnsi" w:eastAsiaTheme="minorEastAsia" w:hAnsiTheme="minorHAnsi" w:cstheme="minorBidi"/>
          <w:b w:val="0"/>
          <w:smallCaps w:val="0"/>
          <w:noProof/>
          <w:szCs w:val="22"/>
        </w:rPr>
      </w:pPr>
      <w:hyperlink w:anchor="_Toc120092519" w:history="1">
        <w:r w:rsidR="00927DD8" w:rsidRPr="00BC31E0">
          <w:rPr>
            <w:rStyle w:val="aff3"/>
            <w:noProof/>
            <w:color w:val="auto"/>
          </w:rPr>
          <w:t>5.4</w:t>
        </w:r>
        <w:r w:rsidR="00927DD8" w:rsidRPr="00BC31E0">
          <w:rPr>
            <w:rFonts w:asciiTheme="minorHAnsi" w:eastAsiaTheme="minorEastAsia" w:hAnsiTheme="minorHAnsi" w:cstheme="minorBidi"/>
            <w:b w:val="0"/>
            <w:smallCaps w:val="0"/>
            <w:noProof/>
            <w:szCs w:val="22"/>
          </w:rPr>
          <w:tab/>
        </w:r>
        <w:r w:rsidR="00927DD8" w:rsidRPr="00BC31E0">
          <w:rPr>
            <w:rStyle w:val="aff3"/>
            <w:rFonts w:hint="eastAsia"/>
            <w:noProof/>
            <w:color w:val="auto"/>
          </w:rPr>
          <w:t>材料設計データ</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_Toc120092519 \h </w:instrText>
        </w:r>
        <w:r w:rsidR="002620C0" w:rsidRPr="00BC31E0">
          <w:rPr>
            <w:noProof/>
            <w:webHidden/>
          </w:rPr>
        </w:r>
        <w:r w:rsidR="002620C0" w:rsidRPr="00BC31E0">
          <w:rPr>
            <w:noProof/>
            <w:webHidden/>
          </w:rPr>
          <w:fldChar w:fldCharType="separate"/>
        </w:r>
        <w:r w:rsidR="00927DD8" w:rsidRPr="00BC31E0">
          <w:rPr>
            <w:noProof/>
            <w:webHidden/>
          </w:rPr>
          <w:t>20</w:t>
        </w:r>
        <w:r w:rsidR="002620C0" w:rsidRPr="00BC31E0">
          <w:rPr>
            <w:noProof/>
            <w:webHidden/>
          </w:rPr>
          <w:fldChar w:fldCharType="end"/>
        </w:r>
      </w:hyperlink>
    </w:p>
    <w:p w14:paraId="770CF63F" w14:textId="77777777" w:rsidR="00927DD8" w:rsidRPr="00BC31E0" w:rsidRDefault="00A51873">
      <w:pPr>
        <w:pStyle w:val="1f4"/>
        <w:rPr>
          <w:rFonts w:asciiTheme="minorHAnsi" w:eastAsiaTheme="minorEastAsia" w:hAnsiTheme="minorHAnsi" w:cstheme="minorBidi"/>
          <w:b w:val="0"/>
          <w:bCs w:val="0"/>
          <w:caps w:val="0"/>
          <w:noProof/>
          <w:szCs w:val="22"/>
        </w:rPr>
      </w:pPr>
      <w:hyperlink w:anchor="_Toc120092520" w:history="1">
        <w:r w:rsidR="00927DD8" w:rsidRPr="00BC31E0">
          <w:rPr>
            <w:rStyle w:val="aff3"/>
            <w:noProof/>
            <w:color w:val="auto"/>
          </w:rPr>
          <w:t>6</w:t>
        </w:r>
        <w:r w:rsidR="00927DD8" w:rsidRPr="00BC31E0">
          <w:rPr>
            <w:rFonts w:asciiTheme="minorHAnsi" w:eastAsiaTheme="minorEastAsia" w:hAnsiTheme="minorHAnsi" w:cstheme="minorBidi"/>
            <w:b w:val="0"/>
            <w:bCs w:val="0"/>
            <w:caps w:val="0"/>
            <w:noProof/>
            <w:szCs w:val="22"/>
          </w:rPr>
          <w:tab/>
        </w:r>
        <w:r w:rsidR="00927DD8" w:rsidRPr="00BC31E0">
          <w:rPr>
            <w:rStyle w:val="aff3"/>
            <w:rFonts w:hint="eastAsia"/>
            <w:noProof/>
            <w:color w:val="auto"/>
          </w:rPr>
          <w:t>設計</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_Toc120092520 \h </w:instrText>
        </w:r>
        <w:r w:rsidR="002620C0" w:rsidRPr="00BC31E0">
          <w:rPr>
            <w:noProof/>
            <w:webHidden/>
          </w:rPr>
        </w:r>
        <w:r w:rsidR="002620C0" w:rsidRPr="00BC31E0">
          <w:rPr>
            <w:noProof/>
            <w:webHidden/>
          </w:rPr>
          <w:fldChar w:fldCharType="separate"/>
        </w:r>
        <w:r w:rsidR="00927DD8" w:rsidRPr="00BC31E0">
          <w:rPr>
            <w:noProof/>
            <w:webHidden/>
          </w:rPr>
          <w:t>46</w:t>
        </w:r>
        <w:r w:rsidR="002620C0" w:rsidRPr="00BC31E0">
          <w:rPr>
            <w:noProof/>
            <w:webHidden/>
          </w:rPr>
          <w:fldChar w:fldCharType="end"/>
        </w:r>
      </w:hyperlink>
    </w:p>
    <w:p w14:paraId="474FCECA" w14:textId="77777777" w:rsidR="00927DD8" w:rsidRPr="00BC31E0" w:rsidRDefault="00A51873">
      <w:pPr>
        <w:pStyle w:val="24"/>
        <w:rPr>
          <w:rFonts w:asciiTheme="minorHAnsi" w:eastAsiaTheme="minorEastAsia" w:hAnsiTheme="minorHAnsi" w:cstheme="minorBidi"/>
          <w:b w:val="0"/>
          <w:smallCaps w:val="0"/>
          <w:noProof/>
          <w:szCs w:val="22"/>
        </w:rPr>
      </w:pPr>
      <w:hyperlink w:anchor="_Toc120092521" w:history="1">
        <w:r w:rsidR="00927DD8" w:rsidRPr="00BC31E0">
          <w:rPr>
            <w:rStyle w:val="aff3"/>
            <w:noProof/>
            <w:color w:val="auto"/>
          </w:rPr>
          <w:t>6.1</w:t>
        </w:r>
        <w:r w:rsidR="00927DD8" w:rsidRPr="00BC31E0">
          <w:rPr>
            <w:rFonts w:asciiTheme="minorHAnsi" w:eastAsiaTheme="minorEastAsia" w:hAnsiTheme="minorHAnsi" w:cstheme="minorBidi"/>
            <w:b w:val="0"/>
            <w:smallCaps w:val="0"/>
            <w:noProof/>
            <w:szCs w:val="22"/>
          </w:rPr>
          <w:tab/>
        </w:r>
        <w:r w:rsidR="00927DD8" w:rsidRPr="00BC31E0">
          <w:rPr>
            <w:rStyle w:val="aff3"/>
            <w:rFonts w:hint="eastAsia"/>
            <w:noProof/>
            <w:color w:val="auto"/>
          </w:rPr>
          <w:t>設計一般</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_Toc120092521 \h </w:instrText>
        </w:r>
        <w:r w:rsidR="002620C0" w:rsidRPr="00BC31E0">
          <w:rPr>
            <w:noProof/>
            <w:webHidden/>
          </w:rPr>
        </w:r>
        <w:r w:rsidR="002620C0" w:rsidRPr="00BC31E0">
          <w:rPr>
            <w:noProof/>
            <w:webHidden/>
          </w:rPr>
          <w:fldChar w:fldCharType="separate"/>
        </w:r>
        <w:r w:rsidR="00927DD8" w:rsidRPr="00BC31E0">
          <w:rPr>
            <w:noProof/>
            <w:webHidden/>
          </w:rPr>
          <w:t>46</w:t>
        </w:r>
        <w:r w:rsidR="002620C0" w:rsidRPr="00BC31E0">
          <w:rPr>
            <w:noProof/>
            <w:webHidden/>
          </w:rPr>
          <w:fldChar w:fldCharType="end"/>
        </w:r>
      </w:hyperlink>
    </w:p>
    <w:p w14:paraId="5BBCF79E" w14:textId="77777777" w:rsidR="00927DD8" w:rsidRPr="00BC31E0" w:rsidRDefault="00A51873">
      <w:pPr>
        <w:pStyle w:val="24"/>
        <w:rPr>
          <w:rFonts w:asciiTheme="minorHAnsi" w:eastAsiaTheme="minorEastAsia" w:hAnsiTheme="minorHAnsi" w:cstheme="minorBidi"/>
          <w:b w:val="0"/>
          <w:smallCaps w:val="0"/>
          <w:noProof/>
          <w:szCs w:val="22"/>
        </w:rPr>
      </w:pPr>
      <w:hyperlink w:anchor="_Toc120092522" w:history="1">
        <w:r w:rsidR="00927DD8" w:rsidRPr="00BC31E0">
          <w:rPr>
            <w:rStyle w:val="aff3"/>
            <w:noProof/>
            <w:color w:val="auto"/>
          </w:rPr>
          <w:t>6.2</w:t>
        </w:r>
        <w:r w:rsidR="00927DD8" w:rsidRPr="00BC31E0">
          <w:rPr>
            <w:rFonts w:asciiTheme="minorHAnsi" w:eastAsiaTheme="minorEastAsia" w:hAnsiTheme="minorHAnsi" w:cstheme="minorBidi"/>
            <w:b w:val="0"/>
            <w:smallCaps w:val="0"/>
            <w:noProof/>
            <w:szCs w:val="22"/>
          </w:rPr>
          <w:tab/>
        </w:r>
        <w:r w:rsidR="00927DD8" w:rsidRPr="00BC31E0">
          <w:rPr>
            <w:rStyle w:val="aff3"/>
            <w:rFonts w:hint="eastAsia"/>
            <w:noProof/>
            <w:color w:val="auto"/>
          </w:rPr>
          <w:t>基本的な設計要求</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_Toc120092522 \h </w:instrText>
        </w:r>
        <w:r w:rsidR="002620C0" w:rsidRPr="00BC31E0">
          <w:rPr>
            <w:noProof/>
            <w:webHidden/>
          </w:rPr>
        </w:r>
        <w:r w:rsidR="002620C0" w:rsidRPr="00BC31E0">
          <w:rPr>
            <w:noProof/>
            <w:webHidden/>
          </w:rPr>
          <w:fldChar w:fldCharType="separate"/>
        </w:r>
        <w:r w:rsidR="00927DD8" w:rsidRPr="00BC31E0">
          <w:rPr>
            <w:noProof/>
            <w:webHidden/>
          </w:rPr>
          <w:t>48</w:t>
        </w:r>
        <w:r w:rsidR="002620C0" w:rsidRPr="00BC31E0">
          <w:rPr>
            <w:noProof/>
            <w:webHidden/>
          </w:rPr>
          <w:fldChar w:fldCharType="end"/>
        </w:r>
      </w:hyperlink>
    </w:p>
    <w:p w14:paraId="7B74593D" w14:textId="77777777" w:rsidR="00927DD8" w:rsidRPr="00BC31E0" w:rsidRDefault="00A51873">
      <w:pPr>
        <w:pStyle w:val="24"/>
        <w:rPr>
          <w:rFonts w:asciiTheme="minorHAnsi" w:eastAsiaTheme="minorEastAsia" w:hAnsiTheme="minorHAnsi" w:cstheme="minorBidi"/>
          <w:b w:val="0"/>
          <w:smallCaps w:val="0"/>
          <w:noProof/>
          <w:szCs w:val="22"/>
        </w:rPr>
      </w:pPr>
      <w:hyperlink w:anchor="_Toc120092523" w:history="1">
        <w:r w:rsidR="00927DD8" w:rsidRPr="00BC31E0">
          <w:rPr>
            <w:rStyle w:val="aff3"/>
            <w:noProof/>
            <w:color w:val="auto"/>
          </w:rPr>
          <w:t>6.3</w:t>
        </w:r>
        <w:r w:rsidR="00927DD8" w:rsidRPr="00BC31E0">
          <w:rPr>
            <w:rFonts w:asciiTheme="minorHAnsi" w:eastAsiaTheme="minorEastAsia" w:hAnsiTheme="minorHAnsi" w:cstheme="minorBidi"/>
            <w:b w:val="0"/>
            <w:smallCaps w:val="0"/>
            <w:noProof/>
            <w:szCs w:val="22"/>
          </w:rPr>
          <w:tab/>
        </w:r>
        <w:r w:rsidR="00927DD8" w:rsidRPr="00BC31E0">
          <w:rPr>
            <w:rStyle w:val="aff3"/>
            <w:rFonts w:hint="eastAsia"/>
            <w:noProof/>
            <w:color w:val="auto"/>
          </w:rPr>
          <w:t>疲労評価</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_Toc120092523 \h </w:instrText>
        </w:r>
        <w:r w:rsidR="002620C0" w:rsidRPr="00BC31E0">
          <w:rPr>
            <w:noProof/>
            <w:webHidden/>
          </w:rPr>
        </w:r>
        <w:r w:rsidR="002620C0" w:rsidRPr="00BC31E0">
          <w:rPr>
            <w:noProof/>
            <w:webHidden/>
          </w:rPr>
          <w:fldChar w:fldCharType="separate"/>
        </w:r>
        <w:r w:rsidR="00927DD8" w:rsidRPr="00BC31E0">
          <w:rPr>
            <w:noProof/>
            <w:webHidden/>
          </w:rPr>
          <w:t>58</w:t>
        </w:r>
        <w:r w:rsidR="002620C0" w:rsidRPr="00BC31E0">
          <w:rPr>
            <w:noProof/>
            <w:webHidden/>
          </w:rPr>
          <w:fldChar w:fldCharType="end"/>
        </w:r>
      </w:hyperlink>
    </w:p>
    <w:p w14:paraId="39906821" w14:textId="77777777" w:rsidR="00927DD8" w:rsidRPr="00BC31E0" w:rsidRDefault="00A51873">
      <w:pPr>
        <w:pStyle w:val="24"/>
        <w:rPr>
          <w:rFonts w:asciiTheme="minorHAnsi" w:eastAsiaTheme="minorEastAsia" w:hAnsiTheme="minorHAnsi" w:cstheme="minorBidi"/>
          <w:b w:val="0"/>
          <w:smallCaps w:val="0"/>
          <w:noProof/>
          <w:szCs w:val="22"/>
        </w:rPr>
      </w:pPr>
      <w:hyperlink w:anchor="_Toc120092524" w:history="1">
        <w:r w:rsidR="00927DD8" w:rsidRPr="00BC31E0">
          <w:rPr>
            <w:rStyle w:val="aff3"/>
            <w:noProof/>
            <w:color w:val="auto"/>
          </w:rPr>
          <w:t>6.4</w:t>
        </w:r>
        <w:r w:rsidR="00927DD8" w:rsidRPr="00BC31E0">
          <w:rPr>
            <w:rFonts w:asciiTheme="minorHAnsi" w:eastAsiaTheme="minorEastAsia" w:hAnsiTheme="minorHAnsi" w:cstheme="minorBidi"/>
            <w:b w:val="0"/>
            <w:smallCaps w:val="0"/>
            <w:noProof/>
            <w:szCs w:val="22"/>
          </w:rPr>
          <w:tab/>
        </w:r>
        <w:r w:rsidR="00927DD8" w:rsidRPr="00BC31E0">
          <w:rPr>
            <w:rStyle w:val="aff3"/>
            <w:rFonts w:hint="eastAsia"/>
            <w:noProof/>
            <w:color w:val="auto"/>
          </w:rPr>
          <w:t>破壊力学評価</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_Toc120092524 \h </w:instrText>
        </w:r>
        <w:r w:rsidR="002620C0" w:rsidRPr="00BC31E0">
          <w:rPr>
            <w:noProof/>
            <w:webHidden/>
          </w:rPr>
        </w:r>
        <w:r w:rsidR="002620C0" w:rsidRPr="00BC31E0">
          <w:rPr>
            <w:noProof/>
            <w:webHidden/>
          </w:rPr>
          <w:fldChar w:fldCharType="separate"/>
        </w:r>
        <w:r w:rsidR="00927DD8" w:rsidRPr="00BC31E0">
          <w:rPr>
            <w:noProof/>
            <w:webHidden/>
          </w:rPr>
          <w:t>74</w:t>
        </w:r>
        <w:r w:rsidR="002620C0" w:rsidRPr="00BC31E0">
          <w:rPr>
            <w:noProof/>
            <w:webHidden/>
          </w:rPr>
          <w:fldChar w:fldCharType="end"/>
        </w:r>
      </w:hyperlink>
    </w:p>
    <w:p w14:paraId="73F79446" w14:textId="77777777" w:rsidR="00927DD8" w:rsidRPr="00BC31E0" w:rsidRDefault="00A51873">
      <w:pPr>
        <w:pStyle w:val="24"/>
        <w:rPr>
          <w:rFonts w:asciiTheme="minorHAnsi" w:eastAsiaTheme="minorEastAsia" w:hAnsiTheme="minorHAnsi" w:cstheme="minorBidi"/>
          <w:b w:val="0"/>
          <w:smallCaps w:val="0"/>
          <w:noProof/>
          <w:szCs w:val="22"/>
        </w:rPr>
      </w:pPr>
      <w:hyperlink w:anchor="_Toc120092525" w:history="1">
        <w:r w:rsidR="00927DD8" w:rsidRPr="00BC31E0">
          <w:rPr>
            <w:rStyle w:val="aff3"/>
            <w:noProof/>
            <w:color w:val="auto"/>
          </w:rPr>
          <w:t>6.5</w:t>
        </w:r>
        <w:r w:rsidR="00927DD8" w:rsidRPr="00BC31E0">
          <w:rPr>
            <w:rFonts w:asciiTheme="minorHAnsi" w:eastAsiaTheme="minorEastAsia" w:hAnsiTheme="minorHAnsi" w:cstheme="minorBidi"/>
            <w:b w:val="0"/>
            <w:smallCaps w:val="0"/>
            <w:noProof/>
            <w:szCs w:val="22"/>
          </w:rPr>
          <w:tab/>
        </w:r>
        <w:r w:rsidR="00927DD8" w:rsidRPr="00BC31E0">
          <w:rPr>
            <w:rStyle w:val="aff3"/>
            <w:rFonts w:hint="eastAsia"/>
            <w:noProof/>
            <w:color w:val="auto"/>
          </w:rPr>
          <w:t>自緊を用いた設計</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_Toc120092525 \h </w:instrText>
        </w:r>
        <w:r w:rsidR="002620C0" w:rsidRPr="00BC31E0">
          <w:rPr>
            <w:noProof/>
            <w:webHidden/>
          </w:rPr>
        </w:r>
        <w:r w:rsidR="002620C0" w:rsidRPr="00BC31E0">
          <w:rPr>
            <w:noProof/>
            <w:webHidden/>
          </w:rPr>
          <w:fldChar w:fldCharType="separate"/>
        </w:r>
        <w:r w:rsidR="00927DD8" w:rsidRPr="00BC31E0">
          <w:rPr>
            <w:noProof/>
            <w:webHidden/>
          </w:rPr>
          <w:t>78</w:t>
        </w:r>
        <w:r w:rsidR="002620C0" w:rsidRPr="00BC31E0">
          <w:rPr>
            <w:noProof/>
            <w:webHidden/>
          </w:rPr>
          <w:fldChar w:fldCharType="end"/>
        </w:r>
      </w:hyperlink>
    </w:p>
    <w:p w14:paraId="7C003CE8" w14:textId="77777777" w:rsidR="00927DD8" w:rsidRPr="00BC31E0" w:rsidRDefault="00A51873">
      <w:pPr>
        <w:pStyle w:val="24"/>
        <w:rPr>
          <w:rFonts w:asciiTheme="minorHAnsi" w:eastAsiaTheme="minorEastAsia" w:hAnsiTheme="minorHAnsi" w:cstheme="minorBidi"/>
          <w:b w:val="0"/>
          <w:smallCaps w:val="0"/>
          <w:noProof/>
          <w:szCs w:val="22"/>
        </w:rPr>
      </w:pPr>
      <w:hyperlink w:anchor="_Toc120092526" w:history="1">
        <w:r w:rsidR="00927DD8" w:rsidRPr="00BC31E0">
          <w:rPr>
            <w:rStyle w:val="aff3"/>
            <w:noProof/>
            <w:color w:val="auto"/>
          </w:rPr>
          <w:t>6.6</w:t>
        </w:r>
        <w:r w:rsidR="00927DD8" w:rsidRPr="00BC31E0">
          <w:rPr>
            <w:rFonts w:asciiTheme="minorHAnsi" w:eastAsiaTheme="minorEastAsia" w:hAnsiTheme="minorHAnsi" w:cstheme="minorBidi"/>
            <w:b w:val="0"/>
            <w:smallCaps w:val="0"/>
            <w:noProof/>
            <w:szCs w:val="22"/>
          </w:rPr>
          <w:tab/>
        </w:r>
        <w:r w:rsidR="00927DD8" w:rsidRPr="00BC31E0">
          <w:rPr>
            <w:rStyle w:val="aff3"/>
            <w:rFonts w:hint="eastAsia"/>
            <w:noProof/>
            <w:color w:val="auto"/>
          </w:rPr>
          <w:t>穴，ふた板，鏡板，ねじ継手，シールの設計</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_Toc120092526 \h </w:instrText>
        </w:r>
        <w:r w:rsidR="002620C0" w:rsidRPr="00BC31E0">
          <w:rPr>
            <w:noProof/>
            <w:webHidden/>
          </w:rPr>
        </w:r>
        <w:r w:rsidR="002620C0" w:rsidRPr="00BC31E0">
          <w:rPr>
            <w:noProof/>
            <w:webHidden/>
          </w:rPr>
          <w:fldChar w:fldCharType="separate"/>
        </w:r>
        <w:r w:rsidR="00927DD8" w:rsidRPr="00BC31E0">
          <w:rPr>
            <w:noProof/>
            <w:webHidden/>
          </w:rPr>
          <w:t>82</w:t>
        </w:r>
        <w:r w:rsidR="002620C0" w:rsidRPr="00BC31E0">
          <w:rPr>
            <w:noProof/>
            <w:webHidden/>
          </w:rPr>
          <w:fldChar w:fldCharType="end"/>
        </w:r>
      </w:hyperlink>
    </w:p>
    <w:p w14:paraId="302D9DAC" w14:textId="77777777" w:rsidR="00927DD8" w:rsidRPr="00BC31E0" w:rsidRDefault="00A51873">
      <w:pPr>
        <w:pStyle w:val="24"/>
        <w:rPr>
          <w:rFonts w:asciiTheme="minorHAnsi" w:eastAsiaTheme="minorEastAsia" w:hAnsiTheme="minorHAnsi" w:cstheme="minorBidi"/>
          <w:b w:val="0"/>
          <w:smallCaps w:val="0"/>
          <w:noProof/>
          <w:szCs w:val="22"/>
        </w:rPr>
      </w:pPr>
      <w:hyperlink w:anchor="_Toc120092527" w:history="1">
        <w:r w:rsidR="00927DD8" w:rsidRPr="00BC31E0">
          <w:rPr>
            <w:rStyle w:val="aff3"/>
            <w:noProof/>
            <w:color w:val="auto"/>
          </w:rPr>
          <w:t>6.7</w:t>
        </w:r>
        <w:r w:rsidR="00927DD8" w:rsidRPr="00BC31E0">
          <w:rPr>
            <w:rFonts w:asciiTheme="minorHAnsi" w:eastAsiaTheme="minorEastAsia" w:hAnsiTheme="minorHAnsi" w:cstheme="minorBidi"/>
            <w:b w:val="0"/>
            <w:smallCaps w:val="0"/>
            <w:noProof/>
            <w:szCs w:val="22"/>
          </w:rPr>
          <w:tab/>
        </w:r>
        <w:r w:rsidR="00927DD8" w:rsidRPr="00BC31E0">
          <w:rPr>
            <w:rStyle w:val="aff3"/>
            <w:rFonts w:hint="eastAsia"/>
            <w:noProof/>
            <w:color w:val="auto"/>
          </w:rPr>
          <w:t>アタッチメント，サポート，外部ヒーティング／クーリングジャケットの設計</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_Toc120092527 \h </w:instrText>
        </w:r>
        <w:r w:rsidR="002620C0" w:rsidRPr="00BC31E0">
          <w:rPr>
            <w:noProof/>
            <w:webHidden/>
          </w:rPr>
        </w:r>
        <w:r w:rsidR="002620C0" w:rsidRPr="00BC31E0">
          <w:rPr>
            <w:noProof/>
            <w:webHidden/>
          </w:rPr>
          <w:fldChar w:fldCharType="separate"/>
        </w:r>
        <w:r w:rsidR="00927DD8" w:rsidRPr="00BC31E0">
          <w:rPr>
            <w:noProof/>
            <w:webHidden/>
          </w:rPr>
          <w:t>86</w:t>
        </w:r>
        <w:r w:rsidR="002620C0" w:rsidRPr="00BC31E0">
          <w:rPr>
            <w:noProof/>
            <w:webHidden/>
          </w:rPr>
          <w:fldChar w:fldCharType="end"/>
        </w:r>
      </w:hyperlink>
    </w:p>
    <w:p w14:paraId="6106A008" w14:textId="77777777" w:rsidR="00927DD8" w:rsidRPr="00BC31E0" w:rsidRDefault="00A51873">
      <w:pPr>
        <w:pStyle w:val="24"/>
        <w:rPr>
          <w:rFonts w:asciiTheme="minorHAnsi" w:eastAsiaTheme="minorEastAsia" w:hAnsiTheme="minorHAnsi" w:cstheme="minorBidi"/>
          <w:b w:val="0"/>
          <w:smallCaps w:val="0"/>
          <w:noProof/>
          <w:szCs w:val="22"/>
        </w:rPr>
      </w:pPr>
      <w:hyperlink w:anchor="_Toc120092528" w:history="1">
        <w:r w:rsidR="00927DD8" w:rsidRPr="00BC31E0">
          <w:rPr>
            <w:rStyle w:val="aff3"/>
            <w:noProof/>
            <w:color w:val="auto"/>
          </w:rPr>
          <w:t>6.8</w:t>
        </w:r>
        <w:r w:rsidR="00927DD8" w:rsidRPr="00BC31E0">
          <w:rPr>
            <w:rFonts w:asciiTheme="minorHAnsi" w:eastAsiaTheme="minorEastAsia" w:hAnsiTheme="minorHAnsi" w:cstheme="minorBidi"/>
            <w:b w:val="0"/>
            <w:smallCaps w:val="0"/>
            <w:noProof/>
            <w:szCs w:val="22"/>
          </w:rPr>
          <w:tab/>
        </w:r>
        <w:r w:rsidR="00927DD8" w:rsidRPr="00BC31E0">
          <w:rPr>
            <w:rStyle w:val="aff3"/>
            <w:rFonts w:hint="eastAsia"/>
            <w:noProof/>
            <w:color w:val="auto"/>
          </w:rPr>
          <w:t>多層容器の追加規定</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_Toc120092528 \h </w:instrText>
        </w:r>
        <w:r w:rsidR="002620C0" w:rsidRPr="00BC31E0">
          <w:rPr>
            <w:noProof/>
            <w:webHidden/>
          </w:rPr>
        </w:r>
        <w:r w:rsidR="002620C0" w:rsidRPr="00BC31E0">
          <w:rPr>
            <w:noProof/>
            <w:webHidden/>
          </w:rPr>
          <w:fldChar w:fldCharType="separate"/>
        </w:r>
        <w:r w:rsidR="00927DD8" w:rsidRPr="00BC31E0">
          <w:rPr>
            <w:noProof/>
            <w:webHidden/>
          </w:rPr>
          <w:t>89</w:t>
        </w:r>
        <w:r w:rsidR="002620C0" w:rsidRPr="00BC31E0">
          <w:rPr>
            <w:noProof/>
            <w:webHidden/>
          </w:rPr>
          <w:fldChar w:fldCharType="end"/>
        </w:r>
      </w:hyperlink>
    </w:p>
    <w:p w14:paraId="563636DC" w14:textId="77777777" w:rsidR="00927DD8" w:rsidRPr="00BC31E0" w:rsidRDefault="00A51873">
      <w:pPr>
        <w:pStyle w:val="24"/>
        <w:rPr>
          <w:rFonts w:asciiTheme="minorHAnsi" w:eastAsiaTheme="minorEastAsia" w:hAnsiTheme="minorHAnsi" w:cstheme="minorBidi"/>
          <w:b w:val="0"/>
          <w:smallCaps w:val="0"/>
          <w:noProof/>
          <w:szCs w:val="22"/>
        </w:rPr>
      </w:pPr>
      <w:hyperlink w:anchor="_Toc120092529" w:history="1">
        <w:r w:rsidR="00927DD8" w:rsidRPr="00BC31E0">
          <w:rPr>
            <w:rStyle w:val="aff3"/>
            <w:noProof/>
            <w:color w:val="auto"/>
          </w:rPr>
          <w:t>6.9</w:t>
        </w:r>
        <w:r w:rsidR="00927DD8" w:rsidRPr="00BC31E0">
          <w:rPr>
            <w:rFonts w:asciiTheme="minorHAnsi" w:eastAsiaTheme="minorEastAsia" w:hAnsiTheme="minorHAnsi" w:cstheme="minorBidi"/>
            <w:b w:val="0"/>
            <w:smallCaps w:val="0"/>
            <w:noProof/>
            <w:szCs w:val="22"/>
          </w:rPr>
          <w:tab/>
        </w:r>
        <w:r w:rsidR="00927DD8" w:rsidRPr="00BC31E0">
          <w:rPr>
            <w:rStyle w:val="aff3"/>
            <w:rFonts w:hint="eastAsia"/>
            <w:noProof/>
            <w:color w:val="auto"/>
          </w:rPr>
          <w:t>線巻き容器と線巻きフレームの追加規定</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_Toc120092529 \h </w:instrText>
        </w:r>
        <w:r w:rsidR="002620C0" w:rsidRPr="00BC31E0">
          <w:rPr>
            <w:noProof/>
            <w:webHidden/>
          </w:rPr>
        </w:r>
        <w:r w:rsidR="002620C0" w:rsidRPr="00BC31E0">
          <w:rPr>
            <w:noProof/>
            <w:webHidden/>
          </w:rPr>
          <w:fldChar w:fldCharType="separate"/>
        </w:r>
        <w:r w:rsidR="00927DD8" w:rsidRPr="00BC31E0">
          <w:rPr>
            <w:noProof/>
            <w:webHidden/>
          </w:rPr>
          <w:t>102</w:t>
        </w:r>
        <w:r w:rsidR="002620C0" w:rsidRPr="00BC31E0">
          <w:rPr>
            <w:noProof/>
            <w:webHidden/>
          </w:rPr>
          <w:fldChar w:fldCharType="end"/>
        </w:r>
      </w:hyperlink>
    </w:p>
    <w:p w14:paraId="78E37B99" w14:textId="77777777" w:rsidR="00927DD8" w:rsidRPr="00BC31E0" w:rsidRDefault="00A51873">
      <w:pPr>
        <w:pStyle w:val="24"/>
        <w:rPr>
          <w:rFonts w:asciiTheme="minorHAnsi" w:eastAsiaTheme="minorEastAsia" w:hAnsiTheme="minorHAnsi" w:cstheme="minorBidi"/>
          <w:b w:val="0"/>
          <w:smallCaps w:val="0"/>
          <w:noProof/>
          <w:szCs w:val="22"/>
        </w:rPr>
      </w:pPr>
      <w:hyperlink w:anchor="_Toc120092530" w:history="1">
        <w:r w:rsidR="00927DD8" w:rsidRPr="00BC31E0">
          <w:rPr>
            <w:rStyle w:val="aff3"/>
            <w:noProof/>
            <w:color w:val="auto"/>
          </w:rPr>
          <w:t>6.10</w:t>
        </w:r>
        <w:r w:rsidR="00927DD8" w:rsidRPr="00BC31E0">
          <w:rPr>
            <w:rStyle w:val="aff3"/>
            <w:rFonts w:hint="eastAsia"/>
            <w:noProof/>
            <w:color w:val="auto"/>
          </w:rPr>
          <w:t xml:space="preserve"> 溶接容器の設計要求</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_Toc120092530 \h </w:instrText>
        </w:r>
        <w:r w:rsidR="002620C0" w:rsidRPr="00BC31E0">
          <w:rPr>
            <w:noProof/>
            <w:webHidden/>
          </w:rPr>
        </w:r>
        <w:r w:rsidR="002620C0" w:rsidRPr="00BC31E0">
          <w:rPr>
            <w:noProof/>
            <w:webHidden/>
          </w:rPr>
          <w:fldChar w:fldCharType="separate"/>
        </w:r>
        <w:r w:rsidR="00927DD8" w:rsidRPr="00BC31E0">
          <w:rPr>
            <w:noProof/>
            <w:webHidden/>
          </w:rPr>
          <w:t>107</w:t>
        </w:r>
        <w:r w:rsidR="002620C0" w:rsidRPr="00BC31E0">
          <w:rPr>
            <w:noProof/>
            <w:webHidden/>
          </w:rPr>
          <w:fldChar w:fldCharType="end"/>
        </w:r>
      </w:hyperlink>
    </w:p>
    <w:p w14:paraId="4A098914" w14:textId="77777777" w:rsidR="00927DD8" w:rsidRPr="00BC31E0" w:rsidRDefault="00A51873">
      <w:pPr>
        <w:pStyle w:val="24"/>
        <w:rPr>
          <w:rFonts w:asciiTheme="minorHAnsi" w:eastAsiaTheme="minorEastAsia" w:hAnsiTheme="minorHAnsi" w:cstheme="minorBidi"/>
          <w:b w:val="0"/>
          <w:smallCaps w:val="0"/>
          <w:noProof/>
          <w:szCs w:val="22"/>
        </w:rPr>
      </w:pPr>
      <w:hyperlink w:anchor="_Toc120092531" w:history="1">
        <w:r w:rsidR="00927DD8" w:rsidRPr="00BC31E0">
          <w:rPr>
            <w:rStyle w:val="aff3"/>
            <w:noProof/>
            <w:color w:val="auto"/>
          </w:rPr>
          <w:t>6.11</w:t>
        </w:r>
        <w:r w:rsidR="00927DD8" w:rsidRPr="00BC31E0">
          <w:rPr>
            <w:rStyle w:val="aff3"/>
            <w:rFonts w:hint="eastAsia"/>
            <w:noProof/>
            <w:color w:val="auto"/>
          </w:rPr>
          <w:t xml:space="preserve"> 実験的設計検証</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_Toc120092531 \h </w:instrText>
        </w:r>
        <w:r w:rsidR="002620C0" w:rsidRPr="00BC31E0">
          <w:rPr>
            <w:noProof/>
            <w:webHidden/>
          </w:rPr>
        </w:r>
        <w:r w:rsidR="002620C0" w:rsidRPr="00BC31E0">
          <w:rPr>
            <w:noProof/>
            <w:webHidden/>
          </w:rPr>
          <w:fldChar w:fldCharType="separate"/>
        </w:r>
        <w:r w:rsidR="00927DD8" w:rsidRPr="00BC31E0">
          <w:rPr>
            <w:noProof/>
            <w:webHidden/>
          </w:rPr>
          <w:t>114</w:t>
        </w:r>
        <w:r w:rsidR="002620C0" w:rsidRPr="00BC31E0">
          <w:rPr>
            <w:noProof/>
            <w:webHidden/>
          </w:rPr>
          <w:fldChar w:fldCharType="end"/>
        </w:r>
      </w:hyperlink>
    </w:p>
    <w:p w14:paraId="6ADC9EB4" w14:textId="77777777" w:rsidR="00927DD8" w:rsidRPr="00BC31E0" w:rsidRDefault="00A51873">
      <w:pPr>
        <w:pStyle w:val="24"/>
        <w:rPr>
          <w:rFonts w:asciiTheme="minorHAnsi" w:eastAsiaTheme="minorEastAsia" w:hAnsiTheme="minorHAnsi" w:cstheme="minorBidi"/>
          <w:b w:val="0"/>
          <w:smallCaps w:val="0"/>
          <w:noProof/>
          <w:szCs w:val="22"/>
        </w:rPr>
      </w:pPr>
      <w:hyperlink w:anchor="_Toc120092532" w:history="1">
        <w:r w:rsidR="00927DD8" w:rsidRPr="00BC31E0">
          <w:rPr>
            <w:rStyle w:val="aff3"/>
            <w:noProof/>
            <w:color w:val="auto"/>
          </w:rPr>
          <w:t>6.12</w:t>
        </w:r>
        <w:r w:rsidR="00927DD8" w:rsidRPr="00BC31E0">
          <w:rPr>
            <w:rStyle w:val="aff3"/>
            <w:rFonts w:hint="eastAsia"/>
            <w:noProof/>
            <w:color w:val="auto"/>
          </w:rPr>
          <w:t xml:space="preserve"> フランジ継手</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_Toc120092532 \h </w:instrText>
        </w:r>
        <w:r w:rsidR="002620C0" w:rsidRPr="00BC31E0">
          <w:rPr>
            <w:noProof/>
            <w:webHidden/>
          </w:rPr>
        </w:r>
        <w:r w:rsidR="002620C0" w:rsidRPr="00BC31E0">
          <w:rPr>
            <w:noProof/>
            <w:webHidden/>
          </w:rPr>
          <w:fldChar w:fldCharType="separate"/>
        </w:r>
        <w:r w:rsidR="00927DD8" w:rsidRPr="00BC31E0">
          <w:rPr>
            <w:noProof/>
            <w:webHidden/>
          </w:rPr>
          <w:t>121</w:t>
        </w:r>
        <w:r w:rsidR="002620C0" w:rsidRPr="00BC31E0">
          <w:rPr>
            <w:noProof/>
            <w:webHidden/>
          </w:rPr>
          <w:fldChar w:fldCharType="end"/>
        </w:r>
      </w:hyperlink>
    </w:p>
    <w:p w14:paraId="2CC14273" w14:textId="77777777" w:rsidR="00927DD8" w:rsidRPr="00BC31E0" w:rsidRDefault="00A51873">
      <w:pPr>
        <w:pStyle w:val="24"/>
        <w:rPr>
          <w:rFonts w:asciiTheme="minorHAnsi" w:eastAsiaTheme="minorEastAsia" w:hAnsiTheme="minorHAnsi" w:cstheme="minorBidi"/>
          <w:b w:val="0"/>
          <w:smallCaps w:val="0"/>
          <w:noProof/>
          <w:szCs w:val="22"/>
        </w:rPr>
      </w:pPr>
      <w:hyperlink w:anchor="_Toc120092533" w:history="1">
        <w:r w:rsidR="00927DD8" w:rsidRPr="00BC31E0">
          <w:rPr>
            <w:rStyle w:val="aff3"/>
            <w:noProof/>
            <w:color w:val="auto"/>
          </w:rPr>
          <w:t>6.13</w:t>
        </w:r>
        <w:r w:rsidR="00927DD8" w:rsidRPr="00BC31E0">
          <w:rPr>
            <w:rFonts w:asciiTheme="minorHAnsi" w:eastAsiaTheme="minorEastAsia" w:hAnsiTheme="minorHAnsi" w:cstheme="minorBidi"/>
            <w:b w:val="0"/>
            <w:smallCaps w:val="0"/>
            <w:noProof/>
            <w:szCs w:val="22"/>
          </w:rPr>
          <w:tab/>
        </w:r>
        <w:r w:rsidR="00927DD8" w:rsidRPr="00BC31E0">
          <w:rPr>
            <w:rStyle w:val="aff3"/>
            <w:rFonts w:hint="eastAsia"/>
            <w:noProof/>
            <w:color w:val="auto"/>
          </w:rPr>
          <w:t>水素容器の特別要求</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_Toc120092533 \h </w:instrText>
        </w:r>
        <w:r w:rsidR="002620C0" w:rsidRPr="00BC31E0">
          <w:rPr>
            <w:noProof/>
            <w:webHidden/>
          </w:rPr>
        </w:r>
        <w:r w:rsidR="002620C0" w:rsidRPr="00BC31E0">
          <w:rPr>
            <w:noProof/>
            <w:webHidden/>
          </w:rPr>
          <w:fldChar w:fldCharType="separate"/>
        </w:r>
        <w:r w:rsidR="00927DD8" w:rsidRPr="00BC31E0">
          <w:rPr>
            <w:noProof/>
            <w:webHidden/>
          </w:rPr>
          <w:t>121</w:t>
        </w:r>
        <w:r w:rsidR="002620C0" w:rsidRPr="00BC31E0">
          <w:rPr>
            <w:noProof/>
            <w:webHidden/>
          </w:rPr>
          <w:fldChar w:fldCharType="end"/>
        </w:r>
      </w:hyperlink>
    </w:p>
    <w:p w14:paraId="0D1EEE5A" w14:textId="77777777" w:rsidR="00927DD8" w:rsidRPr="00BC31E0" w:rsidRDefault="00A51873">
      <w:pPr>
        <w:pStyle w:val="1f4"/>
        <w:rPr>
          <w:rFonts w:asciiTheme="minorHAnsi" w:eastAsiaTheme="minorEastAsia" w:hAnsiTheme="minorHAnsi" w:cstheme="minorBidi"/>
          <w:b w:val="0"/>
          <w:bCs w:val="0"/>
          <w:caps w:val="0"/>
          <w:noProof/>
          <w:szCs w:val="22"/>
        </w:rPr>
      </w:pPr>
      <w:hyperlink w:anchor="_Toc120092534" w:history="1">
        <w:r w:rsidR="00927DD8" w:rsidRPr="00BC31E0">
          <w:rPr>
            <w:rStyle w:val="aff3"/>
            <w:noProof/>
            <w:color w:val="auto"/>
          </w:rPr>
          <w:t>7</w:t>
        </w:r>
        <w:r w:rsidR="00927DD8" w:rsidRPr="00BC31E0">
          <w:rPr>
            <w:rFonts w:asciiTheme="minorHAnsi" w:eastAsiaTheme="minorEastAsia" w:hAnsiTheme="minorHAnsi" w:cstheme="minorBidi"/>
            <w:b w:val="0"/>
            <w:bCs w:val="0"/>
            <w:caps w:val="0"/>
            <w:noProof/>
            <w:szCs w:val="22"/>
          </w:rPr>
          <w:tab/>
        </w:r>
        <w:r w:rsidR="00927DD8" w:rsidRPr="00BC31E0">
          <w:rPr>
            <w:rStyle w:val="aff3"/>
            <w:rFonts w:hint="eastAsia"/>
            <w:noProof/>
            <w:color w:val="auto"/>
          </w:rPr>
          <w:t>製作</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_Toc120092534 \h </w:instrText>
        </w:r>
        <w:r w:rsidR="002620C0" w:rsidRPr="00BC31E0">
          <w:rPr>
            <w:noProof/>
            <w:webHidden/>
          </w:rPr>
        </w:r>
        <w:r w:rsidR="002620C0" w:rsidRPr="00BC31E0">
          <w:rPr>
            <w:noProof/>
            <w:webHidden/>
          </w:rPr>
          <w:fldChar w:fldCharType="separate"/>
        </w:r>
        <w:r w:rsidR="00927DD8" w:rsidRPr="00BC31E0">
          <w:rPr>
            <w:noProof/>
            <w:webHidden/>
          </w:rPr>
          <w:t>128</w:t>
        </w:r>
        <w:r w:rsidR="002620C0" w:rsidRPr="00BC31E0">
          <w:rPr>
            <w:noProof/>
            <w:webHidden/>
          </w:rPr>
          <w:fldChar w:fldCharType="end"/>
        </w:r>
      </w:hyperlink>
    </w:p>
    <w:p w14:paraId="76AAAB7D" w14:textId="77777777" w:rsidR="00927DD8" w:rsidRPr="00BC31E0" w:rsidRDefault="00A51873">
      <w:pPr>
        <w:pStyle w:val="24"/>
        <w:rPr>
          <w:rFonts w:asciiTheme="minorHAnsi" w:eastAsiaTheme="minorEastAsia" w:hAnsiTheme="minorHAnsi" w:cstheme="minorBidi"/>
          <w:b w:val="0"/>
          <w:smallCaps w:val="0"/>
          <w:noProof/>
          <w:szCs w:val="22"/>
        </w:rPr>
      </w:pPr>
      <w:hyperlink w:anchor="_Toc120092535" w:history="1">
        <w:r w:rsidR="00927DD8" w:rsidRPr="00BC31E0">
          <w:rPr>
            <w:rStyle w:val="aff3"/>
            <w:noProof/>
            <w:color w:val="auto"/>
          </w:rPr>
          <w:t>7.1</w:t>
        </w:r>
        <w:r w:rsidR="00927DD8" w:rsidRPr="00BC31E0">
          <w:rPr>
            <w:rFonts w:asciiTheme="minorHAnsi" w:eastAsiaTheme="minorEastAsia" w:hAnsiTheme="minorHAnsi" w:cstheme="minorBidi"/>
            <w:b w:val="0"/>
            <w:smallCaps w:val="0"/>
            <w:noProof/>
            <w:szCs w:val="22"/>
          </w:rPr>
          <w:tab/>
        </w:r>
        <w:r w:rsidR="00927DD8" w:rsidRPr="00BC31E0">
          <w:rPr>
            <w:rStyle w:val="aff3"/>
            <w:rFonts w:hint="eastAsia"/>
            <w:noProof/>
            <w:color w:val="auto"/>
          </w:rPr>
          <w:t>製作一般</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_Toc120092535 \h </w:instrText>
        </w:r>
        <w:r w:rsidR="002620C0" w:rsidRPr="00BC31E0">
          <w:rPr>
            <w:noProof/>
            <w:webHidden/>
          </w:rPr>
        </w:r>
        <w:r w:rsidR="002620C0" w:rsidRPr="00BC31E0">
          <w:rPr>
            <w:noProof/>
            <w:webHidden/>
          </w:rPr>
          <w:fldChar w:fldCharType="separate"/>
        </w:r>
        <w:r w:rsidR="00927DD8" w:rsidRPr="00BC31E0">
          <w:rPr>
            <w:noProof/>
            <w:webHidden/>
          </w:rPr>
          <w:t>128</w:t>
        </w:r>
        <w:r w:rsidR="002620C0" w:rsidRPr="00BC31E0">
          <w:rPr>
            <w:noProof/>
            <w:webHidden/>
          </w:rPr>
          <w:fldChar w:fldCharType="end"/>
        </w:r>
      </w:hyperlink>
    </w:p>
    <w:p w14:paraId="0C81CE7A" w14:textId="77777777" w:rsidR="00927DD8" w:rsidRPr="00BC31E0" w:rsidRDefault="00A51873">
      <w:pPr>
        <w:pStyle w:val="24"/>
        <w:rPr>
          <w:rFonts w:asciiTheme="minorHAnsi" w:eastAsiaTheme="minorEastAsia" w:hAnsiTheme="minorHAnsi" w:cstheme="minorBidi"/>
          <w:b w:val="0"/>
          <w:smallCaps w:val="0"/>
          <w:noProof/>
          <w:szCs w:val="22"/>
        </w:rPr>
      </w:pPr>
      <w:hyperlink w:anchor="_Toc120092536" w:history="1">
        <w:r w:rsidR="00927DD8" w:rsidRPr="00BC31E0">
          <w:rPr>
            <w:rStyle w:val="aff3"/>
            <w:noProof/>
            <w:color w:val="auto"/>
          </w:rPr>
          <w:t>7.2</w:t>
        </w:r>
        <w:r w:rsidR="00927DD8" w:rsidRPr="00BC31E0">
          <w:rPr>
            <w:rFonts w:asciiTheme="minorHAnsi" w:eastAsiaTheme="minorEastAsia" w:hAnsiTheme="minorHAnsi" w:cstheme="minorBidi"/>
            <w:b w:val="0"/>
            <w:smallCaps w:val="0"/>
            <w:noProof/>
            <w:szCs w:val="22"/>
          </w:rPr>
          <w:tab/>
        </w:r>
        <w:r w:rsidR="00927DD8" w:rsidRPr="00BC31E0">
          <w:rPr>
            <w:rStyle w:val="aff3"/>
            <w:rFonts w:hint="eastAsia"/>
            <w:noProof/>
            <w:color w:val="auto"/>
          </w:rPr>
          <w:t>溶接による製作に関する追加規定</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_Toc120092536 \h </w:instrText>
        </w:r>
        <w:r w:rsidR="002620C0" w:rsidRPr="00BC31E0">
          <w:rPr>
            <w:noProof/>
            <w:webHidden/>
          </w:rPr>
        </w:r>
        <w:r w:rsidR="002620C0" w:rsidRPr="00BC31E0">
          <w:rPr>
            <w:noProof/>
            <w:webHidden/>
          </w:rPr>
          <w:fldChar w:fldCharType="separate"/>
        </w:r>
        <w:r w:rsidR="00927DD8" w:rsidRPr="00BC31E0">
          <w:rPr>
            <w:noProof/>
            <w:webHidden/>
          </w:rPr>
          <w:t>130</w:t>
        </w:r>
        <w:r w:rsidR="002620C0" w:rsidRPr="00BC31E0">
          <w:rPr>
            <w:noProof/>
            <w:webHidden/>
          </w:rPr>
          <w:fldChar w:fldCharType="end"/>
        </w:r>
      </w:hyperlink>
    </w:p>
    <w:p w14:paraId="6ADADFBB" w14:textId="77777777" w:rsidR="00927DD8" w:rsidRPr="00BC31E0" w:rsidRDefault="00A51873">
      <w:pPr>
        <w:pStyle w:val="24"/>
        <w:rPr>
          <w:rFonts w:asciiTheme="minorHAnsi" w:eastAsiaTheme="minorEastAsia" w:hAnsiTheme="minorHAnsi" w:cstheme="minorBidi"/>
          <w:b w:val="0"/>
          <w:smallCaps w:val="0"/>
          <w:noProof/>
          <w:szCs w:val="22"/>
        </w:rPr>
      </w:pPr>
      <w:hyperlink w:anchor="_Toc120092537" w:history="1">
        <w:r w:rsidR="00927DD8" w:rsidRPr="00BC31E0">
          <w:rPr>
            <w:rStyle w:val="aff3"/>
            <w:noProof/>
            <w:color w:val="auto"/>
          </w:rPr>
          <w:t>7.3</w:t>
        </w:r>
        <w:r w:rsidR="00927DD8" w:rsidRPr="00BC31E0">
          <w:rPr>
            <w:rFonts w:asciiTheme="minorHAnsi" w:eastAsiaTheme="minorEastAsia" w:hAnsiTheme="minorHAnsi" w:cstheme="minorBidi"/>
            <w:b w:val="0"/>
            <w:smallCaps w:val="0"/>
            <w:noProof/>
            <w:szCs w:val="22"/>
          </w:rPr>
          <w:tab/>
        </w:r>
        <w:r w:rsidR="00927DD8" w:rsidRPr="00BC31E0">
          <w:rPr>
            <w:rStyle w:val="aff3"/>
            <w:rFonts w:hint="eastAsia"/>
            <w:noProof/>
            <w:color w:val="auto"/>
          </w:rPr>
          <w:t>耐食クラッド，耐食肉盛溶接又は耐食ライニングに対する製作上の要求</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_Toc120092537 \h </w:instrText>
        </w:r>
        <w:r w:rsidR="002620C0" w:rsidRPr="00BC31E0">
          <w:rPr>
            <w:noProof/>
            <w:webHidden/>
          </w:rPr>
        </w:r>
        <w:r w:rsidR="002620C0" w:rsidRPr="00BC31E0">
          <w:rPr>
            <w:noProof/>
            <w:webHidden/>
          </w:rPr>
          <w:fldChar w:fldCharType="separate"/>
        </w:r>
        <w:r w:rsidR="00927DD8" w:rsidRPr="00BC31E0">
          <w:rPr>
            <w:noProof/>
            <w:webHidden/>
          </w:rPr>
          <w:t>134</w:t>
        </w:r>
        <w:r w:rsidR="002620C0" w:rsidRPr="00BC31E0">
          <w:rPr>
            <w:noProof/>
            <w:webHidden/>
          </w:rPr>
          <w:fldChar w:fldCharType="end"/>
        </w:r>
      </w:hyperlink>
    </w:p>
    <w:p w14:paraId="69C5F8B9" w14:textId="77777777" w:rsidR="00927DD8" w:rsidRPr="00BC31E0" w:rsidRDefault="00A51873">
      <w:pPr>
        <w:pStyle w:val="24"/>
        <w:rPr>
          <w:rFonts w:asciiTheme="minorHAnsi" w:eastAsiaTheme="minorEastAsia" w:hAnsiTheme="minorHAnsi" w:cstheme="minorBidi"/>
          <w:b w:val="0"/>
          <w:smallCaps w:val="0"/>
          <w:noProof/>
          <w:szCs w:val="22"/>
        </w:rPr>
      </w:pPr>
      <w:hyperlink w:anchor="_Toc120092538" w:history="1">
        <w:r w:rsidR="00927DD8" w:rsidRPr="00BC31E0">
          <w:rPr>
            <w:rStyle w:val="aff3"/>
            <w:noProof/>
            <w:color w:val="auto"/>
          </w:rPr>
          <w:t>7.4</w:t>
        </w:r>
        <w:r w:rsidR="00927DD8" w:rsidRPr="00BC31E0">
          <w:rPr>
            <w:rFonts w:asciiTheme="minorHAnsi" w:eastAsiaTheme="minorEastAsia" w:hAnsiTheme="minorHAnsi" w:cstheme="minorBidi"/>
            <w:b w:val="0"/>
            <w:smallCaps w:val="0"/>
            <w:noProof/>
            <w:szCs w:val="22"/>
          </w:rPr>
          <w:tab/>
        </w:r>
        <w:r w:rsidR="00927DD8" w:rsidRPr="00BC31E0">
          <w:rPr>
            <w:rStyle w:val="aff3"/>
            <w:rFonts w:hint="eastAsia"/>
            <w:noProof/>
            <w:color w:val="auto"/>
          </w:rPr>
          <w:t>溶接部の熱処理</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_Toc120092538 \h </w:instrText>
        </w:r>
        <w:r w:rsidR="002620C0" w:rsidRPr="00BC31E0">
          <w:rPr>
            <w:noProof/>
            <w:webHidden/>
          </w:rPr>
        </w:r>
        <w:r w:rsidR="002620C0" w:rsidRPr="00BC31E0">
          <w:rPr>
            <w:noProof/>
            <w:webHidden/>
          </w:rPr>
          <w:fldChar w:fldCharType="separate"/>
        </w:r>
        <w:r w:rsidR="00927DD8" w:rsidRPr="00BC31E0">
          <w:rPr>
            <w:noProof/>
            <w:webHidden/>
          </w:rPr>
          <w:t>136</w:t>
        </w:r>
        <w:r w:rsidR="002620C0" w:rsidRPr="00BC31E0">
          <w:rPr>
            <w:noProof/>
            <w:webHidden/>
          </w:rPr>
          <w:fldChar w:fldCharType="end"/>
        </w:r>
      </w:hyperlink>
    </w:p>
    <w:p w14:paraId="6AE3D1B5" w14:textId="77777777" w:rsidR="00927DD8" w:rsidRPr="00BC31E0" w:rsidRDefault="00A51873">
      <w:pPr>
        <w:pStyle w:val="24"/>
        <w:rPr>
          <w:rFonts w:asciiTheme="minorHAnsi" w:eastAsiaTheme="minorEastAsia" w:hAnsiTheme="minorHAnsi" w:cstheme="minorBidi"/>
          <w:b w:val="0"/>
          <w:smallCaps w:val="0"/>
          <w:noProof/>
          <w:szCs w:val="22"/>
        </w:rPr>
      </w:pPr>
      <w:hyperlink w:anchor="_Toc120092539" w:history="1">
        <w:r w:rsidR="00927DD8" w:rsidRPr="00BC31E0">
          <w:rPr>
            <w:rStyle w:val="aff3"/>
            <w:noProof/>
            <w:color w:val="auto"/>
          </w:rPr>
          <w:t>7.5</w:t>
        </w:r>
        <w:r w:rsidR="00927DD8" w:rsidRPr="00BC31E0">
          <w:rPr>
            <w:rFonts w:asciiTheme="minorHAnsi" w:eastAsiaTheme="minorEastAsia" w:hAnsiTheme="minorHAnsi" w:cstheme="minorBidi"/>
            <w:b w:val="0"/>
            <w:smallCaps w:val="0"/>
            <w:noProof/>
            <w:szCs w:val="22"/>
          </w:rPr>
          <w:tab/>
        </w:r>
        <w:r w:rsidR="00927DD8" w:rsidRPr="00BC31E0">
          <w:rPr>
            <w:rStyle w:val="aff3"/>
            <w:rFonts w:hint="eastAsia"/>
            <w:noProof/>
            <w:color w:val="auto"/>
          </w:rPr>
          <w:t>自緊容器に対する製作上の追加規定</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_Toc120092539 \h </w:instrText>
        </w:r>
        <w:r w:rsidR="002620C0" w:rsidRPr="00BC31E0">
          <w:rPr>
            <w:noProof/>
            <w:webHidden/>
          </w:rPr>
        </w:r>
        <w:r w:rsidR="002620C0" w:rsidRPr="00BC31E0">
          <w:rPr>
            <w:noProof/>
            <w:webHidden/>
          </w:rPr>
          <w:fldChar w:fldCharType="separate"/>
        </w:r>
        <w:r w:rsidR="00927DD8" w:rsidRPr="00BC31E0">
          <w:rPr>
            <w:noProof/>
            <w:webHidden/>
          </w:rPr>
          <w:t>158</w:t>
        </w:r>
        <w:r w:rsidR="002620C0" w:rsidRPr="00BC31E0">
          <w:rPr>
            <w:noProof/>
            <w:webHidden/>
          </w:rPr>
          <w:fldChar w:fldCharType="end"/>
        </w:r>
      </w:hyperlink>
    </w:p>
    <w:p w14:paraId="40F0FA4D" w14:textId="77777777" w:rsidR="00927DD8" w:rsidRPr="00BC31E0" w:rsidRDefault="00A51873">
      <w:pPr>
        <w:pStyle w:val="24"/>
        <w:rPr>
          <w:rFonts w:asciiTheme="minorHAnsi" w:eastAsiaTheme="minorEastAsia" w:hAnsiTheme="minorHAnsi" w:cstheme="minorBidi"/>
          <w:b w:val="0"/>
          <w:smallCaps w:val="0"/>
          <w:noProof/>
          <w:szCs w:val="22"/>
        </w:rPr>
      </w:pPr>
      <w:hyperlink w:anchor="_Toc120092540" w:history="1">
        <w:r w:rsidR="00927DD8" w:rsidRPr="00BC31E0">
          <w:rPr>
            <w:rStyle w:val="aff3"/>
            <w:noProof/>
            <w:color w:val="auto"/>
          </w:rPr>
          <w:t>7.6</w:t>
        </w:r>
        <w:r w:rsidR="00927DD8" w:rsidRPr="00BC31E0">
          <w:rPr>
            <w:rFonts w:asciiTheme="minorHAnsi" w:eastAsiaTheme="minorEastAsia" w:hAnsiTheme="minorHAnsi" w:cstheme="minorBidi"/>
            <w:b w:val="0"/>
            <w:smallCaps w:val="0"/>
            <w:noProof/>
            <w:szCs w:val="22"/>
          </w:rPr>
          <w:tab/>
        </w:r>
        <w:r w:rsidR="00927DD8" w:rsidRPr="00BC31E0">
          <w:rPr>
            <w:rStyle w:val="aff3"/>
            <w:rFonts w:hint="eastAsia"/>
            <w:noProof/>
            <w:color w:val="auto"/>
          </w:rPr>
          <w:t>焼入焼戻鋼に対する製作上の追加規定</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_Toc120092540 \h </w:instrText>
        </w:r>
        <w:r w:rsidR="002620C0" w:rsidRPr="00BC31E0">
          <w:rPr>
            <w:noProof/>
            <w:webHidden/>
          </w:rPr>
        </w:r>
        <w:r w:rsidR="002620C0" w:rsidRPr="00BC31E0">
          <w:rPr>
            <w:noProof/>
            <w:webHidden/>
          </w:rPr>
          <w:fldChar w:fldCharType="separate"/>
        </w:r>
        <w:r w:rsidR="00927DD8" w:rsidRPr="00BC31E0">
          <w:rPr>
            <w:noProof/>
            <w:webHidden/>
          </w:rPr>
          <w:t>158</w:t>
        </w:r>
        <w:r w:rsidR="002620C0" w:rsidRPr="00BC31E0">
          <w:rPr>
            <w:noProof/>
            <w:webHidden/>
          </w:rPr>
          <w:fldChar w:fldCharType="end"/>
        </w:r>
      </w:hyperlink>
    </w:p>
    <w:p w14:paraId="77BF2506" w14:textId="77777777" w:rsidR="00927DD8" w:rsidRPr="00BC31E0" w:rsidRDefault="00A51873">
      <w:pPr>
        <w:pStyle w:val="24"/>
        <w:rPr>
          <w:rFonts w:asciiTheme="minorHAnsi" w:eastAsiaTheme="minorEastAsia" w:hAnsiTheme="minorHAnsi" w:cstheme="minorBidi"/>
          <w:b w:val="0"/>
          <w:smallCaps w:val="0"/>
          <w:noProof/>
          <w:szCs w:val="22"/>
        </w:rPr>
      </w:pPr>
      <w:hyperlink w:anchor="_Toc120092541" w:history="1">
        <w:r w:rsidR="00927DD8" w:rsidRPr="00BC31E0">
          <w:rPr>
            <w:rStyle w:val="aff3"/>
            <w:noProof/>
            <w:color w:val="auto"/>
          </w:rPr>
          <w:t>7.7</w:t>
        </w:r>
        <w:r w:rsidR="00927DD8" w:rsidRPr="00BC31E0">
          <w:rPr>
            <w:rFonts w:asciiTheme="minorHAnsi" w:eastAsiaTheme="minorEastAsia" w:hAnsiTheme="minorHAnsi" w:cstheme="minorBidi"/>
            <w:b w:val="0"/>
            <w:smallCaps w:val="0"/>
            <w:noProof/>
            <w:szCs w:val="22"/>
          </w:rPr>
          <w:tab/>
        </w:r>
        <w:r w:rsidR="00927DD8" w:rsidRPr="00BC31E0">
          <w:rPr>
            <w:rStyle w:val="aff3"/>
            <w:rFonts w:hint="eastAsia"/>
            <w:noProof/>
            <w:color w:val="auto"/>
          </w:rPr>
          <w:t>溶接制限のある材料の追加規定</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_Toc120092541 \h </w:instrText>
        </w:r>
        <w:r w:rsidR="002620C0" w:rsidRPr="00BC31E0">
          <w:rPr>
            <w:noProof/>
            <w:webHidden/>
          </w:rPr>
        </w:r>
        <w:r w:rsidR="002620C0" w:rsidRPr="00BC31E0">
          <w:rPr>
            <w:noProof/>
            <w:webHidden/>
          </w:rPr>
          <w:fldChar w:fldCharType="separate"/>
        </w:r>
        <w:r w:rsidR="00927DD8" w:rsidRPr="00BC31E0">
          <w:rPr>
            <w:noProof/>
            <w:webHidden/>
          </w:rPr>
          <w:t>162</w:t>
        </w:r>
        <w:r w:rsidR="002620C0" w:rsidRPr="00BC31E0">
          <w:rPr>
            <w:noProof/>
            <w:webHidden/>
          </w:rPr>
          <w:fldChar w:fldCharType="end"/>
        </w:r>
      </w:hyperlink>
    </w:p>
    <w:p w14:paraId="7AFC5B33" w14:textId="77777777" w:rsidR="00927DD8" w:rsidRPr="00BC31E0" w:rsidRDefault="00A51873">
      <w:pPr>
        <w:pStyle w:val="24"/>
        <w:rPr>
          <w:rFonts w:asciiTheme="minorHAnsi" w:eastAsiaTheme="minorEastAsia" w:hAnsiTheme="minorHAnsi" w:cstheme="minorBidi"/>
          <w:b w:val="0"/>
          <w:smallCaps w:val="0"/>
          <w:noProof/>
          <w:szCs w:val="22"/>
        </w:rPr>
      </w:pPr>
      <w:hyperlink w:anchor="_Toc120092542" w:history="1">
        <w:r w:rsidR="00927DD8" w:rsidRPr="00BC31E0">
          <w:rPr>
            <w:rStyle w:val="aff3"/>
            <w:noProof/>
            <w:color w:val="auto"/>
          </w:rPr>
          <w:t>7.8</w:t>
        </w:r>
        <w:r w:rsidR="00927DD8" w:rsidRPr="00BC31E0">
          <w:rPr>
            <w:rFonts w:asciiTheme="minorHAnsi" w:eastAsiaTheme="minorEastAsia" w:hAnsiTheme="minorHAnsi" w:cstheme="minorBidi"/>
            <w:b w:val="0"/>
            <w:smallCaps w:val="0"/>
            <w:noProof/>
            <w:szCs w:val="22"/>
          </w:rPr>
          <w:tab/>
        </w:r>
        <w:r w:rsidR="00927DD8" w:rsidRPr="00BC31E0">
          <w:rPr>
            <w:rStyle w:val="aff3"/>
            <w:rFonts w:hint="eastAsia"/>
            <w:noProof/>
            <w:color w:val="auto"/>
          </w:rPr>
          <w:t>多層容器の特別製作規定</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_Toc120092542 \h </w:instrText>
        </w:r>
        <w:r w:rsidR="002620C0" w:rsidRPr="00BC31E0">
          <w:rPr>
            <w:noProof/>
            <w:webHidden/>
          </w:rPr>
        </w:r>
        <w:r w:rsidR="002620C0" w:rsidRPr="00BC31E0">
          <w:rPr>
            <w:noProof/>
            <w:webHidden/>
          </w:rPr>
          <w:fldChar w:fldCharType="separate"/>
        </w:r>
        <w:r w:rsidR="00927DD8" w:rsidRPr="00BC31E0">
          <w:rPr>
            <w:noProof/>
            <w:webHidden/>
          </w:rPr>
          <w:t>162</w:t>
        </w:r>
        <w:r w:rsidR="002620C0" w:rsidRPr="00BC31E0">
          <w:rPr>
            <w:noProof/>
            <w:webHidden/>
          </w:rPr>
          <w:fldChar w:fldCharType="end"/>
        </w:r>
      </w:hyperlink>
    </w:p>
    <w:p w14:paraId="3E43B5D4" w14:textId="77777777" w:rsidR="00927DD8" w:rsidRPr="00BC31E0" w:rsidRDefault="00A51873">
      <w:pPr>
        <w:pStyle w:val="24"/>
        <w:rPr>
          <w:rFonts w:asciiTheme="minorHAnsi" w:eastAsiaTheme="minorEastAsia" w:hAnsiTheme="minorHAnsi" w:cstheme="minorBidi"/>
          <w:b w:val="0"/>
          <w:smallCaps w:val="0"/>
          <w:noProof/>
          <w:szCs w:val="22"/>
        </w:rPr>
      </w:pPr>
      <w:hyperlink w:anchor="_Toc120092543" w:history="1">
        <w:r w:rsidR="00927DD8" w:rsidRPr="00BC31E0">
          <w:rPr>
            <w:rStyle w:val="aff3"/>
            <w:noProof/>
            <w:color w:val="auto"/>
          </w:rPr>
          <w:t>7.9</w:t>
        </w:r>
        <w:r w:rsidR="00927DD8" w:rsidRPr="00BC31E0">
          <w:rPr>
            <w:rFonts w:asciiTheme="minorHAnsi" w:eastAsiaTheme="minorEastAsia" w:hAnsiTheme="minorHAnsi" w:cstheme="minorBidi"/>
            <w:b w:val="0"/>
            <w:smallCaps w:val="0"/>
            <w:noProof/>
            <w:szCs w:val="22"/>
          </w:rPr>
          <w:tab/>
        </w:r>
        <w:r w:rsidR="00927DD8" w:rsidRPr="00BC31E0">
          <w:rPr>
            <w:rStyle w:val="aff3"/>
            <w:rFonts w:hint="eastAsia"/>
            <w:noProof/>
            <w:color w:val="auto"/>
          </w:rPr>
          <w:t>線巻き容器とフレームの特別製作規定</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_Toc120092543 \h </w:instrText>
        </w:r>
        <w:r w:rsidR="002620C0" w:rsidRPr="00BC31E0">
          <w:rPr>
            <w:noProof/>
            <w:webHidden/>
          </w:rPr>
        </w:r>
        <w:r w:rsidR="002620C0" w:rsidRPr="00BC31E0">
          <w:rPr>
            <w:noProof/>
            <w:webHidden/>
          </w:rPr>
          <w:fldChar w:fldCharType="separate"/>
        </w:r>
        <w:r w:rsidR="00927DD8" w:rsidRPr="00BC31E0">
          <w:rPr>
            <w:noProof/>
            <w:webHidden/>
          </w:rPr>
          <w:t>172</w:t>
        </w:r>
        <w:r w:rsidR="002620C0" w:rsidRPr="00BC31E0">
          <w:rPr>
            <w:noProof/>
            <w:webHidden/>
          </w:rPr>
          <w:fldChar w:fldCharType="end"/>
        </w:r>
      </w:hyperlink>
    </w:p>
    <w:p w14:paraId="46A35B0F" w14:textId="77777777" w:rsidR="00927DD8" w:rsidRPr="00BC31E0" w:rsidRDefault="00A51873">
      <w:pPr>
        <w:pStyle w:val="24"/>
        <w:rPr>
          <w:rFonts w:asciiTheme="minorHAnsi" w:eastAsiaTheme="minorEastAsia" w:hAnsiTheme="minorHAnsi" w:cstheme="minorBidi"/>
          <w:b w:val="0"/>
          <w:smallCaps w:val="0"/>
          <w:noProof/>
          <w:szCs w:val="22"/>
        </w:rPr>
      </w:pPr>
      <w:hyperlink w:anchor="_Toc120092544" w:history="1">
        <w:r w:rsidR="00927DD8" w:rsidRPr="00BC31E0">
          <w:rPr>
            <w:rStyle w:val="aff3"/>
            <w:noProof/>
            <w:color w:val="auto"/>
          </w:rPr>
          <w:t>7.10</w:t>
        </w:r>
        <w:r w:rsidR="00927DD8" w:rsidRPr="00BC31E0">
          <w:rPr>
            <w:rFonts w:asciiTheme="minorHAnsi" w:eastAsiaTheme="minorEastAsia" w:hAnsiTheme="minorHAnsi" w:cstheme="minorBidi"/>
            <w:b w:val="0"/>
            <w:smallCaps w:val="0"/>
            <w:noProof/>
            <w:szCs w:val="22"/>
          </w:rPr>
          <w:tab/>
        </w:r>
        <w:r w:rsidR="00927DD8" w:rsidRPr="00BC31E0">
          <w:rPr>
            <w:rStyle w:val="aff3"/>
            <w:rFonts w:hint="eastAsia"/>
            <w:noProof/>
            <w:color w:val="auto"/>
          </w:rPr>
          <w:t>アルミニウム合金製容器の特別製作規定</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_Toc120092544 \h </w:instrText>
        </w:r>
        <w:r w:rsidR="002620C0" w:rsidRPr="00BC31E0">
          <w:rPr>
            <w:noProof/>
            <w:webHidden/>
          </w:rPr>
        </w:r>
        <w:r w:rsidR="002620C0" w:rsidRPr="00BC31E0">
          <w:rPr>
            <w:noProof/>
            <w:webHidden/>
          </w:rPr>
          <w:fldChar w:fldCharType="separate"/>
        </w:r>
        <w:r w:rsidR="00927DD8" w:rsidRPr="00BC31E0">
          <w:rPr>
            <w:noProof/>
            <w:webHidden/>
          </w:rPr>
          <w:t>172</w:t>
        </w:r>
        <w:r w:rsidR="002620C0" w:rsidRPr="00BC31E0">
          <w:rPr>
            <w:noProof/>
            <w:webHidden/>
          </w:rPr>
          <w:fldChar w:fldCharType="end"/>
        </w:r>
      </w:hyperlink>
    </w:p>
    <w:p w14:paraId="03E92E83" w14:textId="77777777" w:rsidR="00927DD8" w:rsidRPr="00BC31E0" w:rsidRDefault="00A51873">
      <w:pPr>
        <w:pStyle w:val="24"/>
        <w:rPr>
          <w:rFonts w:asciiTheme="minorHAnsi" w:eastAsiaTheme="minorEastAsia" w:hAnsiTheme="minorHAnsi" w:cstheme="minorBidi"/>
          <w:b w:val="0"/>
          <w:smallCaps w:val="0"/>
          <w:noProof/>
          <w:szCs w:val="22"/>
        </w:rPr>
      </w:pPr>
      <w:hyperlink w:anchor="_Toc120092545" w:history="1">
        <w:r w:rsidR="00927DD8" w:rsidRPr="00BC31E0">
          <w:rPr>
            <w:rStyle w:val="aff3"/>
            <w:noProof/>
            <w:color w:val="auto"/>
          </w:rPr>
          <w:t>7.11</w:t>
        </w:r>
        <w:r w:rsidR="00927DD8" w:rsidRPr="00BC31E0">
          <w:rPr>
            <w:rFonts w:asciiTheme="minorHAnsi" w:eastAsiaTheme="minorEastAsia" w:hAnsiTheme="minorHAnsi" w:cstheme="minorBidi"/>
            <w:b w:val="0"/>
            <w:smallCaps w:val="0"/>
            <w:noProof/>
            <w:szCs w:val="22"/>
          </w:rPr>
          <w:tab/>
        </w:r>
        <w:r w:rsidR="00927DD8" w:rsidRPr="00BC31E0">
          <w:rPr>
            <w:rStyle w:val="aff3"/>
            <w:rFonts w:hint="eastAsia"/>
            <w:noProof/>
            <w:color w:val="auto"/>
          </w:rPr>
          <w:t>時効硬化ステンレス鋼を溶接する場合の追加製作規定</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_Toc120092545 \h </w:instrText>
        </w:r>
        <w:r w:rsidR="002620C0" w:rsidRPr="00BC31E0">
          <w:rPr>
            <w:noProof/>
            <w:webHidden/>
          </w:rPr>
        </w:r>
        <w:r w:rsidR="002620C0" w:rsidRPr="00BC31E0">
          <w:rPr>
            <w:noProof/>
            <w:webHidden/>
          </w:rPr>
          <w:fldChar w:fldCharType="separate"/>
        </w:r>
        <w:r w:rsidR="00927DD8" w:rsidRPr="00BC31E0">
          <w:rPr>
            <w:noProof/>
            <w:webHidden/>
          </w:rPr>
          <w:t>172</w:t>
        </w:r>
        <w:r w:rsidR="002620C0" w:rsidRPr="00BC31E0">
          <w:rPr>
            <w:noProof/>
            <w:webHidden/>
          </w:rPr>
          <w:fldChar w:fldCharType="end"/>
        </w:r>
      </w:hyperlink>
    </w:p>
    <w:p w14:paraId="23AA05D3" w14:textId="77777777" w:rsidR="00927DD8" w:rsidRPr="00BC31E0" w:rsidRDefault="00A51873">
      <w:pPr>
        <w:pStyle w:val="1f4"/>
        <w:rPr>
          <w:rFonts w:asciiTheme="minorHAnsi" w:eastAsiaTheme="minorEastAsia" w:hAnsiTheme="minorHAnsi" w:cstheme="minorBidi"/>
          <w:b w:val="0"/>
          <w:bCs w:val="0"/>
          <w:caps w:val="0"/>
          <w:noProof/>
          <w:szCs w:val="22"/>
        </w:rPr>
      </w:pPr>
      <w:hyperlink w:anchor="_Toc120092546" w:history="1">
        <w:r w:rsidR="00927DD8" w:rsidRPr="00BC31E0">
          <w:rPr>
            <w:rStyle w:val="aff3"/>
            <w:noProof/>
            <w:color w:val="auto"/>
          </w:rPr>
          <w:t>8</w:t>
        </w:r>
        <w:r w:rsidR="00927DD8" w:rsidRPr="00BC31E0">
          <w:rPr>
            <w:rFonts w:asciiTheme="minorHAnsi" w:eastAsiaTheme="minorEastAsia" w:hAnsiTheme="minorHAnsi" w:cstheme="minorBidi"/>
            <w:b w:val="0"/>
            <w:bCs w:val="0"/>
            <w:caps w:val="0"/>
            <w:noProof/>
            <w:szCs w:val="22"/>
          </w:rPr>
          <w:tab/>
        </w:r>
        <w:r w:rsidR="00927DD8" w:rsidRPr="00BC31E0">
          <w:rPr>
            <w:rStyle w:val="aff3"/>
            <w:rFonts w:hint="eastAsia"/>
            <w:noProof/>
            <w:color w:val="auto"/>
          </w:rPr>
          <w:t>過圧防止安全装置</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_Toc120092546 \h </w:instrText>
        </w:r>
        <w:r w:rsidR="002620C0" w:rsidRPr="00BC31E0">
          <w:rPr>
            <w:noProof/>
            <w:webHidden/>
          </w:rPr>
        </w:r>
        <w:r w:rsidR="002620C0" w:rsidRPr="00BC31E0">
          <w:rPr>
            <w:noProof/>
            <w:webHidden/>
          </w:rPr>
          <w:fldChar w:fldCharType="separate"/>
        </w:r>
        <w:r w:rsidR="00927DD8" w:rsidRPr="00BC31E0">
          <w:rPr>
            <w:noProof/>
            <w:webHidden/>
          </w:rPr>
          <w:t>173</w:t>
        </w:r>
        <w:r w:rsidR="002620C0" w:rsidRPr="00BC31E0">
          <w:rPr>
            <w:noProof/>
            <w:webHidden/>
          </w:rPr>
          <w:fldChar w:fldCharType="end"/>
        </w:r>
      </w:hyperlink>
    </w:p>
    <w:p w14:paraId="4CAE25E6" w14:textId="77777777" w:rsidR="00927DD8" w:rsidRPr="00BC31E0" w:rsidRDefault="00A51873">
      <w:pPr>
        <w:pStyle w:val="24"/>
        <w:rPr>
          <w:rFonts w:asciiTheme="minorHAnsi" w:eastAsiaTheme="minorEastAsia" w:hAnsiTheme="minorHAnsi" w:cstheme="minorBidi"/>
          <w:b w:val="0"/>
          <w:smallCaps w:val="0"/>
          <w:noProof/>
          <w:szCs w:val="22"/>
        </w:rPr>
      </w:pPr>
      <w:hyperlink w:anchor="_Toc120092547" w:history="1">
        <w:r w:rsidR="00927DD8" w:rsidRPr="00BC31E0">
          <w:rPr>
            <w:rStyle w:val="aff3"/>
            <w:noProof/>
            <w:color w:val="auto"/>
          </w:rPr>
          <w:t>8.1</w:t>
        </w:r>
        <w:r w:rsidR="00927DD8" w:rsidRPr="00BC31E0">
          <w:rPr>
            <w:rFonts w:asciiTheme="minorHAnsi" w:eastAsiaTheme="minorEastAsia" w:hAnsiTheme="minorHAnsi" w:cstheme="minorBidi"/>
            <w:b w:val="0"/>
            <w:smallCaps w:val="0"/>
            <w:noProof/>
            <w:szCs w:val="22"/>
          </w:rPr>
          <w:tab/>
        </w:r>
        <w:r w:rsidR="00927DD8" w:rsidRPr="00BC31E0">
          <w:rPr>
            <w:rStyle w:val="aff3"/>
            <w:rFonts w:hint="eastAsia"/>
            <w:noProof/>
            <w:color w:val="auto"/>
          </w:rPr>
          <w:t>過圧防止安全装置一般</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_Toc120092547 \h </w:instrText>
        </w:r>
        <w:r w:rsidR="002620C0" w:rsidRPr="00BC31E0">
          <w:rPr>
            <w:noProof/>
            <w:webHidden/>
          </w:rPr>
        </w:r>
        <w:r w:rsidR="002620C0" w:rsidRPr="00BC31E0">
          <w:rPr>
            <w:noProof/>
            <w:webHidden/>
          </w:rPr>
          <w:fldChar w:fldCharType="separate"/>
        </w:r>
        <w:r w:rsidR="00927DD8" w:rsidRPr="00BC31E0">
          <w:rPr>
            <w:noProof/>
            <w:webHidden/>
          </w:rPr>
          <w:t>173</w:t>
        </w:r>
        <w:r w:rsidR="002620C0" w:rsidRPr="00BC31E0">
          <w:rPr>
            <w:noProof/>
            <w:webHidden/>
          </w:rPr>
          <w:fldChar w:fldCharType="end"/>
        </w:r>
      </w:hyperlink>
    </w:p>
    <w:p w14:paraId="4FF0D5E0" w14:textId="77777777" w:rsidR="00927DD8" w:rsidRPr="00BC31E0" w:rsidRDefault="00A51873">
      <w:pPr>
        <w:pStyle w:val="24"/>
        <w:rPr>
          <w:rFonts w:asciiTheme="minorHAnsi" w:eastAsiaTheme="minorEastAsia" w:hAnsiTheme="minorHAnsi" w:cstheme="minorBidi"/>
          <w:b w:val="0"/>
          <w:smallCaps w:val="0"/>
          <w:noProof/>
          <w:szCs w:val="22"/>
        </w:rPr>
      </w:pPr>
      <w:hyperlink w:anchor="_Toc120092548" w:history="1">
        <w:r w:rsidR="00927DD8" w:rsidRPr="00BC31E0">
          <w:rPr>
            <w:rStyle w:val="aff3"/>
            <w:noProof/>
            <w:color w:val="auto"/>
          </w:rPr>
          <w:t>8.2</w:t>
        </w:r>
        <w:r w:rsidR="00927DD8" w:rsidRPr="00BC31E0">
          <w:rPr>
            <w:rFonts w:asciiTheme="minorHAnsi" w:eastAsiaTheme="minorEastAsia" w:hAnsiTheme="minorHAnsi" w:cstheme="minorBidi"/>
            <w:b w:val="0"/>
            <w:smallCaps w:val="0"/>
            <w:noProof/>
            <w:szCs w:val="22"/>
          </w:rPr>
          <w:tab/>
        </w:r>
        <w:r w:rsidR="00927DD8" w:rsidRPr="00BC31E0">
          <w:rPr>
            <w:rStyle w:val="aff3"/>
            <w:rFonts w:hint="eastAsia"/>
            <w:noProof/>
            <w:color w:val="auto"/>
          </w:rPr>
          <w:t>破裂板</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_Toc120092548 \h </w:instrText>
        </w:r>
        <w:r w:rsidR="002620C0" w:rsidRPr="00BC31E0">
          <w:rPr>
            <w:noProof/>
            <w:webHidden/>
          </w:rPr>
        </w:r>
        <w:r w:rsidR="002620C0" w:rsidRPr="00BC31E0">
          <w:rPr>
            <w:noProof/>
            <w:webHidden/>
          </w:rPr>
          <w:fldChar w:fldCharType="separate"/>
        </w:r>
        <w:r w:rsidR="00927DD8" w:rsidRPr="00BC31E0">
          <w:rPr>
            <w:noProof/>
            <w:webHidden/>
          </w:rPr>
          <w:t>173</w:t>
        </w:r>
        <w:r w:rsidR="002620C0" w:rsidRPr="00BC31E0">
          <w:rPr>
            <w:noProof/>
            <w:webHidden/>
          </w:rPr>
          <w:fldChar w:fldCharType="end"/>
        </w:r>
      </w:hyperlink>
    </w:p>
    <w:p w14:paraId="6549CCBD" w14:textId="77777777" w:rsidR="00927DD8" w:rsidRPr="00BC31E0" w:rsidRDefault="00A51873">
      <w:pPr>
        <w:pStyle w:val="24"/>
        <w:rPr>
          <w:rFonts w:asciiTheme="minorHAnsi" w:eastAsiaTheme="minorEastAsia" w:hAnsiTheme="minorHAnsi" w:cstheme="minorBidi"/>
          <w:b w:val="0"/>
          <w:smallCaps w:val="0"/>
          <w:noProof/>
          <w:szCs w:val="22"/>
        </w:rPr>
      </w:pPr>
      <w:hyperlink w:anchor="_Toc120092549" w:history="1">
        <w:r w:rsidR="00927DD8" w:rsidRPr="00BC31E0">
          <w:rPr>
            <w:rStyle w:val="aff3"/>
            <w:noProof/>
            <w:color w:val="auto"/>
          </w:rPr>
          <w:t>8.3</w:t>
        </w:r>
        <w:r w:rsidR="00927DD8" w:rsidRPr="00BC31E0">
          <w:rPr>
            <w:rFonts w:asciiTheme="minorHAnsi" w:eastAsiaTheme="minorEastAsia" w:hAnsiTheme="minorHAnsi" w:cstheme="minorBidi"/>
            <w:b w:val="0"/>
            <w:smallCaps w:val="0"/>
            <w:noProof/>
            <w:szCs w:val="22"/>
          </w:rPr>
          <w:tab/>
        </w:r>
        <w:r w:rsidR="00927DD8" w:rsidRPr="00BC31E0">
          <w:rPr>
            <w:rStyle w:val="aff3"/>
            <w:rFonts w:hint="eastAsia"/>
            <w:noProof/>
            <w:color w:val="auto"/>
          </w:rPr>
          <w:t>ばね安全弁</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_Toc120092549 \h </w:instrText>
        </w:r>
        <w:r w:rsidR="002620C0" w:rsidRPr="00BC31E0">
          <w:rPr>
            <w:noProof/>
            <w:webHidden/>
          </w:rPr>
        </w:r>
        <w:r w:rsidR="002620C0" w:rsidRPr="00BC31E0">
          <w:rPr>
            <w:noProof/>
            <w:webHidden/>
          </w:rPr>
          <w:fldChar w:fldCharType="separate"/>
        </w:r>
        <w:r w:rsidR="00927DD8" w:rsidRPr="00BC31E0">
          <w:rPr>
            <w:noProof/>
            <w:webHidden/>
          </w:rPr>
          <w:t>173</w:t>
        </w:r>
        <w:r w:rsidR="002620C0" w:rsidRPr="00BC31E0">
          <w:rPr>
            <w:noProof/>
            <w:webHidden/>
          </w:rPr>
          <w:fldChar w:fldCharType="end"/>
        </w:r>
      </w:hyperlink>
    </w:p>
    <w:p w14:paraId="5B404ABF" w14:textId="77777777" w:rsidR="00927DD8" w:rsidRPr="00BC31E0" w:rsidRDefault="00A51873">
      <w:pPr>
        <w:pStyle w:val="24"/>
        <w:rPr>
          <w:rFonts w:asciiTheme="minorHAnsi" w:eastAsiaTheme="minorEastAsia" w:hAnsiTheme="minorHAnsi" w:cstheme="minorBidi"/>
          <w:b w:val="0"/>
          <w:smallCaps w:val="0"/>
          <w:noProof/>
          <w:szCs w:val="22"/>
        </w:rPr>
      </w:pPr>
      <w:hyperlink w:anchor="_Toc120092550" w:history="1">
        <w:r w:rsidR="00927DD8" w:rsidRPr="00BC31E0">
          <w:rPr>
            <w:rStyle w:val="aff3"/>
            <w:noProof/>
            <w:color w:val="auto"/>
          </w:rPr>
          <w:t>8.4</w:t>
        </w:r>
        <w:r w:rsidR="00927DD8" w:rsidRPr="00BC31E0">
          <w:rPr>
            <w:rFonts w:asciiTheme="minorHAnsi" w:eastAsiaTheme="minorEastAsia" w:hAnsiTheme="minorHAnsi" w:cstheme="minorBidi"/>
            <w:b w:val="0"/>
            <w:smallCaps w:val="0"/>
            <w:noProof/>
            <w:szCs w:val="22"/>
          </w:rPr>
          <w:tab/>
        </w:r>
        <w:r w:rsidR="00927DD8" w:rsidRPr="00BC31E0">
          <w:rPr>
            <w:rStyle w:val="aff3"/>
            <w:rFonts w:hint="eastAsia"/>
            <w:noProof/>
            <w:color w:val="auto"/>
          </w:rPr>
          <w:t>表示</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_Toc120092550 \h </w:instrText>
        </w:r>
        <w:r w:rsidR="002620C0" w:rsidRPr="00BC31E0">
          <w:rPr>
            <w:noProof/>
            <w:webHidden/>
          </w:rPr>
        </w:r>
        <w:r w:rsidR="002620C0" w:rsidRPr="00BC31E0">
          <w:rPr>
            <w:noProof/>
            <w:webHidden/>
          </w:rPr>
          <w:fldChar w:fldCharType="separate"/>
        </w:r>
        <w:r w:rsidR="00927DD8" w:rsidRPr="00BC31E0">
          <w:rPr>
            <w:noProof/>
            <w:webHidden/>
          </w:rPr>
          <w:t>174</w:t>
        </w:r>
        <w:r w:rsidR="002620C0" w:rsidRPr="00BC31E0">
          <w:rPr>
            <w:noProof/>
            <w:webHidden/>
          </w:rPr>
          <w:fldChar w:fldCharType="end"/>
        </w:r>
      </w:hyperlink>
    </w:p>
    <w:p w14:paraId="4C80644B" w14:textId="77777777" w:rsidR="00927DD8" w:rsidRPr="00BC31E0" w:rsidRDefault="00A51873">
      <w:pPr>
        <w:pStyle w:val="1f4"/>
        <w:rPr>
          <w:rFonts w:asciiTheme="minorHAnsi" w:eastAsiaTheme="minorEastAsia" w:hAnsiTheme="minorHAnsi" w:cstheme="minorBidi"/>
          <w:b w:val="0"/>
          <w:bCs w:val="0"/>
          <w:caps w:val="0"/>
          <w:noProof/>
          <w:szCs w:val="22"/>
        </w:rPr>
      </w:pPr>
      <w:hyperlink w:anchor="_Toc120092551" w:history="1">
        <w:r w:rsidR="00927DD8" w:rsidRPr="00BC31E0">
          <w:rPr>
            <w:rStyle w:val="aff3"/>
            <w:noProof/>
            <w:color w:val="auto"/>
          </w:rPr>
          <w:t>9</w:t>
        </w:r>
        <w:r w:rsidR="00927DD8" w:rsidRPr="00BC31E0">
          <w:rPr>
            <w:rFonts w:asciiTheme="minorHAnsi" w:eastAsiaTheme="minorEastAsia" w:hAnsiTheme="minorHAnsi" w:cstheme="minorBidi"/>
            <w:b w:val="0"/>
            <w:bCs w:val="0"/>
            <w:caps w:val="0"/>
            <w:noProof/>
            <w:szCs w:val="22"/>
          </w:rPr>
          <w:tab/>
        </w:r>
        <w:r w:rsidR="00927DD8" w:rsidRPr="00BC31E0">
          <w:rPr>
            <w:rStyle w:val="aff3"/>
            <w:rFonts w:hint="eastAsia"/>
            <w:noProof/>
            <w:color w:val="auto"/>
          </w:rPr>
          <w:t>非破壊試験</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_Toc120092551 \h </w:instrText>
        </w:r>
        <w:r w:rsidR="002620C0" w:rsidRPr="00BC31E0">
          <w:rPr>
            <w:noProof/>
            <w:webHidden/>
          </w:rPr>
        </w:r>
        <w:r w:rsidR="002620C0" w:rsidRPr="00BC31E0">
          <w:rPr>
            <w:noProof/>
            <w:webHidden/>
          </w:rPr>
          <w:fldChar w:fldCharType="separate"/>
        </w:r>
        <w:r w:rsidR="00927DD8" w:rsidRPr="00BC31E0">
          <w:rPr>
            <w:noProof/>
            <w:webHidden/>
          </w:rPr>
          <w:t>174</w:t>
        </w:r>
        <w:r w:rsidR="002620C0" w:rsidRPr="00BC31E0">
          <w:rPr>
            <w:noProof/>
            <w:webHidden/>
          </w:rPr>
          <w:fldChar w:fldCharType="end"/>
        </w:r>
      </w:hyperlink>
    </w:p>
    <w:p w14:paraId="74946217" w14:textId="77777777" w:rsidR="00927DD8" w:rsidRPr="00BC31E0" w:rsidRDefault="00A51873">
      <w:pPr>
        <w:pStyle w:val="24"/>
        <w:rPr>
          <w:rFonts w:asciiTheme="minorHAnsi" w:eastAsiaTheme="minorEastAsia" w:hAnsiTheme="minorHAnsi" w:cstheme="minorBidi"/>
          <w:b w:val="0"/>
          <w:smallCaps w:val="0"/>
          <w:noProof/>
          <w:szCs w:val="22"/>
        </w:rPr>
      </w:pPr>
      <w:hyperlink w:anchor="_Toc120092552" w:history="1">
        <w:r w:rsidR="00927DD8" w:rsidRPr="00BC31E0">
          <w:rPr>
            <w:rStyle w:val="aff3"/>
            <w:noProof/>
            <w:color w:val="auto"/>
          </w:rPr>
          <w:t>9.1</w:t>
        </w:r>
        <w:r w:rsidR="00927DD8" w:rsidRPr="00BC31E0">
          <w:rPr>
            <w:rFonts w:asciiTheme="minorHAnsi" w:eastAsiaTheme="minorEastAsia" w:hAnsiTheme="minorHAnsi" w:cstheme="minorBidi"/>
            <w:b w:val="0"/>
            <w:smallCaps w:val="0"/>
            <w:noProof/>
            <w:szCs w:val="22"/>
          </w:rPr>
          <w:tab/>
        </w:r>
        <w:r w:rsidR="00927DD8" w:rsidRPr="00BC31E0">
          <w:rPr>
            <w:rStyle w:val="aff3"/>
            <w:rFonts w:hint="eastAsia"/>
            <w:noProof/>
            <w:color w:val="auto"/>
          </w:rPr>
          <w:t>試験手順，試験技術者の認定</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_Toc120092552 \h </w:instrText>
        </w:r>
        <w:r w:rsidR="002620C0" w:rsidRPr="00BC31E0">
          <w:rPr>
            <w:noProof/>
            <w:webHidden/>
          </w:rPr>
        </w:r>
        <w:r w:rsidR="002620C0" w:rsidRPr="00BC31E0">
          <w:rPr>
            <w:noProof/>
            <w:webHidden/>
          </w:rPr>
          <w:fldChar w:fldCharType="separate"/>
        </w:r>
        <w:r w:rsidR="00927DD8" w:rsidRPr="00BC31E0">
          <w:rPr>
            <w:noProof/>
            <w:webHidden/>
          </w:rPr>
          <w:t>174</w:t>
        </w:r>
        <w:r w:rsidR="002620C0" w:rsidRPr="00BC31E0">
          <w:rPr>
            <w:noProof/>
            <w:webHidden/>
          </w:rPr>
          <w:fldChar w:fldCharType="end"/>
        </w:r>
      </w:hyperlink>
    </w:p>
    <w:p w14:paraId="7B840C2E" w14:textId="77777777" w:rsidR="00927DD8" w:rsidRPr="00BC31E0" w:rsidRDefault="00A51873">
      <w:pPr>
        <w:pStyle w:val="24"/>
        <w:rPr>
          <w:rFonts w:asciiTheme="minorHAnsi" w:eastAsiaTheme="minorEastAsia" w:hAnsiTheme="minorHAnsi" w:cstheme="minorBidi"/>
          <w:b w:val="0"/>
          <w:smallCaps w:val="0"/>
          <w:noProof/>
          <w:szCs w:val="22"/>
        </w:rPr>
      </w:pPr>
      <w:hyperlink w:anchor="_Toc120092553" w:history="1">
        <w:r w:rsidR="00927DD8" w:rsidRPr="00BC31E0">
          <w:rPr>
            <w:rStyle w:val="aff3"/>
            <w:noProof/>
            <w:color w:val="auto"/>
          </w:rPr>
          <w:t>9.2</w:t>
        </w:r>
        <w:r w:rsidR="00927DD8" w:rsidRPr="00BC31E0">
          <w:rPr>
            <w:rFonts w:asciiTheme="minorHAnsi" w:eastAsiaTheme="minorEastAsia" w:hAnsiTheme="minorHAnsi" w:cstheme="minorBidi"/>
            <w:b w:val="0"/>
            <w:smallCaps w:val="0"/>
            <w:noProof/>
            <w:szCs w:val="22"/>
          </w:rPr>
          <w:tab/>
        </w:r>
        <w:r w:rsidR="00927DD8" w:rsidRPr="00BC31E0">
          <w:rPr>
            <w:rStyle w:val="aff3"/>
            <w:rFonts w:hint="eastAsia"/>
            <w:noProof/>
            <w:color w:val="auto"/>
          </w:rPr>
          <w:t>耐圧部材の試験と材料補修</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_Toc120092553 \h </w:instrText>
        </w:r>
        <w:r w:rsidR="002620C0" w:rsidRPr="00BC31E0">
          <w:rPr>
            <w:noProof/>
            <w:webHidden/>
          </w:rPr>
        </w:r>
        <w:r w:rsidR="002620C0" w:rsidRPr="00BC31E0">
          <w:rPr>
            <w:noProof/>
            <w:webHidden/>
          </w:rPr>
          <w:fldChar w:fldCharType="separate"/>
        </w:r>
        <w:r w:rsidR="00927DD8" w:rsidRPr="00BC31E0">
          <w:rPr>
            <w:noProof/>
            <w:webHidden/>
          </w:rPr>
          <w:t>174</w:t>
        </w:r>
        <w:r w:rsidR="002620C0" w:rsidRPr="00BC31E0">
          <w:rPr>
            <w:noProof/>
            <w:webHidden/>
          </w:rPr>
          <w:fldChar w:fldCharType="end"/>
        </w:r>
      </w:hyperlink>
    </w:p>
    <w:p w14:paraId="13D43C6C" w14:textId="77777777" w:rsidR="00927DD8" w:rsidRPr="00BC31E0" w:rsidRDefault="00A51873">
      <w:pPr>
        <w:pStyle w:val="24"/>
        <w:rPr>
          <w:rFonts w:asciiTheme="minorHAnsi" w:eastAsiaTheme="minorEastAsia" w:hAnsiTheme="minorHAnsi" w:cstheme="minorBidi"/>
          <w:b w:val="0"/>
          <w:smallCaps w:val="0"/>
          <w:noProof/>
          <w:szCs w:val="22"/>
        </w:rPr>
      </w:pPr>
      <w:hyperlink w:anchor="_Toc120092554" w:history="1">
        <w:r w:rsidR="00927DD8" w:rsidRPr="00BC31E0">
          <w:rPr>
            <w:rStyle w:val="aff3"/>
            <w:noProof/>
            <w:color w:val="auto"/>
          </w:rPr>
          <w:t>9.3</w:t>
        </w:r>
        <w:r w:rsidR="00927DD8" w:rsidRPr="00BC31E0">
          <w:rPr>
            <w:rFonts w:asciiTheme="minorHAnsi" w:eastAsiaTheme="minorEastAsia" w:hAnsiTheme="minorHAnsi" w:cstheme="minorBidi"/>
            <w:b w:val="0"/>
            <w:smallCaps w:val="0"/>
            <w:noProof/>
            <w:szCs w:val="22"/>
          </w:rPr>
          <w:tab/>
        </w:r>
        <w:r w:rsidR="00927DD8" w:rsidRPr="00BC31E0">
          <w:rPr>
            <w:rStyle w:val="aff3"/>
            <w:rFonts w:hint="eastAsia"/>
            <w:noProof/>
            <w:color w:val="auto"/>
          </w:rPr>
          <w:t>溶接部の試験と合格判定基準</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_Toc120092554 \h </w:instrText>
        </w:r>
        <w:r w:rsidR="002620C0" w:rsidRPr="00BC31E0">
          <w:rPr>
            <w:noProof/>
            <w:webHidden/>
          </w:rPr>
        </w:r>
        <w:r w:rsidR="002620C0" w:rsidRPr="00BC31E0">
          <w:rPr>
            <w:noProof/>
            <w:webHidden/>
          </w:rPr>
          <w:fldChar w:fldCharType="separate"/>
        </w:r>
        <w:r w:rsidR="00927DD8" w:rsidRPr="00BC31E0">
          <w:rPr>
            <w:noProof/>
            <w:webHidden/>
          </w:rPr>
          <w:t>182</w:t>
        </w:r>
        <w:r w:rsidR="002620C0" w:rsidRPr="00BC31E0">
          <w:rPr>
            <w:noProof/>
            <w:webHidden/>
          </w:rPr>
          <w:fldChar w:fldCharType="end"/>
        </w:r>
      </w:hyperlink>
    </w:p>
    <w:p w14:paraId="501EAA83" w14:textId="77777777" w:rsidR="00927DD8" w:rsidRPr="00BC31E0" w:rsidRDefault="00A51873">
      <w:pPr>
        <w:pStyle w:val="24"/>
        <w:rPr>
          <w:rFonts w:asciiTheme="minorHAnsi" w:eastAsiaTheme="minorEastAsia" w:hAnsiTheme="minorHAnsi" w:cstheme="minorBidi"/>
          <w:b w:val="0"/>
          <w:smallCaps w:val="0"/>
          <w:noProof/>
          <w:szCs w:val="22"/>
        </w:rPr>
      </w:pPr>
      <w:hyperlink w:anchor="_Toc120092555" w:history="1">
        <w:r w:rsidR="00927DD8" w:rsidRPr="00BC31E0">
          <w:rPr>
            <w:rStyle w:val="aff3"/>
            <w:noProof/>
            <w:color w:val="auto"/>
          </w:rPr>
          <w:t>9.4</w:t>
        </w:r>
        <w:r w:rsidR="00927DD8" w:rsidRPr="00BC31E0">
          <w:rPr>
            <w:rFonts w:asciiTheme="minorHAnsi" w:eastAsiaTheme="minorEastAsia" w:hAnsiTheme="minorHAnsi" w:cstheme="minorBidi"/>
            <w:b w:val="0"/>
            <w:smallCaps w:val="0"/>
            <w:noProof/>
            <w:szCs w:val="22"/>
          </w:rPr>
          <w:tab/>
        </w:r>
        <w:r w:rsidR="00927DD8" w:rsidRPr="00BC31E0">
          <w:rPr>
            <w:rStyle w:val="aff3"/>
            <w:rFonts w:hint="eastAsia"/>
            <w:noProof/>
            <w:color w:val="auto"/>
          </w:rPr>
          <w:t>圧力容器の最終試験</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_Toc120092555 \h </w:instrText>
        </w:r>
        <w:r w:rsidR="002620C0" w:rsidRPr="00BC31E0">
          <w:rPr>
            <w:noProof/>
            <w:webHidden/>
          </w:rPr>
        </w:r>
        <w:r w:rsidR="002620C0" w:rsidRPr="00BC31E0">
          <w:rPr>
            <w:noProof/>
            <w:webHidden/>
          </w:rPr>
          <w:fldChar w:fldCharType="separate"/>
        </w:r>
        <w:r w:rsidR="00927DD8" w:rsidRPr="00BC31E0">
          <w:rPr>
            <w:noProof/>
            <w:webHidden/>
          </w:rPr>
          <w:t>206</w:t>
        </w:r>
        <w:r w:rsidR="002620C0" w:rsidRPr="00BC31E0">
          <w:rPr>
            <w:noProof/>
            <w:webHidden/>
          </w:rPr>
          <w:fldChar w:fldCharType="end"/>
        </w:r>
      </w:hyperlink>
    </w:p>
    <w:p w14:paraId="43805508" w14:textId="77777777" w:rsidR="00927DD8" w:rsidRPr="00BC31E0" w:rsidRDefault="00A51873">
      <w:pPr>
        <w:pStyle w:val="1f4"/>
        <w:rPr>
          <w:rFonts w:asciiTheme="minorHAnsi" w:eastAsiaTheme="minorEastAsia" w:hAnsiTheme="minorHAnsi" w:cstheme="minorBidi"/>
          <w:b w:val="0"/>
          <w:bCs w:val="0"/>
          <w:caps w:val="0"/>
          <w:noProof/>
          <w:szCs w:val="22"/>
        </w:rPr>
      </w:pPr>
      <w:hyperlink w:anchor="_Toc120092556" w:history="1">
        <w:r w:rsidR="00927DD8" w:rsidRPr="00BC31E0">
          <w:rPr>
            <w:rStyle w:val="aff3"/>
            <w:noProof/>
            <w:color w:val="auto"/>
          </w:rPr>
          <w:t>10</w:t>
        </w:r>
        <w:r w:rsidR="00927DD8" w:rsidRPr="00BC31E0">
          <w:rPr>
            <w:rFonts w:asciiTheme="minorHAnsi" w:eastAsiaTheme="minorEastAsia" w:hAnsiTheme="minorHAnsi" w:cstheme="minorBidi"/>
            <w:b w:val="0"/>
            <w:bCs w:val="0"/>
            <w:caps w:val="0"/>
            <w:noProof/>
            <w:szCs w:val="22"/>
          </w:rPr>
          <w:tab/>
        </w:r>
        <w:r w:rsidR="00927DD8" w:rsidRPr="00BC31E0">
          <w:rPr>
            <w:rStyle w:val="aff3"/>
            <w:rFonts w:hint="eastAsia"/>
            <w:noProof/>
            <w:color w:val="auto"/>
          </w:rPr>
          <w:t>試験</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_Toc120092556 \h </w:instrText>
        </w:r>
        <w:r w:rsidR="002620C0" w:rsidRPr="00BC31E0">
          <w:rPr>
            <w:noProof/>
            <w:webHidden/>
          </w:rPr>
        </w:r>
        <w:r w:rsidR="002620C0" w:rsidRPr="00BC31E0">
          <w:rPr>
            <w:noProof/>
            <w:webHidden/>
          </w:rPr>
          <w:fldChar w:fldCharType="separate"/>
        </w:r>
        <w:r w:rsidR="00927DD8" w:rsidRPr="00BC31E0">
          <w:rPr>
            <w:noProof/>
            <w:webHidden/>
          </w:rPr>
          <w:t>206</w:t>
        </w:r>
        <w:r w:rsidR="002620C0" w:rsidRPr="00BC31E0">
          <w:rPr>
            <w:noProof/>
            <w:webHidden/>
          </w:rPr>
          <w:fldChar w:fldCharType="end"/>
        </w:r>
      </w:hyperlink>
    </w:p>
    <w:p w14:paraId="2D4AEDE6" w14:textId="77777777" w:rsidR="00927DD8" w:rsidRPr="00BC31E0" w:rsidRDefault="00A51873">
      <w:pPr>
        <w:pStyle w:val="24"/>
        <w:rPr>
          <w:rFonts w:asciiTheme="minorHAnsi" w:eastAsiaTheme="minorEastAsia" w:hAnsiTheme="minorHAnsi" w:cstheme="minorBidi"/>
          <w:b w:val="0"/>
          <w:smallCaps w:val="0"/>
          <w:noProof/>
          <w:szCs w:val="22"/>
        </w:rPr>
      </w:pPr>
      <w:hyperlink w:anchor="_Toc120092557" w:history="1">
        <w:r w:rsidR="00927DD8" w:rsidRPr="00BC31E0">
          <w:rPr>
            <w:rStyle w:val="aff3"/>
            <w:noProof/>
            <w:color w:val="auto"/>
          </w:rPr>
          <w:t>10.1</w:t>
        </w:r>
        <w:r w:rsidR="00927DD8" w:rsidRPr="00BC31E0">
          <w:rPr>
            <w:rFonts w:asciiTheme="minorHAnsi" w:eastAsiaTheme="minorEastAsia" w:hAnsiTheme="minorHAnsi" w:cstheme="minorBidi"/>
            <w:b w:val="0"/>
            <w:smallCaps w:val="0"/>
            <w:noProof/>
            <w:szCs w:val="22"/>
          </w:rPr>
          <w:tab/>
        </w:r>
        <w:r w:rsidR="00927DD8" w:rsidRPr="00BC31E0">
          <w:rPr>
            <w:rStyle w:val="aff3"/>
            <w:rFonts w:hint="eastAsia"/>
            <w:noProof/>
            <w:color w:val="auto"/>
          </w:rPr>
          <w:t>試験一般</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_Toc120092557 \h </w:instrText>
        </w:r>
        <w:r w:rsidR="002620C0" w:rsidRPr="00BC31E0">
          <w:rPr>
            <w:noProof/>
            <w:webHidden/>
          </w:rPr>
        </w:r>
        <w:r w:rsidR="002620C0" w:rsidRPr="00BC31E0">
          <w:rPr>
            <w:noProof/>
            <w:webHidden/>
          </w:rPr>
          <w:fldChar w:fldCharType="separate"/>
        </w:r>
        <w:r w:rsidR="00927DD8" w:rsidRPr="00BC31E0">
          <w:rPr>
            <w:noProof/>
            <w:webHidden/>
          </w:rPr>
          <w:t>206</w:t>
        </w:r>
        <w:r w:rsidR="002620C0" w:rsidRPr="00BC31E0">
          <w:rPr>
            <w:noProof/>
            <w:webHidden/>
          </w:rPr>
          <w:fldChar w:fldCharType="end"/>
        </w:r>
      </w:hyperlink>
    </w:p>
    <w:p w14:paraId="2E9549CD" w14:textId="77777777" w:rsidR="00927DD8" w:rsidRPr="00BC31E0" w:rsidRDefault="00A51873">
      <w:pPr>
        <w:pStyle w:val="24"/>
        <w:rPr>
          <w:rFonts w:asciiTheme="minorHAnsi" w:eastAsiaTheme="minorEastAsia" w:hAnsiTheme="minorHAnsi" w:cstheme="minorBidi"/>
          <w:b w:val="0"/>
          <w:smallCaps w:val="0"/>
          <w:noProof/>
          <w:szCs w:val="22"/>
        </w:rPr>
      </w:pPr>
      <w:hyperlink w:anchor="_Toc120092558" w:history="1">
        <w:r w:rsidR="00927DD8" w:rsidRPr="00BC31E0">
          <w:rPr>
            <w:rStyle w:val="aff3"/>
            <w:noProof/>
            <w:color w:val="auto"/>
          </w:rPr>
          <w:t>10.2</w:t>
        </w:r>
        <w:r w:rsidR="00927DD8" w:rsidRPr="00BC31E0">
          <w:rPr>
            <w:rFonts w:asciiTheme="minorHAnsi" w:eastAsiaTheme="minorEastAsia" w:hAnsiTheme="minorHAnsi" w:cstheme="minorBidi"/>
            <w:b w:val="0"/>
            <w:smallCaps w:val="0"/>
            <w:noProof/>
            <w:szCs w:val="22"/>
          </w:rPr>
          <w:tab/>
        </w:r>
        <w:r w:rsidR="00927DD8" w:rsidRPr="00BC31E0">
          <w:rPr>
            <w:rStyle w:val="aff3"/>
            <w:rFonts w:hint="eastAsia"/>
            <w:noProof/>
            <w:color w:val="auto"/>
          </w:rPr>
          <w:t>溶接された容器の衝撃試験</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_Toc120092558 \h </w:instrText>
        </w:r>
        <w:r w:rsidR="002620C0" w:rsidRPr="00BC31E0">
          <w:rPr>
            <w:noProof/>
            <w:webHidden/>
          </w:rPr>
        </w:r>
        <w:r w:rsidR="002620C0" w:rsidRPr="00BC31E0">
          <w:rPr>
            <w:noProof/>
            <w:webHidden/>
          </w:rPr>
          <w:fldChar w:fldCharType="separate"/>
        </w:r>
        <w:r w:rsidR="00927DD8" w:rsidRPr="00BC31E0">
          <w:rPr>
            <w:noProof/>
            <w:webHidden/>
          </w:rPr>
          <w:t>208</w:t>
        </w:r>
        <w:r w:rsidR="002620C0" w:rsidRPr="00BC31E0">
          <w:rPr>
            <w:noProof/>
            <w:webHidden/>
          </w:rPr>
          <w:fldChar w:fldCharType="end"/>
        </w:r>
      </w:hyperlink>
    </w:p>
    <w:p w14:paraId="303D0E9F" w14:textId="77777777" w:rsidR="00927DD8" w:rsidRPr="00BC31E0" w:rsidRDefault="00A51873">
      <w:pPr>
        <w:pStyle w:val="24"/>
        <w:rPr>
          <w:rFonts w:asciiTheme="minorHAnsi" w:eastAsiaTheme="minorEastAsia" w:hAnsiTheme="minorHAnsi" w:cstheme="minorBidi"/>
          <w:b w:val="0"/>
          <w:smallCaps w:val="0"/>
          <w:noProof/>
          <w:szCs w:val="22"/>
        </w:rPr>
      </w:pPr>
      <w:hyperlink w:anchor="_Toc120092559" w:history="1">
        <w:r w:rsidR="00927DD8" w:rsidRPr="00BC31E0">
          <w:rPr>
            <w:rStyle w:val="aff3"/>
            <w:noProof/>
            <w:color w:val="auto"/>
          </w:rPr>
          <w:t>10.3</w:t>
        </w:r>
        <w:r w:rsidR="00927DD8" w:rsidRPr="00BC31E0">
          <w:rPr>
            <w:rFonts w:asciiTheme="minorHAnsi" w:eastAsiaTheme="minorEastAsia" w:hAnsiTheme="minorHAnsi" w:cstheme="minorBidi"/>
            <w:b w:val="0"/>
            <w:smallCaps w:val="0"/>
            <w:noProof/>
            <w:szCs w:val="22"/>
          </w:rPr>
          <w:tab/>
        </w:r>
        <w:r w:rsidR="00927DD8" w:rsidRPr="00BC31E0">
          <w:rPr>
            <w:rStyle w:val="aff3"/>
            <w:rFonts w:hint="eastAsia"/>
            <w:noProof/>
            <w:color w:val="auto"/>
          </w:rPr>
          <w:t>耐圧試験</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_Toc120092559 \h </w:instrText>
        </w:r>
        <w:r w:rsidR="002620C0" w:rsidRPr="00BC31E0">
          <w:rPr>
            <w:noProof/>
            <w:webHidden/>
          </w:rPr>
        </w:r>
        <w:r w:rsidR="002620C0" w:rsidRPr="00BC31E0">
          <w:rPr>
            <w:noProof/>
            <w:webHidden/>
          </w:rPr>
          <w:fldChar w:fldCharType="separate"/>
        </w:r>
        <w:r w:rsidR="00927DD8" w:rsidRPr="00BC31E0">
          <w:rPr>
            <w:noProof/>
            <w:webHidden/>
          </w:rPr>
          <w:t>209</w:t>
        </w:r>
        <w:r w:rsidR="002620C0" w:rsidRPr="00BC31E0">
          <w:rPr>
            <w:noProof/>
            <w:webHidden/>
          </w:rPr>
          <w:fldChar w:fldCharType="end"/>
        </w:r>
      </w:hyperlink>
    </w:p>
    <w:p w14:paraId="3166B8BD" w14:textId="77777777" w:rsidR="00927DD8" w:rsidRPr="00BC31E0" w:rsidRDefault="00A51873">
      <w:pPr>
        <w:pStyle w:val="1f4"/>
        <w:rPr>
          <w:rFonts w:asciiTheme="minorHAnsi" w:eastAsiaTheme="minorEastAsia" w:hAnsiTheme="minorHAnsi" w:cstheme="minorBidi"/>
          <w:b w:val="0"/>
          <w:bCs w:val="0"/>
          <w:caps w:val="0"/>
          <w:noProof/>
          <w:szCs w:val="22"/>
        </w:rPr>
      </w:pPr>
      <w:hyperlink w:anchor="_Toc120092560" w:history="1">
        <w:r w:rsidR="00927DD8" w:rsidRPr="00BC31E0">
          <w:rPr>
            <w:rStyle w:val="aff3"/>
            <w:noProof/>
            <w:color w:val="auto"/>
          </w:rPr>
          <w:t>11</w:t>
        </w:r>
        <w:r w:rsidR="00927DD8" w:rsidRPr="00BC31E0">
          <w:rPr>
            <w:rFonts w:asciiTheme="minorHAnsi" w:eastAsiaTheme="minorEastAsia" w:hAnsiTheme="minorHAnsi" w:cstheme="minorBidi"/>
            <w:b w:val="0"/>
            <w:bCs w:val="0"/>
            <w:caps w:val="0"/>
            <w:noProof/>
            <w:szCs w:val="22"/>
          </w:rPr>
          <w:tab/>
        </w:r>
        <w:r w:rsidR="00927DD8" w:rsidRPr="00BC31E0">
          <w:rPr>
            <w:rStyle w:val="aff3"/>
            <w:rFonts w:hint="eastAsia"/>
            <w:noProof/>
            <w:color w:val="auto"/>
          </w:rPr>
          <w:t>表示</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_Toc120092560 \h </w:instrText>
        </w:r>
        <w:r w:rsidR="002620C0" w:rsidRPr="00BC31E0">
          <w:rPr>
            <w:noProof/>
            <w:webHidden/>
          </w:rPr>
        </w:r>
        <w:r w:rsidR="002620C0" w:rsidRPr="00BC31E0">
          <w:rPr>
            <w:noProof/>
            <w:webHidden/>
          </w:rPr>
          <w:fldChar w:fldCharType="separate"/>
        </w:r>
        <w:r w:rsidR="00927DD8" w:rsidRPr="00BC31E0">
          <w:rPr>
            <w:noProof/>
            <w:webHidden/>
          </w:rPr>
          <w:t>212</w:t>
        </w:r>
        <w:r w:rsidR="002620C0" w:rsidRPr="00BC31E0">
          <w:rPr>
            <w:noProof/>
            <w:webHidden/>
          </w:rPr>
          <w:fldChar w:fldCharType="end"/>
        </w:r>
      </w:hyperlink>
    </w:p>
    <w:p w14:paraId="4CC9EF5E" w14:textId="77777777" w:rsidR="00927DD8" w:rsidRPr="00BC31E0" w:rsidRDefault="00A51873">
      <w:pPr>
        <w:pStyle w:val="1f4"/>
        <w:rPr>
          <w:rFonts w:asciiTheme="minorHAnsi" w:eastAsiaTheme="minorEastAsia" w:hAnsiTheme="minorHAnsi" w:cstheme="minorBidi"/>
          <w:b w:val="0"/>
          <w:bCs w:val="0"/>
          <w:caps w:val="0"/>
          <w:noProof/>
          <w:szCs w:val="22"/>
        </w:rPr>
      </w:pPr>
      <w:hyperlink w:anchor="_Toc120092561" w:history="1">
        <w:r w:rsidR="00927DD8" w:rsidRPr="00BC31E0">
          <w:rPr>
            <w:rStyle w:val="aff3"/>
            <w:rFonts w:hint="eastAsia"/>
            <w:noProof/>
            <w:color w:val="auto"/>
          </w:rPr>
          <w:t>附属書</w:t>
        </w:r>
        <w:r w:rsidR="00927DD8" w:rsidRPr="00BC31E0">
          <w:rPr>
            <w:rStyle w:val="aff3"/>
            <w:noProof/>
            <w:color w:val="auto"/>
          </w:rPr>
          <w:t>A(</w:t>
        </w:r>
        <w:r w:rsidR="00927DD8" w:rsidRPr="00BC31E0">
          <w:rPr>
            <w:rStyle w:val="aff3"/>
            <w:rFonts w:hint="eastAsia"/>
            <w:noProof/>
            <w:color w:val="auto"/>
          </w:rPr>
          <w:t>規定</w:t>
        </w:r>
        <w:r w:rsidR="00927DD8" w:rsidRPr="00BC31E0">
          <w:rPr>
            <w:rStyle w:val="aff3"/>
            <w:noProof/>
            <w:color w:val="auto"/>
          </w:rPr>
          <w:t>)</w:t>
        </w:r>
        <w:r w:rsidR="00927DD8" w:rsidRPr="00BC31E0">
          <w:rPr>
            <w:rStyle w:val="aff3"/>
            <w:rFonts w:hint="eastAsia"/>
            <w:noProof/>
            <w:color w:val="auto"/>
          </w:rPr>
          <w:t xml:space="preserve">　品質マネジメントシステム</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_Toc120092561 \h </w:instrText>
        </w:r>
        <w:r w:rsidR="002620C0" w:rsidRPr="00BC31E0">
          <w:rPr>
            <w:noProof/>
            <w:webHidden/>
          </w:rPr>
        </w:r>
        <w:r w:rsidR="002620C0" w:rsidRPr="00BC31E0">
          <w:rPr>
            <w:noProof/>
            <w:webHidden/>
          </w:rPr>
          <w:fldChar w:fldCharType="separate"/>
        </w:r>
        <w:r w:rsidR="00927DD8" w:rsidRPr="00BC31E0">
          <w:rPr>
            <w:noProof/>
            <w:webHidden/>
          </w:rPr>
          <w:t>214</w:t>
        </w:r>
        <w:r w:rsidR="002620C0" w:rsidRPr="00BC31E0">
          <w:rPr>
            <w:noProof/>
            <w:webHidden/>
          </w:rPr>
          <w:fldChar w:fldCharType="end"/>
        </w:r>
      </w:hyperlink>
    </w:p>
    <w:p w14:paraId="79F0D8A3" w14:textId="77777777" w:rsidR="00927DD8" w:rsidRPr="00BC31E0" w:rsidRDefault="00A51873">
      <w:pPr>
        <w:pStyle w:val="1f4"/>
        <w:rPr>
          <w:rFonts w:asciiTheme="minorHAnsi" w:eastAsiaTheme="minorEastAsia" w:hAnsiTheme="minorHAnsi" w:cstheme="minorBidi"/>
          <w:b w:val="0"/>
          <w:bCs w:val="0"/>
          <w:caps w:val="0"/>
          <w:noProof/>
          <w:szCs w:val="22"/>
        </w:rPr>
      </w:pPr>
      <w:hyperlink w:anchor="_Toc120092562" w:history="1">
        <w:r w:rsidR="00927DD8" w:rsidRPr="00BC31E0">
          <w:rPr>
            <w:rStyle w:val="aff3"/>
            <w:rFonts w:hint="eastAsia"/>
            <w:noProof/>
            <w:color w:val="auto"/>
          </w:rPr>
          <w:t>附属書</w:t>
        </w:r>
        <w:r w:rsidR="00927DD8" w:rsidRPr="00BC31E0">
          <w:rPr>
            <w:rStyle w:val="aff3"/>
            <w:noProof/>
            <w:color w:val="auto"/>
          </w:rPr>
          <w:t>B(</w:t>
        </w:r>
        <w:r w:rsidR="00927DD8" w:rsidRPr="00BC31E0">
          <w:rPr>
            <w:rStyle w:val="aff3"/>
            <w:rFonts w:hint="eastAsia"/>
            <w:noProof/>
            <w:color w:val="auto"/>
          </w:rPr>
          <w:t>規定</w:t>
        </w:r>
        <w:r w:rsidR="00927DD8" w:rsidRPr="00BC31E0">
          <w:rPr>
            <w:rStyle w:val="aff3"/>
            <w:noProof/>
            <w:color w:val="auto"/>
          </w:rPr>
          <w:t>)</w:t>
        </w:r>
        <w:r w:rsidR="00927DD8" w:rsidRPr="00BC31E0">
          <w:rPr>
            <w:rStyle w:val="aff3"/>
            <w:rFonts w:hint="eastAsia"/>
            <w:noProof/>
            <w:color w:val="auto"/>
          </w:rPr>
          <w:t xml:space="preserve">　用語及び記号の定義</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_Toc120092562 \h </w:instrText>
        </w:r>
        <w:r w:rsidR="002620C0" w:rsidRPr="00BC31E0">
          <w:rPr>
            <w:noProof/>
            <w:webHidden/>
          </w:rPr>
        </w:r>
        <w:r w:rsidR="002620C0" w:rsidRPr="00BC31E0">
          <w:rPr>
            <w:noProof/>
            <w:webHidden/>
          </w:rPr>
          <w:fldChar w:fldCharType="separate"/>
        </w:r>
        <w:r w:rsidR="00927DD8" w:rsidRPr="00BC31E0">
          <w:rPr>
            <w:noProof/>
            <w:webHidden/>
          </w:rPr>
          <w:t>216</w:t>
        </w:r>
        <w:r w:rsidR="002620C0" w:rsidRPr="00BC31E0">
          <w:rPr>
            <w:noProof/>
            <w:webHidden/>
          </w:rPr>
          <w:fldChar w:fldCharType="end"/>
        </w:r>
      </w:hyperlink>
    </w:p>
    <w:p w14:paraId="27B3F035" w14:textId="77777777" w:rsidR="00927DD8" w:rsidRPr="00BC31E0" w:rsidRDefault="00A51873">
      <w:pPr>
        <w:pStyle w:val="1f4"/>
        <w:rPr>
          <w:rFonts w:asciiTheme="minorHAnsi" w:eastAsiaTheme="minorEastAsia" w:hAnsiTheme="minorHAnsi" w:cstheme="minorBidi"/>
          <w:b w:val="0"/>
          <w:bCs w:val="0"/>
          <w:caps w:val="0"/>
          <w:noProof/>
          <w:szCs w:val="22"/>
        </w:rPr>
      </w:pPr>
      <w:hyperlink w:anchor="_Toc120092563" w:history="1">
        <w:r w:rsidR="00927DD8" w:rsidRPr="00BC31E0">
          <w:rPr>
            <w:rStyle w:val="aff3"/>
            <w:rFonts w:hint="eastAsia"/>
            <w:noProof/>
            <w:color w:val="auto"/>
          </w:rPr>
          <w:t>附属書</w:t>
        </w:r>
        <w:r w:rsidR="00927DD8" w:rsidRPr="00BC31E0">
          <w:rPr>
            <w:rStyle w:val="aff3"/>
            <w:noProof/>
            <w:color w:val="auto"/>
          </w:rPr>
          <w:t>C(</w:t>
        </w:r>
        <w:r w:rsidR="00927DD8" w:rsidRPr="00BC31E0">
          <w:rPr>
            <w:rStyle w:val="aff3"/>
            <w:rFonts w:hint="eastAsia"/>
            <w:noProof/>
            <w:color w:val="auto"/>
          </w:rPr>
          <w:t>規定</w:t>
        </w:r>
        <w:r w:rsidR="00927DD8" w:rsidRPr="00BC31E0">
          <w:rPr>
            <w:rStyle w:val="aff3"/>
            <w:noProof/>
            <w:color w:val="auto"/>
          </w:rPr>
          <w:t>)</w:t>
        </w:r>
        <w:r w:rsidR="00927DD8" w:rsidRPr="00BC31E0">
          <w:rPr>
            <w:rStyle w:val="aff3"/>
            <w:rFonts w:hint="eastAsia"/>
            <w:noProof/>
            <w:color w:val="auto"/>
          </w:rPr>
          <w:t xml:space="preserve">　破壊力学計算</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_Toc120092563 \h </w:instrText>
        </w:r>
        <w:r w:rsidR="002620C0" w:rsidRPr="00BC31E0">
          <w:rPr>
            <w:noProof/>
            <w:webHidden/>
          </w:rPr>
        </w:r>
        <w:r w:rsidR="002620C0" w:rsidRPr="00BC31E0">
          <w:rPr>
            <w:noProof/>
            <w:webHidden/>
          </w:rPr>
          <w:fldChar w:fldCharType="separate"/>
        </w:r>
        <w:r w:rsidR="00927DD8" w:rsidRPr="00BC31E0">
          <w:rPr>
            <w:noProof/>
            <w:webHidden/>
          </w:rPr>
          <w:t>231</w:t>
        </w:r>
        <w:r w:rsidR="002620C0" w:rsidRPr="00BC31E0">
          <w:rPr>
            <w:noProof/>
            <w:webHidden/>
          </w:rPr>
          <w:fldChar w:fldCharType="end"/>
        </w:r>
      </w:hyperlink>
    </w:p>
    <w:p w14:paraId="3D12F8FF" w14:textId="77777777" w:rsidR="00927DD8" w:rsidRPr="00BC31E0" w:rsidRDefault="00A51873">
      <w:pPr>
        <w:pStyle w:val="1f4"/>
        <w:rPr>
          <w:rFonts w:asciiTheme="minorHAnsi" w:eastAsiaTheme="minorEastAsia" w:hAnsiTheme="minorHAnsi" w:cstheme="minorBidi"/>
          <w:b w:val="0"/>
          <w:bCs w:val="0"/>
          <w:caps w:val="0"/>
          <w:noProof/>
          <w:szCs w:val="22"/>
        </w:rPr>
      </w:pPr>
      <w:hyperlink w:anchor="_Toc120092564" w:history="1">
        <w:r w:rsidR="00927DD8" w:rsidRPr="00BC31E0">
          <w:rPr>
            <w:rStyle w:val="aff3"/>
            <w:rFonts w:hint="eastAsia"/>
            <w:noProof/>
            <w:color w:val="auto"/>
          </w:rPr>
          <w:t>附属書</w:t>
        </w:r>
        <w:r w:rsidR="00927DD8" w:rsidRPr="00BC31E0">
          <w:rPr>
            <w:rStyle w:val="aff3"/>
            <w:noProof/>
            <w:color w:val="auto"/>
          </w:rPr>
          <w:t>D(</w:t>
        </w:r>
        <w:r w:rsidR="00927DD8" w:rsidRPr="00BC31E0">
          <w:rPr>
            <w:rStyle w:val="aff3"/>
            <w:rFonts w:hint="eastAsia"/>
            <w:noProof/>
            <w:color w:val="auto"/>
          </w:rPr>
          <w:t>規定</w:t>
        </w:r>
        <w:r w:rsidR="00927DD8" w:rsidRPr="00BC31E0">
          <w:rPr>
            <w:rStyle w:val="aff3"/>
            <w:noProof/>
            <w:color w:val="auto"/>
          </w:rPr>
          <w:t>)</w:t>
        </w:r>
        <w:r w:rsidR="00927DD8" w:rsidRPr="00BC31E0">
          <w:rPr>
            <w:rStyle w:val="aff3"/>
            <w:rFonts w:hint="eastAsia"/>
            <w:noProof/>
            <w:color w:val="auto"/>
          </w:rPr>
          <w:t xml:space="preserve">　応力－ひずみ曲線</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_Toc120092564 \h </w:instrText>
        </w:r>
        <w:r w:rsidR="002620C0" w:rsidRPr="00BC31E0">
          <w:rPr>
            <w:noProof/>
            <w:webHidden/>
          </w:rPr>
        </w:r>
        <w:r w:rsidR="002620C0" w:rsidRPr="00BC31E0">
          <w:rPr>
            <w:noProof/>
            <w:webHidden/>
          </w:rPr>
          <w:fldChar w:fldCharType="separate"/>
        </w:r>
        <w:r w:rsidR="00927DD8" w:rsidRPr="00BC31E0">
          <w:rPr>
            <w:noProof/>
            <w:webHidden/>
          </w:rPr>
          <w:t>250</w:t>
        </w:r>
        <w:r w:rsidR="002620C0" w:rsidRPr="00BC31E0">
          <w:rPr>
            <w:noProof/>
            <w:webHidden/>
          </w:rPr>
          <w:fldChar w:fldCharType="end"/>
        </w:r>
      </w:hyperlink>
    </w:p>
    <w:p w14:paraId="1BE71D04" w14:textId="77777777" w:rsidR="00927DD8" w:rsidRPr="00BC31E0" w:rsidRDefault="00A51873">
      <w:pPr>
        <w:pStyle w:val="1f4"/>
        <w:rPr>
          <w:rFonts w:asciiTheme="minorHAnsi" w:eastAsiaTheme="minorEastAsia" w:hAnsiTheme="minorHAnsi" w:cstheme="minorBidi"/>
          <w:b w:val="0"/>
          <w:bCs w:val="0"/>
          <w:caps w:val="0"/>
          <w:noProof/>
          <w:szCs w:val="22"/>
        </w:rPr>
      </w:pPr>
      <w:hyperlink w:anchor="_Toc120092565" w:history="1">
        <w:r w:rsidR="00927DD8" w:rsidRPr="00BC31E0">
          <w:rPr>
            <w:rStyle w:val="aff3"/>
            <w:rFonts w:hint="eastAsia"/>
            <w:noProof/>
            <w:color w:val="auto"/>
          </w:rPr>
          <w:t>附属書</w:t>
        </w:r>
        <w:r w:rsidR="00927DD8" w:rsidRPr="00BC31E0">
          <w:rPr>
            <w:rStyle w:val="aff3"/>
            <w:noProof/>
            <w:color w:val="auto"/>
          </w:rPr>
          <w:t>E</w:t>
        </w:r>
        <w:r w:rsidR="00927DD8" w:rsidRPr="00BC31E0">
          <w:rPr>
            <w:rStyle w:val="aff3"/>
            <w:rFonts w:hAnsi="ＭＳ ゴシック"/>
            <w:noProof/>
            <w:color w:val="auto"/>
          </w:rPr>
          <w:t>(</w:t>
        </w:r>
        <w:r w:rsidR="00927DD8" w:rsidRPr="00BC31E0">
          <w:rPr>
            <w:rStyle w:val="aff3"/>
            <w:rFonts w:hAnsi="ＭＳ ゴシック" w:hint="eastAsia"/>
            <w:noProof/>
            <w:color w:val="auto"/>
          </w:rPr>
          <w:t>規定</w:t>
        </w:r>
        <w:r w:rsidR="00927DD8" w:rsidRPr="00BC31E0">
          <w:rPr>
            <w:rStyle w:val="aff3"/>
            <w:rFonts w:hAnsi="ＭＳ ゴシック"/>
            <w:noProof/>
            <w:color w:val="auto"/>
          </w:rPr>
          <w:t>)</w:t>
        </w:r>
        <w:r w:rsidR="00927DD8" w:rsidRPr="00BC31E0">
          <w:rPr>
            <w:rStyle w:val="aff3"/>
            <w:rFonts w:hint="eastAsia"/>
            <w:noProof/>
            <w:color w:val="auto"/>
          </w:rPr>
          <w:t xml:space="preserve">　穴補強</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_Toc120092565 \h </w:instrText>
        </w:r>
        <w:r w:rsidR="002620C0" w:rsidRPr="00BC31E0">
          <w:rPr>
            <w:noProof/>
            <w:webHidden/>
          </w:rPr>
        </w:r>
        <w:r w:rsidR="002620C0" w:rsidRPr="00BC31E0">
          <w:rPr>
            <w:noProof/>
            <w:webHidden/>
          </w:rPr>
          <w:fldChar w:fldCharType="separate"/>
        </w:r>
        <w:r w:rsidR="00927DD8" w:rsidRPr="00BC31E0">
          <w:rPr>
            <w:noProof/>
            <w:webHidden/>
          </w:rPr>
          <w:t>256</w:t>
        </w:r>
        <w:r w:rsidR="002620C0" w:rsidRPr="00BC31E0">
          <w:rPr>
            <w:noProof/>
            <w:webHidden/>
          </w:rPr>
          <w:fldChar w:fldCharType="end"/>
        </w:r>
      </w:hyperlink>
    </w:p>
    <w:p w14:paraId="0C50D5C8" w14:textId="77777777" w:rsidR="00927DD8" w:rsidRPr="00BC31E0" w:rsidRDefault="00A51873">
      <w:pPr>
        <w:pStyle w:val="1f4"/>
        <w:rPr>
          <w:rFonts w:asciiTheme="minorHAnsi" w:eastAsiaTheme="minorEastAsia" w:hAnsiTheme="minorHAnsi" w:cstheme="minorBidi"/>
          <w:b w:val="0"/>
          <w:bCs w:val="0"/>
          <w:caps w:val="0"/>
          <w:noProof/>
          <w:szCs w:val="22"/>
        </w:rPr>
      </w:pPr>
      <w:hyperlink w:anchor="_Toc120092566" w:history="1">
        <w:r w:rsidR="00927DD8" w:rsidRPr="00BC31E0">
          <w:rPr>
            <w:rStyle w:val="aff3"/>
            <w:rFonts w:hint="eastAsia"/>
            <w:noProof/>
            <w:color w:val="auto"/>
          </w:rPr>
          <w:t>附属書</w:t>
        </w:r>
        <w:r w:rsidR="00927DD8" w:rsidRPr="00BC31E0">
          <w:rPr>
            <w:rStyle w:val="aff3"/>
            <w:noProof/>
            <w:color w:val="auto"/>
          </w:rPr>
          <w:t>F(</w:t>
        </w:r>
        <w:r w:rsidR="00927DD8" w:rsidRPr="00BC31E0">
          <w:rPr>
            <w:rStyle w:val="aff3"/>
            <w:rFonts w:hint="eastAsia"/>
            <w:noProof/>
            <w:color w:val="auto"/>
          </w:rPr>
          <w:t>規定</w:t>
        </w:r>
        <w:r w:rsidR="00927DD8" w:rsidRPr="00BC31E0">
          <w:rPr>
            <w:rStyle w:val="aff3"/>
            <w:noProof/>
            <w:color w:val="auto"/>
          </w:rPr>
          <w:t>)</w:t>
        </w:r>
        <w:r w:rsidR="00927DD8" w:rsidRPr="00BC31E0">
          <w:rPr>
            <w:rStyle w:val="aff3"/>
            <w:rFonts w:hint="eastAsia"/>
            <w:noProof/>
            <w:color w:val="auto"/>
          </w:rPr>
          <w:t xml:space="preserve">　交差穴の応力集中係数</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_Toc120092566 \h </w:instrText>
        </w:r>
        <w:r w:rsidR="002620C0" w:rsidRPr="00BC31E0">
          <w:rPr>
            <w:noProof/>
            <w:webHidden/>
          </w:rPr>
        </w:r>
        <w:r w:rsidR="002620C0" w:rsidRPr="00BC31E0">
          <w:rPr>
            <w:noProof/>
            <w:webHidden/>
          </w:rPr>
          <w:fldChar w:fldCharType="separate"/>
        </w:r>
        <w:r w:rsidR="00927DD8" w:rsidRPr="00BC31E0">
          <w:rPr>
            <w:noProof/>
            <w:webHidden/>
          </w:rPr>
          <w:t>261</w:t>
        </w:r>
        <w:r w:rsidR="002620C0" w:rsidRPr="00BC31E0">
          <w:rPr>
            <w:noProof/>
            <w:webHidden/>
          </w:rPr>
          <w:fldChar w:fldCharType="end"/>
        </w:r>
      </w:hyperlink>
    </w:p>
    <w:p w14:paraId="14261D65" w14:textId="77777777" w:rsidR="00927DD8" w:rsidRPr="00BC31E0" w:rsidRDefault="00A51873">
      <w:pPr>
        <w:pStyle w:val="1f4"/>
        <w:rPr>
          <w:rFonts w:asciiTheme="minorHAnsi" w:eastAsiaTheme="minorEastAsia" w:hAnsiTheme="minorHAnsi" w:cstheme="minorBidi"/>
          <w:b w:val="0"/>
          <w:bCs w:val="0"/>
          <w:caps w:val="0"/>
          <w:noProof/>
          <w:szCs w:val="22"/>
        </w:rPr>
      </w:pPr>
      <w:hyperlink w:anchor="_Toc120092567" w:history="1">
        <w:r w:rsidR="00927DD8" w:rsidRPr="00BC31E0">
          <w:rPr>
            <w:rStyle w:val="aff3"/>
            <w:rFonts w:hint="eastAsia"/>
            <w:noProof/>
            <w:color w:val="auto"/>
          </w:rPr>
          <w:t>附属書</w:t>
        </w:r>
        <w:r w:rsidR="00927DD8" w:rsidRPr="00BC31E0">
          <w:rPr>
            <w:rStyle w:val="aff3"/>
            <w:noProof/>
            <w:color w:val="auto"/>
          </w:rPr>
          <w:t>G</w:t>
        </w:r>
        <w:r w:rsidR="00927DD8" w:rsidRPr="00BC31E0">
          <w:rPr>
            <w:rStyle w:val="aff3"/>
            <w:rFonts w:hAnsi="ＭＳ ゴシック"/>
            <w:noProof/>
            <w:color w:val="auto"/>
          </w:rPr>
          <w:t>(</w:t>
        </w:r>
        <w:r w:rsidR="00927DD8" w:rsidRPr="00BC31E0">
          <w:rPr>
            <w:rStyle w:val="aff3"/>
            <w:rFonts w:hAnsi="ＭＳ ゴシック" w:hint="eastAsia"/>
            <w:noProof/>
            <w:color w:val="auto"/>
          </w:rPr>
          <w:t>規定</w:t>
        </w:r>
        <w:r w:rsidR="00927DD8" w:rsidRPr="00BC31E0">
          <w:rPr>
            <w:rStyle w:val="aff3"/>
            <w:rFonts w:hAnsi="ＭＳ ゴシック"/>
            <w:noProof/>
            <w:color w:val="auto"/>
          </w:rPr>
          <w:t>)</w:t>
        </w:r>
        <w:r w:rsidR="00927DD8" w:rsidRPr="00BC31E0">
          <w:rPr>
            <w:rStyle w:val="aff3"/>
            <w:rFonts w:hint="eastAsia"/>
            <w:noProof/>
            <w:color w:val="auto"/>
          </w:rPr>
          <w:t xml:space="preserve">　円筒胴の平鏡板</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_Toc120092567 \h </w:instrText>
        </w:r>
        <w:r w:rsidR="002620C0" w:rsidRPr="00BC31E0">
          <w:rPr>
            <w:noProof/>
            <w:webHidden/>
          </w:rPr>
        </w:r>
        <w:r w:rsidR="002620C0" w:rsidRPr="00BC31E0">
          <w:rPr>
            <w:noProof/>
            <w:webHidden/>
          </w:rPr>
          <w:fldChar w:fldCharType="separate"/>
        </w:r>
        <w:r w:rsidR="00927DD8" w:rsidRPr="00BC31E0">
          <w:rPr>
            <w:noProof/>
            <w:webHidden/>
          </w:rPr>
          <w:t>264</w:t>
        </w:r>
        <w:r w:rsidR="002620C0" w:rsidRPr="00BC31E0">
          <w:rPr>
            <w:noProof/>
            <w:webHidden/>
          </w:rPr>
          <w:fldChar w:fldCharType="end"/>
        </w:r>
      </w:hyperlink>
    </w:p>
    <w:p w14:paraId="154266F6" w14:textId="77777777" w:rsidR="00927DD8" w:rsidRPr="00BC31E0" w:rsidRDefault="00A51873">
      <w:pPr>
        <w:pStyle w:val="1f4"/>
        <w:rPr>
          <w:rFonts w:asciiTheme="minorHAnsi" w:eastAsiaTheme="minorEastAsia" w:hAnsiTheme="minorHAnsi" w:cstheme="minorBidi"/>
          <w:b w:val="0"/>
          <w:bCs w:val="0"/>
          <w:caps w:val="0"/>
          <w:noProof/>
          <w:szCs w:val="22"/>
        </w:rPr>
      </w:pPr>
      <w:hyperlink w:anchor="_Toc120092568" w:history="1">
        <w:r w:rsidR="00927DD8" w:rsidRPr="00BC31E0">
          <w:rPr>
            <w:rStyle w:val="aff3"/>
            <w:rFonts w:hint="eastAsia"/>
            <w:noProof/>
            <w:color w:val="auto"/>
          </w:rPr>
          <w:t>附属書</w:t>
        </w:r>
        <w:r w:rsidR="00927DD8" w:rsidRPr="00BC31E0">
          <w:rPr>
            <w:rStyle w:val="aff3"/>
            <w:noProof/>
            <w:color w:val="auto"/>
          </w:rPr>
          <w:t>H(</w:t>
        </w:r>
        <w:r w:rsidR="00927DD8" w:rsidRPr="00BC31E0">
          <w:rPr>
            <w:rStyle w:val="aff3"/>
            <w:rFonts w:hint="eastAsia"/>
            <w:noProof/>
            <w:color w:val="auto"/>
          </w:rPr>
          <w:t>規定</w:t>
        </w:r>
        <w:r w:rsidR="00927DD8" w:rsidRPr="00BC31E0">
          <w:rPr>
            <w:rStyle w:val="aff3"/>
            <w:noProof/>
            <w:color w:val="auto"/>
          </w:rPr>
          <w:t>)</w:t>
        </w:r>
        <w:r w:rsidR="00927DD8" w:rsidRPr="00BC31E0">
          <w:rPr>
            <w:rStyle w:val="aff3"/>
            <w:rFonts w:hint="eastAsia"/>
            <w:noProof/>
            <w:color w:val="auto"/>
          </w:rPr>
          <w:t xml:space="preserve">　クランプ継手の設計</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_Toc120092568 \h </w:instrText>
        </w:r>
        <w:r w:rsidR="002620C0" w:rsidRPr="00BC31E0">
          <w:rPr>
            <w:noProof/>
            <w:webHidden/>
          </w:rPr>
        </w:r>
        <w:r w:rsidR="002620C0" w:rsidRPr="00BC31E0">
          <w:rPr>
            <w:noProof/>
            <w:webHidden/>
          </w:rPr>
          <w:fldChar w:fldCharType="separate"/>
        </w:r>
        <w:r w:rsidR="00927DD8" w:rsidRPr="00BC31E0">
          <w:rPr>
            <w:noProof/>
            <w:webHidden/>
          </w:rPr>
          <w:t>270</w:t>
        </w:r>
        <w:r w:rsidR="002620C0" w:rsidRPr="00BC31E0">
          <w:rPr>
            <w:noProof/>
            <w:webHidden/>
          </w:rPr>
          <w:fldChar w:fldCharType="end"/>
        </w:r>
      </w:hyperlink>
    </w:p>
    <w:p w14:paraId="2F74B8D8" w14:textId="77777777" w:rsidR="00927DD8" w:rsidRPr="00BC31E0" w:rsidRDefault="00A51873">
      <w:pPr>
        <w:pStyle w:val="1f4"/>
        <w:rPr>
          <w:rFonts w:asciiTheme="minorHAnsi" w:eastAsiaTheme="minorEastAsia" w:hAnsiTheme="minorHAnsi" w:cstheme="minorBidi"/>
          <w:b w:val="0"/>
          <w:bCs w:val="0"/>
          <w:caps w:val="0"/>
          <w:noProof/>
          <w:szCs w:val="22"/>
        </w:rPr>
      </w:pPr>
      <w:hyperlink w:anchor="_Toc120092569" w:history="1">
        <w:r w:rsidR="00927DD8" w:rsidRPr="00BC31E0">
          <w:rPr>
            <w:rStyle w:val="aff3"/>
            <w:rFonts w:hint="eastAsia"/>
            <w:noProof/>
            <w:color w:val="auto"/>
          </w:rPr>
          <w:t>附属書</w:t>
        </w:r>
        <w:r w:rsidR="00927DD8" w:rsidRPr="00BC31E0">
          <w:rPr>
            <w:rStyle w:val="aff3"/>
            <w:noProof/>
            <w:color w:val="auto"/>
          </w:rPr>
          <w:t>I(</w:t>
        </w:r>
        <w:r w:rsidR="00927DD8" w:rsidRPr="00BC31E0">
          <w:rPr>
            <w:rStyle w:val="aff3"/>
            <w:rFonts w:hint="eastAsia"/>
            <w:noProof/>
            <w:color w:val="auto"/>
          </w:rPr>
          <w:t>規定</w:t>
        </w:r>
        <w:r w:rsidR="00927DD8" w:rsidRPr="00BC31E0">
          <w:rPr>
            <w:rStyle w:val="aff3"/>
            <w:noProof/>
            <w:color w:val="auto"/>
          </w:rPr>
          <w:t>)</w:t>
        </w:r>
        <w:r w:rsidR="00927DD8" w:rsidRPr="00BC31E0">
          <w:rPr>
            <w:rStyle w:val="aff3"/>
            <w:rFonts w:hint="eastAsia"/>
            <w:noProof/>
            <w:color w:val="auto"/>
          </w:rPr>
          <w:t xml:space="preserve">　溶接部の放射線透過試験の円形状指示模様合格基準</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_Toc120092569 \h </w:instrText>
        </w:r>
        <w:r w:rsidR="002620C0" w:rsidRPr="00BC31E0">
          <w:rPr>
            <w:noProof/>
            <w:webHidden/>
          </w:rPr>
        </w:r>
        <w:r w:rsidR="002620C0" w:rsidRPr="00BC31E0">
          <w:rPr>
            <w:noProof/>
            <w:webHidden/>
          </w:rPr>
          <w:fldChar w:fldCharType="separate"/>
        </w:r>
        <w:r w:rsidR="00927DD8" w:rsidRPr="00BC31E0">
          <w:rPr>
            <w:noProof/>
            <w:webHidden/>
          </w:rPr>
          <w:t>282</w:t>
        </w:r>
        <w:r w:rsidR="002620C0" w:rsidRPr="00BC31E0">
          <w:rPr>
            <w:noProof/>
            <w:webHidden/>
          </w:rPr>
          <w:fldChar w:fldCharType="end"/>
        </w:r>
      </w:hyperlink>
    </w:p>
    <w:p w14:paraId="2BE40944" w14:textId="77777777" w:rsidR="00927DD8" w:rsidRPr="00BC31E0" w:rsidRDefault="00A51873">
      <w:pPr>
        <w:pStyle w:val="1f4"/>
        <w:rPr>
          <w:rFonts w:asciiTheme="minorHAnsi" w:eastAsiaTheme="minorEastAsia" w:hAnsiTheme="minorHAnsi" w:cstheme="minorBidi"/>
          <w:b w:val="0"/>
          <w:bCs w:val="0"/>
          <w:caps w:val="0"/>
          <w:noProof/>
          <w:szCs w:val="22"/>
        </w:rPr>
      </w:pPr>
      <w:hyperlink w:anchor="_Toc120092570" w:history="1">
        <w:r w:rsidR="00927DD8" w:rsidRPr="00BC31E0">
          <w:rPr>
            <w:rStyle w:val="aff3"/>
            <w:rFonts w:hint="eastAsia"/>
            <w:noProof/>
            <w:color w:val="auto"/>
          </w:rPr>
          <w:t>附属書</w:t>
        </w:r>
        <w:r w:rsidR="00927DD8" w:rsidRPr="00BC31E0">
          <w:rPr>
            <w:rStyle w:val="aff3"/>
            <w:noProof/>
            <w:color w:val="auto"/>
          </w:rPr>
          <w:t>J</w:t>
        </w:r>
        <w:r w:rsidR="00927DD8" w:rsidRPr="00BC31E0">
          <w:rPr>
            <w:rStyle w:val="aff3"/>
            <w:rFonts w:hAnsi="ＭＳ ゴシック"/>
            <w:noProof/>
            <w:color w:val="auto"/>
          </w:rPr>
          <w:t>(</w:t>
        </w:r>
        <w:r w:rsidR="00927DD8" w:rsidRPr="00BC31E0">
          <w:rPr>
            <w:rStyle w:val="aff3"/>
            <w:rFonts w:hAnsi="ＭＳ ゴシック" w:hint="eastAsia"/>
            <w:noProof/>
            <w:color w:val="auto"/>
          </w:rPr>
          <w:t>規定</w:t>
        </w:r>
        <w:r w:rsidR="00927DD8" w:rsidRPr="00BC31E0">
          <w:rPr>
            <w:rStyle w:val="aff3"/>
            <w:rFonts w:hAnsi="ＭＳ ゴシック"/>
            <w:noProof/>
            <w:color w:val="auto"/>
          </w:rPr>
          <w:t>)</w:t>
        </w:r>
        <w:r w:rsidR="00927DD8" w:rsidRPr="00BC31E0">
          <w:rPr>
            <w:rStyle w:val="aff3"/>
            <w:rFonts w:hint="eastAsia"/>
            <w:noProof/>
            <w:color w:val="auto"/>
          </w:rPr>
          <w:t xml:space="preserve">　弾性解析を用いた評価方法</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_Toc120092570 \h </w:instrText>
        </w:r>
        <w:r w:rsidR="002620C0" w:rsidRPr="00BC31E0">
          <w:rPr>
            <w:noProof/>
            <w:webHidden/>
          </w:rPr>
        </w:r>
        <w:r w:rsidR="002620C0" w:rsidRPr="00BC31E0">
          <w:rPr>
            <w:noProof/>
            <w:webHidden/>
          </w:rPr>
          <w:fldChar w:fldCharType="separate"/>
        </w:r>
        <w:r w:rsidR="00927DD8" w:rsidRPr="00BC31E0">
          <w:rPr>
            <w:noProof/>
            <w:webHidden/>
          </w:rPr>
          <w:t>285</w:t>
        </w:r>
        <w:r w:rsidR="002620C0" w:rsidRPr="00BC31E0">
          <w:rPr>
            <w:noProof/>
            <w:webHidden/>
          </w:rPr>
          <w:fldChar w:fldCharType="end"/>
        </w:r>
      </w:hyperlink>
    </w:p>
    <w:p w14:paraId="66444487" w14:textId="77777777" w:rsidR="00927DD8" w:rsidRPr="00BC31E0" w:rsidRDefault="00A51873">
      <w:pPr>
        <w:pStyle w:val="1f4"/>
        <w:rPr>
          <w:rFonts w:asciiTheme="minorHAnsi" w:eastAsiaTheme="minorEastAsia" w:hAnsiTheme="minorHAnsi" w:cstheme="minorBidi"/>
          <w:b w:val="0"/>
          <w:bCs w:val="0"/>
          <w:caps w:val="0"/>
          <w:noProof/>
          <w:szCs w:val="22"/>
        </w:rPr>
      </w:pPr>
      <w:hyperlink w:anchor="_Toc120092571" w:history="1">
        <w:r w:rsidR="00927DD8" w:rsidRPr="00BC31E0">
          <w:rPr>
            <w:rStyle w:val="aff3"/>
            <w:rFonts w:hint="eastAsia"/>
            <w:noProof/>
            <w:color w:val="auto"/>
          </w:rPr>
          <w:t>附属書</w:t>
        </w:r>
        <w:r w:rsidR="00927DD8" w:rsidRPr="00BC31E0">
          <w:rPr>
            <w:rStyle w:val="aff3"/>
            <w:noProof/>
            <w:color w:val="auto"/>
          </w:rPr>
          <w:t>K</w:t>
        </w:r>
        <w:r w:rsidR="00927DD8" w:rsidRPr="00BC31E0">
          <w:rPr>
            <w:rStyle w:val="aff3"/>
            <w:rFonts w:hAnsi="ＭＳ ゴシック"/>
            <w:noProof/>
            <w:color w:val="auto"/>
          </w:rPr>
          <w:t>(</w:t>
        </w:r>
        <w:r w:rsidR="00927DD8" w:rsidRPr="00BC31E0">
          <w:rPr>
            <w:rStyle w:val="aff3"/>
            <w:rFonts w:hAnsi="ＭＳ ゴシック" w:hint="eastAsia"/>
            <w:noProof/>
            <w:color w:val="auto"/>
          </w:rPr>
          <w:t>規定</w:t>
        </w:r>
        <w:r w:rsidR="00927DD8" w:rsidRPr="00BC31E0">
          <w:rPr>
            <w:rStyle w:val="aff3"/>
            <w:rFonts w:hAnsi="ＭＳ ゴシック"/>
            <w:noProof/>
            <w:color w:val="auto"/>
          </w:rPr>
          <w:t>)</w:t>
        </w:r>
        <w:r w:rsidR="00927DD8" w:rsidRPr="00BC31E0">
          <w:rPr>
            <w:rStyle w:val="aff3"/>
            <w:rFonts w:hint="eastAsia"/>
            <w:noProof/>
            <w:color w:val="auto"/>
          </w:rPr>
          <w:t xml:space="preserve">　アルミニウム合金の切欠き引張試験方法</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_Toc120092571 \h </w:instrText>
        </w:r>
        <w:r w:rsidR="002620C0" w:rsidRPr="00BC31E0">
          <w:rPr>
            <w:noProof/>
            <w:webHidden/>
          </w:rPr>
        </w:r>
        <w:r w:rsidR="002620C0" w:rsidRPr="00BC31E0">
          <w:rPr>
            <w:noProof/>
            <w:webHidden/>
          </w:rPr>
          <w:fldChar w:fldCharType="separate"/>
        </w:r>
        <w:r w:rsidR="00927DD8" w:rsidRPr="00BC31E0">
          <w:rPr>
            <w:noProof/>
            <w:webHidden/>
          </w:rPr>
          <w:t>293</w:t>
        </w:r>
        <w:r w:rsidR="002620C0" w:rsidRPr="00BC31E0">
          <w:rPr>
            <w:noProof/>
            <w:webHidden/>
          </w:rPr>
          <w:fldChar w:fldCharType="end"/>
        </w:r>
      </w:hyperlink>
    </w:p>
    <w:p w14:paraId="6405CC2D" w14:textId="77777777" w:rsidR="00927DD8" w:rsidRPr="00BC31E0" w:rsidRDefault="00A51873">
      <w:pPr>
        <w:pStyle w:val="1f4"/>
        <w:rPr>
          <w:rFonts w:asciiTheme="minorHAnsi" w:eastAsiaTheme="minorEastAsia" w:hAnsiTheme="minorHAnsi" w:cstheme="minorBidi"/>
          <w:b w:val="0"/>
          <w:bCs w:val="0"/>
          <w:caps w:val="0"/>
          <w:noProof/>
          <w:szCs w:val="22"/>
        </w:rPr>
      </w:pPr>
      <w:hyperlink w:anchor="_Toc120092572" w:history="1">
        <w:r w:rsidR="00927DD8" w:rsidRPr="00BC31E0">
          <w:rPr>
            <w:rStyle w:val="aff3"/>
            <w:rFonts w:hint="eastAsia"/>
            <w:noProof/>
            <w:color w:val="auto"/>
          </w:rPr>
          <w:t>附属書</w:t>
        </w:r>
        <w:r w:rsidR="00927DD8" w:rsidRPr="00BC31E0">
          <w:rPr>
            <w:rStyle w:val="aff3"/>
            <w:noProof/>
            <w:color w:val="auto"/>
          </w:rPr>
          <w:t>L(</w:t>
        </w:r>
        <w:r w:rsidR="00927DD8" w:rsidRPr="00BC31E0">
          <w:rPr>
            <w:rStyle w:val="aff3"/>
            <w:rFonts w:hint="eastAsia"/>
            <w:noProof/>
            <w:color w:val="auto"/>
          </w:rPr>
          <w:t>規定</w:t>
        </w:r>
        <w:r w:rsidR="00927DD8" w:rsidRPr="00BC31E0">
          <w:rPr>
            <w:rStyle w:val="aff3"/>
            <w:noProof/>
            <w:color w:val="auto"/>
          </w:rPr>
          <w:t>)</w:t>
        </w:r>
        <w:r w:rsidR="00927DD8" w:rsidRPr="00BC31E0">
          <w:rPr>
            <w:rStyle w:val="aff3"/>
            <w:rFonts w:hint="eastAsia"/>
            <w:noProof/>
            <w:color w:val="auto"/>
          </w:rPr>
          <w:t xml:space="preserve">　応力分類のための応力分布の線形化</w:t>
        </w:r>
        <w:r w:rsidR="00927DD8" w:rsidRPr="00BC31E0">
          <w:rPr>
            <w:noProof/>
            <w:webHidden/>
          </w:rPr>
          <w:tab/>
        </w:r>
        <w:r w:rsidR="002620C0" w:rsidRPr="00BC31E0">
          <w:rPr>
            <w:noProof/>
            <w:webHidden/>
          </w:rPr>
          <w:fldChar w:fldCharType="begin"/>
        </w:r>
        <w:r w:rsidR="00927DD8" w:rsidRPr="00BC31E0">
          <w:rPr>
            <w:noProof/>
            <w:webHidden/>
          </w:rPr>
          <w:instrText xml:space="preserve"> PAGEREF _Toc120092572 \h </w:instrText>
        </w:r>
        <w:r w:rsidR="002620C0" w:rsidRPr="00BC31E0">
          <w:rPr>
            <w:noProof/>
            <w:webHidden/>
          </w:rPr>
        </w:r>
        <w:r w:rsidR="002620C0" w:rsidRPr="00BC31E0">
          <w:rPr>
            <w:noProof/>
            <w:webHidden/>
          </w:rPr>
          <w:fldChar w:fldCharType="separate"/>
        </w:r>
        <w:r w:rsidR="00927DD8" w:rsidRPr="00BC31E0">
          <w:rPr>
            <w:noProof/>
            <w:webHidden/>
          </w:rPr>
          <w:t>306</w:t>
        </w:r>
        <w:r w:rsidR="002620C0" w:rsidRPr="00BC31E0">
          <w:rPr>
            <w:noProof/>
            <w:webHidden/>
          </w:rPr>
          <w:fldChar w:fldCharType="end"/>
        </w:r>
      </w:hyperlink>
    </w:p>
    <w:p w14:paraId="4D76D215" w14:textId="77777777" w:rsidR="00534573" w:rsidRPr="00BC31E0" w:rsidRDefault="002620C0" w:rsidP="00A91EE9">
      <w:pPr>
        <w:tabs>
          <w:tab w:val="left" w:pos="8647"/>
        </w:tabs>
        <w:spacing w:line="360" w:lineRule="exact"/>
        <w:rPr>
          <w:rStyle w:val="aff3"/>
          <w:color w:val="auto"/>
        </w:rPr>
        <w:sectPr w:rsidR="00534573" w:rsidRPr="00BC31E0" w:rsidSect="00301A4E">
          <w:headerReference w:type="even" r:id="rId14"/>
          <w:headerReference w:type="default" r:id="rId15"/>
          <w:footerReference w:type="default" r:id="rId16"/>
          <w:headerReference w:type="first" r:id="rId17"/>
          <w:footerReference w:type="first" r:id="rId18"/>
          <w:type w:val="nextColumn"/>
          <w:pgSz w:w="11906" w:h="16838" w:code="9"/>
          <w:pgMar w:top="1701" w:right="1418" w:bottom="1418" w:left="1418" w:header="567" w:footer="397" w:gutter="0"/>
          <w:pgNumType w:start="1"/>
          <w:cols w:space="425"/>
          <w:docGrid w:type="linesAndChars" w:linePitch="360"/>
        </w:sectPr>
      </w:pPr>
      <w:r w:rsidRPr="00BC31E0">
        <w:rPr>
          <w:rFonts w:ascii="Arial" w:eastAsia="ＭＳ ゴシック" w:hAnsi="Arial" w:cs="Arial"/>
          <w:b/>
          <w:sz w:val="24"/>
        </w:rPr>
        <w:fldChar w:fldCharType="end"/>
      </w:r>
    </w:p>
    <w:p w14:paraId="62665382" w14:textId="77777777" w:rsidR="001A6985" w:rsidRPr="00BC31E0" w:rsidRDefault="001A6985" w:rsidP="00AA511A">
      <w:pPr>
        <w:pStyle w:val="1f0"/>
      </w:pPr>
      <w:r w:rsidRPr="00BC31E0">
        <w:rPr>
          <w:rFonts w:hint="eastAsia"/>
        </w:rPr>
        <w:lastRenderedPageBreak/>
        <w:t>日本高圧力技術協会規格</w:t>
      </w:r>
    </w:p>
    <w:p w14:paraId="0A9E80F1" w14:textId="77777777" w:rsidR="001A6985" w:rsidRPr="00BC31E0" w:rsidRDefault="001A6985" w:rsidP="00AA511A">
      <w:pPr>
        <w:pStyle w:val="1f5"/>
      </w:pPr>
      <w:r w:rsidRPr="00BC31E0">
        <w:rPr>
          <w:rFonts w:hint="eastAsia"/>
        </w:rPr>
        <w:t>高圧容器規格</w:t>
      </w:r>
    </w:p>
    <w:p w14:paraId="7DC54170" w14:textId="77777777" w:rsidR="001A6985" w:rsidRPr="00BC31E0" w:rsidRDefault="001A6985" w:rsidP="00AA511A">
      <w:pPr>
        <w:pStyle w:val="1f2"/>
      </w:pPr>
      <w:r w:rsidRPr="00BC31E0">
        <w:t>Rule</w:t>
      </w:r>
      <w:r w:rsidRPr="00BC31E0">
        <w:rPr>
          <w:rFonts w:hint="eastAsia"/>
        </w:rPr>
        <w:t>s</w:t>
      </w:r>
      <w:r w:rsidRPr="00BC31E0">
        <w:t xml:space="preserve"> for Con</w:t>
      </w:r>
      <w:r w:rsidRPr="00BC31E0">
        <w:rPr>
          <w:rFonts w:hint="eastAsia"/>
        </w:rPr>
        <w:t>s</w:t>
      </w:r>
      <w:r w:rsidRPr="00BC31E0">
        <w:t>truction of High Pre</w:t>
      </w:r>
      <w:r w:rsidRPr="00BC31E0">
        <w:rPr>
          <w:rFonts w:hint="eastAsia"/>
        </w:rPr>
        <w:t>ss</w:t>
      </w:r>
      <w:r w:rsidRPr="00BC31E0">
        <w:t>ure Ve</w:t>
      </w:r>
      <w:r w:rsidRPr="00BC31E0">
        <w:rPr>
          <w:rFonts w:hint="eastAsia"/>
        </w:rPr>
        <w:t>ss</w:t>
      </w:r>
      <w:r w:rsidRPr="00BC31E0">
        <w:t>el</w:t>
      </w:r>
      <w:r w:rsidRPr="00BC31E0">
        <w:rPr>
          <w:rFonts w:hint="eastAsia"/>
        </w:rPr>
        <w:t>s</w:t>
      </w:r>
    </w:p>
    <w:p w14:paraId="136C661E" w14:textId="77777777" w:rsidR="001A6985" w:rsidRPr="00BC31E0" w:rsidRDefault="001A6985" w:rsidP="00AA511A"/>
    <w:p w14:paraId="40964D43" w14:textId="77777777" w:rsidR="001A6985" w:rsidRPr="00BC31E0" w:rsidRDefault="001A6985" w:rsidP="00AA511A">
      <w:pPr>
        <w:pStyle w:val="1f3"/>
        <w:spacing w:line="240" w:lineRule="auto"/>
        <w:jc w:val="both"/>
      </w:pPr>
      <w:bookmarkStart w:id="0" w:name="_Toc224723459"/>
      <w:bookmarkStart w:id="1" w:name="_Toc357672073"/>
      <w:bookmarkStart w:id="2" w:name="_Toc120092506"/>
      <w:r w:rsidRPr="00BC31E0">
        <w:rPr>
          <w:rFonts w:hint="eastAsia"/>
        </w:rPr>
        <w:t>序文</w:t>
      </w:r>
      <w:bookmarkEnd w:id="0"/>
      <w:bookmarkEnd w:id="1"/>
      <w:bookmarkEnd w:id="2"/>
    </w:p>
    <w:p w14:paraId="611EDE4D" w14:textId="77777777" w:rsidR="001A6985" w:rsidRPr="00BC31E0" w:rsidRDefault="001A6985" w:rsidP="00AA511A">
      <w:pPr>
        <w:pStyle w:val="15"/>
        <w:ind w:firstLine="210"/>
      </w:pPr>
      <w:r w:rsidRPr="00BC31E0">
        <w:rPr>
          <w:rFonts w:hint="eastAsia"/>
        </w:rPr>
        <w:t>近年，</w:t>
      </w:r>
      <w:r w:rsidRPr="00BC31E0">
        <w:rPr>
          <w:rFonts w:hint="eastAsia"/>
        </w:rPr>
        <w:t xml:space="preserve"> </w:t>
      </w:r>
      <w:r w:rsidRPr="00BC31E0">
        <w:rPr>
          <w:rFonts w:hint="eastAsia"/>
        </w:rPr>
        <w:t>超高圧容器が冷間等方加圧</w:t>
      </w:r>
      <w:r w:rsidRPr="00BC31E0">
        <w:rPr>
          <w:rFonts w:hint="eastAsia"/>
        </w:rPr>
        <w:t>(CIP)</w:t>
      </w:r>
      <w:r w:rsidR="00220EEB" w:rsidRPr="00BC31E0">
        <w:rPr>
          <w:rFonts w:hint="eastAsia"/>
        </w:rPr>
        <w:t>／</w:t>
      </w:r>
      <w:r w:rsidRPr="00BC31E0">
        <w:rPr>
          <w:rFonts w:hint="eastAsia"/>
        </w:rPr>
        <w:t>熱間等方加圧</w:t>
      </w:r>
      <w:r w:rsidRPr="00BC31E0">
        <w:rPr>
          <w:rFonts w:hint="eastAsia"/>
        </w:rPr>
        <w:t>(HIP)</w:t>
      </w:r>
      <w:r w:rsidRPr="00BC31E0">
        <w:rPr>
          <w:rFonts w:hint="eastAsia"/>
        </w:rPr>
        <w:t>加工，石油化学，産業廃棄物処理などの工業分野で数多く建設，運転されている。このような容器は，設計条件が超高圧，高温，繰返し運転など厳しい環境にあり，従来の</w:t>
      </w:r>
      <w:r w:rsidRPr="00BC31E0">
        <w:rPr>
          <w:rFonts w:ascii="ＭＳ ゴシック" w:eastAsia="ＭＳ ゴシック" w:hint="eastAsia"/>
          <w:b/>
          <w:bCs/>
        </w:rPr>
        <w:t>ASME Boiler &amp; Pressure Vessel Code Section VIII Division 2</w:t>
      </w:r>
      <w:r w:rsidRPr="00BC31E0">
        <w:rPr>
          <w:rFonts w:ascii="ＭＳ ゴシック" w:eastAsia="ＭＳ ゴシック"/>
          <w:b/>
          <w:bCs/>
        </w:rPr>
        <w:t xml:space="preserve"> </w:t>
      </w:r>
      <w:r w:rsidRPr="00BC31E0">
        <w:rPr>
          <w:rFonts w:hint="eastAsia"/>
        </w:rPr>
        <w:t>(</w:t>
      </w:r>
      <w:r w:rsidRPr="00BC31E0">
        <w:rPr>
          <w:rFonts w:hint="eastAsia"/>
        </w:rPr>
        <w:t>以下</w:t>
      </w:r>
      <w:r w:rsidR="008A69EA" w:rsidRPr="00BC31E0">
        <w:rPr>
          <w:rFonts w:hint="eastAsia"/>
        </w:rPr>
        <w:t>，</w:t>
      </w:r>
      <w:r w:rsidRPr="00BC31E0">
        <w:rPr>
          <w:rFonts w:ascii="ＭＳ ゴシック" w:eastAsia="ＭＳ ゴシック" w:hint="eastAsia"/>
          <w:b/>
          <w:bCs/>
        </w:rPr>
        <w:t>ASME Sec.VIII Div.2</w:t>
      </w:r>
      <w:r w:rsidRPr="00BC31E0">
        <w:rPr>
          <w:rFonts w:hint="eastAsia"/>
        </w:rPr>
        <w:t>と</w:t>
      </w:r>
      <w:r w:rsidR="008A69EA" w:rsidRPr="00BC31E0">
        <w:rPr>
          <w:rFonts w:hint="eastAsia"/>
        </w:rPr>
        <w:t>表記</w:t>
      </w:r>
      <w:r w:rsidRPr="00BC31E0">
        <w:rPr>
          <w:rFonts w:hint="eastAsia"/>
        </w:rPr>
        <w:t>)</w:t>
      </w:r>
      <w:r w:rsidRPr="00BC31E0">
        <w:rPr>
          <w:rFonts w:hint="eastAsia"/>
        </w:rPr>
        <w:t>より合理的な設計，製作，品質保証が可能な新しい超高圧容器を対象とした規格の必要性が叫ばれてきた。このような産業界の要求に応えて，</w:t>
      </w:r>
      <w:r w:rsidRPr="00BC31E0">
        <w:rPr>
          <w:rFonts w:hint="eastAsia"/>
        </w:rPr>
        <w:t>1997</w:t>
      </w:r>
      <w:r w:rsidRPr="00BC31E0">
        <w:rPr>
          <w:rFonts w:hint="eastAsia"/>
        </w:rPr>
        <w:t>年</w:t>
      </w:r>
      <w:r w:rsidRPr="00BC31E0">
        <w:rPr>
          <w:rFonts w:hint="eastAsia"/>
        </w:rPr>
        <w:t>5</w:t>
      </w:r>
      <w:r w:rsidRPr="00BC31E0">
        <w:rPr>
          <w:rFonts w:hint="eastAsia"/>
        </w:rPr>
        <w:t>月に</w:t>
      </w:r>
      <w:r w:rsidRPr="00BC31E0">
        <w:rPr>
          <w:rFonts w:hint="eastAsia"/>
        </w:rPr>
        <w:t xml:space="preserve"> </w:t>
      </w:r>
      <w:r w:rsidRPr="00BC31E0">
        <w:rPr>
          <w:rFonts w:ascii="ＭＳ ゴシック" w:eastAsia="ＭＳ ゴシック" w:hint="eastAsia"/>
          <w:b/>
          <w:bCs/>
        </w:rPr>
        <w:t>ASME Boiler &amp; Pressure Vessel Code Section VIII Division 3</w:t>
      </w:r>
      <w:r w:rsidRPr="00BC31E0">
        <w:rPr>
          <w:rFonts w:ascii="ＭＳ ゴシック" w:eastAsia="ＭＳ ゴシック"/>
          <w:b/>
          <w:bCs/>
        </w:rPr>
        <w:t xml:space="preserve"> </w:t>
      </w:r>
      <w:r w:rsidRPr="00BC31E0">
        <w:rPr>
          <w:rFonts w:hint="eastAsia"/>
        </w:rPr>
        <w:t>(</w:t>
      </w:r>
      <w:r w:rsidRPr="00BC31E0">
        <w:rPr>
          <w:rFonts w:hint="eastAsia"/>
        </w:rPr>
        <w:t>以下</w:t>
      </w:r>
      <w:r w:rsidR="005A0F51" w:rsidRPr="00BC31E0">
        <w:rPr>
          <w:rFonts w:hint="eastAsia"/>
        </w:rPr>
        <w:t>，</w:t>
      </w:r>
      <w:r w:rsidRPr="00BC31E0">
        <w:rPr>
          <w:rFonts w:ascii="ＭＳ ゴシック" w:eastAsia="ＭＳ ゴシック" w:hint="eastAsia"/>
          <w:b/>
          <w:bCs/>
        </w:rPr>
        <w:t>ASME Sec.VIII Div.3</w:t>
      </w:r>
      <w:r w:rsidRPr="00BC31E0">
        <w:rPr>
          <w:rFonts w:hint="eastAsia"/>
        </w:rPr>
        <w:t>と</w:t>
      </w:r>
      <w:r w:rsidR="004C2572" w:rsidRPr="00BC31E0">
        <w:rPr>
          <w:rFonts w:hint="eastAsia"/>
        </w:rPr>
        <w:t>表記</w:t>
      </w:r>
      <w:r w:rsidRPr="00BC31E0">
        <w:rPr>
          <w:rFonts w:hint="eastAsia"/>
        </w:rPr>
        <w:t>)</w:t>
      </w:r>
      <w:r w:rsidRPr="00BC31E0">
        <w:rPr>
          <w:rFonts w:hint="eastAsia"/>
        </w:rPr>
        <w:t>が発行された。日本においても，日本高圧力技術協会</w:t>
      </w:r>
      <w:r w:rsidRPr="00BC31E0">
        <w:rPr>
          <w:rFonts w:hint="eastAsia"/>
        </w:rPr>
        <w:t xml:space="preserve"> </w:t>
      </w:r>
      <w:r w:rsidRPr="00BC31E0">
        <w:rPr>
          <w:rFonts w:hint="eastAsia"/>
        </w:rPr>
        <w:t>圧力容器規格委員会</w:t>
      </w:r>
      <w:r w:rsidRPr="00BC31E0">
        <w:rPr>
          <w:rFonts w:hint="eastAsia"/>
        </w:rPr>
        <w:t xml:space="preserve"> </w:t>
      </w:r>
      <w:r w:rsidRPr="00BC31E0">
        <w:rPr>
          <w:rFonts w:hint="eastAsia"/>
        </w:rPr>
        <w:t>高圧容器規格分科会を</w:t>
      </w:r>
      <w:r w:rsidRPr="00BC31E0">
        <w:rPr>
          <w:rFonts w:hint="eastAsia"/>
        </w:rPr>
        <w:t>1997</w:t>
      </w:r>
      <w:r w:rsidRPr="00BC31E0">
        <w:rPr>
          <w:rFonts w:hint="eastAsia"/>
        </w:rPr>
        <w:t>年</w:t>
      </w:r>
      <w:r w:rsidRPr="00BC31E0">
        <w:rPr>
          <w:rFonts w:hint="eastAsia"/>
        </w:rPr>
        <w:t>10</w:t>
      </w:r>
      <w:r w:rsidRPr="00BC31E0">
        <w:rPr>
          <w:rFonts w:hint="eastAsia"/>
        </w:rPr>
        <w:t>月より立ち上げ，</w:t>
      </w:r>
      <w:r w:rsidRPr="00BC31E0">
        <w:rPr>
          <w:rFonts w:ascii="ＭＳ ゴシック" w:eastAsia="ＭＳ ゴシック" w:hint="eastAsia"/>
          <w:b/>
          <w:bCs/>
        </w:rPr>
        <w:t>ASME Sec.VIII Div.3</w:t>
      </w:r>
      <w:r w:rsidR="00F95501" w:rsidRPr="00BC31E0">
        <w:rPr>
          <w:rFonts w:hint="eastAsia"/>
        </w:rPr>
        <w:t>のバックグラウンドの調査など</w:t>
      </w:r>
      <w:r w:rsidRPr="00BC31E0">
        <w:rPr>
          <w:rFonts w:hint="eastAsia"/>
        </w:rPr>
        <w:t>を行いながら</w:t>
      </w:r>
      <w:r w:rsidR="001F1F00" w:rsidRPr="00BC31E0">
        <w:rPr>
          <w:rFonts w:hint="eastAsia"/>
        </w:rPr>
        <w:t>，</w:t>
      </w:r>
      <w:r w:rsidRPr="00BC31E0">
        <w:rPr>
          <w:rFonts w:hint="eastAsia"/>
        </w:rPr>
        <w:t>2005</w:t>
      </w:r>
      <w:r w:rsidRPr="00BC31E0">
        <w:rPr>
          <w:rFonts w:hint="eastAsia"/>
        </w:rPr>
        <w:t>年に同様の規格を発行した。これまでに</w:t>
      </w:r>
      <w:r w:rsidRPr="00BC31E0">
        <w:rPr>
          <w:rFonts w:ascii="ＭＳ ゴシック" w:eastAsia="ＭＳ ゴシック" w:hint="eastAsia"/>
          <w:b/>
          <w:bCs/>
        </w:rPr>
        <w:t>ASME Sec.VIII Div.3</w:t>
      </w:r>
      <w:r w:rsidRPr="00BC31E0">
        <w:rPr>
          <w:rFonts w:hint="eastAsia"/>
        </w:rPr>
        <w:t>の改正を担当している</w:t>
      </w:r>
      <w:r w:rsidRPr="00BC31E0">
        <w:rPr>
          <w:rFonts w:hint="eastAsia"/>
        </w:rPr>
        <w:t>Sub Group on High Pressure Vessel Committee</w:t>
      </w:r>
      <w:r w:rsidRPr="00BC31E0">
        <w:rPr>
          <w:rFonts w:hint="eastAsia"/>
        </w:rPr>
        <w:t>の</w:t>
      </w:r>
      <w:r w:rsidRPr="00BC31E0">
        <w:rPr>
          <w:rFonts w:hint="eastAsia"/>
        </w:rPr>
        <w:t>Member</w:t>
      </w:r>
      <w:r w:rsidRPr="00BC31E0">
        <w:rPr>
          <w:rFonts w:hint="eastAsia"/>
        </w:rPr>
        <w:t>に</w:t>
      </w:r>
      <w:r w:rsidRPr="00BC31E0">
        <w:rPr>
          <w:rFonts w:ascii="ＭＳ ゴシック" w:eastAsia="ＭＳ ゴシック" w:hint="eastAsia"/>
          <w:b/>
          <w:bCs/>
        </w:rPr>
        <w:t>ASME</w:t>
      </w:r>
      <w:r w:rsidRPr="00BC31E0">
        <w:rPr>
          <w:rFonts w:hint="eastAsia"/>
        </w:rPr>
        <w:t>より</w:t>
      </w:r>
      <w:r w:rsidR="001F1F00" w:rsidRPr="00BC31E0">
        <w:rPr>
          <w:rFonts w:hint="eastAsia"/>
        </w:rPr>
        <w:t>嘱託</w:t>
      </w:r>
      <w:r w:rsidRPr="00BC31E0">
        <w:rPr>
          <w:rFonts w:hint="eastAsia"/>
        </w:rPr>
        <w:t>され，当分科会からもいくつかの改正提案を行い，</w:t>
      </w:r>
      <w:r w:rsidRPr="00BC31E0">
        <w:rPr>
          <w:rFonts w:ascii="ＭＳ ゴシック" w:eastAsia="ＭＳ ゴシック" w:hint="eastAsia"/>
          <w:b/>
          <w:bCs/>
        </w:rPr>
        <w:t xml:space="preserve">ASME Sec.VIII Div.3 </w:t>
      </w:r>
      <w:r w:rsidRPr="00BC31E0">
        <w:rPr>
          <w:rFonts w:ascii="ＭＳ 明朝" w:hAnsi="ＭＳ 明朝" w:hint="eastAsia"/>
          <w:bCs/>
        </w:rPr>
        <w:t>改正版</w:t>
      </w:r>
      <w:r w:rsidRPr="00BC31E0">
        <w:rPr>
          <w:rFonts w:hint="eastAsia"/>
        </w:rPr>
        <w:t>として正式に発行されている。この規格は</w:t>
      </w:r>
      <w:r w:rsidRPr="00BC31E0">
        <w:rPr>
          <w:rFonts w:hint="eastAsia"/>
        </w:rPr>
        <w:t>2005</w:t>
      </w:r>
      <w:r w:rsidRPr="00BC31E0">
        <w:rPr>
          <w:rFonts w:hint="eastAsia"/>
        </w:rPr>
        <w:t>年に初版，</w:t>
      </w:r>
      <w:r w:rsidRPr="00BC31E0">
        <w:rPr>
          <w:rFonts w:hint="eastAsia"/>
        </w:rPr>
        <w:t>2</w:t>
      </w:r>
      <w:r w:rsidRPr="00BC31E0">
        <w:t>013</w:t>
      </w:r>
      <w:r w:rsidRPr="00BC31E0">
        <w:rPr>
          <w:rFonts w:hint="eastAsia"/>
        </w:rPr>
        <w:t>年に第</w:t>
      </w:r>
      <w:r w:rsidRPr="00BC31E0">
        <w:rPr>
          <w:rFonts w:hint="eastAsia"/>
        </w:rPr>
        <w:t>2</w:t>
      </w:r>
      <w:r w:rsidRPr="00BC31E0">
        <w:rPr>
          <w:rFonts w:hint="eastAsia"/>
        </w:rPr>
        <w:t>版を発行した。その後</w:t>
      </w:r>
      <w:r w:rsidRPr="00BC31E0">
        <w:rPr>
          <w:rFonts w:ascii="ＭＳ ゴシック" w:eastAsia="ＭＳ ゴシック" w:hint="eastAsia"/>
          <w:b/>
          <w:bCs/>
        </w:rPr>
        <w:t>ASME Sec.VIII Div.3</w:t>
      </w:r>
      <w:r w:rsidRPr="00BC31E0">
        <w:rPr>
          <w:rFonts w:hint="eastAsia"/>
        </w:rPr>
        <w:t>も</w:t>
      </w:r>
      <w:r w:rsidRPr="00BC31E0">
        <w:rPr>
          <w:rFonts w:hint="eastAsia"/>
        </w:rPr>
        <w:t>2</w:t>
      </w:r>
      <w:r w:rsidR="00A82C2A" w:rsidRPr="00BC31E0">
        <w:rPr>
          <w:rFonts w:hint="eastAsia"/>
        </w:rPr>
        <w:t>年ごと</w:t>
      </w:r>
      <w:r w:rsidRPr="00BC31E0">
        <w:rPr>
          <w:rFonts w:hint="eastAsia"/>
        </w:rPr>
        <w:t>に改正されており，その内</w:t>
      </w:r>
      <w:r w:rsidRPr="00BC31E0">
        <w:rPr>
          <w:rFonts w:hint="eastAsia"/>
          <w:bCs/>
        </w:rPr>
        <w:t>容も含めて</w:t>
      </w:r>
      <w:r w:rsidRPr="00BC31E0">
        <w:rPr>
          <w:rFonts w:hint="eastAsia"/>
          <w:bCs/>
        </w:rPr>
        <w:t>202</w:t>
      </w:r>
      <w:r w:rsidR="001F1F00" w:rsidRPr="00BC31E0">
        <w:rPr>
          <w:rFonts w:hint="eastAsia"/>
          <w:bCs/>
        </w:rPr>
        <w:t>3</w:t>
      </w:r>
      <w:r w:rsidRPr="00BC31E0">
        <w:rPr>
          <w:rFonts w:hint="eastAsia"/>
          <w:bCs/>
        </w:rPr>
        <w:t>年に第</w:t>
      </w:r>
      <w:r w:rsidRPr="00BC31E0">
        <w:rPr>
          <w:rFonts w:hint="eastAsia"/>
          <w:bCs/>
        </w:rPr>
        <w:t>3</w:t>
      </w:r>
      <w:r w:rsidRPr="00BC31E0">
        <w:rPr>
          <w:rFonts w:hint="eastAsia"/>
          <w:bCs/>
        </w:rPr>
        <w:t>版を発行した。</w:t>
      </w:r>
    </w:p>
    <w:p w14:paraId="78431D71" w14:textId="77777777" w:rsidR="001A6985" w:rsidRPr="00BC31E0" w:rsidRDefault="001A6985" w:rsidP="00AA511A">
      <w:pPr>
        <w:pStyle w:val="15"/>
        <w:ind w:firstLine="210"/>
      </w:pPr>
      <w:r w:rsidRPr="00BC31E0">
        <w:rPr>
          <w:rFonts w:hint="eastAsia"/>
        </w:rPr>
        <w:t>この規格は</w:t>
      </w:r>
      <w:r w:rsidRPr="00BC31E0">
        <w:rPr>
          <w:rFonts w:ascii="ＭＳ ゴシック" w:eastAsia="ＭＳ ゴシック" w:hAnsi="ＭＳ ゴシック" w:hint="eastAsia"/>
          <w:b/>
          <w:bCs/>
        </w:rPr>
        <w:t>ASME Sec.VIII Div.3 20</w:t>
      </w:r>
      <w:r w:rsidR="00DB5825" w:rsidRPr="00BC31E0">
        <w:rPr>
          <w:rFonts w:ascii="ＭＳ ゴシック" w:eastAsia="ＭＳ ゴシック" w:hAnsi="ＭＳ ゴシック"/>
          <w:b/>
          <w:bCs/>
        </w:rPr>
        <w:t>21</w:t>
      </w:r>
      <w:r w:rsidRPr="00BC31E0">
        <w:rPr>
          <w:rFonts w:ascii="ＭＳ ゴシック" w:eastAsia="ＭＳ ゴシック" w:hAnsi="ＭＳ ゴシック" w:hint="eastAsia"/>
          <w:b/>
          <w:bCs/>
        </w:rPr>
        <w:t>年版</w:t>
      </w:r>
      <w:r w:rsidRPr="00BC31E0">
        <w:rPr>
          <w:rFonts w:hint="eastAsia"/>
        </w:rPr>
        <w:t>をベースとしているが，大きく異なっているのは次の</w:t>
      </w:r>
      <w:r w:rsidRPr="00BC31E0">
        <w:rPr>
          <w:rFonts w:hint="eastAsia"/>
        </w:rPr>
        <w:t>2</w:t>
      </w:r>
      <w:r w:rsidRPr="00BC31E0">
        <w:rPr>
          <w:rFonts w:hint="eastAsia"/>
        </w:rPr>
        <w:t>点である。</w:t>
      </w:r>
    </w:p>
    <w:p w14:paraId="41CD605A" w14:textId="77777777" w:rsidR="00816EDF" w:rsidRPr="00BC31E0" w:rsidRDefault="001A6985" w:rsidP="00816EDF">
      <w:pPr>
        <w:pStyle w:val="a4"/>
        <w:numPr>
          <w:ilvl w:val="0"/>
          <w:numId w:val="647"/>
        </w:numPr>
        <w:ind w:leftChars="0" w:left="454" w:hanging="454"/>
      </w:pPr>
      <w:r w:rsidRPr="00BC31E0">
        <w:rPr>
          <w:rFonts w:ascii="ＭＳ 明朝" w:hAnsi="ＭＳ 明朝" w:hint="eastAsia"/>
        </w:rPr>
        <w:t>本体</w:t>
      </w:r>
      <w:r w:rsidRPr="00BC31E0">
        <w:rPr>
          <w:rFonts w:asciiTheme="majorEastAsia" w:eastAsiaTheme="majorEastAsia" w:hAnsiTheme="majorEastAsia" w:hint="eastAsia"/>
          <w:b/>
        </w:rPr>
        <w:t>6.3</w:t>
      </w:r>
      <w:r w:rsidRPr="00BC31E0">
        <w:rPr>
          <w:rFonts w:hint="eastAsia"/>
        </w:rPr>
        <w:t>の疲労評価については分科会で検討した結果，</w:t>
      </w:r>
      <w:r w:rsidRPr="00BC31E0">
        <w:rPr>
          <w:rFonts w:asciiTheme="majorEastAsia" w:eastAsiaTheme="majorEastAsia" w:hAnsiTheme="majorEastAsia" w:hint="eastAsia"/>
          <w:b/>
        </w:rPr>
        <w:t>ASME Sec.VIII Div.3</w:t>
      </w:r>
      <w:r w:rsidRPr="00BC31E0">
        <w:rPr>
          <w:rFonts w:hint="eastAsia"/>
        </w:rPr>
        <w:t>より高圧ガス保安協会の</w:t>
      </w:r>
      <w:r w:rsidRPr="00BC31E0">
        <w:rPr>
          <w:rFonts w:asciiTheme="majorEastAsia" w:eastAsiaTheme="majorEastAsia" w:hAnsiTheme="majorEastAsia" w:hint="eastAsia"/>
          <w:b/>
        </w:rPr>
        <w:t>KHKS 0220(2004) 超高圧ガス設備に関する基準</w:t>
      </w:r>
      <w:r w:rsidRPr="00BC31E0">
        <w:rPr>
          <w:rFonts w:hint="eastAsia"/>
        </w:rPr>
        <w:t>の評価手法を一部見直し，採用している。</w:t>
      </w:r>
    </w:p>
    <w:p w14:paraId="7EF63089" w14:textId="77777777" w:rsidR="001A6985" w:rsidRPr="00BC31E0" w:rsidRDefault="001A6985" w:rsidP="00816EDF">
      <w:pPr>
        <w:pStyle w:val="a4"/>
        <w:numPr>
          <w:ilvl w:val="0"/>
          <w:numId w:val="647"/>
        </w:numPr>
        <w:ind w:leftChars="0" w:left="454" w:hanging="454"/>
      </w:pPr>
      <w:r w:rsidRPr="00BC31E0">
        <w:rPr>
          <w:rFonts w:hint="eastAsia"/>
        </w:rPr>
        <w:t>適用材料については</w:t>
      </w:r>
      <w:r w:rsidRPr="00BC31E0">
        <w:rPr>
          <w:rFonts w:ascii="ＭＳ ゴシック" w:eastAsia="ＭＳ ゴシック" w:hint="eastAsia"/>
          <w:b/>
          <w:bCs/>
        </w:rPr>
        <w:t>ASME Sec.VIII Div.3</w:t>
      </w:r>
      <w:r w:rsidRPr="00BC31E0">
        <w:rPr>
          <w:rFonts w:hint="eastAsia"/>
        </w:rPr>
        <w:t>で認められている材料に加えて，</w:t>
      </w:r>
      <w:r w:rsidRPr="00BC31E0">
        <w:rPr>
          <w:rFonts w:ascii="ＭＳ ゴシック" w:eastAsia="ＭＳ ゴシック" w:hint="eastAsia"/>
          <w:b/>
        </w:rPr>
        <w:t>JIS</w:t>
      </w:r>
      <w:r w:rsidRPr="00BC31E0">
        <w:rPr>
          <w:rFonts w:hint="eastAsia"/>
        </w:rPr>
        <w:t>材料や</w:t>
      </w:r>
      <w:r w:rsidRPr="00BC31E0">
        <w:rPr>
          <w:rFonts w:ascii="ＭＳ ゴシック" w:eastAsia="ＭＳ ゴシック" w:hint="eastAsia"/>
          <w:b/>
        </w:rPr>
        <w:t>ASME Sec.VIII Div.2</w:t>
      </w:r>
      <w:r w:rsidRPr="00BC31E0">
        <w:rPr>
          <w:rFonts w:hint="eastAsia"/>
        </w:rPr>
        <w:t>で認められている材料も適用可能とした。</w:t>
      </w:r>
    </w:p>
    <w:p w14:paraId="45B101CA" w14:textId="77777777" w:rsidR="00ED1CDF" w:rsidRPr="00BC31E0" w:rsidRDefault="00ED1CDF" w:rsidP="007132C0">
      <w:pPr>
        <w:pStyle w:val="15"/>
        <w:ind w:firstLine="211"/>
      </w:pPr>
      <w:r w:rsidRPr="00BC31E0">
        <w:rPr>
          <w:rFonts w:ascii="ＭＳ ゴシック" w:eastAsia="ＭＳ ゴシック" w:hint="eastAsia"/>
          <w:b/>
          <w:bCs/>
        </w:rPr>
        <w:t>ASME Sec.VIII Div.3 20</w:t>
      </w:r>
      <w:r w:rsidRPr="00BC31E0">
        <w:rPr>
          <w:rFonts w:ascii="ＭＳ ゴシック" w:eastAsia="ＭＳ ゴシック"/>
          <w:b/>
          <w:bCs/>
        </w:rPr>
        <w:t>21</w:t>
      </w:r>
      <w:r w:rsidRPr="00BC31E0">
        <w:rPr>
          <w:rFonts w:ascii="ＭＳ ゴシック" w:eastAsia="ＭＳ ゴシック" w:hint="eastAsia"/>
          <w:b/>
          <w:bCs/>
        </w:rPr>
        <w:t>年版</w:t>
      </w:r>
      <w:r w:rsidRPr="00BC31E0">
        <w:rPr>
          <w:rFonts w:hint="eastAsia"/>
        </w:rPr>
        <w:t>では，当分科会から提案した弾性解析の評価応力をトレスカ理論による応力強さからミーゼス理論による相当応力への変更</w:t>
      </w:r>
      <w:r w:rsidR="00C06574" w:rsidRPr="00BC31E0">
        <w:rPr>
          <w:rFonts w:hint="eastAsia"/>
        </w:rPr>
        <w:t>が採用され，この変更も</w:t>
      </w:r>
      <w:r w:rsidRPr="00BC31E0">
        <w:rPr>
          <w:rFonts w:hint="eastAsia"/>
          <w:bCs/>
        </w:rPr>
        <w:t>今回の改正に含めた。</w:t>
      </w:r>
    </w:p>
    <w:p w14:paraId="329E6C57" w14:textId="77777777" w:rsidR="001A6985" w:rsidRPr="00BC31E0" w:rsidRDefault="001A6985" w:rsidP="00AA511A">
      <w:pPr>
        <w:pStyle w:val="15"/>
        <w:ind w:firstLine="210"/>
      </w:pPr>
      <w:r w:rsidRPr="00BC31E0">
        <w:rPr>
          <w:rFonts w:hint="eastAsia"/>
        </w:rPr>
        <w:t>この規格は円筒状圧力容器胴体部の肉厚と構造を決定する方法を示した</w:t>
      </w:r>
      <w:r w:rsidRPr="00BC31E0">
        <w:rPr>
          <w:rFonts w:ascii="ＭＳ ゴシック" w:eastAsia="ＭＳ ゴシック" w:hint="eastAsia"/>
          <w:b/>
          <w:bCs/>
        </w:rPr>
        <w:t>HPIS C-103-1989 超高圧容器の設計指針</w:t>
      </w:r>
      <w:r w:rsidRPr="00BC31E0">
        <w:rPr>
          <w:bCs/>
        </w:rPr>
        <w:t>(</w:t>
      </w:r>
      <w:r w:rsidRPr="00BC31E0">
        <w:rPr>
          <w:rFonts w:ascii="ＭＳ 明朝" w:hint="eastAsia"/>
          <w:bCs/>
        </w:rPr>
        <w:t>この</w:t>
      </w:r>
      <w:r w:rsidRPr="00BC31E0">
        <w:rPr>
          <w:rFonts w:ascii="ＭＳ ゴシック" w:hAnsi="ＭＳ ゴシック" w:hint="eastAsia"/>
          <w:b/>
          <w:bCs/>
        </w:rPr>
        <w:t>HPIS</w:t>
      </w:r>
      <w:r w:rsidRPr="00BC31E0">
        <w:rPr>
          <w:rFonts w:ascii="ＭＳ 明朝" w:hint="eastAsia"/>
          <w:bCs/>
        </w:rPr>
        <w:t>は</w:t>
      </w:r>
      <w:r w:rsidRPr="00BC31E0">
        <w:rPr>
          <w:rFonts w:hint="eastAsia"/>
          <w:bCs/>
        </w:rPr>
        <w:t>2009</w:t>
      </w:r>
      <w:r w:rsidRPr="00BC31E0">
        <w:rPr>
          <w:rFonts w:ascii="ＭＳ 明朝" w:hint="eastAsia"/>
          <w:bCs/>
        </w:rPr>
        <w:t>年に廃番となった</w:t>
      </w:r>
      <w:r w:rsidRPr="00BC31E0">
        <w:rPr>
          <w:bCs/>
        </w:rPr>
        <w:t>)</w:t>
      </w:r>
      <w:r w:rsidRPr="00BC31E0">
        <w:rPr>
          <w:rFonts w:hint="eastAsia"/>
        </w:rPr>
        <w:t>とは異なり</w:t>
      </w:r>
      <w:r w:rsidR="00816EDF" w:rsidRPr="00BC31E0">
        <w:rPr>
          <w:rFonts w:hint="eastAsia"/>
        </w:rPr>
        <w:t>，</w:t>
      </w:r>
      <w:r w:rsidRPr="00BC31E0">
        <w:rPr>
          <w:rFonts w:ascii="ＭＳ ゴシック" w:eastAsia="ＭＳ ゴシック" w:hint="eastAsia"/>
          <w:b/>
          <w:bCs/>
        </w:rPr>
        <w:t>ASME Sec.VIII Div.3</w:t>
      </w:r>
      <w:r w:rsidRPr="00BC31E0">
        <w:rPr>
          <w:rFonts w:hint="eastAsia"/>
        </w:rPr>
        <w:t>をベースとした高圧容器の設計，製作，試験，検査を規定した。胴部の肉厚計算式も</w:t>
      </w:r>
      <w:r w:rsidRPr="00BC31E0">
        <w:rPr>
          <w:rFonts w:ascii="ＭＳ ゴシック" w:eastAsia="ＭＳ ゴシック" w:hint="eastAsia"/>
          <w:b/>
          <w:bCs/>
        </w:rPr>
        <w:t>HPIS C-103-1989</w:t>
      </w:r>
      <w:r w:rsidRPr="00BC31E0">
        <w:rPr>
          <w:rFonts w:hint="eastAsia"/>
        </w:rPr>
        <w:t>は</w:t>
      </w:r>
      <w:r w:rsidRPr="00BC31E0">
        <w:rPr>
          <w:rFonts w:hint="eastAsia"/>
        </w:rPr>
        <w:t>Faupel</w:t>
      </w:r>
      <w:r w:rsidRPr="00BC31E0">
        <w:rPr>
          <w:rFonts w:hint="eastAsia"/>
        </w:rPr>
        <w:t>の破壊圧力に対して安全係数</w:t>
      </w:r>
      <w:r w:rsidRPr="00BC31E0">
        <w:rPr>
          <w:rFonts w:hint="eastAsia"/>
        </w:rPr>
        <w:t>2.5</w:t>
      </w:r>
      <w:r w:rsidRPr="00BC31E0">
        <w:rPr>
          <w:rFonts w:hint="eastAsia"/>
        </w:rPr>
        <w:t>であるが，この規格では流動応力の破裂圧力に対して安全係数</w:t>
      </w:r>
      <w:r w:rsidRPr="00BC31E0">
        <w:rPr>
          <w:rFonts w:hint="eastAsia"/>
        </w:rPr>
        <w:t>1.732</w:t>
      </w:r>
      <w:r w:rsidRPr="00BC31E0">
        <w:rPr>
          <w:rFonts w:hint="eastAsia"/>
        </w:rPr>
        <w:t>の違いがあり，全ての材料に対してこの規格の方が肉厚は薄くなる。</w:t>
      </w:r>
    </w:p>
    <w:p w14:paraId="02AF03CD" w14:textId="77777777" w:rsidR="002858C8" w:rsidRPr="00BC31E0" w:rsidRDefault="002858C8" w:rsidP="00AA511A">
      <w:pPr>
        <w:pStyle w:val="1f0"/>
        <w:ind w:firstLineChars="100" w:firstLine="241"/>
        <w:jc w:val="both"/>
      </w:pPr>
    </w:p>
    <w:p w14:paraId="0F3179CF" w14:textId="77777777" w:rsidR="004F2CFD" w:rsidRPr="00BC31E0" w:rsidRDefault="004F2CFD" w:rsidP="00AA511A">
      <w:bookmarkStart w:id="3" w:name="_Toc357672074"/>
      <w:bookmarkStart w:id="4" w:name="_Toc284409060"/>
      <w:bookmarkStart w:id="5" w:name="_Toc221619070"/>
      <w:bookmarkStart w:id="6" w:name="_Toc224723463"/>
      <w:r w:rsidRPr="00BC31E0">
        <w:br w:type="page"/>
      </w:r>
    </w:p>
    <w:p w14:paraId="781AC5BA" w14:textId="77777777" w:rsidR="002858C8" w:rsidRPr="00BC31E0" w:rsidRDefault="002858C8" w:rsidP="00007314">
      <w:pPr>
        <w:pStyle w:val="10"/>
        <w:ind w:left="340" w:hanging="340"/>
      </w:pPr>
      <w:bookmarkStart w:id="7" w:name="_Toc120092507"/>
      <w:r w:rsidRPr="00BC31E0">
        <w:rPr>
          <w:rFonts w:hint="eastAsia"/>
        </w:rPr>
        <w:lastRenderedPageBreak/>
        <w:t>一般要求</w:t>
      </w:r>
      <w:bookmarkEnd w:id="3"/>
      <w:bookmarkEnd w:id="7"/>
    </w:p>
    <w:p w14:paraId="36206503" w14:textId="77777777" w:rsidR="002858C8" w:rsidRPr="00BC31E0" w:rsidRDefault="002858C8" w:rsidP="00007314">
      <w:pPr>
        <w:pStyle w:val="20"/>
        <w:tabs>
          <w:tab w:val="clear" w:pos="284"/>
        </w:tabs>
        <w:ind w:left="567" w:hanging="567"/>
      </w:pPr>
      <w:bookmarkStart w:id="8" w:name="_Toc357672075"/>
      <w:bookmarkStart w:id="9" w:name="_Toc120092508"/>
      <w:r w:rsidRPr="00BC31E0">
        <w:rPr>
          <w:rFonts w:hint="eastAsia"/>
        </w:rPr>
        <w:t>適用範囲</w:t>
      </w:r>
      <w:bookmarkEnd w:id="8"/>
      <w:bookmarkEnd w:id="9"/>
    </w:p>
    <w:p w14:paraId="13CFE20F" w14:textId="77777777" w:rsidR="002858C8" w:rsidRPr="00BC31E0" w:rsidRDefault="002858C8" w:rsidP="00007314">
      <w:pPr>
        <w:pStyle w:val="3"/>
        <w:tabs>
          <w:tab w:val="clear" w:pos="284"/>
        </w:tabs>
        <w:ind w:left="794" w:hanging="794"/>
      </w:pPr>
      <w:r w:rsidRPr="00BC31E0">
        <w:rPr>
          <w:rFonts w:hint="eastAsia"/>
        </w:rPr>
        <w:t>適用する圧力容器</w:t>
      </w:r>
    </w:p>
    <w:p w14:paraId="2920153E" w14:textId="77777777" w:rsidR="002858C8" w:rsidRPr="00BC31E0" w:rsidRDefault="002858C8" w:rsidP="006945E6">
      <w:pPr>
        <w:pStyle w:val="1110"/>
        <w:ind w:firstLine="210"/>
      </w:pPr>
      <w:r w:rsidRPr="00BC31E0">
        <w:rPr>
          <w:rFonts w:hint="eastAsia"/>
        </w:rPr>
        <w:t>この規格は</w:t>
      </w:r>
      <w:r w:rsidR="00850407" w:rsidRPr="00BC31E0">
        <w:rPr>
          <w:rFonts w:hint="eastAsia"/>
        </w:rPr>
        <w:t>，</w:t>
      </w:r>
      <w:r w:rsidRPr="00BC31E0">
        <w:rPr>
          <w:rFonts w:hint="eastAsia"/>
        </w:rPr>
        <w:t>設計温度が</w:t>
      </w:r>
      <w:r w:rsidR="00850407" w:rsidRPr="00BC31E0">
        <w:rPr>
          <w:rFonts w:hint="eastAsia"/>
        </w:rPr>
        <w:t>原則として</w:t>
      </w:r>
      <w:r w:rsidRPr="00BC31E0">
        <w:rPr>
          <w:rFonts w:hint="eastAsia"/>
        </w:rPr>
        <w:t>材料のクリープ温度未満で，一般に設計圧力が</w:t>
      </w:r>
      <w:r w:rsidRPr="00BC31E0">
        <w:t>70 MPa</w:t>
      </w:r>
      <w:r w:rsidRPr="00BC31E0">
        <w:rPr>
          <w:rFonts w:hint="eastAsia"/>
        </w:rPr>
        <w:t>を超える圧力を保有する容器の設計，製作，試験，検査及び過圧防止に適用する。ただし，直火を受ける圧力容器は含まない。また，設計圧力が</w:t>
      </w:r>
      <w:r w:rsidRPr="00BC31E0">
        <w:t>70 MPa</w:t>
      </w:r>
      <w:r w:rsidRPr="00BC31E0">
        <w:rPr>
          <w:rFonts w:hint="eastAsia"/>
        </w:rPr>
        <w:t>以下の圧力容器に対しても適用を制限</w:t>
      </w:r>
      <w:r w:rsidR="00637649" w:rsidRPr="00BC31E0">
        <w:rPr>
          <w:rFonts w:hint="eastAsia"/>
        </w:rPr>
        <w:t>し</w:t>
      </w:r>
      <w:r w:rsidRPr="00BC31E0">
        <w:rPr>
          <w:rFonts w:hint="eastAsia"/>
        </w:rPr>
        <w:t>ない。圧力の発生源は次の</w:t>
      </w:r>
      <w:r w:rsidR="00BE2641" w:rsidRPr="00BC31E0">
        <w:rPr>
          <w:rFonts w:asciiTheme="majorEastAsia" w:eastAsiaTheme="majorEastAsia" w:hAnsiTheme="majorEastAsia" w:hint="eastAsia"/>
          <w:b/>
        </w:rPr>
        <w:t>a)</w:t>
      </w:r>
      <w:r w:rsidR="00BE2641" w:rsidRPr="00BC31E0">
        <w:rPr>
          <w:rFonts w:hint="eastAsia"/>
        </w:rPr>
        <w:t>～</w:t>
      </w:r>
      <w:r w:rsidR="00BE2641" w:rsidRPr="00BC31E0">
        <w:rPr>
          <w:rFonts w:asciiTheme="majorEastAsia" w:eastAsiaTheme="majorEastAsia" w:hAnsiTheme="majorEastAsia" w:hint="eastAsia"/>
          <w:b/>
        </w:rPr>
        <w:t>d)</w:t>
      </w:r>
      <w:r w:rsidRPr="00BC31E0">
        <w:rPr>
          <w:rFonts w:hint="eastAsia"/>
        </w:rPr>
        <w:t>とする。</w:t>
      </w:r>
    </w:p>
    <w:p w14:paraId="4EDBC36A" w14:textId="77777777" w:rsidR="002858C8" w:rsidRPr="00BC31E0" w:rsidRDefault="002858C8" w:rsidP="00736130">
      <w:pPr>
        <w:pStyle w:val="a4"/>
        <w:numPr>
          <w:ilvl w:val="0"/>
          <w:numId w:val="425"/>
        </w:numPr>
        <w:ind w:leftChars="0" w:left="454" w:hanging="454"/>
      </w:pPr>
      <w:r w:rsidRPr="00BC31E0">
        <w:rPr>
          <w:rFonts w:hint="eastAsia"/>
        </w:rPr>
        <w:t>外部機器からの圧力</w:t>
      </w:r>
    </w:p>
    <w:p w14:paraId="5FE495D1" w14:textId="77777777" w:rsidR="002858C8" w:rsidRPr="00BC31E0" w:rsidRDefault="002858C8" w:rsidP="00736130">
      <w:pPr>
        <w:pStyle w:val="a4"/>
        <w:numPr>
          <w:ilvl w:val="0"/>
          <w:numId w:val="425"/>
        </w:numPr>
        <w:ind w:leftChars="0" w:left="454" w:hanging="454"/>
      </w:pPr>
      <w:r w:rsidRPr="00BC31E0">
        <w:rPr>
          <w:rFonts w:hint="eastAsia"/>
        </w:rPr>
        <w:t>直接加熱</w:t>
      </w:r>
      <w:r w:rsidR="00FD1FC2" w:rsidRPr="00BC31E0">
        <w:rPr>
          <w:rFonts w:hint="eastAsia"/>
        </w:rPr>
        <w:t>／</w:t>
      </w:r>
      <w:r w:rsidRPr="00BC31E0">
        <w:rPr>
          <w:rFonts w:hint="eastAsia"/>
        </w:rPr>
        <w:t>間接加熱によって発生する圧力</w:t>
      </w:r>
    </w:p>
    <w:p w14:paraId="5F546ABC" w14:textId="77777777" w:rsidR="002858C8" w:rsidRPr="00BC31E0" w:rsidRDefault="002858C8" w:rsidP="00736130">
      <w:pPr>
        <w:pStyle w:val="a4"/>
        <w:numPr>
          <w:ilvl w:val="0"/>
          <w:numId w:val="425"/>
        </w:numPr>
        <w:ind w:leftChars="0" w:left="454" w:hanging="454"/>
      </w:pPr>
      <w:r w:rsidRPr="00BC31E0">
        <w:rPr>
          <w:rFonts w:hint="eastAsia"/>
        </w:rPr>
        <w:t>反応熱によって発生する圧力</w:t>
      </w:r>
    </w:p>
    <w:p w14:paraId="448F9925" w14:textId="77777777" w:rsidR="002858C8" w:rsidRPr="00BC31E0" w:rsidRDefault="002858C8" w:rsidP="00736130">
      <w:pPr>
        <w:pStyle w:val="a4"/>
        <w:numPr>
          <w:ilvl w:val="0"/>
          <w:numId w:val="425"/>
        </w:numPr>
        <w:ind w:leftChars="0" w:left="454" w:hanging="454"/>
      </w:pPr>
      <w:r w:rsidRPr="00BC31E0">
        <w:rPr>
          <w:rFonts w:hint="eastAsia"/>
        </w:rPr>
        <w:t>上記</w:t>
      </w:r>
      <w:r w:rsidRPr="00BC31E0">
        <w:rPr>
          <w:rFonts w:asciiTheme="majorEastAsia" w:eastAsiaTheme="majorEastAsia" w:hAnsiTheme="majorEastAsia" w:hint="eastAsia"/>
          <w:b/>
        </w:rPr>
        <w:t>a)</w:t>
      </w:r>
      <w:r w:rsidRPr="00BC31E0">
        <w:rPr>
          <w:rFonts w:hint="eastAsia"/>
        </w:rPr>
        <w:t>，</w:t>
      </w:r>
      <w:r w:rsidRPr="00BC31E0">
        <w:rPr>
          <w:rFonts w:asciiTheme="majorEastAsia" w:eastAsiaTheme="majorEastAsia" w:hAnsiTheme="majorEastAsia" w:hint="eastAsia"/>
          <w:b/>
        </w:rPr>
        <w:t>b)</w:t>
      </w:r>
      <w:r w:rsidRPr="00BC31E0">
        <w:rPr>
          <w:rFonts w:hint="eastAsia"/>
        </w:rPr>
        <w:t>，</w:t>
      </w:r>
      <w:r w:rsidRPr="00BC31E0">
        <w:rPr>
          <w:rFonts w:asciiTheme="majorEastAsia" w:eastAsiaTheme="majorEastAsia" w:hAnsiTheme="majorEastAsia" w:hint="eastAsia"/>
          <w:b/>
        </w:rPr>
        <w:t>c)</w:t>
      </w:r>
      <w:r w:rsidRPr="00BC31E0">
        <w:rPr>
          <w:rFonts w:hint="eastAsia"/>
        </w:rPr>
        <w:t>の組合せ</w:t>
      </w:r>
    </w:p>
    <w:p w14:paraId="53F2FB07" w14:textId="77777777" w:rsidR="002858C8" w:rsidRPr="00BC31E0" w:rsidRDefault="002858C8" w:rsidP="006945E6">
      <w:pPr>
        <w:pStyle w:val="1110"/>
        <w:ind w:firstLine="211"/>
      </w:pPr>
      <w:r w:rsidRPr="00BC31E0">
        <w:rPr>
          <w:rFonts w:ascii="ＭＳ ゴシック" w:eastAsia="ＭＳ ゴシック" w:hAnsi="ＭＳ ゴシック" w:hint="eastAsia"/>
          <w:b/>
          <w:bCs/>
        </w:rPr>
        <w:t>1.2.1</w:t>
      </w:r>
      <w:r w:rsidRPr="00BC31E0">
        <w:rPr>
          <w:rFonts w:hint="eastAsia"/>
        </w:rPr>
        <w:t>で要求される使用者設計仕様書により，圧力容器の供用期間中の運転及び保守管理が維持できるようにしたうえで，固定された位置に据え付けられる圧力容器を対象とする。</w:t>
      </w:r>
    </w:p>
    <w:p w14:paraId="2B952C89" w14:textId="77777777" w:rsidR="002858C8" w:rsidRPr="00BC31E0" w:rsidRDefault="002858C8" w:rsidP="00007314">
      <w:pPr>
        <w:pStyle w:val="3"/>
        <w:tabs>
          <w:tab w:val="clear" w:pos="284"/>
        </w:tabs>
        <w:ind w:left="794" w:hanging="794"/>
      </w:pPr>
      <w:r w:rsidRPr="00BC31E0">
        <w:rPr>
          <w:rFonts w:hint="eastAsia"/>
        </w:rPr>
        <w:t>圧力容器とする範囲</w:t>
      </w:r>
    </w:p>
    <w:p w14:paraId="14DA5A51" w14:textId="77777777" w:rsidR="002858C8" w:rsidRPr="00BC31E0" w:rsidRDefault="002858C8" w:rsidP="006945E6">
      <w:pPr>
        <w:pStyle w:val="1110"/>
        <w:ind w:firstLine="210"/>
      </w:pPr>
      <w:r w:rsidRPr="00BC31E0">
        <w:rPr>
          <w:rFonts w:hint="eastAsia"/>
        </w:rPr>
        <w:t>圧力容器とする範囲は</w:t>
      </w:r>
      <w:r w:rsidRPr="00BC31E0">
        <w:rPr>
          <w:rFonts w:hint="eastAsia"/>
          <w:bCs/>
        </w:rPr>
        <w:t>，</w:t>
      </w:r>
      <w:r w:rsidRPr="00BC31E0">
        <w:rPr>
          <w:rFonts w:hint="eastAsia"/>
        </w:rPr>
        <w:t>圧力容器本体</w:t>
      </w:r>
      <w:r w:rsidRPr="00BC31E0">
        <w:rPr>
          <w:rFonts w:hint="eastAsia"/>
        </w:rPr>
        <w:t>(</w:t>
      </w:r>
      <w:r w:rsidRPr="00BC31E0">
        <w:rPr>
          <w:rFonts w:hint="eastAsia"/>
        </w:rPr>
        <w:t>胴，鏡板，これに直結するノズルなど</w:t>
      </w:r>
      <w:r w:rsidRPr="00BC31E0">
        <w:rPr>
          <w:rFonts w:hint="eastAsia"/>
        </w:rPr>
        <w:t>)</w:t>
      </w:r>
      <w:r w:rsidRPr="00BC31E0">
        <w:rPr>
          <w:rFonts w:hint="eastAsia"/>
        </w:rPr>
        <w:t>及び次の</w:t>
      </w:r>
      <w:r w:rsidRPr="00BC31E0">
        <w:rPr>
          <w:rFonts w:ascii="ＭＳ ゴシック" w:hAnsi="ＭＳ ゴシック" w:hint="eastAsia"/>
          <w:b/>
        </w:rPr>
        <w:t>a)</w:t>
      </w:r>
      <w:r w:rsidRPr="00BC31E0">
        <w:rPr>
          <w:rFonts w:hint="eastAsia"/>
        </w:rPr>
        <w:t>～</w:t>
      </w:r>
      <w:r w:rsidRPr="00BC31E0">
        <w:rPr>
          <w:rFonts w:ascii="ＭＳ ゴシック" w:hAnsi="ＭＳ ゴシック" w:hint="eastAsia"/>
          <w:b/>
        </w:rPr>
        <w:t>f)</w:t>
      </w:r>
      <w:r w:rsidRPr="00BC31E0">
        <w:rPr>
          <w:rFonts w:hint="eastAsia"/>
        </w:rPr>
        <w:t>の部分とする。</w:t>
      </w:r>
    </w:p>
    <w:p w14:paraId="17C78109" w14:textId="77777777" w:rsidR="002858C8" w:rsidRPr="00BC31E0" w:rsidRDefault="002858C8" w:rsidP="00007314">
      <w:pPr>
        <w:pStyle w:val="5"/>
        <w:tabs>
          <w:tab w:val="clear" w:pos="284"/>
          <w:tab w:val="clear" w:pos="454"/>
        </w:tabs>
        <w:ind w:left="454" w:hanging="454"/>
      </w:pPr>
      <w:r w:rsidRPr="00BC31E0">
        <w:rPr>
          <w:rFonts w:asciiTheme="majorEastAsia" w:eastAsiaTheme="majorEastAsia" w:hAnsiTheme="majorEastAsia" w:hint="eastAsia"/>
        </w:rPr>
        <w:t>外部配管とジャケット</w:t>
      </w:r>
      <w:r w:rsidRPr="00BC31E0">
        <w:rPr>
          <w:rFonts w:hint="eastAsia"/>
        </w:rPr>
        <w:t xml:space="preserve">　</w:t>
      </w:r>
      <w:r w:rsidRPr="00BC31E0">
        <w:rPr>
          <w:rFonts w:ascii="ＭＳ 明朝" w:eastAsia="ＭＳ 明朝" w:hAnsi="ＭＳ 明朝" w:hint="eastAsia"/>
          <w:b w:val="0"/>
          <w:bCs/>
        </w:rPr>
        <w:t>外部配管が圧力容器に接続される場合の範囲は，次の</w:t>
      </w:r>
      <w:r w:rsidRPr="00BC31E0">
        <w:rPr>
          <w:rFonts w:hAnsi="ＭＳ ゴシック" w:hint="eastAsia"/>
        </w:rPr>
        <w:t>1)</w:t>
      </w:r>
      <w:r w:rsidRPr="00BC31E0">
        <w:rPr>
          <w:rFonts w:ascii="ＭＳ 明朝" w:eastAsia="ＭＳ 明朝" w:hAnsi="ＭＳ 明朝" w:hint="eastAsia"/>
          <w:b w:val="0"/>
          <w:bCs/>
        </w:rPr>
        <w:t>～</w:t>
      </w:r>
      <w:r w:rsidRPr="00BC31E0">
        <w:rPr>
          <w:rFonts w:hAnsi="ＭＳ ゴシック" w:hint="eastAsia"/>
        </w:rPr>
        <w:t>5)</w:t>
      </w:r>
      <w:r w:rsidRPr="00BC31E0">
        <w:rPr>
          <w:rFonts w:ascii="ＭＳ 明朝" w:eastAsia="ＭＳ 明朝" w:hAnsi="ＭＳ 明朝" w:hint="eastAsia"/>
          <w:b w:val="0"/>
          <w:bCs/>
        </w:rPr>
        <w:t>とする。</w:t>
      </w:r>
    </w:p>
    <w:p w14:paraId="5BAE052B" w14:textId="77777777" w:rsidR="002858C8" w:rsidRPr="00BC31E0" w:rsidRDefault="002858C8" w:rsidP="00374786">
      <w:pPr>
        <w:pStyle w:val="6"/>
        <w:ind w:left="738" w:hanging="454"/>
        <w:rPr>
          <w:rFonts w:ascii="ＭＳ 明朝" w:eastAsia="ＭＳ 明朝" w:hAnsi="ＭＳ 明朝"/>
          <w:b w:val="0"/>
          <w:bCs w:val="0"/>
        </w:rPr>
      </w:pPr>
      <w:r w:rsidRPr="00BC31E0">
        <w:rPr>
          <w:rFonts w:ascii="ＭＳ 明朝" w:eastAsia="ＭＳ 明朝" w:hAnsi="ＭＳ 明朝" w:hint="eastAsia"/>
          <w:b w:val="0"/>
          <w:bCs w:val="0"/>
        </w:rPr>
        <w:t>ねじ継手に対しては，最初のねじ継手まで</w:t>
      </w:r>
    </w:p>
    <w:p w14:paraId="3E0926BA" w14:textId="77777777" w:rsidR="002858C8" w:rsidRPr="00BC31E0" w:rsidRDefault="002858C8" w:rsidP="00374786">
      <w:pPr>
        <w:pStyle w:val="6"/>
        <w:ind w:left="738" w:hanging="454"/>
        <w:rPr>
          <w:rFonts w:ascii="ＭＳ 明朝" w:eastAsia="ＭＳ 明朝" w:hAnsi="ＭＳ 明朝"/>
          <w:b w:val="0"/>
          <w:bCs w:val="0"/>
        </w:rPr>
      </w:pPr>
      <w:r w:rsidRPr="00BC31E0">
        <w:rPr>
          <w:rFonts w:ascii="ＭＳ 明朝" w:eastAsia="ＭＳ 明朝" w:hAnsi="ＭＳ 明朝" w:hint="eastAsia"/>
          <w:b w:val="0"/>
          <w:bCs w:val="0"/>
        </w:rPr>
        <w:t>ボルト締めフランジ継手に対しては，最初のフランジ継手まで</w:t>
      </w:r>
    </w:p>
    <w:p w14:paraId="001F7AD3" w14:textId="77777777" w:rsidR="002858C8" w:rsidRPr="00BC31E0" w:rsidRDefault="002858C8" w:rsidP="00374786">
      <w:pPr>
        <w:pStyle w:val="6"/>
        <w:ind w:left="738" w:hanging="454"/>
        <w:rPr>
          <w:rFonts w:ascii="ＭＳ 明朝" w:eastAsia="ＭＳ 明朝" w:hAnsi="ＭＳ 明朝"/>
          <w:b w:val="0"/>
          <w:bCs w:val="0"/>
        </w:rPr>
      </w:pPr>
      <w:r w:rsidRPr="00BC31E0">
        <w:rPr>
          <w:rFonts w:ascii="ＭＳ 明朝" w:eastAsia="ＭＳ 明朝" w:hAnsi="ＭＳ 明朝" w:hint="eastAsia"/>
          <w:b w:val="0"/>
          <w:bCs w:val="0"/>
        </w:rPr>
        <w:t>フィティング継手に対しては，最初のシール部表面まで</w:t>
      </w:r>
    </w:p>
    <w:p w14:paraId="52B7AE8B" w14:textId="77777777" w:rsidR="002858C8" w:rsidRPr="00BC31E0" w:rsidRDefault="002858C8" w:rsidP="00374786">
      <w:pPr>
        <w:pStyle w:val="6"/>
        <w:ind w:left="738" w:hanging="454"/>
        <w:rPr>
          <w:rFonts w:ascii="ＭＳ 明朝" w:eastAsia="ＭＳ 明朝" w:hAnsi="ＭＳ 明朝"/>
          <w:b w:val="0"/>
          <w:bCs w:val="0"/>
        </w:rPr>
      </w:pPr>
      <w:r w:rsidRPr="00BC31E0">
        <w:rPr>
          <w:rFonts w:ascii="ＭＳ 明朝" w:eastAsia="ＭＳ 明朝" w:hAnsi="ＭＳ 明朝" w:hint="eastAsia"/>
          <w:b w:val="0"/>
          <w:bCs w:val="0"/>
        </w:rPr>
        <w:t>溶接継手に対しては，最初の周継手まで</w:t>
      </w:r>
    </w:p>
    <w:p w14:paraId="6BAFE5AF" w14:textId="77777777" w:rsidR="002858C8" w:rsidRPr="00BC31E0" w:rsidRDefault="002858C8" w:rsidP="00374786">
      <w:pPr>
        <w:pStyle w:val="6"/>
        <w:ind w:left="738" w:hanging="454"/>
        <w:rPr>
          <w:rFonts w:ascii="ＭＳ 明朝" w:eastAsia="ＭＳ 明朝" w:hAnsi="ＭＳ 明朝"/>
          <w:b w:val="0"/>
          <w:bCs w:val="0"/>
        </w:rPr>
      </w:pPr>
      <w:r w:rsidRPr="00BC31E0">
        <w:rPr>
          <w:rFonts w:ascii="ＭＳ 明朝" w:eastAsia="ＭＳ 明朝" w:hAnsi="ＭＳ 明朝" w:hint="eastAsia"/>
          <w:b w:val="0"/>
          <w:bCs w:val="0"/>
        </w:rPr>
        <w:t>ジャケット取付け部に対しては，取付け溶接継手まで</w:t>
      </w:r>
    </w:p>
    <w:p w14:paraId="560B54F9" w14:textId="77777777" w:rsidR="002858C8" w:rsidRPr="00BC31E0" w:rsidRDefault="002858C8" w:rsidP="00007314">
      <w:pPr>
        <w:pStyle w:val="5"/>
        <w:tabs>
          <w:tab w:val="clear" w:pos="284"/>
          <w:tab w:val="clear" w:pos="454"/>
        </w:tabs>
        <w:ind w:left="454" w:hanging="454"/>
        <w:rPr>
          <w:rFonts w:ascii="ＭＳ 明朝" w:eastAsia="ＭＳ 明朝" w:hAnsi="ＭＳ 明朝"/>
          <w:b w:val="0"/>
          <w:bCs/>
        </w:rPr>
      </w:pPr>
      <w:r w:rsidRPr="00BC31E0">
        <w:rPr>
          <w:rFonts w:ascii="ＭＳ 明朝" w:eastAsia="ＭＳ 明朝" w:hAnsi="ＭＳ 明朝" w:hint="eastAsia"/>
          <w:b w:val="0"/>
          <w:bCs/>
        </w:rPr>
        <w:t>内部圧力配管</w:t>
      </w:r>
      <w:r w:rsidRPr="00BC31E0">
        <w:rPr>
          <w:rFonts w:ascii="ＭＳ 明朝" w:eastAsia="ＭＳ 明朝" w:hAnsi="ＭＳ 明朝"/>
          <w:b w:val="0"/>
          <w:bCs/>
        </w:rPr>
        <w:t>(</w:t>
      </w:r>
      <w:r w:rsidRPr="00BC31E0">
        <w:rPr>
          <w:rFonts w:ascii="ＭＳ 明朝" w:eastAsia="ＭＳ 明朝" w:hAnsi="ＭＳ 明朝" w:hint="eastAsia"/>
          <w:b w:val="0"/>
          <w:bCs/>
        </w:rPr>
        <w:t>ただし，その破損が圧力容器の健全性に影響する場合</w:t>
      </w:r>
      <w:r w:rsidRPr="00BC31E0">
        <w:rPr>
          <w:rFonts w:ascii="ＭＳ 明朝" w:eastAsia="ＭＳ 明朝" w:hAnsi="ＭＳ 明朝"/>
          <w:b w:val="0"/>
          <w:bCs/>
        </w:rPr>
        <w:t>)</w:t>
      </w:r>
    </w:p>
    <w:p w14:paraId="0BC7AB9A" w14:textId="77777777" w:rsidR="002858C8" w:rsidRPr="00BC31E0" w:rsidRDefault="002858C8" w:rsidP="00007314">
      <w:pPr>
        <w:pStyle w:val="5"/>
        <w:tabs>
          <w:tab w:val="clear" w:pos="284"/>
          <w:tab w:val="clear" w:pos="454"/>
        </w:tabs>
        <w:ind w:left="454" w:hanging="454"/>
        <w:rPr>
          <w:rFonts w:ascii="ＭＳ 明朝" w:eastAsia="ＭＳ 明朝" w:hAnsi="ＭＳ 明朝"/>
          <w:b w:val="0"/>
          <w:bCs/>
        </w:rPr>
      </w:pPr>
      <w:r w:rsidRPr="00BC31E0">
        <w:rPr>
          <w:rFonts w:ascii="ＭＳ 明朝" w:eastAsia="ＭＳ 明朝" w:hAnsi="ＭＳ 明朝" w:hint="eastAsia"/>
          <w:b w:val="0"/>
          <w:bCs/>
        </w:rPr>
        <w:t>圧力容器の内表面又は外表面に直接溶接される非耐圧部品</w:t>
      </w:r>
    </w:p>
    <w:p w14:paraId="060EEFF1" w14:textId="77777777" w:rsidR="002858C8" w:rsidRPr="00BC31E0" w:rsidRDefault="002858C8" w:rsidP="00007314">
      <w:pPr>
        <w:pStyle w:val="5"/>
        <w:tabs>
          <w:tab w:val="clear" w:pos="284"/>
          <w:tab w:val="clear" w:pos="454"/>
        </w:tabs>
        <w:ind w:left="454" w:hanging="454"/>
        <w:rPr>
          <w:rFonts w:ascii="ＭＳ 明朝" w:eastAsia="ＭＳ 明朝" w:hAnsi="ＭＳ 明朝"/>
          <w:b w:val="0"/>
          <w:bCs/>
        </w:rPr>
      </w:pPr>
      <w:r w:rsidRPr="00BC31E0">
        <w:rPr>
          <w:rFonts w:ascii="ＭＳ 明朝" w:eastAsia="ＭＳ 明朝" w:hAnsi="ＭＳ 明朝" w:hint="eastAsia"/>
          <w:b w:val="0"/>
          <w:bCs/>
        </w:rPr>
        <w:t>圧力を保持するふた又はふた板</w:t>
      </w:r>
    </w:p>
    <w:p w14:paraId="06179E7C" w14:textId="77777777" w:rsidR="002858C8" w:rsidRPr="00BC31E0" w:rsidRDefault="002858C8" w:rsidP="00007314">
      <w:pPr>
        <w:pStyle w:val="5"/>
        <w:tabs>
          <w:tab w:val="clear" w:pos="284"/>
          <w:tab w:val="clear" w:pos="454"/>
        </w:tabs>
        <w:ind w:left="454" w:hanging="454"/>
        <w:rPr>
          <w:rFonts w:ascii="ＭＳ 明朝" w:eastAsia="ＭＳ 明朝" w:hAnsi="ＭＳ 明朝"/>
          <w:b w:val="0"/>
          <w:bCs/>
        </w:rPr>
      </w:pPr>
      <w:r w:rsidRPr="00BC31E0">
        <w:rPr>
          <w:rFonts w:ascii="ＭＳ 明朝" w:eastAsia="ＭＳ 明朝" w:hAnsi="ＭＳ 明朝" w:hint="eastAsia"/>
          <w:b w:val="0"/>
          <w:bCs/>
        </w:rPr>
        <w:t>この規格が適用されないゲージや計測器のような小物の付属品については，最初のシール部表面</w:t>
      </w:r>
    </w:p>
    <w:p w14:paraId="5327BBC9" w14:textId="77777777" w:rsidR="002858C8" w:rsidRPr="00BC31E0" w:rsidRDefault="002858C8" w:rsidP="00007314">
      <w:pPr>
        <w:pStyle w:val="5"/>
        <w:tabs>
          <w:tab w:val="clear" w:pos="284"/>
          <w:tab w:val="clear" w:pos="454"/>
        </w:tabs>
        <w:ind w:left="454" w:hanging="454"/>
        <w:rPr>
          <w:rFonts w:ascii="ＭＳ 明朝" w:eastAsia="ＭＳ 明朝" w:hAnsi="ＭＳ 明朝"/>
          <w:b w:val="0"/>
          <w:bCs/>
        </w:rPr>
      </w:pPr>
      <w:r w:rsidRPr="00BC31E0">
        <w:rPr>
          <w:rFonts w:ascii="ＭＳ 明朝" w:eastAsia="ＭＳ 明朝" w:hAnsi="ＭＳ 明朝" w:hint="eastAsia"/>
          <w:b w:val="0"/>
          <w:bCs/>
        </w:rPr>
        <w:t>過圧防止装置</w:t>
      </w:r>
    </w:p>
    <w:p w14:paraId="365BE576" w14:textId="77777777" w:rsidR="002858C8" w:rsidRPr="00BC31E0" w:rsidRDefault="002858C8" w:rsidP="00D9793F">
      <w:pPr>
        <w:pStyle w:val="3"/>
        <w:tabs>
          <w:tab w:val="clear" w:pos="284"/>
        </w:tabs>
        <w:ind w:left="794" w:hanging="794"/>
      </w:pPr>
      <w:r w:rsidRPr="00BC31E0">
        <w:rPr>
          <w:rFonts w:hint="eastAsia"/>
        </w:rPr>
        <w:t>この規格の適用範囲外の</w:t>
      </w:r>
      <w:r w:rsidR="00A31CF5" w:rsidRPr="00BC31E0">
        <w:rPr>
          <w:rFonts w:hint="eastAsia"/>
        </w:rPr>
        <w:t>機器</w:t>
      </w:r>
    </w:p>
    <w:p w14:paraId="7E7EB8BB" w14:textId="77777777" w:rsidR="002858C8" w:rsidRPr="00BC31E0" w:rsidRDefault="002858C8" w:rsidP="002C6BA4">
      <w:pPr>
        <w:pStyle w:val="1110"/>
        <w:ind w:firstLine="210"/>
        <w:rPr>
          <w:rStyle w:val="1112"/>
        </w:rPr>
      </w:pPr>
      <w:r w:rsidRPr="00BC31E0">
        <w:rPr>
          <w:rStyle w:val="1112"/>
          <w:rFonts w:hint="eastAsia"/>
        </w:rPr>
        <w:t>次</w:t>
      </w:r>
      <w:r w:rsidR="00DA0509" w:rsidRPr="00BC31E0">
        <w:rPr>
          <w:rStyle w:val="1112"/>
          <w:rFonts w:hint="eastAsia"/>
        </w:rPr>
        <w:t>の</w:t>
      </w:r>
      <w:r w:rsidR="00DA0509" w:rsidRPr="00BC31E0">
        <w:rPr>
          <w:rStyle w:val="1112"/>
          <w:rFonts w:asciiTheme="majorEastAsia" w:eastAsiaTheme="majorEastAsia" w:hAnsiTheme="majorEastAsia" w:hint="eastAsia"/>
          <w:b/>
        </w:rPr>
        <w:t>a)</w:t>
      </w:r>
      <w:r w:rsidR="00DA0509" w:rsidRPr="00BC31E0">
        <w:rPr>
          <w:rStyle w:val="1112"/>
          <w:rFonts w:hint="eastAsia"/>
        </w:rPr>
        <w:t>，</w:t>
      </w:r>
      <w:r w:rsidR="00DA0509" w:rsidRPr="00BC31E0">
        <w:rPr>
          <w:rStyle w:val="1112"/>
          <w:rFonts w:asciiTheme="majorEastAsia" w:eastAsiaTheme="majorEastAsia" w:hAnsiTheme="majorEastAsia" w:hint="eastAsia"/>
          <w:b/>
        </w:rPr>
        <w:t>b)</w:t>
      </w:r>
      <w:r w:rsidRPr="00BC31E0">
        <w:rPr>
          <w:rStyle w:val="1112"/>
          <w:rFonts w:hint="eastAsia"/>
        </w:rPr>
        <w:t>に示す圧力を保持する機器は，この規格の適用範囲外とする。ただし</w:t>
      </w:r>
      <w:r w:rsidRPr="00BC31E0">
        <w:rPr>
          <w:rFonts w:hint="eastAsia"/>
        </w:rPr>
        <w:t>，</w:t>
      </w:r>
      <w:r w:rsidRPr="00BC31E0">
        <w:rPr>
          <w:rStyle w:val="1112"/>
          <w:rFonts w:hint="eastAsia"/>
        </w:rPr>
        <w:t>次の</w:t>
      </w:r>
      <w:r w:rsidR="007061D9" w:rsidRPr="00BC31E0">
        <w:rPr>
          <w:rStyle w:val="1112"/>
          <w:rFonts w:hint="eastAsia"/>
        </w:rPr>
        <w:t>機器</w:t>
      </w:r>
      <w:r w:rsidRPr="00BC31E0">
        <w:rPr>
          <w:rStyle w:val="1112"/>
          <w:rFonts w:hint="eastAsia"/>
        </w:rPr>
        <w:t>もこの規格を準用</w:t>
      </w:r>
      <w:r w:rsidR="00A43D31" w:rsidRPr="00BC31E0">
        <w:rPr>
          <w:rStyle w:val="1112"/>
          <w:rFonts w:hint="eastAsia"/>
        </w:rPr>
        <w:t>してもよい</w:t>
      </w:r>
      <w:r w:rsidRPr="00BC31E0">
        <w:rPr>
          <w:rStyle w:val="1112"/>
          <w:rFonts w:hint="eastAsia"/>
        </w:rPr>
        <w:t>。その場合には，使用者設計仕様書にその旨を明記する。</w:t>
      </w:r>
    </w:p>
    <w:p w14:paraId="5E81C81B" w14:textId="77777777" w:rsidR="002858C8" w:rsidRPr="00BC31E0" w:rsidRDefault="002858C8" w:rsidP="00D9793F">
      <w:pPr>
        <w:pStyle w:val="5"/>
        <w:tabs>
          <w:tab w:val="clear" w:pos="284"/>
          <w:tab w:val="clear" w:pos="454"/>
        </w:tabs>
        <w:ind w:left="454" w:hanging="454"/>
        <w:rPr>
          <w:rFonts w:ascii="ＭＳ 明朝" w:eastAsia="ＭＳ 明朝" w:hAnsi="ＭＳ 明朝"/>
          <w:b w:val="0"/>
          <w:bCs/>
        </w:rPr>
      </w:pPr>
      <w:r w:rsidRPr="00BC31E0">
        <w:rPr>
          <w:rFonts w:ascii="ＭＳ 明朝" w:eastAsia="ＭＳ 明朝" w:hAnsi="ＭＳ 明朝" w:hint="eastAsia"/>
          <w:b w:val="0"/>
          <w:bCs/>
        </w:rPr>
        <w:t>他の規格の適用範囲に該当する</w:t>
      </w:r>
      <w:r w:rsidR="006E5557" w:rsidRPr="00BC31E0">
        <w:rPr>
          <w:rFonts w:ascii="ＭＳ 明朝" w:eastAsia="ＭＳ 明朝" w:hAnsi="ＭＳ 明朝" w:hint="eastAsia"/>
          <w:b w:val="0"/>
          <w:bCs/>
        </w:rPr>
        <w:t>機器</w:t>
      </w:r>
    </w:p>
    <w:p w14:paraId="33E69C7C" w14:textId="77777777" w:rsidR="002858C8" w:rsidRPr="00BC31E0" w:rsidRDefault="002858C8" w:rsidP="00D9793F">
      <w:pPr>
        <w:pStyle w:val="5"/>
        <w:tabs>
          <w:tab w:val="clear" w:pos="284"/>
          <w:tab w:val="clear" w:pos="454"/>
        </w:tabs>
        <w:ind w:left="454" w:hanging="454"/>
        <w:rPr>
          <w:rFonts w:ascii="ＭＳ 明朝" w:eastAsia="ＭＳ 明朝" w:hAnsi="ＭＳ 明朝"/>
          <w:b w:val="0"/>
          <w:bCs/>
        </w:rPr>
      </w:pPr>
      <w:r w:rsidRPr="00BC31E0">
        <w:rPr>
          <w:rFonts w:ascii="ＭＳ 明朝" w:eastAsia="ＭＳ 明朝" w:hAnsi="ＭＳ 明朝" w:hint="eastAsia"/>
          <w:b w:val="0"/>
          <w:bCs/>
        </w:rPr>
        <w:t>次の</w:t>
      </w:r>
      <w:r w:rsidR="00E345D1" w:rsidRPr="00BC31E0">
        <w:rPr>
          <w:rFonts w:asciiTheme="majorEastAsia" w:eastAsiaTheme="majorEastAsia" w:hAnsiTheme="majorEastAsia" w:hint="eastAsia"/>
          <w:bCs/>
        </w:rPr>
        <w:t>1)</w:t>
      </w:r>
      <w:r w:rsidR="00E345D1" w:rsidRPr="00BC31E0">
        <w:rPr>
          <w:rFonts w:ascii="ＭＳ 明朝" w:eastAsia="ＭＳ 明朝" w:hAnsi="ＭＳ 明朝" w:hint="eastAsia"/>
          <w:b w:val="0"/>
          <w:bCs/>
        </w:rPr>
        <w:t>～</w:t>
      </w:r>
      <w:r w:rsidR="00E345D1" w:rsidRPr="00BC31E0">
        <w:rPr>
          <w:rFonts w:asciiTheme="majorEastAsia" w:eastAsiaTheme="majorEastAsia" w:hAnsiTheme="majorEastAsia" w:hint="eastAsia"/>
          <w:bCs/>
        </w:rPr>
        <w:t>7)</w:t>
      </w:r>
      <w:r w:rsidR="00E345D1" w:rsidRPr="00BC31E0">
        <w:rPr>
          <w:rFonts w:ascii="ＭＳ 明朝" w:eastAsia="ＭＳ 明朝" w:hAnsi="ＭＳ 明朝" w:hint="eastAsia"/>
          <w:b w:val="0"/>
          <w:bCs/>
        </w:rPr>
        <w:t>に示す</w:t>
      </w:r>
      <w:r w:rsidRPr="00BC31E0">
        <w:rPr>
          <w:rFonts w:ascii="ＭＳ 明朝" w:eastAsia="ＭＳ 明朝" w:hAnsi="ＭＳ 明朝" w:hint="eastAsia"/>
          <w:b w:val="0"/>
          <w:bCs/>
        </w:rPr>
        <w:t>回転式又は往復動式の機械装置と一体型又はそれを構成する圧力を保持する機器</w:t>
      </w:r>
    </w:p>
    <w:p w14:paraId="310E115F" w14:textId="77777777" w:rsidR="002858C8" w:rsidRPr="00BC31E0" w:rsidRDefault="002858C8" w:rsidP="007E26D6">
      <w:pPr>
        <w:pStyle w:val="a4"/>
        <w:numPr>
          <w:ilvl w:val="0"/>
          <w:numId w:val="3"/>
        </w:numPr>
        <w:ind w:leftChars="0" w:left="738" w:hanging="454"/>
      </w:pPr>
      <w:r w:rsidRPr="00BC31E0">
        <w:rPr>
          <w:rFonts w:hint="eastAsia"/>
        </w:rPr>
        <w:t>ポンプ</w:t>
      </w:r>
    </w:p>
    <w:p w14:paraId="03BD3891" w14:textId="77777777" w:rsidR="002858C8" w:rsidRPr="00BC31E0" w:rsidRDefault="002858C8" w:rsidP="007E26D6">
      <w:pPr>
        <w:pStyle w:val="a4"/>
        <w:numPr>
          <w:ilvl w:val="0"/>
          <w:numId w:val="3"/>
        </w:numPr>
        <w:ind w:leftChars="0" w:left="738" w:hanging="454"/>
      </w:pPr>
      <w:r w:rsidRPr="00BC31E0">
        <w:rPr>
          <w:rFonts w:hint="eastAsia"/>
        </w:rPr>
        <w:t>圧縮機</w:t>
      </w:r>
    </w:p>
    <w:p w14:paraId="0D2FB7FE" w14:textId="77777777" w:rsidR="002858C8" w:rsidRPr="00BC31E0" w:rsidRDefault="002858C8" w:rsidP="007E26D6">
      <w:pPr>
        <w:pStyle w:val="a4"/>
        <w:numPr>
          <w:ilvl w:val="0"/>
          <w:numId w:val="3"/>
        </w:numPr>
        <w:ind w:leftChars="0" w:left="738" w:hanging="454"/>
      </w:pPr>
      <w:r w:rsidRPr="00BC31E0">
        <w:rPr>
          <w:rFonts w:hint="eastAsia"/>
        </w:rPr>
        <w:t>タービン</w:t>
      </w:r>
    </w:p>
    <w:p w14:paraId="7AB25047" w14:textId="77777777" w:rsidR="002858C8" w:rsidRPr="00BC31E0" w:rsidRDefault="002858C8" w:rsidP="007E26D6">
      <w:pPr>
        <w:pStyle w:val="a4"/>
        <w:numPr>
          <w:ilvl w:val="0"/>
          <w:numId w:val="3"/>
        </w:numPr>
        <w:ind w:leftChars="0" w:left="738" w:hanging="454"/>
      </w:pPr>
      <w:r w:rsidRPr="00BC31E0">
        <w:rPr>
          <w:rFonts w:hint="eastAsia"/>
        </w:rPr>
        <w:t>発電機</w:t>
      </w:r>
    </w:p>
    <w:p w14:paraId="25BEBF29" w14:textId="77777777" w:rsidR="002858C8" w:rsidRPr="00BC31E0" w:rsidRDefault="002858C8" w:rsidP="007E26D6">
      <w:pPr>
        <w:pStyle w:val="a4"/>
        <w:numPr>
          <w:ilvl w:val="0"/>
          <w:numId w:val="3"/>
        </w:numPr>
        <w:ind w:leftChars="0" w:left="738" w:hanging="454"/>
      </w:pPr>
      <w:r w:rsidRPr="00BC31E0">
        <w:rPr>
          <w:rFonts w:hint="eastAsia"/>
        </w:rPr>
        <w:lastRenderedPageBreak/>
        <w:t>エンジン</w:t>
      </w:r>
    </w:p>
    <w:p w14:paraId="21B85C0B" w14:textId="77777777" w:rsidR="002858C8" w:rsidRPr="00BC31E0" w:rsidRDefault="002858C8" w:rsidP="007E26D6">
      <w:pPr>
        <w:pStyle w:val="a4"/>
        <w:numPr>
          <w:ilvl w:val="0"/>
          <w:numId w:val="3"/>
        </w:numPr>
        <w:ind w:leftChars="0" w:left="738" w:hanging="454"/>
      </w:pPr>
      <w:r w:rsidRPr="00BC31E0">
        <w:rPr>
          <w:rFonts w:hint="eastAsia"/>
        </w:rPr>
        <w:t>水圧又は気圧シリンダー</w:t>
      </w:r>
    </w:p>
    <w:p w14:paraId="38AFC4CC" w14:textId="77777777" w:rsidR="002858C8" w:rsidRPr="00BC31E0" w:rsidRDefault="002858C8" w:rsidP="007E26D6">
      <w:pPr>
        <w:pStyle w:val="a4"/>
        <w:numPr>
          <w:ilvl w:val="0"/>
          <w:numId w:val="3"/>
        </w:numPr>
        <w:ind w:leftChars="0" w:left="738" w:hanging="454"/>
      </w:pPr>
      <w:r w:rsidRPr="00BC31E0">
        <w:rPr>
          <w:rFonts w:hint="eastAsia"/>
        </w:rPr>
        <w:t>本来の機能が流体の移送である構造物</w:t>
      </w:r>
      <w:r w:rsidRPr="00BC31E0">
        <w:t>(</w:t>
      </w:r>
      <w:r w:rsidRPr="00BC31E0">
        <w:t>配管</w:t>
      </w:r>
      <w:r w:rsidRPr="00BC31E0">
        <w:t>)</w:t>
      </w:r>
    </w:p>
    <w:p w14:paraId="4A1DA5CB" w14:textId="77777777" w:rsidR="002858C8" w:rsidRPr="00BC31E0" w:rsidRDefault="002858C8" w:rsidP="00154923">
      <w:pPr>
        <w:pStyle w:val="20"/>
        <w:tabs>
          <w:tab w:val="clear" w:pos="284"/>
        </w:tabs>
        <w:ind w:left="567" w:hanging="567"/>
      </w:pPr>
      <w:bookmarkStart w:id="10" w:name="_Toc357672076"/>
      <w:bookmarkStart w:id="11" w:name="_Toc120092509"/>
      <w:r w:rsidRPr="00BC31E0">
        <w:rPr>
          <w:rFonts w:hint="eastAsia"/>
        </w:rPr>
        <w:t>適用条件の明確化と品質マネジメントシステム</w:t>
      </w:r>
      <w:bookmarkEnd w:id="10"/>
      <w:bookmarkEnd w:id="11"/>
    </w:p>
    <w:p w14:paraId="6E6E34DC" w14:textId="77777777" w:rsidR="002858C8" w:rsidRPr="00BC31E0" w:rsidRDefault="002858C8" w:rsidP="003772F8">
      <w:pPr>
        <w:pStyle w:val="3"/>
        <w:tabs>
          <w:tab w:val="clear" w:pos="284"/>
        </w:tabs>
        <w:ind w:left="794" w:hanging="794"/>
      </w:pPr>
      <w:r w:rsidRPr="00BC31E0">
        <w:rPr>
          <w:rFonts w:hint="eastAsia"/>
        </w:rPr>
        <w:t>適用条件の明確化</w:t>
      </w:r>
    </w:p>
    <w:p w14:paraId="14EECD24" w14:textId="77777777" w:rsidR="005B3DC7" w:rsidRPr="00BC31E0" w:rsidRDefault="005B3DC7" w:rsidP="005B3DC7">
      <w:pPr>
        <w:ind w:firstLineChars="100" w:firstLine="210"/>
      </w:pPr>
      <w:r w:rsidRPr="00BC31E0">
        <w:rPr>
          <w:rFonts w:hint="eastAsia"/>
        </w:rPr>
        <w:t>次の</w:t>
      </w:r>
      <w:r w:rsidRPr="00BC31E0">
        <w:rPr>
          <w:rFonts w:asciiTheme="majorEastAsia" w:eastAsiaTheme="majorEastAsia" w:hAnsiTheme="majorEastAsia" w:hint="eastAsia"/>
          <w:b/>
        </w:rPr>
        <w:t>a)</w:t>
      </w:r>
      <w:r w:rsidRPr="00BC31E0">
        <w:rPr>
          <w:rFonts w:hint="eastAsia"/>
        </w:rPr>
        <w:t>～</w:t>
      </w:r>
      <w:r w:rsidRPr="00BC31E0">
        <w:rPr>
          <w:rFonts w:asciiTheme="majorEastAsia" w:eastAsiaTheme="majorEastAsia" w:hAnsiTheme="majorEastAsia" w:hint="eastAsia"/>
          <w:b/>
        </w:rPr>
        <w:t>d)</w:t>
      </w:r>
      <w:r w:rsidRPr="00BC31E0">
        <w:rPr>
          <w:rFonts w:hint="eastAsia"/>
        </w:rPr>
        <w:t>により，この規格の適用条件を明確にする。</w:t>
      </w:r>
    </w:p>
    <w:p w14:paraId="2840A33D" w14:textId="77777777" w:rsidR="003E536C" w:rsidRPr="00BC31E0" w:rsidRDefault="002858C8" w:rsidP="00736130">
      <w:pPr>
        <w:pStyle w:val="a4"/>
        <w:numPr>
          <w:ilvl w:val="0"/>
          <w:numId w:val="449"/>
        </w:numPr>
        <w:ind w:leftChars="0" w:left="454" w:hanging="454"/>
      </w:pPr>
      <w:r w:rsidRPr="00BC31E0">
        <w:rPr>
          <w:rFonts w:asciiTheme="majorEastAsia" w:eastAsiaTheme="majorEastAsia" w:hAnsiTheme="majorEastAsia" w:hint="eastAsia"/>
          <w:b/>
        </w:rPr>
        <w:t>一般</w:t>
      </w:r>
      <w:r w:rsidRPr="00BC31E0">
        <w:rPr>
          <w:rFonts w:hint="eastAsia"/>
        </w:rPr>
        <w:t xml:space="preserve">　</w:t>
      </w:r>
      <w:r w:rsidRPr="00BC31E0">
        <w:rPr>
          <w:rFonts w:ascii="ＭＳ 明朝" w:hAnsi="ＭＳ 明朝" w:hint="eastAsia"/>
        </w:rPr>
        <w:t>この規格を適用するに当たっては，圧力容器の使用目的，環境及び設計条件を明確にし，製品の品質を保証するために，次の</w:t>
      </w:r>
      <w:r w:rsidRPr="00BC31E0">
        <w:rPr>
          <w:rFonts w:asciiTheme="majorEastAsia" w:eastAsiaTheme="majorEastAsia" w:hAnsiTheme="majorEastAsia" w:hint="eastAsia"/>
          <w:b/>
        </w:rPr>
        <w:t>b)</w:t>
      </w:r>
      <w:r w:rsidRPr="00BC31E0">
        <w:rPr>
          <w:rFonts w:ascii="ＭＳ 明朝" w:hAnsi="ＭＳ 明朝" w:hint="eastAsia"/>
        </w:rPr>
        <w:t>の規定によって，圧力容器の使用者</w:t>
      </w:r>
      <w:r w:rsidRPr="00BC31E0">
        <w:rPr>
          <w:rFonts w:asciiTheme="minorHAnsi" w:hAnsiTheme="minorHAnsi"/>
        </w:rPr>
        <w:t>(</w:t>
      </w:r>
      <w:r w:rsidRPr="00BC31E0">
        <w:rPr>
          <w:rFonts w:asciiTheme="minorHAnsi" w:hAnsi="ＭＳ 明朝"/>
        </w:rPr>
        <w:t>使用者から委託された代理者を含む</w:t>
      </w:r>
      <w:r w:rsidRPr="00BC31E0">
        <w:rPr>
          <w:rFonts w:asciiTheme="minorHAnsi" w:hAnsiTheme="minorHAnsi"/>
        </w:rPr>
        <w:t>)</w:t>
      </w:r>
      <w:r w:rsidRPr="00BC31E0">
        <w:rPr>
          <w:rFonts w:ascii="ＭＳ 明朝" w:hAnsi="ＭＳ 明朝" w:hint="eastAsia"/>
        </w:rPr>
        <w:t>は，品質管理要求事項を含む使用者設計仕様書を作成しなければならない。また，次の</w:t>
      </w:r>
      <w:r w:rsidRPr="00BC31E0">
        <w:rPr>
          <w:rFonts w:asciiTheme="majorEastAsia" w:eastAsiaTheme="majorEastAsia" w:hAnsiTheme="majorEastAsia" w:hint="eastAsia"/>
          <w:b/>
        </w:rPr>
        <w:t>c)</w:t>
      </w:r>
      <w:r w:rsidRPr="00BC31E0">
        <w:rPr>
          <w:rFonts w:ascii="ＭＳ 明朝" w:hAnsi="ＭＳ 明朝" w:hint="eastAsia"/>
        </w:rPr>
        <w:t>及び</w:t>
      </w:r>
      <w:r w:rsidRPr="00BC31E0">
        <w:rPr>
          <w:rFonts w:asciiTheme="majorEastAsia" w:eastAsiaTheme="majorEastAsia" w:hAnsiTheme="majorEastAsia" w:hint="eastAsia"/>
          <w:b/>
        </w:rPr>
        <w:t>d)</w:t>
      </w:r>
      <w:r w:rsidRPr="00BC31E0">
        <w:rPr>
          <w:rFonts w:ascii="ＭＳ 明朝" w:hAnsi="ＭＳ 明朝" w:hint="eastAsia"/>
        </w:rPr>
        <w:t>の想定によって，圧力容器の製作者は,使用者設計仕様書を満足していることを証明する製作者設計報告書及び製作者製作記録を作成しなければならない。</w:t>
      </w:r>
    </w:p>
    <w:p w14:paraId="52C327BC" w14:textId="77777777" w:rsidR="002858C8" w:rsidRPr="00BC31E0" w:rsidRDefault="002858C8" w:rsidP="00736130">
      <w:pPr>
        <w:pStyle w:val="a4"/>
        <w:numPr>
          <w:ilvl w:val="0"/>
          <w:numId w:val="449"/>
        </w:numPr>
        <w:ind w:leftChars="0" w:left="454" w:hanging="454"/>
      </w:pPr>
      <w:r w:rsidRPr="00BC31E0">
        <w:rPr>
          <w:rFonts w:asciiTheme="majorEastAsia" w:eastAsiaTheme="majorEastAsia" w:hAnsiTheme="majorEastAsia" w:hint="eastAsia"/>
          <w:b/>
        </w:rPr>
        <w:t>使用者設計仕様書</w:t>
      </w:r>
      <w:r w:rsidRPr="00BC31E0">
        <w:rPr>
          <w:rFonts w:hint="eastAsia"/>
        </w:rPr>
        <w:t xml:space="preserve">　</w:t>
      </w:r>
      <w:r w:rsidRPr="00BC31E0">
        <w:rPr>
          <w:rFonts w:ascii="ＭＳ 明朝" w:hAnsi="ＭＳ 明朝" w:hint="eastAsia"/>
          <w:bCs/>
        </w:rPr>
        <w:t>使用者設計仕様書には</w:t>
      </w:r>
      <w:r w:rsidR="003B5C96" w:rsidRPr="00BC31E0">
        <w:rPr>
          <w:rFonts w:ascii="ＭＳ 明朝" w:hAnsi="ＭＳ 明朝" w:hint="eastAsia"/>
          <w:bCs/>
        </w:rPr>
        <w:t>，</w:t>
      </w:r>
      <w:r w:rsidRPr="00BC31E0">
        <w:rPr>
          <w:rFonts w:ascii="ＭＳ 明朝" w:hAnsi="ＭＳ 明朝" w:hint="eastAsia"/>
          <w:bCs/>
        </w:rPr>
        <w:t>次の</w:t>
      </w:r>
      <w:r w:rsidR="003B5C96" w:rsidRPr="00BC31E0">
        <w:rPr>
          <w:rFonts w:asciiTheme="majorEastAsia" w:eastAsiaTheme="majorEastAsia" w:hAnsiTheme="majorEastAsia" w:hint="eastAsia"/>
          <w:b/>
          <w:bCs/>
        </w:rPr>
        <w:t>1)</w:t>
      </w:r>
      <w:r w:rsidR="003B5C96" w:rsidRPr="00BC31E0">
        <w:rPr>
          <w:rFonts w:ascii="ＭＳ 明朝" w:hAnsi="ＭＳ 明朝" w:hint="eastAsia"/>
          <w:bCs/>
        </w:rPr>
        <w:t>～</w:t>
      </w:r>
      <w:r w:rsidR="003B5C96" w:rsidRPr="00BC31E0">
        <w:rPr>
          <w:rFonts w:asciiTheme="majorEastAsia" w:eastAsiaTheme="majorEastAsia" w:hAnsiTheme="majorEastAsia" w:hint="eastAsia"/>
          <w:b/>
          <w:bCs/>
        </w:rPr>
        <w:t>14)</w:t>
      </w:r>
      <w:r w:rsidR="003B5C96" w:rsidRPr="00BC31E0">
        <w:rPr>
          <w:rFonts w:ascii="ＭＳ 明朝" w:hAnsi="ＭＳ 明朝" w:hint="eastAsia"/>
          <w:bCs/>
        </w:rPr>
        <w:t>の</w:t>
      </w:r>
      <w:r w:rsidRPr="00BC31E0">
        <w:rPr>
          <w:rFonts w:ascii="ＭＳ 明朝" w:hAnsi="ＭＳ 明朝" w:hint="eastAsia"/>
          <w:bCs/>
        </w:rPr>
        <w:t>事項を含める。</w:t>
      </w:r>
    </w:p>
    <w:p w14:paraId="23D84991" w14:textId="77777777" w:rsidR="002858C8" w:rsidRPr="00BC31E0" w:rsidRDefault="002858C8" w:rsidP="007E26D6">
      <w:pPr>
        <w:pStyle w:val="a4"/>
        <w:numPr>
          <w:ilvl w:val="0"/>
          <w:numId w:val="4"/>
        </w:numPr>
        <w:ind w:leftChars="0" w:left="738" w:hanging="454"/>
      </w:pPr>
      <w:r w:rsidRPr="00BC31E0">
        <w:rPr>
          <w:rFonts w:hint="eastAsia"/>
        </w:rPr>
        <w:t>圧力容器の識別</w:t>
      </w:r>
      <w:r w:rsidRPr="00BC31E0">
        <w:rPr>
          <w:rFonts w:hint="eastAsia"/>
        </w:rPr>
        <w:t>(</w:t>
      </w:r>
      <w:r w:rsidRPr="00BC31E0">
        <w:rPr>
          <w:rFonts w:hint="eastAsia"/>
        </w:rPr>
        <w:t>機器番号，名称，機能，用途，使用流体</w:t>
      </w:r>
      <w:r w:rsidRPr="00BC31E0">
        <w:rPr>
          <w:rFonts w:hint="eastAsia"/>
        </w:rPr>
        <w:t>)</w:t>
      </w:r>
    </w:p>
    <w:p w14:paraId="3B8AF33A" w14:textId="77777777" w:rsidR="002858C8" w:rsidRPr="00BC31E0" w:rsidRDefault="002858C8" w:rsidP="007E26D6">
      <w:pPr>
        <w:pStyle w:val="a4"/>
        <w:numPr>
          <w:ilvl w:val="0"/>
          <w:numId w:val="4"/>
        </w:numPr>
        <w:ind w:leftChars="0" w:left="738" w:hanging="454"/>
      </w:pPr>
      <w:r w:rsidRPr="00BC31E0">
        <w:rPr>
          <w:rFonts w:hint="eastAsia"/>
        </w:rPr>
        <w:t>圧力容器の形状</w:t>
      </w:r>
      <w:r w:rsidRPr="00BC31E0">
        <w:rPr>
          <w:rFonts w:hint="eastAsia"/>
        </w:rPr>
        <w:t>(</w:t>
      </w:r>
      <w:r w:rsidRPr="00BC31E0">
        <w:rPr>
          <w:rFonts w:hint="eastAsia"/>
        </w:rPr>
        <w:t>形状，縦置き又は横置き，呼びサイズ又は内容積，支持方法と場所，必要であれば基礎タイプと許容荷重，機器の機能とこの規格の適用範囲，製作者によって供給される機器，使用者によって供給される機器</w:t>
      </w:r>
      <w:r w:rsidRPr="00BC31E0">
        <w:rPr>
          <w:rFonts w:hint="eastAsia"/>
        </w:rPr>
        <w:t>)</w:t>
      </w:r>
    </w:p>
    <w:p w14:paraId="5CA1D0B6" w14:textId="77777777" w:rsidR="002858C8" w:rsidRPr="00BC31E0" w:rsidRDefault="002858C8" w:rsidP="007E26D6">
      <w:pPr>
        <w:pStyle w:val="a4"/>
        <w:numPr>
          <w:ilvl w:val="0"/>
          <w:numId w:val="5"/>
        </w:numPr>
        <w:ind w:leftChars="0" w:left="738" w:hanging="454"/>
      </w:pPr>
      <w:r w:rsidRPr="00BC31E0">
        <w:rPr>
          <w:rFonts w:hint="eastAsia"/>
        </w:rPr>
        <w:t>寸法</w:t>
      </w:r>
      <w:r w:rsidRPr="00BC31E0">
        <w:rPr>
          <w:rFonts w:hint="eastAsia"/>
        </w:rPr>
        <w:t>[</w:t>
      </w:r>
      <w:r w:rsidRPr="00BC31E0">
        <w:rPr>
          <w:rFonts w:hint="eastAsia"/>
        </w:rPr>
        <w:t>概略図，開口，接続部，閉止部</w:t>
      </w:r>
      <w:r w:rsidRPr="00BC31E0">
        <w:rPr>
          <w:rFonts w:hint="eastAsia"/>
        </w:rPr>
        <w:t>(</w:t>
      </w:r>
      <w:r w:rsidRPr="00BC31E0">
        <w:rPr>
          <w:rFonts w:hint="eastAsia"/>
        </w:rPr>
        <w:t>各々の数量，形式とサイズ，目的，位置，高さ，方位</w:t>
      </w:r>
      <w:r w:rsidRPr="00BC31E0">
        <w:rPr>
          <w:rFonts w:hint="eastAsia"/>
        </w:rPr>
        <w:t>)]</w:t>
      </w:r>
    </w:p>
    <w:p w14:paraId="46D0AB63" w14:textId="77777777" w:rsidR="002858C8" w:rsidRPr="00BC31E0" w:rsidRDefault="002858C8" w:rsidP="007E26D6">
      <w:pPr>
        <w:pStyle w:val="a4"/>
        <w:numPr>
          <w:ilvl w:val="0"/>
          <w:numId w:val="6"/>
        </w:numPr>
        <w:ind w:leftChars="0" w:left="738" w:hanging="454"/>
      </w:pPr>
      <w:r w:rsidRPr="00BC31E0">
        <w:rPr>
          <w:rFonts w:hint="eastAsia"/>
        </w:rPr>
        <w:t>設計条件</w:t>
      </w:r>
      <w:r w:rsidRPr="00BC31E0">
        <w:rPr>
          <w:rFonts w:hint="eastAsia"/>
        </w:rPr>
        <w:t>(</w:t>
      </w:r>
      <w:r w:rsidRPr="00BC31E0">
        <w:rPr>
          <w:rFonts w:hint="eastAsia"/>
        </w:rPr>
        <w:t>設計圧力，</w:t>
      </w:r>
      <w:r w:rsidR="00236919" w:rsidRPr="00BC31E0">
        <w:rPr>
          <w:rFonts w:hint="eastAsia"/>
        </w:rPr>
        <w:t>設計温度，設計圧力と温度の組合せ，最低設計金属温度，容器断面における</w:t>
      </w:r>
      <w:r w:rsidRPr="00BC31E0">
        <w:rPr>
          <w:rFonts w:hint="eastAsia"/>
        </w:rPr>
        <w:t>温度勾配</w:t>
      </w:r>
      <w:r w:rsidRPr="00BC31E0">
        <w:rPr>
          <w:rFonts w:hint="eastAsia"/>
        </w:rPr>
        <w:t>)</w:t>
      </w:r>
    </w:p>
    <w:p w14:paraId="4E4BC390" w14:textId="77777777" w:rsidR="002858C8" w:rsidRPr="00BC31E0" w:rsidRDefault="002858C8" w:rsidP="007E26D6">
      <w:pPr>
        <w:pStyle w:val="a4"/>
        <w:numPr>
          <w:ilvl w:val="0"/>
          <w:numId w:val="7"/>
        </w:numPr>
        <w:ind w:leftChars="0" w:left="738" w:hanging="454"/>
      </w:pPr>
      <w:r w:rsidRPr="00BC31E0">
        <w:rPr>
          <w:rFonts w:hint="eastAsia"/>
        </w:rPr>
        <w:t>運転条件</w:t>
      </w:r>
      <w:r w:rsidRPr="00BC31E0">
        <w:rPr>
          <w:rFonts w:hint="eastAsia"/>
        </w:rPr>
        <w:t>(</w:t>
      </w:r>
      <w:r w:rsidRPr="00BC31E0">
        <w:rPr>
          <w:rFonts w:hint="eastAsia"/>
        </w:rPr>
        <w:t>異常状態も含めた運転温度に対応した運転圧力，異常状態も含めた加熱，冷却方法の提示，繰返し運転のデータ及び状態</w:t>
      </w:r>
      <w:r w:rsidRPr="00BC31E0">
        <w:rPr>
          <w:rFonts w:hint="eastAsia"/>
        </w:rPr>
        <w:t>)</w:t>
      </w:r>
    </w:p>
    <w:p w14:paraId="4B9A59E8" w14:textId="77777777" w:rsidR="002858C8" w:rsidRPr="00BC31E0" w:rsidRDefault="002858C8" w:rsidP="007E26D6">
      <w:pPr>
        <w:pStyle w:val="a4"/>
        <w:numPr>
          <w:ilvl w:val="0"/>
          <w:numId w:val="8"/>
        </w:numPr>
        <w:ind w:leftChars="0" w:left="738" w:hanging="454"/>
      </w:pPr>
      <w:r w:rsidRPr="00BC31E0">
        <w:rPr>
          <w:rFonts w:hint="eastAsia"/>
        </w:rPr>
        <w:t>内部流体データ</w:t>
      </w:r>
      <w:r w:rsidRPr="00BC31E0">
        <w:rPr>
          <w:rFonts w:hint="eastAsia"/>
        </w:rPr>
        <w:t>[</w:t>
      </w:r>
      <w:r w:rsidRPr="00BC31E0">
        <w:rPr>
          <w:rFonts w:hint="eastAsia"/>
        </w:rPr>
        <w:t>相</w:t>
      </w:r>
      <w:r w:rsidRPr="00BC31E0">
        <w:rPr>
          <w:rFonts w:hint="eastAsia"/>
        </w:rPr>
        <w:t>(</w:t>
      </w:r>
      <w:r w:rsidRPr="00BC31E0">
        <w:rPr>
          <w:rFonts w:hint="eastAsia"/>
        </w:rPr>
        <w:t>液体，気体，混相</w:t>
      </w:r>
      <w:r w:rsidRPr="00BC31E0">
        <w:rPr>
          <w:rFonts w:hint="eastAsia"/>
        </w:rPr>
        <w:t>)</w:t>
      </w:r>
      <w:r w:rsidRPr="00BC31E0">
        <w:rPr>
          <w:rFonts w:hint="eastAsia"/>
        </w:rPr>
        <w:t>，比重，特殊な熱物性，入口</w:t>
      </w:r>
      <w:r w:rsidRPr="00BC31E0">
        <w:rPr>
          <w:rFonts w:hint="eastAsia"/>
        </w:rPr>
        <w:t>/</w:t>
      </w:r>
      <w:r w:rsidRPr="00BC31E0">
        <w:rPr>
          <w:rFonts w:hint="eastAsia"/>
        </w:rPr>
        <w:t>出口流体温度，流量，衝突流れ，有害性，危険性，可燃性の有無</w:t>
      </w:r>
      <w:r w:rsidRPr="00BC31E0">
        <w:rPr>
          <w:rFonts w:hint="eastAsia"/>
        </w:rPr>
        <w:t>]</w:t>
      </w:r>
    </w:p>
    <w:p w14:paraId="7B77F703" w14:textId="77777777" w:rsidR="002858C8" w:rsidRPr="00BC31E0" w:rsidRDefault="002858C8" w:rsidP="007E26D6">
      <w:pPr>
        <w:pStyle w:val="a4"/>
        <w:numPr>
          <w:ilvl w:val="0"/>
          <w:numId w:val="9"/>
        </w:numPr>
        <w:ind w:leftChars="0" w:left="738" w:hanging="454"/>
      </w:pPr>
      <w:r w:rsidRPr="00BC31E0">
        <w:rPr>
          <w:rFonts w:hint="eastAsia"/>
        </w:rPr>
        <w:t>材料選択</w:t>
      </w:r>
      <w:r w:rsidRPr="00BC31E0">
        <w:rPr>
          <w:rFonts w:hint="eastAsia"/>
        </w:rPr>
        <w:t>(</w:t>
      </w:r>
      <w:r w:rsidRPr="00BC31E0">
        <w:rPr>
          <w:rFonts w:hint="eastAsia"/>
        </w:rPr>
        <w:t>環境要因による腐食割れを含めて，プロセス腐食に耐える適切な材料，腐食／侵食代，環境に晒されることによる選択された構造材料の起こりうる劣化に関する情報</w:t>
      </w:r>
      <w:r w:rsidRPr="00BC31E0">
        <w:rPr>
          <w:rFonts w:hint="eastAsia"/>
        </w:rPr>
        <w:t>)</w:t>
      </w:r>
    </w:p>
    <w:p w14:paraId="444C3735" w14:textId="77777777" w:rsidR="002858C8" w:rsidRPr="00BC31E0" w:rsidRDefault="002858C8" w:rsidP="007E26D6">
      <w:pPr>
        <w:pStyle w:val="a4"/>
        <w:numPr>
          <w:ilvl w:val="0"/>
          <w:numId w:val="3"/>
        </w:numPr>
        <w:ind w:leftChars="0" w:left="738" w:hanging="454"/>
      </w:pPr>
      <w:r w:rsidRPr="00BC31E0">
        <w:rPr>
          <w:rFonts w:hint="eastAsia"/>
        </w:rPr>
        <w:t>荷重</w:t>
      </w:r>
      <w:r w:rsidRPr="00BC31E0">
        <w:rPr>
          <w:rFonts w:hint="eastAsia"/>
        </w:rPr>
        <w:t>(</w:t>
      </w:r>
      <w:r w:rsidRPr="00BC31E0">
        <w:rPr>
          <w:rFonts w:hint="eastAsia"/>
        </w:rPr>
        <w:t>荷重条件のあらゆる組合せを明記しなければならない。この荷重データは計算，実験，類似条件での実測，解析，公表されたデータによって決定してもよい。荷重データのソースを明記する。</w:t>
      </w:r>
      <w:r w:rsidRPr="00BC31E0">
        <w:rPr>
          <w:rFonts w:hint="eastAsia"/>
        </w:rPr>
        <w:t>)</w:t>
      </w:r>
    </w:p>
    <w:p w14:paraId="3AEED5AE" w14:textId="77777777" w:rsidR="002858C8" w:rsidRPr="00BC31E0" w:rsidRDefault="002858C8" w:rsidP="007E26D6">
      <w:pPr>
        <w:pStyle w:val="a4"/>
        <w:numPr>
          <w:ilvl w:val="0"/>
          <w:numId w:val="10"/>
        </w:numPr>
        <w:ind w:leftChars="0" w:left="738" w:hanging="454"/>
      </w:pPr>
      <w:r w:rsidRPr="00BC31E0">
        <w:rPr>
          <w:rFonts w:hint="eastAsia"/>
        </w:rPr>
        <w:t>繰返し運転条件</w:t>
      </w:r>
    </w:p>
    <w:p w14:paraId="77883D7D" w14:textId="77777777" w:rsidR="002858C8" w:rsidRPr="00BC31E0" w:rsidRDefault="002858C8" w:rsidP="007E26D6">
      <w:pPr>
        <w:pStyle w:val="a4"/>
        <w:numPr>
          <w:ilvl w:val="0"/>
          <w:numId w:val="11"/>
        </w:numPr>
        <w:ind w:leftChars="0" w:left="738" w:hanging="454"/>
      </w:pPr>
      <w:r w:rsidRPr="00BC31E0">
        <w:rPr>
          <w:rFonts w:hint="eastAsia"/>
        </w:rPr>
        <w:t>疲労解析</w:t>
      </w:r>
      <w:r w:rsidRPr="00BC31E0">
        <w:rPr>
          <w:rFonts w:hint="eastAsia"/>
        </w:rPr>
        <w:t>[</w:t>
      </w:r>
      <w:r w:rsidRPr="00BC31E0">
        <w:rPr>
          <w:rFonts w:hint="eastAsia"/>
        </w:rPr>
        <w:t>使用者は</w:t>
      </w:r>
      <w:r w:rsidRPr="00BC31E0">
        <w:rPr>
          <w:rFonts w:asciiTheme="majorEastAsia" w:eastAsiaTheme="majorEastAsia" w:hAnsiTheme="majorEastAsia" w:hint="eastAsia"/>
          <w:b/>
        </w:rPr>
        <w:t>6.3</w:t>
      </w:r>
      <w:r w:rsidRPr="00BC31E0">
        <w:rPr>
          <w:rFonts w:hint="eastAsia"/>
        </w:rPr>
        <w:t>，</w:t>
      </w:r>
      <w:r w:rsidRPr="00BC31E0">
        <w:rPr>
          <w:rFonts w:asciiTheme="majorEastAsia" w:eastAsiaTheme="majorEastAsia" w:hAnsiTheme="majorEastAsia" w:hint="eastAsia"/>
          <w:b/>
        </w:rPr>
        <w:t>6.4</w:t>
      </w:r>
      <w:r w:rsidRPr="00BC31E0">
        <w:rPr>
          <w:rFonts w:hint="eastAsia"/>
        </w:rPr>
        <w:t>の疲労評価，破壊力学評価に必要な情報を提供する責任がある。文書化された同様な設計，サイズ，材料特性，運転状態による経験を基に破裂前漏洩</w:t>
      </w:r>
      <w:r w:rsidRPr="00BC31E0">
        <w:rPr>
          <w:rFonts w:hint="eastAsia"/>
        </w:rPr>
        <w:t>(LBB:Leak Before Burst)</w:t>
      </w:r>
      <w:r w:rsidRPr="00BC31E0">
        <w:rPr>
          <w:rFonts w:hint="eastAsia"/>
        </w:rPr>
        <w:t>が確証できる場合，又は</w:t>
      </w:r>
      <w:r w:rsidRPr="00BC31E0">
        <w:rPr>
          <w:rFonts w:asciiTheme="majorEastAsia" w:eastAsiaTheme="majorEastAsia" w:hAnsiTheme="majorEastAsia" w:hint="eastAsia"/>
          <w:b/>
        </w:rPr>
        <w:t>6.1.14</w:t>
      </w:r>
      <w:r w:rsidRPr="00BC31E0">
        <w:rPr>
          <w:rFonts w:hint="eastAsia"/>
        </w:rPr>
        <w:t>により破裂前漏洩が確証できる場合は，使用者はこれを明示する。破裂前漏洩が確証できない場合は</w:t>
      </w:r>
      <w:r w:rsidRPr="00BC31E0">
        <w:rPr>
          <w:rFonts w:asciiTheme="majorEastAsia" w:eastAsiaTheme="majorEastAsia" w:hAnsiTheme="majorEastAsia" w:hint="eastAsia"/>
          <w:b/>
        </w:rPr>
        <w:t>6.4</w:t>
      </w:r>
      <w:r w:rsidRPr="00BC31E0">
        <w:rPr>
          <w:rFonts w:hint="eastAsia"/>
        </w:rPr>
        <w:t>により設計許容繰返し数を計算しなければならない。保護ライナーやプレストレスされた内部層のある</w:t>
      </w:r>
      <w:r w:rsidR="00CB0396" w:rsidRPr="00BC31E0">
        <w:rPr>
          <w:rFonts w:hint="eastAsia"/>
        </w:rPr>
        <w:t>圧力容器</w:t>
      </w:r>
      <w:r w:rsidRPr="00BC31E0">
        <w:rPr>
          <w:rFonts w:hint="eastAsia"/>
        </w:rPr>
        <w:t>に関し</w:t>
      </w:r>
      <w:r w:rsidR="00CB0396" w:rsidRPr="00BC31E0">
        <w:rPr>
          <w:rFonts w:hint="eastAsia"/>
        </w:rPr>
        <w:t>て</w:t>
      </w:r>
      <w:r w:rsidRPr="00BC31E0">
        <w:rPr>
          <w:rFonts w:hint="eastAsia"/>
        </w:rPr>
        <w:t>，</w:t>
      </w:r>
      <w:r w:rsidR="00EE219A" w:rsidRPr="00BC31E0">
        <w:rPr>
          <w:rFonts w:hint="eastAsia"/>
        </w:rPr>
        <w:t>使用者は</w:t>
      </w:r>
      <w:r w:rsidRPr="00BC31E0">
        <w:rPr>
          <w:rFonts w:hint="eastAsia"/>
        </w:rPr>
        <w:t>破壊モードとして板厚を貫通する漏洩が許容できるか</w:t>
      </w:r>
      <w:r w:rsidR="00EE219A" w:rsidRPr="00BC31E0">
        <w:rPr>
          <w:rFonts w:hint="eastAsia"/>
        </w:rPr>
        <w:t>否かを</w:t>
      </w:r>
      <w:r w:rsidRPr="00BC31E0">
        <w:rPr>
          <w:rFonts w:hint="eastAsia"/>
        </w:rPr>
        <w:t>明示しなければならない。</w:t>
      </w:r>
    </w:p>
    <w:p w14:paraId="40ABD6FA" w14:textId="77777777" w:rsidR="002858C8" w:rsidRPr="00BC31E0" w:rsidRDefault="002858C8" w:rsidP="007E26D6">
      <w:pPr>
        <w:pStyle w:val="a4"/>
        <w:numPr>
          <w:ilvl w:val="0"/>
          <w:numId w:val="12"/>
        </w:numPr>
        <w:ind w:leftChars="0" w:left="738" w:hanging="454"/>
      </w:pPr>
      <w:r w:rsidRPr="00BC31E0">
        <w:rPr>
          <w:rFonts w:hint="eastAsia"/>
        </w:rPr>
        <w:lastRenderedPageBreak/>
        <w:t>過圧防止</w:t>
      </w:r>
      <w:r w:rsidRPr="00BC31E0">
        <w:rPr>
          <w:rFonts w:hint="eastAsia"/>
        </w:rPr>
        <w:t>(</w:t>
      </w:r>
      <w:r w:rsidRPr="00BC31E0">
        <w:rPr>
          <w:rFonts w:hint="eastAsia"/>
        </w:rPr>
        <w:t>使用者は</w:t>
      </w:r>
      <w:r w:rsidRPr="00BC31E0">
        <w:rPr>
          <w:rFonts w:asciiTheme="majorEastAsia" w:eastAsiaTheme="majorEastAsia" w:hAnsiTheme="majorEastAsia" w:hint="eastAsia"/>
          <w:b/>
        </w:rPr>
        <w:t>8</w:t>
      </w:r>
      <w:r w:rsidRPr="00BC31E0">
        <w:rPr>
          <w:rFonts w:hint="eastAsia"/>
        </w:rPr>
        <w:t>に従って容器の過圧防止システムの設計，製作，設置をする責任がある。使用者設計仕様書に容器への接続部も含めてこのシステムを明記する。</w:t>
      </w:r>
      <w:r w:rsidRPr="00BC31E0">
        <w:rPr>
          <w:rFonts w:hint="eastAsia"/>
        </w:rPr>
        <w:t>)</w:t>
      </w:r>
    </w:p>
    <w:p w14:paraId="1B630452" w14:textId="77777777" w:rsidR="002858C8" w:rsidRPr="00BC31E0" w:rsidRDefault="002858C8" w:rsidP="007E26D6">
      <w:pPr>
        <w:pStyle w:val="a4"/>
        <w:numPr>
          <w:ilvl w:val="0"/>
          <w:numId w:val="13"/>
        </w:numPr>
        <w:ind w:leftChars="0" w:left="738" w:hanging="454"/>
      </w:pPr>
      <w:r w:rsidRPr="00BC31E0">
        <w:rPr>
          <w:rFonts w:hint="eastAsia"/>
        </w:rPr>
        <w:t>追加要求事項</w:t>
      </w:r>
      <w:r w:rsidRPr="00BC31E0">
        <w:rPr>
          <w:rFonts w:hint="eastAsia"/>
        </w:rPr>
        <w:t>[</w:t>
      </w:r>
      <w:r w:rsidRPr="00BC31E0">
        <w:rPr>
          <w:rFonts w:hint="eastAsia"/>
        </w:rPr>
        <w:t>使用者は容器の運転に対して</w:t>
      </w:r>
      <w:r w:rsidR="006B5444" w:rsidRPr="00BC31E0">
        <w:rPr>
          <w:rFonts w:hint="eastAsia"/>
        </w:rPr>
        <w:t>，</w:t>
      </w:r>
      <w:r w:rsidRPr="00BC31E0">
        <w:rPr>
          <w:rFonts w:hint="eastAsia"/>
        </w:rPr>
        <w:t>どの</w:t>
      </w:r>
      <w:r w:rsidR="006B5444" w:rsidRPr="00BC31E0">
        <w:rPr>
          <w:rFonts w:hint="eastAsia"/>
        </w:rPr>
        <w:t>よう</w:t>
      </w:r>
      <w:r w:rsidRPr="00BC31E0">
        <w:rPr>
          <w:rFonts w:hint="eastAsia"/>
        </w:rPr>
        <w:t>な追加要求事項があるかを使用者設計仕様</w:t>
      </w:r>
      <w:r w:rsidR="00A312DD" w:rsidRPr="00BC31E0">
        <w:rPr>
          <w:rFonts w:hint="eastAsia"/>
        </w:rPr>
        <w:t>書に明記しなければならない。非破壊試験，化学成分の制限，熱処理など</w:t>
      </w:r>
      <w:r w:rsidRPr="00BC31E0">
        <w:rPr>
          <w:rFonts w:hint="eastAsia"/>
        </w:rPr>
        <w:t>の追加要求事項やこの規格の非強制や任意要求事項でもこの容器の設計には必須と考えられる</w:t>
      </w:r>
      <w:r w:rsidR="006B5444" w:rsidRPr="00BC31E0">
        <w:rPr>
          <w:rFonts w:hint="eastAsia"/>
        </w:rPr>
        <w:t>事項</w:t>
      </w:r>
      <w:r w:rsidRPr="00BC31E0">
        <w:rPr>
          <w:rFonts w:hint="eastAsia"/>
        </w:rPr>
        <w:t>，マーキングの特別要求やその位置，ふた又はふた板へのシールやボルトの要求事項，耐圧試験に関する追加要求事項</w:t>
      </w:r>
      <w:r w:rsidRPr="00BC31E0">
        <w:rPr>
          <w:rFonts w:hint="eastAsia"/>
        </w:rPr>
        <w:t>(</w:t>
      </w:r>
      <w:r w:rsidRPr="00BC31E0">
        <w:rPr>
          <w:rFonts w:hint="eastAsia"/>
        </w:rPr>
        <w:t>流体と温度の範囲，容器の姿勢，場所，清掃と乾燥</w:t>
      </w:r>
      <w:r w:rsidRPr="00BC31E0">
        <w:rPr>
          <w:rFonts w:hint="eastAsia"/>
        </w:rPr>
        <w:t>)</w:t>
      </w:r>
      <w:r w:rsidR="00A312DD" w:rsidRPr="00BC31E0">
        <w:rPr>
          <w:rFonts w:hint="eastAsia"/>
        </w:rPr>
        <w:t>など</w:t>
      </w:r>
      <w:r w:rsidRPr="00BC31E0">
        <w:rPr>
          <w:rFonts w:hint="eastAsia"/>
        </w:rPr>
        <w:t>である。</w:t>
      </w:r>
      <w:r w:rsidRPr="00BC31E0">
        <w:rPr>
          <w:rFonts w:hint="eastAsia"/>
        </w:rPr>
        <w:t>]</w:t>
      </w:r>
    </w:p>
    <w:p w14:paraId="40A98CEA" w14:textId="77777777" w:rsidR="002858C8" w:rsidRPr="00BC31E0" w:rsidRDefault="002858C8" w:rsidP="007E26D6">
      <w:pPr>
        <w:pStyle w:val="a4"/>
        <w:numPr>
          <w:ilvl w:val="0"/>
          <w:numId w:val="14"/>
        </w:numPr>
        <w:ind w:leftChars="0" w:left="738" w:hanging="454"/>
      </w:pPr>
      <w:r w:rsidRPr="00BC31E0">
        <w:rPr>
          <w:rFonts w:hint="eastAsia"/>
        </w:rPr>
        <w:t>据え付け場所</w:t>
      </w:r>
      <w:r w:rsidRPr="00BC31E0">
        <w:rPr>
          <w:rFonts w:hint="eastAsia"/>
        </w:rPr>
        <w:t>(</w:t>
      </w:r>
      <w:r w:rsidRPr="00BC31E0">
        <w:rPr>
          <w:rFonts w:hint="eastAsia"/>
        </w:rPr>
        <w:t>場所，管轄機関，検査代行機関，環境状態</w:t>
      </w:r>
      <w:r w:rsidRPr="00BC31E0">
        <w:rPr>
          <w:rFonts w:hint="eastAsia"/>
        </w:rPr>
        <w:t>)</w:t>
      </w:r>
    </w:p>
    <w:p w14:paraId="438FBFA7" w14:textId="77777777" w:rsidR="002858C8" w:rsidRPr="00BC31E0" w:rsidRDefault="002858C8" w:rsidP="007E26D6">
      <w:pPr>
        <w:pStyle w:val="a4"/>
        <w:numPr>
          <w:ilvl w:val="0"/>
          <w:numId w:val="15"/>
        </w:numPr>
        <w:ind w:leftChars="0" w:left="738" w:hanging="454"/>
      </w:pPr>
      <w:r w:rsidRPr="00BC31E0">
        <w:rPr>
          <w:rFonts w:hint="eastAsia"/>
        </w:rPr>
        <w:t>品質マネジメント要求事項</w:t>
      </w:r>
      <w:r w:rsidRPr="00BC31E0">
        <w:rPr>
          <w:rFonts w:hint="eastAsia"/>
        </w:rPr>
        <w:t>(</w:t>
      </w:r>
      <w:r w:rsidRPr="00BC31E0">
        <w:rPr>
          <w:rFonts w:hint="eastAsia"/>
        </w:rPr>
        <w:t>圧力容器の使用者は，品質マネジメントに関する日本工業規格の</w:t>
      </w:r>
      <w:r w:rsidRPr="00BC31E0">
        <w:rPr>
          <w:rFonts w:asciiTheme="majorEastAsia" w:eastAsiaTheme="majorEastAsia" w:hAnsiTheme="majorEastAsia" w:hint="eastAsia"/>
          <w:b/>
        </w:rPr>
        <w:t>JIS Q 9001</w:t>
      </w:r>
      <w:r w:rsidRPr="00BC31E0">
        <w:rPr>
          <w:rFonts w:hAnsi="ＭＳ ゴシック" w:hint="eastAsia"/>
        </w:rPr>
        <w:t>を用いて，</w:t>
      </w:r>
      <w:r w:rsidRPr="00BC31E0">
        <w:rPr>
          <w:rFonts w:hint="eastAsia"/>
        </w:rPr>
        <w:t>発注形態に応じて品質マネジメント要求事項を作成し，使用者設計仕様書に含める。</w:t>
      </w:r>
      <w:r w:rsidRPr="00BC31E0">
        <w:rPr>
          <w:rFonts w:hint="eastAsia"/>
        </w:rPr>
        <w:t>)</w:t>
      </w:r>
    </w:p>
    <w:p w14:paraId="7CB850EA" w14:textId="77777777" w:rsidR="002858C8" w:rsidRPr="00BC31E0" w:rsidRDefault="002858C8" w:rsidP="00736130">
      <w:pPr>
        <w:pStyle w:val="a4"/>
        <w:numPr>
          <w:ilvl w:val="0"/>
          <w:numId w:val="449"/>
        </w:numPr>
        <w:ind w:leftChars="0" w:left="454" w:hanging="454"/>
        <w:rPr>
          <w:rFonts w:ascii="ＭＳ 明朝" w:hAnsi="ＭＳ 明朝"/>
          <w:b/>
        </w:rPr>
      </w:pPr>
      <w:r w:rsidRPr="00BC31E0">
        <w:rPr>
          <w:rFonts w:asciiTheme="majorEastAsia" w:eastAsiaTheme="majorEastAsia" w:hAnsiTheme="majorEastAsia" w:hint="eastAsia"/>
          <w:b/>
        </w:rPr>
        <w:t>製作者設計報告書</w:t>
      </w:r>
      <w:r w:rsidRPr="00BC31E0">
        <w:rPr>
          <w:rFonts w:hint="eastAsia"/>
        </w:rPr>
        <w:t xml:space="preserve">　</w:t>
      </w:r>
      <w:r w:rsidRPr="00BC31E0">
        <w:rPr>
          <w:rFonts w:ascii="ＭＳ 明朝" w:hAnsi="ＭＳ 明朝" w:hint="eastAsia"/>
        </w:rPr>
        <w:t>製作者は責任の一部として製作者設計報告書を作成し，圧力容器の使用者に提出しなければならない。これには次の</w:t>
      </w:r>
      <w:r w:rsidR="001E1C3E" w:rsidRPr="00BC31E0">
        <w:rPr>
          <w:rFonts w:asciiTheme="majorEastAsia" w:eastAsiaTheme="majorEastAsia" w:hAnsiTheme="majorEastAsia" w:hint="eastAsia"/>
          <w:b/>
        </w:rPr>
        <w:t>1)</w:t>
      </w:r>
      <w:r w:rsidR="001E1C3E" w:rsidRPr="00BC31E0">
        <w:rPr>
          <w:rFonts w:ascii="ＭＳ 明朝" w:hAnsi="ＭＳ 明朝" w:hint="eastAsia"/>
        </w:rPr>
        <w:t>～</w:t>
      </w:r>
      <w:r w:rsidR="001E1C3E" w:rsidRPr="00BC31E0">
        <w:rPr>
          <w:rFonts w:asciiTheme="majorEastAsia" w:eastAsiaTheme="majorEastAsia" w:hAnsiTheme="majorEastAsia" w:hint="eastAsia"/>
          <w:b/>
        </w:rPr>
        <w:t>5)</w:t>
      </w:r>
      <w:r w:rsidRPr="00BC31E0">
        <w:rPr>
          <w:rFonts w:ascii="ＭＳ 明朝" w:hAnsi="ＭＳ 明朝" w:hint="eastAsia"/>
        </w:rPr>
        <w:t>を含めなければならない。</w:t>
      </w:r>
    </w:p>
    <w:p w14:paraId="46052CC0" w14:textId="77777777" w:rsidR="002858C8" w:rsidRPr="00BC31E0" w:rsidRDefault="002858C8" w:rsidP="007E26D6">
      <w:pPr>
        <w:pStyle w:val="a4"/>
        <w:numPr>
          <w:ilvl w:val="0"/>
          <w:numId w:val="16"/>
        </w:numPr>
        <w:ind w:leftChars="0" w:left="738" w:hanging="454"/>
      </w:pPr>
      <w:r w:rsidRPr="00BC31E0">
        <w:rPr>
          <w:rFonts w:hint="eastAsia"/>
        </w:rPr>
        <w:t>完成状態までの変更を含め，図面に示される設計を確証する設計計算や解析。これらは使用者設計仕様書で明示された設計条件に対するこの規格の要求事項に適合させなければならない。</w:t>
      </w:r>
    </w:p>
    <w:p w14:paraId="4F929272" w14:textId="77777777" w:rsidR="002858C8" w:rsidRPr="00BC31E0" w:rsidRDefault="002858C8" w:rsidP="007E26D6">
      <w:pPr>
        <w:pStyle w:val="a4"/>
        <w:numPr>
          <w:ilvl w:val="0"/>
          <w:numId w:val="16"/>
        </w:numPr>
        <w:ind w:leftChars="0" w:left="738" w:hanging="454"/>
      </w:pPr>
      <w:r w:rsidRPr="00BC31E0">
        <w:rPr>
          <w:rFonts w:hint="eastAsia"/>
        </w:rPr>
        <w:t>最終図又は完成図</w:t>
      </w:r>
    </w:p>
    <w:p w14:paraId="4509114E" w14:textId="77777777" w:rsidR="002858C8" w:rsidRPr="00BC31E0" w:rsidRDefault="002858C8" w:rsidP="007E26D6">
      <w:pPr>
        <w:pStyle w:val="a4"/>
        <w:numPr>
          <w:ilvl w:val="0"/>
          <w:numId w:val="16"/>
        </w:numPr>
        <w:ind w:leftChars="0" w:left="738" w:hanging="454"/>
      </w:pPr>
      <w:r w:rsidRPr="00BC31E0">
        <w:rPr>
          <w:rFonts w:hint="eastAsia"/>
        </w:rPr>
        <w:t>製造中における加熱，熱処理の影響の考察資料。同時に，設計上で物性やプレストレスが影響を受けないような最高金属温度</w:t>
      </w:r>
    </w:p>
    <w:p w14:paraId="07E9BAC6" w14:textId="77777777" w:rsidR="002858C8" w:rsidRPr="00BC31E0" w:rsidRDefault="00B71C2A" w:rsidP="007E26D6">
      <w:pPr>
        <w:pStyle w:val="a4"/>
        <w:numPr>
          <w:ilvl w:val="0"/>
          <w:numId w:val="16"/>
        </w:numPr>
        <w:ind w:leftChars="0" w:left="738" w:hanging="454"/>
      </w:pPr>
      <w:r w:rsidRPr="00BC31E0">
        <w:rPr>
          <w:rFonts w:hint="eastAsia"/>
        </w:rPr>
        <w:t>製作者が取付けるふた板，ふた及び接続配管など</w:t>
      </w:r>
      <w:r w:rsidR="002858C8" w:rsidRPr="00BC31E0">
        <w:rPr>
          <w:rFonts w:hint="eastAsia"/>
        </w:rPr>
        <w:t>が無い開口部</w:t>
      </w:r>
    </w:p>
    <w:p w14:paraId="2CAF04D0" w14:textId="77777777" w:rsidR="002858C8" w:rsidRPr="00BC31E0" w:rsidRDefault="002858C8" w:rsidP="007E26D6">
      <w:pPr>
        <w:pStyle w:val="a4"/>
        <w:numPr>
          <w:ilvl w:val="0"/>
          <w:numId w:val="16"/>
        </w:numPr>
        <w:ind w:leftChars="0" w:left="738" w:hanging="454"/>
      </w:pPr>
      <w:r w:rsidRPr="00BC31E0">
        <w:rPr>
          <w:rFonts w:hint="eastAsia"/>
        </w:rPr>
        <w:t>容器断面における温度勾配の制限値</w:t>
      </w:r>
    </w:p>
    <w:p w14:paraId="515872F5" w14:textId="77777777" w:rsidR="002858C8" w:rsidRPr="00BC31E0" w:rsidRDefault="002858C8" w:rsidP="00736130">
      <w:pPr>
        <w:pStyle w:val="a4"/>
        <w:numPr>
          <w:ilvl w:val="0"/>
          <w:numId w:val="450"/>
        </w:numPr>
        <w:ind w:leftChars="0" w:left="454" w:hanging="454"/>
        <w:rPr>
          <w:rFonts w:ascii="ＭＳ 明朝" w:hAnsi="ＭＳ 明朝"/>
          <w:b/>
        </w:rPr>
      </w:pPr>
      <w:r w:rsidRPr="00BC31E0">
        <w:rPr>
          <w:rFonts w:asciiTheme="majorEastAsia" w:eastAsiaTheme="majorEastAsia" w:hAnsiTheme="majorEastAsia" w:hint="eastAsia"/>
          <w:b/>
        </w:rPr>
        <w:t>製作者製作記録</w:t>
      </w:r>
      <w:r w:rsidRPr="00BC31E0">
        <w:rPr>
          <w:rFonts w:hint="eastAsia"/>
        </w:rPr>
        <w:t xml:space="preserve">　</w:t>
      </w:r>
      <w:r w:rsidRPr="00BC31E0">
        <w:rPr>
          <w:rFonts w:ascii="ＭＳ 明朝" w:hAnsi="ＭＳ 明朝" w:hint="eastAsia"/>
        </w:rPr>
        <w:t>製作者は製作者設計報告書への適合を示すために，製作進捗に合わせた製作記録と非破壊試験報告書，補修，図面からの逸脱に関する文書を準備，収集，保持しなければならない。製作記録ファイルの索引は最新状態を反映させなければならない。</w:t>
      </w:r>
    </w:p>
    <w:p w14:paraId="493F0136" w14:textId="77777777" w:rsidR="002858C8" w:rsidRPr="00BC31E0" w:rsidRDefault="002858C8" w:rsidP="004F6AB0">
      <w:pPr>
        <w:pStyle w:val="3"/>
        <w:tabs>
          <w:tab w:val="clear" w:pos="284"/>
        </w:tabs>
        <w:ind w:left="794" w:hanging="794"/>
      </w:pPr>
      <w:r w:rsidRPr="00BC31E0">
        <w:rPr>
          <w:rFonts w:hint="eastAsia"/>
        </w:rPr>
        <w:t>圧力容器の製作者の内部品質マネジメントシステム</w:t>
      </w:r>
    </w:p>
    <w:p w14:paraId="111E5727" w14:textId="77777777" w:rsidR="002858C8" w:rsidRPr="00BC31E0" w:rsidRDefault="002858C8" w:rsidP="003D3790">
      <w:pPr>
        <w:pStyle w:val="1110"/>
        <w:ind w:firstLine="210"/>
        <w:rPr>
          <w:rStyle w:val="1112"/>
        </w:rPr>
      </w:pPr>
      <w:r w:rsidRPr="00BC31E0">
        <w:rPr>
          <w:rStyle w:val="1112"/>
          <w:rFonts w:hint="eastAsia"/>
        </w:rPr>
        <w:t>圧力容器の製作者は</w:t>
      </w:r>
      <w:r w:rsidRPr="00BC31E0">
        <w:rPr>
          <w:rFonts w:hint="eastAsia"/>
        </w:rPr>
        <w:t>，</w:t>
      </w:r>
      <w:r w:rsidRPr="00BC31E0">
        <w:rPr>
          <w:rStyle w:val="1112"/>
          <w:rFonts w:ascii="ＭＳ ゴシック" w:eastAsia="ＭＳ ゴシック" w:hAnsi="ＭＳ ゴシック" w:hint="eastAsia"/>
          <w:b/>
        </w:rPr>
        <w:t>JIS Q 900</w:t>
      </w:r>
      <w:r w:rsidRPr="00BC31E0">
        <w:rPr>
          <w:rStyle w:val="1112"/>
          <w:rFonts w:ascii="ＭＳ ゴシック" w:eastAsia="ＭＳ ゴシック" w:hint="eastAsia"/>
          <w:b/>
        </w:rPr>
        <w:t>1</w:t>
      </w:r>
      <w:r w:rsidRPr="00BC31E0">
        <w:rPr>
          <w:rStyle w:val="1112"/>
          <w:rFonts w:hint="eastAsia"/>
        </w:rPr>
        <w:t>及び</w:t>
      </w:r>
      <w:r w:rsidRPr="00BC31E0">
        <w:rPr>
          <w:rStyle w:val="1112"/>
          <w:rFonts w:ascii="ＭＳ ゴシック" w:eastAsia="ＭＳ ゴシック" w:hAnsi="ＭＳ ゴシック" w:hint="eastAsia"/>
          <w:b/>
        </w:rPr>
        <w:t>附属書A</w:t>
      </w:r>
      <w:r w:rsidRPr="00BC31E0">
        <w:rPr>
          <w:rStyle w:val="1112"/>
          <w:rFonts w:hint="eastAsia"/>
        </w:rPr>
        <w:t>を参考にして内部の品質保証と品質管理を目的とした品質マネジメントシステムを確立し</w:t>
      </w:r>
      <w:r w:rsidRPr="00BC31E0">
        <w:rPr>
          <w:rFonts w:hint="eastAsia"/>
        </w:rPr>
        <w:t>，文書化し，</w:t>
      </w:r>
      <w:r w:rsidRPr="00BC31E0">
        <w:rPr>
          <w:rStyle w:val="1112"/>
          <w:rFonts w:hint="eastAsia"/>
        </w:rPr>
        <w:t>実施しなければならない。</w:t>
      </w:r>
    </w:p>
    <w:p w14:paraId="5402212C" w14:textId="77777777" w:rsidR="002858C8" w:rsidRPr="00BC31E0" w:rsidRDefault="002858C8" w:rsidP="003D3790">
      <w:pPr>
        <w:pStyle w:val="1110"/>
        <w:ind w:firstLine="210"/>
      </w:pPr>
      <w:r w:rsidRPr="00BC31E0">
        <w:rPr>
          <w:rStyle w:val="1112"/>
          <w:rFonts w:hint="eastAsia"/>
        </w:rPr>
        <w:t>この品質マネジメントシステムは</w:t>
      </w:r>
      <w:r w:rsidRPr="00BC31E0">
        <w:rPr>
          <w:rFonts w:hint="eastAsia"/>
        </w:rPr>
        <w:t>，</w:t>
      </w:r>
      <w:r w:rsidRPr="00BC31E0">
        <w:rPr>
          <w:rStyle w:val="1112"/>
          <w:rFonts w:hint="eastAsia"/>
        </w:rPr>
        <w:t>他社に製作を委託する圧力容器の部分</w:t>
      </w:r>
      <w:r w:rsidRPr="00BC31E0">
        <w:rPr>
          <w:rFonts w:hint="eastAsia"/>
        </w:rPr>
        <w:t>，</w:t>
      </w:r>
      <w:r w:rsidRPr="00BC31E0">
        <w:rPr>
          <w:rStyle w:val="1112"/>
          <w:rFonts w:hint="eastAsia"/>
        </w:rPr>
        <w:t>部品及び成形</w:t>
      </w:r>
      <w:r w:rsidRPr="00BC31E0">
        <w:rPr>
          <w:rFonts w:hint="eastAsia"/>
        </w:rPr>
        <w:t>，</w:t>
      </w:r>
      <w:r w:rsidRPr="00BC31E0">
        <w:rPr>
          <w:rStyle w:val="1112"/>
          <w:rFonts w:hint="eastAsia"/>
        </w:rPr>
        <w:t>非破壊試験</w:t>
      </w:r>
      <w:r w:rsidRPr="00BC31E0">
        <w:rPr>
          <w:rFonts w:hint="eastAsia"/>
        </w:rPr>
        <w:t>，</w:t>
      </w:r>
      <w:r w:rsidRPr="00BC31E0">
        <w:rPr>
          <w:rStyle w:val="1112"/>
          <w:rFonts w:hint="eastAsia"/>
        </w:rPr>
        <w:t>熱処理などの作業を含めて</w:t>
      </w:r>
      <w:r w:rsidRPr="00BC31E0">
        <w:rPr>
          <w:rFonts w:hint="eastAsia"/>
        </w:rPr>
        <w:t>，</w:t>
      </w:r>
      <w:r w:rsidRPr="00BC31E0">
        <w:rPr>
          <w:rStyle w:val="1112"/>
          <w:rFonts w:hint="eastAsia"/>
        </w:rPr>
        <w:t>圧力容器がこの規格の規定に従って製作されたことを証明できる</w:t>
      </w:r>
      <w:r w:rsidR="009E64DA" w:rsidRPr="00BC31E0">
        <w:rPr>
          <w:rStyle w:val="1112"/>
          <w:rFonts w:hint="eastAsia"/>
        </w:rPr>
        <w:t>システム</w:t>
      </w:r>
      <w:r w:rsidRPr="00BC31E0">
        <w:rPr>
          <w:rStyle w:val="1112"/>
          <w:rFonts w:hint="eastAsia"/>
        </w:rPr>
        <w:t>でなければならない。</w:t>
      </w:r>
    </w:p>
    <w:p w14:paraId="70BF830D" w14:textId="77777777" w:rsidR="002858C8" w:rsidRPr="00BC31E0" w:rsidRDefault="002858C8" w:rsidP="004F6AB0">
      <w:pPr>
        <w:pStyle w:val="3"/>
        <w:tabs>
          <w:tab w:val="clear" w:pos="284"/>
        </w:tabs>
        <w:ind w:left="794" w:hanging="794"/>
      </w:pPr>
      <w:r w:rsidRPr="00BC31E0">
        <w:rPr>
          <w:rFonts w:hint="eastAsia"/>
        </w:rPr>
        <w:t>圧力容器の製作者の品質保証</w:t>
      </w:r>
    </w:p>
    <w:p w14:paraId="7E138367" w14:textId="77777777" w:rsidR="002858C8" w:rsidRPr="00BC31E0" w:rsidRDefault="002858C8" w:rsidP="003D3790">
      <w:pPr>
        <w:pStyle w:val="1110"/>
        <w:ind w:firstLine="210"/>
      </w:pPr>
      <w:r w:rsidRPr="00BC31E0">
        <w:rPr>
          <w:rStyle w:val="1112"/>
          <w:rFonts w:hint="eastAsia"/>
        </w:rPr>
        <w:t>圧力容器の製作者は</w:t>
      </w:r>
      <w:r w:rsidRPr="00BC31E0">
        <w:rPr>
          <w:rFonts w:hint="eastAsia"/>
        </w:rPr>
        <w:t>，</w:t>
      </w:r>
      <w:r w:rsidRPr="00BC31E0">
        <w:rPr>
          <w:rStyle w:val="1112"/>
          <w:rFonts w:ascii="ＭＳ ゴシック" w:eastAsia="ＭＳ ゴシック" w:hAnsi="ＭＳ ゴシック" w:hint="eastAsia"/>
          <w:b/>
        </w:rPr>
        <w:t>1.2.2</w:t>
      </w:r>
      <w:r w:rsidRPr="00BC31E0">
        <w:rPr>
          <w:rStyle w:val="1112"/>
          <w:rFonts w:hint="eastAsia"/>
        </w:rPr>
        <w:t>による内部品質マネジメントシステムによって，</w:t>
      </w:r>
      <w:r w:rsidRPr="00BC31E0">
        <w:rPr>
          <w:rStyle w:val="1112"/>
          <w:rFonts w:ascii="ＭＳ ゴシック" w:eastAsia="ＭＳ ゴシック" w:hAnsi="ＭＳ ゴシック" w:hint="eastAsia"/>
          <w:b/>
        </w:rPr>
        <w:t>1.2.1 b) 14)</w:t>
      </w:r>
      <w:r w:rsidRPr="00BC31E0">
        <w:rPr>
          <w:rStyle w:val="1112"/>
          <w:rFonts w:hint="eastAsia"/>
        </w:rPr>
        <w:t>に規定する圧力容器の使用者の品質マネジメント要求事項を満足する品質管理を行わなければならない。圧力容器の完成後</w:t>
      </w:r>
      <w:r w:rsidRPr="00BC31E0">
        <w:rPr>
          <w:rFonts w:hint="eastAsia"/>
        </w:rPr>
        <w:t>，</w:t>
      </w:r>
      <w:r w:rsidRPr="00BC31E0">
        <w:rPr>
          <w:rStyle w:val="1112"/>
          <w:rFonts w:hint="eastAsia"/>
        </w:rPr>
        <w:t>品質記録も含めて，圧力容器がこの規格に従って製作されたことを証明する製作者製作記録を作成し</w:t>
      </w:r>
      <w:r w:rsidRPr="00BC31E0">
        <w:rPr>
          <w:rFonts w:hint="eastAsia"/>
        </w:rPr>
        <w:t>，</w:t>
      </w:r>
      <w:r w:rsidRPr="00BC31E0">
        <w:rPr>
          <w:rStyle w:val="1112"/>
          <w:rFonts w:hint="eastAsia"/>
        </w:rPr>
        <w:t>圧力容器の使用者に提出しなければならない</w:t>
      </w:r>
      <w:r w:rsidRPr="00BC31E0">
        <w:rPr>
          <w:rStyle w:val="1112"/>
          <w:rFonts w:hint="eastAsia"/>
        </w:rPr>
        <w:t>(</w:t>
      </w:r>
      <w:r w:rsidRPr="00BC31E0">
        <w:rPr>
          <w:rStyle w:val="1112"/>
          <w:rFonts w:ascii="ＭＳ ゴシック" w:eastAsia="ＭＳ ゴシック" w:hAnsi="ＭＳ ゴシック" w:hint="eastAsia"/>
          <w:b/>
        </w:rPr>
        <w:t>附属書A</w:t>
      </w:r>
      <w:r w:rsidRPr="00BC31E0">
        <w:rPr>
          <w:rStyle w:val="1112"/>
          <w:rFonts w:hint="eastAsia"/>
        </w:rPr>
        <w:t>の</w:t>
      </w:r>
      <w:r w:rsidRPr="00BC31E0">
        <w:rPr>
          <w:rStyle w:val="1112"/>
          <w:rFonts w:ascii="ＭＳ ゴシック" w:eastAsia="ＭＳ ゴシック" w:hAnsi="ＭＳ ゴシック" w:hint="eastAsia"/>
          <w:b/>
        </w:rPr>
        <w:t>2.1</w:t>
      </w:r>
      <w:r w:rsidR="001F1F00" w:rsidRPr="00BC31E0">
        <w:rPr>
          <w:rStyle w:val="1112"/>
          <w:rFonts w:ascii="ＭＳ ゴシック" w:eastAsia="ＭＳ ゴシック" w:hAnsi="ＭＳ ゴシック" w:hint="eastAsia"/>
          <w:b/>
        </w:rPr>
        <w:t>1</w:t>
      </w:r>
      <w:r w:rsidRPr="00BC31E0">
        <w:rPr>
          <w:rStyle w:val="1112"/>
          <w:rFonts w:ascii="ＭＳ ゴシック" w:hAnsi="ＭＳ ゴシック" w:hint="eastAsia"/>
        </w:rPr>
        <w:t>を</w:t>
      </w:r>
      <w:r w:rsidRPr="00BC31E0">
        <w:rPr>
          <w:rStyle w:val="1112"/>
          <w:rFonts w:hint="eastAsia"/>
        </w:rPr>
        <w:t>参照</w:t>
      </w:r>
      <w:r w:rsidRPr="00BC31E0">
        <w:rPr>
          <w:rFonts w:hint="eastAsia"/>
        </w:rPr>
        <w:t>)</w:t>
      </w:r>
      <w:r w:rsidR="00E7789A" w:rsidRPr="00BC31E0">
        <w:rPr>
          <w:rStyle w:val="1112"/>
          <w:rFonts w:hint="eastAsia"/>
        </w:rPr>
        <w:t xml:space="preserve"> </w:t>
      </w:r>
      <w:r w:rsidR="00E7789A" w:rsidRPr="00BC31E0">
        <w:rPr>
          <w:rStyle w:val="1112"/>
          <w:rFonts w:hint="eastAsia"/>
        </w:rPr>
        <w:t>。</w:t>
      </w:r>
    </w:p>
    <w:p w14:paraId="4DA50605" w14:textId="77777777" w:rsidR="00006CB1" w:rsidRPr="00BC31E0" w:rsidRDefault="00006CB1" w:rsidP="004F6AB0">
      <w:pPr>
        <w:pStyle w:val="1110"/>
        <w:ind w:firstLineChars="0" w:firstLine="0"/>
      </w:pPr>
    </w:p>
    <w:p w14:paraId="4EE4D48B" w14:textId="77777777" w:rsidR="00006CB1" w:rsidRPr="00BC31E0" w:rsidRDefault="00006CB1" w:rsidP="004F6AB0">
      <w:pPr>
        <w:pStyle w:val="10"/>
        <w:ind w:left="340" w:hanging="340"/>
      </w:pPr>
      <w:bookmarkStart w:id="12" w:name="_Toc120092510"/>
      <w:r w:rsidRPr="00BC31E0">
        <w:rPr>
          <w:rFonts w:hint="eastAsia"/>
        </w:rPr>
        <w:lastRenderedPageBreak/>
        <w:t>この規格の構成</w:t>
      </w:r>
      <w:bookmarkEnd w:id="12"/>
    </w:p>
    <w:p w14:paraId="3BBAB376" w14:textId="77777777" w:rsidR="00006CB1" w:rsidRPr="00BC31E0" w:rsidRDefault="00006CB1" w:rsidP="004F6AB0">
      <w:pPr>
        <w:pStyle w:val="20"/>
        <w:tabs>
          <w:tab w:val="clear" w:pos="284"/>
        </w:tabs>
        <w:ind w:left="567" w:hanging="567"/>
      </w:pPr>
      <w:bookmarkStart w:id="13" w:name="_Toc357672078"/>
      <w:bookmarkStart w:id="14" w:name="_Toc120092511"/>
      <w:r w:rsidRPr="00BC31E0">
        <w:rPr>
          <w:rFonts w:hint="eastAsia"/>
        </w:rPr>
        <w:t>この規格の本体</w:t>
      </w:r>
      <w:bookmarkEnd w:id="13"/>
      <w:bookmarkEnd w:id="14"/>
    </w:p>
    <w:p w14:paraId="04837CFA" w14:textId="77777777" w:rsidR="00006CB1" w:rsidRPr="00BC31E0" w:rsidRDefault="00006CB1" w:rsidP="00203A92">
      <w:pPr>
        <w:ind w:firstLineChars="100" w:firstLine="210"/>
      </w:pPr>
      <w:r w:rsidRPr="00BC31E0">
        <w:rPr>
          <w:rStyle w:val="114"/>
          <w:rFonts w:hint="eastAsia"/>
        </w:rPr>
        <w:t>この規格の本体は，次の</w:t>
      </w:r>
      <w:r w:rsidRPr="00BC31E0">
        <w:rPr>
          <w:rStyle w:val="114"/>
          <w:rFonts w:hint="eastAsia"/>
        </w:rPr>
        <w:t>11</w:t>
      </w:r>
      <w:r w:rsidRPr="00BC31E0">
        <w:rPr>
          <w:rStyle w:val="114"/>
          <w:rFonts w:hint="eastAsia"/>
        </w:rPr>
        <w:t>の章から成り立っている。</w:t>
      </w:r>
    </w:p>
    <w:p w14:paraId="435E44C2" w14:textId="77777777" w:rsidR="00006CB1" w:rsidRPr="00BC31E0" w:rsidRDefault="00006CB1" w:rsidP="00203A92">
      <w:pPr>
        <w:autoSpaceDE w:val="0"/>
        <w:autoSpaceDN w:val="0"/>
        <w:ind w:leftChars="400" w:left="840"/>
      </w:pPr>
      <w:r w:rsidRPr="00BC31E0">
        <w:rPr>
          <w:rFonts w:hint="eastAsia"/>
        </w:rPr>
        <w:t>序文</w:t>
      </w:r>
    </w:p>
    <w:p w14:paraId="12809A53" w14:textId="77777777" w:rsidR="00006CB1" w:rsidRPr="00BC31E0" w:rsidRDefault="00006CB1" w:rsidP="00203A92">
      <w:pPr>
        <w:autoSpaceDE w:val="0"/>
        <w:autoSpaceDN w:val="0"/>
        <w:ind w:leftChars="400" w:left="840"/>
      </w:pPr>
      <w:r w:rsidRPr="00BC31E0">
        <w:rPr>
          <w:rFonts w:hint="eastAsia"/>
        </w:rPr>
        <w:t>1</w:t>
      </w:r>
      <w:r w:rsidRPr="00BC31E0">
        <w:rPr>
          <w:rFonts w:hint="eastAsia"/>
        </w:rPr>
        <w:t xml:space="preserve">　</w:t>
      </w:r>
      <w:r w:rsidRPr="00BC31E0">
        <w:rPr>
          <w:rFonts w:hint="eastAsia"/>
        </w:rPr>
        <w:t xml:space="preserve"> </w:t>
      </w:r>
      <w:r w:rsidRPr="00BC31E0">
        <w:rPr>
          <w:rFonts w:hint="eastAsia"/>
        </w:rPr>
        <w:t>一般要求</w:t>
      </w:r>
    </w:p>
    <w:p w14:paraId="6AAD1F71" w14:textId="77777777" w:rsidR="00006CB1" w:rsidRPr="00BC31E0" w:rsidRDefault="00006CB1" w:rsidP="00203A92">
      <w:pPr>
        <w:autoSpaceDE w:val="0"/>
        <w:autoSpaceDN w:val="0"/>
        <w:ind w:leftChars="400" w:left="840"/>
      </w:pPr>
      <w:r w:rsidRPr="00BC31E0">
        <w:rPr>
          <w:rFonts w:hint="eastAsia"/>
        </w:rPr>
        <w:t>2</w:t>
      </w:r>
      <w:r w:rsidRPr="00BC31E0">
        <w:rPr>
          <w:rFonts w:hint="eastAsia"/>
        </w:rPr>
        <w:t xml:space="preserve">　</w:t>
      </w:r>
      <w:r w:rsidRPr="00BC31E0">
        <w:rPr>
          <w:rFonts w:hint="eastAsia"/>
        </w:rPr>
        <w:t xml:space="preserve"> </w:t>
      </w:r>
      <w:r w:rsidRPr="00BC31E0">
        <w:rPr>
          <w:rFonts w:hint="eastAsia"/>
        </w:rPr>
        <w:t>この規格の構成</w:t>
      </w:r>
    </w:p>
    <w:p w14:paraId="0E9C2239" w14:textId="77777777" w:rsidR="00006CB1" w:rsidRPr="00BC31E0" w:rsidRDefault="00006CB1" w:rsidP="00203A92">
      <w:pPr>
        <w:autoSpaceDE w:val="0"/>
        <w:autoSpaceDN w:val="0"/>
        <w:ind w:leftChars="400" w:left="840"/>
      </w:pPr>
      <w:r w:rsidRPr="00BC31E0">
        <w:rPr>
          <w:rFonts w:hint="eastAsia"/>
        </w:rPr>
        <w:t xml:space="preserve">3   </w:t>
      </w:r>
      <w:r w:rsidRPr="00BC31E0">
        <w:rPr>
          <w:rFonts w:hint="eastAsia"/>
        </w:rPr>
        <w:t>引用規格</w:t>
      </w:r>
    </w:p>
    <w:p w14:paraId="16D994F7" w14:textId="77777777" w:rsidR="00006CB1" w:rsidRPr="00BC31E0" w:rsidRDefault="00006CB1" w:rsidP="00203A92">
      <w:pPr>
        <w:autoSpaceDE w:val="0"/>
        <w:autoSpaceDN w:val="0"/>
        <w:ind w:leftChars="400" w:left="840"/>
      </w:pPr>
      <w:r w:rsidRPr="00BC31E0">
        <w:rPr>
          <w:rFonts w:hint="eastAsia"/>
        </w:rPr>
        <w:t xml:space="preserve">4   </w:t>
      </w:r>
      <w:r w:rsidRPr="00BC31E0">
        <w:rPr>
          <w:rFonts w:hint="eastAsia"/>
        </w:rPr>
        <w:t>用語の定義</w:t>
      </w:r>
    </w:p>
    <w:p w14:paraId="34347A4F" w14:textId="77777777" w:rsidR="00006CB1" w:rsidRPr="00BC31E0" w:rsidRDefault="00006CB1" w:rsidP="00203A92">
      <w:pPr>
        <w:autoSpaceDE w:val="0"/>
        <w:autoSpaceDN w:val="0"/>
        <w:ind w:leftChars="400" w:left="840"/>
      </w:pPr>
      <w:r w:rsidRPr="00BC31E0">
        <w:rPr>
          <w:rFonts w:hint="eastAsia"/>
        </w:rPr>
        <w:t xml:space="preserve">5   </w:t>
      </w:r>
      <w:r w:rsidRPr="00BC31E0">
        <w:rPr>
          <w:rFonts w:hint="eastAsia"/>
        </w:rPr>
        <w:t>材料</w:t>
      </w:r>
    </w:p>
    <w:p w14:paraId="5C44F37A" w14:textId="77777777" w:rsidR="00006CB1" w:rsidRPr="00BC31E0" w:rsidRDefault="00006CB1" w:rsidP="00203A92">
      <w:pPr>
        <w:autoSpaceDE w:val="0"/>
        <w:autoSpaceDN w:val="0"/>
        <w:ind w:leftChars="400" w:left="840"/>
      </w:pPr>
      <w:r w:rsidRPr="00BC31E0">
        <w:rPr>
          <w:rFonts w:hint="eastAsia"/>
        </w:rPr>
        <w:t xml:space="preserve">6   </w:t>
      </w:r>
      <w:r w:rsidRPr="00BC31E0">
        <w:rPr>
          <w:rFonts w:hint="eastAsia"/>
        </w:rPr>
        <w:t>設計</w:t>
      </w:r>
    </w:p>
    <w:p w14:paraId="5C3D73CC" w14:textId="77777777" w:rsidR="00006CB1" w:rsidRPr="00BC31E0" w:rsidRDefault="00006CB1" w:rsidP="00203A92">
      <w:pPr>
        <w:autoSpaceDE w:val="0"/>
        <w:autoSpaceDN w:val="0"/>
        <w:ind w:leftChars="400" w:left="840"/>
      </w:pPr>
      <w:r w:rsidRPr="00BC31E0">
        <w:rPr>
          <w:rFonts w:hint="eastAsia"/>
        </w:rPr>
        <w:t xml:space="preserve">7   </w:t>
      </w:r>
      <w:r w:rsidRPr="00BC31E0">
        <w:rPr>
          <w:rFonts w:hint="eastAsia"/>
        </w:rPr>
        <w:t>製作</w:t>
      </w:r>
    </w:p>
    <w:p w14:paraId="3C904934" w14:textId="77777777" w:rsidR="00006CB1" w:rsidRPr="00BC31E0" w:rsidRDefault="00006CB1" w:rsidP="00203A92">
      <w:pPr>
        <w:autoSpaceDE w:val="0"/>
        <w:autoSpaceDN w:val="0"/>
        <w:ind w:leftChars="400" w:left="840"/>
      </w:pPr>
      <w:r w:rsidRPr="00BC31E0">
        <w:rPr>
          <w:rFonts w:hint="eastAsia"/>
        </w:rPr>
        <w:t xml:space="preserve">8   </w:t>
      </w:r>
      <w:r w:rsidRPr="00BC31E0">
        <w:rPr>
          <w:rFonts w:hint="eastAsia"/>
        </w:rPr>
        <w:t>過圧防止安全装置</w:t>
      </w:r>
    </w:p>
    <w:p w14:paraId="06551F8B" w14:textId="77777777" w:rsidR="00006CB1" w:rsidRPr="00BC31E0" w:rsidRDefault="00006CB1" w:rsidP="00203A92">
      <w:pPr>
        <w:autoSpaceDE w:val="0"/>
        <w:autoSpaceDN w:val="0"/>
        <w:ind w:leftChars="400" w:left="840"/>
      </w:pPr>
      <w:r w:rsidRPr="00BC31E0">
        <w:rPr>
          <w:rFonts w:hint="eastAsia"/>
        </w:rPr>
        <w:t xml:space="preserve">9   </w:t>
      </w:r>
      <w:r w:rsidRPr="00BC31E0">
        <w:rPr>
          <w:rFonts w:hint="eastAsia"/>
        </w:rPr>
        <w:t>非破壊試験</w:t>
      </w:r>
    </w:p>
    <w:p w14:paraId="0AA7CE33" w14:textId="77777777" w:rsidR="00006CB1" w:rsidRPr="00BC31E0" w:rsidRDefault="00006CB1" w:rsidP="00203A92">
      <w:pPr>
        <w:autoSpaceDE w:val="0"/>
        <w:autoSpaceDN w:val="0"/>
        <w:ind w:leftChars="400" w:left="840"/>
      </w:pPr>
      <w:r w:rsidRPr="00BC31E0">
        <w:rPr>
          <w:rFonts w:hint="eastAsia"/>
        </w:rPr>
        <w:t xml:space="preserve">10  </w:t>
      </w:r>
      <w:r w:rsidRPr="00BC31E0">
        <w:rPr>
          <w:rFonts w:hint="eastAsia"/>
        </w:rPr>
        <w:t>試験</w:t>
      </w:r>
    </w:p>
    <w:p w14:paraId="629E1E91" w14:textId="77777777" w:rsidR="00006CB1" w:rsidRPr="00BC31E0" w:rsidRDefault="00006CB1" w:rsidP="00203A92">
      <w:pPr>
        <w:autoSpaceDE w:val="0"/>
        <w:autoSpaceDN w:val="0"/>
        <w:ind w:leftChars="400" w:left="840"/>
      </w:pPr>
      <w:r w:rsidRPr="00BC31E0">
        <w:rPr>
          <w:rFonts w:hint="eastAsia"/>
        </w:rPr>
        <w:t>11</w:t>
      </w:r>
      <w:r w:rsidRPr="00BC31E0">
        <w:rPr>
          <w:rFonts w:hint="eastAsia"/>
        </w:rPr>
        <w:t xml:space="preserve">　表示</w:t>
      </w:r>
    </w:p>
    <w:p w14:paraId="670788AD" w14:textId="77777777" w:rsidR="00006CB1" w:rsidRPr="00BC31E0" w:rsidRDefault="00006CB1" w:rsidP="004F6AB0">
      <w:pPr>
        <w:pStyle w:val="20"/>
        <w:tabs>
          <w:tab w:val="clear" w:pos="284"/>
        </w:tabs>
        <w:ind w:left="567" w:hanging="567"/>
      </w:pPr>
      <w:bookmarkStart w:id="15" w:name="_Toc357672079"/>
      <w:bookmarkStart w:id="16" w:name="_Toc120092512"/>
      <w:r w:rsidRPr="00BC31E0">
        <w:rPr>
          <w:rFonts w:hint="eastAsia"/>
        </w:rPr>
        <w:t>附属書</w:t>
      </w:r>
      <w:bookmarkEnd w:id="15"/>
      <w:bookmarkEnd w:id="16"/>
    </w:p>
    <w:p w14:paraId="2713332F" w14:textId="77777777" w:rsidR="00006CB1" w:rsidRPr="00BC31E0" w:rsidRDefault="00006CB1" w:rsidP="00203A92">
      <w:pPr>
        <w:pStyle w:val="113"/>
        <w:ind w:firstLine="211"/>
      </w:pPr>
      <w:r w:rsidRPr="00BC31E0">
        <w:rPr>
          <w:rFonts w:asciiTheme="majorEastAsia" w:eastAsiaTheme="majorEastAsia" w:hAnsiTheme="majorEastAsia" w:hint="eastAsia"/>
          <w:b/>
          <w:bCs/>
        </w:rPr>
        <w:t>附属書A</w:t>
      </w:r>
      <w:r w:rsidRPr="00BC31E0">
        <w:rPr>
          <w:rFonts w:ascii="ＭＳ 明朝" w:hAnsi="ＭＳ 明朝" w:hint="eastAsia"/>
          <w:bCs/>
        </w:rPr>
        <w:t>～</w:t>
      </w:r>
      <w:r w:rsidRPr="00BC31E0">
        <w:rPr>
          <w:rFonts w:asciiTheme="majorEastAsia" w:eastAsiaTheme="majorEastAsia" w:hAnsiTheme="majorEastAsia" w:hint="eastAsia"/>
          <w:b/>
          <w:bCs/>
        </w:rPr>
        <w:t>L</w:t>
      </w:r>
      <w:r w:rsidRPr="00BC31E0">
        <w:rPr>
          <w:rFonts w:hint="eastAsia"/>
        </w:rPr>
        <w:t>は規格の主体となる事項であって，規格の構成上，特に取り出して本体に準じてまとめた強制規定である。</w:t>
      </w:r>
    </w:p>
    <w:p w14:paraId="269F5FDA" w14:textId="77777777" w:rsidR="00006CB1" w:rsidRPr="00BC31E0" w:rsidRDefault="00006CB1" w:rsidP="009531A1">
      <w:pPr>
        <w:pStyle w:val="113"/>
        <w:ind w:firstLineChars="0" w:firstLine="0"/>
        <w:rPr>
          <w:b/>
        </w:rPr>
      </w:pPr>
    </w:p>
    <w:p w14:paraId="4B2CF680" w14:textId="77777777" w:rsidR="00006CB1" w:rsidRPr="00BC31E0" w:rsidRDefault="00006CB1" w:rsidP="004F6AB0">
      <w:pPr>
        <w:pStyle w:val="10"/>
        <w:ind w:left="340" w:hanging="340"/>
      </w:pPr>
      <w:bookmarkStart w:id="17" w:name="_Toc357672080"/>
      <w:bookmarkStart w:id="18" w:name="_Toc120092513"/>
      <w:r w:rsidRPr="00BC31E0">
        <w:rPr>
          <w:rFonts w:hint="eastAsia"/>
        </w:rPr>
        <w:t>引用規格</w:t>
      </w:r>
      <w:bookmarkEnd w:id="17"/>
      <w:bookmarkEnd w:id="18"/>
    </w:p>
    <w:p w14:paraId="16F97135" w14:textId="77777777" w:rsidR="00006CB1" w:rsidRPr="00BC31E0" w:rsidRDefault="00006CB1" w:rsidP="00203A92">
      <w:pPr>
        <w:pStyle w:val="15"/>
        <w:ind w:firstLine="210"/>
      </w:pPr>
      <w:r w:rsidRPr="00BC31E0">
        <w:rPr>
          <w:rFonts w:hint="eastAsia"/>
        </w:rPr>
        <w:t>次に示す規格は，この規格に引用されることによって，この規格の規定の一部を構成する。これらの引用規格はこの規格の発行時の最新版</w:t>
      </w:r>
      <w:r w:rsidRPr="00BC31E0">
        <w:rPr>
          <w:rFonts w:hint="eastAsia"/>
        </w:rPr>
        <w:t>(</w:t>
      </w:r>
      <w:r w:rsidRPr="00BC31E0">
        <w:rPr>
          <w:rFonts w:hint="eastAsia"/>
        </w:rPr>
        <w:t>追補を含む</w:t>
      </w:r>
      <w:r w:rsidRPr="00BC31E0">
        <w:rPr>
          <w:rFonts w:hint="eastAsia"/>
        </w:rPr>
        <w:t>)</w:t>
      </w:r>
      <w:r w:rsidRPr="00BC31E0">
        <w:rPr>
          <w:rFonts w:hint="eastAsia"/>
        </w:rPr>
        <w:t>を適用する。次に示す規格が引用している規格に引用されている規格についても同様とする。</w:t>
      </w:r>
    </w:p>
    <w:p w14:paraId="7A78B686" w14:textId="77777777" w:rsidR="00006CB1" w:rsidRPr="00BC31E0" w:rsidRDefault="00006CB1" w:rsidP="008B5B77">
      <w:pPr>
        <w:tabs>
          <w:tab w:val="left" w:pos="1560"/>
        </w:tabs>
        <w:autoSpaceDE w:val="0"/>
        <w:autoSpaceDN w:val="0"/>
        <w:rPr>
          <w:strike/>
        </w:rPr>
      </w:pPr>
    </w:p>
    <w:p w14:paraId="03FF1C55" w14:textId="77777777" w:rsidR="00006CB1" w:rsidRPr="00BC31E0" w:rsidRDefault="00006CB1" w:rsidP="003E20F3">
      <w:pPr>
        <w:tabs>
          <w:tab w:val="left" w:pos="1560"/>
        </w:tabs>
        <w:autoSpaceDE w:val="0"/>
        <w:autoSpaceDN w:val="0"/>
        <w:ind w:left="1581" w:hangingChars="750" w:hanging="1581"/>
      </w:pPr>
      <w:r w:rsidRPr="00BC31E0">
        <w:rPr>
          <w:rFonts w:ascii="ＭＳ ゴシック" w:eastAsia="ＭＳ ゴシック" w:hAnsi="ＭＳ ゴシック" w:hint="eastAsia"/>
          <w:b/>
          <w:bCs/>
        </w:rPr>
        <w:t>JIS B 0190</w:t>
      </w:r>
      <w:r w:rsidRPr="00BC31E0">
        <w:rPr>
          <w:rFonts w:ascii="ＭＳ ゴシック" w:eastAsia="ＭＳ ゴシック" w:hAnsi="ＭＳ ゴシック" w:hint="eastAsia"/>
          <w:b/>
          <w:bCs/>
        </w:rPr>
        <w:tab/>
      </w:r>
      <w:r w:rsidRPr="00BC31E0">
        <w:rPr>
          <w:rFonts w:ascii="ＭＳ 明朝" w:hAnsi="ＭＳ ゴシック" w:hint="eastAsia"/>
          <w:bCs/>
        </w:rPr>
        <w:t>圧力容器の構造に関する共通用語</w:t>
      </w:r>
    </w:p>
    <w:p w14:paraId="6CEEA0D9" w14:textId="77777777" w:rsidR="00006CB1" w:rsidRPr="00BC31E0" w:rsidRDefault="00006CB1" w:rsidP="003E20F3">
      <w:pPr>
        <w:tabs>
          <w:tab w:val="left" w:pos="1560"/>
        </w:tabs>
        <w:autoSpaceDE w:val="0"/>
        <w:autoSpaceDN w:val="0"/>
        <w:ind w:left="1581" w:hangingChars="750" w:hanging="1581"/>
      </w:pPr>
      <w:bookmarkStart w:id="19" w:name="_Hlk52349723"/>
      <w:r w:rsidRPr="00BC31E0">
        <w:rPr>
          <w:rFonts w:ascii="ＭＳ ゴシック" w:eastAsia="ＭＳ ゴシック" w:hAnsi="ＭＳ ゴシック" w:hint="eastAsia"/>
          <w:b/>
          <w:bCs/>
        </w:rPr>
        <w:t>JIS B 0209-1</w:t>
      </w:r>
      <w:r w:rsidRPr="00BC31E0">
        <w:rPr>
          <w:rFonts w:hint="eastAsia"/>
          <w:b/>
          <w:bCs/>
        </w:rPr>
        <w:tab/>
      </w:r>
      <w:r w:rsidRPr="00BC31E0">
        <w:rPr>
          <w:rFonts w:hint="eastAsia"/>
        </w:rPr>
        <w:t>一般用メートルねじ</w:t>
      </w:r>
      <w:r w:rsidRPr="00BC31E0">
        <w:rPr>
          <w:rFonts w:hint="eastAsia"/>
        </w:rPr>
        <w:t xml:space="preserve"> </w:t>
      </w:r>
      <w:r w:rsidRPr="00BC31E0">
        <w:rPr>
          <w:rFonts w:hint="eastAsia"/>
        </w:rPr>
        <w:t>－</w:t>
      </w:r>
      <w:r w:rsidRPr="00BC31E0">
        <w:rPr>
          <w:rFonts w:hint="eastAsia"/>
        </w:rPr>
        <w:t xml:space="preserve"> </w:t>
      </w:r>
      <w:r w:rsidRPr="00BC31E0">
        <w:rPr>
          <w:rFonts w:hint="eastAsia"/>
        </w:rPr>
        <w:t>公差</w:t>
      </w:r>
      <w:r w:rsidRPr="00BC31E0">
        <w:rPr>
          <w:rFonts w:hint="eastAsia"/>
        </w:rPr>
        <w:t xml:space="preserve"> </w:t>
      </w:r>
      <w:r w:rsidRPr="00BC31E0">
        <w:rPr>
          <w:rFonts w:hint="eastAsia"/>
        </w:rPr>
        <w:t>－</w:t>
      </w:r>
      <w:r w:rsidRPr="00BC31E0">
        <w:rPr>
          <w:rFonts w:hint="eastAsia"/>
        </w:rPr>
        <w:t xml:space="preserve"> </w:t>
      </w:r>
      <w:r w:rsidRPr="00BC31E0">
        <w:rPr>
          <w:rFonts w:hint="eastAsia"/>
        </w:rPr>
        <w:t>第</w:t>
      </w:r>
      <w:r w:rsidR="008B5B77" w:rsidRPr="00BC31E0">
        <w:rPr>
          <w:rFonts w:hint="eastAsia"/>
        </w:rPr>
        <w:t>1</w:t>
      </w:r>
      <w:r w:rsidR="003E20F3" w:rsidRPr="00BC31E0">
        <w:rPr>
          <w:rFonts w:hint="eastAsia"/>
        </w:rPr>
        <w:t>部</w:t>
      </w:r>
      <w:r w:rsidRPr="00BC31E0">
        <w:rPr>
          <w:rFonts w:hint="eastAsia"/>
        </w:rPr>
        <w:t>：原則及び基礎データ</w:t>
      </w:r>
    </w:p>
    <w:bookmarkEnd w:id="19"/>
    <w:p w14:paraId="199D98F9" w14:textId="77777777" w:rsidR="00006CB1" w:rsidRPr="00BC31E0" w:rsidRDefault="00006CB1" w:rsidP="003E20F3">
      <w:pPr>
        <w:tabs>
          <w:tab w:val="left" w:pos="1560"/>
        </w:tabs>
        <w:autoSpaceDE w:val="0"/>
        <w:autoSpaceDN w:val="0"/>
        <w:ind w:left="1581" w:hangingChars="750" w:hanging="1581"/>
      </w:pPr>
      <w:r w:rsidRPr="00BC31E0">
        <w:rPr>
          <w:rFonts w:ascii="ＭＳ ゴシック" w:eastAsia="ＭＳ ゴシック" w:hAnsi="ＭＳ ゴシック" w:hint="eastAsia"/>
          <w:b/>
          <w:bCs/>
        </w:rPr>
        <w:t>JIS B 0209-2</w:t>
      </w:r>
      <w:r w:rsidRPr="00BC31E0">
        <w:rPr>
          <w:rFonts w:hint="eastAsia"/>
          <w:b/>
          <w:bCs/>
        </w:rPr>
        <w:tab/>
      </w:r>
      <w:r w:rsidRPr="00BC31E0">
        <w:rPr>
          <w:rFonts w:hint="eastAsia"/>
        </w:rPr>
        <w:t>一般用メートルねじ</w:t>
      </w:r>
      <w:r w:rsidRPr="00BC31E0">
        <w:rPr>
          <w:rFonts w:hint="eastAsia"/>
        </w:rPr>
        <w:t xml:space="preserve"> </w:t>
      </w:r>
      <w:r w:rsidRPr="00BC31E0">
        <w:rPr>
          <w:rFonts w:hint="eastAsia"/>
        </w:rPr>
        <w:t>－</w:t>
      </w:r>
      <w:r w:rsidRPr="00BC31E0">
        <w:rPr>
          <w:rFonts w:hint="eastAsia"/>
        </w:rPr>
        <w:t xml:space="preserve"> </w:t>
      </w:r>
      <w:r w:rsidRPr="00BC31E0">
        <w:rPr>
          <w:rFonts w:hint="eastAsia"/>
        </w:rPr>
        <w:t>公差</w:t>
      </w:r>
      <w:r w:rsidRPr="00BC31E0">
        <w:rPr>
          <w:rFonts w:hint="eastAsia"/>
        </w:rPr>
        <w:t xml:space="preserve"> </w:t>
      </w:r>
      <w:r w:rsidRPr="00BC31E0">
        <w:rPr>
          <w:rFonts w:hint="eastAsia"/>
        </w:rPr>
        <w:t>－</w:t>
      </w:r>
      <w:r w:rsidRPr="00BC31E0">
        <w:rPr>
          <w:rFonts w:hint="eastAsia"/>
        </w:rPr>
        <w:t xml:space="preserve"> </w:t>
      </w:r>
      <w:r w:rsidRPr="00BC31E0">
        <w:rPr>
          <w:rFonts w:hint="eastAsia"/>
        </w:rPr>
        <w:t>第</w:t>
      </w:r>
      <w:r w:rsidR="008B5B77" w:rsidRPr="00BC31E0">
        <w:rPr>
          <w:rFonts w:hint="eastAsia"/>
        </w:rPr>
        <w:t>2</w:t>
      </w:r>
      <w:r w:rsidRPr="00BC31E0">
        <w:rPr>
          <w:rFonts w:hint="eastAsia"/>
        </w:rPr>
        <w:t>部：一般用おねじ及びめねじの許容限界寸法－中（はめあい区分）</w:t>
      </w:r>
    </w:p>
    <w:p w14:paraId="4E0250EA" w14:textId="77777777" w:rsidR="00006CB1" w:rsidRPr="00BC31E0" w:rsidRDefault="00006CB1" w:rsidP="003E20F3">
      <w:pPr>
        <w:tabs>
          <w:tab w:val="left" w:pos="1560"/>
        </w:tabs>
        <w:autoSpaceDE w:val="0"/>
        <w:autoSpaceDN w:val="0"/>
        <w:ind w:left="1581" w:hangingChars="750" w:hanging="1581"/>
      </w:pPr>
      <w:r w:rsidRPr="00BC31E0">
        <w:rPr>
          <w:rFonts w:ascii="ＭＳ ゴシック" w:eastAsia="ＭＳ ゴシック" w:hAnsi="ＭＳ ゴシック" w:hint="eastAsia"/>
          <w:b/>
          <w:bCs/>
        </w:rPr>
        <w:t>JIS B 0209-3</w:t>
      </w:r>
      <w:r w:rsidRPr="00BC31E0">
        <w:rPr>
          <w:rFonts w:hint="eastAsia"/>
          <w:b/>
          <w:bCs/>
        </w:rPr>
        <w:tab/>
      </w:r>
      <w:r w:rsidRPr="00BC31E0">
        <w:rPr>
          <w:rFonts w:hint="eastAsia"/>
        </w:rPr>
        <w:t>一般用メートルねじ</w:t>
      </w:r>
      <w:r w:rsidRPr="00BC31E0">
        <w:rPr>
          <w:rFonts w:hint="eastAsia"/>
        </w:rPr>
        <w:t xml:space="preserve"> </w:t>
      </w:r>
      <w:r w:rsidRPr="00BC31E0">
        <w:rPr>
          <w:rFonts w:hint="eastAsia"/>
        </w:rPr>
        <w:t>－</w:t>
      </w:r>
      <w:r w:rsidRPr="00BC31E0">
        <w:rPr>
          <w:rFonts w:hint="eastAsia"/>
        </w:rPr>
        <w:t xml:space="preserve"> </w:t>
      </w:r>
      <w:r w:rsidRPr="00BC31E0">
        <w:rPr>
          <w:rFonts w:hint="eastAsia"/>
        </w:rPr>
        <w:t>公差</w:t>
      </w:r>
      <w:r w:rsidRPr="00BC31E0">
        <w:rPr>
          <w:rFonts w:hint="eastAsia"/>
        </w:rPr>
        <w:t xml:space="preserve"> </w:t>
      </w:r>
      <w:r w:rsidRPr="00BC31E0">
        <w:rPr>
          <w:rFonts w:hint="eastAsia"/>
        </w:rPr>
        <w:t>－</w:t>
      </w:r>
      <w:r w:rsidRPr="00BC31E0">
        <w:rPr>
          <w:rFonts w:hint="eastAsia"/>
        </w:rPr>
        <w:t xml:space="preserve"> </w:t>
      </w:r>
      <w:r w:rsidRPr="00BC31E0">
        <w:rPr>
          <w:rFonts w:hint="eastAsia"/>
        </w:rPr>
        <w:t>第</w:t>
      </w:r>
      <w:r w:rsidR="008B5B77" w:rsidRPr="00BC31E0">
        <w:rPr>
          <w:rFonts w:hint="eastAsia"/>
        </w:rPr>
        <w:t>3</w:t>
      </w:r>
      <w:r w:rsidRPr="00BC31E0">
        <w:rPr>
          <w:rFonts w:hint="eastAsia"/>
        </w:rPr>
        <w:t>部：構造体用ねじの寸法許容差</w:t>
      </w:r>
    </w:p>
    <w:p w14:paraId="49E6ED49" w14:textId="77777777" w:rsidR="00006CB1" w:rsidRPr="00BC31E0" w:rsidRDefault="00006CB1" w:rsidP="003E20F3">
      <w:pPr>
        <w:tabs>
          <w:tab w:val="left" w:pos="1560"/>
        </w:tabs>
        <w:autoSpaceDE w:val="0"/>
        <w:autoSpaceDN w:val="0"/>
        <w:ind w:left="1581" w:hangingChars="750" w:hanging="1581"/>
      </w:pPr>
      <w:r w:rsidRPr="00BC31E0">
        <w:rPr>
          <w:rFonts w:ascii="ＭＳ ゴシック" w:eastAsia="ＭＳ ゴシック" w:hAnsi="ＭＳ ゴシック" w:hint="eastAsia"/>
          <w:b/>
          <w:bCs/>
        </w:rPr>
        <w:t>JIS B 0210</w:t>
      </w:r>
      <w:r w:rsidRPr="00BC31E0">
        <w:rPr>
          <w:rFonts w:hint="eastAsia"/>
          <w:b/>
          <w:bCs/>
        </w:rPr>
        <w:tab/>
      </w:r>
      <w:r w:rsidRPr="00BC31E0">
        <w:rPr>
          <w:rFonts w:hint="eastAsia"/>
        </w:rPr>
        <w:t>ユニファイ並目ねじの許容限界寸法及び公差</w:t>
      </w:r>
    </w:p>
    <w:p w14:paraId="3B29DFEA" w14:textId="77777777" w:rsidR="00006CB1" w:rsidRPr="00BC31E0" w:rsidRDefault="00006CB1" w:rsidP="003E20F3">
      <w:pPr>
        <w:tabs>
          <w:tab w:val="left" w:pos="1560"/>
        </w:tabs>
        <w:autoSpaceDE w:val="0"/>
        <w:autoSpaceDN w:val="0"/>
        <w:ind w:left="1581" w:hangingChars="750" w:hanging="1581"/>
      </w:pPr>
      <w:r w:rsidRPr="00BC31E0">
        <w:rPr>
          <w:rFonts w:ascii="ＭＳ ゴシック" w:eastAsia="ＭＳ ゴシック" w:hAnsi="ＭＳ ゴシック" w:hint="eastAsia"/>
          <w:b/>
          <w:bCs/>
        </w:rPr>
        <w:t>JIS B 0212</w:t>
      </w:r>
      <w:r w:rsidRPr="00BC31E0">
        <w:rPr>
          <w:rFonts w:hint="eastAsia"/>
          <w:b/>
          <w:bCs/>
        </w:rPr>
        <w:tab/>
      </w:r>
      <w:r w:rsidRPr="00BC31E0">
        <w:rPr>
          <w:rFonts w:hint="eastAsia"/>
        </w:rPr>
        <w:t>ユニファイ細目ねじの許容限界寸法及び公差</w:t>
      </w:r>
    </w:p>
    <w:p w14:paraId="507FD80B" w14:textId="77777777" w:rsidR="00006CB1" w:rsidRPr="00BC31E0" w:rsidRDefault="00006CB1" w:rsidP="003E20F3">
      <w:pPr>
        <w:tabs>
          <w:tab w:val="left" w:pos="1560"/>
        </w:tabs>
        <w:autoSpaceDE w:val="0"/>
        <w:autoSpaceDN w:val="0"/>
        <w:ind w:left="1581" w:hangingChars="750" w:hanging="1581"/>
      </w:pPr>
      <w:r w:rsidRPr="00BC31E0">
        <w:rPr>
          <w:rFonts w:ascii="ＭＳ ゴシック" w:eastAsia="ＭＳ ゴシック" w:hAnsi="ＭＳ ゴシック" w:hint="eastAsia"/>
          <w:b/>
          <w:bCs/>
        </w:rPr>
        <w:t>JIS B 1181</w:t>
      </w:r>
      <w:r w:rsidRPr="00BC31E0">
        <w:rPr>
          <w:rFonts w:hint="eastAsia"/>
          <w:b/>
          <w:bCs/>
        </w:rPr>
        <w:tab/>
      </w:r>
      <w:r w:rsidRPr="00BC31E0">
        <w:rPr>
          <w:rFonts w:hint="eastAsia"/>
        </w:rPr>
        <w:t>六角ナット</w:t>
      </w:r>
    </w:p>
    <w:p w14:paraId="538FF523" w14:textId="77777777" w:rsidR="00006CB1" w:rsidRPr="00BC31E0" w:rsidRDefault="00006CB1" w:rsidP="003E20F3">
      <w:pPr>
        <w:tabs>
          <w:tab w:val="left" w:pos="1560"/>
        </w:tabs>
        <w:autoSpaceDE w:val="0"/>
        <w:autoSpaceDN w:val="0"/>
        <w:ind w:left="1581" w:hangingChars="750" w:hanging="1581"/>
      </w:pPr>
      <w:r w:rsidRPr="00BC31E0">
        <w:rPr>
          <w:rFonts w:ascii="ＭＳ ゴシック" w:eastAsia="ＭＳ ゴシック" w:hAnsi="ＭＳ ゴシック" w:hint="eastAsia"/>
          <w:b/>
          <w:bCs/>
        </w:rPr>
        <w:t>JIS B 1251</w:t>
      </w:r>
      <w:r w:rsidRPr="00BC31E0">
        <w:rPr>
          <w:rFonts w:hint="eastAsia"/>
          <w:b/>
          <w:bCs/>
        </w:rPr>
        <w:tab/>
      </w:r>
      <w:r w:rsidRPr="00BC31E0">
        <w:rPr>
          <w:rFonts w:hint="eastAsia"/>
        </w:rPr>
        <w:t>ばね座金</w:t>
      </w:r>
    </w:p>
    <w:p w14:paraId="54BC2312" w14:textId="77777777" w:rsidR="00006CB1" w:rsidRPr="00BC31E0" w:rsidRDefault="00006CB1" w:rsidP="003E20F3">
      <w:pPr>
        <w:tabs>
          <w:tab w:val="left" w:pos="1560"/>
        </w:tabs>
        <w:autoSpaceDE w:val="0"/>
        <w:autoSpaceDN w:val="0"/>
        <w:ind w:left="1581" w:hangingChars="750" w:hanging="1581"/>
      </w:pPr>
      <w:r w:rsidRPr="00BC31E0">
        <w:rPr>
          <w:rFonts w:ascii="ＭＳ ゴシック" w:eastAsia="ＭＳ ゴシック" w:hAnsi="ＭＳ ゴシック" w:hint="eastAsia"/>
          <w:b/>
          <w:bCs/>
        </w:rPr>
        <w:t>JIS B 1256</w:t>
      </w:r>
      <w:r w:rsidRPr="00BC31E0">
        <w:rPr>
          <w:rFonts w:hint="eastAsia"/>
          <w:b/>
          <w:bCs/>
        </w:rPr>
        <w:tab/>
      </w:r>
      <w:r w:rsidRPr="00BC31E0">
        <w:rPr>
          <w:rFonts w:hint="eastAsia"/>
        </w:rPr>
        <w:t>平座金</w:t>
      </w:r>
    </w:p>
    <w:p w14:paraId="509A3DD5" w14:textId="77777777" w:rsidR="00006CB1" w:rsidRPr="00BC31E0" w:rsidRDefault="00006CB1" w:rsidP="003E20F3">
      <w:pPr>
        <w:tabs>
          <w:tab w:val="left" w:pos="1560"/>
        </w:tabs>
        <w:autoSpaceDE w:val="0"/>
        <w:autoSpaceDN w:val="0"/>
        <w:ind w:left="1581" w:hangingChars="750" w:hanging="1581"/>
        <w:rPr>
          <w:rFonts w:ascii="ＭＳ ゴシック" w:eastAsia="ＭＳ ゴシック" w:hAnsi="ＭＳ ゴシック"/>
          <w:b/>
          <w:bCs/>
        </w:rPr>
      </w:pPr>
      <w:r w:rsidRPr="00BC31E0">
        <w:rPr>
          <w:rFonts w:ascii="ＭＳ ゴシック" w:eastAsia="ＭＳ ゴシック" w:hAnsi="ＭＳ ゴシック" w:hint="eastAsia"/>
          <w:b/>
          <w:bCs/>
        </w:rPr>
        <w:t>JIS B 7721</w:t>
      </w:r>
      <w:r w:rsidR="008B5B77" w:rsidRPr="00BC31E0">
        <w:rPr>
          <w:rFonts w:ascii="ＭＳ ゴシック" w:eastAsia="ＭＳ ゴシック" w:hAnsi="ＭＳ ゴシック" w:hint="eastAsia"/>
          <w:b/>
          <w:bCs/>
        </w:rPr>
        <w:tab/>
      </w:r>
      <w:r w:rsidRPr="00BC31E0">
        <w:rPr>
          <w:rFonts w:asciiTheme="minorEastAsia" w:eastAsiaTheme="minorEastAsia" w:hAnsiTheme="minorEastAsia" w:hint="eastAsia"/>
        </w:rPr>
        <w:t>引張試験機・圧縮試験機 － 力計測系の校正方法及び検証方法</w:t>
      </w:r>
    </w:p>
    <w:p w14:paraId="4842FB7B" w14:textId="77777777" w:rsidR="00006CB1" w:rsidRPr="00BC31E0" w:rsidRDefault="00006CB1" w:rsidP="003E20F3">
      <w:pPr>
        <w:tabs>
          <w:tab w:val="left" w:pos="1560"/>
        </w:tabs>
        <w:autoSpaceDE w:val="0"/>
        <w:autoSpaceDN w:val="0"/>
        <w:ind w:left="1581" w:hangingChars="750" w:hanging="1581"/>
      </w:pPr>
      <w:r w:rsidRPr="00BC31E0">
        <w:rPr>
          <w:rFonts w:ascii="ＭＳ ゴシック" w:eastAsia="ＭＳ ゴシック" w:hAnsi="ＭＳ ゴシック" w:hint="eastAsia"/>
          <w:b/>
          <w:bCs/>
        </w:rPr>
        <w:t>JIS B 8210</w:t>
      </w:r>
      <w:r w:rsidRPr="00BC31E0">
        <w:rPr>
          <w:rFonts w:hint="eastAsia"/>
          <w:b/>
          <w:bCs/>
        </w:rPr>
        <w:tab/>
      </w:r>
      <w:r w:rsidRPr="00BC31E0">
        <w:rPr>
          <w:rFonts w:hint="eastAsia"/>
        </w:rPr>
        <w:t>安全弁</w:t>
      </w:r>
    </w:p>
    <w:p w14:paraId="4CB67520" w14:textId="77777777" w:rsidR="00006CB1" w:rsidRPr="00BC31E0" w:rsidRDefault="00006CB1" w:rsidP="003E20F3">
      <w:pPr>
        <w:tabs>
          <w:tab w:val="left" w:pos="1560"/>
        </w:tabs>
        <w:autoSpaceDE w:val="0"/>
        <w:autoSpaceDN w:val="0"/>
        <w:ind w:left="1581" w:hangingChars="750" w:hanging="1581"/>
      </w:pPr>
      <w:r w:rsidRPr="00BC31E0">
        <w:rPr>
          <w:rFonts w:ascii="ＭＳ ゴシック" w:eastAsia="ＭＳ ゴシック" w:hAnsi="ＭＳ ゴシック" w:hint="eastAsia"/>
          <w:b/>
          <w:bCs/>
        </w:rPr>
        <w:t>JIS B 8225</w:t>
      </w:r>
      <w:r w:rsidRPr="00BC31E0">
        <w:rPr>
          <w:rFonts w:hint="eastAsia"/>
          <w:b/>
          <w:bCs/>
        </w:rPr>
        <w:tab/>
      </w:r>
      <w:r w:rsidRPr="00BC31E0">
        <w:rPr>
          <w:rFonts w:hint="eastAsia"/>
        </w:rPr>
        <w:t>安全弁－吹出し係数測定方法</w:t>
      </w:r>
    </w:p>
    <w:p w14:paraId="0EB8257E" w14:textId="77777777" w:rsidR="00006CB1" w:rsidRPr="00BC31E0" w:rsidRDefault="00006CB1" w:rsidP="003E20F3">
      <w:pPr>
        <w:tabs>
          <w:tab w:val="left" w:pos="1560"/>
        </w:tabs>
        <w:autoSpaceDE w:val="0"/>
        <w:autoSpaceDN w:val="0"/>
        <w:ind w:left="1581" w:hangingChars="750" w:hanging="1581"/>
      </w:pPr>
      <w:r w:rsidRPr="00BC31E0">
        <w:rPr>
          <w:rFonts w:ascii="ＭＳ ゴシック" w:eastAsia="ＭＳ ゴシック" w:hAnsi="ＭＳ ゴシック" w:hint="eastAsia"/>
          <w:b/>
          <w:bCs/>
        </w:rPr>
        <w:t>JIS B 8226-1</w:t>
      </w:r>
      <w:r w:rsidRPr="00BC31E0">
        <w:rPr>
          <w:rFonts w:hint="eastAsia"/>
          <w:b/>
          <w:bCs/>
        </w:rPr>
        <w:tab/>
      </w:r>
      <w:r w:rsidRPr="00BC31E0">
        <w:rPr>
          <w:rFonts w:hint="eastAsia"/>
        </w:rPr>
        <w:t>破裂板式安全装置－第</w:t>
      </w:r>
      <w:r w:rsidRPr="00BC31E0">
        <w:rPr>
          <w:rFonts w:hint="eastAsia"/>
        </w:rPr>
        <w:t>1</w:t>
      </w:r>
      <w:r w:rsidRPr="00BC31E0">
        <w:rPr>
          <w:rFonts w:hint="eastAsia"/>
        </w:rPr>
        <w:t>部：一般</w:t>
      </w:r>
    </w:p>
    <w:p w14:paraId="49831695" w14:textId="77777777" w:rsidR="00006CB1" w:rsidRPr="00BC31E0" w:rsidRDefault="00006CB1" w:rsidP="003E20F3">
      <w:pPr>
        <w:tabs>
          <w:tab w:val="left" w:pos="1560"/>
        </w:tabs>
        <w:autoSpaceDE w:val="0"/>
        <w:autoSpaceDN w:val="0"/>
        <w:ind w:left="1581" w:hangingChars="750" w:hanging="1581"/>
        <w:rPr>
          <w:rFonts w:ascii="ＭＳ ゴシック" w:eastAsia="ＭＳ ゴシック" w:hAnsi="ＭＳ ゴシック"/>
          <w:b/>
          <w:bCs/>
        </w:rPr>
      </w:pPr>
      <w:r w:rsidRPr="00BC31E0">
        <w:rPr>
          <w:rFonts w:ascii="ＭＳ ゴシック" w:eastAsia="ＭＳ ゴシック" w:hAnsi="ＭＳ ゴシック" w:hint="eastAsia"/>
          <w:b/>
          <w:bCs/>
        </w:rPr>
        <w:lastRenderedPageBreak/>
        <w:t>JIS B 8226-2</w:t>
      </w:r>
      <w:r w:rsidRPr="00BC31E0">
        <w:rPr>
          <w:rFonts w:hint="eastAsia"/>
          <w:b/>
          <w:bCs/>
        </w:rPr>
        <w:tab/>
      </w:r>
      <w:r w:rsidRPr="00BC31E0">
        <w:rPr>
          <w:rFonts w:hint="eastAsia"/>
        </w:rPr>
        <w:t>破裂板式安全装置－第</w:t>
      </w:r>
      <w:r w:rsidRPr="00BC31E0">
        <w:rPr>
          <w:rFonts w:hint="eastAsia"/>
        </w:rPr>
        <w:t>2</w:t>
      </w:r>
      <w:r w:rsidRPr="00BC31E0">
        <w:rPr>
          <w:rFonts w:hint="eastAsia"/>
        </w:rPr>
        <w:t>部：安全弁との組合せ</w:t>
      </w:r>
    </w:p>
    <w:p w14:paraId="45063ABB" w14:textId="77777777" w:rsidR="00006CB1" w:rsidRPr="00BC31E0" w:rsidRDefault="00006CB1" w:rsidP="003E20F3">
      <w:pPr>
        <w:tabs>
          <w:tab w:val="left" w:pos="1560"/>
        </w:tabs>
        <w:autoSpaceDE w:val="0"/>
        <w:autoSpaceDN w:val="0"/>
        <w:ind w:left="1581" w:hangingChars="750" w:hanging="1581"/>
        <w:rPr>
          <w:rFonts w:ascii="ＭＳ ゴシック" w:eastAsia="ＭＳ ゴシック" w:hAnsi="ＭＳ ゴシック"/>
          <w:b/>
          <w:bCs/>
        </w:rPr>
      </w:pPr>
      <w:r w:rsidRPr="00BC31E0">
        <w:rPr>
          <w:rFonts w:ascii="ＭＳ ゴシック" w:eastAsia="ＭＳ ゴシック" w:hAnsi="ＭＳ ゴシック" w:hint="eastAsia"/>
          <w:b/>
          <w:bCs/>
        </w:rPr>
        <w:t>JIS B 8226-3</w:t>
      </w:r>
      <w:r w:rsidRPr="00BC31E0">
        <w:rPr>
          <w:rFonts w:hint="eastAsia"/>
          <w:b/>
          <w:bCs/>
        </w:rPr>
        <w:tab/>
      </w:r>
      <w:r w:rsidRPr="00BC31E0">
        <w:rPr>
          <w:rFonts w:hint="eastAsia"/>
        </w:rPr>
        <w:t>破裂板式安全装置－第</w:t>
      </w:r>
      <w:r w:rsidRPr="00BC31E0">
        <w:rPr>
          <w:rFonts w:hint="eastAsia"/>
        </w:rPr>
        <w:t>3</w:t>
      </w:r>
      <w:r w:rsidRPr="00BC31E0">
        <w:rPr>
          <w:rFonts w:hint="eastAsia"/>
        </w:rPr>
        <w:t>部：適用</w:t>
      </w:r>
      <w:r w:rsidR="003E20F3" w:rsidRPr="00BC31E0">
        <w:rPr>
          <w:rFonts w:hint="eastAsia"/>
        </w:rPr>
        <w:t>，</w:t>
      </w:r>
      <w:r w:rsidRPr="00BC31E0">
        <w:rPr>
          <w:rFonts w:hint="eastAsia"/>
        </w:rPr>
        <w:t>選定及び取付け</w:t>
      </w:r>
    </w:p>
    <w:p w14:paraId="1B07E14A" w14:textId="77777777" w:rsidR="00006CB1" w:rsidRPr="00BC31E0" w:rsidRDefault="00006CB1" w:rsidP="00841E8A">
      <w:pPr>
        <w:tabs>
          <w:tab w:val="left" w:pos="1560"/>
        </w:tabs>
        <w:autoSpaceDE w:val="0"/>
        <w:autoSpaceDN w:val="0"/>
        <w:ind w:left="1581" w:hangingChars="750" w:hanging="1581"/>
      </w:pPr>
      <w:r w:rsidRPr="00BC31E0">
        <w:rPr>
          <w:rFonts w:ascii="ＭＳ ゴシック" w:eastAsia="ＭＳ ゴシック" w:hAnsi="ＭＳ ゴシック" w:hint="eastAsia"/>
          <w:b/>
          <w:bCs/>
        </w:rPr>
        <w:t>JIS B 8265</w:t>
      </w:r>
      <w:r w:rsidRPr="00BC31E0">
        <w:rPr>
          <w:rFonts w:hint="eastAsia"/>
          <w:b/>
          <w:bCs/>
        </w:rPr>
        <w:tab/>
      </w:r>
      <w:r w:rsidRPr="00BC31E0">
        <w:rPr>
          <w:rFonts w:hint="eastAsia"/>
        </w:rPr>
        <w:t>圧力容器の構造</w:t>
      </w:r>
      <w:r w:rsidRPr="00BC31E0">
        <w:rPr>
          <w:rFonts w:hint="eastAsia"/>
        </w:rPr>
        <w:t xml:space="preserve"> </w:t>
      </w:r>
      <w:r w:rsidRPr="00BC31E0">
        <w:t>–</w:t>
      </w:r>
      <w:r w:rsidRPr="00BC31E0">
        <w:rPr>
          <w:rFonts w:hint="eastAsia"/>
        </w:rPr>
        <w:t xml:space="preserve"> </w:t>
      </w:r>
      <w:r w:rsidRPr="00BC31E0">
        <w:rPr>
          <w:rFonts w:hint="eastAsia"/>
        </w:rPr>
        <w:t>一般事項</w:t>
      </w:r>
    </w:p>
    <w:p w14:paraId="185AA70E" w14:textId="77777777" w:rsidR="00006CB1" w:rsidRPr="00BC31E0" w:rsidRDefault="00006CB1" w:rsidP="00841E8A">
      <w:pPr>
        <w:tabs>
          <w:tab w:val="left" w:pos="1560"/>
        </w:tabs>
        <w:autoSpaceDE w:val="0"/>
        <w:autoSpaceDN w:val="0"/>
        <w:ind w:left="1581" w:hangingChars="750" w:hanging="1581"/>
        <w:rPr>
          <w:strike/>
        </w:rPr>
      </w:pPr>
      <w:r w:rsidRPr="00BC31E0">
        <w:rPr>
          <w:rFonts w:ascii="ＭＳ ゴシック" w:eastAsia="ＭＳ ゴシック" w:hAnsi="ＭＳ ゴシック" w:hint="eastAsia"/>
          <w:b/>
          <w:bCs/>
        </w:rPr>
        <w:t>JIS B 8266</w:t>
      </w:r>
      <w:r w:rsidRPr="00BC31E0">
        <w:rPr>
          <w:rFonts w:hint="eastAsia"/>
          <w:b/>
          <w:bCs/>
        </w:rPr>
        <w:tab/>
      </w:r>
      <w:r w:rsidRPr="00BC31E0">
        <w:rPr>
          <w:rFonts w:hint="eastAsia"/>
        </w:rPr>
        <w:t>圧力容器の構造</w:t>
      </w:r>
      <w:r w:rsidRPr="00BC31E0">
        <w:rPr>
          <w:rFonts w:hint="eastAsia"/>
        </w:rPr>
        <w:t xml:space="preserve"> </w:t>
      </w:r>
      <w:r w:rsidRPr="00BC31E0">
        <w:t>–</w:t>
      </w:r>
      <w:r w:rsidRPr="00BC31E0">
        <w:rPr>
          <w:rFonts w:hint="eastAsia"/>
        </w:rPr>
        <w:t xml:space="preserve"> </w:t>
      </w:r>
      <w:r w:rsidRPr="00BC31E0">
        <w:rPr>
          <w:rFonts w:hint="eastAsia"/>
        </w:rPr>
        <w:t>特定規格</w:t>
      </w:r>
    </w:p>
    <w:p w14:paraId="68C78F63" w14:textId="77777777" w:rsidR="00006CB1" w:rsidRPr="00BC31E0" w:rsidRDefault="00006CB1" w:rsidP="00841E8A">
      <w:pPr>
        <w:tabs>
          <w:tab w:val="left" w:pos="1560"/>
        </w:tabs>
        <w:autoSpaceDE w:val="0"/>
        <w:autoSpaceDN w:val="0"/>
        <w:ind w:left="1581" w:hangingChars="750" w:hanging="1581"/>
      </w:pPr>
      <w:r w:rsidRPr="00BC31E0">
        <w:rPr>
          <w:rFonts w:ascii="ＭＳ ゴシック" w:eastAsia="ＭＳ ゴシック" w:hAnsi="ＭＳ ゴシック" w:hint="eastAsia"/>
          <w:b/>
          <w:bCs/>
        </w:rPr>
        <w:t>JIS B 8267</w:t>
      </w:r>
      <w:r w:rsidR="00A528BC" w:rsidRPr="00BC31E0">
        <w:rPr>
          <w:rFonts w:hint="eastAsia"/>
        </w:rPr>
        <w:tab/>
      </w:r>
      <w:r w:rsidRPr="00BC31E0">
        <w:rPr>
          <w:rFonts w:hint="eastAsia"/>
        </w:rPr>
        <w:t>圧力容器の設計</w:t>
      </w:r>
    </w:p>
    <w:p w14:paraId="4AD4B7DC" w14:textId="77777777" w:rsidR="00006CB1" w:rsidRPr="00BC31E0" w:rsidRDefault="00006CB1" w:rsidP="00841E8A">
      <w:pPr>
        <w:tabs>
          <w:tab w:val="left" w:pos="1560"/>
        </w:tabs>
        <w:autoSpaceDE w:val="0"/>
        <w:autoSpaceDN w:val="0"/>
        <w:ind w:left="1581" w:hangingChars="750" w:hanging="1581"/>
      </w:pPr>
      <w:r w:rsidRPr="00BC31E0">
        <w:rPr>
          <w:rFonts w:ascii="ＭＳ ゴシック" w:eastAsia="ＭＳ ゴシック" w:hAnsi="ＭＳ ゴシック" w:hint="eastAsia"/>
          <w:b/>
          <w:bCs/>
        </w:rPr>
        <w:t>JIS B 828</w:t>
      </w:r>
      <w:r w:rsidRPr="00BC31E0">
        <w:rPr>
          <w:rFonts w:ascii="ＭＳ ゴシック" w:hAnsi="ＭＳ ゴシック" w:hint="eastAsia"/>
          <w:b/>
          <w:bCs/>
        </w:rPr>
        <w:t>5</w:t>
      </w:r>
      <w:r w:rsidRPr="00BC31E0">
        <w:rPr>
          <w:rFonts w:ascii="ＭＳ ゴシック" w:hAnsi="ＭＳ ゴシック" w:hint="eastAsia"/>
          <w:b/>
          <w:bCs/>
        </w:rPr>
        <w:tab/>
      </w:r>
      <w:r w:rsidRPr="00BC31E0">
        <w:rPr>
          <w:rFonts w:hint="eastAsia"/>
        </w:rPr>
        <w:t>圧力容器の溶接施工方法の確認試験</w:t>
      </w:r>
    </w:p>
    <w:p w14:paraId="5D9E462A" w14:textId="77777777" w:rsidR="00006CB1" w:rsidRPr="00BC31E0" w:rsidRDefault="00006CB1" w:rsidP="00841E8A">
      <w:pPr>
        <w:tabs>
          <w:tab w:val="left" w:pos="1560"/>
        </w:tabs>
        <w:autoSpaceDE w:val="0"/>
        <w:autoSpaceDN w:val="0"/>
        <w:ind w:left="1581" w:hangingChars="750" w:hanging="1581"/>
      </w:pPr>
      <w:r w:rsidRPr="00BC31E0">
        <w:rPr>
          <w:rFonts w:ascii="ＭＳ ゴシック" w:eastAsia="ＭＳ ゴシック" w:hAnsi="ＭＳ ゴシック" w:hint="eastAsia"/>
          <w:b/>
          <w:bCs/>
        </w:rPr>
        <w:t>JIS G 0582</w:t>
      </w:r>
      <w:r w:rsidRPr="00BC31E0">
        <w:rPr>
          <w:rFonts w:hint="eastAsia"/>
          <w:b/>
          <w:bCs/>
        </w:rPr>
        <w:tab/>
      </w:r>
      <w:r w:rsidRPr="00BC31E0">
        <w:rPr>
          <w:rFonts w:hint="eastAsia"/>
        </w:rPr>
        <w:t>鋼管の自動超音波探傷検査方法</w:t>
      </w:r>
    </w:p>
    <w:p w14:paraId="1BF6B1E5" w14:textId="77777777" w:rsidR="00006CB1" w:rsidRPr="00BC31E0" w:rsidRDefault="00006CB1" w:rsidP="00841E8A">
      <w:pPr>
        <w:tabs>
          <w:tab w:val="left" w:pos="1560"/>
        </w:tabs>
        <w:autoSpaceDE w:val="0"/>
        <w:autoSpaceDN w:val="0"/>
        <w:ind w:left="1581" w:hangingChars="750" w:hanging="1581"/>
      </w:pPr>
      <w:r w:rsidRPr="00BC31E0">
        <w:rPr>
          <w:rFonts w:ascii="ＭＳ ゴシック" w:eastAsia="ＭＳ ゴシック" w:hAnsi="ＭＳ ゴシック" w:hint="eastAsia"/>
          <w:b/>
          <w:bCs/>
        </w:rPr>
        <w:t>JIS G 058</w:t>
      </w:r>
      <w:r w:rsidRPr="00BC31E0">
        <w:rPr>
          <w:rFonts w:ascii="ＭＳ ゴシック" w:eastAsia="ＭＳ ゴシック" w:hAnsi="ＭＳ ゴシック"/>
          <w:b/>
          <w:bCs/>
        </w:rPr>
        <w:t>4</w:t>
      </w:r>
      <w:r w:rsidR="00A528BC" w:rsidRPr="00BC31E0">
        <w:rPr>
          <w:rFonts w:ascii="ＭＳ ゴシック" w:eastAsia="ＭＳ ゴシック" w:hAnsi="ＭＳ ゴシック" w:hint="eastAsia"/>
          <w:b/>
          <w:bCs/>
        </w:rPr>
        <w:tab/>
      </w:r>
      <w:r w:rsidRPr="00BC31E0">
        <w:rPr>
          <w:rFonts w:asciiTheme="minorEastAsia" w:eastAsiaTheme="minorEastAsia" w:hAnsiTheme="minorEastAsia" w:hint="eastAsia"/>
        </w:rPr>
        <w:t>アーク溶接鋼管の超音波探傷検査方法</w:t>
      </w:r>
    </w:p>
    <w:p w14:paraId="62136299" w14:textId="77777777" w:rsidR="00006CB1" w:rsidRPr="00BC31E0" w:rsidRDefault="00006CB1" w:rsidP="00841E8A">
      <w:pPr>
        <w:tabs>
          <w:tab w:val="left" w:pos="1560"/>
        </w:tabs>
        <w:autoSpaceDE w:val="0"/>
        <w:autoSpaceDN w:val="0"/>
        <w:ind w:left="1581" w:hangingChars="750" w:hanging="1581"/>
      </w:pPr>
      <w:r w:rsidRPr="00BC31E0">
        <w:rPr>
          <w:rFonts w:ascii="ＭＳ ゴシック" w:eastAsia="ＭＳ ゴシック" w:hAnsi="ＭＳ ゴシック" w:hint="eastAsia"/>
          <w:b/>
          <w:bCs/>
        </w:rPr>
        <w:t>JIS G 0587</w:t>
      </w:r>
      <w:r w:rsidRPr="00BC31E0">
        <w:rPr>
          <w:rFonts w:hint="eastAsia"/>
          <w:b/>
          <w:bCs/>
        </w:rPr>
        <w:tab/>
      </w:r>
      <w:r w:rsidRPr="00BC31E0">
        <w:rPr>
          <w:rFonts w:hint="eastAsia"/>
        </w:rPr>
        <w:t>炭素鋼鍛鋼品及び低合金鋼鍛鋼品の超音波探傷試験方法</w:t>
      </w:r>
    </w:p>
    <w:p w14:paraId="1CBA8191" w14:textId="77777777" w:rsidR="00006CB1" w:rsidRPr="00BC31E0" w:rsidRDefault="00006CB1" w:rsidP="00841E8A">
      <w:pPr>
        <w:tabs>
          <w:tab w:val="left" w:pos="1560"/>
        </w:tabs>
        <w:autoSpaceDE w:val="0"/>
        <w:autoSpaceDN w:val="0"/>
        <w:ind w:left="1581" w:hangingChars="750" w:hanging="1581"/>
      </w:pPr>
      <w:r w:rsidRPr="00BC31E0">
        <w:rPr>
          <w:rFonts w:ascii="ＭＳ ゴシック" w:eastAsia="ＭＳ ゴシック" w:hAnsi="ＭＳ ゴシック" w:hint="eastAsia"/>
          <w:b/>
          <w:bCs/>
        </w:rPr>
        <w:t>JIS G 0801</w:t>
      </w:r>
      <w:r w:rsidRPr="00BC31E0">
        <w:rPr>
          <w:rFonts w:ascii="ＭＳ ゴシック" w:eastAsia="ＭＳ ゴシック" w:hAnsi="ＭＳ ゴシック" w:hint="eastAsia"/>
          <w:b/>
          <w:bCs/>
        </w:rPr>
        <w:tab/>
      </w:r>
      <w:r w:rsidRPr="00BC31E0">
        <w:rPr>
          <w:rFonts w:hint="eastAsia"/>
        </w:rPr>
        <w:t>圧力容器用鋼板の超音波探傷試験方法</w:t>
      </w:r>
    </w:p>
    <w:p w14:paraId="3A09666D" w14:textId="77777777" w:rsidR="00006CB1" w:rsidRPr="00BC31E0" w:rsidRDefault="00006CB1" w:rsidP="00841E8A">
      <w:pPr>
        <w:tabs>
          <w:tab w:val="left" w:pos="1560"/>
        </w:tabs>
        <w:autoSpaceDE w:val="0"/>
        <w:autoSpaceDN w:val="0"/>
        <w:ind w:left="1581" w:hangingChars="750" w:hanging="1581"/>
        <w:rPr>
          <w:rFonts w:ascii="ＭＳ ゴシック" w:eastAsia="ＭＳ ゴシック" w:hAnsi="ＭＳ ゴシック"/>
          <w:b/>
          <w:bCs/>
        </w:rPr>
      </w:pPr>
      <w:r w:rsidRPr="00BC31E0">
        <w:rPr>
          <w:rFonts w:ascii="ＭＳ ゴシック" w:eastAsia="ＭＳ ゴシック" w:hAnsi="ＭＳ ゴシック" w:hint="eastAsia"/>
          <w:b/>
          <w:bCs/>
        </w:rPr>
        <w:t xml:space="preserve">JIS G </w:t>
      </w:r>
      <w:r w:rsidRPr="00BC31E0">
        <w:rPr>
          <w:rFonts w:ascii="ＭＳ ゴシック" w:eastAsia="ＭＳ ゴシック" w:hAnsi="ＭＳ ゴシック"/>
          <w:b/>
          <w:bCs/>
        </w:rPr>
        <w:t>0802</w:t>
      </w:r>
      <w:r w:rsidR="00A528BC" w:rsidRPr="00BC31E0">
        <w:rPr>
          <w:rFonts w:ascii="ＭＳ ゴシック" w:eastAsia="ＭＳ ゴシック" w:hAnsi="ＭＳ ゴシック" w:hint="eastAsia"/>
          <w:b/>
          <w:bCs/>
        </w:rPr>
        <w:tab/>
      </w:r>
      <w:r w:rsidRPr="00BC31E0">
        <w:rPr>
          <w:rFonts w:asciiTheme="minorEastAsia" w:eastAsiaTheme="minorEastAsia" w:hAnsiTheme="minorEastAsia" w:hint="eastAsia"/>
        </w:rPr>
        <w:t>ステンレス鋼板の超音波探傷検査方法</w:t>
      </w:r>
    </w:p>
    <w:p w14:paraId="15AB39C5" w14:textId="77777777" w:rsidR="00006CB1" w:rsidRPr="00BC31E0" w:rsidRDefault="00006CB1" w:rsidP="00841E8A">
      <w:pPr>
        <w:tabs>
          <w:tab w:val="left" w:pos="1560"/>
        </w:tabs>
        <w:autoSpaceDE w:val="0"/>
        <w:autoSpaceDN w:val="0"/>
        <w:ind w:left="1581" w:hangingChars="750" w:hanging="1581"/>
        <w:rPr>
          <w:rFonts w:ascii="ＭＳ ゴシック" w:eastAsia="ＭＳ ゴシック" w:hAnsi="ＭＳ ゴシック"/>
          <w:b/>
          <w:bCs/>
        </w:rPr>
      </w:pPr>
      <w:r w:rsidRPr="00BC31E0">
        <w:rPr>
          <w:rFonts w:ascii="ＭＳ ゴシック" w:eastAsia="ＭＳ ゴシック" w:hAnsi="ＭＳ ゴシック" w:hint="eastAsia"/>
          <w:b/>
          <w:bCs/>
        </w:rPr>
        <w:t xml:space="preserve">JIS G </w:t>
      </w:r>
      <w:r w:rsidRPr="00BC31E0">
        <w:rPr>
          <w:rFonts w:ascii="ＭＳ ゴシック" w:eastAsia="ＭＳ ゴシック" w:hAnsi="ＭＳ ゴシック"/>
          <w:b/>
          <w:bCs/>
        </w:rPr>
        <w:t>0803</w:t>
      </w:r>
      <w:r w:rsidR="00A528BC" w:rsidRPr="00BC31E0">
        <w:rPr>
          <w:rFonts w:ascii="ＭＳ ゴシック" w:eastAsia="ＭＳ ゴシック" w:hAnsi="ＭＳ ゴシック" w:hint="eastAsia"/>
          <w:b/>
          <w:bCs/>
        </w:rPr>
        <w:tab/>
      </w:r>
      <w:r w:rsidRPr="00BC31E0">
        <w:rPr>
          <w:rFonts w:asciiTheme="minorEastAsia" w:eastAsiaTheme="minorEastAsia" w:hAnsiTheme="minorEastAsia" w:hint="eastAsia"/>
        </w:rPr>
        <w:t>溶接鋼管溶接部のフィルム式放射線透過検査方法</w:t>
      </w:r>
    </w:p>
    <w:p w14:paraId="64D3E9B2" w14:textId="77777777" w:rsidR="00006CB1" w:rsidRPr="00BC31E0" w:rsidRDefault="00006CB1" w:rsidP="00841E8A">
      <w:pPr>
        <w:tabs>
          <w:tab w:val="left" w:pos="1560"/>
        </w:tabs>
        <w:autoSpaceDE w:val="0"/>
        <w:autoSpaceDN w:val="0"/>
        <w:ind w:left="1581" w:hangingChars="750" w:hanging="1581"/>
        <w:rPr>
          <w:rFonts w:ascii="ＭＳ ゴシック" w:eastAsia="ＭＳ ゴシック" w:hAnsi="ＭＳ ゴシック"/>
          <w:b/>
          <w:bCs/>
        </w:rPr>
      </w:pPr>
      <w:r w:rsidRPr="00BC31E0">
        <w:rPr>
          <w:rFonts w:ascii="ＭＳ ゴシック" w:eastAsia="ＭＳ ゴシック" w:hAnsi="ＭＳ ゴシック" w:hint="eastAsia"/>
          <w:b/>
          <w:bCs/>
        </w:rPr>
        <w:t xml:space="preserve">JIS G </w:t>
      </w:r>
      <w:r w:rsidRPr="00BC31E0">
        <w:rPr>
          <w:rFonts w:ascii="ＭＳ ゴシック" w:eastAsia="ＭＳ ゴシック" w:hAnsi="ＭＳ ゴシック"/>
          <w:b/>
          <w:bCs/>
        </w:rPr>
        <w:t>0804</w:t>
      </w:r>
      <w:r w:rsidR="00A528BC" w:rsidRPr="00BC31E0">
        <w:rPr>
          <w:rFonts w:ascii="ＭＳ ゴシック" w:eastAsia="ＭＳ ゴシック" w:hAnsi="ＭＳ ゴシック" w:hint="eastAsia"/>
          <w:b/>
          <w:bCs/>
        </w:rPr>
        <w:tab/>
      </w:r>
      <w:r w:rsidRPr="00BC31E0">
        <w:rPr>
          <w:rFonts w:asciiTheme="minorEastAsia" w:eastAsiaTheme="minorEastAsia" w:hAnsiTheme="minorEastAsia" w:hint="eastAsia"/>
        </w:rPr>
        <w:t>溶接鋼管溶接部のデジタル式放射線透過検査方法</w:t>
      </w:r>
    </w:p>
    <w:p w14:paraId="30B9352C" w14:textId="77777777" w:rsidR="00006CB1" w:rsidRPr="00BC31E0" w:rsidRDefault="00006CB1" w:rsidP="00841E8A">
      <w:pPr>
        <w:tabs>
          <w:tab w:val="left" w:pos="1560"/>
        </w:tabs>
        <w:autoSpaceDE w:val="0"/>
        <w:autoSpaceDN w:val="0"/>
        <w:ind w:left="1581" w:hangingChars="750" w:hanging="1581"/>
      </w:pPr>
      <w:r w:rsidRPr="00BC31E0">
        <w:rPr>
          <w:rFonts w:ascii="ＭＳ ゴシック" w:eastAsia="ＭＳ ゴシック" w:hAnsi="ＭＳ ゴシック" w:hint="eastAsia"/>
          <w:b/>
          <w:bCs/>
        </w:rPr>
        <w:t>JIS G 3101</w:t>
      </w:r>
      <w:r w:rsidRPr="00BC31E0">
        <w:rPr>
          <w:rFonts w:ascii="ＭＳ ゴシック" w:eastAsia="ＭＳ ゴシック" w:hAnsi="ＭＳ ゴシック" w:hint="eastAsia"/>
          <w:b/>
          <w:bCs/>
        </w:rPr>
        <w:tab/>
      </w:r>
      <w:r w:rsidRPr="00BC31E0">
        <w:rPr>
          <w:rFonts w:hint="eastAsia"/>
        </w:rPr>
        <w:t>一般構造用圧延鋼材</w:t>
      </w:r>
    </w:p>
    <w:p w14:paraId="4C3994DA" w14:textId="77777777" w:rsidR="00006CB1" w:rsidRPr="00BC31E0" w:rsidRDefault="00006CB1" w:rsidP="00841E8A">
      <w:pPr>
        <w:tabs>
          <w:tab w:val="left" w:pos="1560"/>
        </w:tabs>
        <w:autoSpaceDE w:val="0"/>
        <w:autoSpaceDN w:val="0"/>
        <w:ind w:left="1581" w:hangingChars="750" w:hanging="1581"/>
      </w:pPr>
      <w:r w:rsidRPr="00BC31E0">
        <w:rPr>
          <w:rFonts w:ascii="ＭＳ ゴシック" w:eastAsia="ＭＳ ゴシック" w:hAnsi="ＭＳ ゴシック" w:hint="eastAsia"/>
          <w:b/>
          <w:bCs/>
        </w:rPr>
        <w:t>JIS G 3115</w:t>
      </w:r>
      <w:r w:rsidRPr="00BC31E0">
        <w:rPr>
          <w:rFonts w:ascii="ＭＳ ゴシック" w:eastAsia="ＭＳ ゴシック" w:hAnsi="ＭＳ ゴシック" w:hint="eastAsia"/>
          <w:b/>
          <w:bCs/>
        </w:rPr>
        <w:tab/>
      </w:r>
      <w:r w:rsidRPr="00BC31E0">
        <w:rPr>
          <w:rFonts w:hint="eastAsia"/>
        </w:rPr>
        <w:t>圧力容器用鋼板</w:t>
      </w:r>
    </w:p>
    <w:p w14:paraId="58104E0E" w14:textId="77777777" w:rsidR="00006CB1" w:rsidRPr="00BC31E0" w:rsidRDefault="00006CB1" w:rsidP="00841E8A">
      <w:pPr>
        <w:tabs>
          <w:tab w:val="left" w:pos="1560"/>
        </w:tabs>
        <w:autoSpaceDE w:val="0"/>
        <w:autoSpaceDN w:val="0"/>
        <w:ind w:left="1581" w:hangingChars="750" w:hanging="1581"/>
      </w:pPr>
      <w:r w:rsidRPr="00BC31E0">
        <w:rPr>
          <w:rFonts w:ascii="ＭＳ ゴシック" w:eastAsia="ＭＳ ゴシック" w:hAnsi="ＭＳ ゴシック" w:hint="eastAsia"/>
          <w:b/>
          <w:bCs/>
        </w:rPr>
        <w:t>JIS G 3120</w:t>
      </w:r>
      <w:r w:rsidRPr="00BC31E0">
        <w:rPr>
          <w:rFonts w:ascii="ＭＳ ゴシック" w:eastAsia="ＭＳ ゴシック" w:hAnsi="ＭＳ ゴシック" w:hint="eastAsia"/>
          <w:b/>
          <w:bCs/>
        </w:rPr>
        <w:tab/>
      </w:r>
      <w:r w:rsidRPr="00BC31E0">
        <w:rPr>
          <w:rFonts w:hint="eastAsia"/>
        </w:rPr>
        <w:t>圧力容器用調質型マンガンモリブデン鋼及びマンガンモリブデンニッケル鋼</w:t>
      </w:r>
      <w:r w:rsidRPr="00BC31E0">
        <w:rPr>
          <w:rFonts w:hint="eastAsia"/>
        </w:rPr>
        <w:t xml:space="preserve">                  </w:t>
      </w:r>
      <w:r w:rsidRPr="00BC31E0">
        <w:rPr>
          <w:rFonts w:hint="eastAsia"/>
        </w:rPr>
        <w:t>鋼板</w:t>
      </w:r>
    </w:p>
    <w:p w14:paraId="048F4748" w14:textId="77777777" w:rsidR="00006CB1" w:rsidRPr="00BC31E0" w:rsidRDefault="00006CB1" w:rsidP="00841E8A">
      <w:pPr>
        <w:tabs>
          <w:tab w:val="left" w:pos="1560"/>
        </w:tabs>
        <w:autoSpaceDE w:val="0"/>
        <w:autoSpaceDN w:val="0"/>
        <w:ind w:left="1581" w:hangingChars="750" w:hanging="1581"/>
      </w:pPr>
      <w:r w:rsidRPr="00BC31E0">
        <w:rPr>
          <w:rFonts w:ascii="ＭＳ ゴシック" w:eastAsia="ＭＳ ゴシック" w:hAnsi="ＭＳ ゴシック" w:hint="eastAsia"/>
          <w:b/>
          <w:bCs/>
        </w:rPr>
        <w:t>JIS G 3127</w:t>
      </w:r>
      <w:r w:rsidRPr="00BC31E0">
        <w:rPr>
          <w:rFonts w:ascii="ＭＳ ゴシック" w:eastAsia="ＭＳ ゴシック" w:hAnsi="ＭＳ ゴシック" w:hint="eastAsia"/>
          <w:b/>
          <w:bCs/>
        </w:rPr>
        <w:tab/>
      </w:r>
      <w:r w:rsidRPr="00BC31E0">
        <w:rPr>
          <w:rFonts w:hint="eastAsia"/>
        </w:rPr>
        <w:t>低温圧力容器用ニッケル鋼鋼板</w:t>
      </w:r>
    </w:p>
    <w:p w14:paraId="07AE409E" w14:textId="77777777" w:rsidR="00006CB1" w:rsidRPr="00BC31E0" w:rsidRDefault="00006CB1" w:rsidP="00841E8A">
      <w:pPr>
        <w:tabs>
          <w:tab w:val="left" w:pos="1560"/>
        </w:tabs>
        <w:autoSpaceDE w:val="0"/>
        <w:autoSpaceDN w:val="0"/>
        <w:ind w:left="1581" w:hangingChars="750" w:hanging="1581"/>
      </w:pPr>
      <w:r w:rsidRPr="00BC31E0">
        <w:rPr>
          <w:rFonts w:ascii="ＭＳ ゴシック" w:eastAsia="ＭＳ ゴシック" w:hAnsi="ＭＳ ゴシック" w:hint="eastAsia"/>
          <w:b/>
          <w:bCs/>
        </w:rPr>
        <w:t>JIS G 3203</w:t>
      </w:r>
      <w:r w:rsidRPr="00BC31E0">
        <w:rPr>
          <w:rFonts w:ascii="ＭＳ ゴシック" w:eastAsia="ＭＳ ゴシック" w:hAnsi="ＭＳ ゴシック" w:hint="eastAsia"/>
          <w:b/>
          <w:bCs/>
        </w:rPr>
        <w:tab/>
      </w:r>
      <w:r w:rsidRPr="00BC31E0">
        <w:rPr>
          <w:rFonts w:hint="eastAsia"/>
        </w:rPr>
        <w:t>高温圧力容器用合金鋼鍛鋼品</w:t>
      </w:r>
    </w:p>
    <w:p w14:paraId="42F1AE5D" w14:textId="77777777" w:rsidR="00006CB1" w:rsidRPr="00BC31E0" w:rsidRDefault="00006CB1" w:rsidP="00841E8A">
      <w:pPr>
        <w:tabs>
          <w:tab w:val="left" w:pos="1560"/>
        </w:tabs>
        <w:autoSpaceDE w:val="0"/>
        <w:autoSpaceDN w:val="0"/>
        <w:ind w:left="1581" w:hangingChars="750" w:hanging="1581"/>
      </w:pPr>
      <w:r w:rsidRPr="00BC31E0">
        <w:rPr>
          <w:rFonts w:ascii="ＭＳ ゴシック" w:eastAsia="ＭＳ ゴシック" w:hAnsi="ＭＳ ゴシック" w:hint="eastAsia"/>
          <w:b/>
          <w:bCs/>
        </w:rPr>
        <w:t>JIS G 3204</w:t>
      </w:r>
      <w:r w:rsidRPr="00BC31E0">
        <w:rPr>
          <w:rFonts w:ascii="ＭＳ ゴシック" w:eastAsia="ＭＳ ゴシック" w:hAnsi="ＭＳ ゴシック" w:hint="eastAsia"/>
          <w:b/>
          <w:bCs/>
        </w:rPr>
        <w:tab/>
      </w:r>
      <w:r w:rsidRPr="00BC31E0">
        <w:rPr>
          <w:rFonts w:hint="eastAsia"/>
        </w:rPr>
        <w:t>圧力容器用調質型合金鋼鍛鋼品</w:t>
      </w:r>
    </w:p>
    <w:p w14:paraId="4CBAEBC5" w14:textId="77777777" w:rsidR="00006CB1" w:rsidRPr="00BC31E0" w:rsidRDefault="00006CB1" w:rsidP="00841E8A">
      <w:pPr>
        <w:tabs>
          <w:tab w:val="left" w:pos="1560"/>
        </w:tabs>
        <w:autoSpaceDE w:val="0"/>
        <w:autoSpaceDN w:val="0"/>
        <w:ind w:left="1581" w:hangingChars="750" w:hanging="1581"/>
      </w:pPr>
      <w:r w:rsidRPr="00BC31E0">
        <w:rPr>
          <w:rFonts w:ascii="ＭＳ ゴシック" w:eastAsia="ＭＳ ゴシック" w:hAnsi="ＭＳ ゴシック" w:hint="eastAsia"/>
          <w:b/>
          <w:bCs/>
        </w:rPr>
        <w:t>JIS G 3206</w:t>
      </w:r>
      <w:r w:rsidRPr="00BC31E0">
        <w:rPr>
          <w:rFonts w:ascii="ＭＳ ゴシック" w:eastAsia="ＭＳ ゴシック" w:hAnsi="ＭＳ ゴシック" w:hint="eastAsia"/>
          <w:b/>
          <w:bCs/>
        </w:rPr>
        <w:tab/>
      </w:r>
      <w:r w:rsidRPr="00BC31E0">
        <w:rPr>
          <w:rFonts w:hint="eastAsia"/>
        </w:rPr>
        <w:t>高温圧力容器用高強度クロムモリブデン鋼鍛鋼品</w:t>
      </w:r>
    </w:p>
    <w:p w14:paraId="39F3B112" w14:textId="77777777" w:rsidR="00006CB1" w:rsidRPr="00BC31E0" w:rsidRDefault="00006CB1" w:rsidP="00841E8A">
      <w:pPr>
        <w:tabs>
          <w:tab w:val="left" w:pos="1560"/>
        </w:tabs>
        <w:autoSpaceDE w:val="0"/>
        <w:autoSpaceDN w:val="0"/>
        <w:ind w:left="1581" w:hangingChars="750" w:hanging="1581"/>
      </w:pPr>
      <w:r w:rsidRPr="00BC31E0">
        <w:rPr>
          <w:rFonts w:ascii="ＭＳ ゴシック" w:eastAsia="ＭＳ ゴシック" w:hAnsi="ＭＳ ゴシック" w:hint="eastAsia"/>
          <w:b/>
          <w:bCs/>
        </w:rPr>
        <w:t>JIS G 3221</w:t>
      </w:r>
      <w:r w:rsidRPr="00BC31E0">
        <w:rPr>
          <w:rFonts w:ascii="ＭＳ ゴシック" w:eastAsia="ＭＳ ゴシック" w:hAnsi="ＭＳ ゴシック" w:hint="eastAsia"/>
          <w:b/>
          <w:bCs/>
        </w:rPr>
        <w:tab/>
      </w:r>
      <w:r w:rsidRPr="00BC31E0">
        <w:rPr>
          <w:rFonts w:hint="eastAsia"/>
          <w:bCs/>
        </w:rPr>
        <w:t>クロムモリブデン鋼鍛鋼品</w:t>
      </w:r>
    </w:p>
    <w:p w14:paraId="54DCC479" w14:textId="77777777" w:rsidR="00006CB1" w:rsidRPr="00BC31E0" w:rsidRDefault="00006CB1" w:rsidP="00841E8A">
      <w:pPr>
        <w:tabs>
          <w:tab w:val="left" w:pos="1560"/>
        </w:tabs>
        <w:autoSpaceDE w:val="0"/>
        <w:autoSpaceDN w:val="0"/>
        <w:ind w:left="1581" w:hangingChars="750" w:hanging="1581"/>
      </w:pPr>
      <w:r w:rsidRPr="00BC31E0">
        <w:rPr>
          <w:rFonts w:ascii="ＭＳ ゴシック" w:eastAsia="ＭＳ ゴシック" w:hAnsi="ＭＳ ゴシック" w:hint="eastAsia"/>
          <w:b/>
          <w:bCs/>
        </w:rPr>
        <w:t>JIS G 3222</w:t>
      </w:r>
      <w:r w:rsidRPr="00BC31E0">
        <w:rPr>
          <w:rFonts w:ascii="ＭＳ ゴシック" w:eastAsia="ＭＳ ゴシック" w:hAnsi="ＭＳ ゴシック" w:hint="eastAsia"/>
          <w:b/>
          <w:bCs/>
        </w:rPr>
        <w:tab/>
      </w:r>
      <w:r w:rsidRPr="00BC31E0">
        <w:rPr>
          <w:rFonts w:hint="eastAsia"/>
          <w:bCs/>
        </w:rPr>
        <w:t>ニッケルクロムモリブデン鋼鍛鋼品</w:t>
      </w:r>
    </w:p>
    <w:p w14:paraId="346A33FE" w14:textId="77777777" w:rsidR="00006CB1" w:rsidRPr="00BC31E0" w:rsidRDefault="00006CB1" w:rsidP="00841E8A">
      <w:pPr>
        <w:tabs>
          <w:tab w:val="left" w:pos="1560"/>
        </w:tabs>
        <w:autoSpaceDE w:val="0"/>
        <w:autoSpaceDN w:val="0"/>
        <w:ind w:left="1581" w:hangingChars="750" w:hanging="1581"/>
      </w:pPr>
      <w:r w:rsidRPr="00BC31E0">
        <w:rPr>
          <w:rFonts w:ascii="ＭＳ ゴシック" w:eastAsia="ＭＳ ゴシック" w:hAnsi="ＭＳ ゴシック" w:hint="eastAsia"/>
          <w:b/>
          <w:bCs/>
        </w:rPr>
        <w:t>JIS G 3460</w:t>
      </w:r>
      <w:r w:rsidRPr="00BC31E0">
        <w:rPr>
          <w:rFonts w:ascii="ＭＳ ゴシック" w:eastAsia="ＭＳ ゴシック" w:hAnsi="ＭＳ ゴシック" w:hint="eastAsia"/>
          <w:b/>
          <w:bCs/>
        </w:rPr>
        <w:tab/>
      </w:r>
      <w:r w:rsidRPr="00BC31E0">
        <w:rPr>
          <w:rFonts w:hint="eastAsia"/>
        </w:rPr>
        <w:t>低温配管用鋼管</w:t>
      </w:r>
    </w:p>
    <w:p w14:paraId="69596F89" w14:textId="77777777" w:rsidR="00006CB1" w:rsidRPr="00BC31E0" w:rsidRDefault="00006CB1" w:rsidP="00841E8A">
      <w:pPr>
        <w:tabs>
          <w:tab w:val="left" w:pos="1560"/>
        </w:tabs>
        <w:autoSpaceDE w:val="0"/>
        <w:autoSpaceDN w:val="0"/>
        <w:ind w:left="1581" w:hangingChars="750" w:hanging="1581"/>
      </w:pPr>
      <w:r w:rsidRPr="00BC31E0">
        <w:rPr>
          <w:rFonts w:ascii="ＭＳ ゴシック" w:eastAsia="ＭＳ ゴシック" w:hAnsi="ＭＳ ゴシック" w:hint="eastAsia"/>
          <w:b/>
          <w:bCs/>
        </w:rPr>
        <w:t>JIS G 4051</w:t>
      </w:r>
      <w:r w:rsidRPr="00BC31E0">
        <w:rPr>
          <w:rFonts w:ascii="ＭＳ ゴシック" w:eastAsia="ＭＳ ゴシック" w:hAnsi="ＭＳ ゴシック" w:hint="eastAsia"/>
          <w:b/>
          <w:bCs/>
        </w:rPr>
        <w:tab/>
      </w:r>
      <w:r w:rsidRPr="00BC31E0">
        <w:rPr>
          <w:rFonts w:hint="eastAsia"/>
        </w:rPr>
        <w:t>機械構造用炭素鋼鋼材</w:t>
      </w:r>
    </w:p>
    <w:p w14:paraId="2718D9ED" w14:textId="77777777" w:rsidR="00006CB1" w:rsidRPr="00BC31E0" w:rsidRDefault="00006CB1" w:rsidP="00841E8A">
      <w:pPr>
        <w:tabs>
          <w:tab w:val="left" w:pos="1560"/>
        </w:tabs>
        <w:autoSpaceDE w:val="0"/>
        <w:autoSpaceDN w:val="0"/>
        <w:ind w:left="1581" w:hangingChars="750" w:hanging="1581"/>
      </w:pPr>
      <w:r w:rsidRPr="00BC31E0">
        <w:rPr>
          <w:rFonts w:ascii="ＭＳ ゴシック" w:eastAsia="ＭＳ ゴシック" w:hAnsi="ＭＳ ゴシック" w:hint="eastAsia"/>
          <w:b/>
          <w:bCs/>
        </w:rPr>
        <w:t>JIS G 4053</w:t>
      </w:r>
      <w:r w:rsidRPr="00BC31E0">
        <w:rPr>
          <w:rFonts w:ascii="ＭＳ ゴシック" w:eastAsia="ＭＳ ゴシック" w:hAnsi="ＭＳ ゴシック" w:hint="eastAsia"/>
          <w:b/>
          <w:bCs/>
        </w:rPr>
        <w:tab/>
      </w:r>
      <w:r w:rsidRPr="00BC31E0">
        <w:rPr>
          <w:rFonts w:hint="eastAsia"/>
        </w:rPr>
        <w:t>機械構造用合金鋼鋼材</w:t>
      </w:r>
    </w:p>
    <w:p w14:paraId="7F6D15F0" w14:textId="77777777" w:rsidR="00006CB1" w:rsidRPr="00BC31E0" w:rsidRDefault="00006CB1" w:rsidP="00841E8A">
      <w:pPr>
        <w:tabs>
          <w:tab w:val="left" w:pos="1560"/>
        </w:tabs>
        <w:autoSpaceDE w:val="0"/>
        <w:autoSpaceDN w:val="0"/>
        <w:ind w:left="1581" w:hangingChars="750" w:hanging="1581"/>
      </w:pPr>
      <w:r w:rsidRPr="00BC31E0">
        <w:rPr>
          <w:rFonts w:ascii="ＭＳ ゴシック" w:eastAsia="ＭＳ ゴシック" w:hAnsi="ＭＳ ゴシック" w:hint="eastAsia"/>
          <w:b/>
          <w:bCs/>
        </w:rPr>
        <w:t>JIS G 4107</w:t>
      </w:r>
      <w:r w:rsidRPr="00BC31E0">
        <w:rPr>
          <w:rFonts w:ascii="ＭＳ ゴシック" w:eastAsia="ＭＳ ゴシック" w:hAnsi="ＭＳ ゴシック" w:hint="eastAsia"/>
          <w:b/>
          <w:bCs/>
        </w:rPr>
        <w:tab/>
      </w:r>
      <w:r w:rsidRPr="00BC31E0">
        <w:rPr>
          <w:rFonts w:hint="eastAsia"/>
        </w:rPr>
        <w:t>高温用合金鋼ボルト材</w:t>
      </w:r>
    </w:p>
    <w:p w14:paraId="16EF84E9" w14:textId="77777777" w:rsidR="00006CB1" w:rsidRPr="00BC31E0" w:rsidRDefault="00006CB1" w:rsidP="00841E8A">
      <w:pPr>
        <w:tabs>
          <w:tab w:val="left" w:pos="1560"/>
        </w:tabs>
        <w:autoSpaceDE w:val="0"/>
        <w:autoSpaceDN w:val="0"/>
        <w:ind w:left="1581" w:hangingChars="750" w:hanging="1581"/>
      </w:pPr>
      <w:r w:rsidRPr="00BC31E0">
        <w:rPr>
          <w:rFonts w:ascii="ＭＳ ゴシック" w:eastAsia="ＭＳ ゴシック" w:hAnsi="ＭＳ ゴシック" w:hint="eastAsia"/>
          <w:b/>
          <w:bCs/>
        </w:rPr>
        <w:t>JIS G 4108</w:t>
      </w:r>
      <w:r w:rsidRPr="00BC31E0">
        <w:rPr>
          <w:rFonts w:ascii="ＭＳ ゴシック" w:eastAsia="ＭＳ ゴシック" w:hAnsi="ＭＳ ゴシック" w:hint="eastAsia"/>
          <w:b/>
          <w:bCs/>
        </w:rPr>
        <w:tab/>
      </w:r>
      <w:r w:rsidRPr="00BC31E0">
        <w:rPr>
          <w:rFonts w:hint="eastAsia"/>
        </w:rPr>
        <w:t>特殊用途合金鋼ボルト用棒鋼</w:t>
      </w:r>
    </w:p>
    <w:p w14:paraId="7DCAA7B2" w14:textId="77777777" w:rsidR="00006CB1" w:rsidRPr="00BC31E0" w:rsidRDefault="00006CB1" w:rsidP="00841E8A">
      <w:pPr>
        <w:tabs>
          <w:tab w:val="left" w:pos="1560"/>
        </w:tabs>
        <w:autoSpaceDE w:val="0"/>
        <w:autoSpaceDN w:val="0"/>
        <w:ind w:left="1581" w:hangingChars="750" w:hanging="1581"/>
      </w:pPr>
      <w:r w:rsidRPr="00BC31E0">
        <w:rPr>
          <w:rFonts w:ascii="ＭＳ ゴシック" w:eastAsia="ＭＳ ゴシック" w:hAnsi="ＭＳ ゴシック" w:hint="eastAsia"/>
          <w:b/>
          <w:bCs/>
        </w:rPr>
        <w:t>JIS G 4110</w:t>
      </w:r>
      <w:r w:rsidRPr="00BC31E0">
        <w:rPr>
          <w:rFonts w:ascii="ＭＳ ゴシック" w:eastAsia="ＭＳ ゴシック" w:hAnsi="ＭＳ ゴシック" w:hint="eastAsia"/>
          <w:b/>
          <w:bCs/>
        </w:rPr>
        <w:tab/>
      </w:r>
      <w:r w:rsidRPr="00BC31E0">
        <w:rPr>
          <w:rFonts w:hint="eastAsia"/>
        </w:rPr>
        <w:t>高温圧力容器用高強度クロムモリブデン鋼及びクロムモリブデンバナジウム　　　　　　　　　鋼鋼板</w:t>
      </w:r>
    </w:p>
    <w:p w14:paraId="62905BB0" w14:textId="77777777" w:rsidR="00006CB1" w:rsidRPr="00BC31E0" w:rsidRDefault="00006CB1" w:rsidP="00841E8A">
      <w:pPr>
        <w:tabs>
          <w:tab w:val="left" w:pos="1560"/>
        </w:tabs>
        <w:autoSpaceDE w:val="0"/>
        <w:autoSpaceDN w:val="0"/>
        <w:ind w:left="1581" w:hangingChars="750" w:hanging="1581"/>
      </w:pPr>
      <w:r w:rsidRPr="00BC31E0">
        <w:rPr>
          <w:rFonts w:ascii="ＭＳ ゴシック" w:eastAsia="ＭＳ ゴシック" w:hAnsi="ＭＳ ゴシック" w:hint="eastAsia"/>
          <w:b/>
          <w:bCs/>
        </w:rPr>
        <w:t>JIS G 4303</w:t>
      </w:r>
      <w:r w:rsidRPr="00BC31E0">
        <w:rPr>
          <w:rFonts w:ascii="ＭＳ ゴシック" w:eastAsia="ＭＳ ゴシック" w:hAnsi="ＭＳ ゴシック" w:hint="eastAsia"/>
          <w:b/>
          <w:bCs/>
        </w:rPr>
        <w:tab/>
      </w:r>
      <w:r w:rsidRPr="00BC31E0">
        <w:rPr>
          <w:rFonts w:hint="eastAsia"/>
        </w:rPr>
        <w:t>ステンレス鋼棒</w:t>
      </w:r>
    </w:p>
    <w:p w14:paraId="571A4AE0" w14:textId="77777777" w:rsidR="00006CB1" w:rsidRPr="00BC31E0" w:rsidRDefault="00006CB1" w:rsidP="00841E8A">
      <w:pPr>
        <w:tabs>
          <w:tab w:val="left" w:pos="1560"/>
        </w:tabs>
        <w:autoSpaceDE w:val="0"/>
        <w:autoSpaceDN w:val="0"/>
        <w:ind w:left="1581" w:hangingChars="750" w:hanging="1581"/>
      </w:pPr>
      <w:r w:rsidRPr="00BC31E0">
        <w:rPr>
          <w:rFonts w:ascii="ＭＳ ゴシック" w:eastAsia="ＭＳ ゴシック" w:hAnsi="ＭＳ ゴシック" w:hint="eastAsia"/>
          <w:b/>
          <w:bCs/>
        </w:rPr>
        <w:t>JIS G 4901</w:t>
      </w:r>
      <w:r w:rsidRPr="00BC31E0">
        <w:rPr>
          <w:rFonts w:ascii="ＭＳ ゴシック" w:eastAsia="ＭＳ ゴシック" w:hAnsi="ＭＳ ゴシック" w:hint="eastAsia"/>
          <w:b/>
          <w:bCs/>
        </w:rPr>
        <w:tab/>
      </w:r>
      <w:r w:rsidRPr="00BC31E0">
        <w:rPr>
          <w:rFonts w:hint="eastAsia"/>
        </w:rPr>
        <w:t>耐食耐熱超合金棒</w:t>
      </w:r>
    </w:p>
    <w:p w14:paraId="26B74858" w14:textId="77777777" w:rsidR="00006CB1" w:rsidRPr="00BC31E0" w:rsidRDefault="00006CB1" w:rsidP="00841E8A">
      <w:pPr>
        <w:tabs>
          <w:tab w:val="left" w:pos="1560"/>
        </w:tabs>
        <w:autoSpaceDE w:val="0"/>
        <w:autoSpaceDN w:val="0"/>
        <w:ind w:left="1581" w:hangingChars="750" w:hanging="1581"/>
      </w:pPr>
      <w:r w:rsidRPr="00BC31E0">
        <w:rPr>
          <w:rFonts w:ascii="ＭＳ ゴシック" w:eastAsia="ＭＳ ゴシック" w:hAnsi="ＭＳ ゴシック" w:hint="eastAsia"/>
          <w:b/>
          <w:bCs/>
        </w:rPr>
        <w:t>JIS G 4902</w:t>
      </w:r>
      <w:r w:rsidRPr="00BC31E0">
        <w:rPr>
          <w:rFonts w:ascii="ＭＳ ゴシック" w:eastAsia="ＭＳ ゴシック" w:hAnsi="ＭＳ ゴシック" w:hint="eastAsia"/>
          <w:b/>
          <w:bCs/>
        </w:rPr>
        <w:tab/>
      </w:r>
      <w:r w:rsidRPr="00BC31E0">
        <w:rPr>
          <w:rFonts w:hint="eastAsia"/>
        </w:rPr>
        <w:t>耐食耐熱超合金，ニッケル及びニッケル合金－板及び帯</w:t>
      </w:r>
    </w:p>
    <w:p w14:paraId="605F310F" w14:textId="77777777" w:rsidR="00006CB1" w:rsidRPr="00BC31E0" w:rsidRDefault="00006CB1" w:rsidP="00841E8A">
      <w:pPr>
        <w:tabs>
          <w:tab w:val="left" w:pos="1560"/>
        </w:tabs>
        <w:autoSpaceDE w:val="0"/>
        <w:autoSpaceDN w:val="0"/>
        <w:ind w:left="1581" w:hangingChars="750" w:hanging="1581"/>
      </w:pPr>
      <w:r w:rsidRPr="00BC31E0">
        <w:rPr>
          <w:rFonts w:ascii="ＭＳ ゴシック" w:eastAsia="ＭＳ ゴシック" w:hAnsi="ＭＳ ゴシック" w:hint="eastAsia"/>
          <w:b/>
          <w:bCs/>
        </w:rPr>
        <w:t>JIS H 4100</w:t>
      </w:r>
      <w:r w:rsidRPr="00BC31E0">
        <w:rPr>
          <w:rFonts w:ascii="ＭＳ ゴシック" w:eastAsia="ＭＳ ゴシック" w:hAnsi="ＭＳ ゴシック" w:hint="eastAsia"/>
          <w:b/>
          <w:bCs/>
        </w:rPr>
        <w:tab/>
      </w:r>
      <w:r w:rsidRPr="00BC31E0">
        <w:rPr>
          <w:rFonts w:hint="eastAsia"/>
        </w:rPr>
        <w:t>アルミニウム及びアルミニウム合金の押出形材</w:t>
      </w:r>
    </w:p>
    <w:p w14:paraId="3EE9E52A" w14:textId="77777777" w:rsidR="00006CB1" w:rsidRPr="00BC31E0" w:rsidRDefault="00006CB1" w:rsidP="00841E8A">
      <w:pPr>
        <w:tabs>
          <w:tab w:val="left" w:pos="1560"/>
        </w:tabs>
        <w:autoSpaceDE w:val="0"/>
        <w:autoSpaceDN w:val="0"/>
        <w:ind w:left="1581" w:hangingChars="750" w:hanging="1581"/>
      </w:pPr>
      <w:r w:rsidRPr="00BC31E0">
        <w:rPr>
          <w:rFonts w:ascii="ＭＳ ゴシック" w:eastAsia="ＭＳ ゴシック" w:hAnsi="ＭＳ ゴシック" w:hint="eastAsia"/>
          <w:b/>
          <w:bCs/>
        </w:rPr>
        <w:t>JIS Q 9000</w:t>
      </w:r>
      <w:r w:rsidRPr="00BC31E0">
        <w:rPr>
          <w:rFonts w:ascii="ＭＳ ゴシック" w:eastAsia="ＭＳ ゴシック" w:hAnsi="ＭＳ ゴシック" w:hint="eastAsia"/>
          <w:b/>
          <w:bCs/>
        </w:rPr>
        <w:tab/>
      </w:r>
      <w:r w:rsidRPr="00BC31E0">
        <w:rPr>
          <w:rFonts w:hint="eastAsia"/>
        </w:rPr>
        <w:t>品質マネジメントシステム－基本及び用語</w:t>
      </w:r>
    </w:p>
    <w:p w14:paraId="2E09587F" w14:textId="77777777" w:rsidR="00006CB1" w:rsidRPr="00BC31E0" w:rsidRDefault="00006CB1" w:rsidP="00841E8A">
      <w:pPr>
        <w:tabs>
          <w:tab w:val="left" w:pos="1560"/>
        </w:tabs>
        <w:autoSpaceDE w:val="0"/>
        <w:autoSpaceDN w:val="0"/>
        <w:ind w:left="1581" w:hangingChars="750" w:hanging="1581"/>
        <w:rPr>
          <w:rFonts w:ascii="ＭＳ ゴシック" w:eastAsia="ＭＳ ゴシック"/>
          <w:b/>
        </w:rPr>
      </w:pPr>
      <w:r w:rsidRPr="00BC31E0">
        <w:rPr>
          <w:rFonts w:ascii="ＭＳ ゴシック" w:eastAsia="ＭＳ ゴシック" w:hint="eastAsia"/>
          <w:b/>
        </w:rPr>
        <w:t>JIS Q 9001</w:t>
      </w:r>
      <w:r w:rsidRPr="00BC31E0">
        <w:rPr>
          <w:rFonts w:ascii="ＭＳ ゴシック" w:eastAsia="ＭＳ ゴシック" w:hint="eastAsia"/>
          <w:b/>
        </w:rPr>
        <w:tab/>
      </w:r>
      <w:r w:rsidRPr="00BC31E0">
        <w:rPr>
          <w:rFonts w:hint="eastAsia"/>
        </w:rPr>
        <w:t>品質マネジメントシステム－要求事項</w:t>
      </w:r>
    </w:p>
    <w:p w14:paraId="3794CA9E" w14:textId="77777777" w:rsidR="00006CB1" w:rsidRPr="00BC31E0" w:rsidRDefault="00006CB1" w:rsidP="00841E8A">
      <w:pPr>
        <w:tabs>
          <w:tab w:val="left" w:pos="1560"/>
        </w:tabs>
        <w:autoSpaceDE w:val="0"/>
        <w:autoSpaceDN w:val="0"/>
        <w:ind w:left="1581" w:hangingChars="750" w:hanging="1581"/>
      </w:pPr>
      <w:r w:rsidRPr="00BC31E0">
        <w:rPr>
          <w:rFonts w:ascii="ＭＳ ゴシック" w:eastAsia="ＭＳ ゴシック" w:hAnsi="ＭＳ ゴシック" w:hint="eastAsia"/>
          <w:b/>
          <w:bCs/>
        </w:rPr>
        <w:t>JIS Z 2241</w:t>
      </w:r>
      <w:r w:rsidRPr="00BC31E0">
        <w:rPr>
          <w:rFonts w:hint="eastAsia"/>
        </w:rPr>
        <w:tab/>
      </w:r>
      <w:r w:rsidRPr="00BC31E0">
        <w:rPr>
          <w:rFonts w:hint="eastAsia"/>
        </w:rPr>
        <w:t>金属材料引張試験方法</w:t>
      </w:r>
    </w:p>
    <w:p w14:paraId="622DD801" w14:textId="77777777" w:rsidR="00006CB1" w:rsidRPr="00BC31E0" w:rsidRDefault="00006CB1" w:rsidP="00841E8A">
      <w:pPr>
        <w:tabs>
          <w:tab w:val="left" w:pos="1560"/>
        </w:tabs>
        <w:autoSpaceDE w:val="0"/>
        <w:autoSpaceDN w:val="0"/>
        <w:ind w:left="1581" w:hangingChars="750" w:hanging="1581"/>
      </w:pPr>
      <w:r w:rsidRPr="00BC31E0">
        <w:rPr>
          <w:rFonts w:ascii="ＭＳ ゴシック" w:eastAsia="ＭＳ ゴシック" w:hAnsi="ＭＳ ゴシック" w:hint="eastAsia"/>
          <w:b/>
          <w:bCs/>
        </w:rPr>
        <w:t>JIS Z 2242</w:t>
      </w:r>
      <w:r w:rsidRPr="00BC31E0">
        <w:rPr>
          <w:rFonts w:ascii="ＭＳ ゴシック" w:eastAsia="ＭＳ ゴシック" w:hAnsi="ＭＳ ゴシック" w:hint="eastAsia"/>
          <w:b/>
          <w:bCs/>
        </w:rPr>
        <w:tab/>
      </w:r>
      <w:r w:rsidRPr="00BC31E0">
        <w:rPr>
          <w:rFonts w:hint="eastAsia"/>
        </w:rPr>
        <w:t>金属材料のシャルピー衝撃試験方法</w:t>
      </w:r>
    </w:p>
    <w:p w14:paraId="13C47894" w14:textId="77777777" w:rsidR="00006CB1" w:rsidRPr="00BC31E0" w:rsidRDefault="00006CB1" w:rsidP="00841E8A">
      <w:pPr>
        <w:tabs>
          <w:tab w:val="left" w:pos="1560"/>
        </w:tabs>
        <w:autoSpaceDE w:val="0"/>
        <w:autoSpaceDN w:val="0"/>
        <w:ind w:left="1581" w:hangingChars="750" w:hanging="1581"/>
      </w:pPr>
      <w:r w:rsidRPr="00BC31E0">
        <w:rPr>
          <w:rFonts w:ascii="ＭＳ ゴシック" w:eastAsia="ＭＳ ゴシック" w:hAnsi="ＭＳ ゴシック" w:hint="eastAsia"/>
          <w:b/>
          <w:bCs/>
        </w:rPr>
        <w:lastRenderedPageBreak/>
        <w:t>JIS Z 2243-1</w:t>
      </w:r>
      <w:r w:rsidRPr="00BC31E0">
        <w:rPr>
          <w:rFonts w:ascii="ＭＳ ゴシック" w:eastAsia="ＭＳ ゴシック" w:hAnsi="ＭＳ ゴシック" w:hint="eastAsia"/>
          <w:b/>
          <w:bCs/>
        </w:rPr>
        <w:tab/>
      </w:r>
      <w:r w:rsidRPr="00BC31E0">
        <w:rPr>
          <w:rFonts w:hint="eastAsia"/>
        </w:rPr>
        <w:t>ブリネル硬さ試験－第</w:t>
      </w:r>
      <w:r w:rsidRPr="00BC31E0">
        <w:rPr>
          <w:rFonts w:hint="eastAsia"/>
        </w:rPr>
        <w:t>1</w:t>
      </w:r>
      <w:r w:rsidRPr="00BC31E0">
        <w:rPr>
          <w:rFonts w:hint="eastAsia"/>
        </w:rPr>
        <w:t>部：試験方法</w:t>
      </w:r>
    </w:p>
    <w:p w14:paraId="735293EA" w14:textId="77777777" w:rsidR="00006CB1" w:rsidRPr="00BC31E0" w:rsidRDefault="00006CB1" w:rsidP="00841E8A">
      <w:pPr>
        <w:tabs>
          <w:tab w:val="left" w:pos="1560"/>
        </w:tabs>
        <w:autoSpaceDE w:val="0"/>
        <w:autoSpaceDN w:val="0"/>
        <w:ind w:left="1581" w:hangingChars="750" w:hanging="1581"/>
      </w:pPr>
      <w:r w:rsidRPr="00BC31E0">
        <w:rPr>
          <w:rFonts w:ascii="ＭＳ ゴシック" w:eastAsia="ＭＳ ゴシック" w:hAnsi="ＭＳ ゴシック" w:hint="eastAsia"/>
          <w:b/>
          <w:bCs/>
        </w:rPr>
        <w:t>JIS Z 2243-2</w:t>
      </w:r>
      <w:r w:rsidRPr="00BC31E0">
        <w:rPr>
          <w:rFonts w:ascii="ＭＳ ゴシック" w:eastAsia="ＭＳ ゴシック" w:hAnsi="ＭＳ ゴシック" w:hint="eastAsia"/>
          <w:b/>
          <w:bCs/>
        </w:rPr>
        <w:tab/>
      </w:r>
      <w:r w:rsidRPr="00BC31E0">
        <w:rPr>
          <w:rFonts w:hint="eastAsia"/>
        </w:rPr>
        <w:t>ブリネル硬さ試験－第</w:t>
      </w:r>
      <w:r w:rsidRPr="00BC31E0">
        <w:rPr>
          <w:rFonts w:hint="eastAsia"/>
        </w:rPr>
        <w:t>2</w:t>
      </w:r>
      <w:r w:rsidRPr="00BC31E0">
        <w:rPr>
          <w:rFonts w:hint="eastAsia"/>
        </w:rPr>
        <w:t>部：硬さ値表</w:t>
      </w:r>
    </w:p>
    <w:p w14:paraId="42016328" w14:textId="77777777" w:rsidR="00006CB1" w:rsidRPr="00BC31E0" w:rsidRDefault="00006CB1" w:rsidP="00623CF9">
      <w:pPr>
        <w:tabs>
          <w:tab w:val="left" w:pos="1560"/>
        </w:tabs>
        <w:autoSpaceDE w:val="0"/>
        <w:autoSpaceDN w:val="0"/>
        <w:ind w:left="1581" w:hangingChars="750" w:hanging="1581"/>
      </w:pPr>
      <w:r w:rsidRPr="00BC31E0">
        <w:rPr>
          <w:rFonts w:ascii="ＭＳ ゴシック" w:eastAsia="ＭＳ ゴシック" w:hAnsi="ＭＳ ゴシック" w:hint="eastAsia"/>
          <w:b/>
          <w:bCs/>
        </w:rPr>
        <w:t>JIS Z 2316-1</w:t>
      </w:r>
      <w:r w:rsidRPr="00BC31E0">
        <w:rPr>
          <w:rFonts w:ascii="ＭＳ ゴシック" w:eastAsia="ＭＳ ゴシック" w:hAnsi="ＭＳ ゴシック" w:hint="eastAsia"/>
          <w:b/>
          <w:bCs/>
        </w:rPr>
        <w:tab/>
      </w:r>
      <w:r w:rsidRPr="00BC31E0">
        <w:rPr>
          <w:rFonts w:hint="eastAsia"/>
        </w:rPr>
        <w:t>非破壊試験</w:t>
      </w:r>
      <w:r w:rsidR="009531A1" w:rsidRPr="00BC31E0">
        <w:rPr>
          <w:rFonts w:hint="eastAsia"/>
        </w:rPr>
        <w:t xml:space="preserve"> </w:t>
      </w:r>
      <w:r w:rsidR="009531A1" w:rsidRPr="00BC31E0">
        <w:t>–</w:t>
      </w:r>
      <w:r w:rsidR="009531A1" w:rsidRPr="00BC31E0">
        <w:rPr>
          <w:rFonts w:hint="eastAsia"/>
        </w:rPr>
        <w:t xml:space="preserve"> </w:t>
      </w:r>
      <w:r w:rsidRPr="00BC31E0">
        <w:rPr>
          <w:rFonts w:hint="eastAsia"/>
        </w:rPr>
        <w:t>渦電流試験</w:t>
      </w:r>
      <w:r w:rsidR="009531A1" w:rsidRPr="00BC31E0">
        <w:rPr>
          <w:rFonts w:hint="eastAsia"/>
        </w:rPr>
        <w:t xml:space="preserve"> </w:t>
      </w:r>
      <w:r w:rsidR="009531A1" w:rsidRPr="00BC31E0">
        <w:t>–</w:t>
      </w:r>
      <w:r w:rsidR="009531A1" w:rsidRPr="00BC31E0">
        <w:rPr>
          <w:rFonts w:hint="eastAsia"/>
        </w:rPr>
        <w:t xml:space="preserve"> </w:t>
      </w:r>
      <w:r w:rsidRPr="00BC31E0">
        <w:rPr>
          <w:rFonts w:hint="eastAsia"/>
        </w:rPr>
        <w:t>第</w:t>
      </w:r>
      <w:r w:rsidRPr="00BC31E0">
        <w:rPr>
          <w:rFonts w:hint="eastAsia"/>
        </w:rPr>
        <w:t>1</w:t>
      </w:r>
      <w:r w:rsidRPr="00BC31E0">
        <w:rPr>
          <w:rFonts w:hint="eastAsia"/>
        </w:rPr>
        <w:t>部：一般通則</w:t>
      </w:r>
    </w:p>
    <w:p w14:paraId="4A45C5C7" w14:textId="77777777" w:rsidR="00006CB1" w:rsidRPr="00BC31E0" w:rsidRDefault="00006CB1" w:rsidP="00623CF9">
      <w:pPr>
        <w:tabs>
          <w:tab w:val="left" w:pos="1560"/>
        </w:tabs>
        <w:autoSpaceDE w:val="0"/>
        <w:autoSpaceDN w:val="0"/>
        <w:ind w:left="1581" w:hangingChars="750" w:hanging="1581"/>
      </w:pPr>
      <w:r w:rsidRPr="00BC31E0">
        <w:rPr>
          <w:rFonts w:ascii="ＭＳ ゴシック" w:eastAsia="ＭＳ ゴシック" w:hAnsi="ＭＳ ゴシック" w:hint="eastAsia"/>
          <w:b/>
          <w:bCs/>
        </w:rPr>
        <w:t>JIS Z 2316-2</w:t>
      </w:r>
      <w:r w:rsidRPr="00BC31E0">
        <w:rPr>
          <w:rFonts w:ascii="ＭＳ ゴシック" w:eastAsia="ＭＳ ゴシック" w:hAnsi="ＭＳ ゴシック" w:hint="eastAsia"/>
          <w:b/>
          <w:bCs/>
        </w:rPr>
        <w:tab/>
      </w:r>
      <w:r w:rsidRPr="00BC31E0">
        <w:rPr>
          <w:rFonts w:hint="eastAsia"/>
        </w:rPr>
        <w:t>非破壊試験</w:t>
      </w:r>
      <w:r w:rsidR="009531A1" w:rsidRPr="00BC31E0">
        <w:rPr>
          <w:rFonts w:hint="eastAsia"/>
        </w:rPr>
        <w:t xml:space="preserve"> </w:t>
      </w:r>
      <w:r w:rsidR="009531A1" w:rsidRPr="00BC31E0">
        <w:t>–</w:t>
      </w:r>
      <w:r w:rsidR="009531A1" w:rsidRPr="00BC31E0">
        <w:rPr>
          <w:rFonts w:hint="eastAsia"/>
        </w:rPr>
        <w:t xml:space="preserve"> </w:t>
      </w:r>
      <w:r w:rsidRPr="00BC31E0">
        <w:rPr>
          <w:rFonts w:hint="eastAsia"/>
        </w:rPr>
        <w:t>渦電流試験</w:t>
      </w:r>
      <w:r w:rsidR="009531A1" w:rsidRPr="00BC31E0">
        <w:rPr>
          <w:rFonts w:hint="eastAsia"/>
        </w:rPr>
        <w:t xml:space="preserve"> </w:t>
      </w:r>
      <w:r w:rsidR="009531A1" w:rsidRPr="00BC31E0">
        <w:t>–</w:t>
      </w:r>
      <w:r w:rsidR="009531A1" w:rsidRPr="00BC31E0">
        <w:rPr>
          <w:rFonts w:hint="eastAsia"/>
        </w:rPr>
        <w:t xml:space="preserve"> </w:t>
      </w:r>
      <w:r w:rsidRPr="00BC31E0">
        <w:rPr>
          <w:rFonts w:hint="eastAsia"/>
        </w:rPr>
        <w:t>第</w:t>
      </w:r>
      <w:r w:rsidRPr="00BC31E0">
        <w:rPr>
          <w:rFonts w:hint="eastAsia"/>
        </w:rPr>
        <w:t>2</w:t>
      </w:r>
      <w:r w:rsidRPr="00BC31E0">
        <w:rPr>
          <w:rFonts w:hint="eastAsia"/>
        </w:rPr>
        <w:t>部：渦電流試験器の特性及び検証</w:t>
      </w:r>
    </w:p>
    <w:p w14:paraId="71C151BC" w14:textId="77777777" w:rsidR="00006CB1" w:rsidRPr="00BC31E0" w:rsidRDefault="00006CB1" w:rsidP="00623CF9">
      <w:pPr>
        <w:tabs>
          <w:tab w:val="left" w:pos="1560"/>
        </w:tabs>
        <w:autoSpaceDE w:val="0"/>
        <w:autoSpaceDN w:val="0"/>
        <w:ind w:left="1581" w:hangingChars="750" w:hanging="1581"/>
      </w:pPr>
      <w:r w:rsidRPr="00BC31E0">
        <w:rPr>
          <w:rFonts w:ascii="ＭＳ ゴシック" w:eastAsia="ＭＳ ゴシック" w:hAnsi="ＭＳ ゴシック" w:hint="eastAsia"/>
          <w:b/>
          <w:bCs/>
        </w:rPr>
        <w:t>JIS Z 2316-3</w:t>
      </w:r>
      <w:r w:rsidRPr="00BC31E0">
        <w:rPr>
          <w:rFonts w:ascii="ＭＳ ゴシック" w:eastAsia="ＭＳ ゴシック" w:hAnsi="ＭＳ ゴシック" w:hint="eastAsia"/>
          <w:b/>
          <w:bCs/>
        </w:rPr>
        <w:tab/>
      </w:r>
      <w:r w:rsidRPr="00BC31E0">
        <w:rPr>
          <w:rFonts w:hint="eastAsia"/>
        </w:rPr>
        <w:t>非破壊試験</w:t>
      </w:r>
      <w:r w:rsidR="009531A1" w:rsidRPr="00BC31E0">
        <w:rPr>
          <w:rFonts w:hint="eastAsia"/>
        </w:rPr>
        <w:t xml:space="preserve"> </w:t>
      </w:r>
      <w:r w:rsidR="009531A1" w:rsidRPr="00BC31E0">
        <w:t>–</w:t>
      </w:r>
      <w:r w:rsidR="009531A1" w:rsidRPr="00BC31E0">
        <w:rPr>
          <w:rFonts w:hint="eastAsia"/>
        </w:rPr>
        <w:t xml:space="preserve"> </w:t>
      </w:r>
      <w:r w:rsidRPr="00BC31E0">
        <w:rPr>
          <w:rFonts w:hint="eastAsia"/>
        </w:rPr>
        <w:t>渦電流試験</w:t>
      </w:r>
      <w:r w:rsidR="009531A1" w:rsidRPr="00BC31E0">
        <w:rPr>
          <w:rFonts w:hint="eastAsia"/>
        </w:rPr>
        <w:t xml:space="preserve"> </w:t>
      </w:r>
      <w:r w:rsidR="009531A1" w:rsidRPr="00BC31E0">
        <w:t>–</w:t>
      </w:r>
      <w:r w:rsidR="009531A1" w:rsidRPr="00BC31E0">
        <w:rPr>
          <w:rFonts w:hint="eastAsia"/>
        </w:rPr>
        <w:t xml:space="preserve"> </w:t>
      </w:r>
      <w:r w:rsidRPr="00BC31E0">
        <w:rPr>
          <w:rFonts w:hint="eastAsia"/>
        </w:rPr>
        <w:t>第</w:t>
      </w:r>
      <w:r w:rsidRPr="00BC31E0">
        <w:rPr>
          <w:rFonts w:hint="eastAsia"/>
        </w:rPr>
        <w:t>3</w:t>
      </w:r>
      <w:r w:rsidRPr="00BC31E0">
        <w:rPr>
          <w:rFonts w:hint="eastAsia"/>
        </w:rPr>
        <w:t>部：プローブの特性及び検証</w:t>
      </w:r>
    </w:p>
    <w:p w14:paraId="20698F76" w14:textId="77777777" w:rsidR="00006CB1" w:rsidRPr="00BC31E0" w:rsidRDefault="00006CB1" w:rsidP="00623CF9">
      <w:pPr>
        <w:tabs>
          <w:tab w:val="left" w:pos="1560"/>
        </w:tabs>
        <w:autoSpaceDE w:val="0"/>
        <w:autoSpaceDN w:val="0"/>
        <w:ind w:left="1581" w:hangingChars="750" w:hanging="1581"/>
      </w:pPr>
      <w:r w:rsidRPr="00BC31E0">
        <w:rPr>
          <w:rFonts w:ascii="ＭＳ ゴシック" w:eastAsia="ＭＳ ゴシック" w:hAnsi="ＭＳ ゴシック" w:hint="eastAsia"/>
          <w:b/>
          <w:bCs/>
        </w:rPr>
        <w:t>JIS Z 2316-4</w:t>
      </w:r>
      <w:r w:rsidRPr="00BC31E0">
        <w:rPr>
          <w:rFonts w:ascii="ＭＳ ゴシック" w:eastAsia="ＭＳ ゴシック" w:hAnsi="ＭＳ ゴシック" w:hint="eastAsia"/>
          <w:b/>
          <w:bCs/>
        </w:rPr>
        <w:tab/>
      </w:r>
      <w:r w:rsidRPr="00BC31E0">
        <w:rPr>
          <w:rFonts w:hint="eastAsia"/>
        </w:rPr>
        <w:t>非破壊試験</w:t>
      </w:r>
      <w:r w:rsidR="009531A1" w:rsidRPr="00BC31E0">
        <w:rPr>
          <w:rFonts w:hint="eastAsia"/>
        </w:rPr>
        <w:t xml:space="preserve"> </w:t>
      </w:r>
      <w:r w:rsidR="009531A1" w:rsidRPr="00BC31E0">
        <w:t>–</w:t>
      </w:r>
      <w:r w:rsidR="009531A1" w:rsidRPr="00BC31E0">
        <w:rPr>
          <w:rFonts w:hint="eastAsia"/>
        </w:rPr>
        <w:t xml:space="preserve"> </w:t>
      </w:r>
      <w:r w:rsidRPr="00BC31E0">
        <w:rPr>
          <w:rFonts w:hint="eastAsia"/>
        </w:rPr>
        <w:t>渦電流試験</w:t>
      </w:r>
      <w:r w:rsidR="009531A1" w:rsidRPr="00BC31E0">
        <w:rPr>
          <w:rFonts w:hint="eastAsia"/>
        </w:rPr>
        <w:t xml:space="preserve"> </w:t>
      </w:r>
      <w:r w:rsidR="009531A1" w:rsidRPr="00BC31E0">
        <w:t>–</w:t>
      </w:r>
      <w:r w:rsidR="009531A1" w:rsidRPr="00BC31E0">
        <w:rPr>
          <w:rFonts w:hint="eastAsia"/>
        </w:rPr>
        <w:t xml:space="preserve"> </w:t>
      </w:r>
      <w:r w:rsidRPr="00BC31E0">
        <w:rPr>
          <w:rFonts w:hint="eastAsia"/>
        </w:rPr>
        <w:t>第</w:t>
      </w:r>
      <w:r w:rsidRPr="00BC31E0">
        <w:rPr>
          <w:rFonts w:hint="eastAsia"/>
        </w:rPr>
        <w:t>4</w:t>
      </w:r>
      <w:r w:rsidRPr="00BC31E0">
        <w:rPr>
          <w:rFonts w:hint="eastAsia"/>
        </w:rPr>
        <w:t>部：システムの特性及び検証</w:t>
      </w:r>
    </w:p>
    <w:p w14:paraId="0CB16694" w14:textId="77777777" w:rsidR="00006CB1" w:rsidRPr="00BC31E0" w:rsidRDefault="00006CB1" w:rsidP="00623CF9">
      <w:pPr>
        <w:tabs>
          <w:tab w:val="left" w:pos="1560"/>
        </w:tabs>
        <w:autoSpaceDE w:val="0"/>
        <w:autoSpaceDN w:val="0"/>
        <w:ind w:left="1581" w:hangingChars="750" w:hanging="1581"/>
      </w:pPr>
      <w:r w:rsidRPr="00BC31E0">
        <w:rPr>
          <w:rFonts w:ascii="ＭＳ ゴシック" w:eastAsia="ＭＳ ゴシック" w:hAnsi="ＭＳ ゴシック" w:hint="eastAsia"/>
          <w:b/>
          <w:bCs/>
        </w:rPr>
        <w:t>JIS Z 2320-1</w:t>
      </w:r>
      <w:r w:rsidRPr="00BC31E0">
        <w:rPr>
          <w:rFonts w:ascii="ＭＳ ゴシック" w:eastAsia="ＭＳ ゴシック" w:hAnsi="ＭＳ ゴシック" w:hint="eastAsia"/>
          <w:b/>
          <w:bCs/>
        </w:rPr>
        <w:tab/>
      </w:r>
      <w:r w:rsidRPr="00BC31E0">
        <w:rPr>
          <w:rFonts w:hint="eastAsia"/>
        </w:rPr>
        <w:t>非破壊試験</w:t>
      </w:r>
      <w:r w:rsidRPr="00BC31E0">
        <w:rPr>
          <w:rFonts w:hint="eastAsia"/>
        </w:rPr>
        <w:t xml:space="preserve"> </w:t>
      </w:r>
      <w:r w:rsidRPr="00BC31E0">
        <w:t>–</w:t>
      </w:r>
      <w:r w:rsidRPr="00BC31E0">
        <w:rPr>
          <w:rFonts w:hint="eastAsia"/>
        </w:rPr>
        <w:t xml:space="preserve"> </w:t>
      </w:r>
      <w:r w:rsidRPr="00BC31E0">
        <w:rPr>
          <w:rFonts w:hint="eastAsia"/>
        </w:rPr>
        <w:t>磁粉探傷試験</w:t>
      </w:r>
      <w:r w:rsidR="009531A1" w:rsidRPr="00BC31E0">
        <w:rPr>
          <w:rFonts w:hint="eastAsia"/>
        </w:rPr>
        <w:t xml:space="preserve"> </w:t>
      </w:r>
      <w:r w:rsidR="009531A1" w:rsidRPr="00BC31E0">
        <w:t>–</w:t>
      </w:r>
      <w:r w:rsidR="009531A1" w:rsidRPr="00BC31E0">
        <w:rPr>
          <w:rFonts w:hint="eastAsia"/>
        </w:rPr>
        <w:t xml:space="preserve"> </w:t>
      </w:r>
      <w:r w:rsidRPr="00BC31E0">
        <w:rPr>
          <w:rFonts w:hint="eastAsia"/>
        </w:rPr>
        <w:t>第</w:t>
      </w:r>
      <w:r w:rsidRPr="00BC31E0">
        <w:rPr>
          <w:rFonts w:hint="eastAsia"/>
        </w:rPr>
        <w:t>1</w:t>
      </w:r>
      <w:r w:rsidRPr="00BC31E0">
        <w:rPr>
          <w:rFonts w:hint="eastAsia"/>
        </w:rPr>
        <w:t>部：一般通則</w:t>
      </w:r>
    </w:p>
    <w:p w14:paraId="0CB904E6" w14:textId="77777777" w:rsidR="00006CB1" w:rsidRPr="00BC31E0" w:rsidRDefault="00006CB1" w:rsidP="00623CF9">
      <w:pPr>
        <w:tabs>
          <w:tab w:val="left" w:pos="1560"/>
        </w:tabs>
        <w:autoSpaceDE w:val="0"/>
        <w:autoSpaceDN w:val="0"/>
        <w:ind w:left="1581" w:hangingChars="750" w:hanging="1581"/>
      </w:pPr>
      <w:r w:rsidRPr="00BC31E0">
        <w:rPr>
          <w:rFonts w:ascii="ＭＳ ゴシック" w:eastAsia="ＭＳ ゴシック" w:hAnsi="ＭＳ ゴシック" w:hint="eastAsia"/>
          <w:b/>
          <w:bCs/>
        </w:rPr>
        <w:t>JIS Z 2320-2</w:t>
      </w:r>
      <w:r w:rsidRPr="00BC31E0">
        <w:rPr>
          <w:rFonts w:ascii="ＭＳ ゴシック" w:eastAsia="ＭＳ ゴシック" w:hAnsi="ＭＳ ゴシック" w:hint="eastAsia"/>
          <w:b/>
          <w:bCs/>
        </w:rPr>
        <w:tab/>
      </w:r>
      <w:r w:rsidRPr="00BC31E0">
        <w:rPr>
          <w:rFonts w:hint="eastAsia"/>
        </w:rPr>
        <w:t>非破壊試験</w:t>
      </w:r>
      <w:r w:rsidRPr="00BC31E0">
        <w:rPr>
          <w:rFonts w:hint="eastAsia"/>
        </w:rPr>
        <w:t xml:space="preserve"> </w:t>
      </w:r>
      <w:r w:rsidRPr="00BC31E0">
        <w:t>–</w:t>
      </w:r>
      <w:r w:rsidRPr="00BC31E0">
        <w:rPr>
          <w:rFonts w:hint="eastAsia"/>
        </w:rPr>
        <w:t xml:space="preserve"> </w:t>
      </w:r>
      <w:r w:rsidRPr="00BC31E0">
        <w:rPr>
          <w:rFonts w:hint="eastAsia"/>
        </w:rPr>
        <w:t>磁粉探傷試験</w:t>
      </w:r>
      <w:r w:rsidRPr="00BC31E0">
        <w:rPr>
          <w:rFonts w:hint="eastAsia"/>
        </w:rPr>
        <w:t xml:space="preserve"> </w:t>
      </w:r>
      <w:r w:rsidRPr="00BC31E0">
        <w:t>–</w:t>
      </w:r>
      <w:r w:rsidRPr="00BC31E0">
        <w:rPr>
          <w:rFonts w:hint="eastAsia"/>
        </w:rPr>
        <w:t xml:space="preserve"> </w:t>
      </w:r>
      <w:r w:rsidRPr="00BC31E0">
        <w:rPr>
          <w:rFonts w:hint="eastAsia"/>
        </w:rPr>
        <w:t>第</w:t>
      </w:r>
      <w:r w:rsidRPr="00BC31E0">
        <w:rPr>
          <w:rFonts w:hint="eastAsia"/>
        </w:rPr>
        <w:t>2</w:t>
      </w:r>
      <w:r w:rsidRPr="00BC31E0">
        <w:rPr>
          <w:rFonts w:hint="eastAsia"/>
        </w:rPr>
        <w:t>部：検出媒体</w:t>
      </w:r>
    </w:p>
    <w:p w14:paraId="30FDA9D2" w14:textId="77777777" w:rsidR="00006CB1" w:rsidRPr="00BC31E0" w:rsidRDefault="00006CB1" w:rsidP="00623CF9">
      <w:pPr>
        <w:tabs>
          <w:tab w:val="left" w:pos="1560"/>
        </w:tabs>
        <w:autoSpaceDE w:val="0"/>
        <w:autoSpaceDN w:val="0"/>
        <w:ind w:left="1581" w:hangingChars="750" w:hanging="1581"/>
      </w:pPr>
      <w:r w:rsidRPr="00BC31E0">
        <w:rPr>
          <w:rFonts w:ascii="ＭＳ ゴシック" w:eastAsia="ＭＳ ゴシック" w:hAnsi="ＭＳ ゴシック" w:hint="eastAsia"/>
          <w:b/>
          <w:bCs/>
        </w:rPr>
        <w:t>JIS Z 2320-3</w:t>
      </w:r>
      <w:r w:rsidRPr="00BC31E0">
        <w:rPr>
          <w:rFonts w:hint="eastAsia"/>
        </w:rPr>
        <w:tab/>
      </w:r>
      <w:r w:rsidRPr="00BC31E0">
        <w:rPr>
          <w:rFonts w:hint="eastAsia"/>
        </w:rPr>
        <w:t>非破壊試験</w:t>
      </w:r>
      <w:r w:rsidRPr="00BC31E0">
        <w:rPr>
          <w:rFonts w:hint="eastAsia"/>
        </w:rPr>
        <w:t xml:space="preserve"> </w:t>
      </w:r>
      <w:r w:rsidRPr="00BC31E0">
        <w:t>–</w:t>
      </w:r>
      <w:r w:rsidRPr="00BC31E0">
        <w:rPr>
          <w:rFonts w:hint="eastAsia"/>
        </w:rPr>
        <w:t xml:space="preserve"> </w:t>
      </w:r>
      <w:r w:rsidRPr="00BC31E0">
        <w:rPr>
          <w:rFonts w:hint="eastAsia"/>
        </w:rPr>
        <w:t>磁粉探傷試験</w:t>
      </w:r>
      <w:r w:rsidRPr="00BC31E0">
        <w:rPr>
          <w:rFonts w:hint="eastAsia"/>
        </w:rPr>
        <w:t xml:space="preserve"> </w:t>
      </w:r>
      <w:r w:rsidRPr="00BC31E0">
        <w:t>–</w:t>
      </w:r>
      <w:r w:rsidRPr="00BC31E0">
        <w:rPr>
          <w:rFonts w:hint="eastAsia"/>
        </w:rPr>
        <w:t xml:space="preserve"> </w:t>
      </w:r>
      <w:r w:rsidRPr="00BC31E0">
        <w:rPr>
          <w:rFonts w:hint="eastAsia"/>
        </w:rPr>
        <w:t>第</w:t>
      </w:r>
      <w:r w:rsidR="00EE75DA" w:rsidRPr="00BC31E0">
        <w:rPr>
          <w:rFonts w:hint="eastAsia"/>
        </w:rPr>
        <w:t>3</w:t>
      </w:r>
      <w:r w:rsidRPr="00BC31E0">
        <w:rPr>
          <w:rFonts w:hint="eastAsia"/>
        </w:rPr>
        <w:t>部：装置</w:t>
      </w:r>
    </w:p>
    <w:p w14:paraId="0E68B4F5" w14:textId="77777777" w:rsidR="00006CB1" w:rsidRPr="00BC31E0" w:rsidRDefault="00006CB1" w:rsidP="00623CF9">
      <w:pPr>
        <w:tabs>
          <w:tab w:val="left" w:pos="1560"/>
        </w:tabs>
        <w:autoSpaceDE w:val="0"/>
        <w:autoSpaceDN w:val="0"/>
        <w:ind w:left="1581" w:hangingChars="750" w:hanging="1581"/>
      </w:pPr>
      <w:r w:rsidRPr="00BC31E0">
        <w:rPr>
          <w:rFonts w:ascii="ＭＳ ゴシック" w:eastAsia="ＭＳ ゴシック" w:hAnsi="ＭＳ ゴシック" w:hint="eastAsia"/>
          <w:b/>
          <w:bCs/>
        </w:rPr>
        <w:t>JIS Z 2343-1</w:t>
      </w:r>
      <w:r w:rsidRPr="00BC31E0">
        <w:rPr>
          <w:rFonts w:ascii="ＭＳ ゴシック" w:eastAsia="ＭＳ ゴシック" w:hAnsi="ＭＳ ゴシック" w:hint="eastAsia"/>
          <w:b/>
          <w:bCs/>
        </w:rPr>
        <w:tab/>
      </w:r>
      <w:r w:rsidRPr="00BC31E0">
        <w:rPr>
          <w:rFonts w:hint="eastAsia"/>
        </w:rPr>
        <w:t>非破壊試験</w:t>
      </w:r>
      <w:r w:rsidRPr="00BC31E0">
        <w:rPr>
          <w:rFonts w:hint="eastAsia"/>
        </w:rPr>
        <w:t xml:space="preserve"> </w:t>
      </w:r>
      <w:r w:rsidRPr="00BC31E0">
        <w:t>–</w:t>
      </w:r>
      <w:r w:rsidRPr="00BC31E0">
        <w:rPr>
          <w:rFonts w:hint="eastAsia"/>
        </w:rPr>
        <w:t xml:space="preserve"> </w:t>
      </w:r>
      <w:r w:rsidRPr="00BC31E0">
        <w:rPr>
          <w:rFonts w:hint="eastAsia"/>
        </w:rPr>
        <w:t>浸透探傷試験</w:t>
      </w:r>
      <w:r w:rsidRPr="00BC31E0">
        <w:rPr>
          <w:rFonts w:hint="eastAsia"/>
        </w:rPr>
        <w:t xml:space="preserve"> </w:t>
      </w:r>
      <w:r w:rsidRPr="00BC31E0">
        <w:t>–</w:t>
      </w:r>
      <w:r w:rsidRPr="00BC31E0">
        <w:rPr>
          <w:rFonts w:hint="eastAsia"/>
        </w:rPr>
        <w:t xml:space="preserve"> </w:t>
      </w:r>
      <w:r w:rsidRPr="00BC31E0">
        <w:rPr>
          <w:rFonts w:hint="eastAsia"/>
        </w:rPr>
        <w:t>第</w:t>
      </w:r>
      <w:r w:rsidRPr="00BC31E0">
        <w:rPr>
          <w:rFonts w:hint="eastAsia"/>
        </w:rPr>
        <w:t>1</w:t>
      </w:r>
      <w:r w:rsidRPr="00BC31E0">
        <w:rPr>
          <w:rFonts w:hint="eastAsia"/>
        </w:rPr>
        <w:t>部：一般通則：浸透探傷試験方法及び</w:t>
      </w:r>
    </w:p>
    <w:p w14:paraId="61F2E269" w14:textId="77777777" w:rsidR="00006CB1" w:rsidRPr="00BC31E0" w:rsidRDefault="00006CB1" w:rsidP="00623CF9">
      <w:pPr>
        <w:tabs>
          <w:tab w:val="left" w:pos="1560"/>
        </w:tabs>
        <w:autoSpaceDE w:val="0"/>
        <w:autoSpaceDN w:val="0"/>
        <w:ind w:left="1581" w:hangingChars="750" w:hanging="1581"/>
      </w:pPr>
      <w:r w:rsidRPr="00BC31E0">
        <w:rPr>
          <w:rFonts w:ascii="ＭＳ ゴシック" w:eastAsia="ＭＳ ゴシック" w:hAnsi="ＭＳ ゴシック" w:hint="eastAsia"/>
          <w:b/>
          <w:bCs/>
        </w:rPr>
        <w:tab/>
      </w:r>
      <w:r w:rsidRPr="00BC31E0">
        <w:rPr>
          <w:rFonts w:hint="eastAsia"/>
        </w:rPr>
        <w:t>浸透指示模様の分類</w:t>
      </w:r>
    </w:p>
    <w:p w14:paraId="3DE4B3F5" w14:textId="77777777" w:rsidR="00006CB1" w:rsidRPr="00BC31E0" w:rsidRDefault="00006CB1" w:rsidP="00623CF9">
      <w:pPr>
        <w:tabs>
          <w:tab w:val="left" w:pos="1560"/>
        </w:tabs>
        <w:autoSpaceDE w:val="0"/>
        <w:autoSpaceDN w:val="0"/>
        <w:ind w:left="1581" w:hangingChars="750" w:hanging="1581"/>
      </w:pPr>
      <w:r w:rsidRPr="00BC31E0">
        <w:rPr>
          <w:rFonts w:ascii="ＭＳ ゴシック" w:eastAsia="ＭＳ ゴシック" w:hAnsi="ＭＳ ゴシック" w:hint="eastAsia"/>
          <w:b/>
          <w:bCs/>
        </w:rPr>
        <w:t>JIS Z 2343-2</w:t>
      </w:r>
      <w:r w:rsidRPr="00BC31E0">
        <w:rPr>
          <w:rFonts w:hint="eastAsia"/>
        </w:rPr>
        <w:tab/>
      </w:r>
      <w:r w:rsidRPr="00BC31E0">
        <w:rPr>
          <w:rFonts w:hint="eastAsia"/>
        </w:rPr>
        <w:t>非破壊試験</w:t>
      </w:r>
      <w:r w:rsidRPr="00BC31E0">
        <w:rPr>
          <w:rFonts w:hint="eastAsia"/>
        </w:rPr>
        <w:t xml:space="preserve"> </w:t>
      </w:r>
      <w:r w:rsidRPr="00BC31E0">
        <w:t>–</w:t>
      </w:r>
      <w:r w:rsidRPr="00BC31E0">
        <w:rPr>
          <w:rFonts w:hint="eastAsia"/>
        </w:rPr>
        <w:t xml:space="preserve"> </w:t>
      </w:r>
      <w:r w:rsidRPr="00BC31E0">
        <w:rPr>
          <w:rFonts w:hint="eastAsia"/>
        </w:rPr>
        <w:t>浸透探傷試験</w:t>
      </w:r>
      <w:r w:rsidRPr="00BC31E0">
        <w:rPr>
          <w:rFonts w:hint="eastAsia"/>
        </w:rPr>
        <w:t xml:space="preserve"> </w:t>
      </w:r>
      <w:r w:rsidRPr="00BC31E0">
        <w:t>–</w:t>
      </w:r>
      <w:r w:rsidRPr="00BC31E0">
        <w:rPr>
          <w:rFonts w:hint="eastAsia"/>
        </w:rPr>
        <w:t xml:space="preserve"> </w:t>
      </w:r>
      <w:r w:rsidRPr="00BC31E0">
        <w:rPr>
          <w:rFonts w:hint="eastAsia"/>
        </w:rPr>
        <w:t>第</w:t>
      </w:r>
      <w:r w:rsidRPr="00BC31E0">
        <w:rPr>
          <w:rFonts w:hint="eastAsia"/>
        </w:rPr>
        <w:t>2</w:t>
      </w:r>
      <w:r w:rsidRPr="00BC31E0">
        <w:rPr>
          <w:rFonts w:hint="eastAsia"/>
        </w:rPr>
        <w:t>部：浸透探傷剤の試験</w:t>
      </w:r>
    </w:p>
    <w:p w14:paraId="09D8815E" w14:textId="77777777" w:rsidR="00006CB1" w:rsidRPr="00BC31E0" w:rsidRDefault="00006CB1" w:rsidP="00623CF9">
      <w:pPr>
        <w:tabs>
          <w:tab w:val="left" w:pos="1560"/>
        </w:tabs>
        <w:autoSpaceDE w:val="0"/>
        <w:autoSpaceDN w:val="0"/>
        <w:ind w:left="1581" w:hangingChars="750" w:hanging="1581"/>
      </w:pPr>
      <w:r w:rsidRPr="00BC31E0">
        <w:rPr>
          <w:rFonts w:ascii="ＭＳ ゴシック" w:eastAsia="ＭＳ ゴシック" w:hAnsi="ＭＳ ゴシック" w:hint="eastAsia"/>
          <w:b/>
          <w:bCs/>
        </w:rPr>
        <w:t>JIS Z 2343-3</w:t>
      </w:r>
      <w:r w:rsidRPr="00BC31E0">
        <w:rPr>
          <w:rFonts w:hint="eastAsia"/>
        </w:rPr>
        <w:tab/>
      </w:r>
      <w:r w:rsidRPr="00BC31E0">
        <w:rPr>
          <w:rFonts w:hint="eastAsia"/>
        </w:rPr>
        <w:t>非破壊試験</w:t>
      </w:r>
      <w:r w:rsidRPr="00BC31E0">
        <w:rPr>
          <w:rFonts w:hint="eastAsia"/>
        </w:rPr>
        <w:t xml:space="preserve"> </w:t>
      </w:r>
      <w:r w:rsidRPr="00BC31E0">
        <w:t>–</w:t>
      </w:r>
      <w:r w:rsidRPr="00BC31E0">
        <w:rPr>
          <w:rFonts w:hint="eastAsia"/>
        </w:rPr>
        <w:t xml:space="preserve"> </w:t>
      </w:r>
      <w:r w:rsidRPr="00BC31E0">
        <w:rPr>
          <w:rFonts w:hint="eastAsia"/>
        </w:rPr>
        <w:t>浸透探傷試験</w:t>
      </w:r>
      <w:r w:rsidRPr="00BC31E0">
        <w:rPr>
          <w:rFonts w:hint="eastAsia"/>
        </w:rPr>
        <w:t xml:space="preserve"> </w:t>
      </w:r>
      <w:r w:rsidRPr="00BC31E0">
        <w:t>–</w:t>
      </w:r>
      <w:r w:rsidRPr="00BC31E0">
        <w:rPr>
          <w:rFonts w:hint="eastAsia"/>
        </w:rPr>
        <w:t xml:space="preserve"> </w:t>
      </w:r>
      <w:r w:rsidRPr="00BC31E0">
        <w:rPr>
          <w:rFonts w:hint="eastAsia"/>
        </w:rPr>
        <w:t>第</w:t>
      </w:r>
      <w:r w:rsidRPr="00BC31E0">
        <w:rPr>
          <w:rFonts w:hint="eastAsia"/>
        </w:rPr>
        <w:t>3</w:t>
      </w:r>
      <w:r w:rsidRPr="00BC31E0">
        <w:rPr>
          <w:rFonts w:hint="eastAsia"/>
        </w:rPr>
        <w:t>部：対比試験片</w:t>
      </w:r>
    </w:p>
    <w:p w14:paraId="51E7B1F0" w14:textId="77777777" w:rsidR="00006CB1" w:rsidRPr="00BC31E0" w:rsidRDefault="00006CB1" w:rsidP="00623CF9">
      <w:pPr>
        <w:tabs>
          <w:tab w:val="left" w:pos="1560"/>
        </w:tabs>
        <w:autoSpaceDE w:val="0"/>
        <w:autoSpaceDN w:val="0"/>
        <w:ind w:left="1581" w:hangingChars="750" w:hanging="1581"/>
      </w:pPr>
      <w:r w:rsidRPr="00BC31E0">
        <w:rPr>
          <w:rFonts w:ascii="ＭＳ ゴシック" w:eastAsia="ＭＳ ゴシック" w:hAnsi="ＭＳ ゴシック" w:hint="eastAsia"/>
          <w:b/>
          <w:bCs/>
        </w:rPr>
        <w:t>JIS Z 2343-4</w:t>
      </w:r>
      <w:r w:rsidRPr="00BC31E0">
        <w:rPr>
          <w:rFonts w:hint="eastAsia"/>
        </w:rPr>
        <w:tab/>
      </w:r>
      <w:r w:rsidRPr="00BC31E0">
        <w:rPr>
          <w:rFonts w:hint="eastAsia"/>
        </w:rPr>
        <w:t>非破壊試験</w:t>
      </w:r>
      <w:r w:rsidRPr="00BC31E0">
        <w:rPr>
          <w:rFonts w:hint="eastAsia"/>
        </w:rPr>
        <w:t xml:space="preserve"> </w:t>
      </w:r>
      <w:r w:rsidRPr="00BC31E0">
        <w:t>–</w:t>
      </w:r>
      <w:r w:rsidRPr="00BC31E0">
        <w:rPr>
          <w:rFonts w:hint="eastAsia"/>
        </w:rPr>
        <w:t xml:space="preserve"> </w:t>
      </w:r>
      <w:r w:rsidRPr="00BC31E0">
        <w:rPr>
          <w:rFonts w:hint="eastAsia"/>
        </w:rPr>
        <w:t>浸透探傷試験</w:t>
      </w:r>
      <w:r w:rsidRPr="00BC31E0">
        <w:rPr>
          <w:rFonts w:hint="eastAsia"/>
        </w:rPr>
        <w:t xml:space="preserve"> </w:t>
      </w:r>
      <w:r w:rsidRPr="00BC31E0">
        <w:t>–</w:t>
      </w:r>
      <w:r w:rsidRPr="00BC31E0">
        <w:rPr>
          <w:rFonts w:hint="eastAsia"/>
        </w:rPr>
        <w:t xml:space="preserve"> </w:t>
      </w:r>
      <w:r w:rsidRPr="00BC31E0">
        <w:rPr>
          <w:rFonts w:hint="eastAsia"/>
        </w:rPr>
        <w:t>第</w:t>
      </w:r>
      <w:r w:rsidRPr="00BC31E0">
        <w:rPr>
          <w:rFonts w:hint="eastAsia"/>
        </w:rPr>
        <w:t>4</w:t>
      </w:r>
      <w:r w:rsidRPr="00BC31E0">
        <w:rPr>
          <w:rFonts w:hint="eastAsia"/>
        </w:rPr>
        <w:t>部：装置</w:t>
      </w:r>
    </w:p>
    <w:p w14:paraId="40A22645" w14:textId="77777777" w:rsidR="00006CB1" w:rsidRPr="00BC31E0" w:rsidRDefault="00006CB1" w:rsidP="00623CF9">
      <w:pPr>
        <w:tabs>
          <w:tab w:val="left" w:pos="1560"/>
        </w:tabs>
        <w:autoSpaceDE w:val="0"/>
        <w:autoSpaceDN w:val="0"/>
        <w:ind w:left="1581" w:hangingChars="750" w:hanging="1581"/>
      </w:pPr>
      <w:r w:rsidRPr="00BC31E0">
        <w:rPr>
          <w:rFonts w:ascii="ＭＳ ゴシック" w:eastAsia="ＭＳ ゴシック" w:hAnsi="ＭＳ ゴシック" w:hint="eastAsia"/>
          <w:b/>
          <w:bCs/>
        </w:rPr>
        <w:t>JIS Z 2343-</w:t>
      </w:r>
      <w:r w:rsidRPr="00BC31E0">
        <w:rPr>
          <w:rFonts w:ascii="ＭＳ ゴシック" w:eastAsia="ＭＳ ゴシック" w:hAnsi="ＭＳ ゴシック"/>
          <w:b/>
          <w:bCs/>
        </w:rPr>
        <w:t>5</w:t>
      </w:r>
      <w:r w:rsidRPr="00BC31E0">
        <w:rPr>
          <w:rFonts w:hint="eastAsia"/>
        </w:rPr>
        <w:tab/>
      </w:r>
      <w:r w:rsidRPr="00BC31E0">
        <w:rPr>
          <w:rFonts w:hint="eastAsia"/>
        </w:rPr>
        <w:t>非破壊試験</w:t>
      </w:r>
      <w:r w:rsidRPr="00BC31E0">
        <w:rPr>
          <w:rFonts w:hint="eastAsia"/>
        </w:rPr>
        <w:t xml:space="preserve"> </w:t>
      </w:r>
      <w:r w:rsidRPr="00BC31E0">
        <w:t>–</w:t>
      </w:r>
      <w:r w:rsidRPr="00BC31E0">
        <w:rPr>
          <w:rFonts w:hint="eastAsia"/>
        </w:rPr>
        <w:t xml:space="preserve"> </w:t>
      </w:r>
      <w:r w:rsidRPr="00BC31E0">
        <w:rPr>
          <w:rFonts w:hint="eastAsia"/>
        </w:rPr>
        <w:t>浸透探傷試験</w:t>
      </w:r>
      <w:r w:rsidRPr="00BC31E0">
        <w:rPr>
          <w:rFonts w:hint="eastAsia"/>
        </w:rPr>
        <w:t xml:space="preserve"> </w:t>
      </w:r>
      <w:r w:rsidRPr="00BC31E0">
        <w:t>–</w:t>
      </w:r>
      <w:r w:rsidRPr="00BC31E0">
        <w:rPr>
          <w:rFonts w:hint="eastAsia"/>
        </w:rPr>
        <w:t xml:space="preserve"> </w:t>
      </w:r>
      <w:r w:rsidRPr="00BC31E0">
        <w:rPr>
          <w:rFonts w:hint="eastAsia"/>
        </w:rPr>
        <w:t>第</w:t>
      </w:r>
      <w:r w:rsidRPr="00BC31E0">
        <w:t>5</w:t>
      </w:r>
      <w:r w:rsidRPr="00BC31E0">
        <w:rPr>
          <w:rFonts w:hint="eastAsia"/>
        </w:rPr>
        <w:t>部：</w:t>
      </w:r>
      <w:r w:rsidRPr="00BC31E0">
        <w:rPr>
          <w:rFonts w:hint="eastAsia"/>
        </w:rPr>
        <w:t>50</w:t>
      </w:r>
      <w:r w:rsidRPr="00BC31E0">
        <w:rPr>
          <w:rFonts w:hint="eastAsia"/>
        </w:rPr>
        <w:t>℃を超える温度での浸透探傷試験</w:t>
      </w:r>
    </w:p>
    <w:p w14:paraId="27A2F5FE" w14:textId="77777777" w:rsidR="00006CB1" w:rsidRPr="00BC31E0" w:rsidRDefault="00006CB1" w:rsidP="00623CF9">
      <w:pPr>
        <w:tabs>
          <w:tab w:val="left" w:pos="1560"/>
        </w:tabs>
        <w:autoSpaceDE w:val="0"/>
        <w:autoSpaceDN w:val="0"/>
        <w:ind w:left="1581" w:hangingChars="750" w:hanging="1581"/>
      </w:pPr>
      <w:r w:rsidRPr="00BC31E0">
        <w:rPr>
          <w:rFonts w:ascii="ＭＳ ゴシック" w:eastAsia="ＭＳ ゴシック" w:hAnsi="ＭＳ ゴシック" w:hint="eastAsia"/>
          <w:b/>
          <w:bCs/>
        </w:rPr>
        <w:t>JIS Z 2343-</w:t>
      </w:r>
      <w:r w:rsidRPr="00BC31E0">
        <w:rPr>
          <w:rFonts w:ascii="ＭＳ ゴシック" w:eastAsia="ＭＳ ゴシック" w:hAnsi="ＭＳ ゴシック"/>
          <w:b/>
          <w:bCs/>
        </w:rPr>
        <w:t>6</w:t>
      </w:r>
      <w:r w:rsidRPr="00BC31E0">
        <w:rPr>
          <w:rFonts w:hint="eastAsia"/>
        </w:rPr>
        <w:tab/>
      </w:r>
      <w:r w:rsidRPr="00BC31E0">
        <w:rPr>
          <w:rFonts w:hint="eastAsia"/>
        </w:rPr>
        <w:t>非破壊試験</w:t>
      </w:r>
      <w:r w:rsidRPr="00BC31E0">
        <w:rPr>
          <w:rFonts w:hint="eastAsia"/>
        </w:rPr>
        <w:t xml:space="preserve"> </w:t>
      </w:r>
      <w:r w:rsidRPr="00BC31E0">
        <w:t>–</w:t>
      </w:r>
      <w:r w:rsidRPr="00BC31E0">
        <w:rPr>
          <w:rFonts w:hint="eastAsia"/>
        </w:rPr>
        <w:t xml:space="preserve"> </w:t>
      </w:r>
      <w:r w:rsidRPr="00BC31E0">
        <w:rPr>
          <w:rFonts w:hint="eastAsia"/>
        </w:rPr>
        <w:t>浸透探傷試験</w:t>
      </w:r>
      <w:r w:rsidRPr="00BC31E0">
        <w:rPr>
          <w:rFonts w:hint="eastAsia"/>
        </w:rPr>
        <w:t xml:space="preserve"> </w:t>
      </w:r>
      <w:r w:rsidRPr="00BC31E0">
        <w:t>–</w:t>
      </w:r>
      <w:r w:rsidRPr="00BC31E0">
        <w:rPr>
          <w:rFonts w:hint="eastAsia"/>
        </w:rPr>
        <w:t xml:space="preserve"> </w:t>
      </w:r>
      <w:r w:rsidRPr="00BC31E0">
        <w:rPr>
          <w:rFonts w:hint="eastAsia"/>
        </w:rPr>
        <w:t>第</w:t>
      </w:r>
      <w:r w:rsidRPr="00BC31E0">
        <w:t>6</w:t>
      </w:r>
      <w:r w:rsidRPr="00BC31E0">
        <w:rPr>
          <w:rFonts w:hint="eastAsia"/>
        </w:rPr>
        <w:t>部：</w:t>
      </w:r>
      <w:r w:rsidRPr="00BC31E0">
        <w:rPr>
          <w:rFonts w:hint="eastAsia"/>
        </w:rPr>
        <w:t>10</w:t>
      </w:r>
      <w:r w:rsidRPr="00BC31E0">
        <w:rPr>
          <w:rFonts w:hint="eastAsia"/>
        </w:rPr>
        <w:t>℃より低い温度での浸透探傷試験</w:t>
      </w:r>
    </w:p>
    <w:p w14:paraId="31C3CB58" w14:textId="77777777" w:rsidR="00006CB1" w:rsidRPr="00BC31E0" w:rsidRDefault="00006CB1" w:rsidP="00623CF9">
      <w:pPr>
        <w:tabs>
          <w:tab w:val="left" w:pos="1560"/>
        </w:tabs>
        <w:autoSpaceDE w:val="0"/>
        <w:autoSpaceDN w:val="0"/>
        <w:ind w:left="1581" w:hangingChars="750" w:hanging="1581"/>
      </w:pPr>
      <w:r w:rsidRPr="00BC31E0">
        <w:rPr>
          <w:rFonts w:ascii="ＭＳ ゴシック" w:eastAsia="ＭＳ ゴシック" w:hAnsi="ＭＳ ゴシック" w:hint="eastAsia"/>
          <w:b/>
          <w:bCs/>
        </w:rPr>
        <w:t>JIS Z 3060</w:t>
      </w:r>
      <w:r w:rsidRPr="00BC31E0">
        <w:rPr>
          <w:rFonts w:ascii="ＭＳ ゴシック" w:eastAsia="ＭＳ ゴシック" w:hAnsi="ＭＳ ゴシック" w:hint="eastAsia"/>
          <w:b/>
          <w:bCs/>
        </w:rPr>
        <w:tab/>
      </w:r>
      <w:r w:rsidRPr="00BC31E0">
        <w:rPr>
          <w:rFonts w:hint="eastAsia"/>
        </w:rPr>
        <w:t>鋼溶接部の超音波探傷試験方法</w:t>
      </w:r>
    </w:p>
    <w:p w14:paraId="3F5CC00B" w14:textId="77777777" w:rsidR="00006CB1" w:rsidRPr="00BC31E0" w:rsidRDefault="00006CB1" w:rsidP="00623CF9">
      <w:pPr>
        <w:tabs>
          <w:tab w:val="left" w:pos="1560"/>
        </w:tabs>
        <w:autoSpaceDE w:val="0"/>
        <w:autoSpaceDN w:val="0"/>
        <w:ind w:left="1581" w:hangingChars="750" w:hanging="1581"/>
        <w:rPr>
          <w:rFonts w:asciiTheme="majorEastAsia" w:eastAsiaTheme="majorEastAsia" w:hAnsiTheme="majorEastAsia"/>
        </w:rPr>
      </w:pPr>
      <w:r w:rsidRPr="00BC31E0">
        <w:rPr>
          <w:rFonts w:ascii="ＭＳ ゴシック" w:eastAsia="ＭＳ ゴシック" w:hAnsi="ＭＳ ゴシック" w:hint="eastAsia"/>
          <w:b/>
          <w:bCs/>
        </w:rPr>
        <w:t>JIS Z 307</w:t>
      </w:r>
      <w:r w:rsidRPr="00BC31E0">
        <w:rPr>
          <w:rFonts w:ascii="ＭＳ ゴシック" w:eastAsia="ＭＳ ゴシック" w:hAnsi="ＭＳ ゴシック"/>
          <w:b/>
          <w:bCs/>
        </w:rPr>
        <w:t>0</w:t>
      </w:r>
      <w:r w:rsidR="00841E8A" w:rsidRPr="00BC31E0">
        <w:rPr>
          <w:rFonts w:ascii="ＭＳ ゴシック" w:eastAsia="ＭＳ ゴシック" w:hAnsi="ＭＳ ゴシック" w:hint="eastAsia"/>
          <w:b/>
          <w:bCs/>
        </w:rPr>
        <w:tab/>
      </w:r>
      <w:r w:rsidRPr="00BC31E0">
        <w:rPr>
          <w:rFonts w:asciiTheme="minorEastAsia" w:eastAsiaTheme="minorEastAsia" w:hAnsiTheme="minorEastAsia" w:hint="eastAsia"/>
        </w:rPr>
        <w:t>鋼溶接部の超音波自動探傷方法</w:t>
      </w:r>
    </w:p>
    <w:p w14:paraId="64402E00" w14:textId="77777777" w:rsidR="00006CB1" w:rsidRPr="00BC31E0" w:rsidRDefault="00006CB1" w:rsidP="00623CF9">
      <w:pPr>
        <w:tabs>
          <w:tab w:val="left" w:pos="1560"/>
        </w:tabs>
        <w:autoSpaceDE w:val="0"/>
        <w:autoSpaceDN w:val="0"/>
        <w:ind w:left="1581" w:hangingChars="750" w:hanging="1581"/>
        <w:rPr>
          <w:rFonts w:asciiTheme="majorEastAsia" w:eastAsiaTheme="majorEastAsia" w:hAnsiTheme="majorEastAsia"/>
        </w:rPr>
      </w:pPr>
      <w:r w:rsidRPr="00BC31E0">
        <w:rPr>
          <w:rFonts w:ascii="ＭＳ ゴシック" w:eastAsia="ＭＳ ゴシック" w:hAnsi="ＭＳ ゴシック" w:hint="eastAsia"/>
          <w:b/>
          <w:bCs/>
        </w:rPr>
        <w:t>JIS Z 308</w:t>
      </w:r>
      <w:r w:rsidRPr="00BC31E0">
        <w:rPr>
          <w:rFonts w:ascii="ＭＳ ゴシック" w:eastAsia="ＭＳ ゴシック" w:hAnsi="ＭＳ ゴシック"/>
          <w:b/>
          <w:bCs/>
        </w:rPr>
        <w:t>0</w:t>
      </w:r>
      <w:r w:rsidR="00841E8A" w:rsidRPr="00BC31E0">
        <w:rPr>
          <w:rFonts w:ascii="ＭＳ ゴシック" w:eastAsia="ＭＳ ゴシック" w:hAnsi="ＭＳ ゴシック" w:hint="eastAsia"/>
          <w:b/>
          <w:bCs/>
        </w:rPr>
        <w:tab/>
      </w:r>
      <w:r w:rsidRPr="00BC31E0">
        <w:rPr>
          <w:rFonts w:asciiTheme="minorEastAsia" w:eastAsiaTheme="minorEastAsia" w:hAnsiTheme="minorEastAsia" w:hint="eastAsia"/>
        </w:rPr>
        <w:t>アルミニウムの突合せ溶接部の超音波斜角探傷試験方法</w:t>
      </w:r>
    </w:p>
    <w:p w14:paraId="0D31A532" w14:textId="77777777" w:rsidR="00006CB1" w:rsidRPr="00BC31E0" w:rsidRDefault="00006CB1" w:rsidP="00623CF9">
      <w:pPr>
        <w:tabs>
          <w:tab w:val="left" w:pos="1560"/>
        </w:tabs>
        <w:autoSpaceDE w:val="0"/>
        <w:autoSpaceDN w:val="0"/>
        <w:ind w:left="1581" w:hangingChars="750" w:hanging="1581"/>
        <w:rPr>
          <w:rFonts w:asciiTheme="majorEastAsia" w:eastAsiaTheme="majorEastAsia" w:hAnsiTheme="majorEastAsia"/>
        </w:rPr>
      </w:pPr>
      <w:r w:rsidRPr="00BC31E0">
        <w:rPr>
          <w:rFonts w:ascii="ＭＳ ゴシック" w:eastAsia="ＭＳ ゴシック" w:hAnsi="ＭＳ ゴシック" w:hint="eastAsia"/>
          <w:b/>
          <w:bCs/>
        </w:rPr>
        <w:t>JIS Z 3081</w:t>
      </w:r>
      <w:r w:rsidR="00841E8A" w:rsidRPr="00BC31E0">
        <w:rPr>
          <w:rFonts w:ascii="ＭＳ ゴシック" w:eastAsia="ＭＳ ゴシック" w:hAnsi="ＭＳ ゴシック" w:hint="eastAsia"/>
          <w:b/>
          <w:bCs/>
        </w:rPr>
        <w:tab/>
      </w:r>
      <w:r w:rsidRPr="00BC31E0">
        <w:rPr>
          <w:rFonts w:asciiTheme="minorEastAsia" w:eastAsiaTheme="minorEastAsia" w:hAnsiTheme="minorEastAsia" w:hint="eastAsia"/>
        </w:rPr>
        <w:t>アルミニウム管溶接部の超音波斜角探傷試験方法</w:t>
      </w:r>
    </w:p>
    <w:p w14:paraId="449B37EB" w14:textId="77777777" w:rsidR="00006CB1" w:rsidRPr="00BC31E0" w:rsidRDefault="00006CB1" w:rsidP="00623CF9">
      <w:pPr>
        <w:tabs>
          <w:tab w:val="left" w:pos="1560"/>
        </w:tabs>
        <w:autoSpaceDE w:val="0"/>
        <w:autoSpaceDN w:val="0"/>
        <w:ind w:left="1581" w:hangingChars="750" w:hanging="1581"/>
      </w:pPr>
      <w:r w:rsidRPr="00BC31E0">
        <w:rPr>
          <w:rFonts w:ascii="ＭＳ ゴシック" w:eastAsia="ＭＳ ゴシック" w:hAnsi="ＭＳ ゴシック" w:hint="eastAsia"/>
          <w:b/>
          <w:bCs/>
        </w:rPr>
        <w:t>JIS Z 3104</w:t>
      </w:r>
      <w:r w:rsidRPr="00BC31E0">
        <w:rPr>
          <w:rFonts w:hint="eastAsia"/>
          <w:b/>
          <w:bCs/>
        </w:rPr>
        <w:tab/>
      </w:r>
      <w:r w:rsidRPr="00BC31E0">
        <w:rPr>
          <w:rFonts w:hint="eastAsia"/>
        </w:rPr>
        <w:t>鋼溶接継手の放射線透過試験方法</w:t>
      </w:r>
    </w:p>
    <w:p w14:paraId="11BD1A86" w14:textId="77777777" w:rsidR="00006CB1" w:rsidRPr="00BC31E0" w:rsidRDefault="00006CB1" w:rsidP="00623CF9">
      <w:pPr>
        <w:tabs>
          <w:tab w:val="left" w:pos="1560"/>
        </w:tabs>
        <w:autoSpaceDE w:val="0"/>
        <w:autoSpaceDN w:val="0"/>
        <w:ind w:left="1581" w:hangingChars="750" w:hanging="1581"/>
        <w:rPr>
          <w:rFonts w:asciiTheme="majorEastAsia" w:eastAsiaTheme="majorEastAsia" w:hAnsiTheme="majorEastAsia"/>
        </w:rPr>
      </w:pPr>
      <w:r w:rsidRPr="00BC31E0">
        <w:rPr>
          <w:rFonts w:ascii="ＭＳ ゴシック" w:eastAsia="ＭＳ ゴシック" w:hAnsi="ＭＳ ゴシック" w:hint="eastAsia"/>
          <w:b/>
          <w:bCs/>
        </w:rPr>
        <w:t>JIS Z 3105</w:t>
      </w:r>
      <w:r w:rsidR="00841E8A" w:rsidRPr="00BC31E0">
        <w:rPr>
          <w:rFonts w:ascii="ＭＳ ゴシック" w:eastAsia="ＭＳ ゴシック" w:hAnsi="ＭＳ ゴシック" w:hint="eastAsia"/>
          <w:b/>
          <w:bCs/>
        </w:rPr>
        <w:tab/>
      </w:r>
      <w:r w:rsidRPr="00BC31E0">
        <w:rPr>
          <w:rFonts w:asciiTheme="minorEastAsia" w:eastAsiaTheme="minorEastAsia" w:hAnsiTheme="minorEastAsia" w:hint="eastAsia"/>
        </w:rPr>
        <w:t>アルミニウム溶接継手の放射線透過試験方法</w:t>
      </w:r>
    </w:p>
    <w:p w14:paraId="1EAF4C97" w14:textId="77777777" w:rsidR="00006CB1" w:rsidRPr="00BC31E0" w:rsidRDefault="00006CB1" w:rsidP="00623CF9">
      <w:pPr>
        <w:tabs>
          <w:tab w:val="left" w:pos="1560"/>
        </w:tabs>
        <w:autoSpaceDE w:val="0"/>
        <w:autoSpaceDN w:val="0"/>
        <w:ind w:left="1581" w:hangingChars="750" w:hanging="1581"/>
      </w:pPr>
      <w:r w:rsidRPr="00BC31E0">
        <w:rPr>
          <w:rFonts w:ascii="ＭＳ ゴシック" w:eastAsia="ＭＳ ゴシック" w:hAnsi="ＭＳ ゴシック" w:hint="eastAsia"/>
          <w:b/>
          <w:bCs/>
        </w:rPr>
        <w:t>JIS Z 3106</w:t>
      </w:r>
      <w:r w:rsidRPr="00BC31E0">
        <w:rPr>
          <w:rFonts w:hint="eastAsia"/>
          <w:b/>
          <w:bCs/>
        </w:rPr>
        <w:tab/>
      </w:r>
      <w:r w:rsidRPr="00BC31E0">
        <w:rPr>
          <w:rFonts w:hint="eastAsia"/>
        </w:rPr>
        <w:t>ステンレス鋼溶接継手の放射線透過試験方法</w:t>
      </w:r>
    </w:p>
    <w:p w14:paraId="461A0264" w14:textId="77777777" w:rsidR="00006CB1" w:rsidRPr="00BC31E0" w:rsidRDefault="00006CB1" w:rsidP="00623CF9">
      <w:pPr>
        <w:tabs>
          <w:tab w:val="left" w:pos="1560"/>
        </w:tabs>
        <w:autoSpaceDE w:val="0"/>
        <w:autoSpaceDN w:val="0"/>
        <w:ind w:left="1581" w:hangingChars="750" w:hanging="1581"/>
      </w:pPr>
      <w:r w:rsidRPr="00BC31E0">
        <w:rPr>
          <w:rFonts w:ascii="ＭＳ ゴシック" w:eastAsia="ＭＳ ゴシック" w:hAnsi="ＭＳ ゴシック" w:hint="eastAsia"/>
          <w:b/>
          <w:bCs/>
        </w:rPr>
        <w:t>JIS Z 3801</w:t>
      </w:r>
      <w:r w:rsidRPr="00BC31E0">
        <w:rPr>
          <w:rFonts w:ascii="ＭＳ ゴシック" w:eastAsia="ＭＳ ゴシック" w:hAnsi="ＭＳ ゴシック" w:hint="eastAsia"/>
          <w:b/>
          <w:bCs/>
        </w:rPr>
        <w:tab/>
      </w:r>
      <w:r w:rsidRPr="00BC31E0">
        <w:rPr>
          <w:rFonts w:hint="eastAsia"/>
        </w:rPr>
        <w:t>手溶接技術検定における試験方法及び判定基準</w:t>
      </w:r>
    </w:p>
    <w:p w14:paraId="6EDA7F61" w14:textId="77777777" w:rsidR="00006CB1" w:rsidRPr="00BC31E0" w:rsidRDefault="00006CB1" w:rsidP="00623CF9">
      <w:pPr>
        <w:tabs>
          <w:tab w:val="left" w:pos="1560"/>
        </w:tabs>
        <w:autoSpaceDE w:val="0"/>
        <w:autoSpaceDN w:val="0"/>
        <w:ind w:left="1581" w:hangingChars="750" w:hanging="1581"/>
      </w:pPr>
      <w:r w:rsidRPr="00BC31E0">
        <w:rPr>
          <w:rFonts w:ascii="ＭＳ ゴシック" w:eastAsia="ＭＳ ゴシック" w:hAnsi="ＭＳ ゴシック"/>
          <w:b/>
          <w:bCs/>
        </w:rPr>
        <w:t>JIS Z 3811</w:t>
      </w:r>
      <w:r w:rsidRPr="00BC31E0">
        <w:rPr>
          <w:rFonts w:hint="eastAsia"/>
          <w:b/>
          <w:bCs/>
        </w:rPr>
        <w:tab/>
      </w:r>
      <w:r w:rsidRPr="00BC31E0">
        <w:rPr>
          <w:rFonts w:hint="eastAsia"/>
        </w:rPr>
        <w:t>アルミニウム溶接技術検定における試験方法及び判定基準</w:t>
      </w:r>
    </w:p>
    <w:p w14:paraId="4F55B043" w14:textId="77777777" w:rsidR="00006CB1" w:rsidRPr="00BC31E0" w:rsidRDefault="00006CB1" w:rsidP="00623CF9">
      <w:pPr>
        <w:tabs>
          <w:tab w:val="left" w:pos="1560"/>
        </w:tabs>
        <w:autoSpaceDE w:val="0"/>
        <w:autoSpaceDN w:val="0"/>
        <w:ind w:left="1581" w:hangingChars="750" w:hanging="1581"/>
      </w:pPr>
      <w:r w:rsidRPr="00BC31E0">
        <w:rPr>
          <w:rFonts w:ascii="ＭＳ ゴシック" w:eastAsia="ＭＳ ゴシック" w:hAnsi="ＭＳ ゴシック" w:hint="eastAsia"/>
          <w:b/>
          <w:bCs/>
        </w:rPr>
        <w:t>JIS Z 3821</w:t>
      </w:r>
      <w:r w:rsidRPr="00BC31E0">
        <w:rPr>
          <w:rFonts w:hint="eastAsia"/>
          <w:b/>
          <w:bCs/>
        </w:rPr>
        <w:tab/>
      </w:r>
      <w:r w:rsidRPr="00BC31E0">
        <w:rPr>
          <w:rFonts w:hint="eastAsia"/>
        </w:rPr>
        <w:t>ステンレス鋼溶接技術検定における試験方法及び判定基準</w:t>
      </w:r>
    </w:p>
    <w:p w14:paraId="2557D647" w14:textId="77777777" w:rsidR="00006CB1" w:rsidRPr="00BC31E0" w:rsidRDefault="00006CB1" w:rsidP="00623CF9">
      <w:pPr>
        <w:tabs>
          <w:tab w:val="left" w:pos="1560"/>
        </w:tabs>
        <w:autoSpaceDE w:val="0"/>
        <w:autoSpaceDN w:val="0"/>
        <w:ind w:left="1581" w:hangingChars="750" w:hanging="1581"/>
      </w:pPr>
      <w:r w:rsidRPr="00BC31E0">
        <w:rPr>
          <w:rFonts w:ascii="ＭＳ ゴシック" w:eastAsia="ＭＳ ゴシック" w:hAnsi="ＭＳ ゴシック" w:hint="eastAsia"/>
          <w:b/>
          <w:bCs/>
        </w:rPr>
        <w:t>JIS Z 3841</w:t>
      </w:r>
      <w:r w:rsidRPr="00BC31E0">
        <w:rPr>
          <w:rFonts w:hint="eastAsia"/>
          <w:b/>
          <w:bCs/>
        </w:rPr>
        <w:tab/>
      </w:r>
      <w:r w:rsidRPr="00BC31E0">
        <w:rPr>
          <w:rFonts w:hint="eastAsia"/>
        </w:rPr>
        <w:t>半自動溶接技術検定における試験方法及び判定基準</w:t>
      </w:r>
    </w:p>
    <w:p w14:paraId="35C436C3" w14:textId="77777777" w:rsidR="00507476" w:rsidRPr="00BC31E0" w:rsidRDefault="00507476" w:rsidP="00507476">
      <w:pPr>
        <w:tabs>
          <w:tab w:val="left" w:pos="1560"/>
        </w:tabs>
        <w:autoSpaceDE w:val="0"/>
        <w:autoSpaceDN w:val="0"/>
        <w:ind w:left="1581" w:hangingChars="750" w:hanging="1581"/>
      </w:pPr>
      <w:r w:rsidRPr="00BC31E0">
        <w:rPr>
          <w:rFonts w:ascii="ＭＳ ゴシック" w:eastAsia="ＭＳ ゴシック" w:hAnsi="ＭＳ ゴシック" w:hint="eastAsia"/>
          <w:b/>
          <w:bCs/>
        </w:rPr>
        <w:t>JSME S001</w:t>
      </w:r>
      <w:r w:rsidRPr="00BC31E0">
        <w:rPr>
          <w:rFonts w:asciiTheme="minorEastAsia" w:eastAsiaTheme="minorEastAsia" w:hAnsiTheme="minorEastAsia" w:hint="eastAsia"/>
          <w:bCs/>
        </w:rPr>
        <w:tab/>
      </w:r>
      <w:r w:rsidRPr="00BC31E0">
        <w:rPr>
          <w:rFonts w:asciiTheme="minorHAnsi" w:eastAsiaTheme="minorEastAsia" w:hAnsiTheme="minorEastAsia"/>
          <w:bCs/>
        </w:rPr>
        <w:t>弾塑性破壊靱性</w:t>
      </w:r>
      <m:oMath>
        <m:sSub>
          <m:sSubPr>
            <m:ctrlPr>
              <w:rPr>
                <w:rFonts w:ascii="Cambria Math" w:eastAsiaTheme="minorEastAsia" w:hAnsi="Cambria Math"/>
                <w:bCs/>
              </w:rPr>
            </m:ctrlPr>
          </m:sSubPr>
          <m:e>
            <m:r>
              <m:rPr>
                <m:sty m:val="p"/>
              </m:rPr>
              <w:rPr>
                <w:rFonts w:ascii="Cambria Math" w:eastAsiaTheme="minorEastAsia" w:hAnsi="Cambria Math" w:hint="eastAsia"/>
              </w:rPr>
              <m:t xml:space="preserve"> </m:t>
            </m:r>
            <m:r>
              <w:rPr>
                <w:rFonts w:ascii="Cambria Math" w:eastAsiaTheme="minorEastAsia" w:hAnsi="Cambria Math" w:hint="eastAsia"/>
              </w:rPr>
              <m:t>J</m:t>
            </m:r>
          </m:e>
          <m:sub>
            <m:r>
              <m:rPr>
                <m:sty m:val="p"/>
              </m:rPr>
              <w:rPr>
                <w:rFonts w:ascii="Cambria Math" w:eastAsiaTheme="minorEastAsia" w:hAnsi="Cambria Math" w:hint="eastAsia"/>
              </w:rPr>
              <m:t>I</m:t>
            </m:r>
            <m:r>
              <w:rPr>
                <w:rFonts w:ascii="Cambria Math" w:eastAsiaTheme="minorEastAsia" w:hAnsi="Cambria Math" w:hint="eastAsia"/>
              </w:rPr>
              <m:t>C</m:t>
            </m:r>
          </m:sub>
        </m:sSub>
        <m:r>
          <m:rPr>
            <m:sty m:val="p"/>
          </m:rPr>
          <w:rPr>
            <w:rFonts w:ascii="Cambria Math" w:eastAsiaTheme="minorEastAsia" w:hAnsi="Cambria Math" w:hint="eastAsia"/>
          </w:rPr>
          <m:t xml:space="preserve"> </m:t>
        </m:r>
      </m:oMath>
      <w:r w:rsidRPr="00BC31E0">
        <w:rPr>
          <w:rFonts w:asciiTheme="minorHAnsi" w:eastAsiaTheme="minorEastAsia" w:hAnsiTheme="minorEastAsia"/>
          <w:bCs/>
        </w:rPr>
        <w:t>試験方法</w:t>
      </w:r>
      <w:r w:rsidRPr="00BC31E0">
        <w:rPr>
          <w:rFonts w:asciiTheme="minorHAnsi" w:eastAsiaTheme="minorEastAsia" w:hAnsiTheme="minorHAnsi"/>
          <w:bCs/>
        </w:rPr>
        <w:t>(</w:t>
      </w:r>
      <w:r w:rsidRPr="00BC31E0">
        <w:rPr>
          <w:rFonts w:asciiTheme="minorHAnsi" w:eastAsiaTheme="minorEastAsia" w:hAnsiTheme="minorEastAsia"/>
          <w:bCs/>
        </w:rPr>
        <w:t>増補第</w:t>
      </w:r>
      <w:r w:rsidRPr="00BC31E0">
        <w:rPr>
          <w:rFonts w:asciiTheme="minorHAnsi" w:eastAsiaTheme="minorEastAsia" w:hAnsiTheme="minorHAnsi"/>
          <w:bCs/>
        </w:rPr>
        <w:t>1</w:t>
      </w:r>
      <w:r w:rsidRPr="00BC31E0">
        <w:rPr>
          <w:rFonts w:asciiTheme="minorHAnsi" w:eastAsiaTheme="minorEastAsia" w:hAnsiTheme="minorEastAsia"/>
          <w:bCs/>
        </w:rPr>
        <w:t>版</w:t>
      </w:r>
      <w:r w:rsidRPr="00BC31E0">
        <w:rPr>
          <w:rFonts w:asciiTheme="minorHAnsi" w:eastAsiaTheme="minorEastAsia" w:hAnsiTheme="minorHAnsi"/>
          <w:bCs/>
        </w:rPr>
        <w:t>)</w:t>
      </w:r>
    </w:p>
    <w:p w14:paraId="4375AFEE" w14:textId="77777777" w:rsidR="00006CB1" w:rsidRPr="00BC31E0" w:rsidRDefault="00006CB1" w:rsidP="00623CF9">
      <w:pPr>
        <w:tabs>
          <w:tab w:val="left" w:pos="1560"/>
        </w:tabs>
        <w:autoSpaceDE w:val="0"/>
        <w:autoSpaceDN w:val="0"/>
        <w:ind w:left="1581" w:hangingChars="750" w:hanging="1581"/>
        <w:rPr>
          <w:rFonts w:ascii="ＭＳ ゴシック" w:eastAsia="ＭＳ ゴシック" w:hAnsi="ＭＳ ゴシック"/>
          <w:b/>
          <w:bCs/>
        </w:rPr>
      </w:pPr>
      <w:r w:rsidRPr="00BC31E0">
        <w:rPr>
          <w:rFonts w:ascii="ＭＳ ゴシック" w:eastAsia="ＭＳ ゴシック" w:hAnsi="ＭＳ ゴシック" w:hint="eastAsia"/>
          <w:b/>
          <w:bCs/>
        </w:rPr>
        <w:t xml:space="preserve">KHKS </w:t>
      </w:r>
      <w:r w:rsidRPr="00BC31E0">
        <w:rPr>
          <w:rFonts w:ascii="ＭＳ ゴシック" w:eastAsia="ＭＳ ゴシック" w:hAnsi="ＭＳ ゴシック"/>
          <w:b/>
          <w:bCs/>
        </w:rPr>
        <w:t>0220</w:t>
      </w:r>
      <w:r w:rsidR="00841E8A" w:rsidRPr="00BC31E0">
        <w:rPr>
          <w:rFonts w:ascii="ＭＳ ゴシック" w:eastAsia="ＭＳ ゴシック" w:hAnsi="ＭＳ ゴシック" w:hint="eastAsia"/>
          <w:b/>
          <w:bCs/>
        </w:rPr>
        <w:tab/>
      </w:r>
      <w:r w:rsidRPr="00BC31E0">
        <w:rPr>
          <w:rFonts w:ascii="ＭＳ 明朝" w:hAnsi="ＭＳ 明朝" w:hint="eastAsia"/>
        </w:rPr>
        <w:t>超高圧ガス設備に関する基準</w:t>
      </w:r>
    </w:p>
    <w:p w14:paraId="14EB162E" w14:textId="77777777" w:rsidR="00006CB1" w:rsidRPr="00BC31E0" w:rsidRDefault="00006CB1" w:rsidP="00623CF9">
      <w:pPr>
        <w:tabs>
          <w:tab w:val="left" w:pos="1126"/>
          <w:tab w:val="left" w:pos="1517"/>
          <w:tab w:val="left" w:pos="9024"/>
        </w:tabs>
        <w:autoSpaceDE w:val="0"/>
        <w:autoSpaceDN w:val="0"/>
        <w:rPr>
          <w:rFonts w:eastAsia="ＭＳ ゴシック"/>
        </w:rPr>
      </w:pPr>
      <w:r w:rsidRPr="00BC31E0">
        <w:rPr>
          <w:rFonts w:ascii="ＭＳ ゴシック" w:eastAsia="ＭＳ ゴシック" w:hAnsi="ＭＳ ゴシック" w:hint="eastAsia"/>
          <w:b/>
        </w:rPr>
        <w:t>API</w:t>
      </w:r>
      <w:r w:rsidR="0083031A" w:rsidRPr="00BC31E0">
        <w:rPr>
          <w:rFonts w:ascii="ＭＳ ゴシック" w:eastAsia="ＭＳ ゴシック" w:hAnsi="ＭＳ ゴシック" w:hint="eastAsia"/>
          <w:b/>
        </w:rPr>
        <w:t xml:space="preserve"> </w:t>
      </w:r>
      <w:r w:rsidRPr="00BC31E0">
        <w:rPr>
          <w:rFonts w:ascii="ＭＳ ゴシック" w:eastAsia="ＭＳ ゴシック" w:hAnsi="ＭＳ ゴシック" w:hint="eastAsia"/>
          <w:b/>
        </w:rPr>
        <w:t xml:space="preserve">579-1/ASME FFS-1　</w:t>
      </w:r>
      <w:r w:rsidRPr="00BC31E0">
        <w:rPr>
          <w:rFonts w:eastAsia="ＭＳ ゴシック"/>
        </w:rPr>
        <w:t>Fitness-For-Service</w:t>
      </w:r>
    </w:p>
    <w:p w14:paraId="19BE9896" w14:textId="77777777" w:rsidR="00006CB1" w:rsidRPr="00BC31E0" w:rsidRDefault="00006CB1" w:rsidP="00623CF9">
      <w:pPr>
        <w:tabs>
          <w:tab w:val="left" w:pos="1560"/>
          <w:tab w:val="left" w:pos="9024"/>
        </w:tabs>
        <w:autoSpaceDE w:val="0"/>
        <w:autoSpaceDN w:val="0"/>
        <w:ind w:left="1581" w:hangingChars="750" w:hanging="1581"/>
        <w:jc w:val="left"/>
        <w:rPr>
          <w:rFonts w:asciiTheme="minorHAnsi" w:eastAsiaTheme="majorEastAsia" w:hAnsiTheme="minorHAnsi"/>
        </w:rPr>
      </w:pPr>
      <w:r w:rsidRPr="00BC31E0">
        <w:rPr>
          <w:rFonts w:asciiTheme="majorEastAsia" w:eastAsiaTheme="majorEastAsia" w:hAnsiTheme="majorEastAsia" w:hint="eastAsia"/>
          <w:b/>
          <w:bCs/>
        </w:rPr>
        <w:t>API RP 941</w:t>
      </w:r>
      <w:r w:rsidR="00623CF9" w:rsidRPr="00BC31E0">
        <w:rPr>
          <w:rFonts w:asciiTheme="majorEastAsia" w:eastAsiaTheme="majorEastAsia" w:hAnsiTheme="majorEastAsia" w:hint="eastAsia"/>
          <w:b/>
          <w:bCs/>
        </w:rPr>
        <w:tab/>
      </w:r>
      <w:r w:rsidRPr="00BC31E0">
        <w:rPr>
          <w:rFonts w:asciiTheme="minorHAnsi" w:eastAsiaTheme="majorEastAsia" w:hAnsiTheme="minorHAnsi"/>
        </w:rPr>
        <w:t>Steel for Hydrogen Service at Elevated Temperature and Pressure in Petroleum Refineries and Petrochemical Plants</w:t>
      </w:r>
    </w:p>
    <w:p w14:paraId="3FF07CF9" w14:textId="77777777" w:rsidR="00006CB1" w:rsidRPr="00BC31E0" w:rsidRDefault="00006CB1" w:rsidP="00623CF9">
      <w:pPr>
        <w:tabs>
          <w:tab w:val="left" w:pos="1126"/>
          <w:tab w:val="left" w:pos="1517"/>
          <w:tab w:val="left" w:pos="9024"/>
        </w:tabs>
        <w:autoSpaceDE w:val="0"/>
        <w:autoSpaceDN w:val="0"/>
        <w:ind w:firstLineChars="6" w:firstLine="13"/>
        <w:rPr>
          <w:rFonts w:ascii="ＭＳ ゴシック" w:eastAsia="ＭＳ ゴシック" w:hAnsi="ＭＳ ゴシック"/>
          <w:b/>
        </w:rPr>
      </w:pPr>
      <w:r w:rsidRPr="00BC31E0">
        <w:rPr>
          <w:rFonts w:ascii="ＭＳ ゴシック" w:eastAsia="ＭＳ ゴシック" w:hAnsi="ＭＳ ゴシック" w:hint="eastAsia"/>
          <w:b/>
        </w:rPr>
        <w:t>ASME Boiler &amp; Pressure Vessel Code Sec.II</w:t>
      </w:r>
      <w:r w:rsidR="00CC2256" w:rsidRPr="00BC31E0">
        <w:rPr>
          <w:rFonts w:ascii="ＭＳ 明朝" w:hAnsi="ＭＳ 明朝" w:hint="eastAsia"/>
        </w:rPr>
        <w:t>，</w:t>
      </w:r>
      <w:r w:rsidRPr="00BC31E0">
        <w:rPr>
          <w:rFonts w:ascii="ＭＳ ゴシック" w:eastAsia="ＭＳ ゴシック" w:hAnsi="ＭＳ ゴシック" w:hint="eastAsia"/>
          <w:b/>
        </w:rPr>
        <w:t>Part A</w:t>
      </w:r>
      <w:r w:rsidR="00CC2256" w:rsidRPr="00BC31E0">
        <w:rPr>
          <w:rFonts w:ascii="ＭＳ 明朝" w:hAnsi="ＭＳ 明朝" w:hint="eastAsia"/>
        </w:rPr>
        <w:t>，</w:t>
      </w:r>
      <w:r w:rsidRPr="00BC31E0">
        <w:rPr>
          <w:rFonts w:ascii="ＭＳ ゴシック" w:eastAsia="ＭＳ ゴシック" w:hAnsi="ＭＳ ゴシック" w:hint="eastAsia"/>
          <w:b/>
        </w:rPr>
        <w:t>B</w:t>
      </w:r>
      <w:r w:rsidR="00CC2256" w:rsidRPr="00BC31E0">
        <w:rPr>
          <w:rFonts w:ascii="ＭＳ 明朝" w:hAnsi="ＭＳ 明朝" w:hint="eastAsia"/>
        </w:rPr>
        <w:t>，</w:t>
      </w:r>
      <w:r w:rsidRPr="00BC31E0">
        <w:rPr>
          <w:rFonts w:ascii="ＭＳ ゴシック" w:eastAsia="ＭＳ ゴシック" w:hAnsi="ＭＳ ゴシック" w:hint="eastAsia"/>
          <w:b/>
        </w:rPr>
        <w:t>C</w:t>
      </w:r>
      <w:r w:rsidR="00CC2256" w:rsidRPr="00BC31E0">
        <w:rPr>
          <w:rFonts w:ascii="ＭＳ 明朝" w:hAnsi="ＭＳ 明朝" w:hint="eastAsia"/>
        </w:rPr>
        <w:t>，</w:t>
      </w:r>
      <w:r w:rsidRPr="00BC31E0">
        <w:rPr>
          <w:rFonts w:ascii="ＭＳ ゴシック" w:eastAsia="ＭＳ ゴシック" w:hAnsi="ＭＳ ゴシック" w:hint="eastAsia"/>
          <w:b/>
        </w:rPr>
        <w:t>D</w:t>
      </w:r>
    </w:p>
    <w:p w14:paraId="07F72511" w14:textId="77777777" w:rsidR="00006CB1" w:rsidRPr="00BC31E0" w:rsidRDefault="00006CB1" w:rsidP="00623CF9">
      <w:pPr>
        <w:tabs>
          <w:tab w:val="left" w:pos="1126"/>
          <w:tab w:val="left" w:pos="1517"/>
          <w:tab w:val="left" w:pos="9024"/>
        </w:tabs>
        <w:autoSpaceDE w:val="0"/>
        <w:autoSpaceDN w:val="0"/>
        <w:ind w:firstLineChars="6" w:firstLine="13"/>
        <w:rPr>
          <w:rFonts w:ascii="ＭＳ ゴシック" w:eastAsia="ＭＳ ゴシック" w:hAnsi="ＭＳ ゴシック"/>
          <w:b/>
        </w:rPr>
      </w:pPr>
      <w:r w:rsidRPr="00BC31E0">
        <w:rPr>
          <w:rFonts w:ascii="ＭＳ ゴシック" w:eastAsia="ＭＳ ゴシック" w:hAnsi="ＭＳ ゴシック" w:hint="eastAsia"/>
          <w:b/>
        </w:rPr>
        <w:t>ASME Boiler &amp; Pressure Vessel Code Sec.VIII Division 1</w:t>
      </w:r>
    </w:p>
    <w:p w14:paraId="2F55B107" w14:textId="77777777" w:rsidR="00006CB1" w:rsidRPr="00BC31E0" w:rsidRDefault="00006CB1" w:rsidP="00623CF9">
      <w:pPr>
        <w:tabs>
          <w:tab w:val="left" w:pos="1126"/>
          <w:tab w:val="left" w:pos="1517"/>
          <w:tab w:val="left" w:pos="9024"/>
        </w:tabs>
        <w:autoSpaceDE w:val="0"/>
        <w:autoSpaceDN w:val="0"/>
        <w:rPr>
          <w:rFonts w:ascii="ＭＳ ゴシック" w:eastAsia="ＭＳ ゴシック" w:hAnsi="ＭＳ ゴシック"/>
          <w:b/>
        </w:rPr>
      </w:pPr>
      <w:r w:rsidRPr="00BC31E0">
        <w:rPr>
          <w:rFonts w:ascii="ＭＳ ゴシック" w:eastAsia="ＭＳ ゴシック" w:hAnsi="ＭＳ ゴシック" w:hint="eastAsia"/>
          <w:b/>
        </w:rPr>
        <w:t>ASME Boiler &amp; Pressure Vessel Code Sec.VIII Division 2</w:t>
      </w:r>
    </w:p>
    <w:p w14:paraId="057527B2" w14:textId="77777777" w:rsidR="00006CB1" w:rsidRPr="00BC31E0" w:rsidRDefault="00006CB1" w:rsidP="00623CF9">
      <w:pPr>
        <w:tabs>
          <w:tab w:val="left" w:pos="1126"/>
          <w:tab w:val="left" w:pos="1517"/>
          <w:tab w:val="left" w:pos="9024"/>
        </w:tabs>
        <w:autoSpaceDE w:val="0"/>
        <w:autoSpaceDN w:val="0"/>
        <w:ind w:firstLineChars="6" w:firstLine="13"/>
        <w:rPr>
          <w:rFonts w:ascii="ＭＳ ゴシック" w:eastAsia="ＭＳ ゴシック" w:hAnsi="ＭＳ ゴシック"/>
          <w:b/>
        </w:rPr>
      </w:pPr>
      <w:r w:rsidRPr="00BC31E0">
        <w:rPr>
          <w:rFonts w:ascii="ＭＳ ゴシック" w:eastAsia="ＭＳ ゴシック" w:hAnsi="ＭＳ ゴシック" w:hint="eastAsia"/>
          <w:b/>
        </w:rPr>
        <w:t>ASME Boiler &amp; Pressure Vessel Code Sec.VIII Division 3</w:t>
      </w:r>
    </w:p>
    <w:p w14:paraId="7A809C72" w14:textId="77777777" w:rsidR="00006CB1" w:rsidRPr="00BC31E0" w:rsidRDefault="00006CB1" w:rsidP="00623CF9">
      <w:pPr>
        <w:tabs>
          <w:tab w:val="left" w:pos="1126"/>
          <w:tab w:val="left" w:pos="1517"/>
          <w:tab w:val="left" w:pos="9024"/>
        </w:tabs>
        <w:autoSpaceDE w:val="0"/>
        <w:autoSpaceDN w:val="0"/>
        <w:ind w:firstLineChars="6" w:firstLine="13"/>
        <w:rPr>
          <w:rFonts w:ascii="ＭＳ ゴシック" w:eastAsia="ＭＳ ゴシック" w:hAnsi="ＭＳ ゴシック"/>
          <w:b/>
        </w:rPr>
      </w:pPr>
      <w:r w:rsidRPr="00BC31E0">
        <w:rPr>
          <w:rFonts w:ascii="ＭＳ ゴシック" w:eastAsia="ＭＳ ゴシック" w:hAnsi="ＭＳ ゴシック" w:hint="eastAsia"/>
          <w:b/>
        </w:rPr>
        <w:t>ASME Boiler &amp; Pressure Vessel Code Sec.IX</w:t>
      </w:r>
    </w:p>
    <w:p w14:paraId="32FEB7E0" w14:textId="77777777" w:rsidR="00006CB1" w:rsidRPr="00BC31E0" w:rsidRDefault="00006CB1" w:rsidP="00623CF9">
      <w:pPr>
        <w:tabs>
          <w:tab w:val="left" w:pos="1126"/>
          <w:tab w:val="left" w:pos="1517"/>
          <w:tab w:val="left" w:pos="9024"/>
        </w:tabs>
        <w:autoSpaceDE w:val="0"/>
        <w:autoSpaceDN w:val="0"/>
        <w:ind w:firstLineChars="6" w:firstLine="13"/>
        <w:rPr>
          <w:rFonts w:ascii="ＭＳ ゴシック" w:eastAsia="ＭＳ ゴシック" w:hAnsi="ＭＳ ゴシック"/>
          <w:b/>
        </w:rPr>
      </w:pPr>
      <w:r w:rsidRPr="00BC31E0">
        <w:rPr>
          <w:rFonts w:ascii="ＭＳ ゴシック" w:eastAsia="ＭＳ ゴシック" w:hAnsi="ＭＳ ゴシック" w:hint="eastAsia"/>
          <w:b/>
        </w:rPr>
        <w:t>ASME Boiler &amp; Pressure Vessel Code Sec.</w:t>
      </w:r>
      <w:r w:rsidRPr="00BC31E0">
        <w:rPr>
          <w:rFonts w:ascii="ＭＳ ゴシック" w:eastAsia="ＭＳ ゴシック" w:hAnsi="ＭＳ ゴシック"/>
          <w:b/>
        </w:rPr>
        <w:t>XI</w:t>
      </w:r>
    </w:p>
    <w:p w14:paraId="70E0ECF4" w14:textId="77777777" w:rsidR="00006CB1" w:rsidRPr="00BC31E0" w:rsidRDefault="00006CB1" w:rsidP="00623CF9">
      <w:pPr>
        <w:tabs>
          <w:tab w:val="left" w:pos="1560"/>
        </w:tabs>
        <w:autoSpaceDE w:val="0"/>
        <w:autoSpaceDN w:val="0"/>
        <w:ind w:left="1581" w:hangingChars="750" w:hanging="1581"/>
        <w:jc w:val="left"/>
        <w:rPr>
          <w:rFonts w:eastAsia="ＭＳ ゴシック"/>
        </w:rPr>
      </w:pPr>
      <w:r w:rsidRPr="00BC31E0">
        <w:rPr>
          <w:rFonts w:ascii="ＭＳ ゴシック" w:eastAsia="ＭＳ ゴシック" w:hAnsi="ＭＳ ゴシック" w:hint="eastAsia"/>
          <w:b/>
        </w:rPr>
        <w:lastRenderedPageBreak/>
        <w:t>ASME B1.1</w:t>
      </w:r>
      <w:r w:rsidRPr="00BC31E0">
        <w:rPr>
          <w:rFonts w:ascii="ＭＳ ゴシック" w:eastAsia="ＭＳ ゴシック" w:hAnsi="ＭＳ ゴシック" w:hint="eastAsia"/>
          <w:b/>
        </w:rPr>
        <w:tab/>
      </w:r>
      <w:r w:rsidRPr="00BC31E0">
        <w:rPr>
          <w:rFonts w:eastAsia="ＭＳ ゴシック"/>
        </w:rPr>
        <w:t>Unified Inch Screw Thread</w:t>
      </w:r>
      <w:r w:rsidRPr="00BC31E0">
        <w:rPr>
          <w:rFonts w:eastAsia="ＭＳ ゴシック" w:hint="eastAsia"/>
        </w:rPr>
        <w:t>s</w:t>
      </w:r>
    </w:p>
    <w:p w14:paraId="7FEF5202" w14:textId="77777777" w:rsidR="00006CB1" w:rsidRPr="00BC31E0" w:rsidRDefault="00006CB1" w:rsidP="00026B4C">
      <w:pPr>
        <w:tabs>
          <w:tab w:val="left" w:pos="1560"/>
        </w:tabs>
        <w:autoSpaceDE w:val="0"/>
        <w:autoSpaceDN w:val="0"/>
        <w:ind w:left="1581" w:hangingChars="750" w:hanging="1581"/>
        <w:jc w:val="left"/>
        <w:rPr>
          <w:rFonts w:asciiTheme="minorHAnsi" w:eastAsia="ＭＳ ゴシック" w:hAnsiTheme="minorHAnsi"/>
          <w:bCs/>
        </w:rPr>
      </w:pPr>
      <w:r w:rsidRPr="00BC31E0">
        <w:rPr>
          <w:rFonts w:ascii="ＭＳ ゴシック" w:eastAsia="ＭＳ ゴシック" w:hAnsi="ＭＳ ゴシック" w:hint="eastAsia"/>
          <w:b/>
        </w:rPr>
        <w:t xml:space="preserve">ASME </w:t>
      </w:r>
      <w:r w:rsidRPr="00BC31E0">
        <w:rPr>
          <w:rFonts w:ascii="ＭＳ ゴシック" w:eastAsia="ＭＳ ゴシック" w:hAnsi="ＭＳ ゴシック"/>
          <w:b/>
        </w:rPr>
        <w:t>B16.5</w:t>
      </w:r>
      <w:r w:rsidR="00623CF9" w:rsidRPr="00BC31E0">
        <w:rPr>
          <w:rFonts w:ascii="ＭＳ ゴシック" w:eastAsia="ＭＳ ゴシック" w:hAnsi="ＭＳ ゴシック" w:hint="eastAsia"/>
          <w:b/>
        </w:rPr>
        <w:tab/>
      </w:r>
      <w:r w:rsidRPr="00BC31E0">
        <w:rPr>
          <w:rFonts w:asciiTheme="minorHAnsi" w:eastAsia="ＭＳ ゴシック" w:hAnsiTheme="minorHAnsi"/>
          <w:bCs/>
        </w:rPr>
        <w:t>Pipe Flanges and Flanged Fittings: NPS 1/2 through NPS 24 Metric/Inch Standard</w:t>
      </w:r>
    </w:p>
    <w:p w14:paraId="1B2A2338" w14:textId="77777777" w:rsidR="00006CB1" w:rsidRPr="00BC31E0" w:rsidRDefault="00006CB1" w:rsidP="00026B4C">
      <w:pPr>
        <w:tabs>
          <w:tab w:val="left" w:pos="1560"/>
        </w:tabs>
        <w:autoSpaceDE w:val="0"/>
        <w:autoSpaceDN w:val="0"/>
        <w:ind w:left="1581" w:hangingChars="750" w:hanging="1581"/>
        <w:jc w:val="left"/>
        <w:rPr>
          <w:rFonts w:eastAsia="ＭＳ ゴシック"/>
        </w:rPr>
      </w:pPr>
      <w:r w:rsidRPr="00BC31E0">
        <w:rPr>
          <w:rFonts w:ascii="ＭＳ ゴシック" w:eastAsia="ＭＳ ゴシック" w:hAnsi="ＭＳ ゴシック" w:hint="eastAsia"/>
          <w:b/>
        </w:rPr>
        <w:t>ASME B18.2.2</w:t>
      </w:r>
      <w:r w:rsidR="00623CF9" w:rsidRPr="00BC31E0">
        <w:rPr>
          <w:rFonts w:ascii="ＭＳ ゴシック" w:eastAsia="ＭＳ ゴシック" w:hAnsi="ＭＳ ゴシック" w:hint="eastAsia"/>
          <w:b/>
        </w:rPr>
        <w:tab/>
      </w:r>
      <w:r w:rsidRPr="00BC31E0">
        <w:rPr>
          <w:rFonts w:eastAsia="ＭＳ ゴシック"/>
        </w:rPr>
        <w:t>Nuts for General Applications</w:t>
      </w:r>
    </w:p>
    <w:p w14:paraId="3A95E500" w14:textId="77777777" w:rsidR="00006CB1" w:rsidRPr="00BC31E0" w:rsidRDefault="00006CB1" w:rsidP="00026B4C">
      <w:pPr>
        <w:tabs>
          <w:tab w:val="left" w:pos="1560"/>
        </w:tabs>
        <w:autoSpaceDE w:val="0"/>
        <w:autoSpaceDN w:val="0"/>
        <w:ind w:left="1581" w:hangingChars="750" w:hanging="1581"/>
        <w:jc w:val="left"/>
        <w:rPr>
          <w:rFonts w:asciiTheme="minorHAnsi" w:eastAsia="ＭＳ ゴシック" w:hAnsiTheme="minorHAnsi"/>
          <w:bCs/>
        </w:rPr>
      </w:pPr>
      <w:r w:rsidRPr="00BC31E0">
        <w:rPr>
          <w:rFonts w:ascii="ＭＳ ゴシック" w:eastAsia="ＭＳ ゴシック" w:hAnsi="ＭＳ ゴシック"/>
          <w:b/>
        </w:rPr>
        <w:t>ASME B31.3</w:t>
      </w:r>
      <w:r w:rsidR="00623CF9" w:rsidRPr="00BC31E0">
        <w:rPr>
          <w:rFonts w:ascii="ＭＳ ゴシック" w:eastAsia="ＭＳ ゴシック" w:hAnsi="ＭＳ ゴシック" w:hint="eastAsia"/>
          <w:b/>
        </w:rPr>
        <w:tab/>
      </w:r>
      <w:r w:rsidRPr="00BC31E0">
        <w:rPr>
          <w:rFonts w:asciiTheme="minorHAnsi" w:eastAsia="ＭＳ ゴシック" w:hAnsiTheme="minorHAnsi"/>
          <w:bCs/>
        </w:rPr>
        <w:t>Process Piping</w:t>
      </w:r>
    </w:p>
    <w:p w14:paraId="237EF9AF" w14:textId="77777777" w:rsidR="00006CB1" w:rsidRPr="00BC31E0" w:rsidRDefault="00006CB1" w:rsidP="00026B4C">
      <w:pPr>
        <w:tabs>
          <w:tab w:val="left" w:pos="1560"/>
        </w:tabs>
        <w:autoSpaceDE w:val="0"/>
        <w:autoSpaceDN w:val="0"/>
        <w:ind w:left="1581" w:hangingChars="750" w:hanging="1581"/>
        <w:jc w:val="left"/>
        <w:rPr>
          <w:rFonts w:asciiTheme="minorHAnsi" w:eastAsia="ＭＳ ゴシック" w:hAnsiTheme="minorHAnsi"/>
          <w:bCs/>
        </w:rPr>
      </w:pPr>
      <w:r w:rsidRPr="00BC31E0">
        <w:rPr>
          <w:rFonts w:ascii="ＭＳ ゴシック" w:eastAsia="ＭＳ ゴシック" w:hAnsi="ＭＳ ゴシック" w:hint="eastAsia"/>
          <w:b/>
        </w:rPr>
        <w:t>ASME</w:t>
      </w:r>
      <w:r w:rsidRPr="00BC31E0">
        <w:rPr>
          <w:rFonts w:ascii="ＭＳ ゴシック" w:eastAsia="ＭＳ ゴシック" w:hAnsi="ＭＳ ゴシック"/>
          <w:b/>
        </w:rPr>
        <w:t xml:space="preserve"> B46.1</w:t>
      </w:r>
      <w:r w:rsidR="00623CF9" w:rsidRPr="00BC31E0">
        <w:rPr>
          <w:rFonts w:ascii="ＭＳ ゴシック" w:eastAsia="ＭＳ ゴシック" w:hAnsi="ＭＳ ゴシック" w:hint="eastAsia"/>
          <w:b/>
        </w:rPr>
        <w:tab/>
      </w:r>
      <w:r w:rsidRPr="00BC31E0">
        <w:rPr>
          <w:rFonts w:asciiTheme="minorHAnsi" w:eastAsiaTheme="minorEastAsia" w:hAnsiTheme="minorHAnsi"/>
          <w:bCs/>
        </w:rPr>
        <w:t>Surface Texture</w:t>
      </w:r>
      <w:r w:rsidR="00E12656" w:rsidRPr="00BC31E0">
        <w:rPr>
          <w:rFonts w:asciiTheme="minorHAnsi" w:eastAsiaTheme="minorEastAsia" w:hAnsiTheme="minorHAnsi" w:hint="eastAsia"/>
          <w:bCs/>
        </w:rPr>
        <w:t>(Surface Roughness</w:t>
      </w:r>
      <w:r w:rsidR="00726D1D" w:rsidRPr="00BC31E0">
        <w:rPr>
          <w:rFonts w:asciiTheme="minorHAnsi" w:eastAsiaTheme="minorEastAsia" w:hAnsiTheme="minorHAnsi" w:hint="eastAsia"/>
          <w:bCs/>
        </w:rPr>
        <w:t xml:space="preserve">, </w:t>
      </w:r>
      <w:r w:rsidR="00E12656" w:rsidRPr="00BC31E0">
        <w:rPr>
          <w:rFonts w:asciiTheme="minorHAnsi" w:eastAsiaTheme="minorEastAsia" w:hAnsiTheme="minorHAnsi" w:hint="eastAsia"/>
          <w:bCs/>
        </w:rPr>
        <w:t>Waviness</w:t>
      </w:r>
      <w:r w:rsidR="00726D1D" w:rsidRPr="00BC31E0">
        <w:rPr>
          <w:rFonts w:asciiTheme="minorHAnsi" w:eastAsiaTheme="minorEastAsia" w:hAnsiTheme="minorHAnsi" w:hint="eastAsia"/>
          <w:bCs/>
        </w:rPr>
        <w:t xml:space="preserve">, </w:t>
      </w:r>
      <w:r w:rsidR="00E12656" w:rsidRPr="00BC31E0">
        <w:rPr>
          <w:rFonts w:asciiTheme="minorHAnsi" w:eastAsiaTheme="minorEastAsia" w:hAnsiTheme="minorHAnsi" w:hint="eastAsia"/>
          <w:bCs/>
        </w:rPr>
        <w:t>and Lay)</w:t>
      </w:r>
    </w:p>
    <w:p w14:paraId="593D6964" w14:textId="77777777" w:rsidR="00006CB1" w:rsidRPr="00BC31E0" w:rsidRDefault="00006CB1" w:rsidP="00026B4C">
      <w:pPr>
        <w:tabs>
          <w:tab w:val="left" w:pos="1560"/>
        </w:tabs>
        <w:autoSpaceDE w:val="0"/>
        <w:autoSpaceDN w:val="0"/>
        <w:ind w:left="1581" w:hangingChars="750" w:hanging="1581"/>
        <w:jc w:val="left"/>
        <w:rPr>
          <w:rFonts w:ascii="ＭＳ ゴシック" w:eastAsia="ＭＳ ゴシック" w:hAnsi="ＭＳ ゴシック"/>
          <w:b/>
        </w:rPr>
      </w:pPr>
      <w:r w:rsidRPr="00BC31E0">
        <w:rPr>
          <w:rFonts w:ascii="ＭＳ ゴシック" w:eastAsia="ＭＳ ゴシック" w:hAnsi="ＭＳ ゴシック" w:hint="eastAsia"/>
          <w:b/>
        </w:rPr>
        <w:t>ASTM A213</w:t>
      </w:r>
      <w:r w:rsidRPr="00BC31E0">
        <w:rPr>
          <w:rFonts w:ascii="ＭＳ ゴシック" w:eastAsia="ＭＳ ゴシック" w:hAnsi="ＭＳ ゴシック" w:hint="eastAsia"/>
          <w:b/>
        </w:rPr>
        <w:tab/>
      </w:r>
      <w:r w:rsidRPr="00BC31E0">
        <w:rPr>
          <w:rFonts w:eastAsia="ＭＳ ゴシック"/>
        </w:rPr>
        <w:t>Standard Specification for Seamless Ferritic and Austenitic Alloy-Ste</w:t>
      </w:r>
      <w:r w:rsidRPr="00BC31E0">
        <w:rPr>
          <w:rFonts w:eastAsia="ＭＳ ゴシック" w:hint="eastAsia"/>
        </w:rPr>
        <w:t>e</w:t>
      </w:r>
      <w:r w:rsidRPr="00BC31E0">
        <w:rPr>
          <w:rFonts w:eastAsia="ＭＳ ゴシック"/>
        </w:rPr>
        <w:t>l Boiler, Superheater and Heat Exchanger Tubes</w:t>
      </w:r>
    </w:p>
    <w:p w14:paraId="240111B9" w14:textId="77777777" w:rsidR="00006CB1" w:rsidRPr="00BC31E0" w:rsidRDefault="00006CB1" w:rsidP="00026B4C">
      <w:pPr>
        <w:tabs>
          <w:tab w:val="left" w:pos="1560"/>
        </w:tabs>
        <w:autoSpaceDE w:val="0"/>
        <w:autoSpaceDN w:val="0"/>
        <w:ind w:left="1581" w:hangingChars="750" w:hanging="1581"/>
        <w:jc w:val="left"/>
        <w:rPr>
          <w:rFonts w:eastAsia="ＭＳ ゴシック"/>
        </w:rPr>
      </w:pPr>
      <w:r w:rsidRPr="00BC31E0">
        <w:rPr>
          <w:rFonts w:ascii="ＭＳ ゴシック" w:eastAsia="ＭＳ ゴシック" w:hAnsi="ＭＳ ゴシック" w:hint="eastAsia"/>
          <w:b/>
        </w:rPr>
        <w:t>ASTM A276</w:t>
      </w:r>
      <w:r w:rsidRPr="00BC31E0">
        <w:rPr>
          <w:rFonts w:ascii="ＭＳ ゴシック" w:eastAsia="ＭＳ ゴシック" w:hAnsi="ＭＳ ゴシック" w:hint="eastAsia"/>
          <w:b/>
        </w:rPr>
        <w:tab/>
      </w:r>
      <w:r w:rsidRPr="00BC31E0">
        <w:rPr>
          <w:rFonts w:eastAsia="ＭＳ ゴシック"/>
        </w:rPr>
        <w:t xml:space="preserve">Standard Specification for Stainless </w:t>
      </w:r>
      <w:r w:rsidRPr="00BC31E0">
        <w:rPr>
          <w:rFonts w:eastAsia="ＭＳ ゴシック" w:hint="eastAsia"/>
        </w:rPr>
        <w:t>S</w:t>
      </w:r>
      <w:r w:rsidRPr="00BC31E0">
        <w:rPr>
          <w:rFonts w:eastAsia="ＭＳ ゴシック"/>
        </w:rPr>
        <w:t>teel Bars and Shapes</w:t>
      </w:r>
    </w:p>
    <w:p w14:paraId="5811AB5D" w14:textId="77777777" w:rsidR="00006CB1" w:rsidRPr="00BC31E0" w:rsidRDefault="00006CB1" w:rsidP="00026B4C">
      <w:pPr>
        <w:tabs>
          <w:tab w:val="left" w:pos="1560"/>
          <w:tab w:val="left" w:pos="9024"/>
        </w:tabs>
        <w:autoSpaceDE w:val="0"/>
        <w:autoSpaceDN w:val="0"/>
        <w:ind w:left="1581" w:hangingChars="750" w:hanging="1581"/>
        <w:jc w:val="left"/>
        <w:rPr>
          <w:rFonts w:eastAsia="ＭＳ ゴシック"/>
        </w:rPr>
      </w:pPr>
      <w:r w:rsidRPr="00BC31E0">
        <w:rPr>
          <w:rFonts w:ascii="ＭＳ ゴシック" w:eastAsia="ＭＳ ゴシック" w:hAnsi="ＭＳ ゴシック"/>
          <w:b/>
        </w:rPr>
        <w:t>AST</w:t>
      </w:r>
      <w:r w:rsidRPr="00BC31E0">
        <w:rPr>
          <w:rFonts w:ascii="ＭＳ ゴシック" w:eastAsia="ＭＳ ゴシック" w:hAnsi="ＭＳ ゴシック" w:hint="eastAsia"/>
          <w:b/>
        </w:rPr>
        <w:t>M</w:t>
      </w:r>
      <w:r w:rsidRPr="00BC31E0">
        <w:rPr>
          <w:rFonts w:ascii="ＭＳ ゴシック" w:eastAsia="ＭＳ ゴシック" w:hAnsi="ＭＳ ゴシック"/>
          <w:b/>
        </w:rPr>
        <w:t xml:space="preserve"> A564</w:t>
      </w:r>
      <w:r w:rsidRPr="00BC31E0">
        <w:rPr>
          <w:rFonts w:ascii="ＭＳ ゴシック" w:eastAsia="ＭＳ ゴシック" w:hAnsi="ＭＳ ゴシック" w:hint="eastAsia"/>
          <w:b/>
        </w:rPr>
        <w:tab/>
      </w:r>
      <w:r w:rsidRPr="00BC31E0">
        <w:rPr>
          <w:rFonts w:eastAsia="ＭＳ ゴシック"/>
        </w:rPr>
        <w:t>Standard Specification for Hot-Rolled and Cold-Finished Age-Ha</w:t>
      </w:r>
      <w:r w:rsidRPr="00BC31E0">
        <w:rPr>
          <w:rFonts w:eastAsia="ＭＳ ゴシック" w:hint="eastAsia"/>
        </w:rPr>
        <w:t>r</w:t>
      </w:r>
      <w:r w:rsidRPr="00BC31E0">
        <w:rPr>
          <w:rFonts w:eastAsia="ＭＳ ゴシック"/>
        </w:rPr>
        <w:t xml:space="preserve">dening </w:t>
      </w:r>
      <w:r w:rsidRPr="00BC31E0">
        <w:rPr>
          <w:rFonts w:eastAsia="ＭＳ ゴシック" w:hint="eastAsia"/>
        </w:rPr>
        <w:t>S</w:t>
      </w:r>
      <w:r w:rsidRPr="00BC31E0">
        <w:rPr>
          <w:rFonts w:eastAsia="ＭＳ ゴシック"/>
        </w:rPr>
        <w:t>t</w:t>
      </w:r>
      <w:r w:rsidRPr="00BC31E0">
        <w:rPr>
          <w:rFonts w:eastAsia="ＭＳ ゴシック" w:hint="eastAsia"/>
        </w:rPr>
        <w:t>a</w:t>
      </w:r>
      <w:r w:rsidRPr="00BC31E0">
        <w:rPr>
          <w:rFonts w:eastAsia="ＭＳ ゴシック"/>
        </w:rPr>
        <w:t>inless</w:t>
      </w:r>
      <w:r w:rsidRPr="00BC31E0">
        <w:rPr>
          <w:rFonts w:ascii="ＭＳ ゴシック" w:eastAsia="ＭＳ ゴシック" w:hAnsi="ＭＳ ゴシック" w:hint="eastAsia"/>
          <w:b/>
        </w:rPr>
        <w:t xml:space="preserve"> </w:t>
      </w:r>
      <w:r w:rsidRPr="00BC31E0">
        <w:rPr>
          <w:rFonts w:eastAsia="ＭＳ ゴシック"/>
        </w:rPr>
        <w:t>Steel Bars and Shapes</w:t>
      </w:r>
    </w:p>
    <w:p w14:paraId="38E801BA" w14:textId="77777777" w:rsidR="00006CB1" w:rsidRPr="00BC31E0" w:rsidRDefault="00006CB1" w:rsidP="00026B4C">
      <w:pPr>
        <w:tabs>
          <w:tab w:val="left" w:pos="1560"/>
          <w:tab w:val="left" w:pos="9024"/>
        </w:tabs>
        <w:autoSpaceDE w:val="0"/>
        <w:autoSpaceDN w:val="0"/>
        <w:ind w:left="1581" w:hangingChars="750" w:hanging="1581"/>
        <w:jc w:val="left"/>
        <w:rPr>
          <w:rFonts w:ascii="ＭＳ ゴシック" w:eastAsia="ＭＳ ゴシック" w:hAnsi="ＭＳ ゴシック"/>
          <w:b/>
        </w:rPr>
      </w:pPr>
      <w:r w:rsidRPr="00BC31E0">
        <w:rPr>
          <w:rFonts w:ascii="ＭＳ ゴシック" w:eastAsia="ＭＳ ゴシック" w:hAnsi="ＭＳ ゴシック" w:hint="eastAsia"/>
          <w:b/>
        </w:rPr>
        <w:t>ASTM</w:t>
      </w:r>
      <w:r w:rsidRPr="00BC31E0">
        <w:rPr>
          <w:rFonts w:ascii="ＭＳ ゴシック" w:eastAsia="ＭＳ ゴシック" w:hAnsi="ＭＳ ゴシック"/>
          <w:b/>
        </w:rPr>
        <w:t xml:space="preserve"> A1033</w:t>
      </w:r>
      <w:r w:rsidR="00623CF9" w:rsidRPr="00BC31E0">
        <w:rPr>
          <w:rFonts w:ascii="ＭＳ ゴシック" w:eastAsia="ＭＳ ゴシック" w:hAnsi="ＭＳ ゴシック" w:hint="eastAsia"/>
          <w:b/>
        </w:rPr>
        <w:tab/>
      </w:r>
      <w:r w:rsidRPr="00BC31E0">
        <w:rPr>
          <w:rFonts w:cs="Arial"/>
        </w:rPr>
        <w:t>Standard Practice for Quantitative Measurement and Reporting of Hypoeutectoid Carbon and Low-Alloy Steel Phase Transformations</w:t>
      </w:r>
    </w:p>
    <w:p w14:paraId="37970879" w14:textId="77777777" w:rsidR="00006CB1" w:rsidRPr="00BC31E0" w:rsidRDefault="00006CB1" w:rsidP="00026B4C">
      <w:pPr>
        <w:tabs>
          <w:tab w:val="left" w:pos="1560"/>
        </w:tabs>
        <w:autoSpaceDE w:val="0"/>
        <w:autoSpaceDN w:val="0"/>
        <w:ind w:left="1581" w:hangingChars="750" w:hanging="1581"/>
        <w:jc w:val="left"/>
        <w:rPr>
          <w:rFonts w:eastAsia="ＭＳ ゴシック"/>
        </w:rPr>
      </w:pPr>
      <w:r w:rsidRPr="00BC31E0">
        <w:rPr>
          <w:rFonts w:ascii="ＭＳ ゴシック" w:eastAsia="ＭＳ ゴシック" w:hAnsi="ＭＳ ゴシック" w:hint="eastAsia"/>
          <w:b/>
        </w:rPr>
        <w:t>ASTM E399</w:t>
      </w:r>
      <w:r w:rsidRPr="00BC31E0">
        <w:rPr>
          <w:rFonts w:ascii="ＭＳ ゴシック" w:eastAsia="ＭＳ ゴシック" w:hAnsi="ＭＳ ゴシック" w:hint="eastAsia"/>
          <w:b/>
        </w:rPr>
        <w:tab/>
      </w:r>
      <w:r w:rsidRPr="00BC31E0">
        <w:rPr>
          <w:rFonts w:eastAsia="ＭＳ ゴシック"/>
        </w:rPr>
        <w:t xml:space="preserve">Standard Test Method for Linear-Elastic Plane-Strain Fracture Toughness </w:t>
      </w:r>
      <w:r w:rsidR="00E371DA" w:rsidRPr="00BC31E0">
        <w:rPr>
          <w:rFonts w:eastAsia="ＭＳ ゴシック" w:hint="eastAsia"/>
        </w:rPr>
        <w:t xml:space="preserve">　</w:t>
      </w:r>
      <w:r w:rsidRPr="00BC31E0">
        <w:rPr>
          <w:rFonts w:eastAsia="ＭＳ ゴシック"/>
        </w:rPr>
        <w:t>of</w:t>
      </w:r>
      <w:r w:rsidR="00E371DA" w:rsidRPr="00BC31E0">
        <w:rPr>
          <w:rFonts w:eastAsia="ＭＳ ゴシック" w:hint="eastAsia"/>
        </w:rPr>
        <w:t xml:space="preserve"> </w:t>
      </w:r>
      <w:r w:rsidRPr="00BC31E0">
        <w:rPr>
          <w:rFonts w:eastAsia="ＭＳ ゴシック"/>
        </w:rPr>
        <w:t>Metallic Materials</w:t>
      </w:r>
    </w:p>
    <w:p w14:paraId="382CE3DF" w14:textId="77777777" w:rsidR="00006CB1" w:rsidRPr="00BC31E0" w:rsidRDefault="00006CB1" w:rsidP="00026B4C">
      <w:pPr>
        <w:tabs>
          <w:tab w:val="left" w:pos="1560"/>
        </w:tabs>
        <w:autoSpaceDE w:val="0"/>
        <w:autoSpaceDN w:val="0"/>
        <w:ind w:left="1581" w:hangingChars="750" w:hanging="1581"/>
        <w:jc w:val="left"/>
        <w:rPr>
          <w:rFonts w:ascii="ＭＳ ゴシック" w:eastAsia="ＭＳ ゴシック" w:hAnsi="ＭＳ ゴシック"/>
          <w:b/>
        </w:rPr>
      </w:pPr>
      <w:r w:rsidRPr="00BC31E0">
        <w:rPr>
          <w:rFonts w:ascii="ＭＳ ゴシック" w:eastAsia="ＭＳ ゴシック" w:hAnsi="ＭＳ ゴシック" w:hint="eastAsia"/>
          <w:b/>
        </w:rPr>
        <w:t>ASTM E</w:t>
      </w:r>
      <w:r w:rsidRPr="00BC31E0">
        <w:rPr>
          <w:rFonts w:ascii="ＭＳ ゴシック" w:eastAsia="ＭＳ ゴシック" w:hAnsi="ＭＳ ゴシック"/>
          <w:b/>
        </w:rPr>
        <w:t>647</w:t>
      </w:r>
      <w:r w:rsidRPr="00BC31E0">
        <w:rPr>
          <w:rFonts w:ascii="ＭＳ ゴシック" w:eastAsia="ＭＳ ゴシック" w:hAnsi="ＭＳ ゴシック" w:hint="eastAsia"/>
          <w:b/>
        </w:rPr>
        <w:t xml:space="preserve">　</w:t>
      </w:r>
      <w:r w:rsidRPr="00BC31E0">
        <w:rPr>
          <w:rFonts w:ascii="ＭＳ ゴシック" w:eastAsia="ＭＳ ゴシック" w:hAnsi="ＭＳ ゴシック" w:hint="eastAsia"/>
          <w:b/>
        </w:rPr>
        <w:tab/>
      </w:r>
      <w:r w:rsidRPr="00BC31E0">
        <w:rPr>
          <w:rFonts w:eastAsia="ＭＳ ゴシック"/>
        </w:rPr>
        <w:t>Standard Test Method for Measurement of Fatigue Crack Growth Rates</w:t>
      </w:r>
    </w:p>
    <w:p w14:paraId="2D2EBAA7" w14:textId="77777777" w:rsidR="00006CB1" w:rsidRPr="00BC31E0" w:rsidRDefault="00006CB1" w:rsidP="00026B4C">
      <w:pPr>
        <w:tabs>
          <w:tab w:val="left" w:pos="1560"/>
        </w:tabs>
        <w:autoSpaceDE w:val="0"/>
        <w:autoSpaceDN w:val="0"/>
        <w:ind w:left="1581" w:hangingChars="750" w:hanging="1581"/>
        <w:jc w:val="left"/>
        <w:rPr>
          <w:rFonts w:ascii="ＭＳ ゴシック" w:eastAsia="ＭＳ ゴシック" w:hAnsi="ＭＳ ゴシック"/>
          <w:b/>
        </w:rPr>
      </w:pPr>
      <w:r w:rsidRPr="00BC31E0">
        <w:rPr>
          <w:rFonts w:ascii="ＭＳ ゴシック" w:eastAsia="ＭＳ ゴシック" w:hAnsi="ＭＳ ゴシック" w:hint="eastAsia"/>
          <w:b/>
        </w:rPr>
        <w:t xml:space="preserve">ASTM E1290　</w:t>
      </w:r>
      <w:r w:rsidRPr="00BC31E0">
        <w:rPr>
          <w:rFonts w:ascii="ＭＳ ゴシック" w:eastAsia="ＭＳ ゴシック" w:hAnsi="ＭＳ ゴシック" w:hint="eastAsia"/>
          <w:b/>
        </w:rPr>
        <w:tab/>
      </w:r>
      <w:r w:rsidRPr="00BC31E0">
        <w:rPr>
          <w:rFonts w:eastAsia="ＭＳ ゴシック"/>
        </w:rPr>
        <w:t>Standard Test Method for Cr</w:t>
      </w:r>
      <w:r w:rsidRPr="00BC31E0">
        <w:rPr>
          <w:rFonts w:eastAsia="ＭＳ ゴシック" w:hint="eastAsia"/>
        </w:rPr>
        <w:t>a</w:t>
      </w:r>
      <w:r w:rsidRPr="00BC31E0">
        <w:rPr>
          <w:rFonts w:eastAsia="ＭＳ ゴシック"/>
        </w:rPr>
        <w:t>ck-Tip Opening Displacement (CTOD) Fracture Toughness Measurement</w:t>
      </w:r>
    </w:p>
    <w:p w14:paraId="74BB6DEF" w14:textId="77777777" w:rsidR="00006CB1" w:rsidRPr="00BC31E0" w:rsidRDefault="00006CB1" w:rsidP="00026B4C">
      <w:pPr>
        <w:tabs>
          <w:tab w:val="left" w:pos="1560"/>
        </w:tabs>
        <w:autoSpaceDE w:val="0"/>
        <w:autoSpaceDN w:val="0"/>
        <w:ind w:left="1581" w:hangingChars="750" w:hanging="1581"/>
        <w:jc w:val="left"/>
        <w:rPr>
          <w:rFonts w:eastAsia="ＭＳ ゴシック"/>
        </w:rPr>
      </w:pPr>
      <w:r w:rsidRPr="00BC31E0">
        <w:rPr>
          <w:rFonts w:ascii="ＭＳ ゴシック" w:eastAsia="ＭＳ ゴシック" w:hAnsi="ＭＳ ゴシック" w:hint="eastAsia"/>
          <w:b/>
        </w:rPr>
        <w:t>ASTM E1820</w:t>
      </w:r>
      <w:r w:rsidRPr="00BC31E0">
        <w:rPr>
          <w:rFonts w:ascii="ＭＳ ゴシック" w:eastAsia="ＭＳ ゴシック" w:hAnsi="ＭＳ ゴシック" w:hint="eastAsia"/>
          <w:b/>
        </w:rPr>
        <w:tab/>
      </w:r>
      <w:r w:rsidRPr="00BC31E0">
        <w:rPr>
          <w:rFonts w:eastAsia="ＭＳ ゴシック"/>
        </w:rPr>
        <w:t xml:space="preserve">Standard Test </w:t>
      </w:r>
      <w:r w:rsidRPr="00BC31E0">
        <w:rPr>
          <w:rFonts w:eastAsia="ＭＳ ゴシック" w:hint="eastAsia"/>
        </w:rPr>
        <w:t>M</w:t>
      </w:r>
      <w:r w:rsidRPr="00BC31E0">
        <w:rPr>
          <w:rFonts w:eastAsia="ＭＳ ゴシック"/>
        </w:rPr>
        <w:t>ethod for Measurement of Fracture Toughness</w:t>
      </w:r>
    </w:p>
    <w:p w14:paraId="55755EC9" w14:textId="77777777" w:rsidR="00006CB1" w:rsidRPr="00BC31E0" w:rsidRDefault="00006CB1" w:rsidP="00026B4C">
      <w:pPr>
        <w:tabs>
          <w:tab w:val="left" w:pos="1560"/>
        </w:tabs>
        <w:autoSpaceDE w:val="0"/>
        <w:autoSpaceDN w:val="0"/>
        <w:ind w:left="1581" w:hangingChars="750" w:hanging="1581"/>
        <w:jc w:val="left"/>
        <w:rPr>
          <w:rFonts w:eastAsia="ＭＳ ゴシック"/>
        </w:rPr>
      </w:pPr>
      <w:r w:rsidRPr="00BC31E0">
        <w:rPr>
          <w:rFonts w:ascii="ＭＳ ゴシック" w:eastAsia="ＭＳ ゴシック" w:hAnsi="ＭＳ ゴシック" w:hint="eastAsia"/>
          <w:b/>
        </w:rPr>
        <w:t xml:space="preserve">ASTM </w:t>
      </w:r>
      <w:r w:rsidRPr="00BC31E0">
        <w:rPr>
          <w:rFonts w:ascii="ＭＳ ゴシック" w:eastAsia="ＭＳ ゴシック" w:hAnsi="ＭＳ ゴシック"/>
          <w:b/>
        </w:rPr>
        <w:t>G142</w:t>
      </w:r>
      <w:r w:rsidRPr="00BC31E0">
        <w:rPr>
          <w:rFonts w:ascii="ＭＳ ゴシック" w:eastAsia="ＭＳ ゴシック" w:hAnsi="ＭＳ ゴシック" w:hint="eastAsia"/>
          <w:b/>
        </w:rPr>
        <w:tab/>
      </w:r>
      <w:r w:rsidRPr="00BC31E0">
        <w:rPr>
          <w:rFonts w:eastAsia="ＭＳ ゴシック"/>
        </w:rPr>
        <w:t xml:space="preserve">Standard Test </w:t>
      </w:r>
      <w:r w:rsidRPr="00BC31E0">
        <w:rPr>
          <w:rFonts w:eastAsia="ＭＳ ゴシック" w:hint="eastAsia"/>
        </w:rPr>
        <w:t>M</w:t>
      </w:r>
      <w:r w:rsidRPr="00BC31E0">
        <w:rPr>
          <w:rFonts w:eastAsia="ＭＳ ゴシック"/>
        </w:rPr>
        <w:t>ethod for Determination of Susceptibility of Metals to Embrittlement in Hydrogen Containing Environments at High Pressure, High Temperature, or Both</w:t>
      </w:r>
    </w:p>
    <w:p w14:paraId="12C233B1" w14:textId="77777777" w:rsidR="00006CB1" w:rsidRPr="00BC31E0" w:rsidRDefault="00006CB1" w:rsidP="00026B4C">
      <w:pPr>
        <w:tabs>
          <w:tab w:val="left" w:pos="1560"/>
        </w:tabs>
        <w:autoSpaceDE w:val="0"/>
        <w:autoSpaceDN w:val="0"/>
        <w:ind w:left="1581" w:hangingChars="750" w:hanging="1581"/>
        <w:jc w:val="left"/>
        <w:rPr>
          <w:rFonts w:eastAsia="ＭＳ ゴシック"/>
        </w:rPr>
      </w:pPr>
      <w:r w:rsidRPr="00BC31E0">
        <w:rPr>
          <w:rFonts w:ascii="ＭＳ ゴシック" w:eastAsia="ＭＳ ゴシック" w:hAnsi="ＭＳ ゴシック" w:hint="eastAsia"/>
          <w:b/>
        </w:rPr>
        <w:t>BS 7910</w:t>
      </w:r>
      <w:r w:rsidRPr="00BC31E0">
        <w:rPr>
          <w:rFonts w:ascii="ＭＳ ゴシック" w:eastAsia="ＭＳ ゴシック" w:hAnsi="ＭＳ ゴシック" w:hint="eastAsia"/>
          <w:b/>
        </w:rPr>
        <w:tab/>
      </w:r>
      <w:r w:rsidRPr="00BC31E0">
        <w:rPr>
          <w:rFonts w:eastAsia="ＭＳ ゴシック"/>
        </w:rPr>
        <w:t xml:space="preserve">Guide </w:t>
      </w:r>
      <w:r w:rsidRPr="00BC31E0">
        <w:rPr>
          <w:rFonts w:eastAsia="ＭＳ ゴシック" w:hint="eastAsia"/>
        </w:rPr>
        <w:t>t</w:t>
      </w:r>
      <w:r w:rsidRPr="00BC31E0">
        <w:rPr>
          <w:rFonts w:eastAsia="ＭＳ ゴシック"/>
        </w:rPr>
        <w:t xml:space="preserve">o </w:t>
      </w:r>
      <w:r w:rsidRPr="00BC31E0">
        <w:rPr>
          <w:rFonts w:eastAsia="ＭＳ ゴシック" w:hint="eastAsia"/>
        </w:rPr>
        <w:t>M</w:t>
      </w:r>
      <w:r w:rsidRPr="00BC31E0">
        <w:rPr>
          <w:rFonts w:eastAsia="ＭＳ ゴシック"/>
        </w:rPr>
        <w:t xml:space="preserve">ethods for </w:t>
      </w:r>
      <w:r w:rsidRPr="00BC31E0">
        <w:rPr>
          <w:rFonts w:eastAsia="ＭＳ ゴシック" w:hint="eastAsia"/>
        </w:rPr>
        <w:t>A</w:t>
      </w:r>
      <w:r w:rsidRPr="00BC31E0">
        <w:rPr>
          <w:rFonts w:eastAsia="ＭＳ ゴシック"/>
        </w:rPr>
        <w:t xml:space="preserve">ssessing the </w:t>
      </w:r>
      <w:r w:rsidRPr="00BC31E0">
        <w:rPr>
          <w:rFonts w:eastAsia="ＭＳ ゴシック" w:hint="eastAsia"/>
        </w:rPr>
        <w:t>A</w:t>
      </w:r>
      <w:r w:rsidRPr="00BC31E0">
        <w:rPr>
          <w:rFonts w:eastAsia="ＭＳ ゴシック"/>
        </w:rPr>
        <w:t xml:space="preserve">cceptability of </w:t>
      </w:r>
      <w:r w:rsidRPr="00BC31E0">
        <w:rPr>
          <w:rFonts w:eastAsia="ＭＳ ゴシック" w:hint="eastAsia"/>
        </w:rPr>
        <w:t>F</w:t>
      </w:r>
      <w:r w:rsidRPr="00BC31E0">
        <w:rPr>
          <w:rFonts w:eastAsia="ＭＳ ゴシック"/>
        </w:rPr>
        <w:t xml:space="preserve">laws in </w:t>
      </w:r>
      <w:r w:rsidRPr="00BC31E0">
        <w:rPr>
          <w:rFonts w:eastAsia="ＭＳ ゴシック" w:hint="eastAsia"/>
        </w:rPr>
        <w:t>M</w:t>
      </w:r>
      <w:r w:rsidRPr="00BC31E0">
        <w:rPr>
          <w:rFonts w:eastAsia="ＭＳ ゴシック"/>
        </w:rPr>
        <w:t>eta</w:t>
      </w:r>
      <w:r w:rsidRPr="00BC31E0">
        <w:rPr>
          <w:rFonts w:eastAsia="ＭＳ ゴシック" w:hint="eastAsia"/>
        </w:rPr>
        <w:t>l</w:t>
      </w:r>
      <w:r w:rsidRPr="00BC31E0">
        <w:rPr>
          <w:rFonts w:eastAsia="ＭＳ ゴシック"/>
        </w:rPr>
        <w:t xml:space="preserve">lic </w:t>
      </w:r>
      <w:r w:rsidRPr="00BC31E0">
        <w:rPr>
          <w:rFonts w:eastAsia="ＭＳ ゴシック" w:hint="eastAsia"/>
        </w:rPr>
        <w:t>S</w:t>
      </w:r>
      <w:r w:rsidRPr="00BC31E0">
        <w:rPr>
          <w:rFonts w:eastAsia="ＭＳ ゴシック"/>
        </w:rPr>
        <w:t>tructure</w:t>
      </w:r>
      <w:r w:rsidRPr="00BC31E0">
        <w:rPr>
          <w:rFonts w:eastAsia="ＭＳ ゴシック" w:hint="eastAsia"/>
        </w:rPr>
        <w:t>s</w:t>
      </w:r>
    </w:p>
    <w:p w14:paraId="3F45CBA4" w14:textId="77777777" w:rsidR="00006CB1" w:rsidRPr="00BC31E0" w:rsidRDefault="00006CB1" w:rsidP="00976281">
      <w:pPr>
        <w:pStyle w:val="113"/>
        <w:ind w:firstLineChars="0" w:firstLine="0"/>
      </w:pPr>
    </w:p>
    <w:p w14:paraId="73A23136" w14:textId="77777777" w:rsidR="0056125B" w:rsidRPr="00BC31E0" w:rsidRDefault="0056125B" w:rsidP="00B239D7">
      <w:pPr>
        <w:pStyle w:val="10"/>
        <w:ind w:left="340" w:hanging="340"/>
      </w:pPr>
      <w:bookmarkStart w:id="20" w:name="_Toc357672081"/>
      <w:bookmarkStart w:id="21" w:name="_Toc120092514"/>
      <w:r w:rsidRPr="00BC31E0">
        <w:rPr>
          <w:rFonts w:hint="eastAsia"/>
        </w:rPr>
        <w:t>用語の定義</w:t>
      </w:r>
      <w:bookmarkEnd w:id="20"/>
      <w:bookmarkEnd w:id="21"/>
    </w:p>
    <w:p w14:paraId="3046CE44" w14:textId="77777777" w:rsidR="0056125B" w:rsidRPr="00BC31E0" w:rsidRDefault="0056125B" w:rsidP="00026B4C">
      <w:pPr>
        <w:pStyle w:val="15"/>
        <w:ind w:firstLine="210"/>
      </w:pPr>
      <w:r w:rsidRPr="00BC31E0">
        <w:rPr>
          <w:rFonts w:hint="eastAsia"/>
        </w:rPr>
        <w:t>この規格に使用する用語の定義は，</w:t>
      </w:r>
      <w:r w:rsidRPr="00BC31E0">
        <w:rPr>
          <w:rFonts w:ascii="ＭＳ ゴシック" w:eastAsia="ＭＳ ゴシック" w:hAnsi="ＭＳ ゴシック" w:hint="eastAsia"/>
          <w:b/>
        </w:rPr>
        <w:t>JIS B 0190</w:t>
      </w:r>
      <w:r w:rsidRPr="00BC31E0">
        <w:rPr>
          <w:rFonts w:hint="eastAsia"/>
        </w:rPr>
        <w:t>によるほか，</w:t>
      </w:r>
      <w:r w:rsidRPr="00BC31E0">
        <w:rPr>
          <w:rFonts w:ascii="ＭＳ ゴシック" w:eastAsia="ＭＳ ゴシック" w:hAnsi="ＭＳ ゴシック" w:hint="eastAsia"/>
          <w:b/>
        </w:rPr>
        <w:t>附属書B</w:t>
      </w:r>
      <w:r w:rsidRPr="00BC31E0">
        <w:rPr>
          <w:rFonts w:hint="eastAsia"/>
        </w:rPr>
        <w:t>による。</w:t>
      </w:r>
    </w:p>
    <w:p w14:paraId="2763E50A" w14:textId="77777777" w:rsidR="0056125B" w:rsidRPr="00BC31E0" w:rsidRDefault="0056125B" w:rsidP="00976281">
      <w:pPr>
        <w:pStyle w:val="113"/>
        <w:ind w:firstLineChars="0" w:firstLine="0"/>
      </w:pPr>
    </w:p>
    <w:p w14:paraId="3E567E69" w14:textId="77777777" w:rsidR="00CC55FC" w:rsidRPr="00BC31E0" w:rsidRDefault="00CC55FC" w:rsidP="00B239D7">
      <w:pPr>
        <w:pStyle w:val="10"/>
        <w:ind w:left="340" w:hanging="340"/>
      </w:pPr>
      <w:bookmarkStart w:id="22" w:name="_Toc357672082"/>
      <w:bookmarkStart w:id="23" w:name="_Toc120092515"/>
      <w:r w:rsidRPr="00BC31E0">
        <w:rPr>
          <w:rFonts w:hint="eastAsia"/>
        </w:rPr>
        <w:t>材料</w:t>
      </w:r>
      <w:bookmarkEnd w:id="22"/>
      <w:bookmarkEnd w:id="23"/>
    </w:p>
    <w:p w14:paraId="173C4A74" w14:textId="77777777" w:rsidR="00CC55FC" w:rsidRPr="00BC31E0" w:rsidRDefault="00CC55FC" w:rsidP="00154923">
      <w:pPr>
        <w:pStyle w:val="20"/>
        <w:tabs>
          <w:tab w:val="clear" w:pos="284"/>
        </w:tabs>
        <w:ind w:left="567" w:hanging="567"/>
      </w:pPr>
      <w:bookmarkStart w:id="24" w:name="_Toc357672083"/>
      <w:bookmarkStart w:id="25" w:name="_Toc120092516"/>
      <w:r w:rsidRPr="00BC31E0">
        <w:rPr>
          <w:rFonts w:hint="eastAsia"/>
        </w:rPr>
        <w:t>材料一般</w:t>
      </w:r>
      <w:bookmarkEnd w:id="24"/>
      <w:bookmarkEnd w:id="25"/>
    </w:p>
    <w:p w14:paraId="7F01027A" w14:textId="77777777" w:rsidR="00CC55FC" w:rsidRPr="00BC31E0" w:rsidRDefault="00CC55FC" w:rsidP="00723838">
      <w:pPr>
        <w:pStyle w:val="3"/>
        <w:tabs>
          <w:tab w:val="clear" w:pos="284"/>
        </w:tabs>
        <w:ind w:left="794" w:hanging="794"/>
      </w:pPr>
      <w:r w:rsidRPr="00BC31E0">
        <w:rPr>
          <w:rFonts w:hint="eastAsia"/>
        </w:rPr>
        <w:t>耐圧部</w:t>
      </w:r>
      <w:r w:rsidR="00A31CF5" w:rsidRPr="00BC31E0">
        <w:rPr>
          <w:rFonts w:hint="eastAsia"/>
        </w:rPr>
        <w:t>に用いる</w:t>
      </w:r>
      <w:r w:rsidRPr="00BC31E0">
        <w:rPr>
          <w:rFonts w:hint="eastAsia"/>
        </w:rPr>
        <w:t>材料</w:t>
      </w:r>
    </w:p>
    <w:p w14:paraId="64C90751" w14:textId="77777777" w:rsidR="00CC55FC" w:rsidRPr="00BC31E0" w:rsidRDefault="00CC55FC" w:rsidP="00026B4C">
      <w:pPr>
        <w:pStyle w:val="1110"/>
        <w:ind w:firstLine="210"/>
      </w:pPr>
      <w:r w:rsidRPr="00BC31E0">
        <w:rPr>
          <w:rFonts w:hint="eastAsia"/>
        </w:rPr>
        <w:t>この規格に基づく圧力容器の耐圧部に用いる材料は，次の</w:t>
      </w:r>
      <w:r w:rsidRPr="00BC31E0">
        <w:rPr>
          <w:rFonts w:ascii="ＭＳ ゴシック" w:eastAsia="ＭＳ ゴシック" w:hAnsi="ＭＳ ゴシック" w:hint="eastAsia"/>
          <w:b/>
        </w:rPr>
        <w:t>a)</w:t>
      </w:r>
      <w:r w:rsidRPr="00BC31E0">
        <w:rPr>
          <w:rFonts w:hint="eastAsia"/>
        </w:rPr>
        <w:t>～</w:t>
      </w:r>
      <w:r w:rsidRPr="00BC31E0">
        <w:rPr>
          <w:rFonts w:ascii="ＭＳ ゴシック" w:eastAsia="ＭＳ ゴシック" w:hAnsi="ＭＳ ゴシック" w:hint="eastAsia"/>
          <w:b/>
        </w:rPr>
        <w:t>d)</w:t>
      </w:r>
      <w:r w:rsidRPr="00BC31E0">
        <w:rPr>
          <w:rFonts w:hint="eastAsia"/>
        </w:rPr>
        <w:t>による。</w:t>
      </w:r>
    </w:p>
    <w:p w14:paraId="0F2A9827" w14:textId="77777777" w:rsidR="00CC55FC" w:rsidRPr="00BC31E0" w:rsidRDefault="00CC55FC" w:rsidP="007E26D6">
      <w:pPr>
        <w:pStyle w:val="a4"/>
        <w:numPr>
          <w:ilvl w:val="0"/>
          <w:numId w:val="18"/>
        </w:numPr>
        <w:ind w:leftChars="0" w:left="454" w:hanging="454"/>
      </w:pPr>
      <w:r w:rsidRPr="00BC31E0">
        <w:rPr>
          <w:rFonts w:hint="eastAsia"/>
        </w:rPr>
        <w:t>この規格に定める規格材料は，</w:t>
      </w:r>
      <w:r w:rsidR="00304457" w:rsidRPr="00BC31E0">
        <w:rPr>
          <w:rFonts w:asciiTheme="majorEastAsia" w:eastAsiaTheme="majorEastAsia" w:hAnsiTheme="majorEastAsia" w:hint="eastAsia"/>
          <w:b/>
        </w:rPr>
        <w:t>表5.4.1</w:t>
      </w:r>
      <w:r w:rsidR="00304457" w:rsidRPr="00BC31E0">
        <w:rPr>
          <w:rFonts w:asciiTheme="minorEastAsia" w:eastAsiaTheme="minorEastAsia" w:hAnsiTheme="minorEastAsia" w:hint="eastAsia"/>
        </w:rPr>
        <w:t>と</w:t>
      </w:r>
      <w:r w:rsidR="00304457" w:rsidRPr="00BC31E0">
        <w:rPr>
          <w:rFonts w:asciiTheme="majorEastAsia" w:eastAsiaTheme="majorEastAsia" w:hAnsiTheme="majorEastAsia" w:hint="eastAsia"/>
          <w:b/>
        </w:rPr>
        <w:t>表5.4.2</w:t>
      </w:r>
      <w:r w:rsidRPr="00BC31E0">
        <w:rPr>
          <w:rFonts w:hint="eastAsia"/>
        </w:rPr>
        <w:t>に示された材料とする。特に，異材の組合せの場合は，使用者は容器の用途に対する腐食速度や運転寿命への悪い影響のないよう考慮しなければならない。</w:t>
      </w:r>
    </w:p>
    <w:p w14:paraId="701BCEF5" w14:textId="77777777" w:rsidR="00CC55FC" w:rsidRPr="00BC31E0" w:rsidRDefault="00CC55FC" w:rsidP="007E26D6">
      <w:pPr>
        <w:pStyle w:val="a4"/>
        <w:numPr>
          <w:ilvl w:val="0"/>
          <w:numId w:val="18"/>
        </w:numPr>
        <w:ind w:leftChars="0" w:left="454" w:hanging="454"/>
      </w:pPr>
      <w:r w:rsidRPr="00BC31E0">
        <w:rPr>
          <w:rFonts w:hint="eastAsia"/>
        </w:rPr>
        <w:t>材料規格の規定する寸法，厚さの制限を超える材料は，材料規格にある最も近いサイズ又は厚さの化学成分，機械的性質を満足</w:t>
      </w:r>
      <w:r w:rsidR="00F631D5" w:rsidRPr="00BC31E0">
        <w:rPr>
          <w:rFonts w:hint="eastAsia"/>
        </w:rPr>
        <w:t>する</w:t>
      </w:r>
      <w:r w:rsidRPr="00BC31E0">
        <w:rPr>
          <w:rFonts w:hint="eastAsia"/>
        </w:rPr>
        <w:t>場合は使用</w:t>
      </w:r>
      <w:r w:rsidR="005E7DE4" w:rsidRPr="00BC31E0">
        <w:rPr>
          <w:rFonts w:hint="eastAsia"/>
        </w:rPr>
        <w:t>してもよい</w:t>
      </w:r>
      <w:r w:rsidRPr="00BC31E0">
        <w:rPr>
          <w:rFonts w:hint="eastAsia"/>
        </w:rPr>
        <w:t>。また，他の規格で，化学成分，機械的性質が</w:t>
      </w:r>
      <w:r w:rsidRPr="00BC31E0">
        <w:rPr>
          <w:rFonts w:asciiTheme="majorEastAsia" w:eastAsiaTheme="majorEastAsia" w:hAnsiTheme="majorEastAsia" w:hint="eastAsia"/>
          <w:b/>
        </w:rPr>
        <w:t>5.4</w:t>
      </w:r>
      <w:r w:rsidRPr="00BC31E0">
        <w:rPr>
          <w:rFonts w:hint="eastAsia"/>
        </w:rPr>
        <w:t>に示す材料規定と同等であることを示</w:t>
      </w:r>
      <w:r w:rsidR="00B5179B" w:rsidRPr="00BC31E0">
        <w:rPr>
          <w:rFonts w:hint="eastAsia"/>
        </w:rPr>
        <w:t>せ</w:t>
      </w:r>
      <w:r w:rsidRPr="00BC31E0">
        <w:rPr>
          <w:rFonts w:hint="eastAsia"/>
        </w:rPr>
        <w:t>ば，同等材として使用</w:t>
      </w:r>
      <w:r w:rsidR="0096714E" w:rsidRPr="00BC31E0">
        <w:rPr>
          <w:rFonts w:hint="eastAsia"/>
        </w:rPr>
        <w:t>しても</w:t>
      </w:r>
      <w:r w:rsidR="0096714E" w:rsidRPr="00BC31E0">
        <w:rPr>
          <w:rFonts w:hint="eastAsia"/>
        </w:rPr>
        <w:lastRenderedPageBreak/>
        <w:t>よい</w:t>
      </w:r>
      <w:r w:rsidRPr="00BC31E0">
        <w:rPr>
          <w:rFonts w:hint="eastAsia"/>
        </w:rPr>
        <w:t>。</w:t>
      </w:r>
    </w:p>
    <w:p w14:paraId="75DF6F15" w14:textId="77777777" w:rsidR="00CC55FC" w:rsidRPr="00BC31E0" w:rsidRDefault="00CC55FC" w:rsidP="007E26D6">
      <w:pPr>
        <w:pStyle w:val="a4"/>
        <w:numPr>
          <w:ilvl w:val="0"/>
          <w:numId w:val="19"/>
        </w:numPr>
        <w:ind w:leftChars="0" w:left="454" w:hanging="454"/>
      </w:pPr>
      <w:r w:rsidRPr="00BC31E0">
        <w:rPr>
          <w:rFonts w:hint="eastAsia"/>
        </w:rPr>
        <w:t>この規格では，材料の疲労特性を設計段階で考慮するため，設計規定により疲労評価不要と判定される場合を除いて，</w:t>
      </w:r>
      <w:r w:rsidRPr="00BC31E0">
        <w:rPr>
          <w:rFonts w:asciiTheme="majorEastAsia" w:eastAsiaTheme="majorEastAsia" w:hAnsiTheme="majorEastAsia" w:hint="eastAsia"/>
          <w:b/>
        </w:rPr>
        <w:t>5.4</w:t>
      </w:r>
      <w:r w:rsidRPr="00BC31E0">
        <w:rPr>
          <w:rFonts w:hint="eastAsia"/>
        </w:rPr>
        <w:t>で設計疲労曲線が与えられている材料</w:t>
      </w:r>
      <w:r w:rsidR="0096714E" w:rsidRPr="00BC31E0">
        <w:rPr>
          <w:rFonts w:hint="eastAsia"/>
        </w:rPr>
        <w:t>を</w:t>
      </w:r>
      <w:r w:rsidRPr="00BC31E0">
        <w:rPr>
          <w:rFonts w:hint="eastAsia"/>
        </w:rPr>
        <w:t>使用</w:t>
      </w:r>
      <w:r w:rsidR="0096714E" w:rsidRPr="00BC31E0">
        <w:rPr>
          <w:rFonts w:hint="eastAsia"/>
        </w:rPr>
        <w:t>する</w:t>
      </w:r>
      <w:r w:rsidRPr="00BC31E0">
        <w:rPr>
          <w:rFonts w:hint="eastAsia"/>
        </w:rPr>
        <w:t>。使用する材料が</w:t>
      </w:r>
      <w:r w:rsidRPr="00BC31E0">
        <w:rPr>
          <w:rFonts w:asciiTheme="majorEastAsia" w:eastAsiaTheme="majorEastAsia" w:hAnsiTheme="majorEastAsia" w:hint="eastAsia"/>
          <w:b/>
        </w:rPr>
        <w:t>5.4</w:t>
      </w:r>
      <w:r w:rsidRPr="00BC31E0">
        <w:rPr>
          <w:rFonts w:hint="eastAsia"/>
        </w:rPr>
        <w:t>で与えられ，当該材料の設計疲労曲線が</w:t>
      </w:r>
      <w:r w:rsidRPr="00BC31E0">
        <w:rPr>
          <w:rFonts w:asciiTheme="majorEastAsia" w:eastAsiaTheme="majorEastAsia" w:hAnsiTheme="majorEastAsia" w:hint="eastAsia"/>
          <w:b/>
        </w:rPr>
        <w:t>表5.4.1</w:t>
      </w:r>
      <w:r w:rsidRPr="00BC31E0">
        <w:rPr>
          <w:rFonts w:hint="eastAsia"/>
        </w:rPr>
        <w:t>に与えられていない場合には，その材料の疲労データより設計疲労曲線を得ることができれば，その材料を使用</w:t>
      </w:r>
      <w:r w:rsidR="001F0D3E" w:rsidRPr="00BC31E0">
        <w:rPr>
          <w:rFonts w:hint="eastAsia"/>
        </w:rPr>
        <w:t>してもよい</w:t>
      </w:r>
      <w:r w:rsidRPr="00BC31E0">
        <w:rPr>
          <w:rFonts w:hint="eastAsia"/>
        </w:rPr>
        <w:t>。</w:t>
      </w:r>
    </w:p>
    <w:p w14:paraId="17B56FFE" w14:textId="77777777" w:rsidR="00CC55FC" w:rsidRPr="00BC31E0" w:rsidRDefault="00CC55FC" w:rsidP="007E26D6">
      <w:pPr>
        <w:pStyle w:val="a4"/>
        <w:numPr>
          <w:ilvl w:val="0"/>
          <w:numId w:val="20"/>
        </w:numPr>
        <w:ind w:leftChars="0" w:left="454" w:hanging="454"/>
      </w:pPr>
      <w:r w:rsidRPr="00BC31E0">
        <w:rPr>
          <w:rFonts w:hint="eastAsia"/>
        </w:rPr>
        <w:t>この規格で許容される材料以外は，国際規格又は公的機関による認定規定により承認を受け</w:t>
      </w:r>
      <w:r w:rsidR="00323CDA" w:rsidRPr="00BC31E0">
        <w:rPr>
          <w:rFonts w:hint="eastAsia"/>
        </w:rPr>
        <w:t>なければならない</w:t>
      </w:r>
      <w:r w:rsidRPr="00BC31E0">
        <w:rPr>
          <w:rFonts w:hint="eastAsia"/>
        </w:rPr>
        <w:t>(</w:t>
      </w:r>
      <w:r w:rsidRPr="00BC31E0">
        <w:rPr>
          <w:rFonts w:hint="eastAsia"/>
        </w:rPr>
        <w:t>例えば，</w:t>
      </w:r>
      <w:r w:rsidRPr="00BC31E0">
        <w:rPr>
          <w:rFonts w:asciiTheme="majorEastAsia" w:eastAsiaTheme="majorEastAsia" w:hAnsiTheme="majorEastAsia" w:hint="eastAsia"/>
          <w:b/>
        </w:rPr>
        <w:t>ASME Sec.VIII Div.3</w:t>
      </w:r>
      <w:r w:rsidRPr="00BC31E0">
        <w:rPr>
          <w:rFonts w:hint="eastAsia"/>
        </w:rPr>
        <w:t xml:space="preserve"> </w:t>
      </w:r>
      <w:r w:rsidRPr="00BC31E0">
        <w:rPr>
          <w:rFonts w:hint="eastAsia"/>
        </w:rPr>
        <w:t>対象容器の</w:t>
      </w:r>
      <w:r w:rsidRPr="00BC31E0">
        <w:rPr>
          <w:rFonts w:asciiTheme="majorEastAsia" w:eastAsiaTheme="majorEastAsia" w:hAnsiTheme="majorEastAsia" w:hint="eastAsia"/>
          <w:b/>
        </w:rPr>
        <w:t>Code Case</w:t>
      </w:r>
      <w:r w:rsidR="00BC03D2" w:rsidRPr="00BC31E0">
        <w:rPr>
          <w:rFonts w:hint="eastAsia"/>
        </w:rPr>
        <w:t>など</w:t>
      </w:r>
      <w:r w:rsidRPr="00BC31E0">
        <w:rPr>
          <w:rFonts w:hint="eastAsia"/>
        </w:rPr>
        <w:t>)</w:t>
      </w:r>
      <w:r w:rsidRPr="00BC31E0">
        <w:rPr>
          <w:rFonts w:hint="eastAsia"/>
        </w:rPr>
        <w:t>。</w:t>
      </w:r>
    </w:p>
    <w:p w14:paraId="26962463" w14:textId="77777777" w:rsidR="00CC55FC" w:rsidRPr="00BC31E0" w:rsidRDefault="00CC55FC" w:rsidP="00B239D7">
      <w:pPr>
        <w:pStyle w:val="3"/>
        <w:tabs>
          <w:tab w:val="clear" w:pos="284"/>
        </w:tabs>
        <w:ind w:left="794" w:hanging="794"/>
      </w:pPr>
      <w:r w:rsidRPr="00BC31E0">
        <w:rPr>
          <w:rFonts w:hint="eastAsia"/>
        </w:rPr>
        <w:t>製作者における材料試験及び熱処理の反復</w:t>
      </w:r>
    </w:p>
    <w:p w14:paraId="68FEBDE2" w14:textId="77777777" w:rsidR="00CC55FC" w:rsidRPr="00BC31E0" w:rsidRDefault="00CC55FC" w:rsidP="005C2001">
      <w:pPr>
        <w:pStyle w:val="1110"/>
        <w:ind w:firstLine="211"/>
      </w:pPr>
      <w:r w:rsidRPr="00BC31E0">
        <w:rPr>
          <w:rFonts w:ascii="ＭＳ ゴシック" w:eastAsia="ＭＳ ゴシック" w:hAnsi="ＭＳ ゴシック" w:hint="eastAsia"/>
          <w:b/>
        </w:rPr>
        <w:t>5.2</w:t>
      </w:r>
      <w:r w:rsidRPr="00BC31E0">
        <w:rPr>
          <w:rFonts w:hint="eastAsia"/>
        </w:rPr>
        <w:t>及び材料規格で与えられる規定による。</w:t>
      </w:r>
      <w:r w:rsidRPr="00BC31E0">
        <w:rPr>
          <w:rFonts w:ascii="ＭＳ ゴシック" w:eastAsia="ＭＳ ゴシック" w:hAnsi="ＭＳ ゴシック" w:hint="eastAsia"/>
          <w:b/>
        </w:rPr>
        <w:t>7</w:t>
      </w:r>
      <w:r w:rsidRPr="00BC31E0">
        <w:rPr>
          <w:rFonts w:hint="eastAsia"/>
        </w:rPr>
        <w:t>で規定する焼入焼戻鋼以外は，熱処理の反復は必要ない。</w:t>
      </w:r>
    </w:p>
    <w:p w14:paraId="0FC771BA" w14:textId="77777777" w:rsidR="00CC55FC" w:rsidRPr="00BC31E0" w:rsidRDefault="00CC55FC" w:rsidP="00B239D7">
      <w:pPr>
        <w:pStyle w:val="3"/>
        <w:tabs>
          <w:tab w:val="clear" w:pos="284"/>
        </w:tabs>
        <w:ind w:left="794" w:hanging="794"/>
      </w:pPr>
      <w:r w:rsidRPr="00BC31E0">
        <w:rPr>
          <w:rFonts w:hint="eastAsia"/>
        </w:rPr>
        <w:t>材料製造者による証明</w:t>
      </w:r>
    </w:p>
    <w:p w14:paraId="7162B240" w14:textId="77777777" w:rsidR="00CC55FC" w:rsidRPr="00BC31E0" w:rsidRDefault="00CC55FC" w:rsidP="005C2001">
      <w:pPr>
        <w:pStyle w:val="1110"/>
        <w:ind w:firstLine="210"/>
      </w:pPr>
      <w:r w:rsidRPr="00BC31E0">
        <w:rPr>
          <w:rFonts w:hint="eastAsia"/>
        </w:rPr>
        <w:t>材料製造者は，使用材料が適用材料規格及び</w:t>
      </w:r>
      <w:r w:rsidRPr="00BC31E0">
        <w:rPr>
          <w:rFonts w:ascii="ＭＳ ゴシック" w:eastAsia="ＭＳ ゴシック" w:hAnsi="ＭＳ ゴシック" w:hint="eastAsia"/>
          <w:b/>
        </w:rPr>
        <w:t>5</w:t>
      </w:r>
      <w:r w:rsidRPr="00BC31E0">
        <w:rPr>
          <w:rFonts w:hint="eastAsia"/>
        </w:rPr>
        <w:t>に示す規定に従って製造されたことを証明しなければならない。材料製造者は</w:t>
      </w:r>
      <w:r w:rsidR="00DC160D" w:rsidRPr="00BC31E0">
        <w:rPr>
          <w:rFonts w:hint="eastAsia"/>
        </w:rPr>
        <w:t>全</w:t>
      </w:r>
      <w:r w:rsidRPr="00BC31E0">
        <w:rPr>
          <w:rFonts w:hint="eastAsia"/>
        </w:rPr>
        <w:t>ての必要な試験結果の報告書を作成し，補修を含めた必要な試験，検査などが材料規格とこの規格の</w:t>
      </w:r>
      <w:r w:rsidRPr="00BC31E0">
        <w:rPr>
          <w:rFonts w:ascii="ＭＳ ゴシック" w:hAnsi="ＭＳ ゴシック" w:hint="eastAsia"/>
          <w:b/>
        </w:rPr>
        <w:t>5</w:t>
      </w:r>
      <w:r w:rsidRPr="00BC31E0">
        <w:rPr>
          <w:rFonts w:hint="eastAsia"/>
        </w:rPr>
        <w:t>と</w:t>
      </w:r>
      <w:r w:rsidRPr="00BC31E0">
        <w:rPr>
          <w:rFonts w:ascii="ＭＳ ゴシック" w:eastAsia="ＭＳ ゴシック" w:hAnsi="ＭＳ ゴシック" w:hint="eastAsia"/>
          <w:b/>
        </w:rPr>
        <w:t>7</w:t>
      </w:r>
      <w:r w:rsidRPr="00BC31E0">
        <w:rPr>
          <w:rFonts w:hint="eastAsia"/>
        </w:rPr>
        <w:t>の材料に関する規定に従って行われたことを記述した材料証明書を発行しなければならない。材料製造者は</w:t>
      </w:r>
      <w:r w:rsidR="00DC160D" w:rsidRPr="00BC31E0">
        <w:rPr>
          <w:rFonts w:hint="eastAsia"/>
        </w:rPr>
        <w:t>全</w:t>
      </w:r>
      <w:r w:rsidRPr="00BC31E0">
        <w:rPr>
          <w:rFonts w:hint="eastAsia"/>
        </w:rPr>
        <w:t>ての材料規格及びこの規格の規定に対して，矛盾がある場合は，その旨記述し，補修など，その処置は</w:t>
      </w:r>
      <w:r w:rsidRPr="00BC31E0">
        <w:rPr>
          <w:rFonts w:ascii="ＭＳ ゴシック" w:eastAsia="ＭＳ ゴシック" w:hAnsi="ＭＳ ゴシック" w:hint="eastAsia"/>
          <w:b/>
        </w:rPr>
        <w:t>7</w:t>
      </w:r>
      <w:r w:rsidRPr="00BC31E0">
        <w:rPr>
          <w:rFonts w:hint="eastAsia"/>
        </w:rPr>
        <w:t>の規定を満足させなければならない。</w:t>
      </w:r>
    </w:p>
    <w:p w14:paraId="725D3E9A" w14:textId="77777777" w:rsidR="00CC55FC" w:rsidRPr="00BC31E0" w:rsidRDefault="00CC55FC" w:rsidP="00B239D7">
      <w:pPr>
        <w:pStyle w:val="3"/>
        <w:tabs>
          <w:tab w:val="clear" w:pos="284"/>
        </w:tabs>
        <w:ind w:left="794" w:hanging="794"/>
      </w:pPr>
      <w:r w:rsidRPr="00BC31E0">
        <w:rPr>
          <w:rFonts w:hint="eastAsia"/>
        </w:rPr>
        <w:t>半製作品及び成形品</w:t>
      </w:r>
    </w:p>
    <w:p w14:paraId="7E3795CC" w14:textId="77777777" w:rsidR="00CC55FC" w:rsidRPr="00BC31E0" w:rsidRDefault="00CC55FC" w:rsidP="005C2001">
      <w:pPr>
        <w:pStyle w:val="1110"/>
        <w:ind w:firstLine="210"/>
      </w:pPr>
      <w:r w:rsidRPr="00BC31E0">
        <w:rPr>
          <w:rFonts w:hint="eastAsia"/>
        </w:rPr>
        <w:t>付属品を除いて，完成容器の製作者以外から支給された耐圧部材の半製作品及び成形品においても，この規格の完成容器に係わる</w:t>
      </w:r>
      <w:r w:rsidR="00DC160D" w:rsidRPr="00BC31E0">
        <w:rPr>
          <w:rFonts w:hint="eastAsia"/>
        </w:rPr>
        <w:t>全</w:t>
      </w:r>
      <w:r w:rsidRPr="00BC31E0">
        <w:rPr>
          <w:rFonts w:hint="eastAsia"/>
        </w:rPr>
        <w:t>ての要求規定を満足しなければならない。</w:t>
      </w:r>
    </w:p>
    <w:p w14:paraId="357ABD0E" w14:textId="77777777" w:rsidR="00CC55FC" w:rsidRPr="00BC31E0" w:rsidRDefault="00CC55FC" w:rsidP="00B239D7">
      <w:pPr>
        <w:pStyle w:val="3"/>
        <w:tabs>
          <w:tab w:val="clear" w:pos="284"/>
        </w:tabs>
        <w:ind w:left="794" w:hanging="794"/>
      </w:pPr>
      <w:r w:rsidRPr="00BC31E0">
        <w:rPr>
          <w:rFonts w:hint="eastAsia"/>
        </w:rPr>
        <w:t>標準耐圧部品</w:t>
      </w:r>
    </w:p>
    <w:p w14:paraId="40B384FF" w14:textId="77777777" w:rsidR="00CC55FC" w:rsidRPr="00BC31E0" w:rsidRDefault="00CC55FC" w:rsidP="005C2001">
      <w:pPr>
        <w:pStyle w:val="1110"/>
        <w:ind w:firstLine="210"/>
      </w:pPr>
      <w:r w:rsidRPr="00BC31E0">
        <w:rPr>
          <w:rFonts w:hint="eastAsia"/>
        </w:rPr>
        <w:t>管，継手，フランジ，ノズル，溶接ネック，溶接キャップ，マンホールカバーなどの鍛造，転造，型鍛造により全体成形される標準耐圧部品は，</w:t>
      </w:r>
      <w:r w:rsidRPr="00BC31E0">
        <w:rPr>
          <w:rFonts w:ascii="ＭＳ ゴシック" w:eastAsia="ＭＳ ゴシック" w:hAnsi="ＭＳ ゴシック" w:hint="eastAsia"/>
          <w:b/>
        </w:rPr>
        <w:t>5.2</w:t>
      </w:r>
      <w:r w:rsidRPr="00BC31E0">
        <w:rPr>
          <w:rFonts w:hint="eastAsia"/>
        </w:rPr>
        <w:t>の規定により材料証明を行えばよい。この規格に示す</w:t>
      </w:r>
      <w:r w:rsidRPr="00BC31E0">
        <w:rPr>
          <w:rFonts w:ascii="ＭＳ ゴシック" w:eastAsia="ＭＳ ゴシック" w:hAnsi="ＭＳ ゴシック" w:hint="eastAsia"/>
          <w:b/>
        </w:rPr>
        <w:t>JIS</w:t>
      </w:r>
      <w:r w:rsidRPr="00BC31E0">
        <w:rPr>
          <w:rFonts w:hint="eastAsia"/>
        </w:rPr>
        <w:t>又は</w:t>
      </w:r>
      <w:r w:rsidRPr="00BC31E0">
        <w:rPr>
          <w:rFonts w:ascii="ＭＳ ゴシック" w:eastAsia="ＭＳ ゴシック" w:hAnsi="ＭＳ ゴシック" w:hint="eastAsia"/>
          <w:b/>
        </w:rPr>
        <w:t>ASME</w:t>
      </w:r>
      <w:r w:rsidRPr="00BC31E0">
        <w:rPr>
          <w:rFonts w:hint="eastAsia"/>
        </w:rPr>
        <w:t>などの標準規格材料及び材料製造者の標準部品は，部品製造者の商標刻印及び規格に要求される表示をしなければならない。この表示で，製造者の証明及び材料規定</w:t>
      </w:r>
      <w:r w:rsidR="00B5179B" w:rsidRPr="00BC31E0">
        <w:rPr>
          <w:rFonts w:hint="eastAsia"/>
        </w:rPr>
        <w:t>への</w:t>
      </w:r>
      <w:r w:rsidRPr="00BC31E0">
        <w:rPr>
          <w:rFonts w:hint="eastAsia"/>
        </w:rPr>
        <w:t>準拠を</w:t>
      </w:r>
      <w:r w:rsidR="007F5693" w:rsidRPr="00BC31E0">
        <w:rPr>
          <w:rFonts w:hint="eastAsia"/>
        </w:rPr>
        <w:t>示すことになる</w:t>
      </w:r>
      <w:r w:rsidRPr="00BC31E0">
        <w:rPr>
          <w:rFonts w:hint="eastAsia"/>
        </w:rPr>
        <w:t>。また，指定の圧力―温度のレーティング</w:t>
      </w:r>
      <w:r w:rsidR="00B5179B" w:rsidRPr="00BC31E0">
        <w:rPr>
          <w:rFonts w:hint="eastAsia"/>
        </w:rPr>
        <w:t>への適合</w:t>
      </w:r>
      <w:r w:rsidRPr="00BC31E0">
        <w:rPr>
          <w:rFonts w:hint="eastAsia"/>
        </w:rPr>
        <w:t>を示すこと</w:t>
      </w:r>
      <w:r w:rsidR="00F23E0C" w:rsidRPr="00BC31E0">
        <w:rPr>
          <w:rFonts w:hint="eastAsia"/>
        </w:rPr>
        <w:t>になる</w:t>
      </w:r>
      <w:r w:rsidRPr="00BC31E0">
        <w:rPr>
          <w:rFonts w:hint="eastAsia"/>
        </w:rPr>
        <w:t>。ただし，</w:t>
      </w:r>
      <w:r w:rsidRPr="00BC31E0">
        <w:rPr>
          <w:rFonts w:ascii="ＭＳ ゴシック" w:eastAsia="ＭＳ ゴシック" w:hAnsi="ＭＳ ゴシック" w:hint="eastAsia"/>
          <w:b/>
        </w:rPr>
        <w:t>6.3</w:t>
      </w:r>
      <w:r w:rsidRPr="00BC31E0">
        <w:rPr>
          <w:rFonts w:hint="eastAsia"/>
        </w:rPr>
        <w:t>の疲労評価を満足する場合に限る。</w:t>
      </w:r>
    </w:p>
    <w:p w14:paraId="42020C58" w14:textId="77777777" w:rsidR="00CC55FC" w:rsidRPr="00BC31E0" w:rsidRDefault="00CC55FC" w:rsidP="00B239D7">
      <w:pPr>
        <w:pStyle w:val="3"/>
        <w:tabs>
          <w:tab w:val="clear" w:pos="284"/>
        </w:tabs>
        <w:ind w:left="794" w:hanging="794"/>
      </w:pPr>
      <w:r w:rsidRPr="00BC31E0">
        <w:rPr>
          <w:rFonts w:hint="eastAsia"/>
        </w:rPr>
        <w:t>標準外の耐圧部品</w:t>
      </w:r>
    </w:p>
    <w:p w14:paraId="63A06069" w14:textId="77777777" w:rsidR="00CC55FC" w:rsidRPr="00BC31E0" w:rsidRDefault="00CC55FC" w:rsidP="005C2001">
      <w:pPr>
        <w:pStyle w:val="1110"/>
        <w:ind w:firstLine="210"/>
      </w:pPr>
      <w:r w:rsidRPr="00BC31E0">
        <w:rPr>
          <w:rFonts w:hint="eastAsia"/>
        </w:rPr>
        <w:t>胴，鏡，取外し可能なドア，管コイルのような鍛造，転造，型鍛造により全体成形された標準外の部材は基本的に使用</w:t>
      </w:r>
      <w:r w:rsidR="0056775C" w:rsidRPr="00BC31E0">
        <w:rPr>
          <w:rFonts w:hint="eastAsia"/>
        </w:rPr>
        <w:t>してもよい</w:t>
      </w:r>
      <w:r w:rsidRPr="00BC31E0">
        <w:rPr>
          <w:rFonts w:hint="eastAsia"/>
        </w:rPr>
        <w:t>。これらの部材は，この規格で許された材料から製作されなければならない。これらの部材の製作者は，</w:t>
      </w:r>
      <w:r w:rsidRPr="00BC31E0">
        <w:rPr>
          <w:rFonts w:ascii="ＭＳ ゴシック" w:eastAsia="ＭＳ ゴシック" w:hAnsi="ＭＳ ゴシック" w:hint="eastAsia"/>
          <w:b/>
        </w:rPr>
        <w:t>5.1.3</w:t>
      </w:r>
      <w:r w:rsidR="003274EF" w:rsidRPr="00BC31E0">
        <w:rPr>
          <w:rFonts w:hint="eastAsia"/>
        </w:rPr>
        <w:t>の規定に従って</w:t>
      </w:r>
      <w:r w:rsidRPr="00BC31E0">
        <w:rPr>
          <w:rFonts w:hint="eastAsia"/>
        </w:rPr>
        <w:t>材料証明書を準備しなければならない。これらの部材に対して，製作者名又は商標，及び材料証明書との照合ができる表示を行わなければならない。完成容器の製作者は，完成容器として規定される設計条件に対して，これら部材がこの規格の規定を満足していることを確認しなければならない。</w:t>
      </w:r>
    </w:p>
    <w:p w14:paraId="1A9F912F" w14:textId="77777777" w:rsidR="00CC55FC" w:rsidRPr="00BC31E0" w:rsidRDefault="00CC55FC" w:rsidP="00154923">
      <w:pPr>
        <w:pStyle w:val="20"/>
        <w:tabs>
          <w:tab w:val="clear" w:pos="284"/>
        </w:tabs>
        <w:ind w:left="567" w:hanging="567"/>
      </w:pPr>
      <w:bookmarkStart w:id="26" w:name="_Toc357672084"/>
      <w:bookmarkStart w:id="27" w:name="_Toc120092517"/>
      <w:r w:rsidRPr="00BC31E0">
        <w:rPr>
          <w:rFonts w:hint="eastAsia"/>
        </w:rPr>
        <w:t>材料の機械試験</w:t>
      </w:r>
      <w:bookmarkEnd w:id="26"/>
      <w:bookmarkEnd w:id="27"/>
    </w:p>
    <w:p w14:paraId="76918745" w14:textId="77777777" w:rsidR="00CC55FC" w:rsidRPr="00BC31E0" w:rsidRDefault="00CC55FC" w:rsidP="005C2001">
      <w:pPr>
        <w:pStyle w:val="113"/>
        <w:ind w:firstLine="211"/>
      </w:pPr>
      <w:r w:rsidRPr="00BC31E0">
        <w:rPr>
          <w:rFonts w:ascii="ＭＳ ゴシック" w:eastAsia="ＭＳ ゴシック" w:hAnsi="ＭＳ ゴシック" w:hint="eastAsia"/>
          <w:b/>
        </w:rPr>
        <w:t>5.1</w:t>
      </w:r>
      <w:r w:rsidRPr="00BC31E0">
        <w:rPr>
          <w:rFonts w:hint="eastAsia"/>
        </w:rPr>
        <w:t>の規定に従って製作された材料は，材料規格及び次の機械試験規定を満足すれば，この規格に示す圧力容器に使用</w:t>
      </w:r>
      <w:r w:rsidR="007F2440" w:rsidRPr="00BC31E0">
        <w:rPr>
          <w:rFonts w:hint="eastAsia"/>
        </w:rPr>
        <w:t>してもよい</w:t>
      </w:r>
      <w:r w:rsidRPr="00BC31E0">
        <w:rPr>
          <w:rFonts w:hint="eastAsia"/>
        </w:rPr>
        <w:t>。</w:t>
      </w:r>
    </w:p>
    <w:p w14:paraId="47FF620B" w14:textId="77777777" w:rsidR="00CC55FC" w:rsidRPr="00BC31E0" w:rsidRDefault="00CC55FC" w:rsidP="00B239D7">
      <w:pPr>
        <w:pStyle w:val="3"/>
        <w:ind w:left="794" w:hanging="794"/>
      </w:pPr>
      <w:r w:rsidRPr="00BC31E0">
        <w:rPr>
          <w:rFonts w:hint="eastAsia"/>
        </w:rPr>
        <w:t>厚さの定義</w:t>
      </w:r>
    </w:p>
    <w:p w14:paraId="2B612321" w14:textId="77777777" w:rsidR="00CC55FC" w:rsidRPr="00BC31E0" w:rsidRDefault="00CC55FC" w:rsidP="005C2001">
      <w:pPr>
        <w:pStyle w:val="1110"/>
        <w:ind w:firstLine="210"/>
      </w:pPr>
      <w:r w:rsidRPr="00BC31E0">
        <w:rPr>
          <w:rFonts w:hint="eastAsia"/>
        </w:rPr>
        <w:lastRenderedPageBreak/>
        <w:t>厚さは，次</w:t>
      </w:r>
      <w:r w:rsidR="002A7D13" w:rsidRPr="00BC31E0">
        <w:rPr>
          <w:rFonts w:hint="eastAsia"/>
        </w:rPr>
        <w:t>の</w:t>
      </w:r>
      <w:r w:rsidR="002A7D13" w:rsidRPr="00BC31E0">
        <w:rPr>
          <w:rFonts w:asciiTheme="majorEastAsia" w:eastAsiaTheme="majorEastAsia" w:hAnsiTheme="majorEastAsia" w:hint="eastAsia"/>
          <w:b/>
        </w:rPr>
        <w:t>a)</w:t>
      </w:r>
      <w:r w:rsidR="002A7D13" w:rsidRPr="00BC31E0">
        <w:rPr>
          <w:rFonts w:hint="eastAsia"/>
        </w:rPr>
        <w:t>～</w:t>
      </w:r>
      <w:r w:rsidR="002A7D13" w:rsidRPr="00BC31E0">
        <w:rPr>
          <w:rFonts w:asciiTheme="majorEastAsia" w:eastAsiaTheme="majorEastAsia" w:hAnsiTheme="majorEastAsia" w:hint="eastAsia"/>
          <w:b/>
        </w:rPr>
        <w:t>c)</w:t>
      </w:r>
      <w:r w:rsidRPr="00BC31E0">
        <w:rPr>
          <w:rFonts w:hint="eastAsia"/>
        </w:rPr>
        <w:t>に示す熱処理時の厚さ</w:t>
      </w:r>
      <m:oMath>
        <m:r>
          <m:rPr>
            <m:sty m:val="p"/>
          </m:rPr>
          <w:rPr>
            <w:rFonts w:ascii="Cambria Math" w:hAnsi="Cambria Math"/>
          </w:rPr>
          <m:t xml:space="preserve"> </m:t>
        </m:r>
        <m:r>
          <w:rPr>
            <w:rFonts w:ascii="Cambria Math" w:hAnsi="Cambria Math" w:hint="eastAsia"/>
          </w:rPr>
          <m:t>T</m:t>
        </m:r>
        <m:r>
          <w:rPr>
            <w:rFonts w:ascii="Cambria Math" w:hAnsi="Cambria Math"/>
          </w:rPr>
          <m:t xml:space="preserve"> </m:t>
        </m:r>
      </m:oMath>
      <w:r w:rsidRPr="00BC31E0">
        <w:rPr>
          <w:rFonts w:hint="eastAsia"/>
        </w:rPr>
        <w:t>とする。</w:t>
      </w:r>
    </w:p>
    <w:p w14:paraId="488D6861" w14:textId="77777777" w:rsidR="00CC55FC" w:rsidRPr="00BC31E0" w:rsidRDefault="00CC55FC" w:rsidP="007E26D6">
      <w:pPr>
        <w:pStyle w:val="a4"/>
        <w:numPr>
          <w:ilvl w:val="0"/>
          <w:numId w:val="26"/>
        </w:numPr>
        <w:ind w:leftChars="0" w:left="454" w:hanging="454"/>
      </w:pPr>
      <w:r w:rsidRPr="00BC31E0">
        <w:rPr>
          <w:rFonts w:asciiTheme="majorEastAsia" w:eastAsiaTheme="majorEastAsia" w:hAnsiTheme="majorEastAsia" w:hint="eastAsia"/>
          <w:b/>
        </w:rPr>
        <w:t>板材</w:t>
      </w:r>
      <w:r w:rsidRPr="00BC31E0">
        <w:rPr>
          <w:rFonts w:hint="eastAsia"/>
        </w:rPr>
        <w:t xml:space="preserve">　</w:t>
      </w:r>
      <w:r w:rsidRPr="00BC31E0">
        <w:rPr>
          <w:rFonts w:hAnsi="ＭＳ 明朝" w:hint="eastAsia"/>
        </w:rPr>
        <w:t>短い断面方向の寸法とする。</w:t>
      </w:r>
    </w:p>
    <w:p w14:paraId="73EA1E56" w14:textId="77777777" w:rsidR="00CC55FC" w:rsidRPr="00BC31E0" w:rsidRDefault="00CC55FC" w:rsidP="007E26D6">
      <w:pPr>
        <w:pStyle w:val="a4"/>
        <w:numPr>
          <w:ilvl w:val="0"/>
          <w:numId w:val="26"/>
        </w:numPr>
        <w:ind w:leftChars="0" w:left="454" w:hanging="454"/>
      </w:pPr>
      <w:r w:rsidRPr="00BC31E0">
        <w:rPr>
          <w:rFonts w:asciiTheme="majorEastAsia" w:eastAsiaTheme="majorEastAsia" w:hAnsiTheme="majorEastAsia" w:hint="eastAsia"/>
          <w:b/>
        </w:rPr>
        <w:t>鍛造品</w:t>
      </w:r>
      <w:r w:rsidRPr="00BC31E0">
        <w:rPr>
          <w:rFonts w:hint="eastAsia"/>
        </w:rPr>
        <w:t xml:space="preserve">　鍛造品の熱処理時の厚さは，次の</w:t>
      </w:r>
      <w:r w:rsidRPr="00BC31E0">
        <w:rPr>
          <w:rFonts w:asciiTheme="majorEastAsia" w:eastAsiaTheme="majorEastAsia" w:hAnsiTheme="majorEastAsia" w:hint="eastAsia"/>
          <w:b/>
        </w:rPr>
        <w:t>1)</w:t>
      </w:r>
      <w:r w:rsidRPr="00BC31E0">
        <w:rPr>
          <w:rFonts w:hint="eastAsia"/>
        </w:rPr>
        <w:t>～</w:t>
      </w:r>
      <w:r w:rsidRPr="00BC31E0">
        <w:rPr>
          <w:rFonts w:asciiTheme="majorEastAsia" w:eastAsiaTheme="majorEastAsia" w:hAnsiTheme="majorEastAsia" w:hint="eastAsia"/>
          <w:b/>
        </w:rPr>
        <w:t>5)</w:t>
      </w:r>
      <w:r w:rsidRPr="00BC31E0">
        <w:rPr>
          <w:rFonts w:hint="eastAsia"/>
        </w:rPr>
        <w:t>による。</w:t>
      </w:r>
    </w:p>
    <w:p w14:paraId="779AC5EB" w14:textId="77777777" w:rsidR="00CC55FC" w:rsidRPr="00BC31E0" w:rsidRDefault="00CC55FC" w:rsidP="007E26D6">
      <w:pPr>
        <w:pStyle w:val="a4"/>
        <w:numPr>
          <w:ilvl w:val="0"/>
          <w:numId w:val="27"/>
        </w:numPr>
        <w:ind w:leftChars="0" w:left="738" w:hanging="454"/>
      </w:pPr>
      <w:r w:rsidRPr="00BC31E0">
        <w:rPr>
          <w:rFonts w:asciiTheme="majorEastAsia" w:eastAsiaTheme="majorEastAsia" w:hAnsiTheme="majorEastAsia" w:hint="eastAsia"/>
          <w:b/>
        </w:rPr>
        <w:t>軸方向長さが半径方向厚さよりも大きい中空鍛造品</w:t>
      </w:r>
      <w:r w:rsidRPr="00BC31E0">
        <w:rPr>
          <w:rFonts w:ascii="ＭＳ 明朝" w:hAnsi="ＭＳ 明朝" w:hint="eastAsia"/>
        </w:rPr>
        <w:t xml:space="preserve">　</w:t>
      </w:r>
      <w:r w:rsidRPr="00BC31E0">
        <w:rPr>
          <w:rFonts w:hint="eastAsia"/>
        </w:rPr>
        <w:t>最小内表面と最大外表面間の距離</w:t>
      </w:r>
      <w:r w:rsidRPr="00BC31E0">
        <w:rPr>
          <w:rFonts w:hint="eastAsia"/>
        </w:rPr>
        <w:t>(</w:t>
      </w:r>
      <w:r w:rsidRPr="00BC31E0">
        <w:rPr>
          <w:rFonts w:hint="eastAsia"/>
        </w:rPr>
        <w:t>半径方向厚さ</w:t>
      </w:r>
      <w:r w:rsidRPr="00BC31E0">
        <w:rPr>
          <w:rFonts w:hint="eastAsia"/>
        </w:rPr>
        <w:t>)</w:t>
      </w:r>
      <w:r w:rsidRPr="00BC31E0">
        <w:rPr>
          <w:rFonts w:hint="eastAsia"/>
        </w:rPr>
        <w:t>を厚さとする。ただし，フランジ</w:t>
      </w:r>
      <w:r w:rsidRPr="00BC31E0">
        <w:rPr>
          <w:rFonts w:hint="eastAsia"/>
        </w:rPr>
        <w:t>(</w:t>
      </w:r>
      <w:r w:rsidRPr="00BC31E0">
        <w:rPr>
          <w:rFonts w:hint="eastAsia"/>
        </w:rPr>
        <w:t>押出し成形</w:t>
      </w:r>
      <w:r w:rsidRPr="00BC31E0">
        <w:rPr>
          <w:rFonts w:hint="eastAsia"/>
        </w:rPr>
        <w:t>)</w:t>
      </w:r>
      <w:r w:rsidRPr="00BC31E0">
        <w:rPr>
          <w:rFonts w:hint="eastAsia"/>
        </w:rPr>
        <w:t>で，その厚さが円筒部の厚さより小さい場合を除く。</w:t>
      </w:r>
    </w:p>
    <w:p w14:paraId="07A7D22B" w14:textId="77777777" w:rsidR="00CC55FC" w:rsidRPr="00BC31E0" w:rsidRDefault="00CC55FC" w:rsidP="007E26D6">
      <w:pPr>
        <w:pStyle w:val="a4"/>
        <w:numPr>
          <w:ilvl w:val="0"/>
          <w:numId w:val="27"/>
        </w:numPr>
        <w:ind w:leftChars="0" w:left="738" w:hanging="454"/>
      </w:pPr>
      <w:r w:rsidRPr="00BC31E0">
        <w:rPr>
          <w:rFonts w:asciiTheme="majorEastAsia" w:eastAsiaTheme="majorEastAsia" w:hAnsiTheme="majorEastAsia" w:hint="eastAsia"/>
          <w:b/>
        </w:rPr>
        <w:t>軸方向長さが外径以下の円盤状鍛造品</w:t>
      </w:r>
      <w:r w:rsidRPr="00BC31E0">
        <w:rPr>
          <w:rFonts w:hint="eastAsia"/>
        </w:rPr>
        <w:t xml:space="preserve">　軸方向長さを厚さとする。</w:t>
      </w:r>
    </w:p>
    <w:p w14:paraId="4C367098" w14:textId="77777777" w:rsidR="00CC55FC" w:rsidRPr="00BC31E0" w:rsidRDefault="00CC55FC" w:rsidP="007E26D6">
      <w:pPr>
        <w:pStyle w:val="a4"/>
        <w:numPr>
          <w:ilvl w:val="0"/>
          <w:numId w:val="28"/>
        </w:numPr>
        <w:ind w:leftChars="0" w:left="738" w:hanging="454"/>
      </w:pPr>
      <w:r w:rsidRPr="00BC31E0">
        <w:rPr>
          <w:rFonts w:asciiTheme="majorEastAsia" w:eastAsiaTheme="majorEastAsia" w:hAnsiTheme="majorEastAsia" w:hint="eastAsia"/>
          <w:b/>
        </w:rPr>
        <w:t>最大の軸方向長さが半径方向厚さよりも小さいリング鍛造品</w:t>
      </w:r>
      <w:r w:rsidRPr="00BC31E0">
        <w:rPr>
          <w:rFonts w:hint="eastAsia"/>
        </w:rPr>
        <w:t xml:space="preserve">　最大の軸方向長さを厚さとする。</w:t>
      </w:r>
    </w:p>
    <w:p w14:paraId="5F8A612A" w14:textId="77777777" w:rsidR="00CC55FC" w:rsidRPr="00BC31E0" w:rsidRDefault="00CC55FC" w:rsidP="007E26D6">
      <w:pPr>
        <w:pStyle w:val="a4"/>
        <w:numPr>
          <w:ilvl w:val="0"/>
          <w:numId w:val="29"/>
        </w:numPr>
        <w:ind w:leftChars="0" w:left="738" w:hanging="454"/>
      </w:pPr>
      <w:r w:rsidRPr="00BC31E0">
        <w:rPr>
          <w:rFonts w:asciiTheme="majorEastAsia" w:eastAsiaTheme="majorEastAsia" w:hAnsiTheme="majorEastAsia" w:hint="eastAsia"/>
          <w:b/>
        </w:rPr>
        <w:t>矩形の中実鍛造品</w:t>
      </w:r>
      <w:r w:rsidRPr="00BC31E0">
        <w:rPr>
          <w:rFonts w:hint="eastAsia"/>
        </w:rPr>
        <w:t xml:space="preserve">　最小の矩形寸法を厚さとする。</w:t>
      </w:r>
    </w:p>
    <w:p w14:paraId="5ABE8251" w14:textId="77777777" w:rsidR="00CC55FC" w:rsidRPr="00BC31E0" w:rsidRDefault="00CC55FC" w:rsidP="007E26D6">
      <w:pPr>
        <w:pStyle w:val="a4"/>
        <w:numPr>
          <w:ilvl w:val="0"/>
          <w:numId w:val="30"/>
        </w:numPr>
        <w:ind w:leftChars="0" w:left="738" w:hanging="454"/>
      </w:pPr>
      <w:r w:rsidRPr="00BC31E0">
        <w:rPr>
          <w:rFonts w:asciiTheme="majorEastAsia" w:eastAsiaTheme="majorEastAsia" w:hAnsiTheme="majorEastAsia" w:hint="eastAsia"/>
          <w:b/>
        </w:rPr>
        <w:t>円形，六角，八角の中実鍛造品</w:t>
      </w:r>
      <w:r w:rsidRPr="00BC31E0">
        <w:rPr>
          <w:rFonts w:hint="eastAsia"/>
        </w:rPr>
        <w:t xml:space="preserve">　直径又は対辺の距離を厚さとする。</w:t>
      </w:r>
    </w:p>
    <w:p w14:paraId="599A3324" w14:textId="77777777" w:rsidR="00CC55FC" w:rsidRPr="00BC31E0" w:rsidRDefault="00CC55FC" w:rsidP="007E26D6">
      <w:pPr>
        <w:pStyle w:val="a4"/>
        <w:numPr>
          <w:ilvl w:val="0"/>
          <w:numId w:val="31"/>
        </w:numPr>
        <w:ind w:leftChars="0" w:left="454" w:hanging="454"/>
      </w:pPr>
      <w:r w:rsidRPr="00BC31E0">
        <w:rPr>
          <w:rFonts w:asciiTheme="majorEastAsia" w:eastAsiaTheme="majorEastAsia" w:hAnsiTheme="majorEastAsia" w:hint="eastAsia"/>
          <w:b/>
        </w:rPr>
        <w:t>棒及びボルト材</w:t>
      </w:r>
      <w:r w:rsidRPr="00BC31E0">
        <w:rPr>
          <w:rFonts w:hint="eastAsia"/>
        </w:rPr>
        <w:t xml:space="preserve">　棒及びボルト材の厚さは，円形棒は直径，矩形棒は断面寸法の短い方，六角形棒は平面間距離又は棒の長さの小さい方とする。</w:t>
      </w:r>
    </w:p>
    <w:p w14:paraId="0BA8E47E" w14:textId="77777777" w:rsidR="00CC55FC" w:rsidRPr="00BC31E0" w:rsidRDefault="00CC55FC" w:rsidP="00E739D8">
      <w:pPr>
        <w:pStyle w:val="3"/>
        <w:tabs>
          <w:tab w:val="clear" w:pos="284"/>
        </w:tabs>
      </w:pPr>
      <w:r w:rsidRPr="00BC31E0">
        <w:rPr>
          <w:rFonts w:hint="eastAsia"/>
        </w:rPr>
        <w:t>試験材及び試験片の採取方法</w:t>
      </w:r>
    </w:p>
    <w:p w14:paraId="69526547" w14:textId="77777777" w:rsidR="00CC55FC" w:rsidRPr="00BC31E0" w:rsidRDefault="00CC55FC" w:rsidP="005C2001">
      <w:pPr>
        <w:pStyle w:val="1110"/>
        <w:ind w:firstLine="210"/>
      </w:pPr>
      <w:r w:rsidRPr="00BC31E0">
        <w:rPr>
          <w:rFonts w:hint="eastAsia"/>
        </w:rPr>
        <w:t>試験材及び試験片は，次の</w:t>
      </w:r>
      <w:r w:rsidR="007A1249" w:rsidRPr="00BC31E0">
        <w:rPr>
          <w:rFonts w:asciiTheme="majorEastAsia" w:eastAsiaTheme="majorEastAsia" w:hAnsiTheme="majorEastAsia" w:hint="eastAsia"/>
          <w:b/>
        </w:rPr>
        <w:t>a)</w:t>
      </w:r>
      <w:r w:rsidR="007A1249" w:rsidRPr="00BC31E0">
        <w:rPr>
          <w:rFonts w:hint="eastAsia"/>
        </w:rPr>
        <w:t>～</w:t>
      </w:r>
      <w:r w:rsidR="007A1249" w:rsidRPr="00BC31E0">
        <w:rPr>
          <w:rFonts w:asciiTheme="majorEastAsia" w:eastAsiaTheme="majorEastAsia" w:hAnsiTheme="majorEastAsia" w:hint="eastAsia"/>
          <w:b/>
        </w:rPr>
        <w:t>d)</w:t>
      </w:r>
      <w:r w:rsidRPr="00BC31E0">
        <w:rPr>
          <w:rFonts w:hint="eastAsia"/>
        </w:rPr>
        <w:t>に</w:t>
      </w:r>
      <w:r w:rsidR="007A1249" w:rsidRPr="00BC31E0">
        <w:rPr>
          <w:rFonts w:hint="eastAsia"/>
        </w:rPr>
        <w:t>従って</w:t>
      </w:r>
      <w:r w:rsidRPr="00BC31E0">
        <w:rPr>
          <w:rFonts w:hint="eastAsia"/>
        </w:rPr>
        <w:t>採取しなければならない。ただし，オーステナイトステンレス鋼及び非鉄合金に対しては，試験材，試験片の採取方法は適用する材料規格による。</w:t>
      </w:r>
    </w:p>
    <w:p w14:paraId="190434C7" w14:textId="77777777" w:rsidR="00CC55FC" w:rsidRPr="00BC31E0" w:rsidRDefault="00CC55FC" w:rsidP="007E26D6">
      <w:pPr>
        <w:pStyle w:val="a4"/>
        <w:numPr>
          <w:ilvl w:val="0"/>
          <w:numId w:val="32"/>
        </w:numPr>
        <w:ind w:leftChars="0" w:left="454" w:hanging="454"/>
      </w:pPr>
      <w:r w:rsidRPr="00BC31E0">
        <w:rPr>
          <w:rFonts w:asciiTheme="majorEastAsia" w:eastAsiaTheme="majorEastAsia" w:hAnsiTheme="majorEastAsia" w:hint="eastAsia"/>
          <w:b/>
        </w:rPr>
        <w:t>板材</w:t>
      </w:r>
      <w:r w:rsidRPr="00BC31E0">
        <w:rPr>
          <w:rFonts w:hint="eastAsia"/>
        </w:rPr>
        <w:t xml:space="preserve">　板材の試験片採取方法は，次の</w:t>
      </w:r>
      <w:r w:rsidRPr="00BC31E0">
        <w:rPr>
          <w:rFonts w:asciiTheme="majorEastAsia" w:eastAsiaTheme="majorEastAsia" w:hAnsiTheme="majorEastAsia" w:hint="eastAsia"/>
          <w:b/>
        </w:rPr>
        <w:t>1)</w:t>
      </w:r>
      <w:r w:rsidRPr="00BC31E0">
        <w:rPr>
          <w:rFonts w:hint="eastAsia"/>
        </w:rPr>
        <w:t>～</w:t>
      </w:r>
      <w:r w:rsidRPr="00BC31E0">
        <w:rPr>
          <w:rFonts w:asciiTheme="majorEastAsia" w:eastAsiaTheme="majorEastAsia" w:hAnsiTheme="majorEastAsia" w:hint="eastAsia"/>
          <w:b/>
        </w:rPr>
        <w:t>3)</w:t>
      </w:r>
      <w:r w:rsidRPr="00BC31E0">
        <w:rPr>
          <w:rFonts w:hint="eastAsia"/>
        </w:rPr>
        <w:t>による。</w:t>
      </w:r>
    </w:p>
    <w:p w14:paraId="516983EB" w14:textId="77777777" w:rsidR="00CC55FC" w:rsidRPr="00BC31E0" w:rsidRDefault="00CC55FC" w:rsidP="007E26D6">
      <w:pPr>
        <w:pStyle w:val="a4"/>
        <w:numPr>
          <w:ilvl w:val="0"/>
          <w:numId w:val="33"/>
        </w:numPr>
        <w:ind w:leftChars="0" w:left="738" w:hanging="454"/>
      </w:pPr>
      <w:r w:rsidRPr="00BC31E0">
        <w:rPr>
          <w:rFonts w:asciiTheme="majorEastAsia" w:eastAsiaTheme="majorEastAsia" w:hAnsiTheme="majorEastAsia" w:hint="eastAsia"/>
          <w:b/>
        </w:rPr>
        <w:t>厚さ</w:t>
      </w:r>
      <w:r w:rsidRPr="00BC31E0">
        <w:rPr>
          <w:rFonts w:asciiTheme="majorEastAsia" w:eastAsiaTheme="majorEastAsia" w:hAnsiTheme="majorEastAsia"/>
          <w:b/>
        </w:rPr>
        <w:t>50 mm</w:t>
      </w:r>
      <w:r w:rsidRPr="00BC31E0">
        <w:rPr>
          <w:rFonts w:asciiTheme="majorEastAsia" w:eastAsiaTheme="majorEastAsia" w:hAnsiTheme="majorEastAsia" w:hint="eastAsia"/>
          <w:b/>
        </w:rPr>
        <w:t>未満の場合</w:t>
      </w:r>
      <w:r w:rsidRPr="00BC31E0">
        <w:rPr>
          <w:rFonts w:hint="eastAsia"/>
        </w:rPr>
        <w:t xml:space="preserve">　試験片は当該材料の材料規格により採取する。</w:t>
      </w:r>
    </w:p>
    <w:p w14:paraId="57F6AF1A" w14:textId="77777777" w:rsidR="00CC55FC" w:rsidRPr="00BC31E0" w:rsidRDefault="00CC55FC" w:rsidP="007E26D6">
      <w:pPr>
        <w:pStyle w:val="a4"/>
        <w:numPr>
          <w:ilvl w:val="0"/>
          <w:numId w:val="33"/>
        </w:numPr>
        <w:ind w:leftChars="0" w:left="738" w:hanging="454"/>
      </w:pPr>
      <w:r w:rsidRPr="00BC31E0">
        <w:rPr>
          <w:rFonts w:asciiTheme="majorEastAsia" w:eastAsiaTheme="majorEastAsia" w:hAnsiTheme="majorEastAsia" w:hint="eastAsia"/>
          <w:b/>
        </w:rPr>
        <w:t>厚さ</w:t>
      </w:r>
      <w:r w:rsidRPr="00BC31E0">
        <w:rPr>
          <w:rFonts w:asciiTheme="majorEastAsia" w:eastAsiaTheme="majorEastAsia" w:hAnsiTheme="majorEastAsia"/>
          <w:b/>
        </w:rPr>
        <w:t>50 mm</w:t>
      </w:r>
      <w:r w:rsidRPr="00BC31E0">
        <w:rPr>
          <w:rFonts w:asciiTheme="majorEastAsia" w:eastAsiaTheme="majorEastAsia" w:hAnsiTheme="majorEastAsia" w:hint="eastAsia"/>
          <w:b/>
        </w:rPr>
        <w:t>以上の場合</w:t>
      </w:r>
      <w:r w:rsidRPr="00BC31E0">
        <w:rPr>
          <w:rFonts w:hint="eastAsia"/>
        </w:rPr>
        <w:t xml:space="preserve">　試験片は当該材料の材料規格によるが，熱処理端面から</w:t>
      </w:r>
      <m:oMath>
        <m:r>
          <m:rPr>
            <m:sty m:val="p"/>
          </m:rPr>
          <w:rPr>
            <w:rFonts w:ascii="Cambria Math" w:hAnsi="Cambria Math"/>
          </w:rPr>
          <m:t xml:space="preserve"> </m:t>
        </m:r>
        <m:r>
          <w:rPr>
            <w:rFonts w:ascii="Cambria Math" w:hAnsi="Cambria Math"/>
          </w:rPr>
          <m:t xml:space="preserve">T </m:t>
        </m:r>
      </m:oMath>
      <w:r w:rsidRPr="00BC31E0">
        <w:rPr>
          <w:rFonts w:hint="eastAsia"/>
        </w:rPr>
        <w:t>以上，板表面から</w:t>
      </w:r>
      <m:oMath>
        <m:f>
          <m:fPr>
            <m:type m:val="lin"/>
            <m:ctrlPr>
              <w:rPr>
                <w:rFonts w:ascii="Cambria Math" w:hAnsi="Cambria Math"/>
                <w:i/>
              </w:rPr>
            </m:ctrlPr>
          </m:fPr>
          <m:num>
            <m:r>
              <w:rPr>
                <w:rFonts w:ascii="Cambria Math" w:hAnsi="Cambria Math"/>
              </w:rPr>
              <m:t xml:space="preserve"> T</m:t>
            </m:r>
          </m:num>
          <m:den>
            <m:r>
              <w:rPr>
                <w:rFonts w:ascii="Cambria Math" w:hAnsi="Cambria Math"/>
              </w:rPr>
              <m:t xml:space="preserve">4 </m:t>
            </m:r>
          </m:den>
        </m:f>
      </m:oMath>
      <w:r w:rsidRPr="00BC31E0">
        <w:rPr>
          <w:rFonts w:hint="eastAsia"/>
        </w:rPr>
        <w:t>以上離す。</w:t>
      </w:r>
    </w:p>
    <w:p w14:paraId="2DA86564" w14:textId="77777777" w:rsidR="00CC55FC" w:rsidRPr="00BC31E0" w:rsidRDefault="00CC55FC" w:rsidP="007E26D6">
      <w:pPr>
        <w:pStyle w:val="a4"/>
        <w:numPr>
          <w:ilvl w:val="0"/>
          <w:numId w:val="33"/>
        </w:numPr>
        <w:ind w:leftChars="0" w:left="738" w:hanging="454"/>
      </w:pPr>
      <w:r w:rsidRPr="00BC31E0">
        <w:rPr>
          <w:rFonts w:asciiTheme="majorEastAsia" w:eastAsiaTheme="majorEastAsia" w:hAnsiTheme="majorEastAsia" w:hint="eastAsia"/>
          <w:b/>
        </w:rPr>
        <w:t>容器材料代表として別試験材とする場合</w:t>
      </w:r>
      <w:r w:rsidRPr="00BC31E0">
        <w:rPr>
          <w:rFonts w:hAnsi="ＭＳ ゴシック" w:hint="eastAsia"/>
        </w:rPr>
        <w:t xml:space="preserve">　</w:t>
      </w:r>
      <w:r w:rsidRPr="00BC31E0">
        <w:rPr>
          <w:rFonts w:hint="eastAsia"/>
        </w:rPr>
        <w:t>試験片採取位置の冷却速度が製品の端面から</w:t>
      </w:r>
      <m:oMath>
        <m:r>
          <m:rPr>
            <m:sty m:val="p"/>
          </m:rPr>
          <w:rPr>
            <w:rFonts w:ascii="Cambria Math" w:hAnsi="Cambria Math"/>
          </w:rPr>
          <m:t xml:space="preserve"> </m:t>
        </m:r>
        <m:r>
          <w:rPr>
            <w:rFonts w:ascii="Cambria Math" w:hAnsi="Cambria Math"/>
          </w:rPr>
          <m:t xml:space="preserve">T </m:t>
        </m:r>
      </m:oMath>
      <w:r w:rsidR="002620C0" w:rsidRPr="00BC31E0">
        <w:fldChar w:fldCharType="begin"/>
      </w:r>
      <w:r w:rsidRPr="00BC31E0">
        <w:instrText xml:space="preserve"> QUOTE </w:instrText>
      </w:r>
      <m:oMath>
        <m:r>
          <m:rPr>
            <m:sty m:val="p"/>
          </m:rPr>
          <w:rPr>
            <w:rFonts w:ascii="Cambria Math" w:hAnsi="Cambria Math" w:hint="eastAsia"/>
          </w:rPr>
          <m:t>T</m:t>
        </m:r>
      </m:oMath>
      <w:r w:rsidRPr="00BC31E0">
        <w:instrText xml:space="preserve"> </w:instrText>
      </w:r>
      <w:r w:rsidR="002620C0" w:rsidRPr="00BC31E0">
        <w:fldChar w:fldCharType="end"/>
      </w:r>
      <w:r w:rsidRPr="00BC31E0">
        <w:rPr>
          <w:rFonts w:hint="eastAsia"/>
        </w:rPr>
        <w:t>以上でかつ，表面からの距離が</w:t>
      </w:r>
      <m:oMath>
        <m:f>
          <m:fPr>
            <m:type m:val="lin"/>
            <m:ctrlPr>
              <w:rPr>
                <w:rFonts w:ascii="Cambria Math" w:hAnsi="Cambria Math"/>
                <w:i/>
              </w:rPr>
            </m:ctrlPr>
          </m:fPr>
          <m:num>
            <m:r>
              <w:rPr>
                <w:rFonts w:ascii="Cambria Math" w:hAnsi="Cambria Math"/>
              </w:rPr>
              <m:t xml:space="preserve"> T</m:t>
            </m:r>
          </m:num>
          <m:den>
            <m:r>
              <w:rPr>
                <w:rFonts w:ascii="Cambria Math" w:hAnsi="Cambria Math"/>
              </w:rPr>
              <m:t xml:space="preserve">4 </m:t>
            </m:r>
          </m:den>
        </m:f>
      </m:oMath>
      <w:r w:rsidRPr="00BC31E0">
        <w:rPr>
          <w:rFonts w:hint="eastAsia"/>
        </w:rPr>
        <w:t>以上の材料の冷却速度を代表できるに十分なサイズとする。ロット又は製品に適用する冷却速度が</w:t>
      </w:r>
      <w:r w:rsidRPr="00BC31E0">
        <w:rPr>
          <w:rFonts w:asciiTheme="majorEastAsia" w:eastAsiaTheme="majorEastAsia" w:hAnsiTheme="majorEastAsia" w:hint="eastAsia"/>
          <w:b/>
        </w:rPr>
        <w:t>5.2.5</w:t>
      </w:r>
      <w:r w:rsidRPr="00BC31E0">
        <w:rPr>
          <w:rFonts w:hint="eastAsia"/>
        </w:rPr>
        <w:t>により熱処理される場合以外は，試験材寸法は，</w:t>
      </w:r>
      <m:oMath>
        <m:r>
          <w:rPr>
            <w:rFonts w:ascii="Cambria Math" w:hAnsi="Cambria Math"/>
          </w:rPr>
          <m:t>3T</m:t>
        </m:r>
        <m:r>
          <m:rPr>
            <m:sty m:val="p"/>
          </m:rPr>
          <w:rPr>
            <w:rFonts w:ascii="Cambria Math" w:hAnsi="Cambria Math"/>
          </w:rPr>
          <m:t>×</m:t>
        </m:r>
        <m:r>
          <w:rPr>
            <w:rFonts w:ascii="Cambria Math" w:hAnsi="Cambria Math"/>
          </w:rPr>
          <m:t>3T</m:t>
        </m:r>
        <m:r>
          <m:rPr>
            <m:sty m:val="p"/>
          </m:rPr>
          <w:rPr>
            <w:rFonts w:ascii="Cambria Math" w:hAnsi="Cambria Math"/>
          </w:rPr>
          <m:t>×</m:t>
        </m:r>
        <m:r>
          <w:rPr>
            <w:rFonts w:ascii="Cambria Math" w:hAnsi="Cambria Math"/>
          </w:rPr>
          <m:t xml:space="preserve">T </m:t>
        </m:r>
      </m:oMath>
      <w:r w:rsidRPr="00BC31E0">
        <w:rPr>
          <w:rFonts w:hint="eastAsia"/>
        </w:rPr>
        <w:t>以上とする。</w:t>
      </w:r>
    </w:p>
    <w:p w14:paraId="30468B37" w14:textId="77777777" w:rsidR="00CC55FC" w:rsidRPr="00BC31E0" w:rsidRDefault="00CC55FC" w:rsidP="007E26D6">
      <w:pPr>
        <w:pStyle w:val="a4"/>
        <w:numPr>
          <w:ilvl w:val="0"/>
          <w:numId w:val="34"/>
        </w:numPr>
        <w:ind w:leftChars="0"/>
      </w:pPr>
      <w:r w:rsidRPr="00BC31E0">
        <w:rPr>
          <w:rFonts w:asciiTheme="majorEastAsia" w:eastAsiaTheme="majorEastAsia" w:hAnsiTheme="majorEastAsia" w:hint="eastAsia"/>
          <w:b/>
        </w:rPr>
        <w:t>鍛造品</w:t>
      </w:r>
      <w:r w:rsidRPr="00BC31E0">
        <w:rPr>
          <w:rFonts w:hint="eastAsia"/>
        </w:rPr>
        <w:t xml:space="preserve">　試験点</w:t>
      </w:r>
      <w:r w:rsidRPr="00BC31E0">
        <w:t>(</w:t>
      </w:r>
      <w:r w:rsidRPr="00BC31E0">
        <w:rPr>
          <w:rFonts w:hint="eastAsia"/>
        </w:rPr>
        <w:t>引張試験片ゲージ長さの中間又は衝撃試験片のノッチ下の部分</w:t>
      </w:r>
      <w:r w:rsidRPr="00BC31E0">
        <w:t>)</w:t>
      </w:r>
      <w:r w:rsidRPr="00BC31E0">
        <w:rPr>
          <w:rFonts w:hint="eastAsia"/>
        </w:rPr>
        <w:t>の位置は，次の</w:t>
      </w:r>
      <w:r w:rsidRPr="00BC31E0">
        <w:rPr>
          <w:rFonts w:asciiTheme="majorEastAsia" w:eastAsiaTheme="majorEastAsia" w:hAnsiTheme="majorEastAsia" w:hint="eastAsia"/>
          <w:b/>
        </w:rPr>
        <w:t>1)</w:t>
      </w:r>
      <w:r w:rsidRPr="00BC31E0">
        <w:rPr>
          <w:rFonts w:hint="eastAsia"/>
        </w:rPr>
        <w:t>～</w:t>
      </w:r>
      <w:r w:rsidRPr="00BC31E0">
        <w:rPr>
          <w:rFonts w:asciiTheme="majorEastAsia" w:eastAsiaTheme="majorEastAsia" w:hAnsiTheme="majorEastAsia" w:hint="eastAsia"/>
          <w:b/>
        </w:rPr>
        <w:t>5)</w:t>
      </w:r>
      <w:r w:rsidRPr="00BC31E0">
        <w:rPr>
          <w:rFonts w:hint="eastAsia"/>
        </w:rPr>
        <w:t>による。また，焼入焼戻鋼の場合の試験点の位置は，焼入れ面に最も近い面からの距離と，受圧面又は高応力部のいずれかの焼入れ表面からの距離とが，同じかより離れたところとする。設計者は，鍛造品に関する本規定の範囲内で，試験点の位置を定義しなければならない。</w:t>
      </w:r>
    </w:p>
    <w:p w14:paraId="1D578750" w14:textId="77777777" w:rsidR="00CC55FC" w:rsidRPr="00BC31E0" w:rsidRDefault="00CC55FC" w:rsidP="007E26D6">
      <w:pPr>
        <w:pStyle w:val="a4"/>
        <w:numPr>
          <w:ilvl w:val="0"/>
          <w:numId w:val="35"/>
        </w:numPr>
        <w:ind w:leftChars="0" w:left="738" w:hanging="454"/>
      </w:pPr>
      <w:r w:rsidRPr="00BC31E0">
        <w:rPr>
          <w:rFonts w:asciiTheme="majorEastAsia" w:eastAsiaTheme="majorEastAsia" w:hAnsiTheme="majorEastAsia" w:hint="eastAsia"/>
          <w:b/>
        </w:rPr>
        <w:t>最大焼入れ厚さ</w:t>
      </w:r>
      <w:r w:rsidRPr="00BC31E0">
        <w:rPr>
          <w:rFonts w:asciiTheme="majorEastAsia" w:eastAsiaTheme="majorEastAsia" w:hAnsiTheme="majorEastAsia"/>
          <w:b/>
        </w:rPr>
        <w:t>100 mm</w:t>
      </w:r>
      <w:r w:rsidRPr="00BC31E0">
        <w:rPr>
          <w:rFonts w:asciiTheme="majorEastAsia" w:eastAsiaTheme="majorEastAsia" w:hAnsiTheme="majorEastAsia" w:hint="eastAsia"/>
          <w:b/>
        </w:rPr>
        <w:t>以下の場合</w:t>
      </w:r>
      <w:r w:rsidRPr="00BC31E0">
        <w:rPr>
          <w:rFonts w:hint="eastAsia"/>
        </w:rPr>
        <w:t xml:space="preserve">　鍛造品又は試験鍛造材の肉厚中心でかつ，焼入れ端面又は直近面から少なくとも</w:t>
      </w:r>
      <m:oMath>
        <m:f>
          <m:fPr>
            <m:type m:val="lin"/>
            <m:ctrlPr>
              <w:rPr>
                <w:rFonts w:ascii="Cambria Math" w:hAnsi="Cambria Math"/>
                <w:i/>
              </w:rPr>
            </m:ctrlPr>
          </m:fPr>
          <m:num>
            <m:r>
              <w:rPr>
                <w:rFonts w:ascii="Cambria Math" w:hAnsi="Cambria Math"/>
              </w:rPr>
              <m:t xml:space="preserve"> 2T</m:t>
            </m:r>
          </m:num>
          <m:den>
            <m:r>
              <w:rPr>
                <w:rFonts w:ascii="Cambria Math" w:hAnsi="Cambria Math"/>
              </w:rPr>
              <m:t xml:space="preserve">3 </m:t>
            </m:r>
          </m:den>
        </m:f>
      </m:oMath>
      <w:r w:rsidRPr="00BC31E0">
        <w:rPr>
          <w:rFonts w:hint="eastAsia"/>
        </w:rPr>
        <w:t>の位置とする。</w:t>
      </w:r>
    </w:p>
    <w:p w14:paraId="41EEC2BB" w14:textId="77777777" w:rsidR="00CC55FC" w:rsidRPr="00BC31E0" w:rsidRDefault="00CC55FC" w:rsidP="007E26D6">
      <w:pPr>
        <w:pStyle w:val="a4"/>
        <w:numPr>
          <w:ilvl w:val="0"/>
          <w:numId w:val="35"/>
        </w:numPr>
        <w:ind w:leftChars="0" w:left="738" w:hanging="454"/>
      </w:pPr>
      <w:r w:rsidRPr="00BC31E0">
        <w:rPr>
          <w:rFonts w:asciiTheme="majorEastAsia" w:eastAsiaTheme="majorEastAsia" w:hAnsiTheme="majorEastAsia" w:hint="eastAsia"/>
          <w:b/>
        </w:rPr>
        <w:t>最大焼入れ厚さ</w:t>
      </w:r>
      <w:r w:rsidRPr="00BC31E0">
        <w:rPr>
          <w:rFonts w:asciiTheme="majorEastAsia" w:eastAsiaTheme="majorEastAsia" w:hAnsiTheme="majorEastAsia"/>
          <w:b/>
        </w:rPr>
        <w:t>100 mm</w:t>
      </w:r>
      <w:r w:rsidRPr="00BC31E0">
        <w:rPr>
          <w:rFonts w:asciiTheme="majorEastAsia" w:eastAsiaTheme="majorEastAsia" w:hAnsiTheme="majorEastAsia" w:hint="eastAsia"/>
          <w:b/>
        </w:rPr>
        <w:t>を超える場合</w:t>
      </w:r>
      <w:r w:rsidRPr="00BC31E0">
        <w:rPr>
          <w:rFonts w:hint="eastAsia"/>
        </w:rPr>
        <w:t xml:space="preserve">　焼入れ面に最も近い面から</w:t>
      </w:r>
      <m:oMath>
        <m:f>
          <m:fPr>
            <m:type m:val="lin"/>
            <m:ctrlPr>
              <w:rPr>
                <w:rFonts w:ascii="Cambria Math" w:hAnsi="Cambria Math"/>
                <w:i/>
              </w:rPr>
            </m:ctrlPr>
          </m:fPr>
          <m:num>
            <m:r>
              <w:rPr>
                <w:rFonts w:ascii="Cambria Math" w:hAnsi="Cambria Math"/>
              </w:rPr>
              <m:t xml:space="preserve"> T</m:t>
            </m:r>
          </m:num>
          <m:den>
            <m:r>
              <w:rPr>
                <w:rFonts w:ascii="Cambria Math" w:hAnsi="Cambria Math"/>
              </w:rPr>
              <m:t xml:space="preserve">4 </m:t>
            </m:r>
          </m:den>
        </m:f>
      </m:oMath>
      <w:r w:rsidRPr="00BC31E0">
        <w:rPr>
          <w:rFonts w:hint="eastAsia"/>
        </w:rPr>
        <w:t>，かつ焼入れ端面又は直近面から</w:t>
      </w:r>
      <m:oMath>
        <m:f>
          <m:fPr>
            <m:type m:val="lin"/>
            <m:ctrlPr>
              <w:rPr>
                <w:rFonts w:ascii="Cambria Math" w:hAnsi="Cambria Math"/>
                <w:i/>
              </w:rPr>
            </m:ctrlPr>
          </m:fPr>
          <m:num>
            <m:r>
              <w:rPr>
                <w:rFonts w:ascii="Cambria Math" w:hAnsi="Cambria Math"/>
              </w:rPr>
              <m:t xml:space="preserve"> 2T</m:t>
            </m:r>
          </m:num>
          <m:den>
            <m:r>
              <w:rPr>
                <w:rFonts w:ascii="Cambria Math" w:hAnsi="Cambria Math"/>
              </w:rPr>
              <m:t xml:space="preserve">3 </m:t>
            </m:r>
          </m:den>
        </m:f>
      </m:oMath>
      <w:r w:rsidRPr="00BC31E0">
        <w:rPr>
          <w:rFonts w:hint="eastAsia"/>
        </w:rPr>
        <w:t>の位置とする。</w:t>
      </w:r>
    </w:p>
    <w:p w14:paraId="7FB16263" w14:textId="77777777" w:rsidR="00CC55FC" w:rsidRPr="00BC31E0" w:rsidRDefault="00CC55FC" w:rsidP="005C2001">
      <w:pPr>
        <w:ind w:left="737" w:firstLineChars="100" w:firstLine="210"/>
      </w:pPr>
      <w:r w:rsidRPr="00BC31E0">
        <w:rPr>
          <w:rFonts w:hint="eastAsia"/>
        </w:rPr>
        <w:t>ただし，空中冷却をする時効硬化鋼及び析出硬化鋼</w:t>
      </w:r>
      <w:r w:rsidRPr="00BC31E0">
        <w:rPr>
          <w:rFonts w:hint="eastAsia"/>
        </w:rPr>
        <w:t>(</w:t>
      </w:r>
      <w:r w:rsidRPr="00BC31E0">
        <w:rPr>
          <w:rFonts w:hint="eastAsia"/>
        </w:rPr>
        <w:t>例えば，</w:t>
      </w:r>
      <w:r w:rsidRPr="00BC31E0">
        <w:rPr>
          <w:rFonts w:hint="eastAsia"/>
        </w:rPr>
        <w:t>SA-564</w:t>
      </w:r>
      <w:r w:rsidR="0002010C" w:rsidRPr="00BC31E0">
        <w:rPr>
          <w:rFonts w:hint="eastAsia"/>
        </w:rPr>
        <w:t>M</w:t>
      </w:r>
      <w:r w:rsidRPr="00BC31E0">
        <w:rPr>
          <w:rFonts w:hint="eastAsia"/>
        </w:rPr>
        <w:t xml:space="preserve"> Type 630</w:t>
      </w:r>
      <w:r w:rsidRPr="00BC31E0">
        <w:rPr>
          <w:rFonts w:hint="eastAsia"/>
        </w:rPr>
        <w:t>，</w:t>
      </w:r>
      <w:r w:rsidRPr="00BC31E0">
        <w:rPr>
          <w:rFonts w:hint="eastAsia"/>
        </w:rPr>
        <w:t>SA-453</w:t>
      </w:r>
      <w:r w:rsidR="0002010C" w:rsidRPr="00BC31E0">
        <w:rPr>
          <w:rFonts w:hint="eastAsia"/>
        </w:rPr>
        <w:t>M</w:t>
      </w:r>
      <w:r w:rsidRPr="00BC31E0">
        <w:rPr>
          <w:rFonts w:hint="eastAsia"/>
        </w:rPr>
        <w:t xml:space="preserve"> </w:t>
      </w:r>
      <w:r w:rsidR="0002010C" w:rsidRPr="00BC31E0">
        <w:rPr>
          <w:rFonts w:hint="eastAsia"/>
        </w:rPr>
        <w:t xml:space="preserve">Gr. </w:t>
      </w:r>
      <w:r w:rsidRPr="00BC31E0">
        <w:rPr>
          <w:rFonts w:hint="eastAsia"/>
        </w:rPr>
        <w:t>660</w:t>
      </w:r>
      <w:r w:rsidRPr="00BC31E0">
        <w:rPr>
          <w:rFonts w:hint="eastAsia"/>
        </w:rPr>
        <w:t>，</w:t>
      </w:r>
      <w:r w:rsidRPr="00BC31E0">
        <w:rPr>
          <w:rFonts w:hint="eastAsia"/>
        </w:rPr>
        <w:t>SA-638</w:t>
      </w:r>
      <w:r w:rsidR="0002010C" w:rsidRPr="00BC31E0">
        <w:rPr>
          <w:rFonts w:hint="eastAsia"/>
        </w:rPr>
        <w:t>M</w:t>
      </w:r>
      <w:r w:rsidRPr="00BC31E0">
        <w:rPr>
          <w:rFonts w:hint="eastAsia"/>
        </w:rPr>
        <w:t xml:space="preserve"> </w:t>
      </w:r>
      <w:r w:rsidR="0002010C" w:rsidRPr="00BC31E0">
        <w:rPr>
          <w:rFonts w:hint="eastAsia"/>
        </w:rPr>
        <w:t xml:space="preserve">Gr. </w:t>
      </w:r>
      <w:r w:rsidRPr="00BC31E0">
        <w:rPr>
          <w:rFonts w:hint="eastAsia"/>
        </w:rPr>
        <w:t>660</w:t>
      </w:r>
      <w:r w:rsidRPr="00BC31E0">
        <w:rPr>
          <w:rFonts w:hint="eastAsia"/>
        </w:rPr>
        <w:t>，</w:t>
      </w:r>
      <w:r w:rsidRPr="00BC31E0">
        <w:rPr>
          <w:rFonts w:hint="eastAsia"/>
        </w:rPr>
        <w:t>SA-705</w:t>
      </w:r>
      <w:r w:rsidR="0002010C" w:rsidRPr="00BC31E0">
        <w:rPr>
          <w:rFonts w:hint="eastAsia"/>
        </w:rPr>
        <w:t>M</w:t>
      </w:r>
      <w:r w:rsidRPr="00BC31E0">
        <w:rPr>
          <w:rFonts w:hint="eastAsia"/>
        </w:rPr>
        <w:t xml:space="preserve"> Type 630</w:t>
      </w:r>
      <w:r w:rsidRPr="00BC31E0">
        <w:rPr>
          <w:rFonts w:hint="eastAsia"/>
        </w:rPr>
        <w:t>，</w:t>
      </w:r>
      <w:r w:rsidRPr="00BC31E0">
        <w:rPr>
          <w:rFonts w:hint="eastAsia"/>
        </w:rPr>
        <w:t>SA-564</w:t>
      </w:r>
      <w:r w:rsidR="0002010C" w:rsidRPr="00BC31E0">
        <w:rPr>
          <w:rFonts w:hint="eastAsia"/>
        </w:rPr>
        <w:t>M</w:t>
      </w:r>
      <w:r w:rsidRPr="00BC31E0">
        <w:rPr>
          <w:rFonts w:hint="eastAsia"/>
        </w:rPr>
        <w:t xml:space="preserve"> Type XM-12</w:t>
      </w:r>
      <w:r w:rsidR="00BA161B" w:rsidRPr="00BC31E0">
        <w:rPr>
          <w:rFonts w:hint="eastAsia"/>
        </w:rPr>
        <w:t>など</w:t>
      </w:r>
      <w:r w:rsidRPr="00BC31E0">
        <w:rPr>
          <w:rFonts w:hint="eastAsia"/>
        </w:rPr>
        <w:t>)</w:t>
      </w:r>
      <w:r w:rsidRPr="00BC31E0">
        <w:rPr>
          <w:rFonts w:hint="eastAsia"/>
        </w:rPr>
        <w:t>については，熱処理を受けた端部から直径又は厚さ方向に対して</w:t>
      </w:r>
      <m:oMath>
        <m:f>
          <m:fPr>
            <m:type m:val="lin"/>
            <m:ctrlPr>
              <w:rPr>
                <w:rFonts w:ascii="Cambria Math" w:hAnsi="Cambria Math"/>
                <w:i/>
              </w:rPr>
            </m:ctrlPr>
          </m:fPr>
          <m:num>
            <m:r>
              <w:rPr>
                <w:rFonts w:ascii="Cambria Math" w:hAnsi="Cambria Math"/>
              </w:rPr>
              <m:t xml:space="preserve"> T</m:t>
            </m:r>
          </m:num>
          <m:den>
            <m:r>
              <w:rPr>
                <w:rFonts w:ascii="Cambria Math" w:hAnsi="Cambria Math"/>
              </w:rPr>
              <m:t xml:space="preserve">4 </m:t>
            </m:r>
          </m:den>
        </m:f>
      </m:oMath>
      <w:r w:rsidRPr="00BC31E0">
        <w:rPr>
          <w:rFonts w:hint="eastAsia"/>
        </w:rPr>
        <w:t>の位置としてよい。</w:t>
      </w:r>
    </w:p>
    <w:p w14:paraId="531863BA" w14:textId="77777777" w:rsidR="00CC55FC" w:rsidRPr="00BC31E0" w:rsidRDefault="00CC55FC" w:rsidP="007E26D6">
      <w:pPr>
        <w:pStyle w:val="a4"/>
        <w:numPr>
          <w:ilvl w:val="0"/>
          <w:numId w:val="36"/>
        </w:numPr>
        <w:ind w:leftChars="0" w:left="738" w:hanging="454"/>
      </w:pPr>
      <w:r w:rsidRPr="00BC31E0">
        <w:t>型鍛造又は熱処理前に，最終製品形状程度に機械加工される極厚又は複雑形状の鍛造品</w:t>
      </w:r>
      <w:r w:rsidRPr="00BC31E0">
        <w:lastRenderedPageBreak/>
        <w:t>試験片は，製品材料の余長から主鍛造方向に平行に採取する。製作者が作成した図面に，最終製品が供用中に高い引張応力をうける表面を示す。</w:t>
      </w:r>
      <w:r w:rsidR="00127D67" w:rsidRPr="00BC31E0">
        <w:rPr>
          <w:rFonts w:hint="eastAsia"/>
        </w:rPr>
        <w:t>試験片の採取位置は，</w:t>
      </w:r>
      <w:r w:rsidRPr="00BC31E0">
        <w:t>この面とそれに最も近接した熱処理面との距離のうちで最大の</w:t>
      </w:r>
      <w:r w:rsidR="00250E3F" w:rsidRPr="00BC31E0">
        <w:rPr>
          <w:rFonts w:hint="eastAsia"/>
        </w:rPr>
        <w:t>距離</w:t>
      </w:r>
      <w:r w:rsidRPr="00BC31E0">
        <w:t>以上，熱処理面から離れた</w:t>
      </w:r>
      <w:r w:rsidR="00127D67" w:rsidRPr="00BC31E0">
        <w:rPr>
          <w:rFonts w:hint="eastAsia"/>
        </w:rPr>
        <w:t>位置</w:t>
      </w:r>
      <w:r w:rsidRPr="00BC31E0">
        <w:t>で，かつ，第二の熱処理面から上記距離の</w:t>
      </w:r>
      <w:r w:rsidRPr="00BC31E0">
        <w:rPr>
          <w:rFonts w:asciiTheme="minorHAnsi" w:hAnsiTheme="minorHAnsi"/>
        </w:rPr>
        <w:t>2</w:t>
      </w:r>
      <w:r w:rsidRPr="00BC31E0">
        <w:t>倍以上</w:t>
      </w:r>
      <w:r w:rsidRPr="00BC31E0">
        <w:rPr>
          <w:rFonts w:hint="eastAsia"/>
        </w:rPr>
        <w:t>離れ</w:t>
      </w:r>
      <w:r w:rsidRPr="00BC31E0">
        <w:t>た</w:t>
      </w:r>
      <w:r w:rsidR="00127D67" w:rsidRPr="00BC31E0">
        <w:rPr>
          <w:rFonts w:hint="eastAsia"/>
        </w:rPr>
        <w:t>位置</w:t>
      </w:r>
      <w:r w:rsidRPr="00BC31E0">
        <w:t>とする。ただし，試験片</w:t>
      </w:r>
      <w:r w:rsidR="005F34B5" w:rsidRPr="00BC31E0">
        <w:rPr>
          <w:rFonts w:hint="eastAsia"/>
        </w:rPr>
        <w:t>の採取位置</w:t>
      </w:r>
      <w:r w:rsidRPr="00BC31E0">
        <w:t>は</w:t>
      </w:r>
      <w:r w:rsidR="00127D67" w:rsidRPr="00BC31E0">
        <w:rPr>
          <w:rFonts w:hint="eastAsia"/>
        </w:rPr>
        <w:t>，</w:t>
      </w:r>
      <w:r w:rsidRPr="00BC31E0">
        <w:t>熱処理面から</w:t>
      </w:r>
      <w:r w:rsidRPr="00BC31E0">
        <w:rPr>
          <w:rFonts w:ascii="Cambria Math" w:hAnsi="Cambria Math"/>
        </w:rPr>
        <w:t>19 mm</w:t>
      </w:r>
      <w:r w:rsidRPr="00BC31E0">
        <w:t>以上，第二の熱処理面から</w:t>
      </w:r>
      <w:r w:rsidRPr="00BC31E0">
        <w:rPr>
          <w:rFonts w:ascii="Cambria Math" w:hAnsi="Cambria Math"/>
        </w:rPr>
        <w:t>38 mm</w:t>
      </w:r>
      <w:r w:rsidRPr="00BC31E0">
        <w:t>以上離れていなければならない。</w:t>
      </w:r>
    </w:p>
    <w:p w14:paraId="69B6C8D5" w14:textId="77777777" w:rsidR="00CC55FC" w:rsidRPr="00BC31E0" w:rsidRDefault="00CC55FC" w:rsidP="007E26D6">
      <w:pPr>
        <w:pStyle w:val="a4"/>
        <w:numPr>
          <w:ilvl w:val="0"/>
          <w:numId w:val="37"/>
        </w:numPr>
        <w:ind w:leftChars="0" w:left="738" w:hanging="454"/>
      </w:pPr>
      <w:r w:rsidRPr="00BC31E0">
        <w:rPr>
          <w:rFonts w:hint="eastAsia"/>
        </w:rPr>
        <w:t>製作者の事前承認をもって，試験片は別鍛造材から次の</w:t>
      </w:r>
      <w:r w:rsidR="00843841" w:rsidRPr="00BC31E0">
        <w:rPr>
          <w:rFonts w:asciiTheme="majorEastAsia" w:eastAsiaTheme="majorEastAsia" w:hAnsiTheme="majorEastAsia" w:hint="eastAsia"/>
          <w:b/>
        </w:rPr>
        <w:t>4.1)</w:t>
      </w:r>
      <w:r w:rsidR="00843841" w:rsidRPr="00BC31E0">
        <w:rPr>
          <w:rFonts w:hint="eastAsia"/>
        </w:rPr>
        <w:t>～</w:t>
      </w:r>
      <w:r w:rsidR="00843841" w:rsidRPr="00BC31E0">
        <w:rPr>
          <w:rFonts w:asciiTheme="majorEastAsia" w:eastAsiaTheme="majorEastAsia" w:hAnsiTheme="majorEastAsia" w:hint="eastAsia"/>
          <w:b/>
        </w:rPr>
        <w:t>4.3)</w:t>
      </w:r>
      <w:r w:rsidRPr="00BC31E0">
        <w:rPr>
          <w:rFonts w:hint="eastAsia"/>
        </w:rPr>
        <w:t>により採取</w:t>
      </w:r>
      <w:r w:rsidR="00677001" w:rsidRPr="00BC31E0">
        <w:rPr>
          <w:rFonts w:hint="eastAsia"/>
        </w:rPr>
        <w:t>する</w:t>
      </w:r>
      <w:r w:rsidRPr="00BC31E0">
        <w:rPr>
          <w:rFonts w:hint="eastAsia"/>
        </w:rPr>
        <w:t>。</w:t>
      </w:r>
    </w:p>
    <w:p w14:paraId="244393A8" w14:textId="77777777" w:rsidR="00CC55FC" w:rsidRPr="00BC31E0" w:rsidRDefault="00CC55FC" w:rsidP="003E5FC3">
      <w:pPr>
        <w:pStyle w:val="a4"/>
        <w:numPr>
          <w:ilvl w:val="0"/>
          <w:numId w:val="38"/>
        </w:numPr>
        <w:ind w:leftChars="0" w:left="1134" w:hanging="567"/>
      </w:pPr>
      <w:r w:rsidRPr="00BC31E0">
        <w:rPr>
          <w:rFonts w:hint="eastAsia"/>
        </w:rPr>
        <w:t>代表する製品材と同一溶鋼で，実質的に同程度の鍛造比及び加工を受ける。</w:t>
      </w:r>
    </w:p>
    <w:p w14:paraId="4F846CAC" w14:textId="77777777" w:rsidR="00CC55FC" w:rsidRPr="00BC31E0" w:rsidRDefault="00CC55FC" w:rsidP="007E26D6">
      <w:pPr>
        <w:pStyle w:val="a4"/>
        <w:numPr>
          <w:ilvl w:val="0"/>
          <w:numId w:val="38"/>
        </w:numPr>
        <w:ind w:leftChars="0" w:left="1134" w:hanging="567"/>
      </w:pPr>
      <w:r w:rsidRPr="00BC31E0">
        <w:rPr>
          <w:rFonts w:hint="eastAsia"/>
        </w:rPr>
        <w:t>製品材と同一熱処理炉で，同一条件で熱処理する。</w:t>
      </w:r>
    </w:p>
    <w:p w14:paraId="2649D7C1" w14:textId="77777777" w:rsidR="00CC55FC" w:rsidRPr="00BC31E0" w:rsidRDefault="00CC55FC" w:rsidP="007E26D6">
      <w:pPr>
        <w:pStyle w:val="a4"/>
        <w:numPr>
          <w:ilvl w:val="0"/>
          <w:numId w:val="38"/>
        </w:numPr>
        <w:ind w:leftChars="0" w:left="1134" w:hanging="567"/>
      </w:pPr>
      <w:r w:rsidRPr="00BC31E0">
        <w:rPr>
          <w:rFonts w:hint="eastAsia"/>
        </w:rPr>
        <w:t>製品材と同じ公称厚さである。</w:t>
      </w:r>
    </w:p>
    <w:p w14:paraId="79E6D5B6" w14:textId="77777777" w:rsidR="00CC55FC" w:rsidRPr="00BC31E0" w:rsidRDefault="00CC55FC" w:rsidP="003C644B">
      <w:pPr>
        <w:pStyle w:val="a4"/>
        <w:numPr>
          <w:ilvl w:val="0"/>
          <w:numId w:val="37"/>
        </w:numPr>
        <w:ind w:leftChars="0" w:left="738" w:hanging="454"/>
      </w:pPr>
      <w:r w:rsidRPr="00BC31E0">
        <w:rPr>
          <w:rFonts w:asciiTheme="majorEastAsia" w:eastAsiaTheme="majorEastAsia" w:hAnsiTheme="majorEastAsia" w:hint="eastAsia"/>
          <w:b/>
        </w:rPr>
        <w:t>大型鍛造部品の場合</w:t>
      </w:r>
      <w:r w:rsidR="003C644B" w:rsidRPr="00BC31E0">
        <w:rPr>
          <w:rFonts w:hint="eastAsia"/>
        </w:rPr>
        <w:t xml:space="preserve">　</w:t>
      </w:r>
      <w:r w:rsidRPr="00BC31E0">
        <w:rPr>
          <w:rFonts w:hint="eastAsia"/>
        </w:rPr>
        <w:t>試験材及び試験片の採取方法は上記</w:t>
      </w:r>
      <w:r w:rsidRPr="00BC31E0">
        <w:rPr>
          <w:rFonts w:ascii="ＭＳ ゴシック" w:eastAsia="ＭＳ ゴシック" w:hint="eastAsia"/>
          <w:b/>
        </w:rPr>
        <w:t>1)</w:t>
      </w:r>
      <w:r w:rsidRPr="00BC31E0">
        <w:rPr>
          <w:rFonts w:hint="eastAsia"/>
        </w:rPr>
        <w:t>～</w:t>
      </w:r>
      <w:r w:rsidRPr="00BC31E0">
        <w:rPr>
          <w:rFonts w:ascii="ＭＳ ゴシック" w:eastAsia="ＭＳ ゴシック" w:hint="eastAsia"/>
          <w:b/>
        </w:rPr>
        <w:t>4)</w:t>
      </w:r>
      <w:r w:rsidRPr="00BC31E0">
        <w:rPr>
          <w:rFonts w:hint="eastAsia"/>
        </w:rPr>
        <w:t>による。必要な試験片の数は</w:t>
      </w:r>
      <w:r w:rsidR="009A7C6A" w:rsidRPr="00BC31E0">
        <w:rPr>
          <w:rFonts w:hint="eastAsia"/>
        </w:rPr>
        <w:t>，</w:t>
      </w:r>
      <w:r w:rsidRPr="00BC31E0">
        <w:rPr>
          <w:rFonts w:ascii="ＭＳ ゴシック" w:eastAsia="ＭＳ ゴシック" w:hint="eastAsia"/>
          <w:b/>
        </w:rPr>
        <w:t>5.2.6 a)</w:t>
      </w:r>
      <w:r w:rsidRPr="00BC31E0">
        <w:rPr>
          <w:rFonts w:hint="eastAsia"/>
        </w:rPr>
        <w:t>及び</w:t>
      </w:r>
      <w:r w:rsidR="007426B8" w:rsidRPr="00BC31E0">
        <w:rPr>
          <w:rFonts w:ascii="ＭＳ ゴシック" w:eastAsia="ＭＳ ゴシック" w:hint="eastAsia"/>
          <w:b/>
        </w:rPr>
        <w:t xml:space="preserve">5.2.6 </w:t>
      </w:r>
      <w:r w:rsidRPr="00BC31E0">
        <w:rPr>
          <w:rFonts w:ascii="ＭＳ ゴシック" w:eastAsia="ＭＳ ゴシック" w:hint="eastAsia"/>
          <w:b/>
        </w:rPr>
        <w:t>b)</w:t>
      </w:r>
      <w:r w:rsidR="00E16737" w:rsidRPr="00BC31E0">
        <w:rPr>
          <w:rFonts w:hint="eastAsia"/>
        </w:rPr>
        <w:t>に従って</w:t>
      </w:r>
      <w:r w:rsidRPr="00BC31E0">
        <w:rPr>
          <w:rFonts w:hint="eastAsia"/>
        </w:rPr>
        <w:t>鍛造部品の両端から採取す</w:t>
      </w:r>
      <w:r w:rsidR="0029528E" w:rsidRPr="00BC31E0">
        <w:rPr>
          <w:rFonts w:hint="eastAsia"/>
        </w:rPr>
        <w:t>る。ただし，その端部のいずれかは</w:t>
      </w:r>
      <w:r w:rsidR="00712EDF" w:rsidRPr="00BC31E0">
        <w:rPr>
          <w:rFonts w:hint="eastAsia"/>
        </w:rPr>
        <w:t>，</w:t>
      </w:r>
      <w:r w:rsidR="0029528E" w:rsidRPr="00BC31E0">
        <w:rPr>
          <w:rFonts w:hint="eastAsia"/>
        </w:rPr>
        <w:t>鍛造部品全体の肉厚寸法を代表しなければならない</w:t>
      </w:r>
      <w:r w:rsidRPr="00BC31E0">
        <w:rPr>
          <w:rFonts w:hint="eastAsia"/>
        </w:rPr>
        <w:t>。</w:t>
      </w:r>
    </w:p>
    <w:p w14:paraId="27A195B7" w14:textId="77777777" w:rsidR="00CC55FC" w:rsidRPr="00BC31E0" w:rsidRDefault="00CC55FC" w:rsidP="007E26D6">
      <w:pPr>
        <w:pStyle w:val="a4"/>
        <w:numPr>
          <w:ilvl w:val="0"/>
          <w:numId w:val="39"/>
        </w:numPr>
        <w:ind w:leftChars="0" w:left="454" w:hanging="454"/>
      </w:pPr>
      <w:r w:rsidRPr="00BC31E0">
        <w:rPr>
          <w:rFonts w:asciiTheme="majorEastAsia" w:eastAsiaTheme="majorEastAsia" w:hAnsiTheme="majorEastAsia" w:hint="eastAsia"/>
          <w:b/>
        </w:rPr>
        <w:t>棒材及びボルト材</w:t>
      </w:r>
      <w:r w:rsidRPr="00BC31E0">
        <w:rPr>
          <w:rFonts w:hint="eastAsia"/>
        </w:rPr>
        <w:t xml:space="preserve">　棒材及びボルト材の試験片の採取方法は，次の</w:t>
      </w:r>
      <w:r w:rsidRPr="00BC31E0">
        <w:rPr>
          <w:rFonts w:asciiTheme="majorEastAsia" w:eastAsiaTheme="majorEastAsia" w:hAnsiTheme="majorEastAsia" w:hint="eastAsia"/>
          <w:b/>
        </w:rPr>
        <w:t>1)</w:t>
      </w:r>
      <w:r w:rsidRPr="00BC31E0">
        <w:rPr>
          <w:rFonts w:hint="eastAsia"/>
        </w:rPr>
        <w:t>，</w:t>
      </w:r>
      <w:r w:rsidRPr="00BC31E0">
        <w:rPr>
          <w:rFonts w:asciiTheme="majorEastAsia" w:eastAsiaTheme="majorEastAsia" w:hAnsiTheme="majorEastAsia" w:hint="eastAsia"/>
          <w:b/>
        </w:rPr>
        <w:t>2)</w:t>
      </w:r>
      <w:r w:rsidRPr="00BC31E0">
        <w:rPr>
          <w:rFonts w:hint="eastAsia"/>
        </w:rPr>
        <w:t>による。</w:t>
      </w:r>
    </w:p>
    <w:p w14:paraId="7CF944D9" w14:textId="77777777" w:rsidR="00CC55FC" w:rsidRPr="00BC31E0" w:rsidRDefault="00CC55FC" w:rsidP="007E26D6">
      <w:pPr>
        <w:pStyle w:val="a4"/>
        <w:numPr>
          <w:ilvl w:val="0"/>
          <w:numId w:val="40"/>
        </w:numPr>
        <w:ind w:leftChars="0" w:left="738" w:hanging="454"/>
      </w:pPr>
      <w:r w:rsidRPr="00BC31E0">
        <w:rPr>
          <w:rFonts w:asciiTheme="majorEastAsia" w:eastAsiaTheme="majorEastAsia" w:hAnsiTheme="majorEastAsia" w:hint="eastAsia"/>
          <w:b/>
        </w:rPr>
        <w:t>直径又は厚さが</w:t>
      </w:r>
      <w:r w:rsidRPr="00BC31E0">
        <w:rPr>
          <w:rFonts w:asciiTheme="majorEastAsia" w:eastAsiaTheme="majorEastAsia" w:hAnsiTheme="majorEastAsia"/>
          <w:b/>
        </w:rPr>
        <w:t>50 mm</w:t>
      </w:r>
      <w:r w:rsidRPr="00BC31E0">
        <w:rPr>
          <w:rFonts w:asciiTheme="majorEastAsia" w:eastAsiaTheme="majorEastAsia" w:hAnsiTheme="majorEastAsia" w:hint="eastAsia"/>
          <w:b/>
        </w:rPr>
        <w:t>未満の場合</w:t>
      </w:r>
      <w:r w:rsidRPr="00BC31E0">
        <w:rPr>
          <w:rFonts w:hint="eastAsia"/>
        </w:rPr>
        <w:t xml:space="preserve">　適用材料仕様書の規定により試験片を採取する。</w:t>
      </w:r>
    </w:p>
    <w:p w14:paraId="01D341F4" w14:textId="77777777" w:rsidR="00CC55FC" w:rsidRPr="00BC31E0" w:rsidRDefault="00CC55FC" w:rsidP="007E26D6">
      <w:pPr>
        <w:pStyle w:val="a4"/>
        <w:numPr>
          <w:ilvl w:val="0"/>
          <w:numId w:val="40"/>
        </w:numPr>
        <w:ind w:leftChars="0" w:left="738" w:hanging="454"/>
      </w:pPr>
      <w:r w:rsidRPr="00BC31E0">
        <w:rPr>
          <w:rFonts w:asciiTheme="majorEastAsia" w:eastAsiaTheme="majorEastAsia" w:hAnsiTheme="majorEastAsia" w:hint="eastAsia"/>
          <w:b/>
        </w:rPr>
        <w:t>直径又は厚さが</w:t>
      </w:r>
      <w:r w:rsidRPr="00BC31E0">
        <w:rPr>
          <w:rFonts w:asciiTheme="majorEastAsia" w:eastAsiaTheme="majorEastAsia" w:hAnsiTheme="majorEastAsia"/>
          <w:b/>
        </w:rPr>
        <w:t>50 mm</w:t>
      </w:r>
      <w:r w:rsidRPr="00BC31E0">
        <w:rPr>
          <w:rFonts w:asciiTheme="majorEastAsia" w:eastAsiaTheme="majorEastAsia" w:hAnsiTheme="majorEastAsia" w:hint="eastAsia"/>
          <w:b/>
        </w:rPr>
        <w:t>以上の場合</w:t>
      </w:r>
      <w:r w:rsidRPr="00BC31E0">
        <w:rPr>
          <w:rFonts w:hint="eastAsia"/>
        </w:rPr>
        <w:t xml:space="preserve">　試験点</w:t>
      </w:r>
      <w:r w:rsidRPr="00BC31E0">
        <w:rPr>
          <w:rFonts w:hint="eastAsia"/>
        </w:rPr>
        <w:t>(</w:t>
      </w:r>
      <w:r w:rsidRPr="00BC31E0">
        <w:rPr>
          <w:rFonts w:hint="eastAsia"/>
        </w:rPr>
        <w:t>引張試験片ゲージ長さの中間又は衝撃試験片のノッチ下の部分</w:t>
      </w:r>
      <w:r w:rsidRPr="00BC31E0">
        <w:rPr>
          <w:rFonts w:hint="eastAsia"/>
        </w:rPr>
        <w:t>)</w:t>
      </w:r>
      <w:r w:rsidRPr="00BC31E0">
        <w:rPr>
          <w:rFonts w:hint="eastAsia"/>
        </w:rPr>
        <w:t>の位置は，外側圧延面から最小</w:t>
      </w:r>
      <m:oMath>
        <m:f>
          <m:fPr>
            <m:type m:val="lin"/>
            <m:ctrlPr>
              <w:rPr>
                <w:rFonts w:ascii="Cambria Math" w:hAnsi="Cambria Math"/>
                <w:i/>
              </w:rPr>
            </m:ctrlPr>
          </m:fPr>
          <m:num>
            <m:r>
              <w:rPr>
                <w:rFonts w:ascii="Cambria Math" w:hAnsi="Cambria Math"/>
              </w:rPr>
              <m:t xml:space="preserve"> T</m:t>
            </m:r>
          </m:num>
          <m:den>
            <m:r>
              <w:rPr>
                <w:rFonts w:ascii="Cambria Math" w:hAnsi="Cambria Math"/>
              </w:rPr>
              <m:t xml:space="preserve">4 </m:t>
            </m:r>
          </m:den>
        </m:f>
      </m:oMath>
      <w:r w:rsidRPr="00BC31E0">
        <w:rPr>
          <w:rFonts w:hint="eastAsia"/>
        </w:rPr>
        <w:t>の所で，熱処理を受けた端部から</w:t>
      </w:r>
      <m:oMath>
        <m:f>
          <m:fPr>
            <m:type m:val="lin"/>
            <m:ctrlPr>
              <w:rPr>
                <w:rFonts w:ascii="Cambria Math" w:hAnsi="Cambria Math"/>
                <w:i/>
              </w:rPr>
            </m:ctrlPr>
          </m:fPr>
          <m:num>
            <m:r>
              <w:rPr>
                <w:rFonts w:ascii="Cambria Math" w:hAnsi="Cambria Math"/>
              </w:rPr>
              <m:t xml:space="preserve"> 2T</m:t>
            </m:r>
          </m:num>
          <m:den>
            <m:r>
              <w:rPr>
                <w:rFonts w:ascii="Cambria Math" w:hAnsi="Cambria Math"/>
              </w:rPr>
              <m:t xml:space="preserve">3 </m:t>
            </m:r>
          </m:den>
        </m:f>
      </m:oMath>
      <w:r w:rsidRPr="00BC31E0">
        <w:rPr>
          <w:rFonts w:hint="eastAsia"/>
        </w:rPr>
        <w:t>以上離れていなければならない。ただし，空中冷却をする時効硬化鋼及び析出硬化鋼</w:t>
      </w:r>
      <w:r w:rsidRPr="00BC31E0">
        <w:rPr>
          <w:rFonts w:hint="eastAsia"/>
        </w:rPr>
        <w:t>(</w:t>
      </w:r>
      <w:r w:rsidRPr="00BC31E0">
        <w:rPr>
          <w:rFonts w:hint="eastAsia"/>
        </w:rPr>
        <w:t>例えば，</w:t>
      </w:r>
      <w:r w:rsidRPr="00BC31E0">
        <w:rPr>
          <w:rFonts w:hint="eastAsia"/>
        </w:rPr>
        <w:t>SA-564</w:t>
      </w:r>
      <w:r w:rsidR="0002010C" w:rsidRPr="00BC31E0">
        <w:rPr>
          <w:rFonts w:hint="eastAsia"/>
        </w:rPr>
        <w:t>M</w:t>
      </w:r>
      <w:r w:rsidRPr="00BC31E0">
        <w:rPr>
          <w:rFonts w:hint="eastAsia"/>
        </w:rPr>
        <w:t xml:space="preserve"> Type 630</w:t>
      </w:r>
      <w:r w:rsidRPr="00BC31E0">
        <w:rPr>
          <w:rFonts w:hint="eastAsia"/>
        </w:rPr>
        <w:t>，</w:t>
      </w:r>
      <w:r w:rsidRPr="00BC31E0">
        <w:rPr>
          <w:rFonts w:hint="eastAsia"/>
        </w:rPr>
        <w:t>SA-453</w:t>
      </w:r>
      <w:r w:rsidR="0002010C" w:rsidRPr="00BC31E0">
        <w:rPr>
          <w:rFonts w:hint="eastAsia"/>
        </w:rPr>
        <w:t>M</w:t>
      </w:r>
      <w:r w:rsidRPr="00BC31E0">
        <w:rPr>
          <w:rFonts w:hint="eastAsia"/>
        </w:rPr>
        <w:t xml:space="preserve"> </w:t>
      </w:r>
      <w:r w:rsidR="0002010C" w:rsidRPr="00BC31E0">
        <w:rPr>
          <w:rFonts w:hint="eastAsia"/>
        </w:rPr>
        <w:t>Gr.</w:t>
      </w:r>
      <w:r w:rsidRPr="00BC31E0">
        <w:rPr>
          <w:rFonts w:hint="eastAsia"/>
        </w:rPr>
        <w:t xml:space="preserve"> 660</w:t>
      </w:r>
      <w:r w:rsidRPr="00BC31E0">
        <w:rPr>
          <w:rFonts w:hint="eastAsia"/>
        </w:rPr>
        <w:t>，</w:t>
      </w:r>
      <w:r w:rsidR="0002010C" w:rsidRPr="00BC31E0">
        <w:rPr>
          <w:rFonts w:hint="eastAsia"/>
        </w:rPr>
        <w:t>SA-63</w:t>
      </w:r>
      <w:r w:rsidRPr="00BC31E0">
        <w:rPr>
          <w:rFonts w:hint="eastAsia"/>
        </w:rPr>
        <w:t>8</w:t>
      </w:r>
      <w:r w:rsidR="0002010C" w:rsidRPr="00BC31E0">
        <w:rPr>
          <w:rFonts w:hint="eastAsia"/>
        </w:rPr>
        <w:t>M</w:t>
      </w:r>
      <w:r w:rsidRPr="00BC31E0">
        <w:rPr>
          <w:rFonts w:hint="eastAsia"/>
        </w:rPr>
        <w:t xml:space="preserve"> </w:t>
      </w:r>
      <w:r w:rsidR="0002010C" w:rsidRPr="00BC31E0">
        <w:rPr>
          <w:rFonts w:hint="eastAsia"/>
        </w:rPr>
        <w:t>Gr.</w:t>
      </w:r>
      <w:r w:rsidRPr="00BC31E0">
        <w:rPr>
          <w:rFonts w:hint="eastAsia"/>
        </w:rPr>
        <w:t xml:space="preserve"> 660</w:t>
      </w:r>
      <w:r w:rsidRPr="00BC31E0">
        <w:rPr>
          <w:rFonts w:hint="eastAsia"/>
        </w:rPr>
        <w:t>，</w:t>
      </w:r>
      <w:r w:rsidRPr="00BC31E0">
        <w:rPr>
          <w:rFonts w:hint="eastAsia"/>
        </w:rPr>
        <w:t>SA-705</w:t>
      </w:r>
      <w:r w:rsidR="0002010C" w:rsidRPr="00BC31E0">
        <w:rPr>
          <w:rFonts w:hint="eastAsia"/>
        </w:rPr>
        <w:t>M</w:t>
      </w:r>
      <w:r w:rsidRPr="00BC31E0">
        <w:rPr>
          <w:rFonts w:hint="eastAsia"/>
        </w:rPr>
        <w:t xml:space="preserve"> Type 630</w:t>
      </w:r>
      <w:r w:rsidRPr="00BC31E0">
        <w:rPr>
          <w:rFonts w:hint="eastAsia"/>
        </w:rPr>
        <w:t>，</w:t>
      </w:r>
      <w:r w:rsidRPr="00BC31E0">
        <w:rPr>
          <w:rFonts w:hint="eastAsia"/>
        </w:rPr>
        <w:t>SA-564</w:t>
      </w:r>
      <w:r w:rsidR="0002010C" w:rsidRPr="00BC31E0">
        <w:rPr>
          <w:rFonts w:hint="eastAsia"/>
        </w:rPr>
        <w:t>M</w:t>
      </w:r>
      <w:r w:rsidRPr="00BC31E0">
        <w:rPr>
          <w:rFonts w:hint="eastAsia"/>
        </w:rPr>
        <w:t xml:space="preserve"> Type XM-12</w:t>
      </w:r>
      <w:r w:rsidR="00910B34" w:rsidRPr="00BC31E0">
        <w:rPr>
          <w:rFonts w:hint="eastAsia"/>
        </w:rPr>
        <w:t>など</w:t>
      </w:r>
      <w:r w:rsidRPr="00BC31E0">
        <w:rPr>
          <w:rFonts w:hint="eastAsia"/>
        </w:rPr>
        <w:t>)</w:t>
      </w:r>
      <w:r w:rsidRPr="00BC31E0">
        <w:rPr>
          <w:rFonts w:hint="eastAsia"/>
        </w:rPr>
        <w:t>については，熱処理を受けた端部から直径又は厚さ方向に対して</w:t>
      </w:r>
      <m:oMath>
        <m:f>
          <m:fPr>
            <m:type m:val="lin"/>
            <m:ctrlPr>
              <w:rPr>
                <w:rFonts w:ascii="Cambria Math" w:hAnsi="Cambria Math"/>
                <w:i/>
              </w:rPr>
            </m:ctrlPr>
          </m:fPr>
          <m:num>
            <m:r>
              <w:rPr>
                <w:rFonts w:ascii="Cambria Math" w:hAnsi="Cambria Math"/>
              </w:rPr>
              <m:t xml:space="preserve"> T</m:t>
            </m:r>
          </m:num>
          <m:den>
            <m:r>
              <w:rPr>
                <w:rFonts w:ascii="Cambria Math" w:hAnsi="Cambria Math"/>
              </w:rPr>
              <m:t xml:space="preserve">4 </m:t>
            </m:r>
          </m:den>
        </m:f>
      </m:oMath>
      <w:r w:rsidRPr="00BC31E0">
        <w:rPr>
          <w:rFonts w:hint="eastAsia"/>
        </w:rPr>
        <w:t>の位置としてよい。ここで，</w:t>
      </w:r>
      <m:oMath>
        <m:r>
          <w:rPr>
            <w:rFonts w:ascii="Cambria Math" w:hAnsi="Cambria Math"/>
          </w:rPr>
          <m:t xml:space="preserve">T </m:t>
        </m:r>
      </m:oMath>
      <w:r w:rsidRPr="00BC31E0">
        <w:rPr>
          <w:rFonts w:hint="eastAsia"/>
        </w:rPr>
        <w:t>は棒材及びボルト材の熱処理時の最大厚さである。</w:t>
      </w:r>
    </w:p>
    <w:p w14:paraId="2095F0B4" w14:textId="77777777" w:rsidR="00CC55FC" w:rsidRPr="00BC31E0" w:rsidRDefault="00CC55FC" w:rsidP="007E26D6">
      <w:pPr>
        <w:pStyle w:val="a4"/>
        <w:numPr>
          <w:ilvl w:val="0"/>
          <w:numId w:val="41"/>
        </w:numPr>
        <w:ind w:leftChars="0" w:left="454" w:hanging="454"/>
      </w:pPr>
      <w:r w:rsidRPr="00BC31E0">
        <w:rPr>
          <w:rFonts w:asciiTheme="majorEastAsia" w:eastAsiaTheme="majorEastAsia" w:hAnsiTheme="majorEastAsia" w:hint="eastAsia"/>
          <w:b/>
        </w:rPr>
        <w:t>配管材</w:t>
      </w:r>
      <w:r w:rsidRPr="00BC31E0">
        <w:rPr>
          <w:rFonts w:hint="eastAsia"/>
        </w:rPr>
        <w:t xml:space="preserve">　配管材の試験片採取方法は，次の</w:t>
      </w:r>
      <w:r w:rsidRPr="00BC31E0">
        <w:rPr>
          <w:rFonts w:asciiTheme="majorEastAsia" w:eastAsiaTheme="majorEastAsia" w:hAnsiTheme="majorEastAsia" w:hint="eastAsia"/>
          <w:b/>
        </w:rPr>
        <w:t>1)</w:t>
      </w:r>
      <w:r w:rsidRPr="00BC31E0">
        <w:rPr>
          <w:rFonts w:hint="eastAsia"/>
        </w:rPr>
        <w:t>，</w:t>
      </w:r>
      <w:r w:rsidRPr="00BC31E0">
        <w:rPr>
          <w:rFonts w:asciiTheme="majorEastAsia" w:eastAsiaTheme="majorEastAsia" w:hAnsiTheme="majorEastAsia" w:hint="eastAsia"/>
          <w:b/>
        </w:rPr>
        <w:t>2)</w:t>
      </w:r>
      <w:r w:rsidRPr="00BC31E0">
        <w:rPr>
          <w:rFonts w:hint="eastAsia"/>
        </w:rPr>
        <w:t>による。</w:t>
      </w:r>
    </w:p>
    <w:p w14:paraId="333FF2AD" w14:textId="77777777" w:rsidR="00CC55FC" w:rsidRPr="00BC31E0" w:rsidRDefault="00CC55FC" w:rsidP="007E26D6">
      <w:pPr>
        <w:pStyle w:val="a4"/>
        <w:numPr>
          <w:ilvl w:val="0"/>
          <w:numId w:val="42"/>
        </w:numPr>
        <w:ind w:leftChars="0" w:left="738" w:hanging="454"/>
      </w:pPr>
      <w:r w:rsidRPr="00BC31E0">
        <w:rPr>
          <w:rFonts w:asciiTheme="majorEastAsia" w:eastAsiaTheme="majorEastAsia" w:hAnsiTheme="majorEastAsia" w:hint="eastAsia"/>
          <w:b/>
        </w:rPr>
        <w:t>厚さが</w:t>
      </w:r>
      <w:r w:rsidRPr="00BC31E0">
        <w:rPr>
          <w:rFonts w:asciiTheme="majorEastAsia" w:eastAsiaTheme="majorEastAsia" w:hAnsiTheme="majorEastAsia"/>
          <w:b/>
        </w:rPr>
        <w:t>50 mm</w:t>
      </w:r>
      <w:r w:rsidRPr="00BC31E0">
        <w:rPr>
          <w:rFonts w:asciiTheme="majorEastAsia" w:eastAsiaTheme="majorEastAsia" w:hAnsiTheme="majorEastAsia" w:hint="eastAsia"/>
          <w:b/>
        </w:rPr>
        <w:t>未満の場合</w:t>
      </w:r>
      <w:r w:rsidRPr="00BC31E0">
        <w:rPr>
          <w:rFonts w:hint="eastAsia"/>
        </w:rPr>
        <w:t xml:space="preserve">　適用材料仕様書の規定により試験片を採取する。</w:t>
      </w:r>
    </w:p>
    <w:p w14:paraId="374D93B1" w14:textId="77777777" w:rsidR="00CC55FC" w:rsidRPr="00BC31E0" w:rsidRDefault="00CC55FC" w:rsidP="007E26D6">
      <w:pPr>
        <w:pStyle w:val="a4"/>
        <w:numPr>
          <w:ilvl w:val="0"/>
          <w:numId w:val="42"/>
        </w:numPr>
        <w:ind w:leftChars="0" w:left="738" w:hanging="454"/>
      </w:pPr>
      <w:r w:rsidRPr="00BC31E0">
        <w:rPr>
          <w:rFonts w:asciiTheme="majorEastAsia" w:eastAsiaTheme="majorEastAsia" w:hAnsiTheme="majorEastAsia" w:hint="eastAsia"/>
          <w:b/>
        </w:rPr>
        <w:t>厚さが</w:t>
      </w:r>
      <w:r w:rsidRPr="00BC31E0">
        <w:rPr>
          <w:rFonts w:asciiTheme="majorEastAsia" w:eastAsiaTheme="majorEastAsia" w:hAnsiTheme="majorEastAsia"/>
          <w:b/>
        </w:rPr>
        <w:t>50 mm</w:t>
      </w:r>
      <w:r w:rsidRPr="00BC31E0">
        <w:rPr>
          <w:rFonts w:asciiTheme="majorEastAsia" w:eastAsiaTheme="majorEastAsia" w:hAnsiTheme="majorEastAsia" w:hint="eastAsia"/>
          <w:b/>
        </w:rPr>
        <w:t>以上の場合</w:t>
      </w:r>
      <w:r w:rsidRPr="00BC31E0">
        <w:rPr>
          <w:rFonts w:hint="eastAsia"/>
        </w:rPr>
        <w:t xml:space="preserve">　適用材料仕様書の規定により試験片を採取する。試験片は，いずれの熱処理面からも配管最大板厚の</w:t>
      </w:r>
      <m:oMath>
        <m:f>
          <m:fPr>
            <m:type m:val="lin"/>
            <m:ctrlPr>
              <w:rPr>
                <w:rFonts w:ascii="Cambria Math" w:hAnsi="Cambria Math"/>
              </w:rPr>
            </m:ctrlPr>
          </m:fPr>
          <m:num>
            <m:r>
              <m:rPr>
                <m:sty m:val="p"/>
              </m:rPr>
              <w:rPr>
                <w:rFonts w:ascii="Cambria Math" w:hAnsi="Cambria Math"/>
              </w:rPr>
              <m:t xml:space="preserve"> 1</m:t>
            </m:r>
          </m:num>
          <m:den>
            <m:r>
              <m:rPr>
                <m:sty m:val="p"/>
              </m:rPr>
              <w:rPr>
                <w:rFonts w:ascii="Cambria Math" w:hAnsi="Cambria Math"/>
              </w:rPr>
              <m:t xml:space="preserve">4 </m:t>
            </m:r>
          </m:den>
        </m:f>
      </m:oMath>
      <w:r w:rsidRPr="00BC31E0">
        <w:rPr>
          <w:rFonts w:hint="eastAsia"/>
        </w:rPr>
        <w:t>以上離し，かつ試験片端面は配管材の熱処理端から配管最大板厚以上離す。試験片は，</w:t>
      </w:r>
      <w:r w:rsidR="00DC160D" w:rsidRPr="00BC31E0">
        <w:rPr>
          <w:rFonts w:hint="eastAsia"/>
        </w:rPr>
        <w:t>全</w:t>
      </w:r>
      <w:r w:rsidRPr="00BC31E0">
        <w:rPr>
          <w:rFonts w:hint="eastAsia"/>
        </w:rPr>
        <w:t>ての熱処理及び成形作業の完了後配管材の余長部から採取する。</w:t>
      </w:r>
    </w:p>
    <w:p w14:paraId="3627B3A9" w14:textId="77777777" w:rsidR="00CC55FC" w:rsidRPr="00BC31E0" w:rsidRDefault="00CC55FC" w:rsidP="00E739D8">
      <w:pPr>
        <w:pStyle w:val="3"/>
        <w:tabs>
          <w:tab w:val="clear" w:pos="284"/>
        </w:tabs>
      </w:pPr>
      <w:r w:rsidRPr="00BC31E0">
        <w:rPr>
          <w:rFonts w:hint="eastAsia"/>
        </w:rPr>
        <w:t>シャルピー衝撃試験片</w:t>
      </w:r>
    </w:p>
    <w:p w14:paraId="2C242360" w14:textId="77777777" w:rsidR="003C3098" w:rsidRPr="00BC31E0" w:rsidRDefault="003C3098" w:rsidP="003C3098">
      <w:pPr>
        <w:ind w:firstLineChars="100" w:firstLine="210"/>
      </w:pPr>
      <w:r w:rsidRPr="00BC31E0">
        <w:rPr>
          <w:rFonts w:hint="eastAsia"/>
        </w:rPr>
        <w:t>シャルピー衝撃試験片の採取方法は，次の</w:t>
      </w:r>
      <w:r w:rsidRPr="00BC31E0">
        <w:rPr>
          <w:rFonts w:asciiTheme="majorEastAsia" w:eastAsiaTheme="majorEastAsia" w:hAnsiTheme="majorEastAsia" w:hint="eastAsia"/>
          <w:b/>
        </w:rPr>
        <w:t>a)</w:t>
      </w:r>
      <w:r w:rsidRPr="00BC31E0">
        <w:rPr>
          <w:rFonts w:hint="eastAsia"/>
        </w:rPr>
        <w:t>～</w:t>
      </w:r>
      <w:r w:rsidRPr="00BC31E0">
        <w:rPr>
          <w:rFonts w:asciiTheme="majorEastAsia" w:eastAsiaTheme="majorEastAsia" w:hAnsiTheme="majorEastAsia" w:hint="eastAsia"/>
          <w:b/>
        </w:rPr>
        <w:t>c)</w:t>
      </w:r>
      <w:r w:rsidRPr="00BC31E0">
        <w:rPr>
          <w:rFonts w:hint="eastAsia"/>
        </w:rPr>
        <w:t>による。</w:t>
      </w:r>
    </w:p>
    <w:p w14:paraId="016DF092" w14:textId="77777777" w:rsidR="00CC55FC" w:rsidRPr="00BC31E0" w:rsidRDefault="00CC55FC" w:rsidP="007E26D6">
      <w:pPr>
        <w:pStyle w:val="a4"/>
        <w:numPr>
          <w:ilvl w:val="0"/>
          <w:numId w:val="43"/>
        </w:numPr>
        <w:ind w:leftChars="0" w:left="454" w:hanging="454"/>
      </w:pPr>
      <w:r w:rsidRPr="00BC31E0">
        <w:rPr>
          <w:rFonts w:asciiTheme="majorEastAsia" w:eastAsiaTheme="majorEastAsia" w:hAnsiTheme="majorEastAsia" w:hint="eastAsia"/>
          <w:b/>
        </w:rPr>
        <w:t>ボルト材</w:t>
      </w:r>
      <w:r w:rsidRPr="00BC31E0">
        <w:rPr>
          <w:rFonts w:hint="eastAsia"/>
        </w:rPr>
        <w:t xml:space="preserve">　ボルト材のシャルピー衝撃試験片の採取方法は，次の</w:t>
      </w:r>
      <w:r w:rsidRPr="00BC31E0">
        <w:rPr>
          <w:rFonts w:asciiTheme="majorEastAsia" w:eastAsiaTheme="majorEastAsia" w:hAnsiTheme="majorEastAsia" w:hint="eastAsia"/>
          <w:b/>
        </w:rPr>
        <w:t>1)</w:t>
      </w:r>
      <w:r w:rsidRPr="00BC31E0">
        <w:rPr>
          <w:rFonts w:hint="eastAsia"/>
        </w:rPr>
        <w:t>～</w:t>
      </w:r>
      <w:r w:rsidRPr="00BC31E0">
        <w:rPr>
          <w:rFonts w:asciiTheme="majorEastAsia" w:eastAsiaTheme="majorEastAsia" w:hAnsiTheme="majorEastAsia" w:hint="eastAsia"/>
          <w:b/>
        </w:rPr>
        <w:t>3)</w:t>
      </w:r>
      <w:r w:rsidRPr="00BC31E0">
        <w:rPr>
          <w:rFonts w:hint="eastAsia"/>
        </w:rPr>
        <w:t>による。</w:t>
      </w:r>
    </w:p>
    <w:p w14:paraId="71B2CA95" w14:textId="77777777" w:rsidR="00CC55FC" w:rsidRPr="00BC31E0" w:rsidRDefault="00CC55FC" w:rsidP="007E26D6">
      <w:pPr>
        <w:pStyle w:val="a4"/>
        <w:numPr>
          <w:ilvl w:val="0"/>
          <w:numId w:val="44"/>
        </w:numPr>
        <w:ind w:leftChars="0" w:left="738" w:hanging="454"/>
      </w:pPr>
      <w:r w:rsidRPr="00BC31E0">
        <w:t>10 mm×10 mm</w:t>
      </w:r>
      <w:r w:rsidRPr="00BC31E0">
        <w:rPr>
          <w:rFonts w:hint="eastAsia"/>
        </w:rPr>
        <w:t>標準試験片とし，ボルト材の軸方向に採取する。</w:t>
      </w:r>
    </w:p>
    <w:p w14:paraId="7312A326" w14:textId="77777777" w:rsidR="00CC55FC" w:rsidRPr="00BC31E0" w:rsidRDefault="00CC55FC" w:rsidP="007E26D6">
      <w:pPr>
        <w:pStyle w:val="a4"/>
        <w:numPr>
          <w:ilvl w:val="0"/>
          <w:numId w:val="44"/>
        </w:numPr>
        <w:ind w:leftChars="0" w:left="738" w:hanging="454"/>
      </w:pPr>
      <w:r w:rsidRPr="00BC31E0">
        <w:rPr>
          <w:rFonts w:asciiTheme="majorEastAsia" w:eastAsiaTheme="majorEastAsia" w:hAnsiTheme="majorEastAsia" w:hint="eastAsia"/>
          <w:b/>
        </w:rPr>
        <w:t>1)</w:t>
      </w:r>
      <w:r w:rsidRPr="00BC31E0">
        <w:rPr>
          <w:rFonts w:hint="eastAsia"/>
        </w:rPr>
        <w:t>が適用できない場合には，サブサイズ試験片を適用</w:t>
      </w:r>
      <w:r w:rsidR="002F6098" w:rsidRPr="00BC31E0">
        <w:rPr>
          <w:rFonts w:hint="eastAsia"/>
        </w:rPr>
        <w:t>する</w:t>
      </w:r>
      <w:r w:rsidRPr="00BC31E0">
        <w:rPr>
          <w:rFonts w:hint="eastAsia"/>
        </w:rPr>
        <w:t>。</w:t>
      </w:r>
    </w:p>
    <w:p w14:paraId="2D09D946" w14:textId="77777777" w:rsidR="00CC55FC" w:rsidRPr="00BC31E0" w:rsidRDefault="00CC55FC" w:rsidP="007E26D6">
      <w:pPr>
        <w:pStyle w:val="a4"/>
        <w:numPr>
          <w:ilvl w:val="0"/>
          <w:numId w:val="44"/>
        </w:numPr>
        <w:ind w:leftChars="0" w:left="738" w:hanging="454"/>
      </w:pPr>
      <w:r w:rsidRPr="00BC31E0">
        <w:rPr>
          <w:rFonts w:asciiTheme="majorEastAsia" w:eastAsiaTheme="majorEastAsia" w:hAnsiTheme="majorEastAsia" w:hint="eastAsia"/>
          <w:b/>
        </w:rPr>
        <w:t>1)</w:t>
      </w:r>
      <w:r w:rsidRPr="00BC31E0">
        <w:rPr>
          <w:rFonts w:ascii="ＭＳ 明朝" w:hAnsi="ＭＳ 明朝" w:hint="eastAsia"/>
        </w:rPr>
        <w:t>と</w:t>
      </w:r>
      <w:r w:rsidRPr="00BC31E0">
        <w:rPr>
          <w:rFonts w:asciiTheme="majorEastAsia" w:eastAsiaTheme="majorEastAsia" w:hAnsiTheme="majorEastAsia" w:cs="Tahoma"/>
          <w:b/>
        </w:rPr>
        <w:t>2</w:t>
      </w:r>
      <w:r w:rsidRPr="00BC31E0">
        <w:rPr>
          <w:rFonts w:asciiTheme="majorEastAsia" w:eastAsiaTheme="majorEastAsia" w:hAnsiTheme="majorEastAsia" w:cs="Tahoma" w:hint="eastAsia"/>
          <w:b/>
        </w:rPr>
        <w:t>)</w:t>
      </w:r>
      <w:r w:rsidRPr="00BC31E0">
        <w:rPr>
          <w:rFonts w:hint="eastAsia"/>
        </w:rPr>
        <w:t>が適用できない場合</w:t>
      </w:r>
      <w:r w:rsidR="004C3340" w:rsidRPr="00BC31E0">
        <w:rPr>
          <w:rFonts w:hint="eastAsia"/>
        </w:rPr>
        <w:t>に</w:t>
      </w:r>
      <w:r w:rsidRPr="00BC31E0">
        <w:rPr>
          <w:rFonts w:hint="eastAsia"/>
        </w:rPr>
        <w:t>は，衝撃試験は必要ない。</w:t>
      </w:r>
    </w:p>
    <w:p w14:paraId="6DE11EA1" w14:textId="77777777" w:rsidR="00CC55FC" w:rsidRPr="00BC31E0" w:rsidRDefault="00CC55FC" w:rsidP="007E26D6">
      <w:pPr>
        <w:pStyle w:val="a4"/>
        <w:numPr>
          <w:ilvl w:val="0"/>
          <w:numId w:val="43"/>
        </w:numPr>
        <w:ind w:leftChars="0" w:left="454" w:hanging="454"/>
      </w:pPr>
      <w:r w:rsidRPr="00BC31E0">
        <w:rPr>
          <w:rFonts w:asciiTheme="majorEastAsia" w:eastAsiaTheme="majorEastAsia" w:hAnsiTheme="majorEastAsia" w:hint="eastAsia"/>
          <w:b/>
        </w:rPr>
        <w:t>溶接部を含まないボルト材以外の耐圧部材</w:t>
      </w:r>
      <w:r w:rsidRPr="00BC31E0">
        <w:rPr>
          <w:rFonts w:hint="eastAsia"/>
        </w:rPr>
        <w:t xml:space="preserve">　溶接部を含まないボルト材以外の耐圧部材のシャルピー衝撃試験片の採取方法は，次の</w:t>
      </w:r>
      <w:r w:rsidRPr="00BC31E0">
        <w:rPr>
          <w:rFonts w:asciiTheme="majorEastAsia" w:eastAsiaTheme="majorEastAsia" w:hAnsiTheme="majorEastAsia" w:hint="eastAsia"/>
          <w:b/>
        </w:rPr>
        <w:t>1)</w:t>
      </w:r>
      <w:r w:rsidRPr="00BC31E0">
        <w:rPr>
          <w:rFonts w:hint="eastAsia"/>
        </w:rPr>
        <w:t>～</w:t>
      </w:r>
      <w:r w:rsidRPr="00BC31E0">
        <w:rPr>
          <w:rFonts w:asciiTheme="majorEastAsia" w:eastAsiaTheme="majorEastAsia" w:hAnsiTheme="majorEastAsia" w:hint="eastAsia"/>
          <w:b/>
        </w:rPr>
        <w:t>4)</w:t>
      </w:r>
      <w:r w:rsidRPr="00BC31E0">
        <w:rPr>
          <w:rFonts w:hint="eastAsia"/>
        </w:rPr>
        <w:t>による。</w:t>
      </w:r>
    </w:p>
    <w:p w14:paraId="7060FC46" w14:textId="77777777" w:rsidR="00CC55FC" w:rsidRPr="00BC31E0" w:rsidRDefault="00CC55FC" w:rsidP="007E26D6">
      <w:pPr>
        <w:pStyle w:val="a4"/>
        <w:numPr>
          <w:ilvl w:val="0"/>
          <w:numId w:val="45"/>
        </w:numPr>
        <w:ind w:leftChars="0" w:left="738" w:hanging="454"/>
      </w:pPr>
      <w:r w:rsidRPr="00BC31E0">
        <w:t>10 mm×10 mm</w:t>
      </w:r>
      <w:r w:rsidR="007560F4" w:rsidRPr="00BC31E0">
        <w:rPr>
          <w:rFonts w:hint="eastAsia"/>
        </w:rPr>
        <w:t>標準試験片とし，試験片の主軸が</w:t>
      </w:r>
      <w:r w:rsidRPr="00BC31E0">
        <w:rPr>
          <w:rFonts w:hint="eastAsia"/>
        </w:rPr>
        <w:t>圧延時の最大伸び方向又は鍛造時の主加工方向に直角になるよう</w:t>
      </w:r>
      <w:r w:rsidR="00423362" w:rsidRPr="00BC31E0">
        <w:rPr>
          <w:rFonts w:hint="eastAsia"/>
        </w:rPr>
        <w:t>に</w:t>
      </w:r>
      <w:r w:rsidRPr="00BC31E0">
        <w:rPr>
          <w:rFonts w:hint="eastAsia"/>
        </w:rPr>
        <w:t>採取する。ノッチ方向は，最大伸び方向又は主加工方向に</w:t>
      </w:r>
      <w:r w:rsidRPr="00BC31E0">
        <w:rPr>
          <w:rFonts w:hint="eastAsia"/>
        </w:rPr>
        <w:lastRenderedPageBreak/>
        <w:t>平行とする。</w:t>
      </w:r>
      <w:r w:rsidRPr="00BC31E0">
        <w:t>10 mm×10 mm</w:t>
      </w:r>
      <w:r w:rsidRPr="00BC31E0">
        <w:rPr>
          <w:rFonts w:hint="eastAsia"/>
        </w:rPr>
        <w:t>標準試験片のノッチを確保するために，</w:t>
      </w:r>
      <w:r w:rsidRPr="00BC31E0">
        <w:rPr>
          <w:rFonts w:asciiTheme="majorEastAsia" w:eastAsiaTheme="majorEastAsia" w:hAnsiTheme="majorEastAsia" w:hint="eastAsia"/>
          <w:b/>
        </w:rPr>
        <w:t>図5.2.1(b-2)</w:t>
      </w:r>
      <w:r w:rsidRPr="00BC31E0">
        <w:rPr>
          <w:rFonts w:hint="eastAsia"/>
        </w:rPr>
        <w:t>に示す方法を用いてもよい。</w:t>
      </w:r>
    </w:p>
    <w:p w14:paraId="53BAF7F3" w14:textId="77777777" w:rsidR="00CC55FC" w:rsidRPr="00BC31E0" w:rsidRDefault="00CC55FC" w:rsidP="007E26D6">
      <w:pPr>
        <w:pStyle w:val="a4"/>
        <w:numPr>
          <w:ilvl w:val="0"/>
          <w:numId w:val="45"/>
        </w:numPr>
        <w:ind w:leftChars="0" w:left="738" w:hanging="454"/>
      </w:pPr>
      <w:r w:rsidRPr="00BC31E0">
        <w:rPr>
          <w:rFonts w:hint="eastAsia"/>
        </w:rPr>
        <w:t>材料寸法又は形状により，材料から</w:t>
      </w:r>
      <w:r w:rsidRPr="00BC31E0">
        <w:rPr>
          <w:rFonts w:asciiTheme="majorEastAsia" w:eastAsiaTheme="majorEastAsia" w:hAnsiTheme="majorEastAsia" w:hint="eastAsia"/>
          <w:b/>
        </w:rPr>
        <w:t>1)</w:t>
      </w:r>
      <w:r w:rsidRPr="00BC31E0">
        <w:rPr>
          <w:rFonts w:hint="eastAsia"/>
        </w:rPr>
        <w:t>に示す標準試験片が採取できない場合は，試験片</w:t>
      </w:r>
      <w:r w:rsidR="00CF3F9E" w:rsidRPr="00BC31E0">
        <w:rPr>
          <w:rFonts w:hint="eastAsia"/>
        </w:rPr>
        <w:t>の</w:t>
      </w:r>
      <w:r w:rsidRPr="00BC31E0">
        <w:rPr>
          <w:rFonts w:hint="eastAsia"/>
        </w:rPr>
        <w:t>主軸</w:t>
      </w:r>
      <w:r w:rsidR="007A0233" w:rsidRPr="00BC31E0">
        <w:rPr>
          <w:rFonts w:hint="eastAsia"/>
        </w:rPr>
        <w:t>が</w:t>
      </w:r>
      <w:r w:rsidRPr="00BC31E0">
        <w:rPr>
          <w:rFonts w:hint="eastAsia"/>
        </w:rPr>
        <w:t>最大伸び方向又は主</w:t>
      </w:r>
      <w:r w:rsidR="005E6D5A" w:rsidRPr="00BC31E0">
        <w:rPr>
          <w:rFonts w:hint="eastAsia"/>
        </w:rPr>
        <w:t>加工</w:t>
      </w:r>
      <w:r w:rsidRPr="00BC31E0">
        <w:rPr>
          <w:rFonts w:hint="eastAsia"/>
        </w:rPr>
        <w:t>方向に平行に</w:t>
      </w:r>
      <w:r w:rsidR="007A0233" w:rsidRPr="00BC31E0">
        <w:rPr>
          <w:rFonts w:hint="eastAsia"/>
        </w:rPr>
        <w:t>なるように</w:t>
      </w:r>
      <w:r w:rsidR="00C037C6" w:rsidRPr="00BC31E0">
        <w:rPr>
          <w:rFonts w:hint="eastAsia"/>
        </w:rPr>
        <w:t>採取</w:t>
      </w:r>
      <w:r w:rsidRPr="00BC31E0">
        <w:rPr>
          <w:rFonts w:hint="eastAsia"/>
        </w:rPr>
        <w:t>してもよい。</w:t>
      </w:r>
      <w:r w:rsidRPr="00BC31E0">
        <w:rPr>
          <w:rFonts w:asciiTheme="majorEastAsia" w:eastAsiaTheme="majorEastAsia" w:hAnsiTheme="majorEastAsia" w:hint="eastAsia"/>
          <w:b/>
        </w:rPr>
        <w:t>図5.2.1(b-3)</w:t>
      </w:r>
      <w:r w:rsidRPr="00BC31E0">
        <w:rPr>
          <w:rFonts w:hint="eastAsia"/>
        </w:rPr>
        <w:t>に，その方法を示す。</w:t>
      </w:r>
    </w:p>
    <w:p w14:paraId="46C6FC1F" w14:textId="77777777" w:rsidR="00CC55FC" w:rsidRPr="00BC31E0" w:rsidRDefault="00CC55FC" w:rsidP="007E26D6">
      <w:pPr>
        <w:pStyle w:val="a4"/>
        <w:numPr>
          <w:ilvl w:val="0"/>
          <w:numId w:val="46"/>
        </w:numPr>
        <w:ind w:leftChars="0" w:left="738" w:hanging="454"/>
      </w:pPr>
      <w:r w:rsidRPr="00BC31E0">
        <w:rPr>
          <w:rFonts w:asciiTheme="majorEastAsia" w:eastAsiaTheme="majorEastAsia" w:hAnsiTheme="majorEastAsia" w:hint="eastAsia"/>
          <w:b/>
        </w:rPr>
        <w:t>1)</w:t>
      </w:r>
      <w:r w:rsidR="004C3340" w:rsidRPr="00BC31E0">
        <w:rPr>
          <w:rFonts w:asciiTheme="minorEastAsia" w:eastAsiaTheme="minorEastAsia" w:hAnsiTheme="minorEastAsia" w:hint="eastAsia"/>
        </w:rPr>
        <w:t>と</w:t>
      </w:r>
      <w:r w:rsidRPr="00BC31E0">
        <w:rPr>
          <w:rFonts w:asciiTheme="majorEastAsia" w:eastAsiaTheme="majorEastAsia" w:hAnsiTheme="majorEastAsia" w:hint="eastAsia"/>
          <w:b/>
        </w:rPr>
        <w:t>2)</w:t>
      </w:r>
      <w:r w:rsidR="004C3340" w:rsidRPr="00BC31E0">
        <w:rPr>
          <w:rFonts w:hint="eastAsia"/>
        </w:rPr>
        <w:t>が適用できない</w:t>
      </w:r>
      <w:r w:rsidRPr="00BC31E0">
        <w:rPr>
          <w:rFonts w:hint="eastAsia"/>
        </w:rPr>
        <w:t>場合</w:t>
      </w:r>
      <w:r w:rsidR="004C3340" w:rsidRPr="00BC31E0">
        <w:rPr>
          <w:rFonts w:hint="eastAsia"/>
        </w:rPr>
        <w:t>に</w:t>
      </w:r>
      <w:r w:rsidRPr="00BC31E0">
        <w:rPr>
          <w:rFonts w:hint="eastAsia"/>
        </w:rPr>
        <w:t>は，サブサイズ試験片を適用</w:t>
      </w:r>
      <w:r w:rsidR="002F6098" w:rsidRPr="00BC31E0">
        <w:rPr>
          <w:rFonts w:hint="eastAsia"/>
        </w:rPr>
        <w:t>する</w:t>
      </w:r>
      <w:r w:rsidRPr="00BC31E0">
        <w:rPr>
          <w:rFonts w:hint="eastAsia"/>
        </w:rPr>
        <w:t>。</w:t>
      </w:r>
    </w:p>
    <w:p w14:paraId="5AC2F8BE" w14:textId="77777777" w:rsidR="00CC55FC" w:rsidRPr="00BC31E0" w:rsidRDefault="00CC55FC" w:rsidP="007E26D6">
      <w:pPr>
        <w:pStyle w:val="a4"/>
        <w:numPr>
          <w:ilvl w:val="0"/>
          <w:numId w:val="44"/>
        </w:numPr>
        <w:ind w:leftChars="0" w:left="738" w:hanging="454"/>
      </w:pPr>
      <w:r w:rsidRPr="00BC31E0">
        <w:rPr>
          <w:rFonts w:hint="eastAsia"/>
        </w:rPr>
        <w:t>最大採取可能なサブサイズ圧延方向試験片が試験片の幅</w:t>
      </w:r>
      <w:r w:rsidRPr="00BC31E0">
        <w:t>2.5 mm</w:t>
      </w:r>
      <w:r w:rsidRPr="00BC31E0">
        <w:rPr>
          <w:rFonts w:hint="eastAsia"/>
        </w:rPr>
        <w:t>未満である場合には，衝撃試験は必要ない。</w:t>
      </w:r>
    </w:p>
    <w:p w14:paraId="04CD75CE" w14:textId="77777777" w:rsidR="00CC55FC" w:rsidRPr="00BC31E0" w:rsidRDefault="00CC55FC" w:rsidP="007E26D6">
      <w:pPr>
        <w:pStyle w:val="a4"/>
        <w:numPr>
          <w:ilvl w:val="0"/>
          <w:numId w:val="47"/>
        </w:numPr>
        <w:ind w:leftChars="0" w:left="454" w:hanging="454"/>
      </w:pPr>
      <w:r w:rsidRPr="00BC31E0">
        <w:rPr>
          <w:rFonts w:asciiTheme="majorEastAsia" w:eastAsiaTheme="majorEastAsia" w:hAnsiTheme="majorEastAsia" w:hint="eastAsia"/>
          <w:b/>
        </w:rPr>
        <w:t>溶接部を含む耐圧部材</w:t>
      </w:r>
      <w:r w:rsidRPr="00BC31E0">
        <w:rPr>
          <w:rFonts w:hint="eastAsia"/>
        </w:rPr>
        <w:t xml:space="preserve">　溶接部を含む耐圧部材のシャルピー衝撃試験片の採取方法は，次の</w:t>
      </w:r>
      <w:r w:rsidRPr="00BC31E0">
        <w:rPr>
          <w:rFonts w:asciiTheme="majorEastAsia" w:eastAsiaTheme="majorEastAsia" w:hAnsiTheme="majorEastAsia" w:hint="eastAsia"/>
          <w:b/>
        </w:rPr>
        <w:t>1)</w:t>
      </w:r>
      <w:r w:rsidRPr="00BC31E0">
        <w:rPr>
          <w:rFonts w:hint="eastAsia"/>
        </w:rPr>
        <w:t>～</w:t>
      </w:r>
      <w:r w:rsidRPr="00BC31E0">
        <w:rPr>
          <w:rFonts w:asciiTheme="majorEastAsia" w:eastAsiaTheme="majorEastAsia" w:hAnsiTheme="majorEastAsia" w:hint="eastAsia"/>
          <w:b/>
        </w:rPr>
        <w:t>3)</w:t>
      </w:r>
      <w:r w:rsidRPr="00BC31E0">
        <w:rPr>
          <w:rFonts w:hint="eastAsia"/>
        </w:rPr>
        <w:t>による。</w:t>
      </w:r>
    </w:p>
    <w:p w14:paraId="592D1F13" w14:textId="77777777" w:rsidR="00CC55FC" w:rsidRPr="00BC31E0" w:rsidRDefault="00CC55FC" w:rsidP="007E26D6">
      <w:pPr>
        <w:pStyle w:val="a4"/>
        <w:numPr>
          <w:ilvl w:val="0"/>
          <w:numId w:val="48"/>
        </w:numPr>
        <w:ind w:leftChars="0" w:left="738" w:hanging="454"/>
      </w:pPr>
      <w:r w:rsidRPr="00BC31E0">
        <w:rPr>
          <w:rFonts w:hint="eastAsia"/>
        </w:rPr>
        <w:t>シャルピー衝撃試験片の試験材は，その主軸が溶接継手に直角になるよう採取する。ノッチ方向は，溶接継手に平行とする。</w:t>
      </w:r>
      <w:r w:rsidRPr="00BC31E0">
        <w:t>10 mm×10 mm</w:t>
      </w:r>
      <w:r w:rsidRPr="00BC31E0">
        <w:rPr>
          <w:rFonts w:hint="eastAsia"/>
        </w:rPr>
        <w:t>標準試験片のノッチを確保するために，</w:t>
      </w:r>
      <w:r w:rsidRPr="00BC31E0">
        <w:rPr>
          <w:rFonts w:asciiTheme="majorEastAsia" w:eastAsiaTheme="majorEastAsia" w:hAnsiTheme="majorEastAsia" w:hint="eastAsia"/>
          <w:b/>
        </w:rPr>
        <w:t>図5.2.1</w:t>
      </w:r>
      <w:r w:rsidRPr="00BC31E0">
        <w:rPr>
          <w:rFonts w:hint="eastAsia"/>
        </w:rPr>
        <w:t xml:space="preserve"> </w:t>
      </w:r>
      <w:r w:rsidRPr="00BC31E0">
        <w:rPr>
          <w:rFonts w:hint="eastAsia"/>
        </w:rPr>
        <w:t>に示す方法を用いてもよい。</w:t>
      </w:r>
    </w:p>
    <w:p w14:paraId="330E016E" w14:textId="77777777" w:rsidR="00CC55FC" w:rsidRPr="00BC31E0" w:rsidRDefault="00CC55FC" w:rsidP="007E26D6">
      <w:pPr>
        <w:pStyle w:val="a4"/>
        <w:numPr>
          <w:ilvl w:val="0"/>
          <w:numId w:val="48"/>
        </w:numPr>
        <w:ind w:leftChars="0" w:left="738" w:hanging="454"/>
      </w:pPr>
      <w:r w:rsidRPr="00BC31E0">
        <w:rPr>
          <w:rFonts w:asciiTheme="majorEastAsia" w:eastAsiaTheme="majorEastAsia" w:hAnsiTheme="majorEastAsia" w:hint="eastAsia"/>
          <w:b/>
        </w:rPr>
        <w:t>1)</w:t>
      </w:r>
      <w:r w:rsidRPr="00BC31E0">
        <w:rPr>
          <w:rFonts w:hint="eastAsia"/>
        </w:rPr>
        <w:t>が適用できない場合</w:t>
      </w:r>
      <w:r w:rsidR="004C3340" w:rsidRPr="00BC31E0">
        <w:rPr>
          <w:rFonts w:hint="eastAsia"/>
        </w:rPr>
        <w:t>には</w:t>
      </w:r>
      <w:r w:rsidRPr="00BC31E0">
        <w:rPr>
          <w:rFonts w:hint="eastAsia"/>
        </w:rPr>
        <w:t>，サブサイズ試験片を適用</w:t>
      </w:r>
      <w:r w:rsidR="003E1DFD" w:rsidRPr="00BC31E0">
        <w:rPr>
          <w:rFonts w:hint="eastAsia"/>
        </w:rPr>
        <w:t>する</w:t>
      </w:r>
      <w:r w:rsidRPr="00BC31E0">
        <w:rPr>
          <w:rFonts w:hint="eastAsia"/>
        </w:rPr>
        <w:t>。</w:t>
      </w:r>
    </w:p>
    <w:p w14:paraId="3B59B785" w14:textId="77777777" w:rsidR="00CC55FC" w:rsidRPr="00BC31E0" w:rsidRDefault="00CC55FC" w:rsidP="007E26D6">
      <w:pPr>
        <w:pStyle w:val="a4"/>
        <w:numPr>
          <w:ilvl w:val="0"/>
          <w:numId w:val="49"/>
        </w:numPr>
        <w:ind w:leftChars="0" w:left="738" w:hanging="454"/>
      </w:pPr>
      <w:r w:rsidRPr="00BC31E0">
        <w:rPr>
          <w:rFonts w:hint="eastAsia"/>
        </w:rPr>
        <w:t>最大試験片サイズが試験片の幅で</w:t>
      </w:r>
      <w:r w:rsidRPr="00BC31E0">
        <w:t>2.5 mm</w:t>
      </w:r>
      <w:r w:rsidRPr="00BC31E0">
        <w:rPr>
          <w:rFonts w:hint="eastAsia"/>
        </w:rPr>
        <w:t>未満である場合には，衝撃試験は必要ない。</w:t>
      </w:r>
    </w:p>
    <w:p w14:paraId="7BE24BFE" w14:textId="77777777" w:rsidR="00CC55FC" w:rsidRPr="00BC31E0" w:rsidRDefault="00CC55FC" w:rsidP="00616CBC">
      <w:pPr>
        <w:pStyle w:val="3"/>
        <w:tabs>
          <w:tab w:val="clear" w:pos="284"/>
        </w:tabs>
        <w:ind w:left="794" w:hanging="794"/>
      </w:pPr>
      <w:r w:rsidRPr="00BC31E0">
        <w:rPr>
          <w:rFonts w:hint="eastAsia"/>
        </w:rPr>
        <w:t>破壊靭性試験片</w:t>
      </w:r>
    </w:p>
    <w:p w14:paraId="338A57F2" w14:textId="77777777" w:rsidR="00CC55FC" w:rsidRPr="00BC31E0" w:rsidRDefault="00FB0C17" w:rsidP="006945E6">
      <w:pPr>
        <w:pStyle w:val="1110"/>
        <w:ind w:firstLine="210"/>
      </w:pPr>
      <w:r w:rsidRPr="00BC31E0">
        <w:rPr>
          <w:rFonts w:hint="eastAsia"/>
        </w:rPr>
        <w:t>破壊靭性試験片の採取方法は，</w:t>
      </w:r>
      <w:r w:rsidR="00CC55FC" w:rsidRPr="00BC31E0">
        <w:rPr>
          <w:rFonts w:hint="eastAsia"/>
        </w:rPr>
        <w:t>次</w:t>
      </w:r>
      <w:r w:rsidRPr="00BC31E0">
        <w:rPr>
          <w:rFonts w:hint="eastAsia"/>
        </w:rPr>
        <w:t>の</w:t>
      </w:r>
      <w:r w:rsidR="003E5FC3" w:rsidRPr="00BC31E0">
        <w:rPr>
          <w:rFonts w:asciiTheme="majorEastAsia" w:eastAsiaTheme="majorEastAsia" w:hAnsiTheme="majorEastAsia" w:hint="eastAsia"/>
          <w:b/>
        </w:rPr>
        <w:t>a)</w:t>
      </w:r>
      <w:r w:rsidR="003E5FC3" w:rsidRPr="00BC31E0">
        <w:rPr>
          <w:rFonts w:hint="eastAsia"/>
        </w:rPr>
        <w:t>～</w:t>
      </w:r>
      <w:r w:rsidR="003E5FC3" w:rsidRPr="00BC31E0">
        <w:rPr>
          <w:rFonts w:asciiTheme="majorEastAsia" w:eastAsiaTheme="majorEastAsia" w:hAnsiTheme="majorEastAsia" w:hint="eastAsia"/>
          <w:b/>
        </w:rPr>
        <w:t>c)</w:t>
      </w:r>
      <w:r w:rsidR="003E5FC3" w:rsidRPr="00BC31E0">
        <w:rPr>
          <w:rFonts w:hint="eastAsia"/>
        </w:rPr>
        <w:t>に</w:t>
      </w:r>
      <w:r w:rsidR="00CC55FC" w:rsidRPr="00BC31E0">
        <w:rPr>
          <w:rFonts w:hint="eastAsia"/>
        </w:rPr>
        <w:t>よる。耐圧部材の追加靭性規定は，</w:t>
      </w:r>
      <w:r w:rsidR="00CC55FC" w:rsidRPr="00BC31E0">
        <w:rPr>
          <w:rFonts w:ascii="ＭＳ ゴシック" w:eastAsia="ＭＳ ゴシック" w:hAnsi="ＭＳ ゴシック" w:hint="eastAsia"/>
          <w:b/>
        </w:rPr>
        <w:t>5.2.9</w:t>
      </w:r>
      <w:r w:rsidR="00CC55FC" w:rsidRPr="00BC31E0">
        <w:rPr>
          <w:rFonts w:hint="eastAsia"/>
        </w:rPr>
        <w:t>による。</w:t>
      </w:r>
    </w:p>
    <w:p w14:paraId="5D5C9E60" w14:textId="77777777" w:rsidR="00CC55FC" w:rsidRPr="00BC31E0" w:rsidRDefault="00CC55FC" w:rsidP="007E26D6">
      <w:pPr>
        <w:pStyle w:val="a4"/>
        <w:numPr>
          <w:ilvl w:val="0"/>
          <w:numId w:val="50"/>
        </w:numPr>
        <w:ind w:leftChars="0" w:left="454" w:hanging="454"/>
      </w:pPr>
      <w:r w:rsidRPr="00BC31E0">
        <w:rPr>
          <w:rFonts w:asciiTheme="majorEastAsia" w:eastAsiaTheme="majorEastAsia" w:hAnsiTheme="majorEastAsia" w:hint="eastAsia"/>
          <w:b/>
        </w:rPr>
        <w:t>ボルト材</w:t>
      </w:r>
      <w:r w:rsidRPr="00BC31E0">
        <w:rPr>
          <w:rFonts w:hint="eastAsia"/>
        </w:rPr>
        <w:t xml:space="preserve">　</w:t>
      </w:r>
      <w:r w:rsidRPr="00BC31E0">
        <w:rPr>
          <w:rFonts w:hAnsi="ＭＳ 明朝" w:hint="eastAsia"/>
        </w:rPr>
        <w:t>予</w:t>
      </w:r>
      <w:r w:rsidR="00EF3766" w:rsidRPr="00BC31E0">
        <w:rPr>
          <w:rFonts w:hAnsi="ＭＳ 明朝" w:hint="eastAsia"/>
        </w:rPr>
        <w:t>亀裂</w:t>
      </w:r>
      <w:r w:rsidRPr="00BC31E0">
        <w:rPr>
          <w:rFonts w:hAnsi="ＭＳ 明朝" w:hint="eastAsia"/>
        </w:rPr>
        <w:t>面はボルト軸に直角とする。</w:t>
      </w:r>
    </w:p>
    <w:p w14:paraId="4534C34F" w14:textId="77777777" w:rsidR="00CC55FC" w:rsidRPr="00BC31E0" w:rsidRDefault="00CC55FC" w:rsidP="007E26D6">
      <w:pPr>
        <w:pStyle w:val="a4"/>
        <w:numPr>
          <w:ilvl w:val="0"/>
          <w:numId w:val="50"/>
        </w:numPr>
        <w:ind w:leftChars="0" w:left="454" w:hanging="454"/>
      </w:pPr>
      <w:r w:rsidRPr="00BC31E0">
        <w:rPr>
          <w:rFonts w:asciiTheme="majorEastAsia" w:eastAsiaTheme="majorEastAsia" w:hAnsiTheme="majorEastAsia" w:hint="eastAsia"/>
          <w:b/>
        </w:rPr>
        <w:t>ボルト材以外の溶接部を含まない耐圧部材</w:t>
      </w:r>
      <w:r w:rsidRPr="00BC31E0">
        <w:rPr>
          <w:rFonts w:hint="eastAsia"/>
        </w:rPr>
        <w:t xml:space="preserve">　予</w:t>
      </w:r>
      <w:r w:rsidR="00EF3766" w:rsidRPr="00BC31E0">
        <w:rPr>
          <w:rFonts w:hint="eastAsia"/>
        </w:rPr>
        <w:t>亀裂</w:t>
      </w:r>
      <w:r w:rsidRPr="00BC31E0">
        <w:rPr>
          <w:rFonts w:hint="eastAsia"/>
        </w:rPr>
        <w:t>面は，圧延時の最大伸び方向又は鍛造時の最大加工方向に平行とする。</w:t>
      </w:r>
    </w:p>
    <w:p w14:paraId="14357FE6" w14:textId="77777777" w:rsidR="00CC55FC" w:rsidRPr="00BC31E0" w:rsidRDefault="00CC55FC" w:rsidP="007E26D6">
      <w:pPr>
        <w:pStyle w:val="a4"/>
        <w:numPr>
          <w:ilvl w:val="0"/>
          <w:numId w:val="51"/>
        </w:numPr>
        <w:ind w:leftChars="0" w:left="454" w:hanging="454"/>
      </w:pPr>
      <w:r w:rsidRPr="00BC31E0">
        <w:rPr>
          <w:rFonts w:asciiTheme="majorEastAsia" w:eastAsiaTheme="majorEastAsia" w:hAnsiTheme="majorEastAsia" w:hint="eastAsia"/>
          <w:b/>
        </w:rPr>
        <w:t>溶接部を含む耐圧部材</w:t>
      </w:r>
      <w:r w:rsidRPr="00BC31E0">
        <w:rPr>
          <w:rFonts w:hint="eastAsia"/>
        </w:rPr>
        <w:t xml:space="preserve">　予</w:t>
      </w:r>
      <w:r w:rsidR="00EF3766" w:rsidRPr="00BC31E0">
        <w:rPr>
          <w:rFonts w:hint="eastAsia"/>
        </w:rPr>
        <w:t>亀裂</w:t>
      </w:r>
      <w:r w:rsidRPr="00BC31E0">
        <w:rPr>
          <w:rFonts w:hint="eastAsia"/>
        </w:rPr>
        <w:t>面は溶接継手方向に平行とする。</w:t>
      </w:r>
    </w:p>
    <w:p w14:paraId="637857FE" w14:textId="77777777" w:rsidR="00CC55FC" w:rsidRPr="00BC31E0" w:rsidRDefault="00CC55FC" w:rsidP="00616CBC">
      <w:pPr>
        <w:pStyle w:val="3"/>
        <w:tabs>
          <w:tab w:val="clear" w:pos="284"/>
        </w:tabs>
        <w:ind w:left="794" w:hanging="794"/>
      </w:pPr>
      <w:r w:rsidRPr="00BC31E0">
        <w:rPr>
          <w:rFonts w:hint="eastAsia"/>
        </w:rPr>
        <w:t>別取り試験片の熱処理手順</w:t>
      </w:r>
    </w:p>
    <w:p w14:paraId="1AD4A961" w14:textId="77777777" w:rsidR="00CC55FC" w:rsidRPr="00BC31E0" w:rsidRDefault="00CC55FC" w:rsidP="004D4DB8">
      <w:pPr>
        <w:pStyle w:val="1110"/>
        <w:ind w:firstLine="210"/>
      </w:pPr>
      <w:r w:rsidRPr="00BC31E0">
        <w:rPr>
          <w:rFonts w:hint="eastAsia"/>
        </w:rPr>
        <w:t>熱処理された金属製品の代表試験片が熱処理前に切り出される場合，その代表試験片の熱処理時の冷却速度は製品の本体と同等か，又は早くならないようにする。この規定は，試験片を直接製品から切り出す場合にも適用する。次</w:t>
      </w:r>
      <w:r w:rsidR="00B21E8B" w:rsidRPr="00BC31E0">
        <w:rPr>
          <w:rFonts w:hint="eastAsia"/>
        </w:rPr>
        <w:t>の</w:t>
      </w:r>
      <w:r w:rsidR="00B21E8B" w:rsidRPr="00BC31E0">
        <w:rPr>
          <w:rFonts w:asciiTheme="majorEastAsia" w:eastAsiaTheme="majorEastAsia" w:hAnsiTheme="majorEastAsia" w:hint="eastAsia"/>
          <w:b/>
        </w:rPr>
        <w:t>a)</w:t>
      </w:r>
      <w:r w:rsidR="00B21E8B" w:rsidRPr="00BC31E0">
        <w:rPr>
          <w:rFonts w:hint="eastAsia"/>
        </w:rPr>
        <w:t>～</w:t>
      </w:r>
      <w:r w:rsidR="00B21E8B" w:rsidRPr="00BC31E0">
        <w:rPr>
          <w:rFonts w:asciiTheme="majorEastAsia" w:eastAsiaTheme="majorEastAsia" w:hAnsiTheme="majorEastAsia" w:hint="eastAsia"/>
          <w:b/>
        </w:rPr>
        <w:t>d)</w:t>
      </w:r>
      <w:r w:rsidRPr="00BC31E0">
        <w:rPr>
          <w:rFonts w:hint="eastAsia"/>
        </w:rPr>
        <w:t>に示す一般的方法が</w:t>
      </w:r>
      <w:r w:rsidR="00DC160D" w:rsidRPr="00BC31E0">
        <w:rPr>
          <w:rFonts w:hint="eastAsia"/>
        </w:rPr>
        <w:t>全</w:t>
      </w:r>
      <w:r w:rsidRPr="00BC31E0">
        <w:rPr>
          <w:rFonts w:hint="eastAsia"/>
        </w:rPr>
        <w:t>ての製品形状，試験片又は製品を代表する試験材に適用</w:t>
      </w:r>
      <w:r w:rsidR="00C678C7" w:rsidRPr="00BC31E0">
        <w:rPr>
          <w:rFonts w:hint="eastAsia"/>
        </w:rPr>
        <w:t>する</w:t>
      </w:r>
      <w:r w:rsidRPr="00BC31E0">
        <w:rPr>
          <w:rFonts w:hint="eastAsia"/>
        </w:rPr>
        <w:t>。</w:t>
      </w:r>
    </w:p>
    <w:p w14:paraId="6B72BC9C" w14:textId="77777777" w:rsidR="00CC55FC" w:rsidRPr="00BC31E0" w:rsidRDefault="00CC55FC" w:rsidP="007E26D6">
      <w:pPr>
        <w:pStyle w:val="a4"/>
        <w:numPr>
          <w:ilvl w:val="0"/>
          <w:numId w:val="52"/>
        </w:numPr>
        <w:ind w:leftChars="0" w:left="454" w:hanging="454"/>
      </w:pPr>
      <w:r w:rsidRPr="00BC31E0">
        <w:rPr>
          <w:rFonts w:hint="eastAsia"/>
          <w:bCs/>
        </w:rPr>
        <w:t>表面から材料の熱処理時の厚さ</w:t>
      </w:r>
      <w:r w:rsidRPr="00BC31E0">
        <w:rPr>
          <w:rFonts w:hint="eastAsia"/>
          <w:bCs/>
        </w:rPr>
        <w:t>(</w:t>
      </w:r>
      <m:oMath>
        <m:r>
          <w:rPr>
            <w:rFonts w:ascii="Cambria Math" w:hAnsi="Cambria Math"/>
          </w:rPr>
          <m:t>T</m:t>
        </m:r>
      </m:oMath>
      <w:r w:rsidRPr="00BC31E0">
        <w:rPr>
          <w:rFonts w:hint="eastAsia"/>
          <w:bCs/>
        </w:rPr>
        <w:t>)</w:t>
      </w:r>
      <w:r w:rsidRPr="00BC31E0">
        <w:rPr>
          <w:rFonts w:hint="eastAsia"/>
          <w:bCs/>
        </w:rPr>
        <w:t>の</w:t>
      </w:r>
      <m:oMath>
        <m:f>
          <m:fPr>
            <m:type m:val="lin"/>
            <m:ctrlPr>
              <w:rPr>
                <w:rFonts w:ascii="Cambria Math" w:hAnsi="Cambria Math"/>
                <w:bCs/>
                <w:i/>
              </w:rPr>
            </m:ctrlPr>
          </m:fPr>
          <m:num>
            <m:r>
              <w:rPr>
                <w:rFonts w:ascii="Cambria Math" w:hAnsi="Cambria Math"/>
              </w:rPr>
              <m:t xml:space="preserve"> T</m:t>
            </m:r>
          </m:num>
          <m:den>
            <m:r>
              <w:rPr>
                <w:rFonts w:ascii="Cambria Math" w:hAnsi="Cambria Math"/>
              </w:rPr>
              <m:t xml:space="preserve">4 </m:t>
            </m:r>
          </m:den>
        </m:f>
      </m:oMath>
      <w:r w:rsidRPr="00BC31E0">
        <w:rPr>
          <w:rFonts w:hint="eastAsia"/>
          <w:bCs/>
        </w:rPr>
        <w:t>部位であり，かつ熱処理端面から</w:t>
      </w:r>
      <m:oMath>
        <m:r>
          <m:rPr>
            <m:sty m:val="p"/>
          </m:rPr>
          <w:rPr>
            <w:rFonts w:ascii="Cambria Math" w:hAnsi="Cambria Math"/>
          </w:rPr>
          <m:t xml:space="preserve"> </m:t>
        </m:r>
        <m:r>
          <w:rPr>
            <w:rFonts w:ascii="Cambria Math" w:hAnsi="Cambria Math"/>
          </w:rPr>
          <m:t xml:space="preserve">T </m:t>
        </m:r>
      </m:oMath>
      <w:r w:rsidRPr="00BC31E0">
        <w:rPr>
          <w:rFonts w:hint="eastAsia"/>
          <w:bCs/>
        </w:rPr>
        <w:t>に等しい距離以上接</w:t>
      </w:r>
      <w:r w:rsidRPr="00BC31E0">
        <w:rPr>
          <w:rFonts w:hAnsi="ＭＳ 明朝" w:hint="eastAsia"/>
        </w:rPr>
        <w:t>近しない部位の試験片に</w:t>
      </w:r>
      <w:r w:rsidRPr="00BC31E0">
        <w:rPr>
          <w:rFonts w:hint="eastAsia"/>
        </w:rPr>
        <w:t>，</w:t>
      </w:r>
      <w:r w:rsidRPr="00BC31E0">
        <w:rPr>
          <w:rFonts w:hAnsi="ＭＳ 明朝" w:hint="eastAsia"/>
        </w:rPr>
        <w:t>製品本体の熱処理時の冷却速度と合致する冷却速度を与えることが実証できれば，如何なる熱処理要領でもよい。試験片の熱処理時の冷却速度は，実際の部分のそれに対して如何なる場合も，温度差</w:t>
      </w:r>
      <w:r w:rsidRPr="00BC31E0">
        <w:t>15</w:t>
      </w:r>
      <w:r w:rsidRPr="00BC31E0">
        <w:rPr>
          <w:rFonts w:ascii="ＭＳ 明朝" w:hAnsi="ＭＳ 明朝" w:cs="ＭＳ 明朝" w:hint="eastAsia"/>
        </w:rPr>
        <w:t>℃</w:t>
      </w:r>
      <w:r w:rsidRPr="00BC31E0">
        <w:rPr>
          <w:rFonts w:hAnsi="ＭＳ 明朝" w:hint="eastAsia"/>
        </w:rPr>
        <w:t>以内でなければならない。また，熱処理温度からの冷却後の</w:t>
      </w:r>
      <w:r w:rsidR="00DC160D" w:rsidRPr="00BC31E0">
        <w:rPr>
          <w:rFonts w:hAnsi="ＭＳ 明朝" w:hint="eastAsia"/>
        </w:rPr>
        <w:t>全</w:t>
      </w:r>
      <w:r w:rsidRPr="00BC31E0">
        <w:rPr>
          <w:rFonts w:hAnsi="ＭＳ 明朝" w:hint="eastAsia"/>
        </w:rPr>
        <w:t>ての温度において，実体と試験片の時間差が</w:t>
      </w:r>
      <w:r w:rsidRPr="00BC31E0">
        <w:t>20</w:t>
      </w:r>
      <w:r w:rsidRPr="00BC31E0">
        <w:rPr>
          <w:rFonts w:hAnsi="ＭＳ 明朝" w:hint="eastAsia"/>
        </w:rPr>
        <w:t>秒以内でなければならない。熱処理時の冷却速度は製造者と使用者の合意により，如何なる方法で行うか決定</w:t>
      </w:r>
      <w:r w:rsidR="00B76736" w:rsidRPr="00BC31E0">
        <w:rPr>
          <w:rFonts w:hAnsi="ＭＳ 明朝" w:hint="eastAsia"/>
        </w:rPr>
        <w:t>する</w:t>
      </w:r>
      <w:r w:rsidRPr="00BC31E0">
        <w:rPr>
          <w:rFonts w:hAnsi="ＭＳ 明朝" w:hint="eastAsia"/>
        </w:rPr>
        <w:t>。その方法は限定しないが，理論的計算，実験的方法，試験鍛造品の複製又はそれらの組合せを含</w:t>
      </w:r>
      <w:r w:rsidR="00B76736" w:rsidRPr="00BC31E0">
        <w:rPr>
          <w:rFonts w:hAnsi="ＭＳ 明朝" w:hint="eastAsia"/>
        </w:rPr>
        <w:t>め</w:t>
      </w:r>
      <w:r w:rsidRPr="00BC31E0">
        <w:rPr>
          <w:rFonts w:hAnsi="ＭＳ 明朝" w:hint="eastAsia"/>
        </w:rPr>
        <w:t>る。</w:t>
      </w:r>
    </w:p>
    <w:p w14:paraId="2BBAACBA" w14:textId="77777777" w:rsidR="00CC55FC" w:rsidRPr="00BC31E0" w:rsidRDefault="00CC55FC" w:rsidP="007E26D6">
      <w:pPr>
        <w:pStyle w:val="a4"/>
        <w:numPr>
          <w:ilvl w:val="0"/>
          <w:numId w:val="52"/>
        </w:numPr>
        <w:ind w:leftChars="0" w:left="454" w:hanging="454"/>
      </w:pPr>
      <w:r w:rsidRPr="00BC31E0">
        <w:rPr>
          <w:rFonts w:hint="eastAsia"/>
        </w:rPr>
        <w:t>製品端の早い熱処理時の冷却速度は，次</w:t>
      </w:r>
      <w:r w:rsidR="00722930" w:rsidRPr="00BC31E0">
        <w:rPr>
          <w:rFonts w:hint="eastAsia"/>
        </w:rPr>
        <w:t>の</w:t>
      </w:r>
      <w:r w:rsidR="00722930" w:rsidRPr="00BC31E0">
        <w:rPr>
          <w:rFonts w:asciiTheme="majorEastAsia" w:eastAsiaTheme="majorEastAsia" w:hAnsiTheme="majorEastAsia" w:hint="eastAsia"/>
          <w:b/>
        </w:rPr>
        <w:t>1)</w:t>
      </w:r>
      <w:r w:rsidR="00722930" w:rsidRPr="00BC31E0">
        <w:rPr>
          <w:rFonts w:hint="eastAsia"/>
        </w:rPr>
        <w:t>～</w:t>
      </w:r>
      <w:r w:rsidR="00722930" w:rsidRPr="00BC31E0">
        <w:rPr>
          <w:rFonts w:asciiTheme="majorEastAsia" w:eastAsiaTheme="majorEastAsia" w:hAnsiTheme="majorEastAsia" w:hint="eastAsia"/>
          <w:b/>
        </w:rPr>
        <w:t>3)</w:t>
      </w:r>
      <w:r w:rsidR="003C6933" w:rsidRPr="00BC31E0">
        <w:rPr>
          <w:rFonts w:hint="eastAsia"/>
        </w:rPr>
        <w:t>により補償する。</w:t>
      </w:r>
    </w:p>
    <w:p w14:paraId="33811F62" w14:textId="77777777" w:rsidR="00CC55FC" w:rsidRPr="00BC31E0" w:rsidRDefault="00CC55FC" w:rsidP="007E26D6">
      <w:pPr>
        <w:pStyle w:val="a4"/>
        <w:numPr>
          <w:ilvl w:val="0"/>
          <w:numId w:val="53"/>
        </w:numPr>
        <w:ind w:leftChars="0" w:left="738" w:hanging="454"/>
      </w:pPr>
      <w:r w:rsidRPr="00BC31E0">
        <w:rPr>
          <w:rFonts w:hint="eastAsia"/>
        </w:rPr>
        <w:t>試験片を焼入れ端から</w:t>
      </w:r>
      <m:oMath>
        <m:r>
          <m:rPr>
            <m:sty m:val="p"/>
          </m:rPr>
          <w:rPr>
            <w:rFonts w:ascii="Cambria Math" w:hAnsi="Cambria Math"/>
          </w:rPr>
          <m:t xml:space="preserve"> </m:t>
        </m:r>
        <m:r>
          <w:rPr>
            <w:rFonts w:ascii="Cambria Math" w:hAnsi="Cambria Math"/>
          </w:rPr>
          <m:t xml:space="preserve">T </m:t>
        </m:r>
      </m:oMath>
      <w:r w:rsidRPr="00BC31E0">
        <w:rPr>
          <w:rFonts w:hint="eastAsia"/>
        </w:rPr>
        <w:t>以上離す。</w:t>
      </w:r>
    </w:p>
    <w:p w14:paraId="7B9DB4D6" w14:textId="77777777" w:rsidR="00CC55FC" w:rsidRPr="00BC31E0" w:rsidRDefault="00CC55FC" w:rsidP="007E26D6">
      <w:pPr>
        <w:pStyle w:val="a4"/>
        <w:numPr>
          <w:ilvl w:val="0"/>
          <w:numId w:val="53"/>
        </w:numPr>
        <w:ind w:leftChars="0" w:left="738" w:hanging="454"/>
      </w:pPr>
      <w:r w:rsidRPr="00BC31E0">
        <w:rPr>
          <w:rFonts w:hint="eastAsia"/>
        </w:rPr>
        <w:t>試験片が採取される製品端に，最小</w:t>
      </w:r>
      <m:oMath>
        <m:r>
          <m:rPr>
            <m:sty m:val="p"/>
          </m:rPr>
          <w:rPr>
            <w:rFonts w:ascii="Cambria Math" w:hAnsi="Cambria Math"/>
          </w:rPr>
          <m:t xml:space="preserve"> </m:t>
        </m:r>
        <m:r>
          <w:rPr>
            <w:rFonts w:ascii="Cambria Math" w:hAnsi="Cambria Math"/>
          </w:rPr>
          <m:t xml:space="preserve">T </m:t>
        </m:r>
      </m:oMath>
      <w:r w:rsidRPr="00BC31E0">
        <w:rPr>
          <w:rFonts w:hint="eastAsia"/>
        </w:rPr>
        <w:t>の幅の類似合金材を取付ける。</w:t>
      </w:r>
    </w:p>
    <w:p w14:paraId="6C2F6575" w14:textId="77777777" w:rsidR="00CC55FC" w:rsidRPr="00BC31E0" w:rsidRDefault="00CC55FC" w:rsidP="007E26D6">
      <w:pPr>
        <w:pStyle w:val="a4"/>
        <w:numPr>
          <w:ilvl w:val="0"/>
          <w:numId w:val="54"/>
        </w:numPr>
        <w:ind w:leftChars="0" w:left="738" w:hanging="454"/>
      </w:pPr>
      <w:r w:rsidRPr="00BC31E0">
        <w:rPr>
          <w:rFonts w:hint="eastAsia"/>
        </w:rPr>
        <w:t>試験片を採取する製品端に，サーマルバリア又は保温材を使用する。</w:t>
      </w:r>
    </w:p>
    <w:p w14:paraId="7154331C" w14:textId="77777777" w:rsidR="00CC55FC" w:rsidRPr="00BC31E0" w:rsidRDefault="00CC55FC" w:rsidP="007E26D6">
      <w:pPr>
        <w:pStyle w:val="a4"/>
        <w:numPr>
          <w:ilvl w:val="0"/>
          <w:numId w:val="55"/>
        </w:numPr>
        <w:ind w:leftChars="0" w:left="454" w:hanging="454"/>
      </w:pPr>
      <w:r w:rsidRPr="00BC31E0">
        <w:rPr>
          <w:rFonts w:hint="eastAsia"/>
        </w:rPr>
        <w:lastRenderedPageBreak/>
        <w:t>試験片の冷却速度コントロール装置が用意でき，</w:t>
      </w:r>
      <w:r w:rsidRPr="00BC31E0">
        <w:rPr>
          <w:rFonts w:asciiTheme="majorEastAsia" w:eastAsiaTheme="majorEastAsia" w:hAnsiTheme="majorEastAsia" w:hint="eastAsia"/>
          <w:b/>
        </w:rPr>
        <w:t>a)</w:t>
      </w:r>
      <w:r w:rsidRPr="00BC31E0">
        <w:rPr>
          <w:rFonts w:hint="eastAsia"/>
        </w:rPr>
        <w:t>の規定が合致するならば，試験片は製品を代表する冷却速度データにより熱処理</w:t>
      </w:r>
      <w:r w:rsidR="006430AD" w:rsidRPr="00BC31E0">
        <w:rPr>
          <w:rFonts w:hint="eastAsia"/>
        </w:rPr>
        <w:t>を行う</w:t>
      </w:r>
      <w:r w:rsidRPr="00BC31E0">
        <w:rPr>
          <w:rFonts w:hint="eastAsia"/>
        </w:rPr>
        <w:t>。</w:t>
      </w:r>
    </w:p>
    <w:p w14:paraId="4639B1E2" w14:textId="77777777" w:rsidR="00CC55FC" w:rsidRPr="00BC31E0" w:rsidRDefault="00CC55FC" w:rsidP="007E26D6">
      <w:pPr>
        <w:pStyle w:val="a4"/>
        <w:numPr>
          <w:ilvl w:val="0"/>
          <w:numId w:val="56"/>
        </w:numPr>
        <w:ind w:leftChars="0" w:left="454" w:hanging="454"/>
      </w:pPr>
      <w:r w:rsidRPr="00BC31E0">
        <w:rPr>
          <w:rFonts w:hint="eastAsia"/>
        </w:rPr>
        <w:t>製作者は，材料を熱処理前にクラッド又は溶接オーバレイする場合は，このような熱処理前にクラッド又はオーバレイをしなければならない。</w:t>
      </w:r>
    </w:p>
    <w:p w14:paraId="2E69F68E" w14:textId="77777777" w:rsidR="00CC55FC" w:rsidRPr="00BC31E0" w:rsidRDefault="00CC55FC" w:rsidP="00740398">
      <w:pPr>
        <w:pStyle w:val="3"/>
        <w:tabs>
          <w:tab w:val="clear" w:pos="284"/>
        </w:tabs>
        <w:ind w:left="794" w:hanging="794"/>
      </w:pPr>
      <w:r w:rsidRPr="00BC31E0">
        <w:rPr>
          <w:rFonts w:hint="eastAsia"/>
        </w:rPr>
        <w:t>機械試験規定</w:t>
      </w:r>
    </w:p>
    <w:p w14:paraId="32247C0E" w14:textId="77777777" w:rsidR="00CC55FC" w:rsidRPr="00BC31E0" w:rsidRDefault="00CC55FC" w:rsidP="00E739D8">
      <w:pPr>
        <w:ind w:firstLineChars="100" w:firstLine="210"/>
      </w:pPr>
      <w:r w:rsidRPr="00BC31E0">
        <w:rPr>
          <w:rFonts w:hint="eastAsia"/>
        </w:rPr>
        <w:t>引張及びシャルピー</w:t>
      </w:r>
      <w:r w:rsidRPr="00BC31E0">
        <w:t>V</w:t>
      </w:r>
      <w:r w:rsidRPr="00BC31E0">
        <w:rPr>
          <w:rFonts w:hint="eastAsia"/>
        </w:rPr>
        <w:t>ノッチ</w:t>
      </w:r>
      <w:r w:rsidRPr="00BC31E0">
        <w:rPr>
          <w:rFonts w:hint="eastAsia"/>
        </w:rPr>
        <w:t>(</w:t>
      </w:r>
      <w:r w:rsidRPr="00BC31E0">
        <w:rPr>
          <w:rFonts w:asciiTheme="minorHAnsi" w:hAnsiTheme="minorHAnsi"/>
        </w:rPr>
        <w:t>CVN</w:t>
      </w:r>
      <w:r w:rsidRPr="00BC31E0">
        <w:rPr>
          <w:rFonts w:hint="eastAsia"/>
        </w:rPr>
        <w:t>)</w:t>
      </w:r>
      <w:r w:rsidRPr="00BC31E0">
        <w:rPr>
          <w:rFonts w:hint="eastAsia"/>
        </w:rPr>
        <w:t>衝撃試験は，圧力容器の構造に使用される</w:t>
      </w:r>
      <w:r w:rsidR="00DC160D" w:rsidRPr="00BC31E0">
        <w:rPr>
          <w:rFonts w:hint="eastAsia"/>
        </w:rPr>
        <w:t>全</w:t>
      </w:r>
      <w:r w:rsidRPr="00BC31E0">
        <w:rPr>
          <w:rFonts w:hint="eastAsia"/>
        </w:rPr>
        <w:t>ての材料の代表試験材について行う。ただし，次に示す部材の衝撃試験については，</w:t>
      </w:r>
      <w:r w:rsidRPr="00BC31E0">
        <w:rPr>
          <w:rFonts w:ascii="ＭＳ ゴシック" w:eastAsia="ＭＳ ゴシック" w:hint="eastAsia"/>
          <w:b/>
        </w:rPr>
        <w:t>5.2.7</w:t>
      </w:r>
      <w:r w:rsidRPr="00BC31E0">
        <w:rPr>
          <w:rFonts w:hint="eastAsia"/>
        </w:rPr>
        <w:t>で規定される衝撃試験によらず，その部材の材料規格に規定される衝撃試験による。</w:t>
      </w:r>
    </w:p>
    <w:p w14:paraId="3CB7F017" w14:textId="77777777" w:rsidR="00CC55FC" w:rsidRPr="00BC31E0" w:rsidRDefault="00CC55FC" w:rsidP="00E739D8">
      <w:pPr>
        <w:ind w:leftChars="100" w:left="210"/>
      </w:pPr>
      <w:r w:rsidRPr="00BC31E0">
        <w:rPr>
          <w:rFonts w:hint="eastAsia"/>
        </w:rPr>
        <w:t>・</w:t>
      </w:r>
      <w:r w:rsidRPr="00BC31E0">
        <w:rPr>
          <w:rFonts w:hint="eastAsia"/>
        </w:rPr>
        <w:t xml:space="preserve"> </w:t>
      </w:r>
      <w:r w:rsidRPr="00BC31E0">
        <w:rPr>
          <w:rFonts w:hint="eastAsia"/>
        </w:rPr>
        <w:t>ナット，座金</w:t>
      </w:r>
    </w:p>
    <w:p w14:paraId="7782755F" w14:textId="77777777" w:rsidR="00CC55FC" w:rsidRPr="00BC31E0" w:rsidRDefault="00CC55FC" w:rsidP="00E739D8">
      <w:pPr>
        <w:ind w:leftChars="100" w:left="210"/>
      </w:pPr>
      <w:r w:rsidRPr="00BC31E0">
        <w:rPr>
          <w:rFonts w:hint="eastAsia"/>
        </w:rPr>
        <w:t>・</w:t>
      </w:r>
      <w:r w:rsidRPr="00BC31E0">
        <w:rPr>
          <w:rFonts w:hint="eastAsia"/>
        </w:rPr>
        <w:t xml:space="preserve"> </w:t>
      </w:r>
      <w:r w:rsidRPr="00BC31E0">
        <w:rPr>
          <w:rFonts w:hint="eastAsia"/>
        </w:rPr>
        <w:t>保護用ライニング</w:t>
      </w:r>
    </w:p>
    <w:p w14:paraId="62DDC79A" w14:textId="77777777" w:rsidR="00CC55FC" w:rsidRPr="00BC31E0" w:rsidRDefault="00CC55FC" w:rsidP="00E739D8">
      <w:pPr>
        <w:ind w:leftChars="100" w:left="210"/>
      </w:pPr>
      <w:r w:rsidRPr="00BC31E0">
        <w:rPr>
          <w:rFonts w:hint="eastAsia"/>
        </w:rPr>
        <w:t>・</w:t>
      </w:r>
      <w:r w:rsidRPr="00BC31E0">
        <w:rPr>
          <w:rFonts w:hint="eastAsia"/>
        </w:rPr>
        <w:t xml:space="preserve"> </w:t>
      </w:r>
      <w:r w:rsidRPr="00BC31E0">
        <w:rPr>
          <w:rFonts w:hint="eastAsia"/>
        </w:rPr>
        <w:t>耐圧部材の一体とならない部材</w:t>
      </w:r>
    </w:p>
    <w:p w14:paraId="713F5627" w14:textId="77777777" w:rsidR="00CC55FC" w:rsidRPr="00BC31E0" w:rsidRDefault="00CC55FC" w:rsidP="00E739D8">
      <w:pPr>
        <w:ind w:firstLineChars="100" w:firstLine="210"/>
      </w:pPr>
      <w:r w:rsidRPr="00BC31E0">
        <w:rPr>
          <w:rFonts w:hint="eastAsia"/>
        </w:rPr>
        <w:t>必要な試験片の数，引張試験方法及び衝撃試験方法は，それぞれ次の</w:t>
      </w:r>
      <w:r w:rsidRPr="00BC31E0">
        <w:rPr>
          <w:rFonts w:ascii="ＭＳ ゴシック" w:eastAsia="ＭＳ ゴシック" w:hAnsi="ＭＳ ゴシック" w:hint="eastAsia"/>
          <w:b/>
        </w:rPr>
        <w:t>a)</w:t>
      </w:r>
      <w:r w:rsidRPr="00BC31E0">
        <w:rPr>
          <w:rFonts w:hint="eastAsia"/>
        </w:rPr>
        <w:t>～</w:t>
      </w:r>
      <w:r w:rsidRPr="00BC31E0">
        <w:rPr>
          <w:rFonts w:ascii="ＭＳ ゴシック" w:eastAsia="ＭＳ ゴシック" w:hAnsi="ＭＳ ゴシック" w:hint="eastAsia"/>
          <w:b/>
        </w:rPr>
        <w:t>c)</w:t>
      </w:r>
      <w:r w:rsidRPr="00BC31E0">
        <w:rPr>
          <w:rFonts w:hint="eastAsia"/>
        </w:rPr>
        <w:t>による。</w:t>
      </w:r>
    </w:p>
    <w:p w14:paraId="25D915FF" w14:textId="77777777" w:rsidR="00CC55FC" w:rsidRPr="00BC31E0" w:rsidRDefault="00CC55FC" w:rsidP="007E26D6">
      <w:pPr>
        <w:pStyle w:val="a4"/>
        <w:numPr>
          <w:ilvl w:val="0"/>
          <w:numId w:val="57"/>
        </w:numPr>
        <w:ind w:leftChars="0" w:left="454" w:hanging="454"/>
      </w:pPr>
      <w:r w:rsidRPr="00BC31E0">
        <w:rPr>
          <w:rFonts w:asciiTheme="majorEastAsia" w:eastAsiaTheme="majorEastAsia" w:hAnsiTheme="majorEastAsia" w:hint="eastAsia"/>
          <w:b/>
        </w:rPr>
        <w:t>必要な試験片の数</w:t>
      </w:r>
      <w:r w:rsidRPr="00BC31E0">
        <w:rPr>
          <w:rFonts w:hint="eastAsia"/>
        </w:rPr>
        <w:t xml:space="preserve">　必要な試験片の数は次の</w:t>
      </w:r>
      <w:r w:rsidRPr="00BC31E0">
        <w:rPr>
          <w:rFonts w:asciiTheme="majorEastAsia" w:eastAsiaTheme="majorEastAsia" w:hAnsiTheme="majorEastAsia" w:hint="eastAsia"/>
          <w:b/>
        </w:rPr>
        <w:t>1)</w:t>
      </w:r>
      <w:r w:rsidRPr="00BC31E0">
        <w:rPr>
          <w:rFonts w:hint="eastAsia"/>
        </w:rPr>
        <w:t>～</w:t>
      </w:r>
      <w:r w:rsidRPr="00BC31E0">
        <w:rPr>
          <w:rFonts w:asciiTheme="majorEastAsia" w:eastAsiaTheme="majorEastAsia" w:hAnsiTheme="majorEastAsia" w:hint="eastAsia"/>
          <w:b/>
        </w:rPr>
        <w:t>3)</w:t>
      </w:r>
      <w:r w:rsidRPr="00BC31E0">
        <w:rPr>
          <w:rFonts w:hint="eastAsia"/>
        </w:rPr>
        <w:t>による。</w:t>
      </w:r>
    </w:p>
    <w:p w14:paraId="142DACFC" w14:textId="77777777" w:rsidR="00CC55FC" w:rsidRPr="00BC31E0" w:rsidRDefault="00CC55FC" w:rsidP="007E26D6">
      <w:pPr>
        <w:pStyle w:val="a4"/>
        <w:numPr>
          <w:ilvl w:val="0"/>
          <w:numId w:val="58"/>
        </w:numPr>
        <w:ind w:leftChars="0" w:left="738" w:hanging="454"/>
      </w:pPr>
      <w:r w:rsidRPr="00BC31E0">
        <w:rPr>
          <w:rFonts w:asciiTheme="majorEastAsia" w:eastAsiaTheme="majorEastAsia" w:hAnsiTheme="majorEastAsia" w:hint="eastAsia"/>
          <w:b/>
        </w:rPr>
        <w:t>熱処理重量が</w:t>
      </w:r>
      <w:r w:rsidRPr="00BC31E0">
        <w:rPr>
          <w:rFonts w:asciiTheme="majorEastAsia" w:eastAsiaTheme="majorEastAsia" w:hAnsiTheme="majorEastAsia"/>
          <w:b/>
        </w:rPr>
        <w:t>454 kg</w:t>
      </w:r>
      <w:r w:rsidRPr="00BC31E0">
        <w:rPr>
          <w:rFonts w:asciiTheme="majorEastAsia" w:eastAsiaTheme="majorEastAsia" w:hAnsiTheme="majorEastAsia" w:hint="eastAsia"/>
          <w:b/>
        </w:rPr>
        <w:t>以下の部材又は材料</w:t>
      </w:r>
      <w:r w:rsidRPr="00BC31E0">
        <w:rPr>
          <w:rFonts w:hAnsi="ＭＳ 明朝"/>
        </w:rPr>
        <w:t xml:space="preserve">　ヒート，チャージ</w:t>
      </w:r>
      <w:r w:rsidR="00A82C2A" w:rsidRPr="00BC31E0">
        <w:rPr>
          <w:rFonts w:hAnsi="ＭＳ 明朝" w:hint="eastAsia"/>
        </w:rPr>
        <w:t>ごと</w:t>
      </w:r>
      <w:r w:rsidRPr="00BC31E0">
        <w:rPr>
          <w:rFonts w:hAnsi="ＭＳ 明朝"/>
        </w:rPr>
        <w:t>に，引張試験片</w:t>
      </w:r>
      <w:r w:rsidRPr="00BC31E0">
        <w:t>1</w:t>
      </w:r>
      <w:r w:rsidRPr="00BC31E0">
        <w:rPr>
          <w:rFonts w:hAnsi="ＭＳ 明朝"/>
        </w:rPr>
        <w:t>本と</w:t>
      </w:r>
      <w:r w:rsidRPr="00BC31E0">
        <w:t>CVN</w:t>
      </w:r>
      <w:r w:rsidRPr="00BC31E0">
        <w:rPr>
          <w:rFonts w:hAnsi="ＭＳ 明朝"/>
        </w:rPr>
        <w:t>衝撃試験片一組</w:t>
      </w:r>
      <w:r w:rsidRPr="00BC31E0">
        <w:t>(</w:t>
      </w:r>
      <w:r w:rsidRPr="00BC31E0">
        <w:rPr>
          <w:rFonts w:asciiTheme="minorHAnsi" w:hAnsiTheme="minorHAnsi"/>
        </w:rPr>
        <w:t>3</w:t>
      </w:r>
      <w:r w:rsidRPr="00BC31E0">
        <w:rPr>
          <w:rFonts w:hAnsi="ＭＳ 明朝"/>
        </w:rPr>
        <w:t>本</w:t>
      </w:r>
      <w:r w:rsidRPr="00BC31E0">
        <w:t>)</w:t>
      </w:r>
      <w:r w:rsidRPr="00BC31E0">
        <w:rPr>
          <w:rFonts w:hAnsi="ＭＳ 明朝"/>
        </w:rPr>
        <w:t>を採取する。</w:t>
      </w:r>
    </w:p>
    <w:p w14:paraId="3751EEC1" w14:textId="77777777" w:rsidR="00CC55FC" w:rsidRPr="00BC31E0" w:rsidRDefault="00CC55FC" w:rsidP="007E26D6">
      <w:pPr>
        <w:pStyle w:val="a4"/>
        <w:numPr>
          <w:ilvl w:val="0"/>
          <w:numId w:val="58"/>
        </w:numPr>
        <w:ind w:leftChars="0" w:left="738" w:hanging="454"/>
      </w:pPr>
      <w:r w:rsidRPr="00BC31E0">
        <w:rPr>
          <w:rFonts w:asciiTheme="majorEastAsia" w:eastAsiaTheme="majorEastAsia" w:hAnsiTheme="majorEastAsia" w:hint="eastAsia"/>
          <w:b/>
        </w:rPr>
        <w:t>熱処理重量が</w:t>
      </w:r>
      <w:r w:rsidRPr="00BC31E0">
        <w:rPr>
          <w:rFonts w:asciiTheme="majorEastAsia" w:eastAsiaTheme="majorEastAsia" w:hAnsiTheme="majorEastAsia"/>
          <w:b/>
        </w:rPr>
        <w:t>454</w:t>
      </w:r>
      <w:r w:rsidRPr="00BC31E0">
        <w:rPr>
          <w:rFonts w:asciiTheme="majorEastAsia" w:eastAsiaTheme="majorEastAsia" w:hAnsiTheme="majorEastAsia" w:hint="eastAsia"/>
          <w:b/>
        </w:rPr>
        <w:t>～</w:t>
      </w:r>
      <w:r w:rsidRPr="00BC31E0">
        <w:rPr>
          <w:rFonts w:asciiTheme="majorEastAsia" w:eastAsiaTheme="majorEastAsia" w:hAnsiTheme="majorEastAsia"/>
          <w:b/>
        </w:rPr>
        <w:t>2,270 kg</w:t>
      </w:r>
      <w:r w:rsidRPr="00BC31E0">
        <w:rPr>
          <w:rFonts w:asciiTheme="majorEastAsia" w:eastAsiaTheme="majorEastAsia" w:hAnsiTheme="majorEastAsia" w:hint="eastAsia"/>
          <w:b/>
        </w:rPr>
        <w:t>の部材又は材料</w:t>
      </w:r>
      <w:r w:rsidRPr="00BC31E0">
        <w:rPr>
          <w:rFonts w:hAnsi="ＭＳ 明朝"/>
        </w:rPr>
        <w:t xml:space="preserve">　</w:t>
      </w:r>
      <w:r w:rsidRPr="00BC31E0">
        <w:t>部材，板材，鍛造</w:t>
      </w:r>
      <w:r w:rsidRPr="00BC31E0">
        <w:rPr>
          <w:rFonts w:hint="eastAsia"/>
        </w:rPr>
        <w:t>品</w:t>
      </w:r>
      <w:r w:rsidR="00A82C2A" w:rsidRPr="00BC31E0">
        <w:rPr>
          <w:rFonts w:hint="eastAsia"/>
        </w:rPr>
        <w:t>ごと</w:t>
      </w:r>
      <w:r w:rsidRPr="00BC31E0">
        <w:t>に，引張試験片</w:t>
      </w:r>
      <w:r w:rsidRPr="00BC31E0">
        <w:t>1</w:t>
      </w:r>
      <w:r w:rsidRPr="00BC31E0">
        <w:t>本と</w:t>
      </w:r>
      <w:r w:rsidRPr="00BC31E0">
        <w:t>CVN</w:t>
      </w:r>
      <w:r w:rsidRPr="00BC31E0">
        <w:t>衝撃試験片一組</w:t>
      </w:r>
      <w:r w:rsidRPr="00BC31E0">
        <w:t>(3</w:t>
      </w:r>
      <w:r w:rsidRPr="00BC31E0">
        <w:t>本</w:t>
      </w:r>
      <w:r w:rsidRPr="00BC31E0">
        <w:t>)</w:t>
      </w:r>
      <w:r w:rsidRPr="00BC31E0">
        <w:t>を採取する。ただし，試験用余長を除く長さが</w:t>
      </w:r>
      <w:r w:rsidRPr="00BC31E0">
        <w:t>2,030 mm</w:t>
      </w:r>
      <w:r w:rsidRPr="00BC31E0">
        <w:t>を超える場合には，部材と鍛造</w:t>
      </w:r>
      <w:r w:rsidRPr="00BC31E0">
        <w:rPr>
          <w:rFonts w:hint="eastAsia"/>
        </w:rPr>
        <w:t>品</w:t>
      </w:r>
      <w:r w:rsidRPr="00BC31E0">
        <w:t>では，両端において</w:t>
      </w:r>
      <w:r w:rsidRPr="00BC31E0">
        <w:t>180°</w:t>
      </w:r>
      <w:r w:rsidRPr="00BC31E0">
        <w:t>離れた位置で一組</w:t>
      </w:r>
      <w:r w:rsidRPr="00BC31E0">
        <w:rPr>
          <w:rFonts w:hint="eastAsia"/>
        </w:rPr>
        <w:t>ずつ</w:t>
      </w:r>
      <w:r w:rsidRPr="00BC31E0">
        <w:t>(</w:t>
      </w:r>
      <w:r w:rsidRPr="00BC31E0">
        <w:t>計二組</w:t>
      </w:r>
      <w:r w:rsidRPr="00BC31E0">
        <w:t>)</w:t>
      </w:r>
      <w:r w:rsidRPr="00BC31E0">
        <w:rPr>
          <w:rFonts w:hint="eastAsia"/>
        </w:rPr>
        <w:t>の</w:t>
      </w:r>
      <w:r w:rsidRPr="00BC31E0">
        <w:t>試験片を採取する。板</w:t>
      </w:r>
      <w:r w:rsidRPr="00BC31E0">
        <w:rPr>
          <w:rFonts w:hint="eastAsia"/>
        </w:rPr>
        <w:t>材</w:t>
      </w:r>
      <w:r w:rsidRPr="00BC31E0">
        <w:t>では，両端において対角位置から一組</w:t>
      </w:r>
      <w:r w:rsidRPr="00BC31E0">
        <w:rPr>
          <w:rFonts w:hint="eastAsia"/>
        </w:rPr>
        <w:t>ずつ</w:t>
      </w:r>
      <w:r w:rsidRPr="00BC31E0">
        <w:t>(</w:t>
      </w:r>
      <w:r w:rsidRPr="00BC31E0">
        <w:t>計二組</w:t>
      </w:r>
      <w:r w:rsidRPr="00BC31E0">
        <w:t>)</w:t>
      </w:r>
      <w:r w:rsidRPr="00BC31E0">
        <w:t>の試験片を採取する。</w:t>
      </w:r>
    </w:p>
    <w:p w14:paraId="5D412639" w14:textId="77777777" w:rsidR="00CC55FC" w:rsidRPr="00BC31E0" w:rsidRDefault="00CC55FC" w:rsidP="007E26D6">
      <w:pPr>
        <w:pStyle w:val="a4"/>
        <w:numPr>
          <w:ilvl w:val="0"/>
          <w:numId w:val="59"/>
        </w:numPr>
        <w:ind w:leftChars="0" w:left="738" w:hanging="454"/>
      </w:pPr>
      <w:r w:rsidRPr="00BC31E0">
        <w:rPr>
          <w:rFonts w:asciiTheme="majorEastAsia" w:eastAsiaTheme="majorEastAsia" w:hAnsiTheme="majorEastAsia" w:hint="eastAsia"/>
          <w:b/>
        </w:rPr>
        <w:t>熱処理重量が</w:t>
      </w:r>
      <w:r w:rsidRPr="00BC31E0">
        <w:rPr>
          <w:rFonts w:asciiTheme="majorEastAsia" w:eastAsiaTheme="majorEastAsia" w:hAnsiTheme="majorEastAsia"/>
          <w:b/>
        </w:rPr>
        <w:t>2,270 kg</w:t>
      </w:r>
      <w:r w:rsidRPr="00BC31E0">
        <w:rPr>
          <w:rFonts w:asciiTheme="majorEastAsia" w:eastAsiaTheme="majorEastAsia" w:hAnsiTheme="majorEastAsia" w:hint="eastAsia"/>
          <w:b/>
        </w:rPr>
        <w:t>を超える部材又は材料</w:t>
      </w:r>
      <w:r w:rsidRPr="00BC31E0">
        <w:rPr>
          <w:rFonts w:hAnsi="ＭＳ 明朝"/>
        </w:rPr>
        <w:t xml:space="preserve">　</w:t>
      </w:r>
      <w:r w:rsidRPr="00BC31E0">
        <w:t>部材，板材，鍛造品</w:t>
      </w:r>
      <w:r w:rsidR="00A82C2A" w:rsidRPr="00BC31E0">
        <w:rPr>
          <w:rFonts w:hint="eastAsia"/>
        </w:rPr>
        <w:t>ごと</w:t>
      </w:r>
      <w:r w:rsidRPr="00BC31E0">
        <w:t>に，引張試験片</w:t>
      </w:r>
      <w:r w:rsidRPr="00BC31E0">
        <w:t>2</w:t>
      </w:r>
      <w:r w:rsidRPr="00BC31E0">
        <w:t>本と</w:t>
      </w:r>
      <w:r w:rsidRPr="00BC31E0">
        <w:t>CVN</w:t>
      </w:r>
      <w:r w:rsidRPr="00BC31E0">
        <w:t>衝撃試験片二組</w:t>
      </w:r>
      <w:r w:rsidRPr="00BC31E0">
        <w:t>(</w:t>
      </w:r>
      <w:r w:rsidRPr="00BC31E0">
        <w:t>各</w:t>
      </w:r>
      <w:r w:rsidRPr="00BC31E0">
        <w:t>3</w:t>
      </w:r>
      <w:r w:rsidRPr="00BC31E0">
        <w:t>本</w:t>
      </w:r>
      <w:r w:rsidRPr="00BC31E0">
        <w:t>)</w:t>
      </w:r>
      <w:r w:rsidRPr="00BC31E0">
        <w:t>を採取する。部材と鍛造品では，両端において</w:t>
      </w:r>
      <w:r w:rsidRPr="00BC31E0">
        <w:t>180°</w:t>
      </w:r>
      <w:r w:rsidRPr="00BC31E0">
        <w:t>離れた位置で一組</w:t>
      </w:r>
      <w:r w:rsidRPr="00BC31E0">
        <w:rPr>
          <w:rFonts w:hint="eastAsia"/>
        </w:rPr>
        <w:t>ず</w:t>
      </w:r>
      <w:r w:rsidRPr="00BC31E0">
        <w:t>つ</w:t>
      </w:r>
      <w:r w:rsidRPr="00BC31E0">
        <w:t>(</w:t>
      </w:r>
      <w:r w:rsidRPr="00BC31E0">
        <w:t>計二組</w:t>
      </w:r>
      <w:r w:rsidRPr="00BC31E0">
        <w:t>)</w:t>
      </w:r>
      <w:r w:rsidRPr="00BC31E0">
        <w:t>の試験片を採取する。板</w:t>
      </w:r>
      <w:r w:rsidRPr="00BC31E0">
        <w:rPr>
          <w:rFonts w:hint="eastAsia"/>
        </w:rPr>
        <w:t>材</w:t>
      </w:r>
      <w:r w:rsidRPr="00BC31E0">
        <w:t>では，両端において対角位置から一組</w:t>
      </w:r>
      <w:r w:rsidRPr="00BC31E0">
        <w:rPr>
          <w:rFonts w:hint="eastAsia"/>
        </w:rPr>
        <w:t>ずつ</w:t>
      </w:r>
      <w:r w:rsidRPr="00BC31E0">
        <w:t>(</w:t>
      </w:r>
      <w:r w:rsidRPr="00BC31E0">
        <w:t>計二組</w:t>
      </w:r>
      <w:r w:rsidRPr="00BC31E0">
        <w:t>)</w:t>
      </w:r>
      <w:r w:rsidRPr="00BC31E0">
        <w:t>の試験片を採取する。ただし，試験用余長を除く長さが</w:t>
      </w:r>
      <w:r w:rsidRPr="00BC31E0">
        <w:t>2,030 mm</w:t>
      </w:r>
      <w:r w:rsidRPr="00BC31E0">
        <w:t>を超える場合には，両端において二組</w:t>
      </w:r>
      <w:r w:rsidRPr="00BC31E0">
        <w:rPr>
          <w:rFonts w:hint="eastAsia"/>
        </w:rPr>
        <w:t>ずつ</w:t>
      </w:r>
      <w:r w:rsidRPr="00BC31E0">
        <w:t>(</w:t>
      </w:r>
      <w:r w:rsidRPr="00BC31E0">
        <w:t>計四組</w:t>
      </w:r>
      <w:r w:rsidRPr="00BC31E0">
        <w:t>)</w:t>
      </w:r>
      <w:r w:rsidRPr="00BC31E0">
        <w:t>，すなわち，部材と鍛造品では一端で</w:t>
      </w:r>
      <w:r w:rsidRPr="00BC31E0">
        <w:t>0°</w:t>
      </w:r>
      <w:r w:rsidRPr="00BC31E0">
        <w:t>と</w:t>
      </w:r>
      <w:r w:rsidRPr="00BC31E0">
        <w:t>180°</w:t>
      </w:r>
      <w:r w:rsidRPr="00BC31E0">
        <w:t>位置，もう一端で</w:t>
      </w:r>
      <w:r w:rsidRPr="00BC31E0">
        <w:t>90°</w:t>
      </w:r>
      <w:r w:rsidRPr="00BC31E0">
        <w:t>と</w:t>
      </w:r>
      <w:r w:rsidRPr="00BC31E0">
        <w:t>270°</w:t>
      </w:r>
      <w:r w:rsidRPr="00BC31E0">
        <w:t>位置から，板</w:t>
      </w:r>
      <w:r w:rsidRPr="00BC31E0">
        <w:rPr>
          <w:rFonts w:hint="eastAsia"/>
        </w:rPr>
        <w:t>材</w:t>
      </w:r>
      <w:r w:rsidRPr="00BC31E0">
        <w:t>では四隅</w:t>
      </w:r>
      <w:r w:rsidRPr="00BC31E0">
        <w:rPr>
          <w:rFonts w:hint="eastAsia"/>
        </w:rPr>
        <w:t>位置</w:t>
      </w:r>
      <w:r w:rsidRPr="00BC31E0">
        <w:t>から</w:t>
      </w:r>
      <w:r w:rsidRPr="00BC31E0">
        <w:rPr>
          <w:rFonts w:hint="eastAsia"/>
        </w:rPr>
        <w:t>試験片を</w:t>
      </w:r>
      <w:r w:rsidRPr="00BC31E0">
        <w:t>採取する。</w:t>
      </w:r>
    </w:p>
    <w:p w14:paraId="276436D2" w14:textId="77777777" w:rsidR="00CC55FC" w:rsidRPr="00BC31E0" w:rsidRDefault="00CC55FC" w:rsidP="007E26D6">
      <w:pPr>
        <w:pStyle w:val="a4"/>
        <w:numPr>
          <w:ilvl w:val="0"/>
          <w:numId w:val="57"/>
        </w:numPr>
        <w:ind w:leftChars="0" w:left="454" w:hanging="454"/>
      </w:pPr>
      <w:r w:rsidRPr="00BC31E0">
        <w:rPr>
          <w:rFonts w:asciiTheme="majorEastAsia" w:eastAsiaTheme="majorEastAsia" w:hAnsiTheme="majorEastAsia" w:hint="eastAsia"/>
          <w:b/>
        </w:rPr>
        <w:t>引張試験方法</w:t>
      </w:r>
      <w:r w:rsidRPr="00BC31E0">
        <w:rPr>
          <w:rFonts w:hint="eastAsia"/>
        </w:rPr>
        <w:t xml:space="preserve">　</w:t>
      </w:r>
      <w:r w:rsidRPr="00BC31E0">
        <w:rPr>
          <w:rFonts w:asciiTheme="majorEastAsia" w:eastAsiaTheme="majorEastAsia" w:hAnsiTheme="majorEastAsia" w:hint="eastAsia"/>
          <w:b/>
        </w:rPr>
        <w:t>JIS Z 2241</w:t>
      </w:r>
      <w:r w:rsidRPr="00BC31E0">
        <w:rPr>
          <w:rFonts w:hint="eastAsia"/>
        </w:rPr>
        <w:t>による。</w:t>
      </w:r>
    </w:p>
    <w:p w14:paraId="4A97CF29" w14:textId="77777777" w:rsidR="00CC55FC" w:rsidRPr="00BC31E0" w:rsidRDefault="00CC55FC" w:rsidP="007E26D6">
      <w:pPr>
        <w:pStyle w:val="a4"/>
        <w:numPr>
          <w:ilvl w:val="0"/>
          <w:numId w:val="60"/>
        </w:numPr>
        <w:ind w:leftChars="0" w:left="454" w:hanging="454"/>
      </w:pPr>
      <w:r w:rsidRPr="00BC31E0">
        <w:rPr>
          <w:rFonts w:asciiTheme="majorEastAsia" w:eastAsiaTheme="majorEastAsia" w:hAnsiTheme="majorEastAsia" w:hint="eastAsia"/>
          <w:b/>
        </w:rPr>
        <w:t>衝撃試験方法</w:t>
      </w:r>
      <w:r w:rsidRPr="00BC31E0">
        <w:rPr>
          <w:rFonts w:hint="eastAsia"/>
        </w:rPr>
        <w:t xml:space="preserve">　</w:t>
      </w:r>
      <w:r w:rsidRPr="00BC31E0">
        <w:rPr>
          <w:rFonts w:asciiTheme="majorEastAsia" w:eastAsiaTheme="majorEastAsia" w:hAnsiTheme="majorEastAsia" w:hint="eastAsia"/>
          <w:b/>
        </w:rPr>
        <w:t>5.2.3</w:t>
      </w:r>
      <w:r w:rsidRPr="00BC31E0">
        <w:rPr>
          <w:rFonts w:hint="eastAsia"/>
        </w:rPr>
        <w:t>で許される場合を除いて，</w:t>
      </w:r>
      <w:r w:rsidRPr="00BC31E0">
        <w:rPr>
          <w:rFonts w:asciiTheme="majorEastAsia" w:eastAsiaTheme="majorEastAsia" w:hAnsiTheme="majorEastAsia" w:hint="eastAsia"/>
          <w:b/>
        </w:rPr>
        <w:t>JIS Z 2242</w:t>
      </w:r>
      <w:r w:rsidRPr="00BC31E0">
        <w:rPr>
          <w:rFonts w:hint="eastAsia"/>
        </w:rPr>
        <w:t>に示す</w:t>
      </w:r>
      <w:r w:rsidRPr="00BC31E0">
        <w:t>10 mm×10 mm</w:t>
      </w:r>
      <w:r w:rsidRPr="00BC31E0">
        <w:rPr>
          <w:rFonts w:hint="eastAsia"/>
        </w:rPr>
        <w:t>標準試験片を用い，</w:t>
      </w:r>
      <w:r w:rsidRPr="00BC31E0">
        <w:rPr>
          <w:rFonts w:asciiTheme="majorEastAsia" w:eastAsiaTheme="majorEastAsia" w:hAnsiTheme="majorEastAsia" w:hint="eastAsia"/>
          <w:b/>
        </w:rPr>
        <w:t>JIS Z 2243</w:t>
      </w:r>
      <w:r w:rsidRPr="00BC31E0">
        <w:rPr>
          <w:rFonts w:ascii="ＭＳ 明朝" w:hint="eastAsia"/>
        </w:rPr>
        <w:t>により試験を実施する。</w:t>
      </w:r>
    </w:p>
    <w:p w14:paraId="3CF32C90" w14:textId="77777777" w:rsidR="00CC55FC" w:rsidRPr="00BC31E0" w:rsidRDefault="00CC55FC" w:rsidP="00740398">
      <w:pPr>
        <w:pStyle w:val="3"/>
        <w:tabs>
          <w:tab w:val="clear" w:pos="284"/>
        </w:tabs>
        <w:ind w:left="794" w:hanging="794"/>
      </w:pPr>
      <w:r w:rsidRPr="00BC31E0">
        <w:rPr>
          <w:rFonts w:hint="eastAsia"/>
        </w:rPr>
        <w:t>シャルピーVノッチ</w:t>
      </w:r>
      <w:r w:rsidR="00E739D8" w:rsidRPr="00BC31E0">
        <w:rPr>
          <w:rFonts w:hint="eastAsia"/>
        </w:rPr>
        <w:t>(</w:t>
      </w:r>
      <w:r w:rsidR="00E739D8" w:rsidRPr="00BC31E0">
        <w:rPr>
          <w:rFonts w:asciiTheme="majorEastAsia" w:eastAsiaTheme="majorEastAsia" w:hAnsiTheme="majorEastAsia"/>
        </w:rPr>
        <w:t>CVN</w:t>
      </w:r>
      <w:r w:rsidR="00E739D8" w:rsidRPr="00BC31E0">
        <w:rPr>
          <w:rFonts w:hint="eastAsia"/>
        </w:rPr>
        <w:t>)</w:t>
      </w:r>
      <w:r w:rsidRPr="00BC31E0">
        <w:rPr>
          <w:rFonts w:hint="eastAsia"/>
        </w:rPr>
        <w:t>衝撃試験規定</w:t>
      </w:r>
    </w:p>
    <w:p w14:paraId="580173E4" w14:textId="77777777" w:rsidR="00CC55FC" w:rsidRPr="00BC31E0" w:rsidRDefault="00CC55FC" w:rsidP="00145C5B">
      <w:pPr>
        <w:pStyle w:val="1110"/>
        <w:ind w:firstLine="210"/>
      </w:pPr>
      <w:r w:rsidRPr="00BC31E0">
        <w:rPr>
          <w:rFonts w:hint="eastAsia"/>
        </w:rPr>
        <w:t>シャルピー</w:t>
      </w:r>
      <w:r w:rsidRPr="00BC31E0">
        <w:rPr>
          <w:rFonts w:hint="eastAsia"/>
        </w:rPr>
        <w:t>V</w:t>
      </w:r>
      <w:r w:rsidRPr="00BC31E0">
        <w:rPr>
          <w:rFonts w:hint="eastAsia"/>
        </w:rPr>
        <w:t>ノッチ</w:t>
      </w:r>
      <w:r w:rsidR="00145C5B" w:rsidRPr="00BC31E0">
        <w:rPr>
          <w:rFonts w:hint="eastAsia"/>
        </w:rPr>
        <w:t>(CVN)</w:t>
      </w:r>
      <w:r w:rsidRPr="00BC31E0">
        <w:rPr>
          <w:rFonts w:hint="eastAsia"/>
        </w:rPr>
        <w:t>衝撃試験規定は</w:t>
      </w:r>
      <w:r w:rsidR="00B63DE7" w:rsidRPr="00BC31E0">
        <w:rPr>
          <w:rFonts w:hint="eastAsia"/>
        </w:rPr>
        <w:t>，</w:t>
      </w:r>
      <w:r w:rsidRPr="00BC31E0">
        <w:rPr>
          <w:rFonts w:hint="eastAsia"/>
        </w:rPr>
        <w:t>次の</w:t>
      </w:r>
      <w:r w:rsidRPr="00BC31E0">
        <w:rPr>
          <w:rFonts w:ascii="ＭＳ ゴシック" w:hAnsi="ＭＳ ゴシック" w:hint="eastAsia"/>
          <w:b/>
        </w:rPr>
        <w:t>a)</w:t>
      </w:r>
      <w:r w:rsidRPr="00BC31E0">
        <w:rPr>
          <w:rFonts w:hint="eastAsia"/>
        </w:rPr>
        <w:t>～</w:t>
      </w:r>
      <w:r w:rsidRPr="00BC31E0">
        <w:rPr>
          <w:rFonts w:ascii="ＭＳ ゴシック" w:hAnsi="ＭＳ ゴシック" w:hint="eastAsia"/>
          <w:b/>
        </w:rPr>
        <w:t>c)</w:t>
      </w:r>
      <w:r w:rsidRPr="00BC31E0">
        <w:rPr>
          <w:rFonts w:hint="eastAsia"/>
        </w:rPr>
        <w:t>による。</w:t>
      </w:r>
    </w:p>
    <w:p w14:paraId="4AC7DB07" w14:textId="77777777" w:rsidR="00CC55FC" w:rsidRPr="00BC31E0" w:rsidRDefault="00CC55FC" w:rsidP="007E26D6">
      <w:pPr>
        <w:pStyle w:val="a4"/>
        <w:numPr>
          <w:ilvl w:val="0"/>
          <w:numId w:val="61"/>
        </w:numPr>
        <w:ind w:leftChars="0" w:left="454" w:hanging="454"/>
      </w:pPr>
      <w:r w:rsidRPr="00BC31E0">
        <w:rPr>
          <w:rFonts w:asciiTheme="majorEastAsia" w:eastAsiaTheme="majorEastAsia" w:hAnsiTheme="majorEastAsia" w:hint="eastAsia"/>
          <w:b/>
        </w:rPr>
        <w:t>衝撃試験温度</w:t>
      </w:r>
      <w:r w:rsidRPr="00BC31E0">
        <w:rPr>
          <w:rFonts w:hint="eastAsia"/>
        </w:rPr>
        <w:t xml:space="preserve">　衝撃試験温度は，次の</w:t>
      </w:r>
      <w:r w:rsidRPr="00BC31E0">
        <w:rPr>
          <w:rFonts w:asciiTheme="majorEastAsia" w:eastAsiaTheme="majorEastAsia" w:hAnsiTheme="majorEastAsia" w:hint="eastAsia"/>
          <w:b/>
        </w:rPr>
        <w:t>1)</w:t>
      </w:r>
      <w:r w:rsidRPr="00BC31E0">
        <w:rPr>
          <w:rFonts w:hAnsi="ＭＳ 明朝" w:hint="eastAsia"/>
        </w:rPr>
        <w:t>，</w:t>
      </w:r>
      <w:r w:rsidRPr="00BC31E0">
        <w:rPr>
          <w:rFonts w:asciiTheme="majorEastAsia" w:eastAsiaTheme="majorEastAsia" w:hAnsiTheme="majorEastAsia" w:hint="eastAsia"/>
          <w:b/>
        </w:rPr>
        <w:t>2)</w:t>
      </w:r>
      <w:r w:rsidRPr="00BC31E0">
        <w:rPr>
          <w:rFonts w:hint="eastAsia"/>
        </w:rPr>
        <w:t>による。</w:t>
      </w:r>
    </w:p>
    <w:p w14:paraId="702A7647" w14:textId="77777777" w:rsidR="00CC55FC" w:rsidRPr="00BC31E0" w:rsidRDefault="00CC55FC" w:rsidP="007E26D6">
      <w:pPr>
        <w:pStyle w:val="a4"/>
        <w:numPr>
          <w:ilvl w:val="0"/>
          <w:numId w:val="62"/>
        </w:numPr>
        <w:ind w:leftChars="0" w:left="738" w:hanging="454"/>
      </w:pPr>
      <w:r w:rsidRPr="00BC31E0">
        <w:rPr>
          <w:rFonts w:hint="eastAsia"/>
        </w:rPr>
        <w:t>衝撃試験温度は，</w:t>
      </w:r>
      <w:r w:rsidRPr="00BC31E0">
        <w:t>21</w:t>
      </w:r>
      <w:r w:rsidRPr="00BC31E0">
        <w:rPr>
          <w:rFonts w:ascii="ＭＳ 明朝" w:hAnsi="ＭＳ 明朝" w:cs="ＭＳ 明朝" w:hint="eastAsia"/>
        </w:rPr>
        <w:t>℃</w:t>
      </w:r>
      <w:r w:rsidRPr="00BC31E0">
        <w:rPr>
          <w:rFonts w:hint="eastAsia"/>
        </w:rPr>
        <w:t>及び最低設計金属温度</w:t>
      </w:r>
      <w:r w:rsidRPr="00BC31E0">
        <w:rPr>
          <w:rFonts w:hint="eastAsia"/>
        </w:rPr>
        <w:t>(MDMT)</w:t>
      </w:r>
      <w:r w:rsidRPr="00BC31E0">
        <w:rPr>
          <w:rFonts w:hint="eastAsia"/>
        </w:rPr>
        <w:t>の両方から，</w:t>
      </w:r>
      <w:r w:rsidRPr="00BC31E0">
        <w:rPr>
          <w:rFonts w:ascii="ＭＳ ゴシック" w:eastAsia="ＭＳ ゴシック" w:hAnsi="ＭＳ ゴシック" w:hint="eastAsia"/>
          <w:b/>
          <w:bCs/>
        </w:rPr>
        <w:t>表5.2.1</w:t>
      </w:r>
      <w:r w:rsidRPr="00BC31E0">
        <w:rPr>
          <w:rFonts w:hint="eastAsia"/>
        </w:rPr>
        <w:t>に掲げる試験片の幅に応じて同表の掲げる低減温度の値を減じた温度のいずれか低い方の温度を超えてはならない。</w:t>
      </w:r>
    </w:p>
    <w:p w14:paraId="280880B9" w14:textId="77777777" w:rsidR="00CC55FC" w:rsidRPr="00BC31E0" w:rsidRDefault="00CC55FC" w:rsidP="007E26D6">
      <w:pPr>
        <w:pStyle w:val="a4"/>
        <w:numPr>
          <w:ilvl w:val="0"/>
          <w:numId w:val="62"/>
        </w:numPr>
        <w:ind w:leftChars="0" w:left="738" w:hanging="454"/>
      </w:pPr>
      <w:r w:rsidRPr="00BC31E0">
        <w:rPr>
          <w:rFonts w:ascii="ＭＳ ゴシック" w:eastAsia="ＭＳ ゴシック" w:hAnsi="ＭＳ ゴシック" w:hint="eastAsia"/>
          <w:b/>
          <w:bCs/>
        </w:rPr>
        <w:t>5.2.3 a) 3)</w:t>
      </w:r>
      <w:r w:rsidRPr="00BC31E0">
        <w:rPr>
          <w:rFonts w:hint="eastAsia"/>
        </w:rPr>
        <w:t>，</w:t>
      </w:r>
      <w:r w:rsidRPr="00BC31E0">
        <w:rPr>
          <w:rFonts w:ascii="ＭＳ ゴシック" w:eastAsia="ＭＳ ゴシック" w:hAnsi="ＭＳ ゴシック" w:hint="eastAsia"/>
          <w:b/>
          <w:bCs/>
        </w:rPr>
        <w:t>5.2.3 b) 4)</w:t>
      </w:r>
      <w:r w:rsidRPr="00BC31E0">
        <w:rPr>
          <w:rFonts w:hint="eastAsia"/>
        </w:rPr>
        <w:t>及び</w:t>
      </w:r>
      <w:r w:rsidRPr="00BC31E0">
        <w:rPr>
          <w:rFonts w:ascii="ＭＳ ゴシック" w:eastAsia="ＭＳ ゴシック" w:hAnsi="ＭＳ ゴシック" w:hint="eastAsia"/>
          <w:b/>
          <w:bCs/>
        </w:rPr>
        <w:t>5.2.3 c) 3)</w:t>
      </w:r>
      <w:r w:rsidRPr="00BC31E0">
        <w:rPr>
          <w:rFonts w:hint="eastAsia"/>
        </w:rPr>
        <w:t>で衝撃試験免除となる耐圧部材については，最低設計金属温度をオーステナイト鋼に対して</w:t>
      </w:r>
      <w:r w:rsidRPr="00BC31E0">
        <w:rPr>
          <w:rFonts w:asciiTheme="minorEastAsia" w:eastAsiaTheme="minorEastAsia" w:hAnsiTheme="minorEastAsia"/>
        </w:rPr>
        <w:t>-</w:t>
      </w:r>
      <w:r w:rsidRPr="00BC31E0">
        <w:t>200</w:t>
      </w:r>
      <w:r w:rsidRPr="00BC31E0">
        <w:rPr>
          <w:rFonts w:ascii="ＭＳ 明朝" w:hAnsi="ＭＳ 明朝" w:cs="ＭＳ 明朝" w:hint="eastAsia"/>
        </w:rPr>
        <w:t>℃</w:t>
      </w:r>
      <w:r w:rsidRPr="00BC31E0">
        <w:rPr>
          <w:rFonts w:hint="eastAsia"/>
        </w:rPr>
        <w:t>，その他の材料に対しては</w:t>
      </w:r>
      <w:r w:rsidRPr="00BC31E0">
        <w:rPr>
          <w:rFonts w:asciiTheme="minorEastAsia" w:eastAsiaTheme="minorEastAsia" w:hAnsiTheme="minorEastAsia"/>
        </w:rPr>
        <w:t>-</w:t>
      </w:r>
      <w:r w:rsidRPr="00BC31E0">
        <w:t>45</w:t>
      </w:r>
      <w:r w:rsidRPr="00BC31E0">
        <w:rPr>
          <w:rFonts w:ascii="ＭＳ 明朝" w:hAnsi="ＭＳ 明朝" w:cs="ＭＳ 明朝" w:hint="eastAsia"/>
        </w:rPr>
        <w:t>℃</w:t>
      </w:r>
      <w:r w:rsidRPr="00BC31E0">
        <w:rPr>
          <w:rFonts w:hint="eastAsia"/>
        </w:rPr>
        <w:t>より低くしてはならない。</w:t>
      </w:r>
    </w:p>
    <w:p w14:paraId="693F07A8" w14:textId="77777777" w:rsidR="00CC55FC" w:rsidRPr="00BC31E0" w:rsidRDefault="00CC55FC" w:rsidP="007E26D6">
      <w:pPr>
        <w:pStyle w:val="a4"/>
        <w:numPr>
          <w:ilvl w:val="0"/>
          <w:numId w:val="61"/>
        </w:numPr>
        <w:ind w:leftChars="0" w:left="454" w:hanging="454"/>
      </w:pPr>
      <w:r w:rsidRPr="00BC31E0">
        <w:rPr>
          <w:rFonts w:asciiTheme="majorEastAsia" w:eastAsiaTheme="majorEastAsia" w:hAnsiTheme="majorEastAsia" w:hint="eastAsia"/>
          <w:b/>
        </w:rPr>
        <w:lastRenderedPageBreak/>
        <w:t>吸収エネルギー値の合格基準</w:t>
      </w:r>
      <w:r w:rsidRPr="00BC31E0">
        <w:rPr>
          <w:rFonts w:hint="eastAsia"/>
        </w:rPr>
        <w:t xml:space="preserve">　吸収エネルギー値の合格基準は，次の</w:t>
      </w:r>
      <w:r w:rsidRPr="00BC31E0">
        <w:rPr>
          <w:rFonts w:asciiTheme="majorEastAsia" w:eastAsiaTheme="majorEastAsia" w:hAnsiTheme="majorEastAsia" w:hint="eastAsia"/>
          <w:b/>
        </w:rPr>
        <w:t>1)</w:t>
      </w:r>
      <w:r w:rsidRPr="00BC31E0">
        <w:rPr>
          <w:rFonts w:hint="eastAsia"/>
        </w:rPr>
        <w:t>，</w:t>
      </w:r>
      <w:r w:rsidRPr="00BC31E0">
        <w:rPr>
          <w:rFonts w:asciiTheme="majorEastAsia" w:eastAsiaTheme="majorEastAsia" w:hAnsiTheme="majorEastAsia" w:hint="eastAsia"/>
          <w:b/>
        </w:rPr>
        <w:t>2)</w:t>
      </w:r>
      <w:r w:rsidRPr="00BC31E0">
        <w:rPr>
          <w:rFonts w:hint="eastAsia"/>
        </w:rPr>
        <w:t>による。</w:t>
      </w:r>
    </w:p>
    <w:p w14:paraId="321598B1" w14:textId="77777777" w:rsidR="00CC55FC" w:rsidRPr="00BC31E0" w:rsidRDefault="00CC55FC" w:rsidP="007E26D6">
      <w:pPr>
        <w:pStyle w:val="a4"/>
        <w:numPr>
          <w:ilvl w:val="0"/>
          <w:numId w:val="63"/>
        </w:numPr>
        <w:ind w:leftChars="0" w:left="738" w:hanging="454"/>
      </w:pPr>
      <w:r w:rsidRPr="00BC31E0">
        <w:rPr>
          <w:rFonts w:hint="eastAsia"/>
        </w:rPr>
        <w:t>ボルト材以外の耐圧部材は，</w:t>
      </w:r>
      <w:r w:rsidRPr="00BC31E0">
        <w:rPr>
          <w:rFonts w:asciiTheme="majorEastAsia" w:eastAsiaTheme="majorEastAsia" w:hAnsiTheme="majorEastAsia" w:hint="eastAsia"/>
          <w:b/>
        </w:rPr>
        <w:t>6.1</w:t>
      </w:r>
      <w:r w:rsidRPr="00BC31E0">
        <w:rPr>
          <w:rFonts w:hint="eastAsia"/>
        </w:rPr>
        <w:t>で除外される場合以外は，</w:t>
      </w:r>
      <w:r w:rsidRPr="00BC31E0">
        <w:rPr>
          <w:rFonts w:asciiTheme="majorEastAsia" w:eastAsiaTheme="majorEastAsia" w:hAnsiTheme="majorEastAsia" w:hint="eastAsia"/>
          <w:b/>
        </w:rPr>
        <w:t>表5.2.2</w:t>
      </w:r>
      <w:r w:rsidRPr="00BC31E0">
        <w:rPr>
          <w:rFonts w:hint="eastAsia"/>
        </w:rPr>
        <w:t>に規定する最小</w:t>
      </w:r>
      <w:r w:rsidRPr="00BC31E0">
        <w:rPr>
          <w:rFonts w:hint="eastAsia"/>
        </w:rPr>
        <w:t>CVN</w:t>
      </w:r>
      <w:r w:rsidRPr="00BC31E0">
        <w:rPr>
          <w:rFonts w:hint="eastAsia"/>
        </w:rPr>
        <w:t>衝撃値を満足しなければならない。</w:t>
      </w:r>
    </w:p>
    <w:p w14:paraId="018F7DEB" w14:textId="77777777" w:rsidR="00CC55FC" w:rsidRPr="00BC31E0" w:rsidRDefault="00CC55FC" w:rsidP="007E26D6">
      <w:pPr>
        <w:pStyle w:val="a4"/>
        <w:numPr>
          <w:ilvl w:val="0"/>
          <w:numId w:val="63"/>
        </w:numPr>
        <w:ind w:leftChars="0" w:left="738" w:hanging="454"/>
      </w:pPr>
      <w:r w:rsidRPr="00BC31E0">
        <w:rPr>
          <w:rFonts w:hint="eastAsia"/>
        </w:rPr>
        <w:t>ボルト材は，</w:t>
      </w:r>
      <w:r w:rsidRPr="00BC31E0">
        <w:rPr>
          <w:rFonts w:asciiTheme="majorEastAsia" w:eastAsiaTheme="majorEastAsia" w:hAnsiTheme="majorEastAsia" w:hint="eastAsia"/>
          <w:b/>
        </w:rPr>
        <w:t>表5.2.3</w:t>
      </w:r>
      <w:r w:rsidRPr="00BC31E0">
        <w:rPr>
          <w:rFonts w:hint="eastAsia"/>
        </w:rPr>
        <w:t>に規定する最小衝撃値を満足しなければならない。</w:t>
      </w:r>
    </w:p>
    <w:p w14:paraId="78DE5C03" w14:textId="77777777" w:rsidR="00CC55FC" w:rsidRPr="00BC31E0" w:rsidRDefault="00CC55FC" w:rsidP="007E26D6">
      <w:pPr>
        <w:pStyle w:val="a4"/>
        <w:numPr>
          <w:ilvl w:val="0"/>
          <w:numId w:val="64"/>
        </w:numPr>
        <w:ind w:leftChars="0" w:left="454" w:hanging="454"/>
      </w:pPr>
      <w:r w:rsidRPr="00BC31E0">
        <w:rPr>
          <w:rFonts w:asciiTheme="majorEastAsia" w:eastAsiaTheme="majorEastAsia" w:hAnsiTheme="majorEastAsia" w:hint="eastAsia"/>
          <w:b/>
        </w:rPr>
        <w:t>横膨出及び延性破面率報告規定</w:t>
      </w:r>
      <w:r w:rsidRPr="00BC31E0">
        <w:rPr>
          <w:rFonts w:hint="eastAsia"/>
        </w:rPr>
        <w:t xml:space="preserve">　</w:t>
      </w:r>
      <w:r w:rsidR="00DC160D" w:rsidRPr="00BC31E0">
        <w:rPr>
          <w:rFonts w:hint="eastAsia"/>
        </w:rPr>
        <w:t>全</w:t>
      </w:r>
      <w:r w:rsidRPr="00BC31E0">
        <w:t>ての衝撃試験に対して横膨出と延性破面率を測定し，その結果を試験報告に含め</w:t>
      </w:r>
      <w:r w:rsidRPr="00BC31E0">
        <w:rPr>
          <w:rFonts w:hint="eastAsia"/>
        </w:rPr>
        <w:t>なければならない</w:t>
      </w:r>
      <w:r w:rsidRPr="00BC31E0">
        <w:t>。</w:t>
      </w:r>
    </w:p>
    <w:p w14:paraId="057CCF6A" w14:textId="77777777" w:rsidR="00CC55FC" w:rsidRPr="00BC31E0" w:rsidRDefault="00CC55FC" w:rsidP="00740398">
      <w:pPr>
        <w:pStyle w:val="3"/>
        <w:tabs>
          <w:tab w:val="clear" w:pos="284"/>
        </w:tabs>
        <w:ind w:left="794" w:hanging="794"/>
      </w:pPr>
      <w:r w:rsidRPr="00BC31E0">
        <w:rPr>
          <w:rFonts w:hint="eastAsia"/>
        </w:rPr>
        <w:t>製作された部材の熱処理証明及び実証試験</w:t>
      </w:r>
    </w:p>
    <w:p w14:paraId="202DB8F3" w14:textId="77777777" w:rsidR="00CC55FC" w:rsidRPr="00BC31E0" w:rsidRDefault="00CC55FC" w:rsidP="001A585A">
      <w:pPr>
        <w:pStyle w:val="1110"/>
        <w:ind w:firstLine="210"/>
      </w:pPr>
      <w:r w:rsidRPr="00BC31E0">
        <w:rPr>
          <w:rFonts w:hint="eastAsia"/>
        </w:rPr>
        <w:t>材料及び圧力容器に施工する</w:t>
      </w:r>
      <w:r w:rsidR="00DC160D" w:rsidRPr="00BC31E0">
        <w:rPr>
          <w:rFonts w:hint="eastAsia"/>
        </w:rPr>
        <w:t>全</w:t>
      </w:r>
      <w:r w:rsidRPr="00BC31E0">
        <w:rPr>
          <w:rFonts w:hint="eastAsia"/>
        </w:rPr>
        <w:t>ての熱処理</w:t>
      </w:r>
      <w:r w:rsidRPr="00BC31E0">
        <w:rPr>
          <w:rFonts w:hint="eastAsia"/>
        </w:rPr>
        <w:t>(</w:t>
      </w:r>
      <w:r w:rsidRPr="00BC31E0">
        <w:rPr>
          <w:rFonts w:hint="eastAsia"/>
        </w:rPr>
        <w:t>焼入れ，焼戻し，溶体化焼ならし，時効及びその他の材料特性に影響する副次的熱処理</w:t>
      </w:r>
      <w:r w:rsidRPr="00BC31E0">
        <w:rPr>
          <w:rFonts w:hint="eastAsia"/>
        </w:rPr>
        <w:t>)</w:t>
      </w:r>
      <w:r w:rsidRPr="00BC31E0">
        <w:rPr>
          <w:rFonts w:hint="eastAsia"/>
        </w:rPr>
        <w:t>により，必要とする特性が得られることを次の</w:t>
      </w:r>
      <w:r w:rsidRPr="00BC31E0">
        <w:rPr>
          <w:rFonts w:ascii="ＭＳ ゴシック" w:eastAsia="ＭＳ ゴシック" w:hint="eastAsia"/>
          <w:b/>
        </w:rPr>
        <w:t>a)</w:t>
      </w:r>
      <w:r w:rsidRPr="00BC31E0">
        <w:rPr>
          <w:rFonts w:hint="eastAsia"/>
        </w:rPr>
        <w:t>～</w:t>
      </w:r>
      <w:r w:rsidRPr="00BC31E0">
        <w:rPr>
          <w:rFonts w:ascii="ＭＳ ゴシック" w:eastAsia="ＭＳ ゴシック" w:hint="eastAsia"/>
          <w:b/>
        </w:rPr>
        <w:t>c)</w:t>
      </w:r>
      <w:r w:rsidRPr="00BC31E0">
        <w:rPr>
          <w:rFonts w:hint="eastAsia"/>
        </w:rPr>
        <w:t>の試験により証明しなければならない。証明のための試験が熱処理された断面を代表する試験片からなされる場合，試験材の位置及び取付け方法は，当該材料の材料規格の試験規定によりサイズ及び形状を考慮に入れて，全体を代表するようにしなければならない。</w:t>
      </w:r>
    </w:p>
    <w:p w14:paraId="151D18E6" w14:textId="77777777" w:rsidR="00CC55FC" w:rsidRPr="00BC31E0" w:rsidRDefault="00CC55FC" w:rsidP="007E26D6">
      <w:pPr>
        <w:pStyle w:val="a4"/>
        <w:numPr>
          <w:ilvl w:val="0"/>
          <w:numId w:val="65"/>
        </w:numPr>
        <w:ind w:leftChars="0" w:left="454" w:hanging="454"/>
      </w:pPr>
      <w:r w:rsidRPr="00BC31E0">
        <w:rPr>
          <w:rFonts w:asciiTheme="majorEastAsia" w:eastAsiaTheme="majorEastAsia" w:hAnsiTheme="majorEastAsia" w:hint="eastAsia"/>
          <w:b/>
        </w:rPr>
        <w:t>材料認定試験手順</w:t>
      </w:r>
      <w:r w:rsidRPr="00BC31E0">
        <w:rPr>
          <w:rFonts w:hint="eastAsia"/>
        </w:rPr>
        <w:t xml:space="preserve">　材料認定試験手順は，次の</w:t>
      </w:r>
      <w:r w:rsidRPr="00BC31E0">
        <w:rPr>
          <w:rFonts w:asciiTheme="majorEastAsia" w:eastAsiaTheme="majorEastAsia" w:hAnsiTheme="majorEastAsia" w:hint="eastAsia"/>
          <w:b/>
        </w:rPr>
        <w:t>1)</w:t>
      </w:r>
      <w:r w:rsidRPr="00BC31E0">
        <w:rPr>
          <w:rFonts w:hint="eastAsia"/>
        </w:rPr>
        <w:t>，</w:t>
      </w:r>
      <w:r w:rsidRPr="00BC31E0">
        <w:rPr>
          <w:rFonts w:asciiTheme="majorEastAsia" w:eastAsiaTheme="majorEastAsia" w:hAnsiTheme="majorEastAsia" w:hint="eastAsia"/>
          <w:b/>
        </w:rPr>
        <w:t>2)</w:t>
      </w:r>
      <w:r w:rsidRPr="00BC31E0">
        <w:rPr>
          <w:rFonts w:hint="eastAsia"/>
        </w:rPr>
        <w:t>による。</w:t>
      </w:r>
    </w:p>
    <w:p w14:paraId="1850E222" w14:textId="77777777" w:rsidR="00CC55FC" w:rsidRPr="00BC31E0" w:rsidRDefault="00CC55FC" w:rsidP="007E26D6">
      <w:pPr>
        <w:pStyle w:val="a4"/>
        <w:numPr>
          <w:ilvl w:val="0"/>
          <w:numId w:val="66"/>
        </w:numPr>
        <w:ind w:leftChars="0" w:left="738" w:hanging="454"/>
      </w:pPr>
      <w:r w:rsidRPr="00BC31E0">
        <w:rPr>
          <w:rFonts w:ascii="ＭＳ 明朝" w:hAnsi="ＭＳ 明朝" w:hint="eastAsia"/>
        </w:rPr>
        <w:t>次の</w:t>
      </w:r>
      <w:r w:rsidRPr="00BC31E0">
        <w:rPr>
          <w:rFonts w:asciiTheme="majorEastAsia" w:eastAsiaTheme="majorEastAsia" w:hAnsiTheme="majorEastAsia" w:hint="eastAsia"/>
          <w:b/>
        </w:rPr>
        <w:t>c)</w:t>
      </w:r>
      <w:r w:rsidRPr="00BC31E0">
        <w:rPr>
          <w:rFonts w:hint="eastAsia"/>
        </w:rPr>
        <w:t>に合致するように，十分な数の試験材を各容器の材料のロット</w:t>
      </w:r>
      <w:r w:rsidR="00A82C2A" w:rsidRPr="00BC31E0">
        <w:rPr>
          <w:rFonts w:hint="eastAsia"/>
        </w:rPr>
        <w:t>ごと</w:t>
      </w:r>
      <w:r w:rsidRPr="00BC31E0">
        <w:rPr>
          <w:rFonts w:hint="eastAsia"/>
        </w:rPr>
        <w:t>に準備しなければならない。これらは，容器又は容器部材と共に熱処理する。もし，各ロット材が熱処理前に焼入れされる部分と同じか，異なるロットの材料に溶接される場合，試験材は引張及び衝撃試験片が熱処理される部材に使用される板材の当該材料の材料規格に規定する厚さに対応した同じ位置から採取</w:t>
      </w:r>
      <w:r w:rsidR="006B2719" w:rsidRPr="00BC31E0">
        <w:rPr>
          <w:rFonts w:hint="eastAsia"/>
        </w:rPr>
        <w:t>しなければならない</w:t>
      </w:r>
      <w:r w:rsidRPr="00BC31E0">
        <w:rPr>
          <w:rFonts w:hint="eastAsia"/>
        </w:rPr>
        <w:t>。できれば，この距離の影響は適当なサーマルバッファーの取付けにより得られるようにするとよい。このバッファーの効果は，試験により実証する。</w:t>
      </w:r>
    </w:p>
    <w:p w14:paraId="71FFFD21" w14:textId="77777777" w:rsidR="00CC55FC" w:rsidRPr="00BC31E0" w:rsidRDefault="00CC55FC" w:rsidP="007E26D6">
      <w:pPr>
        <w:pStyle w:val="a4"/>
        <w:numPr>
          <w:ilvl w:val="0"/>
          <w:numId w:val="66"/>
        </w:numPr>
        <w:ind w:leftChars="0" w:left="738" w:hanging="454"/>
      </w:pPr>
      <w:r w:rsidRPr="00BC31E0">
        <w:rPr>
          <w:rFonts w:hint="eastAsia"/>
        </w:rPr>
        <w:t>熱処理される部分に試験材が取付けられていない場合，それが代表する部分と同じ条件の元で，同熱処理チャージで焼入れする。試験片が上記</w:t>
      </w:r>
      <w:r w:rsidRPr="00BC31E0">
        <w:rPr>
          <w:rFonts w:asciiTheme="majorEastAsia" w:eastAsiaTheme="majorEastAsia" w:hAnsiTheme="majorEastAsia" w:hint="eastAsia"/>
          <w:b/>
        </w:rPr>
        <w:t>1)</w:t>
      </w:r>
      <w:r w:rsidRPr="00BC31E0">
        <w:rPr>
          <w:rFonts w:hint="eastAsia"/>
        </w:rPr>
        <w:t>の位置から採取する。</w:t>
      </w:r>
    </w:p>
    <w:p w14:paraId="049EBF79" w14:textId="77777777" w:rsidR="00CC55FC" w:rsidRPr="00BC31E0" w:rsidRDefault="00CC55FC" w:rsidP="007E26D6">
      <w:pPr>
        <w:pStyle w:val="a4"/>
        <w:numPr>
          <w:ilvl w:val="0"/>
          <w:numId w:val="65"/>
        </w:numPr>
        <w:ind w:leftChars="0" w:left="454" w:hanging="454"/>
      </w:pPr>
      <w:r w:rsidRPr="00BC31E0">
        <w:rPr>
          <w:rFonts w:asciiTheme="majorEastAsia" w:eastAsiaTheme="majorEastAsia" w:hAnsiTheme="majorEastAsia" w:hint="eastAsia"/>
          <w:b/>
        </w:rPr>
        <w:t>焼戻し</w:t>
      </w:r>
      <w:r w:rsidRPr="00BC31E0">
        <w:rPr>
          <w:rFonts w:hint="eastAsia"/>
        </w:rPr>
        <w:t xml:space="preserve">　試験材の焼戻しは，次の</w:t>
      </w:r>
      <w:r w:rsidRPr="00BC31E0">
        <w:rPr>
          <w:rFonts w:asciiTheme="majorEastAsia" w:eastAsiaTheme="majorEastAsia" w:hAnsiTheme="majorEastAsia" w:hint="eastAsia"/>
          <w:b/>
        </w:rPr>
        <w:t>1)</w:t>
      </w:r>
      <w:r w:rsidRPr="00BC31E0">
        <w:rPr>
          <w:rFonts w:hAnsi="ＭＳ 明朝" w:hint="eastAsia"/>
        </w:rPr>
        <w:t>，</w:t>
      </w:r>
      <w:r w:rsidRPr="00BC31E0">
        <w:rPr>
          <w:rFonts w:asciiTheme="majorEastAsia" w:eastAsiaTheme="majorEastAsia" w:hAnsiTheme="majorEastAsia" w:hint="eastAsia"/>
          <w:b/>
        </w:rPr>
        <w:t>2)</w:t>
      </w:r>
      <w:r w:rsidRPr="00BC31E0">
        <w:rPr>
          <w:rFonts w:hint="eastAsia"/>
        </w:rPr>
        <w:t>による。</w:t>
      </w:r>
    </w:p>
    <w:p w14:paraId="59242866" w14:textId="77777777" w:rsidR="00CC55FC" w:rsidRPr="00BC31E0" w:rsidRDefault="00CC55FC" w:rsidP="007E26D6">
      <w:pPr>
        <w:pStyle w:val="a4"/>
        <w:numPr>
          <w:ilvl w:val="0"/>
          <w:numId w:val="67"/>
        </w:numPr>
        <w:ind w:leftChars="0" w:left="738" w:hanging="454"/>
      </w:pPr>
      <w:r w:rsidRPr="00BC31E0">
        <w:rPr>
          <w:rFonts w:asciiTheme="majorEastAsia" w:eastAsiaTheme="majorEastAsia" w:hAnsiTheme="majorEastAsia" w:hint="eastAsia"/>
          <w:b/>
        </w:rPr>
        <w:t>取付け試験材</w:t>
      </w:r>
      <w:r w:rsidRPr="00BC31E0">
        <w:rPr>
          <w:rFonts w:hint="eastAsia"/>
        </w:rPr>
        <w:t xml:space="preserve">　試験材は，焼戻し熱処理中，容器又は容器部材に取付けたままにする。ただし，サーマルバッファーは焼入れ後取外</w:t>
      </w:r>
      <w:r w:rsidR="00A37638" w:rsidRPr="00BC31E0">
        <w:rPr>
          <w:rFonts w:hint="eastAsia"/>
        </w:rPr>
        <w:t>す</w:t>
      </w:r>
      <w:r w:rsidRPr="00BC31E0">
        <w:rPr>
          <w:rFonts w:hint="eastAsia"/>
        </w:rPr>
        <w:t>。焼戻し工程後及び部材から取外し後，試験材に容器</w:t>
      </w:r>
      <w:r w:rsidR="00236919" w:rsidRPr="00BC31E0">
        <w:rPr>
          <w:rFonts w:hint="eastAsia"/>
        </w:rPr>
        <w:t>又は容器部材が受けるであろうと同じ熱的処理をする。指定の温度における</w:t>
      </w:r>
      <w:r w:rsidRPr="00BC31E0">
        <w:rPr>
          <w:rFonts w:hint="eastAsia"/>
        </w:rPr>
        <w:t>保持時間は，容器又は容器部材が受ける以上</w:t>
      </w:r>
      <w:r w:rsidRPr="00BC31E0">
        <w:t>(</w:t>
      </w:r>
      <w:r w:rsidRPr="00BC31E0">
        <w:rPr>
          <w:rFonts w:hint="eastAsia"/>
        </w:rPr>
        <w:t>各温度での合計時間を一つの熱サイクルでかける場合を除いて</w:t>
      </w:r>
      <w:r w:rsidRPr="00BC31E0">
        <w:t>)</w:t>
      </w:r>
      <w:r w:rsidRPr="00BC31E0">
        <w:rPr>
          <w:rFonts w:hint="eastAsia"/>
        </w:rPr>
        <w:t xml:space="preserve"> </w:t>
      </w:r>
      <w:r w:rsidRPr="00BC31E0">
        <w:rPr>
          <w:rFonts w:hint="eastAsia"/>
        </w:rPr>
        <w:t>とし，冷却速度は早くてはいけない。</w:t>
      </w:r>
    </w:p>
    <w:p w14:paraId="5B2EA7AC" w14:textId="77777777" w:rsidR="00CC55FC" w:rsidRPr="00BC31E0" w:rsidRDefault="00CC55FC" w:rsidP="007E26D6">
      <w:pPr>
        <w:pStyle w:val="a4"/>
        <w:numPr>
          <w:ilvl w:val="0"/>
          <w:numId w:val="67"/>
        </w:numPr>
        <w:ind w:leftChars="0" w:left="738" w:hanging="454"/>
        <w:rPr>
          <w:rFonts w:hAnsi="ＭＳ 明朝"/>
        </w:rPr>
      </w:pPr>
      <w:r w:rsidRPr="00BC31E0">
        <w:rPr>
          <w:rFonts w:asciiTheme="majorEastAsia" w:eastAsiaTheme="majorEastAsia" w:hAnsiTheme="majorEastAsia" w:hint="eastAsia"/>
          <w:b/>
        </w:rPr>
        <w:t>個別試験材</w:t>
      </w:r>
      <w:r w:rsidRPr="00BC31E0">
        <w:rPr>
          <w:rFonts w:hint="eastAsia"/>
        </w:rPr>
        <w:t xml:space="preserve">　</w:t>
      </w:r>
      <w:r w:rsidRPr="00BC31E0">
        <w:rPr>
          <w:rFonts w:hAnsi="ＭＳ 明朝" w:hint="eastAsia"/>
        </w:rPr>
        <w:t>上記</w:t>
      </w:r>
      <w:r w:rsidRPr="00BC31E0">
        <w:rPr>
          <w:rFonts w:asciiTheme="majorEastAsia" w:eastAsiaTheme="majorEastAsia" w:hAnsiTheme="majorEastAsia" w:hint="eastAsia"/>
          <w:b/>
        </w:rPr>
        <w:t>a) 2)</w:t>
      </w:r>
      <w:r w:rsidRPr="00BC31E0">
        <w:rPr>
          <w:rFonts w:hAnsi="ＭＳ 明朝" w:hint="eastAsia"/>
        </w:rPr>
        <w:t>に示すように，個別に焼入れされる試験材は，代表する容器又は部材と同等の焼戻しを行う。試験材がその後の熱的処理を受ける条件は，上記</w:t>
      </w:r>
      <w:r w:rsidRPr="00BC31E0">
        <w:rPr>
          <w:rFonts w:asciiTheme="majorEastAsia" w:eastAsiaTheme="majorEastAsia" w:hAnsiTheme="majorEastAsia" w:hint="eastAsia"/>
          <w:b/>
        </w:rPr>
        <w:t>1)</w:t>
      </w:r>
      <w:r w:rsidRPr="00BC31E0">
        <w:rPr>
          <w:rFonts w:hAnsi="ＭＳ 明朝" w:hint="eastAsia"/>
        </w:rPr>
        <w:t>による。</w:t>
      </w:r>
    </w:p>
    <w:p w14:paraId="27E34A6D" w14:textId="77777777" w:rsidR="00CC55FC" w:rsidRPr="00BC31E0" w:rsidRDefault="00CC55FC" w:rsidP="007E26D6">
      <w:pPr>
        <w:pStyle w:val="a4"/>
        <w:numPr>
          <w:ilvl w:val="0"/>
          <w:numId w:val="68"/>
        </w:numPr>
        <w:ind w:leftChars="0" w:left="454" w:hanging="454"/>
      </w:pPr>
      <w:r w:rsidRPr="00BC31E0">
        <w:rPr>
          <w:rFonts w:asciiTheme="majorEastAsia" w:eastAsiaTheme="majorEastAsia" w:hAnsiTheme="majorEastAsia" w:hint="eastAsia"/>
          <w:b/>
        </w:rPr>
        <w:t>試験の数</w:t>
      </w:r>
      <w:r w:rsidRPr="00BC31E0">
        <w:rPr>
          <w:rFonts w:hint="eastAsia"/>
        </w:rPr>
        <w:t xml:space="preserve">　熱処理される各容器又は容器部材の材料の各ロットを代表する試験材から，次の</w:t>
      </w:r>
      <w:r w:rsidRPr="00BC31E0">
        <w:rPr>
          <w:rFonts w:asciiTheme="majorEastAsia" w:eastAsiaTheme="majorEastAsia" w:hAnsiTheme="majorEastAsia" w:hint="eastAsia"/>
          <w:b/>
        </w:rPr>
        <w:t>1)</w:t>
      </w:r>
      <w:r w:rsidRPr="00BC31E0">
        <w:rPr>
          <w:rFonts w:hint="eastAsia"/>
        </w:rPr>
        <w:t>と</w:t>
      </w:r>
      <w:r w:rsidRPr="00BC31E0">
        <w:rPr>
          <w:rFonts w:asciiTheme="majorEastAsia" w:eastAsiaTheme="majorEastAsia" w:hAnsiTheme="majorEastAsia" w:hint="eastAsia"/>
          <w:b/>
        </w:rPr>
        <w:t>2)</w:t>
      </w:r>
      <w:r w:rsidRPr="00BC31E0">
        <w:rPr>
          <w:rFonts w:hint="eastAsia"/>
        </w:rPr>
        <w:t>に示した引張試験片を</w:t>
      </w:r>
      <w:r w:rsidRPr="00BC31E0">
        <w:rPr>
          <w:rFonts w:asciiTheme="minorHAnsi" w:hAnsiTheme="minorHAnsi"/>
        </w:rPr>
        <w:t>1</w:t>
      </w:r>
      <w:r w:rsidRPr="00BC31E0">
        <w:rPr>
          <w:rFonts w:hint="eastAsia"/>
        </w:rPr>
        <w:t>本，衝撃試験片</w:t>
      </w:r>
      <w:r w:rsidR="009E7926" w:rsidRPr="00BC31E0">
        <w:rPr>
          <w:rFonts w:hint="eastAsia"/>
        </w:rPr>
        <w:t>を</w:t>
      </w:r>
      <w:r w:rsidRPr="00BC31E0">
        <w:rPr>
          <w:rFonts w:hint="eastAsia"/>
        </w:rPr>
        <w:t>一組とする。ロットとは，同じヒートの部材又は同時に熱処理された材料で，材料の熱処理厚さの</w:t>
      </w:r>
      <w:r w:rsidRPr="00BC31E0">
        <w:rPr>
          <w:rFonts w:ascii="Cambria Math" w:hAnsi="Cambria Math"/>
        </w:rPr>
        <w:t>±</w:t>
      </w:r>
      <w:r w:rsidRPr="00BC31E0">
        <w:t>20%</w:t>
      </w:r>
      <w:r w:rsidRPr="00BC31E0">
        <w:rPr>
          <w:rFonts w:hint="eastAsia"/>
        </w:rPr>
        <w:t>又は</w:t>
      </w:r>
      <w:r w:rsidRPr="00BC31E0">
        <w:t>13 mm</w:t>
      </w:r>
      <w:r w:rsidRPr="00BC31E0">
        <w:rPr>
          <w:rFonts w:hint="eastAsia"/>
        </w:rPr>
        <w:t>のいずれか小さい方の範囲の厚さを持つものと定義する。</w:t>
      </w:r>
    </w:p>
    <w:p w14:paraId="55AB0260" w14:textId="77777777" w:rsidR="00CC55FC" w:rsidRPr="00BC31E0" w:rsidRDefault="00CC55FC" w:rsidP="007E26D6">
      <w:pPr>
        <w:pStyle w:val="a4"/>
        <w:numPr>
          <w:ilvl w:val="0"/>
          <w:numId w:val="69"/>
        </w:numPr>
        <w:ind w:leftChars="0" w:left="738" w:hanging="454"/>
      </w:pPr>
      <w:r w:rsidRPr="00BC31E0">
        <w:rPr>
          <w:rFonts w:hint="eastAsia"/>
        </w:rPr>
        <w:t>溶接を含まない試験片は，当該材料の材料規格の引張規定及びこの項の衝撃規定を満足しなければならない。</w:t>
      </w:r>
    </w:p>
    <w:p w14:paraId="1C87015B" w14:textId="77777777" w:rsidR="00CC55FC" w:rsidRPr="00BC31E0" w:rsidRDefault="00CC55FC" w:rsidP="007E26D6">
      <w:pPr>
        <w:pStyle w:val="a4"/>
        <w:numPr>
          <w:ilvl w:val="0"/>
          <w:numId w:val="69"/>
        </w:numPr>
        <w:ind w:leftChars="0" w:left="738" w:hanging="454"/>
      </w:pPr>
      <w:r w:rsidRPr="00BC31E0">
        <w:rPr>
          <w:rFonts w:hint="eastAsia"/>
        </w:rPr>
        <w:t>溶接金属を含む試験片は溶接を横断して採取し，当該材料の材料規格の必要な機械的性質を満足しなければならない。更に，溶接金属にノッチを入れた試験片で最小衝撃規定</w:t>
      </w:r>
      <w:r w:rsidRPr="00BC31E0">
        <w:rPr>
          <w:rFonts w:hint="eastAsia"/>
        </w:rPr>
        <w:lastRenderedPageBreak/>
        <w:t>を満足しなければならない。</w:t>
      </w:r>
    </w:p>
    <w:p w14:paraId="024BC9CB" w14:textId="77777777" w:rsidR="00CC55FC" w:rsidRPr="00BC31E0" w:rsidRDefault="00CC55FC" w:rsidP="001A585A">
      <w:pPr>
        <w:ind w:left="454"/>
      </w:pPr>
      <w:r w:rsidRPr="00BC31E0">
        <w:rPr>
          <w:rFonts w:hint="eastAsia"/>
        </w:rPr>
        <w:t>引張試験片形状と寸法は，</w:t>
      </w:r>
      <w:r w:rsidRPr="00BC31E0">
        <w:rPr>
          <w:rFonts w:asciiTheme="majorEastAsia" w:eastAsiaTheme="majorEastAsia" w:hAnsiTheme="majorEastAsia" w:hint="eastAsia"/>
          <w:b/>
        </w:rPr>
        <w:t>JIS Z 2241</w:t>
      </w:r>
      <w:r w:rsidRPr="00BC31E0">
        <w:rPr>
          <w:rFonts w:hint="eastAsia"/>
        </w:rPr>
        <w:t>による。衝撃試験は，</w:t>
      </w:r>
      <w:r w:rsidRPr="00BC31E0">
        <w:rPr>
          <w:rFonts w:asciiTheme="majorEastAsia" w:eastAsiaTheme="majorEastAsia" w:hAnsiTheme="majorEastAsia" w:hint="eastAsia"/>
          <w:b/>
        </w:rPr>
        <w:t>10.2</w:t>
      </w:r>
      <w:r w:rsidRPr="00BC31E0">
        <w:rPr>
          <w:rFonts w:hint="eastAsia"/>
        </w:rPr>
        <w:t>による。</w:t>
      </w:r>
    </w:p>
    <w:p w14:paraId="30891A08" w14:textId="77777777" w:rsidR="00CC55FC" w:rsidRPr="00BC31E0" w:rsidRDefault="00CC55FC" w:rsidP="00740398">
      <w:pPr>
        <w:pStyle w:val="3"/>
        <w:tabs>
          <w:tab w:val="clear" w:pos="284"/>
        </w:tabs>
        <w:ind w:left="794" w:hanging="794"/>
      </w:pPr>
      <w:r w:rsidRPr="00BC31E0">
        <w:rPr>
          <w:rFonts w:hint="eastAsia"/>
        </w:rPr>
        <w:t>耐圧部材の追加靭性規定</w:t>
      </w:r>
    </w:p>
    <w:p w14:paraId="16B881F9" w14:textId="77777777" w:rsidR="00CC55FC" w:rsidRPr="00BC31E0" w:rsidRDefault="00CC55FC" w:rsidP="001A585A">
      <w:pPr>
        <w:ind w:firstLineChars="100" w:firstLine="211"/>
        <w:rPr>
          <w:rFonts w:asciiTheme="majorEastAsia" w:eastAsiaTheme="majorEastAsia" w:hAnsiTheme="majorEastAsia"/>
        </w:rPr>
      </w:pPr>
      <w:r w:rsidRPr="00BC31E0">
        <w:rPr>
          <w:rFonts w:ascii="ＭＳ ゴシック" w:hAnsi="ＭＳ ゴシック" w:hint="eastAsia"/>
          <w:b/>
        </w:rPr>
        <w:t>6.4</w:t>
      </w:r>
      <w:r w:rsidRPr="00BC31E0">
        <w:rPr>
          <w:rFonts w:hint="eastAsia"/>
        </w:rPr>
        <w:t>により破壊力学評価を行う場合，解析に</w:t>
      </w:r>
      <m:oMath>
        <m:sSub>
          <m:sSubPr>
            <m:ctrlPr>
              <w:rPr>
                <w:rFonts w:ascii="Cambria Math" w:hAnsi="Cambria Math"/>
                <w:i/>
              </w:rPr>
            </m:ctrlPr>
          </m:sSubPr>
          <m:e>
            <m:r>
              <w:rPr>
                <w:rFonts w:ascii="Cambria Math" w:hAnsi="Cambria Math"/>
              </w:rPr>
              <m:t xml:space="preserve"> K</m:t>
            </m:r>
          </m:e>
          <m:sub>
            <m:r>
              <m:rPr>
                <m:sty m:val="p"/>
              </m:rPr>
              <w:rPr>
                <w:rFonts w:ascii="Cambria Math" w:hAnsi="Cambria Math"/>
              </w:rPr>
              <m:t>I</m:t>
            </m:r>
            <m:r>
              <w:rPr>
                <w:rFonts w:ascii="Cambria Math" w:hAnsi="Cambria Math"/>
              </w:rPr>
              <m:t>C</m:t>
            </m:r>
          </m:sub>
        </m:sSub>
        <m:r>
          <w:rPr>
            <w:rFonts w:ascii="Cambria Math" w:hAnsi="Cambria Math"/>
          </w:rPr>
          <m:t xml:space="preserve"> </m:t>
        </m:r>
      </m:oMath>
      <w:r w:rsidRPr="00BC31E0">
        <w:rPr>
          <w:rFonts w:hint="eastAsia"/>
        </w:rPr>
        <w:t>値が必要となる。設計者は，必要な</w:t>
      </w:r>
      <m:oMath>
        <m:sSub>
          <m:sSubPr>
            <m:ctrlPr>
              <w:rPr>
                <w:rFonts w:ascii="Cambria Math" w:hAnsi="Cambria Math"/>
                <w:i/>
              </w:rPr>
            </m:ctrlPr>
          </m:sSubPr>
          <m:e>
            <m:r>
              <w:rPr>
                <w:rFonts w:ascii="Cambria Math" w:hAnsi="Cambria Math"/>
              </w:rPr>
              <m:t xml:space="preserve"> K</m:t>
            </m:r>
          </m:e>
          <m:sub>
            <m:r>
              <m:rPr>
                <m:sty m:val="p"/>
              </m:rPr>
              <w:rPr>
                <w:rFonts w:ascii="Cambria Math" w:hAnsi="Cambria Math"/>
              </w:rPr>
              <m:t>I</m:t>
            </m:r>
            <m:r>
              <w:rPr>
                <w:rFonts w:ascii="Cambria Math" w:hAnsi="Cambria Math"/>
              </w:rPr>
              <m:t>C</m:t>
            </m:r>
          </m:sub>
        </m:sSub>
        <m:r>
          <w:rPr>
            <w:rFonts w:ascii="Cambria Math" w:hAnsi="Cambria Math"/>
          </w:rPr>
          <m:t xml:space="preserve"> </m:t>
        </m:r>
      </m:oMath>
      <w:r w:rsidR="002620C0" w:rsidRPr="00BC31E0">
        <w:fldChar w:fldCharType="begin"/>
      </w:r>
      <w:r w:rsidRPr="00BC31E0">
        <w:instrText xml:space="preserve"> QUOTE </w:instrText>
      </w:r>
      <m:oMath>
        <m:sSub>
          <m:sSubPr>
            <m:ctrlPr>
              <w:rPr>
                <w:rFonts w:ascii="Cambria Math" w:hAnsi="Cambria Math"/>
                <w:i/>
              </w:rPr>
            </m:ctrlPr>
          </m:sSubPr>
          <m:e>
            <m:r>
              <m:rPr>
                <m:sty m:val="p"/>
              </m:rPr>
              <w:rPr>
                <w:rFonts w:ascii="Cambria Math" w:hAnsi="Cambria Math" w:hint="eastAsia"/>
              </w:rPr>
              <m:t>K</m:t>
            </m:r>
          </m:e>
          <m:sub>
            <m:r>
              <m:rPr>
                <m:sty m:val="p"/>
              </m:rPr>
              <w:rPr>
                <w:rFonts w:ascii="Cambria Math" w:hAnsi="Cambria Math" w:hint="eastAsia"/>
                <w:vertAlign w:val="subscript"/>
              </w:rPr>
              <m:t>IC</m:t>
            </m:r>
          </m:sub>
        </m:sSub>
      </m:oMath>
      <w:r w:rsidRPr="00BC31E0">
        <w:instrText xml:space="preserve"> </w:instrText>
      </w:r>
      <w:r w:rsidR="002620C0" w:rsidRPr="00BC31E0">
        <w:fldChar w:fldCharType="end"/>
      </w:r>
      <w:r w:rsidRPr="00BC31E0">
        <w:rPr>
          <w:rFonts w:hint="eastAsia"/>
        </w:rPr>
        <w:t>値の最小値，施工する試験の数を規定しなければならない。更に，次の</w:t>
      </w:r>
      <w:r w:rsidRPr="00BC31E0">
        <w:rPr>
          <w:rFonts w:ascii="ＭＳ ゴシック" w:hAnsi="ＭＳ ゴシック" w:hint="eastAsia"/>
          <w:b/>
        </w:rPr>
        <w:t>a)</w:t>
      </w:r>
      <w:r w:rsidRPr="00BC31E0">
        <w:rPr>
          <w:rFonts w:hint="eastAsia"/>
        </w:rPr>
        <w:t>～</w:t>
      </w:r>
      <w:r w:rsidRPr="00BC31E0">
        <w:rPr>
          <w:rFonts w:ascii="ＭＳ ゴシック" w:hAnsi="ＭＳ ゴシック" w:hint="eastAsia"/>
          <w:b/>
        </w:rPr>
        <w:t>d)</w:t>
      </w:r>
      <w:r w:rsidRPr="00BC31E0">
        <w:rPr>
          <w:rFonts w:hint="eastAsia"/>
        </w:rPr>
        <w:t>のいずれかにより，材料がこの値を満足することを証明しなければならない。</w:t>
      </w:r>
      <w:r w:rsidR="00DC160D" w:rsidRPr="00BC31E0">
        <w:rPr>
          <w:rFonts w:hint="eastAsia"/>
        </w:rPr>
        <w:t>全</w:t>
      </w:r>
      <w:r w:rsidRPr="00BC31E0">
        <w:rPr>
          <w:rFonts w:hint="eastAsia"/>
        </w:rPr>
        <w:t>ての試験片に対して，</w:t>
      </w:r>
      <w:r w:rsidR="00182B2D" w:rsidRPr="00BC31E0">
        <w:rPr>
          <w:rFonts w:hint="eastAsia"/>
        </w:rPr>
        <w:t>亀裂</w:t>
      </w:r>
      <w:r w:rsidRPr="00BC31E0">
        <w:rPr>
          <w:rFonts w:hint="eastAsia"/>
        </w:rPr>
        <w:t>の進展方向は，</w:t>
      </w:r>
      <w:r w:rsidRPr="00BC31E0">
        <w:rPr>
          <w:rFonts w:ascii="ＭＳ ゴシック" w:hAnsi="ＭＳ ゴシック" w:hint="eastAsia"/>
          <w:b/>
        </w:rPr>
        <w:t>6.4</w:t>
      </w:r>
      <w:r w:rsidRPr="00BC31E0">
        <w:rPr>
          <w:rFonts w:hint="eastAsia"/>
        </w:rPr>
        <w:t>による破壊力学評価で予測される</w:t>
      </w:r>
      <w:r w:rsidR="00182B2D" w:rsidRPr="00BC31E0">
        <w:rPr>
          <w:rFonts w:hint="eastAsia"/>
        </w:rPr>
        <w:t>亀裂</w:t>
      </w:r>
      <w:r w:rsidRPr="00BC31E0">
        <w:rPr>
          <w:rFonts w:hint="eastAsia"/>
        </w:rPr>
        <w:t>進展方向と同じでなければならない。</w:t>
      </w:r>
    </w:p>
    <w:p w14:paraId="3F5EE880" w14:textId="77777777" w:rsidR="00C569A6" w:rsidRPr="00BC31E0" w:rsidRDefault="00CC55FC" w:rsidP="00736130">
      <w:pPr>
        <w:pStyle w:val="a4"/>
        <w:numPr>
          <w:ilvl w:val="0"/>
          <w:numId w:val="254"/>
        </w:numPr>
        <w:ind w:leftChars="0" w:left="454" w:hanging="454"/>
      </w:pPr>
      <w:r w:rsidRPr="00BC31E0">
        <w:rPr>
          <w:rFonts w:asciiTheme="majorEastAsia" w:eastAsiaTheme="majorEastAsia" w:hAnsiTheme="majorEastAsia"/>
          <w:b/>
        </w:rPr>
        <w:t>CVN</w:t>
      </w:r>
      <w:r w:rsidRPr="00BC31E0">
        <w:rPr>
          <w:rFonts w:asciiTheme="majorEastAsia" w:eastAsiaTheme="majorEastAsia" w:hAnsiTheme="majorEastAsia" w:hint="eastAsia"/>
          <w:b/>
        </w:rPr>
        <w:t>衝撃試験</w:t>
      </w:r>
      <w:r w:rsidRPr="00BC31E0">
        <w:rPr>
          <w:rFonts w:hint="eastAsia"/>
        </w:rPr>
        <w:t xml:space="preserve">　設計者は，耐圧部材が必要とする最小</w:t>
      </w:r>
      <m:oMath>
        <m:sSub>
          <m:sSubPr>
            <m:ctrlPr>
              <w:rPr>
                <w:rFonts w:ascii="Cambria Math" w:hAnsi="Cambria Math"/>
                <w:i/>
              </w:rPr>
            </m:ctrlPr>
          </m:sSubPr>
          <m:e>
            <m:r>
              <w:rPr>
                <w:rFonts w:ascii="Cambria Math" w:hAnsi="Cambria Math"/>
              </w:rPr>
              <m:t xml:space="preserve"> K</m:t>
            </m:r>
          </m:e>
          <m:sub>
            <m:r>
              <m:rPr>
                <m:sty m:val="p"/>
              </m:rPr>
              <w:rPr>
                <w:rFonts w:ascii="Cambria Math" w:hAnsi="Cambria Math"/>
              </w:rPr>
              <m:t>I</m:t>
            </m:r>
            <m:r>
              <w:rPr>
                <w:rFonts w:ascii="Cambria Math" w:hAnsi="Cambria Math"/>
              </w:rPr>
              <m:t>C</m:t>
            </m:r>
          </m:sub>
        </m:sSub>
        <m:r>
          <w:rPr>
            <w:rFonts w:ascii="Cambria Math" w:hAnsi="Cambria Math"/>
          </w:rPr>
          <m:t xml:space="preserve"> </m:t>
        </m:r>
      </m:oMath>
      <w:r w:rsidR="002620C0" w:rsidRPr="00BC31E0">
        <w:rPr>
          <w:rFonts w:ascii="Times New Roman" w:hAnsi="Times New Roman"/>
          <w:spacing w:val="10"/>
          <w:position w:val="-2"/>
        </w:rPr>
        <w:fldChar w:fldCharType="begin"/>
      </w:r>
      <w:r w:rsidRPr="00BC31E0">
        <w:rPr>
          <w:rFonts w:ascii="Times New Roman" w:hAnsi="Times New Roman"/>
          <w:spacing w:val="10"/>
          <w:position w:val="-2"/>
        </w:rPr>
        <w:instrText xml:space="preserve"> QUOTE </w:instrText>
      </w:r>
      <m:oMath>
        <m:sSub>
          <m:sSubPr>
            <m:ctrlPr>
              <w:rPr>
                <w:rFonts w:ascii="Cambria Math" w:hAnsi="Times New Roman"/>
                <w:spacing w:val="10"/>
                <w:position w:val="-2"/>
              </w:rPr>
            </m:ctrlPr>
          </m:sSubPr>
          <m:e>
            <m:r>
              <m:rPr>
                <m:sty m:val="p"/>
              </m:rPr>
              <w:rPr>
                <w:rFonts w:ascii="Cambria Math" w:hAnsi="Cambria Math"/>
                <w:spacing w:val="10"/>
                <w:position w:val="-2"/>
              </w:rPr>
              <m:t>K</m:t>
            </m:r>
          </m:e>
          <m:sub>
            <m:r>
              <m:rPr>
                <m:sty m:val="p"/>
              </m:rPr>
              <w:rPr>
                <w:rFonts w:ascii="Cambria Math" w:hAnsi="Cambria Math"/>
                <w:spacing w:val="10"/>
                <w:position w:val="-2"/>
                <w:vertAlign w:val="subscript"/>
              </w:rPr>
              <m:t>IC</m:t>
            </m:r>
          </m:sub>
        </m:sSub>
      </m:oMath>
      <w:r w:rsidRPr="00BC31E0">
        <w:rPr>
          <w:rFonts w:ascii="Times New Roman" w:hAnsi="Times New Roman"/>
          <w:spacing w:val="10"/>
          <w:position w:val="-2"/>
        </w:rPr>
        <w:instrText xml:space="preserve"> </w:instrText>
      </w:r>
      <w:r w:rsidR="002620C0" w:rsidRPr="00BC31E0">
        <w:rPr>
          <w:rFonts w:ascii="Times New Roman" w:hAnsi="Times New Roman"/>
          <w:spacing w:val="10"/>
          <w:position w:val="-2"/>
        </w:rPr>
        <w:fldChar w:fldCharType="end"/>
      </w:r>
      <w:r w:rsidRPr="00BC31E0">
        <w:rPr>
          <w:rFonts w:ascii="Cambria Math" w:hAnsi="Cambria Math" w:hint="eastAsia"/>
        </w:rPr>
        <w:t>値</w:t>
      </w:r>
      <w:r w:rsidRPr="00BC31E0">
        <w:rPr>
          <w:rFonts w:hint="eastAsia"/>
        </w:rPr>
        <w:t>を満足させるために，</w:t>
      </w:r>
      <w:r w:rsidRPr="00BC31E0">
        <w:rPr>
          <w:rFonts w:asciiTheme="majorEastAsia" w:hAnsiTheme="majorEastAsia" w:hint="eastAsia"/>
          <w:b/>
        </w:rPr>
        <w:t>5.2.7 b)</w:t>
      </w:r>
      <w:r w:rsidRPr="00BC31E0">
        <w:rPr>
          <w:rFonts w:hint="eastAsia"/>
        </w:rPr>
        <w:t>に規定された値よりも高い最小シャルピー衝撃値を満足することを要求</w:t>
      </w:r>
      <w:r w:rsidR="004C38B5" w:rsidRPr="00BC31E0">
        <w:rPr>
          <w:rFonts w:hint="eastAsia"/>
        </w:rPr>
        <w:t>してもよい</w:t>
      </w:r>
      <w:r w:rsidRPr="00BC31E0">
        <w:rPr>
          <w:rFonts w:hint="eastAsia"/>
        </w:rPr>
        <w:t>。追加の衝撃試験がなされるならば，この規格で規定される衝撃試験温度を超えない温度で，衝撃試験規定に従って行わなければならない。適切な</w:t>
      </w:r>
      <m:oMath>
        <m:sSub>
          <m:sSubPr>
            <m:ctrlPr>
              <w:rPr>
                <w:rFonts w:ascii="Cambria Math" w:hAnsi="Cambria Math"/>
                <w:i/>
              </w:rPr>
            </m:ctrlPr>
          </m:sSubPr>
          <m:e>
            <m:r>
              <w:rPr>
                <w:rFonts w:ascii="Cambria Math" w:hAnsi="Cambria Math"/>
              </w:rPr>
              <m:t xml:space="preserve"> K</m:t>
            </m:r>
          </m:e>
          <m:sub>
            <m:r>
              <m:rPr>
                <m:sty m:val="p"/>
              </m:rPr>
              <w:rPr>
                <w:rFonts w:ascii="Cambria Math" w:hAnsi="Cambria Math"/>
              </w:rPr>
              <m:t>I</m:t>
            </m:r>
            <m:r>
              <w:rPr>
                <w:rFonts w:ascii="Cambria Math" w:hAnsi="Cambria Math"/>
              </w:rPr>
              <m:t>C</m:t>
            </m:r>
          </m:sub>
        </m:sSub>
      </m:oMath>
      <w:r w:rsidRPr="00BC31E0">
        <w:rPr>
          <w:rFonts w:hint="eastAsia"/>
        </w:rPr>
        <w:t>－</w:t>
      </w:r>
      <w:r w:rsidR="00BF77C0" w:rsidRPr="00BC31E0">
        <w:rPr>
          <w:rFonts w:hint="eastAsia"/>
        </w:rPr>
        <w:t>CVN</w:t>
      </w:r>
      <w:r w:rsidRPr="00BC31E0">
        <w:rPr>
          <w:rFonts w:hint="eastAsia"/>
        </w:rPr>
        <w:t>相関式を決定するのは設計者の責任であり，この式により</w:t>
      </w:r>
      <m:oMath>
        <m:sSub>
          <m:sSubPr>
            <m:ctrlPr>
              <w:rPr>
                <w:rFonts w:ascii="Cambria Math" w:hAnsi="Cambria Math"/>
                <w:i/>
              </w:rPr>
            </m:ctrlPr>
          </m:sSubPr>
          <m:e>
            <m:r>
              <w:rPr>
                <w:rFonts w:ascii="Cambria Math" w:hAnsi="Cambria Math"/>
              </w:rPr>
              <m:t xml:space="preserve"> K</m:t>
            </m:r>
          </m:e>
          <m:sub>
            <m:r>
              <m:rPr>
                <m:sty m:val="p"/>
              </m:rPr>
              <w:rPr>
                <w:rFonts w:ascii="Cambria Math" w:hAnsi="Cambria Math"/>
              </w:rPr>
              <m:t>I</m:t>
            </m:r>
            <m:r>
              <w:rPr>
                <w:rFonts w:ascii="Cambria Math" w:hAnsi="Cambria Math"/>
              </w:rPr>
              <m:t>C</m:t>
            </m:r>
          </m:sub>
        </m:sSub>
        <m:r>
          <w:rPr>
            <w:rFonts w:ascii="Cambria Math" w:hAnsi="Cambria Math"/>
          </w:rPr>
          <m:t xml:space="preserve"> </m:t>
        </m:r>
      </m:oMath>
      <w:r w:rsidRPr="00BC31E0">
        <w:rPr>
          <w:rFonts w:hint="eastAsia"/>
        </w:rPr>
        <w:t>値を求める</w:t>
      </w:r>
      <w:r w:rsidRPr="00BC31E0">
        <w:rPr>
          <w:rFonts w:hint="eastAsia"/>
        </w:rPr>
        <w:t>(</w:t>
      </w:r>
      <w:r w:rsidRPr="00BC31E0">
        <w:rPr>
          <w:rFonts w:asciiTheme="majorEastAsia" w:eastAsiaTheme="majorEastAsia" w:hAnsiTheme="majorEastAsia" w:hint="eastAsia"/>
          <w:b/>
        </w:rPr>
        <w:t>附属書C</w:t>
      </w:r>
      <w:r w:rsidRPr="00BC31E0">
        <w:rPr>
          <w:rFonts w:ascii="ＭＳ 明朝" w:hint="eastAsia"/>
        </w:rPr>
        <w:t>を</w:t>
      </w:r>
      <w:r w:rsidRPr="00BC31E0">
        <w:rPr>
          <w:rFonts w:hint="eastAsia"/>
        </w:rPr>
        <w:t>参照</w:t>
      </w:r>
      <w:r w:rsidRPr="00BC31E0">
        <w:rPr>
          <w:rFonts w:hint="eastAsia"/>
        </w:rPr>
        <w:t xml:space="preserve">) </w:t>
      </w:r>
      <w:r w:rsidRPr="00BC31E0">
        <w:rPr>
          <w:rFonts w:hint="eastAsia"/>
        </w:rPr>
        <w:t>。</w:t>
      </w:r>
    </w:p>
    <w:p w14:paraId="370A556F" w14:textId="77777777" w:rsidR="0055150A" w:rsidRPr="00BC31E0" w:rsidRDefault="00CC55FC" w:rsidP="00736130">
      <w:pPr>
        <w:pStyle w:val="a4"/>
        <w:numPr>
          <w:ilvl w:val="0"/>
          <w:numId w:val="254"/>
        </w:numPr>
        <w:ind w:leftChars="0" w:left="454" w:hanging="454"/>
      </w:pPr>
      <w:r w:rsidRPr="00BC31E0">
        <w:rPr>
          <w:rFonts w:asciiTheme="majorEastAsia" w:eastAsiaTheme="majorEastAsia" w:hAnsiTheme="majorEastAsia"/>
          <w:b/>
        </w:rPr>
        <w:t>CTOD</w:t>
      </w:r>
      <w:r w:rsidRPr="00BC31E0">
        <w:rPr>
          <w:rFonts w:asciiTheme="majorEastAsia" w:eastAsiaTheme="majorEastAsia" w:hAnsiTheme="majorEastAsia" w:hint="eastAsia"/>
          <w:b/>
        </w:rPr>
        <w:t>(き裂先端開口変位)破壊靭性試験</w:t>
      </w:r>
      <w:r w:rsidRPr="00BC31E0">
        <w:rPr>
          <w:rFonts w:hint="eastAsia"/>
        </w:rPr>
        <w:t xml:space="preserve">　</w:t>
      </w:r>
      <w:r w:rsidRPr="00BC31E0">
        <w:rPr>
          <w:rFonts w:hint="eastAsia"/>
          <w:bCs/>
        </w:rPr>
        <w:t>設計者は，</w:t>
      </w:r>
      <w:r w:rsidRPr="00BC31E0">
        <w:rPr>
          <w:bCs/>
        </w:rPr>
        <w:t>CTOD</w:t>
      </w:r>
      <w:r w:rsidRPr="00BC31E0">
        <w:rPr>
          <w:rFonts w:hint="eastAsia"/>
          <w:bCs/>
        </w:rPr>
        <w:t>破壊靭性試験で</w:t>
      </w:r>
      <w:r w:rsidRPr="00BC31E0">
        <w:rPr>
          <w:bCs/>
        </w:rPr>
        <w:t>CTOD</w:t>
      </w:r>
      <w:r w:rsidRPr="00BC31E0">
        <w:rPr>
          <w:rFonts w:hint="eastAsia"/>
          <w:bCs/>
        </w:rPr>
        <w:t>値を直接求め</w:t>
      </w:r>
      <w:r w:rsidR="009C026D" w:rsidRPr="00BC31E0">
        <w:rPr>
          <w:rFonts w:hint="eastAsia"/>
          <w:bCs/>
        </w:rPr>
        <w:t>てもよい</w:t>
      </w:r>
      <w:r w:rsidRPr="00BC31E0">
        <w:rPr>
          <w:rFonts w:hint="eastAsia"/>
          <w:bCs/>
        </w:rPr>
        <w:t>。</w:t>
      </w:r>
      <w:r w:rsidRPr="00BC31E0">
        <w:rPr>
          <w:bCs/>
        </w:rPr>
        <w:t>CTOD</w:t>
      </w:r>
      <w:r w:rsidRPr="00BC31E0">
        <w:rPr>
          <w:rFonts w:hint="eastAsia"/>
          <w:bCs/>
        </w:rPr>
        <w:t>破壊靭性試験が必要な場合は，</w:t>
      </w:r>
      <w:r w:rsidRPr="00BC31E0">
        <w:rPr>
          <w:rFonts w:asciiTheme="majorEastAsia" w:eastAsiaTheme="majorEastAsia" w:hAnsiTheme="majorEastAsia" w:hint="eastAsia"/>
          <w:b/>
        </w:rPr>
        <w:t>ASTM E1290</w:t>
      </w:r>
      <w:r w:rsidRPr="00BC31E0">
        <w:rPr>
          <w:rFonts w:hint="eastAsia"/>
          <w:bCs/>
        </w:rPr>
        <w:t>により行う。試験は</w:t>
      </w:r>
      <w:r w:rsidRPr="00BC31E0">
        <w:rPr>
          <w:rFonts w:asciiTheme="majorEastAsia" w:eastAsiaTheme="majorEastAsia" w:hAnsiTheme="majorEastAsia" w:hint="eastAsia"/>
          <w:b/>
        </w:rPr>
        <w:t>5.2.7 a)</w:t>
      </w:r>
      <w:r w:rsidRPr="00BC31E0">
        <w:rPr>
          <w:rFonts w:hint="eastAsia"/>
          <w:bCs/>
        </w:rPr>
        <w:t>に規定された衝撃試験温度以下の温度で行い，</w:t>
      </w:r>
      <w:r w:rsidRPr="00BC31E0">
        <w:rPr>
          <w:rFonts w:asciiTheme="majorEastAsia" w:eastAsiaTheme="majorEastAsia" w:hAnsiTheme="majorEastAsia" w:hint="eastAsia"/>
          <w:b/>
        </w:rPr>
        <w:t>表5.2.1</w:t>
      </w:r>
      <w:r w:rsidRPr="00BC31E0">
        <w:rPr>
          <w:rFonts w:hint="eastAsia"/>
          <w:bCs/>
        </w:rPr>
        <w:t>の低減温度は適用しない。適切な</w:t>
      </w:r>
      <m:oMath>
        <m:sSub>
          <m:sSubPr>
            <m:ctrlPr>
              <w:rPr>
                <w:rFonts w:ascii="Cambria Math" w:hAnsi="Cambria Math"/>
                <w:bCs/>
              </w:rPr>
            </m:ctrlPr>
          </m:sSubPr>
          <m:e>
            <m:r>
              <w:rPr>
                <w:rFonts w:ascii="Cambria Math" w:hAnsi="Cambria Math"/>
              </w:rPr>
              <m:t xml:space="preserve"> K</m:t>
            </m:r>
          </m:e>
          <m:sub>
            <m:r>
              <m:rPr>
                <m:sty m:val="p"/>
              </m:rPr>
              <w:rPr>
                <w:rFonts w:ascii="Cambria Math" w:hAnsi="Cambria Math"/>
              </w:rPr>
              <m:t>I</m:t>
            </m:r>
            <m:r>
              <w:rPr>
                <w:rFonts w:ascii="Cambria Math" w:hAnsi="Cambria Math"/>
              </w:rPr>
              <m:t>C</m:t>
            </m:r>
          </m:sub>
        </m:sSub>
      </m:oMath>
      <w:r w:rsidRPr="00BC31E0">
        <w:rPr>
          <w:rFonts w:hint="eastAsia"/>
          <w:bCs/>
        </w:rPr>
        <w:t>－</w:t>
      </w:r>
      <w:r w:rsidRPr="00BC31E0">
        <w:rPr>
          <w:bCs/>
        </w:rPr>
        <w:t>CTOD</w:t>
      </w:r>
      <w:r w:rsidRPr="00BC31E0">
        <w:rPr>
          <w:rFonts w:hint="eastAsia"/>
          <w:bCs/>
        </w:rPr>
        <w:t>換算式を決定するのは設計者の責任であり，この式により</w:t>
      </w:r>
      <m:oMath>
        <m:sSub>
          <m:sSubPr>
            <m:ctrlPr>
              <w:rPr>
                <w:rFonts w:ascii="Cambria Math" w:hAnsi="Cambria Math"/>
                <w:bCs/>
              </w:rPr>
            </m:ctrlPr>
          </m:sSubPr>
          <m:e>
            <m:r>
              <w:rPr>
                <w:rFonts w:ascii="Cambria Math" w:hAnsi="Cambria Math"/>
              </w:rPr>
              <m:t xml:space="preserve"> K</m:t>
            </m:r>
          </m:e>
          <m:sub>
            <m:r>
              <m:rPr>
                <m:sty m:val="p"/>
              </m:rPr>
              <w:rPr>
                <w:rFonts w:ascii="Cambria Math" w:hAnsi="Cambria Math"/>
              </w:rPr>
              <m:t>I</m:t>
            </m:r>
            <m:r>
              <w:rPr>
                <w:rFonts w:ascii="Cambria Math" w:hAnsi="Cambria Math"/>
              </w:rPr>
              <m:t>C</m:t>
            </m:r>
          </m:sub>
        </m:sSub>
        <m:r>
          <m:rPr>
            <m:sty m:val="p"/>
          </m:rPr>
          <w:rPr>
            <w:rFonts w:ascii="Cambria Math" w:hAnsi="Cambria Math"/>
          </w:rPr>
          <m:t xml:space="preserve"> </m:t>
        </m:r>
      </m:oMath>
      <w:r w:rsidRPr="00BC31E0">
        <w:rPr>
          <w:rFonts w:hint="eastAsia"/>
          <w:bCs/>
        </w:rPr>
        <w:t>値を求める</w:t>
      </w:r>
      <w:r w:rsidRPr="00BC31E0">
        <w:rPr>
          <w:rFonts w:hint="eastAsia"/>
          <w:bCs/>
        </w:rPr>
        <w:t>(</w:t>
      </w:r>
      <w:r w:rsidRPr="00BC31E0">
        <w:rPr>
          <w:rFonts w:asciiTheme="majorEastAsia" w:eastAsiaTheme="majorEastAsia" w:hAnsiTheme="majorEastAsia" w:hint="eastAsia"/>
          <w:b/>
        </w:rPr>
        <w:t>附属書C</w:t>
      </w:r>
      <w:r w:rsidRPr="00BC31E0">
        <w:rPr>
          <w:rFonts w:hint="eastAsia"/>
          <w:bCs/>
        </w:rPr>
        <w:t>を参照</w:t>
      </w:r>
      <w:r w:rsidRPr="00BC31E0">
        <w:rPr>
          <w:rFonts w:hint="eastAsia"/>
          <w:bCs/>
        </w:rPr>
        <w:t>)</w:t>
      </w:r>
      <w:r w:rsidRPr="00BC31E0">
        <w:rPr>
          <w:rFonts w:hint="eastAsia"/>
          <w:bCs/>
        </w:rPr>
        <w:t>。</w:t>
      </w:r>
    </w:p>
    <w:p w14:paraId="227C627C" w14:textId="77777777" w:rsidR="0055150A" w:rsidRPr="00BC31E0" w:rsidRDefault="00A51873" w:rsidP="00736130">
      <w:pPr>
        <w:pStyle w:val="a4"/>
        <w:numPr>
          <w:ilvl w:val="0"/>
          <w:numId w:val="254"/>
        </w:numPr>
        <w:ind w:leftChars="0" w:left="454" w:hanging="454"/>
      </w:pPr>
      <m:oMath>
        <m:sSub>
          <m:sSubPr>
            <m:ctrlPr>
              <w:rPr>
                <w:rFonts w:ascii="Cambria Math" w:eastAsiaTheme="majorEastAsia" w:hAnsiTheme="majorEastAsia"/>
                <w:b/>
                <w:i/>
              </w:rPr>
            </m:ctrlPr>
          </m:sSubPr>
          <m:e>
            <m:r>
              <m:rPr>
                <m:sty m:val="bi"/>
              </m:rPr>
              <w:rPr>
                <w:rFonts w:ascii="Cambria Math" w:eastAsiaTheme="majorEastAsia" w:hAnsi="Cambria Math"/>
              </w:rPr>
              <m:t>J</m:t>
            </m:r>
          </m:e>
          <m:sub>
            <m:r>
              <m:rPr>
                <m:sty m:val="b"/>
              </m:rPr>
              <w:rPr>
                <w:rFonts w:ascii="Cambria Math" w:eastAsiaTheme="majorEastAsia" w:hAnsi="Cambria Math"/>
              </w:rPr>
              <m:t>I</m:t>
            </m:r>
            <m:r>
              <m:rPr>
                <m:sty m:val="bi"/>
              </m:rPr>
              <w:rPr>
                <w:rFonts w:ascii="Cambria Math" w:eastAsiaTheme="majorEastAsia" w:hAnsi="Cambria Math"/>
              </w:rPr>
              <m:t>C</m:t>
            </m:r>
          </m:sub>
        </m:sSub>
        <m:r>
          <m:rPr>
            <m:sty m:val="bi"/>
          </m:rPr>
          <w:rPr>
            <w:rFonts w:ascii="Cambria Math" w:eastAsiaTheme="majorEastAsia" w:hAnsiTheme="majorEastAsia"/>
          </w:rPr>
          <m:t xml:space="preserve"> </m:t>
        </m:r>
      </m:oMath>
      <w:r w:rsidR="00CC55FC" w:rsidRPr="00BC31E0">
        <w:rPr>
          <w:rFonts w:asciiTheme="majorEastAsia" w:eastAsiaTheme="majorEastAsia" w:hAnsiTheme="majorEastAsia" w:hint="eastAsia"/>
          <w:b/>
        </w:rPr>
        <w:t>破壊靭性試験</w:t>
      </w:r>
      <w:r w:rsidR="00CC55FC" w:rsidRPr="00BC31E0">
        <w:rPr>
          <w:rFonts w:hint="eastAsia"/>
        </w:rPr>
        <w:t xml:space="preserve">　</w:t>
      </w:r>
      <w:r w:rsidR="00CC55FC" w:rsidRPr="00BC31E0">
        <w:rPr>
          <w:rFonts w:asciiTheme="minorEastAsia" w:hAnsiTheme="minorEastAsia" w:hint="eastAsia"/>
          <w:bCs/>
        </w:rPr>
        <w:t>設計者は，</w:t>
      </w:r>
      <m:oMath>
        <m:sSub>
          <m:sSubPr>
            <m:ctrlPr>
              <w:rPr>
                <w:rFonts w:ascii="Cambria Math" w:hAnsi="Cambria Math"/>
                <w:bCs/>
                <w:i/>
              </w:rPr>
            </m:ctrlPr>
          </m:sSubPr>
          <m:e>
            <m:r>
              <w:rPr>
                <w:rFonts w:ascii="Cambria Math" w:hAnsi="Cambria Math"/>
              </w:rPr>
              <m:t>J</m:t>
            </m:r>
          </m:e>
          <m:sub>
            <m:r>
              <m:rPr>
                <m:sty m:val="p"/>
              </m:rPr>
              <w:rPr>
                <w:rFonts w:ascii="Cambria Math" w:hAnsi="Cambria Math"/>
              </w:rPr>
              <m:t>I</m:t>
            </m:r>
            <m:r>
              <w:rPr>
                <w:rFonts w:ascii="Cambria Math" w:hAnsi="Cambria Math"/>
              </w:rPr>
              <m:t>C</m:t>
            </m:r>
          </m:sub>
        </m:sSub>
        <m:r>
          <w:rPr>
            <w:rFonts w:ascii="Cambria Math" w:hAnsi="Cambria Math"/>
          </w:rPr>
          <m:t xml:space="preserve"> </m:t>
        </m:r>
      </m:oMath>
      <w:r w:rsidR="00CC55FC" w:rsidRPr="00BC31E0">
        <w:rPr>
          <w:rFonts w:asciiTheme="minorEastAsia" w:hAnsiTheme="minorEastAsia" w:hint="eastAsia"/>
          <w:bCs/>
        </w:rPr>
        <w:t>破壊靭性試験で</w:t>
      </w:r>
      <m:oMath>
        <m:sSub>
          <m:sSubPr>
            <m:ctrlPr>
              <w:rPr>
                <w:rFonts w:ascii="Cambria Math" w:hAnsi="Cambria Math"/>
                <w:bCs/>
                <w:i/>
              </w:rPr>
            </m:ctrlPr>
          </m:sSubPr>
          <m:e>
            <m:r>
              <w:rPr>
                <w:rFonts w:ascii="Cambria Math" w:hAnsi="Cambria Math"/>
              </w:rPr>
              <m:t xml:space="preserve"> J</m:t>
            </m:r>
          </m:e>
          <m:sub>
            <m:r>
              <m:rPr>
                <m:sty m:val="p"/>
              </m:rPr>
              <w:rPr>
                <w:rFonts w:ascii="Cambria Math" w:hAnsi="Cambria Math"/>
              </w:rPr>
              <m:t>I</m:t>
            </m:r>
            <m:r>
              <w:rPr>
                <w:rFonts w:ascii="Cambria Math" w:hAnsi="Cambria Math"/>
              </w:rPr>
              <m:t>C</m:t>
            </m:r>
          </m:sub>
        </m:sSub>
        <m:r>
          <w:rPr>
            <w:rFonts w:ascii="Cambria Math" w:hAnsi="Cambria Math"/>
          </w:rPr>
          <m:t xml:space="preserve"> </m:t>
        </m:r>
      </m:oMath>
      <w:r w:rsidR="00CC55FC" w:rsidRPr="00BC31E0">
        <w:rPr>
          <w:rFonts w:asciiTheme="minorEastAsia" w:hAnsiTheme="minorEastAsia" w:hint="eastAsia"/>
          <w:bCs/>
        </w:rPr>
        <w:t>値を直接求め</w:t>
      </w:r>
      <w:r w:rsidR="009C026D" w:rsidRPr="00BC31E0">
        <w:rPr>
          <w:rFonts w:asciiTheme="minorEastAsia" w:hAnsiTheme="minorEastAsia" w:hint="eastAsia"/>
          <w:bCs/>
        </w:rPr>
        <w:t>てもよい</w:t>
      </w:r>
      <w:r w:rsidR="00CC55FC" w:rsidRPr="00BC31E0">
        <w:rPr>
          <w:rFonts w:asciiTheme="minorEastAsia" w:hAnsiTheme="minorEastAsia" w:hint="eastAsia"/>
          <w:bCs/>
        </w:rPr>
        <w:t>。</w:t>
      </w:r>
      <m:oMath>
        <m:sSub>
          <m:sSubPr>
            <m:ctrlPr>
              <w:rPr>
                <w:rFonts w:ascii="Cambria Math" w:hAnsi="Cambria Math"/>
                <w:bCs/>
                <w:i/>
              </w:rPr>
            </m:ctrlPr>
          </m:sSubPr>
          <m:e>
            <m:r>
              <w:rPr>
                <w:rFonts w:ascii="Cambria Math" w:hAnsi="Cambria Math"/>
              </w:rPr>
              <m:t>J</m:t>
            </m:r>
          </m:e>
          <m:sub>
            <m:r>
              <m:rPr>
                <m:sty m:val="p"/>
              </m:rPr>
              <w:rPr>
                <w:rFonts w:ascii="Cambria Math" w:hAnsi="Cambria Math"/>
              </w:rPr>
              <m:t>I</m:t>
            </m:r>
            <m:r>
              <w:rPr>
                <w:rFonts w:ascii="Cambria Math" w:hAnsi="Cambria Math"/>
              </w:rPr>
              <m:t xml:space="preserve">C </m:t>
            </m:r>
          </m:sub>
        </m:sSub>
      </m:oMath>
      <w:r w:rsidR="00CC55FC" w:rsidRPr="00BC31E0">
        <w:rPr>
          <w:rFonts w:asciiTheme="minorEastAsia" w:hAnsiTheme="minorEastAsia" w:hint="eastAsia"/>
          <w:bCs/>
        </w:rPr>
        <w:t>破壊靭性試験が必要な場合は，</w:t>
      </w:r>
      <w:r w:rsidR="00CC55FC" w:rsidRPr="00BC31E0">
        <w:rPr>
          <w:rFonts w:asciiTheme="majorEastAsia" w:eastAsiaTheme="majorEastAsia" w:hAnsiTheme="majorEastAsia" w:hint="eastAsia"/>
          <w:b/>
        </w:rPr>
        <w:t>ASTM E1820</w:t>
      </w:r>
      <w:r w:rsidR="00E10A2E" w:rsidRPr="00BC31E0">
        <w:rPr>
          <w:rFonts w:asciiTheme="minorHAnsi" w:eastAsiaTheme="minorEastAsia" w:hAnsiTheme="minorEastAsia"/>
        </w:rPr>
        <w:t>又は日本機械学会基準の</w:t>
      </w:r>
      <w:r w:rsidR="00E10A2E" w:rsidRPr="00BC31E0">
        <w:rPr>
          <w:rFonts w:asciiTheme="majorEastAsia" w:eastAsiaTheme="majorEastAsia" w:hAnsiTheme="majorEastAsia" w:hint="eastAsia"/>
          <w:b/>
        </w:rPr>
        <w:t>JSME S001</w:t>
      </w:r>
      <w:r w:rsidR="00CC55FC" w:rsidRPr="00BC31E0">
        <w:rPr>
          <w:rFonts w:hint="eastAsia"/>
          <w:bCs/>
        </w:rPr>
        <w:t>により行う。試験は</w:t>
      </w:r>
      <w:r w:rsidR="00CC55FC" w:rsidRPr="00BC31E0">
        <w:rPr>
          <w:rFonts w:asciiTheme="majorEastAsia" w:eastAsiaTheme="majorEastAsia" w:hAnsiTheme="majorEastAsia" w:hint="eastAsia"/>
          <w:b/>
        </w:rPr>
        <w:t>5.2.7 a)</w:t>
      </w:r>
      <w:r w:rsidR="00CC55FC" w:rsidRPr="00BC31E0">
        <w:rPr>
          <w:rFonts w:hint="eastAsia"/>
          <w:bCs/>
        </w:rPr>
        <w:t>に規定された衝撃試験温度以下の温度で行い，</w:t>
      </w:r>
      <w:r w:rsidR="00CC55FC" w:rsidRPr="00BC31E0">
        <w:rPr>
          <w:rFonts w:asciiTheme="majorEastAsia" w:eastAsiaTheme="majorEastAsia" w:hAnsiTheme="majorEastAsia" w:hint="eastAsia"/>
          <w:b/>
        </w:rPr>
        <w:t>表5.2.1</w:t>
      </w:r>
      <w:r w:rsidR="00CC55FC" w:rsidRPr="00BC31E0">
        <w:rPr>
          <w:rFonts w:hint="eastAsia"/>
          <w:bCs/>
        </w:rPr>
        <w:t>の低減温度は適用しない。適切な</w:t>
      </w:r>
      <m:oMath>
        <m:r>
          <m:rPr>
            <m:sty m:val="p"/>
          </m:rPr>
          <w:rPr>
            <w:rFonts w:ascii="Cambria Math" w:hAnsi="Cambria Math"/>
          </w:rPr>
          <m:t xml:space="preserve"> </m:t>
        </m:r>
        <m:sSub>
          <m:sSubPr>
            <m:ctrlPr>
              <w:rPr>
                <w:rFonts w:ascii="Cambria Math" w:hAnsi="Cambria Math"/>
                <w:bCs/>
              </w:rPr>
            </m:ctrlPr>
          </m:sSubPr>
          <m:e>
            <m:r>
              <w:rPr>
                <w:rFonts w:ascii="Cambria Math" w:hAnsi="Cambria Math"/>
              </w:rPr>
              <m:t>K</m:t>
            </m:r>
          </m:e>
          <m:sub>
            <m:r>
              <m:rPr>
                <m:sty m:val="p"/>
              </m:rPr>
              <w:rPr>
                <w:rFonts w:ascii="Cambria Math" w:hAnsi="Cambria Math"/>
              </w:rPr>
              <m:t>I</m:t>
            </m:r>
            <m:r>
              <w:rPr>
                <w:rFonts w:ascii="Cambria Math" w:hAnsi="Cambria Math"/>
              </w:rPr>
              <m:t>C</m:t>
            </m:r>
          </m:sub>
        </m:sSub>
      </m:oMath>
      <w:r w:rsidR="002620C0" w:rsidRPr="00BC31E0">
        <w:rPr>
          <w:bCs/>
        </w:rPr>
        <w:fldChar w:fldCharType="begin"/>
      </w:r>
      <w:r w:rsidR="00CC55FC" w:rsidRPr="00BC31E0">
        <w:rPr>
          <w:bCs/>
        </w:rPr>
        <w:instrText xml:space="preserve"> QUOTE </w:instrText>
      </w:r>
      <m:oMath>
        <m:r>
          <m:rPr>
            <m:sty m:val="p"/>
          </m:rPr>
          <w:rPr>
            <w:rFonts w:ascii="Cambria Math" w:hAnsi="Cambria Math"/>
          </w:rPr>
          <m:t xml:space="preserve"> </m:t>
        </m:r>
        <m:sSub>
          <m:sSubPr>
            <m:ctrlPr>
              <w:rPr>
                <w:rFonts w:ascii="Cambria Math" w:hAnsi="Cambria Math"/>
                <w:bCs/>
              </w:rPr>
            </m:ctrlPr>
          </m:sSubPr>
          <m:e>
            <m:r>
              <m:rPr>
                <m:sty m:val="p"/>
              </m:rPr>
              <w:rPr>
                <w:rFonts w:ascii="Cambria Math" w:hAnsi="Cambria Math"/>
              </w:rPr>
              <m:t>K</m:t>
            </m:r>
          </m:e>
          <m:sub>
            <m:r>
              <m:rPr>
                <m:sty m:val="p"/>
              </m:rPr>
              <w:rPr>
                <w:rFonts w:ascii="Cambria Math" w:hAnsi="Cambria Math" w:hint="eastAsia"/>
                <w:vertAlign w:val="subscript"/>
              </w:rPr>
              <m:t>IC</m:t>
            </m:r>
          </m:sub>
        </m:sSub>
        <m:r>
          <m:rPr>
            <m:sty m:val="p"/>
          </m:rPr>
          <w:rPr>
            <w:rFonts w:ascii="Cambria Math" w:hAnsi="Cambria Math"/>
          </w:rPr>
          <m:t xml:space="preserve"> </m:t>
        </m:r>
        <m:r>
          <m:rPr>
            <m:sty m:val="p"/>
          </m:rPr>
          <w:rPr>
            <w:rFonts w:ascii="Cambria Math" w:hAnsi="Cambria Math" w:hint="eastAsia"/>
          </w:rPr>
          <m:t>－</m:t>
        </m:r>
        <m:sSub>
          <m:sSubPr>
            <m:ctrlPr>
              <w:rPr>
                <w:rFonts w:ascii="Cambria Math" w:hAnsi="Cambria Math"/>
                <w:bCs/>
              </w:rPr>
            </m:ctrlPr>
          </m:sSubPr>
          <m:e>
            <m:r>
              <m:rPr>
                <m:sty m:val="p"/>
              </m:rPr>
              <w:rPr>
                <w:rFonts w:ascii="Cambria Math" w:hAnsi="Cambria Math"/>
              </w:rPr>
              <m:t xml:space="preserve"> </m:t>
            </m:r>
            <m:r>
              <m:rPr>
                <m:sty m:val="p"/>
              </m:rPr>
              <w:rPr>
                <w:rFonts w:ascii="Cambria Math" w:hAnsi="Cambria Math" w:hint="eastAsia"/>
              </w:rPr>
              <m:t>J</m:t>
            </m:r>
          </m:e>
          <m:sub>
            <m:r>
              <m:rPr>
                <m:sty m:val="p"/>
              </m:rPr>
              <w:rPr>
                <w:rFonts w:ascii="Cambria Math" w:hAnsi="Cambria Math" w:hint="eastAsia"/>
                <w:vertAlign w:val="subscript"/>
              </w:rPr>
              <m:t>IC</m:t>
            </m:r>
          </m:sub>
        </m:sSub>
      </m:oMath>
      <w:r w:rsidR="00CC55FC" w:rsidRPr="00BC31E0">
        <w:rPr>
          <w:bCs/>
        </w:rPr>
        <w:instrText xml:space="preserve"> </w:instrText>
      </w:r>
      <w:r w:rsidR="002620C0" w:rsidRPr="00BC31E0">
        <w:rPr>
          <w:bCs/>
        </w:rPr>
        <w:fldChar w:fldCharType="end"/>
      </w:r>
      <w:r w:rsidR="00CC55FC" w:rsidRPr="00BC31E0">
        <w:rPr>
          <w:rFonts w:hint="eastAsia"/>
          <w:bCs/>
        </w:rPr>
        <w:t>－</w:t>
      </w:r>
      <m:oMath>
        <m:sSub>
          <m:sSubPr>
            <m:ctrlPr>
              <w:rPr>
                <w:rFonts w:ascii="Cambria Math" w:hAnsi="Cambria Math"/>
                <w:bCs/>
                <w:i/>
              </w:rPr>
            </m:ctrlPr>
          </m:sSubPr>
          <m:e>
            <m:r>
              <w:rPr>
                <w:rFonts w:ascii="Cambria Math" w:hAnsi="Cambria Math"/>
              </w:rPr>
              <m:t>J</m:t>
            </m:r>
          </m:e>
          <m:sub>
            <m:r>
              <m:rPr>
                <m:sty m:val="p"/>
              </m:rPr>
              <w:rPr>
                <w:rFonts w:ascii="Cambria Math" w:hAnsi="Cambria Math"/>
              </w:rPr>
              <m:t>I</m:t>
            </m:r>
            <m:r>
              <w:rPr>
                <w:rFonts w:ascii="Cambria Math" w:hAnsi="Cambria Math"/>
              </w:rPr>
              <m:t>C</m:t>
            </m:r>
          </m:sub>
        </m:sSub>
        <m:r>
          <w:rPr>
            <w:rFonts w:ascii="Cambria Math" w:hAnsi="Cambria Math"/>
          </w:rPr>
          <m:t xml:space="preserve"> </m:t>
        </m:r>
      </m:oMath>
      <w:r w:rsidR="00CC55FC" w:rsidRPr="00BC31E0">
        <w:rPr>
          <w:rFonts w:hint="eastAsia"/>
          <w:bCs/>
        </w:rPr>
        <w:t>換算式を決定するのは設計者の責任であり，この式により</w:t>
      </w:r>
      <m:oMath>
        <m:sSub>
          <m:sSubPr>
            <m:ctrlPr>
              <w:rPr>
                <w:rFonts w:ascii="Cambria Math" w:hAnsi="Cambria Math"/>
                <w:bCs/>
              </w:rPr>
            </m:ctrlPr>
          </m:sSubPr>
          <m:e>
            <m:r>
              <w:rPr>
                <w:rFonts w:ascii="Cambria Math" w:hAnsi="Cambria Math"/>
              </w:rPr>
              <m:t xml:space="preserve"> K</m:t>
            </m:r>
          </m:e>
          <m:sub>
            <m:r>
              <m:rPr>
                <m:sty m:val="p"/>
              </m:rPr>
              <w:rPr>
                <w:rFonts w:ascii="Cambria Math" w:hAnsi="Cambria Math"/>
              </w:rPr>
              <m:t>I</m:t>
            </m:r>
            <m:r>
              <w:rPr>
                <w:rFonts w:ascii="Cambria Math" w:hAnsi="Cambria Math"/>
              </w:rPr>
              <m:t>C</m:t>
            </m:r>
          </m:sub>
        </m:sSub>
        <m:r>
          <m:rPr>
            <m:sty m:val="p"/>
          </m:rPr>
          <w:rPr>
            <w:rFonts w:ascii="Cambria Math" w:hAnsi="Cambria Math"/>
          </w:rPr>
          <m:t xml:space="preserve"> </m:t>
        </m:r>
      </m:oMath>
      <w:r w:rsidR="00CC55FC" w:rsidRPr="00BC31E0">
        <w:rPr>
          <w:rFonts w:hint="eastAsia"/>
          <w:bCs/>
        </w:rPr>
        <w:t>値を求める</w:t>
      </w:r>
      <w:r w:rsidR="00CC55FC" w:rsidRPr="00BC31E0">
        <w:rPr>
          <w:rFonts w:hint="eastAsia"/>
          <w:bCs/>
        </w:rPr>
        <w:t>(</w:t>
      </w:r>
      <w:r w:rsidR="00CC55FC" w:rsidRPr="00BC31E0">
        <w:rPr>
          <w:rFonts w:asciiTheme="majorEastAsia" w:eastAsiaTheme="majorEastAsia" w:hAnsiTheme="majorEastAsia" w:hint="eastAsia"/>
          <w:b/>
        </w:rPr>
        <w:t>附属書C</w:t>
      </w:r>
      <w:r w:rsidR="00CC55FC" w:rsidRPr="00BC31E0">
        <w:rPr>
          <w:rFonts w:ascii="ＭＳ 明朝" w:hint="eastAsia"/>
          <w:bCs/>
        </w:rPr>
        <w:t>を</w:t>
      </w:r>
      <w:r w:rsidR="00CC55FC" w:rsidRPr="00BC31E0">
        <w:rPr>
          <w:rFonts w:hint="eastAsia"/>
          <w:bCs/>
        </w:rPr>
        <w:t>参照</w:t>
      </w:r>
      <w:r w:rsidR="00CC55FC" w:rsidRPr="00BC31E0">
        <w:rPr>
          <w:rFonts w:hint="eastAsia"/>
          <w:bCs/>
        </w:rPr>
        <w:t>)</w:t>
      </w:r>
      <w:r w:rsidR="00CC55FC" w:rsidRPr="00BC31E0">
        <w:rPr>
          <w:rFonts w:hint="eastAsia"/>
          <w:bCs/>
        </w:rPr>
        <w:t>。</w:t>
      </w:r>
    </w:p>
    <w:p w14:paraId="18DAFCC0" w14:textId="77777777" w:rsidR="00CC55FC" w:rsidRPr="00BC31E0" w:rsidRDefault="00A51873" w:rsidP="00736130">
      <w:pPr>
        <w:pStyle w:val="a4"/>
        <w:numPr>
          <w:ilvl w:val="0"/>
          <w:numId w:val="254"/>
        </w:numPr>
        <w:ind w:leftChars="0" w:left="454" w:hanging="454"/>
      </w:pPr>
      <m:oMath>
        <m:sSub>
          <m:sSubPr>
            <m:ctrlPr>
              <w:rPr>
                <w:rFonts w:ascii="Cambria Math" w:eastAsiaTheme="majorEastAsia" w:hAnsiTheme="majorEastAsia"/>
                <w:b/>
              </w:rPr>
            </m:ctrlPr>
          </m:sSubPr>
          <m:e>
            <m:r>
              <m:rPr>
                <m:sty m:val="bi"/>
              </m:rPr>
              <w:rPr>
                <w:rFonts w:ascii="Cambria Math" w:eastAsiaTheme="majorEastAsia" w:hAnsi="Cambria Math"/>
              </w:rPr>
              <m:t>K</m:t>
            </m:r>
          </m:e>
          <m:sub>
            <m:r>
              <m:rPr>
                <m:sty m:val="b"/>
              </m:rPr>
              <w:rPr>
                <w:rFonts w:ascii="Cambria Math" w:eastAsiaTheme="majorEastAsia" w:hAnsi="Cambria Math"/>
              </w:rPr>
              <m:t>I</m:t>
            </m:r>
            <m:r>
              <m:rPr>
                <m:sty m:val="bi"/>
              </m:rPr>
              <w:rPr>
                <w:rFonts w:ascii="Cambria Math" w:eastAsiaTheme="majorEastAsia" w:hAnsi="Cambria Math"/>
              </w:rPr>
              <m:t>C</m:t>
            </m:r>
          </m:sub>
        </m:sSub>
        <m:r>
          <m:rPr>
            <m:sty m:val="b"/>
          </m:rPr>
          <w:rPr>
            <w:rFonts w:ascii="Cambria Math" w:eastAsiaTheme="majorEastAsia" w:hAnsi="Cambria Math"/>
          </w:rPr>
          <m:t xml:space="preserve"> </m:t>
        </m:r>
      </m:oMath>
      <w:r w:rsidR="00CC55FC" w:rsidRPr="00BC31E0">
        <w:rPr>
          <w:rFonts w:asciiTheme="majorEastAsia" w:eastAsiaTheme="majorEastAsia" w:hAnsiTheme="majorEastAsia" w:hint="eastAsia"/>
          <w:b/>
        </w:rPr>
        <w:t>破壊靭性試験</w:t>
      </w:r>
      <w:r w:rsidR="00CC55FC" w:rsidRPr="00BC31E0">
        <w:rPr>
          <w:rFonts w:hint="eastAsia"/>
        </w:rPr>
        <w:t xml:space="preserve">　</w:t>
      </w:r>
      <w:r w:rsidR="00CC55FC" w:rsidRPr="00BC31E0">
        <w:rPr>
          <w:rFonts w:hint="eastAsia"/>
          <w:bCs/>
        </w:rPr>
        <w:t>設計者は，</w:t>
      </w:r>
      <m:oMath>
        <m:sSub>
          <m:sSubPr>
            <m:ctrlPr>
              <w:rPr>
                <w:rFonts w:ascii="Cambria Math" w:hAnsi="Cambria Math"/>
                <w:bCs/>
              </w:rPr>
            </m:ctrlPr>
          </m:sSubPr>
          <m:e>
            <m:r>
              <w:rPr>
                <w:rFonts w:ascii="Cambria Math" w:hAnsi="Cambria Math"/>
              </w:rPr>
              <m:t>K</m:t>
            </m:r>
          </m:e>
          <m:sub>
            <m:r>
              <m:rPr>
                <m:sty m:val="p"/>
              </m:rPr>
              <w:rPr>
                <w:rFonts w:ascii="Cambria Math" w:hAnsi="Cambria Math"/>
              </w:rPr>
              <m:t>I</m:t>
            </m:r>
            <m:r>
              <w:rPr>
                <w:rFonts w:ascii="Cambria Math" w:hAnsi="Cambria Math"/>
              </w:rPr>
              <m:t>C</m:t>
            </m:r>
          </m:sub>
        </m:sSub>
        <m:r>
          <m:rPr>
            <m:sty m:val="p"/>
          </m:rPr>
          <w:rPr>
            <w:rFonts w:ascii="Cambria Math" w:hAnsi="Cambria Math"/>
          </w:rPr>
          <m:t xml:space="preserve"> </m:t>
        </m:r>
      </m:oMath>
      <w:r w:rsidR="00CC55FC" w:rsidRPr="00BC31E0">
        <w:rPr>
          <w:rFonts w:asciiTheme="minorEastAsia" w:hAnsiTheme="minorEastAsia" w:hint="eastAsia"/>
          <w:bCs/>
        </w:rPr>
        <w:t>破壊靭性試験で</w:t>
      </w:r>
      <m:oMath>
        <m:sSub>
          <m:sSubPr>
            <m:ctrlPr>
              <w:rPr>
                <w:rFonts w:ascii="Cambria Math" w:hAnsi="Cambria Math"/>
                <w:bCs/>
              </w:rPr>
            </m:ctrlPr>
          </m:sSubPr>
          <m:e>
            <m:r>
              <w:rPr>
                <w:rFonts w:ascii="Cambria Math" w:hAnsi="Cambria Math"/>
              </w:rPr>
              <m:t xml:space="preserve"> K</m:t>
            </m:r>
          </m:e>
          <m:sub>
            <m:r>
              <m:rPr>
                <m:sty m:val="p"/>
              </m:rPr>
              <w:rPr>
                <w:rFonts w:ascii="Cambria Math" w:hAnsi="Cambria Math"/>
              </w:rPr>
              <m:t>I</m:t>
            </m:r>
            <m:r>
              <w:rPr>
                <w:rFonts w:ascii="Cambria Math" w:hAnsi="Cambria Math"/>
              </w:rPr>
              <m:t>C</m:t>
            </m:r>
          </m:sub>
        </m:sSub>
        <m:r>
          <m:rPr>
            <m:sty m:val="p"/>
          </m:rPr>
          <w:rPr>
            <w:rFonts w:ascii="Cambria Math" w:hAnsi="Cambria Math"/>
          </w:rPr>
          <m:t xml:space="preserve"> </m:t>
        </m:r>
      </m:oMath>
      <w:r w:rsidR="00CC55FC" w:rsidRPr="00BC31E0">
        <w:rPr>
          <w:rFonts w:asciiTheme="minorEastAsia" w:hAnsiTheme="minorEastAsia" w:hint="eastAsia"/>
          <w:bCs/>
        </w:rPr>
        <w:t>値を直接求め</w:t>
      </w:r>
      <w:r w:rsidR="009C026D" w:rsidRPr="00BC31E0">
        <w:rPr>
          <w:rFonts w:asciiTheme="minorEastAsia" w:hAnsiTheme="minorEastAsia" w:hint="eastAsia"/>
          <w:bCs/>
        </w:rPr>
        <w:t>てもよい</w:t>
      </w:r>
      <w:r w:rsidR="00CC55FC" w:rsidRPr="00BC31E0">
        <w:rPr>
          <w:rFonts w:asciiTheme="minorEastAsia" w:hAnsiTheme="minorEastAsia" w:hint="eastAsia"/>
          <w:bCs/>
        </w:rPr>
        <w:t>。</w:t>
      </w:r>
      <m:oMath>
        <m:sSub>
          <m:sSubPr>
            <m:ctrlPr>
              <w:rPr>
                <w:rFonts w:ascii="Cambria Math" w:hAnsi="Cambria Math"/>
                <w:bCs/>
              </w:rPr>
            </m:ctrlPr>
          </m:sSubPr>
          <m:e>
            <m:r>
              <w:rPr>
                <w:rFonts w:ascii="Cambria Math" w:hAnsi="Cambria Math"/>
              </w:rPr>
              <m:t>K</m:t>
            </m:r>
          </m:e>
          <m:sub>
            <m:r>
              <m:rPr>
                <m:sty m:val="p"/>
              </m:rPr>
              <w:rPr>
                <w:rFonts w:ascii="Cambria Math" w:hAnsi="Cambria Math"/>
              </w:rPr>
              <m:t>I</m:t>
            </m:r>
            <m:r>
              <w:rPr>
                <w:rFonts w:ascii="Cambria Math" w:hAnsi="Cambria Math"/>
              </w:rPr>
              <m:t>C</m:t>
            </m:r>
          </m:sub>
        </m:sSub>
        <m:r>
          <m:rPr>
            <m:sty m:val="p"/>
          </m:rPr>
          <w:rPr>
            <w:rFonts w:ascii="Cambria Math" w:hAnsi="Cambria Math"/>
          </w:rPr>
          <m:t xml:space="preserve"> </m:t>
        </m:r>
      </m:oMath>
      <w:r w:rsidR="00CC55FC" w:rsidRPr="00BC31E0">
        <w:rPr>
          <w:rFonts w:asciiTheme="minorEastAsia" w:hAnsiTheme="minorEastAsia" w:hint="eastAsia"/>
          <w:bCs/>
        </w:rPr>
        <w:t>破壊靭性試験が必要な場合は，</w:t>
      </w:r>
      <w:r w:rsidR="00CC55FC" w:rsidRPr="00BC31E0">
        <w:rPr>
          <w:rFonts w:asciiTheme="majorEastAsia" w:eastAsiaTheme="majorEastAsia" w:hAnsiTheme="majorEastAsia" w:hint="eastAsia"/>
          <w:b/>
        </w:rPr>
        <w:t>ASTM E399</w:t>
      </w:r>
      <w:r w:rsidR="00CC55FC" w:rsidRPr="00BC31E0">
        <w:rPr>
          <w:rFonts w:hint="eastAsia"/>
          <w:bCs/>
        </w:rPr>
        <w:t>により行う。試験は</w:t>
      </w:r>
      <w:r w:rsidR="00CC55FC" w:rsidRPr="00BC31E0">
        <w:rPr>
          <w:rFonts w:asciiTheme="majorEastAsia" w:eastAsiaTheme="majorEastAsia" w:hAnsiTheme="majorEastAsia" w:hint="eastAsia"/>
          <w:b/>
        </w:rPr>
        <w:t>5.2.7 a)</w:t>
      </w:r>
      <w:r w:rsidR="00CC55FC" w:rsidRPr="00BC31E0">
        <w:rPr>
          <w:rFonts w:hint="eastAsia"/>
          <w:bCs/>
        </w:rPr>
        <w:t>に規定された衝撃試験温度以下の温度で行い，</w:t>
      </w:r>
      <w:r w:rsidR="00CC55FC" w:rsidRPr="00BC31E0">
        <w:rPr>
          <w:rFonts w:asciiTheme="majorEastAsia" w:eastAsiaTheme="majorEastAsia" w:hAnsiTheme="majorEastAsia" w:hint="eastAsia"/>
          <w:b/>
        </w:rPr>
        <w:t>表</w:t>
      </w:r>
      <w:r w:rsidR="00CC55FC" w:rsidRPr="00BC31E0">
        <w:rPr>
          <w:rFonts w:asciiTheme="majorEastAsia" w:eastAsiaTheme="majorEastAsia" w:hAnsiTheme="majorEastAsia" w:cs="Tahoma"/>
          <w:b/>
        </w:rPr>
        <w:t>5.2.1</w:t>
      </w:r>
      <w:r w:rsidR="00CC55FC" w:rsidRPr="00BC31E0">
        <w:rPr>
          <w:rFonts w:hint="eastAsia"/>
          <w:bCs/>
        </w:rPr>
        <w:t>の低減温度は適用しない。</w:t>
      </w:r>
    </w:p>
    <w:p w14:paraId="241F1317" w14:textId="77777777" w:rsidR="00CC55FC" w:rsidRPr="00BC31E0" w:rsidRDefault="000A7F7F" w:rsidP="00740398">
      <w:pPr>
        <w:pStyle w:val="3"/>
        <w:tabs>
          <w:tab w:val="clear" w:pos="284"/>
        </w:tabs>
        <w:ind w:left="794" w:hanging="794"/>
      </w:pPr>
      <w:r w:rsidRPr="00BC31E0">
        <w:rPr>
          <w:rFonts w:hint="eastAsia"/>
        </w:rPr>
        <w:t xml:space="preserve"> </w:t>
      </w:r>
      <w:r w:rsidR="00CC55FC" w:rsidRPr="00BC31E0">
        <w:rPr>
          <w:rFonts w:hint="eastAsia"/>
        </w:rPr>
        <w:t>再試験</w:t>
      </w:r>
    </w:p>
    <w:p w14:paraId="572C1BD1" w14:textId="77777777" w:rsidR="00CC55FC" w:rsidRPr="00BC31E0" w:rsidRDefault="00CC55FC" w:rsidP="00A32DBC">
      <w:pPr>
        <w:ind w:firstLineChars="100" w:firstLine="210"/>
      </w:pPr>
      <w:r w:rsidRPr="00BC31E0">
        <w:rPr>
          <w:rFonts w:hint="eastAsia"/>
        </w:rPr>
        <w:t>再試験は次の</w:t>
      </w:r>
      <w:r w:rsidRPr="00BC31E0">
        <w:rPr>
          <w:rFonts w:ascii="ＭＳ ゴシック" w:hAnsi="ＭＳ ゴシック" w:hint="eastAsia"/>
          <w:b/>
        </w:rPr>
        <w:t>a)</w:t>
      </w:r>
      <w:r w:rsidRPr="00BC31E0">
        <w:rPr>
          <w:rFonts w:hint="eastAsia"/>
        </w:rPr>
        <w:t>，</w:t>
      </w:r>
      <w:r w:rsidRPr="00BC31E0">
        <w:rPr>
          <w:rFonts w:ascii="ＭＳ ゴシック" w:hAnsi="ＭＳ ゴシック" w:hint="eastAsia"/>
          <w:b/>
        </w:rPr>
        <w:t>b)</w:t>
      </w:r>
      <w:r w:rsidRPr="00BC31E0">
        <w:rPr>
          <w:rFonts w:hint="eastAsia"/>
        </w:rPr>
        <w:t>による。</w:t>
      </w:r>
    </w:p>
    <w:p w14:paraId="5233FF2F" w14:textId="77777777" w:rsidR="00CC55FC" w:rsidRPr="00BC31E0" w:rsidRDefault="00CC55FC" w:rsidP="007E26D6">
      <w:pPr>
        <w:pStyle w:val="a4"/>
        <w:numPr>
          <w:ilvl w:val="0"/>
          <w:numId w:val="25"/>
        </w:numPr>
        <w:ind w:leftChars="0" w:left="454" w:hanging="454"/>
      </w:pPr>
      <w:r w:rsidRPr="00BC31E0">
        <w:rPr>
          <w:rFonts w:asciiTheme="majorEastAsia" w:eastAsiaTheme="majorEastAsia" w:hAnsiTheme="majorEastAsia" w:hint="eastAsia"/>
          <w:b/>
        </w:rPr>
        <w:t>一般再試験規定</w:t>
      </w:r>
      <w:r w:rsidRPr="00BC31E0">
        <w:rPr>
          <w:rFonts w:hint="eastAsia"/>
        </w:rPr>
        <w:t xml:space="preserve">　</w:t>
      </w:r>
      <w:r w:rsidRPr="00BC31E0">
        <w:rPr>
          <w:rFonts w:hAnsi="ＭＳ 明朝" w:hint="eastAsia"/>
        </w:rPr>
        <w:t>次の</w:t>
      </w:r>
      <w:r w:rsidR="004755E7" w:rsidRPr="00BC31E0">
        <w:rPr>
          <w:rFonts w:asciiTheme="majorEastAsia" w:eastAsiaTheme="majorEastAsia" w:hAnsiTheme="majorEastAsia" w:hint="eastAsia"/>
          <w:b/>
        </w:rPr>
        <w:t>1)</w:t>
      </w:r>
      <w:r w:rsidR="004755E7" w:rsidRPr="00BC31E0">
        <w:rPr>
          <w:rFonts w:hAnsi="ＭＳ 明朝" w:hint="eastAsia"/>
        </w:rPr>
        <w:t>～</w:t>
      </w:r>
      <w:r w:rsidR="004755E7" w:rsidRPr="00BC31E0">
        <w:rPr>
          <w:rFonts w:asciiTheme="majorEastAsia" w:eastAsiaTheme="majorEastAsia" w:hAnsiTheme="majorEastAsia" w:hint="eastAsia"/>
          <w:b/>
        </w:rPr>
        <w:t>4)</w:t>
      </w:r>
      <w:r w:rsidRPr="00BC31E0">
        <w:rPr>
          <w:rFonts w:hAnsi="ＭＳ 明朝" w:hint="eastAsia"/>
        </w:rPr>
        <w:t>が引張，</w:t>
      </w:r>
      <w:r w:rsidRPr="00BC31E0">
        <w:rPr>
          <w:rFonts w:asciiTheme="minorHAnsi" w:hAnsiTheme="minorHAnsi"/>
        </w:rPr>
        <w:t>CTOD</w:t>
      </w:r>
      <w:r w:rsidRPr="00BC31E0">
        <w:rPr>
          <w:rFonts w:hint="eastAsia"/>
        </w:rPr>
        <w:t>，</w:t>
      </w:r>
      <m:oMath>
        <m:sSub>
          <m:sSubPr>
            <m:ctrlPr>
              <w:rPr>
                <w:rFonts w:ascii="Cambria Math" w:eastAsiaTheme="minorEastAsia" w:hAnsi="Cambria Math"/>
                <w:i/>
              </w:rPr>
            </m:ctrlPr>
          </m:sSubPr>
          <m:e>
            <m:r>
              <w:rPr>
                <w:rFonts w:ascii="Cambria Math" w:eastAsiaTheme="minorEastAsia" w:hAnsi="Cambria Math"/>
              </w:rPr>
              <m:t>J</m:t>
            </m:r>
          </m:e>
          <m:sub>
            <m:r>
              <m:rPr>
                <m:sty m:val="p"/>
              </m:rPr>
              <w:rPr>
                <w:rFonts w:ascii="Cambria Math" w:eastAsiaTheme="minorEastAsia" w:hAnsi="Cambria Math"/>
              </w:rPr>
              <m:t>I</m:t>
            </m:r>
            <m:r>
              <w:rPr>
                <w:rFonts w:ascii="Cambria Math" w:eastAsiaTheme="minorEastAsia" w:hAnsi="Cambria Math"/>
              </w:rPr>
              <m:t>C</m:t>
            </m:r>
          </m:sub>
        </m:sSub>
        <m:r>
          <w:rPr>
            <w:rFonts w:ascii="Cambria Math" w:eastAsiaTheme="minorEastAsia" w:hAnsi="Cambria Math"/>
          </w:rPr>
          <m:t xml:space="preserve"> </m:t>
        </m:r>
      </m:oMath>
      <w:r w:rsidRPr="00BC31E0">
        <w:rPr>
          <w:rFonts w:hint="eastAsia"/>
        </w:rPr>
        <w:t>及び</w:t>
      </w:r>
      <m:oMath>
        <m:r>
          <m:rPr>
            <m:sty m:val="p"/>
          </m:rPr>
          <w:rPr>
            <w:rFonts w:ascii="Cambria Math" w:hAnsi="Cambria Math"/>
          </w:rPr>
          <m:t xml:space="preserve"> </m:t>
        </m:r>
        <m:sSub>
          <m:sSubPr>
            <m:ctrlPr>
              <w:rPr>
                <w:rFonts w:ascii="Cambria Math" w:hAnsi="Cambria Math"/>
              </w:rPr>
            </m:ctrlPr>
          </m:sSubPr>
          <m:e>
            <m:r>
              <w:rPr>
                <w:rFonts w:ascii="Cambria Math" w:hAnsi="Cambria Math"/>
              </w:rPr>
              <m:t>K</m:t>
            </m:r>
          </m:e>
          <m:sub>
            <m:r>
              <m:rPr>
                <m:sty m:val="p"/>
              </m:rPr>
              <w:rPr>
                <w:rFonts w:ascii="Cambria Math" w:hAnsi="Cambria Math"/>
              </w:rPr>
              <m:t>I</m:t>
            </m:r>
            <m:r>
              <w:rPr>
                <w:rFonts w:ascii="Cambria Math" w:hAnsi="Cambria Math"/>
              </w:rPr>
              <m:t>C</m:t>
            </m:r>
          </m:sub>
        </m:sSub>
        <m:r>
          <m:rPr>
            <m:sty m:val="p"/>
          </m:rPr>
          <w:rPr>
            <w:rFonts w:ascii="Cambria Math" w:hAnsi="Cambria Math"/>
          </w:rPr>
          <m:t xml:space="preserve"> </m:t>
        </m:r>
      </m:oMath>
      <w:r w:rsidRPr="00BC31E0">
        <w:rPr>
          <w:rFonts w:hint="eastAsia"/>
        </w:rPr>
        <w:t>破壊靭性試験に適用される。</w:t>
      </w:r>
    </w:p>
    <w:p w14:paraId="2FD19B3F" w14:textId="77777777" w:rsidR="00CC55FC" w:rsidRPr="00BC31E0" w:rsidRDefault="00CC55FC" w:rsidP="007E26D6">
      <w:pPr>
        <w:pStyle w:val="a4"/>
        <w:numPr>
          <w:ilvl w:val="0"/>
          <w:numId w:val="70"/>
        </w:numPr>
        <w:ind w:leftChars="0" w:left="738" w:hanging="454"/>
      </w:pPr>
      <w:r w:rsidRPr="00BC31E0">
        <w:rPr>
          <w:rFonts w:hint="eastAsia"/>
        </w:rPr>
        <w:t>いずれの機械的理由，例えば，試験装置の故障，不適切な試験片の加工により適用合格基準に合致しなければ，結果を破棄して他の代表試験片による再試験</w:t>
      </w:r>
      <w:r w:rsidR="000F4FE8" w:rsidRPr="00BC31E0">
        <w:rPr>
          <w:rFonts w:hint="eastAsia"/>
        </w:rPr>
        <w:t>を行ってもよい</w:t>
      </w:r>
      <w:r w:rsidRPr="00BC31E0">
        <w:rPr>
          <w:rFonts w:hint="eastAsia"/>
        </w:rPr>
        <w:t>。</w:t>
      </w:r>
    </w:p>
    <w:p w14:paraId="173D8C51" w14:textId="77777777" w:rsidR="00CC55FC" w:rsidRPr="00BC31E0" w:rsidRDefault="00CC55FC" w:rsidP="007E26D6">
      <w:pPr>
        <w:pStyle w:val="a4"/>
        <w:numPr>
          <w:ilvl w:val="0"/>
          <w:numId w:val="70"/>
        </w:numPr>
        <w:ind w:leftChars="0" w:left="738" w:hanging="454"/>
      </w:pPr>
      <w:r w:rsidRPr="00BC31E0">
        <w:rPr>
          <w:rFonts w:hint="eastAsia"/>
        </w:rPr>
        <w:t>いずれの試験片も非機械的な理由により適用合格基準に合致しない場合，最初の試験片の採取位置にできるだけ近い場所からの二つの代表試験片を取り，再熱処理</w:t>
      </w:r>
      <w:r w:rsidR="007710A9" w:rsidRPr="00BC31E0">
        <w:rPr>
          <w:rFonts w:hint="eastAsia"/>
        </w:rPr>
        <w:t>をせずに，</w:t>
      </w:r>
      <w:r w:rsidRPr="00BC31E0">
        <w:rPr>
          <w:rFonts w:hint="eastAsia"/>
        </w:rPr>
        <w:t>再試験を</w:t>
      </w:r>
      <w:r w:rsidR="007710A9" w:rsidRPr="00BC31E0">
        <w:rPr>
          <w:rFonts w:hint="eastAsia"/>
        </w:rPr>
        <w:t>行ってもよい</w:t>
      </w:r>
      <w:r w:rsidRPr="00BC31E0">
        <w:rPr>
          <w:rFonts w:hint="eastAsia"/>
        </w:rPr>
        <w:t>。</w:t>
      </w:r>
    </w:p>
    <w:p w14:paraId="2F3CBD65" w14:textId="77777777" w:rsidR="00CC55FC" w:rsidRPr="00BC31E0" w:rsidRDefault="00CC55FC" w:rsidP="007E26D6">
      <w:pPr>
        <w:pStyle w:val="a4"/>
        <w:numPr>
          <w:ilvl w:val="0"/>
          <w:numId w:val="71"/>
        </w:numPr>
        <w:ind w:leftChars="0" w:left="738" w:hanging="454"/>
      </w:pPr>
      <w:r w:rsidRPr="00BC31E0">
        <w:rPr>
          <w:rFonts w:hint="eastAsia"/>
        </w:rPr>
        <w:t>材料が再試験に不合格となった場合は，必要に応じて再焼戻し又は再熱処理を行い，一度だけの再試験が許される。</w:t>
      </w:r>
    </w:p>
    <w:p w14:paraId="483A877C" w14:textId="77777777" w:rsidR="00CC55FC" w:rsidRPr="00BC31E0" w:rsidRDefault="00CC55FC" w:rsidP="007E26D6">
      <w:pPr>
        <w:pStyle w:val="a4"/>
        <w:numPr>
          <w:ilvl w:val="0"/>
          <w:numId w:val="72"/>
        </w:numPr>
        <w:ind w:leftChars="0" w:left="738" w:hanging="454"/>
      </w:pPr>
      <w:r w:rsidRPr="00BC31E0">
        <w:rPr>
          <w:rFonts w:hint="eastAsia"/>
        </w:rPr>
        <w:t>再試験の合格基準は，最初の試験の合格基準と同一とする。</w:t>
      </w:r>
    </w:p>
    <w:p w14:paraId="086C77F1" w14:textId="77777777" w:rsidR="00CC55FC" w:rsidRPr="00BC31E0" w:rsidRDefault="00CC55FC" w:rsidP="007E26D6">
      <w:pPr>
        <w:pStyle w:val="a4"/>
        <w:numPr>
          <w:ilvl w:val="0"/>
          <w:numId w:val="25"/>
        </w:numPr>
        <w:ind w:leftChars="0" w:left="454" w:hanging="454"/>
      </w:pPr>
      <w:r w:rsidRPr="00BC31E0">
        <w:rPr>
          <w:rFonts w:asciiTheme="majorEastAsia" w:eastAsiaTheme="majorEastAsia" w:hAnsiTheme="majorEastAsia"/>
          <w:b/>
        </w:rPr>
        <w:t>CVN</w:t>
      </w:r>
      <w:r w:rsidRPr="00BC31E0">
        <w:rPr>
          <w:rFonts w:asciiTheme="majorEastAsia" w:eastAsiaTheme="majorEastAsia" w:hAnsiTheme="majorEastAsia" w:hint="eastAsia"/>
          <w:b/>
        </w:rPr>
        <w:t>衝撃再試験規定</w:t>
      </w:r>
      <w:r w:rsidRPr="00BC31E0">
        <w:rPr>
          <w:rFonts w:hint="eastAsia"/>
        </w:rPr>
        <w:t xml:space="preserve">　</w:t>
      </w:r>
      <w:r w:rsidRPr="00BC31E0">
        <w:rPr>
          <w:rFonts w:ascii="ＭＳ 明朝" w:hAnsi="ＭＳ 明朝" w:hint="eastAsia"/>
        </w:rPr>
        <w:t>次の</w:t>
      </w:r>
      <w:r w:rsidR="004755E7" w:rsidRPr="00BC31E0">
        <w:rPr>
          <w:rFonts w:asciiTheme="majorEastAsia" w:eastAsiaTheme="majorEastAsia" w:hAnsiTheme="majorEastAsia" w:hint="eastAsia"/>
          <w:b/>
        </w:rPr>
        <w:t>1)</w:t>
      </w:r>
      <w:r w:rsidR="004755E7" w:rsidRPr="00BC31E0">
        <w:rPr>
          <w:rFonts w:ascii="ＭＳ 明朝" w:hAnsi="ＭＳ 明朝" w:hint="eastAsia"/>
        </w:rPr>
        <w:t>～</w:t>
      </w:r>
      <w:r w:rsidR="004755E7" w:rsidRPr="00BC31E0">
        <w:rPr>
          <w:rFonts w:asciiTheme="majorEastAsia" w:eastAsiaTheme="majorEastAsia" w:hAnsiTheme="majorEastAsia" w:hint="eastAsia"/>
          <w:b/>
        </w:rPr>
        <w:t>4)</w:t>
      </w:r>
      <w:r w:rsidRPr="00BC31E0">
        <w:rPr>
          <w:rFonts w:hint="eastAsia"/>
        </w:rPr>
        <w:t>が</w:t>
      </w:r>
      <w:r w:rsidRPr="00BC31E0">
        <w:rPr>
          <w:rFonts w:hint="eastAsia"/>
        </w:rPr>
        <w:t>CVN</w:t>
      </w:r>
      <w:r w:rsidRPr="00BC31E0">
        <w:rPr>
          <w:rFonts w:hint="eastAsia"/>
        </w:rPr>
        <w:t>衝撃試験に適用される。</w:t>
      </w:r>
    </w:p>
    <w:p w14:paraId="44420E80" w14:textId="77777777" w:rsidR="00CC55FC" w:rsidRPr="00BC31E0" w:rsidRDefault="00CC55FC" w:rsidP="007E26D6">
      <w:pPr>
        <w:pStyle w:val="a4"/>
        <w:numPr>
          <w:ilvl w:val="0"/>
          <w:numId w:val="73"/>
        </w:numPr>
        <w:ind w:leftChars="0" w:left="738" w:hanging="454"/>
      </w:pPr>
      <w:r w:rsidRPr="00BC31E0">
        <w:rPr>
          <w:rFonts w:hint="eastAsia"/>
        </w:rPr>
        <w:t>いずれの機械的理由，例えば，試験装置の故障，不適切な試験片の加工により適用合格</w:t>
      </w:r>
      <w:r w:rsidRPr="00BC31E0">
        <w:rPr>
          <w:rFonts w:hint="eastAsia"/>
        </w:rPr>
        <w:lastRenderedPageBreak/>
        <w:t>基準に合致しなければ，結果を破棄して他の代表試験片による再試験</w:t>
      </w:r>
      <w:r w:rsidR="003B490D" w:rsidRPr="00BC31E0">
        <w:rPr>
          <w:rFonts w:hint="eastAsia"/>
        </w:rPr>
        <w:t>を行ってもよい</w:t>
      </w:r>
      <w:r w:rsidRPr="00BC31E0">
        <w:rPr>
          <w:rFonts w:hint="eastAsia"/>
        </w:rPr>
        <w:t>。</w:t>
      </w:r>
    </w:p>
    <w:p w14:paraId="353315F3" w14:textId="77777777" w:rsidR="00CC55FC" w:rsidRPr="00BC31E0" w:rsidRDefault="00CC55FC" w:rsidP="007E26D6">
      <w:pPr>
        <w:pStyle w:val="a4"/>
        <w:numPr>
          <w:ilvl w:val="0"/>
          <w:numId w:val="73"/>
        </w:numPr>
        <w:ind w:leftChars="0" w:left="738" w:hanging="454"/>
      </w:pPr>
      <w:r w:rsidRPr="00BC31E0">
        <w:rPr>
          <w:rFonts w:hint="eastAsia"/>
        </w:rPr>
        <w:t>CVN</w:t>
      </w:r>
      <w:r w:rsidRPr="00BC31E0">
        <w:rPr>
          <w:rFonts w:hint="eastAsia"/>
        </w:rPr>
        <w:t>衝撃試験の再試験は平均吸収エネルギー値が適用合格基準を満足し，</w:t>
      </w:r>
      <w:r w:rsidRPr="00BC31E0">
        <w:rPr>
          <w:rFonts w:asciiTheme="minorHAnsi" w:hAnsiTheme="minorHAnsi"/>
        </w:rPr>
        <w:t>1</w:t>
      </w:r>
      <w:r w:rsidRPr="00BC31E0">
        <w:rPr>
          <w:rFonts w:hint="eastAsia"/>
        </w:rPr>
        <w:t>本の試験片の値が単独の試験片の</w:t>
      </w:r>
      <w:r w:rsidR="00642F0B" w:rsidRPr="00BC31E0">
        <w:rPr>
          <w:rFonts w:hint="eastAsia"/>
        </w:rPr>
        <w:t>規定</w:t>
      </w:r>
      <w:r w:rsidRPr="00BC31E0">
        <w:rPr>
          <w:rFonts w:hint="eastAsia"/>
        </w:rPr>
        <w:t>最小値以下の場合に許される。再試験は最初の試験片の位置の両側のいずれかで可能な限り近い位置から採取した二つの代表試験片により行う。それぞれの再試験片の吸収エネルギー値は最小平均値以上でなければならない。</w:t>
      </w:r>
    </w:p>
    <w:p w14:paraId="03DDCFC4" w14:textId="77777777" w:rsidR="00CC55FC" w:rsidRPr="00BC31E0" w:rsidRDefault="00CC55FC" w:rsidP="007E26D6">
      <w:pPr>
        <w:pStyle w:val="a4"/>
        <w:numPr>
          <w:ilvl w:val="0"/>
          <w:numId w:val="74"/>
        </w:numPr>
        <w:ind w:leftChars="0" w:left="738" w:hanging="454"/>
      </w:pPr>
      <w:r w:rsidRPr="00BC31E0">
        <w:rPr>
          <w:rFonts w:hint="eastAsia"/>
        </w:rPr>
        <w:t>材料が再試験に不合格となった場合は，必要に応じて再焼戻し又は再熱処理を行い，一度だけの再試験が許される。</w:t>
      </w:r>
    </w:p>
    <w:p w14:paraId="6F78466D" w14:textId="77777777" w:rsidR="00CC55FC" w:rsidRPr="00BC31E0" w:rsidRDefault="00CC55FC" w:rsidP="007E26D6">
      <w:pPr>
        <w:pStyle w:val="a4"/>
        <w:numPr>
          <w:ilvl w:val="0"/>
          <w:numId w:val="75"/>
        </w:numPr>
        <w:ind w:leftChars="0" w:left="738" w:hanging="454"/>
      </w:pPr>
      <w:r w:rsidRPr="00BC31E0">
        <w:rPr>
          <w:rFonts w:hint="eastAsia"/>
        </w:rPr>
        <w:t>再試験の合格基準は，最初の試験の合格基準と同一とする。</w:t>
      </w:r>
    </w:p>
    <w:p w14:paraId="7432B496" w14:textId="77777777" w:rsidR="00CC55FC" w:rsidRPr="00BC31E0" w:rsidRDefault="000A7F7F" w:rsidP="00740398">
      <w:pPr>
        <w:pStyle w:val="3"/>
        <w:tabs>
          <w:tab w:val="clear" w:pos="284"/>
        </w:tabs>
        <w:ind w:left="794" w:hanging="794"/>
      </w:pPr>
      <w:r w:rsidRPr="00BC31E0">
        <w:rPr>
          <w:rFonts w:hint="eastAsia"/>
        </w:rPr>
        <w:t xml:space="preserve"> </w:t>
      </w:r>
      <w:r w:rsidR="00CC55FC" w:rsidRPr="00BC31E0">
        <w:rPr>
          <w:rFonts w:hint="eastAsia"/>
        </w:rPr>
        <w:t>切欠き引張試験手順と許容基準</w:t>
      </w:r>
    </w:p>
    <w:p w14:paraId="5846DB66" w14:textId="77777777" w:rsidR="00CC55FC" w:rsidRPr="00BC31E0" w:rsidRDefault="00CC55FC" w:rsidP="00A32DBC">
      <w:pPr>
        <w:ind w:firstLineChars="100" w:firstLine="210"/>
      </w:pPr>
      <w:r w:rsidRPr="00BC31E0">
        <w:rPr>
          <w:rFonts w:hint="eastAsia"/>
        </w:rPr>
        <w:t>アルミニウム合金</w:t>
      </w:r>
      <w:r w:rsidRPr="00BC31E0">
        <w:t>UNS No. A96061</w:t>
      </w:r>
      <w:r w:rsidRPr="00BC31E0">
        <w:rPr>
          <w:rFonts w:hint="eastAsia"/>
        </w:rPr>
        <w:t>調質</w:t>
      </w:r>
      <w:r w:rsidRPr="00BC31E0">
        <w:rPr>
          <w:rFonts w:hint="eastAsia"/>
        </w:rPr>
        <w:t>T</w:t>
      </w:r>
      <w:r w:rsidRPr="00BC31E0">
        <w:t>6</w:t>
      </w:r>
      <w:r w:rsidRPr="00BC31E0">
        <w:rPr>
          <w:rFonts w:hint="eastAsia"/>
        </w:rPr>
        <w:t>又は</w:t>
      </w:r>
      <w:r w:rsidRPr="00BC31E0">
        <w:rPr>
          <w:rFonts w:hint="eastAsia"/>
        </w:rPr>
        <w:t>T</w:t>
      </w:r>
      <w:r w:rsidRPr="00BC31E0">
        <w:t>651</w:t>
      </w:r>
      <w:r w:rsidRPr="00BC31E0">
        <w:rPr>
          <w:rFonts w:hint="eastAsia"/>
        </w:rPr>
        <w:t>は，引張試験及び切欠き引張試験を実施しなければならない。衝撃試験を実施する必要はない。だだし，破壊力学評価においては</w:t>
      </w:r>
      <w:r w:rsidRPr="00BC31E0">
        <w:rPr>
          <w:rFonts w:ascii="ＭＳ ゴシック" w:hAnsi="ＭＳ ゴシック"/>
          <w:b/>
        </w:rPr>
        <w:t>6.4</w:t>
      </w:r>
      <w:r w:rsidRPr="00BC31E0">
        <w:rPr>
          <w:rFonts w:hint="eastAsia"/>
        </w:rPr>
        <w:t>，疲労評価においては</w:t>
      </w:r>
      <w:r w:rsidRPr="00BC31E0">
        <w:rPr>
          <w:rFonts w:ascii="ＭＳ ゴシック" w:hAnsi="ＭＳ ゴシック" w:hint="eastAsia"/>
          <w:b/>
        </w:rPr>
        <w:t>6</w:t>
      </w:r>
      <w:r w:rsidRPr="00BC31E0">
        <w:rPr>
          <w:rFonts w:ascii="ＭＳ ゴシック" w:hAnsi="ＭＳ ゴシック"/>
          <w:b/>
        </w:rPr>
        <w:t>.3.3</w:t>
      </w:r>
      <w:r w:rsidRPr="00BC31E0">
        <w:rPr>
          <w:rFonts w:hint="eastAsia"/>
        </w:rPr>
        <w:t>で与えられる材料特性及び設計データを用いる。切欠き引張試験と材料の認定は，次の</w:t>
      </w:r>
      <w:r w:rsidRPr="00BC31E0">
        <w:rPr>
          <w:rFonts w:ascii="ＭＳ ゴシック" w:hAnsi="ＭＳ ゴシック" w:hint="eastAsia"/>
          <w:b/>
        </w:rPr>
        <w:t>a</w:t>
      </w:r>
      <w:r w:rsidRPr="00BC31E0">
        <w:rPr>
          <w:rFonts w:ascii="ＭＳ ゴシック" w:hAnsi="ＭＳ ゴシック"/>
          <w:b/>
        </w:rPr>
        <w:t>)</w:t>
      </w:r>
      <w:r w:rsidRPr="00BC31E0">
        <w:rPr>
          <w:rFonts w:hint="eastAsia"/>
        </w:rPr>
        <w:t>～</w:t>
      </w:r>
      <w:r w:rsidRPr="00BC31E0">
        <w:rPr>
          <w:rFonts w:ascii="ＭＳ ゴシック" w:hAnsi="ＭＳ ゴシック" w:hint="eastAsia"/>
          <w:b/>
        </w:rPr>
        <w:t>d</w:t>
      </w:r>
      <w:r w:rsidRPr="00BC31E0">
        <w:rPr>
          <w:rFonts w:ascii="ＭＳ ゴシック" w:hAnsi="ＭＳ ゴシック"/>
          <w:b/>
        </w:rPr>
        <w:t>)</w:t>
      </w:r>
      <w:r w:rsidRPr="00BC31E0">
        <w:rPr>
          <w:rFonts w:hint="eastAsia"/>
        </w:rPr>
        <w:t>による。</w:t>
      </w:r>
    </w:p>
    <w:p w14:paraId="315BAA1A" w14:textId="77777777" w:rsidR="00CC55FC" w:rsidRPr="00BC31E0" w:rsidRDefault="00CC55FC" w:rsidP="007E26D6">
      <w:pPr>
        <w:pStyle w:val="a4"/>
        <w:numPr>
          <w:ilvl w:val="0"/>
          <w:numId w:val="76"/>
        </w:numPr>
        <w:ind w:leftChars="0" w:left="454" w:hanging="454"/>
      </w:pPr>
      <w:r w:rsidRPr="00BC31E0">
        <w:rPr>
          <w:rFonts w:asciiTheme="majorEastAsia" w:eastAsiaTheme="majorEastAsia" w:hAnsiTheme="majorEastAsia" w:hint="eastAsia"/>
          <w:b/>
        </w:rPr>
        <w:t>附属書K</w:t>
      </w:r>
      <w:r w:rsidRPr="00BC31E0">
        <w:rPr>
          <w:rFonts w:hint="eastAsia"/>
        </w:rPr>
        <w:t>の試験方法により，切欠き引張強さと降伏強さ</w:t>
      </w:r>
      <w:r w:rsidR="00A32DBC" w:rsidRPr="00BC31E0">
        <w:rPr>
          <w:rFonts w:hint="eastAsia"/>
        </w:rPr>
        <w:t>(</w:t>
      </w:r>
      <w:r w:rsidRPr="00BC31E0">
        <w:rPr>
          <w:rFonts w:hint="eastAsia"/>
        </w:rPr>
        <w:t>ここでは，平滑試験片で得られた降伏点又は</w:t>
      </w:r>
      <w:r w:rsidRPr="00BC31E0">
        <w:rPr>
          <w:rFonts w:hint="eastAsia"/>
        </w:rPr>
        <w:t>0</w:t>
      </w:r>
      <w:r w:rsidRPr="00BC31E0">
        <w:t>.2%</w:t>
      </w:r>
      <w:r w:rsidR="00A32DBC" w:rsidRPr="00BC31E0">
        <w:rPr>
          <w:rFonts w:hint="eastAsia"/>
        </w:rPr>
        <w:t>耐力</w:t>
      </w:r>
      <w:r w:rsidR="00A32DBC" w:rsidRPr="00BC31E0">
        <w:rPr>
          <w:rFonts w:hint="eastAsia"/>
        </w:rPr>
        <w:t>)</w:t>
      </w:r>
      <w:r w:rsidRPr="00BC31E0">
        <w:rPr>
          <w:rFonts w:hint="eastAsia"/>
        </w:rPr>
        <w:t>の比を決定する。試験片を製品容器から切断する。単一ヒートの材料を認定するために，製品容器から採取した切欠き付引張試験片と平滑試験片の各</w:t>
      </w:r>
      <w:r w:rsidRPr="00BC31E0">
        <w:rPr>
          <w:rFonts w:hint="eastAsia"/>
        </w:rPr>
        <w:t>2</w:t>
      </w:r>
      <w:r w:rsidRPr="00BC31E0">
        <w:rPr>
          <w:rFonts w:hint="eastAsia"/>
        </w:rPr>
        <w:t>本を用いて試験を実施する。</w:t>
      </w:r>
      <w:r w:rsidR="00DC160D" w:rsidRPr="00BC31E0">
        <w:rPr>
          <w:rFonts w:hint="eastAsia"/>
        </w:rPr>
        <w:t>全</w:t>
      </w:r>
      <w:r w:rsidRPr="00BC31E0">
        <w:rPr>
          <w:rFonts w:hint="eastAsia"/>
        </w:rPr>
        <w:t>ての成形と熱処理を施工した後に，製品容器からサンプルを採取する。</w:t>
      </w:r>
    </w:p>
    <w:p w14:paraId="24997D51" w14:textId="77777777" w:rsidR="00CC55FC" w:rsidRPr="00BC31E0" w:rsidRDefault="00CC55FC" w:rsidP="007E26D6">
      <w:pPr>
        <w:pStyle w:val="a4"/>
        <w:numPr>
          <w:ilvl w:val="0"/>
          <w:numId w:val="76"/>
        </w:numPr>
        <w:ind w:leftChars="0" w:left="454" w:hanging="454"/>
      </w:pPr>
      <w:r w:rsidRPr="00BC31E0">
        <w:rPr>
          <w:rFonts w:hAnsi="ＭＳ 明朝" w:hint="eastAsia"/>
        </w:rPr>
        <w:t>試験片形状は，</w:t>
      </w:r>
      <w:r w:rsidRPr="00BC31E0">
        <w:rPr>
          <w:rFonts w:asciiTheme="majorEastAsia" w:eastAsiaTheme="majorEastAsia" w:hAnsiTheme="majorEastAsia" w:hint="eastAsia"/>
          <w:b/>
        </w:rPr>
        <w:t>附属書K</w:t>
      </w:r>
      <w:r w:rsidRPr="00BC31E0">
        <w:rPr>
          <w:rFonts w:hAnsi="ＭＳ 明朝" w:hint="eastAsia"/>
        </w:rPr>
        <w:t>の</w:t>
      </w:r>
      <w:r w:rsidRPr="00BC31E0">
        <w:rPr>
          <w:rFonts w:asciiTheme="majorEastAsia" w:eastAsiaTheme="majorEastAsia" w:hAnsiTheme="majorEastAsia" w:hint="eastAsia"/>
          <w:b/>
        </w:rPr>
        <w:t>図K.3</w:t>
      </w:r>
      <w:r w:rsidRPr="00BC31E0">
        <w:rPr>
          <w:rFonts w:hAnsi="ＭＳ 明朝" w:hint="eastAsia"/>
        </w:rPr>
        <w:t>又は</w:t>
      </w:r>
      <w:r w:rsidRPr="00BC31E0">
        <w:rPr>
          <w:rFonts w:asciiTheme="majorEastAsia" w:eastAsiaTheme="majorEastAsia" w:hAnsiTheme="majorEastAsia" w:hint="eastAsia"/>
          <w:b/>
        </w:rPr>
        <w:t>図K.5</w:t>
      </w:r>
      <w:r w:rsidRPr="00BC31E0">
        <w:rPr>
          <w:rFonts w:hAnsi="ＭＳ 明朝" w:hint="eastAsia"/>
        </w:rPr>
        <w:t>の寸法要求を満足しなければならない。製品容器の長手方向の軸が試験片の長軸に平行となるように，試験片を切断する。</w:t>
      </w:r>
      <w:r w:rsidRPr="00BC31E0">
        <w:rPr>
          <w:rFonts w:asciiTheme="majorEastAsia" w:eastAsiaTheme="majorEastAsia" w:hAnsiTheme="majorEastAsia" w:hint="eastAsia"/>
          <w:b/>
        </w:rPr>
        <w:t>図K.3</w:t>
      </w:r>
      <w:r w:rsidRPr="00BC31E0">
        <w:rPr>
          <w:rFonts w:hAnsi="ＭＳ 明朝" w:hint="eastAsia"/>
        </w:rPr>
        <w:t>又は</w:t>
      </w:r>
      <w:r w:rsidRPr="00BC31E0">
        <w:rPr>
          <w:rFonts w:asciiTheme="majorEastAsia" w:eastAsiaTheme="majorEastAsia" w:hAnsiTheme="majorEastAsia" w:hint="eastAsia"/>
          <w:b/>
        </w:rPr>
        <w:t>図K.5</w:t>
      </w:r>
      <w:r w:rsidRPr="00BC31E0">
        <w:rPr>
          <w:rFonts w:hAnsi="ＭＳ 明朝" w:hint="eastAsia"/>
        </w:rPr>
        <w:t>の寸法要求に対して，次の</w:t>
      </w:r>
      <w:r w:rsidRPr="00BC31E0">
        <w:rPr>
          <w:rFonts w:asciiTheme="majorEastAsia" w:eastAsiaTheme="majorEastAsia" w:hAnsiTheme="majorEastAsia" w:hint="eastAsia"/>
          <w:b/>
        </w:rPr>
        <w:t>1)</w:t>
      </w:r>
      <w:r w:rsidRPr="00BC31E0">
        <w:rPr>
          <w:rFonts w:hAnsi="ＭＳ 明朝" w:hint="eastAsia"/>
        </w:rPr>
        <w:t>又は</w:t>
      </w:r>
      <w:r w:rsidRPr="00BC31E0">
        <w:rPr>
          <w:rFonts w:asciiTheme="majorEastAsia" w:eastAsiaTheme="majorEastAsia" w:hAnsiTheme="majorEastAsia" w:hint="eastAsia"/>
          <w:b/>
        </w:rPr>
        <w:t>2)</w:t>
      </w:r>
      <w:r w:rsidRPr="00BC31E0">
        <w:rPr>
          <w:rFonts w:hAnsi="ＭＳ 明朝" w:hint="eastAsia"/>
        </w:rPr>
        <w:t>の免除規定を適用してもよい。</w:t>
      </w:r>
    </w:p>
    <w:p w14:paraId="2F69460C" w14:textId="77777777" w:rsidR="00CC55FC" w:rsidRPr="00BC31E0" w:rsidRDefault="00CC55FC" w:rsidP="007E26D6">
      <w:pPr>
        <w:pStyle w:val="a4"/>
        <w:numPr>
          <w:ilvl w:val="0"/>
          <w:numId w:val="77"/>
        </w:numPr>
        <w:ind w:leftChars="0" w:left="738" w:hanging="454"/>
      </w:pPr>
      <w:r w:rsidRPr="00BC31E0">
        <w:rPr>
          <w:rFonts w:asciiTheme="majorEastAsia" w:eastAsiaTheme="majorEastAsia" w:hAnsiTheme="majorEastAsia" w:hint="eastAsia"/>
          <w:b/>
        </w:rPr>
        <w:t>図K.3</w:t>
      </w:r>
      <w:r w:rsidRPr="00BC31E0">
        <w:rPr>
          <w:rFonts w:hint="eastAsia"/>
        </w:rPr>
        <w:t>の試験片に対して，</w:t>
      </w:r>
      <w:r w:rsidRPr="00BC31E0">
        <w:rPr>
          <w:rFonts w:hint="eastAsia"/>
        </w:rPr>
        <w:t>50 mm</w:t>
      </w:r>
      <w:r w:rsidRPr="00BC31E0">
        <w:rPr>
          <w:rFonts w:hint="eastAsia"/>
        </w:rPr>
        <w:t>未満の試験断面幅を使用してもよいが，切欠き深さと試験片断面リガメント幅の比は</w:t>
      </w:r>
      <w:r w:rsidRPr="00BC31E0">
        <w:rPr>
          <w:rFonts w:hint="eastAsia"/>
        </w:rPr>
        <w:t>0.25</w:t>
      </w:r>
      <w:r w:rsidRPr="00BC31E0">
        <w:rPr>
          <w:rFonts w:hint="eastAsia"/>
        </w:rPr>
        <w:t>以上とする。試験片断面における厚さの制限を満足する必要はない。</w:t>
      </w:r>
    </w:p>
    <w:p w14:paraId="74B107FB" w14:textId="77777777" w:rsidR="00CC55FC" w:rsidRPr="00BC31E0" w:rsidRDefault="00CC55FC" w:rsidP="007E26D6">
      <w:pPr>
        <w:pStyle w:val="a4"/>
        <w:numPr>
          <w:ilvl w:val="0"/>
          <w:numId w:val="77"/>
        </w:numPr>
        <w:ind w:leftChars="0" w:left="738" w:hanging="454"/>
      </w:pPr>
      <w:r w:rsidRPr="00BC31E0">
        <w:rPr>
          <w:rFonts w:asciiTheme="majorEastAsia" w:eastAsiaTheme="majorEastAsia" w:hAnsiTheme="majorEastAsia" w:hint="eastAsia"/>
          <w:b/>
        </w:rPr>
        <w:t>図K.5</w:t>
      </w:r>
      <w:r w:rsidRPr="00BC31E0">
        <w:rPr>
          <w:rFonts w:hint="eastAsia"/>
        </w:rPr>
        <w:t>の試験片に対して，</w:t>
      </w:r>
      <w:r w:rsidRPr="00BC31E0">
        <w:rPr>
          <w:rFonts w:hint="eastAsia"/>
        </w:rPr>
        <w:t>12.5 mm</w:t>
      </w:r>
      <w:r w:rsidRPr="00BC31E0">
        <w:rPr>
          <w:rFonts w:hint="eastAsia"/>
        </w:rPr>
        <w:t>未満の試験断面径を使用してもよいが，切欠き深さと試験片断面リガメント径の比は</w:t>
      </w:r>
      <w:r w:rsidRPr="00BC31E0">
        <w:rPr>
          <w:rFonts w:hint="eastAsia"/>
        </w:rPr>
        <w:t>0.25</w:t>
      </w:r>
      <w:r w:rsidRPr="00BC31E0">
        <w:rPr>
          <w:rFonts w:hint="eastAsia"/>
        </w:rPr>
        <w:t>以上とする。</w:t>
      </w:r>
    </w:p>
    <w:p w14:paraId="468C2F47" w14:textId="77777777" w:rsidR="00CC55FC" w:rsidRPr="00BC31E0" w:rsidRDefault="00CC55FC" w:rsidP="007E26D6">
      <w:pPr>
        <w:pStyle w:val="a4"/>
        <w:numPr>
          <w:ilvl w:val="0"/>
          <w:numId w:val="76"/>
        </w:numPr>
        <w:ind w:leftChars="0" w:left="454" w:hanging="454"/>
      </w:pPr>
      <w:r w:rsidRPr="00BC31E0">
        <w:rPr>
          <w:rFonts w:hint="eastAsia"/>
        </w:rPr>
        <w:t>平滑試験片を用いて引張試験を行い，降伏点又は</w:t>
      </w:r>
      <w:r w:rsidRPr="00BC31E0">
        <w:rPr>
          <w:rFonts w:hint="eastAsia"/>
        </w:rPr>
        <w:t>0.2%</w:t>
      </w:r>
      <w:r w:rsidRPr="00BC31E0">
        <w:rPr>
          <w:rFonts w:hint="eastAsia"/>
        </w:rPr>
        <w:t>耐力を求める</w:t>
      </w:r>
      <w:r w:rsidR="00A32DBC" w:rsidRPr="00BC31E0">
        <w:rPr>
          <w:rFonts w:hint="eastAsia"/>
        </w:rPr>
        <w:t>[</w:t>
      </w:r>
      <w:r w:rsidRPr="00BC31E0">
        <w:rPr>
          <w:rFonts w:asciiTheme="majorEastAsia" w:eastAsiaTheme="majorEastAsia" w:hAnsiTheme="majorEastAsia" w:hint="eastAsia"/>
          <w:b/>
        </w:rPr>
        <w:t>a)</w:t>
      </w:r>
      <w:r w:rsidRPr="00BC31E0">
        <w:rPr>
          <w:rFonts w:hint="eastAsia"/>
        </w:rPr>
        <w:t>を参照</w:t>
      </w:r>
      <w:r w:rsidR="00A32DBC" w:rsidRPr="00BC31E0">
        <w:rPr>
          <w:rFonts w:hint="eastAsia"/>
        </w:rPr>
        <w:t>]</w:t>
      </w:r>
      <w:r w:rsidRPr="00BC31E0">
        <w:rPr>
          <w:rFonts w:hint="eastAsia"/>
        </w:rPr>
        <w:t>。</w:t>
      </w:r>
    </w:p>
    <w:p w14:paraId="0AFEA3D1" w14:textId="77777777" w:rsidR="00CC55FC" w:rsidRPr="00BC31E0" w:rsidRDefault="00CC55FC" w:rsidP="007E26D6">
      <w:pPr>
        <w:pStyle w:val="a4"/>
        <w:numPr>
          <w:ilvl w:val="0"/>
          <w:numId w:val="76"/>
        </w:numPr>
        <w:ind w:leftChars="0" w:left="454" w:hanging="454"/>
      </w:pPr>
      <w:r w:rsidRPr="00BC31E0">
        <w:rPr>
          <w:rFonts w:hint="eastAsia"/>
        </w:rPr>
        <w:t>切欠き引張強さと降伏強さの比は</w:t>
      </w:r>
      <w:r w:rsidRPr="00BC31E0">
        <w:rPr>
          <w:rFonts w:hint="eastAsia"/>
        </w:rPr>
        <w:t>0.9</w:t>
      </w:r>
      <w:r w:rsidR="00726F6F" w:rsidRPr="00BC31E0">
        <w:rPr>
          <w:rFonts w:hint="eastAsia"/>
        </w:rPr>
        <w:t>以上とする。切欠き引張強さと降伏強さの比を求めるとき</w:t>
      </w:r>
      <w:r w:rsidRPr="00BC31E0">
        <w:rPr>
          <w:rFonts w:hint="eastAsia"/>
        </w:rPr>
        <w:t>に使用する各試験片の結果は，切欠き付引張試験の結果においては，切欠き引張強さの小さい値を用いる。平滑試験片による引張試験においては，降伏強さの大きい値を用いる。</w:t>
      </w:r>
    </w:p>
    <w:p w14:paraId="65DF476A" w14:textId="77777777" w:rsidR="00CC55FC" w:rsidRPr="00BC31E0" w:rsidRDefault="00CC55FC" w:rsidP="00A32DBC">
      <w:pPr>
        <w:rPr>
          <w:highlight w:val="yellow"/>
        </w:rPr>
      </w:pPr>
    </w:p>
    <w:p w14:paraId="41C39A14" w14:textId="77777777" w:rsidR="00740398" w:rsidRPr="00BC31E0" w:rsidRDefault="00740398">
      <w:pPr>
        <w:widowControl/>
        <w:jc w:val="left"/>
      </w:pPr>
      <w:r w:rsidRPr="00BC31E0">
        <w:br w:type="page"/>
      </w:r>
    </w:p>
    <w:p w14:paraId="07FAD2AD" w14:textId="77777777" w:rsidR="00CC55FC" w:rsidRPr="00BC31E0" w:rsidRDefault="00A51873" w:rsidP="00692530">
      <w:pPr>
        <w:jc w:val="center"/>
        <w:rPr>
          <w:bCs/>
          <w:szCs w:val="20"/>
        </w:rPr>
      </w:pPr>
      <w:r>
        <w:rPr>
          <w:bCs/>
          <w:szCs w:val="20"/>
        </w:rPr>
      </w:r>
      <w:r>
        <w:rPr>
          <w:bCs/>
          <w:szCs w:val="20"/>
        </w:rPr>
        <w:pict w14:anchorId="1A6E532F">
          <v:group id="_x0000_s3475" style="width:387.8pt;height:405pt;mso-position-horizontal-relative:char;mso-position-vertical-relative:line" coordorigin="2468,2421" coordsize="7756,8100">
            <v:group id="_x0000_s1027" style="position:absolute;left:2468;top:2421;width:3351;height:2700" coordorigin="4277,2241" coordsize="3351,2700">
              <v:group id="_x0000_s1028" style="position:absolute;left:4277;top:2241;width:3351;height:1937;mso-position-horizontal:center" coordorigin="4148,2241" coordsize="3351,19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4148;top:2241;width:3351;height:1937">
                  <v:imagedata r:id="rId19" o:title=""/>
                </v:shape>
                <v:shapetype id="_x0000_t202" coordsize="21600,21600" o:spt="202" path="m,l,21600r21600,l21600,xe">
                  <v:stroke joinstyle="miter"/>
                  <v:path gradientshapeok="t" o:connecttype="rect"/>
                </v:shapetype>
                <v:shape id="_x0000_s1030" type="#_x0000_t202" style="position:absolute;left:4479;top:2480;width:1293;height:306" stroked="f">
                  <v:textbox style="mso-next-textbox:#_x0000_s1030" inset="5.85pt,.7pt,5.85pt,.7pt">
                    <w:txbxContent>
                      <w:p w14:paraId="5445FF9A" w14:textId="77777777" w:rsidR="003B0864" w:rsidRDefault="003B0864" w:rsidP="00CC55FC">
                        <w:pPr>
                          <w:snapToGrid w:val="0"/>
                        </w:pPr>
                        <w:r>
                          <w:rPr>
                            <w:rFonts w:hint="eastAsia"/>
                          </w:rPr>
                          <w:t>主圧延方向</w:t>
                        </w:r>
                      </w:p>
                    </w:txbxContent>
                  </v:textbox>
                </v:shape>
              </v:group>
              <v:shape id="_x0000_s1031" type="#_x0000_t202" style="position:absolute;left:5165;top:4401;width:1575;height:540" filled="f" stroked="f">
                <v:textbox style="mso-next-textbox:#_x0000_s1031" inset="5.85pt,.7pt,5.85pt,.7pt">
                  <w:txbxContent>
                    <w:p w14:paraId="646AAE87" w14:textId="77777777" w:rsidR="003B0864" w:rsidRDefault="003B0864" w:rsidP="00CC55FC">
                      <w:pPr>
                        <w:jc w:val="center"/>
                      </w:pPr>
                      <w:r>
                        <w:rPr>
                          <w:rFonts w:ascii="ＭＳ ゴシック" w:eastAsia="ＭＳ ゴシック" w:hint="eastAsia"/>
                          <w:b/>
                          <w:bCs/>
                        </w:rPr>
                        <w:t>(</w:t>
                      </w:r>
                      <w:r w:rsidRPr="00210C2A">
                        <w:rPr>
                          <w:rFonts w:ascii="ＭＳ ゴシック" w:eastAsia="ＭＳ ゴシック" w:hint="eastAsia"/>
                          <w:b/>
                          <w:bCs/>
                        </w:rPr>
                        <w:t>a</w:t>
                      </w:r>
                      <w:r>
                        <w:rPr>
                          <w:rFonts w:ascii="ＭＳ ゴシック" w:eastAsia="ＭＳ ゴシック" w:hint="eastAsia"/>
                          <w:b/>
                          <w:bCs/>
                        </w:rPr>
                        <w:t xml:space="preserve">) </w:t>
                      </w:r>
                      <w:r>
                        <w:rPr>
                          <w:rFonts w:hint="eastAsia"/>
                          <w:bCs/>
                        </w:rPr>
                        <w:t>板材</w:t>
                      </w:r>
                      <w:r>
                        <w:rPr>
                          <w:rFonts w:hint="eastAsia"/>
                          <w:bCs/>
                        </w:rPr>
                        <w:t xml:space="preserve"> </w:t>
                      </w:r>
                      <w:r w:rsidRPr="004C7F0B">
                        <w:rPr>
                          <w:rFonts w:ascii="ＭＳ ゴシック" w:eastAsia="ＭＳ ゴシック" w:hint="eastAsia"/>
                          <w:b/>
                          <w:vertAlign w:val="superscript"/>
                        </w:rPr>
                        <w:t>a)</w:t>
                      </w:r>
                    </w:p>
                  </w:txbxContent>
                </v:textbox>
              </v:shape>
            </v:group>
            <v:group id="_x0000_s1032" style="position:absolute;left:2783;top:5841;width:2504;height:1980" coordorigin="4700,5121" coordsize="2504,1980">
              <v:shape id="_x0000_s1033" type="#_x0000_t75" style="position:absolute;left:4700;top:5121;width:2504;height:1194">
                <v:imagedata r:id="rId20" o:title=""/>
              </v:shape>
              <v:shape id="_x0000_s1034" type="#_x0000_t202" style="position:absolute;left:5322;top:6561;width:1260;height:540" filled="f" stroked="f">
                <v:textbox style="mso-next-textbox:#_x0000_s1034" inset="5.85pt,.7pt,5.85pt,.7pt">
                  <w:txbxContent>
                    <w:p w14:paraId="4E2991D4" w14:textId="77777777" w:rsidR="003B0864" w:rsidRDefault="003B0864" w:rsidP="00CC55FC">
                      <w:pPr>
                        <w:jc w:val="center"/>
                      </w:pPr>
                      <w:r>
                        <w:rPr>
                          <w:rFonts w:ascii="ＭＳ ゴシック" w:eastAsia="ＭＳ ゴシック" w:hint="eastAsia"/>
                          <w:b/>
                          <w:bCs/>
                        </w:rPr>
                        <w:t>(</w:t>
                      </w:r>
                      <w:r w:rsidRPr="00210C2A">
                        <w:rPr>
                          <w:rFonts w:ascii="ＭＳ ゴシック" w:eastAsia="ＭＳ ゴシック" w:hint="eastAsia"/>
                          <w:b/>
                          <w:bCs/>
                        </w:rPr>
                        <w:t>b-1</w:t>
                      </w:r>
                      <w:r>
                        <w:rPr>
                          <w:rFonts w:ascii="ＭＳ ゴシック" w:eastAsia="ＭＳ ゴシック" w:hint="eastAsia"/>
                          <w:b/>
                          <w:bCs/>
                        </w:rPr>
                        <w:t xml:space="preserve">) </w:t>
                      </w:r>
                      <w:r>
                        <w:rPr>
                          <w:rFonts w:ascii="ＭＳ ゴシック" w:eastAsia="ＭＳ ゴシック" w:hint="eastAsia"/>
                          <w:b/>
                          <w:vertAlign w:val="superscript"/>
                        </w:rPr>
                        <w:t>b</w:t>
                      </w:r>
                      <w:r w:rsidRPr="004C7F0B">
                        <w:rPr>
                          <w:rFonts w:ascii="ＭＳ ゴシック" w:eastAsia="ＭＳ ゴシック" w:hint="eastAsia"/>
                          <w:b/>
                          <w:vertAlign w:val="superscript"/>
                        </w:rPr>
                        <w:t>)</w:t>
                      </w:r>
                      <w:r w:rsidRPr="004C2C39">
                        <w:rPr>
                          <w:rFonts w:ascii="ＭＳ ゴシック" w:eastAsia="ＭＳ ゴシック" w:hint="eastAsia"/>
                          <w:b/>
                          <w:vertAlign w:val="superscript"/>
                        </w:rPr>
                        <w:t xml:space="preserve"> f)</w:t>
                      </w:r>
                    </w:p>
                  </w:txbxContent>
                </v:textbox>
              </v:shape>
            </v:group>
            <v:group id="_x0000_s1035" style="position:absolute;left:6248;top:4581;width:3976;height:3240" coordorigin="6248,5301" coordsize="3976,3240">
              <v:group id="_x0000_s1036" style="position:absolute;left:6248;top:5301;width:3976;height:2475" coordorigin="2010,8235" coordsize="3976,2475">
                <v:group id="_x0000_s1037" style="position:absolute;left:3005;top:8625;width:2634;height:2085" coordorigin="3005,8625" coordsize="2634,2085">
                  <v:shape id="_x0000_s1038" type="#_x0000_t75" style="position:absolute;left:3005;top:8625;width:2634;height:2085">
                    <v:imagedata r:id="rId21" o:title=""/>
                  </v:shape>
                  <v:rect id="_x0000_s1039" style="position:absolute;left:4815;top:9023;width:668;height:173;mso-position-horizontal-relative:page;mso-position-vertical-relative:page" stroked="f"/>
                </v:group>
                <v:shape id="_x0000_s1040" type="#_x0000_t202" style="position:absolute;left:4734;top:8235;width:810;height:390" stroked="f">
                  <v:textbox style="mso-next-textbox:#_x0000_s1040" inset="5.85pt,.7pt,5.85pt,.7pt">
                    <w:txbxContent>
                      <w:p w14:paraId="5A2783F8" w14:textId="77777777" w:rsidR="003B0864" w:rsidRPr="00004410" w:rsidRDefault="003B0864" w:rsidP="00CC55FC">
                        <w:pPr>
                          <w:rPr>
                            <w:rFonts w:ascii="ＭＳ ゴシック" w:eastAsia="ＭＳ ゴシック" w:hAnsi="ＭＳ ゴシック"/>
                            <w:b/>
                            <w:sz w:val="16"/>
                            <w:szCs w:val="16"/>
                            <w:vertAlign w:val="superscript"/>
                          </w:rPr>
                        </w:pPr>
                        <w:r w:rsidRPr="00B66966">
                          <w:rPr>
                            <w:rFonts w:ascii="ＭＳ ゴシック" w:eastAsia="ＭＳ ゴシック" w:hAnsi="ＭＳ ゴシック" w:hint="eastAsia"/>
                            <w:b/>
                            <w:sz w:val="16"/>
                            <w:szCs w:val="16"/>
                          </w:rPr>
                          <w:t>注</w:t>
                        </w:r>
                        <w:r>
                          <w:rPr>
                            <w:rFonts w:ascii="ＭＳ ゴシック" w:eastAsia="ＭＳ ゴシック" w:hAnsi="ＭＳ ゴシック" w:hint="eastAsia"/>
                            <w:b/>
                            <w:sz w:val="16"/>
                            <w:szCs w:val="16"/>
                            <w:vertAlign w:val="superscript"/>
                          </w:rPr>
                          <w:t>d</w:t>
                        </w:r>
                        <w:r w:rsidRPr="00004410">
                          <w:rPr>
                            <w:rFonts w:ascii="ＭＳ ゴシック" w:eastAsia="ＭＳ ゴシック" w:hAnsi="ＭＳ ゴシック" w:hint="eastAsia"/>
                            <w:b/>
                            <w:sz w:val="16"/>
                            <w:szCs w:val="16"/>
                            <w:vertAlign w:val="superscript"/>
                          </w:rPr>
                          <w:t>)</w:t>
                        </w:r>
                      </w:p>
                    </w:txbxContent>
                  </v:textbox>
                </v:shape>
                <v:shape id="_x0000_s1041" type="#_x0000_t202" style="position:absolute;left:4880;top:8923;width:1106;height:389;mso-wrap-style:none" stroked="f">
                  <v:textbox style="mso-next-textbox:#_x0000_s1041;mso-fit-shape-to-text:t" inset="5.85pt,.7pt,5.85pt,.7pt">
                    <w:txbxContent>
                      <w:p w14:paraId="19B01E54" w14:textId="77777777" w:rsidR="003B0864" w:rsidRDefault="003B0864" w:rsidP="00CC55FC">
                        <w:pPr>
                          <w:rPr>
                            <w:sz w:val="16"/>
                          </w:rPr>
                        </w:pPr>
                        <w:r w:rsidRPr="0089077C">
                          <w:rPr>
                            <w:rFonts w:ascii="Cambria Math" w:hAnsi="Cambria Math"/>
                            <w:sz w:val="16"/>
                          </w:rPr>
                          <w:t>2.5 mm</w:t>
                        </w:r>
                        <w:r>
                          <w:rPr>
                            <w:rFonts w:hint="eastAsia"/>
                            <w:sz w:val="16"/>
                          </w:rPr>
                          <w:t>以上</w:t>
                        </w:r>
                      </w:p>
                    </w:txbxContent>
                  </v:textbox>
                </v:shape>
                <v:shape id="_x0000_s1042" type="#_x0000_t202" style="position:absolute;left:2259;top:8744;width:1200;height:375" stroked="f">
                  <v:textbox style="mso-next-textbox:#_x0000_s1042" inset="5.85pt,.7pt,5.85pt,.7pt">
                    <w:txbxContent>
                      <w:p w14:paraId="48862ADC" w14:textId="77777777" w:rsidR="003B0864" w:rsidRDefault="003B0864" w:rsidP="00CC55FC">
                        <w:pPr>
                          <w:rPr>
                            <w:sz w:val="16"/>
                          </w:rPr>
                        </w:pPr>
                        <w:r w:rsidRPr="0089077C">
                          <w:rPr>
                            <w:rFonts w:ascii="Cambria Math" w:hAnsi="Cambria Math"/>
                            <w:sz w:val="16"/>
                          </w:rPr>
                          <w:t>7.5 mm</w:t>
                        </w:r>
                        <w:r>
                          <w:rPr>
                            <w:rFonts w:hint="eastAsia"/>
                            <w:sz w:val="16"/>
                          </w:rPr>
                          <w:t>以下</w:t>
                        </w:r>
                      </w:p>
                    </w:txbxContent>
                  </v:textbox>
                </v:shape>
                <v:shape id="_x0000_s1043" type="#_x0000_t202" style="position:absolute;left:2010;top:8383;width:1890;height:436" stroked="f">
                  <v:textbox style="mso-next-textbox:#_x0000_s1043" inset="5.85pt,.7pt,5.85pt,.7pt">
                    <w:txbxContent>
                      <w:p w14:paraId="19EF0B61" w14:textId="77777777" w:rsidR="003B0864" w:rsidRDefault="003B0864" w:rsidP="00CC55FC">
                        <w:pPr>
                          <w:rPr>
                            <w:sz w:val="16"/>
                          </w:rPr>
                        </w:pPr>
                        <w:r>
                          <w:rPr>
                            <w:rFonts w:hint="eastAsia"/>
                            <w:sz w:val="16"/>
                          </w:rPr>
                          <w:t>配管圧延又は引抜方向</w:t>
                        </w:r>
                      </w:p>
                    </w:txbxContent>
                  </v:textbox>
                </v:shape>
                <v:shape id="_x0000_s1044" type="#_x0000_t202" style="position:absolute;left:2409;top:10104;width:795;height:345" stroked="f">
                  <v:textbox style="mso-next-textbox:#_x0000_s1044" inset="5.85pt,.7pt,5.85pt,.7pt">
                    <w:txbxContent>
                      <w:p w14:paraId="0E7B4DDC" w14:textId="77777777" w:rsidR="003B0864" w:rsidRDefault="003B0864" w:rsidP="00CC55FC">
                        <w:pPr>
                          <w:rPr>
                            <w:sz w:val="16"/>
                          </w:rPr>
                        </w:pPr>
                        <w:r>
                          <w:rPr>
                            <w:rFonts w:hint="eastAsia"/>
                            <w:sz w:val="16"/>
                          </w:rPr>
                          <w:t>ノッチ</w:t>
                        </w:r>
                      </w:p>
                    </w:txbxContent>
                  </v:textbox>
                </v:shape>
              </v:group>
              <v:shape id="_x0000_s1045" type="#_x0000_t202" style="position:absolute;left:7628;top:8001;width:1257;height:540" filled="f" stroked="f">
                <v:textbox style="mso-next-textbox:#_x0000_s1045" inset="5.85pt,.7pt,5.85pt,.7pt">
                  <w:txbxContent>
                    <w:p w14:paraId="1BB24640" w14:textId="77777777" w:rsidR="003B0864" w:rsidRDefault="003B0864" w:rsidP="00CC55FC">
                      <w:pPr>
                        <w:jc w:val="center"/>
                      </w:pPr>
                      <w:r>
                        <w:rPr>
                          <w:rFonts w:ascii="ＭＳ ゴシック" w:eastAsia="ＭＳ ゴシック" w:hint="eastAsia"/>
                          <w:b/>
                          <w:bCs/>
                        </w:rPr>
                        <w:t>(</w:t>
                      </w:r>
                      <w:r w:rsidRPr="00210C2A">
                        <w:rPr>
                          <w:rFonts w:ascii="ＭＳ ゴシック" w:eastAsia="ＭＳ ゴシック" w:hint="eastAsia"/>
                          <w:b/>
                          <w:bCs/>
                        </w:rPr>
                        <w:t>b-2</w:t>
                      </w:r>
                      <w:r>
                        <w:rPr>
                          <w:rFonts w:ascii="ＭＳ ゴシック" w:eastAsia="ＭＳ ゴシック" w:hint="eastAsia"/>
                          <w:b/>
                          <w:bCs/>
                        </w:rPr>
                        <w:t xml:space="preserve">) </w:t>
                      </w:r>
                      <w:r>
                        <w:rPr>
                          <w:rFonts w:ascii="ＭＳ ゴシック" w:eastAsia="ＭＳ ゴシック" w:hint="eastAsia"/>
                          <w:b/>
                          <w:vertAlign w:val="superscript"/>
                        </w:rPr>
                        <w:t>c</w:t>
                      </w:r>
                      <w:r w:rsidRPr="004C7F0B">
                        <w:rPr>
                          <w:rFonts w:ascii="ＭＳ ゴシック" w:eastAsia="ＭＳ ゴシック" w:hint="eastAsia"/>
                          <w:b/>
                          <w:vertAlign w:val="superscript"/>
                        </w:rPr>
                        <w:t>)</w:t>
                      </w:r>
                      <w:r w:rsidRPr="002345D0">
                        <w:rPr>
                          <w:rFonts w:ascii="ＭＳ ゴシック" w:eastAsia="ＭＳ ゴシック" w:hint="eastAsia"/>
                          <w:b/>
                          <w:vertAlign w:val="superscript"/>
                        </w:rPr>
                        <w:t xml:space="preserve"> </w:t>
                      </w:r>
                      <w:r w:rsidRPr="004C2C39">
                        <w:rPr>
                          <w:rFonts w:ascii="ＭＳ ゴシック" w:eastAsia="ＭＳ ゴシック" w:hint="eastAsia"/>
                          <w:b/>
                          <w:vertAlign w:val="superscript"/>
                        </w:rPr>
                        <w:t>f)</w:t>
                      </w:r>
                    </w:p>
                  </w:txbxContent>
                </v:textbox>
              </v:shape>
            </v:group>
            <v:group id="_x0000_s1046" style="position:absolute;left:2678;top:7821;width:2844;height:2160" coordorigin="2573,8181" coordsize="2844,2160">
              <v:shape id="_x0000_s1047" type="#_x0000_t75" style="position:absolute;left:2573;top:8181;width:2844;height:1453">
                <v:imagedata r:id="rId22" o:title=""/>
              </v:shape>
              <v:shape id="_x0000_s1048" type="#_x0000_t202" style="position:absolute;left:3313;top:9801;width:1365;height:540" filled="f" stroked="f">
                <v:textbox style="mso-next-textbox:#_x0000_s1048" inset="5.85pt,.7pt,5.85pt,.7pt">
                  <w:txbxContent>
                    <w:p w14:paraId="58EFDD37" w14:textId="77777777" w:rsidR="003B0864" w:rsidRDefault="003B0864" w:rsidP="00CC55FC">
                      <w:pPr>
                        <w:jc w:val="center"/>
                      </w:pPr>
                      <w:r>
                        <w:rPr>
                          <w:rFonts w:ascii="ＭＳ ゴシック" w:eastAsia="ＭＳ ゴシック" w:hint="eastAsia"/>
                          <w:b/>
                          <w:bCs/>
                        </w:rPr>
                        <w:t>(</w:t>
                      </w:r>
                      <w:r w:rsidRPr="00210C2A">
                        <w:rPr>
                          <w:rFonts w:ascii="ＭＳ ゴシック" w:eastAsia="ＭＳ ゴシック" w:hint="eastAsia"/>
                          <w:b/>
                          <w:bCs/>
                        </w:rPr>
                        <w:t>b-3</w:t>
                      </w:r>
                      <w:r>
                        <w:rPr>
                          <w:rFonts w:ascii="ＭＳ ゴシック" w:eastAsia="ＭＳ ゴシック" w:hint="eastAsia"/>
                          <w:b/>
                          <w:bCs/>
                        </w:rPr>
                        <w:t xml:space="preserve">) </w:t>
                      </w:r>
                      <w:r>
                        <w:rPr>
                          <w:rFonts w:ascii="ＭＳ ゴシック" w:eastAsia="ＭＳ ゴシック" w:hint="eastAsia"/>
                          <w:b/>
                          <w:vertAlign w:val="superscript"/>
                        </w:rPr>
                        <w:t>e</w:t>
                      </w:r>
                      <w:r w:rsidRPr="004C7F0B">
                        <w:rPr>
                          <w:rFonts w:ascii="ＭＳ ゴシック" w:eastAsia="ＭＳ ゴシック" w:hint="eastAsia"/>
                          <w:b/>
                          <w:vertAlign w:val="superscript"/>
                        </w:rPr>
                        <w:t>)</w:t>
                      </w:r>
                      <w:r>
                        <w:rPr>
                          <w:rFonts w:ascii="ＭＳ ゴシック" w:eastAsia="ＭＳ ゴシック" w:hint="eastAsia"/>
                          <w:b/>
                          <w:vertAlign w:val="superscript"/>
                        </w:rPr>
                        <w:t xml:space="preserve"> f</w:t>
                      </w:r>
                      <w:r w:rsidRPr="004C7F0B">
                        <w:rPr>
                          <w:rFonts w:ascii="ＭＳ ゴシック" w:eastAsia="ＭＳ ゴシック" w:hint="eastAsia"/>
                          <w:b/>
                          <w:vertAlign w:val="superscript"/>
                        </w:rPr>
                        <w:t>)</w:t>
                      </w:r>
                    </w:p>
                  </w:txbxContent>
                </v:textbox>
              </v:shape>
            </v:group>
            <v:shape id="_x0000_s1049" type="#_x0000_t202" style="position:absolute;left:3308;top:9981;width:1680;height:540" filled="f" stroked="f">
              <v:textbox style="mso-next-textbox:#_x0000_s1049" inset="5.85pt,.7pt,5.85pt,.7pt">
                <w:txbxContent>
                  <w:p w14:paraId="60BA4A17" w14:textId="77777777" w:rsidR="003B0864" w:rsidRDefault="003B0864" w:rsidP="00CC55FC">
                    <w:pPr>
                      <w:jc w:val="center"/>
                    </w:pPr>
                    <w:r w:rsidRPr="000833AC">
                      <w:rPr>
                        <w:rFonts w:ascii="ＭＳ ゴシック" w:eastAsia="ＭＳ ゴシック" w:hint="eastAsia"/>
                        <w:b/>
                      </w:rPr>
                      <w:t>(b)</w:t>
                    </w:r>
                    <w:r>
                      <w:rPr>
                        <w:rFonts w:hint="eastAsia"/>
                      </w:rPr>
                      <w:t xml:space="preserve"> </w:t>
                    </w:r>
                    <w:r>
                      <w:rPr>
                        <w:rFonts w:hint="eastAsia"/>
                      </w:rPr>
                      <w:t>配管材</w:t>
                    </w:r>
                  </w:p>
                </w:txbxContent>
              </v:textbox>
            </v:shape>
            <w10:anchorlock/>
          </v:group>
          <o:OLEObject Type="Embed" ProgID="Photoshop.Image.6" ShapeID="_x0000_s1029" DrawAspect="Content" ObjectID="_1731233639" r:id="rId23">
            <o:FieldCodes>\s</o:FieldCodes>
          </o:OLEObject>
          <o:OLEObject Type="Embed" ProgID="Photoshop.Image.6" ShapeID="_x0000_s1033" DrawAspect="Content" ObjectID="_1731233640" r:id="rId24">
            <o:FieldCodes>\s</o:FieldCodes>
          </o:OLEObject>
          <o:OLEObject Type="Embed" ProgID="Photoshop.Image.6" ShapeID="_x0000_s1038" DrawAspect="Content" ObjectID="_1731233641" r:id="rId25">
            <o:FieldCodes>\s</o:FieldCodes>
          </o:OLEObject>
          <o:OLEObject Type="Embed" ProgID="Photoshop.Image.6" ShapeID="_x0000_s1047" DrawAspect="Content" ObjectID="_1731233642" r:id="rId26">
            <o:FieldCodes>\s</o:FieldCodes>
          </o:OLEObject>
        </w:pict>
      </w:r>
    </w:p>
    <w:p w14:paraId="3C70EF6B" w14:textId="77777777" w:rsidR="00CC55FC" w:rsidRPr="00BC31E0" w:rsidRDefault="00CC55FC" w:rsidP="00692530">
      <w:pPr>
        <w:autoSpaceDE w:val="0"/>
        <w:autoSpaceDN w:val="0"/>
        <w:jc w:val="left"/>
        <w:rPr>
          <w:bCs/>
          <w:szCs w:val="20"/>
        </w:rPr>
      </w:pPr>
    </w:p>
    <w:p w14:paraId="539DBB07" w14:textId="77777777" w:rsidR="00CC55FC" w:rsidRPr="00BC31E0" w:rsidRDefault="00CC55FC" w:rsidP="00692530">
      <w:pPr>
        <w:autoSpaceDE w:val="0"/>
        <w:autoSpaceDN w:val="0"/>
        <w:jc w:val="left"/>
        <w:rPr>
          <w:szCs w:val="20"/>
        </w:rPr>
      </w:pPr>
      <w:r w:rsidRPr="00BC31E0">
        <w:rPr>
          <w:rFonts w:hint="eastAsia"/>
          <w:szCs w:val="20"/>
        </w:rPr>
        <w:t xml:space="preserve"> </w:t>
      </w:r>
      <w:r w:rsidRPr="00BC31E0">
        <w:rPr>
          <w:rFonts w:hint="eastAsia"/>
          <w:szCs w:val="20"/>
        </w:rPr>
        <w:t xml:space="preserve">　</w:t>
      </w:r>
      <w:r w:rsidRPr="00BC31E0">
        <w:rPr>
          <w:rFonts w:ascii="ＭＳ ゴシック" w:eastAsia="ＭＳ ゴシック" w:hint="eastAsia"/>
          <w:b/>
          <w:szCs w:val="20"/>
        </w:rPr>
        <w:t>注</w:t>
      </w:r>
      <w:r w:rsidRPr="00BC31E0">
        <w:rPr>
          <w:rFonts w:ascii="ＭＳ ゴシック" w:eastAsia="ＭＳ ゴシック" w:hint="eastAsia"/>
          <w:b/>
          <w:szCs w:val="20"/>
          <w:vertAlign w:val="superscript"/>
        </w:rPr>
        <w:t xml:space="preserve">a)　　</w:t>
      </w:r>
      <w:r w:rsidRPr="00BC31E0">
        <w:rPr>
          <w:rFonts w:hint="eastAsia"/>
          <w:szCs w:val="20"/>
        </w:rPr>
        <w:t>厚さ</w:t>
      </w:r>
      <w:r w:rsidRPr="00BC31E0">
        <w:rPr>
          <w:szCs w:val="20"/>
        </w:rPr>
        <w:t>55 mm</w:t>
      </w:r>
      <w:r w:rsidRPr="00BC31E0">
        <w:rPr>
          <w:rFonts w:ascii="ＭＳ 明朝" w:hAnsi="ＭＳ 明朝" w:hint="eastAsia"/>
          <w:szCs w:val="20"/>
        </w:rPr>
        <w:t>以上の板材については，</w:t>
      </w:r>
      <w:r w:rsidRPr="00BC31E0">
        <w:rPr>
          <w:rFonts w:hint="eastAsia"/>
          <w:szCs w:val="20"/>
        </w:rPr>
        <w:t>S</w:t>
      </w:r>
      <w:r w:rsidRPr="00BC31E0">
        <w:rPr>
          <w:rFonts w:ascii="ＭＳ 明朝" w:hAnsi="ＭＳ 明朝" w:hint="eastAsia"/>
          <w:szCs w:val="20"/>
        </w:rPr>
        <w:t>-</w:t>
      </w:r>
      <w:r w:rsidRPr="00BC31E0">
        <w:rPr>
          <w:rFonts w:hint="eastAsia"/>
          <w:szCs w:val="20"/>
        </w:rPr>
        <w:t>T</w:t>
      </w:r>
      <w:r w:rsidR="00472217" w:rsidRPr="00BC31E0">
        <w:rPr>
          <w:rFonts w:ascii="ＭＳ 明朝" w:hAnsi="ＭＳ 明朝" w:hint="eastAsia"/>
          <w:szCs w:val="20"/>
        </w:rPr>
        <w:t>方向</w:t>
      </w:r>
      <w:r w:rsidR="00A1772D" w:rsidRPr="00BC31E0">
        <w:rPr>
          <w:rFonts w:ascii="ＭＳ 明朝" w:hAnsi="ＭＳ 明朝" w:hint="eastAsia"/>
          <w:szCs w:val="20"/>
        </w:rPr>
        <w:t>の</w:t>
      </w:r>
      <w:r w:rsidR="00472217" w:rsidRPr="00BC31E0">
        <w:rPr>
          <w:rFonts w:ascii="ＭＳ 明朝" w:hAnsi="ＭＳ 明朝" w:hint="eastAsia"/>
          <w:szCs w:val="20"/>
        </w:rPr>
        <w:t>衝撃試験片を</w:t>
      </w:r>
      <w:r w:rsidRPr="00BC31E0">
        <w:rPr>
          <w:rFonts w:ascii="ＭＳ 明朝" w:hAnsi="ＭＳ 明朝" w:hint="eastAsia"/>
          <w:szCs w:val="20"/>
        </w:rPr>
        <w:t>採取</w:t>
      </w:r>
      <w:r w:rsidR="00472217" w:rsidRPr="00BC31E0">
        <w:rPr>
          <w:rFonts w:ascii="ＭＳ 明朝" w:hAnsi="ＭＳ 明朝" w:hint="eastAsia"/>
          <w:szCs w:val="20"/>
        </w:rPr>
        <w:t>してもよい</w:t>
      </w:r>
      <w:r w:rsidRPr="00BC31E0">
        <w:rPr>
          <w:rFonts w:ascii="ＭＳ 明朝" w:hAnsi="ＭＳ 明朝" w:hint="eastAsia"/>
          <w:szCs w:val="20"/>
        </w:rPr>
        <w:t>。</w:t>
      </w:r>
    </w:p>
    <w:p w14:paraId="651CEF9B" w14:textId="77777777" w:rsidR="00CC55FC" w:rsidRPr="00BC31E0" w:rsidRDefault="00CC55FC" w:rsidP="00692530">
      <w:pPr>
        <w:autoSpaceDE w:val="0"/>
        <w:autoSpaceDN w:val="0"/>
        <w:jc w:val="left"/>
        <w:rPr>
          <w:sz w:val="18"/>
          <w:szCs w:val="18"/>
        </w:rPr>
      </w:pPr>
      <w:r w:rsidRPr="00BC31E0">
        <w:rPr>
          <w:rFonts w:ascii="ＭＳ ゴシック" w:eastAsia="ＭＳ ゴシック" w:hint="eastAsia"/>
          <w:b/>
          <w:szCs w:val="20"/>
        </w:rPr>
        <w:t xml:space="preserve">　 注</w:t>
      </w:r>
      <w:r w:rsidRPr="00BC31E0">
        <w:rPr>
          <w:rFonts w:ascii="ＭＳ ゴシック" w:eastAsia="ＭＳ ゴシック" w:hint="eastAsia"/>
          <w:b/>
          <w:szCs w:val="20"/>
          <w:vertAlign w:val="superscript"/>
        </w:rPr>
        <w:t xml:space="preserve">b)　　</w:t>
      </w:r>
      <w:r w:rsidRPr="00BC31E0">
        <w:rPr>
          <w:rFonts w:hint="eastAsia"/>
          <w:szCs w:val="20"/>
        </w:rPr>
        <w:t>ノッチ方向は，</w:t>
      </w:r>
      <w:r w:rsidRPr="00BC31E0">
        <w:rPr>
          <w:rFonts w:hint="eastAsia"/>
          <w:szCs w:val="20"/>
        </w:rPr>
        <w:t>C</w:t>
      </w:r>
      <w:r w:rsidRPr="00BC31E0">
        <w:rPr>
          <w:rFonts w:ascii="ＭＳ 明朝" w:hAnsi="ＭＳ 明朝" w:hint="eastAsia"/>
          <w:szCs w:val="20"/>
        </w:rPr>
        <w:t>-</w:t>
      </w:r>
      <w:r w:rsidRPr="00BC31E0">
        <w:rPr>
          <w:rFonts w:hint="eastAsia"/>
          <w:szCs w:val="20"/>
        </w:rPr>
        <w:t>L</w:t>
      </w:r>
      <w:r w:rsidRPr="00BC31E0">
        <w:rPr>
          <w:rFonts w:hint="eastAsia"/>
          <w:szCs w:val="20"/>
        </w:rPr>
        <w:t>又は</w:t>
      </w:r>
      <w:r w:rsidRPr="00BC31E0">
        <w:rPr>
          <w:rFonts w:hint="eastAsia"/>
          <w:szCs w:val="20"/>
        </w:rPr>
        <w:t>C</w:t>
      </w:r>
      <w:r w:rsidRPr="00BC31E0">
        <w:rPr>
          <w:rFonts w:ascii="ＭＳ 明朝" w:hAnsi="ＭＳ 明朝" w:hint="eastAsia"/>
          <w:szCs w:val="20"/>
        </w:rPr>
        <w:t>-</w:t>
      </w:r>
      <w:r w:rsidRPr="00BC31E0">
        <w:rPr>
          <w:rFonts w:hint="eastAsia"/>
          <w:szCs w:val="20"/>
        </w:rPr>
        <w:t>R</w:t>
      </w:r>
      <w:r w:rsidRPr="00BC31E0">
        <w:rPr>
          <w:rFonts w:hint="eastAsia"/>
          <w:szCs w:val="20"/>
        </w:rPr>
        <w:t>のいずれでもよい。</w:t>
      </w:r>
    </w:p>
    <w:p w14:paraId="2220F503" w14:textId="77777777" w:rsidR="00CC55FC" w:rsidRPr="00BC31E0" w:rsidRDefault="00CC55FC" w:rsidP="00692530">
      <w:pPr>
        <w:autoSpaceDE w:val="0"/>
        <w:autoSpaceDN w:val="0"/>
        <w:jc w:val="left"/>
        <w:rPr>
          <w:szCs w:val="20"/>
        </w:rPr>
      </w:pPr>
      <w:r w:rsidRPr="00BC31E0">
        <w:rPr>
          <w:rFonts w:ascii="ＭＳ ゴシック" w:eastAsia="ＭＳ ゴシック" w:hint="eastAsia"/>
          <w:b/>
          <w:szCs w:val="20"/>
        </w:rPr>
        <w:t xml:space="preserve">　 注</w:t>
      </w:r>
      <w:r w:rsidRPr="00BC31E0">
        <w:rPr>
          <w:rFonts w:ascii="ＭＳ ゴシック" w:eastAsia="ＭＳ ゴシック" w:hint="eastAsia"/>
          <w:b/>
          <w:szCs w:val="20"/>
          <w:vertAlign w:val="superscript"/>
        </w:rPr>
        <w:t xml:space="preserve">c)　　</w:t>
      </w:r>
      <w:r w:rsidRPr="00BC31E0">
        <w:rPr>
          <w:rFonts w:hint="eastAsia"/>
          <w:szCs w:val="20"/>
        </w:rPr>
        <w:t>本図は，標準試験片の長さが採取できない円筒形小構成部材からの試験片の横方向採取</w:t>
      </w:r>
    </w:p>
    <w:p w14:paraId="6564368D" w14:textId="77777777" w:rsidR="00CC55FC" w:rsidRPr="00BC31E0" w:rsidRDefault="00CC55FC" w:rsidP="00692530">
      <w:pPr>
        <w:autoSpaceDE w:val="0"/>
        <w:autoSpaceDN w:val="0"/>
        <w:jc w:val="left"/>
        <w:rPr>
          <w:szCs w:val="20"/>
        </w:rPr>
      </w:pPr>
      <w:r w:rsidRPr="00BC31E0">
        <w:rPr>
          <w:rFonts w:hint="eastAsia"/>
          <w:szCs w:val="20"/>
        </w:rPr>
        <w:t xml:space="preserve">         </w:t>
      </w:r>
      <w:r w:rsidRPr="00BC31E0">
        <w:rPr>
          <w:rFonts w:hint="eastAsia"/>
          <w:szCs w:val="20"/>
        </w:rPr>
        <w:t>の例を示す。</w:t>
      </w:r>
    </w:p>
    <w:p w14:paraId="508D9D7B" w14:textId="77777777" w:rsidR="00CC55FC" w:rsidRPr="00BC31E0" w:rsidRDefault="00CC55FC" w:rsidP="00692530">
      <w:pPr>
        <w:autoSpaceDE w:val="0"/>
        <w:autoSpaceDN w:val="0"/>
        <w:jc w:val="left"/>
        <w:rPr>
          <w:rFonts w:ascii="ＭＳ 明朝" w:hAnsi="ＭＳ 明朝"/>
          <w:szCs w:val="20"/>
        </w:rPr>
      </w:pPr>
      <w:r w:rsidRPr="00BC31E0">
        <w:rPr>
          <w:rFonts w:ascii="ＭＳ ゴシック" w:eastAsia="ＭＳ ゴシック" w:hint="eastAsia"/>
          <w:b/>
          <w:szCs w:val="20"/>
        </w:rPr>
        <w:t xml:space="preserve">　 注</w:t>
      </w:r>
      <w:r w:rsidRPr="00BC31E0">
        <w:rPr>
          <w:rFonts w:ascii="ＭＳ ゴシック" w:eastAsia="ＭＳ ゴシック" w:hint="eastAsia"/>
          <w:b/>
          <w:szCs w:val="20"/>
          <w:vertAlign w:val="superscript"/>
        </w:rPr>
        <w:t xml:space="preserve">d)　　</w:t>
      </w:r>
      <w:r w:rsidRPr="00BC31E0">
        <w:rPr>
          <w:rFonts w:hint="eastAsia"/>
          <w:szCs w:val="20"/>
        </w:rPr>
        <w:t>シャルピー衝撃試験片の隅部は，図に示す寸法内で部材の輪郭に合わせてもよい。</w:t>
      </w:r>
    </w:p>
    <w:p w14:paraId="63DF64DA" w14:textId="77777777" w:rsidR="00CC55FC" w:rsidRPr="00BC31E0" w:rsidRDefault="00CC55FC" w:rsidP="00692530">
      <w:pPr>
        <w:autoSpaceDE w:val="0"/>
        <w:autoSpaceDN w:val="0"/>
        <w:jc w:val="left"/>
        <w:rPr>
          <w:szCs w:val="20"/>
        </w:rPr>
      </w:pPr>
      <w:r w:rsidRPr="00BC31E0">
        <w:rPr>
          <w:rFonts w:ascii="ＭＳ ゴシック" w:eastAsia="ＭＳ ゴシック" w:hint="eastAsia"/>
          <w:b/>
          <w:szCs w:val="20"/>
        </w:rPr>
        <w:t xml:space="preserve">　 注</w:t>
      </w:r>
      <w:r w:rsidRPr="00BC31E0">
        <w:rPr>
          <w:rFonts w:ascii="ＭＳ ゴシック" w:eastAsia="ＭＳ ゴシック" w:hint="eastAsia"/>
          <w:b/>
          <w:szCs w:val="20"/>
          <w:vertAlign w:val="superscript"/>
        </w:rPr>
        <w:t xml:space="preserve">e)　　</w:t>
      </w:r>
      <w:r w:rsidRPr="00BC31E0">
        <w:rPr>
          <w:rFonts w:hint="eastAsia"/>
          <w:szCs w:val="20"/>
        </w:rPr>
        <w:t>ノッチ方向は，</w:t>
      </w:r>
      <w:r w:rsidRPr="00BC31E0">
        <w:rPr>
          <w:rFonts w:hint="eastAsia"/>
          <w:szCs w:val="20"/>
        </w:rPr>
        <w:t>L</w:t>
      </w:r>
      <w:r w:rsidRPr="00BC31E0">
        <w:rPr>
          <w:rFonts w:ascii="ＭＳ 明朝" w:hAnsi="ＭＳ 明朝" w:hint="eastAsia"/>
          <w:szCs w:val="20"/>
        </w:rPr>
        <w:t>-</w:t>
      </w:r>
      <w:r w:rsidRPr="00BC31E0">
        <w:rPr>
          <w:rFonts w:hint="eastAsia"/>
          <w:szCs w:val="20"/>
        </w:rPr>
        <w:t>C</w:t>
      </w:r>
      <w:r w:rsidRPr="00BC31E0">
        <w:rPr>
          <w:rFonts w:hint="eastAsia"/>
          <w:szCs w:val="20"/>
        </w:rPr>
        <w:t>又は</w:t>
      </w:r>
      <w:r w:rsidRPr="00BC31E0">
        <w:rPr>
          <w:rFonts w:hint="eastAsia"/>
          <w:szCs w:val="20"/>
        </w:rPr>
        <w:t>L</w:t>
      </w:r>
      <w:r w:rsidRPr="00BC31E0">
        <w:rPr>
          <w:rFonts w:ascii="ＭＳ 明朝" w:hAnsi="ＭＳ 明朝" w:hint="eastAsia"/>
          <w:szCs w:val="20"/>
        </w:rPr>
        <w:t>-</w:t>
      </w:r>
      <w:r w:rsidRPr="00BC31E0">
        <w:rPr>
          <w:rFonts w:hint="eastAsia"/>
          <w:szCs w:val="20"/>
        </w:rPr>
        <w:t>R</w:t>
      </w:r>
      <w:r w:rsidRPr="00BC31E0">
        <w:rPr>
          <w:rFonts w:hint="eastAsia"/>
          <w:szCs w:val="20"/>
        </w:rPr>
        <w:t>いずれでもよい。</w:t>
      </w:r>
    </w:p>
    <w:p w14:paraId="0C2CF1FD" w14:textId="77777777" w:rsidR="00CC55FC" w:rsidRPr="00BC31E0" w:rsidRDefault="00CC55FC" w:rsidP="00692530">
      <w:pPr>
        <w:autoSpaceDE w:val="0"/>
        <w:autoSpaceDN w:val="0"/>
        <w:jc w:val="left"/>
        <w:rPr>
          <w:szCs w:val="20"/>
        </w:rPr>
      </w:pPr>
      <w:r w:rsidRPr="00BC31E0">
        <w:rPr>
          <w:rFonts w:ascii="ＭＳ ゴシック" w:eastAsia="ＭＳ ゴシック" w:hint="eastAsia"/>
          <w:b/>
          <w:szCs w:val="20"/>
        </w:rPr>
        <w:t xml:space="preserve">　 注</w:t>
      </w:r>
      <w:r w:rsidRPr="00BC31E0">
        <w:rPr>
          <w:rFonts w:ascii="ＭＳ ゴシック" w:eastAsia="ＭＳ ゴシック" w:hint="eastAsia"/>
          <w:b/>
          <w:szCs w:val="20"/>
          <w:vertAlign w:val="superscript"/>
        </w:rPr>
        <w:t xml:space="preserve">f)　　</w:t>
      </w:r>
      <w:r w:rsidRPr="00BC31E0">
        <w:rPr>
          <w:rFonts w:ascii="ＭＳ ゴシック" w:eastAsia="ＭＳ ゴシック" w:hint="eastAsia"/>
          <w:b/>
          <w:szCs w:val="20"/>
        </w:rPr>
        <w:t>(b-1)</w:t>
      </w:r>
      <w:r w:rsidRPr="00BC31E0">
        <w:rPr>
          <w:rFonts w:hint="eastAsia"/>
          <w:szCs w:val="20"/>
        </w:rPr>
        <w:t>に示すように，衝撃試験片採取ができない場合は，</w:t>
      </w:r>
      <w:r w:rsidRPr="00BC31E0">
        <w:rPr>
          <w:rFonts w:ascii="ＭＳ ゴシック" w:eastAsia="ＭＳ ゴシック" w:hint="eastAsia"/>
          <w:b/>
          <w:szCs w:val="20"/>
        </w:rPr>
        <w:t>(b-2)</w:t>
      </w:r>
      <w:r w:rsidRPr="00BC31E0">
        <w:rPr>
          <w:rFonts w:hint="eastAsia"/>
          <w:szCs w:val="20"/>
        </w:rPr>
        <w:t>による。</w:t>
      </w:r>
    </w:p>
    <w:p w14:paraId="334C34E1" w14:textId="77777777" w:rsidR="00CC55FC" w:rsidRPr="00BC31E0" w:rsidRDefault="00CC55FC" w:rsidP="00692530">
      <w:pPr>
        <w:autoSpaceDE w:val="0"/>
        <w:autoSpaceDN w:val="0"/>
        <w:jc w:val="left"/>
        <w:rPr>
          <w:szCs w:val="20"/>
        </w:rPr>
      </w:pPr>
      <w:r w:rsidRPr="00BC31E0">
        <w:rPr>
          <w:rFonts w:hint="eastAsia"/>
          <w:szCs w:val="20"/>
        </w:rPr>
        <w:t xml:space="preserve">　　　　</w:t>
      </w:r>
      <w:r w:rsidRPr="00BC31E0">
        <w:rPr>
          <w:rFonts w:hint="eastAsia"/>
          <w:szCs w:val="20"/>
        </w:rPr>
        <w:t xml:space="preserve"> </w:t>
      </w:r>
      <w:r w:rsidRPr="00BC31E0">
        <w:rPr>
          <w:rFonts w:ascii="ＭＳ ゴシック" w:eastAsia="ＭＳ ゴシック" w:hint="eastAsia"/>
          <w:b/>
          <w:szCs w:val="20"/>
        </w:rPr>
        <w:t>(b-2)</w:t>
      </w:r>
      <w:r w:rsidRPr="00BC31E0">
        <w:rPr>
          <w:rFonts w:hint="eastAsia"/>
          <w:szCs w:val="20"/>
        </w:rPr>
        <w:t>に示すように，衝撃試験片採取ができない場合は，</w:t>
      </w:r>
      <w:r w:rsidRPr="00BC31E0">
        <w:rPr>
          <w:rFonts w:ascii="ＭＳ ゴシック" w:eastAsia="ＭＳ ゴシック" w:hint="eastAsia"/>
          <w:b/>
          <w:szCs w:val="20"/>
        </w:rPr>
        <w:t>(b-3)</w:t>
      </w:r>
      <w:r w:rsidRPr="00BC31E0">
        <w:rPr>
          <w:rFonts w:hint="eastAsia"/>
          <w:szCs w:val="20"/>
        </w:rPr>
        <w:t>による。</w:t>
      </w:r>
    </w:p>
    <w:p w14:paraId="0D955789" w14:textId="77777777" w:rsidR="00CC55FC" w:rsidRPr="00BC31E0" w:rsidRDefault="00CC55FC" w:rsidP="00692530">
      <w:pPr>
        <w:autoSpaceDE w:val="0"/>
        <w:autoSpaceDN w:val="0"/>
        <w:jc w:val="left"/>
        <w:rPr>
          <w:szCs w:val="20"/>
        </w:rPr>
      </w:pPr>
    </w:p>
    <w:p w14:paraId="354BD44C" w14:textId="77777777" w:rsidR="00CC55FC" w:rsidRPr="00BC31E0" w:rsidRDefault="00CC55FC" w:rsidP="00692530">
      <w:pPr>
        <w:jc w:val="center"/>
        <w:rPr>
          <w:rFonts w:ascii="ＭＳ ゴシック" w:eastAsia="ＭＳ ゴシック" w:hAnsi="ＭＳ ゴシック"/>
          <w:b/>
          <w:szCs w:val="20"/>
          <w:vertAlign w:val="superscript"/>
        </w:rPr>
      </w:pPr>
      <w:r w:rsidRPr="00BC31E0">
        <w:rPr>
          <w:rFonts w:ascii="ＭＳ ゴシック" w:eastAsia="ＭＳ ゴシック" w:hAnsi="ＭＳ ゴシック" w:hint="eastAsia"/>
          <w:b/>
          <w:szCs w:val="20"/>
        </w:rPr>
        <w:t xml:space="preserve">図5.2.1 </w:t>
      </w:r>
      <w:r w:rsidRPr="00BC31E0">
        <w:rPr>
          <w:rFonts w:ascii="ＭＳ ゴシック" w:eastAsia="ＭＳ ゴシック" w:hAnsi="ＭＳ ゴシック"/>
          <w:b/>
          <w:szCs w:val="20"/>
        </w:rPr>
        <w:t>CVN</w:t>
      </w:r>
      <w:r w:rsidRPr="00BC31E0">
        <w:rPr>
          <w:rFonts w:ascii="ＭＳ ゴシック" w:eastAsia="ＭＳ ゴシック" w:hAnsi="ＭＳ ゴシック" w:hint="eastAsia"/>
          <w:b/>
          <w:szCs w:val="20"/>
        </w:rPr>
        <w:t>衝撃試験片の採取例</w:t>
      </w:r>
      <w:r w:rsidRPr="00BC31E0">
        <w:rPr>
          <w:rFonts w:ascii="ＭＳ ゴシック" w:eastAsia="ＭＳ ゴシック" w:hAnsi="ＭＳ ゴシック" w:hint="eastAsia"/>
          <w:b/>
          <w:szCs w:val="20"/>
          <w:vertAlign w:val="superscript"/>
        </w:rPr>
        <w:t>†</w:t>
      </w:r>
    </w:p>
    <w:p w14:paraId="391C43EC" w14:textId="77777777" w:rsidR="00CC55FC" w:rsidRPr="00BC31E0" w:rsidRDefault="00CC55FC" w:rsidP="00692530">
      <w:pPr>
        <w:rPr>
          <w:rFonts w:ascii="ＭＳ 明朝" w:hAnsi="ＭＳ 明朝"/>
          <w:szCs w:val="20"/>
        </w:rPr>
      </w:pPr>
    </w:p>
    <w:p w14:paraId="0C66862F" w14:textId="77777777" w:rsidR="006E1B51" w:rsidRPr="00BC31E0" w:rsidRDefault="006E1B51">
      <w:pPr>
        <w:widowControl/>
        <w:jc w:val="left"/>
        <w:rPr>
          <w:rFonts w:ascii="ＭＳ 明朝" w:hAnsi="ＭＳ 明朝"/>
          <w:szCs w:val="20"/>
        </w:rPr>
      </w:pPr>
      <w:r w:rsidRPr="00BC31E0">
        <w:rPr>
          <w:rFonts w:ascii="ＭＳ 明朝" w:hAnsi="ＭＳ 明朝"/>
          <w:szCs w:val="20"/>
        </w:rPr>
        <w:br w:type="page"/>
      </w:r>
    </w:p>
    <w:p w14:paraId="54367D8F" w14:textId="77777777" w:rsidR="00F62475" w:rsidRPr="00BC31E0" w:rsidRDefault="00F62475" w:rsidP="00F62475">
      <w:pPr>
        <w:pStyle w:val="af4"/>
        <w:spacing w:after="60"/>
      </w:pPr>
      <w:r w:rsidRPr="00BC31E0">
        <w:rPr>
          <w:rFonts w:hint="eastAsia"/>
        </w:rPr>
        <w:lastRenderedPageBreak/>
        <w:t>表5.2.1 最低設計金属温度</w:t>
      </w:r>
      <w:r w:rsidRPr="00BC31E0">
        <w:rPr>
          <w:rFonts w:asciiTheme="majorEastAsia" w:eastAsiaTheme="majorEastAsia" w:hAnsiTheme="majorEastAsia" w:hint="eastAsia"/>
        </w:rPr>
        <w:t>(</w:t>
      </w:r>
      <w:r w:rsidRPr="00BC31E0">
        <w:rPr>
          <w:rFonts w:asciiTheme="majorEastAsia" w:eastAsiaTheme="majorEastAsia" w:hAnsiTheme="majorEastAsia"/>
        </w:rPr>
        <w:t>MDMT</w:t>
      </w:r>
      <w:r w:rsidRPr="00BC31E0">
        <w:rPr>
          <w:rFonts w:asciiTheme="majorEastAsia" w:eastAsiaTheme="majorEastAsia" w:hAnsiTheme="majorEastAsia" w:hint="eastAsia"/>
        </w:rPr>
        <w:t>)</w:t>
      </w:r>
      <w:r w:rsidRPr="00BC31E0">
        <w:rPr>
          <w:rFonts w:hint="eastAsia"/>
        </w:rPr>
        <w:t>からの衝撃試験低減温度</w:t>
      </w:r>
      <w:r w:rsidRPr="00BC31E0">
        <w:rPr>
          <w:rFonts w:hint="eastAsia"/>
          <w:vertAlign w:val="superscript"/>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73"/>
        <w:gridCol w:w="2627"/>
      </w:tblGrid>
      <w:tr w:rsidR="00F62475" w:rsidRPr="00BC31E0" w14:paraId="12F9534E" w14:textId="77777777" w:rsidTr="002054AE">
        <w:trPr>
          <w:jc w:val="center"/>
        </w:trPr>
        <w:tc>
          <w:tcPr>
            <w:tcW w:w="3973" w:type="dxa"/>
            <w:vAlign w:val="center"/>
          </w:tcPr>
          <w:p w14:paraId="497BB18A" w14:textId="77777777" w:rsidR="00F62475" w:rsidRPr="00BC31E0" w:rsidRDefault="00F62475" w:rsidP="003B0864">
            <w:pPr>
              <w:pStyle w:val="af4"/>
              <w:snapToGrid w:val="0"/>
              <w:rPr>
                <w:rFonts w:ascii="Century" w:eastAsia="ＭＳ 明朝"/>
                <w:b w:val="0"/>
              </w:rPr>
            </w:pPr>
            <w:r w:rsidRPr="00BC31E0">
              <w:rPr>
                <w:rFonts w:ascii="Century" w:eastAsia="ＭＳ 明朝" w:hint="eastAsia"/>
                <w:b w:val="0"/>
              </w:rPr>
              <w:t>衝撃試験片の幅</w:t>
            </w:r>
          </w:p>
          <w:p w14:paraId="2956C5C3" w14:textId="77777777" w:rsidR="00F62475" w:rsidRPr="00BC31E0" w:rsidRDefault="00F62475" w:rsidP="003B0864">
            <w:pPr>
              <w:pStyle w:val="af4"/>
              <w:snapToGrid w:val="0"/>
              <w:rPr>
                <w:rFonts w:ascii="Cambria Math" w:eastAsia="ＭＳ 明朝" w:hAnsi="Cambria Math"/>
                <w:b w:val="0"/>
              </w:rPr>
            </w:pPr>
            <w:r w:rsidRPr="00BC31E0">
              <w:rPr>
                <w:rFonts w:ascii="Century" w:eastAsia="ＭＳ 明朝" w:hint="eastAsia"/>
                <w:b w:val="0"/>
              </w:rPr>
              <w:t>(</w:t>
            </w:r>
            <w:r w:rsidRPr="00BC31E0">
              <w:rPr>
                <w:rFonts w:ascii="Century" w:eastAsia="ＭＳ 明朝"/>
                <w:b w:val="0"/>
              </w:rPr>
              <w:t>mm</w:t>
            </w:r>
            <w:r w:rsidRPr="00BC31E0">
              <w:rPr>
                <w:rFonts w:ascii="Century" w:eastAsia="ＭＳ 明朝" w:hint="eastAsia"/>
                <w:b w:val="0"/>
              </w:rPr>
              <w:t>)</w:t>
            </w:r>
          </w:p>
        </w:tc>
        <w:tc>
          <w:tcPr>
            <w:tcW w:w="2627" w:type="dxa"/>
            <w:vAlign w:val="center"/>
          </w:tcPr>
          <w:p w14:paraId="00EDA063" w14:textId="77777777" w:rsidR="00F62475" w:rsidRPr="00BC31E0" w:rsidRDefault="00F62475" w:rsidP="003B0864">
            <w:pPr>
              <w:pStyle w:val="af4"/>
              <w:snapToGrid w:val="0"/>
              <w:rPr>
                <w:rFonts w:ascii="Century" w:eastAsia="ＭＳ 明朝"/>
                <w:b w:val="0"/>
              </w:rPr>
            </w:pPr>
            <w:r w:rsidRPr="00BC31E0">
              <w:rPr>
                <w:rFonts w:ascii="Century" w:eastAsia="ＭＳ 明朝"/>
                <w:b w:val="0"/>
              </w:rPr>
              <w:t>低減温度</w:t>
            </w:r>
          </w:p>
          <w:p w14:paraId="372EA193" w14:textId="77777777" w:rsidR="00F62475" w:rsidRPr="00BC31E0" w:rsidRDefault="00F62475" w:rsidP="003B0864">
            <w:pPr>
              <w:pStyle w:val="af4"/>
              <w:snapToGrid w:val="0"/>
              <w:rPr>
                <w:rFonts w:ascii="Century" w:eastAsia="ＭＳ 明朝"/>
                <w:b w:val="0"/>
              </w:rPr>
            </w:pPr>
            <w:r w:rsidRPr="00BC31E0">
              <w:rPr>
                <w:rFonts w:ascii="Century" w:eastAsia="ＭＳ 明朝"/>
                <w:b w:val="0"/>
              </w:rPr>
              <w:t>(</w:t>
            </w:r>
            <w:r w:rsidRPr="00BC31E0">
              <w:rPr>
                <w:rFonts w:ascii="ＭＳ 明朝" w:eastAsia="ＭＳ 明朝" w:hAnsi="ＭＳ 明朝" w:cs="ＭＳ 明朝" w:hint="eastAsia"/>
                <w:b w:val="0"/>
              </w:rPr>
              <w:t>℃</w:t>
            </w:r>
            <w:r w:rsidRPr="00BC31E0">
              <w:rPr>
                <w:rFonts w:ascii="Century" w:eastAsia="ＭＳ 明朝"/>
                <w:b w:val="0"/>
              </w:rPr>
              <w:t>)</w:t>
            </w:r>
          </w:p>
        </w:tc>
      </w:tr>
      <w:tr w:rsidR="00F62475" w:rsidRPr="00BC31E0" w14:paraId="22560E7C" w14:textId="77777777" w:rsidTr="002054AE">
        <w:trPr>
          <w:jc w:val="center"/>
        </w:trPr>
        <w:tc>
          <w:tcPr>
            <w:tcW w:w="3973" w:type="dxa"/>
            <w:vAlign w:val="center"/>
          </w:tcPr>
          <w:p w14:paraId="01FDA08C" w14:textId="77777777" w:rsidR="00F62475" w:rsidRPr="00BC31E0" w:rsidRDefault="00F62475" w:rsidP="003B0864">
            <w:pPr>
              <w:pStyle w:val="af4"/>
              <w:ind w:leftChars="300" w:left="630"/>
              <w:jc w:val="both"/>
              <w:rPr>
                <w:rFonts w:ascii="Century" w:eastAsia="ＭＳ 明朝"/>
                <w:b w:val="0"/>
              </w:rPr>
            </w:pPr>
            <w:r w:rsidRPr="00BC31E0">
              <w:rPr>
                <w:rFonts w:ascii="Century" w:eastAsia="ＭＳ 明朝"/>
                <w:b w:val="0"/>
              </w:rPr>
              <w:t>10.00</w:t>
            </w:r>
            <w:r w:rsidRPr="00BC31E0">
              <w:rPr>
                <w:rFonts w:ascii="Century" w:eastAsia="ＭＳ 明朝"/>
                <w:b w:val="0"/>
              </w:rPr>
              <w:t xml:space="preserve">　</w:t>
            </w:r>
            <w:r w:rsidRPr="00BC31E0">
              <w:rPr>
                <w:rFonts w:ascii="Century" w:eastAsia="ＭＳ 明朝"/>
                <w:b w:val="0"/>
              </w:rPr>
              <w:t>(</w:t>
            </w:r>
            <w:r w:rsidRPr="00BC31E0">
              <w:rPr>
                <w:rFonts w:ascii="Century" w:eastAsia="ＭＳ 明朝"/>
                <w:b w:val="0"/>
              </w:rPr>
              <w:t>フルサイズ標準棒</w:t>
            </w:r>
            <w:r w:rsidRPr="00BC31E0">
              <w:rPr>
                <w:rFonts w:ascii="Century" w:eastAsia="ＭＳ 明朝"/>
                <w:b w:val="0"/>
              </w:rPr>
              <w:t>)</w:t>
            </w:r>
          </w:p>
        </w:tc>
        <w:tc>
          <w:tcPr>
            <w:tcW w:w="2627" w:type="dxa"/>
            <w:vAlign w:val="center"/>
          </w:tcPr>
          <w:p w14:paraId="7A04B9BA" w14:textId="77777777" w:rsidR="00F62475" w:rsidRPr="00BC31E0" w:rsidRDefault="00F62475" w:rsidP="003B0864">
            <w:pPr>
              <w:pStyle w:val="af4"/>
              <w:rPr>
                <w:rFonts w:ascii="Century" w:eastAsia="ＭＳ 明朝"/>
                <w:b w:val="0"/>
              </w:rPr>
            </w:pPr>
            <w:r w:rsidRPr="00BC31E0">
              <w:rPr>
                <w:rFonts w:ascii="Century" w:eastAsia="ＭＳ 明朝"/>
                <w:b w:val="0"/>
              </w:rPr>
              <w:t>0</w:t>
            </w:r>
          </w:p>
        </w:tc>
      </w:tr>
      <w:tr w:rsidR="00F62475" w:rsidRPr="00BC31E0" w14:paraId="52AEFEDE" w14:textId="77777777" w:rsidTr="002054AE">
        <w:trPr>
          <w:jc w:val="center"/>
        </w:trPr>
        <w:tc>
          <w:tcPr>
            <w:tcW w:w="3973" w:type="dxa"/>
            <w:vAlign w:val="center"/>
          </w:tcPr>
          <w:p w14:paraId="5A766377" w14:textId="77777777" w:rsidR="00F62475" w:rsidRPr="00BC31E0" w:rsidRDefault="00F62475" w:rsidP="003B0864">
            <w:pPr>
              <w:pStyle w:val="af4"/>
              <w:ind w:leftChars="350" w:left="735"/>
              <w:jc w:val="both"/>
              <w:rPr>
                <w:rFonts w:ascii="Century" w:eastAsia="ＭＳ 明朝"/>
                <w:b w:val="0"/>
              </w:rPr>
            </w:pPr>
            <w:r w:rsidRPr="00BC31E0">
              <w:rPr>
                <w:rFonts w:ascii="Century" w:eastAsia="ＭＳ 明朝"/>
                <w:b w:val="0"/>
              </w:rPr>
              <w:t>9.00</w:t>
            </w:r>
          </w:p>
        </w:tc>
        <w:tc>
          <w:tcPr>
            <w:tcW w:w="2627" w:type="dxa"/>
            <w:vAlign w:val="center"/>
          </w:tcPr>
          <w:p w14:paraId="0AD2C3D2" w14:textId="77777777" w:rsidR="00F62475" w:rsidRPr="00BC31E0" w:rsidRDefault="00F62475" w:rsidP="003B0864">
            <w:pPr>
              <w:pStyle w:val="af4"/>
              <w:rPr>
                <w:rFonts w:ascii="Century" w:eastAsia="ＭＳ 明朝"/>
                <w:b w:val="0"/>
              </w:rPr>
            </w:pPr>
            <w:r w:rsidRPr="00BC31E0">
              <w:rPr>
                <w:rFonts w:ascii="Century" w:eastAsia="ＭＳ 明朝"/>
                <w:b w:val="0"/>
              </w:rPr>
              <w:t>0</w:t>
            </w:r>
          </w:p>
        </w:tc>
      </w:tr>
      <w:tr w:rsidR="00F62475" w:rsidRPr="00BC31E0" w14:paraId="79CD1EE2" w14:textId="77777777" w:rsidTr="002054AE">
        <w:trPr>
          <w:jc w:val="center"/>
        </w:trPr>
        <w:tc>
          <w:tcPr>
            <w:tcW w:w="3973" w:type="dxa"/>
            <w:vAlign w:val="center"/>
          </w:tcPr>
          <w:p w14:paraId="1E74719A" w14:textId="77777777" w:rsidR="00F62475" w:rsidRPr="00BC31E0" w:rsidRDefault="00F62475" w:rsidP="003B0864">
            <w:pPr>
              <w:pStyle w:val="af4"/>
              <w:ind w:leftChars="350" w:left="735"/>
              <w:jc w:val="both"/>
              <w:rPr>
                <w:rFonts w:ascii="Century" w:eastAsia="ＭＳ 明朝"/>
                <w:b w:val="0"/>
              </w:rPr>
            </w:pPr>
            <w:r w:rsidRPr="00BC31E0">
              <w:rPr>
                <w:rFonts w:ascii="Century" w:eastAsia="ＭＳ 明朝"/>
                <w:b w:val="0"/>
              </w:rPr>
              <w:t>8.00</w:t>
            </w:r>
          </w:p>
        </w:tc>
        <w:tc>
          <w:tcPr>
            <w:tcW w:w="2627" w:type="dxa"/>
            <w:vAlign w:val="center"/>
          </w:tcPr>
          <w:p w14:paraId="7436EA72" w14:textId="77777777" w:rsidR="00F62475" w:rsidRPr="00BC31E0" w:rsidRDefault="00F62475" w:rsidP="003B0864">
            <w:pPr>
              <w:pStyle w:val="af4"/>
              <w:rPr>
                <w:rFonts w:ascii="Century" w:eastAsia="ＭＳ 明朝"/>
                <w:b w:val="0"/>
              </w:rPr>
            </w:pPr>
            <w:r w:rsidRPr="00BC31E0">
              <w:rPr>
                <w:rFonts w:ascii="Century" w:eastAsia="ＭＳ 明朝"/>
                <w:b w:val="0"/>
              </w:rPr>
              <w:t>0</w:t>
            </w:r>
          </w:p>
        </w:tc>
      </w:tr>
      <w:tr w:rsidR="00F62475" w:rsidRPr="00BC31E0" w14:paraId="10C9653A" w14:textId="77777777" w:rsidTr="002054AE">
        <w:trPr>
          <w:jc w:val="center"/>
        </w:trPr>
        <w:tc>
          <w:tcPr>
            <w:tcW w:w="3973" w:type="dxa"/>
            <w:vAlign w:val="center"/>
          </w:tcPr>
          <w:p w14:paraId="4D26AD86" w14:textId="77777777" w:rsidR="00F62475" w:rsidRPr="00BC31E0" w:rsidRDefault="00F62475" w:rsidP="003B0864">
            <w:pPr>
              <w:pStyle w:val="af4"/>
              <w:ind w:leftChars="350" w:left="735"/>
              <w:jc w:val="both"/>
              <w:rPr>
                <w:rFonts w:ascii="Century" w:eastAsia="ＭＳ 明朝"/>
                <w:b w:val="0"/>
              </w:rPr>
            </w:pPr>
            <w:r w:rsidRPr="00BC31E0">
              <w:rPr>
                <w:rFonts w:ascii="Century" w:eastAsia="ＭＳ 明朝"/>
                <w:b w:val="0"/>
              </w:rPr>
              <w:t>7.50</w:t>
            </w:r>
            <w:r w:rsidRPr="00BC31E0">
              <w:rPr>
                <w:rFonts w:ascii="Century" w:eastAsia="ＭＳ 明朝"/>
                <w:b w:val="0"/>
              </w:rPr>
              <w:t xml:space="preserve">　</w:t>
            </w:r>
            <w:r w:rsidRPr="00BC31E0">
              <w:rPr>
                <w:rFonts w:ascii="Century" w:eastAsia="ＭＳ 明朝"/>
                <w:b w:val="0"/>
              </w:rPr>
              <w:t>(3</w:t>
            </w:r>
            <w:r w:rsidRPr="00BC31E0">
              <w:rPr>
                <w:rFonts w:ascii="Century" w:eastAsiaTheme="minorEastAsia"/>
                <w:b w:val="0"/>
              </w:rPr>
              <w:t>/</w:t>
            </w:r>
            <w:r w:rsidRPr="00BC31E0">
              <w:rPr>
                <w:rFonts w:ascii="Century" w:eastAsia="ＭＳ 明朝"/>
                <w:b w:val="0"/>
              </w:rPr>
              <w:t>4</w:t>
            </w:r>
            <w:r w:rsidRPr="00BC31E0">
              <w:rPr>
                <w:rFonts w:ascii="Century" w:eastAsia="ＭＳ 明朝"/>
                <w:b w:val="0"/>
              </w:rPr>
              <w:t>サイズ棒</w:t>
            </w:r>
            <w:r w:rsidRPr="00BC31E0">
              <w:rPr>
                <w:rFonts w:ascii="Century" w:eastAsia="ＭＳ 明朝"/>
                <w:b w:val="0"/>
              </w:rPr>
              <w:t>)</w:t>
            </w:r>
          </w:p>
        </w:tc>
        <w:tc>
          <w:tcPr>
            <w:tcW w:w="2627" w:type="dxa"/>
            <w:vAlign w:val="center"/>
          </w:tcPr>
          <w:p w14:paraId="5FDBDD65" w14:textId="77777777" w:rsidR="00F62475" w:rsidRPr="00BC31E0" w:rsidRDefault="00F62475" w:rsidP="003B0864">
            <w:pPr>
              <w:pStyle w:val="af4"/>
              <w:rPr>
                <w:rFonts w:ascii="Century" w:eastAsia="ＭＳ 明朝"/>
                <w:b w:val="0"/>
              </w:rPr>
            </w:pPr>
            <w:r w:rsidRPr="00BC31E0">
              <w:rPr>
                <w:rFonts w:ascii="Century" w:eastAsia="ＭＳ 明朝"/>
                <w:b w:val="0"/>
              </w:rPr>
              <w:t>3</w:t>
            </w:r>
          </w:p>
        </w:tc>
      </w:tr>
      <w:tr w:rsidR="00F62475" w:rsidRPr="00BC31E0" w14:paraId="0A9E5D08" w14:textId="77777777" w:rsidTr="002054AE">
        <w:trPr>
          <w:jc w:val="center"/>
        </w:trPr>
        <w:tc>
          <w:tcPr>
            <w:tcW w:w="3973" w:type="dxa"/>
            <w:vAlign w:val="center"/>
          </w:tcPr>
          <w:p w14:paraId="193D2D60" w14:textId="77777777" w:rsidR="00F62475" w:rsidRPr="00BC31E0" w:rsidRDefault="00F62475" w:rsidP="003B0864">
            <w:pPr>
              <w:pStyle w:val="af4"/>
              <w:ind w:leftChars="350" w:left="735"/>
              <w:jc w:val="both"/>
              <w:rPr>
                <w:rFonts w:ascii="Century" w:eastAsia="ＭＳ 明朝"/>
                <w:b w:val="0"/>
              </w:rPr>
            </w:pPr>
            <w:r w:rsidRPr="00BC31E0">
              <w:rPr>
                <w:rFonts w:ascii="Century" w:eastAsia="ＭＳ 明朝"/>
                <w:b w:val="0"/>
              </w:rPr>
              <w:t>7.00</w:t>
            </w:r>
          </w:p>
        </w:tc>
        <w:tc>
          <w:tcPr>
            <w:tcW w:w="2627" w:type="dxa"/>
            <w:vAlign w:val="center"/>
          </w:tcPr>
          <w:p w14:paraId="5B028467" w14:textId="77777777" w:rsidR="00F62475" w:rsidRPr="00BC31E0" w:rsidRDefault="00F62475" w:rsidP="003B0864">
            <w:pPr>
              <w:pStyle w:val="af4"/>
              <w:rPr>
                <w:rFonts w:ascii="Century" w:eastAsia="ＭＳ 明朝"/>
                <w:b w:val="0"/>
              </w:rPr>
            </w:pPr>
            <w:r w:rsidRPr="00BC31E0">
              <w:rPr>
                <w:rFonts w:ascii="Century" w:eastAsia="ＭＳ 明朝"/>
                <w:b w:val="0"/>
              </w:rPr>
              <w:t>4</w:t>
            </w:r>
          </w:p>
        </w:tc>
      </w:tr>
      <w:tr w:rsidR="00F62475" w:rsidRPr="00BC31E0" w14:paraId="36EAD3F0" w14:textId="77777777" w:rsidTr="002054AE">
        <w:trPr>
          <w:jc w:val="center"/>
        </w:trPr>
        <w:tc>
          <w:tcPr>
            <w:tcW w:w="3973" w:type="dxa"/>
            <w:vAlign w:val="center"/>
          </w:tcPr>
          <w:p w14:paraId="7863A7D0" w14:textId="77777777" w:rsidR="00F62475" w:rsidRPr="00BC31E0" w:rsidRDefault="00F62475" w:rsidP="003B0864">
            <w:pPr>
              <w:pStyle w:val="af4"/>
              <w:ind w:leftChars="350" w:left="735"/>
              <w:jc w:val="both"/>
              <w:rPr>
                <w:rFonts w:ascii="Century" w:eastAsia="ＭＳ 明朝"/>
                <w:b w:val="0"/>
              </w:rPr>
            </w:pPr>
            <w:r w:rsidRPr="00BC31E0">
              <w:rPr>
                <w:rFonts w:ascii="Century" w:eastAsia="ＭＳ 明朝"/>
                <w:b w:val="0"/>
              </w:rPr>
              <w:t>6.67</w:t>
            </w:r>
            <w:r w:rsidRPr="00BC31E0">
              <w:rPr>
                <w:rFonts w:ascii="Century" w:eastAsia="ＭＳ 明朝"/>
                <w:b w:val="0"/>
              </w:rPr>
              <w:t xml:space="preserve">　</w:t>
            </w:r>
            <w:r w:rsidRPr="00BC31E0">
              <w:rPr>
                <w:rFonts w:ascii="Century" w:eastAsia="ＭＳ 明朝"/>
                <w:b w:val="0"/>
              </w:rPr>
              <w:t>(2</w:t>
            </w:r>
            <w:r w:rsidRPr="00BC31E0">
              <w:rPr>
                <w:rFonts w:ascii="Century" w:eastAsiaTheme="minorEastAsia"/>
                <w:b w:val="0"/>
              </w:rPr>
              <w:t>/</w:t>
            </w:r>
            <w:r w:rsidRPr="00BC31E0">
              <w:rPr>
                <w:rFonts w:ascii="Century" w:eastAsia="ＭＳ 明朝"/>
                <w:b w:val="0"/>
              </w:rPr>
              <w:t>3</w:t>
            </w:r>
            <w:r w:rsidRPr="00BC31E0">
              <w:rPr>
                <w:rFonts w:ascii="Century" w:eastAsia="ＭＳ 明朝"/>
                <w:b w:val="0"/>
              </w:rPr>
              <w:t>サイズ棒</w:t>
            </w:r>
            <w:r w:rsidRPr="00BC31E0">
              <w:rPr>
                <w:rFonts w:ascii="Century" w:eastAsia="ＭＳ 明朝"/>
                <w:b w:val="0"/>
              </w:rPr>
              <w:t>)</w:t>
            </w:r>
          </w:p>
        </w:tc>
        <w:tc>
          <w:tcPr>
            <w:tcW w:w="2627" w:type="dxa"/>
            <w:vAlign w:val="center"/>
          </w:tcPr>
          <w:p w14:paraId="2229C156" w14:textId="77777777" w:rsidR="00F62475" w:rsidRPr="00BC31E0" w:rsidRDefault="00F62475" w:rsidP="003B0864">
            <w:pPr>
              <w:pStyle w:val="af4"/>
              <w:rPr>
                <w:rFonts w:ascii="Century" w:eastAsia="ＭＳ 明朝"/>
                <w:b w:val="0"/>
              </w:rPr>
            </w:pPr>
            <w:r w:rsidRPr="00BC31E0">
              <w:rPr>
                <w:rFonts w:ascii="Century" w:eastAsia="ＭＳ 明朝"/>
                <w:b w:val="0"/>
              </w:rPr>
              <w:t>6</w:t>
            </w:r>
          </w:p>
        </w:tc>
      </w:tr>
      <w:tr w:rsidR="00F62475" w:rsidRPr="00BC31E0" w14:paraId="10013563" w14:textId="77777777" w:rsidTr="002054AE">
        <w:trPr>
          <w:jc w:val="center"/>
        </w:trPr>
        <w:tc>
          <w:tcPr>
            <w:tcW w:w="3973" w:type="dxa"/>
            <w:vAlign w:val="center"/>
          </w:tcPr>
          <w:p w14:paraId="69D173E7" w14:textId="77777777" w:rsidR="00F62475" w:rsidRPr="00BC31E0" w:rsidRDefault="00F62475" w:rsidP="003B0864">
            <w:pPr>
              <w:pStyle w:val="af4"/>
              <w:ind w:leftChars="350" w:left="735"/>
              <w:jc w:val="both"/>
              <w:rPr>
                <w:rFonts w:ascii="Century" w:eastAsia="ＭＳ 明朝"/>
                <w:b w:val="0"/>
              </w:rPr>
            </w:pPr>
            <w:r w:rsidRPr="00BC31E0">
              <w:rPr>
                <w:rFonts w:ascii="Century" w:eastAsia="ＭＳ 明朝"/>
                <w:b w:val="0"/>
              </w:rPr>
              <w:t>6.00</w:t>
            </w:r>
          </w:p>
        </w:tc>
        <w:tc>
          <w:tcPr>
            <w:tcW w:w="2627" w:type="dxa"/>
            <w:vAlign w:val="center"/>
          </w:tcPr>
          <w:p w14:paraId="23585D54" w14:textId="77777777" w:rsidR="00F62475" w:rsidRPr="00BC31E0" w:rsidRDefault="00F62475" w:rsidP="003B0864">
            <w:pPr>
              <w:pStyle w:val="af4"/>
              <w:rPr>
                <w:rFonts w:ascii="Century" w:eastAsia="ＭＳ 明朝"/>
                <w:b w:val="0"/>
              </w:rPr>
            </w:pPr>
            <w:r w:rsidRPr="00BC31E0">
              <w:rPr>
                <w:rFonts w:ascii="Century" w:eastAsia="ＭＳ 明朝"/>
                <w:b w:val="0"/>
              </w:rPr>
              <w:t>8</w:t>
            </w:r>
          </w:p>
        </w:tc>
      </w:tr>
      <w:tr w:rsidR="00F62475" w:rsidRPr="00BC31E0" w14:paraId="7636D7A1" w14:textId="77777777" w:rsidTr="002054AE">
        <w:trPr>
          <w:jc w:val="center"/>
        </w:trPr>
        <w:tc>
          <w:tcPr>
            <w:tcW w:w="3973" w:type="dxa"/>
            <w:vAlign w:val="center"/>
          </w:tcPr>
          <w:p w14:paraId="1969D096" w14:textId="77777777" w:rsidR="00F62475" w:rsidRPr="00BC31E0" w:rsidRDefault="00F62475" w:rsidP="003B0864">
            <w:pPr>
              <w:pStyle w:val="af4"/>
              <w:ind w:leftChars="350" w:left="735"/>
              <w:jc w:val="both"/>
              <w:rPr>
                <w:rFonts w:ascii="Century" w:eastAsia="ＭＳ 明朝"/>
                <w:b w:val="0"/>
              </w:rPr>
            </w:pPr>
            <w:r w:rsidRPr="00BC31E0">
              <w:rPr>
                <w:rFonts w:ascii="Century" w:eastAsia="ＭＳ 明朝"/>
                <w:b w:val="0"/>
              </w:rPr>
              <w:t>5.00</w:t>
            </w:r>
            <w:r w:rsidRPr="00BC31E0">
              <w:rPr>
                <w:rFonts w:ascii="Century" w:eastAsia="ＭＳ 明朝"/>
                <w:b w:val="0"/>
              </w:rPr>
              <w:t xml:space="preserve">　</w:t>
            </w:r>
            <w:r w:rsidRPr="00BC31E0">
              <w:rPr>
                <w:rFonts w:ascii="Century" w:eastAsia="ＭＳ 明朝"/>
                <w:b w:val="0"/>
              </w:rPr>
              <w:t>(1</w:t>
            </w:r>
            <w:r w:rsidRPr="00BC31E0">
              <w:rPr>
                <w:rFonts w:ascii="Century" w:eastAsiaTheme="minorEastAsia"/>
                <w:b w:val="0"/>
              </w:rPr>
              <w:t>/</w:t>
            </w:r>
            <w:r w:rsidRPr="00BC31E0">
              <w:rPr>
                <w:rFonts w:ascii="Century" w:eastAsia="ＭＳ 明朝"/>
                <w:b w:val="0"/>
              </w:rPr>
              <w:t>2</w:t>
            </w:r>
            <w:r w:rsidRPr="00BC31E0">
              <w:rPr>
                <w:rFonts w:ascii="Century" w:eastAsia="ＭＳ 明朝"/>
                <w:b w:val="0"/>
              </w:rPr>
              <w:t>サイズ棒</w:t>
            </w:r>
            <w:r w:rsidRPr="00BC31E0">
              <w:rPr>
                <w:rFonts w:ascii="Century" w:eastAsia="ＭＳ 明朝"/>
                <w:b w:val="0"/>
              </w:rPr>
              <w:t>)</w:t>
            </w:r>
          </w:p>
        </w:tc>
        <w:tc>
          <w:tcPr>
            <w:tcW w:w="2627" w:type="dxa"/>
            <w:vAlign w:val="center"/>
          </w:tcPr>
          <w:p w14:paraId="0B73D81F" w14:textId="77777777" w:rsidR="00F62475" w:rsidRPr="00BC31E0" w:rsidRDefault="00F62475" w:rsidP="003B0864">
            <w:pPr>
              <w:pStyle w:val="af4"/>
              <w:rPr>
                <w:rFonts w:ascii="Century" w:eastAsia="ＭＳ 明朝"/>
                <w:b w:val="0"/>
              </w:rPr>
            </w:pPr>
            <w:r w:rsidRPr="00BC31E0">
              <w:rPr>
                <w:rFonts w:ascii="Century" w:eastAsia="ＭＳ 明朝"/>
                <w:b w:val="0"/>
              </w:rPr>
              <w:t>11</w:t>
            </w:r>
          </w:p>
        </w:tc>
      </w:tr>
      <w:tr w:rsidR="00F62475" w:rsidRPr="00BC31E0" w14:paraId="0F8C89B1" w14:textId="77777777" w:rsidTr="002054AE">
        <w:trPr>
          <w:jc w:val="center"/>
        </w:trPr>
        <w:tc>
          <w:tcPr>
            <w:tcW w:w="3973" w:type="dxa"/>
            <w:vAlign w:val="center"/>
          </w:tcPr>
          <w:p w14:paraId="30FB286F" w14:textId="77777777" w:rsidR="00F62475" w:rsidRPr="00BC31E0" w:rsidRDefault="00F62475" w:rsidP="003B0864">
            <w:pPr>
              <w:pStyle w:val="af4"/>
              <w:ind w:leftChars="350" w:left="735"/>
              <w:jc w:val="both"/>
              <w:rPr>
                <w:rFonts w:ascii="Century" w:eastAsia="ＭＳ 明朝"/>
                <w:b w:val="0"/>
              </w:rPr>
            </w:pPr>
            <w:r w:rsidRPr="00BC31E0">
              <w:rPr>
                <w:rFonts w:ascii="Century" w:eastAsia="ＭＳ 明朝"/>
                <w:b w:val="0"/>
              </w:rPr>
              <w:t>4.00</w:t>
            </w:r>
          </w:p>
        </w:tc>
        <w:tc>
          <w:tcPr>
            <w:tcW w:w="2627" w:type="dxa"/>
            <w:vAlign w:val="center"/>
          </w:tcPr>
          <w:p w14:paraId="2E4B085C" w14:textId="77777777" w:rsidR="00F62475" w:rsidRPr="00BC31E0" w:rsidRDefault="00F62475" w:rsidP="003B0864">
            <w:pPr>
              <w:pStyle w:val="af4"/>
              <w:rPr>
                <w:rFonts w:ascii="Century" w:eastAsia="ＭＳ 明朝"/>
                <w:b w:val="0"/>
              </w:rPr>
            </w:pPr>
            <w:r w:rsidRPr="00BC31E0">
              <w:rPr>
                <w:rFonts w:ascii="Century" w:eastAsia="ＭＳ 明朝"/>
                <w:b w:val="0"/>
              </w:rPr>
              <w:t>17</w:t>
            </w:r>
          </w:p>
        </w:tc>
      </w:tr>
      <w:tr w:rsidR="00F62475" w:rsidRPr="00BC31E0" w14:paraId="17AEB7A7" w14:textId="77777777" w:rsidTr="002054AE">
        <w:trPr>
          <w:jc w:val="center"/>
        </w:trPr>
        <w:tc>
          <w:tcPr>
            <w:tcW w:w="3973" w:type="dxa"/>
            <w:vAlign w:val="center"/>
          </w:tcPr>
          <w:p w14:paraId="1D8AFDBB" w14:textId="77777777" w:rsidR="00F62475" w:rsidRPr="00BC31E0" w:rsidRDefault="00F62475" w:rsidP="003B0864">
            <w:pPr>
              <w:pStyle w:val="af4"/>
              <w:ind w:leftChars="350" w:left="735"/>
              <w:jc w:val="both"/>
              <w:rPr>
                <w:rFonts w:ascii="Century" w:eastAsia="ＭＳ 明朝"/>
                <w:b w:val="0"/>
              </w:rPr>
            </w:pPr>
            <w:r w:rsidRPr="00BC31E0">
              <w:rPr>
                <w:rFonts w:ascii="Century" w:eastAsia="ＭＳ 明朝"/>
                <w:b w:val="0"/>
              </w:rPr>
              <w:t>3.33</w:t>
            </w:r>
            <w:r w:rsidRPr="00BC31E0">
              <w:rPr>
                <w:rFonts w:ascii="Century" w:eastAsia="ＭＳ 明朝"/>
                <w:b w:val="0"/>
              </w:rPr>
              <w:t xml:space="preserve">　</w:t>
            </w:r>
            <w:r w:rsidRPr="00BC31E0">
              <w:rPr>
                <w:rFonts w:ascii="Century" w:eastAsia="ＭＳ 明朝"/>
                <w:b w:val="0"/>
              </w:rPr>
              <w:t>(1</w:t>
            </w:r>
            <w:r w:rsidRPr="00BC31E0">
              <w:rPr>
                <w:rFonts w:ascii="Century" w:eastAsiaTheme="minorEastAsia"/>
                <w:b w:val="0"/>
              </w:rPr>
              <w:t>/</w:t>
            </w:r>
            <w:r w:rsidRPr="00BC31E0">
              <w:rPr>
                <w:rFonts w:ascii="Century" w:eastAsia="ＭＳ 明朝"/>
                <w:b w:val="0"/>
              </w:rPr>
              <w:t>3</w:t>
            </w:r>
            <w:r w:rsidRPr="00BC31E0">
              <w:rPr>
                <w:rFonts w:ascii="Century" w:eastAsia="ＭＳ 明朝"/>
                <w:b w:val="0"/>
              </w:rPr>
              <w:t>サイズ棒</w:t>
            </w:r>
            <w:r w:rsidRPr="00BC31E0">
              <w:rPr>
                <w:rFonts w:ascii="Century" w:eastAsia="ＭＳ 明朝"/>
                <w:b w:val="0"/>
              </w:rPr>
              <w:t>)</w:t>
            </w:r>
          </w:p>
        </w:tc>
        <w:tc>
          <w:tcPr>
            <w:tcW w:w="2627" w:type="dxa"/>
            <w:vAlign w:val="center"/>
          </w:tcPr>
          <w:p w14:paraId="7834ABC6" w14:textId="77777777" w:rsidR="00F62475" w:rsidRPr="00BC31E0" w:rsidRDefault="00F62475" w:rsidP="003B0864">
            <w:pPr>
              <w:pStyle w:val="af4"/>
              <w:rPr>
                <w:rFonts w:ascii="Century" w:eastAsia="ＭＳ 明朝"/>
                <w:b w:val="0"/>
              </w:rPr>
            </w:pPr>
            <w:r w:rsidRPr="00BC31E0">
              <w:rPr>
                <w:rFonts w:ascii="Century" w:eastAsia="ＭＳ 明朝"/>
                <w:b w:val="0"/>
              </w:rPr>
              <w:t>19</w:t>
            </w:r>
          </w:p>
        </w:tc>
      </w:tr>
      <w:tr w:rsidR="00F62475" w:rsidRPr="00BC31E0" w14:paraId="7514B86F" w14:textId="77777777" w:rsidTr="002054AE">
        <w:trPr>
          <w:jc w:val="center"/>
        </w:trPr>
        <w:tc>
          <w:tcPr>
            <w:tcW w:w="3973" w:type="dxa"/>
            <w:vAlign w:val="center"/>
          </w:tcPr>
          <w:p w14:paraId="24C84ABA" w14:textId="77777777" w:rsidR="00F62475" w:rsidRPr="00BC31E0" w:rsidRDefault="00F62475" w:rsidP="003B0864">
            <w:pPr>
              <w:pStyle w:val="af4"/>
              <w:ind w:leftChars="350" w:left="735"/>
              <w:jc w:val="both"/>
              <w:rPr>
                <w:rFonts w:ascii="Century" w:eastAsia="ＭＳ 明朝"/>
                <w:b w:val="0"/>
              </w:rPr>
            </w:pPr>
            <w:r w:rsidRPr="00BC31E0">
              <w:rPr>
                <w:rFonts w:ascii="Century" w:eastAsia="ＭＳ 明朝"/>
                <w:b w:val="0"/>
              </w:rPr>
              <w:t>3.00</w:t>
            </w:r>
          </w:p>
        </w:tc>
        <w:tc>
          <w:tcPr>
            <w:tcW w:w="2627" w:type="dxa"/>
            <w:vAlign w:val="center"/>
          </w:tcPr>
          <w:p w14:paraId="32E778DE" w14:textId="77777777" w:rsidR="00F62475" w:rsidRPr="00BC31E0" w:rsidRDefault="00F62475" w:rsidP="003B0864">
            <w:pPr>
              <w:pStyle w:val="af4"/>
              <w:rPr>
                <w:rFonts w:ascii="Century" w:eastAsia="ＭＳ 明朝"/>
                <w:b w:val="0"/>
              </w:rPr>
            </w:pPr>
            <w:r w:rsidRPr="00BC31E0">
              <w:rPr>
                <w:rFonts w:ascii="Century" w:eastAsia="ＭＳ 明朝"/>
                <w:b w:val="0"/>
              </w:rPr>
              <w:t>22</w:t>
            </w:r>
          </w:p>
        </w:tc>
      </w:tr>
      <w:tr w:rsidR="00F62475" w:rsidRPr="00BC31E0" w14:paraId="68ED9950" w14:textId="77777777" w:rsidTr="002054AE">
        <w:trPr>
          <w:jc w:val="center"/>
        </w:trPr>
        <w:tc>
          <w:tcPr>
            <w:tcW w:w="3973" w:type="dxa"/>
            <w:vAlign w:val="center"/>
          </w:tcPr>
          <w:p w14:paraId="36F467B8" w14:textId="77777777" w:rsidR="00F62475" w:rsidRPr="00BC31E0" w:rsidRDefault="00F62475" w:rsidP="003B0864">
            <w:pPr>
              <w:pStyle w:val="af4"/>
              <w:ind w:leftChars="350" w:left="735"/>
              <w:jc w:val="both"/>
              <w:rPr>
                <w:rFonts w:ascii="Century" w:eastAsia="ＭＳ 明朝"/>
                <w:b w:val="0"/>
              </w:rPr>
            </w:pPr>
            <w:r w:rsidRPr="00BC31E0">
              <w:rPr>
                <w:rFonts w:ascii="Century" w:eastAsia="ＭＳ 明朝"/>
                <w:b w:val="0"/>
              </w:rPr>
              <w:t>2.50</w:t>
            </w:r>
            <w:r w:rsidRPr="00BC31E0">
              <w:rPr>
                <w:rFonts w:ascii="Century" w:eastAsia="ＭＳ 明朝"/>
                <w:b w:val="0"/>
              </w:rPr>
              <w:t xml:space="preserve">　</w:t>
            </w:r>
            <w:r w:rsidRPr="00BC31E0">
              <w:rPr>
                <w:rFonts w:ascii="Century" w:eastAsia="ＭＳ 明朝"/>
                <w:b w:val="0"/>
              </w:rPr>
              <w:t>(1</w:t>
            </w:r>
            <w:r w:rsidRPr="00BC31E0">
              <w:rPr>
                <w:rFonts w:ascii="Century" w:eastAsiaTheme="minorEastAsia"/>
                <w:b w:val="0"/>
              </w:rPr>
              <w:t>/</w:t>
            </w:r>
            <w:r w:rsidRPr="00BC31E0">
              <w:rPr>
                <w:rFonts w:ascii="Century" w:eastAsia="ＭＳ 明朝"/>
                <w:b w:val="0"/>
              </w:rPr>
              <w:t>4</w:t>
            </w:r>
            <w:r w:rsidRPr="00BC31E0">
              <w:rPr>
                <w:rFonts w:ascii="Century" w:eastAsia="ＭＳ 明朝"/>
                <w:b w:val="0"/>
              </w:rPr>
              <w:t>サイズ棒</w:t>
            </w:r>
            <w:r w:rsidRPr="00BC31E0">
              <w:rPr>
                <w:rFonts w:ascii="Century" w:eastAsia="ＭＳ 明朝"/>
                <w:b w:val="0"/>
              </w:rPr>
              <w:t>)</w:t>
            </w:r>
          </w:p>
        </w:tc>
        <w:tc>
          <w:tcPr>
            <w:tcW w:w="2627" w:type="dxa"/>
            <w:vAlign w:val="center"/>
          </w:tcPr>
          <w:p w14:paraId="593BDF2D" w14:textId="77777777" w:rsidR="00F62475" w:rsidRPr="00BC31E0" w:rsidRDefault="00F62475" w:rsidP="003B0864">
            <w:pPr>
              <w:pStyle w:val="af4"/>
              <w:rPr>
                <w:rFonts w:ascii="Century" w:eastAsia="ＭＳ 明朝"/>
                <w:b w:val="0"/>
              </w:rPr>
            </w:pPr>
            <w:r w:rsidRPr="00BC31E0">
              <w:rPr>
                <w:rFonts w:ascii="Century" w:eastAsia="ＭＳ 明朝"/>
                <w:b w:val="0"/>
              </w:rPr>
              <w:t>28</w:t>
            </w:r>
          </w:p>
        </w:tc>
      </w:tr>
    </w:tbl>
    <w:p w14:paraId="7E1F7557" w14:textId="77777777" w:rsidR="00F62475" w:rsidRPr="00BC31E0" w:rsidRDefault="00F62475" w:rsidP="002054AE">
      <w:pPr>
        <w:spacing w:before="60"/>
        <w:ind w:leftChars="600" w:left="1260"/>
      </w:pPr>
      <w:r w:rsidRPr="00BC31E0">
        <w:rPr>
          <w:rFonts w:eastAsia="ＭＳ ゴシック" w:hint="eastAsia"/>
          <w:b/>
        </w:rPr>
        <w:t>注記</w:t>
      </w:r>
      <w:r w:rsidRPr="00BC31E0">
        <w:rPr>
          <w:rFonts w:hint="eastAsia"/>
        </w:rPr>
        <w:t xml:space="preserve">　表示の値の中間値は比例計算によって求める。</w:t>
      </w:r>
    </w:p>
    <w:p w14:paraId="17E57E4C" w14:textId="77777777" w:rsidR="00F62475" w:rsidRPr="00BC31E0" w:rsidRDefault="00F62475" w:rsidP="00F62475">
      <w:pPr>
        <w:pStyle w:val="af4"/>
        <w:spacing w:after="60"/>
        <w:jc w:val="both"/>
      </w:pPr>
    </w:p>
    <w:p w14:paraId="5A2AEE78" w14:textId="77777777" w:rsidR="00CC55FC" w:rsidRPr="00BC31E0" w:rsidRDefault="00CC55FC" w:rsidP="00FE175B">
      <w:pPr>
        <w:pStyle w:val="af4"/>
        <w:spacing w:after="60"/>
      </w:pPr>
      <w:r w:rsidRPr="00BC31E0">
        <w:rPr>
          <w:rFonts w:hint="eastAsia"/>
        </w:rPr>
        <w:t>表5.2.2 耐圧部材に対する必要最小</w:t>
      </w:r>
      <w:r w:rsidRPr="00BC31E0">
        <w:rPr>
          <w:rFonts w:asciiTheme="majorEastAsia" w:eastAsiaTheme="majorEastAsia" w:hAnsiTheme="majorEastAsia"/>
        </w:rPr>
        <w:t>CVN</w:t>
      </w:r>
      <w:r w:rsidRPr="00BC31E0">
        <w:rPr>
          <w:rFonts w:hint="eastAsia"/>
        </w:rPr>
        <w:t>衝撃値</w:t>
      </w:r>
      <w:r w:rsidRPr="00BC31E0">
        <w:rPr>
          <w:rFonts w:hint="eastAsia"/>
          <w:vertAlign w:val="superscript"/>
        </w:rPr>
        <w:t>†</w:t>
      </w:r>
    </w:p>
    <w:tbl>
      <w:tblPr>
        <w:tblW w:w="0" w:type="auto"/>
        <w:tblInd w:w="99" w:type="dxa"/>
        <w:tblBorders>
          <w:top w:val="single" w:sz="4" w:space="0" w:color="auto"/>
          <w:left w:val="single" w:sz="4" w:space="0" w:color="auto"/>
          <w:bottom w:val="single" w:sz="4" w:space="0" w:color="auto"/>
          <w:right w:val="single" w:sz="4" w:space="0" w:color="auto"/>
          <w:insideV w:val="single" w:sz="4" w:space="0" w:color="auto"/>
        </w:tblBorders>
        <w:tblCellMar>
          <w:left w:w="99" w:type="dxa"/>
          <w:right w:w="99" w:type="dxa"/>
        </w:tblCellMar>
        <w:tblLook w:val="0000" w:firstRow="0" w:lastRow="0" w:firstColumn="0" w:lastColumn="0" w:noHBand="0" w:noVBand="0"/>
      </w:tblPr>
      <w:tblGrid>
        <w:gridCol w:w="1701"/>
        <w:gridCol w:w="2550"/>
        <w:gridCol w:w="2410"/>
        <w:gridCol w:w="2410"/>
      </w:tblGrid>
      <w:tr w:rsidR="00CC55FC" w:rsidRPr="00BC31E0" w14:paraId="54076C12" w14:textId="77777777" w:rsidTr="00CC55FC">
        <w:trPr>
          <w:trHeight w:val="504"/>
        </w:trPr>
        <w:tc>
          <w:tcPr>
            <w:tcW w:w="1701" w:type="dxa"/>
            <w:vMerge w:val="restart"/>
            <w:vAlign w:val="center"/>
          </w:tcPr>
          <w:p w14:paraId="3C0B48A9" w14:textId="77777777" w:rsidR="00CC55FC" w:rsidRPr="00BC31E0" w:rsidRDefault="00CC55FC" w:rsidP="00CC55FC">
            <w:pPr>
              <w:autoSpaceDE w:val="0"/>
              <w:autoSpaceDN w:val="0"/>
              <w:jc w:val="center"/>
            </w:pPr>
            <w:r w:rsidRPr="00BC31E0">
              <w:rPr>
                <w:rFonts w:hint="eastAsia"/>
              </w:rPr>
              <w:t>試験片方向</w:t>
            </w:r>
          </w:p>
        </w:tc>
        <w:tc>
          <w:tcPr>
            <w:tcW w:w="7370" w:type="dxa"/>
            <w:gridSpan w:val="3"/>
            <w:vAlign w:val="center"/>
          </w:tcPr>
          <w:p w14:paraId="17EF57C9" w14:textId="77777777" w:rsidR="00CC55FC" w:rsidRPr="00BC31E0" w:rsidRDefault="009F1058" w:rsidP="00CC55FC">
            <w:pPr>
              <w:jc w:val="center"/>
            </w:pPr>
            <w:r w:rsidRPr="00BC31E0">
              <w:rPr>
                <w:rFonts w:hint="eastAsia"/>
              </w:rPr>
              <w:t>規定</w:t>
            </w:r>
            <w:r w:rsidR="00CC55FC" w:rsidRPr="00BC31E0">
              <w:rPr>
                <w:rFonts w:hint="eastAsia"/>
              </w:rPr>
              <w:t>最小降伏点又は</w:t>
            </w:r>
            <m:oMath>
              <m:sSub>
                <m:sSubPr>
                  <m:ctrlPr>
                    <w:rPr>
                      <w:rFonts w:ascii="Cambria Math" w:hAnsi="Cambria Math"/>
                      <w:i/>
                    </w:rPr>
                  </m:ctrlPr>
                </m:sSubPr>
                <m:e>
                  <m:r>
                    <w:rPr>
                      <w:rFonts w:ascii="Cambria Math" w:hAnsi="Cambria Math"/>
                    </w:rPr>
                    <m:t xml:space="preserve"> </m:t>
                  </m:r>
                  <m:r>
                    <m:rPr>
                      <m:sty m:val="p"/>
                    </m:rPr>
                    <w:rPr>
                      <w:rFonts w:ascii="Cambria Math" w:hAnsi="Cambria Math"/>
                    </w:rPr>
                    <m:t>0.2%</m:t>
                  </m:r>
                  <m:r>
                    <m:rPr>
                      <m:sty m:val="p"/>
                    </m:rPr>
                    <w:rPr>
                      <w:rFonts w:ascii="Cambria Math" w:hAnsi="Cambria Math" w:hint="eastAsia"/>
                    </w:rPr>
                    <m:t>耐力</m:t>
                  </m:r>
                  <m:r>
                    <m:rPr>
                      <m:sty m:val="p"/>
                    </m:rPr>
                    <w:rPr>
                      <w:rFonts w:ascii="Cambria Math" w:hAnsi="Cambria Math"/>
                    </w:rPr>
                    <m:t xml:space="preserve"> </m:t>
                  </m:r>
                  <m:r>
                    <w:rPr>
                      <w:rFonts w:ascii="Cambria Math" w:hAnsi="Cambria Math"/>
                    </w:rPr>
                    <m:t>S</m:t>
                  </m:r>
                </m:e>
                <m:sub>
                  <m:r>
                    <w:rPr>
                      <w:rFonts w:ascii="Cambria Math" w:hAnsi="Cambria Math"/>
                    </w:rPr>
                    <m:t>y</m:t>
                  </m:r>
                </m:sub>
              </m:sSub>
              <m:r>
                <w:rPr>
                  <w:rFonts w:ascii="Cambria Math" w:hAnsi="Cambria Math"/>
                </w:rPr>
                <m:t xml:space="preserve"> </m:t>
              </m:r>
            </m:oMath>
            <w:r w:rsidR="00CC55FC" w:rsidRPr="00BC31E0">
              <w:rPr>
                <w:rFonts w:hint="eastAsia"/>
              </w:rPr>
              <w:t>に対する最小</w:t>
            </w:r>
            <w:r w:rsidR="00CC55FC" w:rsidRPr="00BC31E0">
              <w:rPr>
                <w:rFonts w:hint="eastAsia"/>
              </w:rPr>
              <w:t>CVN</w:t>
            </w:r>
            <w:r w:rsidR="00CC55FC" w:rsidRPr="00BC31E0">
              <w:rPr>
                <w:rFonts w:hint="eastAsia"/>
              </w:rPr>
              <w:t>衝撃値</w:t>
            </w:r>
            <w:r w:rsidR="00CC55FC" w:rsidRPr="00BC31E0">
              <w:rPr>
                <w:rFonts w:hint="eastAsia"/>
              </w:rPr>
              <w:t xml:space="preserve"> (</w:t>
            </w:r>
            <m:oMath>
              <m:r>
                <m:rPr>
                  <m:sty m:val="p"/>
                </m:rPr>
                <w:rPr>
                  <w:rFonts w:ascii="Cambria Math" w:hAnsi="Cambria Math"/>
                </w:rPr>
                <m:t>J</m:t>
              </m:r>
            </m:oMath>
            <w:r w:rsidR="00CC55FC" w:rsidRPr="00BC31E0">
              <w:rPr>
                <w:rFonts w:hint="eastAsia"/>
              </w:rPr>
              <w:t>)</w:t>
            </w:r>
          </w:p>
        </w:tc>
      </w:tr>
      <w:tr w:rsidR="00CC55FC" w:rsidRPr="00BC31E0" w14:paraId="6860A05B" w14:textId="77777777" w:rsidTr="00CC55FC">
        <w:trPr>
          <w:trHeight w:val="401"/>
        </w:trPr>
        <w:tc>
          <w:tcPr>
            <w:tcW w:w="1701" w:type="dxa"/>
            <w:vMerge/>
            <w:tcBorders>
              <w:bottom w:val="single" w:sz="4" w:space="0" w:color="auto"/>
            </w:tcBorders>
          </w:tcPr>
          <w:p w14:paraId="3BC9D544" w14:textId="77777777" w:rsidR="00CC55FC" w:rsidRPr="00BC31E0" w:rsidRDefault="00CC55FC" w:rsidP="00CC55FC">
            <w:pPr>
              <w:autoSpaceDE w:val="0"/>
              <w:autoSpaceDN w:val="0"/>
            </w:pPr>
          </w:p>
        </w:tc>
        <w:tc>
          <w:tcPr>
            <w:tcW w:w="2550" w:type="dxa"/>
            <w:tcBorders>
              <w:top w:val="single" w:sz="4" w:space="0" w:color="auto"/>
              <w:bottom w:val="single" w:sz="4" w:space="0" w:color="auto"/>
            </w:tcBorders>
          </w:tcPr>
          <w:p w14:paraId="49076CAA" w14:textId="77777777" w:rsidR="00CC55FC" w:rsidRPr="00BC31E0" w:rsidRDefault="00CC55FC" w:rsidP="002054AE">
            <w:pPr>
              <w:jc w:val="center"/>
            </w:pPr>
          </w:p>
        </w:tc>
        <w:tc>
          <w:tcPr>
            <w:tcW w:w="2410" w:type="dxa"/>
            <w:tcBorders>
              <w:top w:val="single" w:sz="4" w:space="0" w:color="auto"/>
              <w:bottom w:val="single" w:sz="4" w:space="0" w:color="auto"/>
            </w:tcBorders>
            <w:vAlign w:val="center"/>
          </w:tcPr>
          <w:p w14:paraId="3CE0A33B" w14:textId="77777777" w:rsidR="00CC55FC" w:rsidRPr="00BC31E0" w:rsidRDefault="00A51873" w:rsidP="00CC55FC">
            <m:oMathPara>
              <m:oMath>
                <m:sSub>
                  <m:sSubPr>
                    <m:ctrlPr>
                      <w:rPr>
                        <w:rFonts w:ascii="Cambria Math" w:hAnsi="Cambria Math"/>
                        <w:i/>
                      </w:rPr>
                    </m:ctrlPr>
                  </m:sSubPr>
                  <m:e>
                    <m:r>
                      <w:rPr>
                        <w:rFonts w:ascii="Cambria Math" w:hAnsi="Cambria Math" w:hint="eastAsia"/>
                      </w:rPr>
                      <m:t>S</m:t>
                    </m:r>
                  </m:e>
                  <m:sub>
                    <m:r>
                      <w:rPr>
                        <w:rFonts w:ascii="Cambria Math" w:hAnsi="Cambria Math" w:hint="eastAsia"/>
                      </w:rPr>
                      <m:t>y</m:t>
                    </m:r>
                  </m:sub>
                </m:sSub>
                <m:r>
                  <m:rPr>
                    <m:sty m:val="p"/>
                  </m:rPr>
                  <w:rPr>
                    <w:rFonts w:ascii="Cambria Math" w:hAnsi="Cambria Math"/>
                  </w:rPr>
                  <m:t>≦</m:t>
                </m:r>
                <m:r>
                  <w:rPr>
                    <w:rFonts w:ascii="Cambria Math" w:hAnsi="Cambria Math"/>
                  </w:rPr>
                  <m:t>930</m:t>
                </m:r>
                <m:r>
                  <m:rPr>
                    <m:sty m:val="p"/>
                  </m:rPr>
                  <w:rPr>
                    <w:rFonts w:ascii="Cambria Math" w:hAnsi="Cambria Math"/>
                  </w:rPr>
                  <m:t xml:space="preserve"> MPa</m:t>
                </m:r>
              </m:oMath>
            </m:oMathPara>
          </w:p>
        </w:tc>
        <w:tc>
          <w:tcPr>
            <w:tcW w:w="2410" w:type="dxa"/>
            <w:tcBorders>
              <w:top w:val="single" w:sz="4" w:space="0" w:color="auto"/>
              <w:bottom w:val="single" w:sz="4" w:space="0" w:color="auto"/>
            </w:tcBorders>
            <w:vAlign w:val="center"/>
          </w:tcPr>
          <w:p w14:paraId="10E2D060" w14:textId="77777777" w:rsidR="00CC55FC" w:rsidRPr="00BC31E0" w:rsidRDefault="00A51873" w:rsidP="00CC55FC">
            <m:oMathPara>
              <m:oMath>
                <m:sSub>
                  <m:sSubPr>
                    <m:ctrlPr>
                      <w:rPr>
                        <w:rFonts w:ascii="Cambria Math" w:hAnsi="Cambria Math"/>
                        <w:i/>
                      </w:rPr>
                    </m:ctrlPr>
                  </m:sSubPr>
                  <m:e>
                    <m:r>
                      <w:rPr>
                        <w:rFonts w:ascii="Cambria Math" w:hAnsi="Cambria Math" w:hint="eastAsia"/>
                      </w:rPr>
                      <m:t>S</m:t>
                    </m:r>
                  </m:e>
                  <m:sub>
                    <m:r>
                      <w:rPr>
                        <w:rFonts w:ascii="Cambria Math" w:hAnsi="Cambria Math" w:hint="eastAsia"/>
                      </w:rPr>
                      <m:t>y</m:t>
                    </m:r>
                  </m:sub>
                </m:sSub>
                <m:r>
                  <w:rPr>
                    <w:rFonts w:ascii="Cambria Math" w:hAnsi="Cambria Math"/>
                  </w:rPr>
                  <m:t xml:space="preserve">&gt;930 </m:t>
                </m:r>
                <m:r>
                  <m:rPr>
                    <m:sty m:val="p"/>
                  </m:rPr>
                  <w:rPr>
                    <w:rFonts w:ascii="Cambria Math" w:hAnsi="Cambria Math" w:hint="eastAsia"/>
                  </w:rPr>
                  <m:t>MPa</m:t>
                </m:r>
              </m:oMath>
            </m:oMathPara>
          </w:p>
        </w:tc>
      </w:tr>
      <w:tr w:rsidR="00CC55FC" w:rsidRPr="00BC31E0" w14:paraId="12B25AAE" w14:textId="77777777" w:rsidTr="00CC55FC">
        <w:trPr>
          <w:trHeight w:val="318"/>
        </w:trPr>
        <w:tc>
          <w:tcPr>
            <w:tcW w:w="1701" w:type="dxa"/>
            <w:vMerge w:val="restart"/>
            <w:tcBorders>
              <w:top w:val="single" w:sz="4" w:space="0" w:color="auto"/>
            </w:tcBorders>
            <w:vAlign w:val="center"/>
          </w:tcPr>
          <w:p w14:paraId="5DF4A6B6" w14:textId="77777777" w:rsidR="00CC55FC" w:rsidRPr="00BC31E0" w:rsidRDefault="00CC55FC" w:rsidP="00CC55FC">
            <w:pPr>
              <w:autoSpaceDE w:val="0"/>
              <w:autoSpaceDN w:val="0"/>
            </w:pPr>
            <w:r w:rsidRPr="00BC31E0">
              <w:rPr>
                <w:rFonts w:hint="eastAsia"/>
              </w:rPr>
              <w:t>主圧延方向に</w:t>
            </w:r>
          </w:p>
          <w:p w14:paraId="0DAC844A" w14:textId="77777777" w:rsidR="00CC55FC" w:rsidRPr="00BC31E0" w:rsidRDefault="00CC55FC" w:rsidP="00CC55FC">
            <w:pPr>
              <w:autoSpaceDE w:val="0"/>
              <w:autoSpaceDN w:val="0"/>
              <w:snapToGrid w:val="0"/>
            </w:pPr>
            <w:r w:rsidRPr="00BC31E0">
              <w:rPr>
                <w:rFonts w:hint="eastAsia"/>
              </w:rPr>
              <w:t>直角な方向</w:t>
            </w:r>
          </w:p>
        </w:tc>
        <w:tc>
          <w:tcPr>
            <w:tcW w:w="2550" w:type="dxa"/>
            <w:tcBorders>
              <w:top w:val="single" w:sz="4" w:space="0" w:color="auto"/>
            </w:tcBorders>
          </w:tcPr>
          <w:p w14:paraId="2E5BBB23" w14:textId="77777777" w:rsidR="00CC55FC" w:rsidRPr="00BC31E0" w:rsidRDefault="00CC55FC" w:rsidP="00CC55FC">
            <w:pPr>
              <w:autoSpaceDE w:val="0"/>
              <w:autoSpaceDN w:val="0"/>
            </w:pPr>
            <w:r w:rsidRPr="00BC31E0">
              <w:rPr>
                <w:rFonts w:asciiTheme="minorHAnsi" w:hAnsiTheme="minorHAnsi"/>
              </w:rPr>
              <w:t>3</w:t>
            </w:r>
            <w:r w:rsidRPr="00BC31E0">
              <w:rPr>
                <w:rFonts w:hint="eastAsia"/>
              </w:rPr>
              <w:t>個の試験片の平均値</w:t>
            </w:r>
          </w:p>
        </w:tc>
        <w:tc>
          <w:tcPr>
            <w:tcW w:w="2410" w:type="dxa"/>
            <w:tcBorders>
              <w:top w:val="single" w:sz="4" w:space="0" w:color="auto"/>
            </w:tcBorders>
          </w:tcPr>
          <w:p w14:paraId="102706A8" w14:textId="77777777" w:rsidR="00CC55FC" w:rsidRPr="00BC31E0" w:rsidRDefault="00CC55FC" w:rsidP="00CC55FC">
            <w:pPr>
              <w:autoSpaceDE w:val="0"/>
              <w:autoSpaceDN w:val="0"/>
              <w:jc w:val="center"/>
            </w:pPr>
            <w:r w:rsidRPr="00BC31E0">
              <w:t>41</w:t>
            </w:r>
          </w:p>
        </w:tc>
        <w:tc>
          <w:tcPr>
            <w:tcW w:w="2410" w:type="dxa"/>
          </w:tcPr>
          <w:p w14:paraId="443725CF" w14:textId="77777777" w:rsidR="00CC55FC" w:rsidRPr="00BC31E0" w:rsidRDefault="00CC55FC" w:rsidP="00CC55FC">
            <w:pPr>
              <w:autoSpaceDE w:val="0"/>
              <w:autoSpaceDN w:val="0"/>
              <w:jc w:val="center"/>
            </w:pPr>
            <w:r w:rsidRPr="00BC31E0">
              <w:t>47</w:t>
            </w:r>
          </w:p>
        </w:tc>
      </w:tr>
      <w:tr w:rsidR="00CC55FC" w:rsidRPr="00BC31E0" w14:paraId="38BC82FA" w14:textId="77777777" w:rsidTr="00CC55FC">
        <w:tc>
          <w:tcPr>
            <w:tcW w:w="1701" w:type="dxa"/>
            <w:vMerge/>
            <w:tcBorders>
              <w:bottom w:val="single" w:sz="4" w:space="0" w:color="auto"/>
            </w:tcBorders>
          </w:tcPr>
          <w:p w14:paraId="5F4D8EF0" w14:textId="77777777" w:rsidR="00CC55FC" w:rsidRPr="00BC31E0" w:rsidRDefault="00CC55FC" w:rsidP="00CC55FC">
            <w:pPr>
              <w:autoSpaceDE w:val="0"/>
              <w:autoSpaceDN w:val="0"/>
            </w:pPr>
          </w:p>
        </w:tc>
        <w:tc>
          <w:tcPr>
            <w:tcW w:w="2550" w:type="dxa"/>
            <w:tcBorders>
              <w:bottom w:val="single" w:sz="4" w:space="0" w:color="auto"/>
            </w:tcBorders>
          </w:tcPr>
          <w:p w14:paraId="3D718333" w14:textId="77777777" w:rsidR="00CC55FC" w:rsidRPr="00BC31E0" w:rsidRDefault="00CC55FC" w:rsidP="00CC55FC">
            <w:pPr>
              <w:autoSpaceDE w:val="0"/>
              <w:autoSpaceDN w:val="0"/>
            </w:pPr>
            <w:r w:rsidRPr="00BC31E0">
              <w:rPr>
                <w:rFonts w:hint="eastAsia"/>
              </w:rPr>
              <w:t>個々の試験片の最小値</w:t>
            </w:r>
          </w:p>
        </w:tc>
        <w:tc>
          <w:tcPr>
            <w:tcW w:w="2410" w:type="dxa"/>
            <w:tcBorders>
              <w:bottom w:val="single" w:sz="4" w:space="0" w:color="auto"/>
            </w:tcBorders>
          </w:tcPr>
          <w:p w14:paraId="46C31897" w14:textId="77777777" w:rsidR="00CC55FC" w:rsidRPr="00BC31E0" w:rsidRDefault="00CC55FC" w:rsidP="00CC55FC">
            <w:pPr>
              <w:autoSpaceDE w:val="0"/>
              <w:autoSpaceDN w:val="0"/>
              <w:jc w:val="center"/>
            </w:pPr>
            <w:r w:rsidRPr="00BC31E0">
              <w:t>33</w:t>
            </w:r>
          </w:p>
        </w:tc>
        <w:tc>
          <w:tcPr>
            <w:tcW w:w="2410" w:type="dxa"/>
            <w:tcBorders>
              <w:bottom w:val="single" w:sz="4" w:space="0" w:color="auto"/>
            </w:tcBorders>
          </w:tcPr>
          <w:p w14:paraId="45932342" w14:textId="77777777" w:rsidR="00CC55FC" w:rsidRPr="00BC31E0" w:rsidRDefault="00CC55FC" w:rsidP="00CC55FC">
            <w:pPr>
              <w:autoSpaceDE w:val="0"/>
              <w:autoSpaceDN w:val="0"/>
              <w:jc w:val="center"/>
            </w:pPr>
            <w:r w:rsidRPr="00BC31E0">
              <w:t>38</w:t>
            </w:r>
          </w:p>
        </w:tc>
      </w:tr>
      <w:tr w:rsidR="00CC55FC" w:rsidRPr="00BC31E0" w14:paraId="342AFBD0" w14:textId="77777777" w:rsidTr="00CC55FC">
        <w:tc>
          <w:tcPr>
            <w:tcW w:w="1701" w:type="dxa"/>
            <w:vMerge w:val="restart"/>
            <w:tcBorders>
              <w:top w:val="single" w:sz="4" w:space="0" w:color="auto"/>
            </w:tcBorders>
            <w:vAlign w:val="center"/>
          </w:tcPr>
          <w:p w14:paraId="32F98F28" w14:textId="77777777" w:rsidR="00CC55FC" w:rsidRPr="00BC31E0" w:rsidRDefault="00CC55FC" w:rsidP="00CC55FC">
            <w:pPr>
              <w:autoSpaceDE w:val="0"/>
              <w:autoSpaceDN w:val="0"/>
            </w:pPr>
            <w:r w:rsidRPr="00BC31E0">
              <w:rPr>
                <w:rFonts w:hint="eastAsia"/>
              </w:rPr>
              <w:t>主圧延方向</w:t>
            </w:r>
          </w:p>
        </w:tc>
        <w:tc>
          <w:tcPr>
            <w:tcW w:w="2550" w:type="dxa"/>
            <w:tcBorders>
              <w:top w:val="single" w:sz="4" w:space="0" w:color="auto"/>
              <w:bottom w:val="nil"/>
            </w:tcBorders>
          </w:tcPr>
          <w:p w14:paraId="2AF5BF4F" w14:textId="77777777" w:rsidR="00CC55FC" w:rsidRPr="00BC31E0" w:rsidRDefault="00CC55FC" w:rsidP="00CC55FC">
            <w:pPr>
              <w:autoSpaceDE w:val="0"/>
              <w:autoSpaceDN w:val="0"/>
            </w:pPr>
            <w:r w:rsidRPr="00BC31E0">
              <w:rPr>
                <w:rFonts w:asciiTheme="minorHAnsi" w:hAnsiTheme="minorHAnsi"/>
              </w:rPr>
              <w:t>3</w:t>
            </w:r>
            <w:r w:rsidRPr="00BC31E0">
              <w:rPr>
                <w:rFonts w:hint="eastAsia"/>
              </w:rPr>
              <w:t>個の試験片の平均値</w:t>
            </w:r>
          </w:p>
        </w:tc>
        <w:tc>
          <w:tcPr>
            <w:tcW w:w="2410" w:type="dxa"/>
            <w:tcBorders>
              <w:top w:val="single" w:sz="4" w:space="0" w:color="auto"/>
              <w:bottom w:val="nil"/>
            </w:tcBorders>
          </w:tcPr>
          <w:p w14:paraId="30B90202" w14:textId="77777777" w:rsidR="00CC55FC" w:rsidRPr="00BC31E0" w:rsidRDefault="00CC55FC" w:rsidP="00CC55FC">
            <w:pPr>
              <w:autoSpaceDE w:val="0"/>
              <w:autoSpaceDN w:val="0"/>
              <w:jc w:val="center"/>
            </w:pPr>
            <w:r w:rsidRPr="00BC31E0">
              <w:t>68</w:t>
            </w:r>
          </w:p>
        </w:tc>
        <w:tc>
          <w:tcPr>
            <w:tcW w:w="2410" w:type="dxa"/>
            <w:tcBorders>
              <w:top w:val="single" w:sz="4" w:space="0" w:color="auto"/>
              <w:bottom w:val="nil"/>
            </w:tcBorders>
          </w:tcPr>
          <w:p w14:paraId="448EC511" w14:textId="77777777" w:rsidR="00CC55FC" w:rsidRPr="00BC31E0" w:rsidRDefault="00CC55FC" w:rsidP="00CC55FC">
            <w:pPr>
              <w:autoSpaceDE w:val="0"/>
              <w:autoSpaceDN w:val="0"/>
              <w:jc w:val="center"/>
            </w:pPr>
            <w:r w:rsidRPr="00BC31E0">
              <w:t>81</w:t>
            </w:r>
          </w:p>
        </w:tc>
      </w:tr>
      <w:tr w:rsidR="00CC55FC" w:rsidRPr="00BC31E0" w14:paraId="271B977C" w14:textId="77777777" w:rsidTr="00CC55FC">
        <w:tc>
          <w:tcPr>
            <w:tcW w:w="1701" w:type="dxa"/>
            <w:vMerge/>
            <w:vAlign w:val="center"/>
          </w:tcPr>
          <w:p w14:paraId="700B1DD8" w14:textId="77777777" w:rsidR="00CC55FC" w:rsidRPr="00BC31E0" w:rsidRDefault="00CC55FC" w:rsidP="00CC55FC">
            <w:pPr>
              <w:autoSpaceDE w:val="0"/>
              <w:autoSpaceDN w:val="0"/>
            </w:pPr>
          </w:p>
        </w:tc>
        <w:tc>
          <w:tcPr>
            <w:tcW w:w="2550" w:type="dxa"/>
            <w:tcBorders>
              <w:top w:val="nil"/>
            </w:tcBorders>
          </w:tcPr>
          <w:p w14:paraId="7584EC04" w14:textId="77777777" w:rsidR="00CC55FC" w:rsidRPr="00BC31E0" w:rsidRDefault="00CC55FC" w:rsidP="00CC55FC">
            <w:pPr>
              <w:autoSpaceDE w:val="0"/>
              <w:autoSpaceDN w:val="0"/>
            </w:pPr>
            <w:r w:rsidRPr="00BC31E0">
              <w:rPr>
                <w:rFonts w:hint="eastAsia"/>
              </w:rPr>
              <w:t>個々の試験片の最小値</w:t>
            </w:r>
          </w:p>
        </w:tc>
        <w:tc>
          <w:tcPr>
            <w:tcW w:w="2410" w:type="dxa"/>
            <w:tcBorders>
              <w:top w:val="nil"/>
            </w:tcBorders>
          </w:tcPr>
          <w:p w14:paraId="075F3BBC" w14:textId="77777777" w:rsidR="00CC55FC" w:rsidRPr="00BC31E0" w:rsidRDefault="00CC55FC" w:rsidP="00CC55FC">
            <w:pPr>
              <w:autoSpaceDE w:val="0"/>
              <w:autoSpaceDN w:val="0"/>
              <w:jc w:val="center"/>
            </w:pPr>
            <w:r w:rsidRPr="00BC31E0">
              <w:t>54</w:t>
            </w:r>
          </w:p>
        </w:tc>
        <w:tc>
          <w:tcPr>
            <w:tcW w:w="2410" w:type="dxa"/>
            <w:tcBorders>
              <w:top w:val="nil"/>
            </w:tcBorders>
          </w:tcPr>
          <w:p w14:paraId="6B834C86" w14:textId="77777777" w:rsidR="00CC55FC" w:rsidRPr="00BC31E0" w:rsidRDefault="00CC55FC" w:rsidP="00CC55FC">
            <w:pPr>
              <w:autoSpaceDE w:val="0"/>
              <w:autoSpaceDN w:val="0"/>
              <w:jc w:val="center"/>
            </w:pPr>
            <w:r w:rsidRPr="00BC31E0">
              <w:t>65</w:t>
            </w:r>
          </w:p>
        </w:tc>
      </w:tr>
    </w:tbl>
    <w:p w14:paraId="688F2B9D" w14:textId="77777777" w:rsidR="00CC55FC" w:rsidRPr="00BC31E0" w:rsidRDefault="00CC55FC" w:rsidP="00D343D0">
      <w:pPr>
        <w:autoSpaceDE w:val="0"/>
        <w:autoSpaceDN w:val="0"/>
        <w:spacing w:before="60"/>
        <w:ind w:left="738" w:hangingChars="350" w:hanging="738"/>
      </w:pPr>
      <w:r w:rsidRPr="00BC31E0">
        <w:rPr>
          <w:rFonts w:ascii="ＭＳ ゴシック" w:eastAsia="ＭＳ ゴシック" w:hAnsi="ＭＳ ゴシック" w:hint="eastAsia"/>
          <w:b/>
          <w:bCs/>
        </w:rPr>
        <w:t xml:space="preserve">注記1　</w:t>
      </w:r>
      <w:r w:rsidR="00243900" w:rsidRPr="00BC31E0">
        <w:rPr>
          <w:rFonts w:asciiTheme="minorEastAsia" w:eastAsiaTheme="minorEastAsia" w:hAnsiTheme="minorEastAsia" w:hint="eastAsia"/>
          <w:bCs/>
        </w:rPr>
        <w:t>試験片方向の</w:t>
      </w:r>
      <w:r w:rsidR="00C16330" w:rsidRPr="00BC31E0">
        <w:rPr>
          <w:rFonts w:asciiTheme="minorEastAsia" w:eastAsiaTheme="minorEastAsia" w:hAnsiTheme="minorEastAsia" w:hint="eastAsia"/>
          <w:bCs/>
        </w:rPr>
        <w:t>主圧延</w:t>
      </w:r>
      <w:r w:rsidRPr="00BC31E0">
        <w:rPr>
          <w:rFonts w:hint="eastAsia"/>
        </w:rPr>
        <w:t>方向は，圧延時の最大伸び方向又は鍛造時の主加工方向である</w:t>
      </w:r>
      <w:r w:rsidRPr="00BC31E0">
        <w:rPr>
          <w:rFonts w:hint="eastAsia"/>
        </w:rPr>
        <w:t>(</w:t>
      </w:r>
      <w:r w:rsidRPr="00BC31E0">
        <w:rPr>
          <w:rFonts w:ascii="ＭＳ ゴシック" w:eastAsia="ＭＳ ゴシック" w:hAnsi="ＭＳ ゴシック" w:hint="eastAsia"/>
          <w:b/>
        </w:rPr>
        <w:t>5.2.3</w:t>
      </w:r>
      <w:r w:rsidRPr="00BC31E0">
        <w:rPr>
          <w:rFonts w:hint="eastAsia"/>
        </w:rPr>
        <w:t>を参照</w:t>
      </w:r>
      <w:r w:rsidRPr="00BC31E0">
        <w:rPr>
          <w:rFonts w:hint="eastAsia"/>
        </w:rPr>
        <w:t>)</w:t>
      </w:r>
      <w:r w:rsidRPr="00BC31E0">
        <w:rPr>
          <w:rFonts w:hint="eastAsia"/>
        </w:rPr>
        <w:t>。</w:t>
      </w:r>
    </w:p>
    <w:p w14:paraId="57890F62" w14:textId="77777777" w:rsidR="00CC55FC" w:rsidRPr="00BC31E0" w:rsidRDefault="00CC55FC" w:rsidP="00692530">
      <w:pPr>
        <w:tabs>
          <w:tab w:val="left" w:pos="851"/>
          <w:tab w:val="left" w:pos="993"/>
        </w:tabs>
        <w:autoSpaceDE w:val="0"/>
        <w:autoSpaceDN w:val="0"/>
        <w:ind w:left="738" w:hangingChars="350" w:hanging="738"/>
      </w:pPr>
      <w:r w:rsidRPr="00BC31E0">
        <w:rPr>
          <w:rFonts w:eastAsia="ＭＳ ゴシック" w:hint="eastAsia"/>
          <w:b/>
          <w:bCs/>
        </w:rPr>
        <w:t>注記</w:t>
      </w:r>
      <w:r w:rsidR="0014513A" w:rsidRPr="00BC31E0">
        <w:rPr>
          <w:rFonts w:asciiTheme="majorEastAsia" w:eastAsiaTheme="majorEastAsia" w:hAnsiTheme="majorEastAsia" w:hint="eastAsia"/>
          <w:b/>
          <w:bCs/>
        </w:rPr>
        <w:t>2</w:t>
      </w:r>
      <w:r w:rsidRPr="00BC31E0">
        <w:rPr>
          <w:rFonts w:hint="eastAsia"/>
          <w:b/>
          <w:bCs/>
        </w:rPr>
        <w:t xml:space="preserve"> </w:t>
      </w:r>
      <w:r w:rsidRPr="00BC31E0">
        <w:rPr>
          <w:rFonts w:hint="eastAsia"/>
        </w:rPr>
        <w:t xml:space="preserve"> </w:t>
      </w:r>
      <w:r w:rsidRPr="00BC31E0">
        <w:rPr>
          <w:rFonts w:hint="eastAsia"/>
        </w:rPr>
        <w:t>衝撃値は，</w:t>
      </w:r>
      <w:r w:rsidRPr="00BC31E0">
        <w:t>10 mm×10 mm</w:t>
      </w:r>
      <w:r w:rsidRPr="00BC31E0">
        <w:rPr>
          <w:rFonts w:ascii="Cambria Math" w:hAnsi="Cambria Math" w:hint="eastAsia"/>
        </w:rPr>
        <w:t xml:space="preserve"> </w:t>
      </w:r>
      <w:r w:rsidRPr="00BC31E0">
        <w:rPr>
          <w:rFonts w:hint="eastAsia"/>
        </w:rPr>
        <w:t>標準試験片に対する</w:t>
      </w:r>
      <w:r w:rsidR="00CF5AC8" w:rsidRPr="00BC31E0">
        <w:rPr>
          <w:rFonts w:hint="eastAsia"/>
        </w:rPr>
        <w:t>値</w:t>
      </w:r>
      <w:r w:rsidRPr="00BC31E0">
        <w:rPr>
          <w:rFonts w:hint="eastAsia"/>
        </w:rPr>
        <w:t>である。</w:t>
      </w:r>
    </w:p>
    <w:p w14:paraId="40200B47" w14:textId="77777777" w:rsidR="00CC55FC" w:rsidRPr="00BC31E0" w:rsidRDefault="00CC55FC" w:rsidP="00692530">
      <w:pPr>
        <w:tabs>
          <w:tab w:val="left" w:pos="851"/>
          <w:tab w:val="left" w:pos="993"/>
        </w:tabs>
        <w:autoSpaceDE w:val="0"/>
        <w:autoSpaceDN w:val="0"/>
        <w:ind w:left="737"/>
      </w:pPr>
      <w:r w:rsidRPr="00BC31E0">
        <w:rPr>
          <w:rFonts w:hint="eastAsia"/>
        </w:rPr>
        <w:t>サブサイズ試験片の場合には，</w:t>
      </w:r>
      <w:r w:rsidRPr="00BC31E0">
        <w:t>10 mm×10 mm</w:t>
      </w:r>
      <w:r w:rsidRPr="00BC31E0">
        <w:rPr>
          <w:rFonts w:ascii="Cambria Math" w:hAnsi="Cambria Math" w:hint="eastAsia"/>
        </w:rPr>
        <w:t xml:space="preserve"> </w:t>
      </w:r>
      <w:r w:rsidRPr="00BC31E0">
        <w:rPr>
          <w:rFonts w:hint="eastAsia"/>
        </w:rPr>
        <w:t>標準試験片の衝撃値に，</w:t>
      </w:r>
    </w:p>
    <w:p w14:paraId="285D731E" w14:textId="77777777" w:rsidR="00CC55FC" w:rsidRPr="00BC31E0" w:rsidRDefault="00CC55FC" w:rsidP="00692530">
      <w:pPr>
        <w:tabs>
          <w:tab w:val="left" w:pos="851"/>
          <w:tab w:val="left" w:pos="993"/>
        </w:tabs>
        <w:autoSpaceDE w:val="0"/>
        <w:autoSpaceDN w:val="0"/>
        <w:ind w:left="737"/>
      </w:pPr>
      <w:r w:rsidRPr="00BC31E0">
        <w:rPr>
          <w:rFonts w:hint="eastAsia"/>
        </w:rPr>
        <w:t>(</w:t>
      </w:r>
      <w:r w:rsidRPr="00BC31E0">
        <w:rPr>
          <w:rFonts w:hint="eastAsia"/>
        </w:rPr>
        <w:t>実試験片の幅</w:t>
      </w:r>
      <w:r w:rsidRPr="00BC31E0">
        <w:rPr>
          <w:rFonts w:hint="eastAsia"/>
        </w:rPr>
        <w:t>)</w:t>
      </w:r>
      <w:r w:rsidRPr="00BC31E0">
        <w:rPr>
          <w:rFonts w:hint="eastAsia"/>
        </w:rPr>
        <w:t>／</w:t>
      </w:r>
      <w:r w:rsidRPr="00BC31E0">
        <w:rPr>
          <w:rFonts w:hint="eastAsia"/>
        </w:rPr>
        <w:t>(</w:t>
      </w:r>
      <w:r w:rsidRPr="00BC31E0">
        <w:t>10 mm×10 mm</w:t>
      </w:r>
      <w:r w:rsidRPr="00BC31E0">
        <w:rPr>
          <w:rFonts w:ascii="Cambria Math" w:hAnsi="Cambria Math"/>
        </w:rPr>
        <w:t xml:space="preserve"> </w:t>
      </w:r>
      <w:r w:rsidRPr="00BC31E0">
        <w:rPr>
          <w:rFonts w:hint="eastAsia"/>
        </w:rPr>
        <w:t>標準試験片の幅</w:t>
      </w:r>
      <w:r w:rsidRPr="00BC31E0">
        <w:rPr>
          <w:rFonts w:hint="eastAsia"/>
        </w:rPr>
        <w:t>)</w:t>
      </w:r>
      <w:r w:rsidRPr="00BC31E0">
        <w:rPr>
          <w:rFonts w:hint="eastAsia"/>
        </w:rPr>
        <w:t>の比を掛けた値とする。</w:t>
      </w:r>
    </w:p>
    <w:p w14:paraId="241614F3" w14:textId="77777777" w:rsidR="00CC55FC" w:rsidRPr="00BC31E0" w:rsidRDefault="00CC55FC" w:rsidP="00692530">
      <w:pPr>
        <w:autoSpaceDE w:val="0"/>
        <w:autoSpaceDN w:val="0"/>
        <w:ind w:left="738" w:hangingChars="350" w:hanging="738"/>
      </w:pPr>
      <w:r w:rsidRPr="00BC31E0">
        <w:rPr>
          <w:rFonts w:asciiTheme="majorEastAsia" w:eastAsiaTheme="majorEastAsia" w:hAnsiTheme="majorEastAsia" w:hint="eastAsia"/>
          <w:b/>
        </w:rPr>
        <w:t>注記</w:t>
      </w:r>
      <w:r w:rsidR="0014513A" w:rsidRPr="00BC31E0">
        <w:rPr>
          <w:rFonts w:asciiTheme="majorEastAsia" w:eastAsiaTheme="majorEastAsia" w:hAnsiTheme="majorEastAsia" w:hint="eastAsia"/>
          <w:b/>
        </w:rPr>
        <w:t>3</w:t>
      </w:r>
      <w:r w:rsidRPr="00BC31E0">
        <w:rPr>
          <w:rFonts w:hint="eastAsia"/>
          <w:b/>
          <w:bCs/>
        </w:rPr>
        <w:t xml:space="preserve">  </w:t>
      </w:r>
      <w:r w:rsidR="00DC160D" w:rsidRPr="00BC31E0">
        <w:rPr>
          <w:rFonts w:hint="eastAsia"/>
        </w:rPr>
        <w:t>全</w:t>
      </w:r>
      <w:r w:rsidRPr="00BC31E0">
        <w:rPr>
          <w:rFonts w:hint="eastAsia"/>
        </w:rPr>
        <w:t>ての溶接金属及び熱影響部の衝撃試験片は，主圧延方向に直角な方向</w:t>
      </w:r>
      <w:r w:rsidR="00925D20" w:rsidRPr="00BC31E0">
        <w:rPr>
          <w:rFonts w:hint="eastAsia"/>
        </w:rPr>
        <w:t>から</w:t>
      </w:r>
      <w:r w:rsidRPr="00BC31E0">
        <w:rPr>
          <w:rFonts w:hint="eastAsia"/>
        </w:rPr>
        <w:t>採取</w:t>
      </w:r>
      <w:r w:rsidR="00925D20" w:rsidRPr="00BC31E0">
        <w:rPr>
          <w:rFonts w:hint="eastAsia"/>
        </w:rPr>
        <w:t>した</w:t>
      </w:r>
      <w:r w:rsidRPr="00BC31E0">
        <w:rPr>
          <w:rFonts w:hint="eastAsia"/>
        </w:rPr>
        <w:t>試験片</w:t>
      </w:r>
      <w:r w:rsidR="00925D20" w:rsidRPr="00BC31E0">
        <w:rPr>
          <w:rFonts w:hint="eastAsia"/>
        </w:rPr>
        <w:t>とする</w:t>
      </w:r>
      <w:r w:rsidRPr="00BC31E0">
        <w:rPr>
          <w:rFonts w:hint="eastAsia"/>
        </w:rPr>
        <w:t>。</w:t>
      </w:r>
    </w:p>
    <w:p w14:paraId="7E2E79F4" w14:textId="77777777" w:rsidR="00CC55FC" w:rsidRPr="00BC31E0" w:rsidRDefault="00CC55FC" w:rsidP="0050067E">
      <w:pPr>
        <w:autoSpaceDE w:val="0"/>
        <w:autoSpaceDN w:val="0"/>
        <w:ind w:left="738" w:hangingChars="350" w:hanging="738"/>
      </w:pPr>
      <w:r w:rsidRPr="00BC31E0">
        <w:rPr>
          <w:rFonts w:eastAsia="ＭＳ ゴシック" w:hint="eastAsia"/>
          <w:b/>
        </w:rPr>
        <w:t>注記</w:t>
      </w:r>
      <w:r w:rsidR="0014513A" w:rsidRPr="00BC31E0">
        <w:rPr>
          <w:rFonts w:asciiTheme="majorEastAsia" w:eastAsiaTheme="majorEastAsia" w:hAnsiTheme="majorEastAsia" w:hint="eastAsia"/>
          <w:b/>
        </w:rPr>
        <w:t>4</w:t>
      </w:r>
      <w:r w:rsidRPr="00BC31E0">
        <w:rPr>
          <w:rFonts w:hint="eastAsia"/>
          <w:b/>
          <w:bCs/>
        </w:rPr>
        <w:t xml:space="preserve">  </w:t>
      </w:r>
      <w:r w:rsidRPr="00BC31E0">
        <w:rPr>
          <w:rFonts w:hint="eastAsia"/>
        </w:rPr>
        <w:t>溶接部を含む部材以外は，</w:t>
      </w:r>
      <w:r w:rsidRPr="00BC31E0">
        <w:rPr>
          <w:rFonts w:ascii="ＭＳ ゴシック" w:eastAsia="ＭＳ ゴシック" w:hAnsi="ＭＳ ゴシック" w:hint="eastAsia"/>
          <w:b/>
          <w:bCs/>
        </w:rPr>
        <w:t>5.2.3</w:t>
      </w:r>
      <w:r w:rsidRPr="00BC31E0">
        <w:rPr>
          <w:rFonts w:hint="eastAsia"/>
        </w:rPr>
        <w:t>によ</w:t>
      </w:r>
      <w:r w:rsidR="00925D20" w:rsidRPr="00BC31E0">
        <w:rPr>
          <w:rFonts w:hint="eastAsia"/>
        </w:rPr>
        <w:t>る</w:t>
      </w:r>
      <w:r w:rsidRPr="00BC31E0">
        <w:rPr>
          <w:rFonts w:hint="eastAsia"/>
        </w:rPr>
        <w:t xml:space="preserve">部材の形状又は寸法の制約から主圧延方向に直角　　　</w:t>
      </w:r>
      <w:r w:rsidRPr="00BC31E0">
        <w:rPr>
          <w:rFonts w:hint="eastAsia"/>
        </w:rPr>
        <w:t xml:space="preserve"> </w:t>
      </w:r>
      <w:r w:rsidRPr="00BC31E0">
        <w:rPr>
          <w:rFonts w:hint="eastAsia"/>
        </w:rPr>
        <w:t>な方向</w:t>
      </w:r>
      <w:r w:rsidR="0050067E" w:rsidRPr="00BC31E0">
        <w:rPr>
          <w:rFonts w:hint="eastAsia"/>
        </w:rPr>
        <w:t>から</w:t>
      </w:r>
      <w:r w:rsidRPr="00BC31E0">
        <w:rPr>
          <w:rFonts w:hint="eastAsia"/>
        </w:rPr>
        <w:t>試験片</w:t>
      </w:r>
      <w:r w:rsidR="00925D20" w:rsidRPr="00BC31E0">
        <w:rPr>
          <w:rFonts w:hint="eastAsia"/>
        </w:rPr>
        <w:t>を</w:t>
      </w:r>
      <w:r w:rsidRPr="00BC31E0">
        <w:rPr>
          <w:rFonts w:hint="eastAsia"/>
        </w:rPr>
        <w:t>採取できない場合には，主圧延方向</w:t>
      </w:r>
      <w:r w:rsidR="0014513A" w:rsidRPr="00BC31E0">
        <w:rPr>
          <w:rFonts w:hint="eastAsia"/>
        </w:rPr>
        <w:t>から</w:t>
      </w:r>
      <w:r w:rsidRPr="00BC31E0">
        <w:rPr>
          <w:rFonts w:hint="eastAsia"/>
        </w:rPr>
        <w:t>採取</w:t>
      </w:r>
      <w:r w:rsidR="0014513A" w:rsidRPr="00BC31E0">
        <w:rPr>
          <w:rFonts w:hint="eastAsia"/>
        </w:rPr>
        <w:t>した</w:t>
      </w:r>
      <w:r w:rsidRPr="00BC31E0">
        <w:rPr>
          <w:rFonts w:hint="eastAsia"/>
        </w:rPr>
        <w:t>試験片を使用</w:t>
      </w:r>
      <w:r w:rsidR="00600968" w:rsidRPr="00BC31E0">
        <w:rPr>
          <w:rFonts w:hint="eastAsia"/>
        </w:rPr>
        <w:t>してもよい</w:t>
      </w:r>
      <w:r w:rsidRPr="00BC31E0">
        <w:rPr>
          <w:rFonts w:hint="eastAsia"/>
        </w:rPr>
        <w:t>。</w:t>
      </w:r>
    </w:p>
    <w:p w14:paraId="58097103" w14:textId="77777777" w:rsidR="0014513A" w:rsidRPr="00BC31E0" w:rsidRDefault="0014513A" w:rsidP="0014513A">
      <w:pPr>
        <w:tabs>
          <w:tab w:val="left" w:pos="567"/>
        </w:tabs>
        <w:autoSpaceDE w:val="0"/>
        <w:autoSpaceDN w:val="0"/>
      </w:pPr>
      <w:r w:rsidRPr="00BC31E0">
        <w:rPr>
          <w:rFonts w:asciiTheme="majorEastAsia" w:eastAsiaTheme="majorEastAsia" w:hAnsiTheme="majorEastAsia" w:hint="eastAsia"/>
          <w:b/>
        </w:rPr>
        <w:t>注記5</w:t>
      </w:r>
      <w:r w:rsidRPr="00BC31E0">
        <w:rPr>
          <w:rFonts w:eastAsia="ＭＳ ゴシック" w:hint="eastAsia"/>
          <w:b/>
          <w:bCs/>
        </w:rPr>
        <w:t xml:space="preserve"> </w:t>
      </w:r>
      <w:r w:rsidRPr="00BC31E0">
        <w:rPr>
          <w:rFonts w:hint="eastAsia"/>
          <w:b/>
          <w:bCs/>
        </w:rPr>
        <w:t xml:space="preserve"> </w:t>
      </w:r>
      <w:r w:rsidRPr="00BC31E0">
        <w:rPr>
          <w:rFonts w:hint="eastAsia"/>
        </w:rPr>
        <w:t>再試験については，</w:t>
      </w:r>
      <w:r w:rsidRPr="00BC31E0">
        <w:rPr>
          <w:rFonts w:ascii="ＭＳ ゴシック" w:eastAsia="ＭＳ ゴシック" w:hAnsi="ＭＳ ゴシック" w:hint="eastAsia"/>
          <w:b/>
          <w:bCs/>
        </w:rPr>
        <w:t>5.2.10</w:t>
      </w:r>
      <w:r w:rsidRPr="00BC31E0">
        <w:rPr>
          <w:rFonts w:hint="eastAsia"/>
        </w:rPr>
        <w:t>による。</w:t>
      </w:r>
    </w:p>
    <w:p w14:paraId="7D41652A" w14:textId="77777777" w:rsidR="00F62475" w:rsidRPr="00BC31E0" w:rsidRDefault="00F62475" w:rsidP="00F62475">
      <w:pPr>
        <w:pStyle w:val="af4"/>
        <w:spacing w:after="60"/>
        <w:jc w:val="both"/>
      </w:pPr>
    </w:p>
    <w:p w14:paraId="50D2FDBC" w14:textId="77777777" w:rsidR="00CC55FC" w:rsidRPr="00BC31E0" w:rsidRDefault="00CC55FC" w:rsidP="00FE175B">
      <w:pPr>
        <w:pStyle w:val="af4"/>
        <w:spacing w:after="60"/>
      </w:pPr>
      <w:r w:rsidRPr="00BC31E0">
        <w:rPr>
          <w:rFonts w:hint="eastAsia"/>
        </w:rPr>
        <w:lastRenderedPageBreak/>
        <w:t>表5.2.3 ボルト材に対する必要最小</w:t>
      </w:r>
      <w:r w:rsidRPr="00BC31E0">
        <w:rPr>
          <w:rFonts w:asciiTheme="majorEastAsia" w:eastAsiaTheme="majorEastAsia" w:hAnsiTheme="majorEastAsia"/>
        </w:rPr>
        <w:t>CVN</w:t>
      </w:r>
      <w:r w:rsidRPr="00BC31E0">
        <w:rPr>
          <w:rFonts w:hint="eastAsia"/>
        </w:rPr>
        <w:t>衝撃値</w:t>
      </w:r>
      <w:r w:rsidRPr="00BC31E0">
        <w:rPr>
          <w:rFonts w:hint="eastAsia"/>
          <w:vertAlign w:val="superscript"/>
        </w:rPr>
        <w:t>†</w:t>
      </w:r>
    </w:p>
    <w:tbl>
      <w:tblPr>
        <w:tblW w:w="9072" w:type="dxa"/>
        <w:tblInd w:w="99" w:type="dxa"/>
        <w:tblBorders>
          <w:top w:val="single" w:sz="4" w:space="0" w:color="auto"/>
          <w:left w:val="single" w:sz="4" w:space="0" w:color="auto"/>
          <w:bottom w:val="single" w:sz="4" w:space="0" w:color="auto"/>
          <w:right w:val="single" w:sz="4" w:space="0" w:color="auto"/>
          <w:insideH w:val="single" w:sz="4" w:space="0" w:color="auto"/>
        </w:tblBorders>
        <w:tblCellMar>
          <w:left w:w="99" w:type="dxa"/>
          <w:right w:w="99" w:type="dxa"/>
        </w:tblCellMar>
        <w:tblLook w:val="0000" w:firstRow="0" w:lastRow="0" w:firstColumn="0" w:lastColumn="0" w:noHBand="0" w:noVBand="0"/>
      </w:tblPr>
      <w:tblGrid>
        <w:gridCol w:w="1102"/>
        <w:gridCol w:w="1592"/>
        <w:gridCol w:w="1275"/>
        <w:gridCol w:w="2268"/>
        <w:gridCol w:w="1417"/>
        <w:gridCol w:w="1418"/>
      </w:tblGrid>
      <w:tr w:rsidR="00CC55FC" w:rsidRPr="00BC31E0" w14:paraId="74F61CF0" w14:textId="77777777" w:rsidTr="00155FB1">
        <w:trPr>
          <w:trHeight w:val="732"/>
        </w:trPr>
        <w:tc>
          <w:tcPr>
            <w:tcW w:w="1102" w:type="dxa"/>
            <w:vMerge w:val="restart"/>
            <w:tcBorders>
              <w:right w:val="single" w:sz="4" w:space="0" w:color="auto"/>
            </w:tcBorders>
            <w:vAlign w:val="center"/>
          </w:tcPr>
          <w:p w14:paraId="495CEA57" w14:textId="77777777" w:rsidR="00CC55FC" w:rsidRPr="00BC31E0" w:rsidRDefault="00CC55FC" w:rsidP="00155FB1">
            <w:pPr>
              <w:autoSpaceDE w:val="0"/>
              <w:autoSpaceDN w:val="0"/>
              <w:jc w:val="center"/>
            </w:pPr>
            <w:r w:rsidRPr="00BC31E0">
              <w:rPr>
                <w:rFonts w:hint="eastAsia"/>
              </w:rPr>
              <w:t>材料</w:t>
            </w:r>
          </w:p>
          <w:p w14:paraId="0C96EBAB" w14:textId="77777777" w:rsidR="00CC55FC" w:rsidRPr="00BC31E0" w:rsidRDefault="00CC55FC" w:rsidP="00155FB1">
            <w:pPr>
              <w:autoSpaceDE w:val="0"/>
              <w:autoSpaceDN w:val="0"/>
              <w:snapToGrid w:val="0"/>
              <w:jc w:val="center"/>
            </w:pPr>
            <w:r w:rsidRPr="00BC31E0">
              <w:rPr>
                <w:rFonts w:hint="eastAsia"/>
              </w:rPr>
              <w:t>規格</w:t>
            </w:r>
          </w:p>
        </w:tc>
        <w:tc>
          <w:tcPr>
            <w:tcW w:w="1592" w:type="dxa"/>
            <w:vMerge w:val="restart"/>
            <w:tcBorders>
              <w:right w:val="single" w:sz="4" w:space="0" w:color="auto"/>
            </w:tcBorders>
            <w:vAlign w:val="center"/>
          </w:tcPr>
          <w:p w14:paraId="14DBAD5B" w14:textId="77777777" w:rsidR="00CC55FC" w:rsidRPr="00BC31E0" w:rsidRDefault="00CC55FC" w:rsidP="00155FB1">
            <w:pPr>
              <w:autoSpaceDE w:val="0"/>
              <w:autoSpaceDN w:val="0"/>
              <w:jc w:val="center"/>
            </w:pPr>
            <w:r w:rsidRPr="00BC31E0">
              <w:rPr>
                <w:rFonts w:hint="eastAsia"/>
              </w:rPr>
              <w:t>試験片方向</w:t>
            </w:r>
          </w:p>
        </w:tc>
        <w:tc>
          <w:tcPr>
            <w:tcW w:w="1275" w:type="dxa"/>
            <w:vMerge w:val="restart"/>
            <w:tcBorders>
              <w:right w:val="single" w:sz="4" w:space="0" w:color="auto"/>
            </w:tcBorders>
            <w:vAlign w:val="center"/>
          </w:tcPr>
          <w:p w14:paraId="4A96324E" w14:textId="77777777" w:rsidR="00CC55FC" w:rsidRPr="00BC31E0" w:rsidRDefault="00CC55FC" w:rsidP="00155FB1">
            <w:pPr>
              <w:autoSpaceDE w:val="0"/>
              <w:autoSpaceDN w:val="0"/>
              <w:jc w:val="center"/>
            </w:pPr>
            <w:r w:rsidRPr="00BC31E0">
              <w:rPr>
                <w:rFonts w:hint="eastAsia"/>
              </w:rPr>
              <w:t>公称ボルト</w:t>
            </w:r>
          </w:p>
          <w:p w14:paraId="7F14C7A7" w14:textId="77777777" w:rsidR="00CC55FC" w:rsidRPr="00BC31E0" w:rsidRDefault="00CC55FC" w:rsidP="00155FB1">
            <w:pPr>
              <w:autoSpaceDE w:val="0"/>
              <w:autoSpaceDN w:val="0"/>
              <w:snapToGrid w:val="0"/>
              <w:jc w:val="center"/>
            </w:pPr>
            <w:r w:rsidRPr="00BC31E0">
              <w:rPr>
                <w:rFonts w:hint="eastAsia"/>
              </w:rPr>
              <w:t>寸法</w:t>
            </w:r>
          </w:p>
        </w:tc>
        <w:tc>
          <w:tcPr>
            <w:tcW w:w="5103" w:type="dxa"/>
            <w:gridSpan w:val="3"/>
            <w:tcBorders>
              <w:left w:val="single" w:sz="4" w:space="0" w:color="auto"/>
              <w:bottom w:val="single" w:sz="4" w:space="0" w:color="auto"/>
            </w:tcBorders>
            <w:vAlign w:val="center"/>
          </w:tcPr>
          <w:p w14:paraId="5B3C5265" w14:textId="77777777" w:rsidR="00CC55FC" w:rsidRPr="00BC31E0" w:rsidRDefault="009F1058" w:rsidP="00155FB1">
            <w:pPr>
              <w:jc w:val="center"/>
            </w:pPr>
            <w:r w:rsidRPr="00BC31E0">
              <w:rPr>
                <w:rFonts w:hint="eastAsia"/>
              </w:rPr>
              <w:t>規定</w:t>
            </w:r>
            <w:r w:rsidR="00CC55FC" w:rsidRPr="00BC31E0">
              <w:rPr>
                <w:rFonts w:hint="eastAsia"/>
              </w:rPr>
              <w:t>最小降伏点又は</w:t>
            </w:r>
            <m:oMath>
              <m:sSub>
                <m:sSubPr>
                  <m:ctrlPr>
                    <w:rPr>
                      <w:rFonts w:ascii="Cambria Math" w:hAnsi="Cambria Math"/>
                      <w:i/>
                    </w:rPr>
                  </m:ctrlPr>
                </m:sSubPr>
                <m:e>
                  <m:r>
                    <w:rPr>
                      <w:rFonts w:ascii="Cambria Math" w:hAnsi="Cambria Math"/>
                    </w:rPr>
                    <m:t xml:space="preserve"> </m:t>
                  </m:r>
                  <m:r>
                    <m:rPr>
                      <m:sty m:val="p"/>
                    </m:rPr>
                    <w:rPr>
                      <w:rFonts w:ascii="Cambria Math" w:hAnsi="Cambria Math"/>
                    </w:rPr>
                    <m:t>0.2%</m:t>
                  </m:r>
                  <m:r>
                    <m:rPr>
                      <m:sty m:val="p"/>
                    </m:rPr>
                    <w:rPr>
                      <w:rFonts w:ascii="Cambria Math" w:hAnsi="Cambria Math" w:hint="eastAsia"/>
                    </w:rPr>
                    <m:t>耐力</m:t>
                  </m:r>
                  <m:r>
                    <m:rPr>
                      <m:sty m:val="p"/>
                    </m:rPr>
                    <w:rPr>
                      <w:rFonts w:ascii="Cambria Math" w:hAnsi="Cambria Math"/>
                    </w:rPr>
                    <m:t xml:space="preserve"> </m:t>
                  </m:r>
                  <m:r>
                    <w:rPr>
                      <w:rFonts w:ascii="Cambria Math" w:hAnsi="Cambria Math"/>
                    </w:rPr>
                    <m:t>S</m:t>
                  </m:r>
                </m:e>
                <m:sub>
                  <m:r>
                    <w:rPr>
                      <w:rFonts w:ascii="Cambria Math" w:hAnsi="Cambria Math"/>
                    </w:rPr>
                    <m:t>y</m:t>
                  </m:r>
                </m:sub>
              </m:sSub>
              <m:r>
                <w:rPr>
                  <w:rFonts w:ascii="Cambria Math" w:hAnsi="Cambria Math"/>
                </w:rPr>
                <m:t xml:space="preserve"> </m:t>
              </m:r>
            </m:oMath>
            <w:r w:rsidR="00CC55FC" w:rsidRPr="00BC31E0">
              <w:rPr>
                <w:rFonts w:hint="eastAsia"/>
              </w:rPr>
              <w:t>に対する</w:t>
            </w:r>
          </w:p>
          <w:p w14:paraId="3431C8EE" w14:textId="77777777" w:rsidR="00CC55FC" w:rsidRPr="00BC31E0" w:rsidRDefault="00CC55FC" w:rsidP="00155FB1">
            <w:pPr>
              <w:jc w:val="center"/>
            </w:pPr>
            <w:r w:rsidRPr="00BC31E0">
              <w:rPr>
                <w:rFonts w:hint="eastAsia"/>
              </w:rPr>
              <w:t>最小</w:t>
            </w:r>
            <w:r w:rsidRPr="00BC31E0">
              <w:rPr>
                <w:rFonts w:hint="eastAsia"/>
              </w:rPr>
              <w:t>CVN</w:t>
            </w:r>
            <w:r w:rsidRPr="00BC31E0">
              <w:rPr>
                <w:rFonts w:hint="eastAsia"/>
              </w:rPr>
              <w:t>衝撃値</w:t>
            </w:r>
            <w:r w:rsidRPr="00BC31E0">
              <w:rPr>
                <w:rFonts w:hint="eastAsia"/>
              </w:rPr>
              <w:t xml:space="preserve"> (</w:t>
            </w:r>
            <m:oMath>
              <m:r>
                <m:rPr>
                  <m:sty m:val="p"/>
                </m:rPr>
                <w:rPr>
                  <w:rFonts w:ascii="Cambria Math" w:hAnsi="Cambria Math"/>
                </w:rPr>
                <m:t>J</m:t>
              </m:r>
            </m:oMath>
            <w:r w:rsidRPr="00BC31E0">
              <w:rPr>
                <w:rFonts w:hint="eastAsia"/>
              </w:rPr>
              <w:t>)</w:t>
            </w:r>
          </w:p>
        </w:tc>
      </w:tr>
      <w:tr w:rsidR="00CC55FC" w:rsidRPr="00BC31E0" w14:paraId="006CC64A" w14:textId="77777777" w:rsidTr="00155FB1">
        <w:tc>
          <w:tcPr>
            <w:tcW w:w="1102" w:type="dxa"/>
            <w:vMerge/>
            <w:tcBorders>
              <w:right w:val="single" w:sz="4" w:space="0" w:color="auto"/>
            </w:tcBorders>
            <w:vAlign w:val="center"/>
          </w:tcPr>
          <w:p w14:paraId="20C11229" w14:textId="77777777" w:rsidR="00CC55FC" w:rsidRPr="00BC31E0" w:rsidRDefault="00CC55FC" w:rsidP="00155FB1">
            <w:pPr>
              <w:autoSpaceDE w:val="0"/>
              <w:autoSpaceDN w:val="0"/>
              <w:jc w:val="center"/>
            </w:pPr>
          </w:p>
        </w:tc>
        <w:tc>
          <w:tcPr>
            <w:tcW w:w="1592" w:type="dxa"/>
            <w:vMerge/>
            <w:tcBorders>
              <w:left w:val="single" w:sz="4" w:space="0" w:color="auto"/>
              <w:right w:val="single" w:sz="4" w:space="0" w:color="auto"/>
            </w:tcBorders>
            <w:vAlign w:val="center"/>
          </w:tcPr>
          <w:p w14:paraId="29E262D2" w14:textId="77777777" w:rsidR="00CC55FC" w:rsidRPr="00BC31E0" w:rsidRDefault="00CC55FC" w:rsidP="00155FB1">
            <w:pPr>
              <w:autoSpaceDE w:val="0"/>
              <w:autoSpaceDN w:val="0"/>
              <w:jc w:val="center"/>
            </w:pPr>
          </w:p>
        </w:tc>
        <w:tc>
          <w:tcPr>
            <w:tcW w:w="1275" w:type="dxa"/>
            <w:vMerge/>
            <w:tcBorders>
              <w:left w:val="single" w:sz="4" w:space="0" w:color="auto"/>
              <w:right w:val="single" w:sz="4" w:space="0" w:color="auto"/>
            </w:tcBorders>
            <w:vAlign w:val="center"/>
          </w:tcPr>
          <w:p w14:paraId="6CF5E768" w14:textId="77777777" w:rsidR="00CC55FC" w:rsidRPr="00BC31E0" w:rsidRDefault="00CC55FC" w:rsidP="00155FB1">
            <w:pPr>
              <w:autoSpaceDE w:val="0"/>
              <w:autoSpaceDN w:val="0"/>
              <w:jc w:val="center"/>
            </w:pPr>
          </w:p>
        </w:tc>
        <w:tc>
          <w:tcPr>
            <w:tcW w:w="2268" w:type="dxa"/>
            <w:tcBorders>
              <w:left w:val="single" w:sz="4" w:space="0" w:color="auto"/>
              <w:right w:val="single" w:sz="4" w:space="0" w:color="auto"/>
            </w:tcBorders>
            <w:vAlign w:val="center"/>
          </w:tcPr>
          <w:p w14:paraId="30BB67CF" w14:textId="77777777" w:rsidR="00CC55FC" w:rsidRPr="00BC31E0" w:rsidRDefault="00CC55FC" w:rsidP="00155FB1">
            <w:pPr>
              <w:jc w:val="center"/>
            </w:pPr>
          </w:p>
        </w:tc>
        <w:tc>
          <w:tcPr>
            <w:tcW w:w="1417" w:type="dxa"/>
            <w:tcBorders>
              <w:left w:val="single" w:sz="4" w:space="0" w:color="auto"/>
              <w:right w:val="single" w:sz="4" w:space="0" w:color="auto"/>
            </w:tcBorders>
            <w:vAlign w:val="center"/>
          </w:tcPr>
          <w:p w14:paraId="208A40C0" w14:textId="77777777" w:rsidR="00CC55FC" w:rsidRPr="00BC31E0" w:rsidRDefault="00A51873" w:rsidP="00155FB1">
            <w:pPr>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y</m:t>
                    </m:r>
                  </m:sub>
                </m:sSub>
                <m:r>
                  <m:rPr>
                    <m:sty m:val="p"/>
                  </m:rPr>
                  <w:rPr>
                    <w:rFonts w:ascii="Cambria Math" w:hAnsi="Cambria Math"/>
                    <w:sz w:val="20"/>
                    <w:szCs w:val="20"/>
                  </w:rPr>
                  <m:t>≦</m:t>
                </m:r>
                <m:r>
                  <w:rPr>
                    <w:rFonts w:ascii="Cambria Math" w:hAnsi="Cambria Math"/>
                    <w:sz w:val="20"/>
                    <w:szCs w:val="20"/>
                  </w:rPr>
                  <m:t xml:space="preserve">930 </m:t>
                </m:r>
                <m:r>
                  <m:rPr>
                    <m:sty m:val="p"/>
                  </m:rPr>
                  <w:rPr>
                    <w:rFonts w:ascii="Cambria Math" w:hAnsi="Cambria Math"/>
                    <w:sz w:val="20"/>
                    <w:szCs w:val="20"/>
                  </w:rPr>
                  <m:t>MPa</m:t>
                </m:r>
              </m:oMath>
            </m:oMathPara>
          </w:p>
        </w:tc>
        <w:tc>
          <w:tcPr>
            <w:tcW w:w="1418" w:type="dxa"/>
            <w:tcBorders>
              <w:left w:val="single" w:sz="4" w:space="0" w:color="auto"/>
            </w:tcBorders>
            <w:vAlign w:val="center"/>
          </w:tcPr>
          <w:p w14:paraId="72E2C357" w14:textId="77777777" w:rsidR="00CC55FC" w:rsidRPr="00BC31E0" w:rsidRDefault="00A51873" w:rsidP="00155FB1">
            <w:pPr>
              <w:jc w:val="center"/>
              <w:rPr>
                <w:sz w:val="20"/>
                <w:szCs w:val="20"/>
              </w:rPr>
            </w:pPr>
            <m:oMathPara>
              <m:oMath>
                <m:sSub>
                  <m:sSubPr>
                    <m:ctrlPr>
                      <w:rPr>
                        <w:rFonts w:ascii="Cambria Math" w:hAnsi="Cambria Math"/>
                        <w:i/>
                        <w:sz w:val="20"/>
                        <w:szCs w:val="20"/>
                      </w:rPr>
                    </m:ctrlPr>
                  </m:sSubPr>
                  <m:e>
                    <m:r>
                      <w:rPr>
                        <w:rFonts w:ascii="Cambria Math" w:hAnsi="Cambria Math" w:hint="eastAsia"/>
                        <w:sz w:val="20"/>
                        <w:szCs w:val="20"/>
                      </w:rPr>
                      <m:t>S</m:t>
                    </m:r>
                  </m:e>
                  <m:sub>
                    <m:r>
                      <w:rPr>
                        <w:rFonts w:ascii="Cambria Math" w:hAnsi="Cambria Math" w:hint="eastAsia"/>
                        <w:sz w:val="20"/>
                        <w:szCs w:val="20"/>
                      </w:rPr>
                      <m:t>y</m:t>
                    </m:r>
                  </m:sub>
                </m:sSub>
                <m:r>
                  <w:rPr>
                    <w:rFonts w:ascii="Cambria Math" w:hAnsi="Cambria Math"/>
                    <w:sz w:val="20"/>
                    <w:szCs w:val="20"/>
                  </w:rPr>
                  <m:t>&gt;930</m:t>
                </m:r>
                <m:r>
                  <w:rPr>
                    <w:rFonts w:ascii="Cambria Math" w:hAnsi="Cambria Math" w:hint="eastAsia"/>
                    <w:sz w:val="20"/>
                    <w:szCs w:val="20"/>
                  </w:rPr>
                  <m:t xml:space="preserve"> </m:t>
                </m:r>
                <m:r>
                  <m:rPr>
                    <m:sty m:val="p"/>
                  </m:rPr>
                  <w:rPr>
                    <w:rFonts w:ascii="Cambria Math" w:hAnsi="Cambria Math"/>
                    <w:sz w:val="20"/>
                    <w:szCs w:val="20"/>
                  </w:rPr>
                  <m:t>MPa</m:t>
                </m:r>
              </m:oMath>
            </m:oMathPara>
          </w:p>
        </w:tc>
      </w:tr>
      <w:tr w:rsidR="00CC55FC" w:rsidRPr="00BC31E0" w14:paraId="28E1B3C9" w14:textId="77777777" w:rsidTr="00155FB1">
        <w:tc>
          <w:tcPr>
            <w:tcW w:w="1102" w:type="dxa"/>
            <w:tcBorders>
              <w:right w:val="single" w:sz="4" w:space="0" w:color="auto"/>
            </w:tcBorders>
          </w:tcPr>
          <w:p w14:paraId="67FFA4BA" w14:textId="77777777" w:rsidR="00CC55FC" w:rsidRPr="00BC31E0" w:rsidRDefault="00CC55FC" w:rsidP="00155FB1">
            <w:pPr>
              <w:autoSpaceDE w:val="0"/>
              <w:autoSpaceDN w:val="0"/>
              <w:jc w:val="center"/>
              <w:rPr>
                <w:rFonts w:ascii="ＭＳ ゴシック" w:eastAsia="ＭＳ ゴシック" w:hAnsi="ＭＳ ゴシック"/>
                <w:b/>
              </w:rPr>
            </w:pPr>
            <w:r w:rsidRPr="00BC31E0">
              <w:rPr>
                <w:rFonts w:ascii="ＭＳ ゴシック" w:eastAsia="ＭＳ ゴシック" w:hAnsi="ＭＳ ゴシック" w:hint="eastAsia"/>
                <w:b/>
              </w:rPr>
              <w:t>ASME</w:t>
            </w:r>
          </w:p>
          <w:p w14:paraId="555F54FA" w14:textId="77777777" w:rsidR="00CC55FC" w:rsidRPr="00BC31E0" w:rsidRDefault="00CC55FC" w:rsidP="00155FB1">
            <w:pPr>
              <w:autoSpaceDE w:val="0"/>
              <w:autoSpaceDN w:val="0"/>
              <w:jc w:val="center"/>
              <w:rPr>
                <w:rFonts w:ascii="ＭＳ ゴシック" w:eastAsia="ＭＳ ゴシック"/>
                <w:b/>
              </w:rPr>
            </w:pPr>
            <w:r w:rsidRPr="00BC31E0">
              <w:rPr>
                <w:rFonts w:eastAsia="ＭＳ ゴシック"/>
              </w:rPr>
              <w:t>SA-320</w:t>
            </w:r>
            <w:r w:rsidR="00155FB1" w:rsidRPr="00BC31E0">
              <w:rPr>
                <w:rFonts w:eastAsia="ＭＳ ゴシック" w:hint="eastAsia"/>
              </w:rPr>
              <w:t>M</w:t>
            </w:r>
          </w:p>
        </w:tc>
        <w:tc>
          <w:tcPr>
            <w:tcW w:w="1592" w:type="dxa"/>
            <w:tcBorders>
              <w:left w:val="single" w:sz="4" w:space="0" w:color="auto"/>
              <w:right w:val="single" w:sz="4" w:space="0" w:color="auto"/>
            </w:tcBorders>
            <w:vAlign w:val="center"/>
          </w:tcPr>
          <w:p w14:paraId="454BE538" w14:textId="77777777" w:rsidR="00CC55FC" w:rsidRPr="00BC31E0" w:rsidRDefault="00CC55FC" w:rsidP="00155FB1">
            <w:pPr>
              <w:autoSpaceDE w:val="0"/>
              <w:autoSpaceDN w:val="0"/>
              <w:jc w:val="center"/>
            </w:pPr>
            <w:r w:rsidRPr="00BC31E0">
              <w:rPr>
                <w:rFonts w:hint="eastAsia"/>
              </w:rPr>
              <w:t>主圧延方向</w:t>
            </w:r>
          </w:p>
        </w:tc>
        <w:tc>
          <w:tcPr>
            <w:tcW w:w="1275" w:type="dxa"/>
            <w:tcBorders>
              <w:left w:val="single" w:sz="4" w:space="0" w:color="auto"/>
              <w:right w:val="single" w:sz="4" w:space="0" w:color="auto"/>
            </w:tcBorders>
            <w:vAlign w:val="center"/>
          </w:tcPr>
          <w:p w14:paraId="0BA56C7D" w14:textId="77777777" w:rsidR="00CC55FC" w:rsidRPr="00BC31E0" w:rsidRDefault="00CC55FC" w:rsidP="00155FB1">
            <w:pPr>
              <w:autoSpaceDE w:val="0"/>
              <w:autoSpaceDN w:val="0"/>
              <w:jc w:val="left"/>
              <w:rPr>
                <w:sz w:val="20"/>
                <w:szCs w:val="20"/>
              </w:rPr>
            </w:pPr>
            <w:r w:rsidRPr="00BC31E0">
              <w:rPr>
                <w:sz w:val="20"/>
                <w:szCs w:val="20"/>
              </w:rPr>
              <w:t>50 mm</w:t>
            </w:r>
            <w:r w:rsidR="00293054" w:rsidRPr="00BC31E0">
              <w:rPr>
                <w:rFonts w:hint="eastAsia"/>
                <w:sz w:val="20"/>
                <w:szCs w:val="20"/>
              </w:rPr>
              <w:t>以下</w:t>
            </w:r>
          </w:p>
        </w:tc>
        <w:tc>
          <w:tcPr>
            <w:tcW w:w="2268" w:type="dxa"/>
            <w:tcBorders>
              <w:left w:val="single" w:sz="4" w:space="0" w:color="auto"/>
              <w:right w:val="single" w:sz="4" w:space="0" w:color="auto"/>
            </w:tcBorders>
            <w:vAlign w:val="center"/>
          </w:tcPr>
          <w:p w14:paraId="643FB466" w14:textId="77777777" w:rsidR="00CC55FC" w:rsidRPr="00BC31E0" w:rsidRDefault="00CC55FC" w:rsidP="00155FB1">
            <w:pPr>
              <w:autoSpaceDE w:val="0"/>
              <w:autoSpaceDN w:val="0"/>
              <w:jc w:val="center"/>
              <w:rPr>
                <w:rFonts w:ascii="ＭＳ ゴシック" w:eastAsia="ＭＳ ゴシック" w:hAnsi="ＭＳ ゴシック"/>
                <w:b/>
              </w:rPr>
            </w:pPr>
            <w:r w:rsidRPr="00BC31E0">
              <w:rPr>
                <w:rFonts w:ascii="ＭＳ ゴシック" w:eastAsia="ＭＳ ゴシック" w:hAnsi="ＭＳ ゴシック" w:hint="eastAsia"/>
                <w:b/>
              </w:rPr>
              <w:t>注記3</w:t>
            </w:r>
          </w:p>
        </w:tc>
        <w:tc>
          <w:tcPr>
            <w:tcW w:w="1417" w:type="dxa"/>
            <w:tcBorders>
              <w:left w:val="single" w:sz="4" w:space="0" w:color="auto"/>
              <w:right w:val="single" w:sz="4" w:space="0" w:color="auto"/>
            </w:tcBorders>
            <w:vAlign w:val="center"/>
          </w:tcPr>
          <w:p w14:paraId="7AF8A7B6" w14:textId="77777777" w:rsidR="00CC55FC" w:rsidRPr="00BC31E0" w:rsidRDefault="00CC55FC" w:rsidP="00155FB1">
            <w:pPr>
              <w:autoSpaceDE w:val="0"/>
              <w:autoSpaceDN w:val="0"/>
              <w:jc w:val="center"/>
              <w:rPr>
                <w:rFonts w:ascii="ＭＳ ゴシック" w:eastAsia="ＭＳ ゴシック" w:hAnsi="ＭＳ ゴシック"/>
                <w:b/>
              </w:rPr>
            </w:pPr>
            <w:r w:rsidRPr="00BC31E0">
              <w:rPr>
                <w:rFonts w:ascii="ＭＳ ゴシック" w:eastAsia="ＭＳ ゴシック" w:hAnsi="ＭＳ ゴシック" w:hint="eastAsia"/>
                <w:b/>
              </w:rPr>
              <w:t>注記3</w:t>
            </w:r>
          </w:p>
        </w:tc>
        <w:tc>
          <w:tcPr>
            <w:tcW w:w="1418" w:type="dxa"/>
            <w:tcBorders>
              <w:left w:val="single" w:sz="4" w:space="0" w:color="auto"/>
            </w:tcBorders>
            <w:vAlign w:val="center"/>
          </w:tcPr>
          <w:p w14:paraId="3046D838" w14:textId="77777777" w:rsidR="00CC55FC" w:rsidRPr="00BC31E0" w:rsidRDefault="00CC55FC" w:rsidP="00155FB1">
            <w:pPr>
              <w:autoSpaceDE w:val="0"/>
              <w:autoSpaceDN w:val="0"/>
              <w:jc w:val="center"/>
            </w:pPr>
            <w:r w:rsidRPr="00BC31E0">
              <w:rPr>
                <w:rFonts w:hint="eastAsia"/>
              </w:rPr>
              <w:t>適用しない</w:t>
            </w:r>
          </w:p>
        </w:tc>
      </w:tr>
      <w:tr w:rsidR="00CC55FC" w:rsidRPr="00BC31E0" w14:paraId="59D6895C" w14:textId="77777777" w:rsidTr="00155FB1">
        <w:tc>
          <w:tcPr>
            <w:tcW w:w="1102" w:type="dxa"/>
            <w:vMerge w:val="restart"/>
            <w:tcBorders>
              <w:right w:val="single" w:sz="4" w:space="0" w:color="auto"/>
            </w:tcBorders>
            <w:vAlign w:val="center"/>
          </w:tcPr>
          <w:p w14:paraId="75BAFEE2" w14:textId="77777777" w:rsidR="00CC55FC" w:rsidRPr="00BC31E0" w:rsidRDefault="00CC55FC" w:rsidP="00155FB1">
            <w:pPr>
              <w:autoSpaceDE w:val="0"/>
              <w:autoSpaceDN w:val="0"/>
              <w:jc w:val="center"/>
            </w:pPr>
            <w:r w:rsidRPr="00BC31E0">
              <w:rPr>
                <w:rFonts w:hint="eastAsia"/>
              </w:rPr>
              <w:t>その他</w:t>
            </w:r>
          </w:p>
        </w:tc>
        <w:tc>
          <w:tcPr>
            <w:tcW w:w="1592" w:type="dxa"/>
            <w:vMerge w:val="restart"/>
            <w:tcBorders>
              <w:left w:val="single" w:sz="4" w:space="0" w:color="auto"/>
              <w:right w:val="single" w:sz="4" w:space="0" w:color="auto"/>
            </w:tcBorders>
            <w:vAlign w:val="center"/>
          </w:tcPr>
          <w:p w14:paraId="21D10E47" w14:textId="77777777" w:rsidR="00155FB1" w:rsidRPr="00BC31E0" w:rsidRDefault="00CC55FC" w:rsidP="00155FB1">
            <w:pPr>
              <w:autoSpaceDE w:val="0"/>
              <w:autoSpaceDN w:val="0"/>
              <w:jc w:val="center"/>
            </w:pPr>
            <w:r w:rsidRPr="00BC31E0">
              <w:rPr>
                <w:rFonts w:hint="eastAsia"/>
              </w:rPr>
              <w:t>主圧延方向に</w:t>
            </w:r>
          </w:p>
          <w:p w14:paraId="6C1D7C1A" w14:textId="77777777" w:rsidR="00CC55FC" w:rsidRPr="00BC31E0" w:rsidRDefault="00CC55FC" w:rsidP="00155FB1">
            <w:pPr>
              <w:autoSpaceDE w:val="0"/>
              <w:autoSpaceDN w:val="0"/>
              <w:jc w:val="center"/>
            </w:pPr>
            <w:r w:rsidRPr="00BC31E0">
              <w:rPr>
                <w:rFonts w:hint="eastAsia"/>
              </w:rPr>
              <w:t>直角な方向</w:t>
            </w:r>
          </w:p>
        </w:tc>
        <w:tc>
          <w:tcPr>
            <w:tcW w:w="1275" w:type="dxa"/>
            <w:vMerge w:val="restart"/>
            <w:tcBorders>
              <w:left w:val="single" w:sz="4" w:space="0" w:color="auto"/>
              <w:right w:val="single" w:sz="4" w:space="0" w:color="auto"/>
            </w:tcBorders>
            <w:vAlign w:val="center"/>
          </w:tcPr>
          <w:p w14:paraId="422EE822" w14:textId="77777777" w:rsidR="00CC55FC" w:rsidRPr="00BC31E0" w:rsidRDefault="00CC55FC" w:rsidP="00155FB1">
            <w:pPr>
              <w:autoSpaceDE w:val="0"/>
              <w:autoSpaceDN w:val="0"/>
              <w:jc w:val="center"/>
            </w:pPr>
            <w:r w:rsidRPr="00BC31E0">
              <w:rPr>
                <w:rFonts w:hint="eastAsia"/>
              </w:rPr>
              <w:t>全寸法</w:t>
            </w:r>
          </w:p>
        </w:tc>
        <w:tc>
          <w:tcPr>
            <w:tcW w:w="2268" w:type="dxa"/>
            <w:tcBorders>
              <w:left w:val="single" w:sz="4" w:space="0" w:color="auto"/>
              <w:right w:val="single" w:sz="4" w:space="0" w:color="auto"/>
            </w:tcBorders>
            <w:vAlign w:val="center"/>
          </w:tcPr>
          <w:p w14:paraId="1C8C2F67" w14:textId="77777777" w:rsidR="00CC55FC" w:rsidRPr="00BC31E0" w:rsidRDefault="00CC55FC" w:rsidP="00155FB1">
            <w:pPr>
              <w:autoSpaceDE w:val="0"/>
              <w:autoSpaceDN w:val="0"/>
              <w:rPr>
                <w:sz w:val="20"/>
                <w:szCs w:val="20"/>
              </w:rPr>
            </w:pPr>
            <w:r w:rsidRPr="00BC31E0">
              <w:rPr>
                <w:rFonts w:asciiTheme="minorHAnsi" w:hAnsiTheme="minorHAnsi"/>
                <w:sz w:val="20"/>
                <w:szCs w:val="20"/>
              </w:rPr>
              <w:t>3</w:t>
            </w:r>
            <w:r w:rsidRPr="00BC31E0">
              <w:rPr>
                <w:rFonts w:hint="eastAsia"/>
                <w:sz w:val="20"/>
                <w:szCs w:val="20"/>
              </w:rPr>
              <w:t>個の試験片の平均値</w:t>
            </w:r>
          </w:p>
        </w:tc>
        <w:tc>
          <w:tcPr>
            <w:tcW w:w="1417" w:type="dxa"/>
            <w:tcBorders>
              <w:left w:val="single" w:sz="4" w:space="0" w:color="auto"/>
              <w:right w:val="single" w:sz="4" w:space="0" w:color="auto"/>
            </w:tcBorders>
            <w:vAlign w:val="center"/>
          </w:tcPr>
          <w:p w14:paraId="49034E18" w14:textId="77777777" w:rsidR="00CC55FC" w:rsidRPr="00BC31E0" w:rsidRDefault="00CC55FC" w:rsidP="00155FB1">
            <w:pPr>
              <w:autoSpaceDE w:val="0"/>
              <w:autoSpaceDN w:val="0"/>
              <w:jc w:val="center"/>
            </w:pPr>
            <w:r w:rsidRPr="00BC31E0">
              <w:t>41</w:t>
            </w:r>
          </w:p>
        </w:tc>
        <w:tc>
          <w:tcPr>
            <w:tcW w:w="1418" w:type="dxa"/>
            <w:tcBorders>
              <w:left w:val="single" w:sz="4" w:space="0" w:color="auto"/>
            </w:tcBorders>
            <w:vAlign w:val="center"/>
          </w:tcPr>
          <w:p w14:paraId="1ED7DA18" w14:textId="77777777" w:rsidR="00CC55FC" w:rsidRPr="00BC31E0" w:rsidRDefault="00CC55FC" w:rsidP="00155FB1">
            <w:pPr>
              <w:autoSpaceDE w:val="0"/>
              <w:autoSpaceDN w:val="0"/>
              <w:jc w:val="center"/>
            </w:pPr>
            <w:r w:rsidRPr="00BC31E0">
              <w:t>47</w:t>
            </w:r>
          </w:p>
        </w:tc>
      </w:tr>
      <w:tr w:rsidR="00CC55FC" w:rsidRPr="00BC31E0" w14:paraId="34999B0D" w14:textId="77777777" w:rsidTr="00155FB1">
        <w:tc>
          <w:tcPr>
            <w:tcW w:w="1102" w:type="dxa"/>
            <w:vMerge/>
            <w:tcBorders>
              <w:right w:val="single" w:sz="4" w:space="0" w:color="auto"/>
            </w:tcBorders>
            <w:vAlign w:val="center"/>
          </w:tcPr>
          <w:p w14:paraId="16606292" w14:textId="77777777" w:rsidR="00CC55FC" w:rsidRPr="00BC31E0" w:rsidRDefault="00CC55FC" w:rsidP="00155FB1">
            <w:pPr>
              <w:autoSpaceDE w:val="0"/>
              <w:autoSpaceDN w:val="0"/>
              <w:jc w:val="center"/>
            </w:pPr>
          </w:p>
        </w:tc>
        <w:tc>
          <w:tcPr>
            <w:tcW w:w="1592" w:type="dxa"/>
            <w:vMerge/>
            <w:tcBorders>
              <w:left w:val="single" w:sz="4" w:space="0" w:color="auto"/>
              <w:right w:val="single" w:sz="4" w:space="0" w:color="auto"/>
            </w:tcBorders>
            <w:vAlign w:val="center"/>
          </w:tcPr>
          <w:p w14:paraId="0AB22DD8" w14:textId="77777777" w:rsidR="00CC55FC" w:rsidRPr="00BC31E0" w:rsidRDefault="00CC55FC" w:rsidP="00155FB1">
            <w:pPr>
              <w:autoSpaceDE w:val="0"/>
              <w:autoSpaceDN w:val="0"/>
              <w:jc w:val="center"/>
            </w:pPr>
          </w:p>
        </w:tc>
        <w:tc>
          <w:tcPr>
            <w:tcW w:w="1275" w:type="dxa"/>
            <w:vMerge/>
            <w:tcBorders>
              <w:left w:val="single" w:sz="4" w:space="0" w:color="auto"/>
              <w:right w:val="single" w:sz="4" w:space="0" w:color="auto"/>
            </w:tcBorders>
            <w:vAlign w:val="center"/>
          </w:tcPr>
          <w:p w14:paraId="709570C9" w14:textId="77777777" w:rsidR="00CC55FC" w:rsidRPr="00BC31E0" w:rsidRDefault="00CC55FC" w:rsidP="00155FB1">
            <w:pPr>
              <w:autoSpaceDE w:val="0"/>
              <w:autoSpaceDN w:val="0"/>
              <w:jc w:val="center"/>
            </w:pPr>
          </w:p>
        </w:tc>
        <w:tc>
          <w:tcPr>
            <w:tcW w:w="2268" w:type="dxa"/>
            <w:tcBorders>
              <w:left w:val="single" w:sz="4" w:space="0" w:color="auto"/>
              <w:right w:val="single" w:sz="4" w:space="0" w:color="auto"/>
            </w:tcBorders>
            <w:vAlign w:val="center"/>
          </w:tcPr>
          <w:p w14:paraId="3014CD80" w14:textId="77777777" w:rsidR="00CC55FC" w:rsidRPr="00BC31E0" w:rsidRDefault="00CC55FC" w:rsidP="00155FB1">
            <w:pPr>
              <w:autoSpaceDE w:val="0"/>
              <w:autoSpaceDN w:val="0"/>
              <w:rPr>
                <w:sz w:val="20"/>
                <w:szCs w:val="20"/>
              </w:rPr>
            </w:pPr>
            <w:r w:rsidRPr="00BC31E0">
              <w:rPr>
                <w:rFonts w:hint="eastAsia"/>
                <w:sz w:val="20"/>
                <w:szCs w:val="20"/>
              </w:rPr>
              <w:t>個々の試験片の最小値</w:t>
            </w:r>
          </w:p>
        </w:tc>
        <w:tc>
          <w:tcPr>
            <w:tcW w:w="1417" w:type="dxa"/>
            <w:tcBorders>
              <w:left w:val="single" w:sz="4" w:space="0" w:color="auto"/>
              <w:right w:val="single" w:sz="4" w:space="0" w:color="auto"/>
            </w:tcBorders>
            <w:vAlign w:val="center"/>
          </w:tcPr>
          <w:p w14:paraId="291C725B" w14:textId="77777777" w:rsidR="00CC55FC" w:rsidRPr="00BC31E0" w:rsidRDefault="00CC55FC" w:rsidP="00155FB1">
            <w:pPr>
              <w:autoSpaceDE w:val="0"/>
              <w:autoSpaceDN w:val="0"/>
              <w:jc w:val="center"/>
            </w:pPr>
            <w:r w:rsidRPr="00BC31E0">
              <w:t>33</w:t>
            </w:r>
          </w:p>
        </w:tc>
        <w:tc>
          <w:tcPr>
            <w:tcW w:w="1418" w:type="dxa"/>
            <w:tcBorders>
              <w:left w:val="single" w:sz="4" w:space="0" w:color="auto"/>
            </w:tcBorders>
            <w:vAlign w:val="center"/>
          </w:tcPr>
          <w:p w14:paraId="435BD225" w14:textId="77777777" w:rsidR="00CC55FC" w:rsidRPr="00BC31E0" w:rsidRDefault="00CC55FC" w:rsidP="00155FB1">
            <w:pPr>
              <w:autoSpaceDE w:val="0"/>
              <w:autoSpaceDN w:val="0"/>
              <w:jc w:val="center"/>
            </w:pPr>
            <w:r w:rsidRPr="00BC31E0">
              <w:t>38</w:t>
            </w:r>
          </w:p>
        </w:tc>
      </w:tr>
    </w:tbl>
    <w:p w14:paraId="03DE11C0" w14:textId="77777777" w:rsidR="00CC55FC" w:rsidRPr="00BC31E0" w:rsidRDefault="00CC55FC" w:rsidP="00D343D0">
      <w:pPr>
        <w:autoSpaceDE w:val="0"/>
        <w:autoSpaceDN w:val="0"/>
        <w:spacing w:before="60"/>
      </w:pPr>
      <w:r w:rsidRPr="00BC31E0">
        <w:rPr>
          <w:rFonts w:ascii="ＭＳ ゴシック" w:eastAsia="ＭＳ ゴシック" w:hAnsi="ＭＳ ゴシック" w:hint="eastAsia"/>
          <w:b/>
          <w:bCs/>
        </w:rPr>
        <w:t xml:space="preserve">注記1　</w:t>
      </w:r>
      <w:r w:rsidRPr="00BC31E0">
        <w:rPr>
          <w:rFonts w:hint="eastAsia"/>
        </w:rPr>
        <w:t>試験片方向</w:t>
      </w:r>
      <w:r w:rsidR="00242393" w:rsidRPr="00BC31E0">
        <w:rPr>
          <w:rFonts w:hint="eastAsia"/>
        </w:rPr>
        <w:t>の主圧延方向</w:t>
      </w:r>
      <w:r w:rsidRPr="00BC31E0">
        <w:rPr>
          <w:rFonts w:hint="eastAsia"/>
        </w:rPr>
        <w:t>は</w:t>
      </w:r>
      <w:r w:rsidR="00242393" w:rsidRPr="00BC31E0">
        <w:rPr>
          <w:rFonts w:hint="eastAsia"/>
        </w:rPr>
        <w:t>，</w:t>
      </w:r>
      <w:r w:rsidRPr="00BC31E0">
        <w:rPr>
          <w:rFonts w:hint="eastAsia"/>
        </w:rPr>
        <w:t>ボルトの軸方向である。</w:t>
      </w:r>
    </w:p>
    <w:p w14:paraId="795BA5EC" w14:textId="77777777" w:rsidR="00CC55FC" w:rsidRPr="00BC31E0" w:rsidRDefault="00CC55FC" w:rsidP="00692530">
      <w:pPr>
        <w:autoSpaceDE w:val="0"/>
        <w:autoSpaceDN w:val="0"/>
        <w:ind w:left="738" w:hangingChars="350" w:hanging="738"/>
      </w:pPr>
      <w:r w:rsidRPr="00BC31E0">
        <w:rPr>
          <w:rFonts w:eastAsia="ＭＳ ゴシック" w:hint="eastAsia"/>
          <w:b/>
        </w:rPr>
        <w:t>注記</w:t>
      </w:r>
      <w:r w:rsidRPr="00BC31E0">
        <w:rPr>
          <w:rFonts w:ascii="ＭＳ ゴシック" w:eastAsia="ＭＳ ゴシック" w:hAnsi="ＭＳ ゴシック" w:hint="eastAsia"/>
          <w:b/>
          <w:bCs/>
        </w:rPr>
        <w:t xml:space="preserve">2　</w:t>
      </w:r>
      <w:r w:rsidRPr="00BC31E0">
        <w:rPr>
          <w:rFonts w:hint="eastAsia"/>
        </w:rPr>
        <w:t>衝撃値は，</w:t>
      </w:r>
      <w:r w:rsidRPr="00BC31E0">
        <w:t>10 mm×10 mm</w:t>
      </w:r>
      <w:r w:rsidRPr="00BC31E0">
        <w:rPr>
          <w:rFonts w:hint="eastAsia"/>
        </w:rPr>
        <w:t xml:space="preserve"> </w:t>
      </w:r>
      <w:r w:rsidRPr="00BC31E0">
        <w:rPr>
          <w:rFonts w:hint="eastAsia"/>
        </w:rPr>
        <w:t>標準試験片に対する</w:t>
      </w:r>
      <w:r w:rsidR="001A405A" w:rsidRPr="00BC31E0">
        <w:rPr>
          <w:rFonts w:hint="eastAsia"/>
        </w:rPr>
        <w:t>値</w:t>
      </w:r>
      <w:r w:rsidRPr="00BC31E0">
        <w:rPr>
          <w:rFonts w:hint="eastAsia"/>
        </w:rPr>
        <w:t>である。</w:t>
      </w:r>
    </w:p>
    <w:p w14:paraId="4BF95142" w14:textId="77777777" w:rsidR="00CC55FC" w:rsidRPr="00BC31E0" w:rsidRDefault="00CC55FC" w:rsidP="00692530">
      <w:pPr>
        <w:autoSpaceDE w:val="0"/>
        <w:autoSpaceDN w:val="0"/>
        <w:ind w:left="737"/>
      </w:pPr>
      <w:r w:rsidRPr="00BC31E0">
        <w:rPr>
          <w:rFonts w:hint="eastAsia"/>
        </w:rPr>
        <w:t>サブサイズ試験片の場合には，</w:t>
      </w:r>
      <w:r w:rsidRPr="00BC31E0">
        <w:t>10 mm×10 mm</w:t>
      </w:r>
      <w:r w:rsidRPr="00BC31E0">
        <w:rPr>
          <w:rFonts w:hint="eastAsia"/>
        </w:rPr>
        <w:t xml:space="preserve"> </w:t>
      </w:r>
      <w:r w:rsidRPr="00BC31E0">
        <w:rPr>
          <w:rFonts w:hint="eastAsia"/>
        </w:rPr>
        <w:t>標準試験片の衝撃値に，</w:t>
      </w:r>
    </w:p>
    <w:p w14:paraId="36AF3B00" w14:textId="77777777" w:rsidR="00CC55FC" w:rsidRPr="00BC31E0" w:rsidRDefault="00CC55FC" w:rsidP="00692530">
      <w:pPr>
        <w:autoSpaceDE w:val="0"/>
        <w:autoSpaceDN w:val="0"/>
        <w:ind w:left="737"/>
      </w:pPr>
      <w:r w:rsidRPr="00BC31E0">
        <w:rPr>
          <w:rFonts w:hint="eastAsia"/>
        </w:rPr>
        <w:t>(</w:t>
      </w:r>
      <w:r w:rsidRPr="00BC31E0">
        <w:rPr>
          <w:rFonts w:hint="eastAsia"/>
        </w:rPr>
        <w:t>実試験片の幅</w:t>
      </w:r>
      <w:r w:rsidRPr="00BC31E0">
        <w:rPr>
          <w:rFonts w:hint="eastAsia"/>
        </w:rPr>
        <w:t>)</w:t>
      </w:r>
      <w:r w:rsidRPr="00BC31E0">
        <w:rPr>
          <w:rFonts w:hint="eastAsia"/>
        </w:rPr>
        <w:t>／</w:t>
      </w:r>
      <w:r w:rsidRPr="00BC31E0">
        <w:rPr>
          <w:rFonts w:hint="eastAsia"/>
        </w:rPr>
        <w:t>(</w:t>
      </w:r>
      <w:r w:rsidRPr="00BC31E0">
        <w:t>10 mm×10 mm</w:t>
      </w:r>
      <w:r w:rsidRPr="00BC31E0">
        <w:rPr>
          <w:rFonts w:hint="eastAsia"/>
        </w:rPr>
        <w:t xml:space="preserve"> </w:t>
      </w:r>
      <w:r w:rsidRPr="00BC31E0">
        <w:rPr>
          <w:rFonts w:hint="eastAsia"/>
        </w:rPr>
        <w:t>標準試験片の幅</w:t>
      </w:r>
      <w:r w:rsidRPr="00BC31E0">
        <w:rPr>
          <w:rFonts w:hint="eastAsia"/>
        </w:rPr>
        <w:t>)</w:t>
      </w:r>
      <w:r w:rsidRPr="00BC31E0">
        <w:rPr>
          <w:rFonts w:hint="eastAsia"/>
        </w:rPr>
        <w:t>の比を掛けた値とする。</w:t>
      </w:r>
    </w:p>
    <w:p w14:paraId="7B7749A9" w14:textId="77777777" w:rsidR="00CC55FC" w:rsidRPr="00BC31E0" w:rsidRDefault="00CC55FC" w:rsidP="00692530">
      <w:pPr>
        <w:autoSpaceDE w:val="0"/>
        <w:autoSpaceDN w:val="0"/>
      </w:pPr>
      <w:r w:rsidRPr="00BC31E0">
        <w:rPr>
          <w:rFonts w:eastAsia="ＭＳ ゴシック" w:hint="eastAsia"/>
          <w:b/>
        </w:rPr>
        <w:t>注記</w:t>
      </w:r>
      <w:r w:rsidRPr="00BC31E0">
        <w:rPr>
          <w:rFonts w:ascii="ＭＳ ゴシック" w:eastAsia="ＭＳ ゴシック" w:hAnsi="ＭＳ ゴシック" w:cs="Tahoma"/>
          <w:b/>
          <w:bCs/>
        </w:rPr>
        <w:t>3</w:t>
      </w:r>
      <w:r w:rsidRPr="00BC31E0">
        <w:rPr>
          <w:rFonts w:ascii="ＭＳ ゴシック" w:eastAsia="ＭＳ ゴシック" w:hAnsi="ＭＳ ゴシック" w:cs="Tahoma" w:hint="eastAsia"/>
          <w:b/>
          <w:bCs/>
        </w:rPr>
        <w:t xml:space="preserve">  </w:t>
      </w:r>
      <w:r w:rsidRPr="00BC31E0">
        <w:rPr>
          <w:rFonts w:ascii="ＭＳ ゴシック" w:eastAsia="ＭＳ ゴシック" w:hAnsi="ＭＳ ゴシック" w:hint="eastAsia"/>
          <w:b/>
        </w:rPr>
        <w:t xml:space="preserve">ASME </w:t>
      </w:r>
      <w:r w:rsidRPr="00BC31E0">
        <w:rPr>
          <w:rFonts w:eastAsia="ＭＳ ゴシック"/>
        </w:rPr>
        <w:t>SA-320</w:t>
      </w:r>
      <w:r w:rsidR="00155FB1" w:rsidRPr="00BC31E0">
        <w:rPr>
          <w:rFonts w:eastAsia="ＭＳ ゴシック" w:hint="eastAsia"/>
        </w:rPr>
        <w:t>M</w:t>
      </w:r>
      <w:r w:rsidRPr="00BC31E0">
        <w:rPr>
          <w:rFonts w:hint="eastAsia"/>
        </w:rPr>
        <w:t>の場合は，衝撃試験温度の要求も含めて材料規格による。</w:t>
      </w:r>
    </w:p>
    <w:p w14:paraId="2A51D05B" w14:textId="77777777" w:rsidR="00CC55FC" w:rsidRPr="00BC31E0" w:rsidRDefault="00CC55FC" w:rsidP="00692530">
      <w:pPr>
        <w:autoSpaceDE w:val="0"/>
        <w:autoSpaceDN w:val="0"/>
      </w:pPr>
      <w:r w:rsidRPr="00BC31E0">
        <w:rPr>
          <w:rFonts w:ascii="ＭＳ ゴシック" w:eastAsia="ＭＳ ゴシック" w:hint="eastAsia"/>
          <w:b/>
        </w:rPr>
        <w:t>注記4</w:t>
      </w:r>
      <w:r w:rsidRPr="00BC31E0">
        <w:rPr>
          <w:rFonts w:hint="eastAsia"/>
        </w:rPr>
        <w:t xml:space="preserve">　再試験については，</w:t>
      </w:r>
      <w:r w:rsidRPr="00BC31E0">
        <w:rPr>
          <w:rFonts w:ascii="ＭＳ ゴシック" w:hAnsi="ＭＳ ゴシック" w:hint="eastAsia"/>
          <w:b/>
        </w:rPr>
        <w:t>5.2.10</w:t>
      </w:r>
      <w:r w:rsidRPr="00BC31E0">
        <w:rPr>
          <w:rFonts w:hint="eastAsia"/>
        </w:rPr>
        <w:t>による。</w:t>
      </w:r>
    </w:p>
    <w:p w14:paraId="1FB3058F" w14:textId="77777777" w:rsidR="00155FB1" w:rsidRPr="00BC31E0" w:rsidRDefault="00155FB1" w:rsidP="00692530">
      <w:pPr>
        <w:autoSpaceDE w:val="0"/>
        <w:autoSpaceDN w:val="0"/>
      </w:pPr>
    </w:p>
    <w:p w14:paraId="31E8F1E7" w14:textId="77777777" w:rsidR="007D7370" w:rsidRPr="00BC31E0" w:rsidRDefault="007D7370" w:rsidP="00154923">
      <w:pPr>
        <w:pStyle w:val="20"/>
        <w:tabs>
          <w:tab w:val="clear" w:pos="284"/>
        </w:tabs>
        <w:ind w:left="567" w:hanging="567"/>
      </w:pPr>
      <w:bookmarkStart w:id="28" w:name="_Toc357672085"/>
      <w:bookmarkStart w:id="29" w:name="_Toc120092518"/>
      <w:r w:rsidRPr="00BC31E0">
        <w:rPr>
          <w:rFonts w:hint="eastAsia"/>
        </w:rPr>
        <w:t>ボルトの追加規定</w:t>
      </w:r>
      <w:bookmarkEnd w:id="28"/>
      <w:bookmarkEnd w:id="29"/>
    </w:p>
    <w:p w14:paraId="5094F22D" w14:textId="77777777" w:rsidR="007D7370" w:rsidRPr="00BC31E0" w:rsidRDefault="007D7370" w:rsidP="00337039">
      <w:pPr>
        <w:pStyle w:val="3"/>
        <w:tabs>
          <w:tab w:val="clear" w:pos="284"/>
        </w:tabs>
        <w:ind w:left="794" w:hanging="794"/>
      </w:pPr>
      <w:r w:rsidRPr="00BC31E0">
        <w:rPr>
          <w:rFonts w:hint="eastAsia"/>
        </w:rPr>
        <w:t>適用範囲</w:t>
      </w:r>
    </w:p>
    <w:p w14:paraId="7D1B7838" w14:textId="77777777" w:rsidR="007D7370" w:rsidRPr="00BC31E0" w:rsidRDefault="007D7370" w:rsidP="00781771">
      <w:pPr>
        <w:pStyle w:val="1110"/>
        <w:ind w:firstLine="210"/>
      </w:pPr>
      <w:r w:rsidRPr="00BC31E0">
        <w:rPr>
          <w:rFonts w:hint="eastAsia"/>
        </w:rPr>
        <w:t>この項は，ボルト，植込みボルト，ナット，座金などの金属製締結用部品材料について規定する。</w:t>
      </w:r>
    </w:p>
    <w:p w14:paraId="21DFEE50" w14:textId="77777777" w:rsidR="007D7370" w:rsidRPr="00BC31E0" w:rsidRDefault="007D7370" w:rsidP="00337039">
      <w:pPr>
        <w:pStyle w:val="3"/>
        <w:tabs>
          <w:tab w:val="clear" w:pos="284"/>
        </w:tabs>
        <w:ind w:left="794" w:hanging="794"/>
      </w:pPr>
      <w:r w:rsidRPr="00BC31E0">
        <w:rPr>
          <w:rFonts w:hint="eastAsia"/>
        </w:rPr>
        <w:t>材料規格と降伏点又は</w:t>
      </w:r>
      <w:r w:rsidRPr="00BC31E0">
        <w:rPr>
          <w:rFonts w:asciiTheme="majorEastAsia" w:eastAsiaTheme="majorEastAsia" w:hAnsiTheme="majorEastAsia"/>
        </w:rPr>
        <w:t>0.2 %</w:t>
      </w:r>
      <w:r w:rsidRPr="00BC31E0">
        <w:rPr>
          <w:rFonts w:hint="eastAsia"/>
        </w:rPr>
        <w:t>耐力</w:t>
      </w:r>
    </w:p>
    <w:p w14:paraId="26C6312E" w14:textId="77777777" w:rsidR="007D7370" w:rsidRPr="00BC31E0" w:rsidRDefault="007D7370" w:rsidP="00781771">
      <w:pPr>
        <w:pStyle w:val="1110"/>
        <w:ind w:firstLine="210"/>
      </w:pPr>
      <w:r w:rsidRPr="00BC31E0">
        <w:rPr>
          <w:rFonts w:hint="eastAsia"/>
        </w:rPr>
        <w:t>ボルト，植込みボルトに使用する材料は，</w:t>
      </w:r>
      <w:r w:rsidRPr="00BC31E0">
        <w:rPr>
          <w:rFonts w:ascii="ＭＳ ゴシック" w:eastAsia="ＭＳ ゴシック" w:hAnsi="ＭＳ ゴシック" w:hint="eastAsia"/>
          <w:b/>
        </w:rPr>
        <w:t xml:space="preserve">5.4 </w:t>
      </w:r>
      <w:r w:rsidRPr="00BC31E0">
        <w:rPr>
          <w:rFonts w:ascii="ＭＳ ゴシック" w:eastAsia="ＭＳ ゴシック" w:hAnsi="ＭＳ ゴシック" w:hint="eastAsia"/>
          <w:b/>
          <w:bCs/>
        </w:rPr>
        <w:t>a)</w:t>
      </w:r>
      <w:r w:rsidRPr="00BC31E0">
        <w:rPr>
          <w:rFonts w:hint="eastAsia"/>
        </w:rPr>
        <w:t>の規定による。各温度における降伏点又は</w:t>
      </w:r>
      <w:r w:rsidRPr="00BC31E0">
        <w:rPr>
          <w:rFonts w:asciiTheme="minorHAnsi" w:hAnsiTheme="minorHAnsi"/>
        </w:rPr>
        <w:t>0.2%</w:t>
      </w:r>
      <w:r w:rsidRPr="00BC31E0">
        <w:rPr>
          <w:rFonts w:hint="eastAsia"/>
        </w:rPr>
        <w:t>耐力は，</w:t>
      </w:r>
      <w:r w:rsidRPr="00BC31E0">
        <w:rPr>
          <w:rFonts w:ascii="ＭＳ ゴシック" w:eastAsia="ＭＳ ゴシック" w:hAnsi="ＭＳ ゴシック" w:hint="eastAsia"/>
          <w:b/>
        </w:rPr>
        <w:t>5.4</w:t>
      </w:r>
      <w:r w:rsidRPr="00BC31E0">
        <w:rPr>
          <w:rFonts w:ascii="ＭＳ ゴシック" w:eastAsia="ＭＳ ゴシック" w:hAnsi="ＭＳ ゴシック" w:hint="eastAsia"/>
          <w:b/>
          <w:bCs/>
        </w:rPr>
        <w:t xml:space="preserve"> b) 2)</w:t>
      </w:r>
      <w:r w:rsidRPr="00BC31E0">
        <w:rPr>
          <w:rFonts w:hint="eastAsia"/>
        </w:rPr>
        <w:t>の規定による。</w:t>
      </w:r>
    </w:p>
    <w:p w14:paraId="1C597B71" w14:textId="77777777" w:rsidR="007D7370" w:rsidRPr="00BC31E0" w:rsidRDefault="007D7370" w:rsidP="00337039">
      <w:pPr>
        <w:pStyle w:val="3"/>
        <w:tabs>
          <w:tab w:val="clear" w:pos="284"/>
        </w:tabs>
        <w:ind w:left="794" w:hanging="794"/>
      </w:pPr>
      <w:r w:rsidRPr="00BC31E0">
        <w:rPr>
          <w:rFonts w:hint="eastAsia"/>
        </w:rPr>
        <w:t>ボルト，植込みボルト，ナットの試験</w:t>
      </w:r>
    </w:p>
    <w:p w14:paraId="2FE16DB3" w14:textId="77777777" w:rsidR="007D7370" w:rsidRPr="00BC31E0" w:rsidRDefault="007D7370" w:rsidP="00781771">
      <w:pPr>
        <w:ind w:firstLineChars="100" w:firstLine="210"/>
      </w:pPr>
      <w:r w:rsidRPr="00BC31E0">
        <w:rPr>
          <w:rFonts w:hint="eastAsia"/>
        </w:rPr>
        <w:t>ボルト，植込みボルト，ナットの試験は，</w:t>
      </w:r>
      <w:r w:rsidRPr="00BC31E0">
        <w:rPr>
          <w:rFonts w:ascii="ＭＳ ゴシック" w:eastAsia="ＭＳ ゴシック" w:hAnsi="ＭＳ ゴシック" w:hint="eastAsia"/>
          <w:b/>
        </w:rPr>
        <w:t>9.2.8</w:t>
      </w:r>
      <w:r w:rsidRPr="00BC31E0">
        <w:rPr>
          <w:rFonts w:hint="eastAsia"/>
        </w:rPr>
        <w:t>を適用する。</w:t>
      </w:r>
    </w:p>
    <w:p w14:paraId="763A4916" w14:textId="77777777" w:rsidR="007D7370" w:rsidRPr="00BC31E0" w:rsidRDefault="007D7370" w:rsidP="00337039">
      <w:pPr>
        <w:pStyle w:val="3"/>
        <w:tabs>
          <w:tab w:val="clear" w:pos="284"/>
        </w:tabs>
        <w:ind w:left="794" w:hanging="794"/>
      </w:pPr>
      <w:r w:rsidRPr="00BC31E0">
        <w:rPr>
          <w:rFonts w:hint="eastAsia"/>
        </w:rPr>
        <w:t>植込みボルトの形状</w:t>
      </w:r>
    </w:p>
    <w:p w14:paraId="3512C1C3" w14:textId="77777777" w:rsidR="007D7370" w:rsidRPr="00BC31E0" w:rsidRDefault="007D7370" w:rsidP="00781771">
      <w:pPr>
        <w:ind w:firstLineChars="100" w:firstLine="210"/>
      </w:pPr>
      <w:r w:rsidRPr="00BC31E0">
        <w:rPr>
          <w:rFonts w:hint="eastAsia"/>
        </w:rPr>
        <w:t>植込みボルトの形状については，</w:t>
      </w:r>
      <w:r w:rsidRPr="00BC31E0">
        <w:rPr>
          <w:rFonts w:ascii="ＭＳ ゴシック" w:eastAsia="ＭＳ ゴシック" w:hAnsi="ＭＳ ゴシック" w:hint="eastAsia"/>
          <w:b/>
        </w:rPr>
        <w:t>6.6</w:t>
      </w:r>
      <w:r w:rsidRPr="00BC31E0">
        <w:rPr>
          <w:rFonts w:hint="eastAsia"/>
        </w:rPr>
        <w:t>を適用する。</w:t>
      </w:r>
    </w:p>
    <w:p w14:paraId="2BA0178E" w14:textId="77777777" w:rsidR="007D7370" w:rsidRPr="00BC31E0" w:rsidRDefault="007D7370" w:rsidP="00337039">
      <w:pPr>
        <w:pStyle w:val="3"/>
        <w:tabs>
          <w:tab w:val="clear" w:pos="284"/>
        </w:tabs>
        <w:ind w:left="794" w:hanging="794"/>
      </w:pPr>
      <w:r w:rsidRPr="00BC31E0">
        <w:rPr>
          <w:rFonts w:hint="eastAsia"/>
        </w:rPr>
        <w:t>座金の使用</w:t>
      </w:r>
    </w:p>
    <w:p w14:paraId="37B46187" w14:textId="77777777" w:rsidR="007D7370" w:rsidRPr="00BC31E0" w:rsidRDefault="007D7370" w:rsidP="00781771">
      <w:pPr>
        <w:ind w:firstLineChars="100" w:firstLine="210"/>
      </w:pPr>
      <w:r w:rsidRPr="00BC31E0">
        <w:rPr>
          <w:rFonts w:hint="eastAsia"/>
        </w:rPr>
        <w:t>座金の使用は任意である。ただし，使用する場合，座金の材料は圧延材又は鍛造材を用いる。</w:t>
      </w:r>
    </w:p>
    <w:p w14:paraId="1E0E41B3" w14:textId="77777777" w:rsidR="007D7370" w:rsidRPr="00BC31E0" w:rsidRDefault="007D7370" w:rsidP="00337039">
      <w:pPr>
        <w:pStyle w:val="3"/>
        <w:tabs>
          <w:tab w:val="clear" w:pos="284"/>
        </w:tabs>
        <w:ind w:left="794" w:hanging="794"/>
      </w:pPr>
      <w:r w:rsidRPr="00BC31E0">
        <w:rPr>
          <w:rFonts w:hint="eastAsia"/>
        </w:rPr>
        <w:t>ナットと座金の材料</w:t>
      </w:r>
    </w:p>
    <w:p w14:paraId="23FB38B6" w14:textId="77777777" w:rsidR="007D7370" w:rsidRPr="00BC31E0" w:rsidRDefault="007D7370" w:rsidP="00781771">
      <w:pPr>
        <w:ind w:firstLineChars="100" w:firstLine="210"/>
      </w:pPr>
      <w:r w:rsidRPr="00BC31E0">
        <w:rPr>
          <w:rFonts w:hint="eastAsia"/>
        </w:rPr>
        <w:t>ナットの材料は，</w:t>
      </w:r>
      <w:r w:rsidRPr="00BC31E0">
        <w:rPr>
          <w:rFonts w:ascii="ＭＳ ゴシック" w:hAnsi="ＭＳ ゴシック" w:hint="eastAsia"/>
          <w:b/>
        </w:rPr>
        <w:t>ASME Sec.II</w:t>
      </w:r>
      <w:r w:rsidRPr="00BC31E0">
        <w:rPr>
          <w:rFonts w:ascii="ＭＳ ゴシック" w:hAnsi="ＭＳ ゴシック" w:hint="eastAsia"/>
        </w:rPr>
        <w:t xml:space="preserve">, </w:t>
      </w:r>
      <w:r w:rsidRPr="00BC31E0">
        <w:rPr>
          <w:rFonts w:ascii="ＭＳ ゴシック" w:hAnsi="ＭＳ ゴシック" w:hint="eastAsia"/>
          <w:b/>
        </w:rPr>
        <w:t>Part A</w:t>
      </w:r>
      <w:r w:rsidRPr="00BC31E0">
        <w:rPr>
          <w:rFonts w:ascii="ＭＳ ゴシック" w:hAnsi="ＭＳ ゴシック" w:hint="eastAsia"/>
        </w:rPr>
        <w:t>の</w:t>
      </w:r>
      <w:r w:rsidRPr="00BC31E0">
        <w:t>SA-194</w:t>
      </w:r>
      <w:r w:rsidR="00F61E07" w:rsidRPr="00BC31E0">
        <w:rPr>
          <w:rFonts w:hint="eastAsia"/>
        </w:rPr>
        <w:t>M</w:t>
      </w:r>
      <w:r w:rsidRPr="00BC31E0">
        <w:rPr>
          <w:rFonts w:hint="eastAsia"/>
        </w:rPr>
        <w:t>又は次の</w:t>
      </w:r>
      <w:r w:rsidRPr="00BC31E0">
        <w:rPr>
          <w:rFonts w:ascii="ＭＳ ゴシック" w:hAnsi="ＭＳ ゴシック" w:hint="eastAsia"/>
          <w:b/>
        </w:rPr>
        <w:t>JIS</w:t>
      </w:r>
      <w:r w:rsidRPr="00BC31E0">
        <w:rPr>
          <w:rFonts w:hint="eastAsia"/>
        </w:rPr>
        <w:t>材料を使用する。</w:t>
      </w:r>
    </w:p>
    <w:p w14:paraId="77BB58EF" w14:textId="77777777" w:rsidR="007D7370" w:rsidRPr="00BC31E0" w:rsidRDefault="007D7370" w:rsidP="00781771">
      <w:pPr>
        <w:tabs>
          <w:tab w:val="left" w:pos="1985"/>
        </w:tabs>
        <w:ind w:leftChars="200" w:left="420"/>
      </w:pPr>
      <w:r w:rsidRPr="00BC31E0">
        <w:rPr>
          <w:rFonts w:asciiTheme="majorEastAsia" w:eastAsiaTheme="majorEastAsia" w:hAnsiTheme="majorEastAsia" w:hint="eastAsia"/>
          <w:b/>
        </w:rPr>
        <w:t>JIS G 3101</w:t>
      </w:r>
      <w:r w:rsidRPr="00BC31E0">
        <w:rPr>
          <w:rFonts w:hint="eastAsia"/>
        </w:rPr>
        <w:tab/>
        <w:t>SS400</w:t>
      </w:r>
    </w:p>
    <w:p w14:paraId="694FB937" w14:textId="77777777" w:rsidR="007D7370" w:rsidRPr="00BC31E0" w:rsidRDefault="007D7370" w:rsidP="00781771">
      <w:pPr>
        <w:tabs>
          <w:tab w:val="left" w:pos="1985"/>
        </w:tabs>
        <w:ind w:leftChars="200" w:left="420"/>
      </w:pPr>
      <w:r w:rsidRPr="00BC31E0">
        <w:rPr>
          <w:rFonts w:asciiTheme="majorEastAsia" w:eastAsiaTheme="majorEastAsia" w:hAnsiTheme="majorEastAsia" w:hint="eastAsia"/>
          <w:b/>
        </w:rPr>
        <w:t>JIS G 4051</w:t>
      </w:r>
      <w:r w:rsidRPr="00BC31E0">
        <w:rPr>
          <w:rFonts w:hint="eastAsia"/>
        </w:rPr>
        <w:tab/>
        <w:t>S20C(N)</w:t>
      </w:r>
      <w:r w:rsidRPr="00BC31E0">
        <w:rPr>
          <w:rFonts w:hint="eastAsia"/>
        </w:rPr>
        <w:t>，</w:t>
      </w:r>
      <w:r w:rsidRPr="00BC31E0">
        <w:rPr>
          <w:rFonts w:hint="eastAsia"/>
        </w:rPr>
        <w:t>S25C(N)</w:t>
      </w:r>
      <w:r w:rsidRPr="00BC31E0">
        <w:rPr>
          <w:rFonts w:hint="eastAsia"/>
        </w:rPr>
        <w:t>，</w:t>
      </w:r>
      <w:r w:rsidRPr="00BC31E0">
        <w:rPr>
          <w:rFonts w:hint="eastAsia"/>
        </w:rPr>
        <w:t>S45C(N)</w:t>
      </w:r>
    </w:p>
    <w:p w14:paraId="32815E81" w14:textId="77777777" w:rsidR="007D7370" w:rsidRPr="00BC31E0" w:rsidRDefault="007D7370" w:rsidP="00781771">
      <w:pPr>
        <w:tabs>
          <w:tab w:val="left" w:pos="1985"/>
        </w:tabs>
        <w:ind w:leftChars="200" w:left="420"/>
      </w:pPr>
      <w:r w:rsidRPr="00BC31E0">
        <w:rPr>
          <w:rFonts w:asciiTheme="majorEastAsia" w:eastAsiaTheme="majorEastAsia" w:hAnsiTheme="majorEastAsia" w:hint="eastAsia"/>
          <w:b/>
        </w:rPr>
        <w:t>JIS G 4303</w:t>
      </w:r>
      <w:r w:rsidRPr="00BC31E0">
        <w:rPr>
          <w:rFonts w:hint="eastAsia"/>
        </w:rPr>
        <w:tab/>
        <w:t>SUS304</w:t>
      </w:r>
      <w:r w:rsidRPr="00BC31E0">
        <w:rPr>
          <w:rFonts w:hint="eastAsia"/>
        </w:rPr>
        <w:t>，</w:t>
      </w:r>
      <w:r w:rsidRPr="00BC31E0">
        <w:rPr>
          <w:rFonts w:hint="eastAsia"/>
        </w:rPr>
        <w:t>SUS316</w:t>
      </w:r>
      <w:r w:rsidRPr="00BC31E0">
        <w:rPr>
          <w:rFonts w:hint="eastAsia"/>
        </w:rPr>
        <w:t>，</w:t>
      </w:r>
      <w:r w:rsidRPr="00BC31E0">
        <w:rPr>
          <w:rFonts w:hint="eastAsia"/>
        </w:rPr>
        <w:t>SUS321</w:t>
      </w:r>
      <w:r w:rsidRPr="00BC31E0">
        <w:rPr>
          <w:rFonts w:hint="eastAsia"/>
        </w:rPr>
        <w:t>，</w:t>
      </w:r>
      <w:r w:rsidRPr="00BC31E0">
        <w:rPr>
          <w:rFonts w:hint="eastAsia"/>
        </w:rPr>
        <w:t>SUS347</w:t>
      </w:r>
    </w:p>
    <w:p w14:paraId="28134771" w14:textId="77777777" w:rsidR="007D7370" w:rsidRPr="00BC31E0" w:rsidRDefault="007D7370" w:rsidP="00781771">
      <w:pPr>
        <w:ind w:firstLineChars="100" w:firstLine="210"/>
      </w:pPr>
      <w:r w:rsidRPr="00BC31E0">
        <w:rPr>
          <w:rFonts w:hint="eastAsia"/>
        </w:rPr>
        <w:t>座金の材料は，</w:t>
      </w:r>
      <w:r w:rsidRPr="00BC31E0">
        <w:rPr>
          <w:rFonts w:ascii="ＭＳ ゴシック" w:hAnsi="ＭＳ ゴシック" w:hint="eastAsia"/>
          <w:b/>
        </w:rPr>
        <w:t>ASME Sec.II</w:t>
      </w:r>
      <w:r w:rsidRPr="00BC31E0">
        <w:rPr>
          <w:rFonts w:asciiTheme="minorEastAsia" w:eastAsiaTheme="minorEastAsia" w:hAnsiTheme="minorEastAsia" w:hint="eastAsia"/>
        </w:rPr>
        <w:t xml:space="preserve">, </w:t>
      </w:r>
      <w:r w:rsidRPr="00BC31E0">
        <w:rPr>
          <w:rFonts w:ascii="ＭＳ ゴシック" w:hAnsi="ＭＳ ゴシック" w:hint="eastAsia"/>
          <w:b/>
        </w:rPr>
        <w:t>Part A</w:t>
      </w:r>
      <w:r w:rsidRPr="00BC31E0">
        <w:rPr>
          <w:rFonts w:ascii="ＭＳ ゴシック" w:hAnsi="ＭＳ ゴシック" w:hint="eastAsia"/>
        </w:rPr>
        <w:t>の</w:t>
      </w:r>
      <w:r w:rsidRPr="00BC31E0">
        <w:t>SA-194</w:t>
      </w:r>
      <w:r w:rsidR="00F61E07" w:rsidRPr="00BC31E0">
        <w:rPr>
          <w:rFonts w:hint="eastAsia"/>
        </w:rPr>
        <w:t>M</w:t>
      </w:r>
      <w:r w:rsidRPr="00BC31E0">
        <w:rPr>
          <w:rFonts w:hint="eastAsia"/>
        </w:rPr>
        <w:t>又は</w:t>
      </w:r>
      <w:r w:rsidRPr="00BC31E0">
        <w:rPr>
          <w:rFonts w:ascii="ＭＳ ゴシック" w:hAnsi="ＭＳ ゴシック" w:hint="eastAsia"/>
          <w:b/>
        </w:rPr>
        <w:t>JIS B 1256</w:t>
      </w:r>
      <w:r w:rsidRPr="00BC31E0">
        <w:rPr>
          <w:rFonts w:ascii="ＭＳ ゴシック" w:hAnsi="ＭＳ ゴシック" w:hint="eastAsia"/>
        </w:rPr>
        <w:t xml:space="preserve"> </w:t>
      </w:r>
      <w:r w:rsidRPr="00BC31E0">
        <w:rPr>
          <w:rFonts w:hint="eastAsia"/>
        </w:rPr>
        <w:t>平座金，</w:t>
      </w:r>
      <w:r w:rsidRPr="00BC31E0">
        <w:rPr>
          <w:rFonts w:ascii="ＭＳ ゴシック" w:hAnsi="ＭＳ ゴシック" w:hint="eastAsia"/>
          <w:b/>
        </w:rPr>
        <w:t xml:space="preserve">JIS B 1251 </w:t>
      </w:r>
      <w:r w:rsidRPr="00BC31E0">
        <w:rPr>
          <w:rFonts w:hint="eastAsia"/>
        </w:rPr>
        <w:t>ばね座金の適用範囲記載の材料</w:t>
      </w:r>
      <w:r w:rsidRPr="00BC31E0">
        <w:rPr>
          <w:rFonts w:hint="eastAsia"/>
        </w:rPr>
        <w:t>(</w:t>
      </w:r>
      <w:r w:rsidRPr="00BC31E0">
        <w:rPr>
          <w:rFonts w:hint="eastAsia"/>
        </w:rPr>
        <w:t>鋼及びステンレス鋼</w:t>
      </w:r>
      <w:r w:rsidRPr="00BC31E0">
        <w:rPr>
          <w:rFonts w:hint="eastAsia"/>
        </w:rPr>
        <w:t>)</w:t>
      </w:r>
      <w:r w:rsidRPr="00BC31E0">
        <w:rPr>
          <w:rFonts w:hint="eastAsia"/>
        </w:rPr>
        <w:t>に準拠する。</w:t>
      </w:r>
    </w:p>
    <w:p w14:paraId="06A885F5" w14:textId="77777777" w:rsidR="007D7370" w:rsidRPr="00BC31E0" w:rsidRDefault="007D7370" w:rsidP="00B44F49">
      <w:pPr>
        <w:pStyle w:val="3"/>
        <w:tabs>
          <w:tab w:val="clear" w:pos="284"/>
        </w:tabs>
        <w:ind w:left="794" w:hanging="794"/>
      </w:pPr>
      <w:r w:rsidRPr="00BC31E0">
        <w:rPr>
          <w:rFonts w:hint="eastAsia"/>
        </w:rPr>
        <w:t>ボルトに対する要求</w:t>
      </w:r>
    </w:p>
    <w:p w14:paraId="0A27BB8F" w14:textId="77777777" w:rsidR="007D7370" w:rsidRPr="00BC31E0" w:rsidRDefault="007D7370" w:rsidP="00781771">
      <w:pPr>
        <w:ind w:firstLineChars="100" w:firstLine="210"/>
      </w:pPr>
      <w:r w:rsidRPr="00BC31E0">
        <w:rPr>
          <w:rFonts w:hint="eastAsia"/>
        </w:rPr>
        <w:t>ボルトは，一旦仕上げて面取りを行った後，最終仕上げを行う。ボルトねじ公差は，次の基準</w:t>
      </w:r>
      <w:r w:rsidRPr="00BC31E0">
        <w:rPr>
          <w:rFonts w:hint="eastAsia"/>
        </w:rPr>
        <w:lastRenderedPageBreak/>
        <w:t>による。</w:t>
      </w:r>
    </w:p>
    <w:p w14:paraId="31530F3A" w14:textId="77777777" w:rsidR="007D7370" w:rsidRPr="00BC31E0" w:rsidRDefault="007D7370" w:rsidP="00781771">
      <w:pPr>
        <w:tabs>
          <w:tab w:val="left" w:pos="1985"/>
        </w:tabs>
        <w:ind w:left="454"/>
      </w:pPr>
      <w:r w:rsidRPr="00BC31E0">
        <w:rPr>
          <w:rFonts w:ascii="ＭＳ ゴシック" w:eastAsia="ＭＳ ゴシック" w:hAnsi="ＭＳ ゴシック" w:hint="eastAsia"/>
          <w:b/>
        </w:rPr>
        <w:t>JIS B 0209-1</w:t>
      </w:r>
      <w:r w:rsidRPr="00BC31E0">
        <w:rPr>
          <w:rFonts w:hint="eastAsia"/>
        </w:rPr>
        <w:tab/>
      </w:r>
      <w:r w:rsidRPr="00BC31E0">
        <w:rPr>
          <w:rFonts w:hint="eastAsia"/>
        </w:rPr>
        <w:t>一般用メートルねじ－公差－第</w:t>
      </w:r>
      <w:r w:rsidRPr="00BC31E0">
        <w:rPr>
          <w:rFonts w:hint="eastAsia"/>
        </w:rPr>
        <w:t>1</w:t>
      </w:r>
      <w:r w:rsidRPr="00BC31E0">
        <w:rPr>
          <w:rFonts w:hint="eastAsia"/>
        </w:rPr>
        <w:t>部　原則及び基礎データ</w:t>
      </w:r>
    </w:p>
    <w:p w14:paraId="5A7BF956" w14:textId="77777777" w:rsidR="007D7370" w:rsidRPr="00BC31E0" w:rsidRDefault="007D7370" w:rsidP="00781771">
      <w:pPr>
        <w:tabs>
          <w:tab w:val="left" w:pos="1985"/>
        </w:tabs>
        <w:ind w:left="454"/>
      </w:pPr>
      <w:r w:rsidRPr="00BC31E0">
        <w:rPr>
          <w:rFonts w:hint="eastAsia"/>
        </w:rPr>
        <w:tab/>
      </w:r>
      <w:r w:rsidRPr="00BC31E0">
        <w:rPr>
          <w:rFonts w:hint="eastAsia"/>
        </w:rPr>
        <w:t>おねじ外径の公差，有効径の公差　公差グレード</w:t>
      </w:r>
      <w:r w:rsidRPr="00BC31E0">
        <w:rPr>
          <w:rFonts w:hint="eastAsia"/>
        </w:rPr>
        <w:t>6</w:t>
      </w:r>
      <w:r w:rsidRPr="00BC31E0">
        <w:rPr>
          <w:rFonts w:hint="eastAsia"/>
        </w:rPr>
        <w:t>又は</w:t>
      </w:r>
      <w:r w:rsidRPr="00BC31E0">
        <w:rPr>
          <w:rFonts w:hint="eastAsia"/>
        </w:rPr>
        <w:t>4</w:t>
      </w:r>
    </w:p>
    <w:p w14:paraId="61194D34" w14:textId="77777777" w:rsidR="007D7370" w:rsidRPr="00BC31E0" w:rsidRDefault="007D7370" w:rsidP="00781771">
      <w:pPr>
        <w:tabs>
          <w:tab w:val="left" w:pos="1985"/>
        </w:tabs>
        <w:ind w:left="454"/>
      </w:pPr>
      <w:r w:rsidRPr="00BC31E0">
        <w:rPr>
          <w:rFonts w:hint="eastAsia"/>
        </w:rPr>
        <w:tab/>
      </w:r>
      <w:r w:rsidRPr="00BC31E0">
        <w:rPr>
          <w:rFonts w:hint="eastAsia"/>
        </w:rPr>
        <w:t>公差域クラス　はめあい区分精又は中で</w:t>
      </w:r>
      <w:r w:rsidRPr="00BC31E0">
        <w:rPr>
          <w:rFonts w:hint="eastAsia"/>
        </w:rPr>
        <w:t>N</w:t>
      </w:r>
      <w:r w:rsidRPr="00BC31E0">
        <w:rPr>
          <w:rFonts w:hint="eastAsia"/>
        </w:rPr>
        <w:t>又は</w:t>
      </w:r>
      <w:r w:rsidRPr="00BC31E0">
        <w:rPr>
          <w:rFonts w:hint="eastAsia"/>
        </w:rPr>
        <w:t>S</w:t>
      </w:r>
    </w:p>
    <w:p w14:paraId="22B3B27D" w14:textId="77777777" w:rsidR="007D7370" w:rsidRPr="00BC31E0" w:rsidRDefault="007D7370" w:rsidP="00781771">
      <w:pPr>
        <w:tabs>
          <w:tab w:val="left" w:pos="1985"/>
        </w:tabs>
        <w:ind w:left="454"/>
      </w:pPr>
      <w:r w:rsidRPr="00BC31E0">
        <w:rPr>
          <w:rFonts w:ascii="ＭＳ ゴシック" w:eastAsia="ＭＳ ゴシック" w:hAnsi="ＭＳ ゴシック" w:hint="eastAsia"/>
          <w:b/>
        </w:rPr>
        <w:t>JIS B 0210</w:t>
      </w:r>
      <w:r w:rsidRPr="00BC31E0">
        <w:rPr>
          <w:rFonts w:hint="eastAsia"/>
        </w:rPr>
        <w:tab/>
      </w:r>
      <w:r w:rsidRPr="00BC31E0">
        <w:rPr>
          <w:rFonts w:hint="eastAsia"/>
        </w:rPr>
        <w:t xml:space="preserve">ユニファイ並目ねじの許容限界寸法及び公差　</w:t>
      </w:r>
      <w:r w:rsidRPr="00BC31E0">
        <w:rPr>
          <w:rFonts w:hint="eastAsia"/>
        </w:rPr>
        <w:t>Class 2B</w:t>
      </w:r>
      <w:r w:rsidRPr="00BC31E0">
        <w:rPr>
          <w:rFonts w:hint="eastAsia"/>
        </w:rPr>
        <w:t>又は</w:t>
      </w:r>
      <w:r w:rsidRPr="00BC31E0">
        <w:rPr>
          <w:rFonts w:hint="eastAsia"/>
        </w:rPr>
        <w:t>Class 3B</w:t>
      </w:r>
    </w:p>
    <w:p w14:paraId="62D31CC8" w14:textId="77777777" w:rsidR="007D7370" w:rsidRPr="00BC31E0" w:rsidRDefault="007D7370" w:rsidP="00781771">
      <w:pPr>
        <w:tabs>
          <w:tab w:val="left" w:pos="1985"/>
        </w:tabs>
        <w:ind w:left="454"/>
      </w:pPr>
      <w:r w:rsidRPr="00BC31E0">
        <w:rPr>
          <w:rFonts w:ascii="ＭＳ ゴシック" w:eastAsia="ＭＳ ゴシック" w:hAnsi="ＭＳ ゴシック" w:hint="eastAsia"/>
          <w:b/>
        </w:rPr>
        <w:t>JIS B 0212</w:t>
      </w:r>
      <w:r w:rsidRPr="00BC31E0">
        <w:rPr>
          <w:rFonts w:hint="eastAsia"/>
        </w:rPr>
        <w:tab/>
      </w:r>
      <w:r w:rsidRPr="00BC31E0">
        <w:rPr>
          <w:rFonts w:hint="eastAsia"/>
        </w:rPr>
        <w:t xml:space="preserve">ユニファイ細目ねじの許容限界寸法及び公差　</w:t>
      </w:r>
      <w:r w:rsidRPr="00BC31E0">
        <w:rPr>
          <w:rFonts w:hint="eastAsia"/>
        </w:rPr>
        <w:t>Class 2B</w:t>
      </w:r>
      <w:r w:rsidRPr="00BC31E0">
        <w:rPr>
          <w:rFonts w:hint="eastAsia"/>
        </w:rPr>
        <w:t>又は</w:t>
      </w:r>
      <w:r w:rsidRPr="00BC31E0">
        <w:rPr>
          <w:rFonts w:hint="eastAsia"/>
        </w:rPr>
        <w:t>Class 3B</w:t>
      </w:r>
    </w:p>
    <w:p w14:paraId="58040769" w14:textId="77777777" w:rsidR="007D7370" w:rsidRPr="00BC31E0" w:rsidRDefault="007D7370" w:rsidP="00781771">
      <w:pPr>
        <w:tabs>
          <w:tab w:val="left" w:pos="1985"/>
        </w:tabs>
        <w:ind w:left="454"/>
      </w:pPr>
      <w:r w:rsidRPr="00BC31E0">
        <w:rPr>
          <w:rFonts w:ascii="ＭＳ ゴシック" w:eastAsia="ＭＳ ゴシック" w:hAnsi="ＭＳ ゴシック" w:hint="eastAsia"/>
          <w:b/>
        </w:rPr>
        <w:t>ASME B1.1</w:t>
      </w:r>
      <w:r w:rsidRPr="00BC31E0">
        <w:rPr>
          <w:rFonts w:hint="eastAsia"/>
        </w:rPr>
        <w:t xml:space="preserve">　</w:t>
      </w:r>
      <w:r w:rsidRPr="00BC31E0">
        <w:rPr>
          <w:rFonts w:hint="eastAsia"/>
        </w:rPr>
        <w:tab/>
        <w:t>Screw Thread Classes Class 2B</w:t>
      </w:r>
      <w:r w:rsidRPr="00BC31E0">
        <w:rPr>
          <w:rFonts w:hint="eastAsia"/>
        </w:rPr>
        <w:t>又は</w:t>
      </w:r>
      <w:r w:rsidRPr="00BC31E0">
        <w:rPr>
          <w:rFonts w:hint="eastAsia"/>
        </w:rPr>
        <w:t>Class 3B</w:t>
      </w:r>
    </w:p>
    <w:p w14:paraId="2D9D306C" w14:textId="77777777" w:rsidR="007D7370" w:rsidRPr="00BC31E0" w:rsidRDefault="007D7370" w:rsidP="00B44F49">
      <w:pPr>
        <w:pStyle w:val="3"/>
        <w:tabs>
          <w:tab w:val="clear" w:pos="284"/>
        </w:tabs>
        <w:ind w:left="794" w:hanging="794"/>
      </w:pPr>
      <w:r w:rsidRPr="00BC31E0">
        <w:rPr>
          <w:rFonts w:hint="eastAsia"/>
        </w:rPr>
        <w:t>ナットに対する要求</w:t>
      </w:r>
    </w:p>
    <w:p w14:paraId="02575A95" w14:textId="77777777" w:rsidR="007D7370" w:rsidRPr="00BC31E0" w:rsidRDefault="007D7370" w:rsidP="00781771">
      <w:pPr>
        <w:ind w:firstLineChars="100" w:firstLine="210"/>
      </w:pPr>
      <w:r w:rsidRPr="00BC31E0">
        <w:rPr>
          <w:rFonts w:hint="eastAsia"/>
        </w:rPr>
        <w:t>ナットに対する要求は，次の</w:t>
      </w:r>
      <w:r w:rsidRPr="00BC31E0">
        <w:rPr>
          <w:rFonts w:ascii="ＭＳ ゴシック" w:hAnsi="ＭＳ ゴシック" w:hint="eastAsia"/>
          <w:b/>
        </w:rPr>
        <w:t>a)</w:t>
      </w:r>
      <w:r w:rsidRPr="00BC31E0">
        <w:rPr>
          <w:rFonts w:hint="eastAsia"/>
        </w:rPr>
        <w:t>～</w:t>
      </w:r>
      <w:r w:rsidRPr="00BC31E0">
        <w:rPr>
          <w:rFonts w:ascii="ＭＳ ゴシック" w:hAnsi="ＭＳ ゴシック" w:hint="eastAsia"/>
          <w:b/>
        </w:rPr>
        <w:t>e)</w:t>
      </w:r>
      <w:r w:rsidRPr="00BC31E0">
        <w:rPr>
          <w:rFonts w:hint="eastAsia"/>
        </w:rPr>
        <w:t>による。</w:t>
      </w:r>
    </w:p>
    <w:p w14:paraId="6C3AB435" w14:textId="77777777" w:rsidR="007D7370" w:rsidRPr="00BC31E0" w:rsidRDefault="007D7370" w:rsidP="007E26D6">
      <w:pPr>
        <w:pStyle w:val="a4"/>
        <w:numPr>
          <w:ilvl w:val="0"/>
          <w:numId w:val="78"/>
        </w:numPr>
        <w:ind w:leftChars="0" w:left="454" w:hanging="454"/>
      </w:pPr>
      <w:r w:rsidRPr="00BC31E0">
        <w:rPr>
          <w:rFonts w:hint="eastAsia"/>
        </w:rPr>
        <w:t>ナットは，一旦仕上げて面取りを行った後，最終仕上げを行う。ナットねじ公差は次による。</w:t>
      </w:r>
    </w:p>
    <w:p w14:paraId="23204A4C" w14:textId="77777777" w:rsidR="007D7370" w:rsidRPr="00BC31E0" w:rsidRDefault="007D7370" w:rsidP="00781771">
      <w:pPr>
        <w:tabs>
          <w:tab w:val="left" w:pos="1985"/>
        </w:tabs>
        <w:ind w:left="454"/>
      </w:pPr>
      <w:r w:rsidRPr="00BC31E0">
        <w:rPr>
          <w:rFonts w:ascii="ＭＳ ゴシック" w:eastAsia="ＭＳ ゴシック" w:hAnsi="ＭＳ ゴシック" w:hint="eastAsia"/>
          <w:b/>
        </w:rPr>
        <w:t>JIS B 0209-1</w:t>
      </w:r>
      <w:r w:rsidRPr="00BC31E0">
        <w:rPr>
          <w:rFonts w:hint="eastAsia"/>
        </w:rPr>
        <w:tab/>
      </w:r>
      <w:r w:rsidRPr="00BC31E0">
        <w:rPr>
          <w:rFonts w:hint="eastAsia"/>
        </w:rPr>
        <w:t>一般用メートルねじ－公差－第</w:t>
      </w:r>
      <w:r w:rsidRPr="00BC31E0">
        <w:rPr>
          <w:rFonts w:hint="eastAsia"/>
        </w:rPr>
        <w:t>1</w:t>
      </w:r>
      <w:r w:rsidRPr="00BC31E0">
        <w:rPr>
          <w:rFonts w:hint="eastAsia"/>
        </w:rPr>
        <w:t>部　原則及び基礎データ</w:t>
      </w:r>
    </w:p>
    <w:p w14:paraId="28CF0586" w14:textId="77777777" w:rsidR="007D7370" w:rsidRPr="00BC31E0" w:rsidRDefault="007D7370" w:rsidP="00781771">
      <w:pPr>
        <w:tabs>
          <w:tab w:val="left" w:pos="1985"/>
        </w:tabs>
        <w:ind w:left="454"/>
      </w:pPr>
      <w:r w:rsidRPr="00BC31E0">
        <w:rPr>
          <w:rFonts w:hint="eastAsia"/>
        </w:rPr>
        <w:tab/>
      </w:r>
      <w:r w:rsidRPr="00BC31E0">
        <w:rPr>
          <w:rFonts w:hint="eastAsia"/>
        </w:rPr>
        <w:t>めねじ内径の公差，有効径の公差　公差グレード</w:t>
      </w:r>
      <w:r w:rsidRPr="00BC31E0">
        <w:rPr>
          <w:rFonts w:hint="eastAsia"/>
        </w:rPr>
        <w:t>6</w:t>
      </w:r>
      <w:r w:rsidRPr="00BC31E0">
        <w:rPr>
          <w:rFonts w:hint="eastAsia"/>
        </w:rPr>
        <w:t>，</w:t>
      </w:r>
      <w:r w:rsidRPr="00BC31E0">
        <w:rPr>
          <w:rFonts w:hint="eastAsia"/>
        </w:rPr>
        <w:t>5</w:t>
      </w:r>
      <w:r w:rsidRPr="00BC31E0">
        <w:rPr>
          <w:rFonts w:hint="eastAsia"/>
        </w:rPr>
        <w:t>又は</w:t>
      </w:r>
      <w:r w:rsidRPr="00BC31E0">
        <w:rPr>
          <w:rFonts w:hint="eastAsia"/>
        </w:rPr>
        <w:t>4</w:t>
      </w:r>
    </w:p>
    <w:p w14:paraId="2913BD33" w14:textId="77777777" w:rsidR="007D7370" w:rsidRPr="00BC31E0" w:rsidRDefault="007D7370" w:rsidP="00781771">
      <w:pPr>
        <w:tabs>
          <w:tab w:val="left" w:pos="1985"/>
        </w:tabs>
        <w:ind w:left="454"/>
      </w:pPr>
      <w:r w:rsidRPr="00BC31E0">
        <w:rPr>
          <w:rFonts w:hint="eastAsia"/>
        </w:rPr>
        <w:tab/>
      </w:r>
      <w:r w:rsidRPr="00BC31E0">
        <w:rPr>
          <w:rFonts w:hint="eastAsia"/>
        </w:rPr>
        <w:t>公差域クラス　はめあい区分精又は中で</w:t>
      </w:r>
      <w:r w:rsidRPr="00BC31E0">
        <w:rPr>
          <w:rFonts w:hint="eastAsia"/>
        </w:rPr>
        <w:t>N</w:t>
      </w:r>
      <w:r w:rsidRPr="00BC31E0">
        <w:rPr>
          <w:rFonts w:hint="eastAsia"/>
        </w:rPr>
        <w:t>又は</w:t>
      </w:r>
      <w:r w:rsidRPr="00BC31E0">
        <w:rPr>
          <w:rFonts w:hint="eastAsia"/>
        </w:rPr>
        <w:t>S</w:t>
      </w:r>
    </w:p>
    <w:p w14:paraId="754E06FF" w14:textId="77777777" w:rsidR="007D7370" w:rsidRPr="00BC31E0" w:rsidRDefault="007D7370" w:rsidP="00781771">
      <w:pPr>
        <w:tabs>
          <w:tab w:val="left" w:pos="1985"/>
        </w:tabs>
        <w:ind w:left="454"/>
      </w:pPr>
      <w:r w:rsidRPr="00BC31E0">
        <w:rPr>
          <w:rFonts w:ascii="ＭＳ ゴシック" w:eastAsia="ＭＳ ゴシック" w:hAnsi="ＭＳ ゴシック" w:hint="eastAsia"/>
          <w:b/>
        </w:rPr>
        <w:t>JIS B 0210</w:t>
      </w:r>
      <w:r w:rsidRPr="00BC31E0">
        <w:rPr>
          <w:rFonts w:hint="eastAsia"/>
        </w:rPr>
        <w:tab/>
      </w:r>
      <w:r w:rsidRPr="00BC31E0">
        <w:rPr>
          <w:rFonts w:hint="eastAsia"/>
        </w:rPr>
        <w:t xml:space="preserve">ユニファイ並目ねじの許容限界寸法及び公差　</w:t>
      </w:r>
      <w:r w:rsidRPr="00BC31E0">
        <w:rPr>
          <w:rFonts w:hint="eastAsia"/>
        </w:rPr>
        <w:t>Class 2B</w:t>
      </w:r>
      <w:r w:rsidRPr="00BC31E0">
        <w:rPr>
          <w:rFonts w:hint="eastAsia"/>
        </w:rPr>
        <w:t>又は</w:t>
      </w:r>
      <w:r w:rsidRPr="00BC31E0">
        <w:rPr>
          <w:rFonts w:hint="eastAsia"/>
        </w:rPr>
        <w:t>Class 3B</w:t>
      </w:r>
    </w:p>
    <w:p w14:paraId="4D6F4AB0" w14:textId="77777777" w:rsidR="007D7370" w:rsidRPr="00BC31E0" w:rsidRDefault="007D7370" w:rsidP="00781771">
      <w:pPr>
        <w:tabs>
          <w:tab w:val="left" w:pos="1985"/>
        </w:tabs>
        <w:ind w:left="454"/>
      </w:pPr>
      <w:r w:rsidRPr="00BC31E0">
        <w:rPr>
          <w:rFonts w:ascii="ＭＳ ゴシック" w:eastAsia="ＭＳ ゴシック" w:hAnsi="ＭＳ ゴシック" w:hint="eastAsia"/>
          <w:b/>
        </w:rPr>
        <w:t>JIS B 0212</w:t>
      </w:r>
      <w:r w:rsidRPr="00BC31E0">
        <w:rPr>
          <w:rFonts w:hint="eastAsia"/>
        </w:rPr>
        <w:tab/>
      </w:r>
      <w:r w:rsidRPr="00BC31E0">
        <w:rPr>
          <w:rFonts w:hint="eastAsia"/>
        </w:rPr>
        <w:t xml:space="preserve">ユニファイ細目ねじの許容限界寸法及び公差　</w:t>
      </w:r>
      <w:r w:rsidRPr="00BC31E0">
        <w:rPr>
          <w:rFonts w:hint="eastAsia"/>
        </w:rPr>
        <w:t>Class 2B</w:t>
      </w:r>
      <w:r w:rsidRPr="00BC31E0">
        <w:rPr>
          <w:rFonts w:hint="eastAsia"/>
        </w:rPr>
        <w:t>又は</w:t>
      </w:r>
      <w:r w:rsidRPr="00BC31E0">
        <w:rPr>
          <w:rFonts w:hint="eastAsia"/>
        </w:rPr>
        <w:t>Class 3B</w:t>
      </w:r>
    </w:p>
    <w:p w14:paraId="41912B10" w14:textId="77777777" w:rsidR="007D7370" w:rsidRPr="00BC31E0" w:rsidRDefault="007D7370" w:rsidP="00781771">
      <w:pPr>
        <w:tabs>
          <w:tab w:val="left" w:pos="1985"/>
        </w:tabs>
        <w:ind w:left="454"/>
      </w:pPr>
      <w:r w:rsidRPr="00BC31E0">
        <w:rPr>
          <w:rFonts w:ascii="ＭＳ ゴシック" w:eastAsia="ＭＳ ゴシック" w:hAnsi="ＭＳ ゴシック" w:hint="eastAsia"/>
          <w:b/>
        </w:rPr>
        <w:t>ASME B1.1</w:t>
      </w:r>
      <w:r w:rsidRPr="00BC31E0">
        <w:rPr>
          <w:rFonts w:ascii="ＭＳ ゴシック" w:eastAsia="ＭＳ ゴシック" w:hAnsi="ＭＳ ゴシック" w:hint="eastAsia"/>
        </w:rPr>
        <w:tab/>
      </w:r>
      <w:r w:rsidRPr="00BC31E0">
        <w:rPr>
          <w:rFonts w:hint="eastAsia"/>
        </w:rPr>
        <w:t>Screw Thread Classes Class 2B</w:t>
      </w:r>
      <w:r w:rsidRPr="00BC31E0">
        <w:rPr>
          <w:rFonts w:hint="eastAsia"/>
        </w:rPr>
        <w:t>又は</w:t>
      </w:r>
      <w:r w:rsidRPr="00BC31E0">
        <w:rPr>
          <w:rFonts w:hint="eastAsia"/>
        </w:rPr>
        <w:t>Class 3B</w:t>
      </w:r>
    </w:p>
    <w:p w14:paraId="792DD894" w14:textId="77777777" w:rsidR="007D7370" w:rsidRPr="00BC31E0" w:rsidRDefault="007D7370" w:rsidP="007E26D6">
      <w:pPr>
        <w:pStyle w:val="a4"/>
        <w:numPr>
          <w:ilvl w:val="0"/>
          <w:numId w:val="78"/>
        </w:numPr>
        <w:ind w:leftChars="0" w:left="454" w:hanging="454"/>
      </w:pPr>
      <w:r w:rsidRPr="00BC31E0">
        <w:rPr>
          <w:rFonts w:asciiTheme="majorEastAsia" w:eastAsiaTheme="majorEastAsia" w:hAnsiTheme="majorEastAsia" w:hint="eastAsia"/>
          <w:b/>
        </w:rPr>
        <w:t>フランジとの使用</w:t>
      </w:r>
      <w:r w:rsidRPr="00BC31E0">
        <w:rPr>
          <w:rFonts w:hint="eastAsia"/>
        </w:rPr>
        <w:t xml:space="preserve">　フランジと使用する場合，ナット寸法は次による。ユニファイねじのナット寸法は，</w:t>
      </w:r>
      <w:r w:rsidRPr="00BC31E0">
        <w:rPr>
          <w:rFonts w:asciiTheme="majorEastAsia" w:eastAsiaTheme="majorEastAsia" w:hAnsiTheme="majorEastAsia" w:hint="eastAsia"/>
          <w:b/>
        </w:rPr>
        <w:t>ASME B18.2.2</w:t>
      </w:r>
      <w:r w:rsidRPr="00BC31E0">
        <w:rPr>
          <w:rFonts w:hint="eastAsia"/>
        </w:rPr>
        <w:t>の</w:t>
      </w:r>
      <w:r w:rsidRPr="00BC31E0">
        <w:rPr>
          <w:rFonts w:hint="eastAsia"/>
        </w:rPr>
        <w:t>heavy hex. nut</w:t>
      </w:r>
      <w:r w:rsidRPr="00BC31E0">
        <w:rPr>
          <w:rFonts w:hint="eastAsia"/>
        </w:rPr>
        <w:t>とする。ただし，六角ボルト用ナットのねじの呼びが</w:t>
      </w:r>
      <w:r w:rsidRPr="00BC31E0">
        <w:rPr>
          <w:rFonts w:hint="eastAsia"/>
        </w:rPr>
        <w:t>3/4-10 UNC</w:t>
      </w:r>
      <w:r w:rsidRPr="00BC31E0">
        <w:rPr>
          <w:rFonts w:hint="eastAsia"/>
        </w:rPr>
        <w:t>以上の場合は，</w:t>
      </w:r>
      <w:r w:rsidRPr="00BC31E0">
        <w:rPr>
          <w:rFonts w:hint="eastAsia"/>
        </w:rPr>
        <w:t>hex. nut</w:t>
      </w:r>
      <w:r w:rsidRPr="00BC31E0">
        <w:rPr>
          <w:rFonts w:hint="eastAsia"/>
        </w:rPr>
        <w:t>を用いてもよい。メートルねじのナット寸法は，</w:t>
      </w:r>
      <w:r w:rsidRPr="00BC31E0">
        <w:rPr>
          <w:rFonts w:asciiTheme="majorEastAsia" w:eastAsiaTheme="majorEastAsia" w:hAnsiTheme="majorEastAsia" w:hint="eastAsia"/>
          <w:b/>
        </w:rPr>
        <w:t>JIS B 1181</w:t>
      </w:r>
      <w:r w:rsidRPr="00BC31E0">
        <w:rPr>
          <w:rFonts w:hint="eastAsia"/>
        </w:rPr>
        <w:t>のスタイル</w:t>
      </w:r>
      <w:r w:rsidRPr="00BC31E0">
        <w:rPr>
          <w:rFonts w:hint="eastAsia"/>
        </w:rPr>
        <w:t>2(</w:t>
      </w:r>
      <w:r w:rsidRPr="00BC31E0">
        <w:rPr>
          <w:rFonts w:hint="eastAsia"/>
        </w:rPr>
        <w:t>ねじの呼びが</w:t>
      </w:r>
      <w:r w:rsidRPr="00BC31E0">
        <w:rPr>
          <w:rFonts w:hint="eastAsia"/>
        </w:rPr>
        <w:t>M36</w:t>
      </w:r>
      <w:r w:rsidRPr="00BC31E0">
        <w:rPr>
          <w:rFonts w:hint="eastAsia"/>
        </w:rPr>
        <w:t>を超える場合は，ナットの高さは呼び径に等しい寸法とし，その他の各部の寸法はスタイル</w:t>
      </w:r>
      <w:r w:rsidRPr="00BC31E0">
        <w:rPr>
          <w:rFonts w:hint="eastAsia"/>
        </w:rPr>
        <w:t>1</w:t>
      </w:r>
      <w:r w:rsidRPr="00BC31E0">
        <w:rPr>
          <w:rFonts w:hint="eastAsia"/>
        </w:rPr>
        <w:t>の寸法とする</w:t>
      </w:r>
      <w:r w:rsidRPr="00BC31E0">
        <w:rPr>
          <w:rFonts w:hint="eastAsia"/>
        </w:rPr>
        <w:t>)</w:t>
      </w:r>
      <w:r w:rsidRPr="00BC31E0">
        <w:rPr>
          <w:rFonts w:hint="eastAsia"/>
        </w:rPr>
        <w:t>による。ただし，六角ボルト用ナットのねじの呼びが</w:t>
      </w:r>
      <w:r w:rsidRPr="00BC31E0">
        <w:rPr>
          <w:rFonts w:hint="eastAsia"/>
        </w:rPr>
        <w:t>M20</w:t>
      </w:r>
      <w:r w:rsidRPr="00BC31E0">
        <w:rPr>
          <w:rFonts w:hint="eastAsia"/>
        </w:rPr>
        <w:t>以上の場合は，スタイル</w:t>
      </w:r>
      <w:r w:rsidRPr="00BC31E0">
        <w:rPr>
          <w:rFonts w:hint="eastAsia"/>
        </w:rPr>
        <w:t>1</w:t>
      </w:r>
      <w:r w:rsidRPr="00BC31E0">
        <w:rPr>
          <w:rFonts w:hint="eastAsia"/>
        </w:rPr>
        <w:t>を用いてもよい。</w:t>
      </w:r>
    </w:p>
    <w:p w14:paraId="6EDAA8D0" w14:textId="77777777" w:rsidR="007D7370" w:rsidRPr="00BC31E0" w:rsidRDefault="007D7370" w:rsidP="007E26D6">
      <w:pPr>
        <w:pStyle w:val="a4"/>
        <w:numPr>
          <w:ilvl w:val="0"/>
          <w:numId w:val="79"/>
        </w:numPr>
        <w:ind w:leftChars="0" w:left="454" w:hanging="454"/>
      </w:pPr>
      <w:r w:rsidRPr="00BC31E0">
        <w:rPr>
          <w:rFonts w:asciiTheme="majorEastAsia" w:eastAsiaTheme="majorEastAsia" w:hAnsiTheme="majorEastAsia" w:hint="eastAsia"/>
          <w:b/>
        </w:rPr>
        <w:t>他の連結物との使用</w:t>
      </w:r>
      <w:r w:rsidRPr="00BC31E0">
        <w:rPr>
          <w:rFonts w:hint="eastAsia"/>
        </w:rPr>
        <w:t xml:space="preserve">　</w:t>
      </w:r>
      <w:r w:rsidRPr="00BC31E0">
        <w:rPr>
          <w:rFonts w:asciiTheme="majorEastAsia" w:eastAsiaTheme="majorEastAsia" w:hAnsiTheme="majorEastAsia" w:hint="eastAsia"/>
          <w:b/>
        </w:rPr>
        <w:t>6</w:t>
      </w:r>
      <w:r w:rsidRPr="00BC31E0">
        <w:rPr>
          <w:rFonts w:hint="eastAsia"/>
        </w:rPr>
        <w:t>に従って設計された連結物と使用する場合，ナットは上記</w:t>
      </w:r>
      <w:r w:rsidRPr="00BC31E0">
        <w:rPr>
          <w:rFonts w:asciiTheme="majorEastAsia" w:eastAsiaTheme="majorEastAsia" w:hAnsiTheme="majorEastAsia" w:hint="eastAsia"/>
          <w:b/>
          <w:bCs/>
        </w:rPr>
        <w:t>a)</w:t>
      </w:r>
      <w:r w:rsidRPr="00BC31E0">
        <w:rPr>
          <w:rFonts w:hint="eastAsia"/>
        </w:rPr>
        <w:t>の寸法に準拠する。又は，ナットの静的強度及び疲労強度が連結の完全さを保つのに十分であれば，他の寸法でもよい。ただし，ボルト穴とのすきまや荷重負荷面積，ねじ形状，密着度合い，ねじのせん断力，ねじ山から半径方向の推力に対する考慮が必要である。</w:t>
      </w:r>
    </w:p>
    <w:p w14:paraId="558B27ED" w14:textId="77777777" w:rsidR="007D7370" w:rsidRPr="00BC31E0" w:rsidRDefault="007D7370" w:rsidP="007E26D6">
      <w:pPr>
        <w:pStyle w:val="a4"/>
        <w:numPr>
          <w:ilvl w:val="0"/>
          <w:numId w:val="80"/>
        </w:numPr>
        <w:ind w:leftChars="0" w:left="454" w:hanging="454"/>
      </w:pPr>
      <w:r w:rsidRPr="00BC31E0">
        <w:rPr>
          <w:rFonts w:asciiTheme="majorEastAsia" w:eastAsiaTheme="majorEastAsia" w:hAnsiTheme="majorEastAsia" w:hint="eastAsia"/>
          <w:b/>
        </w:rPr>
        <w:t>かみ合い長さ</w:t>
      </w:r>
      <w:r w:rsidRPr="00BC31E0">
        <w:rPr>
          <w:rFonts w:hint="eastAsia"/>
        </w:rPr>
        <w:t xml:space="preserve">　ナットの全ねじ山が十分かみ合うことが必要である。</w:t>
      </w:r>
    </w:p>
    <w:p w14:paraId="56878C62" w14:textId="77777777" w:rsidR="007D7370" w:rsidRPr="00BC31E0" w:rsidRDefault="007D7370" w:rsidP="007E26D6">
      <w:pPr>
        <w:pStyle w:val="a4"/>
        <w:numPr>
          <w:ilvl w:val="0"/>
          <w:numId w:val="81"/>
        </w:numPr>
        <w:ind w:leftChars="0" w:left="454" w:hanging="454"/>
      </w:pPr>
      <w:r w:rsidRPr="00BC31E0">
        <w:rPr>
          <w:rFonts w:asciiTheme="majorEastAsia" w:eastAsiaTheme="majorEastAsia" w:hAnsiTheme="majorEastAsia" w:hint="eastAsia"/>
          <w:b/>
        </w:rPr>
        <w:t>特殊な形状の設計</w:t>
      </w:r>
      <w:r w:rsidRPr="00BC31E0">
        <w:rPr>
          <w:rFonts w:hint="eastAsia"/>
        </w:rPr>
        <w:t xml:space="preserve">　特殊形状ナットは，その強度が上記</w:t>
      </w:r>
      <w:r w:rsidRPr="00BC31E0">
        <w:rPr>
          <w:rFonts w:asciiTheme="majorEastAsia" w:eastAsiaTheme="majorEastAsia" w:hAnsiTheme="majorEastAsia"/>
          <w:b/>
        </w:rPr>
        <w:t>c</w:t>
      </w:r>
      <w:r w:rsidRPr="00BC31E0">
        <w:rPr>
          <w:rFonts w:asciiTheme="majorEastAsia" w:eastAsiaTheme="majorEastAsia" w:hAnsiTheme="majorEastAsia" w:hint="eastAsia"/>
          <w:b/>
        </w:rPr>
        <w:t>)</w:t>
      </w:r>
      <w:r w:rsidRPr="00BC31E0">
        <w:rPr>
          <w:rFonts w:hint="eastAsia"/>
        </w:rPr>
        <w:t>に適合する場合に限り使用可能である。</w:t>
      </w:r>
    </w:p>
    <w:p w14:paraId="29216AE9" w14:textId="77777777" w:rsidR="00F03E0A" w:rsidRPr="00BC31E0" w:rsidRDefault="00F03E0A" w:rsidP="00154923">
      <w:pPr>
        <w:pStyle w:val="20"/>
        <w:tabs>
          <w:tab w:val="clear" w:pos="284"/>
        </w:tabs>
        <w:ind w:left="567" w:hanging="567"/>
      </w:pPr>
      <w:bookmarkStart w:id="30" w:name="_Toc357672086"/>
      <w:bookmarkStart w:id="31" w:name="_Toc120092519"/>
      <w:r w:rsidRPr="00BC31E0">
        <w:rPr>
          <w:rFonts w:hint="eastAsia"/>
        </w:rPr>
        <w:t>材料設計データ</w:t>
      </w:r>
      <w:bookmarkEnd w:id="30"/>
      <w:bookmarkEnd w:id="31"/>
    </w:p>
    <w:p w14:paraId="020F4849" w14:textId="77777777" w:rsidR="00F03E0A" w:rsidRPr="00BC31E0" w:rsidRDefault="00F03E0A" w:rsidP="00781771">
      <w:pPr>
        <w:ind w:firstLineChars="100" w:firstLine="210"/>
      </w:pPr>
      <w:r w:rsidRPr="00BC31E0">
        <w:rPr>
          <w:rFonts w:hint="eastAsia"/>
        </w:rPr>
        <w:t>材料設計データは，次の</w:t>
      </w:r>
      <w:r w:rsidRPr="00BC31E0">
        <w:rPr>
          <w:rFonts w:ascii="ＭＳ ゴシック" w:hAnsi="ＭＳ ゴシック" w:hint="eastAsia"/>
          <w:b/>
        </w:rPr>
        <w:t>a)</w:t>
      </w:r>
      <w:r w:rsidRPr="00BC31E0">
        <w:rPr>
          <w:rFonts w:hint="eastAsia"/>
        </w:rPr>
        <w:t>～</w:t>
      </w:r>
      <w:r w:rsidRPr="00BC31E0">
        <w:rPr>
          <w:rFonts w:ascii="ＭＳ ゴシック" w:hAnsi="ＭＳ ゴシック" w:hint="eastAsia"/>
          <w:b/>
        </w:rPr>
        <w:t>f)</w:t>
      </w:r>
      <w:r w:rsidRPr="00BC31E0">
        <w:rPr>
          <w:rFonts w:hint="eastAsia"/>
        </w:rPr>
        <w:t>による。</w:t>
      </w:r>
    </w:p>
    <w:p w14:paraId="1F54D19E" w14:textId="77777777" w:rsidR="00F03E0A" w:rsidRPr="00BC31E0" w:rsidRDefault="00F03E0A" w:rsidP="00736130">
      <w:pPr>
        <w:pStyle w:val="a4"/>
        <w:numPr>
          <w:ilvl w:val="0"/>
          <w:numId w:val="85"/>
        </w:numPr>
        <w:ind w:leftChars="0" w:left="454" w:hanging="454"/>
      </w:pPr>
      <w:r w:rsidRPr="00BC31E0">
        <w:rPr>
          <w:rFonts w:hint="eastAsia"/>
        </w:rPr>
        <w:t>この規格で</w:t>
      </w:r>
      <w:r w:rsidR="00304457" w:rsidRPr="00BC31E0">
        <w:rPr>
          <w:rFonts w:hint="eastAsia"/>
        </w:rPr>
        <w:t>は，</w:t>
      </w:r>
      <w:r w:rsidRPr="00BC31E0">
        <w:rPr>
          <w:rFonts w:hint="eastAsia"/>
        </w:rPr>
        <w:t>特に断らない限り，</w:t>
      </w:r>
      <w:r w:rsidRPr="00BC31E0">
        <w:rPr>
          <w:rFonts w:asciiTheme="majorEastAsia" w:eastAsiaTheme="majorEastAsia" w:hAnsiTheme="majorEastAsia" w:hint="eastAsia"/>
          <w:b/>
        </w:rPr>
        <w:t>表5.4.1</w:t>
      </w:r>
      <w:r w:rsidRPr="00BC31E0">
        <w:rPr>
          <w:rFonts w:hint="eastAsia"/>
        </w:rPr>
        <w:t>と</w:t>
      </w:r>
      <w:r w:rsidRPr="00BC31E0">
        <w:rPr>
          <w:rFonts w:asciiTheme="majorEastAsia" w:eastAsiaTheme="majorEastAsia" w:hAnsiTheme="majorEastAsia" w:hint="eastAsia"/>
          <w:b/>
        </w:rPr>
        <w:t>表5.4.2</w:t>
      </w:r>
      <w:r w:rsidRPr="00BC31E0">
        <w:rPr>
          <w:rFonts w:hint="eastAsia"/>
        </w:rPr>
        <w:t>に示される次の出典の材料及びその相当材料を使用する。</w:t>
      </w:r>
      <w:r w:rsidRPr="00BC31E0">
        <w:rPr>
          <w:rFonts w:asciiTheme="majorEastAsia" w:eastAsiaTheme="majorEastAsia" w:hAnsiTheme="majorEastAsia" w:hint="eastAsia"/>
          <w:b/>
        </w:rPr>
        <w:t>表5.4.1</w:t>
      </w:r>
      <w:r w:rsidRPr="00BC31E0">
        <w:rPr>
          <w:rFonts w:hint="eastAsia"/>
        </w:rPr>
        <w:t>と</w:t>
      </w:r>
      <w:r w:rsidRPr="00BC31E0">
        <w:rPr>
          <w:rFonts w:asciiTheme="majorEastAsia" w:eastAsiaTheme="majorEastAsia" w:hAnsiTheme="majorEastAsia" w:hint="eastAsia"/>
          <w:b/>
        </w:rPr>
        <w:t>表5.4.2</w:t>
      </w:r>
      <w:r w:rsidRPr="00BC31E0">
        <w:rPr>
          <w:rFonts w:hint="eastAsia"/>
        </w:rPr>
        <w:t>の注記は，</w:t>
      </w:r>
      <w:r w:rsidRPr="00BC31E0">
        <w:rPr>
          <w:rFonts w:asciiTheme="majorEastAsia" w:eastAsiaTheme="majorEastAsia" w:hAnsiTheme="majorEastAsia" w:hint="eastAsia"/>
          <w:b/>
        </w:rPr>
        <w:t>表5.4.2</w:t>
      </w:r>
      <w:r w:rsidRPr="00BC31E0">
        <w:rPr>
          <w:rFonts w:hint="eastAsia"/>
        </w:rPr>
        <w:t>の後にまとめて示す。</w:t>
      </w:r>
    </w:p>
    <w:p w14:paraId="13FA5D9D" w14:textId="77777777" w:rsidR="00F03E0A" w:rsidRPr="00BC31E0" w:rsidRDefault="00F03E0A" w:rsidP="00781771">
      <w:pPr>
        <w:ind w:left="454"/>
      </w:pPr>
      <w:r w:rsidRPr="00BC31E0">
        <w:rPr>
          <w:rFonts w:asciiTheme="majorEastAsia" w:eastAsiaTheme="majorEastAsia" w:hAnsiTheme="majorEastAsia" w:hint="eastAsia"/>
          <w:b/>
        </w:rPr>
        <w:t>ASME Sec.VIII Div.3</w:t>
      </w:r>
      <w:r w:rsidRPr="00BC31E0">
        <w:rPr>
          <w:rFonts w:ascii="ＭＳ 明朝" w:hAnsi="ＭＳ 明朝" w:hint="eastAsia"/>
        </w:rPr>
        <w:t xml:space="preserve">, </w:t>
      </w:r>
      <w:r w:rsidRPr="00BC31E0">
        <w:rPr>
          <w:rFonts w:asciiTheme="majorEastAsia" w:eastAsiaTheme="majorEastAsia" w:hAnsiTheme="majorEastAsia" w:hint="eastAsia"/>
          <w:b/>
        </w:rPr>
        <w:t>KM-400</w:t>
      </w:r>
      <w:r w:rsidRPr="00BC31E0">
        <w:rPr>
          <w:rFonts w:ascii="ＭＳ 明朝" w:hAnsi="ＭＳ 明朝" w:hint="eastAsia"/>
        </w:rPr>
        <w:t xml:space="preserve">, </w:t>
      </w:r>
      <w:r w:rsidRPr="00BC31E0">
        <w:rPr>
          <w:rFonts w:asciiTheme="majorEastAsia" w:eastAsiaTheme="majorEastAsia" w:hAnsiTheme="majorEastAsia" w:hint="eastAsia"/>
          <w:b/>
        </w:rPr>
        <w:t>Table KM-400-1M</w:t>
      </w:r>
      <w:r w:rsidR="00304457" w:rsidRPr="00BC31E0">
        <w:rPr>
          <w:rFonts w:asciiTheme="minorEastAsia" w:eastAsiaTheme="minorEastAsia" w:hAnsiTheme="minorEastAsia" w:hint="eastAsia"/>
        </w:rPr>
        <w:t xml:space="preserve"> </w:t>
      </w:r>
      <w:r w:rsidRPr="00BC31E0">
        <w:rPr>
          <w:rFonts w:hint="eastAsia"/>
        </w:rPr>
        <w:t>(</w:t>
      </w:r>
      <w:r w:rsidRPr="00BC31E0">
        <w:rPr>
          <w:rFonts w:hint="eastAsia"/>
        </w:rPr>
        <w:t>炭素鋼，低合金鋼</w:t>
      </w:r>
      <w:r w:rsidRPr="00BC31E0">
        <w:rPr>
          <w:rFonts w:hint="eastAsia"/>
        </w:rPr>
        <w:t>)</w:t>
      </w:r>
    </w:p>
    <w:p w14:paraId="06E617E5" w14:textId="77777777" w:rsidR="00F03E0A" w:rsidRPr="00BC31E0" w:rsidRDefault="00F03E0A" w:rsidP="00781771">
      <w:pPr>
        <w:ind w:left="454"/>
        <w:rPr>
          <w:rFonts w:asciiTheme="majorEastAsia" w:eastAsiaTheme="majorEastAsia" w:hAnsiTheme="majorEastAsia"/>
          <w:b/>
        </w:rPr>
      </w:pPr>
      <w:r w:rsidRPr="00BC31E0">
        <w:rPr>
          <w:rFonts w:asciiTheme="majorEastAsia" w:eastAsiaTheme="majorEastAsia" w:hAnsiTheme="majorEastAsia" w:hint="eastAsia"/>
          <w:b/>
        </w:rPr>
        <w:t>ASME Sec.VIII Div.3</w:t>
      </w:r>
      <w:r w:rsidRPr="00BC31E0">
        <w:rPr>
          <w:rFonts w:ascii="ＭＳ 明朝" w:hAnsi="ＭＳ 明朝" w:hint="eastAsia"/>
        </w:rPr>
        <w:t xml:space="preserve">, </w:t>
      </w:r>
      <w:r w:rsidRPr="00BC31E0">
        <w:rPr>
          <w:rFonts w:asciiTheme="majorEastAsia" w:eastAsiaTheme="majorEastAsia" w:hAnsiTheme="majorEastAsia" w:hint="eastAsia"/>
          <w:b/>
        </w:rPr>
        <w:t>KM-400</w:t>
      </w:r>
      <w:r w:rsidRPr="00BC31E0">
        <w:rPr>
          <w:rFonts w:ascii="ＭＳ 明朝" w:hAnsi="ＭＳ 明朝" w:hint="eastAsia"/>
        </w:rPr>
        <w:t xml:space="preserve">, </w:t>
      </w:r>
      <w:r w:rsidRPr="00BC31E0">
        <w:rPr>
          <w:rFonts w:asciiTheme="majorEastAsia" w:eastAsiaTheme="majorEastAsia" w:hAnsiTheme="majorEastAsia" w:hint="eastAsia"/>
          <w:b/>
        </w:rPr>
        <w:t xml:space="preserve">Table </w:t>
      </w:r>
      <w:r w:rsidRPr="00BC31E0">
        <w:rPr>
          <w:rFonts w:asciiTheme="majorEastAsia" w:eastAsiaTheme="majorEastAsia" w:hAnsiTheme="majorEastAsia"/>
          <w:b/>
        </w:rPr>
        <w:t>KM-400-2M</w:t>
      </w:r>
      <w:r w:rsidR="00304457" w:rsidRPr="00BC31E0">
        <w:rPr>
          <w:rFonts w:asciiTheme="minorEastAsia" w:eastAsiaTheme="minorEastAsia" w:hAnsiTheme="minorEastAsia" w:hint="eastAsia"/>
        </w:rPr>
        <w:t xml:space="preserve"> </w:t>
      </w:r>
      <w:r w:rsidRPr="00BC31E0">
        <w:rPr>
          <w:rFonts w:hint="eastAsia"/>
        </w:rPr>
        <w:t>(</w:t>
      </w:r>
      <w:r w:rsidRPr="00BC31E0">
        <w:rPr>
          <w:rFonts w:hint="eastAsia"/>
        </w:rPr>
        <w:t>高合金鋼</w:t>
      </w:r>
      <w:r w:rsidRPr="00BC31E0">
        <w:rPr>
          <w:rFonts w:hint="eastAsia"/>
        </w:rPr>
        <w:t>)</w:t>
      </w:r>
    </w:p>
    <w:p w14:paraId="442F6716" w14:textId="77777777" w:rsidR="00F03E0A" w:rsidRPr="00BC31E0" w:rsidRDefault="00F03E0A" w:rsidP="00781771">
      <w:pPr>
        <w:ind w:left="454"/>
      </w:pPr>
      <w:r w:rsidRPr="00BC31E0">
        <w:rPr>
          <w:rFonts w:asciiTheme="majorEastAsia" w:eastAsiaTheme="majorEastAsia" w:hAnsiTheme="majorEastAsia" w:hint="eastAsia"/>
          <w:b/>
        </w:rPr>
        <w:t>ASME Sec.VIII Div.3</w:t>
      </w:r>
      <w:r w:rsidRPr="00BC31E0">
        <w:rPr>
          <w:rFonts w:ascii="ＭＳ 明朝" w:hAnsi="ＭＳ 明朝" w:hint="eastAsia"/>
        </w:rPr>
        <w:t xml:space="preserve">, </w:t>
      </w:r>
      <w:r w:rsidRPr="00BC31E0">
        <w:rPr>
          <w:rFonts w:asciiTheme="majorEastAsia" w:eastAsiaTheme="majorEastAsia" w:hAnsiTheme="majorEastAsia" w:hint="eastAsia"/>
          <w:b/>
        </w:rPr>
        <w:t>KM-400</w:t>
      </w:r>
      <w:r w:rsidRPr="00BC31E0">
        <w:rPr>
          <w:rFonts w:ascii="ＭＳ 明朝" w:hAnsi="ＭＳ 明朝" w:hint="eastAsia"/>
        </w:rPr>
        <w:t xml:space="preserve">, </w:t>
      </w:r>
      <w:r w:rsidRPr="00BC31E0">
        <w:rPr>
          <w:rFonts w:asciiTheme="majorEastAsia" w:eastAsiaTheme="majorEastAsia" w:hAnsiTheme="majorEastAsia" w:hint="eastAsia"/>
          <w:b/>
        </w:rPr>
        <w:t xml:space="preserve">Table </w:t>
      </w:r>
      <w:r w:rsidRPr="00BC31E0">
        <w:rPr>
          <w:rFonts w:asciiTheme="majorEastAsia" w:eastAsiaTheme="majorEastAsia" w:hAnsiTheme="majorEastAsia"/>
          <w:b/>
        </w:rPr>
        <w:t>KM-400-3M</w:t>
      </w:r>
      <w:r w:rsidR="00304457" w:rsidRPr="00BC31E0">
        <w:rPr>
          <w:rFonts w:asciiTheme="minorEastAsia" w:eastAsiaTheme="minorEastAsia" w:hAnsiTheme="minorEastAsia" w:hint="eastAsia"/>
        </w:rPr>
        <w:t xml:space="preserve"> </w:t>
      </w:r>
      <w:r w:rsidRPr="00BC31E0">
        <w:rPr>
          <w:rFonts w:hint="eastAsia"/>
        </w:rPr>
        <w:t>(</w:t>
      </w:r>
      <w:r w:rsidRPr="00BC31E0">
        <w:rPr>
          <w:rFonts w:hint="eastAsia"/>
        </w:rPr>
        <w:t>ニッケル及びニッケル合金</w:t>
      </w:r>
      <w:r w:rsidRPr="00BC31E0">
        <w:rPr>
          <w:rFonts w:hint="eastAsia"/>
        </w:rPr>
        <w:t>)</w:t>
      </w:r>
    </w:p>
    <w:p w14:paraId="699287FD" w14:textId="77777777" w:rsidR="00F03E0A" w:rsidRPr="00BC31E0" w:rsidRDefault="00F03E0A" w:rsidP="00781771">
      <w:pPr>
        <w:ind w:left="454"/>
      </w:pPr>
      <w:r w:rsidRPr="00BC31E0">
        <w:rPr>
          <w:rFonts w:asciiTheme="majorEastAsia" w:eastAsiaTheme="majorEastAsia" w:hAnsiTheme="majorEastAsia" w:hint="eastAsia"/>
          <w:b/>
        </w:rPr>
        <w:t>ASME Sec.VIII Div.3</w:t>
      </w:r>
      <w:r w:rsidRPr="00BC31E0">
        <w:rPr>
          <w:rFonts w:ascii="ＭＳ 明朝" w:hAnsi="ＭＳ 明朝" w:hint="eastAsia"/>
        </w:rPr>
        <w:t xml:space="preserve">, </w:t>
      </w:r>
      <w:r w:rsidRPr="00BC31E0">
        <w:rPr>
          <w:rFonts w:asciiTheme="majorEastAsia" w:eastAsiaTheme="majorEastAsia" w:hAnsiTheme="majorEastAsia" w:hint="eastAsia"/>
          <w:b/>
        </w:rPr>
        <w:t>KM-400</w:t>
      </w:r>
      <w:r w:rsidRPr="00BC31E0">
        <w:rPr>
          <w:rFonts w:ascii="ＭＳ 明朝" w:hAnsi="ＭＳ 明朝" w:hint="eastAsia"/>
        </w:rPr>
        <w:t xml:space="preserve">, </w:t>
      </w:r>
      <w:r w:rsidRPr="00BC31E0">
        <w:rPr>
          <w:rFonts w:asciiTheme="majorEastAsia" w:eastAsiaTheme="majorEastAsia" w:hAnsiTheme="majorEastAsia" w:hint="eastAsia"/>
          <w:b/>
        </w:rPr>
        <w:t xml:space="preserve">Table </w:t>
      </w:r>
      <w:r w:rsidRPr="00BC31E0">
        <w:rPr>
          <w:rFonts w:asciiTheme="majorEastAsia" w:eastAsiaTheme="majorEastAsia" w:hAnsiTheme="majorEastAsia"/>
          <w:b/>
        </w:rPr>
        <w:t>KM-400-4M</w:t>
      </w:r>
      <w:r w:rsidR="00304457" w:rsidRPr="00BC31E0">
        <w:rPr>
          <w:rFonts w:asciiTheme="minorEastAsia" w:eastAsiaTheme="minorEastAsia" w:hAnsiTheme="minorEastAsia" w:hint="eastAsia"/>
        </w:rPr>
        <w:t xml:space="preserve"> </w:t>
      </w:r>
      <w:r w:rsidRPr="00BC31E0">
        <w:rPr>
          <w:rFonts w:hint="eastAsia"/>
        </w:rPr>
        <w:t>(</w:t>
      </w:r>
      <w:r w:rsidRPr="00BC31E0">
        <w:rPr>
          <w:rFonts w:hint="eastAsia"/>
        </w:rPr>
        <w:t>アルミニウム合金</w:t>
      </w:r>
      <w:r w:rsidRPr="00BC31E0">
        <w:rPr>
          <w:rFonts w:hint="eastAsia"/>
        </w:rPr>
        <w:t>)</w:t>
      </w:r>
    </w:p>
    <w:p w14:paraId="3577DC50" w14:textId="77777777" w:rsidR="00F03E0A" w:rsidRPr="00BC31E0" w:rsidRDefault="00F03E0A" w:rsidP="00781771">
      <w:pPr>
        <w:ind w:left="454"/>
      </w:pPr>
      <w:r w:rsidRPr="00BC31E0">
        <w:rPr>
          <w:rFonts w:asciiTheme="majorEastAsia" w:eastAsiaTheme="majorEastAsia" w:hAnsiTheme="majorEastAsia" w:hint="eastAsia"/>
          <w:b/>
        </w:rPr>
        <w:t>JIS B 8266 付表2.1</w:t>
      </w:r>
      <w:r w:rsidRPr="00BC31E0">
        <w:rPr>
          <w:rFonts w:ascii="ＭＳ 明朝" w:hAnsi="ＭＳ 明朝" w:hint="eastAsia"/>
        </w:rPr>
        <w:t>，</w:t>
      </w:r>
      <w:r w:rsidRPr="00BC31E0">
        <w:rPr>
          <w:rFonts w:asciiTheme="majorEastAsia" w:eastAsiaTheme="majorEastAsia" w:hAnsiTheme="majorEastAsia" w:hint="eastAsia"/>
          <w:b/>
        </w:rPr>
        <w:t>付表3.1</w:t>
      </w:r>
      <w:r w:rsidR="00EE1228" w:rsidRPr="00BC31E0">
        <w:rPr>
          <w:rFonts w:hint="eastAsia"/>
        </w:rPr>
        <w:t>[</w:t>
      </w:r>
      <w:r w:rsidRPr="00BC31E0">
        <w:rPr>
          <w:rFonts w:asciiTheme="majorEastAsia" w:eastAsiaTheme="majorEastAsia" w:hAnsiTheme="majorEastAsia"/>
          <w:b/>
        </w:rPr>
        <w:t>表5.4.</w:t>
      </w:r>
      <w:r w:rsidRPr="00BC31E0">
        <w:rPr>
          <w:rFonts w:asciiTheme="majorEastAsia" w:eastAsiaTheme="majorEastAsia" w:hAnsiTheme="majorEastAsia" w:hint="eastAsia"/>
          <w:b/>
        </w:rPr>
        <w:t>1</w:t>
      </w:r>
      <w:r w:rsidRPr="00BC31E0">
        <w:rPr>
          <w:rFonts w:ascii="ＭＳ 明朝" w:hAnsi="ＭＳ 明朝" w:hint="eastAsia"/>
        </w:rPr>
        <w:t>及び</w:t>
      </w:r>
      <w:r w:rsidRPr="00BC31E0">
        <w:rPr>
          <w:rFonts w:asciiTheme="majorEastAsia" w:eastAsiaTheme="majorEastAsia" w:hAnsiTheme="majorEastAsia"/>
          <w:b/>
        </w:rPr>
        <w:t>表5.4.</w:t>
      </w:r>
      <w:r w:rsidRPr="00BC31E0">
        <w:rPr>
          <w:rFonts w:asciiTheme="majorEastAsia" w:eastAsiaTheme="majorEastAsia" w:hAnsiTheme="majorEastAsia" w:hint="eastAsia"/>
          <w:b/>
        </w:rPr>
        <w:t>2</w:t>
      </w:r>
      <w:r w:rsidRPr="00BC31E0">
        <w:rPr>
          <w:rFonts w:ascii="ＭＳ 明朝" w:hAnsi="ＭＳ 明朝" w:hint="eastAsia"/>
        </w:rPr>
        <w:t>の</w:t>
      </w:r>
      <w:r w:rsidRPr="00BC31E0">
        <w:rPr>
          <w:rFonts w:asciiTheme="majorEastAsia" w:eastAsiaTheme="majorEastAsia" w:hAnsiTheme="majorEastAsia"/>
          <w:b/>
        </w:rPr>
        <w:t>注記</w:t>
      </w:r>
      <w:r w:rsidRPr="00BC31E0">
        <w:rPr>
          <w:rFonts w:asciiTheme="majorEastAsia" w:eastAsiaTheme="majorEastAsia" w:hAnsiTheme="majorEastAsia" w:hint="eastAsia"/>
          <w:b/>
        </w:rPr>
        <w:t>s)</w:t>
      </w:r>
      <w:r w:rsidRPr="00BC31E0">
        <w:rPr>
          <w:rFonts w:ascii="ＭＳ 明朝" w:hAnsi="ＭＳ 明朝" w:hint="eastAsia"/>
        </w:rPr>
        <w:t>を</w:t>
      </w:r>
      <w:r w:rsidRPr="00BC31E0">
        <w:rPr>
          <w:rFonts w:hint="eastAsia"/>
        </w:rPr>
        <w:t>参照</w:t>
      </w:r>
      <w:r w:rsidR="00EE1228" w:rsidRPr="00BC31E0">
        <w:rPr>
          <w:rFonts w:hint="eastAsia"/>
        </w:rPr>
        <w:t>]</w:t>
      </w:r>
    </w:p>
    <w:p w14:paraId="524BB603" w14:textId="77777777" w:rsidR="00F03E0A" w:rsidRPr="00BC31E0" w:rsidRDefault="00F03E0A" w:rsidP="00781771">
      <w:pPr>
        <w:ind w:left="454"/>
      </w:pPr>
      <w:r w:rsidRPr="00BC31E0">
        <w:rPr>
          <w:rFonts w:asciiTheme="majorEastAsia" w:eastAsiaTheme="majorEastAsia" w:hAnsiTheme="majorEastAsia" w:hint="eastAsia"/>
          <w:b/>
        </w:rPr>
        <w:lastRenderedPageBreak/>
        <w:t>ASME Sec.II</w:t>
      </w:r>
      <w:r w:rsidRPr="00BC31E0">
        <w:rPr>
          <w:rFonts w:ascii="ＭＳ 明朝" w:hAnsi="ＭＳ 明朝" w:hint="eastAsia"/>
        </w:rPr>
        <w:t xml:space="preserve">, </w:t>
      </w:r>
      <w:r w:rsidRPr="00BC31E0">
        <w:rPr>
          <w:rFonts w:asciiTheme="majorEastAsia" w:eastAsiaTheme="majorEastAsia" w:hAnsiTheme="majorEastAsia" w:hint="eastAsia"/>
          <w:b/>
        </w:rPr>
        <w:t>Part D</w:t>
      </w:r>
      <w:r w:rsidRPr="00BC31E0">
        <w:rPr>
          <w:rFonts w:ascii="ＭＳ 明朝" w:hAnsi="ＭＳ 明朝" w:hint="eastAsia"/>
        </w:rPr>
        <w:t xml:space="preserve">, </w:t>
      </w:r>
      <w:r w:rsidRPr="00BC31E0">
        <w:rPr>
          <w:rFonts w:asciiTheme="majorEastAsia" w:eastAsiaTheme="majorEastAsia" w:hAnsiTheme="majorEastAsia" w:hint="eastAsia"/>
          <w:b/>
        </w:rPr>
        <w:t>Table Y-1</w:t>
      </w:r>
      <w:r w:rsidR="000E5B99" w:rsidRPr="00BC31E0">
        <w:rPr>
          <w:rFonts w:hint="eastAsia"/>
        </w:rPr>
        <w:t>など</w:t>
      </w:r>
      <w:r w:rsidR="00EE1228" w:rsidRPr="00BC31E0">
        <w:rPr>
          <w:rFonts w:hint="eastAsia"/>
        </w:rPr>
        <w:t>[</w:t>
      </w:r>
      <w:r w:rsidRPr="00BC31E0">
        <w:rPr>
          <w:rFonts w:asciiTheme="majorEastAsia" w:eastAsiaTheme="majorEastAsia" w:hAnsiTheme="majorEastAsia"/>
          <w:b/>
        </w:rPr>
        <w:t>表5.4.</w:t>
      </w:r>
      <w:r w:rsidRPr="00BC31E0">
        <w:rPr>
          <w:rFonts w:asciiTheme="majorEastAsia" w:eastAsiaTheme="majorEastAsia" w:hAnsiTheme="majorEastAsia" w:hint="eastAsia"/>
          <w:b/>
        </w:rPr>
        <w:t>1</w:t>
      </w:r>
      <w:r w:rsidRPr="00BC31E0">
        <w:rPr>
          <w:rFonts w:ascii="ＭＳ 明朝" w:hAnsi="ＭＳ 明朝" w:hint="eastAsia"/>
        </w:rPr>
        <w:t>及び</w:t>
      </w:r>
      <w:r w:rsidRPr="00BC31E0">
        <w:rPr>
          <w:rFonts w:asciiTheme="majorEastAsia" w:eastAsiaTheme="majorEastAsia" w:hAnsiTheme="majorEastAsia"/>
          <w:b/>
        </w:rPr>
        <w:t>表5.4.</w:t>
      </w:r>
      <w:r w:rsidRPr="00BC31E0">
        <w:rPr>
          <w:rFonts w:asciiTheme="majorEastAsia" w:eastAsiaTheme="majorEastAsia" w:hAnsiTheme="majorEastAsia" w:hint="eastAsia"/>
          <w:b/>
        </w:rPr>
        <w:t>2</w:t>
      </w:r>
      <w:r w:rsidRPr="00BC31E0">
        <w:rPr>
          <w:rFonts w:ascii="ＭＳ 明朝" w:hAnsi="ＭＳ 明朝" w:hint="eastAsia"/>
        </w:rPr>
        <w:t>の</w:t>
      </w:r>
      <w:r w:rsidRPr="00BC31E0">
        <w:rPr>
          <w:rFonts w:asciiTheme="majorEastAsia" w:eastAsiaTheme="majorEastAsia" w:hAnsiTheme="majorEastAsia"/>
          <w:b/>
        </w:rPr>
        <w:t>注記</w:t>
      </w:r>
      <w:r w:rsidRPr="00BC31E0">
        <w:rPr>
          <w:rFonts w:asciiTheme="majorEastAsia" w:eastAsiaTheme="majorEastAsia" w:hAnsiTheme="majorEastAsia" w:hint="eastAsia"/>
          <w:b/>
        </w:rPr>
        <w:t>t</w:t>
      </w:r>
      <w:r w:rsidRPr="00BC31E0">
        <w:rPr>
          <w:rFonts w:asciiTheme="majorEastAsia" w:eastAsiaTheme="majorEastAsia" w:hAnsiTheme="majorEastAsia"/>
          <w:b/>
        </w:rPr>
        <w:t>)</w:t>
      </w:r>
      <w:r w:rsidRPr="00BC31E0">
        <w:rPr>
          <w:rFonts w:ascii="ＭＳ 明朝" w:hAnsi="ＭＳ 明朝" w:hint="eastAsia"/>
        </w:rPr>
        <w:t>を</w:t>
      </w:r>
      <w:r w:rsidRPr="00BC31E0">
        <w:rPr>
          <w:rFonts w:hint="eastAsia"/>
        </w:rPr>
        <w:t>参照</w:t>
      </w:r>
      <w:r w:rsidR="00EE1228" w:rsidRPr="00BC31E0">
        <w:rPr>
          <w:rFonts w:hint="eastAsia"/>
        </w:rPr>
        <w:t>]</w:t>
      </w:r>
      <w:r w:rsidRPr="00BC31E0">
        <w:rPr>
          <w:rFonts w:hint="eastAsia"/>
        </w:rPr>
        <w:t xml:space="preserve"> </w:t>
      </w:r>
    </w:p>
    <w:p w14:paraId="3D927FD6" w14:textId="77777777" w:rsidR="00F03E0A" w:rsidRPr="00BC31E0" w:rsidRDefault="00F03E0A" w:rsidP="00781771">
      <w:pPr>
        <w:ind w:left="454"/>
      </w:pPr>
      <w:r w:rsidRPr="00BC31E0">
        <w:rPr>
          <w:rFonts w:ascii="ＭＳ ゴシック" w:hAnsi="ＭＳ ゴシック" w:hint="eastAsia"/>
          <w:b/>
        </w:rPr>
        <w:t>ASTM A213</w:t>
      </w:r>
      <w:r w:rsidR="00EE1228" w:rsidRPr="00BC31E0">
        <w:rPr>
          <w:rFonts w:ascii="ＭＳ ゴシック" w:hAnsi="ＭＳ ゴシック" w:hint="eastAsia"/>
          <w:b/>
        </w:rPr>
        <w:t xml:space="preserve"> </w:t>
      </w:r>
      <w:r w:rsidRPr="00BC31E0">
        <w:rPr>
          <w:rFonts w:hint="eastAsia"/>
        </w:rPr>
        <w:t>(</w:t>
      </w:r>
      <w:r w:rsidRPr="00BC31E0">
        <w:rPr>
          <w:rFonts w:hint="eastAsia"/>
        </w:rPr>
        <w:t>炭素鋼，低合金鋼，オーステナイト合金，シームレスチューブ</w:t>
      </w:r>
      <w:r w:rsidRPr="00BC31E0">
        <w:rPr>
          <w:rFonts w:hint="eastAsia"/>
        </w:rPr>
        <w:t>)</w:t>
      </w:r>
    </w:p>
    <w:p w14:paraId="383EFA0D" w14:textId="77777777" w:rsidR="00F03E0A" w:rsidRPr="00BC31E0" w:rsidRDefault="00F03E0A" w:rsidP="00781771">
      <w:pPr>
        <w:ind w:left="454"/>
      </w:pPr>
      <w:r w:rsidRPr="00BC31E0">
        <w:rPr>
          <w:rFonts w:ascii="ＭＳ ゴシック" w:hAnsi="ＭＳ ゴシック" w:hint="eastAsia"/>
          <w:b/>
        </w:rPr>
        <w:t>ASTM A276</w:t>
      </w:r>
      <w:r w:rsidR="00EE1228" w:rsidRPr="00BC31E0">
        <w:rPr>
          <w:rFonts w:ascii="ＭＳ ゴシック" w:hAnsi="ＭＳ ゴシック" w:hint="eastAsia"/>
          <w:b/>
        </w:rPr>
        <w:t xml:space="preserve"> </w:t>
      </w:r>
      <w:r w:rsidRPr="00BC31E0">
        <w:rPr>
          <w:rFonts w:hint="eastAsia"/>
        </w:rPr>
        <w:t>(</w:t>
      </w:r>
      <w:r w:rsidRPr="00BC31E0">
        <w:rPr>
          <w:rFonts w:hint="eastAsia"/>
        </w:rPr>
        <w:t>ステンレス鋼，棒</w:t>
      </w:r>
      <w:r w:rsidRPr="00BC31E0">
        <w:rPr>
          <w:rFonts w:hint="eastAsia"/>
        </w:rPr>
        <w:t>)</w:t>
      </w:r>
    </w:p>
    <w:p w14:paraId="630B9F3C" w14:textId="77777777" w:rsidR="00F03E0A" w:rsidRPr="00BC31E0" w:rsidRDefault="00F03E0A" w:rsidP="00781771">
      <w:pPr>
        <w:ind w:left="454"/>
      </w:pPr>
      <w:r w:rsidRPr="00BC31E0">
        <w:rPr>
          <w:rFonts w:ascii="ＭＳ ゴシック" w:hAnsi="ＭＳ ゴシック" w:hint="eastAsia"/>
          <w:b/>
        </w:rPr>
        <w:t>ASTM A564</w:t>
      </w:r>
      <w:r w:rsidR="00EE1228" w:rsidRPr="00BC31E0">
        <w:rPr>
          <w:rFonts w:ascii="ＭＳ ゴシック" w:hAnsi="ＭＳ ゴシック" w:hint="eastAsia"/>
          <w:b/>
        </w:rPr>
        <w:t xml:space="preserve"> </w:t>
      </w:r>
      <w:r w:rsidRPr="00BC31E0">
        <w:rPr>
          <w:rFonts w:hint="eastAsia"/>
        </w:rPr>
        <w:t>(</w:t>
      </w:r>
      <w:r w:rsidRPr="00BC31E0">
        <w:rPr>
          <w:rFonts w:hint="eastAsia"/>
        </w:rPr>
        <w:t>熱間圧延，冷間加工ステンレス鋼，棒</w:t>
      </w:r>
      <w:r w:rsidRPr="00BC31E0">
        <w:rPr>
          <w:rFonts w:hint="eastAsia"/>
        </w:rPr>
        <w:t>)</w:t>
      </w:r>
    </w:p>
    <w:p w14:paraId="4FE8AAD2" w14:textId="77777777" w:rsidR="00F03E0A" w:rsidRPr="00BC31E0" w:rsidRDefault="00CC5C6F" w:rsidP="00736130">
      <w:pPr>
        <w:pStyle w:val="a4"/>
        <w:numPr>
          <w:ilvl w:val="0"/>
          <w:numId w:val="85"/>
        </w:numPr>
        <w:ind w:leftChars="0" w:left="454" w:hanging="454"/>
      </w:pPr>
      <w:r w:rsidRPr="00BC31E0">
        <w:rPr>
          <w:rFonts w:hint="eastAsia"/>
        </w:rPr>
        <w:t>この規格で用いられる材料の</w:t>
      </w:r>
      <w:r w:rsidR="00305550" w:rsidRPr="00BC31E0">
        <w:rPr>
          <w:rFonts w:hint="eastAsia"/>
        </w:rPr>
        <w:t>引張強さと降伏点又は</w:t>
      </w:r>
      <w:r w:rsidR="00305550" w:rsidRPr="00BC31E0">
        <w:rPr>
          <w:rFonts w:hint="eastAsia"/>
        </w:rPr>
        <w:t>0.2%</w:t>
      </w:r>
      <w:r w:rsidR="00305550" w:rsidRPr="00BC31E0">
        <w:rPr>
          <w:rFonts w:hint="eastAsia"/>
        </w:rPr>
        <w:t>耐力</w:t>
      </w:r>
      <w:r w:rsidR="00F03E0A" w:rsidRPr="00BC31E0">
        <w:rPr>
          <w:rFonts w:hint="eastAsia"/>
        </w:rPr>
        <w:t>は</w:t>
      </w:r>
      <w:r w:rsidR="008024BB" w:rsidRPr="00BC31E0">
        <w:rPr>
          <w:rFonts w:hint="eastAsia"/>
        </w:rPr>
        <w:t>，</w:t>
      </w:r>
      <w:r w:rsidR="00F03E0A" w:rsidRPr="00BC31E0">
        <w:rPr>
          <w:rFonts w:hint="eastAsia"/>
        </w:rPr>
        <w:t>次</w:t>
      </w:r>
      <w:r w:rsidR="008024BB" w:rsidRPr="00BC31E0">
        <w:rPr>
          <w:rFonts w:hint="eastAsia"/>
        </w:rPr>
        <w:t>の表</w:t>
      </w:r>
      <w:r w:rsidR="00F03E0A" w:rsidRPr="00BC31E0">
        <w:rPr>
          <w:rFonts w:hint="eastAsia"/>
        </w:rPr>
        <w:t>に示される。</w:t>
      </w:r>
    </w:p>
    <w:p w14:paraId="2BEE14F4" w14:textId="77777777" w:rsidR="00F03E0A" w:rsidRPr="00BC31E0" w:rsidRDefault="00F03E0A" w:rsidP="000F417D">
      <w:pPr>
        <w:tabs>
          <w:tab w:val="left" w:pos="3261"/>
        </w:tabs>
        <w:ind w:left="454"/>
      </w:pPr>
      <w:r w:rsidRPr="00BC31E0">
        <w:rPr>
          <w:rFonts w:hint="eastAsia"/>
        </w:rPr>
        <w:t>引張強さ</w:t>
      </w:r>
      <m:oMath>
        <m:r>
          <m:rPr>
            <m:sty m:val="p"/>
          </m:rPr>
          <w:rPr>
            <w:rFonts w:ascii="Cambria Math" w:hAnsi="Cambria Math" w:hint="eastAsia"/>
          </w:rPr>
          <m:t xml:space="preserve"> </m:t>
        </m:r>
        <m:sSub>
          <m:sSubPr>
            <m:ctrlPr>
              <w:rPr>
                <w:rFonts w:ascii="Cambria Math" w:hAnsi="Cambria Math"/>
                <w:i/>
                <w:vertAlign w:val="subscript"/>
              </w:rPr>
            </m:ctrlPr>
          </m:sSubPr>
          <m:e>
            <m:r>
              <w:rPr>
                <w:rFonts w:ascii="Cambria Math" w:hAnsi="Cambria Math"/>
                <w:vertAlign w:val="subscript"/>
              </w:rPr>
              <m:t>S</m:t>
            </m:r>
          </m:e>
          <m:sub>
            <m:r>
              <w:rPr>
                <w:rFonts w:ascii="Cambria Math" w:hAnsi="Cambria Math"/>
                <w:vertAlign w:val="subscript"/>
              </w:rPr>
              <m:t>u</m:t>
            </m:r>
          </m:sub>
        </m:sSub>
      </m:oMath>
      <w:r w:rsidRPr="00BC31E0">
        <w:rPr>
          <w:rFonts w:hint="eastAsia"/>
        </w:rPr>
        <w:tab/>
      </w:r>
      <w:r w:rsidRPr="00BC31E0">
        <w:rPr>
          <w:rFonts w:ascii="ＭＳ ゴシック" w:hAnsi="ＭＳ ゴシック" w:hint="eastAsia"/>
          <w:b/>
        </w:rPr>
        <w:t>ASME Sec.II</w:t>
      </w:r>
      <w:r w:rsidRPr="00BC31E0">
        <w:rPr>
          <w:rFonts w:ascii="ＭＳ 明朝" w:hAnsi="ＭＳ 明朝" w:hint="eastAsia"/>
        </w:rPr>
        <w:t>,</w:t>
      </w:r>
      <w:r w:rsidRPr="00BC31E0">
        <w:rPr>
          <w:rFonts w:ascii="ＭＳ ゴシック" w:hAnsi="ＭＳ ゴシック" w:hint="eastAsia"/>
        </w:rPr>
        <w:t xml:space="preserve"> </w:t>
      </w:r>
      <w:r w:rsidRPr="00BC31E0">
        <w:rPr>
          <w:rFonts w:ascii="ＭＳ ゴシック" w:hAnsi="ＭＳ ゴシック" w:hint="eastAsia"/>
          <w:b/>
        </w:rPr>
        <w:t>Part D</w:t>
      </w:r>
      <w:r w:rsidRPr="00BC31E0">
        <w:rPr>
          <w:rFonts w:ascii="ＭＳ 明朝" w:hAnsi="ＭＳ 明朝" w:hint="eastAsia"/>
        </w:rPr>
        <w:t>,</w:t>
      </w:r>
      <w:r w:rsidRPr="00BC31E0">
        <w:rPr>
          <w:rFonts w:ascii="ＭＳ ゴシック" w:hAnsi="ＭＳ ゴシック" w:hint="eastAsia"/>
        </w:rPr>
        <w:t xml:space="preserve"> </w:t>
      </w:r>
      <w:r w:rsidRPr="00BC31E0">
        <w:rPr>
          <w:rFonts w:ascii="ＭＳ ゴシック" w:hAnsi="ＭＳ ゴシック" w:hint="eastAsia"/>
          <w:b/>
        </w:rPr>
        <w:t>Subpart 1</w:t>
      </w:r>
      <w:r w:rsidRPr="00BC31E0">
        <w:rPr>
          <w:rFonts w:ascii="ＭＳ 明朝" w:hAnsi="ＭＳ 明朝" w:hint="eastAsia"/>
        </w:rPr>
        <w:t>,</w:t>
      </w:r>
      <w:r w:rsidRPr="00BC31E0">
        <w:rPr>
          <w:rFonts w:ascii="ＭＳ ゴシック" w:hAnsi="ＭＳ ゴシック" w:hint="eastAsia"/>
        </w:rPr>
        <w:t xml:space="preserve"> </w:t>
      </w:r>
      <w:r w:rsidRPr="00BC31E0">
        <w:rPr>
          <w:rFonts w:ascii="ＭＳ ゴシック" w:hAnsi="ＭＳ ゴシック" w:hint="eastAsia"/>
          <w:b/>
        </w:rPr>
        <w:t>Table U</w:t>
      </w:r>
      <w:r w:rsidRPr="00BC31E0">
        <w:rPr>
          <w:rFonts w:hint="eastAsia"/>
        </w:rPr>
        <w:t>及び</w:t>
      </w:r>
      <w:r w:rsidRPr="00BC31E0">
        <w:rPr>
          <w:rFonts w:ascii="ＭＳ ゴシック" w:hAnsi="ＭＳ ゴシック" w:hint="eastAsia"/>
          <w:b/>
        </w:rPr>
        <w:t>Table U-2</w:t>
      </w:r>
    </w:p>
    <w:p w14:paraId="67A6A63C" w14:textId="77777777" w:rsidR="00F03E0A" w:rsidRPr="00BC31E0" w:rsidRDefault="00F03E0A" w:rsidP="000F417D">
      <w:pPr>
        <w:tabs>
          <w:tab w:val="left" w:pos="3261"/>
        </w:tabs>
        <w:ind w:left="454"/>
      </w:pPr>
      <w:r w:rsidRPr="00BC31E0">
        <w:rPr>
          <w:rFonts w:hint="eastAsia"/>
        </w:rPr>
        <w:t>降伏点又は</w:t>
      </w:r>
      <w:r w:rsidR="001D638B" w:rsidRPr="00BC31E0">
        <w:rPr>
          <w:rFonts w:hint="eastAsia"/>
        </w:rPr>
        <w:t>0.2%</w:t>
      </w:r>
      <w:r w:rsidR="005C3078" w:rsidRPr="00BC31E0">
        <w:rPr>
          <w:rFonts w:hint="eastAsia"/>
        </w:rPr>
        <w:t>耐力</w:t>
      </w:r>
      <m:oMath>
        <m:sSub>
          <m:sSubPr>
            <m:ctrlPr>
              <w:rPr>
                <w:rFonts w:ascii="Cambria Math" w:hAnsi="Cambria Math"/>
                <w:i/>
                <w:vertAlign w:val="subscript"/>
              </w:rPr>
            </m:ctrlPr>
          </m:sSubPr>
          <m:e>
            <m:r>
              <w:rPr>
                <w:rFonts w:ascii="Cambria Math" w:hAnsi="Cambria Math"/>
                <w:vertAlign w:val="subscript"/>
              </w:rPr>
              <m:t xml:space="preserve"> S</m:t>
            </m:r>
          </m:e>
          <m:sub>
            <m:r>
              <w:rPr>
                <w:rFonts w:ascii="Cambria Math" w:hAnsi="Cambria Math"/>
                <w:vertAlign w:val="subscript"/>
              </w:rPr>
              <m:t>y</m:t>
            </m:r>
          </m:sub>
        </m:sSub>
      </m:oMath>
      <w:r w:rsidRPr="00BC31E0">
        <w:rPr>
          <w:rFonts w:hint="eastAsia"/>
        </w:rPr>
        <w:tab/>
      </w:r>
      <w:r w:rsidRPr="00BC31E0">
        <w:rPr>
          <w:rFonts w:ascii="ＭＳ ゴシック" w:eastAsia="ＭＳ ゴシック" w:hAnsi="ＭＳ ゴシック" w:hint="eastAsia"/>
          <w:b/>
        </w:rPr>
        <w:t>JIS B 8266 付表5.1</w:t>
      </w:r>
      <w:r w:rsidRPr="00BC31E0">
        <w:rPr>
          <w:rFonts w:hint="eastAsia"/>
        </w:rPr>
        <w:t>及び</w:t>
      </w:r>
      <w:r w:rsidRPr="00BC31E0">
        <w:rPr>
          <w:rFonts w:ascii="ＭＳ ゴシック" w:eastAsia="ＭＳ ゴシック" w:hAnsi="ＭＳ ゴシック" w:hint="eastAsia"/>
          <w:b/>
        </w:rPr>
        <w:t>付表5.2</w:t>
      </w:r>
    </w:p>
    <w:p w14:paraId="7F444494" w14:textId="77777777" w:rsidR="00F03E0A" w:rsidRPr="00BC31E0" w:rsidRDefault="00F03E0A" w:rsidP="00F03E0A">
      <w:pPr>
        <w:tabs>
          <w:tab w:val="left" w:pos="3261"/>
        </w:tabs>
        <w:autoSpaceDE w:val="0"/>
        <w:autoSpaceDN w:val="0"/>
      </w:pPr>
      <w:r w:rsidRPr="00BC31E0">
        <w:rPr>
          <w:rFonts w:ascii="ＭＳ ゴシック" w:eastAsia="ＭＳ ゴシック" w:hAnsi="ＭＳ ゴシック" w:hint="eastAsia"/>
          <w:b/>
        </w:rPr>
        <w:tab/>
        <w:t>ASME Sec.II</w:t>
      </w:r>
      <w:r w:rsidRPr="00BC31E0">
        <w:rPr>
          <w:rFonts w:ascii="ＭＳ 明朝" w:hAnsi="ＭＳ 明朝" w:hint="eastAsia"/>
        </w:rPr>
        <w:t xml:space="preserve">, </w:t>
      </w:r>
      <w:r w:rsidRPr="00BC31E0">
        <w:rPr>
          <w:rFonts w:ascii="ＭＳ ゴシック" w:eastAsia="ＭＳ ゴシック" w:hAnsi="ＭＳ ゴシック" w:hint="eastAsia"/>
          <w:b/>
        </w:rPr>
        <w:t>Part D</w:t>
      </w:r>
      <w:r w:rsidRPr="00BC31E0">
        <w:rPr>
          <w:rFonts w:ascii="ＭＳ 明朝" w:hAnsi="ＭＳ 明朝" w:hint="eastAsia"/>
        </w:rPr>
        <w:t xml:space="preserve">, </w:t>
      </w:r>
      <w:r w:rsidRPr="00BC31E0">
        <w:rPr>
          <w:rFonts w:ascii="ＭＳ ゴシック" w:eastAsia="ＭＳ ゴシック" w:hAnsi="ＭＳ ゴシック" w:hint="eastAsia"/>
          <w:b/>
        </w:rPr>
        <w:t>Subpart 1</w:t>
      </w:r>
      <w:r w:rsidRPr="00BC31E0">
        <w:rPr>
          <w:rFonts w:ascii="ＭＳ 明朝" w:hAnsi="ＭＳ 明朝" w:hint="eastAsia"/>
        </w:rPr>
        <w:t xml:space="preserve">, </w:t>
      </w:r>
      <w:r w:rsidRPr="00BC31E0">
        <w:rPr>
          <w:rFonts w:ascii="ＭＳ ゴシック" w:eastAsia="ＭＳ ゴシック" w:hAnsi="ＭＳ ゴシック" w:hint="eastAsia"/>
          <w:b/>
        </w:rPr>
        <w:t>Table Y-1</w:t>
      </w:r>
    </w:p>
    <w:p w14:paraId="7907DA79" w14:textId="77777777" w:rsidR="00F03E0A" w:rsidRPr="00BC31E0" w:rsidRDefault="00F03E0A" w:rsidP="00736130">
      <w:pPr>
        <w:pStyle w:val="a4"/>
        <w:numPr>
          <w:ilvl w:val="0"/>
          <w:numId w:val="86"/>
        </w:numPr>
        <w:ind w:leftChars="0" w:left="454" w:hanging="454"/>
      </w:pPr>
      <w:r w:rsidRPr="00BC31E0">
        <w:rPr>
          <w:rFonts w:hint="eastAsia"/>
        </w:rPr>
        <w:t>この規格で用いられる材料の線膨張係数と縦弾性係数は，次の表に示される。</w:t>
      </w:r>
    </w:p>
    <w:p w14:paraId="3D5545C6" w14:textId="77777777" w:rsidR="00F03E0A" w:rsidRPr="00BC31E0" w:rsidRDefault="00F03E0A" w:rsidP="000F417D">
      <w:pPr>
        <w:tabs>
          <w:tab w:val="left" w:pos="3261"/>
        </w:tabs>
        <w:ind w:left="454"/>
      </w:pPr>
      <w:r w:rsidRPr="00BC31E0">
        <w:rPr>
          <w:rFonts w:hint="eastAsia"/>
        </w:rPr>
        <w:t>線膨張係数</w:t>
      </w:r>
      <w:r w:rsidRPr="00BC31E0">
        <w:rPr>
          <w:rFonts w:hint="eastAsia"/>
        </w:rPr>
        <w:tab/>
      </w:r>
      <w:r w:rsidRPr="00BC31E0">
        <w:rPr>
          <w:rFonts w:asciiTheme="majorEastAsia" w:eastAsiaTheme="majorEastAsia" w:hAnsiTheme="majorEastAsia" w:hint="eastAsia"/>
          <w:b/>
        </w:rPr>
        <w:t>JIS B 8266</w:t>
      </w:r>
      <w:r w:rsidRPr="00BC31E0">
        <w:rPr>
          <w:rFonts w:hint="eastAsia"/>
          <w:b/>
        </w:rPr>
        <w:t xml:space="preserve"> </w:t>
      </w:r>
      <w:r w:rsidRPr="00BC31E0">
        <w:rPr>
          <w:rFonts w:asciiTheme="majorEastAsia" w:eastAsiaTheme="majorEastAsia" w:hAnsiTheme="majorEastAsia" w:hint="eastAsia"/>
          <w:b/>
        </w:rPr>
        <w:t>付表4.2</w:t>
      </w:r>
    </w:p>
    <w:p w14:paraId="0B62937A" w14:textId="77777777" w:rsidR="00F03E0A" w:rsidRPr="00BC31E0" w:rsidRDefault="00F03E0A" w:rsidP="00F03E0A">
      <w:pPr>
        <w:tabs>
          <w:tab w:val="left" w:pos="3261"/>
        </w:tabs>
        <w:autoSpaceDE w:val="0"/>
        <w:autoSpaceDN w:val="0"/>
        <w:rPr>
          <w:rFonts w:ascii="ＭＳ ゴシック" w:eastAsia="ＭＳ ゴシック" w:hAnsi="ＭＳ ゴシック"/>
          <w:b/>
        </w:rPr>
      </w:pPr>
      <w:r w:rsidRPr="00BC31E0">
        <w:rPr>
          <w:rFonts w:ascii="ＭＳ ゴシック" w:eastAsia="ＭＳ ゴシック" w:hAnsi="ＭＳ ゴシック" w:hint="eastAsia"/>
          <w:b/>
        </w:rPr>
        <w:tab/>
        <w:t>ASME Sec.II</w:t>
      </w:r>
      <w:r w:rsidRPr="00BC31E0">
        <w:rPr>
          <w:rFonts w:ascii="ＭＳ 明朝" w:hAnsi="ＭＳ 明朝" w:hint="eastAsia"/>
        </w:rPr>
        <w:t xml:space="preserve">, </w:t>
      </w:r>
      <w:r w:rsidRPr="00BC31E0">
        <w:rPr>
          <w:rFonts w:ascii="ＭＳ ゴシック" w:eastAsia="ＭＳ ゴシック" w:hAnsi="ＭＳ ゴシック" w:hint="eastAsia"/>
          <w:b/>
        </w:rPr>
        <w:t>Part D</w:t>
      </w:r>
      <w:r w:rsidRPr="00BC31E0">
        <w:rPr>
          <w:rFonts w:ascii="ＭＳ 明朝" w:hAnsi="ＭＳ 明朝" w:hint="eastAsia"/>
        </w:rPr>
        <w:t xml:space="preserve">, </w:t>
      </w:r>
      <w:r w:rsidRPr="00BC31E0">
        <w:rPr>
          <w:rFonts w:ascii="ＭＳ ゴシック" w:eastAsia="ＭＳ ゴシック" w:hAnsi="ＭＳ ゴシック" w:hint="eastAsia"/>
          <w:b/>
        </w:rPr>
        <w:t>Subpart 2</w:t>
      </w:r>
      <w:r w:rsidRPr="00BC31E0">
        <w:rPr>
          <w:rFonts w:ascii="ＭＳ 明朝" w:hAnsi="ＭＳ 明朝" w:hint="eastAsia"/>
        </w:rPr>
        <w:t xml:space="preserve">, </w:t>
      </w:r>
      <w:r w:rsidRPr="00BC31E0">
        <w:rPr>
          <w:rFonts w:ascii="ＭＳ ゴシック" w:eastAsia="ＭＳ ゴシック" w:hAnsi="ＭＳ ゴシック" w:hint="eastAsia"/>
          <w:b/>
        </w:rPr>
        <w:t>Table TE-1</w:t>
      </w:r>
      <w:r w:rsidRPr="00BC31E0">
        <w:rPr>
          <w:rFonts w:ascii="ＭＳ 明朝" w:hAnsi="ＭＳ 明朝"/>
        </w:rPr>
        <w:t>,</w:t>
      </w:r>
      <w:r w:rsidRPr="00BC31E0">
        <w:rPr>
          <w:rFonts w:ascii="ＭＳ ゴシック" w:eastAsia="ＭＳ ゴシック" w:hAnsi="ＭＳ ゴシック"/>
          <w:b/>
        </w:rPr>
        <w:t xml:space="preserve"> TE-2</w:t>
      </w:r>
    </w:p>
    <w:p w14:paraId="5FC05AED" w14:textId="77777777" w:rsidR="00F03E0A" w:rsidRPr="00BC31E0" w:rsidRDefault="00F03E0A" w:rsidP="00F03E0A">
      <w:pPr>
        <w:tabs>
          <w:tab w:val="left" w:pos="3261"/>
        </w:tabs>
        <w:autoSpaceDE w:val="0"/>
        <w:autoSpaceDN w:val="0"/>
      </w:pPr>
      <w:r w:rsidRPr="00BC31E0">
        <w:rPr>
          <w:rFonts w:ascii="ＭＳ ゴシック" w:eastAsia="ＭＳ ゴシック" w:hAnsi="ＭＳ ゴシック"/>
          <w:b/>
        </w:rPr>
        <w:tab/>
      </w:r>
      <w:r w:rsidRPr="00BC31E0">
        <w:rPr>
          <w:rFonts w:ascii="ＭＳ 明朝" w:hAnsi="ＭＳ 明朝" w:hint="eastAsia"/>
        </w:rPr>
        <w:t>及び</w:t>
      </w:r>
      <w:r w:rsidRPr="00BC31E0">
        <w:rPr>
          <w:rFonts w:ascii="ＭＳ ゴシック" w:eastAsia="ＭＳ ゴシック" w:hAnsi="ＭＳ ゴシック" w:hint="eastAsia"/>
          <w:b/>
        </w:rPr>
        <w:t>Table TE-4</w:t>
      </w:r>
    </w:p>
    <w:p w14:paraId="716D2B5C" w14:textId="77777777" w:rsidR="00F03E0A" w:rsidRPr="00BC31E0" w:rsidRDefault="00F03E0A" w:rsidP="000F417D">
      <w:pPr>
        <w:tabs>
          <w:tab w:val="left" w:pos="3261"/>
        </w:tabs>
        <w:ind w:left="454"/>
      </w:pPr>
      <w:r w:rsidRPr="00BC31E0">
        <w:rPr>
          <w:rFonts w:hint="eastAsia"/>
        </w:rPr>
        <w:t>縦弾性係数</w:t>
      </w:r>
      <w:r w:rsidRPr="00BC31E0">
        <w:rPr>
          <w:rFonts w:hint="eastAsia"/>
        </w:rPr>
        <w:tab/>
      </w:r>
      <w:r w:rsidRPr="00BC31E0">
        <w:rPr>
          <w:rFonts w:asciiTheme="majorEastAsia" w:eastAsiaTheme="majorEastAsia" w:hAnsiTheme="majorEastAsia" w:hint="eastAsia"/>
          <w:b/>
        </w:rPr>
        <w:t>JIS B 8266 付表4.1</w:t>
      </w:r>
    </w:p>
    <w:p w14:paraId="04254C88" w14:textId="77777777" w:rsidR="00F03E0A" w:rsidRPr="00BC31E0" w:rsidRDefault="00F03E0A" w:rsidP="00F03E0A">
      <w:pPr>
        <w:tabs>
          <w:tab w:val="left" w:pos="3261"/>
        </w:tabs>
        <w:autoSpaceDE w:val="0"/>
        <w:autoSpaceDN w:val="0"/>
        <w:rPr>
          <w:rFonts w:ascii="ＭＳ ゴシック" w:eastAsia="ＭＳ ゴシック" w:hAnsi="ＭＳ ゴシック"/>
          <w:b/>
        </w:rPr>
      </w:pPr>
      <w:r w:rsidRPr="00BC31E0">
        <w:rPr>
          <w:rFonts w:ascii="ＭＳ ゴシック" w:eastAsia="ＭＳ ゴシック" w:hAnsi="ＭＳ ゴシック" w:hint="eastAsia"/>
          <w:b/>
        </w:rPr>
        <w:tab/>
        <w:t>ASME Sec.II</w:t>
      </w:r>
      <w:r w:rsidRPr="00BC31E0">
        <w:rPr>
          <w:rFonts w:ascii="ＭＳ 明朝" w:hAnsi="ＭＳ 明朝" w:hint="eastAsia"/>
        </w:rPr>
        <w:t xml:space="preserve">, </w:t>
      </w:r>
      <w:r w:rsidRPr="00BC31E0">
        <w:rPr>
          <w:rFonts w:ascii="ＭＳ ゴシック" w:eastAsia="ＭＳ ゴシック" w:hAnsi="ＭＳ ゴシック" w:hint="eastAsia"/>
          <w:b/>
        </w:rPr>
        <w:t>Part D</w:t>
      </w:r>
      <w:r w:rsidRPr="00BC31E0">
        <w:rPr>
          <w:rFonts w:ascii="ＭＳ 明朝" w:hAnsi="ＭＳ 明朝" w:hint="eastAsia"/>
        </w:rPr>
        <w:t xml:space="preserve">, </w:t>
      </w:r>
      <w:r w:rsidRPr="00BC31E0">
        <w:rPr>
          <w:rFonts w:ascii="ＭＳ ゴシック" w:eastAsia="ＭＳ ゴシック" w:hAnsi="ＭＳ ゴシック" w:hint="eastAsia"/>
          <w:b/>
        </w:rPr>
        <w:t>Subpart 2</w:t>
      </w:r>
      <w:r w:rsidRPr="00BC31E0">
        <w:rPr>
          <w:rFonts w:ascii="ＭＳ 明朝" w:hAnsi="ＭＳ 明朝" w:hint="eastAsia"/>
        </w:rPr>
        <w:t xml:space="preserve">, </w:t>
      </w:r>
      <w:r w:rsidRPr="00BC31E0">
        <w:rPr>
          <w:rFonts w:ascii="ＭＳ ゴシック" w:eastAsia="ＭＳ ゴシック" w:hAnsi="ＭＳ ゴシック" w:hint="eastAsia"/>
          <w:b/>
        </w:rPr>
        <w:t>Table TM-1</w:t>
      </w:r>
      <w:r w:rsidRPr="00BC31E0">
        <w:rPr>
          <w:rFonts w:ascii="ＭＳ 明朝" w:hAnsi="ＭＳ 明朝"/>
        </w:rPr>
        <w:t>,</w:t>
      </w:r>
      <w:r w:rsidRPr="00BC31E0">
        <w:rPr>
          <w:rFonts w:ascii="ＭＳ ゴシック" w:eastAsia="ＭＳ ゴシック" w:hAnsi="ＭＳ ゴシック" w:hint="eastAsia"/>
          <w:b/>
        </w:rPr>
        <w:t xml:space="preserve"> </w:t>
      </w:r>
      <w:r w:rsidRPr="00BC31E0">
        <w:rPr>
          <w:rFonts w:ascii="ＭＳ ゴシック" w:eastAsia="ＭＳ ゴシック" w:hAnsi="ＭＳ ゴシック"/>
          <w:b/>
        </w:rPr>
        <w:t xml:space="preserve">TM-2 </w:t>
      </w:r>
    </w:p>
    <w:p w14:paraId="25F5A44C" w14:textId="77777777" w:rsidR="00F03E0A" w:rsidRPr="00BC31E0" w:rsidRDefault="00F03E0A" w:rsidP="00F03E0A">
      <w:pPr>
        <w:tabs>
          <w:tab w:val="left" w:pos="3261"/>
        </w:tabs>
        <w:autoSpaceDE w:val="0"/>
        <w:autoSpaceDN w:val="0"/>
        <w:rPr>
          <w:rFonts w:ascii="ＭＳ ゴシック" w:eastAsia="ＭＳ ゴシック" w:hAnsi="ＭＳ ゴシック"/>
          <w:b/>
        </w:rPr>
      </w:pPr>
      <w:r w:rsidRPr="00BC31E0">
        <w:rPr>
          <w:rFonts w:ascii="ＭＳ ゴシック" w:eastAsia="ＭＳ ゴシック" w:hAnsi="ＭＳ ゴシック"/>
          <w:b/>
        </w:rPr>
        <w:tab/>
      </w:r>
      <w:r w:rsidRPr="00BC31E0">
        <w:rPr>
          <w:rFonts w:hint="eastAsia"/>
        </w:rPr>
        <w:t>及び</w:t>
      </w:r>
      <w:r w:rsidRPr="00BC31E0">
        <w:rPr>
          <w:rFonts w:ascii="ＭＳ ゴシック" w:eastAsia="ＭＳ ゴシック" w:hAnsi="ＭＳ ゴシック" w:hint="eastAsia"/>
          <w:b/>
        </w:rPr>
        <w:t>Table TM-4</w:t>
      </w:r>
    </w:p>
    <w:p w14:paraId="5BACB580" w14:textId="77777777" w:rsidR="00F03E0A" w:rsidRPr="00BC31E0" w:rsidRDefault="00F03E0A" w:rsidP="00736130">
      <w:pPr>
        <w:pStyle w:val="a4"/>
        <w:numPr>
          <w:ilvl w:val="0"/>
          <w:numId w:val="87"/>
        </w:numPr>
        <w:ind w:leftChars="0" w:left="454" w:hanging="454"/>
      </w:pPr>
      <w:r w:rsidRPr="00BC31E0">
        <w:rPr>
          <w:rFonts w:hint="eastAsia"/>
        </w:rPr>
        <w:t>この規格で用いられる材料の熱伝導率と熱拡散係数は，次の表に示される。</w:t>
      </w:r>
    </w:p>
    <w:p w14:paraId="0BBBCAB1" w14:textId="77777777" w:rsidR="00F03E0A" w:rsidRPr="00BC31E0" w:rsidRDefault="00F03E0A" w:rsidP="00854EDE">
      <w:pPr>
        <w:tabs>
          <w:tab w:val="left" w:pos="3261"/>
        </w:tabs>
        <w:ind w:left="454"/>
        <w:rPr>
          <w:rFonts w:ascii="ＭＳ ゴシック" w:eastAsia="ＭＳ ゴシック"/>
          <w:b/>
        </w:rPr>
      </w:pPr>
      <w:r w:rsidRPr="00BC31E0">
        <w:rPr>
          <w:rFonts w:hint="eastAsia"/>
        </w:rPr>
        <w:t>熱伝導率と熱拡散係数</w:t>
      </w:r>
      <w:r w:rsidRPr="00BC31E0">
        <w:rPr>
          <w:rFonts w:hint="eastAsia"/>
        </w:rPr>
        <w:tab/>
      </w:r>
      <w:r w:rsidRPr="00BC31E0">
        <w:rPr>
          <w:rFonts w:ascii="ＭＳ ゴシック" w:eastAsia="ＭＳ ゴシック" w:hint="eastAsia"/>
          <w:b/>
        </w:rPr>
        <w:t>ASME Sec.II</w:t>
      </w:r>
      <w:r w:rsidRPr="00BC31E0">
        <w:rPr>
          <w:rFonts w:ascii="ＭＳ 明朝" w:hAnsi="ＭＳ 明朝" w:hint="eastAsia"/>
        </w:rPr>
        <w:t xml:space="preserve">, </w:t>
      </w:r>
      <w:r w:rsidRPr="00BC31E0">
        <w:rPr>
          <w:rFonts w:ascii="ＭＳ ゴシック" w:eastAsia="ＭＳ ゴシック" w:hint="eastAsia"/>
          <w:b/>
        </w:rPr>
        <w:t>Part D</w:t>
      </w:r>
      <w:r w:rsidRPr="00BC31E0">
        <w:rPr>
          <w:rFonts w:ascii="ＭＳ 明朝" w:hAnsi="ＭＳ 明朝" w:hint="eastAsia"/>
        </w:rPr>
        <w:t xml:space="preserve">, </w:t>
      </w:r>
      <w:r w:rsidRPr="00BC31E0">
        <w:rPr>
          <w:rFonts w:ascii="ＭＳ ゴシック" w:eastAsia="ＭＳ ゴシック" w:hint="eastAsia"/>
          <w:b/>
        </w:rPr>
        <w:t>Subpart 2</w:t>
      </w:r>
      <w:r w:rsidRPr="00BC31E0">
        <w:rPr>
          <w:rFonts w:ascii="ＭＳ 明朝" w:hAnsi="ＭＳ 明朝" w:hint="eastAsia"/>
        </w:rPr>
        <w:t xml:space="preserve">, </w:t>
      </w:r>
      <w:r w:rsidRPr="00BC31E0">
        <w:rPr>
          <w:rFonts w:ascii="ＭＳ ゴシック" w:eastAsia="ＭＳ ゴシック" w:hint="eastAsia"/>
          <w:b/>
        </w:rPr>
        <w:t>Table TCD</w:t>
      </w:r>
    </w:p>
    <w:p w14:paraId="3E5B9DF3" w14:textId="77777777" w:rsidR="00781771" w:rsidRPr="00BC31E0" w:rsidRDefault="00F03E0A" w:rsidP="00736130">
      <w:pPr>
        <w:pStyle w:val="a4"/>
        <w:numPr>
          <w:ilvl w:val="0"/>
          <w:numId w:val="83"/>
        </w:numPr>
        <w:spacing w:after="120"/>
        <w:ind w:leftChars="0" w:left="454" w:hanging="454"/>
      </w:pPr>
      <w:r w:rsidRPr="00BC31E0">
        <w:rPr>
          <w:rFonts w:asciiTheme="majorEastAsia" w:eastAsiaTheme="majorEastAsia" w:hAnsiTheme="majorEastAsia" w:hint="eastAsia"/>
          <w:b/>
        </w:rPr>
        <w:t>表</w:t>
      </w:r>
      <w:r w:rsidRPr="00BC31E0">
        <w:rPr>
          <w:rFonts w:asciiTheme="majorEastAsia" w:eastAsiaTheme="majorEastAsia" w:hAnsiTheme="majorEastAsia"/>
          <w:b/>
        </w:rPr>
        <w:t>5.4.1</w:t>
      </w:r>
      <w:r w:rsidRPr="00BC31E0">
        <w:rPr>
          <w:rFonts w:ascii="ＭＳ 明朝" w:hint="eastAsia"/>
        </w:rPr>
        <w:t>と</w:t>
      </w:r>
      <w:r w:rsidRPr="00BC31E0">
        <w:rPr>
          <w:rFonts w:asciiTheme="majorEastAsia" w:eastAsiaTheme="majorEastAsia" w:hAnsiTheme="majorEastAsia" w:hint="eastAsia"/>
          <w:b/>
        </w:rPr>
        <w:t>表5.4.2</w:t>
      </w:r>
      <w:r w:rsidRPr="00BC31E0">
        <w:rPr>
          <w:rFonts w:hint="eastAsia"/>
        </w:rPr>
        <w:t>には適用上限温度を示しているが，クリープ温度域の許容応力を設定できる材料の場合には，</w:t>
      </w:r>
      <w:r w:rsidRPr="00BC31E0">
        <w:rPr>
          <w:rFonts w:asciiTheme="majorEastAsia" w:eastAsiaTheme="majorEastAsia" w:hAnsiTheme="majorEastAsia" w:hint="eastAsia"/>
          <w:b/>
        </w:rPr>
        <w:t>附属書J</w:t>
      </w:r>
      <w:r w:rsidRPr="00BC31E0">
        <w:rPr>
          <w:rFonts w:hint="eastAsia"/>
        </w:rPr>
        <w:t>による一次一般膜相当応力の許容値</w:t>
      </w:r>
      <w:r w:rsidRPr="00BC31E0">
        <w:rPr>
          <w:rFonts w:hint="eastAsia"/>
        </w:rPr>
        <w:t>(</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y</m:t>
                </m:r>
              </m:sub>
            </m:sSub>
          </m:num>
          <m:den>
            <m:r>
              <w:rPr>
                <w:rFonts w:ascii="Cambria Math" w:hAnsi="Cambria Math"/>
              </w:rPr>
              <m:t>1.5</m:t>
            </m:r>
          </m:den>
        </m:f>
      </m:oMath>
      <w:r w:rsidRPr="00BC31E0">
        <w:rPr>
          <w:rFonts w:hint="eastAsia"/>
        </w:rPr>
        <w:t>)</w:t>
      </w:r>
      <w:r w:rsidRPr="00BC31E0">
        <w:rPr>
          <w:rFonts w:hint="eastAsia"/>
        </w:rPr>
        <w:t>がクリープ温度域の許容応力と等しくなる</w:t>
      </w:r>
      <m:oMath>
        <m:r>
          <m:rPr>
            <m:sty m:val="p"/>
          </m:rP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y</m:t>
            </m:r>
          </m:sub>
        </m:sSub>
        <m:r>
          <w:rPr>
            <w:rFonts w:ascii="Cambria Math" w:hAnsi="Cambria Math"/>
          </w:rPr>
          <m:t xml:space="preserve"> </m:t>
        </m:r>
      </m:oMath>
      <w:r w:rsidRPr="00BC31E0">
        <w:rPr>
          <w:rFonts w:hint="eastAsia"/>
        </w:rPr>
        <w:t>の値の温度を上限温度と</w:t>
      </w:r>
      <w:r w:rsidR="00600968" w:rsidRPr="00BC31E0">
        <w:rPr>
          <w:rFonts w:hint="eastAsia"/>
        </w:rPr>
        <w:t>してもよい</w:t>
      </w:r>
      <w:r w:rsidRPr="00BC31E0">
        <w:rPr>
          <w:rFonts w:hint="eastAsia"/>
        </w:rPr>
        <w:t>。また，一次一般膜相当応力の許容値</w:t>
      </w:r>
      <w:r w:rsidRPr="00BC31E0">
        <w:rPr>
          <w:rFonts w:hint="eastAsia"/>
        </w:rPr>
        <w:t>(</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y</m:t>
                </m:r>
              </m:sub>
            </m:sSub>
          </m:num>
          <m:den>
            <m:r>
              <w:rPr>
                <w:rFonts w:ascii="Cambria Math" w:hAnsi="Cambria Math"/>
              </w:rPr>
              <m:t>1.5</m:t>
            </m:r>
          </m:den>
        </m:f>
      </m:oMath>
      <w:r w:rsidRPr="00BC31E0">
        <w:rPr>
          <w:rFonts w:hint="eastAsia"/>
        </w:rPr>
        <w:t>)</w:t>
      </w:r>
      <w:r w:rsidRPr="00BC31E0">
        <w:rPr>
          <w:rFonts w:hint="eastAsia"/>
        </w:rPr>
        <w:t>がクリープ温度域の許容応力と等しくなるように，次に示すクリープ温度域の膜応力補正係数</w:t>
      </w:r>
      <m:oMath>
        <m:sSub>
          <m:sSubPr>
            <m:ctrlPr>
              <w:rPr>
                <w:rFonts w:ascii="Cambria Math" w:hAnsi="Cambria Math"/>
                <w:i/>
              </w:rPr>
            </m:ctrlPr>
          </m:sSubPr>
          <m:e>
            <m:r>
              <w:rPr>
                <w:rFonts w:ascii="Cambria Math" w:hAnsi="Cambria Math"/>
              </w:rPr>
              <m:t xml:space="preserve"> k</m:t>
            </m:r>
          </m:e>
          <m:sub>
            <m:r>
              <w:rPr>
                <w:rFonts w:ascii="Cambria Math" w:hAnsi="Cambria Math"/>
              </w:rPr>
              <m:t>c</m:t>
            </m:r>
          </m:sub>
        </m:sSub>
      </m:oMath>
      <w:r w:rsidRPr="00BC31E0">
        <w:rPr>
          <w:rFonts w:ascii="Cambria Math" w:hAnsi="Cambria Math" w:hint="eastAsia"/>
        </w:rPr>
        <w:t xml:space="preserve"> </w:t>
      </w:r>
      <w:r w:rsidRPr="00BC31E0">
        <w:rPr>
          <w:rFonts w:hint="eastAsia"/>
        </w:rPr>
        <w:t>を導入することにより，上限温度を高く</w:t>
      </w:r>
      <w:r w:rsidR="00777702" w:rsidRPr="00BC31E0">
        <w:rPr>
          <w:rFonts w:hint="eastAsia"/>
        </w:rPr>
        <w:t>してもよい</w:t>
      </w:r>
      <w:r w:rsidRPr="00BC31E0">
        <w:rPr>
          <w:rFonts w:hint="eastAsia"/>
        </w:rPr>
        <w:t>。この場合，</w:t>
      </w:r>
      <w:r w:rsidRPr="00BC31E0">
        <w:rPr>
          <w:rFonts w:asciiTheme="majorEastAsia" w:eastAsiaTheme="majorEastAsia" w:hAnsiTheme="majorEastAsia" w:hint="eastAsia"/>
          <w:b/>
        </w:rPr>
        <w:t>附属書J</w:t>
      </w:r>
      <w:r w:rsidRPr="00BC31E0">
        <w:rPr>
          <w:rFonts w:hint="eastAsia"/>
        </w:rPr>
        <w:t>の応力制限値にも</w:t>
      </w:r>
      <m:oMath>
        <m:sSub>
          <m:sSubPr>
            <m:ctrlPr>
              <w:rPr>
                <w:rFonts w:ascii="Cambria Math" w:hAnsi="Cambria Math"/>
                <w:i/>
              </w:rPr>
            </m:ctrlPr>
          </m:sSubPr>
          <m:e>
            <m:r>
              <w:rPr>
                <w:rFonts w:ascii="Cambria Math" w:hAnsi="Cambria Math"/>
              </w:rPr>
              <m:t>k</m:t>
            </m:r>
          </m:e>
          <m:sub>
            <m:r>
              <w:rPr>
                <w:rFonts w:ascii="Cambria Math" w:hAnsi="Cambria Math"/>
              </w:rPr>
              <m:t>c</m:t>
            </m:r>
          </m:sub>
        </m:sSub>
      </m:oMath>
      <w:r w:rsidRPr="00BC31E0">
        <w:rPr>
          <w:rFonts w:hint="eastAsia"/>
        </w:rPr>
        <w:t>を適用する。また，</w:t>
      </w:r>
      <w:r w:rsidRPr="00BC31E0">
        <w:rPr>
          <w:rFonts w:asciiTheme="majorEastAsia" w:eastAsiaTheme="majorEastAsia" w:hAnsiTheme="majorEastAsia" w:hint="eastAsia"/>
          <w:b/>
        </w:rPr>
        <w:t>6.2.3</w:t>
      </w:r>
      <w:r w:rsidRPr="00BC31E0">
        <w:rPr>
          <w:rFonts w:hint="eastAsia"/>
        </w:rPr>
        <w:t>に従った弾塑性解析を行う場合，及び</w:t>
      </w:r>
      <w:r w:rsidRPr="00BC31E0">
        <w:rPr>
          <w:rFonts w:asciiTheme="majorEastAsia" w:eastAsiaTheme="majorEastAsia" w:hAnsiTheme="majorEastAsia" w:hint="eastAsia"/>
          <w:b/>
        </w:rPr>
        <w:t>6.2.2</w:t>
      </w:r>
      <w:r w:rsidRPr="00BC31E0">
        <w:rPr>
          <w:rFonts w:hint="eastAsia"/>
        </w:rPr>
        <w:t>により設計圧力を計算する場合には，降伏強さ及び引張強さとして</w:t>
      </w:r>
      <m:oMath>
        <m:sSub>
          <m:sSubPr>
            <m:ctrlPr>
              <w:rPr>
                <w:rFonts w:ascii="Cambria Math" w:hAnsi="Cambria Math"/>
                <w:i/>
              </w:rPr>
            </m:ctrlPr>
          </m:sSubPr>
          <m:e>
            <m:r>
              <w:rPr>
                <w:rFonts w:ascii="Cambria Math" w:hAnsi="Cambria Math"/>
              </w:rPr>
              <m:t xml:space="preserve"> k</m:t>
            </m:r>
          </m:e>
          <m:sub>
            <m:r>
              <w:rPr>
                <w:rFonts w:ascii="Cambria Math" w:hAnsi="Cambria Math"/>
              </w:rPr>
              <m:t>c</m:t>
            </m:r>
          </m:sub>
        </m:sSub>
        <m:sSub>
          <m:sSubPr>
            <m:ctrlPr>
              <w:rPr>
                <w:rFonts w:ascii="Cambria Math" w:hAnsi="Cambria Math"/>
                <w:i/>
              </w:rPr>
            </m:ctrlPr>
          </m:sSubPr>
          <m:e>
            <m:r>
              <w:rPr>
                <w:rFonts w:ascii="Cambria Math" w:hAnsi="Cambria Math"/>
              </w:rPr>
              <m:t xml:space="preserve"> S</m:t>
            </m:r>
          </m:e>
          <m:sub>
            <m:r>
              <w:rPr>
                <w:rFonts w:ascii="Cambria Math" w:hAnsi="Cambria Math"/>
              </w:rPr>
              <m:t>y</m:t>
            </m:r>
          </m:sub>
        </m:sSub>
        <m:r>
          <w:rPr>
            <w:rFonts w:ascii="Cambria Math" w:hAnsi="Cambria Math"/>
          </w:rPr>
          <m:t xml:space="preserve"> </m:t>
        </m:r>
      </m:oMath>
      <w:r w:rsidRPr="00BC31E0">
        <w:rPr>
          <w:rFonts w:hint="eastAsia"/>
        </w:rPr>
        <w:t>を用いなければならない。</w:t>
      </w:r>
    </w:p>
    <w:p w14:paraId="5BC74F37" w14:textId="77777777" w:rsidR="00781771" w:rsidRPr="00BC31E0" w:rsidRDefault="00A51873" w:rsidP="00854EDE">
      <w:pPr>
        <w:ind w:left="680"/>
      </w:pPr>
      <m:oMath>
        <m:sSub>
          <m:sSubPr>
            <m:ctrlPr>
              <w:rPr>
                <w:rFonts w:ascii="Cambria Math" w:hAnsi="Cambria Math"/>
                <w:i/>
              </w:rPr>
            </m:ctrlPr>
          </m:sSubPr>
          <m:e>
            <m:r>
              <w:rPr>
                <w:rFonts w:ascii="Cambria Math" w:hAnsi="Cambria Math"/>
              </w:rPr>
              <m:t>S</m:t>
            </m:r>
          </m:e>
          <m:sub>
            <m:r>
              <w:rPr>
                <w:rFonts w:ascii="Cambria Math" w:hAnsi="Cambria Math"/>
              </w:rPr>
              <m:t>c</m:t>
            </m:r>
          </m:sub>
        </m:sSub>
        <m:r>
          <w:rPr>
            <w:rFonts w:ascii="Cambria Math" w:hAnsi="Cambria Math"/>
          </w:rPr>
          <m:t>≧</m:t>
        </m:r>
        <m:f>
          <m:fPr>
            <m:type m:val="lin"/>
            <m:ctrlPr>
              <w:rPr>
                <w:rFonts w:ascii="Cambria Math" w:hAnsi="Cambria Math"/>
                <w:i/>
              </w:rPr>
            </m:ctrlPr>
          </m:fPr>
          <m:num>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y</m:t>
                        </m:r>
                      </m:sub>
                    </m:sSub>
                  </m:num>
                  <m:den>
                    <m:r>
                      <w:rPr>
                        <w:rFonts w:ascii="Cambria Math" w:hAnsi="Cambria Math"/>
                      </w:rPr>
                      <m:t>1.5</m:t>
                    </m:r>
                  </m:den>
                </m:f>
              </m:e>
            </m:d>
          </m:num>
          <m:den>
            <m:r>
              <w:rPr>
                <w:rFonts w:ascii="Cambria Math" w:hAnsi="Cambria Math"/>
              </w:rPr>
              <m:t>2</m:t>
            </m:r>
          </m:den>
        </m:f>
      </m:oMath>
      <w:r w:rsidR="00F03E0A" w:rsidRPr="00BC31E0">
        <w:rPr>
          <w:rFonts w:hint="eastAsia"/>
        </w:rPr>
        <w:t xml:space="preserve"> </w:t>
      </w:r>
      <w:r w:rsidR="00F03E0A" w:rsidRPr="00BC31E0">
        <w:rPr>
          <w:rFonts w:hint="eastAsia"/>
        </w:rPr>
        <w:t>の</w:t>
      </w:r>
      <w:r w:rsidR="000A3B32" w:rsidRPr="00BC31E0">
        <w:rPr>
          <w:rFonts w:hint="eastAsia"/>
        </w:rPr>
        <w:t>とき</w:t>
      </w:r>
      <w:r w:rsidR="00F03E0A" w:rsidRPr="00BC31E0">
        <w:rPr>
          <w:rFonts w:hint="eastAsia"/>
        </w:rPr>
        <w:t>，</w:t>
      </w:r>
      <m:oMath>
        <m:sSub>
          <m:sSubPr>
            <m:ctrlPr>
              <w:rPr>
                <w:rFonts w:ascii="Cambria Math" w:hAnsi="Cambria Math"/>
                <w:i/>
              </w:rPr>
            </m:ctrlPr>
          </m:sSubPr>
          <m:e>
            <m:r>
              <w:rPr>
                <w:rFonts w:ascii="Cambria Math" w:hAnsi="Cambria Math"/>
              </w:rPr>
              <m:t xml:space="preserve"> k</m:t>
            </m:r>
          </m:e>
          <m:sub>
            <m:r>
              <w:rPr>
                <w:rFonts w:ascii="Cambria Math" w:hAnsi="Cambria Math"/>
              </w:rPr>
              <m:t>c</m:t>
            </m:r>
          </m:sub>
        </m:sSub>
        <m:r>
          <w:rPr>
            <w:rFonts w:ascii="Cambria Math" w:hAnsi="Cambria Math"/>
          </w:rPr>
          <m:t>=1</m:t>
        </m:r>
      </m:oMath>
    </w:p>
    <w:p w14:paraId="0836C5F4" w14:textId="77777777" w:rsidR="00781771" w:rsidRPr="00BC31E0" w:rsidRDefault="00A51873" w:rsidP="000A0DCB">
      <w:pPr>
        <w:spacing w:before="120"/>
        <w:ind w:left="680"/>
      </w:pPr>
      <m:oMath>
        <m:sSub>
          <m:sSubPr>
            <m:ctrlPr>
              <w:rPr>
                <w:rFonts w:ascii="Cambria Math" w:hAnsi="Cambria Math"/>
                <w:i/>
              </w:rPr>
            </m:ctrlPr>
          </m:sSubPr>
          <m:e>
            <m:r>
              <w:rPr>
                <w:rFonts w:ascii="Cambria Math" w:hAnsi="Cambria Math"/>
              </w:rPr>
              <m:t>S</m:t>
            </m:r>
          </m:e>
          <m:sub>
            <m:r>
              <w:rPr>
                <w:rFonts w:ascii="Cambria Math" w:hAnsi="Cambria Math"/>
              </w:rPr>
              <m:t>c</m:t>
            </m:r>
          </m:sub>
        </m:sSub>
        <m:r>
          <w:rPr>
            <w:rFonts w:ascii="Cambria Math" w:hAnsi="Cambria Math"/>
          </w:rPr>
          <m:t>&lt;</m:t>
        </m:r>
        <m:f>
          <m:fPr>
            <m:type m:val="lin"/>
            <m:ctrlPr>
              <w:rPr>
                <w:rFonts w:ascii="Cambria Math" w:hAnsi="Cambria Math"/>
                <w:i/>
              </w:rPr>
            </m:ctrlPr>
          </m:fPr>
          <m:num>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y</m:t>
                        </m:r>
                      </m:sub>
                    </m:sSub>
                  </m:num>
                  <m:den>
                    <m:r>
                      <w:rPr>
                        <w:rFonts w:ascii="Cambria Math" w:hAnsi="Cambria Math"/>
                      </w:rPr>
                      <m:t>1.5</m:t>
                    </m:r>
                  </m:den>
                </m:f>
              </m:e>
            </m:d>
          </m:num>
          <m:den>
            <m:r>
              <w:rPr>
                <w:rFonts w:ascii="Cambria Math" w:hAnsi="Cambria Math"/>
              </w:rPr>
              <m:t>2</m:t>
            </m:r>
          </m:den>
        </m:f>
      </m:oMath>
      <w:r w:rsidR="00F03E0A" w:rsidRPr="00BC31E0">
        <w:rPr>
          <w:rFonts w:hint="eastAsia"/>
        </w:rPr>
        <w:t xml:space="preserve"> </w:t>
      </w:r>
      <w:r w:rsidR="00F03E0A" w:rsidRPr="00BC31E0">
        <w:rPr>
          <w:rFonts w:hint="eastAsia"/>
        </w:rPr>
        <w:t>の</w:t>
      </w:r>
      <w:r w:rsidR="000A3B32" w:rsidRPr="00BC31E0">
        <w:rPr>
          <w:rFonts w:hint="eastAsia"/>
        </w:rPr>
        <w:t>とき</w:t>
      </w:r>
      <w:r w:rsidR="00F03E0A" w:rsidRPr="00BC31E0">
        <w:rPr>
          <w:rFonts w:hint="eastAsia"/>
        </w:rPr>
        <w:t>，</w:t>
      </w:r>
      <m:oMath>
        <m:sSub>
          <m:sSubPr>
            <m:ctrlPr>
              <w:rPr>
                <w:rFonts w:ascii="Cambria Math" w:hAnsi="Cambria Math"/>
                <w:i/>
              </w:rPr>
            </m:ctrlPr>
          </m:sSubPr>
          <m:e>
            <m:r>
              <w:rPr>
                <w:rFonts w:ascii="Cambria Math" w:hAnsi="Cambria Math"/>
              </w:rPr>
              <m:t xml:space="preserve"> k</m:t>
            </m:r>
          </m:e>
          <m:sub>
            <m:r>
              <w:rPr>
                <w:rFonts w:ascii="Cambria Math" w:hAnsi="Cambria Math"/>
              </w:rPr>
              <m:t>c</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c</m:t>
                </m:r>
              </m:sub>
            </m:sSub>
          </m:num>
          <m:den>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y</m:t>
                        </m:r>
                      </m:sub>
                    </m:sSub>
                  </m:num>
                  <m:den>
                    <m:r>
                      <w:rPr>
                        <w:rFonts w:ascii="Cambria Math" w:hAnsi="Cambria Math"/>
                      </w:rPr>
                      <m:t>1.5</m:t>
                    </m:r>
                  </m:den>
                </m:f>
              </m:e>
            </m:d>
          </m:den>
        </m:f>
      </m:oMath>
    </w:p>
    <w:p w14:paraId="3854D45E" w14:textId="77777777" w:rsidR="00781771" w:rsidRPr="00BC31E0" w:rsidRDefault="00F03E0A" w:rsidP="000A0DCB">
      <w:pPr>
        <w:spacing w:before="60"/>
        <w:ind w:left="907"/>
      </w:pPr>
      <w:r w:rsidRPr="00BC31E0">
        <w:rPr>
          <w:rFonts w:hint="eastAsia"/>
        </w:rPr>
        <w:t>ここで，</w:t>
      </w:r>
    </w:p>
    <w:p w14:paraId="2963F2DE" w14:textId="77777777" w:rsidR="00F03E0A" w:rsidRPr="00BC31E0" w:rsidRDefault="00A51873" w:rsidP="00854EDE">
      <w:pPr>
        <w:ind w:left="1361"/>
      </w:pPr>
      <m:oMath>
        <m:sSub>
          <m:sSubPr>
            <m:ctrlPr>
              <w:rPr>
                <w:rFonts w:ascii="Cambria Math" w:hAnsi="Cambria Math"/>
                <w:i/>
              </w:rPr>
            </m:ctrlPr>
          </m:sSubPr>
          <m:e>
            <m:r>
              <w:rPr>
                <w:rFonts w:ascii="Cambria Math" w:hAnsi="Cambria Math"/>
              </w:rPr>
              <m:t>S</m:t>
            </m:r>
          </m:e>
          <m:sub>
            <m:r>
              <w:rPr>
                <w:rFonts w:ascii="Cambria Math" w:hAnsi="Cambria Math"/>
              </w:rPr>
              <m:t>c</m:t>
            </m:r>
          </m:sub>
        </m:sSub>
      </m:oMath>
      <w:r w:rsidR="00F03E0A" w:rsidRPr="00BC31E0">
        <w:rPr>
          <w:rFonts w:hint="eastAsia"/>
        </w:rPr>
        <w:t xml:space="preserve"> </w:t>
      </w:r>
      <w:r w:rsidR="00F03E0A" w:rsidRPr="00BC31E0">
        <w:rPr>
          <w:rFonts w:hint="eastAsia"/>
        </w:rPr>
        <w:t>：</w:t>
      </w:r>
      <w:r w:rsidR="00075FBD" w:rsidRPr="00BC31E0">
        <w:rPr>
          <w:rFonts w:hint="eastAsia"/>
        </w:rPr>
        <w:t xml:space="preserve"> </w:t>
      </w:r>
      <w:r w:rsidR="00F03E0A" w:rsidRPr="00BC31E0">
        <w:rPr>
          <w:rFonts w:hint="eastAsia"/>
        </w:rPr>
        <w:t>クリープ温度域の許容応力で，次の三つの値の最小値</w:t>
      </w:r>
    </w:p>
    <w:p w14:paraId="7A68E485" w14:textId="77777777" w:rsidR="00F03E0A" w:rsidRPr="00BC31E0" w:rsidRDefault="00F03E0A" w:rsidP="00075FBD">
      <w:pPr>
        <w:ind w:left="1928"/>
      </w:pPr>
      <w:r w:rsidRPr="00BC31E0">
        <w:rPr>
          <w:rFonts w:hint="eastAsia"/>
        </w:rPr>
        <w:t>・</w:t>
      </w:r>
      <w:r w:rsidRPr="00BC31E0">
        <w:rPr>
          <w:rFonts w:ascii="Cambria Math" w:hAnsi="Cambria Math"/>
        </w:rPr>
        <w:t>0.01% / 1,000 h</w:t>
      </w:r>
      <w:r w:rsidRPr="00BC31E0">
        <w:rPr>
          <w:rFonts w:hint="eastAsia"/>
        </w:rPr>
        <w:t>のクリープ速度を生じる応力の平均値</w:t>
      </w:r>
    </w:p>
    <w:p w14:paraId="2513B329" w14:textId="77777777" w:rsidR="00F03E0A" w:rsidRPr="00BC31E0" w:rsidRDefault="00F03E0A" w:rsidP="00075FBD">
      <w:pPr>
        <w:ind w:left="1928"/>
      </w:pPr>
      <w:r w:rsidRPr="00BC31E0">
        <w:rPr>
          <w:rFonts w:hint="eastAsia"/>
        </w:rPr>
        <w:t>・</w:t>
      </w:r>
      <w:r w:rsidRPr="00BC31E0">
        <w:rPr>
          <w:rFonts w:ascii="Cambria Math" w:hAnsi="Cambria Math"/>
        </w:rPr>
        <w:t>100,000 h</w:t>
      </w:r>
      <w:r w:rsidRPr="00BC31E0">
        <w:rPr>
          <w:rFonts w:hint="eastAsia"/>
        </w:rPr>
        <w:t>クリープ破断応力の平均値の</w:t>
      </w:r>
      <w:r w:rsidRPr="00BC31E0">
        <w:rPr>
          <w:rFonts w:asciiTheme="minorHAnsi" w:hAnsiTheme="minorHAnsi"/>
        </w:rPr>
        <w:t>67%</w:t>
      </w:r>
    </w:p>
    <w:p w14:paraId="7FCCF4A5" w14:textId="77777777" w:rsidR="00F03E0A" w:rsidRPr="00BC31E0" w:rsidRDefault="00F03E0A" w:rsidP="00075FBD">
      <w:pPr>
        <w:ind w:left="1928"/>
        <w:rPr>
          <w:rFonts w:ascii="Cambria Math" w:hAnsi="Cambria Math"/>
        </w:rPr>
      </w:pPr>
      <w:r w:rsidRPr="00BC31E0">
        <w:rPr>
          <w:rFonts w:hint="eastAsia"/>
        </w:rPr>
        <w:t>・</w:t>
      </w:r>
      <w:r w:rsidRPr="00BC31E0">
        <w:rPr>
          <w:rFonts w:ascii="Cambria Math" w:hAnsi="Cambria Math"/>
        </w:rPr>
        <w:t>100,000 h</w:t>
      </w:r>
      <w:r w:rsidRPr="00BC31E0">
        <w:rPr>
          <w:rFonts w:hint="eastAsia"/>
        </w:rPr>
        <w:t>クリープ破断応力の最小値の</w:t>
      </w:r>
      <w:r w:rsidRPr="00BC31E0">
        <w:rPr>
          <w:rFonts w:asciiTheme="minorHAnsi" w:hAnsiTheme="minorHAnsi"/>
        </w:rPr>
        <w:t>80%</w:t>
      </w:r>
    </w:p>
    <w:p w14:paraId="74D26C74" w14:textId="77777777" w:rsidR="00F03E0A" w:rsidRPr="00BC31E0" w:rsidRDefault="00A51873" w:rsidP="00CE31AE">
      <w:pPr>
        <w:ind w:left="1361"/>
      </w:pPr>
      <m:oMath>
        <m:sSub>
          <m:sSubPr>
            <m:ctrlPr>
              <w:rPr>
                <w:rFonts w:ascii="Cambria Math" w:hAnsi="Cambria Math"/>
                <w:i/>
              </w:rPr>
            </m:ctrlPr>
          </m:sSubPr>
          <m:e>
            <m:r>
              <w:rPr>
                <w:rFonts w:ascii="Cambria Math" w:hAnsi="Cambria Math"/>
              </w:rPr>
              <m:t>S</m:t>
            </m:r>
          </m:e>
          <m:sub>
            <m:r>
              <w:rPr>
                <w:rFonts w:ascii="Cambria Math" w:hAnsi="Cambria Math"/>
              </w:rPr>
              <m:t>y</m:t>
            </m:r>
          </m:sub>
        </m:sSub>
      </m:oMath>
      <w:r w:rsidR="00F03E0A" w:rsidRPr="00BC31E0">
        <w:rPr>
          <w:rFonts w:hint="eastAsia"/>
        </w:rPr>
        <w:t xml:space="preserve"> </w:t>
      </w:r>
      <w:r w:rsidR="00F03E0A" w:rsidRPr="00BC31E0">
        <w:rPr>
          <w:rFonts w:hint="eastAsia"/>
        </w:rPr>
        <w:t>：</w:t>
      </w:r>
      <w:r w:rsidR="00075FBD" w:rsidRPr="00BC31E0">
        <w:rPr>
          <w:rFonts w:hint="eastAsia"/>
        </w:rPr>
        <w:t xml:space="preserve"> </w:t>
      </w:r>
      <w:r w:rsidR="00F03E0A" w:rsidRPr="00BC31E0">
        <w:rPr>
          <w:rFonts w:hint="eastAsia"/>
        </w:rPr>
        <w:t>当該設計温度における降伏点又は</w:t>
      </w:r>
      <w:r w:rsidR="00F03E0A" w:rsidRPr="00BC31E0">
        <w:rPr>
          <w:rFonts w:asciiTheme="minorHAnsi" w:hAnsiTheme="minorHAnsi"/>
        </w:rPr>
        <w:t>0.2%</w:t>
      </w:r>
      <w:r w:rsidR="00F03E0A" w:rsidRPr="00BC31E0">
        <w:rPr>
          <w:rFonts w:hint="eastAsia"/>
        </w:rPr>
        <w:t>耐力</w:t>
      </w:r>
    </w:p>
    <w:p w14:paraId="47978A90" w14:textId="77777777" w:rsidR="00F03E0A" w:rsidRPr="00BC31E0" w:rsidRDefault="00F03E0A" w:rsidP="00736130">
      <w:pPr>
        <w:pStyle w:val="a4"/>
        <w:numPr>
          <w:ilvl w:val="0"/>
          <w:numId w:val="84"/>
        </w:numPr>
        <w:spacing w:before="120"/>
        <w:ind w:leftChars="0" w:left="454" w:hanging="454"/>
      </w:pPr>
      <w:r w:rsidRPr="00BC31E0">
        <w:rPr>
          <w:rFonts w:asciiTheme="majorEastAsia" w:eastAsiaTheme="majorEastAsia" w:hAnsiTheme="majorEastAsia" w:hint="eastAsia"/>
          <w:b/>
        </w:rPr>
        <w:t>表5.4.1</w:t>
      </w:r>
      <w:r w:rsidRPr="00BC31E0">
        <w:rPr>
          <w:rFonts w:hint="eastAsia"/>
        </w:rPr>
        <w:t>に示される材料で表中に，降伏点又は</w:t>
      </w:r>
      <w:r w:rsidR="00B43D51" w:rsidRPr="00BC31E0">
        <w:rPr>
          <w:rFonts w:hint="eastAsia"/>
        </w:rPr>
        <w:t>0.2%</w:t>
      </w:r>
      <m:oMath>
        <m:sSub>
          <m:sSubPr>
            <m:ctrlPr>
              <w:rPr>
                <w:rFonts w:ascii="Cambria Math" w:hAnsi="Cambria Math"/>
                <w:i/>
              </w:rPr>
            </m:ctrlPr>
          </m:sSubPr>
          <m:e>
            <m:r>
              <m:rPr>
                <m:sty m:val="p"/>
              </m:rPr>
              <w:rPr>
                <w:rFonts w:ascii="Cambria Math" w:hAnsi="Cambria Math" w:hint="eastAsia"/>
              </w:rPr>
              <m:t>耐力</m:t>
            </m:r>
            <m:r>
              <m:rPr>
                <m:sty m:val="p"/>
              </m:rPr>
              <w:rPr>
                <w:rFonts w:ascii="Cambria Math" w:hAnsi="Cambria Math"/>
              </w:rPr>
              <m:t xml:space="preserve"> </m:t>
            </m:r>
            <m:r>
              <w:rPr>
                <w:rFonts w:ascii="Cambria Math" w:hAnsi="Cambria Math"/>
              </w:rPr>
              <m:t>S</m:t>
            </m:r>
          </m:e>
          <m:sub>
            <m:r>
              <w:rPr>
                <w:rFonts w:ascii="Cambria Math" w:hAnsi="Cambria Math"/>
              </w:rPr>
              <m:t>y</m:t>
            </m:r>
          </m:sub>
        </m:sSub>
        <m:r>
          <w:rPr>
            <w:rFonts w:ascii="Cambria Math" w:hAnsi="Cambria Math"/>
          </w:rPr>
          <m:t xml:space="preserve"> </m:t>
        </m:r>
      </m:oMath>
      <w:r w:rsidRPr="00BC31E0">
        <w:rPr>
          <w:rFonts w:asciiTheme="minorEastAsia" w:eastAsiaTheme="minorEastAsia" w:hAnsiTheme="minorEastAsia" w:hint="eastAsia"/>
        </w:rPr>
        <w:t>と</w:t>
      </w:r>
      <w:r w:rsidRPr="00BC31E0">
        <w:rPr>
          <w:rFonts w:hint="eastAsia"/>
        </w:rPr>
        <w:t>引張強さ</w:t>
      </w:r>
      <m:oMath>
        <m:sSub>
          <m:sSubPr>
            <m:ctrlPr>
              <w:rPr>
                <w:rFonts w:ascii="Cambria Math" w:hAnsi="Cambria Math"/>
                <w:i/>
              </w:rPr>
            </m:ctrlPr>
          </m:sSubPr>
          <m:e>
            <m:r>
              <w:rPr>
                <w:rFonts w:ascii="Cambria Math" w:hAnsi="Cambria Math"/>
              </w:rPr>
              <m:t xml:space="preserve"> S</m:t>
            </m:r>
          </m:e>
          <m:sub>
            <m:r>
              <w:rPr>
                <w:rFonts w:ascii="Cambria Math" w:hAnsi="Cambria Math"/>
              </w:rPr>
              <m:t>u</m:t>
            </m:r>
          </m:sub>
        </m:sSub>
        <m:r>
          <w:rPr>
            <w:rFonts w:ascii="Cambria Math" w:hAnsi="Cambria Math"/>
          </w:rPr>
          <m:t xml:space="preserve"> </m:t>
        </m:r>
      </m:oMath>
      <w:r w:rsidRPr="00BC31E0">
        <w:rPr>
          <w:rFonts w:hint="eastAsia"/>
        </w:rPr>
        <w:t>の強度低下係数の適用式が示された材料は，次式による。ただし，強度低下係数が</w:t>
      </w:r>
      <w:r w:rsidRPr="00BC31E0">
        <w:rPr>
          <w:rFonts w:ascii="Cambria Math" w:hAnsi="Cambria Math"/>
        </w:rPr>
        <w:t>1</w:t>
      </w:r>
      <w:r w:rsidRPr="00BC31E0">
        <w:rPr>
          <w:rFonts w:hint="eastAsia"/>
        </w:rPr>
        <w:t>以上となり，</w:t>
      </w:r>
      <m:oMath>
        <m:sSub>
          <m:sSubPr>
            <m:ctrlPr>
              <w:rPr>
                <w:rFonts w:ascii="Cambria Math" w:hAnsi="Cambria Math"/>
                <w:i/>
              </w:rPr>
            </m:ctrlPr>
          </m:sSubPr>
          <m:e>
            <m:r>
              <w:rPr>
                <w:rFonts w:ascii="Cambria Math" w:hAnsi="Cambria Math"/>
              </w:rPr>
              <m:t>S</m:t>
            </m:r>
          </m:e>
          <m:sub>
            <m:r>
              <w:rPr>
                <w:rFonts w:ascii="Cambria Math" w:hAnsi="Cambria Math"/>
              </w:rPr>
              <m:t>y</m:t>
            </m:r>
          </m:sub>
        </m:sSub>
        <m:r>
          <w:rPr>
            <w:rFonts w:ascii="Cambria Math" w:hAnsi="Cambria Math"/>
          </w:rPr>
          <m:t>&gt;</m:t>
        </m:r>
        <m:sSub>
          <m:sSubPr>
            <m:ctrlPr>
              <w:rPr>
                <w:rFonts w:ascii="Cambria Math" w:hAnsi="Cambria Math"/>
                <w:i/>
              </w:rPr>
            </m:ctrlPr>
          </m:sSubPr>
          <m:e>
            <m:r>
              <w:rPr>
                <w:rFonts w:ascii="Cambria Math" w:hAnsi="Cambria Math"/>
              </w:rPr>
              <m:t>S</m:t>
            </m:r>
          </m:e>
          <m:sub>
            <m:r>
              <w:rPr>
                <w:rFonts w:ascii="Cambria Math" w:hAnsi="Cambria Math"/>
              </w:rPr>
              <m:t>y20℃</m:t>
            </m:r>
          </m:sub>
        </m:sSub>
        <m:r>
          <w:rPr>
            <w:rFonts w:ascii="Cambria Math" w:hAnsi="Cambria Math"/>
          </w:rPr>
          <m:t xml:space="preserve"> </m:t>
        </m:r>
      </m:oMath>
      <w:r w:rsidRPr="00BC31E0">
        <w:rPr>
          <w:rFonts w:hint="eastAsia"/>
        </w:rPr>
        <w:t>又は</w:t>
      </w:r>
      <m:oMath>
        <m:sSub>
          <m:sSubPr>
            <m:ctrlPr>
              <w:rPr>
                <w:rFonts w:ascii="Cambria Math" w:hAnsi="Cambria Math"/>
                <w:i/>
              </w:rPr>
            </m:ctrlPr>
          </m:sSubPr>
          <m:e>
            <m:r>
              <w:rPr>
                <w:rFonts w:ascii="Cambria Math" w:hAnsi="Cambria Math"/>
              </w:rPr>
              <m:t xml:space="preserve"> S</m:t>
            </m:r>
          </m:e>
          <m:sub>
            <m:r>
              <w:rPr>
                <w:rFonts w:ascii="Cambria Math" w:hAnsi="Cambria Math"/>
              </w:rPr>
              <m:t>u</m:t>
            </m:r>
          </m:sub>
        </m:sSub>
        <m:r>
          <w:rPr>
            <w:rFonts w:ascii="Cambria Math" w:hAnsi="Cambria Math"/>
          </w:rPr>
          <m:t>&gt;</m:t>
        </m:r>
        <m:sSub>
          <m:sSubPr>
            <m:ctrlPr>
              <w:rPr>
                <w:rFonts w:ascii="Cambria Math" w:hAnsi="Cambria Math"/>
                <w:i/>
              </w:rPr>
            </m:ctrlPr>
          </m:sSubPr>
          <m:e>
            <m:r>
              <w:rPr>
                <w:rFonts w:ascii="Cambria Math" w:hAnsi="Cambria Math"/>
              </w:rPr>
              <m:t>S</m:t>
            </m:r>
          </m:e>
          <m:sub>
            <m:r>
              <w:rPr>
                <w:rFonts w:ascii="Cambria Math" w:hAnsi="Cambria Math"/>
              </w:rPr>
              <m:t>u20℃</m:t>
            </m:r>
          </m:sub>
        </m:sSub>
        <m:r>
          <w:rPr>
            <w:rFonts w:ascii="Cambria Math" w:hAnsi="Cambria Math"/>
          </w:rPr>
          <m:t xml:space="preserve"> </m:t>
        </m:r>
      </m:oMath>
      <w:r w:rsidRPr="00BC31E0">
        <w:rPr>
          <w:rFonts w:hint="eastAsia"/>
        </w:rPr>
        <w:t>となる場合は，強度低下係数を</w:t>
      </w:r>
      <w:r w:rsidRPr="00BC31E0">
        <w:rPr>
          <w:rFonts w:ascii="Cambria Math" w:hAnsi="Cambria Math"/>
        </w:rPr>
        <w:t>1</w:t>
      </w:r>
      <w:r w:rsidRPr="00BC31E0">
        <w:rPr>
          <w:rFonts w:hint="eastAsia"/>
        </w:rPr>
        <w:t>とし，</w:t>
      </w:r>
      <m:oMath>
        <m:sSub>
          <m:sSubPr>
            <m:ctrlPr>
              <w:rPr>
                <w:rFonts w:ascii="Cambria Math" w:hAnsi="Cambria Math"/>
                <w:i/>
              </w:rPr>
            </m:ctrlPr>
          </m:sSubPr>
          <m:e>
            <m:r>
              <w:rPr>
                <w:rFonts w:ascii="Cambria Math" w:hAnsi="Cambria Math"/>
              </w:rPr>
              <m:t>S</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y20℃</m:t>
            </m:r>
          </m:sub>
        </m:sSub>
        <m:r>
          <w:rPr>
            <w:rFonts w:ascii="Cambria Math" w:hAnsi="Cambria Math"/>
          </w:rPr>
          <m:t xml:space="preserve"> </m:t>
        </m:r>
      </m:oMath>
      <w:r w:rsidRPr="00BC31E0">
        <w:rPr>
          <w:rFonts w:hint="eastAsia"/>
        </w:rPr>
        <w:t>又は</w:t>
      </w:r>
      <m:oMath>
        <m:sSub>
          <m:sSubPr>
            <m:ctrlPr>
              <w:rPr>
                <w:rFonts w:ascii="Cambria Math" w:hAnsi="Cambria Math"/>
                <w:i/>
              </w:rPr>
            </m:ctrlPr>
          </m:sSubPr>
          <m:e>
            <m:r>
              <w:rPr>
                <w:rFonts w:ascii="Cambria Math" w:hAnsi="Cambria Math"/>
              </w:rPr>
              <m:t xml:space="preserve"> S</m:t>
            </m:r>
          </m:e>
          <m:sub>
            <m:r>
              <w:rPr>
                <w:rFonts w:ascii="Cambria Math" w:hAnsi="Cambria Math"/>
              </w:rPr>
              <m:t>u</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u20℃</m:t>
            </m:r>
          </m:sub>
        </m:sSub>
        <m:r>
          <w:rPr>
            <w:rFonts w:ascii="Cambria Math" w:hAnsi="Cambria Math"/>
          </w:rPr>
          <m:t xml:space="preserve"> </m:t>
        </m:r>
      </m:oMath>
      <w:r w:rsidRPr="00BC31E0">
        <w:rPr>
          <w:rFonts w:hint="eastAsia"/>
        </w:rPr>
        <w:t>とする。</w:t>
      </w:r>
    </w:p>
    <w:p w14:paraId="1BAB89DC" w14:textId="77777777" w:rsidR="00F03E0A" w:rsidRPr="00BC31E0" w:rsidRDefault="00F03E0A" w:rsidP="00736130">
      <w:pPr>
        <w:pStyle w:val="a4"/>
        <w:numPr>
          <w:ilvl w:val="0"/>
          <w:numId w:val="88"/>
        </w:numPr>
        <w:ind w:leftChars="0" w:left="738" w:hanging="454"/>
        <w:rPr>
          <w:b/>
        </w:rPr>
      </w:pPr>
      <w:r w:rsidRPr="00BC31E0">
        <w:rPr>
          <w:rFonts w:asciiTheme="majorEastAsia" w:eastAsiaTheme="majorEastAsia" w:hAnsiTheme="majorEastAsia" w:hint="eastAsia"/>
          <w:b/>
        </w:rPr>
        <w:lastRenderedPageBreak/>
        <w:t>降伏点又は</w:t>
      </w:r>
      <m:oMath>
        <m:sSub>
          <m:sSubPr>
            <m:ctrlPr>
              <w:rPr>
                <w:rFonts w:ascii="Cambria Math" w:hAnsi="Cambria Math"/>
                <w:b/>
                <w:i/>
              </w:rPr>
            </m:ctrlPr>
          </m:sSubPr>
          <m:e>
            <m:r>
              <m:rPr>
                <m:sty m:val="bi"/>
              </m:rPr>
              <w:rPr>
                <w:rFonts w:ascii="Cambria Math" w:hAnsi="Cambria Math" w:hint="eastAsia"/>
              </w:rPr>
              <m:t xml:space="preserve"> </m:t>
            </m:r>
            <m:r>
              <m:rPr>
                <m:sty m:val="bi"/>
              </m:rPr>
              <w:rPr>
                <w:rFonts w:ascii="Cambria Math" w:eastAsiaTheme="majorEastAsia" w:hAnsi="Cambria Math"/>
              </w:rPr>
              <m:t>0.2%</m:t>
            </m:r>
            <m:r>
              <m:rPr>
                <m:sty m:val="b"/>
              </m:rPr>
              <w:rPr>
                <w:rFonts w:ascii="Cambria Math" w:eastAsiaTheme="majorEastAsia" w:hAnsi="Cambria Math" w:hint="eastAsia"/>
              </w:rPr>
              <m:t>耐力</m:t>
            </m:r>
            <m:r>
              <m:rPr>
                <m:sty m:val="b"/>
              </m:rPr>
              <w:rPr>
                <w:rFonts w:ascii="Cambria Math" w:eastAsiaTheme="majorEastAsia" w:hAnsi="Cambria Math"/>
              </w:rPr>
              <m:t xml:space="preserve"> </m:t>
            </m:r>
            <m:r>
              <m:rPr>
                <m:sty m:val="bi"/>
              </m:rPr>
              <w:rPr>
                <w:rFonts w:ascii="Cambria Math" w:hAnsi="Cambria Math"/>
              </w:rPr>
              <m:t>S</m:t>
            </m:r>
          </m:e>
          <m:sub>
            <m:r>
              <m:rPr>
                <m:sty m:val="bi"/>
              </m:rPr>
              <w:rPr>
                <w:rFonts w:ascii="Cambria Math" w:hAnsi="Cambria Math"/>
              </w:rPr>
              <m:t>y</m:t>
            </m:r>
          </m:sub>
        </m:sSub>
      </m:oMath>
    </w:p>
    <w:p w14:paraId="1ED484B5" w14:textId="77777777" w:rsidR="00F03E0A" w:rsidRPr="00BC31E0" w:rsidRDefault="00F03E0A" w:rsidP="006B7663">
      <w:pPr>
        <w:spacing w:before="120" w:after="120"/>
        <w:ind w:left="737"/>
      </w:pPr>
      <w:r w:rsidRPr="00BC31E0">
        <w:rPr>
          <w:rFonts w:hint="eastAsia"/>
        </w:rPr>
        <w:t>高強度低合金鋼</w:t>
      </w:r>
    </w:p>
    <w:p w14:paraId="59F3C7AE" w14:textId="77777777" w:rsidR="00F03E0A" w:rsidRPr="00BC31E0" w:rsidRDefault="00F03E0A" w:rsidP="00E444B3">
      <w:pPr>
        <w:tabs>
          <w:tab w:val="left" w:pos="1418"/>
          <w:tab w:val="left" w:leader="middleDot" w:pos="8364"/>
        </w:tabs>
      </w:pPr>
      <w:r w:rsidRPr="00BC31E0">
        <w:rPr>
          <w:rFonts w:hint="eastAsia"/>
        </w:rPr>
        <w:tab/>
      </w:r>
      <m:oMath>
        <m:sSub>
          <m:sSubPr>
            <m:ctrlPr>
              <w:rPr>
                <w:rFonts w:ascii="Cambria Math" w:hAnsi="Cambria Math"/>
                <w:i/>
              </w:rPr>
            </m:ctrlPr>
          </m:sSubPr>
          <m:e>
            <m:r>
              <w:rPr>
                <w:rFonts w:ascii="Cambria Math" w:hAnsi="Cambria Math"/>
              </w:rPr>
              <m:t>S</m:t>
            </m:r>
          </m:e>
          <m:sub>
            <m:r>
              <w:rPr>
                <w:rFonts w:ascii="Cambria Math" w:hAnsi="Cambria Math"/>
              </w:rPr>
              <m:t>y</m:t>
            </m:r>
          </m:sub>
        </m:sSub>
        <m:r>
          <m:rPr>
            <m:sty m:val="p"/>
          </m:rPr>
          <w:rPr>
            <w:rFonts w:ascii="Cambria Math" w:hAnsi="Cambria Math"/>
          </w:rPr>
          <m:t>=</m:t>
        </m:r>
        <m:d>
          <m:dPr>
            <m:ctrlPr>
              <w:rPr>
                <w:rFonts w:ascii="Cambria Math" w:hAnsi="Cambria Math"/>
              </w:rPr>
            </m:ctrlPr>
          </m:dPr>
          <m:e>
            <m:r>
              <m:rPr>
                <m:sty m:val="p"/>
              </m:rPr>
              <w:rPr>
                <w:rFonts w:ascii="Cambria Math" w:hAnsi="Cambria Math"/>
              </w:rPr>
              <m:t>-3.324×</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-7</m:t>
                </m:r>
              </m:sup>
            </m:sSup>
            <m:sSup>
              <m:sSupPr>
                <m:ctrlPr>
                  <w:rPr>
                    <w:rFonts w:ascii="Cambria Math" w:hAnsi="Cambria Math"/>
                  </w:rPr>
                </m:ctrlPr>
              </m:sSupPr>
              <m:e>
                <m:r>
                  <w:rPr>
                    <w:rFonts w:ascii="Cambria Math" w:hAnsi="Cambria Math"/>
                  </w:rPr>
                  <m:t xml:space="preserve"> T</m:t>
                </m:r>
              </m:e>
              <m:sup>
                <m:r>
                  <m:rPr>
                    <m:sty m:val="p"/>
                  </m:rPr>
                  <w:rPr>
                    <w:rFonts w:ascii="Cambria Math" w:hAnsi="Cambria Math"/>
                  </w:rPr>
                  <m:t>2</m:t>
                </m:r>
              </m:sup>
            </m:sSup>
            <m:r>
              <m:rPr>
                <m:sty m:val="p"/>
              </m:rPr>
              <w:rPr>
                <w:rFonts w:ascii="Cambria Math" w:hAnsi="Cambria Math"/>
              </w:rPr>
              <m:t>-5.763×</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 xml:space="preserve">-4 </m:t>
                </m:r>
              </m:sup>
            </m:sSup>
            <m:r>
              <w:rPr>
                <w:rFonts w:ascii="Cambria Math" w:hAnsi="Cambria Math"/>
              </w:rPr>
              <m:t>T</m:t>
            </m:r>
            <m:r>
              <m:rPr>
                <m:sty m:val="p"/>
              </m:rPr>
              <w:rPr>
                <w:rFonts w:ascii="Cambria Math" w:hAnsi="Cambria Math"/>
              </w:rPr>
              <m:t>+1.012</m:t>
            </m:r>
          </m:e>
        </m:d>
        <m:r>
          <m:rPr>
            <m:sty m:val="p"/>
          </m:rPr>
          <w:rPr>
            <w:rFonts w:ascii="Cambria Math" w:hAnsi="Cambria Math"/>
          </w:rPr>
          <m:t xml:space="preserve"> </m:t>
        </m:r>
        <m:sSub>
          <m:sSubPr>
            <m:ctrlPr>
              <w:rPr>
                <w:rFonts w:ascii="Cambria Math" w:hAnsi="Cambria Math"/>
              </w:rPr>
            </m:ctrlPr>
          </m:sSubPr>
          <m:e>
            <m:r>
              <w:rPr>
                <w:rFonts w:ascii="Cambria Math" w:hAnsi="Cambria Math"/>
              </w:rPr>
              <m:t>S</m:t>
            </m:r>
          </m:e>
          <m:sub>
            <m:r>
              <w:rPr>
                <w:rFonts w:ascii="Cambria Math" w:hAnsi="Cambria Math"/>
              </w:rPr>
              <m:t>y</m:t>
            </m:r>
            <m:r>
              <m:rPr>
                <m:sty m:val="p"/>
              </m:rPr>
              <w:rPr>
                <w:rFonts w:ascii="Cambria Math" w:hAnsi="Cambria Math"/>
              </w:rPr>
              <m:t>20℃</m:t>
            </m:r>
          </m:sub>
        </m:sSub>
        <m:r>
          <m:rPr>
            <m:sty m:val="p"/>
          </m:rPr>
          <w:rPr>
            <w:rFonts w:ascii="Cambria Math" w:hAnsi="Cambria Math" w:hint="eastAsia"/>
          </w:rPr>
          <m:t xml:space="preserve"> </m:t>
        </m:r>
      </m:oMath>
      <w:r w:rsidRPr="00BC31E0">
        <w:rPr>
          <w:rFonts w:asciiTheme="majorEastAsia" w:eastAsiaTheme="majorEastAsia" w:hAnsiTheme="majorEastAsia" w:hint="eastAsia"/>
          <w:b/>
          <w:vertAlign w:val="superscript"/>
        </w:rPr>
        <w:t>1)</w:t>
      </w:r>
      <w:r w:rsidRPr="00BC31E0">
        <w:rPr>
          <w:rFonts w:hint="eastAsia"/>
        </w:rPr>
        <w:tab/>
        <w:t>(5.4.1)</w:t>
      </w:r>
    </w:p>
    <w:p w14:paraId="78403354" w14:textId="77777777" w:rsidR="00F03E0A" w:rsidRPr="00BC31E0" w:rsidRDefault="00F03E0A" w:rsidP="006B7663">
      <w:pPr>
        <w:spacing w:before="120" w:after="120"/>
        <w:ind w:left="737"/>
      </w:pPr>
      <w:r w:rsidRPr="00BC31E0">
        <w:rPr>
          <w:rFonts w:hint="eastAsia"/>
        </w:rPr>
        <w:t>SUS304</w:t>
      </w:r>
      <w:r w:rsidRPr="00BC31E0">
        <w:rPr>
          <w:rFonts w:hint="eastAsia"/>
        </w:rPr>
        <w:t>冷間加工材</w:t>
      </w:r>
      <w:r w:rsidRPr="00BC31E0">
        <w:rPr>
          <w:rFonts w:hint="eastAsia"/>
        </w:rPr>
        <w:t>(</w:t>
      </w:r>
      <w:r w:rsidRPr="00BC31E0">
        <w:rPr>
          <w:rFonts w:hint="eastAsia"/>
        </w:rPr>
        <w:t>冷間加工度</w:t>
      </w:r>
      <w:r w:rsidRPr="00BC31E0">
        <w:rPr>
          <w:rFonts w:hint="eastAsia"/>
        </w:rPr>
        <w:t xml:space="preserve"> </w:t>
      </w:r>
      <w:r w:rsidRPr="00BC31E0">
        <w:rPr>
          <w:rFonts w:ascii="Cambria Math" w:hAnsi="Cambria Math"/>
        </w:rPr>
        <w:t>30</w:t>
      </w:r>
      <w:r w:rsidRPr="00BC31E0">
        <w:rPr>
          <w:rFonts w:hint="eastAsia"/>
        </w:rPr>
        <w:t>～</w:t>
      </w:r>
      <w:r w:rsidRPr="00BC31E0">
        <w:rPr>
          <w:rFonts w:ascii="Cambria Math" w:hAnsi="Cambria Math"/>
        </w:rPr>
        <w:t>50%</w:t>
      </w:r>
      <w:r w:rsidRPr="00BC31E0">
        <w:rPr>
          <w:rFonts w:hint="eastAsia"/>
        </w:rPr>
        <w:t>) (</w:t>
      </w:r>
      <w:r w:rsidRPr="00BC31E0">
        <w:rPr>
          <w:rFonts w:hint="eastAsia"/>
        </w:rPr>
        <w:t>冷間加工度は断面積の減少率を示す。</w:t>
      </w:r>
      <w:r w:rsidRPr="00BC31E0">
        <w:rPr>
          <w:rFonts w:hint="eastAsia"/>
        </w:rPr>
        <w:t>)</w:t>
      </w:r>
    </w:p>
    <w:p w14:paraId="51FE048B" w14:textId="77777777" w:rsidR="00F03E0A" w:rsidRPr="00BC31E0" w:rsidRDefault="00F03E0A" w:rsidP="00E444B3">
      <w:pPr>
        <w:tabs>
          <w:tab w:val="left" w:pos="1418"/>
          <w:tab w:val="left" w:leader="middleDot" w:pos="8364"/>
        </w:tabs>
      </w:pPr>
      <w:r w:rsidRPr="00BC31E0">
        <w:rPr>
          <w:rFonts w:hint="eastAsia"/>
        </w:rPr>
        <w:tab/>
      </w:r>
      <m:oMath>
        <m:sSub>
          <m:sSubPr>
            <m:ctrlPr>
              <w:rPr>
                <w:rFonts w:ascii="Cambria Math" w:hAnsi="Cambria Math"/>
                <w:i/>
              </w:rPr>
            </m:ctrlPr>
          </m:sSubPr>
          <m:e>
            <m:r>
              <w:rPr>
                <w:rFonts w:ascii="Cambria Math" w:hAnsi="Cambria Math"/>
              </w:rPr>
              <m:t>S</m:t>
            </m:r>
          </m:e>
          <m:sub>
            <m:r>
              <w:rPr>
                <w:rFonts w:ascii="Cambria Math" w:hAnsi="Cambria Math"/>
              </w:rPr>
              <m:t>y</m:t>
            </m:r>
          </m:sub>
        </m:sSub>
        <m:r>
          <m:rPr>
            <m:sty m:val="p"/>
          </m:rPr>
          <w:rPr>
            <w:rFonts w:ascii="Cambria Math" w:hAnsi="Cambria Math"/>
          </w:rPr>
          <m:t>=</m:t>
        </m:r>
        <m:d>
          <m:dPr>
            <m:ctrlPr>
              <w:rPr>
                <w:rFonts w:ascii="Cambria Math" w:hAnsi="Cambria Math"/>
              </w:rPr>
            </m:ctrlPr>
          </m:dPr>
          <m:e>
            <m:r>
              <m:rPr>
                <m:sty m:val="p"/>
              </m:rPr>
              <w:rPr>
                <w:rFonts w:ascii="Cambria Math" w:hAnsi="Cambria Math" w:hint="eastAsia"/>
              </w:rPr>
              <m:t>4.551</m:t>
            </m:r>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sSup>
              <m:sSupPr>
                <m:ctrlPr>
                  <w:rPr>
                    <w:rFonts w:ascii="Cambria Math" w:hAnsi="Cambria Math"/>
                  </w:rPr>
                </m:ctrlPr>
              </m:sSupPr>
              <m:e>
                <m:r>
                  <w:rPr>
                    <w:rFonts w:ascii="Cambria Math" w:hAnsi="Cambria Math"/>
                  </w:rPr>
                  <m:t xml:space="preserve"> T</m:t>
                </m:r>
              </m:e>
              <m:sup>
                <m:r>
                  <m:rPr>
                    <m:sty m:val="p"/>
                  </m:rPr>
                  <w:rPr>
                    <w:rFonts w:ascii="Cambria Math" w:hAnsi="Cambria Math"/>
                  </w:rPr>
                  <m:t>2</m:t>
                </m:r>
              </m:sup>
            </m:sSup>
            <m:r>
              <m:rPr>
                <m:sty m:val="p"/>
              </m:rPr>
              <w:rPr>
                <w:rFonts w:ascii="Cambria Math" w:hAnsi="Cambria Math"/>
              </w:rPr>
              <m:t>-2.119×</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r>
              <w:rPr>
                <w:rFonts w:ascii="Cambria Math" w:hAnsi="Cambria Math"/>
              </w:rPr>
              <m:t xml:space="preserve"> T</m:t>
            </m:r>
            <m:r>
              <m:rPr>
                <m:sty m:val="p"/>
              </m:rPr>
              <w:rPr>
                <w:rFonts w:ascii="Cambria Math" w:hAnsi="Cambria Math"/>
              </w:rPr>
              <m:t>+1.041</m:t>
            </m:r>
          </m:e>
        </m:d>
        <m:r>
          <m:rPr>
            <m:sty m:val="p"/>
          </m:rPr>
          <w:rPr>
            <w:rFonts w:ascii="Cambria Math" w:hAnsi="Cambria Math"/>
          </w:rPr>
          <m:t xml:space="preserve"> </m:t>
        </m:r>
        <m:sSub>
          <m:sSubPr>
            <m:ctrlPr>
              <w:rPr>
                <w:rFonts w:ascii="Cambria Math" w:hAnsi="Cambria Math"/>
              </w:rPr>
            </m:ctrlPr>
          </m:sSubPr>
          <m:e>
            <m:r>
              <w:rPr>
                <w:rFonts w:ascii="Cambria Math" w:hAnsi="Cambria Math"/>
              </w:rPr>
              <m:t>S</m:t>
            </m:r>
          </m:e>
          <m:sub>
            <m:r>
              <w:rPr>
                <w:rFonts w:ascii="Cambria Math" w:hAnsi="Cambria Math"/>
              </w:rPr>
              <m:t>y</m:t>
            </m:r>
            <m:r>
              <m:rPr>
                <m:sty m:val="p"/>
              </m:rPr>
              <w:rPr>
                <w:rFonts w:ascii="Cambria Math" w:hAnsi="Cambria Math"/>
              </w:rPr>
              <m:t>20℃</m:t>
            </m:r>
          </m:sub>
        </m:sSub>
        <m:r>
          <m:rPr>
            <m:sty m:val="p"/>
          </m:rPr>
          <w:rPr>
            <w:rFonts w:ascii="Cambria Math" w:hAnsi="Cambria Math"/>
          </w:rPr>
          <m:t xml:space="preserve"> </m:t>
        </m:r>
      </m:oMath>
      <w:r w:rsidRPr="00BC31E0">
        <w:rPr>
          <w:rFonts w:asciiTheme="majorEastAsia" w:eastAsiaTheme="majorEastAsia" w:hAnsiTheme="majorEastAsia" w:hint="eastAsia"/>
          <w:b/>
          <w:vertAlign w:val="superscript"/>
        </w:rPr>
        <w:t>2)</w:t>
      </w:r>
      <w:r w:rsidRPr="00BC31E0">
        <w:rPr>
          <w:rFonts w:hint="eastAsia"/>
        </w:rPr>
        <w:tab/>
        <w:t>(5.4.2)</w:t>
      </w:r>
    </w:p>
    <w:p w14:paraId="1901190C" w14:textId="77777777" w:rsidR="00F03E0A" w:rsidRPr="00BC31E0" w:rsidRDefault="00F03E0A" w:rsidP="006B7663">
      <w:pPr>
        <w:spacing w:before="120" w:after="120"/>
        <w:ind w:left="737"/>
      </w:pPr>
      <w:r w:rsidRPr="00BC31E0">
        <w:rPr>
          <w:rFonts w:hint="eastAsia"/>
        </w:rPr>
        <w:t>SUS316</w:t>
      </w:r>
      <w:r w:rsidRPr="00BC31E0">
        <w:rPr>
          <w:rFonts w:hint="eastAsia"/>
        </w:rPr>
        <w:t>冷間加工材</w:t>
      </w:r>
      <w:r w:rsidRPr="00BC31E0">
        <w:rPr>
          <w:rFonts w:hint="eastAsia"/>
        </w:rPr>
        <w:t>(</w:t>
      </w:r>
      <w:r w:rsidRPr="00BC31E0">
        <w:rPr>
          <w:rFonts w:hint="eastAsia"/>
        </w:rPr>
        <w:t>冷間加工度</w:t>
      </w:r>
      <w:r w:rsidRPr="00BC31E0">
        <w:rPr>
          <w:rFonts w:hint="eastAsia"/>
        </w:rPr>
        <w:t xml:space="preserve"> </w:t>
      </w:r>
      <w:r w:rsidRPr="00BC31E0">
        <w:rPr>
          <w:rFonts w:ascii="Cambria Math" w:hAnsi="Cambria Math"/>
        </w:rPr>
        <w:t>20</w:t>
      </w:r>
      <w:r w:rsidRPr="00BC31E0">
        <w:rPr>
          <w:rFonts w:hint="eastAsia"/>
        </w:rPr>
        <w:t>～</w:t>
      </w:r>
      <w:r w:rsidRPr="00BC31E0">
        <w:rPr>
          <w:rFonts w:ascii="Cambria Math" w:hAnsi="Cambria Math"/>
        </w:rPr>
        <w:t>50%</w:t>
      </w:r>
      <w:r w:rsidRPr="00BC31E0">
        <w:rPr>
          <w:rFonts w:hint="eastAsia"/>
        </w:rPr>
        <w:t>)</w:t>
      </w:r>
    </w:p>
    <w:p w14:paraId="5A2A9EF3" w14:textId="77777777" w:rsidR="00F03E0A" w:rsidRPr="00BC31E0" w:rsidRDefault="00F03E0A" w:rsidP="00E444B3">
      <w:pPr>
        <w:tabs>
          <w:tab w:val="left" w:pos="1418"/>
          <w:tab w:val="left" w:leader="middleDot" w:pos="8364"/>
        </w:tabs>
      </w:pPr>
      <w:r w:rsidRPr="00BC31E0">
        <w:rPr>
          <w:rFonts w:hint="eastAsia"/>
        </w:rPr>
        <w:tab/>
      </w:r>
      <m:oMath>
        <m:sSub>
          <m:sSubPr>
            <m:ctrlPr>
              <w:rPr>
                <w:rFonts w:ascii="Cambria Math" w:hAnsi="Cambria Math"/>
                <w:i/>
              </w:rPr>
            </m:ctrlPr>
          </m:sSubPr>
          <m:e>
            <m:r>
              <w:rPr>
                <w:rFonts w:ascii="Cambria Math" w:hAnsi="Cambria Math"/>
              </w:rPr>
              <m:t>S</m:t>
            </m:r>
          </m:e>
          <m:sub>
            <m:r>
              <w:rPr>
                <w:rFonts w:ascii="Cambria Math" w:hAnsi="Cambria Math"/>
              </w:rPr>
              <m:t>y</m:t>
            </m:r>
          </m:sub>
        </m:sSub>
        <m:r>
          <m:rPr>
            <m:sty m:val="p"/>
          </m:rPr>
          <w:rPr>
            <w:rFonts w:ascii="Cambria Math" w:hAnsi="Cambria Math"/>
          </w:rPr>
          <m:t>=</m:t>
        </m:r>
        <m:d>
          <m:dPr>
            <m:ctrlPr>
              <w:rPr>
                <w:rFonts w:ascii="Cambria Math" w:hAnsi="Cambria Math"/>
              </w:rPr>
            </m:ctrlPr>
          </m:dPr>
          <m:e>
            <m:r>
              <m:rPr>
                <m:sty m:val="p"/>
              </m:rPr>
              <w:rPr>
                <w:rFonts w:ascii="Cambria Math" w:hAnsi="Cambria Math"/>
              </w:rPr>
              <m:t>3.495×</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 xml:space="preserve">-6 </m:t>
                </m:r>
              </m:sup>
            </m:sSup>
            <m:sSup>
              <m:sSupPr>
                <m:ctrlPr>
                  <w:rPr>
                    <w:rFonts w:ascii="Cambria Math" w:hAnsi="Cambria Math"/>
                  </w:rPr>
                </m:ctrlPr>
              </m:sSupPr>
              <m:e>
                <m:r>
                  <w:rPr>
                    <w:rFonts w:ascii="Cambria Math" w:hAnsi="Cambria Math"/>
                  </w:rPr>
                  <m:t>T</m:t>
                </m:r>
              </m:e>
              <m:sup>
                <m:r>
                  <m:rPr>
                    <m:sty m:val="p"/>
                  </m:rPr>
                  <w:rPr>
                    <w:rFonts w:ascii="Cambria Math" w:hAnsi="Cambria Math"/>
                  </w:rPr>
                  <m:t>2</m:t>
                </m:r>
              </m:sup>
            </m:sSup>
            <m:r>
              <m:rPr>
                <m:sty m:val="p"/>
              </m:rPr>
              <w:rPr>
                <w:rFonts w:ascii="Cambria Math" w:hAnsi="Cambria Math"/>
              </w:rPr>
              <m:t>-1.520×</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r>
              <w:rPr>
                <w:rFonts w:ascii="Cambria Math" w:hAnsi="Cambria Math"/>
              </w:rPr>
              <m:t xml:space="preserve"> T</m:t>
            </m:r>
            <m:r>
              <m:rPr>
                <m:sty m:val="p"/>
              </m:rPr>
              <w:rPr>
                <w:rFonts w:ascii="Cambria Math" w:hAnsi="Cambria Math"/>
              </w:rPr>
              <m:t>+1.030</m:t>
            </m:r>
          </m:e>
        </m:d>
        <m:r>
          <m:rPr>
            <m:sty m:val="p"/>
          </m:rPr>
          <w:rPr>
            <w:rFonts w:ascii="Cambria Math" w:hAnsi="Cambria Math"/>
          </w:rPr>
          <m:t xml:space="preserve"> </m:t>
        </m:r>
        <m:sSub>
          <m:sSubPr>
            <m:ctrlPr>
              <w:rPr>
                <w:rFonts w:ascii="Cambria Math" w:hAnsi="Cambria Math"/>
              </w:rPr>
            </m:ctrlPr>
          </m:sSubPr>
          <m:e>
            <m:r>
              <w:rPr>
                <w:rFonts w:ascii="Cambria Math" w:hAnsi="Cambria Math"/>
              </w:rPr>
              <m:t>S</m:t>
            </m:r>
          </m:e>
          <m:sub>
            <m:r>
              <w:rPr>
                <w:rFonts w:ascii="Cambria Math" w:hAnsi="Cambria Math"/>
              </w:rPr>
              <m:t>y</m:t>
            </m:r>
            <m:r>
              <m:rPr>
                <m:sty m:val="p"/>
              </m:rPr>
              <w:rPr>
                <w:rFonts w:ascii="Cambria Math" w:hAnsi="Cambria Math"/>
              </w:rPr>
              <m:t>20℃</m:t>
            </m:r>
          </m:sub>
        </m:sSub>
        <m:r>
          <m:rPr>
            <m:sty m:val="p"/>
          </m:rPr>
          <w:rPr>
            <w:rFonts w:ascii="Cambria Math" w:hAnsi="Cambria Math"/>
          </w:rPr>
          <m:t xml:space="preserve"> </m:t>
        </m:r>
      </m:oMath>
      <w:r w:rsidRPr="00BC31E0">
        <w:rPr>
          <w:rFonts w:asciiTheme="majorEastAsia" w:eastAsiaTheme="majorEastAsia" w:hAnsiTheme="majorEastAsia" w:hint="eastAsia"/>
          <w:b/>
          <w:vertAlign w:val="superscript"/>
        </w:rPr>
        <w:t>2)</w:t>
      </w:r>
      <w:r w:rsidRPr="00BC31E0">
        <w:rPr>
          <w:rFonts w:hint="eastAsia"/>
        </w:rPr>
        <w:tab/>
        <w:t>(5.4.3)</w:t>
      </w:r>
    </w:p>
    <w:p w14:paraId="3020B5F5" w14:textId="77777777" w:rsidR="00F03E0A" w:rsidRPr="00BC31E0" w:rsidRDefault="00F03E0A" w:rsidP="006B7663">
      <w:pPr>
        <w:spacing w:before="120" w:after="120"/>
        <w:ind w:left="737"/>
      </w:pPr>
      <w:r w:rsidRPr="00BC31E0">
        <w:rPr>
          <w:rFonts w:hint="eastAsia"/>
        </w:rPr>
        <w:t>SUS630</w:t>
      </w:r>
    </w:p>
    <w:p w14:paraId="71F13E22" w14:textId="77777777" w:rsidR="00F03E0A" w:rsidRPr="00BC31E0" w:rsidRDefault="00F03E0A" w:rsidP="00E444B3">
      <w:pPr>
        <w:tabs>
          <w:tab w:val="left" w:pos="1418"/>
          <w:tab w:val="left" w:leader="middleDot" w:pos="8364"/>
        </w:tabs>
      </w:pPr>
      <w:r w:rsidRPr="00BC31E0">
        <w:rPr>
          <w:rFonts w:hint="eastAsia"/>
        </w:rPr>
        <w:tab/>
      </w:r>
      <m:oMath>
        <m:sSub>
          <m:sSubPr>
            <m:ctrlPr>
              <w:rPr>
                <w:rFonts w:ascii="Cambria Math" w:hAnsi="Cambria Math"/>
                <w:i/>
              </w:rPr>
            </m:ctrlPr>
          </m:sSubPr>
          <m:e>
            <m:r>
              <w:rPr>
                <w:rFonts w:ascii="Cambria Math" w:hAnsi="Cambria Math"/>
              </w:rPr>
              <m:t>S</m:t>
            </m:r>
          </m:e>
          <m:sub>
            <m:r>
              <w:rPr>
                <w:rFonts w:ascii="Cambria Math" w:hAnsi="Cambria Math"/>
              </w:rPr>
              <m:t>y</m:t>
            </m:r>
          </m:sub>
        </m:sSub>
        <m:r>
          <m:rPr>
            <m:sty m:val="p"/>
          </m:rPr>
          <w:rPr>
            <w:rFonts w:ascii="Cambria Math" w:hAnsi="Cambria Math"/>
          </w:rPr>
          <m:t>=</m:t>
        </m:r>
        <m:d>
          <m:dPr>
            <m:ctrlPr>
              <w:rPr>
                <w:rFonts w:ascii="Cambria Math" w:hAnsi="Cambria Math"/>
              </w:rPr>
            </m:ctrlPr>
          </m:dPr>
          <m:e>
            <m:r>
              <m:rPr>
                <m:sty m:val="p"/>
              </m:rPr>
              <w:rPr>
                <w:rFonts w:ascii="Cambria Math" w:hAnsi="Cambria Math"/>
              </w:rPr>
              <m:t>6.868×</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-7</m:t>
                </m:r>
              </m:sup>
            </m:sSup>
            <m:r>
              <m:rPr>
                <m:sty m:val="p"/>
              </m:rPr>
              <w:rPr>
                <w:rFonts w:ascii="Cambria Math" w:hAnsi="Cambria Math"/>
              </w:rPr>
              <m:t xml:space="preserve"> </m:t>
            </m:r>
            <m:sSup>
              <m:sSupPr>
                <m:ctrlPr>
                  <w:rPr>
                    <w:rFonts w:ascii="Cambria Math" w:hAnsi="Cambria Math"/>
                  </w:rPr>
                </m:ctrlPr>
              </m:sSupPr>
              <m:e>
                <m:r>
                  <w:rPr>
                    <w:rFonts w:ascii="Cambria Math" w:hAnsi="Cambria Math"/>
                  </w:rPr>
                  <m:t>T</m:t>
                </m:r>
              </m:e>
              <m:sup>
                <m:r>
                  <m:rPr>
                    <m:sty m:val="p"/>
                  </m:rPr>
                  <w:rPr>
                    <w:rFonts w:ascii="Cambria Math" w:hAnsi="Cambria Math"/>
                  </w:rPr>
                  <m:t>2</m:t>
                </m:r>
              </m:sup>
            </m:sSup>
            <m:r>
              <m:rPr>
                <m:sty m:val="p"/>
              </m:rPr>
              <w:rPr>
                <w:rFonts w:ascii="Cambria Math" w:hAnsi="Cambria Math"/>
              </w:rPr>
              <m:t>-9.033×</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r>
              <w:rPr>
                <w:rFonts w:ascii="Cambria Math" w:hAnsi="Cambria Math"/>
              </w:rPr>
              <m:t xml:space="preserve"> T</m:t>
            </m:r>
            <m:r>
              <m:rPr>
                <m:sty m:val="p"/>
              </m:rPr>
              <w:rPr>
                <w:rFonts w:ascii="Cambria Math" w:hAnsi="Cambria Math"/>
              </w:rPr>
              <m:t>+1.023</m:t>
            </m:r>
          </m:e>
        </m:d>
        <m:r>
          <m:rPr>
            <m:sty m:val="p"/>
          </m:rPr>
          <w:rPr>
            <w:rFonts w:ascii="Cambria Math" w:hAnsi="Cambria Math"/>
          </w:rPr>
          <m:t xml:space="preserve"> </m:t>
        </m:r>
        <m:sSub>
          <m:sSubPr>
            <m:ctrlPr>
              <w:rPr>
                <w:rFonts w:ascii="Cambria Math" w:hAnsi="Cambria Math"/>
              </w:rPr>
            </m:ctrlPr>
          </m:sSubPr>
          <m:e>
            <m:r>
              <w:rPr>
                <w:rFonts w:ascii="Cambria Math" w:hAnsi="Cambria Math"/>
              </w:rPr>
              <m:t>S</m:t>
            </m:r>
          </m:e>
          <m:sub>
            <m:r>
              <w:rPr>
                <w:rFonts w:ascii="Cambria Math" w:hAnsi="Cambria Math"/>
              </w:rPr>
              <m:t>y</m:t>
            </m:r>
            <m:r>
              <m:rPr>
                <m:sty m:val="p"/>
              </m:rPr>
              <w:rPr>
                <w:rFonts w:ascii="Cambria Math" w:hAnsi="Cambria Math"/>
              </w:rPr>
              <m:t>20℃</m:t>
            </m:r>
          </m:sub>
        </m:sSub>
        <m:r>
          <m:rPr>
            <m:sty m:val="p"/>
          </m:rPr>
          <w:rPr>
            <w:rFonts w:ascii="Cambria Math" w:hAnsi="Cambria Math"/>
          </w:rPr>
          <m:t xml:space="preserve"> </m:t>
        </m:r>
      </m:oMath>
      <w:r w:rsidRPr="00BC31E0">
        <w:rPr>
          <w:rFonts w:asciiTheme="majorEastAsia" w:eastAsiaTheme="majorEastAsia" w:hAnsiTheme="majorEastAsia" w:hint="eastAsia"/>
          <w:b/>
          <w:vertAlign w:val="superscript"/>
        </w:rPr>
        <w:t>3)</w:t>
      </w:r>
      <w:r w:rsidRPr="00BC31E0">
        <w:rPr>
          <w:rFonts w:hint="eastAsia"/>
        </w:rPr>
        <w:tab/>
        <w:t>(5.4.4)</w:t>
      </w:r>
    </w:p>
    <w:p w14:paraId="4EE99F27" w14:textId="77777777" w:rsidR="00E444B3" w:rsidRPr="00BC31E0" w:rsidRDefault="00F03E0A" w:rsidP="006B7663">
      <w:pPr>
        <w:spacing w:before="120"/>
        <w:ind w:left="964"/>
      </w:pPr>
      <w:r w:rsidRPr="00BC31E0">
        <w:rPr>
          <w:rFonts w:hint="eastAsia"/>
        </w:rPr>
        <w:t>ここで，</w:t>
      </w:r>
    </w:p>
    <w:p w14:paraId="738B7E4C" w14:textId="77777777" w:rsidR="00E444B3" w:rsidRPr="00BC31E0" w:rsidRDefault="00E444B3" w:rsidP="00E444B3">
      <w:pPr>
        <w:tabs>
          <w:tab w:val="left" w:pos="1418"/>
          <w:tab w:val="left" w:pos="1985"/>
        </w:tabs>
      </w:pPr>
      <w:r w:rsidRPr="00BC31E0">
        <w:rPr>
          <w:rFonts w:hint="eastAsia"/>
        </w:rPr>
        <w:tab/>
      </w:r>
      <m:oMath>
        <m:sSub>
          <m:sSubPr>
            <m:ctrlPr>
              <w:rPr>
                <w:rFonts w:ascii="Cambria Math" w:hAnsi="Cambria Math"/>
              </w:rPr>
            </m:ctrlPr>
          </m:sSubPr>
          <m:e>
            <m:r>
              <w:rPr>
                <w:rFonts w:ascii="Cambria Math" w:hAnsi="Cambria Math"/>
              </w:rPr>
              <m:t>S</m:t>
            </m:r>
          </m:e>
          <m:sub>
            <m:r>
              <w:rPr>
                <w:rFonts w:ascii="Cambria Math" w:hAnsi="Cambria Math"/>
              </w:rPr>
              <m:t>y</m:t>
            </m:r>
            <m:r>
              <m:rPr>
                <m:sty m:val="p"/>
              </m:rPr>
              <w:rPr>
                <w:rFonts w:ascii="Cambria Math" w:hAnsi="Cambria Math"/>
              </w:rPr>
              <m:t>20℃</m:t>
            </m:r>
          </m:sub>
        </m:sSub>
      </m:oMath>
      <w:r w:rsidR="00F03E0A" w:rsidRPr="00BC31E0">
        <w:rPr>
          <w:rFonts w:hint="eastAsia"/>
          <w:vertAlign w:val="subscript"/>
        </w:rPr>
        <w:tab/>
      </w:r>
      <w:r w:rsidR="00F03E0A" w:rsidRPr="00BC31E0">
        <w:rPr>
          <w:rFonts w:hint="eastAsia"/>
        </w:rPr>
        <w:t>：</w:t>
      </w:r>
      <w:r w:rsidR="00F03E0A" w:rsidRPr="00BC31E0">
        <w:rPr>
          <w:rFonts w:hint="eastAsia"/>
        </w:rPr>
        <w:t xml:space="preserve"> </w:t>
      </w:r>
      <w:r w:rsidR="00070AAC" w:rsidRPr="00BC31E0">
        <w:rPr>
          <w:rFonts w:hint="eastAsia"/>
        </w:rPr>
        <w:t>規定</w:t>
      </w:r>
      <w:r w:rsidR="00F03E0A" w:rsidRPr="00BC31E0">
        <w:rPr>
          <w:rFonts w:hint="eastAsia"/>
        </w:rPr>
        <w:t>最小降伏点又は</w:t>
      </w:r>
      <w:r w:rsidR="00F03E0A" w:rsidRPr="00BC31E0">
        <w:rPr>
          <w:rFonts w:asciiTheme="minorHAnsi" w:hAnsiTheme="minorHAnsi"/>
        </w:rPr>
        <w:t>0.2%</w:t>
      </w:r>
      <w:r w:rsidR="00F03E0A" w:rsidRPr="00BC31E0">
        <w:rPr>
          <w:rFonts w:hint="eastAsia"/>
        </w:rPr>
        <w:t>耐力，又は</w:t>
      </w:r>
      <w:r w:rsidR="00F03E0A" w:rsidRPr="00BC31E0">
        <w:rPr>
          <w:rFonts w:asciiTheme="minorHAnsi" w:hAnsiTheme="minorHAnsi"/>
        </w:rPr>
        <w:t>20</w:t>
      </w:r>
      <w:r w:rsidR="00F03E0A" w:rsidRPr="00BC31E0">
        <w:rPr>
          <w:rFonts w:asciiTheme="minorEastAsia" w:eastAsiaTheme="minorEastAsia" w:hAnsiTheme="minorEastAsia" w:cs="ＭＳ 明朝"/>
        </w:rPr>
        <w:t>℃</w:t>
      </w:r>
      <w:r w:rsidR="00F03E0A" w:rsidRPr="00BC31E0">
        <w:rPr>
          <w:rFonts w:hint="eastAsia"/>
        </w:rPr>
        <w:t>における</w:t>
      </w:r>
      <m:oMath>
        <m:sSub>
          <m:sSubPr>
            <m:ctrlPr>
              <w:rPr>
                <w:rFonts w:ascii="Cambria Math" w:hAnsi="Cambria Math"/>
                <w:i/>
              </w:rPr>
            </m:ctrlPr>
          </m:sSubPr>
          <m:e>
            <m:r>
              <w:rPr>
                <w:rFonts w:ascii="Cambria Math" w:hAnsi="Cambria Math"/>
              </w:rPr>
              <m:t xml:space="preserve"> S</m:t>
            </m:r>
          </m:e>
          <m:sub>
            <m:r>
              <w:rPr>
                <w:rFonts w:ascii="Cambria Math" w:hAnsi="Cambria Math"/>
              </w:rPr>
              <m:t>y</m:t>
            </m:r>
          </m:sub>
        </m:sSub>
      </m:oMath>
      <w:r w:rsidR="00F03E0A" w:rsidRPr="00BC31E0">
        <w:rPr>
          <w:rFonts w:hint="eastAsia"/>
        </w:rPr>
        <w:t>(</w:t>
      </w:r>
      <w:r w:rsidR="00F03E0A" w:rsidRPr="00BC31E0">
        <w:t>MPa</w:t>
      </w:r>
      <w:r w:rsidR="00F03E0A" w:rsidRPr="00BC31E0">
        <w:rPr>
          <w:rFonts w:hint="eastAsia"/>
        </w:rPr>
        <w:t>)</w:t>
      </w:r>
    </w:p>
    <w:p w14:paraId="49790F5D" w14:textId="77777777" w:rsidR="00F03E0A" w:rsidRPr="00BC31E0" w:rsidRDefault="00E444B3" w:rsidP="00E444B3">
      <w:pPr>
        <w:tabs>
          <w:tab w:val="left" w:pos="1418"/>
          <w:tab w:val="left" w:pos="1985"/>
        </w:tabs>
      </w:pPr>
      <w:r w:rsidRPr="00BC31E0">
        <w:rPr>
          <w:rFonts w:hint="eastAsia"/>
        </w:rPr>
        <w:tab/>
      </w:r>
      <m:oMath>
        <m:r>
          <w:rPr>
            <w:rFonts w:ascii="Cambria Math" w:hAnsi="Cambria Math"/>
          </w:rPr>
          <m:t>T</m:t>
        </m:r>
      </m:oMath>
      <w:r w:rsidR="00F03E0A" w:rsidRPr="00BC31E0">
        <w:rPr>
          <w:rFonts w:asciiTheme="minorEastAsia" w:eastAsiaTheme="minorEastAsia" w:hAnsiTheme="minorEastAsia" w:hint="eastAsia"/>
          <w:i/>
        </w:rPr>
        <w:tab/>
      </w:r>
      <w:r w:rsidR="00F03E0A" w:rsidRPr="00BC31E0">
        <w:rPr>
          <w:rFonts w:hint="eastAsia"/>
        </w:rPr>
        <w:t>：</w:t>
      </w:r>
      <w:r w:rsidR="00F03E0A" w:rsidRPr="00BC31E0">
        <w:rPr>
          <w:rFonts w:hint="eastAsia"/>
        </w:rPr>
        <w:t xml:space="preserve"> </w:t>
      </w:r>
      <w:r w:rsidR="00F03E0A" w:rsidRPr="00BC31E0">
        <w:rPr>
          <w:rFonts w:hint="eastAsia"/>
        </w:rPr>
        <w:t>温度</w:t>
      </w:r>
      <w:r w:rsidR="00F03E0A" w:rsidRPr="00BC31E0">
        <w:rPr>
          <w:rFonts w:hint="eastAsia"/>
        </w:rPr>
        <w:t>(</w:t>
      </w:r>
      <w:r w:rsidR="00F03E0A" w:rsidRPr="00BC31E0">
        <w:rPr>
          <w:rFonts w:asciiTheme="minorEastAsia" w:eastAsiaTheme="minorEastAsia" w:hAnsiTheme="minorEastAsia" w:cs="ＭＳ 明朝"/>
        </w:rPr>
        <w:t>℃</w:t>
      </w:r>
      <w:r w:rsidR="00F03E0A" w:rsidRPr="00BC31E0">
        <w:rPr>
          <w:rFonts w:hint="eastAsia"/>
        </w:rPr>
        <w:t>)</w:t>
      </w:r>
    </w:p>
    <w:p w14:paraId="444F3009" w14:textId="77777777" w:rsidR="00F03E0A" w:rsidRPr="00BC31E0" w:rsidRDefault="00F03E0A" w:rsidP="00736130">
      <w:pPr>
        <w:pStyle w:val="a4"/>
        <w:numPr>
          <w:ilvl w:val="0"/>
          <w:numId w:val="88"/>
        </w:numPr>
        <w:ind w:leftChars="0" w:left="738" w:hanging="454"/>
      </w:pPr>
      <w:r w:rsidRPr="00BC31E0">
        <w:rPr>
          <w:rFonts w:asciiTheme="majorEastAsia" w:eastAsiaTheme="majorEastAsia" w:hAnsiTheme="majorEastAsia" w:hint="eastAsia"/>
          <w:b/>
        </w:rPr>
        <w:t>引張強さ</w:t>
      </w:r>
      <m:oMath>
        <m:sSub>
          <m:sSubPr>
            <m:ctrlPr>
              <w:rPr>
                <w:rFonts w:ascii="Cambria Math" w:hAnsi="Cambria Math"/>
                <w:b/>
                <w:i/>
              </w:rPr>
            </m:ctrlPr>
          </m:sSubPr>
          <m:e>
            <m:r>
              <m:rPr>
                <m:sty m:val="bi"/>
              </m:rPr>
              <w:rPr>
                <w:rFonts w:ascii="Cambria Math" w:hAnsi="Cambria Math" w:hint="eastAsia"/>
              </w:rPr>
              <m:t xml:space="preserve"> </m:t>
            </m:r>
            <m:r>
              <m:rPr>
                <m:sty m:val="bi"/>
              </m:rPr>
              <w:rPr>
                <w:rFonts w:ascii="Cambria Math" w:hAnsi="Cambria Math"/>
              </w:rPr>
              <m:t>S</m:t>
            </m:r>
          </m:e>
          <m:sub>
            <m:r>
              <m:rPr>
                <m:sty m:val="bi"/>
              </m:rPr>
              <w:rPr>
                <w:rFonts w:ascii="Cambria Math" w:hAnsi="Cambria Math"/>
              </w:rPr>
              <m:t>u</m:t>
            </m:r>
          </m:sub>
        </m:sSub>
      </m:oMath>
    </w:p>
    <w:p w14:paraId="2CF2AD86" w14:textId="77777777" w:rsidR="00F03E0A" w:rsidRPr="00BC31E0" w:rsidRDefault="00F03E0A" w:rsidP="006B7663">
      <w:pPr>
        <w:spacing w:before="120" w:after="120"/>
        <w:ind w:left="737"/>
      </w:pPr>
      <w:r w:rsidRPr="00BC31E0">
        <w:rPr>
          <w:rFonts w:hint="eastAsia"/>
        </w:rPr>
        <w:t>高強度低合金鋼</w:t>
      </w:r>
    </w:p>
    <w:p w14:paraId="74F7C8DD" w14:textId="77777777" w:rsidR="00F03E0A" w:rsidRPr="00BC31E0" w:rsidRDefault="00F03E0A" w:rsidP="00E444B3">
      <w:pPr>
        <w:tabs>
          <w:tab w:val="left" w:pos="1418"/>
          <w:tab w:val="left" w:leader="middleDot" w:pos="8364"/>
        </w:tabs>
      </w:pPr>
      <w:r w:rsidRPr="00BC31E0">
        <w:rPr>
          <w:rFonts w:hint="eastAsia"/>
        </w:rPr>
        <w:tab/>
      </w:r>
      <m:oMath>
        <m:sSub>
          <m:sSubPr>
            <m:ctrlPr>
              <w:rPr>
                <w:rFonts w:ascii="Cambria Math" w:hAnsi="Cambria Math"/>
                <w:i/>
              </w:rPr>
            </m:ctrlPr>
          </m:sSubPr>
          <m:e>
            <m:r>
              <w:rPr>
                <w:rFonts w:ascii="Cambria Math" w:hAnsi="Cambria Math"/>
              </w:rPr>
              <m:t>S</m:t>
            </m:r>
          </m:e>
          <m:sub>
            <m:r>
              <w:rPr>
                <w:rFonts w:ascii="Cambria Math" w:hAnsi="Cambria Math"/>
              </w:rPr>
              <m:t>u</m:t>
            </m:r>
          </m:sub>
        </m:sSub>
        <m:r>
          <m:rPr>
            <m:sty m:val="p"/>
          </m:rPr>
          <w:rPr>
            <w:rFonts w:ascii="Cambria Math" w:hAnsi="Cambria Math"/>
          </w:rPr>
          <m:t>=</m:t>
        </m:r>
        <m:d>
          <m:dPr>
            <m:ctrlPr>
              <w:rPr>
                <w:rFonts w:ascii="Cambria Math" w:hAnsi="Cambria Math"/>
              </w:rPr>
            </m:ctrlPr>
          </m:dPr>
          <m:e>
            <m:r>
              <m:rPr>
                <m:sty m:val="p"/>
              </m:rPr>
              <w:rPr>
                <w:rFonts w:ascii="Cambria Math" w:hAnsi="Cambria Math"/>
              </w:rPr>
              <m:t>-1.096×</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r>
              <m:rPr>
                <m:sty m:val="p"/>
              </m:rPr>
              <w:rPr>
                <w:rFonts w:ascii="Cambria Math" w:hAnsi="Cambria Math"/>
              </w:rPr>
              <m:t xml:space="preserve"> </m:t>
            </m:r>
            <m:sSup>
              <m:sSupPr>
                <m:ctrlPr>
                  <w:rPr>
                    <w:rFonts w:ascii="Cambria Math" w:hAnsi="Cambria Math"/>
                  </w:rPr>
                </m:ctrlPr>
              </m:sSupPr>
              <m:e>
                <m:r>
                  <w:rPr>
                    <w:rFonts w:ascii="Cambria Math" w:hAnsi="Cambria Math"/>
                  </w:rPr>
                  <m:t>T</m:t>
                </m:r>
              </m:e>
              <m:sup>
                <m:r>
                  <m:rPr>
                    <m:sty m:val="p"/>
                  </m:rPr>
                  <w:rPr>
                    <w:rFonts w:ascii="Cambria Math" w:hAnsi="Cambria Math"/>
                  </w:rPr>
                  <m:t>2</m:t>
                </m:r>
              </m:sup>
            </m:sSup>
            <m:r>
              <m:rPr>
                <m:sty m:val="p"/>
              </m:rPr>
              <w:rPr>
                <w:rFonts w:ascii="Cambria Math" w:hAnsi="Cambria Math"/>
              </w:rPr>
              <m:t>-5.414×</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-5</m:t>
                </m:r>
              </m:sup>
            </m:sSup>
            <m:r>
              <w:rPr>
                <w:rFonts w:ascii="Cambria Math" w:hAnsi="Cambria Math"/>
              </w:rPr>
              <m:t xml:space="preserve"> T</m:t>
            </m:r>
            <m:r>
              <m:rPr>
                <m:sty m:val="p"/>
              </m:rPr>
              <w:rPr>
                <w:rFonts w:ascii="Cambria Math" w:hAnsi="Cambria Math"/>
              </w:rPr>
              <m:t>+1.003</m:t>
            </m:r>
          </m:e>
        </m:d>
        <m:r>
          <m:rPr>
            <m:sty m:val="p"/>
          </m:rPr>
          <w:rPr>
            <w:rFonts w:ascii="Cambria Math" w:hAnsi="Cambria Math"/>
          </w:rPr>
          <m:t xml:space="preserve"> </m:t>
        </m:r>
        <m:sSub>
          <m:sSubPr>
            <m:ctrlPr>
              <w:rPr>
                <w:rFonts w:ascii="Cambria Math" w:hAnsi="Cambria Math"/>
              </w:rPr>
            </m:ctrlPr>
          </m:sSubPr>
          <m:e>
            <m:r>
              <w:rPr>
                <w:rFonts w:ascii="Cambria Math" w:hAnsi="Cambria Math"/>
              </w:rPr>
              <m:t>S</m:t>
            </m:r>
          </m:e>
          <m:sub>
            <m:r>
              <w:rPr>
                <w:rFonts w:ascii="Cambria Math" w:hAnsi="Cambria Math"/>
              </w:rPr>
              <m:t>u</m:t>
            </m:r>
            <m:r>
              <m:rPr>
                <m:sty m:val="p"/>
              </m:rPr>
              <w:rPr>
                <w:rFonts w:ascii="Cambria Math" w:hAnsi="Cambria Math"/>
              </w:rPr>
              <m:t>20℃</m:t>
            </m:r>
          </m:sub>
        </m:sSub>
        <m:r>
          <m:rPr>
            <m:sty m:val="p"/>
          </m:rPr>
          <w:rPr>
            <w:rFonts w:ascii="Cambria Math" w:hAnsi="Cambria Math"/>
          </w:rPr>
          <m:t xml:space="preserve"> </m:t>
        </m:r>
      </m:oMath>
      <w:r w:rsidRPr="00BC31E0">
        <w:rPr>
          <w:rFonts w:asciiTheme="majorEastAsia" w:eastAsiaTheme="majorEastAsia" w:hAnsiTheme="majorEastAsia" w:hint="eastAsia"/>
          <w:b/>
          <w:vertAlign w:val="superscript"/>
        </w:rPr>
        <w:t>1)</w:t>
      </w:r>
      <w:r w:rsidRPr="00BC31E0">
        <w:rPr>
          <w:rFonts w:hint="eastAsia"/>
        </w:rPr>
        <w:tab/>
        <w:t>(5.4.5)</w:t>
      </w:r>
    </w:p>
    <w:p w14:paraId="60E1C8A9" w14:textId="77777777" w:rsidR="00F03E0A" w:rsidRPr="00BC31E0" w:rsidRDefault="00F03E0A" w:rsidP="006B7663">
      <w:pPr>
        <w:spacing w:before="120" w:after="120"/>
        <w:ind w:left="737"/>
      </w:pPr>
      <w:r w:rsidRPr="00BC31E0">
        <w:rPr>
          <w:rFonts w:hint="eastAsia"/>
        </w:rPr>
        <w:t>SUS304</w:t>
      </w:r>
      <w:r w:rsidRPr="00BC31E0">
        <w:rPr>
          <w:rFonts w:hint="eastAsia"/>
        </w:rPr>
        <w:t>冷間加工材</w:t>
      </w:r>
      <w:r w:rsidRPr="00BC31E0">
        <w:rPr>
          <w:rFonts w:hint="eastAsia"/>
        </w:rPr>
        <w:t>(</w:t>
      </w:r>
      <w:r w:rsidRPr="00BC31E0">
        <w:rPr>
          <w:rFonts w:hint="eastAsia"/>
        </w:rPr>
        <w:t>冷間加工度</w:t>
      </w:r>
      <w:r w:rsidRPr="00BC31E0">
        <w:rPr>
          <w:rFonts w:hint="eastAsia"/>
        </w:rPr>
        <w:t xml:space="preserve"> </w:t>
      </w:r>
      <w:r w:rsidRPr="00BC31E0">
        <w:rPr>
          <w:rFonts w:ascii="Cambria Math" w:hAnsi="Cambria Math"/>
        </w:rPr>
        <w:t>30</w:t>
      </w:r>
      <w:r w:rsidRPr="00BC31E0">
        <w:rPr>
          <w:rFonts w:hint="eastAsia"/>
        </w:rPr>
        <w:t>～</w:t>
      </w:r>
      <w:r w:rsidRPr="00BC31E0">
        <w:rPr>
          <w:rFonts w:ascii="Cambria Math" w:hAnsi="Cambria Math"/>
        </w:rPr>
        <w:t>50%</w:t>
      </w:r>
      <w:r w:rsidRPr="00BC31E0">
        <w:rPr>
          <w:rFonts w:hint="eastAsia"/>
        </w:rPr>
        <w:t>)(</w:t>
      </w:r>
      <w:r w:rsidRPr="00BC31E0">
        <w:rPr>
          <w:rFonts w:hint="eastAsia"/>
        </w:rPr>
        <w:t>冷間加工度は断面積の減少率を示す。</w:t>
      </w:r>
      <w:r w:rsidRPr="00BC31E0">
        <w:rPr>
          <w:rFonts w:hint="eastAsia"/>
        </w:rPr>
        <w:t>)</w:t>
      </w:r>
    </w:p>
    <w:p w14:paraId="50DBD755" w14:textId="77777777" w:rsidR="00F03E0A" w:rsidRPr="00BC31E0" w:rsidRDefault="00F03E0A" w:rsidP="00E444B3">
      <w:pPr>
        <w:tabs>
          <w:tab w:val="left" w:pos="1418"/>
          <w:tab w:val="left" w:leader="middleDot" w:pos="8364"/>
        </w:tabs>
      </w:pPr>
      <w:r w:rsidRPr="00BC31E0">
        <w:rPr>
          <w:rFonts w:hint="eastAsia"/>
        </w:rPr>
        <w:tab/>
      </w:r>
      <m:oMath>
        <m:sSub>
          <m:sSubPr>
            <m:ctrlPr>
              <w:rPr>
                <w:rFonts w:ascii="Cambria Math" w:hAnsi="Cambria Math"/>
                <w:i/>
              </w:rPr>
            </m:ctrlPr>
          </m:sSubPr>
          <m:e>
            <m:r>
              <w:rPr>
                <w:rFonts w:ascii="Cambria Math" w:hAnsi="Cambria Math"/>
              </w:rPr>
              <m:t>S</m:t>
            </m:r>
          </m:e>
          <m:sub>
            <m:r>
              <w:rPr>
                <w:rFonts w:ascii="Cambria Math" w:hAnsi="Cambria Math"/>
              </w:rPr>
              <m:t>u</m:t>
            </m:r>
          </m:sub>
        </m:sSub>
        <m:r>
          <m:rPr>
            <m:sty m:val="p"/>
          </m:rPr>
          <w:rPr>
            <w:rFonts w:ascii="Cambria Math" w:hAnsi="Cambria Math"/>
          </w:rPr>
          <m:t>=</m:t>
        </m:r>
        <m:d>
          <m:dPr>
            <m:ctrlPr>
              <w:rPr>
                <w:rFonts w:ascii="Cambria Math" w:hAnsi="Cambria Math"/>
              </w:rPr>
            </m:ctrlPr>
          </m:dPr>
          <m:e>
            <m:r>
              <m:rPr>
                <m:sty m:val="p"/>
              </m:rPr>
              <w:rPr>
                <w:rFonts w:ascii="Cambria Math" w:hAnsi="Cambria Math"/>
              </w:rPr>
              <m:t>1.549×</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sSup>
              <m:sSupPr>
                <m:ctrlPr>
                  <w:rPr>
                    <w:rFonts w:ascii="Cambria Math" w:hAnsi="Cambria Math"/>
                  </w:rPr>
                </m:ctrlPr>
              </m:sSupPr>
              <m:e>
                <m:r>
                  <w:rPr>
                    <w:rFonts w:ascii="Cambria Math" w:hAnsi="Cambria Math"/>
                  </w:rPr>
                  <m:t xml:space="preserve"> T</m:t>
                </m:r>
              </m:e>
              <m:sup>
                <m:r>
                  <m:rPr>
                    <m:sty m:val="p"/>
                  </m:rPr>
                  <w:rPr>
                    <w:rFonts w:ascii="Cambria Math" w:hAnsi="Cambria Math"/>
                  </w:rPr>
                  <m:t>2</m:t>
                </m:r>
              </m:sup>
            </m:sSup>
            <m:r>
              <m:rPr>
                <m:sty m:val="p"/>
              </m:rPr>
              <w:rPr>
                <w:rFonts w:ascii="Cambria Math" w:hAnsi="Cambria Math"/>
              </w:rPr>
              <m:t>-1.074×</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r>
              <w:rPr>
                <w:rFonts w:ascii="Cambria Math" w:hAnsi="Cambria Math"/>
              </w:rPr>
              <m:t xml:space="preserve"> T</m:t>
            </m:r>
            <m:r>
              <m:rPr>
                <m:sty m:val="p"/>
              </m:rPr>
              <w:rPr>
                <w:rFonts w:ascii="Cambria Math" w:hAnsi="Cambria Math"/>
              </w:rPr>
              <m:t>+1.021</m:t>
            </m:r>
          </m:e>
        </m:d>
        <m:r>
          <m:rPr>
            <m:sty m:val="p"/>
          </m:rPr>
          <w:rPr>
            <w:rFonts w:ascii="Cambria Math" w:hAnsi="Cambria Math"/>
          </w:rPr>
          <m:t xml:space="preserve"> </m:t>
        </m:r>
        <m:sSub>
          <m:sSubPr>
            <m:ctrlPr>
              <w:rPr>
                <w:rFonts w:ascii="Cambria Math" w:hAnsi="Cambria Math"/>
              </w:rPr>
            </m:ctrlPr>
          </m:sSubPr>
          <m:e>
            <m:r>
              <w:rPr>
                <w:rFonts w:ascii="Cambria Math" w:hAnsi="Cambria Math"/>
              </w:rPr>
              <m:t>S</m:t>
            </m:r>
          </m:e>
          <m:sub>
            <m:r>
              <w:rPr>
                <w:rFonts w:ascii="Cambria Math" w:hAnsi="Cambria Math"/>
              </w:rPr>
              <m:t>u</m:t>
            </m:r>
            <m:r>
              <m:rPr>
                <m:sty m:val="p"/>
              </m:rPr>
              <w:rPr>
                <w:rFonts w:ascii="Cambria Math" w:hAnsi="Cambria Math"/>
              </w:rPr>
              <m:t>20℃</m:t>
            </m:r>
          </m:sub>
        </m:sSub>
        <m:r>
          <m:rPr>
            <m:sty m:val="p"/>
          </m:rPr>
          <w:rPr>
            <w:rFonts w:ascii="Cambria Math" w:hAnsi="Cambria Math"/>
          </w:rPr>
          <m:t xml:space="preserve"> </m:t>
        </m:r>
      </m:oMath>
      <w:r w:rsidRPr="00BC31E0">
        <w:rPr>
          <w:rFonts w:asciiTheme="majorEastAsia" w:eastAsiaTheme="majorEastAsia" w:hAnsiTheme="majorEastAsia" w:hint="eastAsia"/>
          <w:b/>
          <w:vertAlign w:val="superscript"/>
        </w:rPr>
        <w:t>2)</w:t>
      </w:r>
      <w:r w:rsidRPr="00BC31E0">
        <w:rPr>
          <w:rFonts w:hint="eastAsia"/>
        </w:rPr>
        <w:tab/>
        <w:t>(5.4.6)</w:t>
      </w:r>
    </w:p>
    <w:p w14:paraId="1CE0ACDA" w14:textId="77777777" w:rsidR="00F03E0A" w:rsidRPr="00BC31E0" w:rsidRDefault="00F03E0A" w:rsidP="006B7663">
      <w:pPr>
        <w:spacing w:before="120" w:after="120"/>
        <w:ind w:left="737"/>
      </w:pPr>
      <w:r w:rsidRPr="00BC31E0">
        <w:rPr>
          <w:rFonts w:hint="eastAsia"/>
        </w:rPr>
        <w:t>SUS316</w:t>
      </w:r>
      <w:r w:rsidRPr="00BC31E0">
        <w:rPr>
          <w:rFonts w:hint="eastAsia"/>
        </w:rPr>
        <w:t>冷間加工材</w:t>
      </w:r>
      <w:r w:rsidRPr="00BC31E0">
        <w:rPr>
          <w:rFonts w:hint="eastAsia"/>
        </w:rPr>
        <w:t>(</w:t>
      </w:r>
      <w:r w:rsidRPr="00BC31E0">
        <w:rPr>
          <w:rFonts w:hint="eastAsia"/>
        </w:rPr>
        <w:t>冷間加工度</w:t>
      </w:r>
      <w:r w:rsidRPr="00BC31E0">
        <w:rPr>
          <w:rFonts w:hint="eastAsia"/>
        </w:rPr>
        <w:t xml:space="preserve"> </w:t>
      </w:r>
      <w:r w:rsidRPr="00BC31E0">
        <w:rPr>
          <w:rFonts w:ascii="Cambria Math" w:hAnsi="Cambria Math"/>
        </w:rPr>
        <w:t>20</w:t>
      </w:r>
      <w:r w:rsidRPr="00BC31E0">
        <w:rPr>
          <w:rFonts w:hint="eastAsia"/>
        </w:rPr>
        <w:t>～</w:t>
      </w:r>
      <w:r w:rsidRPr="00BC31E0">
        <w:rPr>
          <w:rFonts w:ascii="Cambria Math" w:hAnsi="Cambria Math"/>
        </w:rPr>
        <w:t>50%</w:t>
      </w:r>
      <w:r w:rsidRPr="00BC31E0">
        <w:rPr>
          <w:rFonts w:hint="eastAsia"/>
        </w:rPr>
        <w:t>)</w:t>
      </w:r>
    </w:p>
    <w:p w14:paraId="7253D9EB" w14:textId="77777777" w:rsidR="00F03E0A" w:rsidRPr="00BC31E0" w:rsidRDefault="00F03E0A" w:rsidP="00E444B3">
      <w:pPr>
        <w:tabs>
          <w:tab w:val="left" w:pos="1418"/>
          <w:tab w:val="left" w:leader="middleDot" w:pos="8364"/>
        </w:tabs>
      </w:pPr>
      <w:r w:rsidRPr="00BC31E0">
        <w:rPr>
          <w:rFonts w:hint="eastAsia"/>
        </w:rPr>
        <w:tab/>
      </w:r>
      <m:oMath>
        <m:sSub>
          <m:sSubPr>
            <m:ctrlPr>
              <w:rPr>
                <w:rFonts w:ascii="Cambria Math" w:hAnsi="Cambria Math"/>
                <w:i/>
              </w:rPr>
            </m:ctrlPr>
          </m:sSubPr>
          <m:e>
            <m:r>
              <w:rPr>
                <w:rFonts w:ascii="Cambria Math" w:hAnsi="Cambria Math"/>
              </w:rPr>
              <m:t>S</m:t>
            </m:r>
          </m:e>
          <m:sub>
            <m:r>
              <w:rPr>
                <w:rFonts w:ascii="Cambria Math" w:hAnsi="Cambria Math"/>
              </w:rPr>
              <m:t>u</m:t>
            </m:r>
          </m:sub>
        </m:sSub>
        <m:r>
          <m:rPr>
            <m:sty m:val="p"/>
          </m:rPr>
          <w:rPr>
            <w:rFonts w:ascii="Cambria Math" w:hAnsi="Cambria Math"/>
          </w:rPr>
          <m:t>=</m:t>
        </m:r>
        <m:d>
          <m:dPr>
            <m:ctrlPr>
              <w:rPr>
                <w:rFonts w:ascii="Cambria Math" w:hAnsi="Cambria Math"/>
              </w:rPr>
            </m:ctrlPr>
          </m:dPr>
          <m:e>
            <m:r>
              <m:rPr>
                <m:sty m:val="p"/>
              </m:rPr>
              <w:rPr>
                <w:rFonts w:ascii="Cambria Math" w:hAnsi="Cambria Math"/>
              </w:rPr>
              <m:t>1.873×</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 xml:space="preserve">-6 </m:t>
                </m:r>
              </m:sup>
            </m:sSup>
            <m:sSup>
              <m:sSupPr>
                <m:ctrlPr>
                  <w:rPr>
                    <w:rFonts w:ascii="Cambria Math" w:hAnsi="Cambria Math"/>
                  </w:rPr>
                </m:ctrlPr>
              </m:sSupPr>
              <m:e>
                <m:r>
                  <w:rPr>
                    <w:rFonts w:ascii="Cambria Math" w:hAnsi="Cambria Math"/>
                  </w:rPr>
                  <m:t>T</m:t>
                </m:r>
              </m:e>
              <m:sup>
                <m:r>
                  <m:rPr>
                    <m:sty m:val="p"/>
                  </m:rPr>
                  <w:rPr>
                    <w:rFonts w:ascii="Cambria Math" w:hAnsi="Cambria Math"/>
                  </w:rPr>
                  <m:t>2</m:t>
                </m:r>
              </m:sup>
            </m:sSup>
            <m:r>
              <m:rPr>
                <m:sty m:val="p"/>
              </m:rPr>
              <w:rPr>
                <w:rFonts w:ascii="Cambria Math" w:hAnsi="Cambria Math"/>
              </w:rPr>
              <m:t>-1.159×</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r>
              <w:rPr>
                <w:rFonts w:ascii="Cambria Math" w:hAnsi="Cambria Math"/>
              </w:rPr>
              <m:t xml:space="preserve"> T</m:t>
            </m:r>
            <m:r>
              <m:rPr>
                <m:sty m:val="p"/>
              </m:rPr>
              <w:rPr>
                <w:rFonts w:ascii="Cambria Math" w:hAnsi="Cambria Math"/>
              </w:rPr>
              <m:t>+1.021</m:t>
            </m:r>
          </m:e>
        </m:d>
        <m:r>
          <m:rPr>
            <m:sty m:val="p"/>
          </m:rPr>
          <w:rPr>
            <w:rFonts w:ascii="Cambria Math" w:hAnsi="Cambria Math"/>
          </w:rPr>
          <m:t xml:space="preserve"> </m:t>
        </m:r>
        <m:sSub>
          <m:sSubPr>
            <m:ctrlPr>
              <w:rPr>
                <w:rFonts w:ascii="Cambria Math" w:hAnsi="Cambria Math"/>
              </w:rPr>
            </m:ctrlPr>
          </m:sSubPr>
          <m:e>
            <m:r>
              <w:rPr>
                <w:rFonts w:ascii="Cambria Math" w:hAnsi="Cambria Math"/>
              </w:rPr>
              <m:t>S</m:t>
            </m:r>
          </m:e>
          <m:sub>
            <m:r>
              <w:rPr>
                <w:rFonts w:ascii="Cambria Math" w:hAnsi="Cambria Math"/>
              </w:rPr>
              <m:t>u</m:t>
            </m:r>
            <m:r>
              <m:rPr>
                <m:sty m:val="p"/>
              </m:rPr>
              <w:rPr>
                <w:rFonts w:ascii="Cambria Math" w:hAnsi="Cambria Math"/>
              </w:rPr>
              <m:t>20℃</m:t>
            </m:r>
          </m:sub>
        </m:sSub>
        <m:r>
          <m:rPr>
            <m:sty m:val="p"/>
          </m:rPr>
          <w:rPr>
            <w:rFonts w:ascii="Cambria Math" w:hAnsi="Cambria Math"/>
          </w:rPr>
          <m:t xml:space="preserve"> </m:t>
        </m:r>
      </m:oMath>
      <w:r w:rsidRPr="00BC31E0">
        <w:rPr>
          <w:rFonts w:asciiTheme="majorEastAsia" w:eastAsiaTheme="majorEastAsia" w:hAnsiTheme="majorEastAsia" w:hint="eastAsia"/>
          <w:b/>
          <w:vertAlign w:val="superscript"/>
        </w:rPr>
        <w:t>2)</w:t>
      </w:r>
      <w:r w:rsidRPr="00BC31E0">
        <w:rPr>
          <w:rFonts w:hint="eastAsia"/>
        </w:rPr>
        <w:tab/>
        <w:t>(5.4.7)</w:t>
      </w:r>
    </w:p>
    <w:p w14:paraId="15DC0B74" w14:textId="77777777" w:rsidR="00F03E0A" w:rsidRPr="00BC31E0" w:rsidRDefault="00F03E0A" w:rsidP="006B7663">
      <w:pPr>
        <w:spacing w:before="120" w:after="120"/>
        <w:ind w:left="737"/>
      </w:pPr>
      <w:r w:rsidRPr="00BC31E0">
        <w:rPr>
          <w:rFonts w:hint="eastAsia"/>
        </w:rPr>
        <w:t>SUS630</w:t>
      </w:r>
    </w:p>
    <w:p w14:paraId="35B01704" w14:textId="77777777" w:rsidR="00F03E0A" w:rsidRPr="00BC31E0" w:rsidRDefault="00F03E0A" w:rsidP="00E444B3">
      <w:pPr>
        <w:tabs>
          <w:tab w:val="left" w:pos="1418"/>
          <w:tab w:val="left" w:leader="middleDot" w:pos="8364"/>
        </w:tabs>
      </w:pPr>
      <w:r w:rsidRPr="00BC31E0">
        <w:rPr>
          <w:rFonts w:hint="eastAsia"/>
        </w:rPr>
        <w:tab/>
      </w:r>
      <m:oMath>
        <m:sSub>
          <m:sSubPr>
            <m:ctrlPr>
              <w:rPr>
                <w:rFonts w:ascii="Cambria Math" w:hAnsi="Cambria Math"/>
                <w:i/>
              </w:rPr>
            </m:ctrlPr>
          </m:sSubPr>
          <m:e>
            <m:r>
              <w:rPr>
                <w:rFonts w:ascii="Cambria Math" w:hAnsi="Cambria Math"/>
              </w:rPr>
              <m:t>S</m:t>
            </m:r>
          </m:e>
          <m:sub>
            <m:r>
              <w:rPr>
                <w:rFonts w:ascii="Cambria Math" w:hAnsi="Cambria Math"/>
              </w:rPr>
              <m:t>u</m:t>
            </m:r>
          </m:sub>
        </m:sSub>
        <m:r>
          <m:rPr>
            <m:sty m:val="p"/>
          </m:rPr>
          <w:rPr>
            <w:rFonts w:ascii="Cambria Math" w:hAnsi="Cambria Math"/>
          </w:rPr>
          <m:t>=</m:t>
        </m:r>
        <m:d>
          <m:dPr>
            <m:ctrlPr>
              <w:rPr>
                <w:rFonts w:ascii="Cambria Math" w:hAnsi="Cambria Math"/>
              </w:rPr>
            </m:ctrlPr>
          </m:dPr>
          <m:e>
            <m:r>
              <m:rPr>
                <m:sty m:val="p"/>
              </m:rPr>
              <w:rPr>
                <w:rFonts w:ascii="Cambria Math" w:hAnsi="Cambria Math"/>
              </w:rPr>
              <m:t>6.455×</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-7</m:t>
                </m:r>
              </m:sup>
            </m:sSup>
            <m:r>
              <m:rPr>
                <m:sty m:val="p"/>
              </m:rPr>
              <w:rPr>
                <w:rFonts w:ascii="Cambria Math" w:hAnsi="Cambria Math"/>
              </w:rPr>
              <m:t xml:space="preserve"> </m:t>
            </m:r>
            <m:sSup>
              <m:sSupPr>
                <m:ctrlPr>
                  <w:rPr>
                    <w:rFonts w:ascii="Cambria Math" w:hAnsi="Cambria Math"/>
                  </w:rPr>
                </m:ctrlPr>
              </m:sSupPr>
              <m:e>
                <m:r>
                  <w:rPr>
                    <w:rFonts w:ascii="Cambria Math" w:hAnsi="Cambria Math"/>
                  </w:rPr>
                  <m:t>T</m:t>
                </m:r>
              </m:e>
              <m:sup>
                <m:r>
                  <m:rPr>
                    <m:sty m:val="p"/>
                  </m:rPr>
                  <w:rPr>
                    <w:rFonts w:ascii="Cambria Math" w:hAnsi="Cambria Math"/>
                  </w:rPr>
                  <m:t>2</m:t>
                </m:r>
              </m:sup>
            </m:sSup>
            <m:r>
              <m:rPr>
                <m:sty m:val="p"/>
              </m:rPr>
              <w:rPr>
                <w:rFonts w:ascii="Cambria Math" w:hAnsi="Cambria Math"/>
              </w:rPr>
              <m:t>-7.720×</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 xml:space="preserve">-4 </m:t>
                </m:r>
              </m:sup>
            </m:sSup>
            <m:r>
              <w:rPr>
                <w:rFonts w:ascii="Cambria Math" w:hAnsi="Cambria Math"/>
              </w:rPr>
              <m:t>T</m:t>
            </m:r>
            <m:r>
              <m:rPr>
                <m:sty m:val="p"/>
              </m:rPr>
              <w:rPr>
                <w:rFonts w:ascii="Cambria Math" w:hAnsi="Cambria Math"/>
              </w:rPr>
              <m:t>+1.019</m:t>
            </m:r>
          </m:e>
        </m:d>
        <m:r>
          <m:rPr>
            <m:sty m:val="p"/>
          </m:rPr>
          <w:rPr>
            <w:rFonts w:ascii="Cambria Math" w:hAnsi="Cambria Math"/>
          </w:rPr>
          <m:t xml:space="preserve"> </m:t>
        </m:r>
        <m:sSub>
          <m:sSubPr>
            <m:ctrlPr>
              <w:rPr>
                <w:rFonts w:ascii="Cambria Math" w:hAnsi="Cambria Math"/>
              </w:rPr>
            </m:ctrlPr>
          </m:sSubPr>
          <m:e>
            <m:r>
              <w:rPr>
                <w:rFonts w:ascii="Cambria Math" w:hAnsi="Cambria Math"/>
              </w:rPr>
              <m:t>S</m:t>
            </m:r>
          </m:e>
          <m:sub>
            <m:r>
              <w:rPr>
                <w:rFonts w:ascii="Cambria Math" w:hAnsi="Cambria Math"/>
              </w:rPr>
              <m:t>u</m:t>
            </m:r>
            <m:r>
              <m:rPr>
                <m:sty m:val="p"/>
              </m:rPr>
              <w:rPr>
                <w:rFonts w:ascii="Cambria Math" w:hAnsi="Cambria Math"/>
              </w:rPr>
              <m:t>20℃</m:t>
            </m:r>
          </m:sub>
        </m:sSub>
      </m:oMath>
      <w:r w:rsidRPr="00BC31E0">
        <w:rPr>
          <w:rFonts w:hint="eastAsia"/>
        </w:rPr>
        <w:t xml:space="preserve"> </w:t>
      </w:r>
      <w:r w:rsidRPr="00BC31E0">
        <w:rPr>
          <w:rFonts w:asciiTheme="majorEastAsia" w:eastAsiaTheme="majorEastAsia" w:hAnsiTheme="majorEastAsia" w:hint="eastAsia"/>
          <w:b/>
          <w:vertAlign w:val="superscript"/>
        </w:rPr>
        <w:t>3)</w:t>
      </w:r>
      <w:r w:rsidRPr="00BC31E0">
        <w:rPr>
          <w:rFonts w:asciiTheme="minorHAnsi" w:eastAsiaTheme="majorEastAsia" w:hAnsiTheme="minorHAnsi"/>
        </w:rPr>
        <w:tab/>
      </w:r>
      <w:r w:rsidRPr="00BC31E0">
        <w:rPr>
          <w:rFonts w:asciiTheme="minorHAnsi" w:eastAsiaTheme="majorEastAsia" w:hAnsiTheme="minorHAnsi" w:hint="eastAsia"/>
        </w:rPr>
        <w:t>(5.4.8)</w:t>
      </w:r>
    </w:p>
    <w:p w14:paraId="3F6FBEEF" w14:textId="77777777" w:rsidR="00E444B3" w:rsidRPr="00BC31E0" w:rsidRDefault="00F03E0A" w:rsidP="006B7663">
      <w:pPr>
        <w:spacing w:before="120"/>
        <w:ind w:left="964"/>
      </w:pPr>
      <w:r w:rsidRPr="00BC31E0">
        <w:rPr>
          <w:rFonts w:hint="eastAsia"/>
        </w:rPr>
        <w:t>ここで，</w:t>
      </w:r>
    </w:p>
    <w:p w14:paraId="3CFC9F6E" w14:textId="77777777" w:rsidR="00E444B3" w:rsidRPr="00BC31E0" w:rsidRDefault="00E444B3" w:rsidP="00E444B3">
      <w:pPr>
        <w:tabs>
          <w:tab w:val="left" w:pos="1418"/>
          <w:tab w:val="left" w:pos="1985"/>
        </w:tabs>
      </w:pPr>
      <w:r w:rsidRPr="00BC31E0">
        <w:rPr>
          <w:rFonts w:hint="eastAsia"/>
        </w:rPr>
        <w:tab/>
      </w:r>
      <m:oMath>
        <m:sSub>
          <m:sSubPr>
            <m:ctrlPr>
              <w:rPr>
                <w:rFonts w:ascii="Cambria Math" w:hAnsi="Cambria Math"/>
              </w:rPr>
            </m:ctrlPr>
          </m:sSubPr>
          <m:e>
            <m:r>
              <w:rPr>
                <w:rFonts w:ascii="Cambria Math" w:hAnsi="Cambria Math"/>
              </w:rPr>
              <m:t>S</m:t>
            </m:r>
          </m:e>
          <m:sub>
            <m:r>
              <w:rPr>
                <w:rFonts w:ascii="Cambria Math" w:hAnsi="Cambria Math"/>
              </w:rPr>
              <m:t>u</m:t>
            </m:r>
            <m:r>
              <m:rPr>
                <m:sty m:val="p"/>
              </m:rPr>
              <w:rPr>
                <w:rFonts w:ascii="Cambria Math" w:hAnsi="Cambria Math"/>
              </w:rPr>
              <m:t>20℃</m:t>
            </m:r>
          </m:sub>
        </m:sSub>
      </m:oMath>
      <w:r w:rsidR="00F03E0A" w:rsidRPr="00BC31E0">
        <w:rPr>
          <w:rFonts w:hint="eastAsia"/>
          <w:vertAlign w:val="subscript"/>
        </w:rPr>
        <w:tab/>
      </w:r>
      <w:r w:rsidR="00F03E0A" w:rsidRPr="00BC31E0">
        <w:rPr>
          <w:rFonts w:hint="eastAsia"/>
        </w:rPr>
        <w:t>：</w:t>
      </w:r>
      <w:r w:rsidR="00F03E0A" w:rsidRPr="00BC31E0">
        <w:rPr>
          <w:rFonts w:hint="eastAsia"/>
        </w:rPr>
        <w:t xml:space="preserve"> </w:t>
      </w:r>
      <w:r w:rsidR="007E643D" w:rsidRPr="00BC31E0">
        <w:rPr>
          <w:rFonts w:hint="eastAsia"/>
        </w:rPr>
        <w:t>規定</w:t>
      </w:r>
      <w:r w:rsidR="00F03E0A" w:rsidRPr="00BC31E0">
        <w:rPr>
          <w:rFonts w:hint="eastAsia"/>
        </w:rPr>
        <w:t>最小引張強さ又は</w:t>
      </w:r>
      <w:r w:rsidR="00F03E0A" w:rsidRPr="00BC31E0">
        <w:rPr>
          <w:rFonts w:asciiTheme="minorHAnsi" w:hAnsiTheme="minorHAnsi"/>
        </w:rPr>
        <w:t>20</w:t>
      </w:r>
      <w:r w:rsidR="00F03E0A" w:rsidRPr="00BC31E0">
        <w:rPr>
          <w:rFonts w:asciiTheme="minorEastAsia" w:eastAsiaTheme="minorEastAsia" w:hAnsiTheme="minorEastAsia"/>
        </w:rPr>
        <w:t>℃</w:t>
      </w:r>
      <w:r w:rsidR="00F03E0A" w:rsidRPr="00BC31E0">
        <w:rPr>
          <w:rFonts w:hint="eastAsia"/>
        </w:rPr>
        <w:t>における</w:t>
      </w:r>
      <m:oMath>
        <m:r>
          <m:rPr>
            <m:sty m:val="p"/>
          </m:rP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u</m:t>
            </m:r>
          </m:sub>
        </m:sSub>
      </m:oMath>
      <w:r w:rsidR="00F03E0A" w:rsidRPr="00BC31E0">
        <w:rPr>
          <w:rFonts w:hint="eastAsia"/>
        </w:rPr>
        <w:t>(</w:t>
      </w:r>
      <w:r w:rsidR="00F03E0A" w:rsidRPr="00BC31E0">
        <w:rPr>
          <w:rFonts w:ascii="Cambria Math" w:hAnsi="Cambria Math"/>
        </w:rPr>
        <w:t>MPa</w:t>
      </w:r>
      <w:r w:rsidR="00F03E0A" w:rsidRPr="00BC31E0">
        <w:rPr>
          <w:rFonts w:hint="eastAsia"/>
        </w:rPr>
        <w:t>)</w:t>
      </w:r>
    </w:p>
    <w:p w14:paraId="427D192D" w14:textId="77777777" w:rsidR="00F03E0A" w:rsidRPr="00BC31E0" w:rsidRDefault="00E444B3" w:rsidP="00E444B3">
      <w:pPr>
        <w:tabs>
          <w:tab w:val="left" w:pos="1418"/>
          <w:tab w:val="left" w:pos="1985"/>
        </w:tabs>
      </w:pPr>
      <w:r w:rsidRPr="00BC31E0">
        <w:rPr>
          <w:rFonts w:hint="eastAsia"/>
        </w:rPr>
        <w:tab/>
      </w:r>
      <m:oMath>
        <m:r>
          <w:rPr>
            <w:rFonts w:ascii="Cambria Math" w:hAnsi="Cambria Math"/>
          </w:rPr>
          <m:t>T</m:t>
        </m:r>
      </m:oMath>
      <w:r w:rsidR="00F03E0A" w:rsidRPr="00BC31E0">
        <w:rPr>
          <w:rFonts w:asciiTheme="minorEastAsia" w:eastAsiaTheme="minorEastAsia" w:hAnsiTheme="minorEastAsia" w:hint="eastAsia"/>
          <w:i/>
        </w:rPr>
        <w:tab/>
      </w:r>
      <w:r w:rsidR="00F03E0A" w:rsidRPr="00BC31E0">
        <w:rPr>
          <w:rFonts w:hint="eastAsia"/>
        </w:rPr>
        <w:t>：</w:t>
      </w:r>
      <w:r w:rsidR="00F03E0A" w:rsidRPr="00BC31E0">
        <w:rPr>
          <w:rFonts w:hint="eastAsia"/>
        </w:rPr>
        <w:t xml:space="preserve"> </w:t>
      </w:r>
      <w:r w:rsidR="00F03E0A" w:rsidRPr="00BC31E0">
        <w:rPr>
          <w:rFonts w:hint="eastAsia"/>
        </w:rPr>
        <w:t>温度</w:t>
      </w:r>
      <w:r w:rsidR="00F03E0A" w:rsidRPr="00BC31E0">
        <w:rPr>
          <w:rFonts w:hint="eastAsia"/>
        </w:rPr>
        <w:t>(</w:t>
      </w:r>
      <w:r w:rsidR="00F03E0A" w:rsidRPr="00BC31E0">
        <w:rPr>
          <w:rFonts w:asciiTheme="minorEastAsia" w:eastAsiaTheme="minorEastAsia" w:hAnsiTheme="minorEastAsia" w:cs="ＭＳ 明朝"/>
        </w:rPr>
        <w:t>℃</w:t>
      </w:r>
      <w:r w:rsidR="00F03E0A" w:rsidRPr="00BC31E0">
        <w:rPr>
          <w:rFonts w:hint="eastAsia"/>
        </w:rPr>
        <w:t>)</w:t>
      </w:r>
    </w:p>
    <w:p w14:paraId="543BA17F" w14:textId="77777777" w:rsidR="00E444B3" w:rsidRPr="00BC31E0" w:rsidRDefault="00E444B3" w:rsidP="00E444B3"/>
    <w:p w14:paraId="0EAF704A" w14:textId="77777777" w:rsidR="00F03E0A" w:rsidRPr="00BC31E0" w:rsidRDefault="00F03E0A" w:rsidP="00E444B3">
      <w:pPr>
        <w:jc w:val="left"/>
      </w:pPr>
      <w:r w:rsidRPr="00BC31E0">
        <w:br w:type="page"/>
      </w:r>
    </w:p>
    <w:p w14:paraId="7B73709D" w14:textId="77777777" w:rsidR="00F03E0A" w:rsidRPr="00BC31E0" w:rsidRDefault="009C505B" w:rsidP="00620B6E">
      <w:r w:rsidRPr="00BC31E0">
        <w:rPr>
          <w:noProof/>
        </w:rPr>
        <w:lastRenderedPageBreak/>
        <w:drawing>
          <wp:inline distT="0" distB="0" distL="0" distR="0" wp14:anchorId="1579F1B1" wp14:editId="0239CEF3">
            <wp:extent cx="5759450" cy="8394199"/>
            <wp:effectExtent l="1905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7" cstate="print"/>
                    <a:srcRect/>
                    <a:stretch>
                      <a:fillRect/>
                    </a:stretch>
                  </pic:blipFill>
                  <pic:spPr bwMode="auto">
                    <a:xfrm>
                      <a:off x="0" y="0"/>
                      <a:ext cx="5759450" cy="8394199"/>
                    </a:xfrm>
                    <a:prstGeom prst="rect">
                      <a:avLst/>
                    </a:prstGeom>
                    <a:noFill/>
                    <a:ln w="9525">
                      <a:noFill/>
                      <a:miter lim="800000"/>
                      <a:headEnd/>
                      <a:tailEnd/>
                    </a:ln>
                  </pic:spPr>
                </pic:pic>
              </a:graphicData>
            </a:graphic>
          </wp:inline>
        </w:drawing>
      </w:r>
    </w:p>
    <w:p w14:paraId="16B43DE9" w14:textId="77777777" w:rsidR="00F03E0A" w:rsidRPr="00BC31E0" w:rsidRDefault="00F03E0A" w:rsidP="00620B6E"/>
    <w:p w14:paraId="1BB7C553" w14:textId="77777777" w:rsidR="00F03E0A" w:rsidRPr="00BC31E0" w:rsidRDefault="006F29F3" w:rsidP="00F03E0A">
      <w:r w:rsidRPr="00BC31E0">
        <w:rPr>
          <w:rFonts w:hint="eastAsia"/>
          <w:noProof/>
        </w:rPr>
        <w:lastRenderedPageBreak/>
        <w:drawing>
          <wp:inline distT="0" distB="0" distL="0" distR="0" wp14:anchorId="7EC4E3DD" wp14:editId="6266A034">
            <wp:extent cx="5759450" cy="8459737"/>
            <wp:effectExtent l="1905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8" cstate="print"/>
                    <a:srcRect/>
                    <a:stretch>
                      <a:fillRect/>
                    </a:stretch>
                  </pic:blipFill>
                  <pic:spPr bwMode="auto">
                    <a:xfrm>
                      <a:off x="0" y="0"/>
                      <a:ext cx="5759450" cy="8459737"/>
                    </a:xfrm>
                    <a:prstGeom prst="rect">
                      <a:avLst/>
                    </a:prstGeom>
                    <a:noFill/>
                    <a:ln w="9525">
                      <a:noFill/>
                      <a:miter lim="800000"/>
                      <a:headEnd/>
                      <a:tailEnd/>
                    </a:ln>
                  </pic:spPr>
                </pic:pic>
              </a:graphicData>
            </a:graphic>
          </wp:inline>
        </w:drawing>
      </w:r>
    </w:p>
    <w:p w14:paraId="7419C509" w14:textId="77777777" w:rsidR="00F03E0A" w:rsidRPr="00BC31E0" w:rsidRDefault="00620DC5" w:rsidP="00F03E0A">
      <w:r w:rsidRPr="00BC31E0">
        <w:rPr>
          <w:noProof/>
        </w:rPr>
        <w:lastRenderedPageBreak/>
        <w:drawing>
          <wp:anchor distT="0" distB="0" distL="114300" distR="114300" simplePos="0" relativeHeight="251926016" behindDoc="0" locked="0" layoutInCell="1" allowOverlap="1" wp14:anchorId="161CD2AB" wp14:editId="6ACAB38C">
            <wp:simplePos x="0" y="0"/>
            <wp:positionH relativeFrom="column">
              <wp:align>left</wp:align>
            </wp:positionH>
            <wp:positionV relativeFrom="paragraph">
              <wp:align>top</wp:align>
            </wp:positionV>
            <wp:extent cx="5757497" cy="8537330"/>
            <wp:effectExtent l="19050" t="0" r="0" b="0"/>
            <wp:wrapSquare wrapText="bothSides"/>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9" cstate="print"/>
                    <a:srcRect/>
                    <a:stretch>
                      <a:fillRect/>
                    </a:stretch>
                  </pic:blipFill>
                  <pic:spPr bwMode="auto">
                    <a:xfrm>
                      <a:off x="0" y="0"/>
                      <a:ext cx="5757497" cy="8537330"/>
                    </a:xfrm>
                    <a:prstGeom prst="rect">
                      <a:avLst/>
                    </a:prstGeom>
                    <a:noFill/>
                    <a:ln w="9525">
                      <a:noFill/>
                      <a:miter lim="800000"/>
                      <a:headEnd/>
                      <a:tailEnd/>
                    </a:ln>
                  </pic:spPr>
                </pic:pic>
              </a:graphicData>
            </a:graphic>
          </wp:anchor>
        </w:drawing>
      </w:r>
    </w:p>
    <w:p w14:paraId="1BA8D9D7" w14:textId="77777777" w:rsidR="00F03E0A" w:rsidRPr="00BC31E0" w:rsidRDefault="00C84BE3" w:rsidP="00C84BE3">
      <w:r w:rsidRPr="00BC31E0">
        <w:rPr>
          <w:noProof/>
        </w:rPr>
        <w:lastRenderedPageBreak/>
        <w:drawing>
          <wp:inline distT="0" distB="0" distL="0" distR="0" wp14:anchorId="7D57025C" wp14:editId="0E02710C">
            <wp:extent cx="5759450" cy="8489335"/>
            <wp:effectExtent l="19050" t="0" r="0"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0" cstate="print"/>
                    <a:srcRect/>
                    <a:stretch>
                      <a:fillRect/>
                    </a:stretch>
                  </pic:blipFill>
                  <pic:spPr bwMode="auto">
                    <a:xfrm>
                      <a:off x="0" y="0"/>
                      <a:ext cx="5759450" cy="8489335"/>
                    </a:xfrm>
                    <a:prstGeom prst="rect">
                      <a:avLst/>
                    </a:prstGeom>
                    <a:noFill/>
                    <a:ln w="9525">
                      <a:noFill/>
                      <a:miter lim="800000"/>
                      <a:headEnd/>
                      <a:tailEnd/>
                    </a:ln>
                  </pic:spPr>
                </pic:pic>
              </a:graphicData>
            </a:graphic>
          </wp:inline>
        </w:drawing>
      </w:r>
    </w:p>
    <w:p w14:paraId="37B9D26A" w14:textId="77777777" w:rsidR="00F03E0A" w:rsidRPr="00BC31E0" w:rsidRDefault="0029009E" w:rsidP="00F03E0A">
      <w:r w:rsidRPr="00BC31E0">
        <w:rPr>
          <w:noProof/>
        </w:rPr>
        <w:lastRenderedPageBreak/>
        <w:drawing>
          <wp:inline distT="0" distB="0" distL="0" distR="0" wp14:anchorId="0EB782F3" wp14:editId="3127507C">
            <wp:extent cx="5759450" cy="6068842"/>
            <wp:effectExtent l="19050" t="0" r="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1" cstate="print"/>
                    <a:srcRect/>
                    <a:stretch>
                      <a:fillRect/>
                    </a:stretch>
                  </pic:blipFill>
                  <pic:spPr bwMode="auto">
                    <a:xfrm>
                      <a:off x="0" y="0"/>
                      <a:ext cx="5759450" cy="6068842"/>
                    </a:xfrm>
                    <a:prstGeom prst="rect">
                      <a:avLst/>
                    </a:prstGeom>
                    <a:noFill/>
                    <a:ln w="9525">
                      <a:noFill/>
                      <a:miter lim="800000"/>
                      <a:headEnd/>
                      <a:tailEnd/>
                    </a:ln>
                  </pic:spPr>
                </pic:pic>
              </a:graphicData>
            </a:graphic>
          </wp:inline>
        </w:drawing>
      </w:r>
    </w:p>
    <w:p w14:paraId="6ECA0705" w14:textId="77777777" w:rsidR="00F16554" w:rsidRPr="00BC31E0" w:rsidRDefault="00F16554" w:rsidP="00F03E0A"/>
    <w:p w14:paraId="577C34D7" w14:textId="77777777" w:rsidR="00F16554" w:rsidRPr="00BC31E0" w:rsidRDefault="00F16554" w:rsidP="00F03E0A"/>
    <w:p w14:paraId="5303F6D8" w14:textId="77777777" w:rsidR="00F16554" w:rsidRPr="00BC31E0" w:rsidRDefault="00240E40" w:rsidP="00F03E0A">
      <w:r w:rsidRPr="00BC31E0">
        <w:rPr>
          <w:noProof/>
        </w:rPr>
        <w:lastRenderedPageBreak/>
        <w:drawing>
          <wp:inline distT="0" distB="0" distL="0" distR="0" wp14:anchorId="4C478554" wp14:editId="6ED2D103">
            <wp:extent cx="5759450" cy="8584472"/>
            <wp:effectExtent l="19050" t="0" r="0"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2" cstate="print"/>
                    <a:srcRect/>
                    <a:stretch>
                      <a:fillRect/>
                    </a:stretch>
                  </pic:blipFill>
                  <pic:spPr bwMode="auto">
                    <a:xfrm>
                      <a:off x="0" y="0"/>
                      <a:ext cx="5759450" cy="8584472"/>
                    </a:xfrm>
                    <a:prstGeom prst="rect">
                      <a:avLst/>
                    </a:prstGeom>
                    <a:noFill/>
                    <a:ln w="9525">
                      <a:noFill/>
                      <a:miter lim="800000"/>
                      <a:headEnd/>
                      <a:tailEnd/>
                    </a:ln>
                  </pic:spPr>
                </pic:pic>
              </a:graphicData>
            </a:graphic>
          </wp:inline>
        </w:drawing>
      </w:r>
    </w:p>
    <w:p w14:paraId="5A219508" w14:textId="77777777" w:rsidR="00F16554" w:rsidRPr="00BC31E0" w:rsidRDefault="00FA6886" w:rsidP="009F23A7">
      <w:pPr>
        <w:tabs>
          <w:tab w:val="left" w:pos="1050"/>
        </w:tabs>
      </w:pPr>
      <w:r w:rsidRPr="00BC31E0">
        <w:rPr>
          <w:noProof/>
        </w:rPr>
        <w:lastRenderedPageBreak/>
        <w:drawing>
          <wp:inline distT="0" distB="0" distL="0" distR="0" wp14:anchorId="28A956B4" wp14:editId="036FFF8D">
            <wp:extent cx="5759450" cy="8349802"/>
            <wp:effectExtent l="19050" t="0" r="0" b="0"/>
            <wp:docPr id="1"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3" cstate="print"/>
                    <a:srcRect/>
                    <a:stretch>
                      <a:fillRect/>
                    </a:stretch>
                  </pic:blipFill>
                  <pic:spPr bwMode="auto">
                    <a:xfrm>
                      <a:off x="0" y="0"/>
                      <a:ext cx="5759450" cy="8349802"/>
                    </a:xfrm>
                    <a:prstGeom prst="rect">
                      <a:avLst/>
                    </a:prstGeom>
                    <a:noFill/>
                    <a:ln w="9525">
                      <a:noFill/>
                      <a:miter lim="800000"/>
                      <a:headEnd/>
                      <a:tailEnd/>
                    </a:ln>
                  </pic:spPr>
                </pic:pic>
              </a:graphicData>
            </a:graphic>
          </wp:inline>
        </w:drawing>
      </w:r>
    </w:p>
    <w:p w14:paraId="555F4892" w14:textId="77777777" w:rsidR="00A91DC2" w:rsidRPr="00BC31E0" w:rsidRDefault="00A91DC2" w:rsidP="00F03E0A"/>
    <w:p w14:paraId="436FDBC3" w14:textId="77777777" w:rsidR="00797FEC" w:rsidRPr="00BC31E0" w:rsidRDefault="00883A48" w:rsidP="00F03E0A">
      <w:r w:rsidRPr="00BC31E0">
        <w:rPr>
          <w:rFonts w:hint="eastAsia"/>
          <w:noProof/>
        </w:rPr>
        <w:lastRenderedPageBreak/>
        <w:drawing>
          <wp:inline distT="0" distB="0" distL="0" distR="0" wp14:anchorId="7AAB74A0" wp14:editId="1EA60501">
            <wp:extent cx="5759450" cy="8518405"/>
            <wp:effectExtent l="19050" t="0" r="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4" cstate="print"/>
                    <a:srcRect/>
                    <a:stretch>
                      <a:fillRect/>
                    </a:stretch>
                  </pic:blipFill>
                  <pic:spPr bwMode="auto">
                    <a:xfrm>
                      <a:off x="0" y="0"/>
                      <a:ext cx="5759450" cy="8518405"/>
                    </a:xfrm>
                    <a:prstGeom prst="rect">
                      <a:avLst/>
                    </a:prstGeom>
                    <a:noFill/>
                    <a:ln w="9525">
                      <a:noFill/>
                      <a:miter lim="800000"/>
                      <a:headEnd/>
                      <a:tailEnd/>
                    </a:ln>
                  </pic:spPr>
                </pic:pic>
              </a:graphicData>
            </a:graphic>
          </wp:inline>
        </w:drawing>
      </w:r>
    </w:p>
    <w:p w14:paraId="354E8FB2" w14:textId="77777777" w:rsidR="00797FEC" w:rsidRPr="00BC31E0" w:rsidRDefault="008F3FF7" w:rsidP="00F03E0A">
      <w:r w:rsidRPr="00BC31E0">
        <w:rPr>
          <w:noProof/>
        </w:rPr>
        <w:lastRenderedPageBreak/>
        <w:drawing>
          <wp:inline distT="0" distB="0" distL="0" distR="0" wp14:anchorId="621AB9F9" wp14:editId="365D71A8">
            <wp:extent cx="5759450" cy="8525804"/>
            <wp:effectExtent l="1905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5" cstate="print"/>
                    <a:srcRect/>
                    <a:stretch>
                      <a:fillRect/>
                    </a:stretch>
                  </pic:blipFill>
                  <pic:spPr bwMode="auto">
                    <a:xfrm>
                      <a:off x="0" y="0"/>
                      <a:ext cx="5759450" cy="8525804"/>
                    </a:xfrm>
                    <a:prstGeom prst="rect">
                      <a:avLst/>
                    </a:prstGeom>
                    <a:noFill/>
                    <a:ln w="9525">
                      <a:noFill/>
                      <a:miter lim="800000"/>
                      <a:headEnd/>
                      <a:tailEnd/>
                    </a:ln>
                  </pic:spPr>
                </pic:pic>
              </a:graphicData>
            </a:graphic>
          </wp:inline>
        </w:drawing>
      </w:r>
    </w:p>
    <w:p w14:paraId="21EB80EC" w14:textId="77777777" w:rsidR="00797FEC" w:rsidRPr="00BC31E0" w:rsidRDefault="000C5875" w:rsidP="00F03E0A">
      <w:r w:rsidRPr="00BC31E0">
        <w:rPr>
          <w:noProof/>
        </w:rPr>
        <w:lastRenderedPageBreak/>
        <w:drawing>
          <wp:inline distT="0" distB="0" distL="0" distR="0" wp14:anchorId="39DDF899" wp14:editId="1396D2C3">
            <wp:extent cx="5759450" cy="8401070"/>
            <wp:effectExtent l="19050" t="0" r="0"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6" cstate="print"/>
                    <a:srcRect/>
                    <a:stretch>
                      <a:fillRect/>
                    </a:stretch>
                  </pic:blipFill>
                  <pic:spPr bwMode="auto">
                    <a:xfrm>
                      <a:off x="0" y="0"/>
                      <a:ext cx="5759450" cy="8401070"/>
                    </a:xfrm>
                    <a:prstGeom prst="rect">
                      <a:avLst/>
                    </a:prstGeom>
                    <a:noFill/>
                    <a:ln w="9525">
                      <a:noFill/>
                      <a:miter lim="800000"/>
                      <a:headEnd/>
                      <a:tailEnd/>
                    </a:ln>
                  </pic:spPr>
                </pic:pic>
              </a:graphicData>
            </a:graphic>
          </wp:inline>
        </w:drawing>
      </w:r>
    </w:p>
    <w:p w14:paraId="62BDAEBB" w14:textId="77777777" w:rsidR="00797FEC" w:rsidRPr="00BC31E0" w:rsidRDefault="00797FEC" w:rsidP="00F03E0A"/>
    <w:p w14:paraId="21E52356" w14:textId="77777777" w:rsidR="00797FEC" w:rsidRPr="00BC31E0" w:rsidRDefault="00FF403C" w:rsidP="00F03E0A">
      <w:r w:rsidRPr="00BC31E0">
        <w:rPr>
          <w:noProof/>
        </w:rPr>
        <w:lastRenderedPageBreak/>
        <w:drawing>
          <wp:inline distT="0" distB="0" distL="0" distR="0" wp14:anchorId="1C2039C4" wp14:editId="1B54CD27">
            <wp:extent cx="5759450" cy="8547474"/>
            <wp:effectExtent l="19050" t="0" r="0" b="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7" cstate="print"/>
                    <a:srcRect/>
                    <a:stretch>
                      <a:fillRect/>
                    </a:stretch>
                  </pic:blipFill>
                  <pic:spPr bwMode="auto">
                    <a:xfrm>
                      <a:off x="0" y="0"/>
                      <a:ext cx="5759450" cy="8547474"/>
                    </a:xfrm>
                    <a:prstGeom prst="rect">
                      <a:avLst/>
                    </a:prstGeom>
                    <a:noFill/>
                    <a:ln w="9525">
                      <a:noFill/>
                      <a:miter lim="800000"/>
                      <a:headEnd/>
                      <a:tailEnd/>
                    </a:ln>
                  </pic:spPr>
                </pic:pic>
              </a:graphicData>
            </a:graphic>
          </wp:inline>
        </w:drawing>
      </w:r>
    </w:p>
    <w:p w14:paraId="6E896731" w14:textId="77777777" w:rsidR="00797FEC" w:rsidRPr="00BC31E0" w:rsidRDefault="0076666A" w:rsidP="00F03E0A">
      <w:r w:rsidRPr="00BC31E0">
        <w:rPr>
          <w:noProof/>
        </w:rPr>
        <w:lastRenderedPageBreak/>
        <w:drawing>
          <wp:inline distT="0" distB="0" distL="0" distR="0" wp14:anchorId="1F4F0672" wp14:editId="35B6FC83">
            <wp:extent cx="5759450" cy="8269465"/>
            <wp:effectExtent l="19050" t="0" r="0"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8" cstate="print"/>
                    <a:srcRect/>
                    <a:stretch>
                      <a:fillRect/>
                    </a:stretch>
                  </pic:blipFill>
                  <pic:spPr bwMode="auto">
                    <a:xfrm>
                      <a:off x="0" y="0"/>
                      <a:ext cx="5759450" cy="8269465"/>
                    </a:xfrm>
                    <a:prstGeom prst="rect">
                      <a:avLst/>
                    </a:prstGeom>
                    <a:noFill/>
                    <a:ln w="9525">
                      <a:noFill/>
                      <a:miter lim="800000"/>
                      <a:headEnd/>
                      <a:tailEnd/>
                    </a:ln>
                  </pic:spPr>
                </pic:pic>
              </a:graphicData>
            </a:graphic>
          </wp:inline>
        </w:drawing>
      </w:r>
    </w:p>
    <w:p w14:paraId="2848B18C" w14:textId="77777777" w:rsidR="00797FEC" w:rsidRPr="00BC31E0" w:rsidRDefault="00797FEC" w:rsidP="00F03E0A"/>
    <w:p w14:paraId="07D00D52" w14:textId="77777777" w:rsidR="00797FEC" w:rsidRPr="00BC31E0" w:rsidRDefault="008049B1" w:rsidP="00F03E0A">
      <w:r w:rsidRPr="00BC31E0">
        <w:rPr>
          <w:noProof/>
        </w:rPr>
        <w:lastRenderedPageBreak/>
        <w:drawing>
          <wp:inline distT="0" distB="0" distL="0" distR="0" wp14:anchorId="4801F0CD" wp14:editId="0D7FBFB1">
            <wp:extent cx="5759450" cy="8349802"/>
            <wp:effectExtent l="19050" t="0" r="0" b="0"/>
            <wp:docPr id="8"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9" cstate="print"/>
                    <a:srcRect/>
                    <a:stretch>
                      <a:fillRect/>
                    </a:stretch>
                  </pic:blipFill>
                  <pic:spPr bwMode="auto">
                    <a:xfrm>
                      <a:off x="0" y="0"/>
                      <a:ext cx="5759450" cy="8349802"/>
                    </a:xfrm>
                    <a:prstGeom prst="rect">
                      <a:avLst/>
                    </a:prstGeom>
                    <a:noFill/>
                    <a:ln w="9525">
                      <a:noFill/>
                      <a:miter lim="800000"/>
                      <a:headEnd/>
                      <a:tailEnd/>
                    </a:ln>
                  </pic:spPr>
                </pic:pic>
              </a:graphicData>
            </a:graphic>
          </wp:inline>
        </w:drawing>
      </w:r>
    </w:p>
    <w:p w14:paraId="539BC4E0" w14:textId="77777777" w:rsidR="00797FEC" w:rsidRPr="00BC31E0" w:rsidRDefault="00797FEC" w:rsidP="00F03E0A"/>
    <w:p w14:paraId="19DCA729" w14:textId="77777777" w:rsidR="00C77B28" w:rsidRPr="00BC31E0" w:rsidRDefault="007538B1" w:rsidP="00F03E0A">
      <w:r w:rsidRPr="00BC31E0">
        <w:rPr>
          <w:noProof/>
        </w:rPr>
        <w:lastRenderedPageBreak/>
        <w:drawing>
          <wp:inline distT="0" distB="0" distL="0" distR="0" wp14:anchorId="78E9AD42" wp14:editId="37A8B384">
            <wp:extent cx="5759450" cy="8467137"/>
            <wp:effectExtent l="19050" t="0" r="0" b="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0" cstate="print"/>
                    <a:srcRect/>
                    <a:stretch>
                      <a:fillRect/>
                    </a:stretch>
                  </pic:blipFill>
                  <pic:spPr bwMode="auto">
                    <a:xfrm>
                      <a:off x="0" y="0"/>
                      <a:ext cx="5759450" cy="8467137"/>
                    </a:xfrm>
                    <a:prstGeom prst="rect">
                      <a:avLst/>
                    </a:prstGeom>
                    <a:noFill/>
                    <a:ln w="9525">
                      <a:noFill/>
                      <a:miter lim="800000"/>
                      <a:headEnd/>
                      <a:tailEnd/>
                    </a:ln>
                  </pic:spPr>
                </pic:pic>
              </a:graphicData>
            </a:graphic>
          </wp:inline>
        </w:drawing>
      </w:r>
    </w:p>
    <w:p w14:paraId="410584F2" w14:textId="77777777" w:rsidR="00C77B28" w:rsidRPr="00BC31E0" w:rsidRDefault="007538B1" w:rsidP="00F03E0A">
      <w:r w:rsidRPr="00BC31E0">
        <w:rPr>
          <w:noProof/>
        </w:rPr>
        <w:lastRenderedPageBreak/>
        <w:drawing>
          <wp:inline distT="0" distB="0" distL="0" distR="0" wp14:anchorId="5DFB9037" wp14:editId="16D86FD7">
            <wp:extent cx="5759450" cy="8357201"/>
            <wp:effectExtent l="19050" t="0" r="0" b="0"/>
            <wp:docPr id="9"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1" cstate="print"/>
                    <a:srcRect/>
                    <a:stretch>
                      <a:fillRect/>
                    </a:stretch>
                  </pic:blipFill>
                  <pic:spPr bwMode="auto">
                    <a:xfrm>
                      <a:off x="0" y="0"/>
                      <a:ext cx="5759450" cy="8357201"/>
                    </a:xfrm>
                    <a:prstGeom prst="rect">
                      <a:avLst/>
                    </a:prstGeom>
                    <a:noFill/>
                    <a:ln w="9525">
                      <a:noFill/>
                      <a:miter lim="800000"/>
                      <a:headEnd/>
                      <a:tailEnd/>
                    </a:ln>
                  </pic:spPr>
                </pic:pic>
              </a:graphicData>
            </a:graphic>
          </wp:inline>
        </w:drawing>
      </w:r>
    </w:p>
    <w:p w14:paraId="0BCA0279" w14:textId="77777777" w:rsidR="00C77B28" w:rsidRPr="00BC31E0" w:rsidRDefault="00C77B28" w:rsidP="00F03E0A"/>
    <w:p w14:paraId="5FCD852A" w14:textId="77777777" w:rsidR="00C77B28" w:rsidRPr="00BC31E0" w:rsidRDefault="007538B1" w:rsidP="00666492">
      <w:r w:rsidRPr="00BC31E0">
        <w:rPr>
          <w:noProof/>
        </w:rPr>
        <w:lastRenderedPageBreak/>
        <w:drawing>
          <wp:inline distT="0" distB="0" distL="0" distR="0" wp14:anchorId="08474720" wp14:editId="31805D0F">
            <wp:extent cx="5759450" cy="3051763"/>
            <wp:effectExtent l="19050" t="0" r="0"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2" cstate="print"/>
                    <a:srcRect/>
                    <a:stretch>
                      <a:fillRect/>
                    </a:stretch>
                  </pic:blipFill>
                  <pic:spPr bwMode="auto">
                    <a:xfrm>
                      <a:off x="0" y="0"/>
                      <a:ext cx="5759450" cy="3051763"/>
                    </a:xfrm>
                    <a:prstGeom prst="rect">
                      <a:avLst/>
                    </a:prstGeom>
                    <a:noFill/>
                    <a:ln w="9525">
                      <a:noFill/>
                      <a:miter lim="800000"/>
                      <a:headEnd/>
                      <a:tailEnd/>
                    </a:ln>
                  </pic:spPr>
                </pic:pic>
              </a:graphicData>
            </a:graphic>
          </wp:inline>
        </w:drawing>
      </w:r>
    </w:p>
    <w:p w14:paraId="6A7A98B6" w14:textId="77777777" w:rsidR="00F16554" w:rsidRPr="00BC31E0" w:rsidRDefault="00F16554" w:rsidP="00F03E0A"/>
    <w:p w14:paraId="7C417301" w14:textId="77777777" w:rsidR="00F03E0A" w:rsidRPr="00BC31E0" w:rsidRDefault="00F03E0A" w:rsidP="00620B6E">
      <w:pPr>
        <w:spacing w:before="60"/>
        <w:jc w:val="left"/>
        <w:rPr>
          <w:rFonts w:ascii="ＭＳ ゴシック" w:eastAsia="ＭＳ ゴシック" w:hAnsi="ＭＳ ゴシック" w:cs="ＭＳ Ｐゴシック"/>
          <w:b/>
          <w:bCs/>
          <w:kern w:val="0"/>
        </w:rPr>
      </w:pPr>
      <w:r w:rsidRPr="00BC31E0">
        <w:rPr>
          <w:rFonts w:ascii="ＭＳ ゴシック" w:eastAsia="ＭＳ ゴシック" w:hAnsi="ＭＳ ゴシック" w:cs="ＭＳ Ｐゴシック" w:hint="eastAsia"/>
          <w:b/>
          <w:bCs/>
          <w:kern w:val="0"/>
        </w:rPr>
        <w:t>注記</w:t>
      </w:r>
      <w:r w:rsidRPr="00BC31E0">
        <w:rPr>
          <w:rFonts w:ascii="ＭＳ ゴシック" w:eastAsia="ＭＳ ゴシック" w:hAnsi="ＭＳ ゴシック" w:cs="ＭＳ Ｐゴシック" w:hint="eastAsia"/>
          <w:kern w:val="0"/>
        </w:rPr>
        <w:t xml:space="preserve">　</w:t>
      </w:r>
      <w:r w:rsidRPr="00BC31E0">
        <w:rPr>
          <w:rFonts w:ascii="ＭＳ ゴシック" w:eastAsia="ＭＳ ゴシック" w:hAnsi="ＭＳ ゴシック" w:cs="ＭＳ Ｐゴシック" w:hint="eastAsia"/>
          <w:b/>
          <w:bCs/>
          <w:kern w:val="0"/>
        </w:rPr>
        <w:t>表5.4.2</w:t>
      </w:r>
      <w:r w:rsidRPr="00BC31E0">
        <w:rPr>
          <w:rFonts w:ascii="ＭＳ Ｐ明朝" w:eastAsia="ＭＳ Ｐ明朝" w:hAnsi="ＭＳ Ｐ明朝" w:cs="ＭＳ Ｐゴシック" w:hint="eastAsia"/>
          <w:kern w:val="0"/>
        </w:rPr>
        <w:t>の</w:t>
      </w:r>
      <w:r w:rsidR="001C6919" w:rsidRPr="00BC31E0">
        <w:rPr>
          <w:rFonts w:ascii="ＭＳ Ｐ明朝" w:eastAsia="ＭＳ Ｐ明朝" w:hAnsi="ＭＳ Ｐ明朝" w:cs="ＭＳ Ｐゴシック" w:hint="eastAsia"/>
          <w:kern w:val="0"/>
        </w:rPr>
        <w:t>後</w:t>
      </w:r>
      <w:r w:rsidRPr="00BC31E0">
        <w:rPr>
          <w:rFonts w:ascii="ＭＳ Ｐ明朝" w:eastAsia="ＭＳ Ｐ明朝" w:hAnsi="ＭＳ Ｐ明朝" w:cs="ＭＳ Ｐゴシック" w:hint="eastAsia"/>
          <w:kern w:val="0"/>
        </w:rPr>
        <w:t>にまとめて示す。</w:t>
      </w:r>
    </w:p>
    <w:p w14:paraId="75E5D4FC" w14:textId="77777777" w:rsidR="00B84981" w:rsidRPr="00BC31E0" w:rsidRDefault="00B84981">
      <w:pPr>
        <w:widowControl/>
        <w:jc w:val="left"/>
        <w:rPr>
          <w:rFonts w:ascii="ＭＳ ゴシック" w:eastAsia="ＭＳ ゴシック" w:hAnsi="ＭＳ ゴシック"/>
          <w:b/>
          <w:szCs w:val="20"/>
        </w:rPr>
      </w:pPr>
    </w:p>
    <w:p w14:paraId="0D28CFD8" w14:textId="77777777" w:rsidR="00666492" w:rsidRPr="00BC31E0" w:rsidRDefault="00666492">
      <w:pPr>
        <w:widowControl/>
        <w:jc w:val="left"/>
        <w:rPr>
          <w:rFonts w:ascii="ＭＳ ゴシック" w:eastAsia="ＭＳ ゴシック" w:hAnsi="ＭＳ ゴシック"/>
          <w:b/>
          <w:szCs w:val="20"/>
        </w:rPr>
      </w:pPr>
      <w:r w:rsidRPr="00BC31E0">
        <w:rPr>
          <w:rFonts w:ascii="ＭＳ ゴシック" w:eastAsia="ＭＳ ゴシック" w:hAnsi="ＭＳ ゴシック"/>
          <w:b/>
          <w:szCs w:val="20"/>
        </w:rPr>
        <w:br w:type="page"/>
      </w:r>
    </w:p>
    <w:p w14:paraId="71BA5487" w14:textId="77777777" w:rsidR="001C6919" w:rsidRPr="00BC31E0" w:rsidRDefault="0028565E">
      <w:pPr>
        <w:widowControl/>
        <w:jc w:val="left"/>
        <w:rPr>
          <w:rFonts w:ascii="ＭＳ ゴシック" w:eastAsia="ＭＳ ゴシック" w:hAnsi="ＭＳ ゴシック"/>
          <w:b/>
          <w:szCs w:val="20"/>
        </w:rPr>
      </w:pPr>
      <w:r w:rsidRPr="00BC31E0">
        <w:rPr>
          <w:rFonts w:hint="eastAsia"/>
          <w:noProof/>
          <w:szCs w:val="20"/>
        </w:rPr>
        <w:lastRenderedPageBreak/>
        <w:drawing>
          <wp:inline distT="0" distB="0" distL="0" distR="0" wp14:anchorId="247ED866" wp14:editId="314093A0">
            <wp:extent cx="5759450" cy="8459737"/>
            <wp:effectExtent l="19050" t="0" r="0" b="0"/>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3" cstate="print"/>
                    <a:srcRect/>
                    <a:stretch>
                      <a:fillRect/>
                    </a:stretch>
                  </pic:blipFill>
                  <pic:spPr bwMode="auto">
                    <a:xfrm>
                      <a:off x="0" y="0"/>
                      <a:ext cx="5759450" cy="8459737"/>
                    </a:xfrm>
                    <a:prstGeom prst="rect">
                      <a:avLst/>
                    </a:prstGeom>
                    <a:noFill/>
                    <a:ln w="9525">
                      <a:noFill/>
                      <a:miter lim="800000"/>
                      <a:headEnd/>
                      <a:tailEnd/>
                    </a:ln>
                  </pic:spPr>
                </pic:pic>
              </a:graphicData>
            </a:graphic>
          </wp:inline>
        </w:drawing>
      </w:r>
    </w:p>
    <w:p w14:paraId="1449AEB0" w14:textId="77777777" w:rsidR="00666492" w:rsidRPr="00BC31E0" w:rsidRDefault="00696E48">
      <w:pPr>
        <w:widowControl/>
        <w:jc w:val="left"/>
        <w:rPr>
          <w:rFonts w:ascii="ＭＳ ゴシック" w:eastAsia="ＭＳ ゴシック" w:hAnsi="ＭＳ ゴシック"/>
          <w:b/>
          <w:szCs w:val="20"/>
        </w:rPr>
      </w:pPr>
      <w:r w:rsidRPr="00BC31E0">
        <w:rPr>
          <w:noProof/>
          <w:szCs w:val="20"/>
        </w:rPr>
        <w:lastRenderedPageBreak/>
        <w:drawing>
          <wp:inline distT="0" distB="0" distL="0" distR="0" wp14:anchorId="156C4169" wp14:editId="75161C47">
            <wp:extent cx="5759450" cy="6066529"/>
            <wp:effectExtent l="19050" t="0" r="0" b="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4" cstate="print"/>
                    <a:srcRect/>
                    <a:stretch>
                      <a:fillRect/>
                    </a:stretch>
                  </pic:blipFill>
                  <pic:spPr bwMode="auto">
                    <a:xfrm>
                      <a:off x="0" y="0"/>
                      <a:ext cx="5759450" cy="6066529"/>
                    </a:xfrm>
                    <a:prstGeom prst="rect">
                      <a:avLst/>
                    </a:prstGeom>
                    <a:noFill/>
                    <a:ln w="9525">
                      <a:noFill/>
                      <a:miter lim="800000"/>
                      <a:headEnd/>
                      <a:tailEnd/>
                    </a:ln>
                  </pic:spPr>
                </pic:pic>
              </a:graphicData>
            </a:graphic>
          </wp:inline>
        </w:drawing>
      </w:r>
    </w:p>
    <w:p w14:paraId="69BF624A" w14:textId="77777777" w:rsidR="00666492" w:rsidRPr="00BC31E0" w:rsidRDefault="00666492">
      <w:pPr>
        <w:widowControl/>
        <w:jc w:val="left"/>
        <w:rPr>
          <w:rFonts w:ascii="ＭＳ ゴシック" w:eastAsia="ＭＳ ゴシック" w:hAnsi="ＭＳ ゴシック"/>
          <w:b/>
          <w:szCs w:val="20"/>
        </w:rPr>
      </w:pPr>
    </w:p>
    <w:p w14:paraId="6E2A8E3E" w14:textId="77777777" w:rsidR="007F1F84" w:rsidRPr="00BC31E0" w:rsidRDefault="007F1F84">
      <w:pPr>
        <w:widowControl/>
        <w:jc w:val="left"/>
        <w:rPr>
          <w:rFonts w:ascii="ＭＳ ゴシック" w:eastAsia="ＭＳ ゴシック" w:hAnsi="ＭＳ ゴシック"/>
          <w:b/>
          <w:szCs w:val="20"/>
        </w:rPr>
      </w:pPr>
      <w:r w:rsidRPr="00BC31E0">
        <w:rPr>
          <w:rFonts w:ascii="ＭＳ ゴシック" w:eastAsia="ＭＳ ゴシック" w:hAnsi="ＭＳ ゴシック"/>
          <w:b/>
          <w:szCs w:val="20"/>
        </w:rPr>
        <w:br w:type="page"/>
      </w:r>
    </w:p>
    <w:p w14:paraId="719FC6CC" w14:textId="77777777" w:rsidR="00666492" w:rsidRPr="00BC31E0" w:rsidRDefault="007F1F84">
      <w:pPr>
        <w:widowControl/>
        <w:jc w:val="left"/>
        <w:rPr>
          <w:rFonts w:ascii="ＭＳ ゴシック" w:eastAsia="ＭＳ ゴシック" w:hAnsi="ＭＳ ゴシック"/>
          <w:b/>
          <w:szCs w:val="20"/>
        </w:rPr>
      </w:pPr>
      <w:r w:rsidRPr="00BC31E0">
        <w:rPr>
          <w:noProof/>
          <w:szCs w:val="20"/>
        </w:rPr>
        <w:lastRenderedPageBreak/>
        <w:drawing>
          <wp:inline distT="0" distB="0" distL="0" distR="0" wp14:anchorId="6C47C667" wp14:editId="18934BF1">
            <wp:extent cx="5759450" cy="8518405"/>
            <wp:effectExtent l="19050" t="0" r="0" b="0"/>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5" cstate="print"/>
                    <a:srcRect/>
                    <a:stretch>
                      <a:fillRect/>
                    </a:stretch>
                  </pic:blipFill>
                  <pic:spPr bwMode="auto">
                    <a:xfrm>
                      <a:off x="0" y="0"/>
                      <a:ext cx="5759450" cy="8518405"/>
                    </a:xfrm>
                    <a:prstGeom prst="rect">
                      <a:avLst/>
                    </a:prstGeom>
                    <a:noFill/>
                    <a:ln w="9525">
                      <a:noFill/>
                      <a:miter lim="800000"/>
                      <a:headEnd/>
                      <a:tailEnd/>
                    </a:ln>
                  </pic:spPr>
                </pic:pic>
              </a:graphicData>
            </a:graphic>
          </wp:inline>
        </w:drawing>
      </w:r>
    </w:p>
    <w:p w14:paraId="199A7E11" w14:textId="77777777" w:rsidR="001C6919" w:rsidRPr="00BC31E0" w:rsidRDefault="00BA25DA">
      <w:pPr>
        <w:widowControl/>
        <w:jc w:val="left"/>
        <w:rPr>
          <w:rFonts w:ascii="ＭＳ ゴシック" w:eastAsia="ＭＳ ゴシック" w:hAnsi="ＭＳ ゴシック"/>
          <w:b/>
          <w:szCs w:val="20"/>
        </w:rPr>
      </w:pPr>
      <w:r w:rsidRPr="00BC31E0">
        <w:rPr>
          <w:noProof/>
          <w:szCs w:val="20"/>
        </w:rPr>
        <w:lastRenderedPageBreak/>
        <w:drawing>
          <wp:inline distT="0" distB="0" distL="0" distR="0" wp14:anchorId="65D50D07" wp14:editId="3961B363">
            <wp:extent cx="5759450" cy="8591343"/>
            <wp:effectExtent l="19050" t="0" r="0" b="0"/>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6" cstate="print"/>
                    <a:srcRect/>
                    <a:stretch>
                      <a:fillRect/>
                    </a:stretch>
                  </pic:blipFill>
                  <pic:spPr bwMode="auto">
                    <a:xfrm>
                      <a:off x="0" y="0"/>
                      <a:ext cx="5759450" cy="8591343"/>
                    </a:xfrm>
                    <a:prstGeom prst="rect">
                      <a:avLst/>
                    </a:prstGeom>
                    <a:noFill/>
                    <a:ln w="9525">
                      <a:noFill/>
                      <a:miter lim="800000"/>
                      <a:headEnd/>
                      <a:tailEnd/>
                    </a:ln>
                  </pic:spPr>
                </pic:pic>
              </a:graphicData>
            </a:graphic>
          </wp:inline>
        </w:drawing>
      </w:r>
    </w:p>
    <w:p w14:paraId="56E312B0" w14:textId="77777777" w:rsidR="001C6919" w:rsidRPr="00BC31E0" w:rsidRDefault="00FD7902">
      <w:pPr>
        <w:widowControl/>
        <w:jc w:val="left"/>
        <w:rPr>
          <w:rFonts w:ascii="ＭＳ ゴシック" w:eastAsia="ＭＳ ゴシック" w:hAnsi="ＭＳ ゴシック"/>
          <w:b/>
          <w:szCs w:val="20"/>
        </w:rPr>
      </w:pPr>
      <w:r w:rsidRPr="00BC31E0">
        <w:rPr>
          <w:noProof/>
          <w:szCs w:val="20"/>
        </w:rPr>
        <w:lastRenderedPageBreak/>
        <w:drawing>
          <wp:inline distT="0" distB="0" distL="0" distR="0" wp14:anchorId="742BC1BE" wp14:editId="4DB47BA0">
            <wp:extent cx="5759450" cy="3717718"/>
            <wp:effectExtent l="19050" t="0" r="0" b="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7" cstate="print"/>
                    <a:srcRect/>
                    <a:stretch>
                      <a:fillRect/>
                    </a:stretch>
                  </pic:blipFill>
                  <pic:spPr bwMode="auto">
                    <a:xfrm>
                      <a:off x="0" y="0"/>
                      <a:ext cx="5759450" cy="3717718"/>
                    </a:xfrm>
                    <a:prstGeom prst="rect">
                      <a:avLst/>
                    </a:prstGeom>
                    <a:noFill/>
                    <a:ln w="9525">
                      <a:noFill/>
                      <a:miter lim="800000"/>
                      <a:headEnd/>
                      <a:tailEnd/>
                    </a:ln>
                  </pic:spPr>
                </pic:pic>
              </a:graphicData>
            </a:graphic>
          </wp:inline>
        </w:drawing>
      </w:r>
    </w:p>
    <w:p w14:paraId="6050D2D6" w14:textId="77777777" w:rsidR="00F03E0A" w:rsidRPr="00BC31E0" w:rsidRDefault="00F03E0A" w:rsidP="00F92F12">
      <w:pPr>
        <w:spacing w:before="120"/>
        <w:rPr>
          <w:rFonts w:ascii="ＭＳ 明朝"/>
          <w:szCs w:val="20"/>
        </w:rPr>
      </w:pPr>
      <w:r w:rsidRPr="00BC31E0">
        <w:rPr>
          <w:rFonts w:ascii="ＭＳ ゴシック" w:eastAsia="ＭＳ ゴシック" w:hAnsi="ＭＳ ゴシック" w:hint="eastAsia"/>
          <w:b/>
          <w:szCs w:val="20"/>
        </w:rPr>
        <w:t>表5.4.1及び表5.4.2の注記</w:t>
      </w:r>
    </w:p>
    <w:p w14:paraId="17B540F9" w14:textId="77777777" w:rsidR="00F03E0A" w:rsidRPr="00BC31E0" w:rsidRDefault="00F03E0A" w:rsidP="00736130">
      <w:pPr>
        <w:numPr>
          <w:ilvl w:val="0"/>
          <w:numId w:val="82"/>
        </w:numPr>
        <w:ind w:left="340" w:hanging="340"/>
        <w:rPr>
          <w:rFonts w:asciiTheme="minorHAnsi" w:eastAsiaTheme="minorEastAsia" w:hAnsiTheme="minorHAnsi"/>
          <w:szCs w:val="20"/>
        </w:rPr>
      </w:pPr>
      <w:r w:rsidRPr="00BC31E0">
        <w:rPr>
          <w:rFonts w:asciiTheme="minorHAnsi" w:eastAsiaTheme="minorEastAsia" w:hAnsiTheme="minorEastAsia"/>
          <w:szCs w:val="20"/>
        </w:rPr>
        <w:t>降伏点又は</w:t>
      </w:r>
      <w:r w:rsidRPr="00BC31E0">
        <w:rPr>
          <w:rFonts w:asciiTheme="minorHAnsi" w:eastAsiaTheme="minorEastAsia" w:hAnsiTheme="minorHAnsi"/>
          <w:szCs w:val="20"/>
        </w:rPr>
        <w:t>0.2%</w:t>
      </w:r>
      <w:r w:rsidRPr="00BC31E0">
        <w:rPr>
          <w:rFonts w:asciiTheme="minorHAnsi" w:eastAsiaTheme="minorEastAsia" w:hAnsiTheme="minorEastAsia"/>
          <w:szCs w:val="20"/>
        </w:rPr>
        <w:t>耐力の値は，この規格で要求される設計計算に用いる値である。高温の降伏点又は</w:t>
      </w:r>
      <w:r w:rsidRPr="00BC31E0">
        <w:rPr>
          <w:rFonts w:asciiTheme="minorHAnsi" w:eastAsiaTheme="minorEastAsia" w:hAnsiTheme="minorHAnsi"/>
          <w:szCs w:val="20"/>
        </w:rPr>
        <w:t>0.2%</w:t>
      </w:r>
      <w:r w:rsidRPr="00BC31E0">
        <w:rPr>
          <w:rFonts w:asciiTheme="minorHAnsi" w:eastAsiaTheme="minorEastAsia" w:hAnsiTheme="minorEastAsia"/>
          <w:szCs w:val="20"/>
        </w:rPr>
        <w:t>耐力の値は，室温の降伏点又は</w:t>
      </w:r>
      <w:r w:rsidRPr="00BC31E0">
        <w:rPr>
          <w:rFonts w:asciiTheme="minorHAnsi" w:eastAsiaTheme="minorEastAsia" w:hAnsiTheme="minorHAnsi"/>
          <w:szCs w:val="20"/>
        </w:rPr>
        <w:t>0.2%</w:t>
      </w:r>
      <w:r w:rsidRPr="00BC31E0">
        <w:rPr>
          <w:rFonts w:asciiTheme="minorHAnsi" w:eastAsiaTheme="minorEastAsia" w:hAnsiTheme="minorEastAsia"/>
          <w:szCs w:val="20"/>
        </w:rPr>
        <w:t>耐力に合わせた強度低下曲線による。データの統計処理による平均値又は最小値に対し，高温の降伏点又は</w:t>
      </w:r>
      <w:r w:rsidRPr="00BC31E0">
        <w:rPr>
          <w:rFonts w:asciiTheme="minorHAnsi" w:eastAsiaTheme="minorEastAsia" w:hAnsiTheme="minorHAnsi"/>
          <w:szCs w:val="20"/>
        </w:rPr>
        <w:t>0.2%</w:t>
      </w:r>
      <w:r w:rsidRPr="00BC31E0">
        <w:rPr>
          <w:rFonts w:asciiTheme="minorHAnsi" w:eastAsiaTheme="minorEastAsia" w:hAnsiTheme="minorEastAsia"/>
          <w:szCs w:val="20"/>
        </w:rPr>
        <w:t>耐力の値は必ずしも一致</w:t>
      </w:r>
      <w:r w:rsidR="009E7926" w:rsidRPr="00BC31E0">
        <w:rPr>
          <w:rFonts w:asciiTheme="minorHAnsi" w:eastAsiaTheme="minorEastAsia" w:hAnsiTheme="minorEastAsia" w:hint="eastAsia"/>
          <w:szCs w:val="20"/>
        </w:rPr>
        <w:t>しない</w:t>
      </w:r>
      <w:r w:rsidRPr="00BC31E0">
        <w:rPr>
          <w:rFonts w:asciiTheme="minorHAnsi" w:eastAsiaTheme="minorEastAsia" w:hAnsiTheme="minorEastAsia"/>
          <w:szCs w:val="20"/>
        </w:rPr>
        <w:t>。高温の降伏点又は</w:t>
      </w:r>
      <w:r w:rsidRPr="00BC31E0">
        <w:rPr>
          <w:rFonts w:asciiTheme="minorHAnsi" w:eastAsiaTheme="minorEastAsia" w:hAnsiTheme="minorHAnsi"/>
          <w:szCs w:val="20"/>
        </w:rPr>
        <w:t>0.2%</w:t>
      </w:r>
      <w:r w:rsidRPr="00BC31E0">
        <w:rPr>
          <w:rFonts w:asciiTheme="minorHAnsi" w:eastAsiaTheme="minorEastAsia" w:hAnsiTheme="minorEastAsia"/>
          <w:szCs w:val="20"/>
        </w:rPr>
        <w:t>耐力の測定試験は必要ない。高温の降伏点又は</w:t>
      </w:r>
      <w:r w:rsidRPr="00BC31E0">
        <w:rPr>
          <w:rFonts w:asciiTheme="minorHAnsi" w:eastAsiaTheme="minorEastAsia" w:hAnsiTheme="minorHAnsi"/>
          <w:szCs w:val="20"/>
        </w:rPr>
        <w:t>0.2%</w:t>
      </w:r>
      <w:r w:rsidRPr="00BC31E0">
        <w:rPr>
          <w:rFonts w:asciiTheme="minorHAnsi" w:eastAsiaTheme="minorEastAsia" w:hAnsiTheme="minorEastAsia"/>
          <w:szCs w:val="20"/>
        </w:rPr>
        <w:t>耐力の測定試験を行った場合でも，測定結果と同表による値を比較して，材料の合否判定を行う訳ではない。引張強さの値も，降伏点又は</w:t>
      </w:r>
      <w:r w:rsidRPr="00BC31E0">
        <w:rPr>
          <w:rFonts w:asciiTheme="minorHAnsi" w:eastAsiaTheme="minorEastAsia" w:hAnsiTheme="minorHAnsi"/>
          <w:szCs w:val="20"/>
        </w:rPr>
        <w:t>0.2%</w:t>
      </w:r>
      <w:r w:rsidRPr="00BC31E0">
        <w:rPr>
          <w:rFonts w:asciiTheme="minorHAnsi" w:eastAsiaTheme="minorEastAsia" w:hAnsiTheme="minorEastAsia"/>
          <w:szCs w:val="20"/>
        </w:rPr>
        <w:t>耐力と同様である。</w:t>
      </w:r>
    </w:p>
    <w:p w14:paraId="1F8A5325" w14:textId="77777777" w:rsidR="00F03E0A" w:rsidRPr="00BC31E0" w:rsidRDefault="00F03E0A" w:rsidP="00736130">
      <w:pPr>
        <w:numPr>
          <w:ilvl w:val="0"/>
          <w:numId w:val="82"/>
        </w:numPr>
        <w:ind w:left="340" w:hanging="340"/>
        <w:rPr>
          <w:rFonts w:ascii="ＭＳ 明朝"/>
          <w:szCs w:val="20"/>
        </w:rPr>
      </w:pPr>
      <w:r w:rsidRPr="00BC31E0">
        <w:rPr>
          <w:szCs w:val="20"/>
        </w:rPr>
        <w:t>SA-905 Cl.1</w:t>
      </w:r>
      <w:r w:rsidRPr="00BC31E0">
        <w:rPr>
          <w:rFonts w:hint="eastAsia"/>
          <w:szCs w:val="20"/>
        </w:rPr>
        <w:t>，</w:t>
      </w:r>
      <w:r w:rsidRPr="00BC31E0">
        <w:rPr>
          <w:szCs w:val="20"/>
        </w:rPr>
        <w:t>Cl.2</w:t>
      </w:r>
      <w:r w:rsidRPr="00BC31E0">
        <w:rPr>
          <w:rFonts w:ascii="ＭＳ 明朝" w:hint="eastAsia"/>
          <w:szCs w:val="20"/>
        </w:rPr>
        <w:t>は，</w:t>
      </w:r>
      <w:r w:rsidRPr="00BC31E0">
        <w:rPr>
          <w:rFonts w:ascii="ＭＳ ゴシック" w:eastAsia="ＭＳ ゴシック" w:hAnsi="ＭＳ ゴシック" w:hint="eastAsia"/>
          <w:b/>
          <w:szCs w:val="20"/>
        </w:rPr>
        <w:t>6.9</w:t>
      </w:r>
      <w:r w:rsidRPr="00BC31E0">
        <w:rPr>
          <w:rFonts w:ascii="ＭＳ 明朝" w:hint="eastAsia"/>
          <w:szCs w:val="20"/>
        </w:rPr>
        <w:t>で述べられる線巻容器及び線巻フレームに使用されるワイヤ形状に限って認められる。</w:t>
      </w:r>
    </w:p>
    <w:p w14:paraId="18A47F3F" w14:textId="77777777" w:rsidR="00F03E0A" w:rsidRPr="00BC31E0" w:rsidRDefault="00F03E0A" w:rsidP="00736130">
      <w:pPr>
        <w:numPr>
          <w:ilvl w:val="0"/>
          <w:numId w:val="82"/>
        </w:numPr>
        <w:ind w:left="340" w:hanging="340"/>
        <w:rPr>
          <w:rFonts w:ascii="ＭＳ 明朝"/>
          <w:szCs w:val="20"/>
        </w:rPr>
      </w:pPr>
      <w:r w:rsidRPr="00BC31E0">
        <w:rPr>
          <w:szCs w:val="20"/>
        </w:rPr>
        <w:t>SA-905 Cl.1</w:t>
      </w:r>
      <w:r w:rsidRPr="00BC31E0">
        <w:rPr>
          <w:rFonts w:hint="eastAsia"/>
          <w:szCs w:val="20"/>
        </w:rPr>
        <w:t>，</w:t>
      </w:r>
      <w:r w:rsidRPr="00BC31E0">
        <w:rPr>
          <w:szCs w:val="20"/>
        </w:rPr>
        <w:t>Cl.2</w:t>
      </w:r>
      <w:r w:rsidRPr="00BC31E0">
        <w:rPr>
          <w:rFonts w:ascii="ＭＳ 明朝" w:hint="eastAsia"/>
          <w:szCs w:val="20"/>
        </w:rPr>
        <w:t>の中間厚さにおける材料強度は，同表から補間してもよい。</w:t>
      </w:r>
    </w:p>
    <w:p w14:paraId="79B24E54" w14:textId="77777777" w:rsidR="00F03E0A" w:rsidRPr="00BC31E0" w:rsidRDefault="00F03E0A" w:rsidP="00736130">
      <w:pPr>
        <w:numPr>
          <w:ilvl w:val="0"/>
          <w:numId w:val="82"/>
        </w:numPr>
        <w:ind w:left="340" w:hanging="340"/>
        <w:rPr>
          <w:rFonts w:ascii="ＭＳ 明朝"/>
          <w:szCs w:val="20"/>
        </w:rPr>
      </w:pPr>
      <w:r w:rsidRPr="00BC31E0">
        <w:rPr>
          <w:szCs w:val="20"/>
        </w:rPr>
        <w:t>SA-517</w:t>
      </w:r>
      <w:r w:rsidR="00C648A4" w:rsidRPr="00BC31E0">
        <w:rPr>
          <w:rFonts w:hint="eastAsia"/>
          <w:szCs w:val="20"/>
        </w:rPr>
        <w:t>M</w:t>
      </w:r>
      <w:r w:rsidRPr="00BC31E0">
        <w:rPr>
          <w:szCs w:val="20"/>
        </w:rPr>
        <w:t xml:space="preserve"> Gr.</w:t>
      </w:r>
      <w:r w:rsidRPr="00BC31E0">
        <w:rPr>
          <w:rFonts w:hint="eastAsia"/>
          <w:szCs w:val="20"/>
        </w:rPr>
        <w:t xml:space="preserve"> </w:t>
      </w:r>
      <w:r w:rsidRPr="00BC31E0">
        <w:rPr>
          <w:szCs w:val="20"/>
        </w:rPr>
        <w:t>A</w:t>
      </w:r>
      <w:r w:rsidRPr="00BC31E0">
        <w:rPr>
          <w:rFonts w:hint="eastAsia"/>
          <w:szCs w:val="20"/>
        </w:rPr>
        <w:t>，</w:t>
      </w:r>
      <w:r w:rsidRPr="00BC31E0">
        <w:rPr>
          <w:szCs w:val="20"/>
        </w:rPr>
        <w:t>B</w:t>
      </w:r>
      <w:r w:rsidRPr="00BC31E0">
        <w:rPr>
          <w:rFonts w:hint="eastAsia"/>
          <w:szCs w:val="20"/>
        </w:rPr>
        <w:t>の</w:t>
      </w:r>
      <w:r w:rsidRPr="00BC31E0">
        <w:rPr>
          <w:rFonts w:ascii="ＭＳ 明朝" w:hint="eastAsia"/>
          <w:szCs w:val="20"/>
        </w:rPr>
        <w:t>最大公称板厚は，</w:t>
      </w:r>
      <w:r w:rsidRPr="00BC31E0">
        <w:rPr>
          <w:rFonts w:asciiTheme="minorHAnsi" w:hAnsiTheme="minorHAnsi"/>
          <w:szCs w:val="20"/>
        </w:rPr>
        <w:t>32 mm</w:t>
      </w:r>
      <w:r w:rsidRPr="00BC31E0">
        <w:rPr>
          <w:rFonts w:ascii="ＭＳ 明朝" w:hint="eastAsia"/>
          <w:szCs w:val="20"/>
        </w:rPr>
        <w:t>以下とする。</w:t>
      </w:r>
    </w:p>
    <w:p w14:paraId="4873E06E" w14:textId="77777777" w:rsidR="00F03E0A" w:rsidRPr="00BC31E0" w:rsidRDefault="00F03E0A" w:rsidP="00736130">
      <w:pPr>
        <w:numPr>
          <w:ilvl w:val="0"/>
          <w:numId w:val="82"/>
        </w:numPr>
        <w:ind w:left="340" w:hanging="340"/>
        <w:rPr>
          <w:rFonts w:ascii="ＭＳ 明朝"/>
          <w:szCs w:val="20"/>
        </w:rPr>
      </w:pPr>
      <w:r w:rsidRPr="00BC31E0">
        <w:rPr>
          <w:szCs w:val="20"/>
        </w:rPr>
        <w:t>SA-320</w:t>
      </w:r>
      <w:r w:rsidR="00C648A4" w:rsidRPr="00BC31E0">
        <w:rPr>
          <w:rFonts w:hint="eastAsia"/>
          <w:szCs w:val="20"/>
        </w:rPr>
        <w:t>M</w:t>
      </w:r>
      <w:r w:rsidRPr="00BC31E0">
        <w:rPr>
          <w:szCs w:val="20"/>
        </w:rPr>
        <w:t xml:space="preserve"> Gr.L7</w:t>
      </w:r>
      <w:r w:rsidRPr="00BC31E0">
        <w:rPr>
          <w:rFonts w:hint="eastAsia"/>
          <w:szCs w:val="20"/>
        </w:rPr>
        <w:t>，</w:t>
      </w:r>
      <w:r w:rsidRPr="00BC31E0">
        <w:rPr>
          <w:szCs w:val="20"/>
        </w:rPr>
        <w:t>L7M</w:t>
      </w:r>
      <w:r w:rsidRPr="00BC31E0">
        <w:rPr>
          <w:rFonts w:ascii="ＭＳ 明朝" w:hint="eastAsia"/>
          <w:szCs w:val="20"/>
        </w:rPr>
        <w:t>の焼戻温度は，</w:t>
      </w:r>
      <w:r w:rsidRPr="00BC31E0">
        <w:rPr>
          <w:rFonts w:asciiTheme="minorHAnsi" w:hAnsiTheme="minorHAnsi"/>
          <w:szCs w:val="20"/>
        </w:rPr>
        <w:t>425</w:t>
      </w:r>
      <w:r w:rsidRPr="00BC31E0">
        <w:rPr>
          <w:rFonts w:asciiTheme="minorEastAsia" w:eastAsiaTheme="minorEastAsia" w:hAnsiTheme="minorEastAsia"/>
          <w:szCs w:val="20"/>
        </w:rPr>
        <w:t>℃</w:t>
      </w:r>
      <w:r w:rsidRPr="00BC31E0">
        <w:rPr>
          <w:rFonts w:asciiTheme="minorHAnsi" w:hAnsiTheme="minorHAnsi"/>
          <w:szCs w:val="20"/>
        </w:rPr>
        <w:t>以</w:t>
      </w:r>
      <w:r w:rsidRPr="00BC31E0">
        <w:rPr>
          <w:rFonts w:ascii="ＭＳ 明朝" w:hint="eastAsia"/>
          <w:szCs w:val="20"/>
        </w:rPr>
        <w:t>上とする。</w:t>
      </w:r>
    </w:p>
    <w:p w14:paraId="2075B5CD" w14:textId="77777777" w:rsidR="00F03E0A" w:rsidRPr="00BC31E0" w:rsidRDefault="00F03E0A" w:rsidP="00736130">
      <w:pPr>
        <w:numPr>
          <w:ilvl w:val="0"/>
          <w:numId w:val="82"/>
        </w:numPr>
        <w:ind w:left="340" w:hanging="340"/>
        <w:rPr>
          <w:rFonts w:asciiTheme="minorHAnsi" w:eastAsiaTheme="minorEastAsia" w:hAnsiTheme="minorHAnsi"/>
          <w:szCs w:val="20"/>
        </w:rPr>
      </w:pPr>
      <w:r w:rsidRPr="00BC31E0">
        <w:rPr>
          <w:rFonts w:asciiTheme="minorHAnsi" w:eastAsiaTheme="minorEastAsia" w:hAnsiTheme="minorHAnsi"/>
        </w:rPr>
        <w:t>SA-564</w:t>
      </w:r>
      <w:r w:rsidR="00C648A4" w:rsidRPr="00BC31E0">
        <w:rPr>
          <w:rFonts w:asciiTheme="minorHAnsi" w:eastAsiaTheme="minorEastAsia" w:hAnsiTheme="minorHAnsi" w:hint="eastAsia"/>
        </w:rPr>
        <w:t>M</w:t>
      </w:r>
      <w:r w:rsidR="00A72D27" w:rsidRPr="00BC31E0">
        <w:rPr>
          <w:rFonts w:asciiTheme="minorHAnsi" w:eastAsiaTheme="minorEastAsia" w:hAnsiTheme="minorHAnsi" w:hint="eastAsia"/>
        </w:rPr>
        <w:t>，</w:t>
      </w:r>
      <w:r w:rsidRPr="00BC31E0">
        <w:rPr>
          <w:rFonts w:asciiTheme="minorHAnsi" w:eastAsiaTheme="minorEastAsia" w:hAnsiTheme="minorHAnsi"/>
        </w:rPr>
        <w:t>SA-705</w:t>
      </w:r>
      <w:r w:rsidR="00C648A4" w:rsidRPr="00BC31E0">
        <w:rPr>
          <w:rFonts w:asciiTheme="minorHAnsi" w:eastAsiaTheme="minorEastAsia" w:hAnsiTheme="minorHAnsi" w:hint="eastAsia"/>
        </w:rPr>
        <w:t>M</w:t>
      </w:r>
      <w:r w:rsidRPr="00BC31E0">
        <w:rPr>
          <w:rFonts w:asciiTheme="minorHAnsi" w:eastAsiaTheme="minorEastAsia" w:hAnsiTheme="minorHAnsi"/>
        </w:rPr>
        <w:t xml:space="preserve"> </w:t>
      </w:r>
      <w:r w:rsidR="00C648A4" w:rsidRPr="00BC31E0">
        <w:rPr>
          <w:rFonts w:asciiTheme="minorHAnsi" w:eastAsiaTheme="minorEastAsia" w:hAnsiTheme="minorHAnsi" w:hint="eastAsia"/>
        </w:rPr>
        <w:t>Type</w:t>
      </w:r>
      <w:r w:rsidRPr="00BC31E0">
        <w:rPr>
          <w:rFonts w:asciiTheme="minorHAnsi" w:eastAsiaTheme="minorEastAsia" w:hAnsiTheme="minorHAnsi"/>
        </w:rPr>
        <w:t xml:space="preserve"> XM-12</w:t>
      </w:r>
      <w:r w:rsidR="009F5263" w:rsidRPr="00BC31E0">
        <w:rPr>
          <w:rFonts w:asciiTheme="minorHAnsi" w:eastAsiaTheme="minorEastAsia" w:hAnsiTheme="minorHAnsi" w:hint="eastAsia"/>
        </w:rPr>
        <w:t>，</w:t>
      </w:r>
      <w:r w:rsidRPr="00BC31E0">
        <w:rPr>
          <w:rFonts w:asciiTheme="minorHAnsi" w:eastAsiaTheme="minorEastAsia" w:hAnsiTheme="minorHAnsi"/>
        </w:rPr>
        <w:t>XM-25</w:t>
      </w:r>
      <w:r w:rsidR="009F5263" w:rsidRPr="00BC31E0">
        <w:rPr>
          <w:rFonts w:asciiTheme="minorHAnsi" w:eastAsiaTheme="minorEastAsia" w:hAnsiTheme="minorHAnsi" w:hint="eastAsia"/>
        </w:rPr>
        <w:t>，</w:t>
      </w:r>
      <w:r w:rsidRPr="00BC31E0">
        <w:rPr>
          <w:rFonts w:asciiTheme="minorHAnsi" w:eastAsiaTheme="minorEastAsia" w:hAnsiTheme="minorHAnsi"/>
        </w:rPr>
        <w:t xml:space="preserve">630 </w:t>
      </w:r>
      <w:r w:rsidR="00C648A4" w:rsidRPr="00BC31E0">
        <w:rPr>
          <w:rFonts w:asciiTheme="minorHAnsi" w:eastAsiaTheme="minorEastAsia" w:hAnsiTheme="minorHAnsi" w:hint="eastAsia"/>
        </w:rPr>
        <w:t>Cond.</w:t>
      </w:r>
      <w:r w:rsidRPr="00BC31E0">
        <w:rPr>
          <w:rFonts w:asciiTheme="minorHAnsi" w:eastAsiaTheme="minorEastAsia" w:hAnsiTheme="minorHAnsi"/>
        </w:rPr>
        <w:t>H1025</w:t>
      </w:r>
      <w:r w:rsidR="009F5263" w:rsidRPr="00BC31E0">
        <w:rPr>
          <w:rFonts w:asciiTheme="minorHAnsi" w:eastAsiaTheme="minorEastAsia" w:hAnsiTheme="minorHAnsi" w:hint="eastAsia"/>
        </w:rPr>
        <w:t>，</w:t>
      </w:r>
      <w:r w:rsidRPr="00BC31E0">
        <w:rPr>
          <w:rFonts w:asciiTheme="minorHAnsi" w:eastAsiaTheme="minorEastAsia" w:hAnsiTheme="minorHAnsi"/>
        </w:rPr>
        <w:t>SA-517</w:t>
      </w:r>
      <w:r w:rsidR="00C648A4" w:rsidRPr="00BC31E0">
        <w:rPr>
          <w:rFonts w:asciiTheme="minorHAnsi" w:eastAsiaTheme="minorEastAsia" w:hAnsiTheme="minorHAnsi" w:hint="eastAsia"/>
        </w:rPr>
        <w:t>M</w:t>
      </w:r>
      <w:r w:rsidRPr="00BC31E0">
        <w:rPr>
          <w:rFonts w:asciiTheme="minorHAnsi" w:eastAsiaTheme="minorEastAsia" w:hAnsiTheme="minorHAnsi"/>
        </w:rPr>
        <w:t xml:space="preserve"> Gr.E</w:t>
      </w:r>
      <w:r w:rsidRPr="00BC31E0">
        <w:rPr>
          <w:rFonts w:asciiTheme="minorHAnsi" w:eastAsiaTheme="minorEastAsia" w:hAnsiTheme="minorEastAsia"/>
        </w:rPr>
        <w:t>の最大公称板厚は</w:t>
      </w:r>
      <w:r w:rsidRPr="00BC31E0">
        <w:rPr>
          <w:rFonts w:asciiTheme="minorHAnsi" w:eastAsiaTheme="minorEastAsia" w:hAnsiTheme="minorHAnsi"/>
        </w:rPr>
        <w:t>150mm</w:t>
      </w:r>
      <w:r w:rsidRPr="00BC31E0">
        <w:rPr>
          <w:rFonts w:asciiTheme="minorHAnsi" w:eastAsiaTheme="minorEastAsia" w:hAnsiTheme="minorEastAsia"/>
        </w:rPr>
        <w:t>以下，</w:t>
      </w:r>
      <w:r w:rsidRPr="00BC31E0">
        <w:rPr>
          <w:rFonts w:asciiTheme="minorHAnsi" w:eastAsiaTheme="minorEastAsia" w:hAnsiTheme="minorHAnsi"/>
        </w:rPr>
        <w:t>Gr.P</w:t>
      </w:r>
      <w:r w:rsidRPr="00BC31E0">
        <w:rPr>
          <w:rFonts w:asciiTheme="minorHAnsi" w:eastAsiaTheme="minorEastAsia" w:hAnsiTheme="minorEastAsia"/>
        </w:rPr>
        <w:t>の最大公称板厚は</w:t>
      </w:r>
      <w:r w:rsidRPr="00BC31E0">
        <w:rPr>
          <w:rFonts w:asciiTheme="minorHAnsi" w:eastAsiaTheme="minorEastAsia" w:hAnsiTheme="minorHAnsi"/>
        </w:rPr>
        <w:t>100mm</w:t>
      </w:r>
      <w:r w:rsidRPr="00BC31E0">
        <w:rPr>
          <w:rFonts w:asciiTheme="minorHAnsi" w:eastAsiaTheme="minorEastAsia" w:hAnsiTheme="minorEastAsia"/>
        </w:rPr>
        <w:t>以下</w:t>
      </w:r>
      <w:r w:rsidR="00CE0B78" w:rsidRPr="00BC31E0">
        <w:rPr>
          <w:rFonts w:asciiTheme="minorHAnsi" w:eastAsiaTheme="minorEastAsia" w:hAnsiTheme="minorEastAsia"/>
        </w:rPr>
        <w:t>とする</w:t>
      </w:r>
      <w:r w:rsidRPr="00BC31E0">
        <w:rPr>
          <w:rFonts w:asciiTheme="minorHAnsi" w:eastAsiaTheme="minorEastAsia" w:hAnsiTheme="minorEastAsia"/>
        </w:rPr>
        <w:t>。</w:t>
      </w:r>
    </w:p>
    <w:p w14:paraId="5ECC4B25" w14:textId="77777777" w:rsidR="00F03E0A" w:rsidRPr="00BC31E0" w:rsidRDefault="00F03E0A" w:rsidP="00736130">
      <w:pPr>
        <w:numPr>
          <w:ilvl w:val="0"/>
          <w:numId w:val="82"/>
        </w:numPr>
        <w:ind w:left="340" w:hanging="340"/>
        <w:rPr>
          <w:rFonts w:ascii="ＭＳ 明朝"/>
          <w:szCs w:val="20"/>
        </w:rPr>
      </w:pPr>
      <w:r w:rsidRPr="00BC31E0">
        <w:rPr>
          <w:rFonts w:hint="eastAsia"/>
        </w:rPr>
        <w:t>SA-564</w:t>
      </w:r>
      <w:r w:rsidR="00C648A4" w:rsidRPr="00BC31E0">
        <w:rPr>
          <w:rFonts w:hint="eastAsia"/>
        </w:rPr>
        <w:t>M</w:t>
      </w:r>
      <w:r w:rsidRPr="00BC31E0">
        <w:rPr>
          <w:rFonts w:hint="eastAsia"/>
        </w:rPr>
        <w:t xml:space="preserve"> </w:t>
      </w:r>
      <w:r w:rsidR="00C648A4" w:rsidRPr="00BC31E0">
        <w:rPr>
          <w:rFonts w:hint="eastAsia"/>
        </w:rPr>
        <w:t>Type</w:t>
      </w:r>
      <w:r w:rsidRPr="00BC31E0">
        <w:rPr>
          <w:rFonts w:hint="eastAsia"/>
        </w:rPr>
        <w:t xml:space="preserve"> XM-12</w:t>
      </w:r>
      <w:r w:rsidR="009F5263" w:rsidRPr="00BC31E0">
        <w:rPr>
          <w:rFonts w:hint="eastAsia"/>
        </w:rPr>
        <w:t>，</w:t>
      </w:r>
      <w:r w:rsidRPr="00BC31E0">
        <w:rPr>
          <w:rFonts w:hint="eastAsia"/>
        </w:rPr>
        <w:t>XM-25</w:t>
      </w:r>
      <w:r w:rsidR="009F5263" w:rsidRPr="00BC31E0">
        <w:rPr>
          <w:rFonts w:hint="eastAsia"/>
        </w:rPr>
        <w:t>，</w:t>
      </w:r>
      <w:r w:rsidRPr="00BC31E0">
        <w:rPr>
          <w:rFonts w:hint="eastAsia"/>
        </w:rPr>
        <w:t xml:space="preserve">630 </w:t>
      </w:r>
      <w:r w:rsidR="00C648A4" w:rsidRPr="00BC31E0">
        <w:rPr>
          <w:rFonts w:hint="eastAsia"/>
        </w:rPr>
        <w:t>Cond.</w:t>
      </w:r>
      <w:r w:rsidRPr="00BC31E0">
        <w:rPr>
          <w:rFonts w:hint="eastAsia"/>
        </w:rPr>
        <w:t>H1025</w:t>
      </w:r>
      <w:r w:rsidR="009F5263" w:rsidRPr="00BC31E0">
        <w:rPr>
          <w:rFonts w:hint="eastAsia"/>
        </w:rPr>
        <w:t>，</w:t>
      </w:r>
      <w:r w:rsidRPr="00BC31E0">
        <w:rPr>
          <w:rFonts w:hint="eastAsia"/>
        </w:rPr>
        <w:t>SA-705</w:t>
      </w:r>
      <w:r w:rsidR="00C648A4" w:rsidRPr="00BC31E0">
        <w:rPr>
          <w:rFonts w:hint="eastAsia"/>
        </w:rPr>
        <w:t>M</w:t>
      </w:r>
      <w:r w:rsidRPr="00BC31E0">
        <w:rPr>
          <w:rFonts w:hint="eastAsia"/>
        </w:rPr>
        <w:t xml:space="preserve"> Type</w:t>
      </w:r>
      <w:r w:rsidR="00C648A4" w:rsidRPr="00BC31E0">
        <w:rPr>
          <w:rFonts w:hint="eastAsia"/>
        </w:rPr>
        <w:t xml:space="preserve"> </w:t>
      </w:r>
      <w:r w:rsidRPr="00BC31E0">
        <w:rPr>
          <w:rFonts w:hint="eastAsia"/>
        </w:rPr>
        <w:t xml:space="preserve">630 </w:t>
      </w:r>
      <w:r w:rsidR="00C648A4" w:rsidRPr="00BC31E0">
        <w:rPr>
          <w:rFonts w:hint="eastAsia"/>
        </w:rPr>
        <w:t>Cond.</w:t>
      </w:r>
      <w:r w:rsidRPr="00BC31E0">
        <w:rPr>
          <w:rFonts w:hint="eastAsia"/>
        </w:rPr>
        <w:t>H1025</w:t>
      </w:r>
      <w:r w:rsidR="009F5263" w:rsidRPr="00BC31E0">
        <w:rPr>
          <w:rFonts w:hint="eastAsia"/>
        </w:rPr>
        <w:t>，</w:t>
      </w:r>
      <w:r w:rsidRPr="00BC31E0">
        <w:rPr>
          <w:rFonts w:hint="eastAsia"/>
        </w:rPr>
        <w:t>H900</w:t>
      </w:r>
      <w:r w:rsidR="009F5263" w:rsidRPr="00BC31E0">
        <w:rPr>
          <w:rFonts w:hint="eastAsia"/>
        </w:rPr>
        <w:t>，</w:t>
      </w:r>
      <w:r w:rsidRPr="00BC31E0">
        <w:rPr>
          <w:rFonts w:hint="eastAsia"/>
        </w:rPr>
        <w:t>H925</w:t>
      </w:r>
      <w:r w:rsidR="009F5263" w:rsidRPr="00BC31E0">
        <w:rPr>
          <w:rFonts w:hint="eastAsia"/>
        </w:rPr>
        <w:t>，</w:t>
      </w:r>
      <w:r w:rsidRPr="00BC31E0">
        <w:rPr>
          <w:rFonts w:hint="eastAsia"/>
        </w:rPr>
        <w:t>SA-705</w:t>
      </w:r>
      <w:r w:rsidR="00C648A4" w:rsidRPr="00BC31E0">
        <w:rPr>
          <w:rFonts w:hint="eastAsia"/>
        </w:rPr>
        <w:t>M</w:t>
      </w:r>
      <w:r w:rsidRPr="00BC31E0">
        <w:rPr>
          <w:rFonts w:hint="eastAsia"/>
        </w:rPr>
        <w:t xml:space="preserve"> Type</w:t>
      </w:r>
      <w:r w:rsidR="00C648A4" w:rsidRPr="00BC31E0">
        <w:rPr>
          <w:rFonts w:hint="eastAsia"/>
        </w:rPr>
        <w:t xml:space="preserve"> </w:t>
      </w:r>
      <w:r w:rsidRPr="00BC31E0">
        <w:rPr>
          <w:rFonts w:hint="eastAsia"/>
        </w:rPr>
        <w:t xml:space="preserve">631 </w:t>
      </w:r>
      <w:r w:rsidR="00C648A4" w:rsidRPr="00BC31E0">
        <w:rPr>
          <w:rFonts w:hint="eastAsia"/>
        </w:rPr>
        <w:t>Cond.</w:t>
      </w:r>
      <w:r w:rsidRPr="00BC31E0">
        <w:rPr>
          <w:rFonts w:hint="eastAsia"/>
        </w:rPr>
        <w:t>RH950</w:t>
      </w:r>
      <w:r w:rsidR="009F5263" w:rsidRPr="00BC31E0">
        <w:rPr>
          <w:rFonts w:hint="eastAsia"/>
        </w:rPr>
        <w:t>，</w:t>
      </w:r>
      <w:r w:rsidRPr="00BC31E0">
        <w:rPr>
          <w:rFonts w:hint="eastAsia"/>
        </w:rPr>
        <w:t>SA-705</w:t>
      </w:r>
      <w:r w:rsidR="00C648A4" w:rsidRPr="00BC31E0">
        <w:rPr>
          <w:rFonts w:hint="eastAsia"/>
        </w:rPr>
        <w:t>M</w:t>
      </w:r>
      <w:r w:rsidRPr="00BC31E0">
        <w:rPr>
          <w:rFonts w:hint="eastAsia"/>
        </w:rPr>
        <w:t xml:space="preserve"> Type</w:t>
      </w:r>
      <w:r w:rsidR="00C648A4" w:rsidRPr="00BC31E0">
        <w:rPr>
          <w:rFonts w:hint="eastAsia"/>
        </w:rPr>
        <w:t xml:space="preserve"> </w:t>
      </w:r>
      <w:r w:rsidRPr="00BC31E0">
        <w:rPr>
          <w:rFonts w:hint="eastAsia"/>
        </w:rPr>
        <w:t xml:space="preserve">XM-12 </w:t>
      </w:r>
      <w:r w:rsidR="00C648A4" w:rsidRPr="00BC31E0">
        <w:rPr>
          <w:rFonts w:hint="eastAsia"/>
        </w:rPr>
        <w:t>Cond.</w:t>
      </w:r>
      <w:r w:rsidRPr="00BC31E0">
        <w:rPr>
          <w:rFonts w:hint="eastAsia"/>
        </w:rPr>
        <w:t>H1025</w:t>
      </w:r>
      <w:r w:rsidR="009F5263" w:rsidRPr="00BC31E0">
        <w:rPr>
          <w:rFonts w:hint="eastAsia"/>
        </w:rPr>
        <w:t>，</w:t>
      </w:r>
      <w:r w:rsidRPr="00BC31E0">
        <w:rPr>
          <w:rFonts w:hint="eastAsia"/>
        </w:rPr>
        <w:t>H900</w:t>
      </w:r>
      <w:r w:rsidR="009F5263" w:rsidRPr="00BC31E0">
        <w:rPr>
          <w:rFonts w:hint="eastAsia"/>
        </w:rPr>
        <w:t>，</w:t>
      </w:r>
      <w:r w:rsidRPr="00BC31E0">
        <w:rPr>
          <w:rFonts w:hint="eastAsia"/>
        </w:rPr>
        <w:t>H925</w:t>
      </w:r>
      <w:r w:rsidR="009F5263" w:rsidRPr="00BC31E0">
        <w:rPr>
          <w:rFonts w:hint="eastAsia"/>
        </w:rPr>
        <w:t>，</w:t>
      </w:r>
      <w:r w:rsidRPr="00BC31E0">
        <w:rPr>
          <w:rFonts w:hint="eastAsia"/>
        </w:rPr>
        <w:t>SA-705</w:t>
      </w:r>
      <w:r w:rsidR="00C648A4" w:rsidRPr="00BC31E0">
        <w:rPr>
          <w:rFonts w:hint="eastAsia"/>
        </w:rPr>
        <w:t>M</w:t>
      </w:r>
      <w:r w:rsidRPr="00BC31E0">
        <w:rPr>
          <w:rFonts w:hint="eastAsia"/>
        </w:rPr>
        <w:t xml:space="preserve"> Type</w:t>
      </w:r>
      <w:r w:rsidR="00C648A4" w:rsidRPr="00BC31E0">
        <w:rPr>
          <w:rFonts w:hint="eastAsia"/>
        </w:rPr>
        <w:t xml:space="preserve"> </w:t>
      </w:r>
      <w:r w:rsidRPr="00BC31E0">
        <w:rPr>
          <w:rFonts w:hint="eastAsia"/>
        </w:rPr>
        <w:t xml:space="preserve">XM-13 </w:t>
      </w:r>
      <w:r w:rsidR="00C648A4" w:rsidRPr="00BC31E0">
        <w:rPr>
          <w:rFonts w:hint="eastAsia"/>
        </w:rPr>
        <w:t>Cond.</w:t>
      </w:r>
      <w:r w:rsidRPr="00BC31E0">
        <w:rPr>
          <w:rFonts w:hint="eastAsia"/>
        </w:rPr>
        <w:t>H950</w:t>
      </w:r>
      <w:r w:rsidR="009F5263" w:rsidRPr="00BC31E0">
        <w:rPr>
          <w:rFonts w:hint="eastAsia"/>
        </w:rPr>
        <w:t>，</w:t>
      </w:r>
      <w:r w:rsidRPr="00BC31E0">
        <w:rPr>
          <w:rFonts w:hint="eastAsia"/>
        </w:rPr>
        <w:t>H1000</w:t>
      </w:r>
      <w:r w:rsidR="009F5263" w:rsidRPr="00BC31E0">
        <w:rPr>
          <w:rFonts w:hint="eastAsia"/>
        </w:rPr>
        <w:t>，</w:t>
      </w:r>
      <w:r w:rsidRPr="00BC31E0">
        <w:rPr>
          <w:rFonts w:hint="eastAsia"/>
        </w:rPr>
        <w:t>H1025</w:t>
      </w:r>
      <w:r w:rsidR="009F5263" w:rsidRPr="00BC31E0">
        <w:rPr>
          <w:rFonts w:hint="eastAsia"/>
        </w:rPr>
        <w:t>，</w:t>
      </w:r>
      <w:r w:rsidRPr="00BC31E0">
        <w:rPr>
          <w:rFonts w:hint="eastAsia"/>
        </w:rPr>
        <w:t>H1050</w:t>
      </w:r>
      <w:r w:rsidR="009F5263" w:rsidRPr="00BC31E0">
        <w:rPr>
          <w:rFonts w:hint="eastAsia"/>
        </w:rPr>
        <w:t>，</w:t>
      </w:r>
      <w:r w:rsidRPr="00BC31E0">
        <w:rPr>
          <w:rFonts w:hint="eastAsia"/>
        </w:rPr>
        <w:t>SA-705</w:t>
      </w:r>
      <w:r w:rsidR="00C648A4" w:rsidRPr="00BC31E0">
        <w:rPr>
          <w:rFonts w:hint="eastAsia"/>
        </w:rPr>
        <w:t>M</w:t>
      </w:r>
      <w:r w:rsidRPr="00BC31E0">
        <w:rPr>
          <w:rFonts w:hint="eastAsia"/>
        </w:rPr>
        <w:t xml:space="preserve"> Type</w:t>
      </w:r>
      <w:r w:rsidR="00C648A4" w:rsidRPr="00BC31E0">
        <w:rPr>
          <w:rFonts w:hint="eastAsia"/>
        </w:rPr>
        <w:t xml:space="preserve"> </w:t>
      </w:r>
      <w:r w:rsidRPr="00BC31E0">
        <w:rPr>
          <w:rFonts w:hint="eastAsia"/>
        </w:rPr>
        <w:t xml:space="preserve">XM-25 </w:t>
      </w:r>
      <w:r w:rsidR="00C648A4" w:rsidRPr="00BC31E0">
        <w:rPr>
          <w:rFonts w:hint="eastAsia"/>
        </w:rPr>
        <w:t>Cond.</w:t>
      </w:r>
      <w:r w:rsidRPr="00BC31E0">
        <w:rPr>
          <w:rFonts w:hint="eastAsia"/>
        </w:rPr>
        <w:t>H900</w:t>
      </w:r>
      <w:r w:rsidR="009F5263" w:rsidRPr="00BC31E0">
        <w:rPr>
          <w:rFonts w:hint="eastAsia"/>
        </w:rPr>
        <w:t>，</w:t>
      </w:r>
      <w:r w:rsidRPr="00BC31E0">
        <w:rPr>
          <w:rFonts w:hint="eastAsia"/>
        </w:rPr>
        <w:t>H950</w:t>
      </w:r>
      <w:r w:rsidR="009F5263" w:rsidRPr="00BC31E0">
        <w:rPr>
          <w:rFonts w:hint="eastAsia"/>
        </w:rPr>
        <w:t>，</w:t>
      </w:r>
      <w:r w:rsidRPr="00BC31E0">
        <w:rPr>
          <w:rFonts w:hint="eastAsia"/>
        </w:rPr>
        <w:t>H1000</w:t>
      </w:r>
      <w:r w:rsidR="009F5263" w:rsidRPr="00BC31E0">
        <w:rPr>
          <w:rFonts w:hint="eastAsia"/>
        </w:rPr>
        <w:t>，</w:t>
      </w:r>
      <w:r w:rsidRPr="00BC31E0">
        <w:rPr>
          <w:rFonts w:hint="eastAsia"/>
        </w:rPr>
        <w:t>H1025</w:t>
      </w:r>
      <w:r w:rsidR="009F5263" w:rsidRPr="00BC31E0">
        <w:rPr>
          <w:rFonts w:hint="eastAsia"/>
        </w:rPr>
        <w:t>，</w:t>
      </w:r>
      <w:r w:rsidRPr="00BC31E0">
        <w:rPr>
          <w:rFonts w:hint="eastAsia"/>
        </w:rPr>
        <w:t>SA-723</w:t>
      </w:r>
      <w:r w:rsidR="00C648A4" w:rsidRPr="00BC31E0">
        <w:rPr>
          <w:rFonts w:hint="eastAsia"/>
        </w:rPr>
        <w:t>M</w:t>
      </w:r>
      <w:r w:rsidRPr="00BC31E0">
        <w:rPr>
          <w:rFonts w:hint="eastAsia"/>
        </w:rPr>
        <w:t xml:space="preserve"> Gr.1</w:t>
      </w:r>
      <w:r w:rsidR="009F5263" w:rsidRPr="00BC31E0">
        <w:rPr>
          <w:rFonts w:hint="eastAsia"/>
        </w:rPr>
        <w:t>，</w:t>
      </w:r>
      <w:r w:rsidRPr="00BC31E0">
        <w:rPr>
          <w:rFonts w:hint="eastAsia"/>
        </w:rPr>
        <w:t>2</w:t>
      </w:r>
      <w:r w:rsidR="009F5263" w:rsidRPr="00BC31E0">
        <w:rPr>
          <w:rFonts w:hint="eastAsia"/>
        </w:rPr>
        <w:t>，</w:t>
      </w:r>
      <w:r w:rsidRPr="00BC31E0">
        <w:rPr>
          <w:rFonts w:hint="eastAsia"/>
        </w:rPr>
        <w:t>3 Cl.4</w:t>
      </w:r>
      <w:r w:rsidR="009F5263" w:rsidRPr="00BC31E0">
        <w:rPr>
          <w:rFonts w:hint="eastAsia"/>
        </w:rPr>
        <w:t>，</w:t>
      </w:r>
      <w:r w:rsidRPr="00BC31E0">
        <w:rPr>
          <w:rFonts w:hint="eastAsia"/>
        </w:rPr>
        <w:t>5</w:t>
      </w:r>
      <w:r w:rsidRPr="00BC31E0">
        <w:rPr>
          <w:rFonts w:hint="eastAsia"/>
        </w:rPr>
        <w:t>の材料は</w:t>
      </w:r>
      <w:r w:rsidR="00A72D27" w:rsidRPr="00BC31E0">
        <w:rPr>
          <w:rFonts w:hint="eastAsia"/>
        </w:rPr>
        <w:t>，</w:t>
      </w:r>
      <w:r w:rsidRPr="00BC31E0">
        <w:rPr>
          <w:rFonts w:ascii="ＭＳ ゴシック" w:eastAsia="ＭＳ ゴシック" w:hAnsi="ＭＳ ゴシック" w:hint="eastAsia"/>
          <w:b/>
          <w:szCs w:val="20"/>
        </w:rPr>
        <w:t>6.1.1</w:t>
      </w:r>
      <w:r w:rsidRPr="00BC31E0">
        <w:rPr>
          <w:rFonts w:ascii="ＭＳ ゴシック" w:eastAsia="ＭＳ ゴシック" w:hAnsi="ＭＳ ゴシック"/>
          <w:b/>
          <w:szCs w:val="20"/>
        </w:rPr>
        <w:t>4</w:t>
      </w:r>
      <w:r w:rsidRPr="00BC31E0">
        <w:rPr>
          <w:rFonts w:hint="eastAsia"/>
        </w:rPr>
        <w:t>の破裂前漏洩モード条件を満足する設計容器内層に限り使用可能である。</w:t>
      </w:r>
    </w:p>
    <w:p w14:paraId="5E6BA3D4" w14:textId="77777777" w:rsidR="00F03E0A" w:rsidRPr="00BC31E0" w:rsidRDefault="00F03E0A" w:rsidP="00736130">
      <w:pPr>
        <w:numPr>
          <w:ilvl w:val="0"/>
          <w:numId w:val="82"/>
        </w:numPr>
        <w:ind w:left="340" w:hanging="340"/>
        <w:rPr>
          <w:rFonts w:ascii="ＭＳ 明朝"/>
          <w:szCs w:val="20"/>
        </w:rPr>
      </w:pPr>
      <w:r w:rsidRPr="00BC31E0">
        <w:rPr>
          <w:szCs w:val="20"/>
        </w:rPr>
        <w:t>SA-225</w:t>
      </w:r>
      <w:r w:rsidR="00B66C86" w:rsidRPr="00BC31E0">
        <w:rPr>
          <w:rFonts w:hint="eastAsia"/>
          <w:szCs w:val="20"/>
        </w:rPr>
        <w:t>M</w:t>
      </w:r>
      <w:r w:rsidRPr="00BC31E0">
        <w:rPr>
          <w:szCs w:val="20"/>
        </w:rPr>
        <w:t xml:space="preserve"> Gr.</w:t>
      </w:r>
      <w:r w:rsidRPr="00BC31E0">
        <w:rPr>
          <w:rFonts w:hint="eastAsia"/>
          <w:szCs w:val="20"/>
        </w:rPr>
        <w:t xml:space="preserve"> </w:t>
      </w:r>
      <w:r w:rsidRPr="00BC31E0">
        <w:rPr>
          <w:szCs w:val="20"/>
        </w:rPr>
        <w:t>C</w:t>
      </w:r>
      <w:r w:rsidRPr="00BC31E0">
        <w:rPr>
          <w:rFonts w:ascii="ＭＳ 明朝" w:hint="eastAsia"/>
          <w:szCs w:val="20"/>
        </w:rPr>
        <w:t>の最大公称板厚は，</w:t>
      </w:r>
      <w:r w:rsidRPr="00BC31E0">
        <w:rPr>
          <w:rFonts w:asciiTheme="minorHAnsi" w:hAnsiTheme="minorHAnsi"/>
          <w:szCs w:val="20"/>
        </w:rPr>
        <w:t>15 mm</w:t>
      </w:r>
      <w:r w:rsidRPr="00BC31E0">
        <w:rPr>
          <w:rFonts w:ascii="ＭＳ 明朝" w:hint="eastAsia"/>
          <w:szCs w:val="20"/>
        </w:rPr>
        <w:t>以下とする。</w:t>
      </w:r>
    </w:p>
    <w:p w14:paraId="6278F09A" w14:textId="77777777" w:rsidR="00F03E0A" w:rsidRPr="00BC31E0" w:rsidRDefault="00F03E0A" w:rsidP="00736130">
      <w:pPr>
        <w:numPr>
          <w:ilvl w:val="0"/>
          <w:numId w:val="82"/>
        </w:numPr>
        <w:ind w:left="340" w:hanging="340"/>
        <w:rPr>
          <w:rFonts w:ascii="ＭＳ 明朝"/>
          <w:szCs w:val="20"/>
        </w:rPr>
      </w:pPr>
      <w:r w:rsidRPr="00BC31E0">
        <w:rPr>
          <w:szCs w:val="20"/>
        </w:rPr>
        <w:lastRenderedPageBreak/>
        <w:t>SA-517</w:t>
      </w:r>
      <w:r w:rsidR="00B66C86" w:rsidRPr="00BC31E0">
        <w:rPr>
          <w:rFonts w:hint="eastAsia"/>
          <w:szCs w:val="20"/>
        </w:rPr>
        <w:t>M</w:t>
      </w:r>
      <w:r w:rsidRPr="00BC31E0">
        <w:rPr>
          <w:szCs w:val="20"/>
        </w:rPr>
        <w:t xml:space="preserve"> Gr.</w:t>
      </w:r>
      <w:r w:rsidRPr="00BC31E0">
        <w:rPr>
          <w:rFonts w:hint="eastAsia"/>
          <w:szCs w:val="20"/>
        </w:rPr>
        <w:t xml:space="preserve"> </w:t>
      </w:r>
      <w:r w:rsidRPr="00BC31E0">
        <w:rPr>
          <w:szCs w:val="20"/>
        </w:rPr>
        <w:t>F</w:t>
      </w:r>
      <w:r w:rsidRPr="00BC31E0">
        <w:rPr>
          <w:rFonts w:ascii="ＭＳ 明朝" w:hint="eastAsia"/>
          <w:szCs w:val="20"/>
        </w:rPr>
        <w:t>の最大公称板厚は，</w:t>
      </w:r>
      <w:r w:rsidR="00B66C86" w:rsidRPr="00BC31E0">
        <w:rPr>
          <w:rFonts w:asciiTheme="minorHAnsi" w:hAnsiTheme="minorHAnsi"/>
          <w:szCs w:val="20"/>
        </w:rPr>
        <w:t>65</w:t>
      </w:r>
      <w:r w:rsidRPr="00BC31E0">
        <w:rPr>
          <w:rFonts w:asciiTheme="minorHAnsi" w:hAnsiTheme="minorHAnsi"/>
          <w:szCs w:val="20"/>
        </w:rPr>
        <w:t>mm</w:t>
      </w:r>
      <w:r w:rsidRPr="00BC31E0">
        <w:rPr>
          <w:rFonts w:ascii="ＭＳ 明朝" w:hint="eastAsia"/>
          <w:szCs w:val="20"/>
        </w:rPr>
        <w:t>以下とする。</w:t>
      </w:r>
    </w:p>
    <w:p w14:paraId="54B3360F" w14:textId="77777777" w:rsidR="00F03E0A" w:rsidRPr="00BC31E0" w:rsidRDefault="00F03E0A" w:rsidP="00736130">
      <w:pPr>
        <w:numPr>
          <w:ilvl w:val="0"/>
          <w:numId w:val="82"/>
        </w:numPr>
        <w:ind w:left="340" w:hanging="340"/>
        <w:rPr>
          <w:rFonts w:ascii="ＭＳ 明朝"/>
          <w:szCs w:val="20"/>
        </w:rPr>
      </w:pPr>
      <w:r w:rsidRPr="00BC31E0">
        <w:rPr>
          <w:szCs w:val="20"/>
        </w:rPr>
        <w:t>SA-276 Type</w:t>
      </w:r>
      <w:r w:rsidRPr="00BC31E0">
        <w:rPr>
          <w:rFonts w:hint="eastAsia"/>
          <w:szCs w:val="20"/>
        </w:rPr>
        <w:t xml:space="preserve"> </w:t>
      </w:r>
      <w:r w:rsidRPr="00BC31E0">
        <w:rPr>
          <w:szCs w:val="20"/>
        </w:rPr>
        <w:t>316 C</w:t>
      </w:r>
      <w:r w:rsidR="00B66C86" w:rsidRPr="00BC31E0">
        <w:rPr>
          <w:rFonts w:hint="eastAsia"/>
          <w:szCs w:val="20"/>
        </w:rPr>
        <w:t>ond.</w:t>
      </w:r>
      <w:r w:rsidRPr="00BC31E0">
        <w:rPr>
          <w:szCs w:val="20"/>
        </w:rPr>
        <w:t>S</w:t>
      </w:r>
      <w:r w:rsidR="009F5263" w:rsidRPr="00BC31E0">
        <w:rPr>
          <w:rFonts w:hint="eastAsia"/>
          <w:szCs w:val="20"/>
        </w:rPr>
        <w:t>，</w:t>
      </w:r>
      <w:r w:rsidRPr="00BC31E0">
        <w:rPr>
          <w:szCs w:val="20"/>
        </w:rPr>
        <w:t>B</w:t>
      </w:r>
      <w:r w:rsidR="009F5263" w:rsidRPr="00BC31E0">
        <w:rPr>
          <w:rFonts w:hint="eastAsia"/>
          <w:szCs w:val="20"/>
        </w:rPr>
        <w:t>，</w:t>
      </w:r>
      <w:r w:rsidRPr="00BC31E0">
        <w:rPr>
          <w:szCs w:val="20"/>
        </w:rPr>
        <w:t>SA-723</w:t>
      </w:r>
      <w:r w:rsidR="00B66C86" w:rsidRPr="00BC31E0">
        <w:rPr>
          <w:rFonts w:hint="eastAsia"/>
          <w:szCs w:val="20"/>
        </w:rPr>
        <w:t>M</w:t>
      </w:r>
      <w:r w:rsidRPr="00BC31E0">
        <w:rPr>
          <w:szCs w:val="20"/>
        </w:rPr>
        <w:t xml:space="preserve"> Gr.1</w:t>
      </w:r>
      <w:r w:rsidR="009F5263" w:rsidRPr="00BC31E0">
        <w:rPr>
          <w:rFonts w:hint="eastAsia"/>
          <w:szCs w:val="20"/>
        </w:rPr>
        <w:t>，</w:t>
      </w:r>
      <w:r w:rsidRPr="00BC31E0">
        <w:rPr>
          <w:szCs w:val="20"/>
        </w:rPr>
        <w:t>2</w:t>
      </w:r>
      <w:r w:rsidR="009F5263" w:rsidRPr="00BC31E0">
        <w:rPr>
          <w:rFonts w:hint="eastAsia"/>
          <w:szCs w:val="20"/>
        </w:rPr>
        <w:t>，</w:t>
      </w:r>
      <w:r w:rsidRPr="00BC31E0">
        <w:rPr>
          <w:szCs w:val="20"/>
        </w:rPr>
        <w:t>3 Cl.1</w:t>
      </w:r>
      <w:r w:rsidR="009F5263" w:rsidRPr="00BC31E0">
        <w:rPr>
          <w:rFonts w:hint="eastAsia"/>
          <w:szCs w:val="20"/>
        </w:rPr>
        <w:t>，</w:t>
      </w:r>
      <w:r w:rsidRPr="00BC31E0">
        <w:rPr>
          <w:szCs w:val="20"/>
        </w:rPr>
        <w:t>2</w:t>
      </w:r>
      <w:r w:rsidR="009F5263" w:rsidRPr="00BC31E0">
        <w:rPr>
          <w:rFonts w:hint="eastAsia"/>
          <w:szCs w:val="20"/>
        </w:rPr>
        <w:t>，</w:t>
      </w:r>
      <w:r w:rsidRPr="00BC31E0">
        <w:rPr>
          <w:szCs w:val="20"/>
        </w:rPr>
        <w:t>2a</w:t>
      </w:r>
      <w:r w:rsidR="009F5263" w:rsidRPr="00BC31E0">
        <w:rPr>
          <w:rFonts w:hint="eastAsia"/>
          <w:szCs w:val="20"/>
        </w:rPr>
        <w:t>，</w:t>
      </w:r>
      <w:r w:rsidRPr="00BC31E0">
        <w:rPr>
          <w:szCs w:val="20"/>
        </w:rPr>
        <w:t>3</w:t>
      </w:r>
      <w:r w:rsidR="009F5263" w:rsidRPr="00BC31E0">
        <w:rPr>
          <w:rFonts w:hint="eastAsia"/>
          <w:szCs w:val="20"/>
        </w:rPr>
        <w:t>，</w:t>
      </w:r>
      <w:r w:rsidRPr="00BC31E0">
        <w:rPr>
          <w:szCs w:val="20"/>
        </w:rPr>
        <w:t>4</w:t>
      </w:r>
      <w:r w:rsidR="009F5263" w:rsidRPr="00BC31E0">
        <w:rPr>
          <w:rFonts w:hint="eastAsia"/>
          <w:szCs w:val="20"/>
        </w:rPr>
        <w:t>，</w:t>
      </w:r>
      <w:r w:rsidRPr="00BC31E0">
        <w:rPr>
          <w:szCs w:val="20"/>
        </w:rPr>
        <w:t>5</w:t>
      </w:r>
      <w:r w:rsidRPr="00BC31E0">
        <w:rPr>
          <w:rFonts w:ascii="ＭＳ 明朝" w:hint="eastAsia"/>
          <w:szCs w:val="20"/>
        </w:rPr>
        <w:t>の材料は，溶接不可である。</w:t>
      </w:r>
    </w:p>
    <w:p w14:paraId="7A2DCFC9" w14:textId="77777777" w:rsidR="00F03E0A" w:rsidRPr="00BC31E0" w:rsidRDefault="00F03E0A" w:rsidP="00736130">
      <w:pPr>
        <w:numPr>
          <w:ilvl w:val="0"/>
          <w:numId w:val="82"/>
        </w:numPr>
        <w:ind w:left="340" w:hanging="340"/>
        <w:rPr>
          <w:rFonts w:ascii="ＭＳ 明朝"/>
          <w:szCs w:val="20"/>
        </w:rPr>
      </w:pPr>
      <w:r w:rsidRPr="00BC31E0">
        <w:rPr>
          <w:szCs w:val="20"/>
        </w:rPr>
        <w:t>SA-479</w:t>
      </w:r>
      <w:r w:rsidR="00B66C86" w:rsidRPr="00BC31E0">
        <w:rPr>
          <w:rFonts w:hint="eastAsia"/>
          <w:szCs w:val="20"/>
        </w:rPr>
        <w:t>M</w:t>
      </w:r>
      <w:r w:rsidRPr="00BC31E0">
        <w:rPr>
          <w:szCs w:val="20"/>
        </w:rPr>
        <w:t xml:space="preserve"> Type</w:t>
      </w:r>
      <w:r w:rsidRPr="00BC31E0">
        <w:rPr>
          <w:rFonts w:hint="eastAsia"/>
          <w:szCs w:val="20"/>
        </w:rPr>
        <w:t xml:space="preserve"> </w:t>
      </w:r>
      <w:r w:rsidRPr="00BC31E0">
        <w:rPr>
          <w:szCs w:val="20"/>
        </w:rPr>
        <w:t>316H</w:t>
      </w:r>
      <w:r w:rsidRPr="00BC31E0">
        <w:rPr>
          <w:rFonts w:hint="eastAsia"/>
          <w:szCs w:val="20"/>
        </w:rPr>
        <w:t>，</w:t>
      </w:r>
      <w:r w:rsidRPr="00BC31E0">
        <w:rPr>
          <w:szCs w:val="20"/>
        </w:rPr>
        <w:t>SA-479</w:t>
      </w:r>
      <w:r w:rsidR="00B66C86" w:rsidRPr="00BC31E0">
        <w:rPr>
          <w:rFonts w:hint="eastAsia"/>
          <w:szCs w:val="20"/>
        </w:rPr>
        <w:t>M</w:t>
      </w:r>
      <w:r w:rsidRPr="00BC31E0">
        <w:rPr>
          <w:szCs w:val="20"/>
        </w:rPr>
        <w:t xml:space="preserve"> Type</w:t>
      </w:r>
      <w:r w:rsidRPr="00BC31E0">
        <w:rPr>
          <w:rFonts w:hint="eastAsia"/>
          <w:szCs w:val="20"/>
        </w:rPr>
        <w:t xml:space="preserve"> </w:t>
      </w:r>
      <w:r w:rsidRPr="00BC31E0">
        <w:rPr>
          <w:szCs w:val="20"/>
        </w:rPr>
        <w:t>316</w:t>
      </w:r>
      <w:r w:rsidRPr="00BC31E0">
        <w:rPr>
          <w:rFonts w:ascii="ＭＳ 明朝" w:hint="eastAsia"/>
          <w:szCs w:val="20"/>
        </w:rPr>
        <w:t>の押出加工材は最小引張強さ</w:t>
      </w:r>
      <w:r w:rsidRPr="00BC31E0">
        <w:rPr>
          <w:rFonts w:asciiTheme="minorHAnsi" w:hAnsiTheme="minorHAnsi"/>
          <w:szCs w:val="20"/>
        </w:rPr>
        <w:t>485 MPa</w:t>
      </w:r>
      <w:r w:rsidRPr="00BC31E0">
        <w:rPr>
          <w:rFonts w:ascii="ＭＳ 明朝" w:hint="eastAsia"/>
          <w:szCs w:val="20"/>
        </w:rPr>
        <w:t>としてよい。</w:t>
      </w:r>
    </w:p>
    <w:p w14:paraId="4A895944" w14:textId="77777777" w:rsidR="00F03E0A" w:rsidRPr="00BC31E0" w:rsidRDefault="00F03E0A" w:rsidP="00736130">
      <w:pPr>
        <w:numPr>
          <w:ilvl w:val="0"/>
          <w:numId w:val="82"/>
        </w:numPr>
        <w:ind w:left="340" w:hanging="340"/>
        <w:rPr>
          <w:rFonts w:ascii="ＭＳ 明朝"/>
          <w:szCs w:val="20"/>
        </w:rPr>
      </w:pPr>
      <w:r w:rsidRPr="00BC31E0">
        <w:rPr>
          <w:szCs w:val="20"/>
        </w:rPr>
        <w:t>SA-479</w:t>
      </w:r>
      <w:r w:rsidR="00B66C86" w:rsidRPr="00BC31E0">
        <w:rPr>
          <w:rFonts w:hint="eastAsia"/>
          <w:szCs w:val="20"/>
        </w:rPr>
        <w:t>M</w:t>
      </w:r>
      <w:r w:rsidRPr="00BC31E0">
        <w:rPr>
          <w:szCs w:val="20"/>
        </w:rPr>
        <w:t xml:space="preserve"> Type</w:t>
      </w:r>
      <w:r w:rsidRPr="00BC31E0">
        <w:rPr>
          <w:rFonts w:hint="eastAsia"/>
          <w:szCs w:val="20"/>
        </w:rPr>
        <w:t xml:space="preserve"> </w:t>
      </w:r>
      <w:r w:rsidRPr="00BC31E0">
        <w:rPr>
          <w:szCs w:val="20"/>
        </w:rPr>
        <w:t>316</w:t>
      </w:r>
      <w:r w:rsidRPr="00BC31E0">
        <w:rPr>
          <w:rFonts w:ascii="ＭＳ 明朝" w:hint="eastAsia"/>
          <w:szCs w:val="20"/>
        </w:rPr>
        <w:t>の</w:t>
      </w:r>
      <w:r w:rsidR="0005053C" w:rsidRPr="00BC31E0">
        <w:rPr>
          <w:rFonts w:asciiTheme="minorHAnsi" w:hAnsi="ＭＳ 明朝"/>
        </w:rPr>
        <w:t>規定</w:t>
      </w:r>
      <m:oMath>
        <m:sSub>
          <m:sSubPr>
            <m:ctrlPr>
              <w:rPr>
                <w:rFonts w:ascii="Cambria Math" w:hAnsiTheme="minorHAnsi"/>
                <w:i/>
              </w:rPr>
            </m:ctrlPr>
          </m:sSubPr>
          <m:e>
            <m:r>
              <w:rPr>
                <w:rFonts w:ascii="Cambria Math" w:hAnsiTheme="minorHAnsi"/>
              </w:rPr>
              <m:t xml:space="preserve"> </m:t>
            </m:r>
            <m:r>
              <w:rPr>
                <w:rFonts w:ascii="Cambria Math" w:hAnsi="Cambria Math"/>
              </w:rPr>
              <m:t>S</m:t>
            </m:r>
          </m:e>
          <m:sub>
            <m:r>
              <w:rPr>
                <w:rFonts w:ascii="Cambria Math" w:hAnsi="Cambria Math"/>
              </w:rPr>
              <m:t>y</m:t>
            </m:r>
          </m:sub>
        </m:sSub>
        <m:r>
          <m:rPr>
            <m:sty m:val="p"/>
          </m:rPr>
          <w:rPr>
            <w:rFonts w:ascii="Cambria Math" w:hAnsi="Cambria Math"/>
          </w:rPr>
          <m:t xml:space="preserve"> </m:t>
        </m:r>
      </m:oMath>
      <w:r w:rsidR="0005053C" w:rsidRPr="00BC31E0">
        <w:rPr>
          <w:rFonts w:asciiTheme="minorHAnsi" w:hAnsi="ＭＳ 明朝"/>
        </w:rPr>
        <w:t>値</w:t>
      </w:r>
      <w:r w:rsidRPr="00BC31E0">
        <w:rPr>
          <w:rFonts w:ascii="ＭＳ 明朝" w:hint="eastAsia"/>
          <w:szCs w:val="20"/>
        </w:rPr>
        <w:t>は</w:t>
      </w:r>
      <w:r w:rsidR="0005053C" w:rsidRPr="00BC31E0">
        <w:rPr>
          <w:rFonts w:ascii="ＭＳ 明朝" w:hint="eastAsia"/>
          <w:szCs w:val="20"/>
        </w:rPr>
        <w:t>，</w:t>
      </w:r>
      <w:r w:rsidRPr="00BC31E0">
        <w:rPr>
          <w:rFonts w:ascii="ＭＳ 明朝" w:hint="eastAsia"/>
          <w:szCs w:val="20"/>
        </w:rPr>
        <w:t>焼なまし状態での値である。</w:t>
      </w:r>
    </w:p>
    <w:p w14:paraId="12325A4D" w14:textId="77777777" w:rsidR="00F03E0A" w:rsidRPr="00BC31E0" w:rsidRDefault="00F03E0A" w:rsidP="00736130">
      <w:pPr>
        <w:numPr>
          <w:ilvl w:val="0"/>
          <w:numId w:val="82"/>
        </w:numPr>
        <w:ind w:left="340" w:hanging="340"/>
        <w:rPr>
          <w:rFonts w:ascii="ＭＳ 明朝"/>
          <w:szCs w:val="20"/>
        </w:rPr>
      </w:pPr>
      <w:r w:rsidRPr="00BC31E0">
        <w:rPr>
          <w:szCs w:val="20"/>
        </w:rPr>
        <w:t>SA-320</w:t>
      </w:r>
      <w:r w:rsidR="00B66C86" w:rsidRPr="00BC31E0">
        <w:rPr>
          <w:rFonts w:hint="eastAsia"/>
          <w:szCs w:val="20"/>
        </w:rPr>
        <w:t>M</w:t>
      </w:r>
      <w:r w:rsidRPr="00BC31E0">
        <w:rPr>
          <w:szCs w:val="20"/>
        </w:rPr>
        <w:t xml:space="preserve"> Gr.B8</w:t>
      </w:r>
      <w:r w:rsidRPr="00BC31E0">
        <w:rPr>
          <w:rFonts w:hint="eastAsia"/>
          <w:szCs w:val="20"/>
        </w:rPr>
        <w:t>，</w:t>
      </w:r>
      <w:r w:rsidRPr="00BC31E0">
        <w:rPr>
          <w:szCs w:val="20"/>
        </w:rPr>
        <w:t>B8C</w:t>
      </w:r>
      <w:r w:rsidRPr="00BC31E0">
        <w:rPr>
          <w:rFonts w:hint="eastAsia"/>
          <w:szCs w:val="20"/>
        </w:rPr>
        <w:t>，</w:t>
      </w:r>
      <w:r w:rsidRPr="00BC31E0">
        <w:rPr>
          <w:szCs w:val="20"/>
        </w:rPr>
        <w:t>B8M</w:t>
      </w:r>
      <w:r w:rsidRPr="00BC31E0">
        <w:rPr>
          <w:rFonts w:hint="eastAsia"/>
          <w:szCs w:val="20"/>
        </w:rPr>
        <w:t>，</w:t>
      </w:r>
      <w:r w:rsidRPr="00BC31E0">
        <w:rPr>
          <w:szCs w:val="20"/>
        </w:rPr>
        <w:t>B8T Cl.2</w:t>
      </w:r>
      <w:r w:rsidR="00B66C86" w:rsidRPr="00BC31E0">
        <w:rPr>
          <w:rFonts w:hint="eastAsia"/>
          <w:szCs w:val="20"/>
        </w:rPr>
        <w:t>の</w:t>
      </w:r>
      <w:r w:rsidRPr="00BC31E0">
        <w:rPr>
          <w:rFonts w:ascii="ＭＳ 明朝" w:hint="eastAsia"/>
          <w:szCs w:val="20"/>
        </w:rPr>
        <w:t>材料のねじ根元の最大硬さは，あらゆる設計温度で</w:t>
      </w:r>
      <w:r w:rsidR="009F5263" w:rsidRPr="00BC31E0">
        <w:rPr>
          <w:rFonts w:asciiTheme="minorHAnsi" w:hAnsiTheme="minorHAnsi"/>
          <w:szCs w:val="20"/>
        </w:rPr>
        <w:t>35</w:t>
      </w:r>
      <m:oMath>
        <m:r>
          <m:rPr>
            <m:sty m:val="p"/>
          </m:rPr>
          <w:rPr>
            <w:rFonts w:ascii="Cambria Math" w:hAnsi="Cambria Math"/>
            <w:szCs w:val="20"/>
          </w:rPr>
          <m:t xml:space="preserve"> </m:t>
        </m:r>
        <m:r>
          <w:rPr>
            <w:rFonts w:ascii="Cambria Math" w:hAnsi="Cambria Math"/>
            <w:szCs w:val="20"/>
          </w:rPr>
          <m:t xml:space="preserve">HRC </m:t>
        </m:r>
      </m:oMath>
      <w:r w:rsidRPr="00BC31E0">
        <w:rPr>
          <w:rFonts w:ascii="ＭＳ 明朝" w:hint="eastAsia"/>
          <w:szCs w:val="20"/>
        </w:rPr>
        <w:t>である。硬度測定はねじを除去した幅</w:t>
      </w:r>
      <w:r w:rsidRPr="00BC31E0">
        <w:rPr>
          <w:rFonts w:asciiTheme="minorHAnsi" w:hAnsiTheme="minorHAnsi"/>
          <w:szCs w:val="20"/>
        </w:rPr>
        <w:t>3 mm</w:t>
      </w:r>
      <w:r w:rsidRPr="00BC31E0">
        <w:rPr>
          <w:rFonts w:ascii="ＭＳ 明朝" w:hint="eastAsia"/>
          <w:szCs w:val="20"/>
        </w:rPr>
        <w:t>以上の平坦部で行う。平坦部を準備する際，必要以上に材料を削らない。硬度測定は引張試験と同じ回数実施する。</w:t>
      </w:r>
    </w:p>
    <w:p w14:paraId="30BEF239" w14:textId="77777777" w:rsidR="00F03E0A" w:rsidRPr="00BC31E0" w:rsidRDefault="00F03E0A" w:rsidP="00736130">
      <w:pPr>
        <w:numPr>
          <w:ilvl w:val="0"/>
          <w:numId w:val="82"/>
        </w:numPr>
        <w:ind w:left="340" w:hanging="340"/>
        <w:rPr>
          <w:rFonts w:ascii="ＭＳ 明朝"/>
          <w:szCs w:val="20"/>
        </w:rPr>
      </w:pPr>
      <w:r w:rsidRPr="00BC31E0">
        <w:rPr>
          <w:szCs w:val="20"/>
        </w:rPr>
        <w:t>SA-723</w:t>
      </w:r>
      <w:r w:rsidR="00B66C86" w:rsidRPr="00BC31E0">
        <w:rPr>
          <w:rFonts w:hint="eastAsia"/>
          <w:szCs w:val="20"/>
        </w:rPr>
        <w:t>M</w:t>
      </w:r>
      <w:r w:rsidRPr="00BC31E0">
        <w:rPr>
          <w:szCs w:val="20"/>
        </w:rPr>
        <w:t xml:space="preserve"> Gr.1</w:t>
      </w:r>
      <w:r w:rsidRPr="00BC31E0">
        <w:rPr>
          <w:rFonts w:hint="eastAsia"/>
          <w:szCs w:val="20"/>
        </w:rPr>
        <w:t>，</w:t>
      </w:r>
      <w:r w:rsidRPr="00BC31E0">
        <w:rPr>
          <w:szCs w:val="20"/>
        </w:rPr>
        <w:t>2</w:t>
      </w:r>
      <w:r w:rsidRPr="00BC31E0">
        <w:rPr>
          <w:rFonts w:hint="eastAsia"/>
          <w:szCs w:val="20"/>
        </w:rPr>
        <w:t>，</w:t>
      </w:r>
      <w:r w:rsidRPr="00BC31E0">
        <w:rPr>
          <w:szCs w:val="20"/>
        </w:rPr>
        <w:t>3 Cl.1</w:t>
      </w:r>
      <w:r w:rsidRPr="00BC31E0">
        <w:rPr>
          <w:rFonts w:hint="eastAsia"/>
          <w:szCs w:val="20"/>
        </w:rPr>
        <w:t>，</w:t>
      </w:r>
      <w:r w:rsidRPr="00BC31E0">
        <w:rPr>
          <w:szCs w:val="20"/>
        </w:rPr>
        <w:t>2</w:t>
      </w:r>
      <w:r w:rsidRPr="00BC31E0">
        <w:rPr>
          <w:rFonts w:hint="eastAsia"/>
          <w:szCs w:val="20"/>
        </w:rPr>
        <w:t>，</w:t>
      </w:r>
      <w:r w:rsidRPr="00BC31E0">
        <w:rPr>
          <w:szCs w:val="20"/>
        </w:rPr>
        <w:t>2a</w:t>
      </w:r>
      <w:r w:rsidRPr="00BC31E0">
        <w:rPr>
          <w:rFonts w:hint="eastAsia"/>
          <w:szCs w:val="20"/>
        </w:rPr>
        <w:t>，</w:t>
      </w:r>
      <w:r w:rsidRPr="00BC31E0">
        <w:rPr>
          <w:szCs w:val="20"/>
        </w:rPr>
        <w:t>3</w:t>
      </w:r>
      <w:r w:rsidRPr="00BC31E0">
        <w:rPr>
          <w:rFonts w:ascii="ＭＳ 明朝" w:hint="eastAsia"/>
          <w:szCs w:val="20"/>
        </w:rPr>
        <w:t>の材料を</w:t>
      </w:r>
      <w:r w:rsidRPr="00BC31E0">
        <w:rPr>
          <w:rFonts w:asciiTheme="minorHAnsi" w:hAnsiTheme="minorHAnsi"/>
          <w:szCs w:val="20"/>
        </w:rPr>
        <w:t>375</w:t>
      </w:r>
      <w:r w:rsidRPr="00BC31E0">
        <w:rPr>
          <w:rFonts w:asciiTheme="minorEastAsia" w:eastAsiaTheme="minorEastAsia" w:hAnsiTheme="minorEastAsia"/>
          <w:szCs w:val="20"/>
        </w:rPr>
        <w:t>℃</w:t>
      </w:r>
      <w:r w:rsidRPr="00BC31E0">
        <w:rPr>
          <w:rFonts w:ascii="ＭＳ 明朝" w:hint="eastAsia"/>
          <w:szCs w:val="20"/>
        </w:rPr>
        <w:t>超で使用する場合は，非常に注意を要する。この材料は</w:t>
      </w:r>
      <w:r w:rsidRPr="00BC31E0">
        <w:rPr>
          <w:rFonts w:asciiTheme="minorHAnsi" w:hAnsiTheme="minorHAnsi"/>
          <w:szCs w:val="20"/>
        </w:rPr>
        <w:t>375</w:t>
      </w:r>
      <w:r w:rsidRPr="00BC31E0">
        <w:rPr>
          <w:rFonts w:asciiTheme="minorEastAsia" w:eastAsiaTheme="minorEastAsia" w:hAnsiTheme="minorEastAsia"/>
          <w:szCs w:val="20"/>
        </w:rPr>
        <w:t>℃</w:t>
      </w:r>
      <w:r w:rsidRPr="00BC31E0">
        <w:rPr>
          <w:rFonts w:ascii="ＭＳ 明朝" w:hint="eastAsia"/>
          <w:szCs w:val="20"/>
        </w:rPr>
        <w:t>を超えて使用すると，焼戻し脆化と応力緩和が生じるため，設計者は圧力容器に対するこれらの効果・影響を考慮する必要がある。</w:t>
      </w:r>
    </w:p>
    <w:p w14:paraId="285F3BAA" w14:textId="77777777" w:rsidR="00F03E0A" w:rsidRPr="00BC31E0" w:rsidRDefault="00F03E0A" w:rsidP="00736130">
      <w:pPr>
        <w:numPr>
          <w:ilvl w:val="0"/>
          <w:numId w:val="82"/>
        </w:numPr>
        <w:ind w:left="340" w:hanging="340"/>
        <w:rPr>
          <w:rFonts w:ascii="ＭＳ 明朝"/>
          <w:szCs w:val="20"/>
        </w:rPr>
      </w:pPr>
      <w:r w:rsidRPr="00BC31E0">
        <w:rPr>
          <w:szCs w:val="20"/>
        </w:rPr>
        <w:t>SA-705</w:t>
      </w:r>
      <w:r w:rsidR="00B66C86" w:rsidRPr="00BC31E0">
        <w:rPr>
          <w:rFonts w:hint="eastAsia"/>
          <w:szCs w:val="20"/>
        </w:rPr>
        <w:t>M</w:t>
      </w:r>
      <w:r w:rsidRPr="00BC31E0">
        <w:rPr>
          <w:rFonts w:ascii="ＭＳ 明朝" w:hint="eastAsia"/>
          <w:szCs w:val="20"/>
        </w:rPr>
        <w:t>，</w:t>
      </w:r>
      <w:r w:rsidRPr="00BC31E0">
        <w:rPr>
          <w:szCs w:val="20"/>
        </w:rPr>
        <w:t>SA-564</w:t>
      </w:r>
      <w:r w:rsidR="00B66C86" w:rsidRPr="00BC31E0">
        <w:rPr>
          <w:rFonts w:hint="eastAsia"/>
          <w:szCs w:val="20"/>
        </w:rPr>
        <w:t>M</w:t>
      </w:r>
      <w:r w:rsidRPr="00BC31E0">
        <w:rPr>
          <w:szCs w:val="20"/>
        </w:rPr>
        <w:t xml:space="preserve"> Type</w:t>
      </w:r>
      <w:r w:rsidRPr="00BC31E0">
        <w:rPr>
          <w:rFonts w:hint="eastAsia"/>
          <w:szCs w:val="20"/>
        </w:rPr>
        <w:t xml:space="preserve"> </w:t>
      </w:r>
      <w:r w:rsidRPr="00BC31E0">
        <w:rPr>
          <w:szCs w:val="20"/>
        </w:rPr>
        <w:t xml:space="preserve">630 </w:t>
      </w:r>
      <w:r w:rsidR="00B66C86" w:rsidRPr="00BC31E0">
        <w:rPr>
          <w:rFonts w:hint="eastAsia"/>
          <w:szCs w:val="20"/>
        </w:rPr>
        <w:t>Cond.</w:t>
      </w:r>
      <w:r w:rsidRPr="00BC31E0">
        <w:rPr>
          <w:szCs w:val="20"/>
        </w:rPr>
        <w:t>H1025</w:t>
      </w:r>
      <w:r w:rsidRPr="00BC31E0">
        <w:rPr>
          <w:rFonts w:hint="eastAsia"/>
          <w:szCs w:val="20"/>
        </w:rPr>
        <w:t>，</w:t>
      </w:r>
      <w:r w:rsidRPr="00BC31E0">
        <w:rPr>
          <w:szCs w:val="20"/>
        </w:rPr>
        <w:t>H1075</w:t>
      </w:r>
      <w:r w:rsidRPr="00BC31E0">
        <w:rPr>
          <w:rFonts w:hint="eastAsia"/>
          <w:szCs w:val="20"/>
        </w:rPr>
        <w:t>，</w:t>
      </w:r>
      <w:r w:rsidRPr="00BC31E0">
        <w:rPr>
          <w:szCs w:val="20"/>
        </w:rPr>
        <w:t>H1100</w:t>
      </w:r>
      <w:r w:rsidRPr="00BC31E0">
        <w:rPr>
          <w:rFonts w:hint="eastAsia"/>
          <w:szCs w:val="20"/>
        </w:rPr>
        <w:t>，</w:t>
      </w:r>
      <w:r w:rsidRPr="00BC31E0">
        <w:rPr>
          <w:szCs w:val="20"/>
        </w:rPr>
        <w:t>H1150</w:t>
      </w:r>
      <w:r w:rsidRPr="00BC31E0">
        <w:rPr>
          <w:rFonts w:ascii="ＭＳ 明朝" w:hint="eastAsia"/>
          <w:szCs w:val="20"/>
        </w:rPr>
        <w:t>，</w:t>
      </w:r>
      <w:r w:rsidRPr="00BC31E0">
        <w:rPr>
          <w:szCs w:val="20"/>
        </w:rPr>
        <w:t>H1150M</w:t>
      </w:r>
      <w:r w:rsidRPr="00BC31E0">
        <w:rPr>
          <w:rFonts w:ascii="ＭＳ 明朝" w:hint="eastAsia"/>
          <w:szCs w:val="20"/>
        </w:rPr>
        <w:t>の材料は，高温曝露すると室温での靭性が低下する。脆化温度は組成及び熱処理の時間と温度で決まり，脆化最低温度は約</w:t>
      </w:r>
      <w:r w:rsidRPr="00BC31E0">
        <w:rPr>
          <w:rFonts w:asciiTheme="minorHAnsi" w:hAnsiTheme="minorHAnsi"/>
          <w:szCs w:val="20"/>
        </w:rPr>
        <w:t>288</w:t>
      </w:r>
      <w:r w:rsidRPr="00BC31E0">
        <w:rPr>
          <w:rFonts w:asciiTheme="minorEastAsia" w:eastAsiaTheme="minorEastAsia" w:hAnsiTheme="minorEastAsia"/>
          <w:szCs w:val="20"/>
        </w:rPr>
        <w:t>℃</w:t>
      </w:r>
      <w:r w:rsidRPr="00BC31E0">
        <w:rPr>
          <w:rFonts w:ascii="ＭＳ 明朝" w:hint="eastAsia"/>
          <w:szCs w:val="20"/>
        </w:rPr>
        <w:t>である。</w:t>
      </w:r>
      <w:r w:rsidRPr="00BC31E0">
        <w:rPr>
          <w:rFonts w:ascii="ＭＳ ゴシック" w:eastAsia="ＭＳ ゴシック" w:hAnsi="ＭＳ ゴシック" w:hint="eastAsia"/>
          <w:b/>
          <w:szCs w:val="20"/>
        </w:rPr>
        <w:t>ASME Sec.II</w:t>
      </w:r>
      <w:r w:rsidRPr="00BC31E0">
        <w:rPr>
          <w:rFonts w:ascii="ＭＳ 明朝" w:hAnsi="ＭＳ 明朝" w:hint="eastAsia"/>
          <w:szCs w:val="20"/>
        </w:rPr>
        <w:t>,</w:t>
      </w:r>
      <w:r w:rsidRPr="00BC31E0">
        <w:rPr>
          <w:rFonts w:ascii="ＭＳ ゴシック" w:eastAsia="ＭＳ ゴシック" w:hAnsi="ＭＳ ゴシック" w:hint="eastAsia"/>
          <w:b/>
          <w:szCs w:val="20"/>
        </w:rPr>
        <w:t xml:space="preserve"> Part D</w:t>
      </w:r>
      <w:r w:rsidRPr="00BC31E0">
        <w:rPr>
          <w:rFonts w:ascii="ＭＳ 明朝" w:hAnsi="ＭＳ 明朝" w:hint="eastAsia"/>
          <w:szCs w:val="20"/>
        </w:rPr>
        <w:t>,</w:t>
      </w:r>
      <w:r w:rsidRPr="00BC31E0">
        <w:rPr>
          <w:rFonts w:ascii="ＭＳ ゴシック" w:eastAsia="ＭＳ ゴシック" w:hAnsi="ＭＳ ゴシック" w:hint="eastAsia"/>
          <w:b/>
          <w:szCs w:val="20"/>
        </w:rPr>
        <w:t xml:space="preserve"> </w:t>
      </w:r>
      <w:r w:rsidRPr="00BC31E0">
        <w:rPr>
          <w:rFonts w:ascii="ＭＳ ゴシック" w:eastAsia="ＭＳ ゴシック" w:hAnsi="ＭＳ ゴシック"/>
          <w:b/>
          <w:szCs w:val="20"/>
        </w:rPr>
        <w:t>Appendix A</w:t>
      </w:r>
      <w:r w:rsidRPr="00BC31E0">
        <w:rPr>
          <w:rFonts w:ascii="ＭＳ 明朝" w:hAnsi="ＭＳ 明朝"/>
          <w:szCs w:val="20"/>
        </w:rPr>
        <w:t>,</w:t>
      </w:r>
      <w:r w:rsidRPr="00BC31E0">
        <w:rPr>
          <w:rFonts w:ascii="ＭＳ ゴシック" w:eastAsia="ＭＳ ゴシック" w:hAnsi="ＭＳ ゴシック" w:hint="eastAsia"/>
          <w:b/>
          <w:szCs w:val="20"/>
        </w:rPr>
        <w:t xml:space="preserve"> </w:t>
      </w:r>
      <w:r w:rsidRPr="00BC31E0">
        <w:rPr>
          <w:rFonts w:ascii="ＭＳ ゴシック" w:eastAsia="ＭＳ ゴシック" w:hAnsi="ＭＳ ゴシック"/>
          <w:b/>
          <w:szCs w:val="20"/>
        </w:rPr>
        <w:t>A-360</w:t>
      </w:r>
      <w:r w:rsidRPr="00BC31E0">
        <w:rPr>
          <w:rFonts w:ascii="ＭＳ 明朝" w:hint="eastAsia"/>
          <w:szCs w:val="20"/>
        </w:rPr>
        <w:t>を参照する。</w:t>
      </w:r>
    </w:p>
    <w:p w14:paraId="6880C31F" w14:textId="77777777" w:rsidR="00F03E0A" w:rsidRPr="00BC31E0" w:rsidRDefault="00F03E0A" w:rsidP="00736130">
      <w:pPr>
        <w:numPr>
          <w:ilvl w:val="0"/>
          <w:numId w:val="82"/>
        </w:numPr>
        <w:ind w:left="340" w:hanging="340"/>
        <w:rPr>
          <w:rFonts w:ascii="ＭＳ 明朝"/>
          <w:szCs w:val="20"/>
        </w:rPr>
      </w:pPr>
      <w:r w:rsidRPr="00BC31E0">
        <w:rPr>
          <w:szCs w:val="20"/>
        </w:rPr>
        <w:t>SA-705</w:t>
      </w:r>
      <w:r w:rsidR="00B66C86" w:rsidRPr="00BC31E0">
        <w:rPr>
          <w:rFonts w:hint="eastAsia"/>
          <w:szCs w:val="20"/>
        </w:rPr>
        <w:t>M</w:t>
      </w:r>
      <w:r w:rsidRPr="00BC31E0">
        <w:rPr>
          <w:szCs w:val="20"/>
        </w:rPr>
        <w:t xml:space="preserve"> Type</w:t>
      </w:r>
      <w:r w:rsidRPr="00BC31E0">
        <w:rPr>
          <w:rFonts w:hint="eastAsia"/>
          <w:szCs w:val="20"/>
        </w:rPr>
        <w:t xml:space="preserve"> </w:t>
      </w:r>
      <w:r w:rsidRPr="00BC31E0">
        <w:rPr>
          <w:szCs w:val="20"/>
        </w:rPr>
        <w:t xml:space="preserve">XM-12 </w:t>
      </w:r>
      <w:r w:rsidR="00B66C86" w:rsidRPr="00BC31E0">
        <w:rPr>
          <w:rFonts w:hint="eastAsia"/>
          <w:szCs w:val="20"/>
        </w:rPr>
        <w:t>Cond.</w:t>
      </w:r>
      <w:r w:rsidRPr="00BC31E0">
        <w:rPr>
          <w:szCs w:val="20"/>
        </w:rPr>
        <w:t>H1100</w:t>
      </w:r>
      <w:r w:rsidRPr="00BC31E0">
        <w:rPr>
          <w:rFonts w:ascii="ＭＳ 明朝" w:hint="eastAsia"/>
          <w:szCs w:val="20"/>
        </w:rPr>
        <w:t>の材料を</w:t>
      </w:r>
      <w:r w:rsidRPr="00BC31E0">
        <w:rPr>
          <w:rFonts w:asciiTheme="minorHAnsi" w:hAnsiTheme="minorHAnsi"/>
          <w:szCs w:val="20"/>
        </w:rPr>
        <w:t>275</w:t>
      </w:r>
      <w:r w:rsidRPr="00BC31E0">
        <w:rPr>
          <w:rFonts w:asciiTheme="minorEastAsia" w:eastAsiaTheme="minorEastAsia" w:hAnsiTheme="minorEastAsia"/>
          <w:szCs w:val="20"/>
        </w:rPr>
        <w:t>℃</w:t>
      </w:r>
      <w:r w:rsidRPr="00BC31E0">
        <w:rPr>
          <w:rFonts w:ascii="ＭＳ 明朝" w:hint="eastAsia"/>
          <w:szCs w:val="20"/>
        </w:rPr>
        <w:t>～</w:t>
      </w:r>
      <w:r w:rsidRPr="00BC31E0">
        <w:rPr>
          <w:rFonts w:asciiTheme="minorHAnsi" w:eastAsiaTheme="majorEastAsia" w:hAnsiTheme="minorHAnsi"/>
          <w:szCs w:val="20"/>
        </w:rPr>
        <w:t>300</w:t>
      </w:r>
      <w:r w:rsidRPr="00BC31E0">
        <w:rPr>
          <w:rFonts w:asciiTheme="minorEastAsia" w:eastAsiaTheme="minorEastAsia" w:hAnsiTheme="minorEastAsia"/>
          <w:szCs w:val="20"/>
        </w:rPr>
        <w:t>℃</w:t>
      </w:r>
      <w:r w:rsidRPr="00BC31E0">
        <w:rPr>
          <w:rFonts w:ascii="ＭＳ 明朝" w:hint="eastAsia"/>
          <w:szCs w:val="20"/>
        </w:rPr>
        <w:t>で使用する場合は，非常に注意を要する。</w:t>
      </w:r>
      <w:r w:rsidRPr="00BC31E0">
        <w:rPr>
          <w:rFonts w:asciiTheme="minorHAnsi" w:hAnsiTheme="minorHAnsi"/>
          <w:szCs w:val="20"/>
        </w:rPr>
        <w:t>275</w:t>
      </w:r>
      <w:r w:rsidRPr="00BC31E0">
        <w:rPr>
          <w:rFonts w:asciiTheme="minorEastAsia" w:eastAsiaTheme="minorEastAsia" w:hAnsiTheme="minorEastAsia"/>
          <w:szCs w:val="20"/>
        </w:rPr>
        <w:t>℃</w:t>
      </w:r>
      <w:r w:rsidRPr="00BC31E0">
        <w:rPr>
          <w:rFonts w:asciiTheme="minorHAnsi" w:hAnsiTheme="minorHAnsi"/>
          <w:szCs w:val="20"/>
        </w:rPr>
        <w:t>～</w:t>
      </w:r>
      <w:r w:rsidRPr="00BC31E0">
        <w:rPr>
          <w:rFonts w:asciiTheme="minorHAnsi" w:hAnsiTheme="minorHAnsi"/>
          <w:szCs w:val="20"/>
        </w:rPr>
        <w:t>300</w:t>
      </w:r>
      <w:r w:rsidRPr="00BC31E0">
        <w:rPr>
          <w:rFonts w:asciiTheme="minorEastAsia" w:eastAsiaTheme="minorEastAsia" w:hAnsiTheme="minorEastAsia"/>
          <w:szCs w:val="20"/>
        </w:rPr>
        <w:t>℃</w:t>
      </w:r>
      <w:r w:rsidRPr="00BC31E0">
        <w:rPr>
          <w:rFonts w:ascii="ＭＳ 明朝" w:hint="eastAsia"/>
          <w:szCs w:val="20"/>
        </w:rPr>
        <w:t>で長時間曝露すると，靭性が低下する。</w:t>
      </w:r>
      <w:r w:rsidRPr="00BC31E0">
        <w:rPr>
          <w:rFonts w:ascii="ＭＳ ゴシック" w:eastAsia="ＭＳ ゴシック" w:hAnsi="ＭＳ ゴシック" w:hint="eastAsia"/>
          <w:b/>
          <w:szCs w:val="20"/>
        </w:rPr>
        <w:t>ASME Sec.II</w:t>
      </w:r>
      <w:r w:rsidRPr="00BC31E0">
        <w:rPr>
          <w:rFonts w:ascii="ＭＳ 明朝" w:hAnsi="ＭＳ 明朝" w:hint="eastAsia"/>
          <w:szCs w:val="20"/>
        </w:rPr>
        <w:t>,</w:t>
      </w:r>
      <w:r w:rsidRPr="00BC31E0">
        <w:rPr>
          <w:rFonts w:ascii="ＭＳ ゴシック" w:eastAsia="ＭＳ ゴシック" w:hAnsi="ＭＳ ゴシック" w:hint="eastAsia"/>
          <w:b/>
          <w:szCs w:val="20"/>
        </w:rPr>
        <w:t xml:space="preserve"> Part D</w:t>
      </w:r>
      <w:r w:rsidRPr="00BC31E0">
        <w:rPr>
          <w:rFonts w:ascii="ＭＳ 明朝" w:hAnsi="ＭＳ 明朝" w:hint="eastAsia"/>
          <w:szCs w:val="20"/>
        </w:rPr>
        <w:t xml:space="preserve">, </w:t>
      </w:r>
      <w:r w:rsidRPr="00BC31E0">
        <w:rPr>
          <w:rFonts w:ascii="ＭＳ ゴシック" w:eastAsia="ＭＳ ゴシック" w:hAnsi="ＭＳ ゴシック"/>
          <w:b/>
          <w:szCs w:val="20"/>
        </w:rPr>
        <w:t>Appendix A</w:t>
      </w:r>
      <w:r w:rsidRPr="00BC31E0">
        <w:rPr>
          <w:rFonts w:ascii="ＭＳ 明朝" w:hAnsi="ＭＳ 明朝" w:hint="eastAsia"/>
          <w:szCs w:val="20"/>
        </w:rPr>
        <w:t xml:space="preserve">, </w:t>
      </w:r>
      <w:r w:rsidRPr="00BC31E0">
        <w:rPr>
          <w:rFonts w:ascii="ＭＳ ゴシック" w:eastAsia="ＭＳ ゴシック" w:hAnsi="ＭＳ ゴシック"/>
          <w:b/>
          <w:szCs w:val="20"/>
        </w:rPr>
        <w:t>A-360</w:t>
      </w:r>
      <w:r w:rsidRPr="00BC31E0">
        <w:rPr>
          <w:rFonts w:ascii="ＭＳ 明朝" w:hint="eastAsia"/>
          <w:szCs w:val="20"/>
        </w:rPr>
        <w:t>を参照する。</w:t>
      </w:r>
    </w:p>
    <w:p w14:paraId="2ECA585A" w14:textId="77777777" w:rsidR="00F03E0A" w:rsidRPr="00BC31E0" w:rsidRDefault="00F03E0A" w:rsidP="00736130">
      <w:pPr>
        <w:numPr>
          <w:ilvl w:val="0"/>
          <w:numId w:val="82"/>
        </w:numPr>
        <w:ind w:left="340" w:hanging="340"/>
        <w:rPr>
          <w:rFonts w:ascii="ＭＳ 明朝"/>
          <w:szCs w:val="20"/>
        </w:rPr>
      </w:pPr>
      <w:r w:rsidRPr="00BC31E0">
        <w:rPr>
          <w:szCs w:val="20"/>
        </w:rPr>
        <w:t>SA-182</w:t>
      </w:r>
      <w:r w:rsidR="00B66C86" w:rsidRPr="00BC31E0">
        <w:rPr>
          <w:rFonts w:hint="eastAsia"/>
          <w:szCs w:val="20"/>
        </w:rPr>
        <w:t>M Gr.</w:t>
      </w:r>
      <w:r w:rsidRPr="00BC31E0">
        <w:rPr>
          <w:szCs w:val="20"/>
        </w:rPr>
        <w:t>F22V</w:t>
      </w:r>
      <w:r w:rsidRPr="00BC31E0">
        <w:rPr>
          <w:rFonts w:hint="eastAsia"/>
          <w:szCs w:val="20"/>
        </w:rPr>
        <w:t>，</w:t>
      </w:r>
      <w:r w:rsidRPr="00BC31E0">
        <w:rPr>
          <w:szCs w:val="20"/>
        </w:rPr>
        <w:t>SA-336</w:t>
      </w:r>
      <w:r w:rsidR="00B66C86" w:rsidRPr="00BC31E0">
        <w:rPr>
          <w:rFonts w:hint="eastAsia"/>
          <w:szCs w:val="20"/>
        </w:rPr>
        <w:t>M Gr.</w:t>
      </w:r>
      <w:r w:rsidRPr="00BC31E0">
        <w:rPr>
          <w:szCs w:val="20"/>
        </w:rPr>
        <w:t>F22V</w:t>
      </w:r>
      <w:r w:rsidRPr="00BC31E0">
        <w:rPr>
          <w:rFonts w:hint="eastAsia"/>
          <w:szCs w:val="20"/>
        </w:rPr>
        <w:t>，</w:t>
      </w:r>
      <w:r w:rsidRPr="00BC31E0">
        <w:rPr>
          <w:szCs w:val="20"/>
        </w:rPr>
        <w:t>F3V</w:t>
      </w:r>
      <w:r w:rsidRPr="00BC31E0">
        <w:rPr>
          <w:rFonts w:hint="eastAsia"/>
          <w:szCs w:val="20"/>
        </w:rPr>
        <w:t>，</w:t>
      </w:r>
      <w:r w:rsidRPr="00BC31E0">
        <w:rPr>
          <w:szCs w:val="20"/>
        </w:rPr>
        <w:t>SA-541</w:t>
      </w:r>
      <w:r w:rsidR="00B66C86" w:rsidRPr="00BC31E0">
        <w:rPr>
          <w:rFonts w:hint="eastAsia"/>
          <w:szCs w:val="20"/>
        </w:rPr>
        <w:t>M Gr.</w:t>
      </w:r>
      <w:r w:rsidRPr="00BC31E0">
        <w:rPr>
          <w:szCs w:val="20"/>
        </w:rPr>
        <w:t>22V</w:t>
      </w:r>
      <w:r w:rsidRPr="00BC31E0">
        <w:rPr>
          <w:rFonts w:hint="eastAsia"/>
          <w:szCs w:val="20"/>
        </w:rPr>
        <w:t>，</w:t>
      </w:r>
      <w:r w:rsidRPr="00BC31E0">
        <w:rPr>
          <w:szCs w:val="20"/>
        </w:rPr>
        <w:t>SA-542</w:t>
      </w:r>
      <w:r w:rsidR="007B462E" w:rsidRPr="00BC31E0">
        <w:rPr>
          <w:rFonts w:hint="eastAsia"/>
          <w:szCs w:val="20"/>
        </w:rPr>
        <w:t>M Type</w:t>
      </w:r>
      <w:r w:rsidRPr="00BC31E0">
        <w:rPr>
          <w:szCs w:val="20"/>
        </w:rPr>
        <w:t xml:space="preserve"> D</w:t>
      </w:r>
      <w:r w:rsidRPr="00BC31E0">
        <w:rPr>
          <w:rFonts w:hint="eastAsia"/>
          <w:szCs w:val="20"/>
        </w:rPr>
        <w:t>，</w:t>
      </w:r>
      <w:r w:rsidRPr="00BC31E0">
        <w:rPr>
          <w:szCs w:val="20"/>
        </w:rPr>
        <w:t>SA-832</w:t>
      </w:r>
      <w:r w:rsidR="007B462E" w:rsidRPr="00BC31E0">
        <w:rPr>
          <w:rFonts w:hint="eastAsia"/>
          <w:szCs w:val="20"/>
        </w:rPr>
        <w:t>M</w:t>
      </w:r>
      <w:r w:rsidRPr="00BC31E0">
        <w:rPr>
          <w:szCs w:val="20"/>
        </w:rPr>
        <w:t xml:space="preserve"> </w:t>
      </w:r>
      <w:r w:rsidR="007B462E" w:rsidRPr="00BC31E0">
        <w:rPr>
          <w:rFonts w:hint="eastAsia"/>
          <w:szCs w:val="20"/>
        </w:rPr>
        <w:t>Gr.</w:t>
      </w:r>
      <w:r w:rsidRPr="00BC31E0">
        <w:rPr>
          <w:szCs w:val="20"/>
        </w:rPr>
        <w:t>21V</w:t>
      </w:r>
      <w:r w:rsidRPr="00BC31E0">
        <w:rPr>
          <w:rFonts w:hint="eastAsia"/>
          <w:szCs w:val="20"/>
        </w:rPr>
        <w:t>，</w:t>
      </w:r>
      <w:r w:rsidRPr="00BC31E0">
        <w:rPr>
          <w:szCs w:val="20"/>
        </w:rPr>
        <w:t>22V</w:t>
      </w:r>
      <w:r w:rsidRPr="00BC31E0">
        <w:rPr>
          <w:rFonts w:ascii="ＭＳ 明朝" w:hint="eastAsia"/>
          <w:szCs w:val="20"/>
        </w:rPr>
        <w:t>の材料を溶接構造物に使用する場合，次の追加要求がある。</w:t>
      </w:r>
    </w:p>
    <w:p w14:paraId="23AC313D" w14:textId="77777777" w:rsidR="00F03E0A" w:rsidRPr="00BC31E0" w:rsidRDefault="00F03E0A" w:rsidP="00BE7ECE">
      <w:pPr>
        <w:tabs>
          <w:tab w:val="num" w:pos="0"/>
        </w:tabs>
        <w:ind w:left="907" w:hanging="340"/>
        <w:rPr>
          <w:rFonts w:ascii="ＭＳ 明朝" w:hAnsi="ＭＳ 明朝"/>
          <w:szCs w:val="20"/>
        </w:rPr>
      </w:pPr>
      <w:r w:rsidRPr="00BC31E0">
        <w:rPr>
          <w:rFonts w:ascii="ＭＳ ゴシック" w:eastAsia="ＭＳ ゴシック" w:hAnsi="ＭＳ ゴシック" w:hint="eastAsia"/>
          <w:b/>
          <w:szCs w:val="20"/>
          <w:vertAlign w:val="superscript"/>
        </w:rPr>
        <w:t>q.1)</w:t>
      </w:r>
      <w:r w:rsidRPr="00BC31E0">
        <w:rPr>
          <w:rFonts w:ascii="ＭＳ ゴシック" w:eastAsia="ＭＳ ゴシック" w:hAnsi="ＭＳ ゴシック" w:hint="eastAsia"/>
          <w:b/>
          <w:szCs w:val="20"/>
        </w:rPr>
        <w:t xml:space="preserve"> 10.1</w:t>
      </w:r>
      <w:r w:rsidRPr="00BC31E0">
        <w:rPr>
          <w:rFonts w:ascii="ＭＳ 明朝" w:hAnsi="ＭＳ 明朝" w:hint="eastAsia"/>
          <w:szCs w:val="20"/>
        </w:rPr>
        <w:t>及び</w:t>
      </w:r>
      <w:r w:rsidRPr="00BC31E0">
        <w:rPr>
          <w:rFonts w:ascii="ＭＳ ゴシック" w:eastAsia="ＭＳ ゴシック" w:hAnsi="ＭＳ ゴシック" w:hint="eastAsia"/>
          <w:b/>
          <w:szCs w:val="20"/>
        </w:rPr>
        <w:t>10.2</w:t>
      </w:r>
      <w:r w:rsidRPr="00BC31E0">
        <w:rPr>
          <w:rFonts w:ascii="ＭＳ 明朝" w:hAnsi="ＭＳ 明朝" w:hint="eastAsia"/>
          <w:szCs w:val="20"/>
        </w:rPr>
        <w:t>の要求事項を満たす場合には，当該溶接後熱処理温度における最短時間と最長時間の両方で熱処理を行った試験片で引張試験を行わなければならない。また，当該溶接後熱処理温度における最短時間で熱処理を行った試験片で衝撃試験を行わなければならない。引張試験結果は，材料規格を満足しなければならない。衝撃試験結果は，</w:t>
      </w:r>
      <w:r w:rsidRPr="00BC31E0">
        <w:rPr>
          <w:rFonts w:ascii="ＭＳ ゴシック" w:eastAsia="ＭＳ ゴシック" w:hAnsi="ＭＳ ゴシック" w:hint="eastAsia"/>
          <w:b/>
          <w:szCs w:val="20"/>
        </w:rPr>
        <w:t>5.2.7</w:t>
      </w:r>
      <w:r w:rsidRPr="00BC31E0">
        <w:rPr>
          <w:rFonts w:ascii="ＭＳ 明朝" w:hAnsi="ＭＳ 明朝" w:hint="eastAsia"/>
          <w:szCs w:val="20"/>
        </w:rPr>
        <w:t>の要求事項を満足しなければならない。</w:t>
      </w:r>
    </w:p>
    <w:p w14:paraId="1FE9C203" w14:textId="77777777" w:rsidR="00F03E0A" w:rsidRPr="00BC31E0" w:rsidRDefault="00F03E0A" w:rsidP="00BE7ECE">
      <w:pPr>
        <w:tabs>
          <w:tab w:val="num" w:pos="0"/>
        </w:tabs>
        <w:ind w:left="907" w:hanging="340"/>
        <w:rPr>
          <w:rFonts w:ascii="ＭＳ 明朝" w:hAnsi="ＭＳ 明朝"/>
          <w:szCs w:val="20"/>
        </w:rPr>
      </w:pPr>
      <w:r w:rsidRPr="00BC31E0">
        <w:rPr>
          <w:rFonts w:ascii="ＭＳ ゴシック" w:eastAsia="ＭＳ ゴシック" w:hAnsi="ＭＳ ゴシック" w:hint="eastAsia"/>
          <w:b/>
          <w:szCs w:val="20"/>
          <w:vertAlign w:val="superscript"/>
        </w:rPr>
        <w:t>q.2)</w:t>
      </w:r>
      <w:r w:rsidRPr="00BC31E0">
        <w:rPr>
          <w:rFonts w:ascii="ＭＳ 明朝" w:hAnsi="ＭＳ 明朝" w:hint="eastAsia"/>
          <w:szCs w:val="20"/>
        </w:rPr>
        <w:t xml:space="preserve"> 溶接施工方法確認試験の強度試験結果は，当該材料の材料規格に定める引張強さの最小値及び引張強さの最大値の要求を満足しなければならない。</w:t>
      </w:r>
    </w:p>
    <w:p w14:paraId="65C4A030" w14:textId="77777777" w:rsidR="00F03E0A" w:rsidRPr="00BC31E0" w:rsidRDefault="00F03E0A" w:rsidP="00BE7ECE">
      <w:pPr>
        <w:tabs>
          <w:tab w:val="num" w:pos="0"/>
        </w:tabs>
        <w:ind w:left="907" w:hanging="340"/>
        <w:rPr>
          <w:rFonts w:ascii="ＭＳ 明朝" w:hAnsi="ＭＳ 明朝"/>
          <w:szCs w:val="20"/>
        </w:rPr>
      </w:pPr>
      <w:r w:rsidRPr="00BC31E0">
        <w:rPr>
          <w:rFonts w:ascii="ＭＳ ゴシック" w:eastAsia="ＭＳ ゴシック" w:hAnsi="ＭＳ ゴシック" w:hint="eastAsia"/>
          <w:b/>
          <w:szCs w:val="20"/>
          <w:vertAlign w:val="superscript"/>
        </w:rPr>
        <w:t>q.3)</w:t>
      </w:r>
      <w:r w:rsidRPr="00BC31E0">
        <w:rPr>
          <w:rFonts w:ascii="ＭＳ 明朝" w:hAnsi="ＭＳ 明朝" w:hint="eastAsia"/>
          <w:szCs w:val="20"/>
        </w:rPr>
        <w:t xml:space="preserve"> 消耗品である溶接棒の各ヒート又は各ロット，フラックス入り溶接ワイヤの各ヒート又は各ロットは上記 </w:t>
      </w:r>
      <w:r w:rsidRPr="00BC31E0">
        <w:rPr>
          <w:rFonts w:ascii="ＭＳ ゴシック" w:eastAsia="ＭＳ ゴシック" w:hAnsi="ＭＳ ゴシック" w:hint="eastAsia"/>
          <w:b/>
          <w:szCs w:val="20"/>
          <w:vertAlign w:val="superscript"/>
        </w:rPr>
        <w:t>q.1)</w:t>
      </w:r>
      <w:r w:rsidRPr="00BC31E0">
        <w:rPr>
          <w:rFonts w:ascii="ＭＳ 明朝" w:hAnsi="ＭＳ 明朝" w:hint="eastAsia"/>
          <w:szCs w:val="20"/>
        </w:rPr>
        <w:t>の要求に合致するように試験を行う。</w:t>
      </w:r>
    </w:p>
    <w:p w14:paraId="43424CFF" w14:textId="77777777" w:rsidR="00F03E0A" w:rsidRPr="00BC31E0" w:rsidRDefault="00F03E0A" w:rsidP="00736130">
      <w:pPr>
        <w:numPr>
          <w:ilvl w:val="0"/>
          <w:numId w:val="82"/>
        </w:numPr>
        <w:ind w:left="340" w:hanging="340"/>
        <w:rPr>
          <w:rFonts w:ascii="ＭＳ 明朝"/>
          <w:szCs w:val="20"/>
        </w:rPr>
      </w:pPr>
      <w:r w:rsidRPr="00BC31E0">
        <w:rPr>
          <w:szCs w:val="20"/>
        </w:rPr>
        <w:t>SA-312</w:t>
      </w:r>
      <w:r w:rsidR="007B462E" w:rsidRPr="00BC31E0">
        <w:rPr>
          <w:rFonts w:hint="eastAsia"/>
          <w:szCs w:val="20"/>
        </w:rPr>
        <w:t>M Gr.</w:t>
      </w:r>
      <w:r w:rsidRPr="00BC31E0">
        <w:rPr>
          <w:szCs w:val="20"/>
        </w:rPr>
        <w:t>TP316</w:t>
      </w:r>
      <w:r w:rsidRPr="00BC31E0">
        <w:rPr>
          <w:rFonts w:hint="eastAsia"/>
          <w:szCs w:val="20"/>
        </w:rPr>
        <w:t>，</w:t>
      </w:r>
      <w:r w:rsidRPr="00BC31E0">
        <w:rPr>
          <w:szCs w:val="20"/>
        </w:rPr>
        <w:t>TP316H</w:t>
      </w:r>
      <w:r w:rsidRPr="00BC31E0">
        <w:rPr>
          <w:rFonts w:ascii="ＭＳ 明朝" w:hint="eastAsia"/>
          <w:szCs w:val="20"/>
        </w:rPr>
        <w:t>は，継目なし管に限り使用が認められる。</w:t>
      </w:r>
    </w:p>
    <w:p w14:paraId="61909A44" w14:textId="77777777" w:rsidR="00F03E0A" w:rsidRPr="00BC31E0" w:rsidRDefault="00F03E0A" w:rsidP="00736130">
      <w:pPr>
        <w:numPr>
          <w:ilvl w:val="0"/>
          <w:numId w:val="82"/>
        </w:numPr>
        <w:ind w:left="340" w:hanging="340"/>
        <w:rPr>
          <w:rFonts w:ascii="ＭＳ 明朝"/>
          <w:szCs w:val="20"/>
        </w:rPr>
      </w:pPr>
      <w:r w:rsidRPr="00BC31E0">
        <w:rPr>
          <w:rFonts w:ascii="ＭＳ ゴシック" w:eastAsia="ＭＳ ゴシック" w:hAnsi="ＭＳ ゴシック" w:hint="eastAsia"/>
          <w:b/>
          <w:szCs w:val="20"/>
        </w:rPr>
        <w:t>JIS</w:t>
      </w:r>
      <w:r w:rsidRPr="00BC31E0">
        <w:rPr>
          <w:rFonts w:ascii="ＭＳ 明朝" w:hint="eastAsia"/>
          <w:szCs w:val="20"/>
        </w:rPr>
        <w:t>にある材料については，設計応力強さ表</w:t>
      </w:r>
      <w:r w:rsidRPr="00BC31E0">
        <w:rPr>
          <w:szCs w:val="20"/>
        </w:rPr>
        <w:t>(</w:t>
      </w:r>
      <w:r w:rsidRPr="00BC31E0">
        <w:rPr>
          <w:rFonts w:ascii="ＭＳ ゴシック" w:eastAsia="ＭＳ ゴシック" w:hAnsi="ＭＳ ゴシック" w:hint="eastAsia"/>
          <w:b/>
          <w:szCs w:val="20"/>
        </w:rPr>
        <w:t>JIS B 8266 付表2.1</w:t>
      </w:r>
      <w:r w:rsidRPr="00BC31E0">
        <w:rPr>
          <w:rFonts w:ascii="ＭＳ 明朝" w:hAnsi="ＭＳ 明朝" w:hint="eastAsia"/>
          <w:szCs w:val="20"/>
        </w:rPr>
        <w:t>,</w:t>
      </w:r>
      <w:r w:rsidRPr="00BC31E0">
        <w:rPr>
          <w:rFonts w:ascii="ＭＳ ゴシック" w:eastAsia="ＭＳ ゴシック" w:hAnsi="ＭＳ ゴシック" w:hint="eastAsia"/>
          <w:b/>
          <w:szCs w:val="20"/>
        </w:rPr>
        <w:t>付表3.1</w:t>
      </w:r>
      <w:r w:rsidRPr="00BC31E0">
        <w:rPr>
          <w:szCs w:val="20"/>
        </w:rPr>
        <w:t>)</w:t>
      </w:r>
      <w:r w:rsidRPr="00BC31E0">
        <w:rPr>
          <w:rFonts w:ascii="ＭＳ 明朝" w:hint="eastAsia"/>
          <w:szCs w:val="20"/>
        </w:rPr>
        <w:t>の注記を参照する。</w:t>
      </w:r>
    </w:p>
    <w:p w14:paraId="037B156C" w14:textId="77777777" w:rsidR="00F03E0A" w:rsidRPr="00BC31E0" w:rsidRDefault="00F03E0A" w:rsidP="00736130">
      <w:pPr>
        <w:numPr>
          <w:ilvl w:val="0"/>
          <w:numId w:val="82"/>
        </w:numPr>
        <w:ind w:left="340" w:hanging="340"/>
        <w:rPr>
          <w:rFonts w:ascii="ＭＳ 明朝"/>
          <w:szCs w:val="20"/>
        </w:rPr>
      </w:pPr>
      <w:r w:rsidRPr="00BC31E0">
        <w:rPr>
          <w:rFonts w:ascii="ＭＳ ゴシック" w:eastAsia="ＭＳ ゴシック" w:hAnsi="ＭＳ ゴシック" w:hint="eastAsia"/>
          <w:b/>
          <w:szCs w:val="20"/>
        </w:rPr>
        <w:t>ASME Sec.VIII Div.2</w:t>
      </w:r>
      <w:r w:rsidRPr="00BC31E0">
        <w:rPr>
          <w:rFonts w:ascii="ＭＳ 明朝" w:hint="eastAsia"/>
          <w:szCs w:val="20"/>
        </w:rPr>
        <w:t>の規格にある材料については，設計応力強さ表</w:t>
      </w:r>
      <w:r w:rsidRPr="00BC31E0">
        <w:rPr>
          <w:szCs w:val="20"/>
        </w:rPr>
        <w:t>(</w:t>
      </w:r>
      <w:r w:rsidRPr="00BC31E0">
        <w:rPr>
          <w:rFonts w:ascii="ＭＳ ゴシック" w:eastAsia="ＭＳ ゴシック" w:hAnsi="ＭＳ ゴシック" w:hint="eastAsia"/>
          <w:b/>
          <w:szCs w:val="20"/>
        </w:rPr>
        <w:t>ASME Sec.II</w:t>
      </w:r>
      <w:r w:rsidRPr="00BC31E0">
        <w:rPr>
          <w:rFonts w:ascii="ＭＳ 明朝" w:hAnsi="ＭＳ 明朝" w:hint="eastAsia"/>
          <w:szCs w:val="20"/>
        </w:rPr>
        <w:t>,</w:t>
      </w:r>
      <w:r w:rsidRPr="00BC31E0">
        <w:rPr>
          <w:rFonts w:ascii="ＭＳ ゴシック" w:eastAsia="ＭＳ ゴシック" w:hAnsi="ＭＳ ゴシック" w:hint="eastAsia"/>
          <w:b/>
          <w:szCs w:val="20"/>
        </w:rPr>
        <w:t xml:space="preserve"> Part D</w:t>
      </w:r>
      <w:r w:rsidRPr="00BC31E0">
        <w:rPr>
          <w:rFonts w:ascii="ＭＳ 明朝" w:hAnsi="ＭＳ 明朝" w:hint="eastAsia"/>
          <w:szCs w:val="20"/>
        </w:rPr>
        <w:t>,</w:t>
      </w:r>
      <w:r w:rsidRPr="00BC31E0">
        <w:rPr>
          <w:rFonts w:ascii="ＭＳ ゴシック" w:eastAsia="ＭＳ ゴシック" w:hAnsi="ＭＳ ゴシック" w:hint="eastAsia"/>
          <w:b/>
          <w:szCs w:val="20"/>
        </w:rPr>
        <w:t xml:space="preserve">  Table 2A</w:t>
      </w:r>
      <w:r w:rsidRPr="00BC31E0">
        <w:rPr>
          <w:rFonts w:ascii="ＭＳ 明朝" w:hAnsi="ＭＳ 明朝" w:hint="eastAsia"/>
          <w:szCs w:val="20"/>
        </w:rPr>
        <w:t xml:space="preserve">, </w:t>
      </w:r>
      <w:r w:rsidRPr="00BC31E0">
        <w:rPr>
          <w:rFonts w:ascii="ＭＳ ゴシック" w:eastAsia="ＭＳ ゴシック" w:hAnsi="ＭＳ ゴシック" w:hint="eastAsia"/>
          <w:b/>
          <w:szCs w:val="20"/>
        </w:rPr>
        <w:t>Table 3</w:t>
      </w:r>
      <w:r w:rsidRPr="00BC31E0">
        <w:rPr>
          <w:szCs w:val="20"/>
        </w:rPr>
        <w:t>)</w:t>
      </w:r>
      <w:r w:rsidRPr="00BC31E0">
        <w:rPr>
          <w:rFonts w:ascii="ＭＳ 明朝" w:hint="eastAsia"/>
          <w:szCs w:val="20"/>
        </w:rPr>
        <w:t>の注記を参照する。</w:t>
      </w:r>
    </w:p>
    <w:p w14:paraId="23F1873C" w14:textId="77777777" w:rsidR="00F03E0A" w:rsidRPr="00BC31E0" w:rsidRDefault="00F03E0A" w:rsidP="00736130">
      <w:pPr>
        <w:numPr>
          <w:ilvl w:val="0"/>
          <w:numId w:val="82"/>
        </w:numPr>
        <w:ind w:left="340" w:hanging="340"/>
        <w:rPr>
          <w:rFonts w:ascii="ＭＳ 明朝"/>
          <w:szCs w:val="20"/>
        </w:rPr>
      </w:pPr>
      <w:r w:rsidRPr="00BC31E0">
        <w:rPr>
          <w:rFonts w:ascii="ＭＳ ゴシック" w:eastAsia="ＭＳ ゴシック" w:hAnsi="ＭＳ ゴシック" w:hint="eastAsia"/>
          <w:b/>
          <w:szCs w:val="20"/>
        </w:rPr>
        <w:t>ASME</w:t>
      </w:r>
      <w:r w:rsidRPr="00BC31E0">
        <w:rPr>
          <w:rFonts w:ascii="ＭＳ 明朝" w:hint="eastAsia"/>
          <w:szCs w:val="20"/>
        </w:rPr>
        <w:t>の温度データから常温と使用温度との</w:t>
      </w:r>
      <m:oMath>
        <m:r>
          <m:rPr>
            <m:sty m:val="p"/>
          </m:rP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S</m:t>
            </m:r>
          </m:e>
          <m:sub>
            <m:r>
              <w:rPr>
                <w:rFonts w:ascii="Cambria Math" w:hAnsi="Cambria Math"/>
                <w:szCs w:val="20"/>
              </w:rPr>
              <m:t>y</m:t>
            </m:r>
          </m:sub>
        </m:sSub>
        <m:r>
          <w:rPr>
            <w:rFonts w:ascii="Cambria Math" w:hAnsi="Cambria Math"/>
            <w:szCs w:val="20"/>
          </w:rPr>
          <m:t xml:space="preserve"> </m:t>
        </m:r>
      </m:oMath>
      <w:r w:rsidRPr="00BC31E0">
        <w:rPr>
          <w:rFonts w:ascii="ＭＳ 明朝" w:hint="eastAsia"/>
          <w:szCs w:val="20"/>
        </w:rPr>
        <w:t>又は</w:t>
      </w:r>
      <m:oMath>
        <m:sSub>
          <m:sSubPr>
            <m:ctrlPr>
              <w:rPr>
                <w:rFonts w:ascii="Cambria Math" w:hAnsi="Cambria Math"/>
                <w:i/>
                <w:szCs w:val="20"/>
              </w:rPr>
            </m:ctrlPr>
          </m:sSubPr>
          <m:e>
            <m:r>
              <w:rPr>
                <w:rFonts w:ascii="Cambria Math" w:hAnsi="Cambria Math"/>
                <w:szCs w:val="20"/>
              </w:rPr>
              <m:t xml:space="preserve"> S</m:t>
            </m:r>
          </m:e>
          <m:sub>
            <m:r>
              <w:rPr>
                <w:rFonts w:ascii="Cambria Math" w:hAnsi="Cambria Math"/>
                <w:szCs w:val="20"/>
              </w:rPr>
              <m:t>u</m:t>
            </m:r>
          </m:sub>
        </m:sSub>
        <m:r>
          <w:rPr>
            <w:rFonts w:ascii="Cambria Math" w:hAnsi="Cambria Math"/>
            <w:szCs w:val="20"/>
          </w:rPr>
          <m:t xml:space="preserve"> </m:t>
        </m:r>
      </m:oMath>
      <w:r w:rsidRPr="00BC31E0">
        <w:rPr>
          <w:rFonts w:ascii="ＭＳ 明朝" w:hint="eastAsia"/>
          <w:szCs w:val="20"/>
        </w:rPr>
        <w:t>の比を求め，</w:t>
      </w:r>
      <w:r w:rsidRPr="00BC31E0">
        <w:rPr>
          <w:rFonts w:ascii="ＭＳ ゴシック" w:eastAsia="ＭＳ ゴシック" w:hAnsi="ＭＳ ゴシック" w:hint="eastAsia"/>
          <w:b/>
          <w:szCs w:val="20"/>
        </w:rPr>
        <w:t>JIS</w:t>
      </w:r>
      <w:r w:rsidRPr="00BC31E0">
        <w:rPr>
          <w:rFonts w:ascii="ＭＳ 明朝" w:hint="eastAsia"/>
          <w:szCs w:val="20"/>
        </w:rPr>
        <w:t>の規定値に掛けることにより使用温度の</w:t>
      </w:r>
      <m:oMath>
        <m:r>
          <m:rPr>
            <m:sty m:val="p"/>
          </m:rP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S</m:t>
            </m:r>
          </m:e>
          <m:sub>
            <m:r>
              <w:rPr>
                <w:rFonts w:ascii="Cambria Math" w:hAnsi="Cambria Math"/>
                <w:szCs w:val="20"/>
              </w:rPr>
              <m:t>y</m:t>
            </m:r>
          </m:sub>
        </m:sSub>
        <m:r>
          <w:rPr>
            <w:rFonts w:ascii="Cambria Math" w:hAnsi="Cambria Math"/>
            <w:szCs w:val="20"/>
          </w:rPr>
          <m:t xml:space="preserve"> </m:t>
        </m:r>
      </m:oMath>
      <w:r w:rsidRPr="00BC31E0">
        <w:rPr>
          <w:rFonts w:ascii="ＭＳ 明朝" w:hint="eastAsia"/>
          <w:szCs w:val="20"/>
        </w:rPr>
        <w:t>又は</w:t>
      </w:r>
      <m:oMath>
        <m:sSub>
          <m:sSubPr>
            <m:ctrlPr>
              <w:rPr>
                <w:rFonts w:ascii="Cambria Math" w:hAnsi="Cambria Math"/>
                <w:i/>
                <w:szCs w:val="20"/>
              </w:rPr>
            </m:ctrlPr>
          </m:sSubPr>
          <m:e>
            <m:r>
              <w:rPr>
                <w:rFonts w:ascii="Cambria Math" w:hAnsi="Cambria Math"/>
                <w:szCs w:val="20"/>
              </w:rPr>
              <m:t xml:space="preserve"> S</m:t>
            </m:r>
          </m:e>
          <m:sub>
            <m:r>
              <w:rPr>
                <w:rFonts w:ascii="Cambria Math" w:hAnsi="Cambria Math"/>
                <w:szCs w:val="20"/>
              </w:rPr>
              <m:t>u</m:t>
            </m:r>
          </m:sub>
        </m:sSub>
        <m:r>
          <w:rPr>
            <w:rFonts w:ascii="Cambria Math" w:hAnsi="Cambria Math"/>
            <w:szCs w:val="20"/>
          </w:rPr>
          <m:t xml:space="preserve"> </m:t>
        </m:r>
      </m:oMath>
      <w:r w:rsidRPr="00BC31E0">
        <w:rPr>
          <w:rFonts w:ascii="ＭＳ 明朝" w:hint="eastAsia"/>
          <w:szCs w:val="20"/>
        </w:rPr>
        <w:t>を求める。</w:t>
      </w:r>
    </w:p>
    <w:p w14:paraId="03DDC8B7" w14:textId="77777777" w:rsidR="00F03E0A" w:rsidRPr="00BC31E0" w:rsidRDefault="00F03E0A" w:rsidP="00736130">
      <w:pPr>
        <w:numPr>
          <w:ilvl w:val="0"/>
          <w:numId w:val="82"/>
        </w:numPr>
        <w:ind w:left="340" w:hanging="340"/>
        <w:rPr>
          <w:rFonts w:ascii="ＭＳ 明朝"/>
          <w:szCs w:val="20"/>
        </w:rPr>
      </w:pPr>
      <w:r w:rsidRPr="00BC31E0">
        <w:rPr>
          <w:rFonts w:ascii="ＭＳ 明朝" w:hint="eastAsia"/>
          <w:szCs w:val="20"/>
        </w:rPr>
        <w:t>降伏点又は</w:t>
      </w:r>
      <w:r w:rsidRPr="00BC31E0">
        <w:rPr>
          <w:rFonts w:asciiTheme="minorHAnsi" w:hAnsiTheme="minorHAnsi"/>
          <w:szCs w:val="20"/>
        </w:rPr>
        <w:t>0.2%</w:t>
      </w:r>
      <w:r w:rsidR="00133758" w:rsidRPr="00BC31E0">
        <w:rPr>
          <w:rFonts w:ascii="ＭＳ 明朝" w:hint="eastAsia"/>
          <w:szCs w:val="20"/>
        </w:rPr>
        <w:t>耐力の実測値は，</w:t>
      </w:r>
      <w:r w:rsidR="00CA12FC" w:rsidRPr="00BC31E0">
        <w:rPr>
          <w:rFonts w:ascii="ＭＳ 明朝" w:hint="eastAsia"/>
          <w:szCs w:val="20"/>
        </w:rPr>
        <w:t>規定</w:t>
      </w:r>
      <w:r w:rsidRPr="00BC31E0">
        <w:rPr>
          <w:rFonts w:ascii="ＭＳ 明朝" w:hint="eastAsia"/>
          <w:szCs w:val="20"/>
        </w:rPr>
        <w:t>最小値よりも</w:t>
      </w:r>
      <w:r w:rsidRPr="00BC31E0">
        <w:rPr>
          <w:rFonts w:asciiTheme="minorHAnsi" w:hAnsiTheme="minorHAnsi"/>
          <w:szCs w:val="20"/>
        </w:rPr>
        <w:t>172 MPa</w:t>
      </w:r>
      <w:r w:rsidRPr="00BC31E0">
        <w:rPr>
          <w:rFonts w:ascii="ＭＳ 明朝" w:hint="eastAsia"/>
          <w:szCs w:val="20"/>
        </w:rPr>
        <w:t>以上大きくなってはならない。</w:t>
      </w:r>
    </w:p>
    <w:p w14:paraId="6E69C5A2" w14:textId="77777777" w:rsidR="00F03E0A" w:rsidRPr="00BC31E0" w:rsidRDefault="00F03E0A" w:rsidP="00736130">
      <w:pPr>
        <w:numPr>
          <w:ilvl w:val="0"/>
          <w:numId w:val="82"/>
        </w:numPr>
        <w:ind w:left="340" w:hanging="340"/>
        <w:rPr>
          <w:rFonts w:ascii="ＭＳ 明朝"/>
          <w:szCs w:val="20"/>
        </w:rPr>
      </w:pPr>
      <w:r w:rsidRPr="00BC31E0">
        <w:rPr>
          <w:rFonts w:ascii="ＭＳ 明朝" w:hint="eastAsia"/>
          <w:szCs w:val="20"/>
        </w:rPr>
        <w:t>運転時に水や水環境に触れるような使用法をしてはならない。</w:t>
      </w:r>
      <w:r w:rsidRPr="00BC31E0">
        <w:rPr>
          <w:rFonts w:hint="eastAsia"/>
        </w:rPr>
        <w:t>水の濃度が</w:t>
      </w:r>
      <w:r w:rsidRPr="00BC31E0">
        <w:rPr>
          <w:rFonts w:hint="eastAsia"/>
        </w:rPr>
        <w:t>ppm</w:t>
      </w:r>
      <w:r w:rsidRPr="00BC31E0">
        <w:rPr>
          <w:rFonts w:hint="eastAsia"/>
        </w:rPr>
        <w:t>レベルかそれ</w:t>
      </w:r>
      <w:r w:rsidRPr="00BC31E0">
        <w:rPr>
          <w:rFonts w:hint="eastAsia"/>
        </w:rPr>
        <w:lastRenderedPageBreak/>
        <w:t>以下の場合、応力腐食や腐食疲労が生じる可能性がある。</w:t>
      </w:r>
    </w:p>
    <w:p w14:paraId="6ACFB7AF" w14:textId="77777777" w:rsidR="00F03E0A" w:rsidRPr="00BC31E0" w:rsidRDefault="00F03E0A" w:rsidP="00BE7ECE">
      <w:pPr>
        <w:ind w:left="907" w:hanging="340"/>
        <w:rPr>
          <w:rFonts w:ascii="ＭＳ 明朝"/>
          <w:szCs w:val="20"/>
        </w:rPr>
      </w:pPr>
      <w:r w:rsidRPr="00BC31E0">
        <w:rPr>
          <w:rFonts w:ascii="ＭＳ ゴシック" w:eastAsia="ＭＳ ゴシック" w:hAnsi="ＭＳ ゴシック" w:hint="eastAsia"/>
          <w:b/>
          <w:szCs w:val="20"/>
          <w:vertAlign w:val="superscript"/>
        </w:rPr>
        <w:t>w.1)</w:t>
      </w:r>
      <w:r w:rsidRPr="00BC31E0">
        <w:rPr>
          <w:rFonts w:ascii="ＭＳ 明朝" w:hint="eastAsia"/>
          <w:szCs w:val="20"/>
        </w:rPr>
        <w:t xml:space="preserve"> 水又は水環境に触れない場合にのみ使用が許される。</w:t>
      </w:r>
    </w:p>
    <w:p w14:paraId="3DC69AB4" w14:textId="77777777" w:rsidR="00F03E0A" w:rsidRPr="00BC31E0" w:rsidRDefault="00F03E0A" w:rsidP="00BE7ECE">
      <w:pPr>
        <w:ind w:left="907" w:hanging="340"/>
        <w:rPr>
          <w:rFonts w:ascii="ＭＳ 明朝"/>
          <w:szCs w:val="20"/>
        </w:rPr>
      </w:pPr>
      <w:r w:rsidRPr="00BC31E0">
        <w:rPr>
          <w:rFonts w:ascii="ＭＳ ゴシック" w:eastAsia="ＭＳ ゴシック" w:hAnsi="ＭＳ ゴシック" w:hint="eastAsia"/>
          <w:b/>
          <w:szCs w:val="20"/>
          <w:vertAlign w:val="superscript"/>
        </w:rPr>
        <w:t>w.2)</w:t>
      </w:r>
      <w:r w:rsidRPr="00BC31E0">
        <w:rPr>
          <w:rFonts w:ascii="ＭＳ 明朝" w:hint="eastAsia"/>
          <w:szCs w:val="20"/>
        </w:rPr>
        <w:t xml:space="preserve"> この制限は，いかなる負荷状態においても静水圧縮下にある部品については適用されない。静水圧縮は，部品の中のあらゆる場所で，三つの主応力の和が負</w:t>
      </w:r>
      <w:r w:rsidRPr="00BC31E0">
        <w:rPr>
          <w:szCs w:val="20"/>
        </w:rPr>
        <w:t>(</w:t>
      </w:r>
      <w:r w:rsidRPr="00BC31E0">
        <w:rPr>
          <w:szCs w:val="20"/>
        </w:rPr>
        <w:t>圧縮</w:t>
      </w:r>
      <w:r w:rsidRPr="00BC31E0">
        <w:rPr>
          <w:szCs w:val="20"/>
        </w:rPr>
        <w:t>)</w:t>
      </w:r>
      <w:r w:rsidRPr="00BC31E0">
        <w:rPr>
          <w:rFonts w:ascii="ＭＳ 明朝" w:hint="eastAsia"/>
          <w:szCs w:val="20"/>
        </w:rPr>
        <w:t>である場合に存在すると考えられる。</w:t>
      </w:r>
    </w:p>
    <w:p w14:paraId="0729B50D" w14:textId="77777777" w:rsidR="00F03E0A" w:rsidRPr="00BC31E0" w:rsidRDefault="00F03E0A" w:rsidP="00BE7ECE">
      <w:pPr>
        <w:ind w:left="907" w:hanging="340"/>
        <w:rPr>
          <w:rFonts w:ascii="ＭＳ 明朝"/>
          <w:szCs w:val="20"/>
        </w:rPr>
      </w:pPr>
      <w:r w:rsidRPr="00BC31E0">
        <w:rPr>
          <w:rFonts w:ascii="ＭＳ ゴシック" w:eastAsia="ＭＳ ゴシック" w:hAnsi="ＭＳ ゴシック" w:hint="eastAsia"/>
          <w:b/>
          <w:szCs w:val="20"/>
          <w:vertAlign w:val="superscript"/>
        </w:rPr>
        <w:t>w.3)</w:t>
      </w:r>
      <w:r w:rsidRPr="00BC31E0">
        <w:rPr>
          <w:rFonts w:ascii="ＭＳ 明朝" w:hint="eastAsia"/>
          <w:szCs w:val="20"/>
        </w:rPr>
        <w:t xml:space="preserve"> この制限は，破裂前漏洩となる容器のインナーレイヤには適用されない。</w:t>
      </w:r>
    </w:p>
    <w:p w14:paraId="6613560A" w14:textId="77777777" w:rsidR="00F03E0A" w:rsidRPr="00BC31E0" w:rsidRDefault="00F03E0A" w:rsidP="00736130">
      <w:pPr>
        <w:numPr>
          <w:ilvl w:val="0"/>
          <w:numId w:val="82"/>
        </w:numPr>
        <w:ind w:left="340" w:hanging="340"/>
        <w:rPr>
          <w:rFonts w:ascii="ＭＳ 明朝"/>
          <w:szCs w:val="20"/>
        </w:rPr>
      </w:pPr>
      <w:r w:rsidRPr="00BC31E0">
        <w:rPr>
          <w:rFonts w:hint="eastAsia"/>
        </w:rPr>
        <w:t>SA-231</w:t>
      </w:r>
      <w:r w:rsidR="007B462E" w:rsidRPr="00BC31E0">
        <w:rPr>
          <w:rFonts w:hint="eastAsia"/>
        </w:rPr>
        <w:t>M</w:t>
      </w:r>
      <w:r w:rsidRPr="00BC31E0">
        <w:rPr>
          <w:rFonts w:hint="eastAsia"/>
        </w:rPr>
        <w:t>，</w:t>
      </w:r>
      <w:r w:rsidRPr="00BC31E0">
        <w:rPr>
          <w:rFonts w:hint="eastAsia"/>
        </w:rPr>
        <w:t>SA-232</w:t>
      </w:r>
      <w:r w:rsidR="007B462E" w:rsidRPr="00BC31E0">
        <w:rPr>
          <w:rFonts w:hint="eastAsia"/>
        </w:rPr>
        <w:t>M</w:t>
      </w:r>
      <w:r w:rsidRPr="00BC31E0">
        <w:rPr>
          <w:rFonts w:hint="eastAsia"/>
        </w:rPr>
        <w:t>は降伏点又は</w:t>
      </w:r>
      <w:r w:rsidRPr="00BC31E0">
        <w:rPr>
          <w:rFonts w:asciiTheme="minorHAnsi" w:hAnsiTheme="minorHAnsi"/>
        </w:rPr>
        <w:t>0.2%</w:t>
      </w:r>
      <w:r w:rsidRPr="00BC31E0">
        <w:rPr>
          <w:rFonts w:hint="eastAsia"/>
        </w:rPr>
        <w:t>耐力のデータを取得することが不可能であり，</w:t>
      </w:r>
      <w:r w:rsidRPr="00BC31E0">
        <w:rPr>
          <w:rFonts w:asciiTheme="majorEastAsia" w:eastAsiaTheme="majorEastAsia" w:hAnsiTheme="majorEastAsia" w:hint="eastAsia"/>
          <w:b/>
        </w:rPr>
        <w:t>6.6</w:t>
      </w:r>
      <w:r w:rsidRPr="00BC31E0">
        <w:rPr>
          <w:rFonts w:hint="eastAsia"/>
        </w:rPr>
        <w:t>に従って設計される特殊な蓋部品に対してのみ適用</w:t>
      </w:r>
      <w:r w:rsidR="00E71A5C" w:rsidRPr="00BC31E0">
        <w:rPr>
          <w:rFonts w:hint="eastAsia"/>
        </w:rPr>
        <w:t>する</w:t>
      </w:r>
      <w:r w:rsidRPr="00BC31E0">
        <w:rPr>
          <w:rFonts w:hint="eastAsia"/>
        </w:rPr>
        <w:t>。この材料は締結部，ワイヤ巻き容器，ワイヤ巻きフレームなど他の圧力保持部材の製造に使用してはならない。また，これらの材料の</w:t>
      </w:r>
      <m:oMath>
        <m:r>
          <m:rPr>
            <m:sty m:val="p"/>
          </m:rPr>
          <w:rPr>
            <w:rFonts w:ascii="Cambria Math" w:hAnsi="Cambria Math" w:hint="eastAsia"/>
          </w:rPr>
          <m:t xml:space="preserve"> </m:t>
        </m:r>
        <m:r>
          <w:rPr>
            <w:rFonts w:ascii="Cambria Math" w:hAnsi="Cambria Math" w:hint="eastAsia"/>
          </w:rPr>
          <m:t xml:space="preserve">t </m:t>
        </m:r>
      </m:oMath>
      <w:r w:rsidRPr="00BC31E0">
        <w:rPr>
          <w:rFonts w:hint="eastAsia"/>
        </w:rPr>
        <w:t>の値はワイヤの直径を表す。ワイヤは，材料の引張強さに悪影響を与えない方法で円以外の断面形状へ成形して使用してよい。</w:t>
      </w:r>
    </w:p>
    <w:p w14:paraId="0ED89ED1" w14:textId="77777777" w:rsidR="00F03E0A" w:rsidRPr="00BC31E0" w:rsidRDefault="00F03E0A" w:rsidP="00736130">
      <w:pPr>
        <w:numPr>
          <w:ilvl w:val="0"/>
          <w:numId w:val="82"/>
        </w:numPr>
        <w:ind w:left="340" w:hanging="340"/>
        <w:rPr>
          <w:rFonts w:ascii="ＭＳ 明朝"/>
          <w:szCs w:val="20"/>
        </w:rPr>
      </w:pPr>
      <w:r w:rsidRPr="00BC31E0">
        <w:rPr>
          <w:rFonts w:hint="eastAsia"/>
        </w:rPr>
        <w:t>SA-231</w:t>
      </w:r>
      <w:r w:rsidR="007B462E" w:rsidRPr="00BC31E0">
        <w:rPr>
          <w:rFonts w:hint="eastAsia"/>
        </w:rPr>
        <w:t>M</w:t>
      </w:r>
      <w:r w:rsidRPr="00BC31E0">
        <w:rPr>
          <w:rFonts w:hint="eastAsia"/>
        </w:rPr>
        <w:t>，</w:t>
      </w:r>
      <w:r w:rsidRPr="00BC31E0">
        <w:rPr>
          <w:rFonts w:hint="eastAsia"/>
        </w:rPr>
        <w:t>SA-232</w:t>
      </w:r>
      <w:r w:rsidR="007B462E" w:rsidRPr="00BC31E0">
        <w:rPr>
          <w:rFonts w:hint="eastAsia"/>
        </w:rPr>
        <w:t>M</w:t>
      </w:r>
      <w:r w:rsidRPr="00BC31E0">
        <w:rPr>
          <w:rFonts w:hint="eastAsia"/>
        </w:rPr>
        <w:t>は，最大引張応力に関する要求がある。</w:t>
      </w:r>
      <w:r w:rsidRPr="00BC31E0">
        <w:rPr>
          <w:rFonts w:ascii="ＭＳ ゴシック" w:eastAsia="ＭＳ ゴシック" w:hAnsi="ＭＳ ゴシック" w:hint="eastAsia"/>
          <w:b/>
        </w:rPr>
        <w:t>ASME Sec.Ⅱ, Part A, SA-231</w:t>
      </w:r>
      <w:r w:rsidR="002751BE" w:rsidRPr="00BC31E0">
        <w:rPr>
          <w:rFonts w:hint="eastAsia"/>
        </w:rPr>
        <w:t>又</w:t>
      </w:r>
      <w:r w:rsidRPr="00BC31E0">
        <w:rPr>
          <w:rFonts w:hint="eastAsia"/>
        </w:rPr>
        <w:t>は</w:t>
      </w:r>
      <w:r w:rsidRPr="00BC31E0">
        <w:rPr>
          <w:rFonts w:ascii="ＭＳ ゴシック" w:eastAsia="ＭＳ ゴシック" w:hAnsi="ＭＳ ゴシック" w:hint="eastAsia"/>
          <w:b/>
        </w:rPr>
        <w:t>ASME Sec.Ⅱ, Part A, SA-232</w:t>
      </w:r>
      <w:r w:rsidRPr="00BC31E0">
        <w:rPr>
          <w:rFonts w:hint="eastAsia"/>
        </w:rPr>
        <w:t>を参照する。</w:t>
      </w:r>
    </w:p>
    <w:p w14:paraId="275181F5" w14:textId="77777777" w:rsidR="00F03E0A" w:rsidRPr="00BC31E0" w:rsidRDefault="00F03E0A" w:rsidP="00BE7ECE">
      <w:pPr>
        <w:ind w:left="340" w:hanging="340"/>
        <w:rPr>
          <w:rFonts w:ascii="ＭＳ ゴシック" w:eastAsia="ＭＳ ゴシック"/>
          <w:b/>
          <w:szCs w:val="20"/>
          <w:vertAlign w:val="superscript"/>
        </w:rPr>
      </w:pPr>
      <w:r w:rsidRPr="00BC31E0">
        <w:rPr>
          <w:rFonts w:ascii="ＭＳ ゴシック" w:eastAsia="ＭＳ ゴシック" w:hint="eastAsia"/>
          <w:b/>
          <w:szCs w:val="20"/>
          <w:vertAlign w:val="superscript"/>
        </w:rPr>
        <w:t>a</w:t>
      </w:r>
      <w:r w:rsidRPr="00BC31E0">
        <w:rPr>
          <w:rFonts w:ascii="ＭＳ ゴシック" w:eastAsia="ＭＳ ゴシック"/>
          <w:b/>
          <w:szCs w:val="20"/>
          <w:vertAlign w:val="superscript"/>
        </w:rPr>
        <w:t>a</w:t>
      </w:r>
      <w:r w:rsidRPr="00BC31E0">
        <w:rPr>
          <w:rFonts w:ascii="ＭＳ ゴシック" w:eastAsia="ＭＳ ゴシック" w:hint="eastAsia"/>
          <w:b/>
          <w:szCs w:val="20"/>
          <w:vertAlign w:val="superscript"/>
        </w:rPr>
        <w:t xml:space="preserve">)   </w:t>
      </w:r>
      <w:r w:rsidRPr="00BC31E0">
        <w:rPr>
          <w:szCs w:val="20"/>
        </w:rPr>
        <w:t>SA-841</w:t>
      </w:r>
      <w:r w:rsidR="007B462E" w:rsidRPr="00BC31E0">
        <w:rPr>
          <w:rFonts w:hint="eastAsia"/>
          <w:szCs w:val="20"/>
        </w:rPr>
        <w:t>M</w:t>
      </w:r>
      <w:r w:rsidRPr="00BC31E0">
        <w:rPr>
          <w:szCs w:val="20"/>
        </w:rPr>
        <w:t xml:space="preserve"> Gr.A</w:t>
      </w:r>
      <w:r w:rsidRPr="00BC31E0">
        <w:rPr>
          <w:rFonts w:hint="eastAsia"/>
          <w:szCs w:val="20"/>
        </w:rPr>
        <w:t>，</w:t>
      </w:r>
      <w:r w:rsidRPr="00BC31E0">
        <w:rPr>
          <w:szCs w:val="20"/>
        </w:rPr>
        <w:t>B</w:t>
      </w:r>
      <w:r w:rsidRPr="00BC31E0">
        <w:rPr>
          <w:rFonts w:ascii="ＭＳ 明朝" w:hint="eastAsia"/>
          <w:szCs w:val="20"/>
        </w:rPr>
        <w:t>のエレクトロスラグ溶接及びエレクトロガス溶接は許されない。また，部分的な切断や溶接のための加熱を除き，</w:t>
      </w:r>
      <w:r w:rsidRPr="00BC31E0">
        <w:rPr>
          <w:rFonts w:asciiTheme="minorHAnsi" w:hAnsiTheme="minorHAnsi"/>
          <w:szCs w:val="20"/>
        </w:rPr>
        <w:t>650</w:t>
      </w:r>
      <w:r w:rsidRPr="00BC31E0">
        <w:rPr>
          <w:rFonts w:asciiTheme="minorEastAsia" w:eastAsiaTheme="minorEastAsia" w:hAnsiTheme="minorEastAsia"/>
          <w:szCs w:val="20"/>
        </w:rPr>
        <w:t>℃</w:t>
      </w:r>
      <w:r w:rsidRPr="00BC31E0">
        <w:rPr>
          <w:rFonts w:ascii="ＭＳ 明朝" w:hint="eastAsia"/>
          <w:szCs w:val="20"/>
        </w:rPr>
        <w:t>以上での加熱は許されない。</w:t>
      </w:r>
    </w:p>
    <w:p w14:paraId="7CF35929" w14:textId="77777777" w:rsidR="00F03E0A" w:rsidRPr="00BC31E0" w:rsidRDefault="00F03E0A" w:rsidP="00BE7ECE">
      <w:pPr>
        <w:ind w:left="340" w:hanging="340"/>
        <w:rPr>
          <w:rFonts w:ascii="ＭＳ 明朝"/>
          <w:szCs w:val="20"/>
        </w:rPr>
      </w:pPr>
      <w:r w:rsidRPr="00BC31E0">
        <w:rPr>
          <w:rFonts w:ascii="ＭＳ ゴシック" w:eastAsia="ＭＳ ゴシック" w:hint="eastAsia"/>
          <w:b/>
          <w:szCs w:val="20"/>
          <w:vertAlign w:val="superscript"/>
        </w:rPr>
        <w:t xml:space="preserve">ab)   </w:t>
      </w:r>
      <w:r w:rsidRPr="00BC31E0">
        <w:rPr>
          <w:szCs w:val="20"/>
        </w:rPr>
        <w:t>SA-372</w:t>
      </w:r>
      <w:r w:rsidR="007B462E" w:rsidRPr="00BC31E0">
        <w:rPr>
          <w:rFonts w:hint="eastAsia"/>
          <w:szCs w:val="20"/>
        </w:rPr>
        <w:t>M</w:t>
      </w:r>
      <w:r w:rsidRPr="00BC31E0">
        <w:rPr>
          <w:szCs w:val="20"/>
        </w:rPr>
        <w:t xml:space="preserve"> Gr.E</w:t>
      </w:r>
      <w:r w:rsidRPr="00BC31E0">
        <w:rPr>
          <w:rFonts w:hint="eastAsia"/>
          <w:szCs w:val="20"/>
        </w:rPr>
        <w:t>，</w:t>
      </w:r>
      <w:r w:rsidRPr="00BC31E0">
        <w:rPr>
          <w:szCs w:val="20"/>
        </w:rPr>
        <w:t>F</w:t>
      </w:r>
      <w:r w:rsidRPr="00BC31E0">
        <w:rPr>
          <w:rFonts w:hint="eastAsia"/>
          <w:szCs w:val="20"/>
        </w:rPr>
        <w:t>，</w:t>
      </w:r>
      <w:r w:rsidRPr="00BC31E0">
        <w:rPr>
          <w:szCs w:val="20"/>
        </w:rPr>
        <w:t>J</w:t>
      </w:r>
      <w:r w:rsidRPr="00BC31E0">
        <w:rPr>
          <w:rFonts w:ascii="ＭＳ 明朝" w:hint="eastAsia"/>
          <w:szCs w:val="20"/>
        </w:rPr>
        <w:t>の</w:t>
      </w:r>
      <w:r w:rsidRPr="00BC31E0">
        <w:rPr>
          <w:rFonts w:ascii="ＭＳ ゴシック" w:eastAsia="ＭＳ ゴシック" w:hAnsi="ＭＳ ゴシック" w:hint="eastAsia"/>
          <w:b/>
          <w:bCs/>
          <w:szCs w:val="20"/>
        </w:rPr>
        <w:t>ASME Sec.II</w:t>
      </w:r>
      <w:r w:rsidRPr="00BC31E0">
        <w:rPr>
          <w:rFonts w:ascii="ＭＳ 明朝" w:hAnsi="ＭＳ 明朝" w:hint="eastAsia"/>
          <w:bCs/>
          <w:szCs w:val="20"/>
        </w:rPr>
        <w:t>,</w:t>
      </w:r>
      <w:r w:rsidRPr="00BC31E0">
        <w:rPr>
          <w:rFonts w:ascii="ＭＳ ゴシック" w:eastAsia="ＭＳ ゴシック" w:hAnsi="ＭＳ ゴシック" w:hint="eastAsia"/>
          <w:b/>
          <w:bCs/>
          <w:szCs w:val="20"/>
        </w:rPr>
        <w:t xml:space="preserve"> Part D</w:t>
      </w:r>
      <w:r w:rsidRPr="00BC31E0">
        <w:rPr>
          <w:rFonts w:ascii="ＭＳ 明朝" w:hAnsi="ＭＳ 明朝" w:hint="eastAsia"/>
          <w:bCs/>
          <w:szCs w:val="20"/>
        </w:rPr>
        <w:t>,</w:t>
      </w:r>
      <w:r w:rsidRPr="00BC31E0">
        <w:rPr>
          <w:rFonts w:ascii="ＭＳ ゴシック" w:eastAsia="ＭＳ ゴシック" w:hAnsi="ＭＳ ゴシック" w:hint="eastAsia"/>
          <w:b/>
          <w:bCs/>
          <w:szCs w:val="20"/>
        </w:rPr>
        <w:t xml:space="preserve"> Yable Y-1</w:t>
      </w:r>
      <w:r w:rsidRPr="00BC31E0">
        <w:rPr>
          <w:rFonts w:ascii="ＭＳ 明朝" w:hint="eastAsia"/>
          <w:szCs w:val="20"/>
        </w:rPr>
        <w:t>に掲載されている降伏点又は</w:t>
      </w:r>
      <w:r w:rsidRPr="00BC31E0">
        <w:rPr>
          <w:rFonts w:ascii="Cambria Math" w:hAnsi="Cambria Math"/>
          <w:szCs w:val="20"/>
        </w:rPr>
        <w:t>0.2%</w:t>
      </w:r>
      <w:r w:rsidRPr="00BC31E0">
        <w:rPr>
          <w:rFonts w:ascii="ＭＳ 明朝" w:hint="eastAsia"/>
          <w:szCs w:val="20"/>
        </w:rPr>
        <w:t>耐力は，液体焼入れ及び焼戻しした材料にのみ適用してよい。</w:t>
      </w:r>
    </w:p>
    <w:p w14:paraId="1EB06CD6" w14:textId="77777777" w:rsidR="00F03E0A" w:rsidRPr="00BC31E0" w:rsidRDefault="00F03E0A" w:rsidP="00BE7ECE">
      <w:pPr>
        <w:ind w:left="340" w:hanging="340"/>
        <w:rPr>
          <w:rFonts w:ascii="ＭＳ 明朝"/>
          <w:szCs w:val="20"/>
        </w:rPr>
      </w:pPr>
      <w:r w:rsidRPr="00BC31E0">
        <w:rPr>
          <w:rFonts w:ascii="ＭＳ ゴシック" w:eastAsia="ＭＳ ゴシック" w:hint="eastAsia"/>
          <w:b/>
          <w:szCs w:val="20"/>
          <w:vertAlign w:val="superscript"/>
        </w:rPr>
        <w:t xml:space="preserve">ac)  </w:t>
      </w:r>
      <w:r w:rsidRPr="00BC31E0">
        <w:rPr>
          <w:szCs w:val="20"/>
        </w:rPr>
        <w:t>SA-372</w:t>
      </w:r>
      <w:r w:rsidR="007B462E" w:rsidRPr="00BC31E0">
        <w:rPr>
          <w:rFonts w:hint="eastAsia"/>
          <w:szCs w:val="20"/>
        </w:rPr>
        <w:t>M</w:t>
      </w:r>
      <w:r w:rsidRPr="00BC31E0">
        <w:rPr>
          <w:szCs w:val="20"/>
        </w:rPr>
        <w:t xml:space="preserve"> Gr.E</w:t>
      </w:r>
      <w:r w:rsidRPr="00BC31E0">
        <w:rPr>
          <w:rFonts w:hint="eastAsia"/>
          <w:szCs w:val="20"/>
        </w:rPr>
        <w:t>，</w:t>
      </w:r>
      <w:r w:rsidRPr="00BC31E0">
        <w:rPr>
          <w:szCs w:val="20"/>
        </w:rPr>
        <w:t>F</w:t>
      </w:r>
      <w:r w:rsidRPr="00BC31E0">
        <w:rPr>
          <w:rFonts w:hint="eastAsia"/>
          <w:szCs w:val="20"/>
        </w:rPr>
        <w:t>，</w:t>
      </w:r>
      <w:r w:rsidRPr="00BC31E0">
        <w:rPr>
          <w:szCs w:val="20"/>
        </w:rPr>
        <w:t>J</w:t>
      </w:r>
      <w:r w:rsidRPr="00BC31E0">
        <w:rPr>
          <w:rFonts w:ascii="ＭＳ 明朝" w:hint="eastAsia"/>
          <w:szCs w:val="20"/>
        </w:rPr>
        <w:t>は，</w:t>
      </w:r>
      <w:r w:rsidRPr="00BC31E0">
        <w:rPr>
          <w:rFonts w:ascii="ＭＳ ゴシック" w:eastAsia="ＭＳ ゴシック" w:hAnsi="ＭＳ ゴシック" w:hint="eastAsia"/>
          <w:b/>
          <w:bCs/>
          <w:szCs w:val="20"/>
        </w:rPr>
        <w:t>ASME Sec.IX</w:t>
      </w:r>
      <w:r w:rsidRPr="00BC31E0">
        <w:rPr>
          <w:rFonts w:ascii="ＭＳ 明朝" w:hAnsi="ＭＳ 明朝" w:hint="eastAsia"/>
          <w:bCs/>
          <w:szCs w:val="20"/>
        </w:rPr>
        <w:t>,</w:t>
      </w:r>
      <w:r w:rsidRPr="00BC31E0">
        <w:rPr>
          <w:rFonts w:ascii="ＭＳ ゴシック" w:eastAsia="ＭＳ ゴシック" w:hAnsi="ＭＳ ゴシック" w:hint="eastAsia"/>
          <w:b/>
          <w:bCs/>
          <w:szCs w:val="20"/>
        </w:rPr>
        <w:t xml:space="preserve"> QW-250</w:t>
      </w:r>
      <w:r w:rsidRPr="00BC31E0">
        <w:rPr>
          <w:rFonts w:ascii="ＭＳ 明朝" w:hAnsi="ＭＳ 明朝" w:hint="eastAsia"/>
          <w:bCs/>
          <w:szCs w:val="20"/>
        </w:rPr>
        <w:t>,</w:t>
      </w:r>
      <w:r w:rsidRPr="00BC31E0">
        <w:rPr>
          <w:rFonts w:ascii="ＭＳ ゴシック" w:eastAsia="ＭＳ ゴシック" w:hAnsi="ＭＳ ゴシック" w:hint="eastAsia"/>
          <w:b/>
          <w:bCs/>
          <w:szCs w:val="20"/>
        </w:rPr>
        <w:t xml:space="preserve"> QW-404.12</w:t>
      </w:r>
      <w:r w:rsidRPr="00BC31E0">
        <w:rPr>
          <w:rFonts w:ascii="ＭＳ 明朝" w:hAnsi="ＭＳ 明朝" w:hint="eastAsia"/>
          <w:bCs/>
          <w:szCs w:val="20"/>
        </w:rPr>
        <w:t>,</w:t>
      </w:r>
      <w:r w:rsidRPr="00BC31E0">
        <w:rPr>
          <w:rFonts w:ascii="ＭＳ ゴシック" w:eastAsia="ＭＳ ゴシック" w:hAnsi="ＭＳ ゴシック" w:hint="eastAsia"/>
          <w:b/>
          <w:bCs/>
          <w:szCs w:val="20"/>
        </w:rPr>
        <w:t xml:space="preserve"> QW-406.3</w:t>
      </w:r>
      <w:r w:rsidRPr="00BC31E0">
        <w:rPr>
          <w:rFonts w:ascii="ＭＳ 明朝" w:hAnsi="ＭＳ 明朝" w:hint="eastAsia"/>
          <w:bCs/>
          <w:szCs w:val="20"/>
        </w:rPr>
        <w:t>,</w:t>
      </w:r>
      <w:r w:rsidRPr="00BC31E0">
        <w:rPr>
          <w:rFonts w:ascii="ＭＳ ゴシック" w:eastAsia="ＭＳ ゴシック" w:hAnsi="ＭＳ ゴシック" w:hint="eastAsia"/>
          <w:b/>
          <w:bCs/>
          <w:szCs w:val="20"/>
        </w:rPr>
        <w:t xml:space="preserve"> QW-407.2</w:t>
      </w:r>
      <w:r w:rsidRPr="00BC31E0">
        <w:rPr>
          <w:rFonts w:ascii="ＭＳ 明朝" w:hAnsi="ＭＳ 明朝" w:hint="eastAsia"/>
          <w:bCs/>
          <w:szCs w:val="20"/>
        </w:rPr>
        <w:t>,</w:t>
      </w:r>
      <w:r w:rsidRPr="00BC31E0">
        <w:rPr>
          <w:rFonts w:ascii="ＭＳ ゴシック" w:eastAsia="ＭＳ ゴシック" w:hAnsi="ＭＳ ゴシック" w:hint="eastAsia"/>
          <w:b/>
          <w:bCs/>
          <w:szCs w:val="20"/>
        </w:rPr>
        <w:t xml:space="preserve"> QW-409.1</w:t>
      </w:r>
      <w:r w:rsidRPr="00BC31E0">
        <w:rPr>
          <w:rFonts w:ascii="ＭＳ 明朝" w:hint="eastAsia"/>
          <w:szCs w:val="20"/>
        </w:rPr>
        <w:t>が</w:t>
      </w:r>
      <w:r w:rsidRPr="00BC31E0">
        <w:rPr>
          <w:rFonts w:ascii="ＭＳ ゴシック" w:eastAsia="ＭＳ ゴシック" w:hAnsi="ＭＳ ゴシック"/>
          <w:b/>
          <w:szCs w:val="20"/>
        </w:rPr>
        <w:t>Part KF</w:t>
      </w:r>
      <w:r w:rsidRPr="00BC31E0">
        <w:rPr>
          <w:rFonts w:ascii="ＭＳ 明朝" w:hint="eastAsia"/>
          <w:szCs w:val="20"/>
        </w:rPr>
        <w:t>に従って適用されなければならない。</w:t>
      </w:r>
    </w:p>
    <w:p w14:paraId="714C19CB" w14:textId="77777777" w:rsidR="00F03E0A" w:rsidRPr="00BC31E0" w:rsidRDefault="00F03E0A" w:rsidP="00BE7ECE">
      <w:pPr>
        <w:ind w:left="340" w:hanging="340"/>
        <w:rPr>
          <w:rFonts w:ascii="ＭＳ 明朝"/>
          <w:szCs w:val="20"/>
        </w:rPr>
      </w:pPr>
      <w:r w:rsidRPr="00BC31E0">
        <w:rPr>
          <w:rFonts w:ascii="ＭＳ ゴシック" w:eastAsia="ＭＳ ゴシック" w:hint="eastAsia"/>
          <w:b/>
          <w:szCs w:val="20"/>
          <w:vertAlign w:val="superscript"/>
        </w:rPr>
        <w:t>ad)</w:t>
      </w:r>
      <w:r w:rsidRPr="00BC31E0">
        <w:rPr>
          <w:rFonts w:ascii="ＭＳ 明朝" w:hint="eastAsia"/>
          <w:b/>
          <w:szCs w:val="20"/>
          <w:vertAlign w:val="superscript"/>
        </w:rPr>
        <w:t xml:space="preserve">  </w:t>
      </w:r>
      <w:r w:rsidRPr="00BC31E0">
        <w:rPr>
          <w:szCs w:val="20"/>
        </w:rPr>
        <w:t>SA-372</w:t>
      </w:r>
      <w:r w:rsidR="007B462E" w:rsidRPr="00BC31E0">
        <w:rPr>
          <w:rFonts w:hint="eastAsia"/>
          <w:szCs w:val="20"/>
        </w:rPr>
        <w:t>M</w:t>
      </w:r>
      <w:r w:rsidRPr="00BC31E0">
        <w:rPr>
          <w:szCs w:val="20"/>
        </w:rPr>
        <w:t xml:space="preserve"> Gr.F</w:t>
      </w:r>
      <w:r w:rsidRPr="00BC31E0">
        <w:rPr>
          <w:rFonts w:hint="eastAsia"/>
          <w:szCs w:val="20"/>
        </w:rPr>
        <w:t>，</w:t>
      </w:r>
      <w:r w:rsidRPr="00BC31E0">
        <w:rPr>
          <w:szCs w:val="20"/>
        </w:rPr>
        <w:t>J</w:t>
      </w:r>
      <w:r w:rsidRPr="00BC31E0">
        <w:rPr>
          <w:rFonts w:ascii="ＭＳ 明朝" w:hint="eastAsia"/>
          <w:szCs w:val="20"/>
        </w:rPr>
        <w:t>は，</w:t>
      </w:r>
      <w:r w:rsidRPr="00BC31E0">
        <w:rPr>
          <w:rFonts w:ascii="ＭＳ ゴシック" w:eastAsia="ＭＳ ゴシック" w:hAnsi="ＭＳ ゴシック" w:hint="eastAsia"/>
          <w:b/>
          <w:bCs/>
          <w:szCs w:val="20"/>
        </w:rPr>
        <w:t>ASME Sec.VIII Div.3</w:t>
      </w:r>
      <w:r w:rsidRPr="00BC31E0">
        <w:rPr>
          <w:rFonts w:ascii="ＭＳ 明朝" w:hAnsi="ＭＳ 明朝" w:hint="eastAsia"/>
          <w:bCs/>
          <w:szCs w:val="20"/>
        </w:rPr>
        <w:t>,</w:t>
      </w:r>
      <w:r w:rsidRPr="00BC31E0">
        <w:rPr>
          <w:rFonts w:ascii="ＭＳ ゴシック" w:eastAsia="ＭＳ ゴシック" w:hAnsi="ＭＳ ゴシック" w:hint="eastAsia"/>
          <w:b/>
          <w:bCs/>
          <w:szCs w:val="20"/>
        </w:rPr>
        <w:t xml:space="preserve"> KF-7</w:t>
      </w:r>
      <w:r w:rsidRPr="00BC31E0">
        <w:rPr>
          <w:rFonts w:ascii="ＭＳ 明朝" w:hint="eastAsia"/>
          <w:szCs w:val="20"/>
        </w:rPr>
        <w:t>で認められている場合を除き，</w:t>
      </w:r>
      <w:r w:rsidRPr="00BC31E0">
        <w:rPr>
          <w:szCs w:val="20"/>
        </w:rPr>
        <w:t>C</w:t>
      </w:r>
      <w:r w:rsidRPr="00BC31E0">
        <w:rPr>
          <w:rFonts w:ascii="ＭＳ 明朝" w:hint="eastAsia"/>
          <w:szCs w:val="20"/>
        </w:rPr>
        <w:t>を</w:t>
      </w:r>
      <w:r w:rsidRPr="00BC31E0">
        <w:rPr>
          <w:rFonts w:asciiTheme="minorHAnsi" w:hAnsiTheme="minorHAnsi"/>
          <w:szCs w:val="20"/>
        </w:rPr>
        <w:t>0.35%</w:t>
      </w:r>
      <w:r w:rsidRPr="00BC31E0">
        <w:rPr>
          <w:rFonts w:ascii="ＭＳ 明朝" w:hint="eastAsia"/>
          <w:szCs w:val="20"/>
        </w:rPr>
        <w:t>以上含んでいる場合は，溶接してはならない。</w:t>
      </w:r>
    </w:p>
    <w:p w14:paraId="0F86689A" w14:textId="77777777" w:rsidR="00F03E0A" w:rsidRPr="00BC31E0" w:rsidRDefault="00F03E0A" w:rsidP="00BE7ECE">
      <w:pPr>
        <w:ind w:left="340" w:hanging="340"/>
        <w:rPr>
          <w:rFonts w:ascii="ＭＳ 明朝"/>
          <w:szCs w:val="20"/>
        </w:rPr>
      </w:pPr>
      <w:r w:rsidRPr="00BC31E0">
        <w:rPr>
          <w:rFonts w:ascii="ＭＳ ゴシック" w:eastAsia="ＭＳ ゴシック" w:hAnsi="ＭＳ ゴシック" w:hint="eastAsia"/>
          <w:b/>
          <w:szCs w:val="20"/>
          <w:vertAlign w:val="superscript"/>
        </w:rPr>
        <w:t>ae)</w:t>
      </w:r>
      <w:r w:rsidRPr="00BC31E0">
        <w:rPr>
          <w:rFonts w:ascii="ＭＳ 明朝" w:hint="eastAsia"/>
          <w:b/>
          <w:szCs w:val="20"/>
          <w:vertAlign w:val="superscript"/>
        </w:rPr>
        <w:t xml:space="preserve">  </w:t>
      </w:r>
      <w:r w:rsidRPr="00BC31E0">
        <w:rPr>
          <w:rFonts w:ascii="ＭＳ 明朝" w:hint="eastAsia"/>
          <w:szCs w:val="20"/>
        </w:rPr>
        <w:t>該当する設計疲労曲線がない場合は，当該材料のひずみ制御型引張圧縮疲労試験データを用いて，ひずみ範囲に縦弾性係数を掛けて応力振幅に換算した最適疲労曲線に対して，応力振幅で</w:t>
      </w:r>
      <w:r w:rsidRPr="00BC31E0">
        <w:rPr>
          <w:rFonts w:asciiTheme="minorHAnsi" w:hAnsiTheme="minorHAnsi"/>
          <w:szCs w:val="20"/>
        </w:rPr>
        <w:t>2</w:t>
      </w:r>
      <w:r w:rsidR="00B90CAE" w:rsidRPr="00BC31E0">
        <w:rPr>
          <w:rFonts w:asciiTheme="minorHAnsi" w:hAnsiTheme="minorHAnsi" w:hint="eastAsia"/>
          <w:szCs w:val="20"/>
        </w:rPr>
        <w:t>，</w:t>
      </w:r>
      <w:r w:rsidRPr="00BC31E0">
        <w:rPr>
          <w:rFonts w:ascii="ＭＳ 明朝" w:hint="eastAsia"/>
          <w:szCs w:val="20"/>
        </w:rPr>
        <w:t>寿命で</w:t>
      </w:r>
      <w:r w:rsidRPr="00BC31E0">
        <w:rPr>
          <w:rFonts w:asciiTheme="minorHAnsi" w:hAnsiTheme="minorHAnsi"/>
          <w:szCs w:val="20"/>
        </w:rPr>
        <w:t>20</w:t>
      </w:r>
      <w:r w:rsidRPr="00BC31E0">
        <w:rPr>
          <w:rFonts w:ascii="ＭＳ 明朝" w:hint="eastAsia"/>
          <w:szCs w:val="20"/>
        </w:rPr>
        <w:t>の設計係数を用いて設計疲労曲線を作成する。</w:t>
      </w:r>
      <w:r w:rsidRPr="00BC31E0">
        <w:rPr>
          <w:rFonts w:hint="eastAsia"/>
          <w:szCs w:val="20"/>
        </w:rPr>
        <w:t>最適疲労曲線を作成する際，</w:t>
      </w:r>
      <w:r w:rsidRPr="00BC31E0">
        <w:rPr>
          <w:rFonts w:ascii="ＭＳ 明朝" w:hint="eastAsia"/>
          <w:szCs w:val="20"/>
        </w:rPr>
        <w:t>塑性ひずみが発生しない場合には，荷重制御型引張圧縮疲労試験データを用いてもよい。</w:t>
      </w:r>
    </w:p>
    <w:p w14:paraId="32678622" w14:textId="77777777" w:rsidR="00F03E0A" w:rsidRPr="00BC31E0" w:rsidRDefault="00F03E0A" w:rsidP="004C76EF">
      <w:pPr>
        <w:ind w:left="340" w:hanging="340"/>
        <w:rPr>
          <w:rFonts w:ascii="ＭＳ 明朝"/>
          <w:szCs w:val="20"/>
        </w:rPr>
      </w:pPr>
      <w:r w:rsidRPr="00BC31E0">
        <w:rPr>
          <w:rFonts w:ascii="ＭＳ ゴシック" w:eastAsia="ＭＳ ゴシック" w:hAnsi="ＭＳ ゴシック" w:hint="eastAsia"/>
          <w:b/>
          <w:szCs w:val="20"/>
          <w:vertAlign w:val="superscript"/>
        </w:rPr>
        <w:t>af)</w:t>
      </w:r>
      <w:r w:rsidRPr="00BC31E0">
        <w:rPr>
          <w:rFonts w:ascii="ＭＳ 明朝" w:hint="eastAsia"/>
          <w:b/>
          <w:szCs w:val="20"/>
          <w:vertAlign w:val="superscript"/>
        </w:rPr>
        <w:t xml:space="preserve">  </w:t>
      </w:r>
      <w:r w:rsidR="00772397" w:rsidRPr="00BC31E0">
        <w:rPr>
          <w:rFonts w:ascii="ＭＳ 明朝" w:hint="eastAsia"/>
          <w:szCs w:val="20"/>
        </w:rPr>
        <w:t>常温の降伏比は，常温の規定</w:t>
      </w:r>
      <w:r w:rsidRPr="00BC31E0">
        <w:rPr>
          <w:rFonts w:ascii="ＭＳ 明朝" w:hint="eastAsia"/>
          <w:szCs w:val="20"/>
        </w:rPr>
        <w:t>最小降伏点又は</w:t>
      </w:r>
      <w:r w:rsidRPr="00BC31E0">
        <w:rPr>
          <w:rFonts w:asciiTheme="minorHAnsi" w:hAnsiTheme="minorHAnsi"/>
          <w:szCs w:val="20"/>
        </w:rPr>
        <w:t>0.2%</w:t>
      </w:r>
      <w:r w:rsidRPr="00BC31E0">
        <w:rPr>
          <w:rFonts w:ascii="ＭＳ 明朝" w:hint="eastAsia"/>
          <w:szCs w:val="20"/>
        </w:rPr>
        <w:t>耐力と</w:t>
      </w:r>
      <w:r w:rsidR="00D16A1E" w:rsidRPr="00BC31E0">
        <w:rPr>
          <w:rFonts w:ascii="ＭＳ 明朝" w:hint="eastAsia"/>
          <w:szCs w:val="20"/>
        </w:rPr>
        <w:t>規定</w:t>
      </w:r>
      <w:r w:rsidRPr="00BC31E0">
        <w:rPr>
          <w:rFonts w:ascii="ＭＳ 明朝" w:hint="eastAsia"/>
          <w:szCs w:val="20"/>
        </w:rPr>
        <w:t>最小引張強さの比である。</w:t>
      </w:r>
    </w:p>
    <w:p w14:paraId="489183F1" w14:textId="77777777" w:rsidR="00F03E0A" w:rsidRPr="00BC31E0" w:rsidRDefault="00F03E0A" w:rsidP="004C76EF">
      <w:pPr>
        <w:ind w:left="340" w:hanging="340"/>
        <w:rPr>
          <w:rFonts w:ascii="ＭＳ ゴシック" w:eastAsia="ＭＳ ゴシック"/>
          <w:b/>
          <w:szCs w:val="20"/>
          <w:vertAlign w:val="superscript"/>
        </w:rPr>
      </w:pPr>
      <w:r w:rsidRPr="00BC31E0">
        <w:rPr>
          <w:rFonts w:ascii="ＭＳ ゴシック" w:eastAsia="ＭＳ ゴシック" w:hint="eastAsia"/>
          <w:b/>
          <w:szCs w:val="20"/>
          <w:vertAlign w:val="superscript"/>
        </w:rPr>
        <w:t>a</w:t>
      </w:r>
      <w:r w:rsidRPr="00BC31E0">
        <w:rPr>
          <w:rFonts w:ascii="ＭＳ ゴシック" w:eastAsia="ＭＳ ゴシック"/>
          <w:b/>
          <w:szCs w:val="20"/>
          <w:vertAlign w:val="superscript"/>
        </w:rPr>
        <w:t>g</w:t>
      </w:r>
      <w:r w:rsidRPr="00BC31E0">
        <w:rPr>
          <w:rFonts w:ascii="ＭＳ ゴシック" w:eastAsia="ＭＳ ゴシック" w:hint="eastAsia"/>
          <w:b/>
          <w:szCs w:val="20"/>
          <w:vertAlign w:val="superscript"/>
        </w:rPr>
        <w:t xml:space="preserve">)   </w:t>
      </w:r>
      <w:r w:rsidRPr="00BC31E0">
        <w:rPr>
          <w:rFonts w:hint="eastAsia"/>
          <w:szCs w:val="20"/>
        </w:rPr>
        <w:t>溶接</w:t>
      </w:r>
      <w:r w:rsidR="00B90CAE" w:rsidRPr="00BC31E0">
        <w:rPr>
          <w:rFonts w:hint="eastAsia"/>
          <w:szCs w:val="20"/>
        </w:rPr>
        <w:t>及</w:t>
      </w:r>
      <w:r w:rsidRPr="00BC31E0">
        <w:rPr>
          <w:rFonts w:hint="eastAsia"/>
          <w:szCs w:val="20"/>
        </w:rPr>
        <w:t>び熱切断</w:t>
      </w:r>
      <w:r w:rsidRPr="00BC31E0">
        <w:rPr>
          <w:rFonts w:ascii="ＭＳ 明朝" w:hint="eastAsia"/>
          <w:szCs w:val="20"/>
        </w:rPr>
        <w:t>は許されない。</w:t>
      </w:r>
    </w:p>
    <w:p w14:paraId="117F9A3B" w14:textId="77777777" w:rsidR="00F03E0A" w:rsidRPr="00BC31E0" w:rsidRDefault="00F03E0A" w:rsidP="004C76EF">
      <w:pPr>
        <w:ind w:left="340" w:hanging="340"/>
        <w:rPr>
          <w:rFonts w:ascii="ＭＳ 明朝"/>
          <w:szCs w:val="20"/>
        </w:rPr>
      </w:pPr>
      <w:r w:rsidRPr="00BC31E0">
        <w:rPr>
          <w:rFonts w:ascii="ＭＳ ゴシック" w:eastAsia="ＭＳ ゴシック" w:hint="eastAsia"/>
          <w:b/>
          <w:szCs w:val="20"/>
          <w:vertAlign w:val="superscript"/>
        </w:rPr>
        <w:t xml:space="preserve">ah)   </w:t>
      </w:r>
      <w:r w:rsidRPr="00BC31E0">
        <w:rPr>
          <w:rFonts w:hint="eastAsia"/>
          <w:szCs w:val="20"/>
        </w:rPr>
        <w:t>最大公称板厚</w:t>
      </w:r>
      <w:r w:rsidRPr="00BC31E0">
        <w:rPr>
          <w:rFonts w:asciiTheme="minorHAnsi"/>
          <w:szCs w:val="20"/>
        </w:rPr>
        <w:t>は</w:t>
      </w:r>
      <w:r w:rsidRPr="00BC31E0">
        <w:rPr>
          <w:rFonts w:asciiTheme="minorHAnsi" w:hAnsiTheme="minorHAnsi"/>
          <w:szCs w:val="20"/>
        </w:rPr>
        <w:t>75mm</w:t>
      </w:r>
      <w:r w:rsidRPr="00BC31E0">
        <w:rPr>
          <w:rFonts w:hint="eastAsia"/>
          <w:szCs w:val="20"/>
        </w:rPr>
        <w:t>以下</w:t>
      </w:r>
      <w:r w:rsidR="00502D05" w:rsidRPr="00BC31E0">
        <w:rPr>
          <w:rFonts w:hint="eastAsia"/>
          <w:szCs w:val="20"/>
        </w:rPr>
        <w:t>とする</w:t>
      </w:r>
      <w:r w:rsidRPr="00BC31E0">
        <w:rPr>
          <w:rFonts w:ascii="ＭＳ 明朝" w:hint="eastAsia"/>
          <w:szCs w:val="20"/>
        </w:rPr>
        <w:t>。</w:t>
      </w:r>
    </w:p>
    <w:p w14:paraId="674C8F90" w14:textId="77777777" w:rsidR="00F03E0A" w:rsidRPr="00BC31E0" w:rsidRDefault="00F03E0A" w:rsidP="007B462E">
      <w:pPr>
        <w:ind w:left="397" w:hanging="397"/>
        <w:rPr>
          <w:rFonts w:ascii="ＭＳ ゴシック" w:eastAsia="ＭＳ ゴシック"/>
          <w:b/>
          <w:szCs w:val="20"/>
          <w:vertAlign w:val="superscript"/>
        </w:rPr>
      </w:pPr>
      <w:r w:rsidRPr="00BC31E0">
        <w:rPr>
          <w:rFonts w:ascii="ＭＳ ゴシック" w:eastAsia="ＭＳ ゴシック" w:hint="eastAsia"/>
          <w:b/>
          <w:szCs w:val="20"/>
          <w:vertAlign w:val="superscript"/>
        </w:rPr>
        <w:t>a</w:t>
      </w:r>
      <w:r w:rsidR="00FD6C39" w:rsidRPr="00BC31E0">
        <w:rPr>
          <w:rFonts w:ascii="ＭＳ ゴシック" w:eastAsia="ＭＳ ゴシック" w:hint="eastAsia"/>
          <w:b/>
          <w:szCs w:val="20"/>
          <w:vertAlign w:val="superscript"/>
        </w:rPr>
        <w:t>i</w:t>
      </w:r>
      <w:r w:rsidR="00A4198A" w:rsidRPr="00BC31E0">
        <w:rPr>
          <w:rFonts w:ascii="ＭＳ ゴシック" w:eastAsia="ＭＳ ゴシック" w:hint="eastAsia"/>
          <w:b/>
          <w:szCs w:val="20"/>
          <w:vertAlign w:val="superscript"/>
        </w:rPr>
        <w:t>)</w:t>
      </w:r>
      <w:r w:rsidRPr="00BC31E0">
        <w:rPr>
          <w:rFonts w:ascii="ＭＳ ゴシック" w:eastAsia="ＭＳ ゴシック" w:hint="eastAsia"/>
          <w:b/>
          <w:szCs w:val="20"/>
          <w:vertAlign w:val="superscript"/>
        </w:rPr>
        <w:t xml:space="preserve">   </w:t>
      </w:r>
      <w:r w:rsidR="007B462E" w:rsidRPr="00BC31E0">
        <w:rPr>
          <w:rFonts w:asciiTheme="minorHAnsi" w:hAnsiTheme="minorHAnsi"/>
        </w:rPr>
        <w:t>JIS G 3222</w:t>
      </w:r>
      <w:r w:rsidR="00B90CAE" w:rsidRPr="00BC31E0">
        <w:rPr>
          <w:rFonts w:asciiTheme="minorHAnsi" w:hAnsi="ＭＳ 明朝"/>
        </w:rPr>
        <w:t>及び</w:t>
      </w:r>
      <w:r w:rsidR="007B462E" w:rsidRPr="00BC31E0">
        <w:rPr>
          <w:rFonts w:asciiTheme="minorHAnsi" w:hAnsiTheme="minorHAnsi"/>
        </w:rPr>
        <w:t>G 3221</w:t>
      </w:r>
      <w:r w:rsidR="007B462E" w:rsidRPr="00BC31E0">
        <w:rPr>
          <w:rFonts w:asciiTheme="minorHAnsi" w:hAnsi="ＭＳ 明朝"/>
        </w:rPr>
        <w:t>は，規定される</w:t>
      </w:r>
      <m:oMath>
        <m:r>
          <m:rPr>
            <m:sty m:val="p"/>
          </m:rPr>
          <w:rPr>
            <w:rFonts w:ascii="Cambria Math" w:hAnsiTheme="minorHAnsi"/>
          </w:rPr>
          <m:t xml:space="preserve"> </m:t>
        </m:r>
        <m:sSub>
          <m:sSubPr>
            <m:ctrlPr>
              <w:rPr>
                <w:rFonts w:ascii="Cambria Math" w:hAnsiTheme="minorHAnsi"/>
                <w:i/>
              </w:rPr>
            </m:ctrlPr>
          </m:sSubPr>
          <m:e>
            <m:r>
              <w:rPr>
                <w:rFonts w:ascii="Cambria Math" w:hAnsi="Cambria Math"/>
              </w:rPr>
              <m:t>S</m:t>
            </m:r>
          </m:e>
          <m:sub>
            <m:r>
              <w:rPr>
                <w:rFonts w:ascii="Cambria Math" w:hAnsi="Cambria Math"/>
              </w:rPr>
              <m:t>y</m:t>
            </m:r>
          </m:sub>
        </m:sSub>
        <m:r>
          <m:rPr>
            <m:sty m:val="p"/>
          </m:rPr>
          <w:rPr>
            <w:rFonts w:ascii="Cambria Math" w:hAnsiTheme="minorHAnsi"/>
          </w:rPr>
          <m:t xml:space="preserve"> </m:t>
        </m:r>
      </m:oMath>
      <w:r w:rsidR="007B462E" w:rsidRPr="00BC31E0">
        <w:rPr>
          <w:rFonts w:asciiTheme="minorHAnsi" w:hAnsi="ＭＳ 明朝"/>
        </w:rPr>
        <w:t>値が熱処理時供試部厚さによって区分される。また，製品形状</w:t>
      </w:r>
      <w:r w:rsidR="007B462E" w:rsidRPr="00BC31E0">
        <w:rPr>
          <w:rFonts w:asciiTheme="minorHAnsi" w:hAnsiTheme="minorHAnsi"/>
        </w:rPr>
        <w:t>[</w:t>
      </w:r>
      <w:r w:rsidR="007B462E" w:rsidRPr="00BC31E0">
        <w:rPr>
          <w:rFonts w:asciiTheme="minorHAnsi" w:hAnsi="ＭＳ 明朝"/>
        </w:rPr>
        <w:t>軸</w:t>
      </w:r>
      <w:r w:rsidR="007B462E" w:rsidRPr="00BC31E0">
        <w:rPr>
          <w:rFonts w:asciiTheme="minorHAnsi" w:hAnsiTheme="minorHAnsi"/>
        </w:rPr>
        <w:t>(S)</w:t>
      </w:r>
      <w:r w:rsidR="007B462E" w:rsidRPr="00BC31E0">
        <w:rPr>
          <w:rFonts w:asciiTheme="minorHAnsi" w:hAnsi="ＭＳ 明朝"/>
        </w:rPr>
        <w:t>，リング</w:t>
      </w:r>
      <w:r w:rsidR="007B462E" w:rsidRPr="00BC31E0">
        <w:rPr>
          <w:rFonts w:asciiTheme="minorHAnsi" w:hAnsiTheme="minorHAnsi"/>
        </w:rPr>
        <w:t>(R)</w:t>
      </w:r>
      <w:r w:rsidR="007B462E" w:rsidRPr="00BC31E0">
        <w:rPr>
          <w:rFonts w:asciiTheme="minorHAnsi" w:hAnsi="ＭＳ 明朝"/>
        </w:rPr>
        <w:t>，ディスク</w:t>
      </w:r>
      <w:r w:rsidR="007B462E" w:rsidRPr="00BC31E0">
        <w:rPr>
          <w:rFonts w:asciiTheme="minorHAnsi" w:hAnsiTheme="minorHAnsi"/>
        </w:rPr>
        <w:t>(D)]</w:t>
      </w:r>
      <w:r w:rsidR="007B462E" w:rsidRPr="00BC31E0">
        <w:rPr>
          <w:rFonts w:asciiTheme="minorHAnsi" w:hAnsi="ＭＳ 明朝"/>
        </w:rPr>
        <w:t>によっても規定</w:t>
      </w:r>
      <m:oMath>
        <m:sSub>
          <m:sSubPr>
            <m:ctrlPr>
              <w:rPr>
                <w:rFonts w:ascii="Cambria Math" w:hAnsiTheme="minorHAnsi"/>
                <w:i/>
              </w:rPr>
            </m:ctrlPr>
          </m:sSubPr>
          <m:e>
            <m:r>
              <w:rPr>
                <w:rFonts w:ascii="Cambria Math" w:hAnsiTheme="minorHAnsi"/>
              </w:rPr>
              <m:t xml:space="preserve"> </m:t>
            </m:r>
            <m:r>
              <w:rPr>
                <w:rFonts w:ascii="Cambria Math" w:hAnsi="Cambria Math"/>
              </w:rPr>
              <m:t>S</m:t>
            </m:r>
          </m:e>
          <m:sub>
            <m:r>
              <w:rPr>
                <w:rFonts w:ascii="Cambria Math" w:hAnsi="Cambria Math"/>
              </w:rPr>
              <m:t>y</m:t>
            </m:r>
          </m:sub>
        </m:sSub>
        <m:r>
          <m:rPr>
            <m:sty m:val="p"/>
          </m:rPr>
          <w:rPr>
            <w:rFonts w:ascii="Cambria Math" w:hAnsiTheme="minorHAnsi"/>
          </w:rPr>
          <m:t xml:space="preserve"> </m:t>
        </m:r>
      </m:oMath>
      <w:r w:rsidR="007B462E" w:rsidRPr="00BC31E0">
        <w:rPr>
          <w:rFonts w:asciiTheme="minorHAnsi" w:hAnsi="ＭＳ 明朝"/>
        </w:rPr>
        <w:t>値が異なる。</w:t>
      </w:r>
      <w:r w:rsidR="007B462E" w:rsidRPr="00BC31E0">
        <w:rPr>
          <w:rFonts w:asciiTheme="minorHAnsi" w:hAnsiTheme="minorHAnsi"/>
        </w:rPr>
        <w:t>JIS G 3222</w:t>
      </w:r>
      <w:r w:rsidR="00B90CAE" w:rsidRPr="00BC31E0">
        <w:rPr>
          <w:rFonts w:asciiTheme="minorHAnsi" w:hAnsi="ＭＳ 明朝"/>
        </w:rPr>
        <w:t>及び</w:t>
      </w:r>
      <w:r w:rsidR="007B462E" w:rsidRPr="00BC31E0">
        <w:rPr>
          <w:rFonts w:asciiTheme="minorHAnsi" w:hAnsiTheme="minorHAnsi"/>
        </w:rPr>
        <w:t>G 3221</w:t>
      </w:r>
      <w:r w:rsidR="00B90CAE" w:rsidRPr="00BC31E0">
        <w:rPr>
          <w:rFonts w:asciiTheme="minorHAnsi" w:hAnsi="ＭＳ 明朝"/>
        </w:rPr>
        <w:t>に</w:t>
      </w:r>
      <w:r w:rsidR="007B462E" w:rsidRPr="00BC31E0">
        <w:rPr>
          <w:rFonts w:asciiTheme="minorHAnsi" w:hAnsi="ＭＳ 明朝"/>
        </w:rPr>
        <w:t>より</w:t>
      </w:r>
      <w:r w:rsidR="00B90CAE" w:rsidRPr="00BC31E0">
        <w:rPr>
          <w:rFonts w:asciiTheme="minorHAnsi" w:hAnsi="ＭＳ 明朝"/>
        </w:rPr>
        <w:t>，</w:t>
      </w:r>
      <w:r w:rsidR="007B462E" w:rsidRPr="00BC31E0">
        <w:rPr>
          <w:rFonts w:asciiTheme="minorHAnsi" w:hAnsi="ＭＳ 明朝"/>
        </w:rPr>
        <w:t>規定</w:t>
      </w:r>
      <m:oMath>
        <m:sSub>
          <m:sSubPr>
            <m:ctrlPr>
              <w:rPr>
                <w:rFonts w:ascii="Cambria Math" w:hAnsiTheme="minorHAnsi"/>
                <w:i/>
              </w:rPr>
            </m:ctrlPr>
          </m:sSubPr>
          <m:e>
            <m:r>
              <w:rPr>
                <w:rFonts w:ascii="Cambria Math" w:hAnsiTheme="minorHAnsi"/>
              </w:rPr>
              <m:t xml:space="preserve"> </m:t>
            </m:r>
            <m:r>
              <w:rPr>
                <w:rFonts w:ascii="Cambria Math" w:hAnsi="Cambria Math"/>
              </w:rPr>
              <m:t>S</m:t>
            </m:r>
          </m:e>
          <m:sub>
            <m:r>
              <w:rPr>
                <w:rFonts w:ascii="Cambria Math" w:hAnsi="Cambria Math"/>
              </w:rPr>
              <m:t>y</m:t>
            </m:r>
          </m:sub>
        </m:sSub>
        <m:r>
          <m:rPr>
            <m:sty m:val="p"/>
          </m:rPr>
          <w:rPr>
            <w:rFonts w:ascii="Cambria Math" w:hAnsiTheme="minorHAnsi"/>
          </w:rPr>
          <m:t xml:space="preserve"> </m:t>
        </m:r>
      </m:oMath>
      <w:r w:rsidR="007B462E" w:rsidRPr="00BC31E0">
        <w:rPr>
          <w:rFonts w:asciiTheme="minorHAnsi" w:hAnsi="ＭＳ 明朝"/>
        </w:rPr>
        <w:t>値を決定する。</w:t>
      </w:r>
    </w:p>
    <w:p w14:paraId="7F2C881C" w14:textId="77777777" w:rsidR="00F03E0A" w:rsidRPr="00BC31E0" w:rsidRDefault="00F03E0A" w:rsidP="004C76EF">
      <w:pPr>
        <w:jc w:val="left"/>
        <w:rPr>
          <w:szCs w:val="20"/>
          <w:u w:val="single"/>
        </w:rPr>
      </w:pPr>
      <w:r w:rsidRPr="00BC31E0">
        <w:rPr>
          <w:rFonts w:hint="eastAsia"/>
          <w:szCs w:val="20"/>
          <w:u w:val="single"/>
        </w:rPr>
        <w:t xml:space="preserve">　　　　　　　　　　　　　　　　　　　　　　　　　　　　　　　　　　　　　　　　　　　</w:t>
      </w:r>
    </w:p>
    <w:p w14:paraId="6A6EA397" w14:textId="77777777" w:rsidR="00F03E0A" w:rsidRPr="00BC31E0" w:rsidRDefault="00F03E0A" w:rsidP="00992EA5">
      <w:pPr>
        <w:rPr>
          <w:rFonts w:ascii="ＭＳ ゴシック" w:eastAsia="ＭＳ ゴシック" w:hAnsi="ＭＳ ゴシック"/>
          <w:b/>
          <w:bCs/>
        </w:rPr>
      </w:pPr>
      <w:r w:rsidRPr="00BC31E0">
        <w:rPr>
          <w:rFonts w:ascii="ＭＳ ゴシック" w:eastAsia="ＭＳ ゴシック" w:hAnsi="ＭＳ ゴシック" w:hint="eastAsia"/>
          <w:b/>
          <w:bCs/>
        </w:rPr>
        <w:t>参考文献</w:t>
      </w:r>
    </w:p>
    <w:p w14:paraId="3186B6CA" w14:textId="77777777" w:rsidR="00F03E0A" w:rsidRPr="00BC31E0" w:rsidRDefault="00F03E0A" w:rsidP="00B70761">
      <w:pPr>
        <w:pStyle w:val="a4"/>
        <w:numPr>
          <w:ilvl w:val="0"/>
          <w:numId w:val="426"/>
        </w:numPr>
        <w:ind w:leftChars="0" w:left="454" w:hanging="454"/>
        <w:jc w:val="left"/>
        <w:rPr>
          <w:rFonts w:asciiTheme="minorHAnsi" w:eastAsiaTheme="minorEastAsia" w:hAnsiTheme="minorHAnsi"/>
          <w:szCs w:val="20"/>
        </w:rPr>
      </w:pPr>
      <w:r w:rsidRPr="00BC31E0">
        <w:rPr>
          <w:rFonts w:asciiTheme="minorHAnsi" w:eastAsiaTheme="minorEastAsia" w:hAnsiTheme="minorHAnsi"/>
          <w:szCs w:val="20"/>
        </w:rPr>
        <w:t>ASTM</w:t>
      </w:r>
      <w:r w:rsidR="00B70761" w:rsidRPr="00BC31E0">
        <w:rPr>
          <w:rFonts w:asciiTheme="minorHAnsi" w:eastAsiaTheme="minorEastAsia" w:hAnsiTheme="minorHAnsi"/>
          <w:szCs w:val="20"/>
        </w:rPr>
        <w:t xml:space="preserve">, </w:t>
      </w:r>
      <w:r w:rsidR="002E2604" w:rsidRPr="00BC31E0">
        <w:rPr>
          <w:rFonts w:asciiTheme="minorHAnsi" w:eastAsiaTheme="minorEastAsia" w:hAnsiTheme="minorHAnsi"/>
          <w:szCs w:val="20"/>
        </w:rPr>
        <w:t>“</w:t>
      </w:r>
      <w:r w:rsidRPr="00BC31E0">
        <w:rPr>
          <w:rFonts w:asciiTheme="minorHAnsi" w:eastAsiaTheme="minorEastAsia" w:hAnsiTheme="minorHAnsi"/>
          <w:szCs w:val="20"/>
        </w:rPr>
        <w:t>Report on Elevated Temperature Properties of Wrought Medium Carbon Alloy Steels”</w:t>
      </w:r>
      <w:r w:rsidR="00B70761" w:rsidRPr="00BC31E0">
        <w:rPr>
          <w:rFonts w:asciiTheme="minorHAnsi" w:eastAsiaTheme="minorEastAsia" w:hAnsiTheme="minorHAnsi"/>
          <w:szCs w:val="20"/>
        </w:rPr>
        <w:t xml:space="preserve">, </w:t>
      </w:r>
      <w:r w:rsidR="00C4207B" w:rsidRPr="00BC31E0">
        <w:rPr>
          <w:rFonts w:asciiTheme="minorHAnsi" w:eastAsiaTheme="minorEastAsia" w:hAnsiTheme="minorHAnsi"/>
          <w:szCs w:val="20"/>
        </w:rPr>
        <w:t>ASTM STP47618S</w:t>
      </w:r>
      <w:r w:rsidR="00B70761" w:rsidRPr="00BC31E0">
        <w:rPr>
          <w:rFonts w:asciiTheme="minorHAnsi" w:eastAsiaTheme="minorEastAsia" w:hAnsiTheme="minorHAnsi" w:hint="eastAsia"/>
          <w:szCs w:val="20"/>
        </w:rPr>
        <w:t xml:space="preserve">, </w:t>
      </w:r>
      <w:r w:rsidR="00C4207B" w:rsidRPr="00BC31E0">
        <w:rPr>
          <w:rFonts w:asciiTheme="minorHAnsi" w:eastAsiaTheme="minorEastAsia" w:hAnsiTheme="minorHAnsi"/>
          <w:szCs w:val="20"/>
        </w:rPr>
        <w:t>(1957)</w:t>
      </w:r>
    </w:p>
    <w:p w14:paraId="181F428B" w14:textId="77777777" w:rsidR="00F03E0A" w:rsidRPr="00BC31E0" w:rsidRDefault="009859CE" w:rsidP="00B70761">
      <w:pPr>
        <w:pStyle w:val="a4"/>
        <w:numPr>
          <w:ilvl w:val="0"/>
          <w:numId w:val="426"/>
        </w:numPr>
        <w:ind w:leftChars="0" w:left="454" w:hanging="454"/>
        <w:jc w:val="left"/>
        <w:rPr>
          <w:rFonts w:asciiTheme="minorHAnsi" w:eastAsiaTheme="minorEastAsia" w:hAnsiTheme="minorHAnsi"/>
          <w:szCs w:val="20"/>
        </w:rPr>
      </w:pPr>
      <w:r w:rsidRPr="00BC31E0">
        <w:rPr>
          <w:rFonts w:asciiTheme="minorHAnsi" w:eastAsiaTheme="minorEastAsia" w:hAnsiTheme="minorEastAsia"/>
          <w:szCs w:val="20"/>
        </w:rPr>
        <w:t>高圧ガス保安協会，</w:t>
      </w:r>
      <w:r w:rsidR="00F03E0A" w:rsidRPr="00BC31E0">
        <w:rPr>
          <w:rFonts w:asciiTheme="minorHAnsi" w:eastAsiaTheme="minorEastAsia" w:hAnsiTheme="minorHAnsi"/>
          <w:szCs w:val="20"/>
        </w:rPr>
        <w:t>KHKS 0220(20</w:t>
      </w:r>
      <w:r w:rsidR="00F933D0" w:rsidRPr="00BC31E0">
        <w:rPr>
          <w:rFonts w:asciiTheme="minorHAnsi" w:eastAsiaTheme="minorEastAsia" w:hAnsiTheme="minorHAnsi"/>
          <w:szCs w:val="20"/>
        </w:rPr>
        <w:t>2</w:t>
      </w:r>
      <w:r w:rsidR="00F03E0A" w:rsidRPr="00BC31E0">
        <w:rPr>
          <w:rFonts w:asciiTheme="minorHAnsi" w:eastAsiaTheme="minorEastAsia" w:hAnsiTheme="minorHAnsi"/>
          <w:szCs w:val="20"/>
        </w:rPr>
        <w:t>0)</w:t>
      </w:r>
      <w:r w:rsidR="004A143E" w:rsidRPr="00BC31E0">
        <w:rPr>
          <w:rFonts w:asciiTheme="minorEastAsia" w:eastAsiaTheme="minorEastAsia" w:hAnsiTheme="minorEastAsia" w:hint="eastAsia"/>
          <w:szCs w:val="20"/>
        </w:rPr>
        <w:t xml:space="preserve"> </w:t>
      </w:r>
      <w:r w:rsidR="00F03E0A" w:rsidRPr="00BC31E0">
        <w:rPr>
          <w:rFonts w:asciiTheme="minorHAnsi" w:eastAsiaTheme="minorEastAsia" w:hAnsiTheme="minorEastAsia"/>
          <w:szCs w:val="20"/>
        </w:rPr>
        <w:t>超高圧ガス設備に関する基準，</w:t>
      </w:r>
      <w:r w:rsidR="0000129D" w:rsidRPr="00BC31E0">
        <w:rPr>
          <w:rFonts w:asciiTheme="minorHAnsi" w:eastAsiaTheme="minorEastAsia" w:hAnsiTheme="minorHAnsi"/>
          <w:szCs w:val="20"/>
        </w:rPr>
        <w:t>(</w:t>
      </w:r>
      <w:r w:rsidR="00F03E0A" w:rsidRPr="00BC31E0">
        <w:rPr>
          <w:rFonts w:asciiTheme="minorHAnsi" w:eastAsiaTheme="minorEastAsia" w:hAnsiTheme="minorHAnsi"/>
          <w:szCs w:val="20"/>
        </w:rPr>
        <w:t>20</w:t>
      </w:r>
      <w:r w:rsidR="00F933D0" w:rsidRPr="00BC31E0">
        <w:rPr>
          <w:rFonts w:asciiTheme="minorHAnsi" w:eastAsiaTheme="minorEastAsia" w:hAnsiTheme="minorHAnsi"/>
          <w:szCs w:val="20"/>
        </w:rPr>
        <w:t>2</w:t>
      </w:r>
      <w:r w:rsidR="00F03E0A" w:rsidRPr="00BC31E0">
        <w:rPr>
          <w:rFonts w:asciiTheme="minorHAnsi" w:eastAsiaTheme="minorEastAsia" w:hAnsiTheme="minorHAnsi"/>
          <w:szCs w:val="20"/>
        </w:rPr>
        <w:t>0</w:t>
      </w:r>
      <w:r w:rsidR="0000129D" w:rsidRPr="00BC31E0">
        <w:rPr>
          <w:rFonts w:asciiTheme="minorHAnsi" w:eastAsiaTheme="minorEastAsia" w:hAnsiTheme="minorHAnsi"/>
          <w:szCs w:val="20"/>
        </w:rPr>
        <w:t>)</w:t>
      </w:r>
    </w:p>
    <w:p w14:paraId="02489C33" w14:textId="77777777" w:rsidR="00F03E0A" w:rsidRPr="00BC31E0" w:rsidRDefault="00F03E0A" w:rsidP="00B70761">
      <w:pPr>
        <w:pStyle w:val="a4"/>
        <w:numPr>
          <w:ilvl w:val="0"/>
          <w:numId w:val="426"/>
        </w:numPr>
        <w:ind w:leftChars="0" w:left="454" w:hanging="454"/>
        <w:jc w:val="left"/>
        <w:rPr>
          <w:rFonts w:asciiTheme="minorHAnsi" w:eastAsiaTheme="minorEastAsia" w:hAnsiTheme="minorHAnsi"/>
          <w:szCs w:val="20"/>
        </w:rPr>
      </w:pPr>
      <w:r w:rsidRPr="00BC31E0">
        <w:rPr>
          <w:rFonts w:asciiTheme="minorHAnsi" w:eastAsiaTheme="minorEastAsia" w:hAnsiTheme="minorHAnsi"/>
          <w:szCs w:val="20"/>
        </w:rPr>
        <w:t>MIL HANDBOOK 5G</w:t>
      </w:r>
      <w:r w:rsidR="00B70761" w:rsidRPr="00BC31E0">
        <w:rPr>
          <w:rFonts w:asciiTheme="minorHAnsi" w:eastAsiaTheme="minorEastAsia" w:hAnsiTheme="minorHAnsi" w:hint="eastAsia"/>
          <w:szCs w:val="20"/>
        </w:rPr>
        <w:t xml:space="preserve">, </w:t>
      </w:r>
      <w:r w:rsidRPr="00BC31E0">
        <w:rPr>
          <w:rFonts w:asciiTheme="minorHAnsi" w:eastAsiaTheme="minorEastAsia" w:hAnsiTheme="minorHAnsi"/>
          <w:szCs w:val="20"/>
        </w:rPr>
        <w:t>Fig.2.6.8.2.1</w:t>
      </w:r>
      <w:r w:rsidRPr="00BC31E0">
        <w:rPr>
          <w:rFonts w:asciiTheme="minorHAnsi" w:eastAsiaTheme="minorEastAsia" w:hAnsiTheme="minorEastAsia"/>
          <w:szCs w:val="20"/>
        </w:rPr>
        <w:t>及び</w:t>
      </w:r>
      <w:r w:rsidRPr="00BC31E0">
        <w:rPr>
          <w:rFonts w:asciiTheme="minorHAnsi" w:eastAsiaTheme="minorEastAsia" w:hAnsiTheme="minorHAnsi"/>
          <w:szCs w:val="20"/>
        </w:rPr>
        <w:t xml:space="preserve"> Fig.2.6.8.1</w:t>
      </w:r>
      <w:r w:rsidR="00B70761" w:rsidRPr="00BC31E0">
        <w:rPr>
          <w:rFonts w:asciiTheme="minorHAnsi" w:eastAsiaTheme="minorEastAsia" w:hAnsiTheme="minorHAnsi" w:hint="eastAsia"/>
          <w:szCs w:val="20"/>
        </w:rPr>
        <w:t xml:space="preserve">, </w:t>
      </w:r>
      <w:r w:rsidR="00B359EA" w:rsidRPr="00BC31E0">
        <w:rPr>
          <w:rFonts w:asciiTheme="minorHAnsi" w:eastAsiaTheme="minorEastAsia" w:hAnsiTheme="minorHAnsi"/>
          <w:szCs w:val="20"/>
        </w:rPr>
        <w:t>(1994)</w:t>
      </w:r>
    </w:p>
    <w:p w14:paraId="369D11DE" w14:textId="77777777" w:rsidR="00E46877" w:rsidRPr="00BC31E0" w:rsidRDefault="00E46877" w:rsidP="00992EA5">
      <w:pPr>
        <w:ind w:left="141" w:hangingChars="67" w:hanging="141"/>
        <w:rPr>
          <w:rFonts w:ascii="ＭＳ ゴシック" w:eastAsia="ＭＳ ゴシック" w:hAnsi="ＭＳ ゴシック"/>
          <w:b/>
          <w:szCs w:val="20"/>
        </w:rPr>
      </w:pPr>
    </w:p>
    <w:p w14:paraId="42C3341D" w14:textId="77777777" w:rsidR="00E46877" w:rsidRPr="00BC31E0" w:rsidRDefault="00E46877" w:rsidP="00992EA5">
      <w:pPr>
        <w:pStyle w:val="10"/>
        <w:ind w:left="340" w:hanging="340"/>
      </w:pPr>
      <w:bookmarkStart w:id="32" w:name="_Toc357672087"/>
      <w:bookmarkStart w:id="33" w:name="_Toc120092520"/>
      <w:r w:rsidRPr="00BC31E0">
        <w:rPr>
          <w:rFonts w:hint="eastAsia"/>
        </w:rPr>
        <w:lastRenderedPageBreak/>
        <w:t>設計</w:t>
      </w:r>
      <w:bookmarkEnd w:id="32"/>
      <w:bookmarkEnd w:id="33"/>
    </w:p>
    <w:p w14:paraId="55B30B6F" w14:textId="77777777" w:rsidR="00E46877" w:rsidRPr="00BC31E0" w:rsidRDefault="00E46877" w:rsidP="00154923">
      <w:pPr>
        <w:pStyle w:val="20"/>
        <w:tabs>
          <w:tab w:val="clear" w:pos="284"/>
        </w:tabs>
        <w:ind w:left="567" w:hanging="567"/>
      </w:pPr>
      <w:bookmarkStart w:id="34" w:name="_Toc357672088"/>
      <w:bookmarkStart w:id="35" w:name="_Toc120092521"/>
      <w:r w:rsidRPr="00BC31E0">
        <w:rPr>
          <w:rFonts w:hint="eastAsia"/>
        </w:rPr>
        <w:t>設計一般</w:t>
      </w:r>
      <w:bookmarkEnd w:id="34"/>
      <w:bookmarkEnd w:id="35"/>
    </w:p>
    <w:p w14:paraId="50CA856D" w14:textId="77777777" w:rsidR="00E46877" w:rsidRPr="00BC31E0" w:rsidRDefault="00E46877" w:rsidP="00992EA5">
      <w:pPr>
        <w:pStyle w:val="3"/>
        <w:tabs>
          <w:tab w:val="clear" w:pos="284"/>
        </w:tabs>
        <w:ind w:left="794" w:hanging="794"/>
      </w:pPr>
      <w:r w:rsidRPr="00BC31E0">
        <w:rPr>
          <w:rFonts w:hint="eastAsia"/>
        </w:rPr>
        <w:t>一般事項</w:t>
      </w:r>
    </w:p>
    <w:p w14:paraId="046D9A37" w14:textId="77777777" w:rsidR="00E46877" w:rsidRPr="00BC31E0" w:rsidRDefault="00E46877" w:rsidP="004C76EF">
      <w:pPr>
        <w:ind w:firstLineChars="100" w:firstLine="210"/>
      </w:pPr>
      <w:r w:rsidRPr="00BC31E0">
        <w:rPr>
          <w:rFonts w:hint="eastAsia"/>
        </w:rPr>
        <w:t>この章では，高圧容器に関する一般事項を規定している。容器の全ての構造部品については，疲労評価，破壊力学評価を</w:t>
      </w:r>
      <w:r w:rsidRPr="00BC31E0">
        <w:rPr>
          <w:rFonts w:ascii="ＭＳ ゴシック" w:eastAsia="ＭＳ ゴシック" w:hAnsi="ＭＳ ゴシック" w:hint="eastAsia"/>
          <w:b/>
        </w:rPr>
        <w:t>6.3</w:t>
      </w:r>
      <w:r w:rsidRPr="00BC31E0">
        <w:rPr>
          <w:rFonts w:hint="eastAsia"/>
        </w:rPr>
        <w:t>及び</w:t>
      </w:r>
      <w:r w:rsidRPr="00BC31E0">
        <w:rPr>
          <w:rFonts w:ascii="ＭＳ ゴシック" w:eastAsia="ＭＳ ゴシック" w:hAnsi="ＭＳ ゴシック" w:hint="eastAsia"/>
          <w:b/>
        </w:rPr>
        <w:t>6.4</w:t>
      </w:r>
      <w:r w:rsidRPr="00BC31E0">
        <w:rPr>
          <w:rFonts w:hint="eastAsia"/>
        </w:rPr>
        <w:t>に従って行う。使用者設計仕様書に規定されている全ての荷重や製作工程，自緊，温度勾配によって生じる</w:t>
      </w:r>
      <w:r w:rsidR="00DC160D" w:rsidRPr="00BC31E0">
        <w:rPr>
          <w:rFonts w:hint="eastAsia"/>
        </w:rPr>
        <w:t>全</w:t>
      </w:r>
      <w:r w:rsidRPr="00BC31E0">
        <w:rPr>
          <w:rFonts w:hint="eastAsia"/>
        </w:rPr>
        <w:t>ての応力は考慮する。</w:t>
      </w:r>
    </w:p>
    <w:p w14:paraId="7BC1EDDE" w14:textId="77777777" w:rsidR="00E46877" w:rsidRPr="00BC31E0" w:rsidRDefault="00E46877" w:rsidP="00992EA5">
      <w:pPr>
        <w:pStyle w:val="3"/>
        <w:tabs>
          <w:tab w:val="clear" w:pos="284"/>
        </w:tabs>
        <w:ind w:left="794" w:hanging="794"/>
      </w:pPr>
      <w:r w:rsidRPr="00BC31E0">
        <w:rPr>
          <w:rFonts w:hint="eastAsia"/>
        </w:rPr>
        <w:t>基本的な設計要求</w:t>
      </w:r>
    </w:p>
    <w:p w14:paraId="59CF5F33" w14:textId="77777777" w:rsidR="00E46877" w:rsidRPr="00BC31E0" w:rsidRDefault="00E46877" w:rsidP="004C76EF">
      <w:pPr>
        <w:ind w:firstLineChars="100" w:firstLine="211"/>
      </w:pPr>
      <w:r w:rsidRPr="00BC31E0">
        <w:rPr>
          <w:rFonts w:ascii="ＭＳ ゴシック" w:eastAsia="ＭＳ ゴシック" w:hAnsi="ＭＳ ゴシック" w:hint="eastAsia"/>
          <w:b/>
        </w:rPr>
        <w:t>6.2</w:t>
      </w:r>
      <w:r w:rsidRPr="00BC31E0">
        <w:rPr>
          <w:rFonts w:hint="eastAsia"/>
        </w:rPr>
        <w:t>では，全ての圧力容器の基本設計及び溶接を伴わない圧力容器の設計基準を規定している。穴，ふた板，その他の構造については，</w:t>
      </w:r>
      <w:r w:rsidRPr="00BC31E0">
        <w:rPr>
          <w:rFonts w:ascii="ＭＳ ゴシック" w:eastAsia="ＭＳ ゴシック" w:hAnsi="ＭＳ ゴシック" w:hint="eastAsia"/>
          <w:b/>
        </w:rPr>
        <w:t>6.6</w:t>
      </w:r>
      <w:r w:rsidRPr="00BC31E0">
        <w:rPr>
          <w:rFonts w:hint="eastAsia"/>
        </w:rPr>
        <w:t>，</w:t>
      </w:r>
      <w:r w:rsidRPr="00BC31E0">
        <w:rPr>
          <w:rFonts w:ascii="ＭＳ ゴシック" w:eastAsia="ＭＳ ゴシック" w:hAnsi="ＭＳ ゴシック" w:hint="eastAsia"/>
          <w:b/>
        </w:rPr>
        <w:t>6.8</w:t>
      </w:r>
      <w:r w:rsidRPr="00BC31E0">
        <w:rPr>
          <w:rFonts w:hint="eastAsia"/>
        </w:rPr>
        <w:t>，</w:t>
      </w:r>
      <w:r w:rsidRPr="00BC31E0">
        <w:rPr>
          <w:rFonts w:ascii="ＭＳ ゴシック" w:eastAsia="ＭＳ ゴシック" w:hAnsi="ＭＳ ゴシック" w:hint="eastAsia"/>
          <w:b/>
        </w:rPr>
        <w:t>6.9</w:t>
      </w:r>
      <w:r w:rsidRPr="00BC31E0">
        <w:rPr>
          <w:rFonts w:hint="eastAsia"/>
        </w:rPr>
        <w:t>，</w:t>
      </w:r>
      <w:r w:rsidRPr="00BC31E0">
        <w:rPr>
          <w:rFonts w:ascii="ＭＳ ゴシック" w:eastAsia="ＭＳ ゴシック" w:hAnsi="ＭＳ ゴシック" w:hint="eastAsia"/>
          <w:b/>
        </w:rPr>
        <w:t>6.10</w:t>
      </w:r>
      <w:r w:rsidR="000E5B99" w:rsidRPr="00BC31E0">
        <w:rPr>
          <w:rFonts w:hint="eastAsia"/>
        </w:rPr>
        <w:t>など</w:t>
      </w:r>
      <w:r w:rsidRPr="00BC31E0">
        <w:rPr>
          <w:rFonts w:hint="eastAsia"/>
        </w:rPr>
        <w:t>で補完されている。</w:t>
      </w:r>
    </w:p>
    <w:p w14:paraId="0384039E" w14:textId="77777777" w:rsidR="00E46877" w:rsidRPr="00BC31E0" w:rsidRDefault="00E46877" w:rsidP="00992EA5">
      <w:pPr>
        <w:pStyle w:val="3"/>
        <w:tabs>
          <w:tab w:val="clear" w:pos="284"/>
        </w:tabs>
        <w:ind w:left="794" w:hanging="794"/>
      </w:pPr>
      <w:r w:rsidRPr="00BC31E0">
        <w:rPr>
          <w:rFonts w:hint="eastAsia"/>
        </w:rPr>
        <w:t>保護用ライニング</w:t>
      </w:r>
    </w:p>
    <w:p w14:paraId="7A8B80F0" w14:textId="77777777" w:rsidR="00E46877" w:rsidRPr="00BC31E0" w:rsidRDefault="00E46877" w:rsidP="004C76EF">
      <w:pPr>
        <w:ind w:firstLineChars="100" w:firstLine="210"/>
      </w:pPr>
      <w:r w:rsidRPr="00BC31E0">
        <w:rPr>
          <w:rFonts w:hint="eastAsia"/>
        </w:rPr>
        <w:t>保護用ライニングとは，圧力容器の最内層で，化学的及び機械的損傷に対して強度部材表面を保護する耐食クラッド，耐食肉盛溶接，耐食ライニングである。保護用ライニングは，静的強度，一次応力の計算に考慮してはならないが，二次応力，繰返し荷重計算には考慮する。使用材料は，</w:t>
      </w:r>
      <w:r w:rsidRPr="00BC31E0">
        <w:rPr>
          <w:rFonts w:ascii="ＭＳ ゴシック" w:eastAsia="ＭＳ ゴシック" w:hAnsi="ＭＳ ゴシック" w:hint="eastAsia"/>
          <w:b/>
          <w:bCs/>
        </w:rPr>
        <w:t>5</w:t>
      </w:r>
      <w:r w:rsidRPr="00BC31E0">
        <w:rPr>
          <w:rFonts w:hint="eastAsia"/>
        </w:rPr>
        <w:t>に記載されている必要はない。</w:t>
      </w:r>
    </w:p>
    <w:p w14:paraId="54DE6E66" w14:textId="77777777" w:rsidR="00E46877" w:rsidRPr="00BC31E0" w:rsidRDefault="00E46877" w:rsidP="00992EA5">
      <w:pPr>
        <w:pStyle w:val="3"/>
        <w:tabs>
          <w:tab w:val="clear" w:pos="284"/>
        </w:tabs>
        <w:ind w:left="794" w:hanging="794"/>
      </w:pPr>
      <w:r w:rsidRPr="00BC31E0">
        <w:rPr>
          <w:rFonts w:hint="eastAsia"/>
        </w:rPr>
        <w:t>設計荷重</w:t>
      </w:r>
    </w:p>
    <w:p w14:paraId="743E1897" w14:textId="77777777" w:rsidR="00E46877" w:rsidRPr="00BC31E0" w:rsidRDefault="00E46877" w:rsidP="004C76EF">
      <w:pPr>
        <w:ind w:firstLineChars="100" w:firstLine="210"/>
      </w:pPr>
      <w:r w:rsidRPr="00BC31E0">
        <w:rPr>
          <w:rFonts w:hint="eastAsia"/>
        </w:rPr>
        <w:t>設計に当たっては，次の荷重を考慮する。</w:t>
      </w:r>
    </w:p>
    <w:p w14:paraId="0D425B62" w14:textId="77777777" w:rsidR="00E46877" w:rsidRPr="00BC31E0" w:rsidRDefault="00E46877" w:rsidP="00736130">
      <w:pPr>
        <w:pStyle w:val="a4"/>
        <w:numPr>
          <w:ilvl w:val="0"/>
          <w:numId w:val="91"/>
        </w:numPr>
        <w:ind w:leftChars="0" w:left="454" w:hanging="454"/>
      </w:pPr>
      <w:r w:rsidRPr="00BC31E0">
        <w:rPr>
          <w:rFonts w:hint="eastAsia"/>
        </w:rPr>
        <w:t>内圧力及び外圧力</w:t>
      </w:r>
    </w:p>
    <w:p w14:paraId="45B88243" w14:textId="77777777" w:rsidR="00E46877" w:rsidRPr="00BC31E0" w:rsidRDefault="00E46877" w:rsidP="00736130">
      <w:pPr>
        <w:pStyle w:val="a4"/>
        <w:numPr>
          <w:ilvl w:val="0"/>
          <w:numId w:val="91"/>
        </w:numPr>
        <w:ind w:leftChars="0" w:left="454" w:hanging="454"/>
      </w:pPr>
      <w:r w:rsidRPr="00BC31E0">
        <w:rPr>
          <w:rFonts w:hint="eastAsia"/>
        </w:rPr>
        <w:t>熱的応力を生じる温度条件</w:t>
      </w:r>
    </w:p>
    <w:p w14:paraId="526A1F01" w14:textId="77777777" w:rsidR="00E46877" w:rsidRPr="00BC31E0" w:rsidRDefault="00E46877" w:rsidP="00736130">
      <w:pPr>
        <w:pStyle w:val="a4"/>
        <w:numPr>
          <w:ilvl w:val="0"/>
          <w:numId w:val="91"/>
        </w:numPr>
        <w:ind w:leftChars="0" w:left="454" w:hanging="454"/>
      </w:pPr>
      <w:r w:rsidRPr="00BC31E0">
        <w:rPr>
          <w:rFonts w:hint="eastAsia"/>
        </w:rPr>
        <w:t>機器重量及び内容物重量</w:t>
      </w:r>
    </w:p>
    <w:p w14:paraId="4C343AF6" w14:textId="77777777" w:rsidR="00E46877" w:rsidRPr="00BC31E0" w:rsidRDefault="00E46877" w:rsidP="00736130">
      <w:pPr>
        <w:pStyle w:val="a4"/>
        <w:numPr>
          <w:ilvl w:val="0"/>
          <w:numId w:val="91"/>
        </w:numPr>
        <w:ind w:leftChars="0" w:left="454" w:hanging="454"/>
      </w:pPr>
      <w:r w:rsidRPr="00BC31E0">
        <w:rPr>
          <w:rFonts w:hint="eastAsia"/>
        </w:rPr>
        <w:t>他の機器，配管，運転用装置など当該機器に負荷される重量</w:t>
      </w:r>
    </w:p>
    <w:p w14:paraId="0AC6C1CB" w14:textId="77777777" w:rsidR="00E46877" w:rsidRPr="00BC31E0" w:rsidRDefault="00E46877" w:rsidP="00736130">
      <w:pPr>
        <w:pStyle w:val="a4"/>
        <w:numPr>
          <w:ilvl w:val="0"/>
          <w:numId w:val="91"/>
        </w:numPr>
        <w:ind w:leftChars="0" w:left="454" w:hanging="454"/>
        <w:rPr>
          <w:rFonts w:ascii="ＭＳ 明朝"/>
        </w:rPr>
      </w:pPr>
      <w:r w:rsidRPr="00BC31E0">
        <w:rPr>
          <w:rFonts w:ascii="ＭＳ 明朝" w:hint="eastAsia"/>
        </w:rPr>
        <w:t>風荷重，地震荷重</w:t>
      </w:r>
    </w:p>
    <w:p w14:paraId="060534BC" w14:textId="77777777" w:rsidR="00E46877" w:rsidRPr="00BC31E0" w:rsidRDefault="00E46877" w:rsidP="00736130">
      <w:pPr>
        <w:pStyle w:val="a4"/>
        <w:numPr>
          <w:ilvl w:val="0"/>
          <w:numId w:val="91"/>
        </w:numPr>
        <w:ind w:leftChars="0" w:left="454" w:hanging="454"/>
      </w:pPr>
      <w:r w:rsidRPr="00BC31E0">
        <w:rPr>
          <w:rFonts w:hint="eastAsia"/>
        </w:rPr>
        <w:t>機器支持の反力</w:t>
      </w:r>
    </w:p>
    <w:p w14:paraId="10C4B551" w14:textId="77777777" w:rsidR="00E46877" w:rsidRPr="00BC31E0" w:rsidRDefault="00E46877" w:rsidP="00736130">
      <w:pPr>
        <w:pStyle w:val="a4"/>
        <w:numPr>
          <w:ilvl w:val="0"/>
          <w:numId w:val="91"/>
        </w:numPr>
        <w:ind w:leftChars="0" w:left="454" w:hanging="454"/>
      </w:pPr>
      <w:r w:rsidRPr="00BC31E0">
        <w:rPr>
          <w:rFonts w:hint="eastAsia"/>
        </w:rPr>
        <w:t>衝撃荷重</w:t>
      </w:r>
    </w:p>
    <w:p w14:paraId="656C8D8F" w14:textId="77777777" w:rsidR="00E46877" w:rsidRPr="00BC31E0" w:rsidRDefault="002C425D" w:rsidP="00736130">
      <w:pPr>
        <w:pStyle w:val="a4"/>
        <w:numPr>
          <w:ilvl w:val="0"/>
          <w:numId w:val="91"/>
        </w:numPr>
        <w:ind w:leftChars="0" w:left="454" w:hanging="454"/>
      </w:pPr>
      <w:r w:rsidRPr="00BC31E0">
        <w:rPr>
          <w:rFonts w:hint="eastAsia"/>
        </w:rPr>
        <w:t>接続される配管など</w:t>
      </w:r>
      <w:r w:rsidR="00E46877" w:rsidRPr="00BC31E0">
        <w:rPr>
          <w:rFonts w:hint="eastAsia"/>
        </w:rPr>
        <w:t>の伸縮による荷重</w:t>
      </w:r>
    </w:p>
    <w:p w14:paraId="107F9C71" w14:textId="77777777" w:rsidR="00E46877" w:rsidRPr="00BC31E0" w:rsidRDefault="00E46877" w:rsidP="00736130">
      <w:pPr>
        <w:pStyle w:val="a4"/>
        <w:numPr>
          <w:ilvl w:val="0"/>
          <w:numId w:val="91"/>
        </w:numPr>
        <w:ind w:leftChars="0" w:left="454" w:hanging="454"/>
      </w:pPr>
      <w:r w:rsidRPr="00BC31E0">
        <w:rPr>
          <w:rFonts w:hint="eastAsia"/>
        </w:rPr>
        <w:t>製作中に生じる残留応力</w:t>
      </w:r>
    </w:p>
    <w:p w14:paraId="0AA14756" w14:textId="77777777" w:rsidR="00E46877" w:rsidRPr="00BC31E0" w:rsidRDefault="00E46877" w:rsidP="00736130">
      <w:pPr>
        <w:pStyle w:val="a4"/>
        <w:numPr>
          <w:ilvl w:val="0"/>
          <w:numId w:val="91"/>
        </w:numPr>
        <w:ind w:leftChars="0" w:left="454" w:hanging="454"/>
      </w:pPr>
      <w:r w:rsidRPr="00BC31E0">
        <w:rPr>
          <w:rFonts w:hint="eastAsia"/>
        </w:rPr>
        <w:t>内容物供給中の影響</w:t>
      </w:r>
    </w:p>
    <w:p w14:paraId="683A6F21" w14:textId="77777777" w:rsidR="00E46877" w:rsidRPr="00BC31E0" w:rsidRDefault="00E46877" w:rsidP="00992EA5">
      <w:pPr>
        <w:pStyle w:val="3"/>
        <w:tabs>
          <w:tab w:val="clear" w:pos="284"/>
        </w:tabs>
        <w:ind w:left="794" w:hanging="794"/>
      </w:pPr>
      <w:r w:rsidRPr="00BC31E0">
        <w:rPr>
          <w:rFonts w:hint="eastAsia"/>
        </w:rPr>
        <w:t>設計温度</w:t>
      </w:r>
    </w:p>
    <w:p w14:paraId="24C62A5E" w14:textId="77777777" w:rsidR="00E46877" w:rsidRPr="00BC31E0" w:rsidRDefault="00E46877" w:rsidP="00CA3A1C">
      <w:pPr>
        <w:ind w:firstLineChars="100" w:firstLine="210"/>
      </w:pPr>
      <w:r w:rsidRPr="00BC31E0">
        <w:rPr>
          <w:rFonts w:hint="eastAsia"/>
        </w:rPr>
        <w:t>運転中に機器の長手軸方向に関して，明らかに異なる金属温度が発生することが予想される場合，その異なる温度の領域は，それぞれの温度で設計</w:t>
      </w:r>
      <w:r w:rsidR="009F387E" w:rsidRPr="00BC31E0">
        <w:rPr>
          <w:rFonts w:hint="eastAsia"/>
        </w:rPr>
        <w:t>する</w:t>
      </w:r>
      <w:r w:rsidRPr="00BC31E0">
        <w:rPr>
          <w:rFonts w:hint="eastAsia"/>
        </w:rPr>
        <w:t>。安定運転状態で金属温度は，厚さ方向に変化を生じるかもしれないが，その</w:t>
      </w:r>
      <w:r w:rsidR="00A84424" w:rsidRPr="00BC31E0">
        <w:rPr>
          <w:rFonts w:hint="eastAsia"/>
        </w:rPr>
        <w:t>とき</w:t>
      </w:r>
      <w:r w:rsidRPr="00BC31E0">
        <w:rPr>
          <w:rFonts w:hint="eastAsia"/>
        </w:rPr>
        <w:t>の設計温度は厚さ方向の平均温度以上とする。しかしながら，</w:t>
      </w:r>
      <w:r w:rsidRPr="00BC31E0">
        <w:rPr>
          <w:rFonts w:ascii="ＭＳ ゴシック" w:eastAsia="ＭＳ ゴシック" w:hAnsi="ＭＳ ゴシック" w:hint="eastAsia"/>
          <w:b/>
        </w:rPr>
        <w:t>6.1.7</w:t>
      </w:r>
      <w:r w:rsidRPr="00BC31E0">
        <w:rPr>
          <w:rFonts w:hint="eastAsia"/>
        </w:rPr>
        <w:t>を除きいかなる位置においても</w:t>
      </w:r>
      <w:r w:rsidRPr="00BC31E0">
        <w:rPr>
          <w:rFonts w:ascii="ＭＳ ゴシック" w:eastAsia="ＭＳ ゴシック" w:hAnsi="ＭＳ ゴシック" w:hint="eastAsia"/>
          <w:b/>
        </w:rPr>
        <w:t>5.4</w:t>
      </w:r>
      <w:r w:rsidRPr="00BC31E0">
        <w:rPr>
          <w:rFonts w:hint="eastAsia"/>
        </w:rPr>
        <w:t>で与えられている材料表の上限温度以下とする。破壊力学評価に使用される破壊</w:t>
      </w:r>
      <w:r w:rsidR="00281FB3" w:rsidRPr="00BC31E0">
        <w:rPr>
          <w:rFonts w:hint="eastAsia"/>
        </w:rPr>
        <w:t>靭</w:t>
      </w:r>
      <w:r w:rsidRPr="00BC31E0">
        <w:rPr>
          <w:rFonts w:hint="eastAsia"/>
        </w:rPr>
        <w:t>性値を決定するためには，最低設計金属温度</w:t>
      </w:r>
      <w:r w:rsidRPr="00BC31E0">
        <w:rPr>
          <w:rFonts w:hint="eastAsia"/>
        </w:rPr>
        <w:t>(MDMT)</w:t>
      </w:r>
      <w:r w:rsidRPr="00BC31E0">
        <w:rPr>
          <w:rFonts w:hint="eastAsia"/>
        </w:rPr>
        <w:t>を使用する。</w:t>
      </w:r>
    </w:p>
    <w:p w14:paraId="615428C5" w14:textId="77777777" w:rsidR="00E46877" w:rsidRPr="00BC31E0" w:rsidRDefault="00E46877" w:rsidP="00992EA5">
      <w:pPr>
        <w:pStyle w:val="3"/>
        <w:tabs>
          <w:tab w:val="clear" w:pos="284"/>
        </w:tabs>
        <w:ind w:left="794" w:hanging="794"/>
      </w:pPr>
      <w:r w:rsidRPr="00BC31E0">
        <w:rPr>
          <w:rFonts w:hint="eastAsia"/>
        </w:rPr>
        <w:t>突発的な運転変化</w:t>
      </w:r>
    </w:p>
    <w:p w14:paraId="74ACF87C" w14:textId="77777777" w:rsidR="00E46877" w:rsidRPr="00BC31E0" w:rsidRDefault="00E46877" w:rsidP="00CA3A1C">
      <w:pPr>
        <w:ind w:firstLineChars="100" w:firstLine="210"/>
      </w:pPr>
      <w:r w:rsidRPr="00BC31E0">
        <w:rPr>
          <w:rFonts w:hint="eastAsia"/>
        </w:rPr>
        <w:t>突発的な運転変化によって金属表面に局部的な温度増減をもたらすことがある。その際，材料表の上限温度を超える肉厚の部分を静的圧力設計に含めない。突然の降温によって生じる金属表面温度は，破壊力学評価に考慮する。</w:t>
      </w:r>
    </w:p>
    <w:p w14:paraId="2AC5B4F8" w14:textId="77777777" w:rsidR="00E46877" w:rsidRPr="00BC31E0" w:rsidRDefault="00E46877" w:rsidP="00992EA5">
      <w:pPr>
        <w:pStyle w:val="3"/>
        <w:tabs>
          <w:tab w:val="clear" w:pos="284"/>
        </w:tabs>
        <w:ind w:left="794" w:hanging="794"/>
      </w:pPr>
      <w:r w:rsidRPr="00BC31E0">
        <w:rPr>
          <w:rFonts w:hint="eastAsia"/>
        </w:rPr>
        <w:t>環境による影響</w:t>
      </w:r>
    </w:p>
    <w:p w14:paraId="7DBC54BF" w14:textId="77777777" w:rsidR="00E46877" w:rsidRPr="00BC31E0" w:rsidRDefault="00E46877" w:rsidP="00CA3A1C">
      <w:pPr>
        <w:ind w:firstLineChars="100" w:firstLine="210"/>
      </w:pPr>
      <w:r w:rsidRPr="00BC31E0">
        <w:rPr>
          <w:rFonts w:hint="eastAsia"/>
        </w:rPr>
        <w:lastRenderedPageBreak/>
        <w:t>設計者は，使用者設計仕様書</w:t>
      </w:r>
      <w:r w:rsidR="00C571B5" w:rsidRPr="00BC31E0">
        <w:rPr>
          <w:rFonts w:hint="eastAsia"/>
        </w:rPr>
        <w:t>[</w:t>
      </w:r>
      <w:r w:rsidRPr="00BC31E0">
        <w:rPr>
          <w:rFonts w:asciiTheme="majorEastAsia" w:eastAsiaTheme="majorEastAsia" w:hAnsiTheme="majorEastAsia" w:hint="eastAsia"/>
          <w:b/>
        </w:rPr>
        <w:t>1.2.1ｂ)</w:t>
      </w:r>
      <w:r w:rsidR="00C571B5" w:rsidRPr="00BC31E0">
        <w:rPr>
          <w:rFonts w:hint="eastAsia"/>
        </w:rPr>
        <w:t>]</w:t>
      </w:r>
      <w:r w:rsidR="006207F6" w:rsidRPr="00BC31E0">
        <w:rPr>
          <w:rFonts w:hint="eastAsia"/>
        </w:rPr>
        <w:t>に基づいて腐食，摩耗，応力腐食割れなど</w:t>
      </w:r>
      <w:r w:rsidRPr="00BC31E0">
        <w:rPr>
          <w:rFonts w:hint="eastAsia"/>
        </w:rPr>
        <w:t>の環境の影響を考慮して肉厚，疲労，破壊挙動を検討しなければならない。</w:t>
      </w:r>
    </w:p>
    <w:p w14:paraId="3D0C2E9B" w14:textId="77777777" w:rsidR="00E46877" w:rsidRPr="00BC31E0" w:rsidRDefault="00E46877" w:rsidP="00992EA5">
      <w:pPr>
        <w:pStyle w:val="3"/>
        <w:tabs>
          <w:tab w:val="clear" w:pos="284"/>
        </w:tabs>
        <w:ind w:left="794" w:hanging="794"/>
      </w:pPr>
      <w:r w:rsidRPr="00BC31E0">
        <w:rPr>
          <w:rFonts w:hint="eastAsia"/>
        </w:rPr>
        <w:t>設計基準</w:t>
      </w:r>
    </w:p>
    <w:p w14:paraId="1764B6AB" w14:textId="77777777" w:rsidR="00E46877" w:rsidRPr="00BC31E0" w:rsidRDefault="00E46877" w:rsidP="00CA3A1C">
      <w:pPr>
        <w:ind w:firstLineChars="100" w:firstLine="210"/>
      </w:pPr>
      <w:r w:rsidRPr="00BC31E0">
        <w:rPr>
          <w:rFonts w:hint="eastAsia"/>
        </w:rPr>
        <w:t>各設計条件下で想定される損傷モードに対して，十分な設計係数を有するために，次のデータに基づく計算を行う。</w:t>
      </w:r>
    </w:p>
    <w:p w14:paraId="0DC0871B" w14:textId="77777777" w:rsidR="00E46877" w:rsidRPr="00BC31E0" w:rsidRDefault="00E46877" w:rsidP="00736130">
      <w:pPr>
        <w:pStyle w:val="a4"/>
        <w:numPr>
          <w:ilvl w:val="0"/>
          <w:numId w:val="92"/>
        </w:numPr>
        <w:ind w:leftChars="0" w:left="454" w:hanging="454"/>
      </w:pPr>
      <w:r w:rsidRPr="00BC31E0">
        <w:rPr>
          <w:rFonts w:hint="eastAsia"/>
        </w:rPr>
        <w:t>引張強さ</w:t>
      </w:r>
      <m:oMath>
        <m:r>
          <m:rPr>
            <m:sty m:val="p"/>
          </m:rPr>
          <w:rPr>
            <w:rFonts w:ascii="Cambria Math" w:hAnsi="Cambria Math"/>
          </w:rPr>
          <m:t xml:space="preserve"> </m:t>
        </m:r>
        <m:sSub>
          <m:sSubPr>
            <m:ctrlPr>
              <w:rPr>
                <w:rFonts w:ascii="Cambria Math" w:hAnsi="Cambria Math"/>
                <w:i/>
              </w:rPr>
            </m:ctrlPr>
          </m:sSubPr>
          <m:e>
            <m:r>
              <w:rPr>
                <w:rFonts w:ascii="Cambria Math" w:hAnsi="Cambria Math" w:hint="eastAsia"/>
              </w:rPr>
              <m:t>S</m:t>
            </m:r>
          </m:e>
          <m:sub>
            <m:r>
              <w:rPr>
                <w:rFonts w:ascii="Cambria Math" w:hAnsi="Cambria Math"/>
              </w:rPr>
              <m:t>u</m:t>
            </m:r>
          </m:sub>
        </m:sSub>
        <m:r>
          <w:rPr>
            <w:rFonts w:ascii="Cambria Math" w:hAnsi="Cambria Math"/>
          </w:rPr>
          <m:t xml:space="preserve"> </m:t>
        </m:r>
      </m:oMath>
      <w:r w:rsidRPr="00BC31E0">
        <w:rPr>
          <w:rFonts w:hint="eastAsia"/>
        </w:rPr>
        <w:t>(</w:t>
      </w:r>
      <w:r w:rsidRPr="00BC31E0">
        <w:rPr>
          <w:rFonts w:asciiTheme="majorEastAsia" w:eastAsiaTheme="majorEastAsia" w:hAnsiTheme="majorEastAsia" w:hint="eastAsia"/>
          <w:b/>
        </w:rPr>
        <w:t>5.4</w:t>
      </w:r>
      <w:r w:rsidRPr="00BC31E0">
        <w:rPr>
          <w:rFonts w:hint="eastAsia"/>
        </w:rPr>
        <w:t>)</w:t>
      </w:r>
    </w:p>
    <w:p w14:paraId="2E0BC724" w14:textId="77777777" w:rsidR="00E46877" w:rsidRPr="00BC31E0" w:rsidRDefault="00E46877" w:rsidP="00736130">
      <w:pPr>
        <w:pStyle w:val="a4"/>
        <w:numPr>
          <w:ilvl w:val="0"/>
          <w:numId w:val="92"/>
        </w:numPr>
        <w:ind w:leftChars="0" w:left="454" w:hanging="454"/>
      </w:pPr>
      <w:r w:rsidRPr="00BC31E0">
        <w:rPr>
          <w:rFonts w:hint="eastAsia"/>
        </w:rPr>
        <w:t>降伏強さ</w:t>
      </w:r>
      <m:oMath>
        <m:r>
          <m:rPr>
            <m:sty m:val="p"/>
          </m:rPr>
          <w:rPr>
            <w:rFonts w:ascii="Cambria Math" w:hAnsi="Cambria Math"/>
          </w:rPr>
          <m:t xml:space="preserve"> </m:t>
        </m:r>
        <m:sSub>
          <m:sSubPr>
            <m:ctrlPr>
              <w:rPr>
                <w:rFonts w:ascii="Cambria Math" w:hAnsi="Cambria Math"/>
                <w:i/>
              </w:rPr>
            </m:ctrlPr>
          </m:sSubPr>
          <m:e>
            <m:r>
              <w:rPr>
                <w:rFonts w:ascii="Cambria Math" w:hAnsi="Cambria Math" w:hint="eastAsia"/>
              </w:rPr>
              <m:t>S</m:t>
            </m:r>
          </m:e>
          <m:sub>
            <m:r>
              <w:rPr>
                <w:rFonts w:ascii="Cambria Math" w:hAnsi="Cambria Math"/>
              </w:rPr>
              <m:t>y</m:t>
            </m:r>
          </m:sub>
        </m:sSub>
        <m:r>
          <w:rPr>
            <w:rFonts w:ascii="Cambria Math" w:hAnsi="Cambria Math"/>
          </w:rPr>
          <m:t xml:space="preserve"> </m:t>
        </m:r>
      </m:oMath>
      <w:r w:rsidRPr="00BC31E0">
        <w:rPr>
          <w:rFonts w:hint="eastAsia"/>
        </w:rPr>
        <w:t>(</w:t>
      </w:r>
      <w:r w:rsidRPr="00BC31E0">
        <w:rPr>
          <w:rFonts w:asciiTheme="majorEastAsia" w:eastAsiaTheme="majorEastAsia" w:hAnsiTheme="majorEastAsia" w:hint="eastAsia"/>
          <w:b/>
        </w:rPr>
        <w:t>5.4</w:t>
      </w:r>
      <w:r w:rsidRPr="00BC31E0">
        <w:rPr>
          <w:rFonts w:hint="eastAsia"/>
        </w:rPr>
        <w:t>)</w:t>
      </w:r>
    </w:p>
    <w:p w14:paraId="14E369A0" w14:textId="77777777" w:rsidR="00E46877" w:rsidRPr="00BC31E0" w:rsidRDefault="00E46877" w:rsidP="00736130">
      <w:pPr>
        <w:pStyle w:val="a4"/>
        <w:numPr>
          <w:ilvl w:val="0"/>
          <w:numId w:val="92"/>
        </w:numPr>
        <w:ind w:leftChars="0" w:left="454" w:hanging="454"/>
      </w:pPr>
      <w:r w:rsidRPr="00BC31E0">
        <w:rPr>
          <w:rFonts w:hint="eastAsia"/>
        </w:rPr>
        <w:t>破壊靭性値</w:t>
      </w:r>
      <m:oMath>
        <m:sSub>
          <m:sSubPr>
            <m:ctrlPr>
              <w:rPr>
                <w:rFonts w:ascii="Cambria Math" w:hAnsi="Cambria Math"/>
                <w:i/>
              </w:rPr>
            </m:ctrlPr>
          </m:sSubPr>
          <m:e>
            <m:r>
              <w:rPr>
                <w:rFonts w:ascii="Cambria Math" w:hAnsi="Cambria Math"/>
              </w:rPr>
              <m:t xml:space="preserve"> K</m:t>
            </m:r>
          </m:e>
          <m:sub>
            <m:r>
              <m:rPr>
                <m:sty m:val="p"/>
              </m:rPr>
              <w:rPr>
                <w:rFonts w:ascii="Cambria Math" w:hAnsi="Cambria Math"/>
              </w:rPr>
              <m:t>I</m:t>
            </m:r>
            <m:r>
              <w:rPr>
                <w:rFonts w:ascii="Cambria Math" w:hAnsi="Cambria Math"/>
              </w:rPr>
              <m:t>C</m:t>
            </m:r>
          </m:sub>
        </m:sSub>
        <m:r>
          <w:rPr>
            <w:rFonts w:ascii="Cambria Math" w:hAnsi="Cambria Math"/>
          </w:rPr>
          <m:t xml:space="preserve"> </m:t>
        </m:r>
      </m:oMath>
      <w:r w:rsidRPr="00BC31E0">
        <w:rPr>
          <w:rFonts w:hint="eastAsia"/>
        </w:rPr>
        <w:t>(</w:t>
      </w:r>
      <w:r w:rsidRPr="00BC31E0">
        <w:rPr>
          <w:rFonts w:asciiTheme="majorEastAsia" w:eastAsiaTheme="majorEastAsia" w:hAnsiTheme="majorEastAsia" w:hint="eastAsia"/>
          <w:b/>
        </w:rPr>
        <w:t>附属書C</w:t>
      </w:r>
      <w:r w:rsidRPr="00BC31E0">
        <w:rPr>
          <w:rFonts w:hint="eastAsia"/>
        </w:rPr>
        <w:t>)</w:t>
      </w:r>
    </w:p>
    <w:p w14:paraId="7357E5C8" w14:textId="77777777" w:rsidR="00E46877" w:rsidRPr="00BC31E0" w:rsidRDefault="00E46877" w:rsidP="00736130">
      <w:pPr>
        <w:pStyle w:val="a4"/>
        <w:numPr>
          <w:ilvl w:val="0"/>
          <w:numId w:val="92"/>
        </w:numPr>
        <w:ind w:leftChars="0" w:left="454" w:hanging="454"/>
      </w:pPr>
      <w:r w:rsidRPr="00BC31E0">
        <w:rPr>
          <w:rFonts w:hint="eastAsia"/>
        </w:rPr>
        <w:t>疲労亀裂進展速度係数</w:t>
      </w:r>
      <m:oMath>
        <m:r>
          <m:rPr>
            <m:sty m:val="p"/>
          </m:rPr>
          <w:rPr>
            <w:rFonts w:ascii="Cambria Math" w:hAnsi="Cambria Math"/>
          </w:rPr>
          <m:t xml:space="preserve"> </m:t>
        </m:r>
        <m:r>
          <w:rPr>
            <w:rFonts w:ascii="Cambria Math" w:hAnsi="Cambria Math"/>
          </w:rPr>
          <m:t>C</m:t>
        </m:r>
      </m:oMath>
      <w:r w:rsidRPr="00BC31E0">
        <w:rPr>
          <w:rFonts w:asciiTheme="minorEastAsia" w:eastAsiaTheme="minorEastAsia" w:hAnsiTheme="minorEastAsia" w:hint="eastAsia"/>
        </w:rPr>
        <w:t>，</w:t>
      </w:r>
      <m:oMath>
        <m:r>
          <w:rPr>
            <w:rFonts w:ascii="Cambria Math" w:eastAsiaTheme="minorEastAsia" w:hAnsi="Cambria Math"/>
          </w:rPr>
          <m:t xml:space="preserve">m </m:t>
        </m:r>
      </m:oMath>
      <w:r w:rsidRPr="00BC31E0">
        <w:rPr>
          <w:rFonts w:hint="eastAsia"/>
        </w:rPr>
        <w:t>(</w:t>
      </w:r>
      <w:r w:rsidRPr="00BC31E0">
        <w:rPr>
          <w:rFonts w:asciiTheme="majorEastAsia" w:eastAsiaTheme="majorEastAsia" w:hAnsiTheme="majorEastAsia" w:hint="eastAsia"/>
          <w:b/>
        </w:rPr>
        <w:t>6.4</w:t>
      </w:r>
      <w:r w:rsidRPr="00BC31E0">
        <w:rPr>
          <w:rFonts w:hint="eastAsia"/>
        </w:rPr>
        <w:t>)</w:t>
      </w:r>
    </w:p>
    <w:p w14:paraId="0E170E83" w14:textId="77777777" w:rsidR="00E46877" w:rsidRPr="00BC31E0" w:rsidRDefault="00E46877" w:rsidP="00736130">
      <w:pPr>
        <w:pStyle w:val="a4"/>
        <w:numPr>
          <w:ilvl w:val="0"/>
          <w:numId w:val="92"/>
        </w:numPr>
        <w:ind w:leftChars="0" w:left="454" w:hanging="454"/>
      </w:pPr>
      <w:r w:rsidRPr="00BC31E0">
        <w:rPr>
          <w:rFonts w:asciiTheme="minorEastAsia" w:eastAsiaTheme="minorEastAsia" w:hAnsiTheme="minorEastAsia" w:hint="eastAsia"/>
        </w:rPr>
        <w:t>許容応力振幅</w:t>
      </w:r>
      <m:oMath>
        <m:r>
          <m:rPr>
            <m:sty m:val="p"/>
          </m:rP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Pr="00BC31E0">
        <w:rPr>
          <w:rFonts w:hint="eastAsia"/>
        </w:rPr>
        <w:t>(</w:t>
      </w:r>
      <w:r w:rsidRPr="00BC31E0">
        <w:rPr>
          <w:rFonts w:asciiTheme="majorEastAsia" w:eastAsiaTheme="majorEastAsia" w:hAnsiTheme="majorEastAsia" w:hint="eastAsia"/>
          <w:b/>
        </w:rPr>
        <w:t>6.3</w:t>
      </w:r>
      <w:r w:rsidRPr="00BC31E0">
        <w:rPr>
          <w:rFonts w:hint="eastAsia"/>
        </w:rPr>
        <w:t>)</w:t>
      </w:r>
    </w:p>
    <w:p w14:paraId="25947DF3" w14:textId="77777777" w:rsidR="00E46877" w:rsidRPr="00BC31E0" w:rsidRDefault="00E46877" w:rsidP="00736130">
      <w:pPr>
        <w:pStyle w:val="a4"/>
        <w:numPr>
          <w:ilvl w:val="0"/>
          <w:numId w:val="92"/>
        </w:numPr>
        <w:ind w:leftChars="0" w:left="454" w:hanging="454"/>
      </w:pPr>
      <w:r w:rsidRPr="00BC31E0">
        <w:rPr>
          <w:rFonts w:hint="eastAsia"/>
        </w:rPr>
        <w:t>材料肉厚のマイナス公差</w:t>
      </w:r>
    </w:p>
    <w:p w14:paraId="4CB09C42" w14:textId="77777777" w:rsidR="00E46877" w:rsidRPr="00BC31E0" w:rsidRDefault="00E46877" w:rsidP="00736130">
      <w:pPr>
        <w:pStyle w:val="a4"/>
        <w:numPr>
          <w:ilvl w:val="0"/>
          <w:numId w:val="92"/>
        </w:numPr>
        <w:ind w:leftChars="0" w:left="454" w:hanging="454"/>
      </w:pPr>
      <w:r w:rsidRPr="00BC31E0">
        <w:rPr>
          <w:rFonts w:hint="eastAsia"/>
        </w:rPr>
        <w:t>腐れ代，摩耗代</w:t>
      </w:r>
    </w:p>
    <w:p w14:paraId="2E6766AC" w14:textId="77777777" w:rsidR="00E46877" w:rsidRPr="00BC31E0" w:rsidRDefault="00E46877" w:rsidP="00992EA5">
      <w:pPr>
        <w:pStyle w:val="3"/>
        <w:tabs>
          <w:tab w:val="clear" w:pos="284"/>
        </w:tabs>
        <w:ind w:left="794" w:hanging="794"/>
      </w:pPr>
      <w:r w:rsidRPr="00BC31E0">
        <w:rPr>
          <w:rFonts w:hint="eastAsia"/>
        </w:rPr>
        <w:t>損傷モード</w:t>
      </w:r>
    </w:p>
    <w:p w14:paraId="4FDA8E07" w14:textId="77777777" w:rsidR="00E46877" w:rsidRPr="00BC31E0" w:rsidRDefault="00E46877" w:rsidP="00CA3A1C">
      <w:pPr>
        <w:ind w:firstLineChars="100" w:firstLine="210"/>
      </w:pPr>
      <w:r w:rsidRPr="00BC31E0">
        <w:rPr>
          <w:rFonts w:hint="eastAsia"/>
        </w:rPr>
        <w:t>想定損傷モードとして，次の</w:t>
      </w:r>
      <w:r w:rsidR="002E7544" w:rsidRPr="00BC31E0">
        <w:rPr>
          <w:rFonts w:hint="eastAsia"/>
        </w:rPr>
        <w:t>損傷</w:t>
      </w:r>
      <w:r w:rsidRPr="00BC31E0">
        <w:rPr>
          <w:rFonts w:hint="eastAsia"/>
        </w:rPr>
        <w:t>がある。</w:t>
      </w:r>
    </w:p>
    <w:p w14:paraId="0E878F91" w14:textId="77777777" w:rsidR="00E46877" w:rsidRPr="00BC31E0" w:rsidRDefault="00E46877" w:rsidP="00736130">
      <w:pPr>
        <w:pStyle w:val="a4"/>
        <w:numPr>
          <w:ilvl w:val="0"/>
          <w:numId w:val="93"/>
        </w:numPr>
        <w:ind w:leftChars="0" w:left="454" w:hanging="454"/>
      </w:pPr>
      <w:r w:rsidRPr="00BC31E0">
        <w:rPr>
          <w:rFonts w:hint="eastAsia"/>
        </w:rPr>
        <w:t>塑性崩壊</w:t>
      </w:r>
    </w:p>
    <w:p w14:paraId="019B6C2C" w14:textId="77777777" w:rsidR="00E46877" w:rsidRPr="00BC31E0" w:rsidRDefault="00E46877" w:rsidP="00736130">
      <w:pPr>
        <w:pStyle w:val="a4"/>
        <w:numPr>
          <w:ilvl w:val="0"/>
          <w:numId w:val="93"/>
        </w:numPr>
        <w:ind w:leftChars="0" w:left="454" w:hanging="454"/>
      </w:pPr>
      <w:r w:rsidRPr="00BC31E0">
        <w:rPr>
          <w:rFonts w:hint="eastAsia"/>
        </w:rPr>
        <w:t>全断面降伏</w:t>
      </w:r>
    </w:p>
    <w:p w14:paraId="429173D4" w14:textId="77777777" w:rsidR="00E46877" w:rsidRPr="00BC31E0" w:rsidRDefault="00E46877" w:rsidP="00736130">
      <w:pPr>
        <w:pStyle w:val="a4"/>
        <w:numPr>
          <w:ilvl w:val="0"/>
          <w:numId w:val="93"/>
        </w:numPr>
        <w:ind w:leftChars="0" w:left="454" w:hanging="454"/>
      </w:pPr>
      <w:r w:rsidRPr="00BC31E0">
        <w:rPr>
          <w:rFonts w:hint="eastAsia"/>
        </w:rPr>
        <w:t>過度な変形や構造の他の部分</w:t>
      </w:r>
      <w:r w:rsidR="00E764CD" w:rsidRPr="00BC31E0">
        <w:rPr>
          <w:rFonts w:hint="eastAsia"/>
        </w:rPr>
        <w:t>が</w:t>
      </w:r>
      <w:r w:rsidRPr="00BC31E0">
        <w:rPr>
          <w:rFonts w:hint="eastAsia"/>
        </w:rPr>
        <w:t>許容</w:t>
      </w:r>
      <w:r w:rsidR="00E764CD" w:rsidRPr="00BC31E0">
        <w:rPr>
          <w:rFonts w:hint="eastAsia"/>
        </w:rPr>
        <w:t>し</w:t>
      </w:r>
      <w:r w:rsidRPr="00BC31E0">
        <w:rPr>
          <w:rFonts w:hint="eastAsia"/>
        </w:rPr>
        <w:t>ない荷重伝達又は漏洩を生じる可能性がある大きさの局部降伏</w:t>
      </w:r>
    </w:p>
    <w:p w14:paraId="61156D6C" w14:textId="77777777" w:rsidR="00E46877" w:rsidRPr="00BC31E0" w:rsidRDefault="00E46877" w:rsidP="00736130">
      <w:pPr>
        <w:pStyle w:val="a4"/>
        <w:numPr>
          <w:ilvl w:val="0"/>
          <w:numId w:val="93"/>
        </w:numPr>
        <w:ind w:leftChars="0" w:left="454" w:hanging="454"/>
      </w:pPr>
      <w:r w:rsidRPr="00BC31E0">
        <w:rPr>
          <w:rFonts w:hint="eastAsia"/>
        </w:rPr>
        <w:t>厚さ方向の安定的な亀裂進展による漏洩</w:t>
      </w:r>
      <w:r w:rsidRPr="00BC31E0">
        <w:rPr>
          <w:rFonts w:hint="eastAsia"/>
        </w:rPr>
        <w:t>(</w:t>
      </w:r>
      <w:r w:rsidRPr="00BC31E0">
        <w:rPr>
          <w:rFonts w:hint="eastAsia"/>
        </w:rPr>
        <w:t>破裂前漏洩</w:t>
      </w:r>
      <w:r w:rsidRPr="00BC31E0">
        <w:rPr>
          <w:rFonts w:hint="eastAsia"/>
        </w:rPr>
        <w:t>)</w:t>
      </w:r>
    </w:p>
    <w:p w14:paraId="0E13B2A3" w14:textId="77777777" w:rsidR="00E46877" w:rsidRPr="00BC31E0" w:rsidRDefault="00E46877" w:rsidP="00736130">
      <w:pPr>
        <w:pStyle w:val="a4"/>
        <w:numPr>
          <w:ilvl w:val="0"/>
          <w:numId w:val="93"/>
        </w:numPr>
        <w:ind w:leftChars="0" w:left="454" w:hanging="454"/>
      </w:pPr>
      <w:r w:rsidRPr="00BC31E0">
        <w:rPr>
          <w:rFonts w:hint="eastAsia"/>
        </w:rPr>
        <w:t>不安定亀裂進展</w:t>
      </w:r>
    </w:p>
    <w:p w14:paraId="24B8C7FF" w14:textId="77777777" w:rsidR="00E46877" w:rsidRPr="00BC31E0" w:rsidRDefault="00E46877" w:rsidP="00736130">
      <w:pPr>
        <w:pStyle w:val="a4"/>
        <w:numPr>
          <w:ilvl w:val="0"/>
          <w:numId w:val="93"/>
        </w:numPr>
        <w:ind w:leftChars="0" w:left="454" w:hanging="454"/>
      </w:pPr>
      <w:r w:rsidRPr="00BC31E0">
        <w:rPr>
          <w:rFonts w:hint="eastAsia"/>
        </w:rPr>
        <w:t>座屈</w:t>
      </w:r>
    </w:p>
    <w:p w14:paraId="5FDD3EA0" w14:textId="77777777" w:rsidR="00E46877" w:rsidRPr="00BC31E0" w:rsidRDefault="00CA3A1C" w:rsidP="00992EA5">
      <w:pPr>
        <w:pStyle w:val="3"/>
        <w:tabs>
          <w:tab w:val="clear" w:pos="284"/>
        </w:tabs>
        <w:ind w:left="794" w:hanging="794"/>
      </w:pPr>
      <w:r w:rsidRPr="00BC31E0">
        <w:rPr>
          <w:rFonts w:hint="eastAsia"/>
        </w:rPr>
        <w:t xml:space="preserve"> </w:t>
      </w:r>
      <w:r w:rsidR="00E46877" w:rsidRPr="00BC31E0">
        <w:rPr>
          <w:rFonts w:hint="eastAsia"/>
        </w:rPr>
        <w:t>降伏理論</w:t>
      </w:r>
    </w:p>
    <w:p w14:paraId="45B87AC8" w14:textId="77777777" w:rsidR="00E46877" w:rsidRPr="00BC31E0" w:rsidRDefault="00E46877" w:rsidP="00CA3A1C">
      <w:pPr>
        <w:ind w:firstLineChars="100" w:firstLine="210"/>
      </w:pPr>
      <w:r w:rsidRPr="00BC31E0">
        <w:rPr>
          <w:rFonts w:hint="eastAsia"/>
        </w:rPr>
        <w:t>弾性解析に基づく一次応力評価，一次</w:t>
      </w:r>
      <w:r w:rsidRPr="00BC31E0">
        <w:rPr>
          <w:rFonts w:hint="eastAsia"/>
        </w:rPr>
        <w:t>+</w:t>
      </w:r>
      <w:r w:rsidRPr="00BC31E0">
        <w:rPr>
          <w:rFonts w:hint="eastAsia"/>
        </w:rPr>
        <w:t>二次応力評価及び疲労評価については，せん断ひずみエネルギー説</w:t>
      </w:r>
      <w:r w:rsidRPr="00BC31E0">
        <w:rPr>
          <w:rFonts w:hint="eastAsia"/>
        </w:rPr>
        <w:t>(</w:t>
      </w:r>
      <w:r w:rsidRPr="00BC31E0">
        <w:rPr>
          <w:rFonts w:hint="eastAsia"/>
        </w:rPr>
        <w:t>ミーゼス理論</w:t>
      </w:r>
      <w:r w:rsidRPr="00BC31E0">
        <w:rPr>
          <w:rFonts w:hint="eastAsia"/>
        </w:rPr>
        <w:t>)</w:t>
      </w:r>
      <w:r w:rsidRPr="00BC31E0">
        <w:rPr>
          <w:rFonts w:hint="eastAsia"/>
        </w:rPr>
        <w:t>に従って強度評価を行う。弾塑性解析は，せん断ひずみエネルギー説</w:t>
      </w:r>
      <w:r w:rsidRPr="00BC31E0">
        <w:rPr>
          <w:rFonts w:hint="eastAsia"/>
        </w:rPr>
        <w:t>(</w:t>
      </w:r>
      <w:r w:rsidRPr="00BC31E0">
        <w:rPr>
          <w:rFonts w:hint="eastAsia"/>
        </w:rPr>
        <w:t>ミーゼス理論</w:t>
      </w:r>
      <w:r w:rsidRPr="00BC31E0">
        <w:rPr>
          <w:rFonts w:hint="eastAsia"/>
        </w:rPr>
        <w:t>)</w:t>
      </w:r>
      <w:r w:rsidRPr="00BC31E0">
        <w:rPr>
          <w:rFonts w:hint="eastAsia"/>
        </w:rPr>
        <w:t>に従って解析を行う。</w:t>
      </w:r>
    </w:p>
    <w:p w14:paraId="514B31C2" w14:textId="77777777" w:rsidR="00E46877" w:rsidRPr="00BC31E0" w:rsidRDefault="00CA3A1C" w:rsidP="00992EA5">
      <w:pPr>
        <w:pStyle w:val="3"/>
        <w:tabs>
          <w:tab w:val="clear" w:pos="284"/>
        </w:tabs>
        <w:ind w:left="794" w:hanging="794"/>
      </w:pPr>
      <w:r w:rsidRPr="00BC31E0">
        <w:rPr>
          <w:rFonts w:hint="eastAsia"/>
        </w:rPr>
        <w:t xml:space="preserve"> </w:t>
      </w:r>
      <w:r w:rsidR="00E46877" w:rsidRPr="00BC31E0">
        <w:rPr>
          <w:rFonts w:hint="eastAsia"/>
        </w:rPr>
        <w:t>残留応力</w:t>
      </w:r>
    </w:p>
    <w:p w14:paraId="4CC0B6EB" w14:textId="77777777" w:rsidR="00E46877" w:rsidRPr="00BC31E0" w:rsidRDefault="00E46877" w:rsidP="00323236">
      <w:pPr>
        <w:ind w:firstLineChars="100" w:firstLine="210"/>
      </w:pPr>
      <w:r w:rsidRPr="00BC31E0">
        <w:rPr>
          <w:rFonts w:hint="eastAsia"/>
        </w:rPr>
        <w:t>残留応力は静的解析には考慮しないが，</w:t>
      </w:r>
      <w:r w:rsidRPr="00BC31E0">
        <w:rPr>
          <w:rFonts w:ascii="ＭＳ ゴシック" w:eastAsia="ＭＳ ゴシック" w:hAnsi="ＭＳ ゴシック" w:hint="eastAsia"/>
          <w:b/>
        </w:rPr>
        <w:t>6.3</w:t>
      </w:r>
      <w:r w:rsidRPr="00BC31E0">
        <w:rPr>
          <w:rFonts w:hint="eastAsia"/>
        </w:rPr>
        <w:t>又は</w:t>
      </w:r>
      <w:r w:rsidRPr="00BC31E0">
        <w:rPr>
          <w:rFonts w:ascii="ＭＳ ゴシック" w:eastAsia="ＭＳ ゴシック" w:hAnsi="ＭＳ ゴシック" w:hint="eastAsia"/>
          <w:b/>
        </w:rPr>
        <w:t>6.4</w:t>
      </w:r>
      <w:r w:rsidRPr="00BC31E0">
        <w:rPr>
          <w:rFonts w:hint="eastAsia"/>
        </w:rPr>
        <w:t>による設計繰返し回数には考慮する。</w:t>
      </w:r>
    </w:p>
    <w:p w14:paraId="18362E3D" w14:textId="77777777" w:rsidR="00E46877" w:rsidRPr="00BC31E0" w:rsidRDefault="0056632E" w:rsidP="00992EA5">
      <w:pPr>
        <w:pStyle w:val="3"/>
        <w:tabs>
          <w:tab w:val="clear" w:pos="284"/>
        </w:tabs>
        <w:ind w:left="794" w:hanging="794"/>
      </w:pPr>
      <w:r w:rsidRPr="00BC31E0">
        <w:rPr>
          <w:rFonts w:hint="eastAsia"/>
        </w:rPr>
        <w:t xml:space="preserve"> </w:t>
      </w:r>
      <w:r w:rsidR="00E46877" w:rsidRPr="00BC31E0">
        <w:rPr>
          <w:rFonts w:hint="eastAsia"/>
        </w:rPr>
        <w:t>穴，ふた板</w:t>
      </w:r>
    </w:p>
    <w:p w14:paraId="71989DF8" w14:textId="77777777" w:rsidR="00E46877" w:rsidRPr="00BC31E0" w:rsidRDefault="00E46877" w:rsidP="00323236">
      <w:pPr>
        <w:ind w:firstLineChars="100" w:firstLine="211"/>
      </w:pPr>
      <w:r w:rsidRPr="00BC31E0">
        <w:rPr>
          <w:rFonts w:ascii="ＭＳ ゴシック" w:eastAsia="ＭＳ ゴシック" w:hAnsi="ＭＳ ゴシック" w:hint="eastAsia"/>
          <w:b/>
        </w:rPr>
        <w:t>6.6</w:t>
      </w:r>
      <w:r w:rsidRPr="00BC31E0">
        <w:rPr>
          <w:rFonts w:hint="eastAsia"/>
        </w:rPr>
        <w:t>に穴，ふた板の設計方法を規定している。</w:t>
      </w:r>
    </w:p>
    <w:p w14:paraId="06F11BB3" w14:textId="77777777" w:rsidR="00E46877" w:rsidRPr="00BC31E0" w:rsidRDefault="0056632E" w:rsidP="00992EA5">
      <w:pPr>
        <w:pStyle w:val="3"/>
        <w:tabs>
          <w:tab w:val="clear" w:pos="284"/>
        </w:tabs>
        <w:ind w:left="794" w:hanging="794"/>
      </w:pPr>
      <w:r w:rsidRPr="00BC31E0">
        <w:rPr>
          <w:rFonts w:hint="eastAsia"/>
        </w:rPr>
        <w:t xml:space="preserve"> </w:t>
      </w:r>
      <w:r w:rsidR="00E46877" w:rsidRPr="00BC31E0">
        <w:rPr>
          <w:rFonts w:hint="eastAsia"/>
        </w:rPr>
        <w:t>疲労評価</w:t>
      </w:r>
    </w:p>
    <w:p w14:paraId="6AC04504" w14:textId="77777777" w:rsidR="00E46877" w:rsidRPr="00BC31E0" w:rsidRDefault="00E46877" w:rsidP="00323236">
      <w:pPr>
        <w:ind w:firstLineChars="100" w:firstLine="210"/>
      </w:pPr>
      <w:r w:rsidRPr="00BC31E0">
        <w:rPr>
          <w:rFonts w:hint="eastAsia"/>
        </w:rPr>
        <w:t>損傷モードが，破裂前漏洩となる圧力容器については，</w:t>
      </w:r>
      <w:r w:rsidRPr="00BC31E0">
        <w:rPr>
          <w:rFonts w:ascii="ＭＳ ゴシック" w:eastAsia="ＭＳ ゴシック" w:hAnsi="ＭＳ ゴシック" w:hint="eastAsia"/>
          <w:b/>
        </w:rPr>
        <w:t>6.3</w:t>
      </w:r>
      <w:r w:rsidRPr="00BC31E0">
        <w:rPr>
          <w:rFonts w:hint="eastAsia"/>
        </w:rPr>
        <w:t>又は</w:t>
      </w:r>
      <w:r w:rsidRPr="00BC31E0">
        <w:rPr>
          <w:rFonts w:ascii="ＭＳ ゴシック" w:eastAsia="ＭＳ ゴシック" w:hAnsi="ＭＳ ゴシック" w:hint="eastAsia"/>
          <w:b/>
        </w:rPr>
        <w:t>6.4</w:t>
      </w:r>
      <w:r w:rsidRPr="00BC31E0">
        <w:rPr>
          <w:rFonts w:hint="eastAsia"/>
        </w:rPr>
        <w:t>のいずれかによって設計繰返し回数を決める。破裂前漏洩が証明できない場合，</w:t>
      </w:r>
      <w:r w:rsidRPr="00BC31E0">
        <w:rPr>
          <w:rFonts w:ascii="ＭＳ ゴシック" w:eastAsia="ＭＳ ゴシック" w:hAnsi="ＭＳ ゴシック" w:hint="eastAsia"/>
          <w:b/>
        </w:rPr>
        <w:t>6.4</w:t>
      </w:r>
      <w:r w:rsidRPr="00BC31E0">
        <w:rPr>
          <w:rFonts w:hint="eastAsia"/>
        </w:rPr>
        <w:t>に従う。</w:t>
      </w:r>
    </w:p>
    <w:p w14:paraId="6D24A3FC" w14:textId="77777777" w:rsidR="00E46877" w:rsidRPr="00BC31E0" w:rsidRDefault="0056632E" w:rsidP="00992EA5">
      <w:pPr>
        <w:pStyle w:val="3"/>
        <w:tabs>
          <w:tab w:val="clear" w:pos="284"/>
        </w:tabs>
        <w:ind w:left="794" w:hanging="794"/>
      </w:pPr>
      <w:r w:rsidRPr="00BC31E0">
        <w:rPr>
          <w:rFonts w:hint="eastAsia"/>
        </w:rPr>
        <w:t xml:space="preserve"> </w:t>
      </w:r>
      <w:r w:rsidR="00E46877" w:rsidRPr="00BC31E0">
        <w:rPr>
          <w:rFonts w:hint="eastAsia"/>
        </w:rPr>
        <w:t>破裂前漏洩</w:t>
      </w:r>
    </w:p>
    <w:p w14:paraId="31B3EC37" w14:textId="77777777" w:rsidR="00E46877" w:rsidRPr="00BC31E0" w:rsidRDefault="00E46877" w:rsidP="00323236">
      <w:pPr>
        <w:ind w:firstLineChars="100" w:firstLine="210"/>
      </w:pPr>
      <w:r w:rsidRPr="00BC31E0">
        <w:rPr>
          <w:rFonts w:hint="eastAsia"/>
        </w:rPr>
        <w:t>破裂前漏洩の評価は，次の</w:t>
      </w:r>
      <w:r w:rsidRPr="00BC31E0">
        <w:rPr>
          <w:rFonts w:ascii="ＭＳ ゴシック" w:hAnsi="ＭＳ ゴシック" w:hint="eastAsia"/>
          <w:b/>
        </w:rPr>
        <w:t>a)</w:t>
      </w:r>
      <w:r w:rsidRPr="00BC31E0">
        <w:rPr>
          <w:rFonts w:hint="eastAsia"/>
        </w:rPr>
        <w:t>～</w:t>
      </w:r>
      <w:r w:rsidRPr="00BC31E0">
        <w:rPr>
          <w:rFonts w:ascii="ＭＳ ゴシック" w:hAnsi="ＭＳ ゴシック" w:hint="eastAsia"/>
          <w:b/>
        </w:rPr>
        <w:t>e)</w:t>
      </w:r>
      <w:r w:rsidRPr="00BC31E0">
        <w:rPr>
          <w:rFonts w:hint="eastAsia"/>
        </w:rPr>
        <w:t>による。</w:t>
      </w:r>
    </w:p>
    <w:p w14:paraId="5E79C296" w14:textId="77777777" w:rsidR="00E46877" w:rsidRPr="00BC31E0" w:rsidRDefault="00E46877" w:rsidP="00736130">
      <w:pPr>
        <w:pStyle w:val="a4"/>
        <w:numPr>
          <w:ilvl w:val="0"/>
          <w:numId w:val="94"/>
        </w:numPr>
        <w:ind w:leftChars="0" w:left="454" w:hanging="454"/>
      </w:pPr>
      <w:r w:rsidRPr="00BC31E0">
        <w:rPr>
          <w:rFonts w:hint="eastAsia"/>
        </w:rPr>
        <w:t>次の両方の条件が満たされる場合，破裂前漏洩と想定</w:t>
      </w:r>
      <w:r w:rsidR="007C6650" w:rsidRPr="00BC31E0">
        <w:rPr>
          <w:rFonts w:hint="eastAsia"/>
        </w:rPr>
        <w:t>する</w:t>
      </w:r>
      <w:r w:rsidRPr="00BC31E0">
        <w:rPr>
          <w:rFonts w:hint="eastAsia"/>
        </w:rPr>
        <w:t>。</w:t>
      </w:r>
    </w:p>
    <w:p w14:paraId="002ACEB6" w14:textId="77777777" w:rsidR="00E46877" w:rsidRPr="00BC31E0" w:rsidRDefault="00E46877" w:rsidP="00736130">
      <w:pPr>
        <w:pStyle w:val="a4"/>
        <w:numPr>
          <w:ilvl w:val="0"/>
          <w:numId w:val="89"/>
        </w:numPr>
        <w:ind w:leftChars="0" w:left="738" w:hanging="454"/>
      </w:pPr>
      <w:r w:rsidRPr="00BC31E0">
        <w:t>肉厚</w:t>
      </w:r>
      <m:oMath>
        <m:r>
          <m:rPr>
            <m:sty m:val="p"/>
          </m:rPr>
          <w:rPr>
            <w:rFonts w:ascii="Cambria Math" w:hAnsi="Cambria Math"/>
          </w:rPr>
          <m:t xml:space="preserve"> </m:t>
        </m:r>
        <m:r>
          <w:rPr>
            <w:rFonts w:ascii="Cambria Math" w:hAnsi="Cambria Math"/>
          </w:rPr>
          <m:t xml:space="preserve">t </m:t>
        </m:r>
      </m:oMath>
      <w:r w:rsidRPr="00BC31E0">
        <w:t>の</w:t>
      </w:r>
      <w:r w:rsidRPr="00BC31E0">
        <w:rPr>
          <w:rFonts w:ascii="Cambria Math" w:hAnsi="Cambria Math"/>
        </w:rPr>
        <w:t>0.8</w:t>
      </w:r>
      <w:r w:rsidRPr="00BC31E0">
        <w:t>倍の</w:t>
      </w:r>
      <w:r w:rsidRPr="00BC31E0">
        <w:rPr>
          <w:rFonts w:hint="eastAsia"/>
        </w:rPr>
        <w:t>亀</w:t>
      </w:r>
      <w:r w:rsidRPr="00BC31E0">
        <w:t>裂深さで</w:t>
      </w:r>
      <w:r w:rsidRPr="00BC31E0">
        <w:rPr>
          <w:rFonts w:hint="eastAsia"/>
        </w:rPr>
        <w:t>，</w:t>
      </w:r>
      <m:oMath>
        <m:sSub>
          <m:sSubPr>
            <m:ctrlPr>
              <w:rPr>
                <w:rFonts w:ascii="Cambria Math" w:hAnsi="Cambria Math"/>
                <w:i/>
              </w:rPr>
            </m:ctrlPr>
          </m:sSubPr>
          <m:e>
            <m:r>
              <w:rPr>
                <w:rFonts w:ascii="Cambria Math" w:hAnsi="Cambria Math"/>
              </w:rPr>
              <m:t>K</m:t>
            </m:r>
          </m:e>
          <m:sub>
            <m:r>
              <m:rPr>
                <m:sty m:val="p"/>
              </m:rPr>
              <w:rPr>
                <w:rFonts w:ascii="Cambria Math" w:hAnsi="Cambria Math"/>
              </w:rPr>
              <m:t>I</m:t>
            </m:r>
          </m:sub>
        </m:sSub>
        <m:r>
          <m:rPr>
            <m:sty m:val="p"/>
          </m:rPr>
          <w:rPr>
            <w:rFonts w:ascii="Cambria Math" w:hAnsi="Cambria Math"/>
          </w:rPr>
          <m:t>&lt;</m:t>
        </m:r>
        <m:sSub>
          <m:sSubPr>
            <m:ctrlPr>
              <w:rPr>
                <w:rFonts w:ascii="Cambria Math" w:hAnsi="Cambria Math"/>
                <w:i/>
              </w:rPr>
            </m:ctrlPr>
          </m:sSubPr>
          <m:e>
            <m:r>
              <w:rPr>
                <w:rFonts w:ascii="Cambria Math" w:hAnsi="Cambria Math"/>
              </w:rPr>
              <m:t>K</m:t>
            </m:r>
          </m:e>
          <m:sub>
            <m:r>
              <m:rPr>
                <m:sty m:val="p"/>
              </m:rPr>
              <w:rPr>
                <w:rFonts w:ascii="Cambria Math" w:hAnsi="Cambria Math"/>
              </w:rPr>
              <m:t>I</m:t>
            </m:r>
            <m:r>
              <w:rPr>
                <w:rFonts w:ascii="Cambria Math" w:hAnsi="Cambria Math"/>
              </w:rPr>
              <m:t>C</m:t>
            </m:r>
          </m:sub>
        </m:sSub>
      </m:oMath>
    </w:p>
    <w:p w14:paraId="0548C3E8" w14:textId="77777777" w:rsidR="00E46877" w:rsidRPr="00BC31E0" w:rsidRDefault="00E46877" w:rsidP="00736130">
      <w:pPr>
        <w:pStyle w:val="a4"/>
        <w:numPr>
          <w:ilvl w:val="0"/>
          <w:numId w:val="90"/>
        </w:numPr>
        <w:ind w:leftChars="0" w:left="738" w:hanging="454"/>
      </w:pPr>
      <w:r w:rsidRPr="00BC31E0">
        <w:t>肉厚</w:t>
      </w:r>
      <m:oMath>
        <m:r>
          <m:rPr>
            <m:sty m:val="p"/>
          </m:rPr>
          <w:rPr>
            <w:rFonts w:ascii="Cambria Math" w:hAnsi="Cambria Math"/>
          </w:rPr>
          <m:t xml:space="preserve"> </m:t>
        </m:r>
        <m:r>
          <w:rPr>
            <w:rFonts w:ascii="Cambria Math" w:hAnsi="Cambria Math"/>
          </w:rPr>
          <m:t xml:space="preserve">t </m:t>
        </m:r>
      </m:oMath>
      <w:r w:rsidRPr="00BC31E0">
        <w:t>の</w:t>
      </w:r>
      <w:r w:rsidRPr="00BC31E0">
        <w:rPr>
          <w:rFonts w:ascii="Cambria Math" w:hAnsi="Cambria Math"/>
        </w:rPr>
        <w:t>0.2</w:t>
      </w:r>
      <w:r w:rsidRPr="00BC31E0">
        <w:t>倍の残存リガメント</w:t>
      </w:r>
      <m:oMath>
        <m:r>
          <m:rPr>
            <m:sty m:val="p"/>
          </m:rPr>
          <w:rPr>
            <w:rFonts w:ascii="Cambria Math" w:hAnsi="Cambria Math"/>
          </w:rPr>
          <m:t xml:space="preserve"> </m:t>
        </m:r>
        <m:r>
          <w:rPr>
            <w:rFonts w:ascii="Cambria Math" w:hAnsi="Cambria Math"/>
          </w:rPr>
          <m:t>&lt;</m:t>
        </m:r>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K</m:t>
                        </m:r>
                      </m:e>
                      <m:sub>
                        <m:r>
                          <m:rPr>
                            <m:sty m:val="p"/>
                          </m:rPr>
                          <w:rPr>
                            <w:rFonts w:ascii="Cambria Math" w:hAnsi="Cambria Math"/>
                          </w:rPr>
                          <m:t>I</m:t>
                        </m:r>
                        <m:r>
                          <w:rPr>
                            <w:rFonts w:ascii="Cambria Math" w:hAnsi="Cambria Math"/>
                          </w:rPr>
                          <m:t>C</m:t>
                        </m:r>
                      </m:sub>
                    </m:sSub>
                  </m:num>
                  <m:den>
                    <m:sSub>
                      <m:sSubPr>
                        <m:ctrlPr>
                          <w:rPr>
                            <w:rFonts w:ascii="Cambria Math" w:hAnsi="Cambria Math"/>
                            <w:i/>
                          </w:rPr>
                        </m:ctrlPr>
                      </m:sSubPr>
                      <m:e>
                        <m:r>
                          <w:rPr>
                            <w:rFonts w:ascii="Cambria Math" w:hAnsi="Cambria Math"/>
                          </w:rPr>
                          <m:t>S</m:t>
                        </m:r>
                      </m:e>
                      <m:sub>
                        <m:r>
                          <w:rPr>
                            <w:rFonts w:ascii="Cambria Math" w:hAnsi="Cambria Math"/>
                          </w:rPr>
                          <m:t>y</m:t>
                        </m:r>
                      </m:sub>
                    </m:sSub>
                  </m:den>
                </m:f>
              </m:e>
            </m:d>
          </m:e>
          <m:sup>
            <m:r>
              <w:rPr>
                <w:rFonts w:ascii="Cambria Math" w:hAnsi="Cambria Math"/>
              </w:rPr>
              <m:t>2</m:t>
            </m:r>
          </m:sup>
        </m:sSup>
      </m:oMath>
    </w:p>
    <w:p w14:paraId="53906011" w14:textId="77777777" w:rsidR="00E46877" w:rsidRPr="00BC31E0" w:rsidRDefault="00E46877" w:rsidP="00323236">
      <w:pPr>
        <w:pStyle w:val="1110"/>
        <w:ind w:left="284" w:firstLine="210"/>
      </w:pPr>
      <w:r w:rsidRPr="00BC31E0">
        <w:rPr>
          <w:rFonts w:hint="eastAsia"/>
        </w:rPr>
        <w:t>上記により破裂前漏洩を評価するが</w:t>
      </w:r>
      <w:r w:rsidRPr="00BC31E0">
        <w:rPr>
          <w:rFonts w:hint="eastAsia"/>
        </w:rPr>
        <w:t>,</w:t>
      </w:r>
      <w:r w:rsidRPr="00BC31E0">
        <w:rPr>
          <w:b/>
          <w:bCs/>
        </w:rPr>
        <w:t xml:space="preserve"> </w:t>
      </w:r>
      <w:r w:rsidRPr="00BC31E0">
        <w:rPr>
          <w:rFonts w:asciiTheme="majorEastAsia" w:eastAsiaTheme="majorEastAsia" w:hAnsiTheme="majorEastAsia"/>
          <w:b/>
          <w:bCs/>
        </w:rPr>
        <w:t>API 579-1/</w:t>
      </w:r>
      <w:r w:rsidRPr="00BC31E0">
        <w:rPr>
          <w:rFonts w:asciiTheme="majorEastAsia" w:eastAsiaTheme="majorEastAsia" w:hAnsiTheme="majorEastAsia" w:hint="eastAsia"/>
          <w:b/>
          <w:bCs/>
        </w:rPr>
        <w:t>ASME</w:t>
      </w:r>
      <w:r w:rsidR="0056632E" w:rsidRPr="00BC31E0">
        <w:rPr>
          <w:rFonts w:asciiTheme="majorEastAsia" w:eastAsiaTheme="majorEastAsia" w:hAnsiTheme="majorEastAsia" w:hint="eastAsia"/>
          <w:b/>
          <w:bCs/>
        </w:rPr>
        <w:t xml:space="preserve"> </w:t>
      </w:r>
      <w:r w:rsidRPr="00BC31E0">
        <w:rPr>
          <w:rFonts w:asciiTheme="majorEastAsia" w:eastAsiaTheme="majorEastAsia" w:hAnsiTheme="majorEastAsia" w:hint="eastAsia"/>
          <w:b/>
          <w:bCs/>
        </w:rPr>
        <w:t>FFS-1</w:t>
      </w:r>
      <w:r w:rsidRPr="00BC31E0">
        <w:rPr>
          <w:rFonts w:hint="eastAsia"/>
        </w:rPr>
        <w:t>の破壊評価線図</w:t>
      </w:r>
      <w:r w:rsidR="00F333D6" w:rsidRPr="00BC31E0">
        <w:rPr>
          <w:rFonts w:hint="eastAsia"/>
        </w:rPr>
        <w:t>(FAD)</w:t>
      </w:r>
      <w:r w:rsidRPr="00BC31E0">
        <w:rPr>
          <w:rFonts w:hint="eastAsia"/>
        </w:rPr>
        <w:t>による評</w:t>
      </w:r>
      <w:r w:rsidRPr="00BC31E0">
        <w:rPr>
          <w:rFonts w:hint="eastAsia"/>
        </w:rPr>
        <w:lastRenderedPageBreak/>
        <w:t>価を適用してもよい。</w:t>
      </w:r>
    </w:p>
    <w:p w14:paraId="64C24AA5" w14:textId="77777777" w:rsidR="00E46877" w:rsidRPr="00BC31E0" w:rsidRDefault="00E46877" w:rsidP="00736130">
      <w:pPr>
        <w:pStyle w:val="a4"/>
        <w:numPr>
          <w:ilvl w:val="0"/>
          <w:numId w:val="95"/>
        </w:numPr>
        <w:ind w:leftChars="0" w:left="454" w:hanging="454"/>
      </w:pPr>
      <w:r w:rsidRPr="00BC31E0">
        <w:rPr>
          <w:rFonts w:hint="eastAsia"/>
        </w:rPr>
        <w:t>端部ふたねじや平鏡のコーナー部から半径方向に成長する亀裂の様な接線</w:t>
      </w:r>
      <w:r w:rsidRPr="00BC31E0">
        <w:rPr>
          <w:rFonts w:asciiTheme="minorEastAsia" w:eastAsiaTheme="minorEastAsia" w:hAnsiTheme="minorEastAsia" w:hint="eastAsia"/>
        </w:rPr>
        <w:t>‐</w:t>
      </w:r>
      <w:r w:rsidRPr="00BC31E0">
        <w:rPr>
          <w:rFonts w:hint="eastAsia"/>
        </w:rPr>
        <w:t>半径方向の亀裂による破壊においては，破裂前漏洩の破壊を想定</w:t>
      </w:r>
      <w:r w:rsidR="00273685" w:rsidRPr="00BC31E0">
        <w:rPr>
          <w:rFonts w:hint="eastAsia"/>
        </w:rPr>
        <w:t>し</w:t>
      </w:r>
      <w:r w:rsidRPr="00BC31E0">
        <w:rPr>
          <w:rFonts w:hint="eastAsia"/>
        </w:rPr>
        <w:t>ない。この様な場合には，設計繰返し回数は，</w:t>
      </w:r>
      <w:r w:rsidRPr="00BC31E0">
        <w:rPr>
          <w:rFonts w:asciiTheme="majorEastAsia" w:eastAsiaTheme="majorEastAsia" w:hAnsiTheme="majorEastAsia" w:hint="eastAsia"/>
          <w:b/>
        </w:rPr>
        <w:t>6.4</w:t>
      </w:r>
      <w:r w:rsidRPr="00BC31E0">
        <w:rPr>
          <w:rFonts w:hint="eastAsia"/>
        </w:rPr>
        <w:t>によって計算する。</w:t>
      </w:r>
    </w:p>
    <w:p w14:paraId="0CB6872B" w14:textId="77777777" w:rsidR="00E46877" w:rsidRPr="00BC31E0" w:rsidRDefault="00E46877" w:rsidP="00736130">
      <w:pPr>
        <w:pStyle w:val="a4"/>
        <w:numPr>
          <w:ilvl w:val="0"/>
          <w:numId w:val="96"/>
        </w:numPr>
        <w:ind w:leftChars="0" w:left="454" w:hanging="454"/>
      </w:pPr>
      <w:r w:rsidRPr="00BC31E0">
        <w:rPr>
          <w:rFonts w:hint="eastAsia"/>
        </w:rPr>
        <w:t>焼ばめ方式多層容器の破裂前漏洩については，</w:t>
      </w:r>
      <w:r w:rsidRPr="00BC31E0">
        <w:rPr>
          <w:rFonts w:asciiTheme="majorEastAsia" w:eastAsiaTheme="majorEastAsia" w:hAnsiTheme="majorEastAsia" w:hint="eastAsia"/>
          <w:b/>
        </w:rPr>
        <w:t>6.8.4 a) 6)</w:t>
      </w:r>
      <w:r w:rsidRPr="00BC31E0">
        <w:rPr>
          <w:rFonts w:ascii="ＭＳ 明朝" w:hAnsi="ＭＳ 明朝" w:hint="eastAsia"/>
        </w:rPr>
        <w:t>を</w:t>
      </w:r>
      <w:r w:rsidRPr="00BC31E0">
        <w:rPr>
          <w:rFonts w:hint="eastAsia"/>
        </w:rPr>
        <w:t>参照する。線巻き容器の破裂前漏洩については，</w:t>
      </w:r>
      <w:r w:rsidRPr="00BC31E0">
        <w:rPr>
          <w:rFonts w:asciiTheme="majorEastAsia" w:eastAsiaTheme="majorEastAsia" w:hAnsiTheme="majorEastAsia" w:hint="eastAsia"/>
          <w:b/>
        </w:rPr>
        <w:t>6.9.2</w:t>
      </w:r>
      <w:r w:rsidRPr="00BC31E0">
        <w:rPr>
          <w:rFonts w:ascii="ＭＳ 明朝" w:hAnsi="ＭＳ 明朝" w:hint="eastAsia"/>
        </w:rPr>
        <w:t>を</w:t>
      </w:r>
      <w:r w:rsidRPr="00BC31E0">
        <w:rPr>
          <w:rFonts w:hint="eastAsia"/>
        </w:rPr>
        <w:t>参照する。</w:t>
      </w:r>
    </w:p>
    <w:p w14:paraId="516C2D53" w14:textId="77777777" w:rsidR="00E46877" w:rsidRPr="00BC31E0" w:rsidRDefault="00E46877" w:rsidP="00736130">
      <w:pPr>
        <w:pStyle w:val="a4"/>
        <w:numPr>
          <w:ilvl w:val="0"/>
          <w:numId w:val="96"/>
        </w:numPr>
        <w:ind w:leftChars="0" w:left="454" w:hanging="454"/>
      </w:pPr>
      <w:r w:rsidRPr="00BC31E0">
        <w:rPr>
          <w:rFonts w:hint="eastAsia"/>
        </w:rPr>
        <w:t>類似の設計，サイズ，材料特性，運転状態の容器での経験を基に使用者が，破裂前漏洩を使用者設計仕様書に記載</w:t>
      </w:r>
      <w:r w:rsidR="00B20643" w:rsidRPr="00BC31E0">
        <w:rPr>
          <w:rFonts w:hint="eastAsia"/>
        </w:rPr>
        <w:t>す</w:t>
      </w:r>
      <w:r w:rsidRPr="00BC31E0">
        <w:rPr>
          <w:rFonts w:hint="eastAsia"/>
        </w:rPr>
        <w:t>る</w:t>
      </w:r>
      <w:r w:rsidRPr="00BC31E0">
        <w:rPr>
          <w:rFonts w:hint="eastAsia"/>
        </w:rPr>
        <w:t>(</w:t>
      </w:r>
      <w:r w:rsidRPr="00BC31E0">
        <w:rPr>
          <w:rFonts w:asciiTheme="majorEastAsia" w:eastAsiaTheme="majorEastAsia" w:hAnsiTheme="majorEastAsia" w:hint="eastAsia"/>
          <w:b/>
        </w:rPr>
        <w:t>1.2.1</w:t>
      </w:r>
      <w:r w:rsidRPr="00BC31E0">
        <w:rPr>
          <w:rFonts w:ascii="ＭＳ 明朝" w:hAnsi="ＭＳ ゴシック" w:hint="eastAsia"/>
        </w:rPr>
        <w:t>を</w:t>
      </w:r>
      <w:r w:rsidRPr="00BC31E0">
        <w:rPr>
          <w:rFonts w:hint="eastAsia"/>
        </w:rPr>
        <w:t>参照</w:t>
      </w:r>
      <w:r w:rsidRPr="00BC31E0">
        <w:rPr>
          <w:rFonts w:hint="eastAsia"/>
        </w:rPr>
        <w:t>)</w:t>
      </w:r>
      <w:r w:rsidRPr="00BC31E0">
        <w:rPr>
          <w:rFonts w:hint="eastAsia"/>
        </w:rPr>
        <w:t>。</w:t>
      </w:r>
    </w:p>
    <w:p w14:paraId="3E13A58A" w14:textId="77777777" w:rsidR="00E46877" w:rsidRPr="00BC31E0" w:rsidRDefault="00E46877" w:rsidP="00736130">
      <w:pPr>
        <w:pStyle w:val="a4"/>
        <w:numPr>
          <w:ilvl w:val="0"/>
          <w:numId w:val="96"/>
        </w:numPr>
        <w:ind w:leftChars="0" w:left="454" w:hanging="454"/>
        <w:rPr>
          <w:rFonts w:cs="ＭＳ 明朝"/>
        </w:rPr>
      </w:pPr>
      <w:r w:rsidRPr="00BC31E0">
        <w:rPr>
          <w:rFonts w:hint="eastAsia"/>
        </w:rPr>
        <w:t>有毒物質又は致死的な物質を保有する容器は，破裂前漏洩で評価しない</w:t>
      </w:r>
      <w:r w:rsidRPr="00BC31E0">
        <w:rPr>
          <w:rFonts w:cs="ＭＳ 明朝" w:hint="eastAsia"/>
        </w:rPr>
        <w:t>。</w:t>
      </w:r>
    </w:p>
    <w:p w14:paraId="12C2778D" w14:textId="77777777" w:rsidR="0081331C" w:rsidRPr="00BC31E0" w:rsidRDefault="0081331C" w:rsidP="00992EA5">
      <w:pPr>
        <w:pStyle w:val="20"/>
        <w:tabs>
          <w:tab w:val="clear" w:pos="284"/>
        </w:tabs>
        <w:ind w:left="567" w:hanging="567"/>
      </w:pPr>
      <w:bookmarkStart w:id="36" w:name="_Toc357672089"/>
      <w:bookmarkStart w:id="37" w:name="_Toc120092522"/>
      <w:r w:rsidRPr="00BC31E0">
        <w:rPr>
          <w:rFonts w:hint="eastAsia"/>
        </w:rPr>
        <w:t>基本的な設計要求</w:t>
      </w:r>
      <w:bookmarkEnd w:id="36"/>
      <w:bookmarkEnd w:id="37"/>
    </w:p>
    <w:p w14:paraId="49711C96" w14:textId="77777777" w:rsidR="0081331C" w:rsidRPr="00BC31E0" w:rsidRDefault="0081331C" w:rsidP="00992EA5">
      <w:pPr>
        <w:pStyle w:val="3"/>
        <w:tabs>
          <w:tab w:val="clear" w:pos="284"/>
        </w:tabs>
        <w:ind w:left="794" w:hanging="794"/>
      </w:pPr>
      <w:r w:rsidRPr="00BC31E0">
        <w:rPr>
          <w:rFonts w:hint="eastAsia"/>
        </w:rPr>
        <w:t>適用範囲</w:t>
      </w:r>
    </w:p>
    <w:p w14:paraId="13628175" w14:textId="77777777" w:rsidR="0081331C" w:rsidRPr="00BC31E0" w:rsidRDefault="0081331C" w:rsidP="00323236">
      <w:pPr>
        <w:ind w:firstLineChars="100" w:firstLine="210"/>
      </w:pPr>
      <w:r w:rsidRPr="00BC31E0">
        <w:rPr>
          <w:rFonts w:hint="eastAsia"/>
        </w:rPr>
        <w:t>この項では，この規格に従って製作される圧力容器に関する基本設計ルールや定義を規定している。疲労や特別な構造に関する追加規定は，後の項に記載している。弾塑性解析</w:t>
      </w:r>
      <w:r w:rsidRPr="00BC31E0">
        <w:rPr>
          <w:rFonts w:hint="eastAsia"/>
        </w:rPr>
        <w:t>(</w:t>
      </w:r>
      <w:r w:rsidRPr="00BC31E0">
        <w:rPr>
          <w:rFonts w:asciiTheme="majorEastAsia" w:eastAsiaTheme="majorEastAsia" w:hAnsiTheme="majorEastAsia" w:hint="eastAsia"/>
          <w:b/>
        </w:rPr>
        <w:t>6.2.3</w:t>
      </w:r>
      <w:r w:rsidRPr="00BC31E0">
        <w:rPr>
          <w:rFonts w:hint="eastAsia"/>
        </w:rPr>
        <w:t>)</w:t>
      </w:r>
      <w:r w:rsidRPr="00BC31E0">
        <w:rPr>
          <w:rFonts w:hint="eastAsia"/>
        </w:rPr>
        <w:t>を実施しない場合，全ての容器は</w:t>
      </w:r>
      <w:r w:rsidRPr="00BC31E0">
        <w:rPr>
          <w:rFonts w:ascii="ＭＳ ゴシック" w:eastAsia="ＭＳ ゴシック" w:hint="eastAsia"/>
          <w:b/>
        </w:rPr>
        <w:t>6.2.2</w:t>
      </w:r>
      <w:r w:rsidRPr="00BC31E0">
        <w:rPr>
          <w:rFonts w:hint="eastAsia"/>
        </w:rPr>
        <w:t>の要求事項を満足しなければならない。</w:t>
      </w:r>
    </w:p>
    <w:p w14:paraId="450D2C9C" w14:textId="77777777" w:rsidR="0081331C" w:rsidRPr="00BC31E0" w:rsidRDefault="00DC160D" w:rsidP="00323236">
      <w:pPr>
        <w:ind w:firstLineChars="100" w:firstLine="210"/>
      </w:pPr>
      <w:r w:rsidRPr="00BC31E0">
        <w:rPr>
          <w:rFonts w:hint="eastAsia"/>
        </w:rPr>
        <w:t>全</w:t>
      </w:r>
      <w:r w:rsidR="0081331C" w:rsidRPr="00BC31E0">
        <w:rPr>
          <w:rFonts w:hint="eastAsia"/>
        </w:rPr>
        <w:t>ての内外径比の円筒胴と球形胴について，弾塑性解析</w:t>
      </w:r>
      <w:r w:rsidR="0081331C" w:rsidRPr="00BC31E0">
        <w:rPr>
          <w:rFonts w:hint="eastAsia"/>
        </w:rPr>
        <w:t>(</w:t>
      </w:r>
      <w:r w:rsidR="0081331C" w:rsidRPr="00BC31E0">
        <w:rPr>
          <w:rFonts w:ascii="ＭＳ ゴシック" w:eastAsia="ＭＳ ゴシック" w:hint="eastAsia"/>
          <w:b/>
        </w:rPr>
        <w:t>6.2.3</w:t>
      </w:r>
      <w:r w:rsidR="0081331C" w:rsidRPr="00BC31E0">
        <w:rPr>
          <w:rFonts w:hint="eastAsia"/>
        </w:rPr>
        <w:t>)</w:t>
      </w:r>
      <w:r w:rsidR="0081331C" w:rsidRPr="00BC31E0">
        <w:rPr>
          <w:rFonts w:hint="eastAsia"/>
        </w:rPr>
        <w:t>を実施</w:t>
      </w:r>
      <w:r w:rsidR="00044B2C" w:rsidRPr="00BC31E0">
        <w:rPr>
          <w:rFonts w:hint="eastAsia"/>
        </w:rPr>
        <w:t>してもよい</w:t>
      </w:r>
      <w:r w:rsidR="0081331C" w:rsidRPr="00BC31E0">
        <w:rPr>
          <w:rFonts w:hint="eastAsia"/>
        </w:rPr>
        <w:t>。この場合，弾性解析</w:t>
      </w:r>
      <w:r w:rsidR="0081331C" w:rsidRPr="00BC31E0">
        <w:rPr>
          <w:rFonts w:hint="eastAsia"/>
        </w:rPr>
        <w:t>(</w:t>
      </w:r>
      <w:r w:rsidR="0081331C" w:rsidRPr="00BC31E0">
        <w:rPr>
          <w:rFonts w:asciiTheme="majorEastAsia" w:eastAsiaTheme="majorEastAsia" w:hAnsiTheme="majorEastAsia" w:hint="eastAsia"/>
          <w:b/>
        </w:rPr>
        <w:t>附属書J</w:t>
      </w:r>
      <w:r w:rsidR="0081331C" w:rsidRPr="00BC31E0">
        <w:rPr>
          <w:rFonts w:hint="eastAsia"/>
        </w:rPr>
        <w:t>)</w:t>
      </w:r>
      <w:r w:rsidR="0081331C" w:rsidRPr="00BC31E0">
        <w:rPr>
          <w:rFonts w:hint="eastAsia"/>
        </w:rPr>
        <w:t>の要求を満足する必要はない。</w:t>
      </w:r>
    </w:p>
    <w:p w14:paraId="257544F9" w14:textId="77777777" w:rsidR="0081331C" w:rsidRPr="00BC31E0" w:rsidRDefault="0081331C" w:rsidP="00323236">
      <w:pPr>
        <w:ind w:firstLineChars="100" w:firstLine="210"/>
      </w:pPr>
      <w:r w:rsidRPr="00BC31E0">
        <w:rPr>
          <w:rFonts w:hint="eastAsia"/>
        </w:rPr>
        <w:t>内外径比</w:t>
      </w:r>
      <w:r w:rsidRPr="00BC31E0">
        <w:t>1.25</w:t>
      </w:r>
      <w:r w:rsidRPr="00BC31E0">
        <w:rPr>
          <w:rFonts w:hint="eastAsia"/>
        </w:rPr>
        <w:t>以上の円筒胴と球形胴については，弾塑性解析</w:t>
      </w:r>
      <w:r w:rsidRPr="00BC31E0">
        <w:rPr>
          <w:rFonts w:hint="eastAsia"/>
        </w:rPr>
        <w:t>(</w:t>
      </w:r>
      <w:r w:rsidRPr="00BC31E0">
        <w:rPr>
          <w:rFonts w:ascii="ＭＳ ゴシック" w:eastAsia="ＭＳ ゴシック" w:hint="eastAsia"/>
          <w:b/>
        </w:rPr>
        <w:t>6.2.3</w:t>
      </w:r>
      <w:r w:rsidRPr="00BC31E0">
        <w:rPr>
          <w:rFonts w:hint="eastAsia"/>
        </w:rPr>
        <w:t>)</w:t>
      </w:r>
      <w:r w:rsidRPr="00BC31E0">
        <w:rPr>
          <w:rFonts w:hint="eastAsia"/>
        </w:rPr>
        <w:t>を実施する。内外径比</w:t>
      </w:r>
      <w:r w:rsidRPr="00BC31E0">
        <w:t>1.25</w:t>
      </w:r>
      <w:r w:rsidRPr="00BC31E0">
        <w:rPr>
          <w:rFonts w:hint="eastAsia"/>
        </w:rPr>
        <w:t>未満の円筒胴と球形胴については，弾性解析</w:t>
      </w:r>
      <w:r w:rsidRPr="00BC31E0">
        <w:rPr>
          <w:rFonts w:hint="eastAsia"/>
        </w:rPr>
        <w:t>(</w:t>
      </w:r>
      <w:r w:rsidRPr="00BC31E0">
        <w:rPr>
          <w:rFonts w:asciiTheme="majorEastAsia" w:eastAsiaTheme="majorEastAsia" w:hAnsiTheme="majorEastAsia" w:hint="eastAsia"/>
          <w:b/>
        </w:rPr>
        <w:t>附属書J</w:t>
      </w:r>
      <w:r w:rsidRPr="00BC31E0">
        <w:rPr>
          <w:rFonts w:hint="eastAsia"/>
        </w:rPr>
        <w:t>)</w:t>
      </w:r>
      <w:r w:rsidRPr="00BC31E0">
        <w:rPr>
          <w:rFonts w:hint="eastAsia"/>
        </w:rPr>
        <w:t>を実施</w:t>
      </w:r>
      <w:r w:rsidR="00E0121C" w:rsidRPr="00BC31E0">
        <w:rPr>
          <w:rFonts w:hint="eastAsia"/>
        </w:rPr>
        <w:t>してもよい</w:t>
      </w:r>
      <w:r w:rsidRPr="00BC31E0">
        <w:rPr>
          <w:rFonts w:hint="eastAsia"/>
        </w:rPr>
        <w:t>。この場合，弾塑性解析</w:t>
      </w:r>
      <w:r w:rsidRPr="00BC31E0">
        <w:rPr>
          <w:rFonts w:hint="eastAsia"/>
        </w:rPr>
        <w:t>(</w:t>
      </w:r>
      <w:r w:rsidRPr="00BC31E0">
        <w:rPr>
          <w:rFonts w:ascii="ＭＳ ゴシック" w:eastAsia="ＭＳ ゴシック" w:hint="eastAsia"/>
          <w:b/>
        </w:rPr>
        <w:t>6.2.3</w:t>
      </w:r>
      <w:r w:rsidRPr="00BC31E0">
        <w:rPr>
          <w:rFonts w:hint="eastAsia"/>
        </w:rPr>
        <w:t>)</w:t>
      </w:r>
      <w:r w:rsidRPr="00BC31E0">
        <w:rPr>
          <w:rFonts w:hint="eastAsia"/>
        </w:rPr>
        <w:t>の要求を満足する必要はない。</w:t>
      </w:r>
    </w:p>
    <w:p w14:paraId="1EE3D84E" w14:textId="77777777" w:rsidR="0081331C" w:rsidRPr="00BC31E0" w:rsidRDefault="0081331C" w:rsidP="00323236">
      <w:pPr>
        <w:ind w:firstLineChars="100" w:firstLine="210"/>
      </w:pPr>
      <w:r w:rsidRPr="00BC31E0">
        <w:rPr>
          <w:rFonts w:hint="eastAsia"/>
        </w:rPr>
        <w:t>構造詳細が，この規格に含まれている各種の形状に合致していない，又は適用される計算式がない場合，詳細応力解析によって設計する。</w:t>
      </w:r>
    </w:p>
    <w:p w14:paraId="25EDE5A1" w14:textId="77777777" w:rsidR="0081331C" w:rsidRPr="00BC31E0" w:rsidRDefault="0081331C" w:rsidP="00323236">
      <w:pPr>
        <w:ind w:firstLineChars="100" w:firstLine="211"/>
      </w:pPr>
      <w:r w:rsidRPr="00BC31E0">
        <w:rPr>
          <w:rFonts w:ascii="ＭＳ ゴシック" w:hAnsi="ＭＳ ゴシック" w:hint="eastAsia"/>
          <w:b/>
        </w:rPr>
        <w:t>6.2.2</w:t>
      </w:r>
      <w:r w:rsidRPr="00BC31E0">
        <w:rPr>
          <w:rFonts w:hint="eastAsia"/>
        </w:rPr>
        <w:t>の設計式や</w:t>
      </w:r>
      <w:r w:rsidRPr="00BC31E0">
        <w:rPr>
          <w:rFonts w:ascii="ＭＳ ゴシック" w:hAnsi="ＭＳ ゴシック" w:hint="eastAsia"/>
          <w:b/>
        </w:rPr>
        <w:t>6.2.3</w:t>
      </w:r>
      <w:r w:rsidRPr="00BC31E0">
        <w:rPr>
          <w:rFonts w:hint="eastAsia"/>
        </w:rPr>
        <w:t>の弾塑性解析を用いて設計した場合には，耐圧試験や自緊中の塑性ひずみにより寸法変化する可能性があり，設計者は漏れや機能上問題がないか考慮しなければならない。</w:t>
      </w:r>
    </w:p>
    <w:p w14:paraId="328F1B4B" w14:textId="77777777" w:rsidR="0081331C" w:rsidRPr="00BC31E0" w:rsidRDefault="0081331C" w:rsidP="007A1204">
      <w:pPr>
        <w:pStyle w:val="3"/>
        <w:tabs>
          <w:tab w:val="clear" w:pos="284"/>
        </w:tabs>
        <w:ind w:left="794" w:hanging="794"/>
      </w:pPr>
      <w:r w:rsidRPr="00BC31E0">
        <w:rPr>
          <w:rFonts w:hint="eastAsia"/>
        </w:rPr>
        <w:t>円筒胴及び球形胴の設計圧力</w:t>
      </w:r>
    </w:p>
    <w:p w14:paraId="3716E2DD" w14:textId="77777777" w:rsidR="0081331C" w:rsidRPr="00BC31E0" w:rsidRDefault="0081331C" w:rsidP="00323236">
      <w:pPr>
        <w:ind w:firstLineChars="100" w:firstLine="210"/>
      </w:pPr>
      <w:r w:rsidRPr="00BC31E0">
        <w:rPr>
          <w:rFonts w:asciiTheme="minorEastAsia" w:eastAsiaTheme="minorEastAsia" w:hAnsiTheme="minorEastAsia" w:hint="eastAsia"/>
        </w:rPr>
        <w:t>円筒胴及び球形胴の</w:t>
      </w:r>
      <w:r w:rsidRPr="00BC31E0">
        <w:rPr>
          <w:rFonts w:hint="eastAsia"/>
        </w:rPr>
        <w:t>設計圧力の計算式を，次の</w:t>
      </w:r>
      <w:r w:rsidRPr="00BC31E0">
        <w:rPr>
          <w:rFonts w:ascii="ＭＳ ゴシック" w:eastAsia="ＭＳ ゴシック" w:hAnsi="ＭＳ ゴシック" w:hint="eastAsia"/>
          <w:b/>
        </w:rPr>
        <w:t>a)</w:t>
      </w:r>
      <w:r w:rsidRPr="00BC31E0">
        <w:rPr>
          <w:rFonts w:hint="eastAsia"/>
        </w:rPr>
        <w:t>，</w:t>
      </w:r>
      <w:r w:rsidRPr="00BC31E0">
        <w:rPr>
          <w:rFonts w:ascii="ＭＳ ゴシック" w:eastAsia="ＭＳ ゴシック" w:hAnsi="ＭＳ ゴシック" w:hint="eastAsia"/>
          <w:b/>
        </w:rPr>
        <w:t>b)</w:t>
      </w:r>
      <w:r w:rsidRPr="00BC31E0">
        <w:rPr>
          <w:rFonts w:hint="eastAsia"/>
        </w:rPr>
        <w:t>に示す。これらの計算式で計算すれば，崩壊に対して充分安全性</w:t>
      </w:r>
      <w:r w:rsidR="00BA7FD1" w:rsidRPr="00BC31E0">
        <w:rPr>
          <w:rFonts w:hint="eastAsia"/>
        </w:rPr>
        <w:t>が</w:t>
      </w:r>
      <w:r w:rsidRPr="00BC31E0">
        <w:rPr>
          <w:rFonts w:hint="eastAsia"/>
        </w:rPr>
        <w:t>確保</w:t>
      </w:r>
      <w:r w:rsidR="00BA7FD1" w:rsidRPr="00BC31E0">
        <w:rPr>
          <w:rFonts w:hint="eastAsia"/>
        </w:rPr>
        <w:t>される</w:t>
      </w:r>
      <w:r w:rsidRPr="00BC31E0">
        <w:rPr>
          <w:rFonts w:hint="eastAsia"/>
        </w:rPr>
        <w:t>。これらの計算式は，構造不連続部から離れた内圧を受ける円筒胴及び球形胴に対してのみ適用する。</w:t>
      </w:r>
    </w:p>
    <w:p w14:paraId="040A113B" w14:textId="77777777" w:rsidR="0081331C" w:rsidRPr="00BC31E0" w:rsidRDefault="0081331C" w:rsidP="0081331C">
      <w:pPr>
        <w:ind w:firstLineChars="100" w:firstLine="210"/>
      </w:pPr>
      <w:r w:rsidRPr="00BC31E0">
        <w:rPr>
          <w:rFonts w:hint="eastAsia"/>
        </w:rPr>
        <w:t>低降伏比の材料を使用し，次に示す計算式を用いて設計を行った場合，耐圧試験時の永久ひずみによって寸法の変化を生じるかもしれない。その寸法変化による漏洩や機能不全を引き起こす場合，設計者はその影響を考慮する。ここに示した設計圧力の式は，耐圧試験圧力が設計圧力の</w:t>
      </w:r>
      <w:r w:rsidRPr="00BC31E0">
        <w:t>1.25</w:t>
      </w:r>
      <w:r w:rsidRPr="00BC31E0">
        <w:rPr>
          <w:rFonts w:hint="eastAsia"/>
        </w:rPr>
        <w:t>倍として</w:t>
      </w:r>
      <w:r w:rsidR="0050067E" w:rsidRPr="00BC31E0">
        <w:rPr>
          <w:rFonts w:hint="eastAsia"/>
        </w:rPr>
        <w:t>い</w:t>
      </w:r>
      <w:r w:rsidRPr="00BC31E0">
        <w:rPr>
          <w:rFonts w:hint="eastAsia"/>
        </w:rPr>
        <w:t>る。したがって，耐圧試験圧力が設計圧力の</w:t>
      </w:r>
      <w:r w:rsidRPr="00BC31E0">
        <w:t>1.25</w:t>
      </w:r>
      <w:r w:rsidRPr="00BC31E0">
        <w:rPr>
          <w:rFonts w:hint="eastAsia"/>
        </w:rPr>
        <w:t>倍を超える場合には，</w:t>
      </w:r>
      <w:r w:rsidRPr="00BC31E0">
        <w:rPr>
          <w:rFonts w:ascii="ＭＳ ゴシック" w:eastAsia="ＭＳ ゴシック" w:hint="eastAsia"/>
          <w:b/>
        </w:rPr>
        <w:t>10.3.2 b)</w:t>
      </w:r>
      <w:r w:rsidRPr="00BC31E0">
        <w:rPr>
          <w:rFonts w:hint="eastAsia"/>
        </w:rPr>
        <w:t>を考慮しなければならない。</w:t>
      </w:r>
    </w:p>
    <w:p w14:paraId="1143A8DA" w14:textId="77777777" w:rsidR="0081331C" w:rsidRPr="00BC31E0" w:rsidRDefault="0081331C" w:rsidP="00736130">
      <w:pPr>
        <w:pStyle w:val="a4"/>
        <w:numPr>
          <w:ilvl w:val="0"/>
          <w:numId w:val="99"/>
        </w:numPr>
        <w:ind w:leftChars="0" w:left="454" w:hanging="454"/>
      </w:pPr>
      <w:r w:rsidRPr="00BC31E0">
        <w:rPr>
          <w:rFonts w:asciiTheme="majorEastAsia" w:eastAsiaTheme="majorEastAsia" w:hAnsiTheme="majorEastAsia" w:hint="eastAsia"/>
          <w:b/>
        </w:rPr>
        <w:t>内圧による胴</w:t>
      </w:r>
      <w:r w:rsidRPr="00BC31E0">
        <w:rPr>
          <w:rFonts w:hint="eastAsia"/>
        </w:rPr>
        <w:t xml:space="preserve">　内圧による胴の設計圧力は，次の</w:t>
      </w:r>
      <w:r w:rsidRPr="00BC31E0">
        <w:rPr>
          <w:rFonts w:asciiTheme="majorEastAsia" w:eastAsiaTheme="majorEastAsia" w:hAnsiTheme="majorEastAsia" w:hint="eastAsia"/>
          <w:b/>
        </w:rPr>
        <w:t>1)</w:t>
      </w:r>
      <w:r w:rsidRPr="00BC31E0">
        <w:rPr>
          <w:rFonts w:hint="eastAsia"/>
        </w:rPr>
        <w:t>～</w:t>
      </w:r>
      <w:r w:rsidR="00B362CC" w:rsidRPr="00BC31E0">
        <w:rPr>
          <w:rFonts w:asciiTheme="majorEastAsia" w:eastAsiaTheme="majorEastAsia" w:hAnsiTheme="majorEastAsia" w:hint="eastAsia"/>
          <w:b/>
        </w:rPr>
        <w:t>5</w:t>
      </w:r>
      <w:r w:rsidRPr="00BC31E0">
        <w:rPr>
          <w:rFonts w:asciiTheme="majorEastAsia" w:eastAsiaTheme="majorEastAsia" w:hAnsiTheme="majorEastAsia" w:hint="eastAsia"/>
          <w:b/>
        </w:rPr>
        <w:t>)</w:t>
      </w:r>
      <w:r w:rsidRPr="00BC31E0">
        <w:rPr>
          <w:rFonts w:hint="eastAsia"/>
        </w:rPr>
        <w:t>による。</w:t>
      </w:r>
      <w:r w:rsidRPr="00BC31E0">
        <w:rPr>
          <w:rFonts w:asciiTheme="majorEastAsia" w:eastAsiaTheme="majorEastAsia" w:hAnsiTheme="majorEastAsia" w:hint="eastAsia"/>
          <w:b/>
        </w:rPr>
        <w:t>式(</w:t>
      </w:r>
      <w:r w:rsidRPr="00BC31E0">
        <w:rPr>
          <w:rFonts w:asciiTheme="majorEastAsia" w:eastAsiaTheme="majorEastAsia" w:hAnsiTheme="majorEastAsia"/>
          <w:b/>
        </w:rPr>
        <w:t>6.2.1</w:t>
      </w:r>
      <w:r w:rsidRPr="00BC31E0">
        <w:rPr>
          <w:rFonts w:asciiTheme="majorEastAsia" w:eastAsiaTheme="majorEastAsia" w:hAnsiTheme="majorEastAsia" w:hint="eastAsia"/>
          <w:b/>
        </w:rPr>
        <w:t>)</w:t>
      </w:r>
      <w:r w:rsidRPr="00BC31E0">
        <w:rPr>
          <w:rFonts w:ascii="ＭＳ 明朝" w:hint="eastAsia"/>
        </w:rPr>
        <w:t>～</w:t>
      </w:r>
      <w:r w:rsidRPr="00BC31E0">
        <w:rPr>
          <w:rFonts w:asciiTheme="majorEastAsia" w:eastAsiaTheme="majorEastAsia" w:hAnsiTheme="majorEastAsia" w:hint="eastAsia"/>
          <w:b/>
        </w:rPr>
        <w:t>式(</w:t>
      </w:r>
      <w:r w:rsidRPr="00BC31E0">
        <w:rPr>
          <w:rFonts w:asciiTheme="majorEastAsia" w:eastAsiaTheme="majorEastAsia" w:hAnsiTheme="majorEastAsia"/>
          <w:b/>
        </w:rPr>
        <w:t>6.2.6</w:t>
      </w:r>
      <w:r w:rsidRPr="00BC31E0">
        <w:rPr>
          <w:rFonts w:asciiTheme="majorEastAsia" w:eastAsiaTheme="majorEastAsia" w:hAnsiTheme="majorEastAsia" w:hint="eastAsia"/>
          <w:b/>
        </w:rPr>
        <w:t>)</w:t>
      </w:r>
      <w:r w:rsidRPr="00BC31E0">
        <w:rPr>
          <w:rFonts w:asciiTheme="minorEastAsia" w:eastAsiaTheme="minorEastAsia" w:hAnsiTheme="minorEastAsia" w:hint="eastAsia"/>
        </w:rPr>
        <w:t>の耐圧試験圧力に関連した第</w:t>
      </w:r>
      <w:r w:rsidRPr="00BC31E0">
        <w:rPr>
          <w:rFonts w:eastAsiaTheme="minorEastAsia"/>
        </w:rPr>
        <w:t>1</w:t>
      </w:r>
      <w:r w:rsidRPr="00BC31E0">
        <w:rPr>
          <w:rFonts w:asciiTheme="minorEastAsia" w:eastAsiaTheme="minorEastAsia" w:hAnsiTheme="minorEastAsia" w:hint="eastAsia"/>
        </w:rPr>
        <w:t>項は，設計圧力に対する耐圧試験圧力の比が</w:t>
      </w:r>
      <w:r w:rsidRPr="00BC31E0">
        <w:rPr>
          <w:rFonts w:eastAsiaTheme="minorEastAsia"/>
        </w:rPr>
        <w:t>1.25</w:t>
      </w:r>
      <w:r w:rsidRPr="00BC31E0">
        <w:rPr>
          <w:rFonts w:asciiTheme="minorEastAsia" w:eastAsiaTheme="minorEastAsia" w:hAnsiTheme="minorEastAsia" w:hint="eastAsia"/>
        </w:rPr>
        <w:t>倍の場合に，全断面降伏及び過度な変形を防止するためである。</w:t>
      </w:r>
      <w:r w:rsidRPr="00BC31E0">
        <w:rPr>
          <w:rFonts w:hint="eastAsia"/>
        </w:rPr>
        <w:t>クリープ温度域における許容応力を設定できる場合には，</w:t>
      </w:r>
      <w:r w:rsidRPr="00BC31E0">
        <w:rPr>
          <w:rFonts w:asciiTheme="majorEastAsia" w:eastAsiaTheme="majorEastAsia" w:hAnsiTheme="majorEastAsia" w:hint="eastAsia"/>
          <w:b/>
        </w:rPr>
        <w:t>表5.4.1</w:t>
      </w:r>
      <w:r w:rsidRPr="00BC31E0">
        <w:rPr>
          <w:rFonts w:hint="eastAsia"/>
        </w:rPr>
        <w:t>及び</w:t>
      </w:r>
      <w:r w:rsidRPr="00BC31E0">
        <w:rPr>
          <w:rFonts w:asciiTheme="majorEastAsia" w:eastAsiaTheme="majorEastAsia" w:hAnsiTheme="majorEastAsia" w:hint="eastAsia"/>
          <w:b/>
        </w:rPr>
        <w:t>表5.4.2</w:t>
      </w:r>
      <w:r w:rsidRPr="00BC31E0">
        <w:rPr>
          <w:rFonts w:hint="eastAsia"/>
        </w:rPr>
        <w:t>に示す上限温度を超える温度を設計温度と</w:t>
      </w:r>
      <w:r w:rsidR="00B375EF" w:rsidRPr="00BC31E0">
        <w:rPr>
          <w:rFonts w:hint="eastAsia"/>
        </w:rPr>
        <w:t>してもよい</w:t>
      </w:r>
      <w:r w:rsidRPr="00BC31E0">
        <w:rPr>
          <w:rFonts w:asciiTheme="minorEastAsia" w:eastAsiaTheme="minorEastAsia" w:hAnsiTheme="minorEastAsia" w:hint="eastAsia"/>
        </w:rPr>
        <w:t>[</w:t>
      </w:r>
      <w:r w:rsidRPr="00BC31E0">
        <w:rPr>
          <w:rFonts w:asciiTheme="majorEastAsia" w:eastAsiaTheme="majorEastAsia" w:hAnsiTheme="majorEastAsia" w:hint="eastAsia"/>
          <w:b/>
        </w:rPr>
        <w:t>5.4 e)</w:t>
      </w:r>
      <w:r w:rsidRPr="00BC31E0">
        <w:rPr>
          <w:rFonts w:hint="eastAsia"/>
        </w:rPr>
        <w:t>を参照</w:t>
      </w:r>
      <w:r w:rsidRPr="00BC31E0">
        <w:rPr>
          <w:rFonts w:asciiTheme="minorEastAsia" w:eastAsiaTheme="minorEastAsia" w:hAnsiTheme="minorEastAsia" w:hint="eastAsia"/>
        </w:rPr>
        <w:t>]</w:t>
      </w:r>
      <w:r w:rsidRPr="00BC31E0">
        <w:rPr>
          <w:rFonts w:hint="eastAsia"/>
        </w:rPr>
        <w:t>。この場合には，クリープ温度域の膜応力補正係数</w:t>
      </w:r>
      <m:oMath>
        <m:sSub>
          <m:sSubPr>
            <m:ctrlPr>
              <w:rPr>
                <w:rFonts w:ascii="Cambria Math" w:hAnsi="Cambria Math"/>
                <w:i/>
              </w:rPr>
            </m:ctrlPr>
          </m:sSubPr>
          <m:e>
            <m:r>
              <w:rPr>
                <w:rFonts w:ascii="Cambria Math" w:hAnsi="Cambria Math" w:hint="eastAsia"/>
              </w:rPr>
              <m:t xml:space="preserve"> </m:t>
            </m:r>
            <m:r>
              <w:rPr>
                <w:rFonts w:ascii="Cambria Math" w:hAnsi="Cambria Math"/>
              </w:rPr>
              <m:t>k</m:t>
            </m:r>
          </m:e>
          <m:sub>
            <m:r>
              <w:rPr>
                <w:rFonts w:ascii="Cambria Math" w:hAnsi="Cambria Math"/>
              </w:rPr>
              <m:t>c</m:t>
            </m:r>
          </m:sub>
        </m:sSub>
        <m:r>
          <w:rPr>
            <w:rFonts w:ascii="Cambria Math" w:hAnsi="Cambria Math"/>
          </w:rPr>
          <m:t xml:space="preserve"> </m:t>
        </m:r>
      </m:oMath>
      <w:r w:rsidRPr="00BC31E0">
        <w:rPr>
          <w:rFonts w:hint="eastAsia"/>
        </w:rPr>
        <w:t>を用いて，これら</w:t>
      </w:r>
      <w:r w:rsidRPr="00BC31E0">
        <w:rPr>
          <w:rFonts w:hint="eastAsia"/>
        </w:rPr>
        <w:lastRenderedPageBreak/>
        <w:t>の式における</w:t>
      </w:r>
      <m:oMath>
        <m:r>
          <m:rPr>
            <m:sty m:val="p"/>
          </m:rPr>
          <w:rPr>
            <w:rFonts w:ascii="Cambria Math" w:hAnsi="Cambria Math" w:hint="eastAsia"/>
          </w:rPr>
          <m:t xml:space="preserve"> </m:t>
        </m:r>
        <m:sSub>
          <m:sSubPr>
            <m:ctrlPr>
              <w:rPr>
                <w:rFonts w:ascii="Cambria Math" w:hAnsi="Cambria Math"/>
                <w:i/>
              </w:rPr>
            </m:ctrlPr>
          </m:sSubPr>
          <m:e>
            <m:r>
              <w:rPr>
                <w:rFonts w:ascii="Cambria Math" w:hAnsi="Cambria Math"/>
              </w:rPr>
              <m:t>S</m:t>
            </m:r>
          </m:e>
          <m:sub>
            <m:r>
              <w:rPr>
                <w:rFonts w:ascii="Cambria Math" w:hAnsi="Cambria Math"/>
              </w:rPr>
              <m:t>y</m:t>
            </m:r>
          </m:sub>
        </m:sSub>
        <m:r>
          <w:rPr>
            <w:rFonts w:ascii="Cambria Math" w:hAnsi="Cambria Math"/>
          </w:rPr>
          <m:t xml:space="preserve"> </m:t>
        </m:r>
      </m:oMath>
      <w:r w:rsidRPr="00BC31E0">
        <w:rPr>
          <w:rFonts w:hint="eastAsia"/>
        </w:rPr>
        <w:t>と</w:t>
      </w:r>
      <m:oMath>
        <m:sSub>
          <m:sSubPr>
            <m:ctrlPr>
              <w:rPr>
                <w:rFonts w:ascii="Cambria Math" w:hAnsi="Cambria Math"/>
                <w:i/>
              </w:rPr>
            </m:ctrlPr>
          </m:sSubPr>
          <m:e>
            <m:r>
              <w:rPr>
                <w:rFonts w:ascii="Cambria Math" w:hAnsi="Cambria Math"/>
              </w:rPr>
              <m:t>S</m:t>
            </m:r>
          </m:e>
          <m:sub>
            <m:r>
              <w:rPr>
                <w:rFonts w:ascii="Cambria Math" w:hAnsi="Cambria Math"/>
              </w:rPr>
              <m:t>u</m:t>
            </m:r>
          </m:sub>
        </m:sSub>
        <m:r>
          <w:rPr>
            <w:rFonts w:ascii="Cambria Math" w:hAnsi="Cambria Math"/>
          </w:rPr>
          <m:t xml:space="preserve"> </m:t>
        </m:r>
      </m:oMath>
      <w:r w:rsidRPr="00BC31E0">
        <w:rPr>
          <w:rFonts w:hint="eastAsia"/>
        </w:rPr>
        <w:t>を共に</w:t>
      </w:r>
      <m:oMath>
        <m:r>
          <m:rPr>
            <m:sty m:val="p"/>
          </m:rPr>
          <w:rPr>
            <w:rFonts w:ascii="Cambria Math" w:hAnsi="Cambria Math"/>
          </w:rPr>
          <m:t xml:space="preserve"> </m:t>
        </m:r>
        <m:sSub>
          <m:sSubPr>
            <m:ctrlPr>
              <w:rPr>
                <w:rFonts w:ascii="Cambria Math" w:hAnsi="Cambria Math"/>
                <w:i/>
              </w:rPr>
            </m:ctrlPr>
          </m:sSubPr>
          <m:e>
            <m:r>
              <w:rPr>
                <w:rFonts w:ascii="Cambria Math" w:hAnsi="Cambria Math" w:hint="eastAsia"/>
              </w:rPr>
              <m:t>k</m:t>
            </m:r>
          </m:e>
          <m:sub>
            <m:r>
              <w:rPr>
                <w:rFonts w:ascii="Cambria Math" w:hAnsi="Cambria Math" w:hint="eastAsia"/>
              </w:rPr>
              <m:t>c</m:t>
            </m:r>
          </m:sub>
        </m:sSub>
        <m:sSub>
          <m:sSubPr>
            <m:ctrlPr>
              <w:rPr>
                <w:rFonts w:ascii="Cambria Math" w:hAnsi="Cambria Math"/>
                <w:i/>
              </w:rPr>
            </m:ctrlPr>
          </m:sSubPr>
          <m:e>
            <m:r>
              <w:rPr>
                <w:rFonts w:ascii="Cambria Math" w:hAnsi="Cambria Math"/>
              </w:rPr>
              <m:t>S</m:t>
            </m:r>
          </m:e>
          <m:sub>
            <m:r>
              <w:rPr>
                <w:rFonts w:ascii="Cambria Math" w:hAnsi="Cambria Math"/>
              </w:rPr>
              <m:t>y</m:t>
            </m:r>
          </m:sub>
        </m:sSub>
        <m:r>
          <w:rPr>
            <w:rFonts w:ascii="Cambria Math" w:hAnsi="Cambria Math" w:hint="eastAsia"/>
          </w:rPr>
          <m:t xml:space="preserve"> </m:t>
        </m:r>
      </m:oMath>
      <w:r w:rsidRPr="00BC31E0">
        <w:rPr>
          <w:rFonts w:hint="eastAsia"/>
        </w:rPr>
        <w:t>に置き換える。</w:t>
      </w:r>
    </w:p>
    <w:p w14:paraId="6BB1714F" w14:textId="77777777" w:rsidR="0081331C" w:rsidRPr="00BC31E0" w:rsidRDefault="0081331C" w:rsidP="00736130">
      <w:pPr>
        <w:pStyle w:val="a4"/>
        <w:numPr>
          <w:ilvl w:val="0"/>
          <w:numId w:val="100"/>
        </w:numPr>
        <w:ind w:leftChars="0" w:left="738" w:hanging="454"/>
        <w:rPr>
          <w:rFonts w:asciiTheme="majorEastAsia" w:eastAsiaTheme="majorEastAsia" w:hAnsiTheme="majorEastAsia"/>
          <w:b/>
        </w:rPr>
      </w:pPr>
      <w:r w:rsidRPr="00BC31E0">
        <w:rPr>
          <w:rFonts w:asciiTheme="majorEastAsia" w:eastAsiaTheme="majorEastAsia" w:hAnsiTheme="majorEastAsia" w:hint="eastAsia"/>
          <w:b/>
        </w:rPr>
        <w:t>単肉円筒胴</w:t>
      </w:r>
    </w:p>
    <w:p w14:paraId="1154D3CC" w14:textId="77777777" w:rsidR="0081331C" w:rsidRPr="00BC31E0" w:rsidRDefault="0081331C" w:rsidP="00FC73A4">
      <w:pPr>
        <w:spacing w:after="120"/>
        <w:ind w:left="737"/>
      </w:pPr>
      <w:r w:rsidRPr="00BC31E0">
        <w:rPr>
          <w:rFonts w:hint="eastAsia"/>
        </w:rPr>
        <w:t>開放端</w:t>
      </w:r>
      <w:r w:rsidRPr="00BC31E0">
        <w:rPr>
          <w:rFonts w:hint="eastAsia"/>
        </w:rPr>
        <w:t>(</w:t>
      </w:r>
      <m:oMath>
        <m:r>
          <w:rPr>
            <w:rFonts w:ascii="Cambria Math" w:hAnsi="Cambria Math"/>
          </w:rPr>
          <m:t>Y</m:t>
        </m:r>
        <m:r>
          <m:rPr>
            <m:sty m:val="p"/>
          </m:rPr>
          <w:rPr>
            <w:rFonts w:ascii="Cambria Math" w:hAnsi="Cambria Math"/>
          </w:rPr>
          <m:t>≦2.85</m:t>
        </m:r>
      </m:oMath>
      <w:r w:rsidRPr="00BC31E0">
        <w:rPr>
          <w:rFonts w:hint="eastAsia"/>
        </w:rPr>
        <w:t>)</w:t>
      </w:r>
    </w:p>
    <w:tbl>
      <w:tblPr>
        <w:tblStyle w:val="afff2"/>
        <w:tblW w:w="8079"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87"/>
        <w:gridCol w:w="1992"/>
      </w:tblGrid>
      <w:tr w:rsidR="0081331C" w:rsidRPr="00BC31E0" w14:paraId="652FCBAA" w14:textId="77777777" w:rsidTr="00E20930">
        <w:tc>
          <w:tcPr>
            <w:tcW w:w="0" w:type="auto"/>
            <w:tcMar>
              <w:left w:w="0" w:type="dxa"/>
              <w:right w:w="0" w:type="dxa"/>
            </w:tcMar>
            <w:vAlign w:val="center"/>
          </w:tcPr>
          <w:p w14:paraId="7E4DE264" w14:textId="77777777" w:rsidR="0081331C" w:rsidRPr="00BC31E0" w:rsidRDefault="00A51873" w:rsidP="00E20930">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D</m:t>
                    </m:r>
                  </m:sub>
                </m:sSub>
                <m:r>
                  <m:rPr>
                    <m:sty m:val="p"/>
                  </m:rPr>
                  <w:rPr>
                    <w:rFonts w:ascii="Cambria Math" w:hAnsi="Cambria Math"/>
                  </w:rPr>
                  <m:t>=</m:t>
                </m:r>
                <m:r>
                  <m:rPr>
                    <m:sty m:val="bi"/>
                  </m:rPr>
                  <w:rPr>
                    <w:rFonts w:ascii="Cambria Math" w:hAnsi="Cambria Math"/>
                  </w:rPr>
                  <m:t>min</m:t>
                </m:r>
                <m:d>
                  <m:dPr>
                    <m:begChr m:val="{"/>
                    <m:endChr m:val="}"/>
                    <m:ctrlPr>
                      <w:rPr>
                        <w:rFonts w:ascii="Cambria Math" w:hAnsi="Cambria Math"/>
                      </w:rPr>
                    </m:ctrlPr>
                  </m:dPr>
                  <m:e>
                    <m:r>
                      <m:rPr>
                        <m:sty m:val="p"/>
                      </m:rPr>
                      <w:rPr>
                        <w:rFonts w:ascii="Cambria Math" w:hAnsi="Cambria Math"/>
                      </w:rPr>
                      <m:t xml:space="preserve"> </m:t>
                    </m:r>
                    <m:r>
                      <m:rPr>
                        <m:sty m:val="p"/>
                      </m:rPr>
                      <w:rPr>
                        <w:rFonts w:ascii="Cambria Math" w:hAnsi="Cambria Math" w:hint="eastAsia"/>
                      </w:rPr>
                      <m:t>2.986</m:t>
                    </m:r>
                    <m:r>
                      <m:rPr>
                        <m:sty m:val="p"/>
                      </m:rP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 xml:space="preserve">ut </m:t>
                        </m:r>
                      </m:sub>
                    </m:sSub>
                    <m:sSub>
                      <m:sSubPr>
                        <m:ctrlPr>
                          <w:rPr>
                            <w:rFonts w:ascii="Cambria Math" w:hAnsi="Cambria Math"/>
                            <w:i/>
                          </w:rPr>
                        </m:ctrlPr>
                      </m:sSubPr>
                      <m:e>
                        <m:r>
                          <w:rPr>
                            <w:rFonts w:ascii="Cambria Math" w:hAnsi="Cambria Math"/>
                          </w:rPr>
                          <m:t>S</m:t>
                        </m:r>
                      </m:e>
                      <m:sub>
                        <m:r>
                          <w:rPr>
                            <w:rFonts w:ascii="Cambria Math" w:hAnsi="Cambria Math"/>
                          </w:rPr>
                          <m:t>y</m:t>
                        </m:r>
                      </m:sub>
                    </m:sSub>
                    <m:r>
                      <w:rPr>
                        <w:rFonts w:ascii="Cambria Math" w:hAnsi="Cambria Math"/>
                      </w:rPr>
                      <m:t xml:space="preserve"> </m:t>
                    </m:r>
                    <m:d>
                      <m:dPr>
                        <m:ctrlPr>
                          <w:rPr>
                            <w:rFonts w:ascii="Cambria Math" w:hAnsi="Cambria Math"/>
                          </w:rPr>
                        </m:ctrlPr>
                      </m:dPr>
                      <m:e>
                        <m:sSup>
                          <m:sSupPr>
                            <m:ctrlPr>
                              <w:rPr>
                                <w:rFonts w:ascii="Cambria Math" w:hAnsi="Cambria Math"/>
                              </w:rPr>
                            </m:ctrlPr>
                          </m:sSupPr>
                          <m:e>
                            <m:r>
                              <w:rPr>
                                <w:rFonts w:ascii="Cambria Math" w:hAnsi="Cambria Math"/>
                              </w:rPr>
                              <m:t>Y</m:t>
                            </m:r>
                          </m:e>
                          <m:sup>
                            <m:r>
                              <m:rPr>
                                <m:sty m:val="p"/>
                              </m:rPr>
                              <w:rPr>
                                <w:rFonts w:ascii="Cambria Math" w:hAnsi="Cambria Math"/>
                              </w:rPr>
                              <m:t>0.268</m:t>
                            </m:r>
                          </m:sup>
                        </m:sSup>
                        <m:r>
                          <m:rPr>
                            <m:sty m:val="p"/>
                          </m:rPr>
                          <w:rPr>
                            <w:rFonts w:ascii="Cambria Math" w:hAnsi="Cambria Math"/>
                          </w:rPr>
                          <m:t>-1</m:t>
                        </m:r>
                      </m:e>
                    </m:d>
                    <m:r>
                      <m:rPr>
                        <m:sty m:val="p"/>
                      </m:rPr>
                      <w:rPr>
                        <w:rFonts w:ascii="Cambria Math" w:hAnsi="Cambria Math" w:hint="eastAsia"/>
                      </w:rPr>
                      <m:t>，</m:t>
                    </m:r>
                    <m:r>
                      <m:rPr>
                        <m:sty m:val="p"/>
                      </m:rPr>
                      <w:rPr>
                        <w:rFonts w:ascii="Cambria Math" w:hAnsi="Cambria Math"/>
                      </w:rPr>
                      <m:t>1.0773</m:t>
                    </m:r>
                    <m:d>
                      <m:dPr>
                        <m:ctrlPr>
                          <w:rPr>
                            <w:rFonts w:ascii="Cambria Math" w:hAnsi="Cambria Math"/>
                          </w:rPr>
                        </m:ctrlPr>
                      </m:dPr>
                      <m:e>
                        <m:sSub>
                          <m:sSubPr>
                            <m:ctrlPr>
                              <w:rPr>
                                <w:rFonts w:ascii="Cambria Math" w:hAnsi="Cambria Math"/>
                                <w:i/>
                              </w:rPr>
                            </m:ctrlPr>
                          </m:sSubPr>
                          <m:e>
                            <m:r>
                              <w:rPr>
                                <w:rFonts w:ascii="Cambria Math" w:hAnsi="Cambria Math"/>
                              </w:rPr>
                              <m:t>S</m:t>
                            </m:r>
                          </m:e>
                          <m:sub>
                            <m:r>
                              <w:rPr>
                                <w:rFonts w:ascii="Cambria Math" w:hAnsi="Cambria Math"/>
                              </w:rPr>
                              <m:t>y</m:t>
                            </m:r>
                          </m:sub>
                        </m:sSub>
                        <m:r>
                          <m:rPr>
                            <m:sty m:val="p"/>
                          </m:rP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u</m:t>
                            </m:r>
                          </m:sub>
                        </m:sSub>
                      </m:e>
                    </m:d>
                    <m:d>
                      <m:dPr>
                        <m:ctrlPr>
                          <w:rPr>
                            <w:rFonts w:ascii="Cambria Math" w:hAnsi="Cambria Math"/>
                          </w:rPr>
                        </m:ctrlPr>
                      </m:dPr>
                      <m:e>
                        <m:sSup>
                          <m:sSupPr>
                            <m:ctrlPr>
                              <w:rPr>
                                <w:rFonts w:ascii="Cambria Math" w:hAnsi="Cambria Math"/>
                              </w:rPr>
                            </m:ctrlPr>
                          </m:sSupPr>
                          <m:e>
                            <m:r>
                              <w:rPr>
                                <w:rFonts w:ascii="Cambria Math" w:hAnsi="Cambria Math"/>
                              </w:rPr>
                              <m:t>Y</m:t>
                            </m:r>
                          </m:e>
                          <m:sup>
                            <m:r>
                              <m:rPr>
                                <m:sty m:val="p"/>
                              </m:rPr>
                              <w:rPr>
                                <w:rFonts w:ascii="Cambria Math" w:hAnsi="Cambria Math"/>
                              </w:rPr>
                              <m:t>0.268</m:t>
                            </m:r>
                          </m:sup>
                        </m:sSup>
                        <m:r>
                          <m:rPr>
                            <m:sty m:val="p"/>
                          </m:rPr>
                          <w:rPr>
                            <w:rFonts w:ascii="Cambria Math" w:hAnsi="Cambria Math"/>
                          </w:rPr>
                          <m:t>-1</m:t>
                        </m:r>
                      </m:e>
                    </m:d>
                  </m:e>
                </m:d>
              </m:oMath>
            </m:oMathPara>
          </w:p>
        </w:tc>
        <w:tc>
          <w:tcPr>
            <w:tcW w:w="1992" w:type="dxa"/>
            <w:tcMar>
              <w:left w:w="0" w:type="dxa"/>
              <w:right w:w="0" w:type="dxa"/>
            </w:tcMar>
            <w:vAlign w:val="center"/>
          </w:tcPr>
          <w:p w14:paraId="0CF319C1" w14:textId="77777777" w:rsidR="0081331C" w:rsidRPr="00BC31E0" w:rsidRDefault="0081331C" w:rsidP="00E20930">
            <w:pPr>
              <w:tabs>
                <w:tab w:val="left" w:leader="middleDot" w:pos="1284"/>
              </w:tabs>
              <w:jc w:val="left"/>
            </w:pPr>
            <w:r w:rsidRPr="00BC31E0">
              <w:tab/>
            </w:r>
            <w:r w:rsidRPr="00BC31E0">
              <w:rPr>
                <w:rFonts w:hint="eastAsia"/>
              </w:rPr>
              <w:t>(6.2.1)</w:t>
            </w:r>
          </w:p>
        </w:tc>
      </w:tr>
    </w:tbl>
    <w:p w14:paraId="75A52EB1" w14:textId="77777777" w:rsidR="0081331C" w:rsidRPr="00BC31E0" w:rsidRDefault="00CE31AE" w:rsidP="00FC73A4">
      <w:pPr>
        <w:spacing w:before="120" w:after="120"/>
        <w:ind w:left="737"/>
      </w:pPr>
      <w:r w:rsidRPr="00BC31E0">
        <w:rPr>
          <w:rFonts w:hint="eastAsia"/>
        </w:rPr>
        <w:t>開放端</w:t>
      </w:r>
      <w:r w:rsidRPr="00BC31E0">
        <w:rPr>
          <w:rFonts w:hint="eastAsia"/>
        </w:rPr>
        <w:t>(</w:t>
      </w:r>
      <m:oMath>
        <m:r>
          <w:rPr>
            <w:rFonts w:ascii="Cambria Math" w:hAnsi="Cambria Math"/>
          </w:rPr>
          <m:t>Y</m:t>
        </m:r>
        <m:r>
          <m:rPr>
            <m:sty m:val="p"/>
          </m:rPr>
          <w:rPr>
            <w:rFonts w:ascii="Cambria Math" w:hAnsi="Cambria Math"/>
          </w:rPr>
          <m:t>&gt;</m:t>
        </m:r>
        <m:r>
          <w:rPr>
            <w:rFonts w:ascii="Cambria Math" w:hAnsi="Cambria Math"/>
          </w:rPr>
          <m:t>2.85</m:t>
        </m:r>
      </m:oMath>
      <w:r w:rsidRPr="00BC31E0">
        <w:rPr>
          <w:rFonts w:hint="eastAsia"/>
        </w:rPr>
        <w:t>)</w:t>
      </w:r>
      <w:r w:rsidRPr="00BC31E0">
        <w:rPr>
          <w:rFonts w:hint="eastAsia"/>
        </w:rPr>
        <w:t>及び</w:t>
      </w:r>
      <w:r w:rsidR="0081331C" w:rsidRPr="00BC31E0">
        <w:rPr>
          <w:rFonts w:hint="eastAsia"/>
        </w:rPr>
        <w:t>閉止端</w:t>
      </w:r>
    </w:p>
    <w:tbl>
      <w:tblPr>
        <w:tblStyle w:val="afff2"/>
        <w:tblW w:w="8079"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7"/>
        <w:gridCol w:w="3482"/>
      </w:tblGrid>
      <w:tr w:rsidR="0081331C" w:rsidRPr="00BC31E0" w14:paraId="6DD57C7E" w14:textId="77777777" w:rsidTr="00E20930">
        <w:tc>
          <w:tcPr>
            <w:tcW w:w="0" w:type="auto"/>
            <w:tcMar>
              <w:left w:w="0" w:type="dxa"/>
              <w:right w:w="0" w:type="dxa"/>
            </w:tcMar>
            <w:vAlign w:val="center"/>
          </w:tcPr>
          <w:p w14:paraId="5CFD38C1" w14:textId="77777777" w:rsidR="0081331C" w:rsidRPr="00BC31E0" w:rsidRDefault="00A51873" w:rsidP="00E20930">
            <w:pPr>
              <w:tabs>
                <w:tab w:val="left" w:pos="1418"/>
                <w:tab w:val="left" w:leader="middleDot" w:pos="8222"/>
              </w:tabs>
              <w:jc w:val="left"/>
            </w:pPr>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D</m:t>
                    </m:r>
                  </m:sub>
                </m:sSub>
                <m:r>
                  <m:rPr>
                    <m:sty m:val="p"/>
                  </m:rPr>
                  <w:rPr>
                    <w:rFonts w:ascii="Cambria Math" w:hAnsi="Cambria Math"/>
                  </w:rPr>
                  <m:t>=</m:t>
                </m:r>
                <m:r>
                  <m:rPr>
                    <m:sty m:val="bi"/>
                  </m:rPr>
                  <w:rPr>
                    <w:rFonts w:ascii="Cambria Math" w:hAnsi="Cambria Math"/>
                  </w:rPr>
                  <m:t>min</m:t>
                </m:r>
                <m:d>
                  <m:dPr>
                    <m:begChr m:val="{"/>
                    <m:endChr m:val="}"/>
                    <m:ctrlPr>
                      <w:rPr>
                        <w:rFonts w:ascii="Cambria Math" w:hAnsi="Cambria Math"/>
                      </w:rPr>
                    </m:ctrlPr>
                  </m:dPr>
                  <m:e>
                    <m:r>
                      <m:rPr>
                        <m:sty m:val="p"/>
                      </m:rPr>
                      <w:rPr>
                        <w:rFonts w:ascii="Cambria Math" w:hAnsi="Cambria Math"/>
                      </w:rPr>
                      <m:t xml:space="preserve"> 0</m:t>
                    </m:r>
                    <m:r>
                      <m:rPr>
                        <m:sty m:val="p"/>
                      </m:rPr>
                      <w:rPr>
                        <w:rFonts w:ascii="Cambria Math" w:hAnsi="Cambria Math" w:hint="eastAsia"/>
                      </w:rPr>
                      <m:t>.9</m:t>
                    </m:r>
                    <m:r>
                      <m:rPr>
                        <m:sty m:val="p"/>
                      </m:rPr>
                      <w:rPr>
                        <w:rFonts w:ascii="Cambria Math" w:hAnsi="Cambria Math"/>
                      </w:rPr>
                      <m:t xml:space="preserve">24 </m:t>
                    </m:r>
                    <m:sSub>
                      <m:sSubPr>
                        <m:ctrlPr>
                          <w:rPr>
                            <w:rFonts w:ascii="Cambria Math" w:hAnsi="Cambria Math"/>
                            <w:i/>
                          </w:rPr>
                        </m:ctrlPr>
                      </m:sSubPr>
                      <m:e>
                        <m:r>
                          <w:rPr>
                            <w:rFonts w:ascii="Cambria Math" w:hAnsi="Cambria Math"/>
                          </w:rPr>
                          <m:t>K</m:t>
                        </m:r>
                      </m:e>
                      <m:sub>
                        <m:r>
                          <w:rPr>
                            <w:rFonts w:ascii="Cambria Math" w:hAnsi="Cambria Math"/>
                          </w:rPr>
                          <m:t xml:space="preserve">ut </m:t>
                        </m:r>
                      </m:sub>
                    </m:sSub>
                    <m:sSub>
                      <m:sSubPr>
                        <m:ctrlPr>
                          <w:rPr>
                            <w:rFonts w:ascii="Cambria Math" w:hAnsi="Cambria Math"/>
                            <w:i/>
                          </w:rPr>
                        </m:ctrlPr>
                      </m:sSubPr>
                      <m:e>
                        <m:r>
                          <w:rPr>
                            <w:rFonts w:ascii="Cambria Math" w:hAnsi="Cambria Math"/>
                          </w:rPr>
                          <m:t>S</m:t>
                        </m:r>
                      </m:e>
                      <m:sub>
                        <m:r>
                          <w:rPr>
                            <w:rFonts w:ascii="Cambria Math" w:hAnsi="Cambria Math"/>
                          </w:rPr>
                          <m:t>y</m:t>
                        </m:r>
                      </m:sub>
                    </m:sSub>
                    <m:r>
                      <m:rPr>
                        <m:sty m:val="bi"/>
                      </m:rPr>
                      <w:rPr>
                        <w:rFonts w:ascii="Cambria Math" w:hAnsi="Cambria Math"/>
                      </w:rPr>
                      <m:t xml:space="preserve"> ln</m:t>
                    </m:r>
                    <m:d>
                      <m:dPr>
                        <m:ctrlPr>
                          <w:rPr>
                            <w:rFonts w:ascii="Cambria Math" w:hAnsi="Cambria Math"/>
                          </w:rPr>
                        </m:ctrlPr>
                      </m:dPr>
                      <m:e>
                        <m:r>
                          <w:rPr>
                            <w:rFonts w:ascii="Cambria Math" w:hAnsi="Cambria Math"/>
                          </w:rPr>
                          <m:t>Y</m:t>
                        </m:r>
                      </m:e>
                    </m:d>
                    <m:r>
                      <m:rPr>
                        <m:sty m:val="p"/>
                      </m:rPr>
                      <w:rPr>
                        <w:rFonts w:ascii="Cambria Math" w:hAnsi="Cambria Math" w:hint="eastAsia"/>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d>
                      <m:dPr>
                        <m:ctrlPr>
                          <w:rPr>
                            <w:rFonts w:ascii="Cambria Math" w:hAnsi="Cambria Math"/>
                          </w:rPr>
                        </m:ctrlPr>
                      </m:dPr>
                      <m:e>
                        <m:sSub>
                          <m:sSubPr>
                            <m:ctrlPr>
                              <w:rPr>
                                <w:rFonts w:ascii="Cambria Math" w:hAnsi="Cambria Math"/>
                                <w:i/>
                              </w:rPr>
                            </m:ctrlPr>
                          </m:sSubPr>
                          <m:e>
                            <m:r>
                              <w:rPr>
                                <w:rFonts w:ascii="Cambria Math" w:hAnsi="Cambria Math"/>
                              </w:rPr>
                              <m:t>S</m:t>
                            </m:r>
                          </m:e>
                          <m:sub>
                            <m:r>
                              <w:rPr>
                                <w:rFonts w:ascii="Cambria Math" w:hAnsi="Cambria Math"/>
                              </w:rPr>
                              <m:t>y</m:t>
                            </m:r>
                          </m:sub>
                        </m:sSub>
                        <m:r>
                          <m:rPr>
                            <m:sty m:val="p"/>
                          </m:rP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u</m:t>
                            </m:r>
                          </m:sub>
                        </m:sSub>
                      </m:e>
                    </m:d>
                    <m:r>
                      <m:rPr>
                        <m:sty m:val="bi"/>
                      </m:rPr>
                      <w:rPr>
                        <w:rFonts w:ascii="Cambria Math" w:hAnsi="Cambria Math"/>
                      </w:rPr>
                      <m:t>ln</m:t>
                    </m:r>
                    <m:d>
                      <m:dPr>
                        <m:ctrlPr>
                          <w:rPr>
                            <w:rFonts w:ascii="Cambria Math" w:hAnsi="Cambria Math"/>
                          </w:rPr>
                        </m:ctrlPr>
                      </m:dPr>
                      <m:e>
                        <m:r>
                          <w:rPr>
                            <w:rFonts w:ascii="Cambria Math" w:hAnsi="Cambria Math"/>
                          </w:rPr>
                          <m:t>Y</m:t>
                        </m:r>
                      </m:e>
                    </m:d>
                  </m:e>
                </m:d>
              </m:oMath>
            </m:oMathPara>
          </w:p>
        </w:tc>
        <w:tc>
          <w:tcPr>
            <w:tcW w:w="3482" w:type="dxa"/>
            <w:tcMar>
              <w:left w:w="0" w:type="dxa"/>
              <w:right w:w="0" w:type="dxa"/>
            </w:tcMar>
            <w:vAlign w:val="center"/>
          </w:tcPr>
          <w:p w14:paraId="79773913" w14:textId="77777777" w:rsidR="0081331C" w:rsidRPr="00BC31E0" w:rsidRDefault="0081331C" w:rsidP="00E20930">
            <w:pPr>
              <w:tabs>
                <w:tab w:val="left" w:leader="middleDot" w:pos="2774"/>
              </w:tabs>
              <w:jc w:val="left"/>
            </w:pPr>
            <w:r w:rsidRPr="00BC31E0">
              <w:tab/>
            </w:r>
            <w:r w:rsidRPr="00BC31E0">
              <w:rPr>
                <w:rFonts w:hint="eastAsia"/>
              </w:rPr>
              <w:t>(6.2.2)</w:t>
            </w:r>
          </w:p>
        </w:tc>
      </w:tr>
    </w:tbl>
    <w:p w14:paraId="3215F1E0" w14:textId="77777777" w:rsidR="0081331C" w:rsidRPr="00BC31E0" w:rsidRDefault="0081331C" w:rsidP="0081331C">
      <w:pPr>
        <w:spacing w:before="120"/>
        <w:ind w:left="737"/>
      </w:pPr>
      <w:r w:rsidRPr="00BC31E0">
        <w:rPr>
          <w:rFonts w:hint="eastAsia"/>
        </w:rPr>
        <w:t>ここで，</w:t>
      </w:r>
    </w:p>
    <w:p w14:paraId="0EECDAD8" w14:textId="77777777" w:rsidR="0081331C" w:rsidRPr="00BC31E0" w:rsidRDefault="0081331C" w:rsidP="0081331C">
      <w:pPr>
        <w:tabs>
          <w:tab w:val="left" w:pos="1560"/>
        </w:tabs>
        <w:ind w:left="1134"/>
      </w:pPr>
      <m:oMath>
        <m:r>
          <w:rPr>
            <w:rFonts w:ascii="Cambria Math" w:hAnsi="Cambria Math"/>
          </w:rPr>
          <m:t>Y</m:t>
        </m:r>
      </m:oMath>
      <w:r w:rsidRPr="00BC31E0">
        <w:rPr>
          <w:rFonts w:hint="eastAsia"/>
        </w:rPr>
        <w:tab/>
      </w:r>
      <w:r w:rsidRPr="00BC31E0">
        <w:rPr>
          <w:rFonts w:hint="eastAsia"/>
        </w:rPr>
        <w:t>：</w:t>
      </w:r>
      <w:r w:rsidRPr="00BC31E0">
        <w:rPr>
          <w:rFonts w:hint="eastAsia"/>
        </w:rPr>
        <w:t xml:space="preserve"> </w:t>
      </w:r>
      <w:r w:rsidRPr="00BC31E0">
        <w:rPr>
          <w:rFonts w:hint="eastAsia"/>
        </w:rPr>
        <w:t>内外径比</w:t>
      </w:r>
      <m:oMath>
        <m:r>
          <m:rPr>
            <m:sty m:val="p"/>
          </m:rPr>
          <w:rPr>
            <w:rFonts w:ascii="Cambria Math" w:hAnsi="Cambria Math"/>
          </w:rPr>
          <m:t xml:space="preserve"> </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hint="eastAsia"/>
                      </w:rPr>
                      <m:t>D</m:t>
                    </m:r>
                  </m:e>
                  <m:sub>
                    <m:r>
                      <w:rPr>
                        <w:rFonts w:ascii="Cambria Math" w:hAnsi="Cambria Math"/>
                      </w:rPr>
                      <m:t>O</m:t>
                    </m:r>
                  </m:sub>
                </m:sSub>
              </m:num>
              <m:den>
                <m:sSub>
                  <m:sSubPr>
                    <m:ctrlPr>
                      <w:rPr>
                        <w:rFonts w:ascii="Cambria Math" w:hAnsi="Cambria Math"/>
                        <w:i/>
                      </w:rPr>
                    </m:ctrlPr>
                  </m:sSubPr>
                  <m:e>
                    <m:r>
                      <w:rPr>
                        <w:rFonts w:ascii="Cambria Math" w:hAnsi="Cambria Math"/>
                      </w:rPr>
                      <m:t>D</m:t>
                    </m:r>
                  </m:e>
                  <m:sub>
                    <m:r>
                      <w:rPr>
                        <w:rFonts w:ascii="Cambria Math" w:hAnsi="Cambria Math"/>
                      </w:rPr>
                      <m:t>I</m:t>
                    </m:r>
                  </m:sub>
                </m:sSub>
              </m:den>
            </m:f>
          </m:e>
        </m:d>
      </m:oMath>
    </w:p>
    <w:p w14:paraId="2F945A59" w14:textId="77777777" w:rsidR="0081331C" w:rsidRPr="00BC31E0" w:rsidRDefault="00A51873" w:rsidP="0081331C">
      <w:pPr>
        <w:tabs>
          <w:tab w:val="left" w:pos="1560"/>
        </w:tabs>
        <w:snapToGrid w:val="0"/>
        <w:spacing w:line="360" w:lineRule="exact"/>
        <w:ind w:left="1134"/>
        <w:textAlignment w:val="center"/>
      </w:pPr>
      <m:oMath>
        <m:sSub>
          <m:sSubPr>
            <m:ctrlPr>
              <w:rPr>
                <w:rFonts w:ascii="Cambria Math" w:hAnsi="Cambria Math"/>
                <w:i/>
              </w:rPr>
            </m:ctrlPr>
          </m:sSubPr>
          <m:e>
            <m:r>
              <w:rPr>
                <w:rFonts w:ascii="Cambria Math" w:hAnsi="Cambria Math"/>
              </w:rPr>
              <m:t>S</m:t>
            </m:r>
          </m:e>
          <m:sub>
            <m:r>
              <w:rPr>
                <w:rFonts w:ascii="Cambria Math" w:hAnsi="Cambria Math"/>
              </w:rPr>
              <m:t>y</m:t>
            </m:r>
          </m:sub>
        </m:sSub>
      </m:oMath>
      <w:r w:rsidR="0081331C" w:rsidRPr="00BC31E0">
        <w:rPr>
          <w:rFonts w:hint="eastAsia"/>
        </w:rPr>
        <w:tab/>
      </w:r>
      <w:r w:rsidR="0081331C" w:rsidRPr="00BC31E0">
        <w:rPr>
          <w:rFonts w:hint="eastAsia"/>
        </w:rPr>
        <w:t>：</w:t>
      </w:r>
      <w:r w:rsidR="0081331C" w:rsidRPr="00BC31E0">
        <w:rPr>
          <w:rFonts w:hint="eastAsia"/>
        </w:rPr>
        <w:t xml:space="preserve"> </w:t>
      </w:r>
      <w:r w:rsidR="0081331C" w:rsidRPr="00BC31E0">
        <w:rPr>
          <w:rFonts w:hint="eastAsia"/>
        </w:rPr>
        <w:t>設計温度における降伏強さ</w:t>
      </w:r>
      <w:r w:rsidR="0081331C" w:rsidRPr="00BC31E0">
        <w:rPr>
          <w:rFonts w:hint="eastAsia"/>
        </w:rPr>
        <w:t>(MPa)</w:t>
      </w:r>
    </w:p>
    <w:p w14:paraId="695AE5EA" w14:textId="77777777" w:rsidR="0081331C" w:rsidRPr="00BC31E0" w:rsidRDefault="00A51873" w:rsidP="0081331C">
      <w:pPr>
        <w:tabs>
          <w:tab w:val="left" w:pos="1560"/>
        </w:tabs>
        <w:snapToGrid w:val="0"/>
        <w:spacing w:line="360" w:lineRule="exact"/>
        <w:ind w:left="1134"/>
        <w:textAlignment w:val="center"/>
      </w:pPr>
      <m:oMath>
        <m:sSub>
          <m:sSubPr>
            <m:ctrlPr>
              <w:rPr>
                <w:rFonts w:ascii="Cambria Math" w:hAnsi="Cambria Math"/>
                <w:i/>
              </w:rPr>
            </m:ctrlPr>
          </m:sSubPr>
          <m:e>
            <m:r>
              <w:rPr>
                <w:rFonts w:ascii="Cambria Math" w:hAnsi="Cambria Math"/>
              </w:rPr>
              <m:t>S</m:t>
            </m:r>
          </m:e>
          <m:sub>
            <m:r>
              <w:rPr>
                <w:rFonts w:ascii="Cambria Math" w:hAnsi="Cambria Math"/>
              </w:rPr>
              <m:t>u</m:t>
            </m:r>
          </m:sub>
        </m:sSub>
      </m:oMath>
      <w:r w:rsidR="0081331C" w:rsidRPr="00BC31E0">
        <w:rPr>
          <w:rFonts w:hint="eastAsia"/>
        </w:rPr>
        <w:tab/>
      </w:r>
      <w:r w:rsidR="0081331C" w:rsidRPr="00BC31E0">
        <w:rPr>
          <w:rFonts w:hint="eastAsia"/>
        </w:rPr>
        <w:t>：</w:t>
      </w:r>
      <w:r w:rsidR="0081331C" w:rsidRPr="00BC31E0">
        <w:rPr>
          <w:rFonts w:hint="eastAsia"/>
        </w:rPr>
        <w:t xml:space="preserve"> </w:t>
      </w:r>
      <w:r w:rsidR="0081331C" w:rsidRPr="00BC31E0">
        <w:rPr>
          <w:rFonts w:hint="eastAsia"/>
        </w:rPr>
        <w:t>設計温度における引張強さ，引張強さが規定されていない場合には降伏強さ</w:t>
      </w:r>
    </w:p>
    <w:p w14:paraId="5F333D30" w14:textId="77777777" w:rsidR="0081331C" w:rsidRPr="00BC31E0" w:rsidRDefault="0081331C" w:rsidP="0081331C">
      <w:pPr>
        <w:tabs>
          <w:tab w:val="left" w:pos="1560"/>
        </w:tabs>
        <w:snapToGrid w:val="0"/>
        <w:spacing w:line="360" w:lineRule="exact"/>
        <w:ind w:left="1900"/>
        <w:textAlignment w:val="center"/>
      </w:pPr>
      <w:r w:rsidRPr="00BC31E0">
        <w:rPr>
          <w:rFonts w:hint="eastAsia"/>
        </w:rPr>
        <w:t>を用いてもよい</w:t>
      </w:r>
      <w:r w:rsidR="00100495" w:rsidRPr="00BC31E0">
        <w:rPr>
          <w:rFonts w:hint="eastAsia"/>
        </w:rPr>
        <w:t>。</w:t>
      </w:r>
      <w:r w:rsidRPr="00BC31E0">
        <w:rPr>
          <w:rFonts w:hint="eastAsia"/>
        </w:rPr>
        <w:t xml:space="preserve">(MPa) </w:t>
      </w:r>
    </w:p>
    <w:p w14:paraId="4BBF4BF4" w14:textId="77777777" w:rsidR="0081331C" w:rsidRPr="00BC31E0" w:rsidRDefault="00A51873" w:rsidP="0081331C">
      <w:pPr>
        <w:tabs>
          <w:tab w:val="left" w:pos="1560"/>
        </w:tabs>
        <w:snapToGrid w:val="0"/>
        <w:spacing w:line="360" w:lineRule="exact"/>
        <w:ind w:left="1134"/>
        <w:textAlignment w:val="center"/>
      </w:pPr>
      <m:oMath>
        <m:sSub>
          <m:sSubPr>
            <m:ctrlPr>
              <w:rPr>
                <w:rFonts w:ascii="Cambria Math" w:hAnsi="Cambria Math"/>
                <w:i/>
              </w:rPr>
            </m:ctrlPr>
          </m:sSubPr>
          <m:e>
            <m:r>
              <w:rPr>
                <w:rFonts w:ascii="Cambria Math" w:hAnsi="Cambria Math"/>
              </w:rPr>
              <m:t>K</m:t>
            </m:r>
          </m:e>
          <m:sub>
            <m:r>
              <w:rPr>
                <w:rFonts w:ascii="Cambria Math" w:hAnsi="Cambria Math"/>
              </w:rPr>
              <m:t>ut</m:t>
            </m:r>
          </m:sub>
        </m:sSub>
      </m:oMath>
      <w:r w:rsidR="0081331C" w:rsidRPr="00BC31E0">
        <w:rPr>
          <w:rFonts w:hint="eastAsia"/>
        </w:rPr>
        <w:tab/>
      </w:r>
      <w:r w:rsidR="0081331C" w:rsidRPr="00BC31E0">
        <w:rPr>
          <w:rFonts w:hint="eastAsia"/>
        </w:rPr>
        <w:t>：</w:t>
      </w:r>
      <w:r w:rsidR="0081331C" w:rsidRPr="00BC31E0">
        <w:rPr>
          <w:rFonts w:hint="eastAsia"/>
        </w:rPr>
        <w:t xml:space="preserve"> </w:t>
      </w:r>
      <w:r w:rsidR="0081331C" w:rsidRPr="00BC31E0">
        <w:rPr>
          <w:rFonts w:hint="eastAsia"/>
        </w:rPr>
        <w:t>耐圧試験の上限圧力に関する係数</w:t>
      </w:r>
      <w:r w:rsidR="0081331C" w:rsidRPr="00BC31E0">
        <w:rPr>
          <w:rFonts w:hint="eastAsia"/>
        </w:rPr>
        <w:t>[</w:t>
      </w:r>
      <w:r w:rsidR="0081331C" w:rsidRPr="00BC31E0">
        <w:rPr>
          <w:rFonts w:asciiTheme="majorEastAsia" w:eastAsiaTheme="majorEastAsia" w:hAnsiTheme="majorEastAsia" w:hint="eastAsia"/>
          <w:b/>
        </w:rPr>
        <w:t>10.3.2 b)</w:t>
      </w:r>
      <w:r w:rsidR="0081331C" w:rsidRPr="00BC31E0">
        <w:rPr>
          <w:rFonts w:asciiTheme="minorEastAsia" w:eastAsiaTheme="minorEastAsia" w:hAnsiTheme="minorEastAsia" w:hint="eastAsia"/>
        </w:rPr>
        <w:t>を参照</w:t>
      </w:r>
      <w:r w:rsidR="0081331C" w:rsidRPr="00BC31E0">
        <w:rPr>
          <w:rFonts w:hint="eastAsia"/>
        </w:rPr>
        <w:t>]</w:t>
      </w:r>
    </w:p>
    <w:p w14:paraId="04D1B09A" w14:textId="77777777" w:rsidR="0081331C" w:rsidRPr="00BC31E0" w:rsidRDefault="0081331C" w:rsidP="00736130">
      <w:pPr>
        <w:pStyle w:val="a4"/>
        <w:numPr>
          <w:ilvl w:val="0"/>
          <w:numId w:val="100"/>
        </w:numPr>
        <w:spacing w:before="120"/>
        <w:ind w:leftChars="0" w:left="738" w:hanging="454"/>
        <w:rPr>
          <w:rFonts w:asciiTheme="majorEastAsia" w:eastAsiaTheme="majorEastAsia" w:hAnsiTheme="majorEastAsia"/>
          <w:b/>
        </w:rPr>
      </w:pPr>
      <w:r w:rsidRPr="00BC31E0">
        <w:rPr>
          <w:rFonts w:asciiTheme="majorEastAsia" w:eastAsiaTheme="majorEastAsia" w:hAnsiTheme="majorEastAsia" w:hint="eastAsia"/>
          <w:b/>
        </w:rPr>
        <w:t>多層円筒胴</w:t>
      </w:r>
    </w:p>
    <w:p w14:paraId="7B70B911" w14:textId="77777777" w:rsidR="0081331C" w:rsidRPr="00BC31E0" w:rsidRDefault="0081331C" w:rsidP="0081331C">
      <w:pPr>
        <w:ind w:left="737"/>
      </w:pPr>
      <w:r w:rsidRPr="00BC31E0">
        <w:rPr>
          <w:rFonts w:hint="eastAsia"/>
        </w:rPr>
        <w:t>開放端</w:t>
      </w:r>
      <w:r w:rsidRPr="00BC31E0">
        <w:rPr>
          <w:rFonts w:hint="eastAsia"/>
        </w:rPr>
        <w:t>(</w:t>
      </w:r>
      <m:oMath>
        <m:r>
          <w:rPr>
            <w:rFonts w:ascii="Cambria Math" w:hAnsi="Cambria Math" w:hint="eastAsia"/>
          </w:rPr>
          <m:t>Y</m:t>
        </m:r>
        <m:r>
          <m:rPr>
            <m:sty m:val="p"/>
          </m:rPr>
          <w:rPr>
            <w:rFonts w:ascii="Cambria Math" w:hAnsi="Cambria Math"/>
          </w:rPr>
          <m:t>≦</m:t>
        </m:r>
        <m:r>
          <m:rPr>
            <m:sty m:val="p"/>
          </m:rPr>
          <w:rPr>
            <w:rFonts w:ascii="Cambria Math" w:hAnsi="Cambria Math" w:hint="eastAsia"/>
          </w:rPr>
          <m:t>2.85</m:t>
        </m:r>
      </m:oMath>
      <w:r w:rsidRPr="00BC31E0">
        <w:rPr>
          <w:rFonts w:hint="eastAsia"/>
        </w:rPr>
        <w:t>)</w:t>
      </w:r>
    </w:p>
    <w:tbl>
      <w:tblPr>
        <w:tblStyle w:val="afff2"/>
        <w:tblW w:w="8079"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5"/>
        <w:gridCol w:w="904"/>
      </w:tblGrid>
      <w:tr w:rsidR="0081331C" w:rsidRPr="00BC31E0" w14:paraId="5540152B" w14:textId="77777777" w:rsidTr="00E20930">
        <w:tc>
          <w:tcPr>
            <w:tcW w:w="0" w:type="auto"/>
            <w:tcMar>
              <w:left w:w="0" w:type="dxa"/>
              <w:right w:w="0" w:type="dxa"/>
            </w:tcMar>
            <w:vAlign w:val="center"/>
          </w:tcPr>
          <w:p w14:paraId="2E78B910" w14:textId="77777777" w:rsidR="0081331C" w:rsidRPr="00BC31E0" w:rsidRDefault="00A51873" w:rsidP="00E20930">
            <w:pPr>
              <w:tabs>
                <w:tab w:val="left" w:pos="1418"/>
                <w:tab w:val="left" w:leader="middleDot" w:pos="8222"/>
              </w:tabs>
              <w:jc w:val="left"/>
            </w:pPr>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D</m:t>
                    </m:r>
                  </m:sub>
                </m:sSub>
                <m:r>
                  <m:rPr>
                    <m:sty m:val="p"/>
                  </m:rPr>
                  <w:rPr>
                    <w:rFonts w:ascii="Cambria Math" w:hAnsi="Cambria Math"/>
                  </w:rPr>
                  <m:t>=</m:t>
                </m:r>
                <m:r>
                  <m:rPr>
                    <m:sty m:val="bi"/>
                  </m:rPr>
                  <w:rPr>
                    <w:rFonts w:ascii="Cambria Math" w:hAnsi="Cambria Math"/>
                  </w:rPr>
                  <m:t>min</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n</m:t>
                        </m:r>
                      </m:sup>
                      <m:e>
                        <m:r>
                          <m:rPr>
                            <m:sty m:val="p"/>
                          </m:rPr>
                          <w:rPr>
                            <w:rFonts w:ascii="Cambria Math" w:hAnsi="Cambria Math" w:hint="eastAsia"/>
                          </w:rPr>
                          <m:t>2.986</m:t>
                        </m:r>
                        <m:r>
                          <m:rPr>
                            <m:sty m:val="p"/>
                          </m:rP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 xml:space="preserve">utj </m:t>
                            </m:r>
                          </m:sub>
                        </m:sSub>
                        <m:sSub>
                          <m:sSubPr>
                            <m:ctrlPr>
                              <w:rPr>
                                <w:rFonts w:ascii="Cambria Math" w:hAnsi="Cambria Math"/>
                                <w:i/>
                              </w:rPr>
                            </m:ctrlPr>
                          </m:sSubPr>
                          <m:e>
                            <m:r>
                              <w:rPr>
                                <w:rFonts w:ascii="Cambria Math" w:hAnsi="Cambria Math"/>
                              </w:rPr>
                              <m:t>S</m:t>
                            </m:r>
                          </m:e>
                          <m:sub>
                            <m:r>
                              <w:rPr>
                                <w:rFonts w:ascii="Cambria Math" w:hAnsi="Cambria Math"/>
                              </w:rPr>
                              <m:t>yj</m:t>
                            </m:r>
                          </m:sub>
                        </m:sSub>
                        <m:d>
                          <m:dPr>
                            <m:ctrlPr>
                              <w:rPr>
                                <w:rFonts w:ascii="Cambria Math" w:hAnsi="Cambria Math"/>
                              </w:rPr>
                            </m:ctrlPr>
                          </m:dPr>
                          <m:e>
                            <m:sSup>
                              <m:sSupPr>
                                <m:ctrlPr>
                                  <w:rPr>
                                    <w:rFonts w:ascii="Cambria Math" w:hAnsi="Cambria Math"/>
                                  </w:rPr>
                                </m:ctrlPr>
                              </m:sSupPr>
                              <m:e>
                                <m:sSub>
                                  <m:sSubPr>
                                    <m:ctrlPr>
                                      <w:rPr>
                                        <w:rFonts w:ascii="Cambria Math" w:hAnsi="Cambria Math"/>
                                        <w:i/>
                                      </w:rPr>
                                    </m:ctrlPr>
                                  </m:sSubPr>
                                  <m:e>
                                    <m:r>
                                      <w:rPr>
                                        <w:rFonts w:ascii="Cambria Math" w:hAnsi="Cambria Math"/>
                                      </w:rPr>
                                      <m:t>Y</m:t>
                                    </m:r>
                                  </m:e>
                                  <m:sub>
                                    <m:r>
                                      <w:rPr>
                                        <w:rFonts w:ascii="Cambria Math" w:hAnsi="Cambria Math"/>
                                      </w:rPr>
                                      <m:t>j</m:t>
                                    </m:r>
                                  </m:sub>
                                </m:sSub>
                              </m:e>
                              <m:sup>
                                <m:r>
                                  <m:rPr>
                                    <m:sty m:val="p"/>
                                  </m:rPr>
                                  <w:rPr>
                                    <w:rFonts w:ascii="Cambria Math" w:hAnsi="Cambria Math"/>
                                  </w:rPr>
                                  <m:t>0.268</m:t>
                                </m:r>
                              </m:sup>
                            </m:sSup>
                            <m:r>
                              <m:rPr>
                                <m:sty m:val="p"/>
                              </m:rPr>
                              <w:rPr>
                                <w:rFonts w:ascii="Cambria Math" w:hAnsi="Cambria Math"/>
                              </w:rPr>
                              <m:t>-1</m:t>
                            </m:r>
                          </m:e>
                        </m:d>
                      </m:e>
                    </m:nary>
                    <m:r>
                      <m:rPr>
                        <m:sty m:val="p"/>
                      </m:rPr>
                      <w:rPr>
                        <w:rFonts w:ascii="Cambria Math" w:hAnsi="Cambria Math" w:hint="eastAsia"/>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n</m:t>
                        </m:r>
                      </m:sup>
                      <m:e>
                        <m:r>
                          <m:rPr>
                            <m:sty m:val="p"/>
                          </m:rPr>
                          <w:rPr>
                            <w:rFonts w:ascii="Cambria Math" w:hAnsi="Cambria Math"/>
                          </w:rPr>
                          <m:t>1.0773</m:t>
                        </m:r>
                        <m:d>
                          <m:dPr>
                            <m:ctrlPr>
                              <w:rPr>
                                <w:rFonts w:ascii="Cambria Math" w:hAnsi="Cambria Math"/>
                              </w:rPr>
                            </m:ctrlPr>
                          </m:dPr>
                          <m:e>
                            <m:sSub>
                              <m:sSubPr>
                                <m:ctrlPr>
                                  <w:rPr>
                                    <w:rFonts w:ascii="Cambria Math" w:hAnsi="Cambria Math"/>
                                    <w:i/>
                                  </w:rPr>
                                </m:ctrlPr>
                              </m:sSubPr>
                              <m:e>
                                <m:r>
                                  <w:rPr>
                                    <w:rFonts w:ascii="Cambria Math" w:hAnsi="Cambria Math"/>
                                  </w:rPr>
                                  <m:t>S</m:t>
                                </m:r>
                              </m:e>
                              <m:sub>
                                <m:r>
                                  <w:rPr>
                                    <w:rFonts w:ascii="Cambria Math" w:hAnsi="Cambria Math"/>
                                  </w:rPr>
                                  <m:t>yj</m:t>
                                </m:r>
                              </m:sub>
                            </m:sSub>
                            <m:r>
                              <m:rPr>
                                <m:sty m:val="p"/>
                              </m:rP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uj</m:t>
                                </m:r>
                              </m:sub>
                            </m:sSub>
                          </m:e>
                        </m:d>
                        <m:d>
                          <m:dPr>
                            <m:ctrlPr>
                              <w:rPr>
                                <w:rFonts w:ascii="Cambria Math" w:hAnsi="Cambria Math"/>
                              </w:rPr>
                            </m:ctrlPr>
                          </m:dPr>
                          <m:e>
                            <m:sSup>
                              <m:sSupPr>
                                <m:ctrlPr>
                                  <w:rPr>
                                    <w:rFonts w:ascii="Cambria Math" w:hAnsi="Cambria Math"/>
                                  </w:rPr>
                                </m:ctrlPr>
                              </m:sSupPr>
                              <m:e>
                                <m:sSub>
                                  <m:sSubPr>
                                    <m:ctrlPr>
                                      <w:rPr>
                                        <w:rFonts w:ascii="Cambria Math" w:hAnsi="Cambria Math"/>
                                        <w:i/>
                                      </w:rPr>
                                    </m:ctrlPr>
                                  </m:sSubPr>
                                  <m:e>
                                    <m:r>
                                      <w:rPr>
                                        <w:rFonts w:ascii="Cambria Math" w:hAnsi="Cambria Math"/>
                                      </w:rPr>
                                      <m:t>Y</m:t>
                                    </m:r>
                                  </m:e>
                                  <m:sub>
                                    <m:r>
                                      <w:rPr>
                                        <w:rFonts w:ascii="Cambria Math" w:hAnsi="Cambria Math"/>
                                      </w:rPr>
                                      <m:t>j</m:t>
                                    </m:r>
                                  </m:sub>
                                </m:sSub>
                              </m:e>
                              <m:sup>
                                <m:r>
                                  <m:rPr>
                                    <m:sty m:val="p"/>
                                  </m:rPr>
                                  <w:rPr>
                                    <w:rFonts w:ascii="Cambria Math" w:hAnsi="Cambria Math"/>
                                  </w:rPr>
                                  <m:t>0.268</m:t>
                                </m:r>
                              </m:sup>
                            </m:sSup>
                            <m:r>
                              <m:rPr>
                                <m:sty m:val="p"/>
                              </m:rPr>
                              <w:rPr>
                                <w:rFonts w:ascii="Cambria Math" w:hAnsi="Cambria Math"/>
                              </w:rPr>
                              <m:t>-1</m:t>
                            </m:r>
                          </m:e>
                        </m:d>
                      </m:e>
                    </m:nary>
                  </m:e>
                </m:d>
              </m:oMath>
            </m:oMathPara>
          </w:p>
        </w:tc>
        <w:tc>
          <w:tcPr>
            <w:tcW w:w="904" w:type="dxa"/>
            <w:tcMar>
              <w:left w:w="0" w:type="dxa"/>
              <w:right w:w="0" w:type="dxa"/>
            </w:tcMar>
            <w:vAlign w:val="center"/>
          </w:tcPr>
          <w:p w14:paraId="68606643" w14:textId="77777777" w:rsidR="0081331C" w:rsidRPr="00BC31E0" w:rsidRDefault="0081331C" w:rsidP="00E20930">
            <w:pPr>
              <w:tabs>
                <w:tab w:val="left" w:leader="middleDot" w:pos="196"/>
              </w:tabs>
              <w:jc w:val="left"/>
            </w:pPr>
            <w:r w:rsidRPr="00BC31E0">
              <w:tab/>
            </w:r>
            <w:r w:rsidRPr="00BC31E0">
              <w:rPr>
                <w:rFonts w:hint="eastAsia"/>
              </w:rPr>
              <w:t>(6.2.3)</w:t>
            </w:r>
          </w:p>
        </w:tc>
      </w:tr>
    </w:tbl>
    <w:p w14:paraId="167903FE" w14:textId="77777777" w:rsidR="0081331C" w:rsidRPr="00BC31E0" w:rsidRDefault="00215E5C" w:rsidP="00FC73A4">
      <w:pPr>
        <w:spacing w:before="120" w:after="120"/>
        <w:ind w:left="737"/>
      </w:pPr>
      <w:r w:rsidRPr="00BC31E0">
        <w:rPr>
          <w:rFonts w:hint="eastAsia"/>
        </w:rPr>
        <w:t>開放端</w:t>
      </w:r>
      <w:r w:rsidRPr="00BC31E0">
        <w:rPr>
          <w:rFonts w:hint="eastAsia"/>
        </w:rPr>
        <w:t>(</w:t>
      </w:r>
      <m:oMath>
        <m:r>
          <w:rPr>
            <w:rFonts w:ascii="Cambria Math" w:hAnsi="Cambria Math"/>
          </w:rPr>
          <m:t>Y</m:t>
        </m:r>
        <m:r>
          <m:rPr>
            <m:sty m:val="p"/>
          </m:rPr>
          <w:rPr>
            <w:rFonts w:ascii="Cambria Math" w:hAnsi="Cambria Math"/>
          </w:rPr>
          <m:t>&gt;</m:t>
        </m:r>
        <m:r>
          <w:rPr>
            <w:rFonts w:ascii="Cambria Math" w:hAnsi="Cambria Math"/>
          </w:rPr>
          <m:t>2.85</m:t>
        </m:r>
      </m:oMath>
      <w:r w:rsidRPr="00BC31E0">
        <w:rPr>
          <w:rFonts w:hint="eastAsia"/>
        </w:rPr>
        <w:t>)</w:t>
      </w:r>
      <w:r w:rsidRPr="00BC31E0">
        <w:rPr>
          <w:rFonts w:hint="eastAsia"/>
        </w:rPr>
        <w:t>及び</w:t>
      </w:r>
      <w:r w:rsidR="0081331C" w:rsidRPr="00BC31E0">
        <w:rPr>
          <w:rFonts w:hint="eastAsia"/>
        </w:rPr>
        <w:t>閉止端</w:t>
      </w:r>
    </w:p>
    <w:tbl>
      <w:tblPr>
        <w:tblStyle w:val="afff2"/>
        <w:tblW w:w="8079"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2267"/>
      </w:tblGrid>
      <w:tr w:rsidR="0081331C" w:rsidRPr="00BC31E0" w14:paraId="38226993" w14:textId="77777777" w:rsidTr="00E20930">
        <w:tc>
          <w:tcPr>
            <w:tcW w:w="0" w:type="auto"/>
            <w:tcMar>
              <w:left w:w="0" w:type="dxa"/>
              <w:right w:w="0" w:type="dxa"/>
            </w:tcMar>
            <w:vAlign w:val="center"/>
          </w:tcPr>
          <w:p w14:paraId="3B9AD3EE" w14:textId="77777777" w:rsidR="0081331C" w:rsidRPr="00BC31E0" w:rsidRDefault="00A51873" w:rsidP="002745E2">
            <w:pPr>
              <w:tabs>
                <w:tab w:val="left" w:pos="1418"/>
                <w:tab w:val="left" w:leader="middleDot" w:pos="8222"/>
              </w:tabs>
              <w:jc w:val="left"/>
            </w:pPr>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D</m:t>
                    </m:r>
                  </m:sub>
                </m:sSub>
                <m:r>
                  <m:rPr>
                    <m:sty m:val="p"/>
                  </m:rPr>
                  <w:rPr>
                    <w:rFonts w:ascii="Cambria Math" w:hAnsi="Cambria Math"/>
                  </w:rPr>
                  <m:t>=</m:t>
                </m:r>
                <m:r>
                  <m:rPr>
                    <m:sty m:val="bi"/>
                  </m:rPr>
                  <w:rPr>
                    <w:rFonts w:ascii="Cambria Math" w:hAnsi="Cambria Math"/>
                  </w:rPr>
                  <m:t>min</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n</m:t>
                        </m:r>
                      </m:sup>
                      <m:e>
                        <m:r>
                          <m:rPr>
                            <m:sty m:val="p"/>
                          </m:rPr>
                          <w:rPr>
                            <w:rFonts w:ascii="Cambria Math" w:hAnsi="Cambria Math"/>
                          </w:rPr>
                          <m:t>0</m:t>
                        </m:r>
                        <m:r>
                          <m:rPr>
                            <m:sty m:val="p"/>
                          </m:rPr>
                          <w:rPr>
                            <w:rFonts w:ascii="Cambria Math" w:hAnsi="Cambria Math" w:hint="eastAsia"/>
                          </w:rPr>
                          <m:t>.9</m:t>
                        </m:r>
                        <m:r>
                          <m:rPr>
                            <m:sty m:val="p"/>
                          </m:rPr>
                          <w:rPr>
                            <w:rFonts w:ascii="Cambria Math" w:hAnsi="Cambria Math"/>
                          </w:rPr>
                          <m:t xml:space="preserve">24 </m:t>
                        </m:r>
                        <m:sSub>
                          <m:sSubPr>
                            <m:ctrlPr>
                              <w:rPr>
                                <w:rFonts w:ascii="Cambria Math" w:hAnsi="Cambria Math"/>
                                <w:i/>
                              </w:rPr>
                            </m:ctrlPr>
                          </m:sSubPr>
                          <m:e>
                            <m:r>
                              <w:rPr>
                                <w:rFonts w:ascii="Cambria Math" w:hAnsi="Cambria Math"/>
                              </w:rPr>
                              <m:t>K</m:t>
                            </m:r>
                          </m:e>
                          <m:sub>
                            <m:r>
                              <w:rPr>
                                <w:rFonts w:ascii="Cambria Math" w:hAnsi="Cambria Math"/>
                              </w:rPr>
                              <m:t xml:space="preserve">utj </m:t>
                            </m:r>
                          </m:sub>
                        </m:sSub>
                        <m:sSub>
                          <m:sSubPr>
                            <m:ctrlPr>
                              <w:rPr>
                                <w:rFonts w:ascii="Cambria Math" w:hAnsi="Cambria Math"/>
                                <w:i/>
                              </w:rPr>
                            </m:ctrlPr>
                          </m:sSubPr>
                          <m:e>
                            <m:r>
                              <w:rPr>
                                <w:rFonts w:ascii="Cambria Math" w:hAnsi="Cambria Math"/>
                              </w:rPr>
                              <m:t>S</m:t>
                            </m:r>
                          </m:e>
                          <m:sub>
                            <m:r>
                              <w:rPr>
                                <w:rFonts w:ascii="Cambria Math" w:hAnsi="Cambria Math"/>
                              </w:rPr>
                              <m:t>yj</m:t>
                            </m:r>
                          </m:sub>
                        </m:sSub>
                        <m:r>
                          <m:rPr>
                            <m:sty m:val="bi"/>
                          </m:rPr>
                          <w:rPr>
                            <w:rFonts w:ascii="Cambria Math" w:hAnsi="Cambria Math"/>
                          </w:rPr>
                          <m:t xml:space="preserve"> ln</m:t>
                        </m:r>
                        <m:d>
                          <m:dPr>
                            <m:ctrlPr>
                              <w:rPr>
                                <w:rFonts w:ascii="Cambria Math" w:hAnsi="Cambria Math"/>
                              </w:rPr>
                            </m:ctrlPr>
                          </m:dPr>
                          <m:e>
                            <m:sSub>
                              <m:sSubPr>
                                <m:ctrlPr>
                                  <w:rPr>
                                    <w:rFonts w:ascii="Cambria Math" w:hAnsi="Cambria Math"/>
                                    <w:i/>
                                  </w:rPr>
                                </m:ctrlPr>
                              </m:sSubPr>
                              <m:e>
                                <m:r>
                                  <w:rPr>
                                    <w:rFonts w:ascii="Cambria Math" w:hAnsi="Cambria Math"/>
                                  </w:rPr>
                                  <m:t>Y</m:t>
                                </m:r>
                              </m:e>
                              <m:sub>
                                <m:r>
                                  <w:rPr>
                                    <w:rFonts w:ascii="Cambria Math" w:hAnsi="Cambria Math"/>
                                  </w:rPr>
                                  <m:t>j</m:t>
                                </m:r>
                              </m:sub>
                            </m:sSub>
                          </m:e>
                        </m:d>
                      </m:e>
                    </m:nary>
                    <m:r>
                      <m:rPr>
                        <m:sty m:val="p"/>
                      </m:rPr>
                      <w:rPr>
                        <w:rFonts w:ascii="Cambria Math" w:hAnsi="Cambria Math" w:hint="eastAsia"/>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m:rPr>
                            <m:sty m:val="p"/>
                          </m:rPr>
                          <w:rPr>
                            <w:rFonts w:ascii="Cambria Math" w:hAnsi="Cambria Math"/>
                          </w:rPr>
                          <m:t>n</m:t>
                        </m:r>
                      </m:sup>
                      <m:e>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d>
                          <m:dPr>
                            <m:ctrlPr>
                              <w:rPr>
                                <w:rFonts w:ascii="Cambria Math" w:hAnsi="Cambria Math"/>
                              </w:rPr>
                            </m:ctrlPr>
                          </m:dPr>
                          <m:e>
                            <m:sSub>
                              <m:sSubPr>
                                <m:ctrlPr>
                                  <w:rPr>
                                    <w:rFonts w:ascii="Cambria Math" w:hAnsi="Cambria Math"/>
                                    <w:i/>
                                  </w:rPr>
                                </m:ctrlPr>
                              </m:sSubPr>
                              <m:e>
                                <m:r>
                                  <w:rPr>
                                    <w:rFonts w:ascii="Cambria Math" w:hAnsi="Cambria Math"/>
                                  </w:rPr>
                                  <m:t>S</m:t>
                                </m:r>
                              </m:e>
                              <m:sub>
                                <m:r>
                                  <w:rPr>
                                    <w:rFonts w:ascii="Cambria Math" w:hAnsi="Cambria Math"/>
                                  </w:rPr>
                                  <m:t>yj</m:t>
                                </m:r>
                              </m:sub>
                            </m:sSub>
                            <m:r>
                              <m:rPr>
                                <m:sty m:val="p"/>
                              </m:rP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uj</m:t>
                                </m:r>
                              </m:sub>
                            </m:sSub>
                          </m:e>
                        </m:d>
                        <m:r>
                          <m:rPr>
                            <m:sty m:val="bi"/>
                          </m:rPr>
                          <w:rPr>
                            <w:rFonts w:ascii="Cambria Math" w:hAnsi="Cambria Math"/>
                          </w:rPr>
                          <m:t>ln</m:t>
                        </m:r>
                        <m:d>
                          <m:dPr>
                            <m:ctrlPr>
                              <w:rPr>
                                <w:rFonts w:ascii="Cambria Math" w:hAnsi="Cambria Math"/>
                              </w:rPr>
                            </m:ctrlPr>
                          </m:dPr>
                          <m:e>
                            <m:sSub>
                              <m:sSubPr>
                                <m:ctrlPr>
                                  <w:rPr>
                                    <w:rFonts w:ascii="Cambria Math" w:hAnsi="Cambria Math"/>
                                    <w:i/>
                                  </w:rPr>
                                </m:ctrlPr>
                              </m:sSubPr>
                              <m:e>
                                <m:r>
                                  <w:rPr>
                                    <w:rFonts w:ascii="Cambria Math" w:hAnsi="Cambria Math"/>
                                  </w:rPr>
                                  <m:t>Y</m:t>
                                </m:r>
                              </m:e>
                              <m:sub>
                                <m:r>
                                  <w:rPr>
                                    <w:rFonts w:ascii="Cambria Math" w:hAnsi="Cambria Math"/>
                                  </w:rPr>
                                  <m:t>j</m:t>
                                </m:r>
                              </m:sub>
                            </m:sSub>
                          </m:e>
                        </m:d>
                      </m:e>
                    </m:nary>
                  </m:e>
                </m:d>
              </m:oMath>
            </m:oMathPara>
          </w:p>
        </w:tc>
        <w:tc>
          <w:tcPr>
            <w:tcW w:w="2267" w:type="dxa"/>
            <w:tcMar>
              <w:left w:w="0" w:type="dxa"/>
              <w:right w:w="0" w:type="dxa"/>
            </w:tcMar>
            <w:vAlign w:val="center"/>
          </w:tcPr>
          <w:p w14:paraId="3DC13531" w14:textId="77777777" w:rsidR="0081331C" w:rsidRPr="00BC31E0" w:rsidRDefault="0081331C" w:rsidP="00E20930">
            <w:pPr>
              <w:tabs>
                <w:tab w:val="left" w:leader="middleDot" w:pos="1559"/>
              </w:tabs>
              <w:jc w:val="left"/>
            </w:pPr>
            <w:r w:rsidRPr="00BC31E0">
              <w:tab/>
            </w:r>
            <w:r w:rsidRPr="00BC31E0">
              <w:rPr>
                <w:rFonts w:hint="eastAsia"/>
              </w:rPr>
              <w:t>(6.2.4)</w:t>
            </w:r>
          </w:p>
        </w:tc>
      </w:tr>
    </w:tbl>
    <w:p w14:paraId="1B38FEE7" w14:textId="77777777" w:rsidR="0081331C" w:rsidRPr="00BC31E0" w:rsidRDefault="0081331C" w:rsidP="002745E2">
      <w:pPr>
        <w:tabs>
          <w:tab w:val="left" w:leader="middleDot" w:pos="8222"/>
        </w:tabs>
        <w:spacing w:before="120"/>
        <w:ind w:left="737"/>
      </w:pPr>
      <w:r w:rsidRPr="00BC31E0">
        <w:rPr>
          <w:rFonts w:hint="eastAsia"/>
        </w:rPr>
        <w:t>ここで，</w:t>
      </w:r>
    </w:p>
    <w:p w14:paraId="749796DE" w14:textId="77777777" w:rsidR="0081331C" w:rsidRPr="00BC31E0" w:rsidRDefault="00A51873" w:rsidP="0081331C">
      <w:pPr>
        <w:tabs>
          <w:tab w:val="left" w:pos="1560"/>
        </w:tabs>
        <w:snapToGrid w:val="0"/>
        <w:spacing w:line="360" w:lineRule="exact"/>
        <w:ind w:left="1134"/>
        <w:textAlignment w:val="center"/>
      </w:pPr>
      <m:oMath>
        <m:sSub>
          <m:sSubPr>
            <m:ctrlPr>
              <w:rPr>
                <w:rFonts w:ascii="Cambria Math" w:hAnsi="Cambria Math"/>
                <w:i/>
              </w:rPr>
            </m:ctrlPr>
          </m:sSubPr>
          <m:e>
            <m:r>
              <w:rPr>
                <w:rFonts w:ascii="Cambria Math" w:hAnsi="Cambria Math"/>
              </w:rPr>
              <m:t>Y</m:t>
            </m:r>
          </m:e>
          <m:sub>
            <m:r>
              <w:rPr>
                <w:rFonts w:ascii="Cambria Math" w:hAnsi="Cambria Math"/>
              </w:rPr>
              <m:t>j</m:t>
            </m:r>
          </m:sub>
        </m:sSub>
      </m:oMath>
      <w:r w:rsidR="0081331C" w:rsidRPr="00BC31E0">
        <w:rPr>
          <w:rFonts w:hint="eastAsia"/>
        </w:rPr>
        <w:tab/>
      </w:r>
      <w:r w:rsidR="0081331C" w:rsidRPr="00BC31E0">
        <w:rPr>
          <w:rFonts w:hint="eastAsia"/>
        </w:rPr>
        <w:t>：</w:t>
      </w:r>
      <w:r w:rsidR="0081331C" w:rsidRPr="00BC31E0">
        <w:rPr>
          <w:rFonts w:hint="eastAsia"/>
        </w:rPr>
        <w:t xml:space="preserve"> </w:t>
      </w:r>
      <w:r w:rsidR="0081331C" w:rsidRPr="00BC31E0">
        <w:rPr>
          <w:rFonts w:hint="eastAsia"/>
        </w:rPr>
        <w:t>各層の内外径比</w:t>
      </w:r>
      <m:oMath>
        <m:r>
          <m:rPr>
            <m:sty m:val="p"/>
          </m:rPr>
          <w:rPr>
            <w:rFonts w:ascii="Cambria Math" w:hAnsi="Cambria Math"/>
          </w:rPr>
          <m:t xml:space="preserve"> </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hint="eastAsia"/>
                      </w:rPr>
                      <m:t>D</m:t>
                    </m:r>
                  </m:e>
                  <m:sub>
                    <m:r>
                      <w:rPr>
                        <w:rFonts w:ascii="Cambria Math" w:hAnsi="Cambria Math"/>
                      </w:rPr>
                      <m:t>Oj</m:t>
                    </m:r>
                  </m:sub>
                </m:sSub>
              </m:num>
              <m:den>
                <m:sSub>
                  <m:sSubPr>
                    <m:ctrlPr>
                      <w:rPr>
                        <w:rFonts w:ascii="Cambria Math" w:hAnsi="Cambria Math"/>
                        <w:i/>
                      </w:rPr>
                    </m:ctrlPr>
                  </m:sSubPr>
                  <m:e>
                    <m:r>
                      <w:rPr>
                        <w:rFonts w:ascii="Cambria Math" w:hAnsi="Cambria Math"/>
                      </w:rPr>
                      <m:t>D</m:t>
                    </m:r>
                  </m:e>
                  <m:sub>
                    <m:r>
                      <w:rPr>
                        <w:rFonts w:ascii="Cambria Math" w:hAnsi="Cambria Math"/>
                      </w:rPr>
                      <m:t>Ij</m:t>
                    </m:r>
                  </m:sub>
                </m:sSub>
              </m:den>
            </m:f>
          </m:e>
        </m:d>
      </m:oMath>
    </w:p>
    <w:p w14:paraId="7683B044" w14:textId="77777777" w:rsidR="0081331C" w:rsidRPr="00BC31E0" w:rsidRDefault="00A51873" w:rsidP="0081331C">
      <w:pPr>
        <w:tabs>
          <w:tab w:val="left" w:pos="1560"/>
        </w:tabs>
        <w:snapToGrid w:val="0"/>
        <w:spacing w:line="360" w:lineRule="exact"/>
        <w:ind w:left="1134"/>
        <w:textAlignment w:val="center"/>
      </w:pPr>
      <m:oMath>
        <m:sSub>
          <m:sSubPr>
            <m:ctrlPr>
              <w:rPr>
                <w:rFonts w:ascii="Cambria Math" w:hAnsi="Cambria Math"/>
                <w:i/>
              </w:rPr>
            </m:ctrlPr>
          </m:sSubPr>
          <m:e>
            <m:r>
              <w:rPr>
                <w:rFonts w:ascii="Cambria Math" w:hAnsi="Cambria Math"/>
              </w:rPr>
              <m:t>S</m:t>
            </m:r>
          </m:e>
          <m:sub>
            <m:r>
              <w:rPr>
                <w:rFonts w:ascii="Cambria Math" w:hAnsi="Cambria Math"/>
              </w:rPr>
              <m:t>yj</m:t>
            </m:r>
          </m:sub>
        </m:sSub>
      </m:oMath>
      <w:r w:rsidR="0081331C" w:rsidRPr="00BC31E0">
        <w:rPr>
          <w:rFonts w:hint="eastAsia"/>
        </w:rPr>
        <w:tab/>
      </w:r>
      <w:r w:rsidR="0081331C" w:rsidRPr="00BC31E0">
        <w:rPr>
          <w:rFonts w:hint="eastAsia"/>
        </w:rPr>
        <w:t>：</w:t>
      </w:r>
      <w:r w:rsidR="0081331C" w:rsidRPr="00BC31E0">
        <w:rPr>
          <w:rFonts w:hint="eastAsia"/>
        </w:rPr>
        <w:t xml:space="preserve"> </w:t>
      </w:r>
      <w:r w:rsidR="0081331C" w:rsidRPr="00BC31E0">
        <w:rPr>
          <w:rFonts w:hint="eastAsia"/>
        </w:rPr>
        <w:t>設計温度における各層の降伏強さ</w:t>
      </w:r>
      <w:r w:rsidR="0081331C" w:rsidRPr="00BC31E0">
        <w:rPr>
          <w:rFonts w:hint="eastAsia"/>
        </w:rPr>
        <w:t>(MPa)</w:t>
      </w:r>
    </w:p>
    <w:p w14:paraId="350E1704" w14:textId="77777777" w:rsidR="0081331C" w:rsidRPr="00BC31E0" w:rsidRDefault="00A51873" w:rsidP="0081331C">
      <w:pPr>
        <w:tabs>
          <w:tab w:val="left" w:pos="1560"/>
        </w:tabs>
        <w:snapToGrid w:val="0"/>
        <w:spacing w:line="360" w:lineRule="exact"/>
        <w:ind w:left="1134"/>
        <w:textAlignment w:val="center"/>
      </w:pPr>
      <m:oMath>
        <m:sSub>
          <m:sSubPr>
            <m:ctrlPr>
              <w:rPr>
                <w:rFonts w:ascii="Cambria Math" w:hAnsi="Cambria Math"/>
                <w:i/>
              </w:rPr>
            </m:ctrlPr>
          </m:sSubPr>
          <m:e>
            <m:r>
              <w:rPr>
                <w:rFonts w:ascii="Cambria Math" w:hAnsi="Cambria Math"/>
              </w:rPr>
              <m:t>S</m:t>
            </m:r>
          </m:e>
          <m:sub>
            <m:r>
              <w:rPr>
                <w:rFonts w:ascii="Cambria Math" w:hAnsi="Cambria Math"/>
              </w:rPr>
              <m:t>uj</m:t>
            </m:r>
          </m:sub>
        </m:sSub>
      </m:oMath>
      <w:r w:rsidR="0081331C" w:rsidRPr="00BC31E0">
        <w:rPr>
          <w:rFonts w:hint="eastAsia"/>
        </w:rPr>
        <w:tab/>
      </w:r>
      <w:r w:rsidR="0081331C" w:rsidRPr="00BC31E0">
        <w:rPr>
          <w:rFonts w:hint="eastAsia"/>
        </w:rPr>
        <w:t>：</w:t>
      </w:r>
      <w:r w:rsidR="0081331C" w:rsidRPr="00BC31E0">
        <w:rPr>
          <w:rFonts w:hint="eastAsia"/>
        </w:rPr>
        <w:t xml:space="preserve"> </w:t>
      </w:r>
      <w:r w:rsidR="0081331C" w:rsidRPr="00BC31E0">
        <w:rPr>
          <w:rFonts w:hint="eastAsia"/>
        </w:rPr>
        <w:t>設計温度における各層の引張強さ，引張強さが規定されていない場合には</w:t>
      </w:r>
    </w:p>
    <w:p w14:paraId="7895C719" w14:textId="77777777" w:rsidR="0081331C" w:rsidRPr="00BC31E0" w:rsidRDefault="0081331C" w:rsidP="0081331C">
      <w:pPr>
        <w:snapToGrid w:val="0"/>
        <w:spacing w:line="360" w:lineRule="exact"/>
        <w:ind w:left="1900"/>
        <w:textAlignment w:val="center"/>
      </w:pPr>
      <w:r w:rsidRPr="00BC31E0">
        <w:rPr>
          <w:rFonts w:hint="eastAsia"/>
        </w:rPr>
        <w:t>降伏強さを用いてもよい</w:t>
      </w:r>
      <w:r w:rsidR="00016191" w:rsidRPr="00BC31E0">
        <w:rPr>
          <w:rFonts w:hint="eastAsia"/>
        </w:rPr>
        <w:t>。</w:t>
      </w:r>
      <w:r w:rsidRPr="00BC31E0">
        <w:rPr>
          <w:rFonts w:hint="eastAsia"/>
        </w:rPr>
        <w:t xml:space="preserve">(MPa) </w:t>
      </w:r>
    </w:p>
    <w:p w14:paraId="2503F156" w14:textId="77777777" w:rsidR="0081331C" w:rsidRPr="00BC31E0" w:rsidRDefault="00A51873" w:rsidP="0081331C">
      <w:pPr>
        <w:tabs>
          <w:tab w:val="left" w:pos="1560"/>
        </w:tabs>
        <w:snapToGrid w:val="0"/>
        <w:spacing w:line="360" w:lineRule="exact"/>
        <w:ind w:left="1134"/>
        <w:textAlignment w:val="center"/>
        <w:rPr>
          <w:rFonts w:asciiTheme="majorEastAsia" w:eastAsiaTheme="majorEastAsia" w:hAnsiTheme="majorEastAsia"/>
          <w:b/>
        </w:rPr>
      </w:pPr>
      <m:oMath>
        <m:sSub>
          <m:sSubPr>
            <m:ctrlPr>
              <w:rPr>
                <w:rFonts w:ascii="Cambria Math" w:hAnsi="Cambria Math"/>
                <w:i/>
              </w:rPr>
            </m:ctrlPr>
          </m:sSubPr>
          <m:e>
            <m:r>
              <w:rPr>
                <w:rFonts w:ascii="Cambria Math" w:hAnsi="Cambria Math"/>
              </w:rPr>
              <m:t>K</m:t>
            </m:r>
          </m:e>
          <m:sub>
            <m:r>
              <w:rPr>
                <w:rFonts w:ascii="Cambria Math" w:hAnsi="Cambria Math"/>
              </w:rPr>
              <m:t>utj</m:t>
            </m:r>
          </m:sub>
        </m:sSub>
      </m:oMath>
      <w:r w:rsidR="0081331C" w:rsidRPr="00BC31E0">
        <w:rPr>
          <w:rFonts w:hint="eastAsia"/>
        </w:rPr>
        <w:tab/>
      </w:r>
      <w:r w:rsidR="0081331C" w:rsidRPr="00BC31E0">
        <w:rPr>
          <w:rFonts w:hint="eastAsia"/>
        </w:rPr>
        <w:t>：</w:t>
      </w:r>
      <w:r w:rsidR="0081331C" w:rsidRPr="00BC31E0">
        <w:rPr>
          <w:rFonts w:hint="eastAsia"/>
        </w:rPr>
        <w:t xml:space="preserve"> </w:t>
      </w:r>
      <w:r w:rsidR="0081331C" w:rsidRPr="00BC31E0">
        <w:rPr>
          <w:rFonts w:hint="eastAsia"/>
        </w:rPr>
        <w:t>各層の耐圧試験の上限圧力に関する係数</w:t>
      </w:r>
      <w:r w:rsidR="0081331C" w:rsidRPr="00BC31E0">
        <w:rPr>
          <w:rFonts w:hint="eastAsia"/>
        </w:rPr>
        <w:t>[</w:t>
      </w:r>
      <w:r w:rsidR="0081331C" w:rsidRPr="00BC31E0">
        <w:rPr>
          <w:rFonts w:asciiTheme="majorEastAsia" w:eastAsiaTheme="majorEastAsia" w:hAnsiTheme="majorEastAsia" w:hint="eastAsia"/>
          <w:b/>
        </w:rPr>
        <w:t>10.3.2 b)</w:t>
      </w:r>
      <w:r w:rsidR="0081331C" w:rsidRPr="00BC31E0">
        <w:rPr>
          <w:rFonts w:asciiTheme="minorEastAsia" w:eastAsiaTheme="minorEastAsia" w:hAnsiTheme="minorEastAsia" w:hint="eastAsia"/>
        </w:rPr>
        <w:t>を参照</w:t>
      </w:r>
      <w:r w:rsidR="0081331C" w:rsidRPr="00BC31E0">
        <w:rPr>
          <w:rFonts w:hint="eastAsia"/>
        </w:rPr>
        <w:t>]</w:t>
      </w:r>
    </w:p>
    <w:p w14:paraId="234E2F69" w14:textId="77777777" w:rsidR="0081331C" w:rsidRPr="00BC31E0" w:rsidRDefault="0081331C" w:rsidP="002745E2">
      <w:pPr>
        <w:spacing w:before="120"/>
        <w:ind w:left="737" w:firstLineChars="100" w:firstLine="210"/>
      </w:pPr>
      <w:r w:rsidRPr="00BC31E0">
        <w:rPr>
          <w:rFonts w:hint="eastAsia"/>
        </w:rPr>
        <w:t>内層材の設計温度</w:t>
      </w:r>
      <w:r w:rsidR="00236919" w:rsidRPr="00BC31E0">
        <w:rPr>
          <w:rFonts w:hint="eastAsia"/>
        </w:rPr>
        <w:t>における</w:t>
      </w:r>
      <w:r w:rsidRPr="00BC31E0">
        <w:rPr>
          <w:rFonts w:hint="eastAsia"/>
        </w:rPr>
        <w:t>降伏強さが層成材の設計温度</w:t>
      </w:r>
      <w:r w:rsidR="00236919" w:rsidRPr="00BC31E0">
        <w:rPr>
          <w:rFonts w:hint="eastAsia"/>
        </w:rPr>
        <w:t>における</w:t>
      </w:r>
      <w:r w:rsidRPr="00BC31E0">
        <w:rPr>
          <w:rFonts w:hint="eastAsia"/>
        </w:rPr>
        <w:t>平均降伏強さの</w:t>
      </w:r>
      <w:r w:rsidRPr="00BC31E0">
        <w:t>1</w:t>
      </w:r>
      <w:r w:rsidRPr="00BC31E0">
        <w:rPr>
          <w:rFonts w:eastAsiaTheme="minorEastAsia"/>
        </w:rPr>
        <w:t>/</w:t>
      </w:r>
      <w:r w:rsidRPr="00BC31E0">
        <w:t>2</w:t>
      </w:r>
      <w:r w:rsidRPr="00BC31E0">
        <w:rPr>
          <w:rFonts w:hint="eastAsia"/>
        </w:rPr>
        <w:t>未満の場合には，内層材は強度部材とみなせない。層成材の設計温度</w:t>
      </w:r>
      <w:r w:rsidR="00236919" w:rsidRPr="00BC31E0">
        <w:rPr>
          <w:rFonts w:hint="eastAsia"/>
        </w:rPr>
        <w:t>における</w:t>
      </w:r>
      <w:r w:rsidRPr="00BC31E0">
        <w:rPr>
          <w:rFonts w:hint="eastAsia"/>
        </w:rPr>
        <w:t>降伏強さの差は</w:t>
      </w:r>
      <w:r w:rsidRPr="00BC31E0">
        <w:t>20</w:t>
      </w:r>
      <w:r w:rsidRPr="00BC31E0">
        <w:rPr>
          <w:rFonts w:ascii="Cambria Math" w:hAnsi="Cambria Math"/>
        </w:rPr>
        <w:t>%</w:t>
      </w:r>
      <w:r w:rsidRPr="00BC31E0">
        <w:rPr>
          <w:rFonts w:hint="eastAsia"/>
        </w:rPr>
        <w:t>以内としなければならない。この規定を満足しない最外層</w:t>
      </w:r>
      <w:r w:rsidRPr="00BC31E0">
        <w:rPr>
          <w:rFonts w:hint="eastAsia"/>
        </w:rPr>
        <w:t>(</w:t>
      </w:r>
      <w:r w:rsidRPr="00BC31E0">
        <w:rPr>
          <w:rFonts w:hint="eastAsia"/>
        </w:rPr>
        <w:t>カバーシェル</w:t>
      </w:r>
      <w:r w:rsidRPr="00BC31E0">
        <w:rPr>
          <w:rFonts w:hint="eastAsia"/>
        </w:rPr>
        <w:t>)</w:t>
      </w:r>
      <w:r w:rsidRPr="00BC31E0">
        <w:rPr>
          <w:rFonts w:hint="eastAsia"/>
        </w:rPr>
        <w:t>は強度部材とみなせない。</w:t>
      </w:r>
    </w:p>
    <w:p w14:paraId="097D8758" w14:textId="77777777" w:rsidR="0081331C" w:rsidRPr="00BC31E0" w:rsidRDefault="0081331C" w:rsidP="00736130">
      <w:pPr>
        <w:pStyle w:val="a4"/>
        <w:numPr>
          <w:ilvl w:val="0"/>
          <w:numId w:val="101"/>
        </w:numPr>
        <w:ind w:leftChars="0" w:left="738" w:hanging="454"/>
        <w:rPr>
          <w:rFonts w:asciiTheme="majorEastAsia" w:eastAsiaTheme="majorEastAsia" w:hAnsiTheme="majorEastAsia"/>
          <w:b/>
        </w:rPr>
      </w:pPr>
      <w:r w:rsidRPr="00BC31E0">
        <w:rPr>
          <w:rFonts w:asciiTheme="majorEastAsia" w:eastAsiaTheme="majorEastAsia" w:hAnsiTheme="majorEastAsia" w:hint="eastAsia"/>
          <w:b/>
        </w:rPr>
        <w:t>単肉球形胴</w:t>
      </w:r>
    </w:p>
    <w:tbl>
      <w:tblPr>
        <w:tblStyle w:val="afff2"/>
        <w:tblW w:w="8079"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2"/>
        <w:gridCol w:w="3577"/>
      </w:tblGrid>
      <w:tr w:rsidR="0081331C" w:rsidRPr="00BC31E0" w14:paraId="0081BD7C" w14:textId="77777777" w:rsidTr="00E20930">
        <w:tc>
          <w:tcPr>
            <w:tcW w:w="0" w:type="auto"/>
            <w:tcMar>
              <w:left w:w="0" w:type="dxa"/>
              <w:right w:w="0" w:type="dxa"/>
            </w:tcMar>
            <w:vAlign w:val="center"/>
          </w:tcPr>
          <w:p w14:paraId="2FBDF74A" w14:textId="77777777" w:rsidR="0081331C" w:rsidRPr="00BC31E0" w:rsidRDefault="00A51873" w:rsidP="00E20930">
            <w:pPr>
              <w:tabs>
                <w:tab w:val="left" w:pos="1418"/>
                <w:tab w:val="left" w:leader="middleDot" w:pos="8222"/>
              </w:tabs>
            </w:pPr>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D</m:t>
                    </m:r>
                  </m:sub>
                </m:sSub>
                <m:r>
                  <m:rPr>
                    <m:sty m:val="p"/>
                  </m:rPr>
                  <w:rPr>
                    <w:rFonts w:ascii="Cambria Math" w:hAnsi="Cambria Math"/>
                  </w:rPr>
                  <m:t>=</m:t>
                </m:r>
                <m:r>
                  <m:rPr>
                    <m:sty m:val="bi"/>
                  </m:rPr>
                  <w:rPr>
                    <w:rFonts w:ascii="Cambria Math" w:hAnsi="Cambria Math"/>
                  </w:rPr>
                  <m:t>min</m:t>
                </m:r>
                <m:d>
                  <m:dPr>
                    <m:begChr m:val="{"/>
                    <m:endChr m:val="}"/>
                    <m:ctrlPr>
                      <w:rPr>
                        <w:rFonts w:ascii="Cambria Math" w:hAnsi="Cambria Math"/>
                      </w:rPr>
                    </m:ctrlPr>
                  </m:dPr>
                  <m:e>
                    <m:r>
                      <m:rPr>
                        <m:sty m:val="p"/>
                      </m:rPr>
                      <w:rPr>
                        <w:rFonts w:ascii="Cambria Math" w:hAnsi="Cambria Math"/>
                      </w:rPr>
                      <m:t xml:space="preserve"> 1</m:t>
                    </m:r>
                    <m:r>
                      <m:rPr>
                        <m:sty m:val="p"/>
                      </m:rPr>
                      <w:rPr>
                        <w:rFonts w:ascii="Cambria Math" w:hAnsi="Cambria Math" w:hint="eastAsia"/>
                      </w:rPr>
                      <m:t>.</m:t>
                    </m:r>
                    <m:r>
                      <m:rPr>
                        <m:sty m:val="p"/>
                      </m:rPr>
                      <w:rPr>
                        <w:rFonts w:ascii="Cambria Math" w:hAnsi="Cambria Math"/>
                      </w:rPr>
                      <m:t xml:space="preserve">6 </m:t>
                    </m:r>
                    <m:sSub>
                      <m:sSubPr>
                        <m:ctrlPr>
                          <w:rPr>
                            <w:rFonts w:ascii="Cambria Math" w:hAnsi="Cambria Math"/>
                            <w:i/>
                          </w:rPr>
                        </m:ctrlPr>
                      </m:sSubPr>
                      <m:e>
                        <m:r>
                          <w:rPr>
                            <w:rFonts w:ascii="Cambria Math" w:hAnsi="Cambria Math"/>
                          </w:rPr>
                          <m:t>K</m:t>
                        </m:r>
                      </m:e>
                      <m:sub>
                        <m:r>
                          <w:rPr>
                            <w:rFonts w:ascii="Cambria Math" w:hAnsi="Cambria Math"/>
                          </w:rPr>
                          <m:t xml:space="preserve">ut </m:t>
                        </m:r>
                      </m:sub>
                    </m:sSub>
                    <m:sSub>
                      <m:sSubPr>
                        <m:ctrlPr>
                          <w:rPr>
                            <w:rFonts w:ascii="Cambria Math" w:hAnsi="Cambria Math"/>
                            <w:i/>
                          </w:rPr>
                        </m:ctrlPr>
                      </m:sSubPr>
                      <m:e>
                        <m:r>
                          <w:rPr>
                            <w:rFonts w:ascii="Cambria Math" w:hAnsi="Cambria Math"/>
                          </w:rPr>
                          <m:t>S</m:t>
                        </m:r>
                      </m:e>
                      <m:sub>
                        <m:r>
                          <w:rPr>
                            <w:rFonts w:ascii="Cambria Math" w:hAnsi="Cambria Math"/>
                          </w:rPr>
                          <m:t>y</m:t>
                        </m:r>
                      </m:sub>
                    </m:sSub>
                    <m:r>
                      <m:rPr>
                        <m:sty m:val="bi"/>
                      </m:rPr>
                      <w:rPr>
                        <w:rFonts w:ascii="Cambria Math" w:hAnsi="Cambria Math"/>
                      </w:rPr>
                      <m:t xml:space="preserve"> ln</m:t>
                    </m:r>
                    <m:d>
                      <m:dPr>
                        <m:ctrlPr>
                          <w:rPr>
                            <w:rFonts w:ascii="Cambria Math" w:hAnsi="Cambria Math"/>
                          </w:rPr>
                        </m:ctrlPr>
                      </m:dPr>
                      <m:e>
                        <m:r>
                          <w:rPr>
                            <w:rFonts w:ascii="Cambria Math" w:hAnsi="Cambria Math"/>
                          </w:rPr>
                          <m:t>Y</m:t>
                        </m:r>
                      </m:e>
                    </m:d>
                    <m:r>
                      <m:rPr>
                        <m:sty m:val="p"/>
                      </m:rPr>
                      <w:rPr>
                        <w:rFonts w:ascii="Cambria Math" w:hAnsi="Cambria Math" w:hint="eastAsia"/>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3</m:t>
                            </m:r>
                          </m:e>
                        </m:rad>
                      </m:den>
                    </m:f>
                    <m:d>
                      <m:dPr>
                        <m:ctrlPr>
                          <w:rPr>
                            <w:rFonts w:ascii="Cambria Math" w:hAnsi="Cambria Math"/>
                          </w:rPr>
                        </m:ctrlPr>
                      </m:dPr>
                      <m:e>
                        <m:sSub>
                          <m:sSubPr>
                            <m:ctrlPr>
                              <w:rPr>
                                <w:rFonts w:ascii="Cambria Math" w:hAnsi="Cambria Math"/>
                                <w:i/>
                              </w:rPr>
                            </m:ctrlPr>
                          </m:sSubPr>
                          <m:e>
                            <m:r>
                              <w:rPr>
                                <w:rFonts w:ascii="Cambria Math" w:hAnsi="Cambria Math"/>
                              </w:rPr>
                              <m:t>S</m:t>
                            </m:r>
                          </m:e>
                          <m:sub>
                            <m:r>
                              <w:rPr>
                                <w:rFonts w:ascii="Cambria Math" w:hAnsi="Cambria Math"/>
                              </w:rPr>
                              <m:t>y</m:t>
                            </m:r>
                          </m:sub>
                        </m:sSub>
                        <m:r>
                          <m:rPr>
                            <m:sty m:val="p"/>
                          </m:rP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u</m:t>
                            </m:r>
                          </m:sub>
                        </m:sSub>
                      </m:e>
                    </m:d>
                    <m:r>
                      <m:rPr>
                        <m:sty m:val="bi"/>
                      </m:rPr>
                      <w:rPr>
                        <w:rFonts w:ascii="Cambria Math" w:hAnsi="Cambria Math"/>
                      </w:rPr>
                      <m:t>ln</m:t>
                    </m:r>
                    <m:d>
                      <m:dPr>
                        <m:ctrlPr>
                          <w:rPr>
                            <w:rFonts w:ascii="Cambria Math" w:hAnsi="Cambria Math"/>
                          </w:rPr>
                        </m:ctrlPr>
                      </m:dPr>
                      <m:e>
                        <m:r>
                          <w:rPr>
                            <w:rFonts w:ascii="Cambria Math" w:hAnsi="Cambria Math"/>
                          </w:rPr>
                          <m:t>Y</m:t>
                        </m:r>
                      </m:e>
                    </m:d>
                  </m:e>
                </m:d>
              </m:oMath>
            </m:oMathPara>
          </w:p>
        </w:tc>
        <w:tc>
          <w:tcPr>
            <w:tcW w:w="3577" w:type="dxa"/>
            <w:tcMar>
              <w:left w:w="0" w:type="dxa"/>
              <w:right w:w="0" w:type="dxa"/>
            </w:tcMar>
            <w:vAlign w:val="center"/>
          </w:tcPr>
          <w:p w14:paraId="25C48DD4" w14:textId="77777777" w:rsidR="0081331C" w:rsidRPr="00BC31E0" w:rsidRDefault="0081331C" w:rsidP="00E20930">
            <w:pPr>
              <w:tabs>
                <w:tab w:val="left" w:leader="middleDot" w:pos="2869"/>
              </w:tabs>
              <w:jc w:val="left"/>
            </w:pPr>
            <w:r w:rsidRPr="00BC31E0">
              <w:tab/>
            </w:r>
            <w:r w:rsidRPr="00BC31E0">
              <w:rPr>
                <w:rFonts w:hint="eastAsia"/>
              </w:rPr>
              <w:t>(6.2.5)</w:t>
            </w:r>
          </w:p>
        </w:tc>
      </w:tr>
    </w:tbl>
    <w:p w14:paraId="0C4EEBC2" w14:textId="77777777" w:rsidR="0081331C" w:rsidRPr="00BC31E0" w:rsidRDefault="0081331C" w:rsidP="00736130">
      <w:pPr>
        <w:pStyle w:val="a4"/>
        <w:numPr>
          <w:ilvl w:val="0"/>
          <w:numId w:val="102"/>
        </w:numPr>
        <w:spacing w:before="120"/>
        <w:ind w:leftChars="0" w:left="738" w:hanging="454"/>
        <w:rPr>
          <w:rFonts w:asciiTheme="majorEastAsia" w:eastAsiaTheme="majorEastAsia" w:hAnsiTheme="majorEastAsia"/>
          <w:b/>
        </w:rPr>
      </w:pPr>
      <w:r w:rsidRPr="00BC31E0">
        <w:rPr>
          <w:rFonts w:asciiTheme="majorEastAsia" w:eastAsiaTheme="majorEastAsia" w:hAnsiTheme="majorEastAsia" w:hint="eastAsia"/>
          <w:b/>
        </w:rPr>
        <w:lastRenderedPageBreak/>
        <w:t>多層球形胴</w:t>
      </w:r>
    </w:p>
    <w:tbl>
      <w:tblPr>
        <w:tblStyle w:val="afff2"/>
        <w:tblW w:w="8079"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5"/>
        <w:gridCol w:w="2504"/>
      </w:tblGrid>
      <w:tr w:rsidR="0081331C" w:rsidRPr="00BC31E0" w14:paraId="1D9FBFB8" w14:textId="77777777" w:rsidTr="00E20930">
        <w:tc>
          <w:tcPr>
            <w:tcW w:w="0" w:type="auto"/>
            <w:tcMar>
              <w:left w:w="0" w:type="dxa"/>
              <w:right w:w="0" w:type="dxa"/>
            </w:tcMar>
            <w:vAlign w:val="center"/>
          </w:tcPr>
          <w:p w14:paraId="4AB71D4F" w14:textId="77777777" w:rsidR="0081331C" w:rsidRPr="00BC31E0" w:rsidRDefault="00A51873" w:rsidP="00E20930">
            <w:pPr>
              <w:tabs>
                <w:tab w:val="left" w:pos="1418"/>
                <w:tab w:val="left" w:leader="middleDot" w:pos="8222"/>
              </w:tabs>
            </w:pPr>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D</m:t>
                    </m:r>
                  </m:sub>
                </m:sSub>
                <m:r>
                  <m:rPr>
                    <m:sty m:val="p"/>
                  </m:rPr>
                  <w:rPr>
                    <w:rFonts w:ascii="Cambria Math" w:hAnsi="Cambria Math"/>
                  </w:rPr>
                  <m:t>=</m:t>
                </m:r>
                <m:r>
                  <m:rPr>
                    <m:sty m:val="bi"/>
                  </m:rPr>
                  <w:rPr>
                    <w:rFonts w:ascii="Cambria Math" w:hAnsi="Cambria Math"/>
                  </w:rPr>
                  <m:t>min</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n</m:t>
                        </m:r>
                      </m:sup>
                      <m:e>
                        <m:r>
                          <m:rPr>
                            <m:sty m:val="p"/>
                          </m:rPr>
                          <w:rPr>
                            <w:rFonts w:ascii="Cambria Math" w:hAnsi="Cambria Math"/>
                          </w:rPr>
                          <m:t>1</m:t>
                        </m:r>
                        <m:r>
                          <m:rPr>
                            <m:sty m:val="p"/>
                          </m:rPr>
                          <w:rPr>
                            <w:rFonts w:ascii="Cambria Math" w:hAnsi="Cambria Math" w:hint="eastAsia"/>
                          </w:rPr>
                          <m:t>.</m:t>
                        </m:r>
                        <m:r>
                          <m:rPr>
                            <m:sty m:val="p"/>
                          </m:rPr>
                          <w:rPr>
                            <w:rFonts w:ascii="Cambria Math" w:hAnsi="Cambria Math"/>
                          </w:rPr>
                          <m:t xml:space="preserve">6 </m:t>
                        </m:r>
                        <m:sSub>
                          <m:sSubPr>
                            <m:ctrlPr>
                              <w:rPr>
                                <w:rFonts w:ascii="Cambria Math" w:hAnsi="Cambria Math"/>
                                <w:i/>
                              </w:rPr>
                            </m:ctrlPr>
                          </m:sSubPr>
                          <m:e>
                            <m:r>
                              <w:rPr>
                                <w:rFonts w:ascii="Cambria Math" w:hAnsi="Cambria Math"/>
                              </w:rPr>
                              <m:t>K</m:t>
                            </m:r>
                          </m:e>
                          <m:sub>
                            <m:r>
                              <w:rPr>
                                <w:rFonts w:ascii="Cambria Math" w:hAnsi="Cambria Math"/>
                              </w:rPr>
                              <m:t xml:space="preserve">utj </m:t>
                            </m:r>
                          </m:sub>
                        </m:sSub>
                        <m:sSub>
                          <m:sSubPr>
                            <m:ctrlPr>
                              <w:rPr>
                                <w:rFonts w:ascii="Cambria Math" w:hAnsi="Cambria Math"/>
                                <w:i/>
                              </w:rPr>
                            </m:ctrlPr>
                          </m:sSubPr>
                          <m:e>
                            <m:r>
                              <w:rPr>
                                <w:rFonts w:ascii="Cambria Math" w:hAnsi="Cambria Math"/>
                              </w:rPr>
                              <m:t>S</m:t>
                            </m:r>
                          </m:e>
                          <m:sub>
                            <m:r>
                              <w:rPr>
                                <w:rFonts w:ascii="Cambria Math" w:hAnsi="Cambria Math"/>
                              </w:rPr>
                              <m:t>yj</m:t>
                            </m:r>
                          </m:sub>
                        </m:sSub>
                        <m:r>
                          <m:rPr>
                            <m:sty m:val="bi"/>
                          </m:rPr>
                          <w:rPr>
                            <w:rFonts w:ascii="Cambria Math" w:hAnsi="Cambria Math"/>
                          </w:rPr>
                          <m:t xml:space="preserve"> ln</m:t>
                        </m:r>
                        <m:d>
                          <m:dPr>
                            <m:ctrlPr>
                              <w:rPr>
                                <w:rFonts w:ascii="Cambria Math" w:hAnsi="Cambria Math"/>
                              </w:rPr>
                            </m:ctrlPr>
                          </m:dPr>
                          <m:e>
                            <m:sSub>
                              <m:sSubPr>
                                <m:ctrlPr>
                                  <w:rPr>
                                    <w:rFonts w:ascii="Cambria Math" w:hAnsi="Cambria Math"/>
                                    <w:i/>
                                  </w:rPr>
                                </m:ctrlPr>
                              </m:sSubPr>
                              <m:e>
                                <m:r>
                                  <w:rPr>
                                    <w:rFonts w:ascii="Cambria Math" w:hAnsi="Cambria Math"/>
                                  </w:rPr>
                                  <m:t>Y</m:t>
                                </m:r>
                              </m:e>
                              <m:sub>
                                <m:r>
                                  <w:rPr>
                                    <w:rFonts w:ascii="Cambria Math" w:hAnsi="Cambria Math"/>
                                  </w:rPr>
                                  <m:t>j</m:t>
                                </m:r>
                              </m:sub>
                            </m:sSub>
                          </m:e>
                        </m:d>
                      </m:e>
                    </m:nary>
                    <m:r>
                      <m:rPr>
                        <m:sty m:val="p"/>
                      </m:rPr>
                      <w:rPr>
                        <w:rFonts w:ascii="Cambria Math" w:hAnsi="Cambria Math" w:hint="eastAsia"/>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n</m:t>
                        </m:r>
                      </m:sup>
                      <m:e>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3</m:t>
                                </m:r>
                              </m:e>
                            </m:rad>
                          </m:den>
                        </m:f>
                        <m:d>
                          <m:dPr>
                            <m:ctrlPr>
                              <w:rPr>
                                <w:rFonts w:ascii="Cambria Math" w:hAnsi="Cambria Math"/>
                              </w:rPr>
                            </m:ctrlPr>
                          </m:dPr>
                          <m:e>
                            <m:sSub>
                              <m:sSubPr>
                                <m:ctrlPr>
                                  <w:rPr>
                                    <w:rFonts w:ascii="Cambria Math" w:hAnsi="Cambria Math"/>
                                    <w:i/>
                                  </w:rPr>
                                </m:ctrlPr>
                              </m:sSubPr>
                              <m:e>
                                <m:r>
                                  <w:rPr>
                                    <w:rFonts w:ascii="Cambria Math" w:hAnsi="Cambria Math"/>
                                  </w:rPr>
                                  <m:t>S</m:t>
                                </m:r>
                              </m:e>
                              <m:sub>
                                <m:r>
                                  <w:rPr>
                                    <w:rFonts w:ascii="Cambria Math" w:hAnsi="Cambria Math"/>
                                  </w:rPr>
                                  <m:t>yj</m:t>
                                </m:r>
                              </m:sub>
                            </m:sSub>
                            <m:r>
                              <m:rPr>
                                <m:sty m:val="p"/>
                              </m:rP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uj</m:t>
                                </m:r>
                              </m:sub>
                            </m:sSub>
                          </m:e>
                        </m:d>
                        <m:r>
                          <m:rPr>
                            <m:sty m:val="bi"/>
                          </m:rPr>
                          <w:rPr>
                            <w:rFonts w:ascii="Cambria Math" w:hAnsi="Cambria Math"/>
                          </w:rPr>
                          <m:t>ln</m:t>
                        </m:r>
                        <m:d>
                          <m:dPr>
                            <m:ctrlPr>
                              <w:rPr>
                                <w:rFonts w:ascii="Cambria Math" w:hAnsi="Cambria Math"/>
                              </w:rPr>
                            </m:ctrlPr>
                          </m:dPr>
                          <m:e>
                            <m:sSub>
                              <m:sSubPr>
                                <m:ctrlPr>
                                  <w:rPr>
                                    <w:rFonts w:ascii="Cambria Math" w:hAnsi="Cambria Math"/>
                                    <w:i/>
                                  </w:rPr>
                                </m:ctrlPr>
                              </m:sSubPr>
                              <m:e>
                                <m:r>
                                  <w:rPr>
                                    <w:rFonts w:ascii="Cambria Math" w:hAnsi="Cambria Math"/>
                                  </w:rPr>
                                  <m:t>Y</m:t>
                                </m:r>
                              </m:e>
                              <m:sub>
                                <m:r>
                                  <w:rPr>
                                    <w:rFonts w:ascii="Cambria Math" w:hAnsi="Cambria Math"/>
                                  </w:rPr>
                                  <m:t>j</m:t>
                                </m:r>
                              </m:sub>
                            </m:sSub>
                          </m:e>
                        </m:d>
                      </m:e>
                    </m:nary>
                  </m:e>
                </m:d>
              </m:oMath>
            </m:oMathPara>
          </w:p>
        </w:tc>
        <w:tc>
          <w:tcPr>
            <w:tcW w:w="2504" w:type="dxa"/>
            <w:tcMar>
              <w:left w:w="0" w:type="dxa"/>
              <w:right w:w="0" w:type="dxa"/>
            </w:tcMar>
            <w:vAlign w:val="center"/>
          </w:tcPr>
          <w:p w14:paraId="6DEC4F01" w14:textId="77777777" w:rsidR="0081331C" w:rsidRPr="00BC31E0" w:rsidRDefault="0081331C" w:rsidP="00E20930">
            <w:pPr>
              <w:tabs>
                <w:tab w:val="left" w:leader="middleDot" w:pos="1796"/>
              </w:tabs>
            </w:pPr>
            <w:r w:rsidRPr="00BC31E0">
              <w:tab/>
            </w:r>
            <w:r w:rsidRPr="00BC31E0">
              <w:rPr>
                <w:rFonts w:hint="eastAsia"/>
              </w:rPr>
              <w:t>(6.2.6)</w:t>
            </w:r>
          </w:p>
        </w:tc>
      </w:tr>
    </w:tbl>
    <w:p w14:paraId="148AAE1E" w14:textId="77777777" w:rsidR="0081331C" w:rsidRPr="00BC31E0" w:rsidRDefault="0081331C" w:rsidP="0081331C">
      <w:pPr>
        <w:spacing w:before="120"/>
        <w:ind w:left="737" w:firstLineChars="100" w:firstLine="210"/>
      </w:pPr>
      <w:r w:rsidRPr="00BC31E0">
        <w:rPr>
          <w:rFonts w:hint="eastAsia"/>
        </w:rPr>
        <w:t>内層材の設計温度</w:t>
      </w:r>
      <w:r w:rsidR="00236919" w:rsidRPr="00BC31E0">
        <w:rPr>
          <w:rFonts w:hint="eastAsia"/>
        </w:rPr>
        <w:t>における</w:t>
      </w:r>
      <w:r w:rsidRPr="00BC31E0">
        <w:rPr>
          <w:rFonts w:hint="eastAsia"/>
        </w:rPr>
        <w:t>降伏強さが層成材の設計温度</w:t>
      </w:r>
      <w:r w:rsidR="00236919" w:rsidRPr="00BC31E0">
        <w:rPr>
          <w:rFonts w:hint="eastAsia"/>
        </w:rPr>
        <w:t>における</w:t>
      </w:r>
      <w:r w:rsidRPr="00BC31E0">
        <w:rPr>
          <w:rFonts w:hint="eastAsia"/>
        </w:rPr>
        <w:t>平均降伏強さの</w:t>
      </w:r>
      <w:r w:rsidRPr="00BC31E0">
        <w:t>1</w:t>
      </w:r>
      <w:r w:rsidRPr="00BC31E0">
        <w:rPr>
          <w:rFonts w:eastAsiaTheme="minorEastAsia"/>
        </w:rPr>
        <w:t>/</w:t>
      </w:r>
      <w:r w:rsidRPr="00BC31E0">
        <w:t>2</w:t>
      </w:r>
      <w:r w:rsidRPr="00BC31E0">
        <w:rPr>
          <w:rFonts w:hint="eastAsia"/>
        </w:rPr>
        <w:t>未満の場合には，内層材は強度部材とみなせない。層成材の設計温度</w:t>
      </w:r>
      <w:r w:rsidR="00236919" w:rsidRPr="00BC31E0">
        <w:rPr>
          <w:rFonts w:hint="eastAsia"/>
        </w:rPr>
        <w:t>における</w:t>
      </w:r>
      <w:r w:rsidRPr="00BC31E0">
        <w:rPr>
          <w:rFonts w:hint="eastAsia"/>
        </w:rPr>
        <w:t>降伏強さの差は</w:t>
      </w:r>
      <w:r w:rsidRPr="00BC31E0">
        <w:t>20%</w:t>
      </w:r>
      <w:r w:rsidRPr="00BC31E0">
        <w:rPr>
          <w:rFonts w:hint="eastAsia"/>
        </w:rPr>
        <w:t>以内としなければならない。この規定を満足しない最外層</w:t>
      </w:r>
      <w:r w:rsidRPr="00BC31E0">
        <w:rPr>
          <w:rFonts w:hint="eastAsia"/>
        </w:rPr>
        <w:t>(</w:t>
      </w:r>
      <w:r w:rsidRPr="00BC31E0">
        <w:rPr>
          <w:rFonts w:hint="eastAsia"/>
        </w:rPr>
        <w:t>カバーシェル</w:t>
      </w:r>
      <w:r w:rsidRPr="00BC31E0">
        <w:rPr>
          <w:rFonts w:hint="eastAsia"/>
        </w:rPr>
        <w:t>)</w:t>
      </w:r>
      <w:r w:rsidRPr="00BC31E0">
        <w:rPr>
          <w:rFonts w:hint="eastAsia"/>
        </w:rPr>
        <w:t>は強度部材とみなせない。</w:t>
      </w:r>
    </w:p>
    <w:p w14:paraId="27467830" w14:textId="77777777" w:rsidR="0081331C" w:rsidRPr="00BC31E0" w:rsidRDefault="0081331C" w:rsidP="00736130">
      <w:pPr>
        <w:pStyle w:val="a4"/>
        <w:numPr>
          <w:ilvl w:val="0"/>
          <w:numId w:val="102"/>
        </w:numPr>
        <w:ind w:leftChars="0" w:left="738" w:hanging="454"/>
        <w:rPr>
          <w:rFonts w:asciiTheme="majorEastAsia" w:eastAsiaTheme="majorEastAsia" w:hAnsiTheme="majorEastAsia"/>
          <w:b/>
        </w:rPr>
      </w:pPr>
      <w:r w:rsidRPr="00BC31E0">
        <w:rPr>
          <w:rFonts w:asciiTheme="majorEastAsia" w:eastAsiaTheme="majorEastAsia" w:hAnsiTheme="majorEastAsia" w:hint="eastAsia"/>
          <w:b/>
        </w:rPr>
        <w:t>付加的な荷重</w:t>
      </w:r>
      <w:r w:rsidRPr="00BC31E0">
        <w:rPr>
          <w:rFonts w:asciiTheme="minorEastAsia" w:eastAsiaTheme="minorEastAsia" w:hAnsiTheme="minorEastAsia" w:hint="eastAsia"/>
        </w:rPr>
        <w:t xml:space="preserve">　胴に内圧以外の付加的な荷重が作用する場合には，付加的な荷重を考慮したときの崩壊圧力が設計圧力の</w:t>
      </w:r>
      <w:r w:rsidRPr="00BC31E0">
        <w:rPr>
          <w:rFonts w:eastAsiaTheme="minorEastAsia"/>
        </w:rPr>
        <w:t>1.732</w:t>
      </w:r>
      <w:r w:rsidRPr="00BC31E0">
        <w:rPr>
          <w:rFonts w:asciiTheme="minorEastAsia" w:eastAsiaTheme="minorEastAsia" w:hAnsiTheme="minorEastAsia" w:hint="eastAsia"/>
        </w:rPr>
        <w:t>倍以上でなければならない。</w:t>
      </w:r>
    </w:p>
    <w:p w14:paraId="557D8142" w14:textId="77777777" w:rsidR="0081331C" w:rsidRPr="00BC31E0" w:rsidRDefault="0081331C" w:rsidP="00736130">
      <w:pPr>
        <w:pStyle w:val="a4"/>
        <w:numPr>
          <w:ilvl w:val="0"/>
          <w:numId w:val="97"/>
        </w:numPr>
        <w:spacing w:after="120"/>
        <w:ind w:leftChars="0" w:left="454" w:hanging="454"/>
      </w:pPr>
      <w:r w:rsidRPr="00BC31E0">
        <w:rPr>
          <w:rFonts w:asciiTheme="majorEastAsia" w:eastAsiaTheme="majorEastAsia" w:hAnsiTheme="majorEastAsia" w:hint="eastAsia"/>
          <w:b/>
        </w:rPr>
        <w:t>外圧による胴</w:t>
      </w:r>
      <w:r w:rsidRPr="00BC31E0">
        <w:rPr>
          <w:rFonts w:hint="eastAsia"/>
        </w:rPr>
        <w:t xml:space="preserve">　全ての荷重が考慮され，長手方向応力が中間主応力であれば，上記</w:t>
      </w:r>
      <w:r w:rsidRPr="00BC31E0">
        <w:rPr>
          <w:rFonts w:asciiTheme="majorEastAsia" w:eastAsiaTheme="majorEastAsia" w:hAnsiTheme="majorEastAsia" w:hint="eastAsia"/>
          <w:b/>
        </w:rPr>
        <w:t>a)</w:t>
      </w:r>
      <w:r w:rsidRPr="00BC31E0">
        <w:rPr>
          <w:rFonts w:hint="eastAsia"/>
        </w:rPr>
        <w:t>で与えられている同じ計算式を使う。ただし，座屈によるチェックを行う。単肉胴の場合は次式を使用し，上記</w:t>
      </w:r>
      <w:r w:rsidRPr="00BC31E0">
        <w:rPr>
          <w:rFonts w:asciiTheme="majorEastAsia" w:eastAsiaTheme="majorEastAsia" w:hAnsiTheme="majorEastAsia" w:hint="eastAsia"/>
          <w:b/>
        </w:rPr>
        <w:t>a)</w:t>
      </w:r>
      <w:r w:rsidRPr="00BC31E0">
        <w:rPr>
          <w:rFonts w:hint="eastAsia"/>
        </w:rPr>
        <w:t>で得られる</w:t>
      </w:r>
      <m:oMath>
        <m:sSub>
          <m:sSubPr>
            <m:ctrlPr>
              <w:rPr>
                <w:rFonts w:ascii="Cambria Math" w:hAnsi="Cambria Math"/>
                <w:i/>
              </w:rPr>
            </m:ctrlPr>
          </m:sSubPr>
          <m:e>
            <m:r>
              <w:rPr>
                <w:rFonts w:ascii="Cambria Math" w:hAnsi="Cambria Math"/>
              </w:rPr>
              <m:t xml:space="preserve"> P</m:t>
            </m:r>
          </m:e>
          <m:sub>
            <m:r>
              <w:rPr>
                <w:rFonts w:ascii="Cambria Math" w:hAnsi="Cambria Math"/>
              </w:rPr>
              <m:t>D</m:t>
            </m:r>
          </m:sub>
        </m:sSub>
        <m:r>
          <w:rPr>
            <w:rFonts w:ascii="Cambria Math" w:hAnsi="Cambria Math"/>
          </w:rPr>
          <m:t xml:space="preserve"> </m:t>
        </m:r>
      </m:oMath>
      <w:r w:rsidRPr="00BC31E0">
        <w:rPr>
          <w:rFonts w:hint="eastAsia"/>
        </w:rPr>
        <w:t>値以下とする。</w:t>
      </w:r>
    </w:p>
    <w:tbl>
      <w:tblPr>
        <w:tblStyle w:val="afff2"/>
        <w:tblW w:w="5670" w:type="dxa"/>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1"/>
        <w:gridCol w:w="3859"/>
      </w:tblGrid>
      <w:tr w:rsidR="0081331C" w:rsidRPr="00BC31E0" w14:paraId="375FA7EF" w14:textId="77777777" w:rsidTr="00E20930">
        <w:tc>
          <w:tcPr>
            <w:tcW w:w="0" w:type="auto"/>
            <w:tcMar>
              <w:left w:w="0" w:type="dxa"/>
              <w:right w:w="0" w:type="dxa"/>
            </w:tcMar>
            <w:vAlign w:val="center"/>
          </w:tcPr>
          <w:p w14:paraId="4AD4A72E" w14:textId="77777777" w:rsidR="0081331C" w:rsidRPr="00BC31E0" w:rsidRDefault="00A51873" w:rsidP="00E20930">
            <w:pPr>
              <w:tabs>
                <w:tab w:val="left" w:pos="3402"/>
                <w:tab w:val="left" w:leader="middleDot" w:pos="8222"/>
              </w:tabs>
              <w:jc w:val="left"/>
            </w:pPr>
            <m:oMathPara>
              <m:oMath>
                <m:sSub>
                  <m:sSubPr>
                    <m:ctrlPr>
                      <w:rPr>
                        <w:rFonts w:ascii="Cambria Math" w:hAnsi="Cambria Math"/>
                        <w:i/>
                      </w:rPr>
                    </m:ctrlPr>
                  </m:sSubPr>
                  <m:e>
                    <m:r>
                      <w:rPr>
                        <w:rFonts w:ascii="Cambria Math" w:hAnsi="Cambria Math"/>
                      </w:rPr>
                      <m:t>P</m:t>
                    </m:r>
                  </m:e>
                  <m:sub>
                    <m:r>
                      <w:rPr>
                        <w:rFonts w:ascii="Cambria Math" w:hAnsi="Cambria Math"/>
                      </w:rPr>
                      <m:t>D</m:t>
                    </m:r>
                  </m:sub>
                </m:sSub>
                <m:r>
                  <m:rPr>
                    <m:sty m:val="p"/>
                  </m:rPr>
                  <w:rPr>
                    <w:rFonts w:ascii="Cambria Math" w:hAnsi="Cambria Math"/>
                  </w:rPr>
                  <m:t>=</m:t>
                </m:r>
                <m:f>
                  <m:fPr>
                    <m:ctrlPr>
                      <w:rPr>
                        <w:rFonts w:ascii="Cambria Math" w:hAnsi="Cambria Math"/>
                      </w:rPr>
                    </m:ctrlPr>
                  </m:fPr>
                  <m:num>
                    <m:r>
                      <w:rPr>
                        <w:rFonts w:ascii="Cambria Math" w:hAnsi="Cambria Math"/>
                      </w:rPr>
                      <m:t>E</m:t>
                    </m:r>
                    <m:sSup>
                      <m:sSupPr>
                        <m:ctrlPr>
                          <w:rPr>
                            <w:rFonts w:ascii="Cambria Math" w:hAnsi="Cambria Math"/>
                          </w:rPr>
                        </m:ctrlPr>
                      </m:sSupPr>
                      <m:e>
                        <m:r>
                          <m:rPr>
                            <m:sty m:val="p"/>
                          </m:rPr>
                          <w:rPr>
                            <w:rFonts w:ascii="Cambria Math" w:hAnsi="Cambria Math"/>
                          </w:rPr>
                          <m:t xml:space="preserve"> </m:t>
                        </m:r>
                        <m:d>
                          <m:dPr>
                            <m:ctrlPr>
                              <w:rPr>
                                <w:rFonts w:ascii="Cambria Math" w:hAnsi="Cambria Math"/>
                              </w:rPr>
                            </m:ctrlPr>
                          </m:dPr>
                          <m:e>
                            <m:r>
                              <w:rPr>
                                <w:rFonts w:ascii="Cambria Math" w:hAnsi="Cambria Math"/>
                              </w:rPr>
                              <m:t>Y</m:t>
                            </m:r>
                            <m:r>
                              <m:rPr>
                                <m:sty m:val="p"/>
                              </m:rPr>
                              <w:rPr>
                                <w:rFonts w:ascii="Cambria Math" w:hAnsi="Cambria Math"/>
                              </w:rPr>
                              <m:t>-1</m:t>
                            </m:r>
                          </m:e>
                        </m:d>
                      </m:e>
                      <m:sup>
                        <m:r>
                          <m:rPr>
                            <m:sty m:val="p"/>
                          </m:rPr>
                          <w:rPr>
                            <w:rFonts w:ascii="Cambria Math" w:hAnsi="Cambria Math"/>
                          </w:rPr>
                          <m:t>3</m:t>
                        </m:r>
                      </m:sup>
                    </m:sSup>
                  </m:num>
                  <m:den>
                    <m:r>
                      <m:rPr>
                        <m:sty m:val="p"/>
                      </m:rPr>
                      <w:rPr>
                        <w:rFonts w:ascii="Cambria Math" w:hAnsi="Cambria Math"/>
                      </w:rPr>
                      <m:t xml:space="preserve">40 </m:t>
                    </m:r>
                    <m:d>
                      <m:dPr>
                        <m:ctrlPr>
                          <w:rPr>
                            <w:rFonts w:ascii="Cambria Math" w:hAnsi="Cambria Math"/>
                          </w:rPr>
                        </m:ctrlPr>
                      </m:dPr>
                      <m:e>
                        <m:r>
                          <m:rPr>
                            <m:sty m:val="p"/>
                          </m:rPr>
                          <w:rPr>
                            <w:rFonts w:ascii="Cambria Math" w:hAnsi="Cambria Math"/>
                          </w:rPr>
                          <m:t>1-</m:t>
                        </m:r>
                        <m:sSup>
                          <m:sSupPr>
                            <m:ctrlPr>
                              <w:rPr>
                                <w:rFonts w:ascii="Cambria Math" w:hAnsi="Cambria Math"/>
                              </w:rPr>
                            </m:ctrlPr>
                          </m:sSupPr>
                          <m:e>
                            <m:r>
                              <w:rPr>
                                <w:rFonts w:ascii="Cambria Math" w:hAnsi="Cambria Math"/>
                              </w:rPr>
                              <m:t>ν</m:t>
                            </m:r>
                          </m:e>
                          <m:sup>
                            <m:r>
                              <m:rPr>
                                <m:sty m:val="p"/>
                              </m:rPr>
                              <w:rPr>
                                <w:rFonts w:ascii="Cambria Math" w:hAnsi="Cambria Math" w:hint="eastAsia"/>
                              </w:rPr>
                              <m:t>2</m:t>
                            </m:r>
                          </m:sup>
                        </m:sSup>
                      </m:e>
                    </m:d>
                    <m:r>
                      <m:rPr>
                        <m:sty m:val="p"/>
                      </m:rPr>
                      <w:rPr>
                        <w:rFonts w:ascii="Cambria Math" w:hAnsi="Cambria Math"/>
                      </w:rPr>
                      <m:t xml:space="preserve"> </m:t>
                    </m:r>
                    <m:sSup>
                      <m:sSupPr>
                        <m:ctrlPr>
                          <w:rPr>
                            <w:rFonts w:ascii="Cambria Math" w:hAnsi="Cambria Math"/>
                          </w:rPr>
                        </m:ctrlPr>
                      </m:sSupPr>
                      <m:e>
                        <m:r>
                          <w:rPr>
                            <w:rFonts w:ascii="Cambria Math" w:hAnsi="Cambria Math"/>
                          </w:rPr>
                          <m:t>Y</m:t>
                        </m:r>
                      </m:e>
                      <m:sup>
                        <m:r>
                          <m:rPr>
                            <m:sty m:val="p"/>
                          </m:rPr>
                          <w:rPr>
                            <w:rFonts w:ascii="Cambria Math" w:hAnsi="Cambria Math"/>
                          </w:rPr>
                          <m:t>3</m:t>
                        </m:r>
                      </m:sup>
                    </m:sSup>
                  </m:den>
                </m:f>
              </m:oMath>
            </m:oMathPara>
          </w:p>
        </w:tc>
        <w:tc>
          <w:tcPr>
            <w:tcW w:w="3859" w:type="dxa"/>
            <w:tcMar>
              <w:left w:w="0" w:type="dxa"/>
              <w:right w:w="0" w:type="dxa"/>
            </w:tcMar>
            <w:vAlign w:val="center"/>
          </w:tcPr>
          <w:p w14:paraId="5B1E6042" w14:textId="77777777" w:rsidR="0081331C" w:rsidRPr="00BC31E0" w:rsidRDefault="0081331C" w:rsidP="00E20930">
            <w:pPr>
              <w:tabs>
                <w:tab w:val="left" w:leader="middleDot" w:pos="3150"/>
              </w:tabs>
              <w:jc w:val="left"/>
            </w:pPr>
            <w:r w:rsidRPr="00BC31E0">
              <w:tab/>
            </w:r>
            <w:r w:rsidRPr="00BC31E0">
              <w:rPr>
                <w:rFonts w:hint="eastAsia"/>
              </w:rPr>
              <w:t>(6.2.7)</w:t>
            </w:r>
          </w:p>
        </w:tc>
      </w:tr>
    </w:tbl>
    <w:p w14:paraId="6BBA3B23" w14:textId="77777777" w:rsidR="0081331C" w:rsidRPr="00BC31E0" w:rsidRDefault="0081331C" w:rsidP="00F73C28">
      <w:pPr>
        <w:pStyle w:val="3"/>
        <w:tabs>
          <w:tab w:val="clear" w:pos="284"/>
        </w:tabs>
        <w:ind w:left="794" w:hanging="794"/>
      </w:pPr>
      <w:r w:rsidRPr="00BC31E0">
        <w:rPr>
          <w:rFonts w:hint="eastAsia"/>
        </w:rPr>
        <w:t>弾塑性解析</w:t>
      </w:r>
    </w:p>
    <w:p w14:paraId="627B9A36" w14:textId="77777777" w:rsidR="0081331C" w:rsidRPr="00BC31E0" w:rsidRDefault="0081331C" w:rsidP="0081331C">
      <w:pPr>
        <w:ind w:firstLineChars="100" w:firstLine="210"/>
      </w:pPr>
      <w:r w:rsidRPr="00BC31E0">
        <w:rPr>
          <w:rFonts w:hint="eastAsia"/>
        </w:rPr>
        <w:t>弾塑性解析が，</w:t>
      </w:r>
      <w:r w:rsidRPr="00BC31E0">
        <w:rPr>
          <w:rFonts w:ascii="ＭＳ ゴシック" w:eastAsia="ＭＳ ゴシック" w:hint="eastAsia"/>
          <w:b/>
        </w:rPr>
        <w:t>表6.2.1</w:t>
      </w:r>
      <w:r w:rsidRPr="00BC31E0">
        <w:rPr>
          <w:rFonts w:hint="eastAsia"/>
        </w:rPr>
        <w:t>，</w:t>
      </w:r>
      <w:r w:rsidRPr="00BC31E0">
        <w:rPr>
          <w:rFonts w:ascii="ＭＳ ゴシック" w:eastAsia="ＭＳ ゴシック" w:hint="eastAsia"/>
          <w:b/>
        </w:rPr>
        <w:t>表6.2.2</w:t>
      </w:r>
      <w:r w:rsidR="006207F6" w:rsidRPr="00BC31E0">
        <w:rPr>
          <w:rFonts w:hint="eastAsia"/>
        </w:rPr>
        <w:t>の荷重条件で有限要素法，差分法など</w:t>
      </w:r>
      <w:r w:rsidRPr="00BC31E0">
        <w:rPr>
          <w:rFonts w:hint="eastAsia"/>
        </w:rPr>
        <w:t>の数値解析法によって実施される場合，</w:t>
      </w:r>
      <w:r w:rsidRPr="00BC31E0">
        <w:rPr>
          <w:rFonts w:ascii="ＭＳ ゴシック" w:eastAsia="ＭＳ ゴシック" w:hint="eastAsia"/>
          <w:b/>
        </w:rPr>
        <w:t>6.2.2</w:t>
      </w:r>
      <w:r w:rsidRPr="00BC31E0">
        <w:rPr>
          <w:rFonts w:hint="eastAsia"/>
        </w:rPr>
        <w:t>に示す円筒及び球形胴の計算式を使用する必要はない。弾塑性解析は，次の</w:t>
      </w:r>
      <w:r w:rsidRPr="00BC31E0">
        <w:rPr>
          <w:rFonts w:ascii="ＭＳ ゴシック" w:hAnsi="ＭＳ ゴシック" w:hint="eastAsia"/>
          <w:b/>
        </w:rPr>
        <w:t>a)</w:t>
      </w:r>
      <w:r w:rsidRPr="00BC31E0">
        <w:rPr>
          <w:rFonts w:hint="eastAsia"/>
        </w:rPr>
        <w:t>～</w:t>
      </w:r>
      <w:r w:rsidRPr="00BC31E0">
        <w:rPr>
          <w:rFonts w:ascii="ＭＳ ゴシック" w:hAnsi="ＭＳ ゴシック" w:hint="eastAsia"/>
          <w:b/>
        </w:rPr>
        <w:t>f)</w:t>
      </w:r>
      <w:r w:rsidRPr="00BC31E0">
        <w:rPr>
          <w:rFonts w:hint="eastAsia"/>
        </w:rPr>
        <w:t>による。</w:t>
      </w:r>
    </w:p>
    <w:p w14:paraId="3AD7E40E" w14:textId="77777777" w:rsidR="0081331C" w:rsidRPr="00BC31E0" w:rsidRDefault="0081331C" w:rsidP="00736130">
      <w:pPr>
        <w:pStyle w:val="a4"/>
        <w:numPr>
          <w:ilvl w:val="0"/>
          <w:numId w:val="103"/>
        </w:numPr>
        <w:ind w:leftChars="0" w:left="454" w:hanging="454"/>
      </w:pPr>
      <w:r w:rsidRPr="00BC31E0">
        <w:rPr>
          <w:rFonts w:asciiTheme="majorEastAsia" w:eastAsiaTheme="majorEastAsia" w:hAnsiTheme="majorEastAsia" w:hint="eastAsia"/>
          <w:b/>
        </w:rPr>
        <w:t>弾塑性解析法</w:t>
      </w:r>
      <w:r w:rsidRPr="00BC31E0">
        <w:rPr>
          <w:rFonts w:hint="eastAsia"/>
        </w:rPr>
        <w:t xml:space="preserve">　塑性崩壊に対する評価は，荷重抵抗係数を考慮した組合せ荷重を用いて弾塑性解析を行い部品の塑性崩壊組合せ荷重</w:t>
      </w:r>
      <w:r w:rsidR="0012016E" w:rsidRPr="00BC31E0">
        <w:rPr>
          <w:rFonts w:hint="eastAsia"/>
        </w:rPr>
        <w:t>を</w:t>
      </w:r>
      <w:r w:rsidR="009C009D" w:rsidRPr="00BC31E0">
        <w:rPr>
          <w:rFonts w:hint="eastAsia"/>
        </w:rPr>
        <w:t>決定</w:t>
      </w:r>
      <w:r w:rsidRPr="00BC31E0">
        <w:rPr>
          <w:rFonts w:hint="eastAsia"/>
        </w:rPr>
        <w:t>することによって評価される。弾塑性解析は，部品の塑性変形と変形特性の結果として生じる応力の再配分を考慮することによって，実際の挙動を近似する。弾塑性解析は，次の</w:t>
      </w:r>
      <w:r w:rsidRPr="00BC31E0">
        <w:rPr>
          <w:rFonts w:asciiTheme="majorEastAsia" w:eastAsiaTheme="majorEastAsia" w:hAnsiTheme="majorEastAsia" w:hint="eastAsia"/>
          <w:b/>
        </w:rPr>
        <w:t>1)</w:t>
      </w:r>
      <w:r w:rsidRPr="00BC31E0">
        <w:rPr>
          <w:rFonts w:hint="eastAsia"/>
        </w:rPr>
        <w:t>～</w:t>
      </w:r>
      <w:r w:rsidRPr="00BC31E0">
        <w:rPr>
          <w:rFonts w:asciiTheme="majorEastAsia" w:eastAsiaTheme="majorEastAsia" w:hAnsiTheme="majorEastAsia" w:hint="eastAsia"/>
          <w:b/>
        </w:rPr>
        <w:t>4)</w:t>
      </w:r>
      <w:r w:rsidRPr="00BC31E0">
        <w:rPr>
          <w:rFonts w:hint="eastAsia"/>
        </w:rPr>
        <w:t>による。</w:t>
      </w:r>
    </w:p>
    <w:p w14:paraId="0754D025" w14:textId="77777777" w:rsidR="0081331C" w:rsidRPr="00BC31E0" w:rsidRDefault="0081331C" w:rsidP="00736130">
      <w:pPr>
        <w:pStyle w:val="a4"/>
        <w:numPr>
          <w:ilvl w:val="0"/>
          <w:numId w:val="104"/>
        </w:numPr>
        <w:ind w:leftChars="0" w:left="738" w:hanging="454"/>
      </w:pPr>
      <w:r w:rsidRPr="00BC31E0">
        <w:rPr>
          <w:rFonts w:asciiTheme="majorEastAsia" w:eastAsiaTheme="majorEastAsia" w:hAnsiTheme="majorEastAsia" w:hint="eastAsia"/>
          <w:b/>
        </w:rPr>
        <w:t>弾塑性数値解析</w:t>
      </w:r>
      <w:r w:rsidRPr="00BC31E0">
        <w:rPr>
          <w:rFonts w:hint="eastAsia"/>
        </w:rPr>
        <w:t xml:space="preserve">　塑性崩壊荷重は，弾塑性材料モデルを反映した数値解析</w:t>
      </w:r>
      <w:r w:rsidR="00A72BB9" w:rsidRPr="00BC31E0">
        <w:rPr>
          <w:rFonts w:hint="eastAsia"/>
        </w:rPr>
        <w:t>手法</w:t>
      </w:r>
      <w:r w:rsidRPr="00BC31E0">
        <w:t>(</w:t>
      </w:r>
      <w:r w:rsidRPr="00BC31E0">
        <w:rPr>
          <w:rFonts w:hint="eastAsia"/>
        </w:rPr>
        <w:t>有限要素法など</w:t>
      </w:r>
      <w:r w:rsidRPr="00BC31E0">
        <w:t>)</w:t>
      </w:r>
      <w:r w:rsidRPr="00BC31E0">
        <w:rPr>
          <w:rFonts w:hint="eastAsia"/>
        </w:rPr>
        <w:t>によって</w:t>
      </w:r>
      <w:r w:rsidR="00783F07" w:rsidRPr="00BC31E0">
        <w:rPr>
          <w:rFonts w:hint="eastAsia"/>
        </w:rPr>
        <w:t>求める</w:t>
      </w:r>
      <w:r w:rsidRPr="00BC31E0">
        <w:rPr>
          <w:rFonts w:hint="eastAsia"/>
        </w:rPr>
        <w:t>。非線形の効果は，この解析で考慮する。塑性崩壊荷重は，構造全体の不安定状態</w:t>
      </w:r>
      <w:r w:rsidR="002A4909" w:rsidRPr="00BC31E0">
        <w:rPr>
          <w:rFonts w:hint="eastAsia"/>
        </w:rPr>
        <w:t>をもたらす荷重であり，塑性崩壊状態では荷重を微増させても均衡解が得られない</w:t>
      </w:r>
      <w:r w:rsidRPr="00BC31E0">
        <w:rPr>
          <w:rFonts w:hint="eastAsia"/>
        </w:rPr>
        <w:t>。</w:t>
      </w:r>
    </w:p>
    <w:p w14:paraId="5BC1D3DC" w14:textId="77777777" w:rsidR="0081331C" w:rsidRPr="00BC31E0" w:rsidRDefault="0081331C" w:rsidP="00736130">
      <w:pPr>
        <w:pStyle w:val="a4"/>
        <w:numPr>
          <w:ilvl w:val="0"/>
          <w:numId w:val="104"/>
        </w:numPr>
        <w:ind w:leftChars="0" w:left="738" w:hanging="454"/>
      </w:pPr>
      <w:r w:rsidRPr="00BC31E0">
        <w:rPr>
          <w:rFonts w:asciiTheme="majorEastAsia" w:eastAsiaTheme="majorEastAsia" w:hAnsiTheme="majorEastAsia" w:hint="eastAsia"/>
          <w:b/>
        </w:rPr>
        <w:t>弾塑性許容クライテリア</w:t>
      </w:r>
      <w:r w:rsidRPr="00BC31E0">
        <w:rPr>
          <w:rFonts w:hint="eastAsia"/>
        </w:rPr>
        <w:t xml:space="preserve">　弾塑性解析による部品の許容値は，次による。</w:t>
      </w:r>
    </w:p>
    <w:p w14:paraId="35E99682" w14:textId="77777777" w:rsidR="0081331C" w:rsidRPr="00BC31E0" w:rsidRDefault="0081331C" w:rsidP="00736130">
      <w:pPr>
        <w:pStyle w:val="a4"/>
        <w:numPr>
          <w:ilvl w:val="0"/>
          <w:numId w:val="105"/>
        </w:numPr>
        <w:ind w:leftChars="0" w:left="1134" w:hanging="567"/>
      </w:pPr>
      <w:r w:rsidRPr="00BC31E0">
        <w:rPr>
          <w:rFonts w:asciiTheme="majorEastAsia" w:eastAsiaTheme="majorEastAsia" w:hAnsiTheme="majorEastAsia" w:hint="eastAsia"/>
          <w:b/>
        </w:rPr>
        <w:t>全体的崩壊</w:t>
      </w:r>
      <w:r w:rsidRPr="00BC31E0">
        <w:rPr>
          <w:rFonts w:hint="eastAsia"/>
        </w:rPr>
        <w:t xml:space="preserve">　全体的塑性崩壊荷重は，規定された荷重条件に従った弾塑性解析を実施することによって決まる。その塑性崩壊荷重は，構造全体の不安定をもたらす荷重である。</w:t>
      </w:r>
      <w:r w:rsidRPr="00BC31E0">
        <w:t>荷重抵抗係数設計</w:t>
      </w:r>
      <w:r w:rsidRPr="00BC31E0">
        <w:t>(LR</w:t>
      </w:r>
      <w:r w:rsidRPr="00BC31E0">
        <w:rPr>
          <w:rFonts w:hint="eastAsia"/>
        </w:rPr>
        <w:t>F</w:t>
      </w:r>
      <w:r w:rsidRPr="00BC31E0">
        <w:t>D</w:t>
      </w:r>
      <w:r w:rsidRPr="00BC31E0">
        <w:rPr>
          <w:rFonts w:hint="eastAsia"/>
        </w:rPr>
        <w:t>)</w:t>
      </w:r>
      <w:r w:rsidRPr="00BC31E0">
        <w:rPr>
          <w:rFonts w:hint="eastAsia"/>
        </w:rPr>
        <w:t>の概念は，塑性崩壊荷重の厳密計算への代案として使用される。この手順において，</w:t>
      </w:r>
      <w:r w:rsidRPr="00BC31E0">
        <w:rPr>
          <w:rFonts w:asciiTheme="majorEastAsia" w:eastAsiaTheme="majorEastAsia" w:hAnsiTheme="majorEastAsia" w:hint="eastAsia"/>
          <w:b/>
        </w:rPr>
        <w:t>表6.2.3</w:t>
      </w:r>
      <w:r w:rsidRPr="00BC31E0">
        <w:rPr>
          <w:rFonts w:hAnsi="ＭＳ 明朝" w:hint="eastAsia"/>
        </w:rPr>
        <w:t>に示した</w:t>
      </w:r>
      <w:r w:rsidRPr="00BC31E0">
        <w:rPr>
          <w:rFonts w:hint="eastAsia"/>
        </w:rPr>
        <w:t>荷重抵抗係数を考慮した組合せ荷重とその組合せ荷重に対する部品の抵抗値は，弾塑性解析によって求められる。</w:t>
      </w:r>
    </w:p>
    <w:p w14:paraId="5D3FCF2B" w14:textId="77777777" w:rsidR="0081331C" w:rsidRPr="00BC31E0" w:rsidRDefault="0081331C" w:rsidP="00736130">
      <w:pPr>
        <w:pStyle w:val="a4"/>
        <w:numPr>
          <w:ilvl w:val="0"/>
          <w:numId w:val="105"/>
        </w:numPr>
        <w:ind w:leftChars="0" w:left="1134" w:hanging="567"/>
      </w:pPr>
      <w:r w:rsidRPr="00BC31E0">
        <w:rPr>
          <w:rFonts w:asciiTheme="majorEastAsia" w:eastAsiaTheme="majorEastAsia" w:hAnsiTheme="majorEastAsia" w:hint="eastAsia"/>
          <w:b/>
        </w:rPr>
        <w:t>機能に対する制限</w:t>
      </w:r>
      <w:r w:rsidRPr="00BC31E0">
        <w:rPr>
          <w:rFonts w:hint="eastAsia"/>
        </w:rPr>
        <w:t xml:space="preserve">　機能制限は，設計荷重が負荷された状態で</w:t>
      </w:r>
      <w:r w:rsidR="00DC160D" w:rsidRPr="00BC31E0">
        <w:rPr>
          <w:rFonts w:hint="eastAsia"/>
        </w:rPr>
        <w:t>全</w:t>
      </w:r>
      <w:r w:rsidRPr="00BC31E0">
        <w:rPr>
          <w:rFonts w:hint="eastAsia"/>
        </w:rPr>
        <w:t>ての部品で満足しなければならない。例えば，機能制限とは，フランジの回転による漏洩を防ぐための制限や蒸留塔のたわみ制限</w:t>
      </w:r>
      <w:r w:rsidR="00E15B44" w:rsidRPr="00BC31E0">
        <w:rPr>
          <w:rFonts w:hint="eastAsia"/>
        </w:rPr>
        <w:t>など</w:t>
      </w:r>
      <w:r w:rsidRPr="00BC31E0">
        <w:rPr>
          <w:rFonts w:hint="eastAsia"/>
        </w:rPr>
        <w:t>である。</w:t>
      </w:r>
    </w:p>
    <w:p w14:paraId="73FB8B92" w14:textId="77777777" w:rsidR="0081331C" w:rsidRPr="00BC31E0" w:rsidRDefault="0081331C" w:rsidP="00736130">
      <w:pPr>
        <w:pStyle w:val="a4"/>
        <w:numPr>
          <w:ilvl w:val="0"/>
          <w:numId w:val="105"/>
        </w:numPr>
        <w:ind w:leftChars="0" w:left="1134" w:hanging="567"/>
      </w:pPr>
      <w:r w:rsidRPr="00BC31E0">
        <w:rPr>
          <w:rFonts w:asciiTheme="majorEastAsia" w:eastAsiaTheme="majorEastAsia" w:hAnsiTheme="majorEastAsia" w:hint="eastAsia"/>
          <w:b/>
        </w:rPr>
        <w:t>局所損傷の条件</w:t>
      </w:r>
      <w:r w:rsidRPr="00BC31E0">
        <w:rPr>
          <w:rFonts w:hint="eastAsia"/>
        </w:rPr>
        <w:t xml:space="preserve">　次の</w:t>
      </w:r>
      <w:r w:rsidRPr="00BC31E0">
        <w:rPr>
          <w:rFonts w:asciiTheme="majorEastAsia" w:eastAsiaTheme="majorEastAsia" w:hAnsiTheme="majorEastAsia" w:hint="eastAsia"/>
          <w:b/>
        </w:rPr>
        <w:t>b)</w:t>
      </w:r>
      <w:r w:rsidRPr="00BC31E0">
        <w:rPr>
          <w:rFonts w:hint="eastAsia"/>
        </w:rPr>
        <w:t>による。</w:t>
      </w:r>
    </w:p>
    <w:p w14:paraId="14264FE9" w14:textId="77777777" w:rsidR="0081331C" w:rsidRPr="00BC31E0" w:rsidRDefault="0081331C" w:rsidP="00736130">
      <w:pPr>
        <w:pStyle w:val="a4"/>
        <w:numPr>
          <w:ilvl w:val="0"/>
          <w:numId w:val="105"/>
        </w:numPr>
        <w:ind w:leftChars="0" w:left="1134" w:hanging="567"/>
      </w:pPr>
      <w:r w:rsidRPr="00BC31E0">
        <w:rPr>
          <w:rFonts w:asciiTheme="majorEastAsia" w:eastAsiaTheme="majorEastAsia" w:hAnsiTheme="majorEastAsia" w:hint="eastAsia"/>
          <w:b/>
        </w:rPr>
        <w:lastRenderedPageBreak/>
        <w:t>耐圧試験時</w:t>
      </w:r>
      <w:r w:rsidRPr="00BC31E0">
        <w:rPr>
          <w:rFonts w:hint="eastAsia"/>
        </w:rPr>
        <w:t xml:space="preserve">　</w:t>
      </w:r>
      <w:r w:rsidR="00DC160D" w:rsidRPr="00BC31E0">
        <w:rPr>
          <w:rFonts w:hint="eastAsia"/>
        </w:rPr>
        <w:t>全</w:t>
      </w:r>
      <w:r w:rsidRPr="00BC31E0">
        <w:rPr>
          <w:rFonts w:hint="eastAsia"/>
        </w:rPr>
        <w:t>ての部品は，次の</w:t>
      </w:r>
      <w:r w:rsidRPr="00BC31E0">
        <w:rPr>
          <w:rFonts w:asciiTheme="majorEastAsia" w:eastAsiaTheme="majorEastAsia" w:hAnsiTheme="majorEastAsia" w:hint="eastAsia"/>
          <w:b/>
        </w:rPr>
        <w:t>f)</w:t>
      </w:r>
      <w:r w:rsidRPr="00BC31E0">
        <w:rPr>
          <w:rFonts w:hint="eastAsia"/>
        </w:rPr>
        <w:t>の耐圧試験時の評価を満足しなければならない。容器の安定性と健全性は，設計者によって評価され，その結果は製作者設計報告書に含めなければならない。</w:t>
      </w:r>
    </w:p>
    <w:p w14:paraId="1CD45877" w14:textId="77777777" w:rsidR="0081331C" w:rsidRPr="00BC31E0" w:rsidRDefault="0081331C" w:rsidP="00736130">
      <w:pPr>
        <w:pStyle w:val="a4"/>
        <w:numPr>
          <w:ilvl w:val="0"/>
          <w:numId w:val="106"/>
        </w:numPr>
        <w:ind w:leftChars="0" w:left="738" w:hanging="454"/>
      </w:pPr>
      <w:r w:rsidRPr="00BC31E0">
        <w:rPr>
          <w:rFonts w:asciiTheme="majorEastAsia" w:eastAsiaTheme="majorEastAsia" w:hAnsiTheme="majorEastAsia" w:hint="eastAsia"/>
          <w:b/>
        </w:rPr>
        <w:t>弾塑性評価手順</w:t>
      </w:r>
      <w:r w:rsidRPr="00BC31E0">
        <w:rPr>
          <w:rFonts w:hint="eastAsia"/>
        </w:rPr>
        <w:t xml:space="preserve">　</w:t>
      </w:r>
      <w:r w:rsidR="000D3EBC" w:rsidRPr="00BC31E0">
        <w:rPr>
          <w:rFonts w:hint="eastAsia"/>
        </w:rPr>
        <w:t>弾塑性評価</w:t>
      </w:r>
      <w:r w:rsidR="008A7B67" w:rsidRPr="00BC31E0">
        <w:rPr>
          <w:rFonts w:hint="eastAsia"/>
        </w:rPr>
        <w:t>手順</w:t>
      </w:r>
      <w:r w:rsidR="000D3EBC" w:rsidRPr="00BC31E0">
        <w:rPr>
          <w:rFonts w:hint="eastAsia"/>
        </w:rPr>
        <w:t>は，</w:t>
      </w:r>
      <w:r w:rsidRPr="00BC31E0">
        <w:rPr>
          <w:rFonts w:ascii="ＭＳ 明朝" w:hint="eastAsia"/>
        </w:rPr>
        <w:t>次の</w:t>
      </w:r>
      <w:r w:rsidR="000D3EBC" w:rsidRPr="00BC31E0">
        <w:rPr>
          <w:rFonts w:asciiTheme="majorEastAsia" w:eastAsiaTheme="majorEastAsia" w:hAnsiTheme="majorEastAsia" w:hint="eastAsia"/>
          <w:b/>
        </w:rPr>
        <w:t>3.1)</w:t>
      </w:r>
      <w:r w:rsidR="000D3EBC" w:rsidRPr="00BC31E0">
        <w:rPr>
          <w:rFonts w:ascii="ＭＳ 明朝" w:hint="eastAsia"/>
        </w:rPr>
        <w:t>～</w:t>
      </w:r>
      <w:r w:rsidR="000D3EBC" w:rsidRPr="00BC31E0">
        <w:rPr>
          <w:rFonts w:asciiTheme="majorEastAsia" w:eastAsiaTheme="majorEastAsia" w:hAnsiTheme="majorEastAsia" w:hint="eastAsia"/>
          <w:b/>
        </w:rPr>
        <w:t>3.5)</w:t>
      </w:r>
      <w:r w:rsidRPr="00BC31E0">
        <w:rPr>
          <w:rFonts w:ascii="ＭＳ 明朝" w:hint="eastAsia"/>
        </w:rPr>
        <w:t>による。</w:t>
      </w:r>
    </w:p>
    <w:p w14:paraId="19529743" w14:textId="77777777" w:rsidR="00A92D87" w:rsidRPr="00BC31E0" w:rsidRDefault="00395C52" w:rsidP="00736130">
      <w:pPr>
        <w:pStyle w:val="a4"/>
        <w:numPr>
          <w:ilvl w:val="0"/>
          <w:numId w:val="642"/>
        </w:numPr>
        <w:ind w:leftChars="0" w:left="1134" w:hanging="567"/>
      </w:pPr>
      <w:r w:rsidRPr="00BC31E0">
        <w:rPr>
          <w:rFonts w:hint="eastAsia"/>
        </w:rPr>
        <w:t>部品の</w:t>
      </w:r>
      <w:r w:rsidR="008D0797" w:rsidRPr="00BC31E0">
        <w:rPr>
          <w:rFonts w:hint="eastAsia"/>
        </w:rPr>
        <w:t>全ての幾何学的特徴を含む</w:t>
      </w:r>
      <w:r w:rsidRPr="00BC31E0">
        <w:rPr>
          <w:rFonts w:hint="eastAsia"/>
        </w:rPr>
        <w:t>数値解析モデルを</w:t>
      </w:r>
      <w:r w:rsidR="0081331C" w:rsidRPr="00BC31E0">
        <w:rPr>
          <w:rFonts w:hint="eastAsia"/>
        </w:rPr>
        <w:t>作成</w:t>
      </w:r>
      <w:r w:rsidRPr="00BC31E0">
        <w:rPr>
          <w:rFonts w:hint="eastAsia"/>
        </w:rPr>
        <w:t>する</w:t>
      </w:r>
      <w:r w:rsidR="0081331C" w:rsidRPr="00BC31E0">
        <w:rPr>
          <w:rFonts w:hint="eastAsia"/>
        </w:rPr>
        <w:t>。</w:t>
      </w:r>
      <w:r w:rsidR="00821808" w:rsidRPr="00BC31E0">
        <w:rPr>
          <w:rFonts w:hint="eastAsia"/>
        </w:rPr>
        <w:t>解析モデルは，</w:t>
      </w:r>
      <w:r w:rsidR="0081331C" w:rsidRPr="00BC31E0">
        <w:rPr>
          <w:rFonts w:hint="eastAsia"/>
        </w:rPr>
        <w:t>部品形状，境界条件</w:t>
      </w:r>
      <w:r w:rsidR="005D1E28" w:rsidRPr="00BC31E0">
        <w:rPr>
          <w:rFonts w:hint="eastAsia"/>
        </w:rPr>
        <w:t>及び</w:t>
      </w:r>
      <w:r w:rsidR="002F07C9" w:rsidRPr="00BC31E0">
        <w:rPr>
          <w:rFonts w:hint="eastAsia"/>
        </w:rPr>
        <w:t>作用</w:t>
      </w:r>
      <w:r w:rsidR="0081331C" w:rsidRPr="00BC31E0">
        <w:rPr>
          <w:rFonts w:hint="eastAsia"/>
        </w:rPr>
        <w:t>荷重を正確に表現できるモデル</w:t>
      </w:r>
      <w:r w:rsidR="00821808" w:rsidRPr="00BC31E0">
        <w:rPr>
          <w:rFonts w:hint="eastAsia"/>
        </w:rPr>
        <w:t>と</w:t>
      </w:r>
      <w:r w:rsidR="0081331C" w:rsidRPr="00BC31E0">
        <w:rPr>
          <w:rFonts w:hint="eastAsia"/>
        </w:rPr>
        <w:t>する。</w:t>
      </w:r>
      <w:r w:rsidR="00F917AC" w:rsidRPr="00BC31E0">
        <w:rPr>
          <w:rFonts w:hint="eastAsia"/>
        </w:rPr>
        <w:t>応力</w:t>
      </w:r>
      <w:r w:rsidR="00044F1B" w:rsidRPr="00BC31E0">
        <w:rPr>
          <w:rFonts w:hint="eastAsia"/>
        </w:rPr>
        <w:t>集中</w:t>
      </w:r>
      <w:r w:rsidR="00F917AC" w:rsidRPr="00BC31E0">
        <w:rPr>
          <w:rFonts w:hint="eastAsia"/>
        </w:rPr>
        <w:t>及びひずみ集中が</w:t>
      </w:r>
      <w:r w:rsidR="00DA373C" w:rsidRPr="00BC31E0">
        <w:rPr>
          <w:rFonts w:hint="eastAsia"/>
        </w:rPr>
        <w:t>発生する</w:t>
      </w:r>
      <w:r w:rsidR="00044F1B" w:rsidRPr="00BC31E0">
        <w:rPr>
          <w:rFonts w:hint="eastAsia"/>
        </w:rPr>
        <w:t>ような</w:t>
      </w:r>
      <w:r w:rsidR="00F917AC" w:rsidRPr="00BC31E0">
        <w:rPr>
          <w:rFonts w:hint="eastAsia"/>
        </w:rPr>
        <w:t>領域は細分割</w:t>
      </w:r>
      <w:r w:rsidR="001E3577" w:rsidRPr="00BC31E0">
        <w:rPr>
          <w:rFonts w:hint="eastAsia"/>
        </w:rPr>
        <w:t>を行う</w:t>
      </w:r>
      <w:r w:rsidR="00F917AC" w:rsidRPr="00BC31E0">
        <w:rPr>
          <w:rFonts w:hint="eastAsia"/>
        </w:rPr>
        <w:t>。</w:t>
      </w:r>
    </w:p>
    <w:p w14:paraId="1081AA80" w14:textId="77777777" w:rsidR="00A92D87" w:rsidRPr="00BC31E0" w:rsidRDefault="003F04DB" w:rsidP="00736130">
      <w:pPr>
        <w:pStyle w:val="a4"/>
        <w:numPr>
          <w:ilvl w:val="0"/>
          <w:numId w:val="642"/>
        </w:numPr>
        <w:ind w:leftChars="0" w:left="1134" w:hanging="567"/>
      </w:pPr>
      <w:r w:rsidRPr="00BC31E0">
        <w:rPr>
          <w:rFonts w:hint="eastAsia"/>
        </w:rPr>
        <w:t>全ての</w:t>
      </w:r>
      <w:r w:rsidR="00F917AC" w:rsidRPr="00BC31E0">
        <w:rPr>
          <w:rFonts w:hint="eastAsia"/>
        </w:rPr>
        <w:t>関連する</w:t>
      </w:r>
      <w:r w:rsidR="0081331C" w:rsidRPr="00BC31E0">
        <w:rPr>
          <w:rFonts w:hint="eastAsia"/>
        </w:rPr>
        <w:t>荷重と適用</w:t>
      </w:r>
      <w:r w:rsidR="00880081" w:rsidRPr="00BC31E0">
        <w:rPr>
          <w:rFonts w:hint="eastAsia"/>
        </w:rPr>
        <w:t>すべき</w:t>
      </w:r>
      <w:r w:rsidR="0081331C" w:rsidRPr="00BC31E0">
        <w:rPr>
          <w:rFonts w:hint="eastAsia"/>
        </w:rPr>
        <w:t>荷重</w:t>
      </w:r>
      <w:r w:rsidRPr="00BC31E0">
        <w:rPr>
          <w:rFonts w:hint="eastAsia"/>
        </w:rPr>
        <w:t>ケース</w:t>
      </w:r>
      <w:r w:rsidR="0081331C" w:rsidRPr="00BC31E0">
        <w:rPr>
          <w:rFonts w:hint="eastAsia"/>
        </w:rPr>
        <w:t>を特定する。設計に考慮すべき荷重</w:t>
      </w:r>
      <w:r w:rsidR="00395C52" w:rsidRPr="00BC31E0">
        <w:rPr>
          <w:rFonts w:hint="eastAsia"/>
        </w:rPr>
        <w:t>に</w:t>
      </w:r>
      <w:r w:rsidR="0081331C" w:rsidRPr="00BC31E0">
        <w:rPr>
          <w:rFonts w:hint="eastAsia"/>
        </w:rPr>
        <w:t>は，</w:t>
      </w:r>
      <w:r w:rsidR="0081331C" w:rsidRPr="00BC31E0">
        <w:rPr>
          <w:rFonts w:ascii="ＭＳ ゴシック" w:eastAsia="ＭＳ ゴシック" w:hint="eastAsia"/>
          <w:b/>
        </w:rPr>
        <w:t>表6.2.1</w:t>
      </w:r>
      <w:r w:rsidR="0081331C" w:rsidRPr="00BC31E0">
        <w:rPr>
          <w:rFonts w:hint="eastAsia"/>
        </w:rPr>
        <w:t>を最低限含める。</w:t>
      </w:r>
    </w:p>
    <w:p w14:paraId="5976BD13" w14:textId="77777777" w:rsidR="00A92D87" w:rsidRPr="00BC31E0" w:rsidRDefault="00CD0B40" w:rsidP="00736130">
      <w:pPr>
        <w:pStyle w:val="a4"/>
        <w:numPr>
          <w:ilvl w:val="0"/>
          <w:numId w:val="642"/>
        </w:numPr>
        <w:ind w:leftChars="0" w:left="1134" w:hanging="567"/>
      </w:pPr>
      <w:r w:rsidRPr="00BC31E0">
        <w:rPr>
          <w:rFonts w:hint="eastAsia"/>
        </w:rPr>
        <w:t>解析では，</w:t>
      </w:r>
      <w:r w:rsidR="0081331C" w:rsidRPr="00BC31E0">
        <w:rPr>
          <w:rFonts w:hint="eastAsia"/>
        </w:rPr>
        <w:t>弾塑性材料モデルを</w:t>
      </w:r>
      <w:r w:rsidR="00A542C9" w:rsidRPr="00BC31E0">
        <w:rPr>
          <w:rFonts w:hint="eastAsia"/>
        </w:rPr>
        <w:t>用いる</w:t>
      </w:r>
      <w:r w:rsidR="0081331C" w:rsidRPr="00BC31E0">
        <w:rPr>
          <w:rFonts w:hint="eastAsia"/>
        </w:rPr>
        <w:t>。塑性域</w:t>
      </w:r>
      <w:r w:rsidRPr="00BC31E0">
        <w:rPr>
          <w:rFonts w:hint="eastAsia"/>
        </w:rPr>
        <w:t>の発生</w:t>
      </w:r>
      <w:r w:rsidR="0081331C" w:rsidRPr="00BC31E0">
        <w:rPr>
          <w:rFonts w:hint="eastAsia"/>
        </w:rPr>
        <w:t>が予想される場合，ミーゼスの降伏理論</w:t>
      </w:r>
      <w:r w:rsidR="0037004A" w:rsidRPr="00BC31E0">
        <w:rPr>
          <w:rFonts w:hint="eastAsia"/>
        </w:rPr>
        <w:t>と</w:t>
      </w:r>
      <w:r w:rsidR="0081331C" w:rsidRPr="00BC31E0">
        <w:rPr>
          <w:rFonts w:hint="eastAsia"/>
        </w:rPr>
        <w:t>関連流動則を</w:t>
      </w:r>
      <w:r w:rsidRPr="00BC31E0">
        <w:rPr>
          <w:rFonts w:hint="eastAsia"/>
        </w:rPr>
        <w:t>適用</w:t>
      </w:r>
      <w:r w:rsidR="0081331C" w:rsidRPr="00BC31E0">
        <w:rPr>
          <w:rFonts w:hint="eastAsia"/>
        </w:rPr>
        <w:t>する。</w:t>
      </w:r>
      <w:r w:rsidR="00EF0410" w:rsidRPr="00BC31E0">
        <w:rPr>
          <w:rFonts w:hint="eastAsia"/>
        </w:rPr>
        <w:t>ひずみ硬化，ひずみ軟化又は弾完全塑性の材料モデルを</w:t>
      </w:r>
      <w:r w:rsidR="007C0BC9" w:rsidRPr="00BC31E0">
        <w:rPr>
          <w:rFonts w:hint="eastAsia"/>
        </w:rPr>
        <w:t>適用</w:t>
      </w:r>
      <w:r w:rsidR="00EF0410" w:rsidRPr="00BC31E0">
        <w:rPr>
          <w:rFonts w:hint="eastAsia"/>
        </w:rPr>
        <w:t>する</w:t>
      </w:r>
      <w:r w:rsidR="007C0BC9" w:rsidRPr="00BC31E0">
        <w:rPr>
          <w:rFonts w:hint="eastAsia"/>
        </w:rPr>
        <w:t>。</w:t>
      </w:r>
      <w:r w:rsidR="0081331C" w:rsidRPr="00BC31E0">
        <w:rPr>
          <w:rFonts w:hint="eastAsia"/>
        </w:rPr>
        <w:t>温度依存</w:t>
      </w:r>
      <w:r w:rsidR="00863F1A" w:rsidRPr="00BC31E0">
        <w:rPr>
          <w:rFonts w:hint="eastAsia"/>
        </w:rPr>
        <w:t>のひずみ</w:t>
      </w:r>
      <w:r w:rsidR="0081331C" w:rsidRPr="00BC31E0">
        <w:rPr>
          <w:rFonts w:hint="eastAsia"/>
        </w:rPr>
        <w:t>硬化挙動を含む</w:t>
      </w:r>
      <w:r w:rsidR="007C0BC9" w:rsidRPr="00BC31E0">
        <w:rPr>
          <w:rFonts w:hint="eastAsia"/>
        </w:rPr>
        <w:t>真</w:t>
      </w:r>
      <w:r w:rsidR="0081331C" w:rsidRPr="00BC31E0">
        <w:rPr>
          <w:rFonts w:hint="eastAsia"/>
        </w:rPr>
        <w:t>応力－</w:t>
      </w:r>
      <w:r w:rsidR="007C0BC9" w:rsidRPr="00BC31E0">
        <w:rPr>
          <w:rFonts w:hint="eastAsia"/>
        </w:rPr>
        <w:t>真</w:t>
      </w:r>
      <w:r w:rsidR="0081331C" w:rsidRPr="00BC31E0">
        <w:rPr>
          <w:rFonts w:hint="eastAsia"/>
        </w:rPr>
        <w:t>ひずみ曲線は，次の</w:t>
      </w:r>
      <w:r w:rsidR="0081331C" w:rsidRPr="00BC31E0">
        <w:rPr>
          <w:rFonts w:ascii="ＭＳ ゴシック" w:eastAsia="ＭＳ ゴシック" w:hint="eastAsia"/>
          <w:b/>
        </w:rPr>
        <w:t>a)</w:t>
      </w:r>
      <w:r w:rsidR="008512A9" w:rsidRPr="00BC31E0">
        <w:rPr>
          <w:rFonts w:ascii="ＭＳ ゴシック" w:eastAsia="ＭＳ ゴシック" w:hint="eastAsia"/>
          <w:b/>
        </w:rPr>
        <w:t xml:space="preserve"> </w:t>
      </w:r>
      <w:r w:rsidR="0081331C" w:rsidRPr="00BC31E0">
        <w:rPr>
          <w:rFonts w:ascii="ＭＳ ゴシック" w:eastAsia="ＭＳ ゴシック" w:hint="eastAsia"/>
          <w:b/>
        </w:rPr>
        <w:t>4)</w:t>
      </w:r>
      <w:r w:rsidR="0081331C" w:rsidRPr="00BC31E0">
        <w:rPr>
          <w:rFonts w:hint="eastAsia"/>
        </w:rPr>
        <w:t>による。</w:t>
      </w:r>
      <w:r w:rsidR="002F07C9" w:rsidRPr="00BC31E0">
        <w:rPr>
          <w:rFonts w:hint="eastAsia"/>
        </w:rPr>
        <w:t>解析では，幾何学的非線形の影響を考慮する。</w:t>
      </w:r>
    </w:p>
    <w:p w14:paraId="3B40742B" w14:textId="77777777" w:rsidR="00A92D87" w:rsidRPr="00BC31E0" w:rsidRDefault="0081331C" w:rsidP="00736130">
      <w:pPr>
        <w:pStyle w:val="a4"/>
        <w:numPr>
          <w:ilvl w:val="0"/>
          <w:numId w:val="642"/>
        </w:numPr>
        <w:ind w:leftChars="0" w:left="1134" w:hanging="567"/>
      </w:pPr>
      <w:r w:rsidRPr="00BC31E0">
        <w:rPr>
          <w:rFonts w:hint="eastAsia"/>
        </w:rPr>
        <w:t>解析に使用する荷重組合せを</w:t>
      </w:r>
      <w:r w:rsidRPr="00BC31E0">
        <w:rPr>
          <w:rFonts w:ascii="ＭＳ ゴシック" w:eastAsia="ＭＳ ゴシック" w:hint="eastAsia"/>
          <w:b/>
        </w:rPr>
        <w:t>表6.2.3</w:t>
      </w:r>
      <w:r w:rsidR="00A92D87" w:rsidRPr="00BC31E0">
        <w:rPr>
          <w:rFonts w:hint="eastAsia"/>
        </w:rPr>
        <w:t>に従って</w:t>
      </w:r>
      <w:r w:rsidR="00246C62" w:rsidRPr="00BC31E0">
        <w:rPr>
          <w:rFonts w:hint="eastAsia"/>
        </w:rPr>
        <w:t>，</w:t>
      </w:r>
      <w:r w:rsidR="00A92D87" w:rsidRPr="00BC31E0">
        <w:rPr>
          <w:rFonts w:asciiTheme="majorEastAsia" w:eastAsiaTheme="majorEastAsia" w:hAnsiTheme="majorEastAsia" w:hint="eastAsia"/>
          <w:b/>
        </w:rPr>
        <w:t>3.2)</w:t>
      </w:r>
      <w:r w:rsidRPr="00BC31E0">
        <w:rPr>
          <w:rFonts w:hint="eastAsia"/>
        </w:rPr>
        <w:t>の情報を</w:t>
      </w:r>
      <w:r w:rsidR="005D43D2" w:rsidRPr="00BC31E0">
        <w:rPr>
          <w:rFonts w:hint="eastAsia"/>
        </w:rPr>
        <w:t>用いて</w:t>
      </w:r>
      <w:r w:rsidRPr="00BC31E0">
        <w:rPr>
          <w:rFonts w:hint="eastAsia"/>
        </w:rPr>
        <w:t>決定する。</w:t>
      </w:r>
      <w:r w:rsidR="002325E8" w:rsidRPr="00BC31E0">
        <w:rPr>
          <w:rFonts w:asciiTheme="majorEastAsia" w:eastAsiaTheme="majorEastAsia" w:hAnsiTheme="majorEastAsia" w:hint="eastAsia"/>
          <w:b/>
        </w:rPr>
        <w:t>3.2</w:t>
      </w:r>
      <w:r w:rsidR="005E244E" w:rsidRPr="00BC31E0">
        <w:rPr>
          <w:rFonts w:asciiTheme="majorEastAsia" w:eastAsiaTheme="majorEastAsia" w:hAnsiTheme="majorEastAsia" w:hint="eastAsia"/>
          <w:b/>
        </w:rPr>
        <w:t>)</w:t>
      </w:r>
      <w:r w:rsidR="005E244E" w:rsidRPr="00BC31E0">
        <w:rPr>
          <w:rFonts w:hint="eastAsia"/>
        </w:rPr>
        <w:t>による</w:t>
      </w:r>
      <w:r w:rsidRPr="00BC31E0">
        <w:rPr>
          <w:rFonts w:hint="eastAsia"/>
        </w:rPr>
        <w:t>荷重ケース</w:t>
      </w:r>
      <w:r w:rsidR="00A82C2A" w:rsidRPr="00BC31E0">
        <w:rPr>
          <w:rFonts w:hint="eastAsia"/>
        </w:rPr>
        <w:t>ごと</w:t>
      </w:r>
      <w:r w:rsidRPr="00BC31E0">
        <w:rPr>
          <w:rFonts w:hint="eastAsia"/>
        </w:rPr>
        <w:t>に</w:t>
      </w:r>
      <w:r w:rsidR="00483299" w:rsidRPr="00BC31E0">
        <w:rPr>
          <w:rFonts w:hint="eastAsia"/>
        </w:rPr>
        <w:t>，荷重組合せを</w:t>
      </w:r>
      <w:r w:rsidRPr="00BC31E0">
        <w:rPr>
          <w:rFonts w:hint="eastAsia"/>
        </w:rPr>
        <w:t>評価する。</w:t>
      </w:r>
    </w:p>
    <w:p w14:paraId="32B56F89" w14:textId="77777777" w:rsidR="00C05B71" w:rsidRPr="00BC31E0" w:rsidRDefault="00C05B71" w:rsidP="00C05B71">
      <w:pPr>
        <w:pStyle w:val="a4"/>
        <w:numPr>
          <w:ilvl w:val="0"/>
          <w:numId w:val="642"/>
        </w:numPr>
        <w:ind w:leftChars="0" w:left="1134" w:hanging="567"/>
      </w:pPr>
      <w:r w:rsidRPr="00BC31E0">
        <w:rPr>
          <w:rFonts w:hint="eastAsia"/>
        </w:rPr>
        <w:t>部品がその荷重ケースの作用荷重以上の崩壊荷重</w:t>
      </w:r>
      <w:r w:rsidRPr="00BC31E0">
        <w:rPr>
          <w:rFonts w:hint="eastAsia"/>
        </w:rPr>
        <w:t>(</w:t>
      </w:r>
      <w:r w:rsidRPr="00BC31E0">
        <w:rPr>
          <w:rFonts w:hint="eastAsia"/>
        </w:rPr>
        <w:t>収束解が得られる最大荷重</w:t>
      </w:r>
      <w:r w:rsidRPr="00BC31E0">
        <w:rPr>
          <w:rFonts w:hint="eastAsia"/>
        </w:rPr>
        <w:t>)</w:t>
      </w:r>
      <w:r w:rsidRPr="00BC31E0">
        <w:rPr>
          <w:rFonts w:hint="eastAsia"/>
        </w:rPr>
        <w:t>が得られれば，その作用荷重に対して健全であると評価する。崩壊荷重が荷重ケースの作用荷重よりも低い場合には，部品の形状</w:t>
      </w:r>
      <w:r w:rsidRPr="00BC31E0">
        <w:rPr>
          <w:rFonts w:hint="eastAsia"/>
        </w:rPr>
        <w:t>(</w:t>
      </w:r>
      <w:r w:rsidRPr="00BC31E0">
        <w:rPr>
          <w:rFonts w:hint="eastAsia"/>
        </w:rPr>
        <w:t>すなわち，厚さ</w:t>
      </w:r>
      <w:r w:rsidRPr="00BC31E0">
        <w:rPr>
          <w:rFonts w:hint="eastAsia"/>
        </w:rPr>
        <w:t>)</w:t>
      </w:r>
      <w:r w:rsidRPr="00BC31E0">
        <w:rPr>
          <w:rFonts w:hint="eastAsia"/>
        </w:rPr>
        <w:t>を変更するか，又は荷重を減少させて解析を行う。</w:t>
      </w:r>
    </w:p>
    <w:p w14:paraId="7584B368" w14:textId="77777777" w:rsidR="0081331C" w:rsidRPr="00BC31E0" w:rsidRDefault="0081331C" w:rsidP="00736130">
      <w:pPr>
        <w:pStyle w:val="a4"/>
        <w:numPr>
          <w:ilvl w:val="0"/>
          <w:numId w:val="107"/>
        </w:numPr>
        <w:ind w:leftChars="0" w:left="738" w:hanging="454"/>
      </w:pPr>
      <w:r w:rsidRPr="00BC31E0">
        <w:rPr>
          <w:rFonts w:asciiTheme="majorEastAsia" w:eastAsiaTheme="majorEastAsia" w:hAnsiTheme="majorEastAsia" w:hint="eastAsia"/>
          <w:b/>
        </w:rPr>
        <w:t>弾塑性応力－ひずみ曲線</w:t>
      </w:r>
      <w:r w:rsidRPr="00BC31E0">
        <w:rPr>
          <w:rFonts w:hint="eastAsia"/>
        </w:rPr>
        <w:t xml:space="preserve">　</w:t>
      </w:r>
      <w:r w:rsidRPr="00BC31E0">
        <w:rPr>
          <w:rFonts w:asciiTheme="majorEastAsia" w:eastAsiaTheme="majorEastAsia" w:hAnsiTheme="majorEastAsia" w:hint="eastAsia"/>
          <w:b/>
        </w:rPr>
        <w:t>附属書D</w:t>
      </w:r>
      <w:r w:rsidRPr="00BC31E0">
        <w:rPr>
          <w:rFonts w:hint="eastAsia"/>
        </w:rPr>
        <w:t>の真応力－真ひずみ曲線を使用する。該当する</w:t>
      </w:r>
      <w:r w:rsidR="00884045" w:rsidRPr="00BC31E0">
        <w:rPr>
          <w:rFonts w:hint="eastAsia"/>
        </w:rPr>
        <w:t>曲線</w:t>
      </w:r>
      <w:r w:rsidRPr="00BC31E0">
        <w:rPr>
          <w:rFonts w:hint="eastAsia"/>
        </w:rPr>
        <w:t>がない場合には，弾完全塑性体とする。</w:t>
      </w:r>
    </w:p>
    <w:p w14:paraId="7EE39869" w14:textId="77777777" w:rsidR="0081331C" w:rsidRPr="00BC31E0" w:rsidRDefault="0081331C" w:rsidP="00736130">
      <w:pPr>
        <w:pStyle w:val="a4"/>
        <w:numPr>
          <w:ilvl w:val="0"/>
          <w:numId w:val="99"/>
        </w:numPr>
        <w:ind w:leftChars="0" w:left="454" w:hanging="454"/>
        <w:rPr>
          <w:rFonts w:ascii="ＭＳ 明朝"/>
        </w:rPr>
      </w:pPr>
      <w:r w:rsidRPr="00BC31E0">
        <w:rPr>
          <w:rFonts w:asciiTheme="majorEastAsia" w:eastAsiaTheme="majorEastAsia" w:hAnsiTheme="majorEastAsia" w:hint="eastAsia"/>
          <w:b/>
        </w:rPr>
        <w:t>局所損傷に対する評価</w:t>
      </w:r>
      <w:r w:rsidRPr="00BC31E0">
        <w:rPr>
          <w:rFonts w:hint="eastAsia"/>
        </w:rPr>
        <w:t xml:space="preserve">　</w:t>
      </w:r>
      <w:r w:rsidRPr="00BC31E0">
        <w:rPr>
          <w:rFonts w:asciiTheme="majorEastAsia" w:eastAsiaTheme="majorEastAsia" w:hAnsiTheme="majorEastAsia" w:hint="eastAsia"/>
          <w:b/>
        </w:rPr>
        <w:t>6.2.3 a)</w:t>
      </w:r>
      <w:r w:rsidRPr="00BC31E0">
        <w:rPr>
          <w:rFonts w:ascii="ＭＳ 明朝" w:hint="eastAsia"/>
        </w:rPr>
        <w:t>に追加して，局所損傷を評価する。</w:t>
      </w:r>
    </w:p>
    <w:p w14:paraId="7C5AE941" w14:textId="77777777" w:rsidR="0081331C" w:rsidRPr="00BC31E0" w:rsidRDefault="0081331C" w:rsidP="00736130">
      <w:pPr>
        <w:pStyle w:val="a4"/>
        <w:numPr>
          <w:ilvl w:val="0"/>
          <w:numId w:val="108"/>
        </w:numPr>
        <w:ind w:leftChars="0" w:left="738" w:hanging="454"/>
      </w:pPr>
      <w:r w:rsidRPr="00BC31E0">
        <w:rPr>
          <w:rFonts w:asciiTheme="majorEastAsia" w:eastAsiaTheme="majorEastAsia" w:hAnsiTheme="majorEastAsia" w:hint="eastAsia"/>
          <w:b/>
        </w:rPr>
        <w:t>弾塑性評価手順</w:t>
      </w:r>
      <w:r w:rsidRPr="00BC31E0">
        <w:rPr>
          <w:rFonts w:hint="eastAsia"/>
        </w:rPr>
        <w:t xml:space="preserve">　弾塑性評価手順は，次の</w:t>
      </w:r>
      <w:r w:rsidRPr="00BC31E0">
        <w:rPr>
          <w:rFonts w:asciiTheme="majorEastAsia" w:eastAsiaTheme="majorEastAsia" w:hAnsiTheme="majorEastAsia" w:hint="eastAsia"/>
          <w:b/>
        </w:rPr>
        <w:t>1.1)</w:t>
      </w:r>
      <w:r w:rsidRPr="00BC31E0">
        <w:rPr>
          <w:rFonts w:hint="eastAsia"/>
        </w:rPr>
        <w:t>～</w:t>
      </w:r>
      <w:r w:rsidRPr="00BC31E0">
        <w:rPr>
          <w:rFonts w:asciiTheme="majorEastAsia" w:eastAsiaTheme="majorEastAsia" w:hAnsiTheme="majorEastAsia" w:hint="eastAsia"/>
          <w:b/>
        </w:rPr>
        <w:t>1.9)</w:t>
      </w:r>
      <w:r w:rsidRPr="00BC31E0">
        <w:rPr>
          <w:rFonts w:hint="eastAsia"/>
        </w:rPr>
        <w:t>による。</w:t>
      </w:r>
    </w:p>
    <w:p w14:paraId="46B35F38" w14:textId="77777777" w:rsidR="0081331C" w:rsidRPr="00BC31E0" w:rsidRDefault="0081331C" w:rsidP="00736130">
      <w:pPr>
        <w:pStyle w:val="a4"/>
        <w:numPr>
          <w:ilvl w:val="0"/>
          <w:numId w:val="109"/>
        </w:numPr>
        <w:ind w:leftChars="0" w:left="1134" w:hanging="567"/>
      </w:pPr>
      <w:r w:rsidRPr="00BC31E0">
        <w:rPr>
          <w:rFonts w:asciiTheme="majorEastAsia" w:eastAsiaTheme="majorEastAsia" w:hAnsiTheme="majorEastAsia" w:hint="eastAsia"/>
          <w:b/>
        </w:rPr>
        <w:t>表6.2.3</w:t>
      </w:r>
      <w:r w:rsidRPr="00BC31E0">
        <w:rPr>
          <w:rFonts w:hint="eastAsia"/>
        </w:rPr>
        <w:t>の局所損傷条件の荷重組合せを</w:t>
      </w:r>
      <w:r w:rsidR="00C312D9" w:rsidRPr="00BC31E0">
        <w:rPr>
          <w:rFonts w:hint="eastAsia"/>
        </w:rPr>
        <w:t>元に</w:t>
      </w:r>
      <w:r w:rsidRPr="00BC31E0">
        <w:rPr>
          <w:rFonts w:hint="eastAsia"/>
        </w:rPr>
        <w:t>，弾塑性解析を</w:t>
      </w:r>
      <w:r w:rsidR="00C312D9" w:rsidRPr="00BC31E0">
        <w:rPr>
          <w:rFonts w:hint="eastAsia"/>
        </w:rPr>
        <w:t>行う</w:t>
      </w:r>
      <w:r w:rsidRPr="00BC31E0">
        <w:rPr>
          <w:rFonts w:hint="eastAsia"/>
        </w:rPr>
        <w:t>。</w:t>
      </w:r>
    </w:p>
    <w:p w14:paraId="6A58C3E1" w14:textId="77777777" w:rsidR="0081331C" w:rsidRPr="00BC31E0" w:rsidRDefault="0081331C" w:rsidP="00736130">
      <w:pPr>
        <w:pStyle w:val="a4"/>
        <w:numPr>
          <w:ilvl w:val="0"/>
          <w:numId w:val="109"/>
        </w:numPr>
        <w:spacing w:after="120"/>
        <w:ind w:leftChars="0" w:left="1134" w:hanging="567"/>
      </w:pPr>
      <w:r w:rsidRPr="00BC31E0">
        <w:rPr>
          <w:rFonts w:hint="eastAsia"/>
        </w:rPr>
        <w:t>主応力を決定し，次式でミーゼスの相当応力を算出する。</w:t>
      </w:r>
    </w:p>
    <w:tbl>
      <w:tblPr>
        <w:tblStyle w:val="afff2"/>
        <w:tblW w:w="7229"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3"/>
        <w:gridCol w:w="2766"/>
      </w:tblGrid>
      <w:tr w:rsidR="0081331C" w:rsidRPr="00BC31E0" w14:paraId="254E00D2" w14:textId="77777777" w:rsidTr="00E20930">
        <w:tc>
          <w:tcPr>
            <w:tcW w:w="0" w:type="auto"/>
            <w:tcMar>
              <w:left w:w="0" w:type="dxa"/>
              <w:right w:w="0" w:type="dxa"/>
            </w:tcMar>
            <w:vAlign w:val="center"/>
          </w:tcPr>
          <w:p w14:paraId="6A5F7517" w14:textId="77777777" w:rsidR="0081331C" w:rsidRPr="00BC31E0" w:rsidRDefault="00A51873" w:rsidP="00E20930">
            <w:pPr>
              <w:jc w:val="left"/>
              <w:rPr>
                <w:i/>
              </w:rPr>
            </w:pPr>
            <m:oMathPara>
              <m:oMathParaPr>
                <m:jc m:val="left"/>
              </m:oMathParaPr>
              <m:oMath>
                <m:sSub>
                  <m:sSubPr>
                    <m:ctrlPr>
                      <w:rPr>
                        <w:rFonts w:ascii="Cambria Math" w:hAnsi="Cambria Math"/>
                        <w:i/>
                      </w:rPr>
                    </m:ctrlPr>
                  </m:sSubPr>
                  <m:e>
                    <m:r>
                      <w:rPr>
                        <w:rFonts w:ascii="Cambria Math" w:hAnsi="Cambria Math"/>
                      </w:rPr>
                      <m:t>σ</m:t>
                    </m:r>
                  </m:e>
                  <m:sub>
                    <m:r>
                      <w:rPr>
                        <w:rFonts w:ascii="Cambria Math" w:hAnsi="Cambria Math"/>
                      </w:rPr>
                      <m:t>e</m:t>
                    </m:r>
                  </m:sub>
                </m:sSub>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sSup>
                  <m:sSupPr>
                    <m:ctrlPr>
                      <w:rPr>
                        <w:rFonts w:ascii="Cambria Math" w:hAnsi="Cambria Math"/>
                        <w:i/>
                      </w:rPr>
                    </m:ctrlPr>
                  </m:sSupPr>
                  <m:e>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2</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3</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1</m:t>
                                    </m:r>
                                  </m:sub>
                                </m:sSub>
                              </m:e>
                            </m:d>
                          </m:e>
                          <m:sup>
                            <m:r>
                              <w:rPr>
                                <w:rFonts w:ascii="Cambria Math" w:hAnsi="Cambria Math"/>
                              </w:rPr>
                              <m:t>2</m:t>
                            </m:r>
                          </m:sup>
                        </m:sSup>
                        <m:r>
                          <w:rPr>
                            <w:rFonts w:ascii="Cambria Math" w:hAnsi="Cambria Math"/>
                          </w:rPr>
                          <m:t xml:space="preserve"> </m:t>
                        </m:r>
                      </m:e>
                    </m:d>
                  </m:e>
                  <m:sup>
                    <m:r>
                      <w:rPr>
                        <w:rFonts w:ascii="Cambria Math" w:hAnsi="Cambria Math"/>
                      </w:rPr>
                      <m:t>0.5</m:t>
                    </m:r>
                  </m:sup>
                </m:sSup>
              </m:oMath>
            </m:oMathPara>
          </w:p>
        </w:tc>
        <w:tc>
          <w:tcPr>
            <w:tcW w:w="2766" w:type="dxa"/>
            <w:tcMar>
              <w:left w:w="0" w:type="dxa"/>
              <w:right w:w="0" w:type="dxa"/>
            </w:tcMar>
            <w:vAlign w:val="center"/>
          </w:tcPr>
          <w:p w14:paraId="6B1BD1D6" w14:textId="77777777" w:rsidR="0081331C" w:rsidRPr="00BC31E0" w:rsidRDefault="0081331C" w:rsidP="00E20930">
            <w:pPr>
              <w:tabs>
                <w:tab w:val="left" w:leader="middleDot" w:pos="1962"/>
              </w:tabs>
              <w:jc w:val="left"/>
            </w:pPr>
            <w:r w:rsidRPr="00BC31E0">
              <w:tab/>
            </w:r>
            <w:r w:rsidRPr="00BC31E0">
              <w:rPr>
                <w:rFonts w:hint="eastAsia"/>
              </w:rPr>
              <w:t>(6.2.8)</w:t>
            </w:r>
          </w:p>
        </w:tc>
      </w:tr>
    </w:tbl>
    <w:p w14:paraId="3C82385A" w14:textId="77777777" w:rsidR="0081331C" w:rsidRPr="00BC31E0" w:rsidRDefault="0081331C" w:rsidP="00736130">
      <w:pPr>
        <w:pStyle w:val="a4"/>
        <w:numPr>
          <w:ilvl w:val="0"/>
          <w:numId w:val="109"/>
        </w:numPr>
        <w:spacing w:before="120" w:after="120"/>
        <w:ind w:leftChars="0" w:left="1134" w:hanging="567"/>
      </w:pPr>
      <w:r w:rsidRPr="00BC31E0">
        <w:rPr>
          <w:rFonts w:hint="eastAsia"/>
        </w:rPr>
        <w:t>次式を使用し，</w:t>
      </w:r>
      <m:oMath>
        <m:r>
          <w:rPr>
            <w:rFonts w:ascii="Cambria Math" w:hAnsi="Cambria Math"/>
          </w:rPr>
          <m:t xml:space="preserve">k </m:t>
        </m:r>
      </m:oMath>
      <w:r w:rsidRPr="00BC31E0">
        <w:rPr>
          <w:rFonts w:hint="eastAsia"/>
        </w:rPr>
        <w:t>番目の荷重ステップにおける多軸ひずみ</w:t>
      </w:r>
      <w:r w:rsidRPr="00BC31E0">
        <w:rPr>
          <w:rFonts w:asciiTheme="minorEastAsia" w:eastAsiaTheme="minorEastAsia" w:hAnsiTheme="minorEastAsia" w:hint="eastAsia"/>
        </w:rPr>
        <w:t>制限値</w:t>
      </w:r>
      <m:oMath>
        <m:sSub>
          <m:sSubPr>
            <m:ctrlPr>
              <w:rPr>
                <w:rFonts w:ascii="Cambria Math" w:eastAsiaTheme="minorEastAsia" w:hAnsi="Cambria Math"/>
                <w:i/>
              </w:rPr>
            </m:ctrlPr>
          </m:sSubPr>
          <m:e>
            <m:r>
              <w:rPr>
                <w:rFonts w:ascii="Cambria Math" w:eastAsiaTheme="minorEastAsia" w:hAnsi="Cambria Math"/>
              </w:rPr>
              <m:t xml:space="preserve"> ε</m:t>
            </m:r>
          </m:e>
          <m:sub>
            <m:r>
              <w:rPr>
                <w:rFonts w:ascii="Cambria Math" w:eastAsiaTheme="minorEastAsia" w:hAnsi="Cambria Math"/>
              </w:rPr>
              <m:t>L,k</m:t>
            </m:r>
          </m:sub>
        </m:sSub>
        <m:r>
          <w:rPr>
            <w:rFonts w:ascii="Cambria Math" w:eastAsiaTheme="minorEastAsia" w:hAnsi="Cambria Math"/>
          </w:rPr>
          <m:t xml:space="preserve"> </m:t>
        </m:r>
      </m:oMath>
      <w:r w:rsidRPr="00BC31E0">
        <w:rPr>
          <w:rFonts w:asciiTheme="minorEastAsia" w:eastAsiaTheme="minorEastAsia" w:hAnsiTheme="minorEastAsia" w:hint="eastAsia"/>
        </w:rPr>
        <w:t>を</w:t>
      </w:r>
      <w:r w:rsidRPr="00BC31E0">
        <w:rPr>
          <w:rFonts w:hint="eastAsia"/>
        </w:rPr>
        <w:t>決める。</w:t>
      </w:r>
    </w:p>
    <w:tbl>
      <w:tblPr>
        <w:tblStyle w:val="afff2"/>
        <w:tblW w:w="6520" w:type="dxa"/>
        <w:tblInd w:w="2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8"/>
        <w:gridCol w:w="3222"/>
      </w:tblGrid>
      <w:tr w:rsidR="0081331C" w:rsidRPr="00BC31E0" w14:paraId="2389D87F" w14:textId="77777777" w:rsidTr="00E20930">
        <w:tc>
          <w:tcPr>
            <w:tcW w:w="0" w:type="auto"/>
            <w:tcMar>
              <w:left w:w="0" w:type="dxa"/>
              <w:right w:w="0" w:type="dxa"/>
            </w:tcMar>
            <w:vAlign w:val="center"/>
          </w:tcPr>
          <w:p w14:paraId="6AB8BA25" w14:textId="77777777" w:rsidR="0081331C" w:rsidRPr="00BC31E0" w:rsidRDefault="00A51873" w:rsidP="00E20930">
            <w:pPr>
              <w:tabs>
                <w:tab w:val="left" w:pos="2552"/>
                <w:tab w:val="left" w:leader="middleDot" w:pos="8222"/>
              </w:tabs>
              <w:jc w:val="left"/>
              <w:rPr>
                <w:i/>
              </w:rPr>
            </w:pPr>
            <m:oMathPara>
              <m:oMath>
                <m:sSub>
                  <m:sSubPr>
                    <m:ctrlPr>
                      <w:rPr>
                        <w:rFonts w:ascii="Cambria Math" w:hAnsi="Cambria Math"/>
                        <w:i/>
                      </w:rPr>
                    </m:ctrlPr>
                  </m:sSubPr>
                  <m:e>
                    <m:r>
                      <w:rPr>
                        <w:rFonts w:ascii="Cambria Math" w:hAnsi="Cambria Math"/>
                      </w:rPr>
                      <m:t>ε</m:t>
                    </m:r>
                  </m:e>
                  <m:sub>
                    <m:r>
                      <w:rPr>
                        <w:rFonts w:ascii="Cambria Math" w:hAnsi="Cambria Math"/>
                      </w:rPr>
                      <m:t>L,k</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Lu</m:t>
                    </m:r>
                  </m:sub>
                </m:sSub>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5</m:t>
                                </m:r>
                              </m:sub>
                            </m:sSub>
                          </m:num>
                          <m:den>
                            <m:r>
                              <w:rPr>
                                <w:rFonts w:ascii="Cambria Math" w:hAnsi="Cambria Math"/>
                              </w:rPr>
                              <m:t xml:space="preserve">1 + </m:t>
                            </m:r>
                            <m:sSub>
                              <m:sSubPr>
                                <m:ctrlPr>
                                  <w:rPr>
                                    <w:rFonts w:ascii="Cambria Math" w:hAnsi="Cambria Math"/>
                                    <w:i/>
                                  </w:rPr>
                                </m:ctrlPr>
                              </m:sSubPr>
                              <m:e>
                                <m:r>
                                  <w:rPr>
                                    <w:rFonts w:ascii="Cambria Math" w:hAnsi="Cambria Math"/>
                                  </w:rPr>
                                  <m:t>m</m:t>
                                </m:r>
                              </m:e>
                              <m:sub>
                                <m:r>
                                  <w:rPr>
                                    <w:rFonts w:ascii="Cambria Math" w:hAnsi="Cambria Math"/>
                                  </w:rPr>
                                  <m:t>2</m:t>
                                </m:r>
                              </m:sub>
                            </m:sSub>
                          </m:den>
                        </m:f>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1,k</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σ</m:t>
                                    </m:r>
                                  </m:e>
                                  <m:sub>
                                    <m:r>
                                      <w:rPr>
                                        <w:rFonts w:ascii="Cambria Math" w:hAnsi="Cambria Math"/>
                                      </w:rPr>
                                      <m:t>2,k</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σ</m:t>
                                    </m:r>
                                  </m:e>
                                  <m:sub>
                                    <m:r>
                                      <w:rPr>
                                        <w:rFonts w:ascii="Cambria Math" w:hAnsi="Cambria Math"/>
                                      </w:rPr>
                                      <m:t>3,k</m:t>
                                    </m:r>
                                  </m:sub>
                                </m:sSub>
                              </m:num>
                              <m:den>
                                <m:r>
                                  <w:rPr>
                                    <w:rFonts w:ascii="Cambria Math" w:hAnsi="Cambria Math"/>
                                  </w:rPr>
                                  <m:t xml:space="preserve">3 </m:t>
                                </m:r>
                                <m:sSub>
                                  <m:sSubPr>
                                    <m:ctrlPr>
                                      <w:rPr>
                                        <w:rFonts w:ascii="Cambria Math" w:hAnsi="Cambria Math"/>
                                        <w:i/>
                                      </w:rPr>
                                    </m:ctrlPr>
                                  </m:sSubPr>
                                  <m:e>
                                    <m:r>
                                      <w:rPr>
                                        <w:rFonts w:ascii="Cambria Math" w:hAnsi="Cambria Math"/>
                                      </w:rPr>
                                      <m:t>σ</m:t>
                                    </m:r>
                                  </m:e>
                                  <m:sub>
                                    <m:r>
                                      <w:rPr>
                                        <w:rFonts w:ascii="Cambria Math" w:hAnsi="Cambria Math"/>
                                      </w:rPr>
                                      <m:t>e,k</m:t>
                                    </m:r>
                                  </m:sub>
                                </m:sSub>
                              </m:den>
                            </m:f>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3</m:t>
                                </m:r>
                              </m:den>
                            </m:f>
                          </m:e>
                        </m:d>
                      </m:sup>
                    </m:sSup>
                  </m:e>
                </m:d>
              </m:oMath>
            </m:oMathPara>
          </w:p>
        </w:tc>
        <w:tc>
          <w:tcPr>
            <w:tcW w:w="3222" w:type="dxa"/>
            <w:tcMar>
              <w:left w:w="0" w:type="dxa"/>
              <w:right w:w="0" w:type="dxa"/>
            </w:tcMar>
            <w:vAlign w:val="center"/>
          </w:tcPr>
          <w:p w14:paraId="4BCA1B65" w14:textId="77777777" w:rsidR="0081331C" w:rsidRPr="00BC31E0" w:rsidRDefault="0081331C" w:rsidP="00E20930">
            <w:pPr>
              <w:tabs>
                <w:tab w:val="left" w:leader="middleDot" w:pos="2372"/>
              </w:tabs>
              <w:jc w:val="left"/>
            </w:pPr>
            <w:r w:rsidRPr="00BC31E0">
              <w:tab/>
            </w:r>
            <w:r w:rsidRPr="00BC31E0">
              <w:rPr>
                <w:rFonts w:hint="eastAsia"/>
              </w:rPr>
              <w:t>(6.2.9)</w:t>
            </w:r>
          </w:p>
        </w:tc>
      </w:tr>
    </w:tbl>
    <w:p w14:paraId="7A433BB4" w14:textId="77777777" w:rsidR="0081331C" w:rsidRPr="00BC31E0" w:rsidRDefault="0081331C" w:rsidP="0081331C">
      <w:pPr>
        <w:tabs>
          <w:tab w:val="left" w:pos="1701"/>
        </w:tabs>
        <w:ind w:left="1134"/>
      </w:pPr>
      <w:r w:rsidRPr="00BC31E0">
        <w:rPr>
          <w:rFonts w:hint="eastAsia"/>
        </w:rPr>
        <w:t>ここで，</w:t>
      </w:r>
    </w:p>
    <w:p w14:paraId="005651BE" w14:textId="77777777" w:rsidR="0081331C" w:rsidRPr="00BC31E0" w:rsidRDefault="0081331C" w:rsidP="0081331C">
      <w:pPr>
        <w:tabs>
          <w:tab w:val="left" w:pos="2127"/>
        </w:tabs>
        <w:ind w:left="1361"/>
        <w:rPr>
          <w:i/>
        </w:rPr>
      </w:pPr>
      <m:oMath>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peq,k</m:t>
            </m:r>
          </m:sub>
        </m:sSub>
      </m:oMath>
      <w:r w:rsidRPr="00BC31E0">
        <w:rPr>
          <w:rFonts w:hint="eastAsia"/>
        </w:rPr>
        <w:tab/>
      </w:r>
      <w:r w:rsidRPr="00BC31E0">
        <w:rPr>
          <w:rFonts w:hint="eastAsia"/>
        </w:rPr>
        <w:t>：</w:t>
      </w:r>
      <w:r w:rsidRPr="00BC31E0">
        <w:rPr>
          <w:rFonts w:hint="eastAsia"/>
        </w:rPr>
        <w:t xml:space="preserve"> </w:t>
      </w:r>
      <m:oMath>
        <m:r>
          <w:rPr>
            <w:rFonts w:ascii="Cambria Math" w:hAnsi="Cambria Math"/>
          </w:rPr>
          <m:t xml:space="preserve">k </m:t>
        </m:r>
      </m:oMath>
      <w:r w:rsidRPr="00BC31E0">
        <w:rPr>
          <w:rFonts w:hint="eastAsia"/>
        </w:rPr>
        <w:t>番目の荷重増加での相当塑性ひずみ範囲</w:t>
      </w:r>
    </w:p>
    <w:p w14:paraId="0A8AA87D" w14:textId="77777777" w:rsidR="0081331C" w:rsidRPr="00BC31E0" w:rsidRDefault="0081331C" w:rsidP="0081331C">
      <w:pPr>
        <w:tabs>
          <w:tab w:val="left" w:pos="2127"/>
        </w:tabs>
        <w:ind w:left="1361"/>
      </w:pPr>
      <m:oMath>
        <m:r>
          <w:rPr>
            <w:rFonts w:ascii="Cambria Math" w:hAnsi="Cambria Math"/>
          </w:rPr>
          <m:t>El</m:t>
        </m:r>
      </m:oMath>
      <w:r w:rsidRPr="00BC31E0">
        <w:rPr>
          <w:rFonts w:hint="eastAsia"/>
          <w:i/>
        </w:rPr>
        <w:tab/>
      </w:r>
      <w:r w:rsidRPr="00BC31E0">
        <w:rPr>
          <w:rFonts w:hint="eastAsia"/>
        </w:rPr>
        <w:t>：</w:t>
      </w:r>
      <w:r w:rsidRPr="00BC31E0">
        <w:rPr>
          <w:rFonts w:hint="eastAsia"/>
        </w:rPr>
        <w:t xml:space="preserve"> </w:t>
      </w:r>
      <w:r w:rsidRPr="00BC31E0">
        <w:rPr>
          <w:rFonts w:hint="eastAsia"/>
        </w:rPr>
        <w:t>最小規定伸び</w:t>
      </w:r>
      <w:r w:rsidRPr="00BC31E0">
        <w:rPr>
          <w:rFonts w:hint="eastAsia"/>
        </w:rPr>
        <w:t>(</w:t>
      </w:r>
      <w:r w:rsidRPr="00BC31E0">
        <w:rPr>
          <w:rFonts w:asciiTheme="minorHAnsi" w:hAnsiTheme="minorHAnsi"/>
        </w:rPr>
        <w:t>%</w:t>
      </w:r>
      <w:r w:rsidRPr="00BC31E0">
        <w:rPr>
          <w:rFonts w:hint="eastAsia"/>
        </w:rPr>
        <w:t>)</w:t>
      </w:r>
    </w:p>
    <w:p w14:paraId="046E7B50" w14:textId="77777777" w:rsidR="0081331C" w:rsidRPr="00BC31E0" w:rsidRDefault="00A51873" w:rsidP="0081331C">
      <w:pPr>
        <w:tabs>
          <w:tab w:val="left" w:pos="2127"/>
        </w:tabs>
        <w:ind w:left="1361"/>
      </w:pPr>
      <m:oMath>
        <m:sSub>
          <m:sSubPr>
            <m:ctrlPr>
              <w:rPr>
                <w:rFonts w:ascii="Cambria Math" w:hAnsi="Cambria Math"/>
                <w:i/>
              </w:rPr>
            </m:ctrlPr>
          </m:sSubPr>
          <m:e>
            <m:r>
              <w:rPr>
                <w:rFonts w:ascii="Cambria Math" w:hAnsi="Cambria Math"/>
              </w:rPr>
              <m:t>ε</m:t>
            </m:r>
          </m:e>
          <m:sub>
            <m:r>
              <w:rPr>
                <w:rFonts w:ascii="Cambria Math" w:hAnsi="Cambria Math"/>
              </w:rPr>
              <m:t>L,k</m:t>
            </m:r>
          </m:sub>
        </m:sSub>
      </m:oMath>
      <w:r w:rsidR="0081331C" w:rsidRPr="00BC31E0">
        <w:rPr>
          <w:rFonts w:hint="eastAsia"/>
        </w:rPr>
        <w:tab/>
      </w:r>
      <w:r w:rsidR="0081331C" w:rsidRPr="00BC31E0">
        <w:rPr>
          <w:rFonts w:hint="eastAsia"/>
        </w:rPr>
        <w:t>：</w:t>
      </w:r>
      <w:r w:rsidR="0081331C" w:rsidRPr="00BC31E0">
        <w:rPr>
          <w:rFonts w:hint="eastAsia"/>
        </w:rPr>
        <w:t xml:space="preserve"> </w:t>
      </w:r>
      <m:oMath>
        <m:r>
          <w:rPr>
            <w:rFonts w:ascii="Cambria Math" w:hAnsi="Cambria Math"/>
          </w:rPr>
          <m:t>k</m:t>
        </m:r>
        <m:r>
          <m:rPr>
            <m:sty m:val="p"/>
          </m:rPr>
          <w:rPr>
            <w:rFonts w:ascii="Cambria Math" w:hAnsi="Cambria Math"/>
          </w:rPr>
          <m:t xml:space="preserve"> </m:t>
        </m:r>
      </m:oMath>
      <w:r w:rsidR="0081331C" w:rsidRPr="00BC31E0">
        <w:rPr>
          <w:rFonts w:hint="eastAsia"/>
        </w:rPr>
        <w:t>番目の荷重増加での最大許容相当塑性ひずみ</w:t>
      </w:r>
    </w:p>
    <w:p w14:paraId="1D7D5AE3" w14:textId="77777777" w:rsidR="0081331C" w:rsidRPr="00BC31E0" w:rsidRDefault="00A51873" w:rsidP="0081331C">
      <w:pPr>
        <w:tabs>
          <w:tab w:val="left" w:pos="2127"/>
        </w:tabs>
        <w:ind w:left="1361"/>
      </w:pPr>
      <m:oMath>
        <m:sSub>
          <m:sSubPr>
            <m:ctrlPr>
              <w:rPr>
                <w:rFonts w:ascii="Cambria Math" w:hAnsi="Cambria Math"/>
                <w:i/>
              </w:rPr>
            </m:ctrlPr>
          </m:sSubPr>
          <m:e>
            <m:r>
              <w:rPr>
                <w:rFonts w:ascii="Cambria Math" w:hAnsi="Cambria Math"/>
              </w:rPr>
              <m:t>ε</m:t>
            </m:r>
          </m:e>
          <m:sub>
            <m:r>
              <w:rPr>
                <w:rFonts w:ascii="Cambria Math" w:hAnsi="Cambria Math"/>
              </w:rPr>
              <m:t>Lu</m:t>
            </m:r>
          </m:sub>
        </m:sSub>
      </m:oMath>
      <w:r w:rsidR="0081331C" w:rsidRPr="00BC31E0">
        <w:rPr>
          <w:rFonts w:hint="eastAsia"/>
        </w:rPr>
        <w:tab/>
      </w:r>
      <w:r w:rsidR="0081331C" w:rsidRPr="00BC31E0">
        <w:rPr>
          <w:rFonts w:hint="eastAsia"/>
        </w:rPr>
        <w:t>：</w:t>
      </w:r>
      <w:r w:rsidR="0081331C" w:rsidRPr="00BC31E0">
        <w:rPr>
          <w:rFonts w:hint="eastAsia"/>
        </w:rPr>
        <w:t xml:space="preserve"> </w:t>
      </w:r>
      <m:oMath>
        <m:sSub>
          <m:sSubPr>
            <m:ctrlPr>
              <w:rPr>
                <w:rFonts w:ascii="Cambria Math" w:hAnsi="Cambria Math"/>
                <w:i/>
              </w:rPr>
            </m:ctrlPr>
          </m:sSubPr>
          <m:e>
            <m:r>
              <w:rPr>
                <w:rFonts w:ascii="Cambria Math" w:hAnsi="Cambria Math"/>
              </w:rPr>
              <m:t>m</m:t>
            </m:r>
          </m:e>
          <m:sub>
            <m:r>
              <w:rPr>
                <w:rFonts w:ascii="Cambria Math" w:hAnsi="Cambria Math"/>
              </w:rPr>
              <m:t>2</m:t>
            </m:r>
          </m:sub>
        </m:sSub>
      </m:oMath>
      <w:r w:rsidR="0081331C" w:rsidRPr="00BC31E0">
        <w:rPr>
          <w:rFonts w:hint="eastAsia"/>
        </w:rPr>
        <w:t>，</w:t>
      </w:r>
      <m:oMath>
        <m:sSub>
          <m:sSubPr>
            <m:ctrlPr>
              <w:rPr>
                <w:rFonts w:ascii="Cambria Math" w:hAnsi="Cambria Math"/>
                <w:i/>
              </w:rPr>
            </m:ctrlPr>
          </m:sSubPr>
          <m:e>
            <m:r>
              <w:rPr>
                <w:rFonts w:ascii="Cambria Math" w:hAnsi="Cambria Math"/>
              </w:rPr>
              <m:t>m</m:t>
            </m:r>
          </m:e>
          <m:sub>
            <m:r>
              <w:rPr>
                <w:rFonts w:ascii="Cambria Math" w:hAnsi="Cambria Math"/>
              </w:rPr>
              <m:t>3</m:t>
            </m:r>
          </m:sub>
        </m:sSub>
      </m:oMath>
      <w:r w:rsidR="0081331C" w:rsidRPr="00BC31E0">
        <w:rPr>
          <w:rFonts w:hint="eastAsia"/>
        </w:rPr>
        <w:t>，</w:t>
      </w:r>
      <m:oMath>
        <m:sSub>
          <m:sSubPr>
            <m:ctrlPr>
              <w:rPr>
                <w:rFonts w:ascii="Cambria Math" w:hAnsi="Cambria Math"/>
                <w:i/>
              </w:rPr>
            </m:ctrlPr>
          </m:sSubPr>
          <m:e>
            <m:r>
              <w:rPr>
                <w:rFonts w:ascii="Cambria Math" w:hAnsi="Cambria Math"/>
              </w:rPr>
              <m:t>m</m:t>
            </m:r>
          </m:e>
          <m:sub>
            <m:r>
              <w:rPr>
                <w:rFonts w:ascii="Cambria Math" w:hAnsi="Cambria Math"/>
              </w:rPr>
              <m:t>4</m:t>
            </m:r>
          </m:sub>
        </m:sSub>
        <m:r>
          <w:rPr>
            <w:rFonts w:ascii="Cambria Math" w:hAnsi="Cambria Math" w:hint="eastAsia"/>
          </w:rPr>
          <m:t xml:space="preserve"> </m:t>
        </m:r>
      </m:oMath>
      <w:r w:rsidR="0081331C" w:rsidRPr="00BC31E0">
        <w:rPr>
          <w:rFonts w:hint="eastAsia"/>
        </w:rPr>
        <w:t>の最大値</w:t>
      </w:r>
    </w:p>
    <w:p w14:paraId="6D146ED6" w14:textId="77777777" w:rsidR="0081331C" w:rsidRPr="00BC31E0" w:rsidRDefault="00A51873" w:rsidP="0081331C">
      <w:pPr>
        <w:tabs>
          <w:tab w:val="left" w:pos="2127"/>
        </w:tabs>
        <w:ind w:left="1361"/>
      </w:pPr>
      <m:oMath>
        <m:sSub>
          <m:sSubPr>
            <m:ctrlPr>
              <w:rPr>
                <w:rFonts w:ascii="Cambria Math" w:hAnsi="Cambria Math"/>
                <w:i/>
              </w:rPr>
            </m:ctrlPr>
          </m:sSubPr>
          <m:e>
            <m:r>
              <w:rPr>
                <w:rFonts w:ascii="Cambria Math" w:hAnsi="Cambria Math"/>
              </w:rPr>
              <m:t>m</m:t>
            </m:r>
          </m:e>
          <m:sub>
            <m:r>
              <w:rPr>
                <w:rFonts w:ascii="Cambria Math" w:hAnsi="Cambria Math"/>
              </w:rPr>
              <m:t>2</m:t>
            </m:r>
          </m:sub>
        </m:sSub>
      </m:oMath>
      <w:r w:rsidR="0081331C" w:rsidRPr="00BC31E0">
        <w:rPr>
          <w:rFonts w:hint="eastAsia"/>
          <w:i/>
        </w:rPr>
        <w:tab/>
      </w:r>
      <w:r w:rsidR="0081331C" w:rsidRPr="00BC31E0">
        <w:rPr>
          <w:rFonts w:hint="eastAsia"/>
        </w:rPr>
        <w:t>：</w:t>
      </w:r>
      <w:r w:rsidR="0081331C" w:rsidRPr="00BC31E0">
        <w:rPr>
          <w:rFonts w:hint="eastAsia"/>
        </w:rPr>
        <w:t xml:space="preserve"> </w:t>
      </w:r>
      <w:r w:rsidR="0081331C" w:rsidRPr="00BC31E0">
        <w:rPr>
          <w:rFonts w:ascii="ＭＳ ゴシック" w:eastAsia="ＭＳ ゴシック" w:hint="eastAsia"/>
          <w:b/>
        </w:rPr>
        <w:t>表6.2.4</w:t>
      </w:r>
      <w:r w:rsidR="0081331C" w:rsidRPr="00BC31E0">
        <w:rPr>
          <w:rFonts w:ascii="ＭＳ 明朝" w:hAnsi="ＭＳ 明朝" w:hint="eastAsia"/>
        </w:rPr>
        <w:t>を</w:t>
      </w:r>
      <w:r w:rsidR="0081331C" w:rsidRPr="00BC31E0">
        <w:rPr>
          <w:rFonts w:hint="eastAsia"/>
        </w:rPr>
        <w:t>参照</w:t>
      </w:r>
    </w:p>
    <w:p w14:paraId="43ECFFC7" w14:textId="77777777" w:rsidR="0081331C" w:rsidRPr="00BC31E0" w:rsidRDefault="00A51873" w:rsidP="0081331C">
      <w:pPr>
        <w:tabs>
          <w:tab w:val="left" w:pos="2127"/>
        </w:tabs>
        <w:ind w:left="1361"/>
      </w:pPr>
      <m:oMath>
        <m:sSub>
          <m:sSubPr>
            <m:ctrlPr>
              <w:rPr>
                <w:rFonts w:ascii="Cambria Math" w:hAnsi="Cambria Math"/>
                <w:i/>
              </w:rPr>
            </m:ctrlPr>
          </m:sSubPr>
          <m:e>
            <m:r>
              <w:rPr>
                <w:rFonts w:ascii="Cambria Math" w:hAnsi="Cambria Math"/>
              </w:rPr>
              <m:t>m</m:t>
            </m:r>
          </m:e>
          <m:sub>
            <m:r>
              <w:rPr>
                <w:rFonts w:ascii="Cambria Math" w:hAnsi="Cambria Math"/>
              </w:rPr>
              <m:t>3</m:t>
            </m:r>
          </m:sub>
        </m:sSub>
      </m:oMath>
      <w:r w:rsidR="0081331C" w:rsidRPr="00BC31E0">
        <w:rPr>
          <w:rFonts w:hint="eastAsia"/>
          <w:i/>
        </w:rPr>
        <w:tab/>
      </w:r>
      <w:r w:rsidR="0081331C" w:rsidRPr="00BC31E0">
        <w:rPr>
          <w:rFonts w:hint="eastAsia"/>
        </w:rPr>
        <w:t>：</w:t>
      </w:r>
      <w:r w:rsidR="0081331C" w:rsidRPr="00BC31E0">
        <w:rPr>
          <w:rFonts w:hint="eastAsia"/>
        </w:rPr>
        <w:t xml:space="preserve"> </w:t>
      </w:r>
      <w:r w:rsidR="0081331C" w:rsidRPr="00BC31E0">
        <w:rPr>
          <w:rFonts w:ascii="ＭＳ ゴシック" w:eastAsia="ＭＳ ゴシック" w:hint="eastAsia"/>
          <w:b/>
        </w:rPr>
        <w:t>表6.2.4</w:t>
      </w:r>
      <w:r w:rsidR="0081331C" w:rsidRPr="00BC31E0">
        <w:rPr>
          <w:rFonts w:ascii="ＭＳ 明朝" w:hAnsi="ＭＳ 明朝" w:hint="eastAsia"/>
        </w:rPr>
        <w:t>を</w:t>
      </w:r>
      <w:r w:rsidR="0081331C" w:rsidRPr="00BC31E0">
        <w:rPr>
          <w:rFonts w:hint="eastAsia"/>
        </w:rPr>
        <w:t>参照</w:t>
      </w:r>
    </w:p>
    <w:p w14:paraId="761D4ED4" w14:textId="77777777" w:rsidR="0081331C" w:rsidRPr="00BC31E0" w:rsidRDefault="00A51873" w:rsidP="0081331C">
      <w:pPr>
        <w:tabs>
          <w:tab w:val="left" w:pos="2127"/>
        </w:tabs>
        <w:ind w:left="1361"/>
      </w:pPr>
      <m:oMath>
        <m:sSub>
          <m:sSubPr>
            <m:ctrlPr>
              <w:rPr>
                <w:rFonts w:ascii="Cambria Math" w:hAnsi="Cambria Math"/>
                <w:i/>
              </w:rPr>
            </m:ctrlPr>
          </m:sSubPr>
          <m:e>
            <m:r>
              <w:rPr>
                <w:rFonts w:ascii="Cambria Math" w:hAnsi="Cambria Math"/>
              </w:rPr>
              <m:t>m</m:t>
            </m:r>
          </m:e>
          <m:sub>
            <m:r>
              <w:rPr>
                <w:rFonts w:ascii="Cambria Math" w:hAnsi="Cambria Math"/>
              </w:rPr>
              <m:t>4</m:t>
            </m:r>
          </m:sub>
        </m:sSub>
      </m:oMath>
      <w:r w:rsidR="0081331C" w:rsidRPr="00BC31E0">
        <w:rPr>
          <w:rFonts w:hint="eastAsia"/>
          <w:i/>
        </w:rPr>
        <w:tab/>
      </w:r>
      <w:r w:rsidR="0081331C" w:rsidRPr="00BC31E0">
        <w:rPr>
          <w:rFonts w:hint="eastAsia"/>
        </w:rPr>
        <w:t>：</w:t>
      </w:r>
      <w:r w:rsidR="0081331C" w:rsidRPr="00BC31E0">
        <w:rPr>
          <w:rFonts w:hint="eastAsia"/>
        </w:rPr>
        <w:t xml:space="preserve"> </w:t>
      </w:r>
      <w:r w:rsidR="0081331C" w:rsidRPr="00BC31E0">
        <w:rPr>
          <w:rFonts w:ascii="ＭＳ ゴシック" w:eastAsia="ＭＳ ゴシック" w:hint="eastAsia"/>
          <w:b/>
        </w:rPr>
        <w:t>表6.2.4</w:t>
      </w:r>
      <w:r w:rsidR="0081331C" w:rsidRPr="00BC31E0">
        <w:rPr>
          <w:rFonts w:ascii="ＭＳ 明朝" w:hAnsi="ＭＳ 明朝" w:hint="eastAsia"/>
        </w:rPr>
        <w:t>を</w:t>
      </w:r>
      <w:r w:rsidR="0081331C" w:rsidRPr="00BC31E0">
        <w:rPr>
          <w:rFonts w:hint="eastAsia"/>
        </w:rPr>
        <w:t>参照</w:t>
      </w:r>
    </w:p>
    <w:p w14:paraId="5D661D8A" w14:textId="77777777" w:rsidR="0081331C" w:rsidRPr="00BC31E0" w:rsidRDefault="00A51873" w:rsidP="0081331C">
      <w:pPr>
        <w:tabs>
          <w:tab w:val="left" w:pos="2127"/>
        </w:tabs>
        <w:ind w:left="1361"/>
      </w:pPr>
      <m:oMath>
        <m:sSub>
          <m:sSubPr>
            <m:ctrlPr>
              <w:rPr>
                <w:rFonts w:ascii="Cambria Math" w:hAnsi="Cambria Math"/>
                <w:i/>
              </w:rPr>
            </m:ctrlPr>
          </m:sSubPr>
          <m:e>
            <m:r>
              <w:rPr>
                <w:rFonts w:ascii="Cambria Math" w:hAnsi="Cambria Math"/>
              </w:rPr>
              <m:t>m</m:t>
            </m:r>
          </m:e>
          <m:sub>
            <m:r>
              <w:rPr>
                <w:rFonts w:ascii="Cambria Math" w:hAnsi="Cambria Math"/>
              </w:rPr>
              <m:t>5</m:t>
            </m:r>
          </m:sub>
        </m:sSub>
      </m:oMath>
      <w:r w:rsidR="0081331C" w:rsidRPr="00BC31E0">
        <w:rPr>
          <w:rFonts w:hint="eastAsia"/>
          <w:i/>
        </w:rPr>
        <w:tab/>
      </w:r>
      <w:r w:rsidR="0081331C" w:rsidRPr="00BC31E0">
        <w:rPr>
          <w:rFonts w:hint="eastAsia"/>
        </w:rPr>
        <w:t>：</w:t>
      </w:r>
      <w:r w:rsidR="0081331C" w:rsidRPr="00BC31E0">
        <w:rPr>
          <w:rFonts w:hint="eastAsia"/>
        </w:rPr>
        <w:t xml:space="preserve"> </w:t>
      </w:r>
      <w:r w:rsidR="0081331C" w:rsidRPr="00BC31E0">
        <w:rPr>
          <w:rFonts w:ascii="ＭＳ ゴシック" w:eastAsia="ＭＳ ゴシック" w:hint="eastAsia"/>
          <w:b/>
        </w:rPr>
        <w:t>表6.2.4</w:t>
      </w:r>
      <w:r w:rsidR="0081331C" w:rsidRPr="00BC31E0">
        <w:rPr>
          <w:rFonts w:ascii="ＭＳ 明朝" w:hAnsi="ＭＳ 明朝" w:hint="eastAsia"/>
        </w:rPr>
        <w:t>を</w:t>
      </w:r>
      <w:r w:rsidR="0081331C" w:rsidRPr="00BC31E0">
        <w:rPr>
          <w:rFonts w:hint="eastAsia"/>
        </w:rPr>
        <w:t>参照</w:t>
      </w:r>
    </w:p>
    <w:p w14:paraId="31882128" w14:textId="77777777" w:rsidR="0081331C" w:rsidRPr="00BC31E0" w:rsidRDefault="0081331C" w:rsidP="0081331C">
      <w:pPr>
        <w:tabs>
          <w:tab w:val="left" w:pos="2127"/>
        </w:tabs>
        <w:ind w:left="1361"/>
      </w:pPr>
      <m:oMath>
        <m:r>
          <w:rPr>
            <w:rFonts w:ascii="Cambria Math" w:hAnsi="Cambria Math"/>
          </w:rPr>
          <m:t>R</m:t>
        </m:r>
      </m:oMath>
      <w:r w:rsidRPr="00BC31E0">
        <w:rPr>
          <w:rFonts w:hint="eastAsia"/>
          <w:i/>
        </w:rPr>
        <w:tab/>
      </w:r>
      <w:r w:rsidRPr="00BC31E0">
        <w:rPr>
          <w:rFonts w:hint="eastAsia"/>
        </w:rPr>
        <w:t>：</w:t>
      </w:r>
      <w:r w:rsidRPr="00BC31E0">
        <w:rPr>
          <w:rFonts w:hint="eastAsia"/>
        </w:rPr>
        <w:t xml:space="preserve"> </w:t>
      </w:r>
      <w:r w:rsidRPr="00BC31E0">
        <w:rPr>
          <w:rFonts w:hint="eastAsia"/>
        </w:rPr>
        <w:t>降伏比</w:t>
      </w:r>
      <w:r w:rsidRPr="00BC31E0">
        <w:rPr>
          <w:rFonts w:hint="eastAsia"/>
        </w:rPr>
        <w:t xml:space="preserve">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y</m:t>
                </m:r>
              </m:sub>
            </m:sSub>
          </m:num>
          <m:den>
            <m:sSub>
              <m:sSubPr>
                <m:ctrlPr>
                  <w:rPr>
                    <w:rFonts w:ascii="Cambria Math" w:hAnsi="Cambria Math"/>
                    <w:i/>
                  </w:rPr>
                </m:ctrlPr>
              </m:sSubPr>
              <m:e>
                <m:r>
                  <w:rPr>
                    <w:rFonts w:ascii="Cambria Math" w:hAnsi="Cambria Math"/>
                  </w:rPr>
                  <m:t>S</m:t>
                </m:r>
              </m:e>
              <m:sub>
                <m:r>
                  <w:rPr>
                    <w:rFonts w:ascii="Cambria Math" w:hAnsi="Cambria Math"/>
                  </w:rPr>
                  <m:t>u</m:t>
                </m:r>
              </m:sub>
            </m:sSub>
          </m:den>
        </m:f>
      </m:oMath>
    </w:p>
    <w:p w14:paraId="4E6CD632" w14:textId="77777777" w:rsidR="0081331C" w:rsidRPr="00BC31E0" w:rsidRDefault="0081331C" w:rsidP="0081331C">
      <w:pPr>
        <w:tabs>
          <w:tab w:val="left" w:pos="2127"/>
        </w:tabs>
        <w:ind w:left="1361"/>
      </w:pPr>
      <m:oMath>
        <m:r>
          <w:rPr>
            <w:rFonts w:ascii="Cambria Math" w:hAnsi="Cambria Math"/>
          </w:rPr>
          <m:t>RA</m:t>
        </m:r>
      </m:oMath>
      <w:r w:rsidRPr="00BC31E0">
        <w:rPr>
          <w:rFonts w:hint="eastAsia"/>
          <w:i/>
        </w:rPr>
        <w:tab/>
      </w:r>
      <w:r w:rsidRPr="00BC31E0">
        <w:rPr>
          <w:rFonts w:hint="eastAsia"/>
        </w:rPr>
        <w:t>：</w:t>
      </w:r>
      <w:r w:rsidRPr="00BC31E0">
        <w:rPr>
          <w:rFonts w:hint="eastAsia"/>
        </w:rPr>
        <w:t xml:space="preserve"> </w:t>
      </w:r>
      <w:r w:rsidRPr="00BC31E0">
        <w:rPr>
          <w:rFonts w:hint="eastAsia"/>
        </w:rPr>
        <w:t>最小規定絞り</w:t>
      </w:r>
      <w:r w:rsidRPr="00BC31E0">
        <w:rPr>
          <w:rFonts w:hint="eastAsia"/>
        </w:rPr>
        <w:t>(</w:t>
      </w:r>
      <w:r w:rsidRPr="00BC31E0">
        <w:rPr>
          <w:rFonts w:asciiTheme="minorHAnsi" w:hAnsiTheme="minorHAnsi"/>
        </w:rPr>
        <w:t>%</w:t>
      </w:r>
      <w:r w:rsidRPr="00BC31E0">
        <w:rPr>
          <w:rFonts w:hint="eastAsia"/>
        </w:rPr>
        <w:t>)</w:t>
      </w:r>
    </w:p>
    <w:p w14:paraId="40620DC3" w14:textId="77777777" w:rsidR="0081331C" w:rsidRPr="00BC31E0" w:rsidRDefault="00A51873" w:rsidP="0081331C">
      <w:pPr>
        <w:tabs>
          <w:tab w:val="left" w:pos="2127"/>
        </w:tabs>
        <w:ind w:left="1361"/>
      </w:pPr>
      <m:oMath>
        <m:sSub>
          <m:sSubPr>
            <m:ctrlPr>
              <w:rPr>
                <w:rFonts w:ascii="Cambria Math" w:hAnsi="Cambria Math"/>
                <w:i/>
              </w:rPr>
            </m:ctrlPr>
          </m:sSubPr>
          <m:e>
            <m:r>
              <w:rPr>
                <w:rFonts w:ascii="Cambria Math" w:hAnsi="Cambria Math"/>
              </w:rPr>
              <m:t>σ</m:t>
            </m:r>
          </m:e>
          <m:sub>
            <m:r>
              <w:rPr>
                <w:rFonts w:ascii="Cambria Math" w:hAnsi="Cambria Math"/>
              </w:rPr>
              <m:t>1,k</m:t>
            </m:r>
          </m:sub>
        </m:sSub>
      </m:oMath>
      <w:r w:rsidR="0081331C" w:rsidRPr="00BC31E0">
        <w:rPr>
          <w:rFonts w:hint="eastAsia"/>
          <w:position w:val="-10"/>
        </w:rPr>
        <w:tab/>
      </w:r>
      <w:r w:rsidR="0081331C" w:rsidRPr="00BC31E0">
        <w:rPr>
          <w:rFonts w:hint="eastAsia"/>
        </w:rPr>
        <w:t>：</w:t>
      </w:r>
      <w:r w:rsidR="0081331C" w:rsidRPr="00BC31E0">
        <w:rPr>
          <w:rFonts w:hint="eastAsia"/>
        </w:rPr>
        <w:t xml:space="preserve"> </w:t>
      </w:r>
      <m:oMath>
        <m:r>
          <w:rPr>
            <w:rFonts w:ascii="Cambria Math" w:hAnsi="Cambria Math"/>
          </w:rPr>
          <m:t>k</m:t>
        </m:r>
        <m:r>
          <m:rPr>
            <m:sty m:val="p"/>
          </m:rPr>
          <w:rPr>
            <w:rFonts w:ascii="Cambria Math" w:hAnsi="Cambria Math"/>
          </w:rPr>
          <m:t xml:space="preserve"> </m:t>
        </m:r>
      </m:oMath>
      <w:r w:rsidR="0081331C" w:rsidRPr="00BC31E0">
        <w:rPr>
          <w:rFonts w:hint="eastAsia"/>
        </w:rPr>
        <w:t>番目の荷重増加での</w:t>
      </w:r>
      <w:r w:rsidR="0081331C" w:rsidRPr="00BC31E0">
        <w:rPr>
          <w:rFonts w:asciiTheme="minorHAnsi" w:hAnsiTheme="minorHAnsi"/>
        </w:rPr>
        <w:t>1</w:t>
      </w:r>
      <w:r w:rsidR="0081331C" w:rsidRPr="00BC31E0">
        <w:rPr>
          <w:rFonts w:hint="eastAsia"/>
        </w:rPr>
        <w:t>方向の主応力</w:t>
      </w:r>
    </w:p>
    <w:p w14:paraId="0CB6C444" w14:textId="77777777" w:rsidR="0081331C" w:rsidRPr="00BC31E0" w:rsidRDefault="00A51873" w:rsidP="0081331C">
      <w:pPr>
        <w:tabs>
          <w:tab w:val="left" w:pos="2127"/>
        </w:tabs>
        <w:ind w:left="1361"/>
      </w:pPr>
      <m:oMath>
        <m:sSub>
          <m:sSubPr>
            <m:ctrlPr>
              <w:rPr>
                <w:rFonts w:ascii="Cambria Math" w:hAnsi="Cambria Math"/>
                <w:i/>
              </w:rPr>
            </m:ctrlPr>
          </m:sSubPr>
          <m:e>
            <m:r>
              <w:rPr>
                <w:rFonts w:ascii="Cambria Math" w:hAnsi="Cambria Math"/>
              </w:rPr>
              <m:t>σ</m:t>
            </m:r>
          </m:e>
          <m:sub>
            <m:r>
              <w:rPr>
                <w:rFonts w:ascii="Cambria Math" w:hAnsi="Cambria Math"/>
              </w:rPr>
              <m:t>2,k</m:t>
            </m:r>
          </m:sub>
        </m:sSub>
      </m:oMath>
      <w:r w:rsidR="0081331C" w:rsidRPr="00BC31E0">
        <w:rPr>
          <w:rFonts w:hint="eastAsia"/>
          <w:position w:val="-10"/>
        </w:rPr>
        <w:tab/>
      </w:r>
      <w:r w:rsidR="0081331C" w:rsidRPr="00BC31E0">
        <w:rPr>
          <w:rFonts w:hint="eastAsia"/>
        </w:rPr>
        <w:t>：</w:t>
      </w:r>
      <w:r w:rsidR="0081331C" w:rsidRPr="00BC31E0">
        <w:rPr>
          <w:rFonts w:hint="eastAsia"/>
        </w:rPr>
        <w:t xml:space="preserve"> </w:t>
      </w:r>
      <m:oMath>
        <m:r>
          <w:rPr>
            <w:rFonts w:ascii="Cambria Math" w:hAnsi="Cambria Math"/>
          </w:rPr>
          <m:t xml:space="preserve">k </m:t>
        </m:r>
      </m:oMath>
      <w:r w:rsidR="0081331C" w:rsidRPr="00BC31E0">
        <w:rPr>
          <w:rFonts w:hint="eastAsia"/>
        </w:rPr>
        <w:t>番目の荷重増加での</w:t>
      </w:r>
      <w:r w:rsidR="0081331C" w:rsidRPr="00BC31E0">
        <w:rPr>
          <w:rFonts w:asciiTheme="minorHAnsi" w:hAnsiTheme="minorHAnsi"/>
        </w:rPr>
        <w:t>2</w:t>
      </w:r>
      <w:r w:rsidR="0081331C" w:rsidRPr="00BC31E0">
        <w:rPr>
          <w:rFonts w:hint="eastAsia"/>
        </w:rPr>
        <w:t>方向の主応力</w:t>
      </w:r>
    </w:p>
    <w:p w14:paraId="5A9410AF" w14:textId="77777777" w:rsidR="0081331C" w:rsidRPr="00BC31E0" w:rsidRDefault="00A51873" w:rsidP="0081331C">
      <w:pPr>
        <w:tabs>
          <w:tab w:val="left" w:pos="2127"/>
        </w:tabs>
        <w:ind w:left="1361"/>
      </w:pPr>
      <m:oMath>
        <m:sSub>
          <m:sSubPr>
            <m:ctrlPr>
              <w:rPr>
                <w:rFonts w:ascii="Cambria Math" w:hAnsi="Cambria Math"/>
                <w:i/>
              </w:rPr>
            </m:ctrlPr>
          </m:sSubPr>
          <m:e>
            <m:r>
              <w:rPr>
                <w:rFonts w:ascii="Cambria Math" w:hAnsi="Cambria Math"/>
              </w:rPr>
              <m:t>σ</m:t>
            </m:r>
          </m:e>
          <m:sub>
            <m:r>
              <w:rPr>
                <w:rFonts w:ascii="Cambria Math" w:hAnsi="Cambria Math"/>
              </w:rPr>
              <m:t>3,k</m:t>
            </m:r>
          </m:sub>
        </m:sSub>
      </m:oMath>
      <w:r w:rsidR="0081331C" w:rsidRPr="00BC31E0">
        <w:rPr>
          <w:rFonts w:hint="eastAsia"/>
          <w:position w:val="-10"/>
        </w:rPr>
        <w:tab/>
      </w:r>
      <w:r w:rsidR="0081331C" w:rsidRPr="00BC31E0">
        <w:rPr>
          <w:rFonts w:hint="eastAsia"/>
        </w:rPr>
        <w:t>：</w:t>
      </w:r>
      <w:r w:rsidR="0081331C" w:rsidRPr="00BC31E0">
        <w:rPr>
          <w:rFonts w:hint="eastAsia"/>
        </w:rPr>
        <w:t xml:space="preserve"> </w:t>
      </w:r>
      <m:oMath>
        <m:r>
          <w:rPr>
            <w:rFonts w:ascii="Cambria Math" w:hAnsi="Cambria Math"/>
          </w:rPr>
          <m:t xml:space="preserve">k </m:t>
        </m:r>
      </m:oMath>
      <w:r w:rsidR="0081331C" w:rsidRPr="00BC31E0">
        <w:rPr>
          <w:rFonts w:hint="eastAsia"/>
        </w:rPr>
        <w:t>番目の荷重増加での</w:t>
      </w:r>
      <w:r w:rsidR="0081331C" w:rsidRPr="00BC31E0">
        <w:rPr>
          <w:rFonts w:asciiTheme="minorHAnsi" w:hAnsiTheme="minorHAnsi"/>
        </w:rPr>
        <w:t>3</w:t>
      </w:r>
      <w:r w:rsidR="0081331C" w:rsidRPr="00BC31E0">
        <w:rPr>
          <w:rFonts w:hint="eastAsia"/>
        </w:rPr>
        <w:t>方向の主応力</w:t>
      </w:r>
    </w:p>
    <w:p w14:paraId="7D50FB50" w14:textId="77777777" w:rsidR="0081331C" w:rsidRPr="00BC31E0" w:rsidRDefault="00A51873" w:rsidP="0081331C">
      <w:pPr>
        <w:tabs>
          <w:tab w:val="left" w:pos="2127"/>
        </w:tabs>
        <w:ind w:left="1361"/>
      </w:pPr>
      <m:oMath>
        <m:sSub>
          <m:sSubPr>
            <m:ctrlPr>
              <w:rPr>
                <w:rFonts w:ascii="Cambria Math" w:hAnsi="Cambria Math"/>
                <w:i/>
              </w:rPr>
            </m:ctrlPr>
          </m:sSubPr>
          <m:e>
            <m:r>
              <w:rPr>
                <w:rFonts w:ascii="Cambria Math" w:hAnsi="Cambria Math"/>
              </w:rPr>
              <m:t>σ</m:t>
            </m:r>
          </m:e>
          <m:sub>
            <m:r>
              <w:rPr>
                <w:rFonts w:ascii="Cambria Math" w:hAnsi="Cambria Math"/>
              </w:rPr>
              <m:t>e,k</m:t>
            </m:r>
          </m:sub>
        </m:sSub>
      </m:oMath>
      <w:r w:rsidR="0081331C" w:rsidRPr="00BC31E0">
        <w:rPr>
          <w:rFonts w:hint="eastAsia"/>
          <w:position w:val="-10"/>
        </w:rPr>
        <w:tab/>
      </w:r>
      <w:r w:rsidR="0081331C" w:rsidRPr="00BC31E0">
        <w:rPr>
          <w:rFonts w:hint="eastAsia"/>
        </w:rPr>
        <w:t>：</w:t>
      </w:r>
      <w:r w:rsidR="0081331C" w:rsidRPr="00BC31E0">
        <w:rPr>
          <w:rFonts w:hint="eastAsia"/>
        </w:rPr>
        <w:t xml:space="preserve"> </w:t>
      </w:r>
      <w:r w:rsidR="0081331C" w:rsidRPr="00BC31E0">
        <w:rPr>
          <w:rFonts w:hint="eastAsia"/>
        </w:rPr>
        <w:t>ミーゼスの相当応力</w:t>
      </w:r>
    </w:p>
    <w:p w14:paraId="26C621ED" w14:textId="77777777" w:rsidR="0081331C" w:rsidRPr="00BC31E0" w:rsidRDefault="00A51873" w:rsidP="0081331C">
      <w:pPr>
        <w:tabs>
          <w:tab w:val="left" w:pos="2127"/>
        </w:tabs>
        <w:ind w:left="1361"/>
      </w:pPr>
      <m:oMath>
        <m:sSub>
          <m:sSubPr>
            <m:ctrlPr>
              <w:rPr>
                <w:rFonts w:ascii="Cambria Math" w:hAnsi="Cambria Math"/>
                <w:i/>
              </w:rPr>
            </m:ctrlPr>
          </m:sSubPr>
          <m:e>
            <m:r>
              <w:rPr>
                <w:rFonts w:ascii="Cambria Math" w:hAnsi="Cambria Math"/>
              </w:rPr>
              <m:t>S</m:t>
            </m:r>
          </m:e>
          <m:sub>
            <m:r>
              <w:rPr>
                <w:rFonts w:ascii="Cambria Math" w:hAnsi="Cambria Math"/>
              </w:rPr>
              <m:t>y</m:t>
            </m:r>
          </m:sub>
        </m:sSub>
      </m:oMath>
      <w:r w:rsidR="0081331C" w:rsidRPr="00BC31E0">
        <w:rPr>
          <w:rFonts w:hint="eastAsia"/>
          <w:vertAlign w:val="subscript"/>
        </w:rPr>
        <w:tab/>
      </w:r>
      <w:r w:rsidR="0081331C" w:rsidRPr="00BC31E0">
        <w:rPr>
          <w:rFonts w:hint="eastAsia"/>
        </w:rPr>
        <w:t>：</w:t>
      </w:r>
      <w:r w:rsidR="0081331C" w:rsidRPr="00BC31E0">
        <w:rPr>
          <w:rFonts w:hint="eastAsia"/>
        </w:rPr>
        <w:t xml:space="preserve"> </w:t>
      </w:r>
      <w:r w:rsidR="0081331C" w:rsidRPr="00BC31E0">
        <w:rPr>
          <w:rFonts w:hint="eastAsia"/>
        </w:rPr>
        <w:t>解析温度における降伏強さ</w:t>
      </w:r>
      <w:r w:rsidR="0081331C" w:rsidRPr="00BC31E0">
        <w:rPr>
          <w:rFonts w:hint="eastAsia"/>
        </w:rPr>
        <w:t>(</w:t>
      </w:r>
      <w:r w:rsidR="0081331C" w:rsidRPr="00BC31E0">
        <w:rPr>
          <w:rFonts w:ascii="ＭＳ ゴシック" w:eastAsia="ＭＳ ゴシック" w:hint="eastAsia"/>
          <w:b/>
        </w:rPr>
        <w:t>表5.4.1</w:t>
      </w:r>
      <w:r w:rsidR="0081331C" w:rsidRPr="00BC31E0">
        <w:rPr>
          <w:rFonts w:hint="eastAsia"/>
        </w:rPr>
        <w:t>，</w:t>
      </w:r>
      <w:r w:rsidR="0081331C" w:rsidRPr="00BC31E0">
        <w:rPr>
          <w:rFonts w:ascii="ＭＳ ゴシック" w:eastAsia="ＭＳ ゴシック" w:hint="eastAsia"/>
          <w:b/>
        </w:rPr>
        <w:t>表5.4.2</w:t>
      </w:r>
      <w:r w:rsidR="0081331C" w:rsidRPr="00BC31E0">
        <w:rPr>
          <w:rFonts w:hint="eastAsia"/>
        </w:rPr>
        <w:t>を参照</w:t>
      </w:r>
      <w:r w:rsidR="0081331C" w:rsidRPr="00BC31E0">
        <w:rPr>
          <w:rFonts w:hint="eastAsia"/>
        </w:rPr>
        <w:t>)</w:t>
      </w:r>
    </w:p>
    <w:p w14:paraId="1A10504D" w14:textId="77777777" w:rsidR="0081331C" w:rsidRPr="00BC31E0" w:rsidRDefault="00A51873" w:rsidP="0081331C">
      <w:pPr>
        <w:tabs>
          <w:tab w:val="left" w:pos="2127"/>
        </w:tabs>
        <w:ind w:left="1361"/>
      </w:pPr>
      <m:oMath>
        <m:sSub>
          <m:sSubPr>
            <m:ctrlPr>
              <w:rPr>
                <w:rFonts w:ascii="Cambria Math" w:hAnsi="Cambria Math"/>
                <w:i/>
              </w:rPr>
            </m:ctrlPr>
          </m:sSubPr>
          <m:e>
            <m:r>
              <w:rPr>
                <w:rFonts w:ascii="Cambria Math" w:hAnsi="Cambria Math"/>
              </w:rPr>
              <m:t>S</m:t>
            </m:r>
          </m:e>
          <m:sub>
            <m:r>
              <w:rPr>
                <w:rFonts w:ascii="Cambria Math" w:hAnsi="Cambria Math"/>
              </w:rPr>
              <m:t>u</m:t>
            </m:r>
          </m:sub>
        </m:sSub>
      </m:oMath>
      <w:r w:rsidR="0081331C" w:rsidRPr="00BC31E0">
        <w:rPr>
          <w:rFonts w:hint="eastAsia"/>
          <w:vertAlign w:val="subscript"/>
        </w:rPr>
        <w:tab/>
      </w:r>
      <w:r w:rsidR="0081331C" w:rsidRPr="00BC31E0">
        <w:rPr>
          <w:rFonts w:hint="eastAsia"/>
        </w:rPr>
        <w:t>：</w:t>
      </w:r>
      <w:r w:rsidR="0081331C" w:rsidRPr="00BC31E0">
        <w:rPr>
          <w:rFonts w:hint="eastAsia"/>
        </w:rPr>
        <w:t xml:space="preserve"> </w:t>
      </w:r>
      <w:r w:rsidR="0081331C" w:rsidRPr="00BC31E0">
        <w:rPr>
          <w:rFonts w:hint="eastAsia"/>
        </w:rPr>
        <w:t>解析温度における引張強さ</w:t>
      </w:r>
      <w:r w:rsidR="0081331C" w:rsidRPr="00BC31E0">
        <w:rPr>
          <w:rFonts w:hint="eastAsia"/>
        </w:rPr>
        <w:t>(</w:t>
      </w:r>
      <w:r w:rsidR="0081331C" w:rsidRPr="00BC31E0">
        <w:rPr>
          <w:rFonts w:ascii="ＭＳ ゴシック" w:eastAsia="ＭＳ ゴシック" w:hint="eastAsia"/>
          <w:b/>
        </w:rPr>
        <w:t>表5.4.</w:t>
      </w:r>
      <w:r w:rsidR="0081331C" w:rsidRPr="00BC31E0">
        <w:rPr>
          <w:rFonts w:hint="eastAsia"/>
          <w:b/>
        </w:rPr>
        <w:t>1</w:t>
      </w:r>
      <w:r w:rsidR="0081331C" w:rsidRPr="00BC31E0">
        <w:rPr>
          <w:rFonts w:hint="eastAsia"/>
        </w:rPr>
        <w:t>，</w:t>
      </w:r>
      <w:r w:rsidR="0081331C" w:rsidRPr="00BC31E0">
        <w:rPr>
          <w:rFonts w:ascii="ＭＳ ゴシック" w:eastAsia="ＭＳ ゴシック" w:hint="eastAsia"/>
          <w:b/>
        </w:rPr>
        <w:t>表5.4.2</w:t>
      </w:r>
      <w:r w:rsidR="0081331C" w:rsidRPr="00BC31E0">
        <w:rPr>
          <w:rFonts w:hint="eastAsia"/>
        </w:rPr>
        <w:t>を参照</w:t>
      </w:r>
      <w:r w:rsidR="0081331C" w:rsidRPr="00BC31E0">
        <w:rPr>
          <w:rFonts w:hint="eastAsia"/>
        </w:rPr>
        <w:t>)</w:t>
      </w:r>
    </w:p>
    <w:p w14:paraId="7EE54D38" w14:textId="77777777" w:rsidR="0081331C" w:rsidRPr="00BC31E0" w:rsidRDefault="0081331C" w:rsidP="00736130">
      <w:pPr>
        <w:pStyle w:val="a4"/>
        <w:numPr>
          <w:ilvl w:val="0"/>
          <w:numId w:val="109"/>
        </w:numPr>
        <w:spacing w:before="120" w:after="120"/>
        <w:ind w:leftChars="0" w:left="1134" w:hanging="567"/>
      </w:pPr>
      <w:r w:rsidRPr="00BC31E0">
        <w:rPr>
          <w:rFonts w:hint="eastAsia"/>
        </w:rPr>
        <w:t>次式を使用し，</w:t>
      </w:r>
      <m:oMath>
        <m:r>
          <w:rPr>
            <w:rFonts w:ascii="Cambria Math" w:hAnsi="Cambria Math"/>
          </w:rPr>
          <m:t xml:space="preserve">k </m:t>
        </m:r>
      </m:oMath>
      <w:r w:rsidRPr="00BC31E0">
        <w:t>番目の</w:t>
      </w:r>
      <w:r w:rsidRPr="00BC31E0">
        <w:rPr>
          <w:rFonts w:ascii="ＭＳ 明朝" w:hint="eastAsia"/>
        </w:rPr>
        <w:t>荷重ステップで発生する局部ひずみ損傷</w:t>
      </w:r>
      <w:r w:rsidRPr="00BC31E0">
        <w:rPr>
          <w:rFonts w:hint="eastAsia"/>
        </w:rPr>
        <w:t>を計算する。</w:t>
      </w:r>
    </w:p>
    <w:p w14:paraId="3DD066D6" w14:textId="77777777" w:rsidR="0081331C" w:rsidRPr="00BC31E0" w:rsidRDefault="0081331C" w:rsidP="0081331C">
      <w:pPr>
        <w:tabs>
          <w:tab w:val="left" w:pos="2552"/>
          <w:tab w:val="left" w:leader="middleDot" w:pos="8222"/>
        </w:tabs>
      </w:pPr>
      <w:r w:rsidRPr="00BC31E0">
        <w:rPr>
          <w:rFonts w:hint="eastAsia"/>
        </w:rPr>
        <w:tab/>
      </w:r>
      <m:oMath>
        <m:sSub>
          <m:sSubPr>
            <m:ctrlPr>
              <w:rPr>
                <w:rFonts w:ascii="Cambria Math" w:hAnsi="Cambria Math"/>
                <w:i/>
              </w:rPr>
            </m:ctrlPr>
          </m:sSubPr>
          <m:e>
            <m:r>
              <w:rPr>
                <w:rFonts w:ascii="Cambria Math" w:hAnsi="Cambria Math"/>
              </w:rPr>
              <m:t>D</m:t>
            </m:r>
          </m:e>
          <m:sub>
            <m:r>
              <w:rPr>
                <w:rFonts w:ascii="Cambria Math" w:hAnsi="Cambria Math"/>
              </w:rPr>
              <m:t>ε,k</m:t>
            </m:r>
          </m:sub>
        </m:sSub>
        <m:r>
          <w:rPr>
            <w:rFonts w:ascii="Cambria Math" w:hAnsi="Cambria Math"/>
          </w:rPr>
          <m:t>=</m:t>
        </m:r>
        <m:f>
          <m:fPr>
            <m:type m:val="lin"/>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peq,k</m:t>
                </m:r>
              </m:sub>
            </m:sSub>
          </m:num>
          <m:den>
            <m:sSub>
              <m:sSubPr>
                <m:ctrlPr>
                  <w:rPr>
                    <w:rFonts w:ascii="Cambria Math" w:hAnsi="Cambria Math"/>
                    <w:i/>
                  </w:rPr>
                </m:ctrlPr>
              </m:sSubPr>
              <m:e>
                <m:r>
                  <w:rPr>
                    <w:rFonts w:ascii="Cambria Math" w:hAnsi="Cambria Math"/>
                  </w:rPr>
                  <m:t>ε</m:t>
                </m:r>
              </m:e>
              <m:sub>
                <m:r>
                  <w:rPr>
                    <w:rFonts w:ascii="Cambria Math" w:hAnsi="Cambria Math"/>
                  </w:rPr>
                  <m:t>L,k</m:t>
                </m:r>
              </m:sub>
            </m:sSub>
          </m:den>
        </m:f>
      </m:oMath>
      <w:r w:rsidRPr="00BC31E0">
        <w:rPr>
          <w:rFonts w:hint="eastAsia"/>
        </w:rPr>
        <w:tab/>
        <w:t>(6.2.10)</w:t>
      </w:r>
    </w:p>
    <w:p w14:paraId="7F060591" w14:textId="77777777" w:rsidR="0081331C" w:rsidRPr="00BC31E0" w:rsidRDefault="0081331C" w:rsidP="00736130">
      <w:pPr>
        <w:pStyle w:val="a4"/>
        <w:numPr>
          <w:ilvl w:val="0"/>
          <w:numId w:val="98"/>
        </w:numPr>
        <w:spacing w:before="120"/>
        <w:ind w:leftChars="0" w:left="1134" w:hanging="567"/>
      </w:pPr>
      <w:r w:rsidRPr="00BC31E0">
        <w:rPr>
          <w:rFonts w:hint="eastAsia"/>
        </w:rPr>
        <w:t>累</w:t>
      </w:r>
      <w:r w:rsidRPr="00BC31E0">
        <w:rPr>
          <w:rFonts w:asciiTheme="minorEastAsia" w:eastAsiaTheme="minorEastAsia" w:hAnsiTheme="minorEastAsia" w:hint="eastAsia"/>
        </w:rPr>
        <w:t>積損傷</w:t>
      </w:r>
      <m:oMath>
        <m:sSub>
          <m:sSubPr>
            <m:ctrlPr>
              <w:rPr>
                <w:rFonts w:ascii="Cambria Math" w:eastAsiaTheme="minorEastAsia" w:hAnsi="Cambria Math"/>
                <w:i/>
              </w:rPr>
            </m:ctrlPr>
          </m:sSubPr>
          <m:e>
            <m:r>
              <w:rPr>
                <w:rFonts w:ascii="Cambria Math" w:eastAsiaTheme="minorEastAsia" w:hAnsi="Cambria Math"/>
              </w:rPr>
              <m:t xml:space="preserve"> D</m:t>
            </m:r>
          </m:e>
          <m:sub>
            <m:r>
              <w:rPr>
                <w:rFonts w:ascii="Cambria Math" w:eastAsiaTheme="minorEastAsia" w:hAnsi="Cambria Math"/>
              </w:rPr>
              <m:t>ε</m:t>
            </m:r>
          </m:sub>
        </m:sSub>
        <m:r>
          <w:rPr>
            <w:rFonts w:ascii="Cambria Math" w:eastAsiaTheme="minorEastAsia" w:hAnsi="Cambria Math"/>
          </w:rPr>
          <m:t xml:space="preserve"> </m:t>
        </m:r>
      </m:oMath>
      <w:r w:rsidRPr="00BC31E0">
        <w:rPr>
          <w:rFonts w:asciiTheme="minorEastAsia" w:eastAsiaTheme="minorEastAsia" w:hAnsiTheme="minorEastAsia" w:hint="eastAsia"/>
        </w:rPr>
        <w:t>を求めるために，</w:t>
      </w:r>
      <m:oMath>
        <m:r>
          <w:rPr>
            <w:rFonts w:ascii="Cambria Math" w:hAnsi="Cambria Math"/>
          </w:rPr>
          <m:t>k</m:t>
        </m:r>
        <m:r>
          <m:rPr>
            <m:sty m:val="p"/>
          </m:rPr>
          <w:rPr>
            <w:rFonts w:ascii="Cambria Math" w:hAnsi="Cambria Math"/>
          </w:rPr>
          <m:t xml:space="preserve"> </m:t>
        </m:r>
      </m:oMath>
      <w:r w:rsidRPr="00BC31E0">
        <w:t>番目の</w:t>
      </w:r>
      <w:r w:rsidRPr="00BC31E0">
        <w:rPr>
          <w:rFonts w:hint="eastAsia"/>
        </w:rPr>
        <w:t>荷重ステップで発生する局部ひ</w:t>
      </w:r>
      <w:r w:rsidRPr="00BC31E0">
        <w:rPr>
          <w:rFonts w:asciiTheme="minorEastAsia" w:eastAsiaTheme="minorEastAsia" w:hAnsiTheme="minorEastAsia" w:hint="eastAsia"/>
        </w:rPr>
        <w:t>ずみ損傷</w:t>
      </w:r>
      <m:oMath>
        <m:sSub>
          <m:sSubPr>
            <m:ctrlPr>
              <w:rPr>
                <w:rFonts w:ascii="Cambria Math" w:eastAsiaTheme="minorEastAsia" w:hAnsi="Cambria Math"/>
                <w:i/>
              </w:rPr>
            </m:ctrlPr>
          </m:sSubPr>
          <m:e>
            <m:r>
              <w:rPr>
                <w:rFonts w:ascii="Cambria Math" w:eastAsiaTheme="minorEastAsia" w:hAnsi="Cambria Math"/>
              </w:rPr>
              <m:t xml:space="preserve"> D</m:t>
            </m:r>
          </m:e>
          <m:sub>
            <m:r>
              <w:rPr>
                <w:rFonts w:ascii="Cambria Math" w:eastAsiaTheme="minorEastAsia" w:hAnsi="Cambria Math"/>
              </w:rPr>
              <m:t>ε,k</m:t>
            </m:r>
          </m:sub>
        </m:sSub>
        <m:r>
          <w:rPr>
            <w:rFonts w:ascii="Cambria Math" w:eastAsiaTheme="minorEastAsia" w:hAnsi="Cambria Math"/>
          </w:rPr>
          <m:t xml:space="preserve"> </m:t>
        </m:r>
      </m:oMath>
      <w:r w:rsidRPr="00BC31E0">
        <w:rPr>
          <w:rFonts w:asciiTheme="minorEastAsia" w:eastAsiaTheme="minorEastAsia" w:hAnsiTheme="minorEastAsia" w:hint="eastAsia"/>
        </w:rPr>
        <w:t>を</w:t>
      </w:r>
      <w:r w:rsidRPr="00BC31E0">
        <w:rPr>
          <w:rFonts w:hint="eastAsia"/>
        </w:rPr>
        <w:t>その前の荷重ステップで発生した局部ひずみ損傷の合計に加える。</w:t>
      </w:r>
    </w:p>
    <w:p w14:paraId="2510861C" w14:textId="77777777" w:rsidR="0081331C" w:rsidRPr="00BC31E0" w:rsidRDefault="00DC160D" w:rsidP="00736130">
      <w:pPr>
        <w:pStyle w:val="a4"/>
        <w:numPr>
          <w:ilvl w:val="0"/>
          <w:numId w:val="98"/>
        </w:numPr>
        <w:ind w:leftChars="0" w:left="1134" w:hanging="567"/>
      </w:pPr>
      <w:r w:rsidRPr="00BC31E0">
        <w:rPr>
          <w:rFonts w:hint="eastAsia"/>
        </w:rPr>
        <w:t>全</w:t>
      </w:r>
      <w:r w:rsidR="0081331C" w:rsidRPr="00BC31E0">
        <w:rPr>
          <w:rFonts w:hint="eastAsia"/>
        </w:rPr>
        <w:t>ての荷重ステップについて，</w:t>
      </w:r>
      <w:r w:rsidR="0081331C" w:rsidRPr="00BC31E0">
        <w:rPr>
          <w:rFonts w:asciiTheme="majorEastAsia" w:eastAsiaTheme="majorEastAsia" w:hAnsiTheme="majorEastAsia" w:hint="eastAsia"/>
          <w:b/>
        </w:rPr>
        <w:t>1.2)</w:t>
      </w:r>
      <w:r w:rsidR="0081331C" w:rsidRPr="00BC31E0">
        <w:rPr>
          <w:rFonts w:hint="eastAsia"/>
        </w:rPr>
        <w:t>～</w:t>
      </w:r>
      <w:r w:rsidR="0081331C" w:rsidRPr="00BC31E0">
        <w:rPr>
          <w:rFonts w:asciiTheme="majorEastAsia" w:eastAsiaTheme="majorEastAsia" w:hAnsiTheme="majorEastAsia" w:hint="eastAsia"/>
          <w:b/>
        </w:rPr>
        <w:t>1.5)</w:t>
      </w:r>
      <w:r w:rsidR="0081331C" w:rsidRPr="00BC31E0">
        <w:rPr>
          <w:rFonts w:hint="eastAsia"/>
        </w:rPr>
        <w:t>を繰り返す。</w:t>
      </w:r>
    </w:p>
    <w:p w14:paraId="05F5B286" w14:textId="77777777" w:rsidR="0081331C" w:rsidRPr="00BC31E0" w:rsidRDefault="0081331C" w:rsidP="00736130">
      <w:pPr>
        <w:pStyle w:val="a4"/>
        <w:numPr>
          <w:ilvl w:val="0"/>
          <w:numId w:val="98"/>
        </w:numPr>
        <w:spacing w:after="120"/>
        <w:ind w:leftChars="0" w:left="1134" w:hanging="567"/>
      </w:pPr>
      <w:r w:rsidRPr="00BC31E0">
        <w:rPr>
          <w:rFonts w:hint="eastAsia"/>
        </w:rPr>
        <w:t>部品が冷間加工</w:t>
      </w:r>
      <w:r w:rsidRPr="00BC31E0">
        <w:t>(</w:t>
      </w:r>
      <w:r w:rsidRPr="00BC31E0">
        <w:t>その後の熱処理なし</w:t>
      </w:r>
      <w:r w:rsidRPr="00BC31E0">
        <w:t>)</w:t>
      </w:r>
      <w:r w:rsidRPr="00BC31E0">
        <w:rPr>
          <w:rFonts w:hint="eastAsia"/>
        </w:rPr>
        <w:t>した場合，次式を使用して加工による</w:t>
      </w:r>
      <w:r w:rsidRPr="00BC31E0">
        <w:rPr>
          <w:rFonts w:asciiTheme="minorEastAsia" w:eastAsiaTheme="minorEastAsia" w:hAnsiTheme="minorEastAsia" w:hint="eastAsia"/>
        </w:rPr>
        <w:t>損傷</w:t>
      </w:r>
      <m:oMath>
        <m:sSub>
          <m:sSubPr>
            <m:ctrlPr>
              <w:rPr>
                <w:rFonts w:ascii="Cambria Math" w:eastAsiaTheme="minorEastAsia" w:hAnsi="Cambria Math"/>
                <w:i/>
              </w:rPr>
            </m:ctrlPr>
          </m:sSubPr>
          <m:e>
            <m:r>
              <w:rPr>
                <w:rFonts w:ascii="Cambria Math" w:eastAsiaTheme="minorEastAsia" w:hAnsi="Cambria Math"/>
              </w:rPr>
              <m:t xml:space="preserve"> D</m:t>
            </m:r>
          </m:e>
          <m:sub>
            <m:r>
              <w:rPr>
                <w:rFonts w:ascii="Cambria Math" w:eastAsiaTheme="minorEastAsia" w:hAnsi="Cambria Math"/>
              </w:rPr>
              <m:t>εform</m:t>
            </m:r>
          </m:sub>
        </m:sSub>
      </m:oMath>
      <w:r w:rsidRPr="00BC31E0">
        <w:rPr>
          <w:rFonts w:asciiTheme="minorEastAsia" w:eastAsiaTheme="minorEastAsia" w:hAnsiTheme="minorEastAsia" w:hint="eastAsia"/>
        </w:rPr>
        <w:t>を算出する</w:t>
      </w:r>
      <w:r w:rsidRPr="00BC31E0">
        <w:rPr>
          <w:rFonts w:hint="eastAsia"/>
        </w:rPr>
        <w:t>。</w:t>
      </w:r>
    </w:p>
    <w:tbl>
      <w:tblPr>
        <w:tblStyle w:val="afff2"/>
        <w:tblW w:w="6520" w:type="dxa"/>
        <w:tblInd w:w="2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5"/>
        <w:gridCol w:w="3615"/>
      </w:tblGrid>
      <w:tr w:rsidR="0081331C" w:rsidRPr="00BC31E0" w14:paraId="17F5E163" w14:textId="77777777" w:rsidTr="00E20930">
        <w:tc>
          <w:tcPr>
            <w:tcW w:w="0" w:type="auto"/>
            <w:tcMar>
              <w:left w:w="0" w:type="dxa"/>
              <w:right w:w="0" w:type="dxa"/>
            </w:tcMar>
            <w:vAlign w:val="center"/>
          </w:tcPr>
          <w:p w14:paraId="3DCE63B2" w14:textId="77777777" w:rsidR="0081331C" w:rsidRPr="00BC31E0" w:rsidRDefault="00A51873" w:rsidP="00E20930">
            <w:pPr>
              <w:tabs>
                <w:tab w:val="left" w:pos="2552"/>
                <w:tab w:val="left" w:leader="middleDot" w:pos="8222"/>
              </w:tabs>
              <w:jc w:val="left"/>
              <w:rPr>
                <w:i/>
              </w:rPr>
            </w:pPr>
            <m:oMathPara>
              <m:oMathParaPr>
                <m:jc m:val="left"/>
              </m:oMathParaPr>
              <m:oMath>
                <m:sSub>
                  <m:sSubPr>
                    <m:ctrlPr>
                      <w:rPr>
                        <w:rFonts w:ascii="Cambria Math" w:hAnsi="Cambria Math"/>
                        <w:i/>
                      </w:rPr>
                    </m:ctrlPr>
                  </m:sSubPr>
                  <m:e>
                    <m:r>
                      <w:rPr>
                        <w:rFonts w:ascii="Cambria Math" w:hAnsi="Cambria Math"/>
                      </w:rPr>
                      <m:t>D</m:t>
                    </m:r>
                  </m:e>
                  <m:sub>
                    <m:r>
                      <w:rPr>
                        <w:rFonts w:ascii="Cambria Math" w:hAnsi="Cambria Math"/>
                      </w:rPr>
                      <m:t>εform</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ε</m:t>
                        </m:r>
                      </m:e>
                      <m:sub>
                        <m:r>
                          <w:rPr>
                            <w:rFonts w:ascii="Cambria Math" w:hAnsi="Cambria Math"/>
                          </w:rPr>
                          <m:t>cf</m:t>
                        </m:r>
                      </m:sub>
                    </m:sSub>
                  </m:num>
                  <m:den>
                    <m:sSub>
                      <m:sSubPr>
                        <m:ctrlPr>
                          <w:rPr>
                            <w:rFonts w:ascii="Cambria Math" w:hAnsi="Cambria Math"/>
                            <w:i/>
                          </w:rPr>
                        </m:ctrlPr>
                      </m:sSubPr>
                      <m:e>
                        <m:r>
                          <w:rPr>
                            <w:rFonts w:ascii="Cambria Math" w:hAnsi="Cambria Math"/>
                          </w:rPr>
                          <m:t>ε</m:t>
                        </m:r>
                      </m:e>
                      <m:sub>
                        <m:r>
                          <w:rPr>
                            <w:rFonts w:ascii="Cambria Math" w:hAnsi="Cambria Math"/>
                          </w:rPr>
                          <m:t>Lu</m:t>
                        </m:r>
                      </m:sub>
                    </m:sSub>
                    <m:sSup>
                      <m:sSupPr>
                        <m:ctrlPr>
                          <w:rPr>
                            <w:rFonts w:ascii="Cambria Math" w:hAnsi="Cambria Math"/>
                            <w:i/>
                          </w:rPr>
                        </m:ctrlPr>
                      </m:sSupPr>
                      <m:e>
                        <m:r>
                          <w:rPr>
                            <w:rFonts w:ascii="Cambria Math" w:hAnsi="Cambria Math"/>
                          </w:rPr>
                          <m:t xml:space="preserve"> e</m:t>
                        </m:r>
                      </m:e>
                      <m:sup>
                        <m:d>
                          <m:dPr>
                            <m:begChr m:val="["/>
                            <m:endChr m:val="]"/>
                            <m:ctrlPr>
                              <w:rPr>
                                <w:rFonts w:ascii="Cambria Math" w:hAnsi="Cambria Math"/>
                                <w:i/>
                              </w:rPr>
                            </m:ctrlPr>
                          </m:dPr>
                          <m:e>
                            <m:r>
                              <w:rPr>
                                <w:rFonts w:ascii="Cambria Math" w:hAnsi="Cambria Math"/>
                              </w:rPr>
                              <m:t xml:space="preserve">-0.33 </m:t>
                            </m:r>
                            <m:d>
                              <m:dPr>
                                <m:begChr m:val="{"/>
                                <m:endChr m:val="}"/>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5</m:t>
                                        </m:r>
                                      </m:sub>
                                    </m:sSub>
                                  </m:num>
                                  <m:den>
                                    <m:d>
                                      <m:dPr>
                                        <m:ctrlPr>
                                          <w:rPr>
                                            <w:rFonts w:ascii="Cambria Math" w:hAnsi="Cambria Math"/>
                                            <w:i/>
                                          </w:rPr>
                                        </m:ctrlPr>
                                      </m:dPr>
                                      <m:e>
                                        <m:r>
                                          <w:rPr>
                                            <w:rFonts w:ascii="Cambria Math" w:hAnsi="Cambria Math"/>
                                          </w:rPr>
                                          <m:t xml:space="preserve">1 + </m:t>
                                        </m:r>
                                        <m:sSub>
                                          <m:sSubPr>
                                            <m:ctrlPr>
                                              <w:rPr>
                                                <w:rFonts w:ascii="Cambria Math" w:hAnsi="Cambria Math"/>
                                                <w:i/>
                                              </w:rPr>
                                            </m:ctrlPr>
                                          </m:sSubPr>
                                          <m:e>
                                            <m:r>
                                              <w:rPr>
                                                <w:rFonts w:ascii="Cambria Math" w:hAnsi="Cambria Math"/>
                                              </w:rPr>
                                              <m:t>m</m:t>
                                            </m:r>
                                          </m:e>
                                          <m:sub>
                                            <m:r>
                                              <w:rPr>
                                                <w:rFonts w:ascii="Cambria Math" w:hAnsi="Cambria Math"/>
                                              </w:rPr>
                                              <m:t>2</m:t>
                                            </m:r>
                                          </m:sub>
                                        </m:sSub>
                                      </m:e>
                                    </m:d>
                                  </m:den>
                                </m:f>
                              </m:e>
                            </m:d>
                          </m:e>
                        </m:d>
                      </m:sup>
                    </m:sSup>
                  </m:den>
                </m:f>
              </m:oMath>
            </m:oMathPara>
          </w:p>
        </w:tc>
        <w:tc>
          <w:tcPr>
            <w:tcW w:w="3615" w:type="dxa"/>
            <w:tcMar>
              <w:left w:w="0" w:type="dxa"/>
              <w:right w:w="0" w:type="dxa"/>
            </w:tcMar>
            <w:vAlign w:val="center"/>
          </w:tcPr>
          <w:p w14:paraId="31D3732A" w14:textId="77777777" w:rsidR="0081331C" w:rsidRPr="00BC31E0" w:rsidRDefault="0081331C" w:rsidP="00E20930">
            <w:pPr>
              <w:tabs>
                <w:tab w:val="left" w:leader="middleDot" w:pos="2765"/>
              </w:tabs>
              <w:jc w:val="left"/>
            </w:pPr>
            <w:r w:rsidRPr="00BC31E0">
              <w:tab/>
            </w:r>
            <w:r w:rsidRPr="00BC31E0">
              <w:rPr>
                <w:rFonts w:hint="eastAsia"/>
              </w:rPr>
              <w:t>(6.2.11)</w:t>
            </w:r>
          </w:p>
        </w:tc>
      </w:tr>
    </w:tbl>
    <w:p w14:paraId="4ED43F3F" w14:textId="77777777" w:rsidR="0081331C" w:rsidRPr="00BC31E0" w:rsidRDefault="0081331C" w:rsidP="0081331C">
      <w:pPr>
        <w:spacing w:before="120"/>
        <w:ind w:left="1134"/>
      </w:pPr>
      <w:r w:rsidRPr="00BC31E0">
        <w:rPr>
          <w:rFonts w:hint="eastAsia"/>
        </w:rPr>
        <w:t>ここで，</w:t>
      </w:r>
      <m:oMath>
        <m:sSub>
          <m:sSubPr>
            <m:ctrlPr>
              <w:rPr>
                <w:rFonts w:ascii="Cambria Math" w:hAnsi="Cambria Math"/>
                <w:i/>
              </w:rPr>
            </m:ctrlPr>
          </m:sSubPr>
          <m:e>
            <m:r>
              <w:rPr>
                <w:rFonts w:ascii="Cambria Math" w:hAnsi="Cambria Math"/>
              </w:rPr>
              <m:t>ε</m:t>
            </m:r>
          </m:e>
          <m:sub>
            <m:r>
              <w:rPr>
                <w:rFonts w:ascii="Cambria Math" w:hAnsi="Cambria Math"/>
              </w:rPr>
              <m:t>cf</m:t>
            </m:r>
          </m:sub>
        </m:sSub>
      </m:oMath>
      <w:r w:rsidRPr="00BC31E0">
        <w:rPr>
          <w:rFonts w:hint="eastAsia"/>
        </w:rPr>
        <w:t>：加工ひずみ</w:t>
      </w:r>
    </w:p>
    <w:p w14:paraId="3F8B3B23" w14:textId="77777777" w:rsidR="0081331C" w:rsidRPr="00BC31E0" w:rsidRDefault="0081331C" w:rsidP="00736130">
      <w:pPr>
        <w:pStyle w:val="a4"/>
        <w:numPr>
          <w:ilvl w:val="0"/>
          <w:numId w:val="98"/>
        </w:numPr>
        <w:spacing w:after="120"/>
        <w:ind w:leftChars="0" w:left="1134" w:hanging="567"/>
        <w:rPr>
          <w:b/>
        </w:rPr>
      </w:pPr>
      <w:r w:rsidRPr="00BC31E0">
        <w:rPr>
          <w:rFonts w:hint="eastAsia"/>
        </w:rPr>
        <w:t>合計累積損傷</w:t>
      </w:r>
      <m:oMath>
        <m:sSub>
          <m:sSubPr>
            <m:ctrlPr>
              <w:rPr>
                <w:rFonts w:ascii="Cambria Math" w:hAnsi="Cambria Math"/>
                <w:i/>
              </w:rPr>
            </m:ctrlPr>
          </m:sSubPr>
          <m:e>
            <m:r>
              <w:rPr>
                <w:rFonts w:ascii="Cambria Math" w:hAnsi="Cambria Math"/>
              </w:rPr>
              <m:t xml:space="preserve"> D</m:t>
            </m:r>
          </m:e>
          <m:sub>
            <m:r>
              <w:rPr>
                <w:rFonts w:ascii="Cambria Math" w:hAnsi="Cambria Math"/>
              </w:rPr>
              <m:t>εt</m:t>
            </m:r>
          </m:sub>
        </m:sSub>
        <m:r>
          <w:rPr>
            <w:rFonts w:ascii="Cambria Math" w:hAnsi="Cambria Math"/>
          </w:rPr>
          <m:t xml:space="preserve"> </m:t>
        </m:r>
      </m:oMath>
      <w:r w:rsidRPr="00BC31E0">
        <w:rPr>
          <w:rFonts w:hint="eastAsia"/>
        </w:rPr>
        <w:t>を求めるために，加工による損傷を加える。</w:t>
      </w:r>
    </w:p>
    <w:tbl>
      <w:tblPr>
        <w:tblStyle w:val="afff2"/>
        <w:tblW w:w="6520" w:type="dxa"/>
        <w:tblInd w:w="2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8"/>
        <w:gridCol w:w="3052"/>
      </w:tblGrid>
      <w:tr w:rsidR="0081331C" w:rsidRPr="00BC31E0" w14:paraId="06488488" w14:textId="77777777" w:rsidTr="00E20930">
        <w:tc>
          <w:tcPr>
            <w:tcW w:w="0" w:type="auto"/>
            <w:tcMar>
              <w:left w:w="0" w:type="dxa"/>
              <w:right w:w="0" w:type="dxa"/>
            </w:tcMar>
            <w:vAlign w:val="center"/>
          </w:tcPr>
          <w:p w14:paraId="5B689317" w14:textId="77777777" w:rsidR="0081331C" w:rsidRPr="00BC31E0" w:rsidRDefault="00A51873" w:rsidP="00E20930">
            <w:pPr>
              <w:tabs>
                <w:tab w:val="left" w:pos="2552"/>
                <w:tab w:val="left" w:leader="middleDot" w:pos="8222"/>
              </w:tabs>
              <w:jc w:val="left"/>
              <w:rPr>
                <w:i/>
              </w:rPr>
            </w:pPr>
            <m:oMathPara>
              <m:oMathParaPr>
                <m:jc m:val="left"/>
              </m:oMathParaPr>
              <m:oMath>
                <m:sSub>
                  <m:sSubPr>
                    <m:ctrlPr>
                      <w:rPr>
                        <w:rFonts w:ascii="Cambria Math" w:hAnsi="Cambria Math"/>
                        <w:i/>
                      </w:rPr>
                    </m:ctrlPr>
                  </m:sSubPr>
                  <m:e>
                    <m:r>
                      <w:rPr>
                        <w:rFonts w:ascii="Cambria Math" w:hAnsi="Cambria Math"/>
                      </w:rPr>
                      <m:t>D</m:t>
                    </m:r>
                  </m:e>
                  <m:sub>
                    <m:r>
                      <w:rPr>
                        <w:rFonts w:ascii="Cambria Math" w:hAnsi="Cambria Math"/>
                      </w:rPr>
                      <m:t>εt</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εform</m:t>
                    </m:r>
                  </m:sub>
                </m:sSub>
                <m:r>
                  <w:rPr>
                    <w:rFonts w:ascii="Cambria Math" w:hAnsi="Cambria Math"/>
                  </w:rPr>
                  <m:t>+</m:t>
                </m:r>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sSub>
                      <m:sSubPr>
                        <m:ctrlPr>
                          <w:rPr>
                            <w:rFonts w:ascii="Cambria Math" w:hAnsi="Cambria Math"/>
                            <w:i/>
                          </w:rPr>
                        </m:ctrlPr>
                      </m:sSubPr>
                      <m:e>
                        <m:r>
                          <w:rPr>
                            <w:rFonts w:ascii="Cambria Math" w:hAnsi="Cambria Math"/>
                          </w:rPr>
                          <m:t>D</m:t>
                        </m:r>
                      </m:e>
                      <m:sub>
                        <m:r>
                          <w:rPr>
                            <w:rFonts w:ascii="Cambria Math" w:hAnsi="Cambria Math"/>
                          </w:rPr>
                          <m:t>ε,k</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εform</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ε</m:t>
                        </m:r>
                      </m:sub>
                    </m:sSub>
                  </m:e>
                </m:nary>
              </m:oMath>
            </m:oMathPara>
          </w:p>
        </w:tc>
        <w:tc>
          <w:tcPr>
            <w:tcW w:w="3052" w:type="dxa"/>
            <w:tcMar>
              <w:left w:w="0" w:type="dxa"/>
              <w:right w:w="0" w:type="dxa"/>
            </w:tcMar>
            <w:vAlign w:val="center"/>
          </w:tcPr>
          <w:p w14:paraId="55DFD057" w14:textId="77777777" w:rsidR="0081331C" w:rsidRPr="00BC31E0" w:rsidRDefault="0081331C" w:rsidP="00E20930">
            <w:pPr>
              <w:tabs>
                <w:tab w:val="left" w:leader="middleDot" w:pos="2202"/>
              </w:tabs>
              <w:jc w:val="left"/>
            </w:pPr>
            <w:r w:rsidRPr="00BC31E0">
              <w:tab/>
            </w:r>
            <w:r w:rsidRPr="00BC31E0">
              <w:rPr>
                <w:rFonts w:hint="eastAsia"/>
              </w:rPr>
              <w:t>(6.2.12)</w:t>
            </w:r>
          </w:p>
        </w:tc>
      </w:tr>
    </w:tbl>
    <w:p w14:paraId="2711109A" w14:textId="77777777" w:rsidR="0081331C" w:rsidRPr="00BC31E0" w:rsidRDefault="0081331C" w:rsidP="00736130">
      <w:pPr>
        <w:pStyle w:val="a4"/>
        <w:numPr>
          <w:ilvl w:val="0"/>
          <w:numId w:val="98"/>
        </w:numPr>
        <w:spacing w:before="120"/>
        <w:ind w:leftChars="0" w:left="1134" w:hanging="567"/>
      </w:pPr>
      <w:r w:rsidRPr="00BC31E0">
        <w:rPr>
          <w:rFonts w:asciiTheme="minorEastAsia" w:eastAsiaTheme="minorEastAsia" w:hAnsiTheme="minorEastAsia" w:hint="eastAsia"/>
        </w:rPr>
        <w:t>合計累積損傷</w:t>
      </w:r>
      <m:oMath>
        <m:sSub>
          <m:sSubPr>
            <m:ctrlPr>
              <w:rPr>
                <w:rFonts w:ascii="Cambria Math" w:hAnsi="Cambria Math"/>
                <w:i/>
              </w:rPr>
            </m:ctrlPr>
          </m:sSubPr>
          <m:e>
            <m:r>
              <w:rPr>
                <w:rFonts w:ascii="Cambria Math" w:hAnsi="Cambria Math"/>
              </w:rPr>
              <m:t xml:space="preserve"> D</m:t>
            </m:r>
          </m:e>
          <m:sub>
            <m:r>
              <w:rPr>
                <w:rFonts w:ascii="Cambria Math" w:hAnsi="Cambria Math"/>
              </w:rPr>
              <m:t>εt</m:t>
            </m:r>
          </m:sub>
        </m:sSub>
        <m:r>
          <w:rPr>
            <w:rFonts w:ascii="Cambria Math" w:hAnsi="Cambria Math"/>
          </w:rPr>
          <m:t xml:space="preserve"> </m:t>
        </m:r>
      </m:oMath>
      <w:r w:rsidRPr="00BC31E0">
        <w:rPr>
          <w:rFonts w:asciiTheme="minorEastAsia" w:eastAsiaTheme="minorEastAsia" w:hAnsiTheme="minorEastAsia" w:hint="eastAsia"/>
        </w:rPr>
        <w:t>は，</w:t>
      </w:r>
      <w:r w:rsidRPr="00BC31E0">
        <w:rPr>
          <w:rFonts w:asciiTheme="majorEastAsia" w:eastAsiaTheme="majorEastAsia" w:hAnsiTheme="majorEastAsia" w:hint="eastAsia"/>
          <w:b/>
        </w:rPr>
        <w:t>表6.2.3</w:t>
      </w:r>
      <w:r w:rsidRPr="00BC31E0">
        <w:rPr>
          <w:rFonts w:hint="eastAsia"/>
        </w:rPr>
        <w:t>の局所損傷に示されている</w:t>
      </w:r>
      <w:r w:rsidR="00DC160D" w:rsidRPr="00BC31E0">
        <w:rPr>
          <w:rFonts w:hint="eastAsia"/>
        </w:rPr>
        <w:t>全</w:t>
      </w:r>
      <w:r w:rsidRPr="00BC31E0">
        <w:rPr>
          <w:rFonts w:hint="eastAsia"/>
        </w:rPr>
        <w:t>ての荷重を考慮して計算しなければならない。</w:t>
      </w:r>
      <w:r w:rsidRPr="00BC31E0">
        <w:rPr>
          <w:rFonts w:asciiTheme="minorEastAsia" w:eastAsiaTheme="minorEastAsia" w:hAnsiTheme="minorEastAsia" w:hint="eastAsia"/>
        </w:rPr>
        <w:t>計算された</w:t>
      </w:r>
      <m:oMath>
        <m:sSub>
          <m:sSubPr>
            <m:ctrlPr>
              <w:rPr>
                <w:rFonts w:ascii="Cambria Math" w:hAnsi="Cambria Math"/>
                <w:i/>
              </w:rPr>
            </m:ctrlPr>
          </m:sSubPr>
          <m:e>
            <m:r>
              <w:rPr>
                <w:rFonts w:ascii="Cambria Math" w:hAnsi="Cambria Math"/>
              </w:rPr>
              <m:t xml:space="preserve"> D</m:t>
            </m:r>
          </m:e>
          <m:sub>
            <m:r>
              <w:rPr>
                <w:rFonts w:ascii="Cambria Math" w:hAnsi="Cambria Math"/>
              </w:rPr>
              <m:t>εt</m:t>
            </m:r>
          </m:sub>
        </m:sSub>
        <m:r>
          <w:rPr>
            <w:rFonts w:ascii="Cambria Math" w:hAnsi="Cambria Math"/>
          </w:rPr>
          <m:t xml:space="preserve"> </m:t>
        </m:r>
      </m:oMath>
      <w:r w:rsidRPr="00BC31E0">
        <w:rPr>
          <w:rFonts w:asciiTheme="minorEastAsia" w:eastAsiaTheme="minorEastAsia" w:hAnsiTheme="minorEastAsia" w:hint="eastAsia"/>
        </w:rPr>
        <w:t>は</w:t>
      </w:r>
      <w:r w:rsidRPr="00BC31E0">
        <w:rPr>
          <w:rFonts w:ascii="Cambria Math" w:hAnsi="Cambria Math"/>
        </w:rPr>
        <w:t>1.0</w:t>
      </w:r>
      <w:r w:rsidRPr="00BC31E0">
        <w:rPr>
          <w:rFonts w:hint="eastAsia"/>
        </w:rPr>
        <w:t>を超えてはならない。</w:t>
      </w:r>
    </w:p>
    <w:p w14:paraId="54B6AA74" w14:textId="77777777" w:rsidR="0081331C" w:rsidRPr="00BC31E0" w:rsidRDefault="0081331C" w:rsidP="00736130">
      <w:pPr>
        <w:pStyle w:val="a4"/>
        <w:numPr>
          <w:ilvl w:val="0"/>
          <w:numId w:val="99"/>
        </w:numPr>
        <w:ind w:leftChars="0" w:left="454" w:hanging="454"/>
      </w:pPr>
      <w:r w:rsidRPr="00BC31E0">
        <w:rPr>
          <w:rFonts w:asciiTheme="majorEastAsia" w:eastAsiaTheme="majorEastAsia" w:hAnsiTheme="majorEastAsia" w:hint="eastAsia"/>
          <w:b/>
        </w:rPr>
        <w:t>座屈崩壊に対する評価</w:t>
      </w:r>
      <w:r w:rsidRPr="00BC31E0">
        <w:rPr>
          <w:rFonts w:hint="eastAsia"/>
        </w:rPr>
        <w:t xml:space="preserve">　圧縮応力下で部品の座屈を防ぐために，</w:t>
      </w:r>
      <w:r w:rsidRPr="00BC31E0">
        <w:rPr>
          <w:rFonts w:asciiTheme="majorEastAsia" w:eastAsiaTheme="majorEastAsia" w:hAnsiTheme="majorEastAsia" w:hint="eastAsia"/>
          <w:b/>
        </w:rPr>
        <w:t>表6.2.3</w:t>
      </w:r>
      <w:r w:rsidRPr="00BC31E0">
        <w:rPr>
          <w:rFonts w:hint="eastAsia"/>
        </w:rPr>
        <w:t>に示す荷重抵抗係数を考慮した組合せ荷重を用いて構造安定評価を行わなければならない。弾塑性解析により座屈崩壊解析を行う場合には，初期不整を解析モデルに考慮しなければならない。</w:t>
      </w:r>
    </w:p>
    <w:p w14:paraId="7EB5FB0E" w14:textId="77777777" w:rsidR="0081331C" w:rsidRPr="00BC31E0" w:rsidRDefault="0081331C" w:rsidP="00736130">
      <w:pPr>
        <w:pStyle w:val="a4"/>
        <w:numPr>
          <w:ilvl w:val="0"/>
          <w:numId w:val="99"/>
        </w:numPr>
        <w:ind w:leftChars="0" w:left="454" w:hanging="454"/>
      </w:pPr>
      <w:r w:rsidRPr="00BC31E0">
        <w:rPr>
          <w:rFonts w:asciiTheme="majorEastAsia" w:eastAsiaTheme="majorEastAsia" w:hAnsiTheme="majorEastAsia" w:hint="eastAsia"/>
          <w:b/>
        </w:rPr>
        <w:t>ラチェット評価</w:t>
      </w:r>
      <w:r w:rsidRPr="00BC31E0">
        <w:rPr>
          <w:rFonts w:hint="eastAsia"/>
        </w:rPr>
        <w:t xml:space="preserve">　弾塑性解析によるラチェット評価</w:t>
      </w:r>
      <w:r w:rsidR="001A3F11" w:rsidRPr="00BC31E0">
        <w:rPr>
          <w:rFonts w:hint="eastAsia"/>
        </w:rPr>
        <w:t>手順</w:t>
      </w:r>
      <w:r w:rsidRPr="00BC31E0">
        <w:rPr>
          <w:rFonts w:hint="eastAsia"/>
        </w:rPr>
        <w:t>は，次の</w:t>
      </w:r>
      <w:r w:rsidR="008575D6" w:rsidRPr="00BC31E0">
        <w:rPr>
          <w:rFonts w:asciiTheme="majorEastAsia" w:eastAsiaTheme="majorEastAsia" w:hAnsiTheme="majorEastAsia" w:hint="eastAsia"/>
          <w:b/>
        </w:rPr>
        <w:t>1)</w:t>
      </w:r>
      <w:r w:rsidR="008575D6" w:rsidRPr="00BC31E0">
        <w:rPr>
          <w:rFonts w:hint="eastAsia"/>
        </w:rPr>
        <w:t>～</w:t>
      </w:r>
      <w:r w:rsidR="008575D6" w:rsidRPr="00BC31E0">
        <w:rPr>
          <w:rFonts w:asciiTheme="majorEastAsia" w:eastAsiaTheme="majorEastAsia" w:hAnsiTheme="majorEastAsia" w:hint="eastAsia"/>
          <w:b/>
        </w:rPr>
        <w:t>5)</w:t>
      </w:r>
      <w:r w:rsidRPr="00BC31E0">
        <w:rPr>
          <w:rFonts w:hint="eastAsia"/>
        </w:rPr>
        <w:t>による。</w:t>
      </w:r>
    </w:p>
    <w:p w14:paraId="266D3CE7" w14:textId="77777777" w:rsidR="008575D6" w:rsidRPr="00BC31E0" w:rsidRDefault="0081331C" w:rsidP="00736130">
      <w:pPr>
        <w:pStyle w:val="a4"/>
        <w:numPr>
          <w:ilvl w:val="0"/>
          <w:numId w:val="643"/>
        </w:numPr>
        <w:ind w:leftChars="0" w:left="738" w:hanging="454"/>
      </w:pPr>
      <w:r w:rsidRPr="00BC31E0">
        <w:rPr>
          <w:rFonts w:hint="eastAsia"/>
        </w:rPr>
        <w:t>部品の</w:t>
      </w:r>
      <w:r w:rsidR="00B809CA" w:rsidRPr="00BC31E0">
        <w:rPr>
          <w:rFonts w:hint="eastAsia"/>
        </w:rPr>
        <w:t>全ての幾何学的特徴を含む</w:t>
      </w:r>
      <w:r w:rsidRPr="00BC31E0">
        <w:rPr>
          <w:rFonts w:hint="eastAsia"/>
        </w:rPr>
        <w:t>数値解析モデル</w:t>
      </w:r>
      <w:r w:rsidR="008575D6" w:rsidRPr="00BC31E0">
        <w:rPr>
          <w:rFonts w:hint="eastAsia"/>
        </w:rPr>
        <w:t>を</w:t>
      </w:r>
      <w:r w:rsidRPr="00BC31E0">
        <w:rPr>
          <w:rFonts w:hint="eastAsia"/>
        </w:rPr>
        <w:t>作成</w:t>
      </w:r>
      <w:r w:rsidR="008575D6" w:rsidRPr="00BC31E0">
        <w:rPr>
          <w:rFonts w:hint="eastAsia"/>
        </w:rPr>
        <w:t>する</w:t>
      </w:r>
      <w:r w:rsidRPr="00BC31E0">
        <w:rPr>
          <w:rFonts w:hint="eastAsia"/>
        </w:rPr>
        <w:t>。</w:t>
      </w:r>
      <w:r w:rsidR="00B809CA" w:rsidRPr="00BC31E0">
        <w:rPr>
          <w:rFonts w:hint="eastAsia"/>
        </w:rPr>
        <w:t>解析モデルは，</w:t>
      </w:r>
      <w:r w:rsidRPr="00BC31E0">
        <w:rPr>
          <w:rFonts w:hint="eastAsia"/>
        </w:rPr>
        <w:t>部品形状，境界条件</w:t>
      </w:r>
      <w:r w:rsidR="008575D6" w:rsidRPr="00BC31E0">
        <w:rPr>
          <w:rFonts w:hint="eastAsia"/>
        </w:rPr>
        <w:t>及び</w:t>
      </w:r>
      <w:r w:rsidR="00B809CA" w:rsidRPr="00BC31E0">
        <w:rPr>
          <w:rFonts w:hint="eastAsia"/>
        </w:rPr>
        <w:t>作用</w:t>
      </w:r>
      <w:r w:rsidRPr="00BC31E0">
        <w:rPr>
          <w:rFonts w:hint="eastAsia"/>
        </w:rPr>
        <w:t>荷重を正確に表現できるモデル</w:t>
      </w:r>
      <w:r w:rsidR="0065250E" w:rsidRPr="00BC31E0">
        <w:rPr>
          <w:rFonts w:hint="eastAsia"/>
        </w:rPr>
        <w:t>とする</w:t>
      </w:r>
      <w:r w:rsidRPr="00BC31E0">
        <w:rPr>
          <w:rFonts w:hint="eastAsia"/>
        </w:rPr>
        <w:t>。</w:t>
      </w:r>
    </w:p>
    <w:p w14:paraId="47C62449" w14:textId="77777777" w:rsidR="00E354BC" w:rsidRPr="00BC31E0" w:rsidRDefault="008575D6" w:rsidP="00736130">
      <w:pPr>
        <w:pStyle w:val="a4"/>
        <w:numPr>
          <w:ilvl w:val="0"/>
          <w:numId w:val="643"/>
        </w:numPr>
        <w:ind w:leftChars="0" w:left="738" w:hanging="454"/>
      </w:pPr>
      <w:r w:rsidRPr="00BC31E0">
        <w:rPr>
          <w:rFonts w:hint="eastAsia"/>
        </w:rPr>
        <w:t>全ての</w:t>
      </w:r>
      <w:r w:rsidR="006A3D45" w:rsidRPr="00BC31E0">
        <w:rPr>
          <w:rFonts w:hint="eastAsia"/>
        </w:rPr>
        <w:t>関連する</w:t>
      </w:r>
      <w:r w:rsidR="0081331C" w:rsidRPr="00BC31E0">
        <w:rPr>
          <w:rFonts w:hint="eastAsia"/>
        </w:rPr>
        <w:t>荷重と適用</w:t>
      </w:r>
      <w:r w:rsidRPr="00BC31E0">
        <w:rPr>
          <w:rFonts w:hint="eastAsia"/>
        </w:rPr>
        <w:t>すべき</w:t>
      </w:r>
      <w:r w:rsidR="0081331C" w:rsidRPr="00BC31E0">
        <w:rPr>
          <w:rFonts w:hint="eastAsia"/>
        </w:rPr>
        <w:t>荷重</w:t>
      </w:r>
      <w:r w:rsidRPr="00BC31E0">
        <w:rPr>
          <w:rFonts w:hint="eastAsia"/>
        </w:rPr>
        <w:t>ケース</w:t>
      </w:r>
      <w:r w:rsidR="0081331C" w:rsidRPr="00BC31E0">
        <w:rPr>
          <w:rFonts w:hint="eastAsia"/>
        </w:rPr>
        <w:t>を特定する</w:t>
      </w:r>
      <w:r w:rsidR="0081331C" w:rsidRPr="00BC31E0">
        <w:rPr>
          <w:rFonts w:hint="eastAsia"/>
        </w:rPr>
        <w:t>(</w:t>
      </w:r>
      <w:r w:rsidR="0081331C" w:rsidRPr="00BC31E0">
        <w:rPr>
          <w:rFonts w:ascii="ＭＳ ゴシック" w:eastAsia="ＭＳ ゴシック" w:hint="eastAsia"/>
          <w:b/>
        </w:rPr>
        <w:t>表6.2.1</w:t>
      </w:r>
      <w:r w:rsidR="0081331C" w:rsidRPr="00BC31E0">
        <w:rPr>
          <w:rFonts w:hint="eastAsia"/>
        </w:rPr>
        <w:t>を参照</w:t>
      </w:r>
      <w:r w:rsidR="0081331C" w:rsidRPr="00BC31E0">
        <w:rPr>
          <w:rFonts w:hint="eastAsia"/>
        </w:rPr>
        <w:t>)</w:t>
      </w:r>
      <w:r w:rsidR="0081331C" w:rsidRPr="00BC31E0">
        <w:rPr>
          <w:rFonts w:hint="eastAsia"/>
        </w:rPr>
        <w:t>。</w:t>
      </w:r>
    </w:p>
    <w:p w14:paraId="176AF178" w14:textId="77777777" w:rsidR="003D5159" w:rsidRPr="00BC31E0" w:rsidRDefault="00212A22" w:rsidP="00736130">
      <w:pPr>
        <w:pStyle w:val="a4"/>
        <w:numPr>
          <w:ilvl w:val="0"/>
          <w:numId w:val="643"/>
        </w:numPr>
        <w:ind w:leftChars="0" w:left="738" w:hanging="454"/>
      </w:pPr>
      <w:r w:rsidRPr="00BC31E0">
        <w:rPr>
          <w:rFonts w:hint="eastAsia"/>
        </w:rPr>
        <w:t>解析で</w:t>
      </w:r>
      <w:r w:rsidR="00E354BC" w:rsidRPr="00BC31E0">
        <w:rPr>
          <w:rFonts w:hint="eastAsia"/>
        </w:rPr>
        <w:t>は</w:t>
      </w:r>
      <w:r w:rsidR="006A3D45" w:rsidRPr="00BC31E0">
        <w:rPr>
          <w:rFonts w:hint="eastAsia"/>
        </w:rPr>
        <w:t>，ひずみ硬化がない</w:t>
      </w:r>
      <w:r w:rsidR="0081331C" w:rsidRPr="00BC31E0">
        <w:rPr>
          <w:rFonts w:hint="eastAsia"/>
        </w:rPr>
        <w:t>弾</w:t>
      </w:r>
      <w:r w:rsidR="00E354BC" w:rsidRPr="00BC31E0">
        <w:rPr>
          <w:rFonts w:hint="eastAsia"/>
        </w:rPr>
        <w:t>完全</w:t>
      </w:r>
      <w:r w:rsidR="0081331C" w:rsidRPr="00BC31E0">
        <w:rPr>
          <w:rFonts w:hint="eastAsia"/>
        </w:rPr>
        <w:t>塑性</w:t>
      </w:r>
      <w:r w:rsidR="00E354BC" w:rsidRPr="00BC31E0">
        <w:rPr>
          <w:rFonts w:hint="eastAsia"/>
        </w:rPr>
        <w:t>の</w:t>
      </w:r>
      <w:r w:rsidR="0081331C" w:rsidRPr="00BC31E0">
        <w:rPr>
          <w:rFonts w:hint="eastAsia"/>
        </w:rPr>
        <w:t>材料モデルを</w:t>
      </w:r>
      <w:r w:rsidR="00E354BC" w:rsidRPr="00BC31E0">
        <w:rPr>
          <w:rFonts w:hint="eastAsia"/>
        </w:rPr>
        <w:t>用い，</w:t>
      </w:r>
      <w:r w:rsidR="0081331C" w:rsidRPr="00BC31E0">
        <w:rPr>
          <w:rFonts w:hint="eastAsia"/>
        </w:rPr>
        <w:t>ミーゼスの降伏理論</w:t>
      </w:r>
      <w:r w:rsidR="00E354BC" w:rsidRPr="00BC31E0">
        <w:rPr>
          <w:rFonts w:hint="eastAsia"/>
        </w:rPr>
        <w:t>と</w:t>
      </w:r>
      <w:r w:rsidR="0081331C" w:rsidRPr="00BC31E0">
        <w:rPr>
          <w:rFonts w:hint="eastAsia"/>
        </w:rPr>
        <w:t>関連流動則を</w:t>
      </w:r>
      <w:r w:rsidR="006648EA" w:rsidRPr="00BC31E0">
        <w:rPr>
          <w:rFonts w:hint="eastAsia"/>
        </w:rPr>
        <w:t>適用</w:t>
      </w:r>
      <w:r w:rsidR="0081331C" w:rsidRPr="00BC31E0">
        <w:rPr>
          <w:rFonts w:hint="eastAsia"/>
        </w:rPr>
        <w:t>する。</w:t>
      </w:r>
      <w:r w:rsidR="00065F7E" w:rsidRPr="00BC31E0">
        <w:rPr>
          <w:rFonts w:hint="eastAsia"/>
        </w:rPr>
        <w:t>降伏強さは，</w:t>
      </w:r>
      <w:r w:rsidR="00065F7E" w:rsidRPr="00BC31E0">
        <w:rPr>
          <w:rFonts w:asciiTheme="majorEastAsia" w:eastAsiaTheme="majorEastAsia" w:hAnsiTheme="majorEastAsia" w:hint="eastAsia"/>
          <w:b/>
        </w:rPr>
        <w:t>5.4</w:t>
      </w:r>
      <w:r w:rsidR="00065F7E" w:rsidRPr="00BC31E0">
        <w:rPr>
          <w:rFonts w:hint="eastAsia"/>
        </w:rPr>
        <w:t>の</w:t>
      </w:r>
      <w:r w:rsidR="00661DE3" w:rsidRPr="00BC31E0">
        <w:rPr>
          <w:rFonts w:hint="eastAsia"/>
        </w:rPr>
        <w:t>設計温度における規定</w:t>
      </w:r>
      <w:r w:rsidR="00065F7E" w:rsidRPr="00BC31E0">
        <w:rPr>
          <w:rFonts w:hint="eastAsia"/>
        </w:rPr>
        <w:t>最小降伏強さを用いる</w:t>
      </w:r>
      <w:r w:rsidR="0081331C" w:rsidRPr="00BC31E0">
        <w:rPr>
          <w:rFonts w:hint="eastAsia"/>
        </w:rPr>
        <w:t>。</w:t>
      </w:r>
      <w:r w:rsidR="0086650B" w:rsidRPr="00BC31E0">
        <w:rPr>
          <w:rFonts w:hint="eastAsia"/>
        </w:rPr>
        <w:t>解析では，幾何学的非線形の影響</w:t>
      </w:r>
      <w:r w:rsidR="00F72360" w:rsidRPr="00BC31E0">
        <w:rPr>
          <w:rFonts w:hint="eastAsia"/>
        </w:rPr>
        <w:t>を考慮する。</w:t>
      </w:r>
    </w:p>
    <w:p w14:paraId="7CBE401D" w14:textId="77777777" w:rsidR="0053705D" w:rsidRPr="00BC31E0" w:rsidRDefault="003D5159" w:rsidP="00736130">
      <w:pPr>
        <w:pStyle w:val="a4"/>
        <w:numPr>
          <w:ilvl w:val="0"/>
          <w:numId w:val="643"/>
        </w:numPr>
        <w:ind w:leftChars="0" w:left="738" w:hanging="454"/>
      </w:pPr>
      <w:r w:rsidRPr="00BC31E0">
        <w:rPr>
          <w:rFonts w:asciiTheme="majorEastAsia" w:eastAsiaTheme="majorEastAsia" w:hAnsiTheme="majorEastAsia"/>
          <w:b/>
        </w:rPr>
        <w:lastRenderedPageBreak/>
        <w:t>2</w:t>
      </w:r>
      <w:r w:rsidRPr="00BC31E0">
        <w:rPr>
          <w:rFonts w:asciiTheme="majorEastAsia" w:eastAsiaTheme="majorEastAsia" w:hAnsiTheme="majorEastAsia" w:hint="eastAsia"/>
          <w:b/>
        </w:rPr>
        <w:t>)</w:t>
      </w:r>
      <w:r w:rsidR="00433628" w:rsidRPr="00BC31E0">
        <w:rPr>
          <w:rFonts w:hint="eastAsia"/>
        </w:rPr>
        <w:t>で特定した</w:t>
      </w:r>
      <w:r w:rsidRPr="00BC31E0">
        <w:rPr>
          <w:rFonts w:hint="eastAsia"/>
        </w:rPr>
        <w:t>荷重ケースについて，一つの</w:t>
      </w:r>
      <w:r w:rsidR="0081331C" w:rsidRPr="00BC31E0">
        <w:rPr>
          <w:rFonts w:hint="eastAsia"/>
        </w:rPr>
        <w:t>荷重</w:t>
      </w:r>
      <w:r w:rsidRPr="00BC31E0">
        <w:rPr>
          <w:rFonts w:hint="eastAsia"/>
        </w:rPr>
        <w:t>事象</w:t>
      </w:r>
      <w:r w:rsidR="00C215D6" w:rsidRPr="00BC31E0">
        <w:rPr>
          <w:rFonts w:hint="eastAsia"/>
        </w:rPr>
        <w:t>を</w:t>
      </w:r>
      <w:r w:rsidRPr="00BC31E0">
        <w:rPr>
          <w:rFonts w:hint="eastAsia"/>
        </w:rPr>
        <w:t>複数回</w:t>
      </w:r>
      <w:r w:rsidR="0081331C" w:rsidRPr="00BC31E0">
        <w:rPr>
          <w:rFonts w:hint="eastAsia"/>
        </w:rPr>
        <w:t>繰返</w:t>
      </w:r>
      <w:r w:rsidRPr="00BC31E0">
        <w:rPr>
          <w:rFonts w:hint="eastAsia"/>
        </w:rPr>
        <w:t>し</w:t>
      </w:r>
      <w:r w:rsidR="00433628" w:rsidRPr="00BC31E0">
        <w:rPr>
          <w:rFonts w:hint="eastAsia"/>
        </w:rPr>
        <w:t>作用</w:t>
      </w:r>
      <w:r w:rsidR="00047C2D" w:rsidRPr="00BC31E0">
        <w:rPr>
          <w:rFonts w:hint="eastAsia"/>
        </w:rPr>
        <w:t>させた</w:t>
      </w:r>
      <w:r w:rsidR="0081331C" w:rsidRPr="00BC31E0">
        <w:rPr>
          <w:rFonts w:hint="eastAsia"/>
        </w:rPr>
        <w:t>弾塑性解析を</w:t>
      </w:r>
      <w:r w:rsidRPr="00BC31E0">
        <w:rPr>
          <w:rFonts w:hint="eastAsia"/>
        </w:rPr>
        <w:t>行う</w:t>
      </w:r>
      <w:r w:rsidR="0081331C" w:rsidRPr="00BC31E0">
        <w:rPr>
          <w:rFonts w:hint="eastAsia"/>
        </w:rPr>
        <w:t>。</w:t>
      </w:r>
      <w:r w:rsidR="0053705D" w:rsidRPr="00BC31E0">
        <w:rPr>
          <w:rFonts w:hint="eastAsia"/>
        </w:rPr>
        <w:t>なお，荷重事象</w:t>
      </w:r>
      <w:r w:rsidR="004D1C0E" w:rsidRPr="00BC31E0">
        <w:rPr>
          <w:rFonts w:hint="eastAsia"/>
        </w:rPr>
        <w:t>が複数ある</w:t>
      </w:r>
      <w:r w:rsidR="0053705D" w:rsidRPr="00BC31E0">
        <w:rPr>
          <w:rFonts w:hint="eastAsia"/>
        </w:rPr>
        <w:t>場合には，ラチェットの可能性が最も高くなる二つの</w:t>
      </w:r>
      <w:r w:rsidR="00C215D6" w:rsidRPr="00BC31E0">
        <w:rPr>
          <w:rFonts w:hint="eastAsia"/>
        </w:rPr>
        <w:t>荷重</w:t>
      </w:r>
      <w:r w:rsidR="0053705D" w:rsidRPr="00BC31E0">
        <w:rPr>
          <w:rFonts w:hint="eastAsia"/>
        </w:rPr>
        <w:t>事象を複数回繰返し</w:t>
      </w:r>
      <w:r w:rsidR="00047C2D" w:rsidRPr="00BC31E0">
        <w:rPr>
          <w:rFonts w:hint="eastAsia"/>
        </w:rPr>
        <w:t>作用させた</w:t>
      </w:r>
      <w:r w:rsidR="0053705D" w:rsidRPr="00BC31E0">
        <w:rPr>
          <w:rFonts w:hint="eastAsia"/>
        </w:rPr>
        <w:t>弾塑性解析を行う。</w:t>
      </w:r>
    </w:p>
    <w:p w14:paraId="29AE893B" w14:textId="77777777" w:rsidR="0081331C" w:rsidRPr="00BC31E0" w:rsidRDefault="00892EA0" w:rsidP="00736130">
      <w:pPr>
        <w:pStyle w:val="a4"/>
        <w:numPr>
          <w:ilvl w:val="0"/>
          <w:numId w:val="643"/>
        </w:numPr>
        <w:ind w:leftChars="0" w:left="738" w:hanging="454"/>
      </w:pPr>
      <w:r w:rsidRPr="00BC31E0">
        <w:rPr>
          <w:rFonts w:asciiTheme="minorEastAsia" w:eastAsiaTheme="minorEastAsia" w:hAnsiTheme="minorEastAsia" w:hint="eastAsia"/>
        </w:rPr>
        <w:t>ラチェット評価は，耐圧試験</w:t>
      </w:r>
      <w:r w:rsidRPr="00BC31E0">
        <w:rPr>
          <w:rFonts w:hint="eastAsia"/>
        </w:rPr>
        <w:t>の後，</w:t>
      </w:r>
      <w:r w:rsidR="000B54A8" w:rsidRPr="00BC31E0">
        <w:rPr>
          <w:rFonts w:hint="eastAsia"/>
        </w:rPr>
        <w:t>少なくとも</w:t>
      </w:r>
      <w:r w:rsidR="000B54A8" w:rsidRPr="00BC31E0">
        <w:rPr>
          <w:rFonts w:hint="eastAsia"/>
        </w:rPr>
        <w:t>3</w:t>
      </w:r>
      <w:r w:rsidR="0081331C" w:rsidRPr="00BC31E0">
        <w:rPr>
          <w:rFonts w:hint="eastAsia"/>
        </w:rPr>
        <w:t>回の</w:t>
      </w:r>
      <w:r w:rsidRPr="00BC31E0">
        <w:rPr>
          <w:rFonts w:hint="eastAsia"/>
        </w:rPr>
        <w:t>荷重</w:t>
      </w:r>
      <w:r w:rsidR="0081331C" w:rsidRPr="00BC31E0">
        <w:rPr>
          <w:rFonts w:hint="eastAsia"/>
        </w:rPr>
        <w:t>繰返しを</w:t>
      </w:r>
      <w:r w:rsidRPr="00BC31E0">
        <w:rPr>
          <w:rFonts w:hint="eastAsia"/>
        </w:rPr>
        <w:t>行った</w:t>
      </w:r>
      <w:r w:rsidR="0081331C" w:rsidRPr="00BC31E0">
        <w:rPr>
          <w:rFonts w:hint="eastAsia"/>
        </w:rPr>
        <w:t>後に</w:t>
      </w:r>
      <w:r w:rsidRPr="00BC31E0">
        <w:rPr>
          <w:rFonts w:hint="eastAsia"/>
        </w:rPr>
        <w:t>行う。</w:t>
      </w:r>
      <w:r w:rsidR="009E458F" w:rsidRPr="00BC31E0">
        <w:rPr>
          <w:rFonts w:hint="eastAsia"/>
        </w:rPr>
        <w:t>十分</w:t>
      </w:r>
      <w:r w:rsidR="0089745A" w:rsidRPr="00BC31E0">
        <w:rPr>
          <w:rFonts w:hint="eastAsia"/>
        </w:rPr>
        <w:t>に</w:t>
      </w:r>
      <w:r w:rsidR="009E458F" w:rsidRPr="00BC31E0">
        <w:rPr>
          <w:rFonts w:hint="eastAsia"/>
        </w:rPr>
        <w:t>安定した弾塑性挙動</w:t>
      </w:r>
      <w:r w:rsidRPr="00BC31E0">
        <w:rPr>
          <w:rFonts w:hint="eastAsia"/>
        </w:rPr>
        <w:t>が得られない場合には，追加の</w:t>
      </w:r>
      <w:r w:rsidR="00C94B4C" w:rsidRPr="00BC31E0">
        <w:rPr>
          <w:rFonts w:hint="eastAsia"/>
        </w:rPr>
        <w:t>荷重</w:t>
      </w:r>
      <w:r w:rsidRPr="00BC31E0">
        <w:rPr>
          <w:rFonts w:hint="eastAsia"/>
        </w:rPr>
        <w:t>繰返し</w:t>
      </w:r>
      <w:r w:rsidR="00BB7179" w:rsidRPr="00BC31E0">
        <w:rPr>
          <w:rFonts w:hint="eastAsia"/>
        </w:rPr>
        <w:t>に対する解析</w:t>
      </w:r>
      <w:r w:rsidRPr="00BC31E0">
        <w:rPr>
          <w:rFonts w:hint="eastAsia"/>
        </w:rPr>
        <w:t>を行う必要がある。</w:t>
      </w:r>
      <w:r w:rsidR="0081331C" w:rsidRPr="00BC31E0">
        <w:rPr>
          <w:rFonts w:hint="eastAsia"/>
        </w:rPr>
        <w:t>次の</w:t>
      </w:r>
      <w:r w:rsidR="009E3A2E" w:rsidRPr="00BC31E0">
        <w:rPr>
          <w:rFonts w:asciiTheme="majorEastAsia" w:eastAsiaTheme="majorEastAsia" w:hAnsiTheme="majorEastAsia" w:hint="eastAsia"/>
          <w:b/>
        </w:rPr>
        <w:t>5.1)</w:t>
      </w:r>
      <w:r w:rsidR="009E3A2E" w:rsidRPr="00BC31E0">
        <w:rPr>
          <w:rFonts w:hint="eastAsia"/>
        </w:rPr>
        <w:t>～</w:t>
      </w:r>
      <w:r w:rsidR="009E3A2E" w:rsidRPr="00BC31E0">
        <w:rPr>
          <w:rFonts w:asciiTheme="majorEastAsia" w:eastAsiaTheme="majorEastAsia" w:hAnsiTheme="majorEastAsia" w:hint="eastAsia"/>
          <w:b/>
        </w:rPr>
        <w:t>5.3)</w:t>
      </w:r>
      <w:r w:rsidR="0081331C" w:rsidRPr="00BC31E0">
        <w:rPr>
          <w:rFonts w:hint="eastAsia"/>
        </w:rPr>
        <w:t>の</w:t>
      </w:r>
      <w:r w:rsidR="00050186" w:rsidRPr="00BC31E0">
        <w:rPr>
          <w:rFonts w:hint="eastAsia"/>
        </w:rPr>
        <w:t>いずれか</w:t>
      </w:r>
      <w:r w:rsidR="003F4E81" w:rsidRPr="00BC31E0">
        <w:rPr>
          <w:rFonts w:hint="eastAsia"/>
        </w:rPr>
        <w:t>に</w:t>
      </w:r>
      <w:r w:rsidR="0081331C" w:rsidRPr="00BC31E0">
        <w:rPr>
          <w:rFonts w:hint="eastAsia"/>
        </w:rPr>
        <w:t>適合すれば</w:t>
      </w:r>
      <w:r w:rsidR="009A4AEC" w:rsidRPr="00BC31E0">
        <w:rPr>
          <w:rFonts w:hint="eastAsia"/>
        </w:rPr>
        <w:t>，ラチェット基準を満たす</w:t>
      </w:r>
      <w:r w:rsidR="0081331C" w:rsidRPr="00BC31E0">
        <w:rPr>
          <w:rFonts w:hint="eastAsia"/>
        </w:rPr>
        <w:t>。</w:t>
      </w:r>
      <w:r w:rsidR="001D3284" w:rsidRPr="00BC31E0">
        <w:rPr>
          <w:rFonts w:hint="eastAsia"/>
        </w:rPr>
        <w:t>この</w:t>
      </w:r>
      <w:r w:rsidR="007D3FF8" w:rsidRPr="00BC31E0">
        <w:rPr>
          <w:rFonts w:hint="eastAsia"/>
        </w:rPr>
        <w:t>基準を</w:t>
      </w:r>
      <w:r w:rsidR="00050186" w:rsidRPr="00BC31E0">
        <w:rPr>
          <w:rFonts w:hint="eastAsia"/>
        </w:rPr>
        <w:t>満たさない場合には，部品の形状</w:t>
      </w:r>
      <w:r w:rsidR="00050186" w:rsidRPr="00BC31E0">
        <w:rPr>
          <w:rFonts w:hint="eastAsia"/>
        </w:rPr>
        <w:t>(</w:t>
      </w:r>
      <w:r w:rsidR="00C10266" w:rsidRPr="00BC31E0">
        <w:rPr>
          <w:rFonts w:hint="eastAsia"/>
        </w:rPr>
        <w:t>すなわち，</w:t>
      </w:r>
      <w:r w:rsidR="00050186" w:rsidRPr="00BC31E0">
        <w:rPr>
          <w:rFonts w:hint="eastAsia"/>
        </w:rPr>
        <w:t>厚さ</w:t>
      </w:r>
      <w:r w:rsidR="00050186" w:rsidRPr="00BC31E0">
        <w:rPr>
          <w:rFonts w:hint="eastAsia"/>
        </w:rPr>
        <w:t>)</w:t>
      </w:r>
      <w:r w:rsidR="00050186" w:rsidRPr="00BC31E0">
        <w:rPr>
          <w:rFonts w:hint="eastAsia"/>
        </w:rPr>
        <w:t>を変更するか，又は荷重を減少させて解析を</w:t>
      </w:r>
      <w:r w:rsidR="00C10266" w:rsidRPr="00BC31E0">
        <w:rPr>
          <w:rFonts w:hint="eastAsia"/>
        </w:rPr>
        <w:t>行う</w:t>
      </w:r>
      <w:r w:rsidR="00050186" w:rsidRPr="00BC31E0">
        <w:rPr>
          <w:rFonts w:hint="eastAsia"/>
        </w:rPr>
        <w:t>。</w:t>
      </w:r>
    </w:p>
    <w:p w14:paraId="27D3571B" w14:textId="77777777" w:rsidR="00050186" w:rsidRPr="00BC31E0" w:rsidRDefault="0081331C" w:rsidP="00736130">
      <w:pPr>
        <w:pStyle w:val="a4"/>
        <w:numPr>
          <w:ilvl w:val="0"/>
          <w:numId w:val="644"/>
        </w:numPr>
        <w:ind w:leftChars="0" w:left="1134" w:hanging="567"/>
      </w:pPr>
      <w:r w:rsidRPr="00BC31E0">
        <w:rPr>
          <w:rFonts w:hint="eastAsia"/>
        </w:rPr>
        <w:t>部品に塑性挙動がない</w:t>
      </w:r>
      <w:r w:rsidR="009E3A2E" w:rsidRPr="00BC31E0">
        <w:rPr>
          <w:rFonts w:hint="eastAsia"/>
        </w:rPr>
        <w:t>(</w:t>
      </w:r>
      <w:r w:rsidR="009E3A2E" w:rsidRPr="00BC31E0">
        <w:rPr>
          <w:rFonts w:hint="eastAsia"/>
        </w:rPr>
        <w:t>塑性ひずみの発生がない</w:t>
      </w:r>
      <w:r w:rsidR="009E3A2E" w:rsidRPr="00BC31E0">
        <w:rPr>
          <w:rFonts w:hint="eastAsia"/>
        </w:rPr>
        <w:t>)</w:t>
      </w:r>
      <w:r w:rsidRPr="00BC31E0">
        <w:rPr>
          <w:rFonts w:hint="eastAsia"/>
        </w:rPr>
        <w:t>。</w:t>
      </w:r>
    </w:p>
    <w:p w14:paraId="71C162E6" w14:textId="77777777" w:rsidR="00050186" w:rsidRPr="00BC31E0" w:rsidRDefault="0081331C" w:rsidP="00736130">
      <w:pPr>
        <w:pStyle w:val="a4"/>
        <w:numPr>
          <w:ilvl w:val="0"/>
          <w:numId w:val="644"/>
        </w:numPr>
        <w:ind w:leftChars="0" w:left="1134" w:hanging="567"/>
      </w:pPr>
      <w:r w:rsidRPr="00BC31E0">
        <w:rPr>
          <w:rFonts w:hint="eastAsia"/>
        </w:rPr>
        <w:t>部品の主要荷重支持部に弾性コアがある。</w:t>
      </w:r>
    </w:p>
    <w:p w14:paraId="22FC0552" w14:textId="77777777" w:rsidR="009A4AEC" w:rsidRPr="00BC31E0" w:rsidRDefault="0081331C" w:rsidP="00736130">
      <w:pPr>
        <w:pStyle w:val="a4"/>
        <w:numPr>
          <w:ilvl w:val="0"/>
          <w:numId w:val="644"/>
        </w:numPr>
        <w:ind w:leftChars="0" w:left="1134" w:hanging="567"/>
      </w:pPr>
      <w:r w:rsidRPr="00BC31E0">
        <w:rPr>
          <w:rFonts w:hint="eastAsia"/>
        </w:rPr>
        <w:t>部品の全体的な寸法に</w:t>
      </w:r>
      <w:r w:rsidR="009E3A2E" w:rsidRPr="00BC31E0">
        <w:rPr>
          <w:rFonts w:hint="eastAsia"/>
        </w:rPr>
        <w:t>永久変形が</w:t>
      </w:r>
      <w:r w:rsidRPr="00BC31E0">
        <w:rPr>
          <w:rFonts w:hint="eastAsia"/>
        </w:rPr>
        <w:t>ない。</w:t>
      </w:r>
      <w:r w:rsidR="00EA11E6" w:rsidRPr="00BC31E0">
        <w:rPr>
          <w:rFonts w:hint="eastAsia"/>
        </w:rPr>
        <w:t>これは，</w:t>
      </w:r>
      <w:r w:rsidR="009E45B3" w:rsidRPr="00BC31E0">
        <w:rPr>
          <w:rFonts w:hint="eastAsia"/>
        </w:rPr>
        <w:t>関連する部品の寸法を</w:t>
      </w:r>
      <w:r w:rsidR="00450B5B" w:rsidRPr="00BC31E0">
        <w:rPr>
          <w:rFonts w:hint="eastAsia"/>
        </w:rPr>
        <w:t>，</w:t>
      </w:r>
      <w:r w:rsidR="00BA2113" w:rsidRPr="00BC31E0">
        <w:rPr>
          <w:rFonts w:hint="eastAsia"/>
        </w:rPr>
        <w:t>最後のサイクルと最後の次のサイクル</w:t>
      </w:r>
      <w:r w:rsidR="003453AA" w:rsidRPr="00BC31E0">
        <w:rPr>
          <w:rFonts w:hint="eastAsia"/>
        </w:rPr>
        <w:t>の間の</w:t>
      </w:r>
      <w:r w:rsidR="008A18C9" w:rsidRPr="00BC31E0">
        <w:rPr>
          <w:rFonts w:hint="eastAsia"/>
        </w:rPr>
        <w:t>時間に対して</w:t>
      </w:r>
      <w:r w:rsidR="00EA11E6" w:rsidRPr="00BC31E0">
        <w:rPr>
          <w:rFonts w:hint="eastAsia"/>
        </w:rPr>
        <w:t>プロットすることで</w:t>
      </w:r>
      <w:r w:rsidR="00BA2113" w:rsidRPr="00BC31E0">
        <w:rPr>
          <w:rFonts w:hint="eastAsia"/>
        </w:rPr>
        <w:t>実証</w:t>
      </w:r>
      <w:r w:rsidR="00265EB2" w:rsidRPr="00BC31E0">
        <w:rPr>
          <w:rFonts w:hint="eastAsia"/>
        </w:rPr>
        <w:t>してもよい</w:t>
      </w:r>
      <w:r w:rsidR="00BA2113" w:rsidRPr="00BC31E0">
        <w:rPr>
          <w:rFonts w:hint="eastAsia"/>
        </w:rPr>
        <w:t>。</w:t>
      </w:r>
    </w:p>
    <w:p w14:paraId="3964E6B1" w14:textId="77777777" w:rsidR="0081331C" w:rsidRPr="00BC31E0" w:rsidRDefault="0081331C" w:rsidP="00736130">
      <w:pPr>
        <w:pStyle w:val="a4"/>
        <w:numPr>
          <w:ilvl w:val="0"/>
          <w:numId w:val="99"/>
        </w:numPr>
        <w:ind w:leftChars="0" w:left="454" w:hanging="454"/>
      </w:pPr>
      <w:r w:rsidRPr="00BC31E0">
        <w:rPr>
          <w:rFonts w:asciiTheme="majorEastAsia" w:eastAsiaTheme="majorEastAsia" w:hAnsiTheme="majorEastAsia" w:hint="eastAsia"/>
          <w:b/>
        </w:rPr>
        <w:t>弾塑性解析に関する追加要求</w:t>
      </w:r>
      <w:r w:rsidRPr="00BC31E0">
        <w:rPr>
          <w:rFonts w:hint="eastAsia"/>
        </w:rPr>
        <w:t xml:space="preserve">　弾塑性解析に関する追加要求は，次の</w:t>
      </w:r>
      <w:r w:rsidRPr="00BC31E0">
        <w:rPr>
          <w:rFonts w:asciiTheme="majorEastAsia" w:eastAsiaTheme="majorEastAsia" w:hAnsiTheme="majorEastAsia" w:hint="eastAsia"/>
          <w:b/>
        </w:rPr>
        <w:t>1)</w:t>
      </w:r>
      <w:r w:rsidRPr="00BC31E0">
        <w:rPr>
          <w:rFonts w:hint="eastAsia"/>
        </w:rPr>
        <w:t>，</w:t>
      </w:r>
      <w:r w:rsidRPr="00BC31E0">
        <w:rPr>
          <w:rFonts w:asciiTheme="majorEastAsia" w:eastAsiaTheme="majorEastAsia" w:hAnsiTheme="majorEastAsia" w:hint="eastAsia"/>
          <w:b/>
        </w:rPr>
        <w:t>2)</w:t>
      </w:r>
      <w:r w:rsidRPr="00BC31E0">
        <w:rPr>
          <w:rFonts w:hint="eastAsia"/>
        </w:rPr>
        <w:t>による。</w:t>
      </w:r>
    </w:p>
    <w:p w14:paraId="6EF2EE36" w14:textId="77777777" w:rsidR="0081331C" w:rsidRPr="00BC31E0" w:rsidRDefault="0081331C" w:rsidP="00736130">
      <w:pPr>
        <w:pStyle w:val="a4"/>
        <w:numPr>
          <w:ilvl w:val="0"/>
          <w:numId w:val="110"/>
        </w:numPr>
        <w:ind w:leftChars="0" w:left="738" w:hanging="454"/>
      </w:pPr>
      <w:r w:rsidRPr="00BC31E0">
        <w:rPr>
          <w:rFonts w:hint="eastAsia"/>
        </w:rPr>
        <w:t>疲労評価を</w:t>
      </w:r>
      <w:r w:rsidRPr="00BC31E0">
        <w:rPr>
          <w:rFonts w:asciiTheme="majorEastAsia" w:eastAsiaTheme="majorEastAsia" w:hAnsiTheme="majorEastAsia" w:hint="eastAsia"/>
          <w:b/>
        </w:rPr>
        <w:t>6.3</w:t>
      </w:r>
      <w:r w:rsidRPr="00BC31E0">
        <w:rPr>
          <w:rFonts w:hint="eastAsia"/>
        </w:rPr>
        <w:t>に，破壊力学評価を</w:t>
      </w:r>
      <w:r w:rsidRPr="00BC31E0">
        <w:rPr>
          <w:rFonts w:asciiTheme="majorEastAsia" w:eastAsiaTheme="majorEastAsia" w:hAnsiTheme="majorEastAsia" w:hint="eastAsia"/>
          <w:b/>
        </w:rPr>
        <w:t>6.4</w:t>
      </w:r>
      <w:r w:rsidRPr="00BC31E0">
        <w:rPr>
          <w:rFonts w:hint="eastAsia"/>
        </w:rPr>
        <w:t>に従って行う</w:t>
      </w:r>
      <w:r w:rsidRPr="00BC31E0">
        <w:rPr>
          <w:rFonts w:hint="eastAsia"/>
        </w:rPr>
        <w:t>(</w:t>
      </w:r>
      <w:r w:rsidRPr="00BC31E0">
        <w:rPr>
          <w:rFonts w:hint="eastAsia"/>
        </w:rPr>
        <w:t>どちらか適用する</w:t>
      </w:r>
      <w:r w:rsidRPr="00BC31E0">
        <w:rPr>
          <w:rFonts w:hint="eastAsia"/>
        </w:rPr>
        <w:t>)</w:t>
      </w:r>
      <w:r w:rsidRPr="00BC31E0">
        <w:rPr>
          <w:rFonts w:hint="eastAsia"/>
        </w:rPr>
        <w:t>。</w:t>
      </w:r>
    </w:p>
    <w:p w14:paraId="78A98C9E" w14:textId="77777777" w:rsidR="0081331C" w:rsidRPr="00BC31E0" w:rsidRDefault="0081331C" w:rsidP="00736130">
      <w:pPr>
        <w:pStyle w:val="a4"/>
        <w:numPr>
          <w:ilvl w:val="0"/>
          <w:numId w:val="110"/>
        </w:numPr>
        <w:ind w:leftChars="0" w:left="738" w:hanging="454"/>
      </w:pPr>
      <w:r w:rsidRPr="00BC31E0">
        <w:rPr>
          <w:rFonts w:hint="eastAsia"/>
        </w:rPr>
        <w:t>設計者は，適用される設計，耐圧試験，自緊状態での変位が圧力容器部品やシール材の性能に与える影響を考慮する。</w:t>
      </w:r>
    </w:p>
    <w:p w14:paraId="1B84851C" w14:textId="77777777" w:rsidR="0081331C" w:rsidRPr="00BC31E0" w:rsidRDefault="0081331C" w:rsidP="00736130">
      <w:pPr>
        <w:pStyle w:val="a4"/>
        <w:numPr>
          <w:ilvl w:val="0"/>
          <w:numId w:val="111"/>
        </w:numPr>
        <w:ind w:leftChars="0" w:left="454" w:hanging="454"/>
      </w:pPr>
      <w:r w:rsidRPr="00BC31E0">
        <w:rPr>
          <w:rFonts w:asciiTheme="majorEastAsia" w:eastAsiaTheme="majorEastAsia" w:hAnsiTheme="majorEastAsia" w:hint="eastAsia"/>
          <w:b/>
        </w:rPr>
        <w:t>耐圧試験時の評価</w:t>
      </w:r>
      <w:r w:rsidRPr="00BC31E0">
        <w:rPr>
          <w:rFonts w:hint="eastAsia"/>
        </w:rPr>
        <w:t xml:space="preserve">　弾完全塑性挙動</w:t>
      </w:r>
      <w:r w:rsidRPr="00BC31E0">
        <w:rPr>
          <w:rFonts w:hint="eastAsia"/>
        </w:rPr>
        <w:t>(</w:t>
      </w:r>
      <w:r w:rsidRPr="00BC31E0">
        <w:rPr>
          <w:rFonts w:hint="eastAsia"/>
        </w:rPr>
        <w:t>加工硬化なし</w:t>
      </w:r>
      <w:r w:rsidRPr="00BC31E0">
        <w:rPr>
          <w:rFonts w:hint="eastAsia"/>
        </w:rPr>
        <w:t>)</w:t>
      </w:r>
      <w:r w:rsidRPr="00BC31E0">
        <w:rPr>
          <w:rFonts w:hint="eastAsia"/>
        </w:rPr>
        <w:t>を示す材料で，試験温度</w:t>
      </w:r>
      <w:r w:rsidR="00236919" w:rsidRPr="00BC31E0">
        <w:rPr>
          <w:rFonts w:hint="eastAsia"/>
        </w:rPr>
        <w:t>における</w:t>
      </w:r>
      <w:r w:rsidRPr="00BC31E0">
        <w:rPr>
          <w:rFonts w:hint="eastAsia"/>
        </w:rPr>
        <w:t>降伏</w:t>
      </w:r>
      <w:r w:rsidR="00236919" w:rsidRPr="00BC31E0">
        <w:rPr>
          <w:rFonts w:hint="eastAsia"/>
        </w:rPr>
        <w:t>強さ</w:t>
      </w:r>
      <w:r w:rsidRPr="00BC31E0">
        <w:rPr>
          <w:rFonts w:hint="eastAsia"/>
        </w:rPr>
        <w:t>を使用して</w:t>
      </w:r>
      <w:r w:rsidRPr="00BC31E0">
        <w:rPr>
          <w:rFonts w:asciiTheme="majorEastAsia" w:eastAsiaTheme="majorEastAsia" w:hAnsiTheme="majorEastAsia" w:hint="eastAsia"/>
          <w:b/>
        </w:rPr>
        <w:t>表6.2.3</w:t>
      </w:r>
      <w:r w:rsidRPr="00BC31E0">
        <w:rPr>
          <w:rFonts w:hint="eastAsia"/>
        </w:rPr>
        <w:t>に示す荷重の組合せを用いて弾塑性解析を実施しなければならない。崩壊荷重は，</w:t>
      </w:r>
      <w:r w:rsidRPr="00BC31E0">
        <w:rPr>
          <w:rFonts w:asciiTheme="majorEastAsia" w:eastAsiaTheme="majorEastAsia" w:hAnsiTheme="majorEastAsia" w:hint="eastAsia"/>
          <w:b/>
        </w:rPr>
        <w:t>表6.2.3</w:t>
      </w:r>
      <w:r w:rsidRPr="00BC31E0">
        <w:rPr>
          <w:rFonts w:hint="eastAsia"/>
        </w:rPr>
        <w:t>に与えられる荷重ファクターを下回ってはならない。有限要素法モデルの結果を安定させるために必要であれば，多少の加工硬化を与えてもよい。その場合，線形な応力とひずみの関係は保ち，強度の上昇は</w:t>
      </w:r>
      <w:r w:rsidR="000E50A4" w:rsidRPr="00BC31E0">
        <w:rPr>
          <w:rFonts w:hint="eastAsia"/>
        </w:rPr>
        <w:t>20%</w:t>
      </w:r>
      <w:r w:rsidRPr="00BC31E0">
        <w:rPr>
          <w:rFonts w:hint="eastAsia"/>
        </w:rPr>
        <w:t>の塑性ひずみ時で</w:t>
      </w:r>
      <w:r w:rsidR="000E50A4" w:rsidRPr="00BC31E0">
        <w:rPr>
          <w:rFonts w:hint="eastAsia"/>
        </w:rPr>
        <w:t>5%</w:t>
      </w:r>
      <w:r w:rsidRPr="00BC31E0">
        <w:rPr>
          <w:rFonts w:hint="eastAsia"/>
        </w:rPr>
        <w:t>を超えてはならない。耐圧試験時の評価は，</w:t>
      </w:r>
      <w:r w:rsidRPr="00BC31E0">
        <w:rPr>
          <w:rFonts w:asciiTheme="majorEastAsia" w:eastAsiaTheme="majorEastAsia" w:hAnsiTheme="majorEastAsia" w:hint="eastAsia"/>
          <w:b/>
        </w:rPr>
        <w:t>表6.2.5</w:t>
      </w:r>
      <w:r w:rsidRPr="00BC31E0">
        <w:rPr>
          <w:rFonts w:hint="eastAsia"/>
        </w:rPr>
        <w:t>に示した耐圧試験圧力と設計圧力の比と設計温度における材料の降伏比の関係を満足する場合には免除する。</w:t>
      </w:r>
    </w:p>
    <w:p w14:paraId="45F33274" w14:textId="77777777" w:rsidR="0081331C" w:rsidRPr="00BC31E0" w:rsidRDefault="0081331C" w:rsidP="00736130">
      <w:pPr>
        <w:pStyle w:val="a4"/>
        <w:numPr>
          <w:ilvl w:val="0"/>
          <w:numId w:val="111"/>
        </w:numPr>
        <w:ind w:leftChars="0" w:left="454" w:hanging="454"/>
      </w:pPr>
      <w:r w:rsidRPr="00BC31E0">
        <w:rPr>
          <w:rFonts w:asciiTheme="majorEastAsia" w:eastAsiaTheme="majorEastAsia" w:hAnsiTheme="majorEastAsia" w:hint="eastAsia"/>
          <w:b/>
        </w:rPr>
        <w:t>船上に設置される機器の荷重条件</w:t>
      </w:r>
      <w:r w:rsidRPr="00BC31E0">
        <w:rPr>
          <w:rFonts w:asciiTheme="minorEastAsia" w:eastAsiaTheme="minorEastAsia" w:hAnsiTheme="minorEastAsia" w:hint="eastAsia"/>
        </w:rPr>
        <w:t xml:space="preserve">　</w:t>
      </w:r>
      <w:r w:rsidRPr="00BC31E0">
        <w:rPr>
          <w:rFonts w:asciiTheme="minorHAnsi" w:eastAsiaTheme="minorEastAsia" w:hAnsiTheme="minorEastAsia"/>
        </w:rPr>
        <w:t>船上プラントなど機器が船の上に設置される場合は</w:t>
      </w:r>
      <w:r w:rsidRPr="00BC31E0">
        <w:rPr>
          <w:rFonts w:asciiTheme="minorHAnsi" w:eastAsiaTheme="minorEastAsia" w:hAnsiTheme="minorEastAsia" w:hint="eastAsia"/>
        </w:rPr>
        <w:t>，</w:t>
      </w:r>
      <w:r w:rsidRPr="00BC31E0">
        <w:rPr>
          <w:rFonts w:asciiTheme="minorHAnsi" w:eastAsiaTheme="minorEastAsia" w:hAnsiTheme="minorEastAsia"/>
        </w:rPr>
        <w:t>運転時の荷重条件として，船体の揺動による荷重を考慮する必要がある。荷重条件は</w:t>
      </w:r>
      <w:r w:rsidRPr="00BC31E0">
        <w:rPr>
          <w:rFonts w:asciiTheme="majorEastAsia" w:eastAsiaTheme="majorEastAsia" w:hAnsiTheme="majorEastAsia"/>
          <w:b/>
        </w:rPr>
        <w:t>表6.2.1</w:t>
      </w:r>
      <w:r w:rsidRPr="00BC31E0">
        <w:rPr>
          <w:rFonts w:asciiTheme="minorHAnsi" w:eastAsiaTheme="minorEastAsia" w:hAnsiTheme="minorEastAsia"/>
        </w:rPr>
        <w:t>及び</w:t>
      </w:r>
      <w:r w:rsidRPr="00BC31E0">
        <w:rPr>
          <w:rFonts w:asciiTheme="majorEastAsia" w:eastAsiaTheme="majorEastAsia" w:hAnsiTheme="majorEastAsia"/>
          <w:b/>
        </w:rPr>
        <w:t>表6.2.2</w:t>
      </w:r>
      <w:r w:rsidRPr="00BC31E0">
        <w:rPr>
          <w:rFonts w:asciiTheme="minorHAnsi" w:eastAsiaTheme="minorEastAsia" w:hAnsiTheme="minorEastAsia"/>
        </w:rPr>
        <w:t>に加えて，波による船体応答の周波数応答関数</w:t>
      </w:r>
      <w:r w:rsidRPr="00BC31E0">
        <w:rPr>
          <w:rFonts w:asciiTheme="minorHAnsi" w:eastAsiaTheme="minorEastAsia" w:hAnsiTheme="minorHAnsi"/>
        </w:rPr>
        <w:t>(RAO)</w:t>
      </w:r>
      <w:r w:rsidRPr="00BC31E0">
        <w:rPr>
          <w:rFonts w:asciiTheme="minorHAnsi" w:eastAsiaTheme="minorEastAsia" w:hAnsiTheme="minorEastAsia"/>
        </w:rPr>
        <w:t>などを考慮して使用者</w:t>
      </w:r>
      <w:r w:rsidRPr="00BC31E0">
        <w:rPr>
          <w:rFonts w:asciiTheme="minorHAnsi" w:eastAsiaTheme="minorEastAsia" w:hAnsiTheme="minorEastAsia" w:hint="eastAsia"/>
        </w:rPr>
        <w:t>が</w:t>
      </w:r>
      <w:r w:rsidRPr="00BC31E0">
        <w:rPr>
          <w:rFonts w:asciiTheme="minorHAnsi" w:eastAsiaTheme="minorEastAsia" w:hAnsiTheme="minorEastAsia"/>
        </w:rPr>
        <w:t>決定する。</w:t>
      </w:r>
    </w:p>
    <w:p w14:paraId="1DE35739" w14:textId="77777777" w:rsidR="005B6F10" w:rsidRPr="00BC31E0" w:rsidRDefault="005B6F10" w:rsidP="005B6F10">
      <w:pPr>
        <w:pStyle w:val="af4"/>
        <w:jc w:val="both"/>
      </w:pPr>
    </w:p>
    <w:p w14:paraId="3595D955" w14:textId="77777777" w:rsidR="005B6F10" w:rsidRPr="00BC31E0" w:rsidRDefault="005B6F10">
      <w:pPr>
        <w:widowControl/>
        <w:jc w:val="left"/>
        <w:rPr>
          <w:rFonts w:ascii="ＭＳ ゴシック" w:eastAsia="ＭＳ ゴシック"/>
          <w:b/>
        </w:rPr>
      </w:pPr>
      <w:r w:rsidRPr="00BC31E0">
        <w:br w:type="page"/>
      </w:r>
    </w:p>
    <w:p w14:paraId="50BF717D" w14:textId="77777777" w:rsidR="0081331C" w:rsidRPr="00BC31E0" w:rsidRDefault="0081331C" w:rsidP="00CF046E">
      <w:pPr>
        <w:pStyle w:val="af4"/>
        <w:spacing w:after="60"/>
        <w:rPr>
          <w:vertAlign w:val="superscript"/>
        </w:rPr>
      </w:pPr>
      <w:r w:rsidRPr="00BC31E0">
        <w:rPr>
          <w:rFonts w:hint="eastAsia"/>
        </w:rPr>
        <w:lastRenderedPageBreak/>
        <w:t>表6.2.1  設計に考慮すべき荷重と荷重条件</w:t>
      </w:r>
      <w:r w:rsidRPr="00BC31E0">
        <w:rPr>
          <w:rFonts w:hint="eastAsia"/>
          <w:vertAlign w:val="superscript"/>
        </w:rPr>
        <w: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6520"/>
      </w:tblGrid>
      <w:tr w:rsidR="0081331C" w:rsidRPr="00BC31E0" w14:paraId="5CAE35CE" w14:textId="77777777" w:rsidTr="00ED2215">
        <w:tc>
          <w:tcPr>
            <w:tcW w:w="2552" w:type="dxa"/>
            <w:vAlign w:val="center"/>
          </w:tcPr>
          <w:p w14:paraId="5B71998E" w14:textId="77777777" w:rsidR="0081331C" w:rsidRPr="00BC31E0" w:rsidRDefault="0081331C" w:rsidP="00CF046E">
            <w:pPr>
              <w:jc w:val="center"/>
            </w:pPr>
            <w:r w:rsidRPr="00BC31E0">
              <w:rPr>
                <w:rFonts w:hint="eastAsia"/>
              </w:rPr>
              <w:t>荷重条件</w:t>
            </w:r>
          </w:p>
        </w:tc>
        <w:tc>
          <w:tcPr>
            <w:tcW w:w="6520" w:type="dxa"/>
            <w:vAlign w:val="center"/>
          </w:tcPr>
          <w:p w14:paraId="301CD1ED" w14:textId="77777777" w:rsidR="0081331C" w:rsidRPr="00BC31E0" w:rsidRDefault="0081331C" w:rsidP="00CF046E">
            <w:pPr>
              <w:jc w:val="center"/>
            </w:pPr>
            <w:r w:rsidRPr="00BC31E0">
              <w:rPr>
                <w:rFonts w:hint="eastAsia"/>
              </w:rPr>
              <w:t>設計荷重</w:t>
            </w:r>
          </w:p>
        </w:tc>
      </w:tr>
      <w:tr w:rsidR="0081331C" w:rsidRPr="00BC31E0" w14:paraId="0DFD4287" w14:textId="77777777" w:rsidTr="00ED2215">
        <w:tc>
          <w:tcPr>
            <w:tcW w:w="2552" w:type="dxa"/>
            <w:vAlign w:val="center"/>
          </w:tcPr>
          <w:p w14:paraId="22530F55" w14:textId="77777777" w:rsidR="0081331C" w:rsidRPr="00BC31E0" w:rsidRDefault="0081331C" w:rsidP="00CF046E">
            <w:pPr>
              <w:jc w:val="center"/>
            </w:pPr>
            <w:r w:rsidRPr="00BC31E0">
              <w:rPr>
                <w:rFonts w:hint="eastAsia"/>
              </w:rPr>
              <w:t>耐圧試験</w:t>
            </w:r>
          </w:p>
        </w:tc>
        <w:tc>
          <w:tcPr>
            <w:tcW w:w="6520" w:type="dxa"/>
            <w:vAlign w:val="center"/>
          </w:tcPr>
          <w:p w14:paraId="677FEE24" w14:textId="77777777" w:rsidR="0081331C" w:rsidRPr="00BC31E0" w:rsidRDefault="0081331C" w:rsidP="00CF046E">
            <w:pPr>
              <w:ind w:left="210" w:hangingChars="100" w:hanging="210"/>
            </w:pPr>
            <w:r w:rsidRPr="00BC31E0">
              <w:rPr>
                <w:rFonts w:hint="eastAsia"/>
              </w:rPr>
              <w:t>・本体，保温，耐火被覆，内部品，踊り場，その他機器本体から支持部品の重量</w:t>
            </w:r>
          </w:p>
          <w:p w14:paraId="31DFD91C" w14:textId="77777777" w:rsidR="0081331C" w:rsidRPr="00BC31E0" w:rsidRDefault="0081331C" w:rsidP="00CF046E">
            <w:pPr>
              <w:ind w:left="100" w:hanging="100"/>
            </w:pPr>
            <w:r w:rsidRPr="00BC31E0">
              <w:rPr>
                <w:rFonts w:hint="eastAsia"/>
              </w:rPr>
              <w:t>・組立時の荷重</w:t>
            </w:r>
          </w:p>
          <w:p w14:paraId="7398CE93" w14:textId="77777777" w:rsidR="0081331C" w:rsidRPr="00BC31E0" w:rsidRDefault="0081331C" w:rsidP="00CF046E">
            <w:pPr>
              <w:ind w:left="100" w:hanging="100"/>
            </w:pPr>
            <w:r w:rsidRPr="00BC31E0">
              <w:rPr>
                <w:rFonts w:hint="eastAsia"/>
              </w:rPr>
              <w:t>・配管荷重</w:t>
            </w:r>
          </w:p>
          <w:p w14:paraId="4839E193" w14:textId="77777777" w:rsidR="0081331C" w:rsidRPr="00BC31E0" w:rsidRDefault="0081331C" w:rsidP="00CF046E">
            <w:pPr>
              <w:ind w:left="100" w:hanging="100"/>
            </w:pPr>
            <w:r w:rsidRPr="00BC31E0">
              <w:rPr>
                <w:rFonts w:hint="eastAsia"/>
              </w:rPr>
              <w:t>・活荷重</w:t>
            </w:r>
            <w:r w:rsidRPr="00BC31E0">
              <w:rPr>
                <w:rFonts w:hint="eastAsia"/>
              </w:rPr>
              <w:t>(</w:t>
            </w:r>
            <w:r w:rsidRPr="00BC31E0">
              <w:rPr>
                <w:rFonts w:hint="eastAsia"/>
              </w:rPr>
              <w:t>振動やメンテナンス時の荷重は除く</w:t>
            </w:r>
            <w:r w:rsidRPr="00BC31E0">
              <w:rPr>
                <w:rFonts w:hint="eastAsia"/>
              </w:rPr>
              <w:t>)</w:t>
            </w:r>
          </w:p>
          <w:p w14:paraId="6F8FAE20" w14:textId="77777777" w:rsidR="0081331C" w:rsidRPr="00BC31E0" w:rsidRDefault="0081331C" w:rsidP="00CF046E">
            <w:pPr>
              <w:ind w:left="100" w:hanging="100"/>
            </w:pPr>
            <w:r w:rsidRPr="00BC31E0">
              <w:rPr>
                <w:rFonts w:hint="eastAsia"/>
              </w:rPr>
              <w:t>・圧力と試験用流体</w:t>
            </w:r>
            <w:r w:rsidRPr="00BC31E0">
              <w:rPr>
                <w:rFonts w:hint="eastAsia"/>
              </w:rPr>
              <w:t>(</w:t>
            </w:r>
            <w:r w:rsidRPr="00BC31E0">
              <w:rPr>
                <w:rFonts w:hint="eastAsia"/>
              </w:rPr>
              <w:t>水</w:t>
            </w:r>
            <w:r w:rsidRPr="00BC31E0">
              <w:rPr>
                <w:rFonts w:hint="eastAsia"/>
              </w:rPr>
              <w:t>)</w:t>
            </w:r>
            <w:r w:rsidRPr="00BC31E0">
              <w:rPr>
                <w:rFonts w:hint="eastAsia"/>
              </w:rPr>
              <w:t>荷重</w:t>
            </w:r>
          </w:p>
          <w:p w14:paraId="7617E6C6" w14:textId="77777777" w:rsidR="0081331C" w:rsidRPr="00BC31E0" w:rsidRDefault="0081331C" w:rsidP="00CF046E">
            <w:pPr>
              <w:ind w:left="100" w:hanging="100"/>
            </w:pPr>
            <w:r w:rsidRPr="00BC31E0">
              <w:rPr>
                <w:rFonts w:hint="eastAsia"/>
              </w:rPr>
              <w:t>・風荷重</w:t>
            </w:r>
          </w:p>
        </w:tc>
      </w:tr>
      <w:tr w:rsidR="0081331C" w:rsidRPr="00BC31E0" w14:paraId="50C44252" w14:textId="77777777" w:rsidTr="00ED2215">
        <w:tc>
          <w:tcPr>
            <w:tcW w:w="2552" w:type="dxa"/>
            <w:vAlign w:val="center"/>
          </w:tcPr>
          <w:p w14:paraId="47EDED9D" w14:textId="77777777" w:rsidR="0081331C" w:rsidRPr="00BC31E0" w:rsidRDefault="0081331C" w:rsidP="00CF046E">
            <w:pPr>
              <w:jc w:val="center"/>
            </w:pPr>
            <w:r w:rsidRPr="00BC31E0">
              <w:rPr>
                <w:rFonts w:hint="eastAsia"/>
              </w:rPr>
              <w:t>通常運転</w:t>
            </w:r>
          </w:p>
        </w:tc>
        <w:tc>
          <w:tcPr>
            <w:tcW w:w="6520" w:type="dxa"/>
            <w:vAlign w:val="center"/>
          </w:tcPr>
          <w:p w14:paraId="0DC17F33" w14:textId="77777777" w:rsidR="0081331C" w:rsidRPr="00BC31E0" w:rsidRDefault="0081331C" w:rsidP="00CF046E">
            <w:pPr>
              <w:ind w:left="210" w:hangingChars="100" w:hanging="210"/>
            </w:pPr>
            <w:r w:rsidRPr="00BC31E0">
              <w:rPr>
                <w:rFonts w:hint="eastAsia"/>
              </w:rPr>
              <w:t>・本体，保温，リフラクトリー，耐火被覆，内部品，触媒，踊り場，</w:t>
            </w:r>
            <w:r w:rsidRPr="00BC31E0">
              <w:rPr>
                <w:rFonts w:hint="eastAsia"/>
              </w:rPr>
              <w:t xml:space="preserve">  </w:t>
            </w:r>
            <w:r w:rsidRPr="00BC31E0">
              <w:rPr>
                <w:rFonts w:hint="eastAsia"/>
              </w:rPr>
              <w:t>その他機器本体から支持部品の重量</w:t>
            </w:r>
          </w:p>
          <w:p w14:paraId="53396EDD" w14:textId="77777777" w:rsidR="0081331C" w:rsidRPr="00BC31E0" w:rsidRDefault="0081331C" w:rsidP="00CF046E">
            <w:pPr>
              <w:ind w:left="100" w:hanging="100"/>
            </w:pPr>
            <w:r w:rsidRPr="00BC31E0">
              <w:rPr>
                <w:rFonts w:hint="eastAsia"/>
              </w:rPr>
              <w:t>・組立時の荷重</w:t>
            </w:r>
          </w:p>
          <w:p w14:paraId="5D5EFBFC" w14:textId="77777777" w:rsidR="0081331C" w:rsidRPr="00BC31E0" w:rsidRDefault="0081331C" w:rsidP="00CF046E">
            <w:pPr>
              <w:ind w:left="100" w:hanging="100"/>
            </w:pPr>
            <w:r w:rsidRPr="00BC31E0">
              <w:rPr>
                <w:rFonts w:hint="eastAsia"/>
              </w:rPr>
              <w:t>・配管荷重</w:t>
            </w:r>
          </w:p>
          <w:p w14:paraId="1FF5DB60" w14:textId="77777777" w:rsidR="0081331C" w:rsidRPr="00BC31E0" w:rsidRDefault="0081331C" w:rsidP="00CF046E">
            <w:pPr>
              <w:ind w:left="100" w:hanging="100"/>
            </w:pPr>
            <w:r w:rsidRPr="00BC31E0">
              <w:rPr>
                <w:rFonts w:hint="eastAsia"/>
              </w:rPr>
              <w:t>・活荷重</w:t>
            </w:r>
          </w:p>
          <w:p w14:paraId="35EDA9C6" w14:textId="77777777" w:rsidR="0081331C" w:rsidRPr="00BC31E0" w:rsidRDefault="0081331C" w:rsidP="00CF046E">
            <w:pPr>
              <w:ind w:left="100" w:hanging="100"/>
            </w:pPr>
            <w:r w:rsidRPr="00BC31E0">
              <w:rPr>
                <w:rFonts w:hint="eastAsia"/>
              </w:rPr>
              <w:t>・圧力と流体荷重</w:t>
            </w:r>
          </w:p>
          <w:p w14:paraId="7996D7BC" w14:textId="77777777" w:rsidR="0081331C" w:rsidRPr="00BC31E0" w:rsidRDefault="0081331C" w:rsidP="00CF046E">
            <w:pPr>
              <w:ind w:left="100" w:hanging="100"/>
            </w:pPr>
            <w:r w:rsidRPr="00BC31E0">
              <w:rPr>
                <w:rFonts w:hint="eastAsia"/>
              </w:rPr>
              <w:t>・熱による荷重</w:t>
            </w:r>
          </w:p>
          <w:p w14:paraId="2ADF3A17" w14:textId="77777777" w:rsidR="0081331C" w:rsidRPr="00BC31E0" w:rsidRDefault="0081331C" w:rsidP="00CF046E">
            <w:pPr>
              <w:ind w:left="100" w:hanging="100"/>
            </w:pPr>
            <w:r w:rsidRPr="00BC31E0">
              <w:rPr>
                <w:rFonts w:hint="eastAsia"/>
              </w:rPr>
              <w:t>・支持構造物の加速度による荷重</w:t>
            </w:r>
          </w:p>
        </w:tc>
      </w:tr>
      <w:tr w:rsidR="0081331C" w:rsidRPr="00BC31E0" w14:paraId="281CF9B6" w14:textId="77777777" w:rsidTr="00ED2215">
        <w:tc>
          <w:tcPr>
            <w:tcW w:w="2552" w:type="dxa"/>
            <w:vAlign w:val="center"/>
          </w:tcPr>
          <w:p w14:paraId="143125F3" w14:textId="77777777" w:rsidR="0081331C" w:rsidRPr="00BC31E0" w:rsidRDefault="0081331C" w:rsidP="00CF046E">
            <w:pPr>
              <w:jc w:val="center"/>
            </w:pPr>
            <w:r w:rsidRPr="00BC31E0">
              <w:rPr>
                <w:rFonts w:hint="eastAsia"/>
              </w:rPr>
              <w:t>通常運転＋偶発的荷重</w:t>
            </w:r>
            <w:r w:rsidRPr="00BC31E0">
              <w:rPr>
                <w:rFonts w:ascii="ＭＳ ゴシック" w:eastAsia="ＭＳ ゴシック" w:hint="eastAsia"/>
                <w:b/>
                <w:vertAlign w:val="superscript"/>
              </w:rPr>
              <w:t>a)</w:t>
            </w:r>
          </w:p>
        </w:tc>
        <w:tc>
          <w:tcPr>
            <w:tcW w:w="6520" w:type="dxa"/>
            <w:vAlign w:val="center"/>
          </w:tcPr>
          <w:p w14:paraId="3C898CCE" w14:textId="77777777" w:rsidR="0081331C" w:rsidRPr="00BC31E0" w:rsidRDefault="0081331C" w:rsidP="00CF046E">
            <w:pPr>
              <w:ind w:left="210" w:hangingChars="100" w:hanging="210"/>
            </w:pPr>
            <w:r w:rsidRPr="00BC31E0">
              <w:rPr>
                <w:rFonts w:hint="eastAsia"/>
              </w:rPr>
              <w:t>・本体，保温，リフラクトリー，耐火被覆，内部品，触媒，踊り場，</w:t>
            </w:r>
            <w:r w:rsidRPr="00BC31E0">
              <w:rPr>
                <w:rFonts w:hint="eastAsia"/>
              </w:rPr>
              <w:t xml:space="preserve">  </w:t>
            </w:r>
            <w:r w:rsidRPr="00BC31E0">
              <w:rPr>
                <w:rFonts w:hint="eastAsia"/>
              </w:rPr>
              <w:t>その他機器本体から支持部品の重量</w:t>
            </w:r>
          </w:p>
          <w:p w14:paraId="03EB9727" w14:textId="77777777" w:rsidR="0081331C" w:rsidRPr="00BC31E0" w:rsidRDefault="0081331C" w:rsidP="00CF046E">
            <w:pPr>
              <w:ind w:left="100" w:hanging="100"/>
            </w:pPr>
            <w:r w:rsidRPr="00BC31E0">
              <w:rPr>
                <w:rFonts w:hint="eastAsia"/>
              </w:rPr>
              <w:t>・組立時の荷重</w:t>
            </w:r>
          </w:p>
          <w:p w14:paraId="00125E42" w14:textId="77777777" w:rsidR="0081331C" w:rsidRPr="00BC31E0" w:rsidRDefault="0081331C" w:rsidP="00CF046E">
            <w:pPr>
              <w:ind w:left="100" w:hanging="100"/>
            </w:pPr>
            <w:r w:rsidRPr="00BC31E0">
              <w:rPr>
                <w:rFonts w:hint="eastAsia"/>
              </w:rPr>
              <w:t>・配管荷重</w:t>
            </w:r>
          </w:p>
          <w:p w14:paraId="5BB6A819" w14:textId="77777777" w:rsidR="0081331C" w:rsidRPr="00BC31E0" w:rsidRDefault="0081331C" w:rsidP="00CF046E">
            <w:pPr>
              <w:ind w:left="100" w:hanging="100"/>
            </w:pPr>
            <w:r w:rsidRPr="00BC31E0">
              <w:rPr>
                <w:rFonts w:hint="eastAsia"/>
              </w:rPr>
              <w:t>・活荷重</w:t>
            </w:r>
          </w:p>
          <w:p w14:paraId="095BA1AD" w14:textId="77777777" w:rsidR="0081331C" w:rsidRPr="00BC31E0" w:rsidRDefault="0081331C" w:rsidP="00CF046E">
            <w:pPr>
              <w:ind w:left="100" w:hanging="100"/>
            </w:pPr>
            <w:r w:rsidRPr="00BC31E0">
              <w:rPr>
                <w:rFonts w:hint="eastAsia"/>
              </w:rPr>
              <w:t>・圧力と流体荷重</w:t>
            </w:r>
          </w:p>
          <w:p w14:paraId="1B561BC1" w14:textId="77777777" w:rsidR="0081331C" w:rsidRPr="00BC31E0" w:rsidRDefault="0081331C" w:rsidP="00CF046E">
            <w:pPr>
              <w:ind w:left="100" w:hanging="100"/>
            </w:pPr>
            <w:r w:rsidRPr="00BC31E0">
              <w:rPr>
                <w:rFonts w:hint="eastAsia"/>
              </w:rPr>
              <w:t>・熱による荷重</w:t>
            </w:r>
          </w:p>
          <w:p w14:paraId="51736D8A" w14:textId="77777777" w:rsidR="0081331C" w:rsidRPr="00BC31E0" w:rsidRDefault="0081331C" w:rsidP="00CF046E">
            <w:pPr>
              <w:ind w:left="100" w:hanging="100"/>
            </w:pPr>
            <w:r w:rsidRPr="00BC31E0">
              <w:rPr>
                <w:rFonts w:hint="eastAsia"/>
              </w:rPr>
              <w:t>・風，地震その他の偶発的荷重</w:t>
            </w:r>
          </w:p>
          <w:p w14:paraId="543E2A56" w14:textId="77777777" w:rsidR="0081331C" w:rsidRPr="00BC31E0" w:rsidRDefault="0081331C" w:rsidP="00CF046E">
            <w:pPr>
              <w:ind w:left="100" w:hanging="100"/>
            </w:pPr>
            <w:r w:rsidRPr="00BC31E0">
              <w:rPr>
                <w:rFonts w:hint="eastAsia"/>
              </w:rPr>
              <w:t>・内容物の波動による荷重</w:t>
            </w:r>
          </w:p>
          <w:p w14:paraId="6FEB11F6" w14:textId="77777777" w:rsidR="0081331C" w:rsidRPr="00BC31E0" w:rsidRDefault="0081331C" w:rsidP="00CF046E">
            <w:pPr>
              <w:ind w:left="100" w:hanging="100"/>
            </w:pPr>
            <w:r w:rsidRPr="00BC31E0">
              <w:rPr>
                <w:rFonts w:hint="eastAsia"/>
              </w:rPr>
              <w:t>・支持構造物の加速度による荷重</w:t>
            </w:r>
          </w:p>
        </w:tc>
      </w:tr>
      <w:tr w:rsidR="0081331C" w:rsidRPr="00BC31E0" w14:paraId="5E415906" w14:textId="77777777" w:rsidTr="00ED2215">
        <w:tc>
          <w:tcPr>
            <w:tcW w:w="2552" w:type="dxa"/>
            <w:vAlign w:val="center"/>
          </w:tcPr>
          <w:p w14:paraId="7AA491F5" w14:textId="77777777" w:rsidR="0081331C" w:rsidRPr="00BC31E0" w:rsidRDefault="0081331C" w:rsidP="00CF046E">
            <w:pPr>
              <w:jc w:val="center"/>
            </w:pPr>
            <w:r w:rsidRPr="00BC31E0">
              <w:rPr>
                <w:rFonts w:hint="eastAsia"/>
              </w:rPr>
              <w:t>異常運転又はスタートアップ＋偶発的荷重</w:t>
            </w:r>
            <w:r w:rsidRPr="00BC31E0">
              <w:rPr>
                <w:rFonts w:ascii="ＭＳ ゴシック" w:eastAsia="ＭＳ ゴシック" w:hint="eastAsia"/>
                <w:b/>
                <w:vertAlign w:val="superscript"/>
              </w:rPr>
              <w:t>a)</w:t>
            </w:r>
          </w:p>
        </w:tc>
        <w:tc>
          <w:tcPr>
            <w:tcW w:w="6520" w:type="dxa"/>
            <w:vAlign w:val="center"/>
          </w:tcPr>
          <w:p w14:paraId="168051DA" w14:textId="77777777" w:rsidR="0081331C" w:rsidRPr="00BC31E0" w:rsidRDefault="0081331C" w:rsidP="00CF046E">
            <w:pPr>
              <w:ind w:left="100" w:hanging="100"/>
            </w:pPr>
            <w:r w:rsidRPr="00BC31E0">
              <w:rPr>
                <w:rFonts w:hint="eastAsia"/>
              </w:rPr>
              <w:t>・本体，保温，リフラクトリー，耐火被覆，内部品，触媒，踊り場，</w:t>
            </w:r>
          </w:p>
          <w:p w14:paraId="53D0D6C2" w14:textId="77777777" w:rsidR="0081331C" w:rsidRPr="00BC31E0" w:rsidRDefault="0081331C" w:rsidP="00CF046E">
            <w:pPr>
              <w:ind w:left="100" w:hanging="100"/>
            </w:pPr>
            <w:r w:rsidRPr="00BC31E0">
              <w:rPr>
                <w:rFonts w:hint="eastAsia"/>
              </w:rPr>
              <w:t xml:space="preserve">  </w:t>
            </w:r>
            <w:r w:rsidRPr="00BC31E0">
              <w:rPr>
                <w:rFonts w:hint="eastAsia"/>
              </w:rPr>
              <w:t>その他機器本体から支持部品の重量</w:t>
            </w:r>
          </w:p>
          <w:p w14:paraId="0DCBC405" w14:textId="77777777" w:rsidR="0081331C" w:rsidRPr="00BC31E0" w:rsidRDefault="0081331C" w:rsidP="00CF046E">
            <w:pPr>
              <w:ind w:left="100" w:hanging="100"/>
            </w:pPr>
            <w:r w:rsidRPr="00BC31E0">
              <w:rPr>
                <w:rFonts w:hint="eastAsia"/>
              </w:rPr>
              <w:t>・組立時の荷重</w:t>
            </w:r>
          </w:p>
          <w:p w14:paraId="5D2BAABD" w14:textId="77777777" w:rsidR="0081331C" w:rsidRPr="00BC31E0" w:rsidRDefault="0081331C" w:rsidP="00CF046E">
            <w:pPr>
              <w:ind w:left="100" w:hanging="100"/>
            </w:pPr>
            <w:r w:rsidRPr="00BC31E0">
              <w:rPr>
                <w:rFonts w:hint="eastAsia"/>
              </w:rPr>
              <w:t>・配管荷重</w:t>
            </w:r>
          </w:p>
          <w:p w14:paraId="6F41F3F7" w14:textId="77777777" w:rsidR="0081331C" w:rsidRPr="00BC31E0" w:rsidRDefault="0081331C" w:rsidP="00CF046E">
            <w:pPr>
              <w:ind w:left="100" w:hanging="100"/>
            </w:pPr>
            <w:r w:rsidRPr="00BC31E0">
              <w:rPr>
                <w:rFonts w:hint="eastAsia"/>
              </w:rPr>
              <w:t>・活荷重</w:t>
            </w:r>
          </w:p>
          <w:p w14:paraId="50394CBB" w14:textId="77777777" w:rsidR="0081331C" w:rsidRPr="00BC31E0" w:rsidRDefault="0081331C" w:rsidP="00CF046E">
            <w:pPr>
              <w:ind w:left="100" w:hanging="100"/>
            </w:pPr>
            <w:r w:rsidRPr="00BC31E0">
              <w:rPr>
                <w:rFonts w:hint="eastAsia"/>
              </w:rPr>
              <w:t>・圧力と流体荷重</w:t>
            </w:r>
          </w:p>
          <w:p w14:paraId="41418178" w14:textId="77777777" w:rsidR="0081331C" w:rsidRPr="00BC31E0" w:rsidRDefault="0081331C" w:rsidP="00CF046E">
            <w:pPr>
              <w:ind w:left="100" w:hanging="100"/>
            </w:pPr>
            <w:r w:rsidRPr="00BC31E0">
              <w:rPr>
                <w:rFonts w:hint="eastAsia"/>
              </w:rPr>
              <w:t>・熱による荷重</w:t>
            </w:r>
          </w:p>
          <w:p w14:paraId="0910A2C7" w14:textId="77777777" w:rsidR="0081331C" w:rsidRPr="00BC31E0" w:rsidRDefault="0081331C" w:rsidP="00CF046E">
            <w:pPr>
              <w:ind w:left="100" w:hanging="100"/>
            </w:pPr>
            <w:r w:rsidRPr="00BC31E0">
              <w:rPr>
                <w:rFonts w:hint="eastAsia"/>
              </w:rPr>
              <w:t>・風荷重</w:t>
            </w:r>
          </w:p>
        </w:tc>
      </w:tr>
    </w:tbl>
    <w:p w14:paraId="0C0125E2" w14:textId="77777777" w:rsidR="0081331C" w:rsidRPr="00BC31E0" w:rsidRDefault="0081331C" w:rsidP="0081331C">
      <w:pPr>
        <w:spacing w:before="60"/>
      </w:pPr>
      <w:r w:rsidRPr="00BC31E0">
        <w:rPr>
          <w:rFonts w:ascii="ＭＳ ゴシック" w:eastAsia="ＭＳ ゴシック" w:hint="eastAsia"/>
          <w:b/>
        </w:rPr>
        <w:t xml:space="preserve"> 注</w:t>
      </w:r>
      <w:r w:rsidRPr="00BC31E0">
        <w:rPr>
          <w:rFonts w:ascii="ＭＳ ゴシック" w:eastAsia="ＭＳ ゴシック" w:hint="eastAsia"/>
          <w:b/>
          <w:vertAlign w:val="superscript"/>
        </w:rPr>
        <w:t xml:space="preserve">a) </w:t>
      </w:r>
      <w:r w:rsidRPr="00BC31E0">
        <w:rPr>
          <w:rFonts w:hint="eastAsia"/>
        </w:rPr>
        <w:t>風と地震及び雪や着氷</w:t>
      </w:r>
      <w:r w:rsidR="00723480" w:rsidRPr="00BC31E0">
        <w:rPr>
          <w:rFonts w:hint="eastAsia"/>
        </w:rPr>
        <w:t>など</w:t>
      </w:r>
      <w:r w:rsidRPr="00BC31E0">
        <w:rPr>
          <w:rFonts w:hint="eastAsia"/>
        </w:rPr>
        <w:t>の荷重も考慮する。</w:t>
      </w:r>
    </w:p>
    <w:p w14:paraId="2316F564" w14:textId="77777777" w:rsidR="00A91DC2" w:rsidRPr="00BC31E0" w:rsidRDefault="00A91DC2" w:rsidP="005B6F10"/>
    <w:p w14:paraId="42D0D033" w14:textId="77777777" w:rsidR="0081331C" w:rsidRPr="00BC31E0" w:rsidRDefault="0081331C" w:rsidP="00CF046E">
      <w:pPr>
        <w:pStyle w:val="af4"/>
        <w:spacing w:after="60"/>
        <w:rPr>
          <w:vertAlign w:val="superscript"/>
        </w:rPr>
      </w:pPr>
      <w:r w:rsidRPr="00BC31E0">
        <w:rPr>
          <w:rFonts w:hint="eastAsia"/>
        </w:rPr>
        <w:lastRenderedPageBreak/>
        <w:t>表6.2.2  荷重の説明</w:t>
      </w:r>
      <w:r w:rsidRPr="00BC31E0">
        <w:rPr>
          <w:rFonts w:hint="eastAsia"/>
          <w:vertAlign w:val="superscript"/>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6917"/>
      </w:tblGrid>
      <w:tr w:rsidR="0081331C" w:rsidRPr="00BC31E0" w14:paraId="7612E494" w14:textId="77777777" w:rsidTr="00E20930">
        <w:tc>
          <w:tcPr>
            <w:tcW w:w="2160" w:type="dxa"/>
            <w:vAlign w:val="center"/>
          </w:tcPr>
          <w:p w14:paraId="5FD00A52" w14:textId="77777777" w:rsidR="0081331C" w:rsidRPr="00BC31E0" w:rsidRDefault="0081331C" w:rsidP="00E20930">
            <w:pPr>
              <w:jc w:val="center"/>
            </w:pPr>
            <w:r w:rsidRPr="00BC31E0">
              <w:rPr>
                <w:rFonts w:hint="eastAsia"/>
              </w:rPr>
              <w:t>設計荷重</w:t>
            </w:r>
          </w:p>
        </w:tc>
        <w:tc>
          <w:tcPr>
            <w:tcW w:w="6917" w:type="dxa"/>
            <w:vAlign w:val="center"/>
          </w:tcPr>
          <w:p w14:paraId="4B28C4CE" w14:textId="77777777" w:rsidR="0081331C" w:rsidRPr="00BC31E0" w:rsidRDefault="0081331C" w:rsidP="00E20930">
            <w:pPr>
              <w:jc w:val="center"/>
            </w:pPr>
            <w:r w:rsidRPr="00BC31E0">
              <w:rPr>
                <w:rFonts w:hint="eastAsia"/>
              </w:rPr>
              <w:t>説明</w:t>
            </w:r>
          </w:p>
        </w:tc>
      </w:tr>
      <w:tr w:rsidR="0081331C" w:rsidRPr="00BC31E0" w14:paraId="37DDECD3" w14:textId="77777777" w:rsidTr="00E20930">
        <w:tc>
          <w:tcPr>
            <w:tcW w:w="2160" w:type="dxa"/>
            <w:vAlign w:val="center"/>
          </w:tcPr>
          <w:p w14:paraId="4DD8087C" w14:textId="77777777" w:rsidR="0081331C" w:rsidRPr="00BC31E0" w:rsidRDefault="00A51873" w:rsidP="00E20930">
            <w:pPr>
              <w:jc w:val="center"/>
            </w:pPr>
            <m:oMathPara>
              <m:oMath>
                <m:sSub>
                  <m:sSubPr>
                    <m:ctrlPr>
                      <w:rPr>
                        <w:rFonts w:ascii="Cambria Math" w:hAnsi="Cambria Math"/>
                      </w:rPr>
                    </m:ctrlPr>
                  </m:sSubPr>
                  <m:e>
                    <m:r>
                      <w:rPr>
                        <w:rFonts w:ascii="Cambria Math" w:hAnsi="Cambria Math"/>
                      </w:rPr>
                      <m:t>P</m:t>
                    </m:r>
                  </m:e>
                  <m:sub>
                    <m:r>
                      <w:rPr>
                        <w:rFonts w:ascii="Cambria Math" w:hAnsi="Cambria Math"/>
                      </w:rPr>
                      <m:t>D</m:t>
                    </m:r>
                  </m:sub>
                </m:sSub>
              </m:oMath>
            </m:oMathPara>
          </w:p>
        </w:tc>
        <w:tc>
          <w:tcPr>
            <w:tcW w:w="6917" w:type="dxa"/>
            <w:vAlign w:val="center"/>
          </w:tcPr>
          <w:p w14:paraId="73CA6DA9" w14:textId="77777777" w:rsidR="0081331C" w:rsidRPr="00BC31E0" w:rsidRDefault="0081331C" w:rsidP="00E20930">
            <w:r w:rsidRPr="00BC31E0">
              <w:rPr>
                <w:rFonts w:hint="eastAsia"/>
              </w:rPr>
              <w:t>設計内圧力と外圧力</w:t>
            </w:r>
          </w:p>
        </w:tc>
      </w:tr>
      <w:tr w:rsidR="0081331C" w:rsidRPr="00BC31E0" w14:paraId="62E726FA" w14:textId="77777777" w:rsidTr="00E20930">
        <w:tc>
          <w:tcPr>
            <w:tcW w:w="2160" w:type="dxa"/>
            <w:vAlign w:val="center"/>
          </w:tcPr>
          <w:p w14:paraId="57D31B04" w14:textId="77777777" w:rsidR="0081331C" w:rsidRPr="00BC31E0" w:rsidRDefault="00A51873" w:rsidP="00E20930">
            <w:pPr>
              <w:jc w:val="center"/>
              <w:rPr>
                <w:i/>
              </w:rPr>
            </w:pPr>
            <m:oMathPara>
              <m:oMath>
                <m:sSub>
                  <m:sSubPr>
                    <m:ctrlPr>
                      <w:rPr>
                        <w:rFonts w:ascii="Cambria Math" w:hAnsi="Cambria Math"/>
                        <w:i/>
                      </w:rPr>
                    </m:ctrlPr>
                  </m:sSubPr>
                  <m:e>
                    <m:r>
                      <w:rPr>
                        <w:rFonts w:ascii="Cambria Math" w:hAnsi="Cambria Math"/>
                      </w:rPr>
                      <m:t>P</m:t>
                    </m:r>
                  </m:e>
                  <m:sub>
                    <m:r>
                      <w:rPr>
                        <w:rFonts w:ascii="Cambria Math" w:hAnsi="Cambria Math"/>
                      </w:rPr>
                      <m:t>O</m:t>
                    </m:r>
                  </m:sub>
                </m:sSub>
              </m:oMath>
            </m:oMathPara>
          </w:p>
        </w:tc>
        <w:tc>
          <w:tcPr>
            <w:tcW w:w="6917" w:type="dxa"/>
            <w:vAlign w:val="center"/>
          </w:tcPr>
          <w:p w14:paraId="58C0436A" w14:textId="77777777" w:rsidR="0081331C" w:rsidRPr="00BC31E0" w:rsidRDefault="0081331C" w:rsidP="00E20930">
            <w:r w:rsidRPr="00BC31E0">
              <w:rPr>
                <w:rFonts w:hint="eastAsia"/>
              </w:rPr>
              <w:t>運転内圧力と外圧力</w:t>
            </w:r>
          </w:p>
        </w:tc>
      </w:tr>
      <w:tr w:rsidR="0081331C" w:rsidRPr="00BC31E0" w14:paraId="4A433977" w14:textId="77777777" w:rsidTr="00E20930">
        <w:tc>
          <w:tcPr>
            <w:tcW w:w="2160" w:type="dxa"/>
            <w:vAlign w:val="center"/>
          </w:tcPr>
          <w:p w14:paraId="58CF2D1F" w14:textId="77777777" w:rsidR="0081331C" w:rsidRPr="00BC31E0" w:rsidRDefault="00A51873" w:rsidP="00E20930">
            <w:pPr>
              <w:jc w:val="center"/>
            </w:pPr>
            <m:oMathPara>
              <m:oMath>
                <m:sSub>
                  <m:sSubPr>
                    <m:ctrlPr>
                      <w:rPr>
                        <w:rFonts w:ascii="Cambria Math" w:hAnsi="Cambria Math" w:cs="Cambria Math"/>
                        <w:i/>
                      </w:rPr>
                    </m:ctrlPr>
                  </m:sSubPr>
                  <m:e>
                    <m:r>
                      <w:rPr>
                        <w:rFonts w:ascii="Cambria Math" w:hAnsi="Cambria Math" w:cs="Cambria Math"/>
                      </w:rPr>
                      <m:t>P</m:t>
                    </m:r>
                  </m:e>
                  <m:sub>
                    <m:r>
                      <w:rPr>
                        <w:rFonts w:ascii="Cambria Math" w:hAnsi="Cambria Math" w:cs="Cambria Math"/>
                      </w:rPr>
                      <m:t>S</m:t>
                    </m:r>
                  </m:sub>
                </m:sSub>
              </m:oMath>
            </m:oMathPara>
          </w:p>
        </w:tc>
        <w:tc>
          <w:tcPr>
            <w:tcW w:w="6917" w:type="dxa"/>
            <w:vAlign w:val="center"/>
          </w:tcPr>
          <w:p w14:paraId="1F02D21C" w14:textId="77777777" w:rsidR="0081331C" w:rsidRPr="00BC31E0" w:rsidRDefault="0081331C" w:rsidP="00E20930">
            <w:r w:rsidRPr="00BC31E0">
              <w:rPr>
                <w:rFonts w:hint="eastAsia"/>
              </w:rPr>
              <w:t>液体又は粉体による静圧</w:t>
            </w:r>
          </w:p>
        </w:tc>
      </w:tr>
      <w:tr w:rsidR="0081331C" w:rsidRPr="00BC31E0" w14:paraId="0495E469" w14:textId="77777777" w:rsidTr="00E20930">
        <w:tc>
          <w:tcPr>
            <w:tcW w:w="2160" w:type="dxa"/>
            <w:vAlign w:val="center"/>
          </w:tcPr>
          <w:p w14:paraId="1000540A" w14:textId="77777777" w:rsidR="0081331C" w:rsidRPr="00BC31E0" w:rsidRDefault="00A51873" w:rsidP="00E20930">
            <w:pPr>
              <w:jc w:val="center"/>
            </w:pPr>
            <m:oMathPara>
              <m:oMath>
                <m:sSub>
                  <m:sSubPr>
                    <m:ctrlPr>
                      <w:rPr>
                        <w:rFonts w:ascii="Cambria Math" w:hAnsi="Cambria Math" w:cs="Cambria Math"/>
                        <w:i/>
                      </w:rPr>
                    </m:ctrlPr>
                  </m:sSubPr>
                  <m:e>
                    <m:r>
                      <w:rPr>
                        <w:rFonts w:ascii="Cambria Math" w:hAnsi="Cambria Math" w:cs="Cambria Math"/>
                      </w:rPr>
                      <m:t>P</m:t>
                    </m:r>
                  </m:e>
                  <m:sub>
                    <m:r>
                      <w:rPr>
                        <w:rFonts w:ascii="Cambria Math" w:hAnsi="Cambria Math" w:cs="Cambria Math"/>
                      </w:rPr>
                      <m:t>t</m:t>
                    </m:r>
                  </m:sub>
                </m:sSub>
              </m:oMath>
            </m:oMathPara>
          </w:p>
        </w:tc>
        <w:tc>
          <w:tcPr>
            <w:tcW w:w="6917" w:type="dxa"/>
            <w:vAlign w:val="center"/>
          </w:tcPr>
          <w:p w14:paraId="77A4B3E2" w14:textId="77777777" w:rsidR="0081331C" w:rsidRPr="00BC31E0" w:rsidRDefault="0081331C" w:rsidP="00E20930">
            <w:r w:rsidRPr="00BC31E0">
              <w:rPr>
                <w:rFonts w:hint="eastAsia"/>
              </w:rPr>
              <w:t>耐圧試験圧力</w:t>
            </w:r>
          </w:p>
        </w:tc>
      </w:tr>
      <w:tr w:rsidR="0081331C" w:rsidRPr="00BC31E0" w14:paraId="1757CAF6" w14:textId="77777777" w:rsidTr="00E20930">
        <w:tc>
          <w:tcPr>
            <w:tcW w:w="2160" w:type="dxa"/>
            <w:vAlign w:val="center"/>
          </w:tcPr>
          <w:p w14:paraId="056834A3" w14:textId="77777777" w:rsidR="0081331C" w:rsidRPr="00BC31E0" w:rsidRDefault="0081331C" w:rsidP="00E20930">
            <w:pPr>
              <w:jc w:val="center"/>
            </w:pPr>
            <m:oMathPara>
              <m:oMath>
                <m:r>
                  <w:rPr>
                    <w:rFonts w:ascii="Cambria Math" w:hAnsi="Cambria Math" w:cs="Cambria Math"/>
                  </w:rPr>
                  <m:t>D</m:t>
                </m:r>
              </m:oMath>
            </m:oMathPara>
          </w:p>
        </w:tc>
        <w:tc>
          <w:tcPr>
            <w:tcW w:w="6917" w:type="dxa"/>
            <w:vAlign w:val="center"/>
          </w:tcPr>
          <w:p w14:paraId="09B8164D" w14:textId="77777777" w:rsidR="0081331C" w:rsidRPr="00BC31E0" w:rsidRDefault="0081331C" w:rsidP="00E20930">
            <w:r w:rsidRPr="00BC31E0">
              <w:rPr>
                <w:rFonts w:hint="eastAsia"/>
              </w:rPr>
              <w:t>自重，次の荷重を含む</w:t>
            </w:r>
          </w:p>
          <w:p w14:paraId="763C4D94" w14:textId="77777777" w:rsidR="0081331C" w:rsidRPr="00BC31E0" w:rsidRDefault="0081331C" w:rsidP="00E20930">
            <w:r w:rsidRPr="00BC31E0">
              <w:rPr>
                <w:rFonts w:hint="eastAsia"/>
              </w:rPr>
              <w:t>・機器本体，内部品，サポート，その他付属品</w:t>
            </w:r>
          </w:p>
          <w:p w14:paraId="02791D28" w14:textId="77777777" w:rsidR="0081331C" w:rsidRPr="00BC31E0" w:rsidRDefault="0081331C" w:rsidP="00E20930">
            <w:r w:rsidRPr="00BC31E0">
              <w:rPr>
                <w:rFonts w:hint="eastAsia"/>
              </w:rPr>
              <w:t>・運転時及び試験時の容器内容物</w:t>
            </w:r>
          </w:p>
          <w:p w14:paraId="7B603AB4" w14:textId="77777777" w:rsidR="0081331C" w:rsidRPr="00BC31E0" w:rsidRDefault="0081331C" w:rsidP="00E20930">
            <w:r w:rsidRPr="00BC31E0">
              <w:rPr>
                <w:rFonts w:hint="eastAsia"/>
              </w:rPr>
              <w:t>・保温，リフラクトリー</w:t>
            </w:r>
          </w:p>
          <w:p w14:paraId="35B90DEB" w14:textId="77777777" w:rsidR="0081331C" w:rsidRPr="00BC31E0" w:rsidRDefault="0081331C" w:rsidP="00E20930">
            <w:r w:rsidRPr="00BC31E0">
              <w:rPr>
                <w:rFonts w:hint="eastAsia"/>
              </w:rPr>
              <w:t>・接続される他の機器及び部品からの静的荷重</w:t>
            </w:r>
          </w:p>
        </w:tc>
      </w:tr>
      <w:tr w:rsidR="0081331C" w:rsidRPr="00BC31E0" w14:paraId="345B80AF" w14:textId="77777777" w:rsidTr="00E20930">
        <w:tc>
          <w:tcPr>
            <w:tcW w:w="2160" w:type="dxa"/>
            <w:vAlign w:val="center"/>
          </w:tcPr>
          <w:p w14:paraId="1E120A00" w14:textId="77777777" w:rsidR="0081331C" w:rsidRPr="00BC31E0" w:rsidRDefault="0081331C" w:rsidP="00E20930">
            <w:pPr>
              <w:jc w:val="center"/>
            </w:pPr>
            <m:oMathPara>
              <m:oMath>
                <m:r>
                  <w:rPr>
                    <w:rFonts w:ascii="Cambria Math" w:hAnsi="Cambria Math" w:cs="Cambria Math"/>
                  </w:rPr>
                  <m:t>L</m:t>
                </m:r>
              </m:oMath>
            </m:oMathPara>
          </w:p>
        </w:tc>
        <w:tc>
          <w:tcPr>
            <w:tcW w:w="6917" w:type="dxa"/>
            <w:vAlign w:val="center"/>
          </w:tcPr>
          <w:p w14:paraId="3516522E" w14:textId="77777777" w:rsidR="0081331C" w:rsidRPr="00BC31E0" w:rsidRDefault="0081331C" w:rsidP="00E20930">
            <w:r w:rsidRPr="00BC31E0">
              <w:rPr>
                <w:rFonts w:hint="eastAsia"/>
              </w:rPr>
              <w:t>活荷重</w:t>
            </w:r>
            <w:r w:rsidRPr="00BC31E0">
              <w:rPr>
                <w:rFonts w:hint="eastAsia"/>
              </w:rPr>
              <w:t>(</w:t>
            </w:r>
            <w:r w:rsidRPr="00BC31E0">
              <w:rPr>
                <w:rFonts w:hint="eastAsia"/>
              </w:rPr>
              <w:t>流体による慣性力含む</w:t>
            </w:r>
            <w:r w:rsidRPr="00BC31E0">
              <w:rPr>
                <w:rFonts w:hint="eastAsia"/>
              </w:rPr>
              <w:t>)</w:t>
            </w:r>
          </w:p>
        </w:tc>
      </w:tr>
      <w:tr w:rsidR="0081331C" w:rsidRPr="00BC31E0" w14:paraId="2C8F2911" w14:textId="77777777" w:rsidTr="00E20930">
        <w:tc>
          <w:tcPr>
            <w:tcW w:w="2160" w:type="dxa"/>
            <w:vAlign w:val="center"/>
          </w:tcPr>
          <w:p w14:paraId="3564887A" w14:textId="77777777" w:rsidR="0081331C" w:rsidRPr="00BC31E0" w:rsidRDefault="00A51873" w:rsidP="00E20930">
            <w:pPr>
              <w:jc w:val="center"/>
            </w:pPr>
            <m:oMathPara>
              <m:oMath>
                <m:sSub>
                  <m:sSubPr>
                    <m:ctrlPr>
                      <w:rPr>
                        <w:rFonts w:ascii="Cambria Math" w:hAnsi="Cambria Math" w:cs="Cambria Math"/>
                        <w:i/>
                      </w:rPr>
                    </m:ctrlPr>
                  </m:sSubPr>
                  <m:e>
                    <m:r>
                      <w:rPr>
                        <w:rFonts w:ascii="Cambria Math" w:hAnsi="Cambria Math" w:cs="Cambria Math"/>
                      </w:rPr>
                      <m:t>L</m:t>
                    </m:r>
                  </m:e>
                  <m:sub>
                    <m:r>
                      <w:rPr>
                        <w:rFonts w:ascii="Cambria Math" w:hAnsi="Cambria Math" w:cs="Cambria Math"/>
                      </w:rPr>
                      <m:t>A</m:t>
                    </m:r>
                  </m:sub>
                </m:sSub>
              </m:oMath>
            </m:oMathPara>
          </w:p>
        </w:tc>
        <w:tc>
          <w:tcPr>
            <w:tcW w:w="6917" w:type="dxa"/>
            <w:vAlign w:val="center"/>
          </w:tcPr>
          <w:p w14:paraId="6CD46E0F" w14:textId="77777777" w:rsidR="0081331C" w:rsidRPr="00BC31E0" w:rsidRDefault="0081331C" w:rsidP="00E20930">
            <w:r w:rsidRPr="00BC31E0">
              <w:rPr>
                <w:rFonts w:asciiTheme="majorEastAsia" w:eastAsiaTheme="majorEastAsia" w:hAnsiTheme="majorEastAsia" w:hint="eastAsia"/>
                <w:b/>
              </w:rPr>
              <w:t>6.2.3 g)</w:t>
            </w:r>
            <w:r w:rsidRPr="00BC31E0">
              <w:rPr>
                <w:rFonts w:hint="eastAsia"/>
              </w:rPr>
              <w:t xml:space="preserve"> </w:t>
            </w:r>
            <w:r w:rsidRPr="00BC31E0">
              <w:rPr>
                <w:rFonts w:hint="eastAsia"/>
              </w:rPr>
              <w:t>で規定される船体の揺動運動による加速度荷重</w:t>
            </w:r>
          </w:p>
        </w:tc>
      </w:tr>
      <w:tr w:rsidR="0081331C" w:rsidRPr="00BC31E0" w14:paraId="67BA87B0" w14:textId="77777777" w:rsidTr="00E20930">
        <w:tc>
          <w:tcPr>
            <w:tcW w:w="2160" w:type="dxa"/>
            <w:vAlign w:val="center"/>
          </w:tcPr>
          <w:p w14:paraId="0B272F25" w14:textId="77777777" w:rsidR="0081331C" w:rsidRPr="00BC31E0" w:rsidRDefault="0081331C" w:rsidP="00E20930">
            <w:pPr>
              <w:jc w:val="center"/>
            </w:pPr>
            <m:oMathPara>
              <m:oMath>
                <m:r>
                  <w:rPr>
                    <w:rFonts w:ascii="Cambria Math" w:hAnsi="Cambria Math" w:cs="Cambria Math"/>
                  </w:rPr>
                  <m:t>E</m:t>
                </m:r>
              </m:oMath>
            </m:oMathPara>
          </w:p>
        </w:tc>
        <w:tc>
          <w:tcPr>
            <w:tcW w:w="6917" w:type="dxa"/>
            <w:vAlign w:val="center"/>
          </w:tcPr>
          <w:p w14:paraId="79485A3B" w14:textId="77777777" w:rsidR="0081331C" w:rsidRPr="00BC31E0" w:rsidRDefault="0081331C" w:rsidP="00E20930">
            <w:r w:rsidRPr="00BC31E0">
              <w:rPr>
                <w:rFonts w:hint="eastAsia"/>
              </w:rPr>
              <w:t>地震荷重</w:t>
            </w:r>
          </w:p>
        </w:tc>
      </w:tr>
      <w:tr w:rsidR="0081331C" w:rsidRPr="00BC31E0" w14:paraId="46388867" w14:textId="77777777" w:rsidTr="00E20930">
        <w:tc>
          <w:tcPr>
            <w:tcW w:w="2160" w:type="dxa"/>
            <w:vAlign w:val="center"/>
          </w:tcPr>
          <w:p w14:paraId="79F44752" w14:textId="77777777" w:rsidR="0081331C" w:rsidRPr="00BC31E0" w:rsidRDefault="0081331C" w:rsidP="00E20930">
            <w:pPr>
              <w:jc w:val="center"/>
            </w:pPr>
            <m:oMathPara>
              <m:oMath>
                <m:r>
                  <w:rPr>
                    <w:rFonts w:ascii="Cambria Math" w:hAnsi="Cambria Math" w:cs="Cambria Math"/>
                  </w:rPr>
                  <m:t>W</m:t>
                </m:r>
              </m:oMath>
            </m:oMathPara>
          </w:p>
        </w:tc>
        <w:tc>
          <w:tcPr>
            <w:tcW w:w="6917" w:type="dxa"/>
            <w:vAlign w:val="center"/>
          </w:tcPr>
          <w:p w14:paraId="2B611392" w14:textId="77777777" w:rsidR="0081331C" w:rsidRPr="00BC31E0" w:rsidRDefault="0081331C" w:rsidP="00E20930">
            <w:r w:rsidRPr="00BC31E0">
              <w:rPr>
                <w:rFonts w:hint="eastAsia"/>
              </w:rPr>
              <w:t>風荷重</w:t>
            </w:r>
          </w:p>
        </w:tc>
      </w:tr>
      <w:tr w:rsidR="0081331C" w:rsidRPr="00BC31E0" w14:paraId="0AD8A80F" w14:textId="77777777" w:rsidTr="00E20930">
        <w:tc>
          <w:tcPr>
            <w:tcW w:w="2160" w:type="dxa"/>
            <w:vAlign w:val="center"/>
          </w:tcPr>
          <w:p w14:paraId="01D5B263" w14:textId="77777777" w:rsidR="0081331C" w:rsidRPr="00BC31E0" w:rsidRDefault="00A51873" w:rsidP="00E20930">
            <w:pPr>
              <w:jc w:val="center"/>
            </w:pPr>
            <m:oMathPara>
              <m:oMath>
                <m:sSub>
                  <m:sSubPr>
                    <m:ctrlPr>
                      <w:rPr>
                        <w:rFonts w:ascii="Cambria Math" w:hAnsi="Cambria Math" w:cs="Cambria Math"/>
                        <w:i/>
                      </w:rPr>
                    </m:ctrlPr>
                  </m:sSubPr>
                  <m:e>
                    <m:r>
                      <w:rPr>
                        <w:rFonts w:ascii="Cambria Math" w:hAnsi="Cambria Math" w:cs="Cambria Math"/>
                      </w:rPr>
                      <m:t>W</m:t>
                    </m:r>
                  </m:e>
                  <m:sub>
                    <m:r>
                      <w:rPr>
                        <w:rFonts w:ascii="Cambria Math" w:hAnsi="Cambria Math" w:cs="Cambria Math"/>
                        <w:spacing w:val="10"/>
                        <w:position w:val="-2"/>
                        <w:vertAlign w:val="subscript"/>
                      </w:rPr>
                      <m:t>pt</m:t>
                    </m:r>
                  </m:sub>
                </m:sSub>
              </m:oMath>
            </m:oMathPara>
          </w:p>
        </w:tc>
        <w:tc>
          <w:tcPr>
            <w:tcW w:w="6917" w:type="dxa"/>
            <w:vAlign w:val="center"/>
          </w:tcPr>
          <w:p w14:paraId="7E2920B4" w14:textId="77777777" w:rsidR="0081331C" w:rsidRPr="00BC31E0" w:rsidRDefault="0081331C" w:rsidP="00E20930">
            <w:r w:rsidRPr="00BC31E0">
              <w:rPr>
                <w:rFonts w:hint="eastAsia"/>
              </w:rPr>
              <w:t>耐圧試験時の風荷重</w:t>
            </w:r>
          </w:p>
        </w:tc>
      </w:tr>
      <w:tr w:rsidR="0081331C" w:rsidRPr="00BC31E0" w14:paraId="5708B889" w14:textId="77777777" w:rsidTr="00E20930">
        <w:tc>
          <w:tcPr>
            <w:tcW w:w="2160" w:type="dxa"/>
            <w:vAlign w:val="center"/>
          </w:tcPr>
          <w:p w14:paraId="34B40C02" w14:textId="77777777" w:rsidR="0081331C" w:rsidRPr="00BC31E0" w:rsidRDefault="00A51873" w:rsidP="00E20930">
            <w:pPr>
              <w:jc w:val="center"/>
            </w:pPr>
            <m:oMathPara>
              <m:oMath>
                <m:sSub>
                  <m:sSubPr>
                    <m:ctrlPr>
                      <w:rPr>
                        <w:rFonts w:ascii="Cambria Math" w:hAnsi="Cambria Math" w:cs="Cambria Math"/>
                        <w:i/>
                      </w:rPr>
                    </m:ctrlPr>
                  </m:sSubPr>
                  <m:e>
                    <m:r>
                      <w:rPr>
                        <w:rFonts w:ascii="Cambria Math" w:hAnsi="Cambria Math" w:cs="Cambria Math"/>
                      </w:rPr>
                      <m:t>W</m:t>
                    </m:r>
                  </m:e>
                  <m:sub>
                    <m:r>
                      <w:rPr>
                        <w:rFonts w:ascii="Cambria Math" w:hAnsi="Cambria Math" w:cs="Cambria Math"/>
                        <w:position w:val="-2"/>
                        <w:vertAlign w:val="subscript"/>
                      </w:rPr>
                      <m:t>A</m:t>
                    </m:r>
                  </m:sub>
                </m:sSub>
              </m:oMath>
            </m:oMathPara>
          </w:p>
        </w:tc>
        <w:tc>
          <w:tcPr>
            <w:tcW w:w="6917" w:type="dxa"/>
            <w:vAlign w:val="center"/>
          </w:tcPr>
          <w:p w14:paraId="7A3D8A48" w14:textId="77777777" w:rsidR="0081331C" w:rsidRPr="00BC31E0" w:rsidRDefault="0081331C" w:rsidP="00E20930">
            <w:r w:rsidRPr="00BC31E0">
              <w:rPr>
                <w:rFonts w:hint="eastAsia"/>
              </w:rPr>
              <w:t>組立時の荷重</w:t>
            </w:r>
          </w:p>
          <w:p w14:paraId="25EED907" w14:textId="77777777" w:rsidR="0081331C" w:rsidRPr="00BC31E0" w:rsidRDefault="0081331C" w:rsidP="00E20930">
            <w:r w:rsidRPr="00BC31E0">
              <w:rPr>
                <w:rFonts w:hint="eastAsia"/>
              </w:rPr>
              <w:t>(</w:t>
            </w:r>
            <w:r w:rsidRPr="00BC31E0">
              <w:rPr>
                <w:rFonts w:hint="eastAsia"/>
              </w:rPr>
              <w:t>例えば，焼ばめ，冷ばめ，線巻き，シールのための予荷重など</w:t>
            </w:r>
            <w:r w:rsidRPr="00BC31E0">
              <w:rPr>
                <w:rFonts w:hint="eastAsia"/>
              </w:rPr>
              <w:t>)</w:t>
            </w:r>
          </w:p>
        </w:tc>
      </w:tr>
      <w:tr w:rsidR="0081331C" w:rsidRPr="00BC31E0" w14:paraId="682F8CCF" w14:textId="77777777" w:rsidTr="00E20930">
        <w:tc>
          <w:tcPr>
            <w:tcW w:w="2160" w:type="dxa"/>
            <w:vAlign w:val="center"/>
          </w:tcPr>
          <w:p w14:paraId="049C3531" w14:textId="77777777" w:rsidR="0081331C" w:rsidRPr="00BC31E0" w:rsidRDefault="00A51873" w:rsidP="00E20930">
            <w:pPr>
              <w:jc w:val="center"/>
            </w:pPr>
            <m:oMathPara>
              <m:oMath>
                <m:sSub>
                  <m:sSubPr>
                    <m:ctrlPr>
                      <w:rPr>
                        <w:rFonts w:ascii="Cambria Math" w:hAnsi="Cambria Math" w:cs="Cambria Math"/>
                        <w:i/>
                      </w:rPr>
                    </m:ctrlPr>
                  </m:sSubPr>
                  <m:e>
                    <m:r>
                      <w:rPr>
                        <w:rFonts w:ascii="Cambria Math" w:hAnsi="Cambria Math" w:cs="Cambria Math"/>
                      </w:rPr>
                      <m:t>S</m:t>
                    </m:r>
                  </m:e>
                  <m:sub>
                    <m:r>
                      <w:rPr>
                        <w:rFonts w:ascii="Cambria Math" w:hAnsi="Cambria Math" w:cs="Cambria Math"/>
                        <w:spacing w:val="10"/>
                        <w:position w:val="-2"/>
                        <w:vertAlign w:val="subscript"/>
                      </w:rPr>
                      <m:t>S</m:t>
                    </m:r>
                  </m:sub>
                </m:sSub>
              </m:oMath>
            </m:oMathPara>
          </w:p>
        </w:tc>
        <w:tc>
          <w:tcPr>
            <w:tcW w:w="6917" w:type="dxa"/>
            <w:vAlign w:val="center"/>
          </w:tcPr>
          <w:p w14:paraId="77B14EF9" w14:textId="77777777" w:rsidR="0081331C" w:rsidRPr="00BC31E0" w:rsidRDefault="0081331C" w:rsidP="00E20930">
            <w:r w:rsidRPr="00BC31E0">
              <w:rPr>
                <w:rFonts w:hint="eastAsia"/>
              </w:rPr>
              <w:t>積雪荷重</w:t>
            </w:r>
          </w:p>
        </w:tc>
      </w:tr>
      <w:tr w:rsidR="0081331C" w:rsidRPr="00BC31E0" w14:paraId="4D4F42BB" w14:textId="77777777" w:rsidTr="00E20930">
        <w:trPr>
          <w:trHeight w:val="330"/>
        </w:trPr>
        <w:tc>
          <w:tcPr>
            <w:tcW w:w="2160" w:type="dxa"/>
            <w:vAlign w:val="center"/>
          </w:tcPr>
          <w:p w14:paraId="0339BFD6" w14:textId="77777777" w:rsidR="0081331C" w:rsidRPr="00BC31E0" w:rsidRDefault="0081331C" w:rsidP="00E20930">
            <w:pPr>
              <w:jc w:val="center"/>
              <w:rPr>
                <w:i/>
              </w:rPr>
            </w:pPr>
            <m:oMathPara>
              <m:oMath>
                <m:r>
                  <w:rPr>
                    <w:rFonts w:ascii="Cambria Math" w:hAnsi="Cambria Math" w:cs="Cambria Math"/>
                  </w:rPr>
                  <m:t>T</m:t>
                </m:r>
              </m:oMath>
            </m:oMathPara>
          </w:p>
        </w:tc>
        <w:tc>
          <w:tcPr>
            <w:tcW w:w="6917" w:type="dxa"/>
            <w:vAlign w:val="center"/>
          </w:tcPr>
          <w:p w14:paraId="59813807" w14:textId="77777777" w:rsidR="0081331C" w:rsidRPr="00BC31E0" w:rsidRDefault="0081331C" w:rsidP="00E20930">
            <w:r w:rsidRPr="00BC31E0">
              <w:rPr>
                <w:rFonts w:hint="eastAsia"/>
              </w:rPr>
              <w:t>自己制御型荷重</w:t>
            </w:r>
            <w:r w:rsidRPr="00BC31E0">
              <w:rPr>
                <w:rFonts w:hint="eastAsia"/>
              </w:rPr>
              <w:t>(</w:t>
            </w:r>
            <w:r w:rsidRPr="00BC31E0">
              <w:rPr>
                <w:rFonts w:hint="eastAsia"/>
              </w:rPr>
              <w:t>熱伸びによる荷重</w:t>
            </w:r>
            <w:r w:rsidRPr="00BC31E0">
              <w:rPr>
                <w:rFonts w:hint="eastAsia"/>
              </w:rPr>
              <w:t>)</w:t>
            </w:r>
            <w:r w:rsidRPr="00BC31E0">
              <w:rPr>
                <w:rFonts w:ascii="ＭＳ ゴシック" w:eastAsia="ＭＳ ゴシック" w:hint="eastAsia"/>
                <w:b/>
                <w:vertAlign w:val="superscript"/>
              </w:rPr>
              <w:t>a)</w:t>
            </w:r>
          </w:p>
        </w:tc>
      </w:tr>
    </w:tbl>
    <w:p w14:paraId="74BFD6C6" w14:textId="77777777" w:rsidR="0081331C" w:rsidRPr="00BC31E0" w:rsidRDefault="0081331C" w:rsidP="0081331C">
      <w:pPr>
        <w:spacing w:before="60"/>
      </w:pPr>
      <w:r w:rsidRPr="00BC31E0">
        <w:rPr>
          <w:rFonts w:ascii="ＭＳ ゴシック" w:eastAsia="ＭＳ ゴシック" w:hint="eastAsia"/>
          <w:b/>
        </w:rPr>
        <w:t>注</w:t>
      </w:r>
      <w:r w:rsidRPr="00BC31E0">
        <w:rPr>
          <w:rFonts w:ascii="ＭＳ ゴシック" w:eastAsia="ＭＳ ゴシック" w:hint="eastAsia"/>
          <w:b/>
          <w:vertAlign w:val="superscript"/>
        </w:rPr>
        <w:t xml:space="preserve">a) </w:t>
      </w:r>
      <w:r w:rsidRPr="00BC31E0">
        <w:rPr>
          <w:rFonts w:hint="eastAsia"/>
        </w:rPr>
        <w:t>この荷重は，一般的に崩壊荷重に影響しない。しかし，十分な応力緩和や荷重の再配</w:t>
      </w:r>
    </w:p>
    <w:p w14:paraId="7E9F57C5" w14:textId="77777777" w:rsidR="0081331C" w:rsidRPr="00BC31E0" w:rsidRDefault="0081331C" w:rsidP="0081331C">
      <w:pPr>
        <w:rPr>
          <w:b/>
        </w:rPr>
      </w:pPr>
      <w:r w:rsidRPr="00BC31E0">
        <w:rPr>
          <w:rFonts w:hint="eastAsia"/>
        </w:rPr>
        <w:t xml:space="preserve">     </w:t>
      </w:r>
      <w:r w:rsidRPr="00BC31E0">
        <w:rPr>
          <w:rFonts w:hint="eastAsia"/>
        </w:rPr>
        <w:t>分が起こらない弾性追従を引き起こす場合には，考慮しなければならない。</w:t>
      </w:r>
    </w:p>
    <w:p w14:paraId="41F72BDC" w14:textId="77777777" w:rsidR="0081331C" w:rsidRPr="00BC31E0" w:rsidRDefault="0081331C" w:rsidP="0081331C">
      <w:pPr>
        <w:rPr>
          <w:b/>
        </w:rPr>
      </w:pPr>
    </w:p>
    <w:p w14:paraId="425A642C" w14:textId="77777777" w:rsidR="0081331C" w:rsidRPr="00BC31E0" w:rsidRDefault="0081331C" w:rsidP="0081331C">
      <w:pPr>
        <w:widowControl/>
        <w:jc w:val="left"/>
      </w:pPr>
      <w:r w:rsidRPr="00BC31E0">
        <w:br w:type="page"/>
      </w:r>
    </w:p>
    <w:p w14:paraId="20C1D03E" w14:textId="77777777" w:rsidR="0081331C" w:rsidRPr="00BC31E0" w:rsidRDefault="0081331C" w:rsidP="0081331C">
      <w:pPr>
        <w:pStyle w:val="af4"/>
        <w:spacing w:after="60"/>
        <w:rPr>
          <w:vertAlign w:val="superscript"/>
        </w:rPr>
      </w:pPr>
      <w:r w:rsidRPr="00BC31E0">
        <w:rPr>
          <w:rFonts w:hint="eastAsia"/>
        </w:rPr>
        <w:lastRenderedPageBreak/>
        <w:t>表6.2.3  弾塑性解析用荷重の組合せ</w:t>
      </w:r>
      <w:r w:rsidRPr="00BC31E0">
        <w:rPr>
          <w:rFonts w:hint="eastAsia"/>
          <w:vertAlign w:val="superscript"/>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6525"/>
      </w:tblGrid>
      <w:tr w:rsidR="0081331C" w:rsidRPr="00BC31E0" w14:paraId="17DB7CE9" w14:textId="77777777" w:rsidTr="00E20930">
        <w:tc>
          <w:tcPr>
            <w:tcW w:w="2552" w:type="dxa"/>
            <w:vAlign w:val="center"/>
          </w:tcPr>
          <w:p w14:paraId="465E8F59" w14:textId="77777777" w:rsidR="0081331C" w:rsidRPr="00BC31E0" w:rsidRDefault="0081331C" w:rsidP="00E20930">
            <w:pPr>
              <w:jc w:val="center"/>
            </w:pPr>
            <w:r w:rsidRPr="00BC31E0">
              <w:rPr>
                <w:rFonts w:hint="eastAsia"/>
              </w:rPr>
              <w:t>条件</w:t>
            </w:r>
          </w:p>
        </w:tc>
        <w:tc>
          <w:tcPr>
            <w:tcW w:w="6525" w:type="dxa"/>
            <w:tcBorders>
              <w:bottom w:val="single" w:sz="4" w:space="0" w:color="auto"/>
            </w:tcBorders>
            <w:vAlign w:val="center"/>
          </w:tcPr>
          <w:p w14:paraId="34AE2558" w14:textId="77777777" w:rsidR="0081331C" w:rsidRPr="00BC31E0" w:rsidRDefault="0081331C" w:rsidP="00E20930">
            <w:pPr>
              <w:jc w:val="center"/>
            </w:pPr>
            <w:r w:rsidRPr="00BC31E0">
              <w:rPr>
                <w:rFonts w:hint="eastAsia"/>
              </w:rPr>
              <w:t>荷重の組合せ</w:t>
            </w:r>
          </w:p>
        </w:tc>
      </w:tr>
      <w:tr w:rsidR="0081331C" w:rsidRPr="00BC31E0" w14:paraId="0E5E1F53" w14:textId="77777777" w:rsidTr="00E20930">
        <w:tc>
          <w:tcPr>
            <w:tcW w:w="2552" w:type="dxa"/>
            <w:tcBorders>
              <w:right w:val="nil"/>
            </w:tcBorders>
            <w:vAlign w:val="center"/>
          </w:tcPr>
          <w:p w14:paraId="5A53A540" w14:textId="77777777" w:rsidR="0081331C" w:rsidRPr="00BC31E0" w:rsidRDefault="0081331C" w:rsidP="00E20930">
            <w:r w:rsidRPr="00BC31E0">
              <w:rPr>
                <w:rFonts w:hint="eastAsia"/>
              </w:rPr>
              <w:t>設計条件</w:t>
            </w:r>
          </w:p>
        </w:tc>
        <w:tc>
          <w:tcPr>
            <w:tcW w:w="6525" w:type="dxa"/>
            <w:tcBorders>
              <w:left w:val="nil"/>
            </w:tcBorders>
            <w:vAlign w:val="center"/>
          </w:tcPr>
          <w:p w14:paraId="55F76157" w14:textId="77777777" w:rsidR="0081331C" w:rsidRPr="00BC31E0" w:rsidRDefault="0081331C" w:rsidP="00E20930"/>
        </w:tc>
      </w:tr>
      <w:tr w:rsidR="0081331C" w:rsidRPr="00BC31E0" w14:paraId="28C0E2EA" w14:textId="77777777" w:rsidTr="00E20930">
        <w:tc>
          <w:tcPr>
            <w:tcW w:w="2552" w:type="dxa"/>
            <w:vAlign w:val="center"/>
          </w:tcPr>
          <w:p w14:paraId="4BE46906" w14:textId="77777777" w:rsidR="0081331C" w:rsidRPr="00BC31E0" w:rsidRDefault="0081331C" w:rsidP="00E20930">
            <w:r w:rsidRPr="00BC31E0">
              <w:rPr>
                <w:rFonts w:hint="eastAsia"/>
              </w:rPr>
              <w:t xml:space="preserve">　　全体的崩壊</w:t>
            </w:r>
          </w:p>
        </w:tc>
        <w:tc>
          <w:tcPr>
            <w:tcW w:w="6525" w:type="dxa"/>
            <w:vAlign w:val="center"/>
          </w:tcPr>
          <w:p w14:paraId="149DFC06" w14:textId="77777777" w:rsidR="0081331C" w:rsidRPr="00BC31E0" w:rsidRDefault="0081331C" w:rsidP="00E20930">
            <w:r w:rsidRPr="00BC31E0">
              <w:rPr>
                <w:rFonts w:hint="eastAsia"/>
              </w:rPr>
              <w:t xml:space="preserve">1) </w:t>
            </w:r>
            <m:oMath>
              <m:r>
                <w:rPr>
                  <w:rFonts w:ascii="Cambria Math" w:hAnsi="Cambria Math"/>
                </w:rPr>
                <m:t xml:space="preserve">1.80 </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D</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P</m:t>
                      </m:r>
                    </m:e>
                    <m:sub>
                      <m:r>
                        <w:rPr>
                          <w:rFonts w:ascii="Cambria Math" w:hAnsi="Cambria Math"/>
                        </w:rPr>
                        <m:t>S</m:t>
                      </m:r>
                    </m:sub>
                  </m:sSub>
                  <m:r>
                    <w:rPr>
                      <w:rFonts w:ascii="Cambria Math" w:hAnsi="Cambria Math"/>
                    </w:rPr>
                    <m:t xml:space="preserve"> + D</m:t>
                  </m:r>
                </m:e>
              </m:d>
            </m:oMath>
          </w:p>
          <w:p w14:paraId="0BDA3ACA" w14:textId="77777777" w:rsidR="0081331C" w:rsidRPr="00BC31E0" w:rsidRDefault="0081331C" w:rsidP="00E20930">
            <w:pPr>
              <w:rPr>
                <w:i/>
              </w:rPr>
            </w:pPr>
            <w:r w:rsidRPr="00BC31E0">
              <w:t>2)</w:t>
            </w:r>
            <w:r w:rsidRPr="00BC31E0">
              <w:rPr>
                <w:rFonts w:hint="eastAsia"/>
              </w:rPr>
              <w:t xml:space="preserve"> </w:t>
            </w:r>
            <m:oMath>
              <m:r>
                <w:rPr>
                  <w:rFonts w:ascii="Cambria Math" w:hAnsi="Cambria Math"/>
                </w:rPr>
                <m:t>1.58</m:t>
              </m:r>
              <m:r>
                <w:rPr>
                  <w:rFonts w:ascii="Cambria Math" w:hAnsi="Cambria Math" w:hint="eastAsia"/>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position w:val="-2"/>
                          <w:vertAlign w:val="subscript"/>
                        </w:rPr>
                        <m:t>D</m:t>
                      </m:r>
                    </m:sub>
                  </m:sSub>
                  <m:r>
                    <w:rPr>
                      <w:rFonts w:ascii="Cambria Math" w:hAnsi="Cambria Math"/>
                    </w:rPr>
                    <m:t xml:space="preserve"> + </m:t>
                  </m:r>
                  <m:sSub>
                    <m:sSubPr>
                      <m:ctrlPr>
                        <w:rPr>
                          <w:rFonts w:ascii="Cambria Math" w:hAnsi="Cambria Math"/>
                          <w:i/>
                        </w:rPr>
                      </m:ctrlPr>
                    </m:sSubPr>
                    <m:e>
                      <m:r>
                        <w:rPr>
                          <w:rFonts w:ascii="Cambria Math" w:hAnsi="Cambria Math"/>
                        </w:rPr>
                        <m:t>P</m:t>
                      </m:r>
                    </m:e>
                    <m:sub>
                      <m:r>
                        <w:rPr>
                          <w:rFonts w:ascii="Cambria Math" w:hAnsi="Cambria Math"/>
                          <w:position w:val="-2"/>
                          <w:vertAlign w:val="subscript"/>
                        </w:rPr>
                        <m:t>S</m:t>
                      </m:r>
                    </m:sub>
                  </m:sSub>
                  <m:r>
                    <w:rPr>
                      <w:rFonts w:ascii="Cambria Math" w:hAnsi="Cambria Math"/>
                    </w:rPr>
                    <m:t xml:space="preserve"> + D + T</m:t>
                  </m:r>
                </m:e>
              </m:d>
              <m:r>
                <w:rPr>
                  <w:rFonts w:ascii="Cambria Math" w:hAnsi="Cambria Math"/>
                </w:rPr>
                <m:t>+ 2.03 L +</m:t>
              </m:r>
              <m:r>
                <w:rPr>
                  <w:rFonts w:ascii="Cambria Math" w:hAnsi="Cambria Math" w:hint="eastAsia"/>
                </w:rPr>
                <m:t>2.03</m:t>
              </m:r>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A</m:t>
                  </m:r>
                </m:sub>
              </m:sSub>
              <m:r>
                <w:rPr>
                  <w:rFonts w:ascii="Cambria Math" w:hAnsi="Cambria Math"/>
                </w:rPr>
                <m:t>+ 0.65</m:t>
              </m:r>
              <m:r>
                <w:rPr>
                  <w:rFonts w:ascii="Cambria Math" w:hAnsi="Cambria Math" w:hint="eastAsia"/>
                </w:rPr>
                <m:t xml:space="preserve"> </m:t>
              </m:r>
              <m:sSub>
                <m:sSubPr>
                  <m:ctrlPr>
                    <w:rPr>
                      <w:rFonts w:ascii="Cambria Math" w:hAnsi="Cambria Math"/>
                      <w:i/>
                    </w:rPr>
                  </m:ctrlPr>
                </m:sSubPr>
                <m:e>
                  <m:r>
                    <w:rPr>
                      <w:rFonts w:ascii="Cambria Math" w:hAnsi="Cambria Math"/>
                    </w:rPr>
                    <m:t>S</m:t>
                  </m:r>
                </m:e>
                <m:sub>
                  <m:r>
                    <w:rPr>
                      <w:rFonts w:ascii="Cambria Math" w:hAnsi="Cambria Math"/>
                      <w:spacing w:val="10"/>
                      <w:position w:val="-2"/>
                      <w:vertAlign w:val="subscript"/>
                    </w:rPr>
                    <m:t>S</m:t>
                  </m:r>
                </m:sub>
              </m:sSub>
            </m:oMath>
          </w:p>
          <w:p w14:paraId="4E0E0B3C" w14:textId="77777777" w:rsidR="0081331C" w:rsidRPr="00BC31E0" w:rsidRDefault="0081331C" w:rsidP="00E20930">
            <w:r w:rsidRPr="00BC31E0">
              <w:rPr>
                <w:rFonts w:hint="eastAsia"/>
              </w:rPr>
              <w:t xml:space="preserve">3) </w:t>
            </w:r>
            <m:oMath>
              <m:r>
                <w:rPr>
                  <w:rFonts w:ascii="Cambria Math" w:hAnsi="Cambria Math"/>
                </w:rPr>
                <m:t xml:space="preserve">1.58 </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position w:val="-2"/>
                          <w:vertAlign w:val="subscript"/>
                        </w:rPr>
                        <m:t>D</m:t>
                      </m:r>
                    </m:sub>
                  </m:sSub>
                  <m:r>
                    <w:rPr>
                      <w:rFonts w:ascii="Cambria Math" w:hAnsi="Cambria Math"/>
                    </w:rPr>
                    <m:t xml:space="preserve"> + </m:t>
                  </m:r>
                  <m:sSub>
                    <m:sSubPr>
                      <m:ctrlPr>
                        <w:rPr>
                          <w:rFonts w:ascii="Cambria Math" w:hAnsi="Cambria Math"/>
                          <w:i/>
                        </w:rPr>
                      </m:ctrlPr>
                    </m:sSubPr>
                    <m:e>
                      <m:r>
                        <w:rPr>
                          <w:rFonts w:ascii="Cambria Math" w:hAnsi="Cambria Math"/>
                        </w:rPr>
                        <m:t>P</m:t>
                      </m:r>
                    </m:e>
                    <m:sub>
                      <m:r>
                        <w:rPr>
                          <w:rFonts w:ascii="Cambria Math" w:hAnsi="Cambria Math"/>
                        </w:rPr>
                        <m:t>S</m:t>
                      </m:r>
                    </m:sub>
                  </m:sSub>
                  <m:r>
                    <w:rPr>
                      <w:rFonts w:ascii="Cambria Math" w:hAnsi="Cambria Math"/>
                    </w:rPr>
                    <m:t xml:space="preserve"> + D</m:t>
                  </m:r>
                </m:e>
              </m:d>
              <m:r>
                <w:rPr>
                  <w:rFonts w:ascii="Cambria Math" w:hAnsi="Cambria Math"/>
                </w:rPr>
                <m:t>+ 2.03</m:t>
              </m:r>
              <m:sSub>
                <m:sSubPr>
                  <m:ctrlPr>
                    <w:rPr>
                      <w:rFonts w:ascii="Cambria Math" w:hAnsi="Cambria Math"/>
                      <w:i/>
                    </w:rPr>
                  </m:ctrlPr>
                </m:sSubPr>
                <m:e>
                  <m:r>
                    <w:rPr>
                      <w:rFonts w:ascii="Cambria Math" w:hAnsi="Cambria Math"/>
                    </w:rPr>
                    <m:t xml:space="preserve"> S</m:t>
                  </m:r>
                </m:e>
                <m:sub>
                  <m:r>
                    <w:rPr>
                      <w:rFonts w:ascii="Cambria Math" w:hAnsi="Cambria Math"/>
                      <w:spacing w:val="10"/>
                      <w:position w:val="-2"/>
                      <w:vertAlign w:val="subscript"/>
                    </w:rPr>
                    <m:t>S</m:t>
                  </m:r>
                </m:sub>
              </m:sSub>
              <m:r>
                <w:rPr>
                  <w:rFonts w:ascii="Cambria Math" w:hAnsi="Cambria Math"/>
                </w:rPr>
                <m:t>+</m:t>
              </m:r>
              <m:func>
                <m:funcPr>
                  <m:ctrlPr>
                    <w:rPr>
                      <w:rFonts w:ascii="Cambria Math" w:hAnsi="Cambria Math"/>
                      <w:i/>
                    </w:rPr>
                  </m:ctrlPr>
                </m:funcPr>
                <m:fName>
                  <m:r>
                    <m:rPr>
                      <m:sty m:val="bi"/>
                    </m:rPr>
                    <w:rPr>
                      <w:rFonts w:ascii="Cambria Math" w:hAnsi="Cambria Math"/>
                    </w:rPr>
                    <m:t>max</m:t>
                  </m:r>
                </m:fName>
                <m:e>
                  <m:d>
                    <m:dPr>
                      <m:ctrlPr>
                        <w:rPr>
                          <w:rFonts w:ascii="Cambria Math" w:hAnsi="Cambria Math"/>
                          <w:i/>
                        </w:rPr>
                      </m:ctrlPr>
                    </m:dPr>
                    <m:e>
                      <m:r>
                        <w:rPr>
                          <w:rFonts w:ascii="Cambria Math" w:hAnsi="Cambria Math"/>
                        </w:rPr>
                        <m:t>1.28 L+</m:t>
                      </m:r>
                      <m:r>
                        <w:rPr>
                          <w:rFonts w:ascii="Cambria Math" w:hAnsi="Cambria Math" w:hint="eastAsia"/>
                        </w:rPr>
                        <m:t>1.28</m:t>
                      </m:r>
                      <m:sSub>
                        <m:sSubPr>
                          <m:ctrlPr>
                            <w:rPr>
                              <w:rFonts w:ascii="Cambria Math" w:hAnsi="Cambria Math"/>
                              <w:i/>
                            </w:rPr>
                          </m:ctrlPr>
                        </m:sSubPr>
                        <m:e>
                          <m:r>
                            <w:rPr>
                              <w:rFonts w:ascii="Cambria Math" w:hAnsi="Cambria Math"/>
                            </w:rPr>
                            <m:t xml:space="preserve"> </m:t>
                          </m:r>
                          <m:r>
                            <w:rPr>
                              <w:rFonts w:ascii="Cambria Math" w:hAnsi="Cambria Math" w:hint="eastAsia"/>
                            </w:rPr>
                            <m:t>L</m:t>
                          </m:r>
                        </m:e>
                        <m:sub>
                          <m:r>
                            <w:rPr>
                              <w:rFonts w:ascii="Cambria Math" w:hAnsi="Cambria Math"/>
                            </w:rPr>
                            <m:t>A</m:t>
                          </m:r>
                        </m:sub>
                      </m:sSub>
                      <m:r>
                        <m:rPr>
                          <m:sty m:val="p"/>
                        </m:rPr>
                        <w:rPr>
                          <w:rFonts w:ascii="Cambria Math" w:hAnsi="Cambria Math" w:hint="eastAsia"/>
                        </w:rPr>
                        <m:t>，</m:t>
                      </m:r>
                      <m:r>
                        <w:rPr>
                          <w:rFonts w:ascii="Cambria Math" w:hAnsi="Cambria Math"/>
                        </w:rPr>
                        <m:t>0.65 W</m:t>
                      </m:r>
                    </m:e>
                  </m:d>
                </m:e>
              </m:func>
            </m:oMath>
          </w:p>
          <w:p w14:paraId="0BD1CAF3" w14:textId="77777777" w:rsidR="0081331C" w:rsidRPr="00BC31E0" w:rsidRDefault="0081331C" w:rsidP="00E20930">
            <w:r w:rsidRPr="00BC31E0">
              <w:rPr>
                <w:rFonts w:hint="eastAsia"/>
              </w:rPr>
              <w:t xml:space="preserve">4) </w:t>
            </w:r>
            <m:oMath>
              <m:r>
                <w:rPr>
                  <w:rFonts w:ascii="Cambria Math" w:hAnsi="Cambria Math"/>
                </w:rPr>
                <m:t xml:space="preserve">1.58 </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position w:val="-2"/>
                          <w:vertAlign w:val="subscript"/>
                        </w:rPr>
                        <m:t>D</m:t>
                      </m:r>
                    </m:sub>
                  </m:sSub>
                  <m:r>
                    <w:rPr>
                      <w:rFonts w:ascii="Cambria Math" w:hAnsi="Cambria Math"/>
                    </w:rPr>
                    <m:t xml:space="preserve"> + </m:t>
                  </m:r>
                  <m:sSub>
                    <m:sSubPr>
                      <m:ctrlPr>
                        <w:rPr>
                          <w:rFonts w:ascii="Cambria Math" w:hAnsi="Cambria Math"/>
                          <w:i/>
                        </w:rPr>
                      </m:ctrlPr>
                    </m:sSubPr>
                    <m:e>
                      <m:r>
                        <w:rPr>
                          <w:rFonts w:ascii="Cambria Math" w:hAnsi="Cambria Math"/>
                        </w:rPr>
                        <m:t>P</m:t>
                      </m:r>
                    </m:e>
                    <m:sub>
                      <m:r>
                        <w:rPr>
                          <w:rFonts w:ascii="Cambria Math" w:hAnsi="Cambria Math"/>
                          <w:position w:val="-2"/>
                          <w:vertAlign w:val="subscript"/>
                        </w:rPr>
                        <m:t>S</m:t>
                      </m:r>
                    </m:sub>
                  </m:sSub>
                  <m:r>
                    <w:rPr>
                      <w:rFonts w:ascii="Cambria Math" w:hAnsi="Cambria Math" w:hint="eastAsia"/>
                    </w:rPr>
                    <m:t xml:space="preserve"> </m:t>
                  </m:r>
                  <m:r>
                    <w:rPr>
                      <w:rFonts w:ascii="Cambria Math" w:hAnsi="Cambria Math"/>
                    </w:rPr>
                    <m:t>+ D</m:t>
                  </m:r>
                </m:e>
              </m:d>
              <m:r>
                <w:rPr>
                  <w:rFonts w:ascii="Cambria Math" w:hAnsi="Cambria Math"/>
                </w:rPr>
                <m:t>+ 1.28 W + 1.28 L +1.28</m:t>
              </m:r>
              <m:sSub>
                <m:sSubPr>
                  <m:ctrlPr>
                    <w:rPr>
                      <w:rFonts w:ascii="Cambria Math" w:hAnsi="Cambria Math"/>
                      <w:i/>
                    </w:rPr>
                  </m:ctrlPr>
                </m:sSubPr>
                <m:e>
                  <m:r>
                    <w:rPr>
                      <w:rFonts w:ascii="Cambria Math" w:hAnsi="Cambria Math"/>
                    </w:rPr>
                    <m:t xml:space="preserve"> L</m:t>
                  </m:r>
                </m:e>
                <m:sub>
                  <m:r>
                    <w:rPr>
                      <w:rFonts w:ascii="Cambria Math" w:hAnsi="Cambria Math"/>
                    </w:rPr>
                    <m:t>A</m:t>
                  </m:r>
                </m:sub>
              </m:sSub>
              <m:r>
                <w:rPr>
                  <w:rFonts w:ascii="Cambria Math" w:hAnsi="Cambria Math"/>
                </w:rPr>
                <m:t xml:space="preserve">+ 0.65 </m:t>
              </m:r>
              <m:sSub>
                <m:sSubPr>
                  <m:ctrlPr>
                    <w:rPr>
                      <w:rFonts w:ascii="Cambria Math" w:hAnsi="Cambria Math"/>
                      <w:i/>
                    </w:rPr>
                  </m:ctrlPr>
                </m:sSubPr>
                <m:e>
                  <m:r>
                    <w:rPr>
                      <w:rFonts w:ascii="Cambria Math" w:hAnsi="Cambria Math"/>
                    </w:rPr>
                    <m:t>S</m:t>
                  </m:r>
                </m:e>
                <m:sub>
                  <m:r>
                    <w:rPr>
                      <w:rFonts w:ascii="Cambria Math" w:hAnsi="Cambria Math"/>
                      <w:spacing w:val="10"/>
                      <w:position w:val="-2"/>
                      <w:vertAlign w:val="subscript"/>
                    </w:rPr>
                    <m:t>S</m:t>
                  </m:r>
                </m:sub>
              </m:sSub>
            </m:oMath>
          </w:p>
          <w:p w14:paraId="0A639111" w14:textId="77777777" w:rsidR="0081331C" w:rsidRPr="00BC31E0" w:rsidRDefault="0081331C" w:rsidP="00E20930">
            <w:r w:rsidRPr="00BC31E0">
              <w:rPr>
                <w:rFonts w:hint="eastAsia"/>
              </w:rPr>
              <w:t xml:space="preserve">5) </w:t>
            </w:r>
            <m:oMath>
              <m:r>
                <w:rPr>
                  <w:rFonts w:ascii="Cambria Math" w:hAnsi="Cambria Math"/>
                </w:rPr>
                <m:t xml:space="preserve">1.58 </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position w:val="-2"/>
                          <w:vertAlign w:val="subscript"/>
                        </w:rPr>
                        <m:t>D</m:t>
                      </m:r>
                    </m:sub>
                  </m:sSub>
                  <m:r>
                    <w:rPr>
                      <w:rFonts w:ascii="Cambria Math" w:hAnsi="Cambria Math"/>
                    </w:rPr>
                    <m:t xml:space="preserve"> + </m:t>
                  </m:r>
                  <m:sSub>
                    <m:sSubPr>
                      <m:ctrlPr>
                        <w:rPr>
                          <w:rFonts w:ascii="Cambria Math" w:hAnsi="Cambria Math"/>
                          <w:i/>
                        </w:rPr>
                      </m:ctrlPr>
                    </m:sSubPr>
                    <m:e>
                      <m:r>
                        <w:rPr>
                          <w:rFonts w:ascii="Cambria Math" w:hAnsi="Cambria Math"/>
                        </w:rPr>
                        <m:t>P</m:t>
                      </m:r>
                    </m:e>
                    <m:sub>
                      <m:r>
                        <w:rPr>
                          <w:rFonts w:ascii="Cambria Math" w:hAnsi="Cambria Math"/>
                          <w:position w:val="-2"/>
                          <w:vertAlign w:val="subscript"/>
                        </w:rPr>
                        <m:t>S</m:t>
                      </m:r>
                    </m:sub>
                  </m:sSub>
                  <m:r>
                    <w:rPr>
                      <w:rFonts w:ascii="Cambria Math" w:hAnsi="Cambria Math"/>
                    </w:rPr>
                    <m:t xml:space="preserve"> + D</m:t>
                  </m:r>
                </m:e>
              </m:d>
              <m:r>
                <w:rPr>
                  <w:rFonts w:ascii="Cambria Math" w:hAnsi="Cambria Math"/>
                </w:rPr>
                <m:t>+ 1.28 E + 1.28 L +1.28</m:t>
              </m:r>
              <m:sSub>
                <m:sSubPr>
                  <m:ctrlPr>
                    <w:rPr>
                      <w:rFonts w:ascii="Cambria Math" w:hAnsi="Cambria Math"/>
                      <w:i/>
                    </w:rPr>
                  </m:ctrlPr>
                </m:sSubPr>
                <m:e>
                  <m:r>
                    <w:rPr>
                      <w:rFonts w:ascii="Cambria Math" w:hAnsi="Cambria Math"/>
                    </w:rPr>
                    <m:t xml:space="preserve"> L</m:t>
                  </m:r>
                </m:e>
                <m:sub>
                  <m:r>
                    <w:rPr>
                      <w:rFonts w:ascii="Cambria Math" w:hAnsi="Cambria Math"/>
                    </w:rPr>
                    <m:t>A</m:t>
                  </m:r>
                </m:sub>
              </m:sSub>
              <m:r>
                <w:rPr>
                  <w:rFonts w:ascii="Cambria Math" w:hAnsi="Cambria Math"/>
                </w:rPr>
                <m:t xml:space="preserve">+ 0.65 </m:t>
              </m:r>
              <m:sSub>
                <m:sSubPr>
                  <m:ctrlPr>
                    <w:rPr>
                      <w:rFonts w:ascii="Cambria Math" w:hAnsi="Cambria Math"/>
                      <w:i/>
                    </w:rPr>
                  </m:ctrlPr>
                </m:sSubPr>
                <m:e>
                  <m:r>
                    <w:rPr>
                      <w:rFonts w:ascii="Cambria Math" w:hAnsi="Cambria Math"/>
                    </w:rPr>
                    <m:t>S</m:t>
                  </m:r>
                </m:e>
                <m:sub>
                  <m:r>
                    <w:rPr>
                      <w:rFonts w:ascii="Cambria Math" w:hAnsi="Cambria Math"/>
                      <w:spacing w:val="10"/>
                      <w:position w:val="-2"/>
                      <w:vertAlign w:val="subscript"/>
                    </w:rPr>
                    <m:t>S</m:t>
                  </m:r>
                </m:sub>
              </m:sSub>
            </m:oMath>
          </w:p>
        </w:tc>
      </w:tr>
      <w:tr w:rsidR="0081331C" w:rsidRPr="00BC31E0" w14:paraId="0FB89881" w14:textId="77777777" w:rsidTr="00E20930">
        <w:tc>
          <w:tcPr>
            <w:tcW w:w="2552" w:type="dxa"/>
            <w:vAlign w:val="center"/>
          </w:tcPr>
          <w:p w14:paraId="0ACDE528" w14:textId="77777777" w:rsidR="0081331C" w:rsidRPr="00BC31E0" w:rsidRDefault="0081331C" w:rsidP="00E20930">
            <w:r w:rsidRPr="00BC31E0">
              <w:rPr>
                <w:rFonts w:hint="eastAsia"/>
              </w:rPr>
              <w:t xml:space="preserve">　　局所損傷</w:t>
            </w:r>
          </w:p>
        </w:tc>
        <w:tc>
          <w:tcPr>
            <w:tcW w:w="6525" w:type="dxa"/>
            <w:vAlign w:val="center"/>
          </w:tcPr>
          <w:p w14:paraId="17DCE136" w14:textId="77777777" w:rsidR="0081331C" w:rsidRPr="00BC31E0" w:rsidRDefault="0081331C" w:rsidP="00E20930">
            <w:pPr>
              <w:rPr>
                <w:rFonts w:ascii="Cambria Math" w:hAnsi="Cambria Math"/>
              </w:rPr>
            </w:pPr>
            <m:oMathPara>
              <m:oMathParaPr>
                <m:jc m:val="left"/>
              </m:oMathParaPr>
              <m:oMath>
                <m:r>
                  <w:rPr>
                    <w:rFonts w:ascii="Cambria Math" w:hAnsi="Cambria Math"/>
                  </w:rPr>
                  <m:t xml:space="preserve">1.28 </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position w:val="-2"/>
                            <w:vertAlign w:val="subscript"/>
                          </w:rPr>
                          <m:t>D</m:t>
                        </m:r>
                      </m:sub>
                    </m:sSub>
                    <m:r>
                      <w:rPr>
                        <w:rFonts w:ascii="Cambria Math" w:hAnsi="Cambria Math"/>
                      </w:rPr>
                      <m:t xml:space="preserve"> + </m:t>
                    </m:r>
                    <m:sSub>
                      <m:sSubPr>
                        <m:ctrlPr>
                          <w:rPr>
                            <w:rFonts w:ascii="Cambria Math" w:hAnsi="Cambria Math"/>
                            <w:i/>
                          </w:rPr>
                        </m:ctrlPr>
                      </m:sSubPr>
                      <m:e>
                        <m:r>
                          <w:rPr>
                            <w:rFonts w:ascii="Cambria Math" w:hAnsi="Cambria Math"/>
                          </w:rPr>
                          <m:t>P</m:t>
                        </m:r>
                      </m:e>
                      <m:sub>
                        <m:r>
                          <w:rPr>
                            <w:rFonts w:ascii="Cambria Math" w:hAnsi="Cambria Math"/>
                            <w:position w:val="-2"/>
                            <w:vertAlign w:val="subscript"/>
                          </w:rPr>
                          <m:t>S</m:t>
                        </m:r>
                      </m:sub>
                    </m:sSub>
                    <m:r>
                      <w:rPr>
                        <w:rFonts w:ascii="Cambria Math" w:hAnsi="Cambria Math"/>
                      </w:rPr>
                      <m:t xml:space="preserve"> + D</m:t>
                    </m:r>
                  </m:e>
                </m:d>
                <m:r>
                  <w:rPr>
                    <w:rFonts w:ascii="Cambria Math" w:hAnsi="Cambria Math"/>
                  </w:rPr>
                  <m:t xml:space="preserve">+ 1.00 </m:t>
                </m:r>
                <m:sSub>
                  <m:sSubPr>
                    <m:ctrlPr>
                      <w:rPr>
                        <w:rFonts w:ascii="Cambria Math" w:hAnsi="Cambria Math"/>
                        <w:i/>
                      </w:rPr>
                    </m:ctrlPr>
                  </m:sSubPr>
                  <m:e>
                    <m:r>
                      <w:rPr>
                        <w:rFonts w:ascii="Cambria Math" w:hAnsi="Cambria Math"/>
                      </w:rPr>
                      <m:t>W</m:t>
                    </m:r>
                  </m:e>
                  <m:sub>
                    <m:r>
                      <w:rPr>
                        <w:rFonts w:ascii="Cambria Math" w:hAnsi="Cambria Math"/>
                        <w:position w:val="-2"/>
                        <w:vertAlign w:val="subscript"/>
                      </w:rPr>
                      <m:t>A</m:t>
                    </m:r>
                  </m:sub>
                </m:sSub>
              </m:oMath>
            </m:oMathPara>
          </w:p>
        </w:tc>
      </w:tr>
      <w:tr w:rsidR="0081331C" w:rsidRPr="00BC31E0" w14:paraId="6D2B4079" w14:textId="77777777" w:rsidTr="00E20930">
        <w:tc>
          <w:tcPr>
            <w:tcW w:w="2552" w:type="dxa"/>
            <w:vAlign w:val="center"/>
          </w:tcPr>
          <w:p w14:paraId="37BF5612" w14:textId="77777777" w:rsidR="0081331C" w:rsidRPr="00BC31E0" w:rsidRDefault="0081331C" w:rsidP="00E20930">
            <w:r w:rsidRPr="00BC31E0">
              <w:rPr>
                <w:rFonts w:hint="eastAsia"/>
              </w:rPr>
              <w:t xml:space="preserve">　　機能に対する制限</w:t>
            </w:r>
          </w:p>
        </w:tc>
        <w:tc>
          <w:tcPr>
            <w:tcW w:w="6525" w:type="dxa"/>
            <w:tcBorders>
              <w:bottom w:val="single" w:sz="4" w:space="0" w:color="auto"/>
            </w:tcBorders>
            <w:vAlign w:val="center"/>
          </w:tcPr>
          <w:p w14:paraId="4255B5C6" w14:textId="77777777" w:rsidR="0081331C" w:rsidRPr="00BC31E0" w:rsidRDefault="0081331C" w:rsidP="00E20930">
            <w:r w:rsidRPr="00BC31E0">
              <w:rPr>
                <w:rFonts w:hint="eastAsia"/>
              </w:rPr>
              <w:t>使用者設計仕様書による</w:t>
            </w:r>
          </w:p>
        </w:tc>
      </w:tr>
      <w:tr w:rsidR="0081331C" w:rsidRPr="00BC31E0" w14:paraId="42A9F428" w14:textId="77777777" w:rsidTr="00E20930">
        <w:tc>
          <w:tcPr>
            <w:tcW w:w="2552" w:type="dxa"/>
            <w:tcBorders>
              <w:right w:val="nil"/>
            </w:tcBorders>
            <w:vAlign w:val="center"/>
          </w:tcPr>
          <w:p w14:paraId="2F55501A" w14:textId="77777777" w:rsidR="0081331C" w:rsidRPr="00BC31E0" w:rsidRDefault="0081331C" w:rsidP="00E20930">
            <w:r w:rsidRPr="00BC31E0">
              <w:rPr>
                <w:rFonts w:hint="eastAsia"/>
              </w:rPr>
              <w:t>耐圧試験時</w:t>
            </w:r>
          </w:p>
        </w:tc>
        <w:tc>
          <w:tcPr>
            <w:tcW w:w="6525" w:type="dxa"/>
            <w:tcBorders>
              <w:left w:val="nil"/>
            </w:tcBorders>
            <w:vAlign w:val="center"/>
          </w:tcPr>
          <w:p w14:paraId="76EECFE1" w14:textId="77777777" w:rsidR="0081331C" w:rsidRPr="00BC31E0" w:rsidRDefault="0081331C" w:rsidP="00E20930"/>
        </w:tc>
      </w:tr>
      <w:tr w:rsidR="0081331C" w:rsidRPr="00BC31E0" w14:paraId="45E57707" w14:textId="77777777" w:rsidTr="00E20930">
        <w:tc>
          <w:tcPr>
            <w:tcW w:w="2552" w:type="dxa"/>
            <w:vAlign w:val="center"/>
          </w:tcPr>
          <w:p w14:paraId="0D088178" w14:textId="77777777" w:rsidR="0081331C" w:rsidRPr="00BC31E0" w:rsidRDefault="0081331C" w:rsidP="00E20930">
            <w:r w:rsidRPr="00BC31E0">
              <w:rPr>
                <w:rFonts w:hint="eastAsia"/>
              </w:rPr>
              <w:t xml:space="preserve">　　全体的崩壊</w:t>
            </w:r>
          </w:p>
        </w:tc>
        <w:tc>
          <w:tcPr>
            <w:tcW w:w="6525" w:type="dxa"/>
            <w:vAlign w:val="center"/>
          </w:tcPr>
          <w:p w14:paraId="1A5B9164" w14:textId="77777777" w:rsidR="0081331C" w:rsidRPr="00BC31E0" w:rsidRDefault="00A51873" w:rsidP="00E20930">
            <m:oMath>
              <m:sSub>
                <m:sSubPr>
                  <m:ctrlPr>
                    <w:rPr>
                      <w:rFonts w:ascii="Cambria Math" w:hAnsi="Cambria Math"/>
                      <w:i/>
                    </w:rPr>
                  </m:ctrlPr>
                </m:sSubPr>
                <m:e>
                  <m:d>
                    <m:dPr>
                      <m:ctrlPr>
                        <w:rPr>
                          <w:rFonts w:ascii="Cambria Math" w:hAnsi="Cambria Math"/>
                          <w:i/>
                        </w:rPr>
                      </m:ctrlPr>
                    </m:dPr>
                    <m:e>
                      <m:f>
                        <m:fPr>
                          <m:type m:val="lin"/>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K</m:t>
                              </m:r>
                            </m:e>
                            <m:sub>
                              <m:r>
                                <w:rPr>
                                  <w:rFonts w:ascii="Cambria Math" w:hAnsi="Cambria Math"/>
                                </w:rPr>
                                <m:t>ut</m:t>
                              </m:r>
                            </m:sub>
                          </m:sSub>
                        </m:den>
                      </m:f>
                    </m:e>
                  </m:d>
                  <m:r>
                    <w:rPr>
                      <w:rFonts w:ascii="Cambria Math" w:hAnsi="Cambria Math"/>
                    </w:rPr>
                    <m:t xml:space="preserve"> P</m:t>
                  </m:r>
                </m:e>
                <m:sub>
                  <m:r>
                    <w:rPr>
                      <w:rFonts w:ascii="Cambria Math" w:hAnsi="Cambria Math"/>
                      <w:position w:val="-2"/>
                      <w:vertAlign w:val="subscript"/>
                    </w:rPr>
                    <m:t>t</m:t>
                  </m:r>
                </m:sub>
              </m:sSub>
              <m:r>
                <w:rPr>
                  <w:rFonts w:ascii="Cambria Math" w:hAnsi="Cambria Math"/>
                </w:rPr>
                <m:t xml:space="preserve"> + </m:t>
              </m:r>
              <m:sSub>
                <m:sSubPr>
                  <m:ctrlPr>
                    <w:rPr>
                      <w:rFonts w:ascii="Cambria Math" w:hAnsi="Cambria Math"/>
                      <w:i/>
                    </w:rPr>
                  </m:ctrlPr>
                </m:sSubPr>
                <m:e>
                  <m:r>
                    <w:rPr>
                      <w:rFonts w:ascii="Cambria Math" w:hAnsi="Cambria Math"/>
                    </w:rPr>
                    <m:t>P</m:t>
                  </m:r>
                </m:e>
                <m:sub>
                  <m:r>
                    <w:rPr>
                      <w:rFonts w:ascii="Cambria Math" w:hAnsi="Cambria Math"/>
                      <w:position w:val="-2"/>
                      <w:vertAlign w:val="subscript"/>
                    </w:rPr>
                    <m:t>S</m:t>
                  </m:r>
                </m:sub>
              </m:sSub>
              <m:r>
                <w:rPr>
                  <w:rFonts w:ascii="Cambria Math" w:hAnsi="Cambria Math"/>
                </w:rPr>
                <m:t xml:space="preserve"> + D + </m:t>
              </m:r>
              <m:sSub>
                <m:sSubPr>
                  <m:ctrlPr>
                    <w:rPr>
                      <w:rFonts w:ascii="Cambria Math" w:hAnsi="Cambria Math"/>
                      <w:i/>
                    </w:rPr>
                  </m:ctrlPr>
                </m:sSubPr>
                <m:e>
                  <m:r>
                    <w:rPr>
                      <w:rFonts w:ascii="Cambria Math" w:hAnsi="Cambria Math"/>
                    </w:rPr>
                    <m:t>W</m:t>
                  </m:r>
                </m:e>
                <m:sub>
                  <m:r>
                    <w:rPr>
                      <w:rFonts w:ascii="Cambria Math" w:hAnsi="Cambria Math"/>
                      <w:spacing w:val="10"/>
                      <w:position w:val="-2"/>
                      <w:vertAlign w:val="subscript"/>
                    </w:rPr>
                    <m:t>p</m:t>
                  </m:r>
                  <m:r>
                    <w:rPr>
                      <w:rFonts w:ascii="Cambria Math" w:hAnsi="Cambria Math"/>
                    </w:rPr>
                    <m:t>t</m:t>
                  </m:r>
                </m:sub>
              </m:sSub>
            </m:oMath>
            <w:r w:rsidR="0081331C" w:rsidRPr="00BC31E0">
              <w:rPr>
                <w:rFonts w:hint="eastAsia"/>
              </w:rPr>
              <w:t xml:space="preserve">　　</w:t>
            </w:r>
            <w:r w:rsidR="0081331C" w:rsidRPr="00BC31E0">
              <w:rPr>
                <w:rFonts w:hint="eastAsia"/>
              </w:rPr>
              <w:t>[</w:t>
            </w:r>
            <w:r w:rsidR="0081331C" w:rsidRPr="00BC31E0">
              <w:rPr>
                <w:rFonts w:ascii="ＭＳ ゴシック" w:eastAsia="ＭＳ ゴシック" w:hint="eastAsia"/>
                <w:b/>
              </w:rPr>
              <w:t>6.2.3 f)</w:t>
            </w:r>
            <w:r w:rsidR="0081331C" w:rsidRPr="00BC31E0">
              <w:rPr>
                <w:rFonts w:ascii="ＭＳ 明朝" w:hAnsi="ＭＳ 明朝" w:hint="eastAsia"/>
              </w:rPr>
              <w:t>を</w:t>
            </w:r>
            <w:r w:rsidR="0081331C" w:rsidRPr="00BC31E0">
              <w:rPr>
                <w:rFonts w:hint="eastAsia"/>
              </w:rPr>
              <w:t>参照</w:t>
            </w:r>
            <w:r w:rsidR="0081331C" w:rsidRPr="00BC31E0">
              <w:rPr>
                <w:rFonts w:asciiTheme="minorHAnsi" w:eastAsiaTheme="minorEastAsia" w:hAnsiTheme="minorHAnsi"/>
              </w:rPr>
              <w:t>]</w:t>
            </w:r>
          </w:p>
        </w:tc>
      </w:tr>
      <w:tr w:rsidR="0081331C" w:rsidRPr="00BC31E0" w14:paraId="0C48A298" w14:textId="77777777" w:rsidTr="00E20930">
        <w:tc>
          <w:tcPr>
            <w:tcW w:w="2552" w:type="dxa"/>
            <w:vAlign w:val="center"/>
          </w:tcPr>
          <w:p w14:paraId="0F142F3F" w14:textId="77777777" w:rsidR="0081331C" w:rsidRPr="00BC31E0" w:rsidRDefault="0081331C" w:rsidP="00E20930">
            <w:r w:rsidRPr="00BC31E0">
              <w:rPr>
                <w:rFonts w:hint="eastAsia"/>
              </w:rPr>
              <w:t xml:space="preserve">　　機能に対する制限</w:t>
            </w:r>
          </w:p>
        </w:tc>
        <w:tc>
          <w:tcPr>
            <w:tcW w:w="6525" w:type="dxa"/>
            <w:vAlign w:val="center"/>
          </w:tcPr>
          <w:p w14:paraId="1465465A" w14:textId="77777777" w:rsidR="0081331C" w:rsidRPr="00BC31E0" w:rsidRDefault="0081331C" w:rsidP="00E20930">
            <w:r w:rsidRPr="00BC31E0">
              <w:rPr>
                <w:rFonts w:hint="eastAsia"/>
              </w:rPr>
              <w:t>使用者設計仕様書による</w:t>
            </w:r>
          </w:p>
        </w:tc>
      </w:tr>
    </w:tbl>
    <w:p w14:paraId="59926806" w14:textId="77777777" w:rsidR="0081331C" w:rsidRPr="00BC31E0" w:rsidRDefault="0081331C" w:rsidP="0081331C">
      <w:pPr>
        <w:spacing w:before="60"/>
      </w:pPr>
      <w:r w:rsidRPr="00BC31E0">
        <w:rPr>
          <w:rFonts w:ascii="ＭＳ ゴシック" w:eastAsia="ＭＳ ゴシック" w:hint="eastAsia"/>
          <w:b/>
        </w:rPr>
        <w:t>注記1</w:t>
      </w:r>
      <w:r w:rsidRPr="00BC31E0">
        <w:rPr>
          <w:rFonts w:asciiTheme="minorEastAsia" w:eastAsiaTheme="minorEastAsia" w:hAnsiTheme="minorEastAsia" w:hint="eastAsia"/>
        </w:rPr>
        <w:t xml:space="preserve">　荷重の組合せ欄のパラメータは，</w:t>
      </w:r>
      <w:r w:rsidRPr="00BC31E0">
        <w:rPr>
          <w:rFonts w:asciiTheme="majorEastAsia" w:eastAsiaTheme="majorEastAsia" w:hAnsiTheme="majorEastAsia" w:hint="eastAsia"/>
          <w:b/>
        </w:rPr>
        <w:t>表6.2.2</w:t>
      </w:r>
      <w:r w:rsidRPr="00BC31E0">
        <w:rPr>
          <w:rFonts w:asciiTheme="minorEastAsia" w:eastAsiaTheme="minorEastAsia" w:hAnsiTheme="minorEastAsia" w:hint="eastAsia"/>
        </w:rPr>
        <w:t>に定義される。</w:t>
      </w:r>
    </w:p>
    <w:p w14:paraId="60ADA0F8" w14:textId="77777777" w:rsidR="0081331C" w:rsidRPr="00BC31E0" w:rsidRDefault="0081331C" w:rsidP="0081331C">
      <w:r w:rsidRPr="00BC31E0">
        <w:rPr>
          <w:rFonts w:ascii="ＭＳ ゴシック" w:eastAsia="ＭＳ ゴシック" w:hint="eastAsia"/>
          <w:b/>
        </w:rPr>
        <w:t>注記2</w:t>
      </w:r>
      <w:r w:rsidRPr="00BC31E0">
        <w:rPr>
          <w:rFonts w:ascii="ＭＳ 明朝" w:hAnsi="ＭＳ 明朝" w:hint="eastAsia"/>
        </w:rPr>
        <w:t xml:space="preserve">　全体的崩壊と機能に対する制限は，</w:t>
      </w:r>
      <w:r w:rsidRPr="00BC31E0">
        <w:rPr>
          <w:rFonts w:asciiTheme="majorEastAsia" w:eastAsiaTheme="majorEastAsia" w:hAnsiTheme="majorEastAsia" w:hint="eastAsia"/>
          <w:b/>
        </w:rPr>
        <w:t>6.2.3 a) 2)</w:t>
      </w:r>
      <w:r w:rsidRPr="00BC31E0">
        <w:rPr>
          <w:rFonts w:ascii="ＭＳ 明朝" w:hAnsi="ＭＳ 明朝" w:hint="eastAsia"/>
        </w:rPr>
        <w:t>を参照する。</w:t>
      </w:r>
    </w:p>
    <w:p w14:paraId="00052E6D" w14:textId="77777777" w:rsidR="0081331C" w:rsidRPr="00BC31E0" w:rsidRDefault="0081331C" w:rsidP="0081331C">
      <w:pPr>
        <w:snapToGrid w:val="0"/>
        <w:spacing w:after="120"/>
        <w:textAlignment w:val="center"/>
      </w:pPr>
      <w:r w:rsidRPr="00BC31E0">
        <w:rPr>
          <w:rFonts w:ascii="ＭＳ ゴシック" w:eastAsia="ＭＳ ゴシック" w:hint="eastAsia"/>
          <w:b/>
        </w:rPr>
        <w:t>注記3</w:t>
      </w:r>
      <w:r w:rsidRPr="00BC31E0">
        <w:rPr>
          <w:rFonts w:asciiTheme="minorEastAsia" w:eastAsiaTheme="minorEastAsia" w:hAnsiTheme="minorEastAsia" w:hint="eastAsia"/>
        </w:rPr>
        <w:t xml:space="preserve">　多層容器の場合には，係数</w:t>
      </w:r>
      <m:oMath>
        <m:sSub>
          <m:sSubPr>
            <m:ctrlPr>
              <w:rPr>
                <w:rFonts w:ascii="Cambria Math" w:eastAsiaTheme="minorEastAsia" w:hAnsi="Cambria Math"/>
                <w:i/>
              </w:rPr>
            </m:ctrlPr>
          </m:sSubPr>
          <m:e>
            <m:r>
              <w:rPr>
                <w:rFonts w:ascii="Cambria Math" w:eastAsiaTheme="minorEastAsia" w:hAnsi="Cambria Math"/>
              </w:rPr>
              <m:t xml:space="preserve"> K</m:t>
            </m:r>
          </m:e>
          <m:sub>
            <m:r>
              <w:rPr>
                <w:rFonts w:ascii="Cambria Math" w:eastAsiaTheme="minorEastAsia" w:hAnsi="Cambria Math"/>
              </w:rPr>
              <m:t xml:space="preserve">ut </m:t>
            </m:r>
          </m:sub>
        </m:sSub>
      </m:oMath>
      <w:r w:rsidRPr="00BC31E0">
        <w:rPr>
          <w:rFonts w:hint="eastAsia"/>
        </w:rPr>
        <w:t>の代わりに次式の等価係数</w:t>
      </w:r>
      <m:oMath>
        <m:sSub>
          <m:sSubPr>
            <m:ctrlPr>
              <w:rPr>
                <w:rFonts w:ascii="Cambria Math" w:eastAsiaTheme="minorEastAsia" w:hAnsi="Cambria Math"/>
                <w:i/>
              </w:rPr>
            </m:ctrlPr>
          </m:sSubPr>
          <m:e>
            <m:r>
              <w:rPr>
                <w:rFonts w:ascii="Cambria Math" w:eastAsiaTheme="minorEastAsia" w:hAnsi="Cambria Math"/>
              </w:rPr>
              <m:t xml:space="preserve"> K</m:t>
            </m:r>
          </m:e>
          <m:sub>
            <m:r>
              <w:rPr>
                <w:rFonts w:ascii="Cambria Math" w:eastAsiaTheme="minorEastAsia" w:hAnsi="Cambria Math"/>
              </w:rPr>
              <m:t xml:space="preserve">uteq </m:t>
            </m:r>
          </m:sub>
        </m:sSub>
      </m:oMath>
      <w:r w:rsidRPr="00BC31E0">
        <w:rPr>
          <w:rFonts w:hint="eastAsia"/>
        </w:rPr>
        <w:t>を用いる。</w:t>
      </w:r>
    </w:p>
    <w:p w14:paraId="61D2C764" w14:textId="77777777" w:rsidR="0081331C" w:rsidRPr="00BC31E0" w:rsidRDefault="00A51873" w:rsidP="0081331C">
      <w:pPr>
        <w:snapToGrid w:val="0"/>
        <w:textAlignment w:val="center"/>
        <w:rPr>
          <w:i/>
        </w:rPr>
      </w:pPr>
      <m:oMathPara>
        <m:oMath>
          <m:sSub>
            <m:sSubPr>
              <m:ctrlPr>
                <w:rPr>
                  <w:rFonts w:ascii="Cambria Math" w:hAnsi="Cambria Math"/>
                  <w:i/>
                </w:rPr>
              </m:ctrlPr>
            </m:sSubPr>
            <m:e>
              <m:r>
                <w:rPr>
                  <w:rFonts w:ascii="Cambria Math" w:hAnsi="Cambria Math"/>
                </w:rPr>
                <m:t>K</m:t>
              </m:r>
            </m:e>
            <m:sub>
              <m:r>
                <w:rPr>
                  <w:rFonts w:ascii="Cambria Math" w:hAnsi="Cambria Math"/>
                </w:rPr>
                <m:t>uteq</m:t>
              </m:r>
            </m:sub>
          </m:sSub>
          <m:r>
            <w:rPr>
              <w:rFonts w:ascii="Cambria Math" w:hAnsi="Cambria Math"/>
            </w:rPr>
            <m:t>=</m:t>
          </m:r>
          <m:f>
            <m:fPr>
              <m:type m:val="lin"/>
              <m:ctrlPr>
                <w:rPr>
                  <w:rFonts w:ascii="Cambria Math" w:hAnsi="Cambria Math"/>
                  <w:i/>
                </w:rPr>
              </m:ctrlPr>
            </m:fPr>
            <m:num>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utj</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j</m:t>
                          </m:r>
                        </m:sub>
                      </m:sSub>
                    </m:e>
                  </m:d>
                </m:e>
              </m:nary>
            </m:num>
            <m:den>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hAnsi="Cambria Math"/>
                        </w:rPr>
                        <m:t>t</m:t>
                      </m:r>
                    </m:e>
                    <m:sub>
                      <m:r>
                        <w:rPr>
                          <w:rFonts w:ascii="Cambria Math" w:hAnsi="Cambria Math"/>
                        </w:rPr>
                        <m:t>j</m:t>
                      </m:r>
                    </m:sub>
                  </m:sSub>
                </m:e>
              </m:nary>
            </m:den>
          </m:f>
        </m:oMath>
      </m:oMathPara>
    </w:p>
    <w:p w14:paraId="6E381F38" w14:textId="77777777" w:rsidR="0081331C" w:rsidRPr="00BC31E0" w:rsidRDefault="0081331C" w:rsidP="0081331C">
      <w:pPr>
        <w:ind w:left="794"/>
      </w:pPr>
      <w:r w:rsidRPr="00BC31E0">
        <w:rPr>
          <w:rFonts w:hint="eastAsia"/>
        </w:rPr>
        <w:t>ここで，</w:t>
      </w:r>
    </w:p>
    <w:p w14:paraId="7A129184" w14:textId="77777777" w:rsidR="0081331C" w:rsidRPr="00BC31E0" w:rsidRDefault="00A51873" w:rsidP="0081331C">
      <w:pPr>
        <w:tabs>
          <w:tab w:val="left" w:pos="1701"/>
        </w:tabs>
        <w:ind w:left="1134"/>
        <w:textAlignment w:val="center"/>
      </w:pPr>
      <m:oMath>
        <m:sSub>
          <m:sSubPr>
            <m:ctrlPr>
              <w:rPr>
                <w:rFonts w:ascii="Cambria Math" w:hAnsi="Cambria Math"/>
                <w:i/>
              </w:rPr>
            </m:ctrlPr>
          </m:sSubPr>
          <m:e>
            <m:r>
              <w:rPr>
                <w:rFonts w:ascii="Cambria Math" w:hAnsi="Cambria Math"/>
              </w:rPr>
              <m:t>K</m:t>
            </m:r>
          </m:e>
          <m:sub>
            <m:r>
              <w:rPr>
                <w:rFonts w:ascii="Cambria Math" w:hAnsi="Cambria Math"/>
              </w:rPr>
              <m:t>ut</m:t>
            </m:r>
          </m:sub>
        </m:sSub>
      </m:oMath>
      <w:r w:rsidR="0081331C" w:rsidRPr="00BC31E0">
        <w:rPr>
          <w:rFonts w:hint="eastAsia"/>
        </w:rPr>
        <w:tab/>
      </w:r>
      <w:r w:rsidR="0081331C" w:rsidRPr="00BC31E0">
        <w:rPr>
          <w:rFonts w:hint="eastAsia"/>
        </w:rPr>
        <w:t>：</w:t>
      </w:r>
      <w:r w:rsidR="0081331C" w:rsidRPr="00BC31E0">
        <w:rPr>
          <w:rFonts w:hint="eastAsia"/>
        </w:rPr>
        <w:t xml:space="preserve"> </w:t>
      </w:r>
      <w:r w:rsidR="0081331C" w:rsidRPr="00BC31E0">
        <w:rPr>
          <w:rFonts w:hint="eastAsia"/>
        </w:rPr>
        <w:t>耐圧試験の上限圧力に関する係数</w:t>
      </w:r>
      <w:r w:rsidR="0081331C" w:rsidRPr="00BC31E0">
        <w:rPr>
          <w:rFonts w:hint="eastAsia"/>
        </w:rPr>
        <w:t xml:space="preserve"> </w:t>
      </w:r>
      <w:r w:rsidR="0081331C" w:rsidRPr="00BC31E0">
        <w:rPr>
          <w:rFonts w:asciiTheme="minorHAnsi" w:hAnsiTheme="minorHAnsi"/>
        </w:rPr>
        <w:t>[</w:t>
      </w:r>
      <w:r w:rsidR="0081331C" w:rsidRPr="00BC31E0">
        <w:rPr>
          <w:rFonts w:asciiTheme="majorEastAsia" w:eastAsiaTheme="majorEastAsia" w:hAnsiTheme="majorEastAsia" w:hint="eastAsia"/>
          <w:b/>
        </w:rPr>
        <w:t>10.3.2 b)</w:t>
      </w:r>
      <w:r w:rsidR="0081331C" w:rsidRPr="00BC31E0">
        <w:rPr>
          <w:rFonts w:asciiTheme="minorEastAsia" w:eastAsiaTheme="minorEastAsia" w:hAnsiTheme="minorEastAsia" w:hint="eastAsia"/>
        </w:rPr>
        <w:t>を参照</w:t>
      </w:r>
      <w:r w:rsidR="0081331C" w:rsidRPr="00BC31E0">
        <w:rPr>
          <w:rFonts w:asciiTheme="minorHAnsi" w:eastAsiaTheme="minorEastAsia" w:hAnsiTheme="minorHAnsi"/>
        </w:rPr>
        <w:t>]</w:t>
      </w:r>
    </w:p>
    <w:p w14:paraId="35655DA1" w14:textId="77777777" w:rsidR="0081331C" w:rsidRPr="00BC31E0" w:rsidRDefault="00A51873" w:rsidP="0081331C">
      <w:pPr>
        <w:tabs>
          <w:tab w:val="left" w:pos="1701"/>
          <w:tab w:val="left" w:leader="middleDot" w:pos="8222"/>
        </w:tabs>
        <w:snapToGrid w:val="0"/>
        <w:spacing w:line="360" w:lineRule="exact"/>
        <w:ind w:left="1134"/>
        <w:textAlignment w:val="center"/>
      </w:pPr>
      <m:oMath>
        <m:sSub>
          <m:sSubPr>
            <m:ctrlPr>
              <w:rPr>
                <w:rFonts w:ascii="Cambria Math" w:hAnsi="Cambria Math"/>
                <w:i/>
              </w:rPr>
            </m:ctrlPr>
          </m:sSubPr>
          <m:e>
            <m:r>
              <w:rPr>
                <w:rFonts w:ascii="Cambria Math" w:hAnsi="Cambria Math"/>
              </w:rPr>
              <m:t>K</m:t>
            </m:r>
          </m:e>
          <m:sub>
            <m:r>
              <w:rPr>
                <w:rFonts w:ascii="Cambria Math" w:hAnsi="Cambria Math"/>
              </w:rPr>
              <m:t>utj</m:t>
            </m:r>
          </m:sub>
        </m:sSub>
      </m:oMath>
      <w:r w:rsidR="0081331C" w:rsidRPr="00BC31E0">
        <w:rPr>
          <w:rFonts w:hint="eastAsia"/>
        </w:rPr>
        <w:tab/>
      </w:r>
      <w:r w:rsidR="0081331C" w:rsidRPr="00BC31E0">
        <w:rPr>
          <w:rFonts w:hint="eastAsia"/>
        </w:rPr>
        <w:t>：</w:t>
      </w:r>
      <w:r w:rsidR="0081331C" w:rsidRPr="00BC31E0">
        <w:rPr>
          <w:rFonts w:hint="eastAsia"/>
        </w:rPr>
        <w:t xml:space="preserve"> </w:t>
      </w:r>
      <w:r w:rsidR="0081331C" w:rsidRPr="00BC31E0">
        <w:rPr>
          <w:rFonts w:hint="eastAsia"/>
        </w:rPr>
        <w:t>各層の耐圧試験の上限圧力に関する係数</w:t>
      </w:r>
    </w:p>
    <w:p w14:paraId="0CC5B9E4" w14:textId="77777777" w:rsidR="0081331C" w:rsidRPr="00BC31E0" w:rsidRDefault="00A51873" w:rsidP="0081331C">
      <w:pPr>
        <w:tabs>
          <w:tab w:val="left" w:pos="1701"/>
        </w:tabs>
        <w:snapToGrid w:val="0"/>
        <w:ind w:left="1134"/>
        <w:textAlignment w:val="center"/>
      </w:pPr>
      <m:oMath>
        <m:sSub>
          <m:sSubPr>
            <m:ctrlPr>
              <w:rPr>
                <w:rFonts w:ascii="Cambria Math" w:hAnsi="Cambria Math"/>
                <w:i/>
              </w:rPr>
            </m:ctrlPr>
          </m:sSubPr>
          <m:e>
            <m:r>
              <w:rPr>
                <w:rFonts w:ascii="Cambria Math" w:hAnsi="Cambria Math"/>
              </w:rPr>
              <m:t>K</m:t>
            </m:r>
          </m:e>
          <m:sub>
            <m:r>
              <w:rPr>
                <w:rFonts w:ascii="Cambria Math" w:hAnsi="Cambria Math"/>
              </w:rPr>
              <m:t>uteq</m:t>
            </m:r>
          </m:sub>
        </m:sSub>
      </m:oMath>
      <w:r w:rsidR="0081331C" w:rsidRPr="00BC31E0">
        <w:rPr>
          <w:rFonts w:hint="eastAsia"/>
        </w:rPr>
        <w:tab/>
      </w:r>
      <w:r w:rsidR="0081331C" w:rsidRPr="00BC31E0">
        <w:rPr>
          <w:rFonts w:hint="eastAsia"/>
        </w:rPr>
        <w:t>：</w:t>
      </w:r>
      <w:r w:rsidR="0081331C" w:rsidRPr="00BC31E0">
        <w:rPr>
          <w:rFonts w:hint="eastAsia"/>
        </w:rPr>
        <w:t xml:space="preserve"> </w:t>
      </w:r>
      <w:r w:rsidR="0081331C" w:rsidRPr="00BC31E0">
        <w:rPr>
          <w:rFonts w:hint="eastAsia"/>
        </w:rPr>
        <w:t>多層容器に対する耐圧試験の上限圧力に関する等価係数</w:t>
      </w:r>
    </w:p>
    <w:p w14:paraId="18790F7C" w14:textId="77777777" w:rsidR="0081331C" w:rsidRPr="00BC31E0" w:rsidRDefault="00A51873" w:rsidP="0081331C">
      <w:pPr>
        <w:tabs>
          <w:tab w:val="left" w:pos="1701"/>
          <w:tab w:val="left" w:leader="middleDot" w:pos="8222"/>
        </w:tabs>
        <w:snapToGrid w:val="0"/>
        <w:spacing w:line="360" w:lineRule="exact"/>
        <w:ind w:left="1134"/>
        <w:textAlignment w:val="center"/>
      </w:pPr>
      <m:oMath>
        <m:sSub>
          <m:sSubPr>
            <m:ctrlPr>
              <w:rPr>
                <w:rFonts w:ascii="Cambria Math" w:hAnsi="Cambria Math"/>
                <w:i/>
              </w:rPr>
            </m:ctrlPr>
          </m:sSubPr>
          <m:e>
            <m:r>
              <w:rPr>
                <w:rFonts w:ascii="Cambria Math" w:hAnsi="Cambria Math"/>
              </w:rPr>
              <m:t>t</m:t>
            </m:r>
          </m:e>
          <m:sub>
            <m:r>
              <w:rPr>
                <w:rFonts w:ascii="Cambria Math" w:hAnsi="Cambria Math"/>
              </w:rPr>
              <m:t>j</m:t>
            </m:r>
          </m:sub>
        </m:sSub>
      </m:oMath>
      <w:r w:rsidR="0081331C" w:rsidRPr="00BC31E0">
        <w:rPr>
          <w:rFonts w:hint="eastAsia"/>
        </w:rPr>
        <w:tab/>
      </w:r>
      <w:r w:rsidR="0081331C" w:rsidRPr="00BC31E0">
        <w:rPr>
          <w:rFonts w:hint="eastAsia"/>
        </w:rPr>
        <w:t>：</w:t>
      </w:r>
      <w:r w:rsidR="0081331C" w:rsidRPr="00BC31E0">
        <w:rPr>
          <w:rFonts w:hint="eastAsia"/>
        </w:rPr>
        <w:t xml:space="preserve"> </w:t>
      </w:r>
      <w:r w:rsidR="0081331C" w:rsidRPr="00BC31E0">
        <w:rPr>
          <w:rFonts w:hint="eastAsia"/>
        </w:rPr>
        <w:t>各層の厚さ</w:t>
      </w:r>
      <w:r w:rsidR="0081331C" w:rsidRPr="00BC31E0">
        <w:rPr>
          <w:rFonts w:hint="eastAsia"/>
        </w:rPr>
        <w:t>(mm)</w:t>
      </w:r>
    </w:p>
    <w:p w14:paraId="7753CF9A" w14:textId="77777777" w:rsidR="0081331C" w:rsidRPr="00BC31E0" w:rsidRDefault="0081331C" w:rsidP="0081331C">
      <w:pPr>
        <w:widowControl/>
        <w:jc w:val="left"/>
        <w:rPr>
          <w:rFonts w:ascii="ＭＳ ゴシック" w:eastAsia="ＭＳ ゴシック"/>
          <w:b/>
        </w:rPr>
      </w:pPr>
    </w:p>
    <w:p w14:paraId="655032B1" w14:textId="77777777" w:rsidR="0081331C" w:rsidRPr="00BC31E0" w:rsidRDefault="0081331C" w:rsidP="0081331C">
      <w:pPr>
        <w:widowControl/>
        <w:jc w:val="left"/>
        <w:rPr>
          <w:rFonts w:ascii="ＭＳ ゴシック" w:eastAsia="ＭＳ ゴシック"/>
          <w:b/>
        </w:rPr>
      </w:pPr>
      <w:r w:rsidRPr="00BC31E0">
        <w:rPr>
          <w:rFonts w:ascii="ＭＳ ゴシック" w:eastAsia="ＭＳ ゴシック"/>
          <w:b/>
        </w:rPr>
        <w:br w:type="page"/>
      </w:r>
    </w:p>
    <w:p w14:paraId="50B591EF" w14:textId="77777777" w:rsidR="0081331C" w:rsidRPr="00BC31E0" w:rsidRDefault="0081331C" w:rsidP="0081331C">
      <w:pPr>
        <w:pStyle w:val="af4"/>
        <w:spacing w:after="60"/>
      </w:pPr>
      <w:r w:rsidRPr="00BC31E0">
        <w:rPr>
          <w:rFonts w:hint="eastAsia"/>
        </w:rPr>
        <w:lastRenderedPageBreak/>
        <w:t>表6.2.4  係数(</w:t>
      </w:r>
      <m:oMath>
        <m:sSub>
          <m:sSubPr>
            <m:ctrlPr>
              <w:rPr>
                <w:rFonts w:ascii="Cambria Math" w:hAnsi="Cambria Math"/>
                <w:i/>
              </w:rPr>
            </m:ctrlPr>
          </m:sSubPr>
          <m:e>
            <m:r>
              <m:rPr>
                <m:sty m:val="bi"/>
              </m:rPr>
              <w:rPr>
                <w:rFonts w:ascii="Cambria Math" w:hAnsi="Cambria Math" w:hint="eastAsia"/>
              </w:rPr>
              <m:t>m</m:t>
            </m:r>
          </m:e>
          <m:sub>
            <m:r>
              <m:rPr>
                <m:sty m:val="bi"/>
              </m:rPr>
              <w:rPr>
                <w:rFonts w:ascii="Cambria Math" w:hAnsi="Cambria Math"/>
              </w:rPr>
              <m:t>2</m:t>
            </m:r>
          </m:sub>
        </m:sSub>
      </m:oMath>
      <w:r w:rsidRPr="00BC31E0">
        <w:rPr>
          <w:rFonts w:hint="eastAsia"/>
        </w:rPr>
        <w:t>，</w:t>
      </w:r>
      <m:oMath>
        <m:sSub>
          <m:sSubPr>
            <m:ctrlPr>
              <w:rPr>
                <w:rFonts w:ascii="Cambria Math" w:hAnsi="Cambria Math"/>
                <w:i/>
              </w:rPr>
            </m:ctrlPr>
          </m:sSubPr>
          <m:e>
            <m:r>
              <m:rPr>
                <m:sty m:val="bi"/>
              </m:rPr>
              <w:rPr>
                <w:rFonts w:ascii="Cambria Math" w:hAnsi="Cambria Math" w:hint="eastAsia"/>
              </w:rPr>
              <m:t>m</m:t>
            </m:r>
          </m:e>
          <m:sub>
            <m:r>
              <m:rPr>
                <m:sty m:val="bi"/>
              </m:rPr>
              <w:rPr>
                <w:rFonts w:ascii="Cambria Math" w:hAnsi="Cambria Math"/>
              </w:rPr>
              <m:t>3</m:t>
            </m:r>
          </m:sub>
        </m:sSub>
      </m:oMath>
      <w:r w:rsidRPr="00BC31E0">
        <w:rPr>
          <w:rFonts w:hint="eastAsia"/>
        </w:rPr>
        <w:t>，</w:t>
      </w:r>
      <m:oMath>
        <m:sSub>
          <m:sSubPr>
            <m:ctrlPr>
              <w:rPr>
                <w:rFonts w:ascii="Cambria Math" w:hAnsi="Cambria Math"/>
                <w:i/>
              </w:rPr>
            </m:ctrlPr>
          </m:sSubPr>
          <m:e>
            <m:r>
              <m:rPr>
                <m:sty m:val="bi"/>
              </m:rPr>
              <w:rPr>
                <w:rFonts w:ascii="Cambria Math" w:hAnsi="Cambria Math" w:hint="eastAsia"/>
              </w:rPr>
              <m:t>m</m:t>
            </m:r>
          </m:e>
          <m:sub>
            <m:r>
              <m:rPr>
                <m:sty m:val="bi"/>
              </m:rPr>
              <w:rPr>
                <w:rFonts w:ascii="Cambria Math" w:hAnsi="Cambria Math"/>
              </w:rPr>
              <m:t>4</m:t>
            </m:r>
          </m:sub>
        </m:sSub>
      </m:oMath>
      <w:r w:rsidRPr="00BC31E0">
        <w:rPr>
          <w:rFonts w:hint="eastAsia"/>
        </w:rPr>
        <w:t>，</w:t>
      </w:r>
      <m:oMath>
        <m:sSub>
          <m:sSubPr>
            <m:ctrlPr>
              <w:rPr>
                <w:rFonts w:ascii="Cambria Math" w:hAnsi="Cambria Math"/>
                <w:i/>
              </w:rPr>
            </m:ctrlPr>
          </m:sSubPr>
          <m:e>
            <m:r>
              <m:rPr>
                <m:sty m:val="bi"/>
              </m:rPr>
              <w:rPr>
                <w:rFonts w:ascii="Cambria Math" w:hAnsi="Cambria Math" w:hint="eastAsia"/>
              </w:rPr>
              <m:t>m</m:t>
            </m:r>
          </m:e>
          <m:sub>
            <m:r>
              <m:rPr>
                <m:sty m:val="bi"/>
              </m:rPr>
              <w:rPr>
                <w:rFonts w:ascii="Cambria Math" w:hAnsi="Cambria Math"/>
              </w:rPr>
              <m:t>5</m:t>
            </m:r>
          </m:sub>
        </m:sSub>
      </m:oMath>
      <w:r w:rsidRPr="00BC31E0">
        <w:rPr>
          <w:rFonts w:hint="eastAsia"/>
        </w:rPr>
        <w:t>)</w:t>
      </w:r>
      <w:r w:rsidRPr="00BC31E0">
        <w:rPr>
          <w:rFonts w:hint="eastAsia"/>
          <w:vertAlign w:val="superscript"/>
        </w:rPr>
        <w:t>†</w:t>
      </w: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843"/>
        <w:gridCol w:w="709"/>
        <w:gridCol w:w="1559"/>
        <w:gridCol w:w="2126"/>
        <w:gridCol w:w="2127"/>
        <w:gridCol w:w="708"/>
      </w:tblGrid>
      <w:tr w:rsidR="0081331C" w:rsidRPr="00BC31E0" w14:paraId="0737F11C" w14:textId="77777777" w:rsidTr="00E20930">
        <w:tc>
          <w:tcPr>
            <w:tcW w:w="1843" w:type="dxa"/>
            <w:vAlign w:val="center"/>
          </w:tcPr>
          <w:p w14:paraId="60AC4B4C" w14:textId="77777777" w:rsidR="0081331C" w:rsidRPr="00BC31E0" w:rsidRDefault="0081331C" w:rsidP="00E20930">
            <w:pPr>
              <w:jc w:val="center"/>
            </w:pPr>
            <w:r w:rsidRPr="00BC31E0">
              <w:rPr>
                <w:rFonts w:hint="eastAsia"/>
              </w:rPr>
              <w:t>材料</w:t>
            </w:r>
          </w:p>
        </w:tc>
        <w:tc>
          <w:tcPr>
            <w:tcW w:w="709" w:type="dxa"/>
            <w:vAlign w:val="center"/>
          </w:tcPr>
          <w:p w14:paraId="4CD19BC5" w14:textId="77777777" w:rsidR="0081331C" w:rsidRPr="00BC31E0" w:rsidRDefault="0081331C" w:rsidP="00E20930">
            <w:pPr>
              <w:snapToGrid w:val="0"/>
              <w:jc w:val="center"/>
            </w:pPr>
            <w:r w:rsidRPr="00BC31E0">
              <w:rPr>
                <w:rFonts w:hint="eastAsia"/>
              </w:rPr>
              <w:t>最高</w:t>
            </w:r>
          </w:p>
          <w:p w14:paraId="2051A365" w14:textId="77777777" w:rsidR="0081331C" w:rsidRPr="00BC31E0" w:rsidRDefault="0081331C" w:rsidP="00E20930">
            <w:pPr>
              <w:snapToGrid w:val="0"/>
              <w:jc w:val="center"/>
            </w:pPr>
            <w:r w:rsidRPr="00BC31E0">
              <w:rPr>
                <w:rFonts w:hint="eastAsia"/>
              </w:rPr>
              <w:t>温度</w:t>
            </w:r>
          </w:p>
          <w:p w14:paraId="76F61076" w14:textId="77777777" w:rsidR="0081331C" w:rsidRPr="00BC31E0" w:rsidRDefault="0081331C" w:rsidP="00E20930">
            <w:pPr>
              <w:snapToGrid w:val="0"/>
              <w:jc w:val="center"/>
            </w:pPr>
            <w:r w:rsidRPr="00BC31E0">
              <w:rPr>
                <w:rFonts w:hint="eastAsia"/>
              </w:rPr>
              <w:t>(</w:t>
            </w:r>
            <w:r w:rsidRPr="00BC31E0">
              <w:rPr>
                <w:rFonts w:ascii="Cambria Math" w:hAnsi="Cambria Math"/>
              </w:rPr>
              <w:t>℃</w:t>
            </w:r>
            <w:r w:rsidRPr="00BC31E0">
              <w:rPr>
                <w:rFonts w:hint="eastAsia"/>
              </w:rPr>
              <w:t>)</w:t>
            </w:r>
          </w:p>
        </w:tc>
        <w:tc>
          <w:tcPr>
            <w:tcW w:w="1559" w:type="dxa"/>
            <w:vAlign w:val="center"/>
          </w:tcPr>
          <w:p w14:paraId="58E2769A" w14:textId="77777777" w:rsidR="0081331C" w:rsidRPr="00BC31E0" w:rsidRDefault="00A51873" w:rsidP="00E20930">
            <w:pPr>
              <w:jc w:val="center"/>
            </w:pPr>
            <m:oMathPara>
              <m:oMathParaPr>
                <m:jc m:val="center"/>
              </m:oMathParaPr>
              <m:oMath>
                <m:sSub>
                  <m:sSubPr>
                    <m:ctrlPr>
                      <w:rPr>
                        <w:rFonts w:ascii="Cambria Math" w:hAnsi="Cambria Math"/>
                        <w:i/>
                      </w:rPr>
                    </m:ctrlPr>
                  </m:sSubPr>
                  <m:e>
                    <m:r>
                      <w:rPr>
                        <w:rFonts w:ascii="Cambria Math" w:hAnsi="Cambria Math" w:hint="eastAsia"/>
                      </w:rPr>
                      <m:t>m</m:t>
                    </m:r>
                  </m:e>
                  <m:sub>
                    <m:r>
                      <w:rPr>
                        <w:rFonts w:ascii="Cambria Math" w:hAnsi="Cambria Math"/>
                      </w:rPr>
                      <m:t>2</m:t>
                    </m:r>
                  </m:sub>
                </m:sSub>
              </m:oMath>
            </m:oMathPara>
          </w:p>
        </w:tc>
        <w:tc>
          <w:tcPr>
            <w:tcW w:w="2126" w:type="dxa"/>
            <w:vAlign w:val="center"/>
          </w:tcPr>
          <w:p w14:paraId="02ECD5FB" w14:textId="77777777" w:rsidR="0081331C" w:rsidRPr="00BC31E0" w:rsidRDefault="00A51873" w:rsidP="00E20930">
            <w:pPr>
              <w:jc w:val="center"/>
            </w:pPr>
            <m:oMathPara>
              <m:oMath>
                <m:sSub>
                  <m:sSubPr>
                    <m:ctrlPr>
                      <w:rPr>
                        <w:rFonts w:ascii="Cambria Math" w:hAnsi="Cambria Math"/>
                        <w:i/>
                      </w:rPr>
                    </m:ctrlPr>
                  </m:sSubPr>
                  <m:e>
                    <m:r>
                      <w:rPr>
                        <w:rFonts w:ascii="Cambria Math" w:hAnsi="Cambria Math" w:hint="eastAsia"/>
                      </w:rPr>
                      <m:t>m</m:t>
                    </m:r>
                  </m:e>
                  <m:sub>
                    <m:r>
                      <w:rPr>
                        <w:rFonts w:ascii="Cambria Math" w:hAnsi="Cambria Math"/>
                      </w:rPr>
                      <m:t>3</m:t>
                    </m:r>
                  </m:sub>
                </m:sSub>
              </m:oMath>
            </m:oMathPara>
          </w:p>
        </w:tc>
        <w:tc>
          <w:tcPr>
            <w:tcW w:w="2127" w:type="dxa"/>
            <w:vAlign w:val="center"/>
          </w:tcPr>
          <w:p w14:paraId="52D99E1A" w14:textId="77777777" w:rsidR="0081331C" w:rsidRPr="00BC31E0" w:rsidRDefault="00A51873" w:rsidP="00E20930">
            <w:pPr>
              <w:jc w:val="center"/>
            </w:pPr>
            <m:oMathPara>
              <m:oMath>
                <m:sSub>
                  <m:sSubPr>
                    <m:ctrlPr>
                      <w:rPr>
                        <w:rFonts w:ascii="Cambria Math" w:hAnsi="Cambria Math"/>
                        <w:i/>
                      </w:rPr>
                    </m:ctrlPr>
                  </m:sSubPr>
                  <m:e>
                    <m:r>
                      <w:rPr>
                        <w:rFonts w:ascii="Cambria Math" w:hAnsi="Cambria Math" w:hint="eastAsia"/>
                      </w:rPr>
                      <m:t>m</m:t>
                    </m:r>
                  </m:e>
                  <m:sub>
                    <m:r>
                      <w:rPr>
                        <w:rFonts w:ascii="Cambria Math" w:hAnsi="Cambria Math"/>
                      </w:rPr>
                      <m:t>4</m:t>
                    </m:r>
                  </m:sub>
                </m:sSub>
              </m:oMath>
            </m:oMathPara>
          </w:p>
        </w:tc>
        <w:tc>
          <w:tcPr>
            <w:tcW w:w="708" w:type="dxa"/>
            <w:vAlign w:val="center"/>
          </w:tcPr>
          <w:p w14:paraId="019333D4" w14:textId="77777777" w:rsidR="0081331C" w:rsidRPr="00BC31E0" w:rsidRDefault="00A51873" w:rsidP="00E20930">
            <w:pPr>
              <w:jc w:val="center"/>
            </w:pPr>
            <m:oMathPara>
              <m:oMath>
                <m:sSub>
                  <m:sSubPr>
                    <m:ctrlPr>
                      <w:rPr>
                        <w:rFonts w:ascii="Cambria Math" w:hAnsi="Cambria Math"/>
                        <w:i/>
                      </w:rPr>
                    </m:ctrlPr>
                  </m:sSubPr>
                  <m:e>
                    <m:r>
                      <w:rPr>
                        <w:rFonts w:ascii="Cambria Math" w:hAnsi="Cambria Math" w:hint="eastAsia"/>
                      </w:rPr>
                      <m:t>m</m:t>
                    </m:r>
                  </m:e>
                  <m:sub>
                    <m:r>
                      <w:rPr>
                        <w:rFonts w:ascii="Cambria Math" w:hAnsi="Cambria Math"/>
                      </w:rPr>
                      <m:t>5</m:t>
                    </m:r>
                  </m:sub>
                </m:sSub>
              </m:oMath>
            </m:oMathPara>
          </w:p>
        </w:tc>
      </w:tr>
      <w:tr w:rsidR="0081331C" w:rsidRPr="00BC31E0" w14:paraId="0249498C" w14:textId="77777777" w:rsidTr="00E20930">
        <w:trPr>
          <w:trHeight w:val="567"/>
        </w:trPr>
        <w:tc>
          <w:tcPr>
            <w:tcW w:w="1843" w:type="dxa"/>
            <w:vAlign w:val="center"/>
          </w:tcPr>
          <w:p w14:paraId="08296F48" w14:textId="77777777" w:rsidR="0081331C" w:rsidRPr="00BC31E0" w:rsidRDefault="0081331C" w:rsidP="00E20930">
            <w:r w:rsidRPr="00BC31E0">
              <w:rPr>
                <w:rFonts w:hint="eastAsia"/>
              </w:rPr>
              <w:t>フェライト鋼</w:t>
            </w:r>
            <w:r w:rsidRPr="00BC31E0">
              <w:rPr>
                <w:rFonts w:ascii="ＭＳ ゴシック" w:eastAsia="ＭＳ ゴシック" w:hint="eastAsia"/>
                <w:b/>
                <w:vertAlign w:val="superscript"/>
              </w:rPr>
              <w:t>a)</w:t>
            </w:r>
          </w:p>
        </w:tc>
        <w:tc>
          <w:tcPr>
            <w:tcW w:w="709" w:type="dxa"/>
            <w:vAlign w:val="center"/>
          </w:tcPr>
          <w:p w14:paraId="389ECD4C" w14:textId="77777777" w:rsidR="0081331C" w:rsidRPr="00BC31E0" w:rsidRDefault="0081331C" w:rsidP="00E20930">
            <w:pPr>
              <w:jc w:val="center"/>
            </w:pPr>
            <w:r w:rsidRPr="00BC31E0">
              <w:t>480</w:t>
            </w:r>
          </w:p>
        </w:tc>
        <w:tc>
          <w:tcPr>
            <w:tcW w:w="1559" w:type="dxa"/>
            <w:vAlign w:val="center"/>
          </w:tcPr>
          <w:p w14:paraId="3F36BE47" w14:textId="77777777" w:rsidR="0081331C" w:rsidRPr="00BC31E0" w:rsidRDefault="0081331C" w:rsidP="00E20930">
            <w:pPr>
              <w:jc w:val="center"/>
              <w:rPr>
                <w:i/>
              </w:rPr>
            </w:pPr>
            <m:oMathPara>
              <m:oMath>
                <m:r>
                  <w:rPr>
                    <w:rFonts w:ascii="Cambria Math" w:hAnsi="Cambria Math"/>
                  </w:rPr>
                  <m:t>0.60 (1.00</m:t>
                </m:r>
                <m:r>
                  <w:rPr>
                    <w:rFonts w:ascii="Cambria Math" w:eastAsiaTheme="minorEastAsia" w:hAnsi="Cambria Math"/>
                  </w:rPr>
                  <m:t>-R</m:t>
                </m:r>
                <m:r>
                  <w:rPr>
                    <w:rFonts w:ascii="Cambria Math" w:hAnsi="Cambria Math"/>
                  </w:rPr>
                  <m:t>)</m:t>
                </m:r>
              </m:oMath>
            </m:oMathPara>
          </w:p>
        </w:tc>
        <w:tc>
          <w:tcPr>
            <w:tcW w:w="2126" w:type="dxa"/>
            <w:vAlign w:val="center"/>
          </w:tcPr>
          <w:p w14:paraId="322E8DE6" w14:textId="77777777" w:rsidR="0081331C" w:rsidRPr="00BC31E0" w:rsidRDefault="0081331C" w:rsidP="00E20930">
            <w:pPr>
              <w:jc w:val="center"/>
              <w:rPr>
                <w:i/>
              </w:rPr>
            </w:pPr>
            <m:oMathPara>
              <m:oMath>
                <m:r>
                  <w:rPr>
                    <w:rFonts w:ascii="Cambria Math" w:hAnsi="Cambria Math"/>
                  </w:rPr>
                  <m:t xml:space="preserve">2 </m:t>
                </m:r>
                <m:r>
                  <m:rPr>
                    <m:sty m:val="bi"/>
                  </m:rPr>
                  <w:rPr>
                    <w:rFonts w:ascii="Cambria Math" w:hAnsi="Cambria Math"/>
                  </w:rPr>
                  <m:t>ln</m:t>
                </m:r>
                <m:d>
                  <m:dPr>
                    <m:begChr m:val="{"/>
                    <m:endChr m:val="}"/>
                    <m:ctrlPr>
                      <w:rPr>
                        <w:rFonts w:ascii="Cambria Math" w:hAnsi="Cambria Math"/>
                        <w:i/>
                      </w:rPr>
                    </m:ctrlPr>
                  </m:dPr>
                  <m:e>
                    <m:r>
                      <w:rPr>
                        <w:rFonts w:ascii="Cambria Math" w:hAnsi="Cambria Math"/>
                      </w:rPr>
                      <m:t>1</m:t>
                    </m:r>
                    <m:r>
                      <w:rPr>
                        <w:rFonts w:ascii="Cambria Math" w:eastAsiaTheme="minorEastAsia" w:hAnsi="Cambria Math"/>
                      </w:rPr>
                      <m:t>+</m:t>
                    </m:r>
                    <m:d>
                      <m:dPr>
                        <m:ctrlPr>
                          <w:rPr>
                            <w:rFonts w:ascii="Cambria Math" w:hAnsi="Cambria Math"/>
                            <w:i/>
                          </w:rPr>
                        </m:ctrlPr>
                      </m:dPr>
                      <m:e>
                        <m:f>
                          <m:fPr>
                            <m:type m:val="lin"/>
                            <m:ctrlPr>
                              <w:rPr>
                                <w:rFonts w:ascii="Cambria Math" w:hAnsi="Cambria Math"/>
                                <w:i/>
                              </w:rPr>
                            </m:ctrlPr>
                          </m:fPr>
                          <m:num>
                            <m:r>
                              <w:rPr>
                                <w:rFonts w:ascii="Cambria Math" w:hAnsi="Cambria Math"/>
                              </w:rPr>
                              <m:t>El</m:t>
                            </m:r>
                          </m:num>
                          <m:den>
                            <m:r>
                              <w:rPr>
                                <w:rFonts w:ascii="Cambria Math" w:hAnsi="Cambria Math"/>
                              </w:rPr>
                              <m:t>100</m:t>
                            </m:r>
                          </m:den>
                        </m:f>
                      </m:e>
                    </m:d>
                  </m:e>
                </m:d>
              </m:oMath>
            </m:oMathPara>
          </w:p>
        </w:tc>
        <w:tc>
          <w:tcPr>
            <w:tcW w:w="2127" w:type="dxa"/>
            <w:vAlign w:val="center"/>
          </w:tcPr>
          <w:p w14:paraId="3F067DCE" w14:textId="77777777" w:rsidR="0081331C" w:rsidRPr="00BC31E0" w:rsidRDefault="0081331C" w:rsidP="00E20930">
            <w:pPr>
              <w:jc w:val="center"/>
            </w:pPr>
            <m:oMathPara>
              <m:oMath>
                <m:r>
                  <m:rPr>
                    <m:sty m:val="bi"/>
                  </m:rPr>
                  <w:rPr>
                    <w:rFonts w:ascii="Cambria Math" w:hAnsi="Cambria Math"/>
                  </w:rPr>
                  <m:t>ln</m:t>
                </m:r>
                <m:d>
                  <m:dPr>
                    <m:begChr m:val="{"/>
                    <m:endChr m:val="}"/>
                    <m:ctrlPr>
                      <w:rPr>
                        <w:rFonts w:ascii="Cambria Math" w:hAnsi="Cambria Math"/>
                        <w:i/>
                      </w:rPr>
                    </m:ctrlPr>
                  </m:dPr>
                  <m:e>
                    <m:f>
                      <m:fPr>
                        <m:type m:val="lin"/>
                        <m:ctrlPr>
                          <w:rPr>
                            <w:rFonts w:ascii="Cambria Math" w:hAnsi="Cambria Math"/>
                            <w:i/>
                          </w:rPr>
                        </m:ctrlPr>
                      </m:fPr>
                      <m:num>
                        <m:r>
                          <w:rPr>
                            <w:rFonts w:ascii="Cambria Math" w:hAnsi="Cambria Math"/>
                          </w:rPr>
                          <m:t>100</m:t>
                        </m:r>
                      </m:num>
                      <m:den>
                        <m:d>
                          <m:dPr>
                            <m:ctrlPr>
                              <w:rPr>
                                <w:rFonts w:ascii="Cambria Math" w:hAnsi="Cambria Math"/>
                                <w:i/>
                              </w:rPr>
                            </m:ctrlPr>
                          </m:dPr>
                          <m:e>
                            <m:r>
                              <w:rPr>
                                <w:rFonts w:ascii="Cambria Math" w:hAnsi="Cambria Math"/>
                              </w:rPr>
                              <m:t>100</m:t>
                            </m:r>
                            <m:r>
                              <w:rPr>
                                <w:rFonts w:ascii="Cambria Math" w:eastAsiaTheme="minorEastAsia" w:hAnsi="Cambria Math"/>
                              </w:rPr>
                              <m:t>-RA</m:t>
                            </m:r>
                          </m:e>
                        </m:d>
                      </m:den>
                    </m:f>
                  </m:e>
                </m:d>
              </m:oMath>
            </m:oMathPara>
          </w:p>
        </w:tc>
        <w:tc>
          <w:tcPr>
            <w:tcW w:w="708" w:type="dxa"/>
            <w:vAlign w:val="center"/>
          </w:tcPr>
          <w:p w14:paraId="77152C16" w14:textId="77777777" w:rsidR="0081331C" w:rsidRPr="00BC31E0" w:rsidRDefault="0081331C" w:rsidP="00E20930">
            <w:pPr>
              <w:jc w:val="center"/>
            </w:pPr>
            <w:r w:rsidRPr="00BC31E0">
              <w:t>2.2</w:t>
            </w:r>
          </w:p>
        </w:tc>
      </w:tr>
      <w:tr w:rsidR="0081331C" w:rsidRPr="00BC31E0" w14:paraId="566464E7" w14:textId="77777777" w:rsidTr="00E20930">
        <w:trPr>
          <w:trHeight w:val="907"/>
        </w:trPr>
        <w:tc>
          <w:tcPr>
            <w:tcW w:w="1843" w:type="dxa"/>
            <w:vAlign w:val="center"/>
          </w:tcPr>
          <w:p w14:paraId="50973595" w14:textId="77777777" w:rsidR="0081331C" w:rsidRPr="00BC31E0" w:rsidRDefault="0081331C" w:rsidP="00E20930">
            <w:pPr>
              <w:snapToGrid w:val="0"/>
            </w:pPr>
            <w:r w:rsidRPr="00BC31E0">
              <w:rPr>
                <w:rFonts w:hint="eastAsia"/>
              </w:rPr>
              <w:t>オーステナイト系</w:t>
            </w:r>
          </w:p>
          <w:p w14:paraId="53EF7809" w14:textId="77777777" w:rsidR="0081331C" w:rsidRPr="00BC31E0" w:rsidRDefault="0081331C" w:rsidP="00E20930">
            <w:pPr>
              <w:snapToGrid w:val="0"/>
            </w:pPr>
            <w:r w:rsidRPr="00BC31E0">
              <w:rPr>
                <w:rFonts w:hint="eastAsia"/>
              </w:rPr>
              <w:t>ステンレス鋼，</w:t>
            </w:r>
          </w:p>
          <w:p w14:paraId="24DCD91F" w14:textId="77777777" w:rsidR="0081331C" w:rsidRPr="00BC31E0" w:rsidRDefault="0081331C" w:rsidP="00E20930">
            <w:pPr>
              <w:snapToGrid w:val="0"/>
            </w:pPr>
            <w:r w:rsidRPr="00BC31E0">
              <w:rPr>
                <w:rFonts w:hint="eastAsia"/>
              </w:rPr>
              <w:t>ニッケル合金鋼</w:t>
            </w:r>
          </w:p>
        </w:tc>
        <w:tc>
          <w:tcPr>
            <w:tcW w:w="709" w:type="dxa"/>
            <w:vAlign w:val="center"/>
          </w:tcPr>
          <w:p w14:paraId="47824AA9" w14:textId="77777777" w:rsidR="0081331C" w:rsidRPr="00BC31E0" w:rsidRDefault="0081331C" w:rsidP="00E20930">
            <w:pPr>
              <w:jc w:val="center"/>
            </w:pPr>
            <w:r w:rsidRPr="00BC31E0">
              <w:t>480</w:t>
            </w:r>
          </w:p>
        </w:tc>
        <w:tc>
          <w:tcPr>
            <w:tcW w:w="1559" w:type="dxa"/>
            <w:vAlign w:val="center"/>
          </w:tcPr>
          <w:p w14:paraId="6C770B69" w14:textId="77777777" w:rsidR="0081331C" w:rsidRPr="00BC31E0" w:rsidRDefault="0081331C" w:rsidP="00E20930">
            <w:pPr>
              <w:jc w:val="center"/>
              <w:rPr>
                <w:i/>
              </w:rPr>
            </w:pPr>
            <m:oMathPara>
              <m:oMath>
                <m:r>
                  <w:rPr>
                    <w:rFonts w:ascii="Cambria Math" w:hAnsi="Cambria Math"/>
                  </w:rPr>
                  <m:t>0.75 (1.00</m:t>
                </m:r>
                <m:r>
                  <w:rPr>
                    <w:rFonts w:ascii="Cambria Math" w:eastAsiaTheme="minorEastAsia" w:hAnsi="Cambria Math"/>
                  </w:rPr>
                  <m:t>-R</m:t>
                </m:r>
                <m:r>
                  <w:rPr>
                    <w:rFonts w:ascii="Cambria Math" w:hAnsi="Cambria Math"/>
                  </w:rPr>
                  <m:t>)</m:t>
                </m:r>
              </m:oMath>
            </m:oMathPara>
          </w:p>
        </w:tc>
        <w:tc>
          <w:tcPr>
            <w:tcW w:w="2126" w:type="dxa"/>
            <w:vAlign w:val="center"/>
          </w:tcPr>
          <w:p w14:paraId="2DFDA911" w14:textId="77777777" w:rsidR="0081331C" w:rsidRPr="00BC31E0" w:rsidRDefault="0081331C" w:rsidP="00E20930">
            <w:pPr>
              <w:jc w:val="center"/>
              <w:rPr>
                <w:sz w:val="22"/>
                <w:szCs w:val="22"/>
              </w:rPr>
            </w:pPr>
            <m:oMathPara>
              <m:oMath>
                <m:r>
                  <w:rPr>
                    <w:rFonts w:ascii="Cambria Math" w:hAnsi="Cambria Math"/>
                  </w:rPr>
                  <m:t xml:space="preserve">3 </m:t>
                </m:r>
                <m:r>
                  <m:rPr>
                    <m:sty m:val="bi"/>
                  </m:rPr>
                  <w:rPr>
                    <w:rFonts w:ascii="Cambria Math" w:hAnsi="Cambria Math"/>
                  </w:rPr>
                  <m:t>ln</m:t>
                </m:r>
                <m:d>
                  <m:dPr>
                    <m:begChr m:val="{"/>
                    <m:endChr m:val="}"/>
                    <m:ctrlPr>
                      <w:rPr>
                        <w:rFonts w:ascii="Cambria Math" w:hAnsi="Cambria Math"/>
                        <w:i/>
                      </w:rPr>
                    </m:ctrlPr>
                  </m:dPr>
                  <m:e>
                    <m:r>
                      <w:rPr>
                        <w:rFonts w:ascii="Cambria Math" w:hAnsi="Cambria Math"/>
                      </w:rPr>
                      <m:t>1</m:t>
                    </m:r>
                    <m:r>
                      <w:rPr>
                        <w:rFonts w:ascii="Cambria Math" w:eastAsiaTheme="minorEastAsia" w:hAnsi="Cambria Math"/>
                      </w:rPr>
                      <m:t>+</m:t>
                    </m:r>
                    <m:d>
                      <m:dPr>
                        <m:ctrlPr>
                          <w:rPr>
                            <w:rFonts w:ascii="Cambria Math" w:hAnsi="Cambria Math"/>
                            <w:i/>
                          </w:rPr>
                        </m:ctrlPr>
                      </m:dPr>
                      <m:e>
                        <m:f>
                          <m:fPr>
                            <m:type m:val="lin"/>
                            <m:ctrlPr>
                              <w:rPr>
                                <w:rFonts w:ascii="Cambria Math" w:hAnsi="Cambria Math"/>
                                <w:i/>
                              </w:rPr>
                            </m:ctrlPr>
                          </m:fPr>
                          <m:num>
                            <m:r>
                              <w:rPr>
                                <w:rFonts w:ascii="Cambria Math" w:hAnsi="Cambria Math"/>
                              </w:rPr>
                              <m:t>El</m:t>
                            </m:r>
                          </m:num>
                          <m:den>
                            <m:r>
                              <w:rPr>
                                <w:rFonts w:ascii="Cambria Math" w:hAnsi="Cambria Math"/>
                              </w:rPr>
                              <m:t>100</m:t>
                            </m:r>
                          </m:den>
                        </m:f>
                      </m:e>
                    </m:d>
                  </m:e>
                </m:d>
              </m:oMath>
            </m:oMathPara>
          </w:p>
        </w:tc>
        <w:tc>
          <w:tcPr>
            <w:tcW w:w="2127" w:type="dxa"/>
            <w:vAlign w:val="center"/>
          </w:tcPr>
          <w:p w14:paraId="774BB6A2" w14:textId="77777777" w:rsidR="0081331C" w:rsidRPr="00BC31E0" w:rsidRDefault="0081331C" w:rsidP="00E20930">
            <w:pPr>
              <w:jc w:val="center"/>
              <w:rPr>
                <w:sz w:val="22"/>
                <w:szCs w:val="22"/>
              </w:rPr>
            </w:pPr>
            <m:oMathPara>
              <m:oMath>
                <m:r>
                  <m:rPr>
                    <m:sty m:val="bi"/>
                  </m:rPr>
                  <w:rPr>
                    <w:rFonts w:ascii="Cambria Math" w:hAnsi="Cambria Math"/>
                  </w:rPr>
                  <m:t>ln</m:t>
                </m:r>
                <m:d>
                  <m:dPr>
                    <m:begChr m:val="{"/>
                    <m:endChr m:val="}"/>
                    <m:ctrlPr>
                      <w:rPr>
                        <w:rFonts w:ascii="Cambria Math" w:hAnsi="Cambria Math"/>
                        <w:i/>
                      </w:rPr>
                    </m:ctrlPr>
                  </m:dPr>
                  <m:e>
                    <m:f>
                      <m:fPr>
                        <m:type m:val="lin"/>
                        <m:ctrlPr>
                          <w:rPr>
                            <w:rFonts w:ascii="Cambria Math" w:hAnsi="Cambria Math"/>
                            <w:i/>
                          </w:rPr>
                        </m:ctrlPr>
                      </m:fPr>
                      <m:num>
                        <m:r>
                          <w:rPr>
                            <w:rFonts w:ascii="Cambria Math" w:hAnsi="Cambria Math"/>
                          </w:rPr>
                          <m:t>100</m:t>
                        </m:r>
                      </m:num>
                      <m:den>
                        <m:d>
                          <m:dPr>
                            <m:ctrlPr>
                              <w:rPr>
                                <w:rFonts w:ascii="Cambria Math" w:hAnsi="Cambria Math"/>
                                <w:i/>
                              </w:rPr>
                            </m:ctrlPr>
                          </m:dPr>
                          <m:e>
                            <m:r>
                              <w:rPr>
                                <w:rFonts w:ascii="Cambria Math" w:hAnsi="Cambria Math"/>
                              </w:rPr>
                              <m:t>100</m:t>
                            </m:r>
                            <m:r>
                              <w:rPr>
                                <w:rFonts w:ascii="Cambria Math" w:eastAsiaTheme="minorEastAsia" w:hAnsi="Cambria Math"/>
                              </w:rPr>
                              <m:t>-RA</m:t>
                            </m:r>
                          </m:e>
                        </m:d>
                      </m:den>
                    </m:f>
                  </m:e>
                </m:d>
              </m:oMath>
            </m:oMathPara>
          </w:p>
        </w:tc>
        <w:tc>
          <w:tcPr>
            <w:tcW w:w="708" w:type="dxa"/>
            <w:vAlign w:val="center"/>
          </w:tcPr>
          <w:p w14:paraId="2EAA4D4E" w14:textId="77777777" w:rsidR="0081331C" w:rsidRPr="00BC31E0" w:rsidRDefault="0081331C" w:rsidP="00E20930">
            <w:pPr>
              <w:jc w:val="center"/>
            </w:pPr>
            <w:r w:rsidRPr="00BC31E0">
              <w:t>0.6</w:t>
            </w:r>
          </w:p>
        </w:tc>
      </w:tr>
      <w:tr w:rsidR="0081331C" w:rsidRPr="00BC31E0" w14:paraId="4B6CEE3D" w14:textId="77777777" w:rsidTr="00E20930">
        <w:trPr>
          <w:trHeight w:val="567"/>
        </w:trPr>
        <w:tc>
          <w:tcPr>
            <w:tcW w:w="1843" w:type="dxa"/>
            <w:vAlign w:val="center"/>
          </w:tcPr>
          <w:p w14:paraId="647FDB44" w14:textId="77777777" w:rsidR="0081331C" w:rsidRPr="00BC31E0" w:rsidRDefault="0081331C" w:rsidP="00E20930">
            <w:r w:rsidRPr="00BC31E0">
              <w:rPr>
                <w:rFonts w:hint="eastAsia"/>
              </w:rPr>
              <w:t>二相ステンレス鋼</w:t>
            </w:r>
          </w:p>
        </w:tc>
        <w:tc>
          <w:tcPr>
            <w:tcW w:w="709" w:type="dxa"/>
            <w:vAlign w:val="center"/>
          </w:tcPr>
          <w:p w14:paraId="180BA861" w14:textId="77777777" w:rsidR="0081331C" w:rsidRPr="00BC31E0" w:rsidRDefault="0081331C" w:rsidP="00E20930">
            <w:pPr>
              <w:jc w:val="center"/>
            </w:pPr>
            <w:r w:rsidRPr="00BC31E0">
              <w:t>480</w:t>
            </w:r>
          </w:p>
        </w:tc>
        <w:tc>
          <w:tcPr>
            <w:tcW w:w="1559" w:type="dxa"/>
            <w:vAlign w:val="center"/>
          </w:tcPr>
          <w:p w14:paraId="12476191" w14:textId="77777777" w:rsidR="0081331C" w:rsidRPr="00BC31E0" w:rsidRDefault="0081331C" w:rsidP="00E20930">
            <w:pPr>
              <w:jc w:val="center"/>
              <w:rPr>
                <w:i/>
              </w:rPr>
            </w:pPr>
            <m:oMathPara>
              <m:oMath>
                <m:r>
                  <w:rPr>
                    <w:rFonts w:ascii="Cambria Math" w:hAnsi="Cambria Math"/>
                  </w:rPr>
                  <m:t>0.70 (0.95</m:t>
                </m:r>
                <m:r>
                  <w:rPr>
                    <w:rFonts w:ascii="Cambria Math" w:eastAsiaTheme="minorEastAsia" w:hAnsi="Cambria Math"/>
                  </w:rPr>
                  <m:t>-R</m:t>
                </m:r>
                <m:r>
                  <w:rPr>
                    <w:rFonts w:ascii="Cambria Math" w:hAnsi="Cambria Math"/>
                  </w:rPr>
                  <m:t>)</m:t>
                </m:r>
              </m:oMath>
            </m:oMathPara>
          </w:p>
        </w:tc>
        <w:tc>
          <w:tcPr>
            <w:tcW w:w="2126" w:type="dxa"/>
            <w:vAlign w:val="center"/>
          </w:tcPr>
          <w:p w14:paraId="5776A05C" w14:textId="77777777" w:rsidR="0081331C" w:rsidRPr="00BC31E0" w:rsidRDefault="0081331C" w:rsidP="00E20930">
            <w:pPr>
              <w:jc w:val="center"/>
              <w:rPr>
                <w:sz w:val="22"/>
                <w:szCs w:val="22"/>
              </w:rPr>
            </w:pPr>
            <m:oMathPara>
              <m:oMath>
                <m:r>
                  <w:rPr>
                    <w:rFonts w:ascii="Cambria Math" w:hAnsi="Cambria Math"/>
                  </w:rPr>
                  <m:t xml:space="preserve">2 </m:t>
                </m:r>
                <m:r>
                  <m:rPr>
                    <m:sty m:val="bi"/>
                  </m:rPr>
                  <w:rPr>
                    <w:rFonts w:ascii="Cambria Math" w:hAnsi="Cambria Math"/>
                  </w:rPr>
                  <m:t>ln</m:t>
                </m:r>
                <m:d>
                  <m:dPr>
                    <m:begChr m:val="{"/>
                    <m:endChr m:val="}"/>
                    <m:ctrlPr>
                      <w:rPr>
                        <w:rFonts w:ascii="Cambria Math" w:hAnsi="Cambria Math"/>
                        <w:i/>
                      </w:rPr>
                    </m:ctrlPr>
                  </m:dPr>
                  <m:e>
                    <m:r>
                      <w:rPr>
                        <w:rFonts w:ascii="Cambria Math" w:hAnsi="Cambria Math"/>
                      </w:rPr>
                      <m:t>1</m:t>
                    </m:r>
                    <m:r>
                      <w:rPr>
                        <w:rFonts w:ascii="Cambria Math" w:eastAsiaTheme="minorEastAsia" w:hAnsi="Cambria Math"/>
                      </w:rPr>
                      <m:t>+</m:t>
                    </m:r>
                    <m:d>
                      <m:dPr>
                        <m:ctrlPr>
                          <w:rPr>
                            <w:rFonts w:ascii="Cambria Math" w:hAnsi="Cambria Math"/>
                            <w:i/>
                          </w:rPr>
                        </m:ctrlPr>
                      </m:dPr>
                      <m:e>
                        <m:f>
                          <m:fPr>
                            <m:type m:val="lin"/>
                            <m:ctrlPr>
                              <w:rPr>
                                <w:rFonts w:ascii="Cambria Math" w:hAnsi="Cambria Math"/>
                                <w:i/>
                              </w:rPr>
                            </m:ctrlPr>
                          </m:fPr>
                          <m:num>
                            <m:r>
                              <w:rPr>
                                <w:rFonts w:ascii="Cambria Math" w:hAnsi="Cambria Math"/>
                              </w:rPr>
                              <m:t>El</m:t>
                            </m:r>
                          </m:num>
                          <m:den>
                            <m:r>
                              <w:rPr>
                                <w:rFonts w:ascii="Cambria Math" w:hAnsi="Cambria Math"/>
                              </w:rPr>
                              <m:t>100</m:t>
                            </m:r>
                          </m:den>
                        </m:f>
                      </m:e>
                    </m:d>
                  </m:e>
                </m:d>
              </m:oMath>
            </m:oMathPara>
          </w:p>
        </w:tc>
        <w:tc>
          <w:tcPr>
            <w:tcW w:w="2127" w:type="dxa"/>
            <w:vAlign w:val="center"/>
          </w:tcPr>
          <w:p w14:paraId="7CF2DB76" w14:textId="77777777" w:rsidR="0081331C" w:rsidRPr="00BC31E0" w:rsidRDefault="0081331C" w:rsidP="00E20930">
            <w:pPr>
              <w:jc w:val="center"/>
              <w:rPr>
                <w:sz w:val="22"/>
                <w:szCs w:val="22"/>
              </w:rPr>
            </w:pPr>
            <m:oMathPara>
              <m:oMath>
                <m:r>
                  <m:rPr>
                    <m:sty m:val="bi"/>
                  </m:rPr>
                  <w:rPr>
                    <w:rFonts w:ascii="Cambria Math" w:hAnsi="Cambria Math"/>
                  </w:rPr>
                  <m:t>ln</m:t>
                </m:r>
                <m:d>
                  <m:dPr>
                    <m:begChr m:val="{"/>
                    <m:endChr m:val="}"/>
                    <m:ctrlPr>
                      <w:rPr>
                        <w:rFonts w:ascii="Cambria Math" w:hAnsi="Cambria Math"/>
                        <w:i/>
                      </w:rPr>
                    </m:ctrlPr>
                  </m:dPr>
                  <m:e>
                    <m:f>
                      <m:fPr>
                        <m:type m:val="lin"/>
                        <m:ctrlPr>
                          <w:rPr>
                            <w:rFonts w:ascii="Cambria Math" w:hAnsi="Cambria Math"/>
                            <w:i/>
                          </w:rPr>
                        </m:ctrlPr>
                      </m:fPr>
                      <m:num>
                        <m:r>
                          <w:rPr>
                            <w:rFonts w:ascii="Cambria Math" w:hAnsi="Cambria Math"/>
                          </w:rPr>
                          <m:t>100</m:t>
                        </m:r>
                      </m:num>
                      <m:den>
                        <m:d>
                          <m:dPr>
                            <m:ctrlPr>
                              <w:rPr>
                                <w:rFonts w:ascii="Cambria Math" w:hAnsi="Cambria Math"/>
                                <w:i/>
                              </w:rPr>
                            </m:ctrlPr>
                          </m:dPr>
                          <m:e>
                            <m:r>
                              <w:rPr>
                                <w:rFonts w:ascii="Cambria Math" w:hAnsi="Cambria Math"/>
                              </w:rPr>
                              <m:t>100</m:t>
                            </m:r>
                            <m:r>
                              <w:rPr>
                                <w:rFonts w:ascii="Cambria Math" w:eastAsiaTheme="minorEastAsia" w:hAnsi="Cambria Math"/>
                              </w:rPr>
                              <m:t>-RA</m:t>
                            </m:r>
                          </m:e>
                        </m:d>
                      </m:den>
                    </m:f>
                  </m:e>
                </m:d>
              </m:oMath>
            </m:oMathPara>
          </w:p>
        </w:tc>
        <w:tc>
          <w:tcPr>
            <w:tcW w:w="708" w:type="dxa"/>
            <w:vAlign w:val="center"/>
          </w:tcPr>
          <w:p w14:paraId="0BDA293E" w14:textId="77777777" w:rsidR="0081331C" w:rsidRPr="00BC31E0" w:rsidRDefault="0081331C" w:rsidP="00E20930">
            <w:pPr>
              <w:jc w:val="center"/>
            </w:pPr>
            <w:r w:rsidRPr="00BC31E0">
              <w:t>2.2</w:t>
            </w:r>
          </w:p>
        </w:tc>
      </w:tr>
      <w:tr w:rsidR="0081331C" w:rsidRPr="00BC31E0" w14:paraId="7BBDDBD5" w14:textId="77777777" w:rsidTr="00E20930">
        <w:trPr>
          <w:trHeight w:val="680"/>
        </w:trPr>
        <w:tc>
          <w:tcPr>
            <w:tcW w:w="1843" w:type="dxa"/>
            <w:vAlign w:val="center"/>
          </w:tcPr>
          <w:p w14:paraId="2CFC7546" w14:textId="77777777" w:rsidR="0081331C" w:rsidRPr="00BC31E0" w:rsidRDefault="0081331C" w:rsidP="00E20930">
            <w:pPr>
              <w:snapToGrid w:val="0"/>
            </w:pPr>
            <w:r w:rsidRPr="00BC31E0">
              <w:rPr>
                <w:rFonts w:hint="eastAsia"/>
              </w:rPr>
              <w:t>析出硬化</w:t>
            </w:r>
            <w:r w:rsidR="00C41FA9" w:rsidRPr="00BC31E0">
              <w:rPr>
                <w:rFonts w:hint="eastAsia"/>
              </w:rPr>
              <w:t>型</w:t>
            </w:r>
          </w:p>
          <w:p w14:paraId="6C2BD379" w14:textId="77777777" w:rsidR="00C41FA9" w:rsidRPr="00BC31E0" w:rsidRDefault="00C41FA9" w:rsidP="00E20930">
            <w:pPr>
              <w:snapToGrid w:val="0"/>
            </w:pPr>
            <w:r w:rsidRPr="00BC31E0">
              <w:rPr>
                <w:rFonts w:hint="eastAsia"/>
              </w:rPr>
              <w:t>ニッケル</w:t>
            </w:r>
            <w:r w:rsidR="00146D8D" w:rsidRPr="00BC31E0">
              <w:rPr>
                <w:rFonts w:hint="eastAsia"/>
              </w:rPr>
              <w:t>基</w:t>
            </w:r>
            <w:r w:rsidRPr="00BC31E0">
              <w:rPr>
                <w:rFonts w:hint="eastAsia"/>
              </w:rPr>
              <w:t>合金</w:t>
            </w:r>
          </w:p>
        </w:tc>
        <w:tc>
          <w:tcPr>
            <w:tcW w:w="709" w:type="dxa"/>
            <w:vAlign w:val="center"/>
          </w:tcPr>
          <w:p w14:paraId="685CA903" w14:textId="77777777" w:rsidR="0081331C" w:rsidRPr="00BC31E0" w:rsidRDefault="0081331C" w:rsidP="00E20930">
            <w:pPr>
              <w:jc w:val="center"/>
            </w:pPr>
            <w:r w:rsidRPr="00BC31E0">
              <w:t>540</w:t>
            </w:r>
          </w:p>
        </w:tc>
        <w:tc>
          <w:tcPr>
            <w:tcW w:w="1559" w:type="dxa"/>
            <w:vAlign w:val="center"/>
          </w:tcPr>
          <w:p w14:paraId="45CCD332" w14:textId="77777777" w:rsidR="0081331C" w:rsidRPr="00BC31E0" w:rsidRDefault="0081331C" w:rsidP="00E20930">
            <w:pPr>
              <w:jc w:val="center"/>
              <w:rPr>
                <w:i/>
              </w:rPr>
            </w:pPr>
            <m:oMathPara>
              <m:oMath>
                <m:r>
                  <w:rPr>
                    <w:rFonts w:ascii="Cambria Math" w:hAnsi="Cambria Math"/>
                  </w:rPr>
                  <m:t>1.09 (0.93</m:t>
                </m:r>
                <m:r>
                  <w:rPr>
                    <w:rFonts w:ascii="Cambria Math" w:eastAsiaTheme="minorEastAsia" w:hAnsi="Cambria Math"/>
                  </w:rPr>
                  <m:t>-R</m:t>
                </m:r>
                <m:r>
                  <w:rPr>
                    <w:rFonts w:ascii="Cambria Math" w:hAnsi="Cambria Math"/>
                  </w:rPr>
                  <m:t>)</m:t>
                </m:r>
              </m:oMath>
            </m:oMathPara>
          </w:p>
        </w:tc>
        <w:tc>
          <w:tcPr>
            <w:tcW w:w="2126" w:type="dxa"/>
            <w:vAlign w:val="center"/>
          </w:tcPr>
          <w:p w14:paraId="5DCF0FB6" w14:textId="77777777" w:rsidR="0081331C" w:rsidRPr="00BC31E0" w:rsidRDefault="0081331C" w:rsidP="00E20930">
            <w:pPr>
              <w:jc w:val="center"/>
              <w:rPr>
                <w:sz w:val="22"/>
                <w:szCs w:val="22"/>
              </w:rPr>
            </w:pPr>
            <m:oMathPara>
              <m:oMath>
                <m:r>
                  <m:rPr>
                    <m:sty m:val="bi"/>
                  </m:rPr>
                  <w:rPr>
                    <w:rFonts w:ascii="Cambria Math" w:hAnsi="Cambria Math"/>
                  </w:rPr>
                  <m:t>ln</m:t>
                </m:r>
                <m:d>
                  <m:dPr>
                    <m:begChr m:val="{"/>
                    <m:endChr m:val="}"/>
                    <m:ctrlPr>
                      <w:rPr>
                        <w:rFonts w:ascii="Cambria Math" w:hAnsi="Cambria Math"/>
                        <w:i/>
                      </w:rPr>
                    </m:ctrlPr>
                  </m:dPr>
                  <m:e>
                    <m:r>
                      <w:rPr>
                        <w:rFonts w:ascii="Cambria Math" w:hAnsi="Cambria Math"/>
                      </w:rPr>
                      <m:t>1</m:t>
                    </m:r>
                    <m:r>
                      <w:rPr>
                        <w:rFonts w:ascii="Cambria Math" w:eastAsiaTheme="minorEastAsia" w:hAnsi="Cambria Math"/>
                      </w:rPr>
                      <m:t>+</m:t>
                    </m:r>
                    <m:d>
                      <m:dPr>
                        <m:ctrlPr>
                          <w:rPr>
                            <w:rFonts w:ascii="Cambria Math" w:hAnsi="Cambria Math"/>
                            <w:i/>
                          </w:rPr>
                        </m:ctrlPr>
                      </m:dPr>
                      <m:e>
                        <m:f>
                          <m:fPr>
                            <m:type m:val="lin"/>
                            <m:ctrlPr>
                              <w:rPr>
                                <w:rFonts w:ascii="Cambria Math" w:hAnsi="Cambria Math"/>
                                <w:i/>
                              </w:rPr>
                            </m:ctrlPr>
                          </m:fPr>
                          <m:num>
                            <m:r>
                              <w:rPr>
                                <w:rFonts w:ascii="Cambria Math" w:hAnsi="Cambria Math"/>
                              </w:rPr>
                              <m:t>El</m:t>
                            </m:r>
                          </m:num>
                          <m:den>
                            <m:r>
                              <w:rPr>
                                <w:rFonts w:ascii="Cambria Math" w:hAnsi="Cambria Math"/>
                              </w:rPr>
                              <m:t>100</m:t>
                            </m:r>
                          </m:den>
                        </m:f>
                      </m:e>
                    </m:d>
                  </m:e>
                </m:d>
              </m:oMath>
            </m:oMathPara>
          </w:p>
        </w:tc>
        <w:tc>
          <w:tcPr>
            <w:tcW w:w="2127" w:type="dxa"/>
            <w:vAlign w:val="center"/>
          </w:tcPr>
          <w:p w14:paraId="6B9A9E31" w14:textId="77777777" w:rsidR="0081331C" w:rsidRPr="00BC31E0" w:rsidRDefault="0081331C" w:rsidP="00E20930">
            <w:pPr>
              <w:jc w:val="center"/>
              <w:rPr>
                <w:sz w:val="22"/>
                <w:szCs w:val="22"/>
              </w:rPr>
            </w:pPr>
            <m:oMathPara>
              <m:oMath>
                <m:r>
                  <m:rPr>
                    <m:sty m:val="bi"/>
                  </m:rPr>
                  <w:rPr>
                    <w:rFonts w:ascii="Cambria Math" w:hAnsi="Cambria Math"/>
                  </w:rPr>
                  <m:t>ln</m:t>
                </m:r>
                <m:d>
                  <m:dPr>
                    <m:begChr m:val="{"/>
                    <m:endChr m:val="}"/>
                    <m:ctrlPr>
                      <w:rPr>
                        <w:rFonts w:ascii="Cambria Math" w:hAnsi="Cambria Math"/>
                        <w:i/>
                      </w:rPr>
                    </m:ctrlPr>
                  </m:dPr>
                  <m:e>
                    <m:f>
                      <m:fPr>
                        <m:type m:val="lin"/>
                        <m:ctrlPr>
                          <w:rPr>
                            <w:rFonts w:ascii="Cambria Math" w:hAnsi="Cambria Math"/>
                            <w:i/>
                          </w:rPr>
                        </m:ctrlPr>
                      </m:fPr>
                      <m:num>
                        <m:r>
                          <w:rPr>
                            <w:rFonts w:ascii="Cambria Math" w:hAnsi="Cambria Math"/>
                          </w:rPr>
                          <m:t>100</m:t>
                        </m:r>
                      </m:num>
                      <m:den>
                        <m:d>
                          <m:dPr>
                            <m:ctrlPr>
                              <w:rPr>
                                <w:rFonts w:ascii="Cambria Math" w:hAnsi="Cambria Math"/>
                                <w:i/>
                              </w:rPr>
                            </m:ctrlPr>
                          </m:dPr>
                          <m:e>
                            <m:r>
                              <w:rPr>
                                <w:rFonts w:ascii="Cambria Math" w:hAnsi="Cambria Math"/>
                              </w:rPr>
                              <m:t>100</m:t>
                            </m:r>
                            <m:r>
                              <w:rPr>
                                <w:rFonts w:ascii="Cambria Math" w:eastAsiaTheme="minorEastAsia" w:hAnsi="Cambria Math"/>
                              </w:rPr>
                              <m:t>-RA</m:t>
                            </m:r>
                          </m:e>
                        </m:d>
                      </m:den>
                    </m:f>
                  </m:e>
                </m:d>
              </m:oMath>
            </m:oMathPara>
          </w:p>
        </w:tc>
        <w:tc>
          <w:tcPr>
            <w:tcW w:w="708" w:type="dxa"/>
            <w:vAlign w:val="center"/>
          </w:tcPr>
          <w:p w14:paraId="25B3BF47" w14:textId="77777777" w:rsidR="0081331C" w:rsidRPr="00BC31E0" w:rsidRDefault="0081331C" w:rsidP="00E20930">
            <w:pPr>
              <w:jc w:val="center"/>
            </w:pPr>
            <w:r w:rsidRPr="00BC31E0">
              <w:t>2.2</w:t>
            </w:r>
          </w:p>
        </w:tc>
      </w:tr>
      <w:tr w:rsidR="0081331C" w:rsidRPr="00BC31E0" w14:paraId="2C295BBA" w14:textId="77777777" w:rsidTr="00E20930">
        <w:trPr>
          <w:trHeight w:val="567"/>
        </w:trPr>
        <w:tc>
          <w:tcPr>
            <w:tcW w:w="1843" w:type="dxa"/>
            <w:vAlign w:val="center"/>
          </w:tcPr>
          <w:p w14:paraId="3DA780CD" w14:textId="77777777" w:rsidR="0081331C" w:rsidRPr="00BC31E0" w:rsidRDefault="0081331C" w:rsidP="00E20930">
            <w:pPr>
              <w:rPr>
                <w:szCs w:val="20"/>
              </w:rPr>
            </w:pPr>
            <w:r w:rsidRPr="00BC31E0">
              <w:rPr>
                <w:rFonts w:hint="eastAsia"/>
                <w:szCs w:val="20"/>
              </w:rPr>
              <w:t>アルミニウム合金</w:t>
            </w:r>
          </w:p>
        </w:tc>
        <w:tc>
          <w:tcPr>
            <w:tcW w:w="709" w:type="dxa"/>
            <w:vAlign w:val="center"/>
          </w:tcPr>
          <w:p w14:paraId="5E050D37" w14:textId="77777777" w:rsidR="0081331C" w:rsidRPr="00BC31E0" w:rsidRDefault="0081331C" w:rsidP="00E20930">
            <w:pPr>
              <w:jc w:val="center"/>
            </w:pPr>
            <w:r w:rsidRPr="00BC31E0">
              <w:t>120</w:t>
            </w:r>
          </w:p>
        </w:tc>
        <w:tc>
          <w:tcPr>
            <w:tcW w:w="1559" w:type="dxa"/>
            <w:vAlign w:val="center"/>
          </w:tcPr>
          <w:p w14:paraId="02D8E188" w14:textId="77777777" w:rsidR="0081331C" w:rsidRPr="00BC31E0" w:rsidRDefault="0081331C" w:rsidP="00E20930">
            <w:pPr>
              <w:jc w:val="center"/>
              <w:rPr>
                <w:i/>
              </w:rPr>
            </w:pPr>
            <m:oMathPara>
              <m:oMath>
                <m:r>
                  <w:rPr>
                    <w:rFonts w:ascii="Cambria Math" w:hAnsi="Cambria Math"/>
                  </w:rPr>
                  <m:t>0.52 (0.98</m:t>
                </m:r>
                <m:r>
                  <w:rPr>
                    <w:rFonts w:ascii="Cambria Math" w:eastAsiaTheme="minorEastAsia" w:hAnsi="Cambria Math"/>
                  </w:rPr>
                  <m:t>-R</m:t>
                </m:r>
                <m:r>
                  <w:rPr>
                    <w:rFonts w:ascii="Cambria Math" w:hAnsi="Cambria Math"/>
                  </w:rPr>
                  <m:t>)</m:t>
                </m:r>
              </m:oMath>
            </m:oMathPara>
          </w:p>
        </w:tc>
        <w:tc>
          <w:tcPr>
            <w:tcW w:w="2126" w:type="dxa"/>
            <w:vAlign w:val="center"/>
          </w:tcPr>
          <w:p w14:paraId="5550DD1F" w14:textId="77777777" w:rsidR="0081331C" w:rsidRPr="00BC31E0" w:rsidRDefault="0081331C" w:rsidP="00E20930">
            <w:pPr>
              <w:jc w:val="center"/>
              <w:rPr>
                <w:sz w:val="22"/>
                <w:szCs w:val="22"/>
              </w:rPr>
            </w:pPr>
            <m:oMathPara>
              <m:oMath>
                <m:r>
                  <w:rPr>
                    <w:rFonts w:ascii="Cambria Math" w:hAnsi="Cambria Math"/>
                  </w:rPr>
                  <m:t xml:space="preserve">1.3 </m:t>
                </m:r>
                <m:r>
                  <m:rPr>
                    <m:sty m:val="bi"/>
                  </m:rPr>
                  <w:rPr>
                    <w:rFonts w:ascii="Cambria Math" w:hAnsi="Cambria Math"/>
                  </w:rPr>
                  <m:t>ln</m:t>
                </m:r>
                <m:d>
                  <m:dPr>
                    <m:begChr m:val="{"/>
                    <m:endChr m:val="}"/>
                    <m:ctrlPr>
                      <w:rPr>
                        <w:rFonts w:ascii="Cambria Math" w:hAnsi="Cambria Math"/>
                        <w:i/>
                      </w:rPr>
                    </m:ctrlPr>
                  </m:dPr>
                  <m:e>
                    <m:r>
                      <w:rPr>
                        <w:rFonts w:ascii="Cambria Math" w:hAnsi="Cambria Math"/>
                      </w:rPr>
                      <m:t>1</m:t>
                    </m:r>
                    <m:r>
                      <w:rPr>
                        <w:rFonts w:ascii="Cambria Math" w:eastAsiaTheme="minorEastAsia" w:hAnsi="Cambria Math"/>
                      </w:rPr>
                      <m:t>+</m:t>
                    </m:r>
                    <m:d>
                      <m:dPr>
                        <m:ctrlPr>
                          <w:rPr>
                            <w:rFonts w:ascii="Cambria Math" w:hAnsi="Cambria Math"/>
                            <w:i/>
                          </w:rPr>
                        </m:ctrlPr>
                      </m:dPr>
                      <m:e>
                        <m:f>
                          <m:fPr>
                            <m:type m:val="lin"/>
                            <m:ctrlPr>
                              <w:rPr>
                                <w:rFonts w:ascii="Cambria Math" w:hAnsi="Cambria Math"/>
                                <w:i/>
                              </w:rPr>
                            </m:ctrlPr>
                          </m:fPr>
                          <m:num>
                            <m:r>
                              <w:rPr>
                                <w:rFonts w:ascii="Cambria Math" w:hAnsi="Cambria Math"/>
                              </w:rPr>
                              <m:t>El</m:t>
                            </m:r>
                          </m:num>
                          <m:den>
                            <m:r>
                              <w:rPr>
                                <w:rFonts w:ascii="Cambria Math" w:hAnsi="Cambria Math"/>
                              </w:rPr>
                              <m:t>100</m:t>
                            </m:r>
                          </m:den>
                        </m:f>
                      </m:e>
                    </m:d>
                  </m:e>
                </m:d>
              </m:oMath>
            </m:oMathPara>
          </w:p>
        </w:tc>
        <w:tc>
          <w:tcPr>
            <w:tcW w:w="2127" w:type="dxa"/>
            <w:vAlign w:val="center"/>
          </w:tcPr>
          <w:p w14:paraId="1A3FC961" w14:textId="77777777" w:rsidR="0081331C" w:rsidRPr="00BC31E0" w:rsidRDefault="0081331C" w:rsidP="00E20930">
            <w:pPr>
              <w:jc w:val="center"/>
              <w:rPr>
                <w:sz w:val="22"/>
                <w:szCs w:val="22"/>
              </w:rPr>
            </w:pPr>
            <m:oMathPara>
              <m:oMath>
                <m:r>
                  <m:rPr>
                    <m:sty m:val="bi"/>
                  </m:rPr>
                  <w:rPr>
                    <w:rFonts w:ascii="Cambria Math" w:hAnsi="Cambria Math"/>
                  </w:rPr>
                  <m:t>ln</m:t>
                </m:r>
                <m:d>
                  <m:dPr>
                    <m:begChr m:val="{"/>
                    <m:endChr m:val="}"/>
                    <m:ctrlPr>
                      <w:rPr>
                        <w:rFonts w:ascii="Cambria Math" w:hAnsi="Cambria Math"/>
                        <w:i/>
                      </w:rPr>
                    </m:ctrlPr>
                  </m:dPr>
                  <m:e>
                    <m:f>
                      <m:fPr>
                        <m:type m:val="lin"/>
                        <m:ctrlPr>
                          <w:rPr>
                            <w:rFonts w:ascii="Cambria Math" w:hAnsi="Cambria Math"/>
                            <w:i/>
                          </w:rPr>
                        </m:ctrlPr>
                      </m:fPr>
                      <m:num>
                        <m:r>
                          <w:rPr>
                            <w:rFonts w:ascii="Cambria Math" w:hAnsi="Cambria Math"/>
                          </w:rPr>
                          <m:t>100</m:t>
                        </m:r>
                      </m:num>
                      <m:den>
                        <m:d>
                          <m:dPr>
                            <m:ctrlPr>
                              <w:rPr>
                                <w:rFonts w:ascii="Cambria Math" w:hAnsi="Cambria Math"/>
                                <w:i/>
                              </w:rPr>
                            </m:ctrlPr>
                          </m:dPr>
                          <m:e>
                            <m:r>
                              <w:rPr>
                                <w:rFonts w:ascii="Cambria Math" w:hAnsi="Cambria Math"/>
                              </w:rPr>
                              <m:t>100</m:t>
                            </m:r>
                            <m:r>
                              <w:rPr>
                                <w:rFonts w:ascii="Cambria Math" w:eastAsiaTheme="minorEastAsia" w:hAnsi="Cambria Math"/>
                              </w:rPr>
                              <m:t>-RA</m:t>
                            </m:r>
                          </m:e>
                        </m:d>
                      </m:den>
                    </m:f>
                  </m:e>
                </m:d>
              </m:oMath>
            </m:oMathPara>
          </w:p>
        </w:tc>
        <w:tc>
          <w:tcPr>
            <w:tcW w:w="708" w:type="dxa"/>
            <w:vAlign w:val="center"/>
          </w:tcPr>
          <w:p w14:paraId="1C1D53ED" w14:textId="77777777" w:rsidR="0081331C" w:rsidRPr="00BC31E0" w:rsidRDefault="0081331C" w:rsidP="00E20930">
            <w:pPr>
              <w:jc w:val="center"/>
            </w:pPr>
            <w:r w:rsidRPr="00BC31E0">
              <w:t>2.2</w:t>
            </w:r>
          </w:p>
        </w:tc>
      </w:tr>
      <w:tr w:rsidR="0081331C" w:rsidRPr="00BC31E0" w14:paraId="6DB0A175" w14:textId="77777777" w:rsidTr="00E20930">
        <w:trPr>
          <w:trHeight w:val="567"/>
        </w:trPr>
        <w:tc>
          <w:tcPr>
            <w:tcW w:w="1843" w:type="dxa"/>
            <w:vAlign w:val="center"/>
          </w:tcPr>
          <w:p w14:paraId="49B0C3FD" w14:textId="77777777" w:rsidR="0081331C" w:rsidRPr="00BC31E0" w:rsidRDefault="0081331C" w:rsidP="00E20930">
            <w:pPr>
              <w:rPr>
                <w:szCs w:val="20"/>
              </w:rPr>
            </w:pPr>
            <w:r w:rsidRPr="00BC31E0">
              <w:rPr>
                <w:rFonts w:hint="eastAsia"/>
                <w:szCs w:val="20"/>
              </w:rPr>
              <w:t>銅合金</w:t>
            </w:r>
          </w:p>
        </w:tc>
        <w:tc>
          <w:tcPr>
            <w:tcW w:w="709" w:type="dxa"/>
            <w:vAlign w:val="center"/>
          </w:tcPr>
          <w:p w14:paraId="1D5B9D73" w14:textId="77777777" w:rsidR="0081331C" w:rsidRPr="00BC31E0" w:rsidRDefault="0081331C" w:rsidP="00E20930">
            <w:pPr>
              <w:jc w:val="center"/>
            </w:pPr>
            <w:r w:rsidRPr="00BC31E0">
              <w:t>65</w:t>
            </w:r>
          </w:p>
        </w:tc>
        <w:tc>
          <w:tcPr>
            <w:tcW w:w="1559" w:type="dxa"/>
            <w:vAlign w:val="center"/>
          </w:tcPr>
          <w:p w14:paraId="5EB404C4" w14:textId="77777777" w:rsidR="0081331C" w:rsidRPr="00BC31E0" w:rsidRDefault="0081331C" w:rsidP="00E20930">
            <w:pPr>
              <w:jc w:val="center"/>
              <w:rPr>
                <w:i/>
              </w:rPr>
            </w:pPr>
            <m:oMathPara>
              <m:oMath>
                <m:r>
                  <w:rPr>
                    <w:rFonts w:ascii="Cambria Math" w:hAnsi="Cambria Math"/>
                  </w:rPr>
                  <m:t>0.50 (1.00</m:t>
                </m:r>
                <m:r>
                  <w:rPr>
                    <w:rFonts w:ascii="Cambria Math" w:eastAsiaTheme="minorEastAsia" w:hAnsi="Cambria Math"/>
                  </w:rPr>
                  <m:t>-R</m:t>
                </m:r>
                <m:r>
                  <w:rPr>
                    <w:rFonts w:ascii="Cambria Math" w:hAnsi="Cambria Math"/>
                  </w:rPr>
                  <m:t>)</m:t>
                </m:r>
              </m:oMath>
            </m:oMathPara>
          </w:p>
        </w:tc>
        <w:tc>
          <w:tcPr>
            <w:tcW w:w="2126" w:type="dxa"/>
            <w:vAlign w:val="center"/>
          </w:tcPr>
          <w:p w14:paraId="3B27B1B0" w14:textId="77777777" w:rsidR="0081331C" w:rsidRPr="00BC31E0" w:rsidRDefault="0081331C" w:rsidP="00E20930">
            <w:pPr>
              <w:rPr>
                <w:sz w:val="22"/>
                <w:szCs w:val="22"/>
              </w:rPr>
            </w:pPr>
            <m:oMathPara>
              <m:oMath>
                <m:r>
                  <w:rPr>
                    <w:rFonts w:ascii="Cambria Math" w:hAnsi="Cambria Math"/>
                  </w:rPr>
                  <m:t xml:space="preserve">2 </m:t>
                </m:r>
                <m:r>
                  <m:rPr>
                    <m:sty m:val="bi"/>
                  </m:rPr>
                  <w:rPr>
                    <w:rFonts w:ascii="Cambria Math" w:hAnsi="Cambria Math"/>
                  </w:rPr>
                  <m:t>ln</m:t>
                </m:r>
                <m:d>
                  <m:dPr>
                    <m:begChr m:val="{"/>
                    <m:endChr m:val="}"/>
                    <m:ctrlPr>
                      <w:rPr>
                        <w:rFonts w:ascii="Cambria Math" w:hAnsi="Cambria Math"/>
                        <w:i/>
                      </w:rPr>
                    </m:ctrlPr>
                  </m:dPr>
                  <m:e>
                    <m:r>
                      <w:rPr>
                        <w:rFonts w:ascii="Cambria Math" w:hAnsi="Cambria Math"/>
                      </w:rPr>
                      <m:t>1</m:t>
                    </m:r>
                    <m:r>
                      <w:rPr>
                        <w:rFonts w:ascii="Cambria Math" w:eastAsiaTheme="minorEastAsia" w:hAnsi="Cambria Math"/>
                      </w:rPr>
                      <m:t>+</m:t>
                    </m:r>
                    <m:d>
                      <m:dPr>
                        <m:ctrlPr>
                          <w:rPr>
                            <w:rFonts w:ascii="Cambria Math" w:hAnsi="Cambria Math"/>
                            <w:i/>
                          </w:rPr>
                        </m:ctrlPr>
                      </m:dPr>
                      <m:e>
                        <m:f>
                          <m:fPr>
                            <m:type m:val="lin"/>
                            <m:ctrlPr>
                              <w:rPr>
                                <w:rFonts w:ascii="Cambria Math" w:hAnsi="Cambria Math"/>
                                <w:i/>
                              </w:rPr>
                            </m:ctrlPr>
                          </m:fPr>
                          <m:num>
                            <m:r>
                              <w:rPr>
                                <w:rFonts w:ascii="Cambria Math" w:hAnsi="Cambria Math"/>
                              </w:rPr>
                              <m:t>El</m:t>
                            </m:r>
                          </m:num>
                          <m:den>
                            <m:r>
                              <w:rPr>
                                <w:rFonts w:ascii="Cambria Math" w:hAnsi="Cambria Math"/>
                              </w:rPr>
                              <m:t>100</m:t>
                            </m:r>
                          </m:den>
                        </m:f>
                      </m:e>
                    </m:d>
                  </m:e>
                </m:d>
              </m:oMath>
            </m:oMathPara>
          </w:p>
        </w:tc>
        <w:tc>
          <w:tcPr>
            <w:tcW w:w="2127" w:type="dxa"/>
            <w:vAlign w:val="center"/>
          </w:tcPr>
          <w:p w14:paraId="7CD888A5" w14:textId="77777777" w:rsidR="0081331C" w:rsidRPr="00BC31E0" w:rsidRDefault="0081331C" w:rsidP="00E20930">
            <w:pPr>
              <w:jc w:val="center"/>
              <w:rPr>
                <w:sz w:val="22"/>
                <w:szCs w:val="22"/>
              </w:rPr>
            </w:pPr>
            <m:oMathPara>
              <m:oMath>
                <m:r>
                  <m:rPr>
                    <m:sty m:val="bi"/>
                  </m:rPr>
                  <w:rPr>
                    <w:rFonts w:ascii="Cambria Math" w:hAnsi="Cambria Math"/>
                  </w:rPr>
                  <m:t>ln</m:t>
                </m:r>
                <m:d>
                  <m:dPr>
                    <m:begChr m:val="{"/>
                    <m:endChr m:val="}"/>
                    <m:ctrlPr>
                      <w:rPr>
                        <w:rFonts w:ascii="Cambria Math" w:hAnsi="Cambria Math"/>
                        <w:i/>
                      </w:rPr>
                    </m:ctrlPr>
                  </m:dPr>
                  <m:e>
                    <m:f>
                      <m:fPr>
                        <m:type m:val="lin"/>
                        <m:ctrlPr>
                          <w:rPr>
                            <w:rFonts w:ascii="Cambria Math" w:hAnsi="Cambria Math"/>
                            <w:i/>
                          </w:rPr>
                        </m:ctrlPr>
                      </m:fPr>
                      <m:num>
                        <m:r>
                          <w:rPr>
                            <w:rFonts w:ascii="Cambria Math" w:hAnsi="Cambria Math"/>
                          </w:rPr>
                          <m:t>100</m:t>
                        </m:r>
                      </m:num>
                      <m:den>
                        <m:d>
                          <m:dPr>
                            <m:ctrlPr>
                              <w:rPr>
                                <w:rFonts w:ascii="Cambria Math" w:hAnsi="Cambria Math"/>
                                <w:i/>
                              </w:rPr>
                            </m:ctrlPr>
                          </m:dPr>
                          <m:e>
                            <m:r>
                              <w:rPr>
                                <w:rFonts w:ascii="Cambria Math" w:hAnsi="Cambria Math"/>
                              </w:rPr>
                              <m:t>100</m:t>
                            </m:r>
                            <m:r>
                              <w:rPr>
                                <w:rFonts w:ascii="Cambria Math" w:eastAsiaTheme="minorEastAsia" w:hAnsi="Cambria Math"/>
                              </w:rPr>
                              <m:t>-RA</m:t>
                            </m:r>
                          </m:e>
                        </m:d>
                      </m:den>
                    </m:f>
                  </m:e>
                </m:d>
              </m:oMath>
            </m:oMathPara>
          </w:p>
        </w:tc>
        <w:tc>
          <w:tcPr>
            <w:tcW w:w="708" w:type="dxa"/>
            <w:vAlign w:val="center"/>
          </w:tcPr>
          <w:p w14:paraId="19FF2EBC" w14:textId="77777777" w:rsidR="0081331C" w:rsidRPr="00BC31E0" w:rsidRDefault="0081331C" w:rsidP="00E20930">
            <w:pPr>
              <w:jc w:val="center"/>
            </w:pPr>
            <w:r w:rsidRPr="00BC31E0">
              <w:t>2.2</w:t>
            </w:r>
          </w:p>
        </w:tc>
      </w:tr>
      <w:tr w:rsidR="0081331C" w:rsidRPr="00BC31E0" w14:paraId="43138EB8" w14:textId="77777777" w:rsidTr="00E20930">
        <w:trPr>
          <w:trHeight w:val="567"/>
        </w:trPr>
        <w:tc>
          <w:tcPr>
            <w:tcW w:w="1843" w:type="dxa"/>
            <w:vAlign w:val="center"/>
          </w:tcPr>
          <w:p w14:paraId="2C2F0A6E" w14:textId="77777777" w:rsidR="0081331C" w:rsidRPr="00BC31E0" w:rsidRDefault="0081331C" w:rsidP="00E20930">
            <w:pPr>
              <w:rPr>
                <w:szCs w:val="20"/>
              </w:rPr>
            </w:pPr>
            <w:r w:rsidRPr="00BC31E0">
              <w:rPr>
                <w:rFonts w:hint="eastAsia"/>
                <w:szCs w:val="20"/>
              </w:rPr>
              <w:t>チタン合金</w:t>
            </w:r>
          </w:p>
          <w:p w14:paraId="23AFDA6E" w14:textId="77777777" w:rsidR="0081331C" w:rsidRPr="00BC31E0" w:rsidRDefault="0081331C" w:rsidP="00E20930">
            <w:pPr>
              <w:rPr>
                <w:szCs w:val="20"/>
              </w:rPr>
            </w:pPr>
            <w:r w:rsidRPr="00BC31E0">
              <w:rPr>
                <w:rFonts w:hint="eastAsia"/>
                <w:szCs w:val="20"/>
              </w:rPr>
              <w:t>ジルコニウム合金</w:t>
            </w:r>
          </w:p>
        </w:tc>
        <w:tc>
          <w:tcPr>
            <w:tcW w:w="709" w:type="dxa"/>
            <w:vAlign w:val="center"/>
          </w:tcPr>
          <w:p w14:paraId="2C5B77D7" w14:textId="77777777" w:rsidR="0081331C" w:rsidRPr="00BC31E0" w:rsidRDefault="0081331C" w:rsidP="00E20930">
            <w:pPr>
              <w:jc w:val="center"/>
            </w:pPr>
            <w:r w:rsidRPr="00BC31E0">
              <w:t>260</w:t>
            </w:r>
          </w:p>
        </w:tc>
        <w:tc>
          <w:tcPr>
            <w:tcW w:w="1559" w:type="dxa"/>
            <w:vAlign w:val="center"/>
          </w:tcPr>
          <w:p w14:paraId="4C1150B1" w14:textId="77777777" w:rsidR="0081331C" w:rsidRPr="00BC31E0" w:rsidRDefault="0081331C" w:rsidP="00E20930">
            <w:pPr>
              <w:jc w:val="center"/>
              <w:rPr>
                <w:i/>
              </w:rPr>
            </w:pPr>
            <m:oMathPara>
              <m:oMath>
                <m:r>
                  <w:rPr>
                    <w:rFonts w:ascii="Cambria Math" w:hAnsi="Cambria Math"/>
                  </w:rPr>
                  <m:t>0.50 (0.98</m:t>
                </m:r>
                <m:r>
                  <w:rPr>
                    <w:rFonts w:ascii="Cambria Math" w:eastAsiaTheme="minorEastAsia" w:hAnsi="Cambria Math"/>
                  </w:rPr>
                  <m:t>-R</m:t>
                </m:r>
                <m:r>
                  <w:rPr>
                    <w:rFonts w:ascii="Cambria Math" w:hAnsi="Cambria Math"/>
                  </w:rPr>
                  <m:t>)</m:t>
                </m:r>
              </m:oMath>
            </m:oMathPara>
          </w:p>
        </w:tc>
        <w:tc>
          <w:tcPr>
            <w:tcW w:w="2126" w:type="dxa"/>
            <w:vAlign w:val="center"/>
          </w:tcPr>
          <w:p w14:paraId="4F516B1E" w14:textId="77777777" w:rsidR="0081331C" w:rsidRPr="00BC31E0" w:rsidRDefault="0081331C" w:rsidP="00E20930">
            <w:pPr>
              <w:jc w:val="center"/>
              <w:rPr>
                <w:sz w:val="22"/>
                <w:szCs w:val="22"/>
              </w:rPr>
            </w:pPr>
            <m:oMathPara>
              <m:oMath>
                <m:r>
                  <w:rPr>
                    <w:rFonts w:ascii="Cambria Math" w:hAnsi="Cambria Math"/>
                  </w:rPr>
                  <m:t xml:space="preserve">1.3 </m:t>
                </m:r>
                <m:r>
                  <m:rPr>
                    <m:sty m:val="bi"/>
                  </m:rPr>
                  <w:rPr>
                    <w:rFonts w:ascii="Cambria Math" w:hAnsi="Cambria Math"/>
                  </w:rPr>
                  <m:t>ln</m:t>
                </m:r>
                <m:d>
                  <m:dPr>
                    <m:begChr m:val="{"/>
                    <m:endChr m:val="}"/>
                    <m:ctrlPr>
                      <w:rPr>
                        <w:rFonts w:ascii="Cambria Math" w:hAnsi="Cambria Math"/>
                        <w:i/>
                      </w:rPr>
                    </m:ctrlPr>
                  </m:dPr>
                  <m:e>
                    <m:r>
                      <w:rPr>
                        <w:rFonts w:ascii="Cambria Math" w:hAnsi="Cambria Math"/>
                      </w:rPr>
                      <m:t>1</m:t>
                    </m:r>
                    <m:r>
                      <w:rPr>
                        <w:rFonts w:ascii="Cambria Math" w:eastAsiaTheme="minorEastAsia" w:hAnsi="Cambria Math"/>
                      </w:rPr>
                      <m:t>+</m:t>
                    </m:r>
                    <m:d>
                      <m:dPr>
                        <m:ctrlPr>
                          <w:rPr>
                            <w:rFonts w:ascii="Cambria Math" w:hAnsi="Cambria Math"/>
                            <w:i/>
                          </w:rPr>
                        </m:ctrlPr>
                      </m:dPr>
                      <m:e>
                        <m:f>
                          <m:fPr>
                            <m:type m:val="lin"/>
                            <m:ctrlPr>
                              <w:rPr>
                                <w:rFonts w:ascii="Cambria Math" w:hAnsi="Cambria Math"/>
                                <w:i/>
                              </w:rPr>
                            </m:ctrlPr>
                          </m:fPr>
                          <m:num>
                            <m:r>
                              <w:rPr>
                                <w:rFonts w:ascii="Cambria Math" w:hAnsi="Cambria Math"/>
                              </w:rPr>
                              <m:t>El</m:t>
                            </m:r>
                          </m:num>
                          <m:den>
                            <m:r>
                              <w:rPr>
                                <w:rFonts w:ascii="Cambria Math" w:hAnsi="Cambria Math"/>
                              </w:rPr>
                              <m:t>100</m:t>
                            </m:r>
                          </m:den>
                        </m:f>
                      </m:e>
                    </m:d>
                  </m:e>
                </m:d>
              </m:oMath>
            </m:oMathPara>
          </w:p>
        </w:tc>
        <w:tc>
          <w:tcPr>
            <w:tcW w:w="2127" w:type="dxa"/>
            <w:vAlign w:val="center"/>
          </w:tcPr>
          <w:p w14:paraId="01874F6B" w14:textId="77777777" w:rsidR="0081331C" w:rsidRPr="00BC31E0" w:rsidRDefault="0081331C" w:rsidP="00E20930">
            <w:pPr>
              <w:jc w:val="center"/>
              <w:rPr>
                <w:sz w:val="22"/>
                <w:szCs w:val="22"/>
              </w:rPr>
            </w:pPr>
            <m:oMathPara>
              <m:oMath>
                <m:r>
                  <m:rPr>
                    <m:sty m:val="bi"/>
                  </m:rPr>
                  <w:rPr>
                    <w:rFonts w:ascii="Cambria Math" w:hAnsi="Cambria Math"/>
                  </w:rPr>
                  <m:t>ln</m:t>
                </m:r>
                <m:d>
                  <m:dPr>
                    <m:begChr m:val="{"/>
                    <m:endChr m:val="}"/>
                    <m:ctrlPr>
                      <w:rPr>
                        <w:rFonts w:ascii="Cambria Math" w:hAnsi="Cambria Math"/>
                        <w:i/>
                      </w:rPr>
                    </m:ctrlPr>
                  </m:dPr>
                  <m:e>
                    <m:f>
                      <m:fPr>
                        <m:type m:val="lin"/>
                        <m:ctrlPr>
                          <w:rPr>
                            <w:rFonts w:ascii="Cambria Math" w:hAnsi="Cambria Math"/>
                            <w:i/>
                          </w:rPr>
                        </m:ctrlPr>
                      </m:fPr>
                      <m:num>
                        <m:r>
                          <w:rPr>
                            <w:rFonts w:ascii="Cambria Math" w:hAnsi="Cambria Math"/>
                          </w:rPr>
                          <m:t>100</m:t>
                        </m:r>
                      </m:num>
                      <m:den>
                        <m:d>
                          <m:dPr>
                            <m:ctrlPr>
                              <w:rPr>
                                <w:rFonts w:ascii="Cambria Math" w:hAnsi="Cambria Math"/>
                                <w:i/>
                              </w:rPr>
                            </m:ctrlPr>
                          </m:dPr>
                          <m:e>
                            <m:r>
                              <w:rPr>
                                <w:rFonts w:ascii="Cambria Math" w:hAnsi="Cambria Math"/>
                              </w:rPr>
                              <m:t>100</m:t>
                            </m:r>
                            <m:r>
                              <w:rPr>
                                <w:rFonts w:ascii="Cambria Math" w:eastAsiaTheme="minorEastAsia" w:hAnsi="Cambria Math"/>
                              </w:rPr>
                              <m:t>-RA</m:t>
                            </m:r>
                          </m:e>
                        </m:d>
                      </m:den>
                    </m:f>
                  </m:e>
                </m:d>
              </m:oMath>
            </m:oMathPara>
          </w:p>
        </w:tc>
        <w:tc>
          <w:tcPr>
            <w:tcW w:w="708" w:type="dxa"/>
            <w:vAlign w:val="center"/>
          </w:tcPr>
          <w:p w14:paraId="3EFE7677" w14:textId="77777777" w:rsidR="0081331C" w:rsidRPr="00BC31E0" w:rsidRDefault="0081331C" w:rsidP="00E20930">
            <w:pPr>
              <w:jc w:val="center"/>
            </w:pPr>
            <w:r w:rsidRPr="00BC31E0">
              <w:t>2.2</w:t>
            </w:r>
          </w:p>
        </w:tc>
      </w:tr>
    </w:tbl>
    <w:p w14:paraId="605705D4" w14:textId="77777777" w:rsidR="0081331C" w:rsidRPr="00BC31E0" w:rsidRDefault="0081331C" w:rsidP="0081331C">
      <w:pPr>
        <w:spacing w:before="60"/>
        <w:ind w:left="454" w:hanging="454"/>
      </w:pPr>
      <w:r w:rsidRPr="00BC31E0">
        <w:rPr>
          <w:rFonts w:ascii="ＭＳ ゴシック" w:eastAsia="ＭＳ ゴシック" w:hint="eastAsia"/>
          <w:b/>
        </w:rPr>
        <w:t>注</w:t>
      </w:r>
      <w:r w:rsidRPr="00BC31E0">
        <w:rPr>
          <w:rFonts w:ascii="ＭＳ ゴシック" w:eastAsia="ＭＳ ゴシック" w:hint="eastAsia"/>
          <w:b/>
          <w:vertAlign w:val="superscript"/>
        </w:rPr>
        <w:t xml:space="preserve">a) </w:t>
      </w:r>
      <w:r w:rsidRPr="00BC31E0">
        <w:rPr>
          <w:rFonts w:hint="eastAsia"/>
        </w:rPr>
        <w:t>炭素鋼，低合金鋼，フェライト系ステンレス鋼，マルテンサイト系ステンレス鋼，鉄ベース</w:t>
      </w:r>
      <w:r w:rsidRPr="00BC31E0">
        <w:rPr>
          <w:rFonts w:hint="eastAsia"/>
        </w:rPr>
        <w:t xml:space="preserve">     </w:t>
      </w:r>
      <w:r w:rsidRPr="00BC31E0">
        <w:rPr>
          <w:rFonts w:hint="eastAsia"/>
        </w:rPr>
        <w:t>時効硬化ステンレス鋼を含む。</w:t>
      </w:r>
    </w:p>
    <w:p w14:paraId="05877FD1" w14:textId="77777777" w:rsidR="0081331C" w:rsidRPr="00BC31E0" w:rsidRDefault="0081331C" w:rsidP="0081331C"/>
    <w:p w14:paraId="3A3F3AAF" w14:textId="77777777" w:rsidR="007E70EF" w:rsidRPr="00BC31E0" w:rsidRDefault="007E70EF" w:rsidP="0081331C"/>
    <w:p w14:paraId="26BB2989" w14:textId="77777777" w:rsidR="007E70EF" w:rsidRPr="00BC31E0" w:rsidRDefault="007E70EF" w:rsidP="0081331C"/>
    <w:p w14:paraId="75353E10" w14:textId="77777777" w:rsidR="0081331C" w:rsidRPr="00BC31E0" w:rsidRDefault="0081331C" w:rsidP="0081331C">
      <w:pPr>
        <w:pStyle w:val="af4"/>
        <w:spacing w:after="60"/>
      </w:pPr>
      <w:r w:rsidRPr="00BC31E0">
        <w:rPr>
          <w:rFonts w:hint="eastAsia"/>
        </w:rPr>
        <w:t>表6.2.5  耐圧試験時評価の免除条件</w:t>
      </w:r>
      <w:r w:rsidRPr="00BC31E0">
        <w:rPr>
          <w:rFonts w:hint="eastAsia"/>
          <w:vertAlign w:val="superscript"/>
        </w:rPr>
        <w:t>†</w:t>
      </w:r>
    </w:p>
    <w:tbl>
      <w:tblPr>
        <w:tblW w:w="32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012"/>
        <w:gridCol w:w="3013"/>
      </w:tblGrid>
      <w:tr w:rsidR="0081331C" w:rsidRPr="00BC31E0" w14:paraId="49F9C588" w14:textId="77777777" w:rsidTr="00E20930">
        <w:trPr>
          <w:trHeight w:val="344"/>
          <w:jc w:val="center"/>
        </w:trPr>
        <w:tc>
          <w:tcPr>
            <w:tcW w:w="2500" w:type="pct"/>
            <w:vAlign w:val="center"/>
          </w:tcPr>
          <w:p w14:paraId="169AEF17" w14:textId="77777777" w:rsidR="0081331C" w:rsidRPr="00BC31E0" w:rsidRDefault="00A51873" w:rsidP="00E20930">
            <w:pPr>
              <w:jc w:val="center"/>
              <w:rPr>
                <w:rFonts w:ascii="Cambria Math" w:hAnsi="Cambria Math"/>
              </w:rPr>
            </w:pPr>
            <m:oMath>
              <m:f>
                <m:fPr>
                  <m:type m:val="lin"/>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m:t>
                      </m:r>
                    </m:sub>
                  </m:sSub>
                </m:num>
                <m:den>
                  <m:sSub>
                    <m:sSubPr>
                      <m:ctrlPr>
                        <w:rPr>
                          <w:rFonts w:ascii="Cambria Math" w:hAnsi="Cambria Math"/>
                          <w:i/>
                        </w:rPr>
                      </m:ctrlPr>
                    </m:sSubPr>
                    <m:e>
                      <m:r>
                        <w:rPr>
                          <w:rFonts w:ascii="Cambria Math" w:hAnsi="Cambria Math"/>
                        </w:rPr>
                        <m:t>P</m:t>
                      </m:r>
                    </m:e>
                    <m:sub>
                      <m:r>
                        <w:rPr>
                          <w:rFonts w:ascii="Cambria Math" w:hAnsi="Cambria Math" w:hint="eastAsia"/>
                        </w:rPr>
                        <m:t>dt</m:t>
                      </m:r>
                    </m:sub>
                  </m:sSub>
                </m:den>
              </m:f>
              <m:r>
                <m:rPr>
                  <m:sty m:val="p"/>
                </m:rPr>
                <w:rPr>
                  <w:rFonts w:ascii="Cambria Math" w:hAnsi="Cambria Math"/>
                </w:rPr>
                <m:t xml:space="preserve"> </m:t>
              </m:r>
            </m:oMath>
            <w:r w:rsidR="0081331C" w:rsidRPr="00BC31E0">
              <w:rPr>
                <w:rFonts w:asciiTheme="majorEastAsia" w:eastAsiaTheme="majorEastAsia" w:hAnsiTheme="majorEastAsia" w:hint="eastAsia"/>
                <w:b/>
                <w:vertAlign w:val="superscript"/>
              </w:rPr>
              <w:t>a)</w:t>
            </w:r>
          </w:p>
        </w:tc>
        <w:tc>
          <w:tcPr>
            <w:tcW w:w="2500" w:type="pct"/>
            <w:vAlign w:val="center"/>
          </w:tcPr>
          <w:p w14:paraId="50D301D2" w14:textId="77777777" w:rsidR="0081331C" w:rsidRPr="00BC31E0" w:rsidRDefault="00A51873" w:rsidP="00E20930">
            <w:pPr>
              <w:jc w:val="center"/>
              <w:rPr>
                <w:rFonts w:ascii="Cambria Math" w:hAnsi="Cambria Math"/>
                <w:b/>
              </w:rPr>
            </w:pPr>
            <m:oMathPara>
              <m:oMath>
                <m:f>
                  <m:fPr>
                    <m:type m:val="lin"/>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y</m:t>
                        </m:r>
                      </m:sub>
                    </m:sSub>
                  </m:num>
                  <m:den>
                    <m:sSub>
                      <m:sSubPr>
                        <m:ctrlPr>
                          <w:rPr>
                            <w:rFonts w:ascii="Cambria Math" w:hAnsi="Cambria Math"/>
                            <w:i/>
                          </w:rPr>
                        </m:ctrlPr>
                      </m:sSubPr>
                      <m:e>
                        <m:r>
                          <w:rPr>
                            <w:rFonts w:ascii="Cambria Math" w:hAnsi="Cambria Math"/>
                          </w:rPr>
                          <m:t>S</m:t>
                        </m:r>
                      </m:e>
                      <m:sub>
                        <m:r>
                          <w:rPr>
                            <w:rFonts w:ascii="Cambria Math" w:hAnsi="Cambria Math"/>
                          </w:rPr>
                          <m:t>u</m:t>
                        </m:r>
                      </m:sub>
                    </m:sSub>
                  </m:den>
                </m:f>
              </m:oMath>
            </m:oMathPara>
          </w:p>
        </w:tc>
      </w:tr>
      <w:tr w:rsidR="0081331C" w:rsidRPr="00BC31E0" w14:paraId="17341BE0" w14:textId="77777777" w:rsidTr="00E20930">
        <w:trPr>
          <w:trHeight w:val="344"/>
          <w:jc w:val="center"/>
        </w:trPr>
        <w:tc>
          <w:tcPr>
            <w:tcW w:w="2500" w:type="pct"/>
            <w:vAlign w:val="center"/>
          </w:tcPr>
          <w:p w14:paraId="0E1BCFFF" w14:textId="77777777" w:rsidR="0081331C" w:rsidRPr="00BC31E0" w:rsidRDefault="0081331C" w:rsidP="00E20930">
            <w:pPr>
              <w:jc w:val="center"/>
              <w:rPr>
                <w:sz w:val="22"/>
                <w:szCs w:val="22"/>
              </w:rPr>
            </w:pPr>
            <w:r w:rsidRPr="00BC31E0">
              <w:rPr>
                <w:sz w:val="22"/>
                <w:szCs w:val="22"/>
              </w:rPr>
              <w:t>1.25</w:t>
            </w:r>
          </w:p>
        </w:tc>
        <w:tc>
          <w:tcPr>
            <w:tcW w:w="2500" w:type="pct"/>
            <w:vAlign w:val="center"/>
          </w:tcPr>
          <w:p w14:paraId="5C071817" w14:textId="77777777" w:rsidR="0081331C" w:rsidRPr="00BC31E0" w:rsidRDefault="0081331C" w:rsidP="00E20930">
            <w:pPr>
              <w:jc w:val="center"/>
            </w:pPr>
            <w:r w:rsidRPr="00BC31E0">
              <w:rPr>
                <w:rFonts w:ascii="ＭＳ 明朝" w:hAnsi="ＭＳ 明朝" w:cs="ＭＳ 明朝" w:hint="eastAsia"/>
              </w:rPr>
              <w:t>≧</w:t>
            </w:r>
            <w:r w:rsidRPr="00BC31E0">
              <w:t xml:space="preserve"> </w:t>
            </w:r>
            <w:r w:rsidRPr="00BC31E0">
              <w:rPr>
                <w:sz w:val="22"/>
                <w:szCs w:val="22"/>
              </w:rPr>
              <w:t>0.612</w:t>
            </w:r>
          </w:p>
        </w:tc>
      </w:tr>
      <w:tr w:rsidR="0081331C" w:rsidRPr="00BC31E0" w14:paraId="4CE160A7" w14:textId="77777777" w:rsidTr="00E20930">
        <w:trPr>
          <w:trHeight w:val="344"/>
          <w:jc w:val="center"/>
        </w:trPr>
        <w:tc>
          <w:tcPr>
            <w:tcW w:w="2500" w:type="pct"/>
            <w:vAlign w:val="center"/>
          </w:tcPr>
          <w:p w14:paraId="451E1AF8" w14:textId="77777777" w:rsidR="0081331C" w:rsidRPr="00BC31E0" w:rsidRDefault="0081331C" w:rsidP="00E20930">
            <w:pPr>
              <w:jc w:val="center"/>
              <w:rPr>
                <w:sz w:val="22"/>
                <w:szCs w:val="22"/>
              </w:rPr>
            </w:pPr>
            <w:r w:rsidRPr="00BC31E0">
              <w:rPr>
                <w:sz w:val="22"/>
                <w:szCs w:val="22"/>
              </w:rPr>
              <w:t>1.30</w:t>
            </w:r>
          </w:p>
        </w:tc>
        <w:tc>
          <w:tcPr>
            <w:tcW w:w="2500" w:type="pct"/>
            <w:vAlign w:val="center"/>
          </w:tcPr>
          <w:p w14:paraId="2EFD7795" w14:textId="77777777" w:rsidR="0081331C" w:rsidRPr="00BC31E0" w:rsidRDefault="0081331C" w:rsidP="00E20930">
            <w:pPr>
              <w:jc w:val="center"/>
            </w:pPr>
            <w:r w:rsidRPr="00BC31E0">
              <w:rPr>
                <w:rFonts w:ascii="ＭＳ 明朝" w:hAnsi="ＭＳ 明朝" w:cs="ＭＳ 明朝" w:hint="eastAsia"/>
              </w:rPr>
              <w:t>≧</w:t>
            </w:r>
            <w:r w:rsidRPr="00BC31E0">
              <w:t xml:space="preserve"> </w:t>
            </w:r>
            <w:r w:rsidRPr="00BC31E0">
              <w:rPr>
                <w:sz w:val="22"/>
                <w:szCs w:val="22"/>
              </w:rPr>
              <w:t>0.653</w:t>
            </w:r>
          </w:p>
        </w:tc>
      </w:tr>
      <w:tr w:rsidR="0081331C" w:rsidRPr="00BC31E0" w14:paraId="26E74217" w14:textId="77777777" w:rsidTr="00E20930">
        <w:trPr>
          <w:trHeight w:val="344"/>
          <w:jc w:val="center"/>
        </w:trPr>
        <w:tc>
          <w:tcPr>
            <w:tcW w:w="2500" w:type="pct"/>
            <w:vAlign w:val="center"/>
          </w:tcPr>
          <w:p w14:paraId="7D45B21E" w14:textId="77777777" w:rsidR="0081331C" w:rsidRPr="00BC31E0" w:rsidRDefault="0081331C" w:rsidP="00E20930">
            <w:pPr>
              <w:jc w:val="center"/>
              <w:rPr>
                <w:sz w:val="22"/>
                <w:szCs w:val="22"/>
              </w:rPr>
            </w:pPr>
            <w:r w:rsidRPr="00BC31E0">
              <w:rPr>
                <w:sz w:val="22"/>
                <w:szCs w:val="22"/>
              </w:rPr>
              <w:t>1.35</w:t>
            </w:r>
          </w:p>
        </w:tc>
        <w:tc>
          <w:tcPr>
            <w:tcW w:w="2500" w:type="pct"/>
            <w:vAlign w:val="center"/>
          </w:tcPr>
          <w:p w14:paraId="75CF25BA" w14:textId="77777777" w:rsidR="0081331C" w:rsidRPr="00BC31E0" w:rsidRDefault="0081331C" w:rsidP="00E20930">
            <w:pPr>
              <w:jc w:val="center"/>
            </w:pPr>
            <w:r w:rsidRPr="00BC31E0">
              <w:rPr>
                <w:rFonts w:ascii="ＭＳ 明朝" w:hAnsi="ＭＳ 明朝" w:cs="ＭＳ 明朝" w:hint="eastAsia"/>
              </w:rPr>
              <w:t>≧</w:t>
            </w:r>
            <w:r w:rsidRPr="00BC31E0">
              <w:t xml:space="preserve"> </w:t>
            </w:r>
            <w:r w:rsidRPr="00BC31E0">
              <w:rPr>
                <w:sz w:val="22"/>
                <w:szCs w:val="22"/>
              </w:rPr>
              <w:t>0.696</w:t>
            </w:r>
          </w:p>
        </w:tc>
      </w:tr>
      <w:tr w:rsidR="0081331C" w:rsidRPr="00BC31E0" w14:paraId="12D7819E" w14:textId="77777777" w:rsidTr="00E20930">
        <w:trPr>
          <w:trHeight w:val="355"/>
          <w:jc w:val="center"/>
        </w:trPr>
        <w:tc>
          <w:tcPr>
            <w:tcW w:w="2500" w:type="pct"/>
            <w:vAlign w:val="center"/>
          </w:tcPr>
          <w:p w14:paraId="10DF2707" w14:textId="77777777" w:rsidR="0081331C" w:rsidRPr="00BC31E0" w:rsidRDefault="0081331C" w:rsidP="00E20930">
            <w:pPr>
              <w:jc w:val="center"/>
              <w:rPr>
                <w:sz w:val="22"/>
                <w:szCs w:val="22"/>
              </w:rPr>
            </w:pPr>
            <w:r w:rsidRPr="00BC31E0">
              <w:rPr>
                <w:sz w:val="22"/>
                <w:szCs w:val="22"/>
              </w:rPr>
              <w:t>1.40</w:t>
            </w:r>
          </w:p>
        </w:tc>
        <w:tc>
          <w:tcPr>
            <w:tcW w:w="2500" w:type="pct"/>
            <w:vAlign w:val="center"/>
          </w:tcPr>
          <w:p w14:paraId="5BE8F3A2" w14:textId="77777777" w:rsidR="0081331C" w:rsidRPr="00BC31E0" w:rsidRDefault="0081331C" w:rsidP="00E20930">
            <w:pPr>
              <w:jc w:val="center"/>
            </w:pPr>
            <w:r w:rsidRPr="00BC31E0">
              <w:rPr>
                <w:rFonts w:ascii="ＭＳ 明朝" w:hAnsi="ＭＳ 明朝" w:cs="ＭＳ 明朝" w:hint="eastAsia"/>
              </w:rPr>
              <w:t>≧</w:t>
            </w:r>
            <w:r w:rsidRPr="00BC31E0">
              <w:t xml:space="preserve"> </w:t>
            </w:r>
            <w:r w:rsidRPr="00BC31E0">
              <w:rPr>
                <w:sz w:val="22"/>
                <w:szCs w:val="22"/>
              </w:rPr>
              <w:t>0.806</w:t>
            </w:r>
          </w:p>
        </w:tc>
      </w:tr>
      <w:tr w:rsidR="0081331C" w:rsidRPr="00BC31E0" w14:paraId="356BF04A" w14:textId="77777777" w:rsidTr="00E20930">
        <w:trPr>
          <w:trHeight w:val="355"/>
          <w:jc w:val="center"/>
        </w:trPr>
        <w:tc>
          <w:tcPr>
            <w:tcW w:w="2500" w:type="pct"/>
            <w:vAlign w:val="center"/>
          </w:tcPr>
          <w:p w14:paraId="70945639" w14:textId="77777777" w:rsidR="0081331C" w:rsidRPr="00BC31E0" w:rsidRDefault="0081331C" w:rsidP="00E20930">
            <w:pPr>
              <w:jc w:val="center"/>
              <w:rPr>
                <w:sz w:val="22"/>
                <w:szCs w:val="22"/>
              </w:rPr>
            </w:pPr>
            <w:r w:rsidRPr="00BC31E0">
              <w:rPr>
                <w:sz w:val="22"/>
                <w:szCs w:val="22"/>
              </w:rPr>
              <w:t>1.43</w:t>
            </w:r>
          </w:p>
        </w:tc>
        <w:tc>
          <w:tcPr>
            <w:tcW w:w="2500" w:type="pct"/>
            <w:vAlign w:val="center"/>
          </w:tcPr>
          <w:p w14:paraId="05BCC205" w14:textId="77777777" w:rsidR="0081331C" w:rsidRPr="00BC31E0" w:rsidRDefault="0081331C" w:rsidP="00E20930">
            <w:pPr>
              <w:jc w:val="center"/>
            </w:pPr>
            <w:r w:rsidRPr="00BC31E0">
              <w:rPr>
                <w:rFonts w:ascii="ＭＳ 明朝" w:hAnsi="ＭＳ 明朝" w:cs="ＭＳ 明朝" w:hint="eastAsia"/>
              </w:rPr>
              <w:t>≧</w:t>
            </w:r>
            <w:r w:rsidRPr="00BC31E0">
              <w:t xml:space="preserve"> </w:t>
            </w:r>
            <w:r w:rsidRPr="00BC31E0">
              <w:rPr>
                <w:sz w:val="22"/>
                <w:szCs w:val="22"/>
              </w:rPr>
              <w:t>0.911</w:t>
            </w:r>
          </w:p>
        </w:tc>
      </w:tr>
    </w:tbl>
    <w:p w14:paraId="08EE22C0" w14:textId="77777777" w:rsidR="0081331C" w:rsidRPr="00BC31E0" w:rsidRDefault="0081331C" w:rsidP="0081331C">
      <w:pPr>
        <w:spacing w:before="60"/>
        <w:ind w:left="454" w:hanging="454"/>
        <w:rPr>
          <w:rFonts w:asciiTheme="minorHAnsi" w:eastAsiaTheme="minorEastAsia" w:hAnsiTheme="minorEastAsia"/>
        </w:rPr>
      </w:pPr>
      <w:r w:rsidRPr="00BC31E0">
        <w:rPr>
          <w:rFonts w:ascii="ＭＳ ゴシック" w:eastAsia="ＭＳ ゴシック" w:hint="eastAsia"/>
          <w:b/>
        </w:rPr>
        <w:t>注</w:t>
      </w:r>
      <w:r w:rsidRPr="00BC31E0">
        <w:rPr>
          <w:rFonts w:ascii="ＭＳ ゴシック" w:eastAsia="ＭＳ ゴシック" w:hint="eastAsia"/>
          <w:b/>
          <w:vertAlign w:val="superscript"/>
        </w:rPr>
        <w:t>a)</w:t>
      </w:r>
      <w:r w:rsidRPr="00BC31E0">
        <w:rPr>
          <w:rFonts w:asciiTheme="minorEastAsia" w:eastAsiaTheme="minorEastAsia" w:hAnsiTheme="minorEastAsia" w:hint="eastAsia"/>
        </w:rPr>
        <w:t xml:space="preserve"> </w:t>
      </w:r>
      <m:oMath>
        <m:sSub>
          <m:sSubPr>
            <m:ctrlPr>
              <w:rPr>
                <w:rFonts w:ascii="Cambria Math" w:eastAsiaTheme="minorEastAsia" w:hAnsiTheme="minorEastAsia"/>
                <w:i/>
              </w:rPr>
            </m:ctrlPr>
          </m:sSubPr>
          <m:e>
            <m:r>
              <w:rPr>
                <w:rFonts w:ascii="Cambria Math" w:eastAsiaTheme="minorEastAsia" w:hAnsiTheme="minorEastAsia" w:hint="eastAsia"/>
              </w:rPr>
              <m:t>P</m:t>
            </m:r>
          </m:e>
          <m:sub>
            <m:r>
              <w:rPr>
                <w:rFonts w:ascii="Cambria Math" w:eastAsiaTheme="minorEastAsia" w:hAnsiTheme="minorEastAsia" w:hint="eastAsia"/>
              </w:rPr>
              <m:t>dt</m:t>
            </m:r>
          </m:sub>
        </m:sSub>
        <m:r>
          <w:rPr>
            <w:rFonts w:ascii="Cambria Math" w:eastAsiaTheme="minorEastAsia" w:hAnsiTheme="minorEastAsia" w:hint="eastAsia"/>
          </w:rPr>
          <m:t xml:space="preserve"> </m:t>
        </m:r>
      </m:oMath>
      <w:r w:rsidRPr="00BC31E0">
        <w:rPr>
          <w:rFonts w:asciiTheme="minorEastAsia" w:eastAsiaTheme="minorEastAsia" w:hAnsiTheme="minorEastAsia" w:hint="eastAsia"/>
        </w:rPr>
        <w:t>は</w:t>
      </w:r>
      <w:r w:rsidRPr="00BC31E0">
        <w:rPr>
          <w:rFonts w:asciiTheme="majorEastAsia" w:eastAsiaTheme="majorEastAsia" w:hAnsiTheme="majorEastAsia" w:hint="eastAsia"/>
          <w:b/>
        </w:rPr>
        <w:t>6.2.2 a)</w:t>
      </w:r>
      <w:r w:rsidRPr="00BC31E0">
        <w:rPr>
          <w:rFonts w:asciiTheme="minorEastAsia" w:eastAsiaTheme="minorEastAsia" w:hAnsiTheme="minorEastAsia" w:hint="eastAsia"/>
        </w:rPr>
        <w:t>の設計圧力計算式における</w:t>
      </w:r>
      <w:r w:rsidRPr="00BC31E0">
        <w:rPr>
          <w:rFonts w:asciiTheme="minorHAnsi" w:eastAsiaTheme="minorEastAsia" w:hAnsiTheme="minorEastAsia"/>
        </w:rPr>
        <w:t>第</w:t>
      </w:r>
      <w:r w:rsidRPr="00BC31E0">
        <w:rPr>
          <w:rFonts w:asciiTheme="minorHAnsi" w:eastAsiaTheme="minorEastAsia" w:hAnsiTheme="minorHAnsi"/>
        </w:rPr>
        <w:t>1</w:t>
      </w:r>
      <w:r w:rsidRPr="00BC31E0">
        <w:rPr>
          <w:rFonts w:asciiTheme="minorHAnsi" w:eastAsiaTheme="minorEastAsia" w:hAnsiTheme="minorEastAsia"/>
        </w:rPr>
        <w:t>項</w:t>
      </w:r>
      <w:r w:rsidRPr="00BC31E0">
        <w:rPr>
          <w:rFonts w:asciiTheme="minorHAnsi" w:eastAsiaTheme="minorEastAsia" w:hAnsiTheme="minorEastAsia" w:hint="eastAsia"/>
        </w:rPr>
        <w:t>の耐圧試験基準による圧力で，</w:t>
      </w:r>
      <w:r w:rsidRPr="00BC31E0">
        <w:rPr>
          <w:rFonts w:asciiTheme="minorEastAsia" w:eastAsiaTheme="minorEastAsia" w:hAnsiTheme="minorEastAsia" w:hint="eastAsia"/>
        </w:rPr>
        <w:t>耐圧試験圧力が支配的な場合の設計圧力</w:t>
      </w:r>
      <w:r w:rsidRPr="00BC31E0">
        <w:rPr>
          <w:rFonts w:asciiTheme="minorHAnsi" w:eastAsiaTheme="minorEastAsia" w:hAnsiTheme="minorEastAsia" w:hint="eastAsia"/>
        </w:rPr>
        <w:t>である。</w:t>
      </w:r>
    </w:p>
    <w:p w14:paraId="32B7C763" w14:textId="77777777" w:rsidR="00A1041A" w:rsidRPr="00BC31E0" w:rsidRDefault="00A1041A" w:rsidP="005C6933">
      <w:pPr>
        <w:rPr>
          <w:rFonts w:asciiTheme="minorHAnsi" w:eastAsiaTheme="minorEastAsia" w:hAnsiTheme="minorEastAsia"/>
        </w:rPr>
      </w:pPr>
    </w:p>
    <w:p w14:paraId="4F68FE2D" w14:textId="77777777" w:rsidR="007E70EF" w:rsidRPr="00BC31E0" w:rsidRDefault="007E70EF">
      <w:pPr>
        <w:widowControl/>
        <w:jc w:val="left"/>
        <w:rPr>
          <w:rFonts w:asciiTheme="minorHAnsi" w:eastAsiaTheme="minorEastAsia" w:hAnsiTheme="minorEastAsia"/>
        </w:rPr>
      </w:pPr>
      <w:r w:rsidRPr="00BC31E0">
        <w:rPr>
          <w:rFonts w:asciiTheme="minorHAnsi" w:eastAsiaTheme="minorEastAsia" w:hAnsiTheme="minorEastAsia"/>
        </w:rPr>
        <w:br w:type="page"/>
      </w:r>
    </w:p>
    <w:p w14:paraId="09EBDCB1" w14:textId="77777777" w:rsidR="00E20930" w:rsidRPr="00BC31E0" w:rsidRDefault="00E20930" w:rsidP="00D663C2">
      <w:pPr>
        <w:pStyle w:val="20"/>
        <w:tabs>
          <w:tab w:val="clear" w:pos="284"/>
        </w:tabs>
        <w:ind w:left="567" w:hanging="567"/>
      </w:pPr>
      <w:bookmarkStart w:id="38" w:name="_Toc357672090"/>
      <w:bookmarkStart w:id="39" w:name="_Toc120092523"/>
      <w:r w:rsidRPr="00BC31E0">
        <w:rPr>
          <w:rFonts w:hint="eastAsia"/>
        </w:rPr>
        <w:lastRenderedPageBreak/>
        <w:t>疲労評価</w:t>
      </w:r>
      <w:bookmarkEnd w:id="38"/>
      <w:bookmarkEnd w:id="39"/>
    </w:p>
    <w:p w14:paraId="387E2BB2" w14:textId="77777777" w:rsidR="00E20930" w:rsidRPr="00BC31E0" w:rsidRDefault="00E20930" w:rsidP="00D663C2">
      <w:pPr>
        <w:pStyle w:val="3"/>
        <w:tabs>
          <w:tab w:val="clear" w:pos="284"/>
        </w:tabs>
        <w:ind w:left="794" w:hanging="794"/>
      </w:pPr>
      <w:r w:rsidRPr="00BC31E0">
        <w:rPr>
          <w:rFonts w:hint="eastAsia"/>
        </w:rPr>
        <w:t>適用範囲</w:t>
      </w:r>
    </w:p>
    <w:p w14:paraId="5B5F2ABF" w14:textId="77777777" w:rsidR="00E20930" w:rsidRPr="00BC31E0" w:rsidRDefault="00E20930" w:rsidP="005C6933">
      <w:pPr>
        <w:ind w:firstLineChars="100" w:firstLine="211"/>
      </w:pPr>
      <w:r w:rsidRPr="00BC31E0">
        <w:rPr>
          <w:rFonts w:asciiTheme="majorEastAsia" w:eastAsiaTheme="majorEastAsia" w:hAnsiTheme="majorEastAsia" w:hint="eastAsia"/>
          <w:b/>
        </w:rPr>
        <w:t>6.1.13</w:t>
      </w:r>
      <w:r w:rsidR="002A40AE" w:rsidRPr="00BC31E0">
        <w:rPr>
          <w:rFonts w:hint="eastAsia"/>
        </w:rPr>
        <w:t>に従って</w:t>
      </w:r>
      <w:r w:rsidRPr="00BC31E0">
        <w:rPr>
          <w:rFonts w:hint="eastAsia"/>
        </w:rPr>
        <w:t>，破裂前漏洩が示される場合には，設計許容繰返し回数は</w:t>
      </w:r>
      <w:r w:rsidRPr="00BC31E0">
        <w:rPr>
          <w:rFonts w:ascii="ＭＳ ゴシック" w:eastAsia="ＭＳ ゴシック" w:hAnsi="ＭＳ ゴシック"/>
          <w:b/>
        </w:rPr>
        <w:t>6.3</w:t>
      </w:r>
      <w:r w:rsidRPr="00BC31E0">
        <w:rPr>
          <w:rFonts w:hint="eastAsia"/>
        </w:rPr>
        <w:t>又は</w:t>
      </w:r>
      <w:r w:rsidRPr="00BC31E0">
        <w:rPr>
          <w:rFonts w:ascii="ＭＳ ゴシック" w:eastAsia="ＭＳ ゴシック" w:hAnsi="ＭＳ ゴシック"/>
          <w:b/>
        </w:rPr>
        <w:t>6.4</w:t>
      </w:r>
      <w:r w:rsidRPr="00BC31E0">
        <w:rPr>
          <w:rFonts w:hint="eastAsia"/>
        </w:rPr>
        <w:t>のいずれかによって計算してよい。破裂前漏洩が示されない場合には，設計許容繰返し回数は</w:t>
      </w:r>
      <w:r w:rsidRPr="00BC31E0">
        <w:rPr>
          <w:rFonts w:ascii="ＭＳ ゴシック" w:hAnsi="ＭＳ ゴシック"/>
          <w:b/>
        </w:rPr>
        <w:t>6.4</w:t>
      </w:r>
      <w:r w:rsidRPr="00BC31E0">
        <w:rPr>
          <w:rFonts w:hint="eastAsia"/>
        </w:rPr>
        <w:t>によって計算する。破裂前漏洩の判定については，</w:t>
      </w:r>
      <w:r w:rsidRPr="00BC31E0">
        <w:rPr>
          <w:rFonts w:ascii="ＭＳ ゴシック" w:eastAsia="ＭＳ ゴシック" w:hAnsi="ＭＳ ゴシック" w:hint="eastAsia"/>
          <w:b/>
        </w:rPr>
        <w:t>6.1.14</w:t>
      </w:r>
      <w:r w:rsidRPr="00BC31E0">
        <w:rPr>
          <w:rFonts w:ascii="ＭＳ ゴシック" w:hAnsi="ＭＳ ゴシック" w:hint="eastAsia"/>
        </w:rPr>
        <w:t>を</w:t>
      </w:r>
      <w:r w:rsidRPr="00BC31E0">
        <w:rPr>
          <w:rFonts w:hint="eastAsia"/>
        </w:rPr>
        <w:t>参照する。</w:t>
      </w:r>
    </w:p>
    <w:p w14:paraId="6CF7CE7B" w14:textId="77777777" w:rsidR="00E20930" w:rsidRPr="00BC31E0" w:rsidRDefault="00E20930" w:rsidP="00D663C2">
      <w:pPr>
        <w:pStyle w:val="3"/>
        <w:tabs>
          <w:tab w:val="clear" w:pos="284"/>
        </w:tabs>
        <w:ind w:left="794" w:hanging="794"/>
      </w:pPr>
      <w:r w:rsidRPr="00BC31E0">
        <w:rPr>
          <w:rFonts w:hint="eastAsia"/>
        </w:rPr>
        <w:t>一般要求</w:t>
      </w:r>
    </w:p>
    <w:p w14:paraId="79B93081" w14:textId="77777777" w:rsidR="00E20930" w:rsidRPr="00BC31E0" w:rsidRDefault="00E20930" w:rsidP="005C6933">
      <w:pPr>
        <w:ind w:firstLineChars="100" w:firstLine="210"/>
      </w:pPr>
      <w:r w:rsidRPr="00BC31E0">
        <w:rPr>
          <w:rFonts w:hint="eastAsia"/>
        </w:rPr>
        <w:t>一般要求は，次の</w:t>
      </w:r>
      <w:r w:rsidRPr="00BC31E0">
        <w:rPr>
          <w:rFonts w:ascii="ＭＳ ゴシック" w:eastAsia="ＭＳ ゴシック" w:hAnsi="ＭＳ ゴシック" w:hint="eastAsia"/>
          <w:b/>
        </w:rPr>
        <w:t>a)</w:t>
      </w:r>
      <w:r w:rsidRPr="00BC31E0">
        <w:rPr>
          <w:rFonts w:hint="eastAsia"/>
        </w:rPr>
        <w:t>～</w:t>
      </w:r>
      <w:r w:rsidRPr="00BC31E0">
        <w:rPr>
          <w:rFonts w:ascii="ＭＳ ゴシック" w:eastAsia="ＭＳ ゴシック" w:hAnsi="ＭＳ ゴシック" w:hint="eastAsia"/>
          <w:b/>
        </w:rPr>
        <w:t>c)</w:t>
      </w:r>
      <w:r w:rsidRPr="00BC31E0">
        <w:rPr>
          <w:rFonts w:hint="eastAsia"/>
        </w:rPr>
        <w:t>による。</w:t>
      </w:r>
    </w:p>
    <w:p w14:paraId="5086AD63" w14:textId="77777777" w:rsidR="00E20930" w:rsidRPr="00BC31E0" w:rsidRDefault="00E20930" w:rsidP="00736130">
      <w:pPr>
        <w:pStyle w:val="a4"/>
        <w:numPr>
          <w:ilvl w:val="0"/>
          <w:numId w:val="118"/>
        </w:numPr>
        <w:ind w:leftChars="0" w:left="454" w:hanging="454"/>
      </w:pPr>
      <w:r w:rsidRPr="00BC31E0">
        <w:rPr>
          <w:rFonts w:hint="eastAsia"/>
        </w:rPr>
        <w:t>疲労評価着目点の</w:t>
      </w:r>
      <w:r w:rsidRPr="00BC31E0">
        <w:rPr>
          <w:rFonts w:hint="eastAsia"/>
        </w:rPr>
        <w:t>(</w:t>
      </w:r>
      <w:r w:rsidRPr="00BC31E0">
        <w:rPr>
          <w:rFonts w:hint="eastAsia"/>
        </w:rPr>
        <w:t>一次＋二次</w:t>
      </w:r>
      <w:r w:rsidRPr="00BC31E0">
        <w:rPr>
          <w:rFonts w:hint="eastAsia"/>
        </w:rPr>
        <w:t>)</w:t>
      </w:r>
      <w:r w:rsidRPr="00BC31E0">
        <w:rPr>
          <w:rFonts w:hint="eastAsia"/>
        </w:rPr>
        <w:t>応力の変動範囲は，シェークダウンする範囲になければならない。ただし，弾性計算ベースでこの条件が満たされない場合でも，塑性計算ベースにより当該部がシェークダウンすることが示されれば許容される。</w:t>
      </w:r>
    </w:p>
    <w:p w14:paraId="59B697CA" w14:textId="77777777" w:rsidR="00E20930" w:rsidRPr="00BC31E0" w:rsidRDefault="00E20930" w:rsidP="00736130">
      <w:pPr>
        <w:pStyle w:val="a4"/>
        <w:numPr>
          <w:ilvl w:val="0"/>
          <w:numId w:val="118"/>
        </w:numPr>
        <w:ind w:leftChars="0" w:left="454" w:hanging="454"/>
      </w:pPr>
      <w:r w:rsidRPr="00BC31E0">
        <w:rPr>
          <w:rFonts w:ascii="ＭＳ ゴシック" w:eastAsia="ＭＳ ゴシック" w:hAnsi="ＭＳ ゴシック"/>
          <w:b/>
        </w:rPr>
        <w:t>6.3</w:t>
      </w:r>
      <w:r w:rsidRPr="00BC31E0">
        <w:rPr>
          <w:rFonts w:hint="eastAsia"/>
        </w:rPr>
        <w:t>の代わりに，実体を用いた疲労試験により設計許容繰返し回数を求めてもよい。その場合には</w:t>
      </w:r>
      <w:r w:rsidRPr="00BC31E0">
        <w:rPr>
          <w:rFonts w:ascii="ＭＳ ゴシック" w:eastAsia="ＭＳ ゴシック" w:hAnsi="ＭＳ ゴシック"/>
          <w:b/>
        </w:rPr>
        <w:t>6.11</w:t>
      </w:r>
      <w:r w:rsidRPr="00BC31E0">
        <w:rPr>
          <w:rFonts w:hint="eastAsia"/>
        </w:rPr>
        <w:t>実験的設計検証による。</w:t>
      </w:r>
    </w:p>
    <w:p w14:paraId="4CE9FEA4" w14:textId="77777777" w:rsidR="00E20930" w:rsidRPr="00BC31E0" w:rsidRDefault="00E20930" w:rsidP="00736130">
      <w:pPr>
        <w:pStyle w:val="a4"/>
        <w:numPr>
          <w:ilvl w:val="0"/>
          <w:numId w:val="118"/>
        </w:numPr>
        <w:ind w:leftChars="0" w:left="454" w:hanging="454"/>
        <w:rPr>
          <w:rFonts w:ascii="ＭＳ 明朝"/>
        </w:rPr>
      </w:pPr>
      <w:r w:rsidRPr="00BC31E0">
        <w:rPr>
          <w:rFonts w:ascii="ＭＳ 明朝" w:hint="eastAsia"/>
        </w:rPr>
        <w:t>内圧負荷時の交差穴のピーク応力は</w:t>
      </w:r>
      <w:r w:rsidRPr="00BC31E0">
        <w:rPr>
          <w:rFonts w:ascii="ＭＳ ゴシック" w:eastAsia="ＭＳ ゴシック" w:hAnsi="ＭＳ ゴシック" w:hint="eastAsia"/>
          <w:b/>
        </w:rPr>
        <w:t>附属書F</w:t>
      </w:r>
      <w:r w:rsidRPr="00BC31E0">
        <w:rPr>
          <w:rFonts w:ascii="ＭＳ 明朝" w:hint="eastAsia"/>
        </w:rPr>
        <w:t>の交差穴の応力集中係数を用いるか，応力解析によって求める。</w:t>
      </w:r>
    </w:p>
    <w:p w14:paraId="47DAC6C0" w14:textId="77777777" w:rsidR="00E20930" w:rsidRPr="00BC31E0" w:rsidRDefault="00E20930" w:rsidP="00D663C2">
      <w:pPr>
        <w:pStyle w:val="3"/>
        <w:tabs>
          <w:tab w:val="clear" w:pos="284"/>
        </w:tabs>
        <w:ind w:left="794" w:hanging="794"/>
      </w:pPr>
      <w:r w:rsidRPr="00BC31E0">
        <w:rPr>
          <w:rFonts w:hint="eastAsia"/>
        </w:rPr>
        <w:t>設計疲労曲線の使用</w:t>
      </w:r>
    </w:p>
    <w:p w14:paraId="2F07802E" w14:textId="77777777" w:rsidR="00E20930" w:rsidRPr="00BC31E0" w:rsidRDefault="00E20930" w:rsidP="005C6933">
      <w:pPr>
        <w:ind w:firstLineChars="100" w:firstLine="210"/>
      </w:pPr>
      <w:r w:rsidRPr="00BC31E0">
        <w:rPr>
          <w:rFonts w:hint="eastAsia"/>
        </w:rPr>
        <w:t>設計疲労曲線の使用は，次の</w:t>
      </w:r>
      <w:r w:rsidRPr="00BC31E0">
        <w:rPr>
          <w:rFonts w:asciiTheme="majorEastAsia" w:eastAsiaTheme="majorEastAsia" w:hAnsiTheme="majorEastAsia" w:hint="eastAsia"/>
          <w:b/>
        </w:rPr>
        <w:t>a)</w:t>
      </w:r>
      <w:r w:rsidRPr="00BC31E0">
        <w:rPr>
          <w:rFonts w:hint="eastAsia"/>
        </w:rPr>
        <w:t>～</w:t>
      </w:r>
      <w:r w:rsidRPr="00BC31E0">
        <w:rPr>
          <w:rFonts w:asciiTheme="majorEastAsia" w:eastAsiaTheme="majorEastAsia" w:hAnsiTheme="majorEastAsia" w:hint="eastAsia"/>
          <w:b/>
        </w:rPr>
        <w:t>g)</w:t>
      </w:r>
      <w:r w:rsidRPr="00BC31E0">
        <w:rPr>
          <w:rFonts w:hint="eastAsia"/>
        </w:rPr>
        <w:t>による。</w:t>
      </w:r>
    </w:p>
    <w:p w14:paraId="4DCD22AD" w14:textId="77777777" w:rsidR="00E20930" w:rsidRPr="00BC31E0" w:rsidRDefault="00E20930" w:rsidP="00736130">
      <w:pPr>
        <w:pStyle w:val="a4"/>
        <w:numPr>
          <w:ilvl w:val="0"/>
          <w:numId w:val="119"/>
        </w:numPr>
        <w:ind w:leftChars="0" w:left="454" w:hanging="454"/>
      </w:pPr>
      <w:r w:rsidRPr="00BC31E0">
        <w:rPr>
          <w:rFonts w:ascii="ＭＳ ゴシック" w:eastAsia="ＭＳ ゴシック" w:hAnsi="ＭＳ ゴシック" w:hint="eastAsia"/>
          <w:b/>
        </w:rPr>
        <w:t>図</w:t>
      </w:r>
      <w:r w:rsidRPr="00BC31E0">
        <w:rPr>
          <w:rFonts w:ascii="ＭＳ ゴシック" w:eastAsia="ＭＳ ゴシック" w:hAnsi="ＭＳ ゴシック"/>
          <w:b/>
        </w:rPr>
        <w:t>6.3.1</w:t>
      </w:r>
      <w:r w:rsidRPr="00BC31E0">
        <w:rPr>
          <w:rFonts w:hint="eastAsia"/>
        </w:rPr>
        <w:t>～</w:t>
      </w:r>
      <w:r w:rsidRPr="00BC31E0">
        <w:rPr>
          <w:rFonts w:ascii="ＭＳ ゴシック" w:eastAsia="ＭＳ ゴシック" w:hAnsi="ＭＳ ゴシック" w:hint="eastAsia"/>
          <w:b/>
        </w:rPr>
        <w:t>図</w:t>
      </w:r>
      <w:r w:rsidRPr="00BC31E0">
        <w:rPr>
          <w:rFonts w:ascii="ＭＳ ゴシック" w:eastAsia="ＭＳ ゴシック" w:hAnsi="ＭＳ ゴシック"/>
          <w:b/>
        </w:rPr>
        <w:t>6.3.</w:t>
      </w:r>
      <w:r w:rsidRPr="00BC31E0">
        <w:rPr>
          <w:rFonts w:ascii="ＭＳ ゴシック" w:eastAsia="ＭＳ ゴシック" w:hAnsi="ＭＳ ゴシック" w:hint="eastAsia"/>
          <w:b/>
        </w:rPr>
        <w:t>9</w:t>
      </w:r>
      <w:r w:rsidRPr="00BC31E0">
        <w:rPr>
          <w:rFonts w:hint="eastAsia"/>
        </w:rPr>
        <w:t>の設計疲労曲線は，厳しい腐食環境では適用してはならない。</w:t>
      </w:r>
    </w:p>
    <w:p w14:paraId="51B82901" w14:textId="77777777" w:rsidR="00E20930" w:rsidRPr="00BC31E0" w:rsidRDefault="00E20930" w:rsidP="00736130">
      <w:pPr>
        <w:pStyle w:val="a4"/>
        <w:numPr>
          <w:ilvl w:val="0"/>
          <w:numId w:val="119"/>
        </w:numPr>
        <w:ind w:leftChars="0" w:left="454" w:hanging="454"/>
        <w:rPr>
          <w:rFonts w:hAnsi="ＭＳ 明朝"/>
        </w:rPr>
      </w:pPr>
      <w:r w:rsidRPr="00BC31E0">
        <w:rPr>
          <w:rFonts w:ascii="ＭＳ ゴシック" w:eastAsia="ＭＳ ゴシック" w:hAnsi="ＭＳ ゴシック" w:hint="eastAsia"/>
          <w:b/>
        </w:rPr>
        <w:t>図</w:t>
      </w:r>
      <w:r w:rsidRPr="00BC31E0">
        <w:rPr>
          <w:rFonts w:ascii="ＭＳ ゴシック" w:eastAsia="ＭＳ ゴシック" w:hAnsi="ＭＳ ゴシック"/>
          <w:b/>
        </w:rPr>
        <w:t>6.3.1</w:t>
      </w:r>
      <w:r w:rsidRPr="00BC31E0">
        <w:rPr>
          <w:rFonts w:hint="eastAsia"/>
        </w:rPr>
        <w:t>，</w:t>
      </w:r>
      <w:r w:rsidRPr="00BC31E0">
        <w:rPr>
          <w:rFonts w:ascii="ＭＳ ゴシック" w:eastAsia="ＭＳ ゴシック" w:hAnsi="ＭＳ ゴシック" w:hint="eastAsia"/>
          <w:b/>
        </w:rPr>
        <w:t>図6.3.4</w:t>
      </w:r>
      <w:r w:rsidRPr="00BC31E0">
        <w:rPr>
          <w:rFonts w:hAnsi="ＭＳ 明朝" w:hint="eastAsia"/>
        </w:rPr>
        <w:t>，</w:t>
      </w:r>
      <w:r w:rsidRPr="00BC31E0">
        <w:rPr>
          <w:rFonts w:ascii="ＭＳ ゴシック" w:eastAsia="ＭＳ ゴシック" w:hAnsi="ＭＳ ゴシック" w:hint="eastAsia"/>
          <w:b/>
        </w:rPr>
        <w:t>図6.3.5</w:t>
      </w:r>
      <w:r w:rsidRPr="00BC31E0">
        <w:rPr>
          <w:rFonts w:hAnsi="ＭＳ 明朝" w:hint="eastAsia"/>
        </w:rPr>
        <w:t>及び</w:t>
      </w:r>
      <w:r w:rsidRPr="00BC31E0">
        <w:rPr>
          <w:rFonts w:ascii="ＭＳ ゴシック" w:eastAsia="ＭＳ ゴシック" w:hAnsi="ＭＳ ゴシック" w:hint="eastAsia"/>
          <w:b/>
        </w:rPr>
        <w:t>図6.3.8</w:t>
      </w:r>
      <w:r w:rsidRPr="00BC31E0">
        <w:rPr>
          <w:rFonts w:hAnsi="ＭＳ 明朝" w:hint="eastAsia"/>
        </w:rPr>
        <w:t>の設計疲労曲線は，非溶接構造及び溶接継手を有する圧力容器に用いる。溶接継手に対しては，適切な応力集中係数又は疲労強度減少係数を適用する。ただし，平坦に仕上げた突合せ溶接継手に対する疲労強度減少係数は</w:t>
      </w:r>
      <w:r w:rsidRPr="00BC31E0">
        <w:t>1.0</w:t>
      </w:r>
      <w:r w:rsidRPr="00BC31E0">
        <w:rPr>
          <w:rFonts w:hAnsi="ＭＳ 明朝" w:hint="eastAsia"/>
        </w:rPr>
        <w:t>としてよい。</w:t>
      </w:r>
    </w:p>
    <w:p w14:paraId="2109E342" w14:textId="77777777" w:rsidR="00E20930" w:rsidRPr="00BC31E0" w:rsidRDefault="00E20930" w:rsidP="00736130">
      <w:pPr>
        <w:pStyle w:val="a4"/>
        <w:numPr>
          <w:ilvl w:val="0"/>
          <w:numId w:val="119"/>
        </w:numPr>
        <w:ind w:leftChars="0" w:left="454" w:hanging="454"/>
        <w:rPr>
          <w:rFonts w:hAnsi="ＭＳ 明朝"/>
          <w:kern w:val="0"/>
        </w:rPr>
      </w:pPr>
      <w:r w:rsidRPr="00BC31E0">
        <w:rPr>
          <w:rFonts w:ascii="ＭＳ ゴシック" w:eastAsia="ＭＳ ゴシック" w:hAnsi="ＭＳ ゴシック" w:hint="eastAsia"/>
          <w:b/>
          <w:bCs/>
          <w:kern w:val="0"/>
        </w:rPr>
        <w:t>図</w:t>
      </w:r>
      <w:r w:rsidRPr="00BC31E0">
        <w:rPr>
          <w:rFonts w:ascii="ＭＳ ゴシック" w:eastAsia="ＭＳ ゴシック" w:hAnsi="ＭＳ ゴシック"/>
          <w:b/>
          <w:bCs/>
          <w:kern w:val="0"/>
        </w:rPr>
        <w:t>6.3.2</w:t>
      </w:r>
      <w:r w:rsidRPr="00BC31E0">
        <w:rPr>
          <w:rFonts w:hint="eastAsia"/>
          <w:kern w:val="0"/>
        </w:rPr>
        <w:t>，</w:t>
      </w:r>
      <w:r w:rsidRPr="00BC31E0">
        <w:rPr>
          <w:rFonts w:ascii="ＭＳ ゴシック" w:eastAsia="ＭＳ ゴシック" w:hAnsi="ＭＳ ゴシック" w:hint="eastAsia"/>
          <w:b/>
          <w:bCs/>
          <w:kern w:val="0"/>
        </w:rPr>
        <w:t>図</w:t>
      </w:r>
      <w:r w:rsidRPr="00BC31E0">
        <w:rPr>
          <w:rFonts w:ascii="ＭＳ ゴシック" w:eastAsia="ＭＳ ゴシック" w:hAnsi="ＭＳ ゴシック"/>
          <w:b/>
          <w:bCs/>
          <w:kern w:val="0"/>
        </w:rPr>
        <w:t>6.3.3</w:t>
      </w:r>
      <w:r w:rsidRPr="00BC31E0">
        <w:rPr>
          <w:rFonts w:hint="eastAsia"/>
          <w:kern w:val="0"/>
        </w:rPr>
        <w:t>，</w:t>
      </w:r>
      <w:r w:rsidRPr="00BC31E0">
        <w:rPr>
          <w:rFonts w:ascii="ＭＳ ゴシック" w:eastAsia="ＭＳ ゴシック" w:hAnsi="ＭＳ ゴシック" w:hint="eastAsia"/>
          <w:b/>
          <w:bCs/>
          <w:kern w:val="0"/>
        </w:rPr>
        <w:t>図</w:t>
      </w:r>
      <w:r w:rsidRPr="00BC31E0">
        <w:rPr>
          <w:rFonts w:ascii="ＭＳ ゴシック" w:eastAsia="ＭＳ ゴシック" w:hAnsi="ＭＳ ゴシック"/>
          <w:b/>
          <w:bCs/>
          <w:kern w:val="0"/>
        </w:rPr>
        <w:t>6.3.6</w:t>
      </w:r>
      <w:r w:rsidRPr="00BC31E0">
        <w:rPr>
          <w:rFonts w:hint="eastAsia"/>
          <w:kern w:val="0"/>
        </w:rPr>
        <w:t>，</w:t>
      </w:r>
      <w:r w:rsidRPr="00BC31E0">
        <w:rPr>
          <w:rFonts w:ascii="ＭＳ ゴシック" w:eastAsia="ＭＳ ゴシック" w:hAnsi="ＭＳ ゴシック" w:hint="eastAsia"/>
          <w:b/>
          <w:bCs/>
          <w:kern w:val="0"/>
        </w:rPr>
        <w:t>図</w:t>
      </w:r>
      <w:r w:rsidRPr="00BC31E0">
        <w:rPr>
          <w:rFonts w:ascii="ＭＳ ゴシック" w:eastAsia="ＭＳ ゴシック" w:hAnsi="ＭＳ ゴシック"/>
          <w:b/>
          <w:bCs/>
          <w:kern w:val="0"/>
        </w:rPr>
        <w:t>6.3.7</w:t>
      </w:r>
      <w:r w:rsidRPr="00BC31E0">
        <w:rPr>
          <w:rFonts w:hint="eastAsia"/>
          <w:kern w:val="0"/>
        </w:rPr>
        <w:t>及び</w:t>
      </w:r>
      <w:r w:rsidRPr="00BC31E0">
        <w:rPr>
          <w:rFonts w:ascii="ＭＳ ゴシック" w:eastAsia="ＭＳ ゴシック" w:hAnsi="ＭＳ ゴシック" w:hint="eastAsia"/>
          <w:b/>
          <w:bCs/>
          <w:kern w:val="0"/>
        </w:rPr>
        <w:t>図</w:t>
      </w:r>
      <w:r w:rsidRPr="00BC31E0">
        <w:rPr>
          <w:rFonts w:ascii="ＭＳ ゴシック" w:eastAsia="ＭＳ ゴシック" w:hAnsi="ＭＳ ゴシック"/>
          <w:b/>
          <w:bCs/>
          <w:kern w:val="0"/>
        </w:rPr>
        <w:t>6.3.</w:t>
      </w:r>
      <w:r w:rsidRPr="00BC31E0">
        <w:rPr>
          <w:rFonts w:ascii="ＭＳ ゴシック" w:eastAsia="ＭＳ ゴシック" w:hAnsi="ＭＳ ゴシック" w:hint="eastAsia"/>
          <w:b/>
          <w:bCs/>
          <w:kern w:val="0"/>
        </w:rPr>
        <w:t>9</w:t>
      </w:r>
      <w:r w:rsidRPr="00BC31E0">
        <w:rPr>
          <w:rFonts w:hAnsi="ＭＳ 明朝" w:hint="eastAsia"/>
          <w:kern w:val="0"/>
        </w:rPr>
        <w:t>の設計疲労曲線は，非溶接構造のみに対して適用する。</w:t>
      </w:r>
    </w:p>
    <w:p w14:paraId="136010EE" w14:textId="77777777" w:rsidR="00E20930" w:rsidRPr="00BC31E0" w:rsidRDefault="00E20930" w:rsidP="00736130">
      <w:pPr>
        <w:pStyle w:val="a4"/>
        <w:numPr>
          <w:ilvl w:val="0"/>
          <w:numId w:val="119"/>
        </w:numPr>
        <w:ind w:leftChars="0" w:left="454" w:hanging="454"/>
      </w:pPr>
      <w:r w:rsidRPr="00BC31E0">
        <w:rPr>
          <w:rFonts w:ascii="ＭＳ ゴシック" w:eastAsia="ＭＳ ゴシック" w:hAnsi="ＭＳ ゴシック" w:hint="eastAsia"/>
          <w:b/>
        </w:rPr>
        <w:t>図6.3.3</w:t>
      </w:r>
      <w:r w:rsidRPr="00BC31E0">
        <w:rPr>
          <w:rFonts w:hint="eastAsia"/>
        </w:rPr>
        <w:t>に適用できる材料は，</w:t>
      </w:r>
      <w:r w:rsidRPr="00BC31E0">
        <w:rPr>
          <w:rFonts w:ascii="ＭＳ ゴシック" w:eastAsia="ＭＳ ゴシック" w:hAnsi="ＭＳ ゴシック" w:hint="eastAsia"/>
          <w:b/>
        </w:rPr>
        <w:t>JIS G 4107</w:t>
      </w:r>
      <w:r w:rsidRPr="00BC31E0">
        <w:rPr>
          <w:rFonts w:hint="eastAsia"/>
        </w:rPr>
        <w:t>の</w:t>
      </w:r>
      <w:r w:rsidRPr="00BC31E0">
        <w:rPr>
          <w:rFonts w:asciiTheme="minorHAnsi" w:eastAsiaTheme="minorEastAsia" w:hAnsiTheme="minorHAnsi"/>
        </w:rPr>
        <w:t>SNB7</w:t>
      </w:r>
      <w:r w:rsidRPr="00BC31E0">
        <w:rPr>
          <w:rFonts w:hint="eastAsia"/>
        </w:rPr>
        <w:t>と</w:t>
      </w:r>
      <w:r w:rsidRPr="00BC31E0">
        <w:rPr>
          <w:rFonts w:asciiTheme="minorHAnsi" w:eastAsiaTheme="minorEastAsia" w:hAnsiTheme="minorHAnsi"/>
        </w:rPr>
        <w:t>SNB16</w:t>
      </w:r>
      <w:r w:rsidRPr="00BC31E0">
        <w:rPr>
          <w:rFonts w:hint="eastAsia"/>
        </w:rPr>
        <w:t>，又はその同等材料で，いずれも熱処理を施した材料とする。ボルトの疲労解析に用いる設計応力強さ</w:t>
      </w:r>
      <m:oMath>
        <m:sSub>
          <m:sSubPr>
            <m:ctrlPr>
              <w:rPr>
                <w:rFonts w:ascii="Cambria Math" w:hAnsi="Cambria Math"/>
                <w:i/>
              </w:rPr>
            </m:ctrlPr>
          </m:sSubPr>
          <m:e>
            <m:r>
              <w:rPr>
                <w:rFonts w:ascii="Cambria Math" w:hAnsi="Cambria Math"/>
              </w:rPr>
              <m:t xml:space="preserve"> </m:t>
            </m:r>
            <m:r>
              <w:rPr>
                <w:rFonts w:ascii="Cambria Math" w:hAnsi="Cambria Math" w:hint="eastAsia"/>
              </w:rPr>
              <m:t>S</m:t>
            </m:r>
          </m:e>
          <m:sub>
            <m:r>
              <w:rPr>
                <w:rFonts w:ascii="Cambria Math" w:hAnsi="Cambria Math" w:hint="eastAsia"/>
              </w:rPr>
              <m:t>m</m:t>
            </m:r>
          </m:sub>
        </m:sSub>
        <m:r>
          <w:rPr>
            <w:rFonts w:ascii="Cambria Math" w:hAnsi="Cambria Math"/>
          </w:rPr>
          <m:t xml:space="preserve"> </m:t>
        </m:r>
      </m:oMath>
      <w:r w:rsidRPr="00BC31E0">
        <w:rPr>
          <w:rFonts w:hint="eastAsia"/>
        </w:rPr>
        <w:t>の値は，</w:t>
      </w:r>
      <w:r w:rsidRPr="00BC31E0">
        <w:rPr>
          <w:rFonts w:ascii="ＭＳ ゴシック" w:eastAsia="ＭＳ ゴシック" w:hAnsi="ＭＳ ゴシック" w:hint="eastAsia"/>
          <w:b/>
        </w:rPr>
        <w:t>JIS B 8266 附属書9</w:t>
      </w:r>
      <w:r w:rsidRPr="00BC31E0">
        <w:rPr>
          <w:rFonts w:hint="eastAsia"/>
        </w:rPr>
        <w:t>の</w:t>
      </w:r>
      <w:r w:rsidRPr="00BC31E0">
        <w:rPr>
          <w:rFonts w:ascii="ＭＳ ゴシック" w:eastAsia="ＭＳ ゴシック" w:hAnsi="ＭＳ ゴシック" w:hint="eastAsia"/>
          <w:b/>
        </w:rPr>
        <w:t>3.1</w:t>
      </w:r>
      <w:r w:rsidRPr="00BC31E0">
        <w:rPr>
          <w:rFonts w:hint="eastAsia"/>
        </w:rPr>
        <w:t>による。</w:t>
      </w:r>
      <w:r w:rsidRPr="00BC31E0">
        <w:rPr>
          <w:rFonts w:ascii="ＭＳ ゴシック" w:eastAsia="ＭＳ ゴシック" w:hAnsi="ＭＳ ゴシック" w:hint="eastAsia"/>
          <w:b/>
        </w:rPr>
        <w:t>図6.3.3</w:t>
      </w:r>
      <w:r w:rsidRPr="00BC31E0">
        <w:rPr>
          <w:rFonts w:hint="eastAsia"/>
        </w:rPr>
        <w:t>の使用に際しては，</w:t>
      </w:r>
      <w:r w:rsidRPr="00BC31E0">
        <w:rPr>
          <w:rFonts w:ascii="ＭＳ ゴシック" w:eastAsia="ＭＳ ゴシック" w:hAnsi="ＭＳ ゴシック" w:hint="eastAsia"/>
          <w:b/>
        </w:rPr>
        <w:t>JIS B 8266 附属書8</w:t>
      </w:r>
      <w:r w:rsidRPr="00BC31E0">
        <w:rPr>
          <w:rFonts w:hint="eastAsia"/>
        </w:rPr>
        <w:t>の</w:t>
      </w:r>
      <w:r w:rsidRPr="00BC31E0">
        <w:rPr>
          <w:rFonts w:ascii="ＭＳ ゴシック" w:eastAsia="ＭＳ ゴシック" w:hAnsi="ＭＳ ゴシック" w:hint="eastAsia"/>
          <w:b/>
        </w:rPr>
        <w:t>3.5 b)</w:t>
      </w:r>
      <w:r w:rsidRPr="00BC31E0">
        <w:rPr>
          <w:rFonts w:hint="eastAsia"/>
        </w:rPr>
        <w:t>及び</w:t>
      </w:r>
      <w:r w:rsidRPr="00BC31E0">
        <w:rPr>
          <w:rFonts w:ascii="ＭＳ ゴシック" w:eastAsia="ＭＳ ゴシック" w:hAnsi="ＭＳ ゴシック" w:hint="eastAsia"/>
          <w:b/>
        </w:rPr>
        <w:t>c)</w:t>
      </w:r>
      <w:r w:rsidRPr="00BC31E0">
        <w:rPr>
          <w:rFonts w:hint="eastAsia"/>
        </w:rPr>
        <w:t>による。</w:t>
      </w:r>
    </w:p>
    <w:p w14:paraId="6776258B" w14:textId="77777777" w:rsidR="00E20930" w:rsidRPr="00BC31E0" w:rsidRDefault="00E20930" w:rsidP="00736130">
      <w:pPr>
        <w:pStyle w:val="a4"/>
        <w:numPr>
          <w:ilvl w:val="0"/>
          <w:numId w:val="119"/>
        </w:numPr>
        <w:ind w:leftChars="0" w:left="454" w:hanging="454"/>
        <w:rPr>
          <w:kern w:val="0"/>
          <w:sz w:val="20"/>
        </w:rPr>
      </w:pPr>
      <w:r w:rsidRPr="00BC31E0">
        <w:rPr>
          <w:rFonts w:ascii="ＭＳ ゴシック" w:eastAsia="ＭＳ ゴシック" w:hAnsi="ＭＳ ゴシック" w:hint="eastAsia"/>
          <w:b/>
          <w:bCs/>
          <w:kern w:val="0"/>
        </w:rPr>
        <w:t>図</w:t>
      </w:r>
      <w:r w:rsidRPr="00BC31E0">
        <w:rPr>
          <w:rFonts w:ascii="ＭＳ ゴシック" w:eastAsia="ＭＳ ゴシック" w:hAnsi="ＭＳ ゴシック"/>
          <w:b/>
          <w:bCs/>
          <w:kern w:val="0"/>
        </w:rPr>
        <w:t>6.3.6</w:t>
      </w:r>
      <w:r w:rsidRPr="00BC31E0">
        <w:rPr>
          <w:rFonts w:hint="eastAsia"/>
          <w:kern w:val="0"/>
        </w:rPr>
        <w:t>の適用範囲は次による。</w:t>
      </w:r>
    </w:p>
    <w:p w14:paraId="3A8B3058" w14:textId="77777777" w:rsidR="00E20930" w:rsidRPr="00BC31E0" w:rsidRDefault="00E20930" w:rsidP="00736130">
      <w:pPr>
        <w:pStyle w:val="a4"/>
        <w:numPr>
          <w:ilvl w:val="0"/>
          <w:numId w:val="120"/>
        </w:numPr>
        <w:ind w:leftChars="0" w:left="738" w:hanging="454"/>
      </w:pPr>
      <w:r w:rsidRPr="00BC31E0">
        <w:t>H900</w:t>
      </w:r>
      <w:r w:rsidRPr="00BC31E0">
        <w:rPr>
          <w:rFonts w:hint="eastAsia"/>
        </w:rPr>
        <w:t>，</w:t>
      </w:r>
      <w:r w:rsidRPr="00BC31E0">
        <w:t>H9</w:t>
      </w:r>
      <w:r w:rsidRPr="00BC31E0">
        <w:rPr>
          <w:rFonts w:hint="eastAsia"/>
        </w:rPr>
        <w:t>25</w:t>
      </w:r>
      <w:r w:rsidRPr="00BC31E0">
        <w:rPr>
          <w:rFonts w:hint="eastAsia"/>
        </w:rPr>
        <w:t>，</w:t>
      </w:r>
      <w:r w:rsidRPr="00BC31E0">
        <w:t>H1025</w:t>
      </w:r>
      <w:r w:rsidRPr="00BC31E0">
        <w:rPr>
          <w:rFonts w:hint="eastAsia"/>
        </w:rPr>
        <w:t>は保護用ライニング又は破裂前漏洩であることが確認されている圧力容器の圧縮応力を受ける内層材に適用する。</w:t>
      </w:r>
    </w:p>
    <w:p w14:paraId="08CA7A90" w14:textId="77777777" w:rsidR="00E20930" w:rsidRPr="00BC31E0" w:rsidRDefault="00E20930" w:rsidP="00736130">
      <w:pPr>
        <w:pStyle w:val="a4"/>
        <w:numPr>
          <w:ilvl w:val="0"/>
          <w:numId w:val="120"/>
        </w:numPr>
        <w:ind w:leftChars="0" w:left="738" w:hanging="454"/>
      </w:pPr>
      <w:r w:rsidRPr="00BC31E0">
        <w:rPr>
          <w:rFonts w:hint="eastAsia"/>
        </w:rPr>
        <w:t>この線図は次の範囲で適用する。</w:t>
      </w:r>
    </w:p>
    <w:p w14:paraId="5ACC8A94" w14:textId="77777777" w:rsidR="00E20930" w:rsidRPr="00BC31E0" w:rsidRDefault="00E20930" w:rsidP="005C6933">
      <w:pPr>
        <w:ind w:left="737"/>
        <w:rPr>
          <w:kern w:val="0"/>
          <w:sz w:val="20"/>
        </w:rPr>
      </w:pPr>
      <w:r w:rsidRPr="00BC31E0">
        <w:rPr>
          <w:rFonts w:hint="eastAsia"/>
          <w:kern w:val="0"/>
        </w:rPr>
        <w:t>・機械的荷重によるピーク相当ひずみ範囲</w:t>
      </w:r>
      <m:oMath>
        <m:r>
          <w:rPr>
            <w:rFonts w:ascii="Cambria Math" w:hAnsi="Cambria Math"/>
            <w:kern w:val="0"/>
          </w:rPr>
          <m:t xml:space="preserve"> </m:t>
        </m:r>
        <m:r>
          <m:rPr>
            <m:sty m:val="p"/>
          </m:rPr>
          <w:rPr>
            <w:rFonts w:ascii="Cambria Math" w:hAnsi="Cambria Math"/>
            <w:kern w:val="0"/>
          </w:rPr>
          <m:t>&lt;</m:t>
        </m:r>
        <m:r>
          <w:rPr>
            <w:rFonts w:ascii="Cambria Math" w:hAnsi="Cambria Math"/>
            <w:kern w:val="0"/>
          </w:rPr>
          <m:t>1%</m:t>
        </m:r>
      </m:oMath>
    </w:p>
    <w:p w14:paraId="73ED264E" w14:textId="77777777" w:rsidR="00E20930" w:rsidRPr="00BC31E0" w:rsidRDefault="00E20930" w:rsidP="005C6933">
      <w:pPr>
        <w:ind w:left="737"/>
        <w:rPr>
          <w:kern w:val="0"/>
        </w:rPr>
      </w:pPr>
      <w:r w:rsidRPr="00BC31E0">
        <w:rPr>
          <w:rFonts w:hAnsi="ＭＳ 明朝" w:hint="eastAsia"/>
          <w:kern w:val="0"/>
        </w:rPr>
        <w:t>・</w:t>
      </w:r>
      <w:r w:rsidRPr="00BC31E0">
        <w:rPr>
          <w:rFonts w:hAnsi="ＭＳ 明朝"/>
          <w:kern w:val="0"/>
        </w:rPr>
        <w:t>機械的荷重＋熱荷重</w:t>
      </w:r>
      <w:r w:rsidRPr="00BC31E0">
        <w:rPr>
          <w:rFonts w:ascii="ＭＳ 明朝" w:hAnsi="ＭＳ 明朝" w:hint="eastAsia"/>
          <w:kern w:val="0"/>
        </w:rPr>
        <w:t>によるピーク相当ひずみ範囲</w:t>
      </w:r>
      <m:oMath>
        <m:r>
          <m:rPr>
            <m:sty m:val="p"/>
          </m:rPr>
          <w:rPr>
            <w:rFonts w:ascii="Cambria Math" w:hAnsi="Cambria Math"/>
            <w:kern w:val="0"/>
          </w:rPr>
          <m:t xml:space="preserve"> </m:t>
        </m:r>
        <m:r>
          <w:rPr>
            <w:rFonts w:ascii="Cambria Math" w:hAnsi="Cambria Math"/>
            <w:kern w:val="0"/>
          </w:rPr>
          <m:t>&lt;2%</m:t>
        </m:r>
      </m:oMath>
    </w:p>
    <w:p w14:paraId="6BE376AB" w14:textId="77777777" w:rsidR="00E20930" w:rsidRPr="00BC31E0" w:rsidRDefault="00E20930" w:rsidP="00736130">
      <w:pPr>
        <w:pStyle w:val="a4"/>
        <w:numPr>
          <w:ilvl w:val="0"/>
          <w:numId w:val="119"/>
        </w:numPr>
        <w:ind w:leftChars="0" w:left="454" w:hanging="454"/>
        <w:rPr>
          <w:kern w:val="0"/>
        </w:rPr>
      </w:pPr>
      <w:r w:rsidRPr="00BC31E0">
        <w:rPr>
          <w:rFonts w:ascii="ＭＳ ゴシック" w:eastAsia="ＭＳ ゴシック" w:hAnsi="ＭＳ ゴシック" w:hint="eastAsia"/>
          <w:b/>
          <w:bCs/>
          <w:kern w:val="0"/>
        </w:rPr>
        <w:t>図</w:t>
      </w:r>
      <w:r w:rsidRPr="00BC31E0">
        <w:rPr>
          <w:rFonts w:ascii="ＭＳ ゴシック" w:eastAsia="ＭＳ ゴシック" w:hAnsi="ＭＳ ゴシック"/>
          <w:b/>
          <w:bCs/>
          <w:kern w:val="0"/>
        </w:rPr>
        <w:t>6.3.8</w:t>
      </w:r>
      <w:r w:rsidRPr="00BC31E0">
        <w:rPr>
          <w:kern w:val="0"/>
        </w:rPr>
        <w:t>は運転</w:t>
      </w:r>
      <w:r w:rsidRPr="00BC31E0">
        <w:t>温度が</w:t>
      </w:r>
      <w:r w:rsidRPr="00BC31E0">
        <w:t>400</w:t>
      </w:r>
      <w:r w:rsidRPr="00BC31E0">
        <w:rPr>
          <w:rFonts w:ascii="ＭＳ 明朝" w:hAnsi="ＭＳ 明朝" w:cs="ＭＳ 明朝" w:hint="eastAsia"/>
        </w:rPr>
        <w:t>℃</w:t>
      </w:r>
      <w:r w:rsidRPr="00BC31E0">
        <w:t>～</w:t>
      </w:r>
      <w:r w:rsidRPr="00BC31E0">
        <w:t>500</w:t>
      </w:r>
      <w:r w:rsidRPr="00BC31E0">
        <w:rPr>
          <w:rFonts w:ascii="ＭＳ 明朝" w:hAnsi="ＭＳ 明朝" w:cs="ＭＳ 明朝" w:hint="eastAsia"/>
        </w:rPr>
        <w:t>℃</w:t>
      </w:r>
      <w:r w:rsidRPr="00BC31E0">
        <w:t>の範囲にある場合に適用する。</w:t>
      </w:r>
      <w:r w:rsidRPr="00BC31E0">
        <w:t>400</w:t>
      </w:r>
      <w:r w:rsidRPr="00BC31E0">
        <w:rPr>
          <w:rFonts w:ascii="ＭＳ 明朝" w:hAnsi="ＭＳ 明朝" w:cs="ＭＳ 明朝" w:hint="eastAsia"/>
        </w:rPr>
        <w:t>℃</w:t>
      </w:r>
      <w:r w:rsidRPr="00BC31E0">
        <w:t>，</w:t>
      </w:r>
      <w:r w:rsidRPr="00BC31E0">
        <w:t>450</w:t>
      </w:r>
      <w:r w:rsidRPr="00BC31E0">
        <w:rPr>
          <w:rFonts w:ascii="ＭＳ 明朝" w:hAnsi="ＭＳ 明朝" w:cs="ＭＳ 明朝" w:hint="eastAsia"/>
        </w:rPr>
        <w:t>℃</w:t>
      </w:r>
      <w:r w:rsidRPr="00BC31E0">
        <w:t>，</w:t>
      </w:r>
      <w:r w:rsidRPr="00BC31E0">
        <w:t>500</w:t>
      </w:r>
      <w:r w:rsidRPr="00BC31E0">
        <w:rPr>
          <w:rFonts w:ascii="ＭＳ 明朝" w:hAnsi="ＭＳ 明朝" w:cs="ＭＳ 明朝" w:hint="eastAsia"/>
        </w:rPr>
        <w:t>℃</w:t>
      </w:r>
      <w:r w:rsidRPr="00BC31E0">
        <w:t>の中間の温度については，補間法により応力振幅を求めてよい。</w:t>
      </w:r>
    </w:p>
    <w:p w14:paraId="104C7389" w14:textId="77777777" w:rsidR="00E20930" w:rsidRPr="00BC31E0" w:rsidRDefault="00E20930" w:rsidP="00736130">
      <w:pPr>
        <w:pStyle w:val="a4"/>
        <w:numPr>
          <w:ilvl w:val="0"/>
          <w:numId w:val="121"/>
        </w:numPr>
        <w:ind w:leftChars="0" w:left="454" w:hanging="454"/>
        <w:rPr>
          <w:kern w:val="0"/>
        </w:rPr>
      </w:pPr>
      <w:r w:rsidRPr="00BC31E0">
        <w:rPr>
          <w:rFonts w:hint="eastAsia"/>
          <w:kern w:val="0"/>
        </w:rPr>
        <w:t>設計疲労曲線に示す上限の繰返し回数を超える範囲での設計疲労曲線の使用法について</w:t>
      </w:r>
      <w:r w:rsidRPr="00BC31E0">
        <w:rPr>
          <w:rFonts w:hint="eastAsia"/>
          <w:bCs/>
          <w:kern w:val="0"/>
        </w:rPr>
        <w:t>は，</w:t>
      </w:r>
      <w:r w:rsidRPr="00BC31E0">
        <w:rPr>
          <w:rFonts w:ascii="ＭＳ ゴシック" w:eastAsia="ＭＳ ゴシック" w:hAnsi="ＭＳ ゴシック"/>
          <w:b/>
          <w:bCs/>
          <w:kern w:val="0"/>
        </w:rPr>
        <w:t>6.3.6</w:t>
      </w:r>
      <w:r w:rsidRPr="00BC31E0">
        <w:rPr>
          <w:rFonts w:hint="eastAsia"/>
          <w:kern w:val="0"/>
        </w:rPr>
        <w:t>による。</w:t>
      </w:r>
    </w:p>
    <w:p w14:paraId="5FF91A85" w14:textId="77777777" w:rsidR="00E20930" w:rsidRPr="00BC31E0" w:rsidRDefault="00E20930" w:rsidP="00D663C2">
      <w:pPr>
        <w:pStyle w:val="3"/>
        <w:tabs>
          <w:tab w:val="clear" w:pos="284"/>
        </w:tabs>
        <w:ind w:left="794" w:hanging="794"/>
      </w:pPr>
      <w:r w:rsidRPr="00BC31E0">
        <w:rPr>
          <w:rFonts w:hint="eastAsia"/>
        </w:rPr>
        <w:t>残留応力の取り扱い</w:t>
      </w:r>
    </w:p>
    <w:p w14:paraId="727B52A7" w14:textId="77777777" w:rsidR="00E20930" w:rsidRPr="00BC31E0" w:rsidRDefault="00E20930" w:rsidP="005C6933">
      <w:pPr>
        <w:ind w:firstLineChars="100" w:firstLine="210"/>
      </w:pPr>
      <w:r w:rsidRPr="00BC31E0">
        <w:rPr>
          <w:rFonts w:hint="eastAsia"/>
        </w:rPr>
        <w:lastRenderedPageBreak/>
        <w:t>残留応力の取り扱いは，次の</w:t>
      </w:r>
      <w:r w:rsidRPr="00BC31E0">
        <w:rPr>
          <w:rFonts w:ascii="ＭＳ ゴシック" w:eastAsia="ＭＳ ゴシック" w:hAnsi="ＭＳ ゴシック" w:hint="eastAsia"/>
          <w:b/>
        </w:rPr>
        <w:t>a)</w:t>
      </w:r>
      <w:r w:rsidRPr="00BC31E0">
        <w:rPr>
          <w:rFonts w:hint="eastAsia"/>
        </w:rPr>
        <w:t>～</w:t>
      </w:r>
      <w:r w:rsidRPr="00BC31E0">
        <w:rPr>
          <w:rFonts w:ascii="ＭＳ ゴシック" w:eastAsia="ＭＳ ゴシック" w:hAnsi="ＭＳ ゴシック" w:hint="eastAsia"/>
          <w:b/>
        </w:rPr>
        <w:t>e)</w:t>
      </w:r>
      <w:r w:rsidRPr="00BC31E0">
        <w:rPr>
          <w:rFonts w:hint="eastAsia"/>
        </w:rPr>
        <w:t>による。</w:t>
      </w:r>
    </w:p>
    <w:p w14:paraId="001ED7EB" w14:textId="77777777" w:rsidR="00E20930" w:rsidRPr="00BC31E0" w:rsidRDefault="00E20930" w:rsidP="00736130">
      <w:pPr>
        <w:pStyle w:val="a4"/>
        <w:numPr>
          <w:ilvl w:val="0"/>
          <w:numId w:val="122"/>
        </w:numPr>
        <w:ind w:leftChars="0" w:left="454" w:hanging="454"/>
      </w:pPr>
      <w:r w:rsidRPr="00BC31E0">
        <w:rPr>
          <w:rFonts w:hint="eastAsia"/>
        </w:rPr>
        <w:t>成形加工で生じた引張</w:t>
      </w:r>
      <w:r w:rsidR="000B3E3A" w:rsidRPr="00BC31E0">
        <w:rPr>
          <w:rFonts w:hint="eastAsia"/>
        </w:rPr>
        <w:t>残留</w:t>
      </w:r>
      <w:r w:rsidR="00BD420B" w:rsidRPr="00BC31E0">
        <w:rPr>
          <w:rFonts w:hint="eastAsia"/>
        </w:rPr>
        <w:t>応力の値が明らかでない場合には，これらの引張</w:t>
      </w:r>
      <w:r w:rsidR="000B3E3A" w:rsidRPr="00BC31E0">
        <w:rPr>
          <w:rFonts w:hint="eastAsia"/>
        </w:rPr>
        <w:t>残留</w:t>
      </w:r>
      <w:r w:rsidR="00BD420B" w:rsidRPr="00BC31E0">
        <w:rPr>
          <w:rFonts w:hint="eastAsia"/>
        </w:rPr>
        <w:t>応力は材料の規定</w:t>
      </w:r>
      <w:r w:rsidRPr="00BC31E0">
        <w:rPr>
          <w:rFonts w:hint="eastAsia"/>
        </w:rPr>
        <w:t>最小降伏</w:t>
      </w:r>
      <w:r w:rsidR="00A47E68" w:rsidRPr="00BC31E0">
        <w:rPr>
          <w:rFonts w:hint="eastAsia"/>
        </w:rPr>
        <w:t>強さ</w:t>
      </w:r>
      <w:r w:rsidRPr="00BC31E0">
        <w:rPr>
          <w:rFonts w:hint="eastAsia"/>
        </w:rPr>
        <w:t>に相当したピーク値を持つと見なす。</w:t>
      </w:r>
    </w:p>
    <w:p w14:paraId="3A4E009A" w14:textId="77777777" w:rsidR="00E20930" w:rsidRPr="00BC31E0" w:rsidRDefault="00E20930" w:rsidP="00736130">
      <w:pPr>
        <w:pStyle w:val="a4"/>
        <w:numPr>
          <w:ilvl w:val="0"/>
          <w:numId w:val="122"/>
        </w:numPr>
        <w:ind w:leftChars="0" w:left="454" w:hanging="454"/>
      </w:pPr>
      <w:r w:rsidRPr="00BC31E0">
        <w:rPr>
          <w:rFonts w:hint="eastAsia"/>
        </w:rPr>
        <w:t>溶接，熱処理，成形，自緊，焼ばめ及び線巻きなどの製作法は残留応力を生じ，次</w:t>
      </w:r>
      <w:r w:rsidR="000B3E3A" w:rsidRPr="00BC31E0">
        <w:rPr>
          <w:rFonts w:hint="eastAsia"/>
        </w:rPr>
        <w:t>の</w:t>
      </w:r>
      <w:r w:rsidR="000B3E3A" w:rsidRPr="00BC31E0">
        <w:rPr>
          <w:rFonts w:asciiTheme="majorEastAsia" w:eastAsiaTheme="majorEastAsia" w:hAnsiTheme="majorEastAsia" w:hint="eastAsia"/>
          <w:b/>
        </w:rPr>
        <w:t>1)</w:t>
      </w:r>
      <w:r w:rsidR="000B3E3A" w:rsidRPr="00BC31E0">
        <w:rPr>
          <w:rFonts w:hint="eastAsia"/>
        </w:rPr>
        <w:t>～</w:t>
      </w:r>
      <w:r w:rsidR="000B3E3A" w:rsidRPr="00BC31E0">
        <w:rPr>
          <w:rFonts w:asciiTheme="majorEastAsia" w:eastAsiaTheme="majorEastAsia" w:hAnsiTheme="majorEastAsia" w:hint="eastAsia"/>
          <w:b/>
        </w:rPr>
        <w:t>5)</w:t>
      </w:r>
      <w:r w:rsidRPr="00BC31E0">
        <w:rPr>
          <w:rFonts w:hint="eastAsia"/>
        </w:rPr>
        <w:t>を考慮する。</w:t>
      </w:r>
    </w:p>
    <w:p w14:paraId="5D79F08F" w14:textId="77777777" w:rsidR="00E20930" w:rsidRPr="00BC31E0" w:rsidRDefault="00E20930" w:rsidP="00736130">
      <w:pPr>
        <w:pStyle w:val="a4"/>
        <w:numPr>
          <w:ilvl w:val="0"/>
          <w:numId w:val="123"/>
        </w:numPr>
        <w:ind w:leftChars="0" w:left="738" w:hanging="454"/>
      </w:pPr>
      <w:r w:rsidRPr="00BC31E0">
        <w:rPr>
          <w:rFonts w:hint="eastAsia"/>
        </w:rPr>
        <w:t>引張残留応力は平均応力の計算に含める。</w:t>
      </w:r>
    </w:p>
    <w:p w14:paraId="2A0E734B" w14:textId="77777777" w:rsidR="00E20930" w:rsidRPr="00BC31E0" w:rsidRDefault="00E20930" w:rsidP="00736130">
      <w:pPr>
        <w:pStyle w:val="a4"/>
        <w:numPr>
          <w:ilvl w:val="0"/>
          <w:numId w:val="123"/>
        </w:numPr>
        <w:ind w:leftChars="0" w:left="738" w:hanging="454"/>
      </w:pPr>
      <w:r w:rsidRPr="00BC31E0">
        <w:rPr>
          <w:rFonts w:hint="eastAsia"/>
        </w:rPr>
        <w:t>塑性変形を伴わずに弾性的に導入された初期圧縮</w:t>
      </w:r>
      <w:r w:rsidR="000B3E3A" w:rsidRPr="00BC31E0">
        <w:rPr>
          <w:rFonts w:hint="eastAsia"/>
        </w:rPr>
        <w:t>残留</w:t>
      </w:r>
      <w:r w:rsidRPr="00BC31E0">
        <w:rPr>
          <w:rFonts w:hint="eastAsia"/>
        </w:rPr>
        <w:t>応力は平均応力に算入</w:t>
      </w:r>
      <w:r w:rsidR="00531F1B" w:rsidRPr="00BC31E0">
        <w:rPr>
          <w:rFonts w:hint="eastAsia"/>
        </w:rPr>
        <w:t>してもよい</w:t>
      </w:r>
      <w:r w:rsidRPr="00BC31E0">
        <w:rPr>
          <w:rFonts w:hint="eastAsia"/>
        </w:rPr>
        <w:t>。</w:t>
      </w:r>
    </w:p>
    <w:p w14:paraId="0769D9D1" w14:textId="77777777" w:rsidR="00E20930" w:rsidRPr="00BC31E0" w:rsidRDefault="00E20930" w:rsidP="00736130">
      <w:pPr>
        <w:pStyle w:val="a4"/>
        <w:numPr>
          <w:ilvl w:val="0"/>
          <w:numId w:val="123"/>
        </w:numPr>
        <w:ind w:leftChars="0" w:left="738" w:hanging="454"/>
      </w:pPr>
      <w:r w:rsidRPr="00BC31E0">
        <w:rPr>
          <w:rFonts w:hint="eastAsia"/>
        </w:rPr>
        <w:t>塑性変形を伴って導入された圧縮</w:t>
      </w:r>
      <w:r w:rsidR="000B3E3A" w:rsidRPr="00BC31E0">
        <w:rPr>
          <w:rFonts w:hint="eastAsia"/>
        </w:rPr>
        <w:t>残留</w:t>
      </w:r>
      <w:r w:rsidRPr="00BC31E0">
        <w:rPr>
          <w:rFonts w:hint="eastAsia"/>
        </w:rPr>
        <w:t>応力は</w:t>
      </w:r>
      <w:r w:rsidR="000B3E3A" w:rsidRPr="00BC31E0">
        <w:rPr>
          <w:rFonts w:hint="eastAsia"/>
        </w:rPr>
        <w:t>，</w:t>
      </w:r>
      <w:r w:rsidRPr="00BC31E0">
        <w:rPr>
          <w:rFonts w:hint="eastAsia"/>
        </w:rPr>
        <w:t>繰返し荷重下での挙動が検証されている場合に</w:t>
      </w:r>
      <w:r w:rsidR="000B3E3A" w:rsidRPr="00BC31E0">
        <w:rPr>
          <w:rFonts w:hint="eastAsia"/>
        </w:rPr>
        <w:t>は</w:t>
      </w:r>
      <w:r w:rsidRPr="00BC31E0">
        <w:rPr>
          <w:rFonts w:hint="eastAsia"/>
        </w:rPr>
        <w:t>平均応力に算入</w:t>
      </w:r>
      <w:r w:rsidR="00C333B8" w:rsidRPr="00BC31E0">
        <w:rPr>
          <w:rFonts w:hint="eastAsia"/>
        </w:rPr>
        <w:t>してもよい</w:t>
      </w:r>
      <w:r w:rsidRPr="00BC31E0">
        <w:rPr>
          <w:rFonts w:hint="eastAsia"/>
        </w:rPr>
        <w:t>。</w:t>
      </w:r>
    </w:p>
    <w:p w14:paraId="02D5EB0A" w14:textId="77777777" w:rsidR="00E20930" w:rsidRPr="00BC31E0" w:rsidRDefault="00E20930" w:rsidP="00736130">
      <w:pPr>
        <w:pStyle w:val="a4"/>
        <w:numPr>
          <w:ilvl w:val="0"/>
          <w:numId w:val="123"/>
        </w:numPr>
        <w:ind w:leftChars="0" w:left="738" w:hanging="454"/>
      </w:pPr>
      <w:r w:rsidRPr="00BC31E0">
        <w:rPr>
          <w:rFonts w:hint="eastAsia"/>
        </w:rPr>
        <w:t>自緊による残留応力を計算する時にはバウシンガー効果の影響を考慮する</w:t>
      </w:r>
      <w:r w:rsidRPr="00BC31E0">
        <w:t>(</w:t>
      </w:r>
      <w:r w:rsidRPr="00BC31E0">
        <w:rPr>
          <w:rFonts w:ascii="ＭＳ ゴシック" w:eastAsia="ＭＳ ゴシック" w:hAnsi="ＭＳ ゴシック"/>
          <w:b/>
        </w:rPr>
        <w:t>6.5</w:t>
      </w:r>
      <w:r w:rsidRPr="00BC31E0">
        <w:rPr>
          <w:rFonts w:ascii="ＭＳ 明朝" w:hAnsi="ＭＳ 明朝" w:hint="eastAsia"/>
        </w:rPr>
        <w:t>を</w:t>
      </w:r>
      <w:r w:rsidRPr="00BC31E0">
        <w:rPr>
          <w:rFonts w:hint="eastAsia"/>
        </w:rPr>
        <w:t>参照</w:t>
      </w:r>
      <w:r w:rsidRPr="00BC31E0">
        <w:t>)</w:t>
      </w:r>
      <w:r w:rsidRPr="00BC31E0">
        <w:rPr>
          <w:rFonts w:hint="eastAsia"/>
        </w:rPr>
        <w:t>。バウシンガー効果を考慮して求めた自緊圧縮</w:t>
      </w:r>
      <w:r w:rsidR="000B3E3A" w:rsidRPr="00BC31E0">
        <w:rPr>
          <w:rFonts w:hint="eastAsia"/>
        </w:rPr>
        <w:t>残留</w:t>
      </w:r>
      <w:r w:rsidRPr="00BC31E0">
        <w:rPr>
          <w:rFonts w:hint="eastAsia"/>
        </w:rPr>
        <w:t>応力</w:t>
      </w:r>
      <w:r w:rsidRPr="00BC31E0">
        <w:rPr>
          <w:rFonts w:hint="eastAsia"/>
        </w:rPr>
        <w:t>(</w:t>
      </w:r>
      <w:r w:rsidRPr="00BC31E0">
        <w:rPr>
          <w:rFonts w:ascii="ＭＳ ゴシック" w:eastAsia="ＭＳ ゴシック" w:hAnsi="ＭＳ ゴシック" w:hint="eastAsia"/>
          <w:b/>
        </w:rPr>
        <w:t>6.5.5</w:t>
      </w:r>
      <w:r w:rsidRPr="00BC31E0">
        <w:rPr>
          <w:rFonts w:ascii="ＭＳ 明朝" w:hAnsi="ＭＳ 明朝" w:hint="eastAsia"/>
        </w:rPr>
        <w:t>を</w:t>
      </w:r>
      <w:r w:rsidRPr="00BC31E0">
        <w:rPr>
          <w:rFonts w:hint="eastAsia"/>
        </w:rPr>
        <w:t>参照</w:t>
      </w:r>
      <w:r w:rsidRPr="00BC31E0">
        <w:rPr>
          <w:rFonts w:hint="eastAsia"/>
        </w:rPr>
        <w:t>)</w:t>
      </w:r>
      <w:r w:rsidRPr="00BC31E0">
        <w:rPr>
          <w:rFonts w:hint="eastAsia"/>
        </w:rPr>
        <w:t>は，</w:t>
      </w:r>
      <w:r w:rsidRPr="00BC31E0">
        <w:rPr>
          <w:rFonts w:ascii="ＭＳ ゴシック" w:eastAsia="ＭＳ ゴシック" w:hAnsi="ＭＳ ゴシック" w:hint="eastAsia"/>
          <w:b/>
        </w:rPr>
        <w:t>6.5.6</w:t>
      </w:r>
      <w:r w:rsidRPr="00BC31E0">
        <w:rPr>
          <w:rFonts w:hint="eastAsia"/>
        </w:rPr>
        <w:t>に示す条件を満たす機器に対しては，上記</w:t>
      </w:r>
      <w:r w:rsidRPr="00BC31E0">
        <w:rPr>
          <w:rFonts w:asciiTheme="majorEastAsia" w:eastAsiaTheme="majorEastAsia" w:hAnsiTheme="majorEastAsia" w:hint="eastAsia"/>
          <w:b/>
        </w:rPr>
        <w:t>3)</w:t>
      </w:r>
      <w:r w:rsidRPr="00BC31E0">
        <w:rPr>
          <w:rFonts w:hint="eastAsia"/>
        </w:rPr>
        <w:t>に拘わらず平均応力に</w:t>
      </w:r>
      <w:r w:rsidR="00AA3AA1" w:rsidRPr="00BC31E0">
        <w:rPr>
          <w:rFonts w:hint="eastAsia"/>
        </w:rPr>
        <w:t>算入してもよい</w:t>
      </w:r>
      <w:r w:rsidRPr="00BC31E0">
        <w:rPr>
          <w:rFonts w:hint="eastAsia"/>
        </w:rPr>
        <w:t>。</w:t>
      </w:r>
    </w:p>
    <w:p w14:paraId="63A69661" w14:textId="77777777" w:rsidR="00E20930" w:rsidRPr="00BC31E0" w:rsidRDefault="00E20930" w:rsidP="00736130">
      <w:pPr>
        <w:pStyle w:val="a4"/>
        <w:numPr>
          <w:ilvl w:val="0"/>
          <w:numId w:val="123"/>
        </w:numPr>
        <w:ind w:leftChars="0" w:left="738" w:hanging="454"/>
        <w:rPr>
          <w:kern w:val="0"/>
        </w:rPr>
      </w:pPr>
      <w:r w:rsidRPr="00BC31E0">
        <w:rPr>
          <w:rFonts w:hint="eastAsia"/>
          <w:kern w:val="0"/>
        </w:rPr>
        <w:t>高い応力集中部</w:t>
      </w:r>
      <w:r w:rsidRPr="00BC31E0">
        <w:rPr>
          <w:rFonts w:hint="eastAsia"/>
          <w:kern w:val="0"/>
        </w:rPr>
        <w:t>(</w:t>
      </w:r>
      <w:r w:rsidRPr="00BC31E0">
        <w:rPr>
          <w:rFonts w:hint="eastAsia"/>
          <w:kern w:val="0"/>
        </w:rPr>
        <w:t>例えば，鋭いノッチ部など</w:t>
      </w:r>
      <w:r w:rsidRPr="00BC31E0">
        <w:rPr>
          <w:rFonts w:hint="eastAsia"/>
          <w:kern w:val="0"/>
        </w:rPr>
        <w:t>)</w:t>
      </w:r>
      <w:r w:rsidRPr="00BC31E0">
        <w:rPr>
          <w:rFonts w:hint="eastAsia"/>
          <w:kern w:val="0"/>
        </w:rPr>
        <w:t>には，自緊圧縮</w:t>
      </w:r>
      <w:r w:rsidR="000B3E3A" w:rsidRPr="00BC31E0">
        <w:rPr>
          <w:rFonts w:hint="eastAsia"/>
          <w:kern w:val="0"/>
        </w:rPr>
        <w:t>残留</w:t>
      </w:r>
      <w:r w:rsidRPr="00BC31E0">
        <w:rPr>
          <w:rFonts w:hint="eastAsia"/>
          <w:kern w:val="0"/>
        </w:rPr>
        <w:t>応力の効果を適用してはならない。ただし，交差穴がある場合，胴内面の交差穴部の自緊圧縮</w:t>
      </w:r>
      <w:r w:rsidR="000B3E3A" w:rsidRPr="00BC31E0">
        <w:rPr>
          <w:rFonts w:hint="eastAsia"/>
          <w:kern w:val="0"/>
        </w:rPr>
        <w:t>残留</w:t>
      </w:r>
      <w:r w:rsidRPr="00BC31E0">
        <w:rPr>
          <w:rFonts w:hint="eastAsia"/>
          <w:kern w:val="0"/>
        </w:rPr>
        <w:t>応力値として，</w:t>
      </w:r>
      <w:r w:rsidRPr="00BC31E0">
        <w:rPr>
          <w:rFonts w:ascii="ＭＳ ゴシック" w:eastAsia="ＭＳ ゴシック" w:hAnsi="ＭＳ ゴシック" w:hint="eastAsia"/>
          <w:b/>
          <w:kern w:val="0"/>
        </w:rPr>
        <w:t>6.5.5</w:t>
      </w:r>
      <w:r w:rsidRPr="00BC31E0">
        <w:rPr>
          <w:rFonts w:hint="eastAsia"/>
          <w:kern w:val="0"/>
        </w:rPr>
        <w:t>に示す円筒胴内面の自緊圧縮</w:t>
      </w:r>
      <w:r w:rsidR="000B3E3A" w:rsidRPr="00BC31E0">
        <w:rPr>
          <w:rFonts w:hint="eastAsia"/>
          <w:kern w:val="0"/>
        </w:rPr>
        <w:t>残留</w:t>
      </w:r>
      <w:r w:rsidRPr="00BC31E0">
        <w:rPr>
          <w:rFonts w:hint="eastAsia"/>
          <w:kern w:val="0"/>
        </w:rPr>
        <w:t>応力値を使用</w:t>
      </w:r>
      <w:r w:rsidR="00492654" w:rsidRPr="00BC31E0">
        <w:rPr>
          <w:rFonts w:hint="eastAsia"/>
          <w:kern w:val="0"/>
        </w:rPr>
        <w:t>してもよい</w:t>
      </w:r>
      <w:r w:rsidRPr="00BC31E0">
        <w:rPr>
          <w:rFonts w:hint="eastAsia"/>
          <w:kern w:val="0"/>
        </w:rPr>
        <w:t>。</w:t>
      </w:r>
    </w:p>
    <w:p w14:paraId="08E3E67A" w14:textId="77777777" w:rsidR="00E20930" w:rsidRPr="00BC31E0" w:rsidRDefault="00E20930" w:rsidP="00736130">
      <w:pPr>
        <w:pStyle w:val="a4"/>
        <w:numPr>
          <w:ilvl w:val="0"/>
          <w:numId w:val="122"/>
        </w:numPr>
        <w:ind w:leftChars="0" w:left="454" w:hanging="454"/>
        <w:rPr>
          <w:kern w:val="0"/>
        </w:rPr>
      </w:pPr>
      <w:r w:rsidRPr="00BC31E0">
        <w:rPr>
          <w:rFonts w:hint="eastAsia"/>
          <w:kern w:val="0"/>
        </w:rPr>
        <w:t>運転時又は耐圧試験時の荷重の組</w:t>
      </w:r>
      <w:r w:rsidR="003B5C5E" w:rsidRPr="00BC31E0">
        <w:rPr>
          <w:rFonts w:hint="eastAsia"/>
          <w:kern w:val="0"/>
        </w:rPr>
        <w:t>合</w:t>
      </w:r>
      <w:r w:rsidRPr="00BC31E0">
        <w:rPr>
          <w:rFonts w:hint="eastAsia"/>
          <w:kern w:val="0"/>
        </w:rPr>
        <w:t>せによって降伏を生じる時には，残留応力の変化を考慮する。</w:t>
      </w:r>
    </w:p>
    <w:p w14:paraId="2A0D9BA1" w14:textId="77777777" w:rsidR="00E20930" w:rsidRPr="00BC31E0" w:rsidRDefault="00E20930" w:rsidP="00736130">
      <w:pPr>
        <w:pStyle w:val="a4"/>
        <w:numPr>
          <w:ilvl w:val="0"/>
          <w:numId w:val="122"/>
        </w:numPr>
        <w:ind w:leftChars="0" w:left="454" w:hanging="454"/>
        <w:rPr>
          <w:kern w:val="0"/>
          <w:sz w:val="20"/>
        </w:rPr>
      </w:pPr>
      <w:r w:rsidRPr="00BC31E0">
        <w:rPr>
          <w:rFonts w:hint="eastAsia"/>
          <w:kern w:val="0"/>
        </w:rPr>
        <w:t>溶接構造の場合には，溶着金属又は熱影響部において，残留応力を有利に効かせてはならない。</w:t>
      </w:r>
    </w:p>
    <w:p w14:paraId="67184A00" w14:textId="77777777" w:rsidR="00E20930" w:rsidRPr="00BC31E0" w:rsidRDefault="00E20930" w:rsidP="00736130">
      <w:pPr>
        <w:pStyle w:val="a4"/>
        <w:numPr>
          <w:ilvl w:val="0"/>
          <w:numId w:val="122"/>
        </w:numPr>
        <w:ind w:leftChars="0" w:left="454" w:hanging="454"/>
        <w:rPr>
          <w:kern w:val="0"/>
        </w:rPr>
      </w:pPr>
      <w:r w:rsidRPr="00BC31E0">
        <w:rPr>
          <w:rFonts w:hint="eastAsia"/>
          <w:kern w:val="0"/>
        </w:rPr>
        <w:t>オーステナイト系ステンレス鋼製の構造物においては，残留応力を有利に効かせてはならない。</w:t>
      </w:r>
    </w:p>
    <w:p w14:paraId="29DBCC06" w14:textId="77777777" w:rsidR="00E20930" w:rsidRPr="00BC31E0" w:rsidRDefault="00E20930" w:rsidP="005F5B4C">
      <w:pPr>
        <w:pStyle w:val="3"/>
        <w:tabs>
          <w:tab w:val="clear" w:pos="284"/>
        </w:tabs>
        <w:ind w:left="794" w:hanging="794"/>
      </w:pPr>
      <w:r w:rsidRPr="00BC31E0">
        <w:rPr>
          <w:rFonts w:hint="eastAsia"/>
        </w:rPr>
        <w:t>疲労評価の手順</w:t>
      </w:r>
    </w:p>
    <w:p w14:paraId="702EDCD7" w14:textId="77777777" w:rsidR="00E20930" w:rsidRPr="00BC31E0" w:rsidRDefault="00E20930" w:rsidP="00E20930">
      <w:pPr>
        <w:ind w:firstLineChars="100" w:firstLine="210"/>
      </w:pPr>
      <w:r w:rsidRPr="00BC31E0">
        <w:rPr>
          <w:rFonts w:hint="eastAsia"/>
        </w:rPr>
        <w:t>疲労評価は次の</w:t>
      </w:r>
      <w:r w:rsidRPr="00BC31E0">
        <w:rPr>
          <w:rFonts w:ascii="ＭＳ ゴシック" w:eastAsia="ＭＳ ゴシック" w:hint="eastAsia"/>
          <w:b/>
          <w:kern w:val="0"/>
        </w:rPr>
        <w:t>a)</w:t>
      </w:r>
      <w:r w:rsidRPr="00BC31E0">
        <w:rPr>
          <w:rFonts w:hint="eastAsia"/>
        </w:rPr>
        <w:t>と</w:t>
      </w:r>
      <w:r w:rsidRPr="00BC31E0">
        <w:rPr>
          <w:rFonts w:ascii="ＭＳ ゴシック" w:eastAsia="ＭＳ ゴシック" w:hint="eastAsia"/>
          <w:b/>
          <w:kern w:val="0"/>
        </w:rPr>
        <w:t>b)</w:t>
      </w:r>
      <w:r w:rsidRPr="00BC31E0">
        <w:rPr>
          <w:rFonts w:hint="eastAsia"/>
        </w:rPr>
        <w:t>による。</w:t>
      </w:r>
    </w:p>
    <w:p w14:paraId="50DB1C11" w14:textId="77777777" w:rsidR="00E20930" w:rsidRPr="00BC31E0" w:rsidRDefault="00E20930" w:rsidP="00736130">
      <w:pPr>
        <w:pStyle w:val="a4"/>
        <w:numPr>
          <w:ilvl w:val="0"/>
          <w:numId w:val="124"/>
        </w:numPr>
        <w:ind w:leftChars="0" w:left="454" w:hanging="454"/>
        <w:rPr>
          <w:rFonts w:ascii="ＭＳ ゴシック" w:eastAsia="ＭＳ ゴシック" w:hAnsi="ＭＳ ゴシック"/>
          <w:b/>
        </w:rPr>
      </w:pPr>
      <w:r w:rsidRPr="00BC31E0">
        <w:rPr>
          <w:rFonts w:ascii="ＭＳ ゴシック" w:eastAsia="ＭＳ ゴシック" w:hAnsi="ＭＳ ゴシック" w:hint="eastAsia"/>
          <w:b/>
        </w:rPr>
        <w:t>一般</w:t>
      </w:r>
    </w:p>
    <w:p w14:paraId="00D08AAD" w14:textId="77777777" w:rsidR="00E20930" w:rsidRPr="00BC31E0" w:rsidRDefault="00E20930" w:rsidP="00736130">
      <w:pPr>
        <w:pStyle w:val="a4"/>
        <w:numPr>
          <w:ilvl w:val="0"/>
          <w:numId w:val="128"/>
        </w:numPr>
        <w:ind w:leftChars="0" w:left="738" w:hanging="454"/>
        <w:rPr>
          <w:kern w:val="0"/>
          <w:sz w:val="20"/>
        </w:rPr>
      </w:pPr>
      <w:r w:rsidRPr="00BC31E0">
        <w:rPr>
          <w:rFonts w:hint="eastAsia"/>
          <w:kern w:val="0"/>
        </w:rPr>
        <w:t>ミーゼス相当応力</w:t>
      </w:r>
      <w:r w:rsidRPr="00BC31E0">
        <w:rPr>
          <w:rFonts w:hint="eastAsia"/>
          <w:kern w:val="0"/>
        </w:rPr>
        <w:t>(</w:t>
      </w:r>
      <w:r w:rsidRPr="00BC31E0">
        <w:rPr>
          <w:rFonts w:hint="eastAsia"/>
          <w:kern w:val="0"/>
        </w:rPr>
        <w:t>以下，相当応力と表示</w:t>
      </w:r>
      <w:r w:rsidRPr="00BC31E0">
        <w:rPr>
          <w:rFonts w:hint="eastAsia"/>
          <w:kern w:val="0"/>
        </w:rPr>
        <w:t>)</w:t>
      </w:r>
      <w:r w:rsidRPr="00BC31E0">
        <w:rPr>
          <w:rFonts w:hint="eastAsia"/>
          <w:kern w:val="0"/>
        </w:rPr>
        <w:t>の振幅及び平均応力は，設計仕様書に規定された</w:t>
      </w:r>
      <w:r w:rsidR="00DC160D" w:rsidRPr="00BC31E0">
        <w:rPr>
          <w:rFonts w:hint="eastAsia"/>
          <w:kern w:val="0"/>
        </w:rPr>
        <w:t>全</w:t>
      </w:r>
      <w:r w:rsidRPr="00BC31E0">
        <w:rPr>
          <w:rFonts w:hint="eastAsia"/>
          <w:kern w:val="0"/>
        </w:rPr>
        <w:t>ての荷重条件に対して計算する。</w:t>
      </w:r>
    </w:p>
    <w:p w14:paraId="5B64C1CC" w14:textId="77777777" w:rsidR="00E20930" w:rsidRPr="00BC31E0" w:rsidRDefault="00E20930" w:rsidP="00736130">
      <w:pPr>
        <w:pStyle w:val="a4"/>
        <w:numPr>
          <w:ilvl w:val="0"/>
          <w:numId w:val="128"/>
        </w:numPr>
        <w:ind w:leftChars="0" w:left="738" w:hanging="454"/>
        <w:rPr>
          <w:kern w:val="0"/>
          <w:sz w:val="20"/>
        </w:rPr>
      </w:pPr>
      <w:r w:rsidRPr="00BC31E0">
        <w:rPr>
          <w:rFonts w:hint="eastAsia"/>
          <w:kern w:val="0"/>
        </w:rPr>
        <w:t>繰返し荷重による相当応力の範囲及び関連する平均応力</w:t>
      </w:r>
      <w:r w:rsidRPr="00BC31E0">
        <w:rPr>
          <w:rFonts w:hint="eastAsia"/>
          <w:kern w:val="0"/>
        </w:rPr>
        <w:t>(</w:t>
      </w:r>
      <w:r w:rsidRPr="00BC31E0">
        <w:rPr>
          <w:rFonts w:hint="eastAsia"/>
          <w:kern w:val="0"/>
        </w:rPr>
        <w:t>残留応力＋運転応力</w:t>
      </w:r>
      <w:r w:rsidRPr="00BC31E0">
        <w:rPr>
          <w:rFonts w:hint="eastAsia"/>
          <w:kern w:val="0"/>
        </w:rPr>
        <w:t>)</w:t>
      </w:r>
      <w:r w:rsidRPr="00BC31E0">
        <w:rPr>
          <w:rFonts w:hint="eastAsia"/>
          <w:kern w:val="0"/>
        </w:rPr>
        <w:t>は，弾性的挙動を仮定して求める。</w:t>
      </w:r>
    </w:p>
    <w:p w14:paraId="436B9CBB" w14:textId="77777777" w:rsidR="00E20930" w:rsidRPr="00BC31E0" w:rsidRDefault="00E20930" w:rsidP="00736130">
      <w:pPr>
        <w:pStyle w:val="a4"/>
        <w:numPr>
          <w:ilvl w:val="0"/>
          <w:numId w:val="128"/>
        </w:numPr>
        <w:ind w:leftChars="0" w:left="738" w:hanging="454"/>
        <w:rPr>
          <w:kern w:val="0"/>
        </w:rPr>
      </w:pPr>
      <w:r w:rsidRPr="00BC31E0">
        <w:rPr>
          <w:rFonts w:hint="eastAsia"/>
          <w:kern w:val="0"/>
        </w:rPr>
        <w:t>応力集中係数は，解析的手法又は実験的手法によって決定する。</w:t>
      </w:r>
    </w:p>
    <w:p w14:paraId="12688D46" w14:textId="77777777" w:rsidR="00E20930" w:rsidRPr="00BC31E0" w:rsidRDefault="00E20930" w:rsidP="00736130">
      <w:pPr>
        <w:pStyle w:val="a4"/>
        <w:numPr>
          <w:ilvl w:val="0"/>
          <w:numId w:val="128"/>
        </w:numPr>
        <w:ind w:leftChars="0" w:left="738" w:hanging="454"/>
        <w:rPr>
          <w:rFonts w:ascii="ＭＳ ゴシック" w:eastAsia="ＭＳ ゴシック"/>
          <w:kern w:val="0"/>
        </w:rPr>
      </w:pPr>
      <w:r w:rsidRPr="00BC31E0">
        <w:rPr>
          <w:rFonts w:hint="eastAsia"/>
          <w:kern w:val="0"/>
        </w:rPr>
        <w:t>溶接継手に考慮する疲労強度減少係数は，</w:t>
      </w:r>
      <w:r w:rsidRPr="00BC31E0">
        <w:rPr>
          <w:rFonts w:asciiTheme="majorEastAsia" w:eastAsiaTheme="majorEastAsia" w:hAnsiTheme="majorEastAsia" w:hint="eastAsia"/>
          <w:b/>
          <w:kern w:val="0"/>
        </w:rPr>
        <w:t>6.11.8</w:t>
      </w:r>
      <w:r w:rsidRPr="00BC31E0">
        <w:rPr>
          <w:rFonts w:hint="eastAsia"/>
          <w:kern w:val="0"/>
        </w:rPr>
        <w:t>に定める疲労試験により決定するか，</w:t>
      </w:r>
      <w:r w:rsidRPr="00BC31E0">
        <w:rPr>
          <w:rFonts w:ascii="ＭＳ ゴシック" w:eastAsia="ＭＳ ゴシック" w:hAnsi="ＭＳ ゴシック" w:hint="eastAsia"/>
          <w:b/>
          <w:kern w:val="0"/>
        </w:rPr>
        <w:t>JIS B 8266 附属書8</w:t>
      </w:r>
      <w:r w:rsidRPr="00BC31E0">
        <w:rPr>
          <w:rFonts w:hint="eastAsia"/>
          <w:kern w:val="0"/>
        </w:rPr>
        <w:t>の</w:t>
      </w:r>
      <w:r w:rsidRPr="00BC31E0">
        <w:rPr>
          <w:rFonts w:ascii="ＭＳ ゴシック" w:eastAsia="ＭＳ ゴシック" w:hAnsi="ＭＳ ゴシック" w:hint="eastAsia"/>
          <w:b/>
          <w:kern w:val="0"/>
        </w:rPr>
        <w:t>3.3 f)</w:t>
      </w:r>
      <w:r w:rsidRPr="00BC31E0">
        <w:rPr>
          <w:rFonts w:hint="eastAsia"/>
          <w:kern w:val="0"/>
        </w:rPr>
        <w:t>及び</w:t>
      </w:r>
      <w:r w:rsidRPr="00BC31E0">
        <w:rPr>
          <w:rFonts w:ascii="ＭＳ ゴシック" w:eastAsia="ＭＳ ゴシック" w:hAnsi="ＭＳ ゴシック" w:hint="eastAsia"/>
          <w:b/>
          <w:kern w:val="0"/>
        </w:rPr>
        <w:t>3.4</w:t>
      </w:r>
      <w:r w:rsidRPr="00BC31E0">
        <w:rPr>
          <w:rFonts w:hint="eastAsia"/>
          <w:kern w:val="0"/>
        </w:rPr>
        <w:t>により決定する。</w:t>
      </w:r>
    </w:p>
    <w:p w14:paraId="50007A04" w14:textId="77777777" w:rsidR="00E20930" w:rsidRPr="00BC31E0" w:rsidRDefault="00E20930" w:rsidP="00736130">
      <w:pPr>
        <w:pStyle w:val="a4"/>
        <w:numPr>
          <w:ilvl w:val="0"/>
          <w:numId w:val="124"/>
        </w:numPr>
        <w:ind w:leftChars="0" w:left="454" w:hanging="454"/>
      </w:pPr>
      <w:r w:rsidRPr="00BC31E0">
        <w:rPr>
          <w:rFonts w:asciiTheme="majorEastAsia" w:eastAsiaTheme="majorEastAsia" w:hAnsiTheme="majorEastAsia" w:hint="eastAsia"/>
          <w:b/>
        </w:rPr>
        <w:t>疲労評価手順</w:t>
      </w:r>
    </w:p>
    <w:p w14:paraId="3D55BF26" w14:textId="77777777" w:rsidR="00E20930" w:rsidRPr="00BC31E0" w:rsidRDefault="00E20930" w:rsidP="00736130">
      <w:pPr>
        <w:pStyle w:val="a4"/>
        <w:numPr>
          <w:ilvl w:val="0"/>
          <w:numId w:val="112"/>
        </w:numPr>
        <w:ind w:leftChars="0" w:left="738" w:hanging="454"/>
      </w:pPr>
      <w:r w:rsidRPr="00BC31E0">
        <w:rPr>
          <w:rFonts w:asciiTheme="majorEastAsia" w:eastAsiaTheme="majorEastAsia" w:hAnsiTheme="majorEastAsia" w:hint="eastAsia"/>
          <w:b/>
        </w:rPr>
        <w:t>相当応力振幅</w:t>
      </w:r>
    </w:p>
    <w:p w14:paraId="1D92EA86" w14:textId="77777777" w:rsidR="00E20930" w:rsidRPr="00BC31E0" w:rsidRDefault="00E20930" w:rsidP="00531981">
      <w:pPr>
        <w:ind w:left="737"/>
      </w:pPr>
      <w:r w:rsidRPr="00BC31E0">
        <w:rPr>
          <w:rFonts w:asciiTheme="minorEastAsia" w:eastAsiaTheme="minorEastAsia" w:hAnsiTheme="minorEastAsia" w:hint="eastAsia"/>
        </w:rPr>
        <w:t>相当応力振幅は次の</w:t>
      </w:r>
      <w:r w:rsidRPr="00BC31E0">
        <w:rPr>
          <w:rFonts w:ascii="ＭＳ ゴシック" w:eastAsia="ＭＳ ゴシック" w:hAnsi="ＭＳ ゴシック" w:hint="eastAsia"/>
          <w:b/>
        </w:rPr>
        <w:t>1.1)</w:t>
      </w:r>
      <w:r w:rsidRPr="00BC31E0">
        <w:rPr>
          <w:rFonts w:asciiTheme="minorEastAsia" w:eastAsiaTheme="minorEastAsia" w:hAnsiTheme="minorEastAsia" w:hint="eastAsia"/>
        </w:rPr>
        <w:t>～</w:t>
      </w:r>
      <w:r w:rsidRPr="00BC31E0">
        <w:rPr>
          <w:rFonts w:ascii="ＭＳ ゴシック" w:eastAsia="ＭＳ ゴシック" w:hAnsi="ＭＳ ゴシック" w:hint="eastAsia"/>
          <w:b/>
        </w:rPr>
        <w:t>1.5)</w:t>
      </w:r>
      <w:r w:rsidRPr="00BC31E0">
        <w:rPr>
          <w:rFonts w:asciiTheme="minorEastAsia" w:eastAsiaTheme="minorEastAsia" w:hAnsiTheme="minorEastAsia" w:hint="eastAsia"/>
        </w:rPr>
        <w:t>による。</w:t>
      </w:r>
    </w:p>
    <w:p w14:paraId="283BE8BA" w14:textId="77777777" w:rsidR="00E20930" w:rsidRPr="00BC31E0" w:rsidRDefault="00E20930" w:rsidP="00736130">
      <w:pPr>
        <w:pStyle w:val="a4"/>
        <w:numPr>
          <w:ilvl w:val="0"/>
          <w:numId w:val="113"/>
        </w:numPr>
        <w:ind w:leftChars="0" w:left="1134" w:hanging="567"/>
      </w:pPr>
      <w:r w:rsidRPr="00BC31E0">
        <w:rPr>
          <w:rFonts w:hint="eastAsia"/>
        </w:rPr>
        <w:t>評価点の</w:t>
      </w:r>
      <w:r w:rsidRPr="00BC31E0">
        <w:rPr>
          <w:rFonts w:hint="eastAsia"/>
        </w:rPr>
        <w:t>1</w:t>
      </w:r>
      <w:r w:rsidRPr="00BC31E0">
        <w:rPr>
          <w:rFonts w:hint="eastAsia"/>
        </w:rPr>
        <w:t>サイクル中における</w:t>
      </w:r>
      <w:r w:rsidRPr="00BC31E0">
        <w:rPr>
          <w:rFonts w:hint="eastAsia"/>
        </w:rPr>
        <w:t>6</w:t>
      </w:r>
      <w:r w:rsidRPr="00BC31E0">
        <w:rPr>
          <w:rFonts w:hint="eastAsia"/>
        </w:rPr>
        <w:t>個の応力成分</w:t>
      </w:r>
      <m:oMath>
        <m:sSub>
          <m:sSubPr>
            <m:ctrlPr>
              <w:rPr>
                <w:rFonts w:ascii="Cambria Math" w:eastAsiaTheme="minorEastAsia" w:hAnsi="Cambria Math"/>
                <w:i/>
              </w:rPr>
            </m:ctrlPr>
          </m:sSubPr>
          <m:e>
            <m:r>
              <w:rPr>
                <w:rFonts w:ascii="Cambria Math" w:eastAsiaTheme="minorEastAsia" w:hAnsi="Cambria Math"/>
              </w:rPr>
              <m:t xml:space="preserve"> σ</m:t>
            </m:r>
          </m:e>
          <m:sub>
            <m:r>
              <w:rPr>
                <w:rFonts w:ascii="Cambria Math" w:eastAsiaTheme="minorEastAsia" w:hAnsi="Cambria Math"/>
              </w:rPr>
              <m:t>x</m:t>
            </m:r>
          </m:sub>
        </m:sSub>
      </m:oMath>
      <w:r w:rsidR="006E318C" w:rsidRPr="00BC31E0">
        <w:rPr>
          <w:rFonts w:hint="eastAsia"/>
        </w:rPr>
        <w:t>，</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y</m:t>
            </m:r>
          </m:sub>
        </m:sSub>
        <m:r>
          <m:rPr>
            <m:sty m:val="p"/>
          </m:rPr>
          <w:rPr>
            <w:rFonts w:ascii="Cambria Math" w:hAnsi="Cambria Math" w:hint="eastAsia"/>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z</m:t>
            </m:r>
          </m:sub>
        </m:sSub>
        <m:r>
          <m:rPr>
            <m:sty m:val="p"/>
          </m:rPr>
          <w:rPr>
            <w:rFonts w:ascii="Cambria Math" w:hAnsi="Cambria Math" w:hint="eastAsia"/>
          </w:rPr>
          <m:t>，</m:t>
        </m:r>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 xml:space="preserve">xy </m:t>
            </m:r>
          </m:sub>
        </m:sSub>
        <m:r>
          <m:rPr>
            <m:sty m:val="p"/>
          </m:rPr>
          <w:rPr>
            <w:rFonts w:ascii="Cambria Math" w:hAnsi="Cambria Math" w:hint="eastAsia"/>
          </w:rPr>
          <m:t>，</m:t>
        </m:r>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yz</m:t>
            </m:r>
          </m:sub>
        </m:sSub>
      </m:oMath>
      <w:r w:rsidR="006E318C" w:rsidRPr="00BC31E0">
        <w:rPr>
          <w:rFonts w:hint="eastAsia"/>
        </w:rPr>
        <w:t>，</w:t>
      </w:r>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 xml:space="preserve">zx </m:t>
            </m:r>
          </m:sub>
        </m:sSub>
      </m:oMath>
      <w:r w:rsidRPr="00BC31E0">
        <w:rPr>
          <w:rFonts w:hint="eastAsia"/>
        </w:rPr>
        <w:t>の時間変化を求める。</w:t>
      </w:r>
    </w:p>
    <w:p w14:paraId="1D5BFD71" w14:textId="77777777" w:rsidR="00E20930" w:rsidRPr="00BC31E0" w:rsidRDefault="00E20930" w:rsidP="00736130">
      <w:pPr>
        <w:pStyle w:val="a4"/>
        <w:numPr>
          <w:ilvl w:val="0"/>
          <w:numId w:val="113"/>
        </w:numPr>
        <w:ind w:leftChars="0" w:left="1134" w:hanging="567"/>
      </w:pPr>
      <w:r w:rsidRPr="00BC31E0">
        <w:rPr>
          <w:rFonts w:hint="eastAsia"/>
        </w:rPr>
        <w:t>サイクル中</w:t>
      </w:r>
      <w:r w:rsidRPr="00BC31E0">
        <w:rPr>
          <w:rFonts w:hint="eastAsia"/>
          <w:kern w:val="0"/>
        </w:rPr>
        <w:t>，</w:t>
      </w:r>
      <w:r w:rsidRPr="00BC31E0">
        <w:rPr>
          <w:rFonts w:hint="eastAsia"/>
        </w:rPr>
        <w:t>それらが極値</w:t>
      </w:r>
      <w:r w:rsidR="00531981" w:rsidRPr="00BC31E0">
        <w:rPr>
          <w:rFonts w:hint="eastAsia"/>
        </w:rPr>
        <w:t>(</w:t>
      </w:r>
      <w:r w:rsidRPr="00BC31E0">
        <w:rPr>
          <w:rFonts w:hint="eastAsia"/>
        </w:rPr>
        <w:t>代数的に最大</w:t>
      </w:r>
      <w:r w:rsidR="0053419A" w:rsidRPr="00BC31E0">
        <w:rPr>
          <w:rFonts w:hint="eastAsia"/>
        </w:rPr>
        <w:t>又は</w:t>
      </w:r>
      <w:r w:rsidRPr="00BC31E0">
        <w:rPr>
          <w:rFonts w:hint="eastAsia"/>
        </w:rPr>
        <w:t>最小</w:t>
      </w:r>
      <w:r w:rsidR="00531981" w:rsidRPr="00BC31E0">
        <w:rPr>
          <w:rFonts w:hint="eastAsia"/>
        </w:rPr>
        <w:t>)</w:t>
      </w:r>
      <w:r w:rsidRPr="00BC31E0">
        <w:rPr>
          <w:rFonts w:hint="eastAsia"/>
        </w:rPr>
        <w:t>の</w:t>
      </w:r>
      <w:r w:rsidRPr="00BC31E0">
        <w:rPr>
          <w:rFonts w:hint="eastAsia"/>
        </w:rPr>
        <w:t>1</w:t>
      </w:r>
      <w:r w:rsidRPr="00BC31E0">
        <w:rPr>
          <w:rFonts w:hint="eastAsia"/>
        </w:rPr>
        <w:t>つを生じる時点を選び出し</w:t>
      </w:r>
      <w:r w:rsidRPr="00BC31E0">
        <w:rPr>
          <w:rFonts w:hint="eastAsia"/>
          <w:kern w:val="0"/>
        </w:rPr>
        <w:t>，</w:t>
      </w:r>
      <w:r w:rsidRPr="00BC31E0">
        <w:rPr>
          <w:rFonts w:hint="eastAsia"/>
        </w:rPr>
        <w:t>この時点の応力成分を</w:t>
      </w:r>
      <m:oMath>
        <m:r>
          <m:rPr>
            <m:sty m:val="p"/>
          </m:rPr>
          <w:rPr>
            <w:rFonts w:ascii="Cambria Math" w:hAnsi="Cambria Math"/>
          </w:rPr>
          <m:t xml:space="preserve"> </m:t>
        </m:r>
        <m:sSub>
          <m:sSubPr>
            <m:ctrlPr>
              <w:rPr>
                <w:rFonts w:ascii="Cambria Math" w:hAnsi="Cambria Math"/>
                <w:i/>
              </w:rPr>
            </m:ctrlPr>
          </m:sSubPr>
          <m:e>
            <m:r>
              <w:rPr>
                <w:rFonts w:ascii="Cambria Math" w:hAnsi="Cambria Math"/>
              </w:rPr>
              <m:t>σ</m:t>
            </m:r>
          </m:e>
          <m:sub>
            <m:r>
              <w:rPr>
                <w:rFonts w:ascii="Cambria Math" w:hAnsi="Cambria Math"/>
              </w:rPr>
              <m:t>xi</m:t>
            </m:r>
          </m:sub>
        </m:sSub>
      </m:oMath>
      <w:r w:rsidR="006E318C" w:rsidRPr="00BC31E0">
        <w:rPr>
          <w:rFonts w:hint="eastAsia"/>
        </w:rPr>
        <w:t>，</w:t>
      </w:r>
      <m:oMath>
        <m:sSub>
          <m:sSubPr>
            <m:ctrlPr>
              <w:rPr>
                <w:rFonts w:ascii="Cambria Math" w:hAnsi="Cambria Math"/>
                <w:i/>
              </w:rPr>
            </m:ctrlPr>
          </m:sSubPr>
          <m:e>
            <m:r>
              <w:rPr>
                <w:rFonts w:ascii="Cambria Math" w:hAnsi="Cambria Math"/>
              </w:rPr>
              <m:t>σ</m:t>
            </m:r>
          </m:e>
          <m:sub>
            <m:r>
              <w:rPr>
                <w:rFonts w:ascii="Cambria Math" w:hAnsi="Cambria Math"/>
              </w:rPr>
              <m:t>yi</m:t>
            </m:r>
          </m:sub>
        </m:sSub>
        <m:r>
          <w:rPr>
            <w:rFonts w:ascii="Cambria Math" w:hAnsi="Cambria Math" w:hint="eastAsia"/>
          </w:rPr>
          <m:t xml:space="preserve"> </m:t>
        </m:r>
      </m:oMath>
      <w:r w:rsidRPr="00BC31E0">
        <w:rPr>
          <w:rFonts w:hint="eastAsia"/>
        </w:rPr>
        <w:t>のように添字</w:t>
      </w:r>
      <m:oMath>
        <m:r>
          <m:rPr>
            <m:sty m:val="p"/>
          </m:rPr>
          <w:rPr>
            <w:rFonts w:ascii="Cambria Math" w:hAnsi="Cambria Math"/>
            <w:sz w:val="18"/>
            <w:szCs w:val="18"/>
          </w:rPr>
          <m:t xml:space="preserve">  </m:t>
        </m:r>
        <m:r>
          <w:rPr>
            <w:rFonts w:ascii="Cambria Math" w:hAnsi="Cambria Math"/>
            <w:sz w:val="18"/>
            <w:szCs w:val="18"/>
          </w:rPr>
          <m:t xml:space="preserve">i </m:t>
        </m:r>
      </m:oMath>
      <w:r w:rsidRPr="00BC31E0">
        <w:rPr>
          <w:rFonts w:hint="eastAsia"/>
        </w:rPr>
        <w:t>を付けて表す。</w:t>
      </w:r>
    </w:p>
    <w:p w14:paraId="6D1691AB" w14:textId="77777777" w:rsidR="00E20930" w:rsidRPr="00BC31E0" w:rsidRDefault="00E20930" w:rsidP="00531981">
      <w:pPr>
        <w:pStyle w:val="a4"/>
        <w:ind w:leftChars="0" w:left="1134"/>
      </w:pPr>
      <w:r w:rsidRPr="00BC31E0">
        <w:rPr>
          <w:rFonts w:hint="eastAsia"/>
        </w:rPr>
        <w:lastRenderedPageBreak/>
        <w:t>大抵の場合には</w:t>
      </w:r>
      <w:r w:rsidRPr="00BC31E0">
        <w:rPr>
          <w:rFonts w:hint="eastAsia"/>
          <w:kern w:val="0"/>
        </w:rPr>
        <w:t>，サイクル中，条件がこのような極値となることが既知である時点を少なくとも</w:t>
      </w:r>
      <w:r w:rsidRPr="00BC31E0">
        <w:rPr>
          <w:rFonts w:hint="eastAsia"/>
        </w:rPr>
        <w:t>1</w:t>
      </w:r>
      <w:r w:rsidRPr="00BC31E0">
        <w:rPr>
          <w:rFonts w:hint="eastAsia"/>
          <w:kern w:val="0"/>
        </w:rPr>
        <w:t>つは選び出してもよい。場合によっては</w:t>
      </w:r>
      <w:r w:rsidRPr="00BC31E0">
        <w:rPr>
          <w:rFonts w:hint="eastAsia"/>
        </w:rPr>
        <w:t>，繰返し相当応力の最大応力範囲発生時点を見い出すために，数個の時点を調べる。</w:t>
      </w:r>
    </w:p>
    <w:p w14:paraId="15DF411D" w14:textId="77777777" w:rsidR="00E20930" w:rsidRPr="00BC31E0" w:rsidRDefault="00E20930" w:rsidP="00736130">
      <w:pPr>
        <w:pStyle w:val="a4"/>
        <w:numPr>
          <w:ilvl w:val="0"/>
          <w:numId w:val="113"/>
        </w:numPr>
        <w:ind w:leftChars="0" w:left="1134" w:hanging="567"/>
      </w:pPr>
      <w:r w:rsidRPr="00BC31E0">
        <w:rPr>
          <w:rFonts w:hint="eastAsia"/>
        </w:rPr>
        <w:t>この</w:t>
      </w:r>
      <m:oMath>
        <m:r>
          <m:rPr>
            <m:sty m:val="p"/>
          </m:rPr>
          <w:rPr>
            <w:rFonts w:ascii="Cambria Math" w:hAnsi="Cambria Math"/>
          </w:rPr>
          <m:t xml:space="preserve"> </m:t>
        </m:r>
        <m:r>
          <w:rPr>
            <w:rFonts w:ascii="Cambria Math" w:hAnsi="Cambria Math"/>
            <w:sz w:val="18"/>
            <w:szCs w:val="18"/>
          </w:rPr>
          <m:t xml:space="preserve">i  </m:t>
        </m:r>
      </m:oMath>
      <w:r w:rsidRPr="00BC31E0">
        <w:rPr>
          <w:rFonts w:hint="eastAsia"/>
        </w:rPr>
        <w:t>時点における</w:t>
      </w:r>
      <w:r w:rsidRPr="00BC31E0">
        <w:rPr>
          <w:rFonts w:hint="eastAsia"/>
        </w:rPr>
        <w:t>6</w:t>
      </w:r>
      <w:r w:rsidRPr="00BC31E0">
        <w:rPr>
          <w:rFonts w:hint="eastAsia"/>
        </w:rPr>
        <w:t>個の応力成分</w:t>
      </w:r>
      <m:oMath>
        <m:r>
          <m:rPr>
            <m:sty m:val="p"/>
          </m:rPr>
          <w:rPr>
            <w:rFonts w:ascii="Cambria Math" w:hAnsi="Cambria Math"/>
          </w:rPr>
          <m:t xml:space="preserve"> </m:t>
        </m:r>
        <m:sSub>
          <m:sSubPr>
            <m:ctrlPr>
              <w:rPr>
                <w:rFonts w:ascii="Cambria Math" w:hAnsi="Cambria Math"/>
                <w:i/>
              </w:rPr>
            </m:ctrlPr>
          </m:sSubPr>
          <m:e>
            <m:r>
              <w:rPr>
                <w:rFonts w:ascii="Cambria Math" w:hAnsi="Cambria Math"/>
              </w:rPr>
              <m:t>σ</m:t>
            </m:r>
          </m:e>
          <m:sub>
            <m:r>
              <w:rPr>
                <w:rFonts w:ascii="Cambria Math" w:hAnsi="Cambria Math"/>
              </w:rPr>
              <m:t>xi</m:t>
            </m:r>
          </m:sub>
        </m:sSub>
        <m:r>
          <m:rPr>
            <m:sty m:val="p"/>
          </m:rPr>
          <w:rPr>
            <w:rFonts w:ascii="Cambria Math" w:hAnsi="Cambria Math" w:hint="eastAsia"/>
          </w:rPr>
          <m:t>，</m:t>
        </m:r>
        <m:sSub>
          <m:sSubPr>
            <m:ctrlPr>
              <w:rPr>
                <w:rFonts w:ascii="Cambria Math" w:hAnsi="Cambria Math"/>
                <w:i/>
              </w:rPr>
            </m:ctrlPr>
          </m:sSubPr>
          <m:e>
            <m:r>
              <w:rPr>
                <w:rFonts w:ascii="Cambria Math" w:hAnsi="Cambria Math"/>
              </w:rPr>
              <m:t>σ</m:t>
            </m:r>
          </m:e>
          <m:sub>
            <m:r>
              <w:rPr>
                <w:rFonts w:ascii="Cambria Math" w:hAnsi="Cambria Math"/>
              </w:rPr>
              <m:t>yi</m:t>
            </m:r>
          </m:sub>
        </m:sSub>
        <m:r>
          <m:rPr>
            <m:sty m:val="p"/>
          </m:rPr>
          <w:rPr>
            <w:rFonts w:ascii="Cambria Math" w:hAnsi="Cambria Math" w:hint="eastAsia"/>
          </w:rPr>
          <m:t xml:space="preserve"> </m:t>
        </m:r>
      </m:oMath>
      <w:r w:rsidRPr="00BC31E0">
        <w:rPr>
          <w:rFonts w:hint="eastAsia"/>
        </w:rPr>
        <w:t>などをサイクル中の各時点における対応応力成分</w:t>
      </w:r>
      <m:oMath>
        <m:r>
          <m:rPr>
            <m:sty m:val="p"/>
          </m:rPr>
          <w:rPr>
            <w:rFonts w:ascii="Cambria Math" w:hAnsi="Cambria Math"/>
          </w:rPr>
          <m:t xml:space="preserve"> </m:t>
        </m:r>
        <m:sSub>
          <m:sSubPr>
            <m:ctrlPr>
              <w:rPr>
                <w:rFonts w:ascii="Cambria Math" w:hAnsi="Cambria Math"/>
                <w:i/>
              </w:rPr>
            </m:ctrlPr>
          </m:sSubPr>
          <m:e>
            <m:r>
              <w:rPr>
                <w:rFonts w:ascii="Cambria Math" w:hAnsi="Cambria Math"/>
              </w:rPr>
              <m:t>σ</m:t>
            </m:r>
          </m:e>
          <m:sub>
            <m:r>
              <w:rPr>
                <w:rFonts w:ascii="Cambria Math" w:hAnsi="Cambria Math"/>
              </w:rPr>
              <m:t>xj</m:t>
            </m:r>
          </m:sub>
        </m:sSub>
      </m:oMath>
      <w:r w:rsidR="006E318C" w:rsidRPr="00BC31E0">
        <w:rPr>
          <w:rFonts w:hint="eastAsia"/>
        </w:rPr>
        <w:t>，</w:t>
      </w:r>
      <m:oMath>
        <m:sSub>
          <m:sSubPr>
            <m:ctrlPr>
              <w:rPr>
                <w:rFonts w:ascii="Cambria Math" w:hAnsi="Cambria Math"/>
                <w:i/>
              </w:rPr>
            </m:ctrlPr>
          </m:sSubPr>
          <m:e>
            <m:r>
              <w:rPr>
                <w:rFonts w:ascii="Cambria Math" w:hAnsi="Cambria Math"/>
              </w:rPr>
              <m:t>σ</m:t>
            </m:r>
          </m:e>
          <m:sub>
            <m:r>
              <w:rPr>
                <w:rFonts w:ascii="Cambria Math" w:hAnsi="Cambria Math"/>
              </w:rPr>
              <m:t>yj</m:t>
            </m:r>
          </m:sub>
        </m:sSub>
        <m:r>
          <m:rPr>
            <m:sty m:val="p"/>
          </m:rPr>
          <w:rPr>
            <w:rFonts w:ascii="Cambria Math" w:hAnsi="Cambria Math" w:hint="eastAsia"/>
          </w:rPr>
          <m:t xml:space="preserve"> </m:t>
        </m:r>
      </m:oMath>
      <w:r w:rsidRPr="00BC31E0">
        <w:rPr>
          <w:rFonts w:hint="eastAsia"/>
        </w:rPr>
        <w:t>などから差し引き</w:t>
      </w:r>
      <w:r w:rsidRPr="00BC31E0">
        <w:rPr>
          <w:rFonts w:ascii="ＭＳ 明朝" w:hAnsi="Times New Roman" w:hint="eastAsia"/>
          <w:kern w:val="0"/>
        </w:rPr>
        <w:t>，変動成分を</w:t>
      </w:r>
      <m:oMath>
        <m:r>
          <m:rPr>
            <m:sty m:val="p"/>
          </m:rPr>
          <w:rPr>
            <w:rFonts w:ascii="Cambria Math" w:hAnsi="Cambria Math"/>
            <w:kern w:val="0"/>
          </w:rPr>
          <m:t xml:space="preserve"> </m:t>
        </m:r>
        <m:sSub>
          <m:sSubPr>
            <m:ctrlPr>
              <w:rPr>
                <w:rFonts w:ascii="Cambria Math" w:hAnsi="Cambria Math"/>
                <w:i/>
              </w:rPr>
            </m:ctrlPr>
          </m:sSubPr>
          <m:e>
            <m:r>
              <w:rPr>
                <w:rFonts w:ascii="Cambria Math" w:hAnsi="Cambria Math"/>
              </w:rPr>
              <m:t>∆σ</m:t>
            </m:r>
          </m:e>
          <m:sub>
            <m:r>
              <w:rPr>
                <w:rFonts w:ascii="Cambria Math" w:hAnsi="Cambria Math"/>
              </w:rPr>
              <m:t>xij</m:t>
            </m:r>
          </m:sub>
        </m:sSub>
      </m:oMath>
      <w:r w:rsidR="006E318C" w:rsidRPr="00BC31E0">
        <w:rPr>
          <w:rFonts w:hint="eastAsia"/>
        </w:rPr>
        <w:t>，</w:t>
      </w:r>
      <m:oMath>
        <m:r>
          <m:rPr>
            <m:sty m:val="p"/>
          </m:rP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yij</m:t>
            </m:r>
          </m:sub>
        </m:sSub>
        <m:r>
          <m:rPr>
            <m:sty m:val="p"/>
          </m:rPr>
          <w:rPr>
            <w:rFonts w:ascii="Cambria Math" w:hAnsi="Cambria Math" w:hint="eastAsia"/>
          </w:rPr>
          <m:t xml:space="preserve"> </m:t>
        </m:r>
      </m:oMath>
      <w:r w:rsidRPr="00BC31E0">
        <w:rPr>
          <w:rFonts w:hint="eastAsia"/>
        </w:rPr>
        <w:t>などと表す。</w:t>
      </w:r>
    </w:p>
    <w:p w14:paraId="30D1AFE8" w14:textId="77777777" w:rsidR="00E20930" w:rsidRPr="00BC31E0" w:rsidRDefault="00E20930" w:rsidP="00E5547A">
      <w:pPr>
        <w:pStyle w:val="a4"/>
        <w:numPr>
          <w:ilvl w:val="0"/>
          <w:numId w:val="113"/>
        </w:numPr>
        <w:spacing w:after="120"/>
        <w:ind w:leftChars="0" w:left="1134" w:hanging="567"/>
      </w:pPr>
      <w:r w:rsidRPr="00BC31E0">
        <w:rPr>
          <w:rFonts w:hint="eastAsia"/>
        </w:rPr>
        <w:t>これらの変動応力</w:t>
      </w:r>
      <m:oMath>
        <m:r>
          <m:rPr>
            <m:sty m:val="p"/>
          </m:rPr>
          <w:rPr>
            <w:rFonts w:ascii="Cambria Math" w:hAnsi="Cambria Math"/>
          </w:rPr>
          <m:t xml:space="preserve"> </m:t>
        </m:r>
        <m:sSub>
          <m:sSubPr>
            <m:ctrlPr>
              <w:rPr>
                <w:rFonts w:ascii="Cambria Math" w:hAnsi="Cambria Math"/>
                <w:i/>
              </w:rPr>
            </m:ctrlPr>
          </m:sSubPr>
          <m:e>
            <m:r>
              <w:rPr>
                <w:rFonts w:ascii="Cambria Math" w:hAnsi="Cambria Math"/>
              </w:rPr>
              <m:t>∆σ</m:t>
            </m:r>
          </m:e>
          <m:sub>
            <m:r>
              <w:rPr>
                <w:rFonts w:ascii="Cambria Math" w:hAnsi="Cambria Math"/>
              </w:rPr>
              <m:t>xij</m:t>
            </m:r>
          </m:sub>
        </m:sSub>
        <m:r>
          <m:rPr>
            <m:sty m:val="p"/>
          </m:rPr>
          <w:rPr>
            <w:rFonts w:ascii="Cambria Math" w:hAnsi="Cambria Math" w:hint="eastAsia"/>
          </w:rPr>
          <m:t>，</m:t>
        </m:r>
        <m:r>
          <m:rPr>
            <m:sty m:val="p"/>
          </m:rP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yij</m:t>
            </m:r>
          </m:sub>
        </m:sSub>
        <m:r>
          <m:rPr>
            <m:sty m:val="p"/>
          </m:rPr>
          <w:rPr>
            <w:rFonts w:ascii="Cambria Math" w:hAnsi="Cambria Math" w:hint="eastAsia"/>
          </w:rPr>
          <m:t xml:space="preserve"> </m:t>
        </m:r>
      </m:oMath>
      <w:r w:rsidRPr="00BC31E0">
        <w:rPr>
          <w:rFonts w:hint="eastAsia"/>
        </w:rPr>
        <w:t>などから次式により相当応力範囲の時間的変化を求める。</w:t>
      </w:r>
    </w:p>
    <w:tbl>
      <w:tblPr>
        <w:tblStyle w:val="afff2"/>
        <w:tblW w:w="0" w:type="auto"/>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2"/>
        <w:gridCol w:w="1556"/>
      </w:tblGrid>
      <w:tr w:rsidR="005056E0" w:rsidRPr="00BC31E0" w14:paraId="3735B364" w14:textId="77777777" w:rsidTr="00E5547A">
        <w:tc>
          <w:tcPr>
            <w:tcW w:w="0" w:type="auto"/>
            <w:tcMar>
              <w:left w:w="0" w:type="dxa"/>
              <w:right w:w="0" w:type="dxa"/>
            </w:tcMar>
            <w:vAlign w:val="center"/>
          </w:tcPr>
          <w:p w14:paraId="77561DDC" w14:textId="77777777" w:rsidR="005056E0" w:rsidRPr="00BC31E0" w:rsidRDefault="005056E0" w:rsidP="00E5547A">
            <w:pPr>
              <w:autoSpaceDE w:val="0"/>
              <w:autoSpaceDN w:val="0"/>
              <w:jc w:val="left"/>
            </w:pPr>
            <m:oMathPara>
              <m:oMathParaPr>
                <m:jc m:val="left"/>
              </m:oMathParaPr>
              <m:oMath>
                <m:r>
                  <w:rPr>
                    <w:rFonts w:ascii="Cambria Math" w:hAnsi="Cambria Math"/>
                    <w:kern w:val="0"/>
                  </w:rPr>
                  <m:t>∆</m:t>
                </m:r>
                <m:sSub>
                  <m:sSubPr>
                    <m:ctrlPr>
                      <w:rPr>
                        <w:rFonts w:ascii="Cambria Math" w:hAnsi="Cambria Math"/>
                        <w:i/>
                        <w:kern w:val="0"/>
                      </w:rPr>
                    </m:ctrlPr>
                  </m:sSubPr>
                  <m:e>
                    <m:r>
                      <w:rPr>
                        <w:rFonts w:ascii="Cambria Math" w:hAnsi="Cambria Math"/>
                        <w:kern w:val="0"/>
                      </w:rPr>
                      <m:t>S</m:t>
                    </m:r>
                  </m:e>
                  <m:sub>
                    <m:r>
                      <w:rPr>
                        <w:rFonts w:ascii="Cambria Math" w:hAnsi="Cambria Math"/>
                        <w:kern w:val="0"/>
                      </w:rPr>
                      <m:t>ij</m:t>
                    </m:r>
                  </m:sub>
                </m:sSub>
                <m:r>
                  <m:rPr>
                    <m:sty m:val="p"/>
                  </m:rPr>
                  <w:rPr>
                    <w:rFonts w:ascii="Cambria Math" w:hAnsi="Cambria Math" w:hint="eastAsia"/>
                    <w:kern w:val="0"/>
                  </w:rPr>
                  <m:t>＝</m:t>
                </m:r>
                <m:f>
                  <m:fPr>
                    <m:ctrlPr>
                      <w:rPr>
                        <w:rFonts w:ascii="Cambria Math" w:hAnsi="Cambria Math"/>
                      </w:rPr>
                    </m:ctrlPr>
                  </m:fPr>
                  <m:num>
                    <m:r>
                      <w:rPr>
                        <w:rFonts w:ascii="Cambria Math" w:hAnsi="Cambria Math" w:hint="eastAsia"/>
                      </w:rPr>
                      <m:t>1</m:t>
                    </m:r>
                  </m:num>
                  <m:den>
                    <m:rad>
                      <m:radPr>
                        <m:degHide m:val="1"/>
                        <m:ctrlPr>
                          <w:rPr>
                            <w:rFonts w:ascii="Cambria Math" w:hAnsi="Cambria Math"/>
                            <w:i/>
                          </w:rPr>
                        </m:ctrlPr>
                      </m:radPr>
                      <m:deg/>
                      <m:e>
                        <m:r>
                          <w:rPr>
                            <w:rFonts w:ascii="Cambria Math" w:hAnsi="Cambria Math" w:hint="eastAsia"/>
                          </w:rPr>
                          <m:t>2</m:t>
                        </m:r>
                      </m:e>
                    </m:rad>
                  </m:den>
                </m:f>
                <m:sSup>
                  <m:sSupPr>
                    <m:ctrlPr>
                      <w:rPr>
                        <w:rFonts w:ascii="Cambria Math" w:hAnsi="Cambria Math"/>
                        <w:i/>
                      </w:rPr>
                    </m:ctrlPr>
                  </m:sSupPr>
                  <m:e>
                    <m:d>
                      <m:dPr>
                        <m:begChr m:val="{"/>
                        <m:endChr m:val="}"/>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∆σ</m:t>
                                </m:r>
                              </m:e>
                              <m:sub>
                                <m:r>
                                  <w:rPr>
                                    <w:rFonts w:ascii="Cambria Math" w:hAnsi="Cambria Math"/>
                                  </w:rPr>
                                  <m:t>xij</m:t>
                                </m:r>
                              </m:sub>
                            </m:sSub>
                          </m:e>
                          <m:sup>
                            <m:r>
                              <w:rPr>
                                <w:rFonts w:ascii="Cambria Math" w:hAnsi="Cambria Math" w:hint="eastAsia"/>
                              </w:rPr>
                              <m:t>2</m:t>
                            </m:r>
                          </m:sup>
                        </m:sSup>
                        <m:r>
                          <w:rPr>
                            <w:rFonts w:ascii="Cambria Math" w:hAnsi="Cambria Math" w:hint="eastAsia"/>
                          </w:rPr>
                          <m:t>+</m:t>
                        </m:r>
                        <m:sSup>
                          <m:sSupPr>
                            <m:ctrlPr>
                              <w:rPr>
                                <w:rFonts w:ascii="Cambria Math" w:hAnsi="Cambria Math"/>
                                <w:i/>
                              </w:rPr>
                            </m:ctrlPr>
                          </m:sSupPr>
                          <m:e>
                            <m:sSub>
                              <m:sSubPr>
                                <m:ctrlPr>
                                  <w:rPr>
                                    <w:rFonts w:ascii="Cambria Math" w:hAnsi="Cambria Math"/>
                                    <w:i/>
                                  </w:rPr>
                                </m:ctrlPr>
                              </m:sSubPr>
                              <m:e>
                                <m:r>
                                  <w:rPr>
                                    <w:rFonts w:ascii="Cambria Math" w:hAnsi="Cambria Math"/>
                                  </w:rPr>
                                  <m:t>∆σ</m:t>
                                </m:r>
                              </m:e>
                              <m:sub>
                                <m:r>
                                  <w:rPr>
                                    <w:rFonts w:ascii="Cambria Math" w:hAnsi="Cambria Math"/>
                                  </w:rPr>
                                  <m:t>yij</m:t>
                                </m:r>
                              </m:sub>
                            </m:sSub>
                          </m:e>
                          <m:sup>
                            <m:r>
                              <w:rPr>
                                <w:rFonts w:ascii="Cambria Math" w:hAnsi="Cambria Math" w:hint="eastAsia"/>
                              </w:rPr>
                              <m:t>2</m:t>
                            </m:r>
                          </m:sup>
                        </m:sSup>
                        <m:r>
                          <w:rPr>
                            <w:rFonts w:ascii="Cambria Math" w:hAnsi="Cambria Math" w:hint="eastAsia"/>
                          </w:rPr>
                          <m:t>+</m:t>
                        </m:r>
                        <m:sSup>
                          <m:sSupPr>
                            <m:ctrlPr>
                              <w:rPr>
                                <w:rFonts w:ascii="Cambria Math" w:hAnsi="Cambria Math"/>
                                <w:i/>
                              </w:rPr>
                            </m:ctrlPr>
                          </m:sSupPr>
                          <m:e>
                            <m:sSub>
                              <m:sSubPr>
                                <m:ctrlPr>
                                  <w:rPr>
                                    <w:rFonts w:ascii="Cambria Math" w:hAnsi="Cambria Math"/>
                                    <w:i/>
                                  </w:rPr>
                                </m:ctrlPr>
                              </m:sSubPr>
                              <m:e>
                                <m:r>
                                  <w:rPr>
                                    <w:rFonts w:ascii="Cambria Math" w:hAnsi="Cambria Math"/>
                                  </w:rPr>
                                  <m:t>∆σ</m:t>
                                </m:r>
                              </m:e>
                              <m:sub>
                                <m:r>
                                  <w:rPr>
                                    <w:rFonts w:ascii="Cambria Math" w:hAnsi="Cambria Math"/>
                                  </w:rPr>
                                  <m:t>zij</m:t>
                                </m:r>
                              </m:sub>
                            </m:sSub>
                          </m:e>
                          <m:sup>
                            <m:r>
                              <w:rPr>
                                <w:rFonts w:ascii="Cambria Math" w:hAnsi="Cambria Math" w:hint="eastAsia"/>
                              </w:rPr>
                              <m:t>2</m:t>
                            </m:r>
                          </m:sup>
                        </m:sSup>
                        <m:r>
                          <w:rPr>
                            <w:rFonts w:ascii="Cambria Math" w:hAnsi="Cambria Math" w:hint="eastAsia"/>
                          </w:rPr>
                          <m:t>+6</m:t>
                        </m:r>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∆τ</m:t>
                                    </m:r>
                                  </m:e>
                                  <m:sub>
                                    <m:r>
                                      <w:rPr>
                                        <w:rFonts w:ascii="Cambria Math" w:hAnsi="Cambria Math"/>
                                      </w:rPr>
                                      <m:t>xyij</m:t>
                                    </m:r>
                                  </m:sub>
                                </m:sSub>
                              </m:e>
                              <m:sup>
                                <m:r>
                                  <w:rPr>
                                    <w:rFonts w:ascii="Cambria Math" w:hAnsi="Cambria Math" w:hint="eastAsia"/>
                                  </w:rPr>
                                  <m:t>2</m:t>
                                </m:r>
                              </m:sup>
                            </m:sSup>
                            <m:r>
                              <w:rPr>
                                <w:rFonts w:ascii="Cambria Math" w:hAnsi="Cambria Math" w:hint="eastAsia"/>
                              </w:rPr>
                              <m:t>+</m:t>
                            </m:r>
                            <m:sSup>
                              <m:sSupPr>
                                <m:ctrlPr>
                                  <w:rPr>
                                    <w:rFonts w:ascii="Cambria Math" w:hAnsi="Cambria Math"/>
                                    <w:i/>
                                  </w:rPr>
                                </m:ctrlPr>
                              </m:sSupPr>
                              <m:e>
                                <m:sSub>
                                  <m:sSubPr>
                                    <m:ctrlPr>
                                      <w:rPr>
                                        <w:rFonts w:ascii="Cambria Math" w:hAnsi="Cambria Math"/>
                                        <w:i/>
                                      </w:rPr>
                                    </m:ctrlPr>
                                  </m:sSubPr>
                                  <m:e>
                                    <m:r>
                                      <w:rPr>
                                        <w:rFonts w:ascii="Cambria Math" w:hAnsi="Cambria Math"/>
                                      </w:rPr>
                                      <m:t>∆τ</m:t>
                                    </m:r>
                                  </m:e>
                                  <m:sub>
                                    <m:r>
                                      <w:rPr>
                                        <w:rFonts w:ascii="Cambria Math" w:hAnsi="Cambria Math"/>
                                      </w:rPr>
                                      <m:t>xzij</m:t>
                                    </m:r>
                                  </m:sub>
                                </m:sSub>
                              </m:e>
                              <m:sup>
                                <m:r>
                                  <w:rPr>
                                    <w:rFonts w:ascii="Cambria Math" w:hAnsi="Cambria Math" w:hint="eastAsia"/>
                                  </w:rPr>
                                  <m:t>2</m:t>
                                </m:r>
                              </m:sup>
                            </m:sSup>
                            <m:r>
                              <w:rPr>
                                <w:rFonts w:ascii="Cambria Math" w:hAnsi="Cambria Math" w:hint="eastAsia"/>
                              </w:rPr>
                              <m:t>+</m:t>
                            </m:r>
                            <m:sSup>
                              <m:sSupPr>
                                <m:ctrlPr>
                                  <w:rPr>
                                    <w:rFonts w:ascii="Cambria Math" w:hAnsi="Cambria Math"/>
                                    <w:i/>
                                  </w:rPr>
                                </m:ctrlPr>
                              </m:sSupPr>
                              <m:e>
                                <m:sSub>
                                  <m:sSubPr>
                                    <m:ctrlPr>
                                      <w:rPr>
                                        <w:rFonts w:ascii="Cambria Math" w:hAnsi="Cambria Math"/>
                                        <w:i/>
                                      </w:rPr>
                                    </m:ctrlPr>
                                  </m:sSubPr>
                                  <m:e>
                                    <m:r>
                                      <w:rPr>
                                        <w:rFonts w:ascii="Cambria Math" w:hAnsi="Cambria Math"/>
                                      </w:rPr>
                                      <m:t>∆τ</m:t>
                                    </m:r>
                                  </m:e>
                                  <m:sub>
                                    <m:r>
                                      <w:rPr>
                                        <w:rFonts w:ascii="Cambria Math" w:hAnsi="Cambria Math"/>
                                      </w:rPr>
                                      <m:t>zxij</m:t>
                                    </m:r>
                                  </m:sub>
                                </m:sSub>
                              </m:e>
                              <m:sup>
                                <m:r>
                                  <w:rPr>
                                    <w:rFonts w:ascii="Cambria Math" w:hAnsi="Cambria Math" w:hint="eastAsia"/>
                                  </w:rPr>
                                  <m:t>2</m:t>
                                </m:r>
                              </m:sup>
                            </m:sSup>
                          </m:e>
                        </m:d>
                      </m:e>
                    </m:d>
                  </m:e>
                  <m:sup>
                    <m:r>
                      <w:rPr>
                        <w:rFonts w:ascii="Cambria Math" w:hAnsi="Cambria Math" w:hint="eastAsia"/>
                      </w:rPr>
                      <m:t>0.5</m:t>
                    </m:r>
                  </m:sup>
                </m:sSup>
              </m:oMath>
            </m:oMathPara>
          </w:p>
        </w:tc>
        <w:tc>
          <w:tcPr>
            <w:tcW w:w="1556" w:type="dxa"/>
            <w:tcMar>
              <w:left w:w="0" w:type="dxa"/>
              <w:right w:w="0" w:type="dxa"/>
            </w:tcMar>
            <w:vAlign w:val="center"/>
          </w:tcPr>
          <w:p w14:paraId="3DC4852C" w14:textId="77777777" w:rsidR="005056E0" w:rsidRPr="00BC31E0" w:rsidRDefault="005056E0" w:rsidP="00E5547A">
            <w:pPr>
              <w:tabs>
                <w:tab w:val="left" w:leader="middleDot" w:pos="706"/>
              </w:tabs>
              <w:autoSpaceDE w:val="0"/>
              <w:autoSpaceDN w:val="0"/>
              <w:jc w:val="left"/>
            </w:pPr>
            <w:r w:rsidRPr="00BC31E0">
              <w:rPr>
                <w:rFonts w:asciiTheme="minorHAnsi" w:hAnsiTheme="minorHAnsi"/>
                <w:kern w:val="0"/>
              </w:rPr>
              <w:tab/>
            </w:r>
            <w:r w:rsidRPr="00BC31E0">
              <w:rPr>
                <w:rFonts w:asciiTheme="minorHAnsi" w:hAnsiTheme="minorHAnsi" w:hint="eastAsia"/>
                <w:kern w:val="0"/>
              </w:rPr>
              <w:t>(6.3.1)</w:t>
            </w:r>
          </w:p>
        </w:tc>
      </w:tr>
    </w:tbl>
    <w:p w14:paraId="222FC4F8" w14:textId="77777777" w:rsidR="00E20930" w:rsidRPr="00BC31E0" w:rsidRDefault="00E20930" w:rsidP="00E5547A">
      <w:pPr>
        <w:pStyle w:val="a4"/>
        <w:numPr>
          <w:ilvl w:val="0"/>
          <w:numId w:val="113"/>
        </w:numPr>
        <w:spacing w:before="120"/>
        <w:ind w:leftChars="0" w:left="1134" w:hanging="567"/>
        <w:rPr>
          <w:kern w:val="0"/>
        </w:rPr>
      </w:pPr>
      <m:oMath>
        <m:r>
          <w:rPr>
            <w:rFonts w:ascii="Cambria Math" w:hAnsi="Cambria Math"/>
            <w:kern w:val="0"/>
          </w:rPr>
          <m:t>∆</m:t>
        </m:r>
        <m:sSub>
          <m:sSubPr>
            <m:ctrlPr>
              <w:rPr>
                <w:rFonts w:ascii="Cambria Math" w:hAnsi="Cambria Math"/>
                <w:i/>
                <w:kern w:val="0"/>
              </w:rPr>
            </m:ctrlPr>
          </m:sSubPr>
          <m:e>
            <m:r>
              <w:rPr>
                <w:rFonts w:ascii="Cambria Math" w:hAnsi="Cambria Math"/>
                <w:kern w:val="0"/>
              </w:rPr>
              <m:t>S</m:t>
            </m:r>
          </m:e>
          <m:sub>
            <m:r>
              <w:rPr>
                <w:rFonts w:ascii="Cambria Math" w:hAnsi="Cambria Math"/>
                <w:kern w:val="0"/>
              </w:rPr>
              <m:t>ij</m:t>
            </m:r>
          </m:sub>
        </m:sSub>
        <m:r>
          <m:rPr>
            <m:sty m:val="p"/>
          </m:rPr>
          <w:rPr>
            <w:rFonts w:ascii="Cambria Math" w:hAnsi="Cambria Math" w:hint="eastAsia"/>
            <w:kern w:val="0"/>
          </w:rPr>
          <m:t xml:space="preserve"> </m:t>
        </m:r>
      </m:oMath>
      <w:r w:rsidRPr="00BC31E0">
        <w:rPr>
          <w:rFonts w:hint="eastAsia"/>
          <w:kern w:val="0"/>
        </w:rPr>
        <w:t>の</w:t>
      </w:r>
      <w:r w:rsidRPr="00BC31E0">
        <w:rPr>
          <w:rFonts w:hint="eastAsia"/>
          <w:kern w:val="0"/>
        </w:rPr>
        <w:t>1</w:t>
      </w:r>
      <w:r w:rsidRPr="00BC31E0">
        <w:rPr>
          <w:rFonts w:hint="eastAsia"/>
          <w:kern w:val="0"/>
        </w:rPr>
        <w:t>サイクル分の変化のうち</w:t>
      </w:r>
      <w:r w:rsidR="005056E0" w:rsidRPr="00BC31E0">
        <w:rPr>
          <w:rFonts w:hint="eastAsia"/>
          <w:kern w:val="0"/>
        </w:rPr>
        <w:t>，</w:t>
      </w:r>
      <w:r w:rsidR="006946DF" w:rsidRPr="00BC31E0">
        <w:rPr>
          <w:rFonts w:hint="eastAsia"/>
          <w:kern w:val="0"/>
        </w:rPr>
        <w:t>値が大きい</w:t>
      </w:r>
      <w:r w:rsidR="00971D6B" w:rsidRPr="00BC31E0">
        <w:rPr>
          <w:rFonts w:hint="eastAsia"/>
          <w:kern w:val="0"/>
        </w:rPr>
        <w:t>数個の</w:t>
      </w:r>
      <w:r w:rsidR="00E5547A" w:rsidRPr="00BC31E0">
        <w:rPr>
          <w:rFonts w:hint="eastAsia"/>
          <w:kern w:val="0"/>
        </w:rPr>
        <w:t>相当応力範囲</w:t>
      </w:r>
      <w:r w:rsidR="007513F8" w:rsidRPr="00BC31E0">
        <w:rPr>
          <w:rFonts w:hint="eastAsia"/>
          <w:kern w:val="0"/>
        </w:rPr>
        <w:t>に対して</w:t>
      </w:r>
      <w:r w:rsidRPr="00BC31E0">
        <w:rPr>
          <w:rFonts w:hint="eastAsia"/>
          <w:kern w:val="0"/>
        </w:rPr>
        <w:t>応力振幅</w:t>
      </w:r>
      <m:oMath>
        <m:sSub>
          <m:sSubPr>
            <m:ctrlPr>
              <w:rPr>
                <w:rFonts w:ascii="Cambria Math" w:hAnsi="Cambria Math"/>
                <w:i/>
                <w:kern w:val="0"/>
              </w:rPr>
            </m:ctrlPr>
          </m:sSubPr>
          <m:e>
            <m:r>
              <w:rPr>
                <w:rFonts w:ascii="Cambria Math" w:hAnsi="Cambria Math"/>
                <w:kern w:val="0"/>
              </w:rPr>
              <m:t>S</m:t>
            </m:r>
          </m:e>
          <m:sub>
            <m:r>
              <w:rPr>
                <w:rFonts w:ascii="Cambria Math" w:hAnsi="Cambria Math"/>
                <w:kern w:val="0"/>
              </w:rPr>
              <m:t>altij</m:t>
            </m:r>
          </m:sub>
        </m:sSub>
        <m:r>
          <m:rPr>
            <m:sty m:val="p"/>
          </m:rPr>
          <w:rPr>
            <w:rFonts w:ascii="Cambria Math" w:hAnsi="Cambria Math"/>
            <w:kern w:val="0"/>
          </w:rPr>
          <m:t xml:space="preserve"> </m:t>
        </m:r>
      </m:oMath>
      <w:r w:rsidRPr="00BC31E0">
        <w:rPr>
          <w:rFonts w:hint="eastAsia"/>
          <w:kern w:val="0"/>
        </w:rPr>
        <w:t>を求める。</w:t>
      </w:r>
    </w:p>
    <w:p w14:paraId="1DA41611" w14:textId="77777777" w:rsidR="00E20930" w:rsidRPr="00BC31E0" w:rsidRDefault="00E20930" w:rsidP="00E20930">
      <w:pPr>
        <w:tabs>
          <w:tab w:val="left" w:pos="3261"/>
          <w:tab w:val="left" w:leader="middleDot" w:pos="8222"/>
        </w:tabs>
        <w:autoSpaceDE w:val="0"/>
        <w:autoSpaceDN w:val="0"/>
        <w:rPr>
          <w:kern w:val="0"/>
        </w:rPr>
      </w:pPr>
      <w:r w:rsidRPr="00BC31E0">
        <w:rPr>
          <w:rFonts w:hint="eastAsia"/>
          <w:kern w:val="0"/>
        </w:rPr>
        <w:t xml:space="preserve">                              </w:t>
      </w:r>
      <m:oMath>
        <m:sSub>
          <m:sSubPr>
            <m:ctrlPr>
              <w:rPr>
                <w:rFonts w:ascii="Cambria Math" w:hAnsi="Cambria Math"/>
                <w:i/>
                <w:kern w:val="0"/>
              </w:rPr>
            </m:ctrlPr>
          </m:sSubPr>
          <m:e>
            <m:r>
              <w:rPr>
                <w:rFonts w:ascii="Cambria Math" w:hAnsi="Cambria Math"/>
                <w:kern w:val="0"/>
              </w:rPr>
              <m:t xml:space="preserve">  S</m:t>
            </m:r>
          </m:e>
          <m:sub>
            <m:r>
              <w:rPr>
                <w:rFonts w:ascii="Cambria Math" w:hAnsi="Cambria Math"/>
                <w:kern w:val="0"/>
              </w:rPr>
              <m:t>altij</m:t>
            </m:r>
          </m:sub>
        </m:sSub>
        <m:r>
          <m:rPr>
            <m:sty m:val="p"/>
          </m:rPr>
          <w:rPr>
            <w:rFonts w:ascii="Cambria Math" w:hAnsi="Cambria Math"/>
            <w:kern w:val="0"/>
          </w:rPr>
          <m:t>=0.5 ∆</m:t>
        </m:r>
        <m:sSub>
          <m:sSubPr>
            <m:ctrlPr>
              <w:rPr>
                <w:rFonts w:ascii="Cambria Math" w:hAnsi="Cambria Math"/>
                <w:i/>
                <w:kern w:val="0"/>
              </w:rPr>
            </m:ctrlPr>
          </m:sSubPr>
          <m:e>
            <m:r>
              <w:rPr>
                <w:rFonts w:ascii="Cambria Math" w:hAnsi="Cambria Math"/>
                <w:kern w:val="0"/>
              </w:rPr>
              <m:t>S</m:t>
            </m:r>
          </m:e>
          <m:sub>
            <m:r>
              <w:rPr>
                <w:rFonts w:ascii="Cambria Math" w:hAnsi="Cambria Math"/>
                <w:kern w:val="0"/>
              </w:rPr>
              <m:t>ij</m:t>
            </m:r>
          </m:sub>
        </m:sSub>
      </m:oMath>
      <w:r w:rsidR="00531981" w:rsidRPr="00BC31E0">
        <w:rPr>
          <w:rFonts w:hint="eastAsia"/>
          <w:kern w:val="0"/>
        </w:rPr>
        <w:tab/>
        <w:t>(6.3.2</w:t>
      </w:r>
      <w:r w:rsidRPr="00BC31E0">
        <w:rPr>
          <w:rFonts w:hint="eastAsia"/>
          <w:kern w:val="0"/>
        </w:rPr>
        <w:t>)</w:t>
      </w:r>
    </w:p>
    <w:p w14:paraId="3AEF57F4" w14:textId="77777777" w:rsidR="00E20930" w:rsidRPr="00BC31E0" w:rsidRDefault="00E20930" w:rsidP="00E5547A">
      <w:pPr>
        <w:pStyle w:val="a4"/>
        <w:numPr>
          <w:ilvl w:val="0"/>
          <w:numId w:val="112"/>
        </w:numPr>
        <w:spacing w:before="120"/>
        <w:ind w:leftChars="0" w:left="738" w:hanging="454"/>
        <w:rPr>
          <w:rFonts w:asciiTheme="majorEastAsia" w:eastAsiaTheme="majorEastAsia" w:hAnsiTheme="majorEastAsia"/>
          <w:b/>
        </w:rPr>
      </w:pPr>
      <w:r w:rsidRPr="00BC31E0">
        <w:rPr>
          <w:rFonts w:asciiTheme="majorEastAsia" w:eastAsiaTheme="majorEastAsia" w:hAnsiTheme="majorEastAsia" w:hint="eastAsia"/>
          <w:b/>
        </w:rPr>
        <w:t>関連する平均応力</w:t>
      </w:r>
    </w:p>
    <w:p w14:paraId="0B0DF3F3" w14:textId="77777777" w:rsidR="00E20930" w:rsidRPr="00BC31E0" w:rsidRDefault="00E20930" w:rsidP="006A3081">
      <w:pPr>
        <w:pStyle w:val="a4"/>
        <w:ind w:leftChars="0" w:left="737"/>
      </w:pPr>
      <w:r w:rsidRPr="00BC31E0">
        <w:rPr>
          <w:rFonts w:hint="eastAsia"/>
        </w:rPr>
        <w:t>各</w:t>
      </w:r>
      <m:oMath>
        <m:sSub>
          <m:sSubPr>
            <m:ctrlPr>
              <w:rPr>
                <w:rFonts w:ascii="Cambria Math" w:hAnsi="Cambria Math"/>
                <w:i/>
              </w:rPr>
            </m:ctrlPr>
          </m:sSubPr>
          <m:e>
            <m:r>
              <w:rPr>
                <w:rFonts w:ascii="Cambria Math" w:hAnsi="Cambria Math"/>
              </w:rPr>
              <m:t>S</m:t>
            </m:r>
          </m:e>
          <m:sub>
            <m:r>
              <w:rPr>
                <w:rFonts w:ascii="Cambria Math" w:hAnsi="Cambria Math"/>
              </w:rPr>
              <m:t>altij</m:t>
            </m:r>
          </m:sub>
        </m:sSub>
        <m:r>
          <m:rPr>
            <m:sty m:val="p"/>
          </m:rPr>
          <w:rPr>
            <w:rFonts w:ascii="Cambria Math" w:hAnsi="Cambria Math"/>
          </w:rPr>
          <m:t xml:space="preserve"> </m:t>
        </m:r>
      </m:oMath>
      <w:r w:rsidRPr="00BC31E0">
        <w:rPr>
          <w:rFonts w:hint="eastAsia"/>
        </w:rPr>
        <w:t>に対して平均応力を次の</w:t>
      </w:r>
      <w:r w:rsidRPr="00BC31E0">
        <w:rPr>
          <w:rFonts w:ascii="ＭＳ ゴシック" w:eastAsia="ＭＳ ゴシック" w:hAnsi="ＭＳ ゴシック" w:hint="eastAsia"/>
          <w:b/>
        </w:rPr>
        <w:t>2.1)</w:t>
      </w:r>
      <w:r w:rsidRPr="00BC31E0">
        <w:rPr>
          <w:rFonts w:ascii="ＭＳ 明朝" w:hAnsi="ＭＳ 明朝" w:hint="eastAsia"/>
        </w:rPr>
        <w:t>～</w:t>
      </w:r>
      <w:r w:rsidRPr="00BC31E0">
        <w:rPr>
          <w:rFonts w:ascii="ＭＳ ゴシック" w:eastAsia="ＭＳ ゴシック" w:hAnsi="ＭＳ ゴシック" w:hint="eastAsia"/>
          <w:b/>
        </w:rPr>
        <w:t>2.3)</w:t>
      </w:r>
      <w:r w:rsidRPr="00BC31E0">
        <w:rPr>
          <w:rFonts w:hint="eastAsia"/>
        </w:rPr>
        <w:t>により求める。</w:t>
      </w:r>
    </w:p>
    <w:p w14:paraId="31546F9E" w14:textId="77777777" w:rsidR="00E20930" w:rsidRPr="00BC31E0" w:rsidRDefault="00E20930" w:rsidP="00736130">
      <w:pPr>
        <w:pStyle w:val="a4"/>
        <w:numPr>
          <w:ilvl w:val="0"/>
          <w:numId w:val="127"/>
        </w:numPr>
        <w:tabs>
          <w:tab w:val="left" w:pos="3261"/>
        </w:tabs>
        <w:ind w:leftChars="0" w:left="1134" w:hanging="567"/>
        <w:rPr>
          <w:rFonts w:ascii="ＭＳ 明朝" w:hAnsi="ＭＳ 明朝"/>
        </w:rPr>
      </w:pPr>
      <w:r w:rsidRPr="00BC31E0">
        <w:rPr>
          <w:rFonts w:ascii="ＭＳ ゴシック" w:eastAsia="ＭＳ ゴシック" w:hAnsi="ＭＳ ゴシック" w:hint="eastAsia"/>
          <w:b/>
        </w:rPr>
        <w:t>図</w:t>
      </w:r>
      <w:r w:rsidRPr="00BC31E0">
        <w:rPr>
          <w:rFonts w:ascii="ＭＳ ゴシック" w:eastAsia="ＭＳ ゴシック" w:hAnsi="ＭＳ ゴシック"/>
          <w:b/>
        </w:rPr>
        <w:t>6.3.1</w:t>
      </w:r>
      <w:r w:rsidRPr="00BC31E0">
        <w:rPr>
          <w:rFonts w:ascii="ＭＳ 明朝" w:hAnsi="ＭＳ 明朝" w:hint="eastAsia"/>
        </w:rPr>
        <w:t>，</w:t>
      </w:r>
      <w:r w:rsidRPr="00BC31E0">
        <w:rPr>
          <w:rFonts w:ascii="ＭＳ ゴシック" w:eastAsia="ＭＳ ゴシック" w:hAnsi="ＭＳ ゴシック" w:hint="eastAsia"/>
          <w:b/>
        </w:rPr>
        <w:t>図</w:t>
      </w:r>
      <w:r w:rsidRPr="00BC31E0">
        <w:rPr>
          <w:rFonts w:ascii="ＭＳ ゴシック" w:eastAsia="ＭＳ ゴシック" w:hAnsi="ＭＳ ゴシック"/>
          <w:b/>
        </w:rPr>
        <w:t>6.3.3</w:t>
      </w:r>
      <w:r w:rsidRPr="00BC31E0">
        <w:rPr>
          <w:rFonts w:ascii="ＭＳ 明朝" w:hAnsi="ＭＳ 明朝" w:hint="eastAsia"/>
        </w:rPr>
        <w:t>，</w:t>
      </w:r>
      <w:r w:rsidRPr="00BC31E0">
        <w:rPr>
          <w:rFonts w:ascii="ＭＳ ゴシック" w:eastAsia="ＭＳ ゴシック" w:hAnsi="ＭＳ ゴシック" w:hint="eastAsia"/>
          <w:b/>
        </w:rPr>
        <w:t>図</w:t>
      </w:r>
      <w:r w:rsidRPr="00BC31E0">
        <w:rPr>
          <w:rFonts w:ascii="ＭＳ ゴシック" w:eastAsia="ＭＳ ゴシック" w:hAnsi="ＭＳ ゴシック"/>
          <w:b/>
        </w:rPr>
        <w:t>6.3.4</w:t>
      </w:r>
      <w:r w:rsidRPr="00BC31E0">
        <w:rPr>
          <w:rFonts w:ascii="ＭＳ 明朝" w:hAnsi="ＭＳ 明朝" w:hint="eastAsia"/>
        </w:rPr>
        <w:t>，</w:t>
      </w:r>
      <w:r w:rsidRPr="00BC31E0">
        <w:rPr>
          <w:rFonts w:ascii="ＭＳ ゴシック" w:eastAsia="ＭＳ ゴシック" w:hAnsi="ＭＳ ゴシック" w:hint="eastAsia"/>
          <w:b/>
        </w:rPr>
        <w:t>図</w:t>
      </w:r>
      <w:r w:rsidRPr="00BC31E0">
        <w:rPr>
          <w:rFonts w:ascii="ＭＳ ゴシック" w:eastAsia="ＭＳ ゴシック" w:hAnsi="ＭＳ ゴシック"/>
          <w:b/>
        </w:rPr>
        <w:t>6.3.5</w:t>
      </w:r>
      <w:r w:rsidRPr="00BC31E0">
        <w:rPr>
          <w:rFonts w:ascii="ＭＳ 明朝" w:hAnsi="ＭＳ 明朝" w:hint="eastAsia"/>
        </w:rPr>
        <w:t>の</w:t>
      </w:r>
      <w:r w:rsidRPr="00BC31E0">
        <w:rPr>
          <w:rFonts w:hint="eastAsia"/>
        </w:rPr>
        <w:t>曲線</w:t>
      </w:r>
      <w:r w:rsidRPr="00BC31E0">
        <w:t>B</w:t>
      </w:r>
      <w:r w:rsidRPr="00BC31E0">
        <w:rPr>
          <w:rFonts w:ascii="ＭＳ 明朝" w:hAnsi="ＭＳ 明朝" w:hint="eastAsia"/>
        </w:rPr>
        <w:t>，</w:t>
      </w:r>
      <w:r w:rsidRPr="00BC31E0">
        <w:rPr>
          <w:rFonts w:ascii="ＭＳ ゴシック" w:eastAsia="ＭＳ ゴシック" w:hAnsi="ＭＳ ゴシック" w:hint="eastAsia"/>
          <w:b/>
        </w:rPr>
        <w:t>図</w:t>
      </w:r>
      <w:r w:rsidRPr="00BC31E0">
        <w:rPr>
          <w:rFonts w:ascii="ＭＳ ゴシック" w:eastAsia="ＭＳ ゴシック" w:hAnsi="ＭＳ ゴシック"/>
          <w:b/>
        </w:rPr>
        <w:t>6.3.8</w:t>
      </w:r>
      <w:r w:rsidRPr="00BC31E0">
        <w:rPr>
          <w:rFonts w:hint="eastAsia"/>
          <w:kern w:val="0"/>
        </w:rPr>
        <w:t>及び</w:t>
      </w:r>
      <w:r w:rsidRPr="00BC31E0">
        <w:rPr>
          <w:rFonts w:ascii="ＭＳ ゴシック" w:eastAsia="ＭＳ ゴシック" w:hAnsi="ＭＳ ゴシック" w:hint="eastAsia"/>
          <w:b/>
          <w:bCs/>
          <w:kern w:val="0"/>
        </w:rPr>
        <w:t>図</w:t>
      </w:r>
      <w:r w:rsidRPr="00BC31E0">
        <w:rPr>
          <w:rFonts w:ascii="ＭＳ ゴシック" w:eastAsia="ＭＳ ゴシック" w:hAnsi="ＭＳ ゴシック"/>
          <w:b/>
          <w:bCs/>
          <w:kern w:val="0"/>
        </w:rPr>
        <w:t>6.3.</w:t>
      </w:r>
      <w:r w:rsidRPr="00BC31E0">
        <w:rPr>
          <w:rFonts w:ascii="ＭＳ ゴシック" w:eastAsia="ＭＳ ゴシック" w:hAnsi="ＭＳ ゴシック" w:hint="eastAsia"/>
          <w:b/>
          <w:bCs/>
          <w:kern w:val="0"/>
        </w:rPr>
        <w:t>9</w:t>
      </w:r>
      <w:r w:rsidRPr="00BC31E0">
        <w:rPr>
          <w:rFonts w:asciiTheme="majorEastAsia" w:eastAsiaTheme="majorEastAsia" w:hAnsiTheme="majorEastAsia" w:hint="eastAsia"/>
          <w:bCs/>
          <w:kern w:val="0"/>
        </w:rPr>
        <w:t>の</w:t>
      </w:r>
      <w:r w:rsidRPr="00BC31E0">
        <w:rPr>
          <w:rFonts w:asciiTheme="minorEastAsia" w:eastAsiaTheme="minorEastAsia" w:hAnsiTheme="minorEastAsia" w:hint="eastAsia"/>
          <w:bCs/>
          <w:kern w:val="0"/>
        </w:rPr>
        <w:t>最大平均応力の曲線</w:t>
      </w:r>
      <w:r w:rsidRPr="00BC31E0">
        <w:rPr>
          <w:rFonts w:hint="eastAsia"/>
        </w:rPr>
        <w:t>を使用する場合，これらの曲線には平均応力の補正がすでになされているため，平均応力を求める必要はない。</w:t>
      </w:r>
      <w:r w:rsidRPr="00BC31E0">
        <w:rPr>
          <w:rFonts w:ascii="ＭＳ ゴシック" w:eastAsia="ＭＳ ゴシック" w:hAnsi="ＭＳ ゴシック" w:hint="eastAsia"/>
          <w:b/>
          <w:bCs/>
          <w:kern w:val="0"/>
        </w:rPr>
        <w:t>図</w:t>
      </w:r>
      <w:r w:rsidRPr="00BC31E0">
        <w:rPr>
          <w:rFonts w:ascii="ＭＳ ゴシック" w:eastAsia="ＭＳ ゴシック" w:hAnsi="ＭＳ ゴシック"/>
          <w:b/>
          <w:bCs/>
          <w:kern w:val="0"/>
        </w:rPr>
        <w:t>6.3.</w:t>
      </w:r>
      <w:r w:rsidRPr="00BC31E0">
        <w:rPr>
          <w:rFonts w:ascii="ＭＳ ゴシック" w:eastAsia="ＭＳ ゴシック" w:hAnsi="ＭＳ ゴシック" w:hint="eastAsia"/>
          <w:b/>
          <w:bCs/>
          <w:kern w:val="0"/>
        </w:rPr>
        <w:t>9</w:t>
      </w:r>
      <w:r w:rsidRPr="00BC31E0">
        <w:rPr>
          <w:rFonts w:asciiTheme="minorEastAsia" w:eastAsiaTheme="minorEastAsia" w:hAnsiTheme="minorEastAsia" w:hint="eastAsia"/>
          <w:bCs/>
          <w:kern w:val="0"/>
        </w:rPr>
        <w:t>の平均応力が</w:t>
      </w:r>
      <w:r w:rsidRPr="00BC31E0">
        <w:rPr>
          <w:rFonts w:asciiTheme="minorHAnsi" w:eastAsiaTheme="majorEastAsia" w:hAnsiTheme="minorHAnsi"/>
          <w:bCs/>
          <w:kern w:val="0"/>
        </w:rPr>
        <w:t>0</w:t>
      </w:r>
      <w:r w:rsidRPr="00BC31E0">
        <w:rPr>
          <w:rFonts w:asciiTheme="minorEastAsia" w:eastAsiaTheme="minorEastAsia" w:hAnsiTheme="minorEastAsia" w:hint="eastAsia"/>
          <w:bCs/>
          <w:kern w:val="0"/>
        </w:rPr>
        <w:t>の曲線は</w:t>
      </w:r>
      <w:r w:rsidR="00C267D0" w:rsidRPr="00BC31E0">
        <w:rPr>
          <w:rFonts w:asciiTheme="minorEastAsia" w:eastAsiaTheme="minorEastAsia" w:hAnsiTheme="minorEastAsia" w:hint="eastAsia"/>
          <w:bCs/>
          <w:kern w:val="0"/>
        </w:rPr>
        <w:t>，</w:t>
      </w:r>
      <w:r w:rsidRPr="00BC31E0">
        <w:rPr>
          <w:rFonts w:asciiTheme="minorEastAsia" w:eastAsiaTheme="minorEastAsia" w:hAnsiTheme="minorEastAsia" w:hint="eastAsia"/>
          <w:bCs/>
          <w:kern w:val="0"/>
        </w:rPr>
        <w:t>平均応力が圧縮又は</w:t>
      </w:r>
      <w:r w:rsidRPr="00BC31E0">
        <w:rPr>
          <w:rFonts w:asciiTheme="minorHAnsi" w:eastAsiaTheme="minorEastAsia" w:hAnsiTheme="minorHAnsi"/>
          <w:bCs/>
          <w:kern w:val="0"/>
        </w:rPr>
        <w:t>0</w:t>
      </w:r>
      <w:r w:rsidRPr="00BC31E0">
        <w:rPr>
          <w:rFonts w:asciiTheme="minorEastAsia" w:eastAsiaTheme="minorEastAsia" w:hAnsiTheme="minorEastAsia" w:hint="eastAsia"/>
          <w:bCs/>
          <w:kern w:val="0"/>
        </w:rPr>
        <w:t>の場合に使用</w:t>
      </w:r>
      <w:r w:rsidR="00C267D0" w:rsidRPr="00BC31E0">
        <w:rPr>
          <w:rFonts w:asciiTheme="minorEastAsia" w:eastAsiaTheme="minorEastAsia" w:hAnsiTheme="minorEastAsia" w:hint="eastAsia"/>
          <w:bCs/>
          <w:kern w:val="0"/>
        </w:rPr>
        <w:t>す</w:t>
      </w:r>
      <w:r w:rsidRPr="00BC31E0">
        <w:rPr>
          <w:rFonts w:asciiTheme="minorEastAsia" w:eastAsiaTheme="minorEastAsia" w:hAnsiTheme="minorEastAsia" w:hint="eastAsia"/>
          <w:bCs/>
          <w:kern w:val="0"/>
        </w:rPr>
        <w:t>る。</w:t>
      </w:r>
    </w:p>
    <w:p w14:paraId="0F4ADF09" w14:textId="77777777" w:rsidR="00E20930" w:rsidRPr="00BC31E0" w:rsidRDefault="00A51873" w:rsidP="00736130">
      <w:pPr>
        <w:pStyle w:val="a4"/>
        <w:numPr>
          <w:ilvl w:val="0"/>
          <w:numId w:val="127"/>
        </w:numPr>
        <w:ind w:leftChars="0" w:left="1134" w:hanging="567"/>
        <w:rPr>
          <w:rFonts w:ascii="ＭＳ 明朝" w:hAnsi="ＭＳ 明朝"/>
        </w:rPr>
      </w:pPr>
      <m:oMath>
        <m:sSub>
          <m:sSubPr>
            <m:ctrlPr>
              <w:rPr>
                <w:rFonts w:ascii="Cambria Math" w:hAnsi="Cambria Math"/>
                <w:i/>
              </w:rPr>
            </m:ctrlPr>
          </m:sSubPr>
          <m:e>
            <m:r>
              <w:rPr>
                <w:rFonts w:ascii="Cambria Math" w:hAnsi="Cambria Math"/>
              </w:rPr>
              <m:t>S</m:t>
            </m:r>
          </m:e>
          <m:sub>
            <m:r>
              <w:rPr>
                <w:rFonts w:ascii="Cambria Math" w:hAnsi="Cambria Math"/>
              </w:rPr>
              <m:t>altij</m:t>
            </m:r>
          </m:sub>
        </m:sSub>
      </m:oMath>
      <w:r w:rsidR="006A3081" w:rsidRPr="00BC31E0">
        <w:rPr>
          <w:rFonts w:hint="eastAsia"/>
        </w:rPr>
        <w:t>を</w:t>
      </w:r>
      <w:r w:rsidR="00E20930" w:rsidRPr="00BC31E0">
        <w:rPr>
          <w:rFonts w:hint="eastAsia"/>
        </w:rPr>
        <w:t>決めた時点</w:t>
      </w:r>
      <m:oMath>
        <m:r>
          <m:rPr>
            <m:sty m:val="p"/>
          </m:rPr>
          <w:rPr>
            <w:rFonts w:ascii="Cambria Math" w:hAnsi="Cambria Math"/>
          </w:rPr>
          <m:t xml:space="preserve"> </m:t>
        </m:r>
        <m:r>
          <w:rPr>
            <w:rFonts w:ascii="Cambria Math" w:hAnsi="Cambria Math"/>
            <w:sz w:val="18"/>
            <w:szCs w:val="18"/>
          </w:rPr>
          <m:t xml:space="preserve">i </m:t>
        </m:r>
      </m:oMath>
      <w:r w:rsidR="00E20930" w:rsidRPr="00BC31E0">
        <w:rPr>
          <w:rFonts w:hint="eastAsia"/>
        </w:rPr>
        <w:t>及び</w:t>
      </w:r>
      <m:oMath>
        <m:r>
          <m:rPr>
            <m:sty m:val="p"/>
          </m:rPr>
          <w:rPr>
            <w:rFonts w:ascii="Cambria Math" w:hAnsi="Cambria Math" w:hint="eastAsia"/>
          </w:rPr>
          <m:t xml:space="preserve"> </m:t>
        </m:r>
        <m:r>
          <w:rPr>
            <w:rFonts w:ascii="Cambria Math" w:hAnsi="Cambria Math"/>
            <w:sz w:val="18"/>
            <w:szCs w:val="18"/>
          </w:rPr>
          <m:t>j</m:t>
        </m:r>
        <m:r>
          <w:rPr>
            <w:rFonts w:ascii="Cambria Math" w:hAnsi="Cambria Math" w:hint="eastAsia"/>
            <w:sz w:val="18"/>
            <w:szCs w:val="18"/>
          </w:rPr>
          <m:t xml:space="preserve"> </m:t>
        </m:r>
      </m:oMath>
      <w:r w:rsidR="00E20930" w:rsidRPr="00BC31E0">
        <w:rPr>
          <w:rFonts w:hint="eastAsia"/>
        </w:rPr>
        <w:t>より</w:t>
      </w:r>
      <w:r w:rsidR="00EB63E3" w:rsidRPr="00BC31E0">
        <w:rPr>
          <w:rFonts w:hint="eastAsia"/>
        </w:rPr>
        <w:t>，</w:t>
      </w:r>
      <w:r w:rsidR="00E20930" w:rsidRPr="00BC31E0">
        <w:rPr>
          <w:rFonts w:hint="eastAsia"/>
        </w:rPr>
        <w:t>代数的</w:t>
      </w:r>
      <w:r w:rsidR="00EB63E3" w:rsidRPr="00BC31E0">
        <w:rPr>
          <w:rFonts w:hint="eastAsia"/>
        </w:rPr>
        <w:t>な</w:t>
      </w:r>
      <w:r w:rsidR="00E20930" w:rsidRPr="00BC31E0">
        <w:rPr>
          <w:rFonts w:hint="eastAsia"/>
        </w:rPr>
        <w:t>最大</w:t>
      </w:r>
      <w:r w:rsidR="00EB63E3" w:rsidRPr="00BC31E0">
        <w:rPr>
          <w:rFonts w:hint="eastAsia"/>
        </w:rPr>
        <w:t>値</w:t>
      </w:r>
      <w:r w:rsidR="00E20930" w:rsidRPr="00BC31E0">
        <w:rPr>
          <w:rFonts w:hint="eastAsia"/>
        </w:rPr>
        <w:t>を最大応力</w:t>
      </w:r>
      <m:oMath>
        <m:r>
          <m:rPr>
            <m:sty m:val="p"/>
          </m:rPr>
          <w:rPr>
            <w:rFonts w:ascii="Cambria Math" w:hAnsi="Cambria Math"/>
          </w:rPr>
          <m:t xml:space="preserve"> </m:t>
        </m:r>
        <m:sSub>
          <m:sSubPr>
            <m:ctrlPr>
              <w:rPr>
                <w:rFonts w:ascii="Cambria Math" w:hAnsi="Cambria Math"/>
                <w:i/>
                <w:kern w:val="0"/>
              </w:rPr>
            </m:ctrlPr>
          </m:sSubPr>
          <m:e>
            <m:r>
              <w:rPr>
                <w:rFonts w:ascii="Cambria Math" w:hAnsi="Cambria Math"/>
                <w:kern w:val="0"/>
              </w:rPr>
              <m:t>S</m:t>
            </m:r>
          </m:e>
          <m:sub>
            <m:r>
              <m:rPr>
                <m:sty m:val="p"/>
              </m:rPr>
              <w:rPr>
                <w:rFonts w:ascii="Cambria Math" w:hAnsi="Cambria Math"/>
                <w:kern w:val="0"/>
              </w:rPr>
              <m:t>max</m:t>
            </m:r>
            <m:r>
              <w:rPr>
                <w:rFonts w:ascii="Cambria Math" w:hAnsi="Cambria Math"/>
                <w:kern w:val="0"/>
              </w:rPr>
              <m:t>ij</m:t>
            </m:r>
          </m:sub>
        </m:sSub>
        <m:r>
          <w:rPr>
            <w:rFonts w:ascii="Cambria Math" w:hAnsi="Cambria Math"/>
            <w:kern w:val="0"/>
          </w:rPr>
          <m:t xml:space="preserve"> </m:t>
        </m:r>
      </m:oMath>
      <w:r w:rsidR="00EB63E3" w:rsidRPr="00BC31E0">
        <w:rPr>
          <w:rFonts w:hint="eastAsia"/>
        </w:rPr>
        <w:t>，</w:t>
      </w:r>
      <w:r w:rsidR="00E20930" w:rsidRPr="00BC31E0">
        <w:rPr>
          <w:rFonts w:hint="eastAsia"/>
        </w:rPr>
        <w:t>最小</w:t>
      </w:r>
      <w:r w:rsidR="00EB63E3" w:rsidRPr="00BC31E0">
        <w:rPr>
          <w:rFonts w:hint="eastAsia"/>
        </w:rPr>
        <w:t>値</w:t>
      </w:r>
      <w:r w:rsidR="00E20930" w:rsidRPr="00BC31E0">
        <w:rPr>
          <w:rFonts w:hint="eastAsia"/>
        </w:rPr>
        <w:t>を</w:t>
      </w:r>
      <m:oMath>
        <m:sSub>
          <m:sSubPr>
            <m:ctrlPr>
              <w:rPr>
                <w:rFonts w:ascii="Cambria Math" w:hAnsi="Cambria Math"/>
                <w:i/>
                <w:kern w:val="0"/>
              </w:rPr>
            </m:ctrlPr>
          </m:sSubPr>
          <m:e>
            <m:r>
              <w:rPr>
                <w:rFonts w:ascii="Cambria Math" w:hAnsi="Cambria Math"/>
                <w:kern w:val="0"/>
              </w:rPr>
              <m:t>S</m:t>
            </m:r>
          </m:e>
          <m:sub>
            <m:r>
              <m:rPr>
                <m:sty m:val="p"/>
              </m:rPr>
              <w:rPr>
                <w:rFonts w:ascii="Cambria Math" w:hAnsi="Cambria Math"/>
                <w:kern w:val="0"/>
              </w:rPr>
              <m:t>min</m:t>
            </m:r>
            <m:r>
              <w:rPr>
                <w:rFonts w:ascii="Cambria Math" w:hAnsi="Cambria Math"/>
                <w:kern w:val="0"/>
              </w:rPr>
              <m:t>ij</m:t>
            </m:r>
          </m:sub>
        </m:sSub>
        <m:r>
          <w:rPr>
            <w:rFonts w:ascii="Cambria Math" w:hAnsi="Cambria Math"/>
            <w:kern w:val="0"/>
          </w:rPr>
          <m:t xml:space="preserve"> </m:t>
        </m:r>
      </m:oMath>
      <w:r w:rsidR="00E20930" w:rsidRPr="00BC31E0">
        <w:rPr>
          <w:rFonts w:ascii="ＭＳ 明朝" w:hAnsi="ＭＳ 明朝" w:hint="eastAsia"/>
        </w:rPr>
        <w:t>とする。絶対値が大きい応力成分のヒステリシスループにおける符号の変化を考慮して相当応力に符号をつける。</w:t>
      </w:r>
    </w:p>
    <w:p w14:paraId="465B1F8E" w14:textId="77777777" w:rsidR="00E20930" w:rsidRPr="00BC31E0" w:rsidRDefault="00E20930" w:rsidP="00736130">
      <w:pPr>
        <w:pStyle w:val="a4"/>
        <w:numPr>
          <w:ilvl w:val="0"/>
          <w:numId w:val="127"/>
        </w:numPr>
        <w:ind w:leftChars="0" w:left="1134" w:hanging="567"/>
      </w:pPr>
      <w:r w:rsidRPr="00BC31E0">
        <w:rPr>
          <w:rFonts w:ascii="ＭＳ ゴシック" w:eastAsia="ＭＳ ゴシック" w:hAnsi="ＭＳ ゴシック" w:hint="eastAsia"/>
          <w:b/>
        </w:rPr>
        <w:t>図</w:t>
      </w:r>
      <w:r w:rsidRPr="00BC31E0">
        <w:rPr>
          <w:rFonts w:ascii="ＭＳ ゴシック" w:eastAsia="ＭＳ ゴシック" w:hAnsi="ＭＳ ゴシック"/>
          <w:b/>
        </w:rPr>
        <w:t>6.3.2</w:t>
      </w:r>
      <w:r w:rsidRPr="00BC31E0">
        <w:rPr>
          <w:rFonts w:hint="eastAsia"/>
        </w:rPr>
        <w:t>，</w:t>
      </w:r>
      <w:r w:rsidRPr="00BC31E0">
        <w:rPr>
          <w:rFonts w:ascii="ＭＳ ゴシック" w:eastAsia="ＭＳ ゴシック" w:hAnsi="ＭＳ ゴシック" w:hint="eastAsia"/>
          <w:b/>
        </w:rPr>
        <w:t>図</w:t>
      </w:r>
      <w:r w:rsidRPr="00BC31E0">
        <w:rPr>
          <w:rFonts w:ascii="ＭＳ ゴシック" w:eastAsia="ＭＳ ゴシック" w:hAnsi="ＭＳ ゴシック"/>
          <w:b/>
        </w:rPr>
        <w:t>6.3.5</w:t>
      </w:r>
      <w:r w:rsidRPr="00BC31E0">
        <w:rPr>
          <w:rFonts w:hint="eastAsia"/>
        </w:rPr>
        <w:t>の</w:t>
      </w:r>
      <w:r w:rsidRPr="00BC31E0">
        <w:rPr>
          <w:rFonts w:hAnsi="ＭＳ ゴシック" w:hint="eastAsia"/>
        </w:rPr>
        <w:t>曲線</w:t>
      </w:r>
      <w:r w:rsidRPr="00BC31E0">
        <w:t>A</w:t>
      </w:r>
      <w:r w:rsidRPr="00BC31E0">
        <w:rPr>
          <w:rFonts w:hint="eastAsia"/>
        </w:rPr>
        <w:t>，</w:t>
      </w:r>
      <w:r w:rsidRPr="00BC31E0">
        <w:rPr>
          <w:rFonts w:ascii="ＭＳ ゴシック" w:eastAsia="ＭＳ ゴシック" w:hAnsi="ＭＳ ゴシック" w:hint="eastAsia"/>
          <w:b/>
        </w:rPr>
        <w:t>図</w:t>
      </w:r>
      <w:r w:rsidRPr="00BC31E0">
        <w:rPr>
          <w:rFonts w:ascii="ＭＳ ゴシック" w:eastAsia="ＭＳ ゴシック" w:hAnsi="ＭＳ ゴシック"/>
          <w:b/>
        </w:rPr>
        <w:t>6.3.6</w:t>
      </w:r>
      <w:r w:rsidRPr="00BC31E0">
        <w:rPr>
          <w:rFonts w:hint="eastAsia"/>
        </w:rPr>
        <w:t>及び</w:t>
      </w:r>
      <w:r w:rsidRPr="00BC31E0">
        <w:rPr>
          <w:rFonts w:ascii="ＭＳ ゴシック" w:eastAsia="ＭＳ ゴシック" w:hAnsi="ＭＳ ゴシック" w:hint="eastAsia"/>
          <w:b/>
        </w:rPr>
        <w:t>図</w:t>
      </w:r>
      <w:r w:rsidRPr="00BC31E0">
        <w:rPr>
          <w:rFonts w:ascii="ＭＳ ゴシック" w:eastAsia="ＭＳ ゴシック" w:hAnsi="ＭＳ ゴシック"/>
          <w:b/>
        </w:rPr>
        <w:t>6.3.7</w:t>
      </w:r>
      <w:r w:rsidRPr="00BC31E0">
        <w:rPr>
          <w:rFonts w:hint="eastAsia"/>
        </w:rPr>
        <w:t>を使用する場合，</w:t>
      </w:r>
      <m:oMath>
        <m:sSub>
          <m:sSubPr>
            <m:ctrlPr>
              <w:rPr>
                <w:rFonts w:ascii="Cambria Math" w:hAnsi="Cambria Math"/>
                <w:i/>
              </w:rPr>
            </m:ctrlPr>
          </m:sSubPr>
          <m:e>
            <m:r>
              <w:rPr>
                <w:rFonts w:ascii="Cambria Math" w:hAnsi="Cambria Math"/>
              </w:rPr>
              <m:t>S</m:t>
            </m:r>
          </m:e>
          <m:sub>
            <m:r>
              <w:rPr>
                <w:rFonts w:ascii="Cambria Math" w:hAnsi="Cambria Math"/>
              </w:rPr>
              <m:t>altij</m:t>
            </m:r>
          </m:sub>
        </m:sSub>
        <m:r>
          <w:rPr>
            <w:rFonts w:ascii="Cambria Math" w:hAnsi="Cambria Math"/>
          </w:rPr>
          <m:t xml:space="preserve"> </m:t>
        </m:r>
      </m:oMath>
      <w:r w:rsidRPr="00BC31E0">
        <w:rPr>
          <w:rFonts w:hint="eastAsia"/>
        </w:rPr>
        <w:t>に対して，関連する平均応力</w:t>
      </w:r>
      <m:oMath>
        <m:sSub>
          <m:sSubPr>
            <m:ctrlPr>
              <w:rPr>
                <w:rFonts w:ascii="Cambria Math" w:hAnsi="Cambria Math"/>
                <w:i/>
              </w:rPr>
            </m:ctrlPr>
          </m:sSubPr>
          <m:e>
            <m:r>
              <w:rPr>
                <w:rFonts w:ascii="Cambria Math" w:hAnsi="Cambria Math"/>
              </w:rPr>
              <m:t xml:space="preserve"> S</m:t>
            </m:r>
          </m:e>
          <m:sub>
            <m:r>
              <w:rPr>
                <w:rFonts w:ascii="Cambria Math" w:hAnsi="Cambria Math"/>
              </w:rPr>
              <m:t>mij</m:t>
            </m:r>
          </m:sub>
        </m:sSub>
        <m:r>
          <w:rPr>
            <w:rFonts w:ascii="Cambria Math" w:hAnsi="Cambria Math"/>
          </w:rPr>
          <m:t xml:space="preserve"> </m:t>
        </m:r>
      </m:oMath>
      <w:r w:rsidRPr="00BC31E0">
        <w:rPr>
          <w:rFonts w:hint="eastAsia"/>
        </w:rPr>
        <w:t>は次による。</w:t>
      </w:r>
    </w:p>
    <w:p w14:paraId="30D668C6" w14:textId="77777777" w:rsidR="00E20930" w:rsidRPr="00BC31E0" w:rsidRDefault="00A51873" w:rsidP="00736130">
      <w:pPr>
        <w:pStyle w:val="a4"/>
        <w:numPr>
          <w:ilvl w:val="0"/>
          <w:numId w:val="126"/>
        </w:numPr>
        <w:spacing w:after="120"/>
        <w:ind w:leftChars="0" w:left="1701" w:hanging="794"/>
        <w:rPr>
          <w:rFonts w:asciiTheme="minorHAnsi" w:eastAsiaTheme="minorEastAsia" w:hAnsiTheme="minorHAnsi"/>
          <w:iCs/>
          <w:kern w:val="0"/>
        </w:rPr>
      </w:pPr>
      <m:oMath>
        <m:sSub>
          <m:sSubPr>
            <m:ctrlPr>
              <w:rPr>
                <w:rFonts w:ascii="Cambria Math" w:eastAsiaTheme="minorEastAsia" w:hAnsiTheme="minorHAnsi"/>
                <w:vertAlign w:val="subscript"/>
              </w:rPr>
            </m:ctrlPr>
          </m:sSubPr>
          <m:e>
            <m:r>
              <w:rPr>
                <w:rFonts w:ascii="Cambria Math" w:eastAsiaTheme="minorEastAsia" w:hAnsi="Cambria Math"/>
                <w:vertAlign w:val="subscript"/>
              </w:rPr>
              <m:t>S</m:t>
            </m:r>
          </m:e>
          <m:sub>
            <m:r>
              <m:rPr>
                <m:sty m:val="p"/>
              </m:rPr>
              <w:rPr>
                <w:rFonts w:ascii="Cambria Math" w:eastAsiaTheme="minorEastAsia" w:hAnsiTheme="minorHAnsi"/>
                <w:vertAlign w:val="subscript"/>
              </w:rPr>
              <m:t>max</m:t>
            </m:r>
            <m:r>
              <w:rPr>
                <w:rFonts w:ascii="Cambria Math" w:eastAsiaTheme="minorEastAsia" w:hAnsi="Cambria Math"/>
                <w:vertAlign w:val="subscript"/>
              </w:rPr>
              <m:t>ij</m:t>
            </m:r>
            <m:r>
              <m:rPr>
                <m:sty m:val="p"/>
              </m:rPr>
              <w:rPr>
                <w:rFonts w:ascii="Cambria Math" w:eastAsiaTheme="minorEastAsia" w:hAnsiTheme="minorHAnsi"/>
                <w:vertAlign w:val="subscript"/>
              </w:rPr>
              <m:t xml:space="preserve"> </m:t>
            </m:r>
          </m:sub>
        </m:sSub>
      </m:oMath>
      <w:r w:rsidR="00E20930" w:rsidRPr="00BC31E0">
        <w:rPr>
          <w:rFonts w:asciiTheme="minorHAnsi" w:eastAsiaTheme="minorEastAsia" w:hAnsiTheme="minorEastAsia"/>
          <w:iCs/>
          <w:kern w:val="0"/>
        </w:rPr>
        <w:t>及び</w:t>
      </w:r>
      <m:oMath>
        <m:sSub>
          <m:sSubPr>
            <m:ctrlPr>
              <w:rPr>
                <w:rFonts w:ascii="Cambria Math" w:eastAsiaTheme="minorEastAsia" w:hAnsiTheme="minorHAnsi"/>
                <w:vertAlign w:val="subscript"/>
              </w:rPr>
            </m:ctrlPr>
          </m:sSubPr>
          <m:e>
            <m:r>
              <m:rPr>
                <m:sty m:val="p"/>
              </m:rPr>
              <w:rPr>
                <w:rFonts w:ascii="Cambria Math" w:eastAsiaTheme="minorEastAsia" w:hAnsiTheme="minorHAnsi"/>
                <w:vertAlign w:val="subscript"/>
              </w:rPr>
              <m:t xml:space="preserve"> </m:t>
            </m:r>
            <m:r>
              <w:rPr>
                <w:rFonts w:ascii="Cambria Math" w:eastAsiaTheme="minorEastAsia" w:hAnsi="Cambria Math"/>
                <w:vertAlign w:val="subscript"/>
              </w:rPr>
              <m:t>S</m:t>
            </m:r>
          </m:e>
          <m:sub>
            <m:r>
              <m:rPr>
                <m:sty m:val="p"/>
              </m:rPr>
              <w:rPr>
                <w:rFonts w:ascii="Cambria Math" w:eastAsiaTheme="minorEastAsia" w:hAnsiTheme="minorHAnsi"/>
                <w:vertAlign w:val="subscript"/>
              </w:rPr>
              <m:t>min</m:t>
            </m:r>
            <m:r>
              <w:rPr>
                <w:rFonts w:ascii="Cambria Math" w:eastAsiaTheme="minorEastAsia" w:hAnsi="Cambria Math"/>
                <w:vertAlign w:val="subscript"/>
              </w:rPr>
              <m:t>ij</m:t>
            </m:r>
          </m:sub>
        </m:sSub>
        <m:r>
          <m:rPr>
            <m:sty m:val="p"/>
          </m:rPr>
          <w:rPr>
            <w:rFonts w:ascii="Cambria Math" w:eastAsiaTheme="minorEastAsia" w:hAnsiTheme="minorHAnsi" w:hint="eastAsia"/>
            <w:vertAlign w:val="subscript"/>
          </w:rPr>
          <m:t xml:space="preserve"> </m:t>
        </m:r>
      </m:oMath>
      <w:r w:rsidR="00E20930" w:rsidRPr="00BC31E0">
        <w:rPr>
          <w:rFonts w:asciiTheme="minorHAnsi" w:eastAsiaTheme="minorEastAsia" w:hAnsiTheme="minorEastAsia"/>
          <w:kern w:val="0"/>
        </w:rPr>
        <w:t>の絶対値が</w:t>
      </w:r>
      <m:oMath>
        <m:f>
          <m:fPr>
            <m:type m:val="lin"/>
            <m:ctrlPr>
              <w:rPr>
                <w:rFonts w:ascii="Cambria Math" w:eastAsiaTheme="minorEastAsia" w:hAnsiTheme="minorHAnsi"/>
                <w:kern w:val="0"/>
              </w:rPr>
            </m:ctrlPr>
          </m:fPr>
          <m:num>
            <m:sSub>
              <m:sSubPr>
                <m:ctrlPr>
                  <w:rPr>
                    <w:rFonts w:ascii="Cambria Math" w:eastAsiaTheme="minorEastAsia" w:hAnsiTheme="minorHAnsi"/>
                    <w:kern w:val="0"/>
                  </w:rPr>
                </m:ctrlPr>
              </m:sSubPr>
              <m:e>
                <m:r>
                  <m:rPr>
                    <m:sty m:val="p"/>
                  </m:rPr>
                  <w:rPr>
                    <w:rFonts w:ascii="Cambria Math" w:eastAsiaTheme="minorEastAsia" w:hAnsiTheme="minorHAnsi"/>
                    <w:kern w:val="0"/>
                  </w:rPr>
                  <m:t xml:space="preserve"> </m:t>
                </m:r>
                <m:r>
                  <w:rPr>
                    <w:rFonts w:ascii="Cambria Math" w:eastAsiaTheme="minorEastAsia" w:hAnsi="Cambria Math"/>
                    <w:kern w:val="0"/>
                  </w:rPr>
                  <m:t>S</m:t>
                </m:r>
              </m:e>
              <m:sub>
                <m:r>
                  <w:rPr>
                    <w:rFonts w:ascii="Cambria Math" w:eastAsiaTheme="minorEastAsia" w:hAnsi="Cambria Math"/>
                    <w:kern w:val="0"/>
                  </w:rPr>
                  <m:t>y</m:t>
                </m:r>
              </m:sub>
            </m:sSub>
          </m:num>
          <m:den>
            <m:r>
              <w:rPr>
                <w:rFonts w:ascii="Cambria Math" w:eastAsiaTheme="minorEastAsia" w:hAnsi="Cambria Math"/>
                <w:kern w:val="0"/>
              </w:rPr>
              <m:t>α</m:t>
            </m:r>
          </m:den>
        </m:f>
        <m:r>
          <m:rPr>
            <m:sty m:val="p"/>
          </m:rPr>
          <w:rPr>
            <w:rFonts w:ascii="Cambria Math" w:eastAsiaTheme="minorEastAsia" w:hAnsiTheme="minorHAnsi"/>
            <w:kern w:val="0"/>
          </w:rPr>
          <m:t xml:space="preserve"> </m:t>
        </m:r>
      </m:oMath>
      <w:r w:rsidR="00E20930" w:rsidRPr="00BC31E0">
        <w:rPr>
          <w:rFonts w:asciiTheme="minorHAnsi" w:eastAsiaTheme="minorEastAsia" w:hAnsiTheme="minorEastAsia"/>
          <w:kern w:val="0"/>
        </w:rPr>
        <w:t>未満の場合</w:t>
      </w:r>
    </w:p>
    <w:p w14:paraId="2C7E33C5" w14:textId="77777777" w:rsidR="00E20930" w:rsidRPr="00BC31E0" w:rsidRDefault="00E20930" w:rsidP="00E20930">
      <w:pPr>
        <w:tabs>
          <w:tab w:val="left" w:pos="3261"/>
          <w:tab w:val="left" w:leader="middleDot" w:pos="8222"/>
        </w:tabs>
        <w:autoSpaceDE w:val="0"/>
        <w:autoSpaceDN w:val="0"/>
        <w:rPr>
          <w:rFonts w:ascii="ＭＳ 明朝"/>
          <w:kern w:val="0"/>
          <w:sz w:val="20"/>
        </w:rPr>
      </w:pPr>
      <w:r w:rsidRPr="00BC31E0">
        <w:rPr>
          <w:rFonts w:hint="eastAsia"/>
          <w:kern w:val="0"/>
        </w:rPr>
        <w:tab/>
      </w:r>
      <m:oMath>
        <m:sSub>
          <m:sSubPr>
            <m:ctrlPr>
              <w:rPr>
                <w:rFonts w:ascii="Cambria Math" w:hAnsi="Cambria Math"/>
                <w:i/>
                <w:kern w:val="0"/>
              </w:rPr>
            </m:ctrlPr>
          </m:sSubPr>
          <m:e>
            <m:r>
              <w:rPr>
                <w:rFonts w:ascii="Cambria Math" w:hAnsi="Cambria Math"/>
                <w:kern w:val="0"/>
              </w:rPr>
              <m:t>S</m:t>
            </m:r>
          </m:e>
          <m:sub>
            <m:r>
              <w:rPr>
                <w:rFonts w:ascii="Cambria Math" w:hAnsi="Cambria Math"/>
                <w:kern w:val="0"/>
              </w:rPr>
              <m:t>mij</m:t>
            </m:r>
          </m:sub>
        </m:sSub>
        <m:r>
          <w:rPr>
            <w:rFonts w:ascii="Cambria Math" w:hAnsi="Cambria Math"/>
            <w:kern w:val="0"/>
          </w:rPr>
          <m:t xml:space="preserve">=0.5 </m:t>
        </m:r>
        <m:d>
          <m:dPr>
            <m:begChr m:val="|"/>
            <m:endChr m:val="|"/>
            <m:ctrlPr>
              <w:rPr>
                <w:rFonts w:ascii="Cambria Math" w:hAnsi="Cambria Math"/>
                <w:i/>
                <w:kern w:val="0"/>
              </w:rPr>
            </m:ctrlPr>
          </m:dPr>
          <m:e>
            <m:sSub>
              <m:sSubPr>
                <m:ctrlPr>
                  <w:rPr>
                    <w:rFonts w:ascii="Cambria Math" w:hAnsi="Cambria Math"/>
                    <w:i/>
                    <w:kern w:val="0"/>
                  </w:rPr>
                </m:ctrlPr>
              </m:sSubPr>
              <m:e>
                <m:r>
                  <w:rPr>
                    <w:rFonts w:ascii="Cambria Math" w:hAnsi="Cambria Math"/>
                    <w:kern w:val="0"/>
                  </w:rPr>
                  <m:t>S</m:t>
                </m:r>
              </m:e>
              <m:sub>
                <m:r>
                  <m:rPr>
                    <m:sty m:val="p"/>
                  </m:rPr>
                  <w:rPr>
                    <w:rFonts w:ascii="Cambria Math" w:hAnsi="Cambria Math"/>
                    <w:kern w:val="0"/>
                  </w:rPr>
                  <m:t>max</m:t>
                </m:r>
                <m:r>
                  <w:rPr>
                    <w:rFonts w:ascii="Cambria Math" w:hAnsi="Cambria Math"/>
                    <w:kern w:val="0"/>
                  </w:rPr>
                  <m:t>ij</m:t>
                </m:r>
              </m:sub>
            </m:sSub>
            <m:r>
              <w:rPr>
                <w:rFonts w:ascii="Cambria Math" w:hAnsi="Cambria Math"/>
                <w:kern w:val="0"/>
              </w:rPr>
              <m:t>+</m:t>
            </m:r>
            <m:sSub>
              <m:sSubPr>
                <m:ctrlPr>
                  <w:rPr>
                    <w:rFonts w:ascii="Cambria Math" w:hAnsi="Cambria Math"/>
                    <w:i/>
                    <w:kern w:val="0"/>
                  </w:rPr>
                </m:ctrlPr>
              </m:sSubPr>
              <m:e>
                <m:r>
                  <w:rPr>
                    <w:rFonts w:ascii="Cambria Math" w:hAnsi="Cambria Math"/>
                    <w:kern w:val="0"/>
                  </w:rPr>
                  <m:t>S</m:t>
                </m:r>
              </m:e>
              <m:sub>
                <m:r>
                  <m:rPr>
                    <m:sty m:val="p"/>
                  </m:rPr>
                  <w:rPr>
                    <w:rFonts w:ascii="Cambria Math" w:hAnsi="Cambria Math"/>
                    <w:kern w:val="0"/>
                  </w:rPr>
                  <m:t>min</m:t>
                </m:r>
                <m:r>
                  <w:rPr>
                    <w:rFonts w:ascii="Cambria Math" w:hAnsi="Cambria Math"/>
                    <w:kern w:val="0"/>
                  </w:rPr>
                  <m:t>ij</m:t>
                </m:r>
              </m:sub>
            </m:sSub>
          </m:e>
        </m:d>
      </m:oMath>
      <w:r w:rsidRPr="00BC31E0">
        <w:rPr>
          <w:rFonts w:asciiTheme="minorHAnsi" w:hAnsiTheme="minorHAnsi"/>
          <w:kern w:val="0"/>
        </w:rPr>
        <w:tab/>
      </w:r>
      <w:r w:rsidR="00CF1748" w:rsidRPr="00BC31E0">
        <w:rPr>
          <w:rFonts w:asciiTheme="minorHAnsi" w:hAnsiTheme="minorHAnsi" w:hint="eastAsia"/>
          <w:kern w:val="0"/>
        </w:rPr>
        <w:t>(6.3.3</w:t>
      </w:r>
      <w:r w:rsidRPr="00BC31E0">
        <w:rPr>
          <w:rFonts w:asciiTheme="minorHAnsi" w:hAnsiTheme="minorHAnsi" w:hint="eastAsia"/>
          <w:kern w:val="0"/>
        </w:rPr>
        <w:t>)</w:t>
      </w:r>
    </w:p>
    <w:p w14:paraId="0094DD1E" w14:textId="77777777" w:rsidR="00E20930" w:rsidRPr="00BC31E0" w:rsidRDefault="00A51873" w:rsidP="00736130">
      <w:pPr>
        <w:pStyle w:val="a4"/>
        <w:numPr>
          <w:ilvl w:val="0"/>
          <w:numId w:val="126"/>
        </w:numPr>
        <w:spacing w:before="120" w:after="120"/>
        <w:ind w:leftChars="0" w:left="1701" w:hanging="794"/>
        <w:rPr>
          <w:rFonts w:asciiTheme="minorHAnsi" w:eastAsiaTheme="minorEastAsia" w:hAnsiTheme="minorHAnsi"/>
          <w:kern w:val="0"/>
          <w:sz w:val="20"/>
        </w:rPr>
      </w:pPr>
      <m:oMath>
        <m:sSub>
          <m:sSubPr>
            <m:ctrlPr>
              <w:rPr>
                <w:rFonts w:ascii="Cambria Math" w:eastAsiaTheme="minorEastAsia" w:hAnsiTheme="minorHAnsi"/>
                <w:vertAlign w:val="subscript"/>
              </w:rPr>
            </m:ctrlPr>
          </m:sSubPr>
          <m:e>
            <m:r>
              <w:rPr>
                <w:rFonts w:ascii="Cambria Math" w:eastAsiaTheme="minorEastAsia" w:hAnsi="Cambria Math"/>
                <w:vertAlign w:val="subscript"/>
              </w:rPr>
              <m:t>S</m:t>
            </m:r>
          </m:e>
          <m:sub>
            <m:r>
              <m:rPr>
                <m:sty m:val="p"/>
              </m:rPr>
              <w:rPr>
                <w:rFonts w:ascii="Cambria Math" w:eastAsiaTheme="minorEastAsia" w:hAnsiTheme="minorHAnsi"/>
                <w:vertAlign w:val="subscript"/>
              </w:rPr>
              <m:t>max</m:t>
            </m:r>
            <m:r>
              <w:rPr>
                <w:rFonts w:ascii="Cambria Math" w:eastAsiaTheme="minorEastAsia" w:hAnsi="Cambria Math"/>
                <w:vertAlign w:val="subscript"/>
              </w:rPr>
              <m:t>ij</m:t>
            </m:r>
          </m:sub>
        </m:sSub>
        <m:r>
          <m:rPr>
            <m:sty m:val="p"/>
          </m:rPr>
          <w:rPr>
            <w:rFonts w:ascii="Cambria Math" w:eastAsiaTheme="minorEastAsia" w:hAnsiTheme="minorHAnsi"/>
            <w:vertAlign w:val="subscript"/>
          </w:rPr>
          <m:t xml:space="preserve"> </m:t>
        </m:r>
      </m:oMath>
      <w:r w:rsidR="00E20930" w:rsidRPr="00BC31E0">
        <w:rPr>
          <w:rFonts w:asciiTheme="minorHAnsi" w:eastAsiaTheme="minorEastAsia" w:hAnsiTheme="minorEastAsia"/>
          <w:iCs/>
          <w:kern w:val="0"/>
        </w:rPr>
        <w:t>又は</w:t>
      </w:r>
      <m:oMath>
        <m:sSub>
          <m:sSubPr>
            <m:ctrlPr>
              <w:rPr>
                <w:rFonts w:ascii="Cambria Math" w:eastAsiaTheme="minorEastAsia" w:hAnsiTheme="minorHAnsi"/>
                <w:vertAlign w:val="subscript"/>
              </w:rPr>
            </m:ctrlPr>
          </m:sSubPr>
          <m:e>
            <m:r>
              <m:rPr>
                <m:sty m:val="p"/>
              </m:rPr>
              <w:rPr>
                <w:rFonts w:ascii="Cambria Math" w:eastAsiaTheme="minorEastAsia" w:hAnsiTheme="minorHAnsi"/>
                <w:vertAlign w:val="subscript"/>
              </w:rPr>
              <m:t xml:space="preserve"> </m:t>
            </m:r>
            <m:r>
              <w:rPr>
                <w:rFonts w:ascii="Cambria Math" w:eastAsiaTheme="minorEastAsia" w:hAnsi="Cambria Math"/>
                <w:vertAlign w:val="subscript"/>
              </w:rPr>
              <m:t>S</m:t>
            </m:r>
          </m:e>
          <m:sub>
            <m:r>
              <m:rPr>
                <m:sty m:val="p"/>
              </m:rPr>
              <w:rPr>
                <w:rFonts w:ascii="Cambria Math" w:eastAsiaTheme="minorEastAsia" w:hAnsiTheme="minorHAnsi"/>
                <w:vertAlign w:val="subscript"/>
              </w:rPr>
              <m:t>min</m:t>
            </m:r>
            <m:r>
              <w:rPr>
                <w:rFonts w:ascii="Cambria Math" w:eastAsiaTheme="minorEastAsia" w:hAnsi="Cambria Math"/>
                <w:vertAlign w:val="subscript"/>
              </w:rPr>
              <m:t>ij</m:t>
            </m:r>
          </m:sub>
        </m:sSub>
        <m:r>
          <m:rPr>
            <m:sty m:val="p"/>
          </m:rPr>
          <w:rPr>
            <w:rFonts w:ascii="Cambria Math" w:eastAsiaTheme="minorEastAsia" w:hAnsiTheme="minorHAnsi"/>
            <w:vertAlign w:val="subscript"/>
          </w:rPr>
          <m:t xml:space="preserve"> </m:t>
        </m:r>
      </m:oMath>
      <w:r w:rsidR="00E20930" w:rsidRPr="00BC31E0">
        <w:rPr>
          <w:rFonts w:asciiTheme="minorHAnsi" w:eastAsiaTheme="minorEastAsia" w:hAnsiTheme="minorEastAsia"/>
          <w:kern w:val="0"/>
        </w:rPr>
        <w:t>の絶対値が</w:t>
      </w:r>
      <m:oMath>
        <m:f>
          <m:fPr>
            <m:type m:val="lin"/>
            <m:ctrlPr>
              <w:rPr>
                <w:rFonts w:ascii="Cambria Math" w:eastAsiaTheme="minorEastAsia" w:hAnsiTheme="minorHAnsi"/>
                <w:kern w:val="0"/>
              </w:rPr>
            </m:ctrlPr>
          </m:fPr>
          <m:num>
            <m:sSub>
              <m:sSubPr>
                <m:ctrlPr>
                  <w:rPr>
                    <w:rFonts w:ascii="Cambria Math" w:eastAsiaTheme="minorEastAsia" w:hAnsiTheme="minorHAnsi"/>
                    <w:kern w:val="0"/>
                  </w:rPr>
                </m:ctrlPr>
              </m:sSubPr>
              <m:e>
                <m:r>
                  <m:rPr>
                    <m:sty m:val="p"/>
                  </m:rPr>
                  <w:rPr>
                    <w:rFonts w:ascii="Cambria Math" w:eastAsiaTheme="minorEastAsia" w:hAnsiTheme="minorHAnsi"/>
                    <w:kern w:val="0"/>
                  </w:rPr>
                  <m:t xml:space="preserve"> </m:t>
                </m:r>
                <m:r>
                  <w:rPr>
                    <w:rFonts w:ascii="Cambria Math" w:eastAsiaTheme="minorEastAsia" w:hAnsi="Cambria Math"/>
                    <w:kern w:val="0"/>
                  </w:rPr>
                  <m:t>S</m:t>
                </m:r>
              </m:e>
              <m:sub>
                <m:r>
                  <w:rPr>
                    <w:rFonts w:ascii="Cambria Math" w:eastAsiaTheme="minorEastAsia" w:hAnsi="Cambria Math"/>
                    <w:kern w:val="0"/>
                  </w:rPr>
                  <m:t>y</m:t>
                </m:r>
              </m:sub>
            </m:sSub>
          </m:num>
          <m:den>
            <m:r>
              <w:rPr>
                <w:rFonts w:ascii="Cambria Math" w:eastAsiaTheme="minorEastAsia" w:hAnsi="Cambria Math"/>
                <w:kern w:val="0"/>
              </w:rPr>
              <m:t>α</m:t>
            </m:r>
            <m:r>
              <m:rPr>
                <m:sty m:val="p"/>
              </m:rPr>
              <w:rPr>
                <w:rFonts w:ascii="Cambria Math" w:eastAsiaTheme="minorEastAsia" w:hAnsiTheme="minorHAnsi"/>
                <w:kern w:val="0"/>
              </w:rPr>
              <m:t xml:space="preserve"> </m:t>
            </m:r>
          </m:den>
        </m:f>
      </m:oMath>
      <w:r w:rsidR="00E20930" w:rsidRPr="00BC31E0">
        <w:rPr>
          <w:rFonts w:asciiTheme="minorHAnsi" w:eastAsiaTheme="minorEastAsia" w:hAnsiTheme="minorEastAsia"/>
          <w:kern w:val="0"/>
        </w:rPr>
        <w:t>以上で，かつ，</w:t>
      </w:r>
      <m:oMath>
        <m:sSub>
          <m:sSubPr>
            <m:ctrlPr>
              <w:rPr>
                <w:rFonts w:ascii="Cambria Math" w:eastAsiaTheme="minorEastAsia" w:hAnsiTheme="minorHAnsi"/>
                <w:kern w:val="0"/>
              </w:rPr>
            </m:ctrlPr>
          </m:sSubPr>
          <m:e>
            <m:r>
              <w:rPr>
                <w:rFonts w:ascii="Cambria Math" w:eastAsiaTheme="minorEastAsia" w:hAnsi="Cambria Math"/>
                <w:kern w:val="0"/>
              </w:rPr>
              <m:t>S</m:t>
            </m:r>
          </m:e>
          <m:sub>
            <m:r>
              <w:rPr>
                <w:rFonts w:ascii="Cambria Math" w:eastAsiaTheme="minorEastAsia" w:hAnsi="Cambria Math"/>
                <w:kern w:val="0"/>
              </w:rPr>
              <m:t>altij</m:t>
            </m:r>
          </m:sub>
        </m:sSub>
        <m:r>
          <m:rPr>
            <m:sty m:val="p"/>
          </m:rPr>
          <w:rPr>
            <w:rFonts w:ascii="Cambria Math" w:eastAsiaTheme="minorEastAsia" w:hAnsiTheme="minorHAnsi"/>
            <w:kern w:val="0"/>
          </w:rPr>
          <m:t>&lt;</m:t>
        </m:r>
        <m:d>
          <m:dPr>
            <m:ctrlPr>
              <w:rPr>
                <w:rFonts w:ascii="Cambria Math" w:eastAsiaTheme="minorEastAsia" w:hAnsiTheme="minorHAnsi"/>
                <w:kern w:val="0"/>
              </w:rPr>
            </m:ctrlPr>
          </m:dPr>
          <m:e>
            <m:f>
              <m:fPr>
                <m:type m:val="lin"/>
                <m:ctrlPr>
                  <w:rPr>
                    <w:rFonts w:ascii="Cambria Math" w:eastAsiaTheme="minorEastAsia" w:hAnsiTheme="minorHAnsi"/>
                    <w:kern w:val="0"/>
                  </w:rPr>
                </m:ctrlPr>
              </m:fPr>
              <m:num>
                <m:sSub>
                  <m:sSubPr>
                    <m:ctrlPr>
                      <w:rPr>
                        <w:rFonts w:ascii="Cambria Math" w:eastAsiaTheme="minorEastAsia" w:hAnsiTheme="minorHAnsi"/>
                        <w:kern w:val="0"/>
                      </w:rPr>
                    </m:ctrlPr>
                  </m:sSubPr>
                  <m:e>
                    <m:r>
                      <w:rPr>
                        <w:rFonts w:ascii="Cambria Math" w:eastAsiaTheme="minorEastAsia" w:hAnsi="Cambria Math"/>
                        <w:kern w:val="0"/>
                      </w:rPr>
                      <m:t>S</m:t>
                    </m:r>
                  </m:e>
                  <m:sub>
                    <m:r>
                      <w:rPr>
                        <w:rFonts w:ascii="Cambria Math" w:eastAsiaTheme="minorEastAsia" w:hAnsi="Cambria Math"/>
                        <w:kern w:val="0"/>
                      </w:rPr>
                      <m:t>y</m:t>
                    </m:r>
                  </m:sub>
                </m:sSub>
              </m:num>
              <m:den>
                <m:r>
                  <w:rPr>
                    <w:rFonts w:ascii="Cambria Math" w:eastAsiaTheme="minorEastAsia" w:hAnsi="Cambria Math"/>
                    <w:kern w:val="0"/>
                  </w:rPr>
                  <m:t>α</m:t>
                </m:r>
              </m:den>
            </m:f>
          </m:e>
        </m:d>
        <m:r>
          <m:rPr>
            <m:sty m:val="p"/>
          </m:rPr>
          <w:rPr>
            <w:rFonts w:ascii="Cambria Math" w:eastAsiaTheme="minorEastAsia" w:hAnsiTheme="minorHAnsi"/>
            <w:kern w:val="0"/>
          </w:rPr>
          <m:t xml:space="preserve"> </m:t>
        </m:r>
      </m:oMath>
      <w:r w:rsidR="00E20930" w:rsidRPr="00BC31E0">
        <w:rPr>
          <w:rFonts w:asciiTheme="minorHAnsi" w:eastAsiaTheme="minorEastAsia" w:hAnsiTheme="minorEastAsia"/>
          <w:kern w:val="0"/>
        </w:rPr>
        <w:t>の場合</w:t>
      </w:r>
    </w:p>
    <w:p w14:paraId="69F3857D" w14:textId="77777777" w:rsidR="00E20930" w:rsidRPr="00BC31E0" w:rsidRDefault="00E20930" w:rsidP="00E20930">
      <w:pPr>
        <w:tabs>
          <w:tab w:val="left" w:pos="3261"/>
          <w:tab w:val="left" w:leader="middleDot" w:pos="8222"/>
        </w:tabs>
        <w:autoSpaceDE w:val="0"/>
        <w:autoSpaceDN w:val="0"/>
        <w:rPr>
          <w:rFonts w:ascii="ＭＳ 明朝"/>
          <w:kern w:val="0"/>
          <w:sz w:val="20"/>
        </w:rPr>
      </w:pPr>
      <w:r w:rsidRPr="00BC31E0">
        <w:rPr>
          <w:rFonts w:hint="eastAsia"/>
          <w:kern w:val="0"/>
        </w:rPr>
        <w:tab/>
      </w:r>
      <m:oMath>
        <m:sSub>
          <m:sSubPr>
            <m:ctrlPr>
              <w:rPr>
                <w:rFonts w:ascii="Cambria Math" w:hAnsi="Cambria Math"/>
                <w:i/>
                <w:kern w:val="0"/>
              </w:rPr>
            </m:ctrlPr>
          </m:sSubPr>
          <m:e>
            <m:r>
              <w:rPr>
                <w:rFonts w:ascii="Cambria Math" w:hAnsi="Cambria Math"/>
                <w:kern w:val="0"/>
              </w:rPr>
              <m:t>S</m:t>
            </m:r>
          </m:e>
          <m:sub>
            <m:r>
              <w:rPr>
                <w:rFonts w:ascii="Cambria Math" w:hAnsi="Cambria Math"/>
                <w:kern w:val="0"/>
              </w:rPr>
              <m:t>mij</m:t>
            </m:r>
          </m:sub>
        </m:sSub>
        <m:r>
          <w:rPr>
            <w:rFonts w:ascii="Cambria Math" w:hAnsi="Cambria Math"/>
            <w:kern w:val="0"/>
          </w:rPr>
          <m:t>=</m:t>
        </m:r>
        <m:f>
          <m:fPr>
            <m:type m:val="lin"/>
            <m:ctrlPr>
              <w:rPr>
                <w:rFonts w:ascii="Cambria Math" w:hAnsi="Cambria Math"/>
                <w:i/>
                <w:kern w:val="0"/>
              </w:rPr>
            </m:ctrlPr>
          </m:fPr>
          <m:num>
            <m:sSub>
              <m:sSubPr>
                <m:ctrlPr>
                  <w:rPr>
                    <w:rFonts w:ascii="Cambria Math" w:hAnsi="Cambria Math"/>
                    <w:i/>
                    <w:kern w:val="0"/>
                  </w:rPr>
                </m:ctrlPr>
              </m:sSubPr>
              <m:e>
                <m:r>
                  <w:rPr>
                    <w:rFonts w:ascii="Cambria Math" w:hAnsi="Cambria Math"/>
                    <w:kern w:val="0"/>
                  </w:rPr>
                  <m:t>S</m:t>
                </m:r>
              </m:e>
              <m:sub>
                <m:r>
                  <w:rPr>
                    <w:rFonts w:ascii="Cambria Math" w:hAnsi="Cambria Math"/>
                    <w:kern w:val="0"/>
                  </w:rPr>
                  <m:t>y</m:t>
                </m:r>
              </m:sub>
            </m:sSub>
          </m:num>
          <m:den>
            <m:r>
              <w:rPr>
                <w:rFonts w:ascii="Cambria Math" w:hAnsi="Cambria Math"/>
                <w:kern w:val="0"/>
              </w:rPr>
              <m:t>α</m:t>
            </m:r>
          </m:den>
        </m:f>
        <m:r>
          <w:rPr>
            <w:rFonts w:ascii="Cambria Math" w:hAnsi="Cambria Math"/>
            <w:kern w:val="0"/>
          </w:rPr>
          <m:t>-</m:t>
        </m:r>
        <m:sSub>
          <m:sSubPr>
            <m:ctrlPr>
              <w:rPr>
                <w:rFonts w:ascii="Cambria Math" w:hAnsi="Cambria Math"/>
                <w:i/>
                <w:kern w:val="0"/>
              </w:rPr>
            </m:ctrlPr>
          </m:sSubPr>
          <m:e>
            <m:r>
              <w:rPr>
                <w:rFonts w:ascii="Cambria Math" w:hAnsi="Cambria Math"/>
                <w:kern w:val="0"/>
              </w:rPr>
              <m:t>S</m:t>
            </m:r>
          </m:e>
          <m:sub>
            <m:r>
              <w:rPr>
                <w:rFonts w:ascii="Cambria Math" w:hAnsi="Cambria Math"/>
                <w:kern w:val="0"/>
              </w:rPr>
              <m:t>altij</m:t>
            </m:r>
          </m:sub>
        </m:sSub>
      </m:oMath>
      <w:r w:rsidRPr="00BC31E0">
        <w:rPr>
          <w:rFonts w:asciiTheme="minorHAnsi" w:hAnsiTheme="minorHAnsi"/>
          <w:kern w:val="0"/>
        </w:rPr>
        <w:tab/>
      </w:r>
      <w:r w:rsidR="00CF1748" w:rsidRPr="00BC31E0">
        <w:rPr>
          <w:rFonts w:asciiTheme="minorHAnsi" w:hAnsiTheme="minorHAnsi" w:hint="eastAsia"/>
          <w:kern w:val="0"/>
        </w:rPr>
        <w:t>(6.3.4</w:t>
      </w:r>
      <w:r w:rsidRPr="00BC31E0">
        <w:rPr>
          <w:rFonts w:asciiTheme="minorHAnsi" w:hAnsiTheme="minorHAnsi" w:hint="eastAsia"/>
          <w:kern w:val="0"/>
        </w:rPr>
        <w:t>)</w:t>
      </w:r>
    </w:p>
    <w:p w14:paraId="3E54F217" w14:textId="77777777" w:rsidR="00E20930" w:rsidRPr="00BC31E0" w:rsidRDefault="00A51873" w:rsidP="00736130">
      <w:pPr>
        <w:pStyle w:val="a4"/>
        <w:numPr>
          <w:ilvl w:val="0"/>
          <w:numId w:val="126"/>
        </w:numPr>
        <w:spacing w:before="120" w:after="120"/>
        <w:ind w:leftChars="0" w:left="1701" w:hanging="794"/>
        <w:rPr>
          <w:rFonts w:asciiTheme="minorHAnsi" w:eastAsiaTheme="minorEastAsia" w:hAnsiTheme="minorHAnsi"/>
          <w:kern w:val="0"/>
          <w:sz w:val="20"/>
        </w:rPr>
      </w:pPr>
      <m:oMath>
        <m:sSub>
          <m:sSubPr>
            <m:ctrlPr>
              <w:rPr>
                <w:rFonts w:ascii="Cambria Math" w:eastAsiaTheme="minorEastAsia" w:hAnsiTheme="minorHAnsi"/>
                <w:kern w:val="0"/>
              </w:rPr>
            </m:ctrlPr>
          </m:sSubPr>
          <m:e>
            <m:r>
              <w:rPr>
                <w:rFonts w:ascii="Cambria Math" w:eastAsiaTheme="minorEastAsia" w:hAnsi="Cambria Math"/>
                <w:kern w:val="0"/>
              </w:rPr>
              <m:t>S</m:t>
            </m:r>
          </m:e>
          <m:sub>
            <m:r>
              <w:rPr>
                <w:rFonts w:ascii="Cambria Math" w:eastAsiaTheme="minorEastAsia" w:hAnsi="Cambria Math"/>
                <w:kern w:val="0"/>
              </w:rPr>
              <m:t>altij</m:t>
            </m:r>
          </m:sub>
        </m:sSub>
        <m:r>
          <m:rPr>
            <m:sty m:val="p"/>
          </m:rPr>
          <w:rPr>
            <w:rFonts w:asciiTheme="minorEastAsia" w:eastAsiaTheme="minorEastAsia" w:hAnsiTheme="minorEastAsia"/>
            <w:kern w:val="0"/>
          </w:rPr>
          <m:t>≧</m:t>
        </m:r>
        <m:d>
          <m:dPr>
            <m:ctrlPr>
              <w:rPr>
                <w:rFonts w:ascii="Cambria Math" w:eastAsiaTheme="minorEastAsia" w:hAnsiTheme="minorHAnsi"/>
                <w:kern w:val="0"/>
              </w:rPr>
            </m:ctrlPr>
          </m:dPr>
          <m:e>
            <m:f>
              <m:fPr>
                <m:type m:val="lin"/>
                <m:ctrlPr>
                  <w:rPr>
                    <w:rFonts w:ascii="Cambria Math" w:eastAsiaTheme="minorEastAsia" w:hAnsiTheme="minorHAnsi"/>
                    <w:kern w:val="0"/>
                  </w:rPr>
                </m:ctrlPr>
              </m:fPr>
              <m:num>
                <m:sSub>
                  <m:sSubPr>
                    <m:ctrlPr>
                      <w:rPr>
                        <w:rFonts w:ascii="Cambria Math" w:eastAsiaTheme="minorEastAsia" w:hAnsiTheme="minorHAnsi"/>
                        <w:kern w:val="0"/>
                      </w:rPr>
                    </m:ctrlPr>
                  </m:sSubPr>
                  <m:e>
                    <m:r>
                      <w:rPr>
                        <w:rFonts w:ascii="Cambria Math" w:eastAsiaTheme="minorEastAsia" w:hAnsi="Cambria Math"/>
                        <w:kern w:val="0"/>
                      </w:rPr>
                      <m:t>S</m:t>
                    </m:r>
                  </m:e>
                  <m:sub>
                    <m:r>
                      <w:rPr>
                        <w:rFonts w:ascii="Cambria Math" w:eastAsiaTheme="minorEastAsia" w:hAnsi="Cambria Math"/>
                        <w:kern w:val="0"/>
                      </w:rPr>
                      <m:t>y</m:t>
                    </m:r>
                  </m:sub>
                </m:sSub>
              </m:num>
              <m:den>
                <m:r>
                  <w:rPr>
                    <w:rFonts w:ascii="Cambria Math" w:eastAsiaTheme="minorEastAsia" w:hAnsi="Cambria Math"/>
                    <w:kern w:val="0"/>
                  </w:rPr>
                  <m:t>α</m:t>
                </m:r>
              </m:den>
            </m:f>
          </m:e>
        </m:d>
        <m:r>
          <m:rPr>
            <m:sty m:val="p"/>
          </m:rPr>
          <w:rPr>
            <w:rFonts w:ascii="Cambria Math" w:eastAsiaTheme="minorEastAsia" w:hAnsiTheme="minorHAnsi"/>
            <w:kern w:val="0"/>
          </w:rPr>
          <m:t xml:space="preserve"> </m:t>
        </m:r>
      </m:oMath>
      <w:r w:rsidR="00E20930" w:rsidRPr="00BC31E0">
        <w:rPr>
          <w:rFonts w:asciiTheme="minorHAnsi" w:eastAsiaTheme="minorEastAsia" w:hAnsiTheme="minorEastAsia"/>
          <w:kern w:val="0"/>
        </w:rPr>
        <w:t>の場合</w:t>
      </w:r>
    </w:p>
    <w:p w14:paraId="5BD82DF3" w14:textId="77777777" w:rsidR="00E20930" w:rsidRPr="00BC31E0" w:rsidRDefault="00E20930" w:rsidP="00E20930">
      <w:pPr>
        <w:tabs>
          <w:tab w:val="left" w:pos="3261"/>
          <w:tab w:val="left" w:leader="middleDot" w:pos="8222"/>
        </w:tabs>
        <w:autoSpaceDE w:val="0"/>
        <w:autoSpaceDN w:val="0"/>
        <w:rPr>
          <w:rFonts w:ascii="ＭＳ 明朝" w:hAnsi="Times New Roman"/>
          <w:kern w:val="0"/>
        </w:rPr>
      </w:pPr>
      <w:r w:rsidRPr="00BC31E0">
        <w:rPr>
          <w:rFonts w:hint="eastAsia"/>
          <w:kern w:val="0"/>
        </w:rPr>
        <w:tab/>
      </w:r>
      <m:oMath>
        <m:sSub>
          <m:sSubPr>
            <m:ctrlPr>
              <w:rPr>
                <w:rFonts w:ascii="Cambria Math" w:hAnsi="Cambria Math"/>
                <w:i/>
                <w:kern w:val="0"/>
              </w:rPr>
            </m:ctrlPr>
          </m:sSubPr>
          <m:e>
            <m:r>
              <w:rPr>
                <w:rFonts w:ascii="Cambria Math" w:hAnsi="Cambria Math"/>
                <w:kern w:val="0"/>
              </w:rPr>
              <m:t>S</m:t>
            </m:r>
          </m:e>
          <m:sub>
            <m:r>
              <w:rPr>
                <w:rFonts w:ascii="Cambria Math" w:hAnsi="Cambria Math"/>
                <w:kern w:val="0"/>
              </w:rPr>
              <m:t>mij</m:t>
            </m:r>
          </m:sub>
        </m:sSub>
        <m:r>
          <w:rPr>
            <w:rFonts w:ascii="Cambria Math" w:hAnsi="Cambria Math"/>
            <w:kern w:val="0"/>
          </w:rPr>
          <m:t>=0</m:t>
        </m:r>
      </m:oMath>
      <w:r w:rsidRPr="00BC31E0">
        <w:rPr>
          <w:rFonts w:asciiTheme="minorHAnsi" w:hAnsiTheme="minorHAnsi"/>
          <w:kern w:val="0"/>
        </w:rPr>
        <w:tab/>
      </w:r>
      <w:r w:rsidR="00CF1748" w:rsidRPr="00BC31E0">
        <w:rPr>
          <w:rFonts w:asciiTheme="minorHAnsi" w:hAnsiTheme="minorHAnsi" w:hint="eastAsia"/>
          <w:kern w:val="0"/>
        </w:rPr>
        <w:t>(6.3.5</w:t>
      </w:r>
      <w:r w:rsidRPr="00BC31E0">
        <w:rPr>
          <w:rFonts w:asciiTheme="minorHAnsi" w:hAnsiTheme="minorHAnsi" w:hint="eastAsia"/>
          <w:kern w:val="0"/>
        </w:rPr>
        <w:t>)</w:t>
      </w:r>
    </w:p>
    <w:p w14:paraId="0F67BC11" w14:textId="77777777" w:rsidR="00E20930" w:rsidRPr="00BC31E0" w:rsidRDefault="00E20930" w:rsidP="00E20930">
      <w:pPr>
        <w:autoSpaceDE w:val="0"/>
        <w:autoSpaceDN w:val="0"/>
        <w:spacing w:before="120"/>
        <w:ind w:left="1134" w:firstLineChars="100" w:firstLine="210"/>
        <w:rPr>
          <w:rFonts w:ascii="ＭＳ 明朝" w:hAnsi="Times New Roman"/>
          <w:kern w:val="0"/>
        </w:rPr>
      </w:pPr>
      <w:r w:rsidRPr="00BC31E0">
        <w:rPr>
          <w:rFonts w:ascii="ＭＳ 明朝" w:hAnsi="Times New Roman" w:hint="eastAsia"/>
          <w:kern w:val="0"/>
        </w:rPr>
        <w:t>ここで，</w:t>
      </w:r>
      <m:oMath>
        <m:sSub>
          <m:sSubPr>
            <m:ctrlPr>
              <w:rPr>
                <w:rFonts w:ascii="Cambria Math" w:hAnsi="Cambria Math"/>
                <w:i/>
                <w:kern w:val="0"/>
              </w:rPr>
            </m:ctrlPr>
          </m:sSubPr>
          <m:e>
            <m:r>
              <w:rPr>
                <w:rFonts w:ascii="Cambria Math" w:hAnsi="Cambria Math" w:hint="eastAsia"/>
                <w:kern w:val="0"/>
              </w:rPr>
              <m:t>S</m:t>
            </m:r>
          </m:e>
          <m:sub>
            <m:r>
              <w:rPr>
                <w:rFonts w:ascii="Cambria Math" w:hAnsi="Cambria Math"/>
                <w:kern w:val="0"/>
              </w:rPr>
              <m:t>y</m:t>
            </m:r>
          </m:sub>
        </m:sSub>
        <m:r>
          <m:rPr>
            <m:sty m:val="p"/>
          </m:rPr>
          <w:rPr>
            <w:rFonts w:ascii="Cambria Math" w:hAnsi="Cambria Math"/>
            <w:kern w:val="0"/>
          </w:rPr>
          <m:t xml:space="preserve"> </m:t>
        </m:r>
      </m:oMath>
      <w:r w:rsidRPr="00BC31E0">
        <w:rPr>
          <w:rFonts w:ascii="ＭＳ 明朝" w:hAnsi="Times New Roman" w:hint="eastAsia"/>
          <w:kern w:val="0"/>
        </w:rPr>
        <w:t xml:space="preserve">は運転サイクル中の最高温度と最低温度の平均温度における降伏強さ， </w:t>
      </w:r>
      <m:oMath>
        <m:r>
          <w:rPr>
            <w:rFonts w:ascii="Cambria Math" w:hAnsi="Cambria Math"/>
            <w:kern w:val="0"/>
          </w:rPr>
          <m:t xml:space="preserve">α=2 </m:t>
        </m:r>
      </m:oMath>
      <w:r w:rsidRPr="00BC31E0">
        <w:rPr>
          <w:rFonts w:ascii="ＭＳ 明朝" w:hAnsi="Times New Roman" w:hint="eastAsia"/>
          <w:kern w:val="0"/>
        </w:rPr>
        <w:t>とする。</w:t>
      </w:r>
    </w:p>
    <w:p w14:paraId="19A68429" w14:textId="77777777" w:rsidR="00E20930" w:rsidRPr="00BC31E0" w:rsidRDefault="00E20930" w:rsidP="00E20930">
      <w:pPr>
        <w:autoSpaceDE w:val="0"/>
        <w:autoSpaceDN w:val="0"/>
        <w:ind w:left="1134" w:firstLineChars="100" w:firstLine="210"/>
        <w:rPr>
          <w:rFonts w:ascii="ＭＳ 明朝" w:hAnsi="Times New Roman"/>
          <w:kern w:val="0"/>
        </w:rPr>
      </w:pPr>
      <w:r w:rsidRPr="00BC31E0">
        <w:rPr>
          <w:rFonts w:ascii="ＭＳ 明朝" w:hAnsi="Times New Roman" w:hint="eastAsia"/>
          <w:kern w:val="0"/>
        </w:rPr>
        <w:t>ただし，明らかに圧縮応力支配の場合には，</w:t>
      </w:r>
      <w:r w:rsidR="00480621" w:rsidRPr="00BC31E0">
        <w:rPr>
          <w:rFonts w:ascii="ＭＳ ゴシック" w:eastAsia="ＭＳ ゴシック" w:hAnsi="ＭＳ ゴシック" w:hint="eastAsia"/>
          <w:b/>
          <w:bCs/>
          <w:kern w:val="0"/>
        </w:rPr>
        <w:t>2</w:t>
      </w:r>
      <w:r w:rsidRPr="00BC31E0">
        <w:rPr>
          <w:rFonts w:ascii="ＭＳ ゴシック" w:eastAsia="ＭＳ ゴシック" w:hAnsi="ＭＳ ゴシック" w:hint="eastAsia"/>
          <w:b/>
          <w:bCs/>
          <w:kern w:val="0"/>
        </w:rPr>
        <w:t>.</w:t>
      </w:r>
      <w:r w:rsidR="00480621" w:rsidRPr="00BC31E0">
        <w:rPr>
          <w:rFonts w:ascii="ＭＳ ゴシック" w:eastAsia="ＭＳ ゴシック" w:hAnsi="ＭＳ ゴシック" w:hint="eastAsia"/>
          <w:b/>
          <w:bCs/>
          <w:kern w:val="0"/>
        </w:rPr>
        <w:t>3</w:t>
      </w:r>
      <w:r w:rsidRPr="00BC31E0">
        <w:rPr>
          <w:rFonts w:ascii="ＭＳ ゴシック" w:eastAsia="ＭＳ ゴシック" w:hAnsi="ＭＳ ゴシック" w:hint="eastAsia"/>
          <w:b/>
          <w:bCs/>
          <w:kern w:val="0"/>
        </w:rPr>
        <w:t>.1)</w:t>
      </w:r>
      <w:r w:rsidR="00480621" w:rsidRPr="00BC31E0">
        <w:rPr>
          <w:rFonts w:asciiTheme="minorEastAsia" w:eastAsiaTheme="minorEastAsia" w:hAnsiTheme="minorEastAsia" w:hint="eastAsia"/>
          <w:bCs/>
          <w:kern w:val="0"/>
        </w:rPr>
        <w:t>及び</w:t>
      </w:r>
      <w:r w:rsidR="00480621" w:rsidRPr="00BC31E0">
        <w:rPr>
          <w:rFonts w:ascii="ＭＳ ゴシック" w:eastAsia="ＭＳ ゴシック" w:hAnsi="ＭＳ ゴシック" w:hint="eastAsia"/>
          <w:b/>
          <w:bCs/>
          <w:kern w:val="0"/>
        </w:rPr>
        <w:t>2.3</w:t>
      </w:r>
      <w:r w:rsidRPr="00BC31E0">
        <w:rPr>
          <w:rFonts w:ascii="ＭＳ ゴシック" w:eastAsia="ＭＳ ゴシック" w:hAnsi="ＭＳ ゴシック" w:hint="eastAsia"/>
          <w:b/>
          <w:bCs/>
          <w:kern w:val="0"/>
        </w:rPr>
        <w:t>.2)</w:t>
      </w:r>
      <w:r w:rsidRPr="00BC31E0">
        <w:rPr>
          <w:rFonts w:ascii="ＭＳ 明朝" w:hAnsi="Times New Roman" w:hint="eastAsia"/>
          <w:kern w:val="0"/>
        </w:rPr>
        <w:t>の</w:t>
      </w:r>
      <m:oMath>
        <m:sSub>
          <m:sSubPr>
            <m:ctrlPr>
              <w:rPr>
                <w:rFonts w:ascii="Cambria Math" w:hAnsi="Cambria Math"/>
                <w:i/>
                <w:kern w:val="0"/>
              </w:rPr>
            </m:ctrlPr>
          </m:sSubPr>
          <m:e>
            <m:r>
              <w:rPr>
                <w:rFonts w:ascii="Cambria Math" w:hAnsi="Cambria Math"/>
                <w:kern w:val="0"/>
              </w:rPr>
              <m:t xml:space="preserve"> S</m:t>
            </m:r>
          </m:e>
          <m:sub>
            <m:r>
              <w:rPr>
                <w:rFonts w:ascii="Cambria Math" w:hAnsi="Cambria Math"/>
                <w:kern w:val="0"/>
              </w:rPr>
              <m:t>mij</m:t>
            </m:r>
            <m:r>
              <w:rPr>
                <w:rFonts w:ascii="Cambria Math" w:hAnsi="Cambria Math" w:hint="eastAsia"/>
                <w:kern w:val="0"/>
              </w:rPr>
              <m:t xml:space="preserve"> </m:t>
            </m:r>
          </m:sub>
        </m:sSub>
      </m:oMath>
      <w:r w:rsidRPr="00BC31E0">
        <w:rPr>
          <w:rFonts w:ascii="ＭＳ 明朝" w:hAnsi="Times New Roman" w:hint="eastAsia"/>
          <w:kern w:val="0"/>
        </w:rPr>
        <w:t>の値を負に</w:t>
      </w:r>
      <w:r w:rsidR="00C267D0" w:rsidRPr="00BC31E0">
        <w:rPr>
          <w:rFonts w:ascii="ＭＳ 明朝" w:hAnsi="Times New Roman" w:hint="eastAsia"/>
          <w:kern w:val="0"/>
        </w:rPr>
        <w:t>してもよい</w:t>
      </w:r>
      <w:r w:rsidRPr="00BC31E0">
        <w:rPr>
          <w:rFonts w:ascii="ＭＳ 明朝" w:hAnsi="Times New Roman" w:hint="eastAsia"/>
          <w:kern w:val="0"/>
        </w:rPr>
        <w:t>。</w:t>
      </w:r>
    </w:p>
    <w:p w14:paraId="2428E446" w14:textId="77777777" w:rsidR="00E20930" w:rsidRPr="00BC31E0" w:rsidRDefault="00E20930" w:rsidP="00E20930">
      <w:pPr>
        <w:autoSpaceDE w:val="0"/>
        <w:autoSpaceDN w:val="0"/>
        <w:ind w:left="1134" w:firstLineChars="100" w:firstLine="210"/>
        <w:rPr>
          <w:rFonts w:ascii="ＭＳ 明朝" w:hAnsi="Times New Roman"/>
          <w:kern w:val="0"/>
        </w:rPr>
      </w:pPr>
      <w:r w:rsidRPr="00BC31E0">
        <w:rPr>
          <w:rFonts w:ascii="ＭＳ 明朝" w:hAnsi="Times New Roman" w:hint="eastAsia"/>
          <w:kern w:val="0"/>
        </w:rPr>
        <w:t>弾塑性解析を行う場合には，</w:t>
      </w:r>
      <w:r w:rsidRPr="00BC31E0">
        <w:rPr>
          <w:rFonts w:ascii="ＭＳ ゴシック" w:eastAsia="ＭＳ ゴシック" w:hAnsi="ＭＳ ゴシック"/>
          <w:b/>
          <w:kern w:val="0"/>
        </w:rPr>
        <w:t>2.3</w:t>
      </w:r>
      <w:r w:rsidRPr="00BC31E0">
        <w:rPr>
          <w:rFonts w:ascii="ＭＳ ゴシック" w:eastAsia="ＭＳ ゴシック" w:hAnsi="ＭＳ ゴシック" w:hint="eastAsia"/>
          <w:b/>
          <w:kern w:val="0"/>
        </w:rPr>
        <w:t>.1)</w:t>
      </w:r>
      <w:r w:rsidRPr="00BC31E0">
        <w:rPr>
          <w:rFonts w:asciiTheme="minorEastAsia" w:eastAsiaTheme="minorEastAsia" w:hAnsiTheme="minorEastAsia" w:hint="eastAsia"/>
          <w:kern w:val="0"/>
        </w:rPr>
        <w:t>～</w:t>
      </w:r>
      <w:r w:rsidRPr="00BC31E0">
        <w:rPr>
          <w:rFonts w:ascii="ＭＳ ゴシック" w:eastAsia="ＭＳ ゴシック" w:hAnsi="ＭＳ ゴシック"/>
          <w:b/>
          <w:kern w:val="0"/>
        </w:rPr>
        <w:t>2.3</w:t>
      </w:r>
      <w:r w:rsidRPr="00BC31E0">
        <w:rPr>
          <w:rFonts w:ascii="ＭＳ ゴシック" w:eastAsia="ＭＳ ゴシック" w:hAnsi="ＭＳ ゴシック" w:hint="eastAsia"/>
          <w:b/>
          <w:kern w:val="0"/>
        </w:rPr>
        <w:t>.3)</w:t>
      </w:r>
      <w:r w:rsidRPr="00BC31E0">
        <w:rPr>
          <w:rFonts w:ascii="ＭＳ 明朝" w:hAnsi="Times New Roman" w:hint="eastAsia"/>
          <w:kern w:val="0"/>
        </w:rPr>
        <w:t>を適用せずに，弾塑性解析で得られた応力値より，平均応力を</w:t>
      </w:r>
      <m:oMath>
        <m:sSub>
          <m:sSubPr>
            <m:ctrlPr>
              <w:rPr>
                <w:rFonts w:ascii="Cambria Math" w:hAnsi="Cambria Math"/>
                <w:i/>
                <w:kern w:val="0"/>
              </w:rPr>
            </m:ctrlPr>
          </m:sSubPr>
          <m:e>
            <m:r>
              <w:rPr>
                <w:rFonts w:ascii="Cambria Math" w:hAnsi="Cambria Math"/>
                <w:kern w:val="0"/>
              </w:rPr>
              <m:t xml:space="preserve"> S</m:t>
            </m:r>
          </m:e>
          <m:sub>
            <m:r>
              <w:rPr>
                <w:rFonts w:ascii="Cambria Math" w:hAnsi="Cambria Math"/>
                <w:kern w:val="0"/>
              </w:rPr>
              <m:t>mij</m:t>
            </m:r>
          </m:sub>
        </m:sSub>
        <m:r>
          <w:rPr>
            <w:rFonts w:ascii="Cambria Math" w:hAnsi="Cambria Math"/>
            <w:kern w:val="0"/>
          </w:rPr>
          <m:t xml:space="preserve">=0.5 </m:t>
        </m:r>
        <m:d>
          <m:dPr>
            <m:ctrlPr>
              <w:rPr>
                <w:rFonts w:ascii="Cambria Math" w:hAnsi="Cambria Math"/>
                <w:i/>
                <w:kern w:val="0"/>
              </w:rPr>
            </m:ctrlPr>
          </m:dPr>
          <m:e>
            <m:sSub>
              <m:sSubPr>
                <m:ctrlPr>
                  <w:rPr>
                    <w:rFonts w:ascii="Cambria Math" w:hAnsi="Cambria Math"/>
                    <w:i/>
                    <w:kern w:val="0"/>
                  </w:rPr>
                </m:ctrlPr>
              </m:sSubPr>
              <m:e>
                <m:r>
                  <w:rPr>
                    <w:rFonts w:ascii="Cambria Math" w:hAnsi="Cambria Math"/>
                    <w:kern w:val="0"/>
                  </w:rPr>
                  <m:t>S</m:t>
                </m:r>
              </m:e>
              <m:sub>
                <m:r>
                  <w:rPr>
                    <w:rFonts w:ascii="Cambria Math" w:hAnsi="Cambria Math"/>
                    <w:kern w:val="0"/>
                  </w:rPr>
                  <m:t>ij</m:t>
                </m:r>
                <m:r>
                  <m:rPr>
                    <m:sty m:val="p"/>
                  </m:rPr>
                  <w:rPr>
                    <w:rFonts w:ascii="Cambria Math" w:hAnsi="Cambria Math"/>
                    <w:kern w:val="0"/>
                  </w:rPr>
                  <m:t>max</m:t>
                </m:r>
              </m:sub>
            </m:sSub>
            <m:r>
              <w:rPr>
                <w:rFonts w:ascii="Cambria Math" w:hAnsi="Cambria Math"/>
                <w:kern w:val="0"/>
              </w:rPr>
              <m:t>+</m:t>
            </m:r>
            <m:sSub>
              <m:sSubPr>
                <m:ctrlPr>
                  <w:rPr>
                    <w:rFonts w:ascii="Cambria Math" w:hAnsi="Cambria Math"/>
                    <w:i/>
                    <w:kern w:val="0"/>
                  </w:rPr>
                </m:ctrlPr>
              </m:sSubPr>
              <m:e>
                <m:r>
                  <w:rPr>
                    <w:rFonts w:ascii="Cambria Math" w:hAnsi="Cambria Math"/>
                    <w:kern w:val="0"/>
                  </w:rPr>
                  <m:t>S</m:t>
                </m:r>
              </m:e>
              <m:sub>
                <m:r>
                  <w:rPr>
                    <w:rFonts w:ascii="Cambria Math" w:hAnsi="Cambria Math"/>
                    <w:kern w:val="0"/>
                  </w:rPr>
                  <m:t>ij</m:t>
                </m:r>
                <m:r>
                  <m:rPr>
                    <m:sty m:val="p"/>
                  </m:rPr>
                  <w:rPr>
                    <w:rFonts w:ascii="Cambria Math" w:hAnsi="Cambria Math"/>
                    <w:kern w:val="0"/>
                  </w:rPr>
                  <m:t>min</m:t>
                </m:r>
              </m:sub>
            </m:sSub>
          </m:e>
        </m:d>
        <m:r>
          <w:rPr>
            <w:rFonts w:ascii="Cambria Math" w:hAnsi="Cambria Math"/>
            <w:kern w:val="0"/>
          </w:rPr>
          <m:t xml:space="preserve"> </m:t>
        </m:r>
      </m:oMath>
      <w:r w:rsidRPr="00BC31E0">
        <w:rPr>
          <w:rFonts w:ascii="ＭＳ 明朝" w:hAnsi="Times New Roman" w:hint="eastAsia"/>
          <w:kern w:val="0"/>
        </w:rPr>
        <w:t>で求める。ここで，</w:t>
      </w:r>
      <m:oMath>
        <m:sSub>
          <m:sSubPr>
            <m:ctrlPr>
              <w:rPr>
                <w:rFonts w:ascii="Cambria Math" w:hAnsi="Cambria Math"/>
                <w:vertAlign w:val="subscript"/>
              </w:rPr>
            </m:ctrlPr>
          </m:sSubPr>
          <m:e>
            <m:r>
              <w:rPr>
                <w:rFonts w:ascii="Cambria Math" w:hAnsi="Cambria Math" w:hint="eastAsia"/>
                <w:vertAlign w:val="subscript"/>
              </w:rPr>
              <m:t>S</m:t>
            </m:r>
          </m:e>
          <m:sub>
            <m:r>
              <w:rPr>
                <w:rFonts w:ascii="Cambria Math" w:hAnsi="Cambria Math"/>
                <w:vertAlign w:val="subscript"/>
              </w:rPr>
              <m:t>ij</m:t>
            </m:r>
            <m:r>
              <m:rPr>
                <m:sty m:val="p"/>
              </m:rPr>
              <w:rPr>
                <w:rFonts w:ascii="Cambria Math" w:hAnsi="Cambria Math"/>
                <w:vertAlign w:val="subscript"/>
              </w:rPr>
              <m:t>max</m:t>
            </m:r>
          </m:sub>
        </m:sSub>
        <m:r>
          <m:rPr>
            <m:sty m:val="p"/>
          </m:rPr>
          <w:rPr>
            <w:rFonts w:ascii="Cambria Math" w:hAnsi="Cambria Math" w:hint="eastAsia"/>
            <w:vertAlign w:val="subscript"/>
          </w:rPr>
          <m:t xml:space="preserve"> </m:t>
        </m:r>
      </m:oMath>
      <w:r w:rsidRPr="00BC31E0">
        <w:rPr>
          <w:rFonts w:asciiTheme="minorEastAsia" w:eastAsiaTheme="minorEastAsia" w:hAnsiTheme="minorEastAsia"/>
          <w:kern w:val="0"/>
        </w:rPr>
        <w:t>と</w:t>
      </w:r>
      <m:oMath>
        <m:sSub>
          <m:sSubPr>
            <m:ctrlPr>
              <w:rPr>
                <w:rFonts w:ascii="Cambria Math" w:hAnsi="Cambria Math"/>
                <w:vertAlign w:val="subscript"/>
              </w:rPr>
            </m:ctrlPr>
          </m:sSubPr>
          <m:e>
            <m:r>
              <w:rPr>
                <w:rFonts w:ascii="Cambria Math" w:hAnsi="Cambria Math" w:hint="eastAsia"/>
                <w:vertAlign w:val="subscript"/>
              </w:rPr>
              <m:t>S</m:t>
            </m:r>
          </m:e>
          <m:sub>
            <m:r>
              <w:rPr>
                <w:rFonts w:ascii="Cambria Math" w:hAnsi="Cambria Math"/>
                <w:vertAlign w:val="subscript"/>
              </w:rPr>
              <m:t>ij</m:t>
            </m:r>
            <m:r>
              <m:rPr>
                <m:sty m:val="p"/>
              </m:rPr>
              <w:rPr>
                <w:rFonts w:ascii="Cambria Math" w:hAnsi="Cambria Math"/>
                <w:vertAlign w:val="subscript"/>
              </w:rPr>
              <m:t xml:space="preserve">min </m:t>
            </m:r>
          </m:sub>
        </m:sSub>
        <m:r>
          <m:rPr>
            <m:sty m:val="p"/>
          </m:rPr>
          <w:rPr>
            <w:rFonts w:ascii="Cambria Math" w:hAnsi="Cambria Math" w:hint="eastAsia"/>
            <w:vertAlign w:val="subscript"/>
          </w:rPr>
          <m:t xml:space="preserve"> </m:t>
        </m:r>
      </m:oMath>
      <w:r w:rsidRPr="00BC31E0">
        <w:rPr>
          <w:rFonts w:ascii="ＭＳ 明朝" w:hAnsi="Times New Roman" w:hint="eastAsia"/>
          <w:kern w:val="0"/>
        </w:rPr>
        <w:lastRenderedPageBreak/>
        <w:t>は，絶対値が大きい応力成分のヒステリシスループにおける符号の変化を考慮して符号をつけた相当応力の最大値と最小値である。弾塑性解析に使用する繰返し応力－ひずみ曲線は材料試験で求めてもよいし，</w:t>
      </w:r>
      <w:r w:rsidRPr="00BC31E0">
        <w:rPr>
          <w:rFonts w:ascii="ＭＳ ゴシック" w:eastAsia="ＭＳ ゴシック" w:hAnsi="ＭＳ ゴシック" w:hint="eastAsia"/>
          <w:b/>
          <w:kern w:val="0"/>
        </w:rPr>
        <w:t>附属書D</w:t>
      </w:r>
      <w:r w:rsidRPr="00BC31E0">
        <w:rPr>
          <w:rFonts w:ascii="ＭＳ 明朝" w:hAnsi="Times New Roman" w:hint="eastAsia"/>
          <w:kern w:val="0"/>
        </w:rPr>
        <w:t>の特定材料と温度における繰返し応力－ひずみ曲線を用いてもよい。</w:t>
      </w:r>
    </w:p>
    <w:p w14:paraId="4FCA20EE" w14:textId="77777777" w:rsidR="00E20930" w:rsidRPr="00BC31E0" w:rsidRDefault="00E20930" w:rsidP="00736130">
      <w:pPr>
        <w:pStyle w:val="a4"/>
        <w:numPr>
          <w:ilvl w:val="0"/>
          <w:numId w:val="112"/>
        </w:numPr>
        <w:ind w:leftChars="0" w:left="738" w:hanging="454"/>
        <w:rPr>
          <w:rFonts w:ascii="ＭＳ ゴシック" w:eastAsia="ＭＳ ゴシック" w:hAnsi="ＭＳ ゴシック"/>
        </w:rPr>
      </w:pPr>
      <w:r w:rsidRPr="00BC31E0">
        <w:rPr>
          <w:rFonts w:ascii="ＭＳ ゴシック" w:eastAsia="ＭＳ ゴシック" w:hAnsi="ＭＳ ゴシック" w:hint="eastAsia"/>
          <w:b/>
        </w:rPr>
        <w:t>等価相当応力振幅</w:t>
      </w:r>
    </w:p>
    <w:p w14:paraId="185E1997" w14:textId="77777777" w:rsidR="00E20930" w:rsidRPr="00BC31E0" w:rsidRDefault="00E20930" w:rsidP="00E20930">
      <w:pPr>
        <w:ind w:firstLineChars="250" w:firstLine="525"/>
      </w:pPr>
      <w:r w:rsidRPr="00BC31E0">
        <w:rPr>
          <w:rFonts w:asciiTheme="minorEastAsia" w:eastAsiaTheme="minorEastAsia" w:hAnsiTheme="minorEastAsia" w:hint="eastAsia"/>
        </w:rPr>
        <w:t>等価相当応力の振幅は次の</w:t>
      </w:r>
      <w:r w:rsidRPr="00BC31E0">
        <w:rPr>
          <w:rFonts w:ascii="ＭＳ ゴシック" w:eastAsia="ＭＳ ゴシック" w:hAnsi="ＭＳ ゴシック" w:hint="eastAsia"/>
          <w:b/>
        </w:rPr>
        <w:t>3.1)</w:t>
      </w:r>
      <w:r w:rsidRPr="00BC31E0">
        <w:rPr>
          <w:rFonts w:asciiTheme="minorEastAsia" w:eastAsiaTheme="minorEastAsia" w:hAnsiTheme="minorEastAsia" w:hint="eastAsia"/>
        </w:rPr>
        <w:t>～</w:t>
      </w:r>
      <w:r w:rsidRPr="00BC31E0">
        <w:rPr>
          <w:rFonts w:ascii="ＭＳ ゴシック" w:eastAsia="ＭＳ ゴシック" w:hAnsi="ＭＳ ゴシック" w:hint="eastAsia"/>
          <w:b/>
        </w:rPr>
        <w:t>3.4)</w:t>
      </w:r>
      <w:r w:rsidRPr="00BC31E0">
        <w:rPr>
          <w:rFonts w:asciiTheme="minorEastAsia" w:eastAsiaTheme="minorEastAsia" w:hAnsiTheme="minorEastAsia" w:hint="eastAsia"/>
        </w:rPr>
        <w:t>により求める。</w:t>
      </w:r>
    </w:p>
    <w:p w14:paraId="6D086223" w14:textId="77777777" w:rsidR="00E20930" w:rsidRPr="00BC31E0" w:rsidRDefault="00E20930" w:rsidP="00736130">
      <w:pPr>
        <w:pStyle w:val="a4"/>
        <w:numPr>
          <w:ilvl w:val="0"/>
          <w:numId w:val="114"/>
        </w:numPr>
        <w:ind w:leftChars="0" w:left="1134" w:hanging="567"/>
      </w:pPr>
      <w:r w:rsidRPr="00BC31E0">
        <w:rPr>
          <w:rFonts w:ascii="ＭＳ ゴシック" w:eastAsia="ＭＳ ゴシック" w:hAnsi="ＭＳ ゴシック" w:hint="eastAsia"/>
          <w:b/>
        </w:rPr>
        <w:t>図</w:t>
      </w:r>
      <w:r w:rsidRPr="00BC31E0">
        <w:rPr>
          <w:rFonts w:ascii="ＭＳ ゴシック" w:eastAsia="ＭＳ ゴシック" w:hAnsi="ＭＳ ゴシック"/>
          <w:b/>
        </w:rPr>
        <w:t>6.3.1</w:t>
      </w:r>
      <w:r w:rsidRPr="00BC31E0">
        <w:rPr>
          <w:rFonts w:hint="eastAsia"/>
        </w:rPr>
        <w:t>，</w:t>
      </w:r>
      <w:r w:rsidRPr="00BC31E0">
        <w:rPr>
          <w:rFonts w:ascii="ＭＳ 明朝" w:hAnsi="ＭＳ 明朝" w:hint="eastAsia"/>
          <w:b/>
        </w:rPr>
        <w:t>図</w:t>
      </w:r>
      <w:r w:rsidRPr="00BC31E0">
        <w:rPr>
          <w:rFonts w:ascii="ＭＳ 明朝" w:hAnsi="ＭＳ 明朝"/>
          <w:b/>
        </w:rPr>
        <w:t>6.3.3</w:t>
      </w:r>
      <w:r w:rsidRPr="00BC31E0">
        <w:rPr>
          <w:rFonts w:hint="eastAsia"/>
        </w:rPr>
        <w:t>，</w:t>
      </w:r>
      <w:r w:rsidRPr="00BC31E0">
        <w:rPr>
          <w:rFonts w:ascii="ＭＳ ゴシック" w:eastAsia="ＭＳ ゴシック" w:hAnsi="ＭＳ ゴシック" w:hint="eastAsia"/>
          <w:b/>
        </w:rPr>
        <w:t>図</w:t>
      </w:r>
      <w:r w:rsidRPr="00BC31E0">
        <w:rPr>
          <w:rFonts w:ascii="ＭＳ ゴシック" w:eastAsia="ＭＳ ゴシック" w:hAnsi="ＭＳ ゴシック"/>
          <w:b/>
        </w:rPr>
        <w:t>6.3.4</w:t>
      </w:r>
      <w:r w:rsidRPr="00BC31E0">
        <w:rPr>
          <w:rFonts w:hint="eastAsia"/>
        </w:rPr>
        <w:t>，</w:t>
      </w:r>
      <w:r w:rsidRPr="00BC31E0">
        <w:rPr>
          <w:rFonts w:ascii="ＭＳ ゴシック" w:eastAsia="ＭＳ ゴシック" w:hAnsi="ＭＳ ゴシック" w:hint="eastAsia"/>
          <w:b/>
        </w:rPr>
        <w:t>図</w:t>
      </w:r>
      <w:r w:rsidRPr="00BC31E0">
        <w:rPr>
          <w:rFonts w:ascii="ＭＳ ゴシック" w:eastAsia="ＭＳ ゴシック" w:hAnsi="ＭＳ ゴシック"/>
          <w:b/>
        </w:rPr>
        <w:t>6.3.5</w:t>
      </w:r>
      <w:r w:rsidRPr="00BC31E0">
        <w:rPr>
          <w:rFonts w:hint="eastAsia"/>
        </w:rPr>
        <w:t>の</w:t>
      </w:r>
      <w:r w:rsidRPr="00BC31E0">
        <w:rPr>
          <w:rFonts w:hAnsi="ＭＳ ゴシック" w:hint="eastAsia"/>
        </w:rPr>
        <w:t>曲線</w:t>
      </w:r>
      <w:r w:rsidRPr="00BC31E0">
        <w:rPr>
          <w:rFonts w:hint="eastAsia"/>
        </w:rPr>
        <w:t>B</w:t>
      </w:r>
      <w:r w:rsidRPr="00BC31E0">
        <w:rPr>
          <w:rFonts w:hint="eastAsia"/>
        </w:rPr>
        <w:t>，</w:t>
      </w:r>
      <w:r w:rsidRPr="00BC31E0">
        <w:rPr>
          <w:rFonts w:ascii="ＭＳ ゴシック" w:eastAsia="ＭＳ ゴシック" w:hAnsi="ＭＳ ゴシック" w:hint="eastAsia"/>
          <w:b/>
        </w:rPr>
        <w:t>図</w:t>
      </w:r>
      <w:r w:rsidRPr="00BC31E0">
        <w:rPr>
          <w:rFonts w:ascii="ＭＳ ゴシック" w:eastAsia="ＭＳ ゴシック" w:hAnsi="ＭＳ ゴシック"/>
          <w:b/>
        </w:rPr>
        <w:t>6.3.8</w:t>
      </w:r>
      <w:r w:rsidRPr="00BC31E0">
        <w:rPr>
          <w:rFonts w:hint="eastAsia"/>
          <w:kern w:val="0"/>
        </w:rPr>
        <w:t>及び</w:t>
      </w:r>
      <w:r w:rsidRPr="00BC31E0">
        <w:rPr>
          <w:rFonts w:ascii="ＭＳ ゴシック" w:eastAsia="ＭＳ ゴシック" w:hAnsi="ＭＳ ゴシック" w:hint="eastAsia"/>
          <w:b/>
          <w:bCs/>
          <w:kern w:val="0"/>
        </w:rPr>
        <w:t>図</w:t>
      </w:r>
      <w:r w:rsidRPr="00BC31E0">
        <w:rPr>
          <w:rFonts w:ascii="ＭＳ ゴシック" w:eastAsia="ＭＳ ゴシック" w:hAnsi="ＭＳ ゴシック"/>
          <w:b/>
          <w:bCs/>
          <w:kern w:val="0"/>
        </w:rPr>
        <w:t>6.3.</w:t>
      </w:r>
      <w:r w:rsidRPr="00BC31E0">
        <w:rPr>
          <w:rFonts w:ascii="ＭＳ ゴシック" w:eastAsia="ＭＳ ゴシック" w:hAnsi="ＭＳ ゴシック" w:hint="eastAsia"/>
          <w:b/>
          <w:bCs/>
          <w:kern w:val="0"/>
        </w:rPr>
        <w:t>9</w:t>
      </w:r>
      <w:r w:rsidRPr="00BC31E0">
        <w:rPr>
          <w:rFonts w:asciiTheme="minorEastAsia" w:eastAsiaTheme="minorEastAsia" w:hAnsiTheme="minorEastAsia" w:hint="eastAsia"/>
          <w:bCs/>
          <w:kern w:val="0"/>
        </w:rPr>
        <w:t>の最大平均応力の曲線</w:t>
      </w:r>
      <w:r w:rsidRPr="00BC31E0">
        <w:rPr>
          <w:rFonts w:hint="eastAsia"/>
        </w:rPr>
        <w:t>には平均応力による設計許容繰返し回数の低減がすでに考慮済みのため，</w:t>
      </w:r>
      <m:oMath>
        <m:sSub>
          <m:sSubPr>
            <m:ctrlPr>
              <w:rPr>
                <w:rFonts w:ascii="Cambria Math" w:hAnsi="Cambria Math"/>
                <w:i/>
              </w:rPr>
            </m:ctrlPr>
          </m:sSubPr>
          <m:e>
            <m:r>
              <w:rPr>
                <w:rFonts w:ascii="Cambria Math" w:hAnsi="Cambria Math"/>
              </w:rPr>
              <m:t>S</m:t>
            </m:r>
          </m:e>
          <m:sub>
            <m:r>
              <w:rPr>
                <w:rFonts w:ascii="Cambria Math" w:hAnsi="Cambria Math"/>
              </w:rPr>
              <m:t>eqij</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altij</m:t>
            </m:r>
          </m:sub>
        </m:sSub>
      </m:oMath>
      <w:r w:rsidRPr="00BC31E0">
        <w:rPr>
          <w:rFonts w:hint="eastAsia"/>
        </w:rPr>
        <w:t>である。</w:t>
      </w:r>
      <w:r w:rsidRPr="00BC31E0">
        <w:rPr>
          <w:rFonts w:ascii="ＭＳ ゴシック" w:eastAsia="ＭＳ ゴシック" w:hAnsi="ＭＳ ゴシック" w:hint="eastAsia"/>
          <w:b/>
          <w:bCs/>
          <w:kern w:val="0"/>
        </w:rPr>
        <w:t>図</w:t>
      </w:r>
      <w:r w:rsidRPr="00BC31E0">
        <w:rPr>
          <w:rFonts w:ascii="ＭＳ ゴシック" w:eastAsia="ＭＳ ゴシック" w:hAnsi="ＭＳ ゴシック"/>
          <w:b/>
          <w:bCs/>
          <w:kern w:val="0"/>
        </w:rPr>
        <w:t>6.3.</w:t>
      </w:r>
      <w:r w:rsidRPr="00BC31E0">
        <w:rPr>
          <w:rFonts w:ascii="ＭＳ ゴシック" w:eastAsia="ＭＳ ゴシック" w:hAnsi="ＭＳ ゴシック" w:hint="eastAsia"/>
          <w:b/>
          <w:bCs/>
          <w:kern w:val="0"/>
        </w:rPr>
        <w:t>9</w:t>
      </w:r>
      <w:r w:rsidRPr="00BC31E0">
        <w:rPr>
          <w:rFonts w:asciiTheme="minorEastAsia" w:eastAsiaTheme="minorEastAsia" w:hAnsiTheme="minorEastAsia" w:hint="eastAsia"/>
          <w:bCs/>
          <w:kern w:val="0"/>
        </w:rPr>
        <w:t>の平均応力が</w:t>
      </w:r>
      <w:r w:rsidRPr="00BC31E0">
        <w:rPr>
          <w:rFonts w:asciiTheme="minorHAnsi" w:eastAsiaTheme="minorEastAsia" w:hAnsiTheme="minorHAnsi"/>
          <w:bCs/>
          <w:kern w:val="0"/>
        </w:rPr>
        <w:t>0</w:t>
      </w:r>
      <w:r w:rsidRPr="00BC31E0">
        <w:rPr>
          <w:rFonts w:asciiTheme="minorEastAsia" w:eastAsiaTheme="minorEastAsia" w:hAnsiTheme="minorEastAsia" w:hint="eastAsia"/>
          <w:bCs/>
          <w:kern w:val="0"/>
        </w:rPr>
        <w:t>の曲線は平均応力が圧縮又は</w:t>
      </w:r>
      <w:r w:rsidRPr="00BC31E0">
        <w:rPr>
          <w:rFonts w:asciiTheme="minorHAnsi" w:eastAsiaTheme="minorEastAsia" w:hAnsiTheme="minorHAnsi"/>
          <w:bCs/>
          <w:kern w:val="0"/>
        </w:rPr>
        <w:t>0</w:t>
      </w:r>
      <w:r w:rsidRPr="00BC31E0">
        <w:rPr>
          <w:rFonts w:asciiTheme="minorEastAsia" w:eastAsiaTheme="minorEastAsia" w:hAnsiTheme="minorEastAsia" w:hint="eastAsia"/>
          <w:bCs/>
          <w:kern w:val="0"/>
        </w:rPr>
        <w:t>の場合</w:t>
      </w:r>
      <w:r w:rsidRPr="00BC31E0">
        <w:rPr>
          <w:rFonts w:hint="eastAsia"/>
        </w:rPr>
        <w:t>，</w:t>
      </w:r>
      <m:oMath>
        <m:sSub>
          <m:sSubPr>
            <m:ctrlPr>
              <w:rPr>
                <w:rFonts w:ascii="Cambria Math" w:hAnsi="Cambria Math"/>
                <w:i/>
              </w:rPr>
            </m:ctrlPr>
          </m:sSubPr>
          <m:e>
            <m:r>
              <w:rPr>
                <w:rFonts w:ascii="Cambria Math" w:hAnsi="Cambria Math"/>
              </w:rPr>
              <m:t>S</m:t>
            </m:r>
          </m:e>
          <m:sub>
            <m:r>
              <w:rPr>
                <w:rFonts w:ascii="Cambria Math" w:hAnsi="Cambria Math"/>
              </w:rPr>
              <m:t>eqij</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altij</m:t>
            </m:r>
          </m:sub>
        </m:sSub>
        <m:r>
          <m:rPr>
            <m:sty m:val="p"/>
          </m:rPr>
          <w:rPr>
            <w:rFonts w:ascii="Cambria Math" w:hAnsi="Cambria Math" w:hint="eastAsia"/>
          </w:rPr>
          <m:t xml:space="preserve"> </m:t>
        </m:r>
      </m:oMath>
      <w:r w:rsidRPr="00BC31E0">
        <w:rPr>
          <w:rFonts w:hint="eastAsia"/>
        </w:rPr>
        <w:t>とする。</w:t>
      </w:r>
    </w:p>
    <w:p w14:paraId="75A9BFF7" w14:textId="77777777" w:rsidR="00E20930" w:rsidRPr="00BC31E0" w:rsidRDefault="00E20930" w:rsidP="00736130">
      <w:pPr>
        <w:pStyle w:val="a4"/>
        <w:numPr>
          <w:ilvl w:val="0"/>
          <w:numId w:val="114"/>
        </w:numPr>
        <w:ind w:leftChars="0" w:left="1134" w:hanging="567"/>
        <w:rPr>
          <w:kern w:val="0"/>
        </w:rPr>
      </w:pPr>
      <w:r w:rsidRPr="00BC31E0">
        <w:rPr>
          <w:rFonts w:hint="eastAsia"/>
          <w:kern w:val="0"/>
        </w:rPr>
        <w:t>相当応力の振幅</w:t>
      </w:r>
      <m:oMath>
        <m:sSub>
          <m:sSubPr>
            <m:ctrlPr>
              <w:rPr>
                <w:rFonts w:ascii="Cambria Math" w:hAnsi="Cambria Math"/>
                <w:i/>
              </w:rPr>
            </m:ctrlPr>
          </m:sSubPr>
          <m:e>
            <m:r>
              <w:rPr>
                <w:rFonts w:ascii="Cambria Math" w:hAnsi="Cambria Math"/>
              </w:rPr>
              <m:t xml:space="preserve"> S</m:t>
            </m:r>
          </m:e>
          <m:sub>
            <m:r>
              <w:rPr>
                <w:rFonts w:ascii="Cambria Math" w:hAnsi="Cambria Math"/>
              </w:rPr>
              <m:t>altij</m:t>
            </m:r>
          </m:sub>
        </m:sSub>
        <m:r>
          <m:rPr>
            <m:sty m:val="p"/>
          </m:rPr>
          <w:rPr>
            <w:rFonts w:ascii="Cambria Math" w:hAnsi="Cambria Math" w:hint="eastAsia"/>
          </w:rPr>
          <m:t xml:space="preserve"> </m:t>
        </m:r>
      </m:oMath>
      <w:r w:rsidRPr="00BC31E0">
        <w:rPr>
          <w:rFonts w:hint="eastAsia"/>
          <w:kern w:val="0"/>
        </w:rPr>
        <w:t>と関連する平均応力</w:t>
      </w:r>
      <m:oMath>
        <m:r>
          <m:rPr>
            <m:sty m:val="p"/>
          </m:rPr>
          <w:rPr>
            <w:rFonts w:ascii="Cambria Math" w:hAnsi="Cambria Math"/>
            <w:kern w:val="0"/>
          </w:rPr>
          <m:t xml:space="preserve"> </m:t>
        </m:r>
        <m:sSub>
          <m:sSubPr>
            <m:ctrlPr>
              <w:rPr>
                <w:rFonts w:ascii="Cambria Math" w:hAnsi="Cambria Math"/>
                <w:i/>
                <w:kern w:val="0"/>
              </w:rPr>
            </m:ctrlPr>
          </m:sSubPr>
          <m:e>
            <m:r>
              <w:rPr>
                <w:rFonts w:ascii="Cambria Math" w:hAnsi="Cambria Math"/>
                <w:kern w:val="0"/>
              </w:rPr>
              <m:t>S</m:t>
            </m:r>
          </m:e>
          <m:sub>
            <m:r>
              <w:rPr>
                <w:rFonts w:ascii="Cambria Math" w:hAnsi="Cambria Math"/>
                <w:kern w:val="0"/>
              </w:rPr>
              <m:t>mij</m:t>
            </m:r>
          </m:sub>
        </m:sSub>
        <m:r>
          <m:rPr>
            <m:sty m:val="p"/>
          </m:rPr>
          <w:rPr>
            <w:rFonts w:ascii="Cambria Math" w:hAnsi="Cambria Math" w:hint="eastAsia"/>
            <w:kern w:val="0"/>
          </w:rPr>
          <m:t xml:space="preserve"> </m:t>
        </m:r>
      </m:oMath>
      <w:r w:rsidR="003B5C5E" w:rsidRPr="00BC31E0">
        <w:rPr>
          <w:rFonts w:hint="eastAsia"/>
          <w:kern w:val="0"/>
        </w:rPr>
        <w:t>の組</w:t>
      </w:r>
      <w:r w:rsidRPr="00BC31E0">
        <w:rPr>
          <w:rFonts w:hint="eastAsia"/>
          <w:kern w:val="0"/>
        </w:rPr>
        <w:t>合せに対して，疲労損傷上，等価な影響を有する相当応力の振幅</w:t>
      </w:r>
      <m:oMath>
        <m:sSub>
          <m:sSubPr>
            <m:ctrlPr>
              <w:rPr>
                <w:rFonts w:ascii="Cambria Math" w:hAnsi="Cambria Math"/>
                <w:i/>
                <w:kern w:val="0"/>
              </w:rPr>
            </m:ctrlPr>
          </m:sSubPr>
          <m:e>
            <m:r>
              <w:rPr>
                <w:rFonts w:ascii="Cambria Math" w:hAnsi="Cambria Math"/>
                <w:kern w:val="0"/>
              </w:rPr>
              <m:t xml:space="preserve"> S</m:t>
            </m:r>
          </m:e>
          <m:sub>
            <m:r>
              <w:rPr>
                <w:rFonts w:ascii="Cambria Math" w:hAnsi="Cambria Math"/>
                <w:kern w:val="0"/>
              </w:rPr>
              <m:t>eqij</m:t>
            </m:r>
          </m:sub>
        </m:sSub>
        <m:r>
          <m:rPr>
            <m:sty m:val="p"/>
          </m:rPr>
          <w:rPr>
            <w:rFonts w:ascii="Cambria Math" w:hAnsi="Cambria Math" w:hint="eastAsia"/>
            <w:kern w:val="0"/>
          </w:rPr>
          <m:t xml:space="preserve"> </m:t>
        </m:r>
      </m:oMath>
      <w:r w:rsidRPr="00BC31E0">
        <w:rPr>
          <w:rFonts w:hint="eastAsia"/>
          <w:kern w:val="0"/>
        </w:rPr>
        <w:t>を次式によって計算する。</w:t>
      </w:r>
    </w:p>
    <w:p w14:paraId="0C364C43" w14:textId="77777777" w:rsidR="00E20930" w:rsidRPr="00BC31E0" w:rsidRDefault="00E20930" w:rsidP="00736130">
      <w:pPr>
        <w:pStyle w:val="a4"/>
        <w:numPr>
          <w:ilvl w:val="0"/>
          <w:numId w:val="125"/>
        </w:numPr>
        <w:autoSpaceDE w:val="0"/>
        <w:autoSpaceDN w:val="0"/>
        <w:adjustRightInd w:val="0"/>
        <w:spacing w:after="120"/>
        <w:ind w:leftChars="0" w:left="1701" w:hanging="794"/>
        <w:rPr>
          <w:rFonts w:asciiTheme="majorEastAsia" w:eastAsiaTheme="majorEastAsia" w:hAnsiTheme="majorEastAsia"/>
          <w:b/>
          <w:kern w:val="0"/>
        </w:rPr>
      </w:pPr>
      <w:r w:rsidRPr="00BC31E0">
        <w:rPr>
          <w:rFonts w:asciiTheme="majorEastAsia" w:eastAsiaTheme="majorEastAsia" w:hAnsiTheme="majorEastAsia"/>
          <w:b/>
          <w:kern w:val="0"/>
        </w:rPr>
        <w:t>図6.3.2</w:t>
      </w:r>
      <w:r w:rsidRPr="00BC31E0">
        <w:rPr>
          <w:rFonts w:asciiTheme="minorEastAsia" w:eastAsiaTheme="minorEastAsia" w:hAnsiTheme="minorEastAsia"/>
          <w:kern w:val="0"/>
        </w:rPr>
        <w:t>及び</w:t>
      </w:r>
      <w:r w:rsidRPr="00BC31E0">
        <w:rPr>
          <w:rFonts w:asciiTheme="majorEastAsia" w:eastAsiaTheme="majorEastAsia" w:hAnsiTheme="majorEastAsia"/>
          <w:b/>
          <w:kern w:val="0"/>
        </w:rPr>
        <w:t>図6.3.6</w:t>
      </w:r>
      <w:r w:rsidRPr="00BC31E0">
        <w:rPr>
          <w:rFonts w:asciiTheme="minorEastAsia" w:eastAsiaTheme="minorEastAsia" w:hAnsiTheme="minorEastAsia"/>
          <w:kern w:val="0"/>
        </w:rPr>
        <w:t>の場合</w:t>
      </w:r>
    </w:p>
    <w:p w14:paraId="1A185E9D" w14:textId="77777777" w:rsidR="00E20930" w:rsidRPr="00BC31E0" w:rsidRDefault="00E20930" w:rsidP="00A200C6">
      <w:pPr>
        <w:tabs>
          <w:tab w:val="left" w:pos="2694"/>
          <w:tab w:val="left" w:leader="middleDot" w:pos="8222"/>
        </w:tabs>
        <w:autoSpaceDE w:val="0"/>
        <w:autoSpaceDN w:val="0"/>
        <w:adjustRightInd w:val="0"/>
        <w:rPr>
          <w:rFonts w:ascii="ＭＳ 明朝"/>
          <w:kern w:val="0"/>
          <w:sz w:val="20"/>
        </w:rPr>
      </w:pPr>
      <w:r w:rsidRPr="00BC31E0">
        <w:rPr>
          <w:rFonts w:hint="eastAsia"/>
          <w:kern w:val="0"/>
        </w:rPr>
        <w:tab/>
      </w:r>
      <m:oMath>
        <m:sSub>
          <m:sSubPr>
            <m:ctrlPr>
              <w:rPr>
                <w:rFonts w:ascii="Cambria Math" w:hAnsi="Cambria Math"/>
                <w:i/>
                <w:kern w:val="0"/>
              </w:rPr>
            </m:ctrlPr>
          </m:sSubPr>
          <m:e>
            <m:r>
              <w:rPr>
                <w:rFonts w:ascii="Cambria Math" w:hAnsi="Cambria Math"/>
                <w:kern w:val="0"/>
              </w:rPr>
              <m:t>S</m:t>
            </m:r>
          </m:e>
          <m:sub>
            <m:r>
              <w:rPr>
                <w:rFonts w:ascii="Cambria Math" w:hAnsi="Cambria Math"/>
                <w:kern w:val="0"/>
              </w:rPr>
              <m:t>eqij</m:t>
            </m:r>
          </m:sub>
        </m:sSub>
        <m:r>
          <w:rPr>
            <w:rFonts w:ascii="Cambria Math" w:hAnsi="Cambria Math"/>
            <w:kern w:val="0"/>
          </w:rPr>
          <m:t>=</m:t>
        </m:r>
        <m:f>
          <m:fPr>
            <m:type m:val="lin"/>
            <m:ctrlPr>
              <w:rPr>
                <w:rFonts w:ascii="Cambria Math" w:hAnsi="Cambria Math"/>
                <w:i/>
                <w:kern w:val="0"/>
              </w:rPr>
            </m:ctrlPr>
          </m:fPr>
          <m:num>
            <m:r>
              <w:rPr>
                <w:rFonts w:ascii="Cambria Math" w:hAnsi="Cambria Math"/>
                <w:kern w:val="0"/>
              </w:rPr>
              <m:t>7</m:t>
            </m:r>
            <m:sSub>
              <m:sSubPr>
                <m:ctrlPr>
                  <w:rPr>
                    <w:rFonts w:ascii="Cambria Math" w:hAnsi="Cambria Math"/>
                    <w:i/>
                    <w:kern w:val="0"/>
                  </w:rPr>
                </m:ctrlPr>
              </m:sSubPr>
              <m:e>
                <m:r>
                  <w:rPr>
                    <w:rFonts w:ascii="Cambria Math" w:hAnsi="Cambria Math"/>
                    <w:kern w:val="0"/>
                  </w:rPr>
                  <m:t xml:space="preserve"> S</m:t>
                </m:r>
              </m:e>
              <m:sub>
                <m:r>
                  <w:rPr>
                    <w:rFonts w:ascii="Cambria Math" w:hAnsi="Cambria Math"/>
                    <w:kern w:val="0"/>
                  </w:rPr>
                  <m:t>altij</m:t>
                </m:r>
              </m:sub>
            </m:sSub>
          </m:num>
          <m:den>
            <m:d>
              <m:dPr>
                <m:begChr m:val="["/>
                <m:endChr m:val="]"/>
                <m:ctrlPr>
                  <w:rPr>
                    <w:rFonts w:ascii="Cambria Math" w:hAnsi="Cambria Math"/>
                    <w:i/>
                    <w:kern w:val="0"/>
                  </w:rPr>
                </m:ctrlPr>
              </m:dPr>
              <m:e>
                <m:r>
                  <w:rPr>
                    <w:rFonts w:ascii="Cambria Math" w:hAnsi="Cambria Math"/>
                    <w:kern w:val="0"/>
                  </w:rPr>
                  <m:t>8-</m:t>
                </m:r>
                <m:sSup>
                  <m:sSupPr>
                    <m:ctrlPr>
                      <w:rPr>
                        <w:rFonts w:ascii="Cambria Math" w:hAnsi="Cambria Math"/>
                        <w:i/>
                        <w:kern w:val="0"/>
                      </w:rPr>
                    </m:ctrlPr>
                  </m:sSupPr>
                  <m:e>
                    <m:d>
                      <m:dPr>
                        <m:begChr m:val="{"/>
                        <m:endChr m:val="}"/>
                        <m:ctrlPr>
                          <w:rPr>
                            <w:rFonts w:ascii="Cambria Math" w:hAnsi="Cambria Math"/>
                            <w:i/>
                            <w:kern w:val="0"/>
                          </w:rPr>
                        </m:ctrlPr>
                      </m:dPr>
                      <m:e>
                        <m:r>
                          <w:rPr>
                            <w:rFonts w:ascii="Cambria Math" w:hAnsi="Cambria Math"/>
                            <w:kern w:val="0"/>
                          </w:rPr>
                          <m:t>1+</m:t>
                        </m:r>
                        <m:f>
                          <m:fPr>
                            <m:type m:val="lin"/>
                            <m:ctrlPr>
                              <w:rPr>
                                <w:rFonts w:ascii="Cambria Math" w:hAnsi="Cambria Math"/>
                                <w:i/>
                                <w:kern w:val="0"/>
                              </w:rPr>
                            </m:ctrlPr>
                          </m:fPr>
                          <m:num>
                            <m:sSub>
                              <m:sSubPr>
                                <m:ctrlPr>
                                  <w:rPr>
                                    <w:rFonts w:ascii="Cambria Math" w:hAnsi="Cambria Math"/>
                                    <w:i/>
                                    <w:kern w:val="0"/>
                                  </w:rPr>
                                </m:ctrlPr>
                              </m:sSubPr>
                              <m:e>
                                <m:r>
                                  <w:rPr>
                                    <w:rFonts w:ascii="Cambria Math" w:hAnsi="Cambria Math"/>
                                    <w:kern w:val="0"/>
                                  </w:rPr>
                                  <m:t>S</m:t>
                                </m:r>
                              </m:e>
                              <m:sub>
                                <m:r>
                                  <w:rPr>
                                    <w:rFonts w:ascii="Cambria Math" w:hAnsi="Cambria Math"/>
                                    <w:kern w:val="0"/>
                                  </w:rPr>
                                  <m:t>mij</m:t>
                                </m:r>
                              </m:sub>
                            </m:sSub>
                          </m:num>
                          <m:den>
                            <m:d>
                              <m:dPr>
                                <m:ctrlPr>
                                  <w:rPr>
                                    <w:rFonts w:ascii="Cambria Math" w:hAnsi="Cambria Math"/>
                                    <w:i/>
                                    <w:kern w:val="0"/>
                                  </w:rPr>
                                </m:ctrlPr>
                              </m:dPr>
                              <m:e>
                                <m:f>
                                  <m:fPr>
                                    <m:type m:val="lin"/>
                                    <m:ctrlPr>
                                      <w:rPr>
                                        <w:rFonts w:ascii="Cambria Math" w:hAnsi="Cambria Math"/>
                                        <w:i/>
                                        <w:kern w:val="0"/>
                                      </w:rPr>
                                    </m:ctrlPr>
                                  </m:fPr>
                                  <m:num>
                                    <m:sSub>
                                      <m:sSubPr>
                                        <m:ctrlPr>
                                          <w:rPr>
                                            <w:rFonts w:ascii="Cambria Math" w:hAnsi="Cambria Math"/>
                                            <w:i/>
                                            <w:kern w:val="0"/>
                                          </w:rPr>
                                        </m:ctrlPr>
                                      </m:sSubPr>
                                      <m:e>
                                        <m:r>
                                          <w:rPr>
                                            <w:rFonts w:ascii="Cambria Math" w:hAnsi="Cambria Math"/>
                                            <w:kern w:val="0"/>
                                          </w:rPr>
                                          <m:t>S</m:t>
                                        </m:r>
                                      </m:e>
                                      <m:sub>
                                        <m:r>
                                          <w:rPr>
                                            <w:rFonts w:ascii="Cambria Math" w:hAnsi="Cambria Math"/>
                                            <w:kern w:val="0"/>
                                          </w:rPr>
                                          <m:t>u</m:t>
                                        </m:r>
                                      </m:sub>
                                    </m:sSub>
                                  </m:num>
                                  <m:den>
                                    <m:r>
                                      <w:rPr>
                                        <w:rFonts w:ascii="Cambria Math" w:hAnsi="Cambria Math"/>
                                        <w:kern w:val="0"/>
                                      </w:rPr>
                                      <m:t>α</m:t>
                                    </m:r>
                                  </m:den>
                                </m:f>
                              </m:e>
                            </m:d>
                          </m:den>
                        </m:f>
                      </m:e>
                    </m:d>
                  </m:e>
                  <m:sup>
                    <m:r>
                      <w:rPr>
                        <w:rFonts w:ascii="Cambria Math" w:hAnsi="Cambria Math"/>
                        <w:kern w:val="0"/>
                      </w:rPr>
                      <m:t>3</m:t>
                    </m:r>
                  </m:sup>
                </m:sSup>
              </m:e>
            </m:d>
          </m:den>
        </m:f>
      </m:oMath>
      <w:r w:rsidRPr="00BC31E0">
        <w:rPr>
          <w:rFonts w:asciiTheme="minorHAnsi" w:hAnsiTheme="minorHAnsi"/>
          <w:kern w:val="0"/>
        </w:rPr>
        <w:tab/>
      </w:r>
      <w:r w:rsidR="00CF1748" w:rsidRPr="00BC31E0">
        <w:rPr>
          <w:rFonts w:asciiTheme="minorHAnsi" w:hAnsiTheme="minorHAnsi" w:hint="eastAsia"/>
          <w:kern w:val="0"/>
        </w:rPr>
        <w:t>(6.3.6</w:t>
      </w:r>
      <w:r w:rsidRPr="00BC31E0">
        <w:rPr>
          <w:rFonts w:asciiTheme="minorHAnsi" w:hAnsiTheme="minorHAnsi" w:hint="eastAsia"/>
          <w:kern w:val="0"/>
        </w:rPr>
        <w:t>)</w:t>
      </w:r>
    </w:p>
    <w:p w14:paraId="33F27052" w14:textId="77777777" w:rsidR="00E20930" w:rsidRPr="00BC31E0" w:rsidRDefault="00E20930" w:rsidP="00736130">
      <w:pPr>
        <w:pStyle w:val="a4"/>
        <w:numPr>
          <w:ilvl w:val="0"/>
          <w:numId w:val="125"/>
        </w:numPr>
        <w:autoSpaceDE w:val="0"/>
        <w:autoSpaceDN w:val="0"/>
        <w:adjustRightInd w:val="0"/>
        <w:spacing w:before="120" w:after="120"/>
        <w:ind w:leftChars="0" w:left="1701" w:hanging="794"/>
        <w:rPr>
          <w:rFonts w:asciiTheme="majorEastAsia" w:eastAsiaTheme="majorEastAsia" w:hAnsiTheme="majorEastAsia"/>
          <w:b/>
          <w:kern w:val="0"/>
          <w:sz w:val="20"/>
        </w:rPr>
      </w:pPr>
      <w:r w:rsidRPr="00BC31E0">
        <w:rPr>
          <w:rFonts w:asciiTheme="majorEastAsia" w:eastAsiaTheme="majorEastAsia" w:hAnsiTheme="majorEastAsia"/>
          <w:b/>
          <w:bCs/>
          <w:kern w:val="0"/>
        </w:rPr>
        <w:t>図6.3.5</w:t>
      </w:r>
      <w:r w:rsidRPr="00BC31E0">
        <w:rPr>
          <w:rFonts w:asciiTheme="minorHAnsi" w:eastAsiaTheme="minorEastAsia" w:hAnsiTheme="minorEastAsia"/>
          <w:kern w:val="0"/>
        </w:rPr>
        <w:t>の曲線</w:t>
      </w:r>
      <w:r w:rsidRPr="00BC31E0">
        <w:rPr>
          <w:rFonts w:asciiTheme="minorHAnsi" w:eastAsiaTheme="minorEastAsia" w:hAnsiTheme="minorHAnsi"/>
          <w:kern w:val="0"/>
        </w:rPr>
        <w:t>A(</w:t>
      </w:r>
      <w:r w:rsidRPr="00BC31E0">
        <w:rPr>
          <w:rFonts w:asciiTheme="minorHAnsi" w:eastAsiaTheme="minorEastAsia" w:hAnsiTheme="minorEastAsia"/>
          <w:kern w:val="0"/>
        </w:rPr>
        <w:t>振幅</w:t>
      </w:r>
      <m:oMath>
        <m:sSub>
          <m:sSubPr>
            <m:ctrlPr>
              <w:rPr>
                <w:rFonts w:ascii="Cambria Math" w:eastAsiaTheme="minorEastAsia" w:hAnsiTheme="minorHAnsi"/>
                <w:i/>
                <w:kern w:val="0"/>
              </w:rPr>
            </m:ctrlPr>
          </m:sSubPr>
          <m:e>
            <m:r>
              <w:rPr>
                <w:rFonts w:ascii="Cambria Math" w:eastAsiaTheme="minorEastAsia" w:hAnsiTheme="minorHAnsi"/>
                <w:kern w:val="0"/>
              </w:rPr>
              <m:t xml:space="preserve"> </m:t>
            </m:r>
            <m:r>
              <w:rPr>
                <w:rFonts w:ascii="Cambria Math" w:eastAsiaTheme="minorEastAsia" w:hAnsi="Cambria Math"/>
                <w:kern w:val="0"/>
              </w:rPr>
              <m:t>S</m:t>
            </m:r>
          </m:e>
          <m:sub>
            <m:r>
              <w:rPr>
                <w:rFonts w:ascii="Cambria Math" w:eastAsiaTheme="minorEastAsia" w:hAnsi="Cambria Math"/>
                <w:kern w:val="0"/>
              </w:rPr>
              <m:t>eqij</m:t>
            </m:r>
          </m:sub>
        </m:sSub>
        <m:r>
          <w:rPr>
            <w:rFonts w:ascii="Cambria Math" w:eastAsiaTheme="minorEastAsia" w:hAnsiTheme="minorHAnsi"/>
            <w:kern w:val="0"/>
          </w:rPr>
          <m:t xml:space="preserve">&lt;151.7 </m:t>
        </m:r>
        <m:r>
          <m:rPr>
            <m:sty m:val="p"/>
          </m:rPr>
          <w:rPr>
            <w:rFonts w:ascii="Cambria Math" w:eastAsiaTheme="minorEastAsia" w:hAnsiTheme="minorHAnsi"/>
            <w:kern w:val="0"/>
          </w:rPr>
          <m:t>MPa</m:t>
        </m:r>
      </m:oMath>
      <w:r w:rsidRPr="00BC31E0">
        <w:rPr>
          <w:rFonts w:asciiTheme="minorHAnsi" w:eastAsiaTheme="minorEastAsia" w:hAnsiTheme="minorHAnsi"/>
          <w:kern w:val="0"/>
        </w:rPr>
        <w:t>)</w:t>
      </w:r>
      <w:r w:rsidRPr="00BC31E0">
        <w:rPr>
          <w:rFonts w:asciiTheme="minorHAnsi" w:eastAsiaTheme="minorEastAsia" w:hAnsiTheme="minorEastAsia"/>
          <w:kern w:val="0"/>
        </w:rPr>
        <w:t>の場合</w:t>
      </w:r>
    </w:p>
    <w:p w14:paraId="76CBD7F9" w14:textId="77777777" w:rsidR="00E20930" w:rsidRPr="00BC31E0" w:rsidRDefault="00E20930" w:rsidP="00E20930">
      <w:pPr>
        <w:tabs>
          <w:tab w:val="left" w:pos="2694"/>
          <w:tab w:val="left" w:leader="middleDot" w:pos="8222"/>
        </w:tabs>
        <w:autoSpaceDE w:val="0"/>
        <w:autoSpaceDN w:val="0"/>
        <w:adjustRightInd w:val="0"/>
        <w:rPr>
          <w:rFonts w:asciiTheme="minorHAnsi" w:hAnsiTheme="minorHAnsi"/>
          <w:kern w:val="0"/>
        </w:rPr>
      </w:pPr>
      <w:r w:rsidRPr="00BC31E0">
        <w:rPr>
          <w:rFonts w:hint="eastAsia"/>
          <w:kern w:val="0"/>
        </w:rPr>
        <w:tab/>
      </w:r>
      <m:oMath>
        <m:sSub>
          <m:sSubPr>
            <m:ctrlPr>
              <w:rPr>
                <w:rFonts w:ascii="Cambria Math" w:hAnsi="Cambria Math"/>
                <w:i/>
                <w:kern w:val="0"/>
              </w:rPr>
            </m:ctrlPr>
          </m:sSubPr>
          <m:e>
            <m:r>
              <w:rPr>
                <w:rFonts w:ascii="Cambria Math" w:hAnsi="Cambria Math"/>
                <w:kern w:val="0"/>
              </w:rPr>
              <m:t>S</m:t>
            </m:r>
          </m:e>
          <m:sub>
            <m:r>
              <w:rPr>
                <w:rFonts w:ascii="Cambria Math" w:hAnsi="Cambria Math"/>
                <w:kern w:val="0"/>
              </w:rPr>
              <m:t>eqij</m:t>
            </m:r>
          </m:sub>
        </m:sSub>
        <m:r>
          <w:rPr>
            <w:rFonts w:ascii="Cambria Math" w:hAnsi="Cambria Math"/>
            <w:kern w:val="0"/>
          </w:rPr>
          <m:t>=</m:t>
        </m:r>
        <m:f>
          <m:fPr>
            <m:type m:val="lin"/>
            <m:ctrlPr>
              <w:rPr>
                <w:rFonts w:ascii="Cambria Math" w:hAnsi="Cambria Math"/>
                <w:i/>
                <w:kern w:val="0"/>
              </w:rPr>
            </m:ctrlPr>
          </m:fPr>
          <m:num>
            <m:sSub>
              <m:sSubPr>
                <m:ctrlPr>
                  <w:rPr>
                    <w:rFonts w:ascii="Cambria Math" w:hAnsi="Cambria Math"/>
                    <w:i/>
                    <w:kern w:val="0"/>
                  </w:rPr>
                </m:ctrlPr>
              </m:sSubPr>
              <m:e>
                <m:r>
                  <w:rPr>
                    <w:rFonts w:ascii="Cambria Math" w:hAnsi="Cambria Math"/>
                    <w:kern w:val="0"/>
                  </w:rPr>
                  <m:t>S</m:t>
                </m:r>
              </m:e>
              <m:sub>
                <m:r>
                  <w:rPr>
                    <w:rFonts w:ascii="Cambria Math" w:hAnsi="Cambria Math"/>
                    <w:kern w:val="0"/>
                  </w:rPr>
                  <m:t>altij</m:t>
                </m:r>
              </m:sub>
            </m:sSub>
          </m:num>
          <m:den>
            <m:d>
              <m:dPr>
                <m:begChr m:val="{"/>
                <m:endChr m:val="}"/>
                <m:ctrlPr>
                  <w:rPr>
                    <w:rFonts w:ascii="Cambria Math" w:hAnsi="Cambria Math"/>
                    <w:i/>
                    <w:kern w:val="0"/>
                  </w:rPr>
                </m:ctrlPr>
              </m:dPr>
              <m:e>
                <m:r>
                  <w:rPr>
                    <w:rFonts w:ascii="Cambria Math" w:hAnsi="Cambria Math"/>
                    <w:kern w:val="0"/>
                  </w:rPr>
                  <m:t>1-</m:t>
                </m:r>
                <m:f>
                  <m:fPr>
                    <m:type m:val="lin"/>
                    <m:ctrlPr>
                      <w:rPr>
                        <w:rFonts w:ascii="Cambria Math" w:hAnsi="Cambria Math"/>
                        <w:i/>
                        <w:kern w:val="0"/>
                      </w:rPr>
                    </m:ctrlPr>
                  </m:fPr>
                  <m:num>
                    <m:sSub>
                      <m:sSubPr>
                        <m:ctrlPr>
                          <w:rPr>
                            <w:rFonts w:ascii="Cambria Math" w:hAnsi="Cambria Math"/>
                            <w:i/>
                            <w:kern w:val="0"/>
                          </w:rPr>
                        </m:ctrlPr>
                      </m:sSubPr>
                      <m:e>
                        <m:r>
                          <w:rPr>
                            <w:rFonts w:ascii="Cambria Math" w:hAnsi="Cambria Math"/>
                            <w:kern w:val="0"/>
                          </w:rPr>
                          <m:t>S</m:t>
                        </m:r>
                      </m:e>
                      <m:sub>
                        <m:r>
                          <w:rPr>
                            <w:rFonts w:ascii="Cambria Math" w:hAnsi="Cambria Math"/>
                            <w:kern w:val="0"/>
                          </w:rPr>
                          <m:t>mij</m:t>
                        </m:r>
                      </m:sub>
                    </m:sSub>
                  </m:num>
                  <m:den>
                    <m:d>
                      <m:dPr>
                        <m:ctrlPr>
                          <w:rPr>
                            <w:rFonts w:ascii="Cambria Math" w:hAnsi="Cambria Math"/>
                            <w:i/>
                            <w:kern w:val="0"/>
                          </w:rPr>
                        </m:ctrlPr>
                      </m:dPr>
                      <m:e>
                        <m:f>
                          <m:fPr>
                            <m:type m:val="lin"/>
                            <m:ctrlPr>
                              <w:rPr>
                                <w:rFonts w:ascii="Cambria Math" w:hAnsi="Cambria Math"/>
                                <w:i/>
                                <w:kern w:val="0"/>
                              </w:rPr>
                            </m:ctrlPr>
                          </m:fPr>
                          <m:num>
                            <m:sSub>
                              <m:sSubPr>
                                <m:ctrlPr>
                                  <w:rPr>
                                    <w:rFonts w:ascii="Cambria Math" w:hAnsi="Cambria Math"/>
                                    <w:i/>
                                    <w:kern w:val="0"/>
                                  </w:rPr>
                                </m:ctrlPr>
                              </m:sSubPr>
                              <m:e>
                                <m:r>
                                  <w:rPr>
                                    <w:rFonts w:ascii="Cambria Math" w:hAnsi="Cambria Math"/>
                                    <w:kern w:val="0"/>
                                  </w:rPr>
                                  <m:t>S</m:t>
                                </m:r>
                              </m:e>
                              <m:sub>
                                <m:r>
                                  <w:rPr>
                                    <w:rFonts w:ascii="Cambria Math" w:hAnsi="Cambria Math"/>
                                    <w:kern w:val="0"/>
                                  </w:rPr>
                                  <m:t>y</m:t>
                                </m:r>
                              </m:sub>
                            </m:sSub>
                          </m:num>
                          <m:den>
                            <m:r>
                              <w:rPr>
                                <w:rFonts w:ascii="Cambria Math" w:hAnsi="Cambria Math"/>
                                <w:kern w:val="0"/>
                              </w:rPr>
                              <m:t>α</m:t>
                            </m:r>
                          </m:den>
                        </m:f>
                      </m:e>
                    </m:d>
                  </m:den>
                </m:f>
              </m:e>
            </m:d>
          </m:den>
        </m:f>
      </m:oMath>
      <w:r w:rsidR="00CF1748" w:rsidRPr="00BC31E0">
        <w:rPr>
          <w:rFonts w:asciiTheme="minorHAnsi" w:hAnsiTheme="minorHAnsi" w:hint="eastAsia"/>
          <w:kern w:val="0"/>
        </w:rPr>
        <w:tab/>
        <w:t>(6.3.7</w:t>
      </w:r>
      <w:r w:rsidRPr="00BC31E0">
        <w:rPr>
          <w:rFonts w:asciiTheme="minorHAnsi" w:hAnsiTheme="minorHAnsi" w:hint="eastAsia"/>
          <w:kern w:val="0"/>
        </w:rPr>
        <w:t>)</w:t>
      </w:r>
    </w:p>
    <w:p w14:paraId="052951AA" w14:textId="77777777" w:rsidR="00E20930" w:rsidRPr="00BC31E0" w:rsidRDefault="00E20930" w:rsidP="00736130">
      <w:pPr>
        <w:pStyle w:val="a4"/>
        <w:numPr>
          <w:ilvl w:val="0"/>
          <w:numId w:val="125"/>
        </w:numPr>
        <w:autoSpaceDE w:val="0"/>
        <w:autoSpaceDN w:val="0"/>
        <w:adjustRightInd w:val="0"/>
        <w:spacing w:before="120" w:after="120"/>
        <w:ind w:leftChars="0" w:left="1701" w:hanging="794"/>
        <w:rPr>
          <w:rFonts w:asciiTheme="majorEastAsia" w:eastAsiaTheme="majorEastAsia" w:hAnsiTheme="majorEastAsia"/>
          <w:b/>
          <w:kern w:val="0"/>
          <w:sz w:val="20"/>
        </w:rPr>
      </w:pPr>
      <w:r w:rsidRPr="00BC31E0">
        <w:rPr>
          <w:rFonts w:asciiTheme="majorEastAsia" w:eastAsiaTheme="majorEastAsia" w:hAnsiTheme="majorEastAsia"/>
          <w:b/>
          <w:bCs/>
          <w:kern w:val="0"/>
        </w:rPr>
        <w:t>図6.3.7</w:t>
      </w:r>
      <w:r w:rsidRPr="00BC31E0">
        <w:rPr>
          <w:rFonts w:asciiTheme="minorEastAsia" w:eastAsiaTheme="minorEastAsia" w:hAnsiTheme="minorEastAsia"/>
          <w:kern w:val="0"/>
        </w:rPr>
        <w:t>の場合</w:t>
      </w:r>
    </w:p>
    <w:p w14:paraId="1D2E90F2" w14:textId="77777777" w:rsidR="00E20930" w:rsidRPr="00BC31E0" w:rsidRDefault="00E20930" w:rsidP="00E20930">
      <w:pPr>
        <w:tabs>
          <w:tab w:val="left" w:pos="2694"/>
          <w:tab w:val="left" w:leader="middleDot" w:pos="8222"/>
        </w:tabs>
        <w:rPr>
          <w:kern w:val="0"/>
        </w:rPr>
      </w:pPr>
      <w:r w:rsidRPr="00BC31E0">
        <w:rPr>
          <w:rFonts w:hint="eastAsia"/>
          <w:kern w:val="0"/>
        </w:rPr>
        <w:tab/>
      </w:r>
      <m:oMath>
        <m:sSub>
          <m:sSubPr>
            <m:ctrlPr>
              <w:rPr>
                <w:rFonts w:ascii="Cambria Math" w:hAnsi="Cambria Math"/>
                <w:i/>
                <w:kern w:val="0"/>
              </w:rPr>
            </m:ctrlPr>
          </m:sSubPr>
          <m:e>
            <m:r>
              <w:rPr>
                <w:rFonts w:ascii="Cambria Math" w:hAnsi="Cambria Math"/>
                <w:kern w:val="0"/>
              </w:rPr>
              <m:t>S</m:t>
            </m:r>
          </m:e>
          <m:sub>
            <m:r>
              <m:rPr>
                <m:sty m:val="bi"/>
              </m:rPr>
              <w:rPr>
                <w:rFonts w:ascii="Cambria Math" w:hAnsi="Cambria Math"/>
                <w:kern w:val="0"/>
              </w:rPr>
              <m:t>eq</m:t>
            </m:r>
            <m:r>
              <w:rPr>
                <w:rFonts w:ascii="Cambria Math" w:hAnsi="Cambria Math"/>
                <w:kern w:val="0"/>
              </w:rPr>
              <m:t>ij</m:t>
            </m:r>
          </m:sub>
        </m:sSub>
        <m:r>
          <w:rPr>
            <w:rFonts w:ascii="Cambria Math" w:hAnsi="Cambria Math"/>
            <w:kern w:val="0"/>
          </w:rPr>
          <m:t>=</m:t>
        </m:r>
        <m:sSub>
          <m:sSubPr>
            <m:ctrlPr>
              <w:rPr>
                <w:rFonts w:ascii="Cambria Math" w:hAnsi="Cambria Math"/>
                <w:i/>
                <w:kern w:val="0"/>
              </w:rPr>
            </m:ctrlPr>
          </m:sSubPr>
          <m:e>
            <m:r>
              <w:rPr>
                <w:rFonts w:ascii="Cambria Math" w:hAnsi="Cambria Math"/>
                <w:kern w:val="0"/>
              </w:rPr>
              <m:t>S</m:t>
            </m:r>
          </m:e>
          <m:sub>
            <m:r>
              <w:rPr>
                <w:rFonts w:ascii="Cambria Math" w:hAnsi="Cambria Math"/>
                <w:kern w:val="0"/>
              </w:rPr>
              <m:t>altij</m:t>
            </m:r>
          </m:sub>
        </m:sSub>
        <m:r>
          <w:rPr>
            <w:rFonts w:ascii="Cambria Math" w:hAnsi="Cambria Math"/>
            <w:kern w:val="0"/>
          </w:rPr>
          <m:t>+0.4</m:t>
        </m:r>
        <m:sSub>
          <m:sSubPr>
            <m:ctrlPr>
              <w:rPr>
                <w:rFonts w:ascii="Cambria Math" w:hAnsi="Cambria Math"/>
                <w:i/>
                <w:kern w:val="0"/>
              </w:rPr>
            </m:ctrlPr>
          </m:sSubPr>
          <m:e>
            <m:r>
              <w:rPr>
                <w:rFonts w:ascii="Cambria Math" w:hAnsi="Cambria Math"/>
                <w:kern w:val="0"/>
              </w:rPr>
              <m:t xml:space="preserve"> S</m:t>
            </m:r>
          </m:e>
          <m:sub>
            <m:r>
              <w:rPr>
                <w:rFonts w:ascii="Cambria Math" w:hAnsi="Cambria Math"/>
                <w:kern w:val="0"/>
              </w:rPr>
              <m:t>mij</m:t>
            </m:r>
          </m:sub>
        </m:sSub>
      </m:oMath>
      <w:r w:rsidR="00CF1748" w:rsidRPr="00BC31E0">
        <w:rPr>
          <w:rFonts w:hint="eastAsia"/>
          <w:kern w:val="0"/>
        </w:rPr>
        <w:tab/>
        <w:t>(6.3.8</w:t>
      </w:r>
      <w:r w:rsidRPr="00BC31E0">
        <w:rPr>
          <w:rFonts w:hint="eastAsia"/>
          <w:kern w:val="0"/>
        </w:rPr>
        <w:t>)</w:t>
      </w:r>
    </w:p>
    <w:p w14:paraId="1E7B5182" w14:textId="77777777" w:rsidR="00E20930" w:rsidRPr="00BC31E0" w:rsidRDefault="00E20930" w:rsidP="006A3081">
      <w:pPr>
        <w:spacing w:before="120"/>
        <w:ind w:left="1134" w:firstLineChars="100" w:firstLine="210"/>
        <w:rPr>
          <w:kern w:val="0"/>
        </w:rPr>
      </w:pPr>
      <w:r w:rsidRPr="00BC31E0">
        <w:rPr>
          <w:rFonts w:hint="eastAsia"/>
          <w:kern w:val="0"/>
        </w:rPr>
        <w:t>ここで，</w:t>
      </w:r>
      <m:oMath>
        <m:sSub>
          <m:sSubPr>
            <m:ctrlPr>
              <w:rPr>
                <w:rFonts w:ascii="Cambria Math" w:hAnsi="Cambria Math"/>
                <w:i/>
                <w:kern w:val="0"/>
              </w:rPr>
            </m:ctrlPr>
          </m:sSubPr>
          <m:e>
            <m:r>
              <w:rPr>
                <w:rFonts w:ascii="Cambria Math" w:hAnsi="Cambria Math"/>
                <w:kern w:val="0"/>
              </w:rPr>
              <m:t>S</m:t>
            </m:r>
          </m:e>
          <m:sub>
            <m:r>
              <w:rPr>
                <w:rFonts w:ascii="Cambria Math" w:hAnsi="Cambria Math"/>
                <w:kern w:val="0"/>
              </w:rPr>
              <m:t>u</m:t>
            </m:r>
          </m:sub>
        </m:sSub>
        <m:r>
          <w:rPr>
            <w:rFonts w:ascii="Cambria Math" w:hAnsi="Cambria Math"/>
            <w:kern w:val="0"/>
          </w:rPr>
          <m:t xml:space="preserve"> </m:t>
        </m:r>
      </m:oMath>
      <w:r w:rsidRPr="00BC31E0">
        <w:rPr>
          <w:rFonts w:hint="eastAsia"/>
          <w:kern w:val="0"/>
        </w:rPr>
        <w:t>は，運転サイクル中の最高温度と最低温度の平均温度における引張強さである。</w:t>
      </w:r>
    </w:p>
    <w:p w14:paraId="7BF2A78A" w14:textId="77777777" w:rsidR="00E20930" w:rsidRPr="00BC31E0" w:rsidRDefault="00A51873" w:rsidP="00736130">
      <w:pPr>
        <w:pStyle w:val="a4"/>
        <w:numPr>
          <w:ilvl w:val="0"/>
          <w:numId w:val="114"/>
        </w:numPr>
        <w:ind w:leftChars="0" w:left="1134" w:hanging="567"/>
        <w:rPr>
          <w:kern w:val="0"/>
          <w:sz w:val="20"/>
        </w:rPr>
      </w:pPr>
      <m:oMath>
        <m:sSub>
          <m:sSubPr>
            <m:ctrlPr>
              <w:rPr>
                <w:rFonts w:ascii="Cambria Math" w:eastAsiaTheme="majorEastAsia" w:hAnsi="Cambria Math"/>
              </w:rPr>
            </m:ctrlPr>
          </m:sSubPr>
          <m:e>
            <m:r>
              <w:rPr>
                <w:rFonts w:ascii="Cambria Math" w:eastAsiaTheme="majorEastAsia" w:hAnsi="Cambria Math"/>
              </w:rPr>
              <m:t>S</m:t>
            </m:r>
          </m:e>
          <m:sub>
            <m:r>
              <w:rPr>
                <w:rFonts w:ascii="Cambria Math" w:eastAsiaTheme="majorEastAsia" w:hAnsi="Cambria Math"/>
              </w:rPr>
              <m:t xml:space="preserve">altij </m:t>
            </m:r>
          </m:sub>
        </m:sSub>
      </m:oMath>
      <w:r w:rsidR="00E20930" w:rsidRPr="00BC31E0">
        <w:rPr>
          <w:rFonts w:hint="eastAsia"/>
        </w:rPr>
        <w:t>が最大の場合が</w:t>
      </w:r>
      <m:oMath>
        <m:sSub>
          <m:sSubPr>
            <m:ctrlPr>
              <w:rPr>
                <w:rFonts w:ascii="Cambria Math" w:eastAsiaTheme="majorEastAsia" w:hAnsi="Cambria Math"/>
              </w:rPr>
            </m:ctrlPr>
          </m:sSubPr>
          <m:e>
            <m:r>
              <w:rPr>
                <w:rFonts w:ascii="Cambria Math" w:eastAsiaTheme="majorEastAsia" w:hAnsi="Cambria Math"/>
              </w:rPr>
              <m:t xml:space="preserve"> S</m:t>
            </m:r>
          </m:e>
          <m:sub>
            <m:r>
              <w:rPr>
                <w:rFonts w:ascii="Cambria Math" w:eastAsiaTheme="majorEastAsia" w:hAnsi="Cambria Math"/>
              </w:rPr>
              <m:t xml:space="preserve">eqij </m:t>
            </m:r>
          </m:sub>
        </m:sSub>
      </m:oMath>
      <w:r w:rsidR="00E20930" w:rsidRPr="00BC31E0">
        <w:rPr>
          <w:rFonts w:hint="eastAsia"/>
        </w:rPr>
        <w:t>が最大となるとは限らないため</w:t>
      </w:r>
      <w:r w:rsidR="00E20930" w:rsidRPr="00BC31E0">
        <w:rPr>
          <w:rFonts w:hint="eastAsia"/>
          <w:kern w:val="0"/>
        </w:rPr>
        <w:t>，いくつかの</w:t>
      </w:r>
      <m:oMath>
        <m:r>
          <m:rPr>
            <m:sty m:val="p"/>
          </m:rPr>
          <w:rPr>
            <w:rFonts w:ascii="Cambria Math" w:hAnsi="Cambria Math"/>
            <w:kern w:val="0"/>
          </w:rPr>
          <m:t xml:space="preserve"> </m:t>
        </m:r>
        <m:sSub>
          <m:sSubPr>
            <m:ctrlPr>
              <w:rPr>
                <w:rFonts w:ascii="Cambria Math" w:eastAsiaTheme="majorEastAsia" w:hAnsi="Cambria Math"/>
              </w:rPr>
            </m:ctrlPr>
          </m:sSubPr>
          <m:e>
            <m:r>
              <w:rPr>
                <w:rFonts w:ascii="Cambria Math" w:eastAsiaTheme="majorEastAsia" w:hAnsi="Cambria Math"/>
              </w:rPr>
              <m:t>S</m:t>
            </m:r>
          </m:e>
          <m:sub>
            <m:r>
              <w:rPr>
                <w:rFonts w:ascii="Cambria Math" w:eastAsiaTheme="majorEastAsia" w:hAnsi="Cambria Math"/>
              </w:rPr>
              <m:t>altij</m:t>
            </m:r>
          </m:sub>
        </m:sSub>
      </m:oMath>
      <w:r w:rsidR="00E20930" w:rsidRPr="00BC31E0">
        <w:rPr>
          <w:rFonts w:hint="eastAsia"/>
          <w:kern w:val="0"/>
        </w:rPr>
        <w:t>と</w:t>
      </w:r>
      <m:oMath>
        <m:r>
          <m:rPr>
            <m:sty m:val="p"/>
          </m:rPr>
          <w:rPr>
            <w:rFonts w:ascii="Cambria Math" w:hAnsi="Cambria Math"/>
            <w:kern w:val="0"/>
          </w:rPr>
          <m:t xml:space="preserve"> </m:t>
        </m:r>
        <m:sSub>
          <m:sSubPr>
            <m:ctrlPr>
              <w:rPr>
                <w:rFonts w:ascii="Cambria Math" w:eastAsiaTheme="majorEastAsia" w:hAnsi="Cambria Math"/>
              </w:rPr>
            </m:ctrlPr>
          </m:sSubPr>
          <m:e>
            <m:r>
              <w:rPr>
                <w:rFonts w:ascii="Cambria Math" w:eastAsiaTheme="majorEastAsia" w:hAnsi="Cambria Math"/>
              </w:rPr>
              <m:t>S</m:t>
            </m:r>
          </m:e>
          <m:sub>
            <m:r>
              <w:rPr>
                <w:rFonts w:ascii="Cambria Math" w:eastAsiaTheme="majorEastAsia" w:hAnsi="Cambria Math"/>
              </w:rPr>
              <m:t>mij</m:t>
            </m:r>
          </m:sub>
        </m:sSub>
      </m:oMath>
      <w:r w:rsidR="00E20930" w:rsidRPr="00BC31E0">
        <w:rPr>
          <w:rFonts w:hint="eastAsia"/>
        </w:rPr>
        <w:t xml:space="preserve"> </w:t>
      </w:r>
      <w:r w:rsidR="00E20930" w:rsidRPr="00BC31E0">
        <w:rPr>
          <w:rFonts w:hint="eastAsia"/>
        </w:rPr>
        <w:t>の組合せから</w:t>
      </w:r>
      <m:oMath>
        <m:sSub>
          <m:sSubPr>
            <m:ctrlPr>
              <w:rPr>
                <w:rFonts w:ascii="Cambria Math" w:eastAsiaTheme="majorEastAsia" w:hAnsi="Cambria Math"/>
              </w:rPr>
            </m:ctrlPr>
          </m:sSubPr>
          <m:e>
            <m:r>
              <w:rPr>
                <w:rFonts w:ascii="Cambria Math" w:eastAsiaTheme="majorEastAsia" w:hAnsi="Cambria Math"/>
              </w:rPr>
              <m:t xml:space="preserve"> S</m:t>
            </m:r>
          </m:e>
          <m:sub>
            <m:r>
              <w:rPr>
                <w:rFonts w:ascii="Cambria Math" w:eastAsiaTheme="majorEastAsia" w:hAnsi="Cambria Math"/>
              </w:rPr>
              <m:t>eqij</m:t>
            </m:r>
          </m:sub>
        </m:sSub>
        <m:r>
          <w:rPr>
            <w:rFonts w:ascii="Cambria Math" w:eastAsiaTheme="majorEastAsia" w:hAnsi="Cambria Math"/>
          </w:rPr>
          <m:t xml:space="preserve"> </m:t>
        </m:r>
      </m:oMath>
      <w:r w:rsidR="00E20930" w:rsidRPr="00BC31E0">
        <w:rPr>
          <w:rFonts w:hint="eastAsia"/>
        </w:rPr>
        <w:t>の最大値を求める必要がある。</w:t>
      </w:r>
    </w:p>
    <w:p w14:paraId="271245A1" w14:textId="77777777" w:rsidR="00E20930" w:rsidRPr="00BC31E0" w:rsidRDefault="00E20930" w:rsidP="00736130">
      <w:pPr>
        <w:pStyle w:val="a4"/>
        <w:numPr>
          <w:ilvl w:val="0"/>
          <w:numId w:val="114"/>
        </w:numPr>
        <w:ind w:leftChars="0" w:left="1134" w:hanging="567"/>
        <w:rPr>
          <w:kern w:val="0"/>
        </w:rPr>
      </w:pPr>
      <w:r w:rsidRPr="00BC31E0">
        <w:rPr>
          <w:rFonts w:hint="eastAsia"/>
          <w:kern w:val="0"/>
        </w:rPr>
        <w:t>設計許容繰返し回数は，設計疲労曲線と最大の</w:t>
      </w:r>
      <m:oMath>
        <m:r>
          <m:rPr>
            <m:sty m:val="p"/>
          </m:rPr>
          <w:rPr>
            <w:rFonts w:ascii="Cambria Math" w:hAnsi="Cambria Math"/>
            <w:kern w:val="0"/>
          </w:rPr>
          <m:t xml:space="preserve"> </m:t>
        </m:r>
        <m:sSub>
          <m:sSubPr>
            <m:ctrlPr>
              <w:rPr>
                <w:rFonts w:ascii="Cambria Math" w:hAnsi="Cambria Math"/>
                <w:i/>
                <w:kern w:val="0"/>
              </w:rPr>
            </m:ctrlPr>
          </m:sSubPr>
          <m:e>
            <m:r>
              <w:rPr>
                <w:rFonts w:ascii="Cambria Math" w:hAnsi="Cambria Math"/>
                <w:kern w:val="0"/>
              </w:rPr>
              <m:t>S</m:t>
            </m:r>
          </m:e>
          <m:sub>
            <m:r>
              <w:rPr>
                <w:rFonts w:ascii="Cambria Math" w:hAnsi="Cambria Math"/>
                <w:kern w:val="0"/>
              </w:rPr>
              <m:t>eq</m:t>
            </m:r>
          </m:sub>
        </m:sSub>
      </m:oMath>
      <w:r w:rsidRPr="00BC31E0">
        <w:rPr>
          <w:rFonts w:hint="eastAsia"/>
          <w:kern w:val="0"/>
        </w:rPr>
        <w:t>を使って求める。等価相当応力の振幅</w:t>
      </w:r>
      <m:oMath>
        <m:sSub>
          <m:sSubPr>
            <m:ctrlPr>
              <w:rPr>
                <w:rFonts w:ascii="Cambria Math" w:hAnsi="Cambria Math"/>
                <w:i/>
                <w:kern w:val="0"/>
              </w:rPr>
            </m:ctrlPr>
          </m:sSubPr>
          <m:e>
            <m:r>
              <w:rPr>
                <w:rFonts w:ascii="Cambria Math" w:hAnsi="Cambria Math"/>
                <w:kern w:val="0"/>
              </w:rPr>
              <m:t xml:space="preserve"> S</m:t>
            </m:r>
          </m:e>
          <m:sub>
            <m:r>
              <w:rPr>
                <w:rFonts w:ascii="Cambria Math" w:hAnsi="Cambria Math"/>
                <w:kern w:val="0"/>
              </w:rPr>
              <m:t>eq</m:t>
            </m:r>
          </m:sub>
        </m:sSub>
        <m:r>
          <m:rPr>
            <m:sty m:val="p"/>
          </m:rPr>
          <w:rPr>
            <w:rFonts w:ascii="Cambria Math" w:hAnsi="Cambria Math"/>
            <w:kern w:val="0"/>
          </w:rPr>
          <m:t xml:space="preserve"> </m:t>
        </m:r>
      </m:oMath>
      <w:r w:rsidRPr="00BC31E0">
        <w:rPr>
          <w:rFonts w:hint="eastAsia"/>
          <w:iCs/>
          <w:kern w:val="0"/>
        </w:rPr>
        <w:t>には係数</w:t>
      </w:r>
      <m:oMath>
        <m:sSub>
          <m:sSubPr>
            <m:ctrlPr>
              <w:rPr>
                <w:rFonts w:ascii="Cambria Math" w:hAnsi="Cambria Math"/>
                <w:i/>
                <w:kern w:val="0"/>
              </w:rPr>
            </m:ctrlPr>
          </m:sSubPr>
          <m:e>
            <m:r>
              <w:rPr>
                <w:rFonts w:ascii="Cambria Math" w:hAnsi="Cambria Math"/>
                <w:kern w:val="0"/>
              </w:rPr>
              <m:t xml:space="preserve"> K</m:t>
            </m:r>
          </m:e>
          <m:sub>
            <m:r>
              <w:rPr>
                <w:rFonts w:ascii="Cambria Math" w:hAnsi="Cambria Math"/>
                <w:kern w:val="0"/>
              </w:rPr>
              <m:t>e</m:t>
            </m:r>
          </m:sub>
        </m:sSub>
        <m:r>
          <m:rPr>
            <m:sty m:val="p"/>
          </m:rPr>
          <w:rPr>
            <w:rFonts w:ascii="Cambria Math" w:hAnsi="Cambria Math" w:hint="eastAsia"/>
            <w:kern w:val="0"/>
          </w:rPr>
          <m:t xml:space="preserve"> </m:t>
        </m:r>
      </m:oMath>
      <w:r w:rsidRPr="00BC31E0">
        <w:rPr>
          <w:rFonts w:hint="eastAsia"/>
          <w:kern w:val="0"/>
        </w:rPr>
        <w:t>及び</w:t>
      </w:r>
      <w:r w:rsidRPr="00BC31E0">
        <w:rPr>
          <w:rFonts w:hint="eastAsia"/>
          <w:iCs/>
          <w:kern w:val="0"/>
        </w:rPr>
        <w:t>縦弾性係数の比</w:t>
      </w:r>
      <m:oMath>
        <m:f>
          <m:fPr>
            <m:type m:val="lin"/>
            <m:ctrlPr>
              <w:rPr>
                <w:rFonts w:ascii="Cambria Math" w:hAnsi="Cambria Math"/>
                <w:i/>
                <w:iCs/>
                <w:kern w:val="0"/>
              </w:rPr>
            </m:ctrlPr>
          </m:fPr>
          <m:num>
            <m:r>
              <w:rPr>
                <w:rFonts w:ascii="Cambria Math" w:hAnsi="Cambria Math"/>
                <w:kern w:val="0"/>
              </w:rPr>
              <m:t xml:space="preserve"> E</m:t>
            </m:r>
          </m:num>
          <m:den>
            <m:sSub>
              <m:sSubPr>
                <m:ctrlPr>
                  <w:rPr>
                    <w:rFonts w:ascii="Cambria Math" w:hAnsi="Cambria Math"/>
                    <w:i/>
                    <w:iCs/>
                    <w:kern w:val="0"/>
                  </w:rPr>
                </m:ctrlPr>
              </m:sSubPr>
              <m:e>
                <m:r>
                  <w:rPr>
                    <w:rFonts w:ascii="Cambria Math" w:hAnsi="Cambria Math"/>
                    <w:kern w:val="0"/>
                  </w:rPr>
                  <m:t>E</m:t>
                </m:r>
              </m:e>
              <m:sub>
                <m:r>
                  <w:rPr>
                    <w:rFonts w:ascii="Cambria Math" w:hAnsi="Cambria Math"/>
                    <w:kern w:val="0"/>
                  </w:rPr>
                  <m:t>a</m:t>
                </m:r>
              </m:sub>
            </m:sSub>
          </m:den>
        </m:f>
      </m:oMath>
      <w:r w:rsidRPr="00BC31E0">
        <w:rPr>
          <w:rFonts w:hint="eastAsia"/>
          <w:iCs/>
          <w:kern w:val="0"/>
        </w:rPr>
        <w:t>を乗じ，</w:t>
      </w:r>
      <w:r w:rsidRPr="00BC31E0">
        <w:rPr>
          <w:rFonts w:ascii="ＭＳ ゴシック" w:eastAsia="ＭＳ ゴシック" w:hAnsi="ＭＳ ゴシック" w:hint="eastAsia"/>
          <w:b/>
          <w:bCs/>
          <w:kern w:val="0"/>
        </w:rPr>
        <w:t>図</w:t>
      </w:r>
      <w:r w:rsidRPr="00BC31E0">
        <w:rPr>
          <w:rFonts w:ascii="ＭＳ ゴシック" w:eastAsia="ＭＳ ゴシック" w:hAnsi="ＭＳ ゴシック"/>
          <w:b/>
          <w:bCs/>
          <w:kern w:val="0"/>
        </w:rPr>
        <w:t>6.3.2</w:t>
      </w:r>
      <w:r w:rsidRPr="00BC31E0">
        <w:rPr>
          <w:rFonts w:hint="eastAsia"/>
          <w:bCs/>
          <w:kern w:val="0"/>
        </w:rPr>
        <w:t>，</w:t>
      </w:r>
      <w:r w:rsidRPr="00BC31E0">
        <w:rPr>
          <w:rFonts w:ascii="ＭＳ ゴシック" w:eastAsia="ＭＳ ゴシック" w:hAnsi="ＭＳ ゴシック" w:hint="eastAsia"/>
          <w:b/>
          <w:bCs/>
          <w:kern w:val="0"/>
        </w:rPr>
        <w:t>図</w:t>
      </w:r>
      <w:r w:rsidRPr="00BC31E0">
        <w:rPr>
          <w:rFonts w:ascii="ＭＳ ゴシック" w:eastAsia="ＭＳ ゴシック" w:hAnsi="ＭＳ ゴシック"/>
          <w:b/>
          <w:bCs/>
          <w:kern w:val="0"/>
        </w:rPr>
        <w:t>6.3.6</w:t>
      </w:r>
      <w:r w:rsidRPr="00BC31E0">
        <w:rPr>
          <w:rFonts w:hint="eastAsia"/>
          <w:kern w:val="0"/>
        </w:rPr>
        <w:t>及び</w:t>
      </w:r>
      <w:r w:rsidRPr="00BC31E0">
        <w:rPr>
          <w:rFonts w:ascii="ＭＳ ゴシック" w:eastAsia="ＭＳ ゴシック" w:hAnsi="ＭＳ ゴシック" w:hint="eastAsia"/>
          <w:b/>
          <w:bCs/>
          <w:kern w:val="0"/>
        </w:rPr>
        <w:t>図</w:t>
      </w:r>
      <w:r w:rsidRPr="00BC31E0">
        <w:rPr>
          <w:rFonts w:ascii="ＭＳ ゴシック" w:eastAsia="ＭＳ ゴシック" w:hAnsi="ＭＳ ゴシック"/>
          <w:b/>
          <w:bCs/>
          <w:kern w:val="0"/>
        </w:rPr>
        <w:t>6.3.7</w:t>
      </w:r>
      <w:r w:rsidRPr="00BC31E0">
        <w:rPr>
          <w:rFonts w:hint="eastAsia"/>
          <w:kern w:val="0"/>
        </w:rPr>
        <w:t>から設計許容繰返し回数</w:t>
      </w:r>
      <m:oMath>
        <m:sSub>
          <m:sSubPr>
            <m:ctrlPr>
              <w:rPr>
                <w:rFonts w:ascii="Cambria Math" w:hAnsi="Cambria Math"/>
                <w:i/>
                <w:kern w:val="0"/>
              </w:rPr>
            </m:ctrlPr>
          </m:sSubPr>
          <m:e>
            <m:r>
              <w:rPr>
                <w:rFonts w:ascii="Cambria Math" w:hAnsi="Cambria Math"/>
                <w:kern w:val="0"/>
              </w:rPr>
              <m:t xml:space="preserve"> N</m:t>
            </m:r>
          </m:e>
          <m:sub>
            <m:r>
              <w:rPr>
                <w:rFonts w:ascii="Cambria Math" w:hAnsi="Cambria Math"/>
                <w:kern w:val="0"/>
              </w:rPr>
              <m:t xml:space="preserve">f </m:t>
            </m:r>
          </m:sub>
        </m:sSub>
      </m:oMath>
      <w:r w:rsidRPr="00BC31E0">
        <w:rPr>
          <w:rFonts w:hint="eastAsia"/>
          <w:kern w:val="0"/>
        </w:rPr>
        <w:t>を求める時には，</w:t>
      </w:r>
      <w:r w:rsidRPr="00BC31E0">
        <w:rPr>
          <w:rFonts w:ascii="ＭＳ ゴシック" w:eastAsia="ＭＳ ゴシック" w:hAnsi="ＭＳ ゴシック" w:hint="eastAsia"/>
          <w:b/>
          <w:bCs/>
          <w:kern w:val="0"/>
        </w:rPr>
        <w:t>図</w:t>
      </w:r>
      <w:r w:rsidRPr="00BC31E0">
        <w:rPr>
          <w:rFonts w:ascii="ＭＳ ゴシック" w:eastAsia="ＭＳ ゴシック" w:hAnsi="ＭＳ ゴシック"/>
          <w:b/>
          <w:bCs/>
          <w:kern w:val="0"/>
        </w:rPr>
        <w:t>6.3.</w:t>
      </w:r>
      <w:r w:rsidRPr="00BC31E0">
        <w:rPr>
          <w:rFonts w:ascii="ＭＳ ゴシック" w:eastAsia="ＭＳ ゴシック" w:hAnsi="ＭＳ ゴシック" w:hint="eastAsia"/>
          <w:b/>
          <w:bCs/>
          <w:kern w:val="0"/>
        </w:rPr>
        <w:t>10</w:t>
      </w:r>
      <w:r w:rsidRPr="00BC31E0">
        <w:rPr>
          <w:rFonts w:hint="eastAsia"/>
          <w:kern w:val="0"/>
        </w:rPr>
        <w:t>に示す表面粗さの影響係数</w:t>
      </w:r>
      <m:oMath>
        <m:sSub>
          <m:sSubPr>
            <m:ctrlPr>
              <w:rPr>
                <w:rFonts w:ascii="Cambria Math" w:hAnsi="Cambria Math"/>
                <w:i/>
                <w:kern w:val="0"/>
              </w:rPr>
            </m:ctrlPr>
          </m:sSubPr>
          <m:e>
            <m:r>
              <w:rPr>
                <w:rFonts w:ascii="Cambria Math" w:hAnsi="Cambria Math"/>
                <w:kern w:val="0"/>
              </w:rPr>
              <m:t xml:space="preserve"> K</m:t>
            </m:r>
          </m:e>
          <m:sub>
            <m:r>
              <w:rPr>
                <w:rFonts w:ascii="Cambria Math" w:hAnsi="Cambria Math"/>
                <w:kern w:val="0"/>
              </w:rPr>
              <m:t>r</m:t>
            </m:r>
          </m:sub>
        </m:sSub>
        <m:r>
          <w:rPr>
            <w:rFonts w:ascii="Cambria Math" w:hAnsi="Cambria Math"/>
            <w:kern w:val="0"/>
          </w:rPr>
          <m:t xml:space="preserve"> </m:t>
        </m:r>
      </m:oMath>
      <w:r w:rsidRPr="00BC31E0">
        <w:rPr>
          <w:rFonts w:hint="eastAsia"/>
          <w:iCs/>
          <w:kern w:val="0"/>
        </w:rPr>
        <w:t>を更に乗ずる。</w:t>
      </w:r>
    </w:p>
    <w:p w14:paraId="03060BEE" w14:textId="77777777" w:rsidR="00E20930" w:rsidRPr="00BC31E0" w:rsidRDefault="00E20930" w:rsidP="00F2613E">
      <w:pPr>
        <w:pStyle w:val="a4"/>
        <w:ind w:leftChars="0" w:left="1134" w:firstLineChars="100" w:firstLine="210"/>
        <w:rPr>
          <w:kern w:val="0"/>
        </w:rPr>
      </w:pPr>
      <w:r w:rsidRPr="00BC31E0">
        <w:rPr>
          <w:rFonts w:hint="eastAsia"/>
          <w:iCs/>
          <w:kern w:val="0"/>
        </w:rPr>
        <w:t>一次＋二次相当応力範囲が</w:t>
      </w:r>
      <w:r w:rsidRPr="00BC31E0">
        <w:rPr>
          <w:rFonts w:asciiTheme="majorEastAsia" w:eastAsiaTheme="majorEastAsia" w:hAnsiTheme="majorEastAsia" w:hint="eastAsia"/>
          <w:b/>
          <w:iCs/>
          <w:kern w:val="0"/>
        </w:rPr>
        <w:t>附属書J</w:t>
      </w:r>
      <w:r w:rsidRPr="00BC31E0">
        <w:rPr>
          <w:rFonts w:asciiTheme="majorEastAsia" w:eastAsiaTheme="majorEastAsia" w:hAnsiTheme="majorEastAsia"/>
          <w:b/>
          <w:iCs/>
          <w:kern w:val="0"/>
        </w:rPr>
        <w:t xml:space="preserve"> </w:t>
      </w:r>
      <w:r w:rsidRPr="00BC31E0">
        <w:rPr>
          <w:rFonts w:asciiTheme="majorEastAsia" w:eastAsiaTheme="majorEastAsia" w:hAnsiTheme="majorEastAsia" w:hint="eastAsia"/>
          <w:b/>
          <w:iCs/>
          <w:kern w:val="0"/>
        </w:rPr>
        <w:t>1</w:t>
      </w:r>
      <w:r w:rsidRPr="00BC31E0">
        <w:rPr>
          <w:rFonts w:asciiTheme="majorEastAsia" w:eastAsiaTheme="majorEastAsia" w:hAnsiTheme="majorEastAsia" w:hint="eastAsia"/>
          <w:b/>
          <w:kern w:val="0"/>
        </w:rPr>
        <w:t xml:space="preserve"> g)</w:t>
      </w:r>
      <w:r w:rsidRPr="00BC31E0">
        <w:rPr>
          <w:rFonts w:asciiTheme="majorEastAsia" w:eastAsiaTheme="majorEastAsia" w:hAnsiTheme="majorEastAsia" w:hint="eastAsia"/>
          <w:kern w:val="0"/>
        </w:rPr>
        <w:t xml:space="preserve"> </w:t>
      </w:r>
      <w:r w:rsidRPr="00BC31E0">
        <w:rPr>
          <w:rFonts w:hint="eastAsia"/>
          <w:kern w:val="0"/>
        </w:rPr>
        <w:t>を満足する場合は，</w:t>
      </w:r>
      <w:r w:rsidRPr="00BC31E0">
        <w:rPr>
          <w:rFonts w:hint="eastAsia"/>
          <w:iCs/>
          <w:kern w:val="0"/>
        </w:rPr>
        <w:t>係数</w:t>
      </w:r>
      <m:oMath>
        <m:sSub>
          <m:sSubPr>
            <m:ctrlPr>
              <w:rPr>
                <w:rFonts w:ascii="Cambria Math" w:hAnsi="Cambria Math"/>
                <w:i/>
                <w:kern w:val="0"/>
              </w:rPr>
            </m:ctrlPr>
          </m:sSubPr>
          <m:e>
            <m:r>
              <w:rPr>
                <w:rFonts w:ascii="Cambria Math" w:hAnsi="Cambria Math"/>
                <w:kern w:val="0"/>
              </w:rPr>
              <m:t xml:space="preserve"> K</m:t>
            </m:r>
          </m:e>
          <m:sub>
            <m:r>
              <w:rPr>
                <w:rFonts w:ascii="Cambria Math" w:hAnsi="Cambria Math"/>
                <w:kern w:val="0"/>
              </w:rPr>
              <m:t>e</m:t>
            </m:r>
          </m:sub>
        </m:sSub>
      </m:oMath>
      <w:r w:rsidRPr="00BC31E0">
        <w:rPr>
          <w:rFonts w:hint="eastAsia"/>
          <w:kern w:val="0"/>
        </w:rPr>
        <w:t>=1.0</w:t>
      </w:r>
      <w:r w:rsidRPr="00BC31E0">
        <w:rPr>
          <w:rFonts w:hint="eastAsia"/>
          <w:kern w:val="0"/>
        </w:rPr>
        <w:t>である。</w:t>
      </w:r>
      <w:r w:rsidRPr="00BC31E0">
        <w:rPr>
          <w:rFonts w:hint="eastAsia"/>
          <w:iCs/>
          <w:kern w:val="0"/>
        </w:rPr>
        <w:t>一次＋二次応力相当応力範囲が</w:t>
      </w:r>
      <w:r w:rsidRPr="00BC31E0">
        <w:rPr>
          <w:rFonts w:ascii="ＭＳ ゴシック" w:eastAsia="ＭＳ ゴシック" w:hAnsi="ＭＳ ゴシック" w:hint="eastAsia"/>
          <w:b/>
          <w:iCs/>
          <w:kern w:val="0"/>
        </w:rPr>
        <w:t>附属書</w:t>
      </w:r>
      <w:r w:rsidR="008C4FBE" w:rsidRPr="00BC31E0">
        <w:rPr>
          <w:rFonts w:ascii="ＭＳ ゴシック" w:eastAsia="ＭＳ ゴシック" w:hAnsi="ＭＳ ゴシック" w:hint="eastAsia"/>
          <w:b/>
          <w:iCs/>
          <w:kern w:val="0"/>
        </w:rPr>
        <w:t xml:space="preserve"> </w:t>
      </w:r>
      <w:r w:rsidRPr="00BC31E0">
        <w:rPr>
          <w:rFonts w:ascii="ＭＳ ゴシック" w:eastAsia="ＭＳ ゴシック" w:hAnsi="ＭＳ ゴシック" w:hint="eastAsia"/>
          <w:b/>
          <w:iCs/>
          <w:kern w:val="0"/>
        </w:rPr>
        <w:t>J 1</w:t>
      </w:r>
      <w:r w:rsidRPr="00BC31E0">
        <w:rPr>
          <w:rFonts w:ascii="ＭＳ ゴシック" w:eastAsia="ＭＳ ゴシック" w:hAnsi="ＭＳ ゴシック" w:hint="eastAsia"/>
          <w:b/>
          <w:kern w:val="0"/>
        </w:rPr>
        <w:t xml:space="preserve"> g) </w:t>
      </w:r>
      <w:r w:rsidRPr="00BC31E0">
        <w:rPr>
          <w:rFonts w:hint="eastAsia"/>
          <w:kern w:val="0"/>
        </w:rPr>
        <w:t>を満足しない場合は，</w:t>
      </w:r>
      <w:r w:rsidRPr="00BC31E0">
        <w:rPr>
          <w:rFonts w:hint="eastAsia"/>
          <w:iCs/>
          <w:kern w:val="0"/>
        </w:rPr>
        <w:t>係数</w:t>
      </w:r>
      <m:oMath>
        <m:sSub>
          <m:sSubPr>
            <m:ctrlPr>
              <w:rPr>
                <w:rFonts w:ascii="Cambria Math" w:hAnsi="Cambria Math"/>
                <w:i/>
                <w:kern w:val="0"/>
              </w:rPr>
            </m:ctrlPr>
          </m:sSubPr>
          <m:e>
            <m:r>
              <w:rPr>
                <w:rFonts w:ascii="Cambria Math" w:hAnsi="Cambria Math"/>
                <w:kern w:val="0"/>
              </w:rPr>
              <m:t xml:space="preserve"> K</m:t>
            </m:r>
          </m:e>
          <m:sub>
            <m:r>
              <w:rPr>
                <w:rFonts w:ascii="Cambria Math" w:hAnsi="Cambria Math"/>
                <w:kern w:val="0"/>
              </w:rPr>
              <m:t>e</m:t>
            </m:r>
          </m:sub>
        </m:sSub>
        <m:r>
          <m:rPr>
            <m:sty m:val="p"/>
          </m:rPr>
          <w:rPr>
            <w:rFonts w:ascii="Cambria Math" w:hAnsi="Cambria Math" w:hint="eastAsia"/>
            <w:kern w:val="0"/>
          </w:rPr>
          <m:t xml:space="preserve"> </m:t>
        </m:r>
      </m:oMath>
      <w:r w:rsidRPr="00BC31E0">
        <w:rPr>
          <w:rFonts w:hint="eastAsia"/>
          <w:kern w:val="0"/>
        </w:rPr>
        <w:t>は</w:t>
      </w:r>
      <w:r w:rsidRPr="00BC31E0">
        <w:rPr>
          <w:rFonts w:ascii="ＭＳ ゴシック" w:eastAsia="ＭＳ ゴシック" w:hAnsi="ＭＳ ゴシック" w:hint="eastAsia"/>
          <w:b/>
          <w:iCs/>
          <w:kern w:val="0"/>
        </w:rPr>
        <w:t>附属書J 1</w:t>
      </w:r>
      <w:r w:rsidRPr="00BC31E0">
        <w:rPr>
          <w:rFonts w:ascii="ＭＳ ゴシック" w:eastAsia="ＭＳ ゴシック" w:hAnsi="ＭＳ ゴシック" w:hint="eastAsia"/>
          <w:b/>
          <w:kern w:val="0"/>
        </w:rPr>
        <w:t xml:space="preserve"> h)</w:t>
      </w:r>
      <w:r w:rsidRPr="00BC31E0">
        <w:rPr>
          <w:rFonts w:hint="eastAsia"/>
          <w:kern w:val="0"/>
        </w:rPr>
        <w:t xml:space="preserve"> </w:t>
      </w:r>
      <w:r w:rsidRPr="00BC31E0">
        <w:rPr>
          <w:rFonts w:hint="eastAsia"/>
          <w:kern w:val="0"/>
        </w:rPr>
        <w:t>により算定する。</w:t>
      </w:r>
    </w:p>
    <w:p w14:paraId="1A046628" w14:textId="77777777" w:rsidR="00E20930" w:rsidRPr="00BC31E0" w:rsidRDefault="00E20930" w:rsidP="00E20930">
      <w:pPr>
        <w:ind w:left="1134" w:firstLineChars="100" w:firstLine="210"/>
        <w:rPr>
          <w:kern w:val="0"/>
        </w:rPr>
      </w:pPr>
      <w:r w:rsidRPr="00BC31E0">
        <w:rPr>
          <w:rFonts w:hint="eastAsia"/>
          <w:kern w:val="0"/>
        </w:rPr>
        <w:t>ここで，</w:t>
      </w:r>
      <m:oMath>
        <m:r>
          <w:rPr>
            <w:rFonts w:ascii="Cambria Math" w:hAnsi="Cambria Math"/>
            <w:kern w:val="0"/>
          </w:rPr>
          <m:t>E</m:t>
        </m:r>
        <m:r>
          <w:rPr>
            <w:rFonts w:ascii="Cambria Math" w:hAnsi="Cambria Math" w:hint="eastAsia"/>
            <w:kern w:val="0"/>
          </w:rPr>
          <m:t xml:space="preserve"> </m:t>
        </m:r>
      </m:oMath>
      <w:r w:rsidRPr="00BC31E0">
        <w:rPr>
          <w:rFonts w:hint="eastAsia"/>
          <w:kern w:val="0"/>
        </w:rPr>
        <w:t>は設計疲労曲線に示された縦弾性係数，</w:t>
      </w:r>
      <m:oMath>
        <m:sSub>
          <m:sSubPr>
            <m:ctrlPr>
              <w:rPr>
                <w:rFonts w:ascii="Cambria Math" w:hAnsi="Cambria Math"/>
                <w:i/>
                <w:iCs/>
                <w:kern w:val="0"/>
              </w:rPr>
            </m:ctrlPr>
          </m:sSubPr>
          <m:e>
            <m:r>
              <w:rPr>
                <w:rFonts w:ascii="Cambria Math" w:hAnsi="Cambria Math"/>
                <w:kern w:val="0"/>
              </w:rPr>
              <m:t>E</m:t>
            </m:r>
          </m:e>
          <m:sub>
            <m:r>
              <w:rPr>
                <w:rFonts w:ascii="Cambria Math" w:hAnsi="Cambria Math"/>
                <w:kern w:val="0"/>
                <w:position w:val="-2"/>
                <w:vertAlign w:val="subscript"/>
              </w:rPr>
              <m:t>a</m:t>
            </m:r>
          </m:sub>
        </m:sSub>
        <m:r>
          <w:rPr>
            <w:rFonts w:ascii="Cambria Math" w:hAnsi="Cambria Math"/>
            <w:kern w:val="0"/>
          </w:rPr>
          <m:t xml:space="preserve"> </m:t>
        </m:r>
      </m:oMath>
      <w:r w:rsidRPr="00BC31E0">
        <w:rPr>
          <w:rFonts w:hint="eastAsia"/>
          <w:kern w:val="0"/>
        </w:rPr>
        <w:t>は解析に用いた運転温度における縦弾性係数である。</w:t>
      </w:r>
    </w:p>
    <w:p w14:paraId="35CFC4F5" w14:textId="77777777" w:rsidR="00E20930" w:rsidRPr="00BC31E0" w:rsidRDefault="00E20930" w:rsidP="00736130">
      <w:pPr>
        <w:pStyle w:val="a4"/>
        <w:numPr>
          <w:ilvl w:val="0"/>
          <w:numId w:val="112"/>
        </w:numPr>
        <w:ind w:leftChars="0" w:left="738" w:hanging="454"/>
        <w:rPr>
          <w:kern w:val="0"/>
        </w:rPr>
      </w:pPr>
      <w:r w:rsidRPr="00BC31E0">
        <w:rPr>
          <w:rFonts w:ascii="ＭＳ ゴシック" w:eastAsia="ＭＳ ゴシック" w:hAnsi="ＭＳ ゴシック" w:hint="eastAsia"/>
          <w:b/>
          <w:kern w:val="0"/>
        </w:rPr>
        <w:t>設計許容繰返し回数の決定</w:t>
      </w:r>
      <w:r w:rsidRPr="00BC31E0">
        <w:rPr>
          <w:kern w:val="0"/>
        </w:rPr>
        <w:t xml:space="preserve">  </w:t>
      </w:r>
      <w:r w:rsidRPr="00BC31E0">
        <w:rPr>
          <w:rFonts w:hint="eastAsia"/>
          <w:kern w:val="0"/>
        </w:rPr>
        <w:t>考えている運転サイクルが重要な変動応力を生じる唯一のサイクルの場合には，設計許容繰返し回数</w:t>
      </w:r>
      <m:oMath>
        <m:sSub>
          <m:sSubPr>
            <m:ctrlPr>
              <w:rPr>
                <w:rFonts w:ascii="Cambria Math" w:hAnsi="Cambria Math"/>
                <w:i/>
                <w:kern w:val="0"/>
              </w:rPr>
            </m:ctrlPr>
          </m:sSubPr>
          <m:e>
            <m:r>
              <w:rPr>
                <w:rFonts w:ascii="Cambria Math" w:hAnsi="Cambria Math"/>
                <w:kern w:val="0"/>
              </w:rPr>
              <m:t xml:space="preserve"> N</m:t>
            </m:r>
          </m:e>
          <m:sub>
            <m:r>
              <w:rPr>
                <w:rFonts w:ascii="Cambria Math" w:hAnsi="Cambria Math"/>
                <w:kern w:val="0"/>
              </w:rPr>
              <m:t>f</m:t>
            </m:r>
          </m:sub>
        </m:sSub>
        <m:r>
          <w:rPr>
            <w:rFonts w:ascii="Cambria Math" w:hAnsi="Cambria Math"/>
            <w:kern w:val="0"/>
          </w:rPr>
          <m:t xml:space="preserve"> </m:t>
        </m:r>
      </m:oMath>
      <w:r w:rsidRPr="00BC31E0">
        <w:rPr>
          <w:rFonts w:hint="eastAsia"/>
          <w:kern w:val="0"/>
        </w:rPr>
        <w:t>は次のように決定する。</w:t>
      </w:r>
    </w:p>
    <w:p w14:paraId="7EC3ACDD" w14:textId="77777777" w:rsidR="00E20930" w:rsidRPr="00BC31E0" w:rsidRDefault="00E20930" w:rsidP="00736130">
      <w:pPr>
        <w:pStyle w:val="a4"/>
        <w:numPr>
          <w:ilvl w:val="0"/>
          <w:numId w:val="115"/>
        </w:numPr>
        <w:ind w:leftChars="0" w:left="1134" w:hanging="567"/>
        <w:rPr>
          <w:bCs/>
          <w:kern w:val="0"/>
        </w:rPr>
      </w:pPr>
      <w:r w:rsidRPr="00BC31E0">
        <w:rPr>
          <w:rFonts w:hint="eastAsia"/>
          <w:kern w:val="0"/>
        </w:rPr>
        <w:t>設計疲労曲線の縦軸上に，</w:t>
      </w:r>
      <m:oMath>
        <m:sSub>
          <m:sSubPr>
            <m:ctrlPr>
              <w:rPr>
                <w:rFonts w:ascii="Cambria Math" w:hAnsi="Cambria Math"/>
                <w:i/>
                <w:kern w:val="0"/>
              </w:rPr>
            </m:ctrlPr>
          </m:sSubPr>
          <m:e>
            <m:r>
              <w:rPr>
                <w:rFonts w:ascii="Cambria Math" w:hAnsi="Cambria Math"/>
                <w:kern w:val="0"/>
              </w:rPr>
              <m:t>S</m:t>
            </m:r>
          </m:e>
          <m:sub>
            <m:r>
              <w:rPr>
                <w:rFonts w:ascii="Cambria Math" w:hAnsi="Cambria Math"/>
                <w:kern w:val="0"/>
              </w:rPr>
              <m:t>a</m:t>
            </m:r>
          </m:sub>
        </m:sSub>
        <m:r>
          <w:rPr>
            <w:rFonts w:ascii="Cambria Math" w:hAnsi="Cambria Math"/>
            <w:kern w:val="0"/>
          </w:rPr>
          <m:t>=</m:t>
        </m:r>
        <m:sSub>
          <m:sSubPr>
            <m:ctrlPr>
              <w:rPr>
                <w:rFonts w:ascii="Cambria Math" w:hAnsi="Cambria Math"/>
                <w:i/>
                <w:kern w:val="0"/>
              </w:rPr>
            </m:ctrlPr>
          </m:sSubPr>
          <m:e>
            <m:sSub>
              <m:sSubPr>
                <m:ctrlPr>
                  <w:rPr>
                    <w:rFonts w:ascii="Cambria Math" w:hAnsi="Cambria Math"/>
                    <w:i/>
                    <w:kern w:val="0"/>
                  </w:rPr>
                </m:ctrlPr>
              </m:sSubPr>
              <m:e>
                <m:r>
                  <w:rPr>
                    <w:rFonts w:ascii="Cambria Math" w:hAnsi="Cambria Math"/>
                    <w:kern w:val="0"/>
                  </w:rPr>
                  <m:t xml:space="preserve"> K</m:t>
                </m:r>
              </m:e>
              <m:sub>
                <m:r>
                  <w:rPr>
                    <w:rFonts w:ascii="Cambria Math" w:hAnsi="Cambria Math"/>
                    <w:kern w:val="0"/>
                  </w:rPr>
                  <m:t>e</m:t>
                </m:r>
              </m:sub>
            </m:sSub>
            <m:r>
              <w:rPr>
                <w:rFonts w:ascii="Cambria Math" w:hAnsi="Cambria Math"/>
                <w:kern w:val="0"/>
              </w:rPr>
              <m:t xml:space="preserve"> K</m:t>
            </m:r>
          </m:e>
          <m:sub>
            <m:r>
              <w:rPr>
                <w:rFonts w:ascii="Cambria Math" w:hAnsi="Cambria Math"/>
                <w:kern w:val="0"/>
              </w:rPr>
              <m:t>r</m:t>
            </m:r>
          </m:sub>
        </m:sSub>
        <m:r>
          <w:rPr>
            <w:rFonts w:ascii="Cambria Math" w:hAnsi="Cambria Math"/>
            <w:kern w:val="0"/>
          </w:rPr>
          <m:t xml:space="preserve"> </m:t>
        </m:r>
        <m:d>
          <m:dPr>
            <m:ctrlPr>
              <w:rPr>
                <w:rFonts w:ascii="Cambria Math" w:hAnsi="Cambria Math"/>
                <w:i/>
                <w:kern w:val="0"/>
              </w:rPr>
            </m:ctrlPr>
          </m:dPr>
          <m:e>
            <m:f>
              <m:fPr>
                <m:type m:val="lin"/>
                <m:ctrlPr>
                  <w:rPr>
                    <w:rFonts w:ascii="Cambria Math" w:hAnsi="Cambria Math"/>
                    <w:i/>
                    <w:kern w:val="0"/>
                  </w:rPr>
                </m:ctrlPr>
              </m:fPr>
              <m:num>
                <m:r>
                  <w:rPr>
                    <w:rFonts w:ascii="Cambria Math" w:hAnsi="Cambria Math"/>
                    <w:kern w:val="0"/>
                  </w:rPr>
                  <m:t>E</m:t>
                </m:r>
              </m:num>
              <m:den>
                <m:sSub>
                  <m:sSubPr>
                    <m:ctrlPr>
                      <w:rPr>
                        <w:rFonts w:ascii="Cambria Math" w:hAnsi="Cambria Math"/>
                        <w:i/>
                        <w:kern w:val="0"/>
                      </w:rPr>
                    </m:ctrlPr>
                  </m:sSubPr>
                  <m:e>
                    <m:r>
                      <w:rPr>
                        <w:rFonts w:ascii="Cambria Math" w:hAnsi="Cambria Math"/>
                        <w:kern w:val="0"/>
                      </w:rPr>
                      <m:t>E</m:t>
                    </m:r>
                  </m:e>
                  <m:sub>
                    <m:r>
                      <w:rPr>
                        <w:rFonts w:ascii="Cambria Math" w:hAnsi="Cambria Math"/>
                        <w:kern w:val="0"/>
                      </w:rPr>
                      <m:t>a</m:t>
                    </m:r>
                  </m:sub>
                </m:sSub>
              </m:den>
            </m:f>
          </m:e>
        </m:d>
        <m:sSub>
          <m:sSubPr>
            <m:ctrlPr>
              <w:rPr>
                <w:rFonts w:ascii="Cambria Math" w:hAnsi="Cambria Math"/>
                <w:i/>
                <w:kern w:val="0"/>
              </w:rPr>
            </m:ctrlPr>
          </m:sSubPr>
          <m:e>
            <m:r>
              <w:rPr>
                <w:rFonts w:ascii="Cambria Math" w:hAnsi="Cambria Math"/>
                <w:kern w:val="0"/>
              </w:rPr>
              <m:t xml:space="preserve"> S</m:t>
            </m:r>
          </m:e>
          <m:sub>
            <m:r>
              <w:rPr>
                <w:rFonts w:ascii="Cambria Math" w:hAnsi="Cambria Math"/>
                <w:kern w:val="0"/>
              </w:rPr>
              <m:t>eq</m:t>
            </m:r>
          </m:sub>
        </m:sSub>
        <m:r>
          <w:rPr>
            <w:rFonts w:ascii="Cambria Math" w:hAnsi="Cambria Math"/>
            <w:kern w:val="0"/>
          </w:rPr>
          <m:t xml:space="preserve"> </m:t>
        </m:r>
      </m:oMath>
      <w:r w:rsidRPr="00BC31E0">
        <w:rPr>
          <w:rFonts w:hint="eastAsia"/>
          <w:kern w:val="0"/>
        </w:rPr>
        <w:t>をとる</w:t>
      </w:r>
      <w:r w:rsidRPr="00BC31E0">
        <w:rPr>
          <w:rFonts w:hint="eastAsia"/>
          <w:kern w:val="0"/>
        </w:rPr>
        <w:t>(</w:t>
      </w:r>
      <w:r w:rsidRPr="00BC31E0">
        <w:rPr>
          <w:rFonts w:ascii="ＭＳ ゴシック" w:eastAsia="ＭＳ ゴシック" w:hAnsi="ＭＳ ゴシック" w:hint="eastAsia"/>
          <w:b/>
          <w:bCs/>
          <w:kern w:val="0"/>
        </w:rPr>
        <w:t>図</w:t>
      </w:r>
      <w:r w:rsidRPr="00BC31E0">
        <w:rPr>
          <w:rFonts w:ascii="ＭＳ ゴシック" w:eastAsia="ＭＳ ゴシック" w:hAnsi="ＭＳ ゴシック"/>
          <w:b/>
          <w:bCs/>
          <w:kern w:val="0"/>
        </w:rPr>
        <w:t>6.3.2</w:t>
      </w:r>
      <w:r w:rsidRPr="00BC31E0">
        <w:rPr>
          <w:rFonts w:hint="eastAsia"/>
          <w:bCs/>
          <w:kern w:val="0"/>
        </w:rPr>
        <w:t>，</w:t>
      </w:r>
      <w:r w:rsidRPr="00BC31E0">
        <w:rPr>
          <w:rFonts w:ascii="ＭＳ ゴシック" w:eastAsia="ＭＳ ゴシック" w:hAnsi="ＭＳ ゴシック" w:hint="eastAsia"/>
          <w:b/>
          <w:bCs/>
          <w:kern w:val="0"/>
        </w:rPr>
        <w:t>図</w:t>
      </w:r>
      <w:r w:rsidRPr="00BC31E0">
        <w:rPr>
          <w:rFonts w:ascii="ＭＳ ゴシック" w:eastAsia="ＭＳ ゴシック" w:hAnsi="ＭＳ ゴシック"/>
          <w:b/>
          <w:bCs/>
          <w:kern w:val="0"/>
        </w:rPr>
        <w:t>6.3.6</w:t>
      </w:r>
      <w:r w:rsidRPr="00BC31E0">
        <w:rPr>
          <w:rFonts w:hint="eastAsia"/>
          <w:kern w:val="0"/>
        </w:rPr>
        <w:t>及び</w:t>
      </w:r>
      <w:r w:rsidRPr="00BC31E0">
        <w:rPr>
          <w:rFonts w:ascii="ＭＳ ゴシック" w:eastAsia="ＭＳ ゴシック" w:hAnsi="ＭＳ ゴシック" w:hint="eastAsia"/>
          <w:b/>
          <w:bCs/>
          <w:kern w:val="0"/>
        </w:rPr>
        <w:t>図</w:t>
      </w:r>
      <w:r w:rsidRPr="00BC31E0">
        <w:rPr>
          <w:rFonts w:ascii="ＭＳ ゴシック" w:eastAsia="ＭＳ ゴシック" w:hAnsi="ＭＳ ゴシック"/>
          <w:b/>
          <w:bCs/>
          <w:kern w:val="0"/>
        </w:rPr>
        <w:t>6.3.7</w:t>
      </w:r>
      <w:r w:rsidRPr="00BC31E0">
        <w:rPr>
          <w:rFonts w:hint="eastAsia"/>
          <w:bCs/>
          <w:kern w:val="0"/>
        </w:rPr>
        <w:t>以外は</w:t>
      </w:r>
      <m:oMath>
        <m:sSub>
          <m:sSubPr>
            <m:ctrlPr>
              <w:rPr>
                <w:rFonts w:ascii="Cambria Math" w:hAnsi="Cambria Math"/>
                <w:bCs/>
                <w:i/>
                <w:kern w:val="0"/>
              </w:rPr>
            </m:ctrlPr>
          </m:sSubPr>
          <m:e>
            <m:r>
              <w:rPr>
                <w:rFonts w:ascii="Cambria Math" w:hAnsi="Cambria Math"/>
                <w:kern w:val="0"/>
              </w:rPr>
              <m:t xml:space="preserve"> K</m:t>
            </m:r>
          </m:e>
          <m:sub>
            <m:r>
              <w:rPr>
                <w:rFonts w:ascii="Cambria Math" w:hAnsi="Cambria Math"/>
                <w:kern w:val="0"/>
              </w:rPr>
              <m:t>r</m:t>
            </m:r>
          </m:sub>
        </m:sSub>
        <m:r>
          <w:rPr>
            <w:rFonts w:ascii="Cambria Math" w:hAnsi="Cambria Math"/>
            <w:kern w:val="0"/>
          </w:rPr>
          <m:t xml:space="preserve">=1.0 </m:t>
        </m:r>
      </m:oMath>
      <w:r w:rsidRPr="00BC31E0">
        <w:rPr>
          <w:rFonts w:hint="eastAsia"/>
          <w:kern w:val="0"/>
        </w:rPr>
        <w:t>である</w:t>
      </w:r>
      <w:r w:rsidRPr="00BC31E0">
        <w:rPr>
          <w:rFonts w:hint="eastAsia"/>
          <w:kern w:val="0"/>
        </w:rPr>
        <w:t>)</w:t>
      </w:r>
      <w:r w:rsidRPr="00BC31E0">
        <w:rPr>
          <w:rFonts w:hint="eastAsia"/>
          <w:kern w:val="0"/>
        </w:rPr>
        <w:t>。</w:t>
      </w:r>
    </w:p>
    <w:p w14:paraId="33CB8D87" w14:textId="77777777" w:rsidR="00E20930" w:rsidRPr="00BC31E0" w:rsidRDefault="00E20930" w:rsidP="00736130">
      <w:pPr>
        <w:pStyle w:val="a4"/>
        <w:numPr>
          <w:ilvl w:val="0"/>
          <w:numId w:val="115"/>
        </w:numPr>
        <w:ind w:leftChars="0" w:left="1134" w:hanging="567"/>
        <w:rPr>
          <w:kern w:val="0"/>
        </w:rPr>
      </w:pPr>
      <w:r w:rsidRPr="00BC31E0">
        <w:rPr>
          <w:rFonts w:hint="eastAsia"/>
          <w:kern w:val="0"/>
        </w:rPr>
        <w:lastRenderedPageBreak/>
        <w:t>横軸上に対応する繰返し回数を読みとる。これが，設計許容繰返し回数</w:t>
      </w:r>
      <m:oMath>
        <m:r>
          <m:rPr>
            <m:sty m:val="p"/>
          </m:rPr>
          <w:rPr>
            <w:rFonts w:ascii="Cambria Math" w:hAnsi="Cambria Math"/>
            <w:kern w:val="0"/>
          </w:rPr>
          <m:t xml:space="preserve"> </m:t>
        </m:r>
        <m:sSub>
          <m:sSubPr>
            <m:ctrlPr>
              <w:rPr>
                <w:rFonts w:ascii="Cambria Math" w:hAnsi="Cambria Math"/>
                <w:i/>
                <w:kern w:val="0"/>
              </w:rPr>
            </m:ctrlPr>
          </m:sSubPr>
          <m:e>
            <m:r>
              <w:rPr>
                <w:rFonts w:ascii="Cambria Math" w:hAnsi="Cambria Math"/>
                <w:kern w:val="0"/>
              </w:rPr>
              <m:t>N</m:t>
            </m:r>
          </m:e>
          <m:sub>
            <m:r>
              <w:rPr>
                <w:rFonts w:ascii="Cambria Math" w:hAnsi="Cambria Math"/>
                <w:kern w:val="0"/>
              </w:rPr>
              <m:t xml:space="preserve">f </m:t>
            </m:r>
          </m:sub>
        </m:sSub>
      </m:oMath>
      <w:r w:rsidRPr="00BC31E0">
        <w:rPr>
          <w:rFonts w:hint="eastAsia"/>
          <w:kern w:val="0"/>
        </w:rPr>
        <w:t>である。</w:t>
      </w:r>
    </w:p>
    <w:p w14:paraId="2301359B" w14:textId="77777777" w:rsidR="00E20930" w:rsidRPr="00BC31E0" w:rsidRDefault="00E20930" w:rsidP="00B80AA2">
      <w:pPr>
        <w:autoSpaceDE w:val="0"/>
        <w:autoSpaceDN w:val="0"/>
        <w:adjustRightInd w:val="0"/>
        <w:ind w:left="1871" w:hanging="737"/>
        <w:rPr>
          <w:rFonts w:ascii="ＭＳ 明朝"/>
          <w:kern w:val="0"/>
          <w:sz w:val="20"/>
        </w:rPr>
      </w:pPr>
      <w:r w:rsidRPr="00BC31E0">
        <w:rPr>
          <w:rFonts w:ascii="ＭＳ ゴシック" w:eastAsia="ＭＳ ゴシック" w:hAnsi="ＭＳ ゴシック" w:hint="eastAsia"/>
          <w:b/>
          <w:bCs/>
          <w:kern w:val="0"/>
        </w:rPr>
        <w:t>注記</w:t>
      </w:r>
      <w:r w:rsidRPr="00BC31E0">
        <w:rPr>
          <w:rFonts w:ascii="ＭＳ ゴシック" w:eastAsia="ＭＳ ゴシック" w:hAnsi="ＭＳ ゴシック"/>
          <w:b/>
          <w:bCs/>
          <w:kern w:val="0"/>
        </w:rPr>
        <w:t>1</w:t>
      </w:r>
      <w:r w:rsidRPr="00BC31E0">
        <w:rPr>
          <w:rFonts w:ascii="ＭＳ 明朝" w:hAnsi="Times New Roman" w:hint="eastAsia"/>
          <w:kern w:val="0"/>
        </w:rPr>
        <w:t xml:space="preserve">　</w:t>
      </w:r>
      <m:oMath>
        <m:sSub>
          <m:sSubPr>
            <m:ctrlPr>
              <w:rPr>
                <w:rFonts w:ascii="Cambria Math" w:hAnsi="Cambria Math"/>
                <w:i/>
                <w:kern w:val="0"/>
              </w:rPr>
            </m:ctrlPr>
          </m:sSubPr>
          <m:e>
            <m:r>
              <w:rPr>
                <w:rFonts w:ascii="Cambria Math" w:hAnsi="Cambria Math"/>
                <w:kern w:val="0"/>
              </w:rPr>
              <m:t>S</m:t>
            </m:r>
          </m:e>
          <m:sub>
            <m:r>
              <w:rPr>
                <w:rFonts w:ascii="Cambria Math" w:hAnsi="Cambria Math"/>
                <w:kern w:val="0"/>
              </w:rPr>
              <m:t>a</m:t>
            </m:r>
          </m:sub>
        </m:sSub>
        <m:r>
          <w:rPr>
            <w:rFonts w:ascii="Cambria Math" w:hAnsi="Cambria Math"/>
            <w:kern w:val="0"/>
          </w:rPr>
          <m:t xml:space="preserve"> </m:t>
        </m:r>
      </m:oMath>
      <w:r w:rsidRPr="00BC31E0">
        <w:rPr>
          <w:rFonts w:ascii="ＭＳ 明朝" w:hAnsi="Times New Roman" w:hint="eastAsia"/>
          <w:kern w:val="0"/>
        </w:rPr>
        <w:t>が</w:t>
      </w:r>
      <w:r w:rsidRPr="00BC31E0">
        <w:rPr>
          <w:rFonts w:ascii="ＭＳ ゴシック" w:eastAsia="ＭＳ ゴシック" w:hAnsi="ＭＳ ゴシック"/>
          <w:b/>
          <w:bCs/>
          <w:kern w:val="0"/>
        </w:rPr>
        <w:t>6.3.6</w:t>
      </w:r>
      <w:r w:rsidRPr="00BC31E0">
        <w:rPr>
          <w:rFonts w:ascii="ＭＳ 明朝" w:hAnsi="Times New Roman" w:hint="eastAsia"/>
          <w:kern w:val="0"/>
        </w:rPr>
        <w:t>の</w:t>
      </w:r>
      <m:oMath>
        <m:sSup>
          <m:sSupPr>
            <m:ctrlPr>
              <w:rPr>
                <w:rFonts w:ascii="Cambria Math" w:hAnsi="Cambria Math"/>
                <w:kern w:val="0"/>
                <w:vertAlign w:val="superscript"/>
              </w:rPr>
            </m:ctrlPr>
          </m:sSupPr>
          <m:e>
            <m:r>
              <m:rPr>
                <m:sty m:val="p"/>
              </m:rPr>
              <w:rPr>
                <w:rFonts w:ascii="Cambria Math" w:hAnsi="Cambria Math"/>
                <w:kern w:val="0"/>
                <w:vertAlign w:val="superscript"/>
              </w:rPr>
              <m:t>10</m:t>
            </m:r>
          </m:e>
          <m:sup>
            <m:r>
              <m:rPr>
                <m:sty m:val="p"/>
              </m:rPr>
              <w:rPr>
                <w:rFonts w:ascii="Cambria Math" w:hAnsi="Cambria Math"/>
                <w:kern w:val="0"/>
                <w:vertAlign w:val="superscript"/>
              </w:rPr>
              <m:t>8</m:t>
            </m:r>
          </m:sup>
        </m:sSup>
        <m:r>
          <m:rPr>
            <m:sty m:val="p"/>
          </m:rPr>
          <w:rPr>
            <w:rFonts w:ascii="Cambria Math" w:hAnsi="Cambria Math" w:hint="eastAsia"/>
            <w:kern w:val="0"/>
            <w:vertAlign w:val="superscript"/>
          </w:rPr>
          <m:t xml:space="preserve"> </m:t>
        </m:r>
      </m:oMath>
      <w:r w:rsidRPr="00BC31E0">
        <w:rPr>
          <w:rFonts w:ascii="ＭＳ 明朝" w:hAnsi="Times New Roman" w:hint="eastAsia"/>
          <w:kern w:val="0"/>
        </w:rPr>
        <w:t>回に対する許容応力振幅の</w:t>
      </w:r>
      <m:oMath>
        <m:r>
          <m:rPr>
            <m:sty m:val="p"/>
          </m:rPr>
          <w:rPr>
            <w:rFonts w:ascii="Cambria Math" w:hAnsi="Cambria Math"/>
            <w:kern w:val="0"/>
          </w:rPr>
          <m:t>1</m:t>
        </m:r>
        <m:r>
          <m:rPr>
            <m:sty m:val="p"/>
          </m:rPr>
          <w:rPr>
            <w:rFonts w:ascii="Cambria Math" w:eastAsiaTheme="minorEastAsia" w:hAnsi="Cambria Math"/>
            <w:kern w:val="0"/>
          </w:rPr>
          <m:t>/</m:t>
        </m:r>
        <m:r>
          <m:rPr>
            <m:sty m:val="p"/>
          </m:rPr>
          <w:rPr>
            <w:rFonts w:ascii="Cambria Math" w:hAnsi="Cambria Math"/>
            <w:kern w:val="0"/>
          </w:rPr>
          <m:t xml:space="preserve">2 </m:t>
        </m:r>
      </m:oMath>
      <w:r w:rsidRPr="00BC31E0">
        <w:rPr>
          <w:rFonts w:ascii="ＭＳ 明朝" w:hAnsi="Times New Roman" w:hint="eastAsia"/>
          <w:kern w:val="0"/>
        </w:rPr>
        <w:t>以下の場合には，許容繰返し回数は無限大であるとしてよい。</w:t>
      </w:r>
    </w:p>
    <w:p w14:paraId="007252AE" w14:textId="77777777" w:rsidR="00E20930" w:rsidRPr="00BC31E0" w:rsidRDefault="00E20930" w:rsidP="00E20930">
      <w:pPr>
        <w:autoSpaceDE w:val="0"/>
        <w:autoSpaceDN w:val="0"/>
        <w:adjustRightInd w:val="0"/>
        <w:ind w:left="1871" w:hanging="737"/>
        <w:rPr>
          <w:rFonts w:ascii="ＭＳ 明朝" w:hAnsi="Times New Roman"/>
          <w:kern w:val="0"/>
        </w:rPr>
      </w:pPr>
      <w:r w:rsidRPr="00BC31E0">
        <w:rPr>
          <w:rFonts w:ascii="ＭＳ ゴシック" w:eastAsia="ＭＳ ゴシック" w:hAnsi="ＭＳ ゴシック" w:hint="eastAsia"/>
          <w:b/>
          <w:bCs/>
          <w:kern w:val="0"/>
        </w:rPr>
        <w:t>注記</w:t>
      </w:r>
      <w:r w:rsidRPr="00BC31E0">
        <w:rPr>
          <w:rFonts w:ascii="ＭＳ ゴシック" w:eastAsia="ＭＳ ゴシック" w:hAnsi="ＭＳ ゴシック"/>
          <w:b/>
          <w:bCs/>
          <w:kern w:val="0"/>
        </w:rPr>
        <w:t>2</w:t>
      </w:r>
      <w:r w:rsidRPr="00BC31E0">
        <w:rPr>
          <w:rFonts w:ascii="ＭＳ 明朝" w:hAnsi="Times New Roman" w:hint="eastAsia"/>
          <w:kern w:val="0"/>
        </w:rPr>
        <w:t xml:space="preserve">　</w:t>
      </w:r>
      <w:r w:rsidRPr="00BC31E0">
        <w:rPr>
          <w:rFonts w:ascii="ＭＳ 明朝" w:hAnsi="ＭＳ 明朝" w:hint="eastAsia"/>
          <w:b/>
          <w:bCs/>
          <w:kern w:val="0"/>
        </w:rPr>
        <w:t>図</w:t>
      </w:r>
      <w:r w:rsidRPr="00BC31E0">
        <w:rPr>
          <w:rFonts w:ascii="ＭＳ 明朝" w:hAnsi="ＭＳ 明朝"/>
          <w:b/>
          <w:bCs/>
          <w:kern w:val="0"/>
        </w:rPr>
        <w:t>6.3.7</w:t>
      </w:r>
      <w:r w:rsidRPr="00BC31E0">
        <w:rPr>
          <w:rFonts w:ascii="ＭＳ 明朝" w:hAnsi="Times New Roman" w:hint="eastAsia"/>
          <w:kern w:val="0"/>
        </w:rPr>
        <w:t>においては，</w:t>
      </w:r>
      <m:oMath>
        <m:sSub>
          <m:sSubPr>
            <m:ctrlPr>
              <w:rPr>
                <w:rFonts w:ascii="Cambria Math" w:hAnsi="Cambria Math"/>
                <w:i/>
                <w:kern w:val="0"/>
              </w:rPr>
            </m:ctrlPr>
          </m:sSubPr>
          <m:e>
            <m:r>
              <w:rPr>
                <w:rFonts w:ascii="Cambria Math" w:hAnsi="Cambria Math"/>
                <w:kern w:val="0"/>
              </w:rPr>
              <m:t>S</m:t>
            </m:r>
          </m:e>
          <m:sub>
            <m:r>
              <w:rPr>
                <w:rFonts w:ascii="Cambria Math" w:hAnsi="Cambria Math"/>
                <w:kern w:val="0"/>
              </w:rPr>
              <m:t>a</m:t>
            </m:r>
          </m:sub>
        </m:sSub>
        <m:r>
          <w:rPr>
            <w:rFonts w:ascii="Cambria Math" w:hAnsi="Cambria Math"/>
            <w:kern w:val="0"/>
          </w:rPr>
          <m:t xml:space="preserve"> </m:t>
        </m:r>
      </m:oMath>
      <w:r w:rsidRPr="00BC31E0">
        <w:rPr>
          <w:rFonts w:ascii="ＭＳ 明朝" w:hAnsi="Times New Roman" w:hint="eastAsia"/>
          <w:kern w:val="0"/>
        </w:rPr>
        <w:t>が設計疲労曲線の</w:t>
      </w:r>
      <m:oMath>
        <m:sSup>
          <m:sSupPr>
            <m:ctrlPr>
              <w:rPr>
                <w:rFonts w:ascii="Cambria Math" w:hAnsi="Cambria Math"/>
                <w:kern w:val="0"/>
                <w:vertAlign w:val="superscript"/>
              </w:rPr>
            </m:ctrlPr>
          </m:sSupPr>
          <m:e>
            <m:r>
              <m:rPr>
                <m:sty m:val="p"/>
              </m:rPr>
              <w:rPr>
                <w:rFonts w:ascii="Cambria Math" w:hAnsi="Cambria Math"/>
                <w:kern w:val="0"/>
                <w:vertAlign w:val="superscript"/>
              </w:rPr>
              <m:t>10</m:t>
            </m:r>
          </m:e>
          <m:sup>
            <m:r>
              <m:rPr>
                <m:sty m:val="p"/>
              </m:rPr>
              <w:rPr>
                <w:rFonts w:ascii="Cambria Math" w:hAnsi="Cambria Math"/>
                <w:kern w:val="0"/>
                <w:vertAlign w:val="superscript"/>
              </w:rPr>
              <m:t>6</m:t>
            </m:r>
          </m:sup>
        </m:sSup>
        <m:r>
          <m:rPr>
            <m:sty m:val="p"/>
          </m:rPr>
          <w:rPr>
            <w:rFonts w:ascii="Cambria Math" w:hAnsi="Cambria Math" w:hint="eastAsia"/>
            <w:kern w:val="0"/>
            <w:vertAlign w:val="superscript"/>
          </w:rPr>
          <m:t xml:space="preserve"> </m:t>
        </m:r>
      </m:oMath>
      <w:r w:rsidRPr="00BC31E0">
        <w:rPr>
          <w:rFonts w:ascii="ＭＳ 明朝" w:hAnsi="Times New Roman" w:hint="eastAsia"/>
          <w:kern w:val="0"/>
        </w:rPr>
        <w:t>回に対する許容応力振幅値を下回る場合でも，対応する許容繰返し回数は</w:t>
      </w:r>
      <m:oMath>
        <m:sSup>
          <m:sSupPr>
            <m:ctrlPr>
              <w:rPr>
                <w:rFonts w:ascii="Cambria Math" w:hAnsi="Cambria Math"/>
                <w:kern w:val="0"/>
                <w:vertAlign w:val="superscript"/>
              </w:rPr>
            </m:ctrlPr>
          </m:sSupPr>
          <m:e>
            <m:r>
              <m:rPr>
                <m:sty m:val="p"/>
              </m:rPr>
              <w:rPr>
                <w:rFonts w:ascii="Cambria Math" w:hAnsi="Cambria Math"/>
                <w:kern w:val="0"/>
                <w:vertAlign w:val="superscript"/>
              </w:rPr>
              <m:t>10</m:t>
            </m:r>
          </m:e>
          <m:sup>
            <m:r>
              <m:rPr>
                <m:sty m:val="p"/>
              </m:rPr>
              <w:rPr>
                <w:rFonts w:ascii="Cambria Math" w:hAnsi="Cambria Math"/>
                <w:kern w:val="0"/>
                <w:vertAlign w:val="superscript"/>
              </w:rPr>
              <m:t>6</m:t>
            </m:r>
          </m:sup>
        </m:sSup>
        <m:r>
          <m:rPr>
            <m:sty m:val="p"/>
          </m:rPr>
          <w:rPr>
            <w:rFonts w:ascii="Cambria Math" w:hAnsi="Cambria Math" w:hint="eastAsia"/>
            <w:kern w:val="0"/>
            <w:vertAlign w:val="superscript"/>
          </w:rPr>
          <m:t xml:space="preserve"> </m:t>
        </m:r>
      </m:oMath>
      <w:r w:rsidRPr="00BC31E0">
        <w:rPr>
          <w:rFonts w:ascii="ＭＳ 明朝" w:hAnsi="Times New Roman" w:hint="eastAsia"/>
          <w:kern w:val="0"/>
        </w:rPr>
        <w:t>回とする。</w:t>
      </w:r>
    </w:p>
    <w:p w14:paraId="3CDA88BF" w14:textId="77777777" w:rsidR="00E20930" w:rsidRPr="00BC31E0" w:rsidRDefault="00E20930" w:rsidP="00E20930">
      <w:pPr>
        <w:autoSpaceDE w:val="0"/>
        <w:autoSpaceDN w:val="0"/>
        <w:adjustRightInd w:val="0"/>
        <w:ind w:left="1871" w:hanging="737"/>
        <w:rPr>
          <w:rFonts w:ascii="ＭＳ 明朝" w:hAnsi="Times New Roman"/>
          <w:kern w:val="0"/>
        </w:rPr>
      </w:pPr>
      <w:r w:rsidRPr="00BC31E0">
        <w:rPr>
          <w:rFonts w:ascii="ＭＳ ゴシック" w:eastAsia="ＭＳ ゴシック" w:hAnsi="ＭＳ ゴシック" w:hint="eastAsia"/>
          <w:b/>
          <w:bCs/>
          <w:kern w:val="0"/>
        </w:rPr>
        <w:t>注記3</w:t>
      </w:r>
      <w:r w:rsidRPr="00BC31E0">
        <w:rPr>
          <w:rFonts w:ascii="ＭＳ 明朝" w:hAnsi="Times New Roman" w:hint="eastAsia"/>
          <w:kern w:val="0"/>
        </w:rPr>
        <w:t xml:space="preserve">　</w:t>
      </w:r>
      <w:r w:rsidRPr="00BC31E0">
        <w:rPr>
          <w:rFonts w:ascii="ＭＳ 明朝" w:hAnsi="ＭＳ 明朝" w:hint="eastAsia"/>
        </w:rPr>
        <w:t>冷間加工されたオーステナイトステンレス鋼の場合</w:t>
      </w:r>
      <w:r w:rsidRPr="00BC31E0">
        <w:rPr>
          <w:rFonts w:ascii="ＭＳ 明朝" w:hAnsi="ＭＳ 明朝" w:hint="eastAsia"/>
          <w:kern w:val="0"/>
        </w:rPr>
        <w:t>，</w:t>
      </w:r>
      <m:oMath>
        <m:sSub>
          <m:sSubPr>
            <m:ctrlPr>
              <w:rPr>
                <w:rFonts w:ascii="Cambria Math" w:hAnsi="Cambria Math"/>
                <w:i/>
                <w:kern w:val="0"/>
              </w:rPr>
            </m:ctrlPr>
          </m:sSubPr>
          <m:e>
            <m:r>
              <w:rPr>
                <w:rFonts w:ascii="Cambria Math" w:hAnsi="Cambria Math"/>
                <w:kern w:val="0"/>
              </w:rPr>
              <m:t>S</m:t>
            </m:r>
          </m:e>
          <m:sub>
            <m:r>
              <w:rPr>
                <w:rFonts w:ascii="Cambria Math" w:hAnsi="Cambria Math"/>
                <w:kern w:val="0"/>
              </w:rPr>
              <m:t>a</m:t>
            </m:r>
          </m:sub>
        </m:sSub>
        <m:r>
          <w:rPr>
            <w:rFonts w:ascii="Cambria Math" w:hAnsi="Cambria Math"/>
            <w:kern w:val="0"/>
          </w:rPr>
          <m:t xml:space="preserve"> </m:t>
        </m:r>
      </m:oMath>
      <w:r w:rsidRPr="00BC31E0">
        <w:rPr>
          <w:rFonts w:ascii="ＭＳ 明朝" w:hAnsi="ＭＳ 明朝" w:hint="eastAsia"/>
          <w:kern w:val="0"/>
        </w:rPr>
        <w:t>が</w:t>
      </w:r>
      <w:r w:rsidRPr="00BC31E0">
        <w:rPr>
          <w:rFonts w:ascii="ＭＳ ゴシック" w:eastAsia="ＭＳ ゴシック" w:hAnsi="ＭＳ ゴシック" w:hint="eastAsia"/>
          <w:b/>
          <w:bCs/>
          <w:kern w:val="0"/>
        </w:rPr>
        <w:t>図</w:t>
      </w:r>
      <w:r w:rsidRPr="00BC31E0">
        <w:rPr>
          <w:rFonts w:ascii="ＭＳ ゴシック" w:eastAsia="ＭＳ ゴシック" w:hAnsi="ＭＳ ゴシック"/>
          <w:b/>
          <w:bCs/>
          <w:kern w:val="0"/>
        </w:rPr>
        <w:t>6.3.</w:t>
      </w:r>
      <w:r w:rsidRPr="00BC31E0">
        <w:rPr>
          <w:rFonts w:ascii="ＭＳ ゴシック" w:eastAsia="ＭＳ ゴシック" w:hAnsi="ＭＳ ゴシック" w:hint="eastAsia"/>
          <w:b/>
          <w:bCs/>
          <w:kern w:val="0"/>
        </w:rPr>
        <w:t>5</w:t>
      </w:r>
      <w:r w:rsidRPr="00BC31E0">
        <w:rPr>
          <w:rFonts w:asciiTheme="minorEastAsia" w:eastAsiaTheme="minorEastAsia" w:hAnsiTheme="minorEastAsia" w:hint="eastAsia"/>
          <w:kern w:val="0"/>
        </w:rPr>
        <w:t>の</w:t>
      </w:r>
      <m:oMath>
        <m:sSup>
          <m:sSupPr>
            <m:ctrlPr>
              <w:rPr>
                <w:rFonts w:ascii="Cambria Math" w:eastAsiaTheme="minorEastAsia" w:hAnsi="Cambria Math"/>
                <w:kern w:val="0"/>
                <w:vertAlign w:val="superscript"/>
              </w:rPr>
            </m:ctrlPr>
          </m:sSupPr>
          <m:e>
            <m:r>
              <m:rPr>
                <m:sty m:val="p"/>
              </m:rPr>
              <w:rPr>
                <w:rFonts w:ascii="Cambria Math" w:eastAsiaTheme="minorEastAsia" w:hAnsi="Cambria Math"/>
                <w:kern w:val="0"/>
                <w:vertAlign w:val="superscript"/>
              </w:rPr>
              <m:t>10</m:t>
            </m:r>
          </m:e>
          <m:sup>
            <m:r>
              <m:rPr>
                <m:sty m:val="p"/>
              </m:rPr>
              <w:rPr>
                <w:rFonts w:ascii="Cambria Math" w:eastAsiaTheme="minorEastAsia" w:hAnsi="Cambria Math"/>
                <w:kern w:val="0"/>
                <w:vertAlign w:val="superscript"/>
              </w:rPr>
              <m:t>11</m:t>
            </m:r>
          </m:sup>
        </m:sSup>
        <m:r>
          <m:rPr>
            <m:sty m:val="p"/>
          </m:rPr>
          <w:rPr>
            <w:rFonts w:ascii="Cambria Math" w:eastAsiaTheme="minorEastAsia" w:hAnsi="Cambria Math" w:hint="eastAsia"/>
            <w:kern w:val="0"/>
            <w:vertAlign w:val="superscript"/>
          </w:rPr>
          <m:t xml:space="preserve"> </m:t>
        </m:r>
      </m:oMath>
      <w:r w:rsidRPr="00BC31E0">
        <w:rPr>
          <w:rFonts w:asciiTheme="minorEastAsia" w:eastAsiaTheme="minorEastAsia" w:hAnsiTheme="minorEastAsia" w:hint="eastAsia"/>
          <w:kern w:val="0"/>
        </w:rPr>
        <w:t>回に対する許容応力振幅値に冷間加工後の引張強さに対する冷間加工前の引張強さの比</w:t>
      </w:r>
      <w:r w:rsidR="00C55403" w:rsidRPr="00BC31E0">
        <w:rPr>
          <w:rFonts w:asciiTheme="minorEastAsia" w:eastAsiaTheme="minorEastAsia" w:hAnsiTheme="minorEastAsia" w:hint="eastAsia"/>
          <w:kern w:val="0"/>
        </w:rPr>
        <w:t xml:space="preserve"> (＝</w:t>
      </w:r>
      <w:r w:rsidRPr="00BC31E0">
        <w:rPr>
          <w:rFonts w:asciiTheme="minorEastAsia" w:eastAsiaTheme="minorEastAsia" w:hAnsiTheme="minorEastAsia" w:hint="eastAsia"/>
          <w:kern w:val="0"/>
        </w:rPr>
        <w:t>冷間加工後の引張強さ</w:t>
      </w:r>
      <w:r w:rsidR="00C55403" w:rsidRPr="00BC31E0">
        <w:rPr>
          <w:rFonts w:asciiTheme="minorEastAsia" w:eastAsiaTheme="minorEastAsia" w:hAnsiTheme="minorEastAsia" w:hint="eastAsia"/>
          <w:kern w:val="0"/>
        </w:rPr>
        <w:t>／</w:t>
      </w:r>
      <w:r w:rsidRPr="00BC31E0">
        <w:rPr>
          <w:rFonts w:asciiTheme="minorEastAsia" w:eastAsiaTheme="minorEastAsia" w:hAnsiTheme="minorEastAsia" w:hint="eastAsia"/>
          <w:kern w:val="0"/>
        </w:rPr>
        <w:t>冷間加工前の引張強さ) を乗じた値の</w:t>
      </w:r>
      <m:oMath>
        <m:r>
          <m:rPr>
            <m:sty m:val="p"/>
          </m:rPr>
          <w:rPr>
            <w:rFonts w:ascii="Cambria Math" w:eastAsiaTheme="minorEastAsia" w:hAnsi="Cambria Math"/>
            <w:kern w:val="0"/>
          </w:rPr>
          <m:t xml:space="preserve">1/2 </m:t>
        </m:r>
      </m:oMath>
      <w:r w:rsidRPr="00BC31E0">
        <w:rPr>
          <w:rFonts w:asciiTheme="minorEastAsia" w:eastAsiaTheme="minorEastAsia" w:hAnsiTheme="minorEastAsia" w:hint="eastAsia"/>
          <w:kern w:val="0"/>
        </w:rPr>
        <w:t>以下の場合には，許容繰返し回数は無限大としてよい。</w:t>
      </w:r>
    </w:p>
    <w:p w14:paraId="26BCCF52" w14:textId="77777777" w:rsidR="00E20930" w:rsidRPr="00BC31E0" w:rsidRDefault="00E20930" w:rsidP="00B80AA2">
      <w:pPr>
        <w:autoSpaceDE w:val="0"/>
        <w:autoSpaceDN w:val="0"/>
        <w:adjustRightInd w:val="0"/>
        <w:ind w:left="1871" w:hanging="737"/>
        <w:rPr>
          <w:rFonts w:asciiTheme="minorEastAsia" w:eastAsiaTheme="minorEastAsia" w:hAnsiTheme="minorEastAsia"/>
          <w:kern w:val="0"/>
        </w:rPr>
      </w:pPr>
      <w:r w:rsidRPr="00BC31E0">
        <w:rPr>
          <w:rFonts w:ascii="ＭＳ ゴシック" w:eastAsia="ＭＳ ゴシック" w:hAnsi="ＭＳ ゴシック" w:hint="eastAsia"/>
          <w:b/>
          <w:bCs/>
          <w:kern w:val="0"/>
        </w:rPr>
        <w:t>注記4</w:t>
      </w:r>
      <w:r w:rsidRPr="00BC31E0">
        <w:rPr>
          <w:rFonts w:ascii="ＭＳ 明朝" w:hAnsi="Times New Roman" w:hint="eastAsia"/>
          <w:kern w:val="0"/>
        </w:rPr>
        <w:t xml:space="preserve">　</w:t>
      </w:r>
      <w:r w:rsidRPr="00BC31E0">
        <w:rPr>
          <w:rFonts w:asciiTheme="minorEastAsia" w:eastAsiaTheme="minorEastAsia" w:hAnsiTheme="minorEastAsia" w:hint="eastAsia"/>
        </w:rPr>
        <w:t>アルミニウム合金の場合</w:t>
      </w:r>
      <w:r w:rsidRPr="00BC31E0">
        <w:rPr>
          <w:rFonts w:asciiTheme="minorEastAsia" w:eastAsiaTheme="minorEastAsia" w:hAnsiTheme="minorEastAsia" w:hint="eastAsia"/>
          <w:kern w:val="0"/>
        </w:rPr>
        <w:t>，</w:t>
      </w:r>
      <m:oMath>
        <m:sSub>
          <m:sSubPr>
            <m:ctrlPr>
              <w:rPr>
                <w:rFonts w:ascii="Cambria Math" w:eastAsiaTheme="minorEastAsia" w:hAnsi="Cambria Math"/>
                <w:i/>
                <w:kern w:val="0"/>
              </w:rPr>
            </m:ctrlPr>
          </m:sSubPr>
          <m:e>
            <m:r>
              <w:rPr>
                <w:rFonts w:ascii="Cambria Math" w:eastAsiaTheme="minorEastAsia" w:hAnsi="Cambria Math"/>
                <w:kern w:val="0"/>
              </w:rPr>
              <m:t>S</m:t>
            </m:r>
          </m:e>
          <m:sub>
            <m:r>
              <w:rPr>
                <w:rFonts w:ascii="Cambria Math" w:eastAsiaTheme="minorEastAsia" w:hAnsi="Cambria Math"/>
                <w:kern w:val="0"/>
              </w:rPr>
              <m:t>a</m:t>
            </m:r>
          </m:sub>
        </m:sSub>
        <m:r>
          <w:rPr>
            <w:rFonts w:ascii="Cambria Math" w:eastAsiaTheme="minorEastAsia" w:hAnsi="Cambria Math"/>
            <w:kern w:val="0"/>
          </w:rPr>
          <m:t xml:space="preserve"> </m:t>
        </m:r>
      </m:oMath>
      <w:r w:rsidRPr="00BC31E0">
        <w:rPr>
          <w:rFonts w:asciiTheme="minorEastAsia" w:eastAsiaTheme="minorEastAsia" w:hAnsiTheme="minorEastAsia" w:hint="eastAsia"/>
          <w:kern w:val="0"/>
        </w:rPr>
        <w:t>が</w:t>
      </w:r>
      <w:r w:rsidRPr="00BC31E0">
        <w:rPr>
          <w:rFonts w:ascii="ＭＳ ゴシック" w:eastAsia="ＭＳ ゴシック" w:hAnsi="ＭＳ ゴシック" w:hint="eastAsia"/>
          <w:b/>
          <w:bCs/>
          <w:kern w:val="0"/>
        </w:rPr>
        <w:t>図</w:t>
      </w:r>
      <w:r w:rsidRPr="00BC31E0">
        <w:rPr>
          <w:rFonts w:ascii="ＭＳ ゴシック" w:eastAsia="ＭＳ ゴシック" w:hAnsi="ＭＳ ゴシック"/>
          <w:b/>
          <w:bCs/>
          <w:kern w:val="0"/>
        </w:rPr>
        <w:t>6.3.</w:t>
      </w:r>
      <w:r w:rsidRPr="00BC31E0">
        <w:rPr>
          <w:rFonts w:ascii="ＭＳ ゴシック" w:eastAsia="ＭＳ ゴシック" w:hAnsi="ＭＳ ゴシック" w:hint="eastAsia"/>
          <w:b/>
          <w:bCs/>
          <w:kern w:val="0"/>
        </w:rPr>
        <w:t>9</w:t>
      </w:r>
      <w:r w:rsidRPr="00BC31E0">
        <w:rPr>
          <w:rFonts w:asciiTheme="minorEastAsia" w:eastAsiaTheme="minorEastAsia" w:hAnsiTheme="minorEastAsia" w:hint="eastAsia"/>
          <w:kern w:val="0"/>
        </w:rPr>
        <w:t>の</w:t>
      </w:r>
      <m:oMath>
        <m:sSup>
          <m:sSupPr>
            <m:ctrlPr>
              <w:rPr>
                <w:rFonts w:ascii="Cambria Math" w:eastAsiaTheme="minorEastAsia" w:hAnsi="Cambria Math"/>
                <w:kern w:val="0"/>
                <w:vertAlign w:val="superscript"/>
              </w:rPr>
            </m:ctrlPr>
          </m:sSupPr>
          <m:e>
            <m:r>
              <m:rPr>
                <m:sty m:val="p"/>
              </m:rPr>
              <w:rPr>
                <w:rFonts w:ascii="Cambria Math" w:eastAsiaTheme="minorEastAsia" w:hAnsi="Cambria Math"/>
                <w:kern w:val="0"/>
                <w:vertAlign w:val="superscript"/>
              </w:rPr>
              <m:t>10</m:t>
            </m:r>
          </m:e>
          <m:sup>
            <m:r>
              <m:rPr>
                <m:sty m:val="p"/>
              </m:rPr>
              <w:rPr>
                <w:rFonts w:ascii="Cambria Math" w:eastAsiaTheme="minorEastAsia" w:hAnsi="Cambria Math"/>
                <w:kern w:val="0"/>
                <w:vertAlign w:val="superscript"/>
              </w:rPr>
              <m:t>9</m:t>
            </m:r>
          </m:sup>
        </m:sSup>
        <m:r>
          <m:rPr>
            <m:sty m:val="p"/>
          </m:rPr>
          <w:rPr>
            <w:rFonts w:ascii="Cambria Math" w:eastAsiaTheme="minorEastAsia" w:hAnsi="Cambria Math" w:hint="eastAsia"/>
            <w:kern w:val="0"/>
            <w:vertAlign w:val="superscript"/>
          </w:rPr>
          <m:t xml:space="preserve"> </m:t>
        </m:r>
      </m:oMath>
      <w:r w:rsidRPr="00BC31E0">
        <w:rPr>
          <w:rFonts w:asciiTheme="minorEastAsia" w:eastAsiaTheme="minorEastAsia" w:hAnsiTheme="minorEastAsia" w:hint="eastAsia"/>
          <w:kern w:val="0"/>
        </w:rPr>
        <w:t>回に対する許容応力振幅値の</w:t>
      </w:r>
      <m:oMath>
        <m:r>
          <m:rPr>
            <m:sty m:val="p"/>
          </m:rPr>
          <w:rPr>
            <w:rFonts w:ascii="Cambria Math" w:eastAsiaTheme="minorEastAsia" w:hAnsi="Cambria Math"/>
            <w:kern w:val="0"/>
          </w:rPr>
          <m:t xml:space="preserve">1/2 </m:t>
        </m:r>
      </m:oMath>
      <w:r w:rsidRPr="00BC31E0">
        <w:rPr>
          <w:rFonts w:asciiTheme="minorEastAsia" w:eastAsiaTheme="minorEastAsia" w:hAnsiTheme="minorEastAsia" w:hint="eastAsia"/>
          <w:kern w:val="0"/>
        </w:rPr>
        <w:t>以下の場合には，許容繰返し回数は無限大としてよい。</w:t>
      </w:r>
    </w:p>
    <w:p w14:paraId="346A4A1E" w14:textId="77777777" w:rsidR="00E20930" w:rsidRPr="00BC31E0" w:rsidRDefault="00E20930" w:rsidP="00736130">
      <w:pPr>
        <w:pStyle w:val="a4"/>
        <w:numPr>
          <w:ilvl w:val="0"/>
          <w:numId w:val="112"/>
        </w:numPr>
        <w:ind w:leftChars="0" w:left="738" w:hanging="454"/>
      </w:pPr>
      <w:r w:rsidRPr="00BC31E0">
        <w:rPr>
          <w:rFonts w:ascii="ＭＳ ゴシック" w:eastAsia="ＭＳ ゴシック" w:hAnsi="ＭＳ ゴシック" w:hint="eastAsia"/>
          <w:b/>
          <w:kern w:val="0"/>
        </w:rPr>
        <w:t>累積</w:t>
      </w:r>
      <w:r w:rsidRPr="00BC31E0">
        <w:rPr>
          <w:rFonts w:ascii="ＭＳ ゴシック" w:eastAsia="ＭＳ ゴシック" w:hAnsi="ＭＳ ゴシック" w:hint="eastAsia"/>
          <w:b/>
        </w:rPr>
        <w:t>使用係数</w:t>
      </w:r>
      <w:r w:rsidRPr="00BC31E0">
        <w:rPr>
          <w:rFonts w:ascii="ＭＳ ゴシック" w:eastAsia="ＭＳ ゴシック" w:hAnsi="ＭＳ ゴシック"/>
        </w:rPr>
        <w:t xml:space="preserve"> </w:t>
      </w:r>
      <w:r w:rsidRPr="00BC31E0">
        <w:t xml:space="preserve"> </w:t>
      </w:r>
      <w:r w:rsidRPr="00BC31E0">
        <w:rPr>
          <w:rFonts w:asciiTheme="minorEastAsia" w:eastAsiaTheme="minorEastAsia" w:hAnsiTheme="minorEastAsia" w:hint="eastAsia"/>
        </w:rPr>
        <w:t>重要な変動応力を生じる応力サイクルが</w:t>
      </w:r>
      <w:r w:rsidRPr="00BC31E0">
        <w:rPr>
          <w:rFonts w:asciiTheme="minorHAnsi" w:eastAsiaTheme="minorEastAsia" w:hAnsiTheme="minorHAnsi"/>
        </w:rPr>
        <w:t>2</w:t>
      </w:r>
      <w:r w:rsidRPr="00BC31E0">
        <w:rPr>
          <w:rFonts w:asciiTheme="minorEastAsia" w:eastAsiaTheme="minorEastAsia" w:hAnsiTheme="minorEastAsia" w:hint="eastAsia"/>
        </w:rPr>
        <w:t>種類以上ある場合，</w:t>
      </w:r>
      <w:r w:rsidRPr="00BC31E0">
        <w:rPr>
          <w:rFonts w:asciiTheme="minorEastAsia" w:eastAsiaTheme="minorEastAsia" w:hAnsiTheme="minorEastAsia" w:hint="eastAsia"/>
          <w:kern w:val="0"/>
        </w:rPr>
        <w:t>相当応力</w:t>
      </w:r>
      <w:r w:rsidRPr="00BC31E0">
        <w:rPr>
          <w:rFonts w:asciiTheme="minorEastAsia" w:eastAsiaTheme="minorEastAsia" w:hAnsiTheme="minorEastAsia" w:hint="eastAsia"/>
        </w:rPr>
        <w:t>の振幅及び関連する平均応力は各応力サイクルに対して計算する。応力サイクルの累積的な影響は次により評価する。</w:t>
      </w:r>
    </w:p>
    <w:p w14:paraId="6CAA25C1" w14:textId="77777777" w:rsidR="00E20930" w:rsidRPr="00BC31E0" w:rsidRDefault="00E20930" w:rsidP="00736130">
      <w:pPr>
        <w:pStyle w:val="a4"/>
        <w:numPr>
          <w:ilvl w:val="0"/>
          <w:numId w:val="116"/>
        </w:numPr>
        <w:ind w:leftChars="0" w:left="1134" w:hanging="567"/>
        <w:rPr>
          <w:kern w:val="0"/>
        </w:rPr>
      </w:pPr>
      <w:r w:rsidRPr="00BC31E0">
        <w:rPr>
          <w:rFonts w:hint="eastAsia"/>
          <w:kern w:val="0"/>
        </w:rPr>
        <w:t>各応力サイクルに対応する設計寿命中の繰返し回数</w:t>
      </w:r>
      <w:r w:rsidRPr="00BC31E0">
        <w:rPr>
          <w:rFonts w:asciiTheme="minorEastAsia" w:eastAsiaTheme="minorEastAsia" w:hAnsiTheme="minorEastAsia" w:hint="eastAsia"/>
          <w:kern w:val="0"/>
        </w:rPr>
        <w:t>を</w:t>
      </w:r>
      <m:oMath>
        <m:sSub>
          <m:sSubPr>
            <m:ctrlPr>
              <w:rPr>
                <w:rFonts w:ascii="Cambria Math" w:eastAsiaTheme="minorEastAsia" w:hAnsi="Cambria Math"/>
                <w:i/>
                <w:kern w:val="0"/>
              </w:rPr>
            </m:ctrlPr>
          </m:sSubPr>
          <m:e>
            <m:r>
              <w:rPr>
                <w:rFonts w:ascii="Cambria Math" w:eastAsiaTheme="minorEastAsia" w:hAnsi="Cambria Math"/>
                <w:kern w:val="0"/>
              </w:rPr>
              <m:t>n</m:t>
            </m:r>
          </m:e>
          <m:sub>
            <m:r>
              <w:rPr>
                <w:rFonts w:ascii="Cambria Math" w:eastAsiaTheme="minorEastAsia" w:hAnsi="Cambria Math"/>
                <w:kern w:val="0"/>
              </w:rPr>
              <m:t>1</m:t>
            </m:r>
          </m:sub>
        </m:sSub>
      </m:oMath>
      <w:r w:rsidRPr="00BC31E0">
        <w:rPr>
          <w:rFonts w:asciiTheme="minorEastAsia" w:eastAsiaTheme="minorEastAsia" w:hAnsiTheme="minorEastAsia" w:hint="eastAsia"/>
          <w:iCs/>
          <w:kern w:val="0"/>
        </w:rPr>
        <w:t>，</w:t>
      </w:r>
      <m:oMath>
        <m:sSub>
          <m:sSubPr>
            <m:ctrlPr>
              <w:rPr>
                <w:rFonts w:ascii="Cambria Math" w:eastAsiaTheme="minorEastAsia" w:hAnsi="Cambria Math"/>
                <w:i/>
                <w:kern w:val="0"/>
              </w:rPr>
            </m:ctrlPr>
          </m:sSubPr>
          <m:e>
            <m:r>
              <w:rPr>
                <w:rFonts w:ascii="Cambria Math" w:eastAsiaTheme="minorEastAsia" w:hAnsi="Cambria Math"/>
                <w:kern w:val="0"/>
              </w:rPr>
              <m:t>n</m:t>
            </m:r>
          </m:e>
          <m:sub>
            <m:r>
              <w:rPr>
                <w:rFonts w:ascii="Cambria Math" w:eastAsiaTheme="minorEastAsia" w:hAnsi="Cambria Math"/>
                <w:kern w:val="0"/>
              </w:rPr>
              <m:t>2</m:t>
            </m:r>
          </m:sub>
        </m:sSub>
      </m:oMath>
      <w:r w:rsidRPr="00BC31E0">
        <w:rPr>
          <w:rFonts w:asciiTheme="minorEastAsia" w:eastAsiaTheme="minorEastAsia" w:hAnsiTheme="minorEastAsia" w:hint="eastAsia"/>
          <w:iCs/>
          <w:kern w:val="0"/>
        </w:rPr>
        <w:t>，</w:t>
      </w:r>
      <m:oMath>
        <m:sSub>
          <m:sSubPr>
            <m:ctrlPr>
              <w:rPr>
                <w:rFonts w:ascii="Cambria Math" w:eastAsiaTheme="minorEastAsia" w:hAnsi="Cambria Math"/>
                <w:i/>
                <w:kern w:val="0"/>
              </w:rPr>
            </m:ctrlPr>
          </m:sSubPr>
          <m:e>
            <m:r>
              <w:rPr>
                <w:rFonts w:ascii="Cambria Math" w:eastAsiaTheme="minorEastAsia" w:hAnsi="Cambria Math"/>
                <w:kern w:val="0"/>
              </w:rPr>
              <m:t>n</m:t>
            </m:r>
          </m:e>
          <m:sub>
            <m:r>
              <w:rPr>
                <w:rFonts w:ascii="Cambria Math" w:eastAsiaTheme="minorEastAsia" w:hAnsi="Cambria Math"/>
                <w:kern w:val="0"/>
              </w:rPr>
              <m:t>3</m:t>
            </m:r>
          </m:sub>
        </m:sSub>
      </m:oMath>
      <w:r w:rsidRPr="00BC31E0">
        <w:rPr>
          <w:rFonts w:asciiTheme="minorEastAsia" w:eastAsiaTheme="minorEastAsia" w:hAnsiTheme="minorEastAsia" w:hint="eastAsia"/>
          <w:kern w:val="0"/>
        </w:rPr>
        <w:t>など，一般的に</w:t>
      </w:r>
      <m:oMath>
        <m:r>
          <m:rPr>
            <m:sty m:val="p"/>
          </m:rPr>
          <w:rPr>
            <w:rFonts w:ascii="Cambria Math" w:eastAsiaTheme="minorEastAsia" w:hAnsi="Cambria Math"/>
            <w:kern w:val="0"/>
          </w:rPr>
          <m:t xml:space="preserve"> </m:t>
        </m:r>
        <m:sSub>
          <m:sSubPr>
            <m:ctrlPr>
              <w:rPr>
                <w:rFonts w:ascii="Cambria Math" w:eastAsiaTheme="minorEastAsia" w:hAnsi="Cambria Math"/>
                <w:i/>
                <w:kern w:val="0"/>
              </w:rPr>
            </m:ctrlPr>
          </m:sSubPr>
          <m:e>
            <m:r>
              <w:rPr>
                <w:rFonts w:ascii="Cambria Math" w:eastAsiaTheme="minorEastAsia" w:hAnsi="Cambria Math"/>
                <w:kern w:val="0"/>
              </w:rPr>
              <m:t>n</m:t>
            </m:r>
          </m:e>
          <m:sub>
            <m:r>
              <w:rPr>
                <w:rFonts w:ascii="Cambria Math" w:eastAsiaTheme="minorEastAsia" w:hAnsi="Cambria Math"/>
                <w:kern w:val="0"/>
              </w:rPr>
              <m:t xml:space="preserve">i </m:t>
            </m:r>
          </m:sub>
        </m:sSub>
      </m:oMath>
      <w:r w:rsidRPr="00BC31E0">
        <w:rPr>
          <w:rFonts w:asciiTheme="minorEastAsia" w:eastAsiaTheme="minorEastAsia" w:hAnsiTheme="minorEastAsia" w:hint="eastAsia"/>
          <w:kern w:val="0"/>
        </w:rPr>
        <w:t>とする。</w:t>
      </w:r>
    </w:p>
    <w:p w14:paraId="56775A8B" w14:textId="77777777" w:rsidR="00E20930" w:rsidRPr="00BC31E0" w:rsidRDefault="00E20930" w:rsidP="00736130">
      <w:pPr>
        <w:pStyle w:val="a4"/>
        <w:numPr>
          <w:ilvl w:val="0"/>
          <w:numId w:val="116"/>
        </w:numPr>
        <w:ind w:leftChars="0" w:left="1134" w:hanging="567"/>
        <w:rPr>
          <w:kern w:val="0"/>
        </w:rPr>
      </w:pPr>
      <w:r w:rsidRPr="00BC31E0">
        <w:rPr>
          <w:rFonts w:hint="eastAsia"/>
          <w:kern w:val="0"/>
        </w:rPr>
        <w:t>各応力サイクルに対して，上記</w:t>
      </w:r>
      <w:r w:rsidRPr="00BC31E0">
        <w:rPr>
          <w:rFonts w:ascii="ＭＳ ゴシック" w:eastAsia="ＭＳ ゴシック" w:hAnsi="ＭＳ ゴシック"/>
          <w:b/>
          <w:bCs/>
          <w:kern w:val="0"/>
        </w:rPr>
        <w:t>4)</w:t>
      </w:r>
      <w:r w:rsidRPr="00BC31E0">
        <w:rPr>
          <w:rFonts w:hint="eastAsia"/>
          <w:bCs/>
          <w:kern w:val="0"/>
        </w:rPr>
        <w:t>及び</w:t>
      </w:r>
      <w:r w:rsidRPr="00BC31E0">
        <w:rPr>
          <w:rFonts w:ascii="ＭＳ ゴシック" w:eastAsia="ＭＳ ゴシック" w:hAnsi="ＭＳ ゴシック" w:hint="eastAsia"/>
          <w:b/>
          <w:bCs/>
          <w:kern w:val="0"/>
        </w:rPr>
        <w:t>5)</w:t>
      </w:r>
      <w:r w:rsidRPr="00BC31E0">
        <w:rPr>
          <w:rFonts w:hint="eastAsia"/>
          <w:kern w:val="0"/>
        </w:rPr>
        <w:t>に示す手順によっ</w:t>
      </w:r>
      <w:r w:rsidRPr="00BC31E0">
        <w:rPr>
          <w:rFonts w:asciiTheme="minorEastAsia" w:eastAsiaTheme="minorEastAsia" w:hAnsiTheme="minorEastAsia" w:hint="eastAsia"/>
          <w:kern w:val="0"/>
        </w:rPr>
        <w:t>て</w:t>
      </w:r>
      <m:oMath>
        <m:r>
          <m:rPr>
            <m:sty m:val="p"/>
          </m:rPr>
          <w:rPr>
            <w:rFonts w:ascii="Cambria Math" w:eastAsiaTheme="minorEastAsia" w:hAnsi="Cambria Math"/>
            <w:kern w:val="0"/>
          </w:rPr>
          <m:t xml:space="preserve"> </m:t>
        </m:r>
        <m:sSub>
          <m:sSubPr>
            <m:ctrlPr>
              <w:rPr>
                <w:rFonts w:ascii="Cambria Math" w:eastAsiaTheme="minorEastAsia" w:hAnsi="Cambria Math"/>
                <w:i/>
                <w:kern w:val="0"/>
              </w:rPr>
            </m:ctrlPr>
          </m:sSubPr>
          <m:e>
            <m:r>
              <w:rPr>
                <w:rFonts w:ascii="Cambria Math" w:eastAsiaTheme="minorEastAsia" w:hAnsi="Cambria Math"/>
                <w:kern w:val="0"/>
              </w:rPr>
              <m:t>S</m:t>
            </m:r>
          </m:e>
          <m:sub>
            <m:r>
              <w:rPr>
                <w:rFonts w:ascii="Cambria Math" w:eastAsiaTheme="minorEastAsia" w:hAnsi="Cambria Math"/>
                <w:kern w:val="0"/>
              </w:rPr>
              <m:t>a</m:t>
            </m:r>
          </m:sub>
        </m:sSub>
      </m:oMath>
      <w:r w:rsidRPr="00BC31E0">
        <w:rPr>
          <w:rFonts w:asciiTheme="minorEastAsia" w:eastAsiaTheme="minorEastAsia" w:hAnsiTheme="minorEastAsia" w:hint="eastAsia"/>
          <w:kern w:val="0"/>
        </w:rPr>
        <w:t>を決定する。これらの量</w:t>
      </w:r>
      <m:oMath>
        <m:r>
          <m:rPr>
            <m:sty m:val="p"/>
          </m:rPr>
          <w:rPr>
            <w:rFonts w:ascii="Cambria Math" w:eastAsiaTheme="minorEastAsia" w:hAnsi="Cambria Math"/>
            <w:kern w:val="0"/>
          </w:rPr>
          <m:t xml:space="preserve"> </m:t>
        </m:r>
        <m:sSub>
          <m:sSubPr>
            <m:ctrlPr>
              <w:rPr>
                <w:rFonts w:ascii="Cambria Math" w:eastAsiaTheme="minorEastAsia" w:hAnsi="Cambria Math"/>
                <w:i/>
                <w:kern w:val="0"/>
              </w:rPr>
            </m:ctrlPr>
          </m:sSubPr>
          <m:e>
            <m:r>
              <w:rPr>
                <w:rFonts w:ascii="Cambria Math" w:eastAsiaTheme="minorEastAsia" w:hAnsi="Cambria Math"/>
                <w:kern w:val="0"/>
              </w:rPr>
              <m:t>S</m:t>
            </m:r>
          </m:e>
          <m:sub>
            <m:r>
              <w:rPr>
                <w:rFonts w:ascii="Cambria Math" w:eastAsiaTheme="minorEastAsia" w:hAnsi="Cambria Math"/>
                <w:kern w:val="0"/>
              </w:rPr>
              <m:t>a1</m:t>
            </m:r>
          </m:sub>
        </m:sSub>
      </m:oMath>
      <w:r w:rsidRPr="00BC31E0">
        <w:rPr>
          <w:rFonts w:asciiTheme="minorEastAsia" w:eastAsiaTheme="minorEastAsia" w:hAnsiTheme="minorEastAsia" w:hint="eastAsia"/>
          <w:iCs/>
          <w:kern w:val="0"/>
        </w:rPr>
        <w:t>，</w:t>
      </w:r>
      <m:oMath>
        <m:sSub>
          <m:sSubPr>
            <m:ctrlPr>
              <w:rPr>
                <w:rFonts w:ascii="Cambria Math" w:eastAsiaTheme="minorEastAsia" w:hAnsi="Cambria Math"/>
                <w:i/>
                <w:kern w:val="0"/>
              </w:rPr>
            </m:ctrlPr>
          </m:sSubPr>
          <m:e>
            <m:r>
              <w:rPr>
                <w:rFonts w:ascii="Cambria Math" w:eastAsiaTheme="minorEastAsia" w:hAnsi="Cambria Math"/>
                <w:kern w:val="0"/>
              </w:rPr>
              <m:t>S</m:t>
            </m:r>
          </m:e>
          <m:sub>
            <m:r>
              <w:rPr>
                <w:rFonts w:ascii="Cambria Math" w:eastAsiaTheme="minorEastAsia" w:hAnsi="Cambria Math"/>
                <w:kern w:val="0"/>
              </w:rPr>
              <m:t>a2</m:t>
            </m:r>
          </m:sub>
        </m:sSub>
      </m:oMath>
      <w:r w:rsidRPr="00BC31E0">
        <w:rPr>
          <w:rFonts w:asciiTheme="minorEastAsia" w:eastAsiaTheme="minorEastAsia" w:hAnsiTheme="minorEastAsia" w:hint="eastAsia"/>
          <w:iCs/>
          <w:kern w:val="0"/>
        </w:rPr>
        <w:t>，</w:t>
      </w:r>
      <m:oMath>
        <m:sSub>
          <m:sSubPr>
            <m:ctrlPr>
              <w:rPr>
                <w:rFonts w:ascii="Cambria Math" w:eastAsiaTheme="minorEastAsia" w:hAnsi="Cambria Math"/>
                <w:i/>
                <w:kern w:val="0"/>
              </w:rPr>
            </m:ctrlPr>
          </m:sSubPr>
          <m:e>
            <m:r>
              <w:rPr>
                <w:rFonts w:ascii="Cambria Math" w:eastAsiaTheme="minorEastAsia" w:hAnsi="Cambria Math"/>
                <w:kern w:val="0"/>
              </w:rPr>
              <m:t>S</m:t>
            </m:r>
          </m:e>
          <m:sub>
            <m:r>
              <w:rPr>
                <w:rFonts w:ascii="Cambria Math" w:eastAsiaTheme="minorEastAsia" w:hAnsi="Cambria Math"/>
                <w:kern w:val="0"/>
              </w:rPr>
              <m:t>a3</m:t>
            </m:r>
          </m:sub>
        </m:sSub>
        <m:r>
          <m:rPr>
            <m:sty m:val="p"/>
          </m:rPr>
          <w:rPr>
            <w:rFonts w:ascii="Cambria Math" w:eastAsiaTheme="minorEastAsia" w:hAnsi="Cambria Math"/>
            <w:kern w:val="0"/>
          </w:rPr>
          <m:t xml:space="preserve"> </m:t>
        </m:r>
      </m:oMath>
      <w:r w:rsidRPr="00BC31E0">
        <w:rPr>
          <w:rFonts w:asciiTheme="minorEastAsia" w:eastAsiaTheme="minorEastAsia" w:hAnsiTheme="minorEastAsia" w:hint="eastAsia"/>
          <w:kern w:val="0"/>
        </w:rPr>
        <w:t>など</w:t>
      </w:r>
      <w:r w:rsidRPr="00BC31E0">
        <w:rPr>
          <w:rFonts w:asciiTheme="minorEastAsia" w:eastAsiaTheme="minorEastAsia" w:hAnsiTheme="minorEastAsia" w:hint="eastAsia"/>
          <w:iCs/>
          <w:kern w:val="0"/>
        </w:rPr>
        <w:t>，</w:t>
      </w:r>
      <w:r w:rsidRPr="00BC31E0">
        <w:rPr>
          <w:rFonts w:asciiTheme="minorEastAsia" w:eastAsiaTheme="minorEastAsia" w:hAnsiTheme="minorEastAsia" w:hint="eastAsia"/>
          <w:kern w:val="0"/>
        </w:rPr>
        <w:t>一般的に</w:t>
      </w:r>
      <m:oMath>
        <m:sSub>
          <m:sSubPr>
            <m:ctrlPr>
              <w:rPr>
                <w:rFonts w:ascii="Cambria Math" w:eastAsiaTheme="minorEastAsia" w:hAnsi="Cambria Math"/>
                <w:i/>
                <w:kern w:val="0"/>
              </w:rPr>
            </m:ctrlPr>
          </m:sSubPr>
          <m:e>
            <m:r>
              <w:rPr>
                <w:rFonts w:ascii="Cambria Math" w:eastAsiaTheme="minorEastAsia" w:hAnsi="Cambria Math"/>
                <w:kern w:val="0"/>
              </w:rPr>
              <m:t xml:space="preserve"> S</m:t>
            </m:r>
          </m:e>
          <m:sub>
            <m:r>
              <w:rPr>
                <w:rFonts w:ascii="Cambria Math" w:eastAsiaTheme="minorEastAsia" w:hAnsi="Cambria Math"/>
                <w:kern w:val="0"/>
              </w:rPr>
              <m:t>ai</m:t>
            </m:r>
          </m:sub>
        </m:sSub>
      </m:oMath>
      <w:r w:rsidRPr="00BC31E0">
        <w:rPr>
          <w:rFonts w:ascii="ＭＳ 明朝" w:hAnsi="ＭＳ 明朝" w:hint="eastAsia"/>
          <w:kern w:val="0"/>
        </w:rPr>
        <w:t>とする。</w:t>
      </w:r>
    </w:p>
    <w:p w14:paraId="3BD96308" w14:textId="77777777" w:rsidR="00E20930" w:rsidRPr="00BC31E0" w:rsidRDefault="00E20930" w:rsidP="00736130">
      <w:pPr>
        <w:pStyle w:val="a4"/>
        <w:numPr>
          <w:ilvl w:val="0"/>
          <w:numId w:val="116"/>
        </w:numPr>
        <w:ind w:leftChars="0" w:left="1134" w:hanging="567"/>
        <w:rPr>
          <w:kern w:val="0"/>
        </w:rPr>
      </w:pPr>
      <w:r w:rsidRPr="00BC31E0">
        <w:rPr>
          <w:rFonts w:hint="eastAsia"/>
          <w:kern w:val="0"/>
        </w:rPr>
        <w:t>各</w:t>
      </w:r>
      <m:oMath>
        <m:sSub>
          <m:sSubPr>
            <m:ctrlPr>
              <w:rPr>
                <w:rFonts w:ascii="Cambria Math" w:eastAsiaTheme="minorEastAsia" w:hAnsi="Cambria Math"/>
                <w:i/>
                <w:kern w:val="0"/>
              </w:rPr>
            </m:ctrlPr>
          </m:sSubPr>
          <m:e>
            <m:r>
              <w:rPr>
                <w:rFonts w:ascii="Cambria Math" w:eastAsiaTheme="minorEastAsia" w:hAnsi="Cambria Math"/>
                <w:kern w:val="0"/>
              </w:rPr>
              <m:t xml:space="preserve"> S</m:t>
            </m:r>
          </m:e>
          <m:sub>
            <m:r>
              <w:rPr>
                <w:rFonts w:ascii="Cambria Math" w:eastAsiaTheme="minorEastAsia" w:hAnsi="Cambria Math"/>
                <w:kern w:val="0"/>
              </w:rPr>
              <m:t>ai</m:t>
            </m:r>
          </m:sub>
        </m:sSub>
      </m:oMath>
      <w:r w:rsidRPr="00BC31E0">
        <w:rPr>
          <w:rFonts w:hint="eastAsia"/>
          <w:kern w:val="0"/>
        </w:rPr>
        <w:t>に対して，該当する設計疲労曲線から設計許容繰返し回数</w:t>
      </w:r>
      <m:oMath>
        <m:sSub>
          <m:sSubPr>
            <m:ctrlPr>
              <w:rPr>
                <w:rFonts w:ascii="Cambria Math" w:hAnsi="Cambria Math"/>
                <w:i/>
                <w:kern w:val="0"/>
              </w:rPr>
            </m:ctrlPr>
          </m:sSubPr>
          <m:e>
            <m:r>
              <w:rPr>
                <w:rFonts w:ascii="Cambria Math" w:hAnsi="Cambria Math"/>
                <w:kern w:val="0"/>
              </w:rPr>
              <m:t xml:space="preserve"> N</m:t>
            </m:r>
          </m:e>
          <m:sub>
            <m:r>
              <w:rPr>
                <w:rFonts w:ascii="Cambria Math" w:hAnsi="Cambria Math"/>
                <w:kern w:val="0"/>
              </w:rPr>
              <m:t>i</m:t>
            </m:r>
          </m:sub>
        </m:sSub>
        <m:r>
          <w:rPr>
            <w:rFonts w:ascii="Cambria Math" w:hAnsi="Cambria Math"/>
            <w:kern w:val="0"/>
          </w:rPr>
          <m:t xml:space="preserve"> </m:t>
        </m:r>
      </m:oMath>
      <w:r w:rsidRPr="00BC31E0">
        <w:rPr>
          <w:rFonts w:hint="eastAsia"/>
          <w:kern w:val="0"/>
        </w:rPr>
        <w:t>を決定する。これらを，</w:t>
      </w:r>
      <m:oMath>
        <m:sSub>
          <m:sSubPr>
            <m:ctrlPr>
              <w:rPr>
                <w:rFonts w:ascii="Cambria Math" w:hAnsi="Cambria Math"/>
                <w:i/>
                <w:kern w:val="0"/>
              </w:rPr>
            </m:ctrlPr>
          </m:sSubPr>
          <m:e>
            <m:r>
              <w:rPr>
                <w:rFonts w:ascii="Cambria Math" w:hAnsi="Cambria Math"/>
                <w:kern w:val="0"/>
              </w:rPr>
              <m:t>N</m:t>
            </m:r>
          </m:e>
          <m:sub>
            <m:r>
              <w:rPr>
                <w:rFonts w:ascii="Cambria Math" w:hAnsi="Cambria Math"/>
                <w:kern w:val="0"/>
              </w:rPr>
              <m:t>1</m:t>
            </m:r>
          </m:sub>
        </m:sSub>
      </m:oMath>
      <w:r w:rsidRPr="00BC31E0">
        <w:rPr>
          <w:rFonts w:hint="eastAsia"/>
          <w:iCs/>
          <w:kern w:val="0"/>
        </w:rPr>
        <w:t>，</w:t>
      </w:r>
      <m:oMath>
        <m:sSub>
          <m:sSubPr>
            <m:ctrlPr>
              <w:rPr>
                <w:rFonts w:ascii="Cambria Math" w:hAnsi="Cambria Math"/>
                <w:i/>
                <w:kern w:val="0"/>
              </w:rPr>
            </m:ctrlPr>
          </m:sSubPr>
          <m:e>
            <m:r>
              <w:rPr>
                <w:rFonts w:ascii="Cambria Math" w:hAnsi="Cambria Math"/>
                <w:kern w:val="0"/>
              </w:rPr>
              <m:t>N</m:t>
            </m:r>
          </m:e>
          <m:sub>
            <m:r>
              <w:rPr>
                <w:rFonts w:ascii="Cambria Math" w:hAnsi="Cambria Math"/>
                <w:kern w:val="0"/>
              </w:rPr>
              <m:t>2</m:t>
            </m:r>
          </m:sub>
        </m:sSub>
      </m:oMath>
      <w:r w:rsidRPr="00BC31E0">
        <w:rPr>
          <w:rFonts w:hint="eastAsia"/>
          <w:iCs/>
          <w:kern w:val="0"/>
        </w:rPr>
        <w:t>，</w:t>
      </w:r>
      <m:oMath>
        <m:sSub>
          <m:sSubPr>
            <m:ctrlPr>
              <w:rPr>
                <w:rFonts w:ascii="Cambria Math" w:hAnsi="Cambria Math"/>
                <w:i/>
                <w:kern w:val="0"/>
              </w:rPr>
            </m:ctrlPr>
          </m:sSubPr>
          <m:e>
            <m:r>
              <w:rPr>
                <w:rFonts w:ascii="Cambria Math" w:hAnsi="Cambria Math"/>
                <w:kern w:val="0"/>
              </w:rPr>
              <m:t>N</m:t>
            </m:r>
          </m:e>
          <m:sub>
            <m:r>
              <w:rPr>
                <w:rFonts w:ascii="Cambria Math" w:hAnsi="Cambria Math"/>
                <w:kern w:val="0"/>
              </w:rPr>
              <m:t>3</m:t>
            </m:r>
          </m:sub>
        </m:sSub>
        <m:r>
          <m:rPr>
            <m:sty m:val="p"/>
          </m:rPr>
          <w:rPr>
            <w:rFonts w:ascii="Cambria Math" w:hAnsi="Cambria Math"/>
            <w:kern w:val="0"/>
          </w:rPr>
          <m:t xml:space="preserve"> </m:t>
        </m:r>
      </m:oMath>
      <w:r w:rsidRPr="00BC31E0">
        <w:rPr>
          <w:rFonts w:hint="eastAsia"/>
          <w:kern w:val="0"/>
        </w:rPr>
        <w:t>など</w:t>
      </w:r>
      <w:r w:rsidRPr="00BC31E0">
        <w:rPr>
          <w:rFonts w:hint="eastAsia"/>
          <w:iCs/>
          <w:kern w:val="0"/>
        </w:rPr>
        <w:t>，</w:t>
      </w:r>
      <w:r w:rsidRPr="00BC31E0">
        <w:rPr>
          <w:rFonts w:hint="eastAsia"/>
          <w:kern w:val="0"/>
        </w:rPr>
        <w:t>一般的に</w:t>
      </w:r>
      <m:oMath>
        <m:sSub>
          <m:sSubPr>
            <m:ctrlPr>
              <w:rPr>
                <w:rFonts w:ascii="Cambria Math" w:hAnsi="Cambria Math"/>
                <w:i/>
                <w:kern w:val="0"/>
              </w:rPr>
            </m:ctrlPr>
          </m:sSubPr>
          <m:e>
            <m:r>
              <w:rPr>
                <w:rFonts w:ascii="Cambria Math" w:hAnsi="Cambria Math"/>
                <w:kern w:val="0"/>
              </w:rPr>
              <m:t xml:space="preserve"> N</m:t>
            </m:r>
          </m:e>
          <m:sub>
            <m:r>
              <w:rPr>
                <w:rFonts w:ascii="Cambria Math" w:hAnsi="Cambria Math"/>
                <w:kern w:val="0"/>
              </w:rPr>
              <m:t xml:space="preserve">i </m:t>
            </m:r>
          </m:sub>
        </m:sSub>
      </m:oMath>
      <w:r w:rsidRPr="00BC31E0">
        <w:rPr>
          <w:rFonts w:hint="eastAsia"/>
          <w:kern w:val="0"/>
        </w:rPr>
        <w:t>とする。</w:t>
      </w:r>
    </w:p>
    <w:p w14:paraId="1DB91043" w14:textId="77777777" w:rsidR="00E20930" w:rsidRPr="00BC31E0" w:rsidRDefault="00E20930" w:rsidP="00736130">
      <w:pPr>
        <w:pStyle w:val="a4"/>
        <w:numPr>
          <w:ilvl w:val="0"/>
          <w:numId w:val="116"/>
        </w:numPr>
        <w:ind w:leftChars="0" w:left="1134" w:hanging="567"/>
        <w:rPr>
          <w:kern w:val="0"/>
        </w:rPr>
      </w:pPr>
      <w:r w:rsidRPr="00BC31E0">
        <w:rPr>
          <w:rFonts w:hint="eastAsia"/>
          <w:kern w:val="0"/>
        </w:rPr>
        <w:t>各応力サイクルに対して，使用係数</w:t>
      </w:r>
      <m:oMath>
        <m:sSub>
          <m:sSubPr>
            <m:ctrlPr>
              <w:rPr>
                <w:rFonts w:ascii="Cambria Math" w:hAnsi="Cambria Math"/>
                <w:i/>
                <w:kern w:val="0"/>
              </w:rPr>
            </m:ctrlPr>
          </m:sSubPr>
          <m:e>
            <m:r>
              <w:rPr>
                <w:rFonts w:ascii="Cambria Math" w:hAnsi="Cambria Math"/>
                <w:kern w:val="0"/>
              </w:rPr>
              <m:t xml:space="preserve"> U</m:t>
            </m:r>
          </m:e>
          <m:sub>
            <m:r>
              <w:rPr>
                <w:rFonts w:ascii="Cambria Math" w:hAnsi="Cambria Math"/>
                <w:kern w:val="0"/>
              </w:rPr>
              <m:t>i</m:t>
            </m:r>
          </m:sub>
        </m:sSub>
        <m:r>
          <w:rPr>
            <w:rFonts w:ascii="Cambria Math" w:hAnsi="Cambria Math"/>
            <w:kern w:val="0"/>
          </w:rPr>
          <m:t>=</m:t>
        </m:r>
        <m:f>
          <m:fPr>
            <m:type m:val="lin"/>
            <m:ctrlPr>
              <w:rPr>
                <w:rFonts w:ascii="Cambria Math" w:hAnsi="Cambria Math"/>
                <w:i/>
                <w:kern w:val="0"/>
              </w:rPr>
            </m:ctrlPr>
          </m:fPr>
          <m:num>
            <m:sSub>
              <m:sSubPr>
                <m:ctrlPr>
                  <w:rPr>
                    <w:rFonts w:ascii="Cambria Math" w:hAnsi="Cambria Math"/>
                    <w:i/>
                    <w:kern w:val="0"/>
                  </w:rPr>
                </m:ctrlPr>
              </m:sSubPr>
              <m:e>
                <m:r>
                  <w:rPr>
                    <w:rFonts w:ascii="Cambria Math" w:hAnsi="Cambria Math"/>
                    <w:kern w:val="0"/>
                  </w:rPr>
                  <m:t>n</m:t>
                </m:r>
              </m:e>
              <m:sub>
                <m:r>
                  <w:rPr>
                    <w:rFonts w:ascii="Cambria Math" w:hAnsi="Cambria Math"/>
                    <w:kern w:val="0"/>
                  </w:rPr>
                  <m:t>i</m:t>
                </m:r>
              </m:sub>
            </m:sSub>
          </m:num>
          <m:den>
            <m:sSub>
              <m:sSubPr>
                <m:ctrlPr>
                  <w:rPr>
                    <w:rFonts w:ascii="Cambria Math" w:hAnsi="Cambria Math"/>
                    <w:i/>
                    <w:kern w:val="0"/>
                  </w:rPr>
                </m:ctrlPr>
              </m:sSubPr>
              <m:e>
                <m:r>
                  <w:rPr>
                    <w:rFonts w:ascii="Cambria Math" w:hAnsi="Cambria Math"/>
                    <w:kern w:val="0"/>
                  </w:rPr>
                  <m:t>N</m:t>
                </m:r>
              </m:e>
              <m:sub>
                <m:r>
                  <w:rPr>
                    <w:rFonts w:ascii="Cambria Math" w:hAnsi="Cambria Math"/>
                    <w:kern w:val="0"/>
                  </w:rPr>
                  <m:t>i</m:t>
                </m:r>
              </m:sub>
            </m:sSub>
          </m:den>
        </m:f>
        <m:r>
          <w:rPr>
            <w:rFonts w:ascii="Cambria Math" w:hAnsi="Cambria Math"/>
            <w:kern w:val="0"/>
          </w:rPr>
          <m:t xml:space="preserve"> </m:t>
        </m:r>
      </m:oMath>
      <w:r w:rsidRPr="00BC31E0">
        <w:rPr>
          <w:rFonts w:hint="eastAsia"/>
          <w:kern w:val="0"/>
        </w:rPr>
        <w:t>を求める。</w:t>
      </w:r>
    </w:p>
    <w:p w14:paraId="5FB19276" w14:textId="77777777" w:rsidR="00E20930" w:rsidRPr="00BC31E0" w:rsidRDefault="00E20930" w:rsidP="00736130">
      <w:pPr>
        <w:pStyle w:val="a4"/>
        <w:numPr>
          <w:ilvl w:val="0"/>
          <w:numId w:val="116"/>
        </w:numPr>
        <w:spacing w:after="120"/>
        <w:ind w:leftChars="0" w:left="1134" w:hanging="567"/>
        <w:rPr>
          <w:kern w:val="0"/>
        </w:rPr>
      </w:pPr>
      <w:r w:rsidRPr="00BC31E0">
        <w:rPr>
          <w:rFonts w:hint="eastAsia"/>
          <w:kern w:val="0"/>
        </w:rPr>
        <w:t>累積使用係数を次により求める。</w:t>
      </w:r>
    </w:p>
    <w:tbl>
      <w:tblPr>
        <w:tblStyle w:val="afff2"/>
        <w:tblW w:w="5665" w:type="dxa"/>
        <w:tblInd w:w="34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
        <w:gridCol w:w="4730"/>
      </w:tblGrid>
      <w:tr w:rsidR="00E20930" w:rsidRPr="00BC31E0" w14:paraId="672EB540" w14:textId="77777777" w:rsidTr="00E20930">
        <w:tc>
          <w:tcPr>
            <w:tcW w:w="0" w:type="auto"/>
            <w:tcMar>
              <w:left w:w="0" w:type="dxa"/>
              <w:right w:w="0" w:type="dxa"/>
            </w:tcMar>
            <w:vAlign w:val="center"/>
          </w:tcPr>
          <w:p w14:paraId="3A4C9495" w14:textId="77777777" w:rsidR="00E20930" w:rsidRPr="00BC31E0" w:rsidRDefault="00E20930" w:rsidP="00E20930">
            <w:pPr>
              <w:tabs>
                <w:tab w:val="left" w:pos="3402"/>
                <w:tab w:val="left" w:leader="middleDot" w:pos="8222"/>
              </w:tabs>
              <w:jc w:val="left"/>
              <w:rPr>
                <w:rFonts w:ascii="Times New Roman"/>
                <w:i/>
                <w:kern w:val="0"/>
              </w:rPr>
            </w:pPr>
            <m:oMathPara>
              <m:oMathParaPr>
                <m:jc m:val="left"/>
              </m:oMathParaPr>
              <m:oMath>
                <m:r>
                  <w:rPr>
                    <w:rFonts w:ascii="Cambria Math" w:hAnsi="Cambria Math"/>
                    <w:kern w:val="0"/>
                  </w:rPr>
                  <m:t>U=</m:t>
                </m:r>
                <m:nary>
                  <m:naryPr>
                    <m:chr m:val="∑"/>
                    <m:limLoc m:val="undOvr"/>
                    <m:subHide m:val="1"/>
                    <m:supHide m:val="1"/>
                    <m:ctrlPr>
                      <w:rPr>
                        <w:rFonts w:ascii="Cambria Math" w:hAnsi="Cambria Math"/>
                        <w:i/>
                        <w:kern w:val="0"/>
                      </w:rPr>
                    </m:ctrlPr>
                  </m:naryPr>
                  <m:sub/>
                  <m:sup/>
                  <m:e>
                    <m:sSub>
                      <m:sSubPr>
                        <m:ctrlPr>
                          <w:rPr>
                            <w:rFonts w:ascii="Cambria Math" w:hAnsi="Cambria Math"/>
                            <w:i/>
                            <w:kern w:val="0"/>
                          </w:rPr>
                        </m:ctrlPr>
                      </m:sSubPr>
                      <m:e>
                        <m:r>
                          <w:rPr>
                            <w:rFonts w:ascii="Cambria Math" w:hAnsi="Cambria Math"/>
                            <w:kern w:val="0"/>
                          </w:rPr>
                          <m:t>U</m:t>
                        </m:r>
                      </m:e>
                      <m:sub>
                        <m:r>
                          <w:rPr>
                            <w:rFonts w:ascii="Cambria Math" w:hAnsi="Cambria Math"/>
                            <w:kern w:val="0"/>
                          </w:rPr>
                          <m:t>i</m:t>
                        </m:r>
                      </m:sub>
                    </m:sSub>
                  </m:e>
                </m:nary>
              </m:oMath>
            </m:oMathPara>
          </w:p>
        </w:tc>
        <w:tc>
          <w:tcPr>
            <w:tcW w:w="4730" w:type="dxa"/>
            <w:tcMar>
              <w:left w:w="0" w:type="dxa"/>
              <w:right w:w="0" w:type="dxa"/>
            </w:tcMar>
            <w:vAlign w:val="center"/>
          </w:tcPr>
          <w:p w14:paraId="26ECD832" w14:textId="77777777" w:rsidR="00E20930" w:rsidRPr="00BC31E0" w:rsidRDefault="00E20930" w:rsidP="00E20930">
            <w:pPr>
              <w:tabs>
                <w:tab w:val="left" w:leader="middleDot" w:pos="3880"/>
              </w:tabs>
              <w:jc w:val="left"/>
              <w:rPr>
                <w:rFonts w:asciiTheme="minorHAnsi" w:hAnsiTheme="minorHAnsi"/>
                <w:kern w:val="0"/>
              </w:rPr>
            </w:pPr>
            <w:r w:rsidRPr="00BC31E0">
              <w:rPr>
                <w:rFonts w:asciiTheme="minorHAnsi" w:hAnsiTheme="minorHAnsi"/>
                <w:kern w:val="0"/>
              </w:rPr>
              <w:tab/>
              <w:t>(6.3.</w:t>
            </w:r>
            <w:r w:rsidR="00CF1748" w:rsidRPr="00BC31E0">
              <w:rPr>
                <w:rFonts w:asciiTheme="minorHAnsi" w:hAnsiTheme="minorHAnsi" w:hint="eastAsia"/>
                <w:kern w:val="0"/>
              </w:rPr>
              <w:t>9</w:t>
            </w:r>
            <w:r w:rsidRPr="00BC31E0">
              <w:rPr>
                <w:rFonts w:asciiTheme="minorHAnsi" w:hAnsiTheme="minorHAnsi"/>
                <w:kern w:val="0"/>
              </w:rPr>
              <w:t>)</w:t>
            </w:r>
          </w:p>
        </w:tc>
      </w:tr>
    </w:tbl>
    <w:p w14:paraId="05EC5635" w14:textId="77777777" w:rsidR="00E20930" w:rsidRPr="00BC31E0" w:rsidRDefault="00E20930" w:rsidP="003802C9">
      <w:pPr>
        <w:spacing w:before="120"/>
        <w:ind w:left="1134"/>
        <w:rPr>
          <w:kern w:val="0"/>
        </w:rPr>
      </w:pPr>
      <w:r w:rsidRPr="00BC31E0">
        <w:rPr>
          <w:rFonts w:hint="eastAsia"/>
          <w:kern w:val="0"/>
        </w:rPr>
        <w:t>累積使用係数</w:t>
      </w:r>
      <m:oMath>
        <m:r>
          <m:rPr>
            <m:sty m:val="p"/>
          </m:rPr>
          <w:rPr>
            <w:rFonts w:ascii="Cambria Math" w:hAnsi="Cambria Math"/>
            <w:kern w:val="0"/>
          </w:rPr>
          <m:t xml:space="preserve"> </m:t>
        </m:r>
        <m:r>
          <w:rPr>
            <w:rFonts w:ascii="Cambria Math" w:hAnsi="Cambria Math"/>
            <w:kern w:val="0"/>
          </w:rPr>
          <m:t xml:space="preserve">U </m:t>
        </m:r>
      </m:oMath>
      <w:r w:rsidRPr="00BC31E0">
        <w:rPr>
          <w:rFonts w:hint="eastAsia"/>
          <w:kern w:val="0"/>
        </w:rPr>
        <w:t>は</w:t>
      </w:r>
      <m:oMath>
        <m:r>
          <m:rPr>
            <m:sty m:val="p"/>
          </m:rPr>
          <w:rPr>
            <w:rFonts w:ascii="Cambria Math" w:eastAsia="ＭＳ ゴシック" w:hAnsi="Cambria Math"/>
            <w:kern w:val="0"/>
          </w:rPr>
          <m:t xml:space="preserve">1.0 </m:t>
        </m:r>
      </m:oMath>
      <w:r w:rsidRPr="00BC31E0">
        <w:rPr>
          <w:rFonts w:hint="eastAsia"/>
          <w:kern w:val="0"/>
        </w:rPr>
        <w:t>を超えてはならない。</w:t>
      </w:r>
    </w:p>
    <w:p w14:paraId="56B3EFB1" w14:textId="77777777" w:rsidR="00E20930" w:rsidRPr="00BC31E0" w:rsidRDefault="00A51873" w:rsidP="00FD40B3">
      <w:pPr>
        <w:pStyle w:val="3"/>
        <w:ind w:left="794" w:hanging="794"/>
      </w:pPr>
      <m:oMath>
        <m:sSup>
          <m:sSupPr>
            <m:ctrlPr>
              <w:rPr>
                <w:rFonts w:ascii="Cambria Math" w:hAnsi="Cambria Math"/>
                <w:vertAlign w:val="superscript"/>
              </w:rPr>
            </m:ctrlPr>
          </m:sSupPr>
          <m:e>
            <m:r>
              <m:rPr>
                <m:sty m:val="b"/>
              </m:rPr>
              <w:rPr>
                <w:rFonts w:ascii="Cambria Math" w:hAnsi="Cambria Math"/>
                <w:vertAlign w:val="superscript"/>
              </w:rPr>
              <m:t>10</m:t>
            </m:r>
          </m:e>
          <m:sup>
            <m:r>
              <m:rPr>
                <m:sty m:val="b"/>
              </m:rPr>
              <w:rPr>
                <w:rFonts w:ascii="Cambria Math" w:hAnsi="Cambria Math"/>
                <w:vertAlign w:val="superscript"/>
              </w:rPr>
              <m:t>8</m:t>
            </m:r>
          </m:sup>
        </m:sSup>
        <m:r>
          <m:rPr>
            <m:sty m:val="b"/>
          </m:rPr>
          <w:rPr>
            <w:rFonts w:ascii="Cambria Math" w:hAnsi="Cambria Math" w:hint="eastAsia"/>
            <w:vertAlign w:val="superscript"/>
          </w:rPr>
          <m:t xml:space="preserve"> </m:t>
        </m:r>
      </m:oMath>
      <w:r w:rsidR="00E20930" w:rsidRPr="00BC31E0">
        <w:rPr>
          <w:rFonts w:hint="eastAsia"/>
        </w:rPr>
        <w:t>回に対する許容応力振幅</w:t>
      </w:r>
      <w:r w:rsidR="00B82FF1" w:rsidRPr="00BC31E0">
        <w:rPr>
          <w:rFonts w:hint="eastAsia"/>
        </w:rPr>
        <w:t xml:space="preserve"> </w:t>
      </w:r>
      <w:r w:rsidR="00B82FF1" w:rsidRPr="00BC31E0">
        <w:rPr>
          <w:vertAlign w:val="superscript"/>
        </w:rPr>
        <w:t>1)</w:t>
      </w:r>
    </w:p>
    <w:p w14:paraId="4FFF3B3B" w14:textId="77777777" w:rsidR="00E20930" w:rsidRPr="00BC31E0" w:rsidRDefault="00A51873" w:rsidP="00833EB0">
      <w:pPr>
        <w:ind w:firstLineChars="100" w:firstLine="210"/>
      </w:pPr>
      <m:oMath>
        <m:sSup>
          <m:sSupPr>
            <m:ctrlPr>
              <w:rPr>
                <w:rFonts w:ascii="Cambria Math" w:hAnsi="Cambria Math"/>
                <w:vertAlign w:val="superscript"/>
              </w:rPr>
            </m:ctrlPr>
          </m:sSupPr>
          <m:e>
            <m:r>
              <m:rPr>
                <m:sty m:val="p"/>
              </m:rPr>
              <w:rPr>
                <w:rFonts w:ascii="Cambria Math" w:hAnsi="Cambria Math" w:hint="eastAsia"/>
                <w:vertAlign w:val="superscript"/>
              </w:rPr>
              <m:t>10</m:t>
            </m:r>
          </m:e>
          <m:sup>
            <m:r>
              <m:rPr>
                <m:sty m:val="p"/>
              </m:rPr>
              <w:rPr>
                <w:rFonts w:ascii="Cambria Math" w:hAnsi="Cambria Math"/>
                <w:vertAlign w:val="superscript"/>
              </w:rPr>
              <m:t>8</m:t>
            </m:r>
          </m:sup>
        </m:sSup>
        <m:r>
          <m:rPr>
            <m:sty m:val="p"/>
          </m:rPr>
          <w:rPr>
            <w:rFonts w:ascii="Cambria Math" w:hAnsi="Cambria Math" w:hint="eastAsia"/>
            <w:vertAlign w:val="superscript"/>
          </w:rPr>
          <m:t xml:space="preserve"> </m:t>
        </m:r>
      </m:oMath>
      <w:r w:rsidR="00E20930" w:rsidRPr="00BC31E0">
        <w:rPr>
          <w:rFonts w:hint="eastAsia"/>
        </w:rPr>
        <w:t>回に対する許容応力振幅は，次の</w:t>
      </w:r>
      <w:r w:rsidR="00E20930" w:rsidRPr="00BC31E0">
        <w:rPr>
          <w:rFonts w:ascii="ＭＳ ゴシック" w:eastAsia="ＭＳ ゴシック" w:hAnsi="ＭＳ ゴシック" w:hint="eastAsia"/>
          <w:b/>
        </w:rPr>
        <w:t>a</w:t>
      </w:r>
      <w:r w:rsidR="00E20930" w:rsidRPr="00BC31E0">
        <w:rPr>
          <w:rFonts w:ascii="ＭＳ ゴシック" w:eastAsia="ＭＳ ゴシック" w:hAnsi="ＭＳ ゴシック"/>
          <w:b/>
        </w:rPr>
        <w:t>)</w:t>
      </w:r>
      <w:r w:rsidR="00E20930" w:rsidRPr="00BC31E0">
        <w:rPr>
          <w:rFonts w:asciiTheme="minorEastAsia" w:eastAsiaTheme="minorEastAsia" w:hAnsiTheme="minorEastAsia" w:hint="eastAsia"/>
        </w:rPr>
        <w:t>と</w:t>
      </w:r>
      <w:r w:rsidR="00E20930" w:rsidRPr="00BC31E0">
        <w:rPr>
          <w:rFonts w:ascii="ＭＳ ゴシック" w:eastAsia="ＭＳ ゴシック" w:hAnsi="ＭＳ ゴシック" w:hint="eastAsia"/>
          <w:b/>
        </w:rPr>
        <w:t>b</w:t>
      </w:r>
      <w:r w:rsidR="00E20930" w:rsidRPr="00BC31E0">
        <w:rPr>
          <w:rFonts w:ascii="ＭＳ ゴシック" w:eastAsia="ＭＳ ゴシック" w:hAnsi="ＭＳ ゴシック"/>
          <w:b/>
        </w:rPr>
        <w:t>)</w:t>
      </w:r>
      <w:r w:rsidR="00E20930" w:rsidRPr="00BC31E0">
        <w:rPr>
          <w:rFonts w:hint="eastAsia"/>
        </w:rPr>
        <w:t>による。</w:t>
      </w:r>
    </w:p>
    <w:p w14:paraId="0D902FC9" w14:textId="77777777" w:rsidR="00E20930" w:rsidRPr="00BC31E0" w:rsidRDefault="00A51873" w:rsidP="00736130">
      <w:pPr>
        <w:pStyle w:val="a4"/>
        <w:numPr>
          <w:ilvl w:val="0"/>
          <w:numId w:val="117"/>
        </w:numPr>
        <w:ind w:leftChars="0" w:left="454" w:hanging="454"/>
      </w:pPr>
      <m:oMath>
        <m:sSup>
          <m:sSupPr>
            <m:ctrlPr>
              <w:rPr>
                <w:rFonts w:ascii="Cambria Math" w:hAnsi="Cambria Math"/>
                <w:vertAlign w:val="superscript"/>
              </w:rPr>
            </m:ctrlPr>
          </m:sSupPr>
          <m:e>
            <m:r>
              <m:rPr>
                <m:sty m:val="p"/>
              </m:rPr>
              <w:rPr>
                <w:rFonts w:ascii="Cambria Math" w:hAnsi="Cambria Math" w:hint="eastAsia"/>
                <w:vertAlign w:val="superscript"/>
              </w:rPr>
              <m:t>10</m:t>
            </m:r>
          </m:e>
          <m:sup>
            <m:r>
              <m:rPr>
                <m:sty m:val="p"/>
              </m:rPr>
              <w:rPr>
                <w:rFonts w:ascii="Cambria Math" w:hAnsi="Cambria Math"/>
                <w:vertAlign w:val="superscript"/>
              </w:rPr>
              <m:t>8</m:t>
            </m:r>
          </m:sup>
        </m:sSup>
        <m:r>
          <m:rPr>
            <m:sty m:val="p"/>
          </m:rPr>
          <w:rPr>
            <w:rFonts w:ascii="Cambria Math" w:hAnsi="Cambria Math" w:hint="eastAsia"/>
            <w:vertAlign w:val="superscript"/>
          </w:rPr>
          <m:t xml:space="preserve"> </m:t>
        </m:r>
      </m:oMath>
      <w:r w:rsidR="00E20930" w:rsidRPr="00BC31E0">
        <w:rPr>
          <w:rFonts w:hint="eastAsia"/>
        </w:rPr>
        <w:t>回に対する許容応力振幅は，次の</w:t>
      </w:r>
      <w:r w:rsidR="00E20930" w:rsidRPr="00BC31E0">
        <w:rPr>
          <w:rFonts w:ascii="ＭＳ ゴシック" w:eastAsia="ＭＳ ゴシック" w:hAnsi="ＭＳ ゴシック"/>
          <w:b/>
        </w:rPr>
        <w:t>1)</w:t>
      </w:r>
      <w:r w:rsidR="00E20930" w:rsidRPr="00BC31E0">
        <w:rPr>
          <w:rFonts w:hint="eastAsia"/>
        </w:rPr>
        <w:t>～</w:t>
      </w:r>
      <w:r w:rsidR="00E20930" w:rsidRPr="00BC31E0">
        <w:rPr>
          <w:rFonts w:ascii="ＭＳ ゴシック" w:eastAsia="ＭＳ ゴシック" w:hAnsi="ＭＳ ゴシック"/>
          <w:b/>
        </w:rPr>
        <w:t>5)</w:t>
      </w:r>
      <w:r w:rsidR="00E20930" w:rsidRPr="00BC31E0">
        <w:rPr>
          <w:rFonts w:hint="eastAsia"/>
        </w:rPr>
        <w:t>による。</w:t>
      </w:r>
      <w:r w:rsidR="00E20930" w:rsidRPr="00BC31E0">
        <w:rPr>
          <w:rFonts w:ascii="ＭＳ 明朝" w:hAnsi="ＭＳ 明朝" w:hint="eastAsia"/>
          <w:kern w:val="0"/>
        </w:rPr>
        <w:t>ただし，</w:t>
      </w:r>
      <m:oMath>
        <m:sSub>
          <m:sSubPr>
            <m:ctrlPr>
              <w:rPr>
                <w:rFonts w:ascii="Cambria Math" w:hAnsi="Cambria Math"/>
                <w:i/>
                <w:kern w:val="0"/>
              </w:rPr>
            </m:ctrlPr>
          </m:sSubPr>
          <m:e>
            <m:r>
              <w:rPr>
                <w:rFonts w:ascii="Cambria Math" w:hAnsi="Cambria Math"/>
                <w:kern w:val="0"/>
              </w:rPr>
              <m:t>S</m:t>
            </m:r>
          </m:e>
          <m:sub>
            <m:r>
              <w:rPr>
                <w:rFonts w:ascii="Cambria Math" w:hAnsi="Cambria Math"/>
                <w:kern w:val="0"/>
              </w:rPr>
              <m:t xml:space="preserve">mij </m:t>
            </m:r>
          </m:sub>
        </m:sSub>
      </m:oMath>
      <w:r w:rsidR="00E20930" w:rsidRPr="00BC31E0">
        <w:rPr>
          <w:rFonts w:ascii="ＭＳ 明朝" w:hAnsi="ＭＳ 明朝" w:hint="eastAsia"/>
          <w:kern w:val="0"/>
        </w:rPr>
        <w:t>は</w:t>
      </w:r>
      <w:r w:rsidR="00E20930" w:rsidRPr="00BC31E0">
        <w:rPr>
          <w:rFonts w:ascii="ＭＳ ゴシック" w:eastAsia="ＭＳ ゴシック" w:hAnsi="ＭＳ ゴシック" w:hint="eastAsia"/>
          <w:b/>
          <w:kern w:val="0"/>
        </w:rPr>
        <w:t>6.3.5 a) 3) 3.2)</w:t>
      </w:r>
      <w:r w:rsidR="00E20930" w:rsidRPr="00BC31E0">
        <w:rPr>
          <w:rFonts w:ascii="ＭＳ 明朝" w:hAnsi="ＭＳ 明朝" w:hint="eastAsia"/>
          <w:kern w:val="0"/>
        </w:rPr>
        <w:t>に示す平均応力，</w:t>
      </w:r>
      <m:oMath>
        <m:sSub>
          <m:sSubPr>
            <m:ctrlPr>
              <w:rPr>
                <w:rFonts w:ascii="Cambria Math" w:hAnsi="Cambria Math"/>
                <w:i/>
                <w:kern w:val="0"/>
              </w:rPr>
            </m:ctrlPr>
          </m:sSubPr>
          <m:e>
            <m:r>
              <w:rPr>
                <w:rFonts w:ascii="Cambria Math" w:hAnsi="Cambria Math" w:hint="eastAsia"/>
                <w:kern w:val="0"/>
              </w:rPr>
              <m:t>S</m:t>
            </m:r>
          </m:e>
          <m:sub>
            <m:r>
              <w:rPr>
                <w:rFonts w:ascii="Cambria Math" w:hAnsi="Cambria Math"/>
                <w:kern w:val="0"/>
              </w:rPr>
              <m:t xml:space="preserve">u </m:t>
            </m:r>
          </m:sub>
        </m:sSub>
      </m:oMath>
      <w:r w:rsidR="00E20930" w:rsidRPr="00BC31E0">
        <w:rPr>
          <w:rFonts w:ascii="ＭＳ 明朝" w:hAnsi="ＭＳ 明朝" w:hint="eastAsia"/>
          <w:kern w:val="0"/>
        </w:rPr>
        <w:t>は運転サイクル中の最高温度と最低温度の平均温度における材料の引張強さである。</w:t>
      </w:r>
    </w:p>
    <w:p w14:paraId="6F85F454" w14:textId="77777777" w:rsidR="00E20930" w:rsidRPr="00BC31E0" w:rsidRDefault="00E20930" w:rsidP="00736130">
      <w:pPr>
        <w:pStyle w:val="a4"/>
        <w:numPr>
          <w:ilvl w:val="0"/>
          <w:numId w:val="356"/>
        </w:numPr>
        <w:ind w:leftChars="0" w:left="738" w:hanging="454"/>
      </w:pPr>
      <w:r w:rsidRPr="00BC31E0">
        <w:rPr>
          <w:rFonts w:ascii="ＭＳ ゴシック" w:eastAsia="ＭＳ ゴシック" w:hAnsi="ＭＳ ゴシック" w:hint="eastAsia"/>
          <w:b/>
        </w:rPr>
        <w:t>図</w:t>
      </w:r>
      <w:r w:rsidRPr="00BC31E0">
        <w:rPr>
          <w:rFonts w:ascii="ＭＳ ゴシック" w:eastAsia="ＭＳ ゴシック" w:hAnsi="ＭＳ ゴシック"/>
          <w:b/>
        </w:rPr>
        <w:t>6.3.1</w:t>
      </w:r>
      <w:r w:rsidRPr="00BC31E0">
        <w:rPr>
          <w:rFonts w:asciiTheme="minorEastAsia" w:eastAsiaTheme="minorEastAsia" w:hAnsiTheme="minorEastAsia" w:hint="eastAsia"/>
        </w:rPr>
        <w:t>において，</w:t>
      </w:r>
      <m:oMath>
        <m:sSup>
          <m:sSupPr>
            <m:ctrlPr>
              <w:rPr>
                <w:rFonts w:ascii="Cambria Math" w:eastAsiaTheme="minorEastAsia" w:hAnsi="Cambria Math"/>
                <w:vertAlign w:val="superscript"/>
              </w:rPr>
            </m:ctrlPr>
          </m:sSupPr>
          <m:e>
            <m:r>
              <m:rPr>
                <m:sty m:val="p"/>
              </m:rPr>
              <w:rPr>
                <w:rFonts w:ascii="Cambria Math" w:eastAsiaTheme="minorEastAsia" w:hAnsi="Cambria Math"/>
                <w:vertAlign w:val="superscript"/>
              </w:rPr>
              <m:t>10</m:t>
            </m:r>
          </m:e>
          <m:sup>
            <m:r>
              <m:rPr>
                <m:sty m:val="p"/>
              </m:rPr>
              <w:rPr>
                <w:rFonts w:ascii="Cambria Math" w:eastAsiaTheme="minorEastAsia" w:hAnsi="Cambria Math"/>
                <w:vertAlign w:val="superscript"/>
              </w:rPr>
              <m:t>8</m:t>
            </m:r>
            <m:r>
              <m:rPr>
                <m:sty m:val="p"/>
              </m:rPr>
              <w:rPr>
                <w:rFonts w:ascii="Cambria Math" w:eastAsiaTheme="minorEastAsia" w:hAnsi="Cambria Math" w:hint="eastAsia"/>
                <w:vertAlign w:val="superscript"/>
              </w:rPr>
              <m:t xml:space="preserve"> </m:t>
            </m:r>
          </m:sup>
        </m:sSup>
      </m:oMath>
      <w:r w:rsidRPr="00BC31E0">
        <w:rPr>
          <w:rFonts w:asciiTheme="minorEastAsia" w:eastAsiaTheme="minorEastAsia" w:hAnsiTheme="minorEastAsia" w:hint="eastAsia"/>
        </w:rPr>
        <w:t>回に対する許容応力振幅</w:t>
      </w:r>
      <m:oMath>
        <m:sSub>
          <m:sSubPr>
            <m:ctrlPr>
              <w:rPr>
                <w:rFonts w:ascii="Cambria Math" w:hAnsi="Cambria Math"/>
                <w:i/>
              </w:rPr>
            </m:ctrlPr>
          </m:sSubPr>
          <m:e>
            <m:r>
              <w:rPr>
                <w:rFonts w:ascii="Cambria Math" w:hAnsi="Cambria Math"/>
              </w:rPr>
              <m:t xml:space="preserve"> S</m:t>
            </m:r>
          </m:e>
          <m:sub>
            <m:r>
              <w:rPr>
                <w:rFonts w:ascii="Cambria Math" w:hAnsi="Cambria Math"/>
              </w:rPr>
              <m:t>a</m:t>
            </m:r>
          </m:sub>
        </m:sSub>
        <m:r>
          <w:rPr>
            <w:rFonts w:ascii="Cambria Math" w:hAnsi="Cambria Math"/>
          </w:rPr>
          <m:t xml:space="preserve"> </m:t>
        </m:r>
      </m:oMath>
      <w:r w:rsidRPr="00BC31E0">
        <w:rPr>
          <w:rFonts w:hint="eastAsia"/>
        </w:rPr>
        <w:t>は次による。ただし，この値が</w:t>
      </w:r>
      <w:r w:rsidRPr="00BC31E0">
        <w:rPr>
          <w:rFonts w:ascii="ＭＳ ゴシック" w:eastAsia="ＭＳ ゴシック" w:hAnsi="ＭＳ ゴシック" w:hint="eastAsia"/>
          <w:b/>
        </w:rPr>
        <w:t>図</w:t>
      </w:r>
      <w:r w:rsidRPr="00BC31E0">
        <w:rPr>
          <w:rFonts w:ascii="ＭＳ ゴシック" w:eastAsia="ＭＳ ゴシック" w:hAnsi="ＭＳ ゴシック"/>
          <w:b/>
        </w:rPr>
        <w:t>6.3.1</w:t>
      </w:r>
      <w:r w:rsidRPr="00BC31E0">
        <w:rPr>
          <w:rFonts w:asciiTheme="minorEastAsia" w:eastAsiaTheme="minorEastAsia" w:hAnsiTheme="minorEastAsia" w:hint="eastAsia"/>
        </w:rPr>
        <w:t>の</w:t>
      </w:r>
      <m:oMath>
        <m:sSup>
          <m:sSupPr>
            <m:ctrlPr>
              <w:rPr>
                <w:rFonts w:ascii="Cambria Math" w:eastAsiaTheme="minorEastAsia" w:hAnsi="Cambria Math"/>
                <w:vertAlign w:val="superscript"/>
              </w:rPr>
            </m:ctrlPr>
          </m:sSupPr>
          <m:e>
            <m:r>
              <m:rPr>
                <m:sty m:val="p"/>
              </m:rPr>
              <w:rPr>
                <w:rFonts w:ascii="Cambria Math" w:eastAsiaTheme="minorEastAsia" w:hAnsi="Cambria Math"/>
                <w:vertAlign w:val="superscript"/>
              </w:rPr>
              <m:t>10</m:t>
            </m:r>
          </m:e>
          <m:sup>
            <m:r>
              <m:rPr>
                <m:sty m:val="p"/>
              </m:rPr>
              <w:rPr>
                <w:rFonts w:ascii="Cambria Math" w:eastAsiaTheme="minorEastAsia" w:hAnsi="Cambria Math"/>
                <w:vertAlign w:val="superscript"/>
              </w:rPr>
              <m:t>6</m:t>
            </m:r>
          </m:sup>
        </m:sSup>
        <m:r>
          <m:rPr>
            <m:sty m:val="p"/>
          </m:rPr>
          <w:rPr>
            <w:rFonts w:ascii="Cambria Math" w:eastAsiaTheme="minorEastAsia" w:hAnsi="Cambria Math" w:hint="eastAsia"/>
            <w:vertAlign w:val="superscript"/>
          </w:rPr>
          <m:t xml:space="preserve"> </m:t>
        </m:r>
      </m:oMath>
      <w:r w:rsidRPr="00BC31E0">
        <w:rPr>
          <w:rFonts w:asciiTheme="minorEastAsia" w:eastAsiaTheme="minorEastAsia" w:hAnsiTheme="minorEastAsia" w:hint="eastAsia"/>
        </w:rPr>
        <w:t>回に対する許容応力振幅値を超える場合は，</w:t>
      </w:r>
      <m:oMath>
        <m:sSup>
          <m:sSupPr>
            <m:ctrlPr>
              <w:rPr>
                <w:rFonts w:ascii="Cambria Math" w:eastAsiaTheme="minorEastAsia" w:hAnsi="Cambria Math"/>
                <w:vertAlign w:val="superscript"/>
              </w:rPr>
            </m:ctrlPr>
          </m:sSupPr>
          <m:e>
            <m:r>
              <m:rPr>
                <m:sty m:val="p"/>
              </m:rPr>
              <w:rPr>
                <w:rFonts w:ascii="Cambria Math" w:eastAsiaTheme="minorEastAsia" w:hAnsi="Cambria Math"/>
                <w:vertAlign w:val="superscript"/>
              </w:rPr>
              <m:t>10</m:t>
            </m:r>
          </m:e>
          <m:sup>
            <m:r>
              <m:rPr>
                <m:sty m:val="p"/>
              </m:rPr>
              <w:rPr>
                <w:rFonts w:ascii="Cambria Math" w:eastAsiaTheme="minorEastAsia" w:hAnsi="Cambria Math"/>
                <w:vertAlign w:val="superscript"/>
              </w:rPr>
              <m:t>6</m:t>
            </m:r>
          </m:sup>
        </m:sSup>
        <m:r>
          <m:rPr>
            <m:sty m:val="p"/>
          </m:rPr>
          <w:rPr>
            <w:rFonts w:ascii="Cambria Math" w:eastAsiaTheme="minorEastAsia" w:hAnsi="Cambria Math" w:hint="eastAsia"/>
            <w:vertAlign w:val="superscript"/>
          </w:rPr>
          <m:t xml:space="preserve"> </m:t>
        </m:r>
      </m:oMath>
      <w:r w:rsidRPr="00BC31E0">
        <w:rPr>
          <w:rFonts w:asciiTheme="minorEastAsia" w:eastAsiaTheme="minorEastAsia" w:hAnsiTheme="minorEastAsia" w:hint="eastAsia"/>
        </w:rPr>
        <w:t>回に対する許容応力振幅値に等しくとる。</w:t>
      </w:r>
    </w:p>
    <w:p w14:paraId="00FB3135" w14:textId="77777777" w:rsidR="00E20930" w:rsidRPr="00BC31E0" w:rsidRDefault="00E20930" w:rsidP="009B4E91">
      <w:pPr>
        <w:tabs>
          <w:tab w:val="left" w:pos="2552"/>
          <w:tab w:val="left" w:leader="middleDot" w:pos="8222"/>
        </w:tabs>
      </w:pPr>
      <w:r w:rsidRPr="00BC31E0">
        <w:rPr>
          <w:rFonts w:hint="eastAsia"/>
          <w:kern w:val="0"/>
        </w:rPr>
        <w:tab/>
      </w:r>
      <m:oMath>
        <m:sSub>
          <m:sSubPr>
            <m:ctrlPr>
              <w:rPr>
                <w:rFonts w:ascii="Cambria Math" w:hAnsi="Cambria Math"/>
                <w:i/>
                <w:kern w:val="0"/>
              </w:rPr>
            </m:ctrlPr>
          </m:sSubPr>
          <m:e>
            <m:r>
              <w:rPr>
                <w:rFonts w:ascii="Cambria Math" w:hAnsi="Cambria Math"/>
                <w:kern w:val="0"/>
              </w:rPr>
              <m:t>S</m:t>
            </m:r>
          </m:e>
          <m:sub>
            <m:r>
              <w:rPr>
                <w:rFonts w:ascii="Cambria Math" w:hAnsi="Cambria Math"/>
                <w:kern w:val="0"/>
              </w:rPr>
              <m:t>a</m:t>
            </m:r>
          </m:sub>
        </m:sSub>
        <m:r>
          <w:rPr>
            <w:rFonts w:ascii="Cambria Math" w:hAnsi="Cambria Math"/>
            <w:kern w:val="0"/>
          </w:rPr>
          <m:t xml:space="preserve">=0.25 </m:t>
        </m:r>
        <m:sSub>
          <m:sSubPr>
            <m:ctrlPr>
              <w:rPr>
                <w:rFonts w:ascii="Cambria Math" w:hAnsi="Cambria Math"/>
                <w:i/>
                <w:kern w:val="0"/>
              </w:rPr>
            </m:ctrlPr>
          </m:sSubPr>
          <m:e>
            <m:r>
              <w:rPr>
                <w:rFonts w:ascii="Cambria Math" w:hAnsi="Cambria Math"/>
                <w:kern w:val="0"/>
              </w:rPr>
              <m:t>S</m:t>
            </m:r>
          </m:e>
          <m:sub>
            <m:r>
              <w:rPr>
                <w:rFonts w:ascii="Cambria Math" w:hAnsi="Cambria Math"/>
                <w:kern w:val="0"/>
              </w:rPr>
              <m:t>u</m:t>
            </m:r>
          </m:sub>
        </m:sSub>
        <m:d>
          <m:dPr>
            <m:ctrlPr>
              <w:rPr>
                <w:rFonts w:ascii="Cambria Math" w:hAnsi="Cambria Math"/>
                <w:i/>
                <w:kern w:val="0"/>
              </w:rPr>
            </m:ctrlPr>
          </m:dPr>
          <m:e>
            <m:r>
              <w:rPr>
                <w:rFonts w:ascii="Cambria Math" w:hAnsi="Cambria Math"/>
                <w:kern w:val="0"/>
              </w:rPr>
              <m:t>1-</m:t>
            </m:r>
            <m:f>
              <m:fPr>
                <m:type m:val="lin"/>
                <m:ctrlPr>
                  <w:rPr>
                    <w:rFonts w:ascii="Cambria Math" w:hAnsi="Cambria Math"/>
                    <w:i/>
                    <w:kern w:val="0"/>
                  </w:rPr>
                </m:ctrlPr>
              </m:fPr>
              <m:num>
                <m:sSub>
                  <m:sSubPr>
                    <m:ctrlPr>
                      <w:rPr>
                        <w:rFonts w:ascii="Cambria Math" w:hAnsi="Cambria Math"/>
                        <w:i/>
                        <w:kern w:val="0"/>
                      </w:rPr>
                    </m:ctrlPr>
                  </m:sSubPr>
                  <m:e>
                    <m:r>
                      <w:rPr>
                        <w:rFonts w:ascii="Cambria Math" w:hAnsi="Cambria Math"/>
                        <w:kern w:val="0"/>
                      </w:rPr>
                      <m:t>S</m:t>
                    </m:r>
                  </m:e>
                  <m:sub>
                    <m:r>
                      <w:rPr>
                        <w:rFonts w:ascii="Cambria Math" w:hAnsi="Cambria Math"/>
                        <w:kern w:val="0"/>
                      </w:rPr>
                      <m:t>mij</m:t>
                    </m:r>
                  </m:sub>
                </m:sSub>
              </m:num>
              <m:den>
                <m:sSub>
                  <m:sSubPr>
                    <m:ctrlPr>
                      <w:rPr>
                        <w:rFonts w:ascii="Cambria Math" w:hAnsi="Cambria Math"/>
                        <w:i/>
                        <w:kern w:val="0"/>
                      </w:rPr>
                    </m:ctrlPr>
                  </m:sSubPr>
                  <m:e>
                    <m:r>
                      <w:rPr>
                        <w:rFonts w:ascii="Cambria Math" w:hAnsi="Cambria Math"/>
                        <w:kern w:val="0"/>
                      </w:rPr>
                      <m:t>S</m:t>
                    </m:r>
                  </m:e>
                  <m:sub>
                    <m:r>
                      <w:rPr>
                        <w:rFonts w:ascii="Cambria Math" w:hAnsi="Cambria Math"/>
                        <w:kern w:val="0"/>
                      </w:rPr>
                      <m:t>u</m:t>
                    </m:r>
                  </m:sub>
                </m:sSub>
              </m:den>
            </m:f>
          </m:e>
        </m:d>
      </m:oMath>
      <w:r w:rsidRPr="00BC31E0">
        <w:rPr>
          <w:rFonts w:hint="eastAsia"/>
        </w:rPr>
        <w:tab/>
      </w:r>
      <w:r w:rsidR="00CF1748" w:rsidRPr="00BC31E0">
        <w:rPr>
          <w:rFonts w:hint="eastAsia"/>
        </w:rPr>
        <w:t>(6.3.10</w:t>
      </w:r>
      <w:r w:rsidRPr="00BC31E0">
        <w:rPr>
          <w:rFonts w:hint="eastAsia"/>
        </w:rPr>
        <w:t>)</w:t>
      </w:r>
    </w:p>
    <w:p w14:paraId="3F9B66F1" w14:textId="77777777" w:rsidR="00E20930" w:rsidRPr="00BC31E0" w:rsidRDefault="00E20930" w:rsidP="00736130">
      <w:pPr>
        <w:pStyle w:val="a4"/>
        <w:numPr>
          <w:ilvl w:val="0"/>
          <w:numId w:val="356"/>
        </w:numPr>
        <w:spacing w:before="120"/>
        <w:ind w:leftChars="0" w:left="738" w:hanging="454"/>
      </w:pPr>
      <w:r w:rsidRPr="00BC31E0">
        <w:rPr>
          <w:rFonts w:ascii="ＭＳ ゴシック" w:eastAsia="ＭＳ ゴシック" w:hAnsi="ＭＳ ゴシック" w:hint="eastAsia"/>
          <w:b/>
        </w:rPr>
        <w:t>図</w:t>
      </w:r>
      <w:r w:rsidRPr="00BC31E0">
        <w:rPr>
          <w:rFonts w:ascii="ＭＳ ゴシック" w:eastAsia="ＭＳ ゴシック" w:hAnsi="ＭＳ ゴシック"/>
          <w:b/>
        </w:rPr>
        <w:t>6.3.2</w:t>
      </w:r>
      <w:r w:rsidRPr="00BC31E0">
        <w:rPr>
          <w:rFonts w:ascii="ＭＳ 明朝" w:hAnsi="ＭＳ 明朝" w:hint="eastAsia"/>
        </w:rPr>
        <w:t>において，</w:t>
      </w:r>
      <m:oMath>
        <m:sSup>
          <m:sSupPr>
            <m:ctrlPr>
              <w:rPr>
                <w:rFonts w:ascii="Cambria Math" w:hAnsi="Cambria Math"/>
                <w:vertAlign w:val="superscript"/>
              </w:rPr>
            </m:ctrlPr>
          </m:sSupPr>
          <m:e>
            <m:r>
              <m:rPr>
                <m:sty m:val="p"/>
              </m:rPr>
              <w:rPr>
                <w:rFonts w:ascii="Cambria Math" w:hAnsi="Cambria Math"/>
                <w:vertAlign w:val="superscript"/>
              </w:rPr>
              <m:t>10</m:t>
            </m:r>
          </m:e>
          <m:sup>
            <m:r>
              <m:rPr>
                <m:sty m:val="p"/>
              </m:rPr>
              <w:rPr>
                <w:rFonts w:ascii="Cambria Math" w:hAnsi="Cambria Math"/>
                <w:vertAlign w:val="superscript"/>
              </w:rPr>
              <m:t>8</m:t>
            </m:r>
          </m:sup>
        </m:sSup>
        <m:r>
          <m:rPr>
            <m:sty m:val="p"/>
          </m:rPr>
          <w:rPr>
            <w:rFonts w:ascii="Cambria Math" w:hAnsi="Cambria Math" w:hint="eastAsia"/>
            <w:vertAlign w:val="superscript"/>
          </w:rPr>
          <m:t xml:space="preserve"> </m:t>
        </m:r>
      </m:oMath>
      <w:r w:rsidRPr="00BC31E0">
        <w:rPr>
          <w:rFonts w:ascii="ＭＳ 明朝" w:hAnsi="ＭＳ 明朝" w:hint="eastAsia"/>
        </w:rPr>
        <w:t>回に対する許容応力振幅</w:t>
      </w:r>
      <m:oMath>
        <m:sSub>
          <m:sSubPr>
            <m:ctrlPr>
              <w:rPr>
                <w:rFonts w:ascii="Cambria Math" w:hAnsi="Cambria Math"/>
                <w:i/>
              </w:rPr>
            </m:ctrlPr>
          </m:sSubPr>
          <m:e>
            <m:r>
              <w:rPr>
                <w:rFonts w:ascii="Cambria Math" w:hAnsi="Cambria Math"/>
              </w:rPr>
              <m:t xml:space="preserve"> S</m:t>
            </m:r>
          </m:e>
          <m:sub>
            <m:r>
              <w:rPr>
                <w:rFonts w:ascii="Cambria Math" w:hAnsi="Cambria Math"/>
              </w:rPr>
              <m:t>a</m:t>
            </m:r>
          </m:sub>
        </m:sSub>
        <m:r>
          <m:rPr>
            <m:sty m:val="p"/>
          </m:rPr>
          <w:rPr>
            <w:rFonts w:ascii="Cambria Math" w:hAnsi="Cambria Math" w:hint="eastAsia"/>
          </w:rPr>
          <m:t xml:space="preserve"> </m:t>
        </m:r>
      </m:oMath>
      <w:r w:rsidRPr="00BC31E0">
        <w:rPr>
          <w:rFonts w:hint="eastAsia"/>
        </w:rPr>
        <w:t>は次による。ただし，この値が</w:t>
      </w:r>
      <w:r w:rsidRPr="00BC31E0">
        <w:rPr>
          <w:rFonts w:ascii="ＭＳ ゴシック" w:eastAsia="ＭＳ ゴシック" w:hAnsi="ＭＳ ゴシック" w:hint="eastAsia"/>
          <w:b/>
        </w:rPr>
        <w:t>図</w:t>
      </w:r>
      <w:r w:rsidRPr="00BC31E0">
        <w:rPr>
          <w:rFonts w:ascii="ＭＳ ゴシック" w:eastAsia="ＭＳ ゴシック" w:hAnsi="ＭＳ ゴシック"/>
          <w:b/>
        </w:rPr>
        <w:t>6.3.2</w:t>
      </w:r>
      <w:r w:rsidRPr="00BC31E0">
        <w:rPr>
          <w:rFonts w:asciiTheme="minorEastAsia" w:eastAsiaTheme="minorEastAsia" w:hAnsiTheme="minorEastAsia" w:hint="eastAsia"/>
        </w:rPr>
        <w:t>の</w:t>
      </w:r>
      <m:oMath>
        <m:sSup>
          <m:sSupPr>
            <m:ctrlPr>
              <w:rPr>
                <w:rFonts w:ascii="Cambria Math" w:eastAsiaTheme="minorEastAsia" w:hAnsi="Cambria Math"/>
                <w:vertAlign w:val="superscript"/>
              </w:rPr>
            </m:ctrlPr>
          </m:sSupPr>
          <m:e>
            <m:r>
              <m:rPr>
                <m:sty m:val="p"/>
              </m:rPr>
              <w:rPr>
                <w:rFonts w:ascii="Cambria Math" w:eastAsiaTheme="minorEastAsia" w:hAnsi="Cambria Math"/>
                <w:vertAlign w:val="superscript"/>
              </w:rPr>
              <m:t>10</m:t>
            </m:r>
          </m:e>
          <m:sup>
            <m:r>
              <m:rPr>
                <m:sty m:val="p"/>
              </m:rPr>
              <w:rPr>
                <w:rFonts w:ascii="Cambria Math" w:eastAsiaTheme="minorEastAsia" w:hAnsi="Cambria Math"/>
                <w:vertAlign w:val="superscript"/>
              </w:rPr>
              <m:t>7</m:t>
            </m:r>
          </m:sup>
        </m:sSup>
      </m:oMath>
      <w:r w:rsidRPr="00BC31E0">
        <w:rPr>
          <w:rFonts w:asciiTheme="minorEastAsia" w:eastAsiaTheme="minorEastAsia" w:hAnsiTheme="minorEastAsia" w:hint="eastAsia"/>
        </w:rPr>
        <w:t>回に対する許容応力振幅値を超える場合は，</w:t>
      </w:r>
      <m:oMath>
        <m:sSup>
          <m:sSupPr>
            <m:ctrlPr>
              <w:rPr>
                <w:rFonts w:ascii="Cambria Math" w:eastAsiaTheme="minorEastAsia" w:hAnsi="Cambria Math"/>
                <w:vertAlign w:val="superscript"/>
              </w:rPr>
            </m:ctrlPr>
          </m:sSupPr>
          <m:e>
            <m:r>
              <m:rPr>
                <m:sty m:val="p"/>
              </m:rPr>
              <w:rPr>
                <w:rFonts w:ascii="Cambria Math" w:eastAsiaTheme="minorEastAsia" w:hAnsi="Cambria Math"/>
                <w:vertAlign w:val="superscript"/>
              </w:rPr>
              <m:t>10</m:t>
            </m:r>
          </m:e>
          <m:sup>
            <m:r>
              <m:rPr>
                <m:sty m:val="p"/>
              </m:rPr>
              <w:rPr>
                <w:rFonts w:ascii="Cambria Math" w:eastAsiaTheme="minorEastAsia" w:hAnsi="Cambria Math"/>
                <w:vertAlign w:val="superscript"/>
              </w:rPr>
              <m:t>7</m:t>
            </m:r>
          </m:sup>
        </m:sSup>
        <m:r>
          <m:rPr>
            <m:sty m:val="p"/>
          </m:rPr>
          <w:rPr>
            <w:rFonts w:ascii="Cambria Math" w:eastAsiaTheme="minorEastAsia" w:hAnsi="Cambria Math" w:hint="eastAsia"/>
            <w:vertAlign w:val="superscript"/>
          </w:rPr>
          <m:t xml:space="preserve"> </m:t>
        </m:r>
      </m:oMath>
      <w:r w:rsidRPr="00BC31E0">
        <w:rPr>
          <w:rFonts w:asciiTheme="minorEastAsia" w:eastAsiaTheme="minorEastAsia" w:hAnsiTheme="minorEastAsia" w:hint="eastAsia"/>
        </w:rPr>
        <w:t>回に対する許容応力振幅値に等しくとる。</w:t>
      </w:r>
    </w:p>
    <w:p w14:paraId="47C8F73B" w14:textId="77777777" w:rsidR="00E20930" w:rsidRPr="00BC31E0" w:rsidRDefault="00E20930" w:rsidP="009B4E91">
      <w:pPr>
        <w:tabs>
          <w:tab w:val="left" w:pos="2552"/>
          <w:tab w:val="left" w:leader="middleDot" w:pos="8222"/>
        </w:tabs>
      </w:pPr>
      <w:r w:rsidRPr="00BC31E0">
        <w:rPr>
          <w:rFonts w:hint="eastAsia"/>
          <w:kern w:val="0"/>
        </w:rPr>
        <w:lastRenderedPageBreak/>
        <w:tab/>
      </w:r>
      <m:oMath>
        <m:sSub>
          <m:sSubPr>
            <m:ctrlPr>
              <w:rPr>
                <w:rFonts w:ascii="Cambria Math" w:hAnsi="Cambria Math"/>
                <w:i/>
                <w:kern w:val="0"/>
              </w:rPr>
            </m:ctrlPr>
          </m:sSubPr>
          <m:e>
            <m:r>
              <w:rPr>
                <w:rFonts w:ascii="Cambria Math" w:hAnsi="Cambria Math"/>
                <w:kern w:val="0"/>
              </w:rPr>
              <m:t>S</m:t>
            </m:r>
          </m:e>
          <m:sub>
            <m:r>
              <w:rPr>
                <w:rFonts w:ascii="Cambria Math" w:hAnsi="Cambria Math"/>
                <w:kern w:val="0"/>
              </w:rPr>
              <m:t>a</m:t>
            </m:r>
          </m:sub>
        </m:sSub>
        <m:r>
          <w:rPr>
            <w:rFonts w:ascii="Cambria Math" w:hAnsi="Cambria Math"/>
            <w:kern w:val="0"/>
          </w:rPr>
          <m:t xml:space="preserve">=0.25 </m:t>
        </m:r>
        <m:sSub>
          <m:sSubPr>
            <m:ctrlPr>
              <w:rPr>
                <w:rFonts w:ascii="Cambria Math" w:hAnsi="Cambria Math"/>
                <w:i/>
                <w:kern w:val="0"/>
              </w:rPr>
            </m:ctrlPr>
          </m:sSubPr>
          <m:e>
            <m:r>
              <w:rPr>
                <w:rFonts w:ascii="Cambria Math" w:hAnsi="Cambria Math"/>
                <w:kern w:val="0"/>
              </w:rPr>
              <m:t>S</m:t>
            </m:r>
          </m:e>
          <m:sub>
            <m:r>
              <w:rPr>
                <w:rFonts w:ascii="Cambria Math" w:hAnsi="Cambria Math"/>
                <w:kern w:val="0"/>
              </w:rPr>
              <m:t>u</m:t>
            </m:r>
          </m:sub>
        </m:sSub>
      </m:oMath>
      <w:r w:rsidRPr="00BC31E0">
        <w:rPr>
          <w:rFonts w:hint="eastAsia"/>
        </w:rPr>
        <w:tab/>
      </w:r>
      <w:r w:rsidR="00CF1748" w:rsidRPr="00BC31E0">
        <w:rPr>
          <w:rFonts w:hint="eastAsia"/>
        </w:rPr>
        <w:t>(6.3.11</w:t>
      </w:r>
      <w:r w:rsidRPr="00BC31E0">
        <w:rPr>
          <w:rFonts w:hint="eastAsia"/>
        </w:rPr>
        <w:t>)</w:t>
      </w:r>
    </w:p>
    <w:p w14:paraId="03C162E9" w14:textId="77777777" w:rsidR="00E20930" w:rsidRPr="00BC31E0" w:rsidRDefault="00E20930" w:rsidP="00736130">
      <w:pPr>
        <w:pStyle w:val="a4"/>
        <w:numPr>
          <w:ilvl w:val="0"/>
          <w:numId w:val="356"/>
        </w:numPr>
        <w:spacing w:before="120"/>
        <w:ind w:leftChars="0" w:left="738" w:hanging="454"/>
      </w:pPr>
      <w:r w:rsidRPr="00BC31E0">
        <w:rPr>
          <w:rFonts w:ascii="ＭＳ ゴシック" w:eastAsia="ＭＳ ゴシック" w:hAnsi="ＭＳ ゴシック" w:hint="eastAsia"/>
          <w:b/>
        </w:rPr>
        <w:t>図</w:t>
      </w:r>
      <w:r w:rsidRPr="00BC31E0">
        <w:rPr>
          <w:rFonts w:ascii="ＭＳ ゴシック" w:eastAsia="ＭＳ ゴシック" w:hAnsi="ＭＳ ゴシック"/>
          <w:b/>
        </w:rPr>
        <w:t>6.3.3</w:t>
      </w:r>
      <w:r w:rsidRPr="00BC31E0">
        <w:rPr>
          <w:rFonts w:asciiTheme="minorEastAsia" w:eastAsiaTheme="minorEastAsia" w:hAnsiTheme="minorEastAsia" w:hint="eastAsia"/>
        </w:rPr>
        <w:t>において，</w:t>
      </w:r>
      <m:oMath>
        <m:sSup>
          <m:sSupPr>
            <m:ctrlPr>
              <w:rPr>
                <w:rFonts w:ascii="Cambria Math" w:eastAsiaTheme="minorEastAsia" w:hAnsi="Cambria Math"/>
                <w:vertAlign w:val="superscript"/>
              </w:rPr>
            </m:ctrlPr>
          </m:sSupPr>
          <m:e>
            <m:r>
              <m:rPr>
                <m:sty m:val="p"/>
              </m:rPr>
              <w:rPr>
                <w:rFonts w:ascii="Cambria Math" w:eastAsiaTheme="minorEastAsia" w:hAnsi="Cambria Math"/>
                <w:vertAlign w:val="superscript"/>
              </w:rPr>
              <m:t>10</m:t>
            </m:r>
          </m:e>
          <m:sup>
            <m:r>
              <m:rPr>
                <m:sty m:val="p"/>
              </m:rPr>
              <w:rPr>
                <w:rFonts w:ascii="Cambria Math" w:eastAsiaTheme="minorEastAsia" w:hAnsi="Cambria Math"/>
                <w:vertAlign w:val="superscript"/>
              </w:rPr>
              <m:t>8</m:t>
            </m:r>
          </m:sup>
        </m:sSup>
        <m:r>
          <m:rPr>
            <m:sty m:val="p"/>
          </m:rPr>
          <w:rPr>
            <w:rFonts w:ascii="Cambria Math" w:eastAsiaTheme="minorEastAsia" w:hAnsi="Cambria Math" w:hint="eastAsia"/>
            <w:vertAlign w:val="superscript"/>
          </w:rPr>
          <m:t xml:space="preserve"> </m:t>
        </m:r>
      </m:oMath>
      <w:r w:rsidRPr="00BC31E0">
        <w:rPr>
          <w:rFonts w:asciiTheme="minorEastAsia" w:eastAsiaTheme="minorEastAsia" w:hAnsiTheme="minorEastAsia" w:hint="eastAsia"/>
        </w:rPr>
        <w:t>回に対する許容応力振幅</w:t>
      </w:r>
      <m:oMath>
        <m:sSub>
          <m:sSubPr>
            <m:ctrlPr>
              <w:rPr>
                <w:rFonts w:ascii="Cambria Math" w:hAnsi="Cambria Math"/>
                <w:i/>
              </w:rPr>
            </m:ctrlPr>
          </m:sSubPr>
          <m:e>
            <m:r>
              <w:rPr>
                <w:rFonts w:ascii="Cambria Math" w:hAnsi="Cambria Math"/>
              </w:rPr>
              <m:t xml:space="preserve"> S</m:t>
            </m:r>
          </m:e>
          <m:sub>
            <m:r>
              <w:rPr>
                <w:rFonts w:ascii="Cambria Math" w:hAnsi="Cambria Math"/>
              </w:rPr>
              <m:t>a</m:t>
            </m:r>
          </m:sub>
        </m:sSub>
        <m:r>
          <w:rPr>
            <w:rFonts w:ascii="Cambria Math" w:hAnsi="Cambria Math" w:hint="eastAsia"/>
          </w:rPr>
          <m:t xml:space="preserve"> </m:t>
        </m:r>
      </m:oMath>
      <w:r w:rsidRPr="00BC31E0">
        <w:rPr>
          <w:rFonts w:hint="eastAsia"/>
        </w:rPr>
        <w:t>は次による。ただし，この値が</w:t>
      </w:r>
      <w:r w:rsidRPr="00BC31E0">
        <w:rPr>
          <w:rFonts w:ascii="ＭＳ ゴシック" w:eastAsia="ＭＳ ゴシック" w:hAnsi="ＭＳ ゴシック" w:hint="eastAsia"/>
          <w:b/>
        </w:rPr>
        <w:t>図</w:t>
      </w:r>
      <w:r w:rsidRPr="00BC31E0">
        <w:rPr>
          <w:rFonts w:ascii="ＭＳ ゴシック" w:eastAsia="ＭＳ ゴシック" w:hAnsi="ＭＳ ゴシック"/>
          <w:b/>
        </w:rPr>
        <w:t>6.3.3</w:t>
      </w:r>
      <w:r w:rsidRPr="00BC31E0">
        <w:rPr>
          <w:rFonts w:asciiTheme="minorEastAsia" w:eastAsiaTheme="minorEastAsia" w:hAnsiTheme="minorEastAsia" w:hint="eastAsia"/>
        </w:rPr>
        <w:t>の</w:t>
      </w:r>
      <m:oMath>
        <m:sSup>
          <m:sSupPr>
            <m:ctrlPr>
              <w:rPr>
                <w:rFonts w:ascii="Cambria Math" w:eastAsiaTheme="minorEastAsia" w:hAnsi="Cambria Math"/>
                <w:vertAlign w:val="superscript"/>
              </w:rPr>
            </m:ctrlPr>
          </m:sSupPr>
          <m:e>
            <m:r>
              <m:rPr>
                <m:sty m:val="p"/>
              </m:rPr>
              <w:rPr>
                <w:rFonts w:ascii="Cambria Math" w:eastAsiaTheme="minorEastAsia" w:hAnsi="Cambria Math"/>
                <w:vertAlign w:val="superscript"/>
              </w:rPr>
              <m:t>10</m:t>
            </m:r>
          </m:e>
          <m:sup>
            <m:r>
              <m:rPr>
                <m:sty m:val="p"/>
              </m:rPr>
              <w:rPr>
                <w:rFonts w:ascii="Cambria Math" w:eastAsiaTheme="minorEastAsia" w:hAnsi="Cambria Math"/>
                <w:vertAlign w:val="superscript"/>
              </w:rPr>
              <m:t>6</m:t>
            </m:r>
          </m:sup>
        </m:sSup>
      </m:oMath>
      <w:r w:rsidRPr="00BC31E0">
        <w:rPr>
          <w:rFonts w:asciiTheme="minorEastAsia" w:eastAsiaTheme="minorEastAsia" w:hAnsiTheme="minorEastAsia" w:hint="eastAsia"/>
        </w:rPr>
        <w:t>回に対する許容応力振幅値を超える場合は，</w:t>
      </w:r>
      <m:oMath>
        <m:sSup>
          <m:sSupPr>
            <m:ctrlPr>
              <w:rPr>
                <w:rFonts w:ascii="Cambria Math" w:eastAsiaTheme="minorEastAsia" w:hAnsi="Cambria Math"/>
                <w:vertAlign w:val="superscript"/>
              </w:rPr>
            </m:ctrlPr>
          </m:sSupPr>
          <m:e>
            <m:r>
              <m:rPr>
                <m:sty m:val="p"/>
              </m:rPr>
              <w:rPr>
                <w:rFonts w:ascii="Cambria Math" w:eastAsiaTheme="minorEastAsia" w:hAnsi="Cambria Math"/>
                <w:vertAlign w:val="superscript"/>
              </w:rPr>
              <m:t>10</m:t>
            </m:r>
          </m:e>
          <m:sup>
            <m:r>
              <m:rPr>
                <m:sty m:val="p"/>
              </m:rPr>
              <w:rPr>
                <w:rFonts w:ascii="Cambria Math" w:eastAsiaTheme="minorEastAsia" w:hAnsi="Cambria Math"/>
                <w:vertAlign w:val="superscript"/>
              </w:rPr>
              <m:t>6</m:t>
            </m:r>
          </m:sup>
        </m:sSup>
        <m:r>
          <m:rPr>
            <m:sty m:val="p"/>
          </m:rPr>
          <w:rPr>
            <w:rFonts w:ascii="Cambria Math" w:eastAsiaTheme="minorEastAsia" w:hAnsi="Cambria Math" w:hint="eastAsia"/>
            <w:vertAlign w:val="superscript"/>
          </w:rPr>
          <m:t xml:space="preserve"> </m:t>
        </m:r>
      </m:oMath>
      <w:r w:rsidRPr="00BC31E0">
        <w:rPr>
          <w:rFonts w:asciiTheme="minorEastAsia" w:eastAsiaTheme="minorEastAsia" w:hAnsiTheme="minorEastAsia" w:hint="eastAsia"/>
        </w:rPr>
        <w:t>回に対する許容応力振幅値に等しくとる。</w:t>
      </w:r>
    </w:p>
    <w:p w14:paraId="2CFC3B45" w14:textId="77777777" w:rsidR="00E20930" w:rsidRPr="00BC31E0" w:rsidRDefault="00E20930" w:rsidP="009B4E91">
      <w:pPr>
        <w:tabs>
          <w:tab w:val="left" w:pos="2552"/>
          <w:tab w:val="left" w:leader="middleDot" w:pos="8222"/>
        </w:tabs>
      </w:pPr>
      <w:r w:rsidRPr="00BC31E0">
        <w:rPr>
          <w:rFonts w:hint="eastAsia"/>
          <w:kern w:val="0"/>
        </w:rPr>
        <w:tab/>
      </w:r>
      <m:oMath>
        <m:sSub>
          <m:sSubPr>
            <m:ctrlPr>
              <w:rPr>
                <w:rFonts w:ascii="Cambria Math" w:hAnsi="Cambria Math"/>
                <w:i/>
                <w:kern w:val="0"/>
              </w:rPr>
            </m:ctrlPr>
          </m:sSubPr>
          <m:e>
            <m:r>
              <w:rPr>
                <w:rFonts w:ascii="Cambria Math" w:hAnsi="Cambria Math"/>
                <w:kern w:val="0"/>
              </w:rPr>
              <m:t>S</m:t>
            </m:r>
          </m:e>
          <m:sub>
            <m:r>
              <w:rPr>
                <w:rFonts w:ascii="Cambria Math" w:hAnsi="Cambria Math"/>
                <w:kern w:val="0"/>
              </w:rPr>
              <m:t>a</m:t>
            </m:r>
          </m:sub>
        </m:sSub>
        <m:r>
          <w:rPr>
            <w:rFonts w:ascii="Cambria Math" w:hAnsi="Cambria Math"/>
            <w:kern w:val="0"/>
          </w:rPr>
          <m:t xml:space="preserve">=0.33 </m:t>
        </m:r>
        <m:sSub>
          <m:sSubPr>
            <m:ctrlPr>
              <w:rPr>
                <w:rFonts w:ascii="Cambria Math" w:hAnsi="Cambria Math"/>
                <w:i/>
                <w:kern w:val="0"/>
              </w:rPr>
            </m:ctrlPr>
          </m:sSubPr>
          <m:e>
            <m:r>
              <w:rPr>
                <w:rFonts w:ascii="Cambria Math" w:hAnsi="Cambria Math"/>
                <w:kern w:val="0"/>
              </w:rPr>
              <m:t>S</m:t>
            </m:r>
          </m:e>
          <m:sub>
            <m:r>
              <w:rPr>
                <w:rFonts w:ascii="Cambria Math" w:hAnsi="Cambria Math"/>
                <w:kern w:val="0"/>
              </w:rPr>
              <m:t>u</m:t>
            </m:r>
          </m:sub>
        </m:sSub>
        <m:f>
          <m:fPr>
            <m:type m:val="lin"/>
            <m:ctrlPr>
              <w:rPr>
                <w:rFonts w:ascii="Cambria Math" w:hAnsi="Cambria Math"/>
                <w:i/>
                <w:kern w:val="0"/>
              </w:rPr>
            </m:ctrlPr>
          </m:fPr>
          <m:num>
            <m:d>
              <m:dPr>
                <m:begChr m:val="{"/>
                <m:endChr m:val="}"/>
                <m:ctrlPr>
                  <w:rPr>
                    <w:rFonts w:ascii="Cambria Math" w:hAnsi="Cambria Math"/>
                    <w:i/>
                    <w:kern w:val="0"/>
                  </w:rPr>
                </m:ctrlPr>
              </m:dPr>
              <m:e>
                <m:r>
                  <w:rPr>
                    <w:rFonts w:ascii="Cambria Math" w:hAnsi="Cambria Math"/>
                    <w:kern w:val="0"/>
                  </w:rPr>
                  <m:t>8-</m:t>
                </m:r>
                <m:sSup>
                  <m:sSupPr>
                    <m:ctrlPr>
                      <w:rPr>
                        <w:rFonts w:ascii="Cambria Math" w:hAnsi="Cambria Math"/>
                        <w:i/>
                        <w:kern w:val="0"/>
                      </w:rPr>
                    </m:ctrlPr>
                  </m:sSupPr>
                  <m:e>
                    <m:d>
                      <m:dPr>
                        <m:ctrlPr>
                          <w:rPr>
                            <w:rFonts w:ascii="Cambria Math" w:hAnsi="Cambria Math"/>
                            <w:i/>
                            <w:kern w:val="0"/>
                          </w:rPr>
                        </m:ctrlPr>
                      </m:dPr>
                      <m:e>
                        <m:r>
                          <w:rPr>
                            <w:rFonts w:ascii="Cambria Math" w:hAnsi="Cambria Math"/>
                            <w:kern w:val="0"/>
                          </w:rPr>
                          <m:t>1+</m:t>
                        </m:r>
                        <m:f>
                          <m:fPr>
                            <m:type m:val="lin"/>
                            <m:ctrlPr>
                              <w:rPr>
                                <w:rFonts w:ascii="Cambria Math" w:hAnsi="Cambria Math"/>
                                <w:i/>
                                <w:kern w:val="0"/>
                              </w:rPr>
                            </m:ctrlPr>
                          </m:fPr>
                          <m:num>
                            <m:sSub>
                              <m:sSubPr>
                                <m:ctrlPr>
                                  <w:rPr>
                                    <w:rFonts w:ascii="Cambria Math" w:hAnsi="Cambria Math"/>
                                    <w:i/>
                                    <w:kern w:val="0"/>
                                  </w:rPr>
                                </m:ctrlPr>
                              </m:sSubPr>
                              <m:e>
                                <m:r>
                                  <w:rPr>
                                    <w:rFonts w:ascii="Cambria Math" w:hAnsi="Cambria Math"/>
                                    <w:kern w:val="0"/>
                                  </w:rPr>
                                  <m:t>S</m:t>
                                </m:r>
                              </m:e>
                              <m:sub>
                                <m:r>
                                  <w:rPr>
                                    <w:rFonts w:ascii="Cambria Math" w:hAnsi="Cambria Math"/>
                                    <w:kern w:val="0"/>
                                  </w:rPr>
                                  <m:t>mij</m:t>
                                </m:r>
                              </m:sub>
                            </m:sSub>
                          </m:num>
                          <m:den>
                            <m:sSub>
                              <m:sSubPr>
                                <m:ctrlPr>
                                  <w:rPr>
                                    <w:rFonts w:ascii="Cambria Math" w:hAnsi="Cambria Math"/>
                                    <w:i/>
                                    <w:kern w:val="0"/>
                                  </w:rPr>
                                </m:ctrlPr>
                              </m:sSubPr>
                              <m:e>
                                <m:r>
                                  <w:rPr>
                                    <w:rFonts w:ascii="Cambria Math" w:hAnsi="Cambria Math"/>
                                    <w:kern w:val="0"/>
                                  </w:rPr>
                                  <m:t>S</m:t>
                                </m:r>
                              </m:e>
                              <m:sub>
                                <m:r>
                                  <w:rPr>
                                    <w:rFonts w:ascii="Cambria Math" w:hAnsi="Cambria Math"/>
                                    <w:kern w:val="0"/>
                                  </w:rPr>
                                  <m:t>u</m:t>
                                </m:r>
                              </m:sub>
                            </m:sSub>
                          </m:den>
                        </m:f>
                      </m:e>
                    </m:d>
                  </m:e>
                  <m:sup>
                    <m:r>
                      <w:rPr>
                        <w:rFonts w:ascii="Cambria Math" w:hAnsi="Cambria Math"/>
                        <w:kern w:val="0"/>
                      </w:rPr>
                      <m:t>3</m:t>
                    </m:r>
                  </m:sup>
                </m:sSup>
              </m:e>
            </m:d>
          </m:num>
          <m:den>
            <m:r>
              <w:rPr>
                <w:rFonts w:ascii="Cambria Math" w:hAnsi="Cambria Math"/>
                <w:kern w:val="0"/>
              </w:rPr>
              <m:t>7</m:t>
            </m:r>
          </m:den>
        </m:f>
      </m:oMath>
      <w:r w:rsidRPr="00BC31E0">
        <w:rPr>
          <w:rFonts w:hint="eastAsia"/>
        </w:rPr>
        <w:tab/>
      </w:r>
      <w:r w:rsidR="00CF1748" w:rsidRPr="00BC31E0">
        <w:rPr>
          <w:rFonts w:hint="eastAsia"/>
        </w:rPr>
        <w:t>(6.3.12</w:t>
      </w:r>
      <w:r w:rsidRPr="00BC31E0">
        <w:rPr>
          <w:rFonts w:hint="eastAsia"/>
        </w:rPr>
        <w:t>)</w:t>
      </w:r>
    </w:p>
    <w:p w14:paraId="637A8980" w14:textId="77777777" w:rsidR="00E20930" w:rsidRPr="00BC31E0" w:rsidRDefault="00E20930" w:rsidP="00736130">
      <w:pPr>
        <w:pStyle w:val="a4"/>
        <w:numPr>
          <w:ilvl w:val="0"/>
          <w:numId w:val="356"/>
        </w:numPr>
        <w:ind w:leftChars="0" w:left="738" w:hanging="454"/>
      </w:pPr>
      <w:r w:rsidRPr="00BC31E0">
        <w:rPr>
          <w:rFonts w:ascii="ＭＳ ゴシック" w:eastAsia="ＭＳ ゴシック" w:hAnsi="ＭＳ ゴシック" w:hint="eastAsia"/>
          <w:b/>
        </w:rPr>
        <w:t>図</w:t>
      </w:r>
      <w:r w:rsidRPr="00BC31E0">
        <w:rPr>
          <w:rFonts w:ascii="ＭＳ ゴシック" w:eastAsia="ＭＳ ゴシック" w:hAnsi="ＭＳ ゴシック"/>
          <w:b/>
        </w:rPr>
        <w:t>6.3.6</w:t>
      </w:r>
      <w:r w:rsidRPr="00BC31E0">
        <w:rPr>
          <w:rFonts w:hint="eastAsia"/>
        </w:rPr>
        <w:t>において，</w:t>
      </w:r>
      <m:oMath>
        <m:sSup>
          <m:sSupPr>
            <m:ctrlPr>
              <w:rPr>
                <w:rFonts w:ascii="Cambria Math" w:hAnsi="Cambria Math"/>
                <w:vertAlign w:val="superscript"/>
              </w:rPr>
            </m:ctrlPr>
          </m:sSupPr>
          <m:e>
            <m:r>
              <m:rPr>
                <m:sty m:val="p"/>
              </m:rPr>
              <w:rPr>
                <w:rFonts w:ascii="Cambria Math" w:hAnsi="Cambria Math"/>
                <w:vertAlign w:val="superscript"/>
              </w:rPr>
              <m:t>10</m:t>
            </m:r>
          </m:e>
          <m:sup>
            <m:r>
              <m:rPr>
                <m:sty m:val="p"/>
              </m:rPr>
              <w:rPr>
                <w:rFonts w:ascii="Cambria Math" w:hAnsi="Cambria Math"/>
                <w:vertAlign w:val="superscript"/>
              </w:rPr>
              <m:t>8</m:t>
            </m:r>
            <m:r>
              <m:rPr>
                <m:sty m:val="p"/>
              </m:rPr>
              <w:rPr>
                <w:rFonts w:ascii="Cambria Math" w:hAnsi="Cambria Math" w:hint="eastAsia"/>
                <w:vertAlign w:val="superscript"/>
              </w:rPr>
              <m:t xml:space="preserve"> </m:t>
            </m:r>
          </m:sup>
        </m:sSup>
      </m:oMath>
      <w:r w:rsidRPr="00BC31E0">
        <w:rPr>
          <w:rFonts w:hint="eastAsia"/>
        </w:rPr>
        <w:t>回に対する許容応力振幅</w:t>
      </w:r>
      <m:oMath>
        <m:sSub>
          <m:sSubPr>
            <m:ctrlPr>
              <w:rPr>
                <w:rFonts w:ascii="Cambria Math" w:hAnsi="Cambria Math"/>
                <w:i/>
              </w:rPr>
            </m:ctrlPr>
          </m:sSubPr>
          <m:e>
            <m:r>
              <w:rPr>
                <w:rFonts w:ascii="Cambria Math" w:hAnsi="Cambria Math"/>
              </w:rPr>
              <m:t xml:space="preserve"> S</m:t>
            </m:r>
          </m:e>
          <m:sub>
            <m:r>
              <w:rPr>
                <w:rFonts w:ascii="Cambria Math" w:hAnsi="Cambria Math"/>
              </w:rPr>
              <m:t>a</m:t>
            </m:r>
          </m:sub>
        </m:sSub>
        <m:r>
          <w:rPr>
            <w:rFonts w:ascii="Cambria Math" w:hAnsi="Cambria Math" w:hint="eastAsia"/>
          </w:rPr>
          <m:t xml:space="preserve"> </m:t>
        </m:r>
      </m:oMath>
      <w:r w:rsidRPr="00BC31E0">
        <w:rPr>
          <w:rFonts w:hint="eastAsia"/>
        </w:rPr>
        <w:t>は次による。ただし，この値が</w:t>
      </w:r>
      <w:r w:rsidRPr="00BC31E0">
        <w:rPr>
          <w:rFonts w:ascii="ＭＳ ゴシック" w:eastAsia="ＭＳ ゴシック" w:hAnsi="ＭＳ ゴシック" w:hint="eastAsia"/>
          <w:b/>
        </w:rPr>
        <w:t>図</w:t>
      </w:r>
      <w:r w:rsidRPr="00BC31E0">
        <w:rPr>
          <w:rFonts w:ascii="ＭＳ ゴシック" w:eastAsia="ＭＳ ゴシック" w:hAnsi="ＭＳ ゴシック"/>
          <w:b/>
        </w:rPr>
        <w:t>6.3.6</w:t>
      </w:r>
      <w:r w:rsidRPr="00BC31E0">
        <w:rPr>
          <w:rFonts w:hint="eastAsia"/>
        </w:rPr>
        <w:t>の</w:t>
      </w:r>
      <m:oMath>
        <m:sSup>
          <m:sSupPr>
            <m:ctrlPr>
              <w:rPr>
                <w:rFonts w:ascii="Cambria Math" w:hAnsi="Cambria Math"/>
                <w:vertAlign w:val="superscript"/>
              </w:rPr>
            </m:ctrlPr>
          </m:sSupPr>
          <m:e>
            <m:r>
              <m:rPr>
                <m:sty m:val="p"/>
              </m:rPr>
              <w:rPr>
                <w:rFonts w:ascii="Cambria Math" w:hAnsi="Cambria Math"/>
                <w:vertAlign w:val="superscript"/>
              </w:rPr>
              <m:t>10</m:t>
            </m:r>
          </m:e>
          <m:sup>
            <m:r>
              <m:rPr>
                <m:sty m:val="p"/>
              </m:rPr>
              <w:rPr>
                <w:rFonts w:ascii="Cambria Math" w:hAnsi="Cambria Math"/>
                <w:vertAlign w:val="superscript"/>
              </w:rPr>
              <m:t>7</m:t>
            </m:r>
          </m:sup>
        </m:sSup>
      </m:oMath>
      <w:r w:rsidRPr="00BC31E0">
        <w:rPr>
          <w:rFonts w:hint="eastAsia"/>
        </w:rPr>
        <w:t>回に対する許容応力振幅値を超える場合は，</w:t>
      </w:r>
      <m:oMath>
        <m:sSup>
          <m:sSupPr>
            <m:ctrlPr>
              <w:rPr>
                <w:rFonts w:ascii="Cambria Math" w:hAnsi="Cambria Math"/>
                <w:vertAlign w:val="superscript"/>
              </w:rPr>
            </m:ctrlPr>
          </m:sSupPr>
          <m:e>
            <m:r>
              <m:rPr>
                <m:sty m:val="p"/>
              </m:rPr>
              <w:rPr>
                <w:rFonts w:ascii="Cambria Math" w:hAnsi="Cambria Math"/>
                <w:vertAlign w:val="superscript"/>
              </w:rPr>
              <m:t>10</m:t>
            </m:r>
          </m:e>
          <m:sup>
            <m:r>
              <m:rPr>
                <m:sty m:val="p"/>
              </m:rPr>
              <w:rPr>
                <w:rFonts w:ascii="Cambria Math" w:hAnsi="Cambria Math"/>
                <w:vertAlign w:val="superscript"/>
              </w:rPr>
              <m:t>7</m:t>
            </m:r>
          </m:sup>
        </m:sSup>
      </m:oMath>
      <w:r w:rsidRPr="00BC31E0">
        <w:rPr>
          <w:rFonts w:hint="eastAsia"/>
        </w:rPr>
        <w:t>回に対する許容応力振幅値に等しくとる。</w:t>
      </w:r>
    </w:p>
    <w:p w14:paraId="6EF9DF9E" w14:textId="77777777" w:rsidR="00E20930" w:rsidRPr="00BC31E0" w:rsidRDefault="00E20930" w:rsidP="009B4E91">
      <w:pPr>
        <w:tabs>
          <w:tab w:val="left" w:pos="2552"/>
          <w:tab w:val="left" w:leader="middleDot" w:pos="8222"/>
        </w:tabs>
      </w:pPr>
      <w:r w:rsidRPr="00BC31E0">
        <w:rPr>
          <w:rFonts w:hint="eastAsia"/>
          <w:kern w:val="0"/>
        </w:rPr>
        <w:tab/>
      </w:r>
      <m:oMath>
        <m:sSub>
          <m:sSubPr>
            <m:ctrlPr>
              <w:rPr>
                <w:rFonts w:ascii="Cambria Math" w:hAnsi="Cambria Math"/>
                <w:i/>
                <w:kern w:val="0"/>
              </w:rPr>
            </m:ctrlPr>
          </m:sSubPr>
          <m:e>
            <m:r>
              <w:rPr>
                <w:rFonts w:ascii="Cambria Math" w:hAnsi="Cambria Math"/>
                <w:kern w:val="0"/>
              </w:rPr>
              <m:t>S</m:t>
            </m:r>
          </m:e>
          <m:sub>
            <m:r>
              <w:rPr>
                <w:rFonts w:ascii="Cambria Math" w:hAnsi="Cambria Math"/>
                <w:kern w:val="0"/>
              </w:rPr>
              <m:t>a</m:t>
            </m:r>
          </m:sub>
        </m:sSub>
        <m:r>
          <w:rPr>
            <w:rFonts w:ascii="Cambria Math" w:hAnsi="Cambria Math"/>
            <w:kern w:val="0"/>
          </w:rPr>
          <m:t xml:space="preserve">=0.20 </m:t>
        </m:r>
        <m:sSub>
          <m:sSubPr>
            <m:ctrlPr>
              <w:rPr>
                <w:rFonts w:ascii="Cambria Math" w:hAnsi="Cambria Math"/>
                <w:i/>
                <w:kern w:val="0"/>
              </w:rPr>
            </m:ctrlPr>
          </m:sSubPr>
          <m:e>
            <m:r>
              <w:rPr>
                <w:rFonts w:ascii="Cambria Math" w:hAnsi="Cambria Math"/>
                <w:kern w:val="0"/>
              </w:rPr>
              <m:t>S</m:t>
            </m:r>
          </m:e>
          <m:sub>
            <m:r>
              <w:rPr>
                <w:rFonts w:ascii="Cambria Math" w:hAnsi="Cambria Math"/>
                <w:kern w:val="0"/>
              </w:rPr>
              <m:t>u</m:t>
            </m:r>
          </m:sub>
        </m:sSub>
      </m:oMath>
      <w:r w:rsidRPr="00BC31E0">
        <w:rPr>
          <w:rFonts w:hint="eastAsia"/>
        </w:rPr>
        <w:tab/>
        <w:t>(6.3.1</w:t>
      </w:r>
      <w:r w:rsidR="00CF1748" w:rsidRPr="00BC31E0">
        <w:rPr>
          <w:rFonts w:hint="eastAsia"/>
        </w:rPr>
        <w:t>3</w:t>
      </w:r>
      <w:r w:rsidRPr="00BC31E0">
        <w:rPr>
          <w:rFonts w:hint="eastAsia"/>
        </w:rPr>
        <w:t>)</w:t>
      </w:r>
    </w:p>
    <w:p w14:paraId="0304B4BA" w14:textId="77777777" w:rsidR="00E20930" w:rsidRPr="00BC31E0" w:rsidRDefault="00E20930" w:rsidP="00736130">
      <w:pPr>
        <w:pStyle w:val="a4"/>
        <w:numPr>
          <w:ilvl w:val="0"/>
          <w:numId w:val="356"/>
        </w:numPr>
        <w:ind w:leftChars="0" w:left="738" w:hanging="454"/>
      </w:pPr>
      <w:r w:rsidRPr="00BC31E0">
        <w:rPr>
          <w:rFonts w:ascii="ＭＳ ゴシック" w:eastAsia="ＭＳ ゴシック" w:hAnsi="ＭＳ ゴシック" w:hint="eastAsia"/>
          <w:b/>
        </w:rPr>
        <w:t>図</w:t>
      </w:r>
      <w:r w:rsidRPr="00BC31E0">
        <w:rPr>
          <w:rFonts w:ascii="ＭＳ ゴシック" w:eastAsia="ＭＳ ゴシック" w:hAnsi="ＭＳ ゴシック"/>
          <w:b/>
        </w:rPr>
        <w:t>6.3.8</w:t>
      </w:r>
      <w:r w:rsidRPr="00BC31E0">
        <w:rPr>
          <w:rFonts w:hint="eastAsia"/>
        </w:rPr>
        <w:t>において，</w:t>
      </w:r>
      <m:oMath>
        <m:sSup>
          <m:sSupPr>
            <m:ctrlPr>
              <w:rPr>
                <w:rFonts w:ascii="Cambria Math" w:hAnsi="Cambria Math"/>
                <w:vertAlign w:val="superscript"/>
              </w:rPr>
            </m:ctrlPr>
          </m:sSupPr>
          <m:e>
            <m:r>
              <m:rPr>
                <m:sty m:val="p"/>
              </m:rPr>
              <w:rPr>
                <w:rFonts w:ascii="Cambria Math" w:hAnsi="Cambria Math"/>
                <w:vertAlign w:val="superscript"/>
              </w:rPr>
              <m:t>10</m:t>
            </m:r>
          </m:e>
          <m:sup>
            <m:r>
              <m:rPr>
                <m:sty m:val="p"/>
              </m:rPr>
              <w:rPr>
                <w:rFonts w:ascii="Cambria Math" w:hAnsi="Cambria Math"/>
                <w:vertAlign w:val="superscript"/>
              </w:rPr>
              <m:t>8</m:t>
            </m:r>
          </m:sup>
        </m:sSup>
        <m:r>
          <m:rPr>
            <m:sty m:val="p"/>
          </m:rPr>
          <w:rPr>
            <w:rFonts w:ascii="Cambria Math" w:hAnsi="Cambria Math" w:hint="eastAsia"/>
            <w:vertAlign w:val="superscript"/>
          </w:rPr>
          <m:t xml:space="preserve"> </m:t>
        </m:r>
      </m:oMath>
      <w:r w:rsidRPr="00BC31E0">
        <w:rPr>
          <w:rFonts w:hint="eastAsia"/>
        </w:rPr>
        <w:t>回に対する許容応力振幅</w:t>
      </w:r>
      <m:oMath>
        <m:sSub>
          <m:sSubPr>
            <m:ctrlPr>
              <w:rPr>
                <w:rFonts w:ascii="Cambria Math" w:hAnsi="Cambria Math"/>
                <w:i/>
              </w:rPr>
            </m:ctrlPr>
          </m:sSubPr>
          <m:e>
            <m:r>
              <w:rPr>
                <w:rFonts w:ascii="Cambria Math" w:hAnsi="Cambria Math"/>
              </w:rPr>
              <m:t xml:space="preserve"> S</m:t>
            </m:r>
          </m:e>
          <m:sub>
            <m:r>
              <w:rPr>
                <w:rFonts w:ascii="Cambria Math" w:hAnsi="Cambria Math"/>
              </w:rPr>
              <m:t>a</m:t>
            </m:r>
            <m:r>
              <w:rPr>
                <w:rFonts w:ascii="Cambria Math" w:hAnsi="Cambria Math" w:hint="eastAsia"/>
              </w:rPr>
              <m:t xml:space="preserve"> </m:t>
            </m:r>
          </m:sub>
        </m:sSub>
      </m:oMath>
      <w:r w:rsidRPr="00BC31E0">
        <w:rPr>
          <w:rFonts w:hint="eastAsia"/>
        </w:rPr>
        <w:t>は，図から直接読み取る。</w:t>
      </w:r>
    </w:p>
    <w:p w14:paraId="6695EEA7" w14:textId="77777777" w:rsidR="00E20930" w:rsidRPr="00BC31E0" w:rsidRDefault="00E20930" w:rsidP="00736130">
      <w:pPr>
        <w:pStyle w:val="a4"/>
        <w:numPr>
          <w:ilvl w:val="0"/>
          <w:numId w:val="117"/>
        </w:numPr>
        <w:ind w:leftChars="0" w:left="454" w:hanging="454"/>
      </w:pPr>
      <w:r w:rsidRPr="00BC31E0">
        <w:rPr>
          <w:rFonts w:ascii="ＭＳ ゴシック" w:eastAsia="ＭＳ ゴシック" w:hAnsi="ＭＳ ゴシック" w:hint="eastAsia"/>
          <w:b/>
        </w:rPr>
        <w:t>図</w:t>
      </w:r>
      <w:r w:rsidRPr="00BC31E0">
        <w:rPr>
          <w:rFonts w:ascii="ＭＳ ゴシック" w:eastAsia="ＭＳ ゴシック" w:hAnsi="ＭＳ ゴシック"/>
          <w:b/>
        </w:rPr>
        <w:t>6.3.1</w:t>
      </w:r>
      <w:r w:rsidRPr="00BC31E0">
        <w:rPr>
          <w:rFonts w:hint="eastAsia"/>
        </w:rPr>
        <w:t>～</w:t>
      </w:r>
      <w:r w:rsidRPr="00BC31E0">
        <w:rPr>
          <w:rFonts w:ascii="ＭＳ ゴシック" w:eastAsia="ＭＳ ゴシック" w:hAnsi="ＭＳ ゴシック" w:hint="eastAsia"/>
          <w:b/>
        </w:rPr>
        <w:t>図</w:t>
      </w:r>
      <w:r w:rsidRPr="00BC31E0">
        <w:rPr>
          <w:rFonts w:ascii="ＭＳ ゴシック" w:eastAsia="ＭＳ ゴシック" w:hAnsi="ＭＳ ゴシック"/>
          <w:b/>
        </w:rPr>
        <w:t>6.3.3</w:t>
      </w:r>
      <w:r w:rsidRPr="00BC31E0">
        <w:rPr>
          <w:rFonts w:hint="eastAsia"/>
        </w:rPr>
        <w:t>及び</w:t>
      </w:r>
      <w:r w:rsidRPr="00BC31E0">
        <w:rPr>
          <w:rFonts w:ascii="ＭＳ ゴシック" w:eastAsia="ＭＳ ゴシック" w:hAnsi="ＭＳ ゴシック" w:hint="eastAsia"/>
          <w:b/>
        </w:rPr>
        <w:t>図</w:t>
      </w:r>
      <w:r w:rsidRPr="00BC31E0">
        <w:rPr>
          <w:rFonts w:ascii="ＭＳ ゴシック" w:eastAsia="ＭＳ ゴシック" w:hAnsi="ＭＳ ゴシック"/>
          <w:b/>
        </w:rPr>
        <w:t>6.3.6</w:t>
      </w:r>
      <w:r w:rsidRPr="00BC31E0">
        <w:rPr>
          <w:rFonts w:hint="eastAsia"/>
        </w:rPr>
        <w:t>に</w:t>
      </w:r>
      <w:r w:rsidRPr="00BC31E0">
        <w:rPr>
          <w:rFonts w:asciiTheme="minorEastAsia" w:eastAsiaTheme="minorEastAsia" w:hAnsiTheme="minorEastAsia" w:hint="eastAsia"/>
        </w:rPr>
        <w:t>おいて，図が与える上限の繰返し回数である</w:t>
      </w:r>
      <m:oMath>
        <m:sSup>
          <m:sSupPr>
            <m:ctrlPr>
              <w:rPr>
                <w:rFonts w:ascii="Cambria Math" w:eastAsiaTheme="minorEastAsia" w:hAnsi="Cambria Math"/>
                <w:vertAlign w:val="superscript"/>
              </w:rPr>
            </m:ctrlPr>
          </m:sSupPr>
          <m:e>
            <m:r>
              <m:rPr>
                <m:sty m:val="p"/>
              </m:rPr>
              <w:rPr>
                <w:rFonts w:ascii="Cambria Math" w:eastAsiaTheme="minorEastAsia" w:hAnsi="Cambria Math"/>
                <w:vertAlign w:val="superscript"/>
              </w:rPr>
              <m:t>10</m:t>
            </m:r>
          </m:e>
          <m:sup>
            <m:r>
              <m:rPr>
                <m:sty m:val="p"/>
              </m:rPr>
              <w:rPr>
                <w:rFonts w:ascii="Cambria Math" w:eastAsiaTheme="minorEastAsia" w:hAnsi="Cambria Math"/>
                <w:vertAlign w:val="superscript"/>
              </w:rPr>
              <m:t>6</m:t>
            </m:r>
          </m:sup>
        </m:sSup>
        <m:r>
          <m:rPr>
            <m:sty m:val="p"/>
          </m:rPr>
          <w:rPr>
            <w:rFonts w:ascii="Cambria Math" w:eastAsiaTheme="minorEastAsia" w:hAnsi="Cambria Math" w:hint="eastAsia"/>
            <w:vertAlign w:val="superscript"/>
          </w:rPr>
          <m:t xml:space="preserve"> </m:t>
        </m:r>
      </m:oMath>
      <w:r w:rsidRPr="00BC31E0">
        <w:rPr>
          <w:rFonts w:asciiTheme="minorEastAsia" w:eastAsiaTheme="minorEastAsia" w:hAnsiTheme="minorEastAsia" w:hint="eastAsia"/>
        </w:rPr>
        <w:t>回又は</w:t>
      </w:r>
      <m:oMath>
        <m:sSup>
          <m:sSupPr>
            <m:ctrlPr>
              <w:rPr>
                <w:rFonts w:ascii="Cambria Math" w:eastAsiaTheme="minorEastAsia" w:hAnsi="Cambria Math"/>
                <w:vertAlign w:val="superscript"/>
              </w:rPr>
            </m:ctrlPr>
          </m:sSupPr>
          <m:e>
            <m:r>
              <m:rPr>
                <m:sty m:val="p"/>
              </m:rPr>
              <w:rPr>
                <w:rFonts w:ascii="Cambria Math" w:eastAsiaTheme="minorEastAsia" w:hAnsi="Cambria Math"/>
                <w:vertAlign w:val="superscript"/>
              </w:rPr>
              <m:t>10</m:t>
            </m:r>
          </m:e>
          <m:sup>
            <m:r>
              <m:rPr>
                <m:sty m:val="p"/>
              </m:rPr>
              <w:rPr>
                <w:rFonts w:ascii="Cambria Math" w:eastAsiaTheme="minorEastAsia" w:hAnsi="Cambria Math"/>
                <w:vertAlign w:val="superscript"/>
              </w:rPr>
              <m:t>7</m:t>
            </m:r>
            <m:r>
              <m:rPr>
                <m:sty m:val="p"/>
              </m:rPr>
              <w:rPr>
                <w:rFonts w:ascii="Cambria Math" w:eastAsiaTheme="minorEastAsia" w:hAnsi="Cambria Math" w:hint="eastAsia"/>
                <w:vertAlign w:val="superscript"/>
              </w:rPr>
              <m:t xml:space="preserve"> </m:t>
            </m:r>
          </m:sup>
        </m:sSup>
      </m:oMath>
      <w:r w:rsidRPr="00BC31E0">
        <w:rPr>
          <w:rFonts w:asciiTheme="minorEastAsia" w:eastAsiaTheme="minorEastAsia" w:hAnsiTheme="minorEastAsia" w:hint="eastAsia"/>
        </w:rPr>
        <w:t>回を超え</w:t>
      </w:r>
      <m:oMath>
        <m:sSup>
          <m:sSupPr>
            <m:ctrlPr>
              <w:rPr>
                <w:rFonts w:ascii="Cambria Math" w:eastAsiaTheme="minorEastAsia" w:hAnsi="Cambria Math"/>
                <w:vertAlign w:val="superscript"/>
              </w:rPr>
            </m:ctrlPr>
          </m:sSupPr>
          <m:e>
            <m:r>
              <m:rPr>
                <m:sty m:val="p"/>
              </m:rPr>
              <w:rPr>
                <w:rFonts w:ascii="Cambria Math" w:eastAsiaTheme="minorEastAsia" w:hAnsi="Cambria Math"/>
                <w:vertAlign w:val="superscript"/>
              </w:rPr>
              <m:t>10</m:t>
            </m:r>
          </m:e>
          <m:sup>
            <m:r>
              <m:rPr>
                <m:sty m:val="p"/>
              </m:rPr>
              <w:rPr>
                <w:rFonts w:ascii="Cambria Math" w:eastAsiaTheme="minorEastAsia" w:hAnsi="Cambria Math"/>
                <w:vertAlign w:val="superscript"/>
              </w:rPr>
              <m:t>8</m:t>
            </m:r>
          </m:sup>
        </m:sSup>
        <m:r>
          <m:rPr>
            <m:sty m:val="p"/>
          </m:rPr>
          <w:rPr>
            <w:rFonts w:ascii="Cambria Math" w:eastAsiaTheme="minorEastAsia" w:hAnsi="Cambria Math" w:hint="eastAsia"/>
            <w:vertAlign w:val="superscript"/>
          </w:rPr>
          <m:t xml:space="preserve"> </m:t>
        </m:r>
      </m:oMath>
      <w:r w:rsidRPr="00BC31E0">
        <w:rPr>
          <w:rFonts w:asciiTheme="minorEastAsia" w:eastAsiaTheme="minorEastAsia" w:hAnsiTheme="minorEastAsia" w:hint="eastAsia"/>
        </w:rPr>
        <w:t>回以下の繰返し回数は，両対数で表示した設計疲労曲線において，上限の繰返し回数に対する許容応力振幅を与える点と</w:t>
      </w:r>
      <m:oMath>
        <m:sSup>
          <m:sSupPr>
            <m:ctrlPr>
              <w:rPr>
                <w:rFonts w:ascii="Cambria Math" w:eastAsiaTheme="minorEastAsia" w:hAnsi="Cambria Math"/>
                <w:vertAlign w:val="superscript"/>
              </w:rPr>
            </m:ctrlPr>
          </m:sSupPr>
          <m:e>
            <m:r>
              <m:rPr>
                <m:sty m:val="p"/>
              </m:rPr>
              <w:rPr>
                <w:rFonts w:ascii="Cambria Math" w:eastAsiaTheme="minorEastAsia" w:hAnsi="Cambria Math"/>
                <w:vertAlign w:val="superscript"/>
              </w:rPr>
              <m:t>10</m:t>
            </m:r>
          </m:e>
          <m:sup>
            <m:r>
              <m:rPr>
                <m:sty m:val="p"/>
              </m:rPr>
              <w:rPr>
                <w:rFonts w:ascii="Cambria Math" w:eastAsiaTheme="minorEastAsia" w:hAnsi="Cambria Math"/>
                <w:vertAlign w:val="superscript"/>
              </w:rPr>
              <m:t>8</m:t>
            </m:r>
          </m:sup>
        </m:sSup>
        <m:r>
          <m:rPr>
            <m:sty m:val="p"/>
          </m:rPr>
          <w:rPr>
            <w:rFonts w:ascii="Cambria Math" w:eastAsiaTheme="minorEastAsia" w:hAnsi="Cambria Math" w:hint="eastAsia"/>
            <w:vertAlign w:val="superscript"/>
          </w:rPr>
          <m:t xml:space="preserve"> </m:t>
        </m:r>
      </m:oMath>
      <w:r w:rsidRPr="00BC31E0">
        <w:rPr>
          <w:rFonts w:asciiTheme="minorEastAsia" w:eastAsiaTheme="minorEastAsia" w:hAnsiTheme="minorEastAsia" w:hint="eastAsia"/>
        </w:rPr>
        <w:t>回に対する許容応力振幅を与える点を直線補間して求めてもよい。</w:t>
      </w:r>
    </w:p>
    <w:p w14:paraId="20F16785" w14:textId="77777777" w:rsidR="00E20930" w:rsidRPr="00BC31E0" w:rsidRDefault="00E20930" w:rsidP="003377AF"/>
    <w:p w14:paraId="681D248B" w14:textId="77777777" w:rsidR="00E20930" w:rsidRPr="00BC31E0" w:rsidRDefault="00E20930" w:rsidP="003377AF"/>
    <w:bookmarkEnd w:id="4"/>
    <w:bookmarkEnd w:id="5"/>
    <w:bookmarkEnd w:id="6"/>
    <w:p w14:paraId="410FD06C" w14:textId="77777777" w:rsidR="00601156" w:rsidRPr="00BC31E0" w:rsidRDefault="00601156" w:rsidP="00E5547A">
      <w:pPr>
        <w:pStyle w:val="1f0"/>
        <w:spacing w:line="360" w:lineRule="exact"/>
        <w:jc w:val="both"/>
        <w:sectPr w:rsidR="00601156" w:rsidRPr="00BC31E0" w:rsidSect="00B7234B">
          <w:headerReference w:type="even" r:id="rId48"/>
          <w:headerReference w:type="default" r:id="rId49"/>
          <w:footerReference w:type="even" r:id="rId50"/>
          <w:footerReference w:type="default" r:id="rId51"/>
          <w:headerReference w:type="first" r:id="rId52"/>
          <w:pgSz w:w="11906" w:h="16838" w:code="9"/>
          <w:pgMar w:top="1701" w:right="1418" w:bottom="1418" w:left="1418" w:header="720" w:footer="720" w:gutter="0"/>
          <w:pgNumType w:start="1"/>
          <w:cols w:space="425"/>
          <w:docGrid w:type="linesAndChars" w:linePitch="360"/>
        </w:sectPr>
      </w:pPr>
    </w:p>
    <w:p w14:paraId="16BB969B" w14:textId="77777777" w:rsidR="00601156" w:rsidRPr="00BC31E0" w:rsidRDefault="00A51873" w:rsidP="00601156">
      <w:pPr>
        <w:widowControl/>
        <w:jc w:val="center"/>
        <w:rPr>
          <w:szCs w:val="22"/>
        </w:rPr>
      </w:pPr>
      <w:r>
        <w:rPr>
          <w:rFonts w:ascii="ＭＳ ゴシック" w:eastAsia="ＭＳ ゴシック" w:hAnsi="ＭＳ ゴシック"/>
          <w:b/>
          <w:noProof/>
          <w:szCs w:val="22"/>
        </w:rPr>
        <w:lastRenderedPageBreak/>
        <w:pict w14:anchorId="1FF78EA8">
          <v:group id="グループ化 12386" o:spid="_x0000_s3468" style="position:absolute;left:0;text-align:left;margin-left:42.6pt;margin-top:4.6pt;width:597.35pt;height:292.35pt;z-index:-251653632" coordorigin="2196,1526" coordsize="11947,5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">
            <v:shape id="グラフ 2" o:spid="_x0000_s3474" type="#_x0000_t75" style="position:absolute;left:2344;top:1526;width:11799;height:58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">
              <v:imagedata r:id="rId53" o:title="" croptop="-1758f" cropbottom="-3600f" cropleft="-1495f" cropright="-1093f"/>
              <o:lock v:ext="edit" aspectratio="f"/>
            </v:shape>
            <v:shape id="Text Box 10079" o:spid="_x0000_s3473" type="#_x0000_t202" style="position:absolute;left:10692;top:1921;width:2748;height:9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" strokecolor="white">
              <v:textbox style="mso-next-textbox:#Text Box 10079">
                <w:txbxContent>
                  <w:p w14:paraId="7486F5B9" w14:textId="77777777" w:rsidR="003B0864" w:rsidRPr="00984FC5" w:rsidRDefault="003B0864" w:rsidP="00601156">
                    <w:pPr>
                      <w:rPr>
                        <w:b/>
                      </w:rPr>
                    </w:pPr>
                    <w:r w:rsidRPr="00984FC5">
                      <w:rPr>
                        <w:rFonts w:hint="eastAsia"/>
                        <w:b/>
                      </w:rPr>
                      <w:t xml:space="preserve">運転温度　</w:t>
                    </w:r>
                    <w:r w:rsidRPr="00D87DFF">
                      <w:rPr>
                        <w:rFonts w:ascii="Cambria Math" w:hAnsi="Cambria Math"/>
                        <w:b/>
                      </w:rPr>
                      <w:t>350</w:t>
                    </w:r>
                    <w:r w:rsidRPr="00984FC5">
                      <w:rPr>
                        <w:rFonts w:hint="eastAsia"/>
                        <w:b/>
                      </w:rPr>
                      <w:t>℃以下</w:t>
                    </w:r>
                  </w:p>
                  <w:p w14:paraId="788DAB1F" w14:textId="77777777" w:rsidR="003B0864" w:rsidRDefault="003B0864" w:rsidP="00601156">
                    <w:r w:rsidRPr="00585D0D">
                      <w:rPr>
                        <w:rFonts w:ascii="Cambria Math" w:hAnsi="Cambria Math" w:hint="eastAsia"/>
                        <w:b/>
                        <w:i/>
                      </w:rPr>
                      <w:t>E</w:t>
                    </w:r>
                    <w:r w:rsidRPr="00D87DFF">
                      <w:rPr>
                        <w:rFonts w:ascii="Cambria Math" w:hAnsi="Cambria Math"/>
                        <w:b/>
                      </w:rPr>
                      <w:t xml:space="preserve"> = 2.07×10</w:t>
                    </w:r>
                    <w:r w:rsidRPr="00D87DFF">
                      <w:rPr>
                        <w:rFonts w:ascii="Cambria Math" w:hAnsi="Cambria Math"/>
                        <w:b/>
                        <w:vertAlign w:val="superscript"/>
                      </w:rPr>
                      <w:t>5</w:t>
                    </w:r>
                    <w:r w:rsidRPr="00D87DFF">
                      <w:rPr>
                        <w:rFonts w:ascii="Cambria Math" w:hAnsi="Cambria Math"/>
                        <w:b/>
                      </w:rPr>
                      <w:t xml:space="preserve"> MPa</w:t>
                    </w:r>
                    <w:r w:rsidRPr="00984FC5">
                      <w:rPr>
                        <w:rFonts w:hint="eastAsia"/>
                        <w:b/>
                      </w:rPr>
                      <w:t xml:space="preserve"> (</w:t>
                    </w:r>
                    <w:r w:rsidRPr="00984FC5">
                      <w:rPr>
                        <w:rFonts w:hint="eastAsia"/>
                        <w:b/>
                      </w:rPr>
                      <w:t>室温</w:t>
                    </w:r>
                    <w:r w:rsidRPr="00984FC5">
                      <w:rPr>
                        <w:rFonts w:hint="eastAsia"/>
                        <w:b/>
                      </w:rPr>
                      <w:t>)</w:t>
                    </w:r>
                  </w:p>
                </w:txbxContent>
              </v:textbox>
            </v:shape>
            <v:shape id="Text Box 11998" o:spid="_x0000_s3472" type="#_x0000_t202" style="position:absolute;left:7984;top:6798;width:1292;height:57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" stroked="f">
              <v:textbox style="mso-next-textbox:#Text Box 11998;mso-fit-shape-to-text:t">
                <w:txbxContent>
                  <w:p w14:paraId="60F8EC90" w14:textId="77777777" w:rsidR="003B0864" w:rsidRPr="007B1400" w:rsidRDefault="003B0864" w:rsidP="00601156">
                    <w:pPr>
                      <w:jc w:val="center"/>
                      <w:rPr>
                        <w:rFonts w:ascii="ＭＳ ゴシック" w:eastAsia="ＭＳ ゴシック" w:hAnsi="ＭＳ ゴシック"/>
                        <w:b/>
                        <w:sz w:val="20"/>
                        <w:szCs w:val="20"/>
                      </w:rPr>
                    </w:pPr>
                    <w:r w:rsidRPr="007B1400">
                      <w:rPr>
                        <w:rFonts w:ascii="ＭＳ ゴシック" w:eastAsia="ＭＳ ゴシック" w:hAnsi="ＭＳ ゴシック" w:hint="eastAsia"/>
                        <w:b/>
                        <w:sz w:val="20"/>
                        <w:szCs w:val="20"/>
                      </w:rPr>
                      <w:t>繰返し回数</w:t>
                    </w:r>
                  </w:p>
                </w:txbxContent>
              </v:textbox>
            </v:shape>
            <v:shape id="Text Box 11999" o:spid="_x0000_s3471" type="#_x0000_t202" style="position:absolute;left:9303;top:3147;width:1034;height:59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" strokecolor="white">
              <v:fill opacity="0"/>
              <v:textbox style="mso-next-textbox:#Text Box 11999;mso-fit-shape-to-text:t">
                <w:txbxContent>
                  <w:p w14:paraId="1513B81D" w14:textId="77777777" w:rsidR="003B0864" w:rsidRPr="00787DAE" w:rsidRDefault="003B0864" w:rsidP="00601156">
                    <w:pPr>
                      <w:jc w:val="center"/>
                    </w:pPr>
                    <w:r w:rsidRPr="00787DAE">
                      <w:t>1.2×10</w:t>
                    </w:r>
                    <w:r w:rsidRPr="00787DAE">
                      <w:rPr>
                        <w:vertAlign w:val="superscript"/>
                      </w:rPr>
                      <w:t>4</w:t>
                    </w:r>
                  </w:p>
                </w:txbxContent>
              </v:textbox>
            </v:shape>
            <v:shapetype id="_x0000_t32" coordsize="21600,21600" o:spt="32" o:oned="t" path="m,l21600,21600e" filled="f">
              <v:path arrowok="t" fillok="f" o:connecttype="none"/>
              <o:lock v:ext="edit" shapetype="t"/>
            </v:shapetype>
            <v:shape id="AutoShape 12000" o:spid="_x0000_s3470" type="#_x0000_t32" style="position:absolute;left:9821;top:3594;width:0;height:49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">
              <v:stroke endarrow="block"/>
            </v:shape>
            <v:shape id="Text Box 12053" o:spid="_x0000_s3469" type="#_x0000_t202" style="position:absolute;left:2196;top:3041;width:630;height:20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" stroked="f">
              <v:textbox style="layout-flow:vertical;mso-layout-flow-alt:bottom-to-top;mso-next-textbox:#Text Box 12053" inset="5.85pt,.7pt,5.85pt,.7pt">
                <w:txbxContent>
                  <w:p w14:paraId="5B76D778" w14:textId="77777777" w:rsidR="003B0864" w:rsidRPr="00E94404" w:rsidRDefault="003B0864" w:rsidP="00601156">
                    <w:pPr>
                      <w:jc w:val="center"/>
                      <w:rPr>
                        <w:rFonts w:ascii="ＭＳ ゴシック" w:eastAsia="ＭＳ ゴシック" w:hAnsi="ＭＳ ゴシック"/>
                        <w:b/>
                        <w:sz w:val="20"/>
                        <w:szCs w:val="20"/>
                      </w:rPr>
                    </w:pPr>
                    <w:r w:rsidRPr="00E94404">
                      <w:rPr>
                        <w:rFonts w:ascii="ＭＳ ゴシック" w:eastAsia="ＭＳ ゴシック" w:hAnsi="ＭＳ ゴシック" w:hint="eastAsia"/>
                        <w:b/>
                        <w:sz w:val="20"/>
                        <w:szCs w:val="20"/>
                      </w:rPr>
                      <w:t>応力振幅</w:t>
                    </w:r>
                    <w:r w:rsidRPr="00E94404">
                      <w:rPr>
                        <w:rFonts w:eastAsia="ＭＳ ゴシック" w:hAnsi="ＭＳ ゴシック"/>
                        <w:b/>
                        <w:sz w:val="20"/>
                        <w:szCs w:val="20"/>
                      </w:rPr>
                      <w:t>（</w:t>
                    </w:r>
                    <w:r w:rsidRPr="007A4FF0">
                      <w:rPr>
                        <w:rFonts w:eastAsia="ＭＳ ゴシック"/>
                        <w:b/>
                        <w:sz w:val="20"/>
                        <w:szCs w:val="20"/>
                      </w:rPr>
                      <w:t>MPa</w:t>
                    </w:r>
                    <w:r w:rsidRPr="007A4FF0">
                      <w:rPr>
                        <w:rFonts w:eastAsia="ＭＳ ゴシック" w:hAnsi="ＭＳ ゴシック"/>
                        <w:b/>
                        <w:sz w:val="20"/>
                        <w:szCs w:val="20"/>
                      </w:rPr>
                      <w:t>）</w:t>
                    </w:r>
                  </w:p>
                </w:txbxContent>
              </v:textbox>
            </v:shape>
          </v:group>
        </w:pict>
      </w:r>
    </w:p>
    <w:p w14:paraId="358D63D8" w14:textId="77777777" w:rsidR="00601156" w:rsidRPr="00BC31E0" w:rsidRDefault="00601156" w:rsidP="00601156">
      <w:pPr>
        <w:ind w:leftChars="1200" w:left="2520"/>
        <w:rPr>
          <w:rFonts w:ascii="ＭＳ ゴシック" w:eastAsia="ＭＳ ゴシック" w:hAnsi="ＭＳ ゴシック"/>
          <w:b/>
          <w:szCs w:val="22"/>
        </w:rPr>
      </w:pPr>
    </w:p>
    <w:p w14:paraId="0C3C1D67" w14:textId="77777777" w:rsidR="00601156" w:rsidRPr="00BC31E0" w:rsidRDefault="00601156" w:rsidP="00601156">
      <w:pPr>
        <w:ind w:leftChars="1200" w:left="2520"/>
        <w:rPr>
          <w:rFonts w:ascii="ＭＳ ゴシック" w:eastAsia="ＭＳ ゴシック" w:hAnsi="ＭＳ ゴシック"/>
          <w:b/>
          <w:szCs w:val="22"/>
        </w:rPr>
      </w:pPr>
    </w:p>
    <w:p w14:paraId="7940BA47" w14:textId="77777777" w:rsidR="00601156" w:rsidRPr="00BC31E0" w:rsidRDefault="00601156" w:rsidP="00601156">
      <w:pPr>
        <w:ind w:leftChars="1200" w:left="2520"/>
        <w:rPr>
          <w:rFonts w:ascii="ＭＳ ゴシック" w:eastAsia="ＭＳ ゴシック" w:hAnsi="ＭＳ ゴシック"/>
          <w:b/>
          <w:szCs w:val="22"/>
        </w:rPr>
      </w:pPr>
    </w:p>
    <w:p w14:paraId="43372908" w14:textId="77777777" w:rsidR="00601156" w:rsidRPr="00BC31E0" w:rsidRDefault="00601156" w:rsidP="00601156">
      <w:pPr>
        <w:ind w:leftChars="1200" w:left="2520"/>
        <w:rPr>
          <w:rFonts w:ascii="ＭＳ ゴシック" w:eastAsia="ＭＳ ゴシック" w:hAnsi="ＭＳ ゴシック"/>
          <w:b/>
          <w:szCs w:val="22"/>
        </w:rPr>
      </w:pPr>
    </w:p>
    <w:p w14:paraId="362DFFD5" w14:textId="77777777" w:rsidR="00601156" w:rsidRPr="00BC31E0" w:rsidRDefault="00601156" w:rsidP="00601156">
      <w:pPr>
        <w:ind w:leftChars="1200" w:left="2520"/>
        <w:rPr>
          <w:rFonts w:ascii="ＭＳ ゴシック" w:eastAsia="ＭＳ ゴシック" w:hAnsi="ＭＳ ゴシック"/>
          <w:b/>
          <w:szCs w:val="22"/>
        </w:rPr>
      </w:pPr>
    </w:p>
    <w:p w14:paraId="1DBC65BF" w14:textId="77777777" w:rsidR="00601156" w:rsidRPr="00BC31E0" w:rsidRDefault="00601156" w:rsidP="00601156">
      <w:pPr>
        <w:ind w:leftChars="1200" w:left="2520"/>
        <w:rPr>
          <w:rFonts w:ascii="ＭＳ ゴシック" w:eastAsia="ＭＳ ゴシック" w:hAnsi="ＭＳ ゴシック"/>
          <w:b/>
          <w:szCs w:val="22"/>
        </w:rPr>
      </w:pPr>
    </w:p>
    <w:p w14:paraId="5F982248" w14:textId="77777777" w:rsidR="00601156" w:rsidRPr="00BC31E0" w:rsidRDefault="00601156" w:rsidP="00601156">
      <w:pPr>
        <w:ind w:leftChars="1200" w:left="2520"/>
        <w:rPr>
          <w:rFonts w:ascii="ＭＳ ゴシック" w:eastAsia="ＭＳ ゴシック" w:hAnsi="ＭＳ ゴシック"/>
          <w:b/>
          <w:szCs w:val="22"/>
        </w:rPr>
      </w:pPr>
    </w:p>
    <w:p w14:paraId="6A681273" w14:textId="77777777" w:rsidR="00601156" w:rsidRPr="00BC31E0" w:rsidRDefault="00601156" w:rsidP="00601156">
      <w:pPr>
        <w:ind w:leftChars="1200" w:left="2520"/>
        <w:rPr>
          <w:rFonts w:ascii="ＭＳ ゴシック" w:eastAsia="ＭＳ ゴシック" w:hAnsi="ＭＳ ゴシック"/>
          <w:b/>
          <w:szCs w:val="22"/>
        </w:rPr>
      </w:pPr>
    </w:p>
    <w:p w14:paraId="3598AE01" w14:textId="77777777" w:rsidR="00601156" w:rsidRPr="00BC31E0" w:rsidRDefault="00601156" w:rsidP="00601156">
      <w:pPr>
        <w:ind w:leftChars="1200" w:left="2520"/>
        <w:rPr>
          <w:rFonts w:ascii="ＭＳ ゴシック" w:eastAsia="ＭＳ ゴシック" w:hAnsi="ＭＳ ゴシック"/>
          <w:b/>
          <w:szCs w:val="22"/>
        </w:rPr>
      </w:pPr>
    </w:p>
    <w:p w14:paraId="3D58293D" w14:textId="77777777" w:rsidR="00601156" w:rsidRPr="00BC31E0" w:rsidRDefault="00601156" w:rsidP="00601156">
      <w:pPr>
        <w:ind w:leftChars="1200" w:left="2520"/>
        <w:rPr>
          <w:rFonts w:ascii="ＭＳ ゴシック" w:eastAsia="ＭＳ ゴシック" w:hAnsi="ＭＳ ゴシック"/>
          <w:b/>
          <w:szCs w:val="22"/>
        </w:rPr>
      </w:pPr>
    </w:p>
    <w:p w14:paraId="7A32F0EF" w14:textId="77777777" w:rsidR="00601156" w:rsidRPr="00BC31E0" w:rsidRDefault="00601156" w:rsidP="00601156">
      <w:pPr>
        <w:ind w:leftChars="1200" w:left="2520"/>
        <w:rPr>
          <w:rFonts w:ascii="ＭＳ ゴシック" w:eastAsia="ＭＳ ゴシック" w:hAnsi="ＭＳ ゴシック"/>
          <w:b/>
          <w:szCs w:val="22"/>
        </w:rPr>
      </w:pPr>
    </w:p>
    <w:p w14:paraId="0F51F09F" w14:textId="77777777" w:rsidR="00601156" w:rsidRPr="00BC31E0" w:rsidRDefault="00601156" w:rsidP="00601156">
      <w:pPr>
        <w:ind w:leftChars="1200" w:left="2520"/>
        <w:rPr>
          <w:rFonts w:ascii="ＭＳ ゴシック" w:eastAsia="ＭＳ ゴシック" w:hAnsi="ＭＳ ゴシック"/>
          <w:b/>
          <w:szCs w:val="22"/>
        </w:rPr>
      </w:pPr>
    </w:p>
    <w:p w14:paraId="5588B789" w14:textId="77777777" w:rsidR="00601156" w:rsidRPr="00BC31E0" w:rsidRDefault="00601156" w:rsidP="00601156">
      <w:pPr>
        <w:ind w:leftChars="1200" w:left="2520"/>
        <w:rPr>
          <w:rFonts w:ascii="ＭＳ ゴシック" w:eastAsia="ＭＳ ゴシック" w:hAnsi="ＭＳ ゴシック"/>
          <w:b/>
          <w:szCs w:val="22"/>
        </w:rPr>
      </w:pPr>
    </w:p>
    <w:p w14:paraId="78F5F050" w14:textId="77777777" w:rsidR="00601156" w:rsidRPr="00BC31E0" w:rsidRDefault="00601156" w:rsidP="00601156">
      <w:pPr>
        <w:ind w:leftChars="1200" w:left="2520"/>
        <w:rPr>
          <w:szCs w:val="22"/>
        </w:rPr>
      </w:pPr>
      <w:r w:rsidRPr="00BC31E0">
        <w:rPr>
          <w:rFonts w:ascii="ＭＳ ゴシック" w:eastAsia="ＭＳ ゴシック" w:hAnsi="ＭＳ ゴシック" w:hint="eastAsia"/>
          <w:b/>
          <w:szCs w:val="22"/>
        </w:rPr>
        <w:t>注記1</w:t>
      </w:r>
      <w:r w:rsidRPr="00BC31E0">
        <w:rPr>
          <w:rFonts w:hint="eastAsia"/>
          <w:szCs w:val="22"/>
        </w:rPr>
        <w:t xml:space="preserve">　点線は，材料の最小引張強さが</w:t>
      </w:r>
      <w:r w:rsidRPr="00BC31E0">
        <w:rPr>
          <w:rFonts w:ascii="Cambria Math" w:hAnsi="Cambria Math"/>
          <w:szCs w:val="22"/>
        </w:rPr>
        <w:t>550 MPa</w:t>
      </w:r>
      <w:r w:rsidRPr="00BC31E0">
        <w:rPr>
          <w:rFonts w:hint="eastAsia"/>
          <w:szCs w:val="22"/>
        </w:rPr>
        <w:t>以下の</w:t>
      </w:r>
      <w:r w:rsidR="00903A77" w:rsidRPr="00BC31E0">
        <w:rPr>
          <w:rFonts w:hint="eastAsia"/>
          <w:szCs w:val="22"/>
        </w:rPr>
        <w:t>場合</w:t>
      </w:r>
      <w:r w:rsidRPr="00BC31E0">
        <w:rPr>
          <w:rFonts w:hint="eastAsia"/>
          <w:szCs w:val="22"/>
        </w:rPr>
        <w:t>に使用する。</w:t>
      </w:r>
    </w:p>
    <w:p w14:paraId="0E111C56" w14:textId="77777777" w:rsidR="00601156" w:rsidRPr="00BC31E0" w:rsidRDefault="00601156" w:rsidP="00601156">
      <w:pPr>
        <w:ind w:leftChars="1200" w:left="2520"/>
        <w:rPr>
          <w:szCs w:val="22"/>
        </w:rPr>
      </w:pPr>
      <w:r w:rsidRPr="00BC31E0">
        <w:rPr>
          <w:rFonts w:ascii="ＭＳ ゴシック" w:eastAsia="ＭＳ ゴシック" w:hAnsi="ＭＳ ゴシック" w:hint="eastAsia"/>
          <w:b/>
          <w:szCs w:val="22"/>
        </w:rPr>
        <w:t>注記2</w:t>
      </w:r>
      <w:r w:rsidRPr="00BC31E0">
        <w:rPr>
          <w:rFonts w:hint="eastAsia"/>
          <w:szCs w:val="22"/>
        </w:rPr>
        <w:t xml:space="preserve">　実線は，材料の最小引張強さが</w:t>
      </w:r>
      <w:r w:rsidRPr="00BC31E0">
        <w:rPr>
          <w:rFonts w:ascii="Cambria Math" w:hAnsi="Cambria Math"/>
          <w:szCs w:val="22"/>
        </w:rPr>
        <w:t>790 MPa</w:t>
      </w:r>
      <w:r w:rsidRPr="00BC31E0">
        <w:rPr>
          <w:rFonts w:hint="eastAsia"/>
          <w:szCs w:val="22"/>
        </w:rPr>
        <w:t>以上</w:t>
      </w:r>
      <w:r w:rsidR="007513F8" w:rsidRPr="00BC31E0">
        <w:rPr>
          <w:rFonts w:hint="eastAsia"/>
          <w:szCs w:val="22"/>
        </w:rPr>
        <w:t>，</w:t>
      </w:r>
      <w:r w:rsidRPr="00BC31E0">
        <w:rPr>
          <w:rFonts w:ascii="Cambria Math" w:hAnsi="Cambria Math"/>
          <w:szCs w:val="22"/>
        </w:rPr>
        <w:t>895 MPa</w:t>
      </w:r>
      <w:r w:rsidRPr="00BC31E0">
        <w:rPr>
          <w:rFonts w:hint="eastAsia"/>
          <w:szCs w:val="22"/>
        </w:rPr>
        <w:t>未満の</w:t>
      </w:r>
      <w:r w:rsidR="00903A77" w:rsidRPr="00BC31E0">
        <w:rPr>
          <w:rFonts w:hint="eastAsia"/>
          <w:szCs w:val="22"/>
        </w:rPr>
        <w:t>場合</w:t>
      </w:r>
      <w:r w:rsidRPr="00BC31E0">
        <w:rPr>
          <w:rFonts w:hint="eastAsia"/>
          <w:szCs w:val="22"/>
        </w:rPr>
        <w:t>に使用する。</w:t>
      </w:r>
    </w:p>
    <w:p w14:paraId="4178B8AE" w14:textId="77777777" w:rsidR="00601156" w:rsidRPr="00BC31E0" w:rsidRDefault="00601156" w:rsidP="00601156">
      <w:pPr>
        <w:ind w:leftChars="1200" w:left="2520"/>
        <w:rPr>
          <w:szCs w:val="22"/>
        </w:rPr>
      </w:pPr>
      <w:r w:rsidRPr="00BC31E0">
        <w:rPr>
          <w:rFonts w:ascii="ＭＳ ゴシック" w:eastAsia="ＭＳ ゴシック" w:hAnsi="ＭＳ ゴシック" w:hint="eastAsia"/>
          <w:b/>
          <w:szCs w:val="22"/>
        </w:rPr>
        <w:t>注記3</w:t>
      </w:r>
      <w:r w:rsidRPr="00BC31E0">
        <w:rPr>
          <w:rFonts w:hint="eastAsia"/>
          <w:szCs w:val="22"/>
        </w:rPr>
        <w:t xml:space="preserve">　最小引張強さが</w:t>
      </w:r>
      <w:r w:rsidRPr="00BC31E0">
        <w:rPr>
          <w:rFonts w:ascii="Cambria Math" w:hAnsi="Cambria Math"/>
          <w:szCs w:val="22"/>
        </w:rPr>
        <w:t>550 MPa</w:t>
      </w:r>
      <w:r w:rsidRPr="00BC31E0">
        <w:rPr>
          <w:rFonts w:hint="eastAsia"/>
          <w:szCs w:val="22"/>
        </w:rPr>
        <w:t>を超え</w:t>
      </w:r>
      <w:r w:rsidR="007513F8" w:rsidRPr="00BC31E0">
        <w:rPr>
          <w:rFonts w:hint="eastAsia"/>
          <w:szCs w:val="22"/>
        </w:rPr>
        <w:t>，</w:t>
      </w:r>
      <w:r w:rsidRPr="00BC31E0">
        <w:rPr>
          <w:rFonts w:ascii="Cambria Math" w:hAnsi="Cambria Math"/>
          <w:szCs w:val="22"/>
        </w:rPr>
        <w:t>790 MPa</w:t>
      </w:r>
      <w:r w:rsidRPr="00BC31E0">
        <w:rPr>
          <w:rFonts w:hint="eastAsia"/>
          <w:szCs w:val="22"/>
        </w:rPr>
        <w:t>未満の場合には，内挿によって求めた値を使用</w:t>
      </w:r>
      <w:r w:rsidR="00903A77" w:rsidRPr="00BC31E0">
        <w:rPr>
          <w:rFonts w:hint="eastAsia"/>
          <w:szCs w:val="22"/>
        </w:rPr>
        <w:t>す</w:t>
      </w:r>
      <w:r w:rsidRPr="00BC31E0">
        <w:rPr>
          <w:rFonts w:hint="eastAsia"/>
          <w:szCs w:val="22"/>
        </w:rPr>
        <w:t>る。</w:t>
      </w:r>
    </w:p>
    <w:p w14:paraId="4F51AFD8" w14:textId="77777777" w:rsidR="00601156" w:rsidRPr="00BC31E0" w:rsidRDefault="00601156" w:rsidP="00601156">
      <w:pPr>
        <w:ind w:leftChars="1200" w:left="2520"/>
        <w:rPr>
          <w:szCs w:val="22"/>
        </w:rPr>
      </w:pPr>
      <w:r w:rsidRPr="00BC31E0">
        <w:rPr>
          <w:rFonts w:ascii="ＭＳ ゴシック" w:eastAsia="ＭＳ ゴシック" w:hAnsi="ＭＳ ゴシック" w:hint="eastAsia"/>
          <w:b/>
          <w:szCs w:val="22"/>
        </w:rPr>
        <w:t>注記4</w:t>
      </w:r>
      <w:r w:rsidRPr="00BC31E0">
        <w:rPr>
          <w:rFonts w:hint="eastAsia"/>
          <w:szCs w:val="22"/>
        </w:rPr>
        <w:t xml:space="preserve">　平均応力による設計許容繰返し回数の低減をおりこみ済み</w:t>
      </w:r>
    </w:p>
    <w:p w14:paraId="0BD3D9FF" w14:textId="77777777" w:rsidR="00601156" w:rsidRPr="00BC31E0" w:rsidRDefault="00601156" w:rsidP="00BC31E0">
      <w:pPr>
        <w:pStyle w:val="af4"/>
        <w:spacing w:beforeLines="50" w:before="215" w:line="360" w:lineRule="exact"/>
      </w:pPr>
      <w:r w:rsidRPr="00BC31E0">
        <w:rPr>
          <w:rFonts w:hint="eastAsia"/>
        </w:rPr>
        <w:t>図6.3.1　炭素鋼，低合金鋼及びフェライト系ステンレス鋼の設計疲労曲線</w:t>
      </w:r>
    </w:p>
    <w:p w14:paraId="595ECE06" w14:textId="77777777" w:rsidR="00601156" w:rsidRPr="00BC31E0" w:rsidRDefault="00601156" w:rsidP="00601156">
      <w:pPr>
        <w:pStyle w:val="af4"/>
        <w:spacing w:line="360" w:lineRule="exact"/>
      </w:pPr>
      <w:r w:rsidRPr="00BC31E0">
        <w:rPr>
          <w:rFonts w:hint="eastAsia"/>
        </w:rPr>
        <w:t>(</w:t>
      </w:r>
      <w:r w:rsidR="00D405A1" w:rsidRPr="00BC31E0">
        <w:rPr>
          <w:rFonts w:hint="eastAsia"/>
        </w:rPr>
        <w:t>材料の規定</w:t>
      </w:r>
      <w:r w:rsidRPr="00BC31E0">
        <w:rPr>
          <w:rFonts w:hint="eastAsia"/>
        </w:rPr>
        <w:t>最小引張強さが</w:t>
      </w:r>
      <w:r w:rsidRPr="00BC31E0">
        <w:rPr>
          <w:rFonts w:hAnsi="ＭＳ ゴシック"/>
        </w:rPr>
        <w:t>895 MPa</w:t>
      </w:r>
      <w:r w:rsidRPr="00BC31E0">
        <w:rPr>
          <w:rFonts w:hint="eastAsia"/>
        </w:rPr>
        <w:t>未満の場合)</w:t>
      </w:r>
    </w:p>
    <w:p w14:paraId="25129379" w14:textId="77777777" w:rsidR="00601156" w:rsidRPr="00BC31E0" w:rsidRDefault="00601156" w:rsidP="00601156">
      <w:pPr>
        <w:pStyle w:val="af4"/>
        <w:spacing w:line="320" w:lineRule="exact"/>
        <w:jc w:val="left"/>
      </w:pPr>
    </w:p>
    <w:p w14:paraId="54B053E2" w14:textId="77777777" w:rsidR="00601156" w:rsidRPr="00BC31E0" w:rsidRDefault="00601156" w:rsidP="00601156">
      <w:pPr>
        <w:jc w:val="center"/>
        <w:rPr>
          <w:rFonts w:ascii="ＭＳ ゴシック" w:eastAsia="ＭＳ ゴシック" w:hAnsi="ＭＳ ゴシック"/>
          <w:b/>
          <w:szCs w:val="22"/>
        </w:rPr>
      </w:pPr>
      <w:r w:rsidRPr="00BC31E0">
        <w:rPr>
          <w:rFonts w:ascii="ＭＳ ゴシック" w:eastAsia="ＭＳ ゴシック" w:hAnsi="ＭＳ ゴシック"/>
          <w:szCs w:val="22"/>
        </w:rPr>
        <w:br w:type="page"/>
      </w:r>
      <w:r w:rsidR="00A51873">
        <w:rPr>
          <w:rFonts w:ascii="ＭＳ ゴシック" w:eastAsia="ＭＳ ゴシック" w:hAnsi="ＭＳ ゴシック"/>
          <w:noProof/>
          <w:szCs w:val="22"/>
        </w:rPr>
      </w:r>
      <w:r w:rsidR="00A51873">
        <w:rPr>
          <w:rFonts w:ascii="ＭＳ ゴシック" w:eastAsia="ＭＳ ゴシック" w:hAnsi="ＭＳ ゴシック"/>
          <w:noProof/>
          <w:szCs w:val="22"/>
        </w:rPr>
        <w:pict w14:anchorId="670C42C0">
          <v:group id="グループ化 48" o:spid="_x0000_s3459" style="width:553.3pt;height:334.1pt;mso-position-horizontal-relative:char;mso-position-vertical-relative:line" coordorigin="2670,1524" coordsize="11066,6682">
            <v:shape id="グラフ 3" o:spid="_x0000_s3467" type="#_x0000_t75" style="position:absolute;left:2750;top:1524;width:10986;height:66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">
              <v:imagedata r:id="rId54" o:title="" croptop="-1512f" cropbottom="-3054f" cropleft="-1612f" cropright="-1182f"/>
              <o:lock v:ext="edit" aspectratio="f"/>
            </v:shape>
            <v:shape id="Text Box 12005" o:spid="_x0000_s3466" type="#_x0000_t202" style="position:absolute;left:10110;top:1948;width:2938;height:1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" strokecolor="white">
              <v:textbox style="mso-fit-shape-to-text:t">
                <w:txbxContent>
                  <w:p w14:paraId="7E7A29AF" w14:textId="77777777" w:rsidR="003B0864" w:rsidRPr="00146E4F" w:rsidRDefault="003B0864" w:rsidP="00601156">
                    <w:pPr>
                      <w:rPr>
                        <w:b/>
                      </w:rPr>
                    </w:pPr>
                    <w:r w:rsidRPr="00146E4F">
                      <w:rPr>
                        <w:rFonts w:hint="eastAsia"/>
                        <w:b/>
                      </w:rPr>
                      <w:t xml:space="preserve">運転温度　</w:t>
                    </w:r>
                    <w:r w:rsidRPr="0032255F">
                      <w:rPr>
                        <w:rFonts w:ascii="Cambria Math" w:hAnsi="Cambria Math"/>
                        <w:b/>
                      </w:rPr>
                      <w:t>350</w:t>
                    </w:r>
                    <w:r w:rsidRPr="00146E4F">
                      <w:rPr>
                        <w:rFonts w:hint="eastAsia"/>
                        <w:b/>
                      </w:rPr>
                      <w:t>℃以下</w:t>
                    </w:r>
                  </w:p>
                  <w:p w14:paraId="2F9E13FD" w14:textId="77777777" w:rsidR="003B0864" w:rsidRDefault="003B0864" w:rsidP="00601156">
                    <w:r w:rsidRPr="00585D0D">
                      <w:rPr>
                        <w:rFonts w:ascii="Cambria Math" w:hAnsi="Cambria Math" w:hint="eastAsia"/>
                        <w:b/>
                        <w:i/>
                      </w:rPr>
                      <w:t>E</w:t>
                    </w:r>
                    <w:r w:rsidRPr="0032255F">
                      <w:rPr>
                        <w:rFonts w:ascii="Cambria Math" w:hAnsi="Cambria Math"/>
                        <w:b/>
                      </w:rPr>
                      <w:t>= 1.96×10</w:t>
                    </w:r>
                    <w:r w:rsidRPr="0032255F">
                      <w:rPr>
                        <w:rFonts w:ascii="Cambria Math" w:hAnsi="Cambria Math"/>
                        <w:b/>
                        <w:vertAlign w:val="superscript"/>
                      </w:rPr>
                      <w:t>5</w:t>
                    </w:r>
                    <w:r w:rsidRPr="0032255F">
                      <w:rPr>
                        <w:rFonts w:ascii="Cambria Math" w:hAnsi="Cambria Math"/>
                        <w:b/>
                      </w:rPr>
                      <w:t xml:space="preserve"> MPa</w:t>
                    </w:r>
                    <w:r w:rsidRPr="00146E4F">
                      <w:rPr>
                        <w:rFonts w:hint="eastAsia"/>
                        <w:b/>
                      </w:rPr>
                      <w:t xml:space="preserve">　</w:t>
                    </w:r>
                    <w:r w:rsidRPr="00146E4F">
                      <w:rPr>
                        <w:rFonts w:hint="eastAsia"/>
                        <w:b/>
                      </w:rPr>
                      <w:t>(</w:t>
                    </w:r>
                    <w:r w:rsidRPr="00146E4F">
                      <w:rPr>
                        <w:rFonts w:hint="eastAsia"/>
                        <w:b/>
                      </w:rPr>
                      <w:t>室温</w:t>
                    </w:r>
                    <w:r w:rsidRPr="00146E4F">
                      <w:rPr>
                        <w:rFonts w:hint="eastAsia"/>
                        <w:b/>
                      </w:rPr>
                      <w:t>)</w:t>
                    </w:r>
                  </w:p>
                </w:txbxContent>
              </v:textbox>
            </v:shape>
            <v:shape id="AutoShape 12006" o:spid="_x0000_s3465" type="#_x0000_t32" style="position:absolute;left:8226;top:3643;width:0;height:42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QixAAAANsAAAAPAAAAZHJzL2Rvd25yZXYueG1sRI9Ba8JA&#10;FITvQv/D8gq96SZCi0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CYn9CLEAAAA2wAAAA8A&#10;AAAAAAAAAAAAAAAABwIAAGRycy9kb3ducmV2LnhtbFBLBQYAAAAAAwADALcAAAD4AgAAAAA=&#10;">
              <v:stroke endarrow="block"/>
            </v:shape>
            <v:shape id="Text Box 12007" o:spid="_x0000_s3464" type="#_x0000_t202" style="position:absolute;left:7712;top:3196;width:1019;height:57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" stroked="f" strokecolor="white">
              <v:fill opacity="0"/>
              <v:textbox style="mso-fit-shape-to-text:t">
                <w:txbxContent>
                  <w:p w14:paraId="4793F1BC" w14:textId="77777777" w:rsidR="003B0864" w:rsidRPr="00787DAE" w:rsidRDefault="003B0864" w:rsidP="00601156">
                    <w:pPr>
                      <w:jc w:val="center"/>
                    </w:pPr>
                    <w:r w:rsidRPr="00787DAE">
                      <w:t>5.0×10</w:t>
                    </w:r>
                    <w:r w:rsidRPr="00787DAE">
                      <w:rPr>
                        <w:vertAlign w:val="superscript"/>
                      </w:rPr>
                      <w:t>3</w:t>
                    </w:r>
                  </w:p>
                </w:txbxContent>
              </v:textbox>
            </v:shape>
            <v:shape id="AutoShape 12008" o:spid="_x0000_s3463" type="#_x0000_t32" style="position:absolute;left:7644;top:3221;width:0;height:67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c/OxgAAANsAAAAPAAAAZHJzL2Rvd25yZXYueG1sRI9Pa8JA&#10;FMTvBb/D8oTe6saW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ubnPzsYAAADbAAAA&#10;DwAAAAAAAAAAAAAAAAAHAgAAZHJzL2Rvd25yZXYueG1sUEsFBgAAAAADAAMAtwAAAPoCAAAAAA==&#10;">
              <v:stroke endarrow="block"/>
            </v:shape>
            <v:shape id="Text Box 12009" o:spid="_x0000_s3462" type="#_x0000_t202" style="position:absolute;left:7130;top:2794;width:1019;height:57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" stroked="f" strokecolor="white">
              <v:fill opacity="0"/>
              <v:textbox style="mso-fit-shape-to-text:t">
                <w:txbxContent>
                  <w:p w14:paraId="4C00AB3B" w14:textId="77777777" w:rsidR="003B0864" w:rsidRPr="00787DAE" w:rsidRDefault="003B0864" w:rsidP="00601156">
                    <w:pPr>
                      <w:jc w:val="center"/>
                    </w:pPr>
                    <w:r w:rsidRPr="00787DAE">
                      <w:t>2.0×10</w:t>
                    </w:r>
                    <w:r w:rsidRPr="00787DAE">
                      <w:rPr>
                        <w:vertAlign w:val="superscript"/>
                      </w:rPr>
                      <w:t>3</w:t>
                    </w:r>
                  </w:p>
                </w:txbxContent>
              </v:textbox>
            </v:shape>
            <v:shape id="Text Box 12016" o:spid="_x0000_s3461" type="#_x0000_t202" style="position:absolute;left:8001;top:7735;width:1292;height:40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" stroked="f">
              <v:textbox style="mso-fit-shape-to-text:t">
                <w:txbxContent>
                  <w:p w14:paraId="6962E657" w14:textId="77777777" w:rsidR="003B0864" w:rsidRPr="007B1400" w:rsidRDefault="003B0864" w:rsidP="00601156">
                    <w:pPr>
                      <w:snapToGrid w:val="0"/>
                      <w:rPr>
                        <w:rFonts w:ascii="ＭＳ ゴシック" w:eastAsia="ＭＳ ゴシック" w:hAnsi="ＭＳ ゴシック"/>
                        <w:b/>
                        <w:sz w:val="20"/>
                        <w:szCs w:val="20"/>
                      </w:rPr>
                    </w:pPr>
                    <w:r w:rsidRPr="007B1400">
                      <w:rPr>
                        <w:rFonts w:ascii="ＭＳ ゴシック" w:eastAsia="ＭＳ ゴシック" w:hAnsi="ＭＳ ゴシック" w:hint="eastAsia"/>
                        <w:b/>
                        <w:sz w:val="20"/>
                        <w:szCs w:val="20"/>
                      </w:rPr>
                      <w:t>繰返し回数</w:t>
                    </w:r>
                  </w:p>
                </w:txbxContent>
              </v:textbox>
            </v:shape>
            <v:shape id="Text Box 12056" o:spid="_x0000_s3460" type="#_x0000_t202" style="position:absolute;left:2670;top:3601;width:630;height:20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" stroked="f">
              <v:textbox style="layout-flow:vertical;mso-layout-flow-alt:bottom-to-top" inset="5.85pt,.7pt,5.85pt,.7pt">
                <w:txbxContent>
                  <w:p w14:paraId="2D71719D" w14:textId="77777777" w:rsidR="003B0864" w:rsidRPr="00E94404" w:rsidRDefault="003B0864" w:rsidP="00601156">
                    <w:pPr>
                      <w:jc w:val="center"/>
                      <w:rPr>
                        <w:rFonts w:ascii="ＭＳ ゴシック" w:eastAsia="ＭＳ ゴシック" w:hAnsi="ＭＳ ゴシック"/>
                        <w:b/>
                        <w:sz w:val="20"/>
                        <w:szCs w:val="20"/>
                      </w:rPr>
                    </w:pPr>
                    <w:r w:rsidRPr="00E94404">
                      <w:rPr>
                        <w:rFonts w:ascii="ＭＳ ゴシック" w:eastAsia="ＭＳ ゴシック" w:hAnsi="ＭＳ ゴシック" w:hint="eastAsia"/>
                        <w:b/>
                        <w:sz w:val="20"/>
                        <w:szCs w:val="20"/>
                      </w:rPr>
                      <w:t>応力振幅</w:t>
                    </w:r>
                    <w:r w:rsidRPr="00E94404">
                      <w:rPr>
                        <w:rFonts w:eastAsia="ＭＳ ゴシック" w:hAnsi="ＭＳ ゴシック"/>
                        <w:b/>
                        <w:sz w:val="20"/>
                        <w:szCs w:val="20"/>
                      </w:rPr>
                      <w:t>（</w:t>
                    </w:r>
                    <w:r w:rsidRPr="00E94404">
                      <w:rPr>
                        <w:rFonts w:eastAsia="ＭＳ ゴシック"/>
                        <w:b/>
                        <w:sz w:val="20"/>
                        <w:szCs w:val="20"/>
                      </w:rPr>
                      <w:t>MPa</w:t>
                    </w:r>
                    <w:r w:rsidRPr="00E94404">
                      <w:rPr>
                        <w:rFonts w:eastAsia="ＭＳ ゴシック" w:hAnsi="ＭＳ ゴシック"/>
                        <w:b/>
                        <w:sz w:val="20"/>
                        <w:szCs w:val="20"/>
                      </w:rPr>
                      <w:t>）</w:t>
                    </w:r>
                  </w:p>
                </w:txbxContent>
              </v:textbox>
            </v:shape>
            <w10:anchorlock/>
          </v:group>
        </w:pict>
      </w:r>
    </w:p>
    <w:p w14:paraId="0B8EF785" w14:textId="77777777" w:rsidR="00601156" w:rsidRPr="00BC31E0" w:rsidRDefault="00601156" w:rsidP="00601156">
      <w:pPr>
        <w:ind w:leftChars="1200" w:left="2520"/>
        <w:rPr>
          <w:rFonts w:ascii="ＭＳ 明朝" w:hAnsi="ＭＳ 明朝"/>
          <w:szCs w:val="22"/>
        </w:rPr>
      </w:pPr>
      <w:r w:rsidRPr="00BC31E0">
        <w:rPr>
          <w:rFonts w:ascii="ＭＳ ゴシック" w:eastAsia="ＭＳ ゴシック" w:hAnsi="ＭＳ ゴシック" w:hint="eastAsia"/>
          <w:b/>
          <w:szCs w:val="22"/>
        </w:rPr>
        <w:t>注記1</w:t>
      </w:r>
      <w:r w:rsidRPr="00BC31E0">
        <w:rPr>
          <w:rFonts w:ascii="ＭＳ ゴシック" w:eastAsia="ＭＳ ゴシック" w:hAnsi="ＭＳ ゴシック" w:hint="eastAsia"/>
          <w:szCs w:val="22"/>
        </w:rPr>
        <w:t xml:space="preserve">　</w:t>
      </w:r>
      <w:r w:rsidRPr="00BC31E0">
        <w:rPr>
          <w:rFonts w:ascii="ＭＳ 明朝" w:hAnsi="ＭＳ 明朝" w:hint="eastAsia"/>
          <w:szCs w:val="22"/>
        </w:rPr>
        <w:t>点線は，材料の最小引張強さが</w:t>
      </w:r>
      <w:r w:rsidRPr="00BC31E0">
        <w:rPr>
          <w:rFonts w:ascii="Cambria Math" w:hAnsi="Cambria Math"/>
          <w:szCs w:val="22"/>
        </w:rPr>
        <w:t>895 MPa</w:t>
      </w:r>
      <w:r w:rsidRPr="00BC31E0">
        <w:rPr>
          <w:rFonts w:ascii="ＭＳ 明朝" w:hAnsi="ＭＳ 明朝" w:hint="eastAsia"/>
          <w:szCs w:val="22"/>
        </w:rPr>
        <w:t>以上</w:t>
      </w:r>
      <w:r w:rsidR="007513F8" w:rsidRPr="00BC31E0">
        <w:rPr>
          <w:rFonts w:ascii="ＭＳ 明朝" w:hAnsi="ＭＳ 明朝" w:hint="eastAsia"/>
          <w:szCs w:val="22"/>
        </w:rPr>
        <w:t>，</w:t>
      </w:r>
      <w:r w:rsidRPr="00BC31E0">
        <w:rPr>
          <w:rFonts w:ascii="Cambria Math" w:hAnsi="Cambria Math"/>
          <w:szCs w:val="22"/>
        </w:rPr>
        <w:t>980 MPa</w:t>
      </w:r>
      <w:r w:rsidRPr="00BC31E0">
        <w:rPr>
          <w:rFonts w:ascii="ＭＳ 明朝" w:hAnsi="ＭＳ 明朝" w:hint="eastAsia"/>
          <w:szCs w:val="22"/>
        </w:rPr>
        <w:t>未満の</w:t>
      </w:r>
      <w:r w:rsidR="007513F8" w:rsidRPr="00BC31E0">
        <w:rPr>
          <w:rFonts w:ascii="ＭＳ 明朝" w:hAnsi="ＭＳ 明朝" w:hint="eastAsia"/>
          <w:szCs w:val="22"/>
        </w:rPr>
        <w:t>場合</w:t>
      </w:r>
      <w:r w:rsidRPr="00BC31E0">
        <w:rPr>
          <w:rFonts w:ascii="ＭＳ 明朝" w:hAnsi="ＭＳ 明朝" w:hint="eastAsia"/>
          <w:szCs w:val="22"/>
        </w:rPr>
        <w:t>に使用する。</w:t>
      </w:r>
    </w:p>
    <w:p w14:paraId="06BA6ACF" w14:textId="77777777" w:rsidR="00601156" w:rsidRPr="00BC31E0" w:rsidRDefault="00601156" w:rsidP="00601156">
      <w:pPr>
        <w:ind w:leftChars="1200" w:left="2520"/>
        <w:jc w:val="left"/>
        <w:rPr>
          <w:rFonts w:ascii="ＭＳ 明朝" w:hAnsi="ＭＳ 明朝"/>
          <w:szCs w:val="22"/>
        </w:rPr>
      </w:pPr>
      <w:r w:rsidRPr="00BC31E0">
        <w:rPr>
          <w:rFonts w:ascii="ＭＳ ゴシック" w:eastAsia="ＭＳ ゴシック" w:hAnsi="ＭＳ ゴシック" w:hint="eastAsia"/>
          <w:b/>
          <w:szCs w:val="22"/>
        </w:rPr>
        <w:t>注記2</w:t>
      </w:r>
      <w:r w:rsidRPr="00BC31E0">
        <w:rPr>
          <w:rFonts w:ascii="ＭＳ 明朝" w:hAnsi="ＭＳ 明朝" w:hint="eastAsia"/>
          <w:szCs w:val="22"/>
        </w:rPr>
        <w:t xml:space="preserve">　実線は，材料の最小引張強さが</w:t>
      </w:r>
      <w:r w:rsidRPr="00BC31E0">
        <w:rPr>
          <w:rFonts w:ascii="Cambria Math" w:hAnsi="Cambria Math"/>
          <w:szCs w:val="22"/>
        </w:rPr>
        <w:t>980 MPa</w:t>
      </w:r>
      <w:r w:rsidRPr="00BC31E0">
        <w:rPr>
          <w:rFonts w:ascii="ＭＳ 明朝" w:hAnsi="ＭＳ 明朝" w:hint="eastAsia"/>
          <w:szCs w:val="22"/>
        </w:rPr>
        <w:t>以上</w:t>
      </w:r>
      <w:r w:rsidR="007513F8" w:rsidRPr="00BC31E0">
        <w:rPr>
          <w:rFonts w:ascii="ＭＳ 明朝" w:hAnsi="ＭＳ 明朝" w:hint="eastAsia"/>
          <w:szCs w:val="22"/>
        </w:rPr>
        <w:t>，</w:t>
      </w:r>
      <w:r w:rsidRPr="00BC31E0">
        <w:rPr>
          <w:rFonts w:ascii="Cambria Math" w:hAnsi="Cambria Math"/>
          <w:szCs w:val="22"/>
        </w:rPr>
        <w:t>1</w:t>
      </w:r>
      <w:r w:rsidRPr="00BC31E0">
        <w:rPr>
          <w:rFonts w:ascii="Cambria Math" w:hAnsi="Cambria Math" w:hint="eastAsia"/>
          <w:szCs w:val="22"/>
        </w:rPr>
        <w:t>,</w:t>
      </w:r>
      <w:r w:rsidRPr="00BC31E0">
        <w:rPr>
          <w:rFonts w:ascii="Cambria Math" w:hAnsi="Cambria Math"/>
          <w:szCs w:val="22"/>
        </w:rPr>
        <w:t>180 MPa</w:t>
      </w:r>
      <w:r w:rsidRPr="00BC31E0">
        <w:rPr>
          <w:rFonts w:ascii="ＭＳ 明朝" w:hAnsi="ＭＳ 明朝" w:hint="eastAsia"/>
          <w:szCs w:val="22"/>
        </w:rPr>
        <w:t>未満の</w:t>
      </w:r>
      <w:r w:rsidR="007513F8" w:rsidRPr="00BC31E0">
        <w:rPr>
          <w:rFonts w:ascii="ＭＳ 明朝" w:hAnsi="ＭＳ 明朝" w:hint="eastAsia"/>
          <w:szCs w:val="22"/>
        </w:rPr>
        <w:t>場合</w:t>
      </w:r>
      <w:r w:rsidRPr="00BC31E0">
        <w:rPr>
          <w:rFonts w:ascii="ＭＳ 明朝" w:hAnsi="ＭＳ 明朝" w:hint="eastAsia"/>
          <w:szCs w:val="22"/>
        </w:rPr>
        <w:t>に使用する。</w:t>
      </w:r>
    </w:p>
    <w:p w14:paraId="38A0313C" w14:textId="77777777" w:rsidR="00601156" w:rsidRPr="00BC31E0" w:rsidRDefault="00601156" w:rsidP="00601156">
      <w:pPr>
        <w:ind w:leftChars="1200" w:left="2520"/>
        <w:jc w:val="left"/>
        <w:rPr>
          <w:rFonts w:ascii="ＭＳ 明朝" w:hAnsi="ＭＳ 明朝"/>
          <w:szCs w:val="22"/>
        </w:rPr>
      </w:pPr>
      <w:r w:rsidRPr="00BC31E0">
        <w:rPr>
          <w:rFonts w:ascii="ＭＳ ゴシック" w:eastAsia="ＭＳ ゴシック" w:hAnsi="ＭＳ ゴシック" w:hint="eastAsia"/>
          <w:b/>
          <w:szCs w:val="22"/>
        </w:rPr>
        <w:t>注記3</w:t>
      </w:r>
      <w:r w:rsidRPr="00BC31E0">
        <w:rPr>
          <w:rFonts w:ascii="ＭＳ 明朝" w:hAnsi="ＭＳ 明朝" w:hint="eastAsia"/>
          <w:szCs w:val="22"/>
        </w:rPr>
        <w:t xml:space="preserve">　平均応力による設計許容繰返し回数の低減をおりこんでいない。</w:t>
      </w:r>
    </w:p>
    <w:p w14:paraId="748DA0D0" w14:textId="77777777" w:rsidR="00601156" w:rsidRPr="00BC31E0" w:rsidRDefault="00601156" w:rsidP="00BC31E0">
      <w:pPr>
        <w:pStyle w:val="af4"/>
        <w:spacing w:beforeLines="50" w:before="215" w:line="360" w:lineRule="exact"/>
      </w:pPr>
      <w:r w:rsidRPr="00BC31E0">
        <w:rPr>
          <w:rFonts w:hint="eastAsia"/>
        </w:rPr>
        <w:t>図6.3.2　高強度低合金鋼の設計疲労曲線</w:t>
      </w:r>
      <w:r w:rsidR="00651404" w:rsidRPr="00BC31E0">
        <w:rPr>
          <w:rFonts w:asciiTheme="majorEastAsia" w:eastAsiaTheme="majorEastAsia" w:hAnsiTheme="majorEastAsia"/>
          <w:vertAlign w:val="superscript"/>
        </w:rPr>
        <w:t>1)</w:t>
      </w:r>
    </w:p>
    <w:p w14:paraId="785F397B" w14:textId="77777777" w:rsidR="00601156" w:rsidRPr="00BC31E0" w:rsidRDefault="00A51873" w:rsidP="00601156">
      <w:pPr>
        <w:jc w:val="center"/>
        <w:rPr>
          <w:szCs w:val="22"/>
        </w:rPr>
      </w:pPr>
      <w:r>
        <w:rPr>
          <w:noProof/>
          <w:szCs w:val="22"/>
        </w:rPr>
      </w:r>
      <w:r>
        <w:rPr>
          <w:noProof/>
          <w:szCs w:val="22"/>
        </w:rPr>
        <w:pict w14:anchorId="5B7DB8C8">
          <v:group id="グループ化 39" o:spid="_x0000_s3451" style="width:620.3pt;height:321.15pt;mso-position-horizontal-relative:char;mso-position-vertical-relative:line" coordorigin="1994,1870" coordsize="12406,6423">
            <v:shape id="グラフ 2" o:spid="_x0000_s3458" type="#_x0000_t75" style="position:absolute;left:2087;top:1870;width:12313;height:6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">
              <v:imagedata r:id="rId55" o:title="" croptop="-1578f" cropbottom="-3230f" cropleft="-1431f" cropright="-1049f"/>
              <o:lock v:ext="edit" aspectratio="f"/>
            </v:shape>
            <v:shape id="Text Box 12029" o:spid="_x0000_s3457" type="#_x0000_t202" style="position:absolute;left:7931;top:7792;width:1479;height:4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" stroked="f">
              <v:textbox style="mso-fit-shape-to-text:t">
                <w:txbxContent>
                  <w:p w14:paraId="19D68B0D" w14:textId="77777777" w:rsidR="003B0864" w:rsidRPr="007B1400" w:rsidRDefault="003B0864" w:rsidP="00601156">
                    <w:pPr>
                      <w:snapToGrid w:val="0"/>
                      <w:jc w:val="center"/>
                      <w:rPr>
                        <w:rFonts w:ascii="ＭＳ ゴシック" w:eastAsia="ＭＳ ゴシック" w:hAnsi="ＭＳ ゴシック"/>
                        <w:b/>
                        <w:sz w:val="20"/>
                        <w:szCs w:val="20"/>
                      </w:rPr>
                    </w:pPr>
                    <w:r w:rsidRPr="007B1400">
                      <w:rPr>
                        <w:rFonts w:ascii="ＭＳ ゴシック" w:eastAsia="ＭＳ ゴシック" w:hAnsi="ＭＳ ゴシック" w:hint="eastAsia"/>
                        <w:b/>
                        <w:sz w:val="20"/>
                        <w:szCs w:val="20"/>
                      </w:rPr>
                      <w:t>繰返し回数</w:t>
                    </w:r>
                  </w:p>
                </w:txbxContent>
              </v:textbox>
            </v:shape>
            <v:shape id="Text Box 12020" o:spid="_x0000_s3456" type="#_x0000_t202" style="position:absolute;left:10822;top:2279;width:2863;height:1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" strokecolor="white">
              <v:textbox style="mso-fit-shape-to-text:t">
                <w:txbxContent>
                  <w:p w14:paraId="01B7C933" w14:textId="77777777" w:rsidR="003B0864" w:rsidRPr="00146E4F" w:rsidRDefault="003B0864" w:rsidP="00601156">
                    <w:pPr>
                      <w:rPr>
                        <w:b/>
                      </w:rPr>
                    </w:pPr>
                    <w:r w:rsidRPr="00146E4F">
                      <w:rPr>
                        <w:rFonts w:hint="eastAsia"/>
                        <w:b/>
                      </w:rPr>
                      <w:t xml:space="preserve">運転温度　</w:t>
                    </w:r>
                    <w:r w:rsidRPr="0032255F">
                      <w:rPr>
                        <w:rFonts w:ascii="Cambria Math" w:hAnsi="Cambria Math"/>
                        <w:b/>
                      </w:rPr>
                      <w:t>350</w:t>
                    </w:r>
                    <w:r w:rsidRPr="00146E4F">
                      <w:rPr>
                        <w:rFonts w:hint="eastAsia"/>
                        <w:b/>
                      </w:rPr>
                      <w:t>℃以下</w:t>
                    </w:r>
                  </w:p>
                  <w:p w14:paraId="02AE5F8E" w14:textId="77777777" w:rsidR="003B0864" w:rsidRDefault="003B0864" w:rsidP="00601156">
                    <w:r w:rsidRPr="00585D0D">
                      <w:rPr>
                        <w:rFonts w:ascii="Cambria Math" w:hAnsi="Cambria Math" w:hint="eastAsia"/>
                        <w:b/>
                        <w:i/>
                      </w:rPr>
                      <w:t>E</w:t>
                    </w:r>
                    <w:r w:rsidRPr="0032255F">
                      <w:rPr>
                        <w:rFonts w:ascii="Cambria Math" w:hAnsi="Cambria Math"/>
                        <w:b/>
                      </w:rPr>
                      <w:t>= 2.07×10</w:t>
                    </w:r>
                    <w:r w:rsidRPr="0032255F">
                      <w:rPr>
                        <w:rFonts w:ascii="Cambria Math" w:hAnsi="Cambria Math"/>
                        <w:b/>
                        <w:vertAlign w:val="superscript"/>
                      </w:rPr>
                      <w:t>5</w:t>
                    </w:r>
                    <w:r w:rsidRPr="0032255F">
                      <w:rPr>
                        <w:rFonts w:ascii="Cambria Math" w:hAnsi="Cambria Math"/>
                        <w:b/>
                      </w:rPr>
                      <w:t xml:space="preserve"> MPa</w:t>
                    </w:r>
                    <w:r w:rsidRPr="00146E4F">
                      <w:rPr>
                        <w:rFonts w:hint="eastAsia"/>
                        <w:b/>
                      </w:rPr>
                      <w:t xml:space="preserve">　</w:t>
                    </w:r>
                    <w:r w:rsidRPr="00146E4F">
                      <w:rPr>
                        <w:rFonts w:hint="eastAsia"/>
                        <w:b/>
                      </w:rPr>
                      <w:t>(</w:t>
                    </w:r>
                    <w:r w:rsidRPr="00146E4F">
                      <w:rPr>
                        <w:rFonts w:hint="eastAsia"/>
                        <w:b/>
                      </w:rPr>
                      <w:t>室温</w:t>
                    </w:r>
                    <w:r w:rsidRPr="00146E4F">
                      <w:rPr>
                        <w:rFonts w:hint="eastAsia"/>
                        <w:b/>
                      </w:rPr>
                      <w:t>)</w:t>
                    </w:r>
                  </w:p>
                </w:txbxContent>
              </v:textbox>
            </v:shape>
            <v:shape id="Text Box 12021" o:spid="_x0000_s3455" type="#_x0000_t202" style="position:absolute;left:9690;top:3948;width:2324;height:59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" strokecolor="white">
              <v:textbox style="mso-fit-shape-to-text:t">
                <w:txbxContent>
                  <w:p w14:paraId="397E76F1" w14:textId="77777777" w:rsidR="003B0864" w:rsidRPr="00F47554" w:rsidRDefault="003B0864" w:rsidP="00601156">
                    <w:pPr>
                      <w:jc w:val="center"/>
                    </w:pPr>
                    <w:r>
                      <w:rPr>
                        <w:rFonts w:hint="eastAsia"/>
                      </w:rPr>
                      <w:t>最大公称応力≦</w:t>
                    </w:r>
                    <w:r w:rsidRPr="00F47554">
                      <w:rPr>
                        <w:rFonts w:ascii="Cambria Math" w:eastAsia="ＭＳ ゴシック" w:hAnsi="Cambria Math"/>
                      </w:rPr>
                      <w:t>2.7</w:t>
                    </w:r>
                    <w:r>
                      <w:rPr>
                        <w:rFonts w:ascii="Cambria Math" w:eastAsia="ＭＳ ゴシック" w:hAnsi="Cambria Math" w:hint="eastAsia"/>
                      </w:rPr>
                      <w:t xml:space="preserve"> </w:t>
                    </w:r>
                    <w:r>
                      <w:rPr>
                        <w:rFonts w:ascii="Cambria Math" w:eastAsia="ＭＳ ゴシック" w:hAnsi="Cambria Math"/>
                      </w:rPr>
                      <w:t>𝑆</w:t>
                    </w:r>
                    <w:r w:rsidRPr="00F47554">
                      <w:rPr>
                        <w:rFonts w:ascii="Cambria Math" w:eastAsia="ＭＳ ゴシック" w:hAnsi="Cambria Math"/>
                        <w:position w:val="-2"/>
                        <w:vertAlign w:val="subscript"/>
                      </w:rPr>
                      <w:t>𝑚</w:t>
                    </w:r>
                  </w:p>
                </w:txbxContent>
              </v:textbox>
            </v:shape>
            <v:shape id="Text Box 12022" o:spid="_x0000_s3454" type="#_x0000_t202" style="position:absolute;left:8610;top:6060;width:2324;height:59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" strokecolor="white">
              <v:textbox style="mso-fit-shape-to-text:t">
                <w:txbxContent>
                  <w:p w14:paraId="49A809A4" w14:textId="77777777" w:rsidR="003B0864" w:rsidRPr="00F47554" w:rsidRDefault="003B0864" w:rsidP="00601156">
                    <w:pPr>
                      <w:jc w:val="center"/>
                    </w:pPr>
                    <w:r>
                      <w:rPr>
                        <w:rFonts w:hint="eastAsia"/>
                      </w:rPr>
                      <w:t>最大公称応力≦</w:t>
                    </w:r>
                    <w:r w:rsidRPr="00F47554">
                      <w:rPr>
                        <w:rFonts w:ascii="Cambria Math" w:eastAsia="ＭＳ ゴシック" w:hAnsi="Cambria Math"/>
                      </w:rPr>
                      <w:t xml:space="preserve">3.0 </w:t>
                    </w:r>
                    <w:r>
                      <w:rPr>
                        <w:rFonts w:ascii="Cambria Math" w:eastAsia="ＭＳ ゴシック" w:hAnsi="Cambria Math"/>
                      </w:rPr>
                      <w:t>𝑆</w:t>
                    </w:r>
                    <w:r w:rsidRPr="00F47554">
                      <w:rPr>
                        <w:rFonts w:ascii="Cambria Math" w:eastAsia="ＭＳ ゴシック" w:hAnsi="Cambria Math"/>
                        <w:position w:val="-2"/>
                        <w:vertAlign w:val="subscript"/>
                      </w:rPr>
                      <w:t>𝑚</w:t>
                    </w:r>
                  </w:p>
                </w:txbxContent>
              </v:textbox>
            </v:shape>
            <v:shape id="AutoShape 12023" o:spid="_x0000_s3453" type="#_x0000_t32" style="position:absolute;left:10243;top:4453;width:570;height:598;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">
              <v:stroke endarrow="block"/>
            </v:shape>
            <v:shape id="AutoShape 12024" o:spid="_x0000_s3452" type="#_x0000_t32" style="position:absolute;left:9709;top:5495;width:555;height:594;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">
              <v:stroke endarrow="block"/>
            </v:shape>
            <v:shape id="Text Box 12058" o:spid="_x0000_s1050" type="#_x0000_t202" style="position:absolute;left:1994;top:3707;width:630;height:20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" stroked="f">
              <v:textbox style="layout-flow:vertical;mso-layout-flow-alt:bottom-to-top" inset="5.85pt,.7pt,5.85pt,.7pt">
                <w:txbxContent>
                  <w:p w14:paraId="2123FCC9" w14:textId="77777777" w:rsidR="003B0864" w:rsidRPr="004A124D" w:rsidRDefault="003B0864" w:rsidP="00601156">
                    <w:pPr>
                      <w:jc w:val="center"/>
                      <w:rPr>
                        <w:rFonts w:ascii="ＭＳ ゴシック" w:eastAsia="ＭＳ ゴシック" w:hAnsi="ＭＳ ゴシック"/>
                        <w:b/>
                        <w:sz w:val="20"/>
                        <w:szCs w:val="20"/>
                      </w:rPr>
                    </w:pPr>
                    <w:r w:rsidRPr="004A124D">
                      <w:rPr>
                        <w:rFonts w:ascii="ＭＳ ゴシック" w:eastAsia="ＭＳ ゴシック" w:hAnsi="ＭＳ ゴシック" w:hint="eastAsia"/>
                        <w:b/>
                        <w:sz w:val="20"/>
                        <w:szCs w:val="20"/>
                      </w:rPr>
                      <w:t>応力振幅</w:t>
                    </w:r>
                    <w:r w:rsidRPr="004A124D">
                      <w:rPr>
                        <w:rFonts w:eastAsia="ＭＳ ゴシック" w:hAnsi="ＭＳ ゴシック"/>
                        <w:b/>
                        <w:sz w:val="20"/>
                        <w:szCs w:val="20"/>
                      </w:rPr>
                      <w:t>（</w:t>
                    </w:r>
                    <w:r w:rsidRPr="004A124D">
                      <w:rPr>
                        <w:rFonts w:eastAsia="ＭＳ ゴシック"/>
                        <w:b/>
                        <w:sz w:val="20"/>
                        <w:szCs w:val="20"/>
                      </w:rPr>
                      <w:t>MPa</w:t>
                    </w:r>
                    <w:r w:rsidRPr="004A124D">
                      <w:rPr>
                        <w:rFonts w:eastAsia="ＭＳ ゴシック" w:hAnsi="ＭＳ ゴシック"/>
                        <w:b/>
                        <w:sz w:val="20"/>
                        <w:szCs w:val="20"/>
                      </w:rPr>
                      <w:t>）</w:t>
                    </w:r>
                  </w:p>
                </w:txbxContent>
              </v:textbox>
            </v:shape>
            <w10:anchorlock/>
          </v:group>
        </w:pict>
      </w:r>
    </w:p>
    <w:p w14:paraId="782D0F81" w14:textId="77777777" w:rsidR="00601156" w:rsidRPr="00BC31E0" w:rsidRDefault="00601156" w:rsidP="00BC31E0">
      <w:pPr>
        <w:spacing w:beforeLines="100" w:before="431"/>
        <w:ind w:leftChars="1200" w:left="2520"/>
        <w:rPr>
          <w:szCs w:val="22"/>
        </w:rPr>
      </w:pPr>
      <w:r w:rsidRPr="00BC31E0">
        <w:rPr>
          <w:rFonts w:ascii="ＭＳ ゴシック" w:eastAsia="ＭＳ ゴシック" w:hAnsi="ＭＳ ゴシック" w:hint="eastAsia"/>
          <w:b/>
          <w:szCs w:val="22"/>
        </w:rPr>
        <w:t>注記</w:t>
      </w:r>
      <w:r w:rsidRPr="00BC31E0">
        <w:rPr>
          <w:rFonts w:hint="eastAsia"/>
          <w:szCs w:val="22"/>
        </w:rPr>
        <w:t xml:space="preserve">　平均応力による設計許容繰返し回数の低減をおりこみ済み</w:t>
      </w:r>
    </w:p>
    <w:p w14:paraId="73B8B063" w14:textId="77777777" w:rsidR="00601156" w:rsidRPr="00BC31E0" w:rsidRDefault="00601156" w:rsidP="00BC31E0">
      <w:pPr>
        <w:pStyle w:val="af4"/>
        <w:spacing w:beforeLines="100" w:before="431" w:line="360" w:lineRule="exact"/>
      </w:pPr>
      <w:r w:rsidRPr="00BC31E0">
        <w:rPr>
          <w:rFonts w:hint="eastAsia"/>
        </w:rPr>
        <w:t>図6.3.3　高強度鋼ボルトの設計疲労曲線</w:t>
      </w:r>
    </w:p>
    <w:p w14:paraId="0F53AECB" w14:textId="77777777" w:rsidR="00601156" w:rsidRPr="00BC31E0" w:rsidRDefault="00601156" w:rsidP="00601156">
      <w:pPr>
        <w:pStyle w:val="af4"/>
        <w:jc w:val="left"/>
      </w:pPr>
    </w:p>
    <w:p w14:paraId="186559B8" w14:textId="77777777" w:rsidR="00601156" w:rsidRPr="00BC31E0" w:rsidRDefault="00601156" w:rsidP="00601156">
      <w:pPr>
        <w:pStyle w:val="af4"/>
        <w:jc w:val="left"/>
      </w:pPr>
    </w:p>
    <w:p w14:paraId="032FB5A0" w14:textId="77777777" w:rsidR="00601156" w:rsidRPr="00BC31E0" w:rsidRDefault="00601156" w:rsidP="00601156">
      <w:pPr>
        <w:jc w:val="center"/>
        <w:rPr>
          <w:rFonts w:ascii="ＭＳ ゴシック" w:eastAsia="ＭＳ ゴシック" w:hAnsi="ＭＳ ゴシック"/>
          <w:b/>
          <w:szCs w:val="22"/>
        </w:rPr>
      </w:pPr>
      <w:r w:rsidRPr="00BC31E0">
        <w:rPr>
          <w:rFonts w:ascii="ＭＳ ゴシック" w:eastAsia="ＭＳ ゴシック" w:hAnsi="ＭＳ ゴシック"/>
          <w:szCs w:val="22"/>
        </w:rPr>
        <w:br w:type="page"/>
      </w:r>
      <w:r w:rsidRPr="00BC31E0">
        <w:rPr>
          <w:noProof/>
        </w:rPr>
        <w:lastRenderedPageBreak/>
        <w:drawing>
          <wp:inline distT="0" distB="0" distL="0" distR="0" wp14:anchorId="0126C6F9" wp14:editId="47ABEAAA">
            <wp:extent cx="6672943" cy="435232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693865" cy="4365966"/>
                    </a:xfrm>
                    <a:prstGeom prst="rect">
                      <a:avLst/>
                    </a:prstGeom>
                    <a:noFill/>
                    <a:ln>
                      <a:noFill/>
                    </a:ln>
                  </pic:spPr>
                </pic:pic>
              </a:graphicData>
            </a:graphic>
          </wp:inline>
        </w:drawing>
      </w:r>
    </w:p>
    <w:p w14:paraId="58575D11" w14:textId="77777777" w:rsidR="00601156" w:rsidRPr="00BC31E0" w:rsidRDefault="00601156" w:rsidP="00BC31E0">
      <w:pPr>
        <w:spacing w:beforeLines="50" w:before="215"/>
        <w:ind w:leftChars="1200" w:left="2520"/>
        <w:rPr>
          <w:rFonts w:ascii="ＭＳ ゴシック" w:eastAsia="ＭＳ ゴシック" w:hAnsi="ＭＳ ゴシック"/>
          <w:szCs w:val="22"/>
        </w:rPr>
      </w:pPr>
      <w:r w:rsidRPr="00BC31E0">
        <w:rPr>
          <w:rFonts w:ascii="ＭＳ ゴシック" w:eastAsia="ＭＳ ゴシック" w:hAnsi="ＭＳ ゴシック" w:hint="eastAsia"/>
          <w:b/>
          <w:szCs w:val="22"/>
        </w:rPr>
        <w:t>注記</w:t>
      </w:r>
      <w:r w:rsidRPr="00BC31E0">
        <w:rPr>
          <w:rFonts w:ascii="ＭＳ ゴシック" w:eastAsia="ＭＳ ゴシック" w:hAnsi="ＭＳ ゴシック" w:hint="eastAsia"/>
          <w:szCs w:val="22"/>
        </w:rPr>
        <w:t xml:space="preserve">　</w:t>
      </w:r>
      <w:r w:rsidRPr="00BC31E0">
        <w:rPr>
          <w:rFonts w:ascii="ＭＳ 明朝" w:hAnsi="ＭＳ 明朝" w:hint="eastAsia"/>
          <w:szCs w:val="22"/>
        </w:rPr>
        <w:t>平均応力による設計許容繰返し回数の低減をおりこみ済み</w:t>
      </w:r>
    </w:p>
    <w:p w14:paraId="2A9A39E2" w14:textId="77777777" w:rsidR="00601156" w:rsidRPr="00BC31E0" w:rsidRDefault="00601156" w:rsidP="00BC31E0">
      <w:pPr>
        <w:pStyle w:val="af4"/>
        <w:snapToGrid w:val="0"/>
        <w:spacing w:beforeLines="100" w:before="431" w:line="360" w:lineRule="exact"/>
      </w:pPr>
      <w:r w:rsidRPr="00BC31E0">
        <w:rPr>
          <w:rFonts w:hint="eastAsia"/>
        </w:rPr>
        <w:t>図6.3.4　オーステナイト系ステンレス鋼の設計疲労曲線</w:t>
      </w:r>
    </w:p>
    <w:p w14:paraId="79AB625F" w14:textId="77777777" w:rsidR="00601156" w:rsidRPr="00BC31E0" w:rsidRDefault="00601156" w:rsidP="00601156">
      <w:pPr>
        <w:pStyle w:val="af4"/>
        <w:snapToGrid w:val="0"/>
        <w:spacing w:line="360" w:lineRule="exact"/>
        <w:rPr>
          <w:rFonts w:asciiTheme="majorEastAsia" w:eastAsiaTheme="majorEastAsia" w:hAnsiTheme="majorEastAsia"/>
        </w:rPr>
      </w:pPr>
      <w:r w:rsidRPr="00BC31E0">
        <w:rPr>
          <w:rFonts w:asciiTheme="majorEastAsia" w:eastAsiaTheme="majorEastAsia" w:hAnsiTheme="majorEastAsia" w:hint="eastAsia"/>
        </w:rPr>
        <w:t>(繰返し回数が</w:t>
      </w:r>
      <w:r w:rsidR="00003980" w:rsidRPr="00BC31E0">
        <w:rPr>
          <w:rFonts w:asciiTheme="majorEastAsia" w:eastAsiaTheme="majorEastAsia" w:hAnsiTheme="majorEastAsia" w:hint="eastAsia"/>
        </w:rPr>
        <w:t>10</w:t>
      </w:r>
      <w:r w:rsidR="00003980" w:rsidRPr="00BC31E0">
        <w:rPr>
          <w:rFonts w:asciiTheme="majorEastAsia" w:eastAsiaTheme="majorEastAsia" w:hAnsiTheme="majorEastAsia" w:hint="eastAsia"/>
          <w:vertAlign w:val="superscript"/>
        </w:rPr>
        <w:t>6</w:t>
      </w:r>
      <w:r w:rsidRPr="00BC31E0">
        <w:rPr>
          <w:rFonts w:asciiTheme="majorEastAsia" w:eastAsiaTheme="majorEastAsia" w:hAnsiTheme="majorEastAsia" w:hint="eastAsia"/>
        </w:rPr>
        <w:t>回未満の場合)</w:t>
      </w:r>
      <w:r w:rsidRPr="00BC31E0">
        <w:rPr>
          <w:rFonts w:asciiTheme="majorEastAsia" w:eastAsiaTheme="majorEastAsia" w:hAnsiTheme="majorEastAsia" w:hint="eastAsia"/>
          <w:b w:val="0"/>
        </w:rPr>
        <w:t xml:space="preserve"> </w:t>
      </w:r>
    </w:p>
    <w:p w14:paraId="3EE9DD75" w14:textId="77777777" w:rsidR="00601156" w:rsidRPr="00BC31E0" w:rsidRDefault="00601156" w:rsidP="00601156">
      <w:pPr>
        <w:jc w:val="center"/>
        <w:rPr>
          <w:rFonts w:eastAsia="ＭＳ ゴシック"/>
          <w:b/>
        </w:rPr>
      </w:pPr>
      <w:r w:rsidRPr="00BC31E0">
        <w:br w:type="page"/>
      </w:r>
      <w:r w:rsidRPr="00BC31E0">
        <w:rPr>
          <w:rFonts w:hint="eastAsia"/>
          <w:noProof/>
        </w:rPr>
        <w:lastRenderedPageBreak/>
        <w:drawing>
          <wp:inline distT="0" distB="0" distL="0" distR="0" wp14:anchorId="29565C0B" wp14:editId="7115E098">
            <wp:extent cx="7271657" cy="4742823"/>
            <wp:effectExtent l="0" t="0" r="5715" b="63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279718" cy="4748081"/>
                    </a:xfrm>
                    <a:prstGeom prst="rect">
                      <a:avLst/>
                    </a:prstGeom>
                    <a:noFill/>
                    <a:ln>
                      <a:noFill/>
                    </a:ln>
                  </pic:spPr>
                </pic:pic>
              </a:graphicData>
            </a:graphic>
          </wp:inline>
        </w:drawing>
      </w:r>
    </w:p>
    <w:p w14:paraId="2CE1B097" w14:textId="77777777" w:rsidR="00601156" w:rsidRPr="00BC31E0" w:rsidRDefault="00601156" w:rsidP="00601156">
      <w:pPr>
        <w:spacing w:line="280" w:lineRule="exact"/>
        <w:ind w:leftChars="1200" w:left="2520"/>
      </w:pPr>
      <w:r w:rsidRPr="00BC31E0">
        <w:rPr>
          <w:rFonts w:ascii="ＭＳ ゴシック" w:eastAsia="ＭＳ ゴシック" w:hAnsi="ＭＳ ゴシック" w:hint="eastAsia"/>
          <w:b/>
        </w:rPr>
        <w:t>注記1</w:t>
      </w:r>
      <w:r w:rsidRPr="00BC31E0">
        <w:rPr>
          <w:rFonts w:eastAsia="ＭＳ ゴシック" w:hint="eastAsia"/>
          <w:b/>
        </w:rPr>
        <w:t xml:space="preserve">　</w:t>
      </w:r>
      <w:r w:rsidRPr="00BC31E0">
        <w:rPr>
          <w:rFonts w:hint="eastAsia"/>
        </w:rPr>
        <w:t>曲線</w:t>
      </w:r>
      <w:r w:rsidRPr="00BC31E0">
        <w:rPr>
          <w:rFonts w:ascii="ＭＳ ゴシック" w:hAnsi="ＭＳ ゴシック" w:hint="eastAsia"/>
          <w:b/>
        </w:rPr>
        <w:t>A</w:t>
      </w:r>
      <w:r w:rsidRPr="00BC31E0">
        <w:rPr>
          <w:rFonts w:ascii="ＭＳ ゴシック" w:hAnsi="ＭＳ ゴシック" w:hint="eastAsia"/>
        </w:rPr>
        <w:t xml:space="preserve">　</w:t>
      </w:r>
      <w:r w:rsidRPr="00BC31E0">
        <w:rPr>
          <w:rFonts w:hint="eastAsia"/>
        </w:rPr>
        <w:t>等価応力強さの振幅を使う場合</w:t>
      </w:r>
    </w:p>
    <w:p w14:paraId="69405796" w14:textId="77777777" w:rsidR="00601156" w:rsidRPr="00BC31E0" w:rsidRDefault="00601156" w:rsidP="00601156">
      <w:pPr>
        <w:spacing w:line="280" w:lineRule="exact"/>
        <w:ind w:leftChars="1200" w:left="2520"/>
        <w:rPr>
          <w:rFonts w:ascii="ＭＳ ゴシック" w:eastAsia="ＭＳ ゴシック" w:hAnsi="ＭＳ ゴシック"/>
          <w:b/>
        </w:rPr>
      </w:pPr>
      <w:r w:rsidRPr="00BC31E0">
        <w:rPr>
          <w:rFonts w:ascii="ＭＳ ゴシック" w:eastAsia="ＭＳ ゴシック" w:hAnsi="ＭＳ ゴシック" w:hint="eastAsia"/>
          <w:b/>
        </w:rPr>
        <w:t xml:space="preserve">注記2　</w:t>
      </w:r>
      <w:r w:rsidRPr="00BC31E0">
        <w:rPr>
          <w:rFonts w:ascii="ＭＳ 明朝" w:hAnsi="ＭＳ ゴシック" w:hint="eastAsia"/>
        </w:rPr>
        <w:t>曲線</w:t>
      </w:r>
      <w:r w:rsidRPr="00BC31E0">
        <w:rPr>
          <w:rFonts w:ascii="ＭＳ ゴシック" w:eastAsia="ＭＳ ゴシック" w:hAnsi="ＭＳ ゴシック" w:hint="eastAsia"/>
          <w:b/>
        </w:rPr>
        <w:t xml:space="preserve">B　</w:t>
      </w:r>
      <w:r w:rsidRPr="00BC31E0">
        <w:rPr>
          <w:rFonts w:hint="eastAsia"/>
        </w:rPr>
        <w:t>平均応力による設計許容繰返し回数の低減をおりこみ済み</w:t>
      </w:r>
    </w:p>
    <w:p w14:paraId="646D0150" w14:textId="77777777" w:rsidR="00601156" w:rsidRPr="00BC31E0" w:rsidRDefault="00601156" w:rsidP="00601156">
      <w:pPr>
        <w:pStyle w:val="af4"/>
        <w:snapToGrid w:val="0"/>
        <w:spacing w:before="60" w:line="320" w:lineRule="exact"/>
      </w:pPr>
      <w:r w:rsidRPr="00BC31E0">
        <w:rPr>
          <w:rFonts w:hint="eastAsia"/>
        </w:rPr>
        <w:t>図6.3.5　オーステナイト系ステンレス鋼の設計疲労曲線</w:t>
      </w:r>
    </w:p>
    <w:p w14:paraId="44D84283" w14:textId="77777777" w:rsidR="00601156" w:rsidRPr="00BC31E0" w:rsidRDefault="00601156" w:rsidP="00601156">
      <w:pPr>
        <w:pStyle w:val="af4"/>
        <w:snapToGrid w:val="0"/>
        <w:spacing w:line="320" w:lineRule="exact"/>
        <w:rPr>
          <w:rFonts w:asciiTheme="majorEastAsia" w:eastAsiaTheme="majorEastAsia" w:hAnsiTheme="majorEastAsia"/>
        </w:rPr>
      </w:pPr>
      <w:r w:rsidRPr="00BC31E0">
        <w:rPr>
          <w:rFonts w:asciiTheme="majorEastAsia" w:eastAsiaTheme="majorEastAsia" w:hAnsiTheme="majorEastAsia" w:hint="eastAsia"/>
        </w:rPr>
        <w:t>(繰返し回数が</w:t>
      </w:r>
      <w:r w:rsidR="00003980" w:rsidRPr="00BC31E0">
        <w:rPr>
          <w:rFonts w:asciiTheme="majorEastAsia" w:eastAsiaTheme="majorEastAsia" w:hAnsiTheme="majorEastAsia" w:hint="eastAsia"/>
        </w:rPr>
        <w:t>10</w:t>
      </w:r>
      <w:r w:rsidR="00003980" w:rsidRPr="00BC31E0">
        <w:rPr>
          <w:rFonts w:asciiTheme="majorEastAsia" w:eastAsiaTheme="majorEastAsia" w:hAnsiTheme="majorEastAsia" w:hint="eastAsia"/>
          <w:vertAlign w:val="superscript"/>
        </w:rPr>
        <w:t>6</w:t>
      </w:r>
      <w:r w:rsidR="00003980" w:rsidRPr="00BC31E0">
        <w:rPr>
          <w:rFonts w:asciiTheme="majorEastAsia" w:eastAsiaTheme="majorEastAsia" w:hAnsiTheme="majorEastAsia" w:hint="eastAsia"/>
        </w:rPr>
        <w:t>回～10</w:t>
      </w:r>
      <w:r w:rsidR="00003980" w:rsidRPr="00BC31E0">
        <w:rPr>
          <w:rFonts w:asciiTheme="majorEastAsia" w:eastAsiaTheme="majorEastAsia" w:hAnsiTheme="majorEastAsia" w:hint="eastAsia"/>
          <w:vertAlign w:val="superscript"/>
        </w:rPr>
        <w:t>11</w:t>
      </w:r>
      <w:r w:rsidRPr="00BC31E0">
        <w:rPr>
          <w:rFonts w:asciiTheme="majorEastAsia" w:eastAsiaTheme="majorEastAsia" w:hAnsiTheme="majorEastAsia" w:hint="eastAsia"/>
        </w:rPr>
        <w:t>回で</w:t>
      </w:r>
      <w:r w:rsidR="001D5948" w:rsidRPr="00BC31E0">
        <w:rPr>
          <w:rFonts w:asciiTheme="majorEastAsia" w:eastAsiaTheme="majorEastAsia" w:hAnsiTheme="majorEastAsia" w:hint="eastAsia"/>
        </w:rPr>
        <w:t>，</w:t>
      </w:r>
      <w:r w:rsidRPr="00BC31E0">
        <w:rPr>
          <w:rFonts w:asciiTheme="majorEastAsia" w:eastAsiaTheme="majorEastAsia" w:hAnsiTheme="majorEastAsia" w:hint="eastAsia"/>
        </w:rPr>
        <w:t>応力振幅が</w:t>
      </w:r>
      <w:r w:rsidRPr="00BC31E0">
        <w:rPr>
          <w:rFonts w:asciiTheme="majorEastAsia" w:eastAsiaTheme="majorEastAsia" w:hAnsiTheme="majorEastAsia"/>
        </w:rPr>
        <w:t>195 MPa</w:t>
      </w:r>
      <w:r w:rsidRPr="00BC31E0">
        <w:rPr>
          <w:rFonts w:asciiTheme="majorEastAsia" w:eastAsiaTheme="majorEastAsia" w:hAnsiTheme="majorEastAsia" w:hint="eastAsia"/>
        </w:rPr>
        <w:t>以下の場合)</w:t>
      </w:r>
    </w:p>
    <w:p w14:paraId="377C7D5F" w14:textId="77777777" w:rsidR="00601156" w:rsidRPr="00BC31E0" w:rsidRDefault="00A51873" w:rsidP="00601156">
      <w:pPr>
        <w:autoSpaceDE w:val="0"/>
        <w:autoSpaceDN w:val="0"/>
        <w:adjustRightInd w:val="0"/>
        <w:jc w:val="center"/>
      </w:pPr>
      <w:r>
        <w:rPr>
          <w:noProof/>
        </w:rPr>
      </w:r>
      <w:r>
        <w:rPr>
          <w:noProof/>
        </w:rPr>
        <w:pict w14:anchorId="548FAA4C">
          <v:group id="グループ化 30" o:spid="_x0000_s1051" style="width:538.95pt;height:304.2pt;mso-position-horizontal-relative:char;mso-position-vertical-relative:line" coordorigin="2926,1621" coordsize="10779,6084">
            <v:shape id="図 499" o:spid="_x0000_s1052" type="#_x0000_t75" style="position:absolute;left:3118;top:1621;width:10587;height:59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">
              <v:imagedata r:id="rId58" o:title=""/>
            </v:shape>
            <v:shape id="Text Box 4124" o:spid="_x0000_s1053" type="#_x0000_t202" style="position:absolute;left:2926;top:3462;width:630;height:20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" stroked="f">
              <v:textbox style="layout-flow:vertical;mso-layout-flow-alt:bottom-to-top" inset="5.85pt,.7pt,5.85pt,.7pt">
                <w:txbxContent>
                  <w:p w14:paraId="72461BDA" w14:textId="77777777" w:rsidR="003B0864" w:rsidRPr="00DB3887" w:rsidRDefault="003B0864" w:rsidP="00601156">
                    <w:pPr>
                      <w:jc w:val="center"/>
                      <w:rPr>
                        <w:rFonts w:ascii="ＭＳ ゴシック" w:eastAsia="ＭＳ ゴシック" w:hAnsi="ＭＳ ゴシック"/>
                        <w:b/>
                        <w:sz w:val="20"/>
                        <w:szCs w:val="20"/>
                      </w:rPr>
                    </w:pPr>
                    <w:r w:rsidRPr="00DB3887">
                      <w:rPr>
                        <w:rFonts w:ascii="ＭＳ ゴシック" w:eastAsia="ＭＳ ゴシック" w:hAnsi="ＭＳ ゴシック" w:hint="eastAsia"/>
                        <w:b/>
                        <w:sz w:val="20"/>
                        <w:szCs w:val="20"/>
                      </w:rPr>
                      <w:t>応力振幅</w:t>
                    </w:r>
                    <w:r w:rsidRPr="00DB3887">
                      <w:rPr>
                        <w:rFonts w:eastAsia="ＭＳ ゴシック" w:hAnsi="ＭＳ ゴシック"/>
                        <w:b/>
                        <w:sz w:val="20"/>
                        <w:szCs w:val="20"/>
                      </w:rPr>
                      <w:t>（</w:t>
                    </w:r>
                    <w:r w:rsidRPr="00DB3887">
                      <w:rPr>
                        <w:rFonts w:eastAsia="ＭＳ ゴシック"/>
                        <w:b/>
                        <w:sz w:val="20"/>
                        <w:szCs w:val="20"/>
                      </w:rPr>
                      <w:t>MPa</w:t>
                    </w:r>
                    <w:r w:rsidRPr="00DB3887">
                      <w:rPr>
                        <w:rFonts w:eastAsia="ＭＳ ゴシック" w:hAnsi="ＭＳ ゴシック"/>
                        <w:b/>
                        <w:sz w:val="20"/>
                        <w:szCs w:val="20"/>
                      </w:rPr>
                      <w:t>）</w:t>
                    </w:r>
                  </w:p>
                </w:txbxContent>
              </v:textbox>
            </v:shape>
            <v:shape id="Text Box 12050" o:spid="_x0000_s1054" type="#_x0000_t202" style="position:absolute;left:8019;top:7302;width:1292;height:40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" stroked="f">
              <v:textbox style="mso-fit-shape-to-text:t">
                <w:txbxContent>
                  <w:p w14:paraId="62C76486" w14:textId="77777777" w:rsidR="003B0864" w:rsidRPr="007B1400" w:rsidRDefault="003B0864" w:rsidP="00601156">
                    <w:pPr>
                      <w:snapToGrid w:val="0"/>
                      <w:rPr>
                        <w:rFonts w:ascii="ＭＳ ゴシック" w:eastAsia="ＭＳ ゴシック" w:hAnsi="ＭＳ ゴシック"/>
                        <w:b/>
                        <w:sz w:val="20"/>
                        <w:szCs w:val="20"/>
                      </w:rPr>
                    </w:pPr>
                    <w:r w:rsidRPr="007B1400">
                      <w:rPr>
                        <w:rFonts w:ascii="ＭＳ ゴシック" w:eastAsia="ＭＳ ゴシック" w:hAnsi="ＭＳ ゴシック" w:hint="eastAsia"/>
                        <w:b/>
                        <w:sz w:val="20"/>
                        <w:szCs w:val="20"/>
                      </w:rPr>
                      <w:t>繰返し回数</w:t>
                    </w:r>
                  </w:p>
                </w:txbxContent>
              </v:textbox>
            </v:shape>
            <v:shape id="Text Box 4130" o:spid="_x0000_s1055" type="#_x0000_t202" style="position:absolute;left:9652;top:2371;width:2901;height:8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" stroked="f">
              <v:textbox style="mso-fit-shape-to-text:t" inset="5.85pt,.7pt,5.85pt,.7pt">
                <w:txbxContent>
                  <w:p w14:paraId="3A7EC676" w14:textId="77777777" w:rsidR="003B0864" w:rsidRPr="00146E4F" w:rsidRDefault="003B0864" w:rsidP="00601156">
                    <w:pPr>
                      <w:rPr>
                        <w:b/>
                      </w:rPr>
                    </w:pPr>
                    <w:r w:rsidRPr="00146E4F">
                      <w:rPr>
                        <w:rFonts w:hint="eastAsia"/>
                        <w:b/>
                      </w:rPr>
                      <w:t xml:space="preserve">運転温度　</w:t>
                    </w:r>
                    <w:r w:rsidRPr="0032255F">
                      <w:rPr>
                        <w:rFonts w:ascii="Cambria Math" w:hAnsi="Cambria Math"/>
                        <w:b/>
                      </w:rPr>
                      <w:t>300</w:t>
                    </w:r>
                    <w:r w:rsidRPr="00146E4F">
                      <w:rPr>
                        <w:rFonts w:hint="eastAsia"/>
                        <w:b/>
                      </w:rPr>
                      <w:t>℃以下</w:t>
                    </w:r>
                  </w:p>
                  <w:p w14:paraId="2C906DCB" w14:textId="77777777" w:rsidR="003B0864" w:rsidRPr="00146E4F" w:rsidRDefault="003B0864" w:rsidP="00601156">
                    <w:pPr>
                      <w:rPr>
                        <w:b/>
                      </w:rPr>
                    </w:pPr>
                    <w:r w:rsidRPr="00585D0D">
                      <w:rPr>
                        <w:rFonts w:ascii="Cambria Math" w:hAnsi="Cambria Math" w:hint="eastAsia"/>
                        <w:b/>
                        <w:i/>
                      </w:rPr>
                      <w:t>E</w:t>
                    </w:r>
                    <w:r w:rsidRPr="0032255F">
                      <w:rPr>
                        <w:rFonts w:ascii="Cambria Math" w:hAnsi="Cambria Math"/>
                        <w:b/>
                      </w:rPr>
                      <w:t>= 2.0×10</w:t>
                    </w:r>
                    <w:r w:rsidRPr="0032255F">
                      <w:rPr>
                        <w:rFonts w:ascii="Cambria Math" w:hAnsi="Cambria Math"/>
                        <w:b/>
                        <w:vertAlign w:val="superscript"/>
                      </w:rPr>
                      <w:t>5</w:t>
                    </w:r>
                    <w:r w:rsidRPr="0032255F">
                      <w:rPr>
                        <w:rFonts w:ascii="Cambria Math" w:hAnsi="Cambria Math"/>
                        <w:b/>
                      </w:rPr>
                      <w:t xml:space="preserve"> MPa</w:t>
                    </w:r>
                    <w:r>
                      <w:rPr>
                        <w:rFonts w:hint="eastAsia"/>
                        <w:b/>
                      </w:rPr>
                      <w:t xml:space="preserve">　</w:t>
                    </w:r>
                    <w:r>
                      <w:rPr>
                        <w:rFonts w:hint="eastAsia"/>
                        <w:b/>
                      </w:rPr>
                      <w:t>(</w:t>
                    </w:r>
                    <w:r w:rsidRPr="00146E4F">
                      <w:rPr>
                        <w:rFonts w:hint="eastAsia"/>
                        <w:b/>
                      </w:rPr>
                      <w:t>室温</w:t>
                    </w:r>
                    <w:r>
                      <w:rPr>
                        <w:rFonts w:hint="eastAsia"/>
                        <w:b/>
                      </w:rPr>
                      <w:t>)</w:t>
                    </w:r>
                  </w:p>
                </w:txbxContent>
              </v:textbox>
            </v:shape>
            <w10:anchorlock/>
          </v:group>
        </w:pict>
      </w:r>
    </w:p>
    <w:p w14:paraId="3DE280ED" w14:textId="77777777" w:rsidR="00601156" w:rsidRPr="00BC31E0" w:rsidRDefault="00601156" w:rsidP="00BC31E0">
      <w:pPr>
        <w:autoSpaceDE w:val="0"/>
        <w:autoSpaceDN w:val="0"/>
        <w:adjustRightInd w:val="0"/>
        <w:spacing w:beforeLines="50" w:before="215"/>
        <w:ind w:leftChars="1200" w:left="2520"/>
        <w:rPr>
          <w:rFonts w:ascii="ＭＳ 明朝"/>
        </w:rPr>
      </w:pPr>
      <w:r w:rsidRPr="00BC31E0">
        <w:rPr>
          <w:rFonts w:ascii="ＭＳ ゴシック" w:eastAsia="ＭＳ ゴシック" w:hAnsi="ＭＳ ゴシック" w:hint="eastAsia"/>
          <w:b/>
          <w:bCs/>
        </w:rPr>
        <w:t xml:space="preserve">注記1　 </w:t>
      </w:r>
      <w:r w:rsidRPr="00BC31E0">
        <w:t>H925</w:t>
      </w:r>
      <w:r w:rsidRPr="00BC31E0">
        <w:rPr>
          <w:rFonts w:ascii="ＭＳ 明朝" w:hint="eastAsia"/>
        </w:rPr>
        <w:t>，</w:t>
      </w:r>
      <w:r w:rsidRPr="00BC31E0">
        <w:t>H1025</w:t>
      </w:r>
      <w:r w:rsidRPr="00BC31E0">
        <w:rPr>
          <w:rFonts w:ascii="ＭＳ 明朝" w:hint="eastAsia"/>
        </w:rPr>
        <w:t>及び</w:t>
      </w:r>
      <w:r w:rsidRPr="00BC31E0">
        <w:t>H1100</w:t>
      </w:r>
      <w:r w:rsidRPr="00BC31E0">
        <w:rPr>
          <w:rFonts w:ascii="ＭＳ 明朝" w:hint="eastAsia"/>
        </w:rPr>
        <w:t>については引張強さに応じて補間して求めてよい。</w:t>
      </w:r>
    </w:p>
    <w:p w14:paraId="3578CEA7" w14:textId="77777777" w:rsidR="00601156" w:rsidRPr="00BC31E0" w:rsidRDefault="00601156" w:rsidP="00601156">
      <w:pPr>
        <w:autoSpaceDE w:val="0"/>
        <w:autoSpaceDN w:val="0"/>
        <w:ind w:leftChars="1600" w:left="3360"/>
        <w:rPr>
          <w:rFonts w:ascii="ＭＳ 明朝"/>
        </w:rPr>
      </w:pPr>
      <w:r w:rsidRPr="00BC31E0">
        <w:rPr>
          <w:rFonts w:ascii="ＭＳ 明朝" w:hint="eastAsia"/>
        </w:rPr>
        <w:t>図の</w:t>
      </w:r>
      <w:r w:rsidRPr="00BC31E0">
        <w:t>H900</w:t>
      </w:r>
      <w:r w:rsidRPr="00BC31E0">
        <w:rPr>
          <w:rFonts w:ascii="ＭＳ 明朝" w:hint="eastAsia"/>
        </w:rPr>
        <w:t>，</w:t>
      </w:r>
      <w:r w:rsidRPr="00BC31E0">
        <w:t>H1075</w:t>
      </w:r>
      <w:r w:rsidRPr="00BC31E0">
        <w:rPr>
          <w:rFonts w:ascii="ＭＳ 明朝" w:hint="eastAsia"/>
        </w:rPr>
        <w:t>及び</w:t>
      </w:r>
      <w:r w:rsidRPr="00BC31E0">
        <w:t>H1150</w:t>
      </w:r>
      <w:r w:rsidRPr="00BC31E0">
        <w:rPr>
          <w:rFonts w:ascii="ＭＳ 明朝" w:hint="eastAsia"/>
        </w:rPr>
        <w:t>の引張強さの基準値は次による。</w:t>
      </w:r>
    </w:p>
    <w:p w14:paraId="769CAC3D" w14:textId="77777777" w:rsidR="00601156" w:rsidRPr="00BC31E0" w:rsidRDefault="00601156" w:rsidP="00601156">
      <w:pPr>
        <w:autoSpaceDE w:val="0"/>
        <w:autoSpaceDN w:val="0"/>
        <w:ind w:leftChars="1600" w:left="3360"/>
        <w:rPr>
          <w:rFonts w:ascii="ＭＳ 明朝"/>
        </w:rPr>
      </w:pPr>
      <w:r w:rsidRPr="00BC31E0">
        <w:t>H900</w:t>
      </w:r>
      <w:r w:rsidRPr="00BC31E0">
        <w:rPr>
          <w:rFonts w:hint="eastAsia"/>
        </w:rPr>
        <w:t>：</w:t>
      </w:r>
      <w:r w:rsidRPr="00BC31E0">
        <w:rPr>
          <w:rFonts w:ascii="Cambria Math" w:hAnsi="Cambria Math"/>
        </w:rPr>
        <w:t>1,310 MPa</w:t>
      </w:r>
      <w:r w:rsidRPr="00BC31E0">
        <w:rPr>
          <w:rFonts w:hint="eastAsia"/>
        </w:rPr>
        <w:t>，</w:t>
      </w:r>
      <w:r w:rsidRPr="00BC31E0">
        <w:t>H1075</w:t>
      </w:r>
      <w:r w:rsidRPr="00BC31E0">
        <w:rPr>
          <w:rFonts w:hint="eastAsia"/>
        </w:rPr>
        <w:t>：</w:t>
      </w:r>
      <w:r w:rsidRPr="00BC31E0">
        <w:rPr>
          <w:rFonts w:ascii="Cambria Math" w:hAnsi="Cambria Math"/>
        </w:rPr>
        <w:t>1,000 MPa</w:t>
      </w:r>
      <w:r w:rsidRPr="00BC31E0">
        <w:rPr>
          <w:rFonts w:hint="eastAsia"/>
        </w:rPr>
        <w:t>，</w:t>
      </w:r>
      <w:r w:rsidRPr="00BC31E0">
        <w:t>H1150</w:t>
      </w:r>
      <w:r w:rsidRPr="00BC31E0">
        <w:rPr>
          <w:rFonts w:hint="eastAsia"/>
        </w:rPr>
        <w:t>：</w:t>
      </w:r>
      <w:r w:rsidRPr="00BC31E0">
        <w:rPr>
          <w:rFonts w:ascii="Cambria Math" w:hAnsi="Cambria Math"/>
        </w:rPr>
        <w:t>930 MPa</w:t>
      </w:r>
    </w:p>
    <w:p w14:paraId="73889C9D" w14:textId="77777777" w:rsidR="00601156" w:rsidRPr="00BC31E0" w:rsidRDefault="00601156" w:rsidP="00601156">
      <w:pPr>
        <w:autoSpaceDE w:val="0"/>
        <w:autoSpaceDN w:val="0"/>
        <w:ind w:leftChars="1200" w:left="2520"/>
        <w:rPr>
          <w:rFonts w:ascii="ＭＳ 明朝"/>
        </w:rPr>
      </w:pPr>
      <w:r w:rsidRPr="00BC31E0">
        <w:rPr>
          <w:rFonts w:ascii="ＭＳ ゴシック" w:eastAsia="ＭＳ ゴシック" w:hAnsi="ＭＳ ゴシック" w:hint="eastAsia"/>
          <w:b/>
          <w:bCs/>
        </w:rPr>
        <w:t xml:space="preserve">注記2　</w:t>
      </w:r>
      <w:r w:rsidRPr="00BC31E0">
        <w:rPr>
          <w:rFonts w:ascii="ＭＳ 明朝" w:hint="eastAsia"/>
        </w:rPr>
        <w:t>平均応力による設計許容繰返し回数の低減をおりこんでいない。</w:t>
      </w:r>
    </w:p>
    <w:p w14:paraId="5AED27FF" w14:textId="77777777" w:rsidR="00601156" w:rsidRPr="00BC31E0" w:rsidRDefault="00601156" w:rsidP="00BC31E0">
      <w:pPr>
        <w:pStyle w:val="af4"/>
        <w:spacing w:beforeLines="50" w:before="215"/>
      </w:pPr>
      <w:r w:rsidRPr="00BC31E0">
        <w:rPr>
          <w:rFonts w:hint="eastAsia"/>
        </w:rPr>
        <w:t xml:space="preserve">図6.3.6 </w:t>
      </w:r>
      <w:r w:rsidRPr="00BC31E0">
        <w:rPr>
          <w:rFonts w:hAnsi="ＭＳ ゴシック"/>
        </w:rPr>
        <w:t>SUS630</w:t>
      </w:r>
      <w:r w:rsidRPr="00BC31E0">
        <w:rPr>
          <w:rFonts w:hint="eastAsia"/>
        </w:rPr>
        <w:t>系ステンレス鋼の設計疲労曲線</w:t>
      </w:r>
      <w:r w:rsidR="00651404" w:rsidRPr="00BC31E0">
        <w:rPr>
          <w:rFonts w:asciiTheme="majorEastAsia" w:eastAsiaTheme="majorEastAsia" w:hAnsiTheme="majorEastAsia"/>
          <w:vertAlign w:val="superscript"/>
        </w:rPr>
        <w:t>1)</w:t>
      </w:r>
    </w:p>
    <w:p w14:paraId="5724504E" w14:textId="77777777" w:rsidR="00601156" w:rsidRPr="00BC31E0" w:rsidRDefault="00601156" w:rsidP="00BC31E0">
      <w:pPr>
        <w:pStyle w:val="af4"/>
        <w:spacing w:beforeLines="50" w:before="215"/>
      </w:pPr>
    </w:p>
    <w:p w14:paraId="2729A50B" w14:textId="77777777" w:rsidR="00601156" w:rsidRPr="00BC31E0" w:rsidRDefault="00A51873" w:rsidP="00601156">
      <w:pPr>
        <w:autoSpaceDE w:val="0"/>
        <w:autoSpaceDN w:val="0"/>
        <w:jc w:val="center"/>
        <w:rPr>
          <w:rFonts w:ascii="ＭＳ 明朝"/>
        </w:rPr>
      </w:pPr>
      <w:r>
        <w:rPr>
          <w:rFonts w:ascii="ＭＳ 明朝"/>
          <w:noProof/>
          <w:sz w:val="20"/>
        </w:rPr>
        <w:pict w14:anchorId="26850871">
          <v:group id="グループ化 12343" o:spid="_x0000_s1056" style="position:absolute;left:0;text-align:left;margin-left:51.9pt;margin-top:4.2pt;width:531pt;height:330.35pt;z-index:-251652608" coordorigin="2519,1490" coordsize="11635,7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">
            <v:group id="Group 12040" o:spid="_x0000_s1057" style="position:absolute;left:2519;top:1490;width:11635;height:7564" coordorigin="2519,1490" coordsize="11635,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">
              <v:shape id="図 500" o:spid="_x0000_s1058" type="#_x0000_t75" style="position:absolute;left:2573;top:1490;width:11581;height:75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">
                <v:imagedata r:id="rId59" o:title=""/>
              </v:shape>
              <v:shape id="Text Box 4312" o:spid="_x0000_s1059" type="#_x0000_t202" style="position:absolute;left:2519;top:3997;width:665;height:18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" stroked="f">
                <v:textbox style="layout-flow:vertical;mso-layout-flow-alt:bottom-to-top" inset="5.85pt,.7pt,5.85pt,.7pt">
                  <w:txbxContent>
                    <w:p w14:paraId="523528FF" w14:textId="77777777" w:rsidR="003B0864" w:rsidRPr="00055897" w:rsidRDefault="003B0864" w:rsidP="00601156">
                      <w:pPr>
                        <w:jc w:val="center"/>
                        <w:rPr>
                          <w:rFonts w:ascii="ＭＳ ゴシック" w:eastAsia="ＭＳ ゴシック" w:hAnsi="ＭＳ ゴシック"/>
                          <w:b/>
                          <w:sz w:val="20"/>
                          <w:szCs w:val="20"/>
                        </w:rPr>
                      </w:pPr>
                      <w:r w:rsidRPr="00055897">
                        <w:rPr>
                          <w:rFonts w:ascii="ＭＳ ゴシック" w:eastAsia="ＭＳ ゴシック" w:hAnsi="ＭＳ ゴシック" w:hint="eastAsia"/>
                          <w:b/>
                          <w:sz w:val="20"/>
                          <w:szCs w:val="20"/>
                        </w:rPr>
                        <w:t>応力振幅</w:t>
                      </w:r>
                      <w:r w:rsidRPr="007B1400">
                        <w:rPr>
                          <w:rFonts w:eastAsia="ＭＳ ゴシック"/>
                          <w:b/>
                          <w:sz w:val="20"/>
                          <w:szCs w:val="20"/>
                        </w:rPr>
                        <w:t>（</w:t>
                      </w:r>
                      <w:r w:rsidRPr="00055897">
                        <w:rPr>
                          <w:rFonts w:eastAsia="ＭＳ ゴシック"/>
                          <w:b/>
                          <w:sz w:val="20"/>
                          <w:szCs w:val="20"/>
                        </w:rPr>
                        <w:t>MP</w:t>
                      </w:r>
                      <w:r w:rsidRPr="007B1400">
                        <w:rPr>
                          <w:rFonts w:eastAsia="ＭＳ ゴシック"/>
                          <w:b/>
                          <w:sz w:val="20"/>
                          <w:szCs w:val="20"/>
                        </w:rPr>
                        <w:t>a</w:t>
                      </w:r>
                      <w:r w:rsidRPr="007B1400">
                        <w:rPr>
                          <w:rFonts w:eastAsia="ＭＳ ゴシック"/>
                          <w:b/>
                          <w:sz w:val="20"/>
                          <w:szCs w:val="20"/>
                        </w:rPr>
                        <w:t>）</w:t>
                      </w:r>
                    </w:p>
                  </w:txbxContent>
                </v:textbox>
              </v:shape>
              <v:shape id="Text Box 4322" o:spid="_x0000_s1060" type="#_x0000_t202" style="position:absolute;left:8274;top:8736;width:1238;height:2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" stroked="f">
                <v:textbox inset="5.85pt,.7pt,5.85pt,.7pt">
                  <w:txbxContent>
                    <w:p w14:paraId="3663EE8F" w14:textId="77777777" w:rsidR="003B0864" w:rsidRPr="00055897" w:rsidRDefault="003B0864" w:rsidP="00601156">
                      <w:pPr>
                        <w:snapToGrid w:val="0"/>
                        <w:jc w:val="center"/>
                        <w:rPr>
                          <w:sz w:val="20"/>
                          <w:szCs w:val="20"/>
                        </w:rPr>
                      </w:pPr>
                      <w:r w:rsidRPr="00055897">
                        <w:rPr>
                          <w:rFonts w:ascii="ＭＳ ゴシック" w:eastAsia="ＭＳ ゴシック" w:hAnsi="ＭＳ ゴシック" w:hint="eastAsia"/>
                          <w:b/>
                          <w:sz w:val="20"/>
                          <w:szCs w:val="20"/>
                        </w:rPr>
                        <w:t>繰返し回数</w:t>
                      </w:r>
                    </w:p>
                  </w:txbxContent>
                </v:textbox>
              </v:shape>
            </v:group>
            <v:shape id="Text Box 4131" o:spid="_x0000_s1061" type="#_x0000_t202" style="position:absolute;left:10413;top:2363;width:3150;height: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" stroked="f">
              <v:textbox inset="5.85pt,.7pt,5.85pt,.7pt">
                <w:txbxContent>
                  <w:p w14:paraId="17C55D8B" w14:textId="77777777" w:rsidR="003B0864" w:rsidRPr="00146E4F" w:rsidRDefault="003B0864" w:rsidP="00601156">
                    <w:pPr>
                      <w:rPr>
                        <w:b/>
                      </w:rPr>
                    </w:pPr>
                    <w:r w:rsidRPr="00146E4F">
                      <w:rPr>
                        <w:rFonts w:hint="eastAsia"/>
                        <w:b/>
                      </w:rPr>
                      <w:t xml:space="preserve">運転温度　</w:t>
                    </w:r>
                    <w:r w:rsidRPr="0032255F">
                      <w:rPr>
                        <w:rFonts w:ascii="Cambria Math" w:hAnsi="Cambria Math"/>
                        <w:b/>
                      </w:rPr>
                      <w:t>350</w:t>
                    </w:r>
                    <w:r w:rsidRPr="00146E4F">
                      <w:rPr>
                        <w:rFonts w:hint="eastAsia"/>
                        <w:b/>
                      </w:rPr>
                      <w:t>℃以下</w:t>
                    </w:r>
                  </w:p>
                  <w:p w14:paraId="09A26368" w14:textId="77777777" w:rsidR="003B0864" w:rsidRPr="00F8125B" w:rsidRDefault="003B0864" w:rsidP="00601156">
                    <w:pPr>
                      <w:rPr>
                        <w:b/>
                      </w:rPr>
                    </w:pPr>
                    <w:r w:rsidRPr="0032255F">
                      <w:rPr>
                        <w:rFonts w:ascii="Cambria Math" w:hAnsi="Cambria Math"/>
                        <w:b/>
                        <w:i/>
                      </w:rPr>
                      <w:t>E</w:t>
                    </w:r>
                    <w:r w:rsidRPr="0032255F">
                      <w:rPr>
                        <w:rFonts w:ascii="Cambria Math" w:hAnsi="Cambria Math"/>
                        <w:b/>
                      </w:rPr>
                      <w:t xml:space="preserve"> = 2.0×10</w:t>
                    </w:r>
                    <w:r w:rsidRPr="0032255F">
                      <w:rPr>
                        <w:rFonts w:ascii="Cambria Math" w:hAnsi="Cambria Math"/>
                        <w:b/>
                        <w:vertAlign w:val="superscript"/>
                      </w:rPr>
                      <w:t>5</w:t>
                    </w:r>
                    <w:r w:rsidRPr="0032255F">
                      <w:rPr>
                        <w:rFonts w:ascii="Cambria Math" w:hAnsi="Cambria Math"/>
                        <w:b/>
                      </w:rPr>
                      <w:t xml:space="preserve"> MPa</w:t>
                    </w:r>
                    <w:r>
                      <w:rPr>
                        <w:rFonts w:hint="eastAsia"/>
                        <w:b/>
                      </w:rPr>
                      <w:t xml:space="preserve">　</w:t>
                    </w:r>
                    <w:r>
                      <w:rPr>
                        <w:rFonts w:hint="eastAsia"/>
                        <w:b/>
                      </w:rPr>
                      <w:t>(</w:t>
                    </w:r>
                    <w:r w:rsidRPr="00146E4F">
                      <w:rPr>
                        <w:rFonts w:hint="eastAsia"/>
                        <w:b/>
                      </w:rPr>
                      <w:t>室温</w:t>
                    </w:r>
                    <w:r>
                      <w:rPr>
                        <w:rFonts w:hint="eastAsia"/>
                        <w:b/>
                      </w:rPr>
                      <w:t>)</w:t>
                    </w:r>
                  </w:p>
                </w:txbxContent>
              </v:textbox>
            </v:shape>
          </v:group>
        </w:pict>
      </w:r>
    </w:p>
    <w:p w14:paraId="03AD4F45" w14:textId="77777777" w:rsidR="00601156" w:rsidRPr="00BC31E0" w:rsidRDefault="00601156" w:rsidP="00601156">
      <w:pPr>
        <w:autoSpaceDE w:val="0"/>
        <w:autoSpaceDN w:val="0"/>
        <w:ind w:leftChars="1200" w:left="2520"/>
        <w:rPr>
          <w:rFonts w:ascii="ＭＳ 明朝" w:eastAsia="ＭＳ ゴシック"/>
          <w:b/>
        </w:rPr>
      </w:pPr>
    </w:p>
    <w:p w14:paraId="2AC6CD5B" w14:textId="77777777" w:rsidR="00601156" w:rsidRPr="00BC31E0" w:rsidRDefault="00601156" w:rsidP="00601156">
      <w:pPr>
        <w:autoSpaceDE w:val="0"/>
        <w:autoSpaceDN w:val="0"/>
        <w:ind w:leftChars="1200" w:left="2520"/>
        <w:rPr>
          <w:rFonts w:ascii="ＭＳ 明朝" w:eastAsia="ＭＳ ゴシック"/>
          <w:b/>
        </w:rPr>
      </w:pPr>
    </w:p>
    <w:p w14:paraId="27C0D3E2" w14:textId="77777777" w:rsidR="00601156" w:rsidRPr="00BC31E0" w:rsidRDefault="00601156" w:rsidP="00601156">
      <w:pPr>
        <w:autoSpaceDE w:val="0"/>
        <w:autoSpaceDN w:val="0"/>
        <w:ind w:leftChars="1200" w:left="2520"/>
        <w:rPr>
          <w:rFonts w:ascii="ＭＳ 明朝" w:eastAsia="ＭＳ ゴシック"/>
          <w:b/>
        </w:rPr>
      </w:pPr>
    </w:p>
    <w:p w14:paraId="2B8D44F1" w14:textId="77777777" w:rsidR="00601156" w:rsidRPr="00BC31E0" w:rsidRDefault="00601156" w:rsidP="00601156">
      <w:pPr>
        <w:autoSpaceDE w:val="0"/>
        <w:autoSpaceDN w:val="0"/>
        <w:ind w:leftChars="1200" w:left="2520"/>
        <w:rPr>
          <w:rFonts w:ascii="ＭＳ 明朝" w:eastAsia="ＭＳ ゴシック"/>
          <w:b/>
        </w:rPr>
      </w:pPr>
    </w:p>
    <w:p w14:paraId="659AA219" w14:textId="77777777" w:rsidR="00601156" w:rsidRPr="00BC31E0" w:rsidRDefault="00601156" w:rsidP="00601156">
      <w:pPr>
        <w:autoSpaceDE w:val="0"/>
        <w:autoSpaceDN w:val="0"/>
        <w:ind w:leftChars="1200" w:left="2520"/>
        <w:rPr>
          <w:rFonts w:ascii="ＭＳ 明朝" w:eastAsia="ＭＳ ゴシック"/>
          <w:b/>
        </w:rPr>
      </w:pPr>
    </w:p>
    <w:p w14:paraId="78497D09" w14:textId="77777777" w:rsidR="00601156" w:rsidRPr="00BC31E0" w:rsidRDefault="00601156" w:rsidP="00601156">
      <w:pPr>
        <w:autoSpaceDE w:val="0"/>
        <w:autoSpaceDN w:val="0"/>
        <w:ind w:leftChars="1200" w:left="2520"/>
        <w:rPr>
          <w:rFonts w:ascii="ＭＳ 明朝" w:eastAsia="ＭＳ ゴシック"/>
          <w:b/>
        </w:rPr>
      </w:pPr>
    </w:p>
    <w:p w14:paraId="364EA7F3" w14:textId="77777777" w:rsidR="00601156" w:rsidRPr="00BC31E0" w:rsidRDefault="00601156" w:rsidP="00601156">
      <w:pPr>
        <w:autoSpaceDE w:val="0"/>
        <w:autoSpaceDN w:val="0"/>
        <w:ind w:leftChars="1200" w:left="2520"/>
        <w:rPr>
          <w:rFonts w:ascii="ＭＳ 明朝" w:eastAsia="ＭＳ ゴシック"/>
          <w:b/>
        </w:rPr>
      </w:pPr>
    </w:p>
    <w:p w14:paraId="028DDB7D" w14:textId="77777777" w:rsidR="00601156" w:rsidRPr="00BC31E0" w:rsidRDefault="00601156" w:rsidP="00601156">
      <w:pPr>
        <w:autoSpaceDE w:val="0"/>
        <w:autoSpaceDN w:val="0"/>
        <w:ind w:leftChars="1200" w:left="2520"/>
        <w:rPr>
          <w:rFonts w:ascii="ＭＳ 明朝" w:eastAsia="ＭＳ ゴシック"/>
          <w:b/>
        </w:rPr>
      </w:pPr>
    </w:p>
    <w:p w14:paraId="172A0575" w14:textId="77777777" w:rsidR="00601156" w:rsidRPr="00BC31E0" w:rsidRDefault="00601156" w:rsidP="00601156">
      <w:pPr>
        <w:autoSpaceDE w:val="0"/>
        <w:autoSpaceDN w:val="0"/>
        <w:ind w:leftChars="1200" w:left="2520"/>
        <w:rPr>
          <w:rFonts w:ascii="ＭＳ 明朝" w:eastAsia="ＭＳ ゴシック"/>
          <w:b/>
        </w:rPr>
      </w:pPr>
    </w:p>
    <w:p w14:paraId="42201214" w14:textId="77777777" w:rsidR="00601156" w:rsidRPr="00BC31E0" w:rsidRDefault="00601156" w:rsidP="00601156">
      <w:pPr>
        <w:autoSpaceDE w:val="0"/>
        <w:autoSpaceDN w:val="0"/>
        <w:ind w:leftChars="1200" w:left="2520"/>
        <w:rPr>
          <w:rFonts w:ascii="ＭＳ 明朝" w:eastAsia="ＭＳ ゴシック"/>
          <w:b/>
        </w:rPr>
      </w:pPr>
    </w:p>
    <w:p w14:paraId="63625910" w14:textId="77777777" w:rsidR="00601156" w:rsidRPr="00BC31E0" w:rsidRDefault="00601156" w:rsidP="00601156">
      <w:pPr>
        <w:autoSpaceDE w:val="0"/>
        <w:autoSpaceDN w:val="0"/>
        <w:ind w:leftChars="1200" w:left="2520"/>
        <w:rPr>
          <w:rFonts w:ascii="ＭＳ 明朝" w:eastAsia="ＭＳ ゴシック"/>
          <w:b/>
        </w:rPr>
      </w:pPr>
    </w:p>
    <w:p w14:paraId="4EFFA5CF" w14:textId="77777777" w:rsidR="00601156" w:rsidRPr="00BC31E0" w:rsidRDefault="00601156" w:rsidP="00601156">
      <w:pPr>
        <w:autoSpaceDE w:val="0"/>
        <w:autoSpaceDN w:val="0"/>
        <w:ind w:leftChars="1200" w:left="2520"/>
        <w:rPr>
          <w:rFonts w:ascii="ＭＳ 明朝" w:eastAsia="ＭＳ ゴシック"/>
          <w:b/>
        </w:rPr>
      </w:pPr>
    </w:p>
    <w:p w14:paraId="4088DEB9" w14:textId="77777777" w:rsidR="00601156" w:rsidRPr="00BC31E0" w:rsidRDefault="00601156" w:rsidP="00601156">
      <w:pPr>
        <w:autoSpaceDE w:val="0"/>
        <w:autoSpaceDN w:val="0"/>
        <w:ind w:leftChars="1200" w:left="2520"/>
        <w:rPr>
          <w:rFonts w:ascii="ＭＳ 明朝" w:eastAsia="ＭＳ ゴシック"/>
          <w:b/>
        </w:rPr>
      </w:pPr>
    </w:p>
    <w:p w14:paraId="5DD547F5" w14:textId="77777777" w:rsidR="00601156" w:rsidRPr="00BC31E0" w:rsidRDefault="00601156" w:rsidP="00601156">
      <w:pPr>
        <w:autoSpaceDE w:val="0"/>
        <w:autoSpaceDN w:val="0"/>
        <w:ind w:leftChars="1200" w:left="2520"/>
        <w:rPr>
          <w:rFonts w:ascii="ＭＳ 明朝" w:eastAsia="ＭＳ ゴシック"/>
          <w:b/>
        </w:rPr>
      </w:pPr>
    </w:p>
    <w:p w14:paraId="5A36594B" w14:textId="77777777" w:rsidR="00601156" w:rsidRPr="00BC31E0" w:rsidRDefault="00601156" w:rsidP="00601156">
      <w:pPr>
        <w:autoSpaceDE w:val="0"/>
        <w:autoSpaceDN w:val="0"/>
        <w:ind w:leftChars="1200" w:left="2520"/>
        <w:rPr>
          <w:rFonts w:ascii="ＭＳ 明朝" w:eastAsia="ＭＳ ゴシック"/>
          <w:b/>
        </w:rPr>
      </w:pPr>
    </w:p>
    <w:p w14:paraId="720C8389" w14:textId="77777777" w:rsidR="00601156" w:rsidRPr="00BC31E0" w:rsidRDefault="00601156" w:rsidP="00601156">
      <w:pPr>
        <w:autoSpaceDE w:val="0"/>
        <w:autoSpaceDN w:val="0"/>
        <w:ind w:leftChars="1200" w:left="2520"/>
        <w:rPr>
          <w:rFonts w:ascii="ＭＳ 明朝"/>
        </w:rPr>
      </w:pPr>
      <w:r w:rsidRPr="00BC31E0">
        <w:rPr>
          <w:rFonts w:ascii="ＭＳ 明朝" w:eastAsia="ＭＳ ゴシック" w:hint="eastAsia"/>
          <w:b/>
        </w:rPr>
        <w:t>注記</w:t>
      </w:r>
      <w:r w:rsidRPr="00BC31E0">
        <w:rPr>
          <w:rFonts w:ascii="ＭＳ 明朝" w:hint="eastAsia"/>
        </w:rPr>
        <w:t xml:space="preserve">　平均応力による設計許容繰返し回数の低減をおりこんでいない。</w:t>
      </w:r>
    </w:p>
    <w:p w14:paraId="651F112F" w14:textId="77777777" w:rsidR="00601156" w:rsidRPr="00BC31E0" w:rsidRDefault="00601156" w:rsidP="00601156">
      <w:pPr>
        <w:autoSpaceDE w:val="0"/>
        <w:autoSpaceDN w:val="0"/>
        <w:ind w:leftChars="1200" w:left="2520"/>
        <w:rPr>
          <w:rFonts w:ascii="ＭＳ 明朝"/>
        </w:rPr>
      </w:pPr>
    </w:p>
    <w:p w14:paraId="73E31FFF" w14:textId="77777777" w:rsidR="00601156" w:rsidRPr="00BC31E0" w:rsidRDefault="00601156" w:rsidP="00601156">
      <w:pPr>
        <w:pStyle w:val="af4"/>
        <w:spacing w:before="120" w:line="320" w:lineRule="exact"/>
      </w:pPr>
      <w:r w:rsidRPr="00BC31E0">
        <w:rPr>
          <w:rFonts w:hint="eastAsia"/>
        </w:rPr>
        <w:t>図6.3.7　インコネル718の設計疲労曲線</w:t>
      </w:r>
      <w:r w:rsidR="00651404" w:rsidRPr="00BC31E0">
        <w:rPr>
          <w:rFonts w:asciiTheme="majorEastAsia" w:eastAsiaTheme="majorEastAsia" w:hAnsiTheme="majorEastAsia"/>
          <w:vertAlign w:val="superscript"/>
        </w:rPr>
        <w:t>1)</w:t>
      </w:r>
    </w:p>
    <w:p w14:paraId="6B4F775D" w14:textId="77777777" w:rsidR="00601156" w:rsidRPr="00BC31E0" w:rsidRDefault="00601156" w:rsidP="00601156">
      <w:pPr>
        <w:pStyle w:val="af4"/>
        <w:spacing w:line="320" w:lineRule="exact"/>
        <w:rPr>
          <w:noProof/>
        </w:rPr>
      </w:pPr>
      <w:r w:rsidRPr="00BC31E0">
        <w:rPr>
          <w:rFonts w:hAnsi="ＭＳ ゴシック" w:hint="eastAsia"/>
        </w:rPr>
        <w:t>(棒材で引張強さが</w:t>
      </w:r>
      <w:r w:rsidR="00003980" w:rsidRPr="00BC31E0">
        <w:rPr>
          <w:rFonts w:hAnsi="ＭＳ ゴシック" w:hint="eastAsia"/>
        </w:rPr>
        <w:t>1,370 MPa</w:t>
      </w:r>
      <w:r w:rsidRPr="00BC31E0">
        <w:rPr>
          <w:rFonts w:hAnsi="ＭＳ ゴシック" w:hint="eastAsia"/>
        </w:rPr>
        <w:t>の場合)</w:t>
      </w:r>
      <w:r w:rsidR="00A51873">
        <w:rPr>
          <w:noProof/>
        </w:rPr>
        <w:pict w14:anchorId="58A1A0EE">
          <v:rect id="正方形/長方形 12342" o:spid="_x0000_s3450" style="position:absolute;left:0;text-align:left;margin-left:344.85pt;margin-top:371.05pt;width:10.5pt;height:9pt;z-index:251661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" stroked="f">
            <v:textbox inset="5.85pt,.7pt,5.85pt,.7pt"/>
          </v:rect>
        </w:pict>
      </w:r>
    </w:p>
    <w:p w14:paraId="62A32331" w14:textId="77777777" w:rsidR="00601156" w:rsidRPr="00BC31E0" w:rsidRDefault="00A51873" w:rsidP="00601156">
      <w:pPr>
        <w:autoSpaceDE w:val="0"/>
        <w:autoSpaceDN w:val="0"/>
        <w:jc w:val="center"/>
        <w:rPr>
          <w:rFonts w:ascii="ＭＳ ゴシック" w:eastAsia="ＭＳ ゴシック"/>
          <w:b/>
        </w:rPr>
      </w:pPr>
      <w:r>
        <w:rPr>
          <w:rFonts w:ascii="ＭＳ ゴシック" w:eastAsia="ＭＳ ゴシック"/>
          <w:b/>
          <w:noProof/>
        </w:rPr>
      </w:r>
      <w:r>
        <w:rPr>
          <w:rFonts w:ascii="ＭＳ ゴシック" w:eastAsia="ＭＳ ゴシック"/>
          <w:b/>
          <w:noProof/>
        </w:rPr>
        <w:pict w14:anchorId="79E6A92D">
          <v:group id="グループ化 17" o:spid="_x0000_s1062" style="width:522pt;height:357.8pt;mso-position-horizontal-relative:char;mso-position-vertical-relative:line" coordorigin="3146,1643" coordsize="10088,6765">
            <v:shape id="図 510" o:spid="_x0000_s1063" type="#_x0000_t75" style="position:absolute;left:3227;top:1643;width:10007;height:66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">
              <v:imagedata r:id="rId60" o:title=""/>
            </v:shape>
            <v:group id="Group 12070" o:spid="_x0000_s1064" style="position:absolute;left:3146;top:2418;width:9656;height:5990" coordorigin="3114,2303" coordsize="9656,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Text Box 4132" o:spid="_x0000_s1065" type="#_x0000_t202" style="position:absolute;left:9571;top:2303;width:3199;height:14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" stroked="f">
                <v:textbox inset="5.85pt,.7pt,5.85pt,.7pt">
                  <w:txbxContent>
                    <w:p w14:paraId="7A7EB67A" w14:textId="77777777" w:rsidR="003B0864" w:rsidRPr="00C57455" w:rsidRDefault="003B0864" w:rsidP="00601156">
                      <w:pPr>
                        <w:spacing w:line="360" w:lineRule="exact"/>
                        <w:rPr>
                          <w:b/>
                        </w:rPr>
                      </w:pPr>
                      <w:r w:rsidRPr="00C57455">
                        <w:rPr>
                          <w:rFonts w:hint="eastAsia"/>
                          <w:b/>
                        </w:rPr>
                        <w:t xml:space="preserve">運転温度　</w:t>
                      </w:r>
                      <w:r w:rsidRPr="00C57455">
                        <w:rPr>
                          <w:rFonts w:hint="eastAsia"/>
                          <w:b/>
                        </w:rPr>
                        <w:t>400</w:t>
                      </w:r>
                      <w:r w:rsidRPr="00C57455">
                        <w:rPr>
                          <w:rFonts w:hint="eastAsia"/>
                          <w:b/>
                        </w:rPr>
                        <w:t>℃～</w:t>
                      </w:r>
                      <w:r w:rsidRPr="00C57455">
                        <w:rPr>
                          <w:rFonts w:hint="eastAsia"/>
                          <w:b/>
                        </w:rPr>
                        <w:t>500</w:t>
                      </w:r>
                      <w:r w:rsidRPr="00C57455">
                        <w:rPr>
                          <w:rFonts w:hint="eastAsia"/>
                          <w:b/>
                        </w:rPr>
                        <w:t>℃</w:t>
                      </w:r>
                    </w:p>
                    <w:p w14:paraId="6A2B6A57" w14:textId="77777777" w:rsidR="003B0864" w:rsidRPr="00C57455" w:rsidRDefault="003B0864" w:rsidP="00601156">
                      <w:pPr>
                        <w:spacing w:line="360" w:lineRule="exact"/>
                        <w:rPr>
                          <w:b/>
                        </w:rPr>
                      </w:pPr>
                      <w:r w:rsidRPr="0032255F">
                        <w:rPr>
                          <w:rFonts w:ascii="Cambria Math" w:hAnsi="Cambria Math"/>
                          <w:b/>
                          <w:i/>
                        </w:rPr>
                        <w:t>E</w:t>
                      </w:r>
                      <w:r w:rsidRPr="0032255F">
                        <w:rPr>
                          <w:rFonts w:ascii="Cambria Math" w:hAnsi="Cambria Math"/>
                          <w:b/>
                        </w:rPr>
                        <w:t xml:space="preserve"> = 1</w:t>
                      </w:r>
                      <w:r>
                        <w:rPr>
                          <w:rFonts w:ascii="Cambria Math" w:hAnsi="Cambria Math" w:hint="eastAsia"/>
                          <w:b/>
                        </w:rPr>
                        <w:t>.</w:t>
                      </w:r>
                      <w:r w:rsidRPr="0032255F">
                        <w:rPr>
                          <w:rFonts w:ascii="Cambria Math" w:hAnsi="Cambria Math"/>
                          <w:b/>
                        </w:rPr>
                        <w:t>85×10</w:t>
                      </w:r>
                      <w:r w:rsidRPr="0032255F">
                        <w:rPr>
                          <w:rFonts w:ascii="Cambria Math" w:hAnsi="Cambria Math"/>
                          <w:b/>
                          <w:vertAlign w:val="superscript"/>
                        </w:rPr>
                        <w:t>5</w:t>
                      </w:r>
                      <w:r w:rsidRPr="0032255F">
                        <w:rPr>
                          <w:rFonts w:ascii="Cambria Math" w:hAnsi="Cambria Math"/>
                          <w:b/>
                        </w:rPr>
                        <w:t xml:space="preserve"> MPa</w:t>
                      </w:r>
                      <w:r>
                        <w:rPr>
                          <w:rFonts w:hint="eastAsia"/>
                          <w:b/>
                        </w:rPr>
                        <w:t xml:space="preserve">　</w:t>
                      </w:r>
                      <w:r w:rsidRPr="00C57455">
                        <w:rPr>
                          <w:rFonts w:hint="eastAsia"/>
                          <w:b/>
                        </w:rPr>
                        <w:t>(</w:t>
                      </w:r>
                      <w:r w:rsidRPr="0032255F">
                        <w:rPr>
                          <w:rFonts w:ascii="Cambria Math" w:hAnsi="Cambria Math"/>
                          <w:b/>
                        </w:rPr>
                        <w:t>400</w:t>
                      </w:r>
                      <w:r w:rsidRPr="00C57455">
                        <w:rPr>
                          <w:rFonts w:hint="eastAsia"/>
                          <w:b/>
                        </w:rPr>
                        <w:t>℃</w:t>
                      </w:r>
                      <w:r w:rsidRPr="00C57455">
                        <w:rPr>
                          <w:rFonts w:hint="eastAsia"/>
                          <w:b/>
                        </w:rPr>
                        <w:t>)</w:t>
                      </w:r>
                    </w:p>
                    <w:p w14:paraId="1E9B8DE8" w14:textId="77777777" w:rsidR="003B0864" w:rsidRPr="00C57455" w:rsidRDefault="003B0864" w:rsidP="00601156">
                      <w:pPr>
                        <w:spacing w:line="360" w:lineRule="exact"/>
                        <w:ind w:leftChars="180" w:left="378"/>
                        <w:rPr>
                          <w:b/>
                        </w:rPr>
                      </w:pPr>
                      <w:r w:rsidRPr="0032255F">
                        <w:rPr>
                          <w:rFonts w:ascii="Cambria Math" w:hAnsi="Cambria Math"/>
                          <w:b/>
                        </w:rPr>
                        <w:t>1</w:t>
                      </w:r>
                      <w:r>
                        <w:rPr>
                          <w:rFonts w:ascii="Cambria Math" w:hAnsi="Cambria Math" w:hint="eastAsia"/>
                          <w:b/>
                        </w:rPr>
                        <w:t>.</w:t>
                      </w:r>
                      <w:r w:rsidRPr="0032255F">
                        <w:rPr>
                          <w:rFonts w:ascii="Cambria Math" w:hAnsi="Cambria Math"/>
                          <w:b/>
                        </w:rPr>
                        <w:t>80×10</w:t>
                      </w:r>
                      <w:r w:rsidRPr="0032255F">
                        <w:rPr>
                          <w:rFonts w:ascii="Cambria Math" w:hAnsi="Cambria Math"/>
                          <w:b/>
                          <w:vertAlign w:val="superscript"/>
                        </w:rPr>
                        <w:t>5</w:t>
                      </w:r>
                      <w:r w:rsidRPr="0032255F">
                        <w:rPr>
                          <w:rFonts w:ascii="Cambria Math" w:hAnsi="Cambria Math"/>
                          <w:b/>
                        </w:rPr>
                        <w:t xml:space="preserve"> MPa</w:t>
                      </w:r>
                      <w:r>
                        <w:rPr>
                          <w:rFonts w:hint="eastAsia"/>
                          <w:b/>
                        </w:rPr>
                        <w:t xml:space="preserve">　</w:t>
                      </w:r>
                      <w:r w:rsidRPr="00C57455">
                        <w:rPr>
                          <w:rFonts w:hint="eastAsia"/>
                          <w:b/>
                        </w:rPr>
                        <w:t>(</w:t>
                      </w:r>
                      <w:r w:rsidRPr="0032255F">
                        <w:rPr>
                          <w:rFonts w:ascii="Cambria Math" w:hAnsi="Cambria Math"/>
                          <w:b/>
                        </w:rPr>
                        <w:t>450</w:t>
                      </w:r>
                      <w:r w:rsidRPr="00C57455">
                        <w:rPr>
                          <w:rFonts w:hint="eastAsia"/>
                          <w:b/>
                        </w:rPr>
                        <w:t>℃</w:t>
                      </w:r>
                      <w:r w:rsidRPr="00C57455">
                        <w:rPr>
                          <w:rFonts w:hint="eastAsia"/>
                          <w:b/>
                        </w:rPr>
                        <w:t>)</w:t>
                      </w:r>
                    </w:p>
                    <w:p w14:paraId="509FD240" w14:textId="77777777" w:rsidR="003B0864" w:rsidRPr="00F8125B" w:rsidRDefault="003B0864" w:rsidP="00601156">
                      <w:pPr>
                        <w:spacing w:line="360" w:lineRule="exact"/>
                        <w:ind w:leftChars="180" w:left="378"/>
                        <w:rPr>
                          <w:b/>
                        </w:rPr>
                      </w:pPr>
                      <w:r w:rsidRPr="0032255F">
                        <w:rPr>
                          <w:rFonts w:ascii="Cambria Math" w:hAnsi="Cambria Math"/>
                          <w:b/>
                        </w:rPr>
                        <w:t>1</w:t>
                      </w:r>
                      <w:r>
                        <w:rPr>
                          <w:rFonts w:ascii="Cambria Math" w:hAnsi="Cambria Math" w:hint="eastAsia"/>
                          <w:b/>
                        </w:rPr>
                        <w:t>.</w:t>
                      </w:r>
                      <w:r w:rsidRPr="0032255F">
                        <w:rPr>
                          <w:rFonts w:ascii="Cambria Math" w:hAnsi="Cambria Math"/>
                          <w:b/>
                        </w:rPr>
                        <w:t>76×10</w:t>
                      </w:r>
                      <w:r w:rsidRPr="0032255F">
                        <w:rPr>
                          <w:rFonts w:ascii="Cambria Math" w:hAnsi="Cambria Math"/>
                          <w:b/>
                          <w:vertAlign w:val="superscript"/>
                        </w:rPr>
                        <w:t>5</w:t>
                      </w:r>
                      <w:r w:rsidRPr="0032255F">
                        <w:rPr>
                          <w:rFonts w:ascii="Cambria Math" w:hAnsi="Cambria Math"/>
                          <w:b/>
                        </w:rPr>
                        <w:t xml:space="preserve"> MPa</w:t>
                      </w:r>
                      <w:r>
                        <w:rPr>
                          <w:rFonts w:hint="eastAsia"/>
                          <w:b/>
                        </w:rPr>
                        <w:t xml:space="preserve">　</w:t>
                      </w:r>
                      <w:r w:rsidRPr="00C57455">
                        <w:rPr>
                          <w:rFonts w:hint="eastAsia"/>
                          <w:b/>
                        </w:rPr>
                        <w:t>(</w:t>
                      </w:r>
                      <w:r w:rsidRPr="0032255F">
                        <w:rPr>
                          <w:rFonts w:ascii="Cambria Math" w:hAnsi="Cambria Math"/>
                          <w:b/>
                        </w:rPr>
                        <w:t>500</w:t>
                      </w:r>
                      <w:r w:rsidRPr="00C57455">
                        <w:rPr>
                          <w:rFonts w:hint="eastAsia"/>
                          <w:b/>
                        </w:rPr>
                        <w:t>℃</w:t>
                      </w:r>
                      <w:r w:rsidRPr="00C57455">
                        <w:rPr>
                          <w:rFonts w:hint="eastAsia"/>
                          <w:b/>
                        </w:rPr>
                        <w:t>)</w:t>
                      </w:r>
                    </w:p>
                  </w:txbxContent>
                </v:textbox>
              </v:shape>
              <v:shape id="Text Box 4313" o:spid="_x0000_s1066" type="#_x0000_t202" style="position:absolute;left:3114;top:4014;width:563;height:17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" stroked="f">
                <v:textbox style="layout-flow:vertical;mso-layout-flow-alt:bottom-to-top" inset="5.85pt,.7pt,5.85pt,.7pt">
                  <w:txbxContent>
                    <w:p w14:paraId="40667452" w14:textId="77777777" w:rsidR="003B0864" w:rsidRPr="007B1400" w:rsidRDefault="003B0864" w:rsidP="00601156">
                      <w:pPr>
                        <w:jc w:val="center"/>
                        <w:rPr>
                          <w:rFonts w:ascii="ＭＳ ゴシック" w:eastAsia="ＭＳ ゴシック" w:hAnsi="ＭＳ ゴシック"/>
                          <w:b/>
                          <w:sz w:val="20"/>
                          <w:szCs w:val="20"/>
                        </w:rPr>
                      </w:pPr>
                      <w:r w:rsidRPr="007B1400">
                        <w:rPr>
                          <w:rFonts w:ascii="ＭＳ ゴシック" w:eastAsia="ＭＳ ゴシック" w:hAnsi="ＭＳ ゴシック" w:hint="eastAsia"/>
                          <w:b/>
                          <w:sz w:val="20"/>
                          <w:szCs w:val="20"/>
                        </w:rPr>
                        <w:t xml:space="preserve">応力振幅 </w:t>
                      </w:r>
                      <w:r w:rsidRPr="007B1400">
                        <w:rPr>
                          <w:rFonts w:eastAsia="ＭＳ ゴシック"/>
                          <w:b/>
                          <w:sz w:val="20"/>
                          <w:szCs w:val="20"/>
                        </w:rPr>
                        <w:t>(MPa)</w:t>
                      </w:r>
                    </w:p>
                  </w:txbxContent>
                </v:textbox>
              </v:shape>
              <v:shape id="Text Box 4323" o:spid="_x0000_s1067" type="#_x0000_t202" style="position:absolute;left:8035;top:7947;width:1223;height:3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" stroked="f">
                <v:textbox inset="5.85pt,.7pt,5.85pt,.7pt">
                  <w:txbxContent>
                    <w:p w14:paraId="6EE9B905" w14:textId="77777777" w:rsidR="003B0864" w:rsidRPr="00C71D19" w:rsidRDefault="003B0864" w:rsidP="00601156">
                      <w:pPr>
                        <w:snapToGrid w:val="0"/>
                        <w:jc w:val="center"/>
                        <w:rPr>
                          <w:sz w:val="20"/>
                          <w:szCs w:val="20"/>
                        </w:rPr>
                      </w:pPr>
                      <w:r w:rsidRPr="00C71D19">
                        <w:rPr>
                          <w:rFonts w:ascii="ＭＳ ゴシック" w:eastAsia="ＭＳ ゴシック" w:hAnsi="ＭＳ ゴシック" w:hint="eastAsia"/>
                          <w:b/>
                          <w:sz w:val="20"/>
                          <w:szCs w:val="20"/>
                        </w:rPr>
                        <w:t>繰返し回数</w:t>
                      </w:r>
                    </w:p>
                  </w:txbxContent>
                </v:textbox>
              </v:shape>
            </v:group>
            <w10:anchorlock/>
          </v:group>
        </w:pict>
      </w:r>
    </w:p>
    <w:p w14:paraId="278A0B1C" w14:textId="77777777" w:rsidR="00601156" w:rsidRPr="00BC31E0" w:rsidRDefault="00601156" w:rsidP="00BC31E0">
      <w:pPr>
        <w:autoSpaceDE w:val="0"/>
        <w:autoSpaceDN w:val="0"/>
        <w:spacing w:beforeLines="50" w:before="215"/>
        <w:ind w:leftChars="1600" w:left="3360"/>
        <w:rPr>
          <w:rFonts w:ascii="ＭＳ 明朝"/>
        </w:rPr>
      </w:pPr>
      <w:r w:rsidRPr="00BC31E0">
        <w:rPr>
          <w:rFonts w:ascii="ＭＳ ゴシック" w:eastAsia="ＭＳ ゴシック" w:hint="eastAsia"/>
          <w:b/>
        </w:rPr>
        <w:t>注記1</w:t>
      </w:r>
      <w:r w:rsidRPr="00BC31E0">
        <w:rPr>
          <w:rFonts w:ascii="ＭＳ 明朝" w:hint="eastAsia"/>
        </w:rPr>
        <w:t xml:space="preserve">　</w:t>
      </w:r>
      <w:r w:rsidRPr="00BC31E0">
        <w:rPr>
          <w:rFonts w:hint="eastAsia"/>
        </w:rPr>
        <w:t>3Cr</w:t>
      </w:r>
      <w:r w:rsidRPr="00BC31E0">
        <w:rPr>
          <w:rFonts w:asciiTheme="minorEastAsia" w:eastAsiaTheme="minorEastAsia" w:hAnsiTheme="minorEastAsia" w:hint="eastAsia"/>
        </w:rPr>
        <w:t>-</w:t>
      </w:r>
      <w:r w:rsidRPr="00BC31E0">
        <w:rPr>
          <w:rFonts w:hint="eastAsia"/>
        </w:rPr>
        <w:t>1Mo</w:t>
      </w:r>
      <w:r w:rsidRPr="00BC31E0">
        <w:rPr>
          <w:rFonts w:asciiTheme="minorEastAsia" w:eastAsiaTheme="minorEastAsia" w:hAnsiTheme="minorEastAsia" w:hint="eastAsia"/>
        </w:rPr>
        <w:t>-</w:t>
      </w:r>
      <w:r w:rsidRPr="00BC31E0">
        <w:rPr>
          <w:rFonts w:hint="eastAsia"/>
        </w:rPr>
        <w:t>1/4V</w:t>
      </w:r>
      <w:r w:rsidRPr="00BC31E0">
        <w:rPr>
          <w:rFonts w:hint="eastAsia"/>
        </w:rPr>
        <w:t>鋼にも適用が可能</w:t>
      </w:r>
    </w:p>
    <w:p w14:paraId="75D8F1C2" w14:textId="77777777" w:rsidR="00601156" w:rsidRPr="00BC31E0" w:rsidRDefault="00601156" w:rsidP="00601156">
      <w:pPr>
        <w:autoSpaceDE w:val="0"/>
        <w:autoSpaceDN w:val="0"/>
        <w:ind w:leftChars="1600" w:left="3360"/>
        <w:rPr>
          <w:rFonts w:ascii="ＭＳ 明朝"/>
        </w:rPr>
      </w:pPr>
      <w:r w:rsidRPr="00BC31E0">
        <w:rPr>
          <w:rFonts w:ascii="ＭＳ ゴシック" w:eastAsia="ＭＳ ゴシック" w:hint="eastAsia"/>
          <w:b/>
        </w:rPr>
        <w:t>注記2</w:t>
      </w:r>
      <w:r w:rsidRPr="00BC31E0">
        <w:rPr>
          <w:rFonts w:ascii="ＭＳ 明朝" w:hint="eastAsia"/>
        </w:rPr>
        <w:t xml:space="preserve">　平均応力による設計許容繰返し回数の低減をおりこみ済み</w:t>
      </w:r>
    </w:p>
    <w:p w14:paraId="1EBF8F59" w14:textId="77777777" w:rsidR="00651404" w:rsidRPr="00BC31E0" w:rsidRDefault="00601156" w:rsidP="00651404">
      <w:pPr>
        <w:pStyle w:val="af4"/>
        <w:rPr>
          <w:rFonts w:ascii="ＭＳ 明朝" w:hAnsi="ＭＳ 明朝"/>
        </w:rPr>
      </w:pPr>
      <w:r w:rsidRPr="00BC31E0">
        <w:rPr>
          <w:rFonts w:hint="eastAsia"/>
        </w:rPr>
        <w:t xml:space="preserve">図6.3.8　</w:t>
      </w:r>
      <w:r w:rsidRPr="00BC31E0">
        <w:rPr>
          <w:rFonts w:hAnsi="ＭＳ ゴシック"/>
        </w:rPr>
        <w:t>2</w:t>
      </w:r>
      <w:r w:rsidRPr="00BC31E0">
        <w:rPr>
          <w:rFonts w:hAnsi="ＭＳ ゴシック" w:hint="eastAsia"/>
        </w:rPr>
        <w:t>-</w:t>
      </w:r>
      <w:r w:rsidRPr="00BC31E0">
        <w:rPr>
          <w:rFonts w:hAnsi="ＭＳ ゴシック"/>
        </w:rPr>
        <w:t>1/4Cr</w:t>
      </w:r>
      <w:r w:rsidRPr="00BC31E0">
        <w:rPr>
          <w:rFonts w:hAnsi="ＭＳ ゴシック" w:hint="eastAsia"/>
        </w:rPr>
        <w:t>-</w:t>
      </w:r>
      <w:r w:rsidRPr="00BC31E0">
        <w:rPr>
          <w:rFonts w:hAnsi="ＭＳ ゴシック"/>
        </w:rPr>
        <w:t>1Mo</w:t>
      </w:r>
      <w:r w:rsidRPr="00BC31E0">
        <w:rPr>
          <w:rFonts w:hAnsi="ＭＳ ゴシック" w:hint="eastAsia"/>
        </w:rPr>
        <w:t>-</w:t>
      </w:r>
      <w:r w:rsidRPr="00BC31E0">
        <w:rPr>
          <w:rFonts w:hAnsi="ＭＳ ゴシック"/>
        </w:rPr>
        <w:t>1/4V</w:t>
      </w:r>
      <w:r w:rsidRPr="00BC31E0">
        <w:rPr>
          <w:rFonts w:hint="eastAsia"/>
        </w:rPr>
        <w:t>鋼の設計疲労曲線</w:t>
      </w:r>
      <w:r w:rsidR="00651404" w:rsidRPr="00BC31E0">
        <w:rPr>
          <w:rFonts w:asciiTheme="majorEastAsia" w:eastAsiaTheme="majorEastAsia" w:hAnsiTheme="majorEastAsia"/>
          <w:vertAlign w:val="superscript"/>
        </w:rPr>
        <w:t>1)</w:t>
      </w:r>
    </w:p>
    <w:p w14:paraId="35EB0427" w14:textId="77777777" w:rsidR="00601156" w:rsidRPr="00BC31E0" w:rsidRDefault="00601156" w:rsidP="00601156">
      <w:pPr>
        <w:autoSpaceDE w:val="0"/>
        <w:autoSpaceDN w:val="0"/>
        <w:jc w:val="center"/>
        <w:rPr>
          <w:rFonts w:ascii="ＭＳ ゴシック" w:eastAsia="ＭＳ ゴシック"/>
          <w:b/>
        </w:rPr>
      </w:pPr>
      <w:r w:rsidRPr="00BC31E0">
        <w:rPr>
          <w:noProof/>
        </w:rPr>
        <w:lastRenderedPageBreak/>
        <w:drawing>
          <wp:inline distT="0" distB="0" distL="0" distR="0" wp14:anchorId="20F514DE" wp14:editId="752E4350">
            <wp:extent cx="6485467" cy="423202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498813" cy="4240734"/>
                    </a:xfrm>
                    <a:prstGeom prst="rect">
                      <a:avLst/>
                    </a:prstGeom>
                    <a:noFill/>
                    <a:ln>
                      <a:noFill/>
                    </a:ln>
                  </pic:spPr>
                </pic:pic>
              </a:graphicData>
            </a:graphic>
          </wp:inline>
        </w:drawing>
      </w:r>
    </w:p>
    <w:p w14:paraId="140B1633" w14:textId="77777777" w:rsidR="00601156" w:rsidRPr="00BC31E0" w:rsidRDefault="00601156" w:rsidP="00BC31E0">
      <w:pPr>
        <w:autoSpaceDE w:val="0"/>
        <w:autoSpaceDN w:val="0"/>
        <w:spacing w:beforeLines="50" w:before="215"/>
        <w:ind w:leftChars="1600" w:left="3360"/>
        <w:rPr>
          <w:rFonts w:ascii="ＭＳ 明朝"/>
        </w:rPr>
      </w:pPr>
      <w:r w:rsidRPr="00BC31E0">
        <w:rPr>
          <w:rFonts w:ascii="ＭＳ ゴシック" w:eastAsia="ＭＳ ゴシック" w:hint="eastAsia"/>
          <w:b/>
        </w:rPr>
        <w:t>注記1</w:t>
      </w:r>
      <w:r w:rsidRPr="00BC31E0">
        <w:rPr>
          <w:rFonts w:ascii="ＭＳ 明朝" w:hint="eastAsia"/>
        </w:rPr>
        <w:t xml:space="preserve">　</w:t>
      </w:r>
      <w:r w:rsidRPr="00BC31E0">
        <w:rPr>
          <w:rFonts w:hint="eastAsia"/>
        </w:rPr>
        <w:t>高圧水素環境下で適用が可能</w:t>
      </w:r>
    </w:p>
    <w:p w14:paraId="085F67B1" w14:textId="77777777" w:rsidR="00601156" w:rsidRPr="00BC31E0" w:rsidRDefault="00601156" w:rsidP="00601156">
      <w:pPr>
        <w:autoSpaceDE w:val="0"/>
        <w:autoSpaceDN w:val="0"/>
        <w:ind w:leftChars="1600" w:left="3360"/>
        <w:rPr>
          <w:rFonts w:ascii="ＭＳ 明朝"/>
        </w:rPr>
      </w:pPr>
      <w:r w:rsidRPr="00BC31E0">
        <w:rPr>
          <w:rFonts w:ascii="ＭＳ ゴシック" w:eastAsia="ＭＳ ゴシック" w:hint="eastAsia"/>
          <w:b/>
        </w:rPr>
        <w:t>注記2</w:t>
      </w:r>
      <w:r w:rsidRPr="00BC31E0">
        <w:rPr>
          <w:rFonts w:ascii="ＭＳ 明朝" w:hint="eastAsia"/>
        </w:rPr>
        <w:t xml:space="preserve">　最大平均応力の曲線は平均応力による設計許容繰返し回数の低減をおりこみ済み</w:t>
      </w:r>
    </w:p>
    <w:p w14:paraId="4F199783" w14:textId="77777777" w:rsidR="00601156" w:rsidRPr="00BC31E0" w:rsidRDefault="00601156" w:rsidP="00601156">
      <w:pPr>
        <w:autoSpaceDE w:val="0"/>
        <w:autoSpaceDN w:val="0"/>
        <w:ind w:leftChars="1600" w:left="3360"/>
        <w:rPr>
          <w:rFonts w:ascii="ＭＳ 明朝"/>
        </w:rPr>
      </w:pPr>
      <w:r w:rsidRPr="00BC31E0">
        <w:rPr>
          <w:rFonts w:ascii="ＭＳ ゴシック" w:eastAsia="ＭＳ ゴシック" w:hint="eastAsia"/>
          <w:b/>
        </w:rPr>
        <w:t>注記3</w:t>
      </w:r>
      <w:r w:rsidRPr="00BC31E0">
        <w:rPr>
          <w:rFonts w:ascii="ＭＳ 明朝" w:hint="eastAsia"/>
        </w:rPr>
        <w:t xml:space="preserve">　平均応力0の曲線は圧縮平均応力又は平均応力0の場合に適用が可能</w:t>
      </w:r>
    </w:p>
    <w:p w14:paraId="23D66EDC" w14:textId="77777777" w:rsidR="00CE5B29" w:rsidRPr="00BC31E0" w:rsidRDefault="00601156" w:rsidP="00601156">
      <w:pPr>
        <w:pStyle w:val="af4"/>
        <w:sectPr w:rsidR="00CE5B29" w:rsidRPr="00BC31E0" w:rsidSect="00CE5B29">
          <w:headerReference w:type="even" r:id="rId62"/>
          <w:headerReference w:type="default" r:id="rId63"/>
          <w:footerReference w:type="default" r:id="rId64"/>
          <w:headerReference w:type="first" r:id="rId65"/>
          <w:pgSz w:w="16838" w:h="11906" w:orient="landscape" w:code="9"/>
          <w:pgMar w:top="1418" w:right="1701" w:bottom="1418" w:left="1418" w:header="720" w:footer="720" w:gutter="0"/>
          <w:cols w:space="720"/>
          <w:noEndnote/>
          <w:docGrid w:type="linesAndChars" w:linePitch="431"/>
        </w:sectPr>
      </w:pPr>
      <w:r w:rsidRPr="00BC31E0">
        <w:rPr>
          <w:rFonts w:hint="eastAsia"/>
        </w:rPr>
        <w:t xml:space="preserve">図6.3.9　</w:t>
      </w:r>
      <w:r w:rsidRPr="00BC31E0">
        <w:rPr>
          <w:rFonts w:ascii="Century" w:hint="eastAsia"/>
        </w:rPr>
        <w:t>アルミニウム合金</w:t>
      </w:r>
      <w:r w:rsidRPr="00BC31E0">
        <w:rPr>
          <w:rFonts w:hint="eastAsia"/>
        </w:rPr>
        <w:t xml:space="preserve">(A6061-T6及びA6061-T651)の設計疲労曲線 </w:t>
      </w:r>
    </w:p>
    <w:p w14:paraId="7467A178" w14:textId="77777777" w:rsidR="00CE5B29" w:rsidRPr="00BC31E0" w:rsidRDefault="00CE5B29" w:rsidP="00CE5B29">
      <w:pPr>
        <w:tabs>
          <w:tab w:val="left" w:pos="1560"/>
        </w:tabs>
        <w:autoSpaceDE w:val="0"/>
        <w:autoSpaceDN w:val="0"/>
        <w:jc w:val="center"/>
        <w:rPr>
          <w:rFonts w:ascii="ＭＳ 明朝"/>
        </w:rPr>
      </w:pPr>
      <w:r w:rsidRPr="00BC31E0">
        <w:rPr>
          <w:noProof/>
        </w:rPr>
        <w:lastRenderedPageBreak/>
        <w:drawing>
          <wp:inline distT="0" distB="0" distL="0" distR="0" wp14:anchorId="0AD95CE3" wp14:editId="4FCD17A7">
            <wp:extent cx="5603875" cy="3724910"/>
            <wp:effectExtent l="19050" t="0" r="0" b="0"/>
            <wp:docPr id="216" name="図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79"/>
                    <pic:cNvPicPr>
                      <a:picLocks noChangeAspect="1" noChangeArrowheads="1"/>
                    </pic:cNvPicPr>
                  </pic:nvPicPr>
                  <pic:blipFill>
                    <a:blip r:embed="rId66" cstate="print"/>
                    <a:srcRect/>
                    <a:stretch>
                      <a:fillRect/>
                    </a:stretch>
                  </pic:blipFill>
                  <pic:spPr bwMode="auto">
                    <a:xfrm>
                      <a:off x="0" y="0"/>
                      <a:ext cx="5603875" cy="3724910"/>
                    </a:xfrm>
                    <a:prstGeom prst="rect">
                      <a:avLst/>
                    </a:prstGeom>
                    <a:noFill/>
                    <a:ln w="9525">
                      <a:noFill/>
                      <a:miter lim="800000"/>
                      <a:headEnd/>
                      <a:tailEnd/>
                    </a:ln>
                  </pic:spPr>
                </pic:pic>
              </a:graphicData>
            </a:graphic>
          </wp:inline>
        </w:drawing>
      </w:r>
    </w:p>
    <w:p w14:paraId="46AA7799" w14:textId="77777777" w:rsidR="00CE5B29" w:rsidRPr="00BC31E0" w:rsidRDefault="00CE5B29" w:rsidP="00CE5B29">
      <w:pPr>
        <w:pStyle w:val="af4"/>
        <w:rPr>
          <w:rFonts w:ascii="ＭＳ 明朝" w:hAnsi="ＭＳ 明朝"/>
        </w:rPr>
      </w:pPr>
      <w:r w:rsidRPr="00BC31E0">
        <w:rPr>
          <w:rFonts w:hint="eastAsia"/>
        </w:rPr>
        <w:t xml:space="preserve">   図6.3.10 表面粗さによる影響係数 </w:t>
      </w:r>
      <m:oMath>
        <m:sSub>
          <m:sSubPr>
            <m:ctrlPr>
              <w:rPr>
                <w:rFonts w:ascii="Cambria Math" w:hAnsi="Cambria Math"/>
                <w:i/>
              </w:rPr>
            </m:ctrlPr>
          </m:sSubPr>
          <m:e>
            <m:r>
              <m:rPr>
                <m:sty m:val="bi"/>
              </m:rPr>
              <w:rPr>
                <w:rFonts w:ascii="Cambria Math" w:hAnsi="Cambria Math"/>
              </w:rPr>
              <m:t>K</m:t>
            </m:r>
          </m:e>
          <m:sub>
            <m:r>
              <m:rPr>
                <m:sty m:val="bi"/>
              </m:rPr>
              <w:rPr>
                <w:rFonts w:ascii="Cambria Math" w:hAnsi="Cambria Math"/>
              </w:rPr>
              <m:t>r</m:t>
            </m:r>
          </m:sub>
        </m:sSub>
        <m:r>
          <m:rPr>
            <m:sty m:val="bi"/>
          </m:rPr>
          <w:rPr>
            <w:rFonts w:ascii="Cambria Math" w:hAnsi="Cambria Math"/>
          </w:rPr>
          <m:t xml:space="preserve"> </m:t>
        </m:r>
      </m:oMath>
      <w:r w:rsidR="00651404" w:rsidRPr="00BC31E0">
        <w:rPr>
          <w:rFonts w:asciiTheme="majorEastAsia" w:eastAsiaTheme="majorEastAsia" w:hAnsiTheme="majorEastAsia" w:hint="eastAsia"/>
          <w:vertAlign w:val="superscript"/>
        </w:rPr>
        <w:t>2</w:t>
      </w:r>
      <w:r w:rsidR="00651404" w:rsidRPr="00BC31E0">
        <w:rPr>
          <w:rFonts w:asciiTheme="majorEastAsia" w:eastAsiaTheme="majorEastAsia" w:hAnsiTheme="majorEastAsia"/>
          <w:vertAlign w:val="superscript"/>
        </w:rPr>
        <w:t>)</w:t>
      </w:r>
    </w:p>
    <w:p w14:paraId="14BAFDEE" w14:textId="77777777" w:rsidR="00651404" w:rsidRPr="00BC31E0" w:rsidRDefault="00651404" w:rsidP="003D65BF">
      <w:pPr>
        <w:pStyle w:val="af4"/>
        <w:pBdr>
          <w:bottom w:val="single" w:sz="6" w:space="1" w:color="auto"/>
        </w:pBdr>
        <w:jc w:val="left"/>
        <w:rPr>
          <w:rFonts w:ascii="ＭＳ 明朝" w:hAnsi="ＭＳ 明朝"/>
        </w:rPr>
      </w:pPr>
    </w:p>
    <w:p w14:paraId="64AC42AA" w14:textId="77777777" w:rsidR="00651404" w:rsidRPr="00BC31E0" w:rsidRDefault="00651404" w:rsidP="00651404">
      <w:pPr>
        <w:rPr>
          <w:rFonts w:ascii="ＭＳ ゴシック" w:eastAsia="ＭＳ ゴシック" w:hAnsi="ＭＳ ゴシック"/>
          <w:b/>
          <w:bCs/>
        </w:rPr>
      </w:pPr>
      <w:r w:rsidRPr="00BC31E0">
        <w:rPr>
          <w:rFonts w:ascii="ＭＳ ゴシック" w:eastAsia="ＭＳ ゴシック" w:hAnsi="ＭＳ ゴシック" w:hint="eastAsia"/>
          <w:b/>
          <w:bCs/>
        </w:rPr>
        <w:t>参考文献</w:t>
      </w:r>
    </w:p>
    <w:p w14:paraId="3F865E3B" w14:textId="77777777" w:rsidR="008D45AE" w:rsidRPr="00BC31E0" w:rsidRDefault="00526B2B" w:rsidP="008D45AE">
      <w:pPr>
        <w:pStyle w:val="a4"/>
        <w:numPr>
          <w:ilvl w:val="0"/>
          <w:numId w:val="652"/>
        </w:numPr>
        <w:ind w:leftChars="0" w:left="454" w:hanging="454"/>
        <w:rPr>
          <w:rFonts w:asciiTheme="minorHAnsi" w:eastAsiaTheme="minorEastAsia" w:hAnsiTheme="minorHAnsi"/>
        </w:rPr>
      </w:pPr>
      <w:r w:rsidRPr="00BC31E0">
        <w:rPr>
          <w:rFonts w:asciiTheme="minorHAnsi" w:eastAsiaTheme="minorEastAsia" w:hAnsiTheme="minorEastAsia"/>
        </w:rPr>
        <w:t>高圧ガス保安協会，</w:t>
      </w:r>
      <w:r w:rsidR="00651404" w:rsidRPr="00BC31E0">
        <w:rPr>
          <w:rFonts w:asciiTheme="minorHAnsi" w:eastAsiaTheme="minorEastAsia" w:hAnsiTheme="minorHAnsi"/>
        </w:rPr>
        <w:t>KHKS 0220(2004)</w:t>
      </w:r>
      <w:r w:rsidR="009F5E9D" w:rsidRPr="00BC31E0">
        <w:rPr>
          <w:rFonts w:asciiTheme="minorHAnsi" w:eastAsiaTheme="minorEastAsia" w:hAnsiTheme="minorEastAsia"/>
        </w:rPr>
        <w:t xml:space="preserve">　</w:t>
      </w:r>
      <w:r w:rsidR="00651404" w:rsidRPr="00BC31E0">
        <w:rPr>
          <w:rFonts w:asciiTheme="minorHAnsi" w:eastAsiaTheme="minorEastAsia" w:hAnsiTheme="minorEastAsia"/>
        </w:rPr>
        <w:t>超高圧ガス設備に関する基準，</w:t>
      </w:r>
      <w:r w:rsidR="0000129D" w:rsidRPr="00BC31E0">
        <w:rPr>
          <w:rFonts w:asciiTheme="minorHAnsi" w:eastAsiaTheme="minorEastAsia" w:hAnsiTheme="minorHAnsi"/>
        </w:rPr>
        <w:t>(</w:t>
      </w:r>
      <w:r w:rsidR="00651404" w:rsidRPr="00BC31E0">
        <w:rPr>
          <w:rFonts w:asciiTheme="minorHAnsi" w:eastAsiaTheme="minorEastAsia" w:hAnsiTheme="minorHAnsi"/>
        </w:rPr>
        <w:t>2004</w:t>
      </w:r>
      <w:r w:rsidR="0000129D" w:rsidRPr="00BC31E0">
        <w:rPr>
          <w:rFonts w:asciiTheme="minorHAnsi" w:eastAsiaTheme="minorEastAsia" w:hAnsiTheme="minorHAnsi"/>
        </w:rPr>
        <w:t>)</w:t>
      </w:r>
    </w:p>
    <w:p w14:paraId="20D9DB8C" w14:textId="77777777" w:rsidR="00651404" w:rsidRPr="00BC31E0" w:rsidRDefault="00526B2B" w:rsidP="008D45AE">
      <w:pPr>
        <w:pStyle w:val="a4"/>
        <w:numPr>
          <w:ilvl w:val="0"/>
          <w:numId w:val="652"/>
        </w:numPr>
        <w:ind w:leftChars="0" w:left="454" w:hanging="454"/>
        <w:rPr>
          <w:rFonts w:asciiTheme="minorHAnsi" w:eastAsiaTheme="minorEastAsia" w:hAnsiTheme="minorHAnsi"/>
        </w:rPr>
      </w:pPr>
      <w:r w:rsidRPr="00BC31E0">
        <w:rPr>
          <w:rFonts w:asciiTheme="minorHAnsi" w:eastAsiaTheme="minorEastAsia" w:hAnsiTheme="minorEastAsia"/>
        </w:rPr>
        <w:t>高圧ガス保安協会，</w:t>
      </w:r>
      <w:r w:rsidR="00651404" w:rsidRPr="00BC31E0">
        <w:rPr>
          <w:rFonts w:asciiTheme="minorHAnsi" w:eastAsiaTheme="minorEastAsia" w:hAnsiTheme="minorHAnsi"/>
        </w:rPr>
        <w:t>KHKS 0220(20</w:t>
      </w:r>
      <w:r w:rsidR="00D471BB" w:rsidRPr="00BC31E0">
        <w:rPr>
          <w:rFonts w:asciiTheme="minorHAnsi" w:eastAsiaTheme="minorEastAsia" w:hAnsiTheme="minorHAnsi"/>
        </w:rPr>
        <w:t>2</w:t>
      </w:r>
      <w:r w:rsidR="00651404" w:rsidRPr="00BC31E0">
        <w:rPr>
          <w:rFonts w:asciiTheme="minorHAnsi" w:eastAsiaTheme="minorEastAsia" w:hAnsiTheme="minorHAnsi"/>
        </w:rPr>
        <w:t>0)</w:t>
      </w:r>
      <w:r w:rsidR="009F5E9D" w:rsidRPr="00BC31E0">
        <w:rPr>
          <w:rFonts w:asciiTheme="minorHAnsi" w:eastAsiaTheme="minorEastAsia" w:hAnsiTheme="minorEastAsia"/>
        </w:rPr>
        <w:t xml:space="preserve">　</w:t>
      </w:r>
      <w:r w:rsidR="00651404" w:rsidRPr="00BC31E0">
        <w:rPr>
          <w:rFonts w:asciiTheme="minorHAnsi" w:eastAsiaTheme="minorEastAsia" w:hAnsiTheme="minorEastAsia"/>
        </w:rPr>
        <w:t>超高圧ガス設備に関する基準，</w:t>
      </w:r>
      <w:r w:rsidR="0000129D" w:rsidRPr="00BC31E0">
        <w:rPr>
          <w:rFonts w:asciiTheme="minorHAnsi" w:eastAsiaTheme="minorEastAsia" w:hAnsiTheme="minorHAnsi"/>
        </w:rPr>
        <w:t>(</w:t>
      </w:r>
      <w:r w:rsidR="00651404" w:rsidRPr="00BC31E0">
        <w:rPr>
          <w:rFonts w:asciiTheme="minorHAnsi" w:eastAsiaTheme="minorEastAsia" w:hAnsiTheme="minorHAnsi"/>
        </w:rPr>
        <w:t>20</w:t>
      </w:r>
      <w:r w:rsidR="00D471BB" w:rsidRPr="00BC31E0">
        <w:rPr>
          <w:rFonts w:asciiTheme="minorHAnsi" w:eastAsiaTheme="minorEastAsia" w:hAnsiTheme="minorHAnsi"/>
        </w:rPr>
        <w:t>2</w:t>
      </w:r>
      <w:r w:rsidR="00651404" w:rsidRPr="00BC31E0">
        <w:rPr>
          <w:rFonts w:asciiTheme="minorHAnsi" w:eastAsiaTheme="minorEastAsia" w:hAnsiTheme="minorHAnsi"/>
        </w:rPr>
        <w:t>0</w:t>
      </w:r>
      <w:r w:rsidR="0000129D" w:rsidRPr="00BC31E0">
        <w:rPr>
          <w:rFonts w:asciiTheme="minorHAnsi" w:eastAsiaTheme="minorEastAsia" w:hAnsiTheme="minorHAnsi"/>
        </w:rPr>
        <w:t>)</w:t>
      </w:r>
    </w:p>
    <w:p w14:paraId="60C842BA" w14:textId="77777777" w:rsidR="00651404" w:rsidRPr="00BC31E0" w:rsidRDefault="00651404" w:rsidP="00651404"/>
    <w:p w14:paraId="7DB4D499" w14:textId="77777777" w:rsidR="00651404" w:rsidRPr="00BC31E0" w:rsidRDefault="00651404" w:rsidP="00CE5B29">
      <w:pPr>
        <w:pStyle w:val="af4"/>
        <w:rPr>
          <w:rFonts w:ascii="ＭＳ 明朝" w:hAnsi="ＭＳ 明朝"/>
        </w:rPr>
      </w:pPr>
    </w:p>
    <w:p w14:paraId="1D4CFB87" w14:textId="77777777" w:rsidR="00651404" w:rsidRPr="00BC31E0" w:rsidRDefault="00651404" w:rsidP="00651404">
      <w:pPr>
        <w:pStyle w:val="af4"/>
        <w:sectPr w:rsidR="00651404" w:rsidRPr="00BC31E0" w:rsidSect="00CF1047">
          <w:pgSz w:w="11906" w:h="16838" w:code="9"/>
          <w:pgMar w:top="1701" w:right="1418" w:bottom="1418" w:left="1418" w:header="720" w:footer="720" w:gutter="0"/>
          <w:cols w:space="720"/>
          <w:noEndnote/>
          <w:docGrid w:type="linesAndChars" w:linePitch="360"/>
        </w:sectPr>
      </w:pPr>
    </w:p>
    <w:p w14:paraId="2D5A2CF5" w14:textId="77777777" w:rsidR="00CE5B29" w:rsidRPr="00BC31E0" w:rsidRDefault="00CE5B29" w:rsidP="00E60EFE">
      <w:pPr>
        <w:pStyle w:val="20"/>
        <w:tabs>
          <w:tab w:val="clear" w:pos="284"/>
        </w:tabs>
        <w:ind w:left="567" w:hanging="567"/>
      </w:pPr>
      <w:bookmarkStart w:id="40" w:name="_Toc357672091"/>
      <w:bookmarkStart w:id="41" w:name="_Toc120092524"/>
      <w:r w:rsidRPr="00BC31E0">
        <w:rPr>
          <w:rFonts w:hint="eastAsia"/>
        </w:rPr>
        <w:lastRenderedPageBreak/>
        <w:t>破壊力学評価</w:t>
      </w:r>
      <w:bookmarkEnd w:id="40"/>
      <w:bookmarkEnd w:id="41"/>
    </w:p>
    <w:p w14:paraId="777B6E58" w14:textId="77777777" w:rsidR="00CE5B29" w:rsidRPr="00BC31E0" w:rsidRDefault="00CE5B29" w:rsidP="00E60EFE">
      <w:pPr>
        <w:pStyle w:val="3"/>
        <w:tabs>
          <w:tab w:val="clear" w:pos="284"/>
        </w:tabs>
        <w:ind w:left="794" w:hanging="794"/>
      </w:pPr>
      <w:r w:rsidRPr="00BC31E0">
        <w:rPr>
          <w:rFonts w:hint="eastAsia"/>
        </w:rPr>
        <w:t>記号</w:t>
      </w:r>
    </w:p>
    <w:p w14:paraId="554520C6" w14:textId="77777777" w:rsidR="00CE5B29" w:rsidRPr="00BC31E0" w:rsidRDefault="00A51873" w:rsidP="004D2CDC">
      <w:pPr>
        <w:pStyle w:val="1110"/>
        <w:tabs>
          <w:tab w:val="left" w:pos="993"/>
        </w:tabs>
        <w:ind w:firstLine="210"/>
      </w:pPr>
      <m:oMath>
        <m:sSub>
          <m:sSubPr>
            <m:ctrlPr>
              <w:rPr>
                <w:rFonts w:ascii="Cambria Math" w:hAnsi="Cambria Math"/>
                <w:i/>
              </w:rPr>
            </m:ctrlPr>
          </m:sSubPr>
          <m:e>
            <m:r>
              <w:rPr>
                <w:rFonts w:ascii="Cambria Math" w:hAnsi="Cambria Math"/>
              </w:rPr>
              <m:t>N</m:t>
            </m:r>
          </m:e>
          <m:sub>
            <m:r>
              <w:rPr>
                <w:rFonts w:ascii="Cambria Math" w:hAnsi="Cambria Math"/>
              </w:rPr>
              <m:t>P</m:t>
            </m:r>
          </m:sub>
        </m:sSub>
      </m:oMath>
      <w:r w:rsidR="00CE5B29" w:rsidRPr="00BC31E0">
        <w:rPr>
          <w:rFonts w:hint="eastAsia"/>
          <w:iCs/>
          <w:sz w:val="12"/>
        </w:rPr>
        <w:tab/>
      </w:r>
      <w:r w:rsidR="00D24656" w:rsidRPr="00BC31E0">
        <w:rPr>
          <w:rFonts w:hint="eastAsia"/>
        </w:rPr>
        <w:t>：</w:t>
      </w:r>
      <w:r w:rsidR="00D24656" w:rsidRPr="00BC31E0">
        <w:rPr>
          <w:rFonts w:hint="eastAsia"/>
        </w:rPr>
        <w:t xml:space="preserve"> </w:t>
      </w:r>
      <w:r w:rsidR="00CE5B29" w:rsidRPr="00BC31E0">
        <w:rPr>
          <w:rFonts w:hint="eastAsia"/>
        </w:rPr>
        <w:t>設計許容繰返し回数</w:t>
      </w:r>
    </w:p>
    <w:p w14:paraId="5807410B" w14:textId="77777777" w:rsidR="00CE5B29" w:rsidRPr="00BC31E0" w:rsidRDefault="00A51873" w:rsidP="004D2CDC">
      <w:pPr>
        <w:pStyle w:val="1110"/>
        <w:tabs>
          <w:tab w:val="left" w:pos="993"/>
        </w:tabs>
        <w:ind w:firstLine="210"/>
      </w:pPr>
      <m:oMath>
        <m:sSubSup>
          <m:sSubSupPr>
            <m:ctrlPr>
              <w:rPr>
                <w:rFonts w:ascii="Cambria Math" w:hAnsi="Cambria Math"/>
                <w:bCs/>
              </w:rPr>
            </m:ctrlPr>
          </m:sSubSupPr>
          <m:e>
            <m:r>
              <w:rPr>
                <w:rFonts w:ascii="Cambria Math" w:hAnsi="Cambria Math"/>
              </w:rPr>
              <m:t>K</m:t>
            </m:r>
          </m:e>
          <m:sub>
            <m:r>
              <m:rPr>
                <m:sty m:val="p"/>
              </m:rPr>
              <w:rPr>
                <w:rFonts w:ascii="Cambria Math" w:hAnsi="Cambria Math"/>
              </w:rPr>
              <m:t>Imin</m:t>
            </m:r>
          </m:sub>
          <m:sup>
            <m:r>
              <m:rPr>
                <m:sty m:val="p"/>
              </m:rPr>
              <w:rPr>
                <w:rFonts w:ascii="Cambria Math" w:hAnsi="Cambria Math"/>
              </w:rPr>
              <m:t>*</m:t>
            </m:r>
          </m:sup>
        </m:sSubSup>
      </m:oMath>
      <w:r w:rsidR="00CE5B29" w:rsidRPr="00BC31E0">
        <w:rPr>
          <w:rFonts w:hint="eastAsia"/>
          <w:bCs/>
        </w:rPr>
        <w:tab/>
      </w:r>
      <w:r w:rsidR="00CE5B29" w:rsidRPr="00BC31E0">
        <w:rPr>
          <w:rFonts w:hint="eastAsia"/>
        </w:rPr>
        <w:t>：</w:t>
      </w:r>
      <w:r w:rsidR="00D24656" w:rsidRPr="00BC31E0">
        <w:rPr>
          <w:rFonts w:hint="eastAsia"/>
        </w:rPr>
        <w:t xml:space="preserve"> </w:t>
      </w:r>
      <w:r w:rsidR="00CE5B29" w:rsidRPr="00BC31E0">
        <w:rPr>
          <w:rFonts w:hint="eastAsia"/>
        </w:rPr>
        <w:t>残留応力を除く繰返し応力負荷による応力拡大係数の最小値</w:t>
      </w:r>
      <w:r w:rsidR="00CE5B29" w:rsidRPr="00BC31E0">
        <w:rPr>
          <w:rFonts w:hint="eastAsia"/>
        </w:rPr>
        <w:t>(</w:t>
      </w:r>
      <m:oMath>
        <m:r>
          <m:rPr>
            <m:nor/>
          </m:rPr>
          <w:rPr>
            <w:rFonts w:ascii="Cambria Math" w:hAnsi="Cambria Math"/>
          </w:rPr>
          <m:t>MPa</m:t>
        </m:r>
        <m:rad>
          <m:radPr>
            <m:degHide m:val="1"/>
            <m:ctrlPr>
              <w:rPr>
                <w:rFonts w:ascii="Cambria Math" w:hAnsi="Cambria Math"/>
              </w:rPr>
            </m:ctrlPr>
          </m:radPr>
          <m:deg/>
          <m:e>
            <m:r>
              <m:rPr>
                <m:nor/>
              </m:rPr>
              <w:rPr>
                <w:rFonts w:ascii="Cambria Math" w:hAnsi="Cambria Math"/>
              </w:rPr>
              <m:t>m</m:t>
            </m:r>
          </m:e>
        </m:rad>
      </m:oMath>
      <w:r w:rsidR="00CE5B29" w:rsidRPr="00BC31E0">
        <w:rPr>
          <w:rFonts w:hint="eastAsia"/>
        </w:rPr>
        <w:t>)</w:t>
      </w:r>
    </w:p>
    <w:p w14:paraId="2957192A" w14:textId="77777777" w:rsidR="00CE5B29" w:rsidRPr="00BC31E0" w:rsidRDefault="00A51873" w:rsidP="004D2CDC">
      <w:pPr>
        <w:pStyle w:val="1110"/>
        <w:tabs>
          <w:tab w:val="left" w:pos="993"/>
        </w:tabs>
        <w:ind w:firstLine="210"/>
      </w:pPr>
      <m:oMath>
        <m:sSubSup>
          <m:sSubSupPr>
            <m:ctrlPr>
              <w:rPr>
                <w:rFonts w:ascii="Cambria Math" w:hAnsi="Cambria Math"/>
                <w:bCs/>
              </w:rPr>
            </m:ctrlPr>
          </m:sSubSupPr>
          <m:e>
            <m:r>
              <w:rPr>
                <w:rFonts w:ascii="Cambria Math" w:hAnsi="Cambria Math"/>
              </w:rPr>
              <m:t>K</m:t>
            </m:r>
          </m:e>
          <m:sub>
            <m:r>
              <m:rPr>
                <m:sty m:val="p"/>
              </m:rPr>
              <w:rPr>
                <w:rFonts w:ascii="Cambria Math" w:hAnsi="Cambria Math"/>
              </w:rPr>
              <m:t>Imax</m:t>
            </m:r>
          </m:sub>
          <m:sup>
            <m:r>
              <m:rPr>
                <m:sty m:val="p"/>
              </m:rPr>
              <w:rPr>
                <w:rFonts w:ascii="Cambria Math" w:hAnsi="Cambria Math"/>
              </w:rPr>
              <m:t>*</m:t>
            </m:r>
          </m:sup>
        </m:sSubSup>
      </m:oMath>
      <w:r w:rsidR="00CE5B29" w:rsidRPr="00BC31E0">
        <w:rPr>
          <w:rFonts w:hint="eastAsia"/>
        </w:rPr>
        <w:tab/>
      </w:r>
      <w:r w:rsidR="00CE5B29" w:rsidRPr="00BC31E0">
        <w:rPr>
          <w:rFonts w:hint="eastAsia"/>
        </w:rPr>
        <w:t>：</w:t>
      </w:r>
      <w:r w:rsidR="00D24656" w:rsidRPr="00BC31E0">
        <w:rPr>
          <w:rFonts w:hint="eastAsia"/>
        </w:rPr>
        <w:t xml:space="preserve"> </w:t>
      </w:r>
      <w:r w:rsidR="00CE5B29" w:rsidRPr="00BC31E0">
        <w:rPr>
          <w:rFonts w:hint="eastAsia"/>
        </w:rPr>
        <w:t>残留応力を除く繰返し応力負荷による応力拡大係数の最大値</w:t>
      </w:r>
      <w:r w:rsidR="00CE5B29" w:rsidRPr="00BC31E0">
        <w:rPr>
          <w:rFonts w:hint="eastAsia"/>
        </w:rPr>
        <w:t>(</w:t>
      </w:r>
      <m:oMath>
        <m:r>
          <m:rPr>
            <m:nor/>
          </m:rPr>
          <w:rPr>
            <w:rFonts w:ascii="Cambria Math" w:hAnsi="Cambria Math"/>
          </w:rPr>
          <m:t>MPa</m:t>
        </m:r>
        <m:rad>
          <m:radPr>
            <m:degHide m:val="1"/>
            <m:ctrlPr>
              <w:rPr>
                <w:rFonts w:ascii="Cambria Math" w:hAnsi="Cambria Math"/>
              </w:rPr>
            </m:ctrlPr>
          </m:radPr>
          <m:deg/>
          <m:e>
            <m:r>
              <m:rPr>
                <m:nor/>
              </m:rPr>
              <w:rPr>
                <w:rFonts w:ascii="Cambria Math" w:hAnsi="Cambria Math"/>
              </w:rPr>
              <m:t>m</m:t>
            </m:r>
          </m:e>
        </m:rad>
      </m:oMath>
      <w:r w:rsidR="00CE5B29" w:rsidRPr="00BC31E0">
        <w:rPr>
          <w:rFonts w:hint="eastAsia"/>
        </w:rPr>
        <w:t>)</w:t>
      </w:r>
    </w:p>
    <w:p w14:paraId="0D6D35C1" w14:textId="77777777" w:rsidR="00CE5B29" w:rsidRPr="00BC31E0" w:rsidRDefault="00A51873" w:rsidP="004D2CDC">
      <w:pPr>
        <w:pStyle w:val="1110"/>
        <w:tabs>
          <w:tab w:val="left" w:pos="993"/>
        </w:tabs>
        <w:ind w:firstLine="210"/>
      </w:pPr>
      <m:oMath>
        <m:sSub>
          <m:sSubPr>
            <m:ctrlPr>
              <w:rPr>
                <w:rFonts w:ascii="Cambria Math" w:hAnsi="Cambria Math"/>
                <w:i/>
              </w:rPr>
            </m:ctrlPr>
          </m:sSubPr>
          <m:e>
            <m:r>
              <w:rPr>
                <w:rFonts w:ascii="Cambria Math" w:hAnsi="Cambria Math"/>
              </w:rPr>
              <m:t>K</m:t>
            </m:r>
          </m:e>
          <m:sub>
            <m:r>
              <m:rPr>
                <m:sty m:val="p"/>
              </m:rPr>
              <w:rPr>
                <w:rFonts w:ascii="Cambria Math" w:hAnsi="Cambria Math"/>
              </w:rPr>
              <m:t>I</m:t>
            </m:r>
            <m:r>
              <w:rPr>
                <w:rFonts w:ascii="Cambria Math" w:hAnsi="Cambria Math"/>
              </w:rPr>
              <m:t>res</m:t>
            </m:r>
          </m:sub>
        </m:sSub>
      </m:oMath>
      <w:r w:rsidR="00CE5B29" w:rsidRPr="00BC31E0">
        <w:rPr>
          <w:rFonts w:hint="eastAsia"/>
        </w:rPr>
        <w:tab/>
      </w:r>
      <w:r w:rsidR="00CE5B29" w:rsidRPr="00BC31E0">
        <w:rPr>
          <w:rFonts w:hint="eastAsia"/>
        </w:rPr>
        <w:t>：</w:t>
      </w:r>
      <w:r w:rsidR="00D24656" w:rsidRPr="00BC31E0">
        <w:rPr>
          <w:rFonts w:hint="eastAsia"/>
        </w:rPr>
        <w:t xml:space="preserve"> </w:t>
      </w:r>
      <w:r w:rsidR="00CE5B29" w:rsidRPr="00BC31E0">
        <w:rPr>
          <w:rFonts w:hint="eastAsia"/>
        </w:rPr>
        <w:t>残留応力による応力拡大係数</w:t>
      </w:r>
      <w:r w:rsidR="00CE5B29" w:rsidRPr="00BC31E0">
        <w:rPr>
          <w:rFonts w:hint="eastAsia"/>
        </w:rPr>
        <w:t>(</w:t>
      </w:r>
      <m:oMath>
        <m:r>
          <m:rPr>
            <m:nor/>
          </m:rPr>
          <w:rPr>
            <w:rFonts w:ascii="Cambria Math" w:hAnsi="Cambria Math"/>
          </w:rPr>
          <m:t>MPa</m:t>
        </m:r>
        <m:rad>
          <m:radPr>
            <m:degHide m:val="1"/>
            <m:ctrlPr>
              <w:rPr>
                <w:rFonts w:ascii="Cambria Math" w:hAnsi="Cambria Math"/>
              </w:rPr>
            </m:ctrlPr>
          </m:radPr>
          <m:deg/>
          <m:e>
            <m:r>
              <m:rPr>
                <m:nor/>
              </m:rPr>
              <w:rPr>
                <w:rFonts w:ascii="Cambria Math" w:hAnsi="Cambria Math"/>
              </w:rPr>
              <m:t>m</m:t>
            </m:r>
          </m:e>
        </m:rad>
      </m:oMath>
      <w:r w:rsidR="00CE5B29" w:rsidRPr="00BC31E0">
        <w:rPr>
          <w:rFonts w:hint="eastAsia"/>
        </w:rPr>
        <w:t>)</w:t>
      </w:r>
    </w:p>
    <w:p w14:paraId="31B3EA42" w14:textId="77777777" w:rsidR="00CE5B29" w:rsidRPr="00BC31E0" w:rsidRDefault="00A51873" w:rsidP="004D2CDC">
      <w:pPr>
        <w:pStyle w:val="1110"/>
        <w:tabs>
          <w:tab w:val="left" w:pos="993"/>
        </w:tabs>
        <w:ind w:firstLine="210"/>
      </w:pPr>
      <m:oMath>
        <m:f>
          <m:fPr>
            <m:type m:val="lin"/>
            <m:ctrlPr>
              <w:rPr>
                <w:rFonts w:ascii="Cambria Math" w:hAnsi="Cambria Math"/>
                <w:bCs/>
                <w:i/>
              </w:rPr>
            </m:ctrlPr>
          </m:fPr>
          <m:num>
            <m:r>
              <w:rPr>
                <w:rFonts w:ascii="Cambria Math" w:hAnsi="Cambria Math"/>
              </w:rPr>
              <m:t>da</m:t>
            </m:r>
          </m:num>
          <m:den>
            <m:r>
              <w:rPr>
                <w:rFonts w:ascii="Cambria Math" w:hAnsi="Cambria Math"/>
              </w:rPr>
              <m:t>dN</m:t>
            </m:r>
          </m:den>
        </m:f>
      </m:oMath>
      <w:r w:rsidR="00CE5B29" w:rsidRPr="00BC31E0">
        <w:rPr>
          <w:rFonts w:hint="eastAsia"/>
          <w:bCs/>
        </w:rPr>
        <w:tab/>
      </w:r>
      <w:r w:rsidR="00CE5B29" w:rsidRPr="00BC31E0">
        <w:rPr>
          <w:rFonts w:hint="eastAsia"/>
        </w:rPr>
        <w:t>：</w:t>
      </w:r>
      <w:r w:rsidR="00D24656" w:rsidRPr="00BC31E0">
        <w:rPr>
          <w:rFonts w:hint="eastAsia"/>
        </w:rPr>
        <w:t xml:space="preserve"> </w:t>
      </w:r>
      <w:r w:rsidR="00CE5B29" w:rsidRPr="00BC31E0">
        <w:rPr>
          <w:rFonts w:hint="eastAsia"/>
        </w:rPr>
        <w:t>亀裂の最深点における疲労亀裂進展速度</w:t>
      </w:r>
      <w:r w:rsidR="00CE5B29" w:rsidRPr="00BC31E0">
        <w:rPr>
          <w:rFonts w:hint="eastAsia"/>
        </w:rPr>
        <w:t>(</w:t>
      </w:r>
      <m:oMath>
        <m:f>
          <m:fPr>
            <m:type m:val="lin"/>
            <m:ctrlPr>
              <w:rPr>
                <w:rFonts w:ascii="Cambria Math" w:hAnsi="Cambria Math"/>
              </w:rPr>
            </m:ctrlPr>
          </m:fPr>
          <m:num>
            <m:r>
              <m:rPr>
                <m:sty m:val="p"/>
              </m:rPr>
              <w:rPr>
                <w:rFonts w:ascii="Cambria Math" w:hAnsi="Cambria Math"/>
              </w:rPr>
              <m:t>mm</m:t>
            </m:r>
          </m:num>
          <m:den>
            <m:r>
              <m:rPr>
                <m:sty m:val="p"/>
              </m:rPr>
              <w:rPr>
                <w:rFonts w:ascii="Cambria Math" w:hAnsi="Cambria Math"/>
              </w:rPr>
              <m:t>cycle</m:t>
            </m:r>
          </m:den>
        </m:f>
      </m:oMath>
      <w:r w:rsidR="00CE5B29" w:rsidRPr="00BC31E0">
        <w:rPr>
          <w:rFonts w:hint="eastAsia"/>
        </w:rPr>
        <w:t>)</w:t>
      </w:r>
    </w:p>
    <w:p w14:paraId="5E2EA1D8" w14:textId="77777777" w:rsidR="00CE5B29" w:rsidRPr="00BC31E0" w:rsidRDefault="00A51873" w:rsidP="004D2CDC">
      <w:pPr>
        <w:pStyle w:val="1110"/>
        <w:tabs>
          <w:tab w:val="left" w:pos="993"/>
        </w:tabs>
        <w:ind w:firstLine="210"/>
      </w:pPr>
      <m:oMath>
        <m:f>
          <m:fPr>
            <m:type m:val="lin"/>
            <m:ctrlPr>
              <w:rPr>
                <w:rFonts w:ascii="Cambria Math" w:hAnsi="Cambria Math"/>
                <w:bCs/>
                <w:i/>
              </w:rPr>
            </m:ctrlPr>
          </m:fPr>
          <m:num>
            <m:r>
              <w:rPr>
                <w:rFonts w:ascii="Cambria Math" w:hAnsi="Cambria Math"/>
              </w:rPr>
              <m:t>dl</m:t>
            </m:r>
          </m:num>
          <m:den>
            <m:r>
              <w:rPr>
                <w:rFonts w:ascii="Cambria Math" w:hAnsi="Cambria Math"/>
              </w:rPr>
              <m:t>dN</m:t>
            </m:r>
          </m:den>
        </m:f>
      </m:oMath>
      <w:r w:rsidR="00D24656" w:rsidRPr="00BC31E0">
        <w:rPr>
          <w:rFonts w:hint="eastAsia"/>
          <w:bCs/>
        </w:rPr>
        <w:tab/>
      </w:r>
      <w:r w:rsidR="00CE5B29" w:rsidRPr="00BC31E0">
        <w:rPr>
          <w:rFonts w:hint="eastAsia"/>
        </w:rPr>
        <w:t>：</w:t>
      </w:r>
      <w:r w:rsidR="00D24656" w:rsidRPr="00BC31E0">
        <w:rPr>
          <w:rFonts w:hint="eastAsia"/>
        </w:rPr>
        <w:t xml:space="preserve"> </w:t>
      </w:r>
      <w:r w:rsidR="00CE5B29" w:rsidRPr="00BC31E0">
        <w:rPr>
          <w:rFonts w:hint="eastAsia"/>
        </w:rPr>
        <w:t>亀裂の表面点における疲労亀裂進展速度</w:t>
      </w:r>
      <w:r w:rsidR="00CE5B29" w:rsidRPr="00BC31E0">
        <w:rPr>
          <w:rFonts w:hint="eastAsia"/>
        </w:rPr>
        <w:t>(</w:t>
      </w:r>
      <m:oMath>
        <m:f>
          <m:fPr>
            <m:type m:val="lin"/>
            <m:ctrlPr>
              <w:rPr>
                <w:rFonts w:ascii="Cambria Math" w:hAnsi="Cambria Math"/>
              </w:rPr>
            </m:ctrlPr>
          </m:fPr>
          <m:num>
            <m:r>
              <m:rPr>
                <m:sty m:val="p"/>
              </m:rPr>
              <w:rPr>
                <w:rFonts w:ascii="Cambria Math" w:hAnsi="Cambria Math"/>
              </w:rPr>
              <m:t>mm</m:t>
            </m:r>
          </m:num>
          <m:den>
            <m:r>
              <m:rPr>
                <m:sty m:val="p"/>
              </m:rPr>
              <w:rPr>
                <w:rFonts w:ascii="Cambria Math" w:hAnsi="Cambria Math"/>
              </w:rPr>
              <m:t>cycle</m:t>
            </m:r>
          </m:den>
        </m:f>
      </m:oMath>
      <w:r w:rsidR="00CE5B29" w:rsidRPr="00BC31E0">
        <w:rPr>
          <w:rFonts w:hint="eastAsia"/>
        </w:rPr>
        <w:t>)</w:t>
      </w:r>
    </w:p>
    <w:p w14:paraId="3E03BA54" w14:textId="77777777" w:rsidR="00CE5B29" w:rsidRPr="00BC31E0" w:rsidRDefault="00CE5B29" w:rsidP="004D2CDC">
      <w:pPr>
        <w:pStyle w:val="1110"/>
        <w:tabs>
          <w:tab w:val="left" w:pos="993"/>
        </w:tabs>
        <w:ind w:firstLine="210"/>
      </w:pPr>
      <m:oMath>
        <m:r>
          <w:rPr>
            <w:rFonts w:ascii="Cambria Math" w:hAnsi="Cambria Math"/>
          </w:rPr>
          <m:t>∆</m:t>
        </m:r>
        <m:sSub>
          <m:sSubPr>
            <m:ctrlPr>
              <w:rPr>
                <w:rFonts w:ascii="Cambria Math" w:hAnsi="Cambria Math"/>
                <w:i/>
              </w:rPr>
            </m:ctrlPr>
          </m:sSubPr>
          <m:e>
            <m:r>
              <w:rPr>
                <w:rFonts w:ascii="Cambria Math" w:hAnsi="Cambria Math"/>
              </w:rPr>
              <m:t>K</m:t>
            </m:r>
          </m:e>
          <m:sub>
            <m:r>
              <m:rPr>
                <m:sty m:val="p"/>
              </m:rPr>
              <w:rPr>
                <w:rFonts w:ascii="Cambria Math" w:hAnsi="Cambria Math"/>
              </w:rPr>
              <m:t>I</m:t>
            </m:r>
          </m:sub>
        </m:sSub>
      </m:oMath>
      <w:r w:rsidRPr="00BC31E0">
        <w:rPr>
          <w:rFonts w:hint="eastAsia"/>
        </w:rPr>
        <w:tab/>
      </w:r>
      <w:r w:rsidRPr="00BC31E0">
        <w:rPr>
          <w:rFonts w:hint="eastAsia"/>
        </w:rPr>
        <w:t>：</w:t>
      </w:r>
      <w:r w:rsidR="00D24656" w:rsidRPr="00BC31E0">
        <w:rPr>
          <w:rFonts w:hint="eastAsia"/>
        </w:rPr>
        <w:t xml:space="preserve"> </w:t>
      </w:r>
      <w:r w:rsidRPr="00BC31E0">
        <w:rPr>
          <w:rFonts w:hint="eastAsia"/>
        </w:rPr>
        <w:t>応力拡大係数範囲</w:t>
      </w:r>
      <w:r w:rsidRPr="00BC31E0">
        <w:rPr>
          <w:rFonts w:hint="eastAsia"/>
        </w:rPr>
        <w:t>(</w:t>
      </w:r>
      <m:oMath>
        <m:r>
          <m:rPr>
            <m:nor/>
          </m:rPr>
          <w:rPr>
            <w:rFonts w:ascii="Cambria Math" w:hAnsi="Cambria Math"/>
          </w:rPr>
          <m:t>MPa</m:t>
        </m:r>
        <m:rad>
          <m:radPr>
            <m:degHide m:val="1"/>
            <m:ctrlPr>
              <w:rPr>
                <w:rFonts w:ascii="Cambria Math" w:hAnsi="Cambria Math"/>
              </w:rPr>
            </m:ctrlPr>
          </m:radPr>
          <m:deg/>
          <m:e>
            <m:r>
              <m:rPr>
                <m:nor/>
              </m:rPr>
              <w:rPr>
                <w:rFonts w:ascii="Cambria Math" w:hAnsi="Cambria Math"/>
              </w:rPr>
              <m:t>m</m:t>
            </m:r>
          </m:e>
        </m:rad>
      </m:oMath>
      <w:r w:rsidRPr="00BC31E0">
        <w:rPr>
          <w:rFonts w:hint="eastAsia"/>
        </w:rPr>
        <w:t>)</w:t>
      </w:r>
    </w:p>
    <w:p w14:paraId="301000B5" w14:textId="77777777" w:rsidR="00CE5B29" w:rsidRPr="00BC31E0" w:rsidRDefault="00CE5B29" w:rsidP="004D2CDC">
      <w:pPr>
        <w:pStyle w:val="1110"/>
        <w:tabs>
          <w:tab w:val="left" w:pos="993"/>
        </w:tabs>
        <w:ind w:firstLine="210"/>
      </w:pPr>
      <m:oMath>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th</m:t>
            </m:r>
          </m:sub>
        </m:sSub>
      </m:oMath>
      <w:r w:rsidRPr="00BC31E0">
        <w:rPr>
          <w:rFonts w:hint="eastAsia"/>
        </w:rPr>
        <w:tab/>
      </w:r>
      <w:r w:rsidRPr="00BC31E0">
        <w:rPr>
          <w:rFonts w:hint="eastAsia"/>
        </w:rPr>
        <w:t>：</w:t>
      </w:r>
      <w:r w:rsidR="00D24656" w:rsidRPr="00BC31E0">
        <w:rPr>
          <w:rFonts w:hint="eastAsia"/>
        </w:rPr>
        <w:t xml:space="preserve"> </w:t>
      </w:r>
      <w:r w:rsidRPr="00BC31E0">
        <w:rPr>
          <w:rFonts w:hint="eastAsia"/>
        </w:rPr>
        <w:t>疲労亀裂進展の下限界値</w:t>
      </w:r>
      <w:r w:rsidRPr="00BC31E0">
        <w:rPr>
          <w:rFonts w:hint="eastAsia"/>
        </w:rPr>
        <w:t>(</w:t>
      </w:r>
      <m:oMath>
        <m:r>
          <m:rPr>
            <m:nor/>
          </m:rPr>
          <w:rPr>
            <w:rFonts w:ascii="Cambria Math" w:hAnsi="Cambria Math"/>
          </w:rPr>
          <m:t>MPa</m:t>
        </m:r>
        <m:rad>
          <m:radPr>
            <m:degHide m:val="1"/>
            <m:ctrlPr>
              <w:rPr>
                <w:rFonts w:ascii="Cambria Math" w:hAnsi="Cambria Math"/>
              </w:rPr>
            </m:ctrlPr>
          </m:radPr>
          <m:deg/>
          <m:e>
            <m:r>
              <m:rPr>
                <m:nor/>
              </m:rPr>
              <w:rPr>
                <w:rFonts w:ascii="Cambria Math" w:hAnsi="Cambria Math"/>
              </w:rPr>
              <m:t>m</m:t>
            </m:r>
          </m:e>
        </m:rad>
      </m:oMath>
      <w:r w:rsidRPr="00BC31E0">
        <w:rPr>
          <w:rFonts w:hint="eastAsia"/>
        </w:rPr>
        <w:t>)</w:t>
      </w:r>
    </w:p>
    <w:p w14:paraId="70F7F193" w14:textId="77777777" w:rsidR="00CE5B29" w:rsidRPr="00BC31E0" w:rsidRDefault="00A51873" w:rsidP="004D2CDC">
      <w:pPr>
        <w:pStyle w:val="1110"/>
        <w:tabs>
          <w:tab w:val="left" w:pos="993"/>
        </w:tabs>
        <w:ind w:firstLine="210"/>
      </w:pPr>
      <m:oMath>
        <m:sSub>
          <m:sSubPr>
            <m:ctrlPr>
              <w:rPr>
                <w:rFonts w:ascii="Cambria Math" w:hAnsi="Cambria Math"/>
                <w:i/>
              </w:rPr>
            </m:ctrlPr>
          </m:sSubPr>
          <m:e>
            <m:r>
              <w:rPr>
                <w:rFonts w:ascii="Cambria Math" w:hAnsi="Cambria Math"/>
              </w:rPr>
              <m:t>R</m:t>
            </m:r>
          </m:e>
          <m:sub>
            <m:r>
              <w:rPr>
                <w:rFonts w:ascii="Cambria Math" w:hAnsi="Cambria Math"/>
              </w:rPr>
              <m:t>K</m:t>
            </m:r>
          </m:sub>
        </m:sSub>
      </m:oMath>
      <w:r w:rsidR="00CE5B29" w:rsidRPr="00BC31E0">
        <w:rPr>
          <w:rFonts w:hint="eastAsia"/>
        </w:rPr>
        <w:tab/>
      </w:r>
      <w:r w:rsidR="00CE5B29" w:rsidRPr="00BC31E0">
        <w:rPr>
          <w:rFonts w:hint="eastAsia"/>
        </w:rPr>
        <w:t>：</w:t>
      </w:r>
      <w:r w:rsidR="00D24656" w:rsidRPr="00BC31E0">
        <w:rPr>
          <w:rFonts w:hint="eastAsia"/>
        </w:rPr>
        <w:t xml:space="preserve"> </w:t>
      </w:r>
      <w:r w:rsidR="00CE5B29" w:rsidRPr="00BC31E0">
        <w:rPr>
          <w:rFonts w:hint="eastAsia"/>
        </w:rPr>
        <w:t>応力拡大係数比</w:t>
      </w:r>
    </w:p>
    <w:p w14:paraId="72FB7BBA" w14:textId="77777777" w:rsidR="00CE5B29" w:rsidRPr="00BC31E0" w:rsidRDefault="00CE5B29" w:rsidP="00E60EFE">
      <w:pPr>
        <w:pStyle w:val="3"/>
        <w:tabs>
          <w:tab w:val="clear" w:pos="284"/>
        </w:tabs>
        <w:ind w:left="794" w:hanging="794"/>
      </w:pPr>
      <w:r w:rsidRPr="00BC31E0">
        <w:rPr>
          <w:rFonts w:hint="eastAsia"/>
        </w:rPr>
        <w:t>適用範囲</w:t>
      </w:r>
    </w:p>
    <w:p w14:paraId="34C67AFE" w14:textId="77777777" w:rsidR="00CE5B29" w:rsidRPr="00BC31E0" w:rsidRDefault="00CE5B29" w:rsidP="004D2CDC">
      <w:pPr>
        <w:pStyle w:val="1110"/>
        <w:ind w:firstLine="210"/>
      </w:pPr>
      <w:r w:rsidRPr="00BC31E0">
        <w:rPr>
          <w:rFonts w:hint="eastAsia"/>
        </w:rPr>
        <w:t>破壊力学に基づく設計手法について規定する。容器が破裂前漏洩するような破壊モードとなることが明らかな場合には，</w:t>
      </w:r>
      <w:r w:rsidRPr="00BC31E0">
        <w:rPr>
          <w:rFonts w:ascii="ＭＳ ゴシック" w:eastAsia="ＭＳ ゴシック" w:hAnsi="ＭＳ ゴシック" w:hint="eastAsia"/>
          <w:b/>
        </w:rPr>
        <w:t>6.1.13</w:t>
      </w:r>
      <w:r w:rsidRPr="00BC31E0">
        <w:rPr>
          <w:rFonts w:hint="eastAsia"/>
        </w:rPr>
        <w:t>に従って，</w:t>
      </w:r>
      <w:r w:rsidRPr="00BC31E0">
        <w:rPr>
          <w:rFonts w:ascii="ＭＳ ゴシック" w:eastAsia="ＭＳ ゴシック" w:hAnsi="ＭＳ ゴシック" w:hint="eastAsia"/>
          <w:b/>
        </w:rPr>
        <w:t>6.3</w:t>
      </w:r>
      <w:r w:rsidRPr="00BC31E0">
        <w:rPr>
          <w:rFonts w:hint="eastAsia"/>
        </w:rPr>
        <w:t>又は</w:t>
      </w:r>
      <w:r w:rsidRPr="00BC31E0">
        <w:rPr>
          <w:rFonts w:asciiTheme="majorEastAsia" w:eastAsiaTheme="majorEastAsia" w:hAnsiTheme="majorEastAsia" w:hint="eastAsia"/>
          <w:b/>
        </w:rPr>
        <w:t>6.4</w:t>
      </w:r>
      <w:r w:rsidRPr="00BC31E0">
        <w:rPr>
          <w:rFonts w:asciiTheme="minorEastAsia" w:eastAsiaTheme="minorEastAsia" w:hAnsiTheme="minorEastAsia" w:hint="eastAsia"/>
        </w:rPr>
        <w:t>を</w:t>
      </w:r>
      <w:r w:rsidRPr="00BC31E0">
        <w:rPr>
          <w:rFonts w:hint="eastAsia"/>
        </w:rPr>
        <w:t>適用することによって設計許容繰返し回数を求める。破裂前漏洩が証明できない場合には，設計許容繰返し回数は</w:t>
      </w:r>
      <w:r w:rsidRPr="00BC31E0">
        <w:rPr>
          <w:rFonts w:asciiTheme="majorEastAsia" w:eastAsiaTheme="majorEastAsia" w:hAnsiTheme="majorEastAsia" w:hint="eastAsia"/>
          <w:b/>
        </w:rPr>
        <w:t>6.4</w:t>
      </w:r>
      <w:r w:rsidRPr="00BC31E0">
        <w:rPr>
          <w:rFonts w:hint="eastAsia"/>
        </w:rPr>
        <w:t>によって求める。</w:t>
      </w:r>
    </w:p>
    <w:p w14:paraId="3D6935D2" w14:textId="77777777" w:rsidR="00CE5B29" w:rsidRPr="00BC31E0" w:rsidRDefault="00CE5B29" w:rsidP="00E60EFE">
      <w:pPr>
        <w:pStyle w:val="3"/>
        <w:tabs>
          <w:tab w:val="clear" w:pos="284"/>
        </w:tabs>
        <w:ind w:left="794" w:hanging="794"/>
      </w:pPr>
      <w:r w:rsidRPr="00BC31E0">
        <w:rPr>
          <w:rFonts w:hint="eastAsia"/>
        </w:rPr>
        <w:t>一般要求</w:t>
      </w:r>
    </w:p>
    <w:p w14:paraId="08428113" w14:textId="77777777" w:rsidR="00CE5B29" w:rsidRPr="00BC31E0" w:rsidRDefault="00CE5B29" w:rsidP="004D2CDC">
      <w:pPr>
        <w:pStyle w:val="1110"/>
        <w:ind w:firstLine="210"/>
      </w:pPr>
      <w:r w:rsidRPr="00BC31E0">
        <w:rPr>
          <w:rFonts w:hint="eastAsia"/>
        </w:rPr>
        <w:t>一般要求は，次の</w:t>
      </w:r>
      <w:r w:rsidRPr="00BC31E0">
        <w:rPr>
          <w:rFonts w:ascii="ＭＳ ゴシック" w:eastAsia="ＭＳ ゴシック" w:hint="eastAsia"/>
          <w:b/>
        </w:rPr>
        <w:t>a)</w:t>
      </w:r>
      <w:r w:rsidRPr="00BC31E0">
        <w:rPr>
          <w:rFonts w:hint="eastAsia"/>
        </w:rPr>
        <w:t>～</w:t>
      </w:r>
      <w:r w:rsidRPr="00BC31E0">
        <w:rPr>
          <w:rFonts w:ascii="ＭＳ ゴシック" w:eastAsia="ＭＳ ゴシック" w:hint="eastAsia"/>
          <w:b/>
        </w:rPr>
        <w:t>d)</w:t>
      </w:r>
      <w:r w:rsidRPr="00BC31E0">
        <w:rPr>
          <w:rFonts w:hint="eastAsia"/>
        </w:rPr>
        <w:t>による。</w:t>
      </w:r>
    </w:p>
    <w:p w14:paraId="7A5E69D3" w14:textId="77777777" w:rsidR="004D2CDC" w:rsidRPr="00BC31E0" w:rsidRDefault="00CE5B29" w:rsidP="00736130">
      <w:pPr>
        <w:pStyle w:val="a4"/>
        <w:numPr>
          <w:ilvl w:val="0"/>
          <w:numId w:val="255"/>
        </w:numPr>
        <w:ind w:leftChars="0" w:left="454" w:hanging="454"/>
      </w:pPr>
      <w:r w:rsidRPr="00BC31E0">
        <w:rPr>
          <w:rFonts w:hint="eastAsia"/>
        </w:rPr>
        <w:t>先端の曲率半径が鋭く，深さと長さで特徴付けられるきずを亀裂と定義し，亀裂は圧力容器の高応力領域に存在すると想定する。線形破壊力学を用いて，限界亀裂深さ又は最大許容深さまで亀裂が進展するのに要する設計許容繰返し回数を求める。線形破壊力学に基づく具体的な計算手順については，</w:t>
      </w:r>
      <w:r w:rsidRPr="00BC31E0">
        <w:rPr>
          <w:rFonts w:asciiTheme="majorEastAsia" w:eastAsiaTheme="majorEastAsia" w:hAnsiTheme="majorEastAsia" w:hint="eastAsia"/>
          <w:b/>
        </w:rPr>
        <w:t>附属書 C</w:t>
      </w:r>
      <w:r w:rsidRPr="00BC31E0">
        <w:rPr>
          <w:rFonts w:hint="eastAsia"/>
        </w:rPr>
        <w:t>を参照する。</w:t>
      </w:r>
    </w:p>
    <w:p w14:paraId="130EBF23" w14:textId="77777777" w:rsidR="00307BC2" w:rsidRPr="00BC31E0" w:rsidRDefault="00CE5B29" w:rsidP="00736130">
      <w:pPr>
        <w:pStyle w:val="a4"/>
        <w:numPr>
          <w:ilvl w:val="0"/>
          <w:numId w:val="255"/>
        </w:numPr>
        <w:ind w:leftChars="0" w:left="454" w:hanging="454"/>
      </w:pPr>
      <w:r w:rsidRPr="00BC31E0">
        <w:rPr>
          <w:rFonts w:hint="eastAsia"/>
        </w:rPr>
        <w:t>溶接，熱処理，成形，自緊，焼ばめ，線巻きでは，製作施工にともない残留応力が生じるため，繰返し負荷を受けて亀裂が進展する時はこのような残留応力が存在する領域を進展する。設計許容繰返し回数を求める際に，残留応力を考慮する方法は</w:t>
      </w:r>
      <w:r w:rsidRPr="00BC31E0">
        <w:rPr>
          <w:rFonts w:asciiTheme="majorEastAsia" w:hAnsiTheme="majorEastAsia" w:hint="eastAsia"/>
          <w:b/>
          <w:bCs/>
        </w:rPr>
        <w:t>6.4.5</w:t>
      </w:r>
      <w:r w:rsidRPr="00BC31E0">
        <w:rPr>
          <w:rFonts w:hint="eastAsia"/>
        </w:rPr>
        <w:t>で与えられる。</w:t>
      </w:r>
    </w:p>
    <w:p w14:paraId="37C76261" w14:textId="77777777" w:rsidR="00307BC2" w:rsidRPr="00BC31E0" w:rsidRDefault="00CE5B29" w:rsidP="00736130">
      <w:pPr>
        <w:pStyle w:val="a4"/>
        <w:numPr>
          <w:ilvl w:val="0"/>
          <w:numId w:val="255"/>
        </w:numPr>
        <w:ind w:leftChars="0" w:left="454" w:hanging="454"/>
      </w:pPr>
      <w:r w:rsidRPr="00BC31E0">
        <w:rPr>
          <w:rFonts w:hint="eastAsia"/>
        </w:rPr>
        <w:t>与えられた荷重条件に対する限界亀裂深さは，亀裂の応力拡大係数が平面ひずみ破壊靭性値</w:t>
      </w:r>
      <m:oMath>
        <m:sSub>
          <m:sSubPr>
            <m:ctrlPr>
              <w:rPr>
                <w:rFonts w:ascii="Cambria Math" w:hAnsi="Cambria Math"/>
              </w:rPr>
            </m:ctrlPr>
          </m:sSubPr>
          <m:e>
            <m:r>
              <m:rPr>
                <m:sty m:val="p"/>
              </m:rPr>
              <w:rPr>
                <w:rFonts w:ascii="Cambria Math" w:hAnsi="Cambria Math"/>
              </w:rPr>
              <m:t xml:space="preserve"> </m:t>
            </m:r>
            <m:r>
              <w:rPr>
                <w:rFonts w:ascii="Cambria Math" w:hAnsi="Cambria Math" w:hint="eastAsia"/>
              </w:rPr>
              <m:t>K</m:t>
            </m:r>
          </m:e>
          <m:sub>
            <m:r>
              <m:rPr>
                <m:sty m:val="p"/>
              </m:rPr>
              <w:rPr>
                <w:rFonts w:ascii="Cambria Math" w:hAnsi="Cambria Math" w:hint="eastAsia"/>
              </w:rPr>
              <m:t>I</m:t>
            </m:r>
            <m:r>
              <w:rPr>
                <w:rFonts w:ascii="Cambria Math" w:hAnsi="Cambria Math" w:hint="eastAsia"/>
              </w:rPr>
              <m:t>C</m:t>
            </m:r>
          </m:sub>
        </m:sSub>
        <m:r>
          <m:rPr>
            <m:sty m:val="p"/>
          </m:rPr>
          <w:rPr>
            <w:rFonts w:ascii="Cambria Math" w:hAnsi="Cambria Math"/>
          </w:rPr>
          <m:t xml:space="preserve"> </m:t>
        </m:r>
      </m:oMath>
      <w:r w:rsidRPr="00BC31E0">
        <w:rPr>
          <w:rFonts w:hint="eastAsia"/>
        </w:rPr>
        <w:t>に等しくなる亀裂深さで与えられる。限</w:t>
      </w:r>
      <w:r w:rsidR="003B5C5E" w:rsidRPr="00BC31E0">
        <w:rPr>
          <w:rFonts w:hint="eastAsia"/>
        </w:rPr>
        <w:t>界亀裂深さは，考えられる荷重条件の中で，最も過酷な荷重条件の組合</w:t>
      </w:r>
      <w:r w:rsidRPr="00BC31E0">
        <w:rPr>
          <w:rFonts w:hint="eastAsia"/>
        </w:rPr>
        <w:t>せに対して</w:t>
      </w:r>
      <w:r w:rsidRPr="00BC31E0">
        <w:rPr>
          <w:rFonts w:asciiTheme="majorEastAsia" w:eastAsiaTheme="majorEastAsia" w:hAnsiTheme="majorEastAsia" w:hint="eastAsia"/>
          <w:b/>
          <w:bCs/>
        </w:rPr>
        <w:t>附属書C</w:t>
      </w:r>
      <w:r w:rsidRPr="00BC31E0">
        <w:rPr>
          <w:rFonts w:ascii="ＭＳ 明朝" w:hAnsi="ＭＳ 明朝" w:hint="eastAsia"/>
        </w:rPr>
        <w:t>により</w:t>
      </w:r>
      <w:r w:rsidRPr="00BC31E0">
        <w:rPr>
          <w:rFonts w:hint="eastAsia"/>
        </w:rPr>
        <w:t>計算する。限界亀裂深さを計算する時は，応力拡大係数の計算に適切な塑性域補正を行う。この補正の方法は，</w:t>
      </w:r>
      <w:r w:rsidRPr="00BC31E0">
        <w:rPr>
          <w:rFonts w:asciiTheme="majorEastAsia" w:eastAsiaTheme="majorEastAsia" w:hAnsiTheme="majorEastAsia" w:hint="eastAsia"/>
          <w:b/>
          <w:bCs/>
        </w:rPr>
        <w:t>附属書 C</w:t>
      </w:r>
      <w:r w:rsidRPr="00BC31E0">
        <w:rPr>
          <w:rFonts w:hint="eastAsia"/>
        </w:rPr>
        <w:t>にいくつかの亀裂形状に対して与えられている。なお，限界亀裂深さは，</w:t>
      </w:r>
      <w:r w:rsidRPr="00BC31E0">
        <w:rPr>
          <w:rFonts w:asciiTheme="majorEastAsia" w:eastAsiaTheme="majorEastAsia" w:hAnsiTheme="majorEastAsia" w:hint="eastAsia"/>
          <w:b/>
          <w:bCs/>
        </w:rPr>
        <w:t>附属書 C</w:t>
      </w:r>
      <w:r w:rsidRPr="00BC31E0">
        <w:rPr>
          <w:rFonts w:hint="eastAsia"/>
        </w:rPr>
        <w:t>に代わり，最も過酷な荷重条件の組合せに対して</w:t>
      </w:r>
      <w:r w:rsidRPr="00BC31E0">
        <w:rPr>
          <w:rFonts w:asciiTheme="majorEastAsia" w:eastAsiaTheme="majorEastAsia" w:hAnsiTheme="majorEastAsia" w:hint="eastAsia"/>
          <w:b/>
          <w:bCs/>
        </w:rPr>
        <w:t>API 579-1/ASME FFS-1</w:t>
      </w:r>
      <w:r w:rsidRPr="00BC31E0">
        <w:rPr>
          <w:rFonts w:hint="eastAsia"/>
        </w:rPr>
        <w:t>の破壊評価線図</w:t>
      </w:r>
      <w:r w:rsidRPr="00BC31E0">
        <w:rPr>
          <w:rFonts w:hint="eastAsia"/>
        </w:rPr>
        <w:t>(Failure Assessment Diagram)</w:t>
      </w:r>
      <w:r w:rsidRPr="00BC31E0">
        <w:rPr>
          <w:rFonts w:hint="eastAsia"/>
        </w:rPr>
        <w:t>を用いて求めてもよい。限界亀裂深さが容器の厚さより小さくなるような</w:t>
      </w:r>
      <w:r w:rsidR="00250139" w:rsidRPr="00BC31E0">
        <w:rPr>
          <w:rFonts w:hint="eastAsia"/>
        </w:rPr>
        <w:t>場合</w:t>
      </w:r>
      <w:r w:rsidRPr="00BC31E0">
        <w:rPr>
          <w:rFonts w:hint="eastAsia"/>
        </w:rPr>
        <w:t>には，破裂前漏洩として</w:t>
      </w:r>
      <w:r w:rsidR="007936BE" w:rsidRPr="00BC31E0">
        <w:rPr>
          <w:rFonts w:hint="eastAsia"/>
        </w:rPr>
        <w:t>取扱わない</w:t>
      </w:r>
      <w:r w:rsidRPr="00BC31E0">
        <w:rPr>
          <w:rFonts w:hint="eastAsia"/>
        </w:rPr>
        <w:t>。なお，</w:t>
      </w:r>
      <w:r w:rsidRPr="00BC31E0">
        <w:rPr>
          <w:rFonts w:asciiTheme="majorEastAsia" w:eastAsiaTheme="majorEastAsia" w:hAnsiTheme="majorEastAsia" w:hint="eastAsia"/>
          <w:b/>
          <w:bCs/>
        </w:rPr>
        <w:t>6.1.14</w:t>
      </w:r>
      <w:r w:rsidRPr="00BC31E0">
        <w:rPr>
          <w:rFonts w:hint="eastAsia"/>
        </w:rPr>
        <w:t>を参照する。</w:t>
      </w:r>
    </w:p>
    <w:p w14:paraId="7715F3B5" w14:textId="77777777" w:rsidR="00CE5B29" w:rsidRPr="00BC31E0" w:rsidRDefault="00CE5B29" w:rsidP="00736130">
      <w:pPr>
        <w:pStyle w:val="a4"/>
        <w:numPr>
          <w:ilvl w:val="0"/>
          <w:numId w:val="255"/>
        </w:numPr>
        <w:ind w:leftChars="0" w:left="454" w:hanging="454"/>
      </w:pPr>
      <w:r w:rsidRPr="00BC31E0">
        <w:rPr>
          <w:rFonts w:asciiTheme="majorEastAsia" w:eastAsiaTheme="majorEastAsia" w:hAnsiTheme="majorEastAsia" w:hint="eastAsia"/>
          <w:b/>
          <w:bCs/>
        </w:rPr>
        <w:t>表5.4.1</w:t>
      </w:r>
      <w:r w:rsidRPr="00BC31E0">
        <w:rPr>
          <w:rFonts w:ascii="ＭＳ 明朝" w:hAnsi="ＭＳ 明朝" w:hint="eastAsia"/>
        </w:rPr>
        <w:t>に示すアルミニウム合金の平面ひずみ破壊靭性値</w:t>
      </w:r>
      <m:oMath>
        <m:sSub>
          <m:sSubPr>
            <m:ctrlPr>
              <w:rPr>
                <w:rFonts w:ascii="Cambria Math" w:hAnsi="Cambria Math"/>
              </w:rPr>
            </m:ctrlPr>
          </m:sSubPr>
          <m:e>
            <m:r>
              <m:rPr>
                <m:sty m:val="p"/>
              </m:rPr>
              <w:rPr>
                <w:rFonts w:ascii="Cambria Math" w:hAnsi="Cambria Math"/>
              </w:rPr>
              <m:t xml:space="preserve"> </m:t>
            </m:r>
            <m:r>
              <w:rPr>
                <w:rFonts w:ascii="Cambria Math" w:hAnsi="Cambria Math"/>
              </w:rPr>
              <m:t>K</m:t>
            </m:r>
          </m:e>
          <m:sub>
            <m:r>
              <m:rPr>
                <m:sty m:val="p"/>
              </m:rPr>
              <w:rPr>
                <w:rFonts w:ascii="Cambria Math" w:hAnsi="Cambria Math"/>
              </w:rPr>
              <m:t>I</m:t>
            </m:r>
            <m:r>
              <w:rPr>
                <w:rFonts w:ascii="Cambria Math" w:hAnsi="Cambria Math"/>
              </w:rPr>
              <m:t>C</m:t>
            </m:r>
          </m:sub>
        </m:sSub>
        <m:r>
          <m:rPr>
            <m:sty m:val="p"/>
          </m:rPr>
          <w:rPr>
            <w:rFonts w:ascii="Cambria Math" w:hAnsi="Cambria Math"/>
          </w:rPr>
          <m:t xml:space="preserve"> </m:t>
        </m:r>
      </m:oMath>
      <w:r w:rsidRPr="00BC31E0">
        <w:rPr>
          <w:rFonts w:ascii="ＭＳ 明朝" w:hAnsi="ＭＳ 明朝" w:hint="eastAsia"/>
        </w:rPr>
        <w:t>は，</w:t>
      </w:r>
      <m:oMath>
        <m:r>
          <m:rPr>
            <m:sty m:val="p"/>
          </m:rPr>
          <w:rPr>
            <w:rFonts w:ascii="Cambria Math" w:hAnsi="Cambria Math"/>
          </w:rPr>
          <m:t>25 MPa</m:t>
        </m:r>
        <m:rad>
          <m:radPr>
            <m:degHide m:val="1"/>
            <m:ctrlPr>
              <w:rPr>
                <w:rFonts w:ascii="Cambria Math" w:hAnsi="Cambria Math"/>
              </w:rPr>
            </m:ctrlPr>
          </m:radPr>
          <m:deg/>
          <m:e>
            <m:r>
              <m:rPr>
                <m:sty m:val="p"/>
              </m:rPr>
              <w:rPr>
                <w:rFonts w:ascii="Cambria Math" w:hAnsi="Cambria Math"/>
              </w:rPr>
              <m:t>m</m:t>
            </m:r>
          </m:e>
        </m:rad>
        <m:r>
          <m:rPr>
            <m:sty m:val="p"/>
          </m:rPr>
          <w:rPr>
            <w:rFonts w:ascii="Cambria Math" w:hAnsi="Cambria Math"/>
          </w:rPr>
          <m:t xml:space="preserve"> </m:t>
        </m:r>
      </m:oMath>
      <w:r w:rsidRPr="00BC31E0">
        <w:rPr>
          <w:rFonts w:hint="eastAsia"/>
        </w:rPr>
        <w:t>とする。ただし，破壊靭性試験を行えば，その値を用い</w:t>
      </w:r>
      <w:r w:rsidR="00967DD8" w:rsidRPr="00BC31E0">
        <w:rPr>
          <w:rFonts w:hint="eastAsia"/>
        </w:rPr>
        <w:t>てもよい</w:t>
      </w:r>
      <w:r w:rsidRPr="00BC31E0">
        <w:rPr>
          <w:rFonts w:hint="eastAsia"/>
        </w:rPr>
        <w:t>。</w:t>
      </w:r>
    </w:p>
    <w:p w14:paraId="20336A1B" w14:textId="77777777" w:rsidR="00CE5B29" w:rsidRPr="00BC31E0" w:rsidRDefault="00CE5B29" w:rsidP="00E60EFE">
      <w:pPr>
        <w:pStyle w:val="3"/>
        <w:tabs>
          <w:tab w:val="clear" w:pos="284"/>
        </w:tabs>
        <w:ind w:left="794" w:hanging="794"/>
      </w:pPr>
      <w:r w:rsidRPr="00BC31E0">
        <w:rPr>
          <w:rFonts w:hint="eastAsia"/>
        </w:rPr>
        <w:t>亀裂寸法の評価基準</w:t>
      </w:r>
    </w:p>
    <w:p w14:paraId="6F7A5151" w14:textId="77777777" w:rsidR="00CE5B29" w:rsidRPr="00BC31E0" w:rsidRDefault="00CE5B29" w:rsidP="00B53812">
      <w:pPr>
        <w:pStyle w:val="1110"/>
        <w:ind w:firstLine="210"/>
      </w:pPr>
      <w:r w:rsidRPr="00BC31E0">
        <w:rPr>
          <w:rFonts w:hint="eastAsia"/>
        </w:rPr>
        <w:t>亀裂寸法の評価基準は，次の</w:t>
      </w:r>
      <w:r w:rsidRPr="00BC31E0">
        <w:rPr>
          <w:rFonts w:ascii="ＭＳ ゴシック" w:eastAsia="ＭＳ ゴシック" w:hAnsi="ＭＳ ゴシック" w:hint="eastAsia"/>
          <w:b/>
        </w:rPr>
        <w:t>a)</w:t>
      </w:r>
      <w:r w:rsidRPr="00BC31E0">
        <w:rPr>
          <w:rFonts w:hint="eastAsia"/>
        </w:rPr>
        <w:t>，</w:t>
      </w:r>
      <w:r w:rsidRPr="00BC31E0">
        <w:rPr>
          <w:rFonts w:ascii="ＭＳ ゴシック" w:eastAsia="ＭＳ ゴシック" w:hAnsi="ＭＳ ゴシック" w:hint="eastAsia"/>
          <w:b/>
        </w:rPr>
        <w:t>b)</w:t>
      </w:r>
      <w:r w:rsidRPr="00BC31E0">
        <w:rPr>
          <w:rFonts w:hint="eastAsia"/>
        </w:rPr>
        <w:t>による。</w:t>
      </w:r>
    </w:p>
    <w:p w14:paraId="428E8384" w14:textId="77777777" w:rsidR="00CE5B29" w:rsidRPr="00BC31E0" w:rsidRDefault="00CE5B29" w:rsidP="00736130">
      <w:pPr>
        <w:pStyle w:val="a4"/>
        <w:numPr>
          <w:ilvl w:val="0"/>
          <w:numId w:val="256"/>
        </w:numPr>
        <w:ind w:leftChars="0" w:left="454" w:hanging="454"/>
      </w:pPr>
      <w:r w:rsidRPr="00BC31E0">
        <w:rPr>
          <w:rFonts w:asciiTheme="majorEastAsia" w:eastAsiaTheme="majorEastAsia" w:hAnsiTheme="majorEastAsia" w:hint="eastAsia"/>
          <w:b/>
          <w:bCs/>
        </w:rPr>
        <w:t>想定初期亀裂寸法</w:t>
      </w:r>
      <w:r w:rsidRPr="00BC31E0">
        <w:rPr>
          <w:rFonts w:hint="eastAsia"/>
        </w:rPr>
        <w:t xml:space="preserve">　</w:t>
      </w:r>
      <w:r w:rsidRPr="00BC31E0">
        <w:rPr>
          <w:rFonts w:ascii="ＭＳ 明朝" w:hAnsi="ＭＳ 明朝" w:hint="eastAsia"/>
        </w:rPr>
        <w:t>設計許容繰返し回数を求める時に用いる初期</w:t>
      </w:r>
      <w:r w:rsidRPr="00BC31E0">
        <w:rPr>
          <w:rFonts w:hint="eastAsia"/>
        </w:rPr>
        <w:t>亀</w:t>
      </w:r>
      <w:r w:rsidRPr="00BC31E0">
        <w:rPr>
          <w:rFonts w:ascii="ＭＳ 明朝" w:hAnsi="ＭＳ 明朝" w:hint="eastAsia"/>
        </w:rPr>
        <w:t>裂寸法は，使用する非破</w:t>
      </w:r>
      <w:r w:rsidRPr="00BC31E0">
        <w:rPr>
          <w:rFonts w:ascii="ＭＳ 明朝" w:hAnsi="ＭＳ 明朝" w:hint="eastAsia"/>
        </w:rPr>
        <w:lastRenderedPageBreak/>
        <w:t>壊試験方法に基づいて決める。使用する</w:t>
      </w:r>
      <w:r w:rsidRPr="00BC31E0">
        <w:rPr>
          <w:rFonts w:hint="eastAsia"/>
        </w:rPr>
        <w:t>非破壊試験方法で指示模様の長さと深さの両方が決定できない場合には，想定初期亀裂はアスペクト比が</w:t>
      </w:r>
      <m:oMath>
        <m:r>
          <m:rPr>
            <m:sty m:val="p"/>
          </m:rPr>
          <w:rPr>
            <w:rFonts w:ascii="Cambria Math" w:hAnsi="Cambria Math"/>
          </w:rPr>
          <m:t xml:space="preserve"> </m:t>
        </m:r>
        <m:f>
          <m:fPr>
            <m:type m:val="lin"/>
            <m:ctrlPr>
              <w:rPr>
                <w:rFonts w:ascii="Cambria Math" w:hAnsi="Cambria Math"/>
              </w:rPr>
            </m:ctrlPr>
          </m:fPr>
          <m:num>
            <m:r>
              <w:rPr>
                <w:rFonts w:ascii="Cambria Math" w:hAnsi="Cambria Math"/>
              </w:rPr>
              <m:t>a</m:t>
            </m:r>
          </m:num>
          <m:den>
            <m:r>
              <w:rPr>
                <w:rFonts w:ascii="Cambria Math" w:hAnsi="Cambria Math"/>
              </w:rPr>
              <m:t>l</m:t>
            </m:r>
            <m:r>
              <m:rPr>
                <m:sty m:val="p"/>
              </m:rPr>
              <w:rPr>
                <w:rFonts w:ascii="Cambria Math" w:hAnsi="Cambria Math"/>
              </w:rPr>
              <m:t>=</m:t>
            </m:r>
            <m:f>
              <m:fPr>
                <m:type m:val="lin"/>
                <m:ctrlPr>
                  <w:rPr>
                    <w:rFonts w:ascii="Cambria Math" w:hAnsi="Cambria Math"/>
                  </w:rPr>
                </m:ctrlPr>
              </m:fPr>
              <m:num>
                <m:r>
                  <m:rPr>
                    <m:sty m:val="p"/>
                  </m:rPr>
                  <w:rPr>
                    <w:rFonts w:ascii="Cambria Math" w:hAnsi="Cambria Math"/>
                  </w:rPr>
                  <m:t>1</m:t>
                </m:r>
              </m:num>
              <m:den>
                <m:r>
                  <m:rPr>
                    <m:sty m:val="p"/>
                  </m:rPr>
                  <w:rPr>
                    <w:rFonts w:ascii="Cambria Math" w:hAnsi="Cambria Math"/>
                  </w:rPr>
                  <m:t xml:space="preserve">3 </m:t>
                </m:r>
              </m:den>
            </m:f>
          </m:den>
        </m:f>
      </m:oMath>
      <w:r w:rsidRPr="00BC31E0">
        <w:rPr>
          <w:rFonts w:hAnsi="ＭＳ 明朝" w:hint="eastAsia"/>
        </w:rPr>
        <w:t>(</w:t>
      </w:r>
      <m:oMath>
        <m:r>
          <w:rPr>
            <w:rFonts w:ascii="Cambria Math" w:hAnsi="Cambria Math"/>
          </w:rPr>
          <m:t>a</m:t>
        </m:r>
        <m:r>
          <m:rPr>
            <m:sty m:val="p"/>
          </m:rPr>
          <w:rPr>
            <w:rFonts w:ascii="Cambria Math" w:hAnsi="Cambria Math"/>
          </w:rPr>
          <m:t xml:space="preserve"> </m:t>
        </m:r>
      </m:oMath>
      <w:r w:rsidRPr="00BC31E0">
        <w:rPr>
          <w:rFonts w:hint="eastAsia"/>
        </w:rPr>
        <w:t>は亀</w:t>
      </w:r>
      <w:r w:rsidRPr="00BC31E0">
        <w:rPr>
          <w:rFonts w:ascii="ＭＳ 明朝" w:hAnsi="ＭＳ 明朝"/>
        </w:rPr>
        <w:t>裂深さ</w:t>
      </w:r>
      <w:r w:rsidRPr="00BC31E0">
        <w:rPr>
          <w:rFonts w:ascii="ＭＳ 明朝" w:hAnsi="ＭＳ 明朝" w:hint="eastAsia"/>
        </w:rPr>
        <w:t>，</w:t>
      </w:r>
      <m:oMath>
        <m:r>
          <w:rPr>
            <w:rFonts w:ascii="Cambria Math" w:hAnsi="Cambria Math"/>
          </w:rPr>
          <m:t>l</m:t>
        </m:r>
        <m:r>
          <m:rPr>
            <m:sty m:val="p"/>
          </m:rPr>
          <w:rPr>
            <w:rFonts w:ascii="Cambria Math" w:hAnsi="Cambria Math"/>
          </w:rPr>
          <m:t xml:space="preserve"> </m:t>
        </m:r>
      </m:oMath>
      <w:r w:rsidRPr="00BC31E0">
        <w:rPr>
          <w:rFonts w:ascii="ＭＳ 明朝" w:hAnsi="ＭＳ 明朝" w:hint="eastAsia"/>
        </w:rPr>
        <w:t>は亀裂</w:t>
      </w:r>
      <w:r w:rsidRPr="00BC31E0">
        <w:rPr>
          <w:rFonts w:ascii="ＭＳ 明朝" w:hAnsi="ＭＳ 明朝"/>
        </w:rPr>
        <w:t>長さ</w:t>
      </w:r>
      <w:r w:rsidRPr="00BC31E0">
        <w:rPr>
          <w:rFonts w:asciiTheme="minorHAnsi" w:hAnsiTheme="minorHAnsi"/>
        </w:rPr>
        <w:t>)</w:t>
      </w:r>
      <w:r w:rsidRPr="00BC31E0">
        <w:rPr>
          <w:rFonts w:ascii="ＭＳ 明朝" w:hAnsi="ＭＳ 明朝"/>
        </w:rPr>
        <w:t>の</w:t>
      </w:r>
      <w:r w:rsidRPr="00BC31E0">
        <w:rPr>
          <w:rFonts w:hint="eastAsia"/>
        </w:rPr>
        <w:t>半楕円表面形状とする。想定初期亀裂寸法は，次の</w:t>
      </w:r>
      <w:r w:rsidRPr="00BC31E0">
        <w:rPr>
          <w:rFonts w:asciiTheme="majorEastAsia" w:eastAsiaTheme="majorEastAsia" w:hAnsiTheme="majorEastAsia" w:hint="eastAsia"/>
          <w:b/>
          <w:bCs/>
        </w:rPr>
        <w:t>1)</w:t>
      </w:r>
      <w:r w:rsidRPr="00BC31E0">
        <w:rPr>
          <w:rFonts w:asciiTheme="minorEastAsia" w:hAnsiTheme="minorEastAsia" w:hint="eastAsia"/>
        </w:rPr>
        <w:t>，</w:t>
      </w:r>
      <w:r w:rsidRPr="00BC31E0">
        <w:rPr>
          <w:rFonts w:asciiTheme="majorEastAsia" w:eastAsiaTheme="majorEastAsia" w:hAnsiTheme="majorEastAsia" w:hint="eastAsia"/>
          <w:b/>
          <w:bCs/>
        </w:rPr>
        <w:t>2)</w:t>
      </w:r>
      <w:r w:rsidRPr="00BC31E0">
        <w:rPr>
          <w:rFonts w:hint="eastAsia"/>
        </w:rPr>
        <w:t>による。</w:t>
      </w:r>
    </w:p>
    <w:p w14:paraId="705838CA" w14:textId="77777777" w:rsidR="00A9174B" w:rsidRPr="00BC31E0" w:rsidRDefault="00CE5B29" w:rsidP="00736130">
      <w:pPr>
        <w:pStyle w:val="a4"/>
        <w:numPr>
          <w:ilvl w:val="0"/>
          <w:numId w:val="257"/>
        </w:numPr>
        <w:ind w:leftChars="0" w:left="738" w:hanging="454"/>
      </w:pPr>
      <w:r w:rsidRPr="00BC31E0">
        <w:t>応力集中部にない表面</w:t>
      </w:r>
      <w:r w:rsidRPr="00BC31E0">
        <w:rPr>
          <w:rFonts w:hint="eastAsia"/>
        </w:rPr>
        <w:t>亀</w:t>
      </w:r>
      <w:r w:rsidRPr="00BC31E0">
        <w:t>裂は</w:t>
      </w:r>
      <w:r w:rsidRPr="00BC31E0">
        <w:rPr>
          <w:rFonts w:hint="eastAsia"/>
        </w:rPr>
        <w:t>，</w:t>
      </w:r>
      <w:r w:rsidRPr="00BC31E0">
        <w:t>半楕円形状を</w:t>
      </w:r>
      <w:r w:rsidRPr="00BC31E0">
        <w:rPr>
          <w:rFonts w:hint="eastAsia"/>
        </w:rPr>
        <w:t>想定</w:t>
      </w:r>
      <w:r w:rsidRPr="00BC31E0">
        <w:t>する。</w:t>
      </w:r>
      <w:r w:rsidRPr="00BC31E0">
        <w:rPr>
          <w:rFonts w:asciiTheme="majorEastAsia" w:eastAsiaTheme="majorEastAsia" w:hAnsiTheme="majorEastAsia"/>
          <w:b/>
          <w:bCs/>
        </w:rPr>
        <w:t>1.2.1 b)</w:t>
      </w:r>
      <w:r w:rsidRPr="00BC31E0">
        <w:t>の使用者設計仕様書で特に</w:t>
      </w:r>
      <w:r w:rsidRPr="00BC31E0">
        <w:rPr>
          <w:rFonts w:ascii="ＭＳ 明朝" w:hAnsi="ＭＳ 明朝" w:hint="eastAsia"/>
        </w:rPr>
        <w:t>亀裂長さが</w:t>
      </w:r>
      <w:r w:rsidRPr="00BC31E0">
        <w:t>規定されていなければ，想定する</w:t>
      </w:r>
      <w:r w:rsidRPr="00BC31E0">
        <w:rPr>
          <w:rFonts w:hint="eastAsia"/>
        </w:rPr>
        <w:t>亀</w:t>
      </w:r>
      <w:r w:rsidRPr="00BC31E0">
        <w:t>裂長さは</w:t>
      </w:r>
      <w:r w:rsidRPr="00BC31E0">
        <w:rPr>
          <w:rFonts w:asciiTheme="majorEastAsia" w:eastAsiaTheme="majorEastAsia" w:hAnsiTheme="majorEastAsia"/>
          <w:b/>
          <w:bCs/>
        </w:rPr>
        <w:t>9</w:t>
      </w:r>
      <w:r w:rsidRPr="00BC31E0">
        <w:t>で</w:t>
      </w:r>
      <w:r w:rsidRPr="00BC31E0">
        <w:rPr>
          <w:rFonts w:hint="eastAsia"/>
        </w:rPr>
        <w:t>規定さ</w:t>
      </w:r>
      <w:r w:rsidRPr="00BC31E0">
        <w:t>れる非破壊試験</w:t>
      </w:r>
      <w:r w:rsidRPr="00BC31E0">
        <w:rPr>
          <w:rFonts w:hint="eastAsia"/>
        </w:rPr>
        <w:t>における</w:t>
      </w:r>
      <w:r w:rsidRPr="00BC31E0">
        <w:t>最大許容指示</w:t>
      </w:r>
      <w:r w:rsidRPr="00BC31E0">
        <w:rPr>
          <w:rFonts w:hint="eastAsia"/>
        </w:rPr>
        <w:t>模様</w:t>
      </w:r>
      <w:r w:rsidRPr="00BC31E0">
        <w:t>より</w:t>
      </w:r>
      <w:r w:rsidRPr="00BC31E0">
        <w:rPr>
          <w:rFonts w:hint="eastAsia"/>
        </w:rPr>
        <w:t>も</w:t>
      </w:r>
      <w:r w:rsidRPr="00BC31E0">
        <w:t>小さな値</w:t>
      </w:r>
      <w:r w:rsidR="007D07DC" w:rsidRPr="00BC31E0">
        <w:rPr>
          <w:rFonts w:hint="eastAsia"/>
        </w:rPr>
        <w:t>としない</w:t>
      </w:r>
      <w:r w:rsidRPr="00BC31E0">
        <w:t>。この値よりも小さい</w:t>
      </w:r>
      <w:r w:rsidRPr="00BC31E0">
        <w:rPr>
          <w:rFonts w:hint="eastAsia"/>
        </w:rPr>
        <w:t>亀</w:t>
      </w:r>
      <w:r w:rsidRPr="00BC31E0">
        <w:t>裂長さを想定する場合には，使用する非破壊試験法で</w:t>
      </w:r>
      <w:r w:rsidRPr="00BC31E0">
        <w:rPr>
          <w:rFonts w:hint="eastAsia"/>
        </w:rPr>
        <w:t>，</w:t>
      </w:r>
      <w:r w:rsidRPr="00BC31E0">
        <w:t>その</w:t>
      </w:r>
      <w:r w:rsidRPr="00BC31E0">
        <w:rPr>
          <w:rFonts w:hint="eastAsia"/>
        </w:rPr>
        <w:t>寸法の</w:t>
      </w:r>
      <w:r w:rsidRPr="00BC31E0">
        <w:t>指示</w:t>
      </w:r>
      <w:r w:rsidRPr="00BC31E0">
        <w:rPr>
          <w:rFonts w:hint="eastAsia"/>
        </w:rPr>
        <w:t>模様</w:t>
      </w:r>
      <w:r w:rsidRPr="00BC31E0">
        <w:t>を確実に検出できることを示す</w:t>
      </w:r>
      <w:r w:rsidRPr="00BC31E0">
        <w:rPr>
          <w:rFonts w:hint="eastAsia"/>
        </w:rPr>
        <w:t>必要がある</w:t>
      </w:r>
      <w:r w:rsidRPr="00BC31E0">
        <w:t>。</w:t>
      </w:r>
    </w:p>
    <w:p w14:paraId="0387956C" w14:textId="77777777" w:rsidR="00CE5B29" w:rsidRPr="00BC31E0" w:rsidRDefault="00CE5B29" w:rsidP="00736130">
      <w:pPr>
        <w:pStyle w:val="a4"/>
        <w:numPr>
          <w:ilvl w:val="0"/>
          <w:numId w:val="257"/>
        </w:numPr>
        <w:ind w:leftChars="0" w:left="738" w:hanging="454"/>
      </w:pPr>
      <w:r w:rsidRPr="00BC31E0">
        <w:t>ねじ山底又は環状溝においては，</w:t>
      </w:r>
      <w:r w:rsidRPr="00BC31E0">
        <w:rPr>
          <w:rFonts w:asciiTheme="minorEastAsia" w:hAnsiTheme="minorEastAsia" w:hint="eastAsia"/>
        </w:rPr>
        <w:t>亀</w:t>
      </w:r>
      <w:r w:rsidRPr="00BC31E0">
        <w:rPr>
          <w:rFonts w:ascii="ＭＳ 明朝"/>
        </w:rPr>
        <w:t>裂形状</w:t>
      </w:r>
      <w:r w:rsidRPr="00BC31E0">
        <w:rPr>
          <w:rFonts w:ascii="ＭＳ 明朝" w:hint="eastAsia"/>
        </w:rPr>
        <w:t>は環状</w:t>
      </w:r>
      <w:r w:rsidRPr="00BC31E0">
        <w:t>又は半楕円表面形状</w:t>
      </w:r>
      <w:r w:rsidRPr="00BC31E0">
        <w:rPr>
          <w:rFonts w:ascii="ＭＳ 明朝" w:hint="eastAsia"/>
        </w:rPr>
        <w:t>を想定</w:t>
      </w:r>
      <w:r w:rsidRPr="00BC31E0">
        <w:rPr>
          <w:rFonts w:ascii="ＭＳ 明朝"/>
        </w:rPr>
        <w:t>する。</w:t>
      </w:r>
    </w:p>
    <w:p w14:paraId="037C036A" w14:textId="77777777" w:rsidR="00CE5B29" w:rsidRPr="00BC31E0" w:rsidRDefault="00CE5B29" w:rsidP="00736130">
      <w:pPr>
        <w:pStyle w:val="a4"/>
        <w:numPr>
          <w:ilvl w:val="0"/>
          <w:numId w:val="258"/>
        </w:numPr>
        <w:ind w:leftChars="0" w:left="454" w:hanging="454"/>
      </w:pPr>
      <w:r w:rsidRPr="00BC31E0">
        <w:rPr>
          <w:rFonts w:asciiTheme="majorEastAsia" w:eastAsiaTheme="majorEastAsia" w:hAnsiTheme="majorEastAsia" w:hint="eastAsia"/>
          <w:b/>
          <w:bCs/>
        </w:rPr>
        <w:t>許容最終亀裂深さ</w:t>
      </w:r>
      <w:r w:rsidRPr="00BC31E0">
        <w:rPr>
          <w:rFonts w:hint="eastAsia"/>
        </w:rPr>
        <w:t xml:space="preserve">　</w:t>
      </w:r>
      <w:r w:rsidRPr="00BC31E0">
        <w:rPr>
          <w:rFonts w:asciiTheme="minorEastAsia" w:hAnsiTheme="minorEastAsia" w:hint="eastAsia"/>
        </w:rPr>
        <w:t>亀</w:t>
      </w:r>
      <w:r w:rsidRPr="00BC31E0">
        <w:rPr>
          <w:rFonts w:hint="eastAsia"/>
        </w:rPr>
        <w:t>裂進展計算により設計許容繰返し回数</w:t>
      </w:r>
      <m:oMath>
        <m:sSub>
          <m:sSubPr>
            <m:ctrlPr>
              <w:rPr>
                <w:rFonts w:ascii="Cambria Math" w:hAnsi="Cambria Math"/>
              </w:rPr>
            </m:ctrlPr>
          </m:sSubPr>
          <m:e>
            <m:r>
              <m:rPr>
                <m:sty m:val="p"/>
              </m:rPr>
              <w:rPr>
                <w:rFonts w:ascii="Cambria Math" w:hAnsi="Cambria Math"/>
              </w:rPr>
              <m:t xml:space="preserve"> </m:t>
            </m:r>
            <m:r>
              <w:rPr>
                <w:rFonts w:ascii="Cambria Math" w:hAnsi="Cambria Math"/>
              </w:rPr>
              <m:t>N</m:t>
            </m:r>
          </m:e>
          <m:sub>
            <m:r>
              <w:rPr>
                <w:rFonts w:ascii="Cambria Math" w:hAnsi="Cambria Math"/>
              </w:rPr>
              <m:t>P</m:t>
            </m:r>
          </m:sub>
        </m:sSub>
        <m:r>
          <m:rPr>
            <m:sty m:val="p"/>
          </m:rPr>
          <w:rPr>
            <w:rFonts w:ascii="Cambria Math" w:hAnsi="Cambria Math"/>
          </w:rPr>
          <m:t xml:space="preserve"> </m:t>
        </m:r>
      </m:oMath>
      <w:r w:rsidRPr="00BC31E0">
        <w:rPr>
          <w:rFonts w:hint="eastAsia"/>
        </w:rPr>
        <w:t>を求めるためには，許容最終</w:t>
      </w:r>
      <w:r w:rsidRPr="00BC31E0">
        <w:rPr>
          <w:rFonts w:asciiTheme="minorEastAsia" w:hAnsiTheme="minorEastAsia" w:hint="eastAsia"/>
        </w:rPr>
        <w:t>亀</w:t>
      </w:r>
      <w:r w:rsidRPr="00BC31E0">
        <w:rPr>
          <w:rFonts w:hint="eastAsia"/>
        </w:rPr>
        <w:t>裂深さを決定する必要がある。許容最終亀裂深さは</w:t>
      </w:r>
      <w:r w:rsidRPr="00BC31E0">
        <w:rPr>
          <w:rFonts w:asciiTheme="majorEastAsia" w:eastAsiaTheme="majorEastAsia" w:hAnsiTheme="majorEastAsia" w:hint="eastAsia"/>
          <w:b/>
          <w:bCs/>
        </w:rPr>
        <w:t>API 579-1/ASME FFS-1</w:t>
      </w:r>
      <w:r w:rsidRPr="00BC31E0">
        <w:rPr>
          <w:rFonts w:hint="eastAsia"/>
        </w:rPr>
        <w:t>の破壊評価線図</w:t>
      </w:r>
      <w:r w:rsidRPr="00BC31E0">
        <w:rPr>
          <w:rFonts w:hint="eastAsia"/>
        </w:rPr>
        <w:t>(</w:t>
      </w:r>
      <w:r w:rsidRPr="00BC31E0">
        <w:t>Failure Assessment Diagram</w:t>
      </w:r>
      <w:r w:rsidRPr="00BC31E0">
        <w:rPr>
          <w:rFonts w:hint="eastAsia"/>
        </w:rPr>
        <w:t>)</w:t>
      </w:r>
      <w:r w:rsidRPr="00BC31E0">
        <w:rPr>
          <w:rFonts w:hint="eastAsia"/>
        </w:rPr>
        <w:t>を用いて求めてもよい。設計許容繰返し回数は</w:t>
      </w:r>
      <w:r w:rsidRPr="00BC31E0">
        <w:rPr>
          <w:rFonts w:asciiTheme="minorEastAsia" w:hAnsiTheme="minorEastAsia" w:hint="eastAsia"/>
        </w:rPr>
        <w:t>亀</w:t>
      </w:r>
      <w:r w:rsidRPr="00BC31E0">
        <w:rPr>
          <w:rFonts w:hint="eastAsia"/>
        </w:rPr>
        <w:t>裂が想定初期</w:t>
      </w:r>
      <w:r w:rsidRPr="00BC31E0">
        <w:rPr>
          <w:rFonts w:asciiTheme="minorEastAsia" w:hAnsiTheme="minorEastAsia" w:hint="eastAsia"/>
        </w:rPr>
        <w:t>亀</w:t>
      </w:r>
      <w:r w:rsidRPr="00BC31E0">
        <w:rPr>
          <w:rFonts w:hint="eastAsia"/>
        </w:rPr>
        <w:t>裂寸法から許容最終亀裂深さまで進展するのに要する繰返し回数であり，次の</w:t>
      </w:r>
      <w:r w:rsidRPr="00BC31E0">
        <w:rPr>
          <w:rFonts w:asciiTheme="majorEastAsia" w:eastAsiaTheme="majorEastAsia" w:hAnsiTheme="majorEastAsia" w:hint="eastAsia"/>
          <w:b/>
          <w:bCs/>
        </w:rPr>
        <w:t>1)</w:t>
      </w:r>
      <w:r w:rsidRPr="00BC31E0">
        <w:rPr>
          <w:rFonts w:hint="eastAsia"/>
        </w:rPr>
        <w:t>と</w:t>
      </w:r>
      <w:r w:rsidRPr="00BC31E0">
        <w:rPr>
          <w:rFonts w:asciiTheme="majorEastAsia" w:eastAsiaTheme="majorEastAsia" w:hAnsiTheme="majorEastAsia" w:hint="eastAsia"/>
          <w:b/>
          <w:bCs/>
        </w:rPr>
        <w:t>2)</w:t>
      </w:r>
      <w:r w:rsidRPr="00BC31E0">
        <w:rPr>
          <w:rFonts w:hint="eastAsia"/>
        </w:rPr>
        <w:t>の方法から求められる繰返し回数の小さい方の値とする。</w:t>
      </w:r>
    </w:p>
    <w:p w14:paraId="479BAF4E" w14:textId="77777777" w:rsidR="001F6DD7" w:rsidRPr="00BC31E0" w:rsidRDefault="00CE5B29" w:rsidP="00736130">
      <w:pPr>
        <w:pStyle w:val="a4"/>
        <w:numPr>
          <w:ilvl w:val="0"/>
          <w:numId w:val="259"/>
        </w:numPr>
        <w:ind w:leftChars="0" w:left="738" w:hanging="454"/>
      </w:pPr>
      <w:r w:rsidRPr="00BC31E0">
        <w:rPr>
          <w:rFonts w:hint="eastAsia"/>
        </w:rPr>
        <w:t>想定初期亀裂寸法から</w:t>
      </w:r>
      <w:r w:rsidRPr="00BC31E0">
        <w:rPr>
          <w:rFonts w:ascii="ＭＳ 明朝" w:hAnsi="ＭＳ 明朝" w:hint="eastAsia"/>
        </w:rPr>
        <w:t>，</w:t>
      </w:r>
      <w:r w:rsidRPr="00BC31E0">
        <w:rPr>
          <w:rFonts w:asciiTheme="majorEastAsia" w:eastAsiaTheme="majorEastAsia" w:hAnsiTheme="majorEastAsia"/>
          <w:b/>
          <w:bCs/>
        </w:rPr>
        <w:t>6.4.3 c)</w:t>
      </w:r>
      <w:r w:rsidRPr="00BC31E0">
        <w:rPr>
          <w:rFonts w:hint="eastAsia"/>
        </w:rPr>
        <w:t>で計算される限界亀裂深さまで進展するのに要する繰返し回数の半分の値</w:t>
      </w:r>
    </w:p>
    <w:p w14:paraId="3AA12D36" w14:textId="77777777" w:rsidR="00CE5B29" w:rsidRPr="00BC31E0" w:rsidRDefault="00CE5B29" w:rsidP="00736130">
      <w:pPr>
        <w:pStyle w:val="a4"/>
        <w:numPr>
          <w:ilvl w:val="0"/>
          <w:numId w:val="259"/>
        </w:numPr>
        <w:ind w:leftChars="0" w:left="738" w:hanging="454"/>
      </w:pPr>
      <w:r w:rsidRPr="00BC31E0">
        <w:rPr>
          <w:rFonts w:hint="eastAsia"/>
        </w:rPr>
        <w:t>想定初期亀裂寸法から</w:t>
      </w:r>
      <w:r w:rsidRPr="00BC31E0">
        <w:rPr>
          <w:rFonts w:hint="eastAsia"/>
        </w:rPr>
        <w:t xml:space="preserve"> </w:t>
      </w:r>
      <w:r w:rsidRPr="00BC31E0">
        <w:rPr>
          <w:rFonts w:hint="eastAsia"/>
        </w:rPr>
        <w:t>次の</w:t>
      </w:r>
      <w:r w:rsidRPr="00BC31E0">
        <w:rPr>
          <w:rFonts w:asciiTheme="majorEastAsia" w:eastAsiaTheme="majorEastAsia" w:hAnsiTheme="majorEastAsia" w:hint="eastAsia"/>
          <w:b/>
        </w:rPr>
        <w:t>2.1)</w:t>
      </w:r>
      <w:r w:rsidRPr="00BC31E0">
        <w:rPr>
          <w:rFonts w:hint="eastAsia"/>
        </w:rPr>
        <w:t>又は</w:t>
      </w:r>
      <w:r w:rsidRPr="00BC31E0">
        <w:rPr>
          <w:rFonts w:asciiTheme="majorEastAsia" w:eastAsiaTheme="majorEastAsia" w:hAnsiTheme="majorEastAsia" w:hint="eastAsia"/>
          <w:b/>
        </w:rPr>
        <w:t>2.2)</w:t>
      </w:r>
      <w:r w:rsidRPr="00BC31E0">
        <w:rPr>
          <w:rFonts w:hint="eastAsia"/>
        </w:rPr>
        <w:t>で規定される許容最終亀裂深さまで進展するのに要する繰返し回数</w:t>
      </w:r>
    </w:p>
    <w:p w14:paraId="54503D58" w14:textId="77777777" w:rsidR="00CE5B29" w:rsidRPr="00BC31E0" w:rsidRDefault="00CE5B29" w:rsidP="00736130">
      <w:pPr>
        <w:pStyle w:val="a4"/>
        <w:numPr>
          <w:ilvl w:val="0"/>
          <w:numId w:val="260"/>
        </w:numPr>
        <w:ind w:leftChars="0" w:left="1134" w:hanging="567"/>
      </w:pPr>
      <w:r w:rsidRPr="00BC31E0">
        <w:rPr>
          <w:rFonts w:asciiTheme="majorEastAsia" w:eastAsiaTheme="majorEastAsia" w:hAnsiTheme="majorEastAsia" w:hint="eastAsia"/>
          <w:b/>
          <w:bCs/>
        </w:rPr>
        <w:t>単肉容器</w:t>
      </w:r>
      <w:r w:rsidRPr="00BC31E0">
        <w:rPr>
          <w:rFonts w:hint="eastAsia"/>
        </w:rPr>
        <w:t xml:space="preserve">　単肉容器に対する許容最終亀裂深さは，次の</w:t>
      </w:r>
      <w:r w:rsidRPr="00BC31E0">
        <w:rPr>
          <w:rFonts w:asciiTheme="majorEastAsia" w:eastAsiaTheme="majorEastAsia" w:hAnsiTheme="majorEastAsia" w:hint="eastAsia"/>
          <w:b/>
          <w:bCs/>
        </w:rPr>
        <w:t>2.1.1)</w:t>
      </w:r>
      <w:r w:rsidRPr="00BC31E0">
        <w:rPr>
          <w:rFonts w:hint="eastAsia"/>
        </w:rPr>
        <w:t>と</w:t>
      </w:r>
      <w:r w:rsidRPr="00BC31E0">
        <w:rPr>
          <w:rFonts w:asciiTheme="majorEastAsia" w:eastAsiaTheme="majorEastAsia" w:hAnsiTheme="majorEastAsia" w:hint="eastAsia"/>
          <w:b/>
          <w:bCs/>
        </w:rPr>
        <w:t>2.1.2)</w:t>
      </w:r>
      <w:r w:rsidRPr="00BC31E0">
        <w:rPr>
          <w:rFonts w:hint="eastAsia"/>
        </w:rPr>
        <w:t>の小さい方の値とする。</w:t>
      </w:r>
    </w:p>
    <w:p w14:paraId="254E32CF" w14:textId="77777777" w:rsidR="00B53812" w:rsidRPr="00BC31E0" w:rsidRDefault="00CE5B29" w:rsidP="00736130">
      <w:pPr>
        <w:pStyle w:val="a4"/>
        <w:numPr>
          <w:ilvl w:val="0"/>
          <w:numId w:val="261"/>
        </w:numPr>
        <w:ind w:leftChars="0" w:left="1701" w:hanging="794"/>
      </w:pPr>
      <w:r w:rsidRPr="00BC31E0">
        <w:rPr>
          <w:rFonts w:hint="eastAsia"/>
        </w:rPr>
        <w:t>当該位置における容器厚さの</w:t>
      </w:r>
      <w:r w:rsidR="00CF1047" w:rsidRPr="00BC31E0">
        <w:rPr>
          <w:rFonts w:hint="eastAsia"/>
        </w:rPr>
        <w:t>25%</w:t>
      </w:r>
    </w:p>
    <w:p w14:paraId="440000DF" w14:textId="77777777" w:rsidR="00CE5B29" w:rsidRPr="00BC31E0" w:rsidRDefault="00CE5B29" w:rsidP="00736130">
      <w:pPr>
        <w:pStyle w:val="a4"/>
        <w:numPr>
          <w:ilvl w:val="0"/>
          <w:numId w:val="261"/>
        </w:numPr>
        <w:ind w:leftChars="0" w:left="1701" w:hanging="794"/>
      </w:pPr>
      <w:r w:rsidRPr="00BC31E0">
        <w:rPr>
          <w:rFonts w:asciiTheme="majorEastAsia" w:eastAsiaTheme="majorEastAsia" w:hAnsiTheme="majorEastAsia" w:hint="eastAsia"/>
          <w:b/>
          <w:bCs/>
        </w:rPr>
        <w:t>6.4.4 a)</w:t>
      </w:r>
      <w:r w:rsidRPr="00BC31E0">
        <w:rPr>
          <w:rFonts w:hint="eastAsia"/>
        </w:rPr>
        <w:t>で定義される想定初期亀裂深さに，</w:t>
      </w:r>
      <w:r w:rsidRPr="00BC31E0">
        <w:rPr>
          <w:rFonts w:asciiTheme="majorEastAsia" w:eastAsiaTheme="majorEastAsia" w:hAnsiTheme="majorEastAsia"/>
          <w:b/>
          <w:bCs/>
        </w:rPr>
        <w:t>6.4.3 c)</w:t>
      </w:r>
      <w:r w:rsidRPr="00BC31E0">
        <w:rPr>
          <w:rFonts w:hint="eastAsia"/>
        </w:rPr>
        <w:t>で計算される限界亀裂深さと想定初期亀裂深さの寸法差の</w:t>
      </w:r>
      <w:r w:rsidR="00CF1047" w:rsidRPr="00BC31E0">
        <w:rPr>
          <w:rFonts w:hint="eastAsia"/>
        </w:rPr>
        <w:t>25%</w:t>
      </w:r>
      <w:r w:rsidRPr="00BC31E0">
        <w:rPr>
          <w:rFonts w:hint="eastAsia"/>
        </w:rPr>
        <w:t>を加えた値</w:t>
      </w:r>
    </w:p>
    <w:p w14:paraId="4F2E4467" w14:textId="77777777" w:rsidR="00CE5B29" w:rsidRPr="00BC31E0" w:rsidRDefault="00CE5B29" w:rsidP="00736130">
      <w:pPr>
        <w:pStyle w:val="a4"/>
        <w:numPr>
          <w:ilvl w:val="0"/>
          <w:numId w:val="260"/>
        </w:numPr>
        <w:ind w:leftChars="0" w:left="1134" w:hanging="567"/>
        <w:rPr>
          <w:rFonts w:asciiTheme="majorEastAsia" w:eastAsiaTheme="majorEastAsia" w:hAnsiTheme="majorEastAsia"/>
          <w:b/>
        </w:rPr>
      </w:pPr>
      <w:r w:rsidRPr="00BC31E0">
        <w:rPr>
          <w:rFonts w:asciiTheme="majorEastAsia" w:eastAsiaTheme="majorEastAsia" w:hAnsiTheme="majorEastAsia" w:hint="eastAsia"/>
          <w:b/>
        </w:rPr>
        <w:t>二層以上からなる多層容器</w:t>
      </w:r>
    </w:p>
    <w:p w14:paraId="3D02F1A5" w14:textId="77777777" w:rsidR="00CF1047" w:rsidRPr="00BC31E0" w:rsidRDefault="00CE5B29" w:rsidP="00736130">
      <w:pPr>
        <w:pStyle w:val="a4"/>
        <w:numPr>
          <w:ilvl w:val="0"/>
          <w:numId w:val="262"/>
        </w:numPr>
        <w:ind w:leftChars="0" w:left="1701" w:hanging="794"/>
      </w:pPr>
      <w:r w:rsidRPr="00BC31E0">
        <w:rPr>
          <w:rFonts w:hint="eastAsia"/>
        </w:rPr>
        <w:t>最内層における許容最終亀裂深さは，最内層の厚さとする。ただし，最内層より外側の層の理論崩壊圧力</w:t>
      </w:r>
      <w:r w:rsidR="00A450BD" w:rsidRPr="00BC31E0">
        <w:rPr>
          <w:rFonts w:hint="eastAsia"/>
        </w:rPr>
        <w:t>[</w:t>
      </w:r>
      <w:r w:rsidRPr="00BC31E0">
        <w:rPr>
          <w:rFonts w:asciiTheme="majorEastAsia" w:eastAsiaTheme="majorEastAsia" w:hAnsiTheme="majorEastAsia" w:hint="eastAsia"/>
          <w:b/>
          <w:bCs/>
        </w:rPr>
        <w:t>6.2.2 a) 2)</w:t>
      </w:r>
      <w:r w:rsidRPr="00BC31E0">
        <w:rPr>
          <w:rFonts w:hint="eastAsia"/>
        </w:rPr>
        <w:t>で計算される値の</w:t>
      </w:r>
      <w:r w:rsidR="00CF1047" w:rsidRPr="00BC31E0">
        <w:rPr>
          <w:rFonts w:hint="eastAsia"/>
        </w:rPr>
        <w:t>1.732</w:t>
      </w:r>
      <w:r w:rsidRPr="00BC31E0">
        <w:rPr>
          <w:rFonts w:hint="eastAsia"/>
        </w:rPr>
        <w:t>倍</w:t>
      </w:r>
      <w:r w:rsidRPr="00BC31E0">
        <w:rPr>
          <w:rFonts w:asciiTheme="minorHAnsi" w:hAnsiTheme="minorHAnsi"/>
        </w:rPr>
        <w:t>]</w:t>
      </w:r>
      <w:r w:rsidRPr="00BC31E0">
        <w:rPr>
          <w:rFonts w:hint="eastAsia"/>
        </w:rPr>
        <w:t>が，きずのない容器の設計圧力より少なくとも</w:t>
      </w:r>
      <w:r w:rsidR="00CF1047" w:rsidRPr="00BC31E0">
        <w:rPr>
          <w:rFonts w:hint="eastAsia"/>
        </w:rPr>
        <w:t>20%</w:t>
      </w:r>
      <w:r w:rsidRPr="00BC31E0">
        <w:rPr>
          <w:rFonts w:hint="eastAsia"/>
        </w:rPr>
        <w:t>超となっている必要がある。この条件が満たされない場合には，許容最終亀裂深さは最内層の厚さの</w:t>
      </w:r>
      <w:r w:rsidR="00CF1047" w:rsidRPr="00BC31E0">
        <w:rPr>
          <w:rFonts w:hint="eastAsia"/>
        </w:rPr>
        <w:t>25%</w:t>
      </w:r>
      <w:r w:rsidRPr="00BC31E0">
        <w:rPr>
          <w:rFonts w:hint="eastAsia"/>
        </w:rPr>
        <w:t>以下とする。最内層より外側の層の理論崩壊圧力は，最内層より外側の層が圧力を受ける</w:t>
      </w:r>
      <w:r w:rsidR="000E1492" w:rsidRPr="00BC31E0">
        <w:rPr>
          <w:rFonts w:hint="eastAsia"/>
        </w:rPr>
        <w:t>と想定し</w:t>
      </w:r>
      <w:r w:rsidRPr="00BC31E0">
        <w:rPr>
          <w:rFonts w:hint="eastAsia"/>
        </w:rPr>
        <w:t>て，</w:t>
      </w:r>
      <w:r w:rsidRPr="00BC31E0">
        <w:rPr>
          <w:rFonts w:hAnsi="ＭＳ 明朝" w:hint="eastAsia"/>
        </w:rPr>
        <w:t>圧力を受ける</w:t>
      </w:r>
      <w:r w:rsidRPr="00BC31E0">
        <w:rPr>
          <w:rFonts w:hint="eastAsia"/>
        </w:rPr>
        <w:t>層の内径を用いて計算する。</w:t>
      </w:r>
    </w:p>
    <w:p w14:paraId="34FD12B2" w14:textId="77777777" w:rsidR="00CF1047" w:rsidRPr="00BC31E0" w:rsidRDefault="00CE5B29" w:rsidP="00736130">
      <w:pPr>
        <w:pStyle w:val="a4"/>
        <w:numPr>
          <w:ilvl w:val="0"/>
          <w:numId w:val="262"/>
        </w:numPr>
        <w:ind w:leftChars="0" w:left="1701" w:hanging="794"/>
      </w:pPr>
      <w:r w:rsidRPr="00BC31E0">
        <w:rPr>
          <w:rFonts w:hint="eastAsia"/>
        </w:rPr>
        <w:t>最内層と最外層以外の層における許容最終亀裂深さは，層厚さの</w:t>
      </w:r>
      <w:r w:rsidR="00CF1047" w:rsidRPr="00BC31E0">
        <w:rPr>
          <w:rFonts w:hint="eastAsia"/>
        </w:rPr>
        <w:t>25%</w:t>
      </w:r>
      <w:r w:rsidRPr="00BC31E0">
        <w:rPr>
          <w:rFonts w:hint="eastAsia"/>
        </w:rPr>
        <w:t>以下とする。</w:t>
      </w:r>
    </w:p>
    <w:p w14:paraId="6BC302A4" w14:textId="77777777" w:rsidR="00CE5B29" w:rsidRPr="00BC31E0" w:rsidRDefault="00CE5B29" w:rsidP="00736130">
      <w:pPr>
        <w:pStyle w:val="a4"/>
        <w:numPr>
          <w:ilvl w:val="0"/>
          <w:numId w:val="262"/>
        </w:numPr>
        <w:ind w:leftChars="0" w:left="1701" w:hanging="794"/>
      </w:pPr>
      <w:r w:rsidRPr="00BC31E0">
        <w:rPr>
          <w:rFonts w:hint="eastAsia"/>
        </w:rPr>
        <w:t>最外層における許容最終亀裂深さは，</w:t>
      </w:r>
      <w:r w:rsidRPr="00BC31E0">
        <w:rPr>
          <w:rFonts w:asciiTheme="majorEastAsia" w:eastAsiaTheme="majorEastAsia" w:hAnsiTheme="majorEastAsia" w:hint="eastAsia"/>
          <w:b/>
          <w:bCs/>
        </w:rPr>
        <w:t>6.4.4 a)</w:t>
      </w:r>
      <w:r w:rsidRPr="00BC31E0">
        <w:rPr>
          <w:rFonts w:asciiTheme="minorEastAsia" w:hAnsiTheme="minorEastAsia" w:hint="eastAsia"/>
        </w:rPr>
        <w:t>で定義される想定初期亀裂深さに，</w:t>
      </w:r>
      <w:r w:rsidRPr="00BC31E0">
        <w:rPr>
          <w:rFonts w:asciiTheme="majorEastAsia" w:eastAsiaTheme="majorEastAsia" w:hAnsiTheme="majorEastAsia"/>
          <w:b/>
          <w:bCs/>
        </w:rPr>
        <w:t>6.4.3 c)</w:t>
      </w:r>
      <w:r w:rsidRPr="00BC31E0">
        <w:rPr>
          <w:rFonts w:hint="eastAsia"/>
        </w:rPr>
        <w:t>で計算される限界亀裂深さと</w:t>
      </w:r>
      <w:r w:rsidRPr="00BC31E0">
        <w:rPr>
          <w:rFonts w:asciiTheme="minorEastAsia" w:hAnsiTheme="minorEastAsia" w:hint="eastAsia"/>
        </w:rPr>
        <w:t>想定初期亀裂深さの寸法差</w:t>
      </w:r>
      <w:r w:rsidRPr="00BC31E0">
        <w:rPr>
          <w:rFonts w:hint="eastAsia"/>
        </w:rPr>
        <w:t>の</w:t>
      </w:r>
      <w:r w:rsidR="00CF1047" w:rsidRPr="00BC31E0">
        <w:rPr>
          <w:rFonts w:hint="eastAsia"/>
        </w:rPr>
        <w:t>25%</w:t>
      </w:r>
      <w:r w:rsidRPr="00BC31E0">
        <w:rPr>
          <w:rFonts w:hint="eastAsia"/>
        </w:rPr>
        <w:t>を加えた値以下とする。</w:t>
      </w:r>
    </w:p>
    <w:p w14:paraId="33492E76" w14:textId="77777777" w:rsidR="00CE5B29" w:rsidRPr="00BC31E0" w:rsidRDefault="00CE5B29" w:rsidP="00E60EFE">
      <w:pPr>
        <w:pStyle w:val="3"/>
        <w:tabs>
          <w:tab w:val="clear" w:pos="284"/>
        </w:tabs>
        <w:ind w:left="794" w:hanging="794"/>
      </w:pPr>
      <w:r w:rsidRPr="00BC31E0">
        <w:rPr>
          <w:rFonts w:hint="eastAsia"/>
        </w:rPr>
        <w:t>応力拡大係数</w:t>
      </w:r>
      <m:oMath>
        <m:sSub>
          <m:sSubPr>
            <m:ctrlPr>
              <w:rPr>
                <w:rFonts w:ascii="Cambria Math" w:hAnsi="Cambria Math"/>
                <w:i/>
              </w:rPr>
            </m:ctrlPr>
          </m:sSubPr>
          <m:e>
            <m:r>
              <m:rPr>
                <m:sty m:val="bi"/>
              </m:rPr>
              <w:rPr>
                <w:rFonts w:ascii="Cambria Math" w:hAnsi="Cambria Math"/>
              </w:rPr>
              <m:t xml:space="preserve"> K</m:t>
            </m:r>
          </m:e>
          <m:sub>
            <m:r>
              <m:rPr>
                <m:sty m:val="b"/>
              </m:rPr>
              <w:rPr>
                <w:rFonts w:ascii="Cambria Math" w:hAnsi="Cambria Math"/>
              </w:rPr>
              <m:t>I</m:t>
            </m:r>
          </m:sub>
        </m:sSub>
        <m:r>
          <m:rPr>
            <m:sty m:val="bi"/>
          </m:rPr>
          <w:rPr>
            <w:rFonts w:ascii="Cambria Math" w:hAnsi="Cambria Math"/>
          </w:rPr>
          <m:t xml:space="preserve"> </m:t>
        </m:r>
      </m:oMath>
      <w:r w:rsidRPr="00BC31E0">
        <w:rPr>
          <w:rFonts w:hint="eastAsia"/>
        </w:rPr>
        <w:t>の計算</w:t>
      </w:r>
    </w:p>
    <w:p w14:paraId="19883977" w14:textId="77777777" w:rsidR="00CE5B29" w:rsidRPr="00BC31E0" w:rsidRDefault="00CE5B29" w:rsidP="00FB65C8">
      <w:pPr>
        <w:pStyle w:val="1110"/>
        <w:ind w:firstLine="210"/>
      </w:pPr>
      <w:r w:rsidRPr="00BC31E0">
        <w:rPr>
          <w:rFonts w:hint="eastAsia"/>
        </w:rPr>
        <w:t>応力拡大係数</w:t>
      </w:r>
      <m:oMath>
        <m:sSub>
          <m:sSubPr>
            <m:ctrlPr>
              <w:rPr>
                <w:rFonts w:ascii="Cambria Math" w:hAnsi="Cambria Math"/>
                <w:i/>
              </w:rPr>
            </m:ctrlPr>
          </m:sSubPr>
          <m:e>
            <m:r>
              <w:rPr>
                <w:rFonts w:ascii="Cambria Math" w:hAnsi="Cambria Math"/>
              </w:rPr>
              <m:t xml:space="preserve"> K</m:t>
            </m:r>
          </m:e>
          <m:sub>
            <m:r>
              <m:rPr>
                <m:sty m:val="p"/>
              </m:rPr>
              <w:rPr>
                <w:rFonts w:ascii="Cambria Math" w:hAnsi="Cambria Math"/>
              </w:rPr>
              <m:t>I</m:t>
            </m:r>
          </m:sub>
        </m:sSub>
        <m:r>
          <w:rPr>
            <w:rFonts w:ascii="Cambria Math" w:hAnsi="Cambria Math"/>
          </w:rPr>
          <m:t xml:space="preserve"> </m:t>
        </m:r>
      </m:oMath>
      <w:r w:rsidRPr="00BC31E0">
        <w:rPr>
          <w:rFonts w:hint="eastAsia"/>
        </w:rPr>
        <w:t>の計算は，次の</w:t>
      </w:r>
      <w:r w:rsidRPr="00BC31E0">
        <w:rPr>
          <w:rFonts w:ascii="ＭＳ ゴシック" w:eastAsia="ＭＳ ゴシック" w:hint="eastAsia"/>
          <w:b/>
        </w:rPr>
        <w:t>a)</w:t>
      </w:r>
      <w:r w:rsidRPr="00BC31E0">
        <w:rPr>
          <w:rFonts w:hint="eastAsia"/>
        </w:rPr>
        <w:t>～</w:t>
      </w:r>
      <w:r w:rsidRPr="00BC31E0">
        <w:rPr>
          <w:rFonts w:ascii="ＭＳ ゴシック" w:eastAsia="ＭＳ ゴシック" w:hint="eastAsia"/>
          <w:b/>
        </w:rPr>
        <w:t>c)</w:t>
      </w:r>
      <w:r w:rsidRPr="00BC31E0">
        <w:rPr>
          <w:rFonts w:hint="eastAsia"/>
        </w:rPr>
        <w:t>による。</w:t>
      </w:r>
    </w:p>
    <w:p w14:paraId="1A11407B" w14:textId="77777777" w:rsidR="0016771A" w:rsidRPr="00BC31E0" w:rsidRDefault="00CE5B29" w:rsidP="00736130">
      <w:pPr>
        <w:pStyle w:val="a4"/>
        <w:numPr>
          <w:ilvl w:val="0"/>
          <w:numId w:val="263"/>
        </w:numPr>
        <w:ind w:leftChars="0" w:left="454" w:hanging="454"/>
      </w:pPr>
      <w:r w:rsidRPr="00BC31E0">
        <w:rPr>
          <w:rFonts w:hint="eastAsia"/>
        </w:rPr>
        <w:t>有限長さの</w:t>
      </w:r>
      <w:r w:rsidRPr="00BC31E0">
        <w:rPr>
          <w:rFonts w:asciiTheme="minorEastAsia" w:hAnsiTheme="minorEastAsia" w:hint="eastAsia"/>
        </w:rPr>
        <w:t>亀</w:t>
      </w:r>
      <w:r w:rsidRPr="00BC31E0">
        <w:rPr>
          <w:rFonts w:hint="eastAsia"/>
        </w:rPr>
        <w:t>裂は部材の表面と深さ方向に進展するため，</w:t>
      </w:r>
      <w:r w:rsidRPr="00BC31E0">
        <w:rPr>
          <w:rFonts w:asciiTheme="majorEastAsia" w:eastAsiaTheme="majorEastAsia" w:hAnsiTheme="majorEastAsia" w:hint="eastAsia"/>
          <w:b/>
        </w:rPr>
        <w:t>式(6.4.1)</w:t>
      </w:r>
      <w:r w:rsidRPr="00BC31E0">
        <w:rPr>
          <w:rFonts w:hint="eastAsia"/>
        </w:rPr>
        <w:t>及び</w:t>
      </w:r>
      <w:r w:rsidRPr="00BC31E0">
        <w:rPr>
          <w:rFonts w:asciiTheme="majorEastAsia" w:eastAsiaTheme="majorEastAsia" w:hAnsiTheme="majorEastAsia" w:hint="eastAsia"/>
          <w:b/>
        </w:rPr>
        <w:t>式(6.4.2)</w:t>
      </w:r>
      <w:r w:rsidRPr="00BC31E0">
        <w:rPr>
          <w:rFonts w:hint="eastAsia"/>
        </w:rPr>
        <w:t>により</w:t>
      </w:r>
      <w:r w:rsidRPr="00BC31E0">
        <w:rPr>
          <w:rFonts w:asciiTheme="minorEastAsia" w:hAnsiTheme="minorEastAsia" w:hint="eastAsia"/>
        </w:rPr>
        <w:t>亀</w:t>
      </w:r>
      <w:r w:rsidRPr="00BC31E0">
        <w:rPr>
          <w:rFonts w:hint="eastAsia"/>
        </w:rPr>
        <w:lastRenderedPageBreak/>
        <w:t>裂進展計算を行い，</w:t>
      </w:r>
      <w:r w:rsidRPr="00BC31E0">
        <w:rPr>
          <w:rFonts w:asciiTheme="minorEastAsia" w:hAnsiTheme="minorEastAsia" w:hint="eastAsia"/>
        </w:rPr>
        <w:t>亀</w:t>
      </w:r>
      <w:r w:rsidRPr="00BC31E0">
        <w:rPr>
          <w:rFonts w:hint="eastAsia"/>
        </w:rPr>
        <w:t>裂の進展とともに</w:t>
      </w:r>
      <w:r w:rsidRPr="00BC31E0">
        <w:rPr>
          <w:rFonts w:asciiTheme="minorEastAsia" w:hAnsiTheme="minorEastAsia" w:hint="eastAsia"/>
        </w:rPr>
        <w:t>亀</w:t>
      </w:r>
      <w:r w:rsidRPr="00BC31E0">
        <w:rPr>
          <w:rFonts w:hint="eastAsia"/>
        </w:rPr>
        <w:t>裂のアスペクト比</w:t>
      </w:r>
      <w:r w:rsidRPr="00BC31E0">
        <w:rPr>
          <w:rFonts w:hint="eastAsia"/>
        </w:rPr>
        <w:t>(</w:t>
      </w:r>
      <m:oMath>
        <m:f>
          <m:fPr>
            <m:type m:val="lin"/>
            <m:ctrlPr>
              <w:rPr>
                <w:rFonts w:ascii="Cambria Math" w:hAnsi="Cambria Math"/>
                <w:sz w:val="22"/>
                <w:szCs w:val="22"/>
              </w:rPr>
            </m:ctrlPr>
          </m:fPr>
          <m:num>
            <m:r>
              <w:rPr>
                <w:rFonts w:ascii="Cambria Math" w:hAnsi="Cambria Math"/>
                <w:sz w:val="22"/>
                <w:szCs w:val="22"/>
              </w:rPr>
              <m:t>a</m:t>
            </m:r>
          </m:num>
          <m:den>
            <m:r>
              <w:rPr>
                <w:rFonts w:ascii="Cambria Math" w:hAnsi="Cambria Math"/>
                <w:sz w:val="22"/>
                <w:szCs w:val="22"/>
              </w:rPr>
              <m:t>l</m:t>
            </m:r>
          </m:den>
        </m:f>
      </m:oMath>
      <w:r w:rsidRPr="00BC31E0">
        <w:rPr>
          <w:rFonts w:hint="eastAsia"/>
        </w:rPr>
        <w:t>)</w:t>
      </w:r>
      <w:r w:rsidRPr="00BC31E0">
        <w:rPr>
          <w:rFonts w:hint="eastAsia"/>
        </w:rPr>
        <w:t>の値を更新していく必要がある。典型的な高圧力容器における</w:t>
      </w:r>
      <w:r w:rsidRPr="00BC31E0">
        <w:rPr>
          <w:rFonts w:asciiTheme="minorEastAsia" w:hAnsiTheme="minorEastAsia" w:hint="eastAsia"/>
        </w:rPr>
        <w:t>亀</w:t>
      </w:r>
      <w:r w:rsidRPr="00BC31E0">
        <w:rPr>
          <w:rFonts w:hint="eastAsia"/>
        </w:rPr>
        <w:t>裂に対して応力拡大係数を計算する方法は，</w:t>
      </w:r>
      <w:r w:rsidRPr="00BC31E0">
        <w:rPr>
          <w:rFonts w:asciiTheme="majorEastAsia" w:eastAsiaTheme="majorEastAsia" w:hAnsiTheme="majorEastAsia" w:hint="eastAsia"/>
          <w:b/>
        </w:rPr>
        <w:t>附属書 C</w:t>
      </w:r>
      <w:r w:rsidRPr="00BC31E0">
        <w:rPr>
          <w:rFonts w:hint="eastAsia"/>
        </w:rPr>
        <w:t>で与える。なお，</w:t>
      </w:r>
      <w:r w:rsidRPr="00BC31E0">
        <w:rPr>
          <w:rFonts w:asciiTheme="majorEastAsia" w:eastAsiaTheme="majorEastAsia" w:hAnsiTheme="majorEastAsia" w:hint="eastAsia"/>
          <w:b/>
        </w:rPr>
        <w:t>附属書 C</w:t>
      </w:r>
      <w:r w:rsidRPr="00BC31E0">
        <w:rPr>
          <w:rFonts w:asciiTheme="minorEastAsia" w:hAnsiTheme="minorEastAsia" w:hint="eastAsia"/>
        </w:rPr>
        <w:t>に代わり</w:t>
      </w:r>
      <w:r w:rsidRPr="00BC31E0">
        <w:rPr>
          <w:rFonts w:hint="eastAsia"/>
        </w:rPr>
        <w:t>，</w:t>
      </w:r>
      <w:r w:rsidRPr="00BC31E0">
        <w:rPr>
          <w:rFonts w:asciiTheme="majorEastAsia" w:eastAsiaTheme="majorEastAsia" w:hAnsiTheme="majorEastAsia" w:hint="eastAsia"/>
          <w:b/>
        </w:rPr>
        <w:t>API 579-1/ASME FFS-1</w:t>
      </w:r>
      <w:r w:rsidRPr="00BC31E0">
        <w:rPr>
          <w:rFonts w:ascii="ＭＳ 明朝" w:hAnsi="ＭＳ 明朝" w:hint="eastAsia"/>
        </w:rPr>
        <w:t>の計算式を用い</w:t>
      </w:r>
      <w:r w:rsidR="00EB1348" w:rsidRPr="00BC31E0">
        <w:rPr>
          <w:rFonts w:ascii="ＭＳ 明朝" w:hAnsi="ＭＳ 明朝" w:hint="eastAsia"/>
        </w:rPr>
        <w:t>てもよい</w:t>
      </w:r>
      <w:r w:rsidRPr="00BC31E0">
        <w:rPr>
          <w:rFonts w:ascii="ＭＳ 明朝" w:hAnsi="ＭＳ 明朝" w:hint="eastAsia"/>
        </w:rPr>
        <w:t>。</w:t>
      </w:r>
      <w:r w:rsidRPr="00BC31E0">
        <w:rPr>
          <w:rFonts w:asciiTheme="majorEastAsia" w:eastAsiaTheme="majorEastAsia" w:hAnsiTheme="majorEastAsia" w:hint="eastAsia"/>
          <w:b/>
        </w:rPr>
        <w:t>API 579-1/ASME FFS-1</w:t>
      </w:r>
      <w:r w:rsidRPr="00BC31E0">
        <w:rPr>
          <w:rFonts w:ascii="ＭＳ 明朝" w:hAnsi="ＭＳ 明朝" w:hint="eastAsia"/>
        </w:rPr>
        <w:t>により応力拡大係数を計算する場合には，部分安全係数は</w:t>
      </w:r>
      <w:r w:rsidR="0016771A" w:rsidRPr="00BC31E0">
        <w:rPr>
          <w:rFonts w:asciiTheme="minorHAnsi" w:hAnsiTheme="minorHAnsi"/>
        </w:rPr>
        <w:t>1.0</w:t>
      </w:r>
      <w:r w:rsidRPr="00BC31E0">
        <w:rPr>
          <w:rFonts w:ascii="ＭＳ 明朝" w:hAnsi="ＭＳ 明朝" w:hint="eastAsia"/>
        </w:rPr>
        <w:t>とする。</w:t>
      </w:r>
    </w:p>
    <w:p w14:paraId="22E375A5" w14:textId="77777777" w:rsidR="002112E0" w:rsidRPr="00BC31E0" w:rsidRDefault="00CE5B29" w:rsidP="00736130">
      <w:pPr>
        <w:pStyle w:val="a4"/>
        <w:numPr>
          <w:ilvl w:val="0"/>
          <w:numId w:val="263"/>
        </w:numPr>
        <w:ind w:leftChars="0" w:left="454" w:hanging="454"/>
      </w:pPr>
      <w:r w:rsidRPr="00BC31E0">
        <w:rPr>
          <w:rFonts w:hint="eastAsia"/>
        </w:rPr>
        <w:t>応力拡大係数を計算する際には，内圧によって生じる応力，熱応力，不連続部での応力，残留応力などの</w:t>
      </w:r>
      <w:r w:rsidR="00DC160D" w:rsidRPr="00BC31E0">
        <w:rPr>
          <w:rFonts w:hint="eastAsia"/>
        </w:rPr>
        <w:t>全</w:t>
      </w:r>
      <w:r w:rsidRPr="00BC31E0">
        <w:rPr>
          <w:rFonts w:hint="eastAsia"/>
        </w:rPr>
        <w:t>ての負荷を考慮する必要がある。また，亀裂面に流体圧力が作用する場合には，この圧力による影響も考慮</w:t>
      </w:r>
      <w:r w:rsidR="00F23FA7" w:rsidRPr="00BC31E0">
        <w:rPr>
          <w:rFonts w:hint="eastAsia"/>
        </w:rPr>
        <w:t>しなければならない</w:t>
      </w:r>
      <w:r w:rsidRPr="00BC31E0">
        <w:rPr>
          <w:rFonts w:hint="eastAsia"/>
        </w:rPr>
        <w:t>。これらを考慮する方法は，</w:t>
      </w:r>
      <w:r w:rsidRPr="00BC31E0">
        <w:rPr>
          <w:rFonts w:asciiTheme="majorEastAsia" w:eastAsiaTheme="majorEastAsia" w:hAnsiTheme="majorEastAsia" w:hint="eastAsia"/>
          <w:b/>
        </w:rPr>
        <w:t>附属書</w:t>
      </w:r>
      <w:r w:rsidRPr="00BC31E0">
        <w:rPr>
          <w:rFonts w:asciiTheme="majorEastAsia" w:eastAsiaTheme="majorEastAsia" w:hAnsiTheme="majorEastAsia" w:hint="eastAsia"/>
          <w:b/>
          <w:bCs/>
        </w:rPr>
        <w:t xml:space="preserve"> C</w:t>
      </w:r>
      <w:r w:rsidRPr="00BC31E0">
        <w:rPr>
          <w:rFonts w:hint="eastAsia"/>
        </w:rPr>
        <w:t>で与える。溶接残留応力は，</w:t>
      </w:r>
      <w:r w:rsidRPr="00BC31E0">
        <w:rPr>
          <w:rFonts w:asciiTheme="majorEastAsia" w:eastAsiaTheme="majorEastAsia" w:hAnsiTheme="majorEastAsia" w:hint="eastAsia"/>
          <w:b/>
        </w:rPr>
        <w:t>API 579-1/ASME FFS-1</w:t>
      </w:r>
      <w:r w:rsidRPr="00BC31E0">
        <w:rPr>
          <w:rFonts w:hAnsi="ＭＳ ゴシック" w:hint="eastAsia"/>
        </w:rPr>
        <w:t>，</w:t>
      </w:r>
      <w:r w:rsidRPr="00BC31E0">
        <w:rPr>
          <w:rFonts w:asciiTheme="majorEastAsia" w:eastAsiaTheme="majorEastAsia" w:hAnsiTheme="majorEastAsia" w:hint="eastAsia"/>
          <w:b/>
        </w:rPr>
        <w:t>BS 7910</w:t>
      </w:r>
      <w:r w:rsidRPr="00BC31E0">
        <w:rPr>
          <w:rFonts w:hint="eastAsia"/>
        </w:rPr>
        <w:t>，有限要素法解析又はその他の適切な方法で推定する。</w:t>
      </w:r>
    </w:p>
    <w:p w14:paraId="0B24EEF2" w14:textId="77777777" w:rsidR="00CE5B29" w:rsidRPr="00BC31E0" w:rsidRDefault="00CE5B29" w:rsidP="00736130">
      <w:pPr>
        <w:pStyle w:val="a4"/>
        <w:numPr>
          <w:ilvl w:val="0"/>
          <w:numId w:val="263"/>
        </w:numPr>
        <w:ind w:leftChars="0" w:left="454" w:hanging="454"/>
      </w:pPr>
      <w:r w:rsidRPr="00BC31E0">
        <w:rPr>
          <w:rFonts w:hint="eastAsia"/>
        </w:rPr>
        <w:t>残留応力以外の</w:t>
      </w:r>
      <w:r w:rsidR="00DC160D" w:rsidRPr="00BC31E0">
        <w:rPr>
          <w:rFonts w:hint="eastAsia"/>
        </w:rPr>
        <w:t>全</w:t>
      </w:r>
      <w:r w:rsidRPr="00BC31E0">
        <w:rPr>
          <w:rFonts w:hint="eastAsia"/>
        </w:rPr>
        <w:t>ての応力負荷に対する応力拡大係数は，最小値と最大値及びその時系列変化を考慮して評価する。これらの応力負荷の影響は，応力拡大係数の最小値</w:t>
      </w:r>
      <m:oMath>
        <m:r>
          <m:rPr>
            <m:sty m:val="p"/>
          </m:rPr>
          <w:rPr>
            <w:rFonts w:ascii="Cambria Math" w:hAnsi="Cambria Math"/>
          </w:rPr>
          <m:t xml:space="preserve"> </m:t>
        </m:r>
        <m:sSubSup>
          <m:sSubSupPr>
            <m:ctrlPr>
              <w:rPr>
                <w:rFonts w:ascii="Cambria Math" w:hAnsi="Cambria Math"/>
              </w:rPr>
            </m:ctrlPr>
          </m:sSubSupPr>
          <m:e>
            <m:r>
              <w:rPr>
                <w:rFonts w:ascii="Cambria Math" w:hAnsi="Cambria Math"/>
              </w:rPr>
              <m:t>K</m:t>
            </m:r>
          </m:e>
          <m:sub>
            <m:r>
              <m:rPr>
                <m:sty m:val="p"/>
              </m:rPr>
              <w:rPr>
                <w:rFonts w:ascii="Cambria Math" w:hAnsi="Cambria Math"/>
              </w:rPr>
              <m:t>Imin</m:t>
            </m:r>
          </m:sub>
          <m:sup>
            <m:r>
              <m:rPr>
                <m:sty m:val="p"/>
              </m:rPr>
              <w:rPr>
                <w:rFonts w:ascii="Cambria Math" w:hAnsi="Cambria Math"/>
              </w:rPr>
              <m:t>*</m:t>
            </m:r>
          </m:sup>
        </m:sSubSup>
        <m:r>
          <m:rPr>
            <m:sty m:val="p"/>
          </m:rPr>
          <w:rPr>
            <w:rFonts w:ascii="Cambria Math" w:hAnsi="Cambria Math"/>
          </w:rPr>
          <m:t xml:space="preserve"> </m:t>
        </m:r>
      </m:oMath>
      <w:r w:rsidRPr="00BC31E0">
        <w:rPr>
          <w:rFonts w:hint="eastAsia"/>
        </w:rPr>
        <w:t>及び最大値</w:t>
      </w:r>
      <m:oMath>
        <m:r>
          <m:rPr>
            <m:sty m:val="p"/>
          </m:rPr>
          <w:rPr>
            <w:rFonts w:ascii="Cambria Math" w:hAnsi="Cambria Math"/>
          </w:rPr>
          <m:t xml:space="preserve"> </m:t>
        </m:r>
        <m:sSubSup>
          <m:sSubSupPr>
            <m:ctrlPr>
              <w:rPr>
                <w:rFonts w:ascii="Cambria Math" w:hAnsi="Cambria Math"/>
              </w:rPr>
            </m:ctrlPr>
          </m:sSubSupPr>
          <m:e>
            <m:r>
              <w:rPr>
                <w:rFonts w:ascii="Cambria Math" w:hAnsi="Cambria Math"/>
              </w:rPr>
              <m:t>K</m:t>
            </m:r>
          </m:e>
          <m:sub>
            <m:r>
              <m:rPr>
                <m:sty m:val="p"/>
              </m:rPr>
              <w:rPr>
                <w:rFonts w:ascii="Cambria Math" w:hAnsi="Cambria Math"/>
              </w:rPr>
              <m:t>Imax</m:t>
            </m:r>
          </m:sub>
          <m:sup>
            <m:r>
              <m:rPr>
                <m:sty m:val="p"/>
              </m:rPr>
              <w:rPr>
                <w:rFonts w:ascii="Cambria Math" w:hAnsi="Cambria Math"/>
              </w:rPr>
              <m:t>*</m:t>
            </m:r>
          </m:sup>
        </m:sSubSup>
        <m:r>
          <m:rPr>
            <m:sty m:val="p"/>
          </m:rPr>
          <w:rPr>
            <w:rFonts w:ascii="Cambria Math" w:hAnsi="Cambria Math"/>
          </w:rPr>
          <m:t xml:space="preserve"> </m:t>
        </m:r>
      </m:oMath>
      <w:r w:rsidRPr="00BC31E0">
        <w:rPr>
          <w:rFonts w:hint="eastAsia"/>
        </w:rPr>
        <w:t>として計算する。自緊，焼ばめ，溶接又は線巻きのような残留応力の影響は，残留応力による正又は負の応力拡大係数</w:t>
      </w:r>
      <m:oMath>
        <m:sSub>
          <m:sSubPr>
            <m:ctrlPr>
              <w:rPr>
                <w:rFonts w:ascii="Cambria Math" w:hAnsi="Cambria Math"/>
                <w:sz w:val="22"/>
                <w:szCs w:val="22"/>
              </w:rPr>
            </m:ctrlPr>
          </m:sSubPr>
          <m:e>
            <m:r>
              <m:rPr>
                <m:sty m:val="p"/>
              </m:rPr>
              <w:rPr>
                <w:rFonts w:ascii="Cambria Math" w:hAnsi="Cambria Math"/>
                <w:sz w:val="22"/>
                <w:szCs w:val="22"/>
              </w:rPr>
              <m:t xml:space="preserve"> </m:t>
            </m:r>
            <m:r>
              <w:rPr>
                <w:rFonts w:ascii="Cambria Math" w:hAnsi="Cambria Math" w:hint="eastAsia"/>
                <w:sz w:val="22"/>
                <w:szCs w:val="22"/>
              </w:rPr>
              <m:t>K</m:t>
            </m:r>
          </m:e>
          <m:sub>
            <m:r>
              <m:rPr>
                <m:sty m:val="p"/>
              </m:rPr>
              <w:rPr>
                <w:rFonts w:ascii="Cambria Math" w:hAnsi="Cambria Math"/>
                <w:sz w:val="22"/>
                <w:szCs w:val="22"/>
              </w:rPr>
              <m:t>I</m:t>
            </m:r>
            <m:r>
              <w:rPr>
                <w:rFonts w:ascii="Cambria Math" w:hAnsi="Cambria Math"/>
                <w:sz w:val="22"/>
                <w:szCs w:val="22"/>
              </w:rPr>
              <m:t>res</m:t>
            </m:r>
            <m:r>
              <m:rPr>
                <m:sty m:val="p"/>
              </m:rPr>
              <w:rPr>
                <w:rFonts w:ascii="Cambria Math" w:hAnsi="Cambria Math"/>
                <w:sz w:val="22"/>
                <w:szCs w:val="22"/>
              </w:rPr>
              <m:t xml:space="preserve"> </m:t>
            </m:r>
          </m:sub>
        </m:sSub>
        <m:r>
          <m:rPr>
            <m:sty m:val="p"/>
          </m:rPr>
          <w:rPr>
            <w:rFonts w:ascii="Cambria Math" w:hAnsi="Cambria Math"/>
            <w:sz w:val="22"/>
            <w:szCs w:val="22"/>
          </w:rPr>
          <m:t xml:space="preserve"> </m:t>
        </m:r>
      </m:oMath>
      <w:r w:rsidRPr="00BC31E0">
        <w:rPr>
          <w:rFonts w:hint="eastAsia"/>
        </w:rPr>
        <w:t>を計算することによって個別に評価する。</w:t>
      </w:r>
      <w:r w:rsidRPr="00BC31E0">
        <w:rPr>
          <w:rFonts w:asciiTheme="majorEastAsia" w:eastAsiaTheme="majorEastAsia" w:hAnsiTheme="majorEastAsia" w:hint="eastAsia"/>
          <w:b/>
        </w:rPr>
        <w:t>6.4.6</w:t>
      </w:r>
      <w:r w:rsidRPr="00BC31E0">
        <w:rPr>
          <w:rFonts w:hint="eastAsia"/>
          <w:bCs/>
        </w:rPr>
        <w:t>に，疲労</w:t>
      </w:r>
      <w:r w:rsidRPr="00BC31E0">
        <w:rPr>
          <w:rFonts w:hint="eastAsia"/>
        </w:rPr>
        <w:t>亀裂進展則を積分して設計許容繰返し回数</w:t>
      </w:r>
      <w:r w:rsidRPr="00BC31E0">
        <w:rPr>
          <w:rFonts w:ascii="Times New Roman" w:hAnsi="Times New Roman" w:hint="eastAsia"/>
        </w:rPr>
        <w:t>を求めるときに，</w:t>
      </w:r>
      <w:r w:rsidRPr="00BC31E0">
        <w:rPr>
          <w:rFonts w:hint="eastAsia"/>
          <w:bCs/>
        </w:rPr>
        <w:t>疲労</w:t>
      </w:r>
      <w:r w:rsidRPr="00BC31E0">
        <w:rPr>
          <w:rFonts w:asciiTheme="minorEastAsia" w:hAnsiTheme="minorEastAsia" w:hint="eastAsia"/>
        </w:rPr>
        <w:t>亀</w:t>
      </w:r>
      <w:r w:rsidRPr="00BC31E0">
        <w:rPr>
          <w:rFonts w:hint="eastAsia"/>
        </w:rPr>
        <w:t>裂進展則に</w:t>
      </w:r>
      <m:oMath>
        <m:r>
          <m:rPr>
            <m:sty m:val="p"/>
          </m:rPr>
          <w:rPr>
            <w:rFonts w:ascii="Cambria Math" w:hAnsi="Cambria Math"/>
          </w:rPr>
          <m:t xml:space="preserve"> </m:t>
        </m:r>
        <m:sSubSup>
          <m:sSubSupPr>
            <m:ctrlPr>
              <w:rPr>
                <w:rFonts w:ascii="Cambria Math" w:hAnsi="Cambria Math"/>
              </w:rPr>
            </m:ctrlPr>
          </m:sSubSupPr>
          <m:e>
            <m:r>
              <w:rPr>
                <w:rFonts w:ascii="Cambria Math" w:hAnsi="Cambria Math"/>
              </w:rPr>
              <m:t>K</m:t>
            </m:r>
          </m:e>
          <m:sub>
            <m:r>
              <m:rPr>
                <m:sty m:val="p"/>
              </m:rPr>
              <w:rPr>
                <w:rFonts w:ascii="Cambria Math" w:hAnsi="Cambria Math"/>
              </w:rPr>
              <m:t>Imin</m:t>
            </m:r>
          </m:sub>
          <m:sup>
            <m:r>
              <m:rPr>
                <m:sty m:val="p"/>
              </m:rPr>
              <w:rPr>
                <w:rFonts w:ascii="Cambria Math" w:hAnsi="Cambria Math"/>
              </w:rPr>
              <m:t>*</m:t>
            </m:r>
          </m:sup>
        </m:sSubSup>
      </m:oMath>
      <w:r w:rsidRPr="00BC31E0">
        <w:rPr>
          <w:rFonts w:hint="eastAsia"/>
        </w:rPr>
        <w:t>，</w:t>
      </w:r>
      <m:oMath>
        <m:sSubSup>
          <m:sSubSupPr>
            <m:ctrlPr>
              <w:rPr>
                <w:rFonts w:ascii="Cambria Math" w:hAnsi="Cambria Math"/>
              </w:rPr>
            </m:ctrlPr>
          </m:sSubSupPr>
          <m:e>
            <m:r>
              <w:rPr>
                <w:rFonts w:ascii="Cambria Math" w:hAnsi="Cambria Math"/>
              </w:rPr>
              <m:t>K</m:t>
            </m:r>
          </m:e>
          <m:sub>
            <m:r>
              <m:rPr>
                <m:sty m:val="p"/>
              </m:rPr>
              <w:rPr>
                <w:rFonts w:ascii="Cambria Math" w:hAnsi="Cambria Math"/>
              </w:rPr>
              <m:t>Imax</m:t>
            </m:r>
          </m:sub>
          <m:sup>
            <m:r>
              <m:rPr>
                <m:sty m:val="p"/>
              </m:rPr>
              <w:rPr>
                <w:rFonts w:ascii="Cambria Math" w:hAnsi="Cambria Math"/>
              </w:rPr>
              <m:t>*</m:t>
            </m:r>
          </m:sup>
        </m:sSubSup>
        <m:r>
          <m:rPr>
            <m:sty m:val="p"/>
          </m:rPr>
          <w:rPr>
            <w:rFonts w:ascii="Cambria Math" w:hAnsi="Cambria Math" w:hint="eastAsia"/>
          </w:rPr>
          <m:t xml:space="preserve"> </m:t>
        </m:r>
      </m:oMath>
      <w:r w:rsidRPr="00BC31E0">
        <w:rPr>
          <w:rFonts w:hint="eastAsia"/>
        </w:rPr>
        <w:t>及び</w:t>
      </w:r>
      <m:oMath>
        <m:r>
          <m:rPr>
            <m:sty m:val="p"/>
          </m:rPr>
          <w:rPr>
            <w:rFonts w:ascii="Cambria Math" w:hAnsi="Cambria Math" w:hint="eastAsia"/>
          </w:rPr>
          <m:t xml:space="preserve"> </m:t>
        </m:r>
        <m:sSub>
          <m:sSubPr>
            <m:ctrlPr>
              <w:rPr>
                <w:rFonts w:ascii="Cambria Math" w:hAnsi="Cambria Math"/>
              </w:rPr>
            </m:ctrlPr>
          </m:sSubPr>
          <m:e>
            <m:r>
              <w:rPr>
                <w:rFonts w:ascii="Cambria Math" w:hAnsi="Cambria Math" w:hint="eastAsia"/>
              </w:rPr>
              <m:t>K</m:t>
            </m:r>
          </m:e>
          <m:sub>
            <m:r>
              <m:rPr>
                <m:sty m:val="p"/>
              </m:rPr>
              <w:rPr>
                <w:rFonts w:ascii="Cambria Math" w:hAnsi="Cambria Math"/>
              </w:rPr>
              <m:t>I</m:t>
            </m:r>
            <m:r>
              <w:rPr>
                <w:rFonts w:ascii="Cambria Math" w:hAnsi="Cambria Math"/>
              </w:rPr>
              <m:t>res</m:t>
            </m:r>
          </m:sub>
        </m:sSub>
        <m:r>
          <m:rPr>
            <m:sty m:val="p"/>
          </m:rPr>
          <w:rPr>
            <w:rFonts w:ascii="Cambria Math" w:hAnsi="Cambria Math" w:hint="eastAsia"/>
          </w:rPr>
          <m:t xml:space="preserve"> </m:t>
        </m:r>
      </m:oMath>
      <w:r w:rsidRPr="00BC31E0">
        <w:rPr>
          <w:rFonts w:hint="eastAsia"/>
        </w:rPr>
        <w:t>を取り込む方法について規定する。</w:t>
      </w:r>
    </w:p>
    <w:p w14:paraId="22EF6FA4" w14:textId="77777777" w:rsidR="00CE5B29" w:rsidRPr="00BC31E0" w:rsidRDefault="00CE5B29" w:rsidP="00E60EFE">
      <w:pPr>
        <w:pStyle w:val="3"/>
        <w:tabs>
          <w:tab w:val="clear" w:pos="284"/>
        </w:tabs>
        <w:ind w:left="794" w:hanging="794"/>
      </w:pPr>
      <w:r w:rsidRPr="00BC31E0">
        <w:rPr>
          <w:rFonts w:hint="eastAsia"/>
        </w:rPr>
        <w:t>疲労亀裂進展の計算</w:t>
      </w:r>
    </w:p>
    <w:p w14:paraId="569AA31E" w14:textId="77777777" w:rsidR="00CE5B29" w:rsidRPr="00BC31E0" w:rsidRDefault="00CE5B29" w:rsidP="00FB65C8">
      <w:pPr>
        <w:pStyle w:val="1110"/>
        <w:ind w:firstLine="210"/>
      </w:pPr>
      <w:r w:rsidRPr="00BC31E0">
        <w:rPr>
          <w:rFonts w:hint="eastAsia"/>
        </w:rPr>
        <w:t>疲労亀裂進展計算は，次の</w:t>
      </w:r>
      <w:r w:rsidRPr="00BC31E0">
        <w:rPr>
          <w:rFonts w:ascii="ＭＳ ゴシック" w:eastAsia="ＭＳ ゴシック" w:hint="eastAsia"/>
          <w:b/>
        </w:rPr>
        <w:t>a)</w:t>
      </w:r>
      <w:r w:rsidRPr="00BC31E0">
        <w:rPr>
          <w:rFonts w:hint="eastAsia"/>
        </w:rPr>
        <w:t>～</w:t>
      </w:r>
      <w:r w:rsidRPr="00BC31E0">
        <w:rPr>
          <w:rFonts w:ascii="ＭＳ ゴシック" w:eastAsia="ＭＳ ゴシック" w:hint="eastAsia"/>
          <w:b/>
        </w:rPr>
        <w:t>d)</w:t>
      </w:r>
      <w:r w:rsidRPr="00BC31E0">
        <w:rPr>
          <w:rFonts w:hint="eastAsia"/>
        </w:rPr>
        <w:t>による。</w:t>
      </w:r>
    </w:p>
    <w:p w14:paraId="0570AD1D" w14:textId="77777777" w:rsidR="00CE5B29" w:rsidRPr="00BC31E0" w:rsidRDefault="00CE5B29" w:rsidP="00736130">
      <w:pPr>
        <w:pStyle w:val="a4"/>
        <w:numPr>
          <w:ilvl w:val="0"/>
          <w:numId w:val="264"/>
        </w:numPr>
        <w:spacing w:after="120"/>
        <w:ind w:leftChars="0" w:left="454" w:hanging="454"/>
      </w:pPr>
      <w:r w:rsidRPr="00BC31E0">
        <w:rPr>
          <w:rFonts w:hint="eastAsia"/>
        </w:rPr>
        <w:t>亀裂の最深点における疲労亀裂進展速度</w:t>
      </w:r>
      <m:oMath>
        <m:f>
          <m:fPr>
            <m:type m:val="lin"/>
            <m:ctrlPr>
              <w:rPr>
                <w:rFonts w:ascii="Cambria Math" w:hAnsi="Cambria Math"/>
              </w:rPr>
            </m:ctrlPr>
          </m:fPr>
          <m:num>
            <m:r>
              <m:rPr>
                <m:sty m:val="p"/>
              </m:rPr>
              <w:rPr>
                <w:rFonts w:ascii="Cambria Math" w:hAnsi="Cambria Math"/>
              </w:rPr>
              <m:t xml:space="preserve"> </m:t>
            </m:r>
            <m:r>
              <w:rPr>
                <w:rFonts w:ascii="Cambria Math" w:hAnsi="Cambria Math"/>
              </w:rPr>
              <m:t>da</m:t>
            </m:r>
          </m:num>
          <m:den>
            <m:r>
              <w:rPr>
                <w:rFonts w:ascii="Cambria Math" w:hAnsi="Cambria Math"/>
              </w:rPr>
              <m:t>dN</m:t>
            </m:r>
          </m:den>
        </m:f>
        <m:r>
          <m:rPr>
            <m:sty m:val="p"/>
          </m:rPr>
          <w:rPr>
            <w:rFonts w:ascii="Cambria Math" w:hAnsi="Cambria Math"/>
          </w:rPr>
          <m:t xml:space="preserve"> </m:t>
        </m:r>
      </m:oMath>
      <w:r w:rsidRPr="00BC31E0">
        <w:rPr>
          <w:rFonts w:hint="eastAsia"/>
        </w:rPr>
        <w:t>は，応力拡大係数範囲</w:t>
      </w:r>
      <m:oMath>
        <m:r>
          <m:rPr>
            <m:sty m:val="p"/>
          </m:rPr>
          <w:rPr>
            <w:rFonts w:ascii="Cambria Math" w:hAnsi="Cambria Math"/>
          </w:rPr>
          <m:t xml:space="preserve"> ∆</m:t>
        </m:r>
        <m:sSub>
          <m:sSubPr>
            <m:ctrlPr>
              <w:rPr>
                <w:rFonts w:ascii="Cambria Math" w:hAnsi="Cambria Math"/>
              </w:rPr>
            </m:ctrlPr>
          </m:sSubPr>
          <m:e>
            <m:r>
              <w:rPr>
                <w:rFonts w:ascii="Cambria Math" w:hAnsi="Cambria Math"/>
              </w:rPr>
              <m:t>K</m:t>
            </m:r>
          </m:e>
          <m:sub>
            <m:r>
              <m:rPr>
                <m:sty m:val="p"/>
              </m:rPr>
              <w:rPr>
                <w:rFonts w:ascii="Cambria Math" w:hAnsi="Cambria Math"/>
              </w:rPr>
              <m:t xml:space="preserve">I </m:t>
            </m:r>
          </m:sub>
        </m:sSub>
        <m:r>
          <m:rPr>
            <m:sty m:val="p"/>
          </m:rPr>
          <w:rPr>
            <w:rFonts w:ascii="Cambria Math" w:hAnsi="Cambria Math"/>
          </w:rPr>
          <m:t xml:space="preserve"> </m:t>
        </m:r>
      </m:oMath>
      <w:r w:rsidRPr="00BC31E0">
        <w:rPr>
          <w:rFonts w:hint="eastAsia"/>
        </w:rPr>
        <w:t>と応力拡大係数比</w:t>
      </w:r>
      <m:oMath>
        <m:sSub>
          <m:sSubPr>
            <m:ctrlPr>
              <w:rPr>
                <w:rFonts w:ascii="Cambria Math" w:hAnsi="Cambria Math"/>
              </w:rPr>
            </m:ctrlPr>
          </m:sSubPr>
          <m:e>
            <m:r>
              <m:rPr>
                <m:sty m:val="p"/>
              </m:rPr>
              <w:rPr>
                <w:rFonts w:ascii="Cambria Math" w:hAnsi="Cambria Math"/>
              </w:rPr>
              <m:t xml:space="preserve"> </m:t>
            </m:r>
            <m:r>
              <w:rPr>
                <w:rFonts w:ascii="Cambria Math" w:hAnsi="Cambria Math"/>
              </w:rPr>
              <m:t>R</m:t>
            </m:r>
          </m:e>
          <m:sub>
            <m:r>
              <w:rPr>
                <w:rFonts w:ascii="Cambria Math" w:hAnsi="Cambria Math"/>
              </w:rPr>
              <m:t>K</m:t>
            </m:r>
          </m:sub>
        </m:sSub>
        <m:r>
          <m:rPr>
            <m:sty m:val="p"/>
          </m:rPr>
          <w:rPr>
            <w:rFonts w:ascii="Cambria Math" w:hAnsi="Cambria Math"/>
          </w:rPr>
          <m:t xml:space="preserve"> </m:t>
        </m:r>
      </m:oMath>
      <w:r w:rsidRPr="00BC31E0">
        <w:rPr>
          <w:rFonts w:hint="eastAsia"/>
        </w:rPr>
        <w:t>の関数として次式で仮定する。</w:t>
      </w:r>
    </w:p>
    <w:tbl>
      <w:tblPr>
        <w:tblStyle w:val="afff2"/>
        <w:tblW w:w="5953" w:type="dxa"/>
        <w:tblInd w:w="3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8"/>
        <w:gridCol w:w="3725"/>
      </w:tblGrid>
      <w:tr w:rsidR="00CE5B29" w:rsidRPr="00BC31E0" w14:paraId="434D81C7" w14:textId="77777777" w:rsidTr="00CE5B29">
        <w:tc>
          <w:tcPr>
            <w:tcW w:w="0" w:type="auto"/>
            <w:tcMar>
              <w:left w:w="0" w:type="dxa"/>
              <w:right w:w="0" w:type="dxa"/>
            </w:tcMar>
            <w:vAlign w:val="center"/>
          </w:tcPr>
          <w:p w14:paraId="4EADE4A3" w14:textId="77777777" w:rsidR="00CE5B29" w:rsidRPr="00BC31E0" w:rsidRDefault="00A51873" w:rsidP="00CE5B29">
            <w:pPr>
              <w:tabs>
                <w:tab w:val="left" w:pos="2552"/>
                <w:tab w:val="left" w:leader="middleDot" w:pos="8222"/>
              </w:tabs>
              <w:autoSpaceDE w:val="0"/>
              <w:autoSpaceDN w:val="0"/>
              <w:rPr>
                <w:rFonts w:asciiTheme="minorHAnsi" w:eastAsiaTheme="minorEastAsia" w:hAnsiTheme="minorHAnsi"/>
                <w:bCs/>
                <w:i/>
              </w:rPr>
            </w:pPr>
            <m:oMathPara>
              <m:oMathParaPr>
                <m:jc m:val="left"/>
              </m:oMathParaPr>
              <m:oMath>
                <m:f>
                  <m:fPr>
                    <m:ctrlPr>
                      <w:rPr>
                        <w:rFonts w:ascii="Cambria Math" w:eastAsiaTheme="minorEastAsia" w:hAnsi="Cambria Math"/>
                        <w:bCs/>
                        <w:i/>
                      </w:rPr>
                    </m:ctrlPr>
                  </m:fPr>
                  <m:num>
                    <m:r>
                      <w:rPr>
                        <w:rFonts w:ascii="Cambria Math" w:eastAsiaTheme="minorEastAsia" w:hAnsi="Cambria Math"/>
                      </w:rPr>
                      <m:t>da</m:t>
                    </m:r>
                  </m:num>
                  <m:den>
                    <m:r>
                      <w:rPr>
                        <w:rFonts w:ascii="Cambria Math" w:eastAsiaTheme="minorEastAsia" w:hAnsi="Cambria Math"/>
                      </w:rPr>
                      <m:t>dN</m:t>
                    </m:r>
                  </m:den>
                </m:f>
                <m:r>
                  <w:rPr>
                    <w:rFonts w:ascii="Cambria Math" w:eastAsiaTheme="minorEastAsia" w:hAnsi="Cambria Math"/>
                  </w:rPr>
                  <m:t xml:space="preserve">=C </m:t>
                </m:r>
                <m:d>
                  <m:dPr>
                    <m:begChr m:val="{"/>
                    <m:endChr m:val="}"/>
                    <m:ctrlPr>
                      <w:rPr>
                        <w:rFonts w:ascii="Cambria Math" w:eastAsiaTheme="minorEastAsia" w:hAnsi="Cambria Math"/>
                        <w:bCs/>
                        <w:i/>
                      </w:rPr>
                    </m:ctrlPr>
                  </m:dPr>
                  <m:e>
                    <m:r>
                      <w:rPr>
                        <w:rFonts w:ascii="Cambria Math" w:eastAsiaTheme="minorEastAsia" w:hAnsi="Cambria Math"/>
                      </w:rPr>
                      <m:t xml:space="preserve"> f</m:t>
                    </m:r>
                    <m:d>
                      <m:dPr>
                        <m:ctrlPr>
                          <w:rPr>
                            <w:rFonts w:ascii="Cambria Math" w:eastAsiaTheme="minorEastAsia" w:hAnsi="Cambria Math"/>
                            <w:bCs/>
                            <w:i/>
                          </w:rPr>
                        </m:ctrlPr>
                      </m:dPr>
                      <m:e>
                        <m:sSub>
                          <m:sSubPr>
                            <m:ctrlPr>
                              <w:rPr>
                                <w:rFonts w:ascii="Cambria Math" w:eastAsiaTheme="minorEastAsia" w:hAnsi="Cambria Math"/>
                                <w:bCs/>
                                <w:i/>
                              </w:rPr>
                            </m:ctrlPr>
                          </m:sSubPr>
                          <m:e>
                            <m:r>
                              <w:rPr>
                                <w:rFonts w:ascii="Cambria Math" w:eastAsiaTheme="minorEastAsia" w:hAnsi="Cambria Math"/>
                              </w:rPr>
                              <m:t>R</m:t>
                            </m:r>
                          </m:e>
                          <m:sub>
                            <m:r>
                              <w:rPr>
                                <w:rFonts w:ascii="Cambria Math" w:eastAsiaTheme="minorEastAsia" w:hAnsi="Cambria Math"/>
                              </w:rPr>
                              <m:t>K</m:t>
                            </m:r>
                          </m:sub>
                        </m:sSub>
                      </m:e>
                    </m:d>
                    <m:r>
                      <w:rPr>
                        <w:rFonts w:ascii="Cambria Math" w:eastAsiaTheme="minorEastAsia" w:hAnsi="Cambria Math"/>
                      </w:rPr>
                      <m:t xml:space="preserve"> </m:t>
                    </m:r>
                  </m:e>
                </m:d>
                <m:r>
                  <w:rPr>
                    <w:rFonts w:ascii="Cambria Math" w:eastAsiaTheme="minorEastAsia" w:hAnsi="Cambria Math" w:hint="eastAsia"/>
                  </w:rPr>
                  <m:t xml:space="preserve"> </m:t>
                </m:r>
                <m:sSup>
                  <m:sSupPr>
                    <m:ctrlPr>
                      <w:rPr>
                        <w:rFonts w:ascii="Cambria Math" w:eastAsiaTheme="minorEastAsia" w:hAnsi="Cambria Math"/>
                        <w:bCs/>
                        <w:i/>
                      </w:rPr>
                    </m:ctrlPr>
                  </m:sSupPr>
                  <m:e>
                    <m:d>
                      <m:dPr>
                        <m:ctrlPr>
                          <w:rPr>
                            <w:rFonts w:ascii="Cambria Math" w:eastAsiaTheme="minorEastAsia" w:hAnsi="Cambria Math"/>
                            <w:bCs/>
                            <w:i/>
                          </w:rPr>
                        </m:ctrlPr>
                      </m:dPr>
                      <m:e>
                        <m:r>
                          <w:rPr>
                            <w:rFonts w:ascii="Cambria Math" w:eastAsiaTheme="minorEastAsia" w:hAnsi="Cambria Math"/>
                          </w:rPr>
                          <m:t>∆</m:t>
                        </m:r>
                        <m:sSub>
                          <m:sSubPr>
                            <m:ctrlPr>
                              <w:rPr>
                                <w:rFonts w:ascii="Cambria Math" w:eastAsiaTheme="minorEastAsia" w:hAnsi="Cambria Math"/>
                                <w:bCs/>
                                <w:i/>
                              </w:rPr>
                            </m:ctrlPr>
                          </m:sSubPr>
                          <m:e>
                            <m:r>
                              <w:rPr>
                                <w:rFonts w:ascii="Cambria Math" w:eastAsiaTheme="minorEastAsia" w:hAnsi="Cambria Math"/>
                              </w:rPr>
                              <m:t>K</m:t>
                            </m:r>
                          </m:e>
                          <m:sub>
                            <m:r>
                              <m:rPr>
                                <m:sty m:val="p"/>
                              </m:rPr>
                              <w:rPr>
                                <w:rFonts w:ascii="Cambria Math" w:eastAsiaTheme="minorEastAsia" w:hAnsi="Cambria Math"/>
                              </w:rPr>
                              <m:t>I</m:t>
                            </m:r>
                          </m:sub>
                        </m:sSub>
                      </m:e>
                    </m:d>
                  </m:e>
                  <m:sup>
                    <m:r>
                      <w:rPr>
                        <w:rFonts w:ascii="Cambria Math" w:eastAsiaTheme="minorEastAsia" w:hAnsi="Cambria Math"/>
                      </w:rPr>
                      <m:t>m</m:t>
                    </m:r>
                  </m:sup>
                </m:sSup>
              </m:oMath>
            </m:oMathPara>
          </w:p>
        </w:tc>
        <w:tc>
          <w:tcPr>
            <w:tcW w:w="3725" w:type="dxa"/>
            <w:tcMar>
              <w:left w:w="0" w:type="dxa"/>
              <w:right w:w="0" w:type="dxa"/>
            </w:tcMar>
            <w:vAlign w:val="center"/>
          </w:tcPr>
          <w:p w14:paraId="0029166A" w14:textId="77777777" w:rsidR="00CE5B29" w:rsidRPr="00BC31E0" w:rsidRDefault="00CE5B29" w:rsidP="00CE5B29">
            <w:pPr>
              <w:tabs>
                <w:tab w:val="left" w:leader="middleDot" w:pos="2875"/>
              </w:tabs>
              <w:autoSpaceDE w:val="0"/>
              <w:autoSpaceDN w:val="0"/>
              <w:jc w:val="left"/>
              <w:rPr>
                <w:rFonts w:asciiTheme="minorHAnsi" w:eastAsiaTheme="minorEastAsia" w:hAnsiTheme="minorHAnsi"/>
                <w:bCs/>
              </w:rPr>
            </w:pPr>
            <w:r w:rsidRPr="00BC31E0">
              <w:rPr>
                <w:rFonts w:asciiTheme="minorHAnsi" w:eastAsiaTheme="minorEastAsia" w:hAnsiTheme="minorHAnsi"/>
                <w:bCs/>
              </w:rPr>
              <w:tab/>
              <w:t>(6.4.1)</w:t>
            </w:r>
          </w:p>
        </w:tc>
      </w:tr>
    </w:tbl>
    <w:p w14:paraId="0F787BA6" w14:textId="77777777" w:rsidR="00CE5B29" w:rsidRPr="00BC31E0" w:rsidRDefault="00CE5B29" w:rsidP="008E1C02">
      <w:pPr>
        <w:autoSpaceDE w:val="0"/>
        <w:autoSpaceDN w:val="0"/>
        <w:ind w:left="454" w:firstLineChars="100" w:firstLine="210"/>
      </w:pPr>
      <w:r w:rsidRPr="00BC31E0">
        <w:rPr>
          <w:rFonts w:hint="eastAsia"/>
        </w:rPr>
        <w:t>ここで，</w:t>
      </w:r>
    </w:p>
    <w:p w14:paraId="1C2C54B1" w14:textId="77777777" w:rsidR="00CE5B29" w:rsidRPr="00BC31E0" w:rsidRDefault="00CE5B29" w:rsidP="00CE5B29">
      <w:pPr>
        <w:tabs>
          <w:tab w:val="left" w:pos="3119"/>
        </w:tabs>
        <w:autoSpaceDE w:val="0"/>
        <w:autoSpaceDN w:val="0"/>
      </w:pPr>
      <w:r w:rsidRPr="00BC31E0">
        <w:rPr>
          <w:rFonts w:hint="eastAsia"/>
        </w:rPr>
        <w:tab/>
      </w:r>
      <m:oMath>
        <m:r>
          <w:rPr>
            <w:rFonts w:ascii="Cambria Math" w:hAnsi="Cambria Math"/>
          </w:rPr>
          <m:t>∆</m:t>
        </m:r>
        <m:sSub>
          <m:sSubPr>
            <m:ctrlPr>
              <w:rPr>
                <w:rFonts w:ascii="Cambria Math" w:hAnsi="Cambria Math"/>
                <w:i/>
              </w:rPr>
            </m:ctrlPr>
          </m:sSubPr>
          <m:e>
            <m:r>
              <w:rPr>
                <w:rFonts w:ascii="Cambria Math" w:hAnsi="Cambria Math"/>
              </w:rPr>
              <m:t>K</m:t>
            </m:r>
          </m:e>
          <m:sub>
            <m:r>
              <m:rPr>
                <m:sty m:val="p"/>
              </m:rPr>
              <w:rPr>
                <w:rFonts w:ascii="Cambria Math" w:hAnsi="Cambria Math"/>
              </w:rPr>
              <m:t>I</m:t>
            </m:r>
          </m:sub>
        </m:sSub>
        <m:r>
          <w:rPr>
            <w:rFonts w:ascii="Cambria Math" w:hAnsi="Cambria Math"/>
          </w:rPr>
          <m:t>=</m:t>
        </m:r>
        <m:sSubSup>
          <m:sSubSupPr>
            <m:ctrlPr>
              <w:rPr>
                <w:rFonts w:ascii="Cambria Math" w:hAnsi="Cambria Math"/>
              </w:rPr>
            </m:ctrlPr>
          </m:sSubSupPr>
          <m:e>
            <m:r>
              <w:rPr>
                <w:rFonts w:ascii="Cambria Math" w:hAnsi="Cambria Math" w:hint="eastAsia"/>
              </w:rPr>
              <m:t>K</m:t>
            </m:r>
          </m:e>
          <m:sub>
            <m:r>
              <m:rPr>
                <m:sty m:val="p"/>
              </m:rPr>
              <w:rPr>
                <w:rFonts w:ascii="Cambria Math" w:hAnsi="Cambria Math"/>
              </w:rPr>
              <m:t>Imax</m:t>
            </m:r>
          </m:sub>
          <m:sup>
            <m:r>
              <m:rPr>
                <m:sty m:val="p"/>
              </m:rPr>
              <w:rPr>
                <w:rFonts w:ascii="Cambria Math" w:hAnsi="Cambria Math"/>
              </w:rPr>
              <m:t>*</m:t>
            </m:r>
          </m:sup>
        </m:sSubSup>
        <m:r>
          <w:rPr>
            <w:rFonts w:ascii="Cambria Math" w:hAnsi="Cambria Math"/>
          </w:rPr>
          <m:t>-</m:t>
        </m:r>
        <m:sSubSup>
          <m:sSubSupPr>
            <m:ctrlPr>
              <w:rPr>
                <w:rFonts w:ascii="Cambria Math" w:hAnsi="Cambria Math"/>
              </w:rPr>
            </m:ctrlPr>
          </m:sSubSupPr>
          <m:e>
            <m:r>
              <w:rPr>
                <w:rFonts w:ascii="Cambria Math" w:hAnsi="Cambria Math" w:hint="eastAsia"/>
              </w:rPr>
              <m:t>K</m:t>
            </m:r>
          </m:e>
          <m:sub>
            <m:r>
              <m:rPr>
                <m:sty m:val="p"/>
              </m:rPr>
              <w:rPr>
                <w:rFonts w:ascii="Cambria Math" w:hAnsi="Cambria Math"/>
              </w:rPr>
              <m:t>Imin</m:t>
            </m:r>
          </m:sub>
          <m:sup>
            <m:r>
              <m:rPr>
                <m:sty m:val="p"/>
              </m:rPr>
              <w:rPr>
                <w:rFonts w:ascii="Cambria Math" w:hAnsi="Cambria Math"/>
              </w:rPr>
              <m:t>*</m:t>
            </m:r>
          </m:sup>
        </m:sSubSup>
      </m:oMath>
    </w:p>
    <w:tbl>
      <w:tblPr>
        <w:tblStyle w:val="afff2"/>
        <w:tblW w:w="0" w:type="auto"/>
        <w:tblInd w:w="3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2"/>
      </w:tblGrid>
      <w:tr w:rsidR="00CE5B29" w:rsidRPr="00BC31E0" w14:paraId="50D77FC6" w14:textId="77777777" w:rsidTr="00CE5B29">
        <w:tc>
          <w:tcPr>
            <w:tcW w:w="0" w:type="auto"/>
            <w:tcMar>
              <w:left w:w="0" w:type="dxa"/>
              <w:right w:w="0" w:type="dxa"/>
            </w:tcMar>
          </w:tcPr>
          <w:p w14:paraId="6BB9C56B" w14:textId="77777777" w:rsidR="00CE5B29" w:rsidRPr="00BC31E0" w:rsidRDefault="00A51873" w:rsidP="00CE5B29">
            <w:pPr>
              <w:tabs>
                <w:tab w:val="left" w:pos="2552"/>
              </w:tabs>
              <w:autoSpaceDE w:val="0"/>
              <w:autoSpaceDN w:val="0"/>
              <w:spacing w:before="120"/>
              <w:rPr>
                <w:i/>
              </w:rPr>
            </w:pPr>
            <m:oMathPara>
              <m:oMath>
                <m:sSub>
                  <m:sSubPr>
                    <m:ctrlPr>
                      <w:rPr>
                        <w:rFonts w:ascii="Cambria Math" w:hAnsi="Cambria Math"/>
                        <w:i/>
                      </w:rPr>
                    </m:ctrlPr>
                  </m:sSubPr>
                  <m:e>
                    <m:r>
                      <w:rPr>
                        <w:rFonts w:ascii="Cambria Math" w:hAnsi="Cambria Math"/>
                      </w:rPr>
                      <m:t>R</m:t>
                    </m:r>
                  </m:e>
                  <m:sub>
                    <m:r>
                      <w:rPr>
                        <w:rFonts w:ascii="Cambria Math" w:hAnsi="Cambria Math"/>
                      </w:rPr>
                      <m:t>K</m:t>
                    </m:r>
                  </m:sub>
                </m:sSub>
                <m:r>
                  <w:rPr>
                    <w:rFonts w:ascii="Cambria Math" w:hAnsi="Cambria Math"/>
                  </w:rPr>
                  <m:t>=</m:t>
                </m:r>
                <m:f>
                  <m:fPr>
                    <m:ctrlPr>
                      <w:rPr>
                        <w:rFonts w:ascii="Cambria Math" w:hAnsi="Cambria Math"/>
                        <w:i/>
                      </w:rPr>
                    </m:ctrlPr>
                  </m:fPr>
                  <m:num>
                    <m:sSubSup>
                      <m:sSubSupPr>
                        <m:ctrlPr>
                          <w:rPr>
                            <w:rFonts w:ascii="Cambria Math" w:hAnsi="Cambria Math"/>
                          </w:rPr>
                        </m:ctrlPr>
                      </m:sSubSupPr>
                      <m:e>
                        <m:r>
                          <w:rPr>
                            <w:rFonts w:ascii="Cambria Math" w:hAnsi="Cambria Math" w:hint="eastAsia"/>
                          </w:rPr>
                          <m:t>K</m:t>
                        </m:r>
                      </m:e>
                      <m:sub>
                        <m:r>
                          <m:rPr>
                            <m:sty m:val="p"/>
                          </m:rPr>
                          <w:rPr>
                            <w:rFonts w:ascii="Cambria Math" w:hAnsi="Cambria Math"/>
                          </w:rPr>
                          <m:t>Imin</m:t>
                        </m:r>
                      </m:sub>
                      <m:sup>
                        <m:r>
                          <m:rPr>
                            <m:sty m:val="p"/>
                          </m:rP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K</m:t>
                        </m:r>
                      </m:e>
                      <m:sub>
                        <m:r>
                          <m:rPr>
                            <m:sty m:val="p"/>
                          </m:rPr>
                          <w:rPr>
                            <w:rFonts w:ascii="Cambria Math" w:hAnsi="Cambria Math"/>
                          </w:rPr>
                          <m:t>I</m:t>
                        </m:r>
                        <m:r>
                          <w:rPr>
                            <w:rFonts w:ascii="Cambria Math" w:hAnsi="Cambria Math"/>
                          </w:rPr>
                          <m:t>res</m:t>
                        </m:r>
                      </m:sub>
                    </m:sSub>
                  </m:num>
                  <m:den>
                    <m:sSubSup>
                      <m:sSubSupPr>
                        <m:ctrlPr>
                          <w:rPr>
                            <w:rFonts w:ascii="Cambria Math" w:hAnsi="Cambria Math"/>
                          </w:rPr>
                        </m:ctrlPr>
                      </m:sSubSupPr>
                      <m:e>
                        <m:r>
                          <w:rPr>
                            <w:rFonts w:ascii="Cambria Math" w:hAnsi="Cambria Math" w:hint="eastAsia"/>
                          </w:rPr>
                          <m:t>K</m:t>
                        </m:r>
                      </m:e>
                      <m:sub>
                        <m:r>
                          <m:rPr>
                            <m:sty m:val="p"/>
                          </m:rPr>
                          <w:rPr>
                            <w:rFonts w:ascii="Cambria Math" w:hAnsi="Cambria Math"/>
                          </w:rPr>
                          <m:t>Imax</m:t>
                        </m:r>
                      </m:sub>
                      <m:sup>
                        <m:r>
                          <m:rPr>
                            <m:sty m:val="p"/>
                          </m:rP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K</m:t>
                        </m:r>
                      </m:e>
                      <m:sub>
                        <m:r>
                          <m:rPr>
                            <m:sty m:val="p"/>
                          </m:rPr>
                          <w:rPr>
                            <w:rFonts w:ascii="Cambria Math" w:hAnsi="Cambria Math"/>
                          </w:rPr>
                          <m:t>I</m:t>
                        </m:r>
                        <m:r>
                          <w:rPr>
                            <w:rFonts w:ascii="Cambria Math" w:hAnsi="Cambria Math"/>
                          </w:rPr>
                          <m:t>res</m:t>
                        </m:r>
                      </m:sub>
                    </m:sSub>
                  </m:den>
                </m:f>
              </m:oMath>
            </m:oMathPara>
          </w:p>
        </w:tc>
      </w:tr>
    </w:tbl>
    <w:p w14:paraId="764DA9F7" w14:textId="77777777" w:rsidR="00CE5B29" w:rsidRPr="00BC31E0" w:rsidRDefault="00CE5B29" w:rsidP="00C67109">
      <w:pPr>
        <w:autoSpaceDE w:val="0"/>
        <w:autoSpaceDN w:val="0"/>
        <w:spacing w:before="120" w:after="120"/>
        <w:ind w:left="454" w:firstLineChars="100" w:firstLine="210"/>
      </w:pPr>
      <w:r w:rsidRPr="00BC31E0">
        <w:rPr>
          <w:rFonts w:hint="eastAsia"/>
        </w:rPr>
        <w:t>亀裂長さ</w:t>
      </w:r>
      <m:oMath>
        <m:r>
          <m:rPr>
            <m:sty m:val="p"/>
          </m:rPr>
          <w:rPr>
            <w:rFonts w:ascii="Cambria Math" w:hAnsi="Cambria Math"/>
          </w:rPr>
          <m:t xml:space="preserve"> </m:t>
        </m:r>
        <m:r>
          <w:rPr>
            <w:rFonts w:ascii="Cambria Math" w:hAnsi="Cambria Math"/>
          </w:rPr>
          <m:t xml:space="preserve">l </m:t>
        </m:r>
      </m:oMath>
      <w:r w:rsidRPr="00BC31E0">
        <w:rPr>
          <w:rFonts w:hint="eastAsia"/>
        </w:rPr>
        <w:t>の半楕円表面亀裂では，亀裂の表面点における疲労亀裂進展速度を次式とする。</w:t>
      </w:r>
    </w:p>
    <w:tbl>
      <w:tblPr>
        <w:tblStyle w:val="afff2"/>
        <w:tblW w:w="5953" w:type="dxa"/>
        <w:tblInd w:w="3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5"/>
        <w:gridCol w:w="3608"/>
      </w:tblGrid>
      <w:tr w:rsidR="00CE5B29" w:rsidRPr="00BC31E0" w14:paraId="5CB5326F" w14:textId="77777777" w:rsidTr="00CE5B29">
        <w:tc>
          <w:tcPr>
            <w:tcW w:w="0" w:type="auto"/>
            <w:tcMar>
              <w:left w:w="0" w:type="dxa"/>
              <w:right w:w="0" w:type="dxa"/>
            </w:tcMar>
            <w:vAlign w:val="center"/>
          </w:tcPr>
          <w:p w14:paraId="1C7E5D2C" w14:textId="77777777" w:rsidR="00CE5B29" w:rsidRPr="00BC31E0" w:rsidRDefault="00A51873" w:rsidP="00CE5B29">
            <w:pPr>
              <w:tabs>
                <w:tab w:val="left" w:pos="2552"/>
                <w:tab w:val="left" w:leader="middleDot" w:pos="8222"/>
              </w:tabs>
              <w:autoSpaceDE w:val="0"/>
              <w:autoSpaceDN w:val="0"/>
              <w:rPr>
                <w:rFonts w:asciiTheme="minorHAnsi" w:eastAsiaTheme="minorEastAsia" w:hAnsiTheme="minorHAnsi"/>
                <w:bCs/>
                <w:i/>
              </w:rPr>
            </w:pPr>
            <m:oMathPara>
              <m:oMathParaPr>
                <m:jc m:val="left"/>
              </m:oMathParaPr>
              <m:oMath>
                <m:f>
                  <m:fPr>
                    <m:ctrlPr>
                      <w:rPr>
                        <w:rFonts w:ascii="Cambria Math" w:eastAsiaTheme="minorEastAsia" w:hAnsi="Cambria Math"/>
                        <w:bCs/>
                        <w:i/>
                      </w:rPr>
                    </m:ctrlPr>
                  </m:fPr>
                  <m:num>
                    <m:r>
                      <w:rPr>
                        <w:rFonts w:ascii="Cambria Math" w:eastAsiaTheme="minorEastAsia" w:hAnsi="Cambria Math"/>
                      </w:rPr>
                      <m:t>dl</m:t>
                    </m:r>
                  </m:num>
                  <m:den>
                    <m:r>
                      <w:rPr>
                        <w:rFonts w:ascii="Cambria Math" w:eastAsiaTheme="minorEastAsia" w:hAnsi="Cambria Math"/>
                      </w:rPr>
                      <m:t>dN</m:t>
                    </m:r>
                  </m:den>
                </m:f>
                <m:r>
                  <w:rPr>
                    <w:rFonts w:ascii="Cambria Math" w:eastAsiaTheme="minorEastAsia" w:hAnsi="Cambria Math"/>
                  </w:rPr>
                  <m:t xml:space="preserve">=2 C </m:t>
                </m:r>
                <m:d>
                  <m:dPr>
                    <m:begChr m:val="{"/>
                    <m:endChr m:val="}"/>
                    <m:ctrlPr>
                      <w:rPr>
                        <w:rFonts w:ascii="Cambria Math" w:eastAsiaTheme="minorEastAsia" w:hAnsi="Cambria Math"/>
                        <w:bCs/>
                        <w:i/>
                      </w:rPr>
                    </m:ctrlPr>
                  </m:dPr>
                  <m:e>
                    <m:r>
                      <w:rPr>
                        <w:rFonts w:ascii="Cambria Math" w:eastAsiaTheme="minorEastAsia" w:hAnsi="Cambria Math"/>
                      </w:rPr>
                      <m:t xml:space="preserve"> f</m:t>
                    </m:r>
                    <m:d>
                      <m:dPr>
                        <m:ctrlPr>
                          <w:rPr>
                            <w:rFonts w:ascii="Cambria Math" w:eastAsiaTheme="minorEastAsia" w:hAnsi="Cambria Math"/>
                            <w:bCs/>
                            <w:i/>
                          </w:rPr>
                        </m:ctrlPr>
                      </m:dPr>
                      <m:e>
                        <m:sSub>
                          <m:sSubPr>
                            <m:ctrlPr>
                              <w:rPr>
                                <w:rFonts w:ascii="Cambria Math" w:eastAsiaTheme="minorEastAsia" w:hAnsi="Cambria Math"/>
                                <w:bCs/>
                                <w:i/>
                              </w:rPr>
                            </m:ctrlPr>
                          </m:sSubPr>
                          <m:e>
                            <m:r>
                              <w:rPr>
                                <w:rFonts w:ascii="Cambria Math" w:eastAsiaTheme="minorEastAsia" w:hAnsi="Cambria Math"/>
                              </w:rPr>
                              <m:t>R</m:t>
                            </m:r>
                          </m:e>
                          <m:sub>
                            <m:r>
                              <w:rPr>
                                <w:rFonts w:ascii="Cambria Math" w:eastAsiaTheme="minorEastAsia" w:hAnsi="Cambria Math"/>
                              </w:rPr>
                              <m:t>K</m:t>
                            </m:r>
                          </m:sub>
                        </m:sSub>
                      </m:e>
                    </m:d>
                    <m:r>
                      <w:rPr>
                        <w:rFonts w:ascii="Cambria Math" w:eastAsiaTheme="minorEastAsia" w:hAnsi="Cambria Math"/>
                      </w:rPr>
                      <m:t xml:space="preserve"> </m:t>
                    </m:r>
                  </m:e>
                </m:d>
                <m:sSup>
                  <m:sSupPr>
                    <m:ctrlPr>
                      <w:rPr>
                        <w:rFonts w:ascii="Cambria Math" w:eastAsiaTheme="minorEastAsia" w:hAnsi="Cambria Math"/>
                        <w:bCs/>
                        <w:i/>
                      </w:rPr>
                    </m:ctrlPr>
                  </m:sSupPr>
                  <m:e>
                    <m:d>
                      <m:dPr>
                        <m:ctrlPr>
                          <w:rPr>
                            <w:rFonts w:ascii="Cambria Math" w:eastAsiaTheme="minorEastAsia" w:hAnsi="Cambria Math"/>
                            <w:bCs/>
                            <w:i/>
                          </w:rPr>
                        </m:ctrlPr>
                      </m:dPr>
                      <m:e>
                        <m:r>
                          <w:rPr>
                            <w:rFonts w:ascii="Cambria Math" w:eastAsiaTheme="minorEastAsia" w:hAnsi="Cambria Math"/>
                          </w:rPr>
                          <m:t>∆</m:t>
                        </m:r>
                        <m:sSub>
                          <m:sSubPr>
                            <m:ctrlPr>
                              <w:rPr>
                                <w:rFonts w:ascii="Cambria Math" w:eastAsiaTheme="minorEastAsia" w:hAnsi="Cambria Math"/>
                                <w:bCs/>
                                <w:i/>
                              </w:rPr>
                            </m:ctrlPr>
                          </m:sSubPr>
                          <m:e>
                            <m:r>
                              <w:rPr>
                                <w:rFonts w:ascii="Cambria Math" w:eastAsiaTheme="minorEastAsia" w:hAnsi="Cambria Math"/>
                              </w:rPr>
                              <m:t>K</m:t>
                            </m:r>
                          </m:e>
                          <m:sub>
                            <m:r>
                              <m:rPr>
                                <m:sty m:val="p"/>
                              </m:rPr>
                              <w:rPr>
                                <w:rFonts w:ascii="Cambria Math" w:eastAsiaTheme="minorEastAsia" w:hAnsi="Cambria Math"/>
                              </w:rPr>
                              <m:t>I</m:t>
                            </m:r>
                          </m:sub>
                        </m:sSub>
                      </m:e>
                    </m:d>
                  </m:e>
                  <m:sup>
                    <m:r>
                      <w:rPr>
                        <w:rFonts w:ascii="Cambria Math" w:eastAsiaTheme="minorEastAsia" w:hAnsi="Cambria Math"/>
                      </w:rPr>
                      <m:t>m</m:t>
                    </m:r>
                  </m:sup>
                </m:sSup>
              </m:oMath>
            </m:oMathPara>
          </w:p>
        </w:tc>
        <w:tc>
          <w:tcPr>
            <w:tcW w:w="3608" w:type="dxa"/>
            <w:tcMar>
              <w:left w:w="0" w:type="dxa"/>
              <w:right w:w="0" w:type="dxa"/>
            </w:tcMar>
            <w:vAlign w:val="center"/>
          </w:tcPr>
          <w:p w14:paraId="36C91EF3" w14:textId="77777777" w:rsidR="00CE5B29" w:rsidRPr="00BC31E0" w:rsidRDefault="00CE5B29" w:rsidP="00CE5B29">
            <w:pPr>
              <w:tabs>
                <w:tab w:val="left" w:leader="middleDot" w:pos="2758"/>
              </w:tabs>
              <w:autoSpaceDE w:val="0"/>
              <w:autoSpaceDN w:val="0"/>
              <w:jc w:val="left"/>
              <w:rPr>
                <w:rFonts w:asciiTheme="minorHAnsi" w:eastAsiaTheme="minorEastAsia" w:hAnsiTheme="minorHAnsi"/>
                <w:bCs/>
              </w:rPr>
            </w:pPr>
            <w:r w:rsidRPr="00BC31E0">
              <w:rPr>
                <w:rFonts w:asciiTheme="minorHAnsi" w:eastAsiaTheme="minorEastAsia" w:hAnsiTheme="minorHAnsi"/>
                <w:bCs/>
              </w:rPr>
              <w:tab/>
              <w:t>(6.4.</w:t>
            </w:r>
            <w:r w:rsidRPr="00BC31E0">
              <w:rPr>
                <w:rFonts w:asciiTheme="minorHAnsi" w:eastAsiaTheme="minorEastAsia" w:hAnsiTheme="minorHAnsi" w:hint="eastAsia"/>
                <w:bCs/>
              </w:rPr>
              <w:t>2</w:t>
            </w:r>
            <w:r w:rsidRPr="00BC31E0">
              <w:rPr>
                <w:rFonts w:asciiTheme="minorHAnsi" w:eastAsiaTheme="minorEastAsia" w:hAnsiTheme="minorHAnsi"/>
                <w:bCs/>
              </w:rPr>
              <w:t>)</w:t>
            </w:r>
          </w:p>
        </w:tc>
      </w:tr>
    </w:tbl>
    <w:p w14:paraId="2E5CA437" w14:textId="77777777" w:rsidR="008B724B" w:rsidRPr="00BC31E0" w:rsidRDefault="00CE5B29" w:rsidP="00C67109">
      <w:pPr>
        <w:pStyle w:val="a4"/>
        <w:spacing w:before="120"/>
        <w:ind w:leftChars="0" w:left="454" w:firstLineChars="100" w:firstLine="210"/>
      </w:pPr>
      <w:r w:rsidRPr="00BC31E0">
        <w:rPr>
          <w:rFonts w:hint="eastAsia"/>
        </w:rPr>
        <w:t>疲労亀裂進展計算では，応力拡大係数に対する塑性域補正項を</w:t>
      </w:r>
      <w:r w:rsidR="008B724B" w:rsidRPr="00BC31E0">
        <w:rPr>
          <w:rFonts w:hint="eastAsia"/>
        </w:rPr>
        <w:t>0</w:t>
      </w:r>
      <w:r w:rsidRPr="00BC31E0">
        <w:rPr>
          <w:rFonts w:hint="eastAsia"/>
        </w:rPr>
        <w:t>とする</w:t>
      </w:r>
      <w:r w:rsidRPr="00BC31E0">
        <w:rPr>
          <w:rFonts w:hint="eastAsia"/>
        </w:rPr>
        <w:t>(</w:t>
      </w:r>
      <w:r w:rsidRPr="00BC31E0">
        <w:rPr>
          <w:rFonts w:asciiTheme="majorEastAsia" w:eastAsiaTheme="majorEastAsia" w:hAnsiTheme="majorEastAsia" w:hint="eastAsia"/>
          <w:b/>
        </w:rPr>
        <w:t>附属書 C</w:t>
      </w:r>
      <w:r w:rsidRPr="00BC31E0">
        <w:rPr>
          <w:rFonts w:hint="eastAsia"/>
        </w:rPr>
        <w:t>を参照</w:t>
      </w:r>
      <w:r w:rsidRPr="00BC31E0">
        <w:rPr>
          <w:rFonts w:hint="eastAsia"/>
        </w:rPr>
        <w:t>)</w:t>
      </w:r>
      <w:r w:rsidRPr="00BC31E0">
        <w:rPr>
          <w:rFonts w:hint="eastAsia"/>
        </w:rPr>
        <w:t>。また，</w:t>
      </w:r>
      <m:oMath>
        <m:r>
          <m:rPr>
            <m:sty m:val="p"/>
          </m:rPr>
          <w:rPr>
            <w:rFonts w:ascii="Cambria Math" w:hAnsi="Cambria Math"/>
          </w:rPr>
          <m:t xml:space="preserve"> </m:t>
        </m:r>
        <m:d>
          <m:dPr>
            <m:ctrlPr>
              <w:rPr>
                <w:rFonts w:ascii="Cambria Math" w:hAnsi="Cambria Math"/>
              </w:rPr>
            </m:ctrlPr>
          </m:dPr>
          <m:e>
            <m:sSubSup>
              <m:sSubSupPr>
                <m:ctrlPr>
                  <w:rPr>
                    <w:rFonts w:ascii="Cambria Math" w:hAnsi="Cambria Math"/>
                  </w:rPr>
                </m:ctrlPr>
              </m:sSubSupPr>
              <m:e>
                <m:r>
                  <w:rPr>
                    <w:rFonts w:ascii="Cambria Math" w:hAnsi="Cambria Math" w:hint="eastAsia"/>
                  </w:rPr>
                  <m:t>K</m:t>
                </m:r>
              </m:e>
              <m:sub>
                <m:r>
                  <m:rPr>
                    <m:sty m:val="p"/>
                  </m:rPr>
                  <w:rPr>
                    <w:rFonts w:ascii="Cambria Math" w:hAnsi="Cambria Math"/>
                  </w:rPr>
                  <m:t>Imax</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I</m:t>
                </m:r>
                <m:r>
                  <w:rPr>
                    <w:rFonts w:ascii="Cambria Math" w:hAnsi="Cambria Math"/>
                  </w:rPr>
                  <m:t>res</m:t>
                </m:r>
              </m:sub>
            </m:sSub>
          </m:e>
        </m:d>
        <m:r>
          <m:rPr>
            <m:sty m:val="p"/>
          </m:rPr>
          <w:rPr>
            <w:rFonts w:ascii="Cambria Math" w:hAnsi="Cambria Math" w:hint="eastAsia"/>
          </w:rPr>
          <m:t>≦</m:t>
        </m:r>
        <m:r>
          <m:rPr>
            <m:sty m:val="p"/>
          </m:rPr>
          <w:rPr>
            <w:rFonts w:ascii="Cambria Math" w:hAnsi="Cambria Math"/>
          </w:rPr>
          <m:t xml:space="preserve">0 </m:t>
        </m:r>
      </m:oMath>
      <w:r w:rsidRPr="00BC31E0">
        <w:rPr>
          <w:rFonts w:hint="eastAsia"/>
        </w:rPr>
        <w:t>の場合には，</w:t>
      </w:r>
      <m:oMath>
        <m:f>
          <m:fPr>
            <m:type m:val="lin"/>
            <m:ctrlPr>
              <w:rPr>
                <w:rFonts w:ascii="Cambria Math" w:hAnsi="Cambria Math"/>
              </w:rPr>
            </m:ctrlPr>
          </m:fPr>
          <m:num>
            <m:r>
              <w:rPr>
                <w:rFonts w:ascii="Cambria Math" w:hAnsi="Cambria Math"/>
              </w:rPr>
              <m:t>da</m:t>
            </m:r>
          </m:num>
          <m:den>
            <m:r>
              <w:rPr>
                <w:rFonts w:ascii="Cambria Math" w:hAnsi="Cambria Math"/>
              </w:rPr>
              <m:t>dN</m:t>
            </m:r>
            <m:r>
              <m:rPr>
                <m:sty m:val="p"/>
              </m:rPr>
              <w:rPr>
                <w:rFonts w:ascii="Cambria Math" w:hAnsi="Cambria Math"/>
              </w:rPr>
              <m:t>=</m:t>
            </m:r>
            <m:r>
              <m:rPr>
                <m:sty m:val="p"/>
              </m:rPr>
              <w:rPr>
                <w:rFonts w:ascii="Cambria Math" w:hAnsi="Cambria Math" w:hint="eastAsia"/>
              </w:rPr>
              <m:t>0</m:t>
            </m:r>
            <m:r>
              <m:rPr>
                <m:sty m:val="p"/>
              </m:rPr>
              <w:rPr>
                <w:rFonts w:ascii="Cambria Math" w:hAnsi="Cambria Math"/>
              </w:rPr>
              <m:t xml:space="preserve"> </m:t>
            </m:r>
          </m:den>
        </m:f>
      </m:oMath>
      <w:r w:rsidRPr="00BC31E0">
        <w:rPr>
          <w:rFonts w:hint="eastAsia"/>
        </w:rPr>
        <w:t>及び</w:t>
      </w:r>
      <m:oMath>
        <m:f>
          <m:fPr>
            <m:type m:val="lin"/>
            <m:ctrlPr>
              <w:rPr>
                <w:rFonts w:ascii="Cambria Math" w:hAnsi="Cambria Math"/>
              </w:rPr>
            </m:ctrlPr>
          </m:fPr>
          <m:num>
            <m:r>
              <m:rPr>
                <m:sty m:val="p"/>
              </m:rPr>
              <w:rPr>
                <w:rFonts w:ascii="Cambria Math" w:hAnsi="Cambria Math" w:hint="eastAsia"/>
              </w:rPr>
              <m:t xml:space="preserve"> </m:t>
            </m:r>
            <m:r>
              <w:rPr>
                <w:rFonts w:ascii="Cambria Math" w:hAnsi="Cambria Math"/>
              </w:rPr>
              <m:t>d</m:t>
            </m:r>
            <m:r>
              <w:rPr>
                <w:rFonts w:ascii="Cambria Math" w:hAnsi="Cambria Math" w:hint="eastAsia"/>
              </w:rPr>
              <m:t>l</m:t>
            </m:r>
          </m:num>
          <m:den>
            <m:r>
              <w:rPr>
                <w:rFonts w:ascii="Cambria Math" w:hAnsi="Cambria Math"/>
              </w:rPr>
              <m:t>dN</m:t>
            </m:r>
            <m:r>
              <m:rPr>
                <m:sty m:val="p"/>
              </m:rPr>
              <w:rPr>
                <w:rFonts w:ascii="Cambria Math" w:hAnsi="Cambria Math"/>
              </w:rPr>
              <m:t>=</m:t>
            </m:r>
            <m:r>
              <m:rPr>
                <m:sty m:val="p"/>
              </m:rPr>
              <w:rPr>
                <w:rFonts w:ascii="Cambria Math" w:hAnsi="Cambria Math" w:hint="eastAsia"/>
              </w:rPr>
              <m:t>0</m:t>
            </m:r>
            <m:r>
              <m:rPr>
                <m:sty m:val="p"/>
              </m:rPr>
              <w:rPr>
                <w:rFonts w:ascii="Cambria Math" w:hAnsi="Cambria Math"/>
              </w:rPr>
              <m:t xml:space="preserve"> </m:t>
            </m:r>
          </m:den>
        </m:f>
      </m:oMath>
      <w:r w:rsidRPr="00BC31E0">
        <w:rPr>
          <w:rFonts w:hint="eastAsia"/>
        </w:rPr>
        <w:t>とする。</w:t>
      </w:r>
    </w:p>
    <w:p w14:paraId="3314AE4B" w14:textId="77777777" w:rsidR="00CE5B29" w:rsidRPr="00BC31E0" w:rsidRDefault="00CE5B29" w:rsidP="00C67109">
      <w:pPr>
        <w:pStyle w:val="a4"/>
        <w:ind w:leftChars="0" w:left="454" w:firstLineChars="100" w:firstLine="210"/>
        <w:rPr>
          <w:rFonts w:asciiTheme="minorHAnsi" w:eastAsiaTheme="minorEastAsia" w:hAnsiTheme="minorHAnsi"/>
        </w:rPr>
      </w:pPr>
      <w:r w:rsidRPr="00BC31E0">
        <w:rPr>
          <w:rFonts w:asciiTheme="minorHAnsi" w:eastAsiaTheme="minorEastAsia" w:hAnsiTheme="minorEastAsia"/>
        </w:rPr>
        <w:t>材料定数</w:t>
      </w:r>
      <m:oMath>
        <m:r>
          <m:rPr>
            <m:sty m:val="p"/>
          </m:rPr>
          <w:rPr>
            <w:rFonts w:ascii="Cambria Math" w:eastAsiaTheme="minorEastAsia" w:hAnsiTheme="minorHAnsi"/>
          </w:rPr>
          <m:t xml:space="preserve"> </m:t>
        </m:r>
        <m:r>
          <w:rPr>
            <w:rFonts w:ascii="Cambria Math" w:eastAsiaTheme="minorEastAsia" w:hAnsi="Cambria Math"/>
          </w:rPr>
          <m:t>C</m:t>
        </m:r>
        <m:r>
          <m:rPr>
            <m:sty m:val="p"/>
          </m:rPr>
          <w:rPr>
            <w:rFonts w:ascii="Cambria Math" w:eastAsiaTheme="minorEastAsia" w:hAnsiTheme="minorHAnsi"/>
          </w:rPr>
          <m:t xml:space="preserve"> </m:t>
        </m:r>
      </m:oMath>
      <w:r w:rsidRPr="00BC31E0">
        <w:rPr>
          <w:rFonts w:asciiTheme="minorHAnsi" w:eastAsiaTheme="minorEastAsia" w:hAnsiTheme="minorEastAsia"/>
        </w:rPr>
        <w:t>と</w:t>
      </w:r>
      <m:oMath>
        <m:r>
          <m:rPr>
            <m:sty m:val="p"/>
          </m:rPr>
          <w:rPr>
            <w:rFonts w:ascii="Cambria Math" w:eastAsiaTheme="minorEastAsia" w:hAnsiTheme="minorHAnsi"/>
          </w:rPr>
          <m:t xml:space="preserve"> </m:t>
        </m:r>
        <m:r>
          <w:rPr>
            <w:rFonts w:ascii="Cambria Math" w:eastAsiaTheme="minorEastAsia" w:hAnsi="Cambria Math"/>
          </w:rPr>
          <m:t>m</m:t>
        </m:r>
        <m:r>
          <m:rPr>
            <m:sty m:val="p"/>
          </m:rPr>
          <w:rPr>
            <w:rFonts w:ascii="Cambria Math" w:eastAsiaTheme="minorEastAsia" w:hAnsiTheme="minorHAnsi"/>
          </w:rPr>
          <m:t xml:space="preserve"> </m:t>
        </m:r>
      </m:oMath>
      <w:r w:rsidRPr="00BC31E0">
        <w:rPr>
          <w:rFonts w:asciiTheme="minorHAnsi" w:eastAsiaTheme="minorEastAsia" w:hAnsiTheme="minorEastAsia"/>
        </w:rPr>
        <w:t>の値は，</w:t>
      </w:r>
      <m:oMath>
        <m:r>
          <m:rPr>
            <m:sty m:val="p"/>
          </m:rPr>
          <w:rPr>
            <w:rFonts w:ascii="Cambria Math" w:eastAsiaTheme="minorEastAsia" w:hAnsiTheme="minorHAnsi"/>
          </w:rPr>
          <m:t xml:space="preserve"> </m:t>
        </m:r>
        <m:r>
          <w:rPr>
            <w:rFonts w:ascii="Cambria Math" w:eastAsiaTheme="minorEastAsia" w:hAnsi="Cambria Math"/>
          </w:rPr>
          <m:t>f</m:t>
        </m:r>
        <m:d>
          <m:dPr>
            <m:ctrlPr>
              <w:rPr>
                <w:rFonts w:ascii="Cambria Math" w:eastAsiaTheme="minorEastAsia" w:hAnsiTheme="minorHAnsi"/>
              </w:rPr>
            </m:ctrlPr>
          </m:dPr>
          <m:e>
            <m:sSub>
              <m:sSubPr>
                <m:ctrlPr>
                  <w:rPr>
                    <w:rFonts w:ascii="Cambria Math" w:eastAsiaTheme="minorEastAsia" w:hAnsiTheme="minorHAnsi"/>
                  </w:rPr>
                </m:ctrlPr>
              </m:sSubPr>
              <m:e>
                <m:r>
                  <w:rPr>
                    <w:rFonts w:ascii="Cambria Math" w:eastAsiaTheme="minorEastAsia" w:hAnsi="Cambria Math"/>
                  </w:rPr>
                  <m:t>R</m:t>
                </m:r>
              </m:e>
              <m:sub>
                <m:r>
                  <w:rPr>
                    <w:rFonts w:ascii="Cambria Math" w:eastAsiaTheme="minorEastAsia" w:hAnsi="Cambria Math"/>
                  </w:rPr>
                  <m:t>K</m:t>
                </m:r>
              </m:sub>
            </m:sSub>
          </m:e>
        </m:d>
        <m:r>
          <m:rPr>
            <m:sty m:val="p"/>
          </m:rPr>
          <w:rPr>
            <w:rFonts w:ascii="Cambria Math" w:eastAsiaTheme="minorEastAsia" w:hAnsiTheme="minorHAnsi"/>
          </w:rPr>
          <m:t xml:space="preserve">=1 </m:t>
        </m:r>
      </m:oMath>
      <w:r w:rsidRPr="00BC31E0">
        <w:rPr>
          <w:rFonts w:asciiTheme="minorHAnsi" w:eastAsiaTheme="minorEastAsia" w:hAnsiTheme="minorEastAsia"/>
        </w:rPr>
        <w:t>の場合に対して，</w:t>
      </w:r>
      <w:r w:rsidRPr="00BC31E0">
        <w:rPr>
          <w:rFonts w:asciiTheme="majorEastAsia" w:eastAsiaTheme="majorEastAsia" w:hAnsiTheme="majorEastAsia"/>
          <w:b/>
        </w:rPr>
        <w:t>表6.4.1</w:t>
      </w:r>
      <w:r w:rsidRPr="00BC31E0">
        <w:rPr>
          <w:rFonts w:asciiTheme="minorHAnsi" w:eastAsiaTheme="minorEastAsia" w:hAnsiTheme="minorEastAsia"/>
        </w:rPr>
        <w:t>に与えられる。</w:t>
      </w:r>
      <m:oMath>
        <m:sSub>
          <m:sSubPr>
            <m:ctrlPr>
              <w:rPr>
                <w:rFonts w:ascii="Cambria Math" w:eastAsiaTheme="minorEastAsia" w:hAnsiTheme="minorHAnsi"/>
              </w:rPr>
            </m:ctrlPr>
          </m:sSubPr>
          <m:e>
            <m:r>
              <w:rPr>
                <w:rFonts w:ascii="Cambria Math" w:eastAsiaTheme="minorEastAsia" w:hAnsi="Cambria Math"/>
              </w:rPr>
              <m:t>R</m:t>
            </m:r>
          </m:e>
          <m:sub>
            <m:r>
              <w:rPr>
                <w:rFonts w:ascii="Cambria Math" w:eastAsiaTheme="minorEastAsia" w:hAnsi="Cambria Math"/>
              </w:rPr>
              <m:t>K</m:t>
            </m:r>
          </m:sub>
        </m:sSub>
        <m:r>
          <m:rPr>
            <m:sty m:val="p"/>
          </m:rPr>
          <w:rPr>
            <w:rFonts w:ascii="Cambria Math" w:eastAsiaTheme="minorEastAsia" w:hAnsiTheme="minorHAnsi"/>
          </w:rPr>
          <m:t xml:space="preserve">=0 </m:t>
        </m:r>
      </m:oMath>
      <w:r w:rsidR="00A84424" w:rsidRPr="00BC31E0">
        <w:rPr>
          <w:rFonts w:asciiTheme="minorHAnsi" w:eastAsiaTheme="minorEastAsia" w:hAnsiTheme="minorEastAsia"/>
        </w:rPr>
        <w:t>の</w:t>
      </w:r>
      <w:r w:rsidR="00A84424" w:rsidRPr="00BC31E0">
        <w:rPr>
          <w:rFonts w:asciiTheme="minorHAnsi" w:eastAsiaTheme="minorEastAsia" w:hAnsiTheme="minorEastAsia" w:hint="eastAsia"/>
        </w:rPr>
        <w:t>とき</w:t>
      </w:r>
      <w:r w:rsidRPr="00BC31E0">
        <w:rPr>
          <w:rFonts w:asciiTheme="minorHAnsi" w:eastAsiaTheme="minorEastAsia" w:hAnsiTheme="minorEastAsia"/>
        </w:rPr>
        <w:t>に</w:t>
      </w:r>
      <m:oMath>
        <m:r>
          <m:rPr>
            <m:sty m:val="p"/>
          </m:rPr>
          <w:rPr>
            <w:rFonts w:ascii="Cambria Math" w:eastAsiaTheme="minorEastAsia" w:hAnsiTheme="minorHAnsi"/>
          </w:rPr>
          <m:t xml:space="preserve"> </m:t>
        </m:r>
        <m:r>
          <w:rPr>
            <w:rFonts w:ascii="Cambria Math" w:eastAsiaTheme="minorEastAsia" w:hAnsi="Cambria Math"/>
          </w:rPr>
          <m:t>f</m:t>
        </m:r>
        <m:d>
          <m:dPr>
            <m:ctrlPr>
              <w:rPr>
                <w:rFonts w:ascii="Cambria Math" w:eastAsiaTheme="minorEastAsia" w:hAnsiTheme="minorHAnsi"/>
              </w:rPr>
            </m:ctrlPr>
          </m:dPr>
          <m:e>
            <m:sSub>
              <m:sSubPr>
                <m:ctrlPr>
                  <w:rPr>
                    <w:rFonts w:ascii="Cambria Math" w:eastAsiaTheme="minorEastAsia" w:hAnsiTheme="minorHAnsi"/>
                  </w:rPr>
                </m:ctrlPr>
              </m:sSubPr>
              <m:e>
                <m:r>
                  <w:rPr>
                    <w:rFonts w:ascii="Cambria Math" w:eastAsiaTheme="minorEastAsia" w:hAnsi="Cambria Math"/>
                  </w:rPr>
                  <m:t>R</m:t>
                </m:r>
              </m:e>
              <m:sub>
                <m:r>
                  <w:rPr>
                    <w:rFonts w:ascii="Cambria Math" w:eastAsiaTheme="minorEastAsia" w:hAnsi="Cambria Math"/>
                  </w:rPr>
                  <m:t>K</m:t>
                </m:r>
              </m:sub>
            </m:sSub>
          </m:e>
        </m:d>
        <m:r>
          <m:rPr>
            <m:sty m:val="p"/>
          </m:rPr>
          <w:rPr>
            <w:rFonts w:ascii="Cambria Math" w:eastAsiaTheme="minorEastAsia" w:hAnsiTheme="minorHAnsi"/>
          </w:rPr>
          <m:t xml:space="preserve">=1 </m:t>
        </m:r>
      </m:oMath>
      <w:r w:rsidRPr="00BC31E0">
        <w:rPr>
          <w:rFonts w:asciiTheme="minorHAnsi" w:eastAsiaTheme="minorEastAsia" w:hAnsiTheme="minorEastAsia"/>
        </w:rPr>
        <w:t>であり，関数</w:t>
      </w:r>
      <m:oMath>
        <m:r>
          <m:rPr>
            <m:sty m:val="p"/>
          </m:rPr>
          <w:rPr>
            <w:rFonts w:ascii="Cambria Math" w:eastAsiaTheme="minorEastAsia" w:hAnsiTheme="minorHAnsi"/>
          </w:rPr>
          <m:t xml:space="preserve"> </m:t>
        </m:r>
        <m:r>
          <w:rPr>
            <w:rFonts w:ascii="Cambria Math" w:eastAsiaTheme="minorEastAsia" w:hAnsi="Cambria Math"/>
          </w:rPr>
          <m:t>f</m:t>
        </m:r>
        <m:d>
          <m:dPr>
            <m:ctrlPr>
              <w:rPr>
                <w:rFonts w:ascii="Cambria Math" w:eastAsiaTheme="minorEastAsia" w:hAnsiTheme="minorHAnsi"/>
              </w:rPr>
            </m:ctrlPr>
          </m:dPr>
          <m:e>
            <m:sSub>
              <m:sSubPr>
                <m:ctrlPr>
                  <w:rPr>
                    <w:rFonts w:ascii="Cambria Math" w:eastAsiaTheme="minorEastAsia" w:hAnsiTheme="minorHAnsi"/>
                  </w:rPr>
                </m:ctrlPr>
              </m:sSubPr>
              <m:e>
                <m:r>
                  <w:rPr>
                    <w:rFonts w:ascii="Cambria Math" w:eastAsiaTheme="minorEastAsia" w:hAnsi="Cambria Math"/>
                  </w:rPr>
                  <m:t>R</m:t>
                </m:r>
              </m:e>
              <m:sub>
                <m:r>
                  <w:rPr>
                    <w:rFonts w:ascii="Cambria Math" w:eastAsiaTheme="minorEastAsia" w:hAnsi="Cambria Math"/>
                  </w:rPr>
                  <m:t>K</m:t>
                </m:r>
              </m:sub>
            </m:sSub>
          </m:e>
        </m:d>
        <m:r>
          <m:rPr>
            <m:sty m:val="p"/>
          </m:rPr>
          <w:rPr>
            <w:rFonts w:ascii="Cambria Math" w:eastAsiaTheme="minorEastAsia" w:hAnsiTheme="minorHAnsi"/>
          </w:rPr>
          <m:t xml:space="preserve"> </m:t>
        </m:r>
      </m:oMath>
      <w:r w:rsidRPr="00BC31E0">
        <w:rPr>
          <w:rFonts w:asciiTheme="minorHAnsi" w:eastAsiaTheme="minorEastAsia" w:hAnsiTheme="minorEastAsia"/>
        </w:rPr>
        <w:t>は</w:t>
      </w:r>
      <w:r w:rsidRPr="00BC31E0">
        <w:rPr>
          <w:rFonts w:asciiTheme="majorEastAsia" w:eastAsiaTheme="majorEastAsia" w:hAnsiTheme="majorEastAsia"/>
          <w:b/>
        </w:rPr>
        <w:t>附属書 C</w:t>
      </w:r>
      <w:r w:rsidRPr="00BC31E0">
        <w:rPr>
          <w:rFonts w:asciiTheme="minorHAnsi" w:eastAsiaTheme="minorEastAsia" w:hAnsiTheme="minorEastAsia"/>
        </w:rPr>
        <w:t>に与えられる。</w:t>
      </w:r>
    </w:p>
    <w:p w14:paraId="3B6F44B2" w14:textId="77777777" w:rsidR="00C15560" w:rsidRPr="00BC31E0" w:rsidRDefault="00C15560" w:rsidP="00736130">
      <w:pPr>
        <w:pStyle w:val="a4"/>
        <w:numPr>
          <w:ilvl w:val="0"/>
          <w:numId w:val="265"/>
        </w:numPr>
        <w:ind w:leftChars="0"/>
        <w:rPr>
          <w:rFonts w:asciiTheme="minorHAnsi" w:eastAsiaTheme="minorEastAsia" w:hAnsiTheme="minorHAnsi"/>
        </w:rPr>
      </w:pPr>
      <w:r w:rsidRPr="00BC31E0">
        <w:rPr>
          <w:rFonts w:asciiTheme="majorEastAsia" w:eastAsiaTheme="majorEastAsia" w:hAnsiTheme="majorEastAsia"/>
          <w:b/>
          <w:bCs/>
        </w:rPr>
        <w:t>式(6.4.1)</w:t>
      </w:r>
      <w:r w:rsidRPr="00BC31E0">
        <w:rPr>
          <w:rFonts w:asciiTheme="minorHAnsi" w:eastAsiaTheme="minorEastAsia" w:hAnsiTheme="minorEastAsia"/>
        </w:rPr>
        <w:t>及び</w:t>
      </w:r>
      <w:r w:rsidRPr="00BC31E0">
        <w:rPr>
          <w:rFonts w:asciiTheme="majorEastAsia" w:eastAsiaTheme="majorEastAsia" w:hAnsiTheme="majorEastAsia"/>
          <w:b/>
          <w:bCs/>
        </w:rPr>
        <w:t>式(6.4.2)</w:t>
      </w:r>
      <w:r w:rsidRPr="00BC31E0">
        <w:rPr>
          <w:rFonts w:asciiTheme="minorHAnsi" w:eastAsiaTheme="minorEastAsia" w:hAnsiTheme="minorEastAsia"/>
        </w:rPr>
        <w:t>の</w:t>
      </w:r>
      <m:oMath>
        <m:r>
          <m:rPr>
            <m:sty m:val="p"/>
          </m:rPr>
          <w:rPr>
            <w:rFonts w:ascii="Cambria Math" w:eastAsiaTheme="minorEastAsia" w:hAnsiTheme="minorHAnsi"/>
          </w:rPr>
          <m:t xml:space="preserve"> </m:t>
        </m:r>
        <m:r>
          <m:rPr>
            <m:sty m:val="p"/>
          </m:rPr>
          <w:rPr>
            <w:rFonts w:ascii="Cambria Math" w:eastAsiaTheme="minorEastAsia" w:hAnsi="Cambria Math"/>
          </w:rPr>
          <m:t>∆</m:t>
        </m:r>
        <m:sSub>
          <m:sSubPr>
            <m:ctrlPr>
              <w:rPr>
                <w:rFonts w:ascii="Cambria Math" w:eastAsiaTheme="minorEastAsia" w:hAnsiTheme="minorHAnsi"/>
              </w:rPr>
            </m:ctrlPr>
          </m:sSubPr>
          <m:e>
            <m:r>
              <w:rPr>
                <w:rFonts w:ascii="Cambria Math" w:eastAsiaTheme="minorEastAsia" w:hAnsi="Cambria Math"/>
              </w:rPr>
              <m:t>K</m:t>
            </m:r>
          </m:e>
          <m:sub>
            <m:r>
              <m:rPr>
                <m:sty m:val="p"/>
              </m:rPr>
              <w:rPr>
                <w:rFonts w:ascii="Cambria Math" w:eastAsiaTheme="minorEastAsia" w:hAnsi="Cambria Math"/>
              </w:rPr>
              <m:t>I</m:t>
            </m:r>
            <m:r>
              <m:rPr>
                <m:sty m:val="p"/>
              </m:rPr>
              <w:rPr>
                <w:rFonts w:ascii="Cambria Math" w:eastAsiaTheme="minorEastAsia" w:hAnsiTheme="minorHAnsi"/>
              </w:rPr>
              <m:t xml:space="preserve"> </m:t>
            </m:r>
          </m:sub>
        </m:sSub>
      </m:oMath>
      <w:r w:rsidRPr="00BC31E0">
        <w:rPr>
          <w:rFonts w:asciiTheme="minorHAnsi" w:eastAsiaTheme="minorEastAsia" w:hAnsiTheme="minorEastAsia"/>
        </w:rPr>
        <w:t>の値が</w:t>
      </w:r>
      <w:r w:rsidRPr="00BC31E0">
        <w:rPr>
          <w:rFonts w:asciiTheme="majorEastAsia" w:eastAsiaTheme="majorEastAsia" w:hAnsiTheme="majorEastAsia"/>
          <w:b/>
          <w:bCs/>
        </w:rPr>
        <w:t>式(6.4.3)</w:t>
      </w:r>
      <w:r w:rsidRPr="00BC31E0">
        <w:rPr>
          <w:rFonts w:asciiTheme="minorHAnsi" w:eastAsiaTheme="minorEastAsia" w:hAnsiTheme="minorEastAsia"/>
        </w:rPr>
        <w:t>～</w:t>
      </w:r>
      <w:r w:rsidRPr="00BC31E0">
        <w:rPr>
          <w:rFonts w:asciiTheme="majorEastAsia" w:eastAsiaTheme="majorEastAsia" w:hAnsiTheme="majorEastAsia"/>
          <w:b/>
          <w:bCs/>
        </w:rPr>
        <w:t>式(6.4.5)</w:t>
      </w:r>
      <w:r w:rsidRPr="00BC31E0">
        <w:rPr>
          <w:rFonts w:asciiTheme="minorHAnsi" w:eastAsiaTheme="minorEastAsia" w:hAnsiTheme="minorEastAsia"/>
        </w:rPr>
        <w:t>に与えられる</w:t>
      </w:r>
      <m:oMath>
        <m:r>
          <m:rPr>
            <m:sty m:val="p"/>
          </m:rPr>
          <w:rPr>
            <w:rFonts w:ascii="Cambria Math" w:eastAsiaTheme="minorEastAsia" w:hAnsiTheme="minorHAnsi"/>
          </w:rPr>
          <m:t xml:space="preserve"> </m:t>
        </m:r>
        <m:r>
          <m:rPr>
            <m:sty m:val="p"/>
          </m:rPr>
          <w:rPr>
            <w:rFonts w:ascii="Cambria Math" w:eastAsiaTheme="minorEastAsia" w:hAnsi="Cambria Math"/>
          </w:rPr>
          <m:t>∆</m:t>
        </m:r>
        <m:sSub>
          <m:sSubPr>
            <m:ctrlPr>
              <w:rPr>
                <w:rFonts w:ascii="Cambria Math" w:eastAsiaTheme="minorEastAsia" w:hAnsiTheme="minorHAnsi"/>
              </w:rPr>
            </m:ctrlPr>
          </m:sSubPr>
          <m:e>
            <m:r>
              <w:rPr>
                <w:rFonts w:ascii="Cambria Math" w:eastAsiaTheme="minorEastAsia" w:hAnsi="Cambria Math"/>
              </w:rPr>
              <m:t>K</m:t>
            </m:r>
          </m:e>
          <m:sub>
            <m:r>
              <w:rPr>
                <w:rFonts w:ascii="Cambria Math" w:eastAsiaTheme="minorEastAsia" w:hAnsi="Cambria Math"/>
              </w:rPr>
              <m:t>th</m:t>
            </m:r>
          </m:sub>
        </m:sSub>
        <m:r>
          <m:rPr>
            <m:sty m:val="p"/>
          </m:rPr>
          <w:rPr>
            <w:rFonts w:ascii="Cambria Math" w:eastAsiaTheme="minorEastAsia" w:hAnsiTheme="minorHAnsi"/>
          </w:rPr>
          <m:t xml:space="preserve"> </m:t>
        </m:r>
      </m:oMath>
      <w:r w:rsidRPr="00BC31E0">
        <w:rPr>
          <w:rFonts w:asciiTheme="minorHAnsi" w:eastAsiaTheme="minorEastAsia" w:hAnsiTheme="minorEastAsia"/>
        </w:rPr>
        <w:t>の値より小さい場合には，</w:t>
      </w:r>
      <m:oMath>
        <m:f>
          <m:fPr>
            <m:type m:val="lin"/>
            <m:ctrlPr>
              <w:rPr>
                <w:rFonts w:ascii="Cambria Math" w:eastAsiaTheme="minorEastAsia" w:hAnsiTheme="minorHAnsi"/>
              </w:rPr>
            </m:ctrlPr>
          </m:fPr>
          <m:num>
            <m:r>
              <w:rPr>
                <w:rFonts w:ascii="Cambria Math" w:eastAsiaTheme="minorEastAsia" w:hAnsi="Cambria Math"/>
              </w:rPr>
              <m:t>da</m:t>
            </m:r>
          </m:num>
          <m:den>
            <m:r>
              <w:rPr>
                <w:rFonts w:ascii="Cambria Math" w:eastAsiaTheme="minorEastAsia" w:hAnsi="Cambria Math"/>
              </w:rPr>
              <m:t>dN</m:t>
            </m:r>
            <m:r>
              <m:rPr>
                <m:sty m:val="p"/>
              </m:rPr>
              <w:rPr>
                <w:rFonts w:ascii="Cambria Math" w:eastAsiaTheme="minorEastAsia" w:hAnsiTheme="minorHAnsi"/>
              </w:rPr>
              <m:t>=</m:t>
            </m:r>
            <m:r>
              <m:rPr>
                <m:sty m:val="p"/>
              </m:rPr>
              <w:rPr>
                <w:rFonts w:ascii="Cambria Math" w:eastAsiaTheme="minorEastAsia" w:hAnsi="Cambria Math"/>
              </w:rPr>
              <m:t>0</m:t>
            </m:r>
            <m:r>
              <m:rPr>
                <m:sty m:val="p"/>
              </m:rPr>
              <w:rPr>
                <w:rFonts w:ascii="Cambria Math" w:eastAsiaTheme="minorEastAsia" w:hAnsiTheme="minorHAnsi"/>
              </w:rPr>
              <m:t xml:space="preserve"> </m:t>
            </m:r>
          </m:den>
        </m:f>
      </m:oMath>
      <w:r w:rsidRPr="00BC31E0">
        <w:rPr>
          <w:rFonts w:asciiTheme="minorHAnsi" w:eastAsiaTheme="minorEastAsia" w:hAnsiTheme="minorEastAsia"/>
        </w:rPr>
        <w:t>及び</w:t>
      </w:r>
      <m:oMath>
        <m:f>
          <m:fPr>
            <m:type m:val="lin"/>
            <m:ctrlPr>
              <w:rPr>
                <w:rFonts w:ascii="Cambria Math" w:eastAsiaTheme="minorEastAsia" w:hAnsiTheme="minorHAnsi"/>
              </w:rPr>
            </m:ctrlPr>
          </m:fPr>
          <m:num>
            <m:r>
              <m:rPr>
                <m:sty m:val="p"/>
              </m:rPr>
              <w:rPr>
                <w:rFonts w:ascii="Cambria Math" w:eastAsiaTheme="minorEastAsia" w:hAnsiTheme="minorHAnsi"/>
              </w:rPr>
              <m:t xml:space="preserve"> </m:t>
            </m:r>
            <m:r>
              <w:rPr>
                <w:rFonts w:ascii="Cambria Math" w:eastAsiaTheme="minorEastAsia" w:hAnsi="Cambria Math"/>
              </w:rPr>
              <m:t>dl</m:t>
            </m:r>
          </m:num>
          <m:den>
            <m:r>
              <w:rPr>
                <w:rFonts w:ascii="Cambria Math" w:eastAsiaTheme="minorEastAsia" w:hAnsi="Cambria Math"/>
              </w:rPr>
              <m:t>dN</m:t>
            </m:r>
            <m:r>
              <m:rPr>
                <m:sty m:val="p"/>
              </m:rPr>
              <w:rPr>
                <w:rFonts w:ascii="Cambria Math" w:eastAsiaTheme="minorEastAsia" w:hAnsiTheme="minorHAnsi"/>
              </w:rPr>
              <m:t>=</m:t>
            </m:r>
            <m:r>
              <m:rPr>
                <m:sty m:val="p"/>
              </m:rPr>
              <w:rPr>
                <w:rFonts w:ascii="Cambria Math" w:eastAsiaTheme="minorEastAsia" w:hAnsi="Cambria Math"/>
              </w:rPr>
              <m:t>0</m:t>
            </m:r>
            <m:r>
              <m:rPr>
                <m:sty m:val="p"/>
              </m:rPr>
              <w:rPr>
                <w:rFonts w:ascii="Cambria Math" w:eastAsiaTheme="minorEastAsia" w:hAnsiTheme="minorHAnsi"/>
              </w:rPr>
              <m:t xml:space="preserve"> </m:t>
            </m:r>
          </m:den>
        </m:f>
      </m:oMath>
      <w:r w:rsidRPr="00BC31E0">
        <w:rPr>
          <w:rFonts w:asciiTheme="minorHAnsi" w:eastAsiaTheme="minorEastAsia" w:hAnsiTheme="minorEastAsia"/>
        </w:rPr>
        <w:t>とする。</w:t>
      </w:r>
    </w:p>
    <w:p w14:paraId="36AB2526" w14:textId="77777777" w:rsidR="00C15560" w:rsidRPr="00BC31E0" w:rsidRDefault="00C15560" w:rsidP="00C67109">
      <w:pPr>
        <w:pStyle w:val="a4"/>
        <w:ind w:leftChars="0" w:left="454" w:firstLineChars="100" w:firstLine="210"/>
        <w:rPr>
          <w:rFonts w:asciiTheme="minorHAnsi" w:eastAsiaTheme="minorEastAsia" w:hAnsiTheme="minorHAnsi"/>
          <w:szCs w:val="20"/>
        </w:rPr>
      </w:pPr>
      <w:r w:rsidRPr="00BC31E0">
        <w:rPr>
          <w:rFonts w:asciiTheme="minorHAnsi" w:eastAsiaTheme="minorEastAsia" w:hAnsiTheme="minorEastAsia"/>
        </w:rPr>
        <w:t>なお，</w:t>
      </w:r>
      <m:oMath>
        <m:d>
          <m:dPr>
            <m:ctrlPr>
              <w:rPr>
                <w:rFonts w:ascii="Cambria Math" w:eastAsiaTheme="minorEastAsia" w:hAnsiTheme="minorHAnsi"/>
              </w:rPr>
            </m:ctrlPr>
          </m:dPr>
          <m:e>
            <m:sSubSup>
              <m:sSubSupPr>
                <m:ctrlPr>
                  <w:rPr>
                    <w:rFonts w:ascii="Cambria Math" w:eastAsiaTheme="minorEastAsia" w:hAnsiTheme="minorHAnsi"/>
                  </w:rPr>
                </m:ctrlPr>
              </m:sSubSupPr>
              <m:e>
                <m:r>
                  <w:rPr>
                    <w:rFonts w:ascii="Cambria Math" w:eastAsiaTheme="minorEastAsia" w:hAnsi="Cambria Math"/>
                  </w:rPr>
                  <m:t>K</m:t>
                </m:r>
              </m:e>
              <m:sub>
                <m:r>
                  <m:rPr>
                    <m:sty m:val="p"/>
                  </m:rPr>
                  <w:rPr>
                    <w:rFonts w:ascii="Cambria Math" w:eastAsiaTheme="minorEastAsia" w:hAnsiTheme="minorHAnsi"/>
                  </w:rPr>
                  <m:t>Imax</m:t>
                </m:r>
              </m:sub>
              <m:sup>
                <m:r>
                  <m:rPr>
                    <m:sty m:val="p"/>
                  </m:rPr>
                  <w:rPr>
                    <w:rFonts w:asciiTheme="minorHAnsi" w:eastAsiaTheme="minorEastAsia" w:hAnsiTheme="minorEastAsia"/>
                  </w:rPr>
                  <m:t>*</m:t>
                </m:r>
              </m:sup>
            </m:sSubSup>
            <m:r>
              <m:rPr>
                <m:sty m:val="p"/>
              </m:rPr>
              <w:rPr>
                <w:rFonts w:ascii="Cambria Math" w:eastAsiaTheme="minorEastAsia" w:hAnsiTheme="minorHAnsi"/>
              </w:rPr>
              <m:t>+</m:t>
            </m:r>
            <m:sSub>
              <m:sSubPr>
                <m:ctrlPr>
                  <w:rPr>
                    <w:rFonts w:ascii="Cambria Math" w:eastAsiaTheme="minorEastAsia" w:hAnsiTheme="minorHAnsi"/>
                  </w:rPr>
                </m:ctrlPr>
              </m:sSubPr>
              <m:e>
                <m:r>
                  <w:rPr>
                    <w:rFonts w:ascii="Cambria Math" w:eastAsiaTheme="minorEastAsia" w:hAnsi="Cambria Math"/>
                  </w:rPr>
                  <m:t>K</m:t>
                </m:r>
              </m:e>
              <m:sub>
                <m:r>
                  <m:rPr>
                    <m:sty m:val="p"/>
                  </m:rPr>
                  <w:rPr>
                    <w:rFonts w:ascii="Cambria Math" w:eastAsiaTheme="minorEastAsia" w:hAnsiTheme="minorHAnsi"/>
                  </w:rPr>
                  <m:t>I</m:t>
                </m:r>
                <m:r>
                  <w:rPr>
                    <w:rFonts w:ascii="Cambria Math" w:eastAsiaTheme="minorEastAsia" w:hAnsi="Cambria Math"/>
                  </w:rPr>
                  <m:t>res</m:t>
                </m:r>
              </m:sub>
            </m:sSub>
          </m:e>
        </m:d>
        <m:r>
          <m:rPr>
            <m:sty m:val="p"/>
          </m:rPr>
          <w:rPr>
            <w:rFonts w:asciiTheme="minorHAnsi" w:eastAsiaTheme="minorEastAsia" w:hAnsiTheme="minorEastAsia"/>
          </w:rPr>
          <m:t>≦</m:t>
        </m:r>
        <m:r>
          <m:rPr>
            <m:sty m:val="p"/>
          </m:rPr>
          <w:rPr>
            <w:rFonts w:ascii="Cambria Math" w:eastAsiaTheme="minorEastAsia" w:hAnsiTheme="minorHAnsi"/>
          </w:rPr>
          <m:t xml:space="preserve">0 </m:t>
        </m:r>
      </m:oMath>
      <w:r w:rsidRPr="00BC31E0">
        <w:rPr>
          <w:rFonts w:asciiTheme="minorHAnsi" w:eastAsiaTheme="minorEastAsia" w:hAnsiTheme="minorEastAsia"/>
          <w:szCs w:val="20"/>
        </w:rPr>
        <w:t>の場合には，</w:t>
      </w:r>
      <m:oMath>
        <m:r>
          <m:rPr>
            <m:sty m:val="p"/>
          </m:rPr>
          <w:rPr>
            <w:rFonts w:asciiTheme="minorHAnsi" w:eastAsiaTheme="minorEastAsia" w:hAnsiTheme="minorHAnsi"/>
            <w:szCs w:val="20"/>
          </w:rPr>
          <m:t>∆</m:t>
        </m:r>
        <m:sSub>
          <m:sSubPr>
            <m:ctrlPr>
              <w:rPr>
                <w:rFonts w:ascii="Cambria Math" w:eastAsiaTheme="minorEastAsia" w:hAnsiTheme="minorHAnsi"/>
                <w:szCs w:val="20"/>
              </w:rPr>
            </m:ctrlPr>
          </m:sSubPr>
          <m:e>
            <m:r>
              <w:rPr>
                <w:rFonts w:ascii="Cambria Math" w:eastAsiaTheme="minorEastAsia" w:hAnsi="Cambria Math"/>
                <w:szCs w:val="20"/>
              </w:rPr>
              <m:t>K</m:t>
            </m:r>
          </m:e>
          <m:sub>
            <m:r>
              <m:rPr>
                <m:sty m:val="p"/>
              </m:rPr>
              <w:rPr>
                <w:rFonts w:ascii="Cambria Math" w:eastAsiaTheme="minorEastAsia" w:hAnsiTheme="minorHAnsi"/>
                <w:szCs w:val="20"/>
              </w:rPr>
              <m:t>I</m:t>
            </m:r>
          </m:sub>
        </m:sSub>
        <m:r>
          <m:rPr>
            <m:sty m:val="p"/>
          </m:rPr>
          <w:rPr>
            <w:rFonts w:ascii="Cambria Math" w:eastAsiaTheme="minorEastAsia" w:hAnsiTheme="minorHAnsi"/>
            <w:szCs w:val="20"/>
          </w:rPr>
          <m:t xml:space="preserve">=0 </m:t>
        </m:r>
      </m:oMath>
      <w:r w:rsidRPr="00BC31E0">
        <w:rPr>
          <w:rFonts w:asciiTheme="minorHAnsi" w:eastAsiaTheme="minorEastAsia" w:hAnsiTheme="minorEastAsia"/>
          <w:szCs w:val="20"/>
        </w:rPr>
        <w:t>とする。</w:t>
      </w:r>
      <m:oMath>
        <m:sSub>
          <m:sSubPr>
            <m:ctrlPr>
              <w:rPr>
                <w:rFonts w:ascii="Cambria Math" w:eastAsiaTheme="minorEastAsia" w:hAnsiTheme="minorHAnsi"/>
                <w:szCs w:val="20"/>
              </w:rPr>
            </m:ctrlPr>
          </m:sSubPr>
          <m:e>
            <m:r>
              <w:rPr>
                <w:rFonts w:ascii="Cambria Math" w:eastAsiaTheme="minorEastAsia" w:hAnsi="Cambria Math"/>
                <w:szCs w:val="20"/>
              </w:rPr>
              <m:t>R</m:t>
            </m:r>
          </m:e>
          <m:sub>
            <m:r>
              <w:rPr>
                <w:rFonts w:ascii="Cambria Math" w:eastAsiaTheme="minorEastAsia" w:hAnsi="Cambria Math"/>
                <w:szCs w:val="20"/>
              </w:rPr>
              <m:t>K</m:t>
            </m:r>
          </m:sub>
        </m:sSub>
        <m:r>
          <m:rPr>
            <m:sty m:val="p"/>
          </m:rPr>
          <w:rPr>
            <w:rFonts w:ascii="Cambria Math" w:eastAsiaTheme="minorEastAsia" w:hAnsiTheme="minorHAnsi"/>
            <w:szCs w:val="20"/>
          </w:rPr>
          <m:t>&lt;</m:t>
        </m:r>
        <m:r>
          <w:rPr>
            <w:rFonts w:ascii="Cambria Math" w:eastAsiaTheme="minorEastAsia" w:hAnsiTheme="minorHAnsi"/>
            <w:szCs w:val="20"/>
          </w:rPr>
          <m:t>0</m:t>
        </m:r>
      </m:oMath>
      <w:r w:rsidRPr="00BC31E0">
        <w:rPr>
          <w:rFonts w:asciiTheme="minorHAnsi" w:eastAsiaTheme="minorEastAsia" w:hAnsiTheme="minorEastAsia"/>
          <w:szCs w:val="20"/>
        </w:rPr>
        <w:t>，即ち</w:t>
      </w:r>
      <m:oMath>
        <m:r>
          <m:rPr>
            <m:sty m:val="p"/>
          </m:rPr>
          <w:rPr>
            <w:rFonts w:ascii="Cambria Math" w:eastAsiaTheme="minorEastAsia" w:hAnsiTheme="minorHAnsi"/>
            <w:szCs w:val="20"/>
          </w:rPr>
          <m:t xml:space="preserve"> </m:t>
        </m:r>
        <m:d>
          <m:dPr>
            <m:ctrlPr>
              <w:rPr>
                <w:rFonts w:ascii="Cambria Math" w:eastAsiaTheme="minorEastAsia" w:hAnsiTheme="minorHAnsi"/>
              </w:rPr>
            </m:ctrlPr>
          </m:dPr>
          <m:e>
            <m:sSubSup>
              <m:sSubSupPr>
                <m:ctrlPr>
                  <w:rPr>
                    <w:rFonts w:ascii="Cambria Math" w:eastAsiaTheme="minorEastAsia" w:hAnsiTheme="minorHAnsi"/>
                  </w:rPr>
                </m:ctrlPr>
              </m:sSubSupPr>
              <m:e>
                <m:r>
                  <w:rPr>
                    <w:rFonts w:ascii="Cambria Math" w:eastAsiaTheme="minorEastAsia" w:hAnsi="Cambria Math"/>
                  </w:rPr>
                  <m:t>K</m:t>
                </m:r>
              </m:e>
              <m:sub>
                <m:r>
                  <m:rPr>
                    <m:sty m:val="p"/>
                  </m:rPr>
                  <w:rPr>
                    <w:rFonts w:ascii="Cambria Math" w:eastAsiaTheme="minorEastAsia" w:hAnsiTheme="minorHAnsi"/>
                  </w:rPr>
                  <m:t>Imin</m:t>
                </m:r>
              </m:sub>
              <m:sup>
                <m:r>
                  <m:rPr>
                    <m:sty m:val="p"/>
                  </m:rPr>
                  <w:rPr>
                    <w:rFonts w:asciiTheme="minorHAnsi" w:eastAsiaTheme="minorEastAsia" w:hAnsiTheme="minorEastAsia"/>
                  </w:rPr>
                  <m:t>*</m:t>
                </m:r>
              </m:sup>
            </m:sSubSup>
            <m:r>
              <m:rPr>
                <m:sty m:val="p"/>
              </m:rPr>
              <w:rPr>
                <w:rFonts w:ascii="Cambria Math" w:eastAsiaTheme="minorEastAsia" w:hAnsiTheme="minorHAnsi"/>
              </w:rPr>
              <m:t>+</m:t>
            </m:r>
            <m:sSub>
              <m:sSubPr>
                <m:ctrlPr>
                  <w:rPr>
                    <w:rFonts w:ascii="Cambria Math" w:eastAsiaTheme="minorEastAsia" w:hAnsiTheme="minorHAnsi"/>
                  </w:rPr>
                </m:ctrlPr>
              </m:sSubPr>
              <m:e>
                <m:r>
                  <w:rPr>
                    <w:rFonts w:ascii="Cambria Math" w:eastAsiaTheme="minorEastAsia" w:hAnsi="Cambria Math"/>
                  </w:rPr>
                  <m:t>K</m:t>
                </m:r>
              </m:e>
              <m:sub>
                <m:r>
                  <m:rPr>
                    <m:sty m:val="p"/>
                  </m:rPr>
                  <w:rPr>
                    <w:rFonts w:ascii="Cambria Math" w:eastAsiaTheme="minorEastAsia" w:hAnsiTheme="minorHAnsi"/>
                  </w:rPr>
                  <m:t>I</m:t>
                </m:r>
                <m:r>
                  <w:rPr>
                    <w:rFonts w:ascii="Cambria Math" w:eastAsiaTheme="minorEastAsia" w:hAnsi="Cambria Math"/>
                  </w:rPr>
                  <m:t>res</m:t>
                </m:r>
              </m:sub>
            </m:sSub>
          </m:e>
        </m:d>
        <m:r>
          <m:rPr>
            <m:sty m:val="p"/>
          </m:rPr>
          <w:rPr>
            <w:rFonts w:ascii="Cambria Math" w:eastAsiaTheme="minorEastAsia" w:hAnsiTheme="minorHAnsi"/>
          </w:rPr>
          <m:t>&lt;</m:t>
        </m:r>
        <m:r>
          <w:rPr>
            <w:rFonts w:ascii="Cambria Math" w:eastAsiaTheme="minorEastAsia" w:hAnsiTheme="minorHAnsi"/>
          </w:rPr>
          <m:t xml:space="preserve">0 </m:t>
        </m:r>
      </m:oMath>
      <w:r w:rsidRPr="00BC31E0">
        <w:rPr>
          <w:rFonts w:asciiTheme="minorHAnsi" w:eastAsiaTheme="minorEastAsia" w:hAnsiTheme="minorEastAsia"/>
          <w:szCs w:val="20"/>
        </w:rPr>
        <w:t>の場合には，</w:t>
      </w:r>
      <m:oMath>
        <m:sSubSup>
          <m:sSubSupPr>
            <m:ctrlPr>
              <w:rPr>
                <w:rFonts w:ascii="Cambria Math" w:eastAsiaTheme="minorEastAsia" w:hAnsiTheme="minorHAnsi"/>
              </w:rPr>
            </m:ctrlPr>
          </m:sSubSupPr>
          <m:e>
            <m:r>
              <m:rPr>
                <m:sty m:val="p"/>
              </m:rPr>
              <w:rPr>
                <w:rFonts w:asciiTheme="minorHAnsi" w:eastAsiaTheme="minorEastAsia" w:hAnsiTheme="minorHAnsi"/>
              </w:rPr>
              <m:t>∆</m:t>
            </m:r>
            <m:sSub>
              <m:sSubPr>
                <m:ctrlPr>
                  <w:rPr>
                    <w:rFonts w:ascii="Cambria Math" w:eastAsiaTheme="minorEastAsia" w:hAnsiTheme="minorHAnsi"/>
                  </w:rPr>
                </m:ctrlPr>
              </m:sSubPr>
              <m:e>
                <m:r>
                  <w:rPr>
                    <w:rFonts w:ascii="Cambria Math" w:eastAsiaTheme="minorEastAsia" w:hAnsi="Cambria Math"/>
                  </w:rPr>
                  <m:t>K</m:t>
                </m:r>
              </m:e>
              <m:sub>
                <m:r>
                  <m:rPr>
                    <m:sty m:val="p"/>
                  </m:rPr>
                  <w:rPr>
                    <w:rFonts w:ascii="Cambria Math" w:eastAsiaTheme="minorEastAsia" w:hAnsiTheme="minorHAnsi"/>
                  </w:rPr>
                  <m:t>I</m:t>
                </m:r>
              </m:sub>
            </m:sSub>
            <m:r>
              <m:rPr>
                <m:sty m:val="p"/>
              </m:rPr>
              <w:rPr>
                <w:rFonts w:ascii="Cambria Math" w:eastAsiaTheme="minorEastAsia" w:hAnsiTheme="minorHAnsi"/>
              </w:rPr>
              <m:t>=</m:t>
            </m:r>
            <m:r>
              <w:rPr>
                <w:rFonts w:ascii="Cambria Math" w:eastAsiaTheme="minorEastAsia" w:hAnsi="Cambria Math"/>
              </w:rPr>
              <m:t>K</m:t>
            </m:r>
          </m:e>
          <m:sub>
            <m:r>
              <m:rPr>
                <m:sty m:val="p"/>
              </m:rPr>
              <w:rPr>
                <w:rFonts w:ascii="Cambria Math" w:eastAsiaTheme="minorEastAsia" w:hAnsiTheme="minorHAnsi"/>
              </w:rPr>
              <m:t>Imax</m:t>
            </m:r>
          </m:sub>
          <m:sup>
            <m:r>
              <m:rPr>
                <m:sty m:val="p"/>
              </m:rPr>
              <w:rPr>
                <w:rFonts w:asciiTheme="minorHAnsi" w:eastAsiaTheme="minorEastAsia" w:hAnsiTheme="minorEastAsia"/>
              </w:rPr>
              <m:t>*</m:t>
            </m:r>
          </m:sup>
        </m:sSubSup>
        <m:r>
          <m:rPr>
            <m:sty m:val="p"/>
          </m:rPr>
          <w:rPr>
            <w:rFonts w:ascii="Cambria Math" w:eastAsiaTheme="minorEastAsia" w:hAnsiTheme="minorHAnsi"/>
          </w:rPr>
          <m:t>+</m:t>
        </m:r>
        <m:sSub>
          <m:sSubPr>
            <m:ctrlPr>
              <w:rPr>
                <w:rFonts w:ascii="Cambria Math" w:eastAsiaTheme="minorEastAsia" w:hAnsiTheme="minorHAnsi"/>
              </w:rPr>
            </m:ctrlPr>
          </m:sSubPr>
          <m:e>
            <m:r>
              <w:rPr>
                <w:rFonts w:ascii="Cambria Math" w:eastAsiaTheme="minorEastAsia" w:hAnsi="Cambria Math"/>
              </w:rPr>
              <m:t>K</m:t>
            </m:r>
          </m:e>
          <m:sub>
            <m:r>
              <m:rPr>
                <m:sty m:val="p"/>
              </m:rPr>
              <w:rPr>
                <w:rFonts w:ascii="Cambria Math" w:eastAsiaTheme="minorEastAsia" w:hAnsiTheme="minorHAnsi"/>
              </w:rPr>
              <m:t>Ires</m:t>
            </m:r>
          </m:sub>
        </m:sSub>
      </m:oMath>
      <w:r w:rsidRPr="00BC31E0">
        <w:rPr>
          <w:rFonts w:asciiTheme="minorHAnsi" w:eastAsiaTheme="minorEastAsia" w:hAnsiTheme="minorEastAsia"/>
          <w:szCs w:val="20"/>
        </w:rPr>
        <w:t>とする。</w:t>
      </w:r>
    </w:p>
    <w:p w14:paraId="5EBCFD64" w14:textId="77777777" w:rsidR="00C15560" w:rsidRPr="00BC31E0" w:rsidRDefault="00C15560" w:rsidP="00C67109">
      <w:pPr>
        <w:spacing w:before="120" w:after="120"/>
        <w:ind w:left="454" w:firstLineChars="100" w:firstLine="210"/>
        <w:jc w:val="left"/>
        <w:rPr>
          <w:szCs w:val="20"/>
        </w:rPr>
      </w:pPr>
      <w:r w:rsidRPr="00BC31E0">
        <w:rPr>
          <w:rFonts w:asciiTheme="minorHAnsi" w:hAnsiTheme="minorHAnsi" w:hint="eastAsia"/>
          <w:szCs w:val="20"/>
        </w:rPr>
        <w:lastRenderedPageBreak/>
        <w:t>炭素鋼及び低合金鋼</w:t>
      </w:r>
      <w:r w:rsidRPr="00BC31E0">
        <w:rPr>
          <w:rFonts w:hint="eastAsia"/>
          <w:szCs w:val="20"/>
        </w:rPr>
        <w:t>(</w:t>
      </w:r>
      <m:oMath>
        <m:sSub>
          <m:sSubPr>
            <m:ctrlPr>
              <w:rPr>
                <w:rFonts w:ascii="Cambria Math" w:hAnsi="Cambria Math"/>
                <w:i/>
                <w:szCs w:val="20"/>
              </w:rPr>
            </m:ctrlPr>
          </m:sSubPr>
          <m:e>
            <m:r>
              <w:rPr>
                <w:rFonts w:ascii="Cambria Math" w:hAnsi="Cambria Math" w:hint="eastAsia"/>
                <w:szCs w:val="20"/>
              </w:rPr>
              <m:t>S</m:t>
            </m:r>
          </m:e>
          <m:sub>
            <m:r>
              <w:rPr>
                <w:rFonts w:ascii="Cambria Math" w:hAnsi="Cambria Math" w:hint="eastAsia"/>
                <w:szCs w:val="20"/>
              </w:rPr>
              <m:t>y</m:t>
            </m:r>
          </m:sub>
        </m:sSub>
        <m:r>
          <w:rPr>
            <w:rFonts w:ascii="Cambria Math" w:hAnsi="Cambria Math" w:hint="eastAsia"/>
            <w:szCs w:val="20"/>
          </w:rPr>
          <m:t>≦</m:t>
        </m:r>
        <m:r>
          <w:rPr>
            <w:rFonts w:ascii="Cambria Math" w:hAnsi="Cambria Math" w:hint="eastAsia"/>
            <w:szCs w:val="20"/>
          </w:rPr>
          <m:t>620</m:t>
        </m:r>
        <m:r>
          <m:rPr>
            <m:sty m:val="p"/>
          </m:rPr>
          <w:rPr>
            <w:rFonts w:ascii="Cambria Math" w:hAnsi="Cambria Math"/>
            <w:szCs w:val="20"/>
          </w:rPr>
          <m:t xml:space="preserve"> MPa</m:t>
        </m:r>
      </m:oMath>
      <w:r w:rsidRPr="00BC31E0">
        <w:rPr>
          <w:rFonts w:hint="eastAsia"/>
          <w:szCs w:val="20"/>
        </w:rPr>
        <w:t>)</w:t>
      </w:r>
    </w:p>
    <w:tbl>
      <w:tblPr>
        <w:tblStyle w:val="52"/>
        <w:tblW w:w="7087" w:type="dxa"/>
        <w:tblInd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8"/>
        <w:gridCol w:w="2709"/>
      </w:tblGrid>
      <w:tr w:rsidR="00C15560" w:rsidRPr="00BC31E0" w14:paraId="6E3934D9" w14:textId="77777777" w:rsidTr="003B52EB">
        <w:tc>
          <w:tcPr>
            <w:tcW w:w="0" w:type="auto"/>
            <w:tcMar>
              <w:left w:w="0" w:type="dxa"/>
              <w:right w:w="0" w:type="dxa"/>
            </w:tcMar>
            <w:vAlign w:val="center"/>
          </w:tcPr>
          <w:p w14:paraId="1351D653" w14:textId="77777777" w:rsidR="00C15560" w:rsidRPr="00BC31E0" w:rsidRDefault="00C15560" w:rsidP="00C15560">
            <w:pPr>
              <w:adjustRightInd w:val="0"/>
              <w:jc w:val="left"/>
              <w:rPr>
                <w:i/>
                <w:szCs w:val="20"/>
              </w:rPr>
            </w:pPr>
            <m:oMathPara>
              <m:oMathParaPr>
                <m:jc m:val="left"/>
              </m:oMathParaPr>
              <m:oMath>
                <m:r>
                  <w:rPr>
                    <w:rFonts w:ascii="Cambria Math" w:hAnsi="Cambria Math"/>
                    <w:szCs w:val="20"/>
                  </w:rPr>
                  <m:t>∆</m:t>
                </m:r>
                <m:sSub>
                  <m:sSubPr>
                    <m:ctrlPr>
                      <w:rPr>
                        <w:rFonts w:ascii="Cambria Math" w:hAnsi="Cambria Math"/>
                        <w:i/>
                        <w:szCs w:val="20"/>
                      </w:rPr>
                    </m:ctrlPr>
                  </m:sSubPr>
                  <m:e>
                    <m:r>
                      <w:rPr>
                        <w:rFonts w:ascii="Cambria Math" w:hAnsi="Cambria Math"/>
                        <w:szCs w:val="20"/>
                      </w:rPr>
                      <m:t>K</m:t>
                    </m:r>
                  </m:e>
                  <m:sub>
                    <m:r>
                      <w:rPr>
                        <w:rFonts w:ascii="Cambria Math" w:hAnsi="Cambria Math"/>
                        <w:szCs w:val="20"/>
                      </w:rPr>
                      <m:t>th</m:t>
                    </m:r>
                  </m:sub>
                </m:sSub>
                <m:r>
                  <w:rPr>
                    <w:rFonts w:ascii="Cambria Math" w:hAnsi="Cambria Math"/>
                    <w:szCs w:val="20"/>
                  </w:rPr>
                  <m:t>=</m:t>
                </m:r>
                <m:r>
                  <m:rPr>
                    <m:sty m:val="bi"/>
                  </m:rPr>
                  <w:rPr>
                    <w:rFonts w:ascii="Cambria Math" w:hAnsi="Cambria Math"/>
                    <w:szCs w:val="20"/>
                  </w:rPr>
                  <m:t>min</m:t>
                </m:r>
                <m:d>
                  <m:dPr>
                    <m:begChr m:val="{"/>
                    <m:endChr m:val="}"/>
                    <m:ctrlPr>
                      <w:rPr>
                        <w:rFonts w:ascii="Cambria Math" w:hAnsi="Cambria Math"/>
                        <w:i/>
                        <w:szCs w:val="20"/>
                      </w:rPr>
                    </m:ctrlPr>
                  </m:dPr>
                  <m:e>
                    <m:r>
                      <w:rPr>
                        <w:rFonts w:ascii="Cambria Math" w:hAnsi="Cambria Math"/>
                        <w:szCs w:val="20"/>
                      </w:rPr>
                      <m:t xml:space="preserve"> G </m:t>
                    </m:r>
                    <m:d>
                      <m:dPr>
                        <m:ctrlPr>
                          <w:rPr>
                            <w:rFonts w:ascii="Cambria Math" w:hAnsi="Cambria Math"/>
                            <w:i/>
                            <w:szCs w:val="20"/>
                          </w:rPr>
                        </m:ctrlPr>
                      </m:dPr>
                      <m:e>
                        <m:r>
                          <w:rPr>
                            <w:rFonts w:ascii="Cambria Math" w:hAnsi="Cambria Math"/>
                            <w:szCs w:val="20"/>
                          </w:rPr>
                          <m:t xml:space="preserve">1-H </m:t>
                        </m:r>
                        <m:sSub>
                          <m:sSubPr>
                            <m:ctrlPr>
                              <w:rPr>
                                <w:rFonts w:ascii="Cambria Math" w:hAnsi="Cambria Math"/>
                                <w:i/>
                                <w:szCs w:val="20"/>
                              </w:rPr>
                            </m:ctrlPr>
                          </m:sSubPr>
                          <m:e>
                            <m:r>
                              <w:rPr>
                                <w:rFonts w:ascii="Cambria Math" w:hAnsi="Cambria Math"/>
                                <w:szCs w:val="20"/>
                              </w:rPr>
                              <m:t>R</m:t>
                            </m:r>
                          </m:e>
                          <m:sub>
                            <m:r>
                              <w:rPr>
                                <w:rFonts w:ascii="Cambria Math" w:hAnsi="Cambria Math"/>
                                <w:szCs w:val="20"/>
                              </w:rPr>
                              <m:t>K</m:t>
                            </m:r>
                          </m:sub>
                        </m:sSub>
                      </m:e>
                    </m:d>
                    <m:r>
                      <m:rPr>
                        <m:sty m:val="p"/>
                      </m:rPr>
                      <w:rPr>
                        <w:rFonts w:ascii="Cambria Math" w:hAnsi="Cambria Math" w:hint="eastAsia"/>
                        <w:szCs w:val="20"/>
                      </w:rPr>
                      <m:t>，</m:t>
                    </m:r>
                    <m:r>
                      <w:rPr>
                        <w:rFonts w:ascii="Cambria Math" w:hAnsi="Cambria Math"/>
                        <w:szCs w:val="20"/>
                      </w:rPr>
                      <m:t xml:space="preserve">I </m:t>
                    </m:r>
                  </m:e>
                </m:d>
                <m:r>
                  <w:rPr>
                    <w:rFonts w:ascii="Cambria Math" w:hAnsi="Cambria Math" w:hint="eastAsia"/>
                    <w:szCs w:val="20"/>
                  </w:rPr>
                  <m:t>≧</m:t>
                </m:r>
                <m:r>
                  <w:rPr>
                    <w:rFonts w:ascii="Cambria Math" w:hAnsi="Cambria Math" w:hint="eastAsia"/>
                    <w:szCs w:val="20"/>
                  </w:rPr>
                  <m:t xml:space="preserve">2.0 </m:t>
                </m:r>
                <m:r>
                  <w:rPr>
                    <w:rFonts w:ascii="Cambria Math" w:hAnsi="Cambria Math"/>
                    <w:szCs w:val="20"/>
                  </w:rPr>
                  <m:t xml:space="preserve"> </m:t>
                </m:r>
                <m:d>
                  <m:dPr>
                    <m:ctrlPr>
                      <w:rPr>
                        <w:rFonts w:ascii="Cambria Math" w:hAnsi="Cambria Math"/>
                        <w:i/>
                        <w:szCs w:val="20"/>
                      </w:rPr>
                    </m:ctrlPr>
                  </m:dPr>
                  <m:e>
                    <m:r>
                      <m:rPr>
                        <m:sty m:val="p"/>
                      </m:rPr>
                      <w:rPr>
                        <w:rFonts w:ascii="Cambria Math" w:hAnsi="Cambria Math"/>
                        <w:szCs w:val="20"/>
                      </w:rPr>
                      <m:t>MPa</m:t>
                    </m:r>
                    <m:rad>
                      <m:radPr>
                        <m:degHide m:val="1"/>
                        <m:ctrlPr>
                          <w:rPr>
                            <w:rFonts w:ascii="Cambria Math" w:hAnsi="Cambria Math"/>
                            <w:szCs w:val="20"/>
                          </w:rPr>
                        </m:ctrlPr>
                      </m:radPr>
                      <m:deg/>
                      <m:e>
                        <m:r>
                          <m:rPr>
                            <m:sty m:val="p"/>
                          </m:rPr>
                          <w:rPr>
                            <w:rFonts w:ascii="Cambria Math" w:hAnsi="Cambria Math"/>
                            <w:szCs w:val="20"/>
                          </w:rPr>
                          <m:t>m</m:t>
                        </m:r>
                      </m:e>
                    </m:rad>
                  </m:e>
                </m:d>
              </m:oMath>
            </m:oMathPara>
          </w:p>
        </w:tc>
        <w:tc>
          <w:tcPr>
            <w:tcW w:w="2709" w:type="dxa"/>
            <w:tcMar>
              <w:left w:w="0" w:type="dxa"/>
              <w:right w:w="0" w:type="dxa"/>
            </w:tcMar>
            <w:vAlign w:val="center"/>
          </w:tcPr>
          <w:p w14:paraId="4597DE55" w14:textId="77777777" w:rsidR="00C15560" w:rsidRPr="00BC31E0" w:rsidRDefault="00C15560" w:rsidP="00C15560">
            <w:pPr>
              <w:tabs>
                <w:tab w:val="left" w:leader="middleDot" w:pos="1860"/>
              </w:tabs>
              <w:adjustRightInd w:val="0"/>
              <w:rPr>
                <w:szCs w:val="20"/>
              </w:rPr>
            </w:pPr>
            <w:r w:rsidRPr="00BC31E0">
              <w:rPr>
                <w:szCs w:val="20"/>
              </w:rPr>
              <w:tab/>
            </w:r>
            <w:r w:rsidRPr="00BC31E0">
              <w:rPr>
                <w:rFonts w:hint="eastAsia"/>
                <w:szCs w:val="20"/>
              </w:rPr>
              <w:t>(6.4.3)</w:t>
            </w:r>
          </w:p>
        </w:tc>
      </w:tr>
    </w:tbl>
    <w:p w14:paraId="23AD5E19" w14:textId="77777777" w:rsidR="00C15560" w:rsidRPr="00BC31E0" w:rsidRDefault="00C15560" w:rsidP="00C67109">
      <w:pPr>
        <w:tabs>
          <w:tab w:val="left" w:leader="middleDot" w:pos="8222"/>
        </w:tabs>
        <w:adjustRightInd w:val="0"/>
        <w:spacing w:before="120" w:after="120"/>
        <w:ind w:left="454" w:firstLineChars="100" w:firstLine="210"/>
      </w:pPr>
      <w:r w:rsidRPr="00BC31E0">
        <w:rPr>
          <w:rFonts w:hint="eastAsia"/>
        </w:rPr>
        <w:t>高強度低合金鋼</w:t>
      </w:r>
      <w:r w:rsidRPr="00BC31E0">
        <w:rPr>
          <w:rFonts w:hint="eastAsia"/>
        </w:rPr>
        <w:t>(</w:t>
      </w:r>
      <m:oMath>
        <m:sSub>
          <m:sSubPr>
            <m:ctrlPr>
              <w:rPr>
                <w:rFonts w:ascii="Cambria Math" w:hAnsi="Cambria Math"/>
                <w:i/>
              </w:rPr>
            </m:ctrlPr>
          </m:sSubPr>
          <m:e>
            <m:r>
              <w:rPr>
                <w:rFonts w:ascii="Cambria Math" w:hAnsi="Cambria Math" w:hint="eastAsia"/>
              </w:rPr>
              <m:t>S</m:t>
            </m:r>
          </m:e>
          <m:sub>
            <m:r>
              <w:rPr>
                <w:rFonts w:ascii="Cambria Math" w:hAnsi="Cambria Math" w:hint="eastAsia"/>
              </w:rPr>
              <m:t>y</m:t>
            </m:r>
          </m:sub>
        </m:sSub>
        <m:r>
          <w:rPr>
            <w:rFonts w:ascii="Cambria Math" w:hAnsi="Cambria Math"/>
          </w:rPr>
          <m:t>&gt;</m:t>
        </m:r>
        <m:r>
          <w:rPr>
            <w:rFonts w:ascii="Cambria Math" w:hAnsi="Cambria Math" w:hint="eastAsia"/>
          </w:rPr>
          <m:t>620</m:t>
        </m:r>
        <m:r>
          <m:rPr>
            <m:sty m:val="p"/>
          </m:rPr>
          <w:rPr>
            <w:rFonts w:ascii="Cambria Math" w:hAnsi="Cambria Math"/>
          </w:rPr>
          <m:t xml:space="preserve"> MPa</m:t>
        </m:r>
      </m:oMath>
      <w:r w:rsidRPr="00BC31E0">
        <w:rPr>
          <w:rFonts w:hint="eastAsia"/>
        </w:rPr>
        <w:t>)</w:t>
      </w:r>
      <w:r w:rsidRPr="00BC31E0">
        <w:rPr>
          <w:rFonts w:hint="eastAsia"/>
        </w:rPr>
        <w:t>及びマルテンサイト系析出硬化鋼</w:t>
      </w:r>
    </w:p>
    <w:tbl>
      <w:tblPr>
        <w:tblStyle w:val="52"/>
        <w:tblW w:w="7087" w:type="dxa"/>
        <w:tblInd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8"/>
        <w:gridCol w:w="2709"/>
      </w:tblGrid>
      <w:tr w:rsidR="00C15560" w:rsidRPr="00BC31E0" w14:paraId="0DCAFD11" w14:textId="77777777" w:rsidTr="003B52EB">
        <w:tc>
          <w:tcPr>
            <w:tcW w:w="0" w:type="auto"/>
            <w:tcMar>
              <w:left w:w="0" w:type="dxa"/>
              <w:right w:w="0" w:type="dxa"/>
            </w:tcMar>
            <w:vAlign w:val="center"/>
          </w:tcPr>
          <w:p w14:paraId="4CFFA2E6" w14:textId="77777777" w:rsidR="00C15560" w:rsidRPr="00BC31E0" w:rsidRDefault="00C15560" w:rsidP="00C15560">
            <w:pPr>
              <w:adjustRightInd w:val="0"/>
              <w:jc w:val="left"/>
              <w:rPr>
                <w:i/>
                <w:szCs w:val="20"/>
              </w:rPr>
            </w:pPr>
            <m:oMathPara>
              <m:oMathParaPr>
                <m:jc m:val="left"/>
              </m:oMathParaPr>
              <m:oMath>
                <m:r>
                  <w:rPr>
                    <w:rFonts w:ascii="Cambria Math" w:hAnsi="Cambria Math"/>
                    <w:szCs w:val="20"/>
                  </w:rPr>
                  <m:t>∆</m:t>
                </m:r>
                <m:sSub>
                  <m:sSubPr>
                    <m:ctrlPr>
                      <w:rPr>
                        <w:rFonts w:ascii="Cambria Math" w:hAnsi="Cambria Math"/>
                        <w:i/>
                        <w:szCs w:val="20"/>
                      </w:rPr>
                    </m:ctrlPr>
                  </m:sSubPr>
                  <m:e>
                    <m:r>
                      <w:rPr>
                        <w:rFonts w:ascii="Cambria Math" w:hAnsi="Cambria Math"/>
                        <w:szCs w:val="20"/>
                      </w:rPr>
                      <m:t>K</m:t>
                    </m:r>
                  </m:e>
                  <m:sub>
                    <m:r>
                      <w:rPr>
                        <w:rFonts w:ascii="Cambria Math" w:hAnsi="Cambria Math"/>
                        <w:szCs w:val="20"/>
                      </w:rPr>
                      <m:t>th</m:t>
                    </m:r>
                  </m:sub>
                </m:sSub>
                <m:r>
                  <w:rPr>
                    <w:rFonts w:ascii="Cambria Math" w:hAnsi="Cambria Math"/>
                    <w:szCs w:val="20"/>
                  </w:rPr>
                  <m:t>=</m:t>
                </m:r>
                <m:r>
                  <m:rPr>
                    <m:sty m:val="bi"/>
                  </m:rPr>
                  <w:rPr>
                    <w:rFonts w:ascii="Cambria Math" w:hAnsi="Cambria Math"/>
                    <w:szCs w:val="20"/>
                  </w:rPr>
                  <m:t>min</m:t>
                </m:r>
                <m:d>
                  <m:dPr>
                    <m:begChr m:val="{"/>
                    <m:endChr m:val="}"/>
                    <m:ctrlPr>
                      <w:rPr>
                        <w:rFonts w:ascii="Cambria Math" w:hAnsi="Cambria Math"/>
                        <w:i/>
                        <w:szCs w:val="20"/>
                      </w:rPr>
                    </m:ctrlPr>
                  </m:dPr>
                  <m:e>
                    <m:r>
                      <w:rPr>
                        <w:rFonts w:ascii="Cambria Math" w:hAnsi="Cambria Math"/>
                        <w:szCs w:val="20"/>
                      </w:rPr>
                      <m:t xml:space="preserve"> G </m:t>
                    </m:r>
                    <m:d>
                      <m:dPr>
                        <m:ctrlPr>
                          <w:rPr>
                            <w:rFonts w:ascii="Cambria Math" w:hAnsi="Cambria Math"/>
                            <w:i/>
                            <w:szCs w:val="20"/>
                          </w:rPr>
                        </m:ctrlPr>
                      </m:dPr>
                      <m:e>
                        <m:r>
                          <w:rPr>
                            <w:rFonts w:ascii="Cambria Math" w:hAnsi="Cambria Math"/>
                            <w:szCs w:val="20"/>
                          </w:rPr>
                          <m:t xml:space="preserve">1-H </m:t>
                        </m:r>
                        <m:sSub>
                          <m:sSubPr>
                            <m:ctrlPr>
                              <w:rPr>
                                <w:rFonts w:ascii="Cambria Math" w:hAnsi="Cambria Math"/>
                                <w:i/>
                                <w:szCs w:val="20"/>
                              </w:rPr>
                            </m:ctrlPr>
                          </m:sSubPr>
                          <m:e>
                            <m:r>
                              <w:rPr>
                                <w:rFonts w:ascii="Cambria Math" w:hAnsi="Cambria Math"/>
                                <w:szCs w:val="20"/>
                              </w:rPr>
                              <m:t>R</m:t>
                            </m:r>
                          </m:e>
                          <m:sub>
                            <m:r>
                              <w:rPr>
                                <w:rFonts w:ascii="Cambria Math" w:hAnsi="Cambria Math"/>
                                <w:szCs w:val="20"/>
                              </w:rPr>
                              <m:t>K</m:t>
                            </m:r>
                          </m:sub>
                        </m:sSub>
                      </m:e>
                    </m:d>
                    <m:r>
                      <m:rPr>
                        <m:sty m:val="p"/>
                      </m:rPr>
                      <w:rPr>
                        <w:rFonts w:ascii="Cambria Math" w:hAnsi="Cambria Math" w:hint="eastAsia"/>
                        <w:szCs w:val="20"/>
                      </w:rPr>
                      <m:t>，</m:t>
                    </m:r>
                    <m:r>
                      <w:rPr>
                        <w:rFonts w:ascii="Cambria Math" w:hAnsi="Cambria Math"/>
                        <w:szCs w:val="20"/>
                      </w:rPr>
                      <m:t xml:space="preserve">I </m:t>
                    </m:r>
                  </m:e>
                </m:d>
                <m:r>
                  <w:rPr>
                    <w:rFonts w:ascii="Cambria Math" w:hAnsi="Cambria Math" w:hint="eastAsia"/>
                    <w:szCs w:val="20"/>
                  </w:rPr>
                  <m:t>≧</m:t>
                </m:r>
                <m:r>
                  <w:rPr>
                    <w:rFonts w:ascii="Cambria Math" w:hAnsi="Cambria Math" w:hint="eastAsia"/>
                    <w:szCs w:val="20"/>
                  </w:rPr>
                  <m:t>2.</m:t>
                </m:r>
                <m:r>
                  <w:rPr>
                    <w:rFonts w:ascii="Cambria Math" w:hAnsi="Cambria Math"/>
                    <w:szCs w:val="20"/>
                  </w:rPr>
                  <m:t>2</m:t>
                </m:r>
                <m:r>
                  <w:rPr>
                    <w:rFonts w:ascii="Cambria Math" w:hAnsi="Cambria Math" w:hint="eastAsia"/>
                    <w:szCs w:val="20"/>
                  </w:rPr>
                  <m:t xml:space="preserve"> </m:t>
                </m:r>
                <m:r>
                  <w:rPr>
                    <w:rFonts w:ascii="Cambria Math" w:hAnsi="Cambria Math"/>
                    <w:szCs w:val="20"/>
                  </w:rPr>
                  <m:t xml:space="preserve"> </m:t>
                </m:r>
                <m:d>
                  <m:dPr>
                    <m:ctrlPr>
                      <w:rPr>
                        <w:rFonts w:ascii="Cambria Math" w:hAnsi="Cambria Math"/>
                        <w:i/>
                        <w:szCs w:val="20"/>
                      </w:rPr>
                    </m:ctrlPr>
                  </m:dPr>
                  <m:e>
                    <m:r>
                      <m:rPr>
                        <m:sty m:val="p"/>
                      </m:rPr>
                      <w:rPr>
                        <w:rFonts w:ascii="Cambria Math" w:hAnsi="Cambria Math"/>
                        <w:szCs w:val="20"/>
                      </w:rPr>
                      <m:t>MPa</m:t>
                    </m:r>
                    <m:rad>
                      <m:radPr>
                        <m:degHide m:val="1"/>
                        <m:ctrlPr>
                          <w:rPr>
                            <w:rFonts w:ascii="Cambria Math" w:hAnsi="Cambria Math"/>
                            <w:szCs w:val="20"/>
                          </w:rPr>
                        </m:ctrlPr>
                      </m:radPr>
                      <m:deg/>
                      <m:e>
                        <m:r>
                          <m:rPr>
                            <m:sty m:val="p"/>
                          </m:rPr>
                          <w:rPr>
                            <w:rFonts w:ascii="Cambria Math" w:hAnsi="Cambria Math"/>
                            <w:szCs w:val="20"/>
                          </w:rPr>
                          <m:t>m</m:t>
                        </m:r>
                      </m:e>
                    </m:rad>
                  </m:e>
                </m:d>
              </m:oMath>
            </m:oMathPara>
          </w:p>
        </w:tc>
        <w:tc>
          <w:tcPr>
            <w:tcW w:w="2709" w:type="dxa"/>
            <w:tcMar>
              <w:left w:w="0" w:type="dxa"/>
              <w:right w:w="0" w:type="dxa"/>
            </w:tcMar>
            <w:vAlign w:val="center"/>
          </w:tcPr>
          <w:p w14:paraId="061925C7" w14:textId="77777777" w:rsidR="00C15560" w:rsidRPr="00BC31E0" w:rsidRDefault="00C15560" w:rsidP="00C15560">
            <w:pPr>
              <w:tabs>
                <w:tab w:val="left" w:leader="middleDot" w:pos="1859"/>
              </w:tabs>
              <w:adjustRightInd w:val="0"/>
              <w:rPr>
                <w:szCs w:val="20"/>
              </w:rPr>
            </w:pPr>
            <w:r w:rsidRPr="00BC31E0">
              <w:rPr>
                <w:szCs w:val="20"/>
              </w:rPr>
              <w:tab/>
            </w:r>
            <w:r w:rsidRPr="00BC31E0">
              <w:rPr>
                <w:rFonts w:hint="eastAsia"/>
                <w:szCs w:val="20"/>
              </w:rPr>
              <w:t>(6.4.4)</w:t>
            </w:r>
          </w:p>
        </w:tc>
      </w:tr>
    </w:tbl>
    <w:p w14:paraId="3F5B2A60" w14:textId="77777777" w:rsidR="00C15560" w:rsidRPr="00BC31E0" w:rsidRDefault="00C15560" w:rsidP="00C67109">
      <w:pPr>
        <w:tabs>
          <w:tab w:val="left" w:pos="1985"/>
          <w:tab w:val="left" w:leader="middleDot" w:pos="8222"/>
        </w:tabs>
        <w:adjustRightInd w:val="0"/>
        <w:spacing w:before="120" w:after="120"/>
        <w:ind w:left="454" w:firstLineChars="100" w:firstLine="210"/>
      </w:pPr>
      <w:r w:rsidRPr="00BC31E0">
        <w:rPr>
          <w:rFonts w:hint="eastAsia"/>
        </w:rPr>
        <w:t>アルミニウム合金</w:t>
      </w:r>
    </w:p>
    <w:tbl>
      <w:tblPr>
        <w:tblStyle w:val="52"/>
        <w:tblW w:w="7087" w:type="dxa"/>
        <w:tblInd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8"/>
        <w:gridCol w:w="2709"/>
      </w:tblGrid>
      <w:tr w:rsidR="00C15560" w:rsidRPr="00BC31E0" w14:paraId="6C37B386" w14:textId="77777777" w:rsidTr="003B52EB">
        <w:tc>
          <w:tcPr>
            <w:tcW w:w="0" w:type="auto"/>
            <w:tcMar>
              <w:left w:w="0" w:type="dxa"/>
              <w:right w:w="0" w:type="dxa"/>
            </w:tcMar>
            <w:vAlign w:val="center"/>
          </w:tcPr>
          <w:p w14:paraId="27757D5E" w14:textId="77777777" w:rsidR="00C15560" w:rsidRPr="00BC31E0" w:rsidRDefault="00C15560" w:rsidP="00C15560">
            <w:pPr>
              <w:adjustRightInd w:val="0"/>
              <w:jc w:val="left"/>
              <w:rPr>
                <w:i/>
                <w:szCs w:val="20"/>
              </w:rPr>
            </w:pPr>
            <m:oMathPara>
              <m:oMathParaPr>
                <m:jc m:val="left"/>
              </m:oMathParaPr>
              <m:oMath>
                <m:r>
                  <w:rPr>
                    <w:rFonts w:ascii="Cambria Math" w:hAnsi="Cambria Math"/>
                    <w:szCs w:val="20"/>
                  </w:rPr>
                  <m:t>∆</m:t>
                </m:r>
                <m:sSub>
                  <m:sSubPr>
                    <m:ctrlPr>
                      <w:rPr>
                        <w:rFonts w:ascii="Cambria Math" w:hAnsi="Cambria Math"/>
                        <w:i/>
                        <w:szCs w:val="20"/>
                      </w:rPr>
                    </m:ctrlPr>
                  </m:sSubPr>
                  <m:e>
                    <m:r>
                      <w:rPr>
                        <w:rFonts w:ascii="Cambria Math" w:hAnsi="Cambria Math"/>
                        <w:szCs w:val="20"/>
                      </w:rPr>
                      <m:t>K</m:t>
                    </m:r>
                  </m:e>
                  <m:sub>
                    <m:r>
                      <w:rPr>
                        <w:rFonts w:ascii="Cambria Math" w:hAnsi="Cambria Math"/>
                        <w:szCs w:val="20"/>
                      </w:rPr>
                      <m:t>th</m:t>
                    </m:r>
                  </m:sub>
                </m:sSub>
                <m:r>
                  <w:rPr>
                    <w:rFonts w:ascii="Cambria Math" w:hAnsi="Cambria Math"/>
                    <w:szCs w:val="20"/>
                  </w:rPr>
                  <m:t>=</m:t>
                </m:r>
                <m:r>
                  <m:rPr>
                    <m:sty m:val="bi"/>
                  </m:rPr>
                  <w:rPr>
                    <w:rFonts w:ascii="Cambria Math" w:hAnsi="Cambria Math"/>
                    <w:szCs w:val="20"/>
                  </w:rPr>
                  <m:t>min</m:t>
                </m:r>
                <m:d>
                  <m:dPr>
                    <m:begChr m:val="{"/>
                    <m:endChr m:val="}"/>
                    <m:ctrlPr>
                      <w:rPr>
                        <w:rFonts w:ascii="Cambria Math" w:hAnsi="Cambria Math"/>
                        <w:i/>
                        <w:szCs w:val="20"/>
                      </w:rPr>
                    </m:ctrlPr>
                  </m:dPr>
                  <m:e>
                    <m:r>
                      <w:rPr>
                        <w:rFonts w:ascii="Cambria Math" w:hAnsi="Cambria Math"/>
                        <w:szCs w:val="20"/>
                      </w:rPr>
                      <m:t xml:space="preserve"> G </m:t>
                    </m:r>
                    <m:d>
                      <m:dPr>
                        <m:ctrlPr>
                          <w:rPr>
                            <w:rFonts w:ascii="Cambria Math" w:hAnsi="Cambria Math"/>
                            <w:i/>
                            <w:szCs w:val="20"/>
                          </w:rPr>
                        </m:ctrlPr>
                      </m:dPr>
                      <m:e>
                        <m:r>
                          <w:rPr>
                            <w:rFonts w:ascii="Cambria Math" w:hAnsi="Cambria Math"/>
                            <w:szCs w:val="20"/>
                          </w:rPr>
                          <m:t xml:space="preserve">1-H </m:t>
                        </m:r>
                        <m:sSub>
                          <m:sSubPr>
                            <m:ctrlPr>
                              <w:rPr>
                                <w:rFonts w:ascii="Cambria Math" w:hAnsi="Cambria Math"/>
                                <w:i/>
                                <w:szCs w:val="20"/>
                              </w:rPr>
                            </m:ctrlPr>
                          </m:sSubPr>
                          <m:e>
                            <m:r>
                              <w:rPr>
                                <w:rFonts w:ascii="Cambria Math" w:hAnsi="Cambria Math"/>
                                <w:szCs w:val="20"/>
                              </w:rPr>
                              <m:t>R</m:t>
                            </m:r>
                          </m:e>
                          <m:sub>
                            <m:r>
                              <w:rPr>
                                <w:rFonts w:ascii="Cambria Math" w:hAnsi="Cambria Math"/>
                                <w:szCs w:val="20"/>
                              </w:rPr>
                              <m:t>K</m:t>
                            </m:r>
                          </m:sub>
                        </m:sSub>
                      </m:e>
                    </m:d>
                    <m:r>
                      <m:rPr>
                        <m:sty m:val="p"/>
                      </m:rPr>
                      <w:rPr>
                        <w:rFonts w:ascii="Cambria Math" w:hAnsi="Cambria Math" w:hint="eastAsia"/>
                        <w:szCs w:val="20"/>
                      </w:rPr>
                      <m:t>，</m:t>
                    </m:r>
                    <m:r>
                      <w:rPr>
                        <w:rFonts w:ascii="Cambria Math" w:hAnsi="Cambria Math"/>
                        <w:szCs w:val="20"/>
                      </w:rPr>
                      <m:t xml:space="preserve">I </m:t>
                    </m:r>
                  </m:e>
                </m:d>
                <m:r>
                  <w:rPr>
                    <w:rFonts w:ascii="Cambria Math" w:hAnsi="Cambria Math" w:hint="eastAsia"/>
                    <w:szCs w:val="20"/>
                  </w:rPr>
                  <m:t>≧</m:t>
                </m:r>
                <m:r>
                  <w:rPr>
                    <w:rFonts w:ascii="Cambria Math" w:hAnsi="Cambria Math"/>
                    <w:szCs w:val="20"/>
                  </w:rPr>
                  <m:t>0.7</m:t>
                </m:r>
                <m:r>
                  <w:rPr>
                    <w:rFonts w:ascii="Cambria Math" w:hAnsi="Cambria Math" w:hint="eastAsia"/>
                    <w:szCs w:val="20"/>
                  </w:rPr>
                  <m:t xml:space="preserve"> </m:t>
                </m:r>
                <m:r>
                  <w:rPr>
                    <w:rFonts w:ascii="Cambria Math" w:hAnsi="Cambria Math"/>
                    <w:szCs w:val="20"/>
                  </w:rPr>
                  <m:t xml:space="preserve"> </m:t>
                </m:r>
                <m:d>
                  <m:dPr>
                    <m:ctrlPr>
                      <w:rPr>
                        <w:rFonts w:ascii="Cambria Math" w:hAnsi="Cambria Math"/>
                        <w:i/>
                        <w:szCs w:val="20"/>
                      </w:rPr>
                    </m:ctrlPr>
                  </m:dPr>
                  <m:e>
                    <m:r>
                      <m:rPr>
                        <m:sty m:val="p"/>
                      </m:rPr>
                      <w:rPr>
                        <w:rFonts w:ascii="Cambria Math" w:hAnsi="Cambria Math"/>
                        <w:szCs w:val="20"/>
                      </w:rPr>
                      <m:t>MPa</m:t>
                    </m:r>
                    <m:rad>
                      <m:radPr>
                        <m:degHide m:val="1"/>
                        <m:ctrlPr>
                          <w:rPr>
                            <w:rFonts w:ascii="Cambria Math" w:hAnsi="Cambria Math"/>
                            <w:szCs w:val="20"/>
                          </w:rPr>
                        </m:ctrlPr>
                      </m:radPr>
                      <m:deg/>
                      <m:e>
                        <m:r>
                          <m:rPr>
                            <m:sty m:val="p"/>
                          </m:rPr>
                          <w:rPr>
                            <w:rFonts w:ascii="Cambria Math" w:hAnsi="Cambria Math"/>
                            <w:szCs w:val="20"/>
                          </w:rPr>
                          <m:t>m</m:t>
                        </m:r>
                      </m:e>
                    </m:rad>
                  </m:e>
                </m:d>
              </m:oMath>
            </m:oMathPara>
          </w:p>
        </w:tc>
        <w:tc>
          <w:tcPr>
            <w:tcW w:w="2709" w:type="dxa"/>
            <w:tcMar>
              <w:left w:w="0" w:type="dxa"/>
              <w:right w:w="0" w:type="dxa"/>
            </w:tcMar>
            <w:vAlign w:val="center"/>
          </w:tcPr>
          <w:p w14:paraId="6157467A" w14:textId="77777777" w:rsidR="00C15560" w:rsidRPr="00BC31E0" w:rsidRDefault="00C15560" w:rsidP="00C15560">
            <w:pPr>
              <w:tabs>
                <w:tab w:val="left" w:leader="middleDot" w:pos="1860"/>
              </w:tabs>
              <w:adjustRightInd w:val="0"/>
              <w:rPr>
                <w:szCs w:val="20"/>
              </w:rPr>
            </w:pPr>
            <w:r w:rsidRPr="00BC31E0">
              <w:rPr>
                <w:szCs w:val="20"/>
              </w:rPr>
              <w:tab/>
            </w:r>
            <w:r w:rsidRPr="00BC31E0">
              <w:rPr>
                <w:rFonts w:hint="eastAsia"/>
                <w:szCs w:val="20"/>
              </w:rPr>
              <w:t>(6.4.5)</w:t>
            </w:r>
          </w:p>
        </w:tc>
      </w:tr>
    </w:tbl>
    <w:p w14:paraId="2FEF0987" w14:textId="77777777" w:rsidR="00C15560" w:rsidRPr="00BC31E0" w:rsidRDefault="00C15560" w:rsidP="00C15560">
      <w:pPr>
        <w:autoSpaceDE w:val="0"/>
        <w:autoSpaceDN w:val="0"/>
        <w:spacing w:before="120"/>
        <w:ind w:left="454" w:firstLineChars="100" w:firstLine="210"/>
      </w:pPr>
      <w:r w:rsidRPr="00BC31E0">
        <w:rPr>
          <w:rFonts w:hint="eastAsia"/>
        </w:rPr>
        <w:t>ここで，</w:t>
      </w:r>
      <m:oMath>
        <m:r>
          <w:rPr>
            <w:rFonts w:ascii="Cambria Math" w:hAnsi="Cambria Math"/>
          </w:rPr>
          <m:t>G</m:t>
        </m:r>
      </m:oMath>
      <w:r w:rsidRPr="00BC31E0">
        <w:rPr>
          <w:rFonts w:hint="eastAsia"/>
        </w:rPr>
        <w:t>，</w:t>
      </w:r>
      <m:oMath>
        <m:r>
          <w:rPr>
            <w:rFonts w:ascii="Cambria Math" w:hAnsi="Cambria Math"/>
          </w:rPr>
          <m:t>H</m:t>
        </m:r>
        <m:r>
          <m:rPr>
            <m:sty m:val="p"/>
          </m:rPr>
          <w:rPr>
            <w:rFonts w:ascii="Cambria Math" w:hAnsi="Cambria Math"/>
          </w:rPr>
          <m:t xml:space="preserve"> </m:t>
        </m:r>
      </m:oMath>
      <w:r w:rsidRPr="00BC31E0">
        <w:rPr>
          <w:rFonts w:hint="eastAsia"/>
        </w:rPr>
        <w:t>及び</w:t>
      </w:r>
      <m:oMath>
        <m:r>
          <m:rPr>
            <m:sty m:val="p"/>
          </m:rPr>
          <w:rPr>
            <w:rFonts w:ascii="Cambria Math" w:hAnsi="Cambria Math"/>
          </w:rPr>
          <m:t xml:space="preserve"> </m:t>
        </m:r>
        <m:r>
          <w:rPr>
            <w:rFonts w:ascii="Cambria Math" w:hAnsi="Cambria Math"/>
          </w:rPr>
          <m:t>I</m:t>
        </m:r>
        <m:r>
          <m:rPr>
            <m:sty m:val="p"/>
          </m:rPr>
          <w:rPr>
            <w:rFonts w:ascii="Cambria Math" w:hAnsi="Cambria Math"/>
          </w:rPr>
          <m:t xml:space="preserve"> </m:t>
        </m:r>
      </m:oMath>
      <w:r w:rsidRPr="00BC31E0">
        <w:rPr>
          <w:rFonts w:hint="eastAsia"/>
        </w:rPr>
        <w:t>の値は，</w:t>
      </w:r>
      <w:r w:rsidRPr="00BC31E0">
        <w:rPr>
          <w:rFonts w:ascii="ＭＳ ゴシック" w:eastAsia="ＭＳ ゴシック" w:hAnsi="ＭＳ ゴシック" w:hint="eastAsia"/>
          <w:b/>
          <w:bCs/>
        </w:rPr>
        <w:t>表6.4.1</w:t>
      </w:r>
      <w:r w:rsidRPr="00BC31E0">
        <w:rPr>
          <w:rFonts w:hint="eastAsia"/>
        </w:rPr>
        <w:t>に与えられる。</w:t>
      </w:r>
    </w:p>
    <w:p w14:paraId="004D3E9D" w14:textId="77777777" w:rsidR="00C15560" w:rsidRPr="00BC31E0" w:rsidRDefault="00C15560" w:rsidP="007E26D6">
      <w:pPr>
        <w:pStyle w:val="a4"/>
        <w:numPr>
          <w:ilvl w:val="0"/>
          <w:numId w:val="25"/>
        </w:numPr>
        <w:ind w:leftChars="0" w:left="454" w:hanging="454"/>
      </w:pPr>
      <w:r w:rsidRPr="00BC31E0">
        <w:rPr>
          <w:rFonts w:hint="eastAsia"/>
        </w:rPr>
        <w:t>腐食環境中の疲労では，疲労亀裂進展速度は著しく増加する。疲労亀裂進展の計算を行う場合には，荷重の繰返しとともに環境の影響を考慮しなければならない。</w:t>
      </w:r>
    </w:p>
    <w:p w14:paraId="2E67B3D9" w14:textId="77777777" w:rsidR="00C15560" w:rsidRPr="00BC31E0" w:rsidRDefault="00C15560" w:rsidP="007E26D6">
      <w:pPr>
        <w:pStyle w:val="a4"/>
        <w:numPr>
          <w:ilvl w:val="0"/>
          <w:numId w:val="25"/>
        </w:numPr>
        <w:ind w:leftChars="0" w:left="454" w:hanging="454"/>
      </w:pPr>
      <w:r w:rsidRPr="00BC31E0">
        <w:rPr>
          <w:rFonts w:hint="eastAsia"/>
        </w:rPr>
        <w:t>設計温度が室温よりも高い場合には，</w:t>
      </w:r>
      <w:r w:rsidRPr="00BC31E0">
        <w:rPr>
          <w:rFonts w:asciiTheme="majorEastAsia" w:eastAsiaTheme="majorEastAsia" w:hAnsiTheme="majorEastAsia" w:hint="eastAsia"/>
          <w:b/>
          <w:bCs/>
        </w:rPr>
        <w:t>式(6.4.1)</w:t>
      </w:r>
      <w:r w:rsidRPr="00BC31E0">
        <w:rPr>
          <w:rFonts w:hint="eastAsia"/>
        </w:rPr>
        <w:t>及び</w:t>
      </w:r>
      <w:r w:rsidRPr="00BC31E0">
        <w:rPr>
          <w:rFonts w:asciiTheme="majorEastAsia" w:eastAsiaTheme="majorEastAsia" w:hAnsiTheme="majorEastAsia" w:hint="eastAsia"/>
          <w:b/>
          <w:bCs/>
        </w:rPr>
        <w:t>式(6.4.2)</w:t>
      </w:r>
      <w:r w:rsidRPr="00BC31E0">
        <w:rPr>
          <w:rFonts w:hint="eastAsia"/>
        </w:rPr>
        <w:t>の材料定数</w:t>
      </w:r>
      <m:oMath>
        <m:r>
          <m:rPr>
            <m:sty m:val="p"/>
          </m:rPr>
          <w:rPr>
            <w:rFonts w:ascii="Cambria Math" w:hAnsi="Cambria Math" w:hint="eastAsia"/>
          </w:rPr>
          <m:t xml:space="preserve"> </m:t>
        </m:r>
        <m:r>
          <w:rPr>
            <w:rFonts w:ascii="Cambria Math" w:hAnsi="Cambria Math" w:hint="eastAsia"/>
          </w:rPr>
          <m:t>C</m:t>
        </m:r>
        <m:r>
          <m:rPr>
            <m:sty m:val="p"/>
          </m:rPr>
          <w:rPr>
            <w:rFonts w:ascii="Cambria Math" w:hAnsi="Cambria Math" w:hint="eastAsia"/>
          </w:rPr>
          <m:t xml:space="preserve"> </m:t>
        </m:r>
      </m:oMath>
      <w:r w:rsidRPr="00BC31E0">
        <w:rPr>
          <w:rFonts w:hint="eastAsia"/>
        </w:rPr>
        <w:t>を次式で補正する。</w:t>
      </w:r>
    </w:p>
    <w:tbl>
      <w:tblPr>
        <w:tblStyle w:val="62"/>
        <w:tblW w:w="5670" w:type="dxa"/>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3"/>
        <w:gridCol w:w="4397"/>
      </w:tblGrid>
      <w:tr w:rsidR="00C15560" w:rsidRPr="00BC31E0" w14:paraId="715A4B0F" w14:textId="77777777" w:rsidTr="00507529">
        <w:tc>
          <w:tcPr>
            <w:tcW w:w="0" w:type="auto"/>
            <w:tcMar>
              <w:left w:w="0" w:type="dxa"/>
              <w:right w:w="0" w:type="dxa"/>
            </w:tcMar>
            <w:vAlign w:val="center"/>
          </w:tcPr>
          <w:p w14:paraId="5B6B691E" w14:textId="77777777" w:rsidR="00C15560" w:rsidRPr="00BC31E0" w:rsidRDefault="00C15560" w:rsidP="00C67109">
            <w:pPr>
              <w:rPr>
                <w:i/>
                <w:szCs w:val="20"/>
              </w:rPr>
            </w:pPr>
            <m:oMathPara>
              <m:oMathParaPr>
                <m:jc m:val="left"/>
              </m:oMathParaPr>
              <m:oMath>
                <m:r>
                  <w:rPr>
                    <w:rFonts w:ascii="Cambria Math" w:hAnsi="Cambria Math" w:hint="eastAsia"/>
                    <w:szCs w:val="20"/>
                  </w:rPr>
                  <m:t>C</m:t>
                </m:r>
                <m:r>
                  <w:rPr>
                    <w:rFonts w:ascii="Cambria Math" w:hAnsi="Cambria Math"/>
                    <w:szCs w:val="20"/>
                  </w:rPr>
                  <m:t>=</m:t>
                </m:r>
                <m:sSub>
                  <m:sSubPr>
                    <m:ctrlPr>
                      <w:rPr>
                        <w:rFonts w:ascii="Cambria Math" w:hAnsi="Cambria Math"/>
                        <w:i/>
                        <w:szCs w:val="20"/>
                      </w:rPr>
                    </m:ctrlPr>
                  </m:sSubPr>
                  <m:e>
                    <m:r>
                      <w:rPr>
                        <w:rFonts w:ascii="Cambria Math" w:hAnsi="Cambria Math" w:hint="eastAsia"/>
                        <w:szCs w:val="20"/>
                      </w:rPr>
                      <m:t>C</m:t>
                    </m:r>
                  </m:e>
                  <m:sub>
                    <m:r>
                      <w:rPr>
                        <w:rFonts w:ascii="Cambria Math" w:hAnsi="Cambria Math" w:hint="eastAsia"/>
                        <w:szCs w:val="20"/>
                      </w:rPr>
                      <m:t>0</m:t>
                    </m:r>
                  </m:sub>
                </m:sSub>
                <m:r>
                  <w:rPr>
                    <w:rFonts w:ascii="Cambria Math" w:hAnsi="Cambria Math"/>
                    <w:szCs w:val="20"/>
                  </w:rPr>
                  <m:t xml:space="preserve"> </m:t>
                </m:r>
                <m:sSup>
                  <m:sSupPr>
                    <m:ctrlPr>
                      <w:rPr>
                        <w:rFonts w:ascii="Cambria Math" w:hAnsi="Cambria Math"/>
                        <w:i/>
                        <w:szCs w:val="20"/>
                      </w:rPr>
                    </m:ctrlPr>
                  </m:sSupPr>
                  <m:e>
                    <m:d>
                      <m:dPr>
                        <m:ctrlPr>
                          <w:rPr>
                            <w:rFonts w:ascii="Cambria Math" w:hAnsi="Cambria Math"/>
                            <w:i/>
                            <w:szCs w:val="20"/>
                          </w:rPr>
                        </m:ctrlPr>
                      </m:dPr>
                      <m:e>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E</m:t>
                                </m:r>
                              </m:e>
                              <m:sub>
                                <m:r>
                                  <w:rPr>
                                    <w:rFonts w:ascii="Cambria Math" w:hAnsi="Cambria Math"/>
                                    <w:szCs w:val="20"/>
                                  </w:rPr>
                                  <m:t>0</m:t>
                                </m:r>
                              </m:sub>
                            </m:sSub>
                          </m:num>
                          <m:den>
                            <m:r>
                              <w:rPr>
                                <w:rFonts w:ascii="Cambria Math" w:hAnsi="Cambria Math"/>
                                <w:szCs w:val="20"/>
                              </w:rPr>
                              <m:t>E</m:t>
                            </m:r>
                          </m:den>
                        </m:f>
                      </m:e>
                    </m:d>
                  </m:e>
                  <m:sup>
                    <m:r>
                      <w:rPr>
                        <w:rFonts w:ascii="Cambria Math" w:hAnsi="Cambria Math"/>
                        <w:szCs w:val="20"/>
                      </w:rPr>
                      <m:t>m</m:t>
                    </m:r>
                  </m:sup>
                </m:sSup>
              </m:oMath>
            </m:oMathPara>
          </w:p>
        </w:tc>
        <w:tc>
          <w:tcPr>
            <w:tcW w:w="4397" w:type="dxa"/>
            <w:tcMar>
              <w:left w:w="0" w:type="dxa"/>
              <w:right w:w="0" w:type="dxa"/>
            </w:tcMar>
            <w:vAlign w:val="center"/>
          </w:tcPr>
          <w:p w14:paraId="42AC9198" w14:textId="77777777" w:rsidR="00C15560" w:rsidRPr="00BC31E0" w:rsidRDefault="00C15560" w:rsidP="00507529">
            <w:pPr>
              <w:tabs>
                <w:tab w:val="left" w:leader="middleDot" w:pos="3547"/>
              </w:tabs>
              <w:jc w:val="left"/>
              <w:rPr>
                <w:szCs w:val="20"/>
              </w:rPr>
            </w:pPr>
            <w:r w:rsidRPr="00BC31E0">
              <w:rPr>
                <w:szCs w:val="20"/>
              </w:rPr>
              <w:tab/>
            </w:r>
            <w:r w:rsidRPr="00BC31E0">
              <w:rPr>
                <w:rFonts w:hint="eastAsia"/>
                <w:szCs w:val="20"/>
              </w:rPr>
              <w:t>(6.4.6)</w:t>
            </w:r>
          </w:p>
        </w:tc>
      </w:tr>
    </w:tbl>
    <w:p w14:paraId="2FFE6C4C" w14:textId="77777777" w:rsidR="00C15560" w:rsidRPr="00BC31E0" w:rsidRDefault="00C15560" w:rsidP="00507529">
      <w:pPr>
        <w:tabs>
          <w:tab w:val="left" w:pos="1477"/>
          <w:tab w:val="left" w:pos="1843"/>
          <w:tab w:val="left" w:leader="middleDot" w:pos="8222"/>
        </w:tabs>
        <w:ind w:left="454" w:firstLineChars="100" w:firstLine="210"/>
        <w:jc w:val="left"/>
        <w:rPr>
          <w:szCs w:val="20"/>
        </w:rPr>
      </w:pPr>
      <w:r w:rsidRPr="00BC31E0">
        <w:rPr>
          <w:rFonts w:hint="eastAsia"/>
          <w:szCs w:val="20"/>
        </w:rPr>
        <w:t>ここで，</w:t>
      </w:r>
    </w:p>
    <w:p w14:paraId="4E8D5E2D" w14:textId="77777777" w:rsidR="00C15560" w:rsidRPr="00BC31E0" w:rsidRDefault="00C15560" w:rsidP="00C67109">
      <w:pPr>
        <w:tabs>
          <w:tab w:val="left" w:pos="1477"/>
          <w:tab w:val="left" w:pos="1843"/>
          <w:tab w:val="left" w:leader="middleDot" w:pos="8222"/>
        </w:tabs>
        <w:jc w:val="left"/>
        <w:rPr>
          <w:szCs w:val="20"/>
        </w:rPr>
      </w:pPr>
      <w:r w:rsidRPr="00BC31E0">
        <w:rPr>
          <w:rFonts w:hint="eastAsia"/>
          <w:szCs w:val="20"/>
        </w:rPr>
        <w:tab/>
      </w:r>
      <m:oMath>
        <m:sSub>
          <m:sSubPr>
            <m:ctrlPr>
              <w:rPr>
                <w:rFonts w:ascii="Cambria Math" w:hAnsi="Cambria Math"/>
                <w:i/>
                <w:szCs w:val="20"/>
              </w:rPr>
            </m:ctrlPr>
          </m:sSubPr>
          <m:e>
            <m:r>
              <w:rPr>
                <w:rFonts w:ascii="Cambria Math" w:hAnsi="Cambria Math"/>
                <w:szCs w:val="20"/>
              </w:rPr>
              <m:t>C</m:t>
            </m:r>
          </m:e>
          <m:sub>
            <m:r>
              <w:rPr>
                <w:rFonts w:ascii="Cambria Math" w:hAnsi="Cambria Math"/>
                <w:szCs w:val="20"/>
              </w:rPr>
              <m:t>0</m:t>
            </m:r>
          </m:sub>
        </m:sSub>
      </m:oMath>
      <w:r w:rsidRPr="00BC31E0">
        <w:rPr>
          <w:rFonts w:hint="eastAsia"/>
          <w:szCs w:val="20"/>
        </w:rPr>
        <w:tab/>
      </w:r>
      <w:r w:rsidRPr="00BC31E0">
        <w:rPr>
          <w:rFonts w:hint="eastAsia"/>
          <w:szCs w:val="20"/>
        </w:rPr>
        <w:t>：</w:t>
      </w:r>
      <w:r w:rsidRPr="00BC31E0">
        <w:rPr>
          <w:rFonts w:hint="eastAsia"/>
          <w:szCs w:val="20"/>
        </w:rPr>
        <w:t xml:space="preserve"> </w:t>
      </w:r>
      <w:r w:rsidRPr="00BC31E0">
        <w:rPr>
          <w:rFonts w:asciiTheme="majorEastAsia" w:eastAsiaTheme="majorEastAsia" w:hAnsiTheme="majorEastAsia" w:hint="eastAsia"/>
          <w:b/>
          <w:szCs w:val="20"/>
        </w:rPr>
        <w:t>表6.4.1</w:t>
      </w:r>
      <w:r w:rsidRPr="00BC31E0">
        <w:rPr>
          <w:rFonts w:hint="eastAsia"/>
          <w:szCs w:val="20"/>
        </w:rPr>
        <w:t>に与えられる</w:t>
      </w:r>
      <m:oMath>
        <m:r>
          <m:rPr>
            <m:sty m:val="p"/>
          </m:rPr>
          <w:rPr>
            <w:rFonts w:ascii="Cambria Math" w:hAnsi="Cambria Math"/>
            <w:szCs w:val="20"/>
          </w:rPr>
          <m:t xml:space="preserve"> </m:t>
        </m:r>
        <m:r>
          <w:rPr>
            <w:rFonts w:ascii="Cambria Math" w:hAnsi="Cambria Math" w:hint="eastAsia"/>
            <w:szCs w:val="20"/>
          </w:rPr>
          <m:t>C</m:t>
        </m:r>
        <m:r>
          <m:rPr>
            <m:sty m:val="p"/>
          </m:rPr>
          <w:rPr>
            <w:rFonts w:ascii="Cambria Math" w:hAnsi="Cambria Math" w:hint="eastAsia"/>
            <w:szCs w:val="20"/>
          </w:rPr>
          <m:t xml:space="preserve"> </m:t>
        </m:r>
      </m:oMath>
      <w:r w:rsidRPr="00BC31E0">
        <w:rPr>
          <w:rFonts w:hint="eastAsia"/>
          <w:szCs w:val="20"/>
        </w:rPr>
        <w:t>の値</w:t>
      </w:r>
      <w:r w:rsidRPr="00BC31E0">
        <w:rPr>
          <w:rFonts w:hint="eastAsia"/>
          <w:szCs w:val="20"/>
        </w:rPr>
        <w:t xml:space="preserve"> [</w:t>
      </w:r>
      <m:oMath>
        <m:f>
          <m:fPr>
            <m:type m:val="lin"/>
            <m:ctrlPr>
              <w:rPr>
                <w:rFonts w:ascii="Cambria Math" w:hAnsi="Cambria Math"/>
                <w:szCs w:val="20"/>
              </w:rPr>
            </m:ctrlPr>
          </m:fPr>
          <m:num>
            <m:r>
              <m:rPr>
                <m:sty m:val="p"/>
              </m:rPr>
              <w:rPr>
                <w:rFonts w:ascii="Cambria Math" w:hAnsi="Cambria Math" w:hint="eastAsia"/>
                <w:szCs w:val="20"/>
              </w:rPr>
              <m:t>mm</m:t>
            </m:r>
            <m:sSup>
              <m:sSupPr>
                <m:ctrlPr>
                  <w:rPr>
                    <w:rFonts w:ascii="Cambria Math" w:hAnsi="Cambria Math"/>
                    <w:szCs w:val="20"/>
                  </w:rPr>
                </m:ctrlPr>
              </m:sSupPr>
              <m:e>
                <m:d>
                  <m:dPr>
                    <m:ctrlPr>
                      <w:rPr>
                        <w:rFonts w:ascii="Cambria Math" w:hAnsi="Cambria Math"/>
                        <w:szCs w:val="20"/>
                      </w:rPr>
                    </m:ctrlPr>
                  </m:dPr>
                  <m:e>
                    <m:r>
                      <m:rPr>
                        <m:sty m:val="p"/>
                      </m:rPr>
                      <w:rPr>
                        <w:rFonts w:ascii="Cambria Math" w:hAnsi="Cambria Math" w:hint="eastAsia"/>
                        <w:szCs w:val="20"/>
                      </w:rPr>
                      <m:t>MPa</m:t>
                    </m:r>
                    <m:rad>
                      <m:radPr>
                        <m:degHide m:val="1"/>
                        <m:ctrlPr>
                          <w:rPr>
                            <w:rFonts w:ascii="Cambria Math" w:hAnsi="Cambria Math"/>
                            <w:szCs w:val="20"/>
                          </w:rPr>
                        </m:ctrlPr>
                      </m:radPr>
                      <m:deg/>
                      <m:e>
                        <m:r>
                          <m:rPr>
                            <m:sty m:val="p"/>
                          </m:rPr>
                          <w:rPr>
                            <w:rFonts w:ascii="Cambria Math" w:hAnsi="Cambria Math" w:hint="eastAsia"/>
                            <w:szCs w:val="20"/>
                          </w:rPr>
                          <m:t>m</m:t>
                        </m:r>
                      </m:e>
                    </m:rad>
                  </m:e>
                </m:d>
              </m:e>
              <m:sup>
                <m:r>
                  <m:rPr>
                    <m:sty m:val="p"/>
                  </m:rPr>
                  <w:rPr>
                    <w:rFonts w:ascii="Cambria Math" w:hAnsi="Cambria Math"/>
                    <w:szCs w:val="20"/>
                  </w:rPr>
                  <m:t>-</m:t>
                </m:r>
                <m:r>
                  <w:rPr>
                    <w:rFonts w:ascii="Cambria Math" w:hAnsi="Cambria Math"/>
                    <w:szCs w:val="20"/>
                  </w:rPr>
                  <m:t>m</m:t>
                </m:r>
              </m:sup>
            </m:sSup>
          </m:num>
          <m:den>
            <m:r>
              <m:rPr>
                <m:sty m:val="p"/>
              </m:rPr>
              <w:rPr>
                <w:rFonts w:ascii="Cambria Math" w:hAnsi="Cambria Math"/>
                <w:szCs w:val="20"/>
              </w:rPr>
              <m:t>cycle</m:t>
            </m:r>
          </m:den>
        </m:f>
      </m:oMath>
      <w:r w:rsidRPr="00BC31E0">
        <w:rPr>
          <w:rFonts w:hint="eastAsia"/>
          <w:szCs w:val="20"/>
        </w:rPr>
        <w:t>]</w:t>
      </w:r>
    </w:p>
    <w:p w14:paraId="2062B187" w14:textId="77777777" w:rsidR="00C15560" w:rsidRPr="00BC31E0" w:rsidRDefault="00C15560" w:rsidP="00C67109">
      <w:pPr>
        <w:tabs>
          <w:tab w:val="left" w:pos="1477"/>
          <w:tab w:val="left" w:pos="1843"/>
          <w:tab w:val="left" w:leader="middleDot" w:pos="8222"/>
        </w:tabs>
        <w:jc w:val="left"/>
        <w:rPr>
          <w:szCs w:val="20"/>
        </w:rPr>
      </w:pPr>
      <w:r w:rsidRPr="00BC31E0">
        <w:rPr>
          <w:rFonts w:hint="eastAsia"/>
          <w:szCs w:val="20"/>
        </w:rPr>
        <w:tab/>
      </w:r>
      <m:oMath>
        <m:r>
          <w:rPr>
            <w:rFonts w:ascii="Cambria Math" w:hAnsi="Cambria Math"/>
            <w:szCs w:val="20"/>
          </w:rPr>
          <m:t>m</m:t>
        </m:r>
      </m:oMath>
      <w:r w:rsidRPr="00BC31E0">
        <w:rPr>
          <w:rFonts w:hint="eastAsia"/>
          <w:szCs w:val="20"/>
        </w:rPr>
        <w:tab/>
      </w:r>
      <w:r w:rsidRPr="00BC31E0">
        <w:rPr>
          <w:rFonts w:hint="eastAsia"/>
          <w:szCs w:val="20"/>
        </w:rPr>
        <w:t>：</w:t>
      </w:r>
      <w:r w:rsidRPr="00BC31E0">
        <w:rPr>
          <w:rFonts w:hint="eastAsia"/>
          <w:szCs w:val="20"/>
        </w:rPr>
        <w:t xml:space="preserve"> </w:t>
      </w:r>
      <w:r w:rsidRPr="00BC31E0">
        <w:rPr>
          <w:rFonts w:asciiTheme="majorEastAsia" w:eastAsiaTheme="majorEastAsia" w:hAnsiTheme="majorEastAsia" w:hint="eastAsia"/>
          <w:b/>
          <w:szCs w:val="20"/>
        </w:rPr>
        <w:t>表6.4.1</w:t>
      </w:r>
      <w:r w:rsidRPr="00BC31E0">
        <w:rPr>
          <w:rFonts w:hint="eastAsia"/>
          <w:szCs w:val="20"/>
        </w:rPr>
        <w:t>に与えられる</w:t>
      </w:r>
      <m:oMath>
        <m:r>
          <m:rPr>
            <m:sty m:val="p"/>
          </m:rPr>
          <w:rPr>
            <w:rFonts w:ascii="Cambria Math" w:hAnsi="Cambria Math"/>
            <w:szCs w:val="20"/>
          </w:rPr>
          <m:t xml:space="preserve"> </m:t>
        </m:r>
        <m:r>
          <w:rPr>
            <w:rFonts w:ascii="Cambria Math" w:hAnsi="Cambria Math"/>
            <w:szCs w:val="20"/>
          </w:rPr>
          <m:t xml:space="preserve">m </m:t>
        </m:r>
      </m:oMath>
      <w:r w:rsidRPr="00BC31E0">
        <w:rPr>
          <w:rFonts w:hint="eastAsia"/>
          <w:szCs w:val="20"/>
        </w:rPr>
        <w:t>の値</w:t>
      </w:r>
    </w:p>
    <w:p w14:paraId="05413EF8" w14:textId="77777777" w:rsidR="00C15560" w:rsidRPr="00BC31E0" w:rsidRDefault="00C15560" w:rsidP="00C67109">
      <w:pPr>
        <w:tabs>
          <w:tab w:val="left" w:pos="1477"/>
          <w:tab w:val="left" w:pos="1843"/>
          <w:tab w:val="left" w:leader="middleDot" w:pos="8222"/>
        </w:tabs>
        <w:jc w:val="left"/>
        <w:rPr>
          <w:szCs w:val="20"/>
        </w:rPr>
      </w:pPr>
      <w:r w:rsidRPr="00BC31E0">
        <w:rPr>
          <w:rFonts w:hint="eastAsia"/>
          <w:szCs w:val="20"/>
        </w:rPr>
        <w:tab/>
      </w:r>
      <m:oMath>
        <m:sSub>
          <m:sSubPr>
            <m:ctrlPr>
              <w:rPr>
                <w:rFonts w:ascii="Cambria Math" w:hAnsi="Cambria Math"/>
                <w:i/>
                <w:szCs w:val="20"/>
              </w:rPr>
            </m:ctrlPr>
          </m:sSubPr>
          <m:e>
            <m:r>
              <w:rPr>
                <w:rFonts w:ascii="Cambria Math" w:hAnsi="Cambria Math"/>
                <w:szCs w:val="20"/>
              </w:rPr>
              <m:t>E</m:t>
            </m:r>
          </m:e>
          <m:sub>
            <m:r>
              <w:rPr>
                <w:rFonts w:ascii="Cambria Math" w:hAnsi="Cambria Math"/>
                <w:szCs w:val="20"/>
              </w:rPr>
              <m:t>0</m:t>
            </m:r>
          </m:sub>
        </m:sSub>
      </m:oMath>
      <w:r w:rsidRPr="00BC31E0">
        <w:rPr>
          <w:rFonts w:hint="eastAsia"/>
          <w:szCs w:val="20"/>
        </w:rPr>
        <w:tab/>
      </w:r>
      <w:r w:rsidRPr="00BC31E0">
        <w:rPr>
          <w:rFonts w:hint="eastAsia"/>
          <w:szCs w:val="20"/>
        </w:rPr>
        <w:t>：</w:t>
      </w:r>
      <w:r w:rsidRPr="00BC31E0">
        <w:rPr>
          <w:rFonts w:hint="eastAsia"/>
          <w:szCs w:val="20"/>
        </w:rPr>
        <w:t xml:space="preserve"> </w:t>
      </w:r>
      <w:r w:rsidRPr="00BC31E0">
        <w:rPr>
          <w:rFonts w:hint="eastAsia"/>
          <w:szCs w:val="20"/>
        </w:rPr>
        <w:t>室温における縦弾性係数</w:t>
      </w:r>
      <w:r w:rsidRPr="00BC31E0">
        <w:rPr>
          <w:rFonts w:hint="eastAsia"/>
          <w:szCs w:val="20"/>
        </w:rPr>
        <w:t xml:space="preserve"> (MPa)</w:t>
      </w:r>
    </w:p>
    <w:p w14:paraId="3319690A" w14:textId="77777777" w:rsidR="00C15560" w:rsidRPr="00BC31E0" w:rsidRDefault="00C15560" w:rsidP="00C67109">
      <w:pPr>
        <w:tabs>
          <w:tab w:val="left" w:pos="1477"/>
          <w:tab w:val="left" w:pos="1843"/>
          <w:tab w:val="left" w:leader="middleDot" w:pos="8222"/>
        </w:tabs>
        <w:spacing w:after="120"/>
        <w:jc w:val="left"/>
        <w:rPr>
          <w:szCs w:val="20"/>
        </w:rPr>
      </w:pPr>
      <w:r w:rsidRPr="00BC31E0">
        <w:rPr>
          <w:rFonts w:hint="eastAsia"/>
          <w:szCs w:val="20"/>
        </w:rPr>
        <w:tab/>
      </w:r>
      <m:oMath>
        <m:r>
          <w:rPr>
            <w:rFonts w:ascii="Cambria Math" w:hAnsi="Cambria Math"/>
            <w:szCs w:val="20"/>
          </w:rPr>
          <m:t>E</m:t>
        </m:r>
      </m:oMath>
      <w:r w:rsidRPr="00BC31E0">
        <w:rPr>
          <w:rFonts w:hint="eastAsia"/>
          <w:szCs w:val="20"/>
        </w:rPr>
        <w:tab/>
      </w:r>
      <w:r w:rsidRPr="00BC31E0">
        <w:rPr>
          <w:rFonts w:hint="eastAsia"/>
          <w:szCs w:val="20"/>
        </w:rPr>
        <w:t>：</w:t>
      </w:r>
      <w:r w:rsidRPr="00BC31E0">
        <w:rPr>
          <w:rFonts w:hint="eastAsia"/>
          <w:szCs w:val="20"/>
        </w:rPr>
        <w:t xml:space="preserve"> </w:t>
      </w:r>
      <w:r w:rsidRPr="00BC31E0">
        <w:rPr>
          <w:rFonts w:hint="eastAsia"/>
          <w:szCs w:val="20"/>
        </w:rPr>
        <w:t>設計温度における縦弾性係数</w:t>
      </w:r>
      <w:r w:rsidRPr="00BC31E0">
        <w:rPr>
          <w:rFonts w:hint="eastAsia"/>
          <w:szCs w:val="20"/>
        </w:rPr>
        <w:t xml:space="preserve"> (MPa)</w:t>
      </w:r>
    </w:p>
    <w:p w14:paraId="70DF8044" w14:textId="77777777" w:rsidR="00C15560" w:rsidRPr="00BC31E0" w:rsidRDefault="00C15560" w:rsidP="00E60EFE">
      <w:pPr>
        <w:pStyle w:val="3"/>
        <w:tabs>
          <w:tab w:val="clear" w:pos="284"/>
        </w:tabs>
        <w:ind w:left="794" w:hanging="794"/>
      </w:pPr>
      <w:r w:rsidRPr="00BC31E0">
        <w:rPr>
          <w:rFonts w:hint="eastAsia"/>
        </w:rPr>
        <w:t>設計許容繰返し回数</w:t>
      </w:r>
    </w:p>
    <w:p w14:paraId="4948B686" w14:textId="77777777" w:rsidR="00C15560" w:rsidRPr="00BC31E0" w:rsidRDefault="00C15560" w:rsidP="00FB65C8">
      <w:pPr>
        <w:pStyle w:val="1110"/>
        <w:ind w:firstLine="210"/>
      </w:pPr>
      <w:r w:rsidRPr="00BC31E0">
        <w:rPr>
          <w:rFonts w:hint="eastAsia"/>
        </w:rPr>
        <w:t>亀裂の進展量は繰返し応力と亀裂寸法</w:t>
      </w:r>
      <w:r w:rsidRPr="00BC31E0">
        <w:rPr>
          <w:rFonts w:hint="eastAsia"/>
        </w:rPr>
        <w:t>(</w:t>
      </w:r>
      <w:r w:rsidRPr="00BC31E0">
        <w:rPr>
          <w:rFonts w:hint="eastAsia"/>
        </w:rPr>
        <w:t>深さ，長さ</w:t>
      </w:r>
      <w:r w:rsidRPr="00BC31E0">
        <w:rPr>
          <w:rFonts w:hint="eastAsia"/>
        </w:rPr>
        <w:t>)</w:t>
      </w:r>
      <w:r w:rsidRPr="00BC31E0">
        <w:rPr>
          <w:rFonts w:hint="eastAsia"/>
        </w:rPr>
        <w:t>の両方に依存するため，設計許容繰返し回数</w:t>
      </w:r>
      <m:oMath>
        <m:sSub>
          <m:sSubPr>
            <m:ctrlPr>
              <w:rPr>
                <w:rFonts w:ascii="Cambria Math" w:hAnsi="Cambria Math"/>
                <w:i/>
              </w:rPr>
            </m:ctrlPr>
          </m:sSubPr>
          <m:e>
            <m:r>
              <w:rPr>
                <w:rFonts w:ascii="Cambria Math" w:hAnsi="Cambria Math"/>
              </w:rPr>
              <m:t xml:space="preserve"> N</m:t>
            </m:r>
          </m:e>
          <m:sub>
            <m:r>
              <w:rPr>
                <w:rFonts w:ascii="Cambria Math" w:hAnsi="Cambria Math"/>
              </w:rPr>
              <m:t>P</m:t>
            </m:r>
          </m:sub>
        </m:sSub>
        <m:r>
          <w:rPr>
            <w:rFonts w:ascii="Cambria Math" w:hAnsi="Cambria Math" w:hint="eastAsia"/>
          </w:rPr>
          <m:t xml:space="preserve"> </m:t>
        </m:r>
      </m:oMath>
      <w:r w:rsidRPr="00BC31E0">
        <w:rPr>
          <w:rFonts w:hint="eastAsia"/>
        </w:rPr>
        <w:t>は荷重履歴に大きく依存する。全ての荷重の履歴と大きさから，荷重履歴の各ポイントで亀裂進展計算を行わなければならない。製作者設計報告書に，全ての荷重の履歴と大きさを記録しなければならない。</w:t>
      </w:r>
    </w:p>
    <w:p w14:paraId="058F1C68" w14:textId="77777777" w:rsidR="00C15560" w:rsidRPr="00BC31E0" w:rsidRDefault="00C15560" w:rsidP="00FB65C8">
      <w:pPr>
        <w:pStyle w:val="1110"/>
        <w:ind w:firstLine="210"/>
      </w:pPr>
      <w:r w:rsidRPr="00BC31E0">
        <w:rPr>
          <w:rFonts w:hint="eastAsia"/>
        </w:rPr>
        <w:t>設計許容繰返し回数は，</w:t>
      </w:r>
      <w:r w:rsidRPr="00BC31E0">
        <w:rPr>
          <w:rFonts w:asciiTheme="majorEastAsia" w:eastAsiaTheme="majorEastAsia" w:hAnsiTheme="majorEastAsia" w:hint="eastAsia"/>
          <w:b/>
          <w:bCs/>
        </w:rPr>
        <w:t>式(6.4.1)</w:t>
      </w:r>
      <w:r w:rsidRPr="00BC31E0">
        <w:rPr>
          <w:rFonts w:ascii="ＭＳ 明朝" w:hAnsi="ＭＳ 明朝" w:hint="eastAsia"/>
          <w:bCs/>
        </w:rPr>
        <w:t>及び</w:t>
      </w:r>
      <w:r w:rsidRPr="00BC31E0">
        <w:rPr>
          <w:rFonts w:ascii="ＭＳ ゴシック" w:eastAsia="ＭＳ ゴシック" w:hAnsi="ＭＳ ゴシック" w:hint="eastAsia"/>
          <w:b/>
          <w:bCs/>
        </w:rPr>
        <w:t>式(6.4.2)</w:t>
      </w:r>
      <w:r w:rsidRPr="00BC31E0">
        <w:rPr>
          <w:rFonts w:ascii="ＭＳ 明朝" w:hAnsi="ＭＳ 明朝" w:hint="eastAsia"/>
          <w:bCs/>
        </w:rPr>
        <w:t>の疲労</w:t>
      </w:r>
      <w:r w:rsidRPr="00BC31E0">
        <w:rPr>
          <w:rFonts w:hint="eastAsia"/>
        </w:rPr>
        <w:t>亀裂進展則を数値的に積分することによって計算する。亀裂深さ</w:t>
      </w:r>
      <m:oMath>
        <m:r>
          <w:rPr>
            <w:rFonts w:ascii="Cambria Math" w:hAnsi="Cambria Math" w:hint="eastAsia"/>
            <w:sz w:val="22"/>
            <w:szCs w:val="22"/>
          </w:rPr>
          <m:t xml:space="preserve">a </m:t>
        </m:r>
      </m:oMath>
      <w:r w:rsidRPr="00BC31E0">
        <w:rPr>
          <w:rFonts w:hint="eastAsia"/>
        </w:rPr>
        <w:t>に比べて十分小さい微小亀裂進展量</w:t>
      </w:r>
      <m:oMath>
        <m:r>
          <w:rPr>
            <w:rFonts w:ascii="Cambria Math" w:hAnsi="Cambria Math"/>
            <w:sz w:val="22"/>
            <w:szCs w:val="22"/>
          </w:rPr>
          <m:t xml:space="preserve"> ∆a</m:t>
        </m:r>
        <m:r>
          <m:rPr>
            <m:sty m:val="p"/>
          </m:rPr>
          <w:rPr>
            <w:rFonts w:ascii="Cambria Math" w:hAnsi="Cambria Math"/>
            <w:sz w:val="22"/>
            <w:szCs w:val="22"/>
          </w:rPr>
          <m:t xml:space="preserve"> </m:t>
        </m:r>
      </m:oMath>
      <w:r w:rsidRPr="00BC31E0">
        <w:rPr>
          <w:rFonts w:hint="eastAsia"/>
        </w:rPr>
        <w:t>の進展範囲内では，</w:t>
      </w:r>
      <m:oMath>
        <m:r>
          <w:rPr>
            <w:rFonts w:ascii="Cambria Math" w:hAnsi="Cambria Math"/>
          </w:rPr>
          <m:t>∆</m:t>
        </m:r>
        <m:sSub>
          <m:sSubPr>
            <m:ctrlPr>
              <w:rPr>
                <w:rFonts w:ascii="Cambria Math" w:hAnsi="Cambria Math"/>
                <w:i/>
              </w:rPr>
            </m:ctrlPr>
          </m:sSubPr>
          <m:e>
            <m:r>
              <w:rPr>
                <w:rFonts w:ascii="Cambria Math" w:hAnsi="Cambria Math"/>
              </w:rPr>
              <m:t>K</m:t>
            </m:r>
          </m:e>
          <m:sub>
            <m:r>
              <m:rPr>
                <m:sty m:val="p"/>
              </m:rPr>
              <w:rPr>
                <w:rFonts w:ascii="Cambria Math" w:hAnsi="Cambria Math"/>
              </w:rPr>
              <m:t>I</m:t>
            </m:r>
            <m:r>
              <w:rPr>
                <w:rFonts w:ascii="Cambria Math" w:hAnsi="Cambria Math"/>
              </w:rPr>
              <m:t xml:space="preserve"> </m:t>
            </m:r>
          </m:sub>
        </m:sSub>
      </m:oMath>
      <w:r w:rsidRPr="00BC31E0">
        <w:rPr>
          <w:rFonts w:hint="eastAsia"/>
        </w:rPr>
        <w:t>の値は一定と仮定する。ただし，その微小亀裂進展量を十分に小さくとり，得られた設計許容繰返し回数が，仮定した微小亀裂進展量に依存していないことを確認する必要がある。</w:t>
      </w:r>
    </w:p>
    <w:p w14:paraId="5E418092" w14:textId="77777777" w:rsidR="00CE5B29" w:rsidRPr="00BC31E0" w:rsidRDefault="00CE5B29" w:rsidP="00FB65C8">
      <w:pPr>
        <w:rPr>
          <w:rFonts w:ascii="ＭＳ ゴシック" w:eastAsia="ＭＳ ゴシック"/>
          <w:b/>
        </w:rPr>
      </w:pPr>
    </w:p>
    <w:p w14:paraId="11EE4320" w14:textId="77777777" w:rsidR="00FB65C8" w:rsidRPr="00BC31E0" w:rsidRDefault="00FB65C8" w:rsidP="00FB65C8">
      <w:pPr>
        <w:rPr>
          <w:rFonts w:ascii="ＭＳ ゴシック" w:eastAsia="ＭＳ ゴシック"/>
          <w:b/>
        </w:rPr>
      </w:pPr>
      <w:r w:rsidRPr="00BC31E0">
        <w:rPr>
          <w:rFonts w:ascii="ＭＳ ゴシック" w:eastAsia="ＭＳ ゴシック"/>
          <w:b/>
        </w:rPr>
        <w:br w:type="page"/>
      </w:r>
    </w:p>
    <w:p w14:paraId="7C91CD2E" w14:textId="77777777" w:rsidR="00CE5B29" w:rsidRPr="00BC31E0" w:rsidRDefault="00CE5B29" w:rsidP="00CE5B29">
      <w:pPr>
        <w:pStyle w:val="af4"/>
        <w:spacing w:after="60"/>
        <w:rPr>
          <w:vertAlign w:val="superscript"/>
        </w:rPr>
      </w:pPr>
      <w:r w:rsidRPr="00BC31E0">
        <w:rPr>
          <w:rFonts w:hint="eastAsia"/>
        </w:rPr>
        <w:lastRenderedPageBreak/>
        <w:t>表6.4.1　疲労亀裂進展則における材料定数</w:t>
      </w:r>
      <w:r w:rsidRPr="00BC31E0">
        <w:rPr>
          <w:rFonts w:hint="eastAsia"/>
          <w:vertAlign w:val="superscript"/>
        </w:rPr>
        <w:t>†</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2127"/>
        <w:gridCol w:w="2126"/>
        <w:gridCol w:w="1204"/>
        <w:gridCol w:w="1205"/>
        <w:gridCol w:w="1205"/>
        <w:gridCol w:w="1205"/>
      </w:tblGrid>
      <w:tr w:rsidR="00CE5B29" w:rsidRPr="00BC31E0" w14:paraId="754A9116" w14:textId="77777777" w:rsidTr="00CE5B29">
        <w:tc>
          <w:tcPr>
            <w:tcW w:w="2127" w:type="dxa"/>
            <w:vAlign w:val="center"/>
          </w:tcPr>
          <w:p w14:paraId="00796483" w14:textId="77777777" w:rsidR="00CE5B29" w:rsidRPr="00BC31E0" w:rsidRDefault="00CE5B29" w:rsidP="00CE5B29">
            <w:pPr>
              <w:autoSpaceDE w:val="0"/>
              <w:autoSpaceDN w:val="0"/>
              <w:snapToGrid w:val="0"/>
              <w:spacing w:line="360" w:lineRule="atLeast"/>
              <w:jc w:val="center"/>
              <w:rPr>
                <w:rFonts w:ascii="ＭＳ 明朝" w:hAnsi="ＭＳ 明朝"/>
                <w:bCs/>
                <w:szCs w:val="20"/>
              </w:rPr>
            </w:pPr>
            <w:r w:rsidRPr="00BC31E0">
              <w:rPr>
                <w:rFonts w:ascii="ＭＳ 明朝" w:hAnsi="ＭＳ 明朝" w:hint="eastAsia"/>
                <w:bCs/>
                <w:szCs w:val="20"/>
              </w:rPr>
              <w:t>材料</w:t>
            </w:r>
          </w:p>
        </w:tc>
        <w:tc>
          <w:tcPr>
            <w:tcW w:w="2126" w:type="dxa"/>
            <w:vAlign w:val="center"/>
          </w:tcPr>
          <w:p w14:paraId="4C11A060" w14:textId="77777777" w:rsidR="00CE5B29" w:rsidRPr="00BC31E0" w:rsidRDefault="00CE5B29" w:rsidP="00CE5B29">
            <w:pPr>
              <w:autoSpaceDE w:val="0"/>
              <w:autoSpaceDN w:val="0"/>
              <w:snapToGrid w:val="0"/>
              <w:spacing w:line="360" w:lineRule="atLeast"/>
              <w:jc w:val="center"/>
              <w:rPr>
                <w:rFonts w:asciiTheme="minorEastAsia" w:eastAsiaTheme="minorEastAsia" w:hAnsiTheme="minorEastAsia"/>
                <w:bCs/>
              </w:rPr>
            </w:pPr>
            <m:oMathPara>
              <m:oMath>
                <m:r>
                  <w:rPr>
                    <w:rFonts w:ascii="Cambria Math" w:eastAsiaTheme="minorEastAsia" w:hAnsi="Cambria Math"/>
                  </w:rPr>
                  <m:t>C</m:t>
                </m:r>
              </m:oMath>
            </m:oMathPara>
          </w:p>
          <w:p w14:paraId="5B4251D9" w14:textId="77777777" w:rsidR="00CE5B29" w:rsidRPr="00BC31E0" w:rsidRDefault="00A51873" w:rsidP="00CE5B29">
            <w:pPr>
              <w:autoSpaceDE w:val="0"/>
              <w:autoSpaceDN w:val="0"/>
              <w:snapToGrid w:val="0"/>
              <w:spacing w:line="360" w:lineRule="atLeast"/>
              <w:jc w:val="center"/>
              <w:rPr>
                <w:rFonts w:ascii="Cambria Math" w:eastAsiaTheme="minorEastAsia" w:hAnsi="Cambria Math"/>
                <w:bCs/>
              </w:rPr>
            </w:pPr>
            <m:oMathPara>
              <m:oMath>
                <m:d>
                  <m:dPr>
                    <m:begChr m:val="{"/>
                    <m:endChr m:val="}"/>
                    <m:ctrlPr>
                      <w:rPr>
                        <w:rFonts w:ascii="Cambria Math" w:eastAsiaTheme="minorEastAsia" w:hAnsi="Cambria Math"/>
                        <w:bCs/>
                      </w:rPr>
                    </m:ctrlPr>
                  </m:dPr>
                  <m:e>
                    <m:f>
                      <m:fPr>
                        <m:ctrlPr>
                          <w:rPr>
                            <w:rFonts w:ascii="Cambria Math" w:eastAsiaTheme="minorEastAsia" w:hAnsi="Cambria Math"/>
                            <w:bCs/>
                          </w:rPr>
                        </m:ctrlPr>
                      </m:fPr>
                      <m:num>
                        <m:r>
                          <m:rPr>
                            <m:nor/>
                          </m:rPr>
                          <w:rPr>
                            <w:rFonts w:ascii="Cambria Math" w:eastAsiaTheme="minorEastAsia" w:hAnsi="Cambria Math"/>
                          </w:rPr>
                          <m:t>m</m:t>
                        </m:r>
                        <m:r>
                          <m:rPr>
                            <m:nor/>
                          </m:rPr>
                          <w:rPr>
                            <w:rFonts w:ascii="Cambria Math" w:eastAsiaTheme="minorEastAsia" w:hAnsi="Cambria Math" w:hint="eastAsia"/>
                          </w:rPr>
                          <m:t>m</m:t>
                        </m:r>
                      </m:num>
                      <m:den>
                        <m:r>
                          <m:rPr>
                            <m:nor/>
                          </m:rPr>
                          <w:rPr>
                            <w:rFonts w:ascii="Cambria Math" w:eastAsiaTheme="minorEastAsia" w:hAnsi="Cambria Math"/>
                          </w:rPr>
                          <m:t>cycle</m:t>
                        </m:r>
                      </m:den>
                    </m:f>
                    <m:sSup>
                      <m:sSupPr>
                        <m:ctrlPr>
                          <w:rPr>
                            <w:rFonts w:ascii="Cambria Math" w:eastAsiaTheme="minorEastAsia" w:hAnsi="Cambria Math"/>
                            <w:bCs/>
                          </w:rPr>
                        </m:ctrlPr>
                      </m:sSupPr>
                      <m:e>
                        <m:d>
                          <m:dPr>
                            <m:ctrlPr>
                              <w:rPr>
                                <w:rFonts w:ascii="Cambria Math" w:eastAsiaTheme="minorEastAsia" w:hAnsi="Cambria Math"/>
                                <w:bCs/>
                              </w:rPr>
                            </m:ctrlPr>
                          </m:dPr>
                          <m:e>
                            <m:r>
                              <m:rPr>
                                <m:nor/>
                              </m:rPr>
                              <w:rPr>
                                <w:rFonts w:ascii="Cambria Math" w:eastAsiaTheme="minorEastAsia" w:hAnsi="Cambria Math"/>
                              </w:rPr>
                              <m:t>MPa</m:t>
                            </m:r>
                            <m:rad>
                              <m:radPr>
                                <m:degHide m:val="1"/>
                                <m:ctrlPr>
                                  <w:rPr>
                                    <w:rFonts w:ascii="Cambria Math" w:eastAsiaTheme="minorEastAsia" w:hAnsi="Cambria Math"/>
                                    <w:bCs/>
                                  </w:rPr>
                                </m:ctrlPr>
                              </m:radPr>
                              <m:deg/>
                              <m:e>
                                <m:r>
                                  <m:rPr>
                                    <m:nor/>
                                  </m:rPr>
                                  <w:rPr>
                                    <w:rFonts w:ascii="Cambria Math" w:eastAsiaTheme="minorEastAsia" w:hAnsi="Cambria Math"/>
                                  </w:rPr>
                                  <m:t>m</m:t>
                                </m:r>
                              </m:e>
                            </m:rad>
                          </m:e>
                        </m:d>
                      </m:e>
                      <m:sup>
                        <m:r>
                          <m:rPr>
                            <m:nor/>
                          </m:rPr>
                          <w:rPr>
                            <w:rFonts w:ascii="Cambria Math" w:eastAsiaTheme="minorEastAsia" w:hAnsi="Cambria Math"/>
                          </w:rPr>
                          <m:t>-</m:t>
                        </m:r>
                        <m:r>
                          <m:rPr>
                            <m:nor/>
                          </m:rPr>
                          <w:rPr>
                            <w:rFonts w:ascii="Times New Roman" w:eastAsiaTheme="minorEastAsia" w:hAnsi="Times New Roman"/>
                            <w:i/>
                          </w:rPr>
                          <m:t>m</m:t>
                        </m:r>
                      </m:sup>
                    </m:sSup>
                  </m:e>
                </m:d>
              </m:oMath>
            </m:oMathPara>
          </w:p>
        </w:tc>
        <w:tc>
          <w:tcPr>
            <w:tcW w:w="1204" w:type="dxa"/>
            <w:vAlign w:val="center"/>
          </w:tcPr>
          <w:p w14:paraId="1A4AE85F" w14:textId="77777777" w:rsidR="00CE5B29" w:rsidRPr="00BC31E0" w:rsidRDefault="00CE5B29" w:rsidP="00CE5B29">
            <w:pPr>
              <w:autoSpaceDE w:val="0"/>
              <w:autoSpaceDN w:val="0"/>
              <w:snapToGrid w:val="0"/>
              <w:spacing w:line="360" w:lineRule="atLeast"/>
              <w:jc w:val="center"/>
              <w:rPr>
                <w:rFonts w:asciiTheme="minorEastAsia" w:eastAsiaTheme="minorEastAsia" w:hAnsiTheme="minorEastAsia"/>
                <w:bCs/>
              </w:rPr>
            </w:pPr>
            <m:oMathPara>
              <m:oMath>
                <m:r>
                  <w:rPr>
                    <w:rFonts w:ascii="Cambria Math" w:eastAsiaTheme="minorEastAsia" w:hAnsi="Cambria Math"/>
                  </w:rPr>
                  <m:t>m</m:t>
                </m:r>
              </m:oMath>
            </m:oMathPara>
          </w:p>
        </w:tc>
        <w:tc>
          <w:tcPr>
            <w:tcW w:w="1205" w:type="dxa"/>
            <w:vAlign w:val="center"/>
          </w:tcPr>
          <w:p w14:paraId="46C145A0" w14:textId="77777777" w:rsidR="00CE5B29" w:rsidRPr="00BC31E0" w:rsidRDefault="00CE5B29" w:rsidP="00CE5B29">
            <w:pPr>
              <w:autoSpaceDE w:val="0"/>
              <w:autoSpaceDN w:val="0"/>
              <w:snapToGrid w:val="0"/>
              <w:spacing w:line="360" w:lineRule="atLeast"/>
              <w:jc w:val="center"/>
              <w:rPr>
                <w:rFonts w:asciiTheme="minorEastAsia" w:eastAsiaTheme="minorEastAsia" w:hAnsiTheme="minorEastAsia"/>
                <w:bCs/>
              </w:rPr>
            </w:pPr>
            <m:oMathPara>
              <m:oMath>
                <m:r>
                  <w:rPr>
                    <w:rFonts w:ascii="Cambria Math" w:eastAsiaTheme="minorEastAsia" w:hAnsi="Cambria Math"/>
                  </w:rPr>
                  <m:t>G</m:t>
                </m:r>
              </m:oMath>
            </m:oMathPara>
          </w:p>
          <w:p w14:paraId="7F98DF0B" w14:textId="77777777" w:rsidR="00CE5B29" w:rsidRPr="00BC31E0" w:rsidRDefault="00A51873" w:rsidP="00CE5B29">
            <w:pPr>
              <w:autoSpaceDE w:val="0"/>
              <w:autoSpaceDN w:val="0"/>
              <w:snapToGrid w:val="0"/>
              <w:spacing w:line="360" w:lineRule="atLeast"/>
              <w:jc w:val="center"/>
              <w:rPr>
                <w:rFonts w:ascii="Cambria Math" w:eastAsiaTheme="minorEastAsia" w:hAnsi="Cambria Math"/>
                <w:bCs/>
              </w:rPr>
            </w:pPr>
            <m:oMathPara>
              <m:oMath>
                <m:d>
                  <m:dPr>
                    <m:ctrlPr>
                      <w:rPr>
                        <w:rFonts w:ascii="Cambria Math" w:eastAsiaTheme="minorEastAsia" w:hAnsi="Cambria Math"/>
                        <w:bCs/>
                      </w:rPr>
                    </m:ctrlPr>
                  </m:dPr>
                  <m:e>
                    <m:r>
                      <m:rPr>
                        <m:nor/>
                      </m:rPr>
                      <w:rPr>
                        <w:rFonts w:ascii="Cambria Math" w:eastAsiaTheme="minorEastAsia" w:hAnsi="Cambria Math"/>
                      </w:rPr>
                      <m:t>MPa</m:t>
                    </m:r>
                    <m:rad>
                      <m:radPr>
                        <m:degHide m:val="1"/>
                        <m:ctrlPr>
                          <w:rPr>
                            <w:rFonts w:ascii="Cambria Math" w:eastAsiaTheme="minorEastAsia" w:hAnsi="Cambria Math"/>
                            <w:bCs/>
                          </w:rPr>
                        </m:ctrlPr>
                      </m:radPr>
                      <m:deg/>
                      <m:e>
                        <m:r>
                          <m:rPr>
                            <m:nor/>
                          </m:rPr>
                          <w:rPr>
                            <w:rFonts w:ascii="Cambria Math" w:eastAsiaTheme="minorEastAsia" w:hAnsi="Cambria Math"/>
                          </w:rPr>
                          <m:t>m</m:t>
                        </m:r>
                      </m:e>
                    </m:rad>
                  </m:e>
                </m:d>
              </m:oMath>
            </m:oMathPara>
          </w:p>
        </w:tc>
        <w:tc>
          <w:tcPr>
            <w:tcW w:w="1205" w:type="dxa"/>
            <w:vAlign w:val="center"/>
          </w:tcPr>
          <w:p w14:paraId="26B1939F" w14:textId="77777777" w:rsidR="00CE5B29" w:rsidRPr="00BC31E0" w:rsidRDefault="00CE5B29" w:rsidP="00CE5B29">
            <w:pPr>
              <w:autoSpaceDE w:val="0"/>
              <w:autoSpaceDN w:val="0"/>
              <w:snapToGrid w:val="0"/>
              <w:spacing w:line="360" w:lineRule="atLeast"/>
              <w:jc w:val="center"/>
              <w:rPr>
                <w:rFonts w:asciiTheme="minorEastAsia" w:eastAsiaTheme="minorEastAsia" w:hAnsiTheme="minorEastAsia"/>
                <w:bCs/>
              </w:rPr>
            </w:pPr>
            <m:oMathPara>
              <m:oMath>
                <m:r>
                  <w:rPr>
                    <w:rFonts w:ascii="Cambria Math" w:eastAsiaTheme="minorEastAsia" w:hAnsi="Cambria Math"/>
                  </w:rPr>
                  <m:t>H</m:t>
                </m:r>
              </m:oMath>
            </m:oMathPara>
          </w:p>
        </w:tc>
        <w:tc>
          <w:tcPr>
            <w:tcW w:w="1205" w:type="dxa"/>
            <w:vAlign w:val="center"/>
          </w:tcPr>
          <w:p w14:paraId="05790086" w14:textId="77777777" w:rsidR="00CE5B29" w:rsidRPr="00BC31E0" w:rsidRDefault="00CE5B29" w:rsidP="00CE5B29">
            <w:pPr>
              <w:autoSpaceDE w:val="0"/>
              <w:autoSpaceDN w:val="0"/>
              <w:snapToGrid w:val="0"/>
              <w:spacing w:line="360" w:lineRule="atLeast"/>
              <w:jc w:val="center"/>
              <w:rPr>
                <w:rFonts w:asciiTheme="minorEastAsia" w:eastAsiaTheme="minorEastAsia" w:hAnsiTheme="minorEastAsia"/>
                <w:bCs/>
                <w:i/>
              </w:rPr>
            </w:pPr>
            <m:oMathPara>
              <m:oMath>
                <m:r>
                  <w:rPr>
                    <w:rFonts w:ascii="Cambria Math" w:eastAsiaTheme="minorEastAsia" w:hAnsi="Cambria Math"/>
                  </w:rPr>
                  <m:t>I</m:t>
                </m:r>
              </m:oMath>
            </m:oMathPara>
          </w:p>
          <w:p w14:paraId="0E15CC48" w14:textId="77777777" w:rsidR="00CE5B29" w:rsidRPr="00BC31E0" w:rsidRDefault="00A51873" w:rsidP="00CE5B29">
            <w:pPr>
              <w:autoSpaceDE w:val="0"/>
              <w:autoSpaceDN w:val="0"/>
              <w:snapToGrid w:val="0"/>
              <w:spacing w:line="360" w:lineRule="atLeast"/>
              <w:jc w:val="center"/>
              <w:rPr>
                <w:rFonts w:ascii="Cambria Math" w:eastAsiaTheme="minorEastAsia" w:hAnsi="Cambria Math"/>
                <w:bCs/>
              </w:rPr>
            </w:pPr>
            <m:oMathPara>
              <m:oMath>
                <m:d>
                  <m:dPr>
                    <m:ctrlPr>
                      <w:rPr>
                        <w:rFonts w:ascii="Cambria Math" w:eastAsiaTheme="minorEastAsia" w:hAnsi="Cambria Math"/>
                        <w:bCs/>
                      </w:rPr>
                    </m:ctrlPr>
                  </m:dPr>
                  <m:e>
                    <m:r>
                      <m:rPr>
                        <m:nor/>
                      </m:rPr>
                      <w:rPr>
                        <w:rFonts w:ascii="Cambria Math" w:eastAsiaTheme="minorEastAsia" w:hAnsi="Cambria Math"/>
                      </w:rPr>
                      <m:t>MPa</m:t>
                    </m:r>
                    <m:rad>
                      <m:radPr>
                        <m:degHide m:val="1"/>
                        <m:ctrlPr>
                          <w:rPr>
                            <w:rFonts w:ascii="Cambria Math" w:eastAsiaTheme="minorEastAsia" w:hAnsi="Cambria Math"/>
                            <w:bCs/>
                          </w:rPr>
                        </m:ctrlPr>
                      </m:radPr>
                      <m:deg/>
                      <m:e>
                        <m:r>
                          <m:rPr>
                            <m:nor/>
                          </m:rPr>
                          <w:rPr>
                            <w:rFonts w:ascii="Cambria Math" w:eastAsiaTheme="minorEastAsia" w:hAnsi="Cambria Math"/>
                          </w:rPr>
                          <m:t>m</m:t>
                        </m:r>
                      </m:e>
                    </m:rad>
                  </m:e>
                </m:d>
              </m:oMath>
            </m:oMathPara>
          </w:p>
        </w:tc>
      </w:tr>
      <w:tr w:rsidR="00CE5B29" w:rsidRPr="00BC31E0" w14:paraId="5189BE5B" w14:textId="77777777" w:rsidTr="00CE5B29">
        <w:tc>
          <w:tcPr>
            <w:tcW w:w="2127" w:type="dxa"/>
            <w:vAlign w:val="center"/>
          </w:tcPr>
          <w:p w14:paraId="48ACFC44" w14:textId="77777777" w:rsidR="00CE5B29" w:rsidRPr="00BC31E0" w:rsidRDefault="00CE5B29" w:rsidP="00CE5B29">
            <w:pPr>
              <w:autoSpaceDE w:val="0"/>
              <w:autoSpaceDN w:val="0"/>
              <w:spacing w:line="360" w:lineRule="atLeast"/>
              <w:jc w:val="left"/>
              <w:rPr>
                <w:rFonts w:ascii="ＭＳ 明朝" w:hAnsi="ＭＳ 明朝"/>
                <w:bCs/>
                <w:szCs w:val="20"/>
              </w:rPr>
            </w:pPr>
            <w:r w:rsidRPr="00BC31E0">
              <w:rPr>
                <w:rFonts w:ascii="ＭＳ 明朝" w:hAnsi="ＭＳ 明朝" w:hint="eastAsia"/>
                <w:bCs/>
                <w:szCs w:val="20"/>
              </w:rPr>
              <w:t>炭素鋼及び低合金鋼</w:t>
            </w:r>
          </w:p>
          <w:p w14:paraId="2F569F89" w14:textId="77777777" w:rsidR="00CE5B29" w:rsidRPr="00BC31E0" w:rsidRDefault="00A51873" w:rsidP="00CE5B29">
            <w:pPr>
              <w:autoSpaceDE w:val="0"/>
              <w:autoSpaceDN w:val="0"/>
              <w:spacing w:line="360" w:lineRule="atLeast"/>
              <w:jc w:val="center"/>
              <w:rPr>
                <w:rFonts w:ascii="ＭＳ 明朝" w:hAnsi="ＭＳ 明朝"/>
                <w:bCs/>
                <w:szCs w:val="20"/>
              </w:rPr>
            </w:pPr>
            <m:oMathPara>
              <m:oMath>
                <m:d>
                  <m:dPr>
                    <m:ctrlPr>
                      <w:rPr>
                        <w:rFonts w:ascii="Cambria Math" w:eastAsia="ＭＳ ゴシック" w:hAnsi="Cambria Math"/>
                        <w:bCs/>
                        <w:i/>
                        <w:szCs w:val="20"/>
                      </w:rPr>
                    </m:ctrlPr>
                  </m:dPr>
                  <m:e>
                    <m:sSub>
                      <m:sSubPr>
                        <m:ctrlPr>
                          <w:rPr>
                            <w:rFonts w:ascii="Cambria Math" w:eastAsia="ＭＳ ゴシック" w:hAnsi="Cambria Math"/>
                            <w:bCs/>
                            <w:i/>
                            <w:szCs w:val="20"/>
                          </w:rPr>
                        </m:ctrlPr>
                      </m:sSubPr>
                      <m:e>
                        <m:r>
                          <w:rPr>
                            <w:rFonts w:ascii="Cambria Math" w:eastAsia="ＭＳ ゴシック" w:hAnsi="Cambria Math"/>
                            <w:szCs w:val="20"/>
                          </w:rPr>
                          <m:t>S</m:t>
                        </m:r>
                      </m:e>
                      <m:sub>
                        <m:r>
                          <w:rPr>
                            <w:rFonts w:ascii="Cambria Math" w:eastAsia="ＭＳ ゴシック" w:hAnsi="Cambria Math"/>
                            <w:szCs w:val="20"/>
                          </w:rPr>
                          <m:t>y</m:t>
                        </m:r>
                      </m:sub>
                    </m:sSub>
                    <m:r>
                      <w:rPr>
                        <w:rFonts w:ascii="Cambria Math" w:eastAsia="ＭＳ ゴシック" w:hAnsi="Cambria Math" w:hint="eastAsia"/>
                        <w:szCs w:val="20"/>
                      </w:rPr>
                      <m:t>≦</m:t>
                    </m:r>
                    <m:r>
                      <w:rPr>
                        <w:rFonts w:ascii="Cambria Math" w:eastAsia="ＭＳ ゴシック" w:hAnsi="Cambria Math"/>
                        <w:szCs w:val="20"/>
                      </w:rPr>
                      <m:t>620</m:t>
                    </m:r>
                    <m:r>
                      <m:rPr>
                        <m:sty m:val="p"/>
                      </m:rPr>
                      <w:rPr>
                        <w:rFonts w:ascii="Cambria Math" w:eastAsia="ＭＳ ゴシック" w:hAnsi="Cambria Math"/>
                        <w:szCs w:val="20"/>
                      </w:rPr>
                      <m:t xml:space="preserve"> MPa</m:t>
                    </m:r>
                  </m:e>
                </m:d>
              </m:oMath>
            </m:oMathPara>
          </w:p>
        </w:tc>
        <w:tc>
          <w:tcPr>
            <w:tcW w:w="2126" w:type="dxa"/>
            <w:vAlign w:val="center"/>
          </w:tcPr>
          <w:p w14:paraId="293314A7" w14:textId="77777777" w:rsidR="00CE5B29" w:rsidRPr="00BC31E0" w:rsidRDefault="00CE5B29" w:rsidP="00CE5B29">
            <w:pPr>
              <w:autoSpaceDE w:val="0"/>
              <w:autoSpaceDN w:val="0"/>
              <w:spacing w:line="360" w:lineRule="atLeast"/>
              <w:jc w:val="center"/>
              <w:rPr>
                <w:rFonts w:ascii="Cambria Math" w:eastAsia="ＭＳ ゴシック" w:hAnsi="Cambria Math"/>
                <w:bCs/>
                <w:sz w:val="22"/>
                <w:szCs w:val="22"/>
              </w:rPr>
            </w:pPr>
            <w:r w:rsidRPr="00BC31E0">
              <w:rPr>
                <w:rFonts w:ascii="Cambria Math" w:eastAsia="ＭＳ ゴシック" w:hAnsi="Cambria Math"/>
                <w:bCs/>
                <w:sz w:val="22"/>
                <w:szCs w:val="22"/>
              </w:rPr>
              <w:t>3.80E</w:t>
            </w:r>
            <w:r w:rsidRPr="00BC31E0">
              <w:rPr>
                <w:rFonts w:asciiTheme="minorEastAsia" w:eastAsiaTheme="minorEastAsia" w:hAnsiTheme="minorEastAsia"/>
                <w:bCs/>
                <w:sz w:val="22"/>
                <w:szCs w:val="22"/>
              </w:rPr>
              <w:t>-</w:t>
            </w:r>
            <w:r w:rsidRPr="00BC31E0">
              <w:rPr>
                <w:rFonts w:ascii="Cambria Math" w:eastAsiaTheme="minorEastAsia" w:hAnsi="Cambria Math"/>
                <w:bCs/>
                <w:sz w:val="22"/>
                <w:szCs w:val="22"/>
              </w:rPr>
              <w:t>9</w:t>
            </w:r>
          </w:p>
        </w:tc>
        <w:tc>
          <w:tcPr>
            <w:tcW w:w="1204" w:type="dxa"/>
            <w:vAlign w:val="center"/>
          </w:tcPr>
          <w:p w14:paraId="27AC01E4" w14:textId="77777777" w:rsidR="00CE5B29" w:rsidRPr="00BC31E0" w:rsidRDefault="00CE5B29" w:rsidP="00CE5B29">
            <w:pPr>
              <w:autoSpaceDE w:val="0"/>
              <w:autoSpaceDN w:val="0"/>
              <w:spacing w:line="360" w:lineRule="atLeast"/>
              <w:jc w:val="center"/>
              <w:rPr>
                <w:rFonts w:ascii="Cambria Math" w:eastAsia="ＭＳ ゴシック" w:hAnsi="Cambria Math"/>
                <w:bCs/>
                <w:sz w:val="22"/>
                <w:szCs w:val="22"/>
              </w:rPr>
            </w:pPr>
            <w:r w:rsidRPr="00BC31E0">
              <w:rPr>
                <w:rFonts w:ascii="Cambria Math" w:eastAsia="ＭＳ ゴシック" w:hAnsi="Cambria Math"/>
                <w:bCs/>
                <w:sz w:val="22"/>
                <w:szCs w:val="22"/>
              </w:rPr>
              <w:t>3.07</w:t>
            </w:r>
          </w:p>
        </w:tc>
        <w:tc>
          <w:tcPr>
            <w:tcW w:w="1205" w:type="dxa"/>
            <w:vAlign w:val="center"/>
          </w:tcPr>
          <w:p w14:paraId="0CD15CA7" w14:textId="77777777" w:rsidR="00CE5B29" w:rsidRPr="00BC31E0" w:rsidRDefault="00CE5B29" w:rsidP="00CE5B29">
            <w:pPr>
              <w:autoSpaceDE w:val="0"/>
              <w:autoSpaceDN w:val="0"/>
              <w:spacing w:line="360" w:lineRule="atLeast"/>
              <w:jc w:val="center"/>
              <w:rPr>
                <w:rFonts w:ascii="Cambria Math" w:eastAsia="ＭＳ ゴシック" w:hAnsi="Cambria Math"/>
                <w:bCs/>
                <w:sz w:val="22"/>
                <w:szCs w:val="22"/>
              </w:rPr>
            </w:pPr>
            <w:r w:rsidRPr="00BC31E0">
              <w:rPr>
                <w:rFonts w:ascii="Cambria Math" w:eastAsia="ＭＳ ゴシック" w:hAnsi="Cambria Math"/>
                <w:bCs/>
                <w:sz w:val="22"/>
                <w:szCs w:val="22"/>
              </w:rPr>
              <w:t>5.5</w:t>
            </w:r>
          </w:p>
        </w:tc>
        <w:tc>
          <w:tcPr>
            <w:tcW w:w="1205" w:type="dxa"/>
            <w:vAlign w:val="center"/>
          </w:tcPr>
          <w:p w14:paraId="56DC1775" w14:textId="77777777" w:rsidR="00CE5B29" w:rsidRPr="00BC31E0" w:rsidRDefault="00CE5B29" w:rsidP="00CE5B29">
            <w:pPr>
              <w:autoSpaceDE w:val="0"/>
              <w:autoSpaceDN w:val="0"/>
              <w:spacing w:line="360" w:lineRule="atLeast"/>
              <w:jc w:val="center"/>
              <w:rPr>
                <w:rFonts w:ascii="Cambria Math" w:eastAsia="ＭＳ ゴシック" w:hAnsi="Cambria Math"/>
                <w:bCs/>
                <w:sz w:val="22"/>
                <w:szCs w:val="22"/>
              </w:rPr>
            </w:pPr>
            <w:r w:rsidRPr="00BC31E0">
              <w:rPr>
                <w:rFonts w:ascii="Cambria Math" w:eastAsia="ＭＳ ゴシック" w:hAnsi="Cambria Math"/>
                <w:bCs/>
                <w:sz w:val="22"/>
                <w:szCs w:val="22"/>
              </w:rPr>
              <w:t>0.80</w:t>
            </w:r>
          </w:p>
        </w:tc>
        <w:tc>
          <w:tcPr>
            <w:tcW w:w="1205" w:type="dxa"/>
            <w:vAlign w:val="center"/>
          </w:tcPr>
          <w:p w14:paraId="547CC476" w14:textId="77777777" w:rsidR="00CE5B29" w:rsidRPr="00BC31E0" w:rsidRDefault="00CE5B29" w:rsidP="00CE5B29">
            <w:pPr>
              <w:autoSpaceDE w:val="0"/>
              <w:autoSpaceDN w:val="0"/>
              <w:spacing w:line="360" w:lineRule="atLeast"/>
              <w:jc w:val="center"/>
              <w:rPr>
                <w:rFonts w:ascii="Cambria Math" w:eastAsia="ＭＳ ゴシック" w:hAnsi="Cambria Math"/>
                <w:bCs/>
                <w:sz w:val="22"/>
                <w:szCs w:val="22"/>
              </w:rPr>
            </w:pPr>
            <w:r w:rsidRPr="00BC31E0">
              <w:rPr>
                <w:rFonts w:ascii="Cambria Math" w:eastAsia="ＭＳ ゴシック" w:hAnsi="Cambria Math"/>
                <w:bCs/>
                <w:sz w:val="22"/>
                <w:szCs w:val="22"/>
              </w:rPr>
              <w:t>5.5</w:t>
            </w:r>
          </w:p>
        </w:tc>
      </w:tr>
      <w:tr w:rsidR="00CE5B29" w:rsidRPr="00BC31E0" w14:paraId="0ACEC9AF" w14:textId="77777777" w:rsidTr="00CE5B29">
        <w:tc>
          <w:tcPr>
            <w:tcW w:w="2127" w:type="dxa"/>
            <w:vAlign w:val="center"/>
          </w:tcPr>
          <w:p w14:paraId="2C587A95" w14:textId="77777777" w:rsidR="00CE5B29" w:rsidRPr="00BC31E0" w:rsidRDefault="00CE5B29" w:rsidP="00CE5B29">
            <w:pPr>
              <w:autoSpaceDE w:val="0"/>
              <w:autoSpaceDN w:val="0"/>
              <w:snapToGrid w:val="0"/>
              <w:spacing w:line="360" w:lineRule="exact"/>
              <w:jc w:val="left"/>
              <w:rPr>
                <w:rFonts w:ascii="ＭＳ 明朝" w:hAnsi="ＭＳ 明朝"/>
                <w:bCs/>
                <w:szCs w:val="20"/>
              </w:rPr>
            </w:pPr>
            <w:r w:rsidRPr="00BC31E0">
              <w:rPr>
                <w:rFonts w:ascii="ＭＳ 明朝" w:hAnsi="ＭＳ 明朝"/>
                <w:bCs/>
                <w:szCs w:val="20"/>
              </w:rPr>
              <w:t>高強度低合金鋼</w:t>
            </w:r>
          </w:p>
          <w:p w14:paraId="59637195" w14:textId="77777777" w:rsidR="00CE5B29" w:rsidRPr="00BC31E0" w:rsidRDefault="00A51873" w:rsidP="00CE5B29">
            <w:pPr>
              <w:autoSpaceDE w:val="0"/>
              <w:autoSpaceDN w:val="0"/>
              <w:snapToGrid w:val="0"/>
              <w:spacing w:line="360" w:lineRule="exact"/>
              <w:jc w:val="left"/>
              <w:rPr>
                <w:rFonts w:eastAsia="ＭＳ ゴシック"/>
                <w:bCs/>
                <w:szCs w:val="20"/>
              </w:rPr>
            </w:pPr>
            <m:oMathPara>
              <m:oMathParaPr>
                <m:jc m:val="center"/>
              </m:oMathParaPr>
              <m:oMath>
                <m:d>
                  <m:dPr>
                    <m:ctrlPr>
                      <w:rPr>
                        <w:rFonts w:ascii="Cambria Math" w:eastAsia="ＭＳ ゴシック" w:hAnsi="Cambria Math"/>
                        <w:bCs/>
                        <w:szCs w:val="20"/>
                      </w:rPr>
                    </m:ctrlPr>
                  </m:dPr>
                  <m:e>
                    <m:sSub>
                      <m:sSubPr>
                        <m:ctrlPr>
                          <w:rPr>
                            <w:rFonts w:ascii="Cambria Math" w:eastAsia="ＭＳ ゴシック" w:hAnsi="Cambria Math"/>
                            <w:bCs/>
                            <w:i/>
                            <w:szCs w:val="20"/>
                          </w:rPr>
                        </m:ctrlPr>
                      </m:sSubPr>
                      <m:e>
                        <m:r>
                          <w:rPr>
                            <w:rFonts w:ascii="Cambria Math" w:eastAsia="ＭＳ ゴシック" w:hAnsi="Cambria Math"/>
                            <w:szCs w:val="20"/>
                          </w:rPr>
                          <m:t>S</m:t>
                        </m:r>
                      </m:e>
                      <m:sub>
                        <m:r>
                          <w:rPr>
                            <w:rFonts w:ascii="Cambria Math" w:eastAsia="ＭＳ ゴシック" w:hAnsi="Cambria Math"/>
                            <w:szCs w:val="20"/>
                          </w:rPr>
                          <m:t>y</m:t>
                        </m:r>
                      </m:sub>
                    </m:sSub>
                    <m:r>
                      <w:rPr>
                        <w:rFonts w:ascii="Cambria Math" w:eastAsia="ＭＳ ゴシック" w:hAnsi="Cambria Math"/>
                        <w:szCs w:val="20"/>
                      </w:rPr>
                      <m:t xml:space="preserve">&gt;620 </m:t>
                    </m:r>
                    <m:r>
                      <m:rPr>
                        <m:sty m:val="p"/>
                      </m:rPr>
                      <w:rPr>
                        <w:rFonts w:ascii="Cambria Math" w:eastAsia="ＭＳ ゴシック" w:hAnsi="Cambria Math"/>
                        <w:szCs w:val="20"/>
                      </w:rPr>
                      <m:t>MPa</m:t>
                    </m:r>
                  </m:e>
                </m:d>
              </m:oMath>
            </m:oMathPara>
          </w:p>
        </w:tc>
        <w:tc>
          <w:tcPr>
            <w:tcW w:w="2126" w:type="dxa"/>
            <w:vAlign w:val="center"/>
          </w:tcPr>
          <w:p w14:paraId="57093798" w14:textId="77777777" w:rsidR="00CE5B29" w:rsidRPr="00BC31E0" w:rsidRDefault="00CE5B29" w:rsidP="00CE5B29">
            <w:pPr>
              <w:autoSpaceDE w:val="0"/>
              <w:autoSpaceDN w:val="0"/>
              <w:snapToGrid w:val="0"/>
              <w:spacing w:line="360" w:lineRule="exact"/>
              <w:jc w:val="center"/>
              <w:rPr>
                <w:rFonts w:ascii="Cambria Math" w:eastAsia="ＭＳ ゴシック" w:hAnsi="Cambria Math"/>
                <w:bCs/>
                <w:sz w:val="22"/>
                <w:szCs w:val="22"/>
              </w:rPr>
            </w:pPr>
            <w:r w:rsidRPr="00BC31E0">
              <w:rPr>
                <w:rFonts w:ascii="Cambria Math" w:eastAsia="ＭＳ ゴシック" w:hAnsi="Cambria Math"/>
                <w:bCs/>
                <w:sz w:val="22"/>
                <w:szCs w:val="22"/>
              </w:rPr>
              <w:t>3.64E</w:t>
            </w:r>
            <w:r w:rsidRPr="00BC31E0">
              <w:rPr>
                <w:rFonts w:asciiTheme="minorEastAsia" w:eastAsiaTheme="minorEastAsia" w:hAnsiTheme="minorEastAsia"/>
                <w:bCs/>
                <w:sz w:val="22"/>
                <w:szCs w:val="22"/>
              </w:rPr>
              <w:t>-</w:t>
            </w:r>
            <w:r w:rsidRPr="00BC31E0">
              <w:rPr>
                <w:rFonts w:ascii="Cambria Math" w:eastAsia="ＭＳ ゴシック" w:hAnsi="Cambria Math"/>
                <w:bCs/>
                <w:sz w:val="22"/>
                <w:szCs w:val="22"/>
              </w:rPr>
              <w:t>9</w:t>
            </w:r>
          </w:p>
        </w:tc>
        <w:tc>
          <w:tcPr>
            <w:tcW w:w="1204" w:type="dxa"/>
            <w:vAlign w:val="center"/>
          </w:tcPr>
          <w:p w14:paraId="17A6B397" w14:textId="77777777" w:rsidR="00CE5B29" w:rsidRPr="00BC31E0" w:rsidRDefault="00CE5B29" w:rsidP="00CE5B29">
            <w:pPr>
              <w:autoSpaceDE w:val="0"/>
              <w:autoSpaceDN w:val="0"/>
              <w:snapToGrid w:val="0"/>
              <w:spacing w:line="360" w:lineRule="exact"/>
              <w:jc w:val="center"/>
              <w:rPr>
                <w:rFonts w:ascii="Cambria Math" w:eastAsia="ＭＳ ゴシック" w:hAnsi="Cambria Math"/>
                <w:bCs/>
                <w:sz w:val="22"/>
                <w:szCs w:val="22"/>
              </w:rPr>
            </w:pPr>
            <w:r w:rsidRPr="00BC31E0">
              <w:rPr>
                <w:rFonts w:ascii="Cambria Math" w:eastAsia="ＭＳ ゴシック" w:hAnsi="Cambria Math"/>
                <w:bCs/>
                <w:sz w:val="22"/>
                <w:szCs w:val="22"/>
              </w:rPr>
              <w:t>3.26</w:t>
            </w:r>
          </w:p>
        </w:tc>
        <w:tc>
          <w:tcPr>
            <w:tcW w:w="1205" w:type="dxa"/>
            <w:vAlign w:val="center"/>
          </w:tcPr>
          <w:p w14:paraId="71445483" w14:textId="77777777" w:rsidR="00CE5B29" w:rsidRPr="00BC31E0" w:rsidRDefault="00CE5B29" w:rsidP="00CE5B29">
            <w:pPr>
              <w:autoSpaceDE w:val="0"/>
              <w:autoSpaceDN w:val="0"/>
              <w:snapToGrid w:val="0"/>
              <w:spacing w:line="360" w:lineRule="exact"/>
              <w:jc w:val="center"/>
              <w:rPr>
                <w:rFonts w:ascii="Cambria Math" w:eastAsia="ＭＳ ゴシック" w:hAnsi="Cambria Math"/>
                <w:bCs/>
                <w:sz w:val="22"/>
                <w:szCs w:val="22"/>
              </w:rPr>
            </w:pPr>
            <w:r w:rsidRPr="00BC31E0">
              <w:rPr>
                <w:rFonts w:ascii="Cambria Math" w:eastAsia="ＭＳ ゴシック" w:hAnsi="Cambria Math"/>
                <w:bCs/>
                <w:sz w:val="22"/>
                <w:szCs w:val="22"/>
              </w:rPr>
              <w:t>7.0</w:t>
            </w:r>
          </w:p>
        </w:tc>
        <w:tc>
          <w:tcPr>
            <w:tcW w:w="1205" w:type="dxa"/>
            <w:vAlign w:val="center"/>
          </w:tcPr>
          <w:p w14:paraId="656B0951" w14:textId="77777777" w:rsidR="00CE5B29" w:rsidRPr="00BC31E0" w:rsidRDefault="00CE5B29" w:rsidP="00CE5B29">
            <w:pPr>
              <w:autoSpaceDE w:val="0"/>
              <w:autoSpaceDN w:val="0"/>
              <w:snapToGrid w:val="0"/>
              <w:spacing w:line="360" w:lineRule="exact"/>
              <w:jc w:val="center"/>
              <w:rPr>
                <w:rFonts w:ascii="Cambria Math" w:eastAsia="ＭＳ ゴシック" w:hAnsi="Cambria Math"/>
                <w:bCs/>
                <w:sz w:val="22"/>
                <w:szCs w:val="22"/>
              </w:rPr>
            </w:pPr>
            <w:r w:rsidRPr="00BC31E0">
              <w:rPr>
                <w:rFonts w:ascii="Cambria Math" w:eastAsia="ＭＳ ゴシック" w:hAnsi="Cambria Math"/>
                <w:bCs/>
                <w:sz w:val="22"/>
                <w:szCs w:val="22"/>
              </w:rPr>
              <w:t>0.85</w:t>
            </w:r>
          </w:p>
        </w:tc>
        <w:tc>
          <w:tcPr>
            <w:tcW w:w="1205" w:type="dxa"/>
            <w:vAlign w:val="center"/>
          </w:tcPr>
          <w:p w14:paraId="56515FA3" w14:textId="77777777" w:rsidR="00CE5B29" w:rsidRPr="00BC31E0" w:rsidRDefault="00CE5B29" w:rsidP="00CE5B29">
            <w:pPr>
              <w:autoSpaceDE w:val="0"/>
              <w:autoSpaceDN w:val="0"/>
              <w:snapToGrid w:val="0"/>
              <w:spacing w:line="360" w:lineRule="exact"/>
              <w:jc w:val="center"/>
              <w:rPr>
                <w:rFonts w:ascii="Cambria Math" w:eastAsia="ＭＳ ゴシック" w:hAnsi="Cambria Math"/>
                <w:bCs/>
                <w:sz w:val="22"/>
                <w:szCs w:val="22"/>
              </w:rPr>
            </w:pPr>
            <w:r w:rsidRPr="00BC31E0">
              <w:rPr>
                <w:rFonts w:ascii="Cambria Math" w:eastAsia="ＭＳ ゴシック" w:hAnsi="Cambria Math"/>
                <w:bCs/>
                <w:sz w:val="22"/>
                <w:szCs w:val="22"/>
              </w:rPr>
              <w:t>6.0</w:t>
            </w:r>
          </w:p>
        </w:tc>
      </w:tr>
      <w:tr w:rsidR="00CE5B29" w:rsidRPr="00BC31E0" w14:paraId="2BA12A51" w14:textId="77777777" w:rsidTr="00CE5B29">
        <w:tc>
          <w:tcPr>
            <w:tcW w:w="2127" w:type="dxa"/>
            <w:vAlign w:val="center"/>
          </w:tcPr>
          <w:p w14:paraId="3A1BED68" w14:textId="77777777" w:rsidR="00CE5B29" w:rsidRPr="00BC31E0" w:rsidRDefault="00CE5B29" w:rsidP="00CE5B29">
            <w:pPr>
              <w:autoSpaceDE w:val="0"/>
              <w:autoSpaceDN w:val="0"/>
              <w:snapToGrid w:val="0"/>
              <w:spacing w:line="360" w:lineRule="exact"/>
              <w:jc w:val="left"/>
              <w:rPr>
                <w:rFonts w:ascii="ＭＳ 明朝" w:hAnsi="ＭＳ 明朝"/>
                <w:bCs/>
                <w:szCs w:val="20"/>
              </w:rPr>
            </w:pPr>
            <w:r w:rsidRPr="00BC31E0">
              <w:rPr>
                <w:rFonts w:ascii="ＭＳ 明朝" w:hAnsi="ＭＳ 明朝"/>
                <w:bCs/>
                <w:szCs w:val="20"/>
              </w:rPr>
              <w:t>マルテンサイト系</w:t>
            </w:r>
          </w:p>
          <w:p w14:paraId="5C6F7669" w14:textId="77777777" w:rsidR="00CE5B29" w:rsidRPr="00BC31E0" w:rsidRDefault="00CE5B29" w:rsidP="00CE5B29">
            <w:pPr>
              <w:autoSpaceDE w:val="0"/>
              <w:autoSpaceDN w:val="0"/>
              <w:snapToGrid w:val="0"/>
              <w:spacing w:line="360" w:lineRule="exact"/>
              <w:jc w:val="left"/>
              <w:rPr>
                <w:rFonts w:ascii="ＭＳ 明朝" w:hAnsi="ＭＳ 明朝"/>
                <w:bCs/>
                <w:szCs w:val="20"/>
              </w:rPr>
            </w:pPr>
            <w:r w:rsidRPr="00BC31E0">
              <w:rPr>
                <w:rFonts w:ascii="ＭＳ 明朝" w:hAnsi="ＭＳ 明朝"/>
                <w:bCs/>
                <w:szCs w:val="20"/>
              </w:rPr>
              <w:t>析出硬化鋼</w:t>
            </w:r>
          </w:p>
        </w:tc>
        <w:tc>
          <w:tcPr>
            <w:tcW w:w="2126" w:type="dxa"/>
            <w:vAlign w:val="center"/>
          </w:tcPr>
          <w:p w14:paraId="3B1E8CDC" w14:textId="77777777" w:rsidR="00CE5B29" w:rsidRPr="00BC31E0" w:rsidRDefault="00CE5B29" w:rsidP="00CE5B29">
            <w:pPr>
              <w:autoSpaceDE w:val="0"/>
              <w:autoSpaceDN w:val="0"/>
              <w:snapToGrid w:val="0"/>
              <w:spacing w:line="360" w:lineRule="exact"/>
              <w:jc w:val="center"/>
              <w:rPr>
                <w:rFonts w:ascii="Cambria Math" w:eastAsia="ＭＳ ゴシック" w:hAnsi="Cambria Math"/>
                <w:bCs/>
                <w:sz w:val="22"/>
                <w:szCs w:val="22"/>
              </w:rPr>
            </w:pPr>
            <w:r w:rsidRPr="00BC31E0">
              <w:rPr>
                <w:rFonts w:ascii="Cambria Math" w:eastAsia="ＭＳ ゴシック" w:hAnsi="Cambria Math"/>
                <w:bCs/>
                <w:sz w:val="22"/>
                <w:szCs w:val="22"/>
              </w:rPr>
              <w:t>4.49E</w:t>
            </w:r>
            <w:r w:rsidRPr="00BC31E0">
              <w:rPr>
                <w:rFonts w:asciiTheme="minorEastAsia" w:eastAsiaTheme="minorEastAsia" w:hAnsiTheme="minorEastAsia"/>
                <w:bCs/>
                <w:sz w:val="22"/>
                <w:szCs w:val="22"/>
              </w:rPr>
              <w:t>-</w:t>
            </w:r>
            <w:r w:rsidRPr="00BC31E0">
              <w:rPr>
                <w:rFonts w:ascii="Cambria Math" w:eastAsia="ＭＳ ゴシック" w:hAnsi="Cambria Math"/>
                <w:bCs/>
                <w:sz w:val="22"/>
                <w:szCs w:val="22"/>
              </w:rPr>
              <w:t>9</w:t>
            </w:r>
          </w:p>
        </w:tc>
        <w:tc>
          <w:tcPr>
            <w:tcW w:w="1204" w:type="dxa"/>
            <w:vAlign w:val="center"/>
          </w:tcPr>
          <w:p w14:paraId="1E0EB149" w14:textId="77777777" w:rsidR="00CE5B29" w:rsidRPr="00BC31E0" w:rsidRDefault="00CE5B29" w:rsidP="00CE5B29">
            <w:pPr>
              <w:autoSpaceDE w:val="0"/>
              <w:autoSpaceDN w:val="0"/>
              <w:snapToGrid w:val="0"/>
              <w:spacing w:line="360" w:lineRule="exact"/>
              <w:jc w:val="center"/>
              <w:rPr>
                <w:rFonts w:ascii="Cambria Math" w:eastAsia="ＭＳ ゴシック" w:hAnsi="Cambria Math"/>
                <w:bCs/>
                <w:sz w:val="22"/>
                <w:szCs w:val="22"/>
              </w:rPr>
            </w:pPr>
            <w:r w:rsidRPr="00BC31E0">
              <w:rPr>
                <w:rFonts w:ascii="Cambria Math" w:eastAsia="ＭＳ ゴシック" w:hAnsi="Cambria Math"/>
                <w:bCs/>
                <w:sz w:val="22"/>
                <w:szCs w:val="22"/>
              </w:rPr>
              <w:t>3.15</w:t>
            </w:r>
          </w:p>
        </w:tc>
        <w:tc>
          <w:tcPr>
            <w:tcW w:w="1205" w:type="dxa"/>
            <w:vAlign w:val="center"/>
          </w:tcPr>
          <w:p w14:paraId="34B3FD6F" w14:textId="77777777" w:rsidR="00CE5B29" w:rsidRPr="00BC31E0" w:rsidRDefault="00CE5B29" w:rsidP="00CE5B29">
            <w:pPr>
              <w:autoSpaceDE w:val="0"/>
              <w:autoSpaceDN w:val="0"/>
              <w:snapToGrid w:val="0"/>
              <w:spacing w:line="360" w:lineRule="exact"/>
              <w:jc w:val="center"/>
              <w:rPr>
                <w:rFonts w:ascii="Cambria Math" w:eastAsia="ＭＳ ゴシック" w:hAnsi="Cambria Math"/>
                <w:bCs/>
                <w:sz w:val="22"/>
                <w:szCs w:val="22"/>
              </w:rPr>
            </w:pPr>
            <w:r w:rsidRPr="00BC31E0">
              <w:rPr>
                <w:rFonts w:ascii="Cambria Math" w:eastAsia="ＭＳ ゴシック" w:hAnsi="Cambria Math"/>
                <w:bCs/>
                <w:sz w:val="22"/>
                <w:szCs w:val="22"/>
              </w:rPr>
              <w:t>7.0</w:t>
            </w:r>
          </w:p>
        </w:tc>
        <w:tc>
          <w:tcPr>
            <w:tcW w:w="1205" w:type="dxa"/>
            <w:vAlign w:val="center"/>
          </w:tcPr>
          <w:p w14:paraId="780E62D6" w14:textId="77777777" w:rsidR="00CE5B29" w:rsidRPr="00BC31E0" w:rsidRDefault="00CE5B29" w:rsidP="00CE5B29">
            <w:pPr>
              <w:autoSpaceDE w:val="0"/>
              <w:autoSpaceDN w:val="0"/>
              <w:snapToGrid w:val="0"/>
              <w:spacing w:line="360" w:lineRule="exact"/>
              <w:jc w:val="center"/>
              <w:rPr>
                <w:rFonts w:ascii="Cambria Math" w:eastAsia="ＭＳ ゴシック" w:hAnsi="Cambria Math"/>
                <w:bCs/>
                <w:sz w:val="22"/>
                <w:szCs w:val="22"/>
              </w:rPr>
            </w:pPr>
            <w:r w:rsidRPr="00BC31E0">
              <w:rPr>
                <w:rFonts w:ascii="Cambria Math" w:eastAsia="ＭＳ ゴシック" w:hAnsi="Cambria Math"/>
                <w:bCs/>
                <w:sz w:val="22"/>
                <w:szCs w:val="22"/>
              </w:rPr>
              <w:t>0.85</w:t>
            </w:r>
          </w:p>
        </w:tc>
        <w:tc>
          <w:tcPr>
            <w:tcW w:w="1205" w:type="dxa"/>
            <w:vAlign w:val="center"/>
          </w:tcPr>
          <w:p w14:paraId="5AF2B1F0" w14:textId="77777777" w:rsidR="00CE5B29" w:rsidRPr="00BC31E0" w:rsidRDefault="00CE5B29" w:rsidP="00CE5B29">
            <w:pPr>
              <w:autoSpaceDE w:val="0"/>
              <w:autoSpaceDN w:val="0"/>
              <w:snapToGrid w:val="0"/>
              <w:spacing w:line="360" w:lineRule="exact"/>
              <w:jc w:val="center"/>
              <w:rPr>
                <w:rFonts w:ascii="Cambria Math" w:eastAsia="ＭＳ ゴシック" w:hAnsi="Cambria Math"/>
                <w:bCs/>
                <w:sz w:val="22"/>
                <w:szCs w:val="22"/>
              </w:rPr>
            </w:pPr>
            <w:r w:rsidRPr="00BC31E0">
              <w:rPr>
                <w:rFonts w:ascii="Cambria Math" w:eastAsia="ＭＳ ゴシック" w:hAnsi="Cambria Math"/>
                <w:bCs/>
                <w:sz w:val="22"/>
                <w:szCs w:val="22"/>
              </w:rPr>
              <w:t>6.0</w:t>
            </w:r>
          </w:p>
        </w:tc>
      </w:tr>
      <w:tr w:rsidR="00CE5B29" w:rsidRPr="00BC31E0" w14:paraId="34A6C5AC" w14:textId="77777777" w:rsidTr="00CE5B29">
        <w:tc>
          <w:tcPr>
            <w:tcW w:w="2127" w:type="dxa"/>
            <w:vAlign w:val="center"/>
          </w:tcPr>
          <w:p w14:paraId="60E12F01" w14:textId="77777777" w:rsidR="00CE5B29" w:rsidRPr="00BC31E0" w:rsidRDefault="00CE5B29" w:rsidP="00CE5B29">
            <w:pPr>
              <w:autoSpaceDE w:val="0"/>
              <w:autoSpaceDN w:val="0"/>
              <w:snapToGrid w:val="0"/>
              <w:spacing w:line="360" w:lineRule="exact"/>
              <w:jc w:val="left"/>
              <w:rPr>
                <w:rFonts w:ascii="ＭＳ 明朝" w:hAnsi="ＭＳ 明朝"/>
                <w:bCs/>
                <w:szCs w:val="20"/>
              </w:rPr>
            </w:pPr>
            <w:r w:rsidRPr="00BC31E0">
              <w:rPr>
                <w:rFonts w:ascii="ＭＳ 明朝" w:hAnsi="ＭＳ 明朝"/>
                <w:bCs/>
                <w:szCs w:val="20"/>
              </w:rPr>
              <w:t>オーステナイト系</w:t>
            </w:r>
          </w:p>
          <w:p w14:paraId="39D52170" w14:textId="77777777" w:rsidR="00CE5B29" w:rsidRPr="00BC31E0" w:rsidRDefault="00CE5B29" w:rsidP="00CE5B29">
            <w:pPr>
              <w:autoSpaceDE w:val="0"/>
              <w:autoSpaceDN w:val="0"/>
              <w:snapToGrid w:val="0"/>
              <w:spacing w:line="360" w:lineRule="exact"/>
              <w:jc w:val="left"/>
              <w:rPr>
                <w:rFonts w:ascii="ＭＳ 明朝" w:hAnsi="ＭＳ 明朝"/>
                <w:bCs/>
                <w:szCs w:val="20"/>
              </w:rPr>
            </w:pPr>
            <w:r w:rsidRPr="00BC31E0">
              <w:rPr>
                <w:rFonts w:ascii="ＭＳ 明朝" w:hAnsi="ＭＳ 明朝"/>
                <w:bCs/>
                <w:szCs w:val="20"/>
              </w:rPr>
              <w:t>ステンレス鋼</w:t>
            </w:r>
          </w:p>
        </w:tc>
        <w:tc>
          <w:tcPr>
            <w:tcW w:w="2126" w:type="dxa"/>
            <w:vAlign w:val="center"/>
          </w:tcPr>
          <w:p w14:paraId="4070AAFE" w14:textId="77777777" w:rsidR="00CE5B29" w:rsidRPr="00BC31E0" w:rsidRDefault="00CE5B29" w:rsidP="00CE5B29">
            <w:pPr>
              <w:autoSpaceDE w:val="0"/>
              <w:autoSpaceDN w:val="0"/>
              <w:snapToGrid w:val="0"/>
              <w:spacing w:line="360" w:lineRule="exact"/>
              <w:jc w:val="center"/>
              <w:rPr>
                <w:rFonts w:ascii="Cambria Math" w:eastAsia="ＭＳ ゴシック" w:hAnsi="Cambria Math"/>
                <w:bCs/>
                <w:sz w:val="22"/>
                <w:szCs w:val="22"/>
              </w:rPr>
            </w:pPr>
            <w:r w:rsidRPr="00BC31E0">
              <w:rPr>
                <w:rFonts w:ascii="Cambria Math" w:eastAsia="ＭＳ ゴシック" w:hAnsi="Cambria Math"/>
                <w:bCs/>
                <w:sz w:val="22"/>
                <w:szCs w:val="22"/>
              </w:rPr>
              <w:t>2.05E</w:t>
            </w:r>
            <w:r w:rsidRPr="00BC31E0">
              <w:rPr>
                <w:rFonts w:asciiTheme="minorEastAsia" w:eastAsiaTheme="minorEastAsia" w:hAnsiTheme="minorEastAsia"/>
                <w:bCs/>
                <w:sz w:val="22"/>
                <w:szCs w:val="22"/>
              </w:rPr>
              <w:t>-</w:t>
            </w:r>
            <w:r w:rsidRPr="00BC31E0">
              <w:rPr>
                <w:rFonts w:ascii="Cambria Math" w:eastAsia="ＭＳ ゴシック" w:hAnsi="Cambria Math" w:hint="eastAsia"/>
                <w:bCs/>
                <w:sz w:val="22"/>
                <w:szCs w:val="22"/>
              </w:rPr>
              <w:t>9</w:t>
            </w:r>
          </w:p>
        </w:tc>
        <w:tc>
          <w:tcPr>
            <w:tcW w:w="1204" w:type="dxa"/>
            <w:vAlign w:val="center"/>
          </w:tcPr>
          <w:p w14:paraId="3D5C9BEE" w14:textId="77777777" w:rsidR="00CE5B29" w:rsidRPr="00BC31E0" w:rsidRDefault="00CE5B29" w:rsidP="00CE5B29">
            <w:pPr>
              <w:autoSpaceDE w:val="0"/>
              <w:autoSpaceDN w:val="0"/>
              <w:snapToGrid w:val="0"/>
              <w:spacing w:line="360" w:lineRule="exact"/>
              <w:jc w:val="center"/>
              <w:rPr>
                <w:rFonts w:ascii="Cambria Math" w:eastAsia="ＭＳ ゴシック" w:hAnsi="Cambria Math"/>
                <w:bCs/>
                <w:sz w:val="22"/>
                <w:szCs w:val="22"/>
              </w:rPr>
            </w:pPr>
            <w:r w:rsidRPr="00BC31E0">
              <w:rPr>
                <w:rFonts w:ascii="Cambria Math" w:eastAsia="ＭＳ ゴシック" w:hAnsi="Cambria Math"/>
                <w:bCs/>
                <w:sz w:val="22"/>
                <w:szCs w:val="22"/>
              </w:rPr>
              <w:t>3.30</w:t>
            </w:r>
          </w:p>
        </w:tc>
        <w:tc>
          <w:tcPr>
            <w:tcW w:w="1205" w:type="dxa"/>
            <w:vAlign w:val="center"/>
          </w:tcPr>
          <w:p w14:paraId="24D6C225" w14:textId="77777777" w:rsidR="00CE5B29" w:rsidRPr="00BC31E0" w:rsidRDefault="00CE5B29" w:rsidP="00CE5B29">
            <w:pPr>
              <w:autoSpaceDE w:val="0"/>
              <w:autoSpaceDN w:val="0"/>
              <w:spacing w:line="360" w:lineRule="atLeast"/>
              <w:jc w:val="center"/>
              <w:rPr>
                <w:rFonts w:ascii="ＭＳ ゴシック" w:eastAsia="ＭＳ ゴシック" w:hAnsi="ＭＳ ゴシック"/>
                <w:b/>
                <w:bCs/>
                <w:szCs w:val="20"/>
                <w:vertAlign w:val="superscript"/>
              </w:rPr>
            </w:pPr>
            <w:r w:rsidRPr="00BC31E0">
              <w:rPr>
                <w:rFonts w:ascii="ＭＳ ゴシック" w:eastAsia="ＭＳ ゴシック" w:hAnsi="ＭＳ ゴシック" w:hint="eastAsia"/>
                <w:b/>
                <w:bCs/>
                <w:szCs w:val="20"/>
                <w:vertAlign w:val="superscript"/>
              </w:rPr>
              <w:t>a)</w:t>
            </w:r>
          </w:p>
        </w:tc>
        <w:tc>
          <w:tcPr>
            <w:tcW w:w="1205" w:type="dxa"/>
            <w:vAlign w:val="center"/>
          </w:tcPr>
          <w:p w14:paraId="5DE2C042" w14:textId="77777777" w:rsidR="00CE5B29" w:rsidRPr="00BC31E0" w:rsidRDefault="00CE5B29" w:rsidP="00CE5B29">
            <w:pPr>
              <w:autoSpaceDE w:val="0"/>
              <w:autoSpaceDN w:val="0"/>
              <w:spacing w:line="360" w:lineRule="atLeast"/>
              <w:jc w:val="center"/>
              <w:rPr>
                <w:rFonts w:ascii="ＭＳ 明朝" w:hAnsi="ＭＳ 明朝"/>
                <w:bCs/>
                <w:szCs w:val="20"/>
              </w:rPr>
            </w:pPr>
            <w:r w:rsidRPr="00BC31E0">
              <w:rPr>
                <w:rFonts w:ascii="ＭＳ ゴシック" w:eastAsia="ＭＳ ゴシック" w:hAnsi="ＭＳ ゴシック" w:hint="eastAsia"/>
                <w:b/>
                <w:bCs/>
                <w:szCs w:val="20"/>
                <w:vertAlign w:val="superscript"/>
              </w:rPr>
              <w:t>a)</w:t>
            </w:r>
          </w:p>
        </w:tc>
        <w:tc>
          <w:tcPr>
            <w:tcW w:w="1205" w:type="dxa"/>
            <w:vAlign w:val="center"/>
          </w:tcPr>
          <w:p w14:paraId="5EF6945E" w14:textId="77777777" w:rsidR="00CE5B29" w:rsidRPr="00BC31E0" w:rsidRDefault="00CE5B29" w:rsidP="00CE5B29">
            <w:pPr>
              <w:autoSpaceDE w:val="0"/>
              <w:autoSpaceDN w:val="0"/>
              <w:spacing w:line="360" w:lineRule="atLeast"/>
              <w:jc w:val="center"/>
              <w:rPr>
                <w:rFonts w:ascii="ＭＳ 明朝" w:hAnsi="ＭＳ 明朝"/>
                <w:bCs/>
                <w:szCs w:val="20"/>
              </w:rPr>
            </w:pPr>
            <w:r w:rsidRPr="00BC31E0">
              <w:rPr>
                <w:rFonts w:ascii="ＭＳ ゴシック" w:eastAsia="ＭＳ ゴシック" w:hAnsi="ＭＳ ゴシック" w:hint="eastAsia"/>
                <w:b/>
                <w:bCs/>
                <w:szCs w:val="20"/>
                <w:vertAlign w:val="superscript"/>
              </w:rPr>
              <w:t>a)</w:t>
            </w:r>
          </w:p>
        </w:tc>
      </w:tr>
      <w:tr w:rsidR="00CE5B29" w:rsidRPr="00BC31E0" w14:paraId="59BC50D8" w14:textId="77777777" w:rsidTr="00CE5B29">
        <w:trPr>
          <w:trHeight w:val="567"/>
        </w:trPr>
        <w:tc>
          <w:tcPr>
            <w:tcW w:w="2127" w:type="dxa"/>
            <w:vAlign w:val="center"/>
          </w:tcPr>
          <w:p w14:paraId="7CFA240F" w14:textId="77777777" w:rsidR="00CE5B29" w:rsidRPr="00BC31E0" w:rsidRDefault="00CE5B29" w:rsidP="00CE5B29">
            <w:pPr>
              <w:autoSpaceDE w:val="0"/>
              <w:autoSpaceDN w:val="0"/>
              <w:spacing w:line="360" w:lineRule="atLeast"/>
              <w:jc w:val="left"/>
              <w:rPr>
                <w:rFonts w:ascii="ＭＳ 明朝" w:hAnsi="ＭＳ 明朝"/>
                <w:bCs/>
                <w:szCs w:val="20"/>
              </w:rPr>
            </w:pPr>
            <w:r w:rsidRPr="00BC31E0">
              <w:rPr>
                <w:rFonts w:ascii="ＭＳ 明朝" w:hAnsi="ＭＳ 明朝" w:hint="eastAsia"/>
                <w:bCs/>
                <w:szCs w:val="20"/>
              </w:rPr>
              <w:t>アルミニウム合金</w:t>
            </w:r>
          </w:p>
        </w:tc>
        <w:tc>
          <w:tcPr>
            <w:tcW w:w="2126" w:type="dxa"/>
            <w:vAlign w:val="center"/>
          </w:tcPr>
          <w:p w14:paraId="234645B8" w14:textId="77777777" w:rsidR="00CE5B29" w:rsidRPr="00BC31E0" w:rsidRDefault="00CE5B29" w:rsidP="00CE5B29">
            <w:pPr>
              <w:autoSpaceDE w:val="0"/>
              <w:autoSpaceDN w:val="0"/>
              <w:spacing w:line="360" w:lineRule="atLeast"/>
              <w:jc w:val="center"/>
              <w:rPr>
                <w:rFonts w:ascii="Cambria Math" w:eastAsia="ＭＳ ゴシック" w:hAnsi="Cambria Math"/>
                <w:bCs/>
                <w:sz w:val="22"/>
                <w:szCs w:val="22"/>
              </w:rPr>
            </w:pPr>
            <w:r w:rsidRPr="00BC31E0">
              <w:rPr>
                <w:rFonts w:ascii="Cambria Math" w:eastAsia="ＭＳ ゴシック" w:hAnsi="Cambria Math"/>
                <w:bCs/>
                <w:sz w:val="22"/>
                <w:szCs w:val="22"/>
              </w:rPr>
              <w:t>4.46E</w:t>
            </w:r>
            <w:r w:rsidRPr="00BC31E0">
              <w:rPr>
                <w:rFonts w:asciiTheme="minorEastAsia" w:eastAsiaTheme="minorEastAsia" w:hAnsiTheme="minorEastAsia"/>
                <w:bCs/>
                <w:sz w:val="22"/>
                <w:szCs w:val="22"/>
              </w:rPr>
              <w:t>-</w:t>
            </w:r>
            <w:r w:rsidRPr="00BC31E0">
              <w:rPr>
                <w:rFonts w:ascii="Cambria Math" w:hAnsi="Cambria Math"/>
                <w:bCs/>
                <w:sz w:val="22"/>
                <w:szCs w:val="22"/>
              </w:rPr>
              <w:t>7</w:t>
            </w:r>
          </w:p>
        </w:tc>
        <w:tc>
          <w:tcPr>
            <w:tcW w:w="1204" w:type="dxa"/>
            <w:vAlign w:val="center"/>
          </w:tcPr>
          <w:p w14:paraId="59ED5778" w14:textId="77777777" w:rsidR="00CE5B29" w:rsidRPr="00BC31E0" w:rsidRDefault="00CE5B29" w:rsidP="00CE5B29">
            <w:pPr>
              <w:autoSpaceDE w:val="0"/>
              <w:autoSpaceDN w:val="0"/>
              <w:spacing w:line="360" w:lineRule="atLeast"/>
              <w:jc w:val="center"/>
              <w:rPr>
                <w:rFonts w:ascii="Cambria Math" w:eastAsia="ＭＳ ゴシック" w:hAnsi="Cambria Math"/>
                <w:bCs/>
                <w:sz w:val="22"/>
                <w:szCs w:val="22"/>
              </w:rPr>
            </w:pPr>
            <w:r w:rsidRPr="00BC31E0">
              <w:rPr>
                <w:rFonts w:ascii="Cambria Math" w:eastAsia="ＭＳ ゴシック" w:hAnsi="Cambria Math"/>
                <w:bCs/>
                <w:sz w:val="22"/>
                <w:szCs w:val="22"/>
              </w:rPr>
              <w:t>3.00</w:t>
            </w:r>
          </w:p>
        </w:tc>
        <w:tc>
          <w:tcPr>
            <w:tcW w:w="1205" w:type="dxa"/>
            <w:vAlign w:val="center"/>
          </w:tcPr>
          <w:p w14:paraId="01417635" w14:textId="77777777" w:rsidR="00CE5B29" w:rsidRPr="00BC31E0" w:rsidRDefault="00CE5B29" w:rsidP="00CE5B29">
            <w:pPr>
              <w:autoSpaceDE w:val="0"/>
              <w:autoSpaceDN w:val="0"/>
              <w:spacing w:line="360" w:lineRule="atLeast"/>
              <w:jc w:val="center"/>
              <w:rPr>
                <w:rFonts w:ascii="Cambria Math" w:hAnsi="Cambria Math"/>
                <w:bCs/>
                <w:sz w:val="22"/>
                <w:szCs w:val="22"/>
              </w:rPr>
            </w:pPr>
            <w:r w:rsidRPr="00BC31E0">
              <w:rPr>
                <w:rFonts w:ascii="Cambria Math" w:hAnsi="Cambria Math"/>
                <w:bCs/>
                <w:sz w:val="22"/>
                <w:szCs w:val="22"/>
              </w:rPr>
              <w:t>1.8</w:t>
            </w:r>
          </w:p>
        </w:tc>
        <w:tc>
          <w:tcPr>
            <w:tcW w:w="1205" w:type="dxa"/>
            <w:vAlign w:val="center"/>
          </w:tcPr>
          <w:p w14:paraId="47607A0A" w14:textId="77777777" w:rsidR="00CE5B29" w:rsidRPr="00BC31E0" w:rsidRDefault="00CE5B29" w:rsidP="00CE5B29">
            <w:pPr>
              <w:autoSpaceDE w:val="0"/>
              <w:autoSpaceDN w:val="0"/>
              <w:spacing w:line="360" w:lineRule="atLeast"/>
              <w:jc w:val="center"/>
              <w:rPr>
                <w:rFonts w:ascii="Cambria Math" w:hAnsi="Cambria Math"/>
                <w:bCs/>
                <w:sz w:val="22"/>
                <w:szCs w:val="22"/>
              </w:rPr>
            </w:pPr>
            <w:r w:rsidRPr="00BC31E0">
              <w:rPr>
                <w:rFonts w:ascii="Cambria Math" w:hAnsi="Cambria Math"/>
                <w:bCs/>
                <w:sz w:val="22"/>
                <w:szCs w:val="22"/>
              </w:rPr>
              <w:t>1.22</w:t>
            </w:r>
          </w:p>
        </w:tc>
        <w:tc>
          <w:tcPr>
            <w:tcW w:w="1205" w:type="dxa"/>
            <w:vAlign w:val="center"/>
          </w:tcPr>
          <w:p w14:paraId="5B36A09B" w14:textId="77777777" w:rsidR="00CE5B29" w:rsidRPr="00BC31E0" w:rsidRDefault="00CE5B29" w:rsidP="00CE5B29">
            <w:pPr>
              <w:autoSpaceDE w:val="0"/>
              <w:autoSpaceDN w:val="0"/>
              <w:spacing w:line="360" w:lineRule="atLeast"/>
              <w:jc w:val="center"/>
              <w:rPr>
                <w:rFonts w:ascii="Cambria Math" w:hAnsi="Cambria Math"/>
                <w:bCs/>
                <w:sz w:val="22"/>
                <w:szCs w:val="22"/>
              </w:rPr>
            </w:pPr>
            <w:r w:rsidRPr="00BC31E0">
              <w:rPr>
                <w:rFonts w:ascii="Cambria Math" w:hAnsi="Cambria Math"/>
                <w:bCs/>
                <w:sz w:val="22"/>
                <w:szCs w:val="22"/>
              </w:rPr>
              <w:t>1.8</w:t>
            </w:r>
          </w:p>
        </w:tc>
      </w:tr>
    </w:tbl>
    <w:p w14:paraId="287655F2" w14:textId="77777777" w:rsidR="00CE5B29" w:rsidRPr="00BC31E0" w:rsidRDefault="00CE5B29" w:rsidP="00CE5B29">
      <w:pPr>
        <w:pStyle w:val="aff4"/>
        <w:tabs>
          <w:tab w:val="clear" w:pos="4252"/>
          <w:tab w:val="clear" w:pos="8504"/>
        </w:tabs>
        <w:autoSpaceDE w:val="0"/>
        <w:autoSpaceDN w:val="0"/>
        <w:snapToGrid/>
        <w:spacing w:before="60"/>
        <w:ind w:left="624" w:hanging="624"/>
        <w:rPr>
          <w:rStyle w:val="1Char"/>
        </w:rPr>
      </w:pPr>
      <w:r w:rsidRPr="00BC31E0">
        <w:rPr>
          <w:rFonts w:eastAsia="ＭＳ ゴシック" w:hint="eastAsia"/>
          <w:b/>
          <w:bCs/>
        </w:rPr>
        <w:t>注記</w:t>
      </w:r>
      <w:r w:rsidRPr="00BC31E0">
        <w:rPr>
          <w:rFonts w:ascii="ＭＳ 明朝" w:hAnsi="ＭＳ 明朝" w:hint="eastAsia"/>
          <w:bCs/>
        </w:rPr>
        <w:t xml:space="preserve">　</w:t>
      </w:r>
      <w:r w:rsidRPr="00BC31E0">
        <w:rPr>
          <w:rStyle w:val="1Char"/>
          <w:rFonts w:hint="eastAsia"/>
        </w:rPr>
        <w:t>表に示す材料定数の値は，非腐食環境下においてのみ使用する。特定の腐食環境下における材料定数は，考慮すべき方法を含めて使用者設計仕様書に記載しなければならない。</w:t>
      </w:r>
    </w:p>
    <w:p w14:paraId="5ECBF8D5" w14:textId="77777777" w:rsidR="00CE5B29" w:rsidRPr="00BC31E0" w:rsidRDefault="00CE5B29" w:rsidP="00A450BD">
      <w:pPr>
        <w:rPr>
          <w:bCs/>
        </w:rPr>
      </w:pPr>
      <w:r w:rsidRPr="00BC31E0">
        <w:rPr>
          <w:rFonts w:eastAsia="ＭＳ ゴシック" w:hint="eastAsia"/>
          <w:b/>
          <w:bCs/>
        </w:rPr>
        <w:t>注</w:t>
      </w:r>
      <w:r w:rsidRPr="00BC31E0">
        <w:rPr>
          <w:rFonts w:ascii="ＭＳ ゴシック" w:eastAsia="ＭＳ ゴシック" w:hAnsi="ＭＳ ゴシック" w:hint="eastAsia"/>
          <w:b/>
          <w:bCs/>
          <w:szCs w:val="20"/>
          <w:vertAlign w:val="superscript"/>
        </w:rPr>
        <w:t>a)</w:t>
      </w:r>
      <w:r w:rsidRPr="00BC31E0">
        <w:rPr>
          <w:rFonts w:hint="eastAsia"/>
          <w:bCs/>
        </w:rPr>
        <w:t xml:space="preserve">　オーステナイト系ステンレス鋼の疲労亀裂進展の下限界値は未確定である。</w:t>
      </w:r>
    </w:p>
    <w:p w14:paraId="5215EE00" w14:textId="77777777" w:rsidR="00210AE0" w:rsidRPr="00BC31E0" w:rsidRDefault="00210AE0" w:rsidP="00747973">
      <w:pPr>
        <w:rPr>
          <w:rFonts w:eastAsia="ＭＳ ゴシック"/>
          <w:b/>
        </w:rPr>
      </w:pPr>
    </w:p>
    <w:p w14:paraId="2E58620C" w14:textId="77777777" w:rsidR="003B52EB" w:rsidRPr="00BC31E0" w:rsidRDefault="003B52EB" w:rsidP="00E60EFE">
      <w:pPr>
        <w:pStyle w:val="20"/>
        <w:tabs>
          <w:tab w:val="clear" w:pos="284"/>
        </w:tabs>
        <w:ind w:left="567" w:hanging="567"/>
      </w:pPr>
      <w:bookmarkStart w:id="42" w:name="_Toc357672092"/>
      <w:bookmarkStart w:id="43" w:name="_Toc120092525"/>
      <w:r w:rsidRPr="00BC31E0">
        <w:rPr>
          <w:rFonts w:hint="eastAsia"/>
        </w:rPr>
        <w:t>自緊を用いた設計</w:t>
      </w:r>
      <w:bookmarkEnd w:id="42"/>
      <w:bookmarkEnd w:id="43"/>
    </w:p>
    <w:p w14:paraId="0FB63D5B" w14:textId="77777777" w:rsidR="003B52EB" w:rsidRPr="00BC31E0" w:rsidRDefault="003B52EB" w:rsidP="00E60EFE">
      <w:pPr>
        <w:pStyle w:val="3"/>
        <w:tabs>
          <w:tab w:val="clear" w:pos="284"/>
        </w:tabs>
        <w:ind w:left="794" w:hanging="794"/>
      </w:pPr>
      <w:r w:rsidRPr="00BC31E0">
        <w:rPr>
          <w:rFonts w:hint="eastAsia"/>
        </w:rPr>
        <w:t>適用範囲</w:t>
      </w:r>
    </w:p>
    <w:p w14:paraId="5D5C7B1D" w14:textId="77777777" w:rsidR="003B52EB" w:rsidRPr="00BC31E0" w:rsidRDefault="003B52EB" w:rsidP="00747973">
      <w:pPr>
        <w:pStyle w:val="1110"/>
        <w:ind w:firstLine="210"/>
      </w:pPr>
      <w:r w:rsidRPr="00BC31E0">
        <w:rPr>
          <w:rFonts w:hint="eastAsia"/>
        </w:rPr>
        <w:t>この項では，クロスボアなどの構造不連続部のない単肉円筒について，自緊後の残留応力の計算法を規定する。複雑な構造形状の場合には，弾塑性解析などの数値解析的手法又は実験的手法を用いる。</w:t>
      </w:r>
    </w:p>
    <w:p w14:paraId="3FEBE412" w14:textId="77777777" w:rsidR="003B52EB" w:rsidRPr="00BC31E0" w:rsidRDefault="003B52EB" w:rsidP="00747973">
      <w:pPr>
        <w:pStyle w:val="1110"/>
        <w:ind w:firstLine="210"/>
      </w:pPr>
      <w:r w:rsidRPr="00BC31E0">
        <w:rPr>
          <w:rFonts w:hint="eastAsia"/>
        </w:rPr>
        <w:t>自緊は厚肉容器の内面に圧縮の残留応力分布を生じさせる方法の一つであり，単独又は焼ばめなど他の方法と組合せて用いてもよい。残留応力の組合せに関する規定を</w:t>
      </w:r>
      <w:r w:rsidRPr="00BC31E0">
        <w:rPr>
          <w:rFonts w:ascii="ＭＳ ゴシック" w:eastAsia="ＭＳ ゴシック" w:hAnsi="ＭＳ ゴシック" w:hint="eastAsia"/>
          <w:b/>
          <w:bCs/>
        </w:rPr>
        <w:t>6.8</w:t>
      </w:r>
      <w:r w:rsidRPr="00BC31E0">
        <w:rPr>
          <w:rFonts w:hint="eastAsia"/>
        </w:rPr>
        <w:t>に示す。</w:t>
      </w:r>
    </w:p>
    <w:p w14:paraId="57996CE4" w14:textId="77777777" w:rsidR="003B52EB" w:rsidRPr="00BC31E0" w:rsidRDefault="003B52EB" w:rsidP="00747973">
      <w:pPr>
        <w:pStyle w:val="1110"/>
        <w:ind w:firstLine="210"/>
      </w:pPr>
      <w:r w:rsidRPr="00BC31E0">
        <w:rPr>
          <w:rFonts w:hint="eastAsia"/>
        </w:rPr>
        <w:t>自緊による残留応力を考慮した疲労設計法は，</w:t>
      </w:r>
      <w:r w:rsidRPr="00BC31E0">
        <w:rPr>
          <w:rFonts w:ascii="ＭＳ ゴシック" w:eastAsia="ＭＳ ゴシック" w:hAnsi="ＭＳ ゴシック" w:hint="eastAsia"/>
          <w:b/>
          <w:bCs/>
        </w:rPr>
        <w:t>6.3</w:t>
      </w:r>
      <w:r w:rsidRPr="00BC31E0">
        <w:rPr>
          <w:rFonts w:hint="eastAsia"/>
        </w:rPr>
        <w:t>と</w:t>
      </w:r>
      <w:r w:rsidRPr="00BC31E0">
        <w:rPr>
          <w:rFonts w:ascii="ＭＳ ゴシック" w:eastAsia="ＭＳ ゴシック" w:hAnsi="ＭＳ ゴシック" w:hint="eastAsia"/>
          <w:b/>
          <w:bCs/>
        </w:rPr>
        <w:t>6.4</w:t>
      </w:r>
      <w:r w:rsidRPr="00BC31E0">
        <w:rPr>
          <w:rFonts w:hint="eastAsia"/>
        </w:rPr>
        <w:t>に規定する。自緊処理を行う場合の追加規定を</w:t>
      </w:r>
      <w:r w:rsidRPr="00BC31E0">
        <w:rPr>
          <w:rFonts w:ascii="ＭＳ ゴシック" w:eastAsia="ＭＳ ゴシック" w:hAnsi="ＭＳ ゴシック" w:hint="eastAsia"/>
          <w:b/>
        </w:rPr>
        <w:t>7.5</w:t>
      </w:r>
      <w:r w:rsidRPr="00BC31E0">
        <w:rPr>
          <w:rFonts w:hint="eastAsia"/>
        </w:rPr>
        <w:t>に示す。</w:t>
      </w:r>
    </w:p>
    <w:p w14:paraId="33F34550" w14:textId="77777777" w:rsidR="003B52EB" w:rsidRPr="00BC31E0" w:rsidRDefault="003B52EB" w:rsidP="00E60EFE">
      <w:pPr>
        <w:pStyle w:val="3"/>
        <w:tabs>
          <w:tab w:val="clear" w:pos="284"/>
        </w:tabs>
        <w:ind w:left="794" w:hanging="794"/>
      </w:pPr>
      <w:r w:rsidRPr="00BC31E0">
        <w:rPr>
          <w:rFonts w:hint="eastAsia"/>
        </w:rPr>
        <w:t>理論</w:t>
      </w:r>
    </w:p>
    <w:p w14:paraId="16B6E9C7" w14:textId="77777777" w:rsidR="003B52EB" w:rsidRPr="00BC31E0" w:rsidRDefault="003B52EB" w:rsidP="00747973">
      <w:pPr>
        <w:pStyle w:val="1110"/>
        <w:ind w:firstLine="210"/>
      </w:pPr>
      <w:r w:rsidRPr="00BC31E0">
        <w:rPr>
          <w:rFonts w:hint="eastAsia"/>
        </w:rPr>
        <w:t>自緊の理論は，次の</w:t>
      </w:r>
      <w:r w:rsidRPr="00BC31E0">
        <w:rPr>
          <w:rFonts w:ascii="ＭＳ ゴシック" w:eastAsia="ＭＳ ゴシック" w:hint="eastAsia"/>
          <w:b/>
        </w:rPr>
        <w:t>a)</w:t>
      </w:r>
      <w:r w:rsidRPr="00BC31E0">
        <w:rPr>
          <w:rFonts w:asciiTheme="minorEastAsia" w:eastAsiaTheme="minorEastAsia" w:hAnsiTheme="minorEastAsia" w:hint="eastAsia"/>
        </w:rPr>
        <w:t>及び</w:t>
      </w:r>
      <w:r w:rsidRPr="00BC31E0">
        <w:rPr>
          <w:rFonts w:ascii="ＭＳ ゴシック" w:eastAsia="ＭＳ ゴシック" w:hint="eastAsia"/>
          <w:b/>
        </w:rPr>
        <w:t>b)</w:t>
      </w:r>
      <w:r w:rsidRPr="00BC31E0">
        <w:rPr>
          <w:rFonts w:hint="eastAsia"/>
        </w:rPr>
        <w:t>である。</w:t>
      </w:r>
    </w:p>
    <w:p w14:paraId="0233375C" w14:textId="77777777" w:rsidR="00747973" w:rsidRPr="00BC31E0" w:rsidRDefault="003B52EB" w:rsidP="00736130">
      <w:pPr>
        <w:pStyle w:val="a4"/>
        <w:numPr>
          <w:ilvl w:val="0"/>
          <w:numId w:val="266"/>
        </w:numPr>
        <w:ind w:leftChars="0" w:left="454" w:hanging="454"/>
        <w:rPr>
          <w:b/>
        </w:rPr>
      </w:pPr>
      <w:r w:rsidRPr="00BC31E0">
        <w:rPr>
          <w:rFonts w:hint="eastAsia"/>
        </w:rPr>
        <w:t>自緊理論は，内圧を受ける厚肉円筒の内面における応力が外面の応力よりも高いことに基づいている。内圧の増加とともに，内面で初期降伏し，塑性崩壊に至るまで弾塑性境界は外面方向へと移動する。この過程で圧力を除荷すると，内面には圧縮の周方向残留応力が，外面には引張の周方向残留応力が生ずる。</w:t>
      </w:r>
    </w:p>
    <w:p w14:paraId="01DF8384" w14:textId="77777777" w:rsidR="003B52EB" w:rsidRPr="00BC31E0" w:rsidRDefault="003B52EB" w:rsidP="00736130">
      <w:pPr>
        <w:pStyle w:val="a4"/>
        <w:numPr>
          <w:ilvl w:val="0"/>
          <w:numId w:val="266"/>
        </w:numPr>
        <w:ind w:leftChars="0" w:left="454" w:hanging="454"/>
        <w:rPr>
          <w:b/>
        </w:rPr>
      </w:pPr>
      <w:r w:rsidRPr="00BC31E0">
        <w:rPr>
          <w:rFonts w:ascii="ＭＳ 明朝" w:hint="eastAsia"/>
        </w:rPr>
        <w:t>この周方向の圧縮残留応力は，次の</w:t>
      </w:r>
      <w:r w:rsidR="00B266E6" w:rsidRPr="00BC31E0">
        <w:rPr>
          <w:rFonts w:asciiTheme="majorEastAsia" w:eastAsiaTheme="majorEastAsia" w:hAnsiTheme="majorEastAsia" w:hint="eastAsia"/>
          <w:b/>
        </w:rPr>
        <w:t>1)</w:t>
      </w:r>
      <w:r w:rsidR="00B266E6" w:rsidRPr="00BC31E0">
        <w:rPr>
          <w:rFonts w:ascii="ＭＳ 明朝" w:hint="eastAsia"/>
        </w:rPr>
        <w:t>～</w:t>
      </w:r>
      <w:r w:rsidR="00B266E6" w:rsidRPr="00BC31E0">
        <w:rPr>
          <w:rFonts w:asciiTheme="majorEastAsia" w:eastAsiaTheme="majorEastAsia" w:hAnsiTheme="majorEastAsia" w:hint="eastAsia"/>
          <w:b/>
        </w:rPr>
        <w:t>3)</w:t>
      </w:r>
      <w:r w:rsidR="00B266E6" w:rsidRPr="00BC31E0">
        <w:rPr>
          <w:rFonts w:ascii="ＭＳ 明朝" w:hint="eastAsia"/>
        </w:rPr>
        <w:t>の</w:t>
      </w:r>
      <w:r w:rsidRPr="00BC31E0">
        <w:rPr>
          <w:rFonts w:ascii="ＭＳ 明朝" w:hint="eastAsia"/>
        </w:rPr>
        <w:t>ような効果をもたらす。</w:t>
      </w:r>
    </w:p>
    <w:p w14:paraId="76C5102E" w14:textId="77777777" w:rsidR="00747973" w:rsidRPr="00BC31E0" w:rsidRDefault="003B52EB" w:rsidP="00736130">
      <w:pPr>
        <w:pStyle w:val="a4"/>
        <w:numPr>
          <w:ilvl w:val="0"/>
          <w:numId w:val="267"/>
        </w:numPr>
        <w:ind w:leftChars="0" w:left="738" w:hanging="454"/>
        <w:rPr>
          <w:b/>
        </w:rPr>
      </w:pPr>
      <w:r w:rsidRPr="00BC31E0">
        <w:rPr>
          <w:rFonts w:hint="eastAsia"/>
        </w:rPr>
        <w:t>圧力再負荷時の見かけ上の降伏応力を上昇させる。</w:t>
      </w:r>
    </w:p>
    <w:p w14:paraId="010AB284" w14:textId="77777777" w:rsidR="00747973" w:rsidRPr="00BC31E0" w:rsidRDefault="003B52EB" w:rsidP="00736130">
      <w:pPr>
        <w:pStyle w:val="a4"/>
        <w:numPr>
          <w:ilvl w:val="0"/>
          <w:numId w:val="267"/>
        </w:numPr>
        <w:ind w:leftChars="0" w:left="738" w:hanging="454"/>
        <w:rPr>
          <w:b/>
        </w:rPr>
      </w:pPr>
      <w:r w:rsidRPr="00BC31E0">
        <w:rPr>
          <w:rFonts w:ascii="ＭＳ 明朝" w:hint="eastAsia"/>
        </w:rPr>
        <w:t>疲労評価における平均応力の減少に伴う等価応力振幅の減少とそれによる疲労寿命を増加させる。</w:t>
      </w:r>
    </w:p>
    <w:p w14:paraId="126F1CE4" w14:textId="77777777" w:rsidR="003B52EB" w:rsidRPr="00BC31E0" w:rsidRDefault="003B52EB" w:rsidP="00736130">
      <w:pPr>
        <w:pStyle w:val="a4"/>
        <w:numPr>
          <w:ilvl w:val="0"/>
          <w:numId w:val="267"/>
        </w:numPr>
        <w:ind w:leftChars="0" w:left="738" w:hanging="454"/>
        <w:rPr>
          <w:b/>
        </w:rPr>
      </w:pPr>
      <w:r w:rsidRPr="00BC31E0">
        <w:rPr>
          <w:rFonts w:ascii="ＭＳ 明朝" w:hint="eastAsia"/>
        </w:rPr>
        <w:t>破壊力学評価における応力拡大係数比の減少に伴う亀裂進展速度の減少とそれによる疲</w:t>
      </w:r>
      <w:r w:rsidRPr="00BC31E0">
        <w:rPr>
          <w:rFonts w:ascii="ＭＳ 明朝" w:hint="eastAsia"/>
        </w:rPr>
        <w:lastRenderedPageBreak/>
        <w:t>労又は応力腐食による亀裂進展を遅延させる。</w:t>
      </w:r>
    </w:p>
    <w:p w14:paraId="4BB40D60" w14:textId="77777777" w:rsidR="003B52EB" w:rsidRPr="00BC31E0" w:rsidRDefault="003B52EB" w:rsidP="002F22E6">
      <w:pPr>
        <w:pStyle w:val="3"/>
        <w:tabs>
          <w:tab w:val="clear" w:pos="284"/>
        </w:tabs>
        <w:ind w:left="794" w:hanging="794"/>
      </w:pPr>
      <w:r w:rsidRPr="00BC31E0">
        <w:rPr>
          <w:rFonts w:hint="eastAsia"/>
        </w:rPr>
        <w:t>記号</w:t>
      </w:r>
    </w:p>
    <w:p w14:paraId="55720A35" w14:textId="77777777" w:rsidR="003B52EB" w:rsidRPr="00BC31E0" w:rsidRDefault="00A51873" w:rsidP="00DB50CE">
      <w:pPr>
        <w:tabs>
          <w:tab w:val="left" w:pos="851"/>
        </w:tabs>
        <w:autoSpaceDE w:val="0"/>
        <w:autoSpaceDN w:val="0"/>
        <w:ind w:left="1248" w:hanging="1021"/>
      </w:pPr>
      <m:oMath>
        <m:sSub>
          <m:sSubPr>
            <m:ctrlPr>
              <w:rPr>
                <w:rFonts w:ascii="Cambria Math" w:hAnsi="Cambria Math"/>
                <w:i/>
              </w:rPr>
            </m:ctrlPr>
          </m:sSubPr>
          <m:e>
            <m:r>
              <w:rPr>
                <w:rFonts w:ascii="Cambria Math" w:hAnsi="Cambria Math"/>
              </w:rPr>
              <m:t>A</m:t>
            </m:r>
          </m:e>
          <m:sub>
            <m:r>
              <w:rPr>
                <w:rFonts w:ascii="Cambria Math" w:hAnsi="Cambria Math"/>
              </w:rPr>
              <m:t>CS</m:t>
            </m:r>
          </m:sub>
        </m:sSub>
      </m:oMath>
      <w:r w:rsidR="003B52EB" w:rsidRPr="00BC31E0">
        <w:rPr>
          <w:vertAlign w:val="subscript"/>
        </w:rPr>
        <w:tab/>
      </w:r>
      <w:r w:rsidR="003B52EB" w:rsidRPr="00BC31E0">
        <w:rPr>
          <w:rFonts w:ascii="ＭＳ 明朝" w:hAnsi="ＭＳ 明朝" w:hint="eastAsia"/>
        </w:rPr>
        <w:t xml:space="preserve">：　</w:t>
      </w:r>
      <w:r w:rsidR="003B52EB" w:rsidRPr="00BC31E0">
        <w:rPr>
          <w:rFonts w:hint="eastAsia"/>
        </w:rPr>
        <w:t>長手軸方向に垂直な断面</w:t>
      </w:r>
      <w:r w:rsidR="00236919" w:rsidRPr="00BC31E0">
        <w:rPr>
          <w:rFonts w:hint="eastAsia"/>
        </w:rPr>
        <w:t>における</w:t>
      </w:r>
      <w:r w:rsidR="003B52EB" w:rsidRPr="00BC31E0">
        <w:rPr>
          <w:rFonts w:hint="eastAsia"/>
        </w:rPr>
        <w:t>容器部の断面積</w:t>
      </w:r>
      <w:r w:rsidR="003B52EB" w:rsidRPr="00BC31E0">
        <w:rPr>
          <w:rFonts w:hint="eastAsia"/>
        </w:rPr>
        <w:t xml:space="preserve"> (</w:t>
      </w:r>
      <w:r w:rsidR="003B52EB" w:rsidRPr="00BC31E0">
        <w:rPr>
          <w:rFonts w:ascii="Cambria Math" w:hAnsi="Cambria Math"/>
        </w:rPr>
        <w:t>mm</w:t>
      </w:r>
      <w:r w:rsidR="003B52EB" w:rsidRPr="00BC31E0">
        <w:rPr>
          <w:rFonts w:ascii="Cambria Math" w:hAnsi="Cambria Math"/>
          <w:vertAlign w:val="superscript"/>
        </w:rPr>
        <w:t>2</w:t>
      </w:r>
      <w:r w:rsidR="003B52EB" w:rsidRPr="00BC31E0">
        <w:rPr>
          <w:rFonts w:hint="eastAsia"/>
        </w:rPr>
        <w:t>)</w:t>
      </w:r>
    </w:p>
    <w:p w14:paraId="12FE6BD2" w14:textId="77777777" w:rsidR="003B52EB" w:rsidRPr="00BC31E0" w:rsidRDefault="003B52EB" w:rsidP="00DB50CE">
      <w:pPr>
        <w:tabs>
          <w:tab w:val="left" w:pos="851"/>
        </w:tabs>
        <w:autoSpaceDE w:val="0"/>
        <w:autoSpaceDN w:val="0"/>
        <w:ind w:left="1248" w:hanging="1021"/>
      </w:pPr>
      <m:oMath>
        <m:r>
          <w:rPr>
            <w:rFonts w:ascii="Cambria Math" w:hAnsi="Cambria Math"/>
          </w:rPr>
          <m:t>D</m:t>
        </m:r>
      </m:oMath>
      <w:r w:rsidRPr="00BC31E0">
        <w:tab/>
      </w:r>
      <w:r w:rsidRPr="00BC31E0">
        <w:rPr>
          <w:rFonts w:ascii="ＭＳ 明朝" w:hAnsi="ＭＳ 明朝" w:hint="eastAsia"/>
        </w:rPr>
        <w:t xml:space="preserve">：　</w:t>
      </w:r>
      <w:r w:rsidRPr="00BC31E0">
        <w:rPr>
          <w:rFonts w:hint="eastAsia"/>
        </w:rPr>
        <w:t>任意半径方向位置の円筒胴の直径</w:t>
      </w:r>
      <w:r w:rsidRPr="00BC31E0">
        <w:rPr>
          <w:rFonts w:hint="eastAsia"/>
        </w:rPr>
        <w:t xml:space="preserve"> (</w:t>
      </w:r>
      <w:r w:rsidRPr="00BC31E0">
        <w:rPr>
          <w:rFonts w:ascii="Cambria Math" w:hAnsi="Cambria Math"/>
        </w:rPr>
        <w:t>mm</w:t>
      </w:r>
      <w:r w:rsidRPr="00BC31E0">
        <w:rPr>
          <w:rFonts w:hint="eastAsia"/>
        </w:rPr>
        <w:t>)</w:t>
      </w:r>
    </w:p>
    <w:p w14:paraId="457B2597" w14:textId="77777777" w:rsidR="003B52EB" w:rsidRPr="00BC31E0" w:rsidRDefault="00A51873" w:rsidP="00DB50CE">
      <w:pPr>
        <w:tabs>
          <w:tab w:val="left" w:pos="851"/>
        </w:tabs>
        <w:autoSpaceDE w:val="0"/>
        <w:autoSpaceDN w:val="0"/>
        <w:ind w:left="1248" w:hanging="1021"/>
      </w:pPr>
      <m:oMath>
        <m:sSub>
          <m:sSubPr>
            <m:ctrlPr>
              <w:rPr>
                <w:rFonts w:ascii="Cambria Math" w:hAnsi="Cambria Math"/>
                <w:i/>
              </w:rPr>
            </m:ctrlPr>
          </m:sSubPr>
          <m:e>
            <m:r>
              <w:rPr>
                <w:rFonts w:ascii="Cambria Math" w:hAnsi="Cambria Math"/>
              </w:rPr>
              <m:t>D</m:t>
            </m:r>
          </m:e>
          <m:sub>
            <m:r>
              <w:rPr>
                <w:rFonts w:ascii="Cambria Math" w:hAnsi="Cambria Math"/>
              </w:rPr>
              <m:t>I</m:t>
            </m:r>
          </m:sub>
        </m:sSub>
      </m:oMath>
      <w:r w:rsidR="003B52EB" w:rsidRPr="00BC31E0">
        <w:rPr>
          <w:vertAlign w:val="subscript"/>
        </w:rPr>
        <w:tab/>
      </w:r>
      <w:r w:rsidR="003B52EB" w:rsidRPr="00BC31E0">
        <w:rPr>
          <w:rFonts w:ascii="ＭＳ 明朝" w:hAnsi="ＭＳ 明朝" w:hint="eastAsia"/>
        </w:rPr>
        <w:t xml:space="preserve">：　</w:t>
      </w:r>
      <w:r w:rsidR="003B52EB" w:rsidRPr="00BC31E0">
        <w:rPr>
          <w:rFonts w:hint="eastAsia"/>
        </w:rPr>
        <w:t>内表面</w:t>
      </w:r>
      <w:r w:rsidR="00236919" w:rsidRPr="00BC31E0">
        <w:rPr>
          <w:rFonts w:hint="eastAsia"/>
        </w:rPr>
        <w:t>における</w:t>
      </w:r>
      <w:r w:rsidR="003B52EB" w:rsidRPr="00BC31E0">
        <w:rPr>
          <w:rFonts w:hint="eastAsia"/>
        </w:rPr>
        <w:t>直径</w:t>
      </w:r>
      <w:r w:rsidR="003B52EB" w:rsidRPr="00BC31E0">
        <w:rPr>
          <w:rFonts w:hint="eastAsia"/>
        </w:rPr>
        <w:t xml:space="preserve"> (</w:t>
      </w:r>
      <w:r w:rsidR="003B52EB" w:rsidRPr="00BC31E0">
        <w:rPr>
          <w:rFonts w:ascii="Cambria Math" w:hAnsi="Cambria Math"/>
        </w:rPr>
        <w:t>mm</w:t>
      </w:r>
      <w:r w:rsidR="003B52EB" w:rsidRPr="00BC31E0">
        <w:rPr>
          <w:rFonts w:hint="eastAsia"/>
        </w:rPr>
        <w:t>)</w:t>
      </w:r>
    </w:p>
    <w:p w14:paraId="205DE494" w14:textId="77777777" w:rsidR="003B52EB" w:rsidRPr="00BC31E0" w:rsidRDefault="00A51873" w:rsidP="00DB50CE">
      <w:pPr>
        <w:tabs>
          <w:tab w:val="left" w:pos="851"/>
        </w:tabs>
        <w:autoSpaceDE w:val="0"/>
        <w:autoSpaceDN w:val="0"/>
        <w:ind w:left="1248" w:hanging="1021"/>
      </w:pPr>
      <m:oMath>
        <m:sSub>
          <m:sSubPr>
            <m:ctrlPr>
              <w:rPr>
                <w:rFonts w:ascii="Cambria Math" w:hAnsi="Cambria Math"/>
                <w:i/>
              </w:rPr>
            </m:ctrlPr>
          </m:sSubPr>
          <m:e>
            <m:r>
              <w:rPr>
                <w:rFonts w:ascii="Cambria Math" w:hAnsi="Cambria Math"/>
              </w:rPr>
              <m:t>D</m:t>
            </m:r>
          </m:e>
          <m:sub>
            <m:r>
              <w:rPr>
                <w:rFonts w:ascii="Cambria Math" w:hAnsi="Cambria Math"/>
              </w:rPr>
              <m:t>O</m:t>
            </m:r>
          </m:sub>
        </m:sSub>
      </m:oMath>
      <w:r w:rsidR="003B52EB" w:rsidRPr="00BC31E0">
        <w:rPr>
          <w:vertAlign w:val="subscript"/>
        </w:rPr>
        <w:tab/>
      </w:r>
      <w:r w:rsidR="003B52EB" w:rsidRPr="00BC31E0">
        <w:rPr>
          <w:rFonts w:ascii="ＭＳ 明朝" w:hAnsi="ＭＳ 明朝" w:hint="eastAsia"/>
        </w:rPr>
        <w:t xml:space="preserve">：　</w:t>
      </w:r>
      <w:r w:rsidR="003B52EB" w:rsidRPr="00BC31E0">
        <w:rPr>
          <w:rFonts w:hint="eastAsia"/>
        </w:rPr>
        <w:t>外表面</w:t>
      </w:r>
      <w:r w:rsidR="00236919" w:rsidRPr="00BC31E0">
        <w:rPr>
          <w:rFonts w:hint="eastAsia"/>
        </w:rPr>
        <w:t>における</w:t>
      </w:r>
      <w:r w:rsidR="003B52EB" w:rsidRPr="00BC31E0">
        <w:rPr>
          <w:rFonts w:hint="eastAsia"/>
        </w:rPr>
        <w:t>直径</w:t>
      </w:r>
      <w:r w:rsidR="003B52EB" w:rsidRPr="00BC31E0">
        <w:rPr>
          <w:rFonts w:hint="eastAsia"/>
        </w:rPr>
        <w:t xml:space="preserve"> (</w:t>
      </w:r>
      <w:r w:rsidR="003B52EB" w:rsidRPr="00BC31E0">
        <w:rPr>
          <w:rFonts w:ascii="Cambria Math" w:hAnsi="Cambria Math"/>
        </w:rPr>
        <w:t>mm</w:t>
      </w:r>
      <w:r w:rsidR="003B52EB" w:rsidRPr="00BC31E0">
        <w:rPr>
          <w:rFonts w:hint="eastAsia"/>
        </w:rPr>
        <w:t>)</w:t>
      </w:r>
    </w:p>
    <w:p w14:paraId="4D16C99F" w14:textId="77777777" w:rsidR="003B52EB" w:rsidRPr="00BC31E0" w:rsidRDefault="00A51873" w:rsidP="00DB50CE">
      <w:pPr>
        <w:tabs>
          <w:tab w:val="left" w:pos="851"/>
        </w:tabs>
        <w:autoSpaceDE w:val="0"/>
        <w:autoSpaceDN w:val="0"/>
        <w:ind w:left="1248" w:hanging="1021"/>
      </w:pPr>
      <m:oMath>
        <m:sSub>
          <m:sSubPr>
            <m:ctrlPr>
              <w:rPr>
                <w:rFonts w:ascii="Cambria Math" w:hAnsi="Cambria Math"/>
                <w:i/>
              </w:rPr>
            </m:ctrlPr>
          </m:sSubPr>
          <m:e>
            <m:r>
              <w:rPr>
                <w:rFonts w:ascii="Cambria Math" w:hAnsi="Cambria Math"/>
              </w:rPr>
              <m:t>D</m:t>
            </m:r>
          </m:e>
          <m:sub>
            <m:r>
              <w:rPr>
                <w:rFonts w:ascii="Cambria Math" w:hAnsi="Cambria Math"/>
              </w:rPr>
              <m:t>P</m:t>
            </m:r>
          </m:sub>
        </m:sSub>
      </m:oMath>
      <w:r w:rsidR="003B52EB" w:rsidRPr="00BC31E0">
        <w:rPr>
          <w:vertAlign w:val="subscript"/>
        </w:rPr>
        <w:tab/>
      </w:r>
      <w:r w:rsidR="003B52EB" w:rsidRPr="00BC31E0">
        <w:rPr>
          <w:rFonts w:ascii="ＭＳ 明朝" w:hAnsi="ＭＳ 明朝" w:hint="eastAsia"/>
        </w:rPr>
        <w:t xml:space="preserve">：　</w:t>
      </w:r>
      <w:r w:rsidR="003B52EB" w:rsidRPr="00BC31E0">
        <w:rPr>
          <w:rFonts w:hint="eastAsia"/>
        </w:rPr>
        <w:t>自緊圧力開放前の弾塑性境界直径</w:t>
      </w:r>
      <w:r w:rsidR="003B52EB" w:rsidRPr="00BC31E0">
        <w:rPr>
          <w:rFonts w:hint="eastAsia"/>
        </w:rPr>
        <w:t xml:space="preserve"> (</w:t>
      </w:r>
      <w:r w:rsidR="003B52EB" w:rsidRPr="00BC31E0">
        <w:rPr>
          <w:rFonts w:ascii="Cambria Math" w:hAnsi="Cambria Math"/>
        </w:rPr>
        <w:t>mm</w:t>
      </w:r>
      <w:r w:rsidR="003B52EB" w:rsidRPr="00BC31E0">
        <w:rPr>
          <w:rFonts w:hint="eastAsia"/>
        </w:rPr>
        <w:t>)</w:t>
      </w:r>
    </w:p>
    <w:p w14:paraId="7E41BA04" w14:textId="77777777" w:rsidR="003B52EB" w:rsidRPr="00BC31E0" w:rsidRDefault="00A51873" w:rsidP="00DB50CE">
      <w:pPr>
        <w:tabs>
          <w:tab w:val="left" w:pos="851"/>
        </w:tabs>
        <w:autoSpaceDE w:val="0"/>
        <w:autoSpaceDN w:val="0"/>
        <w:ind w:left="1248" w:hanging="1021"/>
      </w:pPr>
      <m:oMath>
        <m:sSub>
          <m:sSubPr>
            <m:ctrlPr>
              <w:rPr>
                <w:rFonts w:ascii="Cambria Math" w:hAnsi="Cambria Math"/>
                <w:i/>
              </w:rPr>
            </m:ctrlPr>
          </m:sSubPr>
          <m:e>
            <m:r>
              <w:rPr>
                <w:rFonts w:ascii="Cambria Math" w:hAnsi="Cambria Math"/>
              </w:rPr>
              <m:t>D</m:t>
            </m:r>
          </m:e>
          <m:sub>
            <m:r>
              <w:rPr>
                <w:rFonts w:ascii="Cambria Math" w:hAnsi="Cambria Math"/>
              </w:rPr>
              <m:t>Z</m:t>
            </m:r>
          </m:sub>
        </m:sSub>
      </m:oMath>
      <w:r w:rsidR="003B52EB" w:rsidRPr="00BC31E0">
        <w:rPr>
          <w:vertAlign w:val="subscript"/>
        </w:rPr>
        <w:t xml:space="preserve"> </w:t>
      </w:r>
      <w:r w:rsidR="003B52EB" w:rsidRPr="00BC31E0">
        <w:rPr>
          <w:vertAlign w:val="subscript"/>
        </w:rPr>
        <w:tab/>
      </w:r>
      <w:r w:rsidR="003B52EB" w:rsidRPr="00BC31E0">
        <w:rPr>
          <w:rFonts w:ascii="ＭＳ 明朝" w:hAnsi="ＭＳ 明朝" w:hint="eastAsia"/>
        </w:rPr>
        <w:t xml:space="preserve">：　</w:t>
      </w:r>
      <m:oMath>
        <m:sSub>
          <m:sSubPr>
            <m:ctrlPr>
              <w:rPr>
                <w:rFonts w:ascii="Cambria Math" w:hAnsi="Cambria Math"/>
                <w:i/>
              </w:rPr>
            </m:ctrlPr>
          </m:sSubPr>
          <m:e>
            <m:r>
              <w:rPr>
                <w:rFonts w:ascii="Cambria Math" w:hAnsi="Cambria Math"/>
              </w:rPr>
              <m:t>σ</m:t>
            </m:r>
          </m:e>
          <m:sub>
            <m:r>
              <w:rPr>
                <w:rFonts w:ascii="Cambria Math" w:hAnsi="Cambria Math"/>
              </w:rPr>
              <m:t>tRA</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rRA</m:t>
            </m:r>
          </m:sub>
        </m:sSub>
        <m:r>
          <w:rPr>
            <w:rFonts w:ascii="Cambria Math" w:hAnsi="Cambria Math"/>
          </w:rPr>
          <m:t xml:space="preserve"> </m:t>
        </m:r>
      </m:oMath>
      <w:r w:rsidR="003B52EB" w:rsidRPr="00BC31E0">
        <w:rPr>
          <w:rFonts w:hint="eastAsia"/>
        </w:rPr>
        <w:t>となる直径</w:t>
      </w:r>
      <w:r w:rsidR="003B52EB" w:rsidRPr="00BC31E0">
        <w:rPr>
          <w:rFonts w:hint="eastAsia"/>
        </w:rPr>
        <w:t xml:space="preserve"> (</w:t>
      </w:r>
      <w:r w:rsidR="003B52EB" w:rsidRPr="00BC31E0">
        <w:rPr>
          <w:rFonts w:ascii="Cambria Math" w:hAnsi="Cambria Math"/>
        </w:rPr>
        <w:t>mm</w:t>
      </w:r>
      <w:r w:rsidR="003B52EB" w:rsidRPr="00BC31E0">
        <w:rPr>
          <w:rFonts w:hint="eastAsia"/>
        </w:rPr>
        <w:t>)</w:t>
      </w:r>
    </w:p>
    <w:p w14:paraId="3A8A22D1" w14:textId="77777777" w:rsidR="003B52EB" w:rsidRPr="00BC31E0" w:rsidRDefault="003B52EB" w:rsidP="00DB50CE">
      <w:pPr>
        <w:tabs>
          <w:tab w:val="left" w:pos="851"/>
        </w:tabs>
        <w:autoSpaceDE w:val="0"/>
        <w:autoSpaceDN w:val="0"/>
        <w:ind w:left="1248" w:hanging="1021"/>
      </w:pPr>
      <m:oMath>
        <m:r>
          <w:rPr>
            <w:rFonts w:ascii="Cambria Math" w:hAnsi="Cambria Math"/>
          </w:rPr>
          <m:t>E</m:t>
        </m:r>
      </m:oMath>
      <w:r w:rsidRPr="00BC31E0">
        <w:tab/>
      </w:r>
      <w:r w:rsidRPr="00BC31E0">
        <w:rPr>
          <w:rFonts w:ascii="ＭＳ 明朝" w:hAnsi="ＭＳ 明朝" w:hint="eastAsia"/>
        </w:rPr>
        <w:t xml:space="preserve">：　</w:t>
      </w:r>
      <w:r w:rsidRPr="00BC31E0">
        <w:rPr>
          <w:rFonts w:hint="eastAsia"/>
        </w:rPr>
        <w:t>縦弾性係数</w:t>
      </w:r>
      <w:r w:rsidRPr="00BC31E0">
        <w:rPr>
          <w:rFonts w:hint="eastAsia"/>
        </w:rPr>
        <w:t xml:space="preserve"> (</w:t>
      </w:r>
      <w:r w:rsidRPr="00BC31E0">
        <w:rPr>
          <w:rFonts w:ascii="Cambria Math" w:hAnsi="Cambria Math"/>
        </w:rPr>
        <w:t>MPa</w:t>
      </w:r>
      <w:r w:rsidRPr="00BC31E0">
        <w:rPr>
          <w:rFonts w:hint="eastAsia"/>
        </w:rPr>
        <w:t>)</w:t>
      </w:r>
    </w:p>
    <w:p w14:paraId="60666D09" w14:textId="77777777" w:rsidR="003B52EB" w:rsidRPr="00BC31E0" w:rsidRDefault="00A51873" w:rsidP="00DB50CE">
      <w:pPr>
        <w:tabs>
          <w:tab w:val="left" w:pos="851"/>
        </w:tabs>
        <w:autoSpaceDE w:val="0"/>
        <w:autoSpaceDN w:val="0"/>
        <w:ind w:left="1248" w:hanging="1021"/>
      </w:pPr>
      <m:oMath>
        <m:sSub>
          <m:sSubPr>
            <m:ctrlPr>
              <w:rPr>
                <w:rFonts w:ascii="Cambria Math" w:hAnsi="Cambria Math"/>
                <w:i/>
              </w:rPr>
            </m:ctrlPr>
          </m:sSubPr>
          <m:e>
            <m:r>
              <w:rPr>
                <w:rFonts w:ascii="Cambria Math" w:hAnsi="Cambria Math"/>
              </w:rPr>
              <m:t>F</m:t>
            </m:r>
          </m:e>
          <m:sub>
            <m:r>
              <w:rPr>
                <w:rFonts w:ascii="Cambria Math" w:hAnsi="Cambria Math"/>
              </w:rPr>
              <m:t>b</m:t>
            </m:r>
          </m:sub>
        </m:sSub>
      </m:oMath>
      <w:r w:rsidR="003B52EB" w:rsidRPr="00BC31E0">
        <w:rPr>
          <w:vertAlign w:val="subscript"/>
        </w:rPr>
        <w:tab/>
      </w:r>
      <w:r w:rsidR="003B52EB" w:rsidRPr="00BC31E0">
        <w:rPr>
          <w:rFonts w:ascii="ＭＳ 明朝" w:hAnsi="ＭＳ 明朝" w:hint="eastAsia"/>
        </w:rPr>
        <w:t xml:space="preserve">：　</w:t>
      </w:r>
      <m:oMath>
        <m:sSub>
          <m:sSubPr>
            <m:ctrlPr>
              <w:rPr>
                <w:rFonts w:ascii="Cambria Math" w:hAnsi="Cambria Math"/>
                <w:i/>
              </w:rPr>
            </m:ctrlPr>
          </m:sSubPr>
          <m:e>
            <m:r>
              <w:rPr>
                <w:rFonts w:ascii="Cambria Math" w:hAnsi="Cambria Math"/>
              </w:rPr>
              <m:t>D</m:t>
            </m:r>
          </m:e>
          <m:sub>
            <m:r>
              <w:rPr>
                <w:rFonts w:ascii="Cambria Math" w:hAnsi="Cambria Math"/>
              </w:rPr>
              <m:t>Z</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 xml:space="preserve">P </m:t>
            </m:r>
          </m:sub>
        </m:sSub>
      </m:oMath>
      <w:r w:rsidR="003B52EB" w:rsidRPr="00BC31E0">
        <w:rPr>
          <w:rFonts w:hint="eastAsia"/>
        </w:rPr>
        <w:t>におけるバウシンガー効果に対する補正係数</w:t>
      </w:r>
    </w:p>
    <w:p w14:paraId="5471EC8D" w14:textId="77777777" w:rsidR="003B52EB" w:rsidRPr="00BC31E0" w:rsidRDefault="00A51873" w:rsidP="00DB50CE">
      <w:pPr>
        <w:tabs>
          <w:tab w:val="left" w:pos="851"/>
        </w:tabs>
        <w:autoSpaceDE w:val="0"/>
        <w:autoSpaceDN w:val="0"/>
        <w:ind w:left="1248" w:hanging="1021"/>
      </w:pPr>
      <m:oMath>
        <m:sSub>
          <m:sSubPr>
            <m:ctrlPr>
              <w:rPr>
                <w:rFonts w:ascii="Cambria Math" w:hAnsi="Cambria Math"/>
                <w:i/>
              </w:rPr>
            </m:ctrlPr>
          </m:sSubPr>
          <m:e>
            <m:r>
              <w:rPr>
                <w:rFonts w:ascii="Cambria Math" w:hAnsi="Cambria Math"/>
              </w:rPr>
              <m:t>F</m:t>
            </m:r>
          </m:e>
          <m:sub>
            <m:r>
              <w:rPr>
                <w:rFonts w:ascii="Cambria Math" w:hAnsi="Cambria Math"/>
              </w:rPr>
              <m:t>l</m:t>
            </m:r>
          </m:sub>
        </m:sSub>
      </m:oMath>
      <w:r w:rsidR="003B52EB" w:rsidRPr="00BC31E0">
        <w:rPr>
          <w:rFonts w:hint="eastAsia"/>
        </w:rPr>
        <w:tab/>
      </w:r>
      <w:r w:rsidR="003B52EB" w:rsidRPr="00BC31E0">
        <w:rPr>
          <w:rFonts w:ascii="ＭＳ 明朝" w:hAnsi="ＭＳ 明朝" w:hint="eastAsia"/>
        </w:rPr>
        <w:t>：　最大自緊圧力時における円筒の</w:t>
      </w:r>
      <w:r w:rsidR="003B52EB" w:rsidRPr="00BC31E0">
        <w:rPr>
          <w:rFonts w:hint="eastAsia"/>
        </w:rPr>
        <w:t>軸方向荷重，ふた板に作用する荷重がフレームのような外部機器によって支持される場合には</w:t>
      </w:r>
      <m:oMath>
        <m:sSub>
          <m:sSubPr>
            <m:ctrlPr>
              <w:rPr>
                <w:rFonts w:ascii="Cambria Math" w:hAnsi="Cambria Math"/>
                <w:i/>
              </w:rPr>
            </m:ctrlPr>
          </m:sSubPr>
          <m:e>
            <m:r>
              <w:rPr>
                <w:rFonts w:ascii="Cambria Math" w:hAnsi="Cambria Math"/>
              </w:rPr>
              <m:t xml:space="preserve"> F</m:t>
            </m:r>
          </m:e>
          <m:sub>
            <m:r>
              <w:rPr>
                <w:rFonts w:ascii="Cambria Math" w:hAnsi="Cambria Math"/>
              </w:rPr>
              <m:t>l</m:t>
            </m:r>
          </m:sub>
        </m:sSub>
        <m:r>
          <w:rPr>
            <w:rFonts w:ascii="Cambria Math" w:hAnsi="Cambria Math"/>
          </w:rPr>
          <m:t xml:space="preserve">=0 </m:t>
        </m:r>
      </m:oMath>
      <w:r w:rsidR="003B52EB" w:rsidRPr="00BC31E0">
        <w:rPr>
          <w:rFonts w:hint="eastAsia"/>
        </w:rPr>
        <w:t xml:space="preserve"> (</w:t>
      </w:r>
      <w:r w:rsidR="003B52EB" w:rsidRPr="00BC31E0">
        <w:rPr>
          <w:rFonts w:ascii="Cambria Math" w:hAnsi="Cambria Math"/>
        </w:rPr>
        <w:t>N</w:t>
      </w:r>
      <w:r w:rsidR="003B52EB" w:rsidRPr="00BC31E0">
        <w:rPr>
          <w:rFonts w:hint="eastAsia"/>
        </w:rPr>
        <w:t>)</w:t>
      </w:r>
    </w:p>
    <w:p w14:paraId="318CC7D9" w14:textId="77777777" w:rsidR="003B52EB" w:rsidRPr="00BC31E0" w:rsidRDefault="003B52EB" w:rsidP="00DB50CE">
      <w:pPr>
        <w:tabs>
          <w:tab w:val="left" w:pos="851"/>
        </w:tabs>
        <w:autoSpaceDE w:val="0"/>
        <w:autoSpaceDN w:val="0"/>
        <w:ind w:left="1248" w:hanging="1021"/>
        <w:rPr>
          <w:position w:val="-12"/>
        </w:rPr>
      </w:pPr>
      <m:oMath>
        <m:r>
          <w:rPr>
            <w:rFonts w:ascii="Cambria Math" w:hAnsi="Cambria Math"/>
          </w:rPr>
          <m:t>M</m:t>
        </m:r>
      </m:oMath>
      <w:r w:rsidRPr="00BC31E0">
        <w:rPr>
          <w:rFonts w:hint="eastAsia"/>
          <w:position w:val="-4"/>
        </w:rPr>
        <w:tab/>
      </w:r>
      <w:r w:rsidRPr="00BC31E0">
        <w:rPr>
          <w:rFonts w:hint="eastAsia"/>
          <w:position w:val="-4"/>
        </w:rPr>
        <w:t>：　塑性化率</w:t>
      </w:r>
      <w:r w:rsidRPr="00BC31E0">
        <w:rPr>
          <w:rFonts w:hint="eastAsia"/>
          <w:position w:val="-4"/>
        </w:rPr>
        <w:t xml:space="preserve"> </w:t>
      </w:r>
      <m:oMath>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e>
            </m:d>
          </m:den>
        </m:f>
      </m:oMath>
    </w:p>
    <w:p w14:paraId="00DB9585" w14:textId="77777777" w:rsidR="003B52EB" w:rsidRPr="00BC31E0" w:rsidRDefault="00A51873" w:rsidP="00DB50CE">
      <w:pPr>
        <w:tabs>
          <w:tab w:val="left" w:pos="851"/>
        </w:tabs>
        <w:autoSpaceDE w:val="0"/>
        <w:autoSpaceDN w:val="0"/>
        <w:ind w:left="1248" w:hanging="1021"/>
      </w:pPr>
      <m:oMath>
        <m:sSub>
          <m:sSubPr>
            <m:ctrlPr>
              <w:rPr>
                <w:rFonts w:ascii="Cambria Math" w:hAnsi="Cambria Math"/>
                <w:i/>
              </w:rPr>
            </m:ctrlPr>
          </m:sSubPr>
          <m:e>
            <m:r>
              <w:rPr>
                <w:rFonts w:ascii="Cambria Math" w:hAnsi="Cambria Math"/>
              </w:rPr>
              <m:t>P</m:t>
            </m:r>
          </m:e>
          <m:sub>
            <m:r>
              <w:rPr>
                <w:rFonts w:ascii="Cambria Math" w:hAnsi="Cambria Math"/>
              </w:rPr>
              <m:t>A</m:t>
            </m:r>
          </m:sub>
        </m:sSub>
      </m:oMath>
      <w:r w:rsidR="003B52EB" w:rsidRPr="00BC31E0">
        <w:rPr>
          <w:vertAlign w:val="subscript"/>
        </w:rPr>
        <w:tab/>
      </w:r>
      <w:r w:rsidR="003B52EB" w:rsidRPr="00BC31E0">
        <w:rPr>
          <w:rFonts w:ascii="ＭＳ 明朝" w:hAnsi="ＭＳ 明朝" w:hint="eastAsia"/>
        </w:rPr>
        <w:t xml:space="preserve">：　</w:t>
      </w:r>
      <w:r w:rsidR="003B52EB" w:rsidRPr="00BC31E0">
        <w:rPr>
          <w:rFonts w:hint="eastAsia"/>
        </w:rPr>
        <w:t>最大自緊圧力</w:t>
      </w:r>
      <w:r w:rsidR="003B52EB" w:rsidRPr="00BC31E0">
        <w:rPr>
          <w:rFonts w:hint="eastAsia"/>
        </w:rPr>
        <w:t xml:space="preserve"> (</w:t>
      </w:r>
      <w:r w:rsidR="003B52EB" w:rsidRPr="00BC31E0">
        <w:rPr>
          <w:rFonts w:ascii="Cambria Math" w:hAnsi="Cambria Math"/>
        </w:rPr>
        <w:t>MPa</w:t>
      </w:r>
      <w:r w:rsidR="003B52EB" w:rsidRPr="00BC31E0">
        <w:rPr>
          <w:rFonts w:hint="eastAsia"/>
        </w:rPr>
        <w:t>)</w:t>
      </w:r>
    </w:p>
    <w:p w14:paraId="0303BFF3" w14:textId="77777777" w:rsidR="003B52EB" w:rsidRPr="00BC31E0" w:rsidRDefault="00A51873" w:rsidP="00DB50CE">
      <w:pPr>
        <w:tabs>
          <w:tab w:val="left" w:pos="851"/>
        </w:tabs>
        <w:autoSpaceDE w:val="0"/>
        <w:autoSpaceDN w:val="0"/>
        <w:ind w:left="1248" w:hanging="1021"/>
        <w:rPr>
          <w:iCs/>
        </w:rPr>
      </w:pPr>
      <m:oMath>
        <m:sSub>
          <m:sSubPr>
            <m:ctrlPr>
              <w:rPr>
                <w:rFonts w:ascii="Cambria Math" w:hAnsi="Cambria Math"/>
                <w:i/>
              </w:rPr>
            </m:ctrlPr>
          </m:sSubPr>
          <m:e>
            <m:r>
              <w:rPr>
                <w:rFonts w:ascii="Cambria Math" w:hAnsi="Cambria Math"/>
              </w:rPr>
              <m:t>S</m:t>
            </m:r>
          </m:e>
          <m:sub>
            <m:r>
              <w:rPr>
                <w:rFonts w:ascii="Cambria Math" w:hAnsi="Cambria Math"/>
              </w:rPr>
              <m:t>y</m:t>
            </m:r>
          </m:sub>
        </m:sSub>
      </m:oMath>
      <w:r w:rsidR="003B52EB" w:rsidRPr="00BC31E0">
        <w:rPr>
          <w:rFonts w:hint="eastAsia"/>
          <w:sz w:val="12"/>
        </w:rPr>
        <w:tab/>
      </w:r>
      <w:r w:rsidR="003B52EB" w:rsidRPr="00BC31E0">
        <w:rPr>
          <w:rFonts w:ascii="ＭＳ 明朝" w:hAnsi="ＭＳ 明朝" w:hint="eastAsia"/>
        </w:rPr>
        <w:t xml:space="preserve">：　</w:t>
      </w:r>
      <w:r w:rsidR="003B52EB" w:rsidRPr="00BC31E0">
        <w:rPr>
          <w:rFonts w:hint="eastAsia"/>
          <w:iCs/>
        </w:rPr>
        <w:t>自緊温度における降伏強さの測定値</w:t>
      </w:r>
      <w:r w:rsidR="003B52EB" w:rsidRPr="00BC31E0">
        <w:rPr>
          <w:rFonts w:hint="eastAsia"/>
          <w:iCs/>
        </w:rPr>
        <w:t xml:space="preserve"> (</w:t>
      </w:r>
      <w:r w:rsidR="003B52EB" w:rsidRPr="00BC31E0">
        <w:rPr>
          <w:rFonts w:ascii="Cambria Math" w:hAnsi="Cambria Math"/>
        </w:rPr>
        <w:t>MPa</w:t>
      </w:r>
      <w:r w:rsidR="003B52EB" w:rsidRPr="00BC31E0">
        <w:rPr>
          <w:rFonts w:hint="eastAsia"/>
        </w:rPr>
        <w:t>)</w:t>
      </w:r>
    </w:p>
    <w:p w14:paraId="41E77C55" w14:textId="77777777" w:rsidR="003B52EB" w:rsidRPr="00BC31E0" w:rsidRDefault="003B52EB" w:rsidP="00DB50CE">
      <w:pPr>
        <w:tabs>
          <w:tab w:val="left" w:pos="851"/>
        </w:tabs>
        <w:autoSpaceDE w:val="0"/>
        <w:autoSpaceDN w:val="0"/>
        <w:ind w:left="1248" w:hanging="1021"/>
        <w:rPr>
          <w:vertAlign w:val="subscript"/>
        </w:rPr>
      </w:pPr>
      <m:oMath>
        <m:r>
          <w:rPr>
            <w:rFonts w:ascii="Cambria Math" w:hAnsi="Cambria Math"/>
          </w:rPr>
          <m:t>Y</m:t>
        </m:r>
      </m:oMath>
      <w:r w:rsidRPr="00BC31E0">
        <w:tab/>
      </w:r>
      <w:r w:rsidRPr="00BC31E0">
        <w:rPr>
          <w:rFonts w:ascii="ＭＳ 明朝" w:hAnsi="ＭＳ 明朝" w:hint="eastAsia"/>
        </w:rPr>
        <w:t xml:space="preserve">：　</w:t>
      </w:r>
      <w:r w:rsidRPr="00BC31E0">
        <w:rPr>
          <w:rFonts w:hint="eastAsia"/>
        </w:rPr>
        <w:t>内外径比</w:t>
      </w:r>
      <w:r w:rsidRPr="00BC31E0">
        <w:rPr>
          <w:rFonts w:hint="eastAsia"/>
        </w:rPr>
        <w:t xml:space="preserve"> </w:t>
      </w:r>
      <m:oMath>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O</m:t>
                    </m:r>
                  </m:sub>
                </m:sSub>
              </m:num>
              <m:den>
                <m:sSub>
                  <m:sSubPr>
                    <m:ctrlPr>
                      <w:rPr>
                        <w:rFonts w:ascii="Cambria Math" w:hAnsi="Cambria Math"/>
                        <w:i/>
                      </w:rPr>
                    </m:ctrlPr>
                  </m:sSubPr>
                  <m:e>
                    <m:r>
                      <w:rPr>
                        <w:rFonts w:ascii="Cambria Math" w:hAnsi="Cambria Math"/>
                      </w:rPr>
                      <m:t>D</m:t>
                    </m:r>
                  </m:e>
                  <m:sub>
                    <m:r>
                      <w:rPr>
                        <w:rFonts w:ascii="Cambria Math" w:hAnsi="Cambria Math"/>
                      </w:rPr>
                      <m:t>I</m:t>
                    </m:r>
                  </m:sub>
                </m:sSub>
              </m:den>
            </m:f>
          </m:e>
        </m:d>
      </m:oMath>
    </w:p>
    <w:p w14:paraId="6899B0EA" w14:textId="77777777" w:rsidR="003B52EB" w:rsidRPr="00BC31E0" w:rsidRDefault="00A51873" w:rsidP="00DB50CE">
      <w:pPr>
        <w:tabs>
          <w:tab w:val="left" w:pos="851"/>
        </w:tabs>
        <w:autoSpaceDE w:val="0"/>
        <w:autoSpaceDN w:val="0"/>
        <w:ind w:left="1276" w:hanging="1049"/>
      </w:pPr>
      <m:oMath>
        <m:sSub>
          <m:sSubPr>
            <m:ctrlPr>
              <w:rPr>
                <w:rFonts w:ascii="Cambria Math" w:hAnsi="Cambria Math"/>
                <w:i/>
              </w:rPr>
            </m:ctrlPr>
          </m:sSubPr>
          <m:e>
            <m:r>
              <w:rPr>
                <w:rFonts w:ascii="Cambria Math" w:hAnsi="Cambria Math"/>
              </w:rPr>
              <m:t>ε</m:t>
            </m:r>
          </m:e>
          <m:sub>
            <m:r>
              <w:rPr>
                <w:rFonts w:ascii="Cambria Math" w:hAnsi="Cambria Math"/>
              </w:rPr>
              <m:t>m</m:t>
            </m:r>
          </m:sub>
        </m:sSub>
      </m:oMath>
      <w:r w:rsidR="003B52EB" w:rsidRPr="00BC31E0">
        <w:rPr>
          <w:rFonts w:hint="eastAsia"/>
        </w:rPr>
        <w:tab/>
      </w:r>
      <w:r w:rsidR="003B52EB" w:rsidRPr="00BC31E0">
        <w:rPr>
          <w:rFonts w:ascii="ＭＳ 明朝" w:hAnsi="ＭＳ 明朝" w:hint="eastAsia"/>
        </w:rPr>
        <w:t xml:space="preserve">：　</w:t>
      </w:r>
      <w:r w:rsidR="003B52EB" w:rsidRPr="00BC31E0">
        <w:rPr>
          <w:rFonts w:hint="eastAsia"/>
        </w:rPr>
        <w:t>最大自緊圧力</w:t>
      </w:r>
      <m:oMath>
        <m:sSub>
          <m:sSubPr>
            <m:ctrlPr>
              <w:rPr>
                <w:rFonts w:ascii="Cambria Math" w:hAnsi="Cambria Math"/>
                <w:i/>
              </w:rPr>
            </m:ctrlPr>
          </m:sSubPr>
          <m:e>
            <m:r>
              <w:rPr>
                <w:rFonts w:ascii="Cambria Math" w:hAnsi="Cambria Math"/>
              </w:rPr>
              <m:t xml:space="preserve"> P</m:t>
            </m:r>
          </m:e>
          <m:sub>
            <m:r>
              <w:rPr>
                <w:rFonts w:ascii="Cambria Math" w:hAnsi="Cambria Math"/>
              </w:rPr>
              <m:t>A</m:t>
            </m:r>
          </m:sub>
        </m:sSub>
        <m:r>
          <w:rPr>
            <w:rFonts w:ascii="Cambria Math" w:hAnsi="Cambria Math"/>
          </w:rPr>
          <m:t xml:space="preserve"> </m:t>
        </m:r>
      </m:oMath>
      <w:r w:rsidR="003B52EB" w:rsidRPr="00BC31E0">
        <w:rPr>
          <w:rFonts w:hint="eastAsia"/>
        </w:rPr>
        <w:t>時に，</w:t>
      </w:r>
      <w:r w:rsidR="003B52EB" w:rsidRPr="00BC31E0">
        <w:rPr>
          <w:rFonts w:asciiTheme="minorHAnsi" w:hAnsiTheme="minorHAnsi"/>
        </w:rPr>
        <w:t>3</w:t>
      </w:r>
      <w:r w:rsidR="003B52EB" w:rsidRPr="00BC31E0">
        <w:rPr>
          <w:rFonts w:hint="eastAsia"/>
        </w:rPr>
        <w:t>点以上の長手軸方向外面位置で計測した周方向最大ひずみの平均値</w:t>
      </w:r>
    </w:p>
    <w:p w14:paraId="6B24DF0A" w14:textId="77777777" w:rsidR="003B52EB" w:rsidRPr="00BC31E0" w:rsidRDefault="00A51873" w:rsidP="00DB50CE">
      <w:pPr>
        <w:tabs>
          <w:tab w:val="left" w:pos="851"/>
        </w:tabs>
        <w:autoSpaceDE w:val="0"/>
        <w:autoSpaceDN w:val="0"/>
        <w:ind w:left="1287" w:hanging="1060"/>
      </w:pPr>
      <m:oMath>
        <m:sSub>
          <m:sSubPr>
            <m:ctrlPr>
              <w:rPr>
                <w:rFonts w:ascii="Cambria Math" w:hAnsi="Cambria Math"/>
                <w:i/>
              </w:rPr>
            </m:ctrlPr>
          </m:sSubPr>
          <m:e>
            <m:r>
              <w:rPr>
                <w:rFonts w:ascii="Cambria Math" w:hAnsi="Cambria Math"/>
              </w:rPr>
              <m:t>ε</m:t>
            </m:r>
          </m:e>
          <m:sub>
            <m:r>
              <w:rPr>
                <w:rFonts w:ascii="Cambria Math" w:hAnsi="Cambria Math"/>
              </w:rPr>
              <m:t>p</m:t>
            </m:r>
          </m:sub>
        </m:sSub>
      </m:oMath>
      <w:r w:rsidR="003B52EB" w:rsidRPr="00BC31E0">
        <w:rPr>
          <w:rFonts w:hint="eastAsia"/>
        </w:rPr>
        <w:tab/>
      </w:r>
      <w:r w:rsidR="003B52EB" w:rsidRPr="00BC31E0">
        <w:rPr>
          <w:rFonts w:ascii="ＭＳ 明朝" w:hAnsi="ＭＳ 明朝" w:hint="eastAsia"/>
        </w:rPr>
        <w:t xml:space="preserve">：　</w:t>
      </w:r>
      <w:r w:rsidR="003B52EB" w:rsidRPr="00BC31E0">
        <w:rPr>
          <w:rFonts w:hint="eastAsia"/>
        </w:rPr>
        <w:t>自緊圧力開放後に，</w:t>
      </w:r>
      <w:r w:rsidR="003B52EB" w:rsidRPr="00BC31E0">
        <w:rPr>
          <w:rFonts w:asciiTheme="minorHAnsi" w:hAnsiTheme="minorHAnsi"/>
        </w:rPr>
        <w:t>3</w:t>
      </w:r>
      <w:r w:rsidR="003B52EB" w:rsidRPr="00BC31E0">
        <w:rPr>
          <w:rFonts w:hint="eastAsia"/>
        </w:rPr>
        <w:t>点以上の長手軸方向内面位置で計測した周方向残留ひずみの平均値</w:t>
      </w:r>
    </w:p>
    <w:p w14:paraId="008D8144" w14:textId="77777777" w:rsidR="003B52EB" w:rsidRPr="00BC31E0" w:rsidRDefault="00A51873" w:rsidP="00DB50CE">
      <w:pPr>
        <w:tabs>
          <w:tab w:val="left" w:pos="851"/>
        </w:tabs>
        <w:autoSpaceDE w:val="0"/>
        <w:autoSpaceDN w:val="0"/>
        <w:ind w:left="1248" w:hanging="1021"/>
      </w:pPr>
      <m:oMath>
        <m:sSub>
          <m:sSubPr>
            <m:ctrlPr>
              <w:rPr>
                <w:rFonts w:ascii="Cambria Math" w:hAnsi="Cambria Math"/>
                <w:i/>
              </w:rPr>
            </m:ctrlPr>
          </m:sSubPr>
          <m:e>
            <m:r>
              <w:rPr>
                <w:rFonts w:ascii="Cambria Math" w:hAnsi="Cambria Math"/>
              </w:rPr>
              <m:t>σ</m:t>
            </m:r>
          </m:e>
          <m:sub>
            <m:r>
              <w:rPr>
                <w:rFonts w:ascii="Cambria Math" w:hAnsi="Cambria Math"/>
              </w:rPr>
              <m:t>AD</m:t>
            </m:r>
          </m:sub>
        </m:sSub>
      </m:oMath>
      <w:r w:rsidR="003B52EB" w:rsidRPr="00BC31E0">
        <w:rPr>
          <w:vertAlign w:val="subscript"/>
        </w:rPr>
        <w:tab/>
      </w:r>
      <w:r w:rsidR="003B52EB" w:rsidRPr="00BC31E0">
        <w:rPr>
          <w:rFonts w:ascii="ＭＳ 明朝" w:hAnsi="ＭＳ 明朝" w:hint="eastAsia"/>
        </w:rPr>
        <w:t xml:space="preserve">：　</w:t>
      </w:r>
      <w:r w:rsidR="003B52EB" w:rsidRPr="00BC31E0">
        <w:rPr>
          <w:rFonts w:hint="eastAsia"/>
        </w:rPr>
        <w:t>内面</w:t>
      </w:r>
      <w:r w:rsidR="003B52EB" w:rsidRPr="00BC31E0">
        <w:rPr>
          <w:rFonts w:hint="eastAsia"/>
        </w:rPr>
        <w:t>(</w:t>
      </w:r>
      <m:oMath>
        <m:r>
          <w:rPr>
            <w:rFonts w:ascii="Cambria Math" w:hAnsi="Cambria Math"/>
          </w:rPr>
          <m:t>D=</m:t>
        </m:r>
        <m:sSub>
          <m:sSubPr>
            <m:ctrlPr>
              <w:rPr>
                <w:rFonts w:ascii="Cambria Math" w:hAnsi="Cambria Math"/>
                <w:i/>
              </w:rPr>
            </m:ctrlPr>
          </m:sSubPr>
          <m:e>
            <m:r>
              <w:rPr>
                <w:rFonts w:ascii="Cambria Math" w:hAnsi="Cambria Math"/>
              </w:rPr>
              <m:t>D</m:t>
            </m:r>
          </m:e>
          <m:sub>
            <m:r>
              <w:rPr>
                <w:rFonts w:ascii="Cambria Math" w:hAnsi="Cambria Math"/>
              </w:rPr>
              <m:t>I</m:t>
            </m:r>
          </m:sub>
        </m:sSub>
      </m:oMath>
      <w:r w:rsidR="003B52EB" w:rsidRPr="00BC31E0">
        <w:rPr>
          <w:rFonts w:hint="eastAsia"/>
        </w:rPr>
        <w:t>)</w:t>
      </w:r>
      <w:r w:rsidR="003B52EB" w:rsidRPr="00BC31E0">
        <w:rPr>
          <w:rFonts w:hint="eastAsia"/>
        </w:rPr>
        <w:t>における</w:t>
      </w:r>
      <m:oMath>
        <m:sSub>
          <m:sSubPr>
            <m:ctrlPr>
              <w:rPr>
                <w:rFonts w:ascii="Cambria Math" w:hAnsi="Cambria Math"/>
                <w:i/>
              </w:rPr>
            </m:ctrlPr>
          </m:sSubPr>
          <m:e>
            <m:r>
              <w:rPr>
                <w:rFonts w:ascii="Cambria Math" w:hAnsi="Cambria Math"/>
              </w:rPr>
              <m:t xml:space="preserve"> σ</m:t>
            </m:r>
          </m:e>
          <m:sub>
            <m:r>
              <w:rPr>
                <w:rFonts w:ascii="Cambria Math" w:hAnsi="Cambria Math"/>
              </w:rPr>
              <m:t>tRA</m:t>
            </m:r>
          </m:sub>
        </m:sSub>
        <m:r>
          <w:rPr>
            <w:rFonts w:ascii="Cambria Math" w:hAnsi="Cambria Math"/>
          </w:rPr>
          <m:t xml:space="preserve"> </m:t>
        </m:r>
      </m:oMath>
      <w:r w:rsidR="003B52EB" w:rsidRPr="00BC31E0">
        <w:rPr>
          <w:rFonts w:hint="eastAsia"/>
        </w:rPr>
        <w:t>の値</w:t>
      </w:r>
      <w:r w:rsidR="003B52EB" w:rsidRPr="00BC31E0">
        <w:rPr>
          <w:rFonts w:hint="eastAsia"/>
        </w:rPr>
        <w:t xml:space="preserve"> (</w:t>
      </w:r>
      <w:r w:rsidR="003B52EB" w:rsidRPr="00BC31E0">
        <w:rPr>
          <w:rFonts w:ascii="Cambria Math" w:hAnsi="Cambria Math"/>
        </w:rPr>
        <w:t>MPa</w:t>
      </w:r>
      <w:r w:rsidR="003B52EB" w:rsidRPr="00BC31E0">
        <w:rPr>
          <w:rFonts w:hint="eastAsia"/>
        </w:rPr>
        <w:t>)</w:t>
      </w:r>
    </w:p>
    <w:p w14:paraId="4FA4C047" w14:textId="77777777" w:rsidR="003B52EB" w:rsidRPr="00BC31E0" w:rsidRDefault="00A51873" w:rsidP="00DB50CE">
      <w:pPr>
        <w:tabs>
          <w:tab w:val="left" w:pos="851"/>
        </w:tabs>
        <w:autoSpaceDE w:val="0"/>
        <w:autoSpaceDN w:val="0"/>
        <w:ind w:left="1248" w:hanging="1021"/>
      </w:pPr>
      <m:oMath>
        <m:sSub>
          <m:sSubPr>
            <m:ctrlPr>
              <w:rPr>
                <w:rFonts w:ascii="Cambria Math" w:hAnsi="Cambria Math"/>
                <w:i/>
              </w:rPr>
            </m:ctrlPr>
          </m:sSubPr>
          <m:e>
            <m:r>
              <w:rPr>
                <w:rFonts w:ascii="Cambria Math" w:hAnsi="Cambria Math"/>
              </w:rPr>
              <m:t>σ</m:t>
            </m:r>
          </m:e>
          <m:sub>
            <m:r>
              <w:rPr>
                <w:rFonts w:ascii="Cambria Math" w:hAnsi="Cambria Math"/>
              </w:rPr>
              <m:t>CD</m:t>
            </m:r>
          </m:sub>
        </m:sSub>
      </m:oMath>
      <w:r w:rsidR="003B52EB" w:rsidRPr="00BC31E0">
        <w:rPr>
          <w:vertAlign w:val="subscript"/>
        </w:rPr>
        <w:tab/>
      </w:r>
      <w:r w:rsidR="003B52EB" w:rsidRPr="00BC31E0">
        <w:rPr>
          <w:rFonts w:ascii="ＭＳ 明朝" w:hAnsi="ＭＳ 明朝" w:hint="eastAsia"/>
        </w:rPr>
        <w:t xml:space="preserve">：　</w:t>
      </w:r>
      <w:r w:rsidR="003B52EB" w:rsidRPr="00BC31E0">
        <w:rPr>
          <w:rFonts w:hint="eastAsia"/>
        </w:rPr>
        <w:t>内面</w:t>
      </w:r>
      <w:r w:rsidR="003B52EB" w:rsidRPr="00BC31E0">
        <w:rPr>
          <w:rFonts w:hint="eastAsia"/>
        </w:rPr>
        <w:t>(</w:t>
      </w:r>
      <m:oMath>
        <m:r>
          <w:rPr>
            <w:rFonts w:ascii="Cambria Math" w:hAnsi="Cambria Math"/>
          </w:rPr>
          <m:t>D=</m:t>
        </m:r>
        <m:sSub>
          <m:sSubPr>
            <m:ctrlPr>
              <w:rPr>
                <w:rFonts w:ascii="Cambria Math" w:hAnsi="Cambria Math"/>
                <w:i/>
              </w:rPr>
            </m:ctrlPr>
          </m:sSubPr>
          <m:e>
            <m:r>
              <w:rPr>
                <w:rFonts w:ascii="Cambria Math" w:hAnsi="Cambria Math"/>
              </w:rPr>
              <m:t>D</m:t>
            </m:r>
          </m:e>
          <m:sub>
            <m:r>
              <w:rPr>
                <w:rFonts w:ascii="Cambria Math" w:hAnsi="Cambria Math"/>
              </w:rPr>
              <m:t>I</m:t>
            </m:r>
          </m:sub>
        </m:sSub>
      </m:oMath>
      <w:r w:rsidR="003B52EB" w:rsidRPr="00BC31E0">
        <w:rPr>
          <w:rFonts w:hint="eastAsia"/>
        </w:rPr>
        <w:t>)</w:t>
      </w:r>
      <w:r w:rsidR="003B52EB" w:rsidRPr="00BC31E0">
        <w:rPr>
          <w:rFonts w:hint="eastAsia"/>
        </w:rPr>
        <w:t>におけるバウシンガー効果に対して補正した周方向残留応力</w:t>
      </w:r>
      <w:r w:rsidR="003B52EB" w:rsidRPr="00BC31E0">
        <w:rPr>
          <w:rFonts w:hint="eastAsia"/>
        </w:rPr>
        <w:t xml:space="preserve"> (</w:t>
      </w:r>
      <w:r w:rsidR="003B52EB" w:rsidRPr="00BC31E0">
        <w:rPr>
          <w:rFonts w:ascii="Cambria Math" w:hAnsi="Cambria Math"/>
        </w:rPr>
        <w:t>MPa</w:t>
      </w:r>
      <w:r w:rsidR="003B52EB" w:rsidRPr="00BC31E0">
        <w:rPr>
          <w:rFonts w:hint="eastAsia"/>
        </w:rPr>
        <w:t>)</w:t>
      </w:r>
    </w:p>
    <w:p w14:paraId="7E7154EF" w14:textId="77777777" w:rsidR="003B52EB" w:rsidRPr="00BC31E0" w:rsidRDefault="00A51873" w:rsidP="00DB50CE">
      <w:pPr>
        <w:tabs>
          <w:tab w:val="left" w:pos="851"/>
        </w:tabs>
        <w:autoSpaceDE w:val="0"/>
        <w:autoSpaceDN w:val="0"/>
        <w:ind w:left="1248" w:hanging="1021"/>
      </w:pPr>
      <m:oMath>
        <m:sSub>
          <m:sSubPr>
            <m:ctrlPr>
              <w:rPr>
                <w:rFonts w:ascii="Cambria Math" w:hAnsi="Cambria Math"/>
                <w:i/>
              </w:rPr>
            </m:ctrlPr>
          </m:sSubPr>
          <m:e>
            <m:r>
              <w:rPr>
                <w:rFonts w:ascii="Cambria Math" w:hAnsi="Cambria Math"/>
              </w:rPr>
              <m:t>σ</m:t>
            </m:r>
          </m:e>
          <m:sub>
            <m:r>
              <w:rPr>
                <w:rFonts w:ascii="Cambria Math" w:hAnsi="Cambria Math"/>
              </w:rPr>
              <m:t>rR</m:t>
            </m:r>
          </m:sub>
        </m:sSub>
      </m:oMath>
      <w:r w:rsidR="003B52EB" w:rsidRPr="00BC31E0">
        <w:rPr>
          <w:vertAlign w:val="subscript"/>
        </w:rPr>
        <w:tab/>
      </w:r>
      <w:r w:rsidR="003B52EB" w:rsidRPr="00BC31E0">
        <w:rPr>
          <w:rFonts w:ascii="ＭＳ 明朝" w:hAnsi="ＭＳ 明朝" w:hint="eastAsia"/>
        </w:rPr>
        <w:t xml:space="preserve">：　</w:t>
      </w:r>
      <w:r w:rsidR="003B52EB" w:rsidRPr="00BC31E0">
        <w:rPr>
          <w:rFonts w:hint="eastAsia"/>
        </w:rPr>
        <w:t>バウシンガー効果に対して補正した半径方向残留応力</w:t>
      </w:r>
      <w:r w:rsidR="003B52EB" w:rsidRPr="00BC31E0">
        <w:rPr>
          <w:rFonts w:hint="eastAsia"/>
        </w:rPr>
        <w:t xml:space="preserve"> (</w:t>
      </w:r>
      <w:r w:rsidR="003B52EB" w:rsidRPr="00BC31E0">
        <w:rPr>
          <w:rFonts w:ascii="Cambria Math" w:hAnsi="Cambria Math"/>
        </w:rPr>
        <w:t>MPa</w:t>
      </w:r>
      <w:r w:rsidR="003B52EB" w:rsidRPr="00BC31E0">
        <w:rPr>
          <w:rFonts w:hint="eastAsia"/>
        </w:rPr>
        <w:t>)</w:t>
      </w:r>
    </w:p>
    <w:p w14:paraId="5CD444C4" w14:textId="77777777" w:rsidR="003B52EB" w:rsidRPr="00BC31E0" w:rsidRDefault="00A51873" w:rsidP="00DB50CE">
      <w:pPr>
        <w:tabs>
          <w:tab w:val="left" w:pos="851"/>
        </w:tabs>
        <w:autoSpaceDE w:val="0"/>
        <w:autoSpaceDN w:val="0"/>
        <w:ind w:left="1248" w:hanging="1021"/>
      </w:pPr>
      <m:oMath>
        <m:sSub>
          <m:sSubPr>
            <m:ctrlPr>
              <w:rPr>
                <w:rFonts w:ascii="Cambria Math" w:hAnsi="Cambria Math"/>
                <w:i/>
              </w:rPr>
            </m:ctrlPr>
          </m:sSubPr>
          <m:e>
            <m:r>
              <w:rPr>
                <w:rFonts w:ascii="Cambria Math" w:hAnsi="Cambria Math"/>
              </w:rPr>
              <m:t>σ</m:t>
            </m:r>
          </m:e>
          <m:sub>
            <m:r>
              <w:rPr>
                <w:rFonts w:ascii="Cambria Math" w:hAnsi="Cambria Math"/>
              </w:rPr>
              <m:t>rRA</m:t>
            </m:r>
          </m:sub>
        </m:sSub>
      </m:oMath>
      <w:r w:rsidR="003B52EB" w:rsidRPr="00BC31E0">
        <w:rPr>
          <w:vertAlign w:val="subscript"/>
        </w:rPr>
        <w:tab/>
      </w:r>
      <w:r w:rsidR="003B52EB" w:rsidRPr="00BC31E0">
        <w:rPr>
          <w:rFonts w:ascii="ＭＳ 明朝" w:hAnsi="ＭＳ 明朝" w:hint="eastAsia"/>
        </w:rPr>
        <w:t xml:space="preserve">：　</w:t>
      </w:r>
      <m:oMath>
        <m:sSub>
          <m:sSubPr>
            <m:ctrlPr>
              <w:rPr>
                <w:rFonts w:ascii="Cambria Math" w:hAnsi="Cambria Math"/>
                <w:i/>
              </w:rPr>
            </m:ctrlPr>
          </m:sSubPr>
          <m:e>
            <m:r>
              <w:rPr>
                <w:rFonts w:ascii="Cambria Math" w:hAnsi="Cambria Math"/>
              </w:rPr>
              <m:t>D</m:t>
            </m:r>
          </m:e>
          <m:sub>
            <m:r>
              <w:rPr>
                <w:rFonts w:ascii="Cambria Math" w:hAnsi="Cambria Math"/>
              </w:rPr>
              <m:t>I</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P</m:t>
            </m:r>
          </m:sub>
        </m:sSub>
        <m:r>
          <w:rPr>
            <w:rFonts w:ascii="Cambria Math" w:hAnsi="Cambria Math"/>
          </w:rPr>
          <m:t xml:space="preserve"> </m:t>
        </m:r>
      </m:oMath>
      <w:r w:rsidR="003B52EB" w:rsidRPr="00BC31E0">
        <w:rPr>
          <w:rFonts w:hint="eastAsia"/>
        </w:rPr>
        <w:t>における自緊後の第</w:t>
      </w:r>
      <w:r w:rsidR="003B52EB" w:rsidRPr="00BC31E0">
        <w:rPr>
          <w:rFonts w:hint="eastAsia"/>
        </w:rPr>
        <w:t>1</w:t>
      </w:r>
      <w:r w:rsidR="003B52EB" w:rsidRPr="00BC31E0">
        <w:rPr>
          <w:rFonts w:hint="eastAsia"/>
        </w:rPr>
        <w:t>近似半径方向残留応力</w:t>
      </w:r>
      <w:r w:rsidR="003B52EB" w:rsidRPr="00BC31E0">
        <w:rPr>
          <w:rFonts w:hint="eastAsia"/>
        </w:rPr>
        <w:t xml:space="preserve"> (</w:t>
      </w:r>
      <w:r w:rsidR="003B52EB" w:rsidRPr="00BC31E0">
        <w:rPr>
          <w:rFonts w:ascii="Cambria Math" w:hAnsi="Cambria Math"/>
        </w:rPr>
        <w:t>MPa</w:t>
      </w:r>
      <w:r w:rsidR="003B52EB" w:rsidRPr="00BC31E0">
        <w:rPr>
          <w:rFonts w:hint="eastAsia"/>
        </w:rPr>
        <w:t>)</w:t>
      </w:r>
    </w:p>
    <w:p w14:paraId="565EFB6D" w14:textId="77777777" w:rsidR="003B52EB" w:rsidRPr="00BC31E0" w:rsidRDefault="00A51873" w:rsidP="00DB50CE">
      <w:pPr>
        <w:tabs>
          <w:tab w:val="left" w:pos="851"/>
        </w:tabs>
        <w:autoSpaceDE w:val="0"/>
        <w:autoSpaceDN w:val="0"/>
        <w:ind w:left="1248" w:hanging="1021"/>
      </w:pPr>
      <m:oMath>
        <m:sSub>
          <m:sSubPr>
            <m:ctrlPr>
              <w:rPr>
                <w:rFonts w:ascii="Cambria Math" w:hAnsi="Cambria Math"/>
                <w:i/>
              </w:rPr>
            </m:ctrlPr>
          </m:sSubPr>
          <m:e>
            <m:r>
              <w:rPr>
                <w:rFonts w:ascii="Cambria Math" w:hAnsi="Cambria Math"/>
              </w:rPr>
              <m:t>σ</m:t>
            </m:r>
          </m:e>
          <m:sub>
            <m:r>
              <w:rPr>
                <w:rFonts w:ascii="Cambria Math" w:hAnsi="Cambria Math"/>
              </w:rPr>
              <m:t>tR</m:t>
            </m:r>
          </m:sub>
        </m:sSub>
      </m:oMath>
      <w:r w:rsidR="003B52EB" w:rsidRPr="00BC31E0">
        <w:rPr>
          <w:vertAlign w:val="subscript"/>
        </w:rPr>
        <w:tab/>
      </w:r>
      <w:r w:rsidR="003B52EB" w:rsidRPr="00BC31E0">
        <w:rPr>
          <w:rFonts w:ascii="ＭＳ 明朝" w:hAnsi="ＭＳ 明朝" w:hint="eastAsia"/>
        </w:rPr>
        <w:t xml:space="preserve">：　</w:t>
      </w:r>
      <w:r w:rsidR="003B52EB" w:rsidRPr="00BC31E0">
        <w:rPr>
          <w:rFonts w:hint="eastAsia"/>
        </w:rPr>
        <w:t>バウシンガー効果に対して補正した周方向残留応力</w:t>
      </w:r>
      <w:r w:rsidR="003B52EB" w:rsidRPr="00BC31E0">
        <w:rPr>
          <w:rFonts w:hint="eastAsia"/>
        </w:rPr>
        <w:t xml:space="preserve"> (</w:t>
      </w:r>
      <w:r w:rsidR="003B52EB" w:rsidRPr="00BC31E0">
        <w:rPr>
          <w:rFonts w:ascii="Cambria Math" w:hAnsi="Cambria Math"/>
        </w:rPr>
        <w:t>MPa</w:t>
      </w:r>
      <w:r w:rsidR="003B52EB" w:rsidRPr="00BC31E0">
        <w:rPr>
          <w:rFonts w:hint="eastAsia"/>
        </w:rPr>
        <w:t>)</w:t>
      </w:r>
    </w:p>
    <w:p w14:paraId="14E077D7" w14:textId="77777777" w:rsidR="003B52EB" w:rsidRPr="00BC31E0" w:rsidRDefault="00A51873" w:rsidP="00DB50CE">
      <w:pPr>
        <w:tabs>
          <w:tab w:val="left" w:pos="851"/>
        </w:tabs>
        <w:autoSpaceDE w:val="0"/>
        <w:autoSpaceDN w:val="0"/>
        <w:ind w:left="1248" w:hanging="1021"/>
      </w:pPr>
      <m:oMath>
        <m:sSub>
          <m:sSubPr>
            <m:ctrlPr>
              <w:rPr>
                <w:rFonts w:ascii="Cambria Math" w:hAnsi="Cambria Math"/>
                <w:i/>
              </w:rPr>
            </m:ctrlPr>
          </m:sSubPr>
          <m:e>
            <m:r>
              <w:rPr>
                <w:rFonts w:ascii="Cambria Math" w:hAnsi="Cambria Math"/>
              </w:rPr>
              <m:t>σ</m:t>
            </m:r>
          </m:e>
          <m:sub>
            <m:r>
              <w:rPr>
                <w:rFonts w:ascii="Cambria Math" w:hAnsi="Cambria Math"/>
              </w:rPr>
              <m:t>tRA</m:t>
            </m:r>
          </m:sub>
        </m:sSub>
      </m:oMath>
      <w:r w:rsidR="003B52EB" w:rsidRPr="00BC31E0">
        <w:rPr>
          <w:vertAlign w:val="subscript"/>
        </w:rPr>
        <w:tab/>
      </w:r>
      <w:r w:rsidR="003B52EB" w:rsidRPr="00BC31E0">
        <w:rPr>
          <w:rFonts w:ascii="ＭＳ 明朝" w:hAnsi="ＭＳ 明朝" w:hint="eastAsia"/>
        </w:rPr>
        <w:t xml:space="preserve">：　</w:t>
      </w:r>
      <m:oMath>
        <m:sSub>
          <m:sSubPr>
            <m:ctrlPr>
              <w:rPr>
                <w:rFonts w:ascii="Cambria Math" w:hAnsi="Cambria Math"/>
                <w:i/>
              </w:rPr>
            </m:ctrlPr>
          </m:sSubPr>
          <m:e>
            <m:r>
              <w:rPr>
                <w:rFonts w:ascii="Cambria Math" w:hAnsi="Cambria Math"/>
              </w:rPr>
              <m:t>D</m:t>
            </m:r>
          </m:e>
          <m:sub>
            <m:r>
              <w:rPr>
                <w:rFonts w:ascii="Cambria Math" w:hAnsi="Cambria Math"/>
              </w:rPr>
              <m:t>I</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P</m:t>
            </m:r>
          </m:sub>
        </m:sSub>
        <m:r>
          <w:rPr>
            <w:rFonts w:ascii="Cambria Math" w:hAnsi="Cambria Math"/>
          </w:rPr>
          <m:t xml:space="preserve"> </m:t>
        </m:r>
      </m:oMath>
      <w:r w:rsidR="003B52EB" w:rsidRPr="00BC31E0">
        <w:rPr>
          <w:rFonts w:hint="eastAsia"/>
        </w:rPr>
        <w:t>における自緊後の第</w:t>
      </w:r>
      <w:r w:rsidR="003B52EB" w:rsidRPr="00BC31E0">
        <w:rPr>
          <w:rFonts w:hint="eastAsia"/>
        </w:rPr>
        <w:t>1</w:t>
      </w:r>
      <w:r w:rsidR="003B52EB" w:rsidRPr="00BC31E0">
        <w:rPr>
          <w:rFonts w:hint="eastAsia"/>
        </w:rPr>
        <w:t>近似周方向残留応力</w:t>
      </w:r>
      <w:r w:rsidR="003B52EB" w:rsidRPr="00BC31E0">
        <w:rPr>
          <w:rFonts w:hint="eastAsia"/>
        </w:rPr>
        <w:t xml:space="preserve"> (</w:t>
      </w:r>
      <w:r w:rsidR="003B52EB" w:rsidRPr="00BC31E0">
        <w:rPr>
          <w:rFonts w:ascii="Cambria Math" w:hAnsi="Cambria Math"/>
        </w:rPr>
        <w:t>MPa</w:t>
      </w:r>
      <w:r w:rsidR="003B52EB" w:rsidRPr="00BC31E0">
        <w:rPr>
          <w:rFonts w:hint="eastAsia"/>
        </w:rPr>
        <w:t>)</w:t>
      </w:r>
    </w:p>
    <w:p w14:paraId="02623486" w14:textId="77777777" w:rsidR="003B52EB" w:rsidRPr="00BC31E0" w:rsidRDefault="003B52EB" w:rsidP="00DB50CE">
      <w:pPr>
        <w:tabs>
          <w:tab w:val="left" w:pos="851"/>
        </w:tabs>
        <w:autoSpaceDE w:val="0"/>
        <w:autoSpaceDN w:val="0"/>
        <w:ind w:left="1248" w:hanging="1021"/>
      </w:pPr>
      <m:oMath>
        <m:r>
          <w:rPr>
            <w:rFonts w:ascii="Cambria Math" w:hAnsi="Cambria Math"/>
          </w:rPr>
          <m:t>ν</m:t>
        </m:r>
      </m:oMath>
      <w:r w:rsidRPr="00BC31E0">
        <w:tab/>
      </w:r>
      <w:r w:rsidRPr="00BC31E0">
        <w:rPr>
          <w:rFonts w:ascii="ＭＳ 明朝" w:hAnsi="ＭＳ 明朝" w:hint="eastAsia"/>
        </w:rPr>
        <w:t xml:space="preserve">：　</w:t>
      </w:r>
      <w:r w:rsidRPr="00BC31E0">
        <w:rPr>
          <w:rFonts w:hint="eastAsia"/>
        </w:rPr>
        <w:t>ポアソン比</w:t>
      </w:r>
    </w:p>
    <w:p w14:paraId="0C859BC0" w14:textId="77777777" w:rsidR="003B52EB" w:rsidRPr="00BC31E0" w:rsidRDefault="003B52EB" w:rsidP="002F22E6">
      <w:pPr>
        <w:pStyle w:val="3"/>
        <w:tabs>
          <w:tab w:val="clear" w:pos="284"/>
        </w:tabs>
        <w:ind w:left="794" w:hanging="794"/>
      </w:pPr>
      <w:r w:rsidRPr="00BC31E0">
        <w:rPr>
          <w:rFonts w:hint="eastAsia"/>
        </w:rPr>
        <w:t>自緊圧力の制限</w:t>
      </w:r>
    </w:p>
    <w:p w14:paraId="7CB4C886" w14:textId="77777777" w:rsidR="003B52EB" w:rsidRPr="00BC31E0" w:rsidRDefault="003B52EB" w:rsidP="00DB50CE">
      <w:pPr>
        <w:pStyle w:val="1110"/>
        <w:ind w:firstLine="210"/>
      </w:pPr>
      <w:r w:rsidRPr="00BC31E0">
        <w:rPr>
          <w:rFonts w:hint="eastAsia"/>
        </w:rPr>
        <w:t>自緊圧力に上限はないが，自緊による内面の周方向残留ひずみは</w:t>
      </w:r>
      <w:r w:rsidRPr="00BC31E0">
        <w:rPr>
          <w:rFonts w:asciiTheme="minorHAnsi" w:hAnsiTheme="minorHAnsi"/>
        </w:rPr>
        <w:t>2%</w:t>
      </w:r>
      <w:r w:rsidRPr="00BC31E0">
        <w:rPr>
          <w:rFonts w:hint="eastAsia"/>
        </w:rPr>
        <w:t>を超えてはならない。</w:t>
      </w:r>
    </w:p>
    <w:p w14:paraId="3E7DC138" w14:textId="77777777" w:rsidR="003B52EB" w:rsidRPr="00BC31E0" w:rsidRDefault="003B52EB" w:rsidP="002F22E6">
      <w:pPr>
        <w:pStyle w:val="3"/>
        <w:tabs>
          <w:tab w:val="clear" w:pos="284"/>
        </w:tabs>
        <w:ind w:left="794" w:hanging="794"/>
      </w:pPr>
      <w:r w:rsidRPr="00BC31E0">
        <w:rPr>
          <w:rFonts w:hint="eastAsia"/>
        </w:rPr>
        <w:t>残留応力の計算</w:t>
      </w:r>
    </w:p>
    <w:p w14:paraId="796A5855" w14:textId="77777777" w:rsidR="003B52EB" w:rsidRPr="00BC31E0" w:rsidRDefault="003B52EB" w:rsidP="00DB50CE">
      <w:pPr>
        <w:pStyle w:val="1110"/>
        <w:ind w:firstLine="210"/>
      </w:pPr>
      <w:r w:rsidRPr="00BC31E0">
        <w:rPr>
          <w:rFonts w:hint="eastAsia"/>
        </w:rPr>
        <w:t>自緊によって生じる残留応力は，次の</w:t>
      </w:r>
      <w:r w:rsidRPr="00BC31E0">
        <w:rPr>
          <w:rFonts w:ascii="ＭＳ ゴシック" w:eastAsia="ＭＳ ゴシック" w:hint="eastAsia"/>
          <w:b/>
        </w:rPr>
        <w:t>a)</w:t>
      </w:r>
      <w:r w:rsidRPr="00BC31E0">
        <w:rPr>
          <w:rFonts w:hint="eastAsia"/>
        </w:rPr>
        <w:t>～</w:t>
      </w:r>
      <w:r w:rsidRPr="00BC31E0">
        <w:rPr>
          <w:rFonts w:ascii="ＭＳ ゴシック" w:eastAsia="ＭＳ ゴシック" w:hint="eastAsia"/>
          <w:b/>
        </w:rPr>
        <w:t>c)</w:t>
      </w:r>
      <w:r w:rsidRPr="00BC31E0">
        <w:rPr>
          <w:rFonts w:hint="eastAsia"/>
        </w:rPr>
        <w:t>に示す方法により計算する。ただし，より精度良く安全側な方法があれば，他の方法を使用</w:t>
      </w:r>
      <w:r w:rsidR="00B13B69" w:rsidRPr="00BC31E0">
        <w:rPr>
          <w:rFonts w:hint="eastAsia"/>
        </w:rPr>
        <w:t>してもよい</w:t>
      </w:r>
      <w:r w:rsidRPr="00BC31E0">
        <w:rPr>
          <w:rFonts w:hint="eastAsia"/>
        </w:rPr>
        <w:t>。残留応力の計算では</w:t>
      </w:r>
      <w:r w:rsidR="005B1BE0" w:rsidRPr="00BC31E0">
        <w:rPr>
          <w:rFonts w:hint="eastAsia"/>
        </w:rPr>
        <w:t>，</w:t>
      </w:r>
      <w:r w:rsidRPr="00BC31E0">
        <w:rPr>
          <w:rFonts w:hint="eastAsia"/>
        </w:rPr>
        <w:t>次のことに留意する必要がある。</w:t>
      </w:r>
    </w:p>
    <w:p w14:paraId="7FCBB0A8" w14:textId="77777777" w:rsidR="003B52EB" w:rsidRPr="00BC31E0" w:rsidRDefault="003B52EB" w:rsidP="00DB50CE">
      <w:pPr>
        <w:ind w:leftChars="100" w:left="420" w:hangingChars="100" w:hanging="210"/>
      </w:pPr>
      <w:r w:rsidRPr="00BC31E0">
        <w:rPr>
          <w:rFonts w:hint="eastAsia"/>
        </w:rPr>
        <w:t>・自緊後に機械仕上げを行ってもよい。この場合には，</w:t>
      </w:r>
      <m:oMath>
        <m:sSub>
          <m:sSubPr>
            <m:ctrlPr>
              <w:rPr>
                <w:rFonts w:ascii="Cambria Math" w:hAnsi="Cambria Math"/>
                <w:i/>
              </w:rPr>
            </m:ctrlPr>
          </m:sSubPr>
          <m:e>
            <m:r>
              <w:rPr>
                <w:rFonts w:ascii="Cambria Math" w:hAnsi="Cambria Math"/>
              </w:rPr>
              <m:t>D</m:t>
            </m:r>
          </m:e>
          <m:sub>
            <m:r>
              <w:rPr>
                <w:rFonts w:ascii="Cambria Math" w:hAnsi="Cambria Math"/>
              </w:rPr>
              <m:t>P</m:t>
            </m:r>
          </m:sub>
        </m:sSub>
        <m:r>
          <w:rPr>
            <w:rFonts w:ascii="Cambria Math" w:hAnsi="Cambria Math"/>
          </w:rPr>
          <m:t xml:space="preserve"> </m:t>
        </m:r>
      </m:oMath>
      <w:r w:rsidRPr="00BC31E0">
        <w:rPr>
          <w:rFonts w:hint="eastAsia"/>
        </w:rPr>
        <w:t>は機械仕上げ後も変化しないという仮定と容器の最終寸法を用いて塑性化率を計算する。ただし，機械加工によるいかなる引張の残留応力も考慮する必要がある。</w:t>
      </w:r>
    </w:p>
    <w:p w14:paraId="44451FEE" w14:textId="77777777" w:rsidR="003B52EB" w:rsidRPr="00BC31E0" w:rsidRDefault="003B52EB" w:rsidP="00DB50CE">
      <w:pPr>
        <w:ind w:leftChars="100" w:left="420" w:hangingChars="100" w:hanging="210"/>
      </w:pPr>
      <w:r w:rsidRPr="00BC31E0">
        <w:rPr>
          <w:rFonts w:hint="eastAsia"/>
        </w:rPr>
        <w:t>・腐食前の状態の容器寸法を使用して残留応力を計算する。</w:t>
      </w:r>
    </w:p>
    <w:p w14:paraId="2AE6D3E4" w14:textId="77777777" w:rsidR="003B52EB" w:rsidRPr="00BC31E0" w:rsidRDefault="003B52EB" w:rsidP="000D0E23">
      <w:pPr>
        <w:ind w:leftChars="100" w:left="420" w:hangingChars="100" w:hanging="210"/>
      </w:pPr>
      <w:r w:rsidRPr="00BC31E0">
        <w:rPr>
          <w:rFonts w:hint="eastAsia"/>
        </w:rPr>
        <w:t>・</w:t>
      </w:r>
      <w:r w:rsidRPr="00BC31E0">
        <w:rPr>
          <w:rFonts w:asciiTheme="majorEastAsia" w:eastAsiaTheme="majorEastAsia" w:hAnsiTheme="majorEastAsia" w:hint="eastAsia"/>
          <w:b/>
        </w:rPr>
        <w:t>a)</w:t>
      </w:r>
      <w:r w:rsidRPr="00BC31E0">
        <w:rPr>
          <w:rFonts w:hint="eastAsia"/>
        </w:rPr>
        <w:t>～</w:t>
      </w:r>
      <w:r w:rsidRPr="00BC31E0">
        <w:rPr>
          <w:rFonts w:asciiTheme="majorEastAsia" w:eastAsiaTheme="majorEastAsia" w:hAnsiTheme="majorEastAsia" w:hint="eastAsia"/>
          <w:b/>
        </w:rPr>
        <w:t>c)</w:t>
      </w:r>
      <w:r w:rsidRPr="00BC31E0">
        <w:rPr>
          <w:rFonts w:hint="eastAsia"/>
        </w:rPr>
        <w:t>の計算式は，最大せん断応力説に基づき，長手軸方向応力を中間主応力であると仮定</w:t>
      </w:r>
      <w:r w:rsidRPr="00BC31E0">
        <w:rPr>
          <w:rFonts w:hint="eastAsia"/>
        </w:rPr>
        <w:lastRenderedPageBreak/>
        <w:t>しているため，長手軸方向の残留応力を求め</w:t>
      </w:r>
      <w:r w:rsidR="00E10EED" w:rsidRPr="00BC31E0">
        <w:rPr>
          <w:rFonts w:hint="eastAsia"/>
        </w:rPr>
        <w:t>られない</w:t>
      </w:r>
      <w:r w:rsidRPr="00BC31E0">
        <w:rPr>
          <w:rFonts w:hint="eastAsia"/>
        </w:rPr>
        <w:t>。</w:t>
      </w:r>
    </w:p>
    <w:p w14:paraId="745B90EA" w14:textId="77777777" w:rsidR="003B52EB" w:rsidRPr="00BC31E0" w:rsidRDefault="003B52EB" w:rsidP="00736130">
      <w:pPr>
        <w:pStyle w:val="a4"/>
        <w:numPr>
          <w:ilvl w:val="0"/>
          <w:numId w:val="268"/>
        </w:numPr>
        <w:ind w:leftChars="0" w:left="454" w:hanging="454"/>
      </w:pPr>
      <w:r w:rsidRPr="00BC31E0">
        <w:rPr>
          <w:rFonts w:asciiTheme="majorEastAsia" w:eastAsiaTheme="majorEastAsia" w:hAnsiTheme="majorEastAsia" w:hint="eastAsia"/>
          <w:b/>
        </w:rPr>
        <w:t>弾塑性境界直径</w:t>
      </w:r>
      <m:oMath>
        <m:sSub>
          <m:sSubPr>
            <m:ctrlPr>
              <w:rPr>
                <w:rFonts w:ascii="Cambria Math" w:eastAsiaTheme="majorEastAsia" w:hAnsi="Cambria Math"/>
                <w:i/>
              </w:rPr>
            </m:ctrlPr>
          </m:sSubPr>
          <m:e>
            <m:r>
              <w:rPr>
                <w:rFonts w:ascii="Cambria Math" w:eastAsiaTheme="majorEastAsia" w:hAnsi="Cambria Math"/>
              </w:rPr>
              <m:t xml:space="preserve"> </m:t>
            </m:r>
            <m:r>
              <m:rPr>
                <m:sty m:val="bi"/>
              </m:rPr>
              <w:rPr>
                <w:rFonts w:ascii="Cambria Math" w:eastAsiaTheme="majorEastAsia" w:hAnsi="Cambria Math"/>
              </w:rPr>
              <m:t>D</m:t>
            </m:r>
          </m:e>
          <m:sub>
            <m:r>
              <m:rPr>
                <m:sty m:val="bi"/>
              </m:rPr>
              <w:rPr>
                <w:rFonts w:ascii="Cambria Math" w:eastAsiaTheme="majorEastAsia" w:hAnsi="Cambria Math"/>
              </w:rPr>
              <m:t>P</m:t>
            </m:r>
          </m:sub>
        </m:sSub>
        <m:r>
          <w:rPr>
            <w:rFonts w:ascii="Cambria Math" w:eastAsiaTheme="majorEastAsia" w:hAnsi="Cambria Math"/>
          </w:rPr>
          <m:t xml:space="preserve"> </m:t>
        </m:r>
      </m:oMath>
      <w:r w:rsidRPr="00BC31E0">
        <w:rPr>
          <w:rFonts w:asciiTheme="majorEastAsia" w:eastAsiaTheme="majorEastAsia" w:hAnsiTheme="majorEastAsia" w:hint="eastAsia"/>
          <w:b/>
        </w:rPr>
        <w:t>の計算</w:t>
      </w:r>
      <w:r w:rsidRPr="00BC31E0">
        <w:rPr>
          <w:rFonts w:hint="eastAsia"/>
        </w:rPr>
        <w:t xml:space="preserve">　</w:t>
      </w:r>
      <m:oMath>
        <m:sSub>
          <m:sSubPr>
            <m:ctrlPr>
              <w:rPr>
                <w:rFonts w:ascii="Cambria Math" w:hAnsi="Cambria Math"/>
              </w:rPr>
            </m:ctrlPr>
          </m:sSubPr>
          <m:e>
            <m:r>
              <w:rPr>
                <w:rFonts w:ascii="Cambria Math" w:hAnsi="Cambria Math"/>
              </w:rPr>
              <m:t>D</m:t>
            </m:r>
          </m:e>
          <m:sub>
            <m:r>
              <w:rPr>
                <w:rFonts w:ascii="Cambria Math" w:hAnsi="Cambria Math"/>
              </w:rPr>
              <m:t xml:space="preserve">P </m:t>
            </m:r>
          </m:sub>
        </m:sSub>
      </m:oMath>
      <w:r w:rsidRPr="00BC31E0">
        <w:rPr>
          <w:rFonts w:hint="eastAsia"/>
        </w:rPr>
        <w:t>の計算では</w:t>
      </w:r>
      <m:oMath>
        <m:sSub>
          <m:sSubPr>
            <m:ctrlPr>
              <w:rPr>
                <w:rFonts w:ascii="Cambria Math" w:hAnsi="Cambria Math"/>
              </w:rPr>
            </m:ctrlPr>
          </m:sSubPr>
          <m:e>
            <m:r>
              <m:rPr>
                <m:sty m:val="p"/>
              </m:rPr>
              <w:rPr>
                <w:rFonts w:ascii="Cambria Math" w:hAnsi="Cambria Math"/>
              </w:rPr>
              <m:t xml:space="preserve"> </m:t>
            </m:r>
            <m:r>
              <w:rPr>
                <w:rFonts w:ascii="Cambria Math" w:hAnsi="Cambria Math"/>
              </w:rPr>
              <m:t>ε</m:t>
            </m:r>
          </m:e>
          <m:sub>
            <m:r>
              <w:rPr>
                <w:rFonts w:ascii="Cambria Math" w:hAnsi="Cambria Math"/>
              </w:rPr>
              <m:t>m</m:t>
            </m:r>
          </m:sub>
        </m:sSub>
      </m:oMath>
      <w:r w:rsidRPr="00BC31E0">
        <w:rPr>
          <w:rFonts w:hint="eastAsia"/>
        </w:rPr>
        <w:t>，</w:t>
      </w:r>
      <m:oMath>
        <m:sSub>
          <m:sSubPr>
            <m:ctrlPr>
              <w:rPr>
                <w:rFonts w:ascii="Cambria Math" w:hAnsi="Cambria Math"/>
              </w:rPr>
            </m:ctrlPr>
          </m:sSubPr>
          <m:e>
            <m:r>
              <w:rPr>
                <w:rFonts w:ascii="Cambria Math" w:hAnsi="Cambria Math"/>
              </w:rPr>
              <m:t>ε</m:t>
            </m:r>
          </m:e>
          <m:sub>
            <m:r>
              <w:rPr>
                <w:rFonts w:ascii="Cambria Math" w:hAnsi="Cambria Math"/>
              </w:rPr>
              <m:t>p</m:t>
            </m:r>
          </m:sub>
        </m:sSub>
      </m:oMath>
      <w:r w:rsidRPr="00BC31E0">
        <w:rPr>
          <w:rFonts w:hint="eastAsia"/>
        </w:rPr>
        <w:t>，</w:t>
      </w:r>
      <m:oMath>
        <m:sSub>
          <m:sSubPr>
            <m:ctrlPr>
              <w:rPr>
                <w:rFonts w:ascii="Cambria Math" w:hAnsi="Cambria Math"/>
              </w:rPr>
            </m:ctrlPr>
          </m:sSubPr>
          <m:e>
            <m:r>
              <w:rPr>
                <w:rFonts w:ascii="Cambria Math" w:hAnsi="Cambria Math"/>
              </w:rPr>
              <m:t>P</m:t>
            </m:r>
          </m:e>
          <m:sub>
            <m:r>
              <w:rPr>
                <w:rFonts w:ascii="Cambria Math" w:hAnsi="Cambria Math"/>
              </w:rPr>
              <m:t>A</m:t>
            </m:r>
            <m:r>
              <m:rPr>
                <m:sty m:val="p"/>
              </m:rPr>
              <w:rPr>
                <w:rFonts w:ascii="Cambria Math" w:hAnsi="Cambria Math"/>
              </w:rPr>
              <m:t xml:space="preserve"> </m:t>
            </m:r>
          </m:sub>
        </m:sSub>
      </m:oMath>
      <w:r w:rsidRPr="00BC31E0">
        <w:rPr>
          <w:rFonts w:hint="eastAsia"/>
        </w:rPr>
        <w:t>の内一つ以上を計測し，それぞれ次の計算式により</w:t>
      </w:r>
      <m:oMath>
        <m:sSub>
          <m:sSubPr>
            <m:ctrlPr>
              <w:rPr>
                <w:rFonts w:ascii="Cambria Math" w:hAnsi="Cambria Math"/>
              </w:rPr>
            </m:ctrlPr>
          </m:sSubPr>
          <m:e>
            <m:r>
              <m:rPr>
                <m:sty m:val="p"/>
              </m:rPr>
              <w:rPr>
                <w:rFonts w:ascii="Cambria Math" w:hAnsi="Cambria Math"/>
              </w:rPr>
              <m:t xml:space="preserve"> </m:t>
            </m:r>
            <m:r>
              <w:rPr>
                <w:rFonts w:ascii="Cambria Math" w:hAnsi="Cambria Math"/>
              </w:rPr>
              <m:t>D</m:t>
            </m:r>
          </m:e>
          <m:sub>
            <m:r>
              <w:rPr>
                <w:rFonts w:ascii="Cambria Math" w:hAnsi="Cambria Math"/>
              </w:rPr>
              <m:t>P</m:t>
            </m:r>
          </m:sub>
        </m:sSub>
        <m:r>
          <m:rPr>
            <m:sty m:val="p"/>
          </m:rPr>
          <w:rPr>
            <w:rFonts w:ascii="Cambria Math" w:hAnsi="Cambria Math"/>
          </w:rPr>
          <m:t xml:space="preserve"> </m:t>
        </m:r>
      </m:oMath>
      <w:r w:rsidRPr="00BC31E0">
        <w:rPr>
          <w:rFonts w:hint="eastAsia"/>
        </w:rPr>
        <w:t>を決定する。ただし，</w:t>
      </w:r>
      <m:oMath>
        <m:sSub>
          <m:sSubPr>
            <m:ctrlPr>
              <w:rPr>
                <w:rFonts w:ascii="Cambria Math" w:hAnsi="Cambria Math"/>
              </w:rPr>
            </m:ctrlPr>
          </m:sSubPr>
          <m:e>
            <m:r>
              <w:rPr>
                <w:rFonts w:ascii="Cambria Math" w:hAnsi="Cambria Math"/>
              </w:rPr>
              <m:t>P</m:t>
            </m:r>
          </m:e>
          <m:sub>
            <m:r>
              <w:rPr>
                <w:rFonts w:ascii="Cambria Math" w:hAnsi="Cambria Math"/>
              </w:rPr>
              <m:t>A</m:t>
            </m:r>
            <m:r>
              <m:rPr>
                <m:sty m:val="p"/>
              </m:rPr>
              <w:rPr>
                <w:rFonts w:ascii="Cambria Math" w:hAnsi="Cambria Math"/>
              </w:rPr>
              <m:t xml:space="preserve"> </m:t>
            </m:r>
          </m:sub>
        </m:sSub>
      </m:oMath>
      <w:r w:rsidRPr="00BC31E0">
        <w:rPr>
          <w:rFonts w:hint="eastAsia"/>
        </w:rPr>
        <w:t>を用いる場合は，</w:t>
      </w:r>
      <m:oMath>
        <m:r>
          <w:rPr>
            <w:rFonts w:ascii="Cambria Math" w:hAnsi="Cambria Math"/>
          </w:rPr>
          <m:t>M</m:t>
        </m:r>
        <m:r>
          <m:rPr>
            <m:sty m:val="p"/>
          </m:rPr>
          <w:rPr>
            <w:rFonts w:ascii="Cambria Math" w:hAnsi="Cambria Math"/>
          </w:rPr>
          <m:t>&lt;</m:t>
        </m:r>
        <m:r>
          <w:rPr>
            <w:rFonts w:ascii="Cambria Math" w:hAnsi="Cambria Math"/>
          </w:rPr>
          <m:t xml:space="preserve">0.4 </m:t>
        </m:r>
      </m:oMath>
      <w:r w:rsidRPr="00BC31E0">
        <w:rPr>
          <w:rFonts w:hint="eastAsia"/>
        </w:rPr>
        <w:t>に限定される。</w:t>
      </w:r>
    </w:p>
    <w:p w14:paraId="77D35EF6" w14:textId="77777777" w:rsidR="003B52EB" w:rsidRPr="00BC31E0" w:rsidRDefault="003B52EB" w:rsidP="00736130">
      <w:pPr>
        <w:pStyle w:val="a4"/>
        <w:numPr>
          <w:ilvl w:val="0"/>
          <w:numId w:val="357"/>
        </w:numPr>
        <w:ind w:leftChars="0" w:left="738" w:hanging="454"/>
      </w:pPr>
      <w:r w:rsidRPr="00BC31E0">
        <w:rPr>
          <w:rFonts w:asciiTheme="majorEastAsia" w:eastAsiaTheme="majorEastAsia" w:hAnsiTheme="majorEastAsia" w:hint="eastAsia"/>
          <w:b/>
        </w:rPr>
        <w:t>外面ひずみ</w:t>
      </w:r>
      <m:oMath>
        <m:sSub>
          <m:sSubPr>
            <m:ctrlPr>
              <w:rPr>
                <w:rFonts w:ascii="Cambria Math" w:eastAsiaTheme="majorEastAsia" w:hAnsi="Cambria Math"/>
              </w:rPr>
            </m:ctrlPr>
          </m:sSubPr>
          <m:e>
            <m:r>
              <m:rPr>
                <m:sty m:val="p"/>
              </m:rPr>
              <w:rPr>
                <w:rFonts w:ascii="Cambria Math" w:eastAsiaTheme="majorEastAsia" w:hAnsi="Cambria Math"/>
              </w:rPr>
              <m:t xml:space="preserve"> </m:t>
            </m:r>
            <m:r>
              <m:rPr>
                <m:sty m:val="bi"/>
              </m:rPr>
              <w:rPr>
                <w:rFonts w:ascii="Cambria Math" w:eastAsiaTheme="majorEastAsia" w:hAnsi="Cambria Math"/>
              </w:rPr>
              <m:t>ε</m:t>
            </m:r>
          </m:e>
          <m:sub>
            <m:r>
              <m:rPr>
                <m:sty m:val="bi"/>
              </m:rPr>
              <w:rPr>
                <w:rFonts w:ascii="Cambria Math" w:eastAsiaTheme="majorEastAsia" w:hAnsi="Cambria Math"/>
              </w:rPr>
              <m:t>m</m:t>
            </m:r>
          </m:sub>
        </m:sSub>
        <m:r>
          <m:rPr>
            <m:sty m:val="p"/>
          </m:rPr>
          <w:rPr>
            <w:rFonts w:ascii="Cambria Math" w:eastAsiaTheme="majorEastAsia" w:hAnsi="Cambria Math"/>
          </w:rPr>
          <m:t xml:space="preserve"> </m:t>
        </m:r>
      </m:oMath>
      <w:r w:rsidRPr="00BC31E0">
        <w:rPr>
          <w:rFonts w:asciiTheme="majorEastAsia" w:eastAsiaTheme="majorEastAsia" w:hAnsiTheme="majorEastAsia" w:hint="eastAsia"/>
          <w:b/>
        </w:rPr>
        <w:t>が既知の場合</w:t>
      </w:r>
      <w:r w:rsidRPr="00BC31E0">
        <w:rPr>
          <w:rFonts w:hint="eastAsia"/>
        </w:rPr>
        <w:t xml:space="preserve">　</w:t>
      </w:r>
      <m:oMath>
        <m:sSub>
          <m:sSubPr>
            <m:ctrlPr>
              <w:rPr>
                <w:rFonts w:ascii="Cambria Math" w:eastAsiaTheme="minorEastAsia" w:hAnsiTheme="minorHAnsi"/>
              </w:rPr>
            </m:ctrlPr>
          </m:sSubPr>
          <m:e>
            <m:r>
              <w:rPr>
                <w:rFonts w:ascii="Cambria Math" w:eastAsiaTheme="minorEastAsia" w:hAnsi="Cambria Math"/>
              </w:rPr>
              <m:t>ε</m:t>
            </m:r>
          </m:e>
          <m:sub>
            <m:r>
              <w:rPr>
                <w:rFonts w:ascii="Cambria Math" w:eastAsiaTheme="minorEastAsia" w:hAnsi="Cambria Math"/>
              </w:rPr>
              <m:t>m</m:t>
            </m:r>
          </m:sub>
        </m:sSub>
        <m:r>
          <m:rPr>
            <m:sty m:val="p"/>
          </m:rPr>
          <w:rPr>
            <w:rFonts w:ascii="Cambria Math" w:eastAsiaTheme="minorEastAsia" w:hAnsiTheme="minorHAnsi"/>
          </w:rPr>
          <m:t xml:space="preserve"> </m:t>
        </m:r>
      </m:oMath>
      <w:r w:rsidRPr="00BC31E0">
        <w:rPr>
          <w:rFonts w:asciiTheme="minorHAnsi" w:eastAsiaTheme="minorEastAsia" w:hAnsiTheme="minorEastAsia"/>
        </w:rPr>
        <w:t>が計測される場合には，次式で</w:t>
      </w:r>
      <m:oMath>
        <m:f>
          <m:fPr>
            <m:type m:val="lin"/>
            <m:ctrlPr>
              <w:rPr>
                <w:rFonts w:ascii="Cambria Math" w:eastAsiaTheme="minorEastAsia" w:hAnsiTheme="minorHAnsi"/>
              </w:rPr>
            </m:ctrlPr>
          </m:fPr>
          <m:num>
            <m:sSub>
              <m:sSubPr>
                <m:ctrlPr>
                  <w:rPr>
                    <w:rFonts w:ascii="Cambria Math" w:eastAsiaTheme="minorEastAsia" w:hAnsiTheme="minorHAnsi"/>
                  </w:rPr>
                </m:ctrlPr>
              </m:sSubPr>
              <m:e>
                <m:r>
                  <m:rPr>
                    <m:sty m:val="p"/>
                  </m:rPr>
                  <w:rPr>
                    <w:rFonts w:ascii="Cambria Math" w:eastAsiaTheme="minorEastAsia" w:hAnsiTheme="minorHAnsi"/>
                  </w:rPr>
                  <m:t xml:space="preserve"> </m:t>
                </m:r>
                <m:r>
                  <w:rPr>
                    <w:rFonts w:ascii="Cambria Math" w:eastAsiaTheme="minorEastAsia" w:hAnsi="Cambria Math"/>
                  </w:rPr>
                  <m:t>D</m:t>
                </m:r>
              </m:e>
              <m:sub>
                <m:r>
                  <w:rPr>
                    <w:rFonts w:ascii="Cambria Math" w:eastAsiaTheme="minorEastAsia" w:hAnsi="Cambria Math"/>
                  </w:rPr>
                  <m:t>P</m:t>
                </m:r>
              </m:sub>
            </m:sSub>
          </m:num>
          <m:den>
            <m:sSub>
              <m:sSubPr>
                <m:ctrlPr>
                  <w:rPr>
                    <w:rFonts w:ascii="Cambria Math" w:eastAsiaTheme="minorEastAsia" w:hAnsiTheme="minorHAnsi"/>
                  </w:rPr>
                </m:ctrlPr>
              </m:sSubPr>
              <m:e>
                <m:r>
                  <w:rPr>
                    <w:rFonts w:ascii="Cambria Math" w:eastAsiaTheme="minorEastAsia" w:hAnsi="Cambria Math"/>
                  </w:rPr>
                  <m:t>D</m:t>
                </m:r>
              </m:e>
              <m:sub>
                <m:r>
                  <w:rPr>
                    <w:rFonts w:ascii="Cambria Math" w:eastAsiaTheme="minorEastAsia" w:hAnsi="Cambria Math"/>
                  </w:rPr>
                  <m:t>O</m:t>
                </m:r>
                <m:r>
                  <m:rPr>
                    <m:sty m:val="p"/>
                  </m:rPr>
                  <w:rPr>
                    <w:rFonts w:ascii="Cambria Math" w:eastAsiaTheme="minorEastAsia" w:hAnsiTheme="minorHAnsi"/>
                  </w:rPr>
                  <m:t xml:space="preserve"> </m:t>
                </m:r>
              </m:sub>
            </m:sSub>
          </m:den>
        </m:f>
      </m:oMath>
      <w:r w:rsidRPr="00BC31E0">
        <w:rPr>
          <w:rFonts w:asciiTheme="minorHAnsi" w:eastAsiaTheme="minorEastAsia" w:hAnsiTheme="minorEastAsia"/>
        </w:rPr>
        <w:t>を計算する。</w:t>
      </w:r>
    </w:p>
    <w:p w14:paraId="02EEEA3F" w14:textId="77777777" w:rsidR="003B52EB" w:rsidRPr="00BC31E0" w:rsidRDefault="003B52EB" w:rsidP="00736130">
      <w:pPr>
        <w:pStyle w:val="a4"/>
        <w:numPr>
          <w:ilvl w:val="0"/>
          <w:numId w:val="269"/>
        </w:numPr>
        <w:spacing w:after="120"/>
        <w:ind w:leftChars="0" w:left="1134" w:hanging="567"/>
        <w:rPr>
          <w:rFonts w:asciiTheme="majorEastAsia" w:eastAsiaTheme="majorEastAsia" w:hAnsiTheme="majorEastAsia"/>
          <w:b/>
        </w:rPr>
      </w:pPr>
      <w:r w:rsidRPr="00BC31E0">
        <w:rPr>
          <w:rFonts w:asciiTheme="majorEastAsia" w:eastAsiaTheme="majorEastAsia" w:hAnsiTheme="majorEastAsia"/>
          <w:b/>
        </w:rPr>
        <w:t>閉端の条件(端部荷重が支持される条件)で自緊する場合</w:t>
      </w:r>
    </w:p>
    <w:tbl>
      <w:tblPr>
        <w:tblStyle w:val="afff2"/>
        <w:tblW w:w="7087" w:type="dxa"/>
        <w:tblInd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1"/>
        <w:gridCol w:w="2756"/>
      </w:tblGrid>
      <w:tr w:rsidR="003B52EB" w:rsidRPr="00BC31E0" w14:paraId="7C7CF9CF" w14:textId="77777777" w:rsidTr="003B52EB">
        <w:tc>
          <w:tcPr>
            <w:tcW w:w="0" w:type="auto"/>
            <w:tcMar>
              <w:left w:w="0" w:type="dxa"/>
              <w:right w:w="0" w:type="dxa"/>
            </w:tcMar>
            <w:vAlign w:val="center"/>
          </w:tcPr>
          <w:p w14:paraId="229D3580" w14:textId="77777777" w:rsidR="003B52EB" w:rsidRPr="00BC31E0" w:rsidRDefault="00A51873" w:rsidP="003B52EB">
            <w:pPr>
              <w:tabs>
                <w:tab w:val="left" w:pos="1985"/>
                <w:tab w:val="left" w:leader="middleDot" w:pos="8364"/>
              </w:tabs>
              <w:jc w:val="left"/>
              <w:rPr>
                <w:i/>
              </w:rPr>
            </w:pPr>
            <m:oMathPara>
              <m:oMathParaPr>
                <m:jc m:val="left"/>
              </m:oMathParaPr>
              <m:oMath>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P</m:t>
                                </m:r>
                              </m:sub>
                            </m:sSub>
                          </m:num>
                          <m:den>
                            <m:sSub>
                              <m:sSubPr>
                                <m:ctrlPr>
                                  <w:rPr>
                                    <w:rFonts w:ascii="Cambria Math" w:hAnsi="Cambria Math"/>
                                    <w:i/>
                                  </w:rPr>
                                </m:ctrlPr>
                              </m:sSubPr>
                              <m:e>
                                <m:r>
                                  <w:rPr>
                                    <w:rFonts w:ascii="Cambria Math" w:hAnsi="Cambria Math"/>
                                  </w:rPr>
                                  <m:t>D</m:t>
                                </m:r>
                              </m:e>
                              <m:sub>
                                <m:r>
                                  <w:rPr>
                                    <w:rFonts w:ascii="Cambria Math" w:hAnsi="Cambria Math"/>
                                  </w:rPr>
                                  <m:t>O</m:t>
                                </m:r>
                              </m:sub>
                            </m:sSub>
                          </m:den>
                        </m:f>
                      </m:e>
                    </m:d>
                  </m:e>
                  <m:sup>
                    <m:r>
                      <w:rPr>
                        <w:rFonts w:ascii="Cambria Math" w:hAnsi="Cambria Math"/>
                      </w:rPr>
                      <m:t>2</m:t>
                    </m:r>
                  </m:sup>
                </m:sSup>
                <m:r>
                  <w:rPr>
                    <w:rFonts w:ascii="Cambria Math" w:hAnsi="Cambria Math"/>
                  </w:rPr>
                  <m:t>=</m:t>
                </m:r>
                <m:f>
                  <m:fPr>
                    <m:type m:val="lin"/>
                    <m:ctrlPr>
                      <w:rPr>
                        <w:rFonts w:ascii="Cambria Math" w:hAnsi="Cambria Math"/>
                        <w:i/>
                      </w:rPr>
                    </m:ctrlPr>
                  </m:fPr>
                  <m:num>
                    <m:d>
                      <m:dPr>
                        <m:begChr m:val="{"/>
                        <m:endChr m:val="}"/>
                        <m:ctrlPr>
                          <w:rPr>
                            <w:rFonts w:ascii="Cambria Math" w:hAnsi="Cambria Math"/>
                            <w:i/>
                          </w:rPr>
                        </m:ctrlPr>
                      </m:dPr>
                      <m:e>
                        <m:r>
                          <w:rPr>
                            <w:rFonts w:ascii="Cambria Math" w:hAnsi="Cambria Math"/>
                          </w:rPr>
                          <m:t>E</m:t>
                        </m:r>
                        <m:sSub>
                          <m:sSubPr>
                            <m:ctrlPr>
                              <w:rPr>
                                <w:rFonts w:ascii="Cambria Math" w:hAnsi="Cambria Math"/>
                                <w:i/>
                              </w:rPr>
                            </m:ctrlPr>
                          </m:sSubPr>
                          <m:e>
                            <m:r>
                              <w:rPr>
                                <w:rFonts w:ascii="Cambria Math" w:hAnsi="Cambria Math"/>
                              </w:rPr>
                              <m:t xml:space="preserve"> ε</m:t>
                            </m:r>
                          </m:e>
                          <m:sub>
                            <m:r>
                              <w:rPr>
                                <w:rFonts w:ascii="Cambria Math" w:hAnsi="Cambria Math"/>
                              </w:rPr>
                              <m:t>m</m:t>
                            </m:r>
                          </m:sub>
                        </m:sSub>
                        <m:r>
                          <w:rPr>
                            <w:rFonts w:ascii="Cambria Math" w:hAnsi="Cambria Math"/>
                          </w:rPr>
                          <m:t>+ν</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hint="eastAsia"/>
                                      </w:rPr>
                                      <m:t>P</m:t>
                                    </m:r>
                                  </m:e>
                                  <m:sub>
                                    <m:r>
                                      <w:rPr>
                                        <w:rFonts w:ascii="Cambria Math" w:hAnsi="Cambria Math"/>
                                      </w:rPr>
                                      <m:t>A</m:t>
                                    </m:r>
                                  </m:sub>
                                </m:sSub>
                                <m:sSup>
                                  <m:sSupPr>
                                    <m:ctrlPr>
                                      <w:rPr>
                                        <w:rFonts w:ascii="Cambria Math" w:hAnsi="Cambria Math"/>
                                        <w:i/>
                                      </w:rPr>
                                    </m:ctrlPr>
                                  </m:sSupPr>
                                  <m:e>
                                    <m:sSub>
                                      <m:sSubPr>
                                        <m:ctrlPr>
                                          <w:rPr>
                                            <w:rFonts w:ascii="Cambria Math" w:hAnsi="Cambria Math"/>
                                            <w:i/>
                                          </w:rPr>
                                        </m:ctrlPr>
                                      </m:sSubPr>
                                      <m:e>
                                        <m:r>
                                          <w:rPr>
                                            <w:rFonts w:ascii="Cambria Math" w:hAnsi="Cambria Math"/>
                                          </w:rPr>
                                          <m:t xml:space="preserve"> D</m:t>
                                        </m:r>
                                      </m:e>
                                      <m:sub>
                                        <m:r>
                                          <w:rPr>
                                            <w:rFonts w:ascii="Cambria Math" w:hAnsi="Cambria Math"/>
                                          </w:rPr>
                                          <m:t>I</m:t>
                                        </m:r>
                                      </m:sub>
                                    </m:sSub>
                                  </m:e>
                                  <m:sup>
                                    <m:r>
                                      <w:rPr>
                                        <w:rFonts w:ascii="Cambria Math" w:hAnsi="Cambria Math"/>
                                      </w:rPr>
                                      <m:t>2</m:t>
                                    </m:r>
                                  </m:sup>
                                </m:sSup>
                              </m:num>
                              <m:den>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O</m:t>
                                        </m:r>
                                      </m:sub>
                                    </m:sSub>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I</m:t>
                                        </m:r>
                                      </m:sub>
                                    </m:sSub>
                                  </m:e>
                                  <m:sup>
                                    <m:r>
                                      <w:rPr>
                                        <w:rFonts w:ascii="Cambria Math" w:hAnsi="Cambria Math"/>
                                      </w:rPr>
                                      <m:t>2</m:t>
                                    </m:r>
                                  </m:sup>
                                </m:sSup>
                              </m:den>
                            </m:f>
                          </m:e>
                        </m:d>
                      </m:e>
                    </m:d>
                  </m:num>
                  <m:den>
                    <m:d>
                      <m:dPr>
                        <m:ctrlPr>
                          <w:rPr>
                            <w:rFonts w:ascii="Cambria Math" w:hAnsi="Cambria Math"/>
                            <w:i/>
                          </w:rPr>
                        </m:ctrlPr>
                      </m:dPr>
                      <m:e>
                        <m:r>
                          <w:rPr>
                            <w:rFonts w:ascii="Cambria Math" w:hAnsi="Cambria Math"/>
                          </w:rPr>
                          <m:t>1.15</m:t>
                        </m:r>
                        <m:sSub>
                          <m:sSubPr>
                            <m:ctrlPr>
                              <w:rPr>
                                <w:rFonts w:ascii="Cambria Math" w:hAnsi="Cambria Math"/>
                                <w:i/>
                              </w:rPr>
                            </m:ctrlPr>
                          </m:sSubPr>
                          <m:e>
                            <m:r>
                              <w:rPr>
                                <w:rFonts w:ascii="Cambria Math" w:hAnsi="Cambria Math"/>
                              </w:rPr>
                              <m:t xml:space="preserve"> S</m:t>
                            </m:r>
                          </m:e>
                          <m:sub>
                            <m:r>
                              <w:rPr>
                                <w:rFonts w:ascii="Cambria Math" w:hAnsi="Cambria Math"/>
                              </w:rPr>
                              <m:t>y</m:t>
                            </m:r>
                          </m:sub>
                        </m:sSub>
                      </m:e>
                    </m:d>
                  </m:den>
                </m:f>
              </m:oMath>
            </m:oMathPara>
          </w:p>
        </w:tc>
        <w:tc>
          <w:tcPr>
            <w:tcW w:w="2756" w:type="dxa"/>
            <w:tcMar>
              <w:left w:w="0" w:type="dxa"/>
              <w:right w:w="0" w:type="dxa"/>
            </w:tcMar>
            <w:vAlign w:val="center"/>
          </w:tcPr>
          <w:p w14:paraId="041A3557" w14:textId="77777777" w:rsidR="003B52EB" w:rsidRPr="00BC31E0" w:rsidRDefault="003B52EB" w:rsidP="003B52EB">
            <w:pPr>
              <w:tabs>
                <w:tab w:val="left" w:leader="middleDot" w:pos="2048"/>
              </w:tabs>
              <w:jc w:val="left"/>
            </w:pPr>
            <w:r w:rsidRPr="00BC31E0">
              <w:tab/>
            </w:r>
            <w:r w:rsidRPr="00BC31E0">
              <w:rPr>
                <w:rFonts w:hint="eastAsia"/>
              </w:rPr>
              <w:t>(6.5.1)</w:t>
            </w:r>
          </w:p>
        </w:tc>
      </w:tr>
    </w:tbl>
    <w:p w14:paraId="618864AC" w14:textId="77777777" w:rsidR="003B52EB" w:rsidRPr="00BC31E0" w:rsidRDefault="003B52EB" w:rsidP="00736130">
      <w:pPr>
        <w:pStyle w:val="a4"/>
        <w:numPr>
          <w:ilvl w:val="0"/>
          <w:numId w:val="270"/>
        </w:numPr>
        <w:spacing w:before="120" w:after="120"/>
        <w:ind w:leftChars="0" w:left="1134" w:hanging="567"/>
        <w:rPr>
          <w:rFonts w:asciiTheme="majorEastAsia" w:eastAsiaTheme="majorEastAsia" w:hAnsiTheme="majorEastAsia"/>
          <w:b/>
        </w:rPr>
      </w:pPr>
      <w:r w:rsidRPr="00BC31E0">
        <w:rPr>
          <w:rFonts w:asciiTheme="majorEastAsia" w:eastAsiaTheme="majorEastAsia" w:hAnsiTheme="majorEastAsia"/>
          <w:b/>
        </w:rPr>
        <w:t>他の条件の場合</w:t>
      </w:r>
    </w:p>
    <w:p w14:paraId="488AF8AB" w14:textId="77777777" w:rsidR="003B52EB" w:rsidRPr="00BC31E0" w:rsidRDefault="003B52EB" w:rsidP="003B52EB">
      <w:pPr>
        <w:tabs>
          <w:tab w:val="left" w:pos="1985"/>
          <w:tab w:val="left" w:leader="middleDot" w:pos="8364"/>
        </w:tabs>
        <w:rPr>
          <w:b/>
        </w:rPr>
      </w:pPr>
      <w:r w:rsidRPr="00BC31E0">
        <w:rPr>
          <w:rFonts w:hint="eastAsia"/>
        </w:rPr>
        <w:tab/>
      </w:r>
      <m:oMath>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P</m:t>
                        </m:r>
                      </m:sub>
                    </m:sSub>
                  </m:num>
                  <m:den>
                    <m:sSub>
                      <m:sSubPr>
                        <m:ctrlPr>
                          <w:rPr>
                            <w:rFonts w:ascii="Cambria Math" w:hAnsi="Cambria Math"/>
                            <w:i/>
                          </w:rPr>
                        </m:ctrlPr>
                      </m:sSubPr>
                      <m:e>
                        <m:r>
                          <w:rPr>
                            <w:rFonts w:ascii="Cambria Math" w:hAnsi="Cambria Math"/>
                          </w:rPr>
                          <m:t>D</m:t>
                        </m:r>
                      </m:e>
                      <m:sub>
                        <m:r>
                          <w:rPr>
                            <w:rFonts w:ascii="Cambria Math" w:hAnsi="Cambria Math"/>
                          </w:rPr>
                          <m:t>O</m:t>
                        </m:r>
                      </m:sub>
                    </m:sSub>
                  </m:den>
                </m:f>
              </m:e>
            </m:d>
          </m:e>
          <m:sup>
            <m:r>
              <w:rPr>
                <w:rFonts w:ascii="Cambria Math" w:hAnsi="Cambria Math"/>
              </w:rPr>
              <m:t>2</m:t>
            </m:r>
          </m:sup>
        </m:sSup>
        <m:r>
          <w:rPr>
            <w:rFonts w:ascii="Cambria Math" w:hAnsi="Cambria Math"/>
          </w:rPr>
          <m:t>=</m:t>
        </m:r>
        <m:f>
          <m:fPr>
            <m:type m:val="lin"/>
            <m:ctrlPr>
              <w:rPr>
                <w:rFonts w:ascii="Cambria Math" w:hAnsi="Cambria Math"/>
                <w:i/>
              </w:rPr>
            </m:ctrlPr>
          </m:fPr>
          <m:num>
            <m:d>
              <m:dPr>
                <m:begChr m:val="{"/>
                <m:endChr m:val="}"/>
                <m:ctrlPr>
                  <w:rPr>
                    <w:rFonts w:ascii="Cambria Math" w:hAnsi="Cambria Math"/>
                    <w:i/>
                  </w:rPr>
                </m:ctrlPr>
              </m:dPr>
              <m:e>
                <m:r>
                  <w:rPr>
                    <w:rFonts w:ascii="Cambria Math" w:hAnsi="Cambria Math"/>
                  </w:rPr>
                  <m:t xml:space="preserve"> E</m:t>
                </m:r>
                <m:sSub>
                  <m:sSubPr>
                    <m:ctrlPr>
                      <w:rPr>
                        <w:rFonts w:ascii="Cambria Math" w:hAnsi="Cambria Math"/>
                        <w:i/>
                      </w:rPr>
                    </m:ctrlPr>
                  </m:sSubPr>
                  <m:e>
                    <m:r>
                      <w:rPr>
                        <w:rFonts w:ascii="Cambria Math" w:hAnsi="Cambria Math"/>
                      </w:rPr>
                      <m:t xml:space="preserve"> ε</m:t>
                    </m:r>
                  </m:e>
                  <m:sub>
                    <m:r>
                      <w:rPr>
                        <w:rFonts w:ascii="Cambria Math" w:hAnsi="Cambria Math"/>
                      </w:rPr>
                      <m:t>m</m:t>
                    </m:r>
                  </m:sub>
                </m:sSub>
                <m:r>
                  <w:rPr>
                    <w:rFonts w:ascii="Cambria Math" w:hAnsi="Cambria Math"/>
                  </w:rPr>
                  <m:t xml:space="preserve">+ν </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l</m:t>
                            </m:r>
                          </m:sub>
                        </m:sSub>
                      </m:num>
                      <m:den>
                        <m:sSub>
                          <m:sSubPr>
                            <m:ctrlPr>
                              <w:rPr>
                                <w:rFonts w:ascii="Cambria Math" w:hAnsi="Cambria Math"/>
                                <w:i/>
                              </w:rPr>
                            </m:ctrlPr>
                          </m:sSubPr>
                          <m:e>
                            <m:r>
                              <w:rPr>
                                <w:rFonts w:ascii="Cambria Math" w:hAnsi="Cambria Math"/>
                              </w:rPr>
                              <m:t>A</m:t>
                            </m:r>
                          </m:e>
                          <m:sub>
                            <m:r>
                              <w:rPr>
                                <w:rFonts w:ascii="Cambria Math" w:hAnsi="Cambria Math"/>
                              </w:rPr>
                              <m:t>CS</m:t>
                            </m:r>
                          </m:sub>
                        </m:sSub>
                      </m:den>
                    </m:f>
                  </m:e>
                </m:d>
                <m:r>
                  <w:rPr>
                    <w:rFonts w:ascii="Cambria Math" w:hAnsi="Cambria Math"/>
                  </w:rPr>
                  <m:t xml:space="preserve"> </m:t>
                </m:r>
              </m:e>
            </m:d>
          </m:num>
          <m:den>
            <m:d>
              <m:dPr>
                <m:ctrlPr>
                  <w:rPr>
                    <w:rFonts w:ascii="Cambria Math" w:hAnsi="Cambria Math"/>
                    <w:i/>
                  </w:rPr>
                </m:ctrlPr>
              </m:dPr>
              <m:e>
                <m:r>
                  <w:rPr>
                    <w:rFonts w:ascii="Cambria Math" w:hAnsi="Cambria Math"/>
                  </w:rPr>
                  <m:t>1.15</m:t>
                </m:r>
                <m:sSub>
                  <m:sSubPr>
                    <m:ctrlPr>
                      <w:rPr>
                        <w:rFonts w:ascii="Cambria Math" w:hAnsi="Cambria Math"/>
                        <w:i/>
                      </w:rPr>
                    </m:ctrlPr>
                  </m:sSubPr>
                  <m:e>
                    <m:r>
                      <w:rPr>
                        <w:rFonts w:ascii="Cambria Math" w:hAnsi="Cambria Math"/>
                      </w:rPr>
                      <m:t xml:space="preserve"> S</m:t>
                    </m:r>
                  </m:e>
                  <m:sub>
                    <m:r>
                      <w:rPr>
                        <w:rFonts w:ascii="Cambria Math" w:hAnsi="Cambria Math"/>
                      </w:rPr>
                      <m:t>y</m:t>
                    </m:r>
                  </m:sub>
                </m:sSub>
              </m:e>
            </m:d>
          </m:den>
        </m:f>
      </m:oMath>
      <w:r w:rsidRPr="00BC31E0">
        <w:rPr>
          <w:rFonts w:hint="eastAsia"/>
        </w:rPr>
        <w:tab/>
        <w:t>(6.5.2)</w:t>
      </w:r>
    </w:p>
    <w:p w14:paraId="16729E53" w14:textId="77777777" w:rsidR="003B52EB" w:rsidRPr="00BC31E0" w:rsidRDefault="003B52EB" w:rsidP="00736130">
      <w:pPr>
        <w:pStyle w:val="a4"/>
        <w:numPr>
          <w:ilvl w:val="0"/>
          <w:numId w:val="357"/>
        </w:numPr>
        <w:spacing w:before="120" w:after="120"/>
        <w:ind w:leftChars="0" w:left="738" w:hanging="454"/>
      </w:pPr>
      <w:r w:rsidRPr="00BC31E0">
        <w:rPr>
          <w:rFonts w:asciiTheme="majorEastAsia" w:eastAsiaTheme="majorEastAsia" w:hAnsiTheme="majorEastAsia" w:hint="eastAsia"/>
          <w:b/>
        </w:rPr>
        <w:t>残留内面ひずみ</w:t>
      </w:r>
      <m:oMath>
        <m:sSub>
          <m:sSubPr>
            <m:ctrlPr>
              <w:rPr>
                <w:rFonts w:ascii="Cambria Math" w:eastAsiaTheme="majorEastAsia" w:hAnsiTheme="majorEastAsia"/>
                <w:b/>
                <w:i/>
              </w:rPr>
            </m:ctrlPr>
          </m:sSubPr>
          <m:e>
            <m:r>
              <m:rPr>
                <m:sty m:val="bi"/>
              </m:rPr>
              <w:rPr>
                <w:rFonts w:ascii="Cambria Math" w:eastAsiaTheme="majorEastAsia" w:hAnsiTheme="majorEastAsia"/>
              </w:rPr>
              <m:t xml:space="preserve"> </m:t>
            </m:r>
            <m:r>
              <m:rPr>
                <m:sty m:val="bi"/>
              </m:rPr>
              <w:rPr>
                <w:rFonts w:ascii="Cambria Math" w:eastAsiaTheme="majorEastAsia" w:hAnsi="Cambria Math"/>
              </w:rPr>
              <m:t>ε</m:t>
            </m:r>
          </m:e>
          <m:sub>
            <m:r>
              <m:rPr>
                <m:sty m:val="bi"/>
              </m:rPr>
              <w:rPr>
                <w:rFonts w:ascii="Cambria Math" w:eastAsiaTheme="majorEastAsia" w:hAnsi="Cambria Math"/>
              </w:rPr>
              <m:t>p</m:t>
            </m:r>
          </m:sub>
        </m:sSub>
        <m:r>
          <m:rPr>
            <m:sty m:val="b"/>
          </m:rPr>
          <w:rPr>
            <w:rFonts w:ascii="Cambria Math" w:eastAsiaTheme="majorEastAsia" w:hAnsiTheme="majorEastAsia"/>
          </w:rPr>
          <m:t xml:space="preserve"> </m:t>
        </m:r>
      </m:oMath>
      <w:r w:rsidRPr="00BC31E0">
        <w:rPr>
          <w:rFonts w:asciiTheme="majorEastAsia" w:eastAsiaTheme="majorEastAsia" w:hAnsiTheme="majorEastAsia" w:hint="eastAsia"/>
          <w:b/>
        </w:rPr>
        <w:t>が既知の場合</w:t>
      </w:r>
      <w:r w:rsidRPr="00BC31E0">
        <w:rPr>
          <w:rFonts w:hint="eastAsia"/>
        </w:rPr>
        <w:t xml:space="preserve">　</w:t>
      </w:r>
      <m:oMath>
        <m:sSub>
          <m:sSubPr>
            <m:ctrlPr>
              <w:rPr>
                <w:rFonts w:ascii="Cambria Math" w:eastAsiaTheme="minorEastAsia" w:hAnsi="Cambria Math"/>
                <w:vertAlign w:val="subscript"/>
              </w:rPr>
            </m:ctrlPr>
          </m:sSubPr>
          <m:e>
            <m:r>
              <w:rPr>
                <w:rFonts w:ascii="Cambria Math" w:eastAsiaTheme="minorEastAsia" w:hAnsi="Cambria Math"/>
                <w:vertAlign w:val="subscript"/>
              </w:rPr>
              <m:t>ε</m:t>
            </m:r>
          </m:e>
          <m:sub>
            <m:r>
              <w:rPr>
                <w:rFonts w:ascii="Cambria Math" w:eastAsiaTheme="minorEastAsia" w:hAnsi="Cambria Math"/>
                <w:vertAlign w:val="subscript"/>
              </w:rPr>
              <m:t>p</m:t>
            </m:r>
            <m:r>
              <m:rPr>
                <m:sty m:val="p"/>
              </m:rPr>
              <w:rPr>
                <w:rFonts w:ascii="Cambria Math" w:eastAsiaTheme="minorEastAsia" w:hAnsi="Cambria Math"/>
                <w:vertAlign w:val="subscript"/>
              </w:rPr>
              <m:t xml:space="preserve"> </m:t>
            </m:r>
          </m:sub>
        </m:sSub>
      </m:oMath>
      <w:r w:rsidRPr="00BC31E0">
        <w:rPr>
          <w:rFonts w:asciiTheme="minorHAnsi" w:eastAsiaTheme="minorEastAsia" w:hAnsiTheme="minorEastAsia"/>
        </w:rPr>
        <w:t>が測定される場合，</w:t>
      </w:r>
      <w:bookmarkStart w:id="44" w:name="OLE_LINK12"/>
      <w:bookmarkStart w:id="45" w:name="OLE_LINK13"/>
      <w:r w:rsidRPr="00BC31E0">
        <w:rPr>
          <w:rFonts w:asciiTheme="minorHAnsi" w:eastAsiaTheme="minorEastAsia" w:hAnsiTheme="minorEastAsia"/>
        </w:rPr>
        <w:t>次式で</w:t>
      </w:r>
      <m:oMath>
        <m:r>
          <m:rPr>
            <m:sty m:val="p"/>
          </m:rPr>
          <w:rPr>
            <w:rFonts w:ascii="Cambria Math" w:eastAsiaTheme="minorEastAsia" w:hAnsi="Cambria Math"/>
          </w:rPr>
          <m:t xml:space="preserve"> </m:t>
        </m:r>
        <m:sSub>
          <m:sSubPr>
            <m:ctrlPr>
              <w:rPr>
                <w:rFonts w:ascii="Cambria Math" w:eastAsiaTheme="minorEastAsia" w:hAnsi="Cambria Math"/>
              </w:rPr>
            </m:ctrlPr>
          </m:sSubPr>
          <m:e>
            <m:r>
              <w:rPr>
                <w:rFonts w:ascii="Cambria Math" w:eastAsiaTheme="minorEastAsia" w:hAnsi="Cambria Math"/>
              </w:rPr>
              <m:t>D</m:t>
            </m:r>
          </m:e>
          <m:sub>
            <m:r>
              <w:rPr>
                <w:rFonts w:ascii="Cambria Math" w:eastAsiaTheme="minorEastAsia" w:hAnsi="Cambria Math"/>
              </w:rPr>
              <m:t>P</m:t>
            </m:r>
          </m:sub>
        </m:sSub>
      </m:oMath>
      <w:r w:rsidRPr="00BC31E0">
        <w:rPr>
          <w:rFonts w:asciiTheme="minorHAnsi" w:eastAsiaTheme="minorEastAsia" w:hAnsiTheme="minorEastAsia"/>
        </w:rPr>
        <w:t>を変化させて，反復法による数値計算により</w:t>
      </w:r>
      <w:bookmarkEnd w:id="44"/>
      <w:bookmarkEnd w:id="45"/>
      <m:oMath>
        <m:sSub>
          <m:sSubPr>
            <m:ctrlPr>
              <w:rPr>
                <w:rFonts w:ascii="Cambria Math" w:eastAsiaTheme="minorEastAsia" w:hAnsi="Cambria Math"/>
              </w:rPr>
            </m:ctrlPr>
          </m:sSubPr>
          <m:e>
            <m:r>
              <w:rPr>
                <w:rFonts w:ascii="Cambria Math" w:eastAsiaTheme="minorEastAsia" w:hAnsi="Cambria Math"/>
              </w:rPr>
              <m:t>D</m:t>
            </m:r>
          </m:e>
          <m:sub>
            <m:r>
              <w:rPr>
                <w:rFonts w:ascii="Cambria Math" w:eastAsiaTheme="minorEastAsia" w:hAnsi="Cambria Math"/>
              </w:rPr>
              <m:t>P</m:t>
            </m:r>
          </m:sub>
        </m:sSub>
        <m:r>
          <m:rPr>
            <m:sty m:val="p"/>
          </m:rPr>
          <w:rPr>
            <w:rFonts w:ascii="Cambria Math" w:eastAsiaTheme="minorEastAsia" w:hAnsi="Cambria Math"/>
          </w:rPr>
          <m:t xml:space="preserve"> </m:t>
        </m:r>
      </m:oMath>
      <w:r w:rsidRPr="00BC31E0">
        <w:rPr>
          <w:rFonts w:asciiTheme="minorHAnsi" w:eastAsiaTheme="minorEastAsia" w:hAnsiTheme="minorEastAsia"/>
        </w:rPr>
        <w:t>を計算する。</w:t>
      </w:r>
    </w:p>
    <w:tbl>
      <w:tblPr>
        <w:tblStyle w:val="afff2"/>
        <w:tblW w:w="8079"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0"/>
        <w:gridCol w:w="1089"/>
      </w:tblGrid>
      <w:tr w:rsidR="003B52EB" w:rsidRPr="00BC31E0" w14:paraId="1C02426C" w14:textId="77777777" w:rsidTr="003B52EB">
        <w:tc>
          <w:tcPr>
            <w:tcW w:w="0" w:type="auto"/>
            <w:tcMar>
              <w:left w:w="0" w:type="dxa"/>
              <w:right w:w="0" w:type="dxa"/>
            </w:tcMar>
            <w:vAlign w:val="center"/>
          </w:tcPr>
          <w:p w14:paraId="4630A6B3" w14:textId="77777777" w:rsidR="003B52EB" w:rsidRPr="00BC31E0" w:rsidRDefault="00A51873" w:rsidP="003B52EB">
            <w:pPr>
              <w:tabs>
                <w:tab w:val="left" w:pos="1985"/>
                <w:tab w:val="left" w:leader="middleDot" w:pos="8364"/>
              </w:tabs>
              <w:jc w:val="left"/>
              <w:rPr>
                <w:i/>
              </w:rPr>
            </w:pPr>
            <m:oMathPara>
              <m:oMathParaPr>
                <m:jc m:val="left"/>
              </m:oMathParaPr>
              <m:oMath>
                <m:f>
                  <m:fPr>
                    <m:ctrlPr>
                      <w:rPr>
                        <w:rFonts w:ascii="Cambria Math" w:hAnsi="Cambria Math"/>
                        <w:i/>
                      </w:rPr>
                    </m:ctrlPr>
                  </m:fPr>
                  <m:num>
                    <m:r>
                      <w:rPr>
                        <w:rFonts w:ascii="Cambria Math" w:hAnsi="Cambria Math"/>
                      </w:rPr>
                      <m:t>2 E</m:t>
                    </m:r>
                    <m:sSub>
                      <m:sSubPr>
                        <m:ctrlPr>
                          <w:rPr>
                            <w:rFonts w:ascii="Cambria Math" w:hAnsi="Cambria Math"/>
                            <w:i/>
                          </w:rPr>
                        </m:ctrlPr>
                      </m:sSubPr>
                      <m:e>
                        <m:r>
                          <w:rPr>
                            <w:rFonts w:ascii="Cambria Math" w:hAnsi="Cambria Math"/>
                          </w:rPr>
                          <m:t xml:space="preserve"> ε</m:t>
                        </m:r>
                      </m:e>
                      <m:sub>
                        <m:r>
                          <w:rPr>
                            <w:rFonts w:ascii="Cambria Math" w:hAnsi="Cambria Math"/>
                          </w:rPr>
                          <m:t>p</m:t>
                        </m:r>
                      </m:sub>
                    </m:sSub>
                  </m:num>
                  <m:den>
                    <m:r>
                      <w:rPr>
                        <w:rFonts w:ascii="Cambria Math" w:hAnsi="Cambria Math"/>
                      </w:rPr>
                      <m:t xml:space="preserve">1.15 </m:t>
                    </m:r>
                    <m:sSub>
                      <m:sSubPr>
                        <m:ctrlPr>
                          <w:rPr>
                            <w:rFonts w:ascii="Cambria Math" w:hAnsi="Cambria Math"/>
                            <w:i/>
                          </w:rPr>
                        </m:ctrlPr>
                      </m:sSubPr>
                      <m:e>
                        <m:r>
                          <w:rPr>
                            <w:rFonts w:ascii="Cambria Math" w:hAnsi="Cambria Math"/>
                          </w:rPr>
                          <m:t>S</m:t>
                        </m:r>
                      </m:e>
                      <m:sub>
                        <m:r>
                          <w:rPr>
                            <w:rFonts w:ascii="Cambria Math" w:hAnsi="Cambria Math"/>
                          </w:rPr>
                          <m:t>y</m:t>
                        </m:r>
                      </m:sub>
                    </m:sSub>
                  </m:den>
                </m:f>
                <m:r>
                  <w:rPr>
                    <w:rFonts w:ascii="Cambria Math" w:hAnsi="Cambria Math"/>
                  </w:rPr>
                  <m:t>=</m:t>
                </m:r>
                <m:d>
                  <m:dPr>
                    <m:ctrlPr>
                      <w:rPr>
                        <w:rFonts w:ascii="Cambria Math" w:hAnsi="Cambria Math"/>
                        <w:i/>
                      </w:rPr>
                    </m:ctrlPr>
                  </m:dPr>
                  <m:e>
                    <m:r>
                      <w:rPr>
                        <w:rFonts w:ascii="Cambria Math" w:hAnsi="Cambria Math"/>
                      </w:rPr>
                      <m:t>1-2ν</m:t>
                    </m:r>
                  </m:e>
                </m:d>
                <m:d>
                  <m:dPr>
                    <m:begChr m:val="{"/>
                    <m:endChr m:val="}"/>
                    <m:ctrlPr>
                      <w:rPr>
                        <w:rFonts w:ascii="Cambria Math" w:hAnsi="Cambria Math"/>
                        <w:i/>
                      </w:rPr>
                    </m:ctrlPr>
                  </m:dPr>
                  <m:e>
                    <m:r>
                      <m:rPr>
                        <m:sty m:val="bi"/>
                      </m:rPr>
                      <w:rPr>
                        <w:rFonts w:ascii="Cambria Math" w:hAnsi="Cambria Math"/>
                      </w:rPr>
                      <m:t xml:space="preserve"> ln</m:t>
                    </m:r>
                    <m:d>
                      <m:dPr>
                        <m:ctrlPr>
                          <w:rPr>
                            <w:rFonts w:ascii="Cambria Math" w:hAnsi="Cambria Math"/>
                            <w:i/>
                          </w:rPr>
                        </m:ctrlPr>
                      </m:dPr>
                      <m:e>
                        <m:f>
                          <m:fPr>
                            <m:type m:val="lin"/>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I</m:t>
                                    </m:r>
                                  </m:sub>
                                </m:sSub>
                              </m:e>
                              <m:sup>
                                <m:r>
                                  <w:rPr>
                                    <w:rFonts w:ascii="Cambria Math" w:hAnsi="Cambria Math"/>
                                  </w:rPr>
                                  <m:t>2</m:t>
                                </m:r>
                              </m:sup>
                            </m:sSup>
                          </m:num>
                          <m:den>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P</m:t>
                                    </m:r>
                                  </m:sub>
                                </m:sSub>
                              </m:e>
                              <m:sup>
                                <m:r>
                                  <w:rPr>
                                    <w:rFonts w:ascii="Cambria Math" w:hAnsi="Cambria Math"/>
                                  </w:rPr>
                                  <m:t>2</m:t>
                                </m:r>
                              </m:sup>
                            </m:sSup>
                          </m:den>
                        </m:f>
                      </m:e>
                    </m:d>
                    <m:r>
                      <w:rPr>
                        <w:rFonts w:ascii="Cambria Math" w:hAnsi="Cambria Math"/>
                      </w:rPr>
                      <m:t xml:space="preserve">-1 </m:t>
                    </m:r>
                  </m:e>
                </m:d>
                <m:r>
                  <w:rPr>
                    <w:rFonts w:ascii="Cambria Math" w:hAnsi="Cambria Math"/>
                  </w:rPr>
                  <m:t>+</m:t>
                </m:r>
                <m:d>
                  <m:dPr>
                    <m:ctrlPr>
                      <w:rPr>
                        <w:rFonts w:ascii="Cambria Math" w:hAnsi="Cambria Math"/>
                        <w:i/>
                      </w:rPr>
                    </m:ctrlPr>
                  </m:dPr>
                  <m:e>
                    <m:r>
                      <w:rPr>
                        <w:rFonts w:ascii="Cambria Math" w:hAnsi="Cambria Math"/>
                      </w:rPr>
                      <m:t>2-ν</m:t>
                    </m:r>
                  </m:e>
                </m:d>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P</m:t>
                                </m:r>
                              </m:sub>
                            </m:sSub>
                          </m:num>
                          <m:den>
                            <m:sSub>
                              <m:sSubPr>
                                <m:ctrlPr>
                                  <w:rPr>
                                    <w:rFonts w:ascii="Cambria Math" w:hAnsi="Cambria Math"/>
                                    <w:i/>
                                  </w:rPr>
                                </m:ctrlPr>
                              </m:sSubPr>
                              <m:e>
                                <m:r>
                                  <w:rPr>
                                    <w:rFonts w:ascii="Cambria Math" w:hAnsi="Cambria Math"/>
                                  </w:rPr>
                                  <m:t>D</m:t>
                                </m:r>
                              </m:e>
                              <m:sub>
                                <m:r>
                                  <w:rPr>
                                    <w:rFonts w:ascii="Cambria Math" w:hAnsi="Cambria Math"/>
                                  </w:rPr>
                                  <m:t>I</m:t>
                                </m:r>
                              </m:sub>
                            </m:sSub>
                          </m:den>
                        </m:f>
                      </m:e>
                    </m:d>
                  </m:e>
                  <m:sup>
                    <m:r>
                      <w:rPr>
                        <w:rFonts w:ascii="Cambria Math" w:hAnsi="Cambria Math"/>
                      </w:rPr>
                      <m:t>2</m:t>
                    </m:r>
                  </m:sup>
                </m:sSup>
                <m:r>
                  <w:rPr>
                    <w:rFonts w:ascii="Cambria Math" w:hAnsi="Cambria Math"/>
                  </w:rPr>
                  <m:t>+</m:t>
                </m:r>
                <m:d>
                  <m:dPr>
                    <m:ctrlPr>
                      <w:rPr>
                        <w:rFonts w:ascii="Cambria Math" w:hAnsi="Cambria Math"/>
                        <w:i/>
                      </w:rPr>
                    </m:ctrlPr>
                  </m:dPr>
                  <m:e>
                    <m:r>
                      <w:rPr>
                        <w:rFonts w:ascii="Cambria Math" w:hAnsi="Cambria Math"/>
                      </w:rPr>
                      <m:t>1-ν</m:t>
                    </m:r>
                  </m:e>
                </m:d>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P</m:t>
                                </m:r>
                              </m:sub>
                            </m:sSub>
                          </m:num>
                          <m:den>
                            <m:sSub>
                              <m:sSubPr>
                                <m:ctrlPr>
                                  <w:rPr>
                                    <w:rFonts w:ascii="Cambria Math" w:hAnsi="Cambria Math"/>
                                    <w:i/>
                                  </w:rPr>
                                </m:ctrlPr>
                              </m:sSubPr>
                              <m:e>
                                <m:r>
                                  <w:rPr>
                                    <w:rFonts w:ascii="Cambria Math" w:hAnsi="Cambria Math"/>
                                  </w:rPr>
                                  <m:t>D</m:t>
                                </m:r>
                              </m:e>
                              <m:sub>
                                <m:r>
                                  <w:rPr>
                                    <w:rFonts w:ascii="Cambria Math" w:hAnsi="Cambria Math"/>
                                  </w:rPr>
                                  <m:t>O</m:t>
                                </m:r>
                              </m:sub>
                            </m:sSub>
                          </m:den>
                        </m:f>
                      </m:e>
                    </m:d>
                  </m:e>
                  <m:sup>
                    <m:r>
                      <w:rPr>
                        <w:rFonts w:ascii="Cambria Math" w:hAnsi="Cambria Math"/>
                      </w:rPr>
                      <m:t>2</m:t>
                    </m:r>
                  </m:sup>
                </m:sSup>
              </m:oMath>
            </m:oMathPara>
          </w:p>
          <w:p w14:paraId="537804FB" w14:textId="77777777" w:rsidR="003B52EB" w:rsidRPr="00BC31E0" w:rsidRDefault="003B52EB" w:rsidP="003B52EB">
            <w:pPr>
              <w:tabs>
                <w:tab w:val="left" w:pos="1985"/>
                <w:tab w:val="left" w:leader="middleDot" w:pos="8364"/>
              </w:tabs>
              <w:jc w:val="left"/>
              <w:rPr>
                <w:i/>
              </w:rPr>
            </w:pPr>
            <m:oMathPara>
              <m:oMathParaPr>
                <m:jc m:val="left"/>
              </m:oMathParaPr>
              <m:oMath>
                <m:r>
                  <w:rPr>
                    <w:rFonts w:ascii="Cambria Math" w:hAnsi="Cambria Math"/>
                  </w:rPr>
                  <m:t xml:space="preserve">                  -</m:t>
                </m:r>
                <m:f>
                  <m:fPr>
                    <m:ctrlPr>
                      <w:rPr>
                        <w:rFonts w:ascii="Cambria Math" w:hAnsi="Cambria Math"/>
                        <w:i/>
                      </w:rPr>
                    </m:ctrlPr>
                  </m:fPr>
                  <m:num>
                    <m:d>
                      <m:dPr>
                        <m:begChr m:val="{"/>
                        <m:endChr m:val="}"/>
                        <m:ctrlPr>
                          <w:rPr>
                            <w:rFonts w:ascii="Cambria Math" w:hAnsi="Cambria Math"/>
                            <w:i/>
                          </w:rPr>
                        </m:ctrlPr>
                      </m:dPr>
                      <m:e>
                        <m:r>
                          <m:rPr>
                            <m:sty m:val="bi"/>
                          </m:rPr>
                          <w:rPr>
                            <w:rFonts w:ascii="Cambria Math" w:hAnsi="Cambria Math"/>
                          </w:rPr>
                          <m:t xml:space="preserve"> ln</m:t>
                        </m:r>
                        <m:d>
                          <m:dPr>
                            <m:ctrlPr>
                              <w:rPr>
                                <w:rFonts w:ascii="Cambria Math" w:hAnsi="Cambria Math"/>
                                <w:i/>
                              </w:rPr>
                            </m:ctrlPr>
                          </m:dPr>
                          <m:e>
                            <m:f>
                              <m:fPr>
                                <m:type m:val="lin"/>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P</m:t>
                                        </m:r>
                                      </m:sub>
                                    </m:sSub>
                                  </m:e>
                                  <m:sup>
                                    <m:r>
                                      <w:rPr>
                                        <w:rFonts w:ascii="Cambria Math" w:hAnsi="Cambria Math"/>
                                      </w:rPr>
                                      <m:t>2</m:t>
                                    </m:r>
                                  </m:sup>
                                </m:sSup>
                              </m:num>
                              <m:den>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I</m:t>
                                        </m:r>
                                      </m:sub>
                                    </m:sSub>
                                  </m:e>
                                  <m:sup>
                                    <m:r>
                                      <w:rPr>
                                        <w:rFonts w:ascii="Cambria Math" w:hAnsi="Cambria Math"/>
                                      </w:rPr>
                                      <m:t>2</m:t>
                                    </m:r>
                                  </m:sup>
                                </m:sSup>
                              </m:den>
                            </m:f>
                          </m:e>
                        </m:d>
                        <m:r>
                          <w:rPr>
                            <w:rFonts w:ascii="Cambria Math" w:hAnsi="Cambria Math"/>
                          </w:rPr>
                          <m:t>+</m:t>
                        </m:r>
                        <m:f>
                          <m:fPr>
                            <m:type m:val="lin"/>
                            <m:ctrlPr>
                              <w:rPr>
                                <w:rFonts w:ascii="Cambria Math" w:hAnsi="Cambria Math"/>
                                <w:i/>
                              </w:rPr>
                            </m:ctrlPr>
                          </m:fPr>
                          <m:num>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O</m:t>
                                        </m:r>
                                      </m:sub>
                                    </m:sSub>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P</m:t>
                                        </m:r>
                                      </m:sub>
                                    </m:sSub>
                                  </m:e>
                                  <m:sup>
                                    <m:r>
                                      <w:rPr>
                                        <w:rFonts w:ascii="Cambria Math" w:hAnsi="Cambria Math"/>
                                      </w:rPr>
                                      <m:t>2</m:t>
                                    </m:r>
                                  </m:sup>
                                </m:sSup>
                              </m:e>
                            </m:d>
                          </m:num>
                          <m:den>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O</m:t>
                                    </m:r>
                                  </m:sub>
                                </m:sSub>
                              </m:e>
                              <m:sup>
                                <m:r>
                                  <w:rPr>
                                    <w:rFonts w:ascii="Cambria Math" w:hAnsi="Cambria Math"/>
                                  </w:rPr>
                                  <m:t>2</m:t>
                                </m:r>
                              </m:sup>
                            </m:sSup>
                          </m:den>
                        </m:f>
                        <m:r>
                          <w:rPr>
                            <w:rFonts w:ascii="Cambria Math" w:hAnsi="Cambria Math"/>
                          </w:rPr>
                          <m:t xml:space="preserve"> </m:t>
                        </m:r>
                      </m:e>
                    </m:d>
                    <m:d>
                      <m:dPr>
                        <m:begChr m:val="{"/>
                        <m:endChr m:val="}"/>
                        <m:ctrlPr>
                          <w:rPr>
                            <w:rFonts w:ascii="Cambria Math" w:hAnsi="Cambria Math"/>
                            <w:i/>
                          </w:rPr>
                        </m:ctrlPr>
                      </m:dPr>
                      <m:e>
                        <m:r>
                          <w:rPr>
                            <w:rFonts w:ascii="Cambria Math" w:hAnsi="Cambria Math"/>
                          </w:rPr>
                          <m:t xml:space="preserve"> 1-ν+</m:t>
                        </m:r>
                        <m:d>
                          <m:dPr>
                            <m:ctrlPr>
                              <w:rPr>
                                <w:rFonts w:ascii="Cambria Math" w:hAnsi="Cambria Math"/>
                                <w:i/>
                              </w:rPr>
                            </m:ctrlPr>
                          </m:dPr>
                          <m:e>
                            <m:r>
                              <w:rPr>
                                <w:rFonts w:ascii="Cambria Math" w:hAnsi="Cambria Math"/>
                              </w:rPr>
                              <m:t>1+ν</m:t>
                            </m:r>
                          </m:e>
                        </m:d>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 xml:space="preserve"> </m:t>
                        </m:r>
                      </m:e>
                    </m:d>
                  </m:num>
                  <m:den>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-1</m:t>
                    </m:r>
                  </m:den>
                </m:f>
              </m:oMath>
            </m:oMathPara>
          </w:p>
        </w:tc>
        <w:tc>
          <w:tcPr>
            <w:tcW w:w="1089" w:type="dxa"/>
            <w:tcMar>
              <w:left w:w="0" w:type="dxa"/>
              <w:right w:w="0" w:type="dxa"/>
            </w:tcMar>
            <w:vAlign w:val="center"/>
          </w:tcPr>
          <w:p w14:paraId="3E63F6DD" w14:textId="77777777" w:rsidR="003B52EB" w:rsidRPr="00BC31E0" w:rsidRDefault="003B52EB" w:rsidP="003B52EB">
            <w:pPr>
              <w:tabs>
                <w:tab w:val="left" w:leader="middleDot" w:pos="381"/>
              </w:tabs>
              <w:jc w:val="left"/>
            </w:pPr>
            <w:r w:rsidRPr="00BC31E0">
              <w:tab/>
            </w:r>
            <w:r w:rsidRPr="00BC31E0">
              <w:rPr>
                <w:rFonts w:hint="eastAsia"/>
              </w:rPr>
              <w:t>(6.5.3)</w:t>
            </w:r>
          </w:p>
        </w:tc>
      </w:tr>
    </w:tbl>
    <w:p w14:paraId="1DBADD50" w14:textId="77777777" w:rsidR="003B52EB" w:rsidRPr="00BC31E0" w:rsidRDefault="003B52EB" w:rsidP="00736130">
      <w:pPr>
        <w:pStyle w:val="a4"/>
        <w:numPr>
          <w:ilvl w:val="0"/>
          <w:numId w:val="357"/>
        </w:numPr>
        <w:spacing w:before="120" w:after="120"/>
        <w:ind w:leftChars="0" w:left="738" w:hanging="454"/>
      </w:pPr>
      <w:r w:rsidRPr="00BC31E0">
        <w:rPr>
          <w:rFonts w:asciiTheme="majorEastAsia" w:eastAsiaTheme="majorEastAsia" w:hAnsiTheme="majorEastAsia" w:hint="eastAsia"/>
          <w:b/>
        </w:rPr>
        <w:t>最大自緊圧力</w:t>
      </w:r>
      <m:oMath>
        <m:sSub>
          <m:sSubPr>
            <m:ctrlPr>
              <w:rPr>
                <w:rFonts w:ascii="Cambria Math" w:eastAsiaTheme="majorEastAsia" w:hAnsiTheme="majorEastAsia"/>
                <w:b/>
                <w:i/>
                <w:vertAlign w:val="subscript"/>
              </w:rPr>
            </m:ctrlPr>
          </m:sSubPr>
          <m:e>
            <m:r>
              <m:rPr>
                <m:sty m:val="bi"/>
              </m:rPr>
              <w:rPr>
                <w:rFonts w:ascii="Cambria Math" w:eastAsiaTheme="majorEastAsia" w:hAnsiTheme="majorEastAsia"/>
                <w:vertAlign w:val="subscript"/>
              </w:rPr>
              <m:t xml:space="preserve"> </m:t>
            </m:r>
            <m:r>
              <m:rPr>
                <m:sty m:val="bi"/>
              </m:rPr>
              <w:rPr>
                <w:rFonts w:ascii="Cambria Math" w:eastAsiaTheme="majorEastAsia" w:hAnsi="Cambria Math"/>
                <w:vertAlign w:val="subscript"/>
              </w:rPr>
              <m:t>P</m:t>
            </m:r>
          </m:e>
          <m:sub>
            <m:r>
              <m:rPr>
                <m:sty m:val="bi"/>
              </m:rPr>
              <w:rPr>
                <w:rFonts w:ascii="Cambria Math" w:eastAsiaTheme="majorEastAsia" w:hAnsi="Cambria Math"/>
                <w:vertAlign w:val="subscript"/>
              </w:rPr>
              <m:t>A</m:t>
            </m:r>
          </m:sub>
        </m:sSub>
        <m:r>
          <m:rPr>
            <m:sty m:val="b"/>
          </m:rPr>
          <w:rPr>
            <w:rFonts w:ascii="Cambria Math" w:eastAsiaTheme="majorEastAsia" w:hAnsiTheme="majorEastAsia"/>
            <w:vertAlign w:val="subscript"/>
          </w:rPr>
          <m:t xml:space="preserve"> </m:t>
        </m:r>
      </m:oMath>
      <w:r w:rsidRPr="00BC31E0">
        <w:rPr>
          <w:rFonts w:asciiTheme="majorEastAsia" w:eastAsiaTheme="majorEastAsia" w:hAnsiTheme="majorEastAsia" w:hint="eastAsia"/>
          <w:b/>
        </w:rPr>
        <w:t>が既知の場合</w:t>
      </w:r>
      <w:r w:rsidRPr="00BC31E0">
        <w:rPr>
          <w:rFonts w:hAnsi="ＭＳ ゴシック" w:hint="eastAsia"/>
        </w:rPr>
        <w:t xml:space="preserve">　</w:t>
      </w:r>
      <m:oMath>
        <m:sSub>
          <m:sSubPr>
            <m:ctrlPr>
              <w:rPr>
                <w:rFonts w:ascii="Cambria Math" w:eastAsiaTheme="minorEastAsia" w:hAnsi="Cambria Math"/>
                <w:vertAlign w:val="subscript"/>
              </w:rPr>
            </m:ctrlPr>
          </m:sSubPr>
          <m:e>
            <m:r>
              <w:rPr>
                <w:rFonts w:ascii="Cambria Math" w:eastAsiaTheme="minorEastAsia" w:hAnsi="Cambria Math"/>
                <w:vertAlign w:val="subscript"/>
              </w:rPr>
              <m:t>P</m:t>
            </m:r>
          </m:e>
          <m:sub>
            <m:r>
              <w:rPr>
                <w:rFonts w:ascii="Cambria Math" w:eastAsiaTheme="minorEastAsia" w:hAnsi="Cambria Math"/>
                <w:vertAlign w:val="subscript"/>
              </w:rPr>
              <m:t>A</m:t>
            </m:r>
          </m:sub>
        </m:sSub>
      </m:oMath>
      <w:r w:rsidRPr="00BC31E0">
        <w:rPr>
          <w:rFonts w:asciiTheme="minorHAnsi" w:eastAsiaTheme="minorEastAsia" w:hAnsiTheme="minorHAnsi"/>
          <w:vertAlign w:val="subscript"/>
        </w:rPr>
        <w:t xml:space="preserve"> </w:t>
      </w:r>
      <w:r w:rsidRPr="00BC31E0">
        <w:rPr>
          <w:rFonts w:asciiTheme="minorHAnsi" w:eastAsiaTheme="minorEastAsia" w:hAnsiTheme="minorEastAsia"/>
        </w:rPr>
        <w:t>が測定され，</w:t>
      </w:r>
      <m:oMath>
        <m:r>
          <w:rPr>
            <w:rFonts w:ascii="Cambria Math" w:eastAsiaTheme="minorEastAsia" w:hAnsi="Cambria Math"/>
          </w:rPr>
          <m:t>M</m:t>
        </m:r>
        <m:r>
          <m:rPr>
            <m:sty m:val="p"/>
          </m:rPr>
          <w:rPr>
            <w:rFonts w:ascii="Cambria Math" w:eastAsiaTheme="minorEastAsia" w:hAnsi="Cambria Math"/>
          </w:rPr>
          <m:t>&lt;</m:t>
        </m:r>
        <m:r>
          <w:rPr>
            <w:rFonts w:ascii="Cambria Math" w:eastAsiaTheme="minorEastAsia" w:hAnsi="Cambria Math"/>
          </w:rPr>
          <m:t xml:space="preserve">0.4 </m:t>
        </m:r>
      </m:oMath>
      <w:r w:rsidRPr="00BC31E0">
        <w:rPr>
          <w:rFonts w:asciiTheme="minorHAnsi" w:eastAsiaTheme="minorEastAsia" w:hAnsiTheme="minorEastAsia"/>
        </w:rPr>
        <w:t>の条件を満足する場合には，次式で</w:t>
      </w:r>
      <m:oMath>
        <m:sSub>
          <m:sSubPr>
            <m:ctrlPr>
              <w:rPr>
                <w:rFonts w:ascii="Cambria Math" w:eastAsiaTheme="minorEastAsia" w:hAnsi="Cambria Math"/>
              </w:rPr>
            </m:ctrlPr>
          </m:sSubPr>
          <m:e>
            <m:r>
              <w:rPr>
                <w:rFonts w:ascii="Cambria Math" w:eastAsiaTheme="minorEastAsia" w:hAnsi="Cambria Math"/>
              </w:rPr>
              <m:t>D</m:t>
            </m:r>
          </m:e>
          <m:sub>
            <m:r>
              <w:rPr>
                <w:rFonts w:ascii="Cambria Math" w:eastAsiaTheme="minorEastAsia" w:hAnsi="Cambria Math"/>
              </w:rPr>
              <m:t>P</m:t>
            </m:r>
          </m:sub>
        </m:sSub>
      </m:oMath>
      <w:r w:rsidRPr="00BC31E0">
        <w:rPr>
          <w:rFonts w:asciiTheme="minorHAnsi" w:eastAsiaTheme="minorEastAsia" w:hAnsiTheme="minorEastAsia"/>
        </w:rPr>
        <w:t>を変化させて，反復法による数値計算により</w:t>
      </w:r>
      <m:oMath>
        <m:sSub>
          <m:sSubPr>
            <m:ctrlPr>
              <w:rPr>
                <w:rFonts w:ascii="Cambria Math" w:eastAsiaTheme="minorEastAsia" w:hAnsi="Cambria Math"/>
              </w:rPr>
            </m:ctrlPr>
          </m:sSubPr>
          <m:e>
            <m:r>
              <w:rPr>
                <w:rFonts w:ascii="Cambria Math" w:eastAsiaTheme="minorEastAsia" w:hAnsi="Cambria Math"/>
              </w:rPr>
              <m:t>D</m:t>
            </m:r>
          </m:e>
          <m:sub>
            <m:r>
              <w:rPr>
                <w:rFonts w:ascii="Cambria Math" w:eastAsiaTheme="minorEastAsia" w:hAnsi="Cambria Math"/>
              </w:rPr>
              <m:t>P</m:t>
            </m:r>
          </m:sub>
        </m:sSub>
        <m:r>
          <m:rPr>
            <m:sty m:val="p"/>
          </m:rPr>
          <w:rPr>
            <w:rFonts w:ascii="Cambria Math" w:eastAsiaTheme="minorEastAsia" w:hAnsi="Cambria Math"/>
          </w:rPr>
          <m:t xml:space="preserve"> </m:t>
        </m:r>
      </m:oMath>
      <w:r w:rsidRPr="00BC31E0">
        <w:rPr>
          <w:rFonts w:asciiTheme="minorHAnsi" w:eastAsiaTheme="minorEastAsia" w:hAnsiTheme="minorEastAsia"/>
        </w:rPr>
        <w:t>を計算する。</w:t>
      </w:r>
    </w:p>
    <w:p w14:paraId="24C902C2" w14:textId="77777777" w:rsidR="003B52EB" w:rsidRPr="00BC31E0" w:rsidRDefault="003B52EB" w:rsidP="003B52EB">
      <w:pPr>
        <w:tabs>
          <w:tab w:val="left" w:pos="1985"/>
          <w:tab w:val="left" w:leader="middleDot" w:pos="8364"/>
        </w:tabs>
      </w:pPr>
      <w:r w:rsidRPr="00BC31E0">
        <w:rPr>
          <w:rFonts w:hint="eastAsia"/>
        </w:rPr>
        <w:tab/>
      </w:r>
      <m:oMath>
        <m:sSub>
          <m:sSubPr>
            <m:ctrlPr>
              <w:rPr>
                <w:rFonts w:ascii="Cambria Math" w:hAnsi="Cambria Math"/>
                <w:i/>
              </w:rPr>
            </m:ctrlPr>
          </m:sSubPr>
          <m:e>
            <m:r>
              <w:rPr>
                <w:rFonts w:ascii="Cambria Math" w:hAnsi="Cambria Math"/>
              </w:rPr>
              <m:t>P</m:t>
            </m:r>
          </m:e>
          <m:sub>
            <m:r>
              <w:rPr>
                <w:rFonts w:ascii="Cambria Math" w:hAnsi="Cambria Math"/>
              </w:rPr>
              <m:t>A</m:t>
            </m:r>
          </m:sub>
        </m:sSub>
        <m:r>
          <w:rPr>
            <w:rFonts w:ascii="Cambria Math" w:hAnsi="Cambria Math"/>
          </w:rPr>
          <m:t>=1.15</m:t>
        </m:r>
        <m:sSub>
          <m:sSubPr>
            <m:ctrlPr>
              <w:rPr>
                <w:rFonts w:ascii="Cambria Math" w:hAnsi="Cambria Math"/>
                <w:i/>
              </w:rPr>
            </m:ctrlPr>
          </m:sSubPr>
          <m:e>
            <m:r>
              <w:rPr>
                <w:rFonts w:ascii="Cambria Math" w:hAnsi="Cambria Math"/>
              </w:rPr>
              <m:t xml:space="preserve"> S</m:t>
            </m:r>
          </m:e>
          <m:sub>
            <m:r>
              <w:rPr>
                <w:rFonts w:ascii="Cambria Math" w:hAnsi="Cambria Math"/>
              </w:rPr>
              <m:t>y</m:t>
            </m:r>
          </m:sub>
        </m:sSub>
        <m:r>
          <w:rPr>
            <w:rFonts w:ascii="Cambria Math" w:hAnsi="Cambria Math"/>
          </w:rPr>
          <m:t xml:space="preserve"> </m:t>
        </m:r>
        <m:d>
          <m:dPr>
            <m:begChr m:val="{"/>
            <m:endChr m:val="}"/>
            <m:ctrlPr>
              <w:rPr>
                <w:rFonts w:ascii="Cambria Math" w:hAnsi="Cambria Math"/>
                <w:i/>
              </w:rPr>
            </m:ctrlPr>
          </m:dPr>
          <m:e>
            <m:r>
              <m:rPr>
                <m:sty m:val="bi"/>
              </m:rPr>
              <w:rPr>
                <w:rFonts w:ascii="Cambria Math" w:hAnsi="Cambria Math"/>
              </w:rPr>
              <m:t xml:space="preserve"> ln</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P</m:t>
                        </m:r>
                      </m:sub>
                    </m:sSub>
                  </m:num>
                  <m:den>
                    <m:sSub>
                      <m:sSubPr>
                        <m:ctrlPr>
                          <w:rPr>
                            <w:rFonts w:ascii="Cambria Math" w:hAnsi="Cambria Math"/>
                            <w:i/>
                          </w:rPr>
                        </m:ctrlPr>
                      </m:sSubPr>
                      <m:e>
                        <m:r>
                          <w:rPr>
                            <w:rFonts w:ascii="Cambria Math" w:hAnsi="Cambria Math"/>
                          </w:rPr>
                          <m:t>D</m:t>
                        </m:r>
                      </m:e>
                      <m:sub>
                        <m:r>
                          <w:rPr>
                            <w:rFonts w:ascii="Cambria Math" w:hAnsi="Cambria Math"/>
                          </w:rPr>
                          <m:t>I</m:t>
                        </m:r>
                      </m:sub>
                    </m:sSub>
                  </m:den>
                </m:f>
              </m:e>
            </m:d>
            <m:r>
              <w:rPr>
                <w:rFonts w:ascii="Cambria Math" w:hAnsi="Cambria Math"/>
              </w:rPr>
              <m:t>+</m:t>
            </m:r>
            <m:f>
              <m:fPr>
                <m:type m:val="lin"/>
                <m:ctrlPr>
                  <w:rPr>
                    <w:rFonts w:ascii="Cambria Math" w:hAnsi="Cambria Math"/>
                    <w:i/>
                  </w:rPr>
                </m:ctrlPr>
              </m:fPr>
              <m:num>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O</m:t>
                            </m:r>
                          </m:sub>
                        </m:sSub>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P</m:t>
                            </m:r>
                          </m:sub>
                        </m:sSub>
                      </m:e>
                      <m:sup>
                        <m:r>
                          <w:rPr>
                            <w:rFonts w:ascii="Cambria Math" w:hAnsi="Cambria Math"/>
                          </w:rPr>
                          <m:t>2</m:t>
                        </m:r>
                      </m:sup>
                    </m:sSup>
                  </m:e>
                </m:d>
              </m:num>
              <m:den>
                <m:d>
                  <m:dPr>
                    <m:ctrlPr>
                      <w:rPr>
                        <w:rFonts w:ascii="Cambria Math" w:hAnsi="Cambria Math"/>
                        <w:i/>
                      </w:rPr>
                    </m:ctrlPr>
                  </m:dPr>
                  <m:e>
                    <m:r>
                      <w:rPr>
                        <w:rFonts w:ascii="Cambria Math" w:hAnsi="Cambria Math"/>
                      </w:rPr>
                      <m:t xml:space="preserve">2 </m:t>
                    </m:r>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O</m:t>
                            </m:r>
                          </m:sub>
                        </m:sSub>
                      </m:e>
                      <m:sup>
                        <m:r>
                          <w:rPr>
                            <w:rFonts w:ascii="Cambria Math" w:hAnsi="Cambria Math"/>
                          </w:rPr>
                          <m:t>2</m:t>
                        </m:r>
                      </m:sup>
                    </m:sSup>
                  </m:e>
                </m:d>
              </m:den>
            </m:f>
            <m:r>
              <w:rPr>
                <w:rFonts w:ascii="Cambria Math" w:hAnsi="Cambria Math"/>
              </w:rPr>
              <m:t xml:space="preserve"> </m:t>
            </m:r>
          </m:e>
        </m:d>
      </m:oMath>
      <w:r w:rsidRPr="00BC31E0">
        <w:rPr>
          <w:rFonts w:hint="eastAsia"/>
        </w:rPr>
        <w:tab/>
        <w:t>(6.5.4)</w:t>
      </w:r>
    </w:p>
    <w:p w14:paraId="4E7B84E6" w14:textId="77777777" w:rsidR="003B52EB" w:rsidRPr="00BC31E0" w:rsidRDefault="003B52EB" w:rsidP="00736130">
      <w:pPr>
        <w:pStyle w:val="a4"/>
        <w:numPr>
          <w:ilvl w:val="0"/>
          <w:numId w:val="129"/>
        </w:numPr>
        <w:spacing w:before="120"/>
        <w:ind w:leftChars="0" w:left="454" w:hanging="454"/>
      </w:pPr>
      <w:r w:rsidRPr="00BC31E0">
        <w:rPr>
          <w:rFonts w:asciiTheme="majorEastAsia" w:eastAsiaTheme="majorEastAsia" w:hAnsiTheme="majorEastAsia" w:hint="eastAsia"/>
          <w:b/>
        </w:rPr>
        <w:t>塑性領域(</w:t>
      </w:r>
      <m:oMath>
        <m:sSub>
          <m:sSubPr>
            <m:ctrlPr>
              <w:rPr>
                <w:rFonts w:ascii="Cambria Math" w:hAnsi="Cambria Math"/>
                <w:b/>
                <w:i/>
              </w:rPr>
            </m:ctrlPr>
          </m:sSubPr>
          <m:e>
            <m:r>
              <m:rPr>
                <m:sty m:val="bi"/>
              </m:rPr>
              <w:rPr>
                <w:rFonts w:ascii="Cambria Math" w:hAnsi="Cambria Math"/>
              </w:rPr>
              <m:t>D</m:t>
            </m:r>
          </m:e>
          <m:sub>
            <m:r>
              <m:rPr>
                <m:sty m:val="bi"/>
              </m:rPr>
              <w:rPr>
                <w:rFonts w:ascii="Cambria Math" w:hAnsi="Cambria Math"/>
              </w:rPr>
              <m:t>I</m:t>
            </m:r>
          </m:sub>
        </m:sSub>
        <m:r>
          <m:rPr>
            <m:sty m:val="b"/>
          </m:rPr>
          <w:rPr>
            <w:rFonts w:ascii="Cambria Math" w:hAnsi="Cambria Math"/>
          </w:rPr>
          <m:t>≦</m:t>
        </m:r>
        <m:r>
          <m:rPr>
            <m:sty m:val="bi"/>
          </m:rPr>
          <w:rPr>
            <w:rFonts w:ascii="Cambria Math" w:hAnsi="Cambria Math"/>
          </w:rPr>
          <m:t>D</m:t>
        </m:r>
        <m:r>
          <m:rPr>
            <m:sty m:val="b"/>
          </m:rPr>
          <w:rPr>
            <w:rFonts w:ascii="Cambria Math" w:hAnsi="Cambria Math"/>
          </w:rPr>
          <m:t>≦</m:t>
        </m:r>
        <m:sSub>
          <m:sSubPr>
            <m:ctrlPr>
              <w:rPr>
                <w:rFonts w:ascii="Cambria Math" w:hAnsi="Cambria Math"/>
                <w:b/>
                <w:i/>
              </w:rPr>
            </m:ctrlPr>
          </m:sSubPr>
          <m:e>
            <m:r>
              <m:rPr>
                <m:sty m:val="bi"/>
              </m:rPr>
              <w:rPr>
                <w:rFonts w:ascii="Cambria Math" w:hAnsi="Cambria Math"/>
              </w:rPr>
              <m:t>D</m:t>
            </m:r>
          </m:e>
          <m:sub>
            <m:r>
              <m:rPr>
                <m:sty m:val="bi"/>
              </m:rPr>
              <w:rPr>
                <w:rFonts w:ascii="Cambria Math" w:hAnsi="Cambria Math"/>
              </w:rPr>
              <m:t>P</m:t>
            </m:r>
          </m:sub>
        </m:sSub>
      </m:oMath>
      <w:r w:rsidRPr="00BC31E0">
        <w:rPr>
          <w:rFonts w:ascii="ＭＳ ゴシック" w:eastAsia="ＭＳ ゴシック" w:hAnsi="ＭＳ ゴシック" w:hint="eastAsia"/>
          <w:b/>
        </w:rPr>
        <w:t>)</w:t>
      </w:r>
      <w:r w:rsidRPr="00BC31E0">
        <w:rPr>
          <w:rFonts w:asciiTheme="majorEastAsia" w:eastAsiaTheme="majorEastAsia" w:hAnsiTheme="majorEastAsia" w:hint="eastAsia"/>
          <w:b/>
        </w:rPr>
        <w:t>における残留応力</w:t>
      </w:r>
      <w:r w:rsidRPr="00BC31E0">
        <w:rPr>
          <w:rFonts w:hint="eastAsia"/>
        </w:rPr>
        <w:t xml:space="preserve">　</w:t>
      </w:r>
      <w:r w:rsidRPr="00BC31E0">
        <w:rPr>
          <w:rFonts w:asciiTheme="minorEastAsia" w:eastAsiaTheme="minorEastAsia" w:hAnsiTheme="minorEastAsia" w:hint="eastAsia"/>
        </w:rPr>
        <w:t>内圧の負荷，徐荷の単一サイクルに対する自緊による残留応力の計算式を示す。</w:t>
      </w:r>
    </w:p>
    <w:p w14:paraId="73A63CC6" w14:textId="77777777" w:rsidR="003B52EB" w:rsidRPr="00BC31E0" w:rsidRDefault="003B52EB" w:rsidP="00736130">
      <w:pPr>
        <w:pStyle w:val="a4"/>
        <w:numPr>
          <w:ilvl w:val="0"/>
          <w:numId w:val="271"/>
        </w:numPr>
        <w:spacing w:after="120"/>
        <w:ind w:leftChars="0" w:left="738" w:hanging="454"/>
        <w:rPr>
          <w:b/>
        </w:rPr>
      </w:pPr>
      <w:r w:rsidRPr="00BC31E0">
        <w:rPr>
          <w:rFonts w:asciiTheme="majorEastAsia" w:eastAsiaTheme="majorEastAsia" w:hAnsiTheme="majorEastAsia" w:hint="eastAsia"/>
          <w:b/>
        </w:rPr>
        <w:t>除荷時に再降伏しない場合</w:t>
      </w:r>
      <w:r w:rsidRPr="00BC31E0">
        <w:rPr>
          <w:rFonts w:hint="eastAsia"/>
        </w:rPr>
        <w:t xml:space="preserve">　</w:t>
      </w:r>
      <m:oMath>
        <m:sSub>
          <m:sSubPr>
            <m:ctrlPr>
              <w:rPr>
                <w:rFonts w:ascii="Cambria Math" w:eastAsiaTheme="minorEastAsia" w:hAnsiTheme="minorHAnsi"/>
              </w:rPr>
            </m:ctrlPr>
          </m:sSubPr>
          <m:e>
            <m:r>
              <w:rPr>
                <w:rFonts w:ascii="Cambria Math" w:eastAsiaTheme="minorEastAsia" w:hAnsi="Cambria Math"/>
              </w:rPr>
              <m:t>D</m:t>
            </m:r>
          </m:e>
          <m:sub>
            <m:r>
              <w:rPr>
                <w:rFonts w:ascii="Cambria Math" w:eastAsiaTheme="minorEastAsia" w:hAnsi="Cambria Math"/>
              </w:rPr>
              <m:t>I</m:t>
            </m:r>
          </m:sub>
        </m:sSub>
        <m:r>
          <m:rPr>
            <m:sty m:val="p"/>
          </m:rPr>
          <w:rPr>
            <w:rFonts w:asciiTheme="minorHAnsi" w:eastAsiaTheme="minorEastAsia" w:hAnsiTheme="minorEastAsia"/>
          </w:rPr>
          <m:t>≦</m:t>
        </m:r>
        <m:r>
          <w:rPr>
            <w:rFonts w:ascii="Cambria Math" w:eastAsiaTheme="minorEastAsia" w:hAnsi="Cambria Math"/>
          </w:rPr>
          <m:t>D</m:t>
        </m:r>
        <m:r>
          <m:rPr>
            <m:sty m:val="p"/>
          </m:rPr>
          <w:rPr>
            <w:rFonts w:asciiTheme="minorHAnsi" w:eastAsiaTheme="minorEastAsia" w:hAnsiTheme="minorEastAsia"/>
          </w:rPr>
          <m:t>≦</m:t>
        </m:r>
        <m:sSub>
          <m:sSubPr>
            <m:ctrlPr>
              <w:rPr>
                <w:rFonts w:ascii="Cambria Math" w:eastAsiaTheme="minorEastAsia" w:hAnsiTheme="minorHAnsi"/>
              </w:rPr>
            </m:ctrlPr>
          </m:sSubPr>
          <m:e>
            <m:r>
              <w:rPr>
                <w:rFonts w:ascii="Cambria Math" w:eastAsiaTheme="minorEastAsia" w:hAnsi="Cambria Math"/>
              </w:rPr>
              <m:t>D</m:t>
            </m:r>
          </m:e>
          <m:sub>
            <m:r>
              <w:rPr>
                <w:rFonts w:ascii="Cambria Math" w:eastAsiaTheme="minorEastAsia" w:hAnsi="Cambria Math"/>
              </w:rPr>
              <m:t>P</m:t>
            </m:r>
          </m:sub>
        </m:sSub>
        <m:r>
          <m:rPr>
            <m:sty m:val="p"/>
          </m:rPr>
          <w:rPr>
            <w:rFonts w:ascii="Cambria Math" w:eastAsiaTheme="minorEastAsia" w:hAnsiTheme="minorHAnsi"/>
          </w:rPr>
          <m:t xml:space="preserve"> </m:t>
        </m:r>
      </m:oMath>
      <w:r w:rsidRPr="00BC31E0">
        <w:rPr>
          <w:rFonts w:asciiTheme="minorHAnsi" w:eastAsiaTheme="minorEastAsia" w:hAnsiTheme="minorEastAsia"/>
        </w:rPr>
        <w:t>における残留応力</w:t>
      </w:r>
      <m:oMath>
        <m:sSub>
          <m:sSubPr>
            <m:ctrlPr>
              <w:rPr>
                <w:rFonts w:ascii="Cambria Math" w:eastAsiaTheme="minorEastAsia" w:hAnsiTheme="minorHAnsi"/>
              </w:rPr>
            </m:ctrlPr>
          </m:sSubPr>
          <m:e>
            <m:r>
              <m:rPr>
                <m:sty m:val="p"/>
              </m:rPr>
              <w:rPr>
                <w:rFonts w:ascii="Cambria Math" w:eastAsiaTheme="minorEastAsia" w:hAnsiTheme="minorHAnsi"/>
              </w:rPr>
              <m:t xml:space="preserve"> </m:t>
            </m:r>
            <m:r>
              <w:rPr>
                <w:rFonts w:ascii="Cambria Math" w:eastAsiaTheme="minorEastAsia" w:hAnsi="Cambria Math"/>
              </w:rPr>
              <m:t>σ</m:t>
            </m:r>
          </m:e>
          <m:sub>
            <m:r>
              <w:rPr>
                <w:rFonts w:ascii="Cambria Math" w:eastAsiaTheme="minorEastAsia" w:hAnsi="Cambria Math"/>
              </w:rPr>
              <m:t>tRA</m:t>
            </m:r>
          </m:sub>
        </m:sSub>
        <m:r>
          <m:rPr>
            <m:sty m:val="p"/>
          </m:rPr>
          <w:rPr>
            <w:rFonts w:ascii="Cambria Math" w:eastAsiaTheme="minorEastAsia" w:hAnsiTheme="minorHAnsi"/>
          </w:rPr>
          <m:t xml:space="preserve"> </m:t>
        </m:r>
      </m:oMath>
      <w:r w:rsidRPr="00BC31E0">
        <w:rPr>
          <w:rFonts w:asciiTheme="minorHAnsi" w:eastAsiaTheme="minorEastAsia" w:hAnsiTheme="minorEastAsia"/>
          <w:iCs/>
        </w:rPr>
        <w:t>及び</w:t>
      </w:r>
      <m:oMath>
        <m:sSub>
          <m:sSubPr>
            <m:ctrlPr>
              <w:rPr>
                <w:rFonts w:ascii="Cambria Math" w:eastAsiaTheme="minorEastAsia" w:hAnsiTheme="minorHAnsi"/>
              </w:rPr>
            </m:ctrlPr>
          </m:sSubPr>
          <m:e>
            <m:r>
              <m:rPr>
                <m:sty m:val="p"/>
              </m:rPr>
              <w:rPr>
                <w:rFonts w:ascii="Cambria Math" w:eastAsiaTheme="minorEastAsia" w:hAnsiTheme="minorHAnsi"/>
              </w:rPr>
              <m:t xml:space="preserve"> </m:t>
            </m:r>
            <m:r>
              <w:rPr>
                <w:rFonts w:ascii="Cambria Math" w:eastAsiaTheme="minorEastAsia" w:hAnsi="Cambria Math"/>
              </w:rPr>
              <m:t>σ</m:t>
            </m:r>
          </m:e>
          <m:sub>
            <m:r>
              <w:rPr>
                <w:rFonts w:ascii="Cambria Math" w:eastAsiaTheme="minorEastAsia" w:hAnsi="Cambria Math"/>
              </w:rPr>
              <m:t>rRA</m:t>
            </m:r>
            <m:r>
              <m:rPr>
                <m:sty m:val="p"/>
              </m:rPr>
              <w:rPr>
                <w:rFonts w:ascii="Cambria Math" w:eastAsiaTheme="minorEastAsia" w:hAnsiTheme="minorHAnsi"/>
              </w:rPr>
              <m:t xml:space="preserve"> </m:t>
            </m:r>
          </m:sub>
        </m:sSub>
      </m:oMath>
      <w:r w:rsidRPr="00BC31E0">
        <w:rPr>
          <w:rFonts w:asciiTheme="minorHAnsi" w:eastAsiaTheme="minorEastAsia" w:hAnsiTheme="minorEastAsia"/>
        </w:rPr>
        <w:t>を，</w:t>
      </w:r>
      <w:r w:rsidRPr="00BC31E0">
        <w:rPr>
          <w:rFonts w:asciiTheme="majorEastAsia" w:eastAsiaTheme="majorEastAsia" w:hAnsiTheme="majorEastAsia"/>
          <w:b/>
          <w:bCs/>
        </w:rPr>
        <w:t>式(6.5.5)</w:t>
      </w:r>
      <w:r w:rsidRPr="00BC31E0">
        <w:rPr>
          <w:rFonts w:asciiTheme="minorHAnsi" w:eastAsiaTheme="minorEastAsia" w:hAnsiTheme="minorEastAsia"/>
        </w:rPr>
        <w:t>及び</w:t>
      </w:r>
      <w:r w:rsidRPr="00BC31E0">
        <w:rPr>
          <w:rFonts w:asciiTheme="majorEastAsia" w:eastAsiaTheme="majorEastAsia" w:hAnsiTheme="majorEastAsia"/>
          <w:b/>
          <w:bCs/>
        </w:rPr>
        <w:t>式(6.5.6)</w:t>
      </w:r>
      <w:r w:rsidRPr="00BC31E0">
        <w:rPr>
          <w:rFonts w:asciiTheme="minorHAnsi" w:eastAsiaTheme="minorEastAsia" w:hAnsiTheme="minorEastAsia"/>
        </w:rPr>
        <w:t>により計算する。</w:t>
      </w:r>
    </w:p>
    <w:tbl>
      <w:tblPr>
        <w:tblStyle w:val="afff2"/>
        <w:tblW w:w="8363"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5"/>
        <w:gridCol w:w="1308"/>
      </w:tblGrid>
      <w:tr w:rsidR="003B52EB" w:rsidRPr="00BC31E0" w14:paraId="719D571F" w14:textId="77777777" w:rsidTr="003B52EB">
        <w:tc>
          <w:tcPr>
            <w:tcW w:w="0" w:type="auto"/>
            <w:tcMar>
              <w:left w:w="0" w:type="dxa"/>
              <w:right w:w="0" w:type="dxa"/>
            </w:tcMar>
            <w:vAlign w:val="center"/>
          </w:tcPr>
          <w:p w14:paraId="4B76743C" w14:textId="77777777" w:rsidR="003B52EB" w:rsidRPr="00BC31E0" w:rsidRDefault="00A51873" w:rsidP="003B52EB">
            <w:pPr>
              <w:tabs>
                <w:tab w:val="left" w:leader="middleDot" w:pos="7972"/>
              </w:tabs>
              <w:autoSpaceDE w:val="0"/>
              <w:autoSpaceDN w:val="0"/>
              <w:jc w:val="left"/>
              <w:rPr>
                <w:i/>
              </w:rPr>
            </w:pPr>
            <m:oMathPara>
              <m:oMathParaPr>
                <m:jc m:val="left"/>
              </m:oMathParaPr>
              <m:oMath>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tRA</m:t>
                        </m:r>
                      </m:sub>
                    </m:sSub>
                  </m:num>
                  <m:den>
                    <m:sSub>
                      <m:sSubPr>
                        <m:ctrlPr>
                          <w:rPr>
                            <w:rFonts w:ascii="Cambria Math" w:hAnsi="Cambria Math"/>
                            <w:i/>
                          </w:rPr>
                        </m:ctrlPr>
                      </m:sSubPr>
                      <m:e>
                        <m:r>
                          <w:rPr>
                            <w:rFonts w:ascii="Cambria Math" w:hAnsi="Cambria Math"/>
                          </w:rPr>
                          <m:t>S</m:t>
                        </m:r>
                      </m:e>
                      <m:sub>
                        <m:r>
                          <w:rPr>
                            <w:rFonts w:ascii="Cambria Math" w:hAnsi="Cambria Math"/>
                          </w:rPr>
                          <m:t>y</m:t>
                        </m:r>
                      </m:sub>
                    </m:sSub>
                  </m:den>
                </m:f>
                <m:r>
                  <w:rPr>
                    <w:rFonts w:ascii="Cambria Math" w:hAnsi="Cambria Math"/>
                  </w:rPr>
                  <m:t>=</m:t>
                </m:r>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P</m:t>
                            </m:r>
                          </m:sub>
                        </m:sSub>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O</m:t>
                            </m:r>
                          </m:sub>
                        </m:sSub>
                      </m:e>
                      <m:sup>
                        <m:r>
                          <w:rPr>
                            <w:rFonts w:ascii="Cambria Math" w:hAnsi="Cambria Math"/>
                          </w:rPr>
                          <m:t>2</m:t>
                        </m:r>
                      </m:sup>
                    </m:sSup>
                  </m:num>
                  <m:den>
                    <m:r>
                      <w:rPr>
                        <w:rFonts w:ascii="Cambria Math" w:hAnsi="Cambria Math"/>
                      </w:rPr>
                      <m:t xml:space="preserve">2 </m:t>
                    </m:r>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O</m:t>
                            </m:r>
                          </m:sub>
                        </m:sSub>
                      </m:e>
                      <m:sup>
                        <m:r>
                          <w:rPr>
                            <w:rFonts w:ascii="Cambria Math" w:hAnsi="Cambria Math"/>
                          </w:rPr>
                          <m:t>2</m:t>
                        </m:r>
                      </m:sup>
                    </m:sSup>
                  </m:den>
                </m:f>
                <m:r>
                  <w:rPr>
                    <w:rFonts w:ascii="Cambria Math" w:hAnsi="Cambria Math"/>
                  </w:rPr>
                  <m:t>+</m:t>
                </m:r>
                <m:r>
                  <m:rPr>
                    <m:sty m:val="bi"/>
                  </m:rPr>
                  <w:rPr>
                    <w:rFonts w:ascii="Cambria Math" w:hAnsi="Cambria Math"/>
                  </w:rPr>
                  <m:t>ln</m:t>
                </m:r>
                <m:d>
                  <m:dPr>
                    <m:ctrlPr>
                      <w:rPr>
                        <w:rFonts w:ascii="Cambria Math" w:hAnsi="Cambria Math"/>
                        <w:i/>
                      </w:rPr>
                    </m:ctrlPr>
                  </m:dPr>
                  <m:e>
                    <m:f>
                      <m:fPr>
                        <m:ctrlPr>
                          <w:rPr>
                            <w:rFonts w:ascii="Cambria Math" w:hAnsi="Cambria Math"/>
                            <w:i/>
                          </w:rPr>
                        </m:ctrlPr>
                      </m:fPr>
                      <m:num>
                        <m:r>
                          <w:rPr>
                            <w:rFonts w:ascii="Cambria Math" w:hAnsi="Cambria Math"/>
                          </w:rPr>
                          <m:t>D</m:t>
                        </m:r>
                      </m:num>
                      <m:den>
                        <m:sSub>
                          <m:sSubPr>
                            <m:ctrlPr>
                              <w:rPr>
                                <w:rFonts w:ascii="Cambria Math" w:hAnsi="Cambria Math"/>
                                <w:i/>
                              </w:rPr>
                            </m:ctrlPr>
                          </m:sSubPr>
                          <m:e>
                            <m:r>
                              <w:rPr>
                                <w:rFonts w:ascii="Cambria Math" w:hAnsi="Cambria Math"/>
                              </w:rPr>
                              <m:t>D</m:t>
                            </m:r>
                          </m:e>
                          <m:sub>
                            <m:r>
                              <w:rPr>
                                <w:rFonts w:ascii="Cambria Math" w:hAnsi="Cambria Math"/>
                              </w:rPr>
                              <m:t>P</m:t>
                            </m:r>
                          </m:sub>
                        </m:sSub>
                      </m:den>
                    </m:f>
                  </m:e>
                </m:d>
                <m:r>
                  <w:rPr>
                    <w:rFonts w:ascii="Cambria Math" w:hAnsi="Cambria Math"/>
                  </w:rPr>
                  <m:t>-</m:t>
                </m:r>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I</m:t>
                                </m:r>
                              </m:sub>
                            </m:sSub>
                          </m:e>
                          <m:sup>
                            <m:r>
                              <w:rPr>
                                <w:rFonts w:ascii="Cambria Math" w:hAnsi="Cambria Math"/>
                              </w:rPr>
                              <m:t>2</m:t>
                            </m:r>
                          </m:sup>
                        </m:sSup>
                      </m:num>
                      <m:den>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O</m:t>
                                </m:r>
                              </m:sub>
                            </m:sSub>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I</m:t>
                                </m:r>
                              </m:sub>
                            </m:sSub>
                          </m:e>
                          <m:sup>
                            <m:r>
                              <w:rPr>
                                <w:rFonts w:ascii="Cambria Math" w:hAnsi="Cambria Math"/>
                              </w:rPr>
                              <m:t>2</m:t>
                            </m:r>
                          </m:sup>
                        </m:sSup>
                      </m:den>
                    </m:f>
                  </m:e>
                </m:d>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O</m:t>
                                </m:r>
                              </m:sub>
                            </m:sSub>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P</m:t>
                                </m:r>
                              </m:sub>
                            </m:sSub>
                          </m:e>
                          <m:sup>
                            <m:r>
                              <w:rPr>
                                <w:rFonts w:ascii="Cambria Math" w:hAnsi="Cambria Math"/>
                              </w:rPr>
                              <m:t>2</m:t>
                            </m:r>
                          </m:sup>
                        </m:sSup>
                      </m:num>
                      <m:den>
                        <m:r>
                          <w:rPr>
                            <w:rFonts w:ascii="Cambria Math" w:hAnsi="Cambria Math"/>
                          </w:rPr>
                          <m:t xml:space="preserve">2 </m:t>
                        </m:r>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O</m:t>
                                </m:r>
                              </m:sub>
                            </m:sSub>
                          </m:e>
                          <m:sup>
                            <m:r>
                              <w:rPr>
                                <w:rFonts w:ascii="Cambria Math" w:hAnsi="Cambria Math"/>
                              </w:rPr>
                              <m:t>2</m:t>
                            </m:r>
                          </m:sup>
                        </m:sSup>
                      </m:den>
                    </m:f>
                    <m:r>
                      <w:rPr>
                        <w:rFonts w:ascii="Cambria Math" w:hAnsi="Cambria Math"/>
                      </w:rPr>
                      <m:t>+</m:t>
                    </m:r>
                    <m:r>
                      <m:rPr>
                        <m:sty m:val="bi"/>
                      </m:rPr>
                      <w:rPr>
                        <w:rFonts w:ascii="Cambria Math" w:hAnsi="Cambria Math"/>
                      </w:rPr>
                      <m:t>ln</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P</m:t>
                                </m:r>
                              </m:sub>
                            </m:sSub>
                          </m:num>
                          <m:den>
                            <m:sSub>
                              <m:sSubPr>
                                <m:ctrlPr>
                                  <w:rPr>
                                    <w:rFonts w:ascii="Cambria Math" w:hAnsi="Cambria Math"/>
                                    <w:i/>
                                  </w:rPr>
                                </m:ctrlPr>
                              </m:sSubPr>
                              <m:e>
                                <m:r>
                                  <w:rPr>
                                    <w:rFonts w:ascii="Cambria Math" w:hAnsi="Cambria Math"/>
                                  </w:rPr>
                                  <m:t>D</m:t>
                                </m:r>
                              </m:e>
                              <m:sub>
                                <m:r>
                                  <w:rPr>
                                    <w:rFonts w:ascii="Cambria Math" w:hAnsi="Cambria Math"/>
                                  </w:rPr>
                                  <m:t>I</m:t>
                                </m:r>
                              </m:sub>
                            </m:sSub>
                          </m:den>
                        </m:f>
                      </m:e>
                    </m:d>
                  </m:e>
                </m:d>
                <m:d>
                  <m:dPr>
                    <m:ctrlPr>
                      <w:rPr>
                        <w:rFonts w:ascii="Cambria Math" w:hAnsi="Cambria Math"/>
                        <w:i/>
                      </w:rPr>
                    </m:ctrlPr>
                  </m:dPr>
                  <m:e>
                    <m:r>
                      <w:rPr>
                        <w:rFonts w:ascii="Cambria Math" w:hAnsi="Cambria Math"/>
                      </w:rPr>
                      <m:t>1+</m:t>
                    </m:r>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O</m:t>
                                </m:r>
                              </m:sub>
                            </m:sSub>
                          </m:e>
                          <m:sup>
                            <m:r>
                              <w:rPr>
                                <w:rFonts w:ascii="Cambria Math" w:hAnsi="Cambria Math"/>
                              </w:rPr>
                              <m:t>2</m:t>
                            </m:r>
                          </m:sup>
                        </m:sSup>
                      </m:num>
                      <m:den>
                        <m:sSup>
                          <m:sSupPr>
                            <m:ctrlPr>
                              <w:rPr>
                                <w:rFonts w:ascii="Cambria Math" w:hAnsi="Cambria Math"/>
                                <w:i/>
                              </w:rPr>
                            </m:ctrlPr>
                          </m:sSupPr>
                          <m:e>
                            <m:r>
                              <w:rPr>
                                <w:rFonts w:ascii="Cambria Math" w:hAnsi="Cambria Math"/>
                              </w:rPr>
                              <m:t>D</m:t>
                            </m:r>
                          </m:e>
                          <m:sup>
                            <m:r>
                              <w:rPr>
                                <w:rFonts w:ascii="Cambria Math" w:hAnsi="Cambria Math"/>
                              </w:rPr>
                              <m:t>2</m:t>
                            </m:r>
                          </m:sup>
                        </m:sSup>
                      </m:den>
                    </m:f>
                  </m:e>
                </m:d>
              </m:oMath>
            </m:oMathPara>
          </w:p>
        </w:tc>
        <w:tc>
          <w:tcPr>
            <w:tcW w:w="1308" w:type="dxa"/>
            <w:tcMar>
              <w:left w:w="0" w:type="dxa"/>
              <w:right w:w="0" w:type="dxa"/>
            </w:tcMar>
            <w:vAlign w:val="center"/>
          </w:tcPr>
          <w:p w14:paraId="1A5608D3" w14:textId="77777777" w:rsidR="003B52EB" w:rsidRPr="00BC31E0" w:rsidRDefault="003B52EB" w:rsidP="003B52EB">
            <w:pPr>
              <w:tabs>
                <w:tab w:val="left" w:leader="middleDot" w:pos="600"/>
              </w:tabs>
              <w:autoSpaceDE w:val="0"/>
              <w:autoSpaceDN w:val="0"/>
              <w:jc w:val="left"/>
            </w:pPr>
            <w:r w:rsidRPr="00BC31E0">
              <w:tab/>
            </w:r>
            <w:r w:rsidRPr="00BC31E0">
              <w:rPr>
                <w:rFonts w:hint="eastAsia"/>
              </w:rPr>
              <w:t>(6.5.5)</w:t>
            </w:r>
          </w:p>
        </w:tc>
      </w:tr>
      <w:tr w:rsidR="003B52EB" w:rsidRPr="00BC31E0" w14:paraId="553C4496" w14:textId="77777777" w:rsidTr="003B52EB">
        <w:tc>
          <w:tcPr>
            <w:tcW w:w="0" w:type="auto"/>
            <w:tcMar>
              <w:left w:w="0" w:type="dxa"/>
              <w:right w:w="0" w:type="dxa"/>
            </w:tcMar>
            <w:vAlign w:val="center"/>
          </w:tcPr>
          <w:p w14:paraId="3C24439D" w14:textId="77777777" w:rsidR="003B52EB" w:rsidRPr="00BC31E0" w:rsidRDefault="00A51873" w:rsidP="003B52EB">
            <w:pPr>
              <w:tabs>
                <w:tab w:val="left" w:pos="567"/>
                <w:tab w:val="left" w:leader="middleDot" w:pos="8364"/>
              </w:tabs>
              <w:autoSpaceDE w:val="0"/>
              <w:autoSpaceDN w:val="0"/>
              <w:spacing w:before="240"/>
              <w:jc w:val="left"/>
            </w:pPr>
            <m:oMathPara>
              <m:oMathParaPr>
                <m:jc m:val="left"/>
              </m:oMathParaPr>
              <m:oMath>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rRA</m:t>
                        </m:r>
                      </m:sub>
                    </m:sSub>
                  </m:num>
                  <m:den>
                    <m:sSub>
                      <m:sSubPr>
                        <m:ctrlPr>
                          <w:rPr>
                            <w:rFonts w:ascii="Cambria Math" w:hAnsi="Cambria Math"/>
                            <w:i/>
                          </w:rPr>
                        </m:ctrlPr>
                      </m:sSubPr>
                      <m:e>
                        <m:r>
                          <w:rPr>
                            <w:rFonts w:ascii="Cambria Math" w:hAnsi="Cambria Math"/>
                          </w:rPr>
                          <m:t>S</m:t>
                        </m:r>
                      </m:e>
                      <m:sub>
                        <m:r>
                          <w:rPr>
                            <w:rFonts w:ascii="Cambria Math" w:hAnsi="Cambria Math"/>
                          </w:rPr>
                          <m:t>y</m:t>
                        </m:r>
                      </m:sub>
                    </m:sSub>
                  </m:den>
                </m:f>
                <m:r>
                  <w:rPr>
                    <w:rFonts w:ascii="Cambria Math" w:hAnsi="Cambria Math"/>
                  </w:rPr>
                  <m:t>=</m:t>
                </m:r>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P</m:t>
                            </m:r>
                          </m:sub>
                        </m:sSub>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O</m:t>
                            </m:r>
                          </m:sub>
                        </m:sSub>
                      </m:e>
                      <m:sup>
                        <m:r>
                          <w:rPr>
                            <w:rFonts w:ascii="Cambria Math" w:hAnsi="Cambria Math"/>
                          </w:rPr>
                          <m:t>2</m:t>
                        </m:r>
                      </m:sup>
                    </m:sSup>
                  </m:num>
                  <m:den>
                    <m:r>
                      <w:rPr>
                        <w:rFonts w:ascii="Cambria Math" w:hAnsi="Cambria Math"/>
                      </w:rPr>
                      <m:t xml:space="preserve">2 </m:t>
                    </m:r>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O</m:t>
                            </m:r>
                          </m:sub>
                        </m:sSub>
                      </m:e>
                      <m:sup>
                        <m:r>
                          <w:rPr>
                            <w:rFonts w:ascii="Cambria Math" w:hAnsi="Cambria Math"/>
                          </w:rPr>
                          <m:t>2</m:t>
                        </m:r>
                      </m:sup>
                    </m:sSup>
                  </m:den>
                </m:f>
                <m:r>
                  <w:rPr>
                    <w:rFonts w:ascii="Cambria Math" w:hAnsi="Cambria Math"/>
                  </w:rPr>
                  <m:t>+</m:t>
                </m:r>
                <m:r>
                  <m:rPr>
                    <m:sty m:val="bi"/>
                  </m:rPr>
                  <w:rPr>
                    <w:rFonts w:ascii="Cambria Math" w:hAnsi="Cambria Math"/>
                  </w:rPr>
                  <m:t>ln</m:t>
                </m:r>
                <m:d>
                  <m:dPr>
                    <m:ctrlPr>
                      <w:rPr>
                        <w:rFonts w:ascii="Cambria Math" w:hAnsi="Cambria Math"/>
                        <w:i/>
                      </w:rPr>
                    </m:ctrlPr>
                  </m:dPr>
                  <m:e>
                    <m:f>
                      <m:fPr>
                        <m:ctrlPr>
                          <w:rPr>
                            <w:rFonts w:ascii="Cambria Math" w:hAnsi="Cambria Math"/>
                            <w:i/>
                          </w:rPr>
                        </m:ctrlPr>
                      </m:fPr>
                      <m:num>
                        <m:r>
                          <w:rPr>
                            <w:rFonts w:ascii="Cambria Math" w:hAnsi="Cambria Math"/>
                          </w:rPr>
                          <m:t>D</m:t>
                        </m:r>
                      </m:num>
                      <m:den>
                        <m:sSub>
                          <m:sSubPr>
                            <m:ctrlPr>
                              <w:rPr>
                                <w:rFonts w:ascii="Cambria Math" w:hAnsi="Cambria Math"/>
                                <w:i/>
                              </w:rPr>
                            </m:ctrlPr>
                          </m:sSubPr>
                          <m:e>
                            <m:r>
                              <w:rPr>
                                <w:rFonts w:ascii="Cambria Math" w:hAnsi="Cambria Math"/>
                              </w:rPr>
                              <m:t>D</m:t>
                            </m:r>
                          </m:e>
                          <m:sub>
                            <m:r>
                              <w:rPr>
                                <w:rFonts w:ascii="Cambria Math" w:hAnsi="Cambria Math"/>
                              </w:rPr>
                              <m:t>P</m:t>
                            </m:r>
                          </m:sub>
                        </m:sSub>
                      </m:den>
                    </m:f>
                  </m:e>
                </m:d>
                <m:r>
                  <w:rPr>
                    <w:rFonts w:ascii="Cambria Math" w:hAnsi="Cambria Math"/>
                  </w:rPr>
                  <m:t>-</m:t>
                </m:r>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I</m:t>
                                </m:r>
                              </m:sub>
                            </m:sSub>
                          </m:e>
                          <m:sup>
                            <m:r>
                              <w:rPr>
                                <w:rFonts w:ascii="Cambria Math" w:hAnsi="Cambria Math"/>
                              </w:rPr>
                              <m:t>2</m:t>
                            </m:r>
                          </m:sup>
                        </m:sSup>
                      </m:num>
                      <m:den>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O</m:t>
                                </m:r>
                              </m:sub>
                            </m:sSub>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I</m:t>
                                </m:r>
                              </m:sub>
                            </m:sSub>
                          </m:e>
                          <m:sup>
                            <m:r>
                              <w:rPr>
                                <w:rFonts w:ascii="Cambria Math" w:hAnsi="Cambria Math"/>
                              </w:rPr>
                              <m:t>2</m:t>
                            </m:r>
                          </m:sup>
                        </m:sSup>
                      </m:den>
                    </m:f>
                  </m:e>
                </m:d>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O</m:t>
                                </m:r>
                              </m:sub>
                            </m:sSub>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P</m:t>
                                </m:r>
                              </m:sub>
                            </m:sSub>
                          </m:e>
                          <m:sup>
                            <m:r>
                              <w:rPr>
                                <w:rFonts w:ascii="Cambria Math" w:hAnsi="Cambria Math"/>
                              </w:rPr>
                              <m:t>2</m:t>
                            </m:r>
                          </m:sup>
                        </m:sSup>
                      </m:num>
                      <m:den>
                        <m:r>
                          <w:rPr>
                            <w:rFonts w:ascii="Cambria Math" w:hAnsi="Cambria Math"/>
                          </w:rPr>
                          <m:t xml:space="preserve">2 </m:t>
                        </m:r>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O</m:t>
                                </m:r>
                              </m:sub>
                            </m:sSub>
                          </m:e>
                          <m:sup>
                            <m:r>
                              <w:rPr>
                                <w:rFonts w:ascii="Cambria Math" w:hAnsi="Cambria Math"/>
                              </w:rPr>
                              <m:t>2</m:t>
                            </m:r>
                          </m:sup>
                        </m:sSup>
                      </m:den>
                    </m:f>
                    <m:r>
                      <w:rPr>
                        <w:rFonts w:ascii="Cambria Math" w:hAnsi="Cambria Math"/>
                      </w:rPr>
                      <m:t>+</m:t>
                    </m:r>
                    <m:r>
                      <m:rPr>
                        <m:sty m:val="bi"/>
                      </m:rPr>
                      <w:rPr>
                        <w:rFonts w:ascii="Cambria Math" w:hAnsi="Cambria Math"/>
                      </w:rPr>
                      <m:t>ln</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P</m:t>
                                </m:r>
                              </m:sub>
                            </m:sSub>
                          </m:num>
                          <m:den>
                            <m:sSub>
                              <m:sSubPr>
                                <m:ctrlPr>
                                  <w:rPr>
                                    <w:rFonts w:ascii="Cambria Math" w:hAnsi="Cambria Math"/>
                                    <w:i/>
                                  </w:rPr>
                                </m:ctrlPr>
                              </m:sSubPr>
                              <m:e>
                                <m:r>
                                  <w:rPr>
                                    <w:rFonts w:ascii="Cambria Math" w:hAnsi="Cambria Math"/>
                                  </w:rPr>
                                  <m:t>D</m:t>
                                </m:r>
                              </m:e>
                              <m:sub>
                                <m:r>
                                  <w:rPr>
                                    <w:rFonts w:ascii="Cambria Math" w:hAnsi="Cambria Math"/>
                                  </w:rPr>
                                  <m:t>I</m:t>
                                </m:r>
                              </m:sub>
                            </m:sSub>
                          </m:den>
                        </m:f>
                      </m:e>
                    </m:d>
                  </m:e>
                </m:d>
                <m:d>
                  <m:dPr>
                    <m:ctrlPr>
                      <w:rPr>
                        <w:rFonts w:ascii="Cambria Math" w:hAnsi="Cambria Math"/>
                        <w:i/>
                      </w:rPr>
                    </m:ctrlPr>
                  </m:dPr>
                  <m:e>
                    <m:r>
                      <w:rPr>
                        <w:rFonts w:ascii="Cambria Math" w:hAnsi="Cambria Math"/>
                      </w:rPr>
                      <m:t>1-</m:t>
                    </m:r>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O</m:t>
                                </m:r>
                              </m:sub>
                            </m:sSub>
                          </m:e>
                          <m:sup>
                            <m:r>
                              <w:rPr>
                                <w:rFonts w:ascii="Cambria Math" w:hAnsi="Cambria Math"/>
                              </w:rPr>
                              <m:t>2</m:t>
                            </m:r>
                          </m:sup>
                        </m:sSup>
                      </m:num>
                      <m:den>
                        <m:sSup>
                          <m:sSupPr>
                            <m:ctrlPr>
                              <w:rPr>
                                <w:rFonts w:ascii="Cambria Math" w:hAnsi="Cambria Math"/>
                                <w:i/>
                              </w:rPr>
                            </m:ctrlPr>
                          </m:sSupPr>
                          <m:e>
                            <m:r>
                              <w:rPr>
                                <w:rFonts w:ascii="Cambria Math" w:hAnsi="Cambria Math"/>
                              </w:rPr>
                              <m:t>D</m:t>
                            </m:r>
                          </m:e>
                          <m:sup>
                            <m:r>
                              <w:rPr>
                                <w:rFonts w:ascii="Cambria Math" w:hAnsi="Cambria Math"/>
                              </w:rPr>
                              <m:t>2</m:t>
                            </m:r>
                          </m:sup>
                        </m:sSup>
                      </m:den>
                    </m:f>
                  </m:e>
                </m:d>
              </m:oMath>
            </m:oMathPara>
          </w:p>
        </w:tc>
        <w:tc>
          <w:tcPr>
            <w:tcW w:w="1308" w:type="dxa"/>
            <w:tcMar>
              <w:left w:w="0" w:type="dxa"/>
              <w:right w:w="0" w:type="dxa"/>
            </w:tcMar>
            <w:vAlign w:val="center"/>
          </w:tcPr>
          <w:p w14:paraId="5642A18B" w14:textId="77777777" w:rsidR="003B52EB" w:rsidRPr="00BC31E0" w:rsidRDefault="003B52EB" w:rsidP="003B52EB">
            <w:pPr>
              <w:tabs>
                <w:tab w:val="left" w:leader="middleDot" w:pos="600"/>
              </w:tabs>
              <w:autoSpaceDE w:val="0"/>
              <w:autoSpaceDN w:val="0"/>
              <w:spacing w:before="240"/>
              <w:jc w:val="left"/>
            </w:pPr>
            <w:r w:rsidRPr="00BC31E0">
              <w:tab/>
            </w:r>
            <w:r w:rsidRPr="00BC31E0">
              <w:rPr>
                <w:rFonts w:hint="eastAsia"/>
              </w:rPr>
              <w:t>(6.5.6)</w:t>
            </w:r>
          </w:p>
        </w:tc>
      </w:tr>
    </w:tbl>
    <w:p w14:paraId="04200856" w14:textId="77777777" w:rsidR="003B52EB" w:rsidRPr="00BC31E0" w:rsidRDefault="003B52EB" w:rsidP="00736130">
      <w:pPr>
        <w:pStyle w:val="a4"/>
        <w:numPr>
          <w:ilvl w:val="0"/>
          <w:numId w:val="272"/>
        </w:numPr>
        <w:spacing w:before="120"/>
        <w:ind w:leftChars="0" w:left="738" w:hanging="454"/>
        <w:rPr>
          <w:rFonts w:ascii="ＭＳ 明朝"/>
        </w:rPr>
      </w:pPr>
      <w:r w:rsidRPr="00BC31E0">
        <w:rPr>
          <w:rFonts w:asciiTheme="majorEastAsia" w:eastAsiaTheme="majorEastAsia" w:hAnsiTheme="majorEastAsia" w:hint="eastAsia"/>
          <w:b/>
        </w:rPr>
        <w:t>除荷時に再降伏する場合のバウシンガー効果に対する補正</w:t>
      </w:r>
      <w:r w:rsidRPr="00BC31E0">
        <w:rPr>
          <w:rFonts w:hint="eastAsia"/>
        </w:rPr>
        <w:t xml:space="preserve">　</w:t>
      </w:r>
      <w:r w:rsidRPr="00BC31E0">
        <w:rPr>
          <w:rFonts w:ascii="ＭＳ 明朝"/>
        </w:rPr>
        <w:t>引張の塑性変形の結果として圧縮の降伏応力の絶対値が小さくなり，自緊圧力を開放した時に圧縮側で再降伏することがあるため，残留応力の補正が必要となる。この現象はバウシンガー効果として知られており，残留応力の補正は</w:t>
      </w:r>
      <w:r w:rsidRPr="00BC31E0">
        <w:rPr>
          <w:rFonts w:ascii="ＭＳ 明朝" w:hint="eastAsia"/>
        </w:rPr>
        <w:t>次</w:t>
      </w:r>
      <w:r w:rsidRPr="00BC31E0">
        <w:rPr>
          <w:rFonts w:ascii="ＭＳ 明朝"/>
        </w:rPr>
        <w:t>のように行う。</w:t>
      </w:r>
    </w:p>
    <w:p w14:paraId="5BEC768D" w14:textId="77777777" w:rsidR="007805B3" w:rsidRPr="00BC31E0" w:rsidRDefault="003B52EB" w:rsidP="00736130">
      <w:pPr>
        <w:pStyle w:val="a4"/>
        <w:numPr>
          <w:ilvl w:val="0"/>
          <w:numId w:val="273"/>
        </w:numPr>
        <w:ind w:leftChars="0" w:left="1134" w:hanging="567"/>
        <w:rPr>
          <w:rFonts w:asciiTheme="minorHAnsi" w:eastAsiaTheme="minorEastAsia" w:hAnsiTheme="minorHAnsi"/>
          <w:iCs/>
        </w:rPr>
      </w:pPr>
      <w:r w:rsidRPr="00BC31E0">
        <w:rPr>
          <w:rFonts w:asciiTheme="majorEastAsia" w:eastAsiaTheme="majorEastAsia" w:hAnsiTheme="majorEastAsia"/>
          <w:b/>
        </w:rPr>
        <w:t>式(6.5.5)</w:t>
      </w:r>
      <w:r w:rsidRPr="00BC31E0">
        <w:rPr>
          <w:rFonts w:asciiTheme="minorHAnsi" w:eastAsiaTheme="minorEastAsia" w:hAnsiTheme="minorEastAsia"/>
        </w:rPr>
        <w:t>と</w:t>
      </w:r>
      <w:r w:rsidRPr="00BC31E0">
        <w:rPr>
          <w:rFonts w:asciiTheme="majorEastAsia" w:eastAsiaTheme="majorEastAsia" w:hAnsiTheme="majorEastAsia"/>
          <w:b/>
        </w:rPr>
        <w:t>式(6.5.6)</w:t>
      </w:r>
      <w:r w:rsidRPr="00BC31E0">
        <w:rPr>
          <w:rFonts w:asciiTheme="minorHAnsi" w:eastAsiaTheme="minorEastAsia" w:hAnsiTheme="minorEastAsia"/>
        </w:rPr>
        <w:t>より，反復計算により</w:t>
      </w:r>
      <m:oMath>
        <m:r>
          <m:rPr>
            <m:sty m:val="p"/>
          </m:rPr>
          <w:rPr>
            <w:rFonts w:ascii="Cambria Math" w:eastAsiaTheme="minorEastAsia" w:hAnsiTheme="minorHAnsi"/>
          </w:rPr>
          <m:t xml:space="preserve"> </m:t>
        </m:r>
        <m:d>
          <m:dPr>
            <m:ctrlPr>
              <w:rPr>
                <w:rFonts w:ascii="Cambria Math" w:eastAsiaTheme="minorEastAsia" w:hAnsiTheme="minorHAnsi"/>
              </w:rPr>
            </m:ctrlPr>
          </m:dPr>
          <m:e>
            <m:sSub>
              <m:sSubPr>
                <m:ctrlPr>
                  <w:rPr>
                    <w:rFonts w:ascii="Cambria Math" w:eastAsiaTheme="minorEastAsia" w:hAnsiTheme="minorHAnsi"/>
                  </w:rPr>
                </m:ctrlPr>
              </m:sSubPr>
              <m:e>
                <m:r>
                  <w:rPr>
                    <w:rFonts w:ascii="Cambria Math" w:eastAsiaTheme="minorEastAsia" w:hAnsi="Cambria Math"/>
                  </w:rPr>
                  <m:t>σ</m:t>
                </m:r>
              </m:e>
              <m:sub>
                <m:r>
                  <w:rPr>
                    <w:rFonts w:ascii="Cambria Math" w:eastAsiaTheme="minorEastAsia" w:hAnsi="Cambria Math"/>
                  </w:rPr>
                  <m:t>tRA</m:t>
                </m:r>
              </m:sub>
            </m:sSub>
            <m:r>
              <m:rPr>
                <m:sty m:val="p"/>
              </m:rPr>
              <w:rPr>
                <w:rFonts w:ascii="Cambria Math" w:eastAsiaTheme="minorEastAsia" w:hAnsi="Cambria Math"/>
              </w:rPr>
              <m:t>-</m:t>
            </m:r>
            <m:sSub>
              <m:sSubPr>
                <m:ctrlPr>
                  <w:rPr>
                    <w:rFonts w:ascii="Cambria Math" w:eastAsiaTheme="minorEastAsia" w:hAnsiTheme="minorHAnsi"/>
                  </w:rPr>
                </m:ctrlPr>
              </m:sSubPr>
              <m:e>
                <m:r>
                  <w:rPr>
                    <w:rFonts w:ascii="Cambria Math" w:eastAsiaTheme="minorEastAsia" w:hAnsi="Cambria Math"/>
                  </w:rPr>
                  <m:t>σ</m:t>
                </m:r>
              </m:e>
              <m:sub>
                <m:r>
                  <w:rPr>
                    <w:rFonts w:ascii="Cambria Math" w:eastAsiaTheme="minorEastAsia" w:hAnsi="Cambria Math"/>
                  </w:rPr>
                  <m:t>rRA</m:t>
                </m:r>
              </m:sub>
            </m:sSub>
          </m:e>
        </m:d>
        <m:r>
          <m:rPr>
            <m:sty m:val="p"/>
          </m:rPr>
          <w:rPr>
            <w:rFonts w:ascii="Cambria Math" w:eastAsiaTheme="minorEastAsia" w:hAnsiTheme="minorHAnsi"/>
          </w:rPr>
          <m:t>=</m:t>
        </m:r>
        <m:r>
          <m:rPr>
            <m:sty m:val="p"/>
          </m:rPr>
          <w:rPr>
            <w:rFonts w:ascii="Cambria Math" w:eastAsiaTheme="minorEastAsia" w:hAnsi="Cambria Math"/>
          </w:rPr>
          <m:t>0</m:t>
        </m:r>
        <m:r>
          <m:rPr>
            <m:sty m:val="p"/>
          </m:rPr>
          <w:rPr>
            <w:rFonts w:ascii="Cambria Math" w:eastAsiaTheme="minorEastAsia" w:hAnsiTheme="minorHAnsi"/>
          </w:rPr>
          <m:t xml:space="preserve"> </m:t>
        </m:r>
      </m:oMath>
      <w:r w:rsidRPr="00BC31E0">
        <w:rPr>
          <w:rFonts w:asciiTheme="minorHAnsi" w:eastAsiaTheme="minorEastAsia" w:hAnsiTheme="minorEastAsia"/>
        </w:rPr>
        <w:t>となる直径</w:t>
      </w:r>
      <m:oMath>
        <m:r>
          <m:rPr>
            <m:sty m:val="p"/>
          </m:rPr>
          <w:rPr>
            <w:rFonts w:ascii="Cambria Math" w:eastAsiaTheme="minorEastAsia" w:hAnsiTheme="minorHAnsi"/>
          </w:rPr>
          <m:t xml:space="preserve"> </m:t>
        </m:r>
        <m:r>
          <w:rPr>
            <w:rFonts w:ascii="Cambria Math" w:eastAsiaTheme="minorEastAsia" w:hAnsi="Cambria Math"/>
          </w:rPr>
          <m:t>D</m:t>
        </m:r>
        <m:r>
          <m:rPr>
            <m:sty m:val="p"/>
          </m:rPr>
          <w:rPr>
            <w:rFonts w:ascii="Cambria Math" w:eastAsiaTheme="minorEastAsia" w:hAnsiTheme="minorHAnsi"/>
          </w:rPr>
          <m:t xml:space="preserve"> </m:t>
        </m:r>
      </m:oMath>
      <w:r w:rsidRPr="00BC31E0">
        <w:rPr>
          <w:rFonts w:asciiTheme="minorHAnsi" w:eastAsiaTheme="minorEastAsia" w:hAnsiTheme="minorEastAsia"/>
        </w:rPr>
        <w:t>を</w:t>
      </w:r>
      <w:r w:rsidRPr="00BC31E0">
        <w:rPr>
          <w:rFonts w:asciiTheme="minorHAnsi" w:eastAsiaTheme="minorEastAsia" w:hAnsiTheme="minorEastAsia"/>
          <w:iCs/>
        </w:rPr>
        <w:t>求め，これを</w:t>
      </w:r>
      <m:oMath>
        <m:sSub>
          <m:sSubPr>
            <m:ctrlPr>
              <w:rPr>
                <w:rFonts w:ascii="Cambria Math" w:eastAsiaTheme="minorEastAsia" w:hAnsiTheme="minorHAnsi"/>
                <w:iCs/>
              </w:rPr>
            </m:ctrlPr>
          </m:sSubPr>
          <m:e>
            <m:r>
              <m:rPr>
                <m:sty m:val="p"/>
              </m:rPr>
              <w:rPr>
                <w:rFonts w:ascii="Cambria Math" w:eastAsiaTheme="minorEastAsia" w:hAnsiTheme="minorHAnsi"/>
              </w:rPr>
              <m:t xml:space="preserve"> </m:t>
            </m:r>
            <m:r>
              <w:rPr>
                <w:rFonts w:ascii="Cambria Math" w:eastAsiaTheme="minorEastAsia" w:hAnsi="Cambria Math"/>
              </w:rPr>
              <m:t>D</m:t>
            </m:r>
          </m:e>
          <m:sub>
            <m:r>
              <w:rPr>
                <w:rFonts w:ascii="Cambria Math" w:eastAsiaTheme="minorEastAsia" w:hAnsi="Cambria Math"/>
              </w:rPr>
              <m:t>Z</m:t>
            </m:r>
          </m:sub>
        </m:sSub>
        <m:r>
          <m:rPr>
            <m:sty m:val="p"/>
          </m:rPr>
          <w:rPr>
            <w:rFonts w:ascii="Cambria Math" w:eastAsiaTheme="minorEastAsia" w:hAnsiTheme="minorHAnsi"/>
          </w:rPr>
          <m:t xml:space="preserve"> </m:t>
        </m:r>
      </m:oMath>
      <w:r w:rsidRPr="00BC31E0">
        <w:rPr>
          <w:rFonts w:asciiTheme="minorHAnsi" w:eastAsiaTheme="minorEastAsia" w:hAnsiTheme="minorEastAsia"/>
          <w:iCs/>
        </w:rPr>
        <w:t>とする。</w:t>
      </w:r>
    </w:p>
    <w:p w14:paraId="198CD89D" w14:textId="77777777" w:rsidR="003B52EB" w:rsidRPr="00BC31E0" w:rsidRDefault="003B52EB" w:rsidP="00736130">
      <w:pPr>
        <w:pStyle w:val="a4"/>
        <w:numPr>
          <w:ilvl w:val="0"/>
          <w:numId w:val="273"/>
        </w:numPr>
        <w:spacing w:after="120"/>
        <w:ind w:leftChars="0" w:left="1134" w:hanging="567"/>
        <w:rPr>
          <w:rFonts w:asciiTheme="minorHAnsi" w:eastAsiaTheme="minorEastAsia" w:hAnsiTheme="minorHAnsi"/>
          <w:iCs/>
        </w:rPr>
      </w:pPr>
      <w:r w:rsidRPr="00BC31E0">
        <w:rPr>
          <w:rFonts w:asciiTheme="majorEastAsia" w:eastAsiaTheme="majorEastAsia" w:hAnsiTheme="majorEastAsia" w:hint="eastAsia"/>
          <w:b/>
        </w:rPr>
        <w:t>式(6.5.5)</w:t>
      </w:r>
      <w:r w:rsidRPr="00BC31E0">
        <w:rPr>
          <w:rFonts w:hint="eastAsia"/>
        </w:rPr>
        <w:t>より内面</w:t>
      </w:r>
      <m:oMath>
        <m:r>
          <m:rPr>
            <m:sty m:val="p"/>
          </m:rPr>
          <w:rPr>
            <w:rFonts w:ascii="Cambria Math" w:hAnsi="Cambria Math"/>
          </w:rPr>
          <m:t xml:space="preserve"> </m:t>
        </m:r>
        <m:r>
          <w:rPr>
            <w:rFonts w:ascii="Cambria Math" w:hAnsi="Cambria Math"/>
          </w:rPr>
          <m:t>D</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I</m:t>
            </m:r>
            <m:r>
              <m:rPr>
                <m:sty m:val="p"/>
              </m:rPr>
              <w:rPr>
                <w:rFonts w:ascii="Cambria Math" w:hAnsi="Cambria Math"/>
              </w:rPr>
              <m:t xml:space="preserve"> </m:t>
            </m:r>
          </m:sub>
        </m:sSub>
      </m:oMath>
      <w:r w:rsidRPr="00BC31E0">
        <w:rPr>
          <w:rFonts w:hint="eastAsia"/>
        </w:rPr>
        <w:t>における</w:t>
      </w:r>
      <m:oMath>
        <m:sSub>
          <m:sSubPr>
            <m:ctrlPr>
              <w:rPr>
                <w:rFonts w:ascii="Cambria Math" w:hAnsi="Cambria Math"/>
              </w:rPr>
            </m:ctrlPr>
          </m:sSubPr>
          <m:e>
            <m:r>
              <m:rPr>
                <m:sty m:val="p"/>
              </m:rPr>
              <w:rPr>
                <w:rFonts w:ascii="Cambria Math" w:hAnsi="Cambria Math"/>
              </w:rPr>
              <m:t xml:space="preserve"> </m:t>
            </m:r>
            <m:r>
              <w:rPr>
                <w:rFonts w:ascii="Cambria Math" w:hAnsi="Cambria Math"/>
              </w:rPr>
              <m:t>σ</m:t>
            </m:r>
          </m:e>
          <m:sub>
            <m:r>
              <w:rPr>
                <w:rFonts w:ascii="Cambria Math" w:hAnsi="Cambria Math"/>
              </w:rPr>
              <m:t>tRA</m:t>
            </m:r>
          </m:sub>
        </m:sSub>
      </m:oMath>
      <w:r w:rsidRPr="00BC31E0">
        <w:rPr>
          <w:rFonts w:hint="eastAsia"/>
        </w:rPr>
        <w:t>を計算し，これを</w:t>
      </w:r>
      <m:oMath>
        <m:sSub>
          <m:sSubPr>
            <m:ctrlPr>
              <w:rPr>
                <w:rFonts w:ascii="Cambria Math" w:hAnsi="Cambria Math"/>
              </w:rPr>
            </m:ctrlPr>
          </m:sSubPr>
          <m:e>
            <m:r>
              <m:rPr>
                <m:sty m:val="p"/>
              </m:rPr>
              <w:rPr>
                <w:rFonts w:ascii="Cambria Math" w:hAnsi="Cambria Math"/>
              </w:rPr>
              <m:t xml:space="preserve"> </m:t>
            </m:r>
            <m:r>
              <w:rPr>
                <w:rFonts w:ascii="Cambria Math" w:hAnsi="Cambria Math"/>
              </w:rPr>
              <m:t>σ</m:t>
            </m:r>
          </m:e>
          <m:sub>
            <m:r>
              <w:rPr>
                <w:rFonts w:ascii="Cambria Math" w:hAnsi="Cambria Math"/>
              </w:rPr>
              <m:t>AD</m:t>
            </m:r>
          </m:sub>
        </m:sSub>
      </m:oMath>
      <w:r w:rsidRPr="00BC31E0">
        <w:rPr>
          <w:rFonts w:hint="eastAsia"/>
        </w:rPr>
        <w:t>とする。</w:t>
      </w:r>
      <w:r w:rsidRPr="00BC31E0">
        <w:rPr>
          <w:rFonts w:asciiTheme="majorEastAsia" w:eastAsiaTheme="majorEastAsia" w:hAnsiTheme="majorEastAsia" w:hint="eastAsia"/>
          <w:b/>
          <w:iCs/>
        </w:rPr>
        <w:t>式</w:t>
      </w:r>
      <w:r w:rsidRPr="00BC31E0">
        <w:rPr>
          <w:rFonts w:asciiTheme="majorEastAsia" w:eastAsiaTheme="majorEastAsia" w:hAnsiTheme="majorEastAsia" w:hint="eastAsia"/>
          <w:b/>
        </w:rPr>
        <w:t>(6.5.7)</w:t>
      </w:r>
      <w:r w:rsidRPr="00BC31E0">
        <w:rPr>
          <w:rFonts w:hint="eastAsia"/>
        </w:rPr>
        <w:t>と</w:t>
      </w:r>
      <w:r w:rsidRPr="00BC31E0">
        <w:rPr>
          <w:rFonts w:asciiTheme="majorEastAsia" w:eastAsiaTheme="majorEastAsia" w:hAnsiTheme="majorEastAsia" w:hint="eastAsia"/>
          <w:b/>
        </w:rPr>
        <w:t>式(6.5.8)</w:t>
      </w:r>
      <w:r w:rsidRPr="00BC31E0">
        <w:rPr>
          <w:rFonts w:hint="eastAsia"/>
          <w:bCs/>
        </w:rPr>
        <w:t>又は</w:t>
      </w:r>
      <w:r w:rsidRPr="00BC31E0">
        <w:rPr>
          <w:rFonts w:asciiTheme="majorEastAsia" w:eastAsiaTheme="majorEastAsia" w:hAnsiTheme="majorEastAsia" w:hint="eastAsia"/>
          <w:b/>
        </w:rPr>
        <w:t>式(6.5.9)</w:t>
      </w:r>
      <w:r w:rsidRPr="00BC31E0">
        <w:rPr>
          <w:rFonts w:hint="eastAsia"/>
        </w:rPr>
        <w:t>より，内面</w:t>
      </w:r>
      <m:oMath>
        <m:r>
          <m:rPr>
            <m:sty m:val="p"/>
          </m:rPr>
          <w:rPr>
            <w:rFonts w:ascii="Cambria Math" w:hAnsi="Cambria Math"/>
          </w:rPr>
          <m:t xml:space="preserve"> </m:t>
        </m:r>
        <m:r>
          <w:rPr>
            <w:rFonts w:ascii="Cambria Math" w:hAnsi="Cambria Math"/>
          </w:rPr>
          <m:t>D</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I</m:t>
            </m:r>
            <m:r>
              <m:rPr>
                <m:sty m:val="p"/>
              </m:rPr>
              <w:rPr>
                <w:rFonts w:ascii="Cambria Math" w:hAnsi="Cambria Math"/>
              </w:rPr>
              <m:t xml:space="preserve"> </m:t>
            </m:r>
          </m:sub>
        </m:sSub>
      </m:oMath>
      <w:r w:rsidRPr="00BC31E0">
        <w:rPr>
          <w:rFonts w:hint="eastAsia"/>
        </w:rPr>
        <w:t>におけるバウシンガー効果に対して</w:t>
      </w:r>
      <w:r w:rsidRPr="00BC31E0">
        <w:rPr>
          <w:rFonts w:hint="eastAsia"/>
          <w:iCs/>
        </w:rPr>
        <w:t>補正</w:t>
      </w:r>
      <w:r w:rsidRPr="00BC31E0">
        <w:rPr>
          <w:rFonts w:hint="eastAsia"/>
          <w:iCs/>
        </w:rPr>
        <w:lastRenderedPageBreak/>
        <w:t>した周方向残留応力</w:t>
      </w:r>
      <m:oMath>
        <m:sSub>
          <m:sSubPr>
            <m:ctrlPr>
              <w:rPr>
                <w:rFonts w:ascii="Cambria Math" w:hAnsi="Cambria Math"/>
              </w:rPr>
            </m:ctrlPr>
          </m:sSubPr>
          <m:e>
            <m:r>
              <m:rPr>
                <m:sty m:val="p"/>
              </m:rPr>
              <w:rPr>
                <w:rFonts w:ascii="Cambria Math" w:hAnsi="Cambria Math"/>
              </w:rPr>
              <m:t xml:space="preserve"> </m:t>
            </m:r>
            <m:r>
              <w:rPr>
                <w:rFonts w:ascii="Cambria Math" w:hAnsi="Cambria Math"/>
              </w:rPr>
              <m:t>σ</m:t>
            </m:r>
          </m:e>
          <m:sub>
            <m:r>
              <w:rPr>
                <w:rFonts w:ascii="Cambria Math" w:hAnsi="Cambria Math"/>
              </w:rPr>
              <m:t>CD</m:t>
            </m:r>
            <m:r>
              <m:rPr>
                <m:sty m:val="p"/>
              </m:rPr>
              <w:rPr>
                <w:rFonts w:ascii="Cambria Math" w:hAnsi="Cambria Math"/>
              </w:rPr>
              <m:t xml:space="preserve"> </m:t>
            </m:r>
          </m:sub>
        </m:sSub>
      </m:oMath>
      <w:r w:rsidRPr="00BC31E0">
        <w:rPr>
          <w:rFonts w:hint="eastAsia"/>
        </w:rPr>
        <w:t>を求める。</w:t>
      </w:r>
    </w:p>
    <w:tbl>
      <w:tblPr>
        <w:tblStyle w:val="afff2"/>
        <w:tblW w:w="7512" w:type="dxa"/>
        <w:tblInd w:w="1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9"/>
        <w:gridCol w:w="1303"/>
      </w:tblGrid>
      <w:tr w:rsidR="003B52EB" w:rsidRPr="00BC31E0" w14:paraId="73E817B1" w14:textId="77777777" w:rsidTr="003B52EB">
        <w:tc>
          <w:tcPr>
            <w:tcW w:w="0" w:type="auto"/>
            <w:tcMar>
              <w:left w:w="0" w:type="dxa"/>
              <w:right w:w="0" w:type="dxa"/>
            </w:tcMar>
            <w:vAlign w:val="center"/>
          </w:tcPr>
          <w:p w14:paraId="4B5ECD43" w14:textId="77777777" w:rsidR="003B52EB" w:rsidRPr="00BC31E0" w:rsidRDefault="00A51873" w:rsidP="003B52EB">
            <w:pPr>
              <w:tabs>
                <w:tab w:val="left" w:pos="2268"/>
                <w:tab w:val="left" w:leader="middleDot" w:pos="8364"/>
              </w:tabs>
              <w:autoSpaceDE w:val="0"/>
              <w:autoSpaceDN w:val="0"/>
              <w:jc w:val="left"/>
              <w:rPr>
                <w:rFonts w:asciiTheme="minorEastAsia" w:eastAsiaTheme="minorEastAsia" w:hAnsiTheme="minorEastAsia"/>
                <w:bCs/>
              </w:rPr>
            </w:pPr>
            <m:oMathPara>
              <m:oMathParaPr>
                <m:jc m:val="left"/>
              </m:oMathParaPr>
              <m:oMath>
                <m:f>
                  <m:fPr>
                    <m:type m:val="lin"/>
                    <m:ctrlPr>
                      <w:rPr>
                        <w:rFonts w:ascii="Cambria Math" w:eastAsiaTheme="minorEastAsia" w:hAnsiTheme="minorEastAsia"/>
                        <w:bCs/>
                        <w:i/>
                      </w:rPr>
                    </m:ctrlPr>
                  </m:fPr>
                  <m:num>
                    <m:sSub>
                      <m:sSubPr>
                        <m:ctrlPr>
                          <w:rPr>
                            <w:rFonts w:ascii="Cambria Math" w:eastAsiaTheme="minorEastAsia" w:hAnsiTheme="minorEastAsia"/>
                            <w:bCs/>
                            <w:i/>
                          </w:rPr>
                        </m:ctrlPr>
                      </m:sSubPr>
                      <m:e>
                        <m:r>
                          <w:rPr>
                            <w:rFonts w:ascii="Cambria Math" w:eastAsiaTheme="minorEastAsia" w:hAnsi="Cambria Math"/>
                          </w:rPr>
                          <m:t>σ</m:t>
                        </m:r>
                      </m:e>
                      <m:sub>
                        <m:r>
                          <w:rPr>
                            <w:rFonts w:ascii="Cambria Math" w:eastAsiaTheme="minorEastAsia" w:hAnsi="Cambria Math"/>
                          </w:rPr>
                          <m:t>CD</m:t>
                        </m:r>
                      </m:sub>
                    </m:sSub>
                  </m:num>
                  <m:den>
                    <m:sSub>
                      <m:sSubPr>
                        <m:ctrlPr>
                          <w:rPr>
                            <w:rFonts w:ascii="Cambria Math" w:eastAsiaTheme="minorEastAsia" w:hAnsiTheme="minorEastAsia"/>
                            <w:bCs/>
                            <w:i/>
                          </w:rPr>
                        </m:ctrlPr>
                      </m:sSubPr>
                      <m:e>
                        <m:r>
                          <w:rPr>
                            <w:rFonts w:ascii="Cambria Math" w:eastAsiaTheme="minorEastAsia" w:hAnsi="Cambria Math"/>
                          </w:rPr>
                          <m:t>σ</m:t>
                        </m:r>
                      </m:e>
                      <m:sub>
                        <m:r>
                          <w:rPr>
                            <w:rFonts w:ascii="Cambria Math" w:eastAsiaTheme="minorEastAsia" w:hAnsi="Cambria Math"/>
                          </w:rPr>
                          <m:t>AD</m:t>
                        </m:r>
                      </m:sub>
                    </m:sSub>
                    <m:r>
                      <w:rPr>
                        <w:rFonts w:ascii="Cambria Math" w:eastAsiaTheme="minorEastAsia" w:hAnsiTheme="minorEastAsia"/>
                      </w:rPr>
                      <m:t>=1.6695</m:t>
                    </m:r>
                    <m:r>
                      <w:rPr>
                        <w:rFonts w:asciiTheme="minorEastAsia" w:eastAsiaTheme="minorEastAsia" w:hAnsiTheme="minorEastAsia"/>
                      </w:rPr>
                      <m:t>-</m:t>
                    </m:r>
                    <m:r>
                      <w:rPr>
                        <w:rFonts w:ascii="Cambria Math" w:eastAsiaTheme="minorEastAsia" w:hAnsiTheme="minorEastAsia"/>
                      </w:rPr>
                      <m:t xml:space="preserve">0.1651 </m:t>
                    </m:r>
                    <m:r>
                      <w:rPr>
                        <w:rFonts w:ascii="Cambria Math" w:eastAsiaTheme="minorEastAsia" w:hAnsi="Cambria Math"/>
                      </w:rPr>
                      <m:t>Y</m:t>
                    </m:r>
                  </m:den>
                </m:f>
                <m:r>
                  <w:rPr>
                    <w:rFonts w:asciiTheme="minorEastAsia" w:eastAsiaTheme="minorEastAsia" w:hAnsiTheme="minorEastAsia"/>
                  </w:rPr>
                  <m:t>-</m:t>
                </m:r>
                <m:r>
                  <w:rPr>
                    <w:rFonts w:ascii="Cambria Math" w:eastAsiaTheme="minorEastAsia" w:hAnsiTheme="minorEastAsia"/>
                  </w:rPr>
                  <m:t xml:space="preserve">1.8871 </m:t>
                </m:r>
                <m:r>
                  <w:rPr>
                    <w:rFonts w:ascii="Cambria Math" w:eastAsiaTheme="minorEastAsia" w:hAnsi="Cambria Math" w:hint="eastAsia"/>
                  </w:rPr>
                  <m:t>M</m:t>
                </m:r>
                <m:r>
                  <w:rPr>
                    <w:rFonts w:ascii="Cambria Math" w:eastAsiaTheme="minorEastAsia" w:hAnsiTheme="minorEastAsia" w:hint="eastAsia"/>
                  </w:rPr>
                  <m:t>+1.9837</m:t>
                </m:r>
                <m:r>
                  <w:rPr>
                    <w:rFonts w:ascii="Cambria Math" w:eastAsiaTheme="minorEastAsia" w:hAnsiTheme="minorEastAsia"/>
                  </w:rPr>
                  <m:t xml:space="preserve"> </m:t>
                </m:r>
                <m:sSup>
                  <m:sSupPr>
                    <m:ctrlPr>
                      <w:rPr>
                        <w:rFonts w:ascii="Cambria Math" w:eastAsiaTheme="minorEastAsia" w:hAnsiTheme="minorEastAsia"/>
                        <w:bCs/>
                        <w:i/>
                      </w:rPr>
                    </m:ctrlPr>
                  </m:sSupPr>
                  <m:e>
                    <m:r>
                      <w:rPr>
                        <w:rFonts w:ascii="Cambria Math" w:eastAsiaTheme="minorEastAsia" w:hAnsi="Cambria Math"/>
                      </w:rPr>
                      <m:t>M</m:t>
                    </m:r>
                  </m:e>
                  <m:sup>
                    <m:r>
                      <w:rPr>
                        <w:rFonts w:ascii="Cambria Math" w:eastAsiaTheme="minorEastAsia" w:hAnsiTheme="minorEastAsia"/>
                      </w:rPr>
                      <m:t>2</m:t>
                    </m:r>
                  </m:sup>
                </m:sSup>
                <m:r>
                  <w:rPr>
                    <w:rFonts w:asciiTheme="minorEastAsia" w:eastAsiaTheme="minorEastAsia" w:hAnsiTheme="minorEastAsia"/>
                  </w:rPr>
                  <m:t>-</m:t>
                </m:r>
                <m:r>
                  <w:rPr>
                    <w:rFonts w:ascii="Cambria Math" w:eastAsiaTheme="minorEastAsia" w:hAnsiTheme="minorEastAsia"/>
                  </w:rPr>
                  <m:t xml:space="preserve">0.7296 </m:t>
                </m:r>
                <m:sSup>
                  <m:sSupPr>
                    <m:ctrlPr>
                      <w:rPr>
                        <w:rFonts w:ascii="Cambria Math" w:eastAsiaTheme="minorEastAsia" w:hAnsiTheme="minorEastAsia"/>
                        <w:bCs/>
                        <w:i/>
                      </w:rPr>
                    </m:ctrlPr>
                  </m:sSupPr>
                  <m:e>
                    <m:r>
                      <w:rPr>
                        <w:rFonts w:ascii="Cambria Math" w:eastAsiaTheme="minorEastAsia" w:hAnsi="Cambria Math"/>
                      </w:rPr>
                      <m:t>M</m:t>
                    </m:r>
                  </m:e>
                  <m:sup>
                    <m:r>
                      <w:rPr>
                        <w:rFonts w:ascii="Cambria Math" w:eastAsiaTheme="minorEastAsia" w:hAnsiTheme="minorEastAsia"/>
                      </w:rPr>
                      <m:t>3</m:t>
                    </m:r>
                  </m:sup>
                </m:sSup>
              </m:oMath>
            </m:oMathPara>
          </w:p>
        </w:tc>
        <w:tc>
          <w:tcPr>
            <w:tcW w:w="1303" w:type="dxa"/>
            <w:tcMar>
              <w:left w:w="0" w:type="dxa"/>
              <w:right w:w="0" w:type="dxa"/>
            </w:tcMar>
            <w:vAlign w:val="center"/>
          </w:tcPr>
          <w:p w14:paraId="0EF54F18" w14:textId="77777777" w:rsidR="003B52EB" w:rsidRPr="00BC31E0" w:rsidRDefault="003B52EB" w:rsidP="003B52EB">
            <w:pPr>
              <w:tabs>
                <w:tab w:val="left" w:leader="middleDot" w:pos="595"/>
              </w:tabs>
              <w:autoSpaceDE w:val="0"/>
              <w:autoSpaceDN w:val="0"/>
              <w:jc w:val="left"/>
              <w:rPr>
                <w:rFonts w:asciiTheme="minorHAnsi" w:eastAsiaTheme="minorEastAsia" w:hAnsiTheme="minorHAnsi"/>
                <w:bCs/>
              </w:rPr>
            </w:pPr>
            <w:r w:rsidRPr="00BC31E0">
              <w:rPr>
                <w:rFonts w:asciiTheme="minorHAnsi" w:eastAsiaTheme="minorEastAsia" w:hAnsiTheme="minorHAnsi"/>
                <w:bCs/>
              </w:rPr>
              <w:tab/>
            </w:r>
            <w:r w:rsidRPr="00BC31E0">
              <w:rPr>
                <w:rFonts w:asciiTheme="minorHAnsi" w:eastAsiaTheme="minorEastAsia" w:hAnsiTheme="minorHAnsi" w:hint="eastAsia"/>
                <w:bCs/>
              </w:rPr>
              <w:t>(6.5.7)</w:t>
            </w:r>
          </w:p>
        </w:tc>
      </w:tr>
    </w:tbl>
    <w:p w14:paraId="29E1E88C" w14:textId="77777777" w:rsidR="003B52EB" w:rsidRPr="00BC31E0" w:rsidRDefault="003B52EB" w:rsidP="00985E91">
      <w:pPr>
        <w:tabs>
          <w:tab w:val="left" w:leader="middleDot" w:pos="8364"/>
        </w:tabs>
        <w:autoSpaceDE w:val="0"/>
        <w:autoSpaceDN w:val="0"/>
        <w:spacing w:before="120" w:after="120"/>
        <w:ind w:left="1134"/>
      </w:pPr>
      <w:r w:rsidRPr="00BC31E0">
        <w:rPr>
          <w:rFonts w:hint="eastAsia"/>
        </w:rPr>
        <w:t>開端の場合には</w:t>
      </w:r>
    </w:p>
    <w:p w14:paraId="5AA31774" w14:textId="77777777" w:rsidR="003B52EB" w:rsidRPr="00BC31E0" w:rsidRDefault="003B52EB" w:rsidP="003B52EB">
      <w:pPr>
        <w:tabs>
          <w:tab w:val="left" w:pos="2127"/>
          <w:tab w:val="left" w:leader="middleDot" w:pos="8364"/>
        </w:tabs>
        <w:autoSpaceDE w:val="0"/>
        <w:autoSpaceDN w:val="0"/>
      </w:pPr>
      <w:r w:rsidRPr="00BC31E0">
        <w:rPr>
          <w:rFonts w:hint="eastAsia"/>
          <w:bCs/>
        </w:rPr>
        <w:tab/>
      </w:r>
      <m:oMath>
        <m:f>
          <m:fPr>
            <m:type m:val="lin"/>
            <m:ctrlPr>
              <w:rPr>
                <w:rFonts w:ascii="Cambria Math" w:eastAsiaTheme="minorEastAsia" w:hAnsi="Cambria Math"/>
                <w:bCs/>
                <w:i/>
              </w:rPr>
            </m:ctrlPr>
          </m:fPr>
          <m:num>
            <m:sSub>
              <m:sSubPr>
                <m:ctrlPr>
                  <w:rPr>
                    <w:rFonts w:ascii="Cambria Math" w:eastAsiaTheme="minorEastAsia" w:hAnsi="Cambria Math"/>
                    <w:bCs/>
                    <w:i/>
                  </w:rPr>
                </m:ctrlPr>
              </m:sSubPr>
              <m:e>
                <m:r>
                  <w:rPr>
                    <w:rFonts w:ascii="Cambria Math" w:eastAsiaTheme="minorEastAsia" w:hAnsi="Cambria Math"/>
                  </w:rPr>
                  <m:t>σ</m:t>
                </m:r>
              </m:e>
              <m:sub>
                <m:r>
                  <w:rPr>
                    <w:rFonts w:ascii="Cambria Math" w:eastAsiaTheme="minorEastAsia" w:hAnsi="Cambria Math"/>
                  </w:rPr>
                  <m:t>CD</m:t>
                </m:r>
              </m:sub>
            </m:sSub>
          </m:num>
          <m:den>
            <m:sSub>
              <m:sSubPr>
                <m:ctrlPr>
                  <w:rPr>
                    <w:rFonts w:ascii="Cambria Math" w:eastAsiaTheme="minorEastAsia" w:hAnsi="Cambria Math"/>
                    <w:bCs/>
                    <w:i/>
                  </w:rPr>
                </m:ctrlPr>
              </m:sSubPr>
              <m:e>
                <m:r>
                  <w:rPr>
                    <w:rFonts w:ascii="Cambria Math" w:eastAsiaTheme="minorEastAsia" w:hAnsi="Cambria Math"/>
                  </w:rPr>
                  <m:t>σ</m:t>
                </m:r>
              </m:e>
              <m:sub>
                <m:r>
                  <w:rPr>
                    <w:rFonts w:ascii="Cambria Math" w:eastAsiaTheme="minorEastAsia" w:hAnsi="Cambria Math"/>
                  </w:rPr>
                  <m:t>AD</m:t>
                </m:r>
              </m:sub>
            </m:sSub>
            <m:r>
              <w:rPr>
                <w:rFonts w:ascii="Cambria Math" w:eastAsiaTheme="minorEastAsia" w:hAnsi="Cambria Math"/>
              </w:rPr>
              <m:t xml:space="preserve">=-0.5484+1.8141 Y-0.6502 </m:t>
            </m:r>
            <m:sSup>
              <m:sSupPr>
                <m:ctrlPr>
                  <w:rPr>
                    <w:rFonts w:ascii="Cambria Math" w:eastAsiaTheme="minorEastAsia" w:hAnsi="Cambria Math"/>
                    <w:bCs/>
                    <w:i/>
                  </w:rPr>
                </m:ctrlPr>
              </m:sSupPr>
              <m:e>
                <m:r>
                  <w:rPr>
                    <w:rFonts w:ascii="Cambria Math" w:eastAsiaTheme="minorEastAsia" w:hAnsi="Cambria Math"/>
                  </w:rPr>
                  <m:t>Y</m:t>
                </m:r>
              </m:e>
              <m:sup>
                <m:r>
                  <w:rPr>
                    <w:rFonts w:ascii="Cambria Math" w:eastAsiaTheme="minorEastAsia" w:hAnsi="Cambria Math"/>
                  </w:rPr>
                  <m:t>2</m:t>
                </m:r>
              </m:sup>
            </m:sSup>
            <m:r>
              <w:rPr>
                <w:rFonts w:ascii="Cambria Math" w:eastAsiaTheme="minorEastAsia" w:hAnsi="Cambria Math"/>
              </w:rPr>
              <m:t xml:space="preserve">+0.0791 </m:t>
            </m:r>
            <m:sSup>
              <m:sSupPr>
                <m:ctrlPr>
                  <w:rPr>
                    <w:rFonts w:ascii="Cambria Math" w:eastAsiaTheme="minorEastAsia" w:hAnsi="Cambria Math"/>
                    <w:bCs/>
                    <w:i/>
                  </w:rPr>
                </m:ctrlPr>
              </m:sSupPr>
              <m:e>
                <m:r>
                  <w:rPr>
                    <w:rFonts w:ascii="Cambria Math" w:eastAsiaTheme="minorEastAsia" w:hAnsi="Cambria Math"/>
                  </w:rPr>
                  <m:t>Y</m:t>
                </m:r>
              </m:e>
              <m:sup>
                <m:r>
                  <w:rPr>
                    <w:rFonts w:ascii="Cambria Math" w:eastAsiaTheme="minorEastAsia" w:hAnsi="Cambria Math"/>
                  </w:rPr>
                  <m:t>3</m:t>
                </m:r>
              </m:sup>
            </m:sSup>
          </m:den>
        </m:f>
      </m:oMath>
      <w:r w:rsidRPr="00BC31E0">
        <w:rPr>
          <w:rFonts w:hint="eastAsia"/>
        </w:rPr>
        <w:tab/>
        <w:t>(6.5.8)</w:t>
      </w:r>
    </w:p>
    <w:p w14:paraId="3DC799C1" w14:textId="77777777" w:rsidR="003B52EB" w:rsidRPr="00BC31E0" w:rsidRDefault="003B52EB" w:rsidP="00985E91">
      <w:pPr>
        <w:tabs>
          <w:tab w:val="left" w:leader="middleDot" w:pos="8364"/>
        </w:tabs>
        <w:autoSpaceDE w:val="0"/>
        <w:autoSpaceDN w:val="0"/>
        <w:spacing w:before="120" w:after="120"/>
        <w:ind w:left="1134"/>
      </w:pPr>
      <w:r w:rsidRPr="00BC31E0">
        <w:rPr>
          <w:rFonts w:hint="eastAsia"/>
        </w:rPr>
        <w:t>閉端の場合には</w:t>
      </w:r>
    </w:p>
    <w:p w14:paraId="2D624812" w14:textId="77777777" w:rsidR="003B52EB" w:rsidRPr="00BC31E0" w:rsidRDefault="003B52EB" w:rsidP="003B52EB">
      <w:pPr>
        <w:tabs>
          <w:tab w:val="left" w:pos="2127"/>
          <w:tab w:val="left" w:leader="middleDot" w:pos="8364"/>
        </w:tabs>
        <w:autoSpaceDE w:val="0"/>
        <w:autoSpaceDN w:val="0"/>
        <w:rPr>
          <w:rFonts w:asciiTheme="minorHAnsi" w:eastAsia="ＭＳ ゴシック" w:hAnsiTheme="minorHAnsi"/>
          <w:bCs/>
        </w:rPr>
      </w:pPr>
      <w:r w:rsidRPr="00BC31E0">
        <w:rPr>
          <w:rFonts w:hint="eastAsia"/>
          <w:bCs/>
        </w:rPr>
        <w:tab/>
      </w:r>
      <m:oMath>
        <m:f>
          <m:fPr>
            <m:type m:val="lin"/>
            <m:ctrlPr>
              <w:rPr>
                <w:rFonts w:ascii="Cambria Math" w:eastAsiaTheme="minorEastAsia" w:hAnsi="Cambria Math"/>
                <w:bCs/>
                <w:i/>
              </w:rPr>
            </m:ctrlPr>
          </m:fPr>
          <m:num>
            <m:sSub>
              <m:sSubPr>
                <m:ctrlPr>
                  <w:rPr>
                    <w:rFonts w:ascii="Cambria Math" w:eastAsiaTheme="minorEastAsia" w:hAnsi="Cambria Math"/>
                    <w:bCs/>
                    <w:i/>
                  </w:rPr>
                </m:ctrlPr>
              </m:sSubPr>
              <m:e>
                <m:r>
                  <w:rPr>
                    <w:rFonts w:ascii="Cambria Math" w:eastAsiaTheme="minorEastAsia" w:hAnsi="Cambria Math"/>
                  </w:rPr>
                  <m:t>σ</m:t>
                </m:r>
              </m:e>
              <m:sub>
                <m:r>
                  <w:rPr>
                    <w:rFonts w:ascii="Cambria Math" w:eastAsiaTheme="minorEastAsia" w:hAnsi="Cambria Math"/>
                  </w:rPr>
                  <m:t>CD</m:t>
                </m:r>
              </m:sub>
            </m:sSub>
          </m:num>
          <m:den>
            <m:sSub>
              <m:sSubPr>
                <m:ctrlPr>
                  <w:rPr>
                    <w:rFonts w:ascii="Cambria Math" w:eastAsiaTheme="minorEastAsia" w:hAnsi="Cambria Math"/>
                    <w:bCs/>
                    <w:i/>
                  </w:rPr>
                </m:ctrlPr>
              </m:sSubPr>
              <m:e>
                <m:r>
                  <w:rPr>
                    <w:rFonts w:ascii="Cambria Math" w:eastAsiaTheme="minorEastAsia" w:hAnsi="Cambria Math"/>
                  </w:rPr>
                  <m:t>σ</m:t>
                </m:r>
              </m:e>
              <m:sub>
                <m:r>
                  <w:rPr>
                    <w:rFonts w:ascii="Cambria Math" w:eastAsiaTheme="minorEastAsia" w:hAnsi="Cambria Math"/>
                  </w:rPr>
                  <m:t>AD</m:t>
                </m:r>
              </m:sub>
            </m:sSub>
            <m:r>
              <w:rPr>
                <w:rFonts w:ascii="Cambria Math" w:eastAsiaTheme="minorEastAsia" w:hAnsi="Cambria Math"/>
              </w:rPr>
              <m:t>=1.15</m:t>
            </m:r>
          </m:den>
        </m:f>
      </m:oMath>
      <w:r w:rsidRPr="00BC31E0">
        <w:rPr>
          <w:rFonts w:asciiTheme="minorHAnsi" w:eastAsia="ＭＳ ゴシック" w:hAnsiTheme="minorHAnsi" w:hint="eastAsia"/>
          <w:bCs/>
        </w:rPr>
        <w:tab/>
        <w:t>(6.5.9)</w:t>
      </w:r>
    </w:p>
    <w:p w14:paraId="2E73B4E7" w14:textId="77777777" w:rsidR="003B52EB" w:rsidRPr="00BC31E0" w:rsidRDefault="003B52EB" w:rsidP="007805B3">
      <w:pPr>
        <w:autoSpaceDE w:val="0"/>
        <w:autoSpaceDN w:val="0"/>
        <w:spacing w:before="120"/>
        <w:ind w:left="1134"/>
      </w:pPr>
      <w:r w:rsidRPr="00BC31E0">
        <w:rPr>
          <w:rFonts w:ascii="ＭＳ ゴシック" w:eastAsia="ＭＳ ゴシック" w:hAnsi="ＭＳ ゴシック" w:hint="eastAsia"/>
          <w:b/>
          <w:bCs/>
        </w:rPr>
        <w:t>式(6.5.7)</w:t>
      </w:r>
      <w:r w:rsidRPr="00BC31E0">
        <w:rPr>
          <w:rFonts w:hint="eastAsia"/>
        </w:rPr>
        <w:t>と</w:t>
      </w:r>
      <w:r w:rsidRPr="00BC31E0">
        <w:rPr>
          <w:rFonts w:ascii="ＭＳ ゴシック" w:eastAsia="ＭＳ ゴシック" w:hAnsi="ＭＳ ゴシック" w:hint="eastAsia"/>
          <w:b/>
          <w:bCs/>
        </w:rPr>
        <w:t>式(6.5.8)</w:t>
      </w:r>
      <w:r w:rsidRPr="00BC31E0">
        <w:rPr>
          <w:rFonts w:hint="eastAsia"/>
          <w:bCs/>
        </w:rPr>
        <w:t>又は</w:t>
      </w:r>
      <w:r w:rsidRPr="00BC31E0">
        <w:rPr>
          <w:rFonts w:ascii="ＭＳ ゴシック" w:eastAsia="ＭＳ ゴシック" w:hAnsi="ＭＳ ゴシック" w:hint="eastAsia"/>
          <w:b/>
          <w:bCs/>
        </w:rPr>
        <w:t>式(6.5.9)</w:t>
      </w:r>
      <w:r w:rsidRPr="00BC31E0">
        <w:rPr>
          <w:rFonts w:hint="eastAsia"/>
        </w:rPr>
        <w:t>に対して，負で小さい方の値を</w:t>
      </w:r>
      <m:oMath>
        <m:sSub>
          <m:sSubPr>
            <m:ctrlPr>
              <w:rPr>
                <w:rFonts w:ascii="Cambria Math" w:hAnsi="Cambria Math"/>
                <w:i/>
              </w:rPr>
            </m:ctrlPr>
          </m:sSubPr>
          <m:e>
            <m:r>
              <w:rPr>
                <w:rFonts w:ascii="Cambria Math" w:hAnsi="Cambria Math"/>
              </w:rPr>
              <m:t>σ</m:t>
            </m:r>
          </m:e>
          <m:sub>
            <m:r>
              <w:rPr>
                <w:rFonts w:ascii="Cambria Math" w:hAnsi="Cambria Math"/>
              </w:rPr>
              <m:t>CD</m:t>
            </m:r>
          </m:sub>
        </m:sSub>
        <m:r>
          <m:rPr>
            <m:sty m:val="p"/>
          </m:rPr>
          <w:rPr>
            <w:rFonts w:ascii="Cambria Math" w:hAnsi="Cambria Math"/>
          </w:rPr>
          <m:t xml:space="preserve"> </m:t>
        </m:r>
      </m:oMath>
      <w:r w:rsidRPr="00BC31E0">
        <w:rPr>
          <w:rFonts w:hint="eastAsia"/>
        </w:rPr>
        <w:t>とする。</w:t>
      </w:r>
    </w:p>
    <w:p w14:paraId="27EFDE02" w14:textId="77777777" w:rsidR="007805B3" w:rsidRPr="00BC31E0" w:rsidRDefault="00A51873" w:rsidP="00736130">
      <w:pPr>
        <w:pStyle w:val="a4"/>
        <w:numPr>
          <w:ilvl w:val="0"/>
          <w:numId w:val="260"/>
        </w:numPr>
        <w:ind w:leftChars="0" w:left="1134" w:hanging="567"/>
      </w:pPr>
      <m:oMath>
        <m:f>
          <m:fPr>
            <m:type m:val="lin"/>
            <m:ctrlPr>
              <w:rPr>
                <w:rFonts w:ascii="Cambria Math" w:hAnsi="Cambria Math"/>
              </w:rPr>
            </m:ctrlPr>
          </m:fPr>
          <m:num>
            <m:sSub>
              <m:sSubPr>
                <m:ctrlPr>
                  <w:rPr>
                    <w:rFonts w:ascii="Cambria Math" w:hAnsi="Cambria Math"/>
                  </w:rPr>
                </m:ctrlPr>
              </m:sSubPr>
              <m:e>
                <m:r>
                  <w:rPr>
                    <w:rFonts w:ascii="Cambria Math" w:hAnsi="Cambria Math"/>
                  </w:rPr>
                  <m:t>σ</m:t>
                </m:r>
              </m:e>
              <m:sub>
                <m:r>
                  <w:rPr>
                    <w:rFonts w:ascii="Cambria Math" w:hAnsi="Cambria Math"/>
                  </w:rPr>
                  <m:t>CD</m:t>
                </m:r>
              </m:sub>
            </m:sSub>
          </m:num>
          <m:den>
            <m:sSub>
              <m:sSubPr>
                <m:ctrlPr>
                  <w:rPr>
                    <w:rFonts w:ascii="Cambria Math" w:hAnsi="Cambria Math"/>
                  </w:rPr>
                </m:ctrlPr>
              </m:sSubPr>
              <m:e>
                <m:r>
                  <w:rPr>
                    <w:rFonts w:ascii="Cambria Math" w:hAnsi="Cambria Math"/>
                  </w:rPr>
                  <m:t>S</m:t>
                </m:r>
              </m:e>
              <m:sub>
                <m:r>
                  <w:rPr>
                    <w:rFonts w:ascii="Cambria Math" w:hAnsi="Cambria Math"/>
                  </w:rPr>
                  <m:t>y</m:t>
                </m:r>
              </m:sub>
            </m:sSub>
            <m:r>
              <m:rPr>
                <m:sty m:val="p"/>
              </m:rPr>
              <w:rPr>
                <w:rFonts w:ascii="Cambria Math" w:hAnsi="Cambria Math"/>
              </w:rPr>
              <m:t>&lt;</m:t>
            </m:r>
            <m:r>
              <w:rPr>
                <w:rFonts w:ascii="Cambria Math" w:hAnsi="Cambria Math"/>
              </w:rPr>
              <m:t xml:space="preserve">-0.7 </m:t>
            </m:r>
          </m:den>
        </m:f>
      </m:oMath>
      <w:r w:rsidR="003B52EB" w:rsidRPr="00BC31E0">
        <w:rPr>
          <w:rFonts w:hint="eastAsia"/>
        </w:rPr>
        <w:t>の場合には，</w:t>
      </w:r>
      <m:oMath>
        <m:f>
          <m:fPr>
            <m:type m:val="lin"/>
            <m:ctrlPr>
              <w:rPr>
                <w:rFonts w:ascii="Cambria Math" w:hAnsi="Cambria Math"/>
              </w:rPr>
            </m:ctrlPr>
          </m:fPr>
          <m:num>
            <m:sSub>
              <m:sSubPr>
                <m:ctrlPr>
                  <w:rPr>
                    <w:rFonts w:ascii="Cambria Math" w:hAnsi="Cambria Math"/>
                  </w:rPr>
                </m:ctrlPr>
              </m:sSubPr>
              <m:e>
                <m:r>
                  <w:rPr>
                    <w:rFonts w:ascii="Cambria Math" w:hAnsi="Cambria Math"/>
                  </w:rPr>
                  <m:t>σ</m:t>
                </m:r>
              </m:e>
              <m:sub>
                <m:r>
                  <w:rPr>
                    <w:rFonts w:ascii="Cambria Math" w:hAnsi="Cambria Math"/>
                  </w:rPr>
                  <m:t>CD</m:t>
                </m:r>
              </m:sub>
            </m:sSub>
          </m:num>
          <m:den>
            <m:sSub>
              <m:sSubPr>
                <m:ctrlPr>
                  <w:rPr>
                    <w:rFonts w:ascii="Cambria Math" w:hAnsi="Cambria Math"/>
                  </w:rPr>
                </m:ctrlPr>
              </m:sSubPr>
              <m:e>
                <m:r>
                  <w:rPr>
                    <w:rFonts w:ascii="Cambria Math" w:hAnsi="Cambria Math"/>
                  </w:rPr>
                  <m:t>S</m:t>
                </m:r>
              </m:e>
              <m:sub>
                <m:r>
                  <w:rPr>
                    <w:rFonts w:ascii="Cambria Math" w:hAnsi="Cambria Math"/>
                  </w:rPr>
                  <m:t>y</m:t>
                </m:r>
              </m:sub>
            </m:sSub>
            <m:r>
              <m:rPr>
                <m:sty m:val="p"/>
              </m:rPr>
              <w:rPr>
                <w:rFonts w:ascii="Cambria Math" w:hAnsi="Cambria Math"/>
              </w:rPr>
              <m:t>=-0.7</m:t>
            </m:r>
          </m:den>
        </m:f>
      </m:oMath>
      <w:r w:rsidR="003B52EB" w:rsidRPr="00BC31E0">
        <w:rPr>
          <w:rFonts w:hint="eastAsia"/>
        </w:rPr>
        <w:t xml:space="preserve"> (</w:t>
      </w:r>
      <w:r w:rsidR="003B52EB" w:rsidRPr="00BC31E0">
        <w:rPr>
          <w:rFonts w:hint="eastAsia"/>
        </w:rPr>
        <w:t>下限値</w:t>
      </w:r>
      <w:r w:rsidR="003B52EB" w:rsidRPr="00BC31E0">
        <w:rPr>
          <w:rFonts w:hint="eastAsia"/>
        </w:rPr>
        <w:t>)</w:t>
      </w:r>
      <w:r w:rsidR="003B52EB" w:rsidRPr="00BC31E0">
        <w:rPr>
          <w:rFonts w:hint="eastAsia"/>
        </w:rPr>
        <w:t>とする。</w:t>
      </w:r>
    </w:p>
    <w:p w14:paraId="3824AF45" w14:textId="77777777" w:rsidR="003B52EB" w:rsidRPr="00BC31E0" w:rsidRDefault="00A51873" w:rsidP="00736130">
      <w:pPr>
        <w:pStyle w:val="a4"/>
        <w:numPr>
          <w:ilvl w:val="0"/>
          <w:numId w:val="260"/>
        </w:numPr>
        <w:spacing w:after="120"/>
        <w:ind w:leftChars="0" w:left="1134" w:hanging="567"/>
      </w:pPr>
      <m:oMath>
        <m:sSub>
          <m:sSubPr>
            <m:ctrlPr>
              <w:rPr>
                <w:rFonts w:ascii="Cambria Math" w:hAnsi="Cambria Math"/>
                <w:vertAlign w:val="subscript"/>
              </w:rPr>
            </m:ctrlPr>
          </m:sSubPr>
          <m:e>
            <m:r>
              <w:rPr>
                <w:rFonts w:ascii="Cambria Math" w:hAnsi="Cambria Math"/>
                <w:vertAlign w:val="subscript"/>
              </w:rPr>
              <m:t>D</m:t>
            </m:r>
          </m:e>
          <m:sub>
            <m:r>
              <w:rPr>
                <w:rFonts w:ascii="Cambria Math" w:hAnsi="Cambria Math"/>
                <w:vertAlign w:val="subscript"/>
              </w:rPr>
              <m:t>I</m:t>
            </m:r>
          </m:sub>
        </m:sSub>
        <m:r>
          <m:rPr>
            <m:sty m:val="p"/>
          </m:rPr>
          <w:rPr>
            <w:rFonts w:ascii="Cambria Math" w:hAnsi="Cambria Math"/>
            <w:vertAlign w:val="subscript"/>
          </w:rPr>
          <m:t>&lt;</m:t>
        </m:r>
        <m:r>
          <w:rPr>
            <w:rFonts w:ascii="Cambria Math" w:hAnsi="Cambria Math"/>
            <w:vertAlign w:val="subscript"/>
          </w:rPr>
          <m:t>D</m:t>
        </m:r>
        <m:r>
          <m:rPr>
            <m:sty m:val="p"/>
          </m:rPr>
          <w:rPr>
            <w:rFonts w:ascii="Cambria Math" w:hAnsi="Cambria Math"/>
            <w:vertAlign w:val="subscript"/>
          </w:rPr>
          <m:t>&lt;</m:t>
        </m:r>
        <m:sSub>
          <m:sSubPr>
            <m:ctrlPr>
              <w:rPr>
                <w:rFonts w:ascii="Cambria Math" w:hAnsi="Cambria Math"/>
                <w:vertAlign w:val="subscript"/>
              </w:rPr>
            </m:ctrlPr>
          </m:sSubPr>
          <m:e>
            <m:r>
              <w:rPr>
                <w:rFonts w:ascii="Cambria Math" w:hAnsi="Cambria Math"/>
                <w:vertAlign w:val="subscript"/>
              </w:rPr>
              <m:t>D</m:t>
            </m:r>
          </m:e>
          <m:sub>
            <m:r>
              <w:rPr>
                <w:rFonts w:ascii="Cambria Math" w:hAnsi="Cambria Math"/>
                <w:vertAlign w:val="subscript"/>
              </w:rPr>
              <m:t>Z</m:t>
            </m:r>
          </m:sub>
        </m:sSub>
        <m:r>
          <m:rPr>
            <m:sty m:val="p"/>
          </m:rPr>
          <w:rPr>
            <w:rFonts w:ascii="Cambria Math" w:hAnsi="Cambria Math"/>
            <w:vertAlign w:val="subscript"/>
          </w:rPr>
          <m:t xml:space="preserve"> </m:t>
        </m:r>
      </m:oMath>
      <w:r w:rsidR="003B52EB" w:rsidRPr="00BC31E0">
        <w:rPr>
          <w:rFonts w:hAnsi="ＭＳ 明朝" w:hint="eastAsia"/>
          <w:iCs/>
        </w:rPr>
        <w:t>の領域では</w:t>
      </w:r>
      <w:r w:rsidR="003B52EB" w:rsidRPr="00BC31E0">
        <w:rPr>
          <w:rFonts w:hAnsi="ＭＳ 明朝" w:hint="eastAsia"/>
        </w:rPr>
        <w:t>，</w:t>
      </w:r>
      <w:r w:rsidR="003B52EB" w:rsidRPr="00BC31E0">
        <w:rPr>
          <w:rFonts w:asciiTheme="majorEastAsia" w:eastAsiaTheme="majorEastAsia" w:hAnsiTheme="majorEastAsia" w:hint="eastAsia"/>
          <w:b/>
        </w:rPr>
        <w:t>式(6.5.10)</w:t>
      </w:r>
      <w:r w:rsidR="003B52EB" w:rsidRPr="00BC31E0">
        <w:rPr>
          <w:rFonts w:hint="eastAsia"/>
        </w:rPr>
        <w:t>及び</w:t>
      </w:r>
      <w:r w:rsidR="003B52EB" w:rsidRPr="00BC31E0">
        <w:rPr>
          <w:rFonts w:asciiTheme="majorEastAsia" w:eastAsiaTheme="majorEastAsia" w:hAnsiTheme="majorEastAsia" w:hint="eastAsia"/>
          <w:b/>
        </w:rPr>
        <w:t>式(6.5.11)</w:t>
      </w:r>
      <w:r w:rsidR="003B52EB" w:rsidRPr="00BC31E0">
        <w:rPr>
          <w:rFonts w:hint="eastAsia"/>
        </w:rPr>
        <w:t>より残留応力を求める。</w:t>
      </w:r>
    </w:p>
    <w:tbl>
      <w:tblPr>
        <w:tblStyle w:val="afff2"/>
        <w:tblW w:w="6804"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3B52EB" w:rsidRPr="00BC31E0" w14:paraId="0CAB034E" w14:textId="77777777" w:rsidTr="003B52EB">
        <w:tc>
          <w:tcPr>
            <w:tcW w:w="3402" w:type="dxa"/>
            <w:tcMar>
              <w:left w:w="0" w:type="dxa"/>
              <w:right w:w="0" w:type="dxa"/>
            </w:tcMar>
            <w:vAlign w:val="center"/>
          </w:tcPr>
          <w:p w14:paraId="7264BAE9" w14:textId="77777777" w:rsidR="003B52EB" w:rsidRPr="00BC31E0" w:rsidRDefault="00A51873" w:rsidP="003B52EB">
            <w:pPr>
              <w:tabs>
                <w:tab w:val="left" w:pos="2268"/>
                <w:tab w:val="left" w:leader="middleDot" w:pos="8222"/>
              </w:tabs>
              <w:autoSpaceDE w:val="0"/>
              <w:autoSpaceDN w:val="0"/>
              <w:jc w:val="left"/>
              <w:rPr>
                <w:rFonts w:asciiTheme="minorHAnsi" w:eastAsia="ＭＳ ゴシック" w:hAnsiTheme="minorHAnsi"/>
                <w:bCs/>
                <w:i/>
              </w:rPr>
            </w:pPr>
            <m:oMathPara>
              <m:oMathParaPr>
                <m:jc m:val="left"/>
              </m:oMathParaPr>
              <m:oMath>
                <m:f>
                  <m:fPr>
                    <m:ctrlPr>
                      <w:rPr>
                        <w:rFonts w:ascii="Cambria Math" w:eastAsia="ＭＳ ゴシック" w:hAnsi="Cambria Math"/>
                        <w:bCs/>
                        <w:i/>
                      </w:rPr>
                    </m:ctrlPr>
                  </m:fPr>
                  <m:num>
                    <m:sSub>
                      <m:sSubPr>
                        <m:ctrlPr>
                          <w:rPr>
                            <w:rFonts w:ascii="Cambria Math" w:eastAsia="ＭＳ ゴシック" w:hAnsi="Cambria Math"/>
                            <w:bCs/>
                            <w:i/>
                          </w:rPr>
                        </m:ctrlPr>
                      </m:sSubPr>
                      <m:e>
                        <m:r>
                          <w:rPr>
                            <w:rFonts w:ascii="Cambria Math" w:eastAsia="ＭＳ ゴシック" w:hAnsi="Cambria Math"/>
                          </w:rPr>
                          <m:t>σ</m:t>
                        </m:r>
                      </m:e>
                      <m:sub>
                        <m:r>
                          <w:rPr>
                            <w:rFonts w:ascii="Cambria Math" w:eastAsia="ＭＳ ゴシック" w:hAnsi="Cambria Math"/>
                          </w:rPr>
                          <m:t>tR</m:t>
                        </m:r>
                      </m:sub>
                    </m:sSub>
                  </m:num>
                  <m:den>
                    <m:sSub>
                      <m:sSubPr>
                        <m:ctrlPr>
                          <w:rPr>
                            <w:rFonts w:ascii="Cambria Math" w:eastAsia="ＭＳ ゴシック" w:hAnsi="Cambria Math"/>
                            <w:bCs/>
                            <w:i/>
                          </w:rPr>
                        </m:ctrlPr>
                      </m:sSubPr>
                      <m:e>
                        <m:r>
                          <w:rPr>
                            <w:rFonts w:ascii="Cambria Math" w:eastAsia="ＭＳ ゴシック" w:hAnsi="Cambria Math"/>
                          </w:rPr>
                          <m:t>σ</m:t>
                        </m:r>
                      </m:e>
                      <m:sub>
                        <m:r>
                          <w:rPr>
                            <w:rFonts w:ascii="Cambria Math" w:eastAsia="ＭＳ ゴシック" w:hAnsi="Cambria Math"/>
                          </w:rPr>
                          <m:t>CD</m:t>
                        </m:r>
                      </m:sub>
                    </m:sSub>
                  </m:den>
                </m:f>
                <m:r>
                  <w:rPr>
                    <w:rFonts w:ascii="Cambria Math" w:eastAsia="ＭＳ ゴシック" w:hAnsi="Cambria Math"/>
                  </w:rPr>
                  <m:t>=</m:t>
                </m:r>
                <m:f>
                  <m:fPr>
                    <m:ctrlPr>
                      <w:rPr>
                        <w:rFonts w:ascii="Cambria Math" w:eastAsia="ＭＳ ゴシック" w:hAnsi="Cambria Math"/>
                        <w:bCs/>
                        <w:i/>
                      </w:rPr>
                    </m:ctrlPr>
                  </m:fPr>
                  <m:num>
                    <m:sSub>
                      <m:sSubPr>
                        <m:ctrlPr>
                          <w:rPr>
                            <w:rFonts w:ascii="Cambria Math" w:eastAsia="ＭＳ ゴシック" w:hAnsi="Cambria Math"/>
                            <w:bCs/>
                            <w:i/>
                          </w:rPr>
                        </m:ctrlPr>
                      </m:sSubPr>
                      <m:e>
                        <m:r>
                          <w:rPr>
                            <w:rFonts w:ascii="Cambria Math" w:eastAsia="ＭＳ ゴシック" w:hAnsi="Cambria Math"/>
                          </w:rPr>
                          <m:t>D</m:t>
                        </m:r>
                      </m:e>
                      <m:sub>
                        <m:r>
                          <w:rPr>
                            <w:rFonts w:ascii="Cambria Math" w:eastAsia="ＭＳ ゴシック" w:hAnsi="Cambria Math"/>
                          </w:rPr>
                          <m:t xml:space="preserve">Z </m:t>
                        </m:r>
                      </m:sub>
                    </m:sSub>
                    <m:d>
                      <m:dPr>
                        <m:begChr m:val="{"/>
                        <m:endChr m:val="}"/>
                        <m:ctrlPr>
                          <w:rPr>
                            <w:rFonts w:ascii="Cambria Math" w:eastAsia="ＭＳ ゴシック" w:hAnsi="Cambria Math"/>
                            <w:bCs/>
                            <w:i/>
                          </w:rPr>
                        </m:ctrlPr>
                      </m:dPr>
                      <m:e>
                        <m:r>
                          <m:rPr>
                            <m:sty m:val="bi"/>
                          </m:rPr>
                          <w:rPr>
                            <w:rFonts w:ascii="Cambria Math" w:eastAsia="ＭＳ ゴシック" w:hAnsi="Cambria Math"/>
                          </w:rPr>
                          <m:t xml:space="preserve"> ln</m:t>
                        </m:r>
                        <m:d>
                          <m:dPr>
                            <m:ctrlPr>
                              <w:rPr>
                                <w:rFonts w:ascii="Cambria Math" w:eastAsia="ＭＳ ゴシック" w:hAnsi="Cambria Math"/>
                                <w:bCs/>
                                <w:i/>
                              </w:rPr>
                            </m:ctrlPr>
                          </m:dPr>
                          <m:e>
                            <m:f>
                              <m:fPr>
                                <m:type m:val="lin"/>
                                <m:ctrlPr>
                                  <w:rPr>
                                    <w:rFonts w:ascii="Cambria Math" w:eastAsia="ＭＳ ゴシック" w:hAnsi="Cambria Math"/>
                                    <w:bCs/>
                                    <w:i/>
                                  </w:rPr>
                                </m:ctrlPr>
                              </m:fPr>
                              <m:num>
                                <m:r>
                                  <w:rPr>
                                    <w:rFonts w:ascii="Cambria Math" w:eastAsia="ＭＳ ゴシック" w:hAnsi="Cambria Math"/>
                                  </w:rPr>
                                  <m:t>D</m:t>
                                </m:r>
                              </m:num>
                              <m:den>
                                <m:sSub>
                                  <m:sSubPr>
                                    <m:ctrlPr>
                                      <w:rPr>
                                        <w:rFonts w:ascii="Cambria Math" w:eastAsia="ＭＳ ゴシック" w:hAnsi="Cambria Math"/>
                                        <w:bCs/>
                                        <w:i/>
                                      </w:rPr>
                                    </m:ctrlPr>
                                  </m:sSubPr>
                                  <m:e>
                                    <m:r>
                                      <w:rPr>
                                        <w:rFonts w:ascii="Cambria Math" w:eastAsia="ＭＳ ゴシック" w:hAnsi="Cambria Math"/>
                                      </w:rPr>
                                      <m:t>D</m:t>
                                    </m:r>
                                  </m:e>
                                  <m:sub>
                                    <m:r>
                                      <w:rPr>
                                        <w:rFonts w:ascii="Cambria Math" w:eastAsia="ＭＳ ゴシック" w:hAnsi="Cambria Math"/>
                                      </w:rPr>
                                      <m:t>I</m:t>
                                    </m:r>
                                  </m:sub>
                                </m:sSub>
                              </m:den>
                            </m:f>
                          </m:e>
                        </m:d>
                        <m:r>
                          <w:rPr>
                            <w:rFonts w:ascii="Cambria Math" w:eastAsia="ＭＳ ゴシック" w:hAnsi="Cambria Math"/>
                          </w:rPr>
                          <m:t xml:space="preserve">+1 </m:t>
                        </m:r>
                      </m:e>
                    </m:d>
                    <m:r>
                      <w:rPr>
                        <w:rFonts w:ascii="Cambria Math" w:eastAsia="ＭＳ ゴシック" w:hAnsi="Cambria Math"/>
                      </w:rPr>
                      <m:t>+</m:t>
                    </m:r>
                    <m:sSub>
                      <m:sSubPr>
                        <m:ctrlPr>
                          <w:rPr>
                            <w:rFonts w:ascii="Cambria Math" w:eastAsia="ＭＳ ゴシック" w:hAnsi="Cambria Math"/>
                            <w:bCs/>
                            <w:i/>
                          </w:rPr>
                        </m:ctrlPr>
                      </m:sSubPr>
                      <m:e>
                        <m:r>
                          <w:rPr>
                            <w:rFonts w:ascii="Cambria Math" w:eastAsia="ＭＳ ゴシック" w:hAnsi="Cambria Math"/>
                          </w:rPr>
                          <m:t>D</m:t>
                        </m:r>
                      </m:e>
                      <m:sub>
                        <m:r>
                          <w:rPr>
                            <w:rFonts w:ascii="Cambria Math" w:eastAsia="ＭＳ ゴシック" w:hAnsi="Cambria Math"/>
                          </w:rPr>
                          <m:t>I</m:t>
                        </m:r>
                      </m:sub>
                    </m:sSub>
                    <m:r>
                      <w:rPr>
                        <w:rFonts w:ascii="Cambria Math" w:eastAsia="ＭＳ ゴシック" w:hAnsi="Cambria Math"/>
                      </w:rPr>
                      <m:t>-2D</m:t>
                    </m:r>
                  </m:num>
                  <m:den>
                    <m:sSub>
                      <m:sSubPr>
                        <m:ctrlPr>
                          <w:rPr>
                            <w:rFonts w:ascii="Cambria Math" w:eastAsia="ＭＳ ゴシック" w:hAnsi="Cambria Math"/>
                            <w:bCs/>
                            <w:i/>
                          </w:rPr>
                        </m:ctrlPr>
                      </m:sSubPr>
                      <m:e>
                        <m:r>
                          <w:rPr>
                            <w:rFonts w:ascii="Cambria Math" w:eastAsia="ＭＳ ゴシック" w:hAnsi="Cambria Math"/>
                          </w:rPr>
                          <m:t>D</m:t>
                        </m:r>
                      </m:e>
                      <m:sub>
                        <m:r>
                          <w:rPr>
                            <w:rFonts w:ascii="Cambria Math" w:eastAsia="ＭＳ ゴシック" w:hAnsi="Cambria Math"/>
                          </w:rPr>
                          <m:t>Z</m:t>
                        </m:r>
                      </m:sub>
                    </m:sSub>
                    <m:r>
                      <w:rPr>
                        <w:rFonts w:ascii="Cambria Math" w:eastAsia="ＭＳ ゴシック" w:hAnsi="Cambria Math"/>
                      </w:rPr>
                      <m:t>-</m:t>
                    </m:r>
                    <m:sSub>
                      <m:sSubPr>
                        <m:ctrlPr>
                          <w:rPr>
                            <w:rFonts w:ascii="Cambria Math" w:eastAsia="ＭＳ ゴシック" w:hAnsi="Cambria Math"/>
                            <w:bCs/>
                            <w:i/>
                          </w:rPr>
                        </m:ctrlPr>
                      </m:sSubPr>
                      <m:e>
                        <m:r>
                          <w:rPr>
                            <w:rFonts w:ascii="Cambria Math" w:eastAsia="ＭＳ ゴシック" w:hAnsi="Cambria Math"/>
                          </w:rPr>
                          <m:t>D</m:t>
                        </m:r>
                      </m:e>
                      <m:sub>
                        <m:r>
                          <w:rPr>
                            <w:rFonts w:ascii="Cambria Math" w:eastAsia="ＭＳ ゴシック" w:hAnsi="Cambria Math"/>
                          </w:rPr>
                          <m:t>I</m:t>
                        </m:r>
                      </m:sub>
                    </m:sSub>
                  </m:den>
                </m:f>
              </m:oMath>
            </m:oMathPara>
          </w:p>
        </w:tc>
        <w:tc>
          <w:tcPr>
            <w:tcW w:w="3402" w:type="dxa"/>
            <w:tcMar>
              <w:left w:w="0" w:type="dxa"/>
              <w:right w:w="0" w:type="dxa"/>
            </w:tcMar>
            <w:vAlign w:val="center"/>
          </w:tcPr>
          <w:p w14:paraId="1D637C7A" w14:textId="77777777" w:rsidR="003B52EB" w:rsidRPr="00BC31E0" w:rsidRDefault="003B52EB" w:rsidP="003B52EB">
            <w:pPr>
              <w:tabs>
                <w:tab w:val="left" w:leader="middleDot" w:pos="2568"/>
              </w:tabs>
              <w:autoSpaceDE w:val="0"/>
              <w:autoSpaceDN w:val="0"/>
              <w:jc w:val="left"/>
              <w:rPr>
                <w:rFonts w:asciiTheme="minorHAnsi" w:eastAsia="ＭＳ ゴシック" w:hAnsiTheme="minorHAnsi"/>
                <w:bCs/>
              </w:rPr>
            </w:pPr>
            <w:r w:rsidRPr="00BC31E0">
              <w:rPr>
                <w:rFonts w:asciiTheme="minorHAnsi" w:eastAsia="ＭＳ ゴシック" w:hAnsiTheme="minorHAnsi"/>
                <w:bCs/>
              </w:rPr>
              <w:tab/>
              <w:t>(6.5.10)</w:t>
            </w:r>
          </w:p>
        </w:tc>
      </w:tr>
      <w:tr w:rsidR="003B52EB" w:rsidRPr="00BC31E0" w14:paraId="6ADCF66B" w14:textId="77777777" w:rsidTr="003B52EB">
        <w:tc>
          <w:tcPr>
            <w:tcW w:w="3402" w:type="dxa"/>
            <w:tcMar>
              <w:left w:w="0" w:type="dxa"/>
              <w:right w:w="0" w:type="dxa"/>
            </w:tcMar>
            <w:vAlign w:val="center"/>
          </w:tcPr>
          <w:p w14:paraId="17AA768B" w14:textId="77777777" w:rsidR="003B52EB" w:rsidRPr="00BC31E0" w:rsidRDefault="00A51873" w:rsidP="003B52EB">
            <w:pPr>
              <w:tabs>
                <w:tab w:val="left" w:pos="2268"/>
                <w:tab w:val="left" w:leader="middleDot" w:pos="8222"/>
              </w:tabs>
              <w:autoSpaceDE w:val="0"/>
              <w:autoSpaceDN w:val="0"/>
              <w:spacing w:before="240"/>
              <w:jc w:val="left"/>
              <w:rPr>
                <w:rFonts w:ascii="ＭＳ ゴシック" w:eastAsia="ＭＳ ゴシック"/>
                <w:bCs/>
              </w:rPr>
            </w:pPr>
            <m:oMathPara>
              <m:oMathParaPr>
                <m:jc m:val="left"/>
              </m:oMathParaPr>
              <m:oMath>
                <m:f>
                  <m:fPr>
                    <m:ctrlPr>
                      <w:rPr>
                        <w:rFonts w:ascii="Cambria Math" w:eastAsia="ＭＳ ゴシック" w:hAnsi="Cambria Math"/>
                        <w:bCs/>
                        <w:i/>
                      </w:rPr>
                    </m:ctrlPr>
                  </m:fPr>
                  <m:num>
                    <m:sSub>
                      <m:sSubPr>
                        <m:ctrlPr>
                          <w:rPr>
                            <w:rFonts w:ascii="Cambria Math" w:eastAsia="ＭＳ ゴシック" w:hAnsi="Cambria Math"/>
                            <w:bCs/>
                            <w:i/>
                          </w:rPr>
                        </m:ctrlPr>
                      </m:sSubPr>
                      <m:e>
                        <m:r>
                          <w:rPr>
                            <w:rFonts w:ascii="Cambria Math" w:eastAsia="ＭＳ ゴシック" w:hAnsi="Cambria Math"/>
                          </w:rPr>
                          <m:t>σ</m:t>
                        </m:r>
                      </m:e>
                      <m:sub>
                        <m:r>
                          <w:rPr>
                            <w:rFonts w:ascii="Cambria Math" w:eastAsia="ＭＳ ゴシック" w:hAnsi="Cambria Math"/>
                          </w:rPr>
                          <m:t>rR</m:t>
                        </m:r>
                      </m:sub>
                    </m:sSub>
                  </m:num>
                  <m:den>
                    <m:sSub>
                      <m:sSubPr>
                        <m:ctrlPr>
                          <w:rPr>
                            <w:rFonts w:ascii="Cambria Math" w:eastAsia="ＭＳ ゴシック" w:hAnsi="Cambria Math"/>
                            <w:bCs/>
                            <w:i/>
                          </w:rPr>
                        </m:ctrlPr>
                      </m:sSubPr>
                      <m:e>
                        <m:r>
                          <w:rPr>
                            <w:rFonts w:ascii="Cambria Math" w:eastAsia="ＭＳ ゴシック" w:hAnsi="Cambria Math"/>
                          </w:rPr>
                          <m:t>σ</m:t>
                        </m:r>
                      </m:e>
                      <m:sub>
                        <m:r>
                          <w:rPr>
                            <w:rFonts w:ascii="Cambria Math" w:eastAsia="ＭＳ ゴシック" w:hAnsi="Cambria Math"/>
                          </w:rPr>
                          <m:t>CD</m:t>
                        </m:r>
                      </m:sub>
                    </m:sSub>
                  </m:den>
                </m:f>
                <m:r>
                  <w:rPr>
                    <w:rFonts w:ascii="Cambria Math" w:eastAsia="ＭＳ ゴシック" w:hAnsi="Cambria Math"/>
                  </w:rPr>
                  <m:t>=</m:t>
                </m:r>
                <m:f>
                  <m:fPr>
                    <m:ctrlPr>
                      <w:rPr>
                        <w:rFonts w:ascii="Cambria Math" w:eastAsia="ＭＳ ゴシック" w:hAnsi="Cambria Math"/>
                        <w:bCs/>
                        <w:i/>
                      </w:rPr>
                    </m:ctrlPr>
                  </m:fPr>
                  <m:num>
                    <m:sSub>
                      <m:sSubPr>
                        <m:ctrlPr>
                          <w:rPr>
                            <w:rFonts w:ascii="Cambria Math" w:eastAsia="ＭＳ ゴシック" w:hAnsi="Cambria Math"/>
                            <w:bCs/>
                            <w:i/>
                          </w:rPr>
                        </m:ctrlPr>
                      </m:sSubPr>
                      <m:e>
                        <m:r>
                          <w:rPr>
                            <w:rFonts w:ascii="Cambria Math" w:eastAsia="ＭＳ ゴシック" w:hAnsi="Cambria Math"/>
                          </w:rPr>
                          <m:t>D</m:t>
                        </m:r>
                      </m:e>
                      <m:sub>
                        <m:r>
                          <w:rPr>
                            <w:rFonts w:ascii="Cambria Math" w:eastAsia="ＭＳ ゴシック" w:hAnsi="Cambria Math"/>
                          </w:rPr>
                          <m:t xml:space="preserve">Z </m:t>
                        </m:r>
                      </m:sub>
                    </m:sSub>
                    <m:r>
                      <m:rPr>
                        <m:sty m:val="bi"/>
                      </m:rPr>
                      <w:rPr>
                        <w:rFonts w:ascii="Cambria Math" w:eastAsia="ＭＳ ゴシック" w:hAnsi="Cambria Math"/>
                      </w:rPr>
                      <m:t>ln</m:t>
                    </m:r>
                    <m:d>
                      <m:dPr>
                        <m:ctrlPr>
                          <w:rPr>
                            <w:rFonts w:ascii="Cambria Math" w:eastAsia="ＭＳ ゴシック" w:hAnsi="Cambria Math"/>
                            <w:bCs/>
                            <w:i/>
                          </w:rPr>
                        </m:ctrlPr>
                      </m:dPr>
                      <m:e>
                        <m:f>
                          <m:fPr>
                            <m:type m:val="lin"/>
                            <m:ctrlPr>
                              <w:rPr>
                                <w:rFonts w:ascii="Cambria Math" w:eastAsia="ＭＳ ゴシック" w:hAnsi="Cambria Math"/>
                                <w:bCs/>
                                <w:i/>
                              </w:rPr>
                            </m:ctrlPr>
                          </m:fPr>
                          <m:num>
                            <m:r>
                              <w:rPr>
                                <w:rFonts w:ascii="Cambria Math" w:eastAsia="ＭＳ ゴシック" w:hAnsi="Cambria Math"/>
                              </w:rPr>
                              <m:t>D</m:t>
                            </m:r>
                          </m:num>
                          <m:den>
                            <m:sSub>
                              <m:sSubPr>
                                <m:ctrlPr>
                                  <w:rPr>
                                    <w:rFonts w:ascii="Cambria Math" w:eastAsia="ＭＳ ゴシック" w:hAnsi="Cambria Math"/>
                                    <w:bCs/>
                                    <w:i/>
                                  </w:rPr>
                                </m:ctrlPr>
                              </m:sSubPr>
                              <m:e>
                                <m:r>
                                  <w:rPr>
                                    <w:rFonts w:ascii="Cambria Math" w:eastAsia="ＭＳ ゴシック" w:hAnsi="Cambria Math"/>
                                  </w:rPr>
                                  <m:t>D</m:t>
                                </m:r>
                              </m:e>
                              <m:sub>
                                <m:r>
                                  <w:rPr>
                                    <w:rFonts w:ascii="Cambria Math" w:eastAsia="ＭＳ ゴシック" w:hAnsi="Cambria Math"/>
                                  </w:rPr>
                                  <m:t>I</m:t>
                                </m:r>
                              </m:sub>
                            </m:sSub>
                          </m:den>
                        </m:f>
                      </m:e>
                    </m:d>
                    <m:r>
                      <w:rPr>
                        <w:rFonts w:ascii="Cambria Math" w:eastAsia="ＭＳ ゴシック" w:hAnsi="Cambria Math"/>
                      </w:rPr>
                      <m:t>+</m:t>
                    </m:r>
                    <m:sSub>
                      <m:sSubPr>
                        <m:ctrlPr>
                          <w:rPr>
                            <w:rFonts w:ascii="Cambria Math" w:eastAsia="ＭＳ ゴシック" w:hAnsi="Cambria Math"/>
                            <w:bCs/>
                            <w:i/>
                          </w:rPr>
                        </m:ctrlPr>
                      </m:sSubPr>
                      <m:e>
                        <m:r>
                          <w:rPr>
                            <w:rFonts w:ascii="Cambria Math" w:eastAsia="ＭＳ ゴシック" w:hAnsi="Cambria Math"/>
                          </w:rPr>
                          <m:t>D</m:t>
                        </m:r>
                      </m:e>
                      <m:sub>
                        <m:r>
                          <w:rPr>
                            <w:rFonts w:ascii="Cambria Math" w:eastAsia="ＭＳ ゴシック" w:hAnsi="Cambria Math"/>
                          </w:rPr>
                          <m:t>I</m:t>
                        </m:r>
                      </m:sub>
                    </m:sSub>
                    <m:r>
                      <w:rPr>
                        <w:rFonts w:ascii="Cambria Math" w:eastAsia="ＭＳ ゴシック" w:hAnsi="Cambria Math"/>
                      </w:rPr>
                      <m:t>-D</m:t>
                    </m:r>
                  </m:num>
                  <m:den>
                    <m:sSub>
                      <m:sSubPr>
                        <m:ctrlPr>
                          <w:rPr>
                            <w:rFonts w:ascii="Cambria Math" w:eastAsia="ＭＳ ゴシック" w:hAnsi="Cambria Math"/>
                            <w:bCs/>
                            <w:i/>
                          </w:rPr>
                        </m:ctrlPr>
                      </m:sSubPr>
                      <m:e>
                        <m:r>
                          <w:rPr>
                            <w:rFonts w:ascii="Cambria Math" w:eastAsia="ＭＳ ゴシック" w:hAnsi="Cambria Math"/>
                          </w:rPr>
                          <m:t>D</m:t>
                        </m:r>
                      </m:e>
                      <m:sub>
                        <m:r>
                          <w:rPr>
                            <w:rFonts w:ascii="Cambria Math" w:eastAsia="ＭＳ ゴシック" w:hAnsi="Cambria Math"/>
                          </w:rPr>
                          <m:t>Z</m:t>
                        </m:r>
                      </m:sub>
                    </m:sSub>
                    <m:r>
                      <w:rPr>
                        <w:rFonts w:ascii="Cambria Math" w:eastAsia="ＭＳ ゴシック" w:hAnsi="Cambria Math"/>
                      </w:rPr>
                      <m:t>-</m:t>
                    </m:r>
                    <m:sSub>
                      <m:sSubPr>
                        <m:ctrlPr>
                          <w:rPr>
                            <w:rFonts w:ascii="Cambria Math" w:eastAsia="ＭＳ ゴシック" w:hAnsi="Cambria Math"/>
                            <w:bCs/>
                            <w:i/>
                          </w:rPr>
                        </m:ctrlPr>
                      </m:sSubPr>
                      <m:e>
                        <m:r>
                          <w:rPr>
                            <w:rFonts w:ascii="Cambria Math" w:eastAsia="ＭＳ ゴシック" w:hAnsi="Cambria Math"/>
                          </w:rPr>
                          <m:t>D</m:t>
                        </m:r>
                      </m:e>
                      <m:sub>
                        <m:r>
                          <w:rPr>
                            <w:rFonts w:ascii="Cambria Math" w:eastAsia="ＭＳ ゴシック" w:hAnsi="Cambria Math"/>
                          </w:rPr>
                          <m:t>I</m:t>
                        </m:r>
                      </m:sub>
                    </m:sSub>
                  </m:den>
                </m:f>
              </m:oMath>
            </m:oMathPara>
          </w:p>
        </w:tc>
        <w:tc>
          <w:tcPr>
            <w:tcW w:w="3402" w:type="dxa"/>
            <w:tcMar>
              <w:left w:w="0" w:type="dxa"/>
              <w:right w:w="0" w:type="dxa"/>
            </w:tcMar>
            <w:vAlign w:val="center"/>
          </w:tcPr>
          <w:p w14:paraId="0192769C" w14:textId="77777777" w:rsidR="003B52EB" w:rsidRPr="00BC31E0" w:rsidRDefault="003B52EB" w:rsidP="003B52EB">
            <w:pPr>
              <w:tabs>
                <w:tab w:val="left" w:leader="middleDot" w:pos="2573"/>
              </w:tabs>
              <w:autoSpaceDE w:val="0"/>
              <w:autoSpaceDN w:val="0"/>
              <w:spacing w:before="240"/>
              <w:jc w:val="left"/>
              <w:rPr>
                <w:rFonts w:asciiTheme="minorHAnsi" w:eastAsia="ＭＳ ゴシック" w:hAnsiTheme="minorHAnsi"/>
                <w:bCs/>
              </w:rPr>
            </w:pPr>
            <w:r w:rsidRPr="00BC31E0">
              <w:rPr>
                <w:rFonts w:asciiTheme="minorHAnsi" w:eastAsia="ＭＳ ゴシック" w:hAnsiTheme="minorHAnsi" w:hint="eastAsia"/>
                <w:bCs/>
              </w:rPr>
              <w:tab/>
              <w:t>(6.5.11)</w:t>
            </w:r>
          </w:p>
        </w:tc>
      </w:tr>
    </w:tbl>
    <w:p w14:paraId="39E6461B" w14:textId="77777777" w:rsidR="003B52EB" w:rsidRPr="00BC31E0" w:rsidRDefault="00A51873" w:rsidP="00736130">
      <w:pPr>
        <w:pStyle w:val="a4"/>
        <w:numPr>
          <w:ilvl w:val="0"/>
          <w:numId w:val="260"/>
        </w:numPr>
        <w:spacing w:before="120"/>
        <w:ind w:leftChars="0" w:left="1134" w:hanging="567"/>
      </w:pPr>
      <m:oMath>
        <m:sSub>
          <m:sSubPr>
            <m:ctrlPr>
              <w:rPr>
                <w:rFonts w:ascii="Cambria Math" w:hAnsi="Cambria Math"/>
                <w:vertAlign w:val="subscript"/>
              </w:rPr>
            </m:ctrlPr>
          </m:sSubPr>
          <m:e>
            <m:r>
              <w:rPr>
                <w:rFonts w:ascii="Cambria Math" w:hAnsi="Cambria Math"/>
                <w:vertAlign w:val="subscript"/>
              </w:rPr>
              <m:t>D</m:t>
            </m:r>
          </m:e>
          <m:sub>
            <m:r>
              <w:rPr>
                <w:rFonts w:ascii="Cambria Math" w:hAnsi="Cambria Math"/>
                <w:vertAlign w:val="subscript"/>
              </w:rPr>
              <m:t>Z</m:t>
            </m:r>
          </m:sub>
        </m:sSub>
        <m:r>
          <m:rPr>
            <m:sty m:val="p"/>
          </m:rPr>
          <w:rPr>
            <w:rFonts w:ascii="Cambria Math" w:hAnsi="Cambria Math" w:hint="eastAsia"/>
            <w:vertAlign w:val="subscript"/>
          </w:rPr>
          <m:t>≦</m:t>
        </m:r>
        <m:r>
          <w:rPr>
            <w:rFonts w:ascii="Cambria Math" w:hAnsi="Cambria Math"/>
            <w:vertAlign w:val="subscript"/>
          </w:rPr>
          <m:t>D</m:t>
        </m:r>
        <m:r>
          <m:rPr>
            <m:sty m:val="p"/>
          </m:rPr>
          <w:rPr>
            <w:rFonts w:ascii="Cambria Math" w:hAnsi="Cambria Math" w:hint="eastAsia"/>
            <w:vertAlign w:val="subscript"/>
          </w:rPr>
          <m:t>≦</m:t>
        </m:r>
        <m:sSub>
          <m:sSubPr>
            <m:ctrlPr>
              <w:rPr>
                <w:rFonts w:ascii="Cambria Math" w:hAnsi="Cambria Math"/>
                <w:vertAlign w:val="subscript"/>
              </w:rPr>
            </m:ctrlPr>
          </m:sSubPr>
          <m:e>
            <m:r>
              <w:rPr>
                <w:rFonts w:ascii="Cambria Math" w:hAnsi="Cambria Math"/>
                <w:vertAlign w:val="subscript"/>
              </w:rPr>
              <m:t>D</m:t>
            </m:r>
          </m:e>
          <m:sub>
            <m:r>
              <w:rPr>
                <w:rFonts w:ascii="Cambria Math" w:hAnsi="Cambria Math" w:hint="eastAsia"/>
                <w:vertAlign w:val="subscript"/>
              </w:rPr>
              <m:t>P</m:t>
            </m:r>
          </m:sub>
        </m:sSub>
        <m:r>
          <m:rPr>
            <m:sty m:val="p"/>
          </m:rPr>
          <w:rPr>
            <w:rFonts w:ascii="Cambria Math" w:hAnsi="Cambria Math"/>
            <w:vertAlign w:val="subscript"/>
          </w:rPr>
          <m:t xml:space="preserve"> </m:t>
        </m:r>
      </m:oMath>
      <w:r w:rsidR="003B52EB" w:rsidRPr="00BC31E0">
        <w:rPr>
          <w:rFonts w:hint="eastAsia"/>
        </w:rPr>
        <w:t>の領域では，連続条件と平衡条件を満足するように，残留応力を補正する必</w:t>
      </w:r>
      <w:r w:rsidR="003B52EB" w:rsidRPr="00BC31E0">
        <w:rPr>
          <w:rFonts w:hint="eastAsia"/>
          <w:iCs/>
        </w:rPr>
        <w:t>要がある。この補正は，次のように補正係数</w:t>
      </w:r>
      <m:oMath>
        <m:sSub>
          <m:sSubPr>
            <m:ctrlPr>
              <w:rPr>
                <w:rFonts w:ascii="Cambria Math" w:hAnsi="Cambria Math"/>
                <w:iCs/>
              </w:rPr>
            </m:ctrlPr>
          </m:sSubPr>
          <m:e>
            <m:r>
              <m:rPr>
                <m:sty m:val="p"/>
              </m:rPr>
              <w:rPr>
                <w:rFonts w:ascii="Cambria Math" w:hAnsi="Cambria Math"/>
              </w:rPr>
              <m:t xml:space="preserve"> </m:t>
            </m:r>
            <m:r>
              <w:rPr>
                <w:rFonts w:ascii="Cambria Math" w:hAnsi="Cambria Math"/>
              </w:rPr>
              <m:t>F</m:t>
            </m:r>
          </m:e>
          <m:sub>
            <m:r>
              <w:rPr>
                <w:rFonts w:ascii="Cambria Math" w:hAnsi="Cambria Math"/>
              </w:rPr>
              <m:t>b</m:t>
            </m:r>
            <m:r>
              <m:rPr>
                <m:sty m:val="p"/>
              </m:rPr>
              <w:rPr>
                <w:rFonts w:ascii="Cambria Math" w:hAnsi="Cambria Math"/>
              </w:rPr>
              <m:t xml:space="preserve"> </m:t>
            </m:r>
          </m:sub>
        </m:sSub>
      </m:oMath>
      <w:r w:rsidR="003B52EB" w:rsidRPr="00BC31E0">
        <w:rPr>
          <w:rFonts w:hint="eastAsia"/>
        </w:rPr>
        <w:t>を計算することにより行う。</w:t>
      </w:r>
    </w:p>
    <w:p w14:paraId="521C5A17" w14:textId="77777777" w:rsidR="003B52EB" w:rsidRPr="00BC31E0" w:rsidRDefault="003B52EB" w:rsidP="007805B3">
      <w:pPr>
        <w:ind w:left="1134"/>
      </w:pPr>
      <w:r w:rsidRPr="00BC31E0">
        <w:rPr>
          <w:rFonts w:ascii="ＭＳ 明朝" w:hAnsi="ＭＳ 明朝" w:hint="eastAsia"/>
          <w:bCs/>
        </w:rPr>
        <w:t>・</w:t>
      </w:r>
      <w:r w:rsidRPr="00BC31E0">
        <w:rPr>
          <w:rFonts w:asciiTheme="majorEastAsia" w:eastAsiaTheme="majorEastAsia" w:hAnsiTheme="majorEastAsia" w:hint="eastAsia"/>
          <w:b/>
          <w:bCs/>
        </w:rPr>
        <w:t>式(6.5.11)</w:t>
      </w:r>
      <w:r w:rsidRPr="00BC31E0">
        <w:rPr>
          <w:rFonts w:hint="eastAsia"/>
        </w:rPr>
        <w:t>より，</w:t>
      </w:r>
      <m:oMath>
        <m:r>
          <w:rPr>
            <w:rFonts w:ascii="Cambria Math" w:hAnsi="Cambria Math"/>
          </w:rPr>
          <m:t>D=</m:t>
        </m:r>
        <m:sSub>
          <m:sSubPr>
            <m:ctrlPr>
              <w:rPr>
                <w:rFonts w:ascii="Cambria Math" w:hAnsi="Cambria Math"/>
                <w:i/>
              </w:rPr>
            </m:ctrlPr>
          </m:sSubPr>
          <m:e>
            <m:r>
              <w:rPr>
                <w:rFonts w:ascii="Cambria Math" w:hAnsi="Cambria Math"/>
              </w:rPr>
              <m:t>D</m:t>
            </m:r>
          </m:e>
          <m:sub>
            <m:r>
              <w:rPr>
                <w:rFonts w:ascii="Cambria Math" w:hAnsi="Cambria Math"/>
              </w:rPr>
              <m:t>Z</m:t>
            </m:r>
          </m:sub>
        </m:sSub>
        <m:r>
          <w:rPr>
            <w:rFonts w:ascii="Cambria Math" w:hAnsi="Cambria Math"/>
          </w:rPr>
          <m:t xml:space="preserve"> </m:t>
        </m:r>
      </m:oMath>
      <w:r w:rsidRPr="00BC31E0">
        <w:rPr>
          <w:rFonts w:hint="eastAsia"/>
        </w:rPr>
        <w:t>における</w:t>
      </w:r>
      <m:oMath>
        <m:sSub>
          <m:sSubPr>
            <m:ctrlPr>
              <w:rPr>
                <w:rFonts w:ascii="Cambria Math" w:hAnsi="Cambria Math"/>
                <w:i/>
              </w:rPr>
            </m:ctrlPr>
          </m:sSubPr>
          <m:e>
            <m:r>
              <w:rPr>
                <w:rFonts w:ascii="Cambria Math" w:hAnsi="Cambria Math"/>
              </w:rPr>
              <m:t xml:space="preserve"> σ</m:t>
            </m:r>
          </m:e>
          <m:sub>
            <m:r>
              <w:rPr>
                <w:rFonts w:ascii="Cambria Math" w:hAnsi="Cambria Math"/>
              </w:rPr>
              <m:t>rR</m:t>
            </m:r>
          </m:sub>
        </m:sSub>
        <m:r>
          <w:rPr>
            <w:rFonts w:ascii="Cambria Math" w:hAnsi="Cambria Math"/>
          </w:rPr>
          <m:t xml:space="preserve"> </m:t>
        </m:r>
      </m:oMath>
      <w:r w:rsidRPr="00BC31E0">
        <w:rPr>
          <w:rFonts w:hint="eastAsia"/>
        </w:rPr>
        <w:t>を求める。</w:t>
      </w:r>
    </w:p>
    <w:p w14:paraId="24B90DDB" w14:textId="77777777" w:rsidR="003B52EB" w:rsidRPr="00BC31E0" w:rsidRDefault="003B52EB" w:rsidP="007805B3">
      <w:pPr>
        <w:ind w:left="1134"/>
        <w:rPr>
          <w:rFonts w:eastAsia="ＭＳ Ｐ明朝"/>
        </w:rPr>
      </w:pPr>
      <w:r w:rsidRPr="00BC31E0">
        <w:rPr>
          <w:rFonts w:ascii="ＭＳ 明朝" w:hAnsi="ＭＳ 明朝" w:hint="eastAsia"/>
          <w:bCs/>
        </w:rPr>
        <w:t>・</w:t>
      </w:r>
      <w:r w:rsidRPr="00BC31E0">
        <w:rPr>
          <w:rFonts w:asciiTheme="majorEastAsia" w:eastAsiaTheme="majorEastAsia" w:hAnsiTheme="majorEastAsia" w:hint="eastAsia"/>
          <w:b/>
          <w:bCs/>
        </w:rPr>
        <w:t>式(6.5.6)</w:t>
      </w:r>
      <w:r w:rsidRPr="00BC31E0">
        <w:rPr>
          <w:rFonts w:hint="eastAsia"/>
        </w:rPr>
        <w:t>より，</w:t>
      </w:r>
      <m:oMath>
        <m:r>
          <w:rPr>
            <w:rFonts w:ascii="Cambria Math" w:hAnsi="Cambria Math"/>
          </w:rPr>
          <m:t>D=</m:t>
        </m:r>
        <m:sSub>
          <m:sSubPr>
            <m:ctrlPr>
              <w:rPr>
                <w:rFonts w:ascii="Cambria Math" w:hAnsi="Cambria Math"/>
                <w:i/>
              </w:rPr>
            </m:ctrlPr>
          </m:sSubPr>
          <m:e>
            <m:r>
              <w:rPr>
                <w:rFonts w:ascii="Cambria Math" w:hAnsi="Cambria Math"/>
              </w:rPr>
              <m:t>D</m:t>
            </m:r>
          </m:e>
          <m:sub>
            <m:r>
              <w:rPr>
                <w:rFonts w:ascii="Cambria Math" w:hAnsi="Cambria Math"/>
              </w:rPr>
              <m:t>Z</m:t>
            </m:r>
          </m:sub>
        </m:sSub>
        <m:r>
          <w:rPr>
            <w:rFonts w:ascii="Cambria Math" w:hAnsi="Cambria Math"/>
          </w:rPr>
          <m:t xml:space="preserve"> </m:t>
        </m:r>
      </m:oMath>
      <w:r w:rsidRPr="00BC31E0">
        <w:rPr>
          <w:rFonts w:hint="eastAsia"/>
        </w:rPr>
        <w:t>における</w:t>
      </w:r>
      <m:oMath>
        <m:sSub>
          <m:sSubPr>
            <m:ctrlPr>
              <w:rPr>
                <w:rFonts w:ascii="Cambria Math" w:hAnsi="Cambria Math"/>
                <w:i/>
              </w:rPr>
            </m:ctrlPr>
          </m:sSubPr>
          <m:e>
            <m:r>
              <w:rPr>
                <w:rFonts w:ascii="Cambria Math" w:hAnsi="Cambria Math"/>
              </w:rPr>
              <m:t xml:space="preserve"> σ</m:t>
            </m:r>
          </m:e>
          <m:sub>
            <m:r>
              <w:rPr>
                <w:rFonts w:ascii="Cambria Math" w:hAnsi="Cambria Math"/>
              </w:rPr>
              <m:t>rRA</m:t>
            </m:r>
          </m:sub>
        </m:sSub>
        <m:r>
          <w:rPr>
            <w:rFonts w:ascii="Cambria Math" w:hAnsi="Cambria Math"/>
          </w:rPr>
          <m:t xml:space="preserve"> </m:t>
        </m:r>
      </m:oMath>
      <w:r w:rsidRPr="00BC31E0">
        <w:rPr>
          <w:rFonts w:hint="eastAsia"/>
        </w:rPr>
        <w:t>を求める。</w:t>
      </w:r>
    </w:p>
    <w:p w14:paraId="6A555ACE" w14:textId="77777777" w:rsidR="003B52EB" w:rsidRPr="00BC31E0" w:rsidRDefault="003B52EB" w:rsidP="007805B3">
      <w:pPr>
        <w:ind w:left="1134"/>
        <w:rPr>
          <w:rFonts w:eastAsia="ＭＳ Ｐ明朝"/>
        </w:rPr>
      </w:pPr>
      <w:r w:rsidRPr="00BC31E0">
        <w:rPr>
          <w:rFonts w:ascii="ＭＳ 明朝" w:hAnsi="ＭＳ 明朝" w:hint="eastAsia"/>
        </w:rPr>
        <w:t>・</w:t>
      </w:r>
      <w:r w:rsidRPr="00BC31E0">
        <w:rPr>
          <w:rFonts w:hint="eastAsia"/>
        </w:rPr>
        <w:t>これらの比を，</w:t>
      </w:r>
      <m:oMath>
        <m:sSub>
          <m:sSubPr>
            <m:ctrlPr>
              <w:rPr>
                <w:rFonts w:ascii="Cambria Math" w:hAnsi="Cambria Math"/>
                <w:i/>
              </w:rPr>
            </m:ctrlPr>
          </m:sSubPr>
          <m:e>
            <m:r>
              <w:rPr>
                <w:rFonts w:ascii="Cambria Math" w:hAnsi="Cambria Math"/>
              </w:rPr>
              <m:t>F</m:t>
            </m:r>
          </m:e>
          <m:sub>
            <m:r>
              <w:rPr>
                <w:rFonts w:ascii="Cambria Math" w:hAnsi="Cambria Math"/>
              </w:rPr>
              <m:t>b</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rR</m:t>
                </m:r>
              </m:sub>
            </m:sSub>
          </m:num>
          <m:den>
            <m:sSub>
              <m:sSubPr>
                <m:ctrlPr>
                  <w:rPr>
                    <w:rFonts w:ascii="Cambria Math" w:hAnsi="Cambria Math"/>
                    <w:i/>
                  </w:rPr>
                </m:ctrlPr>
              </m:sSubPr>
              <m:e>
                <m:r>
                  <w:rPr>
                    <w:rFonts w:ascii="Cambria Math" w:hAnsi="Cambria Math"/>
                  </w:rPr>
                  <m:t>σ</m:t>
                </m:r>
              </m:e>
              <m:sub>
                <m:r>
                  <w:rPr>
                    <w:rFonts w:ascii="Cambria Math" w:hAnsi="Cambria Math"/>
                  </w:rPr>
                  <m:t>rRA</m:t>
                </m:r>
              </m:sub>
            </m:sSub>
            <m:r>
              <w:rPr>
                <w:rFonts w:ascii="Cambria Math" w:hAnsi="Cambria Math"/>
              </w:rPr>
              <m:t xml:space="preserve"> </m:t>
            </m:r>
          </m:den>
        </m:f>
      </m:oMath>
      <w:r w:rsidRPr="00BC31E0">
        <w:rPr>
          <w:rFonts w:hint="eastAsia"/>
        </w:rPr>
        <w:t>とする。</w:t>
      </w:r>
    </w:p>
    <w:p w14:paraId="67897F47" w14:textId="77777777" w:rsidR="003B52EB" w:rsidRPr="00BC31E0" w:rsidRDefault="003B52EB" w:rsidP="007805B3">
      <w:pPr>
        <w:ind w:left="1134"/>
      </w:pPr>
      <w:r w:rsidRPr="00BC31E0">
        <w:rPr>
          <w:rFonts w:asciiTheme="minorEastAsia" w:eastAsiaTheme="minorEastAsia" w:hAnsiTheme="minorEastAsia" w:hint="eastAsia"/>
          <w:bCs/>
        </w:rPr>
        <w:t>・</w:t>
      </w:r>
      <w:r w:rsidRPr="00BC31E0">
        <w:rPr>
          <w:rFonts w:asciiTheme="majorEastAsia" w:eastAsiaTheme="majorEastAsia" w:hAnsiTheme="majorEastAsia" w:hint="eastAsia"/>
          <w:b/>
          <w:bCs/>
        </w:rPr>
        <w:t>式(6.5.5)</w:t>
      </w:r>
      <w:r w:rsidRPr="00BC31E0">
        <w:rPr>
          <w:rFonts w:hint="eastAsia"/>
        </w:rPr>
        <w:t>及び</w:t>
      </w:r>
      <w:r w:rsidRPr="00BC31E0">
        <w:rPr>
          <w:rFonts w:asciiTheme="majorEastAsia" w:eastAsiaTheme="majorEastAsia" w:hAnsiTheme="majorEastAsia" w:hint="eastAsia"/>
          <w:b/>
          <w:bCs/>
        </w:rPr>
        <w:t>式(6.5.6)</w:t>
      </w:r>
      <w:r w:rsidRPr="00BC31E0">
        <w:rPr>
          <w:rFonts w:hint="eastAsia"/>
        </w:rPr>
        <w:t>に，</w:t>
      </w:r>
      <m:oMath>
        <m:sSub>
          <m:sSubPr>
            <m:ctrlPr>
              <w:rPr>
                <w:rFonts w:ascii="Cambria Math" w:hAnsi="Cambria Math"/>
                <w:i/>
                <w:iCs/>
              </w:rPr>
            </m:ctrlPr>
          </m:sSubPr>
          <m:e>
            <m:r>
              <w:rPr>
                <w:rFonts w:ascii="Cambria Math" w:hAnsi="Cambria Math"/>
              </w:rPr>
              <m:t>F</m:t>
            </m:r>
          </m:e>
          <m:sub>
            <m:r>
              <w:rPr>
                <w:rFonts w:ascii="Cambria Math" w:hAnsi="Cambria Math"/>
              </w:rPr>
              <m:t xml:space="preserve">b </m:t>
            </m:r>
          </m:sub>
        </m:sSub>
      </m:oMath>
      <w:r w:rsidRPr="00BC31E0">
        <w:rPr>
          <w:rFonts w:hint="eastAsia"/>
        </w:rPr>
        <w:t>を乗じて残留応力を求める。</w:t>
      </w:r>
    </w:p>
    <w:p w14:paraId="20E4BCF5" w14:textId="77777777" w:rsidR="003B52EB" w:rsidRPr="00BC31E0" w:rsidRDefault="003B52EB" w:rsidP="00736130">
      <w:pPr>
        <w:pStyle w:val="a4"/>
        <w:numPr>
          <w:ilvl w:val="0"/>
          <w:numId w:val="274"/>
        </w:numPr>
        <w:spacing w:before="120" w:after="120"/>
        <w:ind w:leftChars="0" w:left="454" w:hanging="454"/>
        <w:rPr>
          <w:b/>
        </w:rPr>
      </w:pPr>
      <w:r w:rsidRPr="00BC31E0">
        <w:rPr>
          <w:rFonts w:asciiTheme="majorEastAsia" w:eastAsiaTheme="majorEastAsia" w:hAnsiTheme="majorEastAsia" w:hint="eastAsia"/>
          <w:b/>
        </w:rPr>
        <w:t>弾性領域(</w:t>
      </w:r>
      <m:oMath>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P</m:t>
            </m:r>
          </m:sub>
        </m:sSub>
        <m:r>
          <m:rPr>
            <m:sty m:val="p"/>
          </m:rPr>
          <w:rPr>
            <w:rFonts w:ascii="Cambria Math" w:hAnsi="Cambria Math"/>
          </w:rPr>
          <m:t>≦</m:t>
        </m:r>
        <m:r>
          <m:rPr>
            <m:sty m:val="bi"/>
          </m:rPr>
          <w:rPr>
            <w:rFonts w:ascii="Cambria Math" w:hAnsi="Cambria Math"/>
          </w:rPr>
          <m:t>D</m:t>
        </m:r>
        <m:r>
          <m:rPr>
            <m:sty m:val="p"/>
          </m:rPr>
          <w:rPr>
            <w:rFonts w:ascii="Cambria Math" w:hAnsi="Cambria Math"/>
          </w:rPr>
          <m:t>≦</m:t>
        </m:r>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O</m:t>
            </m:r>
          </m:sub>
        </m:sSub>
      </m:oMath>
      <w:r w:rsidRPr="00BC31E0">
        <w:rPr>
          <w:rFonts w:asciiTheme="majorEastAsia" w:eastAsiaTheme="majorEastAsia" w:hAnsiTheme="majorEastAsia" w:hint="eastAsia"/>
          <w:b/>
          <w:iCs/>
        </w:rPr>
        <w:t>)</w:t>
      </w:r>
      <w:r w:rsidRPr="00BC31E0">
        <w:rPr>
          <w:rFonts w:asciiTheme="majorEastAsia" w:eastAsiaTheme="majorEastAsia" w:hAnsiTheme="majorEastAsia" w:hint="eastAsia"/>
          <w:b/>
        </w:rPr>
        <w:t>における残留応力</w:t>
      </w:r>
      <w:r w:rsidRPr="00BC31E0">
        <w:rPr>
          <w:rFonts w:hint="eastAsia"/>
        </w:rPr>
        <w:t xml:space="preserve">　</w:t>
      </w:r>
      <w:r w:rsidRPr="00BC31E0">
        <w:rPr>
          <w:rFonts w:asciiTheme="majorEastAsia" w:eastAsiaTheme="majorEastAsia" w:hAnsiTheme="majorEastAsia"/>
          <w:b/>
        </w:rPr>
        <w:t>式(6.5.12)</w:t>
      </w:r>
      <w:r w:rsidRPr="00BC31E0">
        <w:rPr>
          <w:rFonts w:asciiTheme="minorHAnsi" w:eastAsiaTheme="minorEastAsia" w:hAnsiTheme="minorEastAsia"/>
        </w:rPr>
        <w:t>及び</w:t>
      </w:r>
      <w:r w:rsidRPr="00BC31E0">
        <w:rPr>
          <w:rFonts w:asciiTheme="majorEastAsia" w:eastAsiaTheme="majorEastAsia" w:hAnsiTheme="majorEastAsia"/>
          <w:b/>
        </w:rPr>
        <w:t>式(6.5.13)</w:t>
      </w:r>
      <w:r w:rsidRPr="00BC31E0">
        <w:rPr>
          <w:rFonts w:asciiTheme="minorHAnsi" w:eastAsiaTheme="minorEastAsia" w:hAnsiTheme="minorEastAsia"/>
        </w:rPr>
        <w:t>より残留応力を求める。ただし，</w:t>
      </w:r>
      <m:oMath>
        <m:sSub>
          <m:sSubPr>
            <m:ctrlPr>
              <w:rPr>
                <w:rFonts w:ascii="Cambria Math" w:eastAsiaTheme="minorEastAsia" w:hAnsiTheme="minorHAnsi"/>
                <w:iCs/>
              </w:rPr>
            </m:ctrlPr>
          </m:sSubPr>
          <m:e>
            <m:r>
              <w:rPr>
                <w:rFonts w:ascii="Cambria Math" w:eastAsiaTheme="minorEastAsia" w:hAnsi="Cambria Math"/>
              </w:rPr>
              <m:t>F</m:t>
            </m:r>
          </m:e>
          <m:sub>
            <m:r>
              <w:rPr>
                <w:rFonts w:ascii="Cambria Math" w:eastAsiaTheme="minorEastAsia" w:hAnsi="Cambria Math"/>
              </w:rPr>
              <m:t>b</m:t>
            </m:r>
            <m:r>
              <m:rPr>
                <m:sty m:val="p"/>
              </m:rPr>
              <w:rPr>
                <w:rFonts w:ascii="Cambria Math" w:eastAsiaTheme="minorEastAsia" w:hAnsiTheme="minorHAnsi"/>
              </w:rPr>
              <m:t xml:space="preserve"> </m:t>
            </m:r>
          </m:sub>
        </m:sSub>
      </m:oMath>
      <w:r w:rsidRPr="00BC31E0">
        <w:rPr>
          <w:rFonts w:asciiTheme="minorHAnsi" w:eastAsiaTheme="minorEastAsia" w:hAnsiTheme="minorEastAsia"/>
        </w:rPr>
        <w:t>は</w:t>
      </w:r>
      <w:r w:rsidRPr="00BC31E0">
        <w:rPr>
          <w:rFonts w:asciiTheme="minorHAnsi" w:eastAsiaTheme="minorEastAsia" w:hAnsiTheme="minorHAnsi"/>
        </w:rPr>
        <w:t xml:space="preserve"> </w:t>
      </w:r>
      <w:r w:rsidRPr="00BC31E0">
        <w:rPr>
          <w:rFonts w:asciiTheme="majorEastAsia" w:eastAsiaTheme="majorEastAsia" w:hAnsiTheme="majorEastAsia"/>
          <w:b/>
          <w:bCs/>
        </w:rPr>
        <w:t>b) 2.5)</w:t>
      </w:r>
      <w:r w:rsidRPr="00BC31E0">
        <w:rPr>
          <w:rFonts w:asciiTheme="minorHAnsi" w:eastAsiaTheme="minorEastAsia" w:hAnsiTheme="minorEastAsia"/>
        </w:rPr>
        <w:t>による。</w:t>
      </w:r>
    </w:p>
    <w:tbl>
      <w:tblPr>
        <w:tblStyle w:val="afff2"/>
        <w:tblW w:w="8074"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5"/>
        <w:gridCol w:w="2039"/>
      </w:tblGrid>
      <w:tr w:rsidR="003B52EB" w:rsidRPr="00BC31E0" w14:paraId="74575B69" w14:textId="77777777" w:rsidTr="003B52EB">
        <w:tc>
          <w:tcPr>
            <w:tcW w:w="0" w:type="auto"/>
            <w:tcMar>
              <w:left w:w="0" w:type="dxa"/>
              <w:right w:w="0" w:type="dxa"/>
            </w:tcMar>
            <w:vAlign w:val="center"/>
          </w:tcPr>
          <w:p w14:paraId="0231C7A4" w14:textId="77777777" w:rsidR="003B52EB" w:rsidRPr="00BC31E0" w:rsidRDefault="00A51873" w:rsidP="003B52EB">
            <w:pPr>
              <w:tabs>
                <w:tab w:val="left" w:pos="993"/>
                <w:tab w:val="left" w:leader="middleDot" w:pos="8222"/>
              </w:tabs>
              <w:autoSpaceDE w:val="0"/>
              <w:autoSpaceDN w:val="0"/>
              <w:jc w:val="left"/>
              <w:rPr>
                <w:i/>
              </w:rPr>
            </w:pPr>
            <m:oMathPara>
              <m:oMathParaPr>
                <m:jc m:val="left"/>
              </m:oMathParaPr>
              <m:oMath>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tR</m:t>
                        </m:r>
                      </m:sub>
                    </m:sSub>
                  </m:num>
                  <m:den>
                    <m:sSub>
                      <m:sSubPr>
                        <m:ctrlPr>
                          <w:rPr>
                            <w:rFonts w:ascii="Cambria Math" w:hAnsi="Cambria Math"/>
                            <w:i/>
                          </w:rPr>
                        </m:ctrlPr>
                      </m:sSubPr>
                      <m:e>
                        <m:r>
                          <w:rPr>
                            <w:rFonts w:ascii="Cambria Math" w:hAnsi="Cambria Math"/>
                          </w:rPr>
                          <m:t>S</m:t>
                        </m:r>
                      </m:e>
                      <m:sub>
                        <m:r>
                          <w:rPr>
                            <w:rFonts w:ascii="Cambria Math" w:hAnsi="Cambria Math"/>
                          </w:rPr>
                          <m:t>y</m:t>
                        </m:r>
                      </m:sub>
                    </m:sSub>
                  </m:den>
                </m:f>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b</m:t>
                    </m:r>
                  </m:sub>
                </m:sSub>
                <m:d>
                  <m:dPr>
                    <m:ctrlPr>
                      <w:rPr>
                        <w:rFonts w:ascii="Cambria Math" w:hAnsi="Cambria Math"/>
                        <w:i/>
                      </w:rPr>
                    </m:ctrlPr>
                  </m:dPr>
                  <m:e>
                    <m:r>
                      <w:rPr>
                        <w:rFonts w:ascii="Cambria Math" w:hAnsi="Cambria Math"/>
                      </w:rPr>
                      <m:t>1+</m:t>
                    </m:r>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O</m:t>
                                </m:r>
                              </m:sub>
                            </m:sSub>
                          </m:e>
                          <m:sup>
                            <m:r>
                              <w:rPr>
                                <w:rFonts w:ascii="Cambria Math" w:hAnsi="Cambria Math"/>
                              </w:rPr>
                              <m:t>2</m:t>
                            </m:r>
                          </m:sup>
                        </m:sSup>
                      </m:num>
                      <m:den>
                        <m:sSup>
                          <m:sSupPr>
                            <m:ctrlPr>
                              <w:rPr>
                                <w:rFonts w:ascii="Cambria Math" w:hAnsi="Cambria Math"/>
                                <w:i/>
                              </w:rPr>
                            </m:ctrlPr>
                          </m:sSupPr>
                          <m:e>
                            <m:r>
                              <w:rPr>
                                <w:rFonts w:ascii="Cambria Math" w:hAnsi="Cambria Math"/>
                              </w:rPr>
                              <m:t>D</m:t>
                            </m:r>
                          </m:e>
                          <m:sup>
                            <m:r>
                              <w:rPr>
                                <w:rFonts w:ascii="Cambria Math" w:hAnsi="Cambria Math"/>
                              </w:rPr>
                              <m:t>2</m:t>
                            </m:r>
                          </m:sup>
                        </m:sSup>
                      </m:den>
                    </m:f>
                  </m:e>
                </m:d>
                <m:d>
                  <m:dPr>
                    <m:begChr m:val="["/>
                    <m:endChr m:val="]"/>
                    <m:ctrlPr>
                      <w:rPr>
                        <w:rFonts w:ascii="Cambria Math" w:hAnsi="Cambria Math"/>
                        <w:i/>
                      </w:rPr>
                    </m:ctrlPr>
                  </m:dPr>
                  <m:e>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P</m:t>
                                </m:r>
                              </m:sub>
                            </m:sSub>
                          </m:e>
                          <m:sup>
                            <m:r>
                              <w:rPr>
                                <w:rFonts w:ascii="Cambria Math" w:hAnsi="Cambria Math"/>
                              </w:rPr>
                              <m:t>2</m:t>
                            </m:r>
                          </m:sup>
                        </m:sSup>
                      </m:num>
                      <m:den>
                        <m:r>
                          <w:rPr>
                            <w:rFonts w:ascii="Cambria Math" w:hAnsi="Cambria Math"/>
                          </w:rPr>
                          <m:t xml:space="preserve">2 </m:t>
                        </m:r>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O</m:t>
                                </m:r>
                              </m:sub>
                            </m:sSub>
                          </m:e>
                          <m:sup>
                            <m:r>
                              <w:rPr>
                                <w:rFonts w:ascii="Cambria Math" w:hAnsi="Cambria Math"/>
                              </w:rPr>
                              <m:t>2</m:t>
                            </m:r>
                          </m:sup>
                        </m:sSup>
                      </m:den>
                    </m:f>
                    <m:r>
                      <w:rPr>
                        <w:rFonts w:ascii="Cambria Math" w:hAnsi="Cambria Math"/>
                      </w:rPr>
                      <m:t>+</m:t>
                    </m:r>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I</m:t>
                                    </m:r>
                                  </m:sub>
                                </m:sSub>
                              </m:e>
                              <m:sup>
                                <m:r>
                                  <w:rPr>
                                    <w:rFonts w:ascii="Cambria Math" w:hAnsi="Cambria Math"/>
                                  </w:rPr>
                                  <m:t>2</m:t>
                                </m:r>
                              </m:sup>
                            </m:sSup>
                          </m:num>
                          <m:den>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O</m:t>
                                    </m:r>
                                  </m:sub>
                                </m:sSub>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I</m:t>
                                    </m:r>
                                  </m:sub>
                                </m:sSub>
                              </m:e>
                              <m:sup>
                                <m:r>
                                  <w:rPr>
                                    <w:rFonts w:ascii="Cambria Math" w:hAnsi="Cambria Math"/>
                                  </w:rPr>
                                  <m:t>2</m:t>
                                </m:r>
                              </m:sup>
                            </m:sSup>
                          </m:den>
                        </m:f>
                      </m:e>
                    </m:d>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P</m:t>
                                    </m:r>
                                  </m:sub>
                                </m:sSub>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O</m:t>
                                    </m:r>
                                  </m:sub>
                                </m:sSub>
                              </m:e>
                              <m:sup>
                                <m:r>
                                  <w:rPr>
                                    <w:rFonts w:ascii="Cambria Math" w:hAnsi="Cambria Math"/>
                                  </w:rPr>
                                  <m:t>2</m:t>
                                </m:r>
                              </m:sup>
                            </m:sSup>
                          </m:num>
                          <m:den>
                            <m:r>
                              <w:rPr>
                                <w:rFonts w:ascii="Cambria Math" w:hAnsi="Cambria Math"/>
                              </w:rPr>
                              <m:t xml:space="preserve">2 </m:t>
                            </m:r>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O</m:t>
                                    </m:r>
                                  </m:sub>
                                </m:sSub>
                              </m:e>
                              <m:sup>
                                <m:r>
                                  <w:rPr>
                                    <w:rFonts w:ascii="Cambria Math" w:hAnsi="Cambria Math"/>
                                  </w:rPr>
                                  <m:t>2</m:t>
                                </m:r>
                              </m:sup>
                            </m:sSup>
                          </m:den>
                        </m:f>
                        <m:r>
                          <w:rPr>
                            <w:rFonts w:ascii="Cambria Math" w:hAnsi="Cambria Math"/>
                          </w:rPr>
                          <m:t>-</m:t>
                        </m:r>
                        <m:r>
                          <m:rPr>
                            <m:sty m:val="bi"/>
                          </m:rPr>
                          <w:rPr>
                            <w:rFonts w:ascii="Cambria Math" w:hAnsi="Cambria Math"/>
                          </w:rPr>
                          <m:t>ln</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P</m:t>
                                    </m:r>
                                  </m:sub>
                                </m:sSub>
                              </m:num>
                              <m:den>
                                <m:sSub>
                                  <m:sSubPr>
                                    <m:ctrlPr>
                                      <w:rPr>
                                        <w:rFonts w:ascii="Cambria Math" w:hAnsi="Cambria Math"/>
                                        <w:i/>
                                      </w:rPr>
                                    </m:ctrlPr>
                                  </m:sSubPr>
                                  <m:e>
                                    <m:r>
                                      <w:rPr>
                                        <w:rFonts w:ascii="Cambria Math" w:hAnsi="Cambria Math"/>
                                      </w:rPr>
                                      <m:t>D</m:t>
                                    </m:r>
                                  </m:e>
                                  <m:sub>
                                    <m:r>
                                      <w:rPr>
                                        <w:rFonts w:ascii="Cambria Math" w:hAnsi="Cambria Math"/>
                                      </w:rPr>
                                      <m:t>I</m:t>
                                    </m:r>
                                  </m:sub>
                                </m:sSub>
                              </m:den>
                            </m:f>
                          </m:e>
                        </m:d>
                      </m:e>
                    </m:d>
                  </m:e>
                </m:d>
              </m:oMath>
            </m:oMathPara>
          </w:p>
        </w:tc>
        <w:tc>
          <w:tcPr>
            <w:tcW w:w="2039" w:type="dxa"/>
            <w:tcMar>
              <w:left w:w="0" w:type="dxa"/>
              <w:right w:w="0" w:type="dxa"/>
            </w:tcMar>
            <w:vAlign w:val="center"/>
          </w:tcPr>
          <w:p w14:paraId="4AC4A0BD" w14:textId="77777777" w:rsidR="003B52EB" w:rsidRPr="00BC31E0" w:rsidRDefault="003B52EB" w:rsidP="003B52EB">
            <w:pPr>
              <w:tabs>
                <w:tab w:val="left" w:leader="middleDot" w:pos="1236"/>
              </w:tabs>
              <w:autoSpaceDE w:val="0"/>
              <w:autoSpaceDN w:val="0"/>
              <w:jc w:val="left"/>
            </w:pPr>
            <w:r w:rsidRPr="00BC31E0">
              <w:tab/>
            </w:r>
            <w:r w:rsidRPr="00BC31E0">
              <w:rPr>
                <w:rFonts w:hint="eastAsia"/>
              </w:rPr>
              <w:t>(6.5.12)</w:t>
            </w:r>
          </w:p>
        </w:tc>
      </w:tr>
      <w:tr w:rsidR="003B52EB" w:rsidRPr="00BC31E0" w14:paraId="2BE90EE3" w14:textId="77777777" w:rsidTr="003B52EB">
        <w:tc>
          <w:tcPr>
            <w:tcW w:w="0" w:type="auto"/>
            <w:tcMar>
              <w:left w:w="0" w:type="dxa"/>
              <w:right w:w="0" w:type="dxa"/>
            </w:tcMar>
            <w:vAlign w:val="center"/>
          </w:tcPr>
          <w:p w14:paraId="565AB970" w14:textId="77777777" w:rsidR="003B52EB" w:rsidRPr="00BC31E0" w:rsidRDefault="00A51873" w:rsidP="003B52EB">
            <w:pPr>
              <w:tabs>
                <w:tab w:val="left" w:pos="993"/>
                <w:tab w:val="left" w:leader="middleDot" w:pos="8222"/>
              </w:tabs>
              <w:autoSpaceDE w:val="0"/>
              <w:autoSpaceDN w:val="0"/>
              <w:spacing w:before="240"/>
              <w:jc w:val="left"/>
            </w:pPr>
            <m:oMathPara>
              <m:oMathParaPr>
                <m:jc m:val="left"/>
              </m:oMathParaPr>
              <m:oMath>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rR</m:t>
                        </m:r>
                      </m:sub>
                    </m:sSub>
                  </m:num>
                  <m:den>
                    <m:sSub>
                      <m:sSubPr>
                        <m:ctrlPr>
                          <w:rPr>
                            <w:rFonts w:ascii="Cambria Math" w:hAnsi="Cambria Math"/>
                            <w:i/>
                          </w:rPr>
                        </m:ctrlPr>
                      </m:sSubPr>
                      <m:e>
                        <m:r>
                          <w:rPr>
                            <w:rFonts w:ascii="Cambria Math" w:hAnsi="Cambria Math"/>
                          </w:rPr>
                          <m:t>S</m:t>
                        </m:r>
                      </m:e>
                      <m:sub>
                        <m:r>
                          <w:rPr>
                            <w:rFonts w:ascii="Cambria Math" w:hAnsi="Cambria Math"/>
                          </w:rPr>
                          <m:t>y</m:t>
                        </m:r>
                      </m:sub>
                    </m:sSub>
                  </m:den>
                </m:f>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b</m:t>
                    </m:r>
                  </m:sub>
                </m:sSub>
                <m:d>
                  <m:dPr>
                    <m:ctrlPr>
                      <w:rPr>
                        <w:rFonts w:ascii="Cambria Math" w:hAnsi="Cambria Math"/>
                        <w:i/>
                      </w:rPr>
                    </m:ctrlPr>
                  </m:dPr>
                  <m:e>
                    <m:r>
                      <w:rPr>
                        <w:rFonts w:ascii="Cambria Math" w:hAnsi="Cambria Math"/>
                      </w:rPr>
                      <m:t>1-</m:t>
                    </m:r>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O</m:t>
                                </m:r>
                              </m:sub>
                            </m:sSub>
                          </m:e>
                          <m:sup>
                            <m:r>
                              <w:rPr>
                                <w:rFonts w:ascii="Cambria Math" w:hAnsi="Cambria Math"/>
                              </w:rPr>
                              <m:t>2</m:t>
                            </m:r>
                          </m:sup>
                        </m:sSup>
                      </m:num>
                      <m:den>
                        <m:sSup>
                          <m:sSupPr>
                            <m:ctrlPr>
                              <w:rPr>
                                <w:rFonts w:ascii="Cambria Math" w:hAnsi="Cambria Math"/>
                                <w:i/>
                              </w:rPr>
                            </m:ctrlPr>
                          </m:sSupPr>
                          <m:e>
                            <m:r>
                              <w:rPr>
                                <w:rFonts w:ascii="Cambria Math" w:hAnsi="Cambria Math"/>
                              </w:rPr>
                              <m:t>D</m:t>
                            </m:r>
                          </m:e>
                          <m:sup>
                            <m:r>
                              <w:rPr>
                                <w:rFonts w:ascii="Cambria Math" w:hAnsi="Cambria Math"/>
                              </w:rPr>
                              <m:t>2</m:t>
                            </m:r>
                          </m:sup>
                        </m:sSup>
                      </m:den>
                    </m:f>
                  </m:e>
                </m:d>
                <m:d>
                  <m:dPr>
                    <m:begChr m:val="["/>
                    <m:endChr m:val="]"/>
                    <m:ctrlPr>
                      <w:rPr>
                        <w:rFonts w:ascii="Cambria Math" w:hAnsi="Cambria Math"/>
                        <w:i/>
                      </w:rPr>
                    </m:ctrlPr>
                  </m:dPr>
                  <m:e>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P</m:t>
                                </m:r>
                              </m:sub>
                            </m:sSub>
                          </m:e>
                          <m:sup>
                            <m:r>
                              <w:rPr>
                                <w:rFonts w:ascii="Cambria Math" w:hAnsi="Cambria Math"/>
                              </w:rPr>
                              <m:t>2</m:t>
                            </m:r>
                          </m:sup>
                        </m:sSup>
                      </m:num>
                      <m:den>
                        <m:r>
                          <w:rPr>
                            <w:rFonts w:ascii="Cambria Math" w:hAnsi="Cambria Math"/>
                          </w:rPr>
                          <m:t xml:space="preserve">2 </m:t>
                        </m:r>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O</m:t>
                                </m:r>
                              </m:sub>
                            </m:sSub>
                          </m:e>
                          <m:sup>
                            <m:r>
                              <w:rPr>
                                <w:rFonts w:ascii="Cambria Math" w:hAnsi="Cambria Math"/>
                              </w:rPr>
                              <m:t>2</m:t>
                            </m:r>
                          </m:sup>
                        </m:sSup>
                      </m:den>
                    </m:f>
                    <m:r>
                      <w:rPr>
                        <w:rFonts w:ascii="Cambria Math" w:hAnsi="Cambria Math"/>
                      </w:rPr>
                      <m:t>+</m:t>
                    </m:r>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I</m:t>
                                    </m:r>
                                  </m:sub>
                                </m:sSub>
                              </m:e>
                              <m:sup>
                                <m:r>
                                  <w:rPr>
                                    <w:rFonts w:ascii="Cambria Math" w:hAnsi="Cambria Math"/>
                                  </w:rPr>
                                  <m:t>2</m:t>
                                </m:r>
                              </m:sup>
                            </m:sSup>
                          </m:num>
                          <m:den>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O</m:t>
                                    </m:r>
                                  </m:sub>
                                </m:sSub>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I</m:t>
                                    </m:r>
                                  </m:sub>
                                </m:sSub>
                              </m:e>
                              <m:sup>
                                <m:r>
                                  <w:rPr>
                                    <w:rFonts w:ascii="Cambria Math" w:hAnsi="Cambria Math"/>
                                  </w:rPr>
                                  <m:t>2</m:t>
                                </m:r>
                              </m:sup>
                            </m:sSup>
                          </m:den>
                        </m:f>
                      </m:e>
                    </m:d>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P</m:t>
                                    </m:r>
                                  </m:sub>
                                </m:sSub>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O</m:t>
                                    </m:r>
                                  </m:sub>
                                </m:sSub>
                              </m:e>
                              <m:sup>
                                <m:r>
                                  <w:rPr>
                                    <w:rFonts w:ascii="Cambria Math" w:hAnsi="Cambria Math"/>
                                  </w:rPr>
                                  <m:t>2</m:t>
                                </m:r>
                              </m:sup>
                            </m:sSup>
                          </m:num>
                          <m:den>
                            <m:r>
                              <w:rPr>
                                <w:rFonts w:ascii="Cambria Math" w:hAnsi="Cambria Math"/>
                              </w:rPr>
                              <m:t xml:space="preserve">2 </m:t>
                            </m:r>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O</m:t>
                                    </m:r>
                                  </m:sub>
                                </m:sSub>
                              </m:e>
                              <m:sup>
                                <m:r>
                                  <w:rPr>
                                    <w:rFonts w:ascii="Cambria Math" w:hAnsi="Cambria Math"/>
                                  </w:rPr>
                                  <m:t>2</m:t>
                                </m:r>
                              </m:sup>
                            </m:sSup>
                          </m:den>
                        </m:f>
                        <m:r>
                          <w:rPr>
                            <w:rFonts w:ascii="Cambria Math" w:hAnsi="Cambria Math"/>
                          </w:rPr>
                          <m:t>-</m:t>
                        </m:r>
                        <m:r>
                          <m:rPr>
                            <m:sty m:val="bi"/>
                          </m:rPr>
                          <w:rPr>
                            <w:rFonts w:ascii="Cambria Math" w:hAnsi="Cambria Math"/>
                          </w:rPr>
                          <m:t>ln</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P</m:t>
                                    </m:r>
                                  </m:sub>
                                </m:sSub>
                              </m:num>
                              <m:den>
                                <m:sSub>
                                  <m:sSubPr>
                                    <m:ctrlPr>
                                      <w:rPr>
                                        <w:rFonts w:ascii="Cambria Math" w:hAnsi="Cambria Math"/>
                                        <w:i/>
                                      </w:rPr>
                                    </m:ctrlPr>
                                  </m:sSubPr>
                                  <m:e>
                                    <m:r>
                                      <w:rPr>
                                        <w:rFonts w:ascii="Cambria Math" w:hAnsi="Cambria Math"/>
                                      </w:rPr>
                                      <m:t>D</m:t>
                                    </m:r>
                                  </m:e>
                                  <m:sub>
                                    <m:r>
                                      <w:rPr>
                                        <w:rFonts w:ascii="Cambria Math" w:hAnsi="Cambria Math"/>
                                      </w:rPr>
                                      <m:t>I</m:t>
                                    </m:r>
                                  </m:sub>
                                </m:sSub>
                              </m:den>
                            </m:f>
                          </m:e>
                        </m:d>
                      </m:e>
                    </m:d>
                  </m:e>
                </m:d>
              </m:oMath>
            </m:oMathPara>
          </w:p>
        </w:tc>
        <w:tc>
          <w:tcPr>
            <w:tcW w:w="2039" w:type="dxa"/>
            <w:tcMar>
              <w:left w:w="0" w:type="dxa"/>
              <w:right w:w="0" w:type="dxa"/>
            </w:tcMar>
            <w:vAlign w:val="center"/>
          </w:tcPr>
          <w:p w14:paraId="7188E5E9" w14:textId="77777777" w:rsidR="003B52EB" w:rsidRPr="00BC31E0" w:rsidRDefault="003B52EB" w:rsidP="003B52EB">
            <w:pPr>
              <w:tabs>
                <w:tab w:val="left" w:leader="middleDot" w:pos="1236"/>
              </w:tabs>
              <w:autoSpaceDE w:val="0"/>
              <w:autoSpaceDN w:val="0"/>
              <w:spacing w:before="240"/>
              <w:jc w:val="left"/>
            </w:pPr>
            <w:r w:rsidRPr="00BC31E0">
              <w:tab/>
            </w:r>
            <w:r w:rsidRPr="00BC31E0">
              <w:rPr>
                <w:rFonts w:hint="eastAsia"/>
              </w:rPr>
              <w:t>(6.5.13)</w:t>
            </w:r>
          </w:p>
        </w:tc>
      </w:tr>
    </w:tbl>
    <w:p w14:paraId="26ECDC07" w14:textId="77777777" w:rsidR="003B52EB" w:rsidRPr="00BC31E0" w:rsidRDefault="003B52EB" w:rsidP="00544FCB">
      <w:pPr>
        <w:pStyle w:val="3"/>
        <w:tabs>
          <w:tab w:val="clear" w:pos="284"/>
        </w:tabs>
        <w:spacing w:before="120"/>
      </w:pPr>
      <w:r w:rsidRPr="00BC31E0">
        <w:rPr>
          <w:rFonts w:hint="eastAsia"/>
        </w:rPr>
        <w:t>残留応力の疲労設計への適用</w:t>
      </w:r>
    </w:p>
    <w:p w14:paraId="67C1CFE8" w14:textId="77777777" w:rsidR="003B52EB" w:rsidRPr="00BC31E0" w:rsidRDefault="003B52EB" w:rsidP="00544FCB">
      <w:pPr>
        <w:pStyle w:val="1110"/>
        <w:ind w:firstLine="210"/>
      </w:pPr>
      <w:r w:rsidRPr="00BC31E0">
        <w:rPr>
          <w:rFonts w:hint="eastAsia"/>
        </w:rPr>
        <w:t>この項で求めた残留応力を，</w:t>
      </w:r>
      <w:r w:rsidRPr="00BC31E0">
        <w:rPr>
          <w:rFonts w:ascii="ＭＳ ゴシック" w:eastAsia="ＭＳ ゴシック" w:hAnsi="ＭＳ ゴシック" w:hint="eastAsia"/>
          <w:b/>
        </w:rPr>
        <w:t>6.3</w:t>
      </w:r>
      <w:r w:rsidRPr="00BC31E0">
        <w:rPr>
          <w:rFonts w:hint="eastAsia"/>
        </w:rPr>
        <w:t>及び</w:t>
      </w:r>
      <w:r w:rsidRPr="00BC31E0">
        <w:rPr>
          <w:rFonts w:ascii="ＭＳ ゴシック" w:eastAsia="ＭＳ ゴシック" w:hAnsi="ＭＳ ゴシック" w:hint="eastAsia"/>
          <w:b/>
        </w:rPr>
        <w:t>6.4</w:t>
      </w:r>
      <w:r w:rsidRPr="00BC31E0">
        <w:rPr>
          <w:rFonts w:hint="eastAsia"/>
        </w:rPr>
        <w:t>に適用する。ただし，圧縮残留応力値の適用は，次の二つの条件を満たす場合に限定する。</w:t>
      </w:r>
    </w:p>
    <w:p w14:paraId="1151EF8B" w14:textId="77777777" w:rsidR="003B52EB" w:rsidRPr="00BC31E0" w:rsidRDefault="003B52EB" w:rsidP="00544FCB">
      <w:pPr>
        <w:ind w:leftChars="100" w:left="420" w:hangingChars="100" w:hanging="210"/>
      </w:pPr>
      <w:r w:rsidRPr="00BC31E0">
        <w:rPr>
          <w:rFonts w:hint="eastAsia"/>
        </w:rPr>
        <w:t>・高強度低合金鋼を使用した機器</w:t>
      </w:r>
    </w:p>
    <w:p w14:paraId="0F5F6F6E" w14:textId="77777777" w:rsidR="003B52EB" w:rsidRPr="00BC31E0" w:rsidRDefault="003B52EB" w:rsidP="00544FCB">
      <w:pPr>
        <w:ind w:leftChars="100" w:left="420" w:hangingChars="100" w:hanging="210"/>
      </w:pPr>
      <w:r w:rsidRPr="00BC31E0">
        <w:rPr>
          <w:rFonts w:hint="eastAsia"/>
        </w:rPr>
        <w:t>・応力振幅が材料の繰返し降伏強さ</w:t>
      </w:r>
      <w:r w:rsidRPr="00BC31E0">
        <w:rPr>
          <w:rFonts w:hint="eastAsia"/>
        </w:rPr>
        <w:t>(</w:t>
      </w:r>
      <w:r w:rsidRPr="00BC31E0">
        <w:rPr>
          <w:rFonts w:hint="eastAsia"/>
        </w:rPr>
        <w:t>繰返し応力－ひずみ曲線における</w:t>
      </w:r>
      <w:r w:rsidRPr="00BC31E0">
        <w:rPr>
          <w:rFonts w:asciiTheme="minorHAnsi" w:hAnsiTheme="minorHAnsi"/>
        </w:rPr>
        <w:t>0.2%</w:t>
      </w:r>
      <w:r w:rsidRPr="00BC31E0">
        <w:rPr>
          <w:rFonts w:hint="eastAsia"/>
        </w:rPr>
        <w:t>耐力</w:t>
      </w:r>
      <w:r w:rsidRPr="00BC31E0">
        <w:rPr>
          <w:rFonts w:hint="eastAsia"/>
        </w:rPr>
        <w:t>)</w:t>
      </w:r>
      <w:r w:rsidRPr="00BC31E0">
        <w:rPr>
          <w:rFonts w:hint="eastAsia"/>
        </w:rPr>
        <w:t>よりも小さい機器</w:t>
      </w:r>
    </w:p>
    <w:p w14:paraId="5B4290D2" w14:textId="77777777" w:rsidR="00AB2A0C" w:rsidRPr="00BC31E0" w:rsidRDefault="00AB2A0C" w:rsidP="00AB2A0C"/>
    <w:p w14:paraId="23BABB88" w14:textId="77777777" w:rsidR="005B6F10" w:rsidRPr="00BC31E0" w:rsidRDefault="005B6F10" w:rsidP="00AB2A0C"/>
    <w:p w14:paraId="4DB911D1" w14:textId="77777777" w:rsidR="00647A32" w:rsidRPr="00BC31E0" w:rsidRDefault="00647A32" w:rsidP="00D55F36">
      <w:pPr>
        <w:pStyle w:val="20"/>
        <w:tabs>
          <w:tab w:val="clear" w:pos="284"/>
        </w:tabs>
        <w:ind w:left="567" w:hanging="567"/>
      </w:pPr>
      <w:bookmarkStart w:id="46" w:name="_Toc120092526"/>
      <w:r w:rsidRPr="00BC31E0">
        <w:rPr>
          <w:rFonts w:hint="eastAsia"/>
        </w:rPr>
        <w:lastRenderedPageBreak/>
        <w:t>穴，ふた板，鏡板，ねじ継手，シールの設計</w:t>
      </w:r>
      <w:bookmarkEnd w:id="46"/>
    </w:p>
    <w:p w14:paraId="4FED6EB8" w14:textId="77777777" w:rsidR="00647A32" w:rsidRPr="00BC31E0" w:rsidRDefault="00647A32" w:rsidP="00D55F36">
      <w:pPr>
        <w:pStyle w:val="3"/>
        <w:tabs>
          <w:tab w:val="clear" w:pos="284"/>
        </w:tabs>
        <w:ind w:left="794" w:hanging="794"/>
      </w:pPr>
      <w:r w:rsidRPr="00BC31E0">
        <w:rPr>
          <w:rFonts w:hint="eastAsia"/>
        </w:rPr>
        <w:t>適用範囲</w:t>
      </w:r>
    </w:p>
    <w:p w14:paraId="62BD62FB" w14:textId="77777777" w:rsidR="00647A32" w:rsidRPr="00BC31E0" w:rsidRDefault="00647A32" w:rsidP="00720DAD">
      <w:pPr>
        <w:pStyle w:val="1110"/>
        <w:ind w:firstLine="210"/>
      </w:pPr>
      <w:r w:rsidRPr="00BC31E0">
        <w:rPr>
          <w:rFonts w:hint="eastAsia"/>
        </w:rPr>
        <w:t>この項での要求は，穴，ふた板，鏡板，ねじ継手及びシールの設計に適用する。これらの要求は，</w:t>
      </w:r>
      <w:r w:rsidRPr="00BC31E0">
        <w:rPr>
          <w:rFonts w:ascii="ＭＳ ゴシック" w:eastAsia="ＭＳ ゴシック" w:hAnsi="Arial" w:hint="eastAsia"/>
          <w:b/>
        </w:rPr>
        <w:t>6.2，6.3，6.4</w:t>
      </w:r>
      <w:r w:rsidRPr="00BC31E0">
        <w:rPr>
          <w:rFonts w:hint="eastAsia"/>
        </w:rPr>
        <w:t>の追加要求である。</w:t>
      </w:r>
    </w:p>
    <w:p w14:paraId="168B24BB" w14:textId="77777777" w:rsidR="00647A32" w:rsidRPr="00BC31E0" w:rsidRDefault="00647A32" w:rsidP="00D55F36">
      <w:pPr>
        <w:pStyle w:val="3"/>
        <w:tabs>
          <w:tab w:val="clear" w:pos="284"/>
        </w:tabs>
        <w:ind w:left="794" w:hanging="794"/>
      </w:pPr>
      <w:r w:rsidRPr="00BC31E0">
        <w:rPr>
          <w:rFonts w:hint="eastAsia"/>
        </w:rPr>
        <w:t>一般要求</w:t>
      </w:r>
    </w:p>
    <w:p w14:paraId="730CE2D6" w14:textId="77777777" w:rsidR="00647A32" w:rsidRPr="00BC31E0" w:rsidRDefault="00647A32" w:rsidP="00720DAD">
      <w:pPr>
        <w:pStyle w:val="1110"/>
        <w:ind w:firstLine="210"/>
      </w:pPr>
      <w:r w:rsidRPr="00BC31E0">
        <w:rPr>
          <w:rFonts w:hint="eastAsia"/>
        </w:rPr>
        <w:t>一般要求は，次の</w:t>
      </w:r>
      <w:r w:rsidRPr="00BC31E0">
        <w:rPr>
          <w:rFonts w:ascii="ＭＳ ゴシック" w:eastAsia="ＭＳ ゴシック" w:hAnsi="Arial" w:hint="eastAsia"/>
          <w:b/>
        </w:rPr>
        <w:t>a)</w:t>
      </w:r>
      <w:r w:rsidRPr="00BC31E0">
        <w:rPr>
          <w:rFonts w:asciiTheme="minorEastAsia" w:eastAsiaTheme="minorEastAsia" w:hAnsiTheme="minorEastAsia" w:hint="eastAsia"/>
        </w:rPr>
        <w:t>～</w:t>
      </w:r>
      <w:r w:rsidRPr="00BC31E0">
        <w:rPr>
          <w:rFonts w:ascii="ＭＳ ゴシック" w:eastAsia="ＭＳ ゴシック" w:hAnsi="Arial" w:hint="eastAsia"/>
          <w:b/>
        </w:rPr>
        <w:t>h)</w:t>
      </w:r>
      <w:r w:rsidRPr="00BC31E0">
        <w:rPr>
          <w:rFonts w:ascii="ＭＳ 明朝" w:hAnsi="ＭＳ 明朝" w:hint="eastAsia"/>
        </w:rPr>
        <w:t>による。</w:t>
      </w:r>
    </w:p>
    <w:p w14:paraId="506721D4" w14:textId="77777777" w:rsidR="008C6B97" w:rsidRPr="00BC31E0" w:rsidRDefault="00647A32" w:rsidP="00736130">
      <w:pPr>
        <w:pStyle w:val="a4"/>
        <w:numPr>
          <w:ilvl w:val="0"/>
          <w:numId w:val="275"/>
        </w:numPr>
        <w:ind w:leftChars="0" w:left="454" w:hanging="454"/>
      </w:pPr>
      <w:r w:rsidRPr="00BC31E0">
        <w:rPr>
          <w:rFonts w:hint="eastAsia"/>
        </w:rPr>
        <w:t>ふた板，鏡板，ねじ継手及びシールは，使用される圧力容器と同じ耐圧性能を有する。</w:t>
      </w:r>
    </w:p>
    <w:p w14:paraId="1F89A60C" w14:textId="77777777" w:rsidR="008C6B97" w:rsidRPr="00BC31E0" w:rsidRDefault="00647A32" w:rsidP="00736130">
      <w:pPr>
        <w:pStyle w:val="a4"/>
        <w:numPr>
          <w:ilvl w:val="0"/>
          <w:numId w:val="275"/>
        </w:numPr>
        <w:ind w:leftChars="0" w:left="454" w:hanging="454"/>
      </w:pPr>
      <w:r w:rsidRPr="00BC31E0">
        <w:rPr>
          <w:rFonts w:hint="eastAsia"/>
        </w:rPr>
        <w:t>交差穴，その他の穴について静的強度に対する影響を考慮しなければならない。</w:t>
      </w:r>
    </w:p>
    <w:p w14:paraId="7EB3E0A3" w14:textId="77777777" w:rsidR="008C6B97" w:rsidRPr="00BC31E0" w:rsidRDefault="00647A32" w:rsidP="00736130">
      <w:pPr>
        <w:pStyle w:val="a4"/>
        <w:numPr>
          <w:ilvl w:val="0"/>
          <w:numId w:val="275"/>
        </w:numPr>
        <w:ind w:leftChars="0" w:left="454" w:hanging="454"/>
      </w:pPr>
      <w:r w:rsidRPr="00BC31E0">
        <w:rPr>
          <w:rFonts w:ascii="ＭＳ 明朝" w:hAnsi="ＭＳ 明朝" w:hint="eastAsia"/>
          <w:szCs w:val="20"/>
        </w:rPr>
        <w:t>耐圧とシール性能に関係する</w:t>
      </w:r>
      <w:r w:rsidR="00DC160D" w:rsidRPr="00BC31E0">
        <w:rPr>
          <w:rFonts w:ascii="ＭＳ 明朝" w:hAnsi="ＭＳ 明朝" w:hint="eastAsia"/>
          <w:szCs w:val="20"/>
        </w:rPr>
        <w:t>全</w:t>
      </w:r>
      <w:r w:rsidRPr="00BC31E0">
        <w:rPr>
          <w:rFonts w:ascii="ＭＳ 明朝" w:hAnsi="ＭＳ 明朝" w:hint="eastAsia"/>
          <w:szCs w:val="20"/>
        </w:rPr>
        <w:t>ての構成部品について完全な応力解析が必要となる。</w:t>
      </w:r>
    </w:p>
    <w:p w14:paraId="55BDDBF4" w14:textId="77777777" w:rsidR="008C6B97" w:rsidRPr="00BC31E0" w:rsidRDefault="00647A32" w:rsidP="00736130">
      <w:pPr>
        <w:pStyle w:val="a4"/>
        <w:numPr>
          <w:ilvl w:val="0"/>
          <w:numId w:val="275"/>
        </w:numPr>
        <w:ind w:leftChars="0" w:left="454" w:hanging="454"/>
      </w:pPr>
      <w:r w:rsidRPr="00BC31E0">
        <w:rPr>
          <w:rFonts w:ascii="ＭＳ 明朝" w:hAnsi="ＭＳ 明朝" w:hint="eastAsia"/>
          <w:szCs w:val="20"/>
        </w:rPr>
        <w:t>繰返し荷重を受ける用途では，シールを除く</w:t>
      </w:r>
      <w:r w:rsidR="00DC160D" w:rsidRPr="00BC31E0">
        <w:rPr>
          <w:rFonts w:ascii="ＭＳ 明朝" w:hAnsi="ＭＳ 明朝" w:hint="eastAsia"/>
          <w:szCs w:val="20"/>
        </w:rPr>
        <w:t>全</w:t>
      </w:r>
      <w:r w:rsidRPr="00BC31E0">
        <w:rPr>
          <w:rFonts w:ascii="ＭＳ 明朝" w:hAnsi="ＭＳ 明朝" w:hint="eastAsia"/>
          <w:szCs w:val="20"/>
        </w:rPr>
        <w:t>ての部品に対して，</w:t>
      </w:r>
      <w:r w:rsidRPr="00BC31E0">
        <w:rPr>
          <w:rFonts w:ascii="ＭＳ ゴシック" w:eastAsia="ＭＳ ゴシック" w:hAnsi="ＭＳ ゴシック" w:hint="eastAsia"/>
          <w:b/>
          <w:szCs w:val="20"/>
        </w:rPr>
        <w:t>6.3</w:t>
      </w:r>
      <w:r w:rsidRPr="00BC31E0">
        <w:rPr>
          <w:rFonts w:ascii="ＭＳ 明朝" w:hAnsi="ＭＳ 明朝" w:hint="eastAsia"/>
          <w:szCs w:val="20"/>
        </w:rPr>
        <w:t>の疲労評価又は</w:t>
      </w:r>
      <w:r w:rsidRPr="00BC31E0">
        <w:rPr>
          <w:rFonts w:ascii="ＭＳ ゴシック" w:eastAsia="ＭＳ ゴシック" w:hAnsi="ＭＳ ゴシック" w:hint="eastAsia"/>
          <w:b/>
          <w:szCs w:val="20"/>
        </w:rPr>
        <w:t>6.4</w:t>
      </w:r>
      <w:r w:rsidRPr="00BC31E0">
        <w:rPr>
          <w:rFonts w:ascii="ＭＳ 明朝" w:hAnsi="ＭＳ 明朝" w:hint="eastAsia"/>
          <w:szCs w:val="20"/>
        </w:rPr>
        <w:t>の破壊力学評価を実施する。</w:t>
      </w:r>
    </w:p>
    <w:p w14:paraId="6FABFA87" w14:textId="77777777" w:rsidR="008C6B97" w:rsidRPr="00BC31E0" w:rsidRDefault="00DC160D" w:rsidP="00736130">
      <w:pPr>
        <w:pStyle w:val="a4"/>
        <w:numPr>
          <w:ilvl w:val="0"/>
          <w:numId w:val="275"/>
        </w:numPr>
        <w:ind w:leftChars="0" w:left="454" w:hanging="454"/>
      </w:pPr>
      <w:r w:rsidRPr="00BC31E0">
        <w:rPr>
          <w:rFonts w:hint="eastAsia"/>
          <w:bCs/>
        </w:rPr>
        <w:t>全</w:t>
      </w:r>
      <w:r w:rsidR="00647A32" w:rsidRPr="00BC31E0">
        <w:rPr>
          <w:rFonts w:hint="eastAsia"/>
          <w:bCs/>
        </w:rPr>
        <w:t>ての荷重条件で継手が分離するのを防ぐ対策が整っていなければならない。</w:t>
      </w:r>
    </w:p>
    <w:p w14:paraId="33B6F38C" w14:textId="77777777" w:rsidR="008C6B97" w:rsidRPr="00BC31E0" w:rsidRDefault="00647A32" w:rsidP="00736130">
      <w:pPr>
        <w:pStyle w:val="a4"/>
        <w:numPr>
          <w:ilvl w:val="0"/>
          <w:numId w:val="275"/>
        </w:numPr>
        <w:ind w:leftChars="0" w:left="454" w:hanging="454"/>
      </w:pPr>
      <w:r w:rsidRPr="00BC31E0">
        <w:rPr>
          <w:rFonts w:ascii="ＭＳ 明朝" w:hAnsi="ＭＳ 明朝" w:hint="eastAsia"/>
          <w:szCs w:val="20"/>
        </w:rPr>
        <w:t>静解析及び疲労評価には，総荷重，ねじ山の数，ねじ形状，相手方の剛性及び摩擦を考慮しなければならない。</w:t>
      </w:r>
    </w:p>
    <w:p w14:paraId="0CAA07EC" w14:textId="77777777" w:rsidR="008C6B97" w:rsidRPr="00BC31E0" w:rsidRDefault="00647A32" w:rsidP="00736130">
      <w:pPr>
        <w:pStyle w:val="a4"/>
        <w:numPr>
          <w:ilvl w:val="0"/>
          <w:numId w:val="275"/>
        </w:numPr>
        <w:ind w:leftChars="0" w:left="454" w:hanging="454"/>
      </w:pPr>
      <w:r w:rsidRPr="00BC31E0">
        <w:rPr>
          <w:rFonts w:hint="eastAsia"/>
          <w:bCs/>
        </w:rPr>
        <w:t>指定のシール面の外側にある二次シール部</w:t>
      </w:r>
      <w:r w:rsidR="00DB538D" w:rsidRPr="00BC31E0">
        <w:rPr>
          <w:rFonts w:hint="eastAsia"/>
          <w:bCs/>
        </w:rPr>
        <w:t>(</w:t>
      </w:r>
      <w:r w:rsidRPr="00BC31E0">
        <w:rPr>
          <w:rFonts w:hint="eastAsia"/>
          <w:bCs/>
        </w:rPr>
        <w:t>例えば</w:t>
      </w:r>
      <w:r w:rsidR="00DB538D" w:rsidRPr="00BC31E0">
        <w:rPr>
          <w:rFonts w:hint="eastAsia"/>
          <w:bCs/>
        </w:rPr>
        <w:t>，</w:t>
      </w:r>
      <w:r w:rsidRPr="00BC31E0">
        <w:rPr>
          <w:rFonts w:hint="eastAsia"/>
          <w:bCs/>
        </w:rPr>
        <w:t>ねじ部</w:t>
      </w:r>
      <w:r w:rsidR="00DB538D" w:rsidRPr="00BC31E0">
        <w:rPr>
          <w:rFonts w:hint="eastAsia"/>
          <w:bCs/>
        </w:rPr>
        <w:t>)</w:t>
      </w:r>
      <w:r w:rsidR="00236919" w:rsidRPr="00BC31E0">
        <w:rPr>
          <w:rFonts w:hint="eastAsia"/>
        </w:rPr>
        <w:t xml:space="preserve"> </w:t>
      </w:r>
      <w:r w:rsidR="00236919" w:rsidRPr="00BC31E0">
        <w:rPr>
          <w:rFonts w:hint="eastAsia"/>
        </w:rPr>
        <w:t>における</w:t>
      </w:r>
      <w:r w:rsidRPr="00BC31E0">
        <w:rPr>
          <w:rFonts w:hint="eastAsia"/>
          <w:bCs/>
        </w:rPr>
        <w:t>偶発的，付随的な圧力上昇を防ぐためにベント口を設ける。</w:t>
      </w:r>
    </w:p>
    <w:p w14:paraId="71FE95D7" w14:textId="77777777" w:rsidR="00647A32" w:rsidRPr="00BC31E0" w:rsidRDefault="00647A32" w:rsidP="00736130">
      <w:pPr>
        <w:pStyle w:val="a4"/>
        <w:numPr>
          <w:ilvl w:val="0"/>
          <w:numId w:val="275"/>
        </w:numPr>
        <w:ind w:leftChars="0" w:left="454" w:hanging="454"/>
      </w:pPr>
      <w:r w:rsidRPr="00BC31E0">
        <w:rPr>
          <w:rFonts w:hint="eastAsia"/>
        </w:rPr>
        <w:t>管の接続でフレア付き，フレア無し及び圧縮式の継手は認められない。</w:t>
      </w:r>
    </w:p>
    <w:p w14:paraId="4EC74048" w14:textId="77777777" w:rsidR="00647A32" w:rsidRPr="00BC31E0" w:rsidRDefault="00647A32" w:rsidP="00E53B34">
      <w:pPr>
        <w:pStyle w:val="3"/>
        <w:tabs>
          <w:tab w:val="clear" w:pos="284"/>
        </w:tabs>
        <w:ind w:left="794" w:hanging="794"/>
      </w:pPr>
      <w:r w:rsidRPr="00BC31E0">
        <w:rPr>
          <w:rFonts w:hint="eastAsia"/>
        </w:rPr>
        <w:t>ねじ継手</w:t>
      </w:r>
    </w:p>
    <w:p w14:paraId="4CF9E8A4" w14:textId="77777777" w:rsidR="00647A32" w:rsidRPr="00BC31E0" w:rsidRDefault="008F6175" w:rsidP="00736130">
      <w:pPr>
        <w:pStyle w:val="a4"/>
        <w:numPr>
          <w:ilvl w:val="0"/>
          <w:numId w:val="287"/>
        </w:numPr>
        <w:ind w:leftChars="0" w:left="454" w:hanging="454"/>
      </w:pPr>
      <w:r w:rsidRPr="00BC31E0">
        <w:rPr>
          <w:rFonts w:asciiTheme="majorEastAsia" w:eastAsiaTheme="majorEastAsia" w:hAnsiTheme="majorEastAsia" w:hint="eastAsia"/>
          <w:b/>
        </w:rPr>
        <w:t>一般要求</w:t>
      </w:r>
      <w:r w:rsidRPr="00BC31E0">
        <w:rPr>
          <w:rFonts w:hint="eastAsia"/>
        </w:rPr>
        <w:t xml:space="preserve">　ねじ継手は，次の</w:t>
      </w:r>
      <w:r w:rsidRPr="00BC31E0">
        <w:rPr>
          <w:rFonts w:asciiTheme="majorEastAsia" w:eastAsiaTheme="majorEastAsia" w:hAnsiTheme="majorEastAsia" w:hint="eastAsia"/>
          <w:b/>
        </w:rPr>
        <w:t>1)</w:t>
      </w:r>
      <w:r w:rsidRPr="00BC31E0">
        <w:rPr>
          <w:rFonts w:hint="eastAsia"/>
        </w:rPr>
        <w:t>～</w:t>
      </w:r>
      <w:r w:rsidRPr="00BC31E0">
        <w:rPr>
          <w:rFonts w:asciiTheme="majorEastAsia" w:eastAsiaTheme="majorEastAsia" w:hAnsiTheme="majorEastAsia" w:hint="eastAsia"/>
          <w:b/>
        </w:rPr>
        <w:t>4)</w:t>
      </w:r>
      <w:r w:rsidRPr="00BC31E0">
        <w:rPr>
          <w:rFonts w:hint="eastAsia"/>
        </w:rPr>
        <w:t>による。</w:t>
      </w:r>
    </w:p>
    <w:p w14:paraId="2A5EB74B" w14:textId="77777777" w:rsidR="00DC7C94" w:rsidRPr="00BC31E0" w:rsidRDefault="00647A32" w:rsidP="00736130">
      <w:pPr>
        <w:pStyle w:val="a4"/>
        <w:numPr>
          <w:ilvl w:val="0"/>
          <w:numId w:val="288"/>
        </w:numPr>
        <w:ind w:leftChars="0" w:left="738" w:hanging="454"/>
        <w:rPr>
          <w:rFonts w:hAnsiTheme="minorHAnsi"/>
        </w:rPr>
      </w:pPr>
      <w:r w:rsidRPr="00BC31E0">
        <w:t>ねじ継手には，ボルト，スタッド，タイロッドも含まれる。</w:t>
      </w:r>
    </w:p>
    <w:p w14:paraId="0EAA7850" w14:textId="77777777" w:rsidR="00647A32" w:rsidRPr="00BC31E0" w:rsidRDefault="00647A32" w:rsidP="00736130">
      <w:pPr>
        <w:pStyle w:val="a4"/>
        <w:numPr>
          <w:ilvl w:val="0"/>
          <w:numId w:val="288"/>
        </w:numPr>
        <w:ind w:leftChars="0" w:left="738" w:hanging="454"/>
        <w:rPr>
          <w:rFonts w:hAnsiTheme="minorHAnsi"/>
        </w:rPr>
      </w:pPr>
      <w:r w:rsidRPr="00BC31E0">
        <w:rPr>
          <w:rFonts w:asciiTheme="minorHAnsi" w:eastAsiaTheme="minorEastAsia" w:hAnsiTheme="minorEastAsia"/>
        </w:rPr>
        <w:t>平行ねじは使用</w:t>
      </w:r>
      <w:r w:rsidR="00C971E2" w:rsidRPr="00BC31E0">
        <w:rPr>
          <w:rFonts w:asciiTheme="minorHAnsi" w:eastAsiaTheme="minorEastAsia" w:hAnsiTheme="minorEastAsia" w:hint="eastAsia"/>
        </w:rPr>
        <w:t>してもよい</w:t>
      </w:r>
      <w:r w:rsidRPr="00BC31E0">
        <w:rPr>
          <w:rFonts w:asciiTheme="minorHAnsi" w:eastAsiaTheme="minorEastAsia" w:hAnsiTheme="minorEastAsia"/>
        </w:rPr>
        <w:t>が，管用テーパねじは使用してはならない。</w:t>
      </w:r>
    </w:p>
    <w:p w14:paraId="3CD65427" w14:textId="77777777" w:rsidR="00647A32" w:rsidRPr="00BC31E0" w:rsidRDefault="00647A32" w:rsidP="00720DAD">
      <w:pPr>
        <w:ind w:left="1361" w:hanging="624"/>
        <w:rPr>
          <w:rFonts w:ascii="ＭＳ 明朝" w:hAnsi="ＭＳ 明朝"/>
        </w:rPr>
      </w:pPr>
      <w:r w:rsidRPr="00BC31E0">
        <w:rPr>
          <w:rFonts w:ascii="ＭＳ ゴシック" w:eastAsia="ＭＳ ゴシック" w:hAnsi="ＭＳ ゴシック" w:hint="eastAsia"/>
          <w:b/>
        </w:rPr>
        <w:t>注記</w:t>
      </w:r>
      <w:r w:rsidRPr="00BC31E0">
        <w:rPr>
          <w:rFonts w:ascii="ＭＳ 明朝" w:hAnsi="ＭＳ 明朝" w:hint="eastAsia"/>
        </w:rPr>
        <w:t xml:space="preserve">　細目ねじは，熱膨張や荷重の拡大によって，組付けの問題やねじの欠損の恐れがあることを留意する。</w:t>
      </w:r>
    </w:p>
    <w:p w14:paraId="056733C3" w14:textId="77777777" w:rsidR="00DC7C94" w:rsidRPr="00BC31E0" w:rsidRDefault="00647A32" w:rsidP="00736130">
      <w:pPr>
        <w:pStyle w:val="a4"/>
        <w:numPr>
          <w:ilvl w:val="0"/>
          <w:numId w:val="288"/>
        </w:numPr>
        <w:ind w:leftChars="0" w:left="738" w:hanging="454"/>
        <w:rPr>
          <w:rFonts w:hAnsiTheme="minorHAnsi"/>
        </w:rPr>
      </w:pPr>
      <w:r w:rsidRPr="00BC31E0">
        <w:t>耐圧部にタップ穴を設ける場合は穴の影響</w:t>
      </w:r>
      <w:r w:rsidRPr="00BC31E0">
        <w:rPr>
          <w:rFonts w:hAnsiTheme="minorHAnsi"/>
        </w:rPr>
        <w:t>(</w:t>
      </w:r>
      <w:r w:rsidRPr="00BC31E0">
        <w:t>例</w:t>
      </w:r>
      <w:r w:rsidRPr="00BC31E0">
        <w:rPr>
          <w:rFonts w:hAnsiTheme="minorHAnsi"/>
        </w:rPr>
        <w:t xml:space="preserve">: </w:t>
      </w:r>
      <w:r w:rsidRPr="00BC31E0">
        <w:t>応力増加，材料欠損</w:t>
      </w:r>
      <w:r w:rsidRPr="00BC31E0">
        <w:rPr>
          <w:rFonts w:hAnsiTheme="minorHAnsi"/>
        </w:rPr>
        <w:t>)</w:t>
      </w:r>
      <w:r w:rsidRPr="00BC31E0">
        <w:t>を考慮する。</w:t>
      </w:r>
    </w:p>
    <w:p w14:paraId="63398047" w14:textId="77777777" w:rsidR="00647A32" w:rsidRPr="00BC31E0" w:rsidRDefault="00647A32" w:rsidP="00736130">
      <w:pPr>
        <w:pStyle w:val="a4"/>
        <w:numPr>
          <w:ilvl w:val="0"/>
          <w:numId w:val="288"/>
        </w:numPr>
        <w:ind w:leftChars="0" w:left="738" w:hanging="454"/>
        <w:rPr>
          <w:rFonts w:hAnsiTheme="minorHAnsi"/>
        </w:rPr>
      </w:pPr>
      <w:r w:rsidRPr="00BC31E0">
        <w:rPr>
          <w:rFonts w:asciiTheme="majorEastAsia" w:eastAsiaTheme="majorEastAsia" w:hAnsiTheme="majorEastAsia" w:hint="eastAsia"/>
          <w:b/>
        </w:rPr>
        <w:t>c)</w:t>
      </w:r>
      <w:r w:rsidRPr="00BC31E0">
        <w:rPr>
          <w:rFonts w:asciiTheme="minorHAnsi" w:eastAsiaTheme="minorEastAsia" w:hAnsiTheme="minorEastAsia"/>
        </w:rPr>
        <w:t>で要求される疲労解析に，ねじ荷重分布を考慮する。</w:t>
      </w:r>
    </w:p>
    <w:p w14:paraId="2FFB05BA" w14:textId="77777777" w:rsidR="00647A32" w:rsidRPr="00BC31E0" w:rsidRDefault="008F6175" w:rsidP="00736130">
      <w:pPr>
        <w:pStyle w:val="a4"/>
        <w:numPr>
          <w:ilvl w:val="0"/>
          <w:numId w:val="285"/>
        </w:numPr>
        <w:ind w:leftChars="0" w:left="454" w:hanging="454"/>
      </w:pPr>
      <w:r w:rsidRPr="00BC31E0">
        <w:rPr>
          <w:rFonts w:ascii="ＭＳ ゴシック" w:eastAsia="ＭＳ ゴシック" w:hAnsi="ＭＳ ゴシック" w:hint="eastAsia"/>
          <w:b/>
        </w:rPr>
        <w:t>弾塑性解析</w:t>
      </w:r>
      <w:r w:rsidRPr="00BC31E0">
        <w:t xml:space="preserve">　ねじ</w:t>
      </w:r>
      <w:r w:rsidRPr="00BC31E0">
        <w:rPr>
          <w:rFonts w:hint="eastAsia"/>
        </w:rPr>
        <w:t>継手の解析は</w:t>
      </w:r>
      <w:r w:rsidRPr="00BC31E0">
        <w:rPr>
          <w:rFonts w:asciiTheme="majorEastAsia" w:eastAsiaTheme="majorEastAsia" w:hAnsiTheme="majorEastAsia" w:hint="eastAsia"/>
          <w:b/>
        </w:rPr>
        <w:t>d)</w:t>
      </w:r>
      <w:r w:rsidRPr="00BC31E0">
        <w:rPr>
          <w:rFonts w:hint="eastAsia"/>
        </w:rPr>
        <w:t>に代わり，</w:t>
      </w:r>
      <w:r w:rsidRPr="00BC31E0">
        <w:rPr>
          <w:rFonts w:asciiTheme="majorEastAsia" w:eastAsiaTheme="majorEastAsia" w:hAnsiTheme="majorEastAsia" w:hint="eastAsia"/>
          <w:b/>
        </w:rPr>
        <w:t>6.2.3</w:t>
      </w:r>
      <w:r w:rsidRPr="00BC31E0">
        <w:rPr>
          <w:rFonts w:hint="eastAsia"/>
        </w:rPr>
        <w:t>の弾塑性解析によってもよい。</w:t>
      </w:r>
    </w:p>
    <w:p w14:paraId="4C17738E" w14:textId="77777777" w:rsidR="008F6175" w:rsidRPr="00BC31E0" w:rsidRDefault="00647A32" w:rsidP="00736130">
      <w:pPr>
        <w:pStyle w:val="a4"/>
        <w:numPr>
          <w:ilvl w:val="0"/>
          <w:numId w:val="286"/>
        </w:numPr>
        <w:ind w:leftChars="0" w:left="738" w:hanging="454"/>
      </w:pPr>
      <w:r w:rsidRPr="00BC31E0">
        <w:rPr>
          <w:rFonts w:hint="eastAsia"/>
        </w:rPr>
        <w:t>設計に考慮すべき荷重と荷重条件は，</w:t>
      </w:r>
      <w:r w:rsidRPr="00BC31E0">
        <w:rPr>
          <w:rFonts w:asciiTheme="majorEastAsia" w:eastAsiaTheme="majorEastAsia" w:hAnsiTheme="majorEastAsia" w:hint="eastAsia"/>
          <w:b/>
          <w:bCs/>
        </w:rPr>
        <w:t>表6.2.1</w:t>
      </w:r>
      <w:r w:rsidRPr="00BC31E0">
        <w:rPr>
          <w:rFonts w:hint="eastAsia"/>
        </w:rPr>
        <w:t>と</w:t>
      </w:r>
      <w:r w:rsidRPr="00BC31E0">
        <w:rPr>
          <w:rFonts w:asciiTheme="majorEastAsia" w:eastAsiaTheme="majorEastAsia" w:hAnsiTheme="majorEastAsia" w:hint="eastAsia"/>
          <w:b/>
          <w:bCs/>
        </w:rPr>
        <w:t>表6.2.2</w:t>
      </w:r>
      <w:r w:rsidRPr="00BC31E0">
        <w:rPr>
          <w:rFonts w:hint="eastAsia"/>
        </w:rPr>
        <w:t>による。</w:t>
      </w:r>
    </w:p>
    <w:p w14:paraId="3AB8F743" w14:textId="77777777" w:rsidR="00647A32" w:rsidRPr="00BC31E0" w:rsidRDefault="00647A32" w:rsidP="00736130">
      <w:pPr>
        <w:pStyle w:val="a4"/>
        <w:numPr>
          <w:ilvl w:val="0"/>
          <w:numId w:val="286"/>
        </w:numPr>
        <w:ind w:leftChars="0" w:left="738" w:hanging="454"/>
      </w:pPr>
      <w:r w:rsidRPr="00BC31E0">
        <w:rPr>
          <w:rFonts w:asciiTheme="majorEastAsia" w:eastAsiaTheme="majorEastAsia" w:hAnsiTheme="majorEastAsia" w:hint="eastAsia"/>
          <w:b/>
        </w:rPr>
        <w:t>表6.2.3</w:t>
      </w:r>
      <w:r w:rsidRPr="00BC31E0">
        <w:rPr>
          <w:rFonts w:ascii="ＭＳ 明朝" w:hint="eastAsia"/>
        </w:rPr>
        <w:t>の荷重抵抗係数を考慮した組合せ荷重条件で，崩壊しない。</w:t>
      </w:r>
    </w:p>
    <w:p w14:paraId="64F295A9" w14:textId="77777777" w:rsidR="00647A32" w:rsidRPr="00BC31E0" w:rsidRDefault="00647A32" w:rsidP="00736130">
      <w:pPr>
        <w:pStyle w:val="a4"/>
        <w:numPr>
          <w:ilvl w:val="0"/>
          <w:numId w:val="283"/>
        </w:numPr>
        <w:ind w:leftChars="0" w:left="454" w:hanging="454"/>
      </w:pPr>
      <w:r w:rsidRPr="00BC31E0">
        <w:rPr>
          <w:rFonts w:asciiTheme="majorEastAsia" w:eastAsiaTheme="majorEastAsia" w:hAnsiTheme="majorEastAsia" w:hint="eastAsia"/>
          <w:b/>
        </w:rPr>
        <w:t>疲労及び破壊力学評価</w:t>
      </w:r>
      <w:r w:rsidRPr="00BC31E0">
        <w:rPr>
          <w:rFonts w:hint="eastAsia"/>
        </w:rPr>
        <w:t xml:space="preserve">　疲労及び破壊力学評価は，次の</w:t>
      </w:r>
      <w:r w:rsidRPr="00BC31E0">
        <w:rPr>
          <w:rFonts w:asciiTheme="majorEastAsia" w:eastAsiaTheme="majorEastAsia" w:hAnsiTheme="majorEastAsia" w:hint="eastAsia"/>
          <w:b/>
        </w:rPr>
        <w:t>1)</w:t>
      </w:r>
      <w:r w:rsidRPr="00BC31E0">
        <w:rPr>
          <w:rFonts w:hint="eastAsia"/>
        </w:rPr>
        <w:t>～</w:t>
      </w:r>
      <w:r w:rsidRPr="00BC31E0">
        <w:rPr>
          <w:rFonts w:asciiTheme="majorEastAsia" w:eastAsiaTheme="majorEastAsia" w:hAnsiTheme="majorEastAsia" w:hint="eastAsia"/>
          <w:b/>
        </w:rPr>
        <w:t>4)</w:t>
      </w:r>
      <w:r w:rsidRPr="00BC31E0">
        <w:rPr>
          <w:rFonts w:hint="eastAsia"/>
        </w:rPr>
        <w:t>による。</w:t>
      </w:r>
    </w:p>
    <w:p w14:paraId="496469CF" w14:textId="77777777" w:rsidR="0034129B" w:rsidRPr="00BC31E0" w:rsidRDefault="00647A32" w:rsidP="00736130">
      <w:pPr>
        <w:pStyle w:val="a4"/>
        <w:numPr>
          <w:ilvl w:val="0"/>
          <w:numId w:val="284"/>
        </w:numPr>
        <w:ind w:leftChars="0" w:left="738" w:hanging="454"/>
      </w:pPr>
      <w:r w:rsidRPr="00BC31E0">
        <w:rPr>
          <w:rFonts w:hint="eastAsia"/>
        </w:rPr>
        <w:t>次の</w:t>
      </w:r>
      <w:r w:rsidRPr="00BC31E0">
        <w:rPr>
          <w:rFonts w:asciiTheme="majorEastAsia" w:eastAsiaTheme="majorEastAsia" w:hAnsiTheme="majorEastAsia" w:hint="eastAsia"/>
          <w:b/>
          <w:bCs/>
        </w:rPr>
        <w:t>4)</w:t>
      </w:r>
      <w:r w:rsidRPr="00BC31E0">
        <w:rPr>
          <w:rFonts w:hint="eastAsia"/>
        </w:rPr>
        <w:t>で免除される場合を除き，</w:t>
      </w:r>
      <w:r w:rsidRPr="00BC31E0">
        <w:rPr>
          <w:rFonts w:asciiTheme="majorEastAsia" w:eastAsiaTheme="majorEastAsia" w:hAnsiTheme="majorEastAsia" w:hint="eastAsia"/>
          <w:b/>
          <w:bCs/>
        </w:rPr>
        <w:t>6.3</w:t>
      </w:r>
      <w:r w:rsidRPr="00BC31E0">
        <w:rPr>
          <w:rFonts w:hint="eastAsia"/>
        </w:rPr>
        <w:t>の疲労評価又は</w:t>
      </w:r>
      <w:r w:rsidRPr="00BC31E0">
        <w:rPr>
          <w:rFonts w:asciiTheme="majorEastAsia" w:eastAsiaTheme="majorEastAsia" w:hAnsiTheme="majorEastAsia" w:hint="eastAsia"/>
          <w:b/>
          <w:bCs/>
        </w:rPr>
        <w:t>6.4</w:t>
      </w:r>
      <w:r w:rsidRPr="00BC31E0">
        <w:rPr>
          <w:rFonts w:hint="eastAsia"/>
        </w:rPr>
        <w:t>の破壊力学評価を，</w:t>
      </w:r>
      <w:r w:rsidR="0034129B" w:rsidRPr="00BC31E0">
        <w:rPr>
          <w:rFonts w:hint="eastAsia"/>
        </w:rPr>
        <w:t>全</w:t>
      </w:r>
      <w:r w:rsidRPr="00BC31E0">
        <w:rPr>
          <w:rFonts w:hint="eastAsia"/>
        </w:rPr>
        <w:t>てのねじ継手について実施する。</w:t>
      </w:r>
    </w:p>
    <w:p w14:paraId="2C3BF5E1" w14:textId="77777777" w:rsidR="0034129B" w:rsidRPr="00BC31E0" w:rsidRDefault="00647A32" w:rsidP="00736130">
      <w:pPr>
        <w:pStyle w:val="a4"/>
        <w:numPr>
          <w:ilvl w:val="0"/>
          <w:numId w:val="284"/>
        </w:numPr>
        <w:ind w:leftChars="0" w:left="738" w:hanging="454"/>
      </w:pPr>
      <w:r w:rsidRPr="00BC31E0">
        <w:rPr>
          <w:rFonts w:ascii="ＭＳ 明朝" w:hAnsi="ＭＳ 明朝" w:hint="eastAsia"/>
        </w:rPr>
        <w:t>ねじ継手の疲労評価は，繰返し荷重を受ける他の構造物と同じ方法で行う。</w:t>
      </w:r>
    </w:p>
    <w:p w14:paraId="13547DC0" w14:textId="77777777" w:rsidR="0034129B" w:rsidRPr="00BC31E0" w:rsidRDefault="00647A32" w:rsidP="00736130">
      <w:pPr>
        <w:pStyle w:val="a4"/>
        <w:numPr>
          <w:ilvl w:val="0"/>
          <w:numId w:val="284"/>
        </w:numPr>
        <w:ind w:leftChars="0" w:left="738" w:hanging="454"/>
      </w:pPr>
      <w:r w:rsidRPr="00BC31E0">
        <w:rPr>
          <w:rFonts w:ascii="ＭＳ 明朝" w:hAnsi="ＭＳ 明朝" w:hint="eastAsia"/>
        </w:rPr>
        <w:t>予期される条件について解析する。解析又は試験によってより低い疲労強度減少係数が妥当であると証明されない限り，疲労強度減少係数は</w:t>
      </w:r>
      <w:r w:rsidRPr="00BC31E0">
        <w:t>4.0</w:t>
      </w:r>
      <w:r w:rsidRPr="00BC31E0">
        <w:rPr>
          <w:rFonts w:ascii="ＭＳ 明朝" w:hAnsi="ＭＳ 明朝" w:hint="eastAsia"/>
        </w:rPr>
        <w:t>以上とする。</w:t>
      </w:r>
    </w:p>
    <w:p w14:paraId="2B68ED64" w14:textId="77777777" w:rsidR="00647A32" w:rsidRPr="00BC31E0" w:rsidRDefault="00647A32" w:rsidP="00736130">
      <w:pPr>
        <w:pStyle w:val="a4"/>
        <w:numPr>
          <w:ilvl w:val="0"/>
          <w:numId w:val="284"/>
        </w:numPr>
        <w:ind w:leftChars="0" w:left="738" w:hanging="454"/>
      </w:pPr>
      <w:r w:rsidRPr="00BC31E0">
        <w:rPr>
          <w:rFonts w:ascii="ＭＳ 明朝" w:hAnsi="ＭＳ 明朝" w:hint="eastAsia"/>
        </w:rPr>
        <w:t>この規格で許容された材料で製作された</w:t>
      </w:r>
      <w:r w:rsidRPr="00BC31E0">
        <w:rPr>
          <w:rFonts w:asciiTheme="majorEastAsia" w:eastAsiaTheme="majorEastAsia" w:hAnsiTheme="majorEastAsia" w:hint="eastAsia"/>
          <w:b/>
        </w:rPr>
        <w:t>JIS</w:t>
      </w:r>
      <w:r w:rsidRPr="00BC31E0">
        <w:rPr>
          <w:rFonts w:ascii="ＭＳ 明朝" w:hAnsi="ＭＳ 明朝" w:hint="eastAsia"/>
        </w:rPr>
        <w:t>及び</w:t>
      </w:r>
      <w:r w:rsidRPr="00BC31E0">
        <w:rPr>
          <w:rFonts w:asciiTheme="majorEastAsia" w:eastAsiaTheme="majorEastAsia" w:hAnsiTheme="majorEastAsia" w:hint="eastAsia"/>
          <w:b/>
        </w:rPr>
        <w:t>ASME</w:t>
      </w:r>
      <w:r w:rsidR="003D5B31" w:rsidRPr="00BC31E0">
        <w:rPr>
          <w:rFonts w:asciiTheme="majorEastAsia" w:eastAsiaTheme="majorEastAsia" w:hAnsiTheme="majorEastAsia" w:hint="eastAsia"/>
          <w:b/>
        </w:rPr>
        <w:t xml:space="preserve"> </w:t>
      </w:r>
      <w:r w:rsidRPr="00BC31E0">
        <w:rPr>
          <w:rFonts w:asciiTheme="majorEastAsia" w:eastAsiaTheme="majorEastAsia" w:hAnsiTheme="majorEastAsia" w:hint="eastAsia"/>
          <w:b/>
        </w:rPr>
        <w:t>B18.2.2</w:t>
      </w:r>
      <w:r w:rsidRPr="00BC31E0">
        <w:rPr>
          <w:rFonts w:ascii="ＭＳ 明朝" w:hAnsi="ＭＳ 明朝" w:hint="eastAsia"/>
        </w:rPr>
        <w:t>ナットには，疲労評価又は破壊力学評価の要求はない。スタッドやボルトに用いるめねじには，ボルト荷重に対する疲労評価の要求はない。しかし，めねじを有する部材の一次＋二次応力については，めねじ深さの影響を考慮する。</w:t>
      </w:r>
    </w:p>
    <w:p w14:paraId="7367E978" w14:textId="77777777" w:rsidR="00647A32" w:rsidRPr="00BC31E0" w:rsidRDefault="00647A32" w:rsidP="00736130">
      <w:pPr>
        <w:pStyle w:val="a4"/>
        <w:numPr>
          <w:ilvl w:val="0"/>
          <w:numId w:val="282"/>
        </w:numPr>
        <w:ind w:leftChars="0" w:left="454" w:hanging="454"/>
      </w:pPr>
      <w:r w:rsidRPr="00BC31E0">
        <w:rPr>
          <w:rFonts w:asciiTheme="majorEastAsia" w:eastAsiaTheme="majorEastAsia" w:hAnsiTheme="majorEastAsia" w:hint="eastAsia"/>
          <w:b/>
        </w:rPr>
        <w:lastRenderedPageBreak/>
        <w:t>弾性解析</w:t>
      </w:r>
      <w:r w:rsidRPr="00BC31E0">
        <w:rPr>
          <w:rFonts w:hint="eastAsia"/>
        </w:rPr>
        <w:t xml:space="preserve">　</w:t>
      </w:r>
      <w:r w:rsidRPr="00BC31E0">
        <w:rPr>
          <w:rFonts w:hAnsi="ＭＳ 明朝" w:hint="eastAsia"/>
        </w:rPr>
        <w:t>弾性解析による強度評価は，次の</w:t>
      </w:r>
      <w:r w:rsidRPr="00BC31E0">
        <w:rPr>
          <w:rFonts w:asciiTheme="majorEastAsia" w:eastAsiaTheme="majorEastAsia" w:hAnsiTheme="majorEastAsia" w:hint="eastAsia"/>
          <w:b/>
        </w:rPr>
        <w:t>1)</w:t>
      </w:r>
      <w:r w:rsidRPr="00BC31E0">
        <w:rPr>
          <w:rFonts w:hAnsi="ＭＳ 明朝" w:hint="eastAsia"/>
        </w:rPr>
        <w:t>～</w:t>
      </w:r>
      <w:r w:rsidRPr="00BC31E0">
        <w:rPr>
          <w:rFonts w:asciiTheme="majorEastAsia" w:eastAsiaTheme="majorEastAsia" w:hAnsiTheme="majorEastAsia" w:hint="eastAsia"/>
          <w:b/>
        </w:rPr>
        <w:t>11</w:t>
      </w:r>
      <w:r w:rsidR="001C13CA" w:rsidRPr="00BC31E0">
        <w:rPr>
          <w:rFonts w:asciiTheme="majorEastAsia" w:eastAsiaTheme="majorEastAsia" w:hAnsiTheme="majorEastAsia" w:hint="eastAsia"/>
          <w:b/>
        </w:rPr>
        <w:t>)</w:t>
      </w:r>
      <w:r w:rsidRPr="00BC31E0">
        <w:rPr>
          <w:rFonts w:hAnsi="ＭＳ 明朝" w:hint="eastAsia"/>
        </w:rPr>
        <w:t>による</w:t>
      </w:r>
      <w:r w:rsidRPr="00BC31E0">
        <w:rPr>
          <w:rFonts w:asciiTheme="minorEastAsia" w:eastAsiaTheme="minorEastAsia" w:hAnsiTheme="minorEastAsia" w:hint="eastAsia"/>
        </w:rPr>
        <w:t>。</w:t>
      </w:r>
    </w:p>
    <w:p w14:paraId="7474A01E" w14:textId="77777777" w:rsidR="00B11C4E" w:rsidRPr="00BC31E0" w:rsidRDefault="00647A32" w:rsidP="00736130">
      <w:pPr>
        <w:pStyle w:val="a4"/>
        <w:numPr>
          <w:ilvl w:val="0"/>
          <w:numId w:val="276"/>
        </w:numPr>
        <w:ind w:leftChars="0" w:left="738" w:hanging="454"/>
      </w:pPr>
      <w:r w:rsidRPr="00BC31E0">
        <w:rPr>
          <w:rFonts w:hint="eastAsia"/>
        </w:rPr>
        <w:t>一次荷重に必要なボルト本数，断面積を決める。降伏強さは</w:t>
      </w:r>
      <w:r w:rsidRPr="00BC31E0">
        <w:rPr>
          <w:rFonts w:asciiTheme="majorEastAsia" w:eastAsiaTheme="majorEastAsia" w:hAnsiTheme="majorEastAsia" w:hint="eastAsia"/>
          <w:b/>
          <w:bCs/>
        </w:rPr>
        <w:t>5</w:t>
      </w:r>
      <w:r w:rsidRPr="00BC31E0">
        <w:rPr>
          <w:rFonts w:hint="eastAsia"/>
        </w:rPr>
        <w:t>のボルト材料の値を使用する。</w:t>
      </w:r>
    </w:p>
    <w:p w14:paraId="392FA519" w14:textId="77777777" w:rsidR="00647A32" w:rsidRPr="00BC31E0" w:rsidRDefault="00647A32" w:rsidP="00736130">
      <w:pPr>
        <w:pStyle w:val="a4"/>
        <w:numPr>
          <w:ilvl w:val="0"/>
          <w:numId w:val="276"/>
        </w:numPr>
        <w:spacing w:after="120"/>
        <w:ind w:leftChars="0" w:left="738" w:hanging="454"/>
      </w:pPr>
      <w:r w:rsidRPr="00BC31E0">
        <w:rPr>
          <w:rFonts w:asciiTheme="majorEastAsia" w:eastAsiaTheme="majorEastAsia" w:hAnsiTheme="majorEastAsia" w:hint="eastAsia"/>
          <w:b/>
        </w:rPr>
        <w:t>附属書J</w:t>
      </w:r>
      <w:r w:rsidRPr="00BC31E0">
        <w:rPr>
          <w:rFonts w:ascii="ＭＳ 明朝" w:hint="eastAsia"/>
        </w:rPr>
        <w:t>による平均一次相当応力は谷径で決定し，次式による。</w:t>
      </w:r>
    </w:p>
    <w:tbl>
      <w:tblPr>
        <w:tblStyle w:val="72"/>
        <w:tblW w:w="5244" w:type="dxa"/>
        <w:tblInd w:w="3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
        <w:gridCol w:w="4335"/>
      </w:tblGrid>
      <w:tr w:rsidR="00647A32" w:rsidRPr="00BC31E0" w14:paraId="78F5215E" w14:textId="77777777" w:rsidTr="00C326CE">
        <w:tc>
          <w:tcPr>
            <w:tcW w:w="0" w:type="auto"/>
            <w:tcMar>
              <w:left w:w="0" w:type="dxa"/>
              <w:right w:w="0" w:type="dxa"/>
            </w:tcMar>
            <w:vAlign w:val="center"/>
          </w:tcPr>
          <w:p w14:paraId="73DD6FD8" w14:textId="77777777" w:rsidR="00647A32" w:rsidRPr="00BC31E0" w:rsidRDefault="00647A32" w:rsidP="00531364">
            <w:pPr>
              <w:rPr>
                <w:i/>
              </w:rPr>
            </w:pPr>
            <m:oMathPara>
              <m:oMathParaPr>
                <m:jc m:val="left"/>
              </m:oMathParaPr>
              <m:oMath>
                <m:r>
                  <w:rPr>
                    <w:rFonts w:ascii="Cambria Math" w:hAnsi="Cambria Math"/>
                  </w:rPr>
                  <m:t>S=</m:t>
                </m:r>
                <m:f>
                  <m:fPr>
                    <m:ctrlPr>
                      <w:rPr>
                        <w:rFonts w:ascii="Cambria Math" w:hAnsi="Cambria Math"/>
                        <w:i/>
                      </w:rPr>
                    </m:ctrlPr>
                  </m:fPr>
                  <m:num>
                    <m:r>
                      <w:rPr>
                        <w:rFonts w:ascii="Cambria Math" w:hAnsi="Cambria Math"/>
                      </w:rPr>
                      <m:t>1</m:t>
                    </m:r>
                  </m:num>
                  <m:den>
                    <m:r>
                      <w:rPr>
                        <w:rFonts w:ascii="Cambria Math" w:hAnsi="Cambria Math"/>
                      </w:rPr>
                      <m:t>1.8</m:t>
                    </m:r>
                  </m:den>
                </m:f>
                <m:sSub>
                  <m:sSubPr>
                    <m:ctrlPr>
                      <w:rPr>
                        <w:rFonts w:ascii="Cambria Math" w:hAnsi="Cambria Math"/>
                        <w:i/>
                      </w:rPr>
                    </m:ctrlPr>
                  </m:sSubPr>
                  <m:e>
                    <m:r>
                      <w:rPr>
                        <w:rFonts w:ascii="Cambria Math" w:hAnsi="Cambria Math"/>
                      </w:rPr>
                      <m:t>S</m:t>
                    </m:r>
                  </m:e>
                  <m:sub>
                    <m:r>
                      <w:rPr>
                        <w:rFonts w:ascii="Cambria Math" w:hAnsi="Cambria Math"/>
                      </w:rPr>
                      <m:t>y</m:t>
                    </m:r>
                  </m:sub>
                </m:sSub>
              </m:oMath>
            </m:oMathPara>
          </w:p>
        </w:tc>
        <w:tc>
          <w:tcPr>
            <w:tcW w:w="4335" w:type="dxa"/>
            <w:tcMar>
              <w:left w:w="0" w:type="dxa"/>
              <w:right w:w="0" w:type="dxa"/>
            </w:tcMar>
            <w:vAlign w:val="center"/>
          </w:tcPr>
          <w:p w14:paraId="1118A16A" w14:textId="77777777" w:rsidR="00647A32" w:rsidRPr="00BC31E0" w:rsidRDefault="00647A32" w:rsidP="00531364">
            <w:pPr>
              <w:tabs>
                <w:tab w:val="left" w:leader="middleDot" w:pos="3485"/>
              </w:tabs>
            </w:pPr>
            <w:r w:rsidRPr="00BC31E0">
              <w:tab/>
            </w:r>
            <w:r w:rsidRPr="00BC31E0">
              <w:rPr>
                <w:rFonts w:hint="eastAsia"/>
              </w:rPr>
              <w:t>(6.6.1)</w:t>
            </w:r>
          </w:p>
        </w:tc>
      </w:tr>
    </w:tbl>
    <w:p w14:paraId="6F0E0663" w14:textId="77777777" w:rsidR="00647A32" w:rsidRPr="00BC31E0" w:rsidRDefault="00647A32" w:rsidP="00736130">
      <w:pPr>
        <w:pStyle w:val="a4"/>
        <w:numPr>
          <w:ilvl w:val="0"/>
          <w:numId w:val="277"/>
        </w:numPr>
        <w:spacing w:before="120"/>
        <w:ind w:leftChars="0" w:left="738" w:hanging="454"/>
      </w:pPr>
      <w:r w:rsidRPr="00BC31E0">
        <w:rPr>
          <w:rFonts w:hint="eastAsia"/>
        </w:rPr>
        <w:t>ただし，ねじ底径の</w:t>
      </w:r>
      <w:r w:rsidRPr="00BC31E0">
        <w:t>0.9</w:t>
      </w:r>
      <w:r w:rsidRPr="00BC31E0">
        <w:rPr>
          <w:rFonts w:hint="eastAsia"/>
        </w:rPr>
        <w:t>倍未満のくびれ軸部を有するボルトについては，実軸径を使用する条件とし，次式による。</w:t>
      </w:r>
    </w:p>
    <w:tbl>
      <w:tblPr>
        <w:tblStyle w:val="72"/>
        <w:tblW w:w="5244" w:type="dxa"/>
        <w:tblInd w:w="3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
        <w:gridCol w:w="4335"/>
      </w:tblGrid>
      <w:tr w:rsidR="00647A32" w:rsidRPr="00BC31E0" w14:paraId="4DBD6CEE" w14:textId="77777777" w:rsidTr="00C326CE">
        <w:tc>
          <w:tcPr>
            <w:tcW w:w="0" w:type="auto"/>
            <w:tcMar>
              <w:left w:w="0" w:type="dxa"/>
              <w:right w:w="0" w:type="dxa"/>
            </w:tcMar>
            <w:vAlign w:val="center"/>
          </w:tcPr>
          <w:p w14:paraId="0817EBE5" w14:textId="77777777" w:rsidR="00647A32" w:rsidRPr="00BC31E0" w:rsidRDefault="00647A32" w:rsidP="00531364">
            <w:pPr>
              <w:rPr>
                <w:i/>
              </w:rPr>
            </w:pPr>
            <m:oMathPara>
              <m:oMathParaPr>
                <m:jc m:val="left"/>
              </m:oMathParaPr>
              <m:oMath>
                <m:r>
                  <w:rPr>
                    <w:rFonts w:ascii="Cambria Math" w:hAnsi="Cambria Math"/>
                  </w:rPr>
                  <m:t>S=</m:t>
                </m:r>
                <m:f>
                  <m:fPr>
                    <m:ctrlPr>
                      <w:rPr>
                        <w:rFonts w:ascii="Cambria Math" w:hAnsi="Cambria Math"/>
                        <w:i/>
                      </w:rPr>
                    </m:ctrlPr>
                  </m:fPr>
                  <m:num>
                    <m:r>
                      <w:rPr>
                        <w:rFonts w:ascii="Cambria Math" w:hAnsi="Cambria Math"/>
                      </w:rPr>
                      <m:t>1</m:t>
                    </m:r>
                  </m:num>
                  <m:den>
                    <m:r>
                      <w:rPr>
                        <w:rFonts w:ascii="Cambria Math" w:hAnsi="Cambria Math"/>
                      </w:rPr>
                      <m:t>1.5</m:t>
                    </m:r>
                  </m:den>
                </m:f>
                <m:sSub>
                  <m:sSubPr>
                    <m:ctrlPr>
                      <w:rPr>
                        <w:rFonts w:ascii="Cambria Math" w:hAnsi="Cambria Math"/>
                        <w:i/>
                      </w:rPr>
                    </m:ctrlPr>
                  </m:sSubPr>
                  <m:e>
                    <m:r>
                      <w:rPr>
                        <w:rFonts w:ascii="Cambria Math" w:hAnsi="Cambria Math"/>
                      </w:rPr>
                      <m:t>S</m:t>
                    </m:r>
                  </m:e>
                  <m:sub>
                    <m:r>
                      <w:rPr>
                        <w:rFonts w:ascii="Cambria Math" w:hAnsi="Cambria Math"/>
                      </w:rPr>
                      <m:t>y</m:t>
                    </m:r>
                  </m:sub>
                </m:sSub>
              </m:oMath>
            </m:oMathPara>
          </w:p>
        </w:tc>
        <w:tc>
          <w:tcPr>
            <w:tcW w:w="4335" w:type="dxa"/>
            <w:tcMar>
              <w:left w:w="0" w:type="dxa"/>
              <w:right w:w="0" w:type="dxa"/>
            </w:tcMar>
            <w:vAlign w:val="center"/>
          </w:tcPr>
          <w:p w14:paraId="18C16146" w14:textId="77777777" w:rsidR="00647A32" w:rsidRPr="00BC31E0" w:rsidRDefault="00647A32" w:rsidP="00531364">
            <w:pPr>
              <w:tabs>
                <w:tab w:val="left" w:leader="middleDot" w:pos="3485"/>
              </w:tabs>
            </w:pPr>
            <w:r w:rsidRPr="00BC31E0">
              <w:tab/>
            </w:r>
            <w:r w:rsidRPr="00BC31E0">
              <w:rPr>
                <w:rFonts w:hint="eastAsia"/>
              </w:rPr>
              <w:t>(6.6.2)</w:t>
            </w:r>
          </w:p>
        </w:tc>
      </w:tr>
    </w:tbl>
    <w:p w14:paraId="7708D0A2" w14:textId="77777777" w:rsidR="009904A0" w:rsidRPr="00BC31E0" w:rsidRDefault="00647A32" w:rsidP="00736130">
      <w:pPr>
        <w:pStyle w:val="a4"/>
        <w:numPr>
          <w:ilvl w:val="0"/>
          <w:numId w:val="278"/>
        </w:numPr>
        <w:spacing w:before="120"/>
        <w:ind w:leftChars="0" w:left="738" w:hanging="454"/>
      </w:pPr>
      <w:r w:rsidRPr="00BC31E0">
        <w:rPr>
          <w:rFonts w:hint="eastAsia"/>
        </w:rPr>
        <w:t>ボルトの一次＋二次膜相当応力は，</w:t>
      </w:r>
      <m:oMath>
        <m:sSub>
          <m:sSubPr>
            <m:ctrlPr>
              <w:rPr>
                <w:rFonts w:ascii="Cambria Math" w:hAnsi="Cambria Math"/>
                <w:i/>
              </w:rPr>
            </m:ctrlPr>
          </m:sSubPr>
          <m:e>
            <m:r>
              <w:rPr>
                <w:rFonts w:ascii="Cambria Math" w:hAnsi="Cambria Math"/>
              </w:rPr>
              <m:t>0.75 S</m:t>
            </m:r>
          </m:e>
          <m:sub>
            <m:r>
              <w:rPr>
                <w:rFonts w:ascii="Cambria Math" w:hAnsi="Cambria Math"/>
              </w:rPr>
              <m:t>y</m:t>
            </m:r>
          </m:sub>
        </m:sSub>
        <m:r>
          <w:rPr>
            <w:rFonts w:ascii="Cambria Math" w:hAnsi="Cambria Math" w:hint="eastAsia"/>
          </w:rPr>
          <m:t xml:space="preserve"> </m:t>
        </m:r>
      </m:oMath>
      <w:r w:rsidRPr="00BC31E0">
        <w:rPr>
          <w:rFonts w:hint="eastAsia"/>
        </w:rPr>
        <w:t>を超えてはならない。一次＋二次膜相当応力＋二次曲げ相当応力は設計荷重と予荷重の両方に対して</w:t>
      </w:r>
      <m:oMath>
        <m:r>
          <m:rPr>
            <m:sty m:val="p"/>
          </m:rP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y</m:t>
            </m:r>
          </m:sub>
        </m:sSub>
        <m:r>
          <w:rPr>
            <w:rFonts w:ascii="Cambria Math" w:hAnsi="Cambria Math"/>
          </w:rPr>
          <m:t xml:space="preserve">  </m:t>
        </m:r>
      </m:oMath>
      <w:r w:rsidRPr="00BC31E0">
        <w:rPr>
          <w:rFonts w:hint="eastAsia"/>
        </w:rPr>
        <w:t>以下とする。応力集中の影響は上記の解析には考慮しなくてよい。</w:t>
      </w:r>
    </w:p>
    <w:p w14:paraId="2838BF74" w14:textId="77777777" w:rsidR="00A129FD" w:rsidRPr="00BC31E0" w:rsidRDefault="00647A32" w:rsidP="00736130">
      <w:pPr>
        <w:pStyle w:val="a4"/>
        <w:numPr>
          <w:ilvl w:val="0"/>
          <w:numId w:val="278"/>
        </w:numPr>
        <w:ind w:leftChars="0" w:left="738" w:hanging="454"/>
      </w:pPr>
      <w:r w:rsidRPr="00BC31E0">
        <w:rPr>
          <w:rFonts w:asciiTheme="majorEastAsia" w:eastAsiaTheme="majorEastAsia" w:hAnsiTheme="majorEastAsia" w:hint="eastAsia"/>
          <w:b/>
        </w:rPr>
        <w:t>5</w:t>
      </w:r>
      <w:r w:rsidR="005919BA" w:rsidRPr="00BC31E0">
        <w:rPr>
          <w:rFonts w:ascii="ＭＳ 明朝" w:hint="eastAsia"/>
        </w:rPr>
        <w:t>の材料仕様を満足する規格ボルト，ナットの組合せをフランジ</w:t>
      </w:r>
      <w:r w:rsidR="005919BA" w:rsidRPr="00BC31E0">
        <w:rPr>
          <w:rFonts w:hint="eastAsia"/>
        </w:rPr>
        <w:t>など</w:t>
      </w:r>
      <w:r w:rsidRPr="00BC31E0">
        <w:rPr>
          <w:rFonts w:ascii="ＭＳ 明朝" w:hint="eastAsia"/>
        </w:rPr>
        <w:t>の温度－圧力レーティングに従って使用し，両者の材料が同質の場合は，ねじ部のせん断及び支圧の確認は必要ない。</w:t>
      </w:r>
    </w:p>
    <w:p w14:paraId="24158E7F" w14:textId="77777777" w:rsidR="00A129FD" w:rsidRPr="00BC31E0" w:rsidRDefault="00647A32" w:rsidP="00736130">
      <w:pPr>
        <w:pStyle w:val="a4"/>
        <w:numPr>
          <w:ilvl w:val="0"/>
          <w:numId w:val="278"/>
        </w:numPr>
        <w:ind w:leftChars="0" w:left="738" w:hanging="454"/>
      </w:pPr>
      <w:r w:rsidRPr="00BC31E0">
        <w:rPr>
          <w:rFonts w:ascii="ＭＳ 明朝" w:hint="eastAsia"/>
        </w:rPr>
        <w:t>ねじ部の平均せん断応力(</w:t>
      </w:r>
      <w:r w:rsidR="000662B3" w:rsidRPr="00BC31E0">
        <w:rPr>
          <w:rFonts w:ascii="Cambria Math" w:hAnsi="Cambria Math"/>
        </w:rPr>
        <w:t>＝</w:t>
      </w:r>
      <w:r w:rsidRPr="00BC31E0">
        <w:rPr>
          <w:rFonts w:ascii="ＭＳ 明朝" w:hint="eastAsia"/>
        </w:rPr>
        <w:t>設計荷重</w:t>
      </w:r>
      <w:r w:rsidR="000662B3" w:rsidRPr="00BC31E0">
        <w:rPr>
          <w:rFonts w:ascii="Cambria Math" w:hAnsi="Cambria Math"/>
        </w:rPr>
        <w:t>／</w:t>
      </w:r>
      <w:r w:rsidRPr="00BC31E0">
        <w:rPr>
          <w:rFonts w:ascii="ＭＳ 明朝" w:hint="eastAsia"/>
        </w:rPr>
        <w:t>有効ねじせん断断面積)は，設計温度で</w:t>
      </w:r>
      <m:oMath>
        <m:r>
          <m:rPr>
            <m:sty m:val="p"/>
          </m:rPr>
          <w:rPr>
            <w:rFonts w:ascii="Cambria Math" w:hAnsi="Cambria Math"/>
          </w:rPr>
          <m:t xml:space="preserve"> </m:t>
        </m:r>
        <m:sSub>
          <m:sSubPr>
            <m:ctrlPr>
              <w:rPr>
                <w:rFonts w:ascii="Cambria Math" w:hAnsi="Cambria Math"/>
                <w:i/>
              </w:rPr>
            </m:ctrlPr>
          </m:sSubPr>
          <m:e>
            <m:r>
              <w:rPr>
                <w:rFonts w:ascii="Cambria Math" w:hAnsi="Cambria Math"/>
              </w:rPr>
              <m:t>0.25 S</m:t>
            </m:r>
          </m:e>
          <m:sub>
            <m:r>
              <w:rPr>
                <w:rFonts w:ascii="Cambria Math" w:hAnsi="Cambria Math"/>
              </w:rPr>
              <m:t>y</m:t>
            </m:r>
          </m:sub>
        </m:sSub>
        <m:r>
          <w:rPr>
            <w:rFonts w:ascii="Cambria Math" w:hAnsi="Cambria Math"/>
          </w:rPr>
          <m:t xml:space="preserve">  </m:t>
        </m:r>
      </m:oMath>
      <w:r w:rsidRPr="00BC31E0">
        <w:rPr>
          <w:rFonts w:ascii="ＭＳ 明朝" w:hint="eastAsia"/>
        </w:rPr>
        <w:t>以下とする。ねじ荷重分布を考慮した計算では，ねじ部のせん断応力は</w:t>
      </w:r>
      <w:r w:rsidR="004E3C34" w:rsidRPr="00BC31E0">
        <w:rPr>
          <w:rFonts w:ascii="ＭＳ 明朝" w:hint="eastAsia"/>
        </w:rPr>
        <w:t>，</w:t>
      </w:r>
      <m:oMath>
        <m:sSub>
          <m:sSubPr>
            <m:ctrlPr>
              <w:rPr>
                <w:rFonts w:ascii="Cambria Math" w:hAnsi="Cambria Math"/>
                <w:i/>
              </w:rPr>
            </m:ctrlPr>
          </m:sSubPr>
          <m:e>
            <m:r>
              <w:rPr>
                <w:rFonts w:ascii="Cambria Math" w:hAnsi="Cambria Math"/>
              </w:rPr>
              <m:t>0.4 S</m:t>
            </m:r>
          </m:e>
          <m:sub>
            <m:r>
              <w:rPr>
                <w:rFonts w:ascii="Cambria Math" w:hAnsi="Cambria Math"/>
              </w:rPr>
              <m:t>y</m:t>
            </m:r>
          </m:sub>
        </m:sSub>
        <m:r>
          <m:rPr>
            <m:sty m:val="p"/>
          </m:rPr>
          <w:rPr>
            <w:rFonts w:ascii="Cambria Math" w:hAnsi="Cambria Math"/>
          </w:rPr>
          <m:t xml:space="preserve"> </m:t>
        </m:r>
      </m:oMath>
      <w:r w:rsidRPr="00BC31E0">
        <w:rPr>
          <w:rFonts w:ascii="ＭＳ 明朝" w:hint="eastAsia"/>
        </w:rPr>
        <w:t>を超えない。</w:t>
      </w:r>
    </w:p>
    <w:p w14:paraId="6A08714E" w14:textId="77777777" w:rsidR="00A129FD" w:rsidRPr="00BC31E0" w:rsidRDefault="00647A32" w:rsidP="00736130">
      <w:pPr>
        <w:pStyle w:val="a4"/>
        <w:numPr>
          <w:ilvl w:val="0"/>
          <w:numId w:val="278"/>
        </w:numPr>
        <w:ind w:leftChars="0" w:left="738" w:hanging="454"/>
      </w:pPr>
      <w:r w:rsidRPr="00BC31E0">
        <w:rPr>
          <w:rFonts w:ascii="ＭＳ 明朝" w:hint="eastAsia"/>
        </w:rPr>
        <w:t>最大設計荷重に対するねじ部の支圧応力は，設計温度における</w:t>
      </w:r>
      <m:oMath>
        <m:sSub>
          <m:sSubPr>
            <m:ctrlPr>
              <w:rPr>
                <w:rFonts w:ascii="Cambria Math" w:hAnsi="Cambria Math"/>
                <w:i/>
              </w:rPr>
            </m:ctrlPr>
          </m:sSubPr>
          <m:e>
            <m:r>
              <w:rPr>
                <w:rFonts w:ascii="Cambria Math" w:hAnsi="Cambria Math"/>
              </w:rPr>
              <m:t xml:space="preserve"> S</m:t>
            </m:r>
          </m:e>
          <m:sub>
            <m:r>
              <w:rPr>
                <w:rFonts w:ascii="Cambria Math" w:hAnsi="Cambria Math"/>
              </w:rPr>
              <m:t>y</m:t>
            </m:r>
          </m:sub>
        </m:sSub>
        <m:r>
          <w:rPr>
            <w:rFonts w:ascii="Cambria Math" w:hAnsi="Cambria Math"/>
          </w:rPr>
          <m:t xml:space="preserve"> </m:t>
        </m:r>
      </m:oMath>
      <w:r w:rsidRPr="00BC31E0">
        <w:rPr>
          <w:rFonts w:ascii="ＭＳ 明朝" w:hint="eastAsia"/>
        </w:rPr>
        <w:t>の</w:t>
      </w:r>
      <w:r w:rsidRPr="00BC31E0">
        <w:t>75</w:t>
      </w:r>
      <w:r w:rsidR="00C326CE" w:rsidRPr="00BC31E0">
        <w:rPr>
          <w:rFonts w:hint="eastAsia"/>
        </w:rPr>
        <w:t>%</w:t>
      </w:r>
      <w:r w:rsidRPr="00BC31E0">
        <w:rPr>
          <w:rFonts w:ascii="ＭＳ 明朝" w:hint="eastAsia"/>
        </w:rPr>
        <w:t>以下とする。</w:t>
      </w:r>
    </w:p>
    <w:p w14:paraId="60EFAF00" w14:textId="77777777" w:rsidR="00A129FD" w:rsidRPr="00BC31E0" w:rsidRDefault="00647A32" w:rsidP="00736130">
      <w:pPr>
        <w:pStyle w:val="a4"/>
        <w:numPr>
          <w:ilvl w:val="0"/>
          <w:numId w:val="278"/>
        </w:numPr>
        <w:ind w:leftChars="0" w:left="738" w:hanging="454"/>
      </w:pPr>
      <w:r w:rsidRPr="00BC31E0">
        <w:rPr>
          <w:rFonts w:ascii="ＭＳ 明朝" w:hint="eastAsia"/>
        </w:rPr>
        <w:t>運転圧力及び熱荷重の組合せによるねじ部の半径方向の相対移動量は，最小ひっかかりの高さの</w:t>
      </w:r>
      <w:r w:rsidRPr="00BC31E0">
        <w:t>10</w:t>
      </w:r>
      <w:r w:rsidR="00C326CE" w:rsidRPr="00BC31E0">
        <w:rPr>
          <w:rFonts w:hint="eastAsia"/>
        </w:rPr>
        <w:t>%</w:t>
      </w:r>
      <w:r w:rsidRPr="00BC31E0">
        <w:rPr>
          <w:rFonts w:ascii="ＭＳ 明朝" w:hint="eastAsia"/>
        </w:rPr>
        <w:t>以下とする。</w:t>
      </w:r>
    </w:p>
    <w:p w14:paraId="661981E4" w14:textId="77777777" w:rsidR="00A129FD" w:rsidRPr="00BC31E0" w:rsidRDefault="00647A32" w:rsidP="00736130">
      <w:pPr>
        <w:pStyle w:val="a4"/>
        <w:numPr>
          <w:ilvl w:val="0"/>
          <w:numId w:val="278"/>
        </w:numPr>
        <w:ind w:leftChars="0" w:left="738" w:hanging="454"/>
      </w:pPr>
      <w:r w:rsidRPr="00BC31E0">
        <w:rPr>
          <w:rFonts w:ascii="ＭＳ 明朝" w:hint="eastAsia"/>
          <w:szCs w:val="22"/>
        </w:rPr>
        <w:t>ねじ込み長さは，図面公差の下限値で，不完全ねじ部を除いた最小値とする。</w:t>
      </w:r>
    </w:p>
    <w:p w14:paraId="7B99016F" w14:textId="77777777" w:rsidR="00A129FD" w:rsidRPr="00BC31E0" w:rsidRDefault="00647A32" w:rsidP="00736130">
      <w:pPr>
        <w:pStyle w:val="a4"/>
        <w:numPr>
          <w:ilvl w:val="0"/>
          <w:numId w:val="278"/>
        </w:numPr>
        <w:ind w:leftChars="0" w:left="738" w:hanging="454"/>
      </w:pPr>
      <w:r w:rsidRPr="00BC31E0">
        <w:rPr>
          <w:rFonts w:ascii="ＭＳ 明朝" w:hint="eastAsia"/>
        </w:rPr>
        <w:t>タップ穴のねじに荷重のかかる継手は，次の</w:t>
      </w:r>
      <w:r w:rsidRPr="00BC31E0">
        <w:rPr>
          <w:rFonts w:asciiTheme="majorEastAsia" w:eastAsiaTheme="majorEastAsia" w:hAnsiTheme="majorEastAsia" w:hint="eastAsia"/>
          <w:b/>
        </w:rPr>
        <w:t>11)</w:t>
      </w:r>
      <w:r w:rsidRPr="00BC31E0">
        <w:rPr>
          <w:rFonts w:ascii="ＭＳ 明朝" w:hint="eastAsia"/>
        </w:rPr>
        <w:t>の要求に従う。ねじ継手を取付ける容器又は溶接肉盛り面は，機械加工で平滑にする。</w:t>
      </w:r>
    </w:p>
    <w:p w14:paraId="37D8F7F6" w14:textId="77777777" w:rsidR="00647A32" w:rsidRPr="00BC31E0" w:rsidRDefault="00647A32" w:rsidP="00736130">
      <w:pPr>
        <w:pStyle w:val="a4"/>
        <w:numPr>
          <w:ilvl w:val="0"/>
          <w:numId w:val="278"/>
        </w:numPr>
        <w:spacing w:after="120"/>
        <w:ind w:leftChars="0" w:left="738" w:hanging="454"/>
      </w:pPr>
      <w:r w:rsidRPr="00BC31E0">
        <w:rPr>
          <w:rFonts w:ascii="ＭＳ 明朝" w:hint="eastAsia"/>
        </w:rPr>
        <w:t>タップ穴を設ける場合は穴の全長にわたってねじを切る。植込みボルトのねじ込み深さは，</w:t>
      </w:r>
      <m:oMath>
        <m:sSub>
          <m:sSubPr>
            <m:ctrlPr>
              <w:rPr>
                <w:rFonts w:ascii="Cambria Math" w:hAnsi="Cambria Math"/>
                <w:i/>
              </w:rPr>
            </m:ctrlPr>
          </m:sSubPr>
          <m:e>
            <m:r>
              <w:rPr>
                <w:rFonts w:ascii="Cambria Math" w:hAnsi="Cambria Math"/>
              </w:rPr>
              <m:t>d</m:t>
            </m:r>
          </m:e>
          <m:sub>
            <m:r>
              <w:rPr>
                <w:rFonts w:ascii="Cambria Math" w:hAnsi="Cambria Math"/>
              </w:rPr>
              <m:t>S</m:t>
            </m:r>
          </m:sub>
        </m:sSub>
        <m:r>
          <w:rPr>
            <w:rFonts w:ascii="Cambria Math" w:hAnsi="Cambria Math"/>
          </w:rPr>
          <m:t xml:space="preserve"> </m:t>
        </m:r>
      </m:oMath>
      <w:r w:rsidRPr="00BC31E0">
        <w:rPr>
          <w:rFonts w:ascii="ＭＳ 明朝" w:hint="eastAsia"/>
        </w:rPr>
        <w:t>又は次式のいずれか大きい方以上とする。</w:t>
      </w:r>
    </w:p>
    <w:tbl>
      <w:tblPr>
        <w:tblStyle w:val="72"/>
        <w:tblW w:w="7229"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2"/>
        <w:gridCol w:w="1837"/>
      </w:tblGrid>
      <w:tr w:rsidR="00647A32" w:rsidRPr="00BC31E0" w14:paraId="74C1E089" w14:textId="77777777" w:rsidTr="00647A32">
        <w:tc>
          <w:tcPr>
            <w:tcW w:w="0" w:type="auto"/>
            <w:tcMar>
              <w:left w:w="0" w:type="dxa"/>
              <w:right w:w="0" w:type="dxa"/>
            </w:tcMar>
            <w:vAlign w:val="center"/>
          </w:tcPr>
          <w:p w14:paraId="19AD5CEE" w14:textId="77777777" w:rsidR="00647A32" w:rsidRPr="00BC31E0" w:rsidRDefault="00647A32" w:rsidP="00531364">
            <m:oMathPara>
              <m:oMathParaPr>
                <m:jc m:val="left"/>
              </m:oMathParaPr>
              <m:oMath>
                <m:r>
                  <m:rPr>
                    <m:sty m:val="p"/>
                  </m:rPr>
                  <w:rPr>
                    <w:rFonts w:ascii="Cambria Math" w:hAnsi="Cambria Math"/>
                  </w:rPr>
                  <m:t xml:space="preserve">0.75 </m:t>
                </m:r>
                <m:sSub>
                  <m:sSubPr>
                    <m:ctrlPr>
                      <w:rPr>
                        <w:rFonts w:ascii="Cambria Math" w:hAnsi="Cambria Math"/>
                        <w:i/>
                      </w:rPr>
                    </m:ctrlPr>
                  </m:sSubPr>
                  <m:e>
                    <m:r>
                      <w:rPr>
                        <w:rFonts w:ascii="Cambria Math" w:hAnsi="Cambria Math"/>
                      </w:rPr>
                      <m:t>d</m:t>
                    </m:r>
                  </m:e>
                  <m:sub>
                    <m:r>
                      <w:rPr>
                        <w:rFonts w:ascii="Cambria Math" w:hAnsi="Cambria Math"/>
                      </w:rPr>
                      <m:t>s</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hint="eastAsia"/>
                      </w:rPr>
                      <m:t>植込みボルト材の設計温度における</m:t>
                    </m:r>
                    <m:sSub>
                      <m:sSubPr>
                        <m:ctrlPr>
                          <w:rPr>
                            <w:rFonts w:ascii="Cambria Math" w:hAnsi="Cambria Math"/>
                            <w:i/>
                          </w:rPr>
                        </m:ctrlPr>
                      </m:sSubPr>
                      <m:e>
                        <m:r>
                          <w:rPr>
                            <w:rFonts w:ascii="Cambria Math" w:hAnsi="Cambria Math"/>
                          </w:rPr>
                          <m:t xml:space="preserve"> S</m:t>
                        </m:r>
                      </m:e>
                      <m:sub>
                        <m:r>
                          <w:rPr>
                            <w:rFonts w:ascii="Cambria Math" w:hAnsi="Cambria Math"/>
                          </w:rPr>
                          <m:t>y</m:t>
                        </m:r>
                      </m:sub>
                    </m:sSub>
                  </m:num>
                  <m:den>
                    <m:r>
                      <m:rPr>
                        <m:sty m:val="p"/>
                      </m:rPr>
                      <w:rPr>
                        <w:rFonts w:ascii="Cambria Math" w:hAnsi="Cambria Math" w:hint="eastAsia"/>
                      </w:rPr>
                      <m:t>タップ穴の付いている母材の設計温度における</m:t>
                    </m:r>
                    <m:sSub>
                      <m:sSubPr>
                        <m:ctrlPr>
                          <w:rPr>
                            <w:rFonts w:ascii="Cambria Math" w:hAnsi="Cambria Math"/>
                            <w:i/>
                          </w:rPr>
                        </m:ctrlPr>
                      </m:sSubPr>
                      <m:e>
                        <m:r>
                          <w:rPr>
                            <w:rFonts w:ascii="Cambria Math" w:hAnsi="Cambria Math"/>
                          </w:rPr>
                          <m:t xml:space="preserve"> S</m:t>
                        </m:r>
                      </m:e>
                      <m:sub>
                        <m:r>
                          <w:rPr>
                            <w:rFonts w:ascii="Cambria Math" w:hAnsi="Cambria Math"/>
                          </w:rPr>
                          <m:t>y</m:t>
                        </m:r>
                      </m:sub>
                    </m:sSub>
                  </m:den>
                </m:f>
              </m:oMath>
            </m:oMathPara>
          </w:p>
        </w:tc>
        <w:tc>
          <w:tcPr>
            <w:tcW w:w="1837" w:type="dxa"/>
            <w:tcMar>
              <w:left w:w="0" w:type="dxa"/>
              <w:right w:w="0" w:type="dxa"/>
            </w:tcMar>
            <w:vAlign w:val="center"/>
          </w:tcPr>
          <w:p w14:paraId="2AD2D1A8" w14:textId="77777777" w:rsidR="00647A32" w:rsidRPr="00BC31E0" w:rsidRDefault="00647A32" w:rsidP="00531364">
            <w:pPr>
              <w:tabs>
                <w:tab w:val="left" w:leader="middleDot" w:pos="987"/>
              </w:tabs>
            </w:pPr>
            <w:r w:rsidRPr="00BC31E0">
              <w:tab/>
            </w:r>
            <w:r w:rsidRPr="00BC31E0">
              <w:rPr>
                <w:rFonts w:hint="eastAsia"/>
              </w:rPr>
              <w:t>(6.6.3)</w:t>
            </w:r>
          </w:p>
        </w:tc>
      </w:tr>
    </w:tbl>
    <w:p w14:paraId="4CCFE50D" w14:textId="77777777" w:rsidR="00647A32" w:rsidRPr="00BC31E0" w:rsidRDefault="00647A32" w:rsidP="00531364">
      <w:pPr>
        <w:spacing w:before="120"/>
        <w:ind w:left="737"/>
      </w:pPr>
      <w:r w:rsidRPr="00BC31E0">
        <w:rPr>
          <w:rFonts w:hint="eastAsia"/>
        </w:rPr>
        <w:t>ここに，</w:t>
      </w:r>
      <m:oMath>
        <m:sSub>
          <m:sSubPr>
            <m:ctrlPr>
              <w:rPr>
                <w:rFonts w:ascii="Cambria Math" w:hAnsi="Cambria Math"/>
                <w:i/>
              </w:rPr>
            </m:ctrlPr>
          </m:sSubPr>
          <m:e>
            <m:r>
              <w:rPr>
                <w:rFonts w:ascii="Cambria Math" w:hAnsi="Cambria Math"/>
              </w:rPr>
              <m:t>d</m:t>
            </m:r>
          </m:e>
          <m:sub>
            <m:r>
              <w:rPr>
                <w:rFonts w:ascii="Cambria Math" w:hAnsi="Cambria Math"/>
              </w:rPr>
              <m:t>S</m:t>
            </m:r>
          </m:sub>
        </m:sSub>
        <m:r>
          <w:rPr>
            <w:rFonts w:ascii="Cambria Math" w:hAnsi="Cambria Math"/>
          </w:rPr>
          <m:t xml:space="preserve"> </m:t>
        </m:r>
      </m:oMath>
      <w:r w:rsidRPr="00BC31E0">
        <w:rPr>
          <w:rFonts w:hint="eastAsia"/>
        </w:rPr>
        <w:t>は植え込みボルトの谷径</w:t>
      </w:r>
      <w:r w:rsidRPr="00BC31E0">
        <w:rPr>
          <w:rFonts w:hint="eastAsia"/>
        </w:rPr>
        <w:t>(</w:t>
      </w:r>
      <w:r w:rsidRPr="00BC31E0">
        <w:t>mm</w:t>
      </w:r>
      <w:r w:rsidRPr="00BC31E0">
        <w:rPr>
          <w:rFonts w:hint="eastAsia"/>
        </w:rPr>
        <w:t>)</w:t>
      </w:r>
    </w:p>
    <w:p w14:paraId="5E92F22C" w14:textId="77777777" w:rsidR="00647A32" w:rsidRPr="00BC31E0" w:rsidRDefault="00647A32" w:rsidP="00736130">
      <w:pPr>
        <w:pStyle w:val="a4"/>
        <w:numPr>
          <w:ilvl w:val="0"/>
          <w:numId w:val="279"/>
        </w:numPr>
        <w:spacing w:before="120"/>
        <w:ind w:leftChars="0" w:left="454" w:hanging="454"/>
      </w:pPr>
      <w:r w:rsidRPr="00BC31E0">
        <w:rPr>
          <w:rFonts w:asciiTheme="majorEastAsia" w:eastAsiaTheme="majorEastAsia" w:hAnsiTheme="majorEastAsia" w:hint="eastAsia"/>
          <w:b/>
        </w:rPr>
        <w:t>植込みボルトのねじ加工，機械加工</w:t>
      </w:r>
      <w:r w:rsidRPr="00BC31E0">
        <w:rPr>
          <w:rFonts w:hint="eastAsia"/>
        </w:rPr>
        <w:t xml:space="preserve">　植込みボルトは全長にねじを設けるか，又はねじのない部分は谷径まで機械加工する。ねじ部長さは，</w:t>
      </w:r>
      <w:r w:rsidRPr="00BC31E0">
        <w:rPr>
          <w:rFonts w:asciiTheme="majorEastAsia" w:eastAsiaTheme="majorEastAsia" w:hAnsiTheme="majorEastAsia" w:hint="eastAsia"/>
          <w:b/>
          <w:bCs/>
        </w:rPr>
        <w:t>b)</w:t>
      </w:r>
      <w:r w:rsidR="008B36C8" w:rsidRPr="00BC31E0">
        <w:rPr>
          <w:rFonts w:hint="eastAsia"/>
        </w:rPr>
        <w:t>～</w:t>
      </w:r>
      <w:r w:rsidRPr="00BC31E0">
        <w:rPr>
          <w:rFonts w:asciiTheme="majorEastAsia" w:eastAsiaTheme="majorEastAsia" w:hAnsiTheme="majorEastAsia" w:hint="eastAsia"/>
          <w:b/>
          <w:bCs/>
        </w:rPr>
        <w:t>d)</w:t>
      </w:r>
      <w:r w:rsidRPr="00BC31E0">
        <w:rPr>
          <w:rFonts w:hint="eastAsia"/>
        </w:rPr>
        <w:t>の解析によって証明されていない限り，呼び径の</w:t>
      </w:r>
      <w:r w:rsidRPr="00BC31E0">
        <w:t>1.5</w:t>
      </w:r>
      <w:r w:rsidRPr="00BC31E0">
        <w:rPr>
          <w:rFonts w:hint="eastAsia"/>
        </w:rPr>
        <w:t>倍以上とする。</w:t>
      </w:r>
      <w:r w:rsidRPr="00BC31E0">
        <w:t>V</w:t>
      </w:r>
      <w:r w:rsidRPr="00BC31E0">
        <w:rPr>
          <w:rFonts w:hint="eastAsia"/>
        </w:rPr>
        <w:t>形状のねじは，ねじの谷の丸み</w:t>
      </w:r>
      <m:oMath>
        <m:r>
          <m:rPr>
            <m:sty m:val="p"/>
          </m:rPr>
          <w:rPr>
            <w:rFonts w:ascii="Cambria Math" w:hAnsi="Cambria Math"/>
          </w:rPr>
          <m:t xml:space="preserve"> </m:t>
        </m:r>
        <m:r>
          <w:rPr>
            <w:rFonts w:ascii="Cambria Math" w:hAnsi="Cambria Math"/>
          </w:rPr>
          <m:t xml:space="preserve">r </m:t>
        </m:r>
      </m:oMath>
      <w:r w:rsidRPr="00BC31E0">
        <w:rPr>
          <w:rFonts w:hint="eastAsia"/>
        </w:rPr>
        <w:t>がピッチの</w:t>
      </w:r>
      <w:r w:rsidRPr="00BC31E0">
        <w:t>0.032</w:t>
      </w:r>
      <w:r w:rsidRPr="00BC31E0">
        <w:rPr>
          <w:rFonts w:hint="eastAsia"/>
        </w:rPr>
        <w:t>倍以上で，最低</w:t>
      </w:r>
      <w:r w:rsidRPr="00BC31E0">
        <w:t>0.1mm</w:t>
      </w:r>
      <w:r w:rsidRPr="00BC31E0">
        <w:rPr>
          <w:rFonts w:hint="eastAsia"/>
        </w:rPr>
        <w:t>以上とする。長さがボルト径の</w:t>
      </w:r>
      <w:r w:rsidRPr="00BC31E0">
        <w:t>8</w:t>
      </w:r>
      <w:r w:rsidRPr="00BC31E0">
        <w:rPr>
          <w:rFonts w:hint="eastAsia"/>
        </w:rPr>
        <w:t>倍以上の植込みボルトは，次の</w:t>
      </w:r>
      <w:r w:rsidRPr="00BC31E0">
        <w:rPr>
          <w:rFonts w:asciiTheme="majorEastAsia" w:eastAsiaTheme="majorEastAsia" w:hAnsiTheme="majorEastAsia" w:hint="eastAsia"/>
          <w:b/>
          <w:bCs/>
        </w:rPr>
        <w:t>1)</w:t>
      </w:r>
      <w:r w:rsidRPr="00BC31E0">
        <w:rPr>
          <w:rFonts w:hAnsi="ＭＳ ゴシック" w:hint="eastAsia"/>
        </w:rPr>
        <w:t>～</w:t>
      </w:r>
      <w:r w:rsidRPr="00BC31E0">
        <w:rPr>
          <w:rFonts w:asciiTheme="majorEastAsia" w:eastAsiaTheme="majorEastAsia" w:hAnsiTheme="majorEastAsia" w:hint="eastAsia"/>
          <w:b/>
          <w:bCs/>
        </w:rPr>
        <w:t>3)</w:t>
      </w:r>
      <w:r w:rsidRPr="00BC31E0">
        <w:rPr>
          <w:rFonts w:hint="eastAsia"/>
        </w:rPr>
        <w:t>の条件のもとで呼び径でねじのない部分を有してもよい。</w:t>
      </w:r>
    </w:p>
    <w:p w14:paraId="466162A4" w14:textId="77777777" w:rsidR="00FD1648" w:rsidRPr="00BC31E0" w:rsidRDefault="00647A32" w:rsidP="00736130">
      <w:pPr>
        <w:pStyle w:val="a4"/>
        <w:numPr>
          <w:ilvl w:val="0"/>
          <w:numId w:val="281"/>
        </w:numPr>
        <w:ind w:leftChars="0" w:left="738" w:hanging="454"/>
      </w:pPr>
      <w:r w:rsidRPr="00BC31E0">
        <w:rPr>
          <w:rFonts w:hint="eastAsia"/>
        </w:rPr>
        <w:t>植込みボルトは，ねじ部からボルト径の</w:t>
      </w:r>
      <w:r w:rsidRPr="00BC31E0">
        <w:rPr>
          <w:rFonts w:hint="eastAsia"/>
        </w:rPr>
        <w:t>0.5</w:t>
      </w:r>
      <w:r w:rsidRPr="00BC31E0">
        <w:rPr>
          <w:rFonts w:hint="eastAsia"/>
        </w:rPr>
        <w:t>倍以上の範囲で谷径まで機械加工される。</w:t>
      </w:r>
    </w:p>
    <w:p w14:paraId="2112138F" w14:textId="77777777" w:rsidR="00FD1648" w:rsidRPr="00BC31E0" w:rsidRDefault="00647A32" w:rsidP="00736130">
      <w:pPr>
        <w:pStyle w:val="a4"/>
        <w:numPr>
          <w:ilvl w:val="0"/>
          <w:numId w:val="281"/>
        </w:numPr>
        <w:ind w:leftChars="0" w:left="738" w:hanging="454"/>
      </w:pPr>
      <w:r w:rsidRPr="00BC31E0">
        <w:rPr>
          <w:rFonts w:hint="eastAsia"/>
        </w:rPr>
        <w:t>谷径までの加工部分は，隣接のねじ部に適切に移行していく。</w:t>
      </w:r>
    </w:p>
    <w:p w14:paraId="4D851097" w14:textId="77777777" w:rsidR="00647A32" w:rsidRPr="00BC31E0" w:rsidRDefault="00647A32" w:rsidP="00736130">
      <w:pPr>
        <w:pStyle w:val="a4"/>
        <w:numPr>
          <w:ilvl w:val="0"/>
          <w:numId w:val="281"/>
        </w:numPr>
        <w:ind w:leftChars="0" w:left="738" w:hanging="454"/>
      </w:pPr>
      <w:r w:rsidRPr="00BC31E0">
        <w:rPr>
          <w:rFonts w:hint="eastAsia"/>
        </w:rPr>
        <w:lastRenderedPageBreak/>
        <w:t>首下の丸み半径は，軸径の</w:t>
      </w:r>
      <w:r w:rsidRPr="00BC31E0">
        <w:rPr>
          <w:rFonts w:hint="eastAsia"/>
        </w:rPr>
        <w:t>0.06</w:t>
      </w:r>
      <w:r w:rsidRPr="00BC31E0">
        <w:rPr>
          <w:rFonts w:hint="eastAsia"/>
        </w:rPr>
        <w:t>倍以上とする。</w:t>
      </w:r>
    </w:p>
    <w:p w14:paraId="04DA612D" w14:textId="77777777" w:rsidR="00647A32" w:rsidRPr="00BC31E0" w:rsidRDefault="00647A32" w:rsidP="00736130">
      <w:pPr>
        <w:pStyle w:val="a4"/>
        <w:numPr>
          <w:ilvl w:val="0"/>
          <w:numId w:val="280"/>
        </w:numPr>
        <w:ind w:leftChars="0" w:left="454" w:hanging="454"/>
      </w:pPr>
      <w:r w:rsidRPr="00BC31E0">
        <w:rPr>
          <w:rFonts w:asciiTheme="majorEastAsia" w:eastAsiaTheme="majorEastAsia" w:hAnsiTheme="majorEastAsia" w:hint="eastAsia"/>
          <w:b/>
        </w:rPr>
        <w:t>特殊ねじ継手，その他の継手</w:t>
      </w:r>
      <w:r w:rsidRPr="00BC31E0">
        <w:rPr>
          <w:rFonts w:hint="eastAsia"/>
        </w:rPr>
        <w:t xml:space="preserve">　規格品以外の機械継手は，次の条件を満たせば使用</w:t>
      </w:r>
      <w:r w:rsidR="00080158" w:rsidRPr="00BC31E0">
        <w:rPr>
          <w:rFonts w:hint="eastAsia"/>
        </w:rPr>
        <w:t>してもよい</w:t>
      </w:r>
      <w:r w:rsidRPr="00BC31E0">
        <w:rPr>
          <w:rFonts w:hint="eastAsia"/>
        </w:rPr>
        <w:t>。継手の安全性を決めるために，同一材料，同一形状の継手を用いて</w:t>
      </w:r>
      <w:r w:rsidRPr="00BC31E0">
        <w:rPr>
          <w:rFonts w:asciiTheme="majorEastAsia" w:eastAsiaTheme="majorEastAsia" w:hAnsiTheme="majorEastAsia" w:hint="eastAsia"/>
          <w:b/>
          <w:bCs/>
        </w:rPr>
        <w:t>6.11.7 b) 3)</w:t>
      </w:r>
      <w:r w:rsidRPr="00BC31E0">
        <w:rPr>
          <w:rFonts w:hint="eastAsia"/>
        </w:rPr>
        <w:t>に従った試験荷重で性能試験を行う。振動，疲労，繰返し条件，低温，熱膨張及び水撃が予想される場合，性能試験にはそれらの想定される荷重を含める。</w:t>
      </w:r>
    </w:p>
    <w:p w14:paraId="48CEB98A" w14:textId="77777777" w:rsidR="00647A32" w:rsidRPr="00BC31E0" w:rsidRDefault="00647A32" w:rsidP="005C4A3E">
      <w:pPr>
        <w:pStyle w:val="3"/>
        <w:tabs>
          <w:tab w:val="clear" w:pos="284"/>
        </w:tabs>
        <w:ind w:left="794" w:hanging="794"/>
      </w:pPr>
      <w:r w:rsidRPr="00BC31E0">
        <w:rPr>
          <w:rFonts w:hint="eastAsia"/>
        </w:rPr>
        <w:t>穴</w:t>
      </w:r>
    </w:p>
    <w:p w14:paraId="3DB0B3D5" w14:textId="77777777" w:rsidR="00647A32" w:rsidRPr="00BC31E0" w:rsidRDefault="00647A32" w:rsidP="00CA0BFF">
      <w:pPr>
        <w:pStyle w:val="1110"/>
        <w:ind w:firstLine="210"/>
      </w:pPr>
      <w:r w:rsidRPr="00BC31E0">
        <w:rPr>
          <w:rFonts w:hint="eastAsia"/>
        </w:rPr>
        <w:t>交差穴，その他の穴の容器の静的強度に対する影響は</w:t>
      </w:r>
      <w:r w:rsidRPr="00BC31E0">
        <w:rPr>
          <w:rFonts w:ascii="ＭＳ ゴシック" w:eastAsia="ＭＳ ゴシック" w:hAnsi="ＭＳ ゴシック" w:hint="eastAsia"/>
          <w:b/>
        </w:rPr>
        <w:t>付属書E</w:t>
      </w:r>
      <w:r w:rsidRPr="00BC31E0">
        <w:rPr>
          <w:rFonts w:hint="eastAsia"/>
        </w:rPr>
        <w:t>によるか応力解析を行い，</w:t>
      </w:r>
      <w:r w:rsidRPr="00BC31E0">
        <w:rPr>
          <w:rFonts w:ascii="ＭＳ ゴシック" w:eastAsia="ＭＳ ゴシック" w:hAnsi="ＭＳ ゴシック" w:hint="eastAsia"/>
          <w:b/>
        </w:rPr>
        <w:t>6.2</w:t>
      </w:r>
      <w:r w:rsidRPr="00BC31E0">
        <w:rPr>
          <w:rFonts w:hint="eastAsia"/>
        </w:rPr>
        <w:t>に従った強度評価を行う。</w:t>
      </w:r>
    </w:p>
    <w:p w14:paraId="3EEFBDE8" w14:textId="77777777" w:rsidR="00647A32" w:rsidRPr="00BC31E0" w:rsidRDefault="00647A32" w:rsidP="005C4A3E">
      <w:pPr>
        <w:pStyle w:val="3"/>
        <w:tabs>
          <w:tab w:val="clear" w:pos="284"/>
        </w:tabs>
        <w:ind w:left="794" w:hanging="794"/>
      </w:pPr>
      <w:r w:rsidRPr="00BC31E0">
        <w:rPr>
          <w:rFonts w:hint="eastAsia"/>
        </w:rPr>
        <w:t>ねじ込みふたを有する荷重伝達機能を持つ胴</w:t>
      </w:r>
    </w:p>
    <w:p w14:paraId="0E554AB8" w14:textId="77777777" w:rsidR="00647A32" w:rsidRPr="00BC31E0" w:rsidRDefault="00647A32" w:rsidP="00CA0BFF">
      <w:pPr>
        <w:ind w:firstLineChars="100" w:firstLine="210"/>
      </w:pPr>
      <w:r w:rsidRPr="00BC31E0">
        <w:rPr>
          <w:rFonts w:hint="eastAsia"/>
        </w:rPr>
        <w:t>ねじ込みふたを有する荷重伝達機能を持つ胴の設計は，次の</w:t>
      </w:r>
      <w:r w:rsidRPr="00BC31E0">
        <w:rPr>
          <w:rFonts w:ascii="ＭＳ ゴシック" w:eastAsia="ＭＳ ゴシック" w:hint="eastAsia"/>
          <w:b/>
        </w:rPr>
        <w:t>a)</w:t>
      </w:r>
      <w:r w:rsidRPr="00BC31E0">
        <w:rPr>
          <w:rFonts w:hint="eastAsia"/>
        </w:rPr>
        <w:t>と</w:t>
      </w:r>
      <w:r w:rsidRPr="00BC31E0">
        <w:rPr>
          <w:rFonts w:ascii="ＭＳ ゴシック" w:eastAsia="ＭＳ ゴシック" w:hint="eastAsia"/>
          <w:b/>
        </w:rPr>
        <w:t>b)</w:t>
      </w:r>
      <w:r w:rsidRPr="00BC31E0">
        <w:rPr>
          <w:rFonts w:hint="eastAsia"/>
        </w:rPr>
        <w:t>による。ふたの静解析及び疲労評価には，総荷重，ねじ山の数，ねじ形状，相手方の剛性及び摩擦を考慮する。ねじ荷重分布を考慮した計算では，ねじ部のせん断応力は</w:t>
      </w:r>
      <m:oMath>
        <m:sSub>
          <m:sSubPr>
            <m:ctrlPr>
              <w:rPr>
                <w:rFonts w:ascii="Cambria Math" w:hAnsi="Cambria Math"/>
                <w:i/>
              </w:rPr>
            </m:ctrlPr>
          </m:sSubPr>
          <m:e>
            <m:r>
              <w:rPr>
                <w:rFonts w:ascii="Cambria Math" w:hAnsi="Cambria Math"/>
              </w:rPr>
              <m:t xml:space="preserve"> 0.4 S</m:t>
            </m:r>
          </m:e>
          <m:sub>
            <m:r>
              <w:rPr>
                <w:rFonts w:ascii="Cambria Math" w:hAnsi="Cambria Math"/>
              </w:rPr>
              <m:t>y</m:t>
            </m:r>
          </m:sub>
        </m:sSub>
        <m:r>
          <w:rPr>
            <w:rFonts w:ascii="Cambria Math" w:hAnsi="Cambria Math"/>
          </w:rPr>
          <m:t xml:space="preserve"> </m:t>
        </m:r>
      </m:oMath>
      <w:r w:rsidRPr="00BC31E0">
        <w:rPr>
          <w:rFonts w:hint="eastAsia"/>
        </w:rPr>
        <w:t>を超えてはならない。ねじの荷重を均等に分布するために，最初のねじ山の前方にアンダーカットを設けてもよい。</w:t>
      </w:r>
    </w:p>
    <w:p w14:paraId="79203BB9" w14:textId="77777777" w:rsidR="00647A32" w:rsidRPr="00BC31E0" w:rsidRDefault="00647A32" w:rsidP="00736130">
      <w:pPr>
        <w:pStyle w:val="a4"/>
        <w:numPr>
          <w:ilvl w:val="0"/>
          <w:numId w:val="289"/>
        </w:numPr>
        <w:ind w:leftChars="0" w:left="454" w:hanging="454"/>
        <w:rPr>
          <w:b/>
        </w:rPr>
      </w:pPr>
      <w:r w:rsidRPr="00BC31E0">
        <w:rPr>
          <w:rFonts w:asciiTheme="majorEastAsia" w:eastAsiaTheme="majorEastAsia" w:hAnsiTheme="majorEastAsia" w:hint="eastAsia"/>
          <w:b/>
        </w:rPr>
        <w:t>ねじ部での容器の応力</w:t>
      </w:r>
      <w:r w:rsidRPr="00BC31E0">
        <w:rPr>
          <w:rFonts w:hint="eastAsia"/>
        </w:rPr>
        <w:t xml:space="preserve">　ねじ部の相当応力の計算には，次の</w:t>
      </w:r>
      <w:r w:rsidRPr="00BC31E0">
        <w:rPr>
          <w:rFonts w:asciiTheme="majorEastAsia" w:eastAsiaTheme="majorEastAsia" w:hAnsiTheme="majorEastAsia" w:hint="eastAsia"/>
          <w:b/>
        </w:rPr>
        <w:t>1)</w:t>
      </w:r>
      <w:r w:rsidRPr="00BC31E0">
        <w:rPr>
          <w:rFonts w:hint="eastAsia"/>
        </w:rPr>
        <w:t>～</w:t>
      </w:r>
      <w:r w:rsidRPr="00BC31E0">
        <w:rPr>
          <w:rFonts w:asciiTheme="majorEastAsia" w:eastAsiaTheme="majorEastAsia" w:hAnsiTheme="majorEastAsia" w:hint="eastAsia"/>
          <w:b/>
        </w:rPr>
        <w:t>6)</w:t>
      </w:r>
      <w:r w:rsidRPr="00BC31E0">
        <w:rPr>
          <w:rFonts w:hint="eastAsia"/>
        </w:rPr>
        <w:t>によりねじ荷重，ねじ形状による応力集中係数</w:t>
      </w:r>
      <w:r w:rsidRPr="00BC31E0">
        <w:rPr>
          <w:rFonts w:hint="eastAsia"/>
        </w:rPr>
        <w:t>(</w:t>
      </w:r>
      <w:r w:rsidRPr="00BC31E0">
        <w:rPr>
          <w:rFonts w:hint="eastAsia"/>
        </w:rPr>
        <w:t>特に，ねじの谷の丸み</w:t>
      </w:r>
      <w:r w:rsidRPr="00BC31E0">
        <w:rPr>
          <w:rFonts w:hint="eastAsia"/>
        </w:rPr>
        <w:t>)</w:t>
      </w:r>
      <w:r w:rsidRPr="00BC31E0">
        <w:rPr>
          <w:rFonts w:hint="eastAsia"/>
        </w:rPr>
        <w:t>，ねじの曲げ応力及び容器のねじ部での膜，曲げ応力を考慮する。</w:t>
      </w:r>
    </w:p>
    <w:p w14:paraId="64A021F7" w14:textId="77777777" w:rsidR="00FB18C3" w:rsidRPr="00BC31E0" w:rsidRDefault="00647A32" w:rsidP="00736130">
      <w:pPr>
        <w:pStyle w:val="a4"/>
        <w:numPr>
          <w:ilvl w:val="0"/>
          <w:numId w:val="290"/>
        </w:numPr>
        <w:ind w:leftChars="0" w:left="738" w:hanging="454"/>
        <w:rPr>
          <w:b/>
        </w:rPr>
      </w:pPr>
      <w:r w:rsidRPr="00BC31E0">
        <w:rPr>
          <w:rFonts w:asciiTheme="majorEastAsia" w:eastAsiaTheme="majorEastAsia" w:hAnsiTheme="majorEastAsia" w:hint="eastAsia"/>
          <w:b/>
        </w:rPr>
        <w:t>長手方向曲げ応力</w:t>
      </w:r>
      <w:r w:rsidRPr="00BC31E0">
        <w:rPr>
          <w:rFonts w:hint="eastAsia"/>
        </w:rPr>
        <w:t xml:space="preserve">　解析又は試験によってより低い応力が妥当であると証明されない限り，容器の一番目のねじ部での容器の一次長手方向曲げ応力は，一次長手方向膜応力の</w:t>
      </w:r>
      <w:r w:rsidRPr="00BC31E0">
        <w:rPr>
          <w:rFonts w:asciiTheme="minorHAnsi" w:hAnsiTheme="minorHAnsi"/>
        </w:rPr>
        <w:t>3.0</w:t>
      </w:r>
      <w:r w:rsidRPr="00BC31E0">
        <w:rPr>
          <w:rFonts w:hint="eastAsia"/>
        </w:rPr>
        <w:t>倍とする。</w:t>
      </w:r>
    </w:p>
    <w:p w14:paraId="6E43E103" w14:textId="77777777" w:rsidR="00FB18C3" w:rsidRPr="00BC31E0" w:rsidRDefault="00647A32" w:rsidP="00736130">
      <w:pPr>
        <w:pStyle w:val="a4"/>
        <w:numPr>
          <w:ilvl w:val="0"/>
          <w:numId w:val="290"/>
        </w:numPr>
        <w:ind w:leftChars="0" w:left="738" w:hanging="454"/>
        <w:rPr>
          <w:b/>
        </w:rPr>
      </w:pPr>
      <w:r w:rsidRPr="00BC31E0">
        <w:rPr>
          <w:rFonts w:asciiTheme="majorEastAsia" w:eastAsiaTheme="majorEastAsia" w:hAnsiTheme="majorEastAsia" w:hint="eastAsia"/>
          <w:b/>
        </w:rPr>
        <w:t>周方向応力</w:t>
      </w:r>
      <w:r w:rsidRPr="00BC31E0">
        <w:rPr>
          <w:rFonts w:hint="eastAsia"/>
        </w:rPr>
        <w:t xml:space="preserve">　周方向応力は圧力シールまでの距離によりかなり影響される。解析又は試験によってより低い応力が妥当であると証明されない限り，一番目のねじ部での容器の周方向応力は，</w:t>
      </w:r>
      <w:r w:rsidR="00844F47" w:rsidRPr="00BC31E0">
        <w:rPr>
          <w:rFonts w:asciiTheme="majorEastAsia" w:eastAsiaTheme="majorEastAsia" w:hAnsiTheme="majorEastAsia" w:hint="eastAsia"/>
          <w:b/>
        </w:rPr>
        <w:t>附属書J</w:t>
      </w:r>
      <w:r w:rsidRPr="00BC31E0">
        <w:rPr>
          <w:rFonts w:asciiTheme="majorEastAsia" w:eastAsiaTheme="majorEastAsia" w:hAnsiTheme="majorEastAsia" w:hint="eastAsia"/>
          <w:b/>
        </w:rPr>
        <w:t>式(1</w:t>
      </w:r>
      <w:r w:rsidR="00844F47" w:rsidRPr="00BC31E0">
        <w:rPr>
          <w:rFonts w:asciiTheme="majorEastAsia" w:eastAsiaTheme="majorEastAsia" w:hAnsiTheme="majorEastAsia" w:hint="eastAsia"/>
          <w:b/>
        </w:rPr>
        <w:t>6</w:t>
      </w:r>
      <w:r w:rsidRPr="00BC31E0">
        <w:rPr>
          <w:rFonts w:asciiTheme="majorEastAsia" w:eastAsiaTheme="majorEastAsia" w:hAnsiTheme="majorEastAsia" w:hint="eastAsia"/>
          <w:b/>
        </w:rPr>
        <w:t>)</w:t>
      </w:r>
      <w:r w:rsidRPr="00BC31E0">
        <w:rPr>
          <w:rFonts w:ascii="ＭＳ 明朝" w:hAnsi="ＭＳ 明朝" w:hint="eastAsia"/>
        </w:rPr>
        <w:t>の</w:t>
      </w:r>
      <w:r w:rsidRPr="00BC31E0">
        <w:rPr>
          <w:rFonts w:hint="eastAsia"/>
        </w:rPr>
        <w:t>円筒胴の周方向応力と同一とする。更に，ねじ山にかかる集中荷重の半径方向成分により生じる周方向応力も考慮に入れる。</w:t>
      </w:r>
    </w:p>
    <w:p w14:paraId="3D1C1997" w14:textId="77777777" w:rsidR="00FB18C3" w:rsidRPr="00BC31E0" w:rsidRDefault="00647A32" w:rsidP="00736130">
      <w:pPr>
        <w:pStyle w:val="a4"/>
        <w:numPr>
          <w:ilvl w:val="0"/>
          <w:numId w:val="290"/>
        </w:numPr>
        <w:ind w:leftChars="0" w:left="738" w:hanging="454"/>
        <w:rPr>
          <w:b/>
        </w:rPr>
      </w:pPr>
      <w:r w:rsidRPr="00BC31E0">
        <w:rPr>
          <w:rFonts w:asciiTheme="majorEastAsia" w:eastAsiaTheme="majorEastAsia" w:hAnsiTheme="majorEastAsia" w:hint="eastAsia"/>
          <w:b/>
        </w:rPr>
        <w:t>ねじ荷重分布</w:t>
      </w:r>
      <w:r w:rsidRPr="00BC31E0">
        <w:rPr>
          <w:rFonts w:hint="eastAsia"/>
        </w:rPr>
        <w:t xml:space="preserve">　一般的に，ねじは軸荷重を一様に伝達しない。ねじ荷重分布は</w:t>
      </w:r>
      <w:r w:rsidRPr="00BC31E0">
        <w:rPr>
          <w:rFonts w:asciiTheme="majorEastAsia" w:eastAsiaTheme="majorEastAsia" w:hAnsiTheme="majorEastAsia" w:hint="eastAsia"/>
          <w:b/>
        </w:rPr>
        <w:t>附属書G</w:t>
      </w:r>
      <w:r w:rsidRPr="00BC31E0">
        <w:rPr>
          <w:rFonts w:hAnsi="ＭＳ ゴシック" w:hint="eastAsia"/>
        </w:rPr>
        <w:t>を用いて求めるか，妥当性が示せれば他の方法によってもよい。</w:t>
      </w:r>
    </w:p>
    <w:p w14:paraId="7A0E861A" w14:textId="77777777" w:rsidR="00FB18C3" w:rsidRPr="00BC31E0" w:rsidRDefault="00647A32" w:rsidP="00736130">
      <w:pPr>
        <w:pStyle w:val="a4"/>
        <w:numPr>
          <w:ilvl w:val="0"/>
          <w:numId w:val="290"/>
        </w:numPr>
        <w:ind w:leftChars="0" w:left="738" w:hanging="454"/>
        <w:rPr>
          <w:b/>
        </w:rPr>
      </w:pPr>
      <w:r w:rsidRPr="00BC31E0">
        <w:rPr>
          <w:rFonts w:asciiTheme="majorEastAsia" w:eastAsiaTheme="majorEastAsia" w:hAnsiTheme="majorEastAsia" w:hint="eastAsia"/>
          <w:b/>
        </w:rPr>
        <w:t>破壊力学評価</w:t>
      </w:r>
      <w:r w:rsidRPr="00BC31E0">
        <w:rPr>
          <w:rFonts w:hint="eastAsia"/>
        </w:rPr>
        <w:t xml:space="preserve">　破壊力学評価は</w:t>
      </w:r>
      <w:r w:rsidRPr="00BC31E0">
        <w:rPr>
          <w:rFonts w:asciiTheme="majorEastAsia" w:eastAsiaTheme="majorEastAsia" w:hAnsiTheme="majorEastAsia"/>
          <w:b/>
        </w:rPr>
        <w:t>6.4</w:t>
      </w:r>
      <w:r w:rsidRPr="00BC31E0">
        <w:rPr>
          <w:rFonts w:hint="eastAsia"/>
        </w:rPr>
        <w:t>に従って行う。この評価には，少なくともねじの曲げ及び胴の膜及び曲げ応力の効果を含める。</w:t>
      </w:r>
    </w:p>
    <w:p w14:paraId="1A3B81E4" w14:textId="77777777" w:rsidR="00FB18C3" w:rsidRPr="00BC31E0" w:rsidRDefault="00647A32" w:rsidP="00736130">
      <w:pPr>
        <w:pStyle w:val="a4"/>
        <w:numPr>
          <w:ilvl w:val="0"/>
          <w:numId w:val="290"/>
        </w:numPr>
        <w:ind w:leftChars="0" w:left="738" w:hanging="454"/>
        <w:rPr>
          <w:b/>
        </w:rPr>
      </w:pPr>
      <w:r w:rsidRPr="00BC31E0">
        <w:rPr>
          <w:rFonts w:asciiTheme="majorEastAsia" w:eastAsiaTheme="majorEastAsia" w:hAnsiTheme="majorEastAsia" w:hint="eastAsia"/>
          <w:b/>
        </w:rPr>
        <w:t>ひずみの進行</w:t>
      </w:r>
      <w:r w:rsidRPr="00BC31E0">
        <w:rPr>
          <w:rFonts w:hint="eastAsia"/>
        </w:rPr>
        <w:t xml:space="preserve">　雌ねじキャップ，雄ねじプラグは非一体型継手の例であり，変形の進行により破壊しやすい。この様な継手は，徐々に緩んでラチェットを引き起こす場合もあることを考慮しなければならない。</w:t>
      </w:r>
    </w:p>
    <w:p w14:paraId="77F2D7C6" w14:textId="77777777" w:rsidR="00647A32" w:rsidRPr="00BC31E0" w:rsidRDefault="00647A32" w:rsidP="00736130">
      <w:pPr>
        <w:pStyle w:val="a4"/>
        <w:numPr>
          <w:ilvl w:val="0"/>
          <w:numId w:val="290"/>
        </w:numPr>
        <w:ind w:leftChars="0" w:left="738" w:hanging="454"/>
        <w:rPr>
          <w:b/>
        </w:rPr>
      </w:pPr>
      <w:r w:rsidRPr="00BC31E0">
        <w:rPr>
          <w:rFonts w:asciiTheme="majorEastAsia" w:eastAsiaTheme="majorEastAsia" w:hAnsiTheme="majorEastAsia" w:hint="eastAsia"/>
          <w:b/>
        </w:rPr>
        <w:t>断続ねじ</w:t>
      </w:r>
      <w:r w:rsidRPr="00BC31E0">
        <w:rPr>
          <w:rFonts w:hint="eastAsia"/>
        </w:rPr>
        <w:t xml:space="preserve">　断続ねじを使用したふたは，合成応力に，連続ねじの周方向長さと断続ねじの周方向長さの比を掛ければ，連続ねじのふたとして解析してもよい。</w:t>
      </w:r>
    </w:p>
    <w:p w14:paraId="3A4CBFDD" w14:textId="77777777" w:rsidR="00647A32" w:rsidRPr="00BC31E0" w:rsidRDefault="00647A32" w:rsidP="00736130">
      <w:pPr>
        <w:pStyle w:val="a4"/>
        <w:numPr>
          <w:ilvl w:val="0"/>
          <w:numId w:val="289"/>
        </w:numPr>
        <w:ind w:leftChars="0" w:left="454" w:hanging="454"/>
      </w:pPr>
      <w:r w:rsidRPr="00BC31E0">
        <w:rPr>
          <w:rFonts w:asciiTheme="majorEastAsia" w:eastAsiaTheme="majorEastAsia" w:hAnsiTheme="majorEastAsia" w:hint="eastAsia"/>
          <w:b/>
        </w:rPr>
        <w:t>特殊ふた及び材料</w:t>
      </w:r>
      <w:r w:rsidRPr="00BC31E0">
        <w:rPr>
          <w:rFonts w:hint="eastAsia"/>
        </w:rPr>
        <w:t xml:space="preserve">　次の</w:t>
      </w:r>
      <w:r w:rsidRPr="00BC31E0">
        <w:rPr>
          <w:rFonts w:asciiTheme="majorEastAsia" w:eastAsiaTheme="majorEastAsia" w:hAnsiTheme="majorEastAsia" w:hint="eastAsia"/>
          <w:b/>
        </w:rPr>
        <w:t>1</w:t>
      </w:r>
      <w:r w:rsidRPr="00BC31E0">
        <w:rPr>
          <w:rFonts w:asciiTheme="majorEastAsia" w:eastAsiaTheme="majorEastAsia" w:hAnsiTheme="majorEastAsia"/>
          <w:b/>
        </w:rPr>
        <w:t>)</w:t>
      </w:r>
      <w:r w:rsidRPr="00BC31E0">
        <w:rPr>
          <w:rFonts w:hint="eastAsia"/>
        </w:rPr>
        <w:t>，</w:t>
      </w:r>
      <w:r w:rsidRPr="00BC31E0">
        <w:rPr>
          <w:rFonts w:asciiTheme="majorEastAsia" w:eastAsiaTheme="majorEastAsia" w:hAnsiTheme="majorEastAsia" w:hint="eastAsia"/>
          <w:b/>
        </w:rPr>
        <w:t>2</w:t>
      </w:r>
      <w:r w:rsidRPr="00BC31E0">
        <w:rPr>
          <w:rFonts w:asciiTheme="majorEastAsia" w:eastAsiaTheme="majorEastAsia" w:hAnsiTheme="majorEastAsia"/>
          <w:b/>
        </w:rPr>
        <w:t>)</w:t>
      </w:r>
      <w:r w:rsidRPr="00BC31E0">
        <w:rPr>
          <w:rFonts w:hint="eastAsia"/>
        </w:rPr>
        <w:t>及び</w:t>
      </w:r>
      <w:r w:rsidRPr="00BC31E0">
        <w:rPr>
          <w:rFonts w:asciiTheme="majorEastAsia" w:eastAsiaTheme="majorEastAsia" w:hAnsiTheme="majorEastAsia" w:hint="eastAsia"/>
          <w:b/>
        </w:rPr>
        <w:t>3</w:t>
      </w:r>
      <w:r w:rsidRPr="00BC31E0">
        <w:rPr>
          <w:rFonts w:asciiTheme="majorEastAsia" w:eastAsiaTheme="majorEastAsia" w:hAnsiTheme="majorEastAsia"/>
          <w:b/>
        </w:rPr>
        <w:t>)</w:t>
      </w:r>
      <w:r w:rsidRPr="00BC31E0">
        <w:rPr>
          <w:rFonts w:hint="eastAsia"/>
        </w:rPr>
        <w:t>の条件を満足すれば，規格以外のねじふたを使用してもよい。</w:t>
      </w:r>
    </w:p>
    <w:p w14:paraId="2D6961B8" w14:textId="77777777" w:rsidR="00D55524" w:rsidRPr="00BC31E0" w:rsidRDefault="00647A32" w:rsidP="00736130">
      <w:pPr>
        <w:pStyle w:val="a4"/>
        <w:numPr>
          <w:ilvl w:val="0"/>
          <w:numId w:val="291"/>
        </w:numPr>
        <w:ind w:leftChars="0" w:left="738" w:hanging="454"/>
      </w:pPr>
      <w:r w:rsidRPr="00BC31E0">
        <w:rPr>
          <w:rFonts w:hint="eastAsia"/>
        </w:rPr>
        <w:t>使用者設計仕様書に記載されている全運転条件で，ふたの離脱防止設計がなされている。</w:t>
      </w:r>
    </w:p>
    <w:p w14:paraId="3ED6A0EB" w14:textId="77777777" w:rsidR="00D55524" w:rsidRPr="00BC31E0" w:rsidRDefault="00647A32" w:rsidP="00736130">
      <w:pPr>
        <w:pStyle w:val="a4"/>
        <w:numPr>
          <w:ilvl w:val="0"/>
          <w:numId w:val="291"/>
        </w:numPr>
        <w:ind w:leftChars="0" w:left="738" w:hanging="454"/>
      </w:pPr>
      <w:r w:rsidRPr="00BC31E0">
        <w:rPr>
          <w:rFonts w:ascii="ＭＳ 明朝" w:hint="eastAsia"/>
        </w:rPr>
        <w:t>ふたの解析は</w:t>
      </w:r>
      <w:r w:rsidRPr="00BC31E0">
        <w:rPr>
          <w:rFonts w:asciiTheme="majorEastAsia" w:eastAsiaTheme="majorEastAsia" w:hAnsiTheme="majorEastAsia" w:hint="eastAsia"/>
          <w:b/>
        </w:rPr>
        <w:t>6.2</w:t>
      </w:r>
      <w:r w:rsidRPr="00BC31E0">
        <w:rPr>
          <w:rFonts w:ascii="ＭＳ 明朝" w:hint="eastAsia"/>
        </w:rPr>
        <w:t>，</w:t>
      </w:r>
      <w:r w:rsidRPr="00BC31E0">
        <w:rPr>
          <w:rFonts w:asciiTheme="majorEastAsia" w:eastAsiaTheme="majorEastAsia" w:hAnsiTheme="majorEastAsia" w:hint="eastAsia"/>
          <w:b/>
        </w:rPr>
        <w:t>6.3</w:t>
      </w:r>
      <w:r w:rsidRPr="00BC31E0">
        <w:rPr>
          <w:rFonts w:ascii="ＭＳ 明朝" w:hint="eastAsia"/>
        </w:rPr>
        <w:t>及び</w:t>
      </w:r>
      <w:r w:rsidRPr="00BC31E0">
        <w:rPr>
          <w:rFonts w:asciiTheme="majorEastAsia" w:eastAsiaTheme="majorEastAsia" w:hAnsiTheme="majorEastAsia" w:hint="eastAsia"/>
          <w:b/>
        </w:rPr>
        <w:t>6.</w:t>
      </w:r>
      <w:r w:rsidRPr="00BC31E0">
        <w:rPr>
          <w:rFonts w:asciiTheme="majorEastAsia" w:eastAsiaTheme="majorEastAsia" w:hAnsiTheme="majorEastAsia"/>
          <w:b/>
        </w:rPr>
        <w:t>4</w:t>
      </w:r>
      <w:r w:rsidRPr="00BC31E0">
        <w:rPr>
          <w:rFonts w:ascii="ＭＳ 明朝" w:hint="eastAsia"/>
        </w:rPr>
        <w:t>に従う。又は，同一材料，同一形状により</w:t>
      </w:r>
      <w:r w:rsidRPr="00BC31E0">
        <w:rPr>
          <w:rFonts w:asciiTheme="majorEastAsia" w:eastAsiaTheme="majorEastAsia" w:hAnsiTheme="majorEastAsia" w:hint="eastAsia"/>
          <w:b/>
        </w:rPr>
        <w:t>6.11</w:t>
      </w:r>
      <w:r w:rsidRPr="00BC31E0">
        <w:rPr>
          <w:rFonts w:ascii="ＭＳ 明朝" w:hint="eastAsia"/>
        </w:rPr>
        <w:t>に従ってすでに評価されている。</w:t>
      </w:r>
    </w:p>
    <w:p w14:paraId="4AE81F60" w14:textId="77777777" w:rsidR="00647A32" w:rsidRPr="00BC31E0" w:rsidRDefault="00647A32" w:rsidP="00736130">
      <w:pPr>
        <w:pStyle w:val="a4"/>
        <w:numPr>
          <w:ilvl w:val="0"/>
          <w:numId w:val="291"/>
        </w:numPr>
        <w:ind w:leftChars="0" w:left="738" w:hanging="454"/>
      </w:pPr>
      <w:r w:rsidRPr="00BC31E0">
        <w:rPr>
          <w:rFonts w:ascii="ＭＳ 明朝" w:hint="eastAsia"/>
        </w:rPr>
        <w:t>最終加工状態で降伏点の計測が不可能又は非現実的な部品については，最終加工が引張</w:t>
      </w:r>
      <w:r w:rsidR="00D30551" w:rsidRPr="00BC31E0">
        <w:rPr>
          <w:rFonts w:ascii="ＭＳ 明朝" w:hint="eastAsia"/>
        </w:rPr>
        <w:lastRenderedPageBreak/>
        <w:t>強さ</w:t>
      </w:r>
      <w:r w:rsidRPr="00BC31E0">
        <w:rPr>
          <w:rFonts w:ascii="ＭＳ 明朝" w:hint="eastAsia"/>
        </w:rPr>
        <w:t>に悪影響を及ぼさない限り，設計圧力での最大許容引張応力は，設計温度における引張強さの</w:t>
      </w:r>
      <w:r w:rsidRPr="00BC31E0">
        <w:t>1/3</w:t>
      </w:r>
      <w:r w:rsidRPr="00BC31E0">
        <w:rPr>
          <w:rFonts w:ascii="ＭＳ 明朝" w:hint="eastAsia"/>
        </w:rPr>
        <w:t>とする。</w:t>
      </w:r>
    </w:p>
    <w:p w14:paraId="46089512" w14:textId="77777777" w:rsidR="00647A32" w:rsidRPr="00BC31E0" w:rsidRDefault="00647A32" w:rsidP="005C4A3E">
      <w:pPr>
        <w:pStyle w:val="3"/>
        <w:tabs>
          <w:tab w:val="clear" w:pos="284"/>
        </w:tabs>
        <w:ind w:left="794" w:hanging="794"/>
      </w:pPr>
      <w:r w:rsidRPr="00BC31E0">
        <w:rPr>
          <w:rFonts w:hint="eastAsia"/>
        </w:rPr>
        <w:t>一体型平鏡板</w:t>
      </w:r>
    </w:p>
    <w:p w14:paraId="524B9C4B" w14:textId="77777777" w:rsidR="00647A32" w:rsidRPr="00BC31E0" w:rsidRDefault="00647A32" w:rsidP="00F34B38">
      <w:pPr>
        <w:pStyle w:val="1110"/>
        <w:ind w:firstLine="210"/>
      </w:pPr>
      <w:r w:rsidRPr="00BC31E0">
        <w:rPr>
          <w:rFonts w:hint="eastAsia"/>
        </w:rPr>
        <w:t>一体型平鏡板は</w:t>
      </w:r>
      <w:r w:rsidRPr="00BC31E0">
        <w:rPr>
          <w:rFonts w:asciiTheme="majorEastAsia" w:eastAsiaTheme="majorEastAsia" w:hAnsiTheme="majorEastAsia" w:hint="eastAsia"/>
          <w:b/>
        </w:rPr>
        <w:t>6.2.3</w:t>
      </w:r>
      <w:r w:rsidRPr="00BC31E0">
        <w:rPr>
          <w:rFonts w:hint="eastAsia"/>
        </w:rPr>
        <w:t>又は</w:t>
      </w:r>
      <w:r w:rsidRPr="00BC31E0">
        <w:rPr>
          <w:rFonts w:asciiTheme="majorEastAsia" w:eastAsiaTheme="majorEastAsia" w:hAnsiTheme="majorEastAsia" w:hint="eastAsia"/>
          <w:b/>
        </w:rPr>
        <w:t>附属書</w:t>
      </w:r>
      <w:r w:rsidRPr="00BC31E0">
        <w:rPr>
          <w:rFonts w:asciiTheme="majorEastAsia" w:eastAsiaTheme="majorEastAsia" w:hAnsiTheme="majorEastAsia"/>
          <w:b/>
        </w:rPr>
        <w:t>J</w:t>
      </w:r>
      <w:r w:rsidR="008E4743" w:rsidRPr="00BC31E0">
        <w:rPr>
          <w:rFonts w:hint="eastAsia"/>
        </w:rPr>
        <w:t>に従って</w:t>
      </w:r>
      <w:r w:rsidRPr="00BC31E0">
        <w:rPr>
          <w:rFonts w:hint="eastAsia"/>
        </w:rPr>
        <w:t>設計する。ただし荷重条件が内圧のみの場合，</w:t>
      </w:r>
      <w:r w:rsidRPr="00BC31E0">
        <w:rPr>
          <w:rFonts w:asciiTheme="majorEastAsia" w:eastAsiaTheme="majorEastAsia" w:hAnsiTheme="majorEastAsia" w:hint="eastAsia"/>
          <w:b/>
        </w:rPr>
        <w:t>6.2.3</w:t>
      </w:r>
      <w:r w:rsidRPr="00BC31E0">
        <w:rPr>
          <w:rFonts w:hint="eastAsia"/>
        </w:rPr>
        <w:t>又は</w:t>
      </w:r>
      <w:r w:rsidRPr="00BC31E0">
        <w:rPr>
          <w:rFonts w:asciiTheme="majorEastAsia" w:eastAsiaTheme="majorEastAsia" w:hAnsiTheme="majorEastAsia" w:hint="eastAsia"/>
          <w:b/>
        </w:rPr>
        <w:t>附属書</w:t>
      </w:r>
      <w:r w:rsidRPr="00BC31E0">
        <w:rPr>
          <w:rFonts w:asciiTheme="majorEastAsia" w:eastAsiaTheme="majorEastAsia" w:hAnsiTheme="majorEastAsia"/>
          <w:b/>
        </w:rPr>
        <w:t>J</w:t>
      </w:r>
      <w:r w:rsidRPr="00BC31E0">
        <w:rPr>
          <w:rFonts w:hint="eastAsia"/>
          <w:b/>
        </w:rPr>
        <w:t xml:space="preserve"> </w:t>
      </w:r>
      <w:r w:rsidRPr="00BC31E0">
        <w:rPr>
          <w:rFonts w:hint="eastAsia"/>
        </w:rPr>
        <w:t>に代えて</w:t>
      </w:r>
      <w:r w:rsidRPr="00BC31E0">
        <w:rPr>
          <w:rFonts w:asciiTheme="majorEastAsia" w:eastAsiaTheme="majorEastAsia" w:hAnsiTheme="majorEastAsia" w:hint="eastAsia"/>
          <w:b/>
        </w:rPr>
        <w:t>附属書G</w:t>
      </w:r>
      <w:r w:rsidRPr="00BC31E0">
        <w:rPr>
          <w:rFonts w:hint="eastAsia"/>
        </w:rPr>
        <w:t>の</w:t>
      </w:r>
      <w:r w:rsidRPr="00BC31E0">
        <w:rPr>
          <w:rFonts w:asciiTheme="majorEastAsia" w:eastAsiaTheme="majorEastAsia" w:hAnsiTheme="majorEastAsia" w:hint="eastAsia"/>
          <w:b/>
        </w:rPr>
        <w:t>1</w:t>
      </w:r>
      <w:r w:rsidRPr="00BC31E0">
        <w:rPr>
          <w:rFonts w:hint="eastAsia"/>
        </w:rPr>
        <w:t>又は</w:t>
      </w:r>
      <w:r w:rsidRPr="00BC31E0">
        <w:rPr>
          <w:rFonts w:asciiTheme="majorEastAsia" w:eastAsiaTheme="majorEastAsia" w:hAnsiTheme="majorEastAsia" w:hint="eastAsia"/>
          <w:b/>
        </w:rPr>
        <w:t>2</w:t>
      </w:r>
      <w:r w:rsidRPr="00BC31E0">
        <w:rPr>
          <w:rFonts w:hint="eastAsia"/>
        </w:rPr>
        <w:t>に</w:t>
      </w:r>
      <w:r w:rsidR="005C4A3E" w:rsidRPr="00BC31E0">
        <w:rPr>
          <w:rFonts w:hint="eastAsia"/>
        </w:rPr>
        <w:t>従って</w:t>
      </w:r>
      <w:r w:rsidRPr="00BC31E0">
        <w:rPr>
          <w:rFonts w:hint="eastAsia"/>
        </w:rPr>
        <w:t>設計してもよい。</w:t>
      </w:r>
    </w:p>
    <w:p w14:paraId="39B7D166" w14:textId="77777777" w:rsidR="00647A32" w:rsidRPr="00BC31E0" w:rsidRDefault="00647A32" w:rsidP="00DC3B04">
      <w:pPr>
        <w:pStyle w:val="3"/>
        <w:tabs>
          <w:tab w:val="clear" w:pos="284"/>
        </w:tabs>
        <w:ind w:left="794" w:hanging="794"/>
      </w:pPr>
      <w:r w:rsidRPr="00BC31E0">
        <w:rPr>
          <w:rFonts w:hint="eastAsia"/>
        </w:rPr>
        <w:t>急速開閉ふた</w:t>
      </w:r>
    </w:p>
    <w:p w14:paraId="5BE8FBF6" w14:textId="77777777" w:rsidR="00647A32" w:rsidRPr="00BC31E0" w:rsidRDefault="00647A32" w:rsidP="00266214">
      <w:pPr>
        <w:pStyle w:val="1110"/>
        <w:ind w:firstLine="210"/>
      </w:pPr>
      <w:r w:rsidRPr="00BC31E0">
        <w:rPr>
          <w:rFonts w:hint="eastAsia"/>
        </w:rPr>
        <w:t>急速開閉ふたは，次の</w:t>
      </w:r>
      <w:r w:rsidRPr="00BC31E0">
        <w:rPr>
          <w:rFonts w:ascii="ＭＳ ゴシック" w:eastAsia="ＭＳ ゴシック" w:hint="eastAsia"/>
          <w:b/>
        </w:rPr>
        <w:t>a)</w:t>
      </w:r>
      <w:r w:rsidRPr="00BC31E0">
        <w:rPr>
          <w:rFonts w:hint="eastAsia"/>
        </w:rPr>
        <w:t>～</w:t>
      </w:r>
      <w:r w:rsidRPr="00BC31E0">
        <w:rPr>
          <w:rFonts w:ascii="ＭＳ ゴシック" w:eastAsia="ＭＳ ゴシック" w:hint="eastAsia"/>
          <w:b/>
        </w:rPr>
        <w:t>e)</w:t>
      </w:r>
      <w:r w:rsidRPr="00BC31E0">
        <w:rPr>
          <w:rFonts w:hint="eastAsia"/>
        </w:rPr>
        <w:t>による。</w:t>
      </w:r>
    </w:p>
    <w:p w14:paraId="1416F844" w14:textId="77777777" w:rsidR="0068364E" w:rsidRPr="00BC31E0" w:rsidRDefault="00647A32" w:rsidP="00736130">
      <w:pPr>
        <w:pStyle w:val="a4"/>
        <w:numPr>
          <w:ilvl w:val="0"/>
          <w:numId w:val="292"/>
        </w:numPr>
        <w:ind w:leftChars="0" w:left="454" w:hanging="454"/>
        <w:rPr>
          <w:rFonts w:hAnsi="ＭＳ 明朝"/>
        </w:rPr>
      </w:pPr>
      <w:r w:rsidRPr="00BC31E0">
        <w:rPr>
          <w:rFonts w:asciiTheme="majorEastAsia" w:eastAsiaTheme="majorEastAsia" w:hAnsiTheme="majorEastAsia" w:hint="eastAsia"/>
          <w:b/>
        </w:rPr>
        <w:t>一般要求</w:t>
      </w:r>
      <w:r w:rsidRPr="00BC31E0">
        <w:rPr>
          <w:rFonts w:hint="eastAsia"/>
        </w:rPr>
        <w:t xml:space="preserve">　</w:t>
      </w:r>
      <w:r w:rsidRPr="00BC31E0">
        <w:rPr>
          <w:rFonts w:hAnsi="ＭＳ 明朝" w:hint="eastAsia"/>
        </w:rPr>
        <w:t>急速開閉ふたは，外から見て保持機構が良好な状態にあり，閉じた時の固締機構が正しい位置にかみ合うことが分かるように設計し，据付けをする。</w:t>
      </w:r>
    </w:p>
    <w:p w14:paraId="503F11C2" w14:textId="77777777" w:rsidR="00647A32" w:rsidRPr="00BC31E0" w:rsidRDefault="00647A32" w:rsidP="00736130">
      <w:pPr>
        <w:pStyle w:val="a4"/>
        <w:numPr>
          <w:ilvl w:val="0"/>
          <w:numId w:val="292"/>
        </w:numPr>
        <w:ind w:leftChars="0" w:left="454" w:hanging="454"/>
        <w:rPr>
          <w:rFonts w:hAnsi="ＭＳ 明朝"/>
        </w:rPr>
      </w:pPr>
      <w:r w:rsidRPr="00BC31E0">
        <w:rPr>
          <w:rFonts w:asciiTheme="majorEastAsia" w:eastAsiaTheme="majorEastAsia" w:hAnsiTheme="majorEastAsia" w:hint="eastAsia"/>
          <w:b/>
          <w:bCs/>
        </w:rPr>
        <w:t>特定の設計要求</w:t>
      </w:r>
      <w:r w:rsidRPr="00BC31E0">
        <w:rPr>
          <w:rFonts w:hint="eastAsia"/>
        </w:rPr>
        <w:t xml:space="preserve">　</w:t>
      </w:r>
      <w:r w:rsidRPr="00BC31E0">
        <w:rPr>
          <w:rFonts w:ascii="ＭＳ 明朝" w:hAnsi="ＭＳ 明朝" w:hint="eastAsia"/>
          <w:bCs/>
        </w:rPr>
        <w:t>急速開閉ふたで確実な固締装置で規定位置に保持され，ふた板又は固締装置を部分回転するか，又はある範囲だけ動かすだけで完全に開くことのできるもの，及び自動開閉ふたは，次の</w:t>
      </w:r>
      <w:r w:rsidRPr="00BC31E0">
        <w:rPr>
          <w:rFonts w:asciiTheme="majorEastAsia" w:eastAsiaTheme="majorEastAsia" w:hAnsiTheme="majorEastAsia" w:hint="eastAsia"/>
          <w:b/>
        </w:rPr>
        <w:t>1)</w:t>
      </w:r>
      <w:r w:rsidRPr="00BC31E0">
        <w:rPr>
          <w:rFonts w:ascii="ＭＳ 明朝" w:hAnsi="ＭＳ 明朝" w:hint="eastAsia"/>
          <w:bCs/>
        </w:rPr>
        <w:t>～</w:t>
      </w:r>
      <w:r w:rsidRPr="00BC31E0">
        <w:rPr>
          <w:rFonts w:asciiTheme="majorEastAsia" w:eastAsiaTheme="majorEastAsia" w:hAnsiTheme="majorEastAsia" w:hint="eastAsia"/>
          <w:b/>
        </w:rPr>
        <w:t>3)</w:t>
      </w:r>
      <w:r w:rsidRPr="00BC31E0">
        <w:rPr>
          <w:rFonts w:ascii="ＭＳ 明朝" w:hAnsi="ＭＳ 明朝" w:hint="eastAsia"/>
          <w:bCs/>
        </w:rPr>
        <w:t>の条件を満足しなければならない。</w:t>
      </w:r>
    </w:p>
    <w:p w14:paraId="1E991D24" w14:textId="77777777" w:rsidR="00AE219E" w:rsidRPr="00BC31E0" w:rsidRDefault="00647A32" w:rsidP="00736130">
      <w:pPr>
        <w:pStyle w:val="a4"/>
        <w:numPr>
          <w:ilvl w:val="0"/>
          <w:numId w:val="293"/>
        </w:numPr>
        <w:ind w:leftChars="0" w:left="738" w:hanging="454"/>
      </w:pPr>
      <w:r w:rsidRPr="00BC31E0">
        <w:rPr>
          <w:rFonts w:hint="eastAsia"/>
        </w:rPr>
        <w:t>ふた及び保持装置は，容器に圧力が負荷される前に完全に所定位置にかみ合わされている。</w:t>
      </w:r>
    </w:p>
    <w:p w14:paraId="72FFA380" w14:textId="77777777" w:rsidR="00AE219E" w:rsidRPr="00BC31E0" w:rsidRDefault="00647A32" w:rsidP="00736130">
      <w:pPr>
        <w:pStyle w:val="a4"/>
        <w:numPr>
          <w:ilvl w:val="0"/>
          <w:numId w:val="293"/>
        </w:numPr>
        <w:ind w:leftChars="0" w:left="738" w:hanging="454"/>
      </w:pPr>
      <w:r w:rsidRPr="00BC31E0">
        <w:rPr>
          <w:rFonts w:hint="eastAsia"/>
        </w:rPr>
        <w:t>ふたを開こうとする容器の圧力は，固締装置を緩める前に抜く。</w:t>
      </w:r>
    </w:p>
    <w:p w14:paraId="543052E5" w14:textId="77777777" w:rsidR="00647A32" w:rsidRPr="00BC31E0" w:rsidRDefault="00647A32" w:rsidP="00736130">
      <w:pPr>
        <w:pStyle w:val="a4"/>
        <w:numPr>
          <w:ilvl w:val="0"/>
          <w:numId w:val="293"/>
        </w:numPr>
        <w:ind w:leftChars="0" w:left="738" w:hanging="454"/>
      </w:pPr>
      <w:r w:rsidRPr="00BC31E0">
        <w:rPr>
          <w:rFonts w:hint="eastAsia"/>
        </w:rPr>
        <w:t>設計における摩擦係数は</w:t>
      </w:r>
      <w:r w:rsidRPr="00BC31E0">
        <w:t>0.02</w:t>
      </w:r>
      <w:r w:rsidRPr="00BC31E0">
        <w:rPr>
          <w:rFonts w:hint="eastAsia"/>
        </w:rPr>
        <w:t>以下とする。</w:t>
      </w:r>
    </w:p>
    <w:p w14:paraId="5CE8FC86" w14:textId="77777777" w:rsidR="00445B19" w:rsidRPr="00BC31E0" w:rsidRDefault="00647A32" w:rsidP="00736130">
      <w:pPr>
        <w:pStyle w:val="a4"/>
        <w:numPr>
          <w:ilvl w:val="0"/>
          <w:numId w:val="294"/>
        </w:numPr>
        <w:ind w:leftChars="0" w:left="454" w:hanging="454"/>
      </w:pPr>
      <w:r w:rsidRPr="00BC31E0">
        <w:rPr>
          <w:rFonts w:asciiTheme="majorEastAsia" w:eastAsiaTheme="majorEastAsia" w:hAnsiTheme="majorEastAsia" w:hint="eastAsia"/>
          <w:b/>
        </w:rPr>
        <w:t>手動操作のふたに対して許容し得る設計変更</w:t>
      </w:r>
      <w:r w:rsidRPr="00BC31E0">
        <w:rPr>
          <w:rFonts w:hint="eastAsia"/>
        </w:rPr>
        <w:t xml:space="preserve">　手動の必要な固締装置又は機構により規定位置に保持されているもので，固締装置を外して開く前に内容物が漏出するようになっている急速開閉ふたに対しては，上記</w:t>
      </w:r>
      <w:r w:rsidRPr="00BC31E0">
        <w:rPr>
          <w:rFonts w:asciiTheme="majorEastAsia" w:eastAsiaTheme="majorEastAsia" w:hAnsiTheme="majorEastAsia"/>
          <w:b/>
          <w:bCs/>
        </w:rPr>
        <w:t>1)</w:t>
      </w:r>
      <w:r w:rsidRPr="00BC31E0">
        <w:rPr>
          <w:rFonts w:ascii="ＭＳ 明朝" w:hAnsi="ＭＳ 明朝" w:hint="eastAsia"/>
        </w:rPr>
        <w:t>と</w:t>
      </w:r>
      <w:r w:rsidRPr="00BC31E0">
        <w:rPr>
          <w:rFonts w:asciiTheme="majorEastAsia" w:eastAsiaTheme="majorEastAsia" w:hAnsiTheme="majorEastAsia"/>
          <w:b/>
          <w:bCs/>
        </w:rPr>
        <w:t>2</w:t>
      </w:r>
      <w:r w:rsidRPr="00BC31E0">
        <w:rPr>
          <w:rFonts w:asciiTheme="majorEastAsia" w:eastAsiaTheme="majorEastAsia" w:hAnsiTheme="majorEastAsia" w:hint="eastAsia"/>
          <w:b/>
          <w:bCs/>
        </w:rPr>
        <w:t>)</w:t>
      </w:r>
      <w:r w:rsidRPr="00BC31E0">
        <w:rPr>
          <w:rFonts w:ascii="ＭＳ 明朝" w:hAnsi="ＭＳ 明朝" w:hint="eastAsia"/>
        </w:rPr>
        <w:t>を</w:t>
      </w:r>
      <w:r w:rsidRPr="00BC31E0">
        <w:rPr>
          <w:rFonts w:hint="eastAsia"/>
        </w:rPr>
        <w:t>満足させる必要はない。ただし，ふた板及び保持機構が完全に規定位置で閉じる前に加圧する操作，及び圧を逃す前に固締機構又は装置を動かそうとする操作を防止するために，ふたには作業者に対し，音又は目でわかるような警報を出す装置を付けなければならない。</w:t>
      </w:r>
    </w:p>
    <w:p w14:paraId="712C78A5" w14:textId="77777777" w:rsidR="00445B19" w:rsidRPr="00BC31E0" w:rsidRDefault="00647A32" w:rsidP="00736130">
      <w:pPr>
        <w:pStyle w:val="a4"/>
        <w:numPr>
          <w:ilvl w:val="0"/>
          <w:numId w:val="294"/>
        </w:numPr>
        <w:ind w:leftChars="0" w:left="454" w:hanging="454"/>
      </w:pPr>
      <w:r w:rsidRPr="00BC31E0">
        <w:rPr>
          <w:rFonts w:ascii="ＭＳ 明朝" w:hint="eastAsia"/>
        </w:rPr>
        <w:t>ヨーク及びフレームは，この規格の要求事項を満足しなければならない。</w:t>
      </w:r>
    </w:p>
    <w:p w14:paraId="521D3538" w14:textId="77777777" w:rsidR="00647A32" w:rsidRPr="00BC31E0" w:rsidRDefault="00647A32" w:rsidP="00736130">
      <w:pPr>
        <w:pStyle w:val="a4"/>
        <w:numPr>
          <w:ilvl w:val="0"/>
          <w:numId w:val="294"/>
        </w:numPr>
        <w:ind w:leftChars="0" w:left="454" w:hanging="454"/>
      </w:pPr>
      <w:r w:rsidRPr="00BC31E0">
        <w:rPr>
          <w:rFonts w:asciiTheme="majorEastAsia" w:eastAsiaTheme="majorEastAsia" w:hAnsiTheme="majorEastAsia" w:hint="eastAsia"/>
          <w:b/>
        </w:rPr>
        <w:t>必要な圧力指示装置</w:t>
      </w:r>
      <w:r w:rsidRPr="00BC31E0">
        <w:rPr>
          <w:rFonts w:hint="eastAsia"/>
        </w:rPr>
        <w:t xml:space="preserve">　</w:t>
      </w:r>
      <w:r w:rsidRPr="00BC31E0">
        <w:rPr>
          <w:rFonts w:ascii="ＭＳ 明朝" w:hint="eastAsia"/>
        </w:rPr>
        <w:t>急速開閉ふたを装備する</w:t>
      </w:r>
      <w:r w:rsidR="00DC160D" w:rsidRPr="00BC31E0">
        <w:rPr>
          <w:rFonts w:ascii="ＭＳ 明朝" w:hint="eastAsia"/>
        </w:rPr>
        <w:t>全</w:t>
      </w:r>
      <w:r w:rsidRPr="00BC31E0">
        <w:rPr>
          <w:rFonts w:ascii="ＭＳ 明朝" w:hint="eastAsia"/>
        </w:rPr>
        <w:t>ての圧力容器は，操作位置から見える圧力指示装置を設ける。</w:t>
      </w:r>
    </w:p>
    <w:p w14:paraId="458F991C" w14:textId="77777777" w:rsidR="00647A32" w:rsidRPr="00BC31E0" w:rsidRDefault="00647A32" w:rsidP="00DC3B04">
      <w:pPr>
        <w:pStyle w:val="3"/>
        <w:tabs>
          <w:tab w:val="clear" w:pos="284"/>
        </w:tabs>
        <w:ind w:left="794" w:hanging="794"/>
      </w:pPr>
      <w:r w:rsidRPr="00BC31E0">
        <w:rPr>
          <w:rFonts w:hint="eastAsia"/>
        </w:rPr>
        <w:t>ふた及びシールの要求事項</w:t>
      </w:r>
    </w:p>
    <w:p w14:paraId="30F19300" w14:textId="77777777" w:rsidR="00647A32" w:rsidRPr="00BC31E0" w:rsidRDefault="00647A32" w:rsidP="00266214">
      <w:pPr>
        <w:pStyle w:val="1110"/>
        <w:ind w:firstLine="210"/>
      </w:pPr>
      <w:r w:rsidRPr="00BC31E0">
        <w:rPr>
          <w:rFonts w:hint="eastAsia"/>
        </w:rPr>
        <w:t xml:space="preserve"> </w:t>
      </w:r>
      <w:r w:rsidRPr="00BC31E0">
        <w:rPr>
          <w:rFonts w:hint="eastAsia"/>
        </w:rPr>
        <w:t>高圧容器用ふたでは密封シールの要求が最も大切である。この理由は，シール面からの微少な漏洩でも損傷原因となり，急速に危険状態に進展する恐れがあるためである。ふた及びシールの要求事項は，次の</w:t>
      </w:r>
      <w:r w:rsidRPr="00BC31E0">
        <w:rPr>
          <w:rFonts w:ascii="ＭＳ ゴシック" w:eastAsia="ＭＳ ゴシック" w:hint="eastAsia"/>
          <w:b/>
        </w:rPr>
        <w:t>a)</w:t>
      </w:r>
      <w:r w:rsidRPr="00BC31E0">
        <w:rPr>
          <w:rFonts w:hint="eastAsia"/>
        </w:rPr>
        <w:t>，</w:t>
      </w:r>
      <w:r w:rsidRPr="00BC31E0">
        <w:rPr>
          <w:rFonts w:ascii="ＭＳ ゴシック" w:eastAsia="ＭＳ ゴシック" w:hint="eastAsia"/>
          <w:b/>
        </w:rPr>
        <w:t>b)</w:t>
      </w:r>
      <w:r w:rsidRPr="00BC31E0">
        <w:rPr>
          <w:rFonts w:hint="eastAsia"/>
        </w:rPr>
        <w:t>による。</w:t>
      </w:r>
    </w:p>
    <w:p w14:paraId="3EA139F2" w14:textId="77777777" w:rsidR="00647A32" w:rsidRPr="00BC31E0" w:rsidRDefault="00647A32" w:rsidP="00736130">
      <w:pPr>
        <w:pStyle w:val="a4"/>
        <w:numPr>
          <w:ilvl w:val="0"/>
          <w:numId w:val="295"/>
        </w:numPr>
        <w:ind w:leftChars="0" w:left="454" w:hanging="454"/>
      </w:pPr>
      <w:r w:rsidRPr="00BC31E0">
        <w:rPr>
          <w:rFonts w:asciiTheme="majorEastAsia" w:eastAsiaTheme="majorEastAsia" w:hAnsiTheme="majorEastAsia" w:hint="eastAsia"/>
          <w:b/>
        </w:rPr>
        <w:t>ふたの要求事項</w:t>
      </w:r>
      <w:r w:rsidRPr="00BC31E0">
        <w:rPr>
          <w:rFonts w:hint="eastAsia"/>
        </w:rPr>
        <w:t xml:space="preserve">　</w:t>
      </w:r>
      <w:r w:rsidRPr="00BC31E0">
        <w:rPr>
          <w:rFonts w:asciiTheme="minorHAnsi"/>
        </w:rPr>
        <w:t>ふたの要求事項は，次の</w:t>
      </w:r>
      <w:r w:rsidRPr="00BC31E0">
        <w:rPr>
          <w:rFonts w:asciiTheme="majorEastAsia" w:eastAsiaTheme="majorEastAsia" w:hAnsiTheme="majorEastAsia" w:hint="eastAsia"/>
          <w:b/>
        </w:rPr>
        <w:t>1)</w:t>
      </w:r>
      <w:r w:rsidRPr="00BC31E0">
        <w:rPr>
          <w:rFonts w:asciiTheme="minorEastAsia" w:hint="eastAsia"/>
        </w:rPr>
        <w:t>～</w:t>
      </w:r>
      <w:r w:rsidRPr="00BC31E0">
        <w:rPr>
          <w:rFonts w:asciiTheme="majorEastAsia" w:eastAsiaTheme="majorEastAsia" w:hAnsiTheme="majorEastAsia" w:hint="eastAsia"/>
          <w:b/>
        </w:rPr>
        <w:t>5)</w:t>
      </w:r>
      <w:r w:rsidRPr="00BC31E0">
        <w:rPr>
          <w:rFonts w:asciiTheme="minorEastAsia" w:hint="eastAsia"/>
        </w:rPr>
        <w:t>による。</w:t>
      </w:r>
    </w:p>
    <w:p w14:paraId="4A38D5AD" w14:textId="77777777" w:rsidR="00266214" w:rsidRPr="00BC31E0" w:rsidRDefault="00647A32" w:rsidP="00736130">
      <w:pPr>
        <w:pStyle w:val="a4"/>
        <w:numPr>
          <w:ilvl w:val="0"/>
          <w:numId w:val="296"/>
        </w:numPr>
        <w:ind w:leftChars="0" w:left="738" w:hanging="454"/>
      </w:pPr>
      <w:r w:rsidRPr="00BC31E0">
        <w:rPr>
          <w:rFonts w:hint="eastAsia"/>
        </w:rPr>
        <w:t>シールふたは，容器と同等の破壊に対する信頼性で圧力を保持できるようにする。</w:t>
      </w:r>
    </w:p>
    <w:p w14:paraId="016A22BF" w14:textId="77777777" w:rsidR="00266214" w:rsidRPr="00BC31E0" w:rsidRDefault="00647A32" w:rsidP="00736130">
      <w:pPr>
        <w:pStyle w:val="a4"/>
        <w:numPr>
          <w:ilvl w:val="0"/>
          <w:numId w:val="296"/>
        </w:numPr>
        <w:ind w:leftChars="0" w:left="738" w:hanging="454"/>
      </w:pPr>
      <w:r w:rsidRPr="00BC31E0">
        <w:rPr>
          <w:rFonts w:ascii="ＭＳ 明朝" w:hint="eastAsia"/>
        </w:rPr>
        <w:t>ふたの設計には，シール部が破損した場合の適切なベントを設ける。</w:t>
      </w:r>
    </w:p>
    <w:p w14:paraId="5FC3A525" w14:textId="77777777" w:rsidR="00266214" w:rsidRPr="00BC31E0" w:rsidRDefault="00647A32" w:rsidP="00736130">
      <w:pPr>
        <w:pStyle w:val="a4"/>
        <w:numPr>
          <w:ilvl w:val="0"/>
          <w:numId w:val="296"/>
        </w:numPr>
        <w:ind w:leftChars="0" w:left="738" w:hanging="454"/>
      </w:pPr>
      <w:r w:rsidRPr="00BC31E0">
        <w:rPr>
          <w:rFonts w:ascii="ＭＳ 明朝" w:hint="eastAsia"/>
        </w:rPr>
        <w:t>予期されるあらゆる温度，圧力条件下において，膨張，ひずみによってシール要求を超える隙間が生じてはならない。</w:t>
      </w:r>
    </w:p>
    <w:p w14:paraId="6FA35947" w14:textId="77777777" w:rsidR="00266214" w:rsidRPr="00BC31E0" w:rsidRDefault="00647A32" w:rsidP="00736130">
      <w:pPr>
        <w:pStyle w:val="a4"/>
        <w:numPr>
          <w:ilvl w:val="0"/>
          <w:numId w:val="296"/>
        </w:numPr>
        <w:ind w:leftChars="0" w:left="738" w:hanging="454"/>
      </w:pPr>
      <w:r w:rsidRPr="00BC31E0">
        <w:rPr>
          <w:rFonts w:ascii="ＭＳ 明朝" w:hint="eastAsia"/>
        </w:rPr>
        <w:t>ふたの強度及びシール性に関わる部材について，完全な応力解析を行う。</w:t>
      </w:r>
    </w:p>
    <w:p w14:paraId="68A4E01E" w14:textId="77777777" w:rsidR="00647A32" w:rsidRPr="00BC31E0" w:rsidRDefault="00647A32" w:rsidP="00736130">
      <w:pPr>
        <w:pStyle w:val="a4"/>
        <w:numPr>
          <w:ilvl w:val="0"/>
          <w:numId w:val="296"/>
        </w:numPr>
        <w:ind w:leftChars="0" w:left="738" w:hanging="454"/>
      </w:pPr>
      <w:r w:rsidRPr="00BC31E0">
        <w:rPr>
          <w:rFonts w:ascii="ＭＳ 明朝" w:hint="eastAsia"/>
        </w:rPr>
        <w:t>繰返し荷重が作用する場合は，シール材を除いて</w:t>
      </w:r>
      <w:r w:rsidR="00DC160D" w:rsidRPr="00BC31E0">
        <w:rPr>
          <w:rFonts w:ascii="ＭＳ 明朝" w:hint="eastAsia"/>
        </w:rPr>
        <w:t>全</w:t>
      </w:r>
      <w:r w:rsidRPr="00BC31E0">
        <w:rPr>
          <w:rFonts w:ascii="ＭＳ 明朝" w:hint="eastAsia"/>
        </w:rPr>
        <w:t>ての部材は</w:t>
      </w:r>
      <w:r w:rsidRPr="00BC31E0">
        <w:rPr>
          <w:rFonts w:asciiTheme="majorEastAsia" w:eastAsiaTheme="majorEastAsia" w:hAnsiTheme="majorEastAsia" w:hint="eastAsia"/>
          <w:b/>
        </w:rPr>
        <w:t>6.3</w:t>
      </w:r>
      <w:r w:rsidRPr="00BC31E0">
        <w:rPr>
          <w:rFonts w:ascii="ＭＳ 明朝" w:hint="eastAsia"/>
        </w:rPr>
        <w:t>又は</w:t>
      </w:r>
      <w:r w:rsidRPr="00BC31E0">
        <w:rPr>
          <w:rFonts w:asciiTheme="majorEastAsia" w:eastAsiaTheme="majorEastAsia" w:hAnsiTheme="majorEastAsia" w:hint="eastAsia"/>
          <w:b/>
        </w:rPr>
        <w:t>6.4</w:t>
      </w:r>
      <w:r w:rsidRPr="00BC31E0">
        <w:rPr>
          <w:rFonts w:ascii="ＭＳ 明朝" w:hint="eastAsia"/>
        </w:rPr>
        <w:t>の要求事項を満足しなければならない。</w:t>
      </w:r>
    </w:p>
    <w:p w14:paraId="1836CB53" w14:textId="77777777" w:rsidR="00647A32" w:rsidRPr="00BC31E0" w:rsidRDefault="00647A32" w:rsidP="00736130">
      <w:pPr>
        <w:pStyle w:val="a4"/>
        <w:numPr>
          <w:ilvl w:val="0"/>
          <w:numId w:val="295"/>
        </w:numPr>
        <w:ind w:leftChars="0" w:left="454" w:hanging="454"/>
      </w:pPr>
      <w:r w:rsidRPr="00BC31E0">
        <w:rPr>
          <w:rFonts w:asciiTheme="majorEastAsia" w:eastAsiaTheme="majorEastAsia" w:hAnsiTheme="majorEastAsia" w:hint="eastAsia"/>
          <w:b/>
          <w:bCs/>
        </w:rPr>
        <w:t>シール材の要求事項</w:t>
      </w:r>
      <w:r w:rsidRPr="00BC31E0">
        <w:rPr>
          <w:rFonts w:hint="eastAsia"/>
        </w:rPr>
        <w:t xml:space="preserve">　シール材は，使用者設計仕様書で指定された圧力，温度，腐食，溶解，</w:t>
      </w:r>
      <w:r w:rsidRPr="00BC31E0">
        <w:rPr>
          <w:rFonts w:hint="eastAsia"/>
        </w:rPr>
        <w:lastRenderedPageBreak/>
        <w:t>化学反応などのプロセス及び環境条件に</w:t>
      </w:r>
      <w:r w:rsidR="00764BD7" w:rsidRPr="00BC31E0">
        <w:rPr>
          <w:rFonts w:hint="eastAsia"/>
        </w:rPr>
        <w:t>適合しなければならない</w:t>
      </w:r>
      <w:r w:rsidRPr="00BC31E0">
        <w:rPr>
          <w:rFonts w:hint="eastAsia"/>
        </w:rPr>
        <w:t>。シール材の要求事項は，次の</w:t>
      </w:r>
      <w:r w:rsidRPr="00BC31E0">
        <w:rPr>
          <w:rFonts w:asciiTheme="majorEastAsia" w:eastAsiaTheme="majorEastAsia" w:hAnsiTheme="majorEastAsia" w:hint="eastAsia"/>
          <w:b/>
          <w:bCs/>
        </w:rPr>
        <w:t>1)</w:t>
      </w:r>
      <w:r w:rsidRPr="00BC31E0">
        <w:rPr>
          <w:rFonts w:hint="eastAsia"/>
        </w:rPr>
        <w:t>，</w:t>
      </w:r>
      <w:r w:rsidRPr="00BC31E0">
        <w:rPr>
          <w:rFonts w:asciiTheme="majorEastAsia" w:eastAsiaTheme="majorEastAsia" w:hAnsiTheme="majorEastAsia" w:hint="eastAsia"/>
          <w:b/>
          <w:bCs/>
        </w:rPr>
        <w:t>2)</w:t>
      </w:r>
      <w:r w:rsidRPr="00BC31E0">
        <w:rPr>
          <w:rFonts w:hint="eastAsia"/>
        </w:rPr>
        <w:t>による。</w:t>
      </w:r>
    </w:p>
    <w:p w14:paraId="0922DC43" w14:textId="77777777" w:rsidR="00BA31E2" w:rsidRPr="00BC31E0" w:rsidRDefault="00647A32" w:rsidP="00736130">
      <w:pPr>
        <w:pStyle w:val="a4"/>
        <w:numPr>
          <w:ilvl w:val="0"/>
          <w:numId w:val="297"/>
        </w:numPr>
        <w:ind w:leftChars="0" w:left="738" w:hanging="454"/>
      </w:pPr>
      <w:r w:rsidRPr="00BC31E0">
        <w:rPr>
          <w:rFonts w:asciiTheme="majorEastAsia" w:eastAsiaTheme="majorEastAsia" w:hAnsiTheme="majorEastAsia" w:hint="eastAsia"/>
          <w:b/>
        </w:rPr>
        <w:t>シール内包材</w:t>
      </w:r>
      <w:r w:rsidRPr="00BC31E0">
        <w:rPr>
          <w:rFonts w:hint="eastAsia"/>
        </w:rPr>
        <w:t xml:space="preserve">　一般に，</w:t>
      </w:r>
      <w:r w:rsidRPr="00BC31E0">
        <w:rPr>
          <w:rFonts w:asciiTheme="majorEastAsia" w:eastAsiaTheme="majorEastAsia" w:hAnsiTheme="majorEastAsia" w:hint="eastAsia"/>
          <w:b/>
          <w:bCs/>
        </w:rPr>
        <w:t>5</w:t>
      </w:r>
      <w:r w:rsidRPr="00BC31E0">
        <w:rPr>
          <w:rFonts w:hint="eastAsia"/>
        </w:rPr>
        <w:t>にはシール材は規定されていない。使用者設計仕様書はシール材料を指示するか，又は設計者が材料選定できるような条件を提示する。</w:t>
      </w:r>
    </w:p>
    <w:p w14:paraId="1968B728" w14:textId="77777777" w:rsidR="00647A32" w:rsidRPr="00BC31E0" w:rsidRDefault="00647A32" w:rsidP="00736130">
      <w:pPr>
        <w:pStyle w:val="a4"/>
        <w:numPr>
          <w:ilvl w:val="0"/>
          <w:numId w:val="297"/>
        </w:numPr>
        <w:ind w:leftChars="0" w:left="738" w:hanging="454"/>
      </w:pPr>
      <w:r w:rsidRPr="00BC31E0">
        <w:rPr>
          <w:rFonts w:asciiTheme="majorEastAsia" w:eastAsiaTheme="majorEastAsia" w:hAnsiTheme="majorEastAsia" w:hint="eastAsia"/>
          <w:b/>
        </w:rPr>
        <w:t>金属製シール材</w:t>
      </w:r>
      <w:r w:rsidRPr="00BC31E0">
        <w:rPr>
          <w:rFonts w:hint="eastAsia"/>
        </w:rPr>
        <w:t xml:space="preserve">　</w:t>
      </w:r>
      <w:r w:rsidRPr="00BC31E0">
        <w:rPr>
          <w:rFonts w:asciiTheme="minorHAnsi" w:hAnsiTheme="minorHAnsi"/>
        </w:rPr>
        <w:t>シール材自体が圧力保持に必要な強度を有する場合</w:t>
      </w:r>
      <w:r w:rsidRPr="00BC31E0">
        <w:rPr>
          <w:rFonts w:asciiTheme="minorHAnsi" w:hAnsiTheme="minorHAnsi"/>
        </w:rPr>
        <w:t>(</w:t>
      </w:r>
      <w:r w:rsidRPr="00BC31E0">
        <w:rPr>
          <w:rFonts w:asciiTheme="minorHAnsi" w:hAnsiTheme="minorHAnsi"/>
        </w:rPr>
        <w:t>例：コーン継手，重ね継手など</w:t>
      </w:r>
      <w:r w:rsidRPr="00BC31E0">
        <w:rPr>
          <w:rFonts w:asciiTheme="minorHAnsi" w:hAnsiTheme="minorHAnsi"/>
        </w:rPr>
        <w:t>)</w:t>
      </w:r>
      <w:r w:rsidRPr="00BC31E0">
        <w:rPr>
          <w:rFonts w:asciiTheme="minorHAnsi" w:hAnsiTheme="minorHAnsi"/>
        </w:rPr>
        <w:t>，シール材はこの規格の要求事項を満足しなければならない。</w:t>
      </w:r>
    </w:p>
    <w:p w14:paraId="61473193" w14:textId="77777777" w:rsidR="0006184F" w:rsidRPr="00BC31E0" w:rsidRDefault="0006184F" w:rsidP="00DC3B04">
      <w:pPr>
        <w:pStyle w:val="20"/>
        <w:tabs>
          <w:tab w:val="clear" w:pos="284"/>
        </w:tabs>
        <w:ind w:left="567" w:hanging="567"/>
      </w:pPr>
      <w:bookmarkStart w:id="47" w:name="_Toc357672094"/>
      <w:bookmarkStart w:id="48" w:name="_Toc120092527"/>
      <w:r w:rsidRPr="00BC31E0">
        <w:rPr>
          <w:rFonts w:hint="eastAsia"/>
        </w:rPr>
        <w:t>アタッチメント，サポート，外部ヒーティング</w:t>
      </w:r>
      <w:r w:rsidR="00E41E88" w:rsidRPr="00BC31E0">
        <w:rPr>
          <w:rFonts w:hint="eastAsia"/>
        </w:rPr>
        <w:t>／</w:t>
      </w:r>
      <w:r w:rsidRPr="00BC31E0">
        <w:rPr>
          <w:rFonts w:hint="eastAsia"/>
        </w:rPr>
        <w:t>クーリングジャケットの設計</w:t>
      </w:r>
      <w:bookmarkEnd w:id="47"/>
      <w:bookmarkEnd w:id="48"/>
    </w:p>
    <w:p w14:paraId="0345CF83" w14:textId="77777777" w:rsidR="0006184F" w:rsidRPr="00BC31E0" w:rsidRDefault="0006184F" w:rsidP="00DC3B04">
      <w:pPr>
        <w:pStyle w:val="3"/>
        <w:tabs>
          <w:tab w:val="clear" w:pos="284"/>
        </w:tabs>
        <w:ind w:left="794" w:hanging="794"/>
      </w:pPr>
      <w:r w:rsidRPr="00BC31E0">
        <w:rPr>
          <w:rFonts w:hint="eastAsia"/>
        </w:rPr>
        <w:t>一般要求</w:t>
      </w:r>
    </w:p>
    <w:p w14:paraId="283698C7" w14:textId="77777777" w:rsidR="0006184F" w:rsidRPr="00BC31E0" w:rsidRDefault="0006184F" w:rsidP="00D14C3D">
      <w:pPr>
        <w:pStyle w:val="1110"/>
        <w:ind w:firstLine="210"/>
      </w:pPr>
      <w:r w:rsidRPr="00BC31E0">
        <w:rPr>
          <w:rFonts w:hint="eastAsia"/>
        </w:rPr>
        <w:t>この項では，サポート，外部ヒーティング</w:t>
      </w:r>
      <w:r w:rsidRPr="00BC31E0">
        <w:rPr>
          <w:rFonts w:hint="eastAsia"/>
        </w:rPr>
        <w:t>/</w:t>
      </w:r>
      <w:r w:rsidRPr="00BC31E0">
        <w:rPr>
          <w:rFonts w:hint="eastAsia"/>
        </w:rPr>
        <w:t>クーリングジャケット，その他のアタッチメントについて</w:t>
      </w:r>
      <w:r w:rsidRPr="00BC31E0">
        <w:rPr>
          <w:rFonts w:ascii="ＭＳ ゴシック" w:eastAsia="ＭＳ ゴシック" w:hAnsi="ＭＳ ゴシック" w:hint="eastAsia"/>
          <w:b/>
          <w:bCs/>
        </w:rPr>
        <w:t>6.2</w:t>
      </w:r>
      <w:r w:rsidRPr="00BC31E0">
        <w:rPr>
          <w:rFonts w:hint="eastAsia"/>
          <w:bCs/>
        </w:rPr>
        <w:t>，</w:t>
      </w:r>
      <w:r w:rsidRPr="00BC31E0">
        <w:rPr>
          <w:rFonts w:ascii="ＭＳ ゴシック" w:eastAsia="ＭＳ ゴシック" w:hAnsi="ＭＳ ゴシック" w:hint="eastAsia"/>
          <w:b/>
          <w:bCs/>
        </w:rPr>
        <w:t>6.3</w:t>
      </w:r>
      <w:r w:rsidRPr="00BC31E0">
        <w:rPr>
          <w:rFonts w:hint="eastAsia"/>
          <w:bCs/>
        </w:rPr>
        <w:t>，</w:t>
      </w:r>
      <w:r w:rsidRPr="00BC31E0">
        <w:rPr>
          <w:rFonts w:ascii="ＭＳ ゴシック" w:eastAsia="ＭＳ ゴシック" w:hAnsi="ＭＳ ゴシック" w:hint="eastAsia"/>
          <w:b/>
          <w:bCs/>
        </w:rPr>
        <w:t>6.4</w:t>
      </w:r>
      <w:r w:rsidRPr="00BC31E0">
        <w:rPr>
          <w:rFonts w:hint="eastAsia"/>
        </w:rPr>
        <w:t>への追加要求を規定する。一般要求は，次の</w:t>
      </w:r>
      <w:r w:rsidRPr="00BC31E0">
        <w:rPr>
          <w:rFonts w:ascii="ＭＳ ゴシック" w:eastAsia="ＭＳ ゴシック" w:hint="eastAsia"/>
          <w:b/>
        </w:rPr>
        <w:t>a)</w:t>
      </w:r>
      <w:r w:rsidRPr="00BC31E0">
        <w:rPr>
          <w:rFonts w:hint="eastAsia"/>
        </w:rPr>
        <w:t>～</w:t>
      </w:r>
      <w:r w:rsidRPr="00BC31E0">
        <w:rPr>
          <w:rFonts w:ascii="ＭＳ ゴシック" w:eastAsia="ＭＳ ゴシック" w:hint="eastAsia"/>
          <w:b/>
        </w:rPr>
        <w:t>d)</w:t>
      </w:r>
      <w:r w:rsidRPr="00BC31E0">
        <w:rPr>
          <w:rFonts w:hint="eastAsia"/>
        </w:rPr>
        <w:t>による。</w:t>
      </w:r>
    </w:p>
    <w:p w14:paraId="518FC902" w14:textId="77777777" w:rsidR="0006184F" w:rsidRPr="00BC31E0" w:rsidRDefault="0006184F" w:rsidP="00736130">
      <w:pPr>
        <w:pStyle w:val="a4"/>
        <w:numPr>
          <w:ilvl w:val="0"/>
          <w:numId w:val="427"/>
        </w:numPr>
        <w:ind w:leftChars="0" w:left="454" w:hanging="454"/>
      </w:pPr>
      <w:r w:rsidRPr="00BC31E0">
        <w:rPr>
          <w:rFonts w:hint="eastAsia"/>
        </w:rPr>
        <w:t>サポート，ラグ，ブラケット，強め輪，その他の取付物は，容器壁に溶接又はボルトで取付ける。取付物は</w:t>
      </w:r>
      <w:r w:rsidRPr="00BC31E0">
        <w:rPr>
          <w:rFonts w:asciiTheme="majorEastAsia" w:eastAsiaTheme="majorEastAsia" w:hAnsiTheme="majorEastAsia" w:hint="eastAsia"/>
          <w:b/>
          <w:bCs/>
        </w:rPr>
        <w:t>6.3</w:t>
      </w:r>
      <w:r w:rsidRPr="00BC31E0">
        <w:rPr>
          <w:rFonts w:hint="eastAsia"/>
          <w:bCs/>
        </w:rPr>
        <w:t>，</w:t>
      </w:r>
      <w:r w:rsidRPr="00BC31E0">
        <w:rPr>
          <w:rFonts w:asciiTheme="majorEastAsia" w:eastAsiaTheme="majorEastAsia" w:hAnsiTheme="majorEastAsia" w:hint="eastAsia"/>
          <w:b/>
          <w:bCs/>
        </w:rPr>
        <w:t>6.4</w:t>
      </w:r>
      <w:r w:rsidRPr="00BC31E0">
        <w:rPr>
          <w:rFonts w:hint="eastAsia"/>
        </w:rPr>
        <w:t>に従った疲労評価又は破壊力学評価により耐圧部への影響を確認する。</w:t>
      </w:r>
    </w:p>
    <w:p w14:paraId="141F43D8" w14:textId="77777777" w:rsidR="0006184F" w:rsidRPr="00BC31E0" w:rsidRDefault="0006184F" w:rsidP="00736130">
      <w:pPr>
        <w:pStyle w:val="a4"/>
        <w:numPr>
          <w:ilvl w:val="0"/>
          <w:numId w:val="427"/>
        </w:numPr>
        <w:ind w:leftChars="0" w:left="454" w:hanging="454"/>
      </w:pPr>
      <w:r w:rsidRPr="00BC31E0">
        <w:rPr>
          <w:rFonts w:hint="eastAsia"/>
        </w:rPr>
        <w:t>取付物は，取付ける耐圧部の曲面に合うように成形する。</w:t>
      </w:r>
    </w:p>
    <w:p w14:paraId="0E7A8173" w14:textId="77777777" w:rsidR="0006184F" w:rsidRPr="00BC31E0" w:rsidRDefault="0006184F" w:rsidP="00736130">
      <w:pPr>
        <w:pStyle w:val="a4"/>
        <w:numPr>
          <w:ilvl w:val="0"/>
          <w:numId w:val="427"/>
        </w:numPr>
        <w:ind w:leftChars="0" w:left="454" w:hanging="454"/>
      </w:pPr>
      <w:r w:rsidRPr="00BC31E0">
        <w:rPr>
          <w:rFonts w:hint="eastAsia"/>
        </w:rPr>
        <w:t>取付物は，</w:t>
      </w:r>
      <w:r w:rsidRPr="00BC31E0">
        <w:rPr>
          <w:rFonts w:asciiTheme="majorEastAsia" w:eastAsiaTheme="majorEastAsia" w:hAnsiTheme="majorEastAsia" w:hint="eastAsia"/>
          <w:b/>
          <w:bCs/>
        </w:rPr>
        <w:t>6.7.3</w:t>
      </w:r>
      <w:r w:rsidRPr="00BC31E0">
        <w:rPr>
          <w:rFonts w:hint="eastAsia"/>
        </w:rPr>
        <w:t>で許容される溶接の場合には，次の</w:t>
      </w:r>
      <w:r w:rsidRPr="00BC31E0">
        <w:rPr>
          <w:rFonts w:asciiTheme="majorEastAsia" w:hAnsiTheme="majorEastAsia" w:hint="eastAsia"/>
          <w:b/>
        </w:rPr>
        <w:t>1)</w:t>
      </w:r>
      <w:r w:rsidRPr="00BC31E0">
        <w:rPr>
          <w:rFonts w:hint="eastAsia"/>
        </w:rPr>
        <w:t>～</w:t>
      </w:r>
      <w:r w:rsidRPr="00BC31E0">
        <w:rPr>
          <w:rFonts w:asciiTheme="majorEastAsia" w:hAnsiTheme="majorEastAsia" w:hint="eastAsia"/>
          <w:b/>
        </w:rPr>
        <w:t>3)</w:t>
      </w:r>
      <w:r w:rsidRPr="00BC31E0">
        <w:rPr>
          <w:rFonts w:hint="eastAsia"/>
        </w:rPr>
        <w:t>を満たす条件で容器に溶接で取付けてもよい。</w:t>
      </w:r>
    </w:p>
    <w:p w14:paraId="0CC4D34D" w14:textId="77777777" w:rsidR="0006184F" w:rsidRPr="00BC31E0" w:rsidRDefault="0006184F" w:rsidP="00736130">
      <w:pPr>
        <w:pStyle w:val="a4"/>
        <w:numPr>
          <w:ilvl w:val="0"/>
          <w:numId w:val="428"/>
        </w:numPr>
        <w:ind w:leftChars="0" w:left="738" w:hanging="454"/>
      </w:pPr>
      <w:r w:rsidRPr="00BC31E0">
        <w:rPr>
          <w:rFonts w:hint="eastAsia"/>
        </w:rPr>
        <w:t>抵抗溶接によるスタッド，クリップなどは使用しない。</w:t>
      </w:r>
    </w:p>
    <w:p w14:paraId="75EADF20" w14:textId="77777777" w:rsidR="0006184F" w:rsidRPr="00BC31E0" w:rsidRDefault="0006184F" w:rsidP="00736130">
      <w:pPr>
        <w:pStyle w:val="a4"/>
        <w:numPr>
          <w:ilvl w:val="0"/>
          <w:numId w:val="429"/>
        </w:numPr>
        <w:ind w:leftChars="0" w:left="738" w:hanging="454"/>
      </w:pPr>
      <w:r w:rsidRPr="00BC31E0">
        <w:rPr>
          <w:rFonts w:hint="eastAsia"/>
        </w:rPr>
        <w:t>許容される溶接の形状は，</w:t>
      </w:r>
      <w:r w:rsidRPr="00BC31E0">
        <w:rPr>
          <w:rFonts w:asciiTheme="majorEastAsia" w:eastAsiaTheme="majorEastAsia" w:hAnsiTheme="majorEastAsia" w:hint="eastAsia"/>
          <w:b/>
          <w:bCs/>
        </w:rPr>
        <w:t>図6.7.1</w:t>
      </w:r>
      <w:r w:rsidRPr="00BC31E0">
        <w:rPr>
          <w:rFonts w:hint="eastAsia"/>
        </w:rPr>
        <w:t>による。</w:t>
      </w:r>
    </w:p>
    <w:p w14:paraId="4E7ECAA1" w14:textId="77777777" w:rsidR="0006184F" w:rsidRPr="00BC31E0" w:rsidRDefault="0006184F" w:rsidP="00736130">
      <w:pPr>
        <w:pStyle w:val="a4"/>
        <w:numPr>
          <w:ilvl w:val="0"/>
          <w:numId w:val="430"/>
        </w:numPr>
        <w:ind w:leftChars="0" w:left="738" w:hanging="454"/>
      </w:pPr>
      <w:r w:rsidRPr="00BC31E0">
        <w:rPr>
          <w:rFonts w:hint="eastAsia"/>
        </w:rPr>
        <w:t>非耐圧部材を耐圧部に取付ける溶接は，</w:t>
      </w:r>
      <w:r w:rsidR="00DC160D" w:rsidRPr="00BC31E0">
        <w:rPr>
          <w:rFonts w:hint="eastAsia"/>
        </w:rPr>
        <w:t>全</w:t>
      </w:r>
      <w:r w:rsidRPr="00BC31E0">
        <w:rPr>
          <w:rFonts w:hint="eastAsia"/>
        </w:rPr>
        <w:t>て連続完全溶込み溶接とする。</w:t>
      </w:r>
      <w:r w:rsidRPr="00BC31E0">
        <w:rPr>
          <w:rFonts w:asciiTheme="majorEastAsia" w:eastAsiaTheme="majorEastAsia" w:hAnsiTheme="majorEastAsia" w:hint="eastAsia"/>
          <w:b/>
          <w:bCs/>
        </w:rPr>
        <w:t>7.2.3</w:t>
      </w:r>
      <w:r w:rsidRPr="00BC31E0">
        <w:rPr>
          <w:rFonts w:hint="eastAsia"/>
        </w:rPr>
        <w:t>も参照する。</w:t>
      </w:r>
    </w:p>
    <w:p w14:paraId="71307401" w14:textId="77777777" w:rsidR="0006184F" w:rsidRPr="00BC31E0" w:rsidRDefault="0006184F" w:rsidP="00736130">
      <w:pPr>
        <w:pStyle w:val="a4"/>
        <w:numPr>
          <w:ilvl w:val="0"/>
          <w:numId w:val="431"/>
        </w:numPr>
        <w:ind w:leftChars="0" w:left="454" w:hanging="454"/>
      </w:pPr>
      <w:r w:rsidRPr="00BC31E0">
        <w:rPr>
          <w:rFonts w:hint="eastAsia"/>
        </w:rPr>
        <w:t>取付物は，溶接肉盛クラッドに直接溶接してよい。クラッド，ライニングなどの複合材に対する取付け溶接は次による。</w:t>
      </w:r>
    </w:p>
    <w:p w14:paraId="6ADF2B51" w14:textId="77777777" w:rsidR="0006184F" w:rsidRPr="00BC31E0" w:rsidRDefault="0006184F" w:rsidP="00736130">
      <w:pPr>
        <w:pStyle w:val="a4"/>
        <w:numPr>
          <w:ilvl w:val="0"/>
          <w:numId w:val="432"/>
        </w:numPr>
        <w:ind w:leftChars="0" w:left="738" w:hanging="454"/>
      </w:pPr>
      <w:r w:rsidRPr="00BC31E0">
        <w:rPr>
          <w:rFonts w:hint="eastAsia"/>
        </w:rPr>
        <w:t>クラッド構造の場合，取付け溶接部に生じる一次相当応力が，取付物又は合せ材の制限値のいずれか小さい方の</w:t>
      </w:r>
      <w:r w:rsidRPr="00BC31E0">
        <w:t>10%</w:t>
      </w:r>
      <w:r w:rsidRPr="00BC31E0">
        <w:rPr>
          <w:rFonts w:hint="eastAsia"/>
        </w:rPr>
        <w:t>を超えないときには，直接合せ材に取付物を取付けてよい。この応力が</w:t>
      </w:r>
      <w:r w:rsidRPr="00BC31E0">
        <w:t>10%</w:t>
      </w:r>
      <w:r w:rsidRPr="00BC31E0">
        <w:rPr>
          <w:rFonts w:hint="eastAsia"/>
        </w:rPr>
        <w:t>を超えるときには，荷重に対して十分に強度をもった溶接で，母材に直接溶接するか又は肉盛クラッドに溶接する。単なるつなぎ溶接又は漏れ止め溶接のような強度を必要としない溶接は，合せ材に直接溶接してよい。</w:t>
      </w:r>
    </w:p>
    <w:p w14:paraId="0E8DC46E" w14:textId="77777777" w:rsidR="0006184F" w:rsidRPr="00BC31E0" w:rsidRDefault="0006184F" w:rsidP="00736130">
      <w:pPr>
        <w:pStyle w:val="a4"/>
        <w:numPr>
          <w:ilvl w:val="0"/>
          <w:numId w:val="433"/>
        </w:numPr>
        <w:ind w:leftChars="0" w:left="738" w:hanging="454"/>
      </w:pPr>
      <w:r w:rsidRPr="00BC31E0">
        <w:rPr>
          <w:rFonts w:hint="eastAsia"/>
        </w:rPr>
        <w:t>ライニング構造の場合は，取付物は母材又は肉盛クラッドに直接取付けなければならない。ただし，事前に解析と試験を行えば，ライニングに直接取付け</w:t>
      </w:r>
      <w:r w:rsidR="000C42CE" w:rsidRPr="00BC31E0">
        <w:rPr>
          <w:rFonts w:hint="eastAsia"/>
        </w:rPr>
        <w:t>てもよい</w:t>
      </w:r>
      <w:r w:rsidRPr="00BC31E0">
        <w:rPr>
          <w:rFonts w:hint="eastAsia"/>
        </w:rPr>
        <w:t>。この場合，比較可能な使用条件下にある同様なライニング構造に対して十分満足できる実績があれば，これを事前解析と試験の代用としてもよい。</w:t>
      </w:r>
    </w:p>
    <w:p w14:paraId="6FB56921" w14:textId="77777777" w:rsidR="0006184F" w:rsidRPr="00BC31E0" w:rsidRDefault="0006184F" w:rsidP="00DF6C9E">
      <w:pPr>
        <w:pStyle w:val="3"/>
        <w:tabs>
          <w:tab w:val="clear" w:pos="284"/>
        </w:tabs>
        <w:ind w:left="794" w:hanging="794"/>
      </w:pPr>
      <w:r w:rsidRPr="00BC31E0">
        <w:rPr>
          <w:rFonts w:hint="eastAsia"/>
        </w:rPr>
        <w:t>耐圧部に取付ける取付物の材料</w:t>
      </w:r>
    </w:p>
    <w:p w14:paraId="1D8F0788" w14:textId="77777777" w:rsidR="0006184F" w:rsidRPr="00BC31E0" w:rsidRDefault="0006184F" w:rsidP="00D14C3D">
      <w:pPr>
        <w:pStyle w:val="1110"/>
        <w:ind w:firstLine="210"/>
      </w:pPr>
      <w:r w:rsidRPr="00BC31E0">
        <w:rPr>
          <w:rFonts w:hint="eastAsia"/>
        </w:rPr>
        <w:t>耐圧部に取付ける取付物の材料は，次の</w:t>
      </w:r>
      <w:r w:rsidRPr="00BC31E0">
        <w:rPr>
          <w:rFonts w:ascii="ＭＳ ゴシック" w:eastAsia="ＭＳ ゴシック" w:hAnsi="ＭＳ ゴシック" w:hint="eastAsia"/>
          <w:b/>
        </w:rPr>
        <w:t>a)</w:t>
      </w:r>
      <w:r w:rsidRPr="00BC31E0">
        <w:rPr>
          <w:rFonts w:hint="eastAsia"/>
        </w:rPr>
        <w:t>，</w:t>
      </w:r>
      <w:r w:rsidRPr="00BC31E0">
        <w:rPr>
          <w:rFonts w:ascii="ＭＳ ゴシック" w:eastAsia="ＭＳ ゴシック" w:hAnsi="ＭＳ ゴシック" w:hint="eastAsia"/>
          <w:b/>
        </w:rPr>
        <w:t>b)</w:t>
      </w:r>
      <w:r w:rsidRPr="00BC31E0">
        <w:rPr>
          <w:rFonts w:hint="eastAsia"/>
        </w:rPr>
        <w:t>による。</w:t>
      </w:r>
    </w:p>
    <w:p w14:paraId="1320BFA8" w14:textId="77777777" w:rsidR="0006184F" w:rsidRPr="00BC31E0" w:rsidRDefault="0006184F" w:rsidP="00736130">
      <w:pPr>
        <w:pStyle w:val="a4"/>
        <w:numPr>
          <w:ilvl w:val="0"/>
          <w:numId w:val="434"/>
        </w:numPr>
        <w:ind w:leftChars="0" w:left="454" w:hanging="454"/>
      </w:pPr>
      <w:r w:rsidRPr="00BC31E0">
        <w:rPr>
          <w:rFonts w:asciiTheme="majorEastAsia" w:eastAsiaTheme="majorEastAsia" w:hAnsiTheme="majorEastAsia" w:hint="eastAsia"/>
          <w:b/>
        </w:rPr>
        <w:t>耐圧部に取付ける主要取付物の材料</w:t>
      </w:r>
      <w:r w:rsidRPr="00BC31E0">
        <w:rPr>
          <w:rFonts w:hint="eastAsia"/>
        </w:rPr>
        <w:t xml:space="preserve">　耐圧部に直接溶接される取付物は，</w:t>
      </w:r>
      <w:r w:rsidRPr="00BC31E0">
        <w:rPr>
          <w:rFonts w:asciiTheme="majorEastAsia" w:eastAsiaTheme="majorEastAsia" w:hAnsiTheme="majorEastAsia" w:hint="eastAsia"/>
          <w:b/>
          <w:bCs/>
        </w:rPr>
        <w:t>5</w:t>
      </w:r>
      <w:r w:rsidRPr="00BC31E0">
        <w:rPr>
          <w:rFonts w:hint="eastAsia"/>
        </w:rPr>
        <w:t>に規定する材料とする。取付部の材料及び取付け溶接部の溶接金属は，耐圧部の材料に適合</w:t>
      </w:r>
      <w:r w:rsidR="00E70776" w:rsidRPr="00BC31E0">
        <w:rPr>
          <w:rFonts w:hint="eastAsia"/>
        </w:rPr>
        <w:t>しなければならない</w:t>
      </w:r>
      <w:r w:rsidRPr="00BC31E0">
        <w:rPr>
          <w:rFonts w:hint="eastAsia"/>
        </w:rPr>
        <w:t>。設計者は設計温度での取付物の材料と耐圧部の材料の膨張係数，縦弾性係数，降伏強さの違いの影響を考慮する。</w:t>
      </w:r>
    </w:p>
    <w:p w14:paraId="6A653BF0" w14:textId="77777777" w:rsidR="0006184F" w:rsidRPr="00BC31E0" w:rsidRDefault="0006184F" w:rsidP="00736130">
      <w:pPr>
        <w:pStyle w:val="a4"/>
        <w:numPr>
          <w:ilvl w:val="0"/>
          <w:numId w:val="434"/>
        </w:numPr>
        <w:ind w:leftChars="0" w:left="454" w:hanging="454"/>
      </w:pPr>
      <w:r w:rsidRPr="00BC31E0">
        <w:rPr>
          <w:rFonts w:asciiTheme="majorEastAsia" w:eastAsiaTheme="majorEastAsia" w:hAnsiTheme="majorEastAsia" w:hint="eastAsia"/>
          <w:b/>
        </w:rPr>
        <w:t>耐圧部に取付ける小物取付物の材料</w:t>
      </w:r>
      <w:r w:rsidRPr="00BC31E0">
        <w:rPr>
          <w:rFonts w:hint="eastAsia"/>
        </w:rPr>
        <w:t xml:space="preserve">　耐圧部に取付ける小物取付物とは，小物部品</w:t>
      </w:r>
      <w:r w:rsidRPr="00BC31E0">
        <w:rPr>
          <w:rFonts w:asciiTheme="minorHAnsi" w:hAnsiTheme="minorHAnsi"/>
        </w:rPr>
        <w:t>(</w:t>
      </w:r>
      <w:r w:rsidRPr="00BC31E0">
        <w:rPr>
          <w:rFonts w:hint="eastAsia"/>
        </w:rPr>
        <w:t>厚さ</w:t>
      </w:r>
      <w:r w:rsidRPr="00BC31E0">
        <w:t xml:space="preserve">10 </w:t>
      </w:r>
      <w:r w:rsidRPr="00BC31E0">
        <w:lastRenderedPageBreak/>
        <w:t>mm</w:t>
      </w:r>
      <w:r w:rsidRPr="00BC31E0">
        <w:rPr>
          <w:rFonts w:hint="eastAsia"/>
        </w:rPr>
        <w:t>以下でかつ，体積</w:t>
      </w:r>
      <w:r w:rsidRPr="00BC31E0">
        <w:t>80,000 mm</w:t>
      </w:r>
      <w:r w:rsidRPr="00BC31E0">
        <w:rPr>
          <w:vertAlign w:val="superscript"/>
        </w:rPr>
        <w:t>3</w:t>
      </w:r>
      <w:r w:rsidRPr="00BC31E0">
        <w:rPr>
          <w:rFonts w:hint="eastAsia"/>
        </w:rPr>
        <w:t>以下のもの</w:t>
      </w:r>
      <w:r w:rsidRPr="00BC31E0">
        <w:rPr>
          <w:rFonts w:asciiTheme="minorHAnsi" w:hAnsiTheme="minorHAnsi"/>
        </w:rPr>
        <w:t>)</w:t>
      </w:r>
      <w:r w:rsidRPr="00BC31E0">
        <w:rPr>
          <w:rFonts w:hint="eastAsia"/>
        </w:rPr>
        <w:t>で，銘板，保温サポートラグ，位置決めラグなどの荷重を受けないか，又は設計者が荷重に対する計算が不要と判断できる小荷重しか受けないものをさす。</w:t>
      </w:r>
      <w:r w:rsidRPr="00BC31E0">
        <w:rPr>
          <w:rFonts w:asciiTheme="majorEastAsia" w:hAnsiTheme="majorEastAsia" w:hint="eastAsia"/>
          <w:b/>
          <w:bCs/>
        </w:rPr>
        <w:t>5</w:t>
      </w:r>
      <w:r w:rsidRPr="00BC31E0">
        <w:rPr>
          <w:rFonts w:hint="eastAsia"/>
        </w:rPr>
        <w:t>及び</w:t>
      </w:r>
      <w:r w:rsidRPr="00BC31E0">
        <w:rPr>
          <w:rFonts w:asciiTheme="majorEastAsia" w:hAnsiTheme="majorEastAsia" w:hint="eastAsia"/>
          <w:b/>
          <w:bCs/>
        </w:rPr>
        <w:t>7</w:t>
      </w:r>
      <w:r w:rsidRPr="00BC31E0">
        <w:rPr>
          <w:rFonts w:hint="eastAsia"/>
        </w:rPr>
        <w:t>により溶接が禁止されている</w:t>
      </w:r>
      <w:r w:rsidR="002A58A0" w:rsidRPr="00BC31E0">
        <w:rPr>
          <w:rFonts w:hint="eastAsia"/>
        </w:rPr>
        <w:t>材料</w:t>
      </w:r>
      <w:r w:rsidRPr="00BC31E0">
        <w:rPr>
          <w:rFonts w:hint="eastAsia"/>
        </w:rPr>
        <w:t>を除き，次</w:t>
      </w:r>
      <w:r w:rsidRPr="00BC31E0">
        <w:rPr>
          <w:rFonts w:asciiTheme="minorEastAsia" w:eastAsiaTheme="minorEastAsia" w:hAnsiTheme="minorEastAsia" w:hint="eastAsia"/>
        </w:rPr>
        <w:t>の</w:t>
      </w:r>
      <w:r w:rsidR="00D14C3D" w:rsidRPr="00BC31E0">
        <w:rPr>
          <w:rFonts w:asciiTheme="majorEastAsia" w:eastAsiaTheme="majorEastAsia" w:hAnsiTheme="majorEastAsia" w:hint="eastAsia"/>
          <w:b/>
        </w:rPr>
        <w:t>1)</w:t>
      </w:r>
      <w:r w:rsidR="00D14C3D" w:rsidRPr="00BC31E0">
        <w:rPr>
          <w:rFonts w:asciiTheme="minorEastAsia" w:eastAsiaTheme="minorEastAsia" w:hAnsiTheme="minorEastAsia" w:hint="eastAsia"/>
        </w:rPr>
        <w:t>～</w:t>
      </w:r>
      <w:r w:rsidR="00D14C3D" w:rsidRPr="00BC31E0">
        <w:rPr>
          <w:rFonts w:asciiTheme="majorEastAsia" w:eastAsiaTheme="majorEastAsia" w:hAnsiTheme="majorEastAsia" w:hint="eastAsia"/>
          <w:b/>
        </w:rPr>
        <w:t>3)</w:t>
      </w:r>
      <w:r w:rsidR="00D14C3D" w:rsidRPr="00BC31E0">
        <w:rPr>
          <w:rFonts w:asciiTheme="minorEastAsia" w:eastAsiaTheme="minorEastAsia" w:hAnsiTheme="minorEastAsia" w:hint="eastAsia"/>
        </w:rPr>
        <w:t>の</w:t>
      </w:r>
      <w:r w:rsidRPr="00BC31E0">
        <w:rPr>
          <w:rFonts w:hint="eastAsia"/>
        </w:rPr>
        <w:t>条件を満足する材料であれば</w:t>
      </w:r>
      <w:r w:rsidR="00EF7268" w:rsidRPr="00BC31E0">
        <w:rPr>
          <w:rFonts w:hint="eastAsia"/>
        </w:rPr>
        <w:t>，</w:t>
      </w:r>
      <w:r w:rsidRPr="00BC31E0">
        <w:rPr>
          <w:rFonts w:hint="eastAsia"/>
        </w:rPr>
        <w:t>この規格に記載されていない材料でもよく，また，耐圧部に直接溶接</w:t>
      </w:r>
      <w:r w:rsidR="00BB14CC" w:rsidRPr="00BC31E0">
        <w:rPr>
          <w:rFonts w:hint="eastAsia"/>
        </w:rPr>
        <w:t>してもよい</w:t>
      </w:r>
      <w:r w:rsidRPr="00BC31E0">
        <w:rPr>
          <w:rFonts w:hint="eastAsia"/>
        </w:rPr>
        <w:t>。</w:t>
      </w:r>
    </w:p>
    <w:p w14:paraId="48B950F6" w14:textId="77777777" w:rsidR="0006184F" w:rsidRPr="00BC31E0" w:rsidRDefault="0006184F" w:rsidP="00736130">
      <w:pPr>
        <w:pStyle w:val="a4"/>
        <w:numPr>
          <w:ilvl w:val="0"/>
          <w:numId w:val="435"/>
        </w:numPr>
        <w:ind w:leftChars="0" w:left="738" w:hanging="454"/>
      </w:pPr>
      <w:r w:rsidRPr="00BC31E0">
        <w:rPr>
          <w:rFonts w:hint="eastAsia"/>
        </w:rPr>
        <w:t>化学成分及び機械的性質が確認でき，溶接に適した</w:t>
      </w:r>
      <w:r w:rsidR="00EF7268" w:rsidRPr="00BC31E0">
        <w:rPr>
          <w:rFonts w:hint="eastAsia"/>
        </w:rPr>
        <w:t>材料</w:t>
      </w:r>
      <w:r w:rsidR="002B683C" w:rsidRPr="00BC31E0">
        <w:rPr>
          <w:rFonts w:hint="eastAsia"/>
        </w:rPr>
        <w:t>である。</w:t>
      </w:r>
    </w:p>
    <w:p w14:paraId="0863C0FE" w14:textId="77777777" w:rsidR="0006184F" w:rsidRPr="00BC31E0" w:rsidRDefault="0006184F" w:rsidP="00736130">
      <w:pPr>
        <w:pStyle w:val="a4"/>
        <w:numPr>
          <w:ilvl w:val="0"/>
          <w:numId w:val="436"/>
        </w:numPr>
        <w:ind w:leftChars="0"/>
      </w:pPr>
      <w:r w:rsidRPr="00BC31E0">
        <w:rPr>
          <w:rFonts w:hint="eastAsia"/>
        </w:rPr>
        <w:t>溶接に関しては，その材料が取付けられる耐圧部の材料に適合</w:t>
      </w:r>
      <w:r w:rsidR="00114FC2" w:rsidRPr="00BC31E0">
        <w:rPr>
          <w:rFonts w:hint="eastAsia"/>
        </w:rPr>
        <w:t>する</w:t>
      </w:r>
      <w:r w:rsidR="00EF7268" w:rsidRPr="00BC31E0">
        <w:rPr>
          <w:rFonts w:hint="eastAsia"/>
        </w:rPr>
        <w:t>材料</w:t>
      </w:r>
      <w:r w:rsidR="002B683C" w:rsidRPr="00BC31E0">
        <w:rPr>
          <w:rFonts w:hint="eastAsia"/>
        </w:rPr>
        <w:t>である。</w:t>
      </w:r>
    </w:p>
    <w:p w14:paraId="75EF78A8" w14:textId="77777777" w:rsidR="0006184F" w:rsidRPr="00BC31E0" w:rsidRDefault="0006184F" w:rsidP="00736130">
      <w:pPr>
        <w:pStyle w:val="a4"/>
        <w:numPr>
          <w:ilvl w:val="0"/>
          <w:numId w:val="437"/>
        </w:numPr>
        <w:ind w:leftChars="0"/>
      </w:pPr>
      <w:r w:rsidRPr="00BC31E0">
        <w:rPr>
          <w:rFonts w:asciiTheme="majorEastAsia" w:eastAsiaTheme="majorEastAsia" w:hAnsiTheme="majorEastAsia" w:hint="eastAsia"/>
          <w:b/>
          <w:bCs/>
        </w:rPr>
        <w:t>7</w:t>
      </w:r>
      <w:r w:rsidRPr="00BC31E0">
        <w:rPr>
          <w:rFonts w:hint="eastAsia"/>
        </w:rPr>
        <w:t>によって溶接後熱処理が要求され</w:t>
      </w:r>
      <w:r w:rsidR="00EF7268" w:rsidRPr="00BC31E0">
        <w:rPr>
          <w:rFonts w:hint="eastAsia"/>
        </w:rPr>
        <w:t>る材料</w:t>
      </w:r>
      <w:r w:rsidRPr="00BC31E0">
        <w:rPr>
          <w:rFonts w:hint="eastAsia"/>
        </w:rPr>
        <w:t>に対しては，溶接部を溶接後熱処理する。</w:t>
      </w:r>
    </w:p>
    <w:p w14:paraId="7EF4C18F" w14:textId="77777777" w:rsidR="0006184F" w:rsidRPr="00BC31E0" w:rsidRDefault="0006184F" w:rsidP="00204814">
      <w:pPr>
        <w:pStyle w:val="3"/>
        <w:tabs>
          <w:tab w:val="clear" w:pos="284"/>
        </w:tabs>
        <w:ind w:left="794" w:hanging="794"/>
      </w:pPr>
      <w:r w:rsidRPr="00BC31E0">
        <w:rPr>
          <w:rFonts w:hint="eastAsia"/>
        </w:rPr>
        <w:t>耐圧部材への非耐圧部材の取付け溶接</w:t>
      </w:r>
    </w:p>
    <w:p w14:paraId="0EB286F5" w14:textId="77777777" w:rsidR="0006184F" w:rsidRPr="00BC31E0" w:rsidRDefault="0006184F" w:rsidP="002F5771">
      <w:pPr>
        <w:pStyle w:val="1110"/>
        <w:ind w:firstLine="211"/>
      </w:pPr>
      <w:r w:rsidRPr="00BC31E0">
        <w:rPr>
          <w:rFonts w:asciiTheme="majorEastAsia" w:eastAsiaTheme="majorEastAsia" w:hAnsiTheme="majorEastAsia" w:hint="eastAsia"/>
          <w:b/>
        </w:rPr>
        <w:t>6.7.2 a)</w:t>
      </w:r>
      <w:r w:rsidRPr="00BC31E0">
        <w:rPr>
          <w:rFonts w:hint="eastAsia"/>
        </w:rPr>
        <w:t>に定義される耐圧部に取付ける主要取付物は，次の</w:t>
      </w:r>
      <w:r w:rsidRPr="00BC31E0">
        <w:rPr>
          <w:rFonts w:ascii="ＭＳ ゴシック" w:eastAsia="ＭＳ ゴシック" w:hAnsi="ＭＳ ゴシック" w:hint="eastAsia"/>
          <w:b/>
        </w:rPr>
        <w:t>a)</w:t>
      </w:r>
      <w:r w:rsidRPr="00BC31E0">
        <w:rPr>
          <w:rFonts w:hint="eastAsia"/>
        </w:rPr>
        <w:t>～</w:t>
      </w:r>
      <w:r w:rsidRPr="00BC31E0">
        <w:rPr>
          <w:rFonts w:ascii="ＭＳ ゴシック" w:eastAsia="ＭＳ ゴシック" w:hAnsi="ＭＳ ゴシック" w:hint="eastAsia"/>
          <w:b/>
        </w:rPr>
        <w:t>d)</w:t>
      </w:r>
      <w:r w:rsidRPr="00BC31E0">
        <w:rPr>
          <w:rFonts w:hint="eastAsia"/>
        </w:rPr>
        <w:t>を適用する。</w:t>
      </w:r>
      <w:r w:rsidRPr="00BC31E0">
        <w:rPr>
          <w:rFonts w:ascii="ＭＳ ゴシック" w:eastAsia="ＭＳ ゴシック" w:hAnsi="ＭＳ ゴシック" w:hint="eastAsia"/>
          <w:b/>
        </w:rPr>
        <w:t>6.7.2 b)</w:t>
      </w:r>
      <w:r w:rsidRPr="00BC31E0">
        <w:rPr>
          <w:rFonts w:hint="eastAsia"/>
        </w:rPr>
        <w:t>に定義される耐圧部に取付ける小物取付物は，次の</w:t>
      </w:r>
      <w:r w:rsidRPr="00BC31E0">
        <w:rPr>
          <w:rFonts w:ascii="ＭＳ ゴシック" w:eastAsia="ＭＳ ゴシック" w:hAnsi="ＭＳ ゴシック" w:hint="eastAsia"/>
          <w:b/>
        </w:rPr>
        <w:t>b)</w:t>
      </w:r>
      <w:r w:rsidRPr="00BC31E0">
        <w:rPr>
          <w:rFonts w:hint="eastAsia"/>
        </w:rPr>
        <w:t>を適用する。</w:t>
      </w:r>
    </w:p>
    <w:p w14:paraId="71F03027" w14:textId="77777777" w:rsidR="0006184F" w:rsidRPr="00BC31E0" w:rsidRDefault="0006184F" w:rsidP="00736130">
      <w:pPr>
        <w:pStyle w:val="a4"/>
        <w:numPr>
          <w:ilvl w:val="0"/>
          <w:numId w:val="298"/>
        </w:numPr>
        <w:ind w:leftChars="0" w:left="454" w:hanging="454"/>
      </w:pPr>
      <w:r w:rsidRPr="00BC31E0">
        <w:rPr>
          <w:rFonts w:asciiTheme="majorEastAsia" w:eastAsiaTheme="majorEastAsia" w:hAnsiTheme="majorEastAsia" w:hint="eastAsia"/>
          <w:b/>
        </w:rPr>
        <w:t>取付物の位置の制限</w:t>
      </w:r>
      <w:r w:rsidRPr="00BC31E0">
        <w:rPr>
          <w:rFonts w:hint="eastAsia"/>
        </w:rPr>
        <w:t xml:space="preserve">　</w:t>
      </w:r>
      <w:r w:rsidRPr="00BC31E0">
        <w:rPr>
          <w:rFonts w:ascii="ＭＳ 明朝" w:hint="eastAsia"/>
        </w:rPr>
        <w:t>耐圧部材に非耐圧部材を取付ける溶接は，総体的構造不連続部から</w:t>
      </w:r>
      <m:oMath>
        <m:rad>
          <m:radPr>
            <m:degHide m:val="1"/>
            <m:ctrlPr>
              <w:rPr>
                <w:rFonts w:ascii="Cambria Math" w:hAnsi="Cambria Math"/>
                <w:i/>
              </w:rPr>
            </m:ctrlPr>
          </m:radPr>
          <m:deg/>
          <m:e>
            <m:sSub>
              <m:sSubPr>
                <m:ctrlPr>
                  <w:rPr>
                    <w:rFonts w:ascii="Cambria Math" w:hAnsi="Cambria Math"/>
                    <w:i/>
                  </w:rPr>
                </m:ctrlPr>
              </m:sSubPr>
              <m:e>
                <m:r>
                  <w:rPr>
                    <w:rFonts w:ascii="Cambria Math" w:hAnsi="Cambria Math"/>
                  </w:rPr>
                  <m:t>R</m:t>
                </m:r>
              </m:e>
              <m:sub>
                <m:r>
                  <w:rPr>
                    <w:rFonts w:ascii="Cambria Math" w:hAnsi="Cambria Math"/>
                  </w:rPr>
                  <m:t>m</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s</m:t>
                </m:r>
              </m:sub>
            </m:sSub>
          </m:e>
        </m:rad>
        <m:r>
          <w:rPr>
            <w:rFonts w:ascii="Cambria Math" w:hAnsi="Cambria Math"/>
          </w:rPr>
          <m:t xml:space="preserve">  </m:t>
        </m:r>
      </m:oMath>
      <w:r w:rsidRPr="00BC31E0">
        <w:rPr>
          <w:rFonts w:ascii="ＭＳ 明朝" w:hint="eastAsia"/>
        </w:rPr>
        <w:t>以上離さなければならない。</w:t>
      </w:r>
    </w:p>
    <w:p w14:paraId="26744F7E" w14:textId="77777777" w:rsidR="0006184F" w:rsidRPr="00BC31E0" w:rsidRDefault="0006184F" w:rsidP="00204814">
      <w:pPr>
        <w:pStyle w:val="5"/>
        <w:numPr>
          <w:ilvl w:val="0"/>
          <w:numId w:val="0"/>
        </w:numPr>
        <w:ind w:left="454" w:firstLineChars="100" w:firstLine="210"/>
        <w:rPr>
          <w:rFonts w:ascii="ＭＳ 明朝" w:eastAsia="ＭＳ 明朝" w:hAnsi="ＭＳ 明朝"/>
          <w:b w:val="0"/>
          <w:bCs/>
        </w:rPr>
      </w:pPr>
      <w:r w:rsidRPr="00BC31E0">
        <w:rPr>
          <w:rFonts w:ascii="ＭＳ 明朝" w:eastAsia="ＭＳ 明朝" w:hAnsi="ＭＳ 明朝" w:hint="eastAsia"/>
          <w:b w:val="0"/>
          <w:bCs/>
        </w:rPr>
        <w:t>ここで，</w:t>
      </w:r>
    </w:p>
    <w:p w14:paraId="571A4A0C" w14:textId="77777777" w:rsidR="0006184F" w:rsidRPr="00BC31E0" w:rsidRDefault="00A51873" w:rsidP="002F5771">
      <w:pPr>
        <w:tabs>
          <w:tab w:val="left" w:pos="1560"/>
        </w:tabs>
        <w:ind w:left="1134"/>
      </w:pPr>
      <m:oMath>
        <m:sSub>
          <m:sSubPr>
            <m:ctrlPr>
              <w:rPr>
                <w:rFonts w:ascii="Cambria Math" w:hAnsi="Cambria Math"/>
                <w:i/>
              </w:rPr>
            </m:ctrlPr>
          </m:sSubPr>
          <m:e>
            <m:r>
              <w:rPr>
                <w:rFonts w:ascii="Cambria Math" w:hAnsi="Cambria Math"/>
              </w:rPr>
              <m:t>R</m:t>
            </m:r>
          </m:e>
          <m:sub>
            <m:r>
              <w:rPr>
                <w:rFonts w:ascii="Cambria Math" w:hAnsi="Cambria Math"/>
              </w:rPr>
              <m:t>m</m:t>
            </m:r>
          </m:sub>
        </m:sSub>
      </m:oMath>
      <w:r w:rsidR="0006184F" w:rsidRPr="00BC31E0">
        <w:rPr>
          <w:rFonts w:hint="eastAsia"/>
        </w:rPr>
        <w:tab/>
      </w:r>
      <w:r w:rsidR="0006184F" w:rsidRPr="00BC31E0">
        <w:rPr>
          <w:rFonts w:hint="eastAsia"/>
        </w:rPr>
        <w:t>：</w:t>
      </w:r>
      <w:r w:rsidR="0006184F" w:rsidRPr="00BC31E0">
        <w:rPr>
          <w:rFonts w:hint="eastAsia"/>
        </w:rPr>
        <w:t xml:space="preserve"> </w:t>
      </w:r>
      <w:r w:rsidR="0006184F" w:rsidRPr="00BC31E0">
        <w:rPr>
          <w:rFonts w:hint="eastAsia"/>
        </w:rPr>
        <w:t>不連続部における胴の厚さ中心部の半径</w:t>
      </w:r>
      <w:r w:rsidR="0006184F" w:rsidRPr="00BC31E0">
        <w:rPr>
          <w:rFonts w:hint="eastAsia"/>
        </w:rPr>
        <w:t>(</w:t>
      </w:r>
      <w:r w:rsidR="0006184F" w:rsidRPr="00BC31E0">
        <w:t>mm</w:t>
      </w:r>
      <w:r w:rsidR="0006184F" w:rsidRPr="00BC31E0">
        <w:rPr>
          <w:rFonts w:hint="eastAsia"/>
        </w:rPr>
        <w:t>)</w:t>
      </w:r>
    </w:p>
    <w:p w14:paraId="26978DD2" w14:textId="77777777" w:rsidR="0006184F" w:rsidRPr="00BC31E0" w:rsidRDefault="00A51873" w:rsidP="002F5771">
      <w:pPr>
        <w:tabs>
          <w:tab w:val="left" w:pos="1560"/>
        </w:tabs>
        <w:ind w:left="1134"/>
      </w:pP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06184F" w:rsidRPr="00BC31E0">
        <w:rPr>
          <w:rFonts w:hint="eastAsia"/>
        </w:rPr>
        <w:tab/>
      </w:r>
      <w:r w:rsidR="0006184F" w:rsidRPr="00BC31E0">
        <w:rPr>
          <w:rFonts w:hint="eastAsia"/>
        </w:rPr>
        <w:t>：</w:t>
      </w:r>
      <w:r w:rsidR="0006184F" w:rsidRPr="00BC31E0">
        <w:rPr>
          <w:rFonts w:hint="eastAsia"/>
        </w:rPr>
        <w:t xml:space="preserve"> </w:t>
      </w:r>
      <w:r w:rsidR="0006184F" w:rsidRPr="00BC31E0">
        <w:rPr>
          <w:rFonts w:hint="eastAsia"/>
        </w:rPr>
        <w:t>胴の厚さ</w:t>
      </w:r>
      <w:r w:rsidR="0006184F" w:rsidRPr="00BC31E0">
        <w:rPr>
          <w:rFonts w:hint="eastAsia"/>
        </w:rPr>
        <w:t>(</w:t>
      </w:r>
      <w:r w:rsidR="0006184F" w:rsidRPr="00BC31E0">
        <w:t>mm</w:t>
      </w:r>
      <w:r w:rsidR="0006184F" w:rsidRPr="00BC31E0">
        <w:rPr>
          <w:rFonts w:hint="eastAsia"/>
        </w:rPr>
        <w:t>)</w:t>
      </w:r>
    </w:p>
    <w:p w14:paraId="1F287481" w14:textId="77777777" w:rsidR="0006184F" w:rsidRPr="00BC31E0" w:rsidRDefault="0006184F" w:rsidP="00736130">
      <w:pPr>
        <w:pStyle w:val="a4"/>
        <w:numPr>
          <w:ilvl w:val="0"/>
          <w:numId w:val="299"/>
        </w:numPr>
        <w:ind w:leftChars="0" w:left="454" w:hanging="454"/>
        <w:rPr>
          <w:rFonts w:ascii="ＭＳ 明朝"/>
        </w:rPr>
      </w:pPr>
      <w:r w:rsidRPr="00BC31E0">
        <w:rPr>
          <w:rFonts w:asciiTheme="majorEastAsia" w:eastAsiaTheme="majorEastAsia" w:hAnsiTheme="majorEastAsia" w:hint="eastAsia"/>
          <w:b/>
          <w:bCs/>
        </w:rPr>
        <w:t>取付け溶接継手の種類</w:t>
      </w:r>
      <w:r w:rsidRPr="00BC31E0">
        <w:rPr>
          <w:rFonts w:hint="eastAsia"/>
        </w:rPr>
        <w:t xml:space="preserve">　</w:t>
      </w:r>
      <w:r w:rsidRPr="00BC31E0">
        <w:rPr>
          <w:rFonts w:ascii="ＭＳ 明朝" w:hint="eastAsia"/>
        </w:rPr>
        <w:t>耐圧部材に非耐圧部材を取付ける溶接継手の種類は，次</w:t>
      </w:r>
      <w:r w:rsidR="00DA7076" w:rsidRPr="00BC31E0">
        <w:rPr>
          <w:rFonts w:ascii="ＭＳ 明朝" w:hint="eastAsia"/>
        </w:rPr>
        <w:t>の</w:t>
      </w:r>
      <w:r w:rsidR="00DA7076" w:rsidRPr="00BC31E0">
        <w:rPr>
          <w:rFonts w:asciiTheme="majorEastAsia" w:eastAsiaTheme="majorEastAsia" w:hAnsiTheme="majorEastAsia" w:hint="eastAsia"/>
          <w:b/>
        </w:rPr>
        <w:t>1)</w:t>
      </w:r>
      <w:r w:rsidR="00DA7076" w:rsidRPr="00BC31E0">
        <w:rPr>
          <w:rFonts w:ascii="ＭＳ 明朝" w:hint="eastAsia"/>
        </w:rPr>
        <w:t>，</w:t>
      </w:r>
      <w:r w:rsidR="00DA7076" w:rsidRPr="00BC31E0">
        <w:rPr>
          <w:rFonts w:asciiTheme="majorEastAsia" w:eastAsiaTheme="majorEastAsia" w:hAnsiTheme="majorEastAsia" w:hint="eastAsia"/>
          <w:b/>
        </w:rPr>
        <w:t>2)</w:t>
      </w:r>
      <w:r w:rsidRPr="00BC31E0">
        <w:rPr>
          <w:rFonts w:ascii="ＭＳ 明朝" w:hint="eastAsia"/>
        </w:rPr>
        <w:t>による。</w:t>
      </w:r>
    </w:p>
    <w:p w14:paraId="6E0A29B7" w14:textId="77777777" w:rsidR="002F5771" w:rsidRPr="00BC31E0" w:rsidRDefault="0006184F" w:rsidP="00736130">
      <w:pPr>
        <w:pStyle w:val="a4"/>
        <w:numPr>
          <w:ilvl w:val="0"/>
          <w:numId w:val="300"/>
        </w:numPr>
        <w:ind w:leftChars="0" w:left="738" w:hanging="454"/>
      </w:pPr>
      <w:r w:rsidRPr="00BC31E0">
        <w:rPr>
          <w:rFonts w:asciiTheme="majorEastAsia" w:eastAsiaTheme="majorEastAsia" w:hAnsiTheme="majorEastAsia" w:hint="eastAsia"/>
          <w:b/>
        </w:rPr>
        <w:t>完全溶込み溶接</w:t>
      </w:r>
      <w:r w:rsidRPr="00BC31E0">
        <w:rPr>
          <w:rFonts w:hint="eastAsia"/>
        </w:rPr>
        <w:t xml:space="preserve">　</w:t>
      </w:r>
      <w:r w:rsidRPr="00BC31E0">
        <w:rPr>
          <w:rFonts w:asciiTheme="minorHAnsi" w:eastAsiaTheme="minorEastAsia" w:hAnsiTheme="minorEastAsia"/>
        </w:rPr>
        <w:t>完全溶込み溶接は，</w:t>
      </w:r>
      <w:r w:rsidRPr="00BC31E0">
        <w:rPr>
          <w:rFonts w:asciiTheme="majorEastAsia" w:eastAsiaTheme="majorEastAsia" w:hAnsiTheme="majorEastAsia"/>
          <w:b/>
          <w:bCs/>
        </w:rPr>
        <w:t>図6.7.1(c)</w:t>
      </w:r>
      <w:r w:rsidRPr="00BC31E0">
        <w:rPr>
          <w:rFonts w:asciiTheme="minorHAnsi" w:eastAsiaTheme="minorEastAsia" w:hAnsiTheme="minorEastAsia"/>
        </w:rPr>
        <w:t>を参照する。</w:t>
      </w:r>
    </w:p>
    <w:p w14:paraId="16EF3BCE" w14:textId="77777777" w:rsidR="0006184F" w:rsidRPr="00BC31E0" w:rsidRDefault="0006184F" w:rsidP="00736130">
      <w:pPr>
        <w:pStyle w:val="a4"/>
        <w:numPr>
          <w:ilvl w:val="0"/>
          <w:numId w:val="300"/>
        </w:numPr>
        <w:ind w:leftChars="0" w:left="738" w:hanging="454"/>
      </w:pPr>
      <w:r w:rsidRPr="00BC31E0">
        <w:rPr>
          <w:rFonts w:asciiTheme="majorEastAsia" w:eastAsiaTheme="majorEastAsia" w:hint="eastAsia"/>
          <w:b/>
        </w:rPr>
        <w:t>完全溶込み溶接と片側又は両側すみ肉溶接の併用</w:t>
      </w:r>
      <w:r w:rsidRPr="00BC31E0">
        <w:rPr>
          <w:rFonts w:hint="eastAsia"/>
        </w:rPr>
        <w:t xml:space="preserve">　完全溶込み溶接と片側又は両側すみ肉溶接の併用は，</w:t>
      </w:r>
      <w:r w:rsidRPr="00BC31E0">
        <w:rPr>
          <w:rFonts w:asciiTheme="majorEastAsia" w:eastAsiaTheme="majorEastAsia" w:hAnsiTheme="majorEastAsia" w:hint="eastAsia"/>
          <w:b/>
        </w:rPr>
        <w:t>図6.7.1</w:t>
      </w:r>
      <w:r w:rsidRPr="00BC31E0">
        <w:rPr>
          <w:rFonts w:asciiTheme="majorEastAsia" w:eastAsiaTheme="majorEastAsia" w:hAnsiTheme="majorEastAsia"/>
          <w:b/>
        </w:rPr>
        <w:t>(a)</w:t>
      </w:r>
      <w:r w:rsidRPr="00BC31E0">
        <w:rPr>
          <w:rFonts w:asciiTheme="minorEastAsia" w:hAnsiTheme="minorEastAsia" w:hint="eastAsia"/>
        </w:rPr>
        <w:t>及び</w:t>
      </w:r>
      <w:r w:rsidRPr="00BC31E0">
        <w:rPr>
          <w:rFonts w:asciiTheme="majorEastAsia" w:eastAsiaTheme="majorEastAsia" w:hAnsiTheme="majorEastAsia"/>
          <w:b/>
        </w:rPr>
        <w:t>(</w:t>
      </w:r>
      <w:r w:rsidRPr="00BC31E0">
        <w:rPr>
          <w:rFonts w:asciiTheme="majorEastAsia" w:eastAsiaTheme="majorEastAsia" w:hAnsiTheme="majorEastAsia" w:hint="eastAsia"/>
          <w:b/>
        </w:rPr>
        <w:t>b</w:t>
      </w:r>
      <w:r w:rsidRPr="00BC31E0">
        <w:rPr>
          <w:rFonts w:asciiTheme="majorEastAsia" w:eastAsiaTheme="majorEastAsia" w:hAnsiTheme="majorEastAsia"/>
          <w:b/>
        </w:rPr>
        <w:t>)</w:t>
      </w:r>
      <w:r w:rsidRPr="00BC31E0">
        <w:rPr>
          <w:rFonts w:hAnsi="ＭＳ 明朝" w:hint="eastAsia"/>
        </w:rPr>
        <w:t>を参照する。</w:t>
      </w:r>
    </w:p>
    <w:p w14:paraId="72D61E15" w14:textId="77777777" w:rsidR="002F5771" w:rsidRPr="00BC31E0" w:rsidRDefault="0006184F" w:rsidP="00736130">
      <w:pPr>
        <w:pStyle w:val="a4"/>
        <w:numPr>
          <w:ilvl w:val="0"/>
          <w:numId w:val="295"/>
        </w:numPr>
        <w:ind w:leftChars="0" w:left="454" w:hanging="454"/>
        <w:rPr>
          <w:rFonts w:ascii="ＭＳ 明朝"/>
        </w:rPr>
      </w:pPr>
      <w:r w:rsidRPr="00BC31E0">
        <w:rPr>
          <w:rFonts w:asciiTheme="majorEastAsia" w:eastAsiaTheme="majorEastAsia" w:hAnsiTheme="majorEastAsia" w:hint="eastAsia"/>
          <w:b/>
          <w:bCs/>
        </w:rPr>
        <w:t>取付物の溶接強さ</w:t>
      </w:r>
      <w:r w:rsidRPr="00BC31E0">
        <w:rPr>
          <w:rFonts w:hint="eastAsia"/>
        </w:rPr>
        <w:t xml:space="preserve">　</w:t>
      </w:r>
      <w:r w:rsidRPr="00BC31E0">
        <w:rPr>
          <w:rFonts w:ascii="ＭＳ 明朝" w:hint="eastAsia"/>
        </w:rPr>
        <w:t>取付物の溶接強さは，最小溶接面積と溶接される二つの材料の，弱い方の材料の</w:t>
      </w:r>
      <w:r w:rsidRPr="00BC31E0">
        <w:rPr>
          <w:rFonts w:asciiTheme="majorEastAsia" w:eastAsiaTheme="majorEastAsia" w:hAnsiTheme="majorEastAsia" w:hint="eastAsia"/>
          <w:b/>
          <w:bCs/>
        </w:rPr>
        <w:t>5.4</w:t>
      </w:r>
      <w:r w:rsidRPr="00BC31E0">
        <w:rPr>
          <w:rFonts w:ascii="ＭＳ 明朝" w:hint="eastAsia"/>
        </w:rPr>
        <w:t>に規定する降伏強さと引張強さ及び</w:t>
      </w:r>
      <w:r w:rsidRPr="00BC31E0">
        <w:rPr>
          <w:rFonts w:asciiTheme="majorEastAsia" w:eastAsiaTheme="majorEastAsia" w:hAnsiTheme="majorEastAsia" w:hint="eastAsia"/>
          <w:b/>
          <w:bCs/>
        </w:rPr>
        <w:t>6.2</w:t>
      </w:r>
      <w:r w:rsidRPr="00BC31E0">
        <w:rPr>
          <w:rFonts w:ascii="ＭＳ 明朝" w:hint="eastAsia"/>
        </w:rPr>
        <w:t>の規定に従う。</w:t>
      </w:r>
    </w:p>
    <w:p w14:paraId="1B4CFA13" w14:textId="77777777" w:rsidR="0006184F" w:rsidRPr="00BC31E0" w:rsidRDefault="0006184F" w:rsidP="00736130">
      <w:pPr>
        <w:pStyle w:val="a4"/>
        <w:numPr>
          <w:ilvl w:val="0"/>
          <w:numId w:val="295"/>
        </w:numPr>
        <w:ind w:leftChars="0" w:left="454" w:hanging="454"/>
        <w:rPr>
          <w:rFonts w:ascii="ＭＳ 明朝"/>
        </w:rPr>
      </w:pPr>
      <w:r w:rsidRPr="00BC31E0">
        <w:rPr>
          <w:rFonts w:asciiTheme="majorEastAsia" w:eastAsiaTheme="majorEastAsia" w:hAnsiTheme="majorEastAsia" w:hint="eastAsia"/>
          <w:b/>
          <w:bCs/>
        </w:rPr>
        <w:t>取付け溶接の疲労評価</w:t>
      </w:r>
      <w:r w:rsidRPr="00BC31E0">
        <w:rPr>
          <w:rFonts w:hint="eastAsia"/>
        </w:rPr>
        <w:t xml:space="preserve">　</w:t>
      </w:r>
      <w:r w:rsidRPr="00BC31E0">
        <w:rPr>
          <w:rFonts w:asciiTheme="majorEastAsia" w:eastAsiaTheme="majorEastAsia" w:hAnsiTheme="majorEastAsia" w:hint="eastAsia"/>
          <w:b/>
          <w:bCs/>
        </w:rPr>
        <w:t>6.3</w:t>
      </w:r>
      <w:r w:rsidRPr="00BC31E0">
        <w:rPr>
          <w:rFonts w:ascii="ＭＳ 明朝" w:hint="eastAsia"/>
          <w:bCs/>
        </w:rPr>
        <w:t>の疲労評価又は</w:t>
      </w:r>
      <w:r w:rsidRPr="00BC31E0">
        <w:rPr>
          <w:rFonts w:asciiTheme="majorEastAsia" w:eastAsiaTheme="majorEastAsia" w:hAnsiTheme="majorEastAsia" w:hint="eastAsia"/>
          <w:b/>
          <w:bCs/>
        </w:rPr>
        <w:t>6.4</w:t>
      </w:r>
      <w:r w:rsidRPr="00BC31E0">
        <w:rPr>
          <w:rFonts w:ascii="ＭＳ 明朝" w:hint="eastAsia"/>
        </w:rPr>
        <w:t>の破壊力学評価を適用する。</w:t>
      </w:r>
    </w:p>
    <w:p w14:paraId="73227AD9" w14:textId="77777777" w:rsidR="0006184F" w:rsidRPr="00BC31E0" w:rsidRDefault="0006184F" w:rsidP="005344F9">
      <w:pPr>
        <w:pStyle w:val="3"/>
        <w:tabs>
          <w:tab w:val="clear" w:pos="284"/>
        </w:tabs>
        <w:ind w:left="794" w:hanging="794"/>
      </w:pPr>
      <w:r w:rsidRPr="00BC31E0">
        <w:rPr>
          <w:rFonts w:hint="eastAsia"/>
        </w:rPr>
        <w:t>取付物の設計</w:t>
      </w:r>
    </w:p>
    <w:p w14:paraId="0CCFCFC5" w14:textId="77777777" w:rsidR="0006184F" w:rsidRPr="00BC31E0" w:rsidRDefault="0006184F" w:rsidP="00DA7076">
      <w:pPr>
        <w:pStyle w:val="1110"/>
        <w:ind w:firstLine="210"/>
      </w:pPr>
      <w:r w:rsidRPr="00BC31E0">
        <w:rPr>
          <w:rFonts w:hint="eastAsia"/>
        </w:rPr>
        <w:t>外部及び内部の配管も含めて取付物が容器に及ぼす影響は，この規格の他の要求に合うように考慮して設計しなければならない。</w:t>
      </w:r>
    </w:p>
    <w:p w14:paraId="1B6272A3" w14:textId="77777777" w:rsidR="0006184F" w:rsidRPr="00BC31E0" w:rsidRDefault="0006184F" w:rsidP="005344F9">
      <w:pPr>
        <w:pStyle w:val="3"/>
        <w:ind w:left="794" w:hanging="794"/>
      </w:pPr>
      <w:r w:rsidRPr="00BC31E0">
        <w:rPr>
          <w:rFonts w:hint="eastAsia"/>
        </w:rPr>
        <w:t>支持構造物の設計</w:t>
      </w:r>
    </w:p>
    <w:p w14:paraId="2AD4A84A" w14:textId="77777777" w:rsidR="0006184F" w:rsidRPr="00BC31E0" w:rsidRDefault="0006184F" w:rsidP="00DA7076">
      <w:pPr>
        <w:pStyle w:val="1110"/>
        <w:ind w:firstLine="210"/>
      </w:pPr>
      <w:r w:rsidRPr="00BC31E0">
        <w:rPr>
          <w:rFonts w:hint="eastAsia"/>
        </w:rPr>
        <w:t>支持構造物の設計は，次の</w:t>
      </w:r>
      <w:r w:rsidRPr="00BC31E0">
        <w:rPr>
          <w:rFonts w:ascii="ＭＳ ゴシック" w:eastAsia="ＭＳ ゴシック" w:hint="eastAsia"/>
          <w:b/>
        </w:rPr>
        <w:t>a)</w:t>
      </w:r>
      <w:r w:rsidRPr="00BC31E0">
        <w:rPr>
          <w:rFonts w:hint="eastAsia"/>
        </w:rPr>
        <w:t>～</w:t>
      </w:r>
      <w:r w:rsidRPr="00BC31E0">
        <w:rPr>
          <w:rFonts w:ascii="ＭＳ ゴシック" w:eastAsia="ＭＳ ゴシック" w:hint="eastAsia"/>
          <w:b/>
        </w:rPr>
        <w:t>c)</w:t>
      </w:r>
      <w:r w:rsidRPr="00BC31E0">
        <w:rPr>
          <w:rFonts w:hint="eastAsia"/>
        </w:rPr>
        <w:t>による。</w:t>
      </w:r>
    </w:p>
    <w:p w14:paraId="3B48E6E4" w14:textId="77777777" w:rsidR="0006184F" w:rsidRPr="00BC31E0" w:rsidRDefault="0006184F" w:rsidP="00736130">
      <w:pPr>
        <w:pStyle w:val="a4"/>
        <w:numPr>
          <w:ilvl w:val="0"/>
          <w:numId w:val="438"/>
        </w:numPr>
        <w:ind w:leftChars="0" w:left="454" w:hanging="454"/>
      </w:pPr>
      <w:r w:rsidRPr="00BC31E0">
        <w:rPr>
          <w:rFonts w:hint="eastAsia"/>
        </w:rPr>
        <w:t>容器の支持方法，支持部材の配置及び容器への取付方法は，最大荷重を考慮して決める。考慮すべき荷重には，圧力，容器の自重，内容物の重量，機器及び配管の荷重，風及び地震による荷重が含まれる</w:t>
      </w:r>
      <w:r w:rsidRPr="00BC31E0">
        <w:rPr>
          <w:rFonts w:asciiTheme="minorHAnsi" w:hAnsiTheme="minorHAnsi"/>
        </w:rPr>
        <w:t>(</w:t>
      </w:r>
      <w:r w:rsidRPr="00BC31E0">
        <w:rPr>
          <w:rFonts w:asciiTheme="majorEastAsia" w:eastAsiaTheme="majorEastAsia" w:hAnsiTheme="majorEastAsia" w:hint="eastAsia"/>
          <w:b/>
        </w:rPr>
        <w:t>6.2</w:t>
      </w:r>
      <w:r w:rsidRPr="00BC31E0">
        <w:rPr>
          <w:rFonts w:hint="eastAsia"/>
          <w:bCs/>
        </w:rPr>
        <w:t>を</w:t>
      </w:r>
      <w:r w:rsidRPr="00BC31E0">
        <w:rPr>
          <w:rFonts w:hint="eastAsia"/>
        </w:rPr>
        <w:t>参照</w:t>
      </w:r>
      <w:r w:rsidRPr="00BC31E0">
        <w:rPr>
          <w:rFonts w:asciiTheme="minorHAnsi" w:hAnsiTheme="minorHAnsi"/>
        </w:rPr>
        <w:t>)</w:t>
      </w:r>
      <w:r w:rsidRPr="00BC31E0">
        <w:rPr>
          <w:rFonts w:hint="eastAsia"/>
        </w:rPr>
        <w:t>。なお，風及び地震による荷重は，同時に考える必要はない。</w:t>
      </w:r>
    </w:p>
    <w:p w14:paraId="76CE81A8" w14:textId="77777777" w:rsidR="0006184F" w:rsidRPr="00BC31E0" w:rsidRDefault="0006184F" w:rsidP="00736130">
      <w:pPr>
        <w:pStyle w:val="a4"/>
        <w:numPr>
          <w:ilvl w:val="0"/>
          <w:numId w:val="438"/>
        </w:numPr>
        <w:ind w:leftChars="0" w:left="454" w:hanging="454"/>
      </w:pPr>
      <w:r w:rsidRPr="00BC31E0">
        <w:rPr>
          <w:rFonts w:hint="eastAsia"/>
        </w:rPr>
        <w:t>この規格で取り扱う範囲に含まれる支持構造物の膜応力は，</w:t>
      </w:r>
      <w:r w:rsidRPr="00BC31E0">
        <w:rPr>
          <w:rFonts w:asciiTheme="majorEastAsia" w:eastAsiaTheme="majorEastAsia" w:hAnsiTheme="majorEastAsia" w:hint="eastAsia"/>
          <w:b/>
        </w:rPr>
        <w:t>表6.2.6</w:t>
      </w:r>
      <w:r w:rsidRPr="00BC31E0">
        <w:rPr>
          <w:rFonts w:hint="eastAsia"/>
        </w:rPr>
        <w:t>に示す制限値を超えてはならない。</w:t>
      </w:r>
    </w:p>
    <w:p w14:paraId="6B50F926" w14:textId="77777777" w:rsidR="0006184F" w:rsidRPr="00BC31E0" w:rsidRDefault="0006184F" w:rsidP="00736130">
      <w:pPr>
        <w:pStyle w:val="a4"/>
        <w:numPr>
          <w:ilvl w:val="0"/>
          <w:numId w:val="438"/>
        </w:numPr>
        <w:ind w:leftChars="0" w:left="454" w:hanging="454"/>
      </w:pPr>
      <w:r w:rsidRPr="00BC31E0">
        <w:rPr>
          <w:rFonts w:hint="eastAsia"/>
        </w:rPr>
        <w:t>着脱式の底ふたが設けられた縦置き容器の支持構造は，底ふたが運転，検査のために定期的に取り外せる設計とする。</w:t>
      </w:r>
    </w:p>
    <w:p w14:paraId="1C730F08" w14:textId="77777777" w:rsidR="0006184F" w:rsidRPr="00BC31E0" w:rsidRDefault="0006184F" w:rsidP="00095BB6">
      <w:pPr>
        <w:pStyle w:val="3"/>
        <w:tabs>
          <w:tab w:val="clear" w:pos="284"/>
        </w:tabs>
        <w:ind w:left="794" w:hanging="794"/>
      </w:pPr>
      <w:r w:rsidRPr="00BC31E0">
        <w:rPr>
          <w:rFonts w:hint="eastAsia"/>
        </w:rPr>
        <w:t>ジャケット</w:t>
      </w:r>
    </w:p>
    <w:p w14:paraId="051472DD" w14:textId="77777777" w:rsidR="0006184F" w:rsidRPr="00BC31E0" w:rsidRDefault="0006184F" w:rsidP="004517FD">
      <w:pPr>
        <w:pStyle w:val="1110"/>
        <w:ind w:firstLine="210"/>
      </w:pPr>
      <w:r w:rsidRPr="00BC31E0">
        <w:rPr>
          <w:rFonts w:hint="eastAsia"/>
        </w:rPr>
        <w:lastRenderedPageBreak/>
        <w:t>圧力容器の外側に溶接によって取付ける圧力室をジャケットといい，この規格で製作される容器が，加熱冷却用のジャケット付きである場合，ジャケットは次の</w:t>
      </w:r>
      <w:r w:rsidRPr="00BC31E0">
        <w:rPr>
          <w:rFonts w:ascii="ＭＳ ゴシック" w:eastAsia="ＭＳ ゴシック" w:hint="eastAsia"/>
          <w:b/>
        </w:rPr>
        <w:t>a)</w:t>
      </w:r>
      <w:r w:rsidRPr="00BC31E0">
        <w:rPr>
          <w:rFonts w:hint="eastAsia"/>
        </w:rPr>
        <w:t>，</w:t>
      </w:r>
      <w:r w:rsidRPr="00BC31E0">
        <w:rPr>
          <w:rFonts w:ascii="ＭＳ ゴシック" w:eastAsia="ＭＳ ゴシック" w:hint="eastAsia"/>
          <w:b/>
        </w:rPr>
        <w:t>b)</w:t>
      </w:r>
      <w:r w:rsidRPr="00BC31E0">
        <w:rPr>
          <w:rFonts w:hint="eastAsia"/>
        </w:rPr>
        <w:t>による。</w:t>
      </w:r>
    </w:p>
    <w:p w14:paraId="7C872A4D" w14:textId="77777777" w:rsidR="0006184F" w:rsidRPr="00BC31E0" w:rsidRDefault="0006184F" w:rsidP="00736130">
      <w:pPr>
        <w:pStyle w:val="a4"/>
        <w:numPr>
          <w:ilvl w:val="0"/>
          <w:numId w:val="439"/>
        </w:numPr>
        <w:ind w:leftChars="0" w:left="454" w:hanging="454"/>
      </w:pPr>
      <w:r w:rsidRPr="00BC31E0">
        <w:rPr>
          <w:rFonts w:hint="eastAsia"/>
        </w:rPr>
        <w:t>この規格で製作される容器に直接溶接で取付けられるジャケットは，</w:t>
      </w:r>
      <w:r w:rsidRPr="00BC31E0">
        <w:rPr>
          <w:rFonts w:asciiTheme="majorEastAsia" w:eastAsiaTheme="majorEastAsia" w:hAnsiTheme="majorEastAsia" w:hint="eastAsia"/>
          <w:b/>
        </w:rPr>
        <w:t>5</w:t>
      </w:r>
      <w:r w:rsidRPr="00BC31E0">
        <w:rPr>
          <w:rFonts w:hint="eastAsia"/>
        </w:rPr>
        <w:t>及び</w:t>
      </w:r>
      <w:r w:rsidRPr="00BC31E0">
        <w:rPr>
          <w:rFonts w:asciiTheme="majorEastAsia" w:eastAsiaTheme="majorEastAsia" w:hAnsiTheme="majorEastAsia" w:hint="eastAsia"/>
          <w:b/>
        </w:rPr>
        <w:t>7</w:t>
      </w:r>
      <w:r w:rsidRPr="00BC31E0">
        <w:rPr>
          <w:rFonts w:hint="eastAsia"/>
        </w:rPr>
        <w:t>で規定する直接取付物の溶接</w:t>
      </w:r>
      <w:r w:rsidRPr="00BC31E0">
        <w:rPr>
          <w:rFonts w:asciiTheme="minorHAnsi" w:hAnsiTheme="minorHAnsi"/>
        </w:rPr>
        <w:t>(</w:t>
      </w:r>
      <w:r w:rsidRPr="00BC31E0">
        <w:t>取付け溶接及び取付物の材料</w:t>
      </w:r>
      <w:r w:rsidRPr="00BC31E0">
        <w:rPr>
          <w:rFonts w:asciiTheme="minorHAnsi" w:hAnsiTheme="minorHAnsi"/>
        </w:rPr>
        <w:t>)</w:t>
      </w:r>
      <w:r w:rsidRPr="00BC31E0">
        <w:rPr>
          <w:rFonts w:hint="eastAsia"/>
        </w:rPr>
        <w:t>に適合しなければならない。取付部以外のジャケット部分は，使用者設計仕様書に従って，この規格又は他の規格の設計規定による。</w:t>
      </w:r>
    </w:p>
    <w:p w14:paraId="686EB7A4" w14:textId="77777777" w:rsidR="0006184F" w:rsidRPr="00BC31E0" w:rsidRDefault="0006184F" w:rsidP="00736130">
      <w:pPr>
        <w:pStyle w:val="a4"/>
        <w:numPr>
          <w:ilvl w:val="0"/>
          <w:numId w:val="439"/>
        </w:numPr>
        <w:ind w:leftChars="0" w:left="454" w:hanging="454"/>
      </w:pPr>
      <w:r w:rsidRPr="00BC31E0">
        <w:rPr>
          <w:rFonts w:hint="eastAsia"/>
        </w:rPr>
        <w:t>直接溶接で取付ける以外の方法で容器に取付けるジャケットは，この規格，又は他の規格による。スペーサーバー及びジャケット閉止部は，ジャケット本体と同じ規格の規定による。</w:t>
      </w:r>
    </w:p>
    <w:p w14:paraId="7A880F87" w14:textId="77777777" w:rsidR="0006184F" w:rsidRPr="00BC31E0" w:rsidRDefault="0006184F" w:rsidP="004517FD">
      <w:pPr>
        <w:pStyle w:val="5"/>
        <w:numPr>
          <w:ilvl w:val="0"/>
          <w:numId w:val="0"/>
        </w:numPr>
        <w:ind w:left="454" w:hanging="454"/>
      </w:pPr>
    </w:p>
    <w:p w14:paraId="50C89F09" w14:textId="77777777" w:rsidR="004517FD" w:rsidRPr="00BC31E0" w:rsidRDefault="004517FD" w:rsidP="004517FD"/>
    <w:p w14:paraId="3B89F2D0" w14:textId="77777777" w:rsidR="0006184F" w:rsidRPr="00BC31E0" w:rsidRDefault="0006184F" w:rsidP="004517FD"/>
    <w:p w14:paraId="3634E789" w14:textId="77777777" w:rsidR="004517FD" w:rsidRPr="00BC31E0" w:rsidRDefault="004517FD" w:rsidP="004517FD"/>
    <w:p w14:paraId="26A341AC" w14:textId="77777777" w:rsidR="0006184F" w:rsidRPr="00BC31E0" w:rsidRDefault="0006184F" w:rsidP="004517FD">
      <w:pPr>
        <w:pStyle w:val="af4"/>
      </w:pPr>
      <w:r w:rsidRPr="00BC31E0">
        <w:rPr>
          <w:noProof/>
        </w:rPr>
        <w:drawing>
          <wp:inline distT="0" distB="0" distL="0" distR="0" wp14:anchorId="0A113B70" wp14:editId="5221DC07">
            <wp:extent cx="5746750" cy="4966335"/>
            <wp:effectExtent l="19050" t="0" r="6350" b="0"/>
            <wp:docPr id="391"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図 1" descr="ダイアグラム&#10;&#10;自動的に生成された説明"/>
                    <pic:cNvPicPr>
                      <a:picLocks noChangeAspect="1" noChangeArrowheads="1"/>
                    </pic:cNvPicPr>
                  </pic:nvPicPr>
                  <pic:blipFill>
                    <a:blip r:embed="rId67" cstate="print"/>
                    <a:srcRect/>
                    <a:stretch>
                      <a:fillRect/>
                    </a:stretch>
                  </pic:blipFill>
                  <pic:spPr bwMode="auto">
                    <a:xfrm>
                      <a:off x="0" y="0"/>
                      <a:ext cx="5746750" cy="4966335"/>
                    </a:xfrm>
                    <a:prstGeom prst="rect">
                      <a:avLst/>
                    </a:prstGeom>
                    <a:noFill/>
                    <a:ln w="9525">
                      <a:noFill/>
                      <a:miter lim="800000"/>
                      <a:headEnd/>
                      <a:tailEnd/>
                    </a:ln>
                  </pic:spPr>
                </pic:pic>
              </a:graphicData>
            </a:graphic>
          </wp:inline>
        </w:drawing>
      </w:r>
    </w:p>
    <w:p w14:paraId="601B2139" w14:textId="77777777" w:rsidR="0006184F" w:rsidRPr="00BC31E0" w:rsidRDefault="0006184F" w:rsidP="004517FD">
      <w:pPr>
        <w:pStyle w:val="af4"/>
        <w:rPr>
          <w:rFonts w:hAnsi="ＭＳ ゴシック"/>
          <w:szCs w:val="20"/>
        </w:rPr>
      </w:pPr>
      <w:r w:rsidRPr="00BC31E0">
        <w:rPr>
          <w:rFonts w:hAnsi="ＭＳ ゴシック" w:hint="eastAsia"/>
          <w:szCs w:val="20"/>
        </w:rPr>
        <w:t>図6.7.1　取付け溶接形状</w:t>
      </w:r>
    </w:p>
    <w:p w14:paraId="0BD67B53" w14:textId="77777777" w:rsidR="0006184F" w:rsidRPr="00BC31E0" w:rsidRDefault="0006184F" w:rsidP="004517FD">
      <w:pPr>
        <w:pStyle w:val="1110"/>
        <w:ind w:firstLineChars="0" w:firstLine="0"/>
        <w:rPr>
          <w:rStyle w:val="aff3"/>
          <w:color w:val="auto"/>
        </w:rPr>
      </w:pPr>
    </w:p>
    <w:p w14:paraId="3E45DD0B" w14:textId="77777777" w:rsidR="0006184F" w:rsidRPr="00BC31E0" w:rsidRDefault="0006184F" w:rsidP="004517FD"/>
    <w:p w14:paraId="193DCA30" w14:textId="77777777" w:rsidR="00647A32" w:rsidRPr="00BC31E0" w:rsidRDefault="00647A32" w:rsidP="004517FD"/>
    <w:p w14:paraId="72824915" w14:textId="77777777" w:rsidR="00647A32" w:rsidRPr="00BC31E0" w:rsidRDefault="00647A32" w:rsidP="004517FD"/>
    <w:p w14:paraId="0B3AACEF" w14:textId="77777777" w:rsidR="00CE5B29" w:rsidRPr="00BC31E0" w:rsidRDefault="00CE5B29" w:rsidP="00BC31E0">
      <w:pPr>
        <w:pStyle w:val="af4"/>
        <w:spacing w:beforeLines="50" w:before="180" w:line="360" w:lineRule="exact"/>
        <w:sectPr w:rsidR="00CE5B29" w:rsidRPr="00BC31E0" w:rsidSect="00282BDB">
          <w:pgSz w:w="11906" w:h="16838" w:code="9"/>
          <w:pgMar w:top="1701" w:right="1418" w:bottom="1418" w:left="1418" w:header="720" w:footer="720" w:gutter="0"/>
          <w:cols w:space="720"/>
          <w:noEndnote/>
          <w:docGrid w:type="linesAndChars" w:linePitch="360"/>
        </w:sectPr>
      </w:pPr>
    </w:p>
    <w:p w14:paraId="6508FB81" w14:textId="77777777" w:rsidR="00485A11" w:rsidRPr="00BC31E0" w:rsidRDefault="00485A11" w:rsidP="00A22FBB">
      <w:pPr>
        <w:pStyle w:val="20"/>
        <w:tabs>
          <w:tab w:val="clear" w:pos="284"/>
        </w:tabs>
        <w:ind w:left="567" w:hanging="567"/>
      </w:pPr>
      <w:bookmarkStart w:id="49" w:name="_Toc357672095"/>
      <w:bookmarkStart w:id="50" w:name="_Toc120092528"/>
      <w:r w:rsidRPr="00BC31E0">
        <w:rPr>
          <w:rFonts w:hint="eastAsia"/>
        </w:rPr>
        <w:lastRenderedPageBreak/>
        <w:t>多層容器の追加規定</w:t>
      </w:r>
      <w:bookmarkEnd w:id="49"/>
      <w:bookmarkEnd w:id="50"/>
    </w:p>
    <w:p w14:paraId="24A563EC" w14:textId="77777777" w:rsidR="00485A11" w:rsidRPr="00BC31E0" w:rsidRDefault="00485A11" w:rsidP="00A22FBB">
      <w:pPr>
        <w:pStyle w:val="3"/>
        <w:tabs>
          <w:tab w:val="clear" w:pos="284"/>
        </w:tabs>
        <w:ind w:left="794" w:hanging="794"/>
      </w:pPr>
      <w:r w:rsidRPr="00BC31E0">
        <w:rPr>
          <w:rFonts w:hint="eastAsia"/>
        </w:rPr>
        <w:t>適用範囲</w:t>
      </w:r>
    </w:p>
    <w:p w14:paraId="77F72953" w14:textId="77777777" w:rsidR="00485A11" w:rsidRPr="00BC31E0" w:rsidRDefault="00485A11" w:rsidP="00282BDB">
      <w:pPr>
        <w:pStyle w:val="1110"/>
        <w:ind w:firstLine="210"/>
      </w:pPr>
      <w:bookmarkStart w:id="51" w:name="_Hlk53401869"/>
      <w:r w:rsidRPr="00BC31E0">
        <w:rPr>
          <w:rFonts w:hint="eastAsia"/>
        </w:rPr>
        <w:t>この規格で取り扱う多層容器とは，円筒胴を次</w:t>
      </w:r>
      <w:r w:rsidR="00AA7B63" w:rsidRPr="00BC31E0">
        <w:rPr>
          <w:rFonts w:hint="eastAsia"/>
        </w:rPr>
        <w:t>の</w:t>
      </w:r>
      <w:r w:rsidR="00AA7B63" w:rsidRPr="00BC31E0">
        <w:rPr>
          <w:rFonts w:asciiTheme="majorEastAsia" w:eastAsiaTheme="majorEastAsia" w:hAnsiTheme="majorEastAsia" w:hint="eastAsia"/>
          <w:b/>
        </w:rPr>
        <w:t>a)</w:t>
      </w:r>
      <w:r w:rsidR="00AA7B63" w:rsidRPr="00BC31E0">
        <w:rPr>
          <w:rFonts w:hint="eastAsia"/>
        </w:rPr>
        <w:t>～</w:t>
      </w:r>
      <w:r w:rsidR="00AA7B63" w:rsidRPr="00BC31E0">
        <w:rPr>
          <w:rFonts w:asciiTheme="majorEastAsia" w:eastAsiaTheme="majorEastAsia" w:hAnsiTheme="majorEastAsia" w:hint="eastAsia"/>
          <w:b/>
        </w:rPr>
        <w:t>c)</w:t>
      </w:r>
      <w:r w:rsidRPr="00BC31E0">
        <w:rPr>
          <w:rFonts w:hint="eastAsia"/>
        </w:rPr>
        <w:t>に示すいずれかの方法で製作された多層容器である</w:t>
      </w:r>
      <w:bookmarkEnd w:id="51"/>
      <w:r w:rsidRPr="00BC31E0">
        <w:rPr>
          <w:rFonts w:hint="eastAsia"/>
        </w:rPr>
        <w:t>。</w:t>
      </w:r>
    </w:p>
    <w:p w14:paraId="5FF95820" w14:textId="77777777" w:rsidR="00A22FBB" w:rsidRPr="00BC31E0" w:rsidRDefault="00485A11" w:rsidP="00736130">
      <w:pPr>
        <w:pStyle w:val="a4"/>
        <w:numPr>
          <w:ilvl w:val="0"/>
          <w:numId w:val="440"/>
        </w:numPr>
        <w:ind w:leftChars="0" w:left="454" w:hanging="454"/>
      </w:pPr>
      <w:r w:rsidRPr="00BC31E0">
        <w:rPr>
          <w:rFonts w:asciiTheme="majorEastAsia" w:eastAsiaTheme="majorEastAsia" w:hAnsiTheme="majorEastAsia" w:hint="eastAsia"/>
          <w:b/>
          <w:bCs/>
        </w:rPr>
        <w:t>図6.8.1(a)</w:t>
      </w:r>
      <w:r w:rsidRPr="00BC31E0">
        <w:rPr>
          <w:rFonts w:hint="eastAsia"/>
        </w:rPr>
        <w:t>に示すように，鍛造により円筒を作り，表面を機械加工したうえで焼ばめにより多層とした</w:t>
      </w:r>
      <w:r w:rsidR="002E13DF" w:rsidRPr="00BC31E0">
        <w:rPr>
          <w:rFonts w:hint="eastAsia"/>
        </w:rPr>
        <w:t>容器</w:t>
      </w:r>
    </w:p>
    <w:p w14:paraId="7BB6B0F1" w14:textId="77777777" w:rsidR="00A22FBB" w:rsidRPr="00BC31E0" w:rsidRDefault="00485A11" w:rsidP="00736130">
      <w:pPr>
        <w:pStyle w:val="a4"/>
        <w:numPr>
          <w:ilvl w:val="0"/>
          <w:numId w:val="440"/>
        </w:numPr>
        <w:ind w:leftChars="0" w:left="454" w:hanging="454"/>
      </w:pPr>
      <w:r w:rsidRPr="00BC31E0">
        <w:rPr>
          <w:rFonts w:asciiTheme="majorEastAsia" w:eastAsiaTheme="majorEastAsia" w:hAnsiTheme="majorEastAsia" w:hint="eastAsia"/>
          <w:b/>
          <w:bCs/>
        </w:rPr>
        <w:t>図6.8.1(a)</w:t>
      </w:r>
      <w:r w:rsidRPr="00BC31E0">
        <w:rPr>
          <w:rFonts w:ascii="ＭＳ 明朝" w:hint="eastAsia"/>
        </w:rPr>
        <w:t>に示すように，板材から溶接により円筒を作り，表面を機械加工したうえで焼ばめにより多層とした</w:t>
      </w:r>
      <w:r w:rsidR="002E13DF" w:rsidRPr="00BC31E0">
        <w:rPr>
          <w:rFonts w:ascii="ＭＳ 明朝" w:hint="eastAsia"/>
        </w:rPr>
        <w:t>容器</w:t>
      </w:r>
    </w:p>
    <w:p w14:paraId="2AAF0E47" w14:textId="77777777" w:rsidR="00485A11" w:rsidRPr="00BC31E0" w:rsidRDefault="00485A11" w:rsidP="00736130">
      <w:pPr>
        <w:pStyle w:val="a4"/>
        <w:numPr>
          <w:ilvl w:val="0"/>
          <w:numId w:val="440"/>
        </w:numPr>
        <w:ind w:leftChars="0" w:left="454" w:hanging="454"/>
      </w:pPr>
      <w:r w:rsidRPr="00BC31E0">
        <w:rPr>
          <w:rFonts w:asciiTheme="majorEastAsia" w:eastAsiaTheme="majorEastAsia" w:hAnsiTheme="majorEastAsia" w:hint="eastAsia"/>
          <w:b/>
          <w:bCs/>
        </w:rPr>
        <w:t>図6.8.1(b)</w:t>
      </w:r>
      <w:r w:rsidRPr="00BC31E0">
        <w:rPr>
          <w:rFonts w:ascii="ＭＳ 明朝" w:hint="eastAsia"/>
        </w:rPr>
        <w:t>に示すように，板材を曲げ加工し，溶接により円筒にする過程で溶接収縮を利用して多層とした</w:t>
      </w:r>
      <w:r w:rsidR="002E13DF" w:rsidRPr="00BC31E0">
        <w:rPr>
          <w:rFonts w:ascii="ＭＳ 明朝" w:hint="eastAsia"/>
        </w:rPr>
        <w:t>容器</w:t>
      </w:r>
      <w:r w:rsidRPr="00BC31E0">
        <w:rPr>
          <w:rFonts w:ascii="ＭＳ 明朝" w:hint="eastAsia"/>
        </w:rPr>
        <w:t>。多層部及び内層は強度部材と考えてもよいが，ライニングは強度部材とは考えては</w:t>
      </w:r>
      <w:r w:rsidR="0004406A" w:rsidRPr="00BC31E0">
        <w:rPr>
          <w:rFonts w:ascii="ＭＳ 明朝" w:hint="eastAsia"/>
        </w:rPr>
        <w:t>ならない</w:t>
      </w:r>
      <w:r w:rsidRPr="00BC31E0">
        <w:rPr>
          <w:rFonts w:ascii="ＭＳ 明朝" w:hint="eastAsia"/>
        </w:rPr>
        <w:t>。</w:t>
      </w:r>
    </w:p>
    <w:p w14:paraId="18C39608" w14:textId="77777777" w:rsidR="00485A11" w:rsidRPr="00BC31E0" w:rsidRDefault="00485A11" w:rsidP="004B3764">
      <w:pPr>
        <w:pStyle w:val="3"/>
        <w:tabs>
          <w:tab w:val="clear" w:pos="284"/>
        </w:tabs>
        <w:ind w:left="794" w:hanging="794"/>
      </w:pPr>
      <w:r w:rsidRPr="00BC31E0">
        <w:rPr>
          <w:rFonts w:hint="eastAsia"/>
        </w:rPr>
        <w:t>設計上の制限事項</w:t>
      </w:r>
    </w:p>
    <w:p w14:paraId="225F7B63" w14:textId="77777777" w:rsidR="00485A11" w:rsidRPr="00BC31E0" w:rsidRDefault="00485A11" w:rsidP="00282BDB">
      <w:pPr>
        <w:pStyle w:val="1110"/>
        <w:ind w:firstLine="210"/>
      </w:pPr>
      <w:r w:rsidRPr="00BC31E0">
        <w:rPr>
          <w:rFonts w:hint="eastAsia"/>
        </w:rPr>
        <w:t>設計上の制限事項は，次の</w:t>
      </w:r>
      <w:r w:rsidRPr="00BC31E0">
        <w:rPr>
          <w:rFonts w:ascii="ＭＳ ゴシック" w:eastAsia="ＭＳ ゴシック" w:hAnsi="ＭＳ ゴシック" w:hint="eastAsia"/>
          <w:b/>
        </w:rPr>
        <w:t>a)</w:t>
      </w:r>
      <w:r w:rsidRPr="00BC31E0">
        <w:rPr>
          <w:rFonts w:hint="eastAsia"/>
        </w:rPr>
        <w:t>～</w:t>
      </w:r>
      <w:r w:rsidRPr="00BC31E0">
        <w:rPr>
          <w:rFonts w:ascii="ＭＳ ゴシック" w:eastAsia="ＭＳ ゴシック" w:hAnsi="ＭＳ ゴシック" w:hint="eastAsia"/>
          <w:b/>
        </w:rPr>
        <w:t>d)</w:t>
      </w:r>
      <w:r w:rsidRPr="00BC31E0">
        <w:rPr>
          <w:rFonts w:hint="eastAsia"/>
        </w:rPr>
        <w:t>による。</w:t>
      </w:r>
    </w:p>
    <w:p w14:paraId="440D4D92" w14:textId="77777777" w:rsidR="004B3764" w:rsidRPr="00BC31E0" w:rsidRDefault="00485A11" w:rsidP="00736130">
      <w:pPr>
        <w:pStyle w:val="a4"/>
        <w:numPr>
          <w:ilvl w:val="0"/>
          <w:numId w:val="441"/>
        </w:numPr>
        <w:ind w:leftChars="0" w:left="454" w:hanging="454"/>
      </w:pPr>
      <w:r w:rsidRPr="00BC31E0">
        <w:rPr>
          <w:rFonts w:hint="eastAsia"/>
        </w:rPr>
        <w:t>層間の隙間が</w:t>
      </w:r>
      <w:r w:rsidRPr="00BC31E0">
        <w:rPr>
          <w:rFonts w:asciiTheme="majorEastAsia" w:eastAsiaTheme="majorEastAsia" w:hAnsiTheme="majorEastAsia" w:hint="eastAsia"/>
          <w:b/>
        </w:rPr>
        <w:t>6.8.4</w:t>
      </w:r>
      <w:r w:rsidRPr="00BC31E0">
        <w:rPr>
          <w:rFonts w:hint="eastAsia"/>
        </w:rPr>
        <w:t>又は</w:t>
      </w:r>
      <w:r w:rsidRPr="00BC31E0">
        <w:rPr>
          <w:rFonts w:asciiTheme="majorEastAsia" w:eastAsiaTheme="majorEastAsia" w:hAnsiTheme="majorEastAsia" w:hint="eastAsia"/>
          <w:b/>
        </w:rPr>
        <w:t>6.8.5</w:t>
      </w:r>
      <w:r w:rsidRPr="00BC31E0">
        <w:rPr>
          <w:rFonts w:hint="eastAsia"/>
        </w:rPr>
        <w:t>の規定を満足する場合には，</w:t>
      </w:r>
      <w:r w:rsidRPr="00BC31E0">
        <w:rPr>
          <w:rFonts w:asciiTheme="majorEastAsia" w:eastAsiaTheme="majorEastAsia" w:hAnsiTheme="majorEastAsia" w:hint="eastAsia"/>
          <w:b/>
        </w:rPr>
        <w:t>6.1</w:t>
      </w:r>
      <w:r w:rsidRPr="00BC31E0">
        <w:rPr>
          <w:rFonts w:hint="eastAsia"/>
        </w:rPr>
        <w:t>，</w:t>
      </w:r>
      <w:r w:rsidRPr="00BC31E0">
        <w:rPr>
          <w:rFonts w:asciiTheme="majorEastAsia" w:eastAsiaTheme="majorEastAsia" w:hAnsiTheme="majorEastAsia" w:hint="eastAsia"/>
          <w:b/>
        </w:rPr>
        <w:t>6.2</w:t>
      </w:r>
      <w:r w:rsidRPr="00BC31E0">
        <w:rPr>
          <w:rFonts w:hint="eastAsia"/>
        </w:rPr>
        <w:t>に従って強度計算を行ってよい。</w:t>
      </w:r>
    </w:p>
    <w:p w14:paraId="4D65B441" w14:textId="77777777" w:rsidR="004B3764" w:rsidRPr="00BC31E0" w:rsidRDefault="00485A11" w:rsidP="00736130">
      <w:pPr>
        <w:pStyle w:val="a4"/>
        <w:numPr>
          <w:ilvl w:val="0"/>
          <w:numId w:val="441"/>
        </w:numPr>
        <w:ind w:leftChars="0" w:left="454" w:hanging="454"/>
      </w:pPr>
      <w:r w:rsidRPr="00BC31E0">
        <w:rPr>
          <w:rFonts w:ascii="ＭＳ 明朝" w:hAnsi="ＭＳ 明朝" w:hint="eastAsia"/>
          <w:bCs/>
        </w:rPr>
        <w:t>この項の規定で与えられた式は，弾性解析に基づいている。もし，追加的な予応力が自緊により生じる場合には，局部的な塑性変形からの残留応力分布を</w:t>
      </w:r>
      <w:r w:rsidRPr="00BC31E0">
        <w:rPr>
          <w:rFonts w:asciiTheme="majorEastAsia" w:eastAsiaTheme="majorEastAsia" w:hAnsiTheme="majorEastAsia" w:hint="eastAsia"/>
          <w:b/>
        </w:rPr>
        <w:t>6.5</w:t>
      </w:r>
      <w:r w:rsidRPr="00BC31E0">
        <w:rPr>
          <w:rFonts w:ascii="ＭＳ 明朝" w:hAnsi="ＭＳ 明朝" w:hint="eastAsia"/>
          <w:bCs/>
        </w:rPr>
        <w:t>の規定に従って計算しなければならない。自緊されたライニングを使用した最終残留応力分布を決定する時には，非線形のバウシンガー効果を考慮しなければならない。</w:t>
      </w:r>
    </w:p>
    <w:p w14:paraId="51C0EFC3" w14:textId="77777777" w:rsidR="005C4F10" w:rsidRPr="00BC31E0" w:rsidRDefault="00485A11" w:rsidP="00736130">
      <w:pPr>
        <w:pStyle w:val="a4"/>
        <w:numPr>
          <w:ilvl w:val="0"/>
          <w:numId w:val="441"/>
        </w:numPr>
        <w:ind w:leftChars="0" w:left="454" w:hanging="454"/>
      </w:pPr>
      <w:r w:rsidRPr="00BC31E0">
        <w:rPr>
          <w:rFonts w:asciiTheme="majorEastAsia" w:eastAsiaTheme="majorEastAsia" w:hAnsiTheme="majorEastAsia" w:hint="eastAsia"/>
          <w:b/>
        </w:rPr>
        <w:t>6.8.1 a)</w:t>
      </w:r>
      <w:r w:rsidRPr="00BC31E0">
        <w:rPr>
          <w:rFonts w:ascii="ＭＳ 明朝" w:hAnsi="ＭＳ 明朝" w:hint="eastAsia"/>
          <w:bCs/>
        </w:rPr>
        <w:t>の方法により製作された多層容器の残留応力は，</w:t>
      </w:r>
      <w:r w:rsidRPr="00BC31E0">
        <w:rPr>
          <w:rFonts w:asciiTheme="majorEastAsia" w:eastAsiaTheme="majorEastAsia" w:hAnsiTheme="majorEastAsia" w:hint="eastAsia"/>
          <w:b/>
        </w:rPr>
        <w:t>6.8.4</w:t>
      </w:r>
      <w:r w:rsidRPr="00BC31E0">
        <w:rPr>
          <w:rFonts w:ascii="ＭＳ 明朝" w:hAnsi="ＭＳ 明朝" w:hint="eastAsia"/>
          <w:bCs/>
        </w:rPr>
        <w:t>の規定により計算しなければならない。</w:t>
      </w:r>
      <w:r w:rsidRPr="00BC31E0">
        <w:rPr>
          <w:rFonts w:asciiTheme="majorEastAsia" w:eastAsiaTheme="majorEastAsia" w:hAnsiTheme="majorEastAsia" w:hint="eastAsia"/>
          <w:b/>
        </w:rPr>
        <w:t>6.8.1 b)</w:t>
      </w:r>
      <w:r w:rsidRPr="00BC31E0">
        <w:rPr>
          <w:rFonts w:ascii="ＭＳ 明朝" w:hAnsi="ＭＳ 明朝" w:hint="eastAsia"/>
          <w:bCs/>
        </w:rPr>
        <w:t>の方法により製作された多層容器の残留応力の効果は，疲労評価と破壊力学的評価に限って考慮してもよい。ただし，溶接部と溶接熱影響部を除く。</w:t>
      </w:r>
    </w:p>
    <w:p w14:paraId="71BAF6FC" w14:textId="77777777" w:rsidR="00485A11" w:rsidRPr="00BC31E0" w:rsidRDefault="00485A11" w:rsidP="00736130">
      <w:pPr>
        <w:pStyle w:val="a4"/>
        <w:numPr>
          <w:ilvl w:val="0"/>
          <w:numId w:val="441"/>
        </w:numPr>
        <w:ind w:leftChars="0" w:left="454" w:hanging="454"/>
      </w:pPr>
      <w:r w:rsidRPr="00BC31E0">
        <w:rPr>
          <w:rFonts w:asciiTheme="majorEastAsia" w:eastAsiaTheme="majorEastAsia" w:hAnsiTheme="majorEastAsia" w:hint="eastAsia"/>
          <w:b/>
        </w:rPr>
        <w:t>6.8.1 c)</w:t>
      </w:r>
      <w:r w:rsidRPr="00BC31E0">
        <w:rPr>
          <w:rFonts w:ascii="ＭＳ 明朝" w:hAnsi="ＭＳ 明朝" w:hint="eastAsia"/>
          <w:bCs/>
        </w:rPr>
        <w:t>の方法による多層円筒は，原則として単肉円筒胴として取り扱う。ただし，</w:t>
      </w:r>
      <w:r w:rsidRPr="00BC31E0">
        <w:rPr>
          <w:rFonts w:asciiTheme="majorEastAsia" w:eastAsiaTheme="majorEastAsia" w:hAnsiTheme="majorEastAsia" w:hint="eastAsia"/>
          <w:b/>
        </w:rPr>
        <w:t>6.8.5</w:t>
      </w:r>
      <w:r w:rsidRPr="00BC31E0">
        <w:rPr>
          <w:rFonts w:ascii="ＭＳ 明朝" w:hAnsi="ＭＳ 明朝" w:hint="eastAsia"/>
          <w:bCs/>
        </w:rPr>
        <w:t>で規定する層間ギャップの効果の補正を考えた応力を使用しなければならない。なお，疲労評価に圧縮残留応力の効果を考慮してはいけない。</w:t>
      </w:r>
    </w:p>
    <w:p w14:paraId="2CA21803" w14:textId="77777777" w:rsidR="00485A11" w:rsidRPr="00BC31E0" w:rsidRDefault="00485A11" w:rsidP="0032018E">
      <w:pPr>
        <w:pStyle w:val="3"/>
        <w:tabs>
          <w:tab w:val="clear" w:pos="284"/>
        </w:tabs>
        <w:ind w:left="794" w:hanging="794"/>
      </w:pPr>
      <w:r w:rsidRPr="00BC31E0">
        <w:rPr>
          <w:rFonts w:hint="eastAsia"/>
        </w:rPr>
        <w:t>記号</w:t>
      </w:r>
    </w:p>
    <w:p w14:paraId="617FE54F" w14:textId="77777777" w:rsidR="00485A11" w:rsidRPr="00BC31E0" w:rsidRDefault="00485A11" w:rsidP="007E3816">
      <w:pPr>
        <w:tabs>
          <w:tab w:val="left" w:pos="709"/>
        </w:tabs>
        <w:ind w:leftChars="100" w:left="210"/>
      </w:pPr>
      <m:oMath>
        <m:r>
          <w:rPr>
            <w:rFonts w:ascii="Cambria Math" w:hAnsi="Cambria Math"/>
          </w:rPr>
          <m:t>D</m:t>
        </m:r>
      </m:oMath>
      <w:r w:rsidRPr="00BC31E0">
        <w:rPr>
          <w:rFonts w:hint="eastAsia"/>
        </w:rPr>
        <w:tab/>
      </w:r>
      <w:r w:rsidRPr="00BC31E0">
        <w:rPr>
          <w:rFonts w:hint="eastAsia"/>
        </w:rPr>
        <w:t>：　任意の半径方向位置の直径</w:t>
      </w:r>
      <w:r w:rsidRPr="00BC31E0">
        <w:rPr>
          <w:rFonts w:asciiTheme="minorHAnsi" w:hAnsiTheme="minorHAnsi"/>
        </w:rPr>
        <w:t>(mm)</w:t>
      </w:r>
    </w:p>
    <w:p w14:paraId="028CE6B6" w14:textId="77777777" w:rsidR="00485A11" w:rsidRPr="00BC31E0" w:rsidRDefault="00A51873" w:rsidP="007E3816">
      <w:pPr>
        <w:tabs>
          <w:tab w:val="left" w:pos="709"/>
        </w:tabs>
        <w:ind w:leftChars="100" w:left="210"/>
      </w:pPr>
      <m:oMath>
        <m:sSub>
          <m:sSubPr>
            <m:ctrlPr>
              <w:rPr>
                <w:rFonts w:ascii="Cambria Math" w:hAnsi="Cambria Math"/>
                <w:i/>
              </w:rPr>
            </m:ctrlPr>
          </m:sSubPr>
          <m:e>
            <m:r>
              <w:rPr>
                <w:rFonts w:ascii="Cambria Math" w:hAnsi="Cambria Math"/>
              </w:rPr>
              <m:t>D</m:t>
            </m:r>
          </m:e>
          <m:sub>
            <m:r>
              <w:rPr>
                <w:rFonts w:ascii="Cambria Math" w:hAnsi="Cambria Math"/>
              </w:rPr>
              <m:t>I</m:t>
            </m:r>
          </m:sub>
        </m:sSub>
      </m:oMath>
      <w:r w:rsidR="00485A11" w:rsidRPr="00BC31E0">
        <w:rPr>
          <w:rFonts w:hint="eastAsia"/>
          <w:bCs/>
          <w:iCs/>
        </w:rPr>
        <w:tab/>
      </w:r>
      <w:r w:rsidR="00485A11" w:rsidRPr="00BC31E0">
        <w:rPr>
          <w:rFonts w:hint="eastAsia"/>
          <w:bCs/>
          <w:iCs/>
        </w:rPr>
        <w:t>：</w:t>
      </w:r>
      <w:r w:rsidR="00485A11" w:rsidRPr="00BC31E0">
        <w:rPr>
          <w:rFonts w:hint="eastAsia"/>
          <w:bCs/>
          <w:iCs/>
        </w:rPr>
        <w:t xml:space="preserve">  </w:t>
      </w:r>
      <w:r w:rsidR="00485A11" w:rsidRPr="00BC31E0">
        <w:rPr>
          <w:rFonts w:hint="eastAsia"/>
        </w:rPr>
        <w:t>最内層の内径</w:t>
      </w:r>
      <w:r w:rsidR="00485A11" w:rsidRPr="00BC31E0">
        <w:rPr>
          <w:rFonts w:asciiTheme="minorHAnsi" w:hAnsiTheme="minorHAnsi"/>
        </w:rPr>
        <w:t>(mm)</w:t>
      </w:r>
    </w:p>
    <w:p w14:paraId="727B93E1" w14:textId="77777777" w:rsidR="00485A11" w:rsidRPr="00BC31E0" w:rsidRDefault="00A51873" w:rsidP="007E3816">
      <w:pPr>
        <w:tabs>
          <w:tab w:val="left" w:pos="709"/>
        </w:tabs>
        <w:ind w:leftChars="100" w:left="210"/>
      </w:pPr>
      <m:oMath>
        <m:sSub>
          <m:sSubPr>
            <m:ctrlPr>
              <w:rPr>
                <w:rFonts w:ascii="Cambria Math" w:hAnsi="Cambria Math"/>
                <w:i/>
              </w:rPr>
            </m:ctrlPr>
          </m:sSubPr>
          <m:e>
            <m:r>
              <w:rPr>
                <w:rFonts w:ascii="Cambria Math" w:hAnsi="Cambria Math"/>
              </w:rPr>
              <m:t>D</m:t>
            </m:r>
          </m:e>
          <m:sub>
            <m:r>
              <w:rPr>
                <w:rFonts w:ascii="Cambria Math" w:hAnsi="Cambria Math"/>
              </w:rPr>
              <m:t>if</m:t>
            </m:r>
          </m:sub>
        </m:sSub>
      </m:oMath>
      <w:r w:rsidR="00485A11" w:rsidRPr="00BC31E0">
        <w:rPr>
          <w:rFonts w:hint="eastAsia"/>
          <w:bCs/>
          <w:iCs/>
        </w:rPr>
        <w:tab/>
      </w:r>
      <w:r w:rsidR="00485A11" w:rsidRPr="00BC31E0">
        <w:rPr>
          <w:rFonts w:hint="eastAsia"/>
          <w:bCs/>
          <w:iCs/>
        </w:rPr>
        <w:t>：</w:t>
      </w:r>
      <w:r w:rsidR="00485A11" w:rsidRPr="00BC31E0">
        <w:rPr>
          <w:rFonts w:hint="eastAsia"/>
          <w:bCs/>
          <w:iCs/>
        </w:rPr>
        <w:t xml:space="preserve">  </w:t>
      </w:r>
      <w:r w:rsidR="00485A11" w:rsidRPr="00BC31E0">
        <w:rPr>
          <w:rFonts w:hint="eastAsia"/>
        </w:rPr>
        <w:t>層間直径</w:t>
      </w:r>
      <w:r w:rsidR="00485A11" w:rsidRPr="00BC31E0">
        <w:rPr>
          <w:rFonts w:asciiTheme="minorHAnsi" w:hAnsiTheme="minorHAnsi"/>
        </w:rPr>
        <w:t>(mm)</w:t>
      </w:r>
    </w:p>
    <w:p w14:paraId="09E50EB0" w14:textId="77777777" w:rsidR="00485A11" w:rsidRPr="00BC31E0" w:rsidRDefault="00A51873" w:rsidP="007E3816">
      <w:pPr>
        <w:tabs>
          <w:tab w:val="left" w:pos="709"/>
        </w:tabs>
        <w:ind w:leftChars="100" w:left="210"/>
      </w:pPr>
      <m:oMath>
        <m:sSub>
          <m:sSubPr>
            <m:ctrlPr>
              <w:rPr>
                <w:rFonts w:ascii="Cambria Math" w:hAnsi="Cambria Math"/>
                <w:i/>
              </w:rPr>
            </m:ctrlPr>
          </m:sSubPr>
          <m:e>
            <m:r>
              <w:rPr>
                <w:rFonts w:ascii="Cambria Math" w:hAnsi="Cambria Math"/>
              </w:rPr>
              <m:t>D</m:t>
            </m:r>
          </m:e>
          <m:sub>
            <m:r>
              <w:rPr>
                <w:rFonts w:ascii="Cambria Math" w:hAnsi="Cambria Math"/>
              </w:rPr>
              <m:t>n</m:t>
            </m:r>
          </m:sub>
        </m:sSub>
      </m:oMath>
      <w:r w:rsidR="00485A11" w:rsidRPr="00BC31E0">
        <w:rPr>
          <w:rFonts w:hint="eastAsia"/>
          <w:bCs/>
          <w:iCs/>
        </w:rPr>
        <w:tab/>
      </w:r>
      <w:r w:rsidR="00485A11" w:rsidRPr="00BC31E0">
        <w:rPr>
          <w:rFonts w:hint="eastAsia"/>
          <w:bCs/>
          <w:iCs/>
        </w:rPr>
        <w:t>：</w:t>
      </w:r>
      <w:r w:rsidR="00485A11" w:rsidRPr="00BC31E0">
        <w:rPr>
          <w:rFonts w:hint="eastAsia"/>
        </w:rPr>
        <w:t xml:space="preserve">  </w:t>
      </w:r>
      <w:r w:rsidR="00485A11" w:rsidRPr="00BC31E0">
        <w:rPr>
          <w:rFonts w:hint="eastAsia"/>
        </w:rPr>
        <w:t>第</w:t>
      </w:r>
      <m:oMath>
        <m:r>
          <m:rPr>
            <m:sty m:val="p"/>
          </m:rPr>
          <w:rPr>
            <w:rFonts w:ascii="Cambria Math" w:hAnsi="Cambria Math"/>
          </w:rPr>
          <m:t xml:space="preserve"> </m:t>
        </m:r>
        <m:r>
          <w:rPr>
            <w:rFonts w:ascii="Cambria Math" w:hAnsi="Cambria Math"/>
          </w:rPr>
          <m:t xml:space="preserve">n </m:t>
        </m:r>
      </m:oMath>
      <w:r w:rsidR="00485A11" w:rsidRPr="00BC31E0">
        <w:rPr>
          <w:rFonts w:hint="eastAsia"/>
        </w:rPr>
        <w:t>層の外径</w:t>
      </w:r>
      <w:r w:rsidR="00485A11" w:rsidRPr="00BC31E0">
        <w:rPr>
          <w:rFonts w:asciiTheme="minorHAnsi" w:hAnsiTheme="minorHAnsi"/>
        </w:rPr>
        <w:t>(mm)</w:t>
      </w:r>
    </w:p>
    <w:p w14:paraId="3371285E" w14:textId="77777777" w:rsidR="00485A11" w:rsidRPr="00BC31E0" w:rsidRDefault="00A51873" w:rsidP="007E3816">
      <w:pPr>
        <w:tabs>
          <w:tab w:val="left" w:pos="709"/>
        </w:tabs>
        <w:ind w:leftChars="100" w:left="210"/>
      </w:pPr>
      <m:oMath>
        <m:sSub>
          <m:sSubPr>
            <m:ctrlPr>
              <w:rPr>
                <w:rFonts w:ascii="Cambria Math" w:hAnsi="Cambria Math"/>
                <w:i/>
              </w:rPr>
            </m:ctrlPr>
          </m:sSubPr>
          <m:e>
            <m:r>
              <w:rPr>
                <w:rFonts w:ascii="Cambria Math" w:hAnsi="Cambria Math"/>
              </w:rPr>
              <m:t>D</m:t>
            </m:r>
          </m:e>
          <m:sub>
            <m:r>
              <w:rPr>
                <w:rFonts w:ascii="Cambria Math" w:hAnsi="Cambria Math"/>
              </w:rPr>
              <m:t>O</m:t>
            </m:r>
          </m:sub>
        </m:sSub>
      </m:oMath>
      <w:r w:rsidR="00485A11" w:rsidRPr="00BC31E0">
        <w:rPr>
          <w:rFonts w:hint="eastAsia"/>
          <w:bCs/>
          <w:iCs/>
        </w:rPr>
        <w:tab/>
      </w:r>
      <w:r w:rsidR="00485A11" w:rsidRPr="00BC31E0">
        <w:rPr>
          <w:rFonts w:hint="eastAsia"/>
          <w:bCs/>
          <w:iCs/>
        </w:rPr>
        <w:t>：</w:t>
      </w:r>
      <w:r w:rsidR="00485A11" w:rsidRPr="00BC31E0">
        <w:rPr>
          <w:rFonts w:hint="eastAsia"/>
          <w:bCs/>
          <w:iCs/>
        </w:rPr>
        <w:t xml:space="preserve">  </w:t>
      </w:r>
      <w:r w:rsidR="00485A11" w:rsidRPr="00BC31E0">
        <w:rPr>
          <w:rFonts w:hint="eastAsia"/>
        </w:rPr>
        <w:t>最外層の外径</w:t>
      </w:r>
      <w:r w:rsidR="00485A11" w:rsidRPr="00BC31E0">
        <w:rPr>
          <w:rFonts w:asciiTheme="minorHAnsi" w:hAnsiTheme="minorHAnsi"/>
        </w:rPr>
        <w:t>(mm)</w:t>
      </w:r>
    </w:p>
    <w:p w14:paraId="17265AFE" w14:textId="77777777" w:rsidR="00485A11" w:rsidRPr="00BC31E0" w:rsidRDefault="00485A11" w:rsidP="007E3816">
      <w:pPr>
        <w:tabs>
          <w:tab w:val="left" w:pos="709"/>
        </w:tabs>
        <w:ind w:leftChars="100" w:left="210"/>
      </w:pPr>
      <m:oMath>
        <m:r>
          <w:rPr>
            <w:rFonts w:ascii="Cambria Math" w:hAnsi="Cambria Math"/>
          </w:rPr>
          <m:t>E</m:t>
        </m:r>
      </m:oMath>
      <w:r w:rsidRPr="00BC31E0">
        <w:rPr>
          <w:rFonts w:hint="eastAsia"/>
          <w:bCs/>
          <w:iCs/>
        </w:rPr>
        <w:tab/>
      </w:r>
      <w:r w:rsidRPr="00BC31E0">
        <w:rPr>
          <w:rFonts w:hint="eastAsia"/>
          <w:bCs/>
          <w:iCs/>
        </w:rPr>
        <w:t>：</w:t>
      </w:r>
      <w:r w:rsidRPr="00BC31E0">
        <w:rPr>
          <w:rFonts w:hint="eastAsia"/>
        </w:rPr>
        <w:t xml:space="preserve">  </w:t>
      </w:r>
      <w:r w:rsidRPr="00BC31E0">
        <w:rPr>
          <w:rFonts w:hint="eastAsia"/>
        </w:rPr>
        <w:t>縦弾性係数</w:t>
      </w:r>
      <w:r w:rsidRPr="00BC31E0">
        <w:rPr>
          <w:rFonts w:asciiTheme="minorHAnsi" w:hAnsiTheme="minorHAnsi"/>
        </w:rPr>
        <w:t>(MPa)</w:t>
      </w:r>
    </w:p>
    <w:p w14:paraId="357D88A2" w14:textId="77777777" w:rsidR="00485A11" w:rsidRPr="00BC31E0" w:rsidRDefault="00A51873" w:rsidP="007E3816">
      <w:pPr>
        <w:tabs>
          <w:tab w:val="left" w:pos="709"/>
        </w:tabs>
        <w:ind w:leftChars="100" w:left="210"/>
      </w:pPr>
      <m:oMath>
        <m:sSub>
          <m:sSubPr>
            <m:ctrlPr>
              <w:rPr>
                <w:rFonts w:ascii="Cambria Math" w:hAnsi="Cambria Math"/>
                <w:i/>
              </w:rPr>
            </m:ctrlPr>
          </m:sSubPr>
          <m:e>
            <m:r>
              <w:rPr>
                <w:rFonts w:ascii="Cambria Math" w:hAnsi="Cambria Math"/>
              </w:rPr>
              <m:t>E</m:t>
            </m:r>
          </m:e>
          <m:sub>
            <m:r>
              <w:rPr>
                <w:rFonts w:ascii="Cambria Math" w:hAnsi="Cambria Math"/>
              </w:rPr>
              <m:t>I</m:t>
            </m:r>
          </m:sub>
        </m:sSub>
      </m:oMath>
      <w:r w:rsidR="00485A11" w:rsidRPr="00BC31E0">
        <w:rPr>
          <w:rFonts w:hint="eastAsia"/>
          <w:bCs/>
          <w:iCs/>
        </w:rPr>
        <w:tab/>
      </w:r>
      <w:r w:rsidR="00485A11" w:rsidRPr="00BC31E0">
        <w:rPr>
          <w:rFonts w:hint="eastAsia"/>
          <w:bCs/>
          <w:iCs/>
        </w:rPr>
        <w:t>：</w:t>
      </w:r>
      <w:r w:rsidR="00485A11" w:rsidRPr="00BC31E0">
        <w:rPr>
          <w:rFonts w:hint="eastAsia"/>
        </w:rPr>
        <w:t xml:space="preserve">　最内層の縦弾性係数</w:t>
      </w:r>
      <w:r w:rsidR="00485A11" w:rsidRPr="00BC31E0">
        <w:rPr>
          <w:rFonts w:asciiTheme="minorHAnsi" w:hAnsiTheme="minorHAnsi"/>
        </w:rPr>
        <w:t>(MPa)</w:t>
      </w:r>
    </w:p>
    <w:p w14:paraId="2BEF77D5" w14:textId="77777777" w:rsidR="00485A11" w:rsidRPr="00BC31E0" w:rsidRDefault="00A51873" w:rsidP="007E3816">
      <w:pPr>
        <w:tabs>
          <w:tab w:val="left" w:pos="709"/>
        </w:tabs>
        <w:ind w:leftChars="100" w:left="210"/>
      </w:pPr>
      <m:oMath>
        <m:sSub>
          <m:sSubPr>
            <m:ctrlPr>
              <w:rPr>
                <w:rFonts w:ascii="Cambria Math" w:hAnsi="Cambria Math"/>
                <w:i/>
              </w:rPr>
            </m:ctrlPr>
          </m:sSubPr>
          <m:e>
            <m:r>
              <w:rPr>
                <w:rFonts w:ascii="Cambria Math" w:hAnsi="Cambria Math"/>
              </w:rPr>
              <m:t>E</m:t>
            </m:r>
          </m:e>
          <m:sub>
            <m:r>
              <w:rPr>
                <w:rFonts w:ascii="Cambria Math" w:hAnsi="Cambria Math"/>
              </w:rPr>
              <m:t>n</m:t>
            </m:r>
          </m:sub>
        </m:sSub>
      </m:oMath>
      <w:r w:rsidR="00485A11" w:rsidRPr="00BC31E0">
        <w:rPr>
          <w:rFonts w:hint="eastAsia"/>
          <w:bCs/>
          <w:iCs/>
        </w:rPr>
        <w:tab/>
      </w:r>
      <w:r w:rsidR="00485A11" w:rsidRPr="00BC31E0">
        <w:rPr>
          <w:rFonts w:hint="eastAsia"/>
          <w:bCs/>
          <w:iCs/>
        </w:rPr>
        <w:t xml:space="preserve">：　</w:t>
      </w:r>
      <w:r w:rsidR="00485A11" w:rsidRPr="00BC31E0">
        <w:rPr>
          <w:rFonts w:hint="eastAsia"/>
        </w:rPr>
        <w:t>第</w:t>
      </w:r>
      <m:oMath>
        <m:r>
          <m:rPr>
            <m:sty m:val="p"/>
          </m:rPr>
          <w:rPr>
            <w:rFonts w:ascii="Cambria Math" w:hAnsi="Cambria Math"/>
          </w:rPr>
          <m:t xml:space="preserve"> </m:t>
        </m:r>
        <m:r>
          <w:rPr>
            <w:rFonts w:ascii="Cambria Math" w:hAnsi="Cambria Math"/>
          </w:rPr>
          <m:t xml:space="preserve">n </m:t>
        </m:r>
      </m:oMath>
      <w:r w:rsidR="00485A11" w:rsidRPr="00BC31E0">
        <w:rPr>
          <w:rFonts w:hint="eastAsia"/>
        </w:rPr>
        <w:t>層の縦弾性係数</w:t>
      </w:r>
      <w:r w:rsidR="00485A11" w:rsidRPr="00BC31E0">
        <w:rPr>
          <w:rFonts w:asciiTheme="minorHAnsi" w:hAnsiTheme="minorHAnsi"/>
        </w:rPr>
        <w:t>(MPa)</w:t>
      </w:r>
    </w:p>
    <w:p w14:paraId="1CD4FD13" w14:textId="77777777" w:rsidR="00485A11" w:rsidRPr="00BC31E0" w:rsidRDefault="00A51873" w:rsidP="007E3816">
      <w:pPr>
        <w:tabs>
          <w:tab w:val="left" w:pos="709"/>
        </w:tabs>
        <w:ind w:leftChars="100" w:left="210"/>
        <w:rPr>
          <w:bCs/>
          <w:iCs/>
        </w:rPr>
      </w:pPr>
      <m:oMath>
        <m:sSub>
          <m:sSubPr>
            <m:ctrlPr>
              <w:rPr>
                <w:rFonts w:ascii="Cambria Math" w:hAnsi="Cambria Math"/>
                <w:i/>
              </w:rPr>
            </m:ctrlPr>
          </m:sSubPr>
          <m:e>
            <m:r>
              <w:rPr>
                <w:rFonts w:ascii="Cambria Math" w:hAnsi="Cambria Math"/>
              </w:rPr>
              <m:t>E</m:t>
            </m:r>
          </m:e>
          <m:sub>
            <m:r>
              <w:rPr>
                <w:rFonts w:ascii="Cambria Math" w:hAnsi="Cambria Math"/>
              </w:rPr>
              <m:t>O</m:t>
            </m:r>
          </m:sub>
        </m:sSub>
      </m:oMath>
      <w:r w:rsidR="00485A11" w:rsidRPr="00BC31E0">
        <w:rPr>
          <w:rFonts w:hint="eastAsia"/>
          <w:iCs/>
        </w:rPr>
        <w:tab/>
      </w:r>
      <w:r w:rsidR="00485A11" w:rsidRPr="00BC31E0">
        <w:rPr>
          <w:rFonts w:hint="eastAsia"/>
          <w:bCs/>
          <w:iCs/>
        </w:rPr>
        <w:t>：</w:t>
      </w:r>
      <w:r w:rsidR="00485A11" w:rsidRPr="00BC31E0">
        <w:rPr>
          <w:rFonts w:hint="eastAsia"/>
        </w:rPr>
        <w:t xml:space="preserve">　最外層の縦弾性係数</w:t>
      </w:r>
      <w:r w:rsidR="00485A11" w:rsidRPr="00BC31E0">
        <w:rPr>
          <w:rFonts w:asciiTheme="minorHAnsi" w:hAnsiTheme="minorHAnsi"/>
        </w:rPr>
        <w:t>(MPa</w:t>
      </w:r>
      <w:r w:rsidR="00485A11" w:rsidRPr="00BC31E0">
        <w:rPr>
          <w:rFonts w:asciiTheme="minorHAnsi" w:hAnsiTheme="minorHAnsi"/>
          <w:bCs/>
          <w:iCs/>
        </w:rPr>
        <w:t>)</w:t>
      </w:r>
    </w:p>
    <w:p w14:paraId="31FD7B73" w14:textId="77777777" w:rsidR="00485A11" w:rsidRPr="00BC31E0" w:rsidRDefault="00A51873" w:rsidP="007E3816">
      <w:pPr>
        <w:tabs>
          <w:tab w:val="left" w:pos="709"/>
        </w:tabs>
        <w:ind w:leftChars="100" w:left="210"/>
      </w:pPr>
      <m:oMath>
        <m:sSub>
          <m:sSubPr>
            <m:ctrlPr>
              <w:rPr>
                <w:rFonts w:ascii="Cambria Math" w:hAnsi="Cambria Math"/>
                <w:i/>
              </w:rPr>
            </m:ctrlPr>
          </m:sSubPr>
          <m:e>
            <m:r>
              <w:rPr>
                <w:rFonts w:ascii="Cambria Math" w:hAnsi="Cambria Math"/>
              </w:rPr>
              <m:t>F</m:t>
            </m:r>
          </m:e>
          <m:sub>
            <m:r>
              <w:rPr>
                <w:rFonts w:ascii="Cambria Math" w:hAnsi="Cambria Math"/>
              </w:rPr>
              <m:t>c</m:t>
            </m:r>
          </m:sub>
        </m:sSub>
      </m:oMath>
      <w:r w:rsidR="00485A11" w:rsidRPr="00BC31E0">
        <w:rPr>
          <w:rFonts w:hint="eastAsia"/>
          <w:iCs/>
        </w:rPr>
        <w:tab/>
      </w:r>
      <w:r w:rsidR="00485A11" w:rsidRPr="00BC31E0">
        <w:rPr>
          <w:rFonts w:hint="eastAsia"/>
          <w:bCs/>
          <w:iCs/>
        </w:rPr>
        <w:t>：</w:t>
      </w:r>
      <w:r w:rsidR="00485A11" w:rsidRPr="00BC31E0">
        <w:rPr>
          <w:rFonts w:hint="eastAsia"/>
        </w:rPr>
        <w:t xml:space="preserve">　許容層間ギャップでの円周方向の伸び係数</w:t>
      </w:r>
    </w:p>
    <w:p w14:paraId="6475B16F" w14:textId="77777777" w:rsidR="00485A11" w:rsidRPr="00BC31E0" w:rsidRDefault="00A51873" w:rsidP="007E3816">
      <w:pPr>
        <w:tabs>
          <w:tab w:val="left" w:pos="709"/>
        </w:tabs>
        <w:ind w:leftChars="100" w:left="210"/>
      </w:pPr>
      <m:oMath>
        <m:sSub>
          <m:sSubPr>
            <m:ctrlPr>
              <w:rPr>
                <w:rFonts w:ascii="Cambria Math" w:hAnsi="Cambria Math"/>
                <w:i/>
              </w:rPr>
            </m:ctrlPr>
          </m:sSubPr>
          <m:e>
            <m:r>
              <w:rPr>
                <w:rFonts w:ascii="Cambria Math" w:hAnsi="Cambria Math"/>
              </w:rPr>
              <m:t>g</m:t>
            </m:r>
          </m:e>
          <m:sub>
            <m:r>
              <w:rPr>
                <w:rFonts w:ascii="Cambria Math" w:hAnsi="Cambria Math"/>
              </w:rPr>
              <m:t>o</m:t>
            </m:r>
          </m:sub>
        </m:sSub>
      </m:oMath>
      <w:r w:rsidR="00485A11" w:rsidRPr="00BC31E0">
        <w:rPr>
          <w:rFonts w:hint="eastAsia"/>
        </w:rPr>
        <w:tab/>
      </w:r>
      <w:r w:rsidR="00485A11" w:rsidRPr="00BC31E0">
        <w:rPr>
          <w:rFonts w:hint="eastAsia"/>
          <w:bCs/>
          <w:iCs/>
        </w:rPr>
        <w:t>：</w:t>
      </w:r>
      <w:r w:rsidR="00485A11" w:rsidRPr="00BC31E0">
        <w:rPr>
          <w:rFonts w:hint="eastAsia"/>
        </w:rPr>
        <w:t xml:space="preserve">　ハブ先端の厚さ</w:t>
      </w:r>
      <w:r w:rsidR="00485A11" w:rsidRPr="00BC31E0">
        <w:rPr>
          <w:rFonts w:asciiTheme="minorHAnsi" w:hAnsiTheme="minorHAnsi"/>
        </w:rPr>
        <w:t>(mm)</w:t>
      </w:r>
    </w:p>
    <w:p w14:paraId="1224D42E" w14:textId="77777777" w:rsidR="00485A11" w:rsidRPr="00BC31E0" w:rsidRDefault="00485A11" w:rsidP="007E3816">
      <w:pPr>
        <w:tabs>
          <w:tab w:val="left" w:pos="709"/>
        </w:tabs>
        <w:ind w:leftChars="100" w:left="210"/>
      </w:pPr>
      <m:oMath>
        <m:r>
          <w:rPr>
            <w:rFonts w:ascii="Cambria Math" w:hAnsi="Cambria Math"/>
          </w:rPr>
          <m:t>k</m:t>
        </m:r>
      </m:oMath>
      <w:r w:rsidRPr="00BC31E0">
        <w:rPr>
          <w:rFonts w:hint="eastAsia"/>
          <w:bCs/>
          <w:iCs/>
        </w:rPr>
        <w:tab/>
      </w:r>
      <w:r w:rsidRPr="00BC31E0">
        <w:rPr>
          <w:rFonts w:hint="eastAsia"/>
          <w:bCs/>
          <w:iCs/>
        </w:rPr>
        <w:t>：</w:t>
      </w:r>
      <w:r w:rsidRPr="00BC31E0">
        <w:rPr>
          <w:rFonts w:hint="eastAsia"/>
        </w:rPr>
        <w:t xml:space="preserve">　層の番号　ただし，</w:t>
      </w:r>
      <m:oMath>
        <m:r>
          <w:rPr>
            <w:rFonts w:ascii="Cambria Math" w:hAnsi="Cambria Math"/>
          </w:rPr>
          <m:t xml:space="preserve">D </m:t>
        </m:r>
      </m:oMath>
      <w:r w:rsidRPr="00BC31E0">
        <w:rPr>
          <w:rFonts w:hint="eastAsia"/>
        </w:rPr>
        <w:t>で示した直径に対し，</w:t>
      </w:r>
      <m:oMath>
        <m:sSub>
          <m:sSubPr>
            <m:ctrlPr>
              <w:rPr>
                <w:rFonts w:ascii="Cambria Math" w:hAnsi="Cambria Math"/>
                <w:i/>
              </w:rPr>
            </m:ctrlPr>
          </m:sSubPr>
          <m:e>
            <m:r>
              <w:rPr>
                <w:rFonts w:ascii="Cambria Math" w:hAnsi="Cambria Math"/>
              </w:rPr>
              <m:t>D</m:t>
            </m:r>
          </m:e>
          <m:sub>
            <m:r>
              <w:rPr>
                <w:rFonts w:ascii="Cambria Math" w:hAnsi="Cambria Math"/>
              </w:rPr>
              <m:t>k</m:t>
            </m:r>
          </m:sub>
        </m:sSub>
        <m:r>
          <w:rPr>
            <w:rFonts w:ascii="Cambria Math" w:hAnsi="Cambria Math"/>
          </w:rPr>
          <m:t>&gt;D&gt;</m:t>
        </m:r>
        <m:sSub>
          <m:sSubPr>
            <m:ctrlPr>
              <w:rPr>
                <w:rFonts w:ascii="Cambria Math" w:hAnsi="Cambria Math"/>
                <w:i/>
              </w:rPr>
            </m:ctrlPr>
          </m:sSubPr>
          <m:e>
            <m:r>
              <w:rPr>
                <w:rFonts w:ascii="Cambria Math" w:hAnsi="Cambria Math"/>
              </w:rPr>
              <m:t>D</m:t>
            </m:r>
          </m:e>
          <m:sub>
            <m:r>
              <w:rPr>
                <w:rFonts w:ascii="Cambria Math" w:hAnsi="Cambria Math"/>
              </w:rPr>
              <m:t>k-1</m:t>
            </m:r>
          </m:sub>
        </m:sSub>
        <m:r>
          <w:rPr>
            <w:rFonts w:ascii="Cambria Math" w:hAnsi="Cambria Math"/>
          </w:rPr>
          <m:t xml:space="preserve"> </m:t>
        </m:r>
      </m:oMath>
      <w:r w:rsidRPr="00BC31E0">
        <w:rPr>
          <w:rFonts w:hint="eastAsia"/>
        </w:rPr>
        <w:t>とする。</w:t>
      </w:r>
    </w:p>
    <w:p w14:paraId="29ECAEEC" w14:textId="77777777" w:rsidR="00485A11" w:rsidRPr="00BC31E0" w:rsidRDefault="00485A11" w:rsidP="007E3816">
      <w:pPr>
        <w:tabs>
          <w:tab w:val="left" w:pos="709"/>
        </w:tabs>
        <w:ind w:leftChars="100" w:left="210"/>
        <w:rPr>
          <w:bCs/>
          <w:iCs/>
        </w:rPr>
      </w:pPr>
      <m:oMath>
        <m:r>
          <w:rPr>
            <w:rFonts w:ascii="Cambria Math" w:hAnsi="Cambria Math"/>
          </w:rPr>
          <w:lastRenderedPageBreak/>
          <m:t>l</m:t>
        </m:r>
      </m:oMath>
      <w:r w:rsidRPr="00BC31E0">
        <w:rPr>
          <w:rFonts w:hint="eastAsia"/>
        </w:rPr>
        <w:tab/>
      </w:r>
      <w:r w:rsidRPr="00BC31E0">
        <w:rPr>
          <w:rFonts w:hint="eastAsia"/>
          <w:bCs/>
          <w:iCs/>
        </w:rPr>
        <w:t>：</w:t>
      </w:r>
      <w:r w:rsidRPr="00BC31E0">
        <w:rPr>
          <w:rFonts w:hint="eastAsia"/>
          <w:bCs/>
          <w:iCs/>
        </w:rPr>
        <w:t xml:space="preserve">  </w:t>
      </w:r>
      <w:r w:rsidRPr="00BC31E0">
        <w:rPr>
          <w:rFonts w:hint="eastAsia"/>
          <w:bCs/>
          <w:iCs/>
        </w:rPr>
        <w:t>テーパ部の必要とする厚さ</w:t>
      </w:r>
      <w:r w:rsidRPr="00BC31E0">
        <w:rPr>
          <w:rFonts w:asciiTheme="minorHAnsi" w:hAnsiTheme="minorHAnsi"/>
          <w:bCs/>
          <w:iCs/>
        </w:rPr>
        <w:t>(mm)</w:t>
      </w:r>
    </w:p>
    <w:p w14:paraId="77FF4EC6" w14:textId="77777777" w:rsidR="00485A11" w:rsidRPr="00BC31E0" w:rsidRDefault="00485A11" w:rsidP="007E3816">
      <w:pPr>
        <w:tabs>
          <w:tab w:val="left" w:pos="709"/>
        </w:tabs>
        <w:ind w:leftChars="100" w:left="210"/>
      </w:pPr>
      <m:oMath>
        <m:r>
          <w:rPr>
            <w:rFonts w:ascii="Cambria Math" w:hAnsi="Cambria Math"/>
          </w:rPr>
          <m:t>N</m:t>
        </m:r>
      </m:oMath>
      <w:r w:rsidRPr="00BC31E0">
        <w:rPr>
          <w:rFonts w:hint="eastAsia"/>
          <w:bCs/>
          <w:iCs/>
        </w:rPr>
        <w:tab/>
      </w:r>
      <w:r w:rsidRPr="00BC31E0">
        <w:rPr>
          <w:rFonts w:hint="eastAsia"/>
          <w:bCs/>
          <w:iCs/>
        </w:rPr>
        <w:t>：</w:t>
      </w:r>
      <w:r w:rsidRPr="00BC31E0">
        <w:rPr>
          <w:rFonts w:hint="eastAsia"/>
        </w:rPr>
        <w:t xml:space="preserve">　全層数</w:t>
      </w:r>
    </w:p>
    <w:p w14:paraId="187E073B" w14:textId="77777777" w:rsidR="00485A11" w:rsidRPr="00BC31E0" w:rsidRDefault="00485A11" w:rsidP="007E3816">
      <w:pPr>
        <w:tabs>
          <w:tab w:val="left" w:pos="709"/>
        </w:tabs>
        <w:ind w:leftChars="100" w:left="210"/>
      </w:pPr>
      <m:oMath>
        <m:r>
          <w:rPr>
            <w:rFonts w:ascii="Cambria Math" w:hAnsi="Cambria Math"/>
          </w:rPr>
          <m:t>P</m:t>
        </m:r>
      </m:oMath>
      <w:r w:rsidRPr="00BC31E0">
        <w:rPr>
          <w:rFonts w:hint="eastAsia"/>
        </w:rPr>
        <w:tab/>
      </w:r>
      <w:r w:rsidRPr="00BC31E0">
        <w:rPr>
          <w:rFonts w:hint="eastAsia"/>
          <w:bCs/>
          <w:iCs/>
        </w:rPr>
        <w:t>：</w:t>
      </w:r>
      <w:r w:rsidRPr="00BC31E0">
        <w:rPr>
          <w:rFonts w:hint="eastAsia"/>
        </w:rPr>
        <w:t xml:space="preserve">　内圧力</w:t>
      </w:r>
      <w:r w:rsidRPr="00BC31E0">
        <w:rPr>
          <w:rFonts w:asciiTheme="minorHAnsi" w:hAnsiTheme="minorHAnsi"/>
        </w:rPr>
        <w:t>(MPa)</w:t>
      </w:r>
    </w:p>
    <w:p w14:paraId="35E81B4E" w14:textId="77777777" w:rsidR="00485A11" w:rsidRPr="00BC31E0" w:rsidRDefault="00A51873" w:rsidP="007E3816">
      <w:pPr>
        <w:tabs>
          <w:tab w:val="left" w:pos="709"/>
        </w:tabs>
        <w:ind w:leftChars="100" w:left="210"/>
      </w:pPr>
      <m:oMath>
        <m:sSub>
          <m:sSubPr>
            <m:ctrlPr>
              <w:rPr>
                <w:rFonts w:ascii="Cambria Math" w:hAnsi="Cambria Math"/>
                <w:i/>
              </w:rPr>
            </m:ctrlPr>
          </m:sSubPr>
          <m:e>
            <m:r>
              <w:rPr>
                <w:rFonts w:ascii="Cambria Math" w:hAnsi="Cambria Math"/>
              </w:rPr>
              <m:t>P</m:t>
            </m:r>
          </m:e>
          <m:sub>
            <m:r>
              <w:rPr>
                <w:rFonts w:ascii="Cambria Math" w:hAnsi="Cambria Math"/>
              </w:rPr>
              <m:t>if</m:t>
            </m:r>
          </m:sub>
        </m:sSub>
      </m:oMath>
      <w:r w:rsidR="00485A11" w:rsidRPr="00BC31E0">
        <w:rPr>
          <w:rFonts w:hint="eastAsia"/>
        </w:rPr>
        <w:tab/>
      </w:r>
      <w:r w:rsidR="00485A11" w:rsidRPr="00BC31E0">
        <w:rPr>
          <w:rFonts w:hint="eastAsia"/>
          <w:bCs/>
          <w:iCs/>
        </w:rPr>
        <w:t>：</w:t>
      </w:r>
      <w:r w:rsidR="00485A11" w:rsidRPr="00BC31E0">
        <w:rPr>
          <w:rFonts w:hint="eastAsia"/>
        </w:rPr>
        <w:t xml:space="preserve">　焼ばめ層の層間圧力</w:t>
      </w:r>
      <w:r w:rsidR="00485A11" w:rsidRPr="00BC31E0">
        <w:rPr>
          <w:rFonts w:asciiTheme="minorHAnsi" w:hAnsiTheme="minorHAnsi"/>
        </w:rPr>
        <w:t>(MPa)</w:t>
      </w:r>
    </w:p>
    <w:p w14:paraId="246C5402" w14:textId="77777777" w:rsidR="00485A11" w:rsidRPr="00BC31E0" w:rsidRDefault="00A51873" w:rsidP="007E3816">
      <w:pPr>
        <w:tabs>
          <w:tab w:val="left" w:pos="709"/>
        </w:tabs>
        <w:ind w:leftChars="100" w:left="210"/>
      </w:pPr>
      <m:oMath>
        <m:sSub>
          <m:sSubPr>
            <m:ctrlPr>
              <w:rPr>
                <w:rFonts w:ascii="Cambria Math" w:hAnsi="Cambria Math"/>
                <w:i/>
              </w:rPr>
            </m:ctrlPr>
          </m:sSubPr>
          <m:e>
            <m:r>
              <w:rPr>
                <w:rFonts w:ascii="Cambria Math" w:hAnsi="Cambria Math"/>
              </w:rPr>
              <m:t>P</m:t>
            </m:r>
          </m:e>
          <m:sub>
            <m:r>
              <w:rPr>
                <w:rFonts w:ascii="Cambria Math" w:hAnsi="Cambria Math"/>
              </w:rPr>
              <m:t>n</m:t>
            </m:r>
          </m:sub>
        </m:sSub>
      </m:oMath>
      <w:r w:rsidR="00485A11" w:rsidRPr="00BC31E0">
        <w:rPr>
          <w:rFonts w:hint="eastAsia"/>
          <w:bCs/>
          <w:iCs/>
        </w:rPr>
        <w:tab/>
      </w:r>
      <w:r w:rsidR="00485A11" w:rsidRPr="00BC31E0">
        <w:rPr>
          <w:rFonts w:hint="eastAsia"/>
          <w:bCs/>
          <w:iCs/>
        </w:rPr>
        <w:t>：</w:t>
      </w:r>
      <w:r w:rsidR="00485A11" w:rsidRPr="00BC31E0">
        <w:rPr>
          <w:rFonts w:hint="eastAsia"/>
        </w:rPr>
        <w:t xml:space="preserve">　第</w:t>
      </w:r>
      <m:oMath>
        <m:r>
          <m:rPr>
            <m:sty m:val="p"/>
          </m:rPr>
          <w:rPr>
            <w:rFonts w:ascii="Cambria Math" w:hAnsi="Cambria Math"/>
          </w:rPr>
          <m:t xml:space="preserve"> </m:t>
        </m:r>
        <m:r>
          <w:rPr>
            <w:rFonts w:ascii="Cambria Math" w:hAnsi="Cambria Math"/>
          </w:rPr>
          <m:t xml:space="preserve">n </m:t>
        </m:r>
      </m:oMath>
      <w:r w:rsidR="00485A11" w:rsidRPr="00BC31E0">
        <w:rPr>
          <w:rFonts w:hint="eastAsia"/>
        </w:rPr>
        <w:t>層と第</w:t>
      </w:r>
      <m:oMath>
        <m:r>
          <m:rPr>
            <m:sty m:val="p"/>
          </m:rPr>
          <w:rPr>
            <w:rFonts w:ascii="Cambria Math" w:hAnsi="Cambria Math"/>
          </w:rPr>
          <m:t xml:space="preserve"> </m:t>
        </m:r>
        <m:r>
          <w:rPr>
            <w:rFonts w:ascii="Cambria Math" w:hAnsi="Cambria Math"/>
          </w:rPr>
          <m:t xml:space="preserve">n+1 </m:t>
        </m:r>
      </m:oMath>
      <w:r w:rsidR="00485A11" w:rsidRPr="00BC31E0">
        <w:rPr>
          <w:rFonts w:hint="eastAsia"/>
        </w:rPr>
        <w:t>層の間の層間圧力</w:t>
      </w:r>
      <w:r w:rsidR="00485A11" w:rsidRPr="00BC31E0">
        <w:rPr>
          <w:rFonts w:asciiTheme="minorHAnsi" w:hAnsiTheme="minorHAnsi"/>
        </w:rPr>
        <w:t>(MPa)</w:t>
      </w:r>
    </w:p>
    <w:p w14:paraId="6ADF8DF1" w14:textId="77777777" w:rsidR="00485A11" w:rsidRPr="00BC31E0" w:rsidRDefault="00A51873" w:rsidP="007E3816">
      <w:pPr>
        <w:tabs>
          <w:tab w:val="left" w:pos="709"/>
        </w:tabs>
        <w:ind w:leftChars="100" w:left="210"/>
      </w:pPr>
      <m:oMath>
        <m:sSub>
          <m:sSubPr>
            <m:ctrlPr>
              <w:rPr>
                <w:rFonts w:ascii="Cambria Math" w:hAnsi="Cambria Math"/>
                <w:i/>
              </w:rPr>
            </m:ctrlPr>
          </m:sSubPr>
          <m:e>
            <m:r>
              <w:rPr>
                <w:rFonts w:ascii="Cambria Math" w:hAnsi="Cambria Math"/>
              </w:rPr>
              <m:t>P</m:t>
            </m:r>
          </m:e>
          <m:sub>
            <m:r>
              <w:rPr>
                <w:rFonts w:ascii="Cambria Math" w:hAnsi="Cambria Math"/>
              </w:rPr>
              <m:t>t</m:t>
            </m:r>
          </m:sub>
        </m:sSub>
      </m:oMath>
      <w:r w:rsidR="00485A11" w:rsidRPr="00BC31E0">
        <w:rPr>
          <w:rFonts w:hint="eastAsia"/>
          <w:iCs/>
        </w:rPr>
        <w:tab/>
      </w:r>
      <w:r w:rsidR="00485A11" w:rsidRPr="00BC31E0">
        <w:rPr>
          <w:rFonts w:hint="eastAsia"/>
          <w:bCs/>
          <w:iCs/>
        </w:rPr>
        <w:t xml:space="preserve">：　</w:t>
      </w:r>
      <w:r w:rsidR="00485A11" w:rsidRPr="00BC31E0">
        <w:rPr>
          <w:rFonts w:hint="eastAsia"/>
        </w:rPr>
        <w:t>耐圧試験圧力</w:t>
      </w:r>
      <w:r w:rsidR="00485A11" w:rsidRPr="00BC31E0">
        <w:rPr>
          <w:rFonts w:asciiTheme="minorHAnsi" w:hAnsiTheme="minorHAnsi"/>
        </w:rPr>
        <w:t>(MPa)</w:t>
      </w:r>
    </w:p>
    <w:p w14:paraId="1D553FC1" w14:textId="77777777" w:rsidR="00485A11" w:rsidRPr="00BC31E0" w:rsidRDefault="00A51873" w:rsidP="007E3816">
      <w:pPr>
        <w:tabs>
          <w:tab w:val="left" w:pos="709"/>
        </w:tabs>
        <w:ind w:leftChars="100" w:left="1092" w:hangingChars="420" w:hanging="882"/>
      </w:pPr>
      <m:oMath>
        <m:sSub>
          <m:sSubPr>
            <m:ctrlPr>
              <w:rPr>
                <w:rFonts w:ascii="Cambria Math" w:hAnsi="Cambria Math"/>
                <w:i/>
              </w:rPr>
            </m:ctrlPr>
          </m:sSubPr>
          <m:e>
            <m:r>
              <w:rPr>
                <w:rFonts w:ascii="Cambria Math" w:hAnsi="Cambria Math"/>
              </w:rPr>
              <m:t>Q</m:t>
            </m:r>
          </m:e>
          <m:sub>
            <m:r>
              <w:rPr>
                <w:rFonts w:ascii="Cambria Math" w:hAnsi="Cambria Math"/>
              </w:rPr>
              <m:t>c</m:t>
            </m:r>
          </m:sub>
        </m:sSub>
      </m:oMath>
      <w:r w:rsidR="00485A11" w:rsidRPr="00BC31E0">
        <w:rPr>
          <w:rFonts w:hint="eastAsia"/>
        </w:rPr>
        <w:tab/>
      </w:r>
      <w:r w:rsidR="00485A11" w:rsidRPr="00BC31E0">
        <w:rPr>
          <w:rFonts w:hint="eastAsia"/>
          <w:bCs/>
          <w:iCs/>
        </w:rPr>
        <w:t>：</w:t>
      </w:r>
      <w:r w:rsidR="00485A11" w:rsidRPr="00BC31E0">
        <w:rPr>
          <w:rFonts w:hint="eastAsia"/>
        </w:rPr>
        <w:t xml:space="preserve">  </w:t>
      </w:r>
      <w:r w:rsidR="00485A11" w:rsidRPr="00BC31E0">
        <w:rPr>
          <w:rFonts w:hint="eastAsia"/>
        </w:rPr>
        <w:t>層間隙間係数，単胴と仮定した時の理論周長伸びに対する耐圧試験圧力での周長伸びの実測値との比</w:t>
      </w:r>
    </w:p>
    <w:p w14:paraId="6A7B837C" w14:textId="77777777" w:rsidR="00485A11" w:rsidRPr="00BC31E0" w:rsidRDefault="00485A11" w:rsidP="007E3816">
      <w:pPr>
        <w:tabs>
          <w:tab w:val="left" w:pos="709"/>
        </w:tabs>
        <w:ind w:leftChars="100" w:left="210"/>
        <w:rPr>
          <w:iCs/>
        </w:rPr>
      </w:pPr>
      <m:oMath>
        <m:r>
          <w:rPr>
            <w:rFonts w:ascii="Cambria Math" w:hAnsi="Cambria Math"/>
          </w:rPr>
          <m:t>Y</m:t>
        </m:r>
      </m:oMath>
      <w:r w:rsidRPr="00BC31E0">
        <w:rPr>
          <w:rFonts w:hint="eastAsia"/>
          <w:bCs/>
          <w:iCs/>
        </w:rPr>
        <w:tab/>
      </w:r>
      <w:r w:rsidRPr="00BC31E0">
        <w:rPr>
          <w:rFonts w:hint="eastAsia"/>
          <w:bCs/>
          <w:iCs/>
        </w:rPr>
        <w:t xml:space="preserve">：　</w:t>
      </w:r>
      <w:r w:rsidRPr="00BC31E0">
        <w:rPr>
          <w:rFonts w:hint="eastAsia"/>
        </w:rPr>
        <w:t>内外径比</w:t>
      </w:r>
      <w:r w:rsidRPr="00BC31E0">
        <w:rPr>
          <w:rFonts w:hint="eastAsia"/>
        </w:rPr>
        <w:t>(</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O</m:t>
                </m:r>
              </m:sub>
            </m:sSub>
          </m:num>
          <m:den>
            <m:sSub>
              <m:sSubPr>
                <m:ctrlPr>
                  <w:rPr>
                    <w:rFonts w:ascii="Cambria Math" w:hAnsi="Cambria Math"/>
                    <w:i/>
                  </w:rPr>
                </m:ctrlPr>
              </m:sSubPr>
              <m:e>
                <m:r>
                  <w:rPr>
                    <w:rFonts w:ascii="Cambria Math" w:hAnsi="Cambria Math"/>
                  </w:rPr>
                  <m:t>D</m:t>
                </m:r>
              </m:e>
              <m:sub>
                <m:r>
                  <w:rPr>
                    <w:rFonts w:ascii="Cambria Math" w:hAnsi="Cambria Math"/>
                  </w:rPr>
                  <m:t>I</m:t>
                </m:r>
              </m:sub>
            </m:sSub>
          </m:den>
        </m:f>
      </m:oMath>
      <w:r w:rsidRPr="00BC31E0">
        <w:rPr>
          <w:rFonts w:hint="eastAsia"/>
        </w:rPr>
        <w:t>)</w:t>
      </w:r>
    </w:p>
    <w:p w14:paraId="1F702AFA" w14:textId="77777777" w:rsidR="00485A11" w:rsidRPr="00BC31E0" w:rsidRDefault="00485A11" w:rsidP="007E3816">
      <w:pPr>
        <w:ind w:leftChars="520" w:left="1092"/>
        <w:rPr>
          <w:bCs/>
          <w:iCs/>
        </w:rPr>
      </w:pPr>
      <w:r w:rsidRPr="00BC31E0">
        <w:rPr>
          <w:rFonts w:hint="eastAsia"/>
          <w:bCs/>
          <w:iCs/>
        </w:rPr>
        <w:t>溶接オフセット</w:t>
      </w:r>
      <w:r w:rsidRPr="00BC31E0">
        <w:rPr>
          <w:rFonts w:hint="eastAsia"/>
        </w:rPr>
        <w:t>，片面側における厚さの差</w:t>
      </w:r>
      <w:r w:rsidRPr="00BC31E0">
        <w:rPr>
          <w:rFonts w:asciiTheme="minorHAnsi" w:hAnsiTheme="minorHAnsi"/>
        </w:rPr>
        <w:t>(mm)</w:t>
      </w:r>
    </w:p>
    <w:p w14:paraId="2D2D871F" w14:textId="77777777" w:rsidR="00485A11" w:rsidRPr="00BC31E0" w:rsidRDefault="00A51873" w:rsidP="007E3816">
      <w:pPr>
        <w:tabs>
          <w:tab w:val="left" w:pos="709"/>
        </w:tabs>
        <w:ind w:leftChars="100" w:left="210"/>
      </w:pPr>
      <m:oMath>
        <m:sSub>
          <m:sSubPr>
            <m:ctrlPr>
              <w:rPr>
                <w:rFonts w:ascii="Cambria Math" w:hAnsi="Cambria Math"/>
                <w:i/>
              </w:rPr>
            </m:ctrlPr>
          </m:sSubPr>
          <m:e>
            <m:r>
              <w:rPr>
                <w:rFonts w:ascii="Cambria Math" w:hAnsi="Cambria Math"/>
              </w:rPr>
              <m:t>Y</m:t>
            </m:r>
          </m:e>
          <m:sub>
            <m:r>
              <w:rPr>
                <w:rFonts w:ascii="Cambria Math" w:hAnsi="Cambria Math"/>
              </w:rPr>
              <m:t>i</m:t>
            </m:r>
          </m:sub>
        </m:sSub>
      </m:oMath>
      <w:r w:rsidR="00485A11" w:rsidRPr="00BC31E0">
        <w:rPr>
          <w:rFonts w:hint="eastAsia"/>
          <w:bCs/>
          <w:iCs/>
        </w:rPr>
        <w:tab/>
      </w:r>
      <w:r w:rsidR="00485A11" w:rsidRPr="00BC31E0">
        <w:rPr>
          <w:rFonts w:hint="eastAsia"/>
          <w:bCs/>
          <w:iCs/>
        </w:rPr>
        <w:t>：</w:t>
      </w:r>
      <w:r w:rsidR="00485A11" w:rsidRPr="00BC31E0">
        <w:rPr>
          <w:rFonts w:hint="eastAsia"/>
          <w:bCs/>
          <w:iCs/>
        </w:rPr>
        <w:t xml:space="preserve">  </w:t>
      </w:r>
      <w:r w:rsidR="00485A11" w:rsidRPr="00BC31E0">
        <w:rPr>
          <w:rFonts w:hint="eastAsia"/>
        </w:rPr>
        <w:t>焼ばめ方式</w:t>
      </w:r>
      <w:r w:rsidR="00485A11" w:rsidRPr="00BC31E0">
        <w:rPr>
          <w:rFonts w:asciiTheme="minorHAnsi" w:hAnsiTheme="minorHAnsi"/>
        </w:rPr>
        <w:t>2</w:t>
      </w:r>
      <w:r w:rsidR="00485A11" w:rsidRPr="00BC31E0">
        <w:rPr>
          <w:rFonts w:hint="eastAsia"/>
        </w:rPr>
        <w:t>層容器における内層の内外径比</w:t>
      </w:r>
      <w:r w:rsidR="00485A11" w:rsidRPr="00BC31E0">
        <w:rPr>
          <w:rFonts w:hint="eastAsia"/>
        </w:rPr>
        <w:t>(</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if</m:t>
                </m:r>
              </m:sub>
            </m:sSub>
          </m:num>
          <m:den>
            <m:sSub>
              <m:sSubPr>
                <m:ctrlPr>
                  <w:rPr>
                    <w:rFonts w:ascii="Cambria Math" w:hAnsi="Cambria Math"/>
                    <w:i/>
                  </w:rPr>
                </m:ctrlPr>
              </m:sSubPr>
              <m:e>
                <m:r>
                  <w:rPr>
                    <w:rFonts w:ascii="Cambria Math" w:hAnsi="Cambria Math"/>
                  </w:rPr>
                  <m:t>D</m:t>
                </m:r>
              </m:e>
              <m:sub>
                <m:r>
                  <w:rPr>
                    <w:rFonts w:ascii="Cambria Math" w:hAnsi="Cambria Math"/>
                  </w:rPr>
                  <m:t>I</m:t>
                </m:r>
              </m:sub>
            </m:sSub>
          </m:den>
        </m:f>
      </m:oMath>
      <w:r w:rsidR="00485A11" w:rsidRPr="00BC31E0">
        <w:rPr>
          <w:rFonts w:hint="eastAsia"/>
        </w:rPr>
        <w:t>)</w:t>
      </w:r>
    </w:p>
    <w:p w14:paraId="46A582FC" w14:textId="77777777" w:rsidR="00485A11" w:rsidRPr="00BC31E0" w:rsidRDefault="00A51873" w:rsidP="007E3816">
      <w:pPr>
        <w:tabs>
          <w:tab w:val="left" w:pos="709"/>
        </w:tabs>
        <w:ind w:leftChars="100" w:left="210"/>
      </w:pPr>
      <m:oMath>
        <m:sSub>
          <m:sSubPr>
            <m:ctrlPr>
              <w:rPr>
                <w:rFonts w:ascii="Cambria Math" w:hAnsi="Cambria Math"/>
                <w:i/>
              </w:rPr>
            </m:ctrlPr>
          </m:sSubPr>
          <m:e>
            <m:r>
              <w:rPr>
                <w:rFonts w:ascii="Cambria Math" w:hAnsi="Cambria Math"/>
              </w:rPr>
              <m:t>Y</m:t>
            </m:r>
          </m:e>
          <m:sub>
            <m:r>
              <w:rPr>
                <w:rFonts w:ascii="Cambria Math" w:hAnsi="Cambria Math"/>
              </w:rPr>
              <m:t>o</m:t>
            </m:r>
          </m:sub>
        </m:sSub>
      </m:oMath>
      <w:r w:rsidR="00485A11" w:rsidRPr="00BC31E0">
        <w:rPr>
          <w:rFonts w:hint="eastAsia"/>
          <w:bCs/>
          <w:iCs/>
        </w:rPr>
        <w:tab/>
      </w:r>
      <w:r w:rsidR="00485A11" w:rsidRPr="00BC31E0">
        <w:rPr>
          <w:rFonts w:hint="eastAsia"/>
          <w:bCs/>
          <w:iCs/>
        </w:rPr>
        <w:t xml:space="preserve">：　</w:t>
      </w:r>
      <w:r w:rsidR="00485A11" w:rsidRPr="00BC31E0">
        <w:rPr>
          <w:rFonts w:hint="eastAsia"/>
        </w:rPr>
        <w:t>焼ばめ方式</w:t>
      </w:r>
      <w:r w:rsidR="00485A11" w:rsidRPr="00BC31E0">
        <w:rPr>
          <w:rFonts w:asciiTheme="minorHAnsi" w:hAnsiTheme="minorHAnsi"/>
        </w:rPr>
        <w:t>2</w:t>
      </w:r>
      <w:r w:rsidR="00485A11" w:rsidRPr="00BC31E0">
        <w:rPr>
          <w:rFonts w:hint="eastAsia"/>
        </w:rPr>
        <w:t>層容器における外層の内外径比</w:t>
      </w:r>
      <w:r w:rsidR="00485A11" w:rsidRPr="00BC31E0">
        <w:rPr>
          <w:rFonts w:hint="eastAsia"/>
        </w:rPr>
        <w:t>(</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O</m:t>
                </m:r>
              </m:sub>
            </m:sSub>
          </m:num>
          <m:den>
            <m:sSub>
              <m:sSubPr>
                <m:ctrlPr>
                  <w:rPr>
                    <w:rFonts w:ascii="Cambria Math" w:hAnsi="Cambria Math"/>
                    <w:i/>
                  </w:rPr>
                </m:ctrlPr>
              </m:sSubPr>
              <m:e>
                <m:r>
                  <w:rPr>
                    <w:rFonts w:ascii="Cambria Math" w:hAnsi="Cambria Math"/>
                  </w:rPr>
                  <m:t>D</m:t>
                </m:r>
              </m:e>
              <m:sub>
                <m:r>
                  <w:rPr>
                    <w:rFonts w:ascii="Cambria Math" w:hAnsi="Cambria Math"/>
                  </w:rPr>
                  <m:t>if</m:t>
                </m:r>
              </m:sub>
            </m:sSub>
          </m:den>
        </m:f>
      </m:oMath>
      <w:r w:rsidR="00485A11" w:rsidRPr="00BC31E0">
        <w:rPr>
          <w:rFonts w:hint="eastAsia"/>
        </w:rPr>
        <w:t>)</w:t>
      </w:r>
    </w:p>
    <w:p w14:paraId="569EC567" w14:textId="77777777" w:rsidR="00485A11" w:rsidRPr="00BC31E0" w:rsidRDefault="00A51873" w:rsidP="007E3816">
      <w:pPr>
        <w:tabs>
          <w:tab w:val="left" w:pos="709"/>
        </w:tabs>
        <w:ind w:leftChars="100" w:left="210"/>
      </w:pPr>
      <m:oMath>
        <m:sSub>
          <m:sSubPr>
            <m:ctrlPr>
              <w:rPr>
                <w:rFonts w:ascii="Cambria Math" w:hAnsi="Cambria Math"/>
                <w:bCs/>
                <w:i/>
                <w:iCs/>
              </w:rPr>
            </m:ctrlPr>
          </m:sSubPr>
          <m:e>
            <m:r>
              <w:rPr>
                <w:rFonts w:ascii="Cambria Math" w:hAnsi="Cambria Math"/>
              </w:rPr>
              <m:t>e</m:t>
            </m:r>
          </m:e>
          <m:sub>
            <m:r>
              <w:rPr>
                <w:rFonts w:ascii="Cambria Math" w:hAnsi="Cambria Math"/>
              </w:rPr>
              <m:t>m</m:t>
            </m:r>
          </m:sub>
        </m:sSub>
      </m:oMath>
      <w:r w:rsidR="00485A11" w:rsidRPr="00BC31E0">
        <w:rPr>
          <w:rFonts w:hint="eastAsia"/>
          <w:bCs/>
          <w:iCs/>
        </w:rPr>
        <w:tab/>
      </w:r>
      <w:r w:rsidR="00485A11" w:rsidRPr="00BC31E0">
        <w:rPr>
          <w:rFonts w:hint="eastAsia"/>
          <w:bCs/>
          <w:iCs/>
        </w:rPr>
        <w:t xml:space="preserve">：　</w:t>
      </w:r>
      <w:r w:rsidR="00485A11" w:rsidRPr="00BC31E0">
        <w:rPr>
          <w:rFonts w:hint="eastAsia"/>
        </w:rPr>
        <w:t>耐圧試験時に実測する周長伸び</w:t>
      </w:r>
      <w:r w:rsidR="00485A11" w:rsidRPr="00BC31E0">
        <w:rPr>
          <w:rFonts w:asciiTheme="minorHAnsi" w:hAnsiTheme="minorHAnsi"/>
        </w:rPr>
        <w:t>(mm)</w:t>
      </w:r>
    </w:p>
    <w:p w14:paraId="2407E1AD" w14:textId="77777777" w:rsidR="00485A11" w:rsidRPr="00BC31E0" w:rsidRDefault="00A51873" w:rsidP="007E3816">
      <w:pPr>
        <w:tabs>
          <w:tab w:val="left" w:pos="709"/>
        </w:tabs>
        <w:ind w:leftChars="100" w:left="210"/>
      </w:pPr>
      <m:oMath>
        <m:sSub>
          <m:sSubPr>
            <m:ctrlPr>
              <w:rPr>
                <w:rFonts w:ascii="Cambria Math" w:hAnsi="Cambria Math"/>
                <w:bCs/>
                <w:i/>
                <w:iCs/>
              </w:rPr>
            </m:ctrlPr>
          </m:sSubPr>
          <m:e>
            <m:r>
              <w:rPr>
                <w:rFonts w:ascii="Cambria Math" w:hAnsi="Cambria Math"/>
              </w:rPr>
              <m:t>e</m:t>
            </m:r>
          </m:e>
          <m:sub>
            <m:r>
              <w:rPr>
                <w:rFonts w:ascii="Cambria Math" w:hAnsi="Cambria Math"/>
              </w:rPr>
              <m:t>th</m:t>
            </m:r>
          </m:sub>
        </m:sSub>
      </m:oMath>
      <w:r w:rsidR="00485A11" w:rsidRPr="00BC31E0">
        <w:rPr>
          <w:rFonts w:hint="eastAsia"/>
          <w:bCs/>
          <w:iCs/>
        </w:rPr>
        <w:tab/>
      </w:r>
      <w:r w:rsidR="00485A11" w:rsidRPr="00BC31E0">
        <w:rPr>
          <w:rFonts w:hint="eastAsia"/>
          <w:bCs/>
          <w:iCs/>
        </w:rPr>
        <w:t xml:space="preserve">：　</w:t>
      </w:r>
      <w:r w:rsidR="00485A11" w:rsidRPr="00BC31E0">
        <w:rPr>
          <w:rFonts w:hint="eastAsia"/>
        </w:rPr>
        <w:t>単胴と仮定した場合の耐圧試験圧力での理論周長伸び</w:t>
      </w:r>
      <w:r w:rsidR="00485A11" w:rsidRPr="00BC31E0">
        <w:rPr>
          <w:rFonts w:asciiTheme="minorHAnsi" w:eastAsiaTheme="majorEastAsia" w:hAnsiTheme="minorHAnsi"/>
        </w:rPr>
        <w:t>(mm)</w:t>
      </w:r>
    </w:p>
    <w:p w14:paraId="5D697AD8" w14:textId="77777777" w:rsidR="00485A11" w:rsidRPr="00BC31E0" w:rsidRDefault="00485A11" w:rsidP="007E3816">
      <w:pPr>
        <w:tabs>
          <w:tab w:val="left" w:pos="709"/>
        </w:tabs>
        <w:ind w:leftChars="100" w:left="210"/>
      </w:pPr>
      <m:oMath>
        <m:r>
          <w:rPr>
            <w:rFonts w:ascii="Cambria Math" w:hAnsi="Cambria Math"/>
          </w:rPr>
          <m:t>n</m:t>
        </m:r>
      </m:oMath>
      <w:r w:rsidRPr="00BC31E0">
        <w:rPr>
          <w:rFonts w:hint="eastAsia"/>
          <w:bCs/>
          <w:iCs/>
        </w:rPr>
        <w:tab/>
      </w:r>
      <w:r w:rsidRPr="00BC31E0">
        <w:rPr>
          <w:rFonts w:hint="eastAsia"/>
          <w:bCs/>
          <w:iCs/>
        </w:rPr>
        <w:t xml:space="preserve">：　</w:t>
      </w:r>
      <w:r w:rsidRPr="00BC31E0">
        <w:rPr>
          <w:rFonts w:hint="eastAsia"/>
        </w:rPr>
        <w:t>応力を計算する層数</w:t>
      </w:r>
    </w:p>
    <w:p w14:paraId="329A97DF" w14:textId="77777777" w:rsidR="00485A11" w:rsidRPr="00BC31E0" w:rsidRDefault="00485A11" w:rsidP="007E3816">
      <w:pPr>
        <w:tabs>
          <w:tab w:val="left" w:pos="709"/>
        </w:tabs>
        <w:ind w:leftChars="100" w:left="210"/>
      </w:pPr>
      <m:oMath>
        <m:r>
          <w:rPr>
            <w:rFonts w:ascii="Cambria Math" w:hAnsi="Cambria Math"/>
          </w:rPr>
          <m:t>t</m:t>
        </m:r>
      </m:oMath>
      <w:r w:rsidRPr="00BC31E0">
        <w:rPr>
          <w:rFonts w:hint="eastAsia"/>
          <w:bCs/>
          <w:iCs/>
        </w:rPr>
        <w:tab/>
      </w:r>
      <w:r w:rsidRPr="00BC31E0">
        <w:rPr>
          <w:rFonts w:hint="eastAsia"/>
          <w:bCs/>
          <w:iCs/>
        </w:rPr>
        <w:t>：　層成胴の</w:t>
      </w:r>
      <w:r w:rsidRPr="00BC31E0">
        <w:rPr>
          <w:rFonts w:hint="eastAsia"/>
        </w:rPr>
        <w:t>合計厚さ</w:t>
      </w:r>
      <w:r w:rsidRPr="00BC31E0">
        <w:rPr>
          <w:rFonts w:asciiTheme="minorHAnsi" w:hAnsiTheme="minorHAnsi"/>
        </w:rPr>
        <w:t>(mm)</w:t>
      </w:r>
    </w:p>
    <w:p w14:paraId="6FC112F6" w14:textId="77777777" w:rsidR="00485A11" w:rsidRPr="00BC31E0" w:rsidRDefault="00A51873" w:rsidP="007E3816">
      <w:pPr>
        <w:tabs>
          <w:tab w:val="left" w:pos="709"/>
        </w:tabs>
        <w:ind w:leftChars="100" w:left="210"/>
        <w:rPr>
          <w:bCs/>
          <w:iCs/>
        </w:rPr>
      </w:pPr>
      <m:oMath>
        <m:sSub>
          <m:sSubPr>
            <m:ctrlPr>
              <w:rPr>
                <w:rFonts w:ascii="Cambria Math" w:hAnsi="Cambria Math"/>
                <w:bCs/>
                <w:i/>
                <w:iCs/>
              </w:rPr>
            </m:ctrlPr>
          </m:sSubPr>
          <m:e>
            <m:r>
              <w:rPr>
                <w:rFonts w:ascii="Cambria Math" w:hAnsi="Cambria Math"/>
              </w:rPr>
              <m:t>t</m:t>
            </m:r>
          </m:e>
          <m:sub>
            <m:r>
              <w:rPr>
                <w:rFonts w:ascii="Cambria Math" w:hAnsi="Cambria Math"/>
              </w:rPr>
              <m:t>H</m:t>
            </m:r>
          </m:sub>
        </m:sSub>
      </m:oMath>
      <w:r w:rsidR="00485A11" w:rsidRPr="00BC31E0">
        <w:rPr>
          <w:rFonts w:hint="eastAsia"/>
          <w:bCs/>
          <w:iCs/>
        </w:rPr>
        <w:tab/>
      </w:r>
      <w:r w:rsidR="00485A11" w:rsidRPr="00BC31E0">
        <w:rPr>
          <w:rFonts w:hint="eastAsia"/>
          <w:bCs/>
          <w:iCs/>
        </w:rPr>
        <w:t>：</w:t>
      </w:r>
      <w:r w:rsidR="00485A11" w:rsidRPr="00BC31E0">
        <w:rPr>
          <w:rFonts w:hint="eastAsia"/>
          <w:bCs/>
          <w:iCs/>
        </w:rPr>
        <w:t xml:space="preserve">  </w:t>
      </w:r>
      <w:r w:rsidR="00485A11" w:rsidRPr="00BC31E0">
        <w:rPr>
          <w:rFonts w:hint="eastAsia"/>
          <w:bCs/>
          <w:iCs/>
        </w:rPr>
        <w:t>継手部の鏡板の厚さ</w:t>
      </w:r>
      <w:r w:rsidR="00485A11" w:rsidRPr="00BC31E0">
        <w:rPr>
          <w:rFonts w:asciiTheme="minorHAnsi" w:eastAsiaTheme="majorEastAsia" w:hAnsiTheme="minorHAnsi"/>
          <w:bCs/>
          <w:iCs/>
        </w:rPr>
        <w:t>(mm)</w:t>
      </w:r>
    </w:p>
    <w:p w14:paraId="5D01561C" w14:textId="77777777" w:rsidR="00485A11" w:rsidRPr="00BC31E0" w:rsidRDefault="00A51873" w:rsidP="007E3816">
      <w:pPr>
        <w:tabs>
          <w:tab w:val="left" w:pos="709"/>
        </w:tabs>
        <w:ind w:leftChars="100" w:left="210"/>
        <w:rPr>
          <w:dstrike/>
        </w:rPr>
      </w:pPr>
      <m:oMath>
        <m:sSub>
          <m:sSubPr>
            <m:ctrlPr>
              <w:rPr>
                <w:rFonts w:ascii="Cambria Math" w:hAnsi="Cambria Math"/>
                <w:bCs/>
                <w:i/>
                <w:iCs/>
              </w:rPr>
            </m:ctrlPr>
          </m:sSubPr>
          <m:e>
            <m:r>
              <w:rPr>
                <w:rFonts w:ascii="Cambria Math" w:hAnsi="Cambria Math"/>
              </w:rPr>
              <m:t>t</m:t>
            </m:r>
          </m:e>
          <m:sub>
            <m:r>
              <w:rPr>
                <w:rFonts w:ascii="Cambria Math" w:hAnsi="Cambria Math"/>
              </w:rPr>
              <m:t>L</m:t>
            </m:r>
          </m:sub>
        </m:sSub>
      </m:oMath>
      <w:r w:rsidR="00485A11" w:rsidRPr="00BC31E0">
        <w:rPr>
          <w:rFonts w:hint="eastAsia"/>
          <w:bCs/>
          <w:iCs/>
        </w:rPr>
        <w:tab/>
      </w:r>
      <w:r w:rsidR="00485A11" w:rsidRPr="00BC31E0">
        <w:rPr>
          <w:rFonts w:hint="eastAsia"/>
          <w:bCs/>
          <w:iCs/>
        </w:rPr>
        <w:t>：　層成材</w:t>
      </w:r>
      <w:r w:rsidR="00485A11" w:rsidRPr="00BC31E0">
        <w:rPr>
          <w:rFonts w:asciiTheme="minorHAnsi" w:hAnsiTheme="minorHAnsi"/>
          <w:bCs/>
          <w:iCs/>
        </w:rPr>
        <w:t>1</w:t>
      </w:r>
      <w:r w:rsidR="00485A11" w:rsidRPr="00BC31E0">
        <w:rPr>
          <w:rFonts w:hint="eastAsia"/>
          <w:bCs/>
          <w:iCs/>
        </w:rPr>
        <w:t>枚の厚さ</w:t>
      </w:r>
      <w:r w:rsidR="00485A11" w:rsidRPr="00BC31E0">
        <w:rPr>
          <w:rFonts w:asciiTheme="minorHAnsi" w:hAnsiTheme="minorHAnsi"/>
          <w:bCs/>
          <w:iCs/>
        </w:rPr>
        <w:t>(mm)</w:t>
      </w:r>
    </w:p>
    <w:p w14:paraId="17515BFF" w14:textId="77777777" w:rsidR="00485A11" w:rsidRPr="00BC31E0" w:rsidRDefault="00A51873" w:rsidP="007E3816">
      <w:pPr>
        <w:tabs>
          <w:tab w:val="left" w:pos="709"/>
        </w:tabs>
        <w:ind w:leftChars="100" w:left="210"/>
        <w:rPr>
          <w:dstrike/>
        </w:rPr>
      </w:pPr>
      <m:oMath>
        <m:sSub>
          <m:sSubPr>
            <m:ctrlPr>
              <w:rPr>
                <w:rFonts w:ascii="Cambria Math" w:hAnsi="Cambria Math"/>
                <w:bCs/>
                <w:i/>
                <w:iCs/>
              </w:rPr>
            </m:ctrlPr>
          </m:sSubPr>
          <m:e>
            <m:r>
              <w:rPr>
                <w:rFonts w:ascii="Cambria Math" w:hAnsi="Cambria Math"/>
              </w:rPr>
              <m:t>t</m:t>
            </m:r>
          </m:e>
          <m:sub>
            <m:r>
              <w:rPr>
                <w:rFonts w:ascii="Cambria Math" w:hAnsi="Cambria Math"/>
              </w:rPr>
              <m:t>n</m:t>
            </m:r>
          </m:sub>
        </m:sSub>
      </m:oMath>
      <w:r w:rsidR="00485A11" w:rsidRPr="00BC31E0">
        <w:rPr>
          <w:rFonts w:hint="eastAsia"/>
          <w:bCs/>
          <w:iCs/>
        </w:rPr>
        <w:tab/>
      </w:r>
      <w:r w:rsidR="00485A11" w:rsidRPr="00BC31E0">
        <w:rPr>
          <w:rFonts w:hint="eastAsia"/>
          <w:bCs/>
          <w:iCs/>
        </w:rPr>
        <w:t xml:space="preserve">：　</w:t>
      </w:r>
      <w:r w:rsidR="00485A11" w:rsidRPr="00BC31E0">
        <w:rPr>
          <w:rFonts w:hint="eastAsia"/>
        </w:rPr>
        <w:t>ノズルネックの厚さ</w:t>
      </w:r>
      <w:r w:rsidR="00485A11" w:rsidRPr="00BC31E0">
        <w:rPr>
          <w:rFonts w:asciiTheme="minorHAnsi" w:hAnsiTheme="minorHAnsi"/>
        </w:rPr>
        <w:t>(mm)</w:t>
      </w:r>
    </w:p>
    <w:p w14:paraId="274307BA" w14:textId="77777777" w:rsidR="00485A11" w:rsidRPr="00BC31E0" w:rsidRDefault="00A51873" w:rsidP="007E3816">
      <w:pPr>
        <w:tabs>
          <w:tab w:val="left" w:pos="709"/>
        </w:tabs>
        <w:ind w:leftChars="100" w:left="210"/>
        <w:rPr>
          <w:bCs/>
          <w:iCs/>
        </w:rPr>
      </w:pPr>
      <m:oMath>
        <m:sSub>
          <m:sSubPr>
            <m:ctrlPr>
              <w:rPr>
                <w:rFonts w:ascii="Cambria Math" w:hAnsi="Cambria Math"/>
                <w:bCs/>
                <w:i/>
                <w:iCs/>
              </w:rPr>
            </m:ctrlPr>
          </m:sSubPr>
          <m:e>
            <m:r>
              <w:rPr>
                <w:rFonts w:ascii="Cambria Math" w:hAnsi="Cambria Math"/>
              </w:rPr>
              <m:t>t</m:t>
            </m:r>
          </m:e>
          <m:sub>
            <m:r>
              <w:rPr>
                <w:rFonts w:ascii="Cambria Math" w:hAnsi="Cambria Math"/>
              </w:rPr>
              <m:t>S</m:t>
            </m:r>
          </m:sub>
        </m:sSub>
      </m:oMath>
      <w:r w:rsidR="00485A11" w:rsidRPr="00BC31E0">
        <w:rPr>
          <w:rFonts w:hint="eastAsia"/>
          <w:bCs/>
          <w:iCs/>
        </w:rPr>
        <w:tab/>
      </w:r>
      <w:r w:rsidR="00485A11" w:rsidRPr="00BC31E0">
        <w:rPr>
          <w:rFonts w:hint="eastAsia"/>
          <w:bCs/>
          <w:iCs/>
        </w:rPr>
        <w:t>：　層成胴の厚さ</w:t>
      </w:r>
      <w:r w:rsidR="00485A11" w:rsidRPr="00BC31E0">
        <w:rPr>
          <w:rFonts w:asciiTheme="minorHAnsi" w:hAnsiTheme="minorHAnsi"/>
          <w:bCs/>
          <w:iCs/>
        </w:rPr>
        <w:t>(mm)</w:t>
      </w:r>
    </w:p>
    <w:p w14:paraId="518C25FD" w14:textId="77777777" w:rsidR="00485A11" w:rsidRPr="00BC31E0" w:rsidRDefault="00485A11" w:rsidP="007E3816">
      <w:pPr>
        <w:tabs>
          <w:tab w:val="left" w:pos="709"/>
        </w:tabs>
        <w:ind w:leftChars="100" w:left="210"/>
      </w:pPr>
      <m:oMath>
        <m:r>
          <w:rPr>
            <w:rFonts w:ascii="Cambria Math" w:hAnsi="Cambria Math"/>
          </w:rPr>
          <m:t>δ</m:t>
        </m:r>
      </m:oMath>
      <w:r w:rsidRPr="00BC31E0">
        <w:rPr>
          <w:rFonts w:hint="eastAsia"/>
          <w:bCs/>
          <w:iCs/>
        </w:rPr>
        <w:tab/>
      </w:r>
      <w:r w:rsidRPr="00BC31E0">
        <w:rPr>
          <w:rFonts w:hint="eastAsia"/>
          <w:bCs/>
        </w:rPr>
        <w:t xml:space="preserve">：　</w:t>
      </w:r>
      <w:r w:rsidRPr="00BC31E0">
        <w:rPr>
          <w:rFonts w:hint="eastAsia"/>
        </w:rPr>
        <w:t>焼ばめ容器で</w:t>
      </w:r>
      <w:r w:rsidRPr="00BC31E0">
        <w:rPr>
          <w:rFonts w:asciiTheme="minorHAnsi" w:hAnsiTheme="minorHAnsi"/>
        </w:rPr>
        <w:t>2</w:t>
      </w:r>
      <w:r w:rsidRPr="00BC31E0">
        <w:rPr>
          <w:rFonts w:hint="eastAsia"/>
        </w:rPr>
        <w:t>層の場合の，焼ばめ前後での内層の外径変化</w:t>
      </w:r>
      <w:r w:rsidRPr="00BC31E0">
        <w:rPr>
          <w:rFonts w:asciiTheme="minorHAnsi" w:hAnsiTheme="minorHAnsi"/>
          <w:bCs/>
          <w:iCs/>
        </w:rPr>
        <w:t>(mm)</w:t>
      </w:r>
    </w:p>
    <w:p w14:paraId="089A3654" w14:textId="77777777" w:rsidR="00485A11" w:rsidRPr="00BC31E0" w:rsidRDefault="00A51873" w:rsidP="007E3816">
      <w:pPr>
        <w:tabs>
          <w:tab w:val="left" w:pos="709"/>
        </w:tabs>
        <w:ind w:leftChars="100" w:left="210"/>
        <w:rPr>
          <w:bCs/>
        </w:rPr>
      </w:pPr>
      <m:oMath>
        <m:sSub>
          <m:sSubPr>
            <m:ctrlPr>
              <w:rPr>
                <w:rFonts w:ascii="Cambria Math" w:hAnsi="Cambria Math"/>
                <w:bCs/>
                <w:i/>
                <w:iCs/>
              </w:rPr>
            </m:ctrlPr>
          </m:sSubPr>
          <m:e>
            <m:r>
              <w:rPr>
                <w:rFonts w:ascii="Cambria Math" w:hAnsi="Cambria Math"/>
              </w:rPr>
              <m:t>δ</m:t>
            </m:r>
          </m:e>
          <m:sub>
            <m:r>
              <w:rPr>
                <w:rFonts w:ascii="Cambria Math" w:hAnsi="Cambria Math"/>
              </w:rPr>
              <m:t>k</m:t>
            </m:r>
          </m:sub>
        </m:sSub>
      </m:oMath>
      <w:r w:rsidR="00485A11" w:rsidRPr="00BC31E0">
        <w:rPr>
          <w:rFonts w:hint="eastAsia"/>
          <w:bCs/>
          <w:iCs/>
        </w:rPr>
        <w:tab/>
      </w:r>
      <w:r w:rsidR="00485A11" w:rsidRPr="00BC31E0">
        <w:rPr>
          <w:rFonts w:hint="eastAsia"/>
          <w:bCs/>
        </w:rPr>
        <w:t>：</w:t>
      </w:r>
      <w:r w:rsidR="00485A11" w:rsidRPr="00BC31E0">
        <w:rPr>
          <w:rFonts w:asciiTheme="minorEastAsia" w:eastAsiaTheme="minorEastAsia" w:hAnsiTheme="minorEastAsia" w:hint="eastAsia"/>
          <w:bCs/>
        </w:rPr>
        <w:t xml:space="preserve">　</w:t>
      </w:r>
      <m:oMath>
        <m:r>
          <w:rPr>
            <w:rFonts w:ascii="Cambria Math" w:hAnsi="Cambria Math"/>
          </w:rPr>
          <m:t xml:space="preserve">k+1 </m:t>
        </m:r>
      </m:oMath>
      <w:r w:rsidR="00485A11" w:rsidRPr="00BC31E0">
        <w:rPr>
          <w:rFonts w:asciiTheme="minorEastAsia" w:eastAsiaTheme="minorEastAsia" w:hAnsiTheme="minorEastAsia" w:hint="eastAsia"/>
        </w:rPr>
        <w:t>層を焼ばめした時の</w:t>
      </w:r>
      <w:bookmarkStart w:id="52" w:name="_Hlk64462299"/>
      <w:r w:rsidR="00485A11" w:rsidRPr="00BC31E0">
        <w:rPr>
          <w:rFonts w:asciiTheme="minorEastAsia" w:eastAsiaTheme="minorEastAsia" w:hAnsiTheme="minorEastAsia" w:hint="eastAsia"/>
        </w:rPr>
        <w:t>，</w:t>
      </w:r>
      <w:bookmarkEnd w:id="52"/>
      <w:r w:rsidR="00485A11" w:rsidRPr="00BC31E0">
        <w:rPr>
          <w:rFonts w:asciiTheme="minorEastAsia" w:eastAsiaTheme="minorEastAsia" w:hAnsiTheme="minorEastAsia" w:hint="eastAsia"/>
        </w:rPr>
        <w:t>焼ばめ前後での</w:t>
      </w:r>
      <m:oMath>
        <m:r>
          <m:rPr>
            <m:sty m:val="p"/>
          </m:rPr>
          <w:rPr>
            <w:rFonts w:ascii="Cambria Math" w:eastAsiaTheme="minorEastAsia" w:hAnsi="Cambria Math"/>
          </w:rPr>
          <m:t xml:space="preserve"> </m:t>
        </m:r>
        <m:r>
          <w:rPr>
            <w:rFonts w:ascii="Cambria Math" w:hAnsi="Cambria Math"/>
          </w:rPr>
          <m:t xml:space="preserve">k </m:t>
        </m:r>
      </m:oMath>
      <w:r w:rsidR="00485A11" w:rsidRPr="00BC31E0">
        <w:rPr>
          <w:rFonts w:hint="eastAsia"/>
        </w:rPr>
        <w:t>層の外径変化</w:t>
      </w:r>
      <w:r w:rsidR="00485A11" w:rsidRPr="00BC31E0">
        <w:rPr>
          <w:rFonts w:asciiTheme="minorHAnsi" w:hAnsiTheme="minorHAnsi"/>
          <w:bCs/>
          <w:iCs/>
        </w:rPr>
        <w:t>(mm)</w:t>
      </w:r>
    </w:p>
    <w:p w14:paraId="1F22D8B5" w14:textId="77777777" w:rsidR="00485A11" w:rsidRPr="00BC31E0" w:rsidRDefault="00485A11" w:rsidP="007E3816">
      <w:pPr>
        <w:tabs>
          <w:tab w:val="left" w:pos="709"/>
        </w:tabs>
        <w:ind w:leftChars="100" w:left="210"/>
      </w:pPr>
      <m:oMath>
        <m:r>
          <w:rPr>
            <w:rFonts w:ascii="Cambria Math" w:hAnsi="Cambria Math"/>
          </w:rPr>
          <m:t>ν</m:t>
        </m:r>
      </m:oMath>
      <w:r w:rsidRPr="00BC31E0">
        <w:rPr>
          <w:rFonts w:hint="eastAsia"/>
        </w:rPr>
        <w:tab/>
      </w:r>
      <w:r w:rsidRPr="00BC31E0">
        <w:rPr>
          <w:rFonts w:hint="eastAsia"/>
          <w:bCs/>
        </w:rPr>
        <w:t>：</w:t>
      </w:r>
      <w:r w:rsidRPr="00BC31E0">
        <w:rPr>
          <w:rFonts w:hint="eastAsia"/>
          <w:bCs/>
        </w:rPr>
        <w:t xml:space="preserve">  </w:t>
      </w:r>
      <w:r w:rsidRPr="00BC31E0">
        <w:rPr>
          <w:rFonts w:hint="eastAsia"/>
        </w:rPr>
        <w:t>ポアソン比</w:t>
      </w:r>
      <w:bookmarkStart w:id="53" w:name="_Hlk64463030"/>
    </w:p>
    <w:p w14:paraId="16E06755" w14:textId="77777777" w:rsidR="00485A11" w:rsidRPr="00BC31E0" w:rsidRDefault="00A51873" w:rsidP="007E3816">
      <w:pPr>
        <w:tabs>
          <w:tab w:val="left" w:pos="709"/>
        </w:tabs>
        <w:ind w:leftChars="100" w:left="210"/>
        <w:rPr>
          <w:bCs/>
        </w:rPr>
      </w:pPr>
      <m:oMath>
        <m:sSub>
          <m:sSubPr>
            <m:ctrlPr>
              <w:rPr>
                <w:rFonts w:ascii="Cambria Math" w:hAnsi="Cambria Math"/>
                <w:bCs/>
                <w:i/>
                <w:iCs/>
              </w:rPr>
            </m:ctrlPr>
          </m:sSubPr>
          <m:e>
            <m:r>
              <w:rPr>
                <w:rFonts w:ascii="Cambria Math" w:hAnsi="Cambria Math"/>
              </w:rPr>
              <m:t>ν</m:t>
            </m:r>
          </m:e>
          <m:sub>
            <m:r>
              <w:rPr>
                <w:rFonts w:ascii="Cambria Math" w:hAnsi="Cambria Math"/>
              </w:rPr>
              <m:t>i</m:t>
            </m:r>
          </m:sub>
        </m:sSub>
      </m:oMath>
      <w:r w:rsidR="00485A11" w:rsidRPr="00BC31E0">
        <w:rPr>
          <w:rFonts w:hint="eastAsia"/>
        </w:rPr>
        <w:tab/>
      </w:r>
      <w:r w:rsidR="00485A11" w:rsidRPr="00BC31E0">
        <w:rPr>
          <w:rFonts w:hint="eastAsia"/>
          <w:bCs/>
        </w:rPr>
        <w:t>：</w:t>
      </w:r>
      <w:r w:rsidR="00485A11" w:rsidRPr="00BC31E0">
        <w:rPr>
          <w:rFonts w:hint="eastAsia"/>
          <w:bCs/>
        </w:rPr>
        <w:t xml:space="preserve">  </w:t>
      </w:r>
      <w:r w:rsidR="00485A11" w:rsidRPr="00BC31E0">
        <w:rPr>
          <w:rFonts w:hint="eastAsia"/>
        </w:rPr>
        <w:t>内層材料のポアソン比</w:t>
      </w:r>
    </w:p>
    <w:bookmarkEnd w:id="53"/>
    <w:p w14:paraId="39E8D79C" w14:textId="77777777" w:rsidR="00485A11" w:rsidRPr="00BC31E0" w:rsidRDefault="00A51873" w:rsidP="007E3816">
      <w:pPr>
        <w:tabs>
          <w:tab w:val="left" w:pos="709"/>
        </w:tabs>
        <w:ind w:leftChars="100" w:left="210"/>
        <w:rPr>
          <w:bCs/>
        </w:rPr>
      </w:pPr>
      <m:oMath>
        <m:sSub>
          <m:sSubPr>
            <m:ctrlPr>
              <w:rPr>
                <w:rFonts w:ascii="Cambria Math" w:hAnsi="Cambria Math"/>
                <w:bCs/>
                <w:i/>
                <w:iCs/>
              </w:rPr>
            </m:ctrlPr>
          </m:sSubPr>
          <m:e>
            <m:r>
              <w:rPr>
                <w:rFonts w:ascii="Cambria Math" w:hAnsi="Cambria Math"/>
              </w:rPr>
              <m:t>ν</m:t>
            </m:r>
          </m:e>
          <m:sub>
            <m:r>
              <w:rPr>
                <w:rFonts w:ascii="Cambria Math" w:hAnsi="Cambria Math"/>
              </w:rPr>
              <m:t>o</m:t>
            </m:r>
          </m:sub>
        </m:sSub>
      </m:oMath>
      <w:r w:rsidR="00485A11" w:rsidRPr="00BC31E0">
        <w:rPr>
          <w:rFonts w:hint="eastAsia"/>
        </w:rPr>
        <w:tab/>
      </w:r>
      <w:r w:rsidR="00485A11" w:rsidRPr="00BC31E0">
        <w:rPr>
          <w:rFonts w:hint="eastAsia"/>
          <w:bCs/>
        </w:rPr>
        <w:t>：</w:t>
      </w:r>
      <w:r w:rsidR="00485A11" w:rsidRPr="00BC31E0">
        <w:rPr>
          <w:rFonts w:hint="eastAsia"/>
          <w:bCs/>
        </w:rPr>
        <w:t xml:space="preserve">  </w:t>
      </w:r>
      <w:r w:rsidR="00485A11" w:rsidRPr="00BC31E0">
        <w:rPr>
          <w:rFonts w:hint="eastAsia"/>
        </w:rPr>
        <w:t>外層材料のポアソン比</w:t>
      </w:r>
    </w:p>
    <w:p w14:paraId="34A44A33" w14:textId="77777777" w:rsidR="00485A11" w:rsidRPr="00BC31E0" w:rsidRDefault="00A51873" w:rsidP="007E3816">
      <w:pPr>
        <w:tabs>
          <w:tab w:val="left" w:pos="709"/>
        </w:tabs>
        <w:ind w:leftChars="100" w:left="210"/>
        <w:rPr>
          <w:bCs/>
        </w:rPr>
      </w:pPr>
      <m:oMath>
        <m:sSub>
          <m:sSubPr>
            <m:ctrlPr>
              <w:rPr>
                <w:rFonts w:ascii="Cambria Math" w:hAnsi="Cambria Math"/>
                <w:bCs/>
                <w:i/>
                <w:iCs/>
              </w:rPr>
            </m:ctrlPr>
          </m:sSubPr>
          <m:e>
            <m:r>
              <w:rPr>
                <w:rFonts w:ascii="Cambria Math" w:hAnsi="Cambria Math"/>
              </w:rPr>
              <m:t>σ</m:t>
            </m:r>
          </m:e>
          <m:sub>
            <m:r>
              <w:rPr>
                <w:rFonts w:ascii="Cambria Math" w:hAnsi="Cambria Math"/>
              </w:rPr>
              <m:t>r</m:t>
            </m:r>
          </m:sub>
        </m:sSub>
      </m:oMath>
      <w:r w:rsidR="00485A11" w:rsidRPr="00BC31E0">
        <w:rPr>
          <w:rFonts w:hint="eastAsia"/>
          <w:bCs/>
          <w:iCs/>
        </w:rPr>
        <w:tab/>
      </w:r>
      <w:r w:rsidR="00485A11" w:rsidRPr="00BC31E0">
        <w:rPr>
          <w:rFonts w:hint="eastAsia"/>
        </w:rPr>
        <w:t>：</w:t>
      </w:r>
      <w:r w:rsidR="00485A11" w:rsidRPr="00BC31E0">
        <w:rPr>
          <w:rFonts w:hint="eastAsia"/>
          <w:bCs/>
        </w:rPr>
        <w:t xml:space="preserve">  </w:t>
      </w:r>
      <w:r w:rsidR="00485A11" w:rsidRPr="00BC31E0">
        <w:rPr>
          <w:rFonts w:hint="eastAsia"/>
          <w:bCs/>
        </w:rPr>
        <w:t>半径</w:t>
      </w:r>
      <m:oMath>
        <m:r>
          <m:rPr>
            <m:sty m:val="p"/>
          </m:rPr>
          <w:rPr>
            <w:rFonts w:ascii="Cambria Math" w:hAnsi="Cambria Math"/>
          </w:rPr>
          <m:t xml:space="preserve"> </m:t>
        </m:r>
        <m:r>
          <w:rPr>
            <w:rFonts w:ascii="Cambria Math" w:hAnsi="Cambria Math"/>
          </w:rPr>
          <m:t xml:space="preserve">r </m:t>
        </m:r>
      </m:oMath>
      <w:r w:rsidR="00485A11" w:rsidRPr="00BC31E0">
        <w:rPr>
          <w:rFonts w:hint="eastAsia"/>
          <w:bCs/>
        </w:rPr>
        <w:t>における</w:t>
      </w:r>
      <w:r w:rsidR="00485A11" w:rsidRPr="00BC31E0">
        <w:rPr>
          <w:rFonts w:hint="eastAsia"/>
        </w:rPr>
        <w:t>半径方向応力</w:t>
      </w:r>
      <w:r w:rsidR="00485A11" w:rsidRPr="00BC31E0">
        <w:rPr>
          <w:rFonts w:asciiTheme="minorHAnsi" w:hAnsiTheme="minorHAnsi"/>
        </w:rPr>
        <w:t>(MPa)</w:t>
      </w:r>
    </w:p>
    <w:p w14:paraId="1DBF47CB" w14:textId="77777777" w:rsidR="00485A11" w:rsidRPr="00BC31E0" w:rsidRDefault="00A51873" w:rsidP="007E3816">
      <w:pPr>
        <w:tabs>
          <w:tab w:val="left" w:pos="709"/>
        </w:tabs>
        <w:ind w:leftChars="100" w:left="210"/>
        <w:rPr>
          <w:bCs/>
        </w:rPr>
      </w:pPr>
      <m:oMath>
        <m:sSub>
          <m:sSubPr>
            <m:ctrlPr>
              <w:rPr>
                <w:rFonts w:ascii="Cambria Math" w:hAnsi="Cambria Math"/>
                <w:bCs/>
                <w:i/>
                <w:iCs/>
              </w:rPr>
            </m:ctrlPr>
          </m:sSubPr>
          <m:e>
            <m:r>
              <w:rPr>
                <w:rFonts w:ascii="Cambria Math" w:hAnsi="Cambria Math"/>
              </w:rPr>
              <m:t>σ</m:t>
            </m:r>
          </m:e>
          <m:sub>
            <m:r>
              <w:rPr>
                <w:rFonts w:ascii="Cambria Math" w:hAnsi="Cambria Math"/>
              </w:rPr>
              <m:t>rr</m:t>
            </m:r>
          </m:sub>
        </m:sSub>
      </m:oMath>
      <w:r w:rsidR="00485A11" w:rsidRPr="00BC31E0">
        <w:rPr>
          <w:rFonts w:hint="eastAsia"/>
          <w:bCs/>
        </w:rPr>
        <w:tab/>
      </w:r>
      <w:r w:rsidR="00485A11" w:rsidRPr="00BC31E0">
        <w:rPr>
          <w:rFonts w:hint="eastAsia"/>
          <w:bCs/>
        </w:rPr>
        <w:t>：</w:t>
      </w:r>
      <w:r w:rsidR="00485A11" w:rsidRPr="00BC31E0">
        <w:rPr>
          <w:rFonts w:hint="eastAsia"/>
          <w:bCs/>
        </w:rPr>
        <w:t xml:space="preserve">  </w:t>
      </w:r>
      <w:r w:rsidR="00485A11" w:rsidRPr="00BC31E0">
        <w:rPr>
          <w:rFonts w:hint="eastAsia"/>
          <w:bCs/>
        </w:rPr>
        <w:t>半径</w:t>
      </w:r>
      <m:oMath>
        <m:r>
          <m:rPr>
            <m:sty m:val="p"/>
          </m:rPr>
          <w:rPr>
            <w:rFonts w:ascii="Cambria Math" w:hAnsi="Cambria Math"/>
          </w:rPr>
          <m:t xml:space="preserve"> </m:t>
        </m:r>
        <m:r>
          <w:rPr>
            <w:rFonts w:ascii="Cambria Math" w:hAnsi="Cambria Math"/>
          </w:rPr>
          <m:t xml:space="preserve">r </m:t>
        </m:r>
      </m:oMath>
      <w:r w:rsidR="00485A11" w:rsidRPr="00BC31E0">
        <w:rPr>
          <w:rFonts w:hint="eastAsia"/>
          <w:bCs/>
        </w:rPr>
        <w:t>における</w:t>
      </w:r>
      <w:r w:rsidR="00485A11" w:rsidRPr="00BC31E0">
        <w:rPr>
          <w:rFonts w:hint="eastAsia"/>
        </w:rPr>
        <w:t>半径方向残留応力</w:t>
      </w:r>
      <w:r w:rsidR="00485A11" w:rsidRPr="00BC31E0">
        <w:rPr>
          <w:rFonts w:asciiTheme="minorHAnsi" w:eastAsiaTheme="majorEastAsia" w:hAnsiTheme="minorHAnsi"/>
        </w:rPr>
        <w:t>(MPa)</w:t>
      </w:r>
    </w:p>
    <w:p w14:paraId="4E31F23D" w14:textId="77777777" w:rsidR="00485A11" w:rsidRPr="00BC31E0" w:rsidRDefault="00A51873" w:rsidP="007E3816">
      <w:pPr>
        <w:tabs>
          <w:tab w:val="left" w:pos="709"/>
        </w:tabs>
        <w:ind w:leftChars="100" w:left="210"/>
        <w:rPr>
          <w:bCs/>
        </w:rPr>
      </w:pPr>
      <m:oMath>
        <m:sSub>
          <m:sSubPr>
            <m:ctrlPr>
              <w:rPr>
                <w:rFonts w:ascii="Cambria Math" w:hAnsi="Cambria Math"/>
                <w:bCs/>
                <w:i/>
                <w:iCs/>
              </w:rPr>
            </m:ctrlPr>
          </m:sSubPr>
          <m:e>
            <m:r>
              <w:rPr>
                <w:rFonts w:ascii="Cambria Math" w:hAnsi="Cambria Math"/>
              </w:rPr>
              <m:t>σ</m:t>
            </m:r>
          </m:e>
          <m:sub>
            <m:r>
              <w:rPr>
                <w:rFonts w:ascii="Cambria Math" w:hAnsi="Cambria Math"/>
              </w:rPr>
              <m:t>t</m:t>
            </m:r>
          </m:sub>
        </m:sSub>
      </m:oMath>
      <w:r w:rsidR="00485A11" w:rsidRPr="00BC31E0">
        <w:rPr>
          <w:rFonts w:hint="eastAsia"/>
          <w:bCs/>
          <w:iCs/>
        </w:rPr>
        <w:tab/>
      </w:r>
      <w:r w:rsidR="00485A11" w:rsidRPr="00BC31E0">
        <w:rPr>
          <w:rFonts w:hint="eastAsia"/>
          <w:bCs/>
        </w:rPr>
        <w:t>：</w:t>
      </w:r>
      <w:r w:rsidR="00485A11" w:rsidRPr="00BC31E0">
        <w:rPr>
          <w:rFonts w:hint="eastAsia"/>
          <w:bCs/>
        </w:rPr>
        <w:t xml:space="preserve">  </w:t>
      </w:r>
      <w:r w:rsidR="00485A11" w:rsidRPr="00BC31E0">
        <w:rPr>
          <w:rFonts w:hint="eastAsia"/>
          <w:bCs/>
        </w:rPr>
        <w:t>半径</w:t>
      </w:r>
      <m:oMath>
        <m:r>
          <m:rPr>
            <m:sty m:val="p"/>
          </m:rPr>
          <w:rPr>
            <w:rFonts w:ascii="Cambria Math" w:hAnsi="Cambria Math"/>
          </w:rPr>
          <m:t xml:space="preserve"> </m:t>
        </m:r>
        <m:r>
          <w:rPr>
            <w:rFonts w:ascii="Cambria Math" w:hAnsi="Cambria Math"/>
          </w:rPr>
          <m:t xml:space="preserve">r </m:t>
        </m:r>
      </m:oMath>
      <w:r w:rsidR="00485A11" w:rsidRPr="00BC31E0">
        <w:rPr>
          <w:rFonts w:hint="eastAsia"/>
          <w:bCs/>
        </w:rPr>
        <w:t>における</w:t>
      </w:r>
      <w:r w:rsidR="00485A11" w:rsidRPr="00BC31E0">
        <w:rPr>
          <w:rFonts w:hint="eastAsia"/>
        </w:rPr>
        <w:t>周方向応力</w:t>
      </w:r>
      <w:r w:rsidR="00485A11" w:rsidRPr="00BC31E0">
        <w:rPr>
          <w:rFonts w:asciiTheme="minorHAnsi" w:hAnsiTheme="minorHAnsi"/>
        </w:rPr>
        <w:t>(MPa)</w:t>
      </w:r>
    </w:p>
    <w:p w14:paraId="6D26F08A" w14:textId="77777777" w:rsidR="00485A11" w:rsidRPr="00BC31E0" w:rsidRDefault="00A51873" w:rsidP="007E3816">
      <w:pPr>
        <w:tabs>
          <w:tab w:val="left" w:pos="709"/>
        </w:tabs>
        <w:ind w:leftChars="100" w:left="210"/>
        <w:rPr>
          <w:bCs/>
        </w:rPr>
      </w:pPr>
      <m:oMath>
        <m:sSub>
          <m:sSubPr>
            <m:ctrlPr>
              <w:rPr>
                <w:rFonts w:ascii="Cambria Math" w:hAnsi="Cambria Math"/>
                <w:bCs/>
                <w:i/>
                <w:iCs/>
              </w:rPr>
            </m:ctrlPr>
          </m:sSubPr>
          <m:e>
            <m:r>
              <w:rPr>
                <w:rFonts w:ascii="Cambria Math" w:hAnsi="Cambria Math"/>
              </w:rPr>
              <m:t>σ</m:t>
            </m:r>
          </m:e>
          <m:sub>
            <m:r>
              <w:rPr>
                <w:rFonts w:ascii="Cambria Math" w:hAnsi="Cambria Math"/>
              </w:rPr>
              <m:t>tr</m:t>
            </m:r>
          </m:sub>
        </m:sSub>
      </m:oMath>
      <w:r w:rsidR="00485A11" w:rsidRPr="00BC31E0">
        <w:rPr>
          <w:rFonts w:hint="eastAsia"/>
          <w:bCs/>
        </w:rPr>
        <w:tab/>
      </w:r>
      <w:r w:rsidR="00485A11" w:rsidRPr="00BC31E0">
        <w:rPr>
          <w:rFonts w:hint="eastAsia"/>
          <w:bCs/>
        </w:rPr>
        <w:t>：</w:t>
      </w:r>
      <w:r w:rsidR="00485A11" w:rsidRPr="00BC31E0">
        <w:rPr>
          <w:rFonts w:hint="eastAsia"/>
          <w:bCs/>
        </w:rPr>
        <w:t xml:space="preserve">  </w:t>
      </w:r>
      <w:r w:rsidR="00485A11" w:rsidRPr="00BC31E0">
        <w:rPr>
          <w:rFonts w:hint="eastAsia"/>
          <w:bCs/>
        </w:rPr>
        <w:t>半径</w:t>
      </w:r>
      <m:oMath>
        <m:r>
          <m:rPr>
            <m:sty m:val="p"/>
          </m:rPr>
          <w:rPr>
            <w:rFonts w:ascii="Cambria Math" w:hAnsi="Cambria Math"/>
          </w:rPr>
          <m:t xml:space="preserve"> </m:t>
        </m:r>
        <m:r>
          <w:rPr>
            <w:rFonts w:ascii="Cambria Math" w:hAnsi="Cambria Math"/>
          </w:rPr>
          <m:t xml:space="preserve">r </m:t>
        </m:r>
      </m:oMath>
      <w:r w:rsidR="00485A11" w:rsidRPr="00BC31E0">
        <w:rPr>
          <w:rFonts w:hint="eastAsia"/>
          <w:bCs/>
        </w:rPr>
        <w:t>における</w:t>
      </w:r>
      <w:r w:rsidR="00485A11" w:rsidRPr="00BC31E0">
        <w:rPr>
          <w:rFonts w:hint="eastAsia"/>
        </w:rPr>
        <w:t>周方向残留応力</w:t>
      </w:r>
      <w:r w:rsidR="00485A11" w:rsidRPr="00BC31E0">
        <w:rPr>
          <w:rFonts w:asciiTheme="minorHAnsi" w:hAnsiTheme="minorHAnsi"/>
        </w:rPr>
        <w:t>(MPa)</w:t>
      </w:r>
    </w:p>
    <w:p w14:paraId="09E6CAEF" w14:textId="77777777" w:rsidR="00485A11" w:rsidRPr="00BC31E0" w:rsidRDefault="00485A11" w:rsidP="0032018E">
      <w:pPr>
        <w:pStyle w:val="3"/>
        <w:tabs>
          <w:tab w:val="clear" w:pos="284"/>
        </w:tabs>
        <w:ind w:left="794" w:hanging="794"/>
      </w:pPr>
      <w:r w:rsidRPr="00BC31E0">
        <w:rPr>
          <w:rFonts w:hint="eastAsia"/>
        </w:rPr>
        <w:t>焼ばめ式多層容器</w:t>
      </w:r>
    </w:p>
    <w:p w14:paraId="7603DC68" w14:textId="77777777" w:rsidR="00485A11" w:rsidRPr="00BC31E0" w:rsidRDefault="00485A11" w:rsidP="007E3816">
      <w:pPr>
        <w:pStyle w:val="1110"/>
        <w:ind w:firstLine="210"/>
      </w:pPr>
      <w:r w:rsidRPr="00BC31E0">
        <w:rPr>
          <w:rFonts w:hint="eastAsia"/>
        </w:rPr>
        <w:t>焼ばめ式多層容器は，次の</w:t>
      </w:r>
      <w:r w:rsidRPr="00BC31E0">
        <w:rPr>
          <w:rFonts w:ascii="ＭＳ ゴシック" w:eastAsia="ＭＳ ゴシック" w:hAnsi="ＭＳ ゴシック" w:hint="eastAsia"/>
          <w:b/>
        </w:rPr>
        <w:t>a)</w:t>
      </w:r>
      <w:r w:rsidRPr="00BC31E0">
        <w:rPr>
          <w:rFonts w:hint="eastAsia"/>
        </w:rPr>
        <w:t>～</w:t>
      </w:r>
      <w:r w:rsidRPr="00BC31E0">
        <w:rPr>
          <w:rFonts w:ascii="ＭＳ ゴシック" w:eastAsia="ＭＳ ゴシック" w:hAnsi="ＭＳ ゴシック" w:hint="eastAsia"/>
          <w:b/>
        </w:rPr>
        <w:t>c)</w:t>
      </w:r>
      <w:r w:rsidRPr="00BC31E0">
        <w:rPr>
          <w:rFonts w:hint="eastAsia"/>
        </w:rPr>
        <w:t>による。</w:t>
      </w:r>
    </w:p>
    <w:p w14:paraId="0D2B7AB8" w14:textId="77777777" w:rsidR="00485A11" w:rsidRPr="00BC31E0" w:rsidRDefault="00485A11" w:rsidP="00736130">
      <w:pPr>
        <w:pStyle w:val="a4"/>
        <w:numPr>
          <w:ilvl w:val="0"/>
          <w:numId w:val="442"/>
        </w:numPr>
        <w:ind w:leftChars="0" w:left="454" w:hanging="454"/>
      </w:pPr>
      <w:r w:rsidRPr="00BC31E0">
        <w:rPr>
          <w:rFonts w:asciiTheme="majorEastAsia" w:eastAsiaTheme="majorEastAsia" w:hAnsiTheme="majorEastAsia" w:hint="eastAsia"/>
          <w:b/>
          <w:bCs/>
        </w:rPr>
        <w:t>制限事項</w:t>
      </w:r>
      <w:r w:rsidRPr="00BC31E0">
        <w:rPr>
          <w:rFonts w:hint="eastAsia"/>
          <w:bCs/>
        </w:rPr>
        <w:t xml:space="preserve">　</w:t>
      </w:r>
      <w:r w:rsidRPr="00BC31E0">
        <w:rPr>
          <w:rFonts w:hint="eastAsia"/>
        </w:rPr>
        <w:t>焼ばめ式多層容器の設計については，次の</w:t>
      </w:r>
      <w:r w:rsidRPr="00BC31E0">
        <w:rPr>
          <w:rFonts w:asciiTheme="majorEastAsia" w:eastAsiaTheme="majorEastAsia" w:hAnsiTheme="majorEastAsia" w:hint="eastAsia"/>
          <w:b/>
          <w:bCs/>
        </w:rPr>
        <w:t>1)</w:t>
      </w:r>
      <w:r w:rsidRPr="00BC31E0">
        <w:rPr>
          <w:rFonts w:hint="eastAsia"/>
        </w:rPr>
        <w:t>～</w:t>
      </w:r>
      <w:r w:rsidRPr="00BC31E0">
        <w:rPr>
          <w:rFonts w:asciiTheme="majorEastAsia" w:eastAsiaTheme="majorEastAsia" w:hAnsiTheme="majorEastAsia" w:hint="eastAsia"/>
          <w:b/>
          <w:bCs/>
        </w:rPr>
        <w:t>6)</w:t>
      </w:r>
      <w:r w:rsidRPr="00BC31E0">
        <w:rPr>
          <w:rFonts w:hint="eastAsia"/>
        </w:rPr>
        <w:t>の条件を満足しなければならない。</w:t>
      </w:r>
    </w:p>
    <w:p w14:paraId="580F9EE9" w14:textId="77777777" w:rsidR="007E3816" w:rsidRPr="00BC31E0" w:rsidRDefault="00485A11" w:rsidP="00736130">
      <w:pPr>
        <w:pStyle w:val="a4"/>
        <w:numPr>
          <w:ilvl w:val="0"/>
          <w:numId w:val="301"/>
        </w:numPr>
        <w:ind w:leftChars="0" w:left="738" w:hanging="454"/>
      </w:pPr>
      <w:r w:rsidRPr="00BC31E0">
        <w:rPr>
          <w:rFonts w:hint="eastAsia"/>
        </w:rPr>
        <w:t>層間応力分布が</w:t>
      </w:r>
      <w:r w:rsidRPr="00BC31E0">
        <w:rPr>
          <w:rFonts w:ascii="Cambria Math" w:hAnsi="Cambria Math"/>
        </w:rPr>
        <w:t>±</w:t>
      </w:r>
      <w:r w:rsidRPr="00BC31E0">
        <w:rPr>
          <w:rFonts w:asciiTheme="minorHAnsi" w:hAnsiTheme="minorHAnsi"/>
        </w:rPr>
        <w:t>10%</w:t>
      </w:r>
      <w:r w:rsidRPr="00BC31E0">
        <w:rPr>
          <w:rFonts w:hint="eastAsia"/>
        </w:rPr>
        <w:t>以内で決定できるように，各層円筒の製作や組立てができなければならない。製作や組立ての過程は報告書にまとめ，実際の容器の応力分布を検証する。</w:t>
      </w:r>
    </w:p>
    <w:p w14:paraId="6A504814" w14:textId="77777777" w:rsidR="007E3816" w:rsidRPr="00BC31E0" w:rsidRDefault="00485A11" w:rsidP="00736130">
      <w:pPr>
        <w:pStyle w:val="a4"/>
        <w:numPr>
          <w:ilvl w:val="0"/>
          <w:numId w:val="301"/>
        </w:numPr>
        <w:ind w:leftChars="0" w:left="738" w:hanging="454"/>
      </w:pPr>
      <w:r w:rsidRPr="00BC31E0">
        <w:rPr>
          <w:rFonts w:hint="eastAsia"/>
        </w:rPr>
        <w:t>最終残留応力は，自緊されたライニングを除く</w:t>
      </w:r>
      <w:r w:rsidR="00DC160D" w:rsidRPr="00BC31E0">
        <w:rPr>
          <w:rFonts w:hint="eastAsia"/>
        </w:rPr>
        <w:t>全</w:t>
      </w:r>
      <w:r w:rsidRPr="00BC31E0">
        <w:rPr>
          <w:rFonts w:hint="eastAsia"/>
        </w:rPr>
        <w:t>ての層について材料の降伏強さを超えない。</w:t>
      </w:r>
    </w:p>
    <w:p w14:paraId="24EA15A3" w14:textId="77777777" w:rsidR="007E3816" w:rsidRPr="00BC31E0" w:rsidRDefault="00485A11" w:rsidP="00736130">
      <w:pPr>
        <w:pStyle w:val="a4"/>
        <w:numPr>
          <w:ilvl w:val="0"/>
          <w:numId w:val="301"/>
        </w:numPr>
        <w:ind w:leftChars="0" w:left="738" w:hanging="454"/>
      </w:pPr>
      <w:r w:rsidRPr="00BC31E0">
        <w:rPr>
          <w:rFonts w:hint="eastAsia"/>
        </w:rPr>
        <w:t>最終残留応力は，製造方法も考慮して，</w:t>
      </w:r>
      <w:r w:rsidR="00DC160D" w:rsidRPr="00BC31E0">
        <w:rPr>
          <w:rFonts w:hint="eastAsia"/>
        </w:rPr>
        <w:t>全</w:t>
      </w:r>
      <w:r w:rsidRPr="00BC31E0">
        <w:rPr>
          <w:rFonts w:hint="eastAsia"/>
        </w:rPr>
        <w:t>ての残留応力を足しあわせて評価する。</w:t>
      </w:r>
      <w:r w:rsidRPr="00BC31E0">
        <w:rPr>
          <w:rFonts w:ascii="ＭＳ ゴシック" w:eastAsia="ＭＳ ゴシック" w:hAnsi="ＭＳ ゴシック" w:hint="eastAsia"/>
          <w:b/>
        </w:rPr>
        <w:t>6.2.3</w:t>
      </w:r>
      <w:r w:rsidRPr="00BC31E0">
        <w:rPr>
          <w:rFonts w:hint="eastAsia"/>
        </w:rPr>
        <w:lastRenderedPageBreak/>
        <w:t>に従った弾塑性解析を使用してもよい。</w:t>
      </w:r>
    </w:p>
    <w:p w14:paraId="434CD70C" w14:textId="77777777" w:rsidR="007E3816" w:rsidRPr="00BC31E0" w:rsidRDefault="00485A11" w:rsidP="00736130">
      <w:pPr>
        <w:pStyle w:val="a4"/>
        <w:numPr>
          <w:ilvl w:val="0"/>
          <w:numId w:val="301"/>
        </w:numPr>
        <w:ind w:leftChars="0" w:left="738" w:hanging="454"/>
      </w:pPr>
      <w:r w:rsidRPr="00BC31E0">
        <w:rPr>
          <w:rFonts w:hint="eastAsia"/>
        </w:rPr>
        <w:t>残留応力は，製造時の温度上昇による降伏強さの減少や応力緩和の効果を考慮して評価する。</w:t>
      </w:r>
    </w:p>
    <w:p w14:paraId="75E2B01D" w14:textId="77777777" w:rsidR="007E3816" w:rsidRPr="00BC31E0" w:rsidRDefault="00485A11" w:rsidP="00736130">
      <w:pPr>
        <w:pStyle w:val="a4"/>
        <w:numPr>
          <w:ilvl w:val="0"/>
          <w:numId w:val="301"/>
        </w:numPr>
        <w:ind w:leftChars="0" w:left="738" w:hanging="454"/>
      </w:pPr>
      <w:r w:rsidRPr="00BC31E0">
        <w:rPr>
          <w:rFonts w:hint="eastAsia"/>
        </w:rPr>
        <w:t>2</w:t>
      </w:r>
      <w:r w:rsidRPr="00BC31E0">
        <w:rPr>
          <w:rFonts w:hint="eastAsia"/>
        </w:rPr>
        <w:t>層容器の規定は</w:t>
      </w:r>
      <w:r w:rsidRPr="00BC31E0">
        <w:rPr>
          <w:rFonts w:ascii="ＭＳ ゴシック" w:eastAsia="ＭＳ ゴシック" w:hAnsi="ＭＳ ゴシック" w:hint="eastAsia"/>
          <w:b/>
        </w:rPr>
        <w:t>b)</w:t>
      </w:r>
      <w:r w:rsidRPr="00BC31E0">
        <w:rPr>
          <w:rFonts w:hint="eastAsia"/>
        </w:rPr>
        <w:t>に，</w:t>
      </w:r>
      <w:r w:rsidRPr="00BC31E0">
        <w:rPr>
          <w:rFonts w:asciiTheme="minorHAnsi" w:hAnsiTheme="minorHAnsi"/>
        </w:rPr>
        <w:t>3</w:t>
      </w:r>
      <w:r w:rsidRPr="00BC31E0">
        <w:rPr>
          <w:rFonts w:hint="eastAsia"/>
        </w:rPr>
        <w:t>層以上の多層容器の規定は</w:t>
      </w:r>
      <w:r w:rsidRPr="00BC31E0">
        <w:rPr>
          <w:rFonts w:ascii="ＭＳ ゴシック" w:eastAsia="ＭＳ ゴシック" w:hAnsi="ＭＳ ゴシック" w:hint="eastAsia"/>
          <w:b/>
        </w:rPr>
        <w:t>c)</w:t>
      </w:r>
      <w:r w:rsidRPr="00BC31E0">
        <w:rPr>
          <w:rFonts w:hint="eastAsia"/>
        </w:rPr>
        <w:t>に従わなければならない。</w:t>
      </w:r>
    </w:p>
    <w:p w14:paraId="148B30B0" w14:textId="77777777" w:rsidR="00485A11" w:rsidRPr="00BC31E0" w:rsidRDefault="00485A11" w:rsidP="00736130">
      <w:pPr>
        <w:pStyle w:val="a4"/>
        <w:numPr>
          <w:ilvl w:val="0"/>
          <w:numId w:val="301"/>
        </w:numPr>
        <w:ind w:leftChars="0" w:left="738" w:hanging="454"/>
      </w:pPr>
      <w:r w:rsidRPr="00BC31E0">
        <w:rPr>
          <w:rFonts w:hint="eastAsia"/>
        </w:rPr>
        <w:t>有毒物質又は致死的な物質を保有する容器を除く</w:t>
      </w:r>
      <w:r w:rsidRPr="00BC31E0">
        <w:rPr>
          <w:rFonts w:asciiTheme="minorHAnsi" w:hAnsiTheme="minorHAnsi"/>
        </w:rPr>
        <w:t>2</w:t>
      </w:r>
      <w:r w:rsidRPr="00BC31E0">
        <w:rPr>
          <w:rFonts w:hint="eastAsia"/>
        </w:rPr>
        <w:t>層以上の焼ばめ式多層容器に関して，次の条件に合致すれば，破裂前漏洩と想定する。</w:t>
      </w:r>
    </w:p>
    <w:p w14:paraId="3AD795FF" w14:textId="77777777" w:rsidR="00485A11" w:rsidRPr="00BC31E0" w:rsidRDefault="00485A11" w:rsidP="007E3816">
      <w:pPr>
        <w:autoSpaceDE w:val="0"/>
        <w:autoSpaceDN w:val="0"/>
        <w:ind w:left="737"/>
        <w:rPr>
          <w:rFonts w:ascii="ＭＳ 明朝" w:hAnsi="ＭＳ 明朝"/>
        </w:rPr>
      </w:pPr>
      <w:r w:rsidRPr="00BC31E0">
        <w:rPr>
          <w:rFonts w:ascii="ＭＳ 明朝" w:hAnsi="ＭＳ 明朝" w:hint="eastAsia"/>
        </w:rPr>
        <w:t>・内層の急激な破壊が生じても，部品や破片が噴出せず，外層が健全のままである。</w:t>
      </w:r>
    </w:p>
    <w:p w14:paraId="7BA22B1B" w14:textId="77777777" w:rsidR="00485A11" w:rsidRPr="00BC31E0" w:rsidRDefault="00485A11" w:rsidP="007E3816">
      <w:pPr>
        <w:autoSpaceDE w:val="0"/>
        <w:autoSpaceDN w:val="0"/>
        <w:ind w:left="737"/>
        <w:rPr>
          <w:rFonts w:ascii="ＭＳ 明朝" w:hAnsi="ＭＳ 明朝"/>
        </w:rPr>
      </w:pPr>
      <w:r w:rsidRPr="00BC31E0">
        <w:rPr>
          <w:rFonts w:ascii="ＭＳ 明朝" w:hAnsi="ＭＳ 明朝" w:hint="eastAsia"/>
        </w:rPr>
        <w:t>・閉止板が健全で保持している。</w:t>
      </w:r>
    </w:p>
    <w:p w14:paraId="175C91FD" w14:textId="77777777" w:rsidR="00485A11" w:rsidRPr="00BC31E0" w:rsidRDefault="00485A11" w:rsidP="007E3816">
      <w:pPr>
        <w:autoSpaceDE w:val="0"/>
        <w:autoSpaceDN w:val="0"/>
        <w:ind w:left="737"/>
        <w:rPr>
          <w:rFonts w:ascii="ＭＳ 明朝" w:hAnsi="ＭＳ 明朝"/>
        </w:rPr>
      </w:pPr>
      <w:r w:rsidRPr="00BC31E0">
        <w:rPr>
          <w:rFonts w:ascii="ＭＳ 明朝" w:hAnsi="ＭＳ 明朝" w:hint="eastAsia"/>
        </w:rPr>
        <w:t>・残りの健全層の計算崩壊圧力が，容器の設計圧力の</w:t>
      </w:r>
      <w:r w:rsidRPr="00BC31E0">
        <w:rPr>
          <w:rFonts w:asciiTheme="minorHAnsi" w:hAnsiTheme="minorHAnsi"/>
        </w:rPr>
        <w:t>120%</w:t>
      </w:r>
      <w:r w:rsidRPr="00BC31E0">
        <w:rPr>
          <w:rFonts w:ascii="ＭＳ 明朝" w:hAnsi="ＭＳ 明朝" w:hint="eastAsia"/>
        </w:rPr>
        <w:t>を超えている。</w:t>
      </w:r>
    </w:p>
    <w:p w14:paraId="55594F08" w14:textId="77777777" w:rsidR="00485A11" w:rsidRPr="00BC31E0" w:rsidRDefault="00485A11" w:rsidP="007E3816">
      <w:pPr>
        <w:ind w:left="737" w:firstLine="227"/>
      </w:pPr>
      <w:r w:rsidRPr="00BC31E0">
        <w:rPr>
          <w:rFonts w:hint="eastAsia"/>
        </w:rPr>
        <w:t>急激な破裂が生じると想定される内層の材料は，材料規格に要求されているシャルピー</w:t>
      </w:r>
      <w:r w:rsidRPr="00BC31E0">
        <w:t>V</w:t>
      </w:r>
      <w:r w:rsidRPr="00BC31E0">
        <w:rPr>
          <w:rFonts w:hint="eastAsia"/>
        </w:rPr>
        <w:t>ノッチ衝撃値を満足しなくてはならないが，</w:t>
      </w:r>
      <w:r w:rsidRPr="00BC31E0">
        <w:rPr>
          <w:rFonts w:ascii="ＭＳ ゴシック" w:eastAsia="ＭＳ ゴシック" w:hAnsi="ＭＳ ゴシック" w:hint="eastAsia"/>
          <w:b/>
        </w:rPr>
        <w:t>5.2.7 b)</w:t>
      </w:r>
      <w:r w:rsidRPr="00BC31E0">
        <w:rPr>
          <w:rFonts w:hint="eastAsia"/>
        </w:rPr>
        <w:t>の吸収エネルギー値の合格基準を満足する必要はない。健全と想定される外層の材料は，</w:t>
      </w:r>
      <w:r w:rsidRPr="00BC31E0">
        <w:rPr>
          <w:rFonts w:ascii="ＭＳ ゴシック" w:eastAsia="ＭＳ ゴシック" w:hAnsi="ＭＳ ゴシック" w:hint="eastAsia"/>
          <w:b/>
        </w:rPr>
        <w:t>5.2.7 b)</w:t>
      </w:r>
      <w:r w:rsidRPr="00BC31E0">
        <w:rPr>
          <w:rFonts w:hint="eastAsia"/>
        </w:rPr>
        <w:t>の吸収エネルギー値の合格基準を満足しなければならない。</w:t>
      </w:r>
    </w:p>
    <w:p w14:paraId="5E39C19E" w14:textId="77777777" w:rsidR="00485A11" w:rsidRPr="00BC31E0" w:rsidRDefault="00485A11" w:rsidP="00736130">
      <w:pPr>
        <w:pStyle w:val="a4"/>
        <w:numPr>
          <w:ilvl w:val="0"/>
          <w:numId w:val="442"/>
        </w:numPr>
        <w:ind w:leftChars="0" w:left="454" w:hanging="454"/>
        <w:rPr>
          <w:rFonts w:ascii="ＭＳ 明朝"/>
        </w:rPr>
      </w:pPr>
      <w:r w:rsidRPr="00BC31E0">
        <w:rPr>
          <w:rFonts w:asciiTheme="majorEastAsia" w:eastAsiaTheme="majorEastAsia" w:hAnsiTheme="majorEastAsia"/>
          <w:b/>
        </w:rPr>
        <w:t>2</w:t>
      </w:r>
      <w:r w:rsidRPr="00BC31E0">
        <w:rPr>
          <w:rFonts w:asciiTheme="majorEastAsia" w:eastAsiaTheme="majorEastAsia" w:hAnsiTheme="majorEastAsia" w:hint="eastAsia"/>
          <w:b/>
        </w:rPr>
        <w:t>層容器</w:t>
      </w:r>
      <w:r w:rsidRPr="00BC31E0">
        <w:t xml:space="preserve">　</w:t>
      </w:r>
      <w:r w:rsidRPr="00BC31E0">
        <w:t>2</w:t>
      </w:r>
      <w:r w:rsidRPr="00BC31E0">
        <w:t>層容器の</w:t>
      </w:r>
      <w:r w:rsidRPr="00BC31E0">
        <w:rPr>
          <w:rFonts w:hint="eastAsia"/>
        </w:rPr>
        <w:t>層間圧力と残留応力の計算は次による。</w:t>
      </w:r>
    </w:p>
    <w:p w14:paraId="68C5B0D3" w14:textId="77777777" w:rsidR="00485A11" w:rsidRPr="00BC31E0" w:rsidRDefault="00485A11" w:rsidP="00736130">
      <w:pPr>
        <w:pStyle w:val="a4"/>
        <w:numPr>
          <w:ilvl w:val="0"/>
          <w:numId w:val="302"/>
        </w:numPr>
        <w:ind w:leftChars="0" w:left="738" w:hanging="454"/>
      </w:pPr>
      <w:r w:rsidRPr="00BC31E0">
        <w:rPr>
          <w:rFonts w:ascii="ＭＳ ゴシック" w:eastAsia="ＭＳ ゴシック" w:hint="eastAsia"/>
          <w:b/>
        </w:rPr>
        <w:t>層間圧力</w:t>
      </w:r>
      <w:r w:rsidRPr="00BC31E0">
        <w:rPr>
          <w:rFonts w:hint="eastAsia"/>
        </w:rPr>
        <w:t xml:space="preserve">　</w:t>
      </w:r>
      <w:r w:rsidRPr="00BC31E0">
        <w:rPr>
          <w:rFonts w:asciiTheme="minorHAnsi" w:hAnsiTheme="minorHAnsi"/>
        </w:rPr>
        <w:t>2</w:t>
      </w:r>
      <w:r w:rsidRPr="00BC31E0">
        <w:rPr>
          <w:rFonts w:hAnsi="ＭＳ 明朝"/>
        </w:rPr>
        <w:t>層容器の層間圧力は次式で計算する。ただし，層間に軸方向の力が働かないと仮定できる場合に限る。</w:t>
      </w:r>
      <w:r w:rsidRPr="00BC31E0">
        <w:rPr>
          <w:rFonts w:hAnsi="ＭＳ 明朝" w:hint="eastAsia"/>
        </w:rPr>
        <w:t>軸</w:t>
      </w:r>
      <w:r w:rsidRPr="00BC31E0">
        <w:rPr>
          <w:rFonts w:hAnsi="ＭＳ 明朝"/>
        </w:rPr>
        <w:t>方向応力が発生する場合には</w:t>
      </w:r>
      <w:r w:rsidRPr="00BC31E0">
        <w:rPr>
          <w:rFonts w:hAnsi="ＭＳ 明朝" w:hint="eastAsia"/>
        </w:rPr>
        <w:t>，</w:t>
      </w:r>
      <w:r w:rsidRPr="00BC31E0">
        <w:rPr>
          <w:rFonts w:hAnsi="ＭＳ 明朝"/>
        </w:rPr>
        <w:t>ポアソン</w:t>
      </w:r>
      <w:r w:rsidRPr="00BC31E0">
        <w:rPr>
          <w:rFonts w:hAnsi="ＭＳ 明朝" w:hint="eastAsia"/>
        </w:rPr>
        <w:t>比</w:t>
      </w:r>
      <w:r w:rsidRPr="00BC31E0">
        <w:rPr>
          <w:rFonts w:hAnsi="ＭＳ 明朝"/>
        </w:rPr>
        <w:t>効果により境界層の層間圧力は影響を受ける。その場合には残留応力を決定するために，より詳細な解析が必要である。</w:t>
      </w:r>
    </w:p>
    <w:tbl>
      <w:tblPr>
        <w:tblStyle w:val="afff2"/>
        <w:tblW w:w="5953" w:type="dxa"/>
        <w:tblInd w:w="3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
        <w:gridCol w:w="4946"/>
      </w:tblGrid>
      <w:tr w:rsidR="00A16018" w:rsidRPr="00BC31E0" w14:paraId="2EB4BADC" w14:textId="77777777" w:rsidTr="0025452F">
        <w:tc>
          <w:tcPr>
            <w:tcW w:w="0" w:type="auto"/>
            <w:tcMar>
              <w:left w:w="0" w:type="dxa"/>
              <w:right w:w="0" w:type="dxa"/>
            </w:tcMar>
            <w:vAlign w:val="center"/>
          </w:tcPr>
          <w:p w14:paraId="031D741C" w14:textId="77777777" w:rsidR="00A16018" w:rsidRPr="00BC31E0" w:rsidRDefault="00A51873" w:rsidP="00290661">
            <w:pPr>
              <w:tabs>
                <w:tab w:val="left" w:leader="middleDot" w:pos="8222"/>
              </w:tabs>
              <w:autoSpaceDE w:val="0"/>
              <w:autoSpaceDN w:val="0"/>
              <w:jc w:val="left"/>
              <w:rPr>
                <w:rFonts w:eastAsia="ＭＳ ゴシック"/>
                <w:bCs/>
                <w:i/>
              </w:rPr>
            </w:pPr>
            <m:oMathPara>
              <m:oMathParaPr>
                <m:jc m:val="left"/>
              </m:oMathParaPr>
              <m:oMath>
                <m:sSub>
                  <m:sSubPr>
                    <m:ctrlPr>
                      <w:rPr>
                        <w:rFonts w:ascii="Cambria Math" w:eastAsia="ＭＳ ゴシック" w:hAnsi="Cambria Math"/>
                        <w:bCs/>
                        <w:i/>
                      </w:rPr>
                    </m:ctrlPr>
                  </m:sSubPr>
                  <m:e>
                    <m:r>
                      <w:rPr>
                        <w:rFonts w:ascii="Cambria Math" w:eastAsia="ＭＳ ゴシック" w:hAnsi="Cambria Math"/>
                      </w:rPr>
                      <m:t>P</m:t>
                    </m:r>
                  </m:e>
                  <m:sub>
                    <m:r>
                      <w:rPr>
                        <w:rFonts w:ascii="Cambria Math" w:eastAsia="ＭＳ ゴシック" w:hAnsi="Cambria Math"/>
                      </w:rPr>
                      <m:t>if</m:t>
                    </m:r>
                  </m:sub>
                </m:sSub>
                <m:r>
                  <w:rPr>
                    <w:rFonts w:ascii="Cambria Math" w:eastAsia="ＭＳ ゴシック" w:hAnsi="Cambria Math"/>
                  </w:rPr>
                  <m:t>=</m:t>
                </m:r>
                <m:f>
                  <m:fPr>
                    <m:ctrlPr>
                      <w:rPr>
                        <w:rFonts w:ascii="Cambria Math" w:eastAsia="ＭＳ ゴシック" w:hAnsi="Cambria Math"/>
                        <w:bCs/>
                        <w:i/>
                      </w:rPr>
                    </m:ctrlPr>
                  </m:fPr>
                  <m:num>
                    <m:r>
                      <w:rPr>
                        <w:rFonts w:ascii="Cambria Math" w:eastAsia="ＭＳ ゴシック" w:hAnsi="Cambria Math"/>
                      </w:rPr>
                      <m:t>δ</m:t>
                    </m:r>
                  </m:num>
                  <m:den>
                    <m:sSub>
                      <m:sSubPr>
                        <m:ctrlPr>
                          <w:rPr>
                            <w:rFonts w:ascii="Cambria Math" w:eastAsia="ＭＳ ゴシック" w:hAnsi="Cambria Math"/>
                            <w:bCs/>
                            <w:i/>
                          </w:rPr>
                        </m:ctrlPr>
                      </m:sSubPr>
                      <m:e>
                        <m:r>
                          <w:rPr>
                            <w:rFonts w:ascii="Cambria Math" w:eastAsia="ＭＳ ゴシック" w:hAnsi="Cambria Math"/>
                          </w:rPr>
                          <m:t>D</m:t>
                        </m:r>
                      </m:e>
                      <m:sub>
                        <m:r>
                          <w:rPr>
                            <w:rFonts w:ascii="Cambria Math" w:eastAsia="ＭＳ ゴシック" w:hAnsi="Cambria Math"/>
                          </w:rPr>
                          <m:t>if</m:t>
                        </m:r>
                      </m:sub>
                    </m:sSub>
                    <m:r>
                      <w:rPr>
                        <w:rFonts w:ascii="Cambria Math" w:eastAsia="ＭＳ ゴシック" w:hAnsi="Cambria Math"/>
                      </w:rPr>
                      <m:t xml:space="preserve"> A</m:t>
                    </m:r>
                  </m:den>
                </m:f>
              </m:oMath>
            </m:oMathPara>
          </w:p>
        </w:tc>
        <w:tc>
          <w:tcPr>
            <w:tcW w:w="4946" w:type="dxa"/>
            <w:tcMar>
              <w:left w:w="0" w:type="dxa"/>
              <w:right w:w="0" w:type="dxa"/>
            </w:tcMar>
            <w:vAlign w:val="center"/>
          </w:tcPr>
          <w:p w14:paraId="1BFC0767" w14:textId="77777777" w:rsidR="00A16018" w:rsidRPr="00BC31E0" w:rsidRDefault="00A16018" w:rsidP="0025452F">
            <w:pPr>
              <w:tabs>
                <w:tab w:val="left" w:leader="middleDot" w:pos="4096"/>
              </w:tabs>
              <w:autoSpaceDE w:val="0"/>
              <w:autoSpaceDN w:val="0"/>
              <w:jc w:val="left"/>
              <w:rPr>
                <w:rFonts w:eastAsia="ＭＳ ゴシック"/>
                <w:bCs/>
              </w:rPr>
            </w:pPr>
            <w:r w:rsidRPr="00BC31E0">
              <w:rPr>
                <w:rFonts w:eastAsia="ＭＳ ゴシック"/>
                <w:bCs/>
              </w:rPr>
              <w:tab/>
            </w:r>
            <w:r w:rsidRPr="00BC31E0">
              <w:rPr>
                <w:rFonts w:eastAsia="ＭＳ ゴシック" w:hint="eastAsia"/>
                <w:bCs/>
              </w:rPr>
              <w:t>(6.8.1)</w:t>
            </w:r>
          </w:p>
        </w:tc>
      </w:tr>
    </w:tbl>
    <w:p w14:paraId="66715C7E" w14:textId="77777777" w:rsidR="00485A11" w:rsidRPr="00BC31E0" w:rsidRDefault="00485A11" w:rsidP="00485A11">
      <w:pPr>
        <w:autoSpaceDE w:val="0"/>
        <w:autoSpaceDN w:val="0"/>
        <w:ind w:left="737" w:firstLineChars="100" w:firstLine="210"/>
        <w:rPr>
          <w:rFonts w:asciiTheme="minorEastAsia" w:eastAsiaTheme="minorEastAsia" w:hAnsiTheme="minorEastAsia"/>
          <w:bCs/>
        </w:rPr>
      </w:pPr>
      <w:r w:rsidRPr="00BC31E0">
        <w:rPr>
          <w:rFonts w:asciiTheme="minorEastAsia" w:eastAsiaTheme="minorEastAsia" w:hAnsiTheme="minorEastAsia" w:hint="eastAsia"/>
          <w:bCs/>
        </w:rPr>
        <w:t>ここで，</w:t>
      </w:r>
    </w:p>
    <w:tbl>
      <w:tblPr>
        <w:tblStyle w:val="afff2"/>
        <w:tblW w:w="6945" w:type="dxa"/>
        <w:tblInd w:w="2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3"/>
        <w:gridCol w:w="2522"/>
      </w:tblGrid>
      <w:tr w:rsidR="00A16018" w:rsidRPr="00BC31E0" w14:paraId="0A2322BE" w14:textId="77777777" w:rsidTr="0025452F">
        <w:tc>
          <w:tcPr>
            <w:tcW w:w="0" w:type="auto"/>
            <w:tcMar>
              <w:left w:w="0" w:type="dxa"/>
              <w:right w:w="0" w:type="dxa"/>
            </w:tcMar>
            <w:vAlign w:val="center"/>
          </w:tcPr>
          <w:p w14:paraId="25F62E0F" w14:textId="77777777" w:rsidR="00A16018" w:rsidRPr="00BC31E0" w:rsidRDefault="00A16018" w:rsidP="00290661">
            <w:pPr>
              <w:tabs>
                <w:tab w:val="left" w:leader="middleDot" w:pos="8222"/>
              </w:tabs>
              <w:autoSpaceDE w:val="0"/>
              <w:autoSpaceDN w:val="0"/>
              <w:jc w:val="left"/>
              <w:rPr>
                <w:rFonts w:eastAsia="ＭＳ ゴシック"/>
                <w:bCs/>
                <w:i/>
              </w:rPr>
            </w:pPr>
            <m:oMathPara>
              <m:oMathParaPr>
                <m:jc m:val="left"/>
              </m:oMathParaPr>
              <m:oMath>
                <m:r>
                  <w:rPr>
                    <w:rFonts w:ascii="Cambria Math" w:eastAsia="ＭＳ ゴシック" w:hAnsi="Cambria Math"/>
                  </w:rPr>
                  <m:t>A=</m:t>
                </m:r>
                <m:f>
                  <m:fPr>
                    <m:ctrlPr>
                      <w:rPr>
                        <w:rFonts w:ascii="Cambria Math" w:eastAsia="ＭＳ ゴシック" w:hAnsi="Cambria Math"/>
                        <w:bCs/>
                        <w:i/>
                      </w:rPr>
                    </m:ctrlPr>
                  </m:fPr>
                  <m:num>
                    <m:r>
                      <w:rPr>
                        <w:rFonts w:ascii="Cambria Math" w:eastAsia="ＭＳ ゴシック" w:hAnsi="Cambria Math"/>
                      </w:rPr>
                      <m:t>1</m:t>
                    </m:r>
                  </m:num>
                  <m:den>
                    <m:sSub>
                      <m:sSubPr>
                        <m:ctrlPr>
                          <w:rPr>
                            <w:rFonts w:ascii="Cambria Math" w:eastAsia="ＭＳ ゴシック" w:hAnsi="Cambria Math"/>
                            <w:bCs/>
                            <w:i/>
                          </w:rPr>
                        </m:ctrlPr>
                      </m:sSubPr>
                      <m:e>
                        <m:r>
                          <w:rPr>
                            <w:rFonts w:ascii="Cambria Math" w:eastAsia="ＭＳ ゴシック" w:hAnsi="Cambria Math"/>
                          </w:rPr>
                          <m:t>E</m:t>
                        </m:r>
                      </m:e>
                      <m:sub>
                        <m:r>
                          <w:rPr>
                            <w:rFonts w:ascii="Cambria Math" w:eastAsia="ＭＳ ゴシック" w:hAnsi="Cambria Math"/>
                          </w:rPr>
                          <m:t>I</m:t>
                        </m:r>
                      </m:sub>
                    </m:sSub>
                  </m:den>
                </m:f>
                <m:d>
                  <m:dPr>
                    <m:ctrlPr>
                      <w:rPr>
                        <w:rFonts w:ascii="Cambria Math" w:eastAsia="ＭＳ ゴシック" w:hAnsi="Cambria Math"/>
                        <w:bCs/>
                        <w:i/>
                      </w:rPr>
                    </m:ctrlPr>
                  </m:dPr>
                  <m:e>
                    <m:f>
                      <m:fPr>
                        <m:ctrlPr>
                          <w:rPr>
                            <w:rFonts w:ascii="Cambria Math" w:eastAsia="ＭＳ ゴシック" w:hAnsi="Cambria Math"/>
                            <w:bCs/>
                            <w:i/>
                          </w:rPr>
                        </m:ctrlPr>
                      </m:fPr>
                      <m:num>
                        <m:sSup>
                          <m:sSupPr>
                            <m:ctrlPr>
                              <w:rPr>
                                <w:rFonts w:ascii="Cambria Math" w:eastAsia="ＭＳ ゴシック" w:hAnsi="Cambria Math"/>
                                <w:bCs/>
                                <w:i/>
                              </w:rPr>
                            </m:ctrlPr>
                          </m:sSupPr>
                          <m:e>
                            <m:sSub>
                              <m:sSubPr>
                                <m:ctrlPr>
                                  <w:rPr>
                                    <w:rFonts w:ascii="Cambria Math" w:eastAsia="ＭＳ ゴシック" w:hAnsi="Cambria Math"/>
                                    <w:bCs/>
                                    <w:i/>
                                  </w:rPr>
                                </m:ctrlPr>
                              </m:sSubPr>
                              <m:e>
                                <m:r>
                                  <w:rPr>
                                    <w:rFonts w:ascii="Cambria Math" w:eastAsia="ＭＳ ゴシック" w:hAnsi="Cambria Math"/>
                                  </w:rPr>
                                  <m:t>D</m:t>
                                </m:r>
                              </m:e>
                              <m:sub>
                                <m:r>
                                  <w:rPr>
                                    <w:rFonts w:ascii="Cambria Math" w:eastAsia="ＭＳ ゴシック" w:hAnsi="Cambria Math"/>
                                  </w:rPr>
                                  <m:t>I</m:t>
                                </m:r>
                              </m:sub>
                            </m:sSub>
                          </m:e>
                          <m:sup>
                            <m:r>
                              <w:rPr>
                                <w:rFonts w:ascii="Cambria Math" w:eastAsia="ＭＳ ゴシック" w:hAnsi="Cambria Math"/>
                              </w:rPr>
                              <m:t>2</m:t>
                            </m:r>
                          </m:sup>
                        </m:sSup>
                        <m:r>
                          <w:rPr>
                            <w:rFonts w:ascii="Cambria Math" w:eastAsia="ＭＳ ゴシック" w:hAnsi="Cambria Math"/>
                          </w:rPr>
                          <m:t>+</m:t>
                        </m:r>
                        <m:sSup>
                          <m:sSupPr>
                            <m:ctrlPr>
                              <w:rPr>
                                <w:rFonts w:ascii="Cambria Math" w:eastAsia="ＭＳ ゴシック" w:hAnsi="Cambria Math"/>
                                <w:bCs/>
                                <w:i/>
                              </w:rPr>
                            </m:ctrlPr>
                          </m:sSupPr>
                          <m:e>
                            <m:sSub>
                              <m:sSubPr>
                                <m:ctrlPr>
                                  <w:rPr>
                                    <w:rFonts w:ascii="Cambria Math" w:eastAsia="ＭＳ ゴシック" w:hAnsi="Cambria Math"/>
                                    <w:bCs/>
                                    <w:i/>
                                  </w:rPr>
                                </m:ctrlPr>
                              </m:sSubPr>
                              <m:e>
                                <m:r>
                                  <w:rPr>
                                    <w:rFonts w:ascii="Cambria Math" w:eastAsia="ＭＳ ゴシック" w:hAnsi="Cambria Math"/>
                                  </w:rPr>
                                  <m:t>D</m:t>
                                </m:r>
                              </m:e>
                              <m:sub>
                                <m:r>
                                  <w:rPr>
                                    <w:rFonts w:ascii="Cambria Math" w:eastAsia="ＭＳ ゴシック" w:hAnsi="Cambria Math"/>
                                  </w:rPr>
                                  <m:t>if</m:t>
                                </m:r>
                              </m:sub>
                            </m:sSub>
                          </m:e>
                          <m:sup>
                            <m:r>
                              <w:rPr>
                                <w:rFonts w:ascii="Cambria Math" w:eastAsia="ＭＳ ゴシック" w:hAnsi="Cambria Math"/>
                              </w:rPr>
                              <m:t>2</m:t>
                            </m:r>
                          </m:sup>
                        </m:sSup>
                      </m:num>
                      <m:den>
                        <m:sSup>
                          <m:sSupPr>
                            <m:ctrlPr>
                              <w:rPr>
                                <w:rFonts w:ascii="Cambria Math" w:eastAsia="ＭＳ ゴシック" w:hAnsi="Cambria Math"/>
                                <w:bCs/>
                                <w:i/>
                              </w:rPr>
                            </m:ctrlPr>
                          </m:sSupPr>
                          <m:e>
                            <m:sSub>
                              <m:sSubPr>
                                <m:ctrlPr>
                                  <w:rPr>
                                    <w:rFonts w:ascii="Cambria Math" w:eastAsia="ＭＳ ゴシック" w:hAnsi="Cambria Math"/>
                                    <w:bCs/>
                                    <w:i/>
                                  </w:rPr>
                                </m:ctrlPr>
                              </m:sSubPr>
                              <m:e>
                                <m:r>
                                  <w:rPr>
                                    <w:rFonts w:ascii="Cambria Math" w:eastAsia="ＭＳ ゴシック" w:hAnsi="Cambria Math"/>
                                  </w:rPr>
                                  <m:t>D</m:t>
                                </m:r>
                              </m:e>
                              <m:sub>
                                <m:r>
                                  <w:rPr>
                                    <w:rFonts w:ascii="Cambria Math" w:eastAsia="ＭＳ ゴシック" w:hAnsi="Cambria Math"/>
                                  </w:rPr>
                                  <m:t>if</m:t>
                                </m:r>
                              </m:sub>
                            </m:sSub>
                          </m:e>
                          <m:sup>
                            <m:r>
                              <w:rPr>
                                <w:rFonts w:ascii="Cambria Math" w:eastAsia="ＭＳ ゴシック" w:hAnsi="Cambria Math"/>
                              </w:rPr>
                              <m:t>2</m:t>
                            </m:r>
                          </m:sup>
                        </m:sSup>
                        <m:r>
                          <w:rPr>
                            <w:rFonts w:ascii="Cambria Math" w:eastAsia="ＭＳ ゴシック" w:hAnsi="Cambria Math"/>
                          </w:rPr>
                          <m:t>-</m:t>
                        </m:r>
                        <m:sSup>
                          <m:sSupPr>
                            <m:ctrlPr>
                              <w:rPr>
                                <w:rFonts w:ascii="Cambria Math" w:eastAsia="ＭＳ ゴシック" w:hAnsi="Cambria Math"/>
                                <w:bCs/>
                                <w:i/>
                              </w:rPr>
                            </m:ctrlPr>
                          </m:sSupPr>
                          <m:e>
                            <m:sSub>
                              <m:sSubPr>
                                <m:ctrlPr>
                                  <w:rPr>
                                    <w:rFonts w:ascii="Cambria Math" w:eastAsia="ＭＳ ゴシック" w:hAnsi="Cambria Math"/>
                                    <w:bCs/>
                                    <w:i/>
                                  </w:rPr>
                                </m:ctrlPr>
                              </m:sSubPr>
                              <m:e>
                                <m:r>
                                  <w:rPr>
                                    <w:rFonts w:ascii="Cambria Math" w:eastAsia="ＭＳ ゴシック" w:hAnsi="Cambria Math"/>
                                  </w:rPr>
                                  <m:t>D</m:t>
                                </m:r>
                              </m:e>
                              <m:sub>
                                <m:r>
                                  <w:rPr>
                                    <w:rFonts w:ascii="Cambria Math" w:eastAsia="ＭＳ ゴシック" w:hAnsi="Cambria Math"/>
                                  </w:rPr>
                                  <m:t>I</m:t>
                                </m:r>
                              </m:sub>
                            </m:sSub>
                          </m:e>
                          <m:sup>
                            <m:r>
                              <w:rPr>
                                <w:rFonts w:ascii="Cambria Math" w:eastAsia="ＭＳ ゴシック" w:hAnsi="Cambria Math"/>
                              </w:rPr>
                              <m:t>2</m:t>
                            </m:r>
                          </m:sup>
                        </m:sSup>
                      </m:den>
                    </m:f>
                    <m:r>
                      <w:rPr>
                        <w:rFonts w:ascii="Cambria Math" w:eastAsia="ＭＳ ゴシック" w:hAnsi="Cambria Math"/>
                      </w:rPr>
                      <m:t>-</m:t>
                    </m:r>
                    <m:sSub>
                      <m:sSubPr>
                        <m:ctrlPr>
                          <w:rPr>
                            <w:rFonts w:ascii="Cambria Math" w:eastAsia="ＭＳ ゴシック" w:hAnsi="Cambria Math"/>
                            <w:bCs/>
                            <w:i/>
                          </w:rPr>
                        </m:ctrlPr>
                      </m:sSubPr>
                      <m:e>
                        <m:r>
                          <w:rPr>
                            <w:rFonts w:ascii="Cambria Math" w:eastAsia="ＭＳ ゴシック" w:hAnsi="Cambria Math"/>
                          </w:rPr>
                          <m:t>ν</m:t>
                        </m:r>
                      </m:e>
                      <m:sub>
                        <m:r>
                          <w:rPr>
                            <w:rFonts w:ascii="Cambria Math" w:eastAsia="ＭＳ ゴシック" w:hAnsi="Cambria Math"/>
                          </w:rPr>
                          <m:t>i</m:t>
                        </m:r>
                      </m:sub>
                    </m:sSub>
                  </m:e>
                </m:d>
                <m:r>
                  <w:rPr>
                    <w:rFonts w:ascii="Cambria Math" w:eastAsia="ＭＳ ゴシック" w:hAnsi="Cambria Math"/>
                  </w:rPr>
                  <m:t>+</m:t>
                </m:r>
                <m:f>
                  <m:fPr>
                    <m:ctrlPr>
                      <w:rPr>
                        <w:rFonts w:ascii="Cambria Math" w:eastAsia="ＭＳ ゴシック" w:hAnsi="Cambria Math"/>
                        <w:bCs/>
                        <w:i/>
                      </w:rPr>
                    </m:ctrlPr>
                  </m:fPr>
                  <m:num>
                    <m:r>
                      <w:rPr>
                        <w:rFonts w:ascii="Cambria Math" w:eastAsia="ＭＳ ゴシック" w:hAnsi="Cambria Math"/>
                      </w:rPr>
                      <m:t>1</m:t>
                    </m:r>
                  </m:num>
                  <m:den>
                    <m:sSub>
                      <m:sSubPr>
                        <m:ctrlPr>
                          <w:rPr>
                            <w:rFonts w:ascii="Cambria Math" w:eastAsia="ＭＳ ゴシック" w:hAnsi="Cambria Math"/>
                            <w:bCs/>
                            <w:i/>
                          </w:rPr>
                        </m:ctrlPr>
                      </m:sSubPr>
                      <m:e>
                        <m:r>
                          <w:rPr>
                            <w:rFonts w:ascii="Cambria Math" w:eastAsia="ＭＳ ゴシック" w:hAnsi="Cambria Math"/>
                          </w:rPr>
                          <m:t>E</m:t>
                        </m:r>
                      </m:e>
                      <m:sub>
                        <m:r>
                          <w:rPr>
                            <w:rFonts w:ascii="Cambria Math" w:eastAsia="ＭＳ ゴシック" w:hAnsi="Cambria Math"/>
                          </w:rPr>
                          <m:t>O</m:t>
                        </m:r>
                      </m:sub>
                    </m:sSub>
                  </m:den>
                </m:f>
                <m:d>
                  <m:dPr>
                    <m:ctrlPr>
                      <w:rPr>
                        <w:rFonts w:ascii="Cambria Math" w:eastAsia="ＭＳ ゴシック" w:hAnsi="Cambria Math"/>
                        <w:bCs/>
                        <w:i/>
                      </w:rPr>
                    </m:ctrlPr>
                  </m:dPr>
                  <m:e>
                    <m:f>
                      <m:fPr>
                        <m:ctrlPr>
                          <w:rPr>
                            <w:rFonts w:ascii="Cambria Math" w:eastAsia="ＭＳ ゴシック" w:hAnsi="Cambria Math"/>
                            <w:bCs/>
                            <w:i/>
                          </w:rPr>
                        </m:ctrlPr>
                      </m:fPr>
                      <m:num>
                        <m:sSup>
                          <m:sSupPr>
                            <m:ctrlPr>
                              <w:rPr>
                                <w:rFonts w:ascii="Cambria Math" w:eastAsia="ＭＳ ゴシック" w:hAnsi="Cambria Math"/>
                                <w:bCs/>
                                <w:i/>
                              </w:rPr>
                            </m:ctrlPr>
                          </m:sSupPr>
                          <m:e>
                            <m:sSub>
                              <m:sSubPr>
                                <m:ctrlPr>
                                  <w:rPr>
                                    <w:rFonts w:ascii="Cambria Math" w:eastAsia="ＭＳ ゴシック" w:hAnsi="Cambria Math"/>
                                    <w:bCs/>
                                    <w:i/>
                                  </w:rPr>
                                </m:ctrlPr>
                              </m:sSubPr>
                              <m:e>
                                <m:r>
                                  <w:rPr>
                                    <w:rFonts w:ascii="Cambria Math" w:eastAsia="ＭＳ ゴシック" w:hAnsi="Cambria Math"/>
                                  </w:rPr>
                                  <m:t>D</m:t>
                                </m:r>
                              </m:e>
                              <m:sub>
                                <m:r>
                                  <w:rPr>
                                    <w:rFonts w:ascii="Cambria Math" w:eastAsia="ＭＳ ゴシック" w:hAnsi="Cambria Math"/>
                                  </w:rPr>
                                  <m:t>if</m:t>
                                </m:r>
                              </m:sub>
                            </m:sSub>
                          </m:e>
                          <m:sup>
                            <m:r>
                              <w:rPr>
                                <w:rFonts w:ascii="Cambria Math" w:eastAsia="ＭＳ ゴシック" w:hAnsi="Cambria Math"/>
                              </w:rPr>
                              <m:t>2</m:t>
                            </m:r>
                          </m:sup>
                        </m:sSup>
                        <m:r>
                          <w:rPr>
                            <w:rFonts w:ascii="Cambria Math" w:eastAsia="ＭＳ ゴシック" w:hAnsi="Cambria Math"/>
                          </w:rPr>
                          <m:t>+</m:t>
                        </m:r>
                        <m:sSup>
                          <m:sSupPr>
                            <m:ctrlPr>
                              <w:rPr>
                                <w:rFonts w:ascii="Cambria Math" w:eastAsia="ＭＳ ゴシック" w:hAnsi="Cambria Math"/>
                                <w:bCs/>
                                <w:i/>
                              </w:rPr>
                            </m:ctrlPr>
                          </m:sSupPr>
                          <m:e>
                            <m:sSub>
                              <m:sSubPr>
                                <m:ctrlPr>
                                  <w:rPr>
                                    <w:rFonts w:ascii="Cambria Math" w:eastAsia="ＭＳ ゴシック" w:hAnsi="Cambria Math"/>
                                    <w:bCs/>
                                    <w:i/>
                                  </w:rPr>
                                </m:ctrlPr>
                              </m:sSubPr>
                              <m:e>
                                <m:r>
                                  <w:rPr>
                                    <w:rFonts w:ascii="Cambria Math" w:eastAsia="ＭＳ ゴシック" w:hAnsi="Cambria Math"/>
                                  </w:rPr>
                                  <m:t>D</m:t>
                                </m:r>
                              </m:e>
                              <m:sub>
                                <m:r>
                                  <w:rPr>
                                    <w:rFonts w:ascii="Cambria Math" w:eastAsia="ＭＳ ゴシック" w:hAnsi="Cambria Math"/>
                                  </w:rPr>
                                  <m:t>O</m:t>
                                </m:r>
                              </m:sub>
                            </m:sSub>
                          </m:e>
                          <m:sup>
                            <m:r>
                              <w:rPr>
                                <w:rFonts w:ascii="Cambria Math" w:eastAsia="ＭＳ ゴシック" w:hAnsi="Cambria Math"/>
                              </w:rPr>
                              <m:t>2</m:t>
                            </m:r>
                          </m:sup>
                        </m:sSup>
                      </m:num>
                      <m:den>
                        <m:sSup>
                          <m:sSupPr>
                            <m:ctrlPr>
                              <w:rPr>
                                <w:rFonts w:ascii="Cambria Math" w:eastAsia="ＭＳ ゴシック" w:hAnsi="Cambria Math"/>
                                <w:bCs/>
                                <w:i/>
                              </w:rPr>
                            </m:ctrlPr>
                          </m:sSupPr>
                          <m:e>
                            <m:sSub>
                              <m:sSubPr>
                                <m:ctrlPr>
                                  <w:rPr>
                                    <w:rFonts w:ascii="Cambria Math" w:eastAsia="ＭＳ ゴシック" w:hAnsi="Cambria Math"/>
                                    <w:bCs/>
                                    <w:i/>
                                  </w:rPr>
                                </m:ctrlPr>
                              </m:sSubPr>
                              <m:e>
                                <m:r>
                                  <w:rPr>
                                    <w:rFonts w:ascii="Cambria Math" w:eastAsia="ＭＳ ゴシック" w:hAnsi="Cambria Math"/>
                                  </w:rPr>
                                  <m:t>D</m:t>
                                </m:r>
                              </m:e>
                              <m:sub>
                                <m:r>
                                  <w:rPr>
                                    <w:rFonts w:ascii="Cambria Math" w:eastAsia="ＭＳ ゴシック" w:hAnsi="Cambria Math"/>
                                  </w:rPr>
                                  <m:t>O</m:t>
                                </m:r>
                              </m:sub>
                            </m:sSub>
                          </m:e>
                          <m:sup>
                            <m:r>
                              <w:rPr>
                                <w:rFonts w:ascii="Cambria Math" w:eastAsia="ＭＳ ゴシック" w:hAnsi="Cambria Math"/>
                              </w:rPr>
                              <m:t>2</m:t>
                            </m:r>
                          </m:sup>
                        </m:sSup>
                        <m:r>
                          <w:rPr>
                            <w:rFonts w:ascii="Cambria Math" w:eastAsia="ＭＳ ゴシック" w:hAnsi="Cambria Math"/>
                          </w:rPr>
                          <m:t>-</m:t>
                        </m:r>
                        <m:sSup>
                          <m:sSupPr>
                            <m:ctrlPr>
                              <w:rPr>
                                <w:rFonts w:ascii="Cambria Math" w:eastAsia="ＭＳ ゴシック" w:hAnsi="Cambria Math"/>
                                <w:bCs/>
                                <w:i/>
                              </w:rPr>
                            </m:ctrlPr>
                          </m:sSupPr>
                          <m:e>
                            <m:sSub>
                              <m:sSubPr>
                                <m:ctrlPr>
                                  <w:rPr>
                                    <w:rFonts w:ascii="Cambria Math" w:eastAsia="ＭＳ ゴシック" w:hAnsi="Cambria Math"/>
                                    <w:bCs/>
                                    <w:i/>
                                  </w:rPr>
                                </m:ctrlPr>
                              </m:sSubPr>
                              <m:e>
                                <m:r>
                                  <w:rPr>
                                    <w:rFonts w:ascii="Cambria Math" w:eastAsia="ＭＳ ゴシック" w:hAnsi="Cambria Math"/>
                                  </w:rPr>
                                  <m:t>D</m:t>
                                </m:r>
                              </m:e>
                              <m:sub>
                                <m:r>
                                  <w:rPr>
                                    <w:rFonts w:ascii="Cambria Math" w:eastAsia="ＭＳ ゴシック" w:hAnsi="Cambria Math"/>
                                  </w:rPr>
                                  <m:t>if</m:t>
                                </m:r>
                              </m:sub>
                            </m:sSub>
                          </m:e>
                          <m:sup>
                            <m:r>
                              <w:rPr>
                                <w:rFonts w:ascii="Cambria Math" w:eastAsia="ＭＳ ゴシック" w:hAnsi="Cambria Math"/>
                              </w:rPr>
                              <m:t>2</m:t>
                            </m:r>
                          </m:sup>
                        </m:sSup>
                      </m:den>
                    </m:f>
                    <m:r>
                      <w:rPr>
                        <w:rFonts w:ascii="Cambria Math" w:eastAsia="ＭＳ ゴシック" w:hAnsi="Cambria Math"/>
                      </w:rPr>
                      <m:t>+</m:t>
                    </m:r>
                    <m:sSub>
                      <m:sSubPr>
                        <m:ctrlPr>
                          <w:rPr>
                            <w:rFonts w:ascii="Cambria Math" w:eastAsia="ＭＳ ゴシック" w:hAnsi="Cambria Math"/>
                            <w:bCs/>
                            <w:i/>
                          </w:rPr>
                        </m:ctrlPr>
                      </m:sSubPr>
                      <m:e>
                        <m:r>
                          <w:rPr>
                            <w:rFonts w:ascii="Cambria Math" w:eastAsia="ＭＳ ゴシック" w:hAnsi="Cambria Math"/>
                          </w:rPr>
                          <m:t>ν</m:t>
                        </m:r>
                      </m:e>
                      <m:sub>
                        <m:r>
                          <w:rPr>
                            <w:rFonts w:ascii="Cambria Math" w:eastAsia="ＭＳ ゴシック" w:hAnsi="Cambria Math"/>
                          </w:rPr>
                          <m:t>o</m:t>
                        </m:r>
                      </m:sub>
                    </m:sSub>
                  </m:e>
                </m:d>
              </m:oMath>
            </m:oMathPara>
          </w:p>
        </w:tc>
        <w:tc>
          <w:tcPr>
            <w:tcW w:w="2522" w:type="dxa"/>
            <w:tcMar>
              <w:left w:w="0" w:type="dxa"/>
              <w:right w:w="0" w:type="dxa"/>
            </w:tcMar>
            <w:vAlign w:val="center"/>
          </w:tcPr>
          <w:p w14:paraId="7051B895" w14:textId="77777777" w:rsidR="00A16018" w:rsidRPr="00BC31E0" w:rsidRDefault="00A16018" w:rsidP="0025452F">
            <w:pPr>
              <w:tabs>
                <w:tab w:val="left" w:leader="middleDot" w:pos="1672"/>
              </w:tabs>
              <w:autoSpaceDE w:val="0"/>
              <w:autoSpaceDN w:val="0"/>
              <w:jc w:val="left"/>
              <w:rPr>
                <w:rFonts w:eastAsia="ＭＳ ゴシック"/>
                <w:bCs/>
              </w:rPr>
            </w:pPr>
            <w:r w:rsidRPr="00BC31E0">
              <w:rPr>
                <w:rFonts w:eastAsia="ＭＳ ゴシック"/>
                <w:bCs/>
              </w:rPr>
              <w:tab/>
            </w:r>
            <w:r w:rsidRPr="00BC31E0">
              <w:rPr>
                <w:rFonts w:eastAsia="ＭＳ ゴシック" w:hint="eastAsia"/>
                <w:bCs/>
              </w:rPr>
              <w:t>(6.8.2)</w:t>
            </w:r>
          </w:p>
        </w:tc>
      </w:tr>
    </w:tbl>
    <w:p w14:paraId="00F89B2F" w14:textId="77777777" w:rsidR="00485A11" w:rsidRPr="00BC31E0" w:rsidRDefault="00485A11" w:rsidP="00736130">
      <w:pPr>
        <w:pStyle w:val="a4"/>
        <w:numPr>
          <w:ilvl w:val="0"/>
          <w:numId w:val="303"/>
        </w:numPr>
        <w:spacing w:before="120" w:after="120"/>
        <w:ind w:leftChars="0" w:left="738" w:hanging="454"/>
      </w:pPr>
      <w:r w:rsidRPr="00BC31E0">
        <w:rPr>
          <w:rFonts w:ascii="ＭＳ ゴシック" w:eastAsia="ＭＳ ゴシック" w:hAnsi="ＭＳ ゴシック" w:hint="eastAsia"/>
          <w:b/>
        </w:rPr>
        <w:t>残留応力</w:t>
      </w:r>
      <w:r w:rsidRPr="00BC31E0">
        <w:rPr>
          <w:rFonts w:hint="eastAsia"/>
        </w:rPr>
        <w:t xml:space="preserve">　</w:t>
      </w:r>
      <w:r w:rsidRPr="00BC31E0">
        <w:rPr>
          <w:rFonts w:ascii="ＭＳ 明朝" w:hint="eastAsia"/>
        </w:rPr>
        <w:t>不連続部から離れた</w:t>
      </w:r>
      <w:r w:rsidRPr="00BC31E0">
        <w:t>内層</w:t>
      </w:r>
      <w:r w:rsidRPr="00BC31E0">
        <w:t>(</w:t>
      </w:r>
      <m:oMath>
        <m:sSub>
          <m:sSubPr>
            <m:ctrlPr>
              <w:rPr>
                <w:rFonts w:ascii="Cambria Math" w:hAnsi="Cambria Math"/>
                <w:i/>
              </w:rPr>
            </m:ctrlPr>
          </m:sSubPr>
          <m:e>
            <m:r>
              <w:rPr>
                <w:rFonts w:ascii="Cambria Math" w:hAnsi="Cambria Math"/>
              </w:rPr>
              <m:t>D</m:t>
            </m:r>
          </m:e>
          <m:sub>
            <m:r>
              <w:rPr>
                <w:rFonts w:ascii="Cambria Math" w:hAnsi="Cambria Math"/>
              </w:rPr>
              <m:t>I</m:t>
            </m:r>
          </m:sub>
        </m:sSub>
        <m:r>
          <m:rPr>
            <m:sty m:val="p"/>
          </m:rPr>
          <w:rPr>
            <w:rFonts w:ascii="Cambria Math" w:hAnsi="Cambria Math" w:hint="eastAsia"/>
          </w:rPr>
          <m:t>≦</m:t>
        </m:r>
        <m:r>
          <w:rPr>
            <w:rFonts w:ascii="Cambria Math" w:hAnsi="Cambria Math"/>
          </w:rPr>
          <m:t>D</m:t>
        </m:r>
        <m:r>
          <m:rPr>
            <m:sty m:val="p"/>
          </m:rPr>
          <w:rPr>
            <w:rFonts w:ascii="Cambria Math" w:hAnsi="Cambria Math" w:hint="eastAsia"/>
          </w:rPr>
          <m:t>≦</m:t>
        </m:r>
        <m:sSub>
          <m:sSubPr>
            <m:ctrlPr>
              <w:rPr>
                <w:rFonts w:ascii="Cambria Math" w:hAnsi="Cambria Math"/>
                <w:i/>
              </w:rPr>
            </m:ctrlPr>
          </m:sSubPr>
          <m:e>
            <m:r>
              <w:rPr>
                <w:rFonts w:ascii="Cambria Math" w:hAnsi="Cambria Math"/>
              </w:rPr>
              <m:t>D</m:t>
            </m:r>
          </m:e>
          <m:sub>
            <m:r>
              <w:rPr>
                <w:rFonts w:ascii="Cambria Math" w:hAnsi="Cambria Math"/>
              </w:rPr>
              <m:t>if</m:t>
            </m:r>
          </m:sub>
        </m:sSub>
      </m:oMath>
      <w:r w:rsidRPr="00BC31E0">
        <w:t>)</w:t>
      </w:r>
      <w:r w:rsidRPr="00BC31E0">
        <w:t>における残留応力は，次式で計算する。</w:t>
      </w:r>
    </w:p>
    <w:tbl>
      <w:tblPr>
        <w:tblStyle w:val="afff2"/>
        <w:tblW w:w="5953" w:type="dxa"/>
        <w:tblInd w:w="3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3643"/>
      </w:tblGrid>
      <w:tr w:rsidR="004823AC" w:rsidRPr="00BC31E0" w14:paraId="6DE25F86" w14:textId="77777777" w:rsidTr="0025452F">
        <w:tc>
          <w:tcPr>
            <w:tcW w:w="0" w:type="auto"/>
            <w:tcMar>
              <w:left w:w="0" w:type="dxa"/>
              <w:right w:w="0" w:type="dxa"/>
            </w:tcMar>
            <w:vAlign w:val="center"/>
          </w:tcPr>
          <w:p w14:paraId="5C660A7A" w14:textId="77777777" w:rsidR="004823AC" w:rsidRPr="00BC31E0" w:rsidRDefault="00A51873" w:rsidP="00290661">
            <w:pPr>
              <w:tabs>
                <w:tab w:val="left" w:leader="middleDot" w:pos="8222"/>
              </w:tabs>
              <w:autoSpaceDE w:val="0"/>
              <w:autoSpaceDN w:val="0"/>
              <w:jc w:val="left"/>
              <w:rPr>
                <w:rFonts w:asciiTheme="minorHAnsi" w:eastAsia="ＭＳ ゴシック" w:hAnsiTheme="minorHAnsi"/>
                <w:bCs/>
              </w:rPr>
            </w:pPr>
            <m:oMathPara>
              <m:oMathParaPr>
                <m:jc m:val="left"/>
              </m:oMathParaPr>
              <m:oMath>
                <m:sSub>
                  <m:sSubPr>
                    <m:ctrlPr>
                      <w:rPr>
                        <w:rFonts w:ascii="Cambria Math" w:eastAsia="ＭＳ ゴシック" w:hAnsiTheme="minorHAnsi"/>
                        <w:bCs/>
                        <w:i/>
                      </w:rPr>
                    </m:ctrlPr>
                  </m:sSubPr>
                  <m:e>
                    <m:r>
                      <w:rPr>
                        <w:rFonts w:ascii="Cambria Math" w:eastAsia="ＭＳ ゴシック" w:hAnsi="Cambria Math"/>
                      </w:rPr>
                      <m:t>σ</m:t>
                    </m:r>
                  </m:e>
                  <m:sub>
                    <m:r>
                      <w:rPr>
                        <w:rFonts w:ascii="Cambria Math" w:eastAsia="ＭＳ ゴシック" w:hAnsi="Cambria Math"/>
                      </w:rPr>
                      <m:t>tr</m:t>
                    </m:r>
                  </m:sub>
                </m:sSub>
                <m:r>
                  <w:rPr>
                    <w:rFonts w:ascii="Cambria Math" w:eastAsia="ＭＳ ゴシック" w:hAnsiTheme="minorHAnsi"/>
                  </w:rPr>
                  <m:t>=</m:t>
                </m:r>
                <m:r>
                  <w:rPr>
                    <w:rFonts w:ascii="Cambria Math" w:eastAsia="ＭＳ ゴシック" w:hAnsiTheme="minorHAnsi"/>
                  </w:rPr>
                  <m:t>-</m:t>
                </m:r>
                <m:f>
                  <m:fPr>
                    <m:ctrlPr>
                      <w:rPr>
                        <w:rFonts w:ascii="Cambria Math" w:eastAsia="ＭＳ ゴシック" w:hAnsiTheme="minorHAnsi"/>
                        <w:bCs/>
                        <w:i/>
                      </w:rPr>
                    </m:ctrlPr>
                  </m:fPr>
                  <m:num>
                    <m:sSub>
                      <m:sSubPr>
                        <m:ctrlPr>
                          <w:rPr>
                            <w:rFonts w:ascii="Cambria Math" w:eastAsia="ＭＳ ゴシック" w:hAnsiTheme="minorHAnsi"/>
                            <w:bCs/>
                            <w:i/>
                          </w:rPr>
                        </m:ctrlPr>
                      </m:sSubPr>
                      <m:e>
                        <m:r>
                          <w:rPr>
                            <w:rFonts w:ascii="Cambria Math" w:eastAsia="ＭＳ ゴシック" w:hAnsi="Cambria Math"/>
                          </w:rPr>
                          <m:t>P</m:t>
                        </m:r>
                      </m:e>
                      <m:sub>
                        <m:r>
                          <w:rPr>
                            <w:rFonts w:ascii="Cambria Math" w:eastAsia="ＭＳ ゴシック" w:hAnsi="Cambria Math"/>
                          </w:rPr>
                          <m:t>if</m:t>
                        </m:r>
                      </m:sub>
                    </m:sSub>
                    <m:r>
                      <w:rPr>
                        <w:rFonts w:ascii="Cambria Math" w:eastAsia="ＭＳ ゴシック" w:hAnsiTheme="minorHAnsi"/>
                      </w:rPr>
                      <m:t xml:space="preserve"> </m:t>
                    </m:r>
                    <m:sSup>
                      <m:sSupPr>
                        <m:ctrlPr>
                          <w:rPr>
                            <w:rFonts w:ascii="Cambria Math" w:eastAsia="ＭＳ ゴシック" w:hAnsiTheme="minorHAnsi"/>
                            <w:bCs/>
                            <w:i/>
                          </w:rPr>
                        </m:ctrlPr>
                      </m:sSupPr>
                      <m:e>
                        <m:sSub>
                          <m:sSubPr>
                            <m:ctrlPr>
                              <w:rPr>
                                <w:rFonts w:ascii="Cambria Math" w:eastAsia="ＭＳ ゴシック" w:hAnsiTheme="minorHAnsi"/>
                                <w:bCs/>
                                <w:i/>
                              </w:rPr>
                            </m:ctrlPr>
                          </m:sSubPr>
                          <m:e>
                            <m:r>
                              <w:rPr>
                                <w:rFonts w:ascii="Cambria Math" w:eastAsia="ＭＳ ゴシック" w:hAnsi="Cambria Math"/>
                              </w:rPr>
                              <m:t>Y</m:t>
                            </m:r>
                          </m:e>
                          <m:sub>
                            <m:r>
                              <w:rPr>
                                <w:rFonts w:ascii="Cambria Math" w:eastAsia="ＭＳ ゴシック" w:hAnsi="Cambria Math"/>
                              </w:rPr>
                              <m:t>i</m:t>
                            </m:r>
                          </m:sub>
                        </m:sSub>
                      </m:e>
                      <m:sup>
                        <m:r>
                          <w:rPr>
                            <w:rFonts w:ascii="Cambria Math" w:eastAsia="ＭＳ ゴシック" w:hAnsiTheme="minorHAnsi"/>
                          </w:rPr>
                          <m:t>2</m:t>
                        </m:r>
                      </m:sup>
                    </m:sSup>
                  </m:num>
                  <m:den>
                    <m:sSup>
                      <m:sSupPr>
                        <m:ctrlPr>
                          <w:rPr>
                            <w:rFonts w:ascii="Cambria Math" w:eastAsia="ＭＳ ゴシック" w:hAnsiTheme="minorHAnsi"/>
                            <w:bCs/>
                            <w:i/>
                          </w:rPr>
                        </m:ctrlPr>
                      </m:sSupPr>
                      <m:e>
                        <m:sSub>
                          <m:sSubPr>
                            <m:ctrlPr>
                              <w:rPr>
                                <w:rFonts w:ascii="Cambria Math" w:eastAsia="ＭＳ ゴシック" w:hAnsiTheme="minorHAnsi"/>
                                <w:bCs/>
                                <w:i/>
                              </w:rPr>
                            </m:ctrlPr>
                          </m:sSubPr>
                          <m:e>
                            <m:r>
                              <w:rPr>
                                <w:rFonts w:ascii="Cambria Math" w:eastAsia="ＭＳ ゴシック" w:hAnsi="Cambria Math"/>
                              </w:rPr>
                              <m:t>Y</m:t>
                            </m:r>
                          </m:e>
                          <m:sub>
                            <m:r>
                              <w:rPr>
                                <w:rFonts w:ascii="Cambria Math" w:eastAsia="ＭＳ ゴシック" w:hAnsi="Cambria Math"/>
                              </w:rPr>
                              <m:t>i</m:t>
                            </m:r>
                          </m:sub>
                        </m:sSub>
                      </m:e>
                      <m:sup>
                        <m:r>
                          <w:rPr>
                            <w:rFonts w:ascii="Cambria Math" w:eastAsia="ＭＳ ゴシック" w:hAnsiTheme="minorHAnsi"/>
                          </w:rPr>
                          <m:t>2</m:t>
                        </m:r>
                      </m:sup>
                    </m:sSup>
                    <m:r>
                      <w:rPr>
                        <w:rFonts w:asciiTheme="minorHAnsi" w:eastAsia="ＭＳ ゴシック" w:hAnsiTheme="minorHAnsi"/>
                      </w:rPr>
                      <m:t>-</m:t>
                    </m:r>
                    <m:r>
                      <w:rPr>
                        <w:rFonts w:ascii="Cambria Math" w:eastAsia="ＭＳ ゴシック" w:hAnsiTheme="minorHAnsi"/>
                      </w:rPr>
                      <m:t>1</m:t>
                    </m:r>
                  </m:den>
                </m:f>
                <m:d>
                  <m:dPr>
                    <m:ctrlPr>
                      <w:rPr>
                        <w:rFonts w:ascii="Cambria Math" w:eastAsia="ＭＳ ゴシック" w:hAnsiTheme="minorHAnsi"/>
                        <w:bCs/>
                        <w:i/>
                      </w:rPr>
                    </m:ctrlPr>
                  </m:dPr>
                  <m:e>
                    <m:r>
                      <w:rPr>
                        <w:rFonts w:ascii="Cambria Math" w:eastAsia="ＭＳ ゴシック" w:hAnsiTheme="minorHAnsi"/>
                      </w:rPr>
                      <m:t>1+</m:t>
                    </m:r>
                    <m:f>
                      <m:fPr>
                        <m:ctrlPr>
                          <w:rPr>
                            <w:rFonts w:ascii="Cambria Math" w:eastAsia="ＭＳ ゴシック" w:hAnsiTheme="minorHAnsi"/>
                            <w:bCs/>
                            <w:i/>
                          </w:rPr>
                        </m:ctrlPr>
                      </m:fPr>
                      <m:num>
                        <m:sSup>
                          <m:sSupPr>
                            <m:ctrlPr>
                              <w:rPr>
                                <w:rFonts w:ascii="Cambria Math" w:eastAsia="ＭＳ ゴシック" w:hAnsiTheme="minorHAnsi"/>
                                <w:bCs/>
                                <w:i/>
                              </w:rPr>
                            </m:ctrlPr>
                          </m:sSupPr>
                          <m:e>
                            <m:sSub>
                              <m:sSubPr>
                                <m:ctrlPr>
                                  <w:rPr>
                                    <w:rFonts w:ascii="Cambria Math" w:eastAsia="ＭＳ ゴシック" w:hAnsiTheme="minorHAnsi"/>
                                    <w:bCs/>
                                    <w:i/>
                                  </w:rPr>
                                </m:ctrlPr>
                              </m:sSubPr>
                              <m:e>
                                <m:r>
                                  <w:rPr>
                                    <w:rFonts w:ascii="Cambria Math" w:eastAsia="ＭＳ ゴシック" w:hAnsi="Cambria Math"/>
                                  </w:rPr>
                                  <m:t>D</m:t>
                                </m:r>
                              </m:e>
                              <m:sub>
                                <m:r>
                                  <w:rPr>
                                    <w:rFonts w:ascii="Cambria Math" w:eastAsia="ＭＳ ゴシック" w:hAnsi="Cambria Math"/>
                                  </w:rPr>
                                  <m:t>I</m:t>
                                </m:r>
                              </m:sub>
                            </m:sSub>
                          </m:e>
                          <m:sup>
                            <m:r>
                              <w:rPr>
                                <w:rFonts w:ascii="Cambria Math" w:eastAsia="ＭＳ ゴシック" w:hAnsiTheme="minorHAnsi"/>
                              </w:rPr>
                              <m:t>2</m:t>
                            </m:r>
                          </m:sup>
                        </m:sSup>
                      </m:num>
                      <m:den>
                        <m:sSup>
                          <m:sSupPr>
                            <m:ctrlPr>
                              <w:rPr>
                                <w:rFonts w:ascii="Cambria Math" w:eastAsia="ＭＳ ゴシック" w:hAnsiTheme="minorHAnsi"/>
                                <w:bCs/>
                                <w:i/>
                              </w:rPr>
                            </m:ctrlPr>
                          </m:sSupPr>
                          <m:e>
                            <m:r>
                              <w:rPr>
                                <w:rFonts w:ascii="Cambria Math" w:eastAsia="ＭＳ ゴシック" w:hAnsi="Cambria Math"/>
                              </w:rPr>
                              <m:t>D</m:t>
                            </m:r>
                          </m:e>
                          <m:sup>
                            <m:r>
                              <w:rPr>
                                <w:rFonts w:ascii="Cambria Math" w:eastAsia="ＭＳ ゴシック" w:hAnsiTheme="minorHAnsi"/>
                              </w:rPr>
                              <m:t>2</m:t>
                            </m:r>
                          </m:sup>
                        </m:sSup>
                      </m:den>
                    </m:f>
                  </m:e>
                </m:d>
              </m:oMath>
            </m:oMathPara>
          </w:p>
        </w:tc>
        <w:tc>
          <w:tcPr>
            <w:tcW w:w="3643" w:type="dxa"/>
            <w:tcMar>
              <w:left w:w="0" w:type="dxa"/>
              <w:right w:w="0" w:type="dxa"/>
            </w:tcMar>
            <w:vAlign w:val="center"/>
          </w:tcPr>
          <w:p w14:paraId="51ACD133" w14:textId="77777777" w:rsidR="004823AC" w:rsidRPr="00BC31E0" w:rsidRDefault="004823AC" w:rsidP="0025452F">
            <w:pPr>
              <w:tabs>
                <w:tab w:val="left" w:leader="middleDot" w:pos="2793"/>
              </w:tabs>
              <w:autoSpaceDE w:val="0"/>
              <w:autoSpaceDN w:val="0"/>
              <w:jc w:val="left"/>
              <w:rPr>
                <w:rFonts w:eastAsia="ＭＳ ゴシック"/>
                <w:bCs/>
              </w:rPr>
            </w:pPr>
            <w:r w:rsidRPr="00BC31E0">
              <w:rPr>
                <w:rFonts w:eastAsia="ＭＳ ゴシック"/>
                <w:bCs/>
              </w:rPr>
              <w:tab/>
              <w:t>(6.8.</w:t>
            </w:r>
            <w:r w:rsidRPr="00BC31E0">
              <w:rPr>
                <w:rFonts w:eastAsia="ＭＳ ゴシック" w:hint="eastAsia"/>
                <w:bCs/>
              </w:rPr>
              <w:t>3</w:t>
            </w:r>
            <w:r w:rsidRPr="00BC31E0">
              <w:rPr>
                <w:rFonts w:eastAsia="ＭＳ ゴシック"/>
                <w:bCs/>
              </w:rPr>
              <w:t>)</w:t>
            </w:r>
          </w:p>
        </w:tc>
      </w:tr>
      <w:tr w:rsidR="004823AC" w:rsidRPr="00BC31E0" w14:paraId="3CDB4466" w14:textId="77777777" w:rsidTr="0025452F">
        <w:tc>
          <w:tcPr>
            <w:tcW w:w="0" w:type="auto"/>
            <w:tcMar>
              <w:left w:w="0" w:type="dxa"/>
              <w:right w:w="0" w:type="dxa"/>
            </w:tcMar>
            <w:vAlign w:val="center"/>
          </w:tcPr>
          <w:p w14:paraId="20779B42" w14:textId="77777777" w:rsidR="004823AC" w:rsidRPr="00BC31E0" w:rsidRDefault="00A51873" w:rsidP="00290661">
            <w:pPr>
              <w:tabs>
                <w:tab w:val="left" w:leader="middleDot" w:pos="8222"/>
              </w:tabs>
              <w:autoSpaceDE w:val="0"/>
              <w:autoSpaceDN w:val="0"/>
              <w:spacing w:before="240"/>
              <w:jc w:val="left"/>
              <w:rPr>
                <w:rFonts w:eastAsia="ＭＳ ゴシック"/>
                <w:bCs/>
              </w:rPr>
            </w:pPr>
            <m:oMathPara>
              <m:oMathParaPr>
                <m:jc m:val="left"/>
              </m:oMathParaPr>
              <m:oMath>
                <m:sSub>
                  <m:sSubPr>
                    <m:ctrlPr>
                      <w:rPr>
                        <w:rFonts w:ascii="Cambria Math" w:eastAsia="ＭＳ ゴシック" w:hAnsiTheme="minorHAnsi"/>
                        <w:bCs/>
                        <w:i/>
                      </w:rPr>
                    </m:ctrlPr>
                  </m:sSubPr>
                  <m:e>
                    <m:r>
                      <w:rPr>
                        <w:rFonts w:ascii="Cambria Math" w:eastAsia="ＭＳ ゴシック" w:hAnsi="Cambria Math"/>
                      </w:rPr>
                      <m:t>σ</m:t>
                    </m:r>
                  </m:e>
                  <m:sub>
                    <m:r>
                      <w:rPr>
                        <w:rFonts w:ascii="Cambria Math" w:eastAsia="ＭＳ ゴシック" w:hAnsi="Cambria Math"/>
                      </w:rPr>
                      <m:t>rr</m:t>
                    </m:r>
                  </m:sub>
                </m:sSub>
                <m:r>
                  <w:rPr>
                    <w:rFonts w:ascii="Cambria Math" w:eastAsia="ＭＳ ゴシック" w:hAnsiTheme="minorHAnsi"/>
                  </w:rPr>
                  <m:t>=</m:t>
                </m:r>
                <m:r>
                  <w:rPr>
                    <w:rFonts w:ascii="Cambria Math" w:eastAsia="ＭＳ ゴシック" w:hAnsiTheme="minorHAnsi"/>
                  </w:rPr>
                  <m:t>-</m:t>
                </m:r>
                <m:f>
                  <m:fPr>
                    <m:ctrlPr>
                      <w:rPr>
                        <w:rFonts w:ascii="Cambria Math" w:eastAsia="ＭＳ ゴシック" w:hAnsiTheme="minorHAnsi"/>
                        <w:bCs/>
                        <w:i/>
                      </w:rPr>
                    </m:ctrlPr>
                  </m:fPr>
                  <m:num>
                    <m:sSub>
                      <m:sSubPr>
                        <m:ctrlPr>
                          <w:rPr>
                            <w:rFonts w:ascii="Cambria Math" w:eastAsia="ＭＳ ゴシック" w:hAnsiTheme="minorHAnsi"/>
                            <w:bCs/>
                            <w:i/>
                          </w:rPr>
                        </m:ctrlPr>
                      </m:sSubPr>
                      <m:e>
                        <m:r>
                          <w:rPr>
                            <w:rFonts w:ascii="Cambria Math" w:eastAsia="ＭＳ ゴシック" w:hAnsi="Cambria Math"/>
                          </w:rPr>
                          <m:t>P</m:t>
                        </m:r>
                      </m:e>
                      <m:sub>
                        <m:r>
                          <w:rPr>
                            <w:rFonts w:ascii="Cambria Math" w:eastAsia="ＭＳ ゴシック" w:hAnsi="Cambria Math"/>
                          </w:rPr>
                          <m:t>if</m:t>
                        </m:r>
                      </m:sub>
                    </m:sSub>
                    <m:r>
                      <w:rPr>
                        <w:rFonts w:ascii="Cambria Math" w:eastAsia="ＭＳ ゴシック" w:hAnsiTheme="minorHAnsi"/>
                      </w:rPr>
                      <m:t xml:space="preserve"> </m:t>
                    </m:r>
                    <m:sSup>
                      <m:sSupPr>
                        <m:ctrlPr>
                          <w:rPr>
                            <w:rFonts w:ascii="Cambria Math" w:eastAsia="ＭＳ ゴシック" w:hAnsiTheme="minorHAnsi"/>
                            <w:bCs/>
                            <w:i/>
                          </w:rPr>
                        </m:ctrlPr>
                      </m:sSupPr>
                      <m:e>
                        <m:sSub>
                          <m:sSubPr>
                            <m:ctrlPr>
                              <w:rPr>
                                <w:rFonts w:ascii="Cambria Math" w:eastAsia="ＭＳ ゴシック" w:hAnsiTheme="minorHAnsi"/>
                                <w:bCs/>
                                <w:i/>
                              </w:rPr>
                            </m:ctrlPr>
                          </m:sSubPr>
                          <m:e>
                            <m:r>
                              <w:rPr>
                                <w:rFonts w:ascii="Cambria Math" w:eastAsia="ＭＳ ゴシック" w:hAnsi="Cambria Math"/>
                              </w:rPr>
                              <m:t>Y</m:t>
                            </m:r>
                          </m:e>
                          <m:sub>
                            <m:r>
                              <w:rPr>
                                <w:rFonts w:ascii="Cambria Math" w:eastAsia="ＭＳ ゴシック" w:hAnsi="Cambria Math"/>
                              </w:rPr>
                              <m:t>i</m:t>
                            </m:r>
                          </m:sub>
                        </m:sSub>
                      </m:e>
                      <m:sup>
                        <m:r>
                          <w:rPr>
                            <w:rFonts w:ascii="Cambria Math" w:eastAsia="ＭＳ ゴシック" w:hAnsiTheme="minorHAnsi"/>
                          </w:rPr>
                          <m:t>2</m:t>
                        </m:r>
                      </m:sup>
                    </m:sSup>
                  </m:num>
                  <m:den>
                    <m:sSup>
                      <m:sSupPr>
                        <m:ctrlPr>
                          <w:rPr>
                            <w:rFonts w:ascii="Cambria Math" w:eastAsia="ＭＳ ゴシック" w:hAnsiTheme="minorHAnsi"/>
                            <w:bCs/>
                            <w:i/>
                          </w:rPr>
                        </m:ctrlPr>
                      </m:sSupPr>
                      <m:e>
                        <m:sSub>
                          <m:sSubPr>
                            <m:ctrlPr>
                              <w:rPr>
                                <w:rFonts w:ascii="Cambria Math" w:eastAsia="ＭＳ ゴシック" w:hAnsiTheme="minorHAnsi"/>
                                <w:bCs/>
                                <w:i/>
                              </w:rPr>
                            </m:ctrlPr>
                          </m:sSubPr>
                          <m:e>
                            <m:r>
                              <w:rPr>
                                <w:rFonts w:ascii="Cambria Math" w:eastAsia="ＭＳ ゴシック" w:hAnsi="Cambria Math"/>
                              </w:rPr>
                              <m:t>Y</m:t>
                            </m:r>
                          </m:e>
                          <m:sub>
                            <m:r>
                              <w:rPr>
                                <w:rFonts w:ascii="Cambria Math" w:eastAsia="ＭＳ ゴシック" w:hAnsi="Cambria Math"/>
                              </w:rPr>
                              <m:t>i</m:t>
                            </m:r>
                          </m:sub>
                        </m:sSub>
                      </m:e>
                      <m:sup>
                        <m:r>
                          <w:rPr>
                            <w:rFonts w:ascii="Cambria Math" w:eastAsia="ＭＳ ゴシック" w:hAnsiTheme="minorHAnsi"/>
                          </w:rPr>
                          <m:t>2</m:t>
                        </m:r>
                      </m:sup>
                    </m:sSup>
                    <m:r>
                      <w:rPr>
                        <w:rFonts w:asciiTheme="minorHAnsi" w:eastAsia="ＭＳ ゴシック" w:hAnsiTheme="minorHAnsi"/>
                      </w:rPr>
                      <m:t>-</m:t>
                    </m:r>
                    <m:r>
                      <w:rPr>
                        <w:rFonts w:ascii="Cambria Math" w:eastAsia="ＭＳ ゴシック" w:hAnsiTheme="minorHAnsi"/>
                      </w:rPr>
                      <m:t>1</m:t>
                    </m:r>
                  </m:den>
                </m:f>
                <m:d>
                  <m:dPr>
                    <m:ctrlPr>
                      <w:rPr>
                        <w:rFonts w:ascii="Cambria Math" w:eastAsia="ＭＳ ゴシック" w:hAnsiTheme="minorHAnsi"/>
                        <w:bCs/>
                        <w:i/>
                      </w:rPr>
                    </m:ctrlPr>
                  </m:dPr>
                  <m:e>
                    <m:r>
                      <w:rPr>
                        <w:rFonts w:ascii="Cambria Math" w:eastAsia="ＭＳ ゴシック" w:hAnsiTheme="minorHAnsi"/>
                      </w:rPr>
                      <m:t>1</m:t>
                    </m:r>
                    <m:r>
                      <w:rPr>
                        <w:rFonts w:ascii="Cambria Math" w:eastAsia="ＭＳ ゴシック" w:hAnsiTheme="minorHAnsi"/>
                      </w:rPr>
                      <m:t>-</m:t>
                    </m:r>
                    <m:f>
                      <m:fPr>
                        <m:ctrlPr>
                          <w:rPr>
                            <w:rFonts w:ascii="Cambria Math" w:eastAsia="ＭＳ ゴシック" w:hAnsiTheme="minorHAnsi"/>
                            <w:bCs/>
                            <w:i/>
                          </w:rPr>
                        </m:ctrlPr>
                      </m:fPr>
                      <m:num>
                        <m:sSup>
                          <m:sSupPr>
                            <m:ctrlPr>
                              <w:rPr>
                                <w:rFonts w:ascii="Cambria Math" w:eastAsia="ＭＳ ゴシック" w:hAnsiTheme="minorHAnsi"/>
                                <w:bCs/>
                                <w:i/>
                              </w:rPr>
                            </m:ctrlPr>
                          </m:sSupPr>
                          <m:e>
                            <m:sSub>
                              <m:sSubPr>
                                <m:ctrlPr>
                                  <w:rPr>
                                    <w:rFonts w:ascii="Cambria Math" w:eastAsia="ＭＳ ゴシック" w:hAnsiTheme="minorHAnsi"/>
                                    <w:bCs/>
                                    <w:i/>
                                  </w:rPr>
                                </m:ctrlPr>
                              </m:sSubPr>
                              <m:e>
                                <m:r>
                                  <w:rPr>
                                    <w:rFonts w:ascii="Cambria Math" w:eastAsia="ＭＳ ゴシック" w:hAnsi="Cambria Math"/>
                                  </w:rPr>
                                  <m:t>D</m:t>
                                </m:r>
                              </m:e>
                              <m:sub>
                                <m:r>
                                  <w:rPr>
                                    <w:rFonts w:ascii="Cambria Math" w:eastAsia="ＭＳ ゴシック" w:hAnsi="Cambria Math"/>
                                  </w:rPr>
                                  <m:t>I</m:t>
                                </m:r>
                              </m:sub>
                            </m:sSub>
                          </m:e>
                          <m:sup>
                            <m:r>
                              <w:rPr>
                                <w:rFonts w:ascii="Cambria Math" w:eastAsia="ＭＳ ゴシック" w:hAnsiTheme="minorHAnsi"/>
                              </w:rPr>
                              <m:t>2</m:t>
                            </m:r>
                          </m:sup>
                        </m:sSup>
                      </m:num>
                      <m:den>
                        <m:sSup>
                          <m:sSupPr>
                            <m:ctrlPr>
                              <w:rPr>
                                <w:rFonts w:ascii="Cambria Math" w:eastAsia="ＭＳ ゴシック" w:hAnsiTheme="minorHAnsi"/>
                                <w:bCs/>
                                <w:i/>
                              </w:rPr>
                            </m:ctrlPr>
                          </m:sSupPr>
                          <m:e>
                            <m:r>
                              <w:rPr>
                                <w:rFonts w:ascii="Cambria Math" w:eastAsia="ＭＳ ゴシック" w:hAnsi="Cambria Math"/>
                              </w:rPr>
                              <m:t>D</m:t>
                            </m:r>
                          </m:e>
                          <m:sup>
                            <m:r>
                              <w:rPr>
                                <w:rFonts w:ascii="Cambria Math" w:eastAsia="ＭＳ ゴシック" w:hAnsiTheme="minorHAnsi"/>
                              </w:rPr>
                              <m:t>2</m:t>
                            </m:r>
                          </m:sup>
                        </m:sSup>
                      </m:den>
                    </m:f>
                  </m:e>
                </m:d>
              </m:oMath>
            </m:oMathPara>
          </w:p>
        </w:tc>
        <w:tc>
          <w:tcPr>
            <w:tcW w:w="3643" w:type="dxa"/>
            <w:tcMar>
              <w:left w:w="0" w:type="dxa"/>
              <w:right w:w="0" w:type="dxa"/>
            </w:tcMar>
            <w:vAlign w:val="center"/>
          </w:tcPr>
          <w:p w14:paraId="278BE4F5" w14:textId="77777777" w:rsidR="004823AC" w:rsidRPr="00BC31E0" w:rsidRDefault="004823AC" w:rsidP="0025452F">
            <w:pPr>
              <w:tabs>
                <w:tab w:val="left" w:leader="middleDot" w:pos="2793"/>
              </w:tabs>
              <w:autoSpaceDE w:val="0"/>
              <w:autoSpaceDN w:val="0"/>
              <w:spacing w:before="240"/>
              <w:jc w:val="left"/>
              <w:rPr>
                <w:rFonts w:eastAsia="ＭＳ ゴシック"/>
                <w:bCs/>
              </w:rPr>
            </w:pPr>
            <w:r w:rsidRPr="00BC31E0">
              <w:rPr>
                <w:rFonts w:eastAsia="ＭＳ ゴシック" w:hint="eastAsia"/>
                <w:bCs/>
              </w:rPr>
              <w:tab/>
              <w:t>(6.8.4)</w:t>
            </w:r>
          </w:p>
        </w:tc>
      </w:tr>
    </w:tbl>
    <w:p w14:paraId="42DBDC24" w14:textId="77777777" w:rsidR="00485A11" w:rsidRPr="00BC31E0" w:rsidRDefault="00485A11" w:rsidP="001708A7">
      <w:pPr>
        <w:autoSpaceDE w:val="0"/>
        <w:autoSpaceDN w:val="0"/>
        <w:spacing w:before="120" w:after="120"/>
        <w:ind w:left="737" w:firstLineChars="100" w:firstLine="210"/>
        <w:rPr>
          <w:rFonts w:hAnsi="ＭＳ 明朝"/>
        </w:rPr>
      </w:pPr>
      <w:r w:rsidRPr="00BC31E0">
        <w:rPr>
          <w:rFonts w:hAnsi="ＭＳ 明朝"/>
        </w:rPr>
        <w:t>外層</w:t>
      </w:r>
      <w:r w:rsidRPr="00BC31E0">
        <w:t>(</w:t>
      </w:r>
      <m:oMath>
        <m:sSub>
          <m:sSubPr>
            <m:ctrlPr>
              <w:rPr>
                <w:rFonts w:ascii="Cambria Math" w:hAnsi="Cambria Math"/>
                <w:i/>
              </w:rPr>
            </m:ctrlPr>
          </m:sSubPr>
          <m:e>
            <m:r>
              <w:rPr>
                <w:rFonts w:ascii="Cambria Math" w:hAnsi="Cambria Math"/>
              </w:rPr>
              <m:t>D</m:t>
            </m:r>
          </m:e>
          <m:sub>
            <m:r>
              <w:rPr>
                <w:rFonts w:ascii="Cambria Math" w:hAnsi="Cambria Math"/>
              </w:rPr>
              <m:t>if</m:t>
            </m:r>
          </m:sub>
        </m:sSub>
        <m:r>
          <m:rPr>
            <m:sty m:val="p"/>
          </m:rPr>
          <w:rPr>
            <w:rFonts w:ascii="Cambria Math" w:hAnsi="Cambria Math" w:hint="eastAsia"/>
          </w:rPr>
          <m:t>≦</m:t>
        </m:r>
        <m:r>
          <w:rPr>
            <w:rFonts w:ascii="Cambria Math" w:hAnsi="Cambria Math"/>
          </w:rPr>
          <m:t>D</m:t>
        </m:r>
        <m:r>
          <m:rPr>
            <m:sty m:val="p"/>
          </m:rPr>
          <w:rPr>
            <w:rFonts w:ascii="Cambria Math" w:hAnsi="Cambria Math" w:hint="eastAsia"/>
          </w:rPr>
          <m:t>≦</m:t>
        </m:r>
        <m:sSub>
          <m:sSubPr>
            <m:ctrlPr>
              <w:rPr>
                <w:rFonts w:ascii="Cambria Math" w:hAnsi="Cambria Math"/>
                <w:i/>
              </w:rPr>
            </m:ctrlPr>
          </m:sSubPr>
          <m:e>
            <m:r>
              <w:rPr>
                <w:rFonts w:ascii="Cambria Math" w:hAnsi="Cambria Math"/>
              </w:rPr>
              <m:t>D</m:t>
            </m:r>
          </m:e>
          <m:sub>
            <m:r>
              <w:rPr>
                <w:rFonts w:ascii="Cambria Math" w:hAnsi="Cambria Math"/>
              </w:rPr>
              <m:t>O</m:t>
            </m:r>
          </m:sub>
        </m:sSub>
      </m:oMath>
      <w:r w:rsidRPr="00BC31E0">
        <w:t>)</w:t>
      </w:r>
      <w:r w:rsidRPr="00BC31E0">
        <w:rPr>
          <w:rFonts w:hAnsi="ＭＳ 明朝"/>
        </w:rPr>
        <w:t>における残留応力は，次式で計算する。</w:t>
      </w:r>
    </w:p>
    <w:tbl>
      <w:tblPr>
        <w:tblStyle w:val="afff2"/>
        <w:tblW w:w="5953" w:type="dxa"/>
        <w:tblInd w:w="3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7"/>
        <w:gridCol w:w="3756"/>
      </w:tblGrid>
      <w:tr w:rsidR="004823AC" w:rsidRPr="00BC31E0" w14:paraId="25F84445" w14:textId="77777777" w:rsidTr="0025452F">
        <w:tc>
          <w:tcPr>
            <w:tcW w:w="0" w:type="auto"/>
            <w:tcMar>
              <w:left w:w="0" w:type="dxa"/>
              <w:right w:w="0" w:type="dxa"/>
            </w:tcMar>
            <w:vAlign w:val="center"/>
          </w:tcPr>
          <w:p w14:paraId="079917D0" w14:textId="77777777" w:rsidR="004823AC" w:rsidRPr="00BC31E0" w:rsidRDefault="00A51873" w:rsidP="00290661">
            <w:pPr>
              <w:tabs>
                <w:tab w:val="left" w:leader="middleDot" w:pos="8222"/>
              </w:tabs>
              <w:autoSpaceDE w:val="0"/>
              <w:autoSpaceDN w:val="0"/>
              <w:jc w:val="left"/>
              <w:rPr>
                <w:rFonts w:asciiTheme="minorHAnsi" w:eastAsia="ＭＳ ゴシック" w:hAnsiTheme="minorHAnsi"/>
                <w:bCs/>
              </w:rPr>
            </w:pPr>
            <m:oMathPara>
              <m:oMathParaPr>
                <m:jc m:val="left"/>
              </m:oMathParaPr>
              <m:oMath>
                <m:sSub>
                  <m:sSubPr>
                    <m:ctrlPr>
                      <w:rPr>
                        <w:rFonts w:ascii="Cambria Math" w:eastAsia="ＭＳ ゴシック" w:hAnsiTheme="minorHAnsi"/>
                        <w:bCs/>
                        <w:i/>
                      </w:rPr>
                    </m:ctrlPr>
                  </m:sSubPr>
                  <m:e>
                    <m:r>
                      <w:rPr>
                        <w:rFonts w:ascii="Cambria Math" w:eastAsia="ＭＳ ゴシック" w:hAnsi="Cambria Math"/>
                      </w:rPr>
                      <m:t>σ</m:t>
                    </m:r>
                  </m:e>
                  <m:sub>
                    <m:r>
                      <w:rPr>
                        <w:rFonts w:ascii="Cambria Math" w:eastAsia="ＭＳ ゴシック" w:hAnsi="Cambria Math"/>
                      </w:rPr>
                      <m:t>tr</m:t>
                    </m:r>
                  </m:sub>
                </m:sSub>
                <m:r>
                  <w:rPr>
                    <w:rFonts w:ascii="Cambria Math" w:eastAsia="ＭＳ ゴシック" w:hAnsiTheme="minorHAnsi"/>
                  </w:rPr>
                  <m:t>=</m:t>
                </m:r>
                <m:f>
                  <m:fPr>
                    <m:ctrlPr>
                      <w:rPr>
                        <w:rFonts w:ascii="Cambria Math" w:eastAsia="ＭＳ ゴシック" w:hAnsiTheme="minorHAnsi"/>
                        <w:bCs/>
                        <w:i/>
                      </w:rPr>
                    </m:ctrlPr>
                  </m:fPr>
                  <m:num>
                    <m:sSub>
                      <m:sSubPr>
                        <m:ctrlPr>
                          <w:rPr>
                            <w:rFonts w:ascii="Cambria Math" w:eastAsia="ＭＳ ゴシック" w:hAnsiTheme="minorHAnsi"/>
                            <w:bCs/>
                            <w:i/>
                          </w:rPr>
                        </m:ctrlPr>
                      </m:sSubPr>
                      <m:e>
                        <m:r>
                          <w:rPr>
                            <w:rFonts w:ascii="Cambria Math" w:eastAsia="ＭＳ ゴシック" w:hAnsi="Cambria Math"/>
                          </w:rPr>
                          <m:t>P</m:t>
                        </m:r>
                      </m:e>
                      <m:sub>
                        <m:r>
                          <w:rPr>
                            <w:rFonts w:ascii="Cambria Math" w:eastAsia="ＭＳ ゴシック" w:hAnsi="Cambria Math"/>
                          </w:rPr>
                          <m:t>if</m:t>
                        </m:r>
                      </m:sub>
                    </m:sSub>
                  </m:num>
                  <m:den>
                    <m:sSup>
                      <m:sSupPr>
                        <m:ctrlPr>
                          <w:rPr>
                            <w:rFonts w:ascii="Cambria Math" w:eastAsia="ＭＳ ゴシック" w:hAnsiTheme="minorHAnsi"/>
                            <w:bCs/>
                            <w:i/>
                          </w:rPr>
                        </m:ctrlPr>
                      </m:sSupPr>
                      <m:e>
                        <m:sSub>
                          <m:sSubPr>
                            <m:ctrlPr>
                              <w:rPr>
                                <w:rFonts w:ascii="Cambria Math" w:eastAsia="ＭＳ ゴシック" w:hAnsiTheme="minorHAnsi"/>
                                <w:bCs/>
                                <w:i/>
                              </w:rPr>
                            </m:ctrlPr>
                          </m:sSubPr>
                          <m:e>
                            <m:r>
                              <w:rPr>
                                <w:rFonts w:ascii="Cambria Math" w:eastAsia="ＭＳ ゴシック" w:hAnsi="Cambria Math"/>
                              </w:rPr>
                              <m:t>Y</m:t>
                            </m:r>
                          </m:e>
                          <m:sub>
                            <m:r>
                              <w:rPr>
                                <w:rFonts w:ascii="Cambria Math" w:eastAsia="ＭＳ ゴシック" w:hAnsi="Cambria Math"/>
                              </w:rPr>
                              <m:t>o</m:t>
                            </m:r>
                          </m:sub>
                        </m:sSub>
                      </m:e>
                      <m:sup>
                        <m:r>
                          <w:rPr>
                            <w:rFonts w:ascii="Cambria Math" w:eastAsia="ＭＳ ゴシック" w:hAnsiTheme="minorHAnsi"/>
                          </w:rPr>
                          <m:t>2</m:t>
                        </m:r>
                      </m:sup>
                    </m:sSup>
                    <m:r>
                      <w:rPr>
                        <w:rFonts w:ascii="Cambria Math" w:eastAsia="ＭＳ ゴシック" w:hAnsi="Cambria Math"/>
                      </w:rPr>
                      <m:t>-</m:t>
                    </m:r>
                    <m:r>
                      <w:rPr>
                        <w:rFonts w:ascii="Cambria Math" w:eastAsia="ＭＳ ゴシック" w:hAnsiTheme="minorHAnsi"/>
                      </w:rPr>
                      <m:t>1</m:t>
                    </m:r>
                  </m:den>
                </m:f>
                <m:d>
                  <m:dPr>
                    <m:ctrlPr>
                      <w:rPr>
                        <w:rFonts w:ascii="Cambria Math" w:eastAsia="ＭＳ ゴシック" w:hAnsiTheme="minorHAnsi"/>
                        <w:bCs/>
                        <w:i/>
                      </w:rPr>
                    </m:ctrlPr>
                  </m:dPr>
                  <m:e>
                    <m:r>
                      <w:rPr>
                        <w:rFonts w:ascii="Cambria Math" w:eastAsia="ＭＳ ゴシック" w:hAnsiTheme="minorHAnsi"/>
                      </w:rPr>
                      <m:t>1+</m:t>
                    </m:r>
                    <m:f>
                      <m:fPr>
                        <m:ctrlPr>
                          <w:rPr>
                            <w:rFonts w:ascii="Cambria Math" w:eastAsia="ＭＳ ゴシック" w:hAnsiTheme="minorHAnsi"/>
                            <w:bCs/>
                            <w:i/>
                          </w:rPr>
                        </m:ctrlPr>
                      </m:fPr>
                      <m:num>
                        <m:sSup>
                          <m:sSupPr>
                            <m:ctrlPr>
                              <w:rPr>
                                <w:rFonts w:ascii="Cambria Math" w:eastAsia="ＭＳ ゴシック" w:hAnsiTheme="minorHAnsi"/>
                                <w:bCs/>
                                <w:i/>
                              </w:rPr>
                            </m:ctrlPr>
                          </m:sSupPr>
                          <m:e>
                            <m:sSub>
                              <m:sSubPr>
                                <m:ctrlPr>
                                  <w:rPr>
                                    <w:rFonts w:ascii="Cambria Math" w:eastAsia="ＭＳ ゴシック" w:hAnsiTheme="minorHAnsi"/>
                                    <w:bCs/>
                                    <w:i/>
                                  </w:rPr>
                                </m:ctrlPr>
                              </m:sSubPr>
                              <m:e>
                                <m:r>
                                  <w:rPr>
                                    <w:rFonts w:ascii="Cambria Math" w:eastAsia="ＭＳ ゴシック" w:hAnsi="Cambria Math"/>
                                  </w:rPr>
                                  <m:t>D</m:t>
                                </m:r>
                              </m:e>
                              <m:sub>
                                <m:r>
                                  <w:rPr>
                                    <w:rFonts w:ascii="Cambria Math" w:eastAsia="ＭＳ ゴシック" w:hAnsi="Cambria Math"/>
                                  </w:rPr>
                                  <m:t>O</m:t>
                                </m:r>
                              </m:sub>
                            </m:sSub>
                          </m:e>
                          <m:sup>
                            <m:r>
                              <w:rPr>
                                <w:rFonts w:ascii="Cambria Math" w:eastAsia="ＭＳ ゴシック" w:hAnsiTheme="minorHAnsi"/>
                              </w:rPr>
                              <m:t>2</m:t>
                            </m:r>
                          </m:sup>
                        </m:sSup>
                      </m:num>
                      <m:den>
                        <m:sSup>
                          <m:sSupPr>
                            <m:ctrlPr>
                              <w:rPr>
                                <w:rFonts w:ascii="Cambria Math" w:eastAsia="ＭＳ ゴシック" w:hAnsiTheme="minorHAnsi"/>
                                <w:bCs/>
                                <w:i/>
                              </w:rPr>
                            </m:ctrlPr>
                          </m:sSupPr>
                          <m:e>
                            <m:r>
                              <w:rPr>
                                <w:rFonts w:ascii="Cambria Math" w:eastAsia="ＭＳ ゴシック" w:hAnsi="Cambria Math"/>
                              </w:rPr>
                              <m:t>D</m:t>
                            </m:r>
                          </m:e>
                          <m:sup>
                            <m:r>
                              <w:rPr>
                                <w:rFonts w:ascii="Cambria Math" w:eastAsia="ＭＳ ゴシック" w:hAnsiTheme="minorHAnsi"/>
                              </w:rPr>
                              <m:t>2</m:t>
                            </m:r>
                          </m:sup>
                        </m:sSup>
                      </m:den>
                    </m:f>
                  </m:e>
                </m:d>
              </m:oMath>
            </m:oMathPara>
          </w:p>
        </w:tc>
        <w:tc>
          <w:tcPr>
            <w:tcW w:w="3756" w:type="dxa"/>
            <w:tcMar>
              <w:left w:w="0" w:type="dxa"/>
              <w:right w:w="0" w:type="dxa"/>
            </w:tcMar>
            <w:vAlign w:val="center"/>
          </w:tcPr>
          <w:p w14:paraId="17334C06" w14:textId="77777777" w:rsidR="004823AC" w:rsidRPr="00BC31E0" w:rsidRDefault="004823AC" w:rsidP="0025452F">
            <w:pPr>
              <w:tabs>
                <w:tab w:val="left" w:leader="middleDot" w:pos="2906"/>
              </w:tabs>
              <w:autoSpaceDE w:val="0"/>
              <w:autoSpaceDN w:val="0"/>
              <w:jc w:val="left"/>
              <w:rPr>
                <w:rFonts w:eastAsia="ＭＳ ゴシック"/>
                <w:bCs/>
              </w:rPr>
            </w:pPr>
            <w:r w:rsidRPr="00BC31E0">
              <w:rPr>
                <w:rFonts w:eastAsia="ＭＳ ゴシック"/>
                <w:bCs/>
              </w:rPr>
              <w:tab/>
              <w:t>(6.8.</w:t>
            </w:r>
            <w:r w:rsidRPr="00BC31E0">
              <w:rPr>
                <w:rFonts w:eastAsia="ＭＳ ゴシック" w:hint="eastAsia"/>
                <w:bCs/>
              </w:rPr>
              <w:t>5</w:t>
            </w:r>
            <w:r w:rsidRPr="00BC31E0">
              <w:rPr>
                <w:rFonts w:eastAsia="ＭＳ ゴシック"/>
                <w:bCs/>
              </w:rPr>
              <w:t>)</w:t>
            </w:r>
          </w:p>
        </w:tc>
      </w:tr>
      <w:tr w:rsidR="004823AC" w:rsidRPr="00BC31E0" w14:paraId="1A8A9F6C" w14:textId="77777777" w:rsidTr="0025452F">
        <w:tc>
          <w:tcPr>
            <w:tcW w:w="0" w:type="auto"/>
            <w:tcMar>
              <w:left w:w="0" w:type="dxa"/>
              <w:right w:w="0" w:type="dxa"/>
            </w:tcMar>
            <w:vAlign w:val="center"/>
          </w:tcPr>
          <w:p w14:paraId="405FC67C" w14:textId="77777777" w:rsidR="004823AC" w:rsidRPr="00BC31E0" w:rsidRDefault="00A51873" w:rsidP="00290661">
            <w:pPr>
              <w:tabs>
                <w:tab w:val="left" w:leader="middleDot" w:pos="8222"/>
              </w:tabs>
              <w:autoSpaceDE w:val="0"/>
              <w:autoSpaceDN w:val="0"/>
              <w:spacing w:before="240"/>
              <w:jc w:val="left"/>
              <w:rPr>
                <w:rFonts w:eastAsia="ＭＳ ゴシック"/>
                <w:bCs/>
              </w:rPr>
            </w:pPr>
            <m:oMathPara>
              <m:oMathParaPr>
                <m:jc m:val="left"/>
              </m:oMathParaPr>
              <m:oMath>
                <m:sSub>
                  <m:sSubPr>
                    <m:ctrlPr>
                      <w:rPr>
                        <w:rFonts w:ascii="Cambria Math" w:eastAsia="ＭＳ ゴシック" w:hAnsiTheme="minorHAnsi"/>
                        <w:bCs/>
                        <w:i/>
                      </w:rPr>
                    </m:ctrlPr>
                  </m:sSubPr>
                  <m:e>
                    <m:r>
                      <w:rPr>
                        <w:rFonts w:ascii="Cambria Math" w:eastAsia="ＭＳ ゴシック" w:hAnsi="Cambria Math"/>
                      </w:rPr>
                      <m:t>σ</m:t>
                    </m:r>
                  </m:e>
                  <m:sub>
                    <m:r>
                      <w:rPr>
                        <w:rFonts w:ascii="Cambria Math" w:eastAsia="ＭＳ ゴシック" w:hAnsi="Cambria Math"/>
                      </w:rPr>
                      <m:t>rr</m:t>
                    </m:r>
                  </m:sub>
                </m:sSub>
                <m:r>
                  <w:rPr>
                    <w:rFonts w:ascii="Cambria Math" w:eastAsia="ＭＳ ゴシック" w:hAnsiTheme="minorHAnsi"/>
                  </w:rPr>
                  <m:t>=</m:t>
                </m:r>
                <m:f>
                  <m:fPr>
                    <m:ctrlPr>
                      <w:rPr>
                        <w:rFonts w:ascii="Cambria Math" w:eastAsia="ＭＳ ゴシック" w:hAnsiTheme="minorHAnsi"/>
                        <w:bCs/>
                        <w:i/>
                      </w:rPr>
                    </m:ctrlPr>
                  </m:fPr>
                  <m:num>
                    <m:sSub>
                      <m:sSubPr>
                        <m:ctrlPr>
                          <w:rPr>
                            <w:rFonts w:ascii="Cambria Math" w:eastAsia="ＭＳ ゴシック" w:hAnsiTheme="minorHAnsi"/>
                            <w:bCs/>
                            <w:i/>
                          </w:rPr>
                        </m:ctrlPr>
                      </m:sSubPr>
                      <m:e>
                        <m:r>
                          <w:rPr>
                            <w:rFonts w:ascii="Cambria Math" w:eastAsia="ＭＳ ゴシック" w:hAnsi="Cambria Math"/>
                          </w:rPr>
                          <m:t>P</m:t>
                        </m:r>
                      </m:e>
                      <m:sub>
                        <m:r>
                          <w:rPr>
                            <w:rFonts w:ascii="Cambria Math" w:eastAsia="ＭＳ ゴシック" w:hAnsi="Cambria Math"/>
                          </w:rPr>
                          <m:t>if</m:t>
                        </m:r>
                      </m:sub>
                    </m:sSub>
                  </m:num>
                  <m:den>
                    <m:sSup>
                      <m:sSupPr>
                        <m:ctrlPr>
                          <w:rPr>
                            <w:rFonts w:ascii="Cambria Math" w:eastAsia="ＭＳ ゴシック" w:hAnsiTheme="minorHAnsi"/>
                            <w:bCs/>
                            <w:i/>
                          </w:rPr>
                        </m:ctrlPr>
                      </m:sSupPr>
                      <m:e>
                        <m:sSub>
                          <m:sSubPr>
                            <m:ctrlPr>
                              <w:rPr>
                                <w:rFonts w:ascii="Cambria Math" w:eastAsia="ＭＳ ゴシック" w:hAnsiTheme="minorHAnsi"/>
                                <w:bCs/>
                                <w:i/>
                              </w:rPr>
                            </m:ctrlPr>
                          </m:sSubPr>
                          <m:e>
                            <m:r>
                              <w:rPr>
                                <w:rFonts w:ascii="Cambria Math" w:eastAsia="ＭＳ ゴシック" w:hAnsi="Cambria Math"/>
                              </w:rPr>
                              <m:t>Y</m:t>
                            </m:r>
                          </m:e>
                          <m:sub>
                            <m:r>
                              <w:rPr>
                                <w:rFonts w:ascii="Cambria Math" w:eastAsia="ＭＳ ゴシック" w:hAnsi="Cambria Math"/>
                              </w:rPr>
                              <m:t>o</m:t>
                            </m:r>
                          </m:sub>
                        </m:sSub>
                      </m:e>
                      <m:sup>
                        <m:r>
                          <w:rPr>
                            <w:rFonts w:ascii="Cambria Math" w:eastAsia="ＭＳ ゴシック" w:hAnsiTheme="minorHAnsi"/>
                          </w:rPr>
                          <m:t>2</m:t>
                        </m:r>
                      </m:sup>
                    </m:sSup>
                    <m:r>
                      <w:rPr>
                        <w:rFonts w:ascii="Cambria Math" w:eastAsia="ＭＳ ゴシック" w:hAnsi="Cambria Math"/>
                      </w:rPr>
                      <m:t>-</m:t>
                    </m:r>
                    <m:r>
                      <w:rPr>
                        <w:rFonts w:ascii="Cambria Math" w:eastAsia="ＭＳ ゴシック" w:hAnsiTheme="minorHAnsi"/>
                      </w:rPr>
                      <m:t>1</m:t>
                    </m:r>
                  </m:den>
                </m:f>
                <m:d>
                  <m:dPr>
                    <m:ctrlPr>
                      <w:rPr>
                        <w:rFonts w:ascii="Cambria Math" w:eastAsia="ＭＳ ゴシック" w:hAnsiTheme="minorHAnsi"/>
                        <w:bCs/>
                        <w:i/>
                      </w:rPr>
                    </m:ctrlPr>
                  </m:dPr>
                  <m:e>
                    <m:r>
                      <w:rPr>
                        <w:rFonts w:ascii="Cambria Math" w:eastAsia="ＭＳ ゴシック" w:hAnsiTheme="minorHAnsi"/>
                      </w:rPr>
                      <m:t>1</m:t>
                    </m:r>
                    <m:r>
                      <w:rPr>
                        <w:rFonts w:ascii="Cambria Math" w:eastAsia="ＭＳ ゴシック" w:hAnsiTheme="minorHAnsi"/>
                      </w:rPr>
                      <m:t>-</m:t>
                    </m:r>
                    <m:f>
                      <m:fPr>
                        <m:ctrlPr>
                          <w:rPr>
                            <w:rFonts w:ascii="Cambria Math" w:eastAsia="ＭＳ ゴシック" w:hAnsiTheme="minorHAnsi"/>
                            <w:bCs/>
                            <w:i/>
                          </w:rPr>
                        </m:ctrlPr>
                      </m:fPr>
                      <m:num>
                        <m:sSup>
                          <m:sSupPr>
                            <m:ctrlPr>
                              <w:rPr>
                                <w:rFonts w:ascii="Cambria Math" w:eastAsia="ＭＳ ゴシック" w:hAnsiTheme="minorHAnsi"/>
                                <w:bCs/>
                                <w:i/>
                              </w:rPr>
                            </m:ctrlPr>
                          </m:sSupPr>
                          <m:e>
                            <m:sSub>
                              <m:sSubPr>
                                <m:ctrlPr>
                                  <w:rPr>
                                    <w:rFonts w:ascii="Cambria Math" w:eastAsia="ＭＳ ゴシック" w:hAnsiTheme="minorHAnsi"/>
                                    <w:bCs/>
                                    <w:i/>
                                  </w:rPr>
                                </m:ctrlPr>
                              </m:sSubPr>
                              <m:e>
                                <m:r>
                                  <w:rPr>
                                    <w:rFonts w:ascii="Cambria Math" w:eastAsia="ＭＳ ゴシック" w:hAnsi="Cambria Math"/>
                                  </w:rPr>
                                  <m:t>D</m:t>
                                </m:r>
                              </m:e>
                              <m:sub>
                                <m:r>
                                  <w:rPr>
                                    <w:rFonts w:ascii="Cambria Math" w:eastAsia="ＭＳ ゴシック" w:hAnsi="Cambria Math"/>
                                  </w:rPr>
                                  <m:t>O</m:t>
                                </m:r>
                              </m:sub>
                            </m:sSub>
                          </m:e>
                          <m:sup>
                            <m:r>
                              <w:rPr>
                                <w:rFonts w:ascii="Cambria Math" w:eastAsia="ＭＳ ゴシック" w:hAnsiTheme="minorHAnsi"/>
                              </w:rPr>
                              <m:t>2</m:t>
                            </m:r>
                          </m:sup>
                        </m:sSup>
                      </m:num>
                      <m:den>
                        <m:sSup>
                          <m:sSupPr>
                            <m:ctrlPr>
                              <w:rPr>
                                <w:rFonts w:ascii="Cambria Math" w:eastAsia="ＭＳ ゴシック" w:hAnsiTheme="minorHAnsi"/>
                                <w:bCs/>
                                <w:i/>
                              </w:rPr>
                            </m:ctrlPr>
                          </m:sSupPr>
                          <m:e>
                            <m:r>
                              <w:rPr>
                                <w:rFonts w:ascii="Cambria Math" w:eastAsia="ＭＳ ゴシック" w:hAnsi="Cambria Math"/>
                              </w:rPr>
                              <m:t>D</m:t>
                            </m:r>
                          </m:e>
                          <m:sup>
                            <m:r>
                              <w:rPr>
                                <w:rFonts w:ascii="Cambria Math" w:eastAsia="ＭＳ ゴシック" w:hAnsiTheme="minorHAnsi"/>
                              </w:rPr>
                              <m:t>2</m:t>
                            </m:r>
                          </m:sup>
                        </m:sSup>
                      </m:den>
                    </m:f>
                  </m:e>
                </m:d>
              </m:oMath>
            </m:oMathPara>
          </w:p>
        </w:tc>
        <w:tc>
          <w:tcPr>
            <w:tcW w:w="3756" w:type="dxa"/>
            <w:tcMar>
              <w:left w:w="0" w:type="dxa"/>
              <w:right w:w="0" w:type="dxa"/>
            </w:tcMar>
            <w:vAlign w:val="center"/>
          </w:tcPr>
          <w:p w14:paraId="354E5E76" w14:textId="77777777" w:rsidR="004823AC" w:rsidRPr="00BC31E0" w:rsidRDefault="004823AC" w:rsidP="0025452F">
            <w:pPr>
              <w:tabs>
                <w:tab w:val="left" w:leader="middleDot" w:pos="2906"/>
              </w:tabs>
              <w:autoSpaceDE w:val="0"/>
              <w:autoSpaceDN w:val="0"/>
              <w:spacing w:before="240"/>
              <w:jc w:val="left"/>
              <w:rPr>
                <w:rFonts w:eastAsia="ＭＳ ゴシック"/>
                <w:bCs/>
              </w:rPr>
            </w:pPr>
            <w:r w:rsidRPr="00BC31E0">
              <w:rPr>
                <w:rFonts w:eastAsia="ＭＳ ゴシック" w:hint="eastAsia"/>
                <w:bCs/>
              </w:rPr>
              <w:tab/>
              <w:t>(6.8.6)</w:t>
            </w:r>
          </w:p>
        </w:tc>
      </w:tr>
    </w:tbl>
    <w:p w14:paraId="5312C1CF" w14:textId="77777777" w:rsidR="00485A11" w:rsidRPr="00BC31E0" w:rsidRDefault="00485A11" w:rsidP="004823AC">
      <w:pPr>
        <w:autoSpaceDE w:val="0"/>
        <w:autoSpaceDN w:val="0"/>
        <w:snapToGrid w:val="0"/>
        <w:spacing w:before="120"/>
        <w:ind w:left="737" w:firstLineChars="100" w:firstLine="210"/>
        <w:rPr>
          <w:position w:val="-30"/>
        </w:rPr>
      </w:pPr>
      <w:r w:rsidRPr="00BC31E0">
        <w:rPr>
          <w:rFonts w:hint="eastAsia"/>
          <w:position w:val="-30"/>
        </w:rPr>
        <w:t>組み立て前に自緊による残留応力が導入された場合には，最終的な残留応力は，</w:t>
      </w:r>
      <w:r w:rsidRPr="00BC31E0">
        <w:rPr>
          <w:rFonts w:ascii="ＭＳ ゴシック" w:eastAsia="ＭＳ ゴシック" w:hAnsi="ＭＳ ゴシック" w:hint="eastAsia"/>
          <w:b/>
          <w:position w:val="-30"/>
        </w:rPr>
        <w:t>式(6.8.3)</w:t>
      </w:r>
      <w:r w:rsidRPr="00BC31E0">
        <w:rPr>
          <w:rFonts w:hint="eastAsia"/>
          <w:position w:val="-30"/>
        </w:rPr>
        <w:t>～</w:t>
      </w:r>
      <w:r w:rsidRPr="00BC31E0">
        <w:rPr>
          <w:rFonts w:ascii="ＭＳ ゴシック" w:eastAsia="ＭＳ ゴシック" w:hAnsi="ＭＳ ゴシック" w:hint="eastAsia"/>
          <w:b/>
          <w:position w:val="-30"/>
        </w:rPr>
        <w:t>式(6.8.6)</w:t>
      </w:r>
      <w:r w:rsidRPr="00BC31E0">
        <w:rPr>
          <w:rFonts w:hint="eastAsia"/>
          <w:position w:val="-30"/>
        </w:rPr>
        <w:t>と自緊による残留応力を組合せなければならない。</w:t>
      </w:r>
    </w:p>
    <w:p w14:paraId="11A1F84C" w14:textId="77777777" w:rsidR="00485A11" w:rsidRPr="00BC31E0" w:rsidRDefault="00485A11" w:rsidP="00736130">
      <w:pPr>
        <w:pStyle w:val="a4"/>
        <w:numPr>
          <w:ilvl w:val="0"/>
          <w:numId w:val="442"/>
        </w:numPr>
        <w:ind w:leftChars="0" w:left="454" w:hanging="454"/>
        <w:rPr>
          <w:rFonts w:ascii="ＭＳ 明朝" w:hAnsi="ＭＳ 明朝"/>
        </w:rPr>
      </w:pPr>
      <w:r w:rsidRPr="00BC31E0">
        <w:rPr>
          <w:rFonts w:asciiTheme="majorEastAsia" w:eastAsiaTheme="majorEastAsia" w:hAnsiTheme="majorEastAsia"/>
          <w:b/>
        </w:rPr>
        <w:lastRenderedPageBreak/>
        <w:t>3</w:t>
      </w:r>
      <w:r w:rsidRPr="00BC31E0">
        <w:rPr>
          <w:rFonts w:asciiTheme="majorEastAsia" w:eastAsiaTheme="majorEastAsia" w:hAnsiTheme="majorEastAsia" w:hint="eastAsia"/>
          <w:b/>
        </w:rPr>
        <w:t>層以上の多層容器</w:t>
      </w:r>
      <w:r w:rsidRPr="00BC31E0">
        <w:rPr>
          <w:rFonts w:hint="eastAsia"/>
        </w:rPr>
        <w:t xml:space="preserve">　</w:t>
      </w:r>
      <w:r w:rsidRPr="00BC31E0">
        <w:rPr>
          <w:rFonts w:asciiTheme="majorEastAsia" w:eastAsiaTheme="majorEastAsia" w:hAnsiTheme="majorEastAsia" w:hint="eastAsia"/>
          <w:b/>
          <w:bCs/>
        </w:rPr>
        <w:t>図6</w:t>
      </w:r>
      <w:r w:rsidRPr="00BC31E0">
        <w:rPr>
          <w:rFonts w:asciiTheme="majorEastAsia" w:eastAsiaTheme="majorEastAsia" w:hAnsiTheme="majorEastAsia"/>
          <w:b/>
          <w:bCs/>
        </w:rPr>
        <w:t>.8.1</w:t>
      </w:r>
      <w:r w:rsidRPr="00BC31E0">
        <w:rPr>
          <w:rFonts w:hint="eastAsia"/>
        </w:rPr>
        <w:t>に示した</w:t>
      </w:r>
      <w:r w:rsidRPr="00BC31E0">
        <w:rPr>
          <w:rFonts w:asciiTheme="minorHAnsi" w:hAnsiTheme="minorHAnsi"/>
        </w:rPr>
        <w:t>3</w:t>
      </w:r>
      <w:r w:rsidRPr="00BC31E0">
        <w:t>層以上の多層容器の</w:t>
      </w:r>
      <w:r w:rsidRPr="00BC31E0">
        <w:rPr>
          <w:rFonts w:hint="eastAsia"/>
        </w:rPr>
        <w:t>円筒胴の</w:t>
      </w:r>
      <w:r w:rsidRPr="00BC31E0">
        <w:t>層間圧力，周方向応力及び半径方向応力の計算は次による。なお，</w:t>
      </w:r>
      <w:r w:rsidRPr="00BC31E0">
        <w:rPr>
          <w:rFonts w:hint="eastAsia"/>
        </w:rPr>
        <w:t>最初の</w:t>
      </w:r>
      <w:r w:rsidRPr="00BC31E0">
        <w:rPr>
          <w:rFonts w:asciiTheme="minorHAnsi" w:hAnsiTheme="minorHAnsi"/>
        </w:rPr>
        <w:t>2</w:t>
      </w:r>
      <w:r w:rsidRPr="00BC31E0">
        <w:rPr>
          <w:rFonts w:hint="eastAsia"/>
        </w:rPr>
        <w:t>層を組み立て，</w:t>
      </w:r>
      <w:r w:rsidRPr="00BC31E0">
        <w:t>残</w:t>
      </w:r>
      <w:r w:rsidRPr="00BC31E0">
        <w:rPr>
          <w:rFonts w:hint="eastAsia"/>
        </w:rPr>
        <w:t>留応力を</w:t>
      </w:r>
      <w:r w:rsidRPr="00BC31E0">
        <w:rPr>
          <w:rFonts w:asciiTheme="majorEastAsia" w:eastAsiaTheme="majorEastAsia" w:hAnsiTheme="majorEastAsia" w:hint="eastAsia"/>
          <w:b/>
          <w:bCs/>
        </w:rPr>
        <w:t>b)</w:t>
      </w:r>
      <w:r w:rsidRPr="00BC31E0">
        <w:rPr>
          <w:rFonts w:hAnsi="ＭＳ ゴシック" w:hint="eastAsia"/>
          <w:bCs/>
        </w:rPr>
        <w:t xml:space="preserve"> </w:t>
      </w:r>
      <w:r w:rsidRPr="00BC31E0">
        <w:rPr>
          <w:rFonts w:asciiTheme="majorEastAsia" w:eastAsiaTheme="majorEastAsia" w:hAnsiTheme="majorEastAsia" w:hint="eastAsia"/>
          <w:b/>
          <w:bCs/>
        </w:rPr>
        <w:t>2)</w:t>
      </w:r>
      <w:r w:rsidRPr="00BC31E0">
        <w:rPr>
          <w:rFonts w:hint="eastAsia"/>
        </w:rPr>
        <w:t>により計算する。次に最初の</w:t>
      </w:r>
      <w:r w:rsidRPr="00BC31E0">
        <w:rPr>
          <w:rFonts w:asciiTheme="minorHAnsi" w:hAnsiTheme="minorHAnsi"/>
        </w:rPr>
        <w:t>2</w:t>
      </w:r>
      <w:r w:rsidRPr="00BC31E0">
        <w:rPr>
          <w:rFonts w:hint="eastAsia"/>
        </w:rPr>
        <w:t>層の組立てを</w:t>
      </w:r>
      <w:r w:rsidRPr="00BC31E0">
        <w:rPr>
          <w:rFonts w:hint="eastAsia"/>
        </w:rPr>
        <w:t>1</w:t>
      </w:r>
      <w:r w:rsidRPr="00BC31E0">
        <w:rPr>
          <w:rFonts w:hint="eastAsia"/>
        </w:rPr>
        <w:t>層と仮定して</w:t>
      </w:r>
      <w:r w:rsidRPr="00BC31E0">
        <w:rPr>
          <w:rFonts w:asciiTheme="minorHAnsi" w:hAnsiTheme="minorHAnsi"/>
        </w:rPr>
        <w:t>3</w:t>
      </w:r>
      <w:r w:rsidRPr="00BC31E0">
        <w:rPr>
          <w:rFonts w:hint="eastAsia"/>
        </w:rPr>
        <w:t>層との層間圧力を計算する。もし，最初の</w:t>
      </w:r>
      <w:r w:rsidRPr="00BC31E0">
        <w:rPr>
          <w:rFonts w:asciiTheme="minorHAnsi" w:hAnsiTheme="minorHAnsi"/>
        </w:rPr>
        <w:t>2</w:t>
      </w:r>
      <w:r w:rsidRPr="00BC31E0">
        <w:rPr>
          <w:rFonts w:hint="eastAsia"/>
        </w:rPr>
        <w:t>層の縦弾性係数が異なる場合には</w:t>
      </w:r>
      <w:r w:rsidRPr="00BC31E0">
        <w:rPr>
          <w:rFonts w:hint="eastAsia"/>
        </w:rPr>
        <w:t>2</w:t>
      </w:r>
      <w:r w:rsidRPr="00BC31E0">
        <w:rPr>
          <w:rFonts w:hint="eastAsia"/>
        </w:rPr>
        <w:t>層の等価な縦弾性係数を用いる。この手順を繰返して</w:t>
      </w:r>
      <w:r w:rsidRPr="00BC31E0">
        <w:rPr>
          <w:rFonts w:asciiTheme="minorHAnsi" w:hAnsiTheme="minorHAnsi"/>
        </w:rPr>
        <w:t>3</w:t>
      </w:r>
      <w:r w:rsidRPr="00BC31E0">
        <w:rPr>
          <w:rFonts w:hint="eastAsia"/>
        </w:rPr>
        <w:t>層以上の残留応力を次の</w:t>
      </w:r>
      <w:r w:rsidRPr="00BC31E0">
        <w:rPr>
          <w:rFonts w:asciiTheme="majorEastAsia" w:eastAsiaTheme="majorEastAsia" w:hAnsiTheme="majorEastAsia" w:hint="eastAsia"/>
          <w:b/>
          <w:bCs/>
        </w:rPr>
        <w:t>1</w:t>
      </w:r>
      <w:r w:rsidRPr="00BC31E0">
        <w:rPr>
          <w:rFonts w:asciiTheme="majorEastAsia" w:eastAsiaTheme="majorEastAsia" w:hAnsiTheme="majorEastAsia"/>
          <w:b/>
          <w:bCs/>
        </w:rPr>
        <w:t>)</w:t>
      </w:r>
      <w:r w:rsidRPr="00BC31E0">
        <w:rPr>
          <w:rFonts w:hAnsi="ＭＳ 明朝" w:hint="eastAsia"/>
        </w:rPr>
        <w:t>～</w:t>
      </w:r>
      <w:r w:rsidRPr="00BC31E0">
        <w:rPr>
          <w:rFonts w:asciiTheme="majorEastAsia" w:eastAsiaTheme="majorEastAsia" w:hAnsiTheme="majorEastAsia" w:hint="eastAsia"/>
          <w:b/>
          <w:bCs/>
        </w:rPr>
        <w:t>3</w:t>
      </w:r>
      <w:r w:rsidRPr="00BC31E0">
        <w:rPr>
          <w:rFonts w:asciiTheme="majorEastAsia" w:eastAsiaTheme="majorEastAsia" w:hAnsiTheme="majorEastAsia"/>
          <w:b/>
          <w:bCs/>
        </w:rPr>
        <w:t>)</w:t>
      </w:r>
      <w:r w:rsidRPr="00BC31E0">
        <w:rPr>
          <w:rFonts w:hAnsi="ＭＳ 明朝" w:hint="eastAsia"/>
        </w:rPr>
        <w:t>により求める。</w:t>
      </w:r>
    </w:p>
    <w:p w14:paraId="0DBF23C6" w14:textId="77777777" w:rsidR="00485A11" w:rsidRPr="00BC31E0" w:rsidRDefault="00485A11" w:rsidP="00736130">
      <w:pPr>
        <w:pStyle w:val="a4"/>
        <w:numPr>
          <w:ilvl w:val="0"/>
          <w:numId w:val="304"/>
        </w:numPr>
        <w:spacing w:after="120"/>
        <w:ind w:leftChars="0" w:left="738" w:hanging="454"/>
      </w:pPr>
      <w:r w:rsidRPr="00BC31E0">
        <w:rPr>
          <w:rFonts w:hint="eastAsia"/>
          <w:b/>
        </w:rPr>
        <w:t>層間圧力</w:t>
      </w:r>
      <w:r w:rsidRPr="00BC31E0">
        <w:rPr>
          <w:rFonts w:hint="eastAsia"/>
        </w:rPr>
        <w:t xml:space="preserve">　</w:t>
      </w:r>
      <w:r w:rsidRPr="00BC31E0">
        <w:rPr>
          <w:rFonts w:asciiTheme="minorEastAsia" w:eastAsiaTheme="minorEastAsia" w:hAnsiTheme="minorEastAsia" w:hint="eastAsia"/>
        </w:rPr>
        <w:t>第</w:t>
      </w:r>
      <m:oMath>
        <m:r>
          <w:rPr>
            <w:rFonts w:ascii="Cambria Math" w:eastAsiaTheme="minorEastAsia" w:hAnsi="Cambria Math"/>
          </w:rPr>
          <m:t xml:space="preserve"> k </m:t>
        </m:r>
      </m:oMath>
      <w:r w:rsidRPr="00BC31E0">
        <w:rPr>
          <w:rFonts w:asciiTheme="minorEastAsia" w:eastAsiaTheme="minorEastAsia" w:hAnsiTheme="minorEastAsia" w:hint="eastAsia"/>
        </w:rPr>
        <w:t>層の外面における層間圧力は，次式で計算する。</w:t>
      </w:r>
    </w:p>
    <w:tbl>
      <w:tblPr>
        <w:tblStyle w:val="afff2"/>
        <w:tblW w:w="7263" w:type="dxa"/>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4"/>
        <w:gridCol w:w="3829"/>
      </w:tblGrid>
      <w:tr w:rsidR="009D15DB" w:rsidRPr="00BC31E0" w14:paraId="5CD1088F" w14:textId="77777777" w:rsidTr="0025452F">
        <w:tc>
          <w:tcPr>
            <w:tcW w:w="0" w:type="auto"/>
            <w:tcMar>
              <w:left w:w="0" w:type="dxa"/>
              <w:right w:w="0" w:type="dxa"/>
            </w:tcMar>
            <w:vAlign w:val="center"/>
          </w:tcPr>
          <w:p w14:paraId="78CC2430" w14:textId="77777777" w:rsidR="009D15DB" w:rsidRPr="00BC31E0" w:rsidRDefault="00A51873" w:rsidP="0025452F">
            <w:pPr>
              <w:tabs>
                <w:tab w:val="left" w:leader="middleDot" w:pos="8222"/>
              </w:tabs>
              <w:autoSpaceDE w:val="0"/>
              <w:autoSpaceDN w:val="0"/>
              <w:jc w:val="left"/>
              <w:rPr>
                <w:i/>
              </w:rPr>
            </w:pPr>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k</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δ</m:t>
                        </m:r>
                      </m:e>
                      <m:sub>
                        <m:r>
                          <w:rPr>
                            <w:rFonts w:ascii="Cambria Math" w:hAnsi="Cambria Math"/>
                          </w:rPr>
                          <m:t>k</m:t>
                        </m:r>
                      </m:sub>
                    </m:sSub>
                    <m:r>
                      <w:rPr>
                        <w:rFonts w:ascii="Cambria Math" w:hAnsi="Cambria Math"/>
                      </w:rPr>
                      <m:t xml:space="preserve"> E</m:t>
                    </m:r>
                  </m:num>
                  <m:den>
                    <m:r>
                      <w:rPr>
                        <w:rFonts w:ascii="Cambria Math" w:hAnsi="Cambria Math"/>
                      </w:rPr>
                      <m:t xml:space="preserve">2 </m:t>
                    </m:r>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k</m:t>
                            </m:r>
                          </m:sub>
                        </m:sSub>
                      </m:e>
                      <m:sup>
                        <m:r>
                          <w:rPr>
                            <w:rFonts w:ascii="Cambria Math" w:hAnsi="Cambria Math"/>
                          </w:rPr>
                          <m:t>3</m:t>
                        </m:r>
                      </m:sup>
                    </m:sSup>
                  </m:den>
                </m:f>
                <m:r>
                  <w:rPr>
                    <w:rFonts w:ascii="Cambria Math" w:hAnsi="Cambria Math"/>
                  </w:rPr>
                  <m:t xml:space="preserve"> </m:t>
                </m:r>
                <m:f>
                  <m:fPr>
                    <m:ctrlPr>
                      <w:rPr>
                        <w:rFonts w:ascii="Cambria Math" w:hAnsi="Cambria Math"/>
                        <w:i/>
                      </w:rPr>
                    </m:ctrlPr>
                  </m:fPr>
                  <m:num>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k</m:t>
                                </m:r>
                              </m:sub>
                            </m:sSub>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I</m:t>
                                </m:r>
                              </m:sub>
                            </m:sSub>
                          </m:e>
                          <m:sup>
                            <m:r>
                              <w:rPr>
                                <w:rFonts w:ascii="Cambria Math" w:hAnsi="Cambria Math"/>
                              </w:rPr>
                              <m:t>2</m:t>
                            </m:r>
                          </m:sup>
                        </m:sSup>
                      </m:e>
                    </m:d>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k+1</m:t>
                                </m:r>
                              </m:sub>
                            </m:sSub>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k</m:t>
                                </m:r>
                              </m:sub>
                            </m:sSub>
                          </m:e>
                          <m:sup>
                            <m:r>
                              <w:rPr>
                                <w:rFonts w:ascii="Cambria Math" w:hAnsi="Cambria Math"/>
                              </w:rPr>
                              <m:t>2</m:t>
                            </m:r>
                          </m:sup>
                        </m:sSup>
                      </m:e>
                    </m:d>
                  </m:num>
                  <m:den>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k+1</m:t>
                            </m:r>
                          </m:sub>
                        </m:sSub>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I</m:t>
                            </m:r>
                          </m:sub>
                        </m:sSub>
                      </m:e>
                      <m:sup>
                        <m:r>
                          <w:rPr>
                            <w:rFonts w:ascii="Cambria Math" w:hAnsi="Cambria Math"/>
                          </w:rPr>
                          <m:t>2</m:t>
                        </m:r>
                      </m:sup>
                    </m:sSup>
                  </m:den>
                </m:f>
              </m:oMath>
            </m:oMathPara>
          </w:p>
        </w:tc>
        <w:tc>
          <w:tcPr>
            <w:tcW w:w="3829" w:type="dxa"/>
            <w:tcMar>
              <w:left w:w="0" w:type="dxa"/>
              <w:right w:w="0" w:type="dxa"/>
            </w:tcMar>
            <w:vAlign w:val="center"/>
          </w:tcPr>
          <w:p w14:paraId="4A954DA8" w14:textId="77777777" w:rsidR="009D15DB" w:rsidRPr="00BC31E0" w:rsidRDefault="009D15DB" w:rsidP="0025452F">
            <w:pPr>
              <w:tabs>
                <w:tab w:val="left" w:leader="middleDot" w:pos="2979"/>
              </w:tabs>
              <w:autoSpaceDE w:val="0"/>
              <w:autoSpaceDN w:val="0"/>
              <w:jc w:val="left"/>
            </w:pPr>
            <w:r w:rsidRPr="00BC31E0">
              <w:tab/>
            </w:r>
            <w:r w:rsidRPr="00BC31E0">
              <w:rPr>
                <w:rFonts w:hint="eastAsia"/>
              </w:rPr>
              <w:t>(6.8.7)</w:t>
            </w:r>
          </w:p>
        </w:tc>
      </w:tr>
    </w:tbl>
    <w:p w14:paraId="5A4250AE" w14:textId="77777777" w:rsidR="00485A11" w:rsidRPr="00BC31E0" w:rsidRDefault="00485A11" w:rsidP="00736130">
      <w:pPr>
        <w:pStyle w:val="a4"/>
        <w:numPr>
          <w:ilvl w:val="0"/>
          <w:numId w:val="305"/>
        </w:numPr>
        <w:spacing w:before="120" w:after="120"/>
        <w:ind w:leftChars="0" w:left="738" w:hanging="454"/>
      </w:pPr>
      <w:r w:rsidRPr="00BC31E0">
        <w:rPr>
          <w:rFonts w:hint="eastAsia"/>
          <w:b/>
        </w:rPr>
        <w:t>周方向応力</w:t>
      </w:r>
      <w:r w:rsidRPr="00BC31E0">
        <w:rPr>
          <w:rFonts w:hint="eastAsia"/>
        </w:rPr>
        <w:t xml:space="preserve">　</w:t>
      </w:r>
      <w:r w:rsidRPr="00BC31E0">
        <w:rPr>
          <w:rFonts w:asciiTheme="minorEastAsia" w:eastAsiaTheme="minorEastAsia" w:hAnsiTheme="minorEastAsia" w:hint="eastAsia"/>
        </w:rPr>
        <w:t>全層数を</w:t>
      </w:r>
      <m:oMath>
        <m:r>
          <w:rPr>
            <w:rFonts w:ascii="Cambria Math" w:eastAsiaTheme="minorEastAsia" w:hAnsi="Cambria Math"/>
          </w:rPr>
          <m:t xml:space="preserve">N </m:t>
        </m:r>
      </m:oMath>
      <w:r w:rsidRPr="00BC31E0">
        <w:rPr>
          <w:rFonts w:asciiTheme="minorEastAsia" w:eastAsiaTheme="minorEastAsia" w:hAnsiTheme="minorEastAsia" w:hint="eastAsia"/>
        </w:rPr>
        <w:t>層として，第</w:t>
      </w:r>
      <m:oMath>
        <m:r>
          <m:rPr>
            <m:sty m:val="p"/>
          </m:rPr>
          <w:rPr>
            <w:rFonts w:ascii="Cambria Math" w:eastAsiaTheme="minorEastAsia" w:hAnsi="Cambria Math"/>
          </w:rPr>
          <m:t xml:space="preserve"> </m:t>
        </m:r>
        <m:r>
          <w:rPr>
            <w:rFonts w:ascii="Cambria Math" w:eastAsiaTheme="minorEastAsia" w:hAnsi="Cambria Math"/>
          </w:rPr>
          <m:t xml:space="preserve">k </m:t>
        </m:r>
      </m:oMath>
      <w:r w:rsidRPr="00BC31E0">
        <w:rPr>
          <w:rFonts w:asciiTheme="minorEastAsia" w:eastAsiaTheme="minorEastAsia" w:hAnsiTheme="minorEastAsia" w:hint="eastAsia"/>
        </w:rPr>
        <w:t>層</w:t>
      </w:r>
      <w:r w:rsidRPr="00BC31E0">
        <w:rPr>
          <w:rFonts w:asciiTheme="minorEastAsia" w:eastAsiaTheme="minorEastAsia" w:hAnsiTheme="minorEastAsia"/>
        </w:rPr>
        <w:t>(</w:t>
      </w:r>
      <m:oMath>
        <m:r>
          <w:rPr>
            <w:rFonts w:ascii="Cambria Math" w:eastAsiaTheme="minorEastAsia" w:hAnsi="Cambria Math"/>
          </w:rPr>
          <m:t>D&gt;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I</m:t>
            </m:r>
          </m:sub>
        </m:sSub>
      </m:oMath>
      <w:r w:rsidRPr="00BC31E0">
        <w:rPr>
          <w:rFonts w:asciiTheme="minorEastAsia" w:eastAsiaTheme="minorEastAsia" w:hAnsiTheme="minorEastAsia" w:hint="eastAsia"/>
        </w:rPr>
        <w:t>，</w:t>
      </w:r>
      <m:oMath>
        <m:r>
          <w:rPr>
            <w:rFonts w:ascii="Cambria Math" w:eastAsiaTheme="minorEastAsia" w:hAnsi="Cambria Math"/>
          </w:rPr>
          <m:t>k&gt;1</m:t>
        </m:r>
      </m:oMath>
      <w:r w:rsidRPr="00BC31E0">
        <w:rPr>
          <w:rFonts w:asciiTheme="minorEastAsia" w:eastAsiaTheme="minorEastAsia" w:hAnsiTheme="minorEastAsia"/>
        </w:rPr>
        <w:t>)</w:t>
      </w:r>
      <w:r w:rsidRPr="00BC31E0">
        <w:rPr>
          <w:rFonts w:asciiTheme="minorEastAsia" w:eastAsiaTheme="minorEastAsia" w:hAnsiTheme="minorEastAsia" w:hint="eastAsia"/>
        </w:rPr>
        <w:t>における周方向応力は，次式で計算する。</w:t>
      </w:r>
    </w:p>
    <w:tbl>
      <w:tblPr>
        <w:tblStyle w:val="afff2"/>
        <w:tblW w:w="7263" w:type="dxa"/>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8"/>
        <w:gridCol w:w="2215"/>
      </w:tblGrid>
      <w:tr w:rsidR="00396243" w:rsidRPr="00BC31E0" w14:paraId="5229838F" w14:textId="77777777" w:rsidTr="0025452F">
        <w:tc>
          <w:tcPr>
            <w:tcW w:w="0" w:type="auto"/>
            <w:tcMar>
              <w:left w:w="0" w:type="dxa"/>
              <w:right w:w="0" w:type="dxa"/>
            </w:tcMar>
            <w:vAlign w:val="center"/>
          </w:tcPr>
          <w:p w14:paraId="3D1E1148" w14:textId="77777777" w:rsidR="00396243" w:rsidRPr="00BC31E0" w:rsidRDefault="00A51873" w:rsidP="0025452F">
            <w:pPr>
              <w:tabs>
                <w:tab w:val="left" w:leader="middleDot" w:pos="8222"/>
              </w:tabs>
              <w:autoSpaceDE w:val="0"/>
              <w:autoSpaceDN w:val="0"/>
              <w:jc w:val="left"/>
              <w:rPr>
                <w:i/>
              </w:rPr>
            </w:pPr>
            <m:oMathPara>
              <m:oMathParaPr>
                <m:jc m:val="left"/>
              </m:oMathParaPr>
              <m:oMath>
                <m:sSub>
                  <m:sSubPr>
                    <m:ctrlPr>
                      <w:rPr>
                        <w:rFonts w:ascii="Cambria Math" w:hAnsi="Cambria Math"/>
                        <w:i/>
                      </w:rPr>
                    </m:ctrlPr>
                  </m:sSubPr>
                  <m:e>
                    <m:r>
                      <w:rPr>
                        <w:rFonts w:ascii="Cambria Math" w:hAnsi="Cambria Math"/>
                      </w:rPr>
                      <m:t>σ</m:t>
                    </m:r>
                  </m:e>
                  <m:sub>
                    <m:r>
                      <w:rPr>
                        <w:rFonts w:ascii="Cambria Math" w:hAnsi="Cambria Math"/>
                      </w:rPr>
                      <m:t>tr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k-1</m:t>
                        </m:r>
                      </m:sub>
                    </m:sSub>
                    <m:r>
                      <w:rPr>
                        <w:rFonts w:ascii="Cambria Math" w:hAnsi="Cambria Math"/>
                      </w:rPr>
                      <m:t xml:space="preserve"> </m:t>
                    </m:r>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k-1</m:t>
                            </m:r>
                          </m:sub>
                        </m:sSub>
                      </m:e>
                      <m:sup>
                        <m:r>
                          <w:rPr>
                            <w:rFonts w:ascii="Cambria Math" w:hAnsi="Cambria Math"/>
                          </w:rPr>
                          <m:t>2</m:t>
                        </m:r>
                      </m:sup>
                    </m:sSup>
                  </m:num>
                  <m:den>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k</m:t>
                            </m:r>
                          </m:sub>
                        </m:sSub>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k-1</m:t>
                            </m:r>
                          </m:sub>
                        </m:sSub>
                      </m:e>
                      <m:sup>
                        <m:r>
                          <w:rPr>
                            <w:rFonts w:ascii="Cambria Math" w:hAnsi="Cambria Math"/>
                          </w:rPr>
                          <m:t>2</m:t>
                        </m:r>
                      </m:sup>
                    </m:sSup>
                  </m:den>
                </m:f>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k</m:t>
                                </m:r>
                              </m:sub>
                            </m:sSub>
                          </m:e>
                          <m:sup>
                            <m:r>
                              <w:rPr>
                                <w:rFonts w:ascii="Cambria Math" w:hAnsi="Cambria Math"/>
                              </w:rPr>
                              <m:t>2</m:t>
                            </m:r>
                          </m:sup>
                        </m:sSup>
                      </m:num>
                      <m:den>
                        <m:sSup>
                          <m:sSupPr>
                            <m:ctrlPr>
                              <w:rPr>
                                <w:rFonts w:ascii="Cambria Math" w:hAnsi="Cambria Math"/>
                                <w:i/>
                              </w:rPr>
                            </m:ctrlPr>
                          </m:sSupPr>
                          <m:e>
                            <m:r>
                              <w:rPr>
                                <w:rFonts w:ascii="Cambria Math" w:hAnsi="Cambria Math"/>
                              </w:rPr>
                              <m:t>D</m:t>
                            </m:r>
                          </m:e>
                          <m:sup>
                            <m:r>
                              <w:rPr>
                                <w:rFonts w:ascii="Cambria Math" w:hAnsi="Cambria Math"/>
                              </w:rPr>
                              <m:t>2</m:t>
                            </m:r>
                          </m:sup>
                        </m:sSup>
                      </m:den>
                    </m:f>
                    <m:r>
                      <w:rPr>
                        <w:rFonts w:ascii="Cambria Math" w:hAnsi="Cambria Math"/>
                      </w:rPr>
                      <m:t>+1</m:t>
                    </m:r>
                  </m:e>
                </m:d>
                <m:r>
                  <w:rPr>
                    <w:rFonts w:ascii="Cambria Math" w:hAnsi="Cambria Math"/>
                  </w:rPr>
                  <m:t>-</m:t>
                </m:r>
                <m:d>
                  <m:dPr>
                    <m:ctrlPr>
                      <w:rPr>
                        <w:rFonts w:ascii="Cambria Math" w:hAnsi="Cambria Math"/>
                        <w:i/>
                      </w:rPr>
                    </m:ctrlPr>
                  </m:dPr>
                  <m:e>
                    <m:r>
                      <w:rPr>
                        <w:rFonts w:ascii="Cambria Math" w:hAnsi="Cambria Math"/>
                      </w:rPr>
                      <m:t>1+</m:t>
                    </m:r>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I</m:t>
                                </m:r>
                              </m:sub>
                            </m:sSub>
                          </m:e>
                          <m:sup>
                            <m:r>
                              <w:rPr>
                                <w:rFonts w:ascii="Cambria Math" w:hAnsi="Cambria Math"/>
                              </w:rPr>
                              <m:t>2</m:t>
                            </m:r>
                          </m:sup>
                        </m:sSup>
                      </m:num>
                      <m:den>
                        <m:sSup>
                          <m:sSupPr>
                            <m:ctrlPr>
                              <w:rPr>
                                <w:rFonts w:ascii="Cambria Math" w:hAnsi="Cambria Math"/>
                                <w:i/>
                              </w:rPr>
                            </m:ctrlPr>
                          </m:sSupPr>
                          <m:e>
                            <m:r>
                              <w:rPr>
                                <w:rFonts w:ascii="Cambria Math" w:hAnsi="Cambria Math"/>
                              </w:rPr>
                              <m:t>D</m:t>
                            </m:r>
                          </m:e>
                          <m:sup>
                            <m:r>
                              <w:rPr>
                                <w:rFonts w:ascii="Cambria Math" w:hAnsi="Cambria Math"/>
                              </w:rPr>
                              <m:t>2</m:t>
                            </m:r>
                          </m:sup>
                        </m:sSup>
                      </m:den>
                    </m:f>
                  </m:e>
                </m:d>
                <m:nary>
                  <m:naryPr>
                    <m:chr m:val="∑"/>
                    <m:limLoc m:val="undOvr"/>
                    <m:ctrlPr>
                      <w:rPr>
                        <w:rFonts w:ascii="Cambria Math" w:hAnsi="Cambria Math"/>
                        <w:i/>
                      </w:rPr>
                    </m:ctrlPr>
                  </m:naryPr>
                  <m:sub>
                    <m:r>
                      <w:rPr>
                        <w:rFonts w:ascii="Cambria Math" w:hAnsi="Cambria Math"/>
                      </w:rPr>
                      <m:t>n=k</m:t>
                    </m:r>
                  </m:sub>
                  <m:sup>
                    <m:r>
                      <w:rPr>
                        <w:rFonts w:ascii="Cambria Math" w:hAnsi="Cambria Math"/>
                      </w:rPr>
                      <m:t>N</m:t>
                    </m:r>
                  </m:sup>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 xml:space="preserve"> </m:t>
                        </m:r>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n</m:t>
                                </m:r>
                              </m:sub>
                            </m:sSub>
                          </m:e>
                          <m:sup>
                            <m:r>
                              <w:rPr>
                                <w:rFonts w:ascii="Cambria Math" w:hAnsi="Cambria Math"/>
                              </w:rPr>
                              <m:t>2</m:t>
                            </m:r>
                          </m:sup>
                        </m:sSup>
                      </m:num>
                      <m:den>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n</m:t>
                                </m:r>
                              </m:sub>
                            </m:sSub>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I</m:t>
                                </m:r>
                              </m:sub>
                            </m:sSub>
                          </m:e>
                          <m:sup>
                            <m:r>
                              <w:rPr>
                                <w:rFonts w:ascii="Cambria Math" w:hAnsi="Cambria Math"/>
                              </w:rPr>
                              <m:t>2</m:t>
                            </m:r>
                          </m:sup>
                        </m:sSup>
                      </m:den>
                    </m:f>
                  </m:e>
                </m:nary>
              </m:oMath>
            </m:oMathPara>
          </w:p>
        </w:tc>
        <w:tc>
          <w:tcPr>
            <w:tcW w:w="2215" w:type="dxa"/>
            <w:tcMar>
              <w:left w:w="0" w:type="dxa"/>
              <w:right w:w="0" w:type="dxa"/>
            </w:tcMar>
            <w:vAlign w:val="center"/>
          </w:tcPr>
          <w:p w14:paraId="4589CA7A" w14:textId="77777777" w:rsidR="00396243" w:rsidRPr="00BC31E0" w:rsidRDefault="00396243" w:rsidP="0025452F">
            <w:pPr>
              <w:tabs>
                <w:tab w:val="left" w:leader="middleDot" w:pos="1365"/>
              </w:tabs>
              <w:autoSpaceDE w:val="0"/>
              <w:autoSpaceDN w:val="0"/>
              <w:jc w:val="left"/>
            </w:pPr>
            <w:r w:rsidRPr="00BC31E0">
              <w:tab/>
            </w:r>
            <w:r w:rsidRPr="00BC31E0">
              <w:rPr>
                <w:rFonts w:hint="eastAsia"/>
              </w:rPr>
              <w:t>(6.8.8)</w:t>
            </w:r>
          </w:p>
        </w:tc>
      </w:tr>
    </w:tbl>
    <w:p w14:paraId="1DA8EB9A" w14:textId="77777777" w:rsidR="00485A11" w:rsidRPr="00BC31E0" w:rsidRDefault="00485A11" w:rsidP="00B336AF">
      <w:pPr>
        <w:tabs>
          <w:tab w:val="left" w:pos="1985"/>
        </w:tabs>
        <w:autoSpaceDE w:val="0"/>
        <w:autoSpaceDN w:val="0"/>
        <w:spacing w:before="120"/>
        <w:ind w:left="737" w:firstLineChars="100" w:firstLine="210"/>
        <w:rPr>
          <w:rFonts w:asciiTheme="minorEastAsia" w:eastAsiaTheme="minorEastAsia" w:hAnsiTheme="minorEastAsia"/>
        </w:rPr>
      </w:pPr>
      <w:r w:rsidRPr="00BC31E0">
        <w:rPr>
          <w:rFonts w:asciiTheme="minorEastAsia" w:eastAsiaTheme="minorEastAsia" w:hAnsiTheme="minorEastAsia" w:hint="eastAsia"/>
        </w:rPr>
        <w:t>ただし，</w:t>
      </w:r>
      <m:oMath>
        <m:r>
          <w:rPr>
            <w:rFonts w:ascii="Cambria Math" w:eastAsiaTheme="minorEastAsia" w:hAnsi="Cambria Math"/>
          </w:rPr>
          <m:t>k=1</m:t>
        </m:r>
        <m:r>
          <m:rPr>
            <m:sty m:val="p"/>
          </m:rPr>
          <w:rPr>
            <w:rFonts w:ascii="Cambria Math" w:eastAsiaTheme="minorEastAsia" w:hAnsi="Cambria Math"/>
          </w:rPr>
          <m:t xml:space="preserve"> </m:t>
        </m:r>
      </m:oMath>
      <w:r w:rsidRPr="00BC31E0">
        <w:rPr>
          <w:rFonts w:asciiTheme="minorEastAsia" w:eastAsiaTheme="minorEastAsia" w:hAnsiTheme="minorEastAsia" w:hint="eastAsia"/>
        </w:rPr>
        <w:t>の場合は，右辺の第</w:t>
      </w:r>
      <w:r w:rsidRPr="00BC31E0">
        <w:rPr>
          <w:rFonts w:asciiTheme="minorEastAsia" w:eastAsiaTheme="minorEastAsia" w:hAnsiTheme="minorEastAsia"/>
        </w:rPr>
        <w:t>1</w:t>
      </w:r>
      <w:r w:rsidRPr="00BC31E0">
        <w:rPr>
          <w:rFonts w:asciiTheme="minorEastAsia" w:eastAsiaTheme="minorEastAsia" w:hAnsiTheme="minorEastAsia" w:hint="eastAsia"/>
        </w:rPr>
        <w:t>項は</w:t>
      </w:r>
      <w:r w:rsidRPr="00BC31E0">
        <w:rPr>
          <w:rFonts w:asciiTheme="minorHAnsi" w:eastAsia="ＭＳ ゴシック" w:hAnsiTheme="minorHAnsi"/>
        </w:rPr>
        <w:t>0</w:t>
      </w:r>
      <w:r w:rsidRPr="00BC31E0">
        <w:rPr>
          <w:rFonts w:asciiTheme="minorEastAsia" w:eastAsiaTheme="minorEastAsia" w:hAnsiTheme="minorEastAsia" w:hint="eastAsia"/>
        </w:rPr>
        <w:t>である。</w:t>
      </w:r>
    </w:p>
    <w:p w14:paraId="746346F0" w14:textId="77777777" w:rsidR="00485A11" w:rsidRPr="00BC31E0" w:rsidRDefault="00485A11" w:rsidP="00736130">
      <w:pPr>
        <w:pStyle w:val="a4"/>
        <w:numPr>
          <w:ilvl w:val="0"/>
          <w:numId w:val="306"/>
        </w:numPr>
        <w:spacing w:after="120"/>
        <w:ind w:leftChars="0" w:left="738" w:hanging="454"/>
      </w:pPr>
      <w:r w:rsidRPr="00BC31E0">
        <w:rPr>
          <w:rFonts w:hint="eastAsia"/>
          <w:b/>
        </w:rPr>
        <w:t>半径方向応力</w:t>
      </w:r>
      <w:r w:rsidRPr="00BC31E0">
        <w:rPr>
          <w:rFonts w:hint="eastAsia"/>
        </w:rPr>
        <w:t xml:space="preserve">　</w:t>
      </w:r>
      <w:r w:rsidRPr="00BC31E0">
        <w:rPr>
          <w:rFonts w:asciiTheme="minorEastAsia" w:eastAsiaTheme="minorEastAsia" w:hAnsiTheme="minorEastAsia" w:hint="eastAsia"/>
        </w:rPr>
        <w:t>全層数を</w:t>
      </w:r>
      <m:oMath>
        <m:r>
          <w:rPr>
            <w:rFonts w:ascii="Cambria Math" w:eastAsiaTheme="minorEastAsia" w:hAnsi="Cambria Math"/>
          </w:rPr>
          <m:t xml:space="preserve">N </m:t>
        </m:r>
      </m:oMath>
      <w:r w:rsidRPr="00BC31E0">
        <w:rPr>
          <w:rFonts w:asciiTheme="minorEastAsia" w:eastAsiaTheme="minorEastAsia" w:hAnsiTheme="minorEastAsia" w:hint="eastAsia"/>
        </w:rPr>
        <w:t>層として，第</w:t>
      </w:r>
      <m:oMath>
        <m:r>
          <m:rPr>
            <m:sty m:val="p"/>
          </m:rPr>
          <w:rPr>
            <w:rFonts w:ascii="Cambria Math" w:eastAsiaTheme="minorEastAsia" w:hAnsi="Cambria Math"/>
          </w:rPr>
          <m:t xml:space="preserve"> </m:t>
        </m:r>
        <m:r>
          <w:rPr>
            <w:rFonts w:ascii="Cambria Math" w:eastAsiaTheme="minorEastAsia" w:hAnsi="Cambria Math"/>
          </w:rPr>
          <m:t xml:space="preserve">k </m:t>
        </m:r>
      </m:oMath>
      <w:r w:rsidRPr="00BC31E0">
        <w:rPr>
          <w:rFonts w:asciiTheme="minorEastAsia" w:eastAsiaTheme="minorEastAsia" w:hAnsiTheme="minorEastAsia" w:hint="eastAsia"/>
        </w:rPr>
        <w:t>層</w:t>
      </w:r>
      <w:r w:rsidRPr="00BC31E0">
        <w:rPr>
          <w:rFonts w:asciiTheme="minorEastAsia" w:eastAsiaTheme="minorEastAsia" w:hAnsiTheme="minorEastAsia"/>
        </w:rPr>
        <w:t>(</w:t>
      </w:r>
      <m:oMath>
        <m:r>
          <w:rPr>
            <w:rFonts w:ascii="Cambria Math" w:eastAsiaTheme="minorEastAsia" w:hAnsi="Cambria Math"/>
          </w:rPr>
          <m:t>D&gt;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I</m:t>
            </m:r>
          </m:sub>
        </m:sSub>
      </m:oMath>
      <w:r w:rsidRPr="00BC31E0">
        <w:rPr>
          <w:rFonts w:asciiTheme="minorEastAsia" w:eastAsiaTheme="minorEastAsia" w:hAnsiTheme="minorEastAsia" w:hint="eastAsia"/>
        </w:rPr>
        <w:t>，</w:t>
      </w:r>
      <m:oMath>
        <m:r>
          <w:rPr>
            <w:rFonts w:ascii="Cambria Math" w:eastAsiaTheme="minorEastAsia" w:hAnsi="Cambria Math"/>
          </w:rPr>
          <m:t>k&gt;1</m:t>
        </m:r>
      </m:oMath>
      <w:r w:rsidRPr="00BC31E0">
        <w:rPr>
          <w:rFonts w:asciiTheme="minorEastAsia" w:eastAsiaTheme="minorEastAsia" w:hAnsiTheme="minorEastAsia"/>
        </w:rPr>
        <w:t>)</w:t>
      </w:r>
      <w:r w:rsidRPr="00BC31E0">
        <w:rPr>
          <w:rFonts w:asciiTheme="minorEastAsia" w:eastAsiaTheme="minorEastAsia" w:hAnsiTheme="minorEastAsia" w:hint="eastAsia"/>
        </w:rPr>
        <w:t>における半径方向応力は，次式で計算する</w:t>
      </w:r>
      <w:r w:rsidRPr="00BC31E0">
        <w:rPr>
          <w:rFonts w:hint="eastAsia"/>
        </w:rPr>
        <w:t>。</w:t>
      </w:r>
    </w:p>
    <w:tbl>
      <w:tblPr>
        <w:tblStyle w:val="afff2"/>
        <w:tblW w:w="7263" w:type="dxa"/>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3"/>
        <w:gridCol w:w="2010"/>
      </w:tblGrid>
      <w:tr w:rsidR="00396243" w:rsidRPr="00BC31E0" w14:paraId="648553B5" w14:textId="77777777" w:rsidTr="0025452F">
        <w:tc>
          <w:tcPr>
            <w:tcW w:w="0" w:type="auto"/>
            <w:tcMar>
              <w:left w:w="0" w:type="dxa"/>
              <w:right w:w="0" w:type="dxa"/>
            </w:tcMar>
            <w:vAlign w:val="center"/>
          </w:tcPr>
          <w:p w14:paraId="1FA556C8" w14:textId="77777777" w:rsidR="00396243" w:rsidRPr="00BC31E0" w:rsidRDefault="00A51873" w:rsidP="0025452F">
            <w:pPr>
              <w:tabs>
                <w:tab w:val="left" w:leader="middleDot" w:pos="8222"/>
              </w:tabs>
              <w:autoSpaceDE w:val="0"/>
              <w:autoSpaceDN w:val="0"/>
              <w:jc w:val="left"/>
              <w:rPr>
                <w:i/>
              </w:rPr>
            </w:pPr>
            <m:oMathPara>
              <m:oMathParaPr>
                <m:jc m:val="left"/>
              </m:oMathParaPr>
              <m:oMath>
                <m:sSub>
                  <m:sSubPr>
                    <m:ctrlPr>
                      <w:rPr>
                        <w:rFonts w:ascii="Cambria Math" w:hAnsi="Cambria Math"/>
                        <w:i/>
                      </w:rPr>
                    </m:ctrlPr>
                  </m:sSubPr>
                  <m:e>
                    <m:r>
                      <w:rPr>
                        <w:rFonts w:ascii="Cambria Math" w:hAnsi="Cambria Math"/>
                      </w:rPr>
                      <m:t>σ</m:t>
                    </m:r>
                  </m:e>
                  <m:sub>
                    <m:r>
                      <w:rPr>
                        <w:rFonts w:ascii="Cambria Math" w:hAnsi="Cambria Math"/>
                      </w:rPr>
                      <m:t>rr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k-1</m:t>
                        </m:r>
                      </m:sub>
                    </m:sSub>
                    <m:r>
                      <w:rPr>
                        <w:rFonts w:ascii="Cambria Math" w:hAnsi="Cambria Math"/>
                      </w:rPr>
                      <m:t xml:space="preserve"> </m:t>
                    </m:r>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k-1</m:t>
                            </m:r>
                          </m:sub>
                        </m:sSub>
                      </m:e>
                      <m:sup>
                        <m:r>
                          <w:rPr>
                            <w:rFonts w:ascii="Cambria Math" w:hAnsi="Cambria Math"/>
                          </w:rPr>
                          <m:t>2</m:t>
                        </m:r>
                      </m:sup>
                    </m:sSup>
                  </m:num>
                  <m:den>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k</m:t>
                            </m:r>
                          </m:sub>
                        </m:sSub>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k-1</m:t>
                            </m:r>
                          </m:sub>
                        </m:sSub>
                      </m:e>
                      <m:sup>
                        <m:r>
                          <w:rPr>
                            <w:rFonts w:ascii="Cambria Math" w:hAnsi="Cambria Math"/>
                          </w:rPr>
                          <m:t>2</m:t>
                        </m:r>
                      </m:sup>
                    </m:sSup>
                  </m:den>
                </m:f>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k</m:t>
                                </m:r>
                              </m:sub>
                            </m:sSub>
                          </m:e>
                          <m:sup>
                            <m:r>
                              <w:rPr>
                                <w:rFonts w:ascii="Cambria Math" w:hAnsi="Cambria Math"/>
                              </w:rPr>
                              <m:t>2</m:t>
                            </m:r>
                          </m:sup>
                        </m:sSup>
                      </m:num>
                      <m:den>
                        <m:sSup>
                          <m:sSupPr>
                            <m:ctrlPr>
                              <w:rPr>
                                <w:rFonts w:ascii="Cambria Math" w:hAnsi="Cambria Math"/>
                                <w:i/>
                              </w:rPr>
                            </m:ctrlPr>
                          </m:sSupPr>
                          <m:e>
                            <m:r>
                              <w:rPr>
                                <w:rFonts w:ascii="Cambria Math" w:hAnsi="Cambria Math"/>
                              </w:rPr>
                              <m:t>D</m:t>
                            </m:r>
                          </m:e>
                          <m:sup>
                            <m:r>
                              <w:rPr>
                                <w:rFonts w:ascii="Cambria Math" w:hAnsi="Cambria Math"/>
                              </w:rPr>
                              <m:t>2</m:t>
                            </m:r>
                          </m:sup>
                        </m:sSup>
                      </m:den>
                    </m:f>
                    <m:r>
                      <w:rPr>
                        <w:rFonts w:ascii="Cambria Math" w:hAnsi="Cambria Math"/>
                      </w:rPr>
                      <m:t>-1</m:t>
                    </m:r>
                  </m:e>
                </m:d>
                <m:r>
                  <w:rPr>
                    <w:rFonts w:ascii="Cambria Math" w:hAnsi="Cambria Math"/>
                  </w:rPr>
                  <m:t>-</m:t>
                </m:r>
                <m:d>
                  <m:dPr>
                    <m:ctrlPr>
                      <w:rPr>
                        <w:rFonts w:ascii="Cambria Math" w:hAnsi="Cambria Math"/>
                        <w:i/>
                      </w:rPr>
                    </m:ctrlPr>
                  </m:dPr>
                  <m:e>
                    <m:r>
                      <w:rPr>
                        <w:rFonts w:ascii="Cambria Math" w:hAnsi="Cambria Math"/>
                      </w:rPr>
                      <m:t>1-</m:t>
                    </m:r>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I</m:t>
                                </m:r>
                              </m:sub>
                            </m:sSub>
                          </m:e>
                          <m:sup>
                            <m:r>
                              <w:rPr>
                                <w:rFonts w:ascii="Cambria Math" w:hAnsi="Cambria Math"/>
                              </w:rPr>
                              <m:t>2</m:t>
                            </m:r>
                          </m:sup>
                        </m:sSup>
                      </m:num>
                      <m:den>
                        <m:sSup>
                          <m:sSupPr>
                            <m:ctrlPr>
                              <w:rPr>
                                <w:rFonts w:ascii="Cambria Math" w:hAnsi="Cambria Math"/>
                                <w:i/>
                              </w:rPr>
                            </m:ctrlPr>
                          </m:sSupPr>
                          <m:e>
                            <m:r>
                              <w:rPr>
                                <w:rFonts w:ascii="Cambria Math" w:hAnsi="Cambria Math"/>
                              </w:rPr>
                              <m:t>D</m:t>
                            </m:r>
                          </m:e>
                          <m:sup>
                            <m:r>
                              <w:rPr>
                                <w:rFonts w:ascii="Cambria Math" w:hAnsi="Cambria Math"/>
                              </w:rPr>
                              <m:t>2</m:t>
                            </m:r>
                          </m:sup>
                        </m:sSup>
                      </m:den>
                    </m:f>
                  </m:e>
                </m:d>
                <m:nary>
                  <m:naryPr>
                    <m:chr m:val="∑"/>
                    <m:limLoc m:val="undOvr"/>
                    <m:ctrlPr>
                      <w:rPr>
                        <w:rFonts w:ascii="Cambria Math" w:hAnsi="Cambria Math"/>
                        <w:i/>
                      </w:rPr>
                    </m:ctrlPr>
                  </m:naryPr>
                  <m:sub>
                    <m:r>
                      <w:rPr>
                        <w:rFonts w:ascii="Cambria Math" w:hAnsi="Cambria Math"/>
                      </w:rPr>
                      <m:t>n=k</m:t>
                    </m:r>
                  </m:sub>
                  <m:sup>
                    <m:r>
                      <w:rPr>
                        <w:rFonts w:ascii="Cambria Math" w:hAnsi="Cambria Math"/>
                      </w:rPr>
                      <m:t>N</m:t>
                    </m:r>
                  </m:sup>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 xml:space="preserve"> </m:t>
                        </m:r>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n</m:t>
                                </m:r>
                              </m:sub>
                            </m:sSub>
                          </m:e>
                          <m:sup>
                            <m:r>
                              <w:rPr>
                                <w:rFonts w:ascii="Cambria Math" w:hAnsi="Cambria Math"/>
                              </w:rPr>
                              <m:t>2</m:t>
                            </m:r>
                          </m:sup>
                        </m:sSup>
                      </m:num>
                      <m:den>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n</m:t>
                                </m:r>
                              </m:sub>
                            </m:sSub>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I</m:t>
                                </m:r>
                              </m:sub>
                            </m:sSub>
                          </m:e>
                          <m:sup>
                            <m:r>
                              <w:rPr>
                                <w:rFonts w:ascii="Cambria Math" w:hAnsi="Cambria Math"/>
                              </w:rPr>
                              <m:t>2</m:t>
                            </m:r>
                          </m:sup>
                        </m:sSup>
                      </m:den>
                    </m:f>
                  </m:e>
                </m:nary>
              </m:oMath>
            </m:oMathPara>
          </w:p>
        </w:tc>
        <w:tc>
          <w:tcPr>
            <w:tcW w:w="2010" w:type="dxa"/>
            <w:tcMar>
              <w:left w:w="0" w:type="dxa"/>
              <w:right w:w="0" w:type="dxa"/>
            </w:tcMar>
            <w:vAlign w:val="center"/>
          </w:tcPr>
          <w:p w14:paraId="24FEF838" w14:textId="77777777" w:rsidR="00396243" w:rsidRPr="00BC31E0" w:rsidRDefault="00396243" w:rsidP="0025452F">
            <w:pPr>
              <w:tabs>
                <w:tab w:val="left" w:leader="middleDot" w:pos="1160"/>
              </w:tabs>
              <w:autoSpaceDE w:val="0"/>
              <w:autoSpaceDN w:val="0"/>
              <w:jc w:val="left"/>
            </w:pPr>
            <w:r w:rsidRPr="00BC31E0">
              <w:tab/>
            </w:r>
            <w:r w:rsidRPr="00BC31E0">
              <w:rPr>
                <w:rFonts w:hint="eastAsia"/>
              </w:rPr>
              <w:t>(6.8.9)</w:t>
            </w:r>
          </w:p>
        </w:tc>
      </w:tr>
    </w:tbl>
    <w:p w14:paraId="69E93F03" w14:textId="77777777" w:rsidR="00485A11" w:rsidRPr="00BC31E0" w:rsidRDefault="00485A11" w:rsidP="00B336AF">
      <w:pPr>
        <w:autoSpaceDE w:val="0"/>
        <w:autoSpaceDN w:val="0"/>
        <w:spacing w:before="120"/>
        <w:ind w:left="737" w:firstLineChars="100" w:firstLine="210"/>
        <w:rPr>
          <w:rFonts w:asciiTheme="minorEastAsia" w:eastAsiaTheme="minorEastAsia" w:hAnsiTheme="minorEastAsia"/>
        </w:rPr>
      </w:pPr>
      <w:r w:rsidRPr="00BC31E0">
        <w:rPr>
          <w:rFonts w:asciiTheme="minorEastAsia" w:eastAsiaTheme="minorEastAsia" w:hAnsiTheme="minorEastAsia" w:hint="eastAsia"/>
        </w:rPr>
        <w:t>ただし，</w:t>
      </w:r>
      <m:oMath>
        <m:r>
          <w:rPr>
            <w:rFonts w:ascii="Cambria Math" w:eastAsiaTheme="minorEastAsia" w:hAnsi="Cambria Math"/>
          </w:rPr>
          <m:t xml:space="preserve">k=1 </m:t>
        </m:r>
      </m:oMath>
      <w:r w:rsidRPr="00BC31E0">
        <w:rPr>
          <w:rFonts w:asciiTheme="minorEastAsia" w:eastAsiaTheme="minorEastAsia" w:hAnsiTheme="minorEastAsia" w:hint="eastAsia"/>
        </w:rPr>
        <w:t>の場合は，右辺の第</w:t>
      </w:r>
      <w:r w:rsidRPr="00BC31E0">
        <w:rPr>
          <w:rFonts w:asciiTheme="minorEastAsia" w:eastAsiaTheme="minorEastAsia" w:hAnsiTheme="minorEastAsia"/>
        </w:rPr>
        <w:t>1</w:t>
      </w:r>
      <w:r w:rsidRPr="00BC31E0">
        <w:rPr>
          <w:rFonts w:asciiTheme="minorEastAsia" w:eastAsiaTheme="minorEastAsia" w:hAnsiTheme="minorEastAsia" w:hint="eastAsia"/>
        </w:rPr>
        <w:t>項は</w:t>
      </w:r>
      <w:r w:rsidRPr="00BC31E0">
        <w:rPr>
          <w:rFonts w:asciiTheme="minorHAnsi" w:eastAsiaTheme="minorEastAsia" w:hAnsiTheme="minorHAnsi"/>
        </w:rPr>
        <w:t>0</w:t>
      </w:r>
      <w:r w:rsidRPr="00BC31E0">
        <w:rPr>
          <w:rFonts w:asciiTheme="minorEastAsia" w:eastAsiaTheme="minorEastAsia" w:hAnsiTheme="minorEastAsia" w:hint="eastAsia"/>
        </w:rPr>
        <w:t>である。</w:t>
      </w:r>
    </w:p>
    <w:p w14:paraId="34234463" w14:textId="77777777" w:rsidR="00485A11" w:rsidRPr="00BC31E0" w:rsidRDefault="00485A11" w:rsidP="0032018E">
      <w:pPr>
        <w:pStyle w:val="3"/>
        <w:tabs>
          <w:tab w:val="clear" w:pos="284"/>
        </w:tabs>
        <w:ind w:left="794" w:hanging="794"/>
      </w:pPr>
      <w:r w:rsidRPr="00BC31E0">
        <w:rPr>
          <w:rFonts w:hint="eastAsia"/>
        </w:rPr>
        <w:t>溶接巻き多層容器</w:t>
      </w:r>
    </w:p>
    <w:p w14:paraId="48034BD4" w14:textId="77777777" w:rsidR="00485A11" w:rsidRPr="00BC31E0" w:rsidRDefault="00485A11" w:rsidP="00B336AF">
      <w:pPr>
        <w:pStyle w:val="1110"/>
        <w:ind w:firstLine="211"/>
      </w:pPr>
      <w:r w:rsidRPr="00BC31E0">
        <w:rPr>
          <w:rFonts w:ascii="ＭＳ ゴシック" w:eastAsia="ＭＳ ゴシック" w:hAnsi="ＭＳ ゴシック" w:hint="eastAsia"/>
          <w:b/>
        </w:rPr>
        <w:t>図6</w:t>
      </w:r>
      <w:r w:rsidRPr="00BC31E0">
        <w:rPr>
          <w:rFonts w:ascii="ＭＳ ゴシック" w:eastAsia="ＭＳ ゴシック" w:hAnsi="ＭＳ ゴシック"/>
          <w:b/>
        </w:rPr>
        <w:t>.8.2</w:t>
      </w:r>
      <w:r w:rsidRPr="00BC31E0">
        <w:rPr>
          <w:rFonts w:hint="eastAsia"/>
        </w:rPr>
        <w:t>に示した溶接巻き多層容器は，次の</w:t>
      </w:r>
      <w:r w:rsidRPr="00BC31E0">
        <w:rPr>
          <w:rFonts w:ascii="ＭＳ ゴシック" w:eastAsia="ＭＳ ゴシック" w:hAnsi="ＭＳ ゴシック" w:hint="eastAsia"/>
          <w:b/>
        </w:rPr>
        <w:t>a)</w:t>
      </w:r>
      <w:r w:rsidRPr="00BC31E0">
        <w:rPr>
          <w:rFonts w:hint="eastAsia"/>
        </w:rPr>
        <w:t>～</w:t>
      </w:r>
      <w:r w:rsidRPr="00BC31E0">
        <w:rPr>
          <w:rFonts w:ascii="ＭＳ ゴシック" w:eastAsia="ＭＳ ゴシック" w:hAnsi="ＭＳ ゴシック" w:hint="eastAsia"/>
          <w:b/>
        </w:rPr>
        <w:t>c)</w:t>
      </w:r>
      <w:r w:rsidRPr="00BC31E0">
        <w:rPr>
          <w:rFonts w:hint="eastAsia"/>
        </w:rPr>
        <w:t>による。</w:t>
      </w:r>
    </w:p>
    <w:p w14:paraId="4180D0E4" w14:textId="77777777" w:rsidR="00485A11" w:rsidRPr="00BC31E0" w:rsidRDefault="00485A11" w:rsidP="00736130">
      <w:pPr>
        <w:pStyle w:val="a4"/>
        <w:numPr>
          <w:ilvl w:val="0"/>
          <w:numId w:val="308"/>
        </w:numPr>
        <w:ind w:leftChars="0" w:left="454" w:hanging="454"/>
        <w:rPr>
          <w:rFonts w:ascii="ＭＳ 明朝"/>
        </w:rPr>
      </w:pPr>
      <w:r w:rsidRPr="00BC31E0">
        <w:rPr>
          <w:rFonts w:asciiTheme="majorEastAsia" w:eastAsiaTheme="majorEastAsia" w:hAnsiTheme="majorEastAsia" w:hint="eastAsia"/>
          <w:b/>
        </w:rPr>
        <w:t>制限事項</w:t>
      </w:r>
      <w:r w:rsidRPr="00BC31E0">
        <w:rPr>
          <w:rFonts w:hint="eastAsia"/>
        </w:rPr>
        <w:t xml:space="preserve">　</w:t>
      </w:r>
      <w:r w:rsidRPr="00BC31E0">
        <w:rPr>
          <w:rFonts w:ascii="ＭＳ 明朝" w:hint="eastAsia"/>
        </w:rPr>
        <w:t>溶接巻き多層容器の設計については，次の</w:t>
      </w:r>
      <w:r w:rsidRPr="00BC31E0">
        <w:rPr>
          <w:rFonts w:asciiTheme="majorEastAsia" w:eastAsiaTheme="majorEastAsia" w:hAnsiTheme="majorEastAsia" w:hint="eastAsia"/>
          <w:b/>
          <w:bCs/>
        </w:rPr>
        <w:t>1)</w:t>
      </w:r>
      <w:r w:rsidRPr="00BC31E0">
        <w:rPr>
          <w:rFonts w:ascii="ＭＳ 明朝" w:hint="eastAsia"/>
        </w:rPr>
        <w:t>～</w:t>
      </w:r>
      <w:r w:rsidRPr="00BC31E0">
        <w:rPr>
          <w:rFonts w:asciiTheme="majorEastAsia" w:eastAsiaTheme="majorEastAsia" w:hAnsiTheme="majorEastAsia" w:hint="eastAsia"/>
          <w:b/>
          <w:bCs/>
        </w:rPr>
        <w:t>5)</w:t>
      </w:r>
      <w:r w:rsidRPr="00BC31E0">
        <w:rPr>
          <w:rFonts w:ascii="ＭＳ 明朝" w:hint="eastAsia"/>
        </w:rPr>
        <w:t>の条件を満足しなければならない。</w:t>
      </w:r>
    </w:p>
    <w:p w14:paraId="05DAA29C" w14:textId="77777777" w:rsidR="00B336AF" w:rsidRPr="00BC31E0" w:rsidRDefault="00DC160D" w:rsidP="00736130">
      <w:pPr>
        <w:pStyle w:val="a4"/>
        <w:numPr>
          <w:ilvl w:val="0"/>
          <w:numId w:val="307"/>
        </w:numPr>
        <w:ind w:leftChars="0" w:left="738" w:hanging="454"/>
      </w:pPr>
      <w:r w:rsidRPr="00BC31E0">
        <w:rPr>
          <w:rFonts w:hint="eastAsia"/>
        </w:rPr>
        <w:t>全</w:t>
      </w:r>
      <w:r w:rsidR="00485A11" w:rsidRPr="00BC31E0">
        <w:rPr>
          <w:rFonts w:hint="eastAsia"/>
        </w:rPr>
        <w:t>ての層について，内外径比が</w:t>
      </w:r>
      <w:r w:rsidR="00485A11" w:rsidRPr="00BC31E0">
        <w:rPr>
          <w:rFonts w:asciiTheme="minorHAnsi" w:hAnsiTheme="minorHAnsi"/>
        </w:rPr>
        <w:t>1.10</w:t>
      </w:r>
      <w:r w:rsidR="00485A11" w:rsidRPr="00BC31E0">
        <w:rPr>
          <w:rFonts w:hint="eastAsia"/>
        </w:rPr>
        <w:t>を超えない。</w:t>
      </w:r>
    </w:p>
    <w:p w14:paraId="2F9CDDBD" w14:textId="77777777" w:rsidR="00B336AF" w:rsidRPr="00BC31E0" w:rsidRDefault="00DC160D" w:rsidP="00736130">
      <w:pPr>
        <w:pStyle w:val="a4"/>
        <w:numPr>
          <w:ilvl w:val="0"/>
          <w:numId w:val="307"/>
        </w:numPr>
        <w:ind w:leftChars="0" w:left="738" w:hanging="454"/>
      </w:pPr>
      <w:r w:rsidRPr="00BC31E0">
        <w:rPr>
          <w:rFonts w:hint="eastAsia"/>
        </w:rPr>
        <w:t>全</w:t>
      </w:r>
      <w:r w:rsidR="00485A11" w:rsidRPr="00BC31E0">
        <w:rPr>
          <w:rFonts w:hint="eastAsia"/>
        </w:rPr>
        <w:t>ての層は，</w:t>
      </w:r>
      <w:r w:rsidR="00485A11" w:rsidRPr="00BC31E0">
        <w:rPr>
          <w:rFonts w:asciiTheme="minorHAnsi" w:hAnsiTheme="minorHAnsi"/>
        </w:rPr>
        <w:t>6 mm</w:t>
      </w:r>
      <w:r w:rsidR="00485A11" w:rsidRPr="00BC31E0">
        <w:rPr>
          <w:rFonts w:hint="eastAsia"/>
        </w:rPr>
        <w:t>を超える厚さをもつ。</w:t>
      </w:r>
    </w:p>
    <w:p w14:paraId="2FF375CD" w14:textId="77777777" w:rsidR="00B336AF" w:rsidRPr="00BC31E0" w:rsidRDefault="00DC160D" w:rsidP="00736130">
      <w:pPr>
        <w:pStyle w:val="a4"/>
        <w:numPr>
          <w:ilvl w:val="0"/>
          <w:numId w:val="307"/>
        </w:numPr>
        <w:ind w:leftChars="0" w:left="738" w:hanging="454"/>
      </w:pPr>
      <w:r w:rsidRPr="00BC31E0">
        <w:rPr>
          <w:rFonts w:hint="eastAsia"/>
        </w:rPr>
        <w:t>全</w:t>
      </w:r>
      <w:r w:rsidR="00485A11" w:rsidRPr="00BC31E0">
        <w:rPr>
          <w:rFonts w:hint="eastAsia"/>
        </w:rPr>
        <w:t>ての層の設計温度での縦弾性係数とポアソン比は，同一である。</w:t>
      </w:r>
    </w:p>
    <w:p w14:paraId="29FB00A8" w14:textId="77777777" w:rsidR="00B336AF" w:rsidRPr="00BC31E0" w:rsidRDefault="00485A11" w:rsidP="00736130">
      <w:pPr>
        <w:pStyle w:val="a4"/>
        <w:numPr>
          <w:ilvl w:val="0"/>
          <w:numId w:val="307"/>
        </w:numPr>
        <w:ind w:leftChars="0" w:left="738" w:hanging="454"/>
      </w:pPr>
      <w:r w:rsidRPr="00BC31E0">
        <w:rPr>
          <w:rFonts w:hint="eastAsia"/>
        </w:rPr>
        <w:t>疲労設計にあたっては，残留応力の有利な効果を考慮しない。</w:t>
      </w:r>
    </w:p>
    <w:p w14:paraId="1D54F5F0" w14:textId="77777777" w:rsidR="00485A11" w:rsidRPr="00BC31E0" w:rsidRDefault="00485A11" w:rsidP="00736130">
      <w:pPr>
        <w:pStyle w:val="a4"/>
        <w:numPr>
          <w:ilvl w:val="0"/>
          <w:numId w:val="307"/>
        </w:numPr>
        <w:ind w:leftChars="0" w:left="738" w:hanging="454"/>
      </w:pPr>
      <w:r w:rsidRPr="00BC31E0">
        <w:rPr>
          <w:rFonts w:hint="eastAsia"/>
        </w:rPr>
        <w:t>応力解析の際，層間隙間の効果を考える。</w:t>
      </w:r>
    </w:p>
    <w:p w14:paraId="5F6BC7E9" w14:textId="77777777" w:rsidR="00485A11" w:rsidRPr="00BC31E0" w:rsidRDefault="00485A11" w:rsidP="00736130">
      <w:pPr>
        <w:pStyle w:val="a4"/>
        <w:numPr>
          <w:ilvl w:val="0"/>
          <w:numId w:val="308"/>
        </w:numPr>
        <w:spacing w:after="120"/>
        <w:ind w:leftChars="0" w:left="454" w:hanging="454"/>
      </w:pPr>
      <w:r w:rsidRPr="00BC31E0">
        <w:rPr>
          <w:rFonts w:asciiTheme="majorEastAsia" w:eastAsiaTheme="majorEastAsia" w:hAnsiTheme="majorEastAsia" w:hint="eastAsia"/>
          <w:b/>
        </w:rPr>
        <w:t>層間隙間係数</w:t>
      </w:r>
      <w:r w:rsidRPr="00BC31E0">
        <w:rPr>
          <w:rFonts w:hint="eastAsia"/>
        </w:rPr>
        <w:t xml:space="preserve">　溶接巻き円筒の耐圧試験圧力での理論周長</w:t>
      </w:r>
      <w:r w:rsidR="00F22540" w:rsidRPr="00BC31E0">
        <w:rPr>
          <w:rFonts w:hint="eastAsia"/>
        </w:rPr>
        <w:t>伸び</w:t>
      </w:r>
      <m:oMath>
        <m:sSub>
          <m:sSubPr>
            <m:ctrlPr>
              <w:rPr>
                <w:rFonts w:ascii="Cambria Math" w:hAnsi="Cambria Math"/>
                <w:i/>
              </w:rPr>
            </m:ctrlPr>
          </m:sSubPr>
          <m:e>
            <m:r>
              <w:rPr>
                <w:rFonts w:ascii="Cambria Math" w:hAnsi="Cambria Math"/>
              </w:rPr>
              <m:t xml:space="preserve"> e</m:t>
            </m:r>
          </m:e>
          <m:sub>
            <m:r>
              <w:rPr>
                <w:rFonts w:ascii="Cambria Math" w:hAnsi="Cambria Math"/>
              </w:rPr>
              <m:t>th</m:t>
            </m:r>
          </m:sub>
        </m:sSub>
        <m:r>
          <w:rPr>
            <w:rFonts w:ascii="Cambria Math" w:hAnsi="Cambria Math"/>
          </w:rPr>
          <m:t xml:space="preserve"> </m:t>
        </m:r>
      </m:oMath>
      <w:r w:rsidRPr="00BC31E0">
        <w:rPr>
          <w:rFonts w:hint="eastAsia"/>
        </w:rPr>
        <w:t>を次式で計算する。</w:t>
      </w:r>
    </w:p>
    <w:tbl>
      <w:tblPr>
        <w:tblStyle w:val="afff2"/>
        <w:tblW w:w="5953" w:type="dxa"/>
        <w:tblInd w:w="3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3969"/>
      </w:tblGrid>
      <w:tr w:rsidR="004D10B2" w:rsidRPr="00BC31E0" w14:paraId="21E4825E" w14:textId="77777777" w:rsidTr="0025452F">
        <w:tc>
          <w:tcPr>
            <w:tcW w:w="1984" w:type="dxa"/>
            <w:tcMar>
              <w:left w:w="0" w:type="dxa"/>
              <w:right w:w="0" w:type="dxa"/>
            </w:tcMar>
            <w:vAlign w:val="center"/>
          </w:tcPr>
          <w:p w14:paraId="44E119AC" w14:textId="77777777" w:rsidR="004D10B2" w:rsidRPr="00BC31E0" w:rsidRDefault="00A51873" w:rsidP="0025452F">
            <w:pPr>
              <w:tabs>
                <w:tab w:val="left" w:leader="middleDot" w:pos="8222"/>
              </w:tabs>
              <w:autoSpaceDE w:val="0"/>
              <w:autoSpaceDN w:val="0"/>
              <w:jc w:val="left"/>
              <w:rPr>
                <w:i/>
              </w:rPr>
            </w:pPr>
            <m:oMathPara>
              <m:oMathParaPr>
                <m:jc m:val="left"/>
              </m:oMathParaPr>
              <m:oMath>
                <m:sSub>
                  <m:sSubPr>
                    <m:ctrlPr>
                      <w:rPr>
                        <w:rFonts w:ascii="Cambria Math" w:hAnsi="Cambria Math"/>
                        <w:i/>
                      </w:rPr>
                    </m:ctrlPr>
                  </m:sSubPr>
                  <m:e>
                    <m:r>
                      <w:rPr>
                        <w:rFonts w:ascii="Cambria Math" w:hAnsi="Cambria Math"/>
                      </w:rPr>
                      <m:t>e</m:t>
                    </m:r>
                  </m:e>
                  <m:sub>
                    <m:r>
                      <w:rPr>
                        <w:rFonts w:ascii="Cambria Math" w:hAnsi="Cambria Math"/>
                      </w:rPr>
                      <m:t>th</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 xml:space="preserve">t </m:t>
                        </m:r>
                      </m:sub>
                    </m:sSub>
                    <m:d>
                      <m:dPr>
                        <m:ctrlPr>
                          <w:rPr>
                            <w:rFonts w:ascii="Cambria Math" w:hAnsi="Cambria Math"/>
                            <w:i/>
                          </w:rPr>
                        </m:ctrlPr>
                      </m:dPr>
                      <m:e>
                        <m:r>
                          <w:rPr>
                            <w:rFonts w:ascii="Cambria Math" w:hAnsi="Cambria Math"/>
                          </w:rPr>
                          <m:t>2-ν</m:t>
                        </m:r>
                      </m:e>
                    </m:d>
                    <m:r>
                      <w:rPr>
                        <w:rFonts w:ascii="Cambria Math" w:hAnsi="Cambria Math"/>
                      </w:rPr>
                      <m:t xml:space="preserve"> π </m:t>
                    </m:r>
                    <m:sSub>
                      <m:sSubPr>
                        <m:ctrlPr>
                          <w:rPr>
                            <w:rFonts w:ascii="Cambria Math" w:hAnsi="Cambria Math"/>
                            <w:i/>
                          </w:rPr>
                        </m:ctrlPr>
                      </m:sSubPr>
                      <m:e>
                        <m:r>
                          <w:rPr>
                            <w:rFonts w:ascii="Cambria Math" w:hAnsi="Cambria Math"/>
                          </w:rPr>
                          <m:t>D</m:t>
                        </m:r>
                      </m:e>
                      <m:sub>
                        <m:r>
                          <w:rPr>
                            <w:rFonts w:ascii="Cambria Math" w:hAnsi="Cambria Math"/>
                          </w:rPr>
                          <m:t>O</m:t>
                        </m:r>
                      </m:sub>
                    </m:sSub>
                  </m:num>
                  <m:den>
                    <m:r>
                      <w:rPr>
                        <w:rFonts w:ascii="Cambria Math" w:hAnsi="Cambria Math"/>
                      </w:rPr>
                      <m:t xml:space="preserve">E </m:t>
                    </m:r>
                    <m:d>
                      <m:dPr>
                        <m:ctrlPr>
                          <w:rPr>
                            <w:rFonts w:ascii="Cambria Math" w:hAnsi="Cambria Math"/>
                            <w:i/>
                          </w:rPr>
                        </m:ctrlPr>
                      </m:dPr>
                      <m:e>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-1</m:t>
                        </m:r>
                      </m:e>
                    </m:d>
                  </m:den>
                </m:f>
              </m:oMath>
            </m:oMathPara>
          </w:p>
        </w:tc>
        <w:tc>
          <w:tcPr>
            <w:tcW w:w="3969" w:type="dxa"/>
            <w:tcMar>
              <w:left w:w="0" w:type="dxa"/>
              <w:right w:w="0" w:type="dxa"/>
            </w:tcMar>
            <w:vAlign w:val="center"/>
          </w:tcPr>
          <w:p w14:paraId="0AA2C822" w14:textId="77777777" w:rsidR="004D10B2" w:rsidRPr="00BC31E0" w:rsidRDefault="004D10B2" w:rsidP="00864E60">
            <w:pPr>
              <w:tabs>
                <w:tab w:val="left" w:leader="middleDot" w:pos="3119"/>
              </w:tabs>
              <w:autoSpaceDE w:val="0"/>
              <w:autoSpaceDN w:val="0"/>
              <w:jc w:val="left"/>
            </w:pPr>
            <w:r w:rsidRPr="00BC31E0">
              <w:tab/>
            </w:r>
            <w:r w:rsidRPr="00BC31E0">
              <w:rPr>
                <w:rFonts w:hint="eastAsia"/>
              </w:rPr>
              <w:t>(6.8.10)</w:t>
            </w:r>
          </w:p>
        </w:tc>
      </w:tr>
    </w:tbl>
    <w:p w14:paraId="566A0499" w14:textId="77777777" w:rsidR="00485A11" w:rsidRPr="00BC31E0" w:rsidRDefault="00485A11" w:rsidP="004D10B2">
      <w:pPr>
        <w:pStyle w:val="15"/>
        <w:spacing w:before="120"/>
        <w:ind w:left="454" w:firstLine="210"/>
      </w:pPr>
      <w:r w:rsidRPr="00BC31E0">
        <w:rPr>
          <w:rStyle w:val="1Char"/>
          <w:rFonts w:hint="eastAsia"/>
        </w:rPr>
        <w:t>耐圧試験時に，実測によって得られる周長</w:t>
      </w:r>
      <w:r w:rsidR="00F22540" w:rsidRPr="00BC31E0">
        <w:rPr>
          <w:rStyle w:val="1Char"/>
          <w:rFonts w:hint="eastAsia"/>
        </w:rPr>
        <w:t>伸び</w:t>
      </w:r>
      <w:r w:rsidRPr="00BC31E0">
        <w:rPr>
          <w:rStyle w:val="1Char"/>
          <w:rFonts w:hint="eastAsia"/>
        </w:rPr>
        <w:t>を</w:t>
      </w:r>
      <m:oMath>
        <m:r>
          <m:rPr>
            <m:sty m:val="p"/>
          </m:rPr>
          <w:rPr>
            <w:rStyle w:val="1Char"/>
            <w:rFonts w:ascii="Cambria Math" w:hAnsi="Cambria Math"/>
          </w:rPr>
          <m:t xml:space="preserve"> </m:t>
        </m:r>
        <m:sSub>
          <m:sSubPr>
            <m:ctrlPr>
              <w:rPr>
                <w:rStyle w:val="1Char"/>
                <w:rFonts w:ascii="Cambria Math" w:hAnsi="Cambria Math"/>
              </w:rPr>
            </m:ctrlPr>
          </m:sSubPr>
          <m:e>
            <m:r>
              <w:rPr>
                <w:rStyle w:val="1Char"/>
                <w:rFonts w:ascii="Cambria Math" w:hAnsi="Cambria Math"/>
              </w:rPr>
              <m:t>e</m:t>
            </m:r>
          </m:e>
          <m:sub>
            <m:r>
              <w:rPr>
                <w:rStyle w:val="1Char"/>
                <w:rFonts w:ascii="Cambria Math" w:hAnsi="Cambria Math"/>
              </w:rPr>
              <m:t>m</m:t>
            </m:r>
          </m:sub>
        </m:sSub>
      </m:oMath>
      <w:r w:rsidRPr="00BC31E0">
        <w:rPr>
          <w:rStyle w:val="1Char"/>
          <w:rFonts w:hint="eastAsia"/>
        </w:rPr>
        <w:t>として，層間隙間係数</w:t>
      </w:r>
      <m:oMath>
        <m:sSub>
          <m:sSubPr>
            <m:ctrlPr>
              <w:rPr>
                <w:rFonts w:ascii="Cambria Math" w:hAnsi="Cambria Math"/>
                <w:i/>
              </w:rPr>
            </m:ctrlPr>
          </m:sSubPr>
          <m:e>
            <m:r>
              <w:rPr>
                <w:rFonts w:ascii="Cambria Math" w:hAnsi="Cambria Math"/>
              </w:rPr>
              <m:t xml:space="preserve"> Q</m:t>
            </m:r>
          </m:e>
          <m:sub>
            <m:r>
              <w:rPr>
                <w:rFonts w:ascii="Cambria Math" w:hAnsi="Cambria Math"/>
              </w:rPr>
              <m:t xml:space="preserve">c  </m:t>
            </m:r>
          </m:sub>
        </m:sSub>
      </m:oMath>
      <w:r w:rsidRPr="00BC31E0">
        <w:rPr>
          <w:rStyle w:val="1Char"/>
          <w:rFonts w:hint="eastAsia"/>
        </w:rPr>
        <w:t>は次式で与えら</w:t>
      </w:r>
      <w:r w:rsidRPr="00BC31E0">
        <w:rPr>
          <w:rFonts w:hint="eastAsia"/>
        </w:rPr>
        <w:t>れる。</w:t>
      </w:r>
    </w:p>
    <w:tbl>
      <w:tblPr>
        <w:tblStyle w:val="afff2"/>
        <w:tblW w:w="5953" w:type="dxa"/>
        <w:tblInd w:w="3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8"/>
        <w:gridCol w:w="5185"/>
      </w:tblGrid>
      <w:tr w:rsidR="004D10B2" w:rsidRPr="00BC31E0" w14:paraId="00D4605E" w14:textId="77777777" w:rsidTr="0025452F">
        <w:tc>
          <w:tcPr>
            <w:tcW w:w="0" w:type="auto"/>
            <w:tcMar>
              <w:left w:w="0" w:type="dxa"/>
              <w:right w:w="0" w:type="dxa"/>
            </w:tcMar>
            <w:vAlign w:val="center"/>
          </w:tcPr>
          <w:p w14:paraId="3C3F411E" w14:textId="77777777" w:rsidR="004D10B2" w:rsidRPr="00BC31E0" w:rsidRDefault="00A51873" w:rsidP="0025452F">
            <w:pPr>
              <w:tabs>
                <w:tab w:val="left" w:leader="middleDot" w:pos="8222"/>
              </w:tabs>
              <w:autoSpaceDE w:val="0"/>
              <w:autoSpaceDN w:val="0"/>
              <w:jc w:val="left"/>
              <w:rPr>
                <w:i/>
              </w:rPr>
            </w:pPr>
            <m:oMathPara>
              <m:oMathParaPr>
                <m:jc m:val="left"/>
              </m:oMathParaPr>
              <m:oMath>
                <m:sSub>
                  <m:sSubPr>
                    <m:ctrlPr>
                      <w:rPr>
                        <w:rFonts w:ascii="Cambria Math" w:hAnsi="Cambria Math"/>
                        <w:i/>
                      </w:rPr>
                    </m:ctrlPr>
                  </m:sSubPr>
                  <m:e>
                    <m:r>
                      <w:rPr>
                        <w:rFonts w:ascii="Cambria Math" w:hAnsi="Cambria Math"/>
                      </w:rPr>
                      <m:t>Q</m:t>
                    </m:r>
                  </m:e>
                  <m:sub>
                    <m:r>
                      <w:rPr>
                        <w:rFonts w:ascii="Cambria Math" w:hAnsi="Cambria Math"/>
                      </w:rPr>
                      <m:t>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m</m:t>
                        </m:r>
                      </m:sub>
                    </m:sSub>
                  </m:num>
                  <m:den>
                    <m:sSub>
                      <m:sSubPr>
                        <m:ctrlPr>
                          <w:rPr>
                            <w:rFonts w:ascii="Cambria Math" w:hAnsi="Cambria Math"/>
                            <w:i/>
                          </w:rPr>
                        </m:ctrlPr>
                      </m:sSubPr>
                      <m:e>
                        <m:r>
                          <w:rPr>
                            <w:rFonts w:ascii="Cambria Math" w:hAnsi="Cambria Math"/>
                          </w:rPr>
                          <m:t>e</m:t>
                        </m:r>
                      </m:e>
                      <m:sub>
                        <m:r>
                          <w:rPr>
                            <w:rFonts w:ascii="Cambria Math" w:hAnsi="Cambria Math"/>
                          </w:rPr>
                          <m:t>th</m:t>
                        </m:r>
                      </m:sub>
                    </m:sSub>
                  </m:den>
                </m:f>
              </m:oMath>
            </m:oMathPara>
          </w:p>
        </w:tc>
        <w:tc>
          <w:tcPr>
            <w:tcW w:w="5185" w:type="dxa"/>
            <w:tcMar>
              <w:left w:w="0" w:type="dxa"/>
              <w:right w:w="0" w:type="dxa"/>
            </w:tcMar>
            <w:vAlign w:val="center"/>
          </w:tcPr>
          <w:p w14:paraId="61B1E613" w14:textId="77777777" w:rsidR="004D10B2" w:rsidRPr="00BC31E0" w:rsidRDefault="004D10B2" w:rsidP="0025452F">
            <w:pPr>
              <w:tabs>
                <w:tab w:val="left" w:leader="middleDot" w:pos="4345"/>
              </w:tabs>
              <w:autoSpaceDE w:val="0"/>
              <w:autoSpaceDN w:val="0"/>
              <w:jc w:val="left"/>
            </w:pPr>
            <w:r w:rsidRPr="00BC31E0">
              <w:tab/>
            </w:r>
            <w:r w:rsidRPr="00BC31E0">
              <w:rPr>
                <w:rFonts w:hint="eastAsia"/>
              </w:rPr>
              <w:t>(6.8.11)</w:t>
            </w:r>
          </w:p>
        </w:tc>
      </w:tr>
    </w:tbl>
    <w:p w14:paraId="6E81941E" w14:textId="77777777" w:rsidR="00485A11" w:rsidRPr="00BC31E0" w:rsidRDefault="00485A11" w:rsidP="004D10B2">
      <w:pPr>
        <w:pStyle w:val="15"/>
        <w:spacing w:before="120"/>
        <w:ind w:left="737" w:firstLine="210"/>
      </w:pPr>
      <w:r w:rsidRPr="00BC31E0">
        <w:rPr>
          <w:rFonts w:hint="eastAsia"/>
        </w:rPr>
        <w:t>ここで，</w:t>
      </w:r>
      <m:oMath>
        <m:sSub>
          <m:sSubPr>
            <m:ctrlPr>
              <w:rPr>
                <w:rFonts w:ascii="Cambria Math" w:hAnsi="Cambria Math"/>
                <w:i/>
              </w:rPr>
            </m:ctrlPr>
          </m:sSubPr>
          <m:e>
            <m:r>
              <w:rPr>
                <w:rFonts w:ascii="Cambria Math" w:hAnsi="Cambria Math"/>
              </w:rPr>
              <m:t>Q</m:t>
            </m:r>
          </m:e>
          <m:sub>
            <m:r>
              <w:rPr>
                <w:rFonts w:ascii="Cambria Math" w:hAnsi="Cambria Math"/>
              </w:rPr>
              <m:t xml:space="preserve">c </m:t>
            </m:r>
          </m:sub>
        </m:sSub>
      </m:oMath>
      <w:r w:rsidRPr="00BC31E0">
        <w:rPr>
          <w:rFonts w:hint="eastAsia"/>
        </w:rPr>
        <w:t>は</w:t>
      </w:r>
      <w:r w:rsidRPr="00BC31E0">
        <w:t>0.5</w:t>
      </w:r>
      <w:r w:rsidRPr="00BC31E0">
        <w:rPr>
          <w:rFonts w:hint="eastAsia"/>
        </w:rPr>
        <w:t>から</w:t>
      </w:r>
      <w:r w:rsidRPr="00BC31E0">
        <w:t>1.0</w:t>
      </w:r>
      <w:r w:rsidRPr="00BC31E0">
        <w:rPr>
          <w:rFonts w:hint="eastAsia"/>
        </w:rPr>
        <w:t>の範囲になければならない。</w:t>
      </w:r>
    </w:p>
    <w:p w14:paraId="7C1C35E9" w14:textId="77777777" w:rsidR="00485A11" w:rsidRPr="00BC31E0" w:rsidRDefault="00485A11" w:rsidP="00736130">
      <w:pPr>
        <w:pStyle w:val="a4"/>
        <w:numPr>
          <w:ilvl w:val="0"/>
          <w:numId w:val="308"/>
        </w:numPr>
        <w:ind w:leftChars="0" w:left="454" w:hanging="454"/>
      </w:pPr>
      <w:r w:rsidRPr="00BC31E0">
        <w:rPr>
          <w:rFonts w:asciiTheme="majorEastAsia" w:eastAsiaTheme="majorEastAsia" w:hAnsiTheme="majorEastAsia" w:hint="eastAsia"/>
          <w:b/>
        </w:rPr>
        <w:lastRenderedPageBreak/>
        <w:t>応力</w:t>
      </w:r>
      <w:r w:rsidRPr="00BC31E0">
        <w:rPr>
          <w:rFonts w:hint="eastAsia"/>
        </w:rPr>
        <w:t xml:space="preserve">　応力の算定にあたっては，まず</w:t>
      </w:r>
      <w:r w:rsidRPr="00BC31E0">
        <w:rPr>
          <w:rFonts w:asciiTheme="minorHAnsi" w:hAnsiTheme="minorHAnsi"/>
        </w:rPr>
        <w:t>0.5</w:t>
      </w:r>
      <w:r w:rsidRPr="00BC31E0">
        <w:rPr>
          <w:rFonts w:hint="eastAsia"/>
        </w:rPr>
        <w:t>から</w:t>
      </w:r>
      <w:r w:rsidRPr="00BC31E0">
        <w:rPr>
          <w:rFonts w:asciiTheme="minorHAnsi" w:hAnsiTheme="minorHAnsi"/>
        </w:rPr>
        <w:t>1.0</w:t>
      </w:r>
      <w:r w:rsidRPr="00BC31E0">
        <w:rPr>
          <w:rFonts w:hint="eastAsia"/>
        </w:rPr>
        <w:t>の間で層間隙間係数</w:t>
      </w:r>
      <m:oMath>
        <m:sSub>
          <m:sSubPr>
            <m:ctrlPr>
              <w:rPr>
                <w:rFonts w:ascii="Cambria Math" w:hAnsi="Cambria Math"/>
                <w:i/>
              </w:rPr>
            </m:ctrlPr>
          </m:sSubPr>
          <m:e>
            <m:r>
              <w:rPr>
                <w:rFonts w:ascii="Cambria Math" w:hAnsi="Cambria Math"/>
              </w:rPr>
              <m:t xml:space="preserve"> Q</m:t>
            </m:r>
          </m:e>
          <m:sub>
            <m:r>
              <w:rPr>
                <w:rFonts w:ascii="Cambria Math" w:hAnsi="Cambria Math"/>
              </w:rPr>
              <m:t xml:space="preserve">c </m:t>
            </m:r>
          </m:sub>
        </m:sSub>
      </m:oMath>
      <w:r w:rsidRPr="00BC31E0">
        <w:rPr>
          <w:rFonts w:hint="eastAsia"/>
        </w:rPr>
        <w:t>を仮定し，応力の算定を行う。耐圧試験時に実測された</w:t>
      </w:r>
      <m:oMath>
        <m:sSub>
          <m:sSubPr>
            <m:ctrlPr>
              <w:rPr>
                <w:rFonts w:ascii="Cambria Math" w:hAnsi="Cambria Math"/>
                <w:i/>
              </w:rPr>
            </m:ctrlPr>
          </m:sSubPr>
          <m:e>
            <m:r>
              <w:rPr>
                <w:rFonts w:ascii="Cambria Math" w:hAnsi="Cambria Math"/>
              </w:rPr>
              <m:t xml:space="preserve"> Q</m:t>
            </m:r>
          </m:e>
          <m:sub>
            <m:r>
              <w:rPr>
                <w:rFonts w:ascii="Cambria Math" w:hAnsi="Cambria Math"/>
              </w:rPr>
              <m:t xml:space="preserve">c </m:t>
            </m:r>
          </m:sub>
        </m:sSub>
      </m:oMath>
      <w:r w:rsidRPr="00BC31E0">
        <w:rPr>
          <w:rFonts w:hint="eastAsia"/>
        </w:rPr>
        <w:t>を使って，設計を見直す。隙間補正係数</w:t>
      </w:r>
      <m:oMath>
        <m:sSub>
          <m:sSubPr>
            <m:ctrlPr>
              <w:rPr>
                <w:rFonts w:ascii="Cambria Math" w:hAnsi="Cambria Math"/>
                <w:i/>
              </w:rPr>
            </m:ctrlPr>
          </m:sSubPr>
          <m:e>
            <m:r>
              <w:rPr>
                <w:rFonts w:ascii="Cambria Math" w:hAnsi="Cambria Math"/>
              </w:rPr>
              <m:t xml:space="preserve"> F</m:t>
            </m:r>
          </m:e>
          <m:sub>
            <m:r>
              <w:rPr>
                <w:rFonts w:ascii="Cambria Math" w:hAnsi="Cambria Math"/>
              </w:rPr>
              <m:t xml:space="preserve">c </m:t>
            </m:r>
          </m:sub>
        </m:sSub>
      </m:oMath>
      <w:r w:rsidRPr="00BC31E0">
        <w:rPr>
          <w:rFonts w:hint="eastAsia"/>
        </w:rPr>
        <w:t>は次式で計算する。</w:t>
      </w:r>
    </w:p>
    <w:tbl>
      <w:tblPr>
        <w:tblStyle w:val="afff2"/>
        <w:tblW w:w="5953" w:type="dxa"/>
        <w:tblInd w:w="3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9"/>
        <w:gridCol w:w="3904"/>
      </w:tblGrid>
      <w:tr w:rsidR="00A567BB" w:rsidRPr="00BC31E0" w14:paraId="5DC2B458" w14:textId="77777777" w:rsidTr="0025452F">
        <w:tc>
          <w:tcPr>
            <w:tcW w:w="0" w:type="auto"/>
            <w:tcMar>
              <w:left w:w="0" w:type="dxa"/>
              <w:right w:w="0" w:type="dxa"/>
            </w:tcMar>
            <w:vAlign w:val="center"/>
          </w:tcPr>
          <w:p w14:paraId="614D307E" w14:textId="77777777" w:rsidR="00A567BB" w:rsidRPr="00BC31E0" w:rsidRDefault="00A51873" w:rsidP="0025452F">
            <w:pPr>
              <w:tabs>
                <w:tab w:val="left" w:leader="middleDot" w:pos="8222"/>
              </w:tabs>
              <w:autoSpaceDE w:val="0"/>
              <w:autoSpaceDN w:val="0"/>
              <w:jc w:val="left"/>
              <w:rPr>
                <w:i/>
              </w:rPr>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 xml:space="preserve">=2 </m:t>
                </m:r>
                <m:f>
                  <m:fPr>
                    <m:ctrlPr>
                      <w:rPr>
                        <w:rFonts w:ascii="Cambria Math" w:hAnsi="Cambria Math"/>
                        <w:i/>
                      </w:rPr>
                    </m:ctrlPr>
                  </m:fPr>
                  <m:num>
                    <m:r>
                      <w:rPr>
                        <w:rFonts w:ascii="Cambria Math" w:hAnsi="Cambria Math"/>
                      </w:rPr>
                      <m:t>P</m:t>
                    </m:r>
                  </m:num>
                  <m:den>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-1</m:t>
                    </m:r>
                  </m:den>
                </m:f>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Q</m:t>
                        </m:r>
                      </m:e>
                      <m:sub>
                        <m:r>
                          <w:rPr>
                            <w:rFonts w:ascii="Cambria Math" w:hAnsi="Cambria Math"/>
                          </w:rPr>
                          <m:t>c</m:t>
                        </m:r>
                      </m:sub>
                    </m:sSub>
                  </m:e>
                </m:d>
              </m:oMath>
            </m:oMathPara>
          </w:p>
        </w:tc>
        <w:tc>
          <w:tcPr>
            <w:tcW w:w="3904" w:type="dxa"/>
            <w:tcMar>
              <w:left w:w="0" w:type="dxa"/>
              <w:right w:w="0" w:type="dxa"/>
            </w:tcMar>
            <w:vAlign w:val="center"/>
          </w:tcPr>
          <w:p w14:paraId="694A2D8F" w14:textId="77777777" w:rsidR="00A567BB" w:rsidRPr="00BC31E0" w:rsidRDefault="00A567BB" w:rsidP="0025452F">
            <w:pPr>
              <w:tabs>
                <w:tab w:val="left" w:leader="middleDot" w:pos="3066"/>
              </w:tabs>
              <w:autoSpaceDE w:val="0"/>
              <w:autoSpaceDN w:val="0"/>
              <w:jc w:val="left"/>
            </w:pPr>
            <w:r w:rsidRPr="00BC31E0">
              <w:tab/>
            </w:r>
            <w:r w:rsidRPr="00BC31E0">
              <w:rPr>
                <w:rFonts w:hint="eastAsia"/>
              </w:rPr>
              <w:t>(6.8.12)</w:t>
            </w:r>
          </w:p>
        </w:tc>
      </w:tr>
    </w:tbl>
    <w:p w14:paraId="118D754E" w14:textId="77777777" w:rsidR="00485A11" w:rsidRPr="00BC31E0" w:rsidRDefault="00485A11" w:rsidP="0032018E">
      <w:pPr>
        <w:pStyle w:val="15"/>
        <w:spacing w:before="120" w:after="120"/>
        <w:ind w:left="454" w:firstLine="210"/>
      </w:pPr>
      <w:r w:rsidRPr="00BC31E0">
        <w:rPr>
          <w:rFonts w:hint="eastAsia"/>
        </w:rPr>
        <w:t>周方向応力</w:t>
      </w:r>
      <m:oMath>
        <m:sSub>
          <m:sSubPr>
            <m:ctrlPr>
              <w:rPr>
                <w:rFonts w:ascii="Cambria Math" w:hAnsi="Cambria Math"/>
                <w:i/>
              </w:rPr>
            </m:ctrlPr>
          </m:sSubPr>
          <m:e>
            <m:r>
              <w:rPr>
                <w:rFonts w:ascii="Cambria Math" w:hAnsi="Cambria Math"/>
              </w:rPr>
              <m:t xml:space="preserve"> σ</m:t>
            </m:r>
          </m:e>
          <m:sub>
            <m:r>
              <w:rPr>
                <w:rFonts w:ascii="Cambria Math" w:hAnsi="Cambria Math"/>
              </w:rPr>
              <m:t xml:space="preserve">t </m:t>
            </m:r>
          </m:sub>
        </m:sSub>
      </m:oMath>
      <w:r w:rsidRPr="00BC31E0">
        <w:rPr>
          <w:rFonts w:hint="eastAsia"/>
        </w:rPr>
        <w:t>，半径方向応力</w:t>
      </w:r>
      <m:oMath>
        <m:sSub>
          <m:sSubPr>
            <m:ctrlPr>
              <w:rPr>
                <w:rFonts w:ascii="Cambria Math" w:hAnsi="Cambria Math"/>
                <w:i/>
              </w:rPr>
            </m:ctrlPr>
          </m:sSubPr>
          <m:e>
            <m:r>
              <w:rPr>
                <w:rFonts w:ascii="Cambria Math" w:hAnsi="Cambria Math"/>
              </w:rPr>
              <m:t xml:space="preserve"> σ</m:t>
            </m:r>
          </m:e>
          <m:sub>
            <m:r>
              <w:rPr>
                <w:rFonts w:ascii="Cambria Math" w:hAnsi="Cambria Math"/>
              </w:rPr>
              <m:t xml:space="preserve">r </m:t>
            </m:r>
          </m:sub>
        </m:sSub>
      </m:oMath>
      <w:r w:rsidRPr="00BC31E0">
        <w:rPr>
          <w:rFonts w:hint="eastAsia"/>
        </w:rPr>
        <w:t>及び軸方向応力</w:t>
      </w:r>
      <m:oMath>
        <m:sSub>
          <m:sSubPr>
            <m:ctrlPr>
              <w:rPr>
                <w:rFonts w:ascii="Cambria Math" w:hAnsi="Cambria Math"/>
                <w:i/>
              </w:rPr>
            </m:ctrlPr>
          </m:sSubPr>
          <m:e>
            <m:r>
              <w:rPr>
                <w:rFonts w:ascii="Cambria Math" w:hAnsi="Cambria Math"/>
              </w:rPr>
              <m:t xml:space="preserve"> σ</m:t>
            </m:r>
          </m:e>
          <m:sub>
            <m:r>
              <w:rPr>
                <w:rFonts w:ascii="Cambria Math" w:hAnsi="Cambria Math"/>
              </w:rPr>
              <m:t>l</m:t>
            </m:r>
          </m:sub>
        </m:sSub>
        <m:r>
          <w:rPr>
            <w:rFonts w:ascii="Cambria Math" w:hAnsi="Cambria Math" w:hint="eastAsia"/>
          </w:rPr>
          <m:t xml:space="preserve"> </m:t>
        </m:r>
      </m:oMath>
      <w:r w:rsidRPr="00BC31E0">
        <w:rPr>
          <w:rFonts w:hint="eastAsia"/>
        </w:rPr>
        <w:t>は，次式で計算する。</w:t>
      </w:r>
    </w:p>
    <w:tbl>
      <w:tblPr>
        <w:tblStyle w:val="82"/>
        <w:tblW w:w="7229"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2892"/>
        <w:gridCol w:w="737"/>
        <w:gridCol w:w="2466"/>
      </w:tblGrid>
      <w:tr w:rsidR="00485A11" w:rsidRPr="00BC31E0" w14:paraId="2B266CFF" w14:textId="77777777" w:rsidTr="004736F2">
        <w:tc>
          <w:tcPr>
            <w:tcW w:w="4026" w:type="dxa"/>
            <w:gridSpan w:val="2"/>
            <w:tcMar>
              <w:left w:w="0" w:type="dxa"/>
              <w:right w:w="0" w:type="dxa"/>
            </w:tcMar>
            <w:vAlign w:val="center"/>
          </w:tcPr>
          <w:p w14:paraId="7AD9E2EF" w14:textId="77777777" w:rsidR="00485A11" w:rsidRPr="00BC31E0" w:rsidRDefault="00A51873" w:rsidP="00290661">
            <w:pPr>
              <w:tabs>
                <w:tab w:val="left" w:leader="middleDot" w:pos="8222"/>
              </w:tabs>
              <w:autoSpaceDE w:val="0"/>
              <w:autoSpaceDN w:val="0"/>
              <w:jc w:val="left"/>
              <w:rPr>
                <w:i/>
              </w:rPr>
            </w:pPr>
            <m:oMathPara>
              <m:oMathParaPr>
                <m:jc m:val="left"/>
              </m:oMathParaPr>
              <m:oMath>
                <m:sSub>
                  <m:sSubPr>
                    <m:ctrlPr>
                      <w:rPr>
                        <w:rFonts w:ascii="Cambria Math" w:hAnsi="Cambria Math"/>
                        <w:i/>
                      </w:rPr>
                    </m:ctrlPr>
                  </m:sSubPr>
                  <m:e>
                    <m:r>
                      <w:rPr>
                        <w:rFonts w:ascii="Cambria Math" w:hAnsi="Cambria Math"/>
                      </w:rPr>
                      <m:t>σ</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P</m:t>
                    </m:r>
                  </m:num>
                  <m:den>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-1</m:t>
                    </m:r>
                  </m:den>
                </m:f>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O</m:t>
                                    </m:r>
                                  </m:sub>
                                </m:sSub>
                              </m:num>
                              <m:den>
                                <m:r>
                                  <w:rPr>
                                    <w:rFonts w:ascii="Cambria Math" w:hAnsi="Cambria Math"/>
                                  </w:rPr>
                                  <m:t>D</m:t>
                                </m:r>
                              </m:den>
                            </m:f>
                          </m:e>
                        </m:d>
                      </m:e>
                      <m:sup>
                        <m:r>
                          <w:rPr>
                            <w:rFonts w:ascii="Cambria Math" w:hAnsi="Cambria Math"/>
                          </w:rPr>
                          <m:t>2</m:t>
                        </m:r>
                      </m:sup>
                    </m:sSup>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-2D</m:t>
                    </m:r>
                  </m:num>
                  <m:den>
                    <m:sSub>
                      <m:sSubPr>
                        <m:ctrlPr>
                          <w:rPr>
                            <w:rFonts w:ascii="Cambria Math" w:hAnsi="Cambria Math"/>
                            <w:i/>
                          </w:rPr>
                        </m:ctrlPr>
                      </m:sSubPr>
                      <m:e>
                        <m:r>
                          <w:rPr>
                            <w:rFonts w:ascii="Cambria Math" w:hAnsi="Cambria Math"/>
                          </w:rPr>
                          <m:t>D</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den>
                </m:f>
              </m:oMath>
            </m:oMathPara>
          </w:p>
        </w:tc>
        <w:tc>
          <w:tcPr>
            <w:tcW w:w="3118" w:type="dxa"/>
            <w:gridSpan w:val="2"/>
            <w:tcMar>
              <w:left w:w="0" w:type="dxa"/>
              <w:right w:w="0" w:type="dxa"/>
            </w:tcMar>
            <w:vAlign w:val="center"/>
          </w:tcPr>
          <w:p w14:paraId="13E3F478" w14:textId="77777777" w:rsidR="00485A11" w:rsidRPr="00BC31E0" w:rsidRDefault="00485A11" w:rsidP="00485A11">
            <w:pPr>
              <w:tabs>
                <w:tab w:val="left" w:leader="middleDot" w:pos="2353"/>
              </w:tabs>
              <w:autoSpaceDE w:val="0"/>
              <w:autoSpaceDN w:val="0"/>
              <w:jc w:val="left"/>
            </w:pPr>
            <w:r w:rsidRPr="00BC31E0">
              <w:tab/>
            </w:r>
            <w:r w:rsidRPr="00BC31E0">
              <w:rPr>
                <w:rFonts w:hint="eastAsia"/>
              </w:rPr>
              <w:t>(6.8.13)</w:t>
            </w:r>
          </w:p>
        </w:tc>
      </w:tr>
      <w:tr w:rsidR="00485A11" w:rsidRPr="00BC31E0" w14:paraId="63CD512F" w14:textId="77777777" w:rsidTr="004736F2">
        <w:tc>
          <w:tcPr>
            <w:tcW w:w="4763" w:type="dxa"/>
            <w:gridSpan w:val="3"/>
            <w:tcMar>
              <w:left w:w="0" w:type="dxa"/>
              <w:right w:w="0" w:type="dxa"/>
            </w:tcMar>
            <w:vAlign w:val="center"/>
          </w:tcPr>
          <w:p w14:paraId="7C303E76" w14:textId="77777777" w:rsidR="00485A11" w:rsidRPr="00BC31E0" w:rsidRDefault="00A51873" w:rsidP="00290661">
            <w:pPr>
              <w:tabs>
                <w:tab w:val="left" w:leader="middleDot" w:pos="8222"/>
              </w:tabs>
              <w:autoSpaceDE w:val="0"/>
              <w:autoSpaceDN w:val="0"/>
              <w:spacing w:before="240"/>
              <w:jc w:val="left"/>
              <w:rPr>
                <w:i/>
              </w:rPr>
            </w:pPr>
            <m:oMathPara>
              <m:oMathParaPr>
                <m:jc m:val="left"/>
              </m:oMathParaPr>
              <m:oMath>
                <m:sSub>
                  <m:sSubPr>
                    <m:ctrlPr>
                      <w:rPr>
                        <w:rFonts w:ascii="Cambria Math" w:hAnsi="Cambria Math"/>
                        <w:i/>
                      </w:rPr>
                    </m:ctrlPr>
                  </m:sSubPr>
                  <m:e>
                    <m:r>
                      <w:rPr>
                        <w:rFonts w:ascii="Cambria Math" w:hAnsi="Cambria Math"/>
                      </w:rPr>
                      <m:t>σ</m:t>
                    </m:r>
                  </m:e>
                  <m:sub>
                    <m:r>
                      <w:rPr>
                        <w:rFonts w:ascii="Cambria Math" w:hAnsi="Cambria Math"/>
                      </w:rPr>
                      <m:t>r</m:t>
                    </m:r>
                  </m:sub>
                </m:sSub>
                <m:r>
                  <w:rPr>
                    <w:rFonts w:ascii="Cambria Math" w:hAnsi="Cambria Math"/>
                  </w:rPr>
                  <m:t>=</m:t>
                </m:r>
                <m:f>
                  <m:fPr>
                    <m:ctrlPr>
                      <w:rPr>
                        <w:rFonts w:ascii="Cambria Math" w:hAnsi="Cambria Math"/>
                        <w:i/>
                      </w:rPr>
                    </m:ctrlPr>
                  </m:fPr>
                  <m:num>
                    <m:r>
                      <w:rPr>
                        <w:rFonts w:ascii="Cambria Math" w:hAnsi="Cambria Math"/>
                      </w:rPr>
                      <m:t>P</m:t>
                    </m:r>
                  </m:num>
                  <m:den>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-1</m:t>
                    </m:r>
                  </m:den>
                </m:f>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O</m:t>
                                    </m:r>
                                  </m:sub>
                                </m:sSub>
                              </m:num>
                              <m:den>
                                <m:r>
                                  <w:rPr>
                                    <w:rFonts w:ascii="Cambria Math" w:hAnsi="Cambria Math"/>
                                  </w:rPr>
                                  <m:t>D</m:t>
                                </m:r>
                              </m:den>
                            </m:f>
                          </m:e>
                        </m:d>
                      </m:e>
                      <m:sup>
                        <m:r>
                          <w:rPr>
                            <w:rFonts w:ascii="Cambria Math" w:hAnsi="Cambria Math"/>
                          </w:rPr>
                          <m:t>2</m:t>
                        </m:r>
                      </m:sup>
                    </m:sSup>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c</m:t>
                        </m:r>
                      </m:sub>
                    </m:sSub>
                  </m:num>
                  <m:den>
                    <m:r>
                      <w:rPr>
                        <w:rFonts w:ascii="Cambria Math" w:hAnsi="Cambria Math"/>
                      </w:rPr>
                      <m:t>Y-1</m:t>
                    </m:r>
                  </m:den>
                </m:f>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O</m:t>
                        </m:r>
                      </m:sub>
                    </m:sSub>
                    <m:r>
                      <w:rPr>
                        <w:rFonts w:ascii="Cambria Math" w:hAnsi="Cambria Math"/>
                      </w:rPr>
                      <m:t>-D</m:t>
                    </m:r>
                  </m:e>
                </m:d>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D</m:t>
                            </m:r>
                          </m:e>
                          <m:sub>
                            <m:r>
                              <w:rPr>
                                <w:rFonts w:ascii="Cambria Math" w:hAnsi="Cambria Math"/>
                              </w:rPr>
                              <m:t>I</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D</m:t>
                        </m:r>
                      </m:den>
                    </m:f>
                  </m:e>
                </m:d>
              </m:oMath>
            </m:oMathPara>
          </w:p>
        </w:tc>
        <w:tc>
          <w:tcPr>
            <w:tcW w:w="2409" w:type="dxa"/>
            <w:tcMar>
              <w:left w:w="0" w:type="dxa"/>
              <w:right w:w="0" w:type="dxa"/>
            </w:tcMar>
            <w:vAlign w:val="center"/>
          </w:tcPr>
          <w:p w14:paraId="61D92E2D" w14:textId="77777777" w:rsidR="00485A11" w:rsidRPr="00BC31E0" w:rsidRDefault="00485A11" w:rsidP="00485A11">
            <w:pPr>
              <w:tabs>
                <w:tab w:val="left" w:leader="middleDot" w:pos="1616"/>
              </w:tabs>
              <w:autoSpaceDE w:val="0"/>
              <w:autoSpaceDN w:val="0"/>
              <w:spacing w:before="120"/>
              <w:jc w:val="left"/>
            </w:pPr>
            <w:r w:rsidRPr="00BC31E0">
              <w:tab/>
            </w:r>
            <w:r w:rsidRPr="00BC31E0">
              <w:rPr>
                <w:rFonts w:hint="eastAsia"/>
              </w:rPr>
              <w:t>(6.8.14)</w:t>
            </w:r>
          </w:p>
        </w:tc>
      </w:tr>
      <w:tr w:rsidR="00485A11" w:rsidRPr="00BC31E0" w14:paraId="63C1CAA5" w14:textId="77777777" w:rsidTr="004736F2">
        <w:tc>
          <w:tcPr>
            <w:tcW w:w="1134" w:type="dxa"/>
            <w:tcMar>
              <w:left w:w="0" w:type="dxa"/>
              <w:right w:w="0" w:type="dxa"/>
            </w:tcMar>
            <w:vAlign w:val="center"/>
          </w:tcPr>
          <w:p w14:paraId="56B053EF" w14:textId="77777777" w:rsidR="00485A11" w:rsidRPr="00BC31E0" w:rsidRDefault="00A51873" w:rsidP="00290661">
            <w:pPr>
              <w:tabs>
                <w:tab w:val="left" w:leader="middleDot" w:pos="8222"/>
              </w:tabs>
              <w:autoSpaceDE w:val="0"/>
              <w:autoSpaceDN w:val="0"/>
              <w:spacing w:before="240"/>
              <w:jc w:val="left"/>
              <w:rPr>
                <w:i/>
              </w:rPr>
            </w:pPr>
            <m:oMathPara>
              <m:oMathParaPr>
                <m:jc m:val="left"/>
              </m:oMathParaPr>
              <m:oMath>
                <m:sSub>
                  <m:sSubPr>
                    <m:ctrlPr>
                      <w:rPr>
                        <w:rFonts w:ascii="Cambria Math" w:hAnsi="Cambria Math"/>
                        <w:i/>
                      </w:rPr>
                    </m:ctrlPr>
                  </m:sSubPr>
                  <m:e>
                    <m:r>
                      <w:rPr>
                        <w:rFonts w:ascii="Cambria Math" w:hAnsi="Cambria Math"/>
                      </w:rPr>
                      <m:t>σ</m:t>
                    </m:r>
                  </m:e>
                  <m:sub>
                    <m:r>
                      <w:rPr>
                        <w:rFonts w:ascii="Cambria Math" w:hAnsi="Cambria Math"/>
                      </w:rPr>
                      <m:t>l</m:t>
                    </m:r>
                  </m:sub>
                </m:sSub>
                <m:r>
                  <w:rPr>
                    <w:rFonts w:ascii="Cambria Math" w:hAnsi="Cambria Math"/>
                  </w:rPr>
                  <m:t>=</m:t>
                </m:r>
                <m:f>
                  <m:fPr>
                    <m:ctrlPr>
                      <w:rPr>
                        <w:rFonts w:ascii="Cambria Math" w:hAnsi="Cambria Math"/>
                        <w:i/>
                      </w:rPr>
                    </m:ctrlPr>
                  </m:fPr>
                  <m:num>
                    <m:r>
                      <w:rPr>
                        <w:rFonts w:ascii="Cambria Math" w:hAnsi="Cambria Math"/>
                      </w:rPr>
                      <m:t>P</m:t>
                    </m:r>
                  </m:num>
                  <m:den>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-1</m:t>
                    </m:r>
                  </m:den>
                </m:f>
              </m:oMath>
            </m:oMathPara>
          </w:p>
        </w:tc>
        <w:tc>
          <w:tcPr>
            <w:tcW w:w="6095" w:type="dxa"/>
            <w:gridSpan w:val="3"/>
            <w:tcMar>
              <w:left w:w="0" w:type="dxa"/>
              <w:right w:w="0" w:type="dxa"/>
            </w:tcMar>
            <w:vAlign w:val="center"/>
          </w:tcPr>
          <w:p w14:paraId="4590EC30" w14:textId="77777777" w:rsidR="00485A11" w:rsidRPr="00BC31E0" w:rsidRDefault="00485A11" w:rsidP="00485A11">
            <w:pPr>
              <w:tabs>
                <w:tab w:val="left" w:leader="middleDot" w:pos="5245"/>
              </w:tabs>
              <w:autoSpaceDE w:val="0"/>
              <w:autoSpaceDN w:val="0"/>
              <w:spacing w:before="120"/>
              <w:jc w:val="left"/>
            </w:pPr>
            <w:r w:rsidRPr="00BC31E0">
              <w:tab/>
            </w:r>
            <w:r w:rsidRPr="00BC31E0">
              <w:rPr>
                <w:rFonts w:hint="eastAsia"/>
              </w:rPr>
              <w:t>(6.8.15)</w:t>
            </w:r>
          </w:p>
        </w:tc>
      </w:tr>
    </w:tbl>
    <w:p w14:paraId="1C881AA6" w14:textId="77777777" w:rsidR="00485A11" w:rsidRPr="00BC31E0" w:rsidRDefault="00485A11" w:rsidP="009B46BC">
      <w:pPr>
        <w:pStyle w:val="3"/>
        <w:tabs>
          <w:tab w:val="clear" w:pos="284"/>
        </w:tabs>
        <w:spacing w:before="120"/>
        <w:ind w:left="794" w:hanging="794"/>
      </w:pPr>
      <w:r w:rsidRPr="00BC31E0">
        <w:rPr>
          <w:rFonts w:hint="eastAsia"/>
        </w:rPr>
        <w:t>溶接</w:t>
      </w:r>
    </w:p>
    <w:p w14:paraId="2C730BB4" w14:textId="77777777" w:rsidR="00485A11" w:rsidRPr="00BC31E0" w:rsidRDefault="00485A11" w:rsidP="002D402E">
      <w:pPr>
        <w:pStyle w:val="1110"/>
        <w:ind w:firstLine="210"/>
      </w:pPr>
      <w:r w:rsidRPr="00BC31E0">
        <w:rPr>
          <w:rFonts w:hint="eastAsia"/>
        </w:rPr>
        <w:t>溶接は，次の</w:t>
      </w:r>
      <w:r w:rsidRPr="00BC31E0">
        <w:rPr>
          <w:rFonts w:ascii="ＭＳ ゴシック" w:eastAsia="ＭＳ ゴシック" w:hAnsi="ＭＳ ゴシック" w:hint="eastAsia"/>
          <w:b/>
        </w:rPr>
        <w:t>a)</w:t>
      </w:r>
      <w:r w:rsidRPr="00BC31E0">
        <w:rPr>
          <w:rFonts w:hint="eastAsia"/>
        </w:rPr>
        <w:t>～</w:t>
      </w:r>
      <w:r w:rsidRPr="00BC31E0">
        <w:rPr>
          <w:rFonts w:ascii="ＭＳ ゴシック" w:eastAsia="ＭＳ ゴシック" w:hAnsi="ＭＳ ゴシック" w:hint="eastAsia"/>
          <w:b/>
        </w:rPr>
        <w:t>c)</w:t>
      </w:r>
      <w:r w:rsidRPr="00BC31E0">
        <w:rPr>
          <w:rFonts w:hint="eastAsia"/>
        </w:rPr>
        <w:t>による。</w:t>
      </w:r>
    </w:p>
    <w:p w14:paraId="5494B11C" w14:textId="77777777" w:rsidR="002D402E" w:rsidRPr="00BC31E0" w:rsidRDefault="00485A11" w:rsidP="00736130">
      <w:pPr>
        <w:pStyle w:val="a4"/>
        <w:numPr>
          <w:ilvl w:val="0"/>
          <w:numId w:val="309"/>
        </w:numPr>
        <w:ind w:leftChars="0" w:left="454" w:hanging="454"/>
      </w:pPr>
      <w:r w:rsidRPr="00BC31E0">
        <w:rPr>
          <w:rFonts w:hint="eastAsia"/>
        </w:rPr>
        <w:t>焼ばめ式多層円筒の層を溶接によって製作する場合は，</w:t>
      </w:r>
      <w:r w:rsidRPr="00BC31E0">
        <w:rPr>
          <w:rFonts w:ascii="ＭＳ ゴシック" w:eastAsia="ＭＳ ゴシック" w:hAnsi="ＭＳ ゴシック" w:hint="eastAsia"/>
          <w:b/>
          <w:bCs/>
        </w:rPr>
        <w:t>6.10</w:t>
      </w:r>
      <w:r w:rsidRPr="00BC31E0">
        <w:rPr>
          <w:rFonts w:asciiTheme="minorEastAsia" w:eastAsiaTheme="minorEastAsia" w:hAnsiTheme="minorEastAsia" w:hint="eastAsia"/>
        </w:rPr>
        <w:t>の要求に従った</w:t>
      </w:r>
      <w:r w:rsidRPr="00BC31E0">
        <w:rPr>
          <w:rFonts w:asciiTheme="minorHAnsi" w:eastAsiaTheme="minorEastAsia" w:hAnsiTheme="minorHAnsi"/>
        </w:rPr>
        <w:t>Type No.1</w:t>
      </w:r>
      <w:r w:rsidRPr="00BC31E0">
        <w:rPr>
          <w:rFonts w:asciiTheme="minorEastAsia" w:eastAsiaTheme="minorEastAsia" w:hAnsiTheme="minorEastAsia" w:hint="eastAsia"/>
        </w:rPr>
        <w:t>突合せ継手とする。これらの溶接部は</w:t>
      </w:r>
      <w:r w:rsidR="00DC160D" w:rsidRPr="00BC31E0">
        <w:rPr>
          <w:rFonts w:asciiTheme="minorEastAsia" w:eastAsiaTheme="minorEastAsia" w:hAnsiTheme="minorEastAsia" w:hint="eastAsia"/>
        </w:rPr>
        <w:t>全</w:t>
      </w:r>
      <w:r w:rsidRPr="00BC31E0">
        <w:rPr>
          <w:rFonts w:asciiTheme="minorEastAsia" w:eastAsiaTheme="minorEastAsia" w:hAnsiTheme="minorEastAsia" w:hint="eastAsia"/>
        </w:rPr>
        <w:t>ての層間でスムーズな連続した表面が得られるように面一に削る。</w:t>
      </w:r>
    </w:p>
    <w:p w14:paraId="675B6C44" w14:textId="77777777" w:rsidR="002D402E" w:rsidRPr="00BC31E0" w:rsidRDefault="00485A11" w:rsidP="00736130">
      <w:pPr>
        <w:pStyle w:val="a4"/>
        <w:numPr>
          <w:ilvl w:val="0"/>
          <w:numId w:val="309"/>
        </w:numPr>
        <w:ind w:leftChars="0" w:left="454" w:hanging="454"/>
      </w:pPr>
      <w:r w:rsidRPr="00BC31E0">
        <w:rPr>
          <w:rFonts w:asciiTheme="minorEastAsia" w:eastAsiaTheme="minorEastAsia" w:hAnsiTheme="minorEastAsia" w:hint="eastAsia"/>
        </w:rPr>
        <w:t>溶接巻き多層円筒の第</w:t>
      </w:r>
      <w:r w:rsidRPr="00BC31E0">
        <w:rPr>
          <w:rFonts w:asciiTheme="minorHAnsi" w:eastAsiaTheme="minorEastAsia" w:hAnsiTheme="minorHAnsi"/>
        </w:rPr>
        <w:t>1</w:t>
      </w:r>
      <w:r w:rsidRPr="00BC31E0">
        <w:rPr>
          <w:rFonts w:asciiTheme="minorEastAsia" w:eastAsiaTheme="minorEastAsia" w:hAnsiTheme="minorEastAsia" w:hint="eastAsia"/>
        </w:rPr>
        <w:t>層は，</w:t>
      </w:r>
      <w:r w:rsidRPr="00BC31E0">
        <w:rPr>
          <w:rFonts w:asciiTheme="minorHAnsi" w:eastAsiaTheme="minorEastAsia" w:hAnsiTheme="minorHAnsi"/>
        </w:rPr>
        <w:t>Type No.1</w:t>
      </w:r>
      <w:r w:rsidRPr="00BC31E0">
        <w:rPr>
          <w:rFonts w:asciiTheme="minorEastAsia" w:eastAsiaTheme="minorEastAsia" w:hAnsiTheme="minorEastAsia" w:hint="eastAsia"/>
        </w:rPr>
        <w:t>突合せ継手による。第</w:t>
      </w:r>
      <w:r w:rsidRPr="00BC31E0">
        <w:rPr>
          <w:rFonts w:asciiTheme="minorHAnsi" w:eastAsiaTheme="minorEastAsia" w:hAnsiTheme="minorHAnsi"/>
        </w:rPr>
        <w:t>2</w:t>
      </w:r>
      <w:r w:rsidRPr="00BC31E0">
        <w:rPr>
          <w:rFonts w:asciiTheme="minorEastAsia" w:eastAsiaTheme="minorEastAsia" w:hAnsiTheme="minorEastAsia" w:hint="eastAsia"/>
        </w:rPr>
        <w:t>層目以降は，</w:t>
      </w:r>
      <w:r w:rsidRPr="00BC31E0">
        <w:rPr>
          <w:rFonts w:asciiTheme="minorHAnsi" w:eastAsiaTheme="minorEastAsia" w:hAnsiTheme="minorHAnsi"/>
        </w:rPr>
        <w:t>Type No.2</w:t>
      </w:r>
      <w:r w:rsidRPr="00BC31E0">
        <w:rPr>
          <w:rFonts w:asciiTheme="minorEastAsia" w:eastAsiaTheme="minorEastAsia" w:hAnsiTheme="minorEastAsia" w:hint="eastAsia"/>
        </w:rPr>
        <w:t>突合せ継手とする。上記</w:t>
      </w:r>
      <w:r w:rsidRPr="00BC31E0">
        <w:rPr>
          <w:rFonts w:ascii="ＭＳ ゴシック" w:eastAsia="ＭＳ ゴシック" w:hAnsi="ＭＳ ゴシック" w:hint="eastAsia"/>
          <w:b/>
          <w:bCs/>
        </w:rPr>
        <w:t>a)</w:t>
      </w:r>
      <w:r w:rsidRPr="00BC31E0">
        <w:rPr>
          <w:rFonts w:hint="eastAsia"/>
        </w:rPr>
        <w:t>に加えて，追加要求事項が</w:t>
      </w:r>
      <w:r w:rsidRPr="00BC31E0">
        <w:rPr>
          <w:rFonts w:ascii="ＭＳ ゴシック" w:eastAsia="ＭＳ ゴシック" w:hAnsi="ＭＳ ゴシック" w:hint="eastAsia"/>
          <w:b/>
          <w:bCs/>
        </w:rPr>
        <w:t>7.8</w:t>
      </w:r>
      <w:r w:rsidRPr="00BC31E0">
        <w:rPr>
          <w:rFonts w:hint="eastAsia"/>
        </w:rPr>
        <w:t>に与えられている。</w:t>
      </w:r>
    </w:p>
    <w:p w14:paraId="39555887" w14:textId="77777777" w:rsidR="00485A11" w:rsidRPr="00BC31E0" w:rsidRDefault="00485A11" w:rsidP="00736130">
      <w:pPr>
        <w:pStyle w:val="a4"/>
        <w:numPr>
          <w:ilvl w:val="0"/>
          <w:numId w:val="309"/>
        </w:numPr>
        <w:ind w:leftChars="0" w:left="454" w:hanging="454"/>
      </w:pPr>
      <w:r w:rsidRPr="00BC31E0">
        <w:rPr>
          <w:rFonts w:hint="eastAsia"/>
        </w:rPr>
        <w:t>許容される溶接継手の例を，</w:t>
      </w:r>
      <w:r w:rsidRPr="00BC31E0">
        <w:rPr>
          <w:rFonts w:ascii="ＭＳ ゴシック" w:eastAsia="ＭＳ ゴシック" w:hAnsi="ＭＳ ゴシック" w:hint="eastAsia"/>
          <w:b/>
        </w:rPr>
        <w:t>図6.8.3</w:t>
      </w:r>
      <w:r w:rsidRPr="00BC31E0">
        <w:rPr>
          <w:rFonts w:hint="eastAsia"/>
        </w:rPr>
        <w:t>～</w:t>
      </w:r>
      <w:r w:rsidRPr="00BC31E0">
        <w:rPr>
          <w:rFonts w:ascii="ＭＳ ゴシック" w:eastAsia="ＭＳ ゴシック" w:hAnsi="ＭＳ ゴシック" w:hint="eastAsia"/>
          <w:b/>
        </w:rPr>
        <w:t>図6.8.</w:t>
      </w:r>
      <w:r w:rsidRPr="00BC31E0">
        <w:rPr>
          <w:rFonts w:ascii="ＭＳ ゴシック" w:eastAsia="ＭＳ ゴシック" w:hAnsi="ＭＳ ゴシック"/>
          <w:b/>
        </w:rPr>
        <w:t>7</w:t>
      </w:r>
      <w:r w:rsidRPr="00BC31E0">
        <w:rPr>
          <w:rFonts w:hint="eastAsia"/>
        </w:rPr>
        <w:t>に示す。</w:t>
      </w:r>
    </w:p>
    <w:p w14:paraId="1A31F522" w14:textId="77777777" w:rsidR="00485A11" w:rsidRPr="00BC31E0" w:rsidRDefault="00485A11" w:rsidP="009B46BC">
      <w:pPr>
        <w:pStyle w:val="3"/>
        <w:tabs>
          <w:tab w:val="clear" w:pos="284"/>
        </w:tabs>
        <w:ind w:left="794" w:hanging="794"/>
      </w:pPr>
      <w:r w:rsidRPr="00BC31E0">
        <w:rPr>
          <w:rFonts w:hint="eastAsia"/>
        </w:rPr>
        <w:t>開口の補強</w:t>
      </w:r>
    </w:p>
    <w:p w14:paraId="0995D4C6" w14:textId="77777777" w:rsidR="00485A11" w:rsidRPr="00BC31E0" w:rsidRDefault="00485A11" w:rsidP="006945E6">
      <w:pPr>
        <w:pStyle w:val="1110"/>
        <w:ind w:firstLine="210"/>
      </w:pPr>
      <w:r w:rsidRPr="00BC31E0">
        <w:rPr>
          <w:rFonts w:hint="eastAsia"/>
        </w:rPr>
        <w:t>開口の補強は，一体補強型のノズルによる他，ノズル取付け部の胴全周にわたって新たな層を設けることにより行ってもよい。当板方式の補強は認められない。穴補強の計算は</w:t>
      </w:r>
      <w:r w:rsidRPr="00BC31E0">
        <w:rPr>
          <w:rFonts w:ascii="ＭＳ ゴシック" w:eastAsia="ＭＳ ゴシック" w:hAnsi="ＭＳ ゴシック" w:hint="eastAsia"/>
          <w:b/>
          <w:bCs/>
        </w:rPr>
        <w:t>附属書E</w:t>
      </w:r>
      <w:r w:rsidRPr="00BC31E0">
        <w:rPr>
          <w:rFonts w:hint="eastAsia"/>
        </w:rPr>
        <w:t>によるか応力解析を行い，</w:t>
      </w:r>
      <w:r w:rsidRPr="00BC31E0">
        <w:rPr>
          <w:rFonts w:ascii="ＭＳ ゴシック" w:eastAsia="ＭＳ ゴシック" w:hAnsi="ＭＳ ゴシック" w:hint="eastAsia"/>
          <w:b/>
          <w:bCs/>
        </w:rPr>
        <w:t>附属書J</w:t>
      </w:r>
      <w:r w:rsidRPr="00BC31E0">
        <w:rPr>
          <w:rFonts w:hint="eastAsia"/>
        </w:rPr>
        <w:t>に従った強度評価を行う。</w:t>
      </w:r>
    </w:p>
    <w:p w14:paraId="541064FA" w14:textId="77777777" w:rsidR="00485A11" w:rsidRPr="00BC31E0" w:rsidRDefault="00485A11" w:rsidP="009B46BC">
      <w:pPr>
        <w:pStyle w:val="3"/>
        <w:tabs>
          <w:tab w:val="clear" w:pos="284"/>
        </w:tabs>
        <w:ind w:left="794" w:hanging="794"/>
      </w:pPr>
      <w:r w:rsidRPr="00BC31E0">
        <w:rPr>
          <w:rFonts w:hint="eastAsia"/>
        </w:rPr>
        <w:t>容器の支持</w:t>
      </w:r>
    </w:p>
    <w:p w14:paraId="13FEBBBE" w14:textId="77777777" w:rsidR="00485A11" w:rsidRPr="00BC31E0" w:rsidRDefault="00485A11" w:rsidP="002D402E">
      <w:pPr>
        <w:pStyle w:val="1110"/>
        <w:ind w:firstLine="210"/>
      </w:pPr>
      <w:r w:rsidRPr="00BC31E0">
        <w:rPr>
          <w:rFonts w:hint="eastAsia"/>
        </w:rPr>
        <w:t>許容される容器の支持方法を，</w:t>
      </w:r>
      <w:r w:rsidRPr="00BC31E0">
        <w:rPr>
          <w:rFonts w:ascii="ＭＳ ゴシック" w:eastAsia="ＭＳ ゴシック" w:hAnsi="ＭＳ ゴシック" w:hint="eastAsia"/>
          <w:b/>
        </w:rPr>
        <w:t>図6.8.</w:t>
      </w:r>
      <w:r w:rsidRPr="00BC31E0">
        <w:rPr>
          <w:rFonts w:ascii="ＭＳ ゴシック" w:eastAsia="ＭＳ ゴシック" w:hAnsi="ＭＳ ゴシック"/>
          <w:b/>
        </w:rPr>
        <w:t>8</w:t>
      </w:r>
      <w:r w:rsidRPr="00BC31E0">
        <w:rPr>
          <w:rFonts w:hint="eastAsia"/>
        </w:rPr>
        <w:t>に示す。容器全体に直接溶接されるサポートの溶接は，完全溶込みの隅肉溶接としなければならない。サポートによって最外層に負荷される局部荷重を考慮しなければならない。</w:t>
      </w:r>
    </w:p>
    <w:p w14:paraId="2E75113C" w14:textId="77777777" w:rsidR="009B46BC" w:rsidRPr="00BC31E0" w:rsidRDefault="009B46BC" w:rsidP="009B46BC">
      <w:pPr>
        <w:pStyle w:val="1110"/>
        <w:ind w:firstLineChars="0" w:firstLine="0"/>
      </w:pPr>
    </w:p>
    <w:p w14:paraId="5C2300E3" w14:textId="77777777" w:rsidR="00485A11" w:rsidRPr="00BC31E0" w:rsidRDefault="00485A11" w:rsidP="00485A11">
      <w:pPr>
        <w:ind w:firstLineChars="100" w:firstLine="210"/>
      </w:pPr>
      <w:r w:rsidRPr="00BC31E0">
        <w:br w:type="page"/>
      </w:r>
    </w:p>
    <w:p w14:paraId="45E5F95A" w14:textId="77777777" w:rsidR="00485A11" w:rsidRPr="00BC31E0" w:rsidRDefault="00485A11" w:rsidP="00A965B0">
      <w:pPr>
        <w:ind w:firstLineChars="100" w:firstLine="210"/>
        <w:jc w:val="center"/>
      </w:pPr>
      <w:r w:rsidRPr="00BC31E0">
        <w:object w:dxaOrig="4309" w:dyaOrig="7065" w14:anchorId="7802D60D">
          <v:shape id="_x0000_i1034" type="#_x0000_t75" style="width:297.6pt;height:487.2pt" o:ole="">
            <v:imagedata r:id="rId68" o:title=""/>
          </v:shape>
          <o:OLEObject Type="Embed" ProgID="Visio.Drawing.11" ShapeID="_x0000_i1034" DrawAspect="Content" ObjectID="_1731233627" r:id="rId69"/>
        </w:object>
      </w:r>
    </w:p>
    <w:p w14:paraId="229BD953" w14:textId="77777777" w:rsidR="00A965B0" w:rsidRPr="00BC31E0" w:rsidRDefault="00A965B0" w:rsidP="00A965B0">
      <w:pPr>
        <w:ind w:firstLineChars="100" w:firstLine="210"/>
      </w:pPr>
    </w:p>
    <w:p w14:paraId="4FED00A5" w14:textId="77777777" w:rsidR="00485A11" w:rsidRPr="00BC31E0" w:rsidRDefault="00485A11" w:rsidP="00A965B0">
      <w:pPr>
        <w:pStyle w:val="af4"/>
      </w:pPr>
      <w:r w:rsidRPr="00BC31E0">
        <w:rPr>
          <w:rFonts w:hint="eastAsia"/>
        </w:rPr>
        <w:t>図6.8.1　3層以上の焼ばめ式多層円筒胴容器</w:t>
      </w:r>
    </w:p>
    <w:p w14:paraId="523E9C52" w14:textId="77777777" w:rsidR="00485A11" w:rsidRPr="00BC31E0" w:rsidRDefault="00485A11" w:rsidP="00A965B0">
      <w:pPr>
        <w:ind w:firstLineChars="100" w:firstLine="211"/>
        <w:jc w:val="center"/>
        <w:rPr>
          <w:rFonts w:ascii="ＭＳ ゴシック" w:eastAsia="ＭＳ ゴシック" w:hAnsi="ＭＳ ゴシック"/>
          <w:b/>
          <w:szCs w:val="20"/>
        </w:rPr>
      </w:pPr>
    </w:p>
    <w:p w14:paraId="46FFE296" w14:textId="77777777" w:rsidR="00485A11" w:rsidRPr="00BC31E0" w:rsidRDefault="00485A11" w:rsidP="00A965B0">
      <w:pPr>
        <w:autoSpaceDE w:val="0"/>
        <w:autoSpaceDN w:val="0"/>
        <w:jc w:val="center"/>
        <w:rPr>
          <w:szCs w:val="20"/>
        </w:rPr>
      </w:pPr>
      <w:r w:rsidRPr="00BC31E0">
        <w:br w:type="page"/>
      </w:r>
      <w:r w:rsidRPr="00BC31E0">
        <w:rPr>
          <w:noProof/>
        </w:rPr>
        <w:lastRenderedPageBreak/>
        <w:drawing>
          <wp:inline distT="0" distB="0" distL="0" distR="0" wp14:anchorId="1FDAA4F0" wp14:editId="21F65A8A">
            <wp:extent cx="4555490" cy="1334135"/>
            <wp:effectExtent l="19050" t="0" r="0" b="0"/>
            <wp:docPr id="469" name="図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70" cstate="print"/>
                    <a:srcRect/>
                    <a:stretch>
                      <a:fillRect/>
                    </a:stretch>
                  </pic:blipFill>
                  <pic:spPr bwMode="auto">
                    <a:xfrm>
                      <a:off x="0" y="0"/>
                      <a:ext cx="4555490" cy="1334135"/>
                    </a:xfrm>
                    <a:prstGeom prst="rect">
                      <a:avLst/>
                    </a:prstGeom>
                    <a:noFill/>
                    <a:ln w="9525">
                      <a:noFill/>
                      <a:miter lim="800000"/>
                      <a:headEnd/>
                      <a:tailEnd/>
                    </a:ln>
                  </pic:spPr>
                </pic:pic>
              </a:graphicData>
            </a:graphic>
          </wp:inline>
        </w:drawing>
      </w:r>
    </w:p>
    <w:p w14:paraId="61A46470" w14:textId="77777777" w:rsidR="00485A11" w:rsidRPr="00BC31E0" w:rsidRDefault="00485A11" w:rsidP="00A965B0">
      <w:pPr>
        <w:autoSpaceDE w:val="0"/>
        <w:autoSpaceDN w:val="0"/>
        <w:jc w:val="center"/>
        <w:rPr>
          <w:szCs w:val="20"/>
        </w:rPr>
      </w:pPr>
    </w:p>
    <w:p w14:paraId="7AAE159E" w14:textId="77777777" w:rsidR="00485A11" w:rsidRPr="00BC31E0" w:rsidRDefault="00485A11" w:rsidP="00A965B0">
      <w:pPr>
        <w:pStyle w:val="af4"/>
      </w:pPr>
      <w:r w:rsidRPr="00BC31E0">
        <w:rPr>
          <w:rFonts w:hint="eastAsia"/>
        </w:rPr>
        <w:t>(a) 焼ばめ方式</w:t>
      </w:r>
    </w:p>
    <w:p w14:paraId="0380550C" w14:textId="77777777" w:rsidR="00485A11" w:rsidRPr="00BC31E0" w:rsidRDefault="00485A11" w:rsidP="00A965B0">
      <w:pPr>
        <w:autoSpaceDE w:val="0"/>
        <w:autoSpaceDN w:val="0"/>
        <w:jc w:val="center"/>
        <w:rPr>
          <w:szCs w:val="20"/>
        </w:rPr>
      </w:pPr>
    </w:p>
    <w:p w14:paraId="6D4B7091" w14:textId="77777777" w:rsidR="00485A11" w:rsidRPr="00BC31E0" w:rsidRDefault="00485A11" w:rsidP="00A965B0">
      <w:pPr>
        <w:autoSpaceDE w:val="0"/>
        <w:autoSpaceDN w:val="0"/>
        <w:jc w:val="left"/>
        <w:rPr>
          <w:szCs w:val="20"/>
        </w:rPr>
      </w:pPr>
    </w:p>
    <w:p w14:paraId="022A6842" w14:textId="77777777" w:rsidR="00485A11" w:rsidRPr="00BC31E0" w:rsidRDefault="00485A11" w:rsidP="00A965B0">
      <w:pPr>
        <w:autoSpaceDE w:val="0"/>
        <w:autoSpaceDN w:val="0"/>
        <w:jc w:val="center"/>
        <w:rPr>
          <w:szCs w:val="20"/>
        </w:rPr>
      </w:pPr>
      <w:r w:rsidRPr="00BC31E0">
        <w:rPr>
          <w:noProof/>
        </w:rPr>
        <w:drawing>
          <wp:inline distT="0" distB="0" distL="0" distR="0" wp14:anchorId="02FC2153" wp14:editId="1D9721AE">
            <wp:extent cx="4580255" cy="1476375"/>
            <wp:effectExtent l="19050" t="0" r="0" b="0"/>
            <wp:docPr id="470" name="図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71" cstate="print"/>
                    <a:srcRect/>
                    <a:stretch>
                      <a:fillRect/>
                    </a:stretch>
                  </pic:blipFill>
                  <pic:spPr bwMode="auto">
                    <a:xfrm>
                      <a:off x="0" y="0"/>
                      <a:ext cx="4580255" cy="1476375"/>
                    </a:xfrm>
                    <a:prstGeom prst="rect">
                      <a:avLst/>
                    </a:prstGeom>
                    <a:noFill/>
                    <a:ln w="9525">
                      <a:noFill/>
                      <a:miter lim="800000"/>
                      <a:headEnd/>
                      <a:tailEnd/>
                    </a:ln>
                  </pic:spPr>
                </pic:pic>
              </a:graphicData>
            </a:graphic>
          </wp:inline>
        </w:drawing>
      </w:r>
    </w:p>
    <w:p w14:paraId="2FEE6FF0" w14:textId="77777777" w:rsidR="00485A11" w:rsidRPr="00BC31E0" w:rsidRDefault="00485A11" w:rsidP="00A965B0">
      <w:pPr>
        <w:autoSpaceDE w:val="0"/>
        <w:autoSpaceDN w:val="0"/>
        <w:jc w:val="center"/>
        <w:rPr>
          <w:szCs w:val="20"/>
        </w:rPr>
      </w:pPr>
    </w:p>
    <w:p w14:paraId="69491A5C" w14:textId="77777777" w:rsidR="00485A11" w:rsidRPr="00BC31E0" w:rsidRDefault="00485A11" w:rsidP="00A965B0">
      <w:pPr>
        <w:pStyle w:val="af4"/>
      </w:pPr>
      <w:r w:rsidRPr="00BC31E0">
        <w:rPr>
          <w:rFonts w:hint="eastAsia"/>
        </w:rPr>
        <w:t>(b) 溶接巻き方式</w:t>
      </w:r>
    </w:p>
    <w:p w14:paraId="348539E7" w14:textId="77777777" w:rsidR="00485A11" w:rsidRPr="00BC31E0" w:rsidRDefault="00485A11" w:rsidP="00A965B0">
      <w:pPr>
        <w:autoSpaceDE w:val="0"/>
        <w:autoSpaceDN w:val="0"/>
        <w:jc w:val="left"/>
        <w:rPr>
          <w:szCs w:val="20"/>
        </w:rPr>
      </w:pPr>
    </w:p>
    <w:p w14:paraId="760B1DC5" w14:textId="77777777" w:rsidR="00485A11" w:rsidRPr="00BC31E0" w:rsidRDefault="00485A11" w:rsidP="00A965B0">
      <w:pPr>
        <w:autoSpaceDE w:val="0"/>
        <w:autoSpaceDN w:val="0"/>
        <w:jc w:val="left"/>
        <w:rPr>
          <w:szCs w:val="20"/>
        </w:rPr>
      </w:pPr>
      <w:r w:rsidRPr="00BC31E0">
        <w:rPr>
          <w:rFonts w:ascii="ＭＳ ゴシック" w:eastAsia="ＭＳ ゴシック" w:hAnsi="ＭＳ ゴシック" w:hint="eastAsia"/>
          <w:b/>
          <w:bCs/>
          <w:szCs w:val="20"/>
        </w:rPr>
        <w:t xml:space="preserve">                  注記</w:t>
      </w:r>
      <w:r w:rsidRPr="00BC31E0">
        <w:rPr>
          <w:rFonts w:ascii="ＭＳ ゴシック" w:eastAsia="ＭＳ ゴシック" w:hAnsi="ＭＳ ゴシック" w:hint="eastAsia"/>
          <w:b/>
          <w:bCs/>
          <w:szCs w:val="20"/>
        </w:rPr>
        <w:tab/>
      </w:r>
      <w:r w:rsidRPr="00BC31E0">
        <w:rPr>
          <w:rFonts w:hint="eastAsia"/>
          <w:szCs w:val="20"/>
        </w:rPr>
        <w:t xml:space="preserve">(1) </w:t>
      </w:r>
      <w:r w:rsidRPr="00BC31E0">
        <w:rPr>
          <w:rFonts w:hint="eastAsia"/>
          <w:szCs w:val="20"/>
        </w:rPr>
        <w:t>内側シェル</w:t>
      </w:r>
    </w:p>
    <w:p w14:paraId="2381FA04" w14:textId="77777777" w:rsidR="00485A11" w:rsidRPr="00BC31E0" w:rsidRDefault="00485A11" w:rsidP="00A965B0">
      <w:pPr>
        <w:tabs>
          <w:tab w:val="left" w:pos="2520"/>
        </w:tabs>
        <w:autoSpaceDE w:val="0"/>
        <w:autoSpaceDN w:val="0"/>
        <w:jc w:val="left"/>
        <w:rPr>
          <w:szCs w:val="20"/>
        </w:rPr>
      </w:pPr>
      <w:r w:rsidRPr="00BC31E0">
        <w:rPr>
          <w:rFonts w:hint="eastAsia"/>
          <w:szCs w:val="20"/>
        </w:rPr>
        <w:t xml:space="preserve">          </w:t>
      </w:r>
      <w:r w:rsidRPr="00BC31E0">
        <w:rPr>
          <w:rFonts w:hint="eastAsia"/>
          <w:szCs w:val="20"/>
        </w:rPr>
        <w:tab/>
        <w:t xml:space="preserve">(2) </w:t>
      </w:r>
      <w:r w:rsidRPr="00BC31E0">
        <w:rPr>
          <w:rFonts w:hint="eastAsia"/>
          <w:szCs w:val="20"/>
        </w:rPr>
        <w:t>ダミー層</w:t>
      </w:r>
      <w:r w:rsidRPr="00BC31E0">
        <w:rPr>
          <w:rFonts w:hint="eastAsia"/>
          <w:szCs w:val="20"/>
        </w:rPr>
        <w:t>(</w:t>
      </w:r>
      <w:r w:rsidRPr="00BC31E0">
        <w:rPr>
          <w:rFonts w:hint="eastAsia"/>
          <w:szCs w:val="20"/>
        </w:rPr>
        <w:t>必要な場合</w:t>
      </w:r>
      <w:r w:rsidRPr="00BC31E0">
        <w:rPr>
          <w:rFonts w:hint="eastAsia"/>
          <w:szCs w:val="20"/>
        </w:rPr>
        <w:t>)</w:t>
      </w:r>
    </w:p>
    <w:p w14:paraId="4C613136" w14:textId="77777777" w:rsidR="00485A11" w:rsidRPr="00BC31E0" w:rsidRDefault="00485A11" w:rsidP="00A965B0">
      <w:pPr>
        <w:tabs>
          <w:tab w:val="left" w:pos="2520"/>
        </w:tabs>
        <w:autoSpaceDE w:val="0"/>
        <w:autoSpaceDN w:val="0"/>
        <w:jc w:val="left"/>
        <w:rPr>
          <w:szCs w:val="20"/>
        </w:rPr>
      </w:pPr>
      <w:r w:rsidRPr="00BC31E0">
        <w:rPr>
          <w:rFonts w:hint="eastAsia"/>
          <w:szCs w:val="20"/>
        </w:rPr>
        <w:tab/>
        <w:t xml:space="preserve">(3) </w:t>
      </w:r>
      <w:r w:rsidRPr="00BC31E0">
        <w:rPr>
          <w:rFonts w:hint="eastAsia"/>
          <w:szCs w:val="20"/>
        </w:rPr>
        <w:t>層</w:t>
      </w:r>
    </w:p>
    <w:p w14:paraId="47A9C294" w14:textId="77777777" w:rsidR="00485A11" w:rsidRPr="00BC31E0" w:rsidRDefault="00485A11" w:rsidP="00A965B0">
      <w:pPr>
        <w:tabs>
          <w:tab w:val="left" w:pos="2520"/>
        </w:tabs>
        <w:autoSpaceDE w:val="0"/>
        <w:autoSpaceDN w:val="0"/>
        <w:jc w:val="left"/>
        <w:rPr>
          <w:szCs w:val="20"/>
        </w:rPr>
      </w:pPr>
      <w:r w:rsidRPr="00BC31E0">
        <w:rPr>
          <w:rFonts w:hint="eastAsia"/>
          <w:szCs w:val="20"/>
        </w:rPr>
        <w:tab/>
        <w:t xml:space="preserve">(4) </w:t>
      </w:r>
      <w:r w:rsidRPr="00BC31E0">
        <w:rPr>
          <w:rFonts w:hint="eastAsia"/>
          <w:szCs w:val="20"/>
        </w:rPr>
        <w:t>カバーシェル</w:t>
      </w:r>
      <w:r w:rsidRPr="00BC31E0">
        <w:rPr>
          <w:rFonts w:hint="eastAsia"/>
          <w:szCs w:val="20"/>
        </w:rPr>
        <w:t>(</w:t>
      </w:r>
      <w:r w:rsidRPr="00BC31E0">
        <w:rPr>
          <w:rFonts w:hint="eastAsia"/>
          <w:szCs w:val="20"/>
        </w:rPr>
        <w:t>必要な場合</w:t>
      </w:r>
      <w:r w:rsidRPr="00BC31E0">
        <w:rPr>
          <w:rFonts w:hint="eastAsia"/>
          <w:szCs w:val="20"/>
        </w:rPr>
        <w:t>)</w:t>
      </w:r>
    </w:p>
    <w:p w14:paraId="569A7910" w14:textId="77777777" w:rsidR="00485A11" w:rsidRPr="00BC31E0" w:rsidRDefault="00485A11" w:rsidP="00A965B0">
      <w:pPr>
        <w:autoSpaceDE w:val="0"/>
        <w:autoSpaceDN w:val="0"/>
        <w:jc w:val="left"/>
        <w:rPr>
          <w:szCs w:val="20"/>
        </w:rPr>
      </w:pPr>
    </w:p>
    <w:p w14:paraId="7F2337B8" w14:textId="77777777" w:rsidR="00485A11" w:rsidRPr="00BC31E0" w:rsidRDefault="00485A11" w:rsidP="00A965B0">
      <w:pPr>
        <w:pStyle w:val="af4"/>
      </w:pPr>
      <w:r w:rsidRPr="00BC31E0">
        <w:rPr>
          <w:rFonts w:hint="eastAsia"/>
        </w:rPr>
        <w:t>図6.8.</w:t>
      </w:r>
      <w:r w:rsidRPr="00BC31E0">
        <w:t>2</w:t>
      </w:r>
      <w:r w:rsidRPr="00BC31E0">
        <w:rPr>
          <w:rFonts w:hint="eastAsia"/>
        </w:rPr>
        <w:t xml:space="preserve">　層成胴の種類</w:t>
      </w:r>
    </w:p>
    <w:p w14:paraId="051D970B" w14:textId="77777777" w:rsidR="00485A11" w:rsidRPr="00BC31E0" w:rsidRDefault="00485A11" w:rsidP="00A965B0">
      <w:pPr>
        <w:autoSpaceDE w:val="0"/>
        <w:autoSpaceDN w:val="0"/>
        <w:jc w:val="left"/>
        <w:rPr>
          <w:szCs w:val="20"/>
        </w:rPr>
      </w:pPr>
    </w:p>
    <w:p w14:paraId="5B382496" w14:textId="77777777" w:rsidR="00FE4FE8" w:rsidRPr="00BC31E0" w:rsidRDefault="00FE4FE8">
      <w:pPr>
        <w:widowControl/>
        <w:jc w:val="left"/>
        <w:rPr>
          <w:szCs w:val="20"/>
        </w:rPr>
      </w:pPr>
      <w:r w:rsidRPr="00BC31E0">
        <w:rPr>
          <w:szCs w:val="20"/>
        </w:rPr>
        <w:br w:type="page"/>
      </w:r>
    </w:p>
    <w:p w14:paraId="13E0730D" w14:textId="77777777" w:rsidR="00485A11" w:rsidRPr="00BC31E0" w:rsidRDefault="00485A11" w:rsidP="00485A11">
      <w:pPr>
        <w:autoSpaceDE w:val="0"/>
        <w:autoSpaceDN w:val="0"/>
        <w:jc w:val="center"/>
      </w:pPr>
      <w:r w:rsidRPr="00BC31E0">
        <w:rPr>
          <w:noProof/>
        </w:rPr>
        <w:lastRenderedPageBreak/>
        <w:drawing>
          <wp:inline distT="0" distB="0" distL="0" distR="0" wp14:anchorId="49F3D05A" wp14:editId="298CE9C2">
            <wp:extent cx="4412615" cy="1476375"/>
            <wp:effectExtent l="19050" t="0" r="6985" b="0"/>
            <wp:docPr id="4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2" cstate="print"/>
                    <a:srcRect/>
                    <a:stretch>
                      <a:fillRect/>
                    </a:stretch>
                  </pic:blipFill>
                  <pic:spPr bwMode="auto">
                    <a:xfrm>
                      <a:off x="0" y="0"/>
                      <a:ext cx="4412615" cy="1476375"/>
                    </a:xfrm>
                    <a:prstGeom prst="rect">
                      <a:avLst/>
                    </a:prstGeom>
                    <a:noFill/>
                    <a:ln w="9525">
                      <a:noFill/>
                      <a:miter lim="800000"/>
                      <a:headEnd/>
                      <a:tailEnd/>
                    </a:ln>
                  </pic:spPr>
                </pic:pic>
              </a:graphicData>
            </a:graphic>
          </wp:inline>
        </w:drawing>
      </w:r>
    </w:p>
    <w:p w14:paraId="24AA640F" w14:textId="77777777" w:rsidR="00485A11" w:rsidRPr="00BC31E0" w:rsidRDefault="00485A11" w:rsidP="00A965B0">
      <w:pPr>
        <w:autoSpaceDE w:val="0"/>
        <w:autoSpaceDN w:val="0"/>
        <w:ind w:firstLineChars="500" w:firstLine="1050"/>
        <w:jc w:val="left"/>
        <w:rPr>
          <w:szCs w:val="20"/>
        </w:rPr>
      </w:pPr>
      <w:r w:rsidRPr="00BC31E0">
        <w:rPr>
          <w:rFonts w:hint="eastAsia"/>
          <w:szCs w:val="20"/>
        </w:rPr>
        <w:t xml:space="preserve">(a) </w:t>
      </w:r>
      <w:r w:rsidRPr="00BC31E0">
        <w:rPr>
          <w:rFonts w:hint="eastAsia"/>
          <w:szCs w:val="20"/>
        </w:rPr>
        <w:t>層成材の厚さ</w:t>
      </w:r>
      <w:r w:rsidRPr="00BC31E0">
        <w:rPr>
          <w:rFonts w:asciiTheme="minorHAnsi" w:hAnsiTheme="minorHAnsi"/>
          <w:szCs w:val="20"/>
        </w:rPr>
        <w:t>16 mm</w:t>
      </w:r>
      <w:r w:rsidRPr="00BC31E0">
        <w:rPr>
          <w:rFonts w:hint="eastAsia"/>
          <w:szCs w:val="20"/>
        </w:rPr>
        <w:t>を超える</w:t>
      </w:r>
      <w:r w:rsidR="00790AB8" w:rsidRPr="00BC31E0">
        <w:rPr>
          <w:rFonts w:hint="eastAsia"/>
          <w:szCs w:val="20"/>
        </w:rPr>
        <w:t>場合</w:t>
      </w:r>
      <w:r w:rsidRPr="00BC31E0">
        <w:rPr>
          <w:rFonts w:hint="eastAsia"/>
          <w:szCs w:val="20"/>
        </w:rPr>
        <w:t xml:space="preserve">　</w:t>
      </w:r>
      <w:r w:rsidRPr="00BC31E0">
        <w:rPr>
          <w:rFonts w:hint="eastAsia"/>
          <w:szCs w:val="20"/>
        </w:rPr>
        <w:t xml:space="preserve">      (b) </w:t>
      </w:r>
      <w:r w:rsidRPr="00BC31E0">
        <w:rPr>
          <w:rFonts w:hint="eastAsia"/>
          <w:szCs w:val="20"/>
        </w:rPr>
        <w:t>層成材の厚さ</w:t>
      </w:r>
      <w:r w:rsidRPr="00BC31E0">
        <w:rPr>
          <w:rFonts w:asciiTheme="minorHAnsi" w:hAnsiTheme="minorHAnsi"/>
          <w:szCs w:val="20"/>
        </w:rPr>
        <w:t>16 mm</w:t>
      </w:r>
      <w:r w:rsidRPr="00BC31E0">
        <w:rPr>
          <w:rFonts w:hint="eastAsia"/>
          <w:szCs w:val="20"/>
        </w:rPr>
        <w:t>以下の</w:t>
      </w:r>
      <w:r w:rsidR="00790AB8" w:rsidRPr="00BC31E0">
        <w:rPr>
          <w:rFonts w:hint="eastAsia"/>
          <w:szCs w:val="20"/>
        </w:rPr>
        <w:t>場合</w:t>
      </w:r>
    </w:p>
    <w:p w14:paraId="37CD5EFA" w14:textId="77777777" w:rsidR="007C1BFE" w:rsidRPr="00BC31E0" w:rsidRDefault="00A51873" w:rsidP="00A965B0">
      <w:pPr>
        <w:autoSpaceDE w:val="0"/>
        <w:autoSpaceDN w:val="0"/>
        <w:jc w:val="center"/>
        <w:rPr>
          <w:szCs w:val="20"/>
        </w:rPr>
      </w:pPr>
      <w:r>
        <w:rPr>
          <w:noProof/>
          <w:szCs w:val="20"/>
        </w:rPr>
      </w:r>
      <w:r>
        <w:rPr>
          <w:noProof/>
          <w:szCs w:val="20"/>
        </w:rPr>
        <w:pict w14:anchorId="2EB37CBD">
          <v:group id="Group 10624" o:spid="_x0000_s1068" style="width:343.65pt;height:227.7pt;mso-position-horizontal-relative:char;mso-position-vertical-relative:line" coordorigin="2655,4830" coordsize="6873,4212">
            <v:group id="Group 10625" o:spid="_x0000_s1069" style="position:absolute;left:2655;top:4830;width:6873;height:4212" coordorigin="2655,4830" coordsize="6873,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">
              <v:shape id="図 1" o:spid="_x0000_s1070" type="#_x0000_t75" style="position:absolute;left:2763;top:4980;width:6765;height:40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">
                <v:imagedata r:id="rId73" o:title=""/>
              </v:shape>
              <v:shape id="Text Box 10627" o:spid="_x0000_s1071" type="#_x0000_t202" style="position:absolute;left:4782;top:7481;width:3002;height:15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" stroked="f">
                <v:textbox inset="5.85pt,.7pt,5.85pt,.7pt">
                  <w:txbxContent>
                    <w:p w14:paraId="210E704F" w14:textId="77777777" w:rsidR="003B0864" w:rsidRPr="00FE7193" w:rsidRDefault="003B0864" w:rsidP="00037821">
                      <w:pPr>
                        <w:spacing w:line="360" w:lineRule="exact"/>
                        <w:rPr>
                          <w:sz w:val="20"/>
                        </w:rPr>
                      </w:pPr>
                      <w:r w:rsidRPr="00FE7193">
                        <w:rPr>
                          <w:rFonts w:hint="eastAsia"/>
                          <w:sz w:val="20"/>
                        </w:rPr>
                        <w:t>鏡板及び溶接の種類によって規格の要求事項に従い、溶接線がタンジェントラインのところか</w:t>
                      </w:r>
                      <w:r>
                        <w:rPr>
                          <w:rFonts w:hint="eastAsia"/>
                          <w:sz w:val="20"/>
                        </w:rPr>
                        <w:t>，</w:t>
                      </w:r>
                      <w:r w:rsidRPr="00FE7193">
                        <w:rPr>
                          <w:rFonts w:hint="eastAsia"/>
                          <w:sz w:val="20"/>
                        </w:rPr>
                        <w:t>又はその下となる。</w:t>
                      </w:r>
                    </w:p>
                  </w:txbxContent>
                </v:textbox>
              </v:shape>
              <v:rect id="Rectangle 10628" o:spid="_x0000_s1072" style="position:absolute;left:5025;top:4830;width:2759;height:11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" strokecolor="white">
                <v:textbox inset="5.85pt,.7pt,5.85pt,.7pt"/>
              </v:rect>
              <v:rect id="Rectangle 10629" o:spid="_x0000_s1073" style="position:absolute;left:2655;top:5745;width:704;height:8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" strokecolor="white">
                <v:textbox inset="5.85pt,.7pt,5.85pt,.7pt"/>
              </v:rect>
              <v:rect id="Rectangle 10630" o:spid="_x0000_s1074" style="position:absolute;left:5445;top:7020;width:1259;height:5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" strokecolor="white">
                <v:textbox inset="5.85pt,.7pt,5.85pt,.7pt"/>
              </v:rect>
            </v:group>
            <v:roundrect id="AutoShape 10631" o:spid="_x0000_s1075" style="position:absolute;left:3988;top:7991;width:205;height:222;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" strokecolor="white">
              <v:textbox inset="5.85pt,.7pt,5.85pt,.7pt"/>
            </v:roundrect>
            <v:roundrect id="AutoShape 10632" o:spid="_x0000_s1076" style="position:absolute;left:4059;top:8315;width:245;height:190;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" strokecolor="white">
              <v:textbox inset="5.85pt,.7pt,5.85pt,.7pt"/>
            </v:roundrect>
            <v:roundrect id="AutoShape 10633" o:spid="_x0000_s1077" style="position:absolute;left:8363;top:8283;width:205;height:222;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" strokecolor="white">
              <v:textbox inset="5.85pt,.7pt,5.85pt,.7pt"/>
            </v:roundrect>
            <v:roundrect id="AutoShape 10634" o:spid="_x0000_s1078" style="position:absolute;left:8459;top:8023;width:245;height:190;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" strokecolor="white">
              <v:textbox inset="5.85pt,.7pt,5.85pt,.7pt"/>
            </v:roundrect>
            <v:group id="Group 10635" o:spid="_x0000_s1079" style="position:absolute;left:3980;top:8243;width:682;height:451" coordorigin="1973,8814" coordsize="68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">
              <v:shape id="Text Box 10636" o:spid="_x0000_s1080" type="#_x0000_t202" style="position:absolute;left:1973;top:8814;width:610;height:4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" filled="f" stroked="f">
                <v:textbox inset="5.85pt,0,5.85pt,0">
                  <w:txbxContent>
                    <w:p w14:paraId="498A47F4" w14:textId="77777777" w:rsidR="003B0864" w:rsidRPr="00207960" w:rsidRDefault="003B0864" w:rsidP="00485A11">
                      <w:pPr>
                        <w:spacing w:line="260" w:lineRule="exact"/>
                        <w:rPr>
                          <w:rFonts w:ascii="Cambria Math" w:hAnsi="Cambria Math"/>
                          <w:i/>
                        </w:rPr>
                      </w:pPr>
                      <w:r w:rsidRPr="00207960">
                        <w:rPr>
                          <w:rFonts w:ascii="Cambria Math" w:hAnsi="Cambria Math"/>
                          <w:i/>
                        </w:rPr>
                        <w:t>t</w:t>
                      </w:r>
                    </w:p>
                  </w:txbxContent>
                </v:textbox>
              </v:shape>
              <v:shape id="Text Box 10637" o:spid="_x0000_s1081" type="#_x0000_t202" style="position:absolute;left:2045;top:8854;width:610;height:4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" filled="f" stroked="f">
                <v:textbox inset="5.85pt,0,5.85pt,0">
                  <w:txbxContent>
                    <w:p w14:paraId="1D643186" w14:textId="77777777" w:rsidR="003B0864" w:rsidRPr="00207960" w:rsidRDefault="003B0864" w:rsidP="00485A11">
                      <w:pPr>
                        <w:spacing w:line="260" w:lineRule="exact"/>
                        <w:rPr>
                          <w:rFonts w:ascii="Cambria Math" w:eastAsia="Meiryo UI" w:hAnsi="Cambria Math"/>
                          <w:sz w:val="12"/>
                          <w:szCs w:val="12"/>
                        </w:rPr>
                      </w:pPr>
                      <w:r w:rsidRPr="00207960">
                        <w:rPr>
                          <w:rFonts w:ascii="Cambria Math" w:eastAsia="Meiryo UI" w:hAnsi="Cambria Math"/>
                          <w:sz w:val="12"/>
                          <w:szCs w:val="12"/>
                        </w:rPr>
                        <w:t>S</w:t>
                      </w:r>
                    </w:p>
                  </w:txbxContent>
                </v:textbox>
              </v:shape>
            </v:group>
            <v:group id="Group 10638" o:spid="_x0000_s1082" style="position:absolute;left:3908;top:7944;width:682;height:451" coordorigin="1973,8814" coordsize="68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">
              <v:shape id="Text Box 10639" o:spid="_x0000_s1083" type="#_x0000_t202" style="position:absolute;left:1973;top:8814;width:610;height:4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" filled="f" stroked="f">
                <v:textbox inset="5.85pt,0,5.85pt,0">
                  <w:txbxContent>
                    <w:p w14:paraId="70E735A7" w14:textId="77777777" w:rsidR="003B0864" w:rsidRPr="00207960" w:rsidRDefault="003B0864" w:rsidP="00485A11">
                      <w:pPr>
                        <w:spacing w:line="260" w:lineRule="exact"/>
                        <w:rPr>
                          <w:rFonts w:ascii="Cambria Math" w:hAnsi="Cambria Math"/>
                          <w:i/>
                        </w:rPr>
                      </w:pPr>
                      <w:r w:rsidRPr="00207960">
                        <w:rPr>
                          <w:rFonts w:ascii="Cambria Math" w:hAnsi="Cambria Math"/>
                          <w:i/>
                        </w:rPr>
                        <w:t>t</w:t>
                      </w:r>
                    </w:p>
                  </w:txbxContent>
                </v:textbox>
              </v:shape>
              <v:shape id="Text Box 10640" o:spid="_x0000_s1084" type="#_x0000_t202" style="position:absolute;left:2045;top:8854;width:610;height:4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" filled="f" stroked="f">
                <v:textbox inset="5.85pt,0,5.85pt,0">
                  <w:txbxContent>
                    <w:p w14:paraId="002A20BA" w14:textId="77777777" w:rsidR="003B0864" w:rsidRPr="00207960" w:rsidRDefault="003B0864" w:rsidP="00485A11">
                      <w:pPr>
                        <w:spacing w:line="260" w:lineRule="exact"/>
                        <w:rPr>
                          <w:rFonts w:ascii="Cambria Math" w:eastAsia="Meiryo UI" w:hAnsi="Cambria Math"/>
                          <w:sz w:val="12"/>
                          <w:szCs w:val="12"/>
                        </w:rPr>
                      </w:pPr>
                      <w:r w:rsidRPr="00207960">
                        <w:rPr>
                          <w:rFonts w:ascii="Cambria Math" w:eastAsia="Meiryo UI" w:hAnsi="Cambria Math" w:hint="eastAsia"/>
                          <w:sz w:val="12"/>
                          <w:szCs w:val="12"/>
                        </w:rPr>
                        <w:t>L</w:t>
                      </w:r>
                    </w:p>
                  </w:txbxContent>
                </v:textbox>
              </v:shape>
            </v:group>
            <v:group id="Group 10641" o:spid="_x0000_s1085" style="position:absolute;left:8323;top:7944;width:682;height:451" coordorigin="1973,8814" coordsize="68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">
              <v:shape id="Text Box 10642" o:spid="_x0000_s1086" type="#_x0000_t202" style="position:absolute;left:1973;top:8814;width:610;height:4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" filled="f" stroked="f">
                <v:textbox inset="5.85pt,0,5.85pt,0">
                  <w:txbxContent>
                    <w:p w14:paraId="1620C9C4" w14:textId="77777777" w:rsidR="003B0864" w:rsidRPr="00207960" w:rsidRDefault="003B0864" w:rsidP="00485A11">
                      <w:pPr>
                        <w:spacing w:line="260" w:lineRule="exact"/>
                        <w:rPr>
                          <w:rFonts w:ascii="Cambria Math" w:hAnsi="Cambria Math"/>
                          <w:i/>
                        </w:rPr>
                      </w:pPr>
                      <w:r w:rsidRPr="00207960">
                        <w:rPr>
                          <w:rFonts w:ascii="Cambria Math" w:hAnsi="Cambria Math"/>
                          <w:i/>
                        </w:rPr>
                        <w:t>t</w:t>
                      </w:r>
                    </w:p>
                  </w:txbxContent>
                </v:textbox>
              </v:shape>
              <v:shape id="Text Box 10643" o:spid="_x0000_s1087" type="#_x0000_t202" style="position:absolute;left:2045;top:8854;width:610;height:4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" filled="f" stroked="f">
                <v:textbox inset="5.85pt,0,5.85pt,0">
                  <w:txbxContent>
                    <w:p w14:paraId="4280886B" w14:textId="77777777" w:rsidR="003B0864" w:rsidRPr="00207960" w:rsidRDefault="003B0864" w:rsidP="00485A11">
                      <w:pPr>
                        <w:spacing w:line="260" w:lineRule="exact"/>
                        <w:rPr>
                          <w:rFonts w:ascii="Cambria Math" w:eastAsia="Meiryo UI" w:hAnsi="Cambria Math"/>
                          <w:sz w:val="12"/>
                          <w:szCs w:val="12"/>
                        </w:rPr>
                      </w:pPr>
                      <w:r w:rsidRPr="00207960">
                        <w:rPr>
                          <w:rFonts w:ascii="Cambria Math" w:eastAsia="Meiryo UI" w:hAnsi="Cambria Math" w:hint="eastAsia"/>
                          <w:sz w:val="12"/>
                          <w:szCs w:val="12"/>
                        </w:rPr>
                        <w:t>L</w:t>
                      </w:r>
                    </w:p>
                  </w:txbxContent>
                </v:textbox>
              </v:shape>
            </v:group>
            <v:group id="Group 10644" o:spid="_x0000_s1088" style="position:absolute;left:8251;top:8243;width:682;height:451" coordorigin="1973,8814" coordsize="68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">
              <v:shape id="Text Box 10645" o:spid="_x0000_s1089" type="#_x0000_t202" style="position:absolute;left:1973;top:8814;width:610;height:4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" filled="f" stroked="f">
                <v:textbox inset="5.85pt,0,5.85pt,0">
                  <w:txbxContent>
                    <w:p w14:paraId="51F80B9E" w14:textId="77777777" w:rsidR="003B0864" w:rsidRPr="00207960" w:rsidRDefault="003B0864" w:rsidP="00485A11">
                      <w:pPr>
                        <w:spacing w:line="260" w:lineRule="exact"/>
                        <w:rPr>
                          <w:rFonts w:ascii="Cambria Math" w:hAnsi="Cambria Math"/>
                          <w:i/>
                        </w:rPr>
                      </w:pPr>
                      <w:r w:rsidRPr="00207960">
                        <w:rPr>
                          <w:rFonts w:ascii="Cambria Math" w:hAnsi="Cambria Math"/>
                          <w:i/>
                        </w:rPr>
                        <w:t>t</w:t>
                      </w:r>
                    </w:p>
                  </w:txbxContent>
                </v:textbox>
              </v:shape>
              <v:shape id="Text Box 10646" o:spid="_x0000_s1090" type="#_x0000_t202" style="position:absolute;left:2045;top:8854;width:610;height:4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" filled="f" stroked="f">
                <v:textbox inset="5.85pt,0,5.85pt,0">
                  <w:txbxContent>
                    <w:p w14:paraId="16E265B4" w14:textId="77777777" w:rsidR="003B0864" w:rsidRPr="00207960" w:rsidRDefault="003B0864" w:rsidP="00485A11">
                      <w:pPr>
                        <w:spacing w:line="260" w:lineRule="exact"/>
                        <w:rPr>
                          <w:rFonts w:ascii="Cambria Math" w:eastAsia="Meiryo UI" w:hAnsi="Cambria Math"/>
                          <w:sz w:val="12"/>
                          <w:szCs w:val="12"/>
                        </w:rPr>
                      </w:pPr>
                      <w:r w:rsidRPr="00207960">
                        <w:rPr>
                          <w:rFonts w:ascii="Cambria Math" w:eastAsia="Meiryo UI" w:hAnsi="Cambria Math"/>
                          <w:sz w:val="12"/>
                          <w:szCs w:val="12"/>
                        </w:rPr>
                        <w:t>S</w:t>
                      </w:r>
                    </w:p>
                  </w:txbxContent>
                </v:textbox>
              </v:shape>
            </v:group>
            <w10:anchorlock/>
          </v:group>
        </w:pict>
      </w:r>
    </w:p>
    <w:p w14:paraId="5CC17A41" w14:textId="77777777" w:rsidR="00485A11" w:rsidRPr="00BC31E0" w:rsidRDefault="00485A11" w:rsidP="00A965B0">
      <w:pPr>
        <w:autoSpaceDE w:val="0"/>
        <w:autoSpaceDN w:val="0"/>
        <w:ind w:firstLineChars="500" w:firstLine="1050"/>
        <w:jc w:val="left"/>
        <w:rPr>
          <w:szCs w:val="20"/>
        </w:rPr>
      </w:pPr>
      <w:r w:rsidRPr="00BC31E0">
        <w:rPr>
          <w:rFonts w:hint="eastAsia"/>
          <w:szCs w:val="20"/>
        </w:rPr>
        <w:t xml:space="preserve">(c) </w:t>
      </w:r>
      <w:r w:rsidRPr="00BC31E0">
        <w:rPr>
          <w:rFonts w:hint="eastAsia"/>
          <w:szCs w:val="20"/>
        </w:rPr>
        <w:t>層成材の厚さ</w:t>
      </w:r>
      <w:r w:rsidRPr="00BC31E0">
        <w:rPr>
          <w:rFonts w:asciiTheme="minorHAnsi" w:hAnsiTheme="minorHAnsi"/>
          <w:szCs w:val="20"/>
        </w:rPr>
        <w:t>16 mm</w:t>
      </w:r>
      <w:r w:rsidRPr="00BC31E0">
        <w:rPr>
          <w:rFonts w:hint="eastAsia"/>
          <w:szCs w:val="20"/>
        </w:rPr>
        <w:t>以下の</w:t>
      </w:r>
      <w:r w:rsidR="00790AB8" w:rsidRPr="00BC31E0">
        <w:rPr>
          <w:rFonts w:hint="eastAsia"/>
          <w:szCs w:val="20"/>
        </w:rPr>
        <w:t>場合</w:t>
      </w:r>
      <w:r w:rsidRPr="00BC31E0">
        <w:rPr>
          <w:rFonts w:hint="eastAsia"/>
          <w:szCs w:val="20"/>
        </w:rPr>
        <w:t xml:space="preserve">　</w:t>
      </w:r>
      <w:r w:rsidRPr="00BC31E0">
        <w:rPr>
          <w:rFonts w:hint="eastAsia"/>
          <w:szCs w:val="20"/>
        </w:rPr>
        <w:t xml:space="preserve">           (d) </w:t>
      </w:r>
      <w:r w:rsidRPr="00BC31E0">
        <w:rPr>
          <w:rFonts w:hint="eastAsia"/>
          <w:szCs w:val="20"/>
        </w:rPr>
        <w:t>任意の厚さの層成材</w:t>
      </w:r>
    </w:p>
    <w:p w14:paraId="057BFCDD" w14:textId="77777777" w:rsidR="00485A11" w:rsidRPr="00BC31E0" w:rsidRDefault="00485A11" w:rsidP="00A965B0">
      <w:pPr>
        <w:autoSpaceDE w:val="0"/>
        <w:autoSpaceDN w:val="0"/>
        <w:jc w:val="left"/>
        <w:rPr>
          <w:szCs w:val="20"/>
        </w:rPr>
      </w:pPr>
    </w:p>
    <w:p w14:paraId="00A05752" w14:textId="77777777" w:rsidR="00485A11" w:rsidRPr="00BC31E0" w:rsidRDefault="00485A11" w:rsidP="00A965B0">
      <w:pPr>
        <w:tabs>
          <w:tab w:val="left" w:pos="1276"/>
          <w:tab w:val="left" w:pos="1560"/>
        </w:tabs>
        <w:autoSpaceDE w:val="0"/>
        <w:autoSpaceDN w:val="0"/>
        <w:jc w:val="left"/>
        <w:rPr>
          <w:rFonts w:ascii="ＭＳ ゴシック" w:eastAsia="ＭＳ ゴシック" w:hAnsi="ＭＳ ゴシック"/>
          <w:b/>
          <w:bCs/>
          <w:szCs w:val="20"/>
        </w:rPr>
      </w:pPr>
      <w:r w:rsidRPr="00BC31E0">
        <w:rPr>
          <w:rFonts w:hint="eastAsia"/>
          <w:szCs w:val="20"/>
        </w:rPr>
        <w:t xml:space="preserve">　　</w:t>
      </w:r>
      <w:r w:rsidRPr="00BC31E0">
        <w:rPr>
          <w:rFonts w:ascii="ＭＳ ゴシック" w:eastAsia="ＭＳ ゴシック" w:hAnsi="ＭＳ ゴシック" w:hint="eastAsia"/>
          <w:b/>
          <w:bCs/>
          <w:szCs w:val="20"/>
        </w:rPr>
        <w:t>注記1</w:t>
      </w:r>
      <w:r w:rsidRPr="00BC31E0">
        <w:rPr>
          <w:rFonts w:ascii="ＭＳ ゴシック" w:eastAsia="ＭＳ ゴシック" w:hAnsi="ＭＳ ゴシック" w:hint="eastAsia"/>
          <w:b/>
          <w:bCs/>
          <w:szCs w:val="20"/>
        </w:rPr>
        <w:tab/>
      </w:r>
      <m:oMath>
        <m:r>
          <w:rPr>
            <w:rFonts w:ascii="Cambria Math" w:eastAsia="ＭＳ ゴシック" w:hAnsi="Cambria Math"/>
            <w:szCs w:val="20"/>
          </w:rPr>
          <m:t>l</m:t>
        </m:r>
      </m:oMath>
      <w:r w:rsidRPr="00BC31E0">
        <w:rPr>
          <w:rFonts w:hint="eastAsia"/>
          <w:szCs w:val="20"/>
        </w:rPr>
        <w:t xml:space="preserve"> </w:t>
      </w:r>
      <w:r w:rsidRPr="00BC31E0">
        <w:rPr>
          <w:rFonts w:hint="eastAsia"/>
          <w:szCs w:val="20"/>
        </w:rPr>
        <w:tab/>
      </w:r>
      <w:r w:rsidRPr="00BC31E0">
        <w:rPr>
          <w:rFonts w:hint="eastAsia"/>
          <w:szCs w:val="20"/>
        </w:rPr>
        <w:t>：</w:t>
      </w:r>
      <w:r w:rsidRPr="00BC31E0">
        <w:rPr>
          <w:rFonts w:hint="eastAsia"/>
          <w:szCs w:val="20"/>
        </w:rPr>
        <w:t xml:space="preserve"> </w:t>
      </w:r>
      <w:r w:rsidRPr="00BC31E0">
        <w:rPr>
          <w:rFonts w:hint="eastAsia"/>
          <w:szCs w:val="20"/>
        </w:rPr>
        <w:t>テーパ長さ</w:t>
      </w:r>
      <w:r w:rsidRPr="00BC31E0">
        <w:rPr>
          <w:rFonts w:asciiTheme="minorHAnsi" w:hAnsiTheme="minorHAnsi"/>
          <w:szCs w:val="20"/>
        </w:rPr>
        <w:t>(mm)</w:t>
      </w:r>
    </w:p>
    <w:p w14:paraId="22429EA3" w14:textId="77777777" w:rsidR="00485A11" w:rsidRPr="00BC31E0" w:rsidRDefault="00A51873" w:rsidP="00A965B0">
      <w:pPr>
        <w:tabs>
          <w:tab w:val="left" w:pos="1560"/>
        </w:tabs>
        <w:autoSpaceDE w:val="0"/>
        <w:autoSpaceDN w:val="0"/>
        <w:ind w:leftChars="607" w:left="1275"/>
        <w:jc w:val="left"/>
        <w:rPr>
          <w:szCs w:val="20"/>
        </w:rPr>
      </w:pP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S</m:t>
            </m:r>
          </m:sub>
        </m:sSub>
      </m:oMath>
      <w:r w:rsidR="00485A11" w:rsidRPr="00BC31E0">
        <w:rPr>
          <w:rFonts w:hint="eastAsia"/>
          <w:szCs w:val="20"/>
        </w:rPr>
        <w:tab/>
      </w:r>
      <w:r w:rsidR="00485A11" w:rsidRPr="00BC31E0">
        <w:rPr>
          <w:rFonts w:hint="eastAsia"/>
          <w:szCs w:val="20"/>
        </w:rPr>
        <w:t>：</w:t>
      </w:r>
      <w:r w:rsidR="00485A11" w:rsidRPr="00BC31E0">
        <w:rPr>
          <w:rFonts w:hint="eastAsia"/>
          <w:szCs w:val="20"/>
        </w:rPr>
        <w:t xml:space="preserve"> </w:t>
      </w:r>
      <w:r w:rsidR="00485A11" w:rsidRPr="00BC31E0">
        <w:rPr>
          <w:rFonts w:hint="eastAsia"/>
          <w:szCs w:val="20"/>
        </w:rPr>
        <w:t>層成胴の厚さ</w:t>
      </w:r>
      <w:r w:rsidR="00485A11" w:rsidRPr="00BC31E0">
        <w:rPr>
          <w:rFonts w:asciiTheme="minorHAnsi" w:hAnsiTheme="minorHAnsi"/>
          <w:szCs w:val="20"/>
        </w:rPr>
        <w:t>(mm)</w:t>
      </w:r>
    </w:p>
    <w:p w14:paraId="70CC8F61" w14:textId="77777777" w:rsidR="00485A11" w:rsidRPr="00BC31E0" w:rsidRDefault="00A51873" w:rsidP="00A965B0">
      <w:pPr>
        <w:tabs>
          <w:tab w:val="left" w:pos="1560"/>
        </w:tabs>
        <w:autoSpaceDE w:val="0"/>
        <w:autoSpaceDN w:val="0"/>
        <w:ind w:leftChars="607" w:left="1275"/>
        <w:jc w:val="left"/>
        <w:rPr>
          <w:szCs w:val="20"/>
        </w:rPr>
      </w:pP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L</m:t>
            </m:r>
          </m:sub>
        </m:sSub>
      </m:oMath>
      <w:r w:rsidR="00485A11" w:rsidRPr="00BC31E0">
        <w:rPr>
          <w:rFonts w:hint="eastAsia"/>
          <w:szCs w:val="20"/>
        </w:rPr>
        <w:tab/>
      </w:r>
      <w:r w:rsidR="00485A11" w:rsidRPr="00BC31E0">
        <w:rPr>
          <w:rFonts w:hint="eastAsia"/>
          <w:szCs w:val="20"/>
        </w:rPr>
        <w:t>：</w:t>
      </w:r>
      <w:r w:rsidR="00485A11" w:rsidRPr="00BC31E0">
        <w:rPr>
          <w:rFonts w:hint="eastAsia"/>
          <w:szCs w:val="20"/>
        </w:rPr>
        <w:t xml:space="preserve"> </w:t>
      </w:r>
      <w:r w:rsidR="00485A11" w:rsidRPr="00BC31E0">
        <w:rPr>
          <w:rFonts w:hint="eastAsia"/>
          <w:szCs w:val="20"/>
        </w:rPr>
        <w:t>層成材</w:t>
      </w:r>
      <w:r w:rsidR="00485A11" w:rsidRPr="00BC31E0">
        <w:rPr>
          <w:rFonts w:asciiTheme="minorHAnsi" w:hint="eastAsia"/>
          <w:szCs w:val="20"/>
        </w:rPr>
        <w:t>1</w:t>
      </w:r>
      <w:r w:rsidR="00485A11" w:rsidRPr="00BC31E0">
        <w:rPr>
          <w:rFonts w:hint="eastAsia"/>
          <w:szCs w:val="20"/>
        </w:rPr>
        <w:t>枚の厚さ</w:t>
      </w:r>
      <w:r w:rsidR="00485A11" w:rsidRPr="00BC31E0">
        <w:rPr>
          <w:rFonts w:asciiTheme="minorHAnsi" w:hAnsiTheme="minorHAnsi"/>
          <w:szCs w:val="20"/>
        </w:rPr>
        <w:t>(mm)</w:t>
      </w:r>
    </w:p>
    <w:p w14:paraId="72A58278" w14:textId="77777777" w:rsidR="00485A11" w:rsidRPr="00BC31E0" w:rsidRDefault="00A51873" w:rsidP="00A965B0">
      <w:pPr>
        <w:tabs>
          <w:tab w:val="left" w:pos="1560"/>
        </w:tabs>
        <w:autoSpaceDE w:val="0"/>
        <w:autoSpaceDN w:val="0"/>
        <w:ind w:leftChars="607" w:left="1275"/>
        <w:jc w:val="left"/>
        <w:rPr>
          <w:szCs w:val="20"/>
        </w:rPr>
      </w:pPr>
      <m:oMath>
        <m:sSub>
          <m:sSubPr>
            <m:ctrlPr>
              <w:rPr>
                <w:rFonts w:ascii="Cambria Math" w:hAnsi="Cambria Math"/>
                <w:i/>
                <w:szCs w:val="20"/>
              </w:rPr>
            </m:ctrlPr>
          </m:sSubPr>
          <m:e>
            <m:r>
              <w:rPr>
                <w:rFonts w:ascii="Cambria Math" w:hAnsi="Cambria Math" w:hint="eastAsia"/>
                <w:szCs w:val="20"/>
              </w:rPr>
              <m:t>t</m:t>
            </m:r>
          </m:e>
          <m:sub>
            <m:r>
              <w:rPr>
                <w:rFonts w:ascii="Cambria Math" w:hAnsi="Cambria Math"/>
                <w:szCs w:val="20"/>
              </w:rPr>
              <m:t>H</m:t>
            </m:r>
          </m:sub>
        </m:sSub>
      </m:oMath>
      <w:r w:rsidR="00485A11" w:rsidRPr="00BC31E0">
        <w:rPr>
          <w:rFonts w:hint="eastAsia"/>
          <w:szCs w:val="20"/>
        </w:rPr>
        <w:tab/>
      </w:r>
      <w:r w:rsidR="00485A11" w:rsidRPr="00BC31E0">
        <w:rPr>
          <w:rFonts w:hint="eastAsia"/>
          <w:szCs w:val="20"/>
        </w:rPr>
        <w:t>：</w:t>
      </w:r>
      <w:r w:rsidR="00485A11" w:rsidRPr="00BC31E0">
        <w:rPr>
          <w:rFonts w:hint="eastAsia"/>
          <w:szCs w:val="20"/>
        </w:rPr>
        <w:t xml:space="preserve"> </w:t>
      </w:r>
      <w:r w:rsidR="00485A11" w:rsidRPr="00BC31E0">
        <w:rPr>
          <w:rFonts w:hint="eastAsia"/>
          <w:szCs w:val="20"/>
        </w:rPr>
        <w:t>継手部の鏡板の厚さ</w:t>
      </w:r>
      <w:r w:rsidR="00485A11" w:rsidRPr="00BC31E0">
        <w:rPr>
          <w:rFonts w:asciiTheme="minorHAnsi" w:hAnsiTheme="minorHAnsi"/>
          <w:szCs w:val="20"/>
        </w:rPr>
        <w:t>(mm)</w:t>
      </w:r>
    </w:p>
    <w:p w14:paraId="528B3259" w14:textId="77777777" w:rsidR="00485A11" w:rsidRPr="00BC31E0" w:rsidRDefault="00485A11" w:rsidP="00A965B0">
      <w:pPr>
        <w:tabs>
          <w:tab w:val="left" w:pos="1560"/>
        </w:tabs>
        <w:autoSpaceDE w:val="0"/>
        <w:autoSpaceDN w:val="0"/>
        <w:ind w:leftChars="607" w:left="1275"/>
        <w:jc w:val="left"/>
        <w:rPr>
          <w:szCs w:val="20"/>
        </w:rPr>
      </w:pPr>
      <m:oMath>
        <m:r>
          <w:rPr>
            <w:rFonts w:ascii="Cambria Math" w:hAnsi="Cambria Math"/>
            <w:szCs w:val="20"/>
          </w:rPr>
          <m:t>Y</m:t>
        </m:r>
      </m:oMath>
      <w:r w:rsidRPr="00BC31E0">
        <w:rPr>
          <w:rFonts w:hint="eastAsia"/>
          <w:szCs w:val="20"/>
        </w:rPr>
        <w:tab/>
      </w:r>
      <w:r w:rsidRPr="00BC31E0">
        <w:rPr>
          <w:rFonts w:hint="eastAsia"/>
          <w:szCs w:val="20"/>
        </w:rPr>
        <w:t>：</w:t>
      </w:r>
      <w:r w:rsidRPr="00BC31E0">
        <w:rPr>
          <w:rFonts w:hint="eastAsia"/>
          <w:szCs w:val="20"/>
        </w:rPr>
        <w:t xml:space="preserve"> </w:t>
      </w:r>
      <w:r w:rsidRPr="00BC31E0">
        <w:rPr>
          <w:rFonts w:hint="eastAsia"/>
          <w:szCs w:val="20"/>
        </w:rPr>
        <w:t>溶接オフセット</w:t>
      </w:r>
      <w:r w:rsidRPr="00BC31E0">
        <w:rPr>
          <w:rFonts w:asciiTheme="minorHAnsi" w:hAnsiTheme="minorHAnsi"/>
          <w:szCs w:val="20"/>
        </w:rPr>
        <w:t>(mm)</w:t>
      </w:r>
    </w:p>
    <w:p w14:paraId="41176ACE" w14:textId="77777777" w:rsidR="00485A11" w:rsidRPr="00BC31E0" w:rsidRDefault="00485A11" w:rsidP="00A965B0">
      <w:pPr>
        <w:autoSpaceDE w:val="0"/>
        <w:autoSpaceDN w:val="0"/>
        <w:jc w:val="left"/>
        <w:rPr>
          <w:szCs w:val="20"/>
        </w:rPr>
      </w:pPr>
      <w:r w:rsidRPr="00BC31E0">
        <w:rPr>
          <w:rFonts w:hint="eastAsia"/>
          <w:szCs w:val="20"/>
        </w:rPr>
        <w:t xml:space="preserve">　　</w:t>
      </w:r>
      <w:r w:rsidRPr="00BC31E0">
        <w:rPr>
          <w:rFonts w:ascii="ＭＳ ゴシック" w:eastAsia="ＭＳ ゴシック" w:hAnsi="ＭＳ ゴシック" w:hint="eastAsia"/>
          <w:b/>
          <w:bCs/>
          <w:szCs w:val="20"/>
        </w:rPr>
        <w:t>注記 2</w:t>
      </w:r>
      <w:r w:rsidRPr="00BC31E0">
        <w:rPr>
          <w:rFonts w:hint="eastAsia"/>
          <w:b/>
          <w:bCs/>
          <w:szCs w:val="20"/>
        </w:rPr>
        <w:t xml:space="preserve">　</w:t>
      </w:r>
      <w:r w:rsidRPr="00BC31E0">
        <w:rPr>
          <w:rFonts w:hint="eastAsia"/>
          <w:szCs w:val="20"/>
        </w:rPr>
        <w:t>溶接部の実際の厚さは，鏡板の計算厚さ以上になるようにする。</w:t>
      </w:r>
    </w:p>
    <w:p w14:paraId="3A693EF2" w14:textId="77777777" w:rsidR="00485A11" w:rsidRPr="00BC31E0" w:rsidRDefault="00485A11" w:rsidP="00A965B0">
      <w:pPr>
        <w:autoSpaceDE w:val="0"/>
        <w:autoSpaceDN w:val="0"/>
        <w:jc w:val="left"/>
        <w:rPr>
          <w:szCs w:val="20"/>
        </w:rPr>
      </w:pPr>
      <w:r w:rsidRPr="00BC31E0">
        <w:rPr>
          <w:rFonts w:hint="eastAsia"/>
          <w:szCs w:val="20"/>
        </w:rPr>
        <w:t xml:space="preserve">　　</w:t>
      </w:r>
      <w:r w:rsidRPr="00BC31E0">
        <w:rPr>
          <w:rFonts w:ascii="ＭＳ ゴシック" w:eastAsia="ＭＳ ゴシック" w:hAnsi="ＭＳ ゴシック" w:hint="eastAsia"/>
          <w:b/>
          <w:bCs/>
          <w:szCs w:val="20"/>
        </w:rPr>
        <w:t>注記 3</w:t>
      </w:r>
      <w:r w:rsidRPr="00BC31E0">
        <w:rPr>
          <w:rFonts w:hint="eastAsia"/>
          <w:b/>
          <w:bCs/>
          <w:szCs w:val="20"/>
        </w:rPr>
        <w:t xml:space="preserve">　</w:t>
      </w:r>
      <w:r w:rsidRPr="00BC31E0">
        <w:rPr>
          <w:rFonts w:hint="eastAsia"/>
          <w:szCs w:val="20"/>
        </w:rPr>
        <w:t>(c)</w:t>
      </w:r>
      <w:r w:rsidRPr="00BC31E0">
        <w:rPr>
          <w:rFonts w:hint="eastAsia"/>
          <w:szCs w:val="20"/>
        </w:rPr>
        <w:t>では</w:t>
      </w:r>
      <w:r w:rsidRPr="00BC31E0">
        <w:rPr>
          <w:rFonts w:hint="eastAsia"/>
          <w:szCs w:val="20"/>
        </w:rPr>
        <w:t xml:space="preserve"> </w:t>
      </w:r>
      <m:oMath>
        <m:r>
          <w:rPr>
            <w:rFonts w:ascii="Cambria Math" w:hAnsi="Cambria Math"/>
            <w:szCs w:val="20"/>
          </w:rPr>
          <m:t>Y</m:t>
        </m:r>
        <m:r>
          <m:rPr>
            <m:sty m:val="p"/>
          </m:rPr>
          <w:rPr>
            <w:rFonts w:ascii="Cambria Math" w:hAnsi="Cambria Math"/>
            <w:szCs w:val="20"/>
          </w:rPr>
          <m:t>≦</m:t>
        </m:r>
        <m:sSub>
          <m:sSubPr>
            <m:ctrlPr>
              <w:rPr>
                <w:rFonts w:ascii="Cambria Math" w:hAnsi="Cambria Math"/>
                <w:i/>
                <w:szCs w:val="20"/>
              </w:rPr>
            </m:ctrlPr>
          </m:sSubPr>
          <m:e>
            <m:r>
              <w:rPr>
                <w:rFonts w:ascii="Cambria Math" w:hAnsi="Cambria Math"/>
                <w:szCs w:val="20"/>
              </w:rPr>
              <m:t>t</m:t>
            </m:r>
          </m:e>
          <m:sub>
            <m:r>
              <w:rPr>
                <w:rFonts w:ascii="Cambria Math" w:hAnsi="Cambria Math"/>
                <w:szCs w:val="20"/>
              </w:rPr>
              <m:t>L</m:t>
            </m:r>
          </m:sub>
        </m:sSub>
      </m:oMath>
      <w:r w:rsidRPr="00BC31E0">
        <w:rPr>
          <w:rFonts w:hint="eastAsia"/>
          <w:szCs w:val="20"/>
        </w:rPr>
        <w:t>，</w:t>
      </w:r>
      <w:r w:rsidRPr="00BC31E0">
        <w:rPr>
          <w:rFonts w:hint="eastAsia"/>
          <w:szCs w:val="20"/>
        </w:rPr>
        <w:t>(d)</w:t>
      </w:r>
      <w:r w:rsidRPr="00BC31E0">
        <w:rPr>
          <w:rFonts w:hint="eastAsia"/>
          <w:szCs w:val="20"/>
        </w:rPr>
        <w:t>では</w:t>
      </w:r>
      <w:r w:rsidRPr="00BC31E0">
        <w:rPr>
          <w:rFonts w:hint="eastAsia"/>
          <w:szCs w:val="20"/>
        </w:rPr>
        <w:t xml:space="preserve"> </w:t>
      </w:r>
      <m:oMath>
        <m:r>
          <w:rPr>
            <w:rFonts w:ascii="Cambria Math" w:hAnsi="Cambria Math"/>
            <w:szCs w:val="20"/>
          </w:rPr>
          <m:t>Y</m:t>
        </m:r>
        <m:r>
          <m:rPr>
            <m:sty m:val="p"/>
          </m:rPr>
          <w:rPr>
            <w:rFonts w:ascii="Cambria Math" w:hAnsi="Cambria Math"/>
            <w:szCs w:val="20"/>
          </w:rPr>
          <m:t>≦</m:t>
        </m:r>
        <m:f>
          <m:fPr>
            <m:type m:val="lin"/>
            <m:ctrlPr>
              <w:rPr>
                <w:rFonts w:ascii="Cambria Math" w:hAnsi="Cambria Math"/>
                <w:szCs w:val="20"/>
              </w:rPr>
            </m:ctrlPr>
          </m:fPr>
          <m:num>
            <m:sSub>
              <m:sSubPr>
                <m:ctrlPr>
                  <w:rPr>
                    <w:rFonts w:ascii="Cambria Math" w:hAnsi="Cambria Math"/>
                    <w:i/>
                    <w:szCs w:val="20"/>
                  </w:rPr>
                </m:ctrlPr>
              </m:sSubPr>
              <m:e>
                <m:r>
                  <w:rPr>
                    <w:rFonts w:ascii="Cambria Math" w:hAnsi="Cambria Math"/>
                    <w:szCs w:val="20"/>
                  </w:rPr>
                  <m:t>t</m:t>
                </m:r>
              </m:e>
              <m:sub>
                <m:r>
                  <w:rPr>
                    <w:rFonts w:ascii="Cambria Math" w:hAnsi="Cambria Math"/>
                    <w:szCs w:val="20"/>
                  </w:rPr>
                  <m:t>S</m:t>
                </m:r>
              </m:sub>
            </m:sSub>
          </m:num>
          <m:den>
            <m:r>
              <m:rPr>
                <m:sty m:val="p"/>
              </m:rPr>
              <w:rPr>
                <w:rFonts w:ascii="Cambria Math" w:hAnsi="Cambria Math"/>
                <w:szCs w:val="20"/>
              </w:rPr>
              <m:t>2</m:t>
            </m:r>
          </m:den>
        </m:f>
      </m:oMath>
    </w:p>
    <w:p w14:paraId="72A0A925" w14:textId="77777777" w:rsidR="00485A11" w:rsidRPr="00BC31E0" w:rsidRDefault="00DC160D" w:rsidP="00A965B0">
      <w:pPr>
        <w:autoSpaceDE w:val="0"/>
        <w:autoSpaceDN w:val="0"/>
        <w:ind w:leftChars="607" w:left="1275"/>
        <w:jc w:val="left"/>
        <w:rPr>
          <w:szCs w:val="20"/>
        </w:rPr>
      </w:pPr>
      <w:r w:rsidRPr="00BC31E0">
        <w:rPr>
          <w:rFonts w:hint="eastAsia"/>
          <w:szCs w:val="20"/>
        </w:rPr>
        <w:t>全</w:t>
      </w:r>
      <w:r w:rsidR="00485A11" w:rsidRPr="00BC31E0">
        <w:rPr>
          <w:rFonts w:hint="eastAsia"/>
          <w:szCs w:val="20"/>
        </w:rPr>
        <w:t>ての場合について</w:t>
      </w:r>
      <m:oMath>
        <m:r>
          <m:rPr>
            <m:sty m:val="p"/>
          </m:rPr>
          <w:rPr>
            <w:rFonts w:ascii="Cambria Math" w:hAnsi="Cambria Math"/>
            <w:szCs w:val="20"/>
          </w:rPr>
          <m:t xml:space="preserve"> </m:t>
        </m:r>
        <m:r>
          <w:rPr>
            <w:rFonts w:ascii="Cambria Math" w:hAnsi="Cambria Math"/>
            <w:szCs w:val="20"/>
          </w:rPr>
          <m:t>l</m:t>
        </m:r>
        <m:r>
          <m:rPr>
            <m:sty m:val="p"/>
          </m:rPr>
          <w:rPr>
            <w:rFonts w:ascii="Cambria Math" w:hAnsi="Cambria Math"/>
            <w:szCs w:val="20"/>
          </w:rPr>
          <m:t>≧</m:t>
        </m:r>
        <m:r>
          <w:rPr>
            <w:rFonts w:ascii="Cambria Math" w:hAnsi="Cambria Math"/>
            <w:szCs w:val="20"/>
          </w:rPr>
          <m:t>3Y</m:t>
        </m:r>
      </m:oMath>
      <w:r w:rsidR="00485A11" w:rsidRPr="00BC31E0">
        <w:rPr>
          <w:rFonts w:hint="eastAsia"/>
          <w:szCs w:val="20"/>
        </w:rPr>
        <w:t>，胴の中心線は鏡板の中心線からいずれの側にも</w:t>
      </w:r>
      <m:oMath>
        <m:f>
          <m:fPr>
            <m:type m:val="lin"/>
            <m:ctrlPr>
              <w:rPr>
                <w:rFonts w:ascii="Cambria Math" w:hAnsi="Cambria Math"/>
                <w:i/>
                <w:szCs w:val="20"/>
              </w:rPr>
            </m:ctrlPr>
          </m:fPr>
          <m:num>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t</m:t>
                    </m:r>
                  </m:e>
                  <m:sub>
                    <m:r>
                      <w:rPr>
                        <w:rFonts w:ascii="Cambria Math" w:hAnsi="Cambria Math"/>
                        <w:szCs w:val="20"/>
                      </w:rPr>
                      <m:t>S</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t</m:t>
                    </m:r>
                  </m:e>
                  <m:sub>
                    <m:r>
                      <w:rPr>
                        <w:rFonts w:ascii="Cambria Math" w:hAnsi="Cambria Math"/>
                        <w:szCs w:val="20"/>
                      </w:rPr>
                      <m:t>H</m:t>
                    </m:r>
                  </m:sub>
                </m:sSub>
              </m:e>
            </m:d>
          </m:num>
          <m:den>
            <m:r>
              <w:rPr>
                <w:rFonts w:ascii="Cambria Math" w:hAnsi="Cambria Math"/>
                <w:szCs w:val="20"/>
              </w:rPr>
              <m:t xml:space="preserve">2 </m:t>
            </m:r>
          </m:den>
        </m:f>
      </m:oMath>
      <w:r w:rsidR="00485A11" w:rsidRPr="00BC31E0">
        <w:rPr>
          <w:rFonts w:hint="eastAsia"/>
          <w:szCs w:val="20"/>
        </w:rPr>
        <w:t>以内にする。溶接部の実際の厚さは，鏡板の計算厚さ以上になるようにする。必要なテーパ長の中に溶接幅を含んでいてもよい。また，片側又は両側で断面を変えてもよい。</w:t>
      </w:r>
    </w:p>
    <w:p w14:paraId="1885EB7A" w14:textId="77777777" w:rsidR="00485A11" w:rsidRPr="00BC31E0" w:rsidRDefault="00485A11" w:rsidP="00A965B0">
      <w:pPr>
        <w:autoSpaceDE w:val="0"/>
        <w:autoSpaceDN w:val="0"/>
        <w:jc w:val="left"/>
        <w:rPr>
          <w:szCs w:val="20"/>
        </w:rPr>
      </w:pPr>
    </w:p>
    <w:p w14:paraId="64A764AF" w14:textId="77777777" w:rsidR="00485A11" w:rsidRPr="00BC31E0" w:rsidRDefault="00485A11" w:rsidP="00A965B0">
      <w:pPr>
        <w:pStyle w:val="af4"/>
      </w:pPr>
      <w:r w:rsidRPr="00BC31E0">
        <w:rPr>
          <w:rFonts w:hint="eastAsia"/>
        </w:rPr>
        <w:t>図6.8.</w:t>
      </w:r>
      <w:r w:rsidRPr="00BC31E0">
        <w:t>3</w:t>
      </w:r>
      <w:r w:rsidRPr="00BC31E0">
        <w:rPr>
          <w:rFonts w:hint="eastAsia"/>
        </w:rPr>
        <w:t xml:space="preserve">　多層胴と単肉部の溶接</w:t>
      </w:r>
    </w:p>
    <w:p w14:paraId="04CE84B7" w14:textId="77777777" w:rsidR="00FE4FE8" w:rsidRPr="00BC31E0" w:rsidRDefault="00FE4FE8" w:rsidP="00FE4FE8">
      <w:pPr>
        <w:pStyle w:val="af4"/>
        <w:jc w:val="both"/>
      </w:pPr>
    </w:p>
    <w:p w14:paraId="01C60C9E" w14:textId="77777777" w:rsidR="00FE4FE8" w:rsidRPr="00BC31E0" w:rsidRDefault="00FE4FE8">
      <w:pPr>
        <w:widowControl/>
        <w:jc w:val="left"/>
        <w:rPr>
          <w:rFonts w:ascii="ＭＳ ゴシック" w:eastAsia="ＭＳ ゴシック"/>
          <w:b/>
        </w:rPr>
      </w:pPr>
      <w:r w:rsidRPr="00BC31E0">
        <w:br w:type="page"/>
      </w:r>
    </w:p>
    <w:p w14:paraId="25DEBC5A" w14:textId="77777777" w:rsidR="00485A11" w:rsidRPr="00BC31E0" w:rsidRDefault="00A51873" w:rsidP="00037821">
      <w:pPr>
        <w:autoSpaceDE w:val="0"/>
        <w:autoSpaceDN w:val="0"/>
        <w:jc w:val="center"/>
        <w:rPr>
          <w:szCs w:val="20"/>
        </w:rPr>
      </w:pPr>
      <w:r>
        <w:rPr>
          <w:noProof/>
          <w:szCs w:val="20"/>
        </w:rPr>
      </w:r>
      <w:r>
        <w:rPr>
          <w:noProof/>
          <w:szCs w:val="20"/>
        </w:rPr>
        <w:pict w14:anchorId="47C1D06A">
          <v:group id="Group 10555" o:spid="_x0000_s3433" style="width:412pt;height:224.75pt;mso-position-horizontal-relative:char;mso-position-vertical-relative:line" coordorigin="1830,1603" coordsize="8240,4495">
            <v:shape id="図 1" o:spid="_x0000_s3440" type="#_x0000_t75" style="position:absolute;left:2044;top:1711;width:8026;height:41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">
              <v:imagedata r:id="rId74" o:title=""/>
            </v:shape>
            <v:oval id="Oval 10557" o:spid="_x0000_s3439" style="position:absolute;left:6187;top:4934;width:1326;height:1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" strokecolor="white">
              <v:textbox inset="5.85pt,.7pt,5.85pt,.7pt"/>
            </v:oval>
            <v:oval id="Oval 10558" o:spid="_x0000_s3438" style="position:absolute;left:6187;top:3018;width:1326;height:19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" strokecolor="white">
              <v:textbox inset="5.85pt,.7pt,5.85pt,.7pt"/>
            </v:oval>
            <v:oval id="Oval 10559" o:spid="_x0000_s3437" style="position:absolute;left:3332;top:3995;width:1326;height:1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" strokecolor="white">
              <v:textbox inset="5.85pt,.7pt,5.85pt,.7pt"/>
            </v:oval>
            <v:oval id="Oval 10560" o:spid="_x0000_s3436" style="position:absolute;left:1830;top:1603;width:1739;height:6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" strokecolor="white">
              <v:textbox inset="5.85pt,.7pt,5.85pt,.7pt"/>
            </v:oval>
            <v:oval id="Oval 10561" o:spid="_x0000_s3435" style="position:absolute;left:6975;top:1711;width:538;height:5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" strokecolor="white">
              <v:textbox inset="5.85pt,.7pt,5.85pt,.7pt"/>
            </v:oval>
            <v:oval id="Oval 10562" o:spid="_x0000_s3434" style="position:absolute;left:6975;top:2751;width:538;height:5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" strokecolor="white">
              <v:textbox inset="5.85pt,.7pt,5.85pt,.7pt"/>
            </v:oval>
            <w10:anchorlock/>
          </v:group>
        </w:pict>
      </w:r>
    </w:p>
    <w:p w14:paraId="6CEC8FF4" w14:textId="77777777" w:rsidR="00485A11" w:rsidRPr="00BC31E0" w:rsidRDefault="00485A11" w:rsidP="00037821">
      <w:pPr>
        <w:tabs>
          <w:tab w:val="left" w:pos="4830"/>
        </w:tabs>
        <w:autoSpaceDE w:val="0"/>
        <w:autoSpaceDN w:val="0"/>
        <w:ind w:firstLineChars="700" w:firstLine="1470"/>
        <w:jc w:val="left"/>
        <w:rPr>
          <w:szCs w:val="20"/>
        </w:rPr>
      </w:pPr>
      <w:r w:rsidRPr="00BC31E0">
        <w:rPr>
          <w:rFonts w:hint="eastAsia"/>
          <w:szCs w:val="20"/>
        </w:rPr>
        <w:t xml:space="preserve">(a)                   </w:t>
      </w:r>
      <w:r w:rsidRPr="00BC31E0">
        <w:rPr>
          <w:rFonts w:hint="eastAsia"/>
          <w:szCs w:val="20"/>
        </w:rPr>
        <w:t xml:space="preserve">　</w:t>
      </w:r>
      <w:r w:rsidRPr="00BC31E0">
        <w:rPr>
          <w:rFonts w:hint="eastAsia"/>
          <w:szCs w:val="20"/>
        </w:rPr>
        <w:t xml:space="preserve">    (b)                     (c)</w:t>
      </w:r>
    </w:p>
    <w:p w14:paraId="4A5B6A84" w14:textId="77777777" w:rsidR="00485A11" w:rsidRPr="00BC31E0" w:rsidRDefault="00A51873" w:rsidP="00037821">
      <w:pPr>
        <w:autoSpaceDE w:val="0"/>
        <w:autoSpaceDN w:val="0"/>
        <w:jc w:val="center"/>
        <w:rPr>
          <w:szCs w:val="20"/>
        </w:rPr>
      </w:pPr>
      <w:r>
        <w:rPr>
          <w:noProof/>
          <w:szCs w:val="20"/>
        </w:rPr>
      </w:r>
      <w:r>
        <w:rPr>
          <w:noProof/>
          <w:szCs w:val="20"/>
        </w:rPr>
        <w:pict w14:anchorId="538E2244">
          <v:group id="Group 10647" o:spid="_x0000_s1091" style="width:435.85pt;height:244.2pt;mso-position-horizontal-relative:char;mso-position-vertical-relative:line" coordorigin="1550,6673" coordsize="8717,4884">
            <v:oval id="Oval 10648" o:spid="_x0000_s1092" style="position:absolute;left:8139;top:7738;width:2128;height:12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" strokecolor="white">
              <v:textbox inset="5.85pt,.7pt,5.85pt,.7pt"/>
            </v:oval>
            <v:group id="Group 10649" o:spid="_x0000_s1093" style="position:absolute;left:1550;top:6673;width:8229;height:4884" coordorigin="1550,6673" coordsize="8229,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">
              <v:shape id="図 1" o:spid="_x0000_s1094" type="#_x0000_t75" style="position:absolute;left:5875;top:6798;width:3393;height:44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">
                <v:imagedata r:id="rId75" o:title=""/>
              </v:shape>
              <v:shape id="図 1" o:spid="_x0000_s1095" type="#_x0000_t75" style="position:absolute;left:1969;top:6798;width:3218;height:44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">
                <v:imagedata r:id="rId76" o:title=""/>
              </v:shape>
              <v:oval id="Oval 10652" o:spid="_x0000_s1096" style="position:absolute;left:7651;top:10105;width:2128;height:12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" strokecolor="white">
                <v:textbox inset="5.85pt,.7pt,5.85pt,.7pt"/>
              </v:oval>
              <v:oval id="Oval 10653" o:spid="_x0000_s1097" style="position:absolute;left:7513;top:8552;width:2128;height:12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" strokecolor="white">
                <v:textbox inset="5.85pt,.7pt,5.85pt,.7pt"/>
              </v:oval>
              <v:oval id="Oval 10654" o:spid="_x0000_s1098" style="position:absolute;left:3156;top:10280;width:2128;height:12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" strokecolor="white">
                <v:textbox inset="5.85pt,.7pt,5.85pt,.7pt"/>
              </v:oval>
              <v:oval id="Oval 10655" o:spid="_x0000_s1099" style="position:absolute;left:3269;top:8690;width:1276;height:17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" strokecolor="white">
                <v:textbox inset="5.85pt,.7pt,5.85pt,.7pt"/>
              </v:oval>
              <v:oval id="Oval 10656" o:spid="_x0000_s1100" style="position:absolute;left:4171;top:7801;width:1839;height:30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" strokecolor="white">
                <v:textbox inset="5.85pt,.7pt,5.85pt,.7pt"/>
              </v:oval>
              <v:oval id="Oval 10657" o:spid="_x0000_s1101" style="position:absolute;left:4171;top:7738;width:1839;height:13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" strokecolor="white">
                <v:textbox inset="5.85pt,.7pt,5.85pt,.7pt"/>
              </v:oval>
              <v:oval id="Oval 10658" o:spid="_x0000_s1102" style="position:absolute;left:5409;top:6673;width:664;height:13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" strokecolor="white">
                <v:textbox inset="5.85pt,.7pt,5.85pt,.7pt"/>
              </v:oval>
              <v:oval id="Oval 10659" o:spid="_x0000_s1103" style="position:absolute;left:1550;top:8552;width:664;height:13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" strokecolor="white">
                <v:textbox inset="5.85pt,.7pt,5.85pt,.7pt"/>
              </v:oval>
            </v:group>
            <v:roundrect id="AutoShape 10660" o:spid="_x0000_s1104" style="position:absolute;left:4010;top:7303;width:184;height:197;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" strokecolor="white">
              <v:textbox inset="5.85pt,.7pt,5.85pt,.7pt"/>
            </v:roundrect>
            <v:roundrect id="AutoShape 10661" o:spid="_x0000_s1105" style="position:absolute;left:8031;top:7303;width:184;height:197;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" strokecolor="white">
              <v:textbox inset="5.85pt,.7pt,5.85pt,.7pt"/>
            </v:roundrect>
            <v:group id="Group 10662" o:spid="_x0000_s1106" style="position:absolute;left:3846;top:6999;width:541;height:456" coordorigin="3765,6387" coordsize="54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">
              <v:shape id="Text Box 10663" o:spid="_x0000_s1107" type="#_x0000_t202" style="position:absolute;left:3765;top:6472;width:468;height:3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" filled="f" stroked="f">
                <v:textbox style="layout-flow:vertical;mso-layout-flow-alt:bottom-to-top" inset="5.85pt,0,5.85pt,0">
                  <w:txbxContent>
                    <w:p w14:paraId="53358209" w14:textId="77777777" w:rsidR="003B0864" w:rsidRPr="00207960" w:rsidRDefault="003B0864" w:rsidP="00485A11">
                      <w:pPr>
                        <w:spacing w:line="260" w:lineRule="exact"/>
                        <w:rPr>
                          <w:rFonts w:ascii="Cambria Math" w:hAnsi="Cambria Math"/>
                          <w:i/>
                        </w:rPr>
                      </w:pPr>
                      <w:r w:rsidRPr="00207960">
                        <w:rPr>
                          <w:rFonts w:ascii="Cambria Math" w:hAnsi="Cambria Math"/>
                          <w:i/>
                        </w:rPr>
                        <w:t>t</w:t>
                      </w:r>
                    </w:p>
                  </w:txbxContent>
                </v:textbox>
              </v:shape>
              <v:shape id="Text Box 10664" o:spid="_x0000_s1108" type="#_x0000_t202" style="position:absolute;left:3765;top:6387;width:541;height:4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" filled="f" stroked="f">
                <v:textbox style="layout-flow:vertical;mso-layout-flow-alt:bottom-to-top" inset="5.85pt,0,5.85pt,0">
                  <w:txbxContent>
                    <w:p w14:paraId="602FECAD" w14:textId="77777777" w:rsidR="003B0864" w:rsidRPr="00207960" w:rsidRDefault="003B0864" w:rsidP="00485A11">
                      <w:pPr>
                        <w:spacing w:line="260" w:lineRule="exact"/>
                        <w:rPr>
                          <w:rFonts w:ascii="Cambria Math" w:eastAsia="Meiryo UI" w:hAnsi="Cambria Math"/>
                          <w:sz w:val="12"/>
                          <w:szCs w:val="12"/>
                          <w:vertAlign w:val="subscript"/>
                        </w:rPr>
                      </w:pPr>
                      <w:r w:rsidRPr="00207960">
                        <w:rPr>
                          <w:rFonts w:ascii="Cambria Math" w:eastAsia="Meiryo UI" w:hAnsi="Cambria Math" w:hint="eastAsia"/>
                          <w:sz w:val="12"/>
                          <w:szCs w:val="12"/>
                          <w:vertAlign w:val="subscript"/>
                        </w:rPr>
                        <w:t>f</w:t>
                      </w:r>
                    </w:p>
                  </w:txbxContent>
                </v:textbox>
              </v:shape>
            </v:group>
            <v:group id="Group 10665" o:spid="_x0000_s1109" style="position:absolute;left:7889;top:6999;width:541;height:456" coordorigin="3765,6387" coordsize="54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">
              <v:shape id="Text Box 10666" o:spid="_x0000_s1110" type="#_x0000_t202" style="position:absolute;left:3765;top:6472;width:468;height:3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" filled="f" stroked="f">
                <v:textbox style="layout-flow:vertical;mso-layout-flow-alt:bottom-to-top" inset="5.85pt,0,5.85pt,0">
                  <w:txbxContent>
                    <w:p w14:paraId="37B6667E" w14:textId="77777777" w:rsidR="003B0864" w:rsidRPr="00207960" w:rsidRDefault="003B0864" w:rsidP="00485A11">
                      <w:pPr>
                        <w:spacing w:line="260" w:lineRule="exact"/>
                        <w:rPr>
                          <w:rFonts w:ascii="Cambria Math" w:hAnsi="Cambria Math"/>
                          <w:i/>
                        </w:rPr>
                      </w:pPr>
                      <w:r w:rsidRPr="00207960">
                        <w:rPr>
                          <w:rFonts w:ascii="Cambria Math" w:hAnsi="Cambria Math"/>
                          <w:i/>
                        </w:rPr>
                        <w:t>t</w:t>
                      </w:r>
                    </w:p>
                  </w:txbxContent>
                </v:textbox>
              </v:shape>
              <v:shape id="Text Box 10667" o:spid="_x0000_s1111" type="#_x0000_t202" style="position:absolute;left:3765;top:6387;width:541;height:4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" filled="f" stroked="f">
                <v:textbox style="layout-flow:vertical;mso-layout-flow-alt:bottom-to-top" inset="5.85pt,0,5.85pt,0">
                  <w:txbxContent>
                    <w:p w14:paraId="2DDA333C" w14:textId="77777777" w:rsidR="003B0864" w:rsidRPr="00207960" w:rsidRDefault="003B0864" w:rsidP="00485A11">
                      <w:pPr>
                        <w:spacing w:line="260" w:lineRule="exact"/>
                        <w:rPr>
                          <w:rFonts w:ascii="Cambria Math" w:eastAsia="Meiryo UI" w:hAnsi="Cambria Math"/>
                          <w:sz w:val="12"/>
                          <w:szCs w:val="12"/>
                          <w:vertAlign w:val="subscript"/>
                        </w:rPr>
                      </w:pPr>
                      <w:r w:rsidRPr="00207960">
                        <w:rPr>
                          <w:rFonts w:ascii="Cambria Math" w:eastAsia="Meiryo UI" w:hAnsi="Cambria Math" w:hint="eastAsia"/>
                          <w:sz w:val="12"/>
                          <w:szCs w:val="12"/>
                          <w:vertAlign w:val="subscript"/>
                        </w:rPr>
                        <w:t>f</w:t>
                      </w:r>
                    </w:p>
                  </w:txbxContent>
                </v:textbox>
              </v:shape>
            </v:group>
            <w10:anchorlock/>
          </v:group>
        </w:pict>
      </w:r>
    </w:p>
    <w:p w14:paraId="301232EE" w14:textId="77777777" w:rsidR="00485A11" w:rsidRPr="00BC31E0" w:rsidRDefault="00485A11" w:rsidP="00037821">
      <w:pPr>
        <w:tabs>
          <w:tab w:val="left" w:pos="4830"/>
        </w:tabs>
        <w:autoSpaceDE w:val="0"/>
        <w:autoSpaceDN w:val="0"/>
        <w:ind w:firstLineChars="700" w:firstLine="1470"/>
        <w:jc w:val="left"/>
        <w:rPr>
          <w:szCs w:val="20"/>
        </w:rPr>
      </w:pPr>
      <w:r w:rsidRPr="00BC31E0">
        <w:rPr>
          <w:rFonts w:hint="eastAsia"/>
          <w:szCs w:val="20"/>
        </w:rPr>
        <w:t xml:space="preserve">(d)                                   </w:t>
      </w:r>
      <w:r w:rsidRPr="00BC31E0">
        <w:rPr>
          <w:rFonts w:hint="eastAsia"/>
          <w:szCs w:val="20"/>
        </w:rPr>
        <w:t xml:space="preserve">　</w:t>
      </w:r>
      <w:r w:rsidRPr="00BC31E0">
        <w:rPr>
          <w:rFonts w:hint="eastAsia"/>
          <w:szCs w:val="20"/>
        </w:rPr>
        <w:t>(e)</w:t>
      </w:r>
    </w:p>
    <w:p w14:paraId="45389A4B" w14:textId="77777777" w:rsidR="00485A11" w:rsidRPr="00BC31E0" w:rsidRDefault="00485A11" w:rsidP="00037821">
      <w:pPr>
        <w:autoSpaceDE w:val="0"/>
        <w:autoSpaceDN w:val="0"/>
        <w:jc w:val="left"/>
        <w:rPr>
          <w:szCs w:val="20"/>
        </w:rPr>
      </w:pPr>
    </w:p>
    <w:p w14:paraId="2784142D" w14:textId="77777777" w:rsidR="00485A11" w:rsidRPr="00BC31E0" w:rsidRDefault="00485A11" w:rsidP="00037821">
      <w:pPr>
        <w:tabs>
          <w:tab w:val="left" w:pos="3465"/>
        </w:tabs>
        <w:autoSpaceDE w:val="0"/>
        <w:autoSpaceDN w:val="0"/>
        <w:jc w:val="left"/>
        <w:rPr>
          <w:szCs w:val="20"/>
        </w:rPr>
      </w:pPr>
      <w:r w:rsidRPr="00BC31E0">
        <w:rPr>
          <w:rFonts w:hint="eastAsia"/>
          <w:szCs w:val="20"/>
        </w:rPr>
        <w:t xml:space="preserve">　　</w:t>
      </w:r>
      <w:r w:rsidRPr="00BC31E0">
        <w:rPr>
          <w:rFonts w:hint="eastAsia"/>
          <w:szCs w:val="20"/>
        </w:rPr>
        <w:t xml:space="preserve">           </w:t>
      </w:r>
      <w:r w:rsidRPr="00BC31E0">
        <w:rPr>
          <w:rFonts w:hint="eastAsia"/>
          <w:szCs w:val="20"/>
        </w:rPr>
        <w:t xml:space="preserve">　</w:t>
      </w:r>
      <w:r w:rsidRPr="00BC31E0">
        <w:rPr>
          <w:rFonts w:hint="eastAsia"/>
          <w:szCs w:val="20"/>
        </w:rPr>
        <w:t xml:space="preserve"> </w:t>
      </w:r>
      <w:r w:rsidRPr="00BC31E0">
        <w:rPr>
          <w:rFonts w:ascii="ＭＳ ゴシック" w:eastAsia="ＭＳ ゴシック" w:hAnsi="ＭＳ ゴシック" w:hint="eastAsia"/>
          <w:b/>
          <w:bCs/>
          <w:szCs w:val="20"/>
        </w:rPr>
        <w:t>注記</w:t>
      </w:r>
      <w:r w:rsidRPr="00BC31E0">
        <w:rPr>
          <w:rFonts w:hint="eastAsia"/>
          <w:szCs w:val="20"/>
        </w:rPr>
        <w:t xml:space="preserve">　</w:t>
      </w: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S</m:t>
            </m:r>
          </m:sub>
        </m:sSub>
      </m:oMath>
      <w:r w:rsidRPr="00BC31E0">
        <w:rPr>
          <w:rFonts w:hint="eastAsia"/>
          <w:szCs w:val="20"/>
        </w:rPr>
        <w:tab/>
      </w:r>
      <w:r w:rsidRPr="00BC31E0">
        <w:rPr>
          <w:rFonts w:hint="eastAsia"/>
          <w:szCs w:val="20"/>
        </w:rPr>
        <w:t>：</w:t>
      </w:r>
      <w:r w:rsidRPr="00BC31E0">
        <w:rPr>
          <w:rFonts w:hint="eastAsia"/>
          <w:szCs w:val="20"/>
        </w:rPr>
        <w:t xml:space="preserve"> </w:t>
      </w:r>
      <w:r w:rsidRPr="00BC31E0">
        <w:rPr>
          <w:rFonts w:hint="eastAsia"/>
          <w:szCs w:val="20"/>
        </w:rPr>
        <w:t>層成胴の厚さ</w:t>
      </w:r>
      <w:r w:rsidRPr="00BC31E0">
        <w:rPr>
          <w:rFonts w:asciiTheme="minorHAnsi" w:hAnsiTheme="minorHAnsi"/>
          <w:szCs w:val="20"/>
        </w:rPr>
        <w:t>(mm)</w:t>
      </w:r>
    </w:p>
    <w:p w14:paraId="1106CF87" w14:textId="77777777" w:rsidR="00485A11" w:rsidRPr="00BC31E0" w:rsidRDefault="00485A11" w:rsidP="00037821">
      <w:pPr>
        <w:tabs>
          <w:tab w:val="left" w:pos="3465"/>
        </w:tabs>
        <w:autoSpaceDE w:val="0"/>
        <w:autoSpaceDN w:val="0"/>
        <w:jc w:val="left"/>
        <w:rPr>
          <w:szCs w:val="20"/>
        </w:rPr>
      </w:pPr>
      <w:r w:rsidRPr="00BC31E0">
        <w:rPr>
          <w:rFonts w:hint="eastAsia"/>
          <w:szCs w:val="20"/>
        </w:rPr>
        <w:t xml:space="preserve">　　　　　　</w:t>
      </w:r>
      <w:r w:rsidRPr="00BC31E0">
        <w:rPr>
          <w:rFonts w:hint="eastAsia"/>
          <w:szCs w:val="20"/>
        </w:rPr>
        <w:t xml:space="preserve">            </w:t>
      </w:r>
      <m:oMath>
        <m:r>
          <w:rPr>
            <w:rFonts w:ascii="Cambria Math" w:hAnsi="Cambria Math"/>
            <w:szCs w:val="20"/>
          </w:rPr>
          <m:t>t</m:t>
        </m:r>
      </m:oMath>
      <w:r w:rsidRPr="00BC31E0">
        <w:rPr>
          <w:rFonts w:hint="eastAsia"/>
          <w:szCs w:val="20"/>
        </w:rPr>
        <w:tab/>
      </w:r>
      <w:r w:rsidRPr="00BC31E0">
        <w:rPr>
          <w:rFonts w:hint="eastAsia"/>
          <w:szCs w:val="20"/>
        </w:rPr>
        <w:t>：</w:t>
      </w:r>
      <w:r w:rsidRPr="00BC31E0">
        <w:rPr>
          <w:rFonts w:hint="eastAsia"/>
          <w:szCs w:val="20"/>
        </w:rPr>
        <w:t xml:space="preserve"> </w:t>
      </w:r>
      <w:r w:rsidRPr="00BC31E0">
        <w:rPr>
          <w:rFonts w:hint="eastAsia"/>
          <w:szCs w:val="20"/>
        </w:rPr>
        <w:t>平鏡板又は管板の厚さ</w:t>
      </w:r>
      <w:r w:rsidRPr="00BC31E0">
        <w:rPr>
          <w:rFonts w:asciiTheme="minorHAnsi" w:hAnsiTheme="minorHAnsi"/>
          <w:szCs w:val="20"/>
        </w:rPr>
        <w:t>(mm)</w:t>
      </w:r>
    </w:p>
    <w:p w14:paraId="4D5424F7" w14:textId="77777777" w:rsidR="00485A11" w:rsidRPr="00BC31E0" w:rsidRDefault="00485A11" w:rsidP="00037821">
      <w:pPr>
        <w:tabs>
          <w:tab w:val="left" w:pos="3465"/>
        </w:tabs>
        <w:autoSpaceDE w:val="0"/>
        <w:autoSpaceDN w:val="0"/>
        <w:jc w:val="left"/>
        <w:rPr>
          <w:szCs w:val="20"/>
        </w:rPr>
      </w:pPr>
      <w:r w:rsidRPr="00BC31E0">
        <w:rPr>
          <w:rFonts w:hint="eastAsia"/>
          <w:szCs w:val="20"/>
        </w:rPr>
        <w:t xml:space="preserve">　　　　　　</w:t>
      </w:r>
      <w:r w:rsidRPr="00BC31E0">
        <w:rPr>
          <w:rFonts w:hint="eastAsia"/>
          <w:szCs w:val="20"/>
        </w:rPr>
        <w:t xml:space="preserve">            </w:t>
      </w:r>
      <m:oMath>
        <m:r>
          <w:rPr>
            <w:rFonts w:ascii="Cambria Math" w:hAnsi="Cambria Math"/>
            <w:szCs w:val="20"/>
          </w:rPr>
          <m:t>r</m:t>
        </m:r>
      </m:oMath>
      <w:r w:rsidRPr="00BC31E0">
        <w:rPr>
          <w:rFonts w:hint="eastAsia"/>
          <w:i/>
          <w:szCs w:val="20"/>
        </w:rPr>
        <w:tab/>
      </w:r>
      <w:r w:rsidRPr="00BC31E0">
        <w:rPr>
          <w:rFonts w:hint="eastAsia"/>
          <w:szCs w:val="20"/>
        </w:rPr>
        <w:t>：</w:t>
      </w:r>
      <w:r w:rsidRPr="00BC31E0">
        <w:rPr>
          <w:rFonts w:hint="eastAsia"/>
          <w:szCs w:val="20"/>
        </w:rPr>
        <w:t xml:space="preserve"> </w:t>
      </w:r>
      <w:r w:rsidRPr="00BC31E0">
        <w:rPr>
          <w:rFonts w:hint="eastAsia"/>
          <w:szCs w:val="20"/>
        </w:rPr>
        <w:t>平鏡板又は管板のすみの丸みの半径</w:t>
      </w:r>
      <w:r w:rsidRPr="00BC31E0">
        <w:rPr>
          <w:rFonts w:asciiTheme="minorHAnsi" w:hAnsiTheme="minorHAnsi"/>
          <w:szCs w:val="20"/>
        </w:rPr>
        <w:t>(mm)</w:t>
      </w:r>
    </w:p>
    <w:p w14:paraId="301AF70A" w14:textId="77777777" w:rsidR="00485A11" w:rsidRPr="00BC31E0" w:rsidRDefault="00485A11" w:rsidP="00037821">
      <w:pPr>
        <w:tabs>
          <w:tab w:val="left" w:pos="3465"/>
        </w:tabs>
        <w:autoSpaceDE w:val="0"/>
        <w:autoSpaceDN w:val="0"/>
        <w:jc w:val="left"/>
        <w:rPr>
          <w:szCs w:val="20"/>
        </w:rPr>
      </w:pPr>
      <w:r w:rsidRPr="00BC31E0">
        <w:rPr>
          <w:rFonts w:hint="eastAsia"/>
          <w:szCs w:val="20"/>
        </w:rPr>
        <w:t xml:space="preserve">　　　　　　</w:t>
      </w:r>
      <w:r w:rsidRPr="00BC31E0">
        <w:rPr>
          <w:rFonts w:hint="eastAsia"/>
          <w:szCs w:val="20"/>
        </w:rPr>
        <w:t xml:space="preserve">            </w:t>
      </w:r>
      <m:oMath>
        <m:r>
          <w:rPr>
            <w:rFonts w:ascii="Cambria Math" w:hAnsi="Cambria Math"/>
            <w:szCs w:val="20"/>
          </w:rPr>
          <m:t>e</m:t>
        </m:r>
        <m:r>
          <m:rPr>
            <m:sty m:val="p"/>
          </m:rPr>
          <w:rPr>
            <w:rFonts w:ascii="Cambria Math" w:hAnsi="Cambria Math" w:hint="eastAsia"/>
            <w:szCs w:val="20"/>
          </w:rPr>
          <m:t>，</m:t>
        </m:r>
        <m:r>
          <w:rPr>
            <w:rFonts w:ascii="Cambria Math" w:hAnsi="Cambria Math"/>
            <w:szCs w:val="20"/>
          </w:rPr>
          <m:t>h</m:t>
        </m:r>
      </m:oMath>
      <w:r w:rsidRPr="00BC31E0">
        <w:rPr>
          <w:rFonts w:hint="eastAsia"/>
          <w:szCs w:val="20"/>
        </w:rPr>
        <w:t>，</w:t>
      </w:r>
      <m:oMath>
        <m:r>
          <w:rPr>
            <w:rFonts w:ascii="Cambria Math" w:hAnsi="Cambria Math"/>
            <w:szCs w:val="20"/>
          </w:rPr>
          <m:t xml:space="preserve"> </m:t>
        </m:r>
        <m:sSub>
          <m:sSubPr>
            <m:ctrlPr>
              <w:rPr>
                <w:rFonts w:ascii="Cambria Math" w:hAnsi="Cambria Math"/>
                <w:i/>
                <w:szCs w:val="20"/>
              </w:rPr>
            </m:ctrlPr>
          </m:sSubPr>
          <m:e>
            <m:r>
              <w:rPr>
                <w:rFonts w:ascii="Cambria Math" w:hAnsi="Cambria Math" w:hint="eastAsia"/>
                <w:szCs w:val="20"/>
              </w:rPr>
              <m:t>t</m:t>
            </m:r>
          </m:e>
          <m:sub>
            <m:r>
              <w:rPr>
                <w:rFonts w:ascii="Cambria Math" w:hAnsi="Cambria Math"/>
                <w:szCs w:val="20"/>
              </w:rPr>
              <m:t>f</m:t>
            </m:r>
          </m:sub>
        </m:sSub>
      </m:oMath>
      <w:r w:rsidRPr="00BC31E0">
        <w:rPr>
          <w:rFonts w:hint="eastAsia"/>
          <w:szCs w:val="20"/>
        </w:rPr>
        <w:tab/>
      </w:r>
      <w:r w:rsidRPr="00BC31E0">
        <w:rPr>
          <w:rFonts w:hint="eastAsia"/>
          <w:szCs w:val="20"/>
        </w:rPr>
        <w:t>：</w:t>
      </w:r>
      <w:r w:rsidRPr="00BC31E0">
        <w:rPr>
          <w:rFonts w:hint="eastAsia"/>
          <w:szCs w:val="20"/>
        </w:rPr>
        <w:t xml:space="preserve"> </w:t>
      </w:r>
      <w:r w:rsidRPr="00BC31E0">
        <w:rPr>
          <w:rFonts w:hint="eastAsia"/>
          <w:szCs w:val="20"/>
        </w:rPr>
        <w:t>図に示す寸法</w:t>
      </w:r>
      <w:r w:rsidRPr="00BC31E0">
        <w:rPr>
          <w:rFonts w:asciiTheme="minorHAnsi" w:eastAsiaTheme="majorEastAsia" w:hAnsiTheme="minorHAnsi"/>
          <w:szCs w:val="20"/>
        </w:rPr>
        <w:t>(mm)</w:t>
      </w:r>
    </w:p>
    <w:p w14:paraId="15841646" w14:textId="77777777" w:rsidR="00485A11" w:rsidRPr="00BC31E0" w:rsidRDefault="00485A11" w:rsidP="00037821">
      <w:pPr>
        <w:autoSpaceDE w:val="0"/>
        <w:autoSpaceDN w:val="0"/>
        <w:jc w:val="left"/>
        <w:rPr>
          <w:szCs w:val="20"/>
        </w:rPr>
      </w:pPr>
    </w:p>
    <w:p w14:paraId="07573487" w14:textId="77777777" w:rsidR="00485A11" w:rsidRPr="00BC31E0" w:rsidRDefault="00485A11" w:rsidP="00037821">
      <w:pPr>
        <w:pStyle w:val="af4"/>
      </w:pPr>
      <w:r w:rsidRPr="00BC31E0">
        <w:rPr>
          <w:rFonts w:hint="eastAsia"/>
        </w:rPr>
        <w:t>図6.8.</w:t>
      </w:r>
      <w:r w:rsidRPr="00BC31E0">
        <w:t>4</w:t>
      </w:r>
      <w:r w:rsidRPr="00BC31E0">
        <w:rPr>
          <w:rFonts w:hint="eastAsia"/>
        </w:rPr>
        <w:t xml:space="preserve">　層成胴と平鏡板又は管板の取付け</w:t>
      </w:r>
    </w:p>
    <w:p w14:paraId="3786E241" w14:textId="77777777" w:rsidR="00FE4FE8" w:rsidRPr="00BC31E0" w:rsidRDefault="00FE4FE8" w:rsidP="00FE4FE8">
      <w:pPr>
        <w:pStyle w:val="af4"/>
        <w:jc w:val="both"/>
      </w:pPr>
    </w:p>
    <w:p w14:paraId="4CA2AED4" w14:textId="77777777" w:rsidR="00FE4FE8" w:rsidRPr="00BC31E0" w:rsidRDefault="00FE4FE8">
      <w:pPr>
        <w:widowControl/>
        <w:jc w:val="left"/>
        <w:rPr>
          <w:rFonts w:ascii="ＭＳ ゴシック" w:eastAsia="ＭＳ ゴシック"/>
          <w:b/>
        </w:rPr>
      </w:pPr>
      <w:r w:rsidRPr="00BC31E0">
        <w:br w:type="page"/>
      </w:r>
    </w:p>
    <w:p w14:paraId="1819E557" w14:textId="77777777" w:rsidR="00485A11" w:rsidRPr="00BC31E0" w:rsidRDefault="00A51873" w:rsidP="00037821">
      <w:pPr>
        <w:autoSpaceDE w:val="0"/>
        <w:autoSpaceDN w:val="0"/>
        <w:jc w:val="center"/>
        <w:rPr>
          <w:noProof/>
          <w:szCs w:val="20"/>
        </w:rPr>
      </w:pPr>
      <w:r>
        <w:rPr>
          <w:noProof/>
          <w:szCs w:val="20"/>
        </w:rPr>
      </w:r>
      <w:r>
        <w:rPr>
          <w:noProof/>
          <w:szCs w:val="20"/>
        </w:rPr>
        <w:pict w14:anchorId="4666F1E4">
          <v:group id="Group 10668" o:spid="_x0000_s1112" style="width:429.45pt;height:127.5pt;mso-position-horizontal-relative:char;mso-position-vertical-relative:line" coordorigin="1829,2433" coordsize="8589,2550">
            <v:group id="Group 10669" o:spid="_x0000_s1113" style="position:absolute;left:1829;top:2433;width:8589;height:2550" coordorigin="1829,2433" coordsize="8589,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">
              <v:shape id="図 1" o:spid="_x0000_s1114" type="#_x0000_t75" style="position:absolute;left:1829;top:2433;width:1830;height:21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">
                <v:imagedata r:id="rId77" o:title=""/>
              </v:shape>
              <v:shape id="図 1" o:spid="_x0000_s1115" type="#_x0000_t75" style="position:absolute;left:6577;top:2433;width:1740;height:25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">
                <v:imagedata r:id="rId78" o:title=""/>
              </v:shape>
              <v:shape id="図 1" o:spid="_x0000_s1116" type="#_x0000_t75" style="position:absolute;left:4020;top:2433;width:1935;height:22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">
                <v:imagedata r:id="rId79" o:title=""/>
              </v:shape>
              <v:shape id="図 1" o:spid="_x0000_s1117" type="#_x0000_t75" style="position:absolute;left:8678;top:2508;width:1740;height:23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">
                <v:imagedata r:id="rId80" o:title=""/>
              </v:shape>
              <v:oval id="Oval 10674" o:spid="_x0000_s1118" style="position:absolute;left:4396;top:3594;width:660;height:3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" stroked="f">
                <v:textbox inset="5.85pt,.7pt,5.85pt,.7pt"/>
              </v:oval>
              <v:shape id="Text Box 10675" o:spid="_x0000_s1119" type="#_x0000_t202" style="position:absolute;left:4332;top:3660;width:630;height:2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" filled="f" stroked="f">
                <v:textbox inset="5.85pt,.7pt,5.85pt,.7pt">
                  <w:txbxContent>
                    <w:p w14:paraId="50E113F6" w14:textId="77777777" w:rsidR="003B0864" w:rsidRPr="004E5B4B" w:rsidRDefault="003B0864" w:rsidP="00485A11">
                      <w:pPr>
                        <w:spacing w:line="180" w:lineRule="exact"/>
                        <w:rPr>
                          <w:rFonts w:ascii="ＭＳ ゴシック" w:eastAsia="ＭＳ ゴシック" w:hAnsi="ＭＳ ゴシック"/>
                          <w:sz w:val="12"/>
                          <w:szCs w:val="12"/>
                        </w:rPr>
                      </w:pPr>
                      <w:r>
                        <w:rPr>
                          <w:rFonts w:ascii="ＭＳ ゴシック" w:eastAsia="ＭＳ ゴシック" w:hAnsi="ＭＳ ゴシック" w:hint="eastAsia"/>
                          <w:sz w:val="12"/>
                          <w:szCs w:val="12"/>
                        </w:rPr>
                        <w:t>Ａ部</w:t>
                      </w:r>
                    </w:p>
                  </w:txbxContent>
                </v:textbox>
              </v:shape>
              <v:shape id="AutoShape 10676" o:spid="_x0000_s1120" type="#_x0000_t32" style="position:absolute;left:4394;top:3879;width:393;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"/>
              <v:shape id="AutoShape 10677" o:spid="_x0000_s1121" type="#_x0000_t32" style="position:absolute;left:4787;top:3594;width:226;height:28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">
                <v:stroke endarrow="block" endarrowwidth="narrow"/>
              </v:shape>
              <v:oval id="Oval 10678" o:spid="_x0000_s1122" style="position:absolute;left:6908;top:3841;width:660;height:3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" stroked="f">
                <v:textbox inset="5.85pt,.7pt,5.85pt,.7pt"/>
              </v:oval>
              <v:oval id="Oval 10679" o:spid="_x0000_s1123" style="position:absolute;left:8678;top:3841;width:660;height:3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" stroked="f">
                <v:textbox inset="5.85pt,.7pt,5.85pt,.7pt"/>
              </v:oval>
              <v:shape id="Text Box 10680" o:spid="_x0000_s1124" type="#_x0000_t202" style="position:absolute;left:6908;top:3857;width:630;height:2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" filled="f" stroked="f">
                <v:textbox inset="5.85pt,.7pt,5.85pt,.7pt">
                  <w:txbxContent>
                    <w:p w14:paraId="369162FA" w14:textId="77777777" w:rsidR="003B0864" w:rsidRPr="004E5B4B" w:rsidRDefault="003B0864" w:rsidP="00485A11">
                      <w:pPr>
                        <w:spacing w:line="180" w:lineRule="exact"/>
                        <w:rPr>
                          <w:rFonts w:ascii="ＭＳ ゴシック" w:eastAsia="ＭＳ ゴシック" w:hAnsi="ＭＳ ゴシック"/>
                          <w:sz w:val="12"/>
                          <w:szCs w:val="12"/>
                        </w:rPr>
                      </w:pPr>
                      <w:r>
                        <w:rPr>
                          <w:rFonts w:ascii="ＭＳ ゴシック" w:eastAsia="ＭＳ ゴシック" w:hAnsi="ＭＳ ゴシック" w:hint="eastAsia"/>
                          <w:sz w:val="12"/>
                          <w:szCs w:val="12"/>
                        </w:rPr>
                        <w:t>Ａ部</w:t>
                      </w:r>
                    </w:p>
                  </w:txbxContent>
                </v:textbox>
              </v:shape>
              <v:shape id="AutoShape 10681" o:spid="_x0000_s1125" type="#_x0000_t32" style="position:absolute;left:6970;top:4076;width:393;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"/>
              <v:shape id="AutoShape 10682" o:spid="_x0000_s1126" type="#_x0000_t32" style="position:absolute;left:7360;top:3791;width:175;height:28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">
                <v:stroke endarrow="block" endarrowwidth="narrow"/>
              </v:shape>
              <v:shape id="Text Box 10683" o:spid="_x0000_s1127" type="#_x0000_t202" style="position:absolute;left:8615;top:3923;width:630;height:2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" filled="f" stroked="f">
                <v:textbox inset="5.85pt,.7pt,5.85pt,.7pt">
                  <w:txbxContent>
                    <w:p w14:paraId="401223F6" w14:textId="77777777" w:rsidR="003B0864" w:rsidRPr="004E5B4B" w:rsidRDefault="003B0864" w:rsidP="00485A11">
                      <w:pPr>
                        <w:spacing w:line="180" w:lineRule="exact"/>
                        <w:rPr>
                          <w:rFonts w:ascii="ＭＳ ゴシック" w:eastAsia="ＭＳ ゴシック" w:hAnsi="ＭＳ ゴシック"/>
                          <w:sz w:val="12"/>
                          <w:szCs w:val="12"/>
                        </w:rPr>
                      </w:pPr>
                      <w:r>
                        <w:rPr>
                          <w:rFonts w:ascii="ＭＳ ゴシック" w:eastAsia="ＭＳ ゴシック" w:hAnsi="ＭＳ ゴシック" w:hint="eastAsia"/>
                          <w:sz w:val="12"/>
                          <w:szCs w:val="12"/>
                        </w:rPr>
                        <w:t>Ａ部</w:t>
                      </w:r>
                    </w:p>
                  </w:txbxContent>
                </v:textbox>
              </v:shape>
              <v:shape id="AutoShape 10684" o:spid="_x0000_s1128" type="#_x0000_t32" style="position:absolute;left:8677;top:4142;width:393;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"/>
              <v:shape id="AutoShape 10685" o:spid="_x0000_s1129" type="#_x0000_t32" style="position:absolute;left:9070;top:3857;width:226;height:28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">
                <v:stroke endarrow="block" endarrowwidth="narrow"/>
              </v:shape>
              <v:oval id="Oval 10686" o:spid="_x0000_s1130" style="position:absolute;left:4071;top:3343;width:397;height:6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" stroked="f">
                <v:textbox inset="5.85pt,.7pt,5.85pt,.7pt"/>
              </v:oval>
              <v:oval id="Oval 10687" o:spid="_x0000_s1131" style="position:absolute;left:1946;top:3378;width:433;height:6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" stroked="f">
                <v:textbox inset="5.85pt,.7pt,5.85pt,.7pt"/>
              </v:oval>
              <v:oval id="Oval 10688" o:spid="_x0000_s1132" style="position:absolute;left:6724;top:3660;width:292;height:5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" stroked="f">
                <v:textbox inset="5.85pt,.7pt,5.85pt,.7pt"/>
              </v:oval>
              <v:oval id="Oval 10689" o:spid="_x0000_s1133" style="position:absolute;left:6616;top:3660;width:292;height:5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" stroked="f">
                <v:textbox inset="5.85pt,.7pt,5.85pt,.7pt"/>
              </v:oval>
              <v:oval id="Oval 10690" o:spid="_x0000_s1134" style="position:absolute;left:1829;top:3378;width:397;height:6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" stroked="f">
                <v:textbox inset="5.85pt,.7pt,5.85pt,.7pt"/>
              </v:oval>
              <v:oval id="Oval 10691" o:spid="_x0000_s1135" style="position:absolute;left:3935;top:3378;width:397;height:6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" stroked="f">
                <v:textbox inset="5.85pt,.7pt,5.85pt,.7pt"/>
              </v:oval>
              <v:shape id="AutoShape 10692" o:spid="_x0000_s1136" type="#_x0000_t32" style="position:absolute;left:4276;top:3343;width:0;height:66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">
                <v:stroke startarrow="block" startarrowwidth="narrow" startarrowlength="short" endarrow="block" endarrowwidth="narrow" endarrowlength="short"/>
              </v:shape>
              <v:shape id="AutoShape 10693" o:spid="_x0000_s1137" type="#_x0000_t32" style="position:absolute;left:2171;top:3343;width:0;height:66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">
                <v:stroke startarrow="block" startarrowwidth="narrow" startarrowlength="short" endarrow="block" endarrowwidth="narrow" endarrowlength="short"/>
              </v:shape>
              <v:shape id="AutoShape 10694" o:spid="_x0000_s1138" type="#_x0000_t32" style="position:absolute;left:6870;top:3660;width:1;height:59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">
                <v:stroke startarrow="block" startarrowwidth="narrow" startarrowlength="short" endarrow="block" endarrowwidth="narrow" endarrowlength="short"/>
              </v:shape>
              <v:shape id="Text Box 10695" o:spid="_x0000_s1139" type="#_x0000_t202" style="position:absolute;left:3944;top:3305;width:452;height:6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" filled="f" stroked="f">
                <v:textbox style="layout-flow:vertical;mso-layout-flow-alt:bottom-to-top" inset="5.85pt,.7pt,5.85pt,.7pt">
                  <w:txbxContent>
                    <w:p w14:paraId="2EBE74C6" w14:textId="77777777" w:rsidR="003B0864" w:rsidRPr="004E5B4B" w:rsidRDefault="003B0864" w:rsidP="00485A11">
                      <w:pPr>
                        <w:spacing w:line="180" w:lineRule="exact"/>
                        <w:rPr>
                          <w:rFonts w:ascii="ＭＳ ゴシック" w:eastAsia="ＭＳ ゴシック" w:hAnsi="ＭＳ ゴシック"/>
                          <w:sz w:val="12"/>
                          <w:szCs w:val="12"/>
                        </w:rPr>
                      </w:pPr>
                      <w:r>
                        <w:rPr>
                          <w:rFonts w:ascii="ＭＳ ゴシック" w:eastAsia="ＭＳ ゴシック" w:hAnsi="ＭＳ ゴシック" w:hint="eastAsia"/>
                          <w:sz w:val="12"/>
                          <w:szCs w:val="12"/>
                        </w:rPr>
                        <w:t>15</w:t>
                      </w:r>
                      <w:r w:rsidRPr="00035A60">
                        <w:rPr>
                          <w:rFonts w:ascii="Arial Unicode MS" w:eastAsia="Arial Unicode MS" w:hAnsi="Arial Unicode MS" w:cs="Arial Unicode MS"/>
                          <w:i/>
                          <w:sz w:val="14"/>
                          <w:szCs w:val="14"/>
                        </w:rPr>
                        <w:t>g</w:t>
                      </w:r>
                      <w:r w:rsidRPr="00035A60">
                        <w:rPr>
                          <w:rFonts w:ascii="Arial Unicode MS" w:eastAsia="Arial Unicode MS" w:hAnsi="Arial Unicode MS" w:cs="Arial Unicode MS"/>
                          <w:sz w:val="14"/>
                          <w:szCs w:val="14"/>
                          <w:vertAlign w:val="subscript"/>
                        </w:rPr>
                        <w:t>o</w:t>
                      </w:r>
                      <w:r>
                        <w:rPr>
                          <w:rFonts w:ascii="ＭＳ ゴシック" w:eastAsia="ＭＳ ゴシック" w:hAnsi="ＭＳ ゴシック" w:hint="eastAsia"/>
                          <w:sz w:val="12"/>
                          <w:szCs w:val="12"/>
                        </w:rPr>
                        <w:t>以上</w:t>
                      </w:r>
                    </w:p>
                  </w:txbxContent>
                </v:textbox>
              </v:shape>
              <v:shape id="Text Box 10696" o:spid="_x0000_s1140" type="#_x0000_t202" style="position:absolute;left:1829;top:3305;width:452;height:6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" filled="f" stroked="f">
                <v:textbox style="layout-flow:vertical;mso-layout-flow-alt:bottom-to-top" inset="5.85pt,.7pt,5.85pt,.7pt">
                  <w:txbxContent>
                    <w:p w14:paraId="1FE491A7" w14:textId="77777777" w:rsidR="003B0864" w:rsidRPr="004E5B4B" w:rsidRDefault="003B0864" w:rsidP="00485A11">
                      <w:pPr>
                        <w:spacing w:line="180" w:lineRule="exact"/>
                        <w:rPr>
                          <w:rFonts w:ascii="ＭＳ ゴシック" w:eastAsia="ＭＳ ゴシック" w:hAnsi="ＭＳ ゴシック"/>
                          <w:sz w:val="12"/>
                          <w:szCs w:val="12"/>
                        </w:rPr>
                      </w:pPr>
                      <w:r>
                        <w:rPr>
                          <w:rFonts w:ascii="ＭＳ ゴシック" w:eastAsia="ＭＳ ゴシック" w:hAnsi="ＭＳ ゴシック" w:hint="eastAsia"/>
                          <w:sz w:val="12"/>
                          <w:szCs w:val="12"/>
                        </w:rPr>
                        <w:t>15</w:t>
                      </w:r>
                      <w:r w:rsidRPr="00035A60">
                        <w:rPr>
                          <w:rFonts w:ascii="Arial Unicode MS" w:eastAsia="Arial Unicode MS" w:hAnsi="Arial Unicode MS" w:cs="Arial Unicode MS"/>
                          <w:i/>
                          <w:sz w:val="14"/>
                          <w:szCs w:val="14"/>
                        </w:rPr>
                        <w:t>g</w:t>
                      </w:r>
                      <w:r w:rsidRPr="00035A60">
                        <w:rPr>
                          <w:rFonts w:ascii="Arial Unicode MS" w:eastAsia="Arial Unicode MS" w:hAnsi="Arial Unicode MS" w:cs="Arial Unicode MS"/>
                          <w:sz w:val="14"/>
                          <w:szCs w:val="14"/>
                          <w:vertAlign w:val="subscript"/>
                        </w:rPr>
                        <w:t>o</w:t>
                      </w:r>
                      <w:r>
                        <w:rPr>
                          <w:rFonts w:ascii="ＭＳ ゴシック" w:eastAsia="ＭＳ ゴシック" w:hAnsi="ＭＳ ゴシック" w:hint="eastAsia"/>
                          <w:sz w:val="12"/>
                          <w:szCs w:val="12"/>
                        </w:rPr>
                        <w:t>以上</w:t>
                      </w:r>
                    </w:p>
                  </w:txbxContent>
                </v:textbox>
              </v:shape>
              <v:shape id="Text Box 10697" o:spid="_x0000_s1141" type="#_x0000_t202" style="position:absolute;left:6518;top:3594;width:452;height:6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" filled="f" stroked="f">
                <v:textbox style="layout-flow:vertical;mso-layout-flow-alt:bottom-to-top" inset="5.85pt,.7pt,5.85pt,.7pt">
                  <w:txbxContent>
                    <w:p w14:paraId="0BEE10B5" w14:textId="77777777" w:rsidR="003B0864" w:rsidRPr="004E5B4B" w:rsidRDefault="003B0864" w:rsidP="00485A11">
                      <w:pPr>
                        <w:spacing w:line="180" w:lineRule="exact"/>
                        <w:rPr>
                          <w:rFonts w:ascii="ＭＳ ゴシック" w:eastAsia="ＭＳ ゴシック" w:hAnsi="ＭＳ ゴシック"/>
                          <w:sz w:val="12"/>
                          <w:szCs w:val="12"/>
                        </w:rPr>
                      </w:pPr>
                      <w:r>
                        <w:rPr>
                          <w:rFonts w:ascii="ＭＳ ゴシック" w:eastAsia="ＭＳ ゴシック" w:hAnsi="ＭＳ ゴシック" w:hint="eastAsia"/>
                          <w:sz w:val="12"/>
                          <w:szCs w:val="12"/>
                        </w:rPr>
                        <w:t>15</w:t>
                      </w:r>
                      <w:r w:rsidRPr="00035A60">
                        <w:rPr>
                          <w:rFonts w:ascii="Arial Unicode MS" w:eastAsia="Arial Unicode MS" w:hAnsi="Arial Unicode MS" w:cs="Arial Unicode MS"/>
                          <w:i/>
                          <w:sz w:val="14"/>
                          <w:szCs w:val="14"/>
                        </w:rPr>
                        <w:t>g</w:t>
                      </w:r>
                      <w:r w:rsidRPr="00035A60">
                        <w:rPr>
                          <w:rFonts w:ascii="Arial Unicode MS" w:eastAsia="Arial Unicode MS" w:hAnsi="Arial Unicode MS" w:cs="Arial Unicode MS"/>
                          <w:sz w:val="14"/>
                          <w:szCs w:val="14"/>
                          <w:vertAlign w:val="subscript"/>
                        </w:rPr>
                        <w:t>o</w:t>
                      </w:r>
                      <w:r>
                        <w:rPr>
                          <w:rFonts w:ascii="ＭＳ ゴシック" w:eastAsia="ＭＳ ゴシック" w:hAnsi="ＭＳ ゴシック" w:hint="eastAsia"/>
                          <w:sz w:val="12"/>
                          <w:szCs w:val="12"/>
                        </w:rPr>
                        <w:t>以上</w:t>
                      </w:r>
                    </w:p>
                  </w:txbxContent>
                </v:textbox>
              </v:shape>
            </v:group>
            <v:roundrect id="AutoShape 10698" o:spid="_x0000_s1142" style="position:absolute;left:2820;top:2976;width:234;height:168;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" strokecolor="white">
              <v:textbox inset="5.85pt,.7pt,5.85pt,.7pt"/>
            </v:roundrect>
            <v:roundrect id="AutoShape 10699" o:spid="_x0000_s1143" style="position:absolute;left:5274;top:2976;width:234;height:168;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" strokecolor="white">
              <v:textbox inset="5.85pt,.7pt,5.85pt,.7pt"/>
            </v:roundrect>
            <v:roundrect id="AutoShape 10700" o:spid="_x0000_s1144" style="position:absolute;left:7770;top:3137;width:234;height:168;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" strokecolor="white">
              <v:textbox inset="5.85pt,.7pt,5.85pt,.7pt"/>
            </v:roundrect>
            <v:roundrect id="AutoShape 10701" o:spid="_x0000_s1145" style="position:absolute;left:9558;top:3426;width:234;height:168;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" strokecolor="white">
              <v:textbox inset="5.85pt,.7pt,5.85pt,.7pt"/>
            </v:roundrect>
            <v:shape id="AutoShape 10702" o:spid="_x0000_s1146" type="#_x0000_t32" style="position:absolute;left:5160;top:3157;width:44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" strokeweight="1.25pt">
              <v:stroke startarrow="block" startarrowwidth="narrow" startarrowlength="short" endarrow="block" endarrowwidth="narrow" endarrowlength="short"/>
            </v:shape>
            <v:shape id="AutoShape 10703" o:spid="_x0000_s1147" type="#_x0000_t32" style="position:absolute;left:2725;top:3160;width:444;height: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" strokeweight="1.25pt">
              <v:stroke startarrow="block" startarrowwidth="narrow" startarrowlength="short" endarrow="block" endarrowwidth="narrow" endarrowlength="short"/>
            </v:shape>
            <v:shape id="AutoShape 10704" o:spid="_x0000_s1148" type="#_x0000_t32" style="position:absolute;left:7647;top:3320;width:44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" strokeweight="1.25pt">
              <v:stroke startarrow="block" startarrowwidth="narrow" startarrowlength="short" endarrow="block" endarrowwidth="narrow" endarrowlength="short"/>
            </v:shape>
            <v:shape id="AutoShape 10705" o:spid="_x0000_s1149" type="#_x0000_t32" style="position:absolute;left:9462;top:3619;width:44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" strokeweight="1.25pt">
              <v:stroke startarrow="block" startarrowwidth="narrow" startarrowlength="short" endarrow="block" endarrowwidth="narrow" endarrowlength="short"/>
            </v:shape>
            <v:shape id="Text Box 10706" o:spid="_x0000_s1150" type="#_x0000_t202" style="position:absolute;left:2760;top:2867;width:468;height:2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" filled="f" stroked="f">
              <v:textbox inset="5.85pt,.7pt,5.85pt,.7pt">
                <w:txbxContent>
                  <w:p w14:paraId="74BBDC05" w14:textId="77777777" w:rsidR="003B0864" w:rsidRPr="00035A60" w:rsidRDefault="003B0864" w:rsidP="00485A11">
                    <w:pPr>
                      <w:rPr>
                        <w:rFonts w:ascii="Arial Unicode MS" w:eastAsia="Arial Unicode MS" w:hAnsi="Arial Unicode MS" w:cs="Arial Unicode MS"/>
                        <w:sz w:val="14"/>
                        <w:szCs w:val="14"/>
                      </w:rPr>
                    </w:pPr>
                    <w:r w:rsidRPr="00035A60">
                      <w:rPr>
                        <w:rFonts w:ascii="Arial Unicode MS" w:eastAsia="Arial Unicode MS" w:hAnsi="Arial Unicode MS" w:cs="Arial Unicode MS" w:hint="eastAsia"/>
                        <w:i/>
                        <w:sz w:val="14"/>
                        <w:szCs w:val="14"/>
                      </w:rPr>
                      <w:t>g</w:t>
                    </w:r>
                    <w:r w:rsidRPr="00035A60">
                      <w:rPr>
                        <w:rFonts w:ascii="Arial Unicode MS" w:eastAsia="Arial Unicode MS" w:hAnsi="Arial Unicode MS" w:cs="Arial Unicode MS" w:hint="eastAsia"/>
                        <w:sz w:val="14"/>
                        <w:szCs w:val="14"/>
                        <w:vertAlign w:val="subscript"/>
                      </w:rPr>
                      <w:t>o</w:t>
                    </w:r>
                  </w:p>
                </w:txbxContent>
              </v:textbox>
            </v:shape>
            <v:shape id="Text Box 10707" o:spid="_x0000_s1151" type="#_x0000_t202" style="position:absolute;left:5200;top:2851;width:468;height:2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" filled="f" stroked="f">
              <v:textbox inset="5.85pt,.7pt,5.85pt,.7pt">
                <w:txbxContent>
                  <w:p w14:paraId="7691EC52" w14:textId="77777777" w:rsidR="003B0864" w:rsidRPr="00035A60" w:rsidRDefault="003B0864" w:rsidP="00485A11">
                    <w:pPr>
                      <w:rPr>
                        <w:rFonts w:ascii="Arial Unicode MS" w:eastAsia="Arial Unicode MS" w:hAnsi="Arial Unicode MS" w:cs="Arial Unicode MS"/>
                        <w:sz w:val="14"/>
                        <w:szCs w:val="14"/>
                      </w:rPr>
                    </w:pPr>
                    <w:r w:rsidRPr="00035A60">
                      <w:rPr>
                        <w:rFonts w:ascii="Arial Unicode MS" w:eastAsia="Arial Unicode MS" w:hAnsi="Arial Unicode MS" w:cs="Arial Unicode MS" w:hint="eastAsia"/>
                        <w:i/>
                        <w:sz w:val="14"/>
                        <w:szCs w:val="14"/>
                      </w:rPr>
                      <w:t>g</w:t>
                    </w:r>
                    <w:r w:rsidRPr="00035A60">
                      <w:rPr>
                        <w:rFonts w:ascii="Arial Unicode MS" w:eastAsia="Arial Unicode MS" w:hAnsi="Arial Unicode MS" w:cs="Arial Unicode MS" w:hint="eastAsia"/>
                        <w:sz w:val="14"/>
                        <w:szCs w:val="14"/>
                        <w:vertAlign w:val="subscript"/>
                      </w:rPr>
                      <w:t>o</w:t>
                    </w:r>
                  </w:p>
                </w:txbxContent>
              </v:textbox>
            </v:shape>
            <v:shape id="Text Box 10708" o:spid="_x0000_s1152" type="#_x0000_t202" style="position:absolute;left:7703;top:3012;width:468;height:2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" filled="f" stroked="f">
              <v:textbox inset="5.85pt,.7pt,5.85pt,.7pt">
                <w:txbxContent>
                  <w:p w14:paraId="1C2651AD" w14:textId="77777777" w:rsidR="003B0864" w:rsidRPr="00035A60" w:rsidRDefault="003B0864" w:rsidP="00485A11">
                    <w:pPr>
                      <w:rPr>
                        <w:rFonts w:ascii="Arial Unicode MS" w:eastAsia="Arial Unicode MS" w:hAnsi="Arial Unicode MS" w:cs="Arial Unicode MS"/>
                        <w:sz w:val="14"/>
                        <w:szCs w:val="14"/>
                      </w:rPr>
                    </w:pPr>
                    <w:r w:rsidRPr="00035A60">
                      <w:rPr>
                        <w:rFonts w:ascii="Arial Unicode MS" w:eastAsia="Arial Unicode MS" w:hAnsi="Arial Unicode MS" w:cs="Arial Unicode MS" w:hint="eastAsia"/>
                        <w:i/>
                        <w:sz w:val="14"/>
                        <w:szCs w:val="14"/>
                      </w:rPr>
                      <w:t>g</w:t>
                    </w:r>
                    <w:r w:rsidRPr="00035A60">
                      <w:rPr>
                        <w:rFonts w:ascii="Arial Unicode MS" w:eastAsia="Arial Unicode MS" w:hAnsi="Arial Unicode MS" w:cs="Arial Unicode MS" w:hint="eastAsia"/>
                        <w:sz w:val="14"/>
                        <w:szCs w:val="14"/>
                        <w:vertAlign w:val="subscript"/>
                      </w:rPr>
                      <w:t>o</w:t>
                    </w:r>
                  </w:p>
                </w:txbxContent>
              </v:textbox>
            </v:shape>
            <v:shape id="Text Box 10709" o:spid="_x0000_s1153" type="#_x0000_t202" style="position:absolute;left:9489;top:3327;width:468;height:2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" filled="f" stroked="f">
              <v:textbox inset="5.85pt,.7pt,5.85pt,.7pt">
                <w:txbxContent>
                  <w:p w14:paraId="07BE0F94" w14:textId="77777777" w:rsidR="003B0864" w:rsidRPr="00035A60" w:rsidRDefault="003B0864" w:rsidP="00485A11">
                    <w:pPr>
                      <w:rPr>
                        <w:rFonts w:ascii="Arial Unicode MS" w:eastAsia="Arial Unicode MS" w:hAnsi="Arial Unicode MS" w:cs="Arial Unicode MS"/>
                        <w:sz w:val="14"/>
                        <w:szCs w:val="14"/>
                      </w:rPr>
                    </w:pPr>
                    <w:r w:rsidRPr="00035A60">
                      <w:rPr>
                        <w:rFonts w:ascii="Arial Unicode MS" w:eastAsia="Arial Unicode MS" w:hAnsi="Arial Unicode MS" w:cs="Arial Unicode MS" w:hint="eastAsia"/>
                        <w:i/>
                        <w:sz w:val="14"/>
                        <w:szCs w:val="14"/>
                      </w:rPr>
                      <w:t>g</w:t>
                    </w:r>
                    <w:r w:rsidRPr="00035A60">
                      <w:rPr>
                        <w:rFonts w:ascii="Arial Unicode MS" w:eastAsia="Arial Unicode MS" w:hAnsi="Arial Unicode MS" w:cs="Arial Unicode MS" w:hint="eastAsia"/>
                        <w:sz w:val="14"/>
                        <w:szCs w:val="14"/>
                        <w:vertAlign w:val="subscript"/>
                      </w:rPr>
                      <w:t>o</w:t>
                    </w:r>
                  </w:p>
                </w:txbxContent>
              </v:textbox>
            </v:shape>
            <w10:anchorlock/>
          </v:group>
        </w:pict>
      </w:r>
    </w:p>
    <w:p w14:paraId="34800AC8" w14:textId="77777777" w:rsidR="00485A11" w:rsidRPr="00BC31E0" w:rsidRDefault="00485A11" w:rsidP="00037821">
      <w:pPr>
        <w:autoSpaceDE w:val="0"/>
        <w:autoSpaceDN w:val="0"/>
        <w:ind w:firstLineChars="500" w:firstLine="1050"/>
        <w:jc w:val="left"/>
        <w:rPr>
          <w:szCs w:val="20"/>
        </w:rPr>
      </w:pPr>
      <w:r w:rsidRPr="00BC31E0">
        <w:rPr>
          <w:rFonts w:hint="eastAsia"/>
          <w:szCs w:val="20"/>
        </w:rPr>
        <w:t xml:space="preserve">(a)                   (b)                     (c)              </w:t>
      </w:r>
      <w:r w:rsidRPr="00BC31E0">
        <w:rPr>
          <w:rFonts w:hint="eastAsia"/>
          <w:szCs w:val="20"/>
        </w:rPr>
        <w:t xml:space="preserve">　</w:t>
      </w:r>
      <w:r w:rsidRPr="00BC31E0">
        <w:rPr>
          <w:rFonts w:hint="eastAsia"/>
          <w:szCs w:val="20"/>
        </w:rPr>
        <w:t xml:space="preserve">  (d)</w:t>
      </w:r>
    </w:p>
    <w:p w14:paraId="2F2A5BC5" w14:textId="77777777" w:rsidR="00485A11" w:rsidRPr="00BC31E0" w:rsidRDefault="00485A11" w:rsidP="00037821">
      <w:pPr>
        <w:autoSpaceDE w:val="0"/>
        <w:autoSpaceDN w:val="0"/>
        <w:jc w:val="left"/>
        <w:rPr>
          <w:szCs w:val="20"/>
        </w:rPr>
      </w:pPr>
    </w:p>
    <w:p w14:paraId="070F687D" w14:textId="77777777" w:rsidR="00485A11" w:rsidRPr="00BC31E0" w:rsidRDefault="00485A11" w:rsidP="00037821">
      <w:pPr>
        <w:autoSpaceDE w:val="0"/>
        <w:autoSpaceDN w:val="0"/>
        <w:jc w:val="left"/>
        <w:rPr>
          <w:szCs w:val="20"/>
        </w:rPr>
      </w:pPr>
      <w:r w:rsidRPr="00BC31E0">
        <w:rPr>
          <w:rFonts w:hint="eastAsia"/>
          <w:szCs w:val="20"/>
        </w:rPr>
        <w:t xml:space="preserve">　　</w:t>
      </w:r>
      <w:r w:rsidRPr="00BC31E0">
        <w:rPr>
          <w:rFonts w:ascii="ＭＳ ゴシック" w:eastAsia="ＭＳ ゴシック" w:hAnsi="ＭＳ ゴシック" w:hint="eastAsia"/>
          <w:b/>
          <w:bCs/>
          <w:szCs w:val="20"/>
        </w:rPr>
        <w:t>注記 1</w:t>
      </w:r>
      <w:r w:rsidRPr="00BC31E0">
        <w:rPr>
          <w:rFonts w:hint="eastAsia"/>
          <w:b/>
          <w:bCs/>
          <w:szCs w:val="20"/>
        </w:rPr>
        <w:t xml:space="preserve">　</w:t>
      </w:r>
      <m:oMath>
        <m:sSub>
          <m:sSubPr>
            <m:ctrlPr>
              <w:rPr>
                <w:rFonts w:ascii="Cambria Math" w:eastAsia="Arial Unicode MS" w:hAnsi="Cambria Math" w:cs="Arial"/>
                <w:i/>
                <w:szCs w:val="20"/>
                <w:vertAlign w:val="subscript"/>
              </w:rPr>
            </m:ctrlPr>
          </m:sSubPr>
          <m:e>
            <m:r>
              <w:rPr>
                <w:rFonts w:ascii="Cambria Math" w:eastAsia="Arial Unicode MS" w:hAnsi="Cambria Math" w:cs="Arial"/>
                <w:szCs w:val="20"/>
                <w:vertAlign w:val="subscript"/>
              </w:rPr>
              <m:t>g</m:t>
            </m:r>
          </m:e>
          <m:sub>
            <m:r>
              <w:rPr>
                <w:rFonts w:ascii="Cambria Math" w:eastAsia="Arial Unicode MS" w:hAnsi="Cambria Math" w:cs="Arial"/>
                <w:szCs w:val="20"/>
                <w:vertAlign w:val="subscript"/>
              </w:rPr>
              <m:t>o</m:t>
            </m:r>
          </m:sub>
        </m:sSub>
        <m:r>
          <w:rPr>
            <w:rFonts w:ascii="Cambria Math" w:eastAsia="Arial Unicode MS" w:hAnsi="Cambria Math" w:cs="Arial"/>
            <w:szCs w:val="20"/>
            <w:vertAlign w:val="subscript"/>
          </w:rPr>
          <m:t xml:space="preserve"> </m:t>
        </m:r>
      </m:oMath>
      <w:r w:rsidRPr="00BC31E0">
        <w:rPr>
          <w:rFonts w:hint="eastAsia"/>
          <w:szCs w:val="20"/>
        </w:rPr>
        <w:t>：ハブ先端の厚さ</w:t>
      </w:r>
      <w:r w:rsidR="00494DE4" w:rsidRPr="00BC31E0">
        <w:rPr>
          <w:rFonts w:asciiTheme="minorHAnsi" w:hAnsiTheme="minorHAnsi"/>
          <w:szCs w:val="20"/>
        </w:rPr>
        <w:t xml:space="preserve"> </w:t>
      </w:r>
      <w:r w:rsidRPr="00BC31E0">
        <w:rPr>
          <w:rFonts w:asciiTheme="minorHAnsi" w:hAnsiTheme="minorHAnsi"/>
          <w:szCs w:val="20"/>
        </w:rPr>
        <w:t>(mm)</w:t>
      </w:r>
    </w:p>
    <w:p w14:paraId="752847AB" w14:textId="77777777" w:rsidR="00485A11" w:rsidRPr="00BC31E0" w:rsidRDefault="00A51873" w:rsidP="00037821">
      <w:pPr>
        <w:autoSpaceDE w:val="0"/>
        <w:autoSpaceDN w:val="0"/>
        <w:jc w:val="left"/>
        <w:rPr>
          <w:szCs w:val="20"/>
        </w:rPr>
      </w:pPr>
      <w:r>
        <w:rPr>
          <w:noProof/>
          <w:szCs w:val="20"/>
        </w:rPr>
        <w:pict w14:anchorId="765A9603">
          <v:group id="Group 10751" o:spid="_x0000_s1154" style="position:absolute;margin-left:218.45pt;margin-top:4.8pt;width:43.8pt;height:20.6pt;z-index:251665920" coordorigin="6140,6488" coordsize="876,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0563" o:spid="_x0000_s1155" type="#_x0000_t5" style="position:absolute;left:6140;top:6488;width:584;height: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" adj="21600">
              <v:textbox inset="5.85pt,.7pt,5.85pt,.7pt"/>
            </v:shape>
            <v:shape id="Text Box 10564" o:spid="_x0000_s1156" type="#_x0000_t202" style="position:absolute;left:6636;top:6488;width:380;height:2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" filled="f" stroked="f">
              <v:textbox inset="5.85pt,.7pt,5.85pt,.7pt">
                <w:txbxContent>
                  <w:p w14:paraId="386697DD" w14:textId="77777777" w:rsidR="003B0864" w:rsidRPr="00DF0E68" w:rsidRDefault="003B0864" w:rsidP="00485A11">
                    <w:pPr>
                      <w:spacing w:line="160" w:lineRule="exact"/>
                      <w:rPr>
                        <w:rFonts w:eastAsia="ＭＳ ゴシック"/>
                        <w:sz w:val="12"/>
                        <w:szCs w:val="12"/>
                      </w:rPr>
                    </w:pPr>
                    <w:r w:rsidRPr="00DF0E68">
                      <w:rPr>
                        <w:rFonts w:eastAsia="ＭＳ ゴシック"/>
                        <w:sz w:val="12"/>
                        <w:szCs w:val="12"/>
                      </w:rPr>
                      <w:t>1</w:t>
                    </w:r>
                  </w:p>
                </w:txbxContent>
              </v:textbox>
            </v:shape>
            <v:shape id="Text Box 10565" o:spid="_x0000_s1157" type="#_x0000_t202" style="position:absolute;left:6344;top:6631;width:380;height:2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" filled="f" stroked="f">
              <v:textbox inset="5.85pt,.7pt,5.85pt,.7pt">
                <w:txbxContent>
                  <w:p w14:paraId="7A93FBB4" w14:textId="77777777" w:rsidR="003B0864" w:rsidRPr="00DF0E68" w:rsidRDefault="003B0864" w:rsidP="00485A11">
                    <w:pPr>
                      <w:spacing w:line="160" w:lineRule="exact"/>
                      <w:rPr>
                        <w:rFonts w:eastAsia="ＭＳ ゴシック"/>
                        <w:sz w:val="12"/>
                        <w:szCs w:val="12"/>
                      </w:rPr>
                    </w:pPr>
                    <w:r w:rsidRPr="00DF0E68">
                      <w:rPr>
                        <w:rFonts w:eastAsia="ＭＳ ゴシック"/>
                        <w:sz w:val="12"/>
                        <w:szCs w:val="12"/>
                      </w:rPr>
                      <w:t>3</w:t>
                    </w:r>
                  </w:p>
                </w:txbxContent>
              </v:textbox>
            </v:shape>
          </v:group>
        </w:pict>
      </w:r>
      <w:r w:rsidR="00485A11" w:rsidRPr="00BC31E0">
        <w:rPr>
          <w:rFonts w:hint="eastAsia"/>
          <w:szCs w:val="20"/>
        </w:rPr>
        <w:t xml:space="preserve">　　</w:t>
      </w:r>
      <w:r w:rsidR="00485A11" w:rsidRPr="00BC31E0">
        <w:rPr>
          <w:rFonts w:ascii="ＭＳ ゴシック" w:eastAsia="ＭＳ ゴシック" w:hAnsi="ＭＳ ゴシック" w:hint="eastAsia"/>
          <w:b/>
          <w:bCs/>
          <w:szCs w:val="20"/>
        </w:rPr>
        <w:t>注記 2</w:t>
      </w:r>
      <w:r w:rsidR="00485A11" w:rsidRPr="00BC31E0">
        <w:rPr>
          <w:rFonts w:hint="eastAsia"/>
          <w:b/>
          <w:bCs/>
          <w:szCs w:val="20"/>
        </w:rPr>
        <w:t xml:space="preserve">　</w:t>
      </w:r>
      <w:r w:rsidR="00485A11" w:rsidRPr="00BC31E0">
        <w:rPr>
          <w:rFonts w:hint="eastAsia"/>
          <w:bCs/>
          <w:szCs w:val="20"/>
        </w:rPr>
        <w:t>A</w:t>
      </w:r>
      <w:r w:rsidR="00485A11" w:rsidRPr="00BC31E0">
        <w:rPr>
          <w:rFonts w:hint="eastAsia"/>
          <w:bCs/>
          <w:szCs w:val="20"/>
        </w:rPr>
        <w:t>部の</w:t>
      </w:r>
      <w:r w:rsidR="00485A11" w:rsidRPr="00BC31E0">
        <w:rPr>
          <w:rFonts w:hint="eastAsia"/>
          <w:szCs w:val="20"/>
        </w:rPr>
        <w:t>テーパは，</w:t>
      </w:r>
      <w:r w:rsidR="00485A11" w:rsidRPr="00BC31E0">
        <w:rPr>
          <w:rFonts w:asciiTheme="minorHAnsi" w:hAnsiTheme="minorHAnsi"/>
          <w:szCs w:val="20"/>
        </w:rPr>
        <w:t>1/3</w:t>
      </w:r>
      <w:r w:rsidR="00485A11" w:rsidRPr="00BC31E0">
        <w:rPr>
          <w:rFonts w:hint="eastAsia"/>
          <w:szCs w:val="20"/>
        </w:rPr>
        <w:t>以下とする</w:t>
      </w:r>
      <w:r w:rsidR="00485A11" w:rsidRPr="00BC31E0">
        <w:rPr>
          <w:rFonts w:hint="eastAsia"/>
          <w:szCs w:val="20"/>
        </w:rPr>
        <w:t>(</w:t>
      </w:r>
      <w:r w:rsidR="00485A11" w:rsidRPr="00BC31E0">
        <w:rPr>
          <w:rFonts w:hint="eastAsia"/>
          <w:szCs w:val="20"/>
        </w:rPr>
        <w:t xml:space="preserve">　　　　</w:t>
      </w:r>
      <w:r w:rsidR="00485A11" w:rsidRPr="00BC31E0">
        <w:rPr>
          <w:rFonts w:hint="eastAsia"/>
          <w:szCs w:val="20"/>
        </w:rPr>
        <w:t xml:space="preserve"> </w:t>
      </w:r>
      <w:r w:rsidR="00485A11" w:rsidRPr="00BC31E0">
        <w:rPr>
          <w:rFonts w:hint="eastAsia"/>
          <w:szCs w:val="20"/>
        </w:rPr>
        <w:t>以下</w:t>
      </w:r>
      <w:r w:rsidR="00485A11" w:rsidRPr="00BC31E0">
        <w:rPr>
          <w:rFonts w:hint="eastAsia"/>
          <w:szCs w:val="20"/>
        </w:rPr>
        <w:t>)</w:t>
      </w:r>
      <w:r w:rsidR="00485A11" w:rsidRPr="00BC31E0">
        <w:rPr>
          <w:rFonts w:hint="eastAsia"/>
          <w:szCs w:val="20"/>
        </w:rPr>
        <w:t>。</w:t>
      </w:r>
    </w:p>
    <w:p w14:paraId="2552572B" w14:textId="77777777" w:rsidR="00485A11" w:rsidRPr="00BC31E0" w:rsidRDefault="00485A11" w:rsidP="00037821">
      <w:pPr>
        <w:autoSpaceDE w:val="0"/>
        <w:autoSpaceDN w:val="0"/>
        <w:jc w:val="left"/>
        <w:rPr>
          <w:szCs w:val="20"/>
        </w:rPr>
      </w:pPr>
      <w:r w:rsidRPr="00BC31E0">
        <w:rPr>
          <w:rFonts w:hint="eastAsia"/>
          <w:szCs w:val="20"/>
        </w:rPr>
        <w:t xml:space="preserve">　　</w:t>
      </w:r>
      <w:r w:rsidRPr="00BC31E0">
        <w:rPr>
          <w:rFonts w:ascii="ＭＳ ゴシック" w:eastAsia="ＭＳ ゴシック" w:hAnsi="ＭＳ ゴシック" w:hint="eastAsia"/>
          <w:b/>
          <w:bCs/>
          <w:szCs w:val="20"/>
        </w:rPr>
        <w:t>注記 3</w:t>
      </w:r>
      <w:r w:rsidRPr="00BC31E0">
        <w:rPr>
          <w:rFonts w:hint="eastAsia"/>
          <w:b/>
          <w:bCs/>
          <w:szCs w:val="20"/>
        </w:rPr>
        <w:t xml:space="preserve">　</w:t>
      </w:r>
      <w:r w:rsidRPr="00BC31E0">
        <w:rPr>
          <w:rFonts w:hint="eastAsia"/>
          <w:szCs w:val="20"/>
        </w:rPr>
        <w:t>いずれの形式においても，多層側を肉盛り溶接した後に開先をとって溶接する。</w:t>
      </w:r>
    </w:p>
    <w:p w14:paraId="62E6E3C3" w14:textId="77777777" w:rsidR="00485A11" w:rsidRPr="00BC31E0" w:rsidRDefault="00485A11" w:rsidP="00037821">
      <w:pPr>
        <w:autoSpaceDE w:val="0"/>
        <w:autoSpaceDN w:val="0"/>
        <w:jc w:val="left"/>
        <w:rPr>
          <w:szCs w:val="20"/>
        </w:rPr>
      </w:pPr>
    </w:p>
    <w:p w14:paraId="4EBC9332" w14:textId="77777777" w:rsidR="00485A11" w:rsidRPr="00BC31E0" w:rsidRDefault="00485A11" w:rsidP="00037821">
      <w:pPr>
        <w:pStyle w:val="af4"/>
      </w:pPr>
      <w:r w:rsidRPr="00BC31E0">
        <w:rPr>
          <w:rFonts w:hint="eastAsia"/>
        </w:rPr>
        <w:t>図6.8.</w:t>
      </w:r>
      <w:r w:rsidRPr="00BC31E0">
        <w:t>5</w:t>
      </w:r>
      <w:r w:rsidRPr="00BC31E0">
        <w:rPr>
          <w:rFonts w:hint="eastAsia"/>
        </w:rPr>
        <w:t xml:space="preserve">　層成胴と胴フランジの取付け</w:t>
      </w:r>
    </w:p>
    <w:p w14:paraId="3367B976" w14:textId="77777777" w:rsidR="00485A11" w:rsidRPr="00BC31E0" w:rsidRDefault="00485A11" w:rsidP="00037821">
      <w:pPr>
        <w:autoSpaceDE w:val="0"/>
        <w:autoSpaceDN w:val="0"/>
        <w:jc w:val="left"/>
        <w:rPr>
          <w:szCs w:val="20"/>
        </w:rPr>
      </w:pPr>
    </w:p>
    <w:p w14:paraId="2D42A49B" w14:textId="77777777" w:rsidR="00FE4FE8" w:rsidRPr="00BC31E0" w:rsidRDefault="00FE4FE8">
      <w:pPr>
        <w:widowControl/>
        <w:jc w:val="left"/>
        <w:rPr>
          <w:szCs w:val="20"/>
        </w:rPr>
      </w:pPr>
      <w:r w:rsidRPr="00BC31E0">
        <w:rPr>
          <w:szCs w:val="20"/>
        </w:rPr>
        <w:br w:type="page"/>
      </w:r>
    </w:p>
    <w:p w14:paraId="70B1A5BF" w14:textId="77777777" w:rsidR="00485A11" w:rsidRPr="00BC31E0" w:rsidRDefault="00A51873" w:rsidP="00037821">
      <w:pPr>
        <w:autoSpaceDE w:val="0"/>
        <w:autoSpaceDN w:val="0"/>
        <w:jc w:val="center"/>
        <w:rPr>
          <w:szCs w:val="20"/>
        </w:rPr>
      </w:pPr>
      <w:r>
        <w:rPr>
          <w:noProof/>
          <w:szCs w:val="20"/>
        </w:rPr>
      </w:r>
      <w:r>
        <w:rPr>
          <w:noProof/>
          <w:szCs w:val="20"/>
        </w:rPr>
        <w:pict w14:anchorId="220528CC">
          <v:group id="Group 10524" o:spid="_x0000_s1158" style="width:436pt;height:113.95pt;mso-position-horizontal-relative:char;mso-position-vertical-relative:line" coordorigin="1829,2389" coordsize="8720,2279">
            <v:shape id="図 1" o:spid="_x0000_s1159" type="#_x0000_t75" style="position:absolute;left:1829;top:2415;width:8351;height:19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">
              <v:imagedata r:id="rId81" o:title=""/>
            </v:shape>
            <v:rect id="Rectangle 10526" o:spid="_x0000_s1160" style="position:absolute;left:5013;top:2415;width:4455;height:2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" strokecolor="white">
              <v:textbox inset="5.85pt,.7pt,5.85pt,.7pt"/>
            </v:rect>
            <v:rect id="Rectangle 10527" o:spid="_x0000_s1161" style="position:absolute;left:4641;top:4167;width:4895;height: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" strokecolor="white">
              <v:textbox inset="5.85pt,.7pt,5.85pt,.7pt"/>
            </v:rect>
            <v:shape id="Text Box 10528" o:spid="_x0000_s1162" type="#_x0000_t202" style="position:absolute;left:4787;top:2389;width:1084;height:2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" filled="f" stroked="f">
              <v:textbox inset="5.85pt,.7pt,5.85pt,.7pt">
                <w:txbxContent>
                  <w:p w14:paraId="27D9A687" w14:textId="77777777" w:rsidR="003B0864" w:rsidRPr="004E5B4B" w:rsidRDefault="003B0864" w:rsidP="00485A11">
                    <w:pPr>
                      <w:spacing w:line="180" w:lineRule="exact"/>
                      <w:rPr>
                        <w:rFonts w:ascii="ＭＳ ゴシック" w:eastAsia="ＭＳ ゴシック" w:hAnsi="ＭＳ ゴシック"/>
                        <w:sz w:val="12"/>
                        <w:szCs w:val="12"/>
                      </w:rPr>
                    </w:pPr>
                    <w:r>
                      <w:rPr>
                        <w:rFonts w:ascii="ＭＳ ゴシック" w:eastAsia="ＭＳ ゴシック" w:hAnsi="ＭＳ ゴシック" w:hint="eastAsia"/>
                        <w:sz w:val="12"/>
                        <w:szCs w:val="12"/>
                      </w:rPr>
                      <w:t>ダミー挿入材</w:t>
                    </w:r>
                  </w:p>
                </w:txbxContent>
              </v:textbox>
            </v:shape>
            <v:shape id="AutoShape 10529" o:spid="_x0000_s1163" type="#_x0000_t32" style="position:absolute;left:5656;top:2520;width:156;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"/>
            <v:shape id="AutoShape 10530" o:spid="_x0000_s1164" type="#_x0000_t32" style="position:absolute;left:5812;top:2520;width:59;height:30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"/>
            <v:shape id="Text Box 10531" o:spid="_x0000_s1165" type="#_x0000_t202" style="position:absolute;left:5467;top:4242;width:1084;height:2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" filled="f" stroked="f">
              <v:textbox inset="5.85pt,.7pt,5.85pt,.7pt">
                <w:txbxContent>
                  <w:p w14:paraId="2E499B91" w14:textId="77777777" w:rsidR="003B0864" w:rsidRPr="004E5B4B" w:rsidRDefault="003B0864" w:rsidP="00485A11">
                    <w:pPr>
                      <w:spacing w:line="180" w:lineRule="exact"/>
                      <w:rPr>
                        <w:rFonts w:ascii="ＭＳ ゴシック" w:eastAsia="ＭＳ ゴシック" w:hAnsi="ＭＳ ゴシック"/>
                        <w:sz w:val="12"/>
                        <w:szCs w:val="12"/>
                      </w:rPr>
                    </w:pPr>
                    <w:r>
                      <w:rPr>
                        <w:rFonts w:ascii="ＭＳ ゴシック" w:eastAsia="ＭＳ ゴシック" w:hAnsi="ＭＳ ゴシック" w:hint="eastAsia"/>
                        <w:sz w:val="12"/>
                        <w:szCs w:val="12"/>
                      </w:rPr>
                      <w:t>ダミー層</w:t>
                    </w:r>
                  </w:p>
                </w:txbxContent>
              </v:textbox>
            </v:shape>
            <v:shape id="AutoShape 10532" o:spid="_x0000_s1166" type="#_x0000_t32" style="position:absolute;left:6138;top:4366;width:299;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"/>
            <v:shape id="AutoShape 10533" o:spid="_x0000_s1167" type="#_x0000_t32" style="position:absolute;left:6437;top:4060;width:157;height:30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"/>
            <v:shape id="Text Box 10534" o:spid="_x0000_s1168" type="#_x0000_t202" style="position:absolute;left:7995;top:2389;width:2185;height:2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" filled="f" stroked="f">
              <v:textbox inset="5.85pt,.7pt,5.85pt,.7pt">
                <w:txbxContent>
                  <w:p w14:paraId="691F1BF2" w14:textId="77777777" w:rsidR="003B0864" w:rsidRPr="004E5B4B" w:rsidRDefault="003B0864" w:rsidP="00485A11">
                    <w:pPr>
                      <w:spacing w:line="180" w:lineRule="exact"/>
                      <w:rPr>
                        <w:rFonts w:ascii="ＭＳ ゴシック" w:eastAsia="ＭＳ ゴシック" w:hAnsi="ＭＳ ゴシック"/>
                        <w:sz w:val="12"/>
                        <w:szCs w:val="12"/>
                      </w:rPr>
                    </w:pPr>
                    <w:r>
                      <w:rPr>
                        <w:rFonts w:ascii="ＭＳ ゴシック" w:eastAsia="ＭＳ ゴシック" w:hAnsi="ＭＳ ゴシック" w:hint="eastAsia"/>
                        <w:sz w:val="12"/>
                        <w:szCs w:val="12"/>
                      </w:rPr>
                      <w:t>バタリング溶接[7.8.3 h)を参照]</w:t>
                    </w:r>
                  </w:p>
                </w:txbxContent>
              </v:textbox>
            </v:shape>
            <v:shape id="Arc 10535" o:spid="_x0000_s1169" style="position:absolute;left:8682;top:2598;width:150;height:161;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" adj="0,,0" path="m12079,nfc18032,4015,21600,10726,21600,17907em12079,nsc18032,4015,21600,10726,21600,17907l,17907,12079,xe" filled="f" strokeweight="2pt">
              <v:stroke joinstyle="round"/>
              <v:formulas/>
              <v:path arrowok="t" o:extrusionok="f" o:connecttype="custom" o:connectlocs="84,0;150,161;0,161" o:connectangles="0,0,0"/>
            </v:shape>
            <v:shape id="AutoShape 10536" o:spid="_x0000_s1170" type="#_x0000_t32" style="position:absolute;left:8783;top:4060;width:54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" strokeweight="1pt"/>
            <v:shape id="AutoShape 10537" o:spid="_x0000_s1171" type="#_x0000_t32" style="position:absolute;left:8783;top:3953;width:0;height:10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" strokeweight="1pt"/>
            <v:shape id="AutoShape 10538" o:spid="_x0000_s1172" type="#_x0000_t32" style="position:absolute;left:9324;top:3953;width:0;height:10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" strokeweight="1pt"/>
            <v:shape id="AutoShape 10539" o:spid="_x0000_s1173" type="#_x0000_t5" style="position:absolute;left:9277;top:3953;width:135;height:72;rotation:-2897448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" fillcolor="black">
              <v:textbox inset="5.85pt,.7pt,5.85pt,.7pt"/>
            </v:shape>
            <v:shape id="Text Box 10540" o:spid="_x0000_s1174" type="#_x0000_t202" style="position:absolute;left:7876;top:4242;width:907;height:2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" filled="f" stroked="f">
              <v:textbox inset="5.85pt,.7pt,5.85pt,.7pt">
                <w:txbxContent>
                  <w:p w14:paraId="7144D940" w14:textId="77777777" w:rsidR="003B0864" w:rsidRPr="004E5B4B" w:rsidRDefault="003B0864" w:rsidP="00485A11">
                    <w:pPr>
                      <w:spacing w:line="180" w:lineRule="exact"/>
                      <w:rPr>
                        <w:rFonts w:ascii="ＭＳ ゴシック" w:eastAsia="ＭＳ ゴシック" w:hAnsi="ＭＳ ゴシック"/>
                        <w:sz w:val="12"/>
                        <w:szCs w:val="12"/>
                      </w:rPr>
                    </w:pPr>
                    <w:r>
                      <w:rPr>
                        <w:rFonts w:ascii="ＭＳ ゴシック" w:eastAsia="ＭＳ ゴシック" w:hAnsi="ＭＳ ゴシック" w:hint="eastAsia"/>
                        <w:sz w:val="12"/>
                        <w:szCs w:val="12"/>
                      </w:rPr>
                      <w:t>裏当て</w:t>
                    </w:r>
                  </w:p>
                </w:txbxContent>
              </v:textbox>
            </v:shape>
            <v:shape id="AutoShape 10541" o:spid="_x0000_s1175" type="#_x0000_t32" style="position:absolute;left:8441;top:4366;width:299;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"/>
            <v:shape id="Text Box 10542" o:spid="_x0000_s1176" type="#_x0000_t202" style="position:absolute;left:9642;top:4242;width:907;height:2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" filled="f" stroked="f">
              <v:textbox inset="5.85pt,.7pt,5.85pt,.7pt">
                <w:txbxContent>
                  <w:p w14:paraId="7376F88C" w14:textId="77777777" w:rsidR="003B0864" w:rsidRPr="004E5B4B" w:rsidRDefault="003B0864" w:rsidP="00485A11">
                    <w:pPr>
                      <w:spacing w:line="180" w:lineRule="exact"/>
                      <w:rPr>
                        <w:rFonts w:ascii="ＭＳ ゴシック" w:eastAsia="ＭＳ ゴシック" w:hAnsi="ＭＳ ゴシック"/>
                        <w:sz w:val="12"/>
                        <w:szCs w:val="12"/>
                      </w:rPr>
                    </w:pPr>
                    <w:r>
                      <w:rPr>
                        <w:rFonts w:ascii="ＭＳ ゴシック" w:eastAsia="ＭＳ ゴシック" w:hAnsi="ＭＳ ゴシック" w:hint="eastAsia"/>
                        <w:sz w:val="12"/>
                        <w:szCs w:val="12"/>
                      </w:rPr>
                      <w:t>仮付け溶接</w:t>
                    </w:r>
                  </w:p>
                </w:txbxContent>
              </v:textbox>
            </v:shape>
            <v:shape id="AutoShape 10543" o:spid="_x0000_s1177" type="#_x0000_t32" style="position:absolute;left:8740;top:4060;width:207;height:30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">
              <v:stroke endarrow="block" endarrowwidth="narrow" endarrowlength="long"/>
            </v:shape>
            <v:shape id="AutoShape 10544" o:spid="_x0000_s1178" type="#_x0000_t32" style="position:absolute;left:9536;top:4366;width:181;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"/>
            <v:shape id="AutoShape 10545" o:spid="_x0000_s1179" type="#_x0000_t32" style="position:absolute;left:9381;top:4025;width:155;height:341;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">
              <v:stroke endarrow="block" endarrowwidth="narrow" endarrowlength="long"/>
            </v:shape>
            <w10:anchorlock/>
          </v:group>
        </w:pict>
      </w:r>
    </w:p>
    <w:p w14:paraId="6A308F9D" w14:textId="77777777" w:rsidR="00485A11" w:rsidRPr="00BC31E0" w:rsidRDefault="00485A11" w:rsidP="00037821">
      <w:pPr>
        <w:tabs>
          <w:tab w:val="left" w:pos="4830"/>
        </w:tabs>
        <w:autoSpaceDE w:val="0"/>
        <w:autoSpaceDN w:val="0"/>
        <w:ind w:firstLineChars="600" w:firstLine="1260"/>
        <w:jc w:val="left"/>
        <w:rPr>
          <w:szCs w:val="20"/>
        </w:rPr>
      </w:pPr>
      <w:r w:rsidRPr="00BC31E0">
        <w:rPr>
          <w:rFonts w:hint="eastAsia"/>
          <w:szCs w:val="20"/>
        </w:rPr>
        <w:t xml:space="preserve">(a)                          (b)                        </w:t>
      </w:r>
      <w:r w:rsidRPr="00BC31E0">
        <w:rPr>
          <w:rFonts w:hint="eastAsia"/>
          <w:szCs w:val="20"/>
        </w:rPr>
        <w:t xml:space="preserve">　</w:t>
      </w:r>
      <w:r w:rsidRPr="00BC31E0">
        <w:rPr>
          <w:rFonts w:hint="eastAsia"/>
          <w:szCs w:val="20"/>
        </w:rPr>
        <w:t>(c)</w:t>
      </w:r>
    </w:p>
    <w:p w14:paraId="6402645B" w14:textId="77777777" w:rsidR="00485A11" w:rsidRPr="00BC31E0" w:rsidRDefault="00485A11" w:rsidP="00037821">
      <w:pPr>
        <w:autoSpaceDE w:val="0"/>
        <w:autoSpaceDN w:val="0"/>
        <w:jc w:val="left"/>
        <w:rPr>
          <w:szCs w:val="20"/>
        </w:rPr>
      </w:pPr>
    </w:p>
    <w:p w14:paraId="4AD0ED98" w14:textId="77777777" w:rsidR="00485A11" w:rsidRPr="00BC31E0" w:rsidRDefault="00485A11" w:rsidP="00037821">
      <w:pPr>
        <w:autoSpaceDE w:val="0"/>
        <w:autoSpaceDN w:val="0"/>
        <w:jc w:val="left"/>
        <w:rPr>
          <w:szCs w:val="20"/>
        </w:rPr>
      </w:pPr>
    </w:p>
    <w:p w14:paraId="4C37C7B2" w14:textId="77777777" w:rsidR="00485A11" w:rsidRPr="00BC31E0" w:rsidRDefault="00A51873" w:rsidP="00037821">
      <w:pPr>
        <w:autoSpaceDE w:val="0"/>
        <w:autoSpaceDN w:val="0"/>
        <w:jc w:val="center"/>
        <w:rPr>
          <w:szCs w:val="20"/>
        </w:rPr>
      </w:pPr>
      <w:r>
        <w:rPr>
          <w:noProof/>
          <w:szCs w:val="20"/>
        </w:rPr>
        <w:pict w14:anchorId="3AFAD7B3">
          <v:rect id="正方形/長方形 461" o:spid="_x0000_s3432" style="position:absolute;left:0;text-align:left;margin-left:109.1pt;margin-top:91.2pt;width:26.4pt;height:5.7pt;z-index:251667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" filled="f" strokecolor="windowText" strokeweight="1.5pt"/>
        </w:pict>
      </w:r>
      <w:r>
        <w:rPr>
          <w:noProof/>
          <w:szCs w:val="20"/>
        </w:rPr>
      </w:r>
      <w:r>
        <w:rPr>
          <w:noProof/>
          <w:szCs w:val="20"/>
        </w:rPr>
        <w:pict w14:anchorId="46938CE3">
          <v:group id="Group 10546" o:spid="_x0000_s1180" style="width:413.25pt;height:109.45pt;mso-position-horizontal-relative:char;mso-position-vertical-relative:line" coordorigin="2160,5791" coordsize="8265,2189">
            <v:shape id="図 1" o:spid="_x0000_s1181" type="#_x0000_t75" style="position:absolute;left:2534;top:5791;width:7447;height:19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">
              <v:imagedata r:id="rId82" o:title=""/>
            </v:shape>
            <v:shape id="Text Box 10548" o:spid="_x0000_s1182" type="#_x0000_t202" style="position:absolute;left:7752;top:7725;width:907;height:2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" filled="f" stroked="f">
              <v:textbox inset="5.85pt,.7pt,5.85pt,.7pt">
                <w:txbxContent>
                  <w:p w14:paraId="062D29F2" w14:textId="77777777" w:rsidR="003B0864" w:rsidRPr="004E5B4B" w:rsidRDefault="003B0864" w:rsidP="00485A11">
                    <w:pPr>
                      <w:spacing w:line="180" w:lineRule="exact"/>
                      <w:rPr>
                        <w:rFonts w:ascii="ＭＳ ゴシック" w:eastAsia="ＭＳ ゴシック" w:hAnsi="ＭＳ ゴシック"/>
                        <w:sz w:val="12"/>
                        <w:szCs w:val="12"/>
                      </w:rPr>
                    </w:pPr>
                    <w:r>
                      <w:rPr>
                        <w:rFonts w:ascii="ＭＳ ゴシック" w:eastAsia="ＭＳ ゴシック" w:hAnsi="ＭＳ ゴシック" w:hint="eastAsia"/>
                        <w:sz w:val="12"/>
                        <w:szCs w:val="12"/>
                      </w:rPr>
                      <w:t>裏当て</w:t>
                    </w:r>
                  </w:p>
                </w:txbxContent>
              </v:textbox>
            </v:shape>
            <v:shape id="AutoShape 10549" o:spid="_x0000_s1183" type="#_x0000_t32" style="position:absolute;left:8317;top:7849;width:36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"/>
            <v:shape id="Text Box 10550" o:spid="_x0000_s1184" type="#_x0000_t202" style="position:absolute;left:9518;top:7725;width:907;height:2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" filled="f" stroked="f">
              <v:textbox inset="5.85pt,.7pt,5.85pt,.7pt">
                <w:txbxContent>
                  <w:p w14:paraId="061EF2F7" w14:textId="77777777" w:rsidR="003B0864" w:rsidRPr="004E5B4B" w:rsidRDefault="003B0864" w:rsidP="00485A11">
                    <w:pPr>
                      <w:spacing w:line="180" w:lineRule="exact"/>
                      <w:rPr>
                        <w:rFonts w:ascii="ＭＳ ゴシック" w:eastAsia="ＭＳ ゴシック" w:hAnsi="ＭＳ ゴシック"/>
                        <w:sz w:val="12"/>
                        <w:szCs w:val="12"/>
                      </w:rPr>
                    </w:pPr>
                    <w:r>
                      <w:rPr>
                        <w:rFonts w:ascii="ＭＳ ゴシック" w:eastAsia="ＭＳ ゴシック" w:hAnsi="ＭＳ ゴシック" w:hint="eastAsia"/>
                        <w:sz w:val="12"/>
                        <w:szCs w:val="12"/>
                      </w:rPr>
                      <w:t>仮付け溶接</w:t>
                    </w:r>
                  </w:p>
                </w:txbxContent>
              </v:textbox>
            </v:shape>
            <v:shape id="AutoShape 10551" o:spid="_x0000_s1185" type="#_x0000_t32" style="position:absolute;left:9277;top:7849;width:316;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"/>
            <v:shape id="AutoShape 10552" o:spid="_x0000_s1186" type="#_x0000_t32" style="position:absolute;left:8682;top:7671;width:101;height:17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"/>
            <v:shape id="AutoShape 10553" o:spid="_x0000_s1187" type="#_x0000_t32" style="position:absolute;left:9138;top:7671;width:139;height:17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"/>
            <v:shape id="AutoShape 10554" o:spid="_x0000_s1188" type="#_x0000_t5" style="position:absolute;left:8972;top:7446;width:135;height:72;rotation:-2897448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" fillcolor="black">
              <v:textbox inset="5.85pt,.7pt,5.85pt,.7pt"/>
            </v:shape>
            <v:shape id="Text Box 10548" o:spid="_x0000_s1189" type="#_x0000_t202" style="position:absolute;left:2160;top:7725;width:907;height:2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" filled="f" stroked="f">
              <v:textbox inset="5.85pt,.7pt,5.85pt,.7pt">
                <w:txbxContent>
                  <w:p w14:paraId="10A9326C" w14:textId="77777777" w:rsidR="003B0864" w:rsidRPr="004E5B4B" w:rsidRDefault="003B0864" w:rsidP="00485A11">
                    <w:pPr>
                      <w:spacing w:line="180" w:lineRule="exact"/>
                      <w:rPr>
                        <w:rFonts w:ascii="ＭＳ ゴシック" w:eastAsia="ＭＳ ゴシック" w:hAnsi="ＭＳ ゴシック"/>
                        <w:sz w:val="12"/>
                        <w:szCs w:val="12"/>
                      </w:rPr>
                    </w:pPr>
                  </w:p>
                </w:txbxContent>
              </v:textbox>
            </v:shape>
            <v:shape id="AutoShape 10549" o:spid="_x0000_s1190" type="#_x0000_t32" style="position:absolute;left:3745;top:7849;width:36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"/>
            <v:shape id="AutoShape 10551" o:spid="_x0000_s1191" type="#_x0000_t32" style="position:absolute;left:4803;top:7827;width:316;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"/>
            <v:shape id="AutoShape 10552" o:spid="_x0000_s1192" type="#_x0000_t32" style="position:absolute;left:4110;top:7671;width:101;height:17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"/>
            <v:shape id="AutoShape 10553" o:spid="_x0000_s1193" type="#_x0000_t32" style="position:absolute;left:4642;top:7611;width:161;height:21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"/>
            <v:shape id="AutoShape 10554" o:spid="_x0000_s1194" type="#_x0000_t5" style="position:absolute;left:4472;top:7446;width:135;height:72;rotation:-2897448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" fillcolor="black">
              <v:textbox inset="5.85pt,.7pt,5.85pt,.7pt"/>
            </v:shape>
            <v:shape id="Text Box 10550" o:spid="_x0000_s1195" type="#_x0000_t202" style="position:absolute;left:5037;top:7697;width:907;height:2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" filled="f" stroked="f">
              <v:textbox inset="5.85pt,.7pt,5.85pt,.7pt">
                <w:txbxContent>
                  <w:p w14:paraId="0CF9DC84" w14:textId="77777777" w:rsidR="003B0864" w:rsidRPr="004E5B4B" w:rsidRDefault="003B0864" w:rsidP="00485A11">
                    <w:pPr>
                      <w:spacing w:line="180" w:lineRule="exact"/>
                      <w:rPr>
                        <w:rFonts w:ascii="ＭＳ ゴシック" w:eastAsia="ＭＳ ゴシック" w:hAnsi="ＭＳ ゴシック"/>
                        <w:sz w:val="12"/>
                        <w:szCs w:val="12"/>
                      </w:rPr>
                    </w:pPr>
                    <w:r>
                      <w:rPr>
                        <w:rFonts w:ascii="ＭＳ ゴシック" w:eastAsia="ＭＳ ゴシック" w:hAnsi="ＭＳ ゴシック" w:hint="eastAsia"/>
                        <w:sz w:val="12"/>
                        <w:szCs w:val="12"/>
                      </w:rPr>
                      <w:t>仮付け溶接</w:t>
                    </w:r>
                  </w:p>
                </w:txbxContent>
              </v:textbox>
            </v:shape>
            <v:shape id="AutoShape 10554" o:spid="_x0000_s1196" type="#_x0000_t5" style="position:absolute;left:4570;top:7502;width:72;height:138;rotation:-2897448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" fillcolor="black">
              <v:textbox inset="5.85pt,.7pt,5.85pt,.7pt"/>
            </v:shape>
            <v:shape id="AutoShape 10554" o:spid="_x0000_s1197" type="#_x0000_t5" style="position:absolute;left:4211;top:7577;width:72;height:109;rotation:9448856fd;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" fillcolor="black">
              <v:textbox inset="5.85pt,.7pt,5.85pt,.7pt"/>
            </v:shape>
            <v:shape id="Text Box 10548" o:spid="_x0000_s1198" type="#_x0000_t202" style="position:absolute;left:3203;top:7729;width:907;height:2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" filled="f" stroked="f">
              <v:textbox inset="5.85pt,.7pt,5.85pt,.7pt">
                <w:txbxContent>
                  <w:p w14:paraId="11C60FA8" w14:textId="77777777" w:rsidR="003B0864" w:rsidRPr="004E5B4B" w:rsidRDefault="003B0864" w:rsidP="00485A11">
                    <w:pPr>
                      <w:spacing w:line="180" w:lineRule="exact"/>
                      <w:rPr>
                        <w:rFonts w:ascii="ＭＳ ゴシック" w:eastAsia="ＭＳ ゴシック" w:hAnsi="ＭＳ ゴシック"/>
                        <w:sz w:val="12"/>
                        <w:szCs w:val="12"/>
                      </w:rPr>
                    </w:pPr>
                    <w:r>
                      <w:rPr>
                        <w:rFonts w:ascii="ＭＳ ゴシック" w:eastAsia="ＭＳ ゴシック" w:hAnsi="ＭＳ ゴシック" w:hint="eastAsia"/>
                        <w:sz w:val="12"/>
                        <w:szCs w:val="12"/>
                      </w:rPr>
                      <w:t>裏当て</w:t>
                    </w:r>
                  </w:p>
                </w:txbxContent>
              </v:textbox>
            </v:shape>
            <w10:anchorlock/>
          </v:group>
        </w:pict>
      </w:r>
    </w:p>
    <w:p w14:paraId="12F4CB96" w14:textId="77777777" w:rsidR="00485A11" w:rsidRPr="00BC31E0" w:rsidRDefault="00485A11" w:rsidP="00037821">
      <w:pPr>
        <w:tabs>
          <w:tab w:val="left" w:pos="4830"/>
        </w:tabs>
        <w:autoSpaceDE w:val="0"/>
        <w:autoSpaceDN w:val="0"/>
        <w:ind w:firstLineChars="800" w:firstLine="1680"/>
        <w:jc w:val="left"/>
        <w:rPr>
          <w:szCs w:val="20"/>
        </w:rPr>
      </w:pPr>
      <w:r w:rsidRPr="00BC31E0">
        <w:rPr>
          <w:rFonts w:hint="eastAsia"/>
          <w:szCs w:val="20"/>
        </w:rPr>
        <w:t xml:space="preserve">(d)                                      </w:t>
      </w:r>
      <w:r w:rsidR="00494DE4" w:rsidRPr="00BC31E0">
        <w:rPr>
          <w:rFonts w:hint="eastAsia"/>
          <w:szCs w:val="20"/>
        </w:rPr>
        <w:t>(</w:t>
      </w:r>
      <w:r w:rsidR="00494DE4" w:rsidRPr="00BC31E0">
        <w:rPr>
          <w:szCs w:val="20"/>
        </w:rPr>
        <w:t>e</w:t>
      </w:r>
      <w:r w:rsidR="00494DE4" w:rsidRPr="00BC31E0">
        <w:rPr>
          <w:rFonts w:hint="eastAsia"/>
          <w:szCs w:val="20"/>
        </w:rPr>
        <w:t>)</w:t>
      </w:r>
    </w:p>
    <w:p w14:paraId="5432FDC0" w14:textId="77777777" w:rsidR="00494DE4" w:rsidRPr="00BC31E0" w:rsidRDefault="00494DE4" w:rsidP="00037821">
      <w:pPr>
        <w:autoSpaceDE w:val="0"/>
        <w:autoSpaceDN w:val="0"/>
        <w:jc w:val="left"/>
        <w:rPr>
          <w:szCs w:val="20"/>
        </w:rPr>
      </w:pPr>
    </w:p>
    <w:p w14:paraId="433D9ACC" w14:textId="77777777" w:rsidR="00485A11" w:rsidRPr="00BC31E0" w:rsidRDefault="00485A11" w:rsidP="00037821">
      <w:pPr>
        <w:autoSpaceDE w:val="0"/>
        <w:autoSpaceDN w:val="0"/>
        <w:jc w:val="left"/>
        <w:rPr>
          <w:szCs w:val="20"/>
        </w:rPr>
      </w:pPr>
      <w:r w:rsidRPr="00BC31E0">
        <w:rPr>
          <w:rFonts w:hint="eastAsia"/>
          <w:szCs w:val="20"/>
        </w:rPr>
        <w:t xml:space="preserve">　　</w:t>
      </w:r>
      <w:r w:rsidRPr="00BC31E0">
        <w:rPr>
          <w:rFonts w:hint="eastAsia"/>
          <w:szCs w:val="20"/>
        </w:rPr>
        <w:t xml:space="preserve">               </w:t>
      </w:r>
      <w:r w:rsidRPr="00BC31E0">
        <w:rPr>
          <w:rFonts w:ascii="ＭＳ ゴシック" w:eastAsia="ＭＳ ゴシック" w:hAnsi="ＭＳ ゴシック" w:hint="eastAsia"/>
          <w:b/>
          <w:bCs/>
          <w:szCs w:val="20"/>
        </w:rPr>
        <w:t>注記</w:t>
      </w:r>
      <w:r w:rsidRPr="00BC31E0">
        <w:rPr>
          <w:rFonts w:hint="eastAsia"/>
          <w:b/>
          <w:bCs/>
          <w:szCs w:val="20"/>
        </w:rPr>
        <w:t xml:space="preserve">　</w:t>
      </w:r>
      <w:r w:rsidRPr="00BC31E0">
        <w:rPr>
          <w:rFonts w:hint="eastAsia"/>
          <w:szCs w:val="20"/>
        </w:rPr>
        <w:t>裏当ては溶接後除去しなければならない。</w:t>
      </w:r>
      <w:r w:rsidR="00037821" w:rsidRPr="00BC31E0">
        <w:rPr>
          <w:rFonts w:hint="eastAsia"/>
          <w:szCs w:val="20"/>
        </w:rPr>
        <w:t>.</w:t>
      </w:r>
    </w:p>
    <w:p w14:paraId="2D685B1A" w14:textId="77777777" w:rsidR="00037821" w:rsidRPr="00BC31E0" w:rsidRDefault="00037821" w:rsidP="00037821">
      <w:pPr>
        <w:autoSpaceDE w:val="0"/>
        <w:autoSpaceDN w:val="0"/>
        <w:jc w:val="left"/>
        <w:rPr>
          <w:szCs w:val="20"/>
        </w:rPr>
      </w:pPr>
    </w:p>
    <w:p w14:paraId="177BC9DE" w14:textId="77777777" w:rsidR="00485A11" w:rsidRPr="00BC31E0" w:rsidRDefault="00485A11" w:rsidP="00037821">
      <w:pPr>
        <w:pStyle w:val="af4"/>
      </w:pPr>
      <w:r w:rsidRPr="00BC31E0">
        <w:rPr>
          <w:rFonts w:hint="eastAsia"/>
        </w:rPr>
        <w:t>図6.8.</w:t>
      </w:r>
      <w:r w:rsidRPr="00BC31E0">
        <w:t>6</w:t>
      </w:r>
      <w:r w:rsidRPr="00BC31E0">
        <w:rPr>
          <w:rFonts w:hint="eastAsia"/>
        </w:rPr>
        <w:t xml:space="preserve">　層成胴と層成胴及び層成胴と単肉部の溶接継手</w:t>
      </w:r>
    </w:p>
    <w:p w14:paraId="02FBFFD3" w14:textId="77777777" w:rsidR="00485A11" w:rsidRPr="00BC31E0" w:rsidRDefault="00485A11" w:rsidP="00037821">
      <w:pPr>
        <w:autoSpaceDE w:val="0"/>
        <w:autoSpaceDN w:val="0"/>
        <w:jc w:val="left"/>
        <w:rPr>
          <w:szCs w:val="20"/>
        </w:rPr>
      </w:pPr>
    </w:p>
    <w:p w14:paraId="189201A5" w14:textId="77777777" w:rsidR="00FE4FE8" w:rsidRPr="00BC31E0" w:rsidRDefault="00FE4FE8">
      <w:pPr>
        <w:widowControl/>
        <w:jc w:val="left"/>
        <w:rPr>
          <w:szCs w:val="20"/>
        </w:rPr>
      </w:pPr>
      <w:r w:rsidRPr="00BC31E0">
        <w:rPr>
          <w:szCs w:val="20"/>
        </w:rPr>
        <w:br w:type="page"/>
      </w:r>
    </w:p>
    <w:p w14:paraId="3455CF11" w14:textId="77777777" w:rsidR="00485A11" w:rsidRPr="00BC31E0" w:rsidRDefault="00485A11" w:rsidP="00037821">
      <w:pPr>
        <w:autoSpaceDE w:val="0"/>
        <w:autoSpaceDN w:val="0"/>
        <w:jc w:val="center"/>
        <w:rPr>
          <w:noProof/>
          <w:szCs w:val="20"/>
        </w:rPr>
      </w:pPr>
      <w:r w:rsidRPr="00BC31E0">
        <w:rPr>
          <w:noProof/>
        </w:rPr>
        <w:lastRenderedPageBreak/>
        <w:drawing>
          <wp:inline distT="0" distB="0" distL="0" distR="0" wp14:anchorId="2590BAE8" wp14:editId="3C5F12F9">
            <wp:extent cx="1820545" cy="1400810"/>
            <wp:effectExtent l="19050" t="0" r="8255" b="0"/>
            <wp:docPr id="4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3" cstate="print"/>
                    <a:srcRect/>
                    <a:stretch>
                      <a:fillRect/>
                    </a:stretch>
                  </pic:blipFill>
                  <pic:spPr bwMode="auto">
                    <a:xfrm>
                      <a:off x="0" y="0"/>
                      <a:ext cx="1820545" cy="1400810"/>
                    </a:xfrm>
                    <a:prstGeom prst="rect">
                      <a:avLst/>
                    </a:prstGeom>
                    <a:noFill/>
                    <a:ln w="9525">
                      <a:noFill/>
                      <a:miter lim="800000"/>
                      <a:headEnd/>
                      <a:tailEnd/>
                    </a:ln>
                  </pic:spPr>
                </pic:pic>
              </a:graphicData>
            </a:graphic>
          </wp:inline>
        </w:drawing>
      </w:r>
      <w:r w:rsidRPr="00BC31E0">
        <w:rPr>
          <w:rFonts w:hint="eastAsia"/>
        </w:rPr>
        <w:t xml:space="preserve">　　　　　　　</w:t>
      </w:r>
      <w:r w:rsidR="00A51873">
        <w:rPr>
          <w:noProof/>
        </w:rPr>
      </w:r>
      <w:r w:rsidR="00A51873">
        <w:rPr>
          <w:noProof/>
        </w:rPr>
        <w:pict w14:anchorId="743A50BE">
          <v:group id="Group 10809" o:spid="_x0000_s3429" style="width:169.5pt;height:132.5pt;mso-position-horizontal-relative:char;mso-position-vertical-relative:line" coordorigin="6090,2351" coordsize="3390,2650">
            <v:shape id="図 1" o:spid="_x0000_s3431" type="#_x0000_t75" style="position:absolute;left:6090;top:2361;width:3390;height:26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">
              <v:imagedata r:id="rId84" o:title=""/>
            </v:shape>
            <v:rect id="Rectangle 10811" o:spid="_x0000_s3430" style="position:absolute;left:7218;top:2351;width:514;height:4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" stroked="f"/>
            <w10:anchorlock/>
          </v:group>
        </w:pict>
      </w:r>
    </w:p>
    <w:p w14:paraId="5AF58B87" w14:textId="77777777" w:rsidR="00485A11" w:rsidRPr="00BC31E0" w:rsidRDefault="00A51873" w:rsidP="00037821">
      <w:pPr>
        <w:autoSpaceDE w:val="0"/>
        <w:autoSpaceDN w:val="0"/>
        <w:ind w:firstLineChars="900" w:firstLine="1890"/>
        <w:jc w:val="left"/>
        <w:rPr>
          <w:szCs w:val="20"/>
        </w:rPr>
      </w:pPr>
      <w:r>
        <w:rPr>
          <w:noProof/>
          <w:szCs w:val="20"/>
        </w:rPr>
        <w:pict w14:anchorId="7C388553">
          <v:rect id="Rectangle 10806" o:spid="_x0000_s3428" style="position:absolute;left:0;text-align:left;margin-left:297.8pt;margin-top:16.75pt;width:20.6pt;height:14.9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" filled="f" stroked="f"/>
        </w:pict>
      </w:r>
      <w:r w:rsidR="00485A11" w:rsidRPr="00BC31E0">
        <w:rPr>
          <w:rFonts w:hint="eastAsia"/>
          <w:szCs w:val="20"/>
        </w:rPr>
        <w:t xml:space="preserve">(a)                  </w:t>
      </w:r>
      <w:r w:rsidR="00485A11" w:rsidRPr="00BC31E0">
        <w:rPr>
          <w:rFonts w:hint="eastAsia"/>
          <w:szCs w:val="20"/>
        </w:rPr>
        <w:t xml:space="preserve">　　　</w:t>
      </w:r>
      <w:r w:rsidR="00485A11" w:rsidRPr="00BC31E0">
        <w:rPr>
          <w:rFonts w:hint="eastAsia"/>
          <w:szCs w:val="20"/>
        </w:rPr>
        <w:t xml:space="preserve">                (b)</w:t>
      </w:r>
    </w:p>
    <w:p w14:paraId="18F69768" w14:textId="77777777" w:rsidR="00485A11" w:rsidRPr="00BC31E0" w:rsidRDefault="00485A11" w:rsidP="00037821">
      <w:pPr>
        <w:autoSpaceDE w:val="0"/>
        <w:autoSpaceDN w:val="0"/>
        <w:jc w:val="left"/>
        <w:rPr>
          <w:szCs w:val="20"/>
        </w:rPr>
      </w:pPr>
    </w:p>
    <w:p w14:paraId="471B30B2" w14:textId="77777777" w:rsidR="00485A11" w:rsidRPr="00BC31E0" w:rsidRDefault="00A51873" w:rsidP="00037821">
      <w:pPr>
        <w:autoSpaceDE w:val="0"/>
        <w:autoSpaceDN w:val="0"/>
        <w:jc w:val="center"/>
        <w:rPr>
          <w:szCs w:val="20"/>
        </w:rPr>
      </w:pPr>
      <w:r>
        <w:rPr>
          <w:noProof/>
          <w:szCs w:val="20"/>
        </w:rPr>
      </w:r>
      <w:r>
        <w:rPr>
          <w:noProof/>
          <w:szCs w:val="20"/>
        </w:rPr>
        <w:pict w14:anchorId="39837B0B">
          <v:group id="Group 10813" o:spid="_x0000_s3425" style="width:136.5pt;height:103.65pt;mso-position-horizontal-relative:char;mso-position-vertical-relative:line" coordorigin="2541,6901" coordsize="2730,2073">
            <v:shape id="図 1" o:spid="_x0000_s3427" type="#_x0000_t75" style="position:absolute;left:2541;top:6904;width:2730;height:20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">
              <v:imagedata r:id="rId85" o:title=""/>
            </v:shape>
            <v:rect id="Rectangle 10523" o:spid="_x0000_s3426" style="position:absolute;left:3260;top:6901;width:735;height:4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" strokecolor="white">
              <v:textbox inset="5.85pt,.7pt,5.85pt,.7pt"/>
            </v:rect>
            <w10:anchorlock/>
          </v:group>
        </w:pict>
      </w:r>
      <w:r w:rsidR="00485A11" w:rsidRPr="00BC31E0">
        <w:rPr>
          <w:rFonts w:hint="eastAsia"/>
          <w:szCs w:val="20"/>
        </w:rPr>
        <w:t xml:space="preserve">　　　　　　　　　</w:t>
      </w:r>
      <w:r>
        <w:rPr>
          <w:noProof/>
          <w:szCs w:val="20"/>
        </w:rPr>
      </w:r>
      <w:r>
        <w:rPr>
          <w:noProof/>
          <w:szCs w:val="20"/>
        </w:rPr>
        <w:pict w14:anchorId="16D9A7F5">
          <v:group id="Group 10814" o:spid="_x0000_s3422" style="width:143.25pt;height:110.25pt;mso-position-horizontal-relative:char;mso-position-vertical-relative:line" coordorigin="6615,5956" coordsize="2865,2205">
            <v:shape id="図 1" o:spid="_x0000_s3424" type="#_x0000_t75" style="position:absolute;left:6615;top:5956;width:2865;height:22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">
              <v:imagedata r:id="rId86" o:title=""/>
            </v:shape>
            <v:rect id="Rectangle 10816" o:spid="_x0000_s3423" style="position:absolute;left:7125;top:6028;width:735;height:4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" strokecolor="white">
              <v:textbox inset="5.85pt,.7pt,5.85pt,.7pt"/>
            </v:rect>
            <w10:anchorlock/>
          </v:group>
        </w:pict>
      </w:r>
    </w:p>
    <w:p w14:paraId="7927F42D" w14:textId="77777777" w:rsidR="00485A11" w:rsidRPr="00BC31E0" w:rsidRDefault="00485A11" w:rsidP="00037821">
      <w:pPr>
        <w:tabs>
          <w:tab w:val="left" w:pos="4830"/>
        </w:tabs>
        <w:autoSpaceDE w:val="0"/>
        <w:autoSpaceDN w:val="0"/>
        <w:ind w:firstLineChars="900" w:firstLine="1890"/>
        <w:jc w:val="left"/>
        <w:rPr>
          <w:szCs w:val="20"/>
        </w:rPr>
      </w:pPr>
      <w:r w:rsidRPr="00BC31E0">
        <w:rPr>
          <w:rFonts w:hint="eastAsia"/>
          <w:szCs w:val="20"/>
        </w:rPr>
        <w:t xml:space="preserve">(c)                             </w:t>
      </w:r>
      <w:r w:rsidRPr="00BC31E0">
        <w:rPr>
          <w:rFonts w:hint="eastAsia"/>
          <w:szCs w:val="20"/>
        </w:rPr>
        <w:t xml:space="preserve">　　　</w:t>
      </w:r>
      <w:r w:rsidRPr="00BC31E0">
        <w:rPr>
          <w:rFonts w:hint="eastAsia"/>
          <w:szCs w:val="20"/>
        </w:rPr>
        <w:t xml:space="preserve">      (d)</w:t>
      </w:r>
    </w:p>
    <w:p w14:paraId="0CCF688C" w14:textId="77777777" w:rsidR="00485A11" w:rsidRPr="00BC31E0" w:rsidRDefault="00485A11" w:rsidP="00037821">
      <w:pPr>
        <w:tabs>
          <w:tab w:val="left" w:pos="2730"/>
        </w:tabs>
        <w:autoSpaceDE w:val="0"/>
        <w:autoSpaceDN w:val="0"/>
        <w:jc w:val="left"/>
        <w:rPr>
          <w:szCs w:val="20"/>
        </w:rPr>
      </w:pPr>
      <w:r w:rsidRPr="00BC31E0">
        <w:rPr>
          <w:rFonts w:hint="eastAsia"/>
          <w:szCs w:val="20"/>
        </w:rPr>
        <w:t xml:space="preserve">　　</w:t>
      </w:r>
      <w:r w:rsidRPr="00BC31E0">
        <w:rPr>
          <w:rFonts w:hint="eastAsia"/>
          <w:szCs w:val="20"/>
        </w:rPr>
        <w:t xml:space="preserve">           </w:t>
      </w:r>
      <w:r w:rsidRPr="00BC31E0">
        <w:rPr>
          <w:rFonts w:hint="eastAsia"/>
          <w:szCs w:val="20"/>
        </w:rPr>
        <w:t xml:space="preserve">　</w:t>
      </w:r>
      <w:r w:rsidRPr="00BC31E0">
        <w:rPr>
          <w:rFonts w:ascii="ＭＳ ゴシック" w:eastAsia="ＭＳ ゴシック" w:hAnsi="ＭＳ ゴシック" w:hint="eastAsia"/>
          <w:b/>
          <w:bCs/>
          <w:szCs w:val="20"/>
        </w:rPr>
        <w:t>注記</w:t>
      </w:r>
      <w:r w:rsidRPr="00BC31E0">
        <w:rPr>
          <w:rFonts w:hint="eastAsia"/>
          <w:szCs w:val="20"/>
        </w:rPr>
        <w:t xml:space="preserve">　</w:t>
      </w: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S</m:t>
            </m:r>
          </m:sub>
        </m:sSub>
      </m:oMath>
      <w:r w:rsidRPr="00BC31E0">
        <w:rPr>
          <w:rFonts w:hint="eastAsia"/>
          <w:szCs w:val="20"/>
        </w:rPr>
        <w:tab/>
      </w:r>
      <w:r w:rsidRPr="00BC31E0">
        <w:rPr>
          <w:rFonts w:hint="eastAsia"/>
          <w:szCs w:val="20"/>
        </w:rPr>
        <w:t>：</w:t>
      </w:r>
      <w:r w:rsidRPr="00BC31E0">
        <w:rPr>
          <w:rFonts w:hint="eastAsia"/>
          <w:szCs w:val="20"/>
        </w:rPr>
        <w:t xml:space="preserve"> </w:t>
      </w:r>
      <w:r w:rsidRPr="00BC31E0">
        <w:rPr>
          <w:rFonts w:hint="eastAsia"/>
          <w:szCs w:val="20"/>
        </w:rPr>
        <w:t>層成胴の厚さ</w:t>
      </w:r>
      <w:r w:rsidRPr="00BC31E0">
        <w:rPr>
          <w:rFonts w:asciiTheme="minorHAnsi" w:hAnsiTheme="minorHAnsi"/>
          <w:szCs w:val="20"/>
        </w:rPr>
        <w:t>(mm)</w:t>
      </w:r>
    </w:p>
    <w:p w14:paraId="0BEA82A0" w14:textId="77777777" w:rsidR="00485A11" w:rsidRPr="00BC31E0" w:rsidRDefault="00485A11" w:rsidP="00037821">
      <w:pPr>
        <w:tabs>
          <w:tab w:val="left" w:pos="2730"/>
        </w:tabs>
        <w:autoSpaceDE w:val="0"/>
        <w:autoSpaceDN w:val="0"/>
        <w:jc w:val="left"/>
        <w:rPr>
          <w:szCs w:val="20"/>
        </w:rPr>
      </w:pPr>
      <w:r w:rsidRPr="00BC31E0">
        <w:rPr>
          <w:rFonts w:hint="eastAsia"/>
          <w:szCs w:val="20"/>
        </w:rPr>
        <w:t xml:space="preserve">　　　　　　</w:t>
      </w:r>
      <w:r w:rsidRPr="00BC31E0">
        <w:rPr>
          <w:rFonts w:hint="eastAsia"/>
          <w:szCs w:val="20"/>
        </w:rPr>
        <w:t xml:space="preserve">           </w:t>
      </w: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n</m:t>
            </m:r>
          </m:sub>
        </m:sSub>
      </m:oMath>
      <w:r w:rsidRPr="00BC31E0">
        <w:rPr>
          <w:rFonts w:hint="eastAsia"/>
          <w:szCs w:val="20"/>
        </w:rPr>
        <w:tab/>
      </w:r>
      <w:r w:rsidRPr="00BC31E0">
        <w:rPr>
          <w:rFonts w:hint="eastAsia"/>
          <w:szCs w:val="20"/>
        </w:rPr>
        <w:t>：</w:t>
      </w:r>
      <w:r w:rsidRPr="00BC31E0">
        <w:rPr>
          <w:rFonts w:hint="eastAsia"/>
          <w:szCs w:val="20"/>
        </w:rPr>
        <w:t xml:space="preserve"> </w:t>
      </w:r>
      <w:r w:rsidRPr="00BC31E0">
        <w:rPr>
          <w:rFonts w:hint="eastAsia"/>
          <w:szCs w:val="20"/>
        </w:rPr>
        <w:t>ノズルネックの厚さ</w:t>
      </w:r>
      <w:r w:rsidRPr="00BC31E0">
        <w:rPr>
          <w:rFonts w:asciiTheme="minorHAnsi" w:hAnsiTheme="minorHAnsi"/>
          <w:szCs w:val="20"/>
        </w:rPr>
        <w:t>(mm)</w:t>
      </w:r>
    </w:p>
    <w:p w14:paraId="3EA1FDB4" w14:textId="77777777" w:rsidR="00485A11" w:rsidRPr="00BC31E0" w:rsidRDefault="00485A11" w:rsidP="00037821">
      <w:pPr>
        <w:tabs>
          <w:tab w:val="left" w:pos="2730"/>
        </w:tabs>
        <w:autoSpaceDE w:val="0"/>
        <w:autoSpaceDN w:val="0"/>
        <w:jc w:val="left"/>
        <w:rPr>
          <w:szCs w:val="20"/>
        </w:rPr>
      </w:pPr>
      <w:r w:rsidRPr="00BC31E0">
        <w:rPr>
          <w:rFonts w:hint="eastAsia"/>
          <w:szCs w:val="20"/>
        </w:rPr>
        <w:t xml:space="preserve">　　　　　　</w:t>
      </w:r>
      <w:r w:rsidRPr="00BC31E0">
        <w:rPr>
          <w:rFonts w:hint="eastAsia"/>
          <w:szCs w:val="20"/>
        </w:rPr>
        <w:t xml:space="preserve">           </w:t>
      </w:r>
      <m:oMath>
        <m:sSub>
          <m:sSubPr>
            <m:ctrlPr>
              <w:rPr>
                <w:rFonts w:ascii="Cambria Math" w:hAnsi="Cambria Math"/>
                <w:i/>
                <w:szCs w:val="20"/>
              </w:rPr>
            </m:ctrlPr>
          </m:sSubPr>
          <m:e>
            <m:r>
              <w:rPr>
                <w:rFonts w:ascii="Cambria Math" w:hAnsi="Cambria Math"/>
                <w:szCs w:val="20"/>
              </w:rPr>
              <m:t>r</m:t>
            </m:r>
          </m:e>
          <m:sub>
            <m:r>
              <w:rPr>
                <w:rFonts w:ascii="Cambria Math" w:hAnsi="Cambria Math"/>
                <w:szCs w:val="20"/>
              </w:rPr>
              <m:t>1</m:t>
            </m:r>
          </m:sub>
        </m:sSub>
      </m:oMath>
      <w:r w:rsidRPr="00BC31E0">
        <w:rPr>
          <w:rFonts w:hint="eastAsia"/>
          <w:szCs w:val="20"/>
        </w:rPr>
        <w:tab/>
      </w:r>
      <w:r w:rsidRPr="00BC31E0">
        <w:rPr>
          <w:rFonts w:hint="eastAsia"/>
          <w:szCs w:val="20"/>
        </w:rPr>
        <w:t>：</w:t>
      </w:r>
      <w:r w:rsidRPr="00BC31E0">
        <w:rPr>
          <w:rFonts w:hint="eastAsia"/>
          <w:szCs w:val="20"/>
        </w:rPr>
        <w:t xml:space="preserve"> </w:t>
      </w: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S</m:t>
            </m:r>
          </m:sub>
        </m:sSub>
        <m:r>
          <w:rPr>
            <w:rFonts w:ascii="Cambria Math" w:hAnsi="Cambria Math"/>
            <w:szCs w:val="20"/>
          </w:rPr>
          <m:t>/4</m:t>
        </m:r>
      </m:oMath>
      <w:r w:rsidRPr="00BC31E0">
        <w:rPr>
          <w:rFonts w:hint="eastAsia"/>
          <w:szCs w:val="20"/>
        </w:rPr>
        <w:t xml:space="preserve"> (</w:t>
      </w:r>
      <w:r w:rsidRPr="00BC31E0">
        <w:rPr>
          <w:rFonts w:hint="eastAsia"/>
          <w:szCs w:val="20"/>
        </w:rPr>
        <w:t>最大</w:t>
      </w:r>
      <w:r w:rsidRPr="00BC31E0">
        <w:rPr>
          <w:rFonts w:hint="eastAsia"/>
          <w:szCs w:val="20"/>
        </w:rPr>
        <w:t xml:space="preserve"> </w:t>
      </w:r>
      <w:r w:rsidRPr="00BC31E0">
        <w:rPr>
          <w:rFonts w:asciiTheme="minorHAnsi" w:hAnsiTheme="minorHAnsi"/>
          <w:szCs w:val="20"/>
        </w:rPr>
        <w:t>19 mm</w:t>
      </w:r>
      <w:r w:rsidRPr="00BC31E0">
        <w:rPr>
          <w:rFonts w:hint="eastAsia"/>
          <w:szCs w:val="20"/>
        </w:rPr>
        <w:t>)</w:t>
      </w:r>
    </w:p>
    <w:p w14:paraId="678ECA77" w14:textId="77777777" w:rsidR="00485A11" w:rsidRPr="00BC31E0" w:rsidRDefault="00485A11" w:rsidP="00037821">
      <w:pPr>
        <w:tabs>
          <w:tab w:val="left" w:pos="2730"/>
        </w:tabs>
        <w:autoSpaceDE w:val="0"/>
        <w:autoSpaceDN w:val="0"/>
        <w:jc w:val="left"/>
        <w:rPr>
          <w:szCs w:val="20"/>
        </w:rPr>
      </w:pPr>
      <w:r w:rsidRPr="00BC31E0">
        <w:rPr>
          <w:rFonts w:hint="eastAsia"/>
          <w:szCs w:val="20"/>
        </w:rPr>
        <w:t xml:space="preserve">　　　　　　</w:t>
      </w:r>
      <w:r w:rsidRPr="00BC31E0">
        <w:rPr>
          <w:rFonts w:hint="eastAsia"/>
          <w:szCs w:val="20"/>
        </w:rPr>
        <w:t xml:space="preserve">           </w:t>
      </w:r>
      <m:oMath>
        <m:sSub>
          <m:sSubPr>
            <m:ctrlPr>
              <w:rPr>
                <w:rFonts w:ascii="Cambria Math" w:hAnsi="Cambria Math"/>
                <w:i/>
                <w:szCs w:val="20"/>
              </w:rPr>
            </m:ctrlPr>
          </m:sSubPr>
          <m:e>
            <m:r>
              <w:rPr>
                <w:rFonts w:ascii="Cambria Math" w:hAnsi="Cambria Math"/>
                <w:szCs w:val="20"/>
              </w:rPr>
              <m:t>r</m:t>
            </m:r>
          </m:e>
          <m:sub>
            <m:r>
              <w:rPr>
                <w:rFonts w:ascii="Cambria Math" w:hAnsi="Cambria Math"/>
                <w:szCs w:val="20"/>
              </w:rPr>
              <m:t>2</m:t>
            </m:r>
          </m:sub>
        </m:sSub>
      </m:oMath>
      <w:r w:rsidRPr="00BC31E0">
        <w:rPr>
          <w:rFonts w:hint="eastAsia"/>
          <w:szCs w:val="20"/>
        </w:rPr>
        <w:tab/>
      </w:r>
      <w:r w:rsidRPr="00BC31E0">
        <w:rPr>
          <w:rFonts w:hint="eastAsia"/>
          <w:szCs w:val="20"/>
        </w:rPr>
        <w:t>：</w:t>
      </w:r>
      <w:r w:rsidRPr="00BC31E0">
        <w:rPr>
          <w:rFonts w:hint="eastAsia"/>
          <w:szCs w:val="20"/>
        </w:rPr>
        <w:t xml:space="preserve"> </w:t>
      </w:r>
      <w:r w:rsidRPr="00BC31E0">
        <w:rPr>
          <w:rFonts w:asciiTheme="minorHAnsi" w:hAnsiTheme="minorHAnsi"/>
          <w:szCs w:val="20"/>
        </w:rPr>
        <w:t>6 mm</w:t>
      </w:r>
      <w:r w:rsidRPr="00BC31E0">
        <w:rPr>
          <w:rFonts w:ascii="Cambria Math" w:hAnsi="Cambria Math"/>
          <w:szCs w:val="20"/>
        </w:rPr>
        <w:t xml:space="preserve"> </w:t>
      </w:r>
      <w:r w:rsidRPr="00BC31E0">
        <w:rPr>
          <w:rFonts w:hint="eastAsia"/>
          <w:szCs w:val="20"/>
        </w:rPr>
        <w:t>以上</w:t>
      </w:r>
    </w:p>
    <w:p w14:paraId="6BFA1C88" w14:textId="77777777" w:rsidR="00485A11" w:rsidRPr="00BC31E0" w:rsidRDefault="00485A11" w:rsidP="00037821">
      <w:pPr>
        <w:tabs>
          <w:tab w:val="left" w:pos="2730"/>
        </w:tabs>
        <w:autoSpaceDE w:val="0"/>
        <w:autoSpaceDN w:val="0"/>
        <w:jc w:val="left"/>
        <w:rPr>
          <w:szCs w:val="20"/>
        </w:rPr>
      </w:pPr>
      <w:r w:rsidRPr="00BC31E0">
        <w:rPr>
          <w:rFonts w:hint="eastAsia"/>
          <w:szCs w:val="20"/>
        </w:rPr>
        <w:t xml:space="preserve">　　　　　　</w:t>
      </w:r>
      <w:r w:rsidRPr="00BC31E0">
        <w:rPr>
          <w:rFonts w:hint="eastAsia"/>
          <w:szCs w:val="20"/>
        </w:rPr>
        <w:t xml:space="preserve">           </w:t>
      </w:r>
      <m:oMath>
        <m:sSub>
          <m:sSubPr>
            <m:ctrlPr>
              <w:rPr>
                <w:rFonts w:ascii="Cambria Math" w:hAnsi="Cambria Math"/>
                <w:i/>
                <w:szCs w:val="20"/>
              </w:rPr>
            </m:ctrlPr>
          </m:sSubPr>
          <m:e>
            <m:r>
              <w:rPr>
                <w:rFonts w:ascii="Cambria Math" w:hAnsi="Cambria Math"/>
                <w:szCs w:val="20"/>
              </w:rPr>
              <m:t>r</m:t>
            </m:r>
          </m:e>
          <m:sub>
            <m:r>
              <w:rPr>
                <w:rFonts w:ascii="Cambria Math" w:hAnsi="Cambria Math"/>
                <w:szCs w:val="20"/>
              </w:rPr>
              <m:t>3</m:t>
            </m:r>
          </m:sub>
        </m:sSub>
      </m:oMath>
      <w:r w:rsidRPr="00BC31E0">
        <w:rPr>
          <w:rFonts w:hint="eastAsia"/>
          <w:szCs w:val="20"/>
        </w:rPr>
        <w:tab/>
      </w:r>
      <w:r w:rsidRPr="00BC31E0">
        <w:rPr>
          <w:rFonts w:hint="eastAsia"/>
          <w:szCs w:val="20"/>
        </w:rPr>
        <w:t>：</w:t>
      </w:r>
      <w:r w:rsidRPr="00BC31E0">
        <w:rPr>
          <w:rFonts w:hint="eastAsia"/>
          <w:szCs w:val="20"/>
        </w:rPr>
        <w:t xml:space="preserve"> </w:t>
      </w:r>
      <m:oMath>
        <m:sSub>
          <m:sSubPr>
            <m:ctrlPr>
              <w:rPr>
                <w:rFonts w:ascii="Cambria Math" w:hAnsi="Cambria Math"/>
                <w:i/>
                <w:szCs w:val="20"/>
              </w:rPr>
            </m:ctrlPr>
          </m:sSubPr>
          <m:e>
            <m:r>
              <w:rPr>
                <w:rFonts w:ascii="Cambria Math" w:hAnsi="Cambria Math"/>
                <w:szCs w:val="20"/>
              </w:rPr>
              <m:t>r</m:t>
            </m:r>
          </m:e>
          <m:sub>
            <m:r>
              <w:rPr>
                <w:rFonts w:ascii="Cambria Math" w:hAnsi="Cambria Math"/>
                <w:szCs w:val="20"/>
              </w:rPr>
              <m:t xml:space="preserve">1 </m:t>
            </m:r>
          </m:sub>
        </m:sSub>
      </m:oMath>
      <w:r w:rsidRPr="00BC31E0">
        <w:rPr>
          <w:rFonts w:hint="eastAsia"/>
          <w:szCs w:val="20"/>
        </w:rPr>
        <w:t>と同じ</w:t>
      </w:r>
    </w:p>
    <w:p w14:paraId="75257D6C" w14:textId="77777777" w:rsidR="00494DE4" w:rsidRPr="00BC31E0" w:rsidRDefault="00494DE4" w:rsidP="00037821">
      <w:pPr>
        <w:tabs>
          <w:tab w:val="left" w:pos="2730"/>
        </w:tabs>
        <w:autoSpaceDE w:val="0"/>
        <w:autoSpaceDN w:val="0"/>
        <w:jc w:val="left"/>
        <w:rPr>
          <w:szCs w:val="20"/>
        </w:rPr>
      </w:pPr>
    </w:p>
    <w:p w14:paraId="3A49875B" w14:textId="77777777" w:rsidR="00485A11" w:rsidRPr="00BC31E0" w:rsidRDefault="00485A11" w:rsidP="00037821">
      <w:pPr>
        <w:pStyle w:val="af4"/>
      </w:pPr>
      <w:r w:rsidRPr="00BC31E0">
        <w:rPr>
          <w:rFonts w:hint="eastAsia"/>
        </w:rPr>
        <w:t>図6.8.</w:t>
      </w:r>
      <w:r w:rsidRPr="00BC31E0">
        <w:t>7</w:t>
      </w:r>
      <w:r w:rsidRPr="00BC31E0">
        <w:rPr>
          <w:rFonts w:hint="eastAsia"/>
        </w:rPr>
        <w:t xml:space="preserve">　ノズルの形状及び取付け</w:t>
      </w:r>
    </w:p>
    <w:p w14:paraId="31DA6FEC" w14:textId="77777777" w:rsidR="00485A11" w:rsidRPr="00BC31E0" w:rsidRDefault="00485A11" w:rsidP="00037821">
      <w:pPr>
        <w:autoSpaceDE w:val="0"/>
        <w:autoSpaceDN w:val="0"/>
        <w:jc w:val="left"/>
        <w:rPr>
          <w:szCs w:val="20"/>
        </w:rPr>
      </w:pPr>
    </w:p>
    <w:p w14:paraId="24047D9D" w14:textId="77777777" w:rsidR="00FE4FE8" w:rsidRPr="00BC31E0" w:rsidRDefault="00FE4FE8">
      <w:pPr>
        <w:widowControl/>
        <w:jc w:val="left"/>
        <w:rPr>
          <w:szCs w:val="20"/>
        </w:rPr>
      </w:pPr>
      <w:r w:rsidRPr="00BC31E0">
        <w:rPr>
          <w:szCs w:val="20"/>
        </w:rPr>
        <w:br w:type="page"/>
      </w:r>
    </w:p>
    <w:p w14:paraId="5B53B172" w14:textId="77777777" w:rsidR="00485A11" w:rsidRPr="00BC31E0" w:rsidRDefault="00A51873" w:rsidP="00666DD9">
      <w:pPr>
        <w:autoSpaceDE w:val="0"/>
        <w:autoSpaceDN w:val="0"/>
        <w:jc w:val="center"/>
        <w:rPr>
          <w:szCs w:val="20"/>
        </w:rPr>
      </w:pPr>
      <w:r>
        <w:rPr>
          <w:noProof/>
          <w:szCs w:val="20"/>
        </w:rPr>
      </w:r>
      <w:r>
        <w:rPr>
          <w:noProof/>
          <w:szCs w:val="20"/>
        </w:rPr>
        <w:pict w14:anchorId="0EC9A128">
          <v:group id="Group 10576" o:spid="_x0000_s1199" style="width:385.85pt;height:182.95pt;mso-position-horizontal-relative:char;mso-position-vertical-relative:line" coordorigin="2337,1935" coordsize="7717,3659">
            <v:shape id="図 1" o:spid="_x0000_s1200" type="#_x0000_t75" style="position:absolute;left:2337;top:2024;width:7275;height:35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">
              <v:imagedata r:id="rId87" o:title=""/>
            </v:shape>
            <v:rect id="Rectangle 10578" o:spid="_x0000_s1201" style="position:absolute;left:9165;top:2946;width:627;height: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" strokecolor="white">
              <v:textbox inset="5.85pt,.7pt,5.85pt,.7pt"/>
            </v:rect>
            <v:rect id="Rectangle 10579" o:spid="_x0000_s1202" style="position:absolute;left:2337;top:1935;width:1373;height:4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" strokecolor="white">
              <v:textbox inset="5.85pt,.7pt,5.85pt,.7pt"/>
            </v:rect>
            <v:rect id="Rectangle 10580" o:spid="_x0000_s1203" style="position:absolute;left:4488;top:2024;width:2014;height:13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" strokecolor="white">
              <v:textbox inset="5.85pt,.7pt,5.85pt,.7pt"/>
            </v:rect>
            <v:rect id="Rectangle 10581" o:spid="_x0000_s1204" style="position:absolute;left:4836;top:3702;width:1508;height:5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" strokecolor="white">
              <v:textbox inset="5.85pt,.7pt,5.85pt,.7pt"/>
            </v:rect>
            <v:rect id="Rectangle 10582" o:spid="_x0000_s1205" style="position:absolute;left:4393;top:5018;width:1773;height:4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" strokecolor="white">
              <v:textbox inset="5.85pt,.7pt,5.85pt,.7pt"/>
            </v:rect>
            <v:rect id="Rectangle 10583" o:spid="_x0000_s1206" style="position:absolute;left:7310;top:2024;width:1542;height:2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" strokecolor="white">
              <v:textbox inset="5.85pt,.7pt,5.85pt,.7pt"/>
            </v:rect>
            <v:rect id="Rectangle 10584" o:spid="_x0000_s1207" style="position:absolute;left:9059;top:2244;width:685;height:5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" strokecolor="white">
              <v:textbox inset="5.85pt,.7pt,5.85pt,.7pt"/>
            </v:rect>
            <v:rect id="Rectangle 10585" o:spid="_x0000_s1208" style="position:absolute;left:7253;top:2174;width:1447;height:2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" strokecolor="white">
              <v:textbox inset="5.85pt,.7pt,5.85pt,.7pt"/>
            </v:rect>
            <v:rect id="Rectangle 10586" o:spid="_x0000_s1209" style="position:absolute;left:8988;top:5141;width:703;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" strokecolor="white">
              <v:textbox inset="5.85pt,.7pt,5.85pt,.7pt"/>
            </v:rect>
            <v:rect id="Rectangle 10587" o:spid="_x0000_s1210" style="position:absolute;left:6211;top:4496;width:1042;height: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" strokecolor="white">
              <v:textbox inset="5.85pt,.7pt,5.85pt,.7pt"/>
            </v:rect>
            <v:shape id="AutoShape 10588" o:spid="_x0000_s1211" type="#_x0000_t32" style="position:absolute;left:4753;top:3832;width:318;height:61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"/>
            <v:rect id="Rectangle 10589" o:spid="_x0000_s1212" style="position:absolute;left:5036;top:3287;width:883;height:2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" strokecolor="white">
              <v:textbox inset="5.85pt,.7pt,5.85pt,.7pt"/>
            </v:rect>
            <v:shape id="AutoShape 10590" o:spid="_x0000_s1213" type="#_x0000_t32" style="position:absolute;left:4529;top:2641;width:337;height:73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"/>
            <v:shape id="AutoShape 10591" o:spid="_x0000_s1214" type="#_x0000_t32" style="position:absolute;left:9332;top:2982;width:55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"/>
            <v:shape id="Text Box 10592" o:spid="_x0000_s1215" type="#_x0000_t202" style="position:absolute;left:4358;top:4950;width:1066;height:4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" filled="f" stroked="f">
              <v:textbox inset="5.85pt,.7pt,5.85pt,.7pt">
                <w:txbxContent>
                  <w:p w14:paraId="76586CA7" w14:textId="77777777" w:rsidR="003B0864" w:rsidRPr="0012690B" w:rsidRDefault="003B0864" w:rsidP="00485A11">
                    <w:pPr>
                      <w:spacing w:line="180" w:lineRule="exact"/>
                      <w:rPr>
                        <w:rFonts w:ascii="ＭＳ ゴシック" w:eastAsia="ＭＳ ゴシック" w:hAnsi="ＭＳ ゴシック"/>
                        <w:sz w:val="12"/>
                        <w:szCs w:val="12"/>
                      </w:rPr>
                    </w:pPr>
                    <w:r w:rsidRPr="0012690B">
                      <w:rPr>
                        <w:rFonts w:ascii="ＭＳ ゴシック" w:eastAsia="ＭＳ ゴシック" w:hAnsi="ＭＳ ゴシック" w:hint="eastAsia"/>
                        <w:sz w:val="12"/>
                        <w:szCs w:val="12"/>
                      </w:rPr>
                      <w:t>支持用当て板</w:t>
                    </w:r>
                  </w:p>
                  <w:p w14:paraId="394D41F9" w14:textId="77777777" w:rsidR="003B0864" w:rsidRPr="0012690B" w:rsidRDefault="003B0864" w:rsidP="00485A11">
                    <w:pPr>
                      <w:spacing w:line="180" w:lineRule="exact"/>
                      <w:rPr>
                        <w:rFonts w:ascii="ＭＳ ゴシック" w:eastAsia="ＭＳ ゴシック" w:hAnsi="ＭＳ ゴシック"/>
                        <w:sz w:val="12"/>
                        <w:szCs w:val="12"/>
                      </w:rPr>
                    </w:pPr>
                    <w:r w:rsidRPr="0012690B">
                      <w:rPr>
                        <w:rFonts w:ascii="ＭＳ ゴシック" w:eastAsia="ＭＳ ゴシック" w:hAnsi="ＭＳ ゴシック" w:hint="eastAsia"/>
                        <w:sz w:val="12"/>
                        <w:szCs w:val="12"/>
                      </w:rPr>
                      <w:t>（必要な場合）</w:t>
                    </w:r>
                  </w:p>
                </w:txbxContent>
              </v:textbox>
            </v:shape>
            <v:shape id="AutoShape 10593" o:spid="_x0000_s1216" type="#_x0000_t32" style="position:absolute;left:4393;top:5140;width:875;height: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"/>
            <v:shape id="AutoShape 10594" o:spid="_x0000_s1217" type="#_x0000_t32" style="position:absolute;left:4393;top:5322;width:87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"/>
            <v:shape id="Text Box 10595" o:spid="_x0000_s1218" type="#_x0000_t202" style="position:absolute;left:2562;top:2053;width:1148;height:4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" filled="f" stroked="f">
              <v:textbox inset="5.85pt,.7pt,5.85pt,.7pt">
                <w:txbxContent>
                  <w:p w14:paraId="71F39A25" w14:textId="77777777" w:rsidR="003B0864" w:rsidRPr="0012690B" w:rsidRDefault="003B0864" w:rsidP="00485A11">
                    <w:pPr>
                      <w:spacing w:line="180" w:lineRule="exact"/>
                      <w:rPr>
                        <w:rFonts w:ascii="ＭＳ ゴシック" w:eastAsia="ＭＳ ゴシック" w:hAnsi="ＭＳ ゴシック"/>
                        <w:sz w:val="12"/>
                        <w:szCs w:val="12"/>
                      </w:rPr>
                    </w:pPr>
                    <w:r w:rsidRPr="0012690B">
                      <w:rPr>
                        <w:rFonts w:ascii="ＭＳ ゴシック" w:eastAsia="ＭＳ ゴシック" w:hAnsi="ＭＳ ゴシック" w:hint="eastAsia"/>
                        <w:sz w:val="12"/>
                        <w:szCs w:val="12"/>
                      </w:rPr>
                      <w:t>ラグ又はリング</w:t>
                    </w:r>
                  </w:p>
                  <w:p w14:paraId="296D696A" w14:textId="77777777" w:rsidR="003B0864" w:rsidRPr="0012690B" w:rsidRDefault="003B0864" w:rsidP="00485A11">
                    <w:pPr>
                      <w:spacing w:line="180" w:lineRule="exact"/>
                      <w:rPr>
                        <w:rFonts w:ascii="ＭＳ ゴシック" w:eastAsia="ＭＳ ゴシック" w:hAnsi="ＭＳ ゴシック"/>
                        <w:sz w:val="12"/>
                        <w:szCs w:val="12"/>
                      </w:rPr>
                    </w:pPr>
                    <w:r w:rsidRPr="0012690B">
                      <w:rPr>
                        <w:rFonts w:ascii="ＭＳ ゴシック" w:eastAsia="ＭＳ ゴシック" w:hAnsi="ＭＳ ゴシック" w:hint="eastAsia"/>
                        <w:sz w:val="12"/>
                        <w:szCs w:val="12"/>
                      </w:rPr>
                      <w:t>（必要な場合）</w:t>
                    </w:r>
                  </w:p>
                </w:txbxContent>
              </v:textbox>
            </v:shape>
            <v:shape id="AutoShape 10596" o:spid="_x0000_s1219" type="#_x0000_t32" style="position:absolute;left:2640;top:2243;width:1070;height: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"/>
            <v:shape id="AutoShape 10597" o:spid="_x0000_s1220" type="#_x0000_t32" style="position:absolute;left:2640;top:2425;width:832;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"/>
            <v:shape id="Text Box 10598" o:spid="_x0000_s1221" type="#_x0000_t202" style="position:absolute;left:5036;top:3642;width:1066;height:4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" filled="f" stroked="f">
              <v:textbox inset="5.85pt,.7pt,5.85pt,.7pt">
                <w:txbxContent>
                  <w:p w14:paraId="5B6935D1" w14:textId="77777777" w:rsidR="003B0864" w:rsidRPr="0012690B" w:rsidRDefault="003B0864" w:rsidP="00485A11">
                    <w:pPr>
                      <w:spacing w:line="180" w:lineRule="exact"/>
                      <w:rPr>
                        <w:rFonts w:ascii="ＭＳ ゴシック" w:eastAsia="ＭＳ ゴシック" w:hAnsi="ＭＳ ゴシック"/>
                        <w:sz w:val="12"/>
                        <w:szCs w:val="12"/>
                      </w:rPr>
                    </w:pPr>
                    <w:r w:rsidRPr="0012690B">
                      <w:rPr>
                        <w:rFonts w:ascii="ＭＳ ゴシック" w:eastAsia="ＭＳ ゴシック" w:hAnsi="ＭＳ ゴシック" w:hint="eastAsia"/>
                        <w:sz w:val="12"/>
                        <w:szCs w:val="12"/>
                      </w:rPr>
                      <w:t>支持用ラグ</w:t>
                    </w:r>
                  </w:p>
                  <w:p w14:paraId="6E426AF7" w14:textId="77777777" w:rsidR="003B0864" w:rsidRPr="0012690B" w:rsidRDefault="003B0864" w:rsidP="00485A11">
                    <w:pPr>
                      <w:spacing w:line="180" w:lineRule="exact"/>
                      <w:rPr>
                        <w:rFonts w:ascii="ＭＳ ゴシック" w:eastAsia="ＭＳ ゴシック" w:hAnsi="ＭＳ ゴシック"/>
                        <w:sz w:val="12"/>
                        <w:szCs w:val="12"/>
                      </w:rPr>
                    </w:pPr>
                    <w:r w:rsidRPr="0012690B">
                      <w:rPr>
                        <w:rFonts w:ascii="ＭＳ ゴシック" w:eastAsia="ＭＳ ゴシック" w:hAnsi="ＭＳ ゴシック" w:hint="eastAsia"/>
                        <w:sz w:val="12"/>
                        <w:szCs w:val="12"/>
                      </w:rPr>
                      <w:t>又はリング</w:t>
                    </w:r>
                  </w:p>
                </w:txbxContent>
              </v:textbox>
            </v:shape>
            <v:shape id="AutoShape 10599" o:spid="_x0000_s1222" type="#_x0000_t32" style="position:absolute;left:5071;top:3832;width:875;height: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"/>
            <v:shape id="AutoShape 10600" o:spid="_x0000_s1223" type="#_x0000_t32" style="position:absolute;left:5071;top:4014;width:87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"/>
            <v:shape id="Text Box 10601" o:spid="_x0000_s1224" type="#_x0000_t202" style="position:absolute;left:8988;top:5080;width:1066;height:4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" filled="f" stroked="f">
              <v:textbox inset="5.85pt,.7pt,5.85pt,.7pt">
                <w:txbxContent>
                  <w:p w14:paraId="15EAB98B" w14:textId="77777777" w:rsidR="003B0864" w:rsidRPr="0012690B" w:rsidRDefault="003B0864" w:rsidP="00485A11">
                    <w:pPr>
                      <w:spacing w:line="180" w:lineRule="exact"/>
                      <w:rPr>
                        <w:rFonts w:ascii="ＭＳ ゴシック" w:eastAsia="ＭＳ ゴシック" w:hAnsi="ＭＳ ゴシック"/>
                        <w:sz w:val="12"/>
                        <w:szCs w:val="12"/>
                      </w:rPr>
                    </w:pPr>
                    <w:r w:rsidRPr="0012690B">
                      <w:rPr>
                        <w:rFonts w:ascii="ＭＳ ゴシック" w:eastAsia="ＭＳ ゴシック" w:hAnsi="ＭＳ ゴシック" w:hint="eastAsia"/>
                        <w:sz w:val="12"/>
                        <w:szCs w:val="12"/>
                      </w:rPr>
                      <w:t>支持用ラグ</w:t>
                    </w:r>
                  </w:p>
                  <w:p w14:paraId="68DCB64D" w14:textId="77777777" w:rsidR="003B0864" w:rsidRPr="0012690B" w:rsidRDefault="003B0864" w:rsidP="00485A11">
                    <w:pPr>
                      <w:spacing w:line="180" w:lineRule="exact"/>
                      <w:rPr>
                        <w:rFonts w:ascii="ＭＳ ゴシック" w:eastAsia="ＭＳ ゴシック" w:hAnsi="ＭＳ ゴシック"/>
                        <w:sz w:val="12"/>
                        <w:szCs w:val="12"/>
                      </w:rPr>
                    </w:pPr>
                    <w:r w:rsidRPr="0012690B">
                      <w:rPr>
                        <w:rFonts w:ascii="ＭＳ ゴシック" w:eastAsia="ＭＳ ゴシック" w:hAnsi="ＭＳ ゴシック" w:hint="eastAsia"/>
                        <w:sz w:val="12"/>
                        <w:szCs w:val="12"/>
                      </w:rPr>
                      <w:t>又はリング</w:t>
                    </w:r>
                  </w:p>
                </w:txbxContent>
              </v:textbox>
            </v:shape>
            <v:shape id="AutoShape 10602" o:spid="_x0000_s1225" type="#_x0000_t32" style="position:absolute;left:9023;top:5270;width:875;height: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"/>
            <v:shape id="AutoShape 10603" o:spid="_x0000_s1226" type="#_x0000_t32" style="position:absolute;left:9023;top:5452;width:87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"/>
            <v:shape id="AutoShape 10604" o:spid="_x0000_s1227" type="#_x0000_t32" style="position:absolute;left:8763;top:5018;width:260;height:25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"/>
            <v:shape id="Text Box 10605" o:spid="_x0000_s1228" type="#_x0000_t202" style="position:absolute;left:8852;top:2191;width:1148;height:4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" filled="f" stroked="f">
              <v:textbox inset="5.85pt,.7pt,5.85pt,.7pt">
                <w:txbxContent>
                  <w:p w14:paraId="26F4F11C" w14:textId="77777777" w:rsidR="003B0864" w:rsidRPr="0012690B" w:rsidRDefault="003B0864" w:rsidP="00485A11">
                    <w:pPr>
                      <w:spacing w:line="180" w:lineRule="exact"/>
                      <w:rPr>
                        <w:rFonts w:ascii="ＭＳ ゴシック" w:eastAsia="ＭＳ ゴシック" w:hAnsi="ＭＳ ゴシック"/>
                        <w:sz w:val="12"/>
                        <w:szCs w:val="12"/>
                      </w:rPr>
                    </w:pPr>
                    <w:r w:rsidRPr="0012690B">
                      <w:rPr>
                        <w:rFonts w:ascii="ＭＳ ゴシック" w:eastAsia="ＭＳ ゴシック" w:hAnsi="ＭＳ ゴシック" w:hint="eastAsia"/>
                        <w:sz w:val="12"/>
                        <w:szCs w:val="12"/>
                      </w:rPr>
                      <w:t>ラグ又はリング</w:t>
                    </w:r>
                  </w:p>
                  <w:p w14:paraId="1DD2926B" w14:textId="77777777" w:rsidR="003B0864" w:rsidRPr="0012690B" w:rsidRDefault="003B0864" w:rsidP="00485A11">
                    <w:pPr>
                      <w:spacing w:line="180" w:lineRule="exact"/>
                      <w:rPr>
                        <w:rFonts w:ascii="ＭＳ ゴシック" w:eastAsia="ＭＳ ゴシック" w:hAnsi="ＭＳ ゴシック"/>
                        <w:sz w:val="12"/>
                        <w:szCs w:val="12"/>
                      </w:rPr>
                    </w:pPr>
                    <w:r w:rsidRPr="0012690B">
                      <w:rPr>
                        <w:rFonts w:ascii="ＭＳ ゴシック" w:eastAsia="ＭＳ ゴシック" w:hAnsi="ＭＳ ゴシック" w:hint="eastAsia"/>
                        <w:sz w:val="12"/>
                        <w:szCs w:val="12"/>
                      </w:rPr>
                      <w:t>（必要な場合）</w:t>
                    </w:r>
                  </w:p>
                </w:txbxContent>
              </v:textbox>
            </v:shape>
            <v:shape id="AutoShape 10606" o:spid="_x0000_s1229" type="#_x0000_t32" style="position:absolute;left:8930;top:2381;width:1070;height: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"/>
            <v:shape id="AutoShape 10607" o:spid="_x0000_s1230" type="#_x0000_t32" style="position:absolute;left:8930;top:2563;width:832;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"/>
            <v:shape id="Text Box 10608" o:spid="_x0000_s1231" type="#_x0000_t202" style="position:absolute;left:7634;top:2114;width:1066;height:4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" filled="f" stroked="f">
              <v:textbox inset="5.85pt,.7pt,5.85pt,.7pt">
                <w:txbxContent>
                  <w:p w14:paraId="0B2E80DB" w14:textId="77777777" w:rsidR="003B0864" w:rsidRPr="0012690B" w:rsidRDefault="003B0864" w:rsidP="00485A11">
                    <w:pPr>
                      <w:spacing w:line="180" w:lineRule="exact"/>
                      <w:rPr>
                        <w:rFonts w:ascii="ＭＳ ゴシック" w:eastAsia="ＭＳ ゴシック" w:hAnsi="ＭＳ ゴシック"/>
                        <w:sz w:val="12"/>
                        <w:szCs w:val="12"/>
                      </w:rPr>
                    </w:pPr>
                    <w:r w:rsidRPr="0012690B">
                      <w:rPr>
                        <w:rFonts w:ascii="ＭＳ ゴシック" w:eastAsia="ＭＳ ゴシック" w:hAnsi="ＭＳ ゴシック" w:hint="eastAsia"/>
                        <w:sz w:val="12"/>
                        <w:szCs w:val="12"/>
                      </w:rPr>
                      <w:t>支持用当て板</w:t>
                    </w:r>
                  </w:p>
                  <w:p w14:paraId="1211FED2" w14:textId="77777777" w:rsidR="003B0864" w:rsidRPr="0012690B" w:rsidRDefault="003B0864" w:rsidP="00485A11">
                    <w:pPr>
                      <w:spacing w:line="180" w:lineRule="exact"/>
                      <w:rPr>
                        <w:rFonts w:ascii="ＭＳ ゴシック" w:eastAsia="ＭＳ ゴシック" w:hAnsi="ＭＳ ゴシック"/>
                        <w:sz w:val="12"/>
                        <w:szCs w:val="12"/>
                      </w:rPr>
                    </w:pPr>
                    <w:r w:rsidRPr="0012690B">
                      <w:rPr>
                        <w:rFonts w:ascii="ＭＳ ゴシック" w:eastAsia="ＭＳ ゴシック" w:hAnsi="ＭＳ ゴシック" w:hint="eastAsia"/>
                        <w:sz w:val="12"/>
                        <w:szCs w:val="12"/>
                      </w:rPr>
                      <w:t>（必要な場合）</w:t>
                    </w:r>
                  </w:p>
                </w:txbxContent>
              </v:textbox>
            </v:shape>
            <v:shape id="AutoShape 10609" o:spid="_x0000_s1232" type="#_x0000_t32" style="position:absolute;left:7746;top:2304;width:954;height: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"/>
            <v:shape id="AutoShape 10610" o:spid="_x0000_s1233" type="#_x0000_t32" style="position:absolute;left:7746;top:2486;width:798;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"/>
            <v:shape id="AutoShape 10611" o:spid="_x0000_s1234" type="#_x0000_t32" style="position:absolute;left:8604;top:2304;width:96;height:16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"/>
            <v:shape id="Text Box 10612" o:spid="_x0000_s1235" type="#_x0000_t202" style="position:absolute;left:6344;top:4444;width:814;height:2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" filled="f" stroked="f">
              <v:textbox inset="5.85pt,.7pt,5.85pt,.7pt">
                <w:txbxContent>
                  <w:p w14:paraId="0194D105" w14:textId="77777777" w:rsidR="003B0864" w:rsidRPr="0012690B" w:rsidRDefault="003B0864" w:rsidP="00485A11">
                    <w:pPr>
                      <w:spacing w:line="180" w:lineRule="exact"/>
                      <w:rPr>
                        <w:rFonts w:ascii="ＭＳ ゴシック" w:eastAsia="ＭＳ ゴシック" w:hAnsi="ＭＳ ゴシック"/>
                        <w:sz w:val="12"/>
                        <w:szCs w:val="12"/>
                      </w:rPr>
                    </w:pPr>
                    <w:r w:rsidRPr="0012690B">
                      <w:rPr>
                        <w:rFonts w:ascii="ＭＳ ゴシック" w:eastAsia="ＭＳ ゴシック" w:hAnsi="ＭＳ ゴシック" w:hint="eastAsia"/>
                        <w:sz w:val="12"/>
                        <w:szCs w:val="12"/>
                      </w:rPr>
                      <w:t>半球鏡板</w:t>
                    </w:r>
                  </w:p>
                </w:txbxContent>
              </v:textbox>
            </v:shape>
            <v:shape id="AutoShape 10613" o:spid="_x0000_s1236" type="#_x0000_t32" style="position:absolute;left:6379;top:4634;width:875;height: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"/>
            <v:shape id="AutoShape 10614" o:spid="_x0000_s1237" type="#_x0000_t32" style="position:absolute;left:9537;top:2982;width:0;height:46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"/>
            <v:shape id="AutoShape 10615" o:spid="_x0000_s1238" type="#_x0000_t32" style="position:absolute;left:9537;top:2982;width:149;height:14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"/>
            <v:shape id="AutoShape 10616" o:spid="_x0000_s1239" type="#_x0000_t32" style="position:absolute;left:9537;top:3287;width:149;height:15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"/>
            <v:shape id="AutoShape 10617" o:spid="_x0000_s1240" type="#_x0000_t32" style="position:absolute;left:9537;top:3287;width:149;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"/>
            <v:shape id="AutoShape 10618" o:spid="_x0000_s1241" type="#_x0000_t32" style="position:absolute;left:9165;top:2982;width:167;height:39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"/>
            <v:shape id="AutoShape 10619" o:spid="_x0000_s1242" type="#_x0000_t32" style="position:absolute;left:4866;top:2640;width:55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"/>
            <v:shape id="AutoShape 10620" o:spid="_x0000_s1243" type="#_x0000_t32" style="position:absolute;left:5071;top:2640;width:0;height:46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"/>
            <v:shape id="AutoShape 10621" o:spid="_x0000_s1244" type="#_x0000_t32" style="position:absolute;left:5071;top:2640;width:149;height:14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"/>
            <v:shape id="AutoShape 10622" o:spid="_x0000_s1245" type="#_x0000_t32" style="position:absolute;left:5071;top:2945;width:149;height:15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"/>
            <v:shape id="AutoShape 10623" o:spid="_x0000_s1246" type="#_x0000_t32" style="position:absolute;left:5071;top:2945;width:149;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"/>
            <w10:anchorlock/>
          </v:group>
        </w:pict>
      </w:r>
    </w:p>
    <w:p w14:paraId="34CB5235" w14:textId="77777777" w:rsidR="00485A11" w:rsidRPr="00BC31E0" w:rsidRDefault="00485A11" w:rsidP="00666DD9">
      <w:pPr>
        <w:autoSpaceDE w:val="0"/>
        <w:autoSpaceDN w:val="0"/>
        <w:ind w:firstLineChars="1300" w:firstLine="2730"/>
        <w:jc w:val="left"/>
        <w:rPr>
          <w:szCs w:val="20"/>
        </w:rPr>
      </w:pPr>
      <w:r w:rsidRPr="00BC31E0">
        <w:rPr>
          <w:rFonts w:hint="eastAsia"/>
          <w:szCs w:val="20"/>
        </w:rPr>
        <w:t>(a)                                      (b)</w:t>
      </w:r>
    </w:p>
    <w:p w14:paraId="771D9564" w14:textId="77777777" w:rsidR="00485A11" w:rsidRPr="00BC31E0" w:rsidRDefault="00485A11" w:rsidP="00666DD9">
      <w:pPr>
        <w:autoSpaceDE w:val="0"/>
        <w:autoSpaceDN w:val="0"/>
        <w:jc w:val="left"/>
        <w:rPr>
          <w:szCs w:val="20"/>
        </w:rPr>
      </w:pPr>
    </w:p>
    <w:p w14:paraId="44F90AE0" w14:textId="77777777" w:rsidR="00485A11" w:rsidRPr="00BC31E0" w:rsidRDefault="00A51873" w:rsidP="00666DD9">
      <w:pPr>
        <w:autoSpaceDE w:val="0"/>
        <w:autoSpaceDN w:val="0"/>
        <w:jc w:val="center"/>
        <w:rPr>
          <w:szCs w:val="20"/>
        </w:rPr>
      </w:pPr>
      <w:r>
        <w:rPr>
          <w:noProof/>
          <w:szCs w:val="20"/>
        </w:rPr>
      </w:r>
      <w:r>
        <w:rPr>
          <w:noProof/>
          <w:szCs w:val="20"/>
        </w:rPr>
        <w:pict w14:anchorId="4FD1C17E">
          <v:group id="Group 10710" o:spid="_x0000_s3408" style="width:401.4pt;height:141.55pt;mso-position-horizontal-relative:char;mso-position-vertical-relative:line" coordorigin="2202,6385" coordsize="8028,2831">
            <v:oval id="Oval 10711" o:spid="_x0000_s3421" style="position:absolute;left:3886;top:8283;width:398;height:176;rotation:2878401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" strokecolor="white">
              <v:textbox inset="5.85pt,.7pt,5.85pt,.7pt"/>
            </v:oval>
            <v:shape id="図 1" o:spid="_x0000_s3420" type="#_x0000_t75" style="position:absolute;left:2202;top:6385;width:7852;height:28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">
              <v:imagedata r:id="rId88" o:title=""/>
            </v:shape>
            <v:rect id="Rectangle 10713" o:spid="_x0000_s3419" style="position:absolute;left:9379;top:7702;width:851;height:11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" strokecolor="white">
              <v:textbox inset="5.85pt,.7pt,5.85pt,.7pt"/>
            </v:rect>
            <v:shape id="AutoShape 10714" o:spid="_x0000_s3418" type="#_x0000_t32" style="position:absolute;left:9417;top:7552;width:0;height:15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" strokecolor="white" strokeweight="2.5pt"/>
            <v:rect id="Rectangle 10715" o:spid="_x0000_s3417" style="position:absolute;left:5946;top:7745;width:2158;height:11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" strokecolor="white">
              <v:textbox inset="5.85pt,.7pt,5.85pt,.7pt"/>
            </v:rect>
            <v:shape id="AutoShape 10716" o:spid="_x0000_s3416" type="#_x0000_t32" style="position:absolute;left:5223;top:7592;width:988;height:41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">
              <v:stroke endarrow="block" endarrowwidth="narrow" endarrowlength="long"/>
            </v:shape>
            <v:shape id="AutoShape 10717" o:spid="_x0000_s3415" type="#_x0000_t32" style="position:absolute;left:5919;top:7745;width:292;height:26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"/>
            <v:shape id="AutoShape 10718" o:spid="_x0000_s3414" type="#_x0000_t32" style="position:absolute;left:6211;top:8006;width:55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"/>
            <v:shape id="AutoShape 10719" o:spid="_x0000_s3413" type="#_x0000_t32" style="position:absolute;left:6442;top:8017;width:0;height:46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"/>
            <v:shape id="AutoShape 10720" o:spid="_x0000_s3412" type="#_x0000_t32" style="position:absolute;left:6442;top:8006;width:149;height:14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"/>
            <v:shape id="AutoShape 10721" o:spid="_x0000_s3411" type="#_x0000_t32" style="position:absolute;left:6442;top:8322;width:149;height:15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"/>
            <v:shape id="AutoShape 10722" o:spid="_x0000_s3410" type="#_x0000_t32" style="position:absolute;left:6442;top:8322;width:149;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"/>
            <v:rect id="Rectangle 10723" o:spid="_x0000_s3409" style="position:absolute;left:6403;top:8758;width:1701;height:1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" strokecolor="white">
              <v:textbox inset="5.85pt,.7pt,5.85pt,.7pt"/>
            </v:rect>
            <w10:anchorlock/>
          </v:group>
        </w:pict>
      </w:r>
    </w:p>
    <w:p w14:paraId="2122FC6F" w14:textId="77777777" w:rsidR="00485A11" w:rsidRPr="00BC31E0" w:rsidRDefault="00485A11" w:rsidP="00666DD9">
      <w:pPr>
        <w:autoSpaceDE w:val="0"/>
        <w:autoSpaceDN w:val="0"/>
        <w:ind w:firstLineChars="2200" w:firstLine="4620"/>
        <w:jc w:val="left"/>
        <w:rPr>
          <w:szCs w:val="20"/>
        </w:rPr>
      </w:pPr>
      <w:r w:rsidRPr="00BC31E0">
        <w:rPr>
          <w:rFonts w:hint="eastAsia"/>
          <w:szCs w:val="20"/>
        </w:rPr>
        <w:t>(c)</w:t>
      </w:r>
    </w:p>
    <w:p w14:paraId="563AE59F" w14:textId="77777777" w:rsidR="00485A11" w:rsidRPr="00BC31E0" w:rsidRDefault="00485A11" w:rsidP="00666DD9">
      <w:pPr>
        <w:autoSpaceDE w:val="0"/>
        <w:autoSpaceDN w:val="0"/>
        <w:jc w:val="left"/>
        <w:rPr>
          <w:szCs w:val="20"/>
        </w:rPr>
      </w:pPr>
    </w:p>
    <w:p w14:paraId="2C87E08D" w14:textId="77777777" w:rsidR="00485A11" w:rsidRPr="00BC31E0" w:rsidRDefault="00485A11" w:rsidP="00666DD9">
      <w:pPr>
        <w:pStyle w:val="af4"/>
      </w:pPr>
      <w:r w:rsidRPr="00BC31E0">
        <w:t>図6.8.8　支持構造</w:t>
      </w:r>
    </w:p>
    <w:p w14:paraId="73BE4840" w14:textId="77777777" w:rsidR="00485A11" w:rsidRPr="00BC31E0" w:rsidRDefault="00485A11" w:rsidP="00666DD9">
      <w:pPr>
        <w:widowControl/>
        <w:jc w:val="left"/>
      </w:pPr>
    </w:p>
    <w:p w14:paraId="65E6C6F1" w14:textId="77777777" w:rsidR="00FE4FE8" w:rsidRPr="00BC31E0" w:rsidRDefault="00FE4FE8">
      <w:pPr>
        <w:widowControl/>
        <w:jc w:val="left"/>
      </w:pPr>
      <w:r w:rsidRPr="00BC31E0">
        <w:br w:type="page"/>
      </w:r>
    </w:p>
    <w:p w14:paraId="616B09F4" w14:textId="77777777" w:rsidR="00896972" w:rsidRPr="00BC31E0" w:rsidRDefault="00896972" w:rsidP="00BC31E0">
      <w:pPr>
        <w:pStyle w:val="af4"/>
        <w:spacing w:beforeLines="50" w:before="180" w:line="360" w:lineRule="exact"/>
        <w:sectPr w:rsidR="00896972" w:rsidRPr="00BC31E0" w:rsidSect="00037821">
          <w:pgSz w:w="11906" w:h="16838" w:code="9"/>
          <w:pgMar w:top="1701" w:right="1418" w:bottom="1418" w:left="1418" w:header="720" w:footer="720" w:gutter="0"/>
          <w:cols w:space="720"/>
          <w:noEndnote/>
          <w:docGrid w:type="linesAndChars" w:linePitch="360"/>
        </w:sectPr>
      </w:pPr>
    </w:p>
    <w:p w14:paraId="6269BFE3" w14:textId="77777777" w:rsidR="00C531D5" w:rsidRPr="00BC31E0" w:rsidRDefault="00C531D5" w:rsidP="001150C3">
      <w:pPr>
        <w:pStyle w:val="20"/>
        <w:tabs>
          <w:tab w:val="clear" w:pos="284"/>
        </w:tabs>
        <w:ind w:left="567" w:hanging="567"/>
      </w:pPr>
      <w:bookmarkStart w:id="54" w:name="_Toc357672096"/>
      <w:bookmarkStart w:id="55" w:name="_Toc120092529"/>
      <w:r w:rsidRPr="00BC31E0">
        <w:rPr>
          <w:rFonts w:hint="eastAsia"/>
        </w:rPr>
        <w:lastRenderedPageBreak/>
        <w:t>線巻き容器と線巻きフレームの追加規定</w:t>
      </w:r>
      <w:bookmarkEnd w:id="54"/>
      <w:bookmarkEnd w:id="55"/>
    </w:p>
    <w:p w14:paraId="0DF35709" w14:textId="77777777" w:rsidR="00C531D5" w:rsidRPr="00BC31E0" w:rsidRDefault="00C531D5" w:rsidP="001150C3">
      <w:pPr>
        <w:pStyle w:val="3"/>
        <w:tabs>
          <w:tab w:val="clear" w:pos="284"/>
        </w:tabs>
        <w:ind w:left="794" w:hanging="794"/>
      </w:pPr>
      <w:r w:rsidRPr="00BC31E0">
        <w:rPr>
          <w:rFonts w:hint="eastAsia"/>
        </w:rPr>
        <w:t>適用範囲</w:t>
      </w:r>
    </w:p>
    <w:p w14:paraId="4B5EB981" w14:textId="77777777" w:rsidR="00C531D5" w:rsidRPr="00BC31E0" w:rsidRDefault="00C531D5" w:rsidP="00381846">
      <w:pPr>
        <w:pStyle w:val="1110"/>
        <w:ind w:firstLine="210"/>
      </w:pPr>
      <w:bookmarkStart w:id="56" w:name="_Hlk73699638"/>
      <w:r w:rsidRPr="00BC31E0">
        <w:rPr>
          <w:rFonts w:hint="eastAsia"/>
        </w:rPr>
        <w:t>この項は，内筒の外面を</w:t>
      </w:r>
      <w:r w:rsidRPr="00BC31E0">
        <w:rPr>
          <w:rFonts w:asciiTheme="minorHAnsi" w:hAnsiTheme="minorHAnsi"/>
        </w:rPr>
        <w:t>10</w:t>
      </w:r>
      <w:r w:rsidRPr="00BC31E0">
        <w:rPr>
          <w:rFonts w:hint="eastAsia"/>
        </w:rPr>
        <w:t>層以上の長方形断面の平ワイヤを巻き上げることによって製作される線巻き容器を対象とする。軸方向のエンドフォースは内筒及び線巻き部にはかからない。</w:t>
      </w:r>
      <w:r w:rsidRPr="00BC31E0">
        <w:rPr>
          <w:rFonts w:ascii="ＭＳ ゴシック" w:eastAsia="ＭＳ ゴシック" w:hAnsi="ＭＳ ゴシック" w:hint="eastAsia"/>
          <w:b/>
          <w:bCs/>
        </w:rPr>
        <w:t>6.9</w:t>
      </w:r>
      <w:r w:rsidRPr="00BC31E0">
        <w:rPr>
          <w:rFonts w:hint="eastAsia"/>
        </w:rPr>
        <w:t>の要求はふた板からの荷重を受け持つ線巻きフレームにも適用される。この項の特別要求は，</w:t>
      </w:r>
      <w:r w:rsidRPr="00BC31E0">
        <w:rPr>
          <w:rFonts w:ascii="ＭＳ ゴシック" w:eastAsia="ＭＳ ゴシック" w:hAnsi="ＭＳ ゴシック" w:hint="eastAsia"/>
          <w:b/>
          <w:bCs/>
        </w:rPr>
        <w:t>6.2</w:t>
      </w:r>
      <w:r w:rsidRPr="00BC31E0">
        <w:rPr>
          <w:rFonts w:hint="eastAsia"/>
          <w:bCs/>
        </w:rPr>
        <w:t>，</w:t>
      </w:r>
      <w:r w:rsidRPr="00BC31E0">
        <w:rPr>
          <w:rFonts w:ascii="ＭＳ ゴシック" w:eastAsia="ＭＳ ゴシック" w:hAnsi="ＭＳ ゴシック" w:hint="eastAsia"/>
          <w:b/>
          <w:bCs/>
        </w:rPr>
        <w:t>6.3</w:t>
      </w:r>
      <w:r w:rsidRPr="00BC31E0">
        <w:rPr>
          <w:rFonts w:hint="eastAsia"/>
          <w:bCs/>
        </w:rPr>
        <w:t>，</w:t>
      </w:r>
      <w:r w:rsidRPr="00BC31E0">
        <w:rPr>
          <w:rFonts w:ascii="ＭＳ ゴシック" w:eastAsia="ＭＳ ゴシック" w:hAnsi="ＭＳ ゴシック" w:hint="eastAsia"/>
          <w:b/>
          <w:bCs/>
        </w:rPr>
        <w:t>6.4</w:t>
      </w:r>
      <w:r w:rsidRPr="00BC31E0">
        <w:rPr>
          <w:rFonts w:hint="eastAsia"/>
        </w:rPr>
        <w:t>に与えられた一般要求の追加要求である。</w:t>
      </w:r>
    </w:p>
    <w:bookmarkEnd w:id="56"/>
    <w:p w14:paraId="0BFF5D69" w14:textId="77777777" w:rsidR="00C531D5" w:rsidRPr="00BC31E0" w:rsidRDefault="00C531D5" w:rsidP="001150C3">
      <w:pPr>
        <w:pStyle w:val="3"/>
        <w:tabs>
          <w:tab w:val="clear" w:pos="284"/>
        </w:tabs>
        <w:ind w:left="794" w:hanging="794"/>
      </w:pPr>
      <w:r w:rsidRPr="00BC31E0">
        <w:rPr>
          <w:rFonts w:hint="eastAsia"/>
        </w:rPr>
        <w:t>応力計算</w:t>
      </w:r>
    </w:p>
    <w:p w14:paraId="5EAF4CED" w14:textId="77777777" w:rsidR="00C531D5" w:rsidRPr="00BC31E0" w:rsidRDefault="00C531D5" w:rsidP="00381846">
      <w:pPr>
        <w:pStyle w:val="1110"/>
        <w:ind w:firstLine="210"/>
      </w:pPr>
      <w:bookmarkStart w:id="57" w:name="_Hlk73700556"/>
      <w:r w:rsidRPr="00BC31E0">
        <w:rPr>
          <w:rFonts w:hint="eastAsia"/>
        </w:rPr>
        <w:t>応力計算は，次の</w:t>
      </w:r>
      <w:r w:rsidRPr="00BC31E0">
        <w:rPr>
          <w:rFonts w:ascii="ＭＳ ゴシック" w:eastAsia="ＭＳ ゴシック" w:hint="eastAsia"/>
          <w:b/>
        </w:rPr>
        <w:t>a)</w:t>
      </w:r>
      <w:r w:rsidR="001150C3" w:rsidRPr="00BC31E0">
        <w:rPr>
          <w:rFonts w:asciiTheme="minorEastAsia" w:eastAsiaTheme="minorEastAsia" w:hAnsiTheme="minorEastAsia" w:hint="eastAsia"/>
        </w:rPr>
        <w:t>～</w:t>
      </w:r>
      <w:r w:rsidR="001150C3" w:rsidRPr="00BC31E0">
        <w:rPr>
          <w:rFonts w:ascii="ＭＳ ゴシック" w:eastAsia="ＭＳ ゴシック" w:hint="eastAsia"/>
          <w:b/>
        </w:rPr>
        <w:t>c</w:t>
      </w:r>
      <w:r w:rsidRPr="00BC31E0">
        <w:rPr>
          <w:rFonts w:ascii="ＭＳ ゴシック" w:eastAsia="ＭＳ ゴシック" w:hint="eastAsia"/>
          <w:b/>
        </w:rPr>
        <w:t>)</w:t>
      </w:r>
      <w:r w:rsidRPr="00BC31E0">
        <w:rPr>
          <w:rFonts w:hint="eastAsia"/>
        </w:rPr>
        <w:t>による。</w:t>
      </w:r>
    </w:p>
    <w:p w14:paraId="0626FA64" w14:textId="77777777" w:rsidR="00C531D5" w:rsidRPr="00BC31E0" w:rsidRDefault="00C531D5" w:rsidP="00736130">
      <w:pPr>
        <w:pStyle w:val="a4"/>
        <w:numPr>
          <w:ilvl w:val="0"/>
          <w:numId w:val="142"/>
        </w:numPr>
        <w:ind w:leftChars="0" w:left="454" w:hanging="454"/>
      </w:pPr>
      <w:r w:rsidRPr="00BC31E0">
        <w:rPr>
          <w:rFonts w:hint="eastAsia"/>
        </w:rPr>
        <w:t>線巻き円筒の線巻きによる変形及び残留応力の計算は，各線巻き層で使われるワイヤ予張力を規定した線巻き手順書に基づかなければならない</w:t>
      </w:r>
      <w:r w:rsidR="006E01CC" w:rsidRPr="00BC31E0">
        <w:rPr>
          <w:rFonts w:hint="eastAsia"/>
        </w:rPr>
        <w:t>(</w:t>
      </w:r>
      <w:r w:rsidRPr="00BC31E0">
        <w:rPr>
          <w:rFonts w:ascii="ＭＳ ゴシック" w:eastAsia="ＭＳ ゴシック" w:hAnsi="Arial" w:hint="eastAsia"/>
          <w:b/>
        </w:rPr>
        <w:t>7.9</w:t>
      </w:r>
      <w:r w:rsidRPr="00BC31E0">
        <w:rPr>
          <w:rFonts w:hint="eastAsia"/>
        </w:rPr>
        <w:t>参照</w:t>
      </w:r>
      <w:r w:rsidR="006E01CC" w:rsidRPr="00BC31E0">
        <w:rPr>
          <w:rFonts w:hint="eastAsia"/>
        </w:rPr>
        <w:t>)</w:t>
      </w:r>
      <w:r w:rsidR="006E01CC" w:rsidRPr="00BC31E0">
        <w:rPr>
          <w:rFonts w:hint="eastAsia"/>
        </w:rPr>
        <w:t>。</w:t>
      </w:r>
      <w:r w:rsidRPr="00BC31E0">
        <w:rPr>
          <w:rFonts w:hint="eastAsia"/>
        </w:rPr>
        <w:t>この計算の詳細は</w:t>
      </w:r>
      <w:r w:rsidRPr="00BC31E0">
        <w:rPr>
          <w:rFonts w:asciiTheme="majorEastAsia" w:eastAsiaTheme="majorEastAsia" w:hAnsiTheme="majorEastAsia" w:hint="eastAsia"/>
          <w:b/>
          <w:bCs/>
        </w:rPr>
        <w:t>6.9.3</w:t>
      </w:r>
      <w:r w:rsidRPr="00BC31E0">
        <w:rPr>
          <w:rFonts w:hint="eastAsia"/>
        </w:rPr>
        <w:t>による。</w:t>
      </w:r>
    </w:p>
    <w:p w14:paraId="20607D16" w14:textId="77777777" w:rsidR="00C531D5" w:rsidRPr="00BC31E0" w:rsidRDefault="00C531D5" w:rsidP="00736130">
      <w:pPr>
        <w:pStyle w:val="a4"/>
        <w:numPr>
          <w:ilvl w:val="0"/>
          <w:numId w:val="142"/>
        </w:numPr>
        <w:ind w:leftChars="0" w:left="454" w:hanging="454"/>
      </w:pPr>
      <w:r w:rsidRPr="00BC31E0">
        <w:rPr>
          <w:rFonts w:hint="eastAsia"/>
        </w:rPr>
        <w:t>内圧による応力は，</w:t>
      </w:r>
      <w:r w:rsidRPr="00BC31E0">
        <w:rPr>
          <w:rFonts w:asciiTheme="majorEastAsia" w:eastAsiaTheme="majorEastAsia" w:hAnsiTheme="majorEastAsia" w:hint="eastAsia"/>
          <w:b/>
          <w:bCs/>
        </w:rPr>
        <w:t>6.1</w:t>
      </w:r>
      <w:r w:rsidRPr="00BC31E0">
        <w:rPr>
          <w:rFonts w:hint="eastAsia"/>
          <w:bCs/>
        </w:rPr>
        <w:t>，</w:t>
      </w:r>
      <w:r w:rsidRPr="00BC31E0">
        <w:rPr>
          <w:rFonts w:asciiTheme="majorEastAsia" w:eastAsiaTheme="majorEastAsia" w:hAnsiTheme="majorEastAsia" w:hint="eastAsia"/>
          <w:b/>
          <w:bCs/>
        </w:rPr>
        <w:t>6.2</w:t>
      </w:r>
      <w:r w:rsidRPr="00BC31E0">
        <w:rPr>
          <w:rFonts w:hint="eastAsia"/>
          <w:bCs/>
        </w:rPr>
        <w:t>，</w:t>
      </w:r>
      <w:r w:rsidRPr="00BC31E0">
        <w:rPr>
          <w:rFonts w:asciiTheme="majorEastAsia" w:eastAsiaTheme="majorEastAsia" w:hAnsiTheme="majorEastAsia" w:hint="eastAsia"/>
          <w:b/>
          <w:bCs/>
        </w:rPr>
        <w:t>附属書J</w:t>
      </w:r>
      <w:r w:rsidRPr="00BC31E0">
        <w:rPr>
          <w:rFonts w:hint="eastAsia"/>
        </w:rPr>
        <w:t>による。</w:t>
      </w:r>
    </w:p>
    <w:p w14:paraId="30AB75A8" w14:textId="77777777" w:rsidR="00C531D5" w:rsidRPr="00BC31E0" w:rsidRDefault="00C531D5" w:rsidP="00736130">
      <w:pPr>
        <w:pStyle w:val="a4"/>
        <w:numPr>
          <w:ilvl w:val="0"/>
          <w:numId w:val="142"/>
        </w:numPr>
        <w:ind w:leftChars="0" w:left="454" w:hanging="454"/>
      </w:pPr>
      <w:r w:rsidRPr="00BC31E0">
        <w:rPr>
          <w:rFonts w:hint="eastAsia"/>
        </w:rPr>
        <w:t>線巻きフレームの対応する線巻き手順と応力計算は，フレームの参照寸法の減少と残留応力を与えなければならない。</w:t>
      </w:r>
    </w:p>
    <w:bookmarkEnd w:id="57"/>
    <w:p w14:paraId="3CCD7E81" w14:textId="77777777" w:rsidR="00C531D5" w:rsidRPr="00BC31E0" w:rsidRDefault="00C531D5" w:rsidP="003075F2">
      <w:pPr>
        <w:pStyle w:val="3"/>
        <w:tabs>
          <w:tab w:val="clear" w:pos="284"/>
        </w:tabs>
        <w:ind w:left="794" w:hanging="794"/>
      </w:pPr>
      <w:r w:rsidRPr="00BC31E0">
        <w:rPr>
          <w:rFonts w:hint="eastAsia"/>
        </w:rPr>
        <w:t>線巻き円筒の残留応力と変位</w:t>
      </w:r>
    </w:p>
    <w:p w14:paraId="327AF7DA" w14:textId="77777777" w:rsidR="00C531D5" w:rsidRPr="00BC31E0" w:rsidRDefault="00C531D5" w:rsidP="00381846">
      <w:pPr>
        <w:pStyle w:val="1110"/>
        <w:ind w:firstLine="211"/>
      </w:pPr>
      <w:r w:rsidRPr="00BC31E0">
        <w:rPr>
          <w:rFonts w:ascii="ＭＳ ゴシック" w:eastAsia="ＭＳ ゴシック" w:hAnsi="ＭＳ ゴシック" w:hint="eastAsia"/>
          <w:b/>
          <w:bCs/>
        </w:rPr>
        <w:t>式(6.9.1)</w:t>
      </w:r>
      <w:r w:rsidRPr="00BC31E0">
        <w:rPr>
          <w:rFonts w:hint="eastAsia"/>
        </w:rPr>
        <w:t>～</w:t>
      </w:r>
      <w:r w:rsidRPr="00BC31E0">
        <w:rPr>
          <w:rFonts w:ascii="ＭＳ ゴシック" w:eastAsia="ＭＳ ゴシック" w:hAnsi="ＭＳ ゴシック" w:hint="eastAsia"/>
          <w:b/>
          <w:bCs/>
        </w:rPr>
        <w:t>式(6.9.5)</w:t>
      </w:r>
      <w:r w:rsidRPr="00BC31E0">
        <w:rPr>
          <w:rFonts w:hint="eastAsia"/>
        </w:rPr>
        <w:t>は</w:t>
      </w:r>
      <w:r w:rsidR="00CC7971" w:rsidRPr="00BC31E0">
        <w:rPr>
          <w:rFonts w:hint="eastAsia"/>
        </w:rPr>
        <w:t>，</w:t>
      </w:r>
      <w:r w:rsidRPr="00BC31E0">
        <w:rPr>
          <w:rFonts w:hint="eastAsia"/>
        </w:rPr>
        <w:t>ワイヤが矩形断面で端から端まで巻き付けられた場合に適用</w:t>
      </w:r>
      <w:r w:rsidR="00CC7971" w:rsidRPr="00BC31E0">
        <w:rPr>
          <w:rFonts w:hint="eastAsia"/>
        </w:rPr>
        <w:t>す</w:t>
      </w:r>
      <w:r w:rsidRPr="00BC31E0">
        <w:rPr>
          <w:rFonts w:hint="eastAsia"/>
        </w:rPr>
        <w:t>る。他の断面形状の場合には妥当な補正係数を適用しなければならない。また</w:t>
      </w:r>
      <w:r w:rsidR="009577E6" w:rsidRPr="00BC31E0">
        <w:rPr>
          <w:rFonts w:hint="eastAsia"/>
        </w:rPr>
        <w:t>，次の</w:t>
      </w:r>
      <w:r w:rsidR="009577E6" w:rsidRPr="00BC31E0">
        <w:rPr>
          <w:rFonts w:asciiTheme="majorEastAsia" w:eastAsiaTheme="majorEastAsia" w:hAnsiTheme="majorEastAsia" w:hint="eastAsia"/>
          <w:b/>
        </w:rPr>
        <w:t>a)</w:t>
      </w:r>
      <w:r w:rsidR="009577E6" w:rsidRPr="00BC31E0">
        <w:rPr>
          <w:rFonts w:hint="eastAsia"/>
        </w:rPr>
        <w:t>～</w:t>
      </w:r>
      <w:r w:rsidR="009577E6" w:rsidRPr="00BC31E0">
        <w:rPr>
          <w:rFonts w:asciiTheme="majorEastAsia" w:eastAsiaTheme="majorEastAsia" w:hAnsiTheme="majorEastAsia" w:hint="eastAsia"/>
          <w:b/>
        </w:rPr>
        <w:t>c)</w:t>
      </w:r>
      <w:r w:rsidRPr="00BC31E0">
        <w:rPr>
          <w:rFonts w:hint="eastAsia"/>
        </w:rPr>
        <w:t>の条件を満足する必要がある。</w:t>
      </w:r>
    </w:p>
    <w:p w14:paraId="328329A2" w14:textId="77777777" w:rsidR="00C531D5" w:rsidRPr="00BC31E0" w:rsidRDefault="00C531D5" w:rsidP="00736130">
      <w:pPr>
        <w:pStyle w:val="a4"/>
        <w:numPr>
          <w:ilvl w:val="0"/>
          <w:numId w:val="152"/>
        </w:numPr>
        <w:ind w:leftChars="0" w:left="454" w:hanging="454"/>
      </w:pPr>
      <w:r w:rsidRPr="00BC31E0">
        <w:rPr>
          <w:rFonts w:hint="eastAsia"/>
        </w:rPr>
        <w:t>ワイヤのねじれ角度が，</w:t>
      </w:r>
      <w:r w:rsidRPr="00BC31E0">
        <w:rPr>
          <w:rFonts w:hint="eastAsia"/>
        </w:rPr>
        <w:t>1</w:t>
      </w:r>
      <w:r w:rsidRPr="00BC31E0">
        <w:rPr>
          <w:rFonts w:asciiTheme="minorHAnsi" w:hAnsiTheme="minorHAnsi"/>
        </w:rPr>
        <w:t>°</w:t>
      </w:r>
      <w:r w:rsidRPr="00BC31E0">
        <w:rPr>
          <w:rFonts w:hint="eastAsia"/>
        </w:rPr>
        <w:t>未満である</w:t>
      </w:r>
    </w:p>
    <w:p w14:paraId="6CE0F19B" w14:textId="77777777" w:rsidR="00C531D5" w:rsidRPr="00BC31E0" w:rsidRDefault="00C531D5" w:rsidP="00736130">
      <w:pPr>
        <w:pStyle w:val="a4"/>
        <w:numPr>
          <w:ilvl w:val="0"/>
          <w:numId w:val="152"/>
        </w:numPr>
        <w:ind w:leftChars="0" w:left="454" w:hanging="454"/>
      </w:pPr>
      <w:r w:rsidRPr="00BC31E0">
        <w:rPr>
          <w:rFonts w:hint="eastAsia"/>
        </w:rPr>
        <w:t>容器の長手方向の最大のワイヤ間の隙間が，ワイヤ幅の</w:t>
      </w:r>
      <w:r w:rsidRPr="00BC31E0">
        <w:rPr>
          <w:rFonts w:hint="eastAsia"/>
        </w:rPr>
        <w:t>5%</w:t>
      </w:r>
      <w:r w:rsidRPr="00BC31E0">
        <w:rPr>
          <w:rFonts w:hint="eastAsia"/>
        </w:rPr>
        <w:t>又は</w:t>
      </w:r>
      <w:r w:rsidRPr="00BC31E0">
        <w:rPr>
          <w:rFonts w:hint="eastAsia"/>
        </w:rPr>
        <w:t>0.25 mm</w:t>
      </w:r>
      <w:r w:rsidRPr="00BC31E0">
        <w:rPr>
          <w:rFonts w:hint="eastAsia"/>
        </w:rPr>
        <w:t>のいずれか小さい値未満である。</w:t>
      </w:r>
    </w:p>
    <w:p w14:paraId="0CA1CBA3" w14:textId="77777777" w:rsidR="00C531D5" w:rsidRPr="00BC31E0" w:rsidRDefault="00C531D5" w:rsidP="00736130">
      <w:pPr>
        <w:pStyle w:val="a4"/>
        <w:numPr>
          <w:ilvl w:val="0"/>
          <w:numId w:val="152"/>
        </w:numPr>
        <w:ind w:leftChars="0" w:left="454" w:hanging="454"/>
      </w:pPr>
      <w:r w:rsidRPr="00BC31E0">
        <w:rPr>
          <w:rFonts w:hint="eastAsia"/>
        </w:rPr>
        <w:t>内筒もワイヤも降伏しない。ただし，</w:t>
      </w:r>
      <w:r w:rsidR="0025452F" w:rsidRPr="00BC31E0">
        <w:rPr>
          <w:rFonts w:hint="eastAsia"/>
        </w:rPr>
        <w:t>次の</w:t>
      </w:r>
      <w:r w:rsidR="0025452F" w:rsidRPr="00BC31E0">
        <w:rPr>
          <w:rFonts w:asciiTheme="majorEastAsia" w:eastAsiaTheme="majorEastAsia" w:hAnsiTheme="majorEastAsia" w:hint="eastAsia"/>
          <w:b/>
        </w:rPr>
        <w:t>1)</w:t>
      </w:r>
      <w:r w:rsidR="0025452F" w:rsidRPr="00BC31E0">
        <w:rPr>
          <w:rFonts w:hint="eastAsia"/>
        </w:rPr>
        <w:t>～</w:t>
      </w:r>
      <w:r w:rsidR="0025452F" w:rsidRPr="00BC31E0">
        <w:rPr>
          <w:rFonts w:asciiTheme="majorEastAsia" w:eastAsiaTheme="majorEastAsia" w:hAnsiTheme="majorEastAsia" w:hint="eastAsia"/>
          <w:b/>
        </w:rPr>
        <w:t>5)</w:t>
      </w:r>
      <w:r w:rsidRPr="00BC31E0">
        <w:rPr>
          <w:rFonts w:hint="eastAsia"/>
        </w:rPr>
        <w:t>の要件が満たされる場合には，内筒の降伏が許容される。</w:t>
      </w:r>
    </w:p>
    <w:p w14:paraId="360DD74D" w14:textId="77777777" w:rsidR="007368C3" w:rsidRPr="00BC31E0" w:rsidRDefault="00C531D5" w:rsidP="00736130">
      <w:pPr>
        <w:pStyle w:val="a4"/>
        <w:numPr>
          <w:ilvl w:val="0"/>
          <w:numId w:val="310"/>
        </w:numPr>
        <w:ind w:leftChars="0" w:left="738" w:hanging="454"/>
      </w:pPr>
      <w:r w:rsidRPr="00BC31E0">
        <w:rPr>
          <w:rFonts w:hint="eastAsia"/>
        </w:rPr>
        <w:t>降伏は，線巻き工程の間の圧縮においてのみ許容される。</w:t>
      </w:r>
    </w:p>
    <w:p w14:paraId="4C096975" w14:textId="77777777" w:rsidR="007368C3" w:rsidRPr="00BC31E0" w:rsidRDefault="00C531D5" w:rsidP="00736130">
      <w:pPr>
        <w:pStyle w:val="a4"/>
        <w:numPr>
          <w:ilvl w:val="0"/>
          <w:numId w:val="310"/>
        </w:numPr>
        <w:ind w:leftChars="0" w:left="738" w:hanging="454"/>
      </w:pPr>
      <w:r w:rsidRPr="00BC31E0">
        <w:rPr>
          <w:rFonts w:ascii="ＭＳ 明朝" w:hint="eastAsia"/>
        </w:rPr>
        <w:t>大気圧から設計圧力までのいかなる圧力においても，対応する温度との組合せにおいて，降伏しない。また，大気圧から試験温度での試験圧力までのいかなる圧力の値でも降伏しない。</w:t>
      </w:r>
    </w:p>
    <w:p w14:paraId="201F8818" w14:textId="77777777" w:rsidR="007368C3" w:rsidRPr="00BC31E0" w:rsidRDefault="00C531D5" w:rsidP="00736130">
      <w:pPr>
        <w:pStyle w:val="a4"/>
        <w:numPr>
          <w:ilvl w:val="0"/>
          <w:numId w:val="310"/>
        </w:numPr>
        <w:ind w:leftChars="0" w:left="738" w:hanging="454"/>
      </w:pPr>
      <w:r w:rsidRPr="00BC31E0">
        <w:rPr>
          <w:rFonts w:ascii="ＭＳ 明朝" w:hint="eastAsia"/>
        </w:rPr>
        <w:t>内筒は，</w:t>
      </w:r>
      <w:r w:rsidRPr="00BC31E0">
        <w:rPr>
          <w:rFonts w:asciiTheme="majorEastAsia" w:eastAsiaTheme="majorEastAsia" w:hAnsiTheme="majorEastAsia" w:hint="eastAsia"/>
          <w:b/>
        </w:rPr>
        <w:t>6.2.3 b)</w:t>
      </w:r>
      <w:r w:rsidRPr="00BC31E0">
        <w:rPr>
          <w:rFonts w:ascii="ＭＳ 明朝" w:hint="eastAsia"/>
        </w:rPr>
        <w:t xml:space="preserve"> に示す局所損傷に対する評価を含み，</w:t>
      </w:r>
      <w:r w:rsidRPr="00BC31E0">
        <w:rPr>
          <w:rFonts w:asciiTheme="majorEastAsia" w:eastAsiaTheme="majorEastAsia" w:hAnsiTheme="majorEastAsia" w:hint="eastAsia"/>
          <w:b/>
        </w:rPr>
        <w:t>6.2.3</w:t>
      </w:r>
      <w:r w:rsidRPr="00BC31E0">
        <w:rPr>
          <w:rFonts w:ascii="ＭＳ 明朝" w:hint="eastAsia"/>
        </w:rPr>
        <w:t>に示す弾塑性解析の要求を満たす。</w:t>
      </w:r>
    </w:p>
    <w:p w14:paraId="74B4CB58" w14:textId="77777777" w:rsidR="007368C3" w:rsidRPr="00BC31E0" w:rsidRDefault="00C531D5" w:rsidP="00736130">
      <w:pPr>
        <w:pStyle w:val="a4"/>
        <w:numPr>
          <w:ilvl w:val="0"/>
          <w:numId w:val="310"/>
        </w:numPr>
        <w:ind w:leftChars="0" w:left="738" w:hanging="454"/>
      </w:pPr>
      <w:r w:rsidRPr="00BC31E0">
        <w:rPr>
          <w:rFonts w:ascii="ＭＳ 明朝" w:hint="eastAsia"/>
        </w:rPr>
        <w:t>ワイヤの応力は、</w:t>
      </w:r>
      <w:r w:rsidRPr="00BC31E0">
        <w:rPr>
          <w:rFonts w:asciiTheme="majorEastAsia" w:eastAsiaTheme="majorEastAsia" w:hAnsiTheme="majorEastAsia" w:hint="eastAsia"/>
          <w:b/>
        </w:rPr>
        <w:t>6.2.3</w:t>
      </w:r>
      <w:r w:rsidR="005E3A0A" w:rsidRPr="00BC31E0">
        <w:rPr>
          <w:rFonts w:ascii="ＭＳ 明朝" w:hint="eastAsia"/>
        </w:rPr>
        <w:t>又は</w:t>
      </w:r>
      <w:r w:rsidRPr="00BC31E0">
        <w:rPr>
          <w:rFonts w:asciiTheme="majorEastAsia" w:eastAsiaTheme="majorEastAsia" w:hAnsiTheme="majorEastAsia" w:hint="eastAsia"/>
          <w:b/>
        </w:rPr>
        <w:t>6.9.3</w:t>
      </w:r>
      <w:r w:rsidRPr="00BC31E0">
        <w:rPr>
          <w:rFonts w:ascii="ＭＳ 明朝" w:hint="eastAsia"/>
        </w:rPr>
        <w:t>により求める。</w:t>
      </w:r>
    </w:p>
    <w:p w14:paraId="56E9EBE0" w14:textId="77777777" w:rsidR="00C531D5" w:rsidRPr="00BC31E0" w:rsidRDefault="00C531D5" w:rsidP="00736130">
      <w:pPr>
        <w:pStyle w:val="a4"/>
        <w:numPr>
          <w:ilvl w:val="0"/>
          <w:numId w:val="310"/>
        </w:numPr>
        <w:ind w:leftChars="0" w:left="738" w:hanging="454"/>
      </w:pPr>
      <w:r w:rsidRPr="00BC31E0">
        <w:rPr>
          <w:rFonts w:ascii="ＭＳ 明朝" w:hint="eastAsia"/>
        </w:rPr>
        <w:t>内筒の変形は</w:t>
      </w:r>
      <w:r w:rsidRPr="00BC31E0">
        <w:rPr>
          <w:rFonts w:asciiTheme="majorEastAsia" w:eastAsiaTheme="majorEastAsia" w:hAnsiTheme="majorEastAsia" w:hint="eastAsia"/>
          <w:b/>
        </w:rPr>
        <w:t>6.</w:t>
      </w:r>
      <w:r w:rsidRPr="00BC31E0">
        <w:rPr>
          <w:rFonts w:asciiTheme="majorEastAsia" w:eastAsiaTheme="majorEastAsia" w:hAnsiTheme="majorEastAsia"/>
          <w:b/>
        </w:rPr>
        <w:t>9</w:t>
      </w:r>
      <w:r w:rsidRPr="00BC31E0">
        <w:rPr>
          <w:rFonts w:asciiTheme="majorEastAsia" w:eastAsiaTheme="majorEastAsia" w:hAnsiTheme="majorEastAsia" w:hint="eastAsia"/>
          <w:b/>
        </w:rPr>
        <w:t>.3</w:t>
      </w:r>
      <w:r w:rsidRPr="00BC31E0">
        <w:rPr>
          <w:rFonts w:ascii="ＭＳ 明朝" w:hint="eastAsia"/>
        </w:rPr>
        <w:t>により求める。</w:t>
      </w:r>
    </w:p>
    <w:p w14:paraId="670AC26B" w14:textId="77777777" w:rsidR="00C531D5" w:rsidRPr="00BC31E0" w:rsidRDefault="00C531D5" w:rsidP="003075F2">
      <w:pPr>
        <w:pStyle w:val="15"/>
        <w:spacing w:after="120"/>
        <w:ind w:firstLine="210"/>
      </w:pPr>
      <w:r w:rsidRPr="00BC31E0">
        <w:rPr>
          <w:rFonts w:hint="eastAsia"/>
        </w:rPr>
        <w:t>内筒の周方向応力</w:t>
      </w:r>
      <m:oMath>
        <m:r>
          <m:rPr>
            <m:sty m:val="p"/>
          </m:rPr>
          <w:rPr>
            <w:rFonts w:ascii="Cambria Math" w:hAnsi="Cambria Math"/>
          </w:rPr>
          <m:t xml:space="preserve"> </m:t>
        </m:r>
        <m:sSub>
          <m:sSubPr>
            <m:ctrlPr>
              <w:rPr>
                <w:rFonts w:ascii="Cambria Math" w:hAnsi="Cambria Math"/>
                <w:i/>
              </w:rPr>
            </m:ctrlPr>
          </m:sSubPr>
          <m:e>
            <m:r>
              <w:rPr>
                <w:rFonts w:ascii="Cambria Math" w:hAnsi="Cambria Math"/>
              </w:rPr>
              <m:t>σ</m:t>
            </m:r>
          </m:e>
          <m:sub>
            <m:r>
              <w:rPr>
                <w:rFonts w:ascii="Cambria Math" w:hAnsi="Cambria Math"/>
              </w:rPr>
              <m:t>t</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e>
        </m:d>
      </m:oMath>
      <w:r w:rsidRPr="00BC31E0">
        <w:rPr>
          <w:rFonts w:hint="eastAsia"/>
        </w:rPr>
        <w:t>，半径方向応力</w:t>
      </w:r>
      <m:oMath>
        <m:r>
          <m:rPr>
            <m:sty m:val="p"/>
          </m:rPr>
          <w:rPr>
            <w:rFonts w:ascii="Cambria Math" w:hAnsi="Cambria Math"/>
          </w:rPr>
          <m:t xml:space="preserve"> </m:t>
        </m:r>
        <m:sSub>
          <m:sSubPr>
            <m:ctrlPr>
              <w:rPr>
                <w:rFonts w:ascii="Cambria Math" w:hAnsi="Cambria Math"/>
                <w:i/>
              </w:rPr>
            </m:ctrlPr>
          </m:sSubPr>
          <m:e>
            <m:r>
              <w:rPr>
                <w:rFonts w:ascii="Cambria Math" w:hAnsi="Cambria Math"/>
              </w:rPr>
              <m:t>σ</m:t>
            </m:r>
          </m:e>
          <m:sub>
            <m:r>
              <w:rPr>
                <w:rFonts w:ascii="Cambria Math" w:hAnsi="Cambria Math"/>
              </w:rPr>
              <m:t>r</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e>
        </m:d>
        <m:r>
          <w:rPr>
            <w:rFonts w:ascii="Cambria Math" w:hAnsi="Cambria Math"/>
          </w:rPr>
          <m:t xml:space="preserve"> </m:t>
        </m:r>
      </m:oMath>
      <w:r w:rsidRPr="00BC31E0">
        <w:rPr>
          <w:rFonts w:hint="eastAsia"/>
        </w:rPr>
        <w:t>及び半径方向変位</w:t>
      </w:r>
      <m:oMath>
        <m:r>
          <w:rPr>
            <w:rFonts w:ascii="Cambria Math" w:hAnsi="Cambria Math"/>
          </w:rPr>
          <m:t xml:space="preserve"> δ </m:t>
        </m:r>
      </m:oMath>
      <w:r w:rsidRPr="00BC31E0">
        <w:rPr>
          <w:rFonts w:hint="eastAsia"/>
        </w:rPr>
        <w:t>は，次式で計算する。</w:t>
      </w:r>
    </w:p>
    <w:tbl>
      <w:tblPr>
        <w:tblStyle w:val="afff2"/>
        <w:tblW w:w="7371"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5"/>
        <w:gridCol w:w="1133"/>
        <w:gridCol w:w="2893"/>
      </w:tblGrid>
      <w:tr w:rsidR="0025452F" w:rsidRPr="00BC31E0" w14:paraId="2FB29197" w14:textId="77777777" w:rsidTr="0025452F">
        <w:tc>
          <w:tcPr>
            <w:tcW w:w="4478" w:type="dxa"/>
            <w:gridSpan w:val="2"/>
            <w:tcMar>
              <w:left w:w="0" w:type="dxa"/>
              <w:right w:w="0" w:type="dxa"/>
            </w:tcMar>
            <w:vAlign w:val="center"/>
          </w:tcPr>
          <w:p w14:paraId="22D17F1B" w14:textId="77777777" w:rsidR="0025452F" w:rsidRPr="00BC31E0" w:rsidRDefault="00A51873" w:rsidP="00381846">
            <w:pPr>
              <w:tabs>
                <w:tab w:val="left" w:pos="1701"/>
                <w:tab w:val="left" w:leader="middleDot" w:pos="8222"/>
              </w:tabs>
              <w:autoSpaceDE w:val="0"/>
              <w:autoSpaceDN w:val="0"/>
              <w:jc w:val="left"/>
              <w:rPr>
                <w:rFonts w:asciiTheme="minorHAnsi" w:hAnsiTheme="minorHAnsi"/>
                <w:i/>
              </w:rPr>
            </w:pPr>
            <m:oMathPara>
              <m:oMathParaPr>
                <m:jc m:val="left"/>
              </m:oMathParaPr>
              <m:oMath>
                <m:sSub>
                  <m:sSubPr>
                    <m:ctrlPr>
                      <w:rPr>
                        <w:rFonts w:ascii="Cambria Math" w:hAnsi="Cambria Math"/>
                        <w:i/>
                      </w:rPr>
                    </m:ctrlPr>
                  </m:sSubPr>
                  <m:e>
                    <m:r>
                      <w:rPr>
                        <w:rFonts w:ascii="Cambria Math" w:hAnsi="Cambria Math"/>
                      </w:rPr>
                      <m:t>σ</m:t>
                    </m:r>
                  </m:e>
                  <m:sub>
                    <m:r>
                      <w:rPr>
                        <w:rFonts w:ascii="Cambria Math" w:hAnsi="Cambria Math"/>
                      </w:rPr>
                      <m:t>t</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e>
                </m:d>
                <m:r>
                  <w:rPr>
                    <w:rFonts w:ascii="Cambria Math" w:hAnsi="Cambria Math"/>
                  </w:rPr>
                  <m:t>=-</m:t>
                </m:r>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I</m:t>
                                    </m:r>
                                  </m:sub>
                                </m:sSub>
                              </m:num>
                              <m:den>
                                <m:sSub>
                                  <m:sSubPr>
                                    <m:ctrlPr>
                                      <w:rPr>
                                        <w:rFonts w:ascii="Cambria Math" w:hAnsi="Cambria Math"/>
                                        <w:i/>
                                      </w:rPr>
                                    </m:ctrlPr>
                                  </m:sSubPr>
                                  <m:e>
                                    <m:r>
                                      <w:rPr>
                                        <w:rFonts w:ascii="Cambria Math" w:hAnsi="Cambria Math"/>
                                      </w:rPr>
                                      <m:t>x</m:t>
                                    </m:r>
                                  </m:e>
                                  <m:sub>
                                    <m:r>
                                      <w:rPr>
                                        <w:rFonts w:ascii="Cambria Math" w:hAnsi="Cambria Math"/>
                                      </w:rPr>
                                      <m:t>1</m:t>
                                    </m:r>
                                  </m:sub>
                                </m:sSub>
                              </m:den>
                            </m:f>
                          </m:e>
                        </m:d>
                      </m:e>
                      <m:sup>
                        <m:r>
                          <w:rPr>
                            <w:rFonts w:ascii="Cambria Math" w:hAnsi="Cambria Math"/>
                          </w:rPr>
                          <m:t>2</m:t>
                        </m:r>
                      </m:sup>
                    </m:sSup>
                  </m:e>
                </m:d>
                <m:nary>
                  <m:naryPr>
                    <m:limLoc m:val="undOvr"/>
                    <m:ctrlPr>
                      <w:rPr>
                        <w:rFonts w:ascii="Cambria Math" w:hAnsi="Cambria Math"/>
                        <w:i/>
                      </w:rPr>
                    </m:ctrlPr>
                  </m:naryPr>
                  <m:sub>
                    <m:sSub>
                      <m:sSubPr>
                        <m:ctrlPr>
                          <w:rPr>
                            <w:rFonts w:ascii="Cambria Math" w:hAnsi="Cambria Math"/>
                            <w:i/>
                          </w:rPr>
                        </m:ctrlPr>
                      </m:sSubPr>
                      <m:e>
                        <m:r>
                          <w:rPr>
                            <w:rFonts w:ascii="Cambria Math" w:hAnsi="Cambria Math"/>
                          </w:rPr>
                          <m:t>D</m:t>
                        </m:r>
                      </m:e>
                      <m:sub>
                        <m:r>
                          <w:rPr>
                            <w:rFonts w:ascii="Cambria Math" w:hAnsi="Cambria Math"/>
                          </w:rPr>
                          <m:t>if</m:t>
                        </m:r>
                      </m:sub>
                    </m:sSub>
                  </m:sub>
                  <m:sup>
                    <m:sSub>
                      <m:sSubPr>
                        <m:ctrlPr>
                          <w:rPr>
                            <w:rFonts w:ascii="Cambria Math" w:hAnsi="Cambria Math"/>
                            <w:i/>
                          </w:rPr>
                        </m:ctrlPr>
                      </m:sSubPr>
                      <m:e>
                        <m:r>
                          <w:rPr>
                            <w:rFonts w:ascii="Cambria Math" w:hAnsi="Cambria Math"/>
                          </w:rPr>
                          <m:t>D</m:t>
                        </m:r>
                      </m:e>
                      <m:sub>
                        <m:r>
                          <w:rPr>
                            <w:rFonts w:ascii="Cambria Math" w:hAnsi="Cambria Math"/>
                          </w:rPr>
                          <m:t>W</m:t>
                        </m:r>
                      </m:sub>
                    </m:sSub>
                  </m:sup>
                  <m:e>
                    <m:d>
                      <m:dPr>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I</m:t>
                                    </m:r>
                                  </m:sub>
                                </m:sSub>
                              </m:e>
                              <m:sup>
                                <m:r>
                                  <w:rPr>
                                    <w:rFonts w:ascii="Cambria Math" w:hAnsi="Cambria Math"/>
                                  </w:rPr>
                                  <m:t>2</m:t>
                                </m:r>
                              </m:sup>
                            </m:sSup>
                          </m:den>
                        </m:f>
                        <m:sSub>
                          <m:sSubPr>
                            <m:ctrlPr>
                              <w:rPr>
                                <w:rFonts w:ascii="Cambria Math" w:hAnsi="Cambria Math"/>
                                <w:i/>
                              </w:rPr>
                            </m:ctrlPr>
                          </m:sSubPr>
                          <m:e>
                            <m:r>
                              <w:rPr>
                                <w:rFonts w:ascii="Cambria Math" w:hAnsi="Cambria Math"/>
                              </w:rPr>
                              <m:t xml:space="preserve"> S</m:t>
                            </m:r>
                          </m:e>
                          <m:sub>
                            <m:r>
                              <w:rPr>
                                <w:rFonts w:ascii="Cambria Math" w:hAnsi="Cambria Math"/>
                              </w:rPr>
                              <m:t>W</m:t>
                            </m:r>
                          </m:sub>
                        </m:sSub>
                        <m:d>
                          <m:dPr>
                            <m:ctrlPr>
                              <w:rPr>
                                <w:rFonts w:ascii="Cambria Math" w:hAnsi="Cambria Math"/>
                                <w:i/>
                              </w:rPr>
                            </m:ctrlPr>
                          </m:dPr>
                          <m:e>
                            <m:r>
                              <w:rPr>
                                <w:rFonts w:ascii="Cambria Math" w:hAnsi="Cambria Math"/>
                              </w:rPr>
                              <m:t>x</m:t>
                            </m:r>
                          </m:e>
                        </m:d>
                      </m:e>
                    </m:d>
                  </m:e>
                </m:nary>
                <m:r>
                  <w:rPr>
                    <w:rFonts w:ascii="Cambria Math" w:hAnsi="Cambria Math"/>
                  </w:rPr>
                  <m:t>dx</m:t>
                </m:r>
              </m:oMath>
            </m:oMathPara>
          </w:p>
        </w:tc>
        <w:tc>
          <w:tcPr>
            <w:tcW w:w="2893" w:type="dxa"/>
            <w:tcMar>
              <w:left w:w="0" w:type="dxa"/>
              <w:right w:w="0" w:type="dxa"/>
            </w:tcMar>
            <w:vAlign w:val="center"/>
          </w:tcPr>
          <w:p w14:paraId="5A05E86D" w14:textId="77777777" w:rsidR="0025452F" w:rsidRPr="00BC31E0" w:rsidRDefault="0025452F" w:rsidP="00381846">
            <w:pPr>
              <w:tabs>
                <w:tab w:val="left" w:leader="middleDot" w:pos="2043"/>
              </w:tabs>
              <w:autoSpaceDE w:val="0"/>
              <w:autoSpaceDN w:val="0"/>
              <w:jc w:val="left"/>
              <w:rPr>
                <w:rFonts w:asciiTheme="minorHAnsi" w:hAnsiTheme="minorHAnsi"/>
              </w:rPr>
            </w:pPr>
            <w:r w:rsidRPr="00BC31E0">
              <w:rPr>
                <w:rFonts w:asciiTheme="minorHAnsi" w:hAnsiTheme="minorHAnsi"/>
              </w:rPr>
              <w:tab/>
            </w:r>
            <w:r w:rsidRPr="00BC31E0">
              <w:rPr>
                <w:rFonts w:asciiTheme="minorHAnsi" w:hAnsiTheme="minorHAnsi" w:hint="eastAsia"/>
              </w:rPr>
              <w:t>(6.9.1)</w:t>
            </w:r>
          </w:p>
        </w:tc>
      </w:tr>
      <w:tr w:rsidR="0025452F" w:rsidRPr="00BC31E0" w14:paraId="625267B4" w14:textId="77777777" w:rsidTr="0025452F">
        <w:tc>
          <w:tcPr>
            <w:tcW w:w="4478" w:type="dxa"/>
            <w:gridSpan w:val="2"/>
            <w:tcMar>
              <w:left w:w="0" w:type="dxa"/>
              <w:right w:w="0" w:type="dxa"/>
            </w:tcMar>
            <w:vAlign w:val="center"/>
          </w:tcPr>
          <w:p w14:paraId="70880839" w14:textId="77777777" w:rsidR="0025452F" w:rsidRPr="00BC31E0" w:rsidRDefault="00A51873" w:rsidP="00381846">
            <w:pPr>
              <w:tabs>
                <w:tab w:val="left" w:pos="1701"/>
                <w:tab w:val="left" w:leader="middleDot" w:pos="8222"/>
              </w:tabs>
              <w:autoSpaceDE w:val="0"/>
              <w:autoSpaceDN w:val="0"/>
              <w:spacing w:before="120"/>
              <w:jc w:val="left"/>
              <w:rPr>
                <w:rFonts w:asciiTheme="minorHAnsi" w:hAnsiTheme="minorHAnsi"/>
              </w:rPr>
            </w:pPr>
            <m:oMathPara>
              <m:oMathParaPr>
                <m:jc m:val="left"/>
              </m:oMathParaPr>
              <m:oMath>
                <m:sSub>
                  <m:sSubPr>
                    <m:ctrlPr>
                      <w:rPr>
                        <w:rFonts w:ascii="Cambria Math" w:hAnsi="Cambria Math"/>
                        <w:i/>
                      </w:rPr>
                    </m:ctrlPr>
                  </m:sSubPr>
                  <m:e>
                    <m:r>
                      <w:rPr>
                        <w:rFonts w:ascii="Cambria Math" w:hAnsi="Cambria Math"/>
                      </w:rPr>
                      <m:t>σ</m:t>
                    </m:r>
                  </m:e>
                  <m:sub>
                    <m:r>
                      <w:rPr>
                        <w:rFonts w:ascii="Cambria Math" w:hAnsi="Cambria Math"/>
                      </w:rPr>
                      <m:t>r</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e>
                </m:d>
                <m:r>
                  <w:rPr>
                    <w:rFonts w:ascii="Cambria Math" w:hAnsi="Cambria Math"/>
                  </w:rPr>
                  <m:t>=-</m:t>
                </m:r>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I</m:t>
                                    </m:r>
                                  </m:sub>
                                </m:sSub>
                              </m:num>
                              <m:den>
                                <m:sSub>
                                  <m:sSubPr>
                                    <m:ctrlPr>
                                      <w:rPr>
                                        <w:rFonts w:ascii="Cambria Math" w:hAnsi="Cambria Math"/>
                                        <w:i/>
                                      </w:rPr>
                                    </m:ctrlPr>
                                  </m:sSubPr>
                                  <m:e>
                                    <m:r>
                                      <w:rPr>
                                        <w:rFonts w:ascii="Cambria Math" w:hAnsi="Cambria Math"/>
                                      </w:rPr>
                                      <m:t>x</m:t>
                                    </m:r>
                                  </m:e>
                                  <m:sub>
                                    <m:r>
                                      <w:rPr>
                                        <w:rFonts w:ascii="Cambria Math" w:hAnsi="Cambria Math"/>
                                      </w:rPr>
                                      <m:t>1</m:t>
                                    </m:r>
                                  </m:sub>
                                </m:sSub>
                              </m:den>
                            </m:f>
                          </m:e>
                        </m:d>
                      </m:e>
                      <m:sup>
                        <m:r>
                          <w:rPr>
                            <w:rFonts w:ascii="Cambria Math" w:hAnsi="Cambria Math"/>
                          </w:rPr>
                          <m:t>2</m:t>
                        </m:r>
                      </m:sup>
                    </m:sSup>
                  </m:e>
                </m:d>
                <m:nary>
                  <m:naryPr>
                    <m:limLoc m:val="undOvr"/>
                    <m:ctrlPr>
                      <w:rPr>
                        <w:rFonts w:ascii="Cambria Math" w:hAnsi="Cambria Math"/>
                        <w:i/>
                      </w:rPr>
                    </m:ctrlPr>
                  </m:naryPr>
                  <m:sub>
                    <m:sSub>
                      <m:sSubPr>
                        <m:ctrlPr>
                          <w:rPr>
                            <w:rFonts w:ascii="Cambria Math" w:hAnsi="Cambria Math"/>
                            <w:i/>
                          </w:rPr>
                        </m:ctrlPr>
                      </m:sSubPr>
                      <m:e>
                        <m:r>
                          <w:rPr>
                            <w:rFonts w:ascii="Cambria Math" w:hAnsi="Cambria Math"/>
                          </w:rPr>
                          <m:t>D</m:t>
                        </m:r>
                      </m:e>
                      <m:sub>
                        <m:r>
                          <w:rPr>
                            <w:rFonts w:ascii="Cambria Math" w:hAnsi="Cambria Math"/>
                          </w:rPr>
                          <m:t>if</m:t>
                        </m:r>
                      </m:sub>
                    </m:sSub>
                  </m:sub>
                  <m:sup>
                    <m:sSub>
                      <m:sSubPr>
                        <m:ctrlPr>
                          <w:rPr>
                            <w:rFonts w:ascii="Cambria Math" w:hAnsi="Cambria Math"/>
                            <w:i/>
                          </w:rPr>
                        </m:ctrlPr>
                      </m:sSubPr>
                      <m:e>
                        <m:r>
                          <w:rPr>
                            <w:rFonts w:ascii="Cambria Math" w:hAnsi="Cambria Math"/>
                          </w:rPr>
                          <m:t>D</m:t>
                        </m:r>
                      </m:e>
                      <m:sub>
                        <m:r>
                          <w:rPr>
                            <w:rFonts w:ascii="Cambria Math" w:hAnsi="Cambria Math"/>
                          </w:rPr>
                          <m:t>W</m:t>
                        </m:r>
                      </m:sub>
                    </m:sSub>
                  </m:sup>
                  <m:e>
                    <m:d>
                      <m:dPr>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I</m:t>
                                    </m:r>
                                  </m:sub>
                                </m:sSub>
                              </m:e>
                              <m:sup>
                                <m:r>
                                  <w:rPr>
                                    <w:rFonts w:ascii="Cambria Math" w:hAnsi="Cambria Math"/>
                                  </w:rPr>
                                  <m:t>2</m:t>
                                </m:r>
                              </m:sup>
                            </m:sSup>
                          </m:den>
                        </m:f>
                        <m:sSub>
                          <m:sSubPr>
                            <m:ctrlPr>
                              <w:rPr>
                                <w:rFonts w:ascii="Cambria Math" w:hAnsi="Cambria Math"/>
                                <w:i/>
                              </w:rPr>
                            </m:ctrlPr>
                          </m:sSubPr>
                          <m:e>
                            <m:r>
                              <w:rPr>
                                <w:rFonts w:ascii="Cambria Math" w:hAnsi="Cambria Math"/>
                              </w:rPr>
                              <m:t xml:space="preserve"> S</m:t>
                            </m:r>
                          </m:e>
                          <m:sub>
                            <m:r>
                              <w:rPr>
                                <w:rFonts w:ascii="Cambria Math" w:hAnsi="Cambria Math"/>
                              </w:rPr>
                              <m:t>W</m:t>
                            </m:r>
                          </m:sub>
                        </m:sSub>
                        <m:d>
                          <m:dPr>
                            <m:ctrlPr>
                              <w:rPr>
                                <w:rFonts w:ascii="Cambria Math" w:hAnsi="Cambria Math"/>
                                <w:i/>
                              </w:rPr>
                            </m:ctrlPr>
                          </m:dPr>
                          <m:e>
                            <m:r>
                              <w:rPr>
                                <w:rFonts w:ascii="Cambria Math" w:hAnsi="Cambria Math"/>
                              </w:rPr>
                              <m:t>x</m:t>
                            </m:r>
                          </m:e>
                        </m:d>
                      </m:e>
                    </m:d>
                  </m:e>
                </m:nary>
                <m:r>
                  <w:rPr>
                    <w:rFonts w:ascii="Cambria Math" w:hAnsi="Cambria Math"/>
                  </w:rPr>
                  <m:t>dx</m:t>
                </m:r>
              </m:oMath>
            </m:oMathPara>
          </w:p>
        </w:tc>
        <w:tc>
          <w:tcPr>
            <w:tcW w:w="2893" w:type="dxa"/>
            <w:tcMar>
              <w:left w:w="0" w:type="dxa"/>
              <w:right w:w="0" w:type="dxa"/>
            </w:tcMar>
            <w:vAlign w:val="center"/>
          </w:tcPr>
          <w:p w14:paraId="2DB05FA7" w14:textId="77777777" w:rsidR="0025452F" w:rsidRPr="00BC31E0" w:rsidRDefault="0025452F" w:rsidP="00381846">
            <w:pPr>
              <w:tabs>
                <w:tab w:val="left" w:leader="middleDot" w:pos="2043"/>
              </w:tabs>
              <w:autoSpaceDE w:val="0"/>
              <w:autoSpaceDN w:val="0"/>
              <w:spacing w:before="120"/>
              <w:jc w:val="left"/>
              <w:rPr>
                <w:rFonts w:asciiTheme="minorHAnsi" w:hAnsiTheme="minorHAnsi"/>
              </w:rPr>
            </w:pPr>
            <w:r w:rsidRPr="00BC31E0">
              <w:rPr>
                <w:rFonts w:asciiTheme="minorHAnsi" w:hAnsiTheme="minorHAnsi"/>
              </w:rPr>
              <w:tab/>
            </w:r>
            <w:r w:rsidRPr="00BC31E0">
              <w:rPr>
                <w:rFonts w:asciiTheme="minorHAnsi" w:hAnsiTheme="minorHAnsi" w:hint="eastAsia"/>
              </w:rPr>
              <w:t>(6.9.2)</w:t>
            </w:r>
          </w:p>
        </w:tc>
      </w:tr>
      <w:tr w:rsidR="0025452F" w:rsidRPr="00BC31E0" w14:paraId="745E487E" w14:textId="77777777" w:rsidTr="0025452F">
        <w:tc>
          <w:tcPr>
            <w:tcW w:w="3345" w:type="dxa"/>
            <w:tcMar>
              <w:left w:w="0" w:type="dxa"/>
              <w:right w:w="0" w:type="dxa"/>
            </w:tcMar>
            <w:vAlign w:val="center"/>
          </w:tcPr>
          <w:p w14:paraId="0E613CA9" w14:textId="77777777" w:rsidR="0025452F" w:rsidRPr="00BC31E0" w:rsidRDefault="0025452F" w:rsidP="00381846">
            <w:pPr>
              <w:tabs>
                <w:tab w:val="left" w:pos="1701"/>
                <w:tab w:val="left" w:leader="middleDot" w:pos="8222"/>
              </w:tabs>
              <w:autoSpaceDE w:val="0"/>
              <w:autoSpaceDN w:val="0"/>
              <w:spacing w:before="120"/>
              <w:jc w:val="left"/>
              <w:rPr>
                <w:rFonts w:asciiTheme="minorHAnsi" w:hAnsiTheme="minorHAnsi"/>
                <w:i/>
              </w:rPr>
            </w:pPr>
            <m:oMathPara>
              <m:oMathParaPr>
                <m:jc m:val="left"/>
              </m:oMathParaPr>
              <m:oMath>
                <m:r>
                  <w:rPr>
                    <w:rFonts w:ascii="Cambria Math" w:hAnsi="Cambria Math"/>
                  </w:rPr>
                  <m:t>δ=-</m:t>
                </m:r>
                <m:f>
                  <m:fPr>
                    <m:ctrlPr>
                      <w:rPr>
                        <w:rFonts w:ascii="Cambria Math" w:hAnsi="Cambria Math"/>
                        <w:i/>
                      </w:rPr>
                    </m:ctrlPr>
                  </m:fPr>
                  <m:num>
                    <m:r>
                      <w:rPr>
                        <w:rFonts w:ascii="Cambria Math" w:hAnsi="Cambria Math"/>
                      </w:rPr>
                      <m:t xml:space="preserve">2 </m:t>
                    </m:r>
                    <m:sSub>
                      <m:sSubPr>
                        <m:ctrlPr>
                          <w:rPr>
                            <w:rFonts w:ascii="Cambria Math" w:hAnsi="Cambria Math"/>
                            <w:i/>
                          </w:rPr>
                        </m:ctrlPr>
                      </m:sSubPr>
                      <m:e>
                        <m:r>
                          <w:rPr>
                            <w:rFonts w:ascii="Cambria Math" w:hAnsi="Cambria Math"/>
                          </w:rPr>
                          <m:t>D</m:t>
                        </m:r>
                      </m:e>
                      <m:sub>
                        <m:r>
                          <w:rPr>
                            <w:rFonts w:ascii="Cambria Math" w:hAnsi="Cambria Math"/>
                          </w:rPr>
                          <m:t>I</m:t>
                        </m:r>
                      </m:sub>
                    </m:sSub>
                  </m:num>
                  <m:den>
                    <m:r>
                      <w:rPr>
                        <w:rFonts w:ascii="Cambria Math" w:hAnsi="Cambria Math"/>
                      </w:rPr>
                      <m:t>E</m:t>
                    </m:r>
                  </m:den>
                </m:f>
                <m:nary>
                  <m:naryPr>
                    <m:limLoc m:val="undOvr"/>
                    <m:ctrlPr>
                      <w:rPr>
                        <w:rFonts w:ascii="Cambria Math" w:hAnsi="Cambria Math"/>
                        <w:i/>
                      </w:rPr>
                    </m:ctrlPr>
                  </m:naryPr>
                  <m:sub>
                    <m:sSub>
                      <m:sSubPr>
                        <m:ctrlPr>
                          <w:rPr>
                            <w:rFonts w:ascii="Cambria Math" w:hAnsi="Cambria Math"/>
                            <w:i/>
                          </w:rPr>
                        </m:ctrlPr>
                      </m:sSubPr>
                      <m:e>
                        <m:r>
                          <w:rPr>
                            <w:rFonts w:ascii="Cambria Math" w:hAnsi="Cambria Math"/>
                          </w:rPr>
                          <m:t>D</m:t>
                        </m:r>
                      </m:e>
                      <m:sub>
                        <m:r>
                          <w:rPr>
                            <w:rFonts w:ascii="Cambria Math" w:hAnsi="Cambria Math"/>
                          </w:rPr>
                          <m:t>if</m:t>
                        </m:r>
                      </m:sub>
                    </m:sSub>
                  </m:sub>
                  <m:sup>
                    <m:sSub>
                      <m:sSubPr>
                        <m:ctrlPr>
                          <w:rPr>
                            <w:rFonts w:ascii="Cambria Math" w:hAnsi="Cambria Math"/>
                            <w:i/>
                          </w:rPr>
                        </m:ctrlPr>
                      </m:sSubPr>
                      <m:e>
                        <m:r>
                          <w:rPr>
                            <w:rFonts w:ascii="Cambria Math" w:hAnsi="Cambria Math"/>
                          </w:rPr>
                          <m:t>D</m:t>
                        </m:r>
                      </m:e>
                      <m:sub>
                        <m:r>
                          <w:rPr>
                            <w:rFonts w:ascii="Cambria Math" w:hAnsi="Cambria Math"/>
                          </w:rPr>
                          <m:t>W</m:t>
                        </m:r>
                      </m:sub>
                    </m:sSub>
                  </m:sup>
                  <m:e>
                    <m:d>
                      <m:dPr>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I</m:t>
                                    </m:r>
                                  </m:sub>
                                </m:sSub>
                              </m:e>
                              <m:sup>
                                <m:r>
                                  <w:rPr>
                                    <w:rFonts w:ascii="Cambria Math" w:hAnsi="Cambria Math"/>
                                  </w:rPr>
                                  <m:t>2</m:t>
                                </m:r>
                              </m:sup>
                            </m:sSup>
                          </m:den>
                        </m:f>
                        <m:sSub>
                          <m:sSubPr>
                            <m:ctrlPr>
                              <w:rPr>
                                <w:rFonts w:ascii="Cambria Math" w:hAnsi="Cambria Math"/>
                                <w:i/>
                              </w:rPr>
                            </m:ctrlPr>
                          </m:sSubPr>
                          <m:e>
                            <m:r>
                              <w:rPr>
                                <w:rFonts w:ascii="Cambria Math" w:hAnsi="Cambria Math"/>
                              </w:rPr>
                              <m:t xml:space="preserve"> S</m:t>
                            </m:r>
                          </m:e>
                          <m:sub>
                            <m:r>
                              <w:rPr>
                                <w:rFonts w:ascii="Cambria Math" w:hAnsi="Cambria Math"/>
                              </w:rPr>
                              <m:t>W</m:t>
                            </m:r>
                          </m:sub>
                        </m:sSub>
                        <m:d>
                          <m:dPr>
                            <m:ctrlPr>
                              <w:rPr>
                                <w:rFonts w:ascii="Cambria Math" w:hAnsi="Cambria Math"/>
                                <w:i/>
                              </w:rPr>
                            </m:ctrlPr>
                          </m:dPr>
                          <m:e>
                            <m:r>
                              <w:rPr>
                                <w:rFonts w:ascii="Cambria Math" w:hAnsi="Cambria Math"/>
                              </w:rPr>
                              <m:t>x</m:t>
                            </m:r>
                          </m:e>
                        </m:d>
                      </m:e>
                    </m:d>
                  </m:e>
                </m:nary>
                <m:r>
                  <w:rPr>
                    <w:rFonts w:ascii="Cambria Math" w:hAnsi="Cambria Math"/>
                  </w:rPr>
                  <m:t>dx</m:t>
                </m:r>
              </m:oMath>
            </m:oMathPara>
          </w:p>
        </w:tc>
        <w:tc>
          <w:tcPr>
            <w:tcW w:w="4026" w:type="dxa"/>
            <w:gridSpan w:val="2"/>
            <w:tcMar>
              <w:left w:w="0" w:type="dxa"/>
              <w:right w:w="0" w:type="dxa"/>
            </w:tcMar>
            <w:vAlign w:val="center"/>
          </w:tcPr>
          <w:p w14:paraId="4360D1D2" w14:textId="77777777" w:rsidR="0025452F" w:rsidRPr="00BC31E0" w:rsidRDefault="0025452F" w:rsidP="00381846">
            <w:pPr>
              <w:tabs>
                <w:tab w:val="left" w:leader="middleDot" w:pos="3176"/>
              </w:tabs>
              <w:autoSpaceDE w:val="0"/>
              <w:autoSpaceDN w:val="0"/>
              <w:spacing w:before="120"/>
              <w:jc w:val="left"/>
              <w:rPr>
                <w:rFonts w:asciiTheme="minorHAnsi" w:hAnsiTheme="minorHAnsi"/>
              </w:rPr>
            </w:pPr>
            <w:r w:rsidRPr="00BC31E0">
              <w:rPr>
                <w:rFonts w:asciiTheme="minorHAnsi" w:hAnsiTheme="minorHAnsi"/>
              </w:rPr>
              <w:tab/>
            </w:r>
            <w:r w:rsidRPr="00BC31E0">
              <w:rPr>
                <w:rFonts w:asciiTheme="minorHAnsi" w:hAnsiTheme="minorHAnsi" w:hint="eastAsia"/>
              </w:rPr>
              <w:t>(6.9.3)</w:t>
            </w:r>
          </w:p>
        </w:tc>
      </w:tr>
    </w:tbl>
    <w:p w14:paraId="600FF67E" w14:textId="77777777" w:rsidR="00C531D5" w:rsidRPr="00BC31E0" w:rsidRDefault="00C531D5" w:rsidP="000C426F">
      <w:pPr>
        <w:pStyle w:val="15"/>
        <w:spacing w:before="120" w:after="120"/>
        <w:ind w:firstLine="210"/>
      </w:pPr>
      <w:r w:rsidRPr="00BC31E0">
        <w:rPr>
          <w:rFonts w:hint="eastAsia"/>
        </w:rPr>
        <w:t>線巻き部の周方向応力</w:t>
      </w:r>
      <m:oMath>
        <m:sSub>
          <m:sSubPr>
            <m:ctrlPr>
              <w:rPr>
                <w:rFonts w:ascii="Cambria Math" w:hAnsi="Cambria Math"/>
              </w:rPr>
            </m:ctrlPr>
          </m:sSubPr>
          <m:e>
            <m:r>
              <w:rPr>
                <w:rFonts w:ascii="Cambria Math" w:hAnsi="Cambria Math"/>
              </w:rPr>
              <m:t xml:space="preserve"> σ</m:t>
            </m:r>
          </m:e>
          <m:sub>
            <m:r>
              <w:rPr>
                <w:rFonts w:ascii="Cambria Math" w:hAnsi="Cambria Math"/>
              </w:rPr>
              <m:t>t</m:t>
            </m:r>
          </m:sub>
        </m:sSub>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2</m:t>
                </m:r>
              </m:sub>
            </m:sSub>
          </m:e>
        </m:d>
        <m:r>
          <m:rPr>
            <m:sty m:val="p"/>
          </m:rPr>
          <w:rPr>
            <w:rFonts w:ascii="Cambria Math" w:hAnsi="Cambria Math"/>
          </w:rPr>
          <m:t xml:space="preserve"> </m:t>
        </m:r>
      </m:oMath>
      <w:r w:rsidRPr="00BC31E0">
        <w:rPr>
          <w:rFonts w:hint="eastAsia"/>
        </w:rPr>
        <w:t>及び半径方向応力</w:t>
      </w:r>
      <m:oMath>
        <m:sSub>
          <m:sSubPr>
            <m:ctrlPr>
              <w:rPr>
                <w:rFonts w:ascii="Cambria Math" w:hAnsi="Cambria Math"/>
              </w:rPr>
            </m:ctrlPr>
          </m:sSubPr>
          <m:e>
            <m:r>
              <w:rPr>
                <w:rFonts w:ascii="Cambria Math" w:hAnsi="Cambria Math"/>
              </w:rPr>
              <m:t xml:space="preserve"> σ</m:t>
            </m:r>
          </m:e>
          <m:sub>
            <m:r>
              <w:rPr>
                <w:rFonts w:ascii="Cambria Math" w:hAnsi="Cambria Math"/>
              </w:rPr>
              <m:t>r</m:t>
            </m:r>
          </m:sub>
        </m:sSub>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2</m:t>
                </m:r>
              </m:sub>
            </m:sSub>
          </m:e>
        </m:d>
        <m:r>
          <m:rPr>
            <m:sty m:val="p"/>
          </m:rPr>
          <w:rPr>
            <w:rFonts w:ascii="Cambria Math" w:hAnsi="Cambria Math"/>
          </w:rPr>
          <m:t xml:space="preserve"> </m:t>
        </m:r>
      </m:oMath>
      <w:r w:rsidRPr="00BC31E0">
        <w:rPr>
          <w:rFonts w:hint="eastAsia"/>
        </w:rPr>
        <w:t>は，次式で計算する。</w:t>
      </w:r>
    </w:p>
    <w:tbl>
      <w:tblPr>
        <w:tblStyle w:val="afff2"/>
        <w:tblW w:w="7371"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9"/>
        <w:gridCol w:w="624"/>
        <w:gridCol w:w="2268"/>
      </w:tblGrid>
      <w:tr w:rsidR="0025452F" w:rsidRPr="00BC31E0" w14:paraId="441BB2A8" w14:textId="77777777" w:rsidTr="0025452F">
        <w:tc>
          <w:tcPr>
            <w:tcW w:w="5103" w:type="dxa"/>
            <w:gridSpan w:val="2"/>
            <w:tcMar>
              <w:left w:w="0" w:type="dxa"/>
              <w:right w:w="0" w:type="dxa"/>
            </w:tcMar>
            <w:vAlign w:val="center"/>
          </w:tcPr>
          <w:p w14:paraId="5F702F31" w14:textId="77777777" w:rsidR="0025452F" w:rsidRPr="00BC31E0" w:rsidRDefault="00A51873" w:rsidP="007E51D7">
            <w:pPr>
              <w:tabs>
                <w:tab w:val="left" w:pos="1701"/>
                <w:tab w:val="left" w:leader="middleDot" w:pos="8222"/>
              </w:tabs>
              <w:autoSpaceDE w:val="0"/>
              <w:autoSpaceDN w:val="0"/>
              <w:jc w:val="left"/>
              <w:rPr>
                <w:rFonts w:asciiTheme="minorHAnsi" w:hAnsiTheme="minorHAnsi"/>
                <w:i/>
              </w:rPr>
            </w:pPr>
            <m:oMathPara>
              <m:oMathParaPr>
                <m:jc m:val="left"/>
              </m:oMathParaPr>
              <m:oMath>
                <m:sSub>
                  <m:sSubPr>
                    <m:ctrlPr>
                      <w:rPr>
                        <w:rFonts w:ascii="Cambria Math" w:hAnsi="Cambria Math"/>
                        <w:i/>
                      </w:rPr>
                    </m:ctrlPr>
                  </m:sSubPr>
                  <m:e>
                    <m:r>
                      <w:rPr>
                        <w:rFonts w:ascii="Cambria Math" w:hAnsi="Cambria Math"/>
                      </w:rPr>
                      <m:t>σ</m:t>
                    </m:r>
                  </m:e>
                  <m:sub>
                    <m:r>
                      <w:rPr>
                        <w:rFonts w:ascii="Cambria Math" w:hAnsi="Cambria Math"/>
                      </w:rPr>
                      <m:t>t</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2</m:t>
                        </m:r>
                      </m:sub>
                    </m:sSub>
                  </m:e>
                </m:d>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W</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2</m:t>
                        </m:r>
                      </m:sub>
                    </m:sSub>
                  </m:e>
                </m:d>
                <m:r>
                  <w:rPr>
                    <w:rFonts w:ascii="Cambria Math" w:hAnsi="Cambria Math"/>
                  </w:rPr>
                  <m:t>-</m:t>
                </m:r>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I</m:t>
                                    </m:r>
                                  </m:sub>
                                </m:sSub>
                              </m:num>
                              <m:den>
                                <m:sSub>
                                  <m:sSubPr>
                                    <m:ctrlPr>
                                      <w:rPr>
                                        <w:rFonts w:ascii="Cambria Math" w:hAnsi="Cambria Math"/>
                                        <w:i/>
                                      </w:rPr>
                                    </m:ctrlPr>
                                  </m:sSubPr>
                                  <m:e>
                                    <m:r>
                                      <w:rPr>
                                        <w:rFonts w:ascii="Cambria Math" w:hAnsi="Cambria Math"/>
                                      </w:rPr>
                                      <m:t>x</m:t>
                                    </m:r>
                                  </m:e>
                                  <m:sub>
                                    <m:r>
                                      <w:rPr>
                                        <w:rFonts w:ascii="Cambria Math" w:hAnsi="Cambria Math"/>
                                      </w:rPr>
                                      <m:t>2</m:t>
                                    </m:r>
                                  </m:sub>
                                </m:sSub>
                              </m:den>
                            </m:f>
                          </m:e>
                        </m:d>
                      </m:e>
                      <m:sup>
                        <m:r>
                          <w:rPr>
                            <w:rFonts w:ascii="Cambria Math" w:hAnsi="Cambria Math"/>
                          </w:rPr>
                          <m:t>2</m:t>
                        </m:r>
                      </m:sup>
                    </m:sSup>
                  </m:e>
                </m:d>
                <m:nary>
                  <m:naryPr>
                    <m:limLoc m:val="undOvr"/>
                    <m:ctrlPr>
                      <w:rPr>
                        <w:rFonts w:ascii="Cambria Math" w:hAnsi="Cambria Math"/>
                        <w:i/>
                      </w:rPr>
                    </m:ctrlPr>
                  </m:naryPr>
                  <m:sub>
                    <m:sSub>
                      <m:sSubPr>
                        <m:ctrlPr>
                          <w:rPr>
                            <w:rFonts w:ascii="Cambria Math" w:hAnsi="Cambria Math"/>
                            <w:i/>
                          </w:rPr>
                        </m:ctrlPr>
                      </m:sSubPr>
                      <m:e>
                        <m:r>
                          <w:rPr>
                            <w:rFonts w:ascii="Cambria Math" w:hAnsi="Cambria Math"/>
                          </w:rPr>
                          <m:t>x</m:t>
                        </m:r>
                      </m:e>
                      <m:sub>
                        <m:r>
                          <w:rPr>
                            <w:rFonts w:ascii="Cambria Math" w:hAnsi="Cambria Math"/>
                          </w:rPr>
                          <m:t>2</m:t>
                        </m:r>
                      </m:sub>
                    </m:sSub>
                  </m:sub>
                  <m:sup>
                    <m:sSub>
                      <m:sSubPr>
                        <m:ctrlPr>
                          <w:rPr>
                            <w:rFonts w:ascii="Cambria Math" w:hAnsi="Cambria Math"/>
                            <w:i/>
                          </w:rPr>
                        </m:ctrlPr>
                      </m:sSubPr>
                      <m:e>
                        <m:r>
                          <w:rPr>
                            <w:rFonts w:ascii="Cambria Math" w:hAnsi="Cambria Math"/>
                          </w:rPr>
                          <m:t>D</m:t>
                        </m:r>
                      </m:e>
                      <m:sub>
                        <m:r>
                          <w:rPr>
                            <w:rFonts w:ascii="Cambria Math" w:hAnsi="Cambria Math"/>
                          </w:rPr>
                          <m:t>W</m:t>
                        </m:r>
                      </m:sub>
                    </m:sSub>
                  </m:sup>
                  <m:e>
                    <m:d>
                      <m:dPr>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I</m:t>
                                    </m:r>
                                  </m:sub>
                                </m:sSub>
                              </m:e>
                              <m:sup>
                                <m:r>
                                  <w:rPr>
                                    <w:rFonts w:ascii="Cambria Math" w:hAnsi="Cambria Math"/>
                                  </w:rPr>
                                  <m:t>2</m:t>
                                </m:r>
                              </m:sup>
                            </m:sSup>
                          </m:den>
                        </m:f>
                        <m:sSub>
                          <m:sSubPr>
                            <m:ctrlPr>
                              <w:rPr>
                                <w:rFonts w:ascii="Cambria Math" w:hAnsi="Cambria Math"/>
                                <w:i/>
                              </w:rPr>
                            </m:ctrlPr>
                          </m:sSubPr>
                          <m:e>
                            <m:r>
                              <w:rPr>
                                <w:rFonts w:ascii="Cambria Math" w:hAnsi="Cambria Math"/>
                              </w:rPr>
                              <m:t xml:space="preserve"> S</m:t>
                            </m:r>
                          </m:e>
                          <m:sub>
                            <m:r>
                              <w:rPr>
                                <w:rFonts w:ascii="Cambria Math" w:hAnsi="Cambria Math"/>
                              </w:rPr>
                              <m:t>W</m:t>
                            </m:r>
                          </m:sub>
                        </m:sSub>
                        <m:d>
                          <m:dPr>
                            <m:ctrlPr>
                              <w:rPr>
                                <w:rFonts w:ascii="Cambria Math" w:hAnsi="Cambria Math"/>
                                <w:i/>
                              </w:rPr>
                            </m:ctrlPr>
                          </m:dPr>
                          <m:e>
                            <m:r>
                              <w:rPr>
                                <w:rFonts w:ascii="Cambria Math" w:hAnsi="Cambria Math"/>
                              </w:rPr>
                              <m:t>x</m:t>
                            </m:r>
                          </m:e>
                        </m:d>
                      </m:e>
                    </m:d>
                  </m:e>
                </m:nary>
                <m:r>
                  <w:rPr>
                    <w:rFonts w:ascii="Cambria Math" w:hAnsi="Cambria Math"/>
                  </w:rPr>
                  <m:t>dx</m:t>
                </m:r>
              </m:oMath>
            </m:oMathPara>
          </w:p>
        </w:tc>
        <w:tc>
          <w:tcPr>
            <w:tcW w:w="2268" w:type="dxa"/>
            <w:tcMar>
              <w:left w:w="0" w:type="dxa"/>
              <w:right w:w="0" w:type="dxa"/>
            </w:tcMar>
            <w:vAlign w:val="center"/>
          </w:tcPr>
          <w:p w14:paraId="6DCF4875" w14:textId="77777777" w:rsidR="0025452F" w:rsidRPr="00BC31E0" w:rsidRDefault="0025452F" w:rsidP="007E51D7">
            <w:pPr>
              <w:tabs>
                <w:tab w:val="left" w:leader="middleDot" w:pos="1421"/>
              </w:tabs>
              <w:autoSpaceDE w:val="0"/>
              <w:autoSpaceDN w:val="0"/>
              <w:jc w:val="left"/>
              <w:rPr>
                <w:rFonts w:asciiTheme="minorHAnsi" w:hAnsiTheme="minorHAnsi"/>
              </w:rPr>
            </w:pPr>
            <w:r w:rsidRPr="00BC31E0">
              <w:rPr>
                <w:rFonts w:asciiTheme="minorHAnsi" w:hAnsiTheme="minorHAnsi"/>
              </w:rPr>
              <w:tab/>
            </w:r>
            <w:r w:rsidRPr="00BC31E0">
              <w:rPr>
                <w:rFonts w:asciiTheme="minorHAnsi" w:hAnsiTheme="minorHAnsi" w:hint="eastAsia"/>
              </w:rPr>
              <w:t>(6.9.4)</w:t>
            </w:r>
          </w:p>
        </w:tc>
      </w:tr>
      <w:tr w:rsidR="0025452F" w:rsidRPr="00BC31E0" w14:paraId="31FAA64D" w14:textId="77777777" w:rsidTr="0025452F">
        <w:tc>
          <w:tcPr>
            <w:tcW w:w="4479" w:type="dxa"/>
            <w:tcMar>
              <w:left w:w="0" w:type="dxa"/>
              <w:right w:w="0" w:type="dxa"/>
            </w:tcMar>
            <w:vAlign w:val="center"/>
          </w:tcPr>
          <w:p w14:paraId="75A19E23" w14:textId="77777777" w:rsidR="0025452F" w:rsidRPr="00BC31E0" w:rsidRDefault="00A51873" w:rsidP="007E51D7">
            <w:pPr>
              <w:tabs>
                <w:tab w:val="left" w:pos="1701"/>
                <w:tab w:val="left" w:leader="middleDot" w:pos="8222"/>
              </w:tabs>
              <w:autoSpaceDE w:val="0"/>
              <w:autoSpaceDN w:val="0"/>
              <w:jc w:val="left"/>
              <w:rPr>
                <w:rFonts w:asciiTheme="minorHAnsi" w:hAnsiTheme="minorHAnsi"/>
                <w:i/>
              </w:rPr>
            </w:pPr>
            <m:oMathPara>
              <m:oMathParaPr>
                <m:jc m:val="left"/>
              </m:oMathParaPr>
              <m:oMath>
                <m:sSub>
                  <m:sSubPr>
                    <m:ctrlPr>
                      <w:rPr>
                        <w:rFonts w:ascii="Cambria Math" w:hAnsi="Cambria Math"/>
                        <w:i/>
                      </w:rPr>
                    </m:ctrlPr>
                  </m:sSubPr>
                  <m:e>
                    <m:r>
                      <w:rPr>
                        <w:rFonts w:ascii="Cambria Math" w:hAnsi="Cambria Math"/>
                      </w:rPr>
                      <m:t>σ</m:t>
                    </m:r>
                  </m:e>
                  <m:sub>
                    <m:r>
                      <w:rPr>
                        <w:rFonts w:ascii="Cambria Math" w:hAnsi="Cambria Math"/>
                      </w:rPr>
                      <m:t>r</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2</m:t>
                        </m:r>
                      </m:sub>
                    </m:sSub>
                  </m:e>
                </m:d>
                <m:r>
                  <w:rPr>
                    <w:rFonts w:ascii="Cambria Math" w:hAnsi="Cambria Math"/>
                  </w:rPr>
                  <m:t>=-</m:t>
                </m:r>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I</m:t>
                                    </m:r>
                                  </m:sub>
                                </m:sSub>
                              </m:num>
                              <m:den>
                                <m:sSub>
                                  <m:sSubPr>
                                    <m:ctrlPr>
                                      <w:rPr>
                                        <w:rFonts w:ascii="Cambria Math" w:hAnsi="Cambria Math"/>
                                        <w:i/>
                                      </w:rPr>
                                    </m:ctrlPr>
                                  </m:sSubPr>
                                  <m:e>
                                    <m:r>
                                      <w:rPr>
                                        <w:rFonts w:ascii="Cambria Math" w:hAnsi="Cambria Math"/>
                                      </w:rPr>
                                      <m:t>x</m:t>
                                    </m:r>
                                  </m:e>
                                  <m:sub>
                                    <m:r>
                                      <w:rPr>
                                        <w:rFonts w:ascii="Cambria Math" w:hAnsi="Cambria Math"/>
                                      </w:rPr>
                                      <m:t>2</m:t>
                                    </m:r>
                                  </m:sub>
                                </m:sSub>
                              </m:den>
                            </m:f>
                          </m:e>
                        </m:d>
                      </m:e>
                      <m:sup>
                        <m:r>
                          <w:rPr>
                            <w:rFonts w:ascii="Cambria Math" w:hAnsi="Cambria Math"/>
                          </w:rPr>
                          <m:t>2</m:t>
                        </m:r>
                      </m:sup>
                    </m:sSup>
                  </m:e>
                </m:d>
                <m:nary>
                  <m:naryPr>
                    <m:limLoc m:val="undOvr"/>
                    <m:ctrlPr>
                      <w:rPr>
                        <w:rFonts w:ascii="Cambria Math" w:hAnsi="Cambria Math"/>
                        <w:i/>
                      </w:rPr>
                    </m:ctrlPr>
                  </m:naryPr>
                  <m:sub>
                    <m:sSub>
                      <m:sSubPr>
                        <m:ctrlPr>
                          <w:rPr>
                            <w:rFonts w:ascii="Cambria Math" w:hAnsi="Cambria Math"/>
                            <w:i/>
                          </w:rPr>
                        </m:ctrlPr>
                      </m:sSubPr>
                      <m:e>
                        <m:r>
                          <w:rPr>
                            <w:rFonts w:ascii="Cambria Math" w:hAnsi="Cambria Math"/>
                          </w:rPr>
                          <m:t>x</m:t>
                        </m:r>
                      </m:e>
                      <m:sub>
                        <m:r>
                          <w:rPr>
                            <w:rFonts w:ascii="Cambria Math" w:hAnsi="Cambria Math"/>
                          </w:rPr>
                          <m:t>2</m:t>
                        </m:r>
                      </m:sub>
                    </m:sSub>
                  </m:sub>
                  <m:sup>
                    <m:sSub>
                      <m:sSubPr>
                        <m:ctrlPr>
                          <w:rPr>
                            <w:rFonts w:ascii="Cambria Math" w:hAnsi="Cambria Math"/>
                            <w:i/>
                          </w:rPr>
                        </m:ctrlPr>
                      </m:sSubPr>
                      <m:e>
                        <m:r>
                          <w:rPr>
                            <w:rFonts w:ascii="Cambria Math" w:hAnsi="Cambria Math"/>
                          </w:rPr>
                          <m:t>D</m:t>
                        </m:r>
                      </m:e>
                      <m:sub>
                        <m:r>
                          <w:rPr>
                            <w:rFonts w:ascii="Cambria Math" w:hAnsi="Cambria Math"/>
                          </w:rPr>
                          <m:t>W</m:t>
                        </m:r>
                      </m:sub>
                    </m:sSub>
                  </m:sup>
                  <m:e>
                    <m:d>
                      <m:dPr>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I</m:t>
                                    </m:r>
                                  </m:sub>
                                </m:sSub>
                              </m:e>
                              <m:sup>
                                <m:r>
                                  <w:rPr>
                                    <w:rFonts w:ascii="Cambria Math" w:hAnsi="Cambria Math"/>
                                  </w:rPr>
                                  <m:t>2</m:t>
                                </m:r>
                              </m:sup>
                            </m:sSup>
                          </m:den>
                        </m:f>
                        <m:sSub>
                          <m:sSubPr>
                            <m:ctrlPr>
                              <w:rPr>
                                <w:rFonts w:ascii="Cambria Math" w:hAnsi="Cambria Math"/>
                                <w:i/>
                              </w:rPr>
                            </m:ctrlPr>
                          </m:sSubPr>
                          <m:e>
                            <m:r>
                              <w:rPr>
                                <w:rFonts w:ascii="Cambria Math" w:hAnsi="Cambria Math"/>
                              </w:rPr>
                              <m:t xml:space="preserve"> S</m:t>
                            </m:r>
                          </m:e>
                          <m:sub>
                            <m:r>
                              <w:rPr>
                                <w:rFonts w:ascii="Cambria Math" w:hAnsi="Cambria Math"/>
                              </w:rPr>
                              <m:t>W</m:t>
                            </m:r>
                          </m:sub>
                        </m:sSub>
                        <m:d>
                          <m:dPr>
                            <m:ctrlPr>
                              <w:rPr>
                                <w:rFonts w:ascii="Cambria Math" w:hAnsi="Cambria Math"/>
                                <w:i/>
                              </w:rPr>
                            </m:ctrlPr>
                          </m:dPr>
                          <m:e>
                            <m:r>
                              <w:rPr>
                                <w:rFonts w:ascii="Cambria Math" w:hAnsi="Cambria Math"/>
                              </w:rPr>
                              <m:t>x</m:t>
                            </m:r>
                          </m:e>
                        </m:d>
                      </m:e>
                    </m:d>
                  </m:e>
                </m:nary>
                <m:r>
                  <w:rPr>
                    <w:rFonts w:ascii="Cambria Math" w:hAnsi="Cambria Math"/>
                  </w:rPr>
                  <m:t>dx</m:t>
                </m:r>
              </m:oMath>
            </m:oMathPara>
          </w:p>
        </w:tc>
        <w:tc>
          <w:tcPr>
            <w:tcW w:w="2892" w:type="dxa"/>
            <w:gridSpan w:val="2"/>
            <w:tcMar>
              <w:left w:w="0" w:type="dxa"/>
              <w:right w:w="0" w:type="dxa"/>
            </w:tcMar>
            <w:vAlign w:val="center"/>
          </w:tcPr>
          <w:p w14:paraId="543C8D04" w14:textId="77777777" w:rsidR="0025452F" w:rsidRPr="00BC31E0" w:rsidRDefault="0025452F" w:rsidP="007E51D7">
            <w:pPr>
              <w:tabs>
                <w:tab w:val="left" w:leader="middleDot" w:pos="2042"/>
              </w:tabs>
              <w:autoSpaceDE w:val="0"/>
              <w:autoSpaceDN w:val="0"/>
              <w:jc w:val="left"/>
              <w:rPr>
                <w:rFonts w:asciiTheme="minorHAnsi" w:hAnsiTheme="minorHAnsi"/>
              </w:rPr>
            </w:pPr>
            <w:r w:rsidRPr="00BC31E0">
              <w:rPr>
                <w:rFonts w:asciiTheme="minorHAnsi" w:hAnsiTheme="minorHAnsi"/>
              </w:rPr>
              <w:tab/>
            </w:r>
            <w:r w:rsidRPr="00BC31E0">
              <w:rPr>
                <w:rFonts w:asciiTheme="minorHAnsi" w:hAnsiTheme="minorHAnsi" w:hint="eastAsia"/>
              </w:rPr>
              <w:t>(6.9.5)</w:t>
            </w:r>
          </w:p>
        </w:tc>
      </w:tr>
    </w:tbl>
    <w:p w14:paraId="77CA9543" w14:textId="77777777" w:rsidR="00C531D5" w:rsidRPr="00BC31E0" w:rsidRDefault="00C531D5" w:rsidP="008D7FFE">
      <w:pPr>
        <w:autoSpaceDE w:val="0"/>
        <w:autoSpaceDN w:val="0"/>
        <w:ind w:firstLineChars="200" w:firstLine="420"/>
      </w:pPr>
      <w:r w:rsidRPr="00BC31E0">
        <w:rPr>
          <w:rFonts w:hint="eastAsia"/>
        </w:rPr>
        <w:t>ここで，</w:t>
      </w:r>
    </w:p>
    <w:p w14:paraId="31CD1B82" w14:textId="77777777" w:rsidR="00C531D5" w:rsidRPr="00BC31E0" w:rsidRDefault="00A51873" w:rsidP="007E51D7">
      <w:pPr>
        <w:tabs>
          <w:tab w:val="left" w:pos="1701"/>
        </w:tabs>
        <w:autoSpaceDE w:val="0"/>
        <w:autoSpaceDN w:val="0"/>
        <w:ind w:leftChars="400" w:left="840"/>
      </w:pPr>
      <m:oMath>
        <m:sSub>
          <m:sSubPr>
            <m:ctrlPr>
              <w:rPr>
                <w:rFonts w:ascii="Cambria Math" w:hAnsi="Cambria Math"/>
                <w:i/>
                <w:iCs/>
              </w:rPr>
            </m:ctrlPr>
          </m:sSubPr>
          <m:e>
            <m:r>
              <w:rPr>
                <w:rFonts w:ascii="Cambria Math" w:hAnsi="Cambria Math"/>
              </w:rPr>
              <m:t>D</m:t>
            </m:r>
          </m:e>
          <m:sub>
            <m:r>
              <w:rPr>
                <w:rFonts w:ascii="Cambria Math" w:hAnsi="Cambria Math"/>
              </w:rPr>
              <m:t>I</m:t>
            </m:r>
          </m:sub>
        </m:sSub>
      </m:oMath>
      <w:r w:rsidR="00C531D5" w:rsidRPr="00BC31E0">
        <w:rPr>
          <w:rFonts w:hint="eastAsia"/>
          <w:iCs/>
        </w:rPr>
        <w:tab/>
      </w:r>
      <w:r w:rsidR="00C531D5" w:rsidRPr="00BC31E0">
        <w:rPr>
          <w:rFonts w:hint="eastAsia"/>
        </w:rPr>
        <w:t>：</w:t>
      </w:r>
      <w:r w:rsidR="00C531D5" w:rsidRPr="00BC31E0">
        <w:rPr>
          <w:rFonts w:hint="eastAsia"/>
        </w:rPr>
        <w:t xml:space="preserve"> </w:t>
      </w:r>
      <w:r w:rsidR="00C531D5" w:rsidRPr="00BC31E0">
        <w:rPr>
          <w:rFonts w:hint="eastAsia"/>
        </w:rPr>
        <w:t>内筒の内径</w:t>
      </w:r>
      <w:r w:rsidR="00C531D5" w:rsidRPr="00BC31E0">
        <w:rPr>
          <w:rFonts w:hint="eastAsia"/>
        </w:rPr>
        <w:t>(</w:t>
      </w:r>
      <w:r w:rsidR="00C531D5" w:rsidRPr="00BC31E0">
        <w:rPr>
          <w:rFonts w:asciiTheme="minorHAnsi" w:hAnsiTheme="minorHAnsi"/>
        </w:rPr>
        <w:t>mm</w:t>
      </w:r>
      <w:r w:rsidR="00C531D5" w:rsidRPr="00BC31E0">
        <w:rPr>
          <w:rFonts w:hint="eastAsia"/>
        </w:rPr>
        <w:t>)</w:t>
      </w:r>
    </w:p>
    <w:p w14:paraId="24A520EC" w14:textId="77777777" w:rsidR="00C531D5" w:rsidRPr="00BC31E0" w:rsidRDefault="00A51873" w:rsidP="007E51D7">
      <w:pPr>
        <w:tabs>
          <w:tab w:val="left" w:pos="1701"/>
        </w:tabs>
        <w:autoSpaceDE w:val="0"/>
        <w:autoSpaceDN w:val="0"/>
        <w:ind w:leftChars="400" w:left="840"/>
      </w:pPr>
      <m:oMath>
        <m:sSub>
          <m:sSubPr>
            <m:ctrlPr>
              <w:rPr>
                <w:rFonts w:ascii="Cambria Math" w:hAnsi="Cambria Math"/>
                <w:i/>
                <w:iCs/>
              </w:rPr>
            </m:ctrlPr>
          </m:sSubPr>
          <m:e>
            <m:r>
              <w:rPr>
                <w:rFonts w:ascii="Cambria Math" w:hAnsi="Cambria Math"/>
              </w:rPr>
              <m:t>D</m:t>
            </m:r>
          </m:e>
          <m:sub>
            <m:r>
              <w:rPr>
                <w:rFonts w:ascii="Cambria Math" w:hAnsi="Cambria Math"/>
              </w:rPr>
              <m:t>if</m:t>
            </m:r>
          </m:sub>
        </m:sSub>
      </m:oMath>
      <w:r w:rsidR="00C531D5" w:rsidRPr="00BC31E0">
        <w:rPr>
          <w:rFonts w:hint="eastAsia"/>
          <w:iCs/>
        </w:rPr>
        <w:tab/>
      </w:r>
      <w:r w:rsidR="00C531D5" w:rsidRPr="00BC31E0">
        <w:rPr>
          <w:rFonts w:hint="eastAsia"/>
        </w:rPr>
        <w:t>：</w:t>
      </w:r>
      <w:r w:rsidR="00C531D5" w:rsidRPr="00BC31E0">
        <w:rPr>
          <w:rFonts w:hint="eastAsia"/>
        </w:rPr>
        <w:t xml:space="preserve"> </w:t>
      </w:r>
      <w:r w:rsidR="00C531D5" w:rsidRPr="00BC31E0">
        <w:rPr>
          <w:rFonts w:hint="eastAsia"/>
        </w:rPr>
        <w:t>内筒とワイヤ境界部の直径</w:t>
      </w:r>
      <w:r w:rsidR="00C531D5" w:rsidRPr="00BC31E0">
        <w:rPr>
          <w:rFonts w:hint="eastAsia"/>
        </w:rPr>
        <w:t>(</w:t>
      </w:r>
      <w:r w:rsidR="00C531D5" w:rsidRPr="00BC31E0">
        <w:rPr>
          <w:rFonts w:asciiTheme="minorHAnsi" w:hAnsiTheme="minorHAnsi"/>
        </w:rPr>
        <w:t>mm</w:t>
      </w:r>
      <w:r w:rsidR="00C531D5" w:rsidRPr="00BC31E0">
        <w:rPr>
          <w:rFonts w:hint="eastAsia"/>
        </w:rPr>
        <w:t>)</w:t>
      </w:r>
    </w:p>
    <w:p w14:paraId="6DECB747" w14:textId="77777777" w:rsidR="00C531D5" w:rsidRPr="00BC31E0" w:rsidRDefault="00A51873" w:rsidP="007E51D7">
      <w:pPr>
        <w:tabs>
          <w:tab w:val="left" w:pos="1701"/>
        </w:tabs>
        <w:autoSpaceDE w:val="0"/>
        <w:autoSpaceDN w:val="0"/>
        <w:ind w:leftChars="400" w:left="840"/>
      </w:pPr>
      <m:oMath>
        <m:sSub>
          <m:sSubPr>
            <m:ctrlPr>
              <w:rPr>
                <w:rFonts w:ascii="Cambria Math" w:hAnsi="Cambria Math"/>
                <w:i/>
                <w:iCs/>
              </w:rPr>
            </m:ctrlPr>
          </m:sSubPr>
          <m:e>
            <m:r>
              <w:rPr>
                <w:rFonts w:ascii="Cambria Math" w:hAnsi="Cambria Math"/>
              </w:rPr>
              <m:t>D</m:t>
            </m:r>
          </m:e>
          <m:sub>
            <m:r>
              <w:rPr>
                <w:rFonts w:ascii="Cambria Math" w:hAnsi="Cambria Math"/>
              </w:rPr>
              <m:t>O</m:t>
            </m:r>
          </m:sub>
        </m:sSub>
      </m:oMath>
      <w:r w:rsidR="00C531D5" w:rsidRPr="00BC31E0">
        <w:rPr>
          <w:rFonts w:hint="eastAsia"/>
          <w:iCs/>
        </w:rPr>
        <w:tab/>
      </w:r>
      <w:r w:rsidR="00C531D5" w:rsidRPr="00BC31E0">
        <w:rPr>
          <w:rFonts w:hint="eastAsia"/>
        </w:rPr>
        <w:t>：</w:t>
      </w:r>
      <w:r w:rsidR="00C531D5" w:rsidRPr="00BC31E0">
        <w:rPr>
          <w:rFonts w:hint="eastAsia"/>
        </w:rPr>
        <w:t xml:space="preserve"> </w:t>
      </w:r>
      <w:r w:rsidR="00C531D5" w:rsidRPr="00BC31E0">
        <w:rPr>
          <w:rFonts w:hint="eastAsia"/>
        </w:rPr>
        <w:t>線巻き部分の線巻き終了時の外径</w:t>
      </w:r>
      <w:r w:rsidR="00C531D5" w:rsidRPr="00BC31E0">
        <w:rPr>
          <w:rFonts w:asciiTheme="minorHAnsi" w:hAnsiTheme="minorHAnsi"/>
        </w:rPr>
        <w:t>(mm</w:t>
      </w:r>
      <w:r w:rsidR="00C531D5" w:rsidRPr="00BC31E0">
        <w:rPr>
          <w:rFonts w:hint="eastAsia"/>
        </w:rPr>
        <w:t>)</w:t>
      </w:r>
    </w:p>
    <w:p w14:paraId="2D400BD1" w14:textId="77777777" w:rsidR="00C531D5" w:rsidRPr="00BC31E0" w:rsidRDefault="00A51873" w:rsidP="007E51D7">
      <w:pPr>
        <w:tabs>
          <w:tab w:val="left" w:pos="1701"/>
        </w:tabs>
        <w:autoSpaceDE w:val="0"/>
        <w:autoSpaceDN w:val="0"/>
        <w:ind w:leftChars="400" w:left="840"/>
      </w:pPr>
      <m:oMath>
        <m:sSub>
          <m:sSubPr>
            <m:ctrlPr>
              <w:rPr>
                <w:rFonts w:ascii="Cambria Math" w:hAnsi="Cambria Math"/>
                <w:i/>
                <w:iCs/>
              </w:rPr>
            </m:ctrlPr>
          </m:sSubPr>
          <m:e>
            <m:r>
              <w:rPr>
                <w:rFonts w:ascii="Cambria Math" w:hAnsi="Cambria Math"/>
              </w:rPr>
              <m:t>D</m:t>
            </m:r>
          </m:e>
          <m:sub>
            <m:r>
              <w:rPr>
                <w:rFonts w:ascii="Cambria Math" w:hAnsi="Cambria Math"/>
              </w:rPr>
              <m:t>W</m:t>
            </m:r>
          </m:sub>
        </m:sSub>
      </m:oMath>
      <w:r w:rsidR="00C531D5" w:rsidRPr="00BC31E0">
        <w:rPr>
          <w:rFonts w:hint="eastAsia"/>
          <w:iCs/>
        </w:rPr>
        <w:tab/>
      </w:r>
      <w:r w:rsidR="00C531D5" w:rsidRPr="00BC31E0">
        <w:rPr>
          <w:rFonts w:hint="eastAsia"/>
        </w:rPr>
        <w:t>：</w:t>
      </w:r>
      <w:r w:rsidR="00C531D5" w:rsidRPr="00BC31E0">
        <w:rPr>
          <w:rFonts w:hint="eastAsia"/>
        </w:rPr>
        <w:t xml:space="preserve"> </w:t>
      </w:r>
      <w:r w:rsidR="00C531D5" w:rsidRPr="00BC31E0">
        <w:rPr>
          <w:rFonts w:hint="eastAsia"/>
        </w:rPr>
        <w:t>線巻き上げ途中の線巻き上げ部分の外径</w:t>
      </w:r>
      <w:r w:rsidR="00C531D5" w:rsidRPr="00BC31E0">
        <w:rPr>
          <w:rFonts w:asciiTheme="minorHAnsi" w:hAnsiTheme="minorHAnsi"/>
        </w:rPr>
        <w:t>(mm</w:t>
      </w:r>
      <w:r w:rsidR="00C531D5" w:rsidRPr="00BC31E0">
        <w:rPr>
          <w:rFonts w:hint="eastAsia"/>
        </w:rPr>
        <w:t>)</w:t>
      </w:r>
    </w:p>
    <w:p w14:paraId="0D120F7F" w14:textId="77777777" w:rsidR="00C531D5" w:rsidRPr="00BC31E0" w:rsidRDefault="00C531D5" w:rsidP="007E51D7">
      <w:pPr>
        <w:tabs>
          <w:tab w:val="left" w:pos="1701"/>
        </w:tabs>
        <w:autoSpaceDE w:val="0"/>
        <w:autoSpaceDN w:val="0"/>
        <w:ind w:leftChars="400" w:left="840"/>
      </w:pPr>
      <m:oMath>
        <m:r>
          <w:rPr>
            <w:rFonts w:ascii="Cambria Math" w:hAnsi="Cambria Math"/>
          </w:rPr>
          <m:t>E</m:t>
        </m:r>
      </m:oMath>
      <w:r w:rsidRPr="00BC31E0">
        <w:rPr>
          <w:rFonts w:hint="eastAsia"/>
        </w:rPr>
        <w:tab/>
      </w:r>
      <w:r w:rsidRPr="00BC31E0">
        <w:rPr>
          <w:rFonts w:hint="eastAsia"/>
        </w:rPr>
        <w:t>：</w:t>
      </w:r>
      <w:r w:rsidRPr="00BC31E0">
        <w:rPr>
          <w:rFonts w:hint="eastAsia"/>
        </w:rPr>
        <w:t xml:space="preserve"> </w:t>
      </w:r>
      <w:r w:rsidRPr="00BC31E0">
        <w:rPr>
          <w:rFonts w:hint="eastAsia"/>
        </w:rPr>
        <w:t>縦弾性係数</w:t>
      </w:r>
      <w:r w:rsidRPr="00BC31E0">
        <w:rPr>
          <w:rFonts w:hint="eastAsia"/>
        </w:rPr>
        <w:t>(</w:t>
      </w:r>
      <w:r w:rsidRPr="00BC31E0">
        <w:rPr>
          <w:rFonts w:asciiTheme="minorHAnsi" w:hAnsiTheme="minorHAnsi"/>
        </w:rPr>
        <w:t>MPa)</w:t>
      </w:r>
    </w:p>
    <w:p w14:paraId="08E921F4" w14:textId="77777777" w:rsidR="00C531D5" w:rsidRPr="00BC31E0" w:rsidRDefault="00A51873" w:rsidP="007E51D7">
      <w:pPr>
        <w:tabs>
          <w:tab w:val="left" w:pos="1701"/>
        </w:tabs>
        <w:autoSpaceDE w:val="0"/>
        <w:autoSpaceDN w:val="0"/>
        <w:ind w:leftChars="400" w:left="840"/>
      </w:pPr>
      <m:oMath>
        <m:sSub>
          <m:sSubPr>
            <m:ctrlPr>
              <w:rPr>
                <w:rFonts w:ascii="Cambria Math" w:hAnsi="Cambria Math"/>
                <w:i/>
              </w:rPr>
            </m:ctrlPr>
          </m:sSubPr>
          <m:e>
            <m:r>
              <w:rPr>
                <w:rFonts w:ascii="Cambria Math" w:hAnsi="Cambria Math"/>
              </w:rPr>
              <m:t>x</m:t>
            </m:r>
          </m:e>
          <m:sub>
            <m:r>
              <w:rPr>
                <w:rFonts w:ascii="Cambria Math" w:hAnsi="Cambria Math"/>
              </w:rPr>
              <m:t>1</m:t>
            </m:r>
          </m:sub>
        </m:sSub>
      </m:oMath>
      <w:r w:rsidR="00C531D5" w:rsidRPr="00BC31E0">
        <w:rPr>
          <w:rFonts w:hint="eastAsia"/>
          <w:i/>
          <w:position w:val="-10"/>
        </w:rPr>
        <w:tab/>
      </w:r>
      <w:r w:rsidR="00C531D5" w:rsidRPr="00BC31E0">
        <w:rPr>
          <w:rFonts w:hint="eastAsia"/>
        </w:rPr>
        <w:t>：</w:t>
      </w:r>
      <w:r w:rsidR="00C531D5" w:rsidRPr="00BC31E0">
        <w:rPr>
          <w:rFonts w:hint="eastAsia"/>
        </w:rPr>
        <w:t xml:space="preserve"> </w:t>
      </w:r>
      <w:r w:rsidR="00C531D5" w:rsidRPr="00BC31E0">
        <w:rPr>
          <w:rFonts w:hint="eastAsia"/>
        </w:rPr>
        <w:t>内筒の厚さ部の任意の位置での径</w:t>
      </w:r>
      <w:r w:rsidR="00C531D5" w:rsidRPr="00BC31E0">
        <w:rPr>
          <w:rFonts w:hint="eastAsia"/>
        </w:rPr>
        <w:t>(</w:t>
      </w:r>
      <w:r w:rsidR="00C531D5" w:rsidRPr="00BC31E0">
        <w:rPr>
          <w:rFonts w:asciiTheme="minorHAnsi" w:hAnsiTheme="minorHAnsi"/>
        </w:rPr>
        <w:t>mm)</w:t>
      </w:r>
    </w:p>
    <w:p w14:paraId="72C8448F" w14:textId="77777777" w:rsidR="00C531D5" w:rsidRPr="00BC31E0" w:rsidRDefault="00A51873" w:rsidP="007E51D7">
      <w:pPr>
        <w:tabs>
          <w:tab w:val="left" w:pos="1701"/>
        </w:tabs>
        <w:autoSpaceDE w:val="0"/>
        <w:autoSpaceDN w:val="0"/>
        <w:ind w:leftChars="400" w:left="840"/>
      </w:pPr>
      <m:oMath>
        <m:sSub>
          <m:sSubPr>
            <m:ctrlPr>
              <w:rPr>
                <w:rFonts w:ascii="Cambria Math" w:hAnsi="Cambria Math"/>
                <w:i/>
              </w:rPr>
            </m:ctrlPr>
          </m:sSubPr>
          <m:e>
            <m:r>
              <w:rPr>
                <w:rFonts w:ascii="Cambria Math" w:hAnsi="Cambria Math"/>
              </w:rPr>
              <m:t>x</m:t>
            </m:r>
          </m:e>
          <m:sub>
            <m:r>
              <w:rPr>
                <w:rFonts w:ascii="Cambria Math" w:hAnsi="Cambria Math"/>
              </w:rPr>
              <m:t>2</m:t>
            </m:r>
          </m:sub>
        </m:sSub>
      </m:oMath>
      <w:r w:rsidR="00C531D5" w:rsidRPr="00BC31E0">
        <w:rPr>
          <w:rFonts w:hint="eastAsia"/>
        </w:rPr>
        <w:tab/>
      </w:r>
      <w:r w:rsidR="00C531D5" w:rsidRPr="00BC31E0">
        <w:rPr>
          <w:rFonts w:hint="eastAsia"/>
        </w:rPr>
        <w:t>：</w:t>
      </w:r>
      <w:r w:rsidR="00C531D5" w:rsidRPr="00BC31E0">
        <w:rPr>
          <w:rFonts w:hint="eastAsia"/>
        </w:rPr>
        <w:t xml:space="preserve"> </w:t>
      </w:r>
      <w:r w:rsidR="00C531D5" w:rsidRPr="00BC31E0">
        <w:rPr>
          <w:rFonts w:hint="eastAsia"/>
        </w:rPr>
        <w:t>線巻き部の任意の位置での径</w:t>
      </w:r>
      <w:r w:rsidR="00C531D5" w:rsidRPr="00BC31E0">
        <w:rPr>
          <w:rFonts w:hint="eastAsia"/>
        </w:rPr>
        <w:t>(</w:t>
      </w:r>
      <w:r w:rsidR="00C531D5" w:rsidRPr="00BC31E0">
        <w:rPr>
          <w:rFonts w:asciiTheme="minorHAnsi" w:hAnsiTheme="minorHAnsi"/>
        </w:rPr>
        <w:t>mm)</w:t>
      </w:r>
    </w:p>
    <w:p w14:paraId="07FB27A0" w14:textId="77777777" w:rsidR="00C531D5" w:rsidRPr="00BC31E0" w:rsidRDefault="00A51873" w:rsidP="007E51D7">
      <w:pPr>
        <w:tabs>
          <w:tab w:val="left" w:pos="1701"/>
        </w:tabs>
        <w:autoSpaceDE w:val="0"/>
        <w:autoSpaceDN w:val="0"/>
        <w:ind w:leftChars="400" w:left="840"/>
      </w:pPr>
      <m:oMath>
        <m:sSub>
          <m:sSubPr>
            <m:ctrlPr>
              <w:rPr>
                <w:rFonts w:ascii="Cambria Math" w:hAnsi="Cambria Math"/>
                <w:i/>
                <w:iCs/>
              </w:rPr>
            </m:ctrlPr>
          </m:sSubPr>
          <m:e>
            <m:r>
              <w:rPr>
                <w:rFonts w:ascii="Cambria Math" w:hAnsi="Cambria Math"/>
              </w:rPr>
              <m:t>S</m:t>
            </m:r>
          </m:e>
          <m:sub>
            <m:r>
              <w:rPr>
                <w:rFonts w:ascii="Cambria Math" w:hAnsi="Cambria Math"/>
              </w:rPr>
              <m:t>W</m:t>
            </m:r>
          </m:sub>
        </m:sSub>
        <m:d>
          <m:dPr>
            <m:ctrlPr>
              <w:rPr>
                <w:rFonts w:ascii="Cambria Math" w:hAnsi="Cambria Math"/>
                <w:i/>
                <w:iCs/>
              </w:rPr>
            </m:ctrlPr>
          </m:dPr>
          <m:e>
            <m:r>
              <w:rPr>
                <w:rFonts w:ascii="Cambria Math" w:hAnsi="Cambria Math"/>
              </w:rPr>
              <m:t>x</m:t>
            </m:r>
          </m:e>
        </m:d>
      </m:oMath>
      <w:r w:rsidR="00C531D5" w:rsidRPr="00BC31E0">
        <w:rPr>
          <w:rFonts w:hint="eastAsia"/>
          <w:iCs/>
        </w:rPr>
        <w:tab/>
      </w:r>
      <w:r w:rsidR="00C531D5" w:rsidRPr="00BC31E0">
        <w:rPr>
          <w:rFonts w:hint="eastAsia"/>
        </w:rPr>
        <w:t>：</w:t>
      </w:r>
      <w:r w:rsidR="00C531D5" w:rsidRPr="00BC31E0">
        <w:rPr>
          <w:rFonts w:hint="eastAsia"/>
        </w:rPr>
        <w:t xml:space="preserve"> </w:t>
      </w:r>
      <w:r w:rsidR="00C531D5" w:rsidRPr="00BC31E0">
        <w:rPr>
          <w:rFonts w:hint="eastAsia"/>
        </w:rPr>
        <w:t>ワイヤ張力</w:t>
      </w:r>
      <w:r w:rsidR="00C531D5" w:rsidRPr="00BC31E0">
        <w:rPr>
          <w:rFonts w:hint="eastAsia"/>
        </w:rPr>
        <w:t>(</w:t>
      </w:r>
      <w:r w:rsidR="00C531D5" w:rsidRPr="00BC31E0">
        <w:rPr>
          <w:rFonts w:asciiTheme="minorHAnsi" w:hAnsiTheme="minorHAnsi"/>
        </w:rPr>
        <w:t>N</w:t>
      </w:r>
      <w:r w:rsidR="00C531D5" w:rsidRPr="00BC31E0">
        <w:rPr>
          <w:rFonts w:hint="eastAsia"/>
        </w:rPr>
        <w:t>)</w:t>
      </w:r>
    </w:p>
    <w:p w14:paraId="492BDA66" w14:textId="77777777" w:rsidR="00C531D5" w:rsidRPr="00BC31E0" w:rsidRDefault="00A51873" w:rsidP="007E51D7">
      <w:pPr>
        <w:tabs>
          <w:tab w:val="left" w:pos="1701"/>
        </w:tabs>
        <w:autoSpaceDE w:val="0"/>
        <w:autoSpaceDN w:val="0"/>
        <w:ind w:leftChars="400" w:left="840"/>
        <w:rPr>
          <w:iCs/>
        </w:rPr>
      </w:pPr>
      <m:oMath>
        <m:sSub>
          <m:sSubPr>
            <m:ctrlPr>
              <w:rPr>
                <w:rFonts w:ascii="Cambria Math" w:hAnsi="Cambria Math"/>
                <w:i/>
                <w:iCs/>
              </w:rPr>
            </m:ctrlPr>
          </m:sSubPr>
          <m:e>
            <m:r>
              <w:rPr>
                <w:rFonts w:ascii="Cambria Math" w:hAnsi="Cambria Math"/>
              </w:rPr>
              <m:t>S</m:t>
            </m:r>
          </m:e>
          <m:sub>
            <m:r>
              <w:rPr>
                <w:rFonts w:ascii="Cambria Math" w:hAnsi="Cambria Math"/>
              </w:rPr>
              <m:t>W</m:t>
            </m:r>
          </m:sub>
        </m:sSub>
        <m:d>
          <m:dPr>
            <m:ctrlPr>
              <w:rPr>
                <w:rFonts w:ascii="Cambria Math" w:hAnsi="Cambria Math"/>
                <w:i/>
                <w:iCs/>
              </w:rPr>
            </m:ctrlPr>
          </m:dPr>
          <m:e>
            <m:sSub>
              <m:sSubPr>
                <m:ctrlPr>
                  <w:rPr>
                    <w:rFonts w:ascii="Cambria Math" w:hAnsi="Cambria Math"/>
                    <w:i/>
                    <w:iCs/>
                  </w:rPr>
                </m:ctrlPr>
              </m:sSubPr>
              <m:e>
                <m:r>
                  <w:rPr>
                    <w:rFonts w:ascii="Cambria Math" w:hAnsi="Cambria Math"/>
                  </w:rPr>
                  <m:t>x</m:t>
                </m:r>
              </m:e>
              <m:sub>
                <m:r>
                  <w:rPr>
                    <w:rFonts w:ascii="Cambria Math" w:hAnsi="Cambria Math"/>
                  </w:rPr>
                  <m:t>2</m:t>
                </m:r>
              </m:sub>
            </m:sSub>
          </m:e>
        </m:d>
      </m:oMath>
      <w:r w:rsidR="00C531D5" w:rsidRPr="00BC31E0">
        <w:rPr>
          <w:rFonts w:hint="eastAsia"/>
          <w:iCs/>
        </w:rPr>
        <w:tab/>
      </w:r>
      <w:r w:rsidR="00C531D5" w:rsidRPr="00BC31E0">
        <w:rPr>
          <w:rFonts w:hint="eastAsia"/>
          <w:iCs/>
        </w:rPr>
        <w:t>：</w:t>
      </w:r>
      <w:r w:rsidR="00C531D5" w:rsidRPr="00BC31E0">
        <w:rPr>
          <w:rFonts w:hint="eastAsia"/>
          <w:iCs/>
        </w:rPr>
        <w:t xml:space="preserve"> </w:t>
      </w:r>
      <w:r w:rsidR="00C531D5" w:rsidRPr="00BC31E0">
        <w:rPr>
          <w:rFonts w:hint="eastAsia"/>
          <w:iCs/>
        </w:rPr>
        <w:t>線巻き部の任意の径でのワイヤ張力</w:t>
      </w:r>
      <w:r w:rsidR="00C531D5" w:rsidRPr="00BC31E0">
        <w:rPr>
          <w:rFonts w:asciiTheme="minorHAnsi" w:hAnsiTheme="minorHAnsi"/>
        </w:rPr>
        <w:t>(N</w:t>
      </w:r>
      <w:r w:rsidR="00C531D5" w:rsidRPr="00BC31E0">
        <w:rPr>
          <w:rFonts w:hint="eastAsia"/>
        </w:rPr>
        <w:t>)</w:t>
      </w:r>
    </w:p>
    <w:p w14:paraId="32665A84" w14:textId="77777777" w:rsidR="00C531D5" w:rsidRPr="00BC31E0" w:rsidRDefault="00C531D5" w:rsidP="007E51D7">
      <w:pPr>
        <w:autoSpaceDE w:val="0"/>
        <w:autoSpaceDN w:val="0"/>
        <w:ind w:leftChars="400" w:left="840"/>
        <w:rPr>
          <w:iCs/>
        </w:rPr>
      </w:pPr>
      <w:r w:rsidRPr="00BC31E0">
        <w:rPr>
          <w:rFonts w:hint="eastAsia"/>
          <w:iCs/>
        </w:rPr>
        <w:t>寸法の記号の説明を</w:t>
      </w:r>
      <w:r w:rsidRPr="00BC31E0">
        <w:rPr>
          <w:rFonts w:ascii="ＭＳ ゴシック" w:eastAsia="ＭＳ ゴシック" w:hint="eastAsia"/>
          <w:b/>
          <w:iCs/>
        </w:rPr>
        <w:t>図6.9.1</w:t>
      </w:r>
      <w:r w:rsidRPr="00BC31E0">
        <w:rPr>
          <w:rFonts w:hint="eastAsia"/>
          <w:iCs/>
        </w:rPr>
        <w:t>に示す。</w:t>
      </w:r>
    </w:p>
    <w:p w14:paraId="1BAB3D2B" w14:textId="77777777" w:rsidR="00C531D5" w:rsidRPr="00BC31E0" w:rsidRDefault="00C531D5" w:rsidP="00FE4FE8">
      <w:pPr>
        <w:pStyle w:val="3"/>
        <w:tabs>
          <w:tab w:val="clear" w:pos="284"/>
        </w:tabs>
        <w:spacing w:before="120"/>
        <w:ind w:left="794" w:hanging="794"/>
      </w:pPr>
      <w:r w:rsidRPr="00BC31E0">
        <w:rPr>
          <w:rFonts w:hint="eastAsia"/>
        </w:rPr>
        <w:t>線巻きによるフレームの残留応力</w:t>
      </w:r>
    </w:p>
    <w:p w14:paraId="13564B7A" w14:textId="77777777" w:rsidR="00C531D5" w:rsidRPr="00BC31E0" w:rsidRDefault="00C531D5" w:rsidP="007E51D7">
      <w:pPr>
        <w:pStyle w:val="1110"/>
        <w:ind w:firstLine="210"/>
      </w:pPr>
      <w:r w:rsidRPr="00BC31E0">
        <w:rPr>
          <w:rFonts w:hint="eastAsia"/>
        </w:rPr>
        <w:t>線巻きによるフレームの残留応力は</w:t>
      </w:r>
      <w:r w:rsidRPr="00BC31E0">
        <w:rPr>
          <w:rFonts w:ascii="ＭＳ ゴシック" w:eastAsia="ＭＳ ゴシック" w:hAnsi="Arial" w:hint="eastAsia"/>
          <w:b/>
        </w:rPr>
        <w:t>6.2</w:t>
      </w:r>
      <w:r w:rsidRPr="00BC31E0">
        <w:rPr>
          <w:rFonts w:hint="eastAsia"/>
        </w:rPr>
        <w:t>又は</w:t>
      </w:r>
      <w:r w:rsidRPr="00BC31E0">
        <w:rPr>
          <w:rFonts w:ascii="ＭＳ ゴシック" w:eastAsia="ＭＳ ゴシック" w:hAnsi="Arial" w:hint="eastAsia"/>
          <w:b/>
        </w:rPr>
        <w:t>附属書J</w:t>
      </w:r>
      <w:r w:rsidRPr="00BC31E0">
        <w:rPr>
          <w:rFonts w:hint="eastAsia"/>
        </w:rPr>
        <w:t>，</w:t>
      </w:r>
      <w:r w:rsidRPr="00BC31E0">
        <w:rPr>
          <w:rFonts w:ascii="ＭＳ ゴシック" w:eastAsia="ＭＳ ゴシック" w:hAnsi="Arial" w:hint="eastAsia"/>
          <w:b/>
        </w:rPr>
        <w:t>6.3</w:t>
      </w:r>
      <w:r w:rsidRPr="00BC31E0">
        <w:rPr>
          <w:rFonts w:hint="eastAsia"/>
        </w:rPr>
        <w:t>，</w:t>
      </w:r>
      <w:r w:rsidRPr="00BC31E0">
        <w:rPr>
          <w:rFonts w:ascii="ＭＳ ゴシック" w:eastAsia="ＭＳ ゴシック" w:hAnsi="Arial" w:hint="eastAsia"/>
          <w:b/>
        </w:rPr>
        <w:t>6.4</w:t>
      </w:r>
      <w:r w:rsidRPr="00BC31E0">
        <w:rPr>
          <w:rFonts w:hint="eastAsia"/>
        </w:rPr>
        <w:t>の要求を満足しなければならない。</w:t>
      </w:r>
    </w:p>
    <w:p w14:paraId="709A4B47" w14:textId="77777777" w:rsidR="00C531D5" w:rsidRPr="00BC31E0" w:rsidRDefault="00C531D5" w:rsidP="002A0395">
      <w:pPr>
        <w:pStyle w:val="3"/>
        <w:tabs>
          <w:tab w:val="clear" w:pos="284"/>
        </w:tabs>
        <w:ind w:left="794" w:hanging="794"/>
      </w:pPr>
      <w:r w:rsidRPr="00BC31E0">
        <w:rPr>
          <w:rFonts w:hint="eastAsia"/>
        </w:rPr>
        <w:t>応力制限</w:t>
      </w:r>
    </w:p>
    <w:p w14:paraId="6A46D954" w14:textId="77777777" w:rsidR="00C531D5" w:rsidRPr="00BC31E0" w:rsidRDefault="00C531D5" w:rsidP="007E51D7">
      <w:pPr>
        <w:pStyle w:val="1110"/>
        <w:ind w:firstLine="210"/>
      </w:pPr>
      <w:r w:rsidRPr="00BC31E0">
        <w:rPr>
          <w:rFonts w:hint="eastAsia"/>
        </w:rPr>
        <w:t>線巻き円筒の応力制限は，</w:t>
      </w:r>
      <w:r w:rsidR="00151C36" w:rsidRPr="00BC31E0">
        <w:rPr>
          <w:rFonts w:hint="eastAsia"/>
        </w:rPr>
        <w:t>次の</w:t>
      </w:r>
      <w:r w:rsidRPr="00BC31E0">
        <w:rPr>
          <w:rFonts w:ascii="ＭＳ ゴシック" w:eastAsia="ＭＳ ゴシック" w:hint="eastAsia"/>
          <w:b/>
        </w:rPr>
        <w:t>a)</w:t>
      </w:r>
      <w:r w:rsidRPr="00BC31E0">
        <w:rPr>
          <w:rFonts w:hint="eastAsia"/>
        </w:rPr>
        <w:t>～</w:t>
      </w:r>
      <w:r w:rsidRPr="00BC31E0">
        <w:rPr>
          <w:rFonts w:ascii="ＭＳ ゴシック" w:eastAsia="ＭＳ ゴシック" w:hint="eastAsia"/>
          <w:b/>
        </w:rPr>
        <w:t>c)</w:t>
      </w:r>
      <w:r w:rsidRPr="00BC31E0">
        <w:rPr>
          <w:rFonts w:hint="eastAsia"/>
        </w:rPr>
        <w:t>による。</w:t>
      </w:r>
    </w:p>
    <w:p w14:paraId="3B0C5324" w14:textId="77777777" w:rsidR="00C531D5" w:rsidRPr="00BC31E0" w:rsidRDefault="00C531D5" w:rsidP="00736130">
      <w:pPr>
        <w:pStyle w:val="a4"/>
        <w:numPr>
          <w:ilvl w:val="0"/>
          <w:numId w:val="133"/>
        </w:numPr>
        <w:ind w:leftChars="0" w:left="454" w:hanging="454"/>
      </w:pPr>
      <w:r w:rsidRPr="00BC31E0">
        <w:rPr>
          <w:rFonts w:asciiTheme="majorEastAsia" w:eastAsiaTheme="majorEastAsia" w:hAnsiTheme="majorEastAsia" w:hint="eastAsia"/>
          <w:b/>
          <w:bCs/>
        </w:rPr>
        <w:t>容器の内外径比</w:t>
      </w:r>
      <w:r w:rsidRPr="00BC31E0">
        <w:rPr>
          <w:rFonts w:hint="eastAsia"/>
          <w:bCs/>
        </w:rPr>
        <w:t xml:space="preserve">　</w:t>
      </w:r>
      <w:r w:rsidRPr="00BC31E0">
        <w:rPr>
          <w:rFonts w:hint="eastAsia"/>
        </w:rPr>
        <w:t>矩形断面の平ワイヤを用いる場合には，線巻き部を含めた内外径比は，</w:t>
      </w:r>
      <w:r w:rsidRPr="00BC31E0">
        <w:rPr>
          <w:rFonts w:ascii="ＭＳ ゴシック" w:eastAsia="ＭＳ ゴシック" w:hAnsi="ＭＳ ゴシック" w:hint="eastAsia"/>
          <w:b/>
        </w:rPr>
        <w:t>6.2.2</w:t>
      </w:r>
      <w:r w:rsidRPr="00BC31E0">
        <w:rPr>
          <w:rFonts w:hint="eastAsia"/>
        </w:rPr>
        <w:t>の</w:t>
      </w:r>
      <w:r w:rsidRPr="00BC31E0">
        <w:rPr>
          <w:rFonts w:asciiTheme="majorEastAsia" w:eastAsiaTheme="majorEastAsia" w:hAnsiTheme="majorEastAsia" w:hint="eastAsia"/>
          <w:b/>
          <w:bCs/>
        </w:rPr>
        <w:t>式(6.2.3)</w:t>
      </w:r>
      <w:r w:rsidRPr="00BC31E0">
        <w:rPr>
          <w:rFonts w:hint="eastAsia"/>
        </w:rPr>
        <w:t>及び</w:t>
      </w:r>
      <w:r w:rsidRPr="00BC31E0">
        <w:rPr>
          <w:rFonts w:asciiTheme="majorEastAsia" w:eastAsiaTheme="majorEastAsia" w:hAnsiTheme="majorEastAsia" w:hint="eastAsia"/>
          <w:b/>
        </w:rPr>
        <w:t>式(6.2.4)</w:t>
      </w:r>
      <w:r w:rsidRPr="00BC31E0">
        <w:rPr>
          <w:rFonts w:hint="eastAsia"/>
        </w:rPr>
        <w:t>より計算される値より大きくしなければならない。他のワイヤ形状の場合には，補正が必要である。</w:t>
      </w:r>
    </w:p>
    <w:p w14:paraId="62DE6DEF" w14:textId="77777777" w:rsidR="00C531D5" w:rsidRPr="00BC31E0" w:rsidRDefault="00C531D5" w:rsidP="00736130">
      <w:pPr>
        <w:pStyle w:val="a4"/>
        <w:numPr>
          <w:ilvl w:val="0"/>
          <w:numId w:val="133"/>
        </w:numPr>
        <w:ind w:leftChars="0" w:left="454" w:hanging="454"/>
      </w:pPr>
      <w:r w:rsidRPr="00BC31E0">
        <w:rPr>
          <w:rFonts w:asciiTheme="majorEastAsia" w:eastAsiaTheme="majorEastAsia" w:hAnsiTheme="majorEastAsia" w:hint="eastAsia"/>
          <w:b/>
          <w:bCs/>
        </w:rPr>
        <w:t>内筒とワイヤの相当応力制限</w:t>
      </w:r>
      <w:r w:rsidRPr="00BC31E0">
        <w:rPr>
          <w:rFonts w:hint="eastAsia"/>
          <w:bCs/>
        </w:rPr>
        <w:t xml:space="preserve">　</w:t>
      </w:r>
      <w:r w:rsidRPr="00BC31E0">
        <w:rPr>
          <w:rFonts w:hint="eastAsia"/>
        </w:rPr>
        <w:t>設計条件と試験条件での各ワイヤに働く断面平均の応力は</w:t>
      </w:r>
      <m:oMath>
        <m:sSub>
          <m:sSubPr>
            <m:ctrlPr>
              <w:rPr>
                <w:rFonts w:ascii="Cambria Math" w:hAnsi="Cambria Math"/>
                <w:i/>
              </w:rPr>
            </m:ctrlPr>
          </m:sSubPr>
          <m:e>
            <m:r>
              <w:rPr>
                <w:rFonts w:ascii="Cambria Math" w:hAnsi="Cambria Math"/>
              </w:rPr>
              <m:t xml:space="preserve"> S</m:t>
            </m:r>
          </m:e>
          <m:sub>
            <m:r>
              <w:rPr>
                <w:rFonts w:ascii="Cambria Math" w:hAnsi="Cambria Math"/>
              </w:rPr>
              <m:t>y</m:t>
            </m:r>
          </m:sub>
        </m:sSub>
        <m:r>
          <m:rPr>
            <m:sty m:val="p"/>
          </m:rPr>
          <w:rPr>
            <w:rFonts w:ascii="Cambria Math" w:hAnsi="Cambria Math"/>
          </w:rPr>
          <m:t xml:space="preserve"> </m:t>
        </m:r>
      </m:oMath>
      <w:r w:rsidRPr="00BC31E0">
        <w:rPr>
          <w:rFonts w:hint="eastAsia"/>
        </w:rPr>
        <w:t>を超えない。ワイヤの溶接部の断面平均応力は</w:t>
      </w:r>
      <m:oMath>
        <m:sSub>
          <m:sSubPr>
            <m:ctrlPr>
              <w:rPr>
                <w:rFonts w:ascii="Cambria Math" w:hAnsi="Cambria Math"/>
                <w:i/>
              </w:rPr>
            </m:ctrlPr>
          </m:sSubPr>
          <m:e>
            <m:r>
              <w:rPr>
                <w:rFonts w:ascii="Cambria Math" w:hAnsi="Cambria Math"/>
              </w:rPr>
              <m:t xml:space="preserve"> S</m:t>
            </m:r>
          </m:e>
          <m:sub>
            <m:r>
              <w:rPr>
                <w:rFonts w:ascii="Cambria Math" w:hAnsi="Cambria Math"/>
              </w:rPr>
              <m:t>y</m:t>
            </m:r>
          </m:sub>
        </m:sSub>
        <m:r>
          <w:rPr>
            <w:rFonts w:ascii="Cambria Math" w:hAnsi="Cambria Math"/>
          </w:rPr>
          <m:t xml:space="preserve"> </m:t>
        </m:r>
      </m:oMath>
      <w:r w:rsidRPr="00BC31E0">
        <w:rPr>
          <w:rFonts w:hint="eastAsia"/>
        </w:rPr>
        <w:t>の</w:t>
      </w:r>
      <w:r w:rsidRPr="00BC31E0">
        <w:rPr>
          <w:rFonts w:hint="eastAsia"/>
        </w:rPr>
        <w:t>2/3</w:t>
      </w:r>
      <w:r w:rsidRPr="00BC31E0">
        <w:rPr>
          <w:rFonts w:hint="eastAsia"/>
        </w:rPr>
        <w:t>を超えない。なお，</w:t>
      </w:r>
      <m:oMath>
        <m:sSub>
          <m:sSubPr>
            <m:ctrlPr>
              <w:rPr>
                <w:rFonts w:ascii="Cambria Math" w:hAnsi="Cambria Math"/>
                <w:i/>
              </w:rPr>
            </m:ctrlPr>
          </m:sSubPr>
          <m:e>
            <m:r>
              <w:rPr>
                <w:rFonts w:ascii="Cambria Math" w:hAnsi="Cambria Math"/>
              </w:rPr>
              <m:t>S</m:t>
            </m:r>
          </m:e>
          <m:sub>
            <m:r>
              <w:rPr>
                <w:rFonts w:ascii="Cambria Math" w:hAnsi="Cambria Math"/>
              </w:rPr>
              <m:t>y</m:t>
            </m:r>
          </m:sub>
        </m:sSub>
        <m:r>
          <w:rPr>
            <w:rFonts w:ascii="Cambria Math" w:hAnsi="Cambria Math"/>
          </w:rPr>
          <m:t xml:space="preserve"> </m:t>
        </m:r>
      </m:oMath>
      <w:r w:rsidRPr="00BC31E0">
        <w:rPr>
          <w:rFonts w:hint="eastAsia"/>
        </w:rPr>
        <w:t>はワイヤの降伏強さとする。内筒の一次</w:t>
      </w:r>
      <w:r w:rsidRPr="00BC31E0">
        <w:rPr>
          <w:rFonts w:hint="eastAsia"/>
        </w:rPr>
        <w:t>+</w:t>
      </w:r>
      <w:r w:rsidRPr="00BC31E0">
        <w:rPr>
          <w:rFonts w:hint="eastAsia"/>
        </w:rPr>
        <w:t>二次相当応力範囲は，大気圧から設計圧力までのいかなる圧力においても，対応する温度との組合せにおいて，</w:t>
      </w:r>
      <m:oMath>
        <m:sSub>
          <m:sSubPr>
            <m:ctrlPr>
              <w:rPr>
                <w:rFonts w:ascii="Cambria Math" w:hAnsi="Cambria Math"/>
                <w:i/>
              </w:rPr>
            </m:ctrlPr>
          </m:sSubPr>
          <m:e>
            <m:r>
              <w:rPr>
                <w:rFonts w:ascii="Cambria Math" w:hAnsi="Cambria Math"/>
              </w:rPr>
              <m:t>S</m:t>
            </m:r>
          </m:e>
          <m:sub>
            <m:r>
              <w:rPr>
                <w:rFonts w:ascii="Cambria Math" w:hAnsi="Cambria Math"/>
              </w:rPr>
              <m:t>y</m:t>
            </m:r>
          </m:sub>
        </m:sSub>
        <m:r>
          <m:rPr>
            <m:sty m:val="p"/>
          </m:rPr>
          <w:rPr>
            <w:rFonts w:ascii="Cambria Math" w:hAnsi="Cambria Math"/>
          </w:rPr>
          <m:t xml:space="preserve"> </m:t>
        </m:r>
      </m:oMath>
      <w:r w:rsidRPr="00BC31E0">
        <w:rPr>
          <w:rFonts w:hint="eastAsia"/>
        </w:rPr>
        <w:t>を超えない。また，大気圧から試験</w:t>
      </w:r>
      <w:r w:rsidRPr="00BC31E0">
        <w:rPr>
          <w:rFonts w:hint="eastAsia"/>
        </w:rPr>
        <w:lastRenderedPageBreak/>
        <w:t>温度での試験圧力までのいかなる圧力の値でも</w:t>
      </w:r>
      <m:oMath>
        <m:r>
          <m:rPr>
            <m:sty m:val="p"/>
          </m:rP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y</m:t>
            </m:r>
          </m:sub>
        </m:sSub>
        <m:r>
          <w:rPr>
            <w:rFonts w:ascii="Cambria Math" w:hAnsi="Cambria Math"/>
          </w:rPr>
          <m:t xml:space="preserve"> </m:t>
        </m:r>
      </m:oMath>
      <w:r w:rsidRPr="00BC31E0">
        <w:rPr>
          <w:rFonts w:hint="eastAsia"/>
        </w:rPr>
        <w:t>を超えない。</w:t>
      </w:r>
    </w:p>
    <w:p w14:paraId="0A2C4C35" w14:textId="77777777" w:rsidR="00C531D5" w:rsidRPr="00BC31E0" w:rsidRDefault="00C531D5" w:rsidP="00736130">
      <w:pPr>
        <w:pStyle w:val="a4"/>
        <w:numPr>
          <w:ilvl w:val="0"/>
          <w:numId w:val="133"/>
        </w:numPr>
        <w:ind w:leftChars="0" w:left="454" w:hanging="454"/>
      </w:pPr>
      <w:r w:rsidRPr="00BC31E0">
        <w:rPr>
          <w:rFonts w:asciiTheme="majorEastAsia" w:eastAsiaTheme="majorEastAsia" w:hAnsiTheme="majorEastAsia" w:hint="eastAsia"/>
          <w:b/>
          <w:bCs/>
        </w:rPr>
        <w:t>カラム-ヨークタイプのフレームの最小プレストレスレベル</w:t>
      </w:r>
      <w:r w:rsidRPr="00BC31E0">
        <w:rPr>
          <w:rFonts w:hint="eastAsia"/>
          <w:bCs/>
        </w:rPr>
        <w:t xml:space="preserve">　</w:t>
      </w:r>
      <w:r w:rsidRPr="00BC31E0">
        <w:rPr>
          <w:rFonts w:hint="eastAsia"/>
        </w:rPr>
        <w:t>一体型でないカラム</w:t>
      </w:r>
      <w:r w:rsidRPr="00BC31E0">
        <w:rPr>
          <w:rFonts w:hint="eastAsia"/>
        </w:rPr>
        <w:t>-</w:t>
      </w:r>
      <w:r w:rsidRPr="00BC31E0">
        <w:rPr>
          <w:rFonts w:hint="eastAsia"/>
        </w:rPr>
        <w:t>ヨークタイプのフレームは，耐圧試験の</w:t>
      </w:r>
      <w:r w:rsidRPr="00BC31E0">
        <w:rPr>
          <w:rFonts w:asciiTheme="minorHAnsi" w:hAnsiTheme="minorHAnsi"/>
        </w:rPr>
        <w:t>105%</w:t>
      </w:r>
      <w:r w:rsidRPr="00BC31E0">
        <w:rPr>
          <w:rFonts w:hint="eastAsia"/>
        </w:rPr>
        <w:t>の圧力が容器にかかった時でもカラムとフレームが密着するように，プレストレスをかけなければならない。この要求事項は計算によって確認し，製作者製作記録に残さなければならない。</w:t>
      </w:r>
    </w:p>
    <w:p w14:paraId="607453AF" w14:textId="77777777" w:rsidR="00C531D5" w:rsidRPr="00BC31E0" w:rsidRDefault="00C531D5" w:rsidP="009C77EA">
      <w:pPr>
        <w:pStyle w:val="3"/>
        <w:tabs>
          <w:tab w:val="clear" w:pos="284"/>
        </w:tabs>
        <w:ind w:left="794" w:hanging="794"/>
      </w:pPr>
      <w:r w:rsidRPr="00BC31E0">
        <w:rPr>
          <w:rFonts w:hint="eastAsia"/>
        </w:rPr>
        <w:t>疲労評価</w:t>
      </w:r>
    </w:p>
    <w:p w14:paraId="69BB56E2" w14:textId="77777777" w:rsidR="00C531D5" w:rsidRPr="00BC31E0" w:rsidRDefault="00C531D5" w:rsidP="006775BE">
      <w:pPr>
        <w:pStyle w:val="1110"/>
        <w:ind w:firstLine="210"/>
      </w:pPr>
      <w:r w:rsidRPr="00BC31E0">
        <w:rPr>
          <w:rFonts w:hint="eastAsia"/>
        </w:rPr>
        <w:t>線巻き容器及び線巻きフレームは疲労評価を</w:t>
      </w:r>
      <w:r w:rsidR="00203A9D" w:rsidRPr="00BC31E0">
        <w:rPr>
          <w:rFonts w:hint="eastAsia"/>
        </w:rPr>
        <w:t>行</w:t>
      </w:r>
      <w:r w:rsidRPr="00BC31E0">
        <w:rPr>
          <w:rFonts w:hint="eastAsia"/>
        </w:rPr>
        <w:t>わなければならない。疲労評価は，次の</w:t>
      </w:r>
      <w:r w:rsidRPr="00BC31E0">
        <w:rPr>
          <w:rFonts w:ascii="ＭＳ ゴシック" w:eastAsia="ＭＳ ゴシック" w:hint="eastAsia"/>
          <w:b/>
        </w:rPr>
        <w:t>a)</w:t>
      </w:r>
      <w:r w:rsidRPr="00BC31E0">
        <w:rPr>
          <w:rFonts w:hint="eastAsia"/>
        </w:rPr>
        <w:t>～</w:t>
      </w:r>
      <w:r w:rsidRPr="00BC31E0">
        <w:rPr>
          <w:rFonts w:ascii="ＭＳ ゴシック" w:eastAsia="ＭＳ ゴシック" w:hint="eastAsia"/>
          <w:b/>
        </w:rPr>
        <w:t>d)</w:t>
      </w:r>
      <w:r w:rsidRPr="00BC31E0">
        <w:rPr>
          <w:rFonts w:hint="eastAsia"/>
        </w:rPr>
        <w:t>による。</w:t>
      </w:r>
    </w:p>
    <w:p w14:paraId="53011509" w14:textId="77777777" w:rsidR="00C531D5" w:rsidRPr="00BC31E0" w:rsidRDefault="00C531D5" w:rsidP="00736130">
      <w:pPr>
        <w:pStyle w:val="a4"/>
        <w:numPr>
          <w:ilvl w:val="0"/>
          <w:numId w:val="143"/>
        </w:numPr>
        <w:ind w:leftChars="0" w:left="454" w:hanging="454"/>
      </w:pPr>
      <w:r w:rsidRPr="00BC31E0">
        <w:rPr>
          <w:rFonts w:hint="eastAsia"/>
        </w:rPr>
        <w:t>ワイヤの設計疲労寿命は，</w:t>
      </w:r>
      <w:r w:rsidRPr="00BC31E0">
        <w:rPr>
          <w:rFonts w:asciiTheme="majorEastAsia" w:eastAsiaTheme="majorEastAsia" w:hAnsiTheme="majorEastAsia" w:hint="eastAsia"/>
          <w:b/>
        </w:rPr>
        <w:t>6.9.</w:t>
      </w:r>
      <w:r w:rsidRPr="00BC31E0">
        <w:rPr>
          <w:rFonts w:asciiTheme="majorEastAsia" w:eastAsiaTheme="majorEastAsia" w:hAnsiTheme="majorEastAsia"/>
          <w:b/>
        </w:rPr>
        <w:t>7</w:t>
      </w:r>
      <w:r w:rsidR="009C77EA" w:rsidRPr="00BC31E0">
        <w:rPr>
          <w:rFonts w:hint="eastAsia"/>
        </w:rPr>
        <w:t>～</w:t>
      </w:r>
      <w:r w:rsidRPr="00BC31E0">
        <w:rPr>
          <w:rFonts w:asciiTheme="majorEastAsia" w:eastAsiaTheme="majorEastAsia" w:hAnsiTheme="majorEastAsia" w:hint="eastAsia"/>
          <w:b/>
        </w:rPr>
        <w:t>6.9.1</w:t>
      </w:r>
      <w:r w:rsidRPr="00BC31E0">
        <w:rPr>
          <w:rFonts w:asciiTheme="majorEastAsia" w:eastAsiaTheme="majorEastAsia" w:hAnsiTheme="majorEastAsia"/>
          <w:b/>
        </w:rPr>
        <w:t>1</w:t>
      </w:r>
      <w:r w:rsidRPr="00BC31E0">
        <w:rPr>
          <w:rFonts w:hint="eastAsia"/>
        </w:rPr>
        <w:t>による。</w:t>
      </w:r>
      <w:r w:rsidRPr="00BC31E0">
        <w:rPr>
          <w:rFonts w:hint="eastAsia"/>
        </w:rPr>
        <w:t xml:space="preserve"> </w:t>
      </w:r>
    </w:p>
    <w:p w14:paraId="6B90DA8D" w14:textId="77777777" w:rsidR="00C531D5" w:rsidRPr="00BC31E0" w:rsidRDefault="00C531D5" w:rsidP="00736130">
      <w:pPr>
        <w:pStyle w:val="a4"/>
        <w:numPr>
          <w:ilvl w:val="0"/>
          <w:numId w:val="143"/>
        </w:numPr>
        <w:ind w:leftChars="0" w:left="454" w:hanging="454"/>
      </w:pPr>
      <w:r w:rsidRPr="00BC31E0">
        <w:rPr>
          <w:rFonts w:hint="eastAsia"/>
        </w:rPr>
        <w:t>ワイヤ以外の部材についての疲労評価は，</w:t>
      </w:r>
      <w:r w:rsidRPr="00BC31E0">
        <w:rPr>
          <w:rFonts w:asciiTheme="majorEastAsia" w:eastAsiaTheme="majorEastAsia" w:hAnsiTheme="majorEastAsia" w:hint="eastAsia"/>
          <w:b/>
        </w:rPr>
        <w:t>6.3</w:t>
      </w:r>
      <w:r w:rsidRPr="00BC31E0">
        <w:rPr>
          <w:rFonts w:hint="eastAsia"/>
        </w:rPr>
        <w:t>による。</w:t>
      </w:r>
    </w:p>
    <w:p w14:paraId="2F1D3CB9" w14:textId="77777777" w:rsidR="00C531D5" w:rsidRPr="00BC31E0" w:rsidRDefault="00C531D5" w:rsidP="00736130">
      <w:pPr>
        <w:pStyle w:val="a4"/>
        <w:numPr>
          <w:ilvl w:val="0"/>
          <w:numId w:val="143"/>
        </w:numPr>
        <w:ind w:leftChars="0" w:left="454" w:hanging="454"/>
      </w:pPr>
      <w:r w:rsidRPr="00BC31E0">
        <w:rPr>
          <w:rFonts w:hint="eastAsia"/>
        </w:rPr>
        <w:t>ワイヤ以外の部材についての破壊力学評価は，</w:t>
      </w:r>
      <w:r w:rsidRPr="00BC31E0">
        <w:rPr>
          <w:rFonts w:asciiTheme="majorEastAsia" w:eastAsiaTheme="majorEastAsia" w:hAnsiTheme="majorEastAsia" w:hint="eastAsia"/>
          <w:b/>
        </w:rPr>
        <w:t>6.4</w:t>
      </w:r>
      <w:r w:rsidRPr="00BC31E0">
        <w:rPr>
          <w:rFonts w:hint="eastAsia"/>
        </w:rPr>
        <w:t>による。</w:t>
      </w:r>
    </w:p>
    <w:p w14:paraId="0FAF5575" w14:textId="77777777" w:rsidR="00C531D5" w:rsidRPr="00BC31E0" w:rsidRDefault="00C531D5" w:rsidP="00736130">
      <w:pPr>
        <w:pStyle w:val="a4"/>
        <w:numPr>
          <w:ilvl w:val="0"/>
          <w:numId w:val="143"/>
        </w:numPr>
        <w:ind w:leftChars="0" w:left="454" w:hanging="454"/>
      </w:pPr>
      <w:r w:rsidRPr="00BC31E0">
        <w:rPr>
          <w:rFonts w:hint="eastAsia"/>
        </w:rPr>
        <w:t>有毒物質又は致死的な物質を保有する容器を除く線巻き容器に関して，内層の急激な破壊において，次の条件に合致すれば，破裂前漏洩と想定する。</w:t>
      </w:r>
    </w:p>
    <w:p w14:paraId="546E3196" w14:textId="77777777" w:rsidR="00C531D5" w:rsidRPr="00BC31E0" w:rsidRDefault="00C531D5" w:rsidP="006775BE">
      <w:pPr>
        <w:ind w:left="681" w:hanging="227"/>
      </w:pPr>
      <w:r w:rsidRPr="00BC31E0">
        <w:rPr>
          <w:rFonts w:hint="eastAsia"/>
        </w:rPr>
        <w:t>・部品や破片が噴出せず，外層が健全のままである。</w:t>
      </w:r>
    </w:p>
    <w:p w14:paraId="2271174B" w14:textId="77777777" w:rsidR="00C531D5" w:rsidRPr="00BC31E0" w:rsidRDefault="00C531D5" w:rsidP="006775BE">
      <w:pPr>
        <w:ind w:left="681" w:hanging="227"/>
      </w:pPr>
      <w:r w:rsidRPr="00BC31E0">
        <w:rPr>
          <w:rFonts w:hint="eastAsia"/>
        </w:rPr>
        <w:t>・ふた板が健全で保持している。</w:t>
      </w:r>
    </w:p>
    <w:p w14:paraId="67975CE1" w14:textId="77777777" w:rsidR="00C531D5" w:rsidRPr="00BC31E0" w:rsidRDefault="00C531D5" w:rsidP="006775BE">
      <w:pPr>
        <w:ind w:left="681" w:hanging="227"/>
      </w:pPr>
      <w:r w:rsidRPr="00BC31E0">
        <w:rPr>
          <w:rFonts w:hint="eastAsia"/>
        </w:rPr>
        <w:t>・残りの健全層の計算崩壊圧力が，容器の設計圧力の</w:t>
      </w:r>
      <w:r w:rsidRPr="00BC31E0">
        <w:rPr>
          <w:rFonts w:asciiTheme="minorHAnsi" w:hAnsiTheme="minorHAnsi"/>
        </w:rPr>
        <w:t>120%</w:t>
      </w:r>
      <w:r w:rsidRPr="00BC31E0">
        <w:rPr>
          <w:rFonts w:hint="eastAsia"/>
        </w:rPr>
        <w:t>を超えている。</w:t>
      </w:r>
    </w:p>
    <w:p w14:paraId="34D30C44" w14:textId="77777777" w:rsidR="00C531D5" w:rsidRPr="00BC31E0" w:rsidRDefault="00C531D5" w:rsidP="006775BE">
      <w:pPr>
        <w:ind w:left="681" w:hanging="227"/>
      </w:pPr>
      <w:r w:rsidRPr="00BC31E0">
        <w:rPr>
          <w:rFonts w:hint="eastAsia"/>
        </w:rPr>
        <w:t>・急激な破壊が生じると想定される内層の材料は，材料規格に要求されているシャルピー</w:t>
      </w:r>
      <w:r w:rsidRPr="00BC31E0">
        <w:rPr>
          <w:spacing w:val="-40"/>
        </w:rPr>
        <w:t>V</w:t>
      </w:r>
      <w:r w:rsidRPr="00BC31E0">
        <w:rPr>
          <w:rFonts w:hint="eastAsia"/>
        </w:rPr>
        <w:t>ノッチ衝撃値を満足しなくてはならないが，</w:t>
      </w:r>
      <w:r w:rsidRPr="00BC31E0">
        <w:rPr>
          <w:rFonts w:ascii="ＭＳ ゴシック" w:eastAsia="ＭＳ ゴシック" w:hAnsi="ＭＳ ゴシック" w:hint="eastAsia"/>
          <w:b/>
        </w:rPr>
        <w:t>5.2.7 b)</w:t>
      </w:r>
      <w:r w:rsidRPr="00BC31E0">
        <w:rPr>
          <w:rFonts w:hint="eastAsia"/>
        </w:rPr>
        <w:t>の吸収エネルギー値の合格基準を満足する必要はない。内層以外の</w:t>
      </w:r>
      <w:r w:rsidR="00DC160D" w:rsidRPr="00BC31E0">
        <w:rPr>
          <w:rFonts w:hint="eastAsia"/>
        </w:rPr>
        <w:t>全</w:t>
      </w:r>
      <w:r w:rsidRPr="00BC31E0">
        <w:rPr>
          <w:rFonts w:hint="eastAsia"/>
        </w:rPr>
        <w:t>ての耐圧部品の材料は，</w:t>
      </w:r>
      <w:r w:rsidRPr="00BC31E0">
        <w:rPr>
          <w:rFonts w:ascii="ＭＳ ゴシック" w:eastAsia="ＭＳ ゴシック" w:hAnsi="ＭＳ ゴシック" w:hint="eastAsia"/>
          <w:b/>
        </w:rPr>
        <w:t>5.2.7 b)</w:t>
      </w:r>
      <w:r w:rsidRPr="00BC31E0">
        <w:rPr>
          <w:rFonts w:hint="eastAsia"/>
        </w:rPr>
        <w:t>の吸収エネルギー値の合格基準を満足しなければならない。</w:t>
      </w:r>
    </w:p>
    <w:p w14:paraId="1F8A4F18" w14:textId="77777777" w:rsidR="00C531D5" w:rsidRPr="00BC31E0" w:rsidRDefault="00C531D5" w:rsidP="00F009AC">
      <w:pPr>
        <w:pStyle w:val="3"/>
        <w:tabs>
          <w:tab w:val="clear" w:pos="284"/>
        </w:tabs>
        <w:ind w:left="794" w:hanging="794"/>
      </w:pPr>
      <w:r w:rsidRPr="00BC31E0">
        <w:rPr>
          <w:rFonts w:hint="eastAsia"/>
        </w:rPr>
        <w:t>ワイヤの設計疲労曲線の導き方</w:t>
      </w:r>
    </w:p>
    <w:p w14:paraId="1808FCA6" w14:textId="77777777" w:rsidR="00C531D5" w:rsidRPr="00BC31E0" w:rsidRDefault="00C531D5" w:rsidP="006775BE">
      <w:pPr>
        <w:pStyle w:val="1110"/>
        <w:ind w:firstLine="210"/>
      </w:pPr>
      <w:r w:rsidRPr="00BC31E0">
        <w:rPr>
          <w:rFonts w:hint="eastAsia"/>
        </w:rPr>
        <w:t>ワイヤの設計疲労寿命</w:t>
      </w:r>
      <m:oMath>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D</m:t>
            </m:r>
          </m:sub>
        </m:sSub>
        <m:r>
          <m:rPr>
            <m:sty m:val="p"/>
          </m:rPr>
          <w:rPr>
            <w:rFonts w:ascii="Cambria Math" w:hAnsi="Cambria Math"/>
          </w:rPr>
          <m:t xml:space="preserve"> </m:t>
        </m:r>
      </m:oMath>
      <w:r w:rsidRPr="00BC31E0">
        <w:rPr>
          <w:rFonts w:hint="eastAsia"/>
        </w:rPr>
        <w:t>は，ワイヤに発生する疲労亀裂の平均間隔が</w:t>
      </w:r>
      <w:r w:rsidRPr="00BC31E0">
        <w:rPr>
          <w:rFonts w:asciiTheme="minorHAnsi" w:hAnsiTheme="minorHAnsi"/>
        </w:rPr>
        <w:t>2,000m</w:t>
      </w:r>
      <w:r w:rsidRPr="00BC31E0">
        <w:rPr>
          <w:rFonts w:hint="eastAsia"/>
        </w:rPr>
        <w:t>になる確率が</w:t>
      </w:r>
      <w:r w:rsidRPr="00BC31E0">
        <w:rPr>
          <w:rFonts w:asciiTheme="minorHAnsi" w:hAnsiTheme="minorHAnsi"/>
        </w:rPr>
        <w:t>10%</w:t>
      </w:r>
      <w:r w:rsidRPr="00BC31E0">
        <w:rPr>
          <w:rFonts w:hint="eastAsia"/>
        </w:rPr>
        <w:t>となる繰返し回数とし，</w:t>
      </w:r>
      <w:r w:rsidRPr="00BC31E0">
        <w:rPr>
          <w:rFonts w:ascii="ＭＳ ゴシック" w:eastAsia="ＭＳ ゴシック" w:hAnsi="ＭＳ ゴシック" w:hint="eastAsia"/>
          <w:b/>
          <w:bCs/>
        </w:rPr>
        <w:t>6.9.</w:t>
      </w:r>
      <w:r w:rsidRPr="00BC31E0">
        <w:rPr>
          <w:rFonts w:ascii="ＭＳ ゴシック" w:eastAsia="ＭＳ ゴシック" w:hAnsi="ＭＳ ゴシック"/>
          <w:b/>
          <w:bCs/>
        </w:rPr>
        <w:t>8</w:t>
      </w:r>
      <w:r w:rsidRPr="00BC31E0">
        <w:rPr>
          <w:rFonts w:asciiTheme="minorEastAsia" w:eastAsiaTheme="minorEastAsia" w:hAnsiTheme="minorEastAsia" w:hint="eastAsia"/>
          <w:bCs/>
        </w:rPr>
        <w:t>～</w:t>
      </w:r>
      <w:r w:rsidRPr="00BC31E0">
        <w:rPr>
          <w:rFonts w:ascii="ＭＳ ゴシック" w:eastAsia="ＭＳ ゴシック" w:hAnsi="ＭＳ ゴシック" w:hint="eastAsia"/>
          <w:b/>
          <w:bCs/>
        </w:rPr>
        <w:t>6.9.</w:t>
      </w:r>
      <w:r w:rsidRPr="00BC31E0">
        <w:rPr>
          <w:rFonts w:ascii="ＭＳ ゴシック" w:eastAsia="ＭＳ ゴシック" w:hAnsi="ＭＳ ゴシック"/>
          <w:b/>
          <w:bCs/>
        </w:rPr>
        <w:t>11</w:t>
      </w:r>
      <w:r w:rsidRPr="00BC31E0">
        <w:rPr>
          <w:rFonts w:hint="eastAsia"/>
        </w:rPr>
        <w:t>による。</w:t>
      </w:r>
    </w:p>
    <w:p w14:paraId="2BD1373C" w14:textId="77777777" w:rsidR="00C531D5" w:rsidRPr="00BC31E0" w:rsidRDefault="00C531D5" w:rsidP="00F009AC">
      <w:pPr>
        <w:pStyle w:val="3"/>
        <w:ind w:left="794" w:hanging="794"/>
      </w:pPr>
      <w:r w:rsidRPr="00BC31E0">
        <w:rPr>
          <w:rFonts w:hint="eastAsia"/>
        </w:rPr>
        <w:t>ワイヤの疲労曲線</w:t>
      </w:r>
    </w:p>
    <w:p w14:paraId="1440C4DA" w14:textId="77777777" w:rsidR="00C531D5" w:rsidRPr="00BC31E0" w:rsidRDefault="00C531D5" w:rsidP="006775BE">
      <w:pPr>
        <w:pStyle w:val="1110"/>
        <w:ind w:firstLine="210"/>
      </w:pPr>
      <w:r w:rsidRPr="00BC31E0">
        <w:rPr>
          <w:rFonts w:hint="eastAsia"/>
        </w:rPr>
        <w:t>ワイヤの疲労曲線の引き方は，次の</w:t>
      </w:r>
      <w:r w:rsidRPr="00BC31E0">
        <w:rPr>
          <w:rFonts w:ascii="ＭＳ ゴシック" w:eastAsia="ＭＳ ゴシック" w:hAnsi="ＭＳ ゴシック" w:hint="eastAsia"/>
          <w:b/>
        </w:rPr>
        <w:t>a)</w:t>
      </w:r>
      <w:r w:rsidRPr="00BC31E0">
        <w:rPr>
          <w:rFonts w:hint="eastAsia"/>
        </w:rPr>
        <w:t>～</w:t>
      </w:r>
      <w:r w:rsidRPr="00BC31E0">
        <w:rPr>
          <w:rFonts w:ascii="ＭＳ ゴシック" w:eastAsia="ＭＳ ゴシック" w:hAnsi="ＭＳ ゴシック" w:hint="eastAsia"/>
          <w:b/>
        </w:rPr>
        <w:t>e)</w:t>
      </w:r>
      <w:r w:rsidRPr="00BC31E0">
        <w:rPr>
          <w:rFonts w:hint="eastAsia"/>
        </w:rPr>
        <w:t>による。</w:t>
      </w:r>
    </w:p>
    <w:p w14:paraId="13CCA0B0" w14:textId="77777777" w:rsidR="00C531D5" w:rsidRPr="00BC31E0" w:rsidRDefault="00C531D5" w:rsidP="00736130">
      <w:pPr>
        <w:pStyle w:val="a4"/>
        <w:numPr>
          <w:ilvl w:val="0"/>
          <w:numId w:val="134"/>
        </w:numPr>
        <w:ind w:leftChars="0" w:left="454" w:hanging="454"/>
      </w:pPr>
      <w:r w:rsidRPr="00BC31E0">
        <w:rPr>
          <w:rFonts w:hint="eastAsia"/>
        </w:rPr>
        <w:t>細長比が</w:t>
      </w:r>
      <w:r w:rsidRPr="00BC31E0">
        <w:rPr>
          <w:rFonts w:asciiTheme="minorHAnsi" w:hAnsiTheme="minorHAnsi"/>
        </w:rPr>
        <w:t>30</w:t>
      </w:r>
      <w:r w:rsidRPr="00BC31E0">
        <w:rPr>
          <w:rFonts w:hint="eastAsia"/>
        </w:rPr>
        <w:t>以上の試験片で疲労試験を行う。疲労試験に使用する材料は，実機に使用する材料と同一製造者，同一鋼種，同一製造方法とする。</w:t>
      </w:r>
    </w:p>
    <w:p w14:paraId="2C3D29F9" w14:textId="77777777" w:rsidR="00C531D5" w:rsidRPr="00BC31E0" w:rsidRDefault="00C531D5" w:rsidP="00736130">
      <w:pPr>
        <w:pStyle w:val="a4"/>
        <w:numPr>
          <w:ilvl w:val="0"/>
          <w:numId w:val="134"/>
        </w:numPr>
        <w:spacing w:after="120"/>
        <w:ind w:leftChars="0" w:left="454" w:hanging="454"/>
        <w:rPr>
          <w:iCs/>
          <w:sz w:val="22"/>
        </w:rPr>
      </w:pPr>
      <w:r w:rsidRPr="00BC31E0">
        <w:rPr>
          <w:rFonts w:hint="eastAsia"/>
        </w:rPr>
        <w:t>試験片が座屈しないような平均相当応力</w:t>
      </w:r>
      <m:oMath>
        <m:sSub>
          <m:sSubPr>
            <m:ctrlPr>
              <w:rPr>
                <w:rFonts w:ascii="Cambria Math" w:hAnsi="Cambria Math"/>
                <w:i/>
              </w:rPr>
            </m:ctrlPr>
          </m:sSubPr>
          <m:e>
            <m:r>
              <w:rPr>
                <w:rFonts w:ascii="Cambria Math" w:hAnsi="Cambria Math"/>
              </w:rPr>
              <m:t xml:space="preserve"> S</m:t>
            </m:r>
          </m:e>
          <m:sub>
            <m:r>
              <w:rPr>
                <w:rFonts w:ascii="Cambria Math" w:hAnsi="Cambria Math"/>
              </w:rPr>
              <m:t>m</m:t>
            </m:r>
          </m:sub>
        </m:sSub>
        <m:r>
          <m:rPr>
            <m:sty m:val="p"/>
          </m:rPr>
          <w:rPr>
            <w:rFonts w:ascii="Cambria Math" w:hAnsi="Cambria Math"/>
          </w:rPr>
          <m:t xml:space="preserve"> </m:t>
        </m:r>
      </m:oMath>
      <w:r w:rsidRPr="00BC31E0">
        <w:rPr>
          <w:rFonts w:hint="eastAsia"/>
        </w:rPr>
        <w:t>を決める。疲労試験は，同一の平均相当応力</w:t>
      </w:r>
      <m:oMath>
        <m:sSub>
          <m:sSubPr>
            <m:ctrlPr>
              <w:rPr>
                <w:rFonts w:ascii="Cambria Math" w:hAnsi="Cambria Math"/>
                <w:i/>
              </w:rPr>
            </m:ctrlPr>
          </m:sSubPr>
          <m:e>
            <m:r>
              <w:rPr>
                <w:rFonts w:ascii="Cambria Math" w:hAnsi="Cambria Math"/>
              </w:rPr>
              <m:t xml:space="preserve"> S</m:t>
            </m:r>
          </m:e>
          <m:sub>
            <m:r>
              <w:rPr>
                <w:rFonts w:ascii="Cambria Math" w:hAnsi="Cambria Math"/>
              </w:rPr>
              <m:t>m</m:t>
            </m:r>
          </m:sub>
        </m:sSub>
      </m:oMath>
      <w:r w:rsidRPr="00BC31E0">
        <w:rPr>
          <w:rFonts w:hint="eastAsia"/>
        </w:rPr>
        <w:t>において相当応力振幅</w:t>
      </w:r>
      <m:oMath>
        <m:sSub>
          <m:sSubPr>
            <m:ctrlPr>
              <w:rPr>
                <w:rFonts w:ascii="Cambria Math" w:hAnsi="Cambria Math"/>
                <w:i/>
              </w:rPr>
            </m:ctrlPr>
          </m:sSubPr>
          <m:e>
            <m:r>
              <w:rPr>
                <w:rFonts w:ascii="Cambria Math" w:hAnsi="Cambria Math"/>
              </w:rPr>
              <m:t xml:space="preserve"> S</m:t>
            </m:r>
          </m:e>
          <m:sub>
            <m:r>
              <w:rPr>
                <w:rFonts w:ascii="Cambria Math" w:hAnsi="Cambria Math"/>
              </w:rPr>
              <m:t>a</m:t>
            </m:r>
          </m:sub>
        </m:sSub>
        <m:r>
          <m:rPr>
            <m:sty m:val="p"/>
          </m:rPr>
          <w:rPr>
            <w:rFonts w:ascii="Cambria Math" w:hAnsi="Cambria Math"/>
          </w:rPr>
          <m:t xml:space="preserve"> </m:t>
        </m:r>
      </m:oMath>
      <w:r w:rsidRPr="00BC31E0">
        <w:rPr>
          <w:rFonts w:hint="eastAsia"/>
        </w:rPr>
        <w:t>を変えて行う。</w:t>
      </w:r>
      <m:oMath>
        <m:sSub>
          <m:sSubPr>
            <m:ctrlPr>
              <w:rPr>
                <w:rFonts w:ascii="Cambria Math" w:hAnsi="Cambria Math"/>
                <w:i/>
              </w:rPr>
            </m:ctrlPr>
          </m:sSubPr>
          <m:e>
            <m:r>
              <w:rPr>
                <w:rFonts w:ascii="Cambria Math" w:hAnsi="Cambria Math"/>
              </w:rPr>
              <m:t>S</m:t>
            </m:r>
          </m:e>
          <m:sub>
            <m:r>
              <w:rPr>
                <w:rFonts w:ascii="Cambria Math" w:hAnsi="Cambria Math"/>
              </w:rPr>
              <m:t>m</m:t>
            </m:r>
          </m:sub>
        </m:sSub>
      </m:oMath>
      <w:r w:rsidRPr="00BC31E0">
        <w:rPr>
          <w:rFonts w:hint="eastAsia"/>
          <w:iCs/>
          <w:sz w:val="22"/>
        </w:rPr>
        <w:t>，</w:t>
      </w:r>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 xml:space="preserve"> </m:t>
        </m:r>
      </m:oMath>
      <w:r w:rsidRPr="00BC31E0">
        <w:rPr>
          <w:rFonts w:hint="eastAsia"/>
        </w:rPr>
        <w:t>は次による。</w:t>
      </w:r>
    </w:p>
    <w:p w14:paraId="41800B7A" w14:textId="77777777" w:rsidR="00C531D5" w:rsidRPr="00BC31E0" w:rsidRDefault="00C531D5" w:rsidP="006775BE">
      <w:pPr>
        <w:tabs>
          <w:tab w:val="left" w:pos="2977"/>
          <w:tab w:val="left" w:leader="middleDot" w:pos="8222"/>
        </w:tabs>
        <w:autoSpaceDE w:val="0"/>
        <w:autoSpaceDN w:val="0"/>
      </w:pPr>
      <w:r w:rsidRPr="00BC31E0">
        <w:rPr>
          <w:rFonts w:hint="eastAsia"/>
        </w:rPr>
        <w:tab/>
      </w:r>
      <m:oMath>
        <m:sSub>
          <m:sSubPr>
            <m:ctrlPr>
              <w:rPr>
                <w:rFonts w:ascii="Cambria Math" w:hAnsi="Cambria Math"/>
                <w:i/>
              </w:rPr>
            </m:ctrlPr>
          </m:sSubPr>
          <m:e>
            <m:r>
              <w:rPr>
                <w:rFonts w:ascii="Cambria Math" w:hAnsi="Cambria Math"/>
              </w:rPr>
              <m:t>S</m:t>
            </m:r>
          </m:e>
          <m:sub>
            <m:r>
              <w:rPr>
                <w:rFonts w:ascii="Cambria Math" w:hAnsi="Cambria Math"/>
              </w:rPr>
              <m:t>m</m:t>
            </m:r>
          </m:sub>
        </m:sSub>
        <m:r>
          <w:rPr>
            <w:rFonts w:ascii="Cambria Math" w:hAnsi="Cambria Math"/>
          </w:rPr>
          <m:t xml:space="preserve">=0.5 </m:t>
        </m:r>
        <m:d>
          <m:dPr>
            <m:ctrlPr>
              <w:rPr>
                <w:rFonts w:ascii="Cambria Math" w:hAnsi="Cambria Math"/>
                <w:i/>
              </w:rPr>
            </m:ctrlPr>
          </m:dPr>
          <m:e>
            <m:sSub>
              <m:sSubPr>
                <m:ctrlPr>
                  <w:rPr>
                    <w:rFonts w:ascii="Cambria Math" w:hAnsi="Cambria Math"/>
                    <w:i/>
                  </w:rPr>
                </m:ctrlPr>
              </m:sSubPr>
              <m:e>
                <m:r>
                  <w:rPr>
                    <w:rFonts w:ascii="Cambria Math" w:hAnsi="Cambria Math"/>
                  </w:rPr>
                  <m:t>S</m:t>
                </m:r>
              </m:e>
              <m:sub>
                <m:r>
                  <m:rPr>
                    <m:sty m:val="p"/>
                  </m:rP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m:rPr>
                    <m:sty m:val="p"/>
                  </m:rPr>
                  <w:rPr>
                    <w:rFonts w:ascii="Cambria Math" w:hAnsi="Cambria Math"/>
                  </w:rPr>
                  <m:t>min</m:t>
                </m:r>
              </m:sub>
            </m:sSub>
          </m:e>
        </m:d>
      </m:oMath>
      <w:r w:rsidRPr="00BC31E0">
        <w:rPr>
          <w:rFonts w:hint="eastAsia"/>
        </w:rPr>
        <w:tab/>
        <w:t>(6.9.6)</w:t>
      </w:r>
    </w:p>
    <w:p w14:paraId="68450EE0" w14:textId="77777777" w:rsidR="00C531D5" w:rsidRPr="00BC31E0" w:rsidRDefault="00C531D5" w:rsidP="006775BE">
      <w:pPr>
        <w:tabs>
          <w:tab w:val="left" w:pos="2977"/>
          <w:tab w:val="left" w:leader="middleDot" w:pos="8222"/>
        </w:tabs>
        <w:autoSpaceDE w:val="0"/>
        <w:autoSpaceDN w:val="0"/>
        <w:spacing w:before="120"/>
      </w:pPr>
      <w:r w:rsidRPr="00BC31E0">
        <w:rPr>
          <w:rFonts w:hint="eastAsia"/>
        </w:rPr>
        <w:tab/>
      </w:r>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 xml:space="preserve">=0.5 </m:t>
        </m:r>
        <m:d>
          <m:dPr>
            <m:ctrlPr>
              <w:rPr>
                <w:rFonts w:ascii="Cambria Math" w:hAnsi="Cambria Math"/>
                <w:i/>
              </w:rPr>
            </m:ctrlPr>
          </m:dPr>
          <m:e>
            <m:sSub>
              <m:sSubPr>
                <m:ctrlPr>
                  <w:rPr>
                    <w:rFonts w:ascii="Cambria Math" w:hAnsi="Cambria Math"/>
                    <w:i/>
                  </w:rPr>
                </m:ctrlPr>
              </m:sSubPr>
              <m:e>
                <m:r>
                  <w:rPr>
                    <w:rFonts w:ascii="Cambria Math" w:hAnsi="Cambria Math"/>
                  </w:rPr>
                  <m:t>S</m:t>
                </m:r>
              </m:e>
              <m:sub>
                <m:r>
                  <m:rPr>
                    <m:sty m:val="p"/>
                  </m:rP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m:rPr>
                    <m:sty m:val="p"/>
                  </m:rPr>
                  <w:rPr>
                    <w:rFonts w:ascii="Cambria Math" w:hAnsi="Cambria Math"/>
                  </w:rPr>
                  <m:t>min</m:t>
                </m:r>
              </m:sub>
            </m:sSub>
          </m:e>
        </m:d>
      </m:oMath>
      <w:r w:rsidRPr="00BC31E0">
        <w:rPr>
          <w:rFonts w:hint="eastAsia"/>
        </w:rPr>
        <w:tab/>
        <w:t>(6.9.7)</w:t>
      </w:r>
    </w:p>
    <w:p w14:paraId="3C58931F" w14:textId="77777777" w:rsidR="00C531D5" w:rsidRPr="00BC31E0" w:rsidRDefault="00C531D5" w:rsidP="006775BE">
      <w:pPr>
        <w:tabs>
          <w:tab w:val="left" w:pos="210"/>
        </w:tabs>
        <w:autoSpaceDE w:val="0"/>
        <w:autoSpaceDN w:val="0"/>
        <w:ind w:left="454" w:firstLine="227"/>
      </w:pPr>
      <w:r w:rsidRPr="00BC31E0">
        <w:rPr>
          <w:rFonts w:hint="eastAsia"/>
        </w:rPr>
        <w:t>ここで，</w:t>
      </w:r>
    </w:p>
    <w:p w14:paraId="2D10EDBF" w14:textId="77777777" w:rsidR="00C531D5" w:rsidRPr="00BC31E0" w:rsidRDefault="00A51873" w:rsidP="006775BE">
      <w:pPr>
        <w:tabs>
          <w:tab w:val="left" w:pos="1701"/>
        </w:tabs>
        <w:autoSpaceDE w:val="0"/>
        <w:autoSpaceDN w:val="0"/>
        <w:ind w:left="1985" w:hanging="851"/>
      </w:pPr>
      <m:oMath>
        <m:sSub>
          <m:sSubPr>
            <m:ctrlPr>
              <w:rPr>
                <w:rFonts w:ascii="Cambria Math" w:hAnsi="Cambria Math"/>
                <w:i/>
              </w:rPr>
            </m:ctrlPr>
          </m:sSubPr>
          <m:e>
            <m:r>
              <w:rPr>
                <w:rFonts w:ascii="Cambria Math" w:hAnsi="Cambria Math"/>
              </w:rPr>
              <m:t>S</m:t>
            </m:r>
          </m:e>
          <m:sub>
            <m:r>
              <w:rPr>
                <w:rFonts w:ascii="Cambria Math" w:hAnsi="Cambria Math"/>
              </w:rPr>
              <m:t>a</m:t>
            </m:r>
          </m:sub>
        </m:sSub>
      </m:oMath>
      <w:r w:rsidR="00C531D5" w:rsidRPr="00BC31E0">
        <w:rPr>
          <w:rFonts w:hint="eastAsia"/>
        </w:rPr>
        <w:tab/>
      </w:r>
      <w:r w:rsidR="00C531D5" w:rsidRPr="00BC31E0">
        <w:rPr>
          <w:rFonts w:hint="eastAsia"/>
        </w:rPr>
        <w:t>：</w:t>
      </w:r>
      <w:r w:rsidR="00C531D5" w:rsidRPr="00BC31E0">
        <w:rPr>
          <w:rFonts w:hint="eastAsia"/>
        </w:rPr>
        <w:t xml:space="preserve"> </w:t>
      </w:r>
      <w:r w:rsidR="00C531D5" w:rsidRPr="00BC31E0">
        <w:rPr>
          <w:rFonts w:hint="eastAsia"/>
        </w:rPr>
        <w:t>疲労試験中の疲労強度評価部における相当応力振幅</w:t>
      </w:r>
      <w:r w:rsidR="00244B97" w:rsidRPr="00BC31E0">
        <w:rPr>
          <w:rFonts w:hint="eastAsia"/>
        </w:rPr>
        <w:t>(</w:t>
      </w:r>
      <w:r w:rsidR="00C531D5" w:rsidRPr="00BC31E0">
        <w:rPr>
          <w:rFonts w:hint="eastAsia"/>
        </w:rPr>
        <w:t>ワイヤの場合は軸方向応力振幅</w:t>
      </w:r>
      <w:r w:rsidR="00244B97" w:rsidRPr="00BC31E0">
        <w:rPr>
          <w:rFonts w:hint="eastAsia"/>
        </w:rPr>
        <w:t>)</w:t>
      </w:r>
    </w:p>
    <w:p w14:paraId="7D7D77EC" w14:textId="77777777" w:rsidR="00C531D5" w:rsidRPr="00BC31E0" w:rsidRDefault="00A51873" w:rsidP="006775BE">
      <w:pPr>
        <w:tabs>
          <w:tab w:val="left" w:pos="1176"/>
          <w:tab w:val="left" w:pos="1701"/>
        </w:tabs>
        <w:autoSpaceDE w:val="0"/>
        <w:autoSpaceDN w:val="0"/>
        <w:ind w:left="1134"/>
      </w:pPr>
      <m:oMath>
        <m:sSub>
          <m:sSubPr>
            <m:ctrlPr>
              <w:rPr>
                <w:rFonts w:ascii="Cambria Math" w:hAnsi="Cambria Math"/>
              </w:rPr>
            </m:ctrlPr>
          </m:sSubPr>
          <m:e>
            <m:r>
              <w:rPr>
                <w:rFonts w:ascii="Cambria Math" w:hAnsi="Cambria Math"/>
              </w:rPr>
              <m:t>S</m:t>
            </m:r>
          </m:e>
          <m:sub>
            <m:r>
              <m:rPr>
                <m:sty m:val="p"/>
              </m:rPr>
              <w:rPr>
                <w:rFonts w:ascii="Cambria Math" w:hAnsi="Cambria Math"/>
              </w:rPr>
              <m:t>max</m:t>
            </m:r>
          </m:sub>
        </m:sSub>
      </m:oMath>
      <w:r w:rsidR="00C531D5" w:rsidRPr="00BC31E0">
        <w:rPr>
          <w:rFonts w:hint="eastAsia"/>
          <w:iCs/>
          <w:sz w:val="22"/>
        </w:rPr>
        <w:tab/>
      </w:r>
      <w:r w:rsidR="00C531D5" w:rsidRPr="00BC31E0">
        <w:rPr>
          <w:rFonts w:hint="eastAsia"/>
          <w:iCs/>
        </w:rPr>
        <w:t>：</w:t>
      </w:r>
      <w:r w:rsidR="00C531D5" w:rsidRPr="00BC31E0">
        <w:rPr>
          <w:rFonts w:hint="eastAsia"/>
          <w:iCs/>
        </w:rPr>
        <w:t xml:space="preserve"> </w:t>
      </w:r>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 xml:space="preserve"> </m:t>
        </m:r>
      </m:oMath>
      <w:r w:rsidR="00C531D5" w:rsidRPr="00BC31E0">
        <w:rPr>
          <w:rFonts w:hint="eastAsia"/>
        </w:rPr>
        <w:t>を与えるサイクル中の相当応力</w:t>
      </w:r>
      <w:r w:rsidR="00244B97" w:rsidRPr="00BC31E0">
        <w:rPr>
          <w:rFonts w:hint="eastAsia"/>
        </w:rPr>
        <w:t>(</w:t>
      </w:r>
      <w:r w:rsidR="00C531D5" w:rsidRPr="00BC31E0">
        <w:rPr>
          <w:rFonts w:hint="eastAsia"/>
        </w:rPr>
        <w:t>軸方向応力</w:t>
      </w:r>
      <w:r w:rsidR="00244B97" w:rsidRPr="00BC31E0">
        <w:rPr>
          <w:rFonts w:hint="eastAsia"/>
        </w:rPr>
        <w:t>)</w:t>
      </w:r>
      <w:r w:rsidR="00C531D5" w:rsidRPr="00BC31E0">
        <w:rPr>
          <w:rFonts w:hint="eastAsia"/>
        </w:rPr>
        <w:t>の最大値</w:t>
      </w:r>
    </w:p>
    <w:p w14:paraId="516E9A23" w14:textId="77777777" w:rsidR="00C531D5" w:rsidRPr="00BC31E0" w:rsidRDefault="00A51873" w:rsidP="006775BE">
      <w:pPr>
        <w:tabs>
          <w:tab w:val="left" w:pos="1176"/>
          <w:tab w:val="left" w:pos="1701"/>
        </w:tabs>
        <w:autoSpaceDE w:val="0"/>
        <w:autoSpaceDN w:val="0"/>
        <w:ind w:left="1134"/>
      </w:pPr>
      <m:oMath>
        <m:sSub>
          <m:sSubPr>
            <m:ctrlPr>
              <w:rPr>
                <w:rFonts w:ascii="Cambria Math" w:hAnsi="Cambria Math"/>
              </w:rPr>
            </m:ctrlPr>
          </m:sSubPr>
          <m:e>
            <m:r>
              <w:rPr>
                <w:rFonts w:ascii="Cambria Math" w:hAnsi="Cambria Math"/>
              </w:rPr>
              <m:t>S</m:t>
            </m:r>
          </m:e>
          <m:sub>
            <m:r>
              <m:rPr>
                <m:sty m:val="p"/>
              </m:rPr>
              <w:rPr>
                <w:rFonts w:ascii="Cambria Math" w:hAnsi="Cambria Math"/>
              </w:rPr>
              <m:t>min</m:t>
            </m:r>
          </m:sub>
        </m:sSub>
      </m:oMath>
      <w:r w:rsidR="00C531D5" w:rsidRPr="00BC31E0">
        <w:rPr>
          <w:rFonts w:hint="eastAsia"/>
          <w:iCs/>
          <w:sz w:val="22"/>
        </w:rPr>
        <w:tab/>
      </w:r>
      <w:r w:rsidR="00C531D5" w:rsidRPr="00BC31E0">
        <w:rPr>
          <w:rFonts w:hint="eastAsia"/>
          <w:iCs/>
        </w:rPr>
        <w:t>：</w:t>
      </w:r>
      <w:r w:rsidR="00C531D5" w:rsidRPr="00BC31E0">
        <w:rPr>
          <w:rFonts w:hint="eastAsia"/>
          <w:iCs/>
        </w:rPr>
        <w:t xml:space="preserve"> </w:t>
      </w:r>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 xml:space="preserve"> </m:t>
        </m:r>
      </m:oMath>
      <w:r w:rsidR="00C531D5" w:rsidRPr="00BC31E0">
        <w:rPr>
          <w:rFonts w:hint="eastAsia"/>
        </w:rPr>
        <w:t>を与えるサイクル中の相当応力</w:t>
      </w:r>
      <w:r w:rsidR="00244B97" w:rsidRPr="00BC31E0">
        <w:rPr>
          <w:rFonts w:hint="eastAsia"/>
        </w:rPr>
        <w:t>(</w:t>
      </w:r>
      <w:r w:rsidR="00C531D5" w:rsidRPr="00BC31E0">
        <w:rPr>
          <w:rFonts w:hint="eastAsia"/>
        </w:rPr>
        <w:t>軸方向応力</w:t>
      </w:r>
      <w:r w:rsidR="00244B97" w:rsidRPr="00BC31E0">
        <w:rPr>
          <w:rFonts w:hint="eastAsia"/>
        </w:rPr>
        <w:t>)</w:t>
      </w:r>
      <w:r w:rsidR="00C531D5" w:rsidRPr="00BC31E0">
        <w:rPr>
          <w:rFonts w:hint="eastAsia"/>
        </w:rPr>
        <w:t>の最小値</w:t>
      </w:r>
    </w:p>
    <w:p w14:paraId="1B1BFEDE" w14:textId="77777777" w:rsidR="00C531D5" w:rsidRPr="00BC31E0" w:rsidRDefault="00C531D5" w:rsidP="00736130">
      <w:pPr>
        <w:pStyle w:val="a4"/>
        <w:numPr>
          <w:ilvl w:val="0"/>
          <w:numId w:val="134"/>
        </w:numPr>
        <w:ind w:leftChars="0" w:left="454" w:hanging="454"/>
      </w:pPr>
      <w:r w:rsidRPr="00BC31E0">
        <w:rPr>
          <w:rFonts w:hint="eastAsia"/>
        </w:rPr>
        <w:t>少なくとも</w:t>
      </w:r>
      <w:r w:rsidRPr="00BC31E0">
        <w:rPr>
          <w:rFonts w:asciiTheme="minorHAnsi" w:hAnsiTheme="minorHAnsi"/>
        </w:rPr>
        <w:t>4</w:t>
      </w:r>
      <w:r w:rsidRPr="00BC31E0">
        <w:rPr>
          <w:rFonts w:hint="eastAsia"/>
        </w:rPr>
        <w:t>種のレベルの応力振幅</w:t>
      </w:r>
      <m:oMath>
        <m:sSub>
          <m:sSubPr>
            <m:ctrlPr>
              <w:rPr>
                <w:rFonts w:ascii="Cambria Math" w:hAnsi="Cambria Math"/>
                <w:i/>
              </w:rPr>
            </m:ctrlPr>
          </m:sSubPr>
          <m:e>
            <m:r>
              <w:rPr>
                <w:rFonts w:ascii="Cambria Math" w:hAnsi="Cambria Math"/>
              </w:rPr>
              <m:t xml:space="preserve"> S</m:t>
            </m:r>
          </m:e>
          <m:sub>
            <m:r>
              <w:rPr>
                <w:rFonts w:ascii="Cambria Math" w:hAnsi="Cambria Math"/>
              </w:rPr>
              <m:t xml:space="preserve">a </m:t>
            </m:r>
          </m:sub>
        </m:sSub>
      </m:oMath>
      <w:r w:rsidRPr="00BC31E0">
        <w:rPr>
          <w:rFonts w:hint="eastAsia"/>
        </w:rPr>
        <w:t>で，最低でも</w:t>
      </w:r>
      <w:r w:rsidRPr="00BC31E0">
        <w:rPr>
          <w:rFonts w:asciiTheme="minorHAnsi" w:hAnsiTheme="minorHAnsi"/>
        </w:rPr>
        <w:t>1</w:t>
      </w:r>
      <w:r w:rsidRPr="00BC31E0">
        <w:rPr>
          <w:rFonts w:hint="eastAsia"/>
        </w:rPr>
        <w:t>レベル</w:t>
      </w:r>
      <w:r w:rsidRPr="00BC31E0">
        <w:rPr>
          <w:rFonts w:asciiTheme="minorHAnsi" w:hAnsiTheme="minorHAnsi"/>
        </w:rPr>
        <w:t>6</w:t>
      </w:r>
      <w:r w:rsidRPr="00BC31E0">
        <w:rPr>
          <w:rFonts w:hint="eastAsia"/>
        </w:rPr>
        <w:t>回の試験を行い，疲労破断</w:t>
      </w:r>
      <w:r w:rsidRPr="00BC31E0">
        <w:rPr>
          <w:rFonts w:hint="eastAsia"/>
        </w:rPr>
        <w:lastRenderedPageBreak/>
        <w:t>回数</w:t>
      </w:r>
      <m:oMath>
        <m:sSub>
          <m:sSubPr>
            <m:ctrlPr>
              <w:rPr>
                <w:rFonts w:ascii="Cambria Math" w:eastAsiaTheme="minorEastAsia" w:hAnsiTheme="minorEastAsia"/>
              </w:rPr>
            </m:ctrlPr>
          </m:sSubPr>
          <m:e>
            <m:r>
              <w:rPr>
                <w:rFonts w:ascii="Cambria Math" w:eastAsiaTheme="minorEastAsia" w:hAnsi="Cambria Math"/>
              </w:rPr>
              <m:t xml:space="preserve"> N</m:t>
            </m:r>
          </m:e>
          <m:sub>
            <m:r>
              <w:rPr>
                <w:rFonts w:ascii="Cambria Math" w:eastAsiaTheme="minorEastAsia" w:hAnsi="Cambria Math"/>
              </w:rPr>
              <m:t xml:space="preserve">f </m:t>
            </m:r>
          </m:sub>
        </m:sSub>
      </m:oMath>
      <w:r w:rsidRPr="00BC31E0">
        <w:rPr>
          <w:rFonts w:hint="eastAsia"/>
        </w:rPr>
        <w:t>を決める。</w:t>
      </w:r>
    </w:p>
    <w:p w14:paraId="1C0D4F6F" w14:textId="77777777" w:rsidR="00C531D5" w:rsidRPr="00BC31E0" w:rsidRDefault="00A51873" w:rsidP="00736130">
      <w:pPr>
        <w:pStyle w:val="a4"/>
        <w:numPr>
          <w:ilvl w:val="0"/>
          <w:numId w:val="134"/>
        </w:numPr>
        <w:ind w:leftChars="0"/>
      </w:pPr>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 xml:space="preserve"> </m:t>
        </m:r>
      </m:oMath>
      <w:r w:rsidR="00C531D5" w:rsidRPr="00BC31E0">
        <w:rPr>
          <w:rFonts w:hint="eastAsia"/>
        </w:rPr>
        <w:t>と</w:t>
      </w:r>
      <m:oMath>
        <m:sSub>
          <m:sSubPr>
            <m:ctrlPr>
              <w:rPr>
                <w:rFonts w:ascii="Cambria Math" w:eastAsiaTheme="minorEastAsia" w:hAnsiTheme="minorEastAsia"/>
              </w:rPr>
            </m:ctrlPr>
          </m:sSubPr>
          <m:e>
            <m:r>
              <w:rPr>
                <w:rFonts w:ascii="Cambria Math" w:eastAsiaTheme="minorEastAsia" w:hAnsi="Cambria Math"/>
              </w:rPr>
              <m:t xml:space="preserve"> N</m:t>
            </m:r>
          </m:e>
          <m:sub>
            <m:r>
              <w:rPr>
                <w:rFonts w:ascii="Cambria Math" w:eastAsiaTheme="minorEastAsia" w:hAnsi="Cambria Math"/>
              </w:rPr>
              <m:t xml:space="preserve">f </m:t>
            </m:r>
          </m:sub>
        </m:sSub>
      </m:oMath>
      <w:r w:rsidR="00C531D5" w:rsidRPr="00BC31E0">
        <w:rPr>
          <w:rFonts w:hint="eastAsia"/>
        </w:rPr>
        <w:t>をグラフ化し，最適疲労曲線</w:t>
      </w:r>
      <m:oMath>
        <m:sSub>
          <m:sSubPr>
            <m:ctrlPr>
              <w:rPr>
                <w:rFonts w:ascii="Cambria Math" w:hAnsi="Cambria Math"/>
                <w:i/>
              </w:rPr>
            </m:ctrlPr>
          </m:sSubPr>
          <m:e>
            <m:r>
              <w:rPr>
                <w:rFonts w:ascii="Cambria Math" w:hAnsi="Cambria Math"/>
              </w:rPr>
              <m:t xml:space="preserve"> S</m:t>
            </m:r>
          </m:e>
          <m:sub>
            <m:r>
              <w:rPr>
                <w:rFonts w:ascii="Cambria Math" w:hAnsi="Cambria Math"/>
              </w:rPr>
              <m:t>f</m:t>
            </m:r>
          </m:sub>
        </m:sSub>
        <m:r>
          <w:rPr>
            <w:rFonts w:ascii="Cambria Math" w:hAnsi="Cambria Math"/>
          </w:rPr>
          <m:t>=f</m:t>
        </m:r>
        <m:d>
          <m:dPr>
            <m:ctrlPr>
              <w:rPr>
                <w:rFonts w:ascii="Cambria Math" w:hAnsi="Cambria Math"/>
                <w:i/>
              </w:rPr>
            </m:ctrlPr>
          </m:dPr>
          <m:e>
            <m:func>
              <m:funcPr>
                <m:ctrlPr>
                  <w:rPr>
                    <w:rFonts w:ascii="Cambria Math" w:hAnsi="Cambria Math"/>
                    <w:i/>
                  </w:rPr>
                </m:ctrlPr>
              </m:funcPr>
              <m:fName>
                <m:r>
                  <m:rPr>
                    <m:sty m:val="bi"/>
                  </m:rPr>
                  <w:rPr>
                    <w:rFonts w:ascii="Cambria Math" w:hAnsi="Cambria Math"/>
                  </w:rPr>
                  <m:t>log</m:t>
                </m:r>
              </m:fName>
              <m:e>
                <m:sSub>
                  <m:sSubPr>
                    <m:ctrlPr>
                      <w:rPr>
                        <w:rFonts w:ascii="Cambria Math" w:hAnsi="Cambria Math"/>
                        <w:i/>
                      </w:rPr>
                    </m:ctrlPr>
                  </m:sSubPr>
                  <m:e>
                    <m:r>
                      <w:rPr>
                        <w:rFonts w:ascii="Cambria Math" w:hAnsi="Cambria Math"/>
                      </w:rPr>
                      <m:t>N</m:t>
                    </m:r>
                  </m:e>
                  <m:sub>
                    <m:r>
                      <w:rPr>
                        <w:rFonts w:ascii="Cambria Math" w:hAnsi="Cambria Math"/>
                      </w:rPr>
                      <m:t>f</m:t>
                    </m:r>
                  </m:sub>
                </m:sSub>
              </m:e>
            </m:func>
          </m:e>
        </m:d>
        <m:r>
          <w:rPr>
            <w:rFonts w:ascii="Cambria Math" w:hAnsi="Cambria Math"/>
          </w:rPr>
          <m:t xml:space="preserve"> </m:t>
        </m:r>
      </m:oMath>
      <w:r w:rsidR="00C531D5" w:rsidRPr="00BC31E0">
        <w:rPr>
          <w:rFonts w:hint="eastAsia"/>
        </w:rPr>
        <w:t>を決める。</w:t>
      </w:r>
    </w:p>
    <w:p w14:paraId="45AD256C" w14:textId="77777777" w:rsidR="00C531D5" w:rsidRPr="00BC31E0" w:rsidRDefault="00C531D5" w:rsidP="00736130">
      <w:pPr>
        <w:pStyle w:val="a4"/>
        <w:numPr>
          <w:ilvl w:val="0"/>
          <w:numId w:val="134"/>
        </w:numPr>
        <w:ind w:leftChars="0" w:left="454" w:hanging="454"/>
      </w:pPr>
      <w:r w:rsidRPr="00BC31E0">
        <w:rPr>
          <w:rFonts w:asciiTheme="majorEastAsia" w:eastAsiaTheme="majorEastAsia" w:hAnsiTheme="majorEastAsia" w:hint="eastAsia"/>
          <w:b/>
        </w:rPr>
        <w:t>式(6.9.8)</w:t>
      </w:r>
      <w:r w:rsidRPr="00BC31E0">
        <w:rPr>
          <w:rFonts w:hint="eastAsia"/>
        </w:rPr>
        <w:t>により，平均応力が</w:t>
      </w:r>
      <w:r w:rsidRPr="00BC31E0">
        <w:rPr>
          <w:rFonts w:ascii="Cambria Math" w:hAnsi="Cambria Math"/>
        </w:rPr>
        <w:t>0</w:t>
      </w:r>
      <w:r w:rsidRPr="00BC31E0">
        <w:rPr>
          <w:rFonts w:hint="eastAsia"/>
        </w:rPr>
        <w:t>の</w:t>
      </w:r>
      <w:r w:rsidR="00A84424" w:rsidRPr="00BC31E0">
        <w:rPr>
          <w:rFonts w:hint="eastAsia"/>
        </w:rPr>
        <w:t>とき</w:t>
      </w:r>
      <w:r w:rsidRPr="00BC31E0">
        <w:rPr>
          <w:rFonts w:hint="eastAsia"/>
        </w:rPr>
        <w:t>の疲労曲線</w:t>
      </w:r>
      <m:oMath>
        <m:sSub>
          <m:sSubPr>
            <m:ctrlPr>
              <w:rPr>
                <w:rFonts w:ascii="Cambria Math" w:hAnsi="Cambria Math"/>
                <w:i/>
              </w:rPr>
            </m:ctrlPr>
          </m:sSubPr>
          <m:e>
            <m:r>
              <w:rPr>
                <w:rFonts w:ascii="Cambria Math" w:hAnsi="Cambria Math"/>
              </w:rPr>
              <m:t xml:space="preserve"> S</m:t>
            </m:r>
          </m:e>
          <m:sub>
            <m:r>
              <w:rPr>
                <w:rFonts w:ascii="Cambria Math" w:hAnsi="Cambria Math"/>
              </w:rPr>
              <m:t>f</m:t>
            </m:r>
          </m:sub>
        </m:sSub>
        <m:r>
          <w:rPr>
            <w:rFonts w:ascii="Cambria Math" w:hAnsi="Cambria Math"/>
          </w:rPr>
          <m:t>'=f</m:t>
        </m:r>
        <m:d>
          <m:dPr>
            <m:ctrlPr>
              <w:rPr>
                <w:rFonts w:ascii="Cambria Math" w:hAnsi="Cambria Math"/>
                <w:i/>
              </w:rPr>
            </m:ctrlPr>
          </m:dPr>
          <m:e>
            <m:func>
              <m:funcPr>
                <m:ctrlPr>
                  <w:rPr>
                    <w:rFonts w:ascii="Cambria Math" w:hAnsi="Cambria Math"/>
                    <w:i/>
                  </w:rPr>
                </m:ctrlPr>
              </m:funcPr>
              <m:fName>
                <m:r>
                  <m:rPr>
                    <m:sty m:val="bi"/>
                  </m:rPr>
                  <w:rPr>
                    <w:rFonts w:ascii="Cambria Math" w:hAnsi="Cambria Math"/>
                  </w:rPr>
                  <m:t>log</m:t>
                </m:r>
              </m:fName>
              <m:e>
                <m:sSub>
                  <m:sSubPr>
                    <m:ctrlPr>
                      <w:rPr>
                        <w:rFonts w:ascii="Cambria Math" w:hAnsi="Cambria Math"/>
                        <w:i/>
                      </w:rPr>
                    </m:ctrlPr>
                  </m:sSubPr>
                  <m:e>
                    <m:r>
                      <w:rPr>
                        <w:rFonts w:ascii="Cambria Math" w:hAnsi="Cambria Math"/>
                      </w:rPr>
                      <m:t>N</m:t>
                    </m:r>
                  </m:e>
                  <m:sub>
                    <m:r>
                      <w:rPr>
                        <w:rFonts w:ascii="Cambria Math" w:hAnsi="Cambria Math"/>
                      </w:rPr>
                      <m:t>f</m:t>
                    </m:r>
                  </m:sub>
                </m:sSub>
              </m:e>
            </m:func>
          </m:e>
        </m:d>
        <m:r>
          <w:rPr>
            <w:rFonts w:ascii="Cambria Math" w:hAnsi="Cambria Math"/>
          </w:rPr>
          <m:t xml:space="preserve"> </m:t>
        </m:r>
      </m:oMath>
      <w:r w:rsidRPr="00BC31E0">
        <w:rPr>
          <w:rFonts w:hint="eastAsia"/>
        </w:rPr>
        <w:t>を求め，これをワイヤの疲労曲線とする。</w:t>
      </w:r>
    </w:p>
    <w:tbl>
      <w:tblPr>
        <w:tblStyle w:val="afff2"/>
        <w:tblW w:w="5987" w:type="dxa"/>
        <w:tblInd w:w="3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0"/>
        <w:gridCol w:w="4107"/>
      </w:tblGrid>
      <w:tr w:rsidR="006775BE" w:rsidRPr="00BC31E0" w14:paraId="2A453D10" w14:textId="77777777" w:rsidTr="00E15C38">
        <w:tc>
          <w:tcPr>
            <w:tcW w:w="0" w:type="auto"/>
            <w:tcMar>
              <w:left w:w="0" w:type="dxa"/>
              <w:right w:w="0" w:type="dxa"/>
            </w:tcMar>
            <w:vAlign w:val="center"/>
          </w:tcPr>
          <w:p w14:paraId="1E8180BF" w14:textId="77777777" w:rsidR="006775BE" w:rsidRPr="00BC31E0" w:rsidRDefault="00A51873" w:rsidP="00DC3564">
            <w:pPr>
              <w:rPr>
                <w:rFonts w:asciiTheme="minorHAnsi" w:eastAsiaTheme="minorEastAsia" w:hAnsiTheme="minorHAnsi"/>
              </w:rPr>
            </w:pPr>
            <m:oMathPara>
              <m:oMathParaPr>
                <m:jc m:val="left"/>
              </m:oMathParaPr>
              <m:oMath>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sup>
                    <m:r>
                      <w:rPr>
                        <w:rFonts w:ascii="Cambria Math" w:eastAsiaTheme="minorEastAsia" w:hAnsi="Cambria Math"/>
                      </w:rPr>
                      <m:t>'</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 xml:space="preserve">7 </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num>
                  <m:den>
                    <m:r>
                      <w:rPr>
                        <w:rFonts w:ascii="Cambria Math" w:eastAsiaTheme="minorEastAsia" w:hAnsi="Cambria Math"/>
                      </w:rPr>
                      <m:t>8-</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m:t>
                            </m:r>
                            <m:f>
                              <m:fPr>
                                <m:ctrlPr>
                                  <w:rPr>
                                    <w:rFonts w:ascii="Cambria Math" w:eastAsiaTheme="minorEastAsia" w:hAnsi="Cambria Math"/>
                                    <w:i/>
                                  </w:rPr>
                                </m:ctrlPr>
                              </m:fPr>
                              <m:num>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m</m:t>
                                        </m:r>
                                      </m:sub>
                                    </m:sSub>
                                  </m:e>
                                  <m:sup>
                                    <m:r>
                                      <w:rPr>
                                        <w:rFonts w:ascii="Cambria Math" w:eastAsiaTheme="minorEastAsia" w:hAnsi="Cambria Math"/>
                                      </w:rPr>
                                      <m:t>'</m:t>
                                    </m:r>
                                  </m:sup>
                                </m:sSup>
                              </m:num>
                              <m:den>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u</m:t>
                                    </m:r>
                                  </m:sub>
                                </m:sSub>
                              </m:den>
                            </m:f>
                          </m:e>
                        </m:d>
                      </m:e>
                      <m:sup>
                        <m:r>
                          <w:rPr>
                            <w:rFonts w:ascii="Cambria Math" w:eastAsiaTheme="minorEastAsia" w:hAnsi="Cambria Math"/>
                          </w:rPr>
                          <m:t>3</m:t>
                        </m:r>
                      </m:sup>
                    </m:sSup>
                  </m:den>
                </m:f>
              </m:oMath>
            </m:oMathPara>
          </w:p>
        </w:tc>
        <w:tc>
          <w:tcPr>
            <w:tcW w:w="4107" w:type="dxa"/>
            <w:tcMar>
              <w:left w:w="0" w:type="dxa"/>
              <w:right w:w="0" w:type="dxa"/>
            </w:tcMar>
            <w:vAlign w:val="center"/>
          </w:tcPr>
          <w:p w14:paraId="6934D110" w14:textId="77777777" w:rsidR="006775BE" w:rsidRPr="00BC31E0" w:rsidRDefault="006775BE" w:rsidP="00DC3564">
            <w:pPr>
              <w:tabs>
                <w:tab w:val="left" w:leader="middleDot" w:pos="3257"/>
              </w:tabs>
              <w:rPr>
                <w:rFonts w:asciiTheme="minorHAnsi" w:eastAsiaTheme="minorEastAsia" w:hAnsiTheme="minorHAnsi"/>
              </w:rPr>
            </w:pPr>
            <w:r w:rsidRPr="00BC31E0">
              <w:rPr>
                <w:rFonts w:asciiTheme="minorHAnsi" w:eastAsiaTheme="minorEastAsia" w:hAnsiTheme="minorHAnsi"/>
              </w:rPr>
              <w:tab/>
            </w:r>
            <w:r w:rsidRPr="00BC31E0">
              <w:rPr>
                <w:rFonts w:asciiTheme="minorHAnsi" w:hAnsiTheme="minorHAnsi"/>
                <w:bCs/>
              </w:rPr>
              <w:t>(6.9.8)</w:t>
            </w:r>
          </w:p>
        </w:tc>
      </w:tr>
    </w:tbl>
    <w:p w14:paraId="3D445805" w14:textId="77777777" w:rsidR="00C531D5" w:rsidRPr="00BC31E0" w:rsidRDefault="00C531D5" w:rsidP="008D7FFE">
      <w:pPr>
        <w:ind w:left="454" w:firstLineChars="100" w:firstLine="210"/>
      </w:pPr>
      <w:r w:rsidRPr="00BC31E0">
        <w:rPr>
          <w:rFonts w:hint="eastAsia"/>
        </w:rPr>
        <w:t>ここで，</w:t>
      </w:r>
    </w:p>
    <w:p w14:paraId="01F17D0E" w14:textId="77777777" w:rsidR="00C531D5" w:rsidRPr="00BC31E0" w:rsidRDefault="00A51873" w:rsidP="00DC3564">
      <w:pPr>
        <w:tabs>
          <w:tab w:val="num" w:pos="1560"/>
        </w:tabs>
        <w:autoSpaceDE w:val="0"/>
        <w:autoSpaceDN w:val="0"/>
        <w:ind w:left="1134"/>
      </w:pPr>
      <m:oMath>
        <m:sSub>
          <m:sSubPr>
            <m:ctrlPr>
              <w:rPr>
                <w:rFonts w:ascii="Cambria Math" w:hAnsi="Cambria Math"/>
                <w:bCs/>
                <w:i/>
              </w:rPr>
            </m:ctrlPr>
          </m:sSubPr>
          <m:e>
            <m:r>
              <w:rPr>
                <w:rFonts w:ascii="Cambria Math" w:hAnsi="Cambria Math"/>
              </w:rPr>
              <m:t>S</m:t>
            </m:r>
          </m:e>
          <m:sub>
            <m:r>
              <w:rPr>
                <w:rFonts w:ascii="Cambria Math" w:hAnsi="Cambria Math"/>
              </w:rPr>
              <m:t>u</m:t>
            </m:r>
          </m:sub>
        </m:sSub>
      </m:oMath>
      <w:r w:rsidR="00C531D5" w:rsidRPr="00BC31E0">
        <w:rPr>
          <w:rFonts w:hint="eastAsia"/>
          <w:b/>
          <w:bCs/>
          <w:position w:val="-14"/>
        </w:rPr>
        <w:tab/>
      </w:r>
      <w:r w:rsidR="00C531D5" w:rsidRPr="00BC31E0">
        <w:rPr>
          <w:rFonts w:hint="eastAsia"/>
        </w:rPr>
        <w:t>：</w:t>
      </w:r>
      <w:r w:rsidR="00C531D5" w:rsidRPr="00BC31E0">
        <w:rPr>
          <w:rFonts w:hint="eastAsia"/>
        </w:rPr>
        <w:t xml:space="preserve"> </w:t>
      </w:r>
      <w:r w:rsidR="00C531D5" w:rsidRPr="00BC31E0">
        <w:rPr>
          <w:rFonts w:hint="eastAsia"/>
        </w:rPr>
        <w:t>ワイヤの設計温度における引張強さ</w:t>
      </w:r>
      <w:r w:rsidR="00C531D5" w:rsidRPr="00BC31E0">
        <w:rPr>
          <w:rFonts w:hint="eastAsia"/>
        </w:rPr>
        <w:t>(</w:t>
      </w:r>
      <w:r w:rsidR="00C531D5" w:rsidRPr="00BC31E0">
        <w:rPr>
          <w:rFonts w:asciiTheme="minorHAnsi" w:hAnsiTheme="minorHAnsi"/>
        </w:rPr>
        <w:t>MPa</w:t>
      </w:r>
      <w:r w:rsidR="00C531D5" w:rsidRPr="00BC31E0">
        <w:rPr>
          <w:rFonts w:hint="eastAsia"/>
        </w:rPr>
        <w:t>)</w:t>
      </w:r>
    </w:p>
    <w:p w14:paraId="28572F45" w14:textId="77777777" w:rsidR="00C531D5" w:rsidRPr="00BC31E0" w:rsidRDefault="00A51873" w:rsidP="00786D77">
      <w:pPr>
        <w:tabs>
          <w:tab w:val="left" w:pos="1560"/>
        </w:tabs>
        <w:spacing w:after="120"/>
        <w:ind w:left="1134"/>
      </w:pPr>
      <m:oMath>
        <m:sSup>
          <m:sSupPr>
            <m:ctrlPr>
              <w:rPr>
                <w:rFonts w:ascii="Cambria Math" w:hAnsi="Cambria Math"/>
                <w:bCs/>
                <w:i/>
              </w:rPr>
            </m:ctrlPr>
          </m:sSupPr>
          <m:e>
            <m:sSub>
              <m:sSubPr>
                <m:ctrlPr>
                  <w:rPr>
                    <w:rFonts w:ascii="Cambria Math" w:hAnsi="Cambria Math"/>
                    <w:bCs/>
                    <w:i/>
                  </w:rPr>
                </m:ctrlPr>
              </m:sSubPr>
              <m:e>
                <m:r>
                  <w:rPr>
                    <w:rFonts w:ascii="Cambria Math" w:hAnsi="Cambria Math"/>
                  </w:rPr>
                  <m:t>S</m:t>
                </m:r>
              </m:e>
              <m:sub>
                <m:r>
                  <w:rPr>
                    <w:rFonts w:ascii="Cambria Math" w:hAnsi="Cambria Math"/>
                  </w:rPr>
                  <m:t>m</m:t>
                </m:r>
              </m:sub>
            </m:sSub>
          </m:e>
          <m:sup>
            <m:r>
              <w:rPr>
                <w:rFonts w:ascii="Cambria Math" w:hAnsi="Cambria Math"/>
              </w:rPr>
              <m:t>'</m:t>
            </m:r>
          </m:sup>
        </m:sSup>
      </m:oMath>
      <w:r w:rsidR="00C531D5" w:rsidRPr="00BC31E0">
        <w:rPr>
          <w:rFonts w:hint="eastAsia"/>
          <w:b/>
          <w:bCs/>
          <w:position w:val="-14"/>
        </w:rPr>
        <w:tab/>
      </w:r>
      <w:r w:rsidR="00C531D5" w:rsidRPr="00BC31E0">
        <w:rPr>
          <w:rFonts w:hint="eastAsia"/>
        </w:rPr>
        <w:t>：</w:t>
      </w:r>
      <w:r w:rsidR="00C531D5" w:rsidRPr="00BC31E0">
        <w:rPr>
          <w:rFonts w:hint="eastAsia"/>
        </w:rPr>
        <w:t xml:space="preserve"> </w:t>
      </w:r>
      <w:r w:rsidR="00C531D5" w:rsidRPr="00BC31E0">
        <w:rPr>
          <w:rFonts w:hint="eastAsia"/>
        </w:rPr>
        <w:t>修正平均応力で，次による。</w:t>
      </w:r>
      <w:r w:rsidR="000F14C4" w:rsidRPr="00BC31E0">
        <w:rPr>
          <w:rFonts w:hint="eastAsia"/>
        </w:rPr>
        <w:t>(</w:t>
      </w:r>
      <w:r w:rsidR="000F14C4" w:rsidRPr="00BC31E0">
        <w:rPr>
          <w:rFonts w:asciiTheme="minorHAnsi" w:hAnsiTheme="minorHAnsi"/>
        </w:rPr>
        <w:t>MPa</w:t>
      </w:r>
      <w:r w:rsidR="000F14C4" w:rsidRPr="00BC31E0">
        <w:rPr>
          <w:rFonts w:hint="eastAsia"/>
        </w:rPr>
        <w:t>)</w:t>
      </w:r>
    </w:p>
    <w:p w14:paraId="33BD31DA" w14:textId="77777777" w:rsidR="00C531D5" w:rsidRPr="00BC31E0" w:rsidRDefault="00A51873" w:rsidP="00A84424">
      <w:pPr>
        <w:tabs>
          <w:tab w:val="num" w:pos="720"/>
          <w:tab w:val="left" w:pos="5245"/>
        </w:tabs>
        <w:autoSpaceDE w:val="0"/>
        <w:autoSpaceDN w:val="0"/>
        <w:ind w:left="1928"/>
        <w:rPr>
          <w:rFonts w:asciiTheme="minorEastAsia" w:eastAsiaTheme="minorEastAsia" w:hAnsiTheme="minorEastAsia"/>
          <w:b/>
          <w:bCs/>
          <w:position w:val="-14"/>
        </w:rPr>
      </w:pPr>
      <m:oMath>
        <m:sSub>
          <m:sSubPr>
            <m:ctrlPr>
              <w:rPr>
                <w:rFonts w:ascii="Cambria Math" w:eastAsiaTheme="minorEastAsia" w:hAnsiTheme="minorEastAsia"/>
                <w:bCs/>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Theme="minorEastAsia"/>
          </w:rPr>
          <m:t>+</m:t>
        </m:r>
        <m:sSub>
          <m:sSubPr>
            <m:ctrlPr>
              <w:rPr>
                <w:rFonts w:ascii="Cambria Math" w:eastAsiaTheme="minorEastAsia" w:hAnsiTheme="minorEastAsia"/>
                <w:bCs/>
                <w:i/>
              </w:rPr>
            </m:ctrlPr>
          </m:sSubPr>
          <m:e>
            <m:r>
              <w:rPr>
                <w:rFonts w:ascii="Cambria Math" w:eastAsiaTheme="minorEastAsia" w:hAnsi="Cambria Math"/>
              </w:rPr>
              <m:t>S</m:t>
            </m:r>
          </m:e>
          <m:sub>
            <m:r>
              <w:rPr>
                <w:rFonts w:ascii="Cambria Math" w:eastAsiaTheme="minorEastAsia" w:hAnsi="Cambria Math"/>
              </w:rPr>
              <m:t>m</m:t>
            </m:r>
          </m:sub>
        </m:sSub>
        <m:r>
          <m:rPr>
            <m:sty m:val="p"/>
          </m:rPr>
          <w:rPr>
            <w:rFonts w:ascii="Cambria Math" w:eastAsiaTheme="minorEastAsia" w:hAnsiTheme="minorEastAsia"/>
          </w:rPr>
          <m:t>≦</m:t>
        </m:r>
        <m:sSub>
          <m:sSubPr>
            <m:ctrlPr>
              <w:rPr>
                <w:rFonts w:ascii="Cambria Math" w:eastAsiaTheme="minorEastAsia" w:hAnsiTheme="minorEastAsia"/>
                <w:bCs/>
                <w:i/>
              </w:rPr>
            </m:ctrlPr>
          </m:sSubPr>
          <m:e>
            <m:r>
              <w:rPr>
                <w:rFonts w:ascii="Cambria Math" w:eastAsiaTheme="minorEastAsia" w:hAnsi="Cambria Math"/>
              </w:rPr>
              <m:t>S</m:t>
            </m:r>
          </m:e>
          <m:sub>
            <m:r>
              <w:rPr>
                <w:rFonts w:ascii="Cambria Math" w:eastAsiaTheme="minorEastAsia" w:hAnsi="Cambria Math"/>
              </w:rPr>
              <m:t>y</m:t>
            </m:r>
          </m:sub>
        </m:sSub>
        <m:r>
          <w:rPr>
            <w:rFonts w:ascii="Cambria Math" w:eastAsiaTheme="minorEastAsia" w:hAnsiTheme="minorEastAsia"/>
          </w:rPr>
          <m:t xml:space="preserve"> </m:t>
        </m:r>
      </m:oMath>
      <w:r w:rsidR="00C531D5" w:rsidRPr="00BC31E0">
        <w:rPr>
          <w:rFonts w:asciiTheme="minorEastAsia" w:eastAsiaTheme="minorEastAsia" w:hAnsiTheme="minorEastAsia" w:hint="eastAsia"/>
        </w:rPr>
        <w:t>の</w:t>
      </w:r>
      <w:r w:rsidR="00A84424" w:rsidRPr="00BC31E0">
        <w:rPr>
          <w:rFonts w:asciiTheme="minorEastAsia" w:eastAsiaTheme="minorEastAsia" w:hAnsiTheme="minorEastAsia" w:hint="eastAsia"/>
        </w:rPr>
        <w:t>とき</w:t>
      </w:r>
      <w:r w:rsidR="00C531D5" w:rsidRPr="00BC31E0">
        <w:rPr>
          <w:rFonts w:asciiTheme="minorEastAsia" w:eastAsiaTheme="minorEastAsia" w:hAnsiTheme="minorEastAsia" w:hint="eastAsia"/>
        </w:rPr>
        <w:t>，</w:t>
      </w:r>
      <w:r w:rsidR="006775BE" w:rsidRPr="00BC31E0">
        <w:rPr>
          <w:rFonts w:asciiTheme="minorEastAsia" w:eastAsiaTheme="minorEastAsia" w:hAnsiTheme="minorEastAsia" w:hint="eastAsia"/>
        </w:rPr>
        <w:tab/>
      </w:r>
      <m:oMath>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m</m:t>
                </m:r>
              </m:sub>
            </m:sSub>
          </m:e>
          <m:sup>
            <m:r>
              <w:rPr>
                <w:rFonts w:ascii="Cambria Math" w:eastAsiaTheme="minorEastAsia" w:hAnsi="Cambria Math"/>
              </w:rPr>
              <m:t>'</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m</m:t>
            </m:r>
          </m:sub>
        </m:sSub>
      </m:oMath>
    </w:p>
    <w:p w14:paraId="7C2E431F" w14:textId="77777777" w:rsidR="00C531D5" w:rsidRPr="00BC31E0" w:rsidRDefault="00A51873" w:rsidP="00A84424">
      <w:pPr>
        <w:tabs>
          <w:tab w:val="num" w:pos="720"/>
          <w:tab w:val="left" w:pos="5245"/>
        </w:tabs>
        <w:autoSpaceDE w:val="0"/>
        <w:autoSpaceDN w:val="0"/>
        <w:ind w:left="1928"/>
        <w:rPr>
          <w:rFonts w:asciiTheme="minorEastAsia" w:eastAsiaTheme="minorEastAsia" w:hAnsiTheme="minorEastAsia"/>
          <w:b/>
          <w:bCs/>
          <w:position w:val="-14"/>
        </w:rPr>
      </w:pPr>
      <m:oMath>
        <m:sSub>
          <m:sSubPr>
            <m:ctrlPr>
              <w:rPr>
                <w:rFonts w:ascii="Cambria Math" w:eastAsiaTheme="minorEastAsia" w:hAnsiTheme="minorEastAsia"/>
                <w:bCs/>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Theme="minorEastAsia"/>
          </w:rPr>
          <m:t>+</m:t>
        </m:r>
        <m:sSub>
          <m:sSubPr>
            <m:ctrlPr>
              <w:rPr>
                <w:rFonts w:ascii="Cambria Math" w:eastAsiaTheme="minorEastAsia" w:hAnsiTheme="minorEastAsia"/>
                <w:bCs/>
                <w:i/>
              </w:rPr>
            </m:ctrlPr>
          </m:sSubPr>
          <m:e>
            <m:r>
              <w:rPr>
                <w:rFonts w:ascii="Cambria Math" w:eastAsiaTheme="minorEastAsia" w:hAnsi="Cambria Math"/>
              </w:rPr>
              <m:t>S</m:t>
            </m:r>
          </m:e>
          <m:sub>
            <m:r>
              <w:rPr>
                <w:rFonts w:ascii="Cambria Math" w:eastAsiaTheme="minorEastAsia" w:hAnsi="Cambria Math"/>
              </w:rPr>
              <m:t>m</m:t>
            </m:r>
          </m:sub>
        </m:sSub>
        <m:r>
          <m:rPr>
            <m:sty m:val="p"/>
          </m:rPr>
          <w:rPr>
            <w:rFonts w:ascii="Cambria Math" w:eastAsiaTheme="minorEastAsia" w:hAnsiTheme="minorEastAsia"/>
          </w:rPr>
          <m:t>&gt;</m:t>
        </m:r>
        <m:sSub>
          <m:sSubPr>
            <m:ctrlPr>
              <w:rPr>
                <w:rFonts w:ascii="Cambria Math" w:eastAsiaTheme="minorEastAsia" w:hAnsiTheme="minorEastAsia"/>
                <w:bCs/>
                <w:i/>
              </w:rPr>
            </m:ctrlPr>
          </m:sSubPr>
          <m:e>
            <m:r>
              <w:rPr>
                <w:rFonts w:ascii="Cambria Math" w:eastAsiaTheme="minorEastAsia" w:hAnsi="Cambria Math"/>
              </w:rPr>
              <m:t>S</m:t>
            </m:r>
          </m:e>
          <m:sub>
            <m:r>
              <w:rPr>
                <w:rFonts w:ascii="Cambria Math" w:eastAsiaTheme="minorEastAsia" w:hAnsi="Cambria Math"/>
              </w:rPr>
              <m:t>y</m:t>
            </m:r>
          </m:sub>
        </m:sSub>
        <m:r>
          <w:rPr>
            <w:rFonts w:ascii="Cambria Math" w:eastAsiaTheme="minorEastAsia" w:hAnsiTheme="minorEastAsia"/>
          </w:rPr>
          <m:t xml:space="preserve"> </m:t>
        </m:r>
      </m:oMath>
      <w:r w:rsidR="00C531D5" w:rsidRPr="00BC31E0">
        <w:rPr>
          <w:rFonts w:asciiTheme="minorEastAsia" w:eastAsiaTheme="minorEastAsia" w:hAnsiTheme="minorEastAsia" w:hint="eastAsia"/>
        </w:rPr>
        <w:t>かつ</w:t>
      </w:r>
      <m:oMath>
        <m:sSub>
          <m:sSubPr>
            <m:ctrlPr>
              <w:rPr>
                <w:rFonts w:ascii="Cambria Math" w:eastAsiaTheme="minorEastAsia" w:hAnsiTheme="minorEastAsia"/>
                <w:i/>
              </w:rPr>
            </m:ctrlPr>
          </m:sSubPr>
          <m:e>
            <m:r>
              <w:rPr>
                <w:rFonts w:ascii="Cambria Math" w:eastAsiaTheme="minorEastAsia" w:hAnsi="Cambria Math"/>
              </w:rPr>
              <m:t xml:space="preserve"> S</m:t>
            </m:r>
          </m:e>
          <m:sub>
            <m:r>
              <w:rPr>
                <w:rFonts w:ascii="Cambria Math" w:eastAsiaTheme="minorEastAsia" w:hAnsi="Cambria Math"/>
              </w:rPr>
              <m:t>a</m:t>
            </m:r>
          </m:sub>
        </m:sSub>
        <m:r>
          <m:rPr>
            <m:sty m:val="p"/>
          </m:rPr>
          <w:rPr>
            <w:rFonts w:ascii="Cambria Math" w:eastAsiaTheme="minorEastAsia" w:hAnsiTheme="minorEastAsia"/>
          </w:rPr>
          <m:t>&lt;</m:t>
        </m:r>
        <m:sSub>
          <m:sSubPr>
            <m:ctrlPr>
              <w:rPr>
                <w:rFonts w:ascii="Cambria Math" w:eastAsiaTheme="minorEastAsia" w:hAnsiTheme="minorEastAsia"/>
                <w:i/>
              </w:rPr>
            </m:ctrlPr>
          </m:sSubPr>
          <m:e>
            <m:r>
              <w:rPr>
                <w:rFonts w:ascii="Cambria Math" w:eastAsiaTheme="minorEastAsia" w:hAnsi="Cambria Math"/>
              </w:rPr>
              <m:t>S</m:t>
            </m:r>
          </m:e>
          <m:sub>
            <m:r>
              <w:rPr>
                <w:rFonts w:ascii="Cambria Math" w:eastAsiaTheme="minorEastAsia" w:hAnsi="Cambria Math"/>
              </w:rPr>
              <m:t>y</m:t>
            </m:r>
          </m:sub>
        </m:sSub>
        <m:r>
          <w:rPr>
            <w:rFonts w:ascii="Cambria Math" w:eastAsiaTheme="minorEastAsia" w:hAnsiTheme="minorEastAsia"/>
          </w:rPr>
          <m:t xml:space="preserve"> </m:t>
        </m:r>
      </m:oMath>
      <w:r w:rsidR="00C531D5" w:rsidRPr="00BC31E0">
        <w:rPr>
          <w:rFonts w:asciiTheme="minorEastAsia" w:eastAsiaTheme="minorEastAsia" w:hAnsiTheme="minorEastAsia" w:hint="eastAsia"/>
        </w:rPr>
        <w:t>の</w:t>
      </w:r>
      <w:r w:rsidR="00A84424" w:rsidRPr="00BC31E0">
        <w:rPr>
          <w:rFonts w:asciiTheme="minorEastAsia" w:eastAsiaTheme="minorEastAsia" w:hAnsiTheme="minorEastAsia" w:hint="eastAsia"/>
        </w:rPr>
        <w:t>とき</w:t>
      </w:r>
      <w:r w:rsidR="00C531D5" w:rsidRPr="00BC31E0">
        <w:rPr>
          <w:rFonts w:asciiTheme="minorEastAsia" w:eastAsiaTheme="minorEastAsia" w:hAnsiTheme="minorEastAsia" w:hint="eastAsia"/>
        </w:rPr>
        <w:t>，</w:t>
      </w:r>
      <w:r w:rsidR="00A84424" w:rsidRPr="00BC31E0">
        <w:rPr>
          <w:rFonts w:asciiTheme="minorEastAsia" w:eastAsiaTheme="minorEastAsia" w:hAnsiTheme="minorEastAsia" w:hint="eastAsia"/>
        </w:rPr>
        <w:tab/>
      </w:r>
      <m:oMath>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m</m:t>
                </m:r>
              </m:sub>
            </m:sSub>
          </m:e>
          <m:sup>
            <m:r>
              <w:rPr>
                <w:rFonts w:ascii="Cambria Math" w:eastAsiaTheme="minorEastAsia" w:hAnsi="Cambria Math"/>
              </w:rPr>
              <m:t>'</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y</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oMath>
    </w:p>
    <w:p w14:paraId="15D1EEAE" w14:textId="77777777" w:rsidR="00C531D5" w:rsidRPr="00BC31E0" w:rsidRDefault="00A51873" w:rsidP="00A84424">
      <w:pPr>
        <w:tabs>
          <w:tab w:val="num" w:pos="720"/>
          <w:tab w:val="left" w:pos="5245"/>
        </w:tabs>
        <w:autoSpaceDE w:val="0"/>
        <w:autoSpaceDN w:val="0"/>
        <w:ind w:left="1928"/>
        <w:rPr>
          <w:rFonts w:asciiTheme="minorEastAsia" w:eastAsiaTheme="minorEastAsia" w:hAnsiTheme="minorEastAsia"/>
        </w:rPr>
      </w:pPr>
      <m:oMath>
        <m:sSub>
          <m:sSubPr>
            <m:ctrlPr>
              <w:rPr>
                <w:rFonts w:ascii="Cambria Math" w:eastAsiaTheme="minorEastAsia" w:hAnsiTheme="minorEastAsia"/>
                <w:bCs/>
                <w:i/>
              </w:rPr>
            </m:ctrlPr>
          </m:sSubPr>
          <m:e>
            <m:r>
              <w:rPr>
                <w:rFonts w:ascii="Cambria Math" w:eastAsiaTheme="minorEastAsia" w:hAnsi="Cambria Math"/>
              </w:rPr>
              <m:t>S</m:t>
            </m:r>
          </m:e>
          <m:sub>
            <m:r>
              <w:rPr>
                <w:rFonts w:ascii="Cambria Math" w:eastAsiaTheme="minorEastAsia" w:hAnsi="Cambria Math"/>
              </w:rPr>
              <m:t>a</m:t>
            </m:r>
          </m:sub>
        </m:sSub>
        <m:r>
          <m:rPr>
            <m:sty m:val="p"/>
          </m:rPr>
          <w:rPr>
            <w:rFonts w:ascii="Cambria Math" w:eastAsiaTheme="minorEastAsia" w:hAnsiTheme="minorEastAsia"/>
          </w:rPr>
          <m:t>≧</m:t>
        </m:r>
        <m:sSub>
          <m:sSubPr>
            <m:ctrlPr>
              <w:rPr>
                <w:rFonts w:ascii="Cambria Math" w:eastAsiaTheme="minorEastAsia" w:hAnsiTheme="minorEastAsia"/>
                <w:bCs/>
                <w:i/>
              </w:rPr>
            </m:ctrlPr>
          </m:sSubPr>
          <m:e>
            <m:r>
              <w:rPr>
                <w:rFonts w:ascii="Cambria Math" w:eastAsiaTheme="minorEastAsia" w:hAnsi="Cambria Math"/>
              </w:rPr>
              <m:t>S</m:t>
            </m:r>
          </m:e>
          <m:sub>
            <m:r>
              <w:rPr>
                <w:rFonts w:ascii="Cambria Math" w:eastAsiaTheme="minorEastAsia" w:hAnsi="Cambria Math"/>
              </w:rPr>
              <m:t>y</m:t>
            </m:r>
          </m:sub>
        </m:sSub>
        <m:r>
          <w:rPr>
            <w:rFonts w:ascii="Cambria Math" w:eastAsiaTheme="minorEastAsia" w:hAnsiTheme="minorEastAsia"/>
          </w:rPr>
          <m:t xml:space="preserve"> </m:t>
        </m:r>
      </m:oMath>
      <w:r w:rsidR="00C531D5" w:rsidRPr="00BC31E0">
        <w:rPr>
          <w:rFonts w:asciiTheme="minorEastAsia" w:eastAsiaTheme="minorEastAsia" w:hAnsiTheme="minorEastAsia" w:hint="eastAsia"/>
        </w:rPr>
        <w:t>の</w:t>
      </w:r>
      <w:r w:rsidR="00A84424" w:rsidRPr="00BC31E0">
        <w:rPr>
          <w:rFonts w:asciiTheme="minorEastAsia" w:eastAsiaTheme="minorEastAsia" w:hAnsiTheme="minorEastAsia" w:hint="eastAsia"/>
        </w:rPr>
        <w:t>とき</w:t>
      </w:r>
      <w:r w:rsidR="00C531D5" w:rsidRPr="00BC31E0">
        <w:rPr>
          <w:rFonts w:asciiTheme="minorEastAsia" w:eastAsiaTheme="minorEastAsia" w:hAnsiTheme="minorEastAsia" w:hint="eastAsia"/>
        </w:rPr>
        <w:t>，</w:t>
      </w:r>
      <w:r w:rsidR="006775BE" w:rsidRPr="00BC31E0">
        <w:rPr>
          <w:rFonts w:asciiTheme="minorEastAsia" w:eastAsiaTheme="minorEastAsia" w:hAnsiTheme="minorEastAsia" w:hint="eastAsia"/>
        </w:rPr>
        <w:tab/>
      </w:r>
      <m:oMath>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m</m:t>
                </m:r>
              </m:sub>
            </m:sSub>
          </m:e>
          <m:sup>
            <m:r>
              <w:rPr>
                <w:rFonts w:ascii="Cambria Math" w:eastAsiaTheme="minorEastAsia" w:hAnsi="Cambria Math"/>
              </w:rPr>
              <m:t>'</m:t>
            </m:r>
          </m:sup>
        </m:sSup>
        <m:r>
          <w:rPr>
            <w:rFonts w:ascii="Cambria Math" w:eastAsiaTheme="minorEastAsia" w:hAnsi="Cambria Math"/>
          </w:rPr>
          <m:t>=0</m:t>
        </m:r>
      </m:oMath>
    </w:p>
    <w:p w14:paraId="31BE4AC6" w14:textId="77777777" w:rsidR="00C531D5" w:rsidRPr="00BC31E0" w:rsidRDefault="00A51873" w:rsidP="00786D77">
      <w:pPr>
        <w:tabs>
          <w:tab w:val="left" w:pos="1560"/>
        </w:tabs>
        <w:autoSpaceDE w:val="0"/>
        <w:autoSpaceDN w:val="0"/>
        <w:spacing w:before="120" w:after="120"/>
        <w:ind w:left="1134"/>
      </w:pPr>
      <m:oMath>
        <m:sSub>
          <m:sSubPr>
            <m:ctrlPr>
              <w:rPr>
                <w:rFonts w:ascii="Cambria Math" w:hAnsi="Cambria Math"/>
                <w:bCs/>
                <w:i/>
              </w:rPr>
            </m:ctrlPr>
          </m:sSubPr>
          <m:e>
            <m:r>
              <w:rPr>
                <w:rFonts w:ascii="Cambria Math" w:hAnsi="Cambria Math"/>
              </w:rPr>
              <m:t>S</m:t>
            </m:r>
          </m:e>
          <m:sub>
            <m:r>
              <w:rPr>
                <w:rFonts w:ascii="Cambria Math" w:hAnsi="Cambria Math"/>
              </w:rPr>
              <m:t>y</m:t>
            </m:r>
          </m:sub>
        </m:sSub>
      </m:oMath>
      <w:r w:rsidR="00C531D5" w:rsidRPr="00BC31E0">
        <w:rPr>
          <w:rFonts w:hint="eastAsia"/>
          <w:b/>
          <w:bCs/>
          <w:position w:val="-14"/>
        </w:rPr>
        <w:tab/>
      </w:r>
      <w:r w:rsidR="00C531D5" w:rsidRPr="00BC31E0">
        <w:rPr>
          <w:rFonts w:hint="eastAsia"/>
        </w:rPr>
        <w:t>：</w:t>
      </w:r>
      <w:r w:rsidR="00C531D5" w:rsidRPr="00BC31E0">
        <w:rPr>
          <w:rFonts w:hint="eastAsia"/>
        </w:rPr>
        <w:t xml:space="preserve"> </w:t>
      </w:r>
      <w:r w:rsidR="00C531D5" w:rsidRPr="00BC31E0">
        <w:rPr>
          <w:rFonts w:hint="eastAsia"/>
        </w:rPr>
        <w:t>ワイヤの設計温度における降伏強さ</w:t>
      </w:r>
      <w:r w:rsidR="00C531D5" w:rsidRPr="00BC31E0">
        <w:rPr>
          <w:rFonts w:hint="eastAsia"/>
        </w:rPr>
        <w:t>(</w:t>
      </w:r>
      <w:r w:rsidR="00C531D5" w:rsidRPr="00BC31E0">
        <w:rPr>
          <w:rFonts w:asciiTheme="minorHAnsi" w:hAnsiTheme="minorHAnsi"/>
        </w:rPr>
        <w:t>MPa</w:t>
      </w:r>
      <w:r w:rsidR="00C531D5" w:rsidRPr="00BC31E0">
        <w:rPr>
          <w:rFonts w:hint="eastAsia"/>
        </w:rPr>
        <w:t>)</w:t>
      </w:r>
    </w:p>
    <w:p w14:paraId="6C47654B" w14:textId="77777777" w:rsidR="00C531D5" w:rsidRPr="00BC31E0" w:rsidRDefault="00C531D5" w:rsidP="007046FB">
      <w:pPr>
        <w:pStyle w:val="3"/>
        <w:tabs>
          <w:tab w:val="clear" w:pos="284"/>
        </w:tabs>
        <w:ind w:left="794" w:hanging="794"/>
      </w:pPr>
      <w:r w:rsidRPr="00BC31E0">
        <w:rPr>
          <w:rFonts w:hint="eastAsia"/>
        </w:rPr>
        <w:t>設計疲労曲線</w:t>
      </w:r>
    </w:p>
    <w:p w14:paraId="0A05E682" w14:textId="77777777" w:rsidR="00C531D5" w:rsidRPr="00BC31E0" w:rsidRDefault="00C531D5" w:rsidP="00DC3564">
      <w:pPr>
        <w:pStyle w:val="1110"/>
        <w:ind w:firstLine="210"/>
      </w:pPr>
      <w:r w:rsidRPr="00BC31E0">
        <w:rPr>
          <w:rFonts w:hint="eastAsia"/>
        </w:rPr>
        <w:t>ワイヤの設計疲労曲線は，</w:t>
      </w:r>
      <w:r w:rsidRPr="00BC31E0">
        <w:rPr>
          <w:rFonts w:ascii="ＭＳ ゴシック" w:eastAsia="ＭＳ ゴシック" w:hAnsi="ＭＳ ゴシック" w:hint="eastAsia"/>
          <w:b/>
          <w:bCs/>
        </w:rPr>
        <w:t>6.9.</w:t>
      </w:r>
      <w:r w:rsidRPr="00BC31E0">
        <w:rPr>
          <w:rFonts w:ascii="ＭＳ ゴシック" w:eastAsia="ＭＳ ゴシック" w:hAnsi="ＭＳ ゴシック"/>
          <w:b/>
          <w:bCs/>
        </w:rPr>
        <w:t>8</w:t>
      </w:r>
      <w:r w:rsidRPr="00BC31E0">
        <w:rPr>
          <w:rFonts w:hint="eastAsia"/>
        </w:rPr>
        <w:t>で求めたワイヤの疲労曲線と</w:t>
      </w:r>
      <w:r w:rsidRPr="00BC31E0">
        <w:rPr>
          <w:rFonts w:ascii="ＭＳ ゴシック" w:eastAsia="ＭＳ ゴシック" w:hAnsi="ＭＳ ゴシック" w:hint="eastAsia"/>
          <w:b/>
          <w:bCs/>
        </w:rPr>
        <w:t>6.9.1</w:t>
      </w:r>
      <w:r w:rsidRPr="00BC31E0">
        <w:rPr>
          <w:rFonts w:ascii="ＭＳ ゴシック" w:eastAsia="ＭＳ ゴシック" w:hAnsi="ＭＳ ゴシック"/>
          <w:b/>
          <w:bCs/>
        </w:rPr>
        <w:t>0</w:t>
      </w:r>
      <w:r w:rsidRPr="00BC31E0">
        <w:rPr>
          <w:rFonts w:hint="eastAsia"/>
        </w:rPr>
        <w:t>で求める</w:t>
      </w:r>
      <m:oMath>
        <m:r>
          <m:rPr>
            <m:sty m:val="p"/>
          </m:rPr>
          <w:rPr>
            <w:rFonts w:ascii="Cambria Math" w:hAnsi="Cambria Math"/>
          </w:rPr>
          <m:t xml:space="preserve"> </m:t>
        </m:r>
        <m:sSub>
          <m:sSubPr>
            <m:ctrlPr>
              <w:rPr>
                <w:rFonts w:ascii="Cambria Math" w:hAnsi="Cambria Math"/>
                <w:i/>
              </w:rPr>
            </m:ctrlPr>
          </m:sSubPr>
          <m:e>
            <m:r>
              <w:rPr>
                <w:rFonts w:ascii="Cambria Math" w:hAnsi="Cambria Math" w:hint="eastAsia"/>
              </w:rPr>
              <m:t>K</m:t>
            </m:r>
          </m:e>
          <m:sub>
            <m:r>
              <w:rPr>
                <w:rFonts w:ascii="Cambria Math" w:hAnsi="Cambria Math"/>
              </w:rPr>
              <m:t>S</m:t>
            </m:r>
          </m:sub>
        </m:sSub>
      </m:oMath>
      <w:r w:rsidRPr="00BC31E0">
        <w:rPr>
          <w:rFonts w:hint="eastAsia"/>
          <w:iCs/>
        </w:rPr>
        <w:t>，</w:t>
      </w:r>
      <m:oMath>
        <m:sSub>
          <m:sSubPr>
            <m:ctrlPr>
              <w:rPr>
                <w:rFonts w:ascii="Cambria Math" w:hAnsi="Cambria Math"/>
                <w:i/>
              </w:rPr>
            </m:ctrlPr>
          </m:sSubPr>
          <m:e>
            <m:r>
              <w:rPr>
                <w:rFonts w:ascii="Cambria Math" w:hAnsi="Cambria Math" w:hint="eastAsia"/>
              </w:rPr>
              <m:t>K</m:t>
            </m:r>
          </m:e>
          <m:sub>
            <m:r>
              <w:rPr>
                <w:rFonts w:ascii="Cambria Math" w:hAnsi="Cambria Math"/>
              </w:rPr>
              <m:t>N</m:t>
            </m:r>
          </m:sub>
        </m:sSub>
        <m:r>
          <m:rPr>
            <m:sty m:val="p"/>
          </m:rPr>
          <w:rPr>
            <w:rFonts w:ascii="Cambria Math" w:hAnsi="Cambria Math"/>
          </w:rPr>
          <m:t xml:space="preserve"> </m:t>
        </m:r>
      </m:oMath>
      <w:r w:rsidR="002620C0" w:rsidRPr="00BC31E0">
        <w:rPr>
          <w:rFonts w:asciiTheme="minorEastAsia" w:eastAsiaTheme="minorEastAsia" w:hAnsiTheme="minorEastAsia"/>
          <w:iCs/>
        </w:rPr>
        <w:fldChar w:fldCharType="begin"/>
      </w:r>
      <w:r w:rsidRPr="00BC31E0">
        <w:rPr>
          <w:rFonts w:asciiTheme="minorEastAsia" w:eastAsiaTheme="minorEastAsia" w:hAnsiTheme="minorEastAsia"/>
          <w:iCs/>
        </w:rPr>
        <w:instrText xml:space="preserve"> QUOTE </w:instrText>
      </w:r>
      <m:oMath>
        <m:sSub>
          <m:sSubPr>
            <m:ctrlPr>
              <w:rPr>
                <w:rFonts w:ascii="Cambria Math" w:eastAsiaTheme="minorEastAsia" w:hAnsiTheme="minorEastAsia"/>
              </w:rPr>
            </m:ctrlPr>
          </m:sSubPr>
          <m:e>
            <m:r>
              <m:rPr>
                <m:sty m:val="p"/>
              </m:rPr>
              <w:rPr>
                <w:rFonts w:ascii="Cambria Math" w:eastAsiaTheme="minorEastAsia" w:hAnsi="Cambria Math" w:hint="eastAsia"/>
              </w:rPr>
              <m:t>K</m:t>
            </m:r>
          </m:e>
          <m:sub>
            <m:r>
              <m:rPr>
                <m:sty m:val="p"/>
              </m:rPr>
              <w:rPr>
                <w:rFonts w:ascii="Cambria Math" w:eastAsiaTheme="minorEastAsia" w:hAnsiTheme="minorEastAsia" w:hint="eastAsia"/>
              </w:rPr>
              <m:t>s</m:t>
            </m:r>
          </m:sub>
        </m:sSub>
      </m:oMath>
      <w:r w:rsidRPr="00BC31E0">
        <w:rPr>
          <w:rFonts w:asciiTheme="minorEastAsia" w:eastAsiaTheme="minorEastAsia" w:hAnsiTheme="minorEastAsia"/>
          <w:iCs/>
        </w:rPr>
        <w:instrText xml:space="preserve"> </w:instrText>
      </w:r>
      <w:r w:rsidR="002620C0" w:rsidRPr="00BC31E0">
        <w:rPr>
          <w:rFonts w:asciiTheme="minorEastAsia" w:eastAsiaTheme="minorEastAsia" w:hAnsiTheme="minorEastAsia"/>
          <w:iCs/>
        </w:rPr>
        <w:fldChar w:fldCharType="end"/>
      </w:r>
      <w:r w:rsidRPr="00BC31E0">
        <w:rPr>
          <w:rFonts w:hint="eastAsia"/>
        </w:rPr>
        <w:t>を用いて，次の</w:t>
      </w:r>
      <w:r w:rsidRPr="00BC31E0">
        <w:rPr>
          <w:rFonts w:ascii="ＭＳ ゴシック" w:eastAsia="ＭＳ ゴシック" w:hint="eastAsia"/>
          <w:b/>
        </w:rPr>
        <w:t>a)</w:t>
      </w:r>
      <w:r w:rsidRPr="00BC31E0">
        <w:rPr>
          <w:rFonts w:hint="eastAsia"/>
        </w:rPr>
        <w:t>～</w:t>
      </w:r>
      <w:r w:rsidRPr="00BC31E0">
        <w:rPr>
          <w:rFonts w:ascii="ＭＳ ゴシック" w:eastAsia="ＭＳ ゴシック" w:hint="eastAsia"/>
          <w:b/>
        </w:rPr>
        <w:t>c)</w:t>
      </w:r>
      <w:r w:rsidRPr="00BC31E0">
        <w:rPr>
          <w:rFonts w:hint="eastAsia"/>
        </w:rPr>
        <w:t>により求める。ここで，</w:t>
      </w:r>
      <m:oMath>
        <m:sSub>
          <m:sSubPr>
            <m:ctrlPr>
              <w:rPr>
                <w:rFonts w:ascii="Cambria Math" w:hAnsi="Cambria Math"/>
                <w:i/>
              </w:rPr>
            </m:ctrlPr>
          </m:sSubPr>
          <m:e>
            <m:r>
              <w:rPr>
                <w:rFonts w:ascii="Cambria Math" w:hAnsi="Cambria Math" w:hint="eastAsia"/>
              </w:rPr>
              <m:t>K</m:t>
            </m:r>
          </m:e>
          <m:sub>
            <m:r>
              <w:rPr>
                <w:rFonts w:ascii="Cambria Math" w:hAnsi="Cambria Math"/>
              </w:rPr>
              <m:t>S</m:t>
            </m:r>
          </m:sub>
        </m:sSub>
        <m:r>
          <w:rPr>
            <w:rFonts w:ascii="Cambria Math" w:hAnsi="Cambria Math"/>
          </w:rPr>
          <m:t xml:space="preserve"> </m:t>
        </m:r>
      </m:oMath>
      <w:r w:rsidRPr="00BC31E0">
        <w:rPr>
          <w:rFonts w:hint="eastAsia"/>
          <w:sz w:val="22"/>
        </w:rPr>
        <w:t>は疲労設計応力補正係数，</w:t>
      </w:r>
      <m:oMath>
        <m:sSub>
          <m:sSubPr>
            <m:ctrlPr>
              <w:rPr>
                <w:rFonts w:ascii="Cambria Math" w:hAnsi="Cambria Math"/>
                <w:i/>
              </w:rPr>
            </m:ctrlPr>
          </m:sSubPr>
          <m:e>
            <m:r>
              <w:rPr>
                <w:rFonts w:ascii="Cambria Math" w:hAnsi="Cambria Math" w:hint="eastAsia"/>
              </w:rPr>
              <m:t>K</m:t>
            </m:r>
          </m:e>
          <m:sub>
            <m:r>
              <w:rPr>
                <w:rFonts w:ascii="Cambria Math" w:hAnsi="Cambria Math"/>
              </w:rPr>
              <m:t>N</m:t>
            </m:r>
          </m:sub>
        </m:sSub>
        <m:r>
          <w:rPr>
            <w:rFonts w:ascii="Cambria Math" w:hAnsi="Cambria Math"/>
          </w:rPr>
          <m:t xml:space="preserve"> </m:t>
        </m:r>
      </m:oMath>
      <w:r w:rsidRPr="00BC31E0">
        <w:rPr>
          <w:rFonts w:hint="eastAsia"/>
          <w:sz w:val="22"/>
        </w:rPr>
        <w:t>は疲労設計繰返し回数補正係数である。</w:t>
      </w:r>
    </w:p>
    <w:p w14:paraId="1F68D13C" w14:textId="77777777" w:rsidR="00C531D5" w:rsidRPr="00BC31E0" w:rsidRDefault="00A51873" w:rsidP="00736130">
      <w:pPr>
        <w:pStyle w:val="a4"/>
        <w:numPr>
          <w:ilvl w:val="0"/>
          <w:numId w:val="135"/>
        </w:numPr>
        <w:ind w:leftChars="0" w:left="454" w:hanging="454"/>
      </w:pPr>
      <m:oMath>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sup>
            <m:r>
              <w:rPr>
                <w:rFonts w:ascii="Cambria Math" w:eastAsiaTheme="minorEastAsia" w:hAnsi="Cambria Math"/>
              </w:rPr>
              <m:t>'</m:t>
            </m:r>
          </m:sup>
        </m:sSup>
        <m:r>
          <m:rPr>
            <m:sty m:val="p"/>
          </m:rPr>
          <w:rPr>
            <w:rFonts w:ascii="Cambria Math" w:eastAsiaTheme="minorEastAsia" w:hAnsi="Cambria Math"/>
          </w:rPr>
          <m:t xml:space="preserve"> </m:t>
        </m:r>
      </m:oMath>
      <w:r w:rsidR="00C531D5" w:rsidRPr="00BC31E0">
        <w:rPr>
          <w:rFonts w:asciiTheme="minorEastAsia" w:eastAsiaTheme="minorEastAsia" w:hAnsiTheme="minorEastAsia" w:hint="eastAsia"/>
        </w:rPr>
        <w:t>を</w:t>
      </w:r>
      <m:oMath>
        <m:sSub>
          <m:sSubPr>
            <m:ctrlPr>
              <w:rPr>
                <w:rFonts w:ascii="Cambria Math" w:hAnsi="Cambria Math"/>
                <w:i/>
              </w:rPr>
            </m:ctrlPr>
          </m:sSubPr>
          <m:e>
            <m:r>
              <w:rPr>
                <w:rFonts w:ascii="Cambria Math" w:hAnsi="Cambria Math" w:hint="eastAsia"/>
              </w:rPr>
              <m:t>K</m:t>
            </m:r>
          </m:e>
          <m:sub>
            <m:r>
              <w:rPr>
                <w:rFonts w:ascii="Cambria Math" w:hAnsi="Cambria Math"/>
              </w:rPr>
              <m:t>S</m:t>
            </m:r>
          </m:sub>
        </m:sSub>
      </m:oMath>
      <w:r w:rsidR="002620C0" w:rsidRPr="00BC31E0">
        <w:rPr>
          <w:rFonts w:ascii="Times New Roman" w:eastAsiaTheme="minorEastAsia" w:hAnsi="Times New Roman"/>
          <w:i/>
          <w:iCs/>
          <w:position w:val="-2"/>
        </w:rPr>
        <w:fldChar w:fldCharType="begin"/>
      </w:r>
      <w:r w:rsidR="00C531D5" w:rsidRPr="00BC31E0">
        <w:rPr>
          <w:rFonts w:ascii="Times New Roman" w:eastAsiaTheme="minorEastAsia" w:hAnsi="Times New Roman"/>
          <w:i/>
          <w:iCs/>
          <w:position w:val="-2"/>
        </w:rPr>
        <w:instrText xml:space="preserve"> QUOTE </w:instrText>
      </w:r>
      <m:oMath>
        <m:sSub>
          <m:sSubPr>
            <m:ctrlPr>
              <w:rPr>
                <w:rFonts w:ascii="Cambria Math" w:eastAsiaTheme="minorEastAsia" w:hAnsi="Cambria Math"/>
                <w:i/>
                <w:position w:val="-2"/>
              </w:rPr>
            </m:ctrlPr>
          </m:sSubPr>
          <m:e>
            <m:r>
              <m:rPr>
                <m:sty m:val="p"/>
              </m:rPr>
              <w:rPr>
                <w:rFonts w:ascii="Cambria Math" w:eastAsiaTheme="minorEastAsia" w:hAnsi="Cambria Math"/>
                <w:position w:val="-2"/>
              </w:rPr>
              <m:t>K</m:t>
            </m:r>
          </m:e>
          <m:sub>
            <m:r>
              <m:rPr>
                <m:sty m:val="p"/>
              </m:rPr>
              <w:rPr>
                <w:rFonts w:ascii="Cambria Math" w:eastAsiaTheme="minorEastAsia" w:hAnsi="Cambria Math"/>
                <w:position w:val="-2"/>
              </w:rPr>
              <m:t>s</m:t>
            </m:r>
          </m:sub>
        </m:sSub>
      </m:oMath>
      <w:r w:rsidR="00C531D5" w:rsidRPr="00BC31E0">
        <w:rPr>
          <w:rFonts w:ascii="Times New Roman" w:eastAsiaTheme="minorEastAsia" w:hAnsi="Times New Roman"/>
          <w:i/>
          <w:iCs/>
          <w:position w:val="-2"/>
        </w:rPr>
        <w:instrText xml:space="preserve"> </w:instrText>
      </w:r>
      <w:r w:rsidR="002620C0" w:rsidRPr="00BC31E0">
        <w:rPr>
          <w:rFonts w:ascii="Times New Roman" w:eastAsiaTheme="minorEastAsia" w:hAnsi="Times New Roman"/>
          <w:i/>
          <w:iCs/>
          <w:position w:val="-2"/>
        </w:rPr>
        <w:fldChar w:fldCharType="end"/>
      </w:r>
      <w:r w:rsidR="00C531D5" w:rsidRPr="00BC31E0">
        <w:rPr>
          <w:rFonts w:asciiTheme="minorEastAsia" w:eastAsiaTheme="minorEastAsia" w:hAnsiTheme="minorEastAsia" w:hint="eastAsia"/>
          <w:iCs/>
        </w:rPr>
        <w:t>で</w:t>
      </w:r>
      <w:r w:rsidR="00C531D5" w:rsidRPr="00BC31E0">
        <w:rPr>
          <w:rFonts w:asciiTheme="minorEastAsia" w:eastAsiaTheme="minorEastAsia" w:hAnsiTheme="minorEastAsia" w:hint="eastAsia"/>
        </w:rPr>
        <w:t>割って，</w:t>
      </w:r>
      <w:r w:rsidR="00C531D5" w:rsidRPr="00BC31E0">
        <w:rPr>
          <w:rFonts w:hint="eastAsia"/>
        </w:rPr>
        <w:t>曲線</w:t>
      </w:r>
      <m:oMath>
        <m:sSup>
          <m:sSupPr>
            <m:ctrlPr>
              <w:rPr>
                <w:rFonts w:ascii="Cambria Math" w:hAnsi="Cambria Math"/>
                <w:i/>
              </w:rPr>
            </m:ctrlPr>
          </m:sSupPr>
          <m:e>
            <m:sSub>
              <m:sSubPr>
                <m:ctrlPr>
                  <w:rPr>
                    <w:rFonts w:ascii="Cambria Math" w:hAnsi="Cambria Math"/>
                    <w:i/>
                  </w:rPr>
                </m:ctrlPr>
              </m:sSubPr>
              <m:e>
                <m:r>
                  <w:rPr>
                    <w:rFonts w:ascii="Cambria Math" w:hAnsi="Cambria Math"/>
                  </w:rPr>
                  <m:t xml:space="preserve"> S</m:t>
                </m:r>
              </m:e>
              <m:sub>
                <m:r>
                  <w:rPr>
                    <w:rFonts w:ascii="Cambria Math" w:hAnsi="Cambria Math"/>
                  </w:rPr>
                  <m:t>a</m:t>
                </m:r>
              </m:sub>
            </m:sSub>
          </m:e>
          <m:sup>
            <m:r>
              <w:rPr>
                <w:rFonts w:ascii="Cambria Math" w:hAnsi="Cambria Math"/>
              </w:rPr>
              <m:t>'</m:t>
            </m:r>
          </m:sup>
        </m:sSup>
        <m:r>
          <w:rPr>
            <w:rFonts w:ascii="Cambria Math" w:hAnsi="Cambria Math"/>
          </w:rPr>
          <m:t>=</m:t>
        </m:r>
        <m:f>
          <m:fPr>
            <m:type m:val="lin"/>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S</m:t>
                    </m:r>
                  </m:e>
                  <m:sub>
                    <m:r>
                      <w:rPr>
                        <w:rFonts w:ascii="Cambria Math" w:hAnsi="Cambria Math"/>
                      </w:rPr>
                      <m:t>f</m:t>
                    </m:r>
                  </m:sub>
                </m:sSub>
              </m:e>
              <m:sup>
                <m:r>
                  <w:rPr>
                    <w:rFonts w:ascii="Cambria Math" w:hAnsi="Cambria Math"/>
                  </w:rPr>
                  <m:t>'</m:t>
                </m:r>
              </m:sup>
            </m:sSup>
          </m:num>
          <m:den>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2</m:t>
                </m:r>
              </m:sub>
            </m:sSub>
            <m:d>
              <m:dPr>
                <m:ctrlPr>
                  <w:rPr>
                    <w:rFonts w:ascii="Cambria Math" w:hAnsi="Cambria Math"/>
                    <w:i/>
                  </w:rPr>
                </m:ctrlPr>
              </m:dPr>
              <m:e>
                <m:func>
                  <m:funcPr>
                    <m:ctrlPr>
                      <w:rPr>
                        <w:rFonts w:ascii="Cambria Math" w:hAnsi="Cambria Math"/>
                        <w:i/>
                      </w:rPr>
                    </m:ctrlPr>
                  </m:funcPr>
                  <m:fName>
                    <m:r>
                      <m:rPr>
                        <m:sty m:val="bi"/>
                      </m:rPr>
                      <w:rPr>
                        <w:rFonts w:ascii="Cambria Math" w:hAnsi="Cambria Math"/>
                      </w:rPr>
                      <m:t>log</m:t>
                    </m:r>
                  </m:fName>
                  <m:e>
                    <m:sSub>
                      <m:sSubPr>
                        <m:ctrlPr>
                          <w:rPr>
                            <w:rFonts w:ascii="Cambria Math" w:hAnsi="Cambria Math"/>
                            <w:i/>
                          </w:rPr>
                        </m:ctrlPr>
                      </m:sSubPr>
                      <m:e>
                        <m:r>
                          <w:rPr>
                            <w:rFonts w:ascii="Cambria Math" w:hAnsi="Cambria Math"/>
                          </w:rPr>
                          <m:t>N</m:t>
                        </m:r>
                      </m:e>
                      <m:sub>
                        <m:r>
                          <w:rPr>
                            <w:rFonts w:ascii="Cambria Math" w:hAnsi="Cambria Math"/>
                          </w:rPr>
                          <m:t>D</m:t>
                        </m:r>
                      </m:sub>
                    </m:sSub>
                  </m:e>
                </m:func>
              </m:e>
            </m:d>
          </m:den>
        </m:f>
        <m:r>
          <w:rPr>
            <w:rFonts w:ascii="Cambria Math" w:hAnsi="Cambria Math"/>
          </w:rPr>
          <m:t xml:space="preserve"> </m:t>
        </m:r>
      </m:oMath>
      <w:r w:rsidR="00C531D5" w:rsidRPr="00BC31E0">
        <w:rPr>
          <w:rFonts w:hint="eastAsia"/>
        </w:rPr>
        <w:t>を求める。</w:t>
      </w:r>
    </w:p>
    <w:p w14:paraId="132FB3A1" w14:textId="77777777" w:rsidR="00C531D5" w:rsidRPr="00BC31E0" w:rsidRDefault="00A51873" w:rsidP="00736130">
      <w:pPr>
        <w:pStyle w:val="a4"/>
        <w:numPr>
          <w:ilvl w:val="0"/>
          <w:numId w:val="136"/>
        </w:numPr>
        <w:ind w:leftChars="0" w:left="454" w:hanging="454"/>
      </w:pPr>
      <m:oMath>
        <m:sSub>
          <m:sSubPr>
            <m:ctrlPr>
              <w:rPr>
                <w:rFonts w:ascii="Cambria Math" w:hAnsi="Cambria Math" w:cs="Cambria Math"/>
                <w:i/>
              </w:rPr>
            </m:ctrlPr>
          </m:sSubPr>
          <m:e>
            <m:r>
              <w:rPr>
                <w:rFonts w:ascii="Cambria Math" w:hAnsi="Cambria Math" w:cs="Cambria Math"/>
              </w:rPr>
              <m:t>N</m:t>
            </m:r>
          </m:e>
          <m:sub>
            <m:r>
              <w:rPr>
                <w:rFonts w:ascii="Cambria Math" w:hAnsi="Cambria Math" w:cs="Cambria Math"/>
              </w:rPr>
              <m:t xml:space="preserve">f </m:t>
            </m:r>
          </m:sub>
        </m:sSub>
      </m:oMath>
      <w:r w:rsidR="00C531D5" w:rsidRPr="00BC31E0">
        <w:rPr>
          <w:rFonts w:hint="eastAsia"/>
        </w:rPr>
        <w:t>を</w:t>
      </w:r>
      <m:oMath>
        <m:sSub>
          <m:sSubPr>
            <m:ctrlPr>
              <w:rPr>
                <w:rFonts w:ascii="Cambria Math" w:hAnsi="Cambria Math"/>
                <w:i/>
              </w:rPr>
            </m:ctrlPr>
          </m:sSubPr>
          <m:e>
            <m:r>
              <w:rPr>
                <w:rFonts w:ascii="Cambria Math" w:hAnsi="Cambria Math" w:hint="eastAsia"/>
              </w:rPr>
              <m:t>K</m:t>
            </m:r>
          </m:e>
          <m:sub>
            <m:r>
              <w:rPr>
                <w:rFonts w:ascii="Cambria Math" w:hAnsi="Cambria Math"/>
              </w:rPr>
              <m:t>N</m:t>
            </m:r>
          </m:sub>
        </m:sSub>
      </m:oMath>
      <w:r w:rsidR="00C531D5" w:rsidRPr="00BC31E0">
        <w:rPr>
          <w:rFonts w:hint="eastAsia"/>
        </w:rPr>
        <w:t>で割って，曲線</w:t>
      </w:r>
      <m:oMath>
        <m:r>
          <m:rPr>
            <m:sty m:val="p"/>
          </m:rPr>
          <w:rPr>
            <w:rFonts w:ascii="Cambria Math" w:hAnsi="Cambria Math"/>
          </w:rPr>
          <m:t xml:space="preserve"> </m:t>
        </m:r>
        <m:sSup>
          <m:sSupPr>
            <m:ctrlPr>
              <w:rPr>
                <w:rFonts w:ascii="Cambria Math" w:hAnsi="Cambria Math"/>
                <w:i/>
              </w:rPr>
            </m:ctrlPr>
          </m:sSupPr>
          <m:e>
            <m:sSub>
              <m:sSubPr>
                <m:ctrlPr>
                  <w:rPr>
                    <w:rFonts w:ascii="Cambria Math" w:hAnsi="Cambria Math"/>
                    <w:i/>
                  </w:rPr>
                </m:ctrlPr>
              </m:sSubPr>
              <m:e>
                <m:r>
                  <w:rPr>
                    <w:rFonts w:ascii="Cambria Math" w:hAnsi="Cambria Math"/>
                  </w:rPr>
                  <m:t>S</m:t>
                </m:r>
              </m:e>
              <m:sub>
                <m:r>
                  <w:rPr>
                    <w:rFonts w:ascii="Cambria Math" w:hAnsi="Cambria Math"/>
                  </w:rPr>
                  <m:t>a</m:t>
                </m:r>
              </m:sub>
            </m:sSub>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3</m:t>
            </m:r>
          </m:sub>
        </m:sSub>
        <m:d>
          <m:dPr>
            <m:begChr m:val="{"/>
            <m:endChr m:val="}"/>
            <m:ctrlPr>
              <w:rPr>
                <w:rFonts w:ascii="Cambria Math" w:hAnsi="Cambria Math"/>
                <w:i/>
              </w:rPr>
            </m:ctrlPr>
          </m:dPr>
          <m:e>
            <m:func>
              <m:funcPr>
                <m:ctrlPr>
                  <w:rPr>
                    <w:rFonts w:ascii="Cambria Math" w:hAnsi="Cambria Math"/>
                    <w:i/>
                  </w:rPr>
                </m:ctrlPr>
              </m:funcPr>
              <m:fName>
                <m:r>
                  <m:rPr>
                    <m:sty m:val="bi"/>
                  </m:rPr>
                  <w:rPr>
                    <w:rFonts w:ascii="Cambria Math" w:hAnsi="Cambria Math"/>
                  </w:rPr>
                  <m:t>log</m:t>
                </m:r>
              </m:fName>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f</m:t>
                            </m:r>
                          </m:sub>
                        </m:sSub>
                      </m:num>
                      <m:den>
                        <m:sSub>
                          <m:sSubPr>
                            <m:ctrlPr>
                              <w:rPr>
                                <w:rFonts w:ascii="Cambria Math" w:hAnsi="Cambria Math"/>
                                <w:i/>
                              </w:rPr>
                            </m:ctrlPr>
                          </m:sSubPr>
                          <m:e>
                            <m:r>
                              <w:rPr>
                                <w:rFonts w:ascii="Cambria Math" w:hAnsi="Cambria Math"/>
                              </w:rPr>
                              <m:t>K</m:t>
                            </m:r>
                          </m:e>
                          <m:sub>
                            <m:r>
                              <w:rPr>
                                <w:rFonts w:ascii="Cambria Math" w:hAnsi="Cambria Math"/>
                              </w:rPr>
                              <m:t>N</m:t>
                            </m:r>
                          </m:sub>
                        </m:sSub>
                      </m:den>
                    </m:f>
                  </m:e>
                </m:d>
              </m:e>
            </m:func>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func>
              <m:funcPr>
                <m:ctrlPr>
                  <w:rPr>
                    <w:rFonts w:ascii="Cambria Math" w:hAnsi="Cambria Math"/>
                    <w:i/>
                  </w:rPr>
                </m:ctrlPr>
              </m:funcPr>
              <m:fName>
                <m:r>
                  <m:rPr>
                    <m:sty m:val="bi"/>
                  </m:rPr>
                  <w:rPr>
                    <w:rFonts w:ascii="Cambria Math" w:hAnsi="Cambria Math"/>
                  </w:rPr>
                  <m:t>log</m:t>
                </m:r>
              </m:fName>
              <m:e>
                <m:sSub>
                  <m:sSubPr>
                    <m:ctrlPr>
                      <w:rPr>
                        <w:rFonts w:ascii="Cambria Math" w:hAnsi="Cambria Math"/>
                        <w:i/>
                      </w:rPr>
                    </m:ctrlPr>
                  </m:sSubPr>
                  <m:e>
                    <m:r>
                      <w:rPr>
                        <w:rFonts w:ascii="Cambria Math" w:hAnsi="Cambria Math"/>
                      </w:rPr>
                      <m:t>N</m:t>
                    </m:r>
                  </m:e>
                  <m:sub>
                    <m:r>
                      <w:rPr>
                        <w:rFonts w:ascii="Cambria Math" w:hAnsi="Cambria Math"/>
                      </w:rPr>
                      <m:t>D</m:t>
                    </m:r>
                  </m:sub>
                </m:sSub>
              </m:e>
            </m:func>
          </m:e>
        </m:d>
        <m:r>
          <w:rPr>
            <w:rFonts w:ascii="Cambria Math" w:hAnsi="Cambria Math"/>
          </w:rPr>
          <m:t xml:space="preserve"> </m:t>
        </m:r>
      </m:oMath>
      <w:r w:rsidR="00C531D5" w:rsidRPr="00BC31E0">
        <w:rPr>
          <w:rFonts w:hint="eastAsia"/>
        </w:rPr>
        <w:t>を求める。</w:t>
      </w:r>
    </w:p>
    <w:p w14:paraId="280AF03F" w14:textId="77777777" w:rsidR="00C531D5" w:rsidRPr="00BC31E0" w:rsidRDefault="00C531D5" w:rsidP="00736130">
      <w:pPr>
        <w:pStyle w:val="a4"/>
        <w:numPr>
          <w:ilvl w:val="0"/>
          <w:numId w:val="137"/>
        </w:numPr>
        <w:ind w:leftChars="0" w:left="454" w:hanging="454"/>
      </w:pPr>
      <w:r w:rsidRPr="00BC31E0">
        <w:rPr>
          <w:rFonts w:hint="eastAsia"/>
        </w:rPr>
        <w:t>設計疲労曲線</w:t>
      </w:r>
      <m:oMath>
        <m:sSub>
          <m:sSubPr>
            <m:ctrlPr>
              <w:rPr>
                <w:rFonts w:ascii="Cambria Math" w:hAnsi="Cambria Math"/>
                <w:i/>
              </w:rPr>
            </m:ctrlPr>
          </m:sSubPr>
          <m:e>
            <m:r>
              <w:rPr>
                <w:rFonts w:ascii="Cambria Math" w:hAnsi="Cambria Math"/>
              </w:rPr>
              <m:t xml:space="preserve">  S</m:t>
            </m:r>
          </m:e>
          <m:sub>
            <m:r>
              <w:rPr>
                <w:rFonts w:ascii="Cambria Math" w:hAnsi="Cambria Math"/>
              </w:rPr>
              <m:t>a</m:t>
            </m:r>
          </m:sub>
        </m:sSub>
        <m:r>
          <w:rPr>
            <w:rFonts w:ascii="Cambria Math" w:hAnsi="Cambria Math"/>
          </w:rPr>
          <m:t>=f</m:t>
        </m:r>
        <m:d>
          <m:dPr>
            <m:ctrlPr>
              <w:rPr>
                <w:rFonts w:ascii="Cambria Math" w:hAnsi="Cambria Math"/>
                <w:i/>
              </w:rPr>
            </m:ctrlPr>
          </m:dPr>
          <m:e>
            <m:func>
              <m:funcPr>
                <m:ctrlPr>
                  <w:rPr>
                    <w:rFonts w:ascii="Cambria Math" w:hAnsi="Cambria Math"/>
                    <w:i/>
                  </w:rPr>
                </m:ctrlPr>
              </m:funcPr>
              <m:fName>
                <m:r>
                  <m:rPr>
                    <m:sty m:val="bi"/>
                  </m:rPr>
                  <w:rPr>
                    <w:rFonts w:ascii="Cambria Math" w:hAnsi="Cambria Math"/>
                  </w:rPr>
                  <m:t>log</m:t>
                </m:r>
              </m:fName>
              <m:e>
                <m:sSub>
                  <m:sSubPr>
                    <m:ctrlPr>
                      <w:rPr>
                        <w:rFonts w:ascii="Cambria Math" w:hAnsi="Cambria Math"/>
                        <w:i/>
                      </w:rPr>
                    </m:ctrlPr>
                  </m:sSubPr>
                  <m:e>
                    <m:r>
                      <w:rPr>
                        <w:rFonts w:ascii="Cambria Math" w:hAnsi="Cambria Math"/>
                      </w:rPr>
                      <m:t>N</m:t>
                    </m:r>
                  </m:e>
                  <m:sub>
                    <m:r>
                      <w:rPr>
                        <w:rFonts w:ascii="Cambria Math" w:hAnsi="Cambria Math"/>
                      </w:rPr>
                      <m:t>D</m:t>
                    </m:r>
                  </m:sub>
                </m:sSub>
              </m:e>
            </m:func>
          </m:e>
        </m:d>
        <m:r>
          <w:rPr>
            <w:rFonts w:ascii="Cambria Math" w:hAnsi="Cambria Math"/>
          </w:rPr>
          <m:t xml:space="preserve"> </m:t>
        </m:r>
      </m:oMath>
      <w:r w:rsidRPr="00BC31E0">
        <w:rPr>
          <w:rFonts w:hint="eastAsia"/>
        </w:rPr>
        <w:t>は，</w:t>
      </w:r>
      <m:oMath>
        <m:sSup>
          <m:sSupPr>
            <m:ctrlPr>
              <w:rPr>
                <w:rFonts w:ascii="Cambria Math" w:hAnsi="Cambria Math"/>
                <w:i/>
              </w:rPr>
            </m:ctrlPr>
          </m:sSupPr>
          <m:e>
            <m:sSub>
              <m:sSubPr>
                <m:ctrlPr>
                  <w:rPr>
                    <w:rFonts w:ascii="Cambria Math" w:hAnsi="Cambria Math"/>
                    <w:i/>
                  </w:rPr>
                </m:ctrlPr>
              </m:sSubPr>
              <m:e>
                <m:r>
                  <w:rPr>
                    <w:rFonts w:ascii="Cambria Math" w:hAnsi="Cambria Math"/>
                  </w:rPr>
                  <m:t>S</m:t>
                </m:r>
              </m:e>
              <m:sub>
                <m:r>
                  <w:rPr>
                    <w:rFonts w:ascii="Cambria Math" w:hAnsi="Cambria Math"/>
                  </w:rPr>
                  <m:t>a</m:t>
                </m:r>
              </m:sub>
            </m:sSub>
          </m:e>
          <m:sup>
            <m:r>
              <w:rPr>
                <w:rFonts w:ascii="Cambria Math" w:hAnsi="Cambria Math"/>
              </w:rPr>
              <m:t>'</m:t>
            </m:r>
          </m:sup>
        </m:sSup>
        <m:r>
          <w:rPr>
            <w:rFonts w:ascii="Cambria Math" w:hAnsi="Cambria Math"/>
          </w:rPr>
          <m:t xml:space="preserve"> </m:t>
        </m:r>
      </m:oMath>
      <w:r w:rsidRPr="00BC31E0">
        <w:rPr>
          <w:rFonts w:hint="eastAsia"/>
        </w:rPr>
        <w:t>又は</w:t>
      </w:r>
      <m:oMath>
        <m:sSup>
          <m:sSupPr>
            <m:ctrlPr>
              <w:rPr>
                <w:rFonts w:ascii="Cambria Math" w:hAnsi="Cambria Math"/>
                <w:i/>
              </w:rPr>
            </m:ctrlPr>
          </m:sSupPr>
          <m:e>
            <m:sSub>
              <m:sSubPr>
                <m:ctrlPr>
                  <w:rPr>
                    <w:rFonts w:ascii="Cambria Math" w:hAnsi="Cambria Math"/>
                    <w:i/>
                  </w:rPr>
                </m:ctrlPr>
              </m:sSubPr>
              <m:e>
                <m:r>
                  <w:rPr>
                    <w:rFonts w:ascii="Cambria Math" w:hAnsi="Cambria Math"/>
                  </w:rPr>
                  <m:t xml:space="preserve"> S</m:t>
                </m:r>
              </m:e>
              <m:sub>
                <m:r>
                  <w:rPr>
                    <w:rFonts w:ascii="Cambria Math" w:hAnsi="Cambria Math"/>
                  </w:rPr>
                  <m:t>a</m:t>
                </m:r>
              </m:sub>
            </m:sSub>
          </m:e>
          <m:sup>
            <m:r>
              <w:rPr>
                <w:rFonts w:ascii="Cambria Math" w:hAnsi="Cambria Math"/>
              </w:rPr>
              <m:t>''</m:t>
            </m:r>
          </m:sup>
        </m:sSup>
        <m:r>
          <w:rPr>
            <w:rFonts w:ascii="Cambria Math" w:hAnsi="Cambria Math"/>
          </w:rPr>
          <m:t xml:space="preserve"> </m:t>
        </m:r>
      </m:oMath>
      <w:r w:rsidRPr="00BC31E0">
        <w:rPr>
          <w:rFonts w:hint="eastAsia"/>
        </w:rPr>
        <w:t>の低い方をとって作成する。</w:t>
      </w:r>
    </w:p>
    <w:p w14:paraId="46AF62AC" w14:textId="77777777" w:rsidR="00C531D5" w:rsidRPr="00BC31E0" w:rsidRDefault="00CD52C2" w:rsidP="00DC3564">
      <w:pPr>
        <w:pStyle w:val="3"/>
        <w:tabs>
          <w:tab w:val="clear" w:pos="284"/>
        </w:tabs>
      </w:pPr>
      <w:r w:rsidRPr="00BC31E0">
        <w:rPr>
          <w:rFonts w:hint="eastAsia"/>
        </w:rPr>
        <w:t xml:space="preserve"> </w:t>
      </w:r>
      <w:r w:rsidR="00C531D5" w:rsidRPr="00BC31E0">
        <w:rPr>
          <w:rFonts w:hint="eastAsia"/>
        </w:rPr>
        <w:t>疲労設計補正係数</w:t>
      </w:r>
      <m:oMath>
        <m:sSub>
          <m:sSubPr>
            <m:ctrlPr>
              <w:rPr>
                <w:rFonts w:ascii="Cambria Math" w:hAnsi="Cambria Math"/>
              </w:rPr>
            </m:ctrlPr>
          </m:sSubPr>
          <m:e>
            <m:r>
              <m:rPr>
                <m:sty m:val="b"/>
              </m:rPr>
              <w:rPr>
                <w:rFonts w:ascii="Cambria Math" w:hAnsi="Cambria Math"/>
              </w:rPr>
              <m:t xml:space="preserve"> </m:t>
            </m:r>
            <m:r>
              <m:rPr>
                <m:sty m:val="bi"/>
              </m:rPr>
              <w:rPr>
                <w:rFonts w:ascii="Cambria Math" w:hAnsi="Cambria Math"/>
              </w:rPr>
              <m:t>K</m:t>
            </m:r>
          </m:e>
          <m:sub>
            <m:r>
              <m:rPr>
                <m:sty m:val="bi"/>
              </m:rPr>
              <w:rPr>
                <w:rFonts w:ascii="Cambria Math" w:hAnsi="Cambria Math"/>
              </w:rPr>
              <m:t>S</m:t>
            </m:r>
          </m:sub>
        </m:sSub>
      </m:oMath>
      <w:r w:rsidR="00C531D5" w:rsidRPr="00BC31E0">
        <w:rPr>
          <w:rFonts w:hint="eastAsia"/>
        </w:rPr>
        <w:t>，</w:t>
      </w:r>
      <m:oMath>
        <m:sSub>
          <m:sSubPr>
            <m:ctrlPr>
              <w:rPr>
                <w:rFonts w:ascii="Cambria Math" w:hAnsi="Cambria Math"/>
              </w:rPr>
            </m:ctrlPr>
          </m:sSubPr>
          <m:e>
            <m:r>
              <m:rPr>
                <m:sty m:val="bi"/>
              </m:rPr>
              <w:rPr>
                <w:rFonts w:ascii="Cambria Math" w:hAnsi="Cambria Math"/>
              </w:rPr>
              <m:t>K</m:t>
            </m:r>
          </m:e>
          <m:sub>
            <m:r>
              <m:rPr>
                <m:sty m:val="bi"/>
              </m:rPr>
              <w:rPr>
                <w:rFonts w:ascii="Cambria Math" w:hAnsi="Cambria Math"/>
              </w:rPr>
              <m:t>N</m:t>
            </m:r>
          </m:sub>
        </m:sSub>
      </m:oMath>
    </w:p>
    <w:p w14:paraId="51694CC1" w14:textId="77777777" w:rsidR="00C531D5" w:rsidRPr="00BC31E0" w:rsidRDefault="00A51873" w:rsidP="00DC3564">
      <w:pPr>
        <w:pStyle w:val="1110"/>
        <w:spacing w:after="120"/>
        <w:ind w:firstLine="210"/>
      </w:pPr>
      <m:oMath>
        <m:sSub>
          <m:sSubPr>
            <m:ctrlPr>
              <w:rPr>
                <w:rFonts w:ascii="Cambria Math" w:hAnsi="Cambria Math"/>
                <w:i/>
              </w:rPr>
            </m:ctrlPr>
          </m:sSubPr>
          <m:e>
            <m:r>
              <w:rPr>
                <w:rFonts w:ascii="Cambria Math" w:hAnsi="Cambria Math" w:hint="eastAsia"/>
              </w:rPr>
              <m:t>K</m:t>
            </m:r>
          </m:e>
          <m:sub>
            <m:r>
              <w:rPr>
                <w:rFonts w:ascii="Cambria Math" w:hAnsi="Cambria Math"/>
              </w:rPr>
              <m:t>S</m:t>
            </m:r>
          </m:sub>
        </m:sSub>
        <m:r>
          <w:rPr>
            <w:rFonts w:ascii="Cambria Math" w:hAnsi="Cambria Math"/>
          </w:rPr>
          <m:t xml:space="preserve"> </m:t>
        </m:r>
      </m:oMath>
      <w:r w:rsidR="00C531D5" w:rsidRPr="00BC31E0">
        <w:rPr>
          <w:rFonts w:hint="eastAsia"/>
        </w:rPr>
        <w:t>は，長さの効果と疲労強度のばらつきの効果を掛け合わせることにより，次式で求める。ただし，</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 xml:space="preserve">&lt;2 </m:t>
        </m:r>
      </m:oMath>
      <w:r w:rsidR="00C531D5" w:rsidRPr="00BC31E0">
        <w:rPr>
          <w:rFonts w:hint="eastAsia"/>
        </w:rPr>
        <w:t>の</w:t>
      </w:r>
      <w:r w:rsidR="00A84424" w:rsidRPr="00BC31E0">
        <w:rPr>
          <w:rFonts w:hint="eastAsia"/>
        </w:rPr>
        <w:t>とき</w:t>
      </w:r>
      <w:r w:rsidR="00C531D5" w:rsidRPr="00BC31E0">
        <w:rPr>
          <w:rFonts w:hint="eastAsia"/>
        </w:rPr>
        <w:t>は，</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 xml:space="preserve">=2 </m:t>
        </m:r>
      </m:oMath>
      <w:r w:rsidR="00C531D5" w:rsidRPr="00BC31E0">
        <w:rPr>
          <w:rFonts w:hint="eastAsia"/>
        </w:rPr>
        <w:t>とする。</w:t>
      </w:r>
    </w:p>
    <w:p w14:paraId="4FB27402" w14:textId="77777777" w:rsidR="00C531D5" w:rsidRPr="00BC31E0" w:rsidRDefault="00C531D5" w:rsidP="00DC3564">
      <w:pPr>
        <w:tabs>
          <w:tab w:val="left" w:pos="3119"/>
          <w:tab w:val="left" w:leader="middleDot" w:pos="8222"/>
        </w:tabs>
        <w:jc w:val="left"/>
      </w:pPr>
      <w:r w:rsidRPr="00BC31E0">
        <w:rPr>
          <w:rFonts w:hint="eastAsia"/>
        </w:rPr>
        <w:tab/>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SL</m:t>
            </m:r>
          </m:sub>
        </m:sSub>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SS</m:t>
            </m:r>
          </m:sub>
        </m:sSub>
      </m:oMath>
      <w:r w:rsidRPr="00BC31E0">
        <w:rPr>
          <w:rFonts w:hint="eastAsia"/>
        </w:rPr>
        <w:tab/>
        <w:t>(6.9.9)</w:t>
      </w:r>
    </w:p>
    <w:p w14:paraId="0C196026" w14:textId="77777777" w:rsidR="00C531D5" w:rsidRPr="00BC31E0" w:rsidRDefault="00C531D5" w:rsidP="00DC3564">
      <w:pPr>
        <w:tabs>
          <w:tab w:val="left" w:pos="3119"/>
          <w:tab w:val="left" w:leader="middleDot" w:pos="8222"/>
        </w:tabs>
        <w:spacing w:before="120"/>
        <w:jc w:val="left"/>
      </w:pPr>
      <w:r w:rsidRPr="00BC31E0">
        <w:rPr>
          <w:rFonts w:hint="eastAsia"/>
        </w:rPr>
        <w:tab/>
      </w:r>
      <m:oMath>
        <m:sSub>
          <m:sSubPr>
            <m:ctrlPr>
              <w:rPr>
                <w:rFonts w:ascii="Cambria Math" w:hAnsi="Cambria Math"/>
                <w:i/>
              </w:rPr>
            </m:ctrlPr>
          </m:sSubPr>
          <m:e>
            <m:r>
              <w:rPr>
                <w:rFonts w:ascii="Cambria Math" w:hAnsi="Cambria Math"/>
              </w:rPr>
              <m:t>K</m:t>
            </m:r>
          </m:e>
          <m:sub>
            <m:r>
              <w:rPr>
                <w:rFonts w:ascii="Cambria Math" w:hAnsi="Cambria Math"/>
              </w:rPr>
              <m:t>SL</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W</m:t>
                        </m:r>
                      </m:sub>
                    </m:sSub>
                  </m:num>
                  <m:den>
                    <m:sSub>
                      <m:sSubPr>
                        <m:ctrlPr>
                          <w:rPr>
                            <w:rFonts w:ascii="Cambria Math" w:hAnsi="Cambria Math"/>
                            <w:i/>
                          </w:rPr>
                        </m:ctrlPr>
                      </m:sSubPr>
                      <m:e>
                        <m:r>
                          <w:rPr>
                            <w:rFonts w:ascii="Cambria Math" w:hAnsi="Cambria Math"/>
                          </w:rPr>
                          <m:t>L</m:t>
                        </m:r>
                      </m:e>
                      <m:sub>
                        <m:r>
                          <w:rPr>
                            <w:rFonts w:ascii="Cambria Math" w:hAnsi="Cambria Math"/>
                          </w:rPr>
                          <m:t>T</m:t>
                        </m:r>
                      </m:sub>
                    </m:sSub>
                  </m:den>
                </m:f>
              </m:e>
            </m:d>
          </m:e>
          <m:sup>
            <m:f>
              <m:fPr>
                <m:type m:val="lin"/>
                <m:ctrlPr>
                  <w:rPr>
                    <w:rFonts w:ascii="Cambria Math" w:hAnsi="Cambria Math"/>
                    <w:i/>
                  </w:rPr>
                </m:ctrlPr>
              </m:fPr>
              <m:num>
                <m:r>
                  <w:rPr>
                    <w:rFonts w:ascii="Cambria Math" w:hAnsi="Cambria Math"/>
                  </w:rPr>
                  <m:t>1</m:t>
                </m:r>
              </m:num>
              <m:den>
                <m:r>
                  <w:rPr>
                    <w:rFonts w:ascii="Cambria Math" w:hAnsi="Cambria Math"/>
                  </w:rPr>
                  <m:t>30</m:t>
                </m:r>
              </m:den>
            </m:f>
          </m:sup>
        </m:sSup>
      </m:oMath>
      <w:r w:rsidRPr="00BC31E0">
        <w:rPr>
          <w:rFonts w:hint="eastAsia"/>
        </w:rPr>
        <w:tab/>
        <w:t>(6.9.10)</w:t>
      </w:r>
    </w:p>
    <w:tbl>
      <w:tblPr>
        <w:tblStyle w:val="afff2"/>
        <w:tblW w:w="5953" w:type="dxa"/>
        <w:tblInd w:w="3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0"/>
        <w:gridCol w:w="4463"/>
      </w:tblGrid>
      <w:tr w:rsidR="00C531D5" w:rsidRPr="00BC31E0" w14:paraId="4C4A32D4" w14:textId="77777777" w:rsidTr="004736F2">
        <w:tc>
          <w:tcPr>
            <w:tcW w:w="0" w:type="auto"/>
            <w:tcMar>
              <w:left w:w="0" w:type="dxa"/>
              <w:right w:w="0" w:type="dxa"/>
            </w:tcMar>
            <w:vAlign w:val="center"/>
          </w:tcPr>
          <w:p w14:paraId="448A491A" w14:textId="77777777" w:rsidR="00C531D5" w:rsidRPr="00BC31E0" w:rsidRDefault="00A51873" w:rsidP="00DC3564">
            <w:pPr>
              <w:tabs>
                <w:tab w:val="left" w:pos="2410"/>
                <w:tab w:val="left" w:leader="middleDot" w:pos="8222"/>
              </w:tabs>
              <w:autoSpaceDE w:val="0"/>
              <w:autoSpaceDN w:val="0"/>
              <w:spacing w:before="120"/>
              <w:jc w:val="left"/>
              <w:rPr>
                <w:i/>
              </w:rPr>
            </w:pPr>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SS</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1-1.3 ∆s</m:t>
                    </m:r>
                  </m:den>
                </m:f>
              </m:oMath>
            </m:oMathPara>
          </w:p>
        </w:tc>
        <w:tc>
          <w:tcPr>
            <w:tcW w:w="4463" w:type="dxa"/>
            <w:tcMar>
              <w:left w:w="0" w:type="dxa"/>
              <w:right w:w="0" w:type="dxa"/>
            </w:tcMar>
            <w:vAlign w:val="center"/>
          </w:tcPr>
          <w:p w14:paraId="0823463C" w14:textId="77777777" w:rsidR="00C531D5" w:rsidRPr="00BC31E0" w:rsidRDefault="00C531D5" w:rsidP="00DC3564">
            <w:pPr>
              <w:tabs>
                <w:tab w:val="left" w:leader="middleDot" w:pos="3613"/>
              </w:tabs>
              <w:autoSpaceDE w:val="0"/>
              <w:autoSpaceDN w:val="0"/>
              <w:spacing w:before="120"/>
              <w:jc w:val="left"/>
            </w:pPr>
            <w:r w:rsidRPr="00BC31E0">
              <w:tab/>
            </w:r>
            <w:r w:rsidRPr="00BC31E0">
              <w:rPr>
                <w:rFonts w:hint="eastAsia"/>
              </w:rPr>
              <w:t>(6.9.11)</w:t>
            </w:r>
          </w:p>
        </w:tc>
      </w:tr>
    </w:tbl>
    <w:p w14:paraId="558CD059" w14:textId="77777777" w:rsidR="00C531D5" w:rsidRPr="00BC31E0" w:rsidRDefault="00C531D5" w:rsidP="008D7FFE">
      <w:pPr>
        <w:pStyle w:val="1110"/>
        <w:ind w:firstLine="210"/>
      </w:pPr>
      <w:r w:rsidRPr="00BC31E0">
        <w:rPr>
          <w:rFonts w:hint="eastAsia"/>
        </w:rPr>
        <w:t>ここで，</w:t>
      </w:r>
    </w:p>
    <w:p w14:paraId="1621BE4D" w14:textId="77777777" w:rsidR="00C531D5" w:rsidRPr="00BC31E0" w:rsidRDefault="00A51873" w:rsidP="008650B4">
      <w:pPr>
        <w:ind w:left="907"/>
      </w:pPr>
      <m:oMath>
        <m:sSub>
          <m:sSubPr>
            <m:ctrlPr>
              <w:rPr>
                <w:rFonts w:ascii="Cambria Math" w:hAnsi="Cambria Math"/>
              </w:rPr>
            </m:ctrlPr>
          </m:sSubPr>
          <m:e>
            <m:r>
              <w:rPr>
                <w:rFonts w:ascii="Cambria Math" w:hAnsi="Cambria Math"/>
              </w:rPr>
              <m:t>L</m:t>
            </m:r>
          </m:e>
          <m:sub>
            <m:r>
              <w:rPr>
                <w:rFonts w:ascii="Cambria Math" w:hAnsi="Cambria Math"/>
              </w:rPr>
              <m:t>W</m:t>
            </m:r>
          </m:sub>
        </m:sSub>
        <m:r>
          <m:rPr>
            <m:sty m:val="p"/>
          </m:rPr>
          <w:rPr>
            <w:rFonts w:ascii="Cambria Math" w:hAnsi="Cambria Math"/>
          </w:rPr>
          <m:t xml:space="preserve">=2,000 </m:t>
        </m:r>
        <m:d>
          <m:dPr>
            <m:ctrlPr>
              <w:rPr>
                <w:rFonts w:ascii="Cambria Math" w:hAnsi="Cambria Math"/>
              </w:rPr>
            </m:ctrlPr>
          </m:dPr>
          <m:e>
            <m:r>
              <m:rPr>
                <m:sty m:val="p"/>
              </m:rPr>
              <w:rPr>
                <w:rFonts w:ascii="Cambria Math" w:hAnsi="Cambria Math"/>
              </w:rPr>
              <m:t>m</m:t>
            </m:r>
          </m:e>
        </m:d>
      </m:oMath>
      <w:r w:rsidR="00C531D5" w:rsidRPr="00BC31E0">
        <w:t xml:space="preserve"> </w:t>
      </w:r>
    </w:p>
    <w:p w14:paraId="278E4CE4" w14:textId="77777777" w:rsidR="00C531D5" w:rsidRPr="00BC31E0" w:rsidRDefault="00A51873" w:rsidP="008650B4">
      <w:pPr>
        <w:tabs>
          <w:tab w:val="left" w:pos="1276"/>
        </w:tabs>
        <w:ind w:left="907"/>
      </w:pPr>
      <m:oMath>
        <m:sSub>
          <m:sSubPr>
            <m:ctrlPr>
              <w:rPr>
                <w:rFonts w:ascii="Cambria Math" w:hAnsi="Cambria Math"/>
                <w:i/>
              </w:rPr>
            </m:ctrlPr>
          </m:sSubPr>
          <m:e>
            <m:r>
              <w:rPr>
                <w:rFonts w:ascii="Cambria Math" w:hAnsi="Cambria Math"/>
              </w:rPr>
              <m:t>L</m:t>
            </m:r>
          </m:e>
          <m:sub>
            <m:r>
              <w:rPr>
                <w:rFonts w:ascii="Cambria Math" w:hAnsi="Cambria Math"/>
              </w:rPr>
              <m:t>T</m:t>
            </m:r>
          </m:sub>
        </m:sSub>
      </m:oMath>
      <w:r w:rsidR="00C531D5" w:rsidRPr="00BC31E0">
        <w:rPr>
          <w:rFonts w:hint="eastAsia"/>
        </w:rPr>
        <w:tab/>
      </w:r>
      <w:r w:rsidR="00C531D5" w:rsidRPr="00BC31E0">
        <w:rPr>
          <w:rFonts w:hint="eastAsia"/>
        </w:rPr>
        <w:t>：</w:t>
      </w:r>
      <w:r w:rsidR="00C531D5" w:rsidRPr="00BC31E0">
        <w:rPr>
          <w:rFonts w:hint="eastAsia"/>
        </w:rPr>
        <w:t xml:space="preserve"> </w:t>
      </w:r>
      <w:r w:rsidR="00C531D5" w:rsidRPr="00BC31E0">
        <w:rPr>
          <w:rFonts w:hint="eastAsia"/>
        </w:rPr>
        <w:t>試験片の長さ</w:t>
      </w:r>
      <w:r w:rsidR="00C531D5" w:rsidRPr="00BC31E0">
        <w:rPr>
          <w:rFonts w:hint="eastAsia"/>
        </w:rPr>
        <w:t>(</w:t>
      </w:r>
      <w:r w:rsidR="00C531D5" w:rsidRPr="00BC31E0">
        <w:rPr>
          <w:rFonts w:ascii="Cambria Math" w:hAnsi="Cambria Math"/>
        </w:rPr>
        <w:t>m</w:t>
      </w:r>
      <w:r w:rsidR="00C531D5" w:rsidRPr="00BC31E0">
        <w:rPr>
          <w:rFonts w:hint="eastAsia"/>
        </w:rPr>
        <w:t>)</w:t>
      </w:r>
      <w:r w:rsidR="00C531D5" w:rsidRPr="00BC31E0">
        <w:rPr>
          <w:rFonts w:hint="eastAsia"/>
        </w:rPr>
        <w:t>であり，</w:t>
      </w:r>
      <m:oMath>
        <m:r>
          <w:rPr>
            <w:rFonts w:ascii="Cambria Math" w:hAnsi="Cambria Math"/>
          </w:rPr>
          <m:t xml:space="preserve"> </m:t>
        </m:r>
        <m:sSub>
          <m:sSubPr>
            <m:ctrlPr>
              <w:rPr>
                <w:rFonts w:ascii="Cambria Math" w:hAnsi="Cambria Math"/>
                <w:i/>
              </w:rPr>
            </m:ctrlPr>
          </m:sSubPr>
          <m:e>
            <m:r>
              <w:rPr>
                <w:rFonts w:ascii="Cambria Math" w:hAnsi="Cambria Math" w:hint="eastAsia"/>
              </w:rPr>
              <m:t>L</m:t>
            </m:r>
          </m:e>
          <m:sub>
            <m:r>
              <w:rPr>
                <w:rFonts w:ascii="Cambria Math" w:hAnsi="Cambria Math"/>
              </w:rPr>
              <m:t>T</m:t>
            </m:r>
          </m:sub>
        </m:sSub>
        <m:r>
          <w:rPr>
            <w:rFonts w:ascii="Cambria Math" w:hAnsi="Cambria Math"/>
          </w:rPr>
          <m:t xml:space="preserve"> </m:t>
        </m:r>
      </m:oMath>
      <w:r w:rsidR="00C531D5" w:rsidRPr="00BC31E0">
        <w:rPr>
          <w:rFonts w:hint="eastAsia"/>
        </w:rPr>
        <w:t>が</w:t>
      </w:r>
      <w:r w:rsidR="00C531D5" w:rsidRPr="00BC31E0">
        <w:rPr>
          <w:rFonts w:ascii="Cambria Math" w:hAnsi="Cambria Math"/>
        </w:rPr>
        <w:t>0.200 m</w:t>
      </w:r>
      <w:r w:rsidR="00C531D5" w:rsidRPr="00BC31E0">
        <w:rPr>
          <w:rFonts w:hint="eastAsia"/>
        </w:rPr>
        <w:t>の場合には</w:t>
      </w:r>
      <m:oMath>
        <m:sSub>
          <m:sSubPr>
            <m:ctrlPr>
              <w:rPr>
                <w:rFonts w:ascii="Cambria Math" w:hAnsi="Cambria Math"/>
                <w:i/>
              </w:rPr>
            </m:ctrlPr>
          </m:sSubPr>
          <m:e>
            <m:r>
              <w:rPr>
                <w:rFonts w:ascii="Cambria Math" w:hAnsi="Cambria Math"/>
              </w:rPr>
              <m:t xml:space="preserve"> K</m:t>
            </m:r>
          </m:e>
          <m:sub>
            <m:r>
              <w:rPr>
                <w:rFonts w:ascii="Cambria Math" w:hAnsi="Cambria Math"/>
              </w:rPr>
              <m:t>SL</m:t>
            </m:r>
          </m:sub>
        </m:sSub>
        <m:r>
          <w:rPr>
            <w:rFonts w:ascii="Cambria Math" w:hAnsi="Cambria Math"/>
          </w:rPr>
          <m:t xml:space="preserve">=1.35 </m:t>
        </m:r>
      </m:oMath>
      <w:r w:rsidR="00C531D5" w:rsidRPr="00BC31E0">
        <w:rPr>
          <w:rFonts w:hint="eastAsia"/>
        </w:rPr>
        <w:t>となる。</w:t>
      </w:r>
    </w:p>
    <w:p w14:paraId="19289428" w14:textId="77777777" w:rsidR="00C531D5" w:rsidRPr="00BC31E0" w:rsidRDefault="00C531D5" w:rsidP="008650B4">
      <w:pPr>
        <w:tabs>
          <w:tab w:val="left" w:pos="1276"/>
        </w:tabs>
        <w:ind w:left="907"/>
      </w:pPr>
      <m:oMath>
        <m:r>
          <w:rPr>
            <w:rFonts w:ascii="Cambria Math" w:hAnsi="Cambria Math"/>
          </w:rPr>
          <m:t>∆s</m:t>
        </m:r>
      </m:oMath>
      <w:r w:rsidRPr="00BC31E0">
        <w:rPr>
          <w:rFonts w:hint="eastAsia"/>
        </w:rPr>
        <w:tab/>
      </w:r>
      <w:r w:rsidRPr="00BC31E0">
        <w:rPr>
          <w:rFonts w:hint="eastAsia"/>
        </w:rPr>
        <w:t>：</w:t>
      </w:r>
      <w:r w:rsidRPr="00BC31E0">
        <w:rPr>
          <w:rFonts w:hint="eastAsia"/>
        </w:rPr>
        <w:t xml:space="preserve"> </w:t>
      </w:r>
      <w:r w:rsidRPr="00BC31E0">
        <w:rPr>
          <w:rFonts w:hint="eastAsia"/>
        </w:rPr>
        <w:t>疲労試験で求まる疲労寿命の平均相対標準偏差</w:t>
      </w:r>
    </w:p>
    <w:p w14:paraId="44C88764" w14:textId="77777777" w:rsidR="00C531D5" w:rsidRPr="00BC31E0" w:rsidRDefault="00C531D5" w:rsidP="008650B4">
      <w:pPr>
        <w:tabs>
          <w:tab w:val="left" w:pos="1276"/>
        </w:tabs>
        <w:ind w:left="907"/>
      </w:pPr>
      <w:r w:rsidRPr="00BC31E0">
        <w:rPr>
          <w:rFonts w:ascii="Cambria Math" w:hAnsi="Cambria Math"/>
        </w:rPr>
        <w:t>1.3</w:t>
      </w:r>
      <w:r w:rsidRPr="00BC31E0">
        <w:rPr>
          <w:rFonts w:ascii="Cambria Math" w:hAnsi="Cambria Math" w:hint="eastAsia"/>
        </w:rPr>
        <w:tab/>
      </w:r>
      <w:r w:rsidRPr="00BC31E0">
        <w:rPr>
          <w:rFonts w:ascii="Cambria Math" w:hAnsi="Cambria Math" w:hint="eastAsia"/>
        </w:rPr>
        <w:t>：</w:t>
      </w:r>
      <w:r w:rsidRPr="00BC31E0">
        <w:rPr>
          <w:rFonts w:ascii="Cambria Math" w:hAnsi="Cambria Math" w:hint="eastAsia"/>
        </w:rPr>
        <w:t xml:space="preserve"> </w:t>
      </w:r>
      <w:r w:rsidRPr="00BC31E0">
        <w:rPr>
          <w:rFonts w:hint="eastAsia"/>
        </w:rPr>
        <w:t>疲労</w:t>
      </w:r>
      <w:r w:rsidR="00547162" w:rsidRPr="00BC31E0">
        <w:rPr>
          <w:rFonts w:hint="eastAsia"/>
        </w:rPr>
        <w:t>亀</w:t>
      </w:r>
      <w:r w:rsidRPr="00BC31E0">
        <w:rPr>
          <w:rFonts w:hint="eastAsia"/>
        </w:rPr>
        <w:t>裂が</w:t>
      </w:r>
      <w:r w:rsidRPr="00BC31E0">
        <w:rPr>
          <w:rFonts w:ascii="Cambria Math" w:hAnsi="Cambria Math"/>
        </w:rPr>
        <w:t>10%</w:t>
      </w:r>
      <w:r w:rsidRPr="00BC31E0">
        <w:rPr>
          <w:rFonts w:hint="eastAsia"/>
        </w:rPr>
        <w:t>の確率で発生する場合の係数</w:t>
      </w:r>
    </w:p>
    <w:p w14:paraId="5BFEDE65" w14:textId="77777777" w:rsidR="00C531D5" w:rsidRPr="00BC31E0" w:rsidRDefault="00C531D5" w:rsidP="008650B4">
      <w:pPr>
        <w:spacing w:before="120"/>
        <w:ind w:firstLineChars="100" w:firstLine="210"/>
        <w:rPr>
          <w:i/>
        </w:rPr>
      </w:pPr>
      <m:oMath>
        <m:r>
          <w:rPr>
            <w:rFonts w:ascii="Cambria Math" w:hAnsi="Cambria Math"/>
          </w:rPr>
          <m:t xml:space="preserve">∆s </m:t>
        </m:r>
      </m:oMath>
      <w:r w:rsidRPr="00BC31E0">
        <w:rPr>
          <w:rFonts w:hint="eastAsia"/>
        </w:rPr>
        <w:t>は，次の</w:t>
      </w:r>
      <w:r w:rsidRPr="00BC31E0">
        <w:rPr>
          <w:rFonts w:ascii="ＭＳ ゴシック" w:eastAsia="ＭＳ ゴシック" w:hAnsi="ＭＳ ゴシック" w:hint="eastAsia"/>
          <w:b/>
        </w:rPr>
        <w:t>a)</w:t>
      </w:r>
      <w:r w:rsidRPr="00BC31E0">
        <w:rPr>
          <w:rFonts w:hint="eastAsia"/>
        </w:rPr>
        <w:t>～</w:t>
      </w:r>
      <w:r w:rsidRPr="00BC31E0">
        <w:rPr>
          <w:rFonts w:ascii="ＭＳ ゴシック" w:eastAsia="ＭＳ ゴシック" w:hAnsi="ＭＳ ゴシック" w:hint="eastAsia"/>
          <w:b/>
        </w:rPr>
        <w:t>c)</w:t>
      </w:r>
      <w:r w:rsidRPr="00BC31E0">
        <w:rPr>
          <w:rFonts w:hint="eastAsia"/>
        </w:rPr>
        <w:t>で求める。</w:t>
      </w:r>
    </w:p>
    <w:p w14:paraId="5BA6A514" w14:textId="77777777" w:rsidR="00C531D5" w:rsidRPr="00BC31E0" w:rsidRDefault="00C531D5" w:rsidP="00736130">
      <w:pPr>
        <w:pStyle w:val="a4"/>
        <w:numPr>
          <w:ilvl w:val="0"/>
          <w:numId w:val="138"/>
        </w:numPr>
        <w:ind w:leftChars="0" w:left="454" w:hanging="454"/>
      </w:pPr>
      <w:r w:rsidRPr="00BC31E0">
        <w:rPr>
          <w:rFonts w:hint="eastAsia"/>
        </w:rPr>
        <w:t>実験で得られた値を元に，最適疲労曲線を描く。</w:t>
      </w:r>
    </w:p>
    <w:p w14:paraId="2317C8AF" w14:textId="77777777" w:rsidR="00C531D5" w:rsidRPr="00BC31E0" w:rsidRDefault="00C531D5" w:rsidP="00736130">
      <w:pPr>
        <w:pStyle w:val="a4"/>
        <w:numPr>
          <w:ilvl w:val="0"/>
          <w:numId w:val="135"/>
        </w:numPr>
        <w:spacing w:after="120"/>
        <w:ind w:leftChars="0" w:left="454" w:hanging="454"/>
      </w:pPr>
      <w:r w:rsidRPr="00BC31E0">
        <w:rPr>
          <w:rFonts w:hint="eastAsia"/>
        </w:rPr>
        <w:lastRenderedPageBreak/>
        <w:t>各応力レベルで，実験結果から得られた破断繰返し回数</w:t>
      </w:r>
      <w:r w:rsidRPr="00BC31E0">
        <w:rPr>
          <w:rFonts w:asciiTheme="minorHAnsi" w:eastAsiaTheme="minorEastAsia" w:hAnsiTheme="minorHAnsi" w:hint="eastAsia"/>
        </w:rPr>
        <w:t>(</w:t>
      </w:r>
      <m:oMath>
        <m:sSub>
          <m:sSubPr>
            <m:ctrlPr>
              <w:rPr>
                <w:rFonts w:ascii="Cambria Math" w:eastAsiaTheme="minorEastAsia" w:hAnsi="Cambria Math"/>
                <w:i/>
              </w:rPr>
            </m:ctrlPr>
          </m:sSubPr>
          <m:e>
            <m:r>
              <w:rPr>
                <w:rFonts w:ascii="Cambria Math" w:eastAsiaTheme="minorEastAsia" w:hAnsi="Cambria Math" w:hint="eastAsia"/>
              </w:rPr>
              <m:t>N</m:t>
            </m:r>
          </m:e>
          <m:sub>
            <m:r>
              <w:rPr>
                <w:rFonts w:ascii="Cambria Math" w:eastAsiaTheme="minorEastAsia" w:hAnsi="Cambria Math"/>
              </w:rPr>
              <m:t>1</m:t>
            </m:r>
          </m:sub>
        </m:sSub>
      </m:oMath>
      <w:r w:rsidRPr="00BC31E0">
        <w:rPr>
          <w:rFonts w:asciiTheme="minorHAnsi" w:eastAsiaTheme="minorEastAsia" w:hAnsiTheme="minorHAnsi" w:hint="eastAsia"/>
        </w:rPr>
        <w:t>，</w:t>
      </w:r>
      <m:oMath>
        <m:sSub>
          <m:sSubPr>
            <m:ctrlPr>
              <w:rPr>
                <w:rFonts w:ascii="Cambria Math" w:eastAsiaTheme="minorEastAsia" w:hAnsi="Cambria Math"/>
                <w:i/>
              </w:rPr>
            </m:ctrlPr>
          </m:sSubPr>
          <m:e>
            <m:r>
              <w:rPr>
                <w:rFonts w:ascii="Cambria Math" w:eastAsiaTheme="minorEastAsia" w:hAnsi="Cambria Math" w:hint="eastAsia"/>
              </w:rPr>
              <m:t>N</m:t>
            </m:r>
          </m:e>
          <m:sub>
            <m:r>
              <w:rPr>
                <w:rFonts w:ascii="Cambria Math" w:eastAsiaTheme="minorEastAsia" w:hAnsi="Cambria Math"/>
              </w:rPr>
              <m:t>2</m:t>
            </m:r>
          </m:sub>
        </m:sSub>
      </m:oMath>
      <w:r w:rsidRPr="00BC31E0">
        <w:rPr>
          <w:rFonts w:asciiTheme="minorHAnsi" w:eastAsiaTheme="minorEastAsia" w:hAnsiTheme="minorHAnsi" w:hint="eastAsia"/>
        </w:rPr>
        <w:t>，</w:t>
      </w:r>
      <w:r w:rsidRPr="00BC31E0">
        <w:rPr>
          <w:rFonts w:asciiTheme="minorHAnsi" w:eastAsiaTheme="minorEastAsia" w:hAnsiTheme="minorHAnsi"/>
          <w:iCs/>
        </w:rPr>
        <w:t>…</w:t>
      </w:r>
      <w:r w:rsidRPr="00BC31E0">
        <w:rPr>
          <w:rFonts w:asciiTheme="minorHAnsi" w:eastAsiaTheme="minorEastAsia" w:hAnsiTheme="minorEastAsia"/>
        </w:rPr>
        <w:t>，</w:t>
      </w:r>
      <m:oMath>
        <m:sSub>
          <m:sSubPr>
            <m:ctrlPr>
              <w:rPr>
                <w:rFonts w:ascii="Cambria Math" w:eastAsiaTheme="minorEastAsia" w:hAnsi="Cambria Math"/>
                <w:i/>
              </w:rPr>
            </m:ctrlPr>
          </m:sSubPr>
          <m:e>
            <m:r>
              <w:rPr>
                <w:rFonts w:ascii="Cambria Math" w:eastAsiaTheme="minorEastAsia" w:hAnsi="Cambria Math" w:hint="eastAsia"/>
              </w:rPr>
              <m:t>N</m:t>
            </m:r>
          </m:e>
          <m:sub>
            <m:r>
              <w:rPr>
                <w:rFonts w:ascii="Cambria Math" w:eastAsiaTheme="minorEastAsia" w:hAnsi="Cambria Math"/>
              </w:rPr>
              <m:t>n</m:t>
            </m:r>
          </m:sub>
        </m:sSub>
      </m:oMath>
      <w:r w:rsidRPr="00BC31E0">
        <w:rPr>
          <w:rFonts w:asciiTheme="minorHAnsi" w:eastAsiaTheme="minorEastAsia" w:hAnsiTheme="minorHAnsi" w:hint="eastAsia"/>
        </w:rPr>
        <w:t>)</w:t>
      </w:r>
      <w:r w:rsidRPr="00BC31E0">
        <w:rPr>
          <w:rFonts w:hint="eastAsia"/>
        </w:rPr>
        <w:t>と最適疲労曲線から求まる破断繰返し回数</w:t>
      </w:r>
      <m:oMath>
        <m:r>
          <m:rPr>
            <m:sty m:val="p"/>
          </m:rPr>
          <w:rPr>
            <w:rFonts w:ascii="Cambria Math" w:hAnsi="Cambria Math"/>
          </w:rPr>
          <m:t xml:space="preserve"> </m:t>
        </m:r>
        <m:sSub>
          <m:sSubPr>
            <m:ctrlPr>
              <w:rPr>
                <w:rFonts w:ascii="Cambria Math" w:eastAsiaTheme="minorEastAsia" w:hAnsi="Cambria Math"/>
                <w:i/>
              </w:rPr>
            </m:ctrlPr>
          </m:sSubPr>
          <m:e>
            <m:r>
              <w:rPr>
                <w:rFonts w:ascii="Cambria Math" w:eastAsiaTheme="minorEastAsia" w:hAnsi="Cambria Math" w:hint="eastAsia"/>
              </w:rPr>
              <m:t>N</m:t>
            </m:r>
          </m:e>
          <m:sub>
            <m:r>
              <w:rPr>
                <w:rFonts w:ascii="Cambria Math" w:eastAsiaTheme="minorEastAsia" w:hAnsi="Cambria Math"/>
              </w:rPr>
              <m:t xml:space="preserve">0,i </m:t>
            </m:r>
          </m:sub>
        </m:sSub>
      </m:oMath>
      <w:r w:rsidRPr="00BC31E0">
        <w:rPr>
          <w:rFonts w:hint="eastAsia"/>
        </w:rPr>
        <w:t>から，次式で標準偏差</w:t>
      </w:r>
      <m:oMath>
        <m:r>
          <m:rPr>
            <m:sty m:val="p"/>
          </m:rPr>
          <w:rPr>
            <w:rFonts w:ascii="Cambria Math" w:hAnsi="Cambria Math"/>
          </w:rPr>
          <m:t xml:space="preserve"> </m:t>
        </m:r>
        <m:r>
          <w:rPr>
            <w:rFonts w:ascii="Cambria Math" w:hAnsi="Cambria Math"/>
          </w:rPr>
          <m:t xml:space="preserve">d </m:t>
        </m:r>
      </m:oMath>
      <w:r w:rsidRPr="00BC31E0">
        <w:rPr>
          <w:rFonts w:hint="eastAsia"/>
        </w:rPr>
        <w:t>を計算する。</w:t>
      </w:r>
    </w:p>
    <w:tbl>
      <w:tblPr>
        <w:tblStyle w:val="afff2"/>
        <w:tblW w:w="5948" w:type="dxa"/>
        <w:tblInd w:w="3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6"/>
        <w:gridCol w:w="3522"/>
      </w:tblGrid>
      <w:tr w:rsidR="008650B4" w:rsidRPr="00BC31E0" w14:paraId="35205247" w14:textId="77777777" w:rsidTr="006F5AE6">
        <w:tc>
          <w:tcPr>
            <w:tcW w:w="0" w:type="auto"/>
            <w:tcMar>
              <w:left w:w="0" w:type="dxa"/>
              <w:right w:w="0" w:type="dxa"/>
            </w:tcMar>
            <w:vAlign w:val="center"/>
          </w:tcPr>
          <w:p w14:paraId="627AA1F0" w14:textId="77777777" w:rsidR="008650B4" w:rsidRPr="00BC31E0" w:rsidRDefault="008650B4" w:rsidP="006F5AE6">
            <m:oMathPara>
              <m:oMathParaPr>
                <m:jc m:val="left"/>
              </m:oMathParaPr>
              <m:oMath>
                <m:r>
                  <w:rPr>
                    <w:rFonts w:ascii="Cambria Math" w:hAnsi="Cambria Math"/>
                  </w:rPr>
                  <m:t>d=</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n-1</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i</m:t>
                                        </m:r>
                                      </m:sub>
                                    </m:sSub>
                                  </m:num>
                                  <m:den>
                                    <m:sSub>
                                      <m:sSubPr>
                                        <m:ctrlPr>
                                          <w:rPr>
                                            <w:rFonts w:ascii="Cambria Math" w:hAnsi="Cambria Math"/>
                                            <w:i/>
                                          </w:rPr>
                                        </m:ctrlPr>
                                      </m:sSubPr>
                                      <m:e>
                                        <m:r>
                                          <w:rPr>
                                            <w:rFonts w:ascii="Cambria Math" w:hAnsi="Cambria Math"/>
                                          </w:rPr>
                                          <m:t>N</m:t>
                                        </m:r>
                                      </m:e>
                                      <m:sub>
                                        <m:r>
                                          <w:rPr>
                                            <w:rFonts w:ascii="Cambria Math" w:hAnsi="Cambria Math"/>
                                          </w:rPr>
                                          <m:t>0,i</m:t>
                                        </m:r>
                                      </m:sub>
                                    </m:sSub>
                                  </m:den>
                                </m:f>
                                <m:r>
                                  <w:rPr>
                                    <w:rFonts w:ascii="Cambria Math" w:hAnsi="Cambria Math"/>
                                  </w:rPr>
                                  <m:t>-1</m:t>
                                </m:r>
                              </m:e>
                            </m:d>
                          </m:e>
                          <m:sup>
                            <m:r>
                              <w:rPr>
                                <w:rFonts w:ascii="Cambria Math" w:hAnsi="Cambria Math"/>
                              </w:rPr>
                              <m:t>2</m:t>
                            </m:r>
                          </m:sup>
                        </m:sSup>
                      </m:e>
                    </m:nary>
                  </m:e>
                </m:rad>
              </m:oMath>
            </m:oMathPara>
          </w:p>
        </w:tc>
        <w:tc>
          <w:tcPr>
            <w:tcW w:w="3522" w:type="dxa"/>
            <w:tcMar>
              <w:left w:w="0" w:type="dxa"/>
              <w:right w:w="0" w:type="dxa"/>
            </w:tcMar>
            <w:vAlign w:val="center"/>
          </w:tcPr>
          <w:p w14:paraId="15A34F27" w14:textId="77777777" w:rsidR="008650B4" w:rsidRPr="00BC31E0" w:rsidRDefault="008650B4" w:rsidP="006F5AE6">
            <w:pPr>
              <w:tabs>
                <w:tab w:val="left" w:leader="middleDot" w:pos="2672"/>
              </w:tabs>
            </w:pPr>
            <w:r w:rsidRPr="00BC31E0">
              <w:tab/>
            </w:r>
            <w:r w:rsidRPr="00BC31E0">
              <w:rPr>
                <w:rFonts w:hint="eastAsia"/>
              </w:rPr>
              <w:t>(6.9.12)</w:t>
            </w:r>
          </w:p>
        </w:tc>
      </w:tr>
    </w:tbl>
    <w:p w14:paraId="34012FBB" w14:textId="77777777" w:rsidR="00C531D5" w:rsidRPr="00BC31E0" w:rsidRDefault="00C531D5" w:rsidP="00736130">
      <w:pPr>
        <w:pStyle w:val="a4"/>
        <w:numPr>
          <w:ilvl w:val="0"/>
          <w:numId w:val="139"/>
        </w:numPr>
        <w:spacing w:before="120"/>
        <w:ind w:leftChars="0" w:left="454" w:hanging="454"/>
      </w:pPr>
      <w:r w:rsidRPr="00BC31E0">
        <w:rPr>
          <w:rFonts w:hint="eastAsia"/>
        </w:rPr>
        <w:t>実験した</w:t>
      </w:r>
      <w:r w:rsidR="00DC160D" w:rsidRPr="00BC31E0">
        <w:rPr>
          <w:rFonts w:hint="eastAsia"/>
        </w:rPr>
        <w:t>全</w:t>
      </w:r>
      <w:r w:rsidRPr="00BC31E0">
        <w:rPr>
          <w:rFonts w:hint="eastAsia"/>
        </w:rPr>
        <w:t>ての応力レベルについて</w:t>
      </w:r>
      <m:oMath>
        <m:r>
          <m:rPr>
            <m:sty m:val="p"/>
          </m:rPr>
          <w:rPr>
            <w:rFonts w:ascii="Cambria Math" w:hAnsi="Cambria Math"/>
          </w:rPr>
          <m:t xml:space="preserve"> </m:t>
        </m:r>
        <m:r>
          <w:rPr>
            <w:rFonts w:ascii="Cambria Math" w:hAnsi="Cambria Math"/>
          </w:rPr>
          <m:t xml:space="preserve">d </m:t>
        </m:r>
      </m:oMath>
      <w:r w:rsidRPr="00BC31E0">
        <w:rPr>
          <w:rFonts w:hint="eastAsia"/>
        </w:rPr>
        <w:t>を計算し，その平均値を求める。これを</w:t>
      </w:r>
      <m:oMath>
        <m:r>
          <m:rPr>
            <m:sty m:val="p"/>
          </m:rPr>
          <w:rPr>
            <w:rFonts w:ascii="Cambria Math" w:hAnsi="Cambria Math"/>
          </w:rPr>
          <m:t xml:space="preserve"> </m:t>
        </m:r>
        <m:r>
          <w:rPr>
            <w:rFonts w:ascii="Cambria Math" w:hAnsi="Cambria Math"/>
          </w:rPr>
          <m:t>∆s</m:t>
        </m:r>
        <m:r>
          <m:rPr>
            <m:sty m:val="p"/>
          </m:rPr>
          <w:rPr>
            <w:rFonts w:ascii="Cambria Math" w:hAnsi="Cambria Math"/>
          </w:rPr>
          <m:t xml:space="preserve"> </m:t>
        </m:r>
      </m:oMath>
      <w:r w:rsidRPr="00BC31E0">
        <w:rPr>
          <w:rFonts w:hint="eastAsia"/>
        </w:rPr>
        <w:t>とする。</w:t>
      </w:r>
    </w:p>
    <w:p w14:paraId="2C90ECC8" w14:textId="77777777" w:rsidR="00C531D5" w:rsidRPr="00BC31E0" w:rsidRDefault="00A51873" w:rsidP="007046FB">
      <w:pPr>
        <w:spacing w:before="120" w:after="120"/>
        <w:ind w:firstLineChars="100" w:firstLine="210"/>
      </w:pPr>
      <m:oMath>
        <m:sSub>
          <m:sSubPr>
            <m:ctrlPr>
              <w:rPr>
                <w:rFonts w:ascii="Cambria Math" w:hAnsi="Cambria Math"/>
                <w:i/>
              </w:rPr>
            </m:ctrlPr>
          </m:sSubPr>
          <m:e>
            <m:r>
              <w:rPr>
                <w:rFonts w:ascii="Cambria Math" w:hAnsi="Cambria Math"/>
              </w:rPr>
              <m:t>K</m:t>
            </m:r>
          </m:e>
          <m:sub>
            <m:r>
              <w:rPr>
                <w:rFonts w:ascii="Cambria Math" w:hAnsi="Cambria Math"/>
              </w:rPr>
              <m:t>N</m:t>
            </m:r>
          </m:sub>
        </m:sSub>
        <m:r>
          <w:rPr>
            <w:rFonts w:ascii="Cambria Math" w:hAnsi="Cambria Math"/>
          </w:rPr>
          <m:t xml:space="preserve"> </m:t>
        </m:r>
      </m:oMath>
      <w:r w:rsidR="00C531D5" w:rsidRPr="00BC31E0">
        <w:rPr>
          <w:rFonts w:hint="eastAsia"/>
        </w:rPr>
        <w:t>は，次式による。ただし，</w:t>
      </w:r>
      <m:oMath>
        <m:sSub>
          <m:sSubPr>
            <m:ctrlPr>
              <w:rPr>
                <w:rFonts w:ascii="Cambria Math" w:hAnsi="Cambria Math"/>
                <w:i/>
              </w:rPr>
            </m:ctrlPr>
          </m:sSubPr>
          <m:e>
            <m:r>
              <w:rPr>
                <w:rFonts w:ascii="Cambria Math" w:hAnsi="Cambria Math"/>
              </w:rPr>
              <m:t>K</m:t>
            </m:r>
          </m:e>
          <m:sub>
            <m:r>
              <w:rPr>
                <w:rFonts w:ascii="Cambria Math" w:hAnsi="Cambria Math"/>
              </w:rPr>
              <m:t>N</m:t>
            </m:r>
          </m:sub>
        </m:sSub>
        <m:r>
          <w:rPr>
            <w:rFonts w:ascii="Cambria Math" w:hAnsi="Cambria Math"/>
          </w:rPr>
          <m:t xml:space="preserve">&lt;20 </m:t>
        </m:r>
      </m:oMath>
      <w:r w:rsidR="00C531D5" w:rsidRPr="00BC31E0">
        <w:rPr>
          <w:rFonts w:hint="eastAsia"/>
        </w:rPr>
        <w:t>の</w:t>
      </w:r>
      <w:r w:rsidR="00A84424" w:rsidRPr="00BC31E0">
        <w:rPr>
          <w:rFonts w:hint="eastAsia"/>
        </w:rPr>
        <w:t>とき</w:t>
      </w:r>
      <w:r w:rsidR="00C531D5" w:rsidRPr="00BC31E0">
        <w:rPr>
          <w:rFonts w:hint="eastAsia"/>
        </w:rPr>
        <w:t>は，</w:t>
      </w:r>
      <m:oMath>
        <m:sSub>
          <m:sSubPr>
            <m:ctrlPr>
              <w:rPr>
                <w:rFonts w:ascii="Cambria Math" w:hAnsi="Cambria Math"/>
                <w:i/>
              </w:rPr>
            </m:ctrlPr>
          </m:sSubPr>
          <m:e>
            <m:r>
              <w:rPr>
                <w:rFonts w:ascii="Cambria Math" w:hAnsi="Cambria Math"/>
              </w:rPr>
              <m:t>K</m:t>
            </m:r>
          </m:e>
          <m:sub>
            <m:r>
              <w:rPr>
                <w:rFonts w:ascii="Cambria Math" w:hAnsi="Cambria Math"/>
              </w:rPr>
              <m:t>N</m:t>
            </m:r>
          </m:sub>
        </m:sSub>
        <m:r>
          <w:rPr>
            <w:rFonts w:ascii="Cambria Math" w:hAnsi="Cambria Math"/>
          </w:rPr>
          <m:t>=20</m:t>
        </m:r>
        <m:r>
          <m:rPr>
            <m:sty m:val="p"/>
          </m:rPr>
          <w:rPr>
            <w:rFonts w:ascii="Cambria Math" w:hAnsi="Cambria Math"/>
          </w:rPr>
          <m:t xml:space="preserve"> </m:t>
        </m:r>
      </m:oMath>
      <w:r w:rsidR="00C531D5" w:rsidRPr="00BC31E0">
        <w:rPr>
          <w:rFonts w:hint="eastAsia"/>
        </w:rPr>
        <w:t>とする。</w:t>
      </w:r>
    </w:p>
    <w:p w14:paraId="4ED871F2" w14:textId="77777777" w:rsidR="00C531D5" w:rsidRPr="00BC31E0" w:rsidRDefault="00C531D5" w:rsidP="008650B4">
      <w:pPr>
        <w:tabs>
          <w:tab w:val="left" w:pos="3119"/>
          <w:tab w:val="left" w:leader="middleDot" w:pos="8222"/>
        </w:tabs>
        <w:rPr>
          <w:rFonts w:asciiTheme="minorHAnsi" w:hAnsiTheme="minorHAnsi"/>
          <w:b/>
        </w:rPr>
      </w:pPr>
      <w:r w:rsidRPr="00BC31E0">
        <w:rPr>
          <w:rFonts w:hint="eastAsia"/>
          <w:iCs/>
        </w:rPr>
        <w:tab/>
      </w:r>
      <m:oMath>
        <m:sSub>
          <m:sSubPr>
            <m:ctrlPr>
              <w:rPr>
                <w:rFonts w:ascii="Cambria Math" w:hAnsi="Cambria Math"/>
                <w:iCs/>
              </w:rPr>
            </m:ctrlPr>
          </m:sSubPr>
          <m:e>
            <m:r>
              <w:rPr>
                <w:rFonts w:ascii="Cambria Math" w:hAnsi="Cambria Math"/>
              </w:rPr>
              <m:t>K</m:t>
            </m:r>
          </m:e>
          <m:sub>
            <m:r>
              <w:rPr>
                <w:rFonts w:ascii="Cambria Math" w:hAnsi="Cambria Math"/>
              </w:rPr>
              <m:t>N</m:t>
            </m:r>
          </m:sub>
        </m:sSub>
        <m:r>
          <m:rPr>
            <m:sty m:val="p"/>
          </m:rPr>
          <w:rPr>
            <w:rFonts w:ascii="Cambria Math" w:hAnsi="Cambria Math"/>
          </w:rPr>
          <m:t>=</m:t>
        </m:r>
        <m:sSup>
          <m:sSupPr>
            <m:ctrlPr>
              <w:rPr>
                <w:rFonts w:ascii="Cambria Math" w:hAnsi="Cambria Math"/>
                <w:iCs/>
              </w:rPr>
            </m:ctrlPr>
          </m:sSupPr>
          <m:e>
            <m:d>
              <m:dPr>
                <m:ctrlPr>
                  <w:rPr>
                    <w:rFonts w:ascii="Cambria Math" w:hAnsi="Cambria Math"/>
                    <w:iCs/>
                  </w:rPr>
                </m:ctrlPr>
              </m:dPr>
              <m:e>
                <m:sSub>
                  <m:sSubPr>
                    <m:ctrlPr>
                      <w:rPr>
                        <w:rFonts w:ascii="Cambria Math" w:hAnsi="Cambria Math"/>
                        <w:iCs/>
                      </w:rPr>
                    </m:ctrlPr>
                  </m:sSubPr>
                  <m:e>
                    <m:r>
                      <w:rPr>
                        <w:rFonts w:ascii="Cambria Math" w:hAnsi="Cambria Math"/>
                      </w:rPr>
                      <m:t>K</m:t>
                    </m:r>
                  </m:e>
                  <m:sub>
                    <m:r>
                      <w:rPr>
                        <w:rFonts w:ascii="Cambria Math" w:hAnsi="Cambria Math"/>
                      </w:rPr>
                      <m:t>S</m:t>
                    </m:r>
                  </m:sub>
                </m:sSub>
              </m:e>
            </m:d>
          </m:e>
          <m:sup>
            <m:r>
              <m:rPr>
                <m:sty m:val="p"/>
              </m:rPr>
              <w:rPr>
                <w:rFonts w:ascii="Cambria Math" w:hAnsi="Cambria Math"/>
              </w:rPr>
              <m:t>4.3</m:t>
            </m:r>
          </m:sup>
        </m:sSup>
      </m:oMath>
      <w:r w:rsidRPr="00BC31E0">
        <w:rPr>
          <w:rFonts w:asciiTheme="minorHAnsi" w:hAnsiTheme="minorHAnsi"/>
        </w:rPr>
        <w:tab/>
      </w:r>
      <w:r w:rsidRPr="00BC31E0">
        <w:rPr>
          <w:rFonts w:asciiTheme="minorHAnsi" w:hAnsiTheme="minorHAnsi" w:hint="eastAsia"/>
        </w:rPr>
        <w:t>(6.9.13)</w:t>
      </w:r>
    </w:p>
    <w:p w14:paraId="60984114" w14:textId="77777777" w:rsidR="00C531D5" w:rsidRPr="00BC31E0" w:rsidRDefault="00CD52C2" w:rsidP="007046FB">
      <w:pPr>
        <w:pStyle w:val="3"/>
        <w:tabs>
          <w:tab w:val="clear" w:pos="284"/>
        </w:tabs>
        <w:spacing w:before="120"/>
        <w:ind w:left="794" w:hanging="794"/>
      </w:pPr>
      <w:r w:rsidRPr="00BC31E0">
        <w:rPr>
          <w:rFonts w:hint="eastAsia"/>
        </w:rPr>
        <w:t xml:space="preserve"> </w:t>
      </w:r>
      <w:r w:rsidR="00C531D5" w:rsidRPr="00BC31E0">
        <w:rPr>
          <w:rFonts w:hint="eastAsia"/>
        </w:rPr>
        <w:t>ワイヤの設計疲労寿命の計算</w:t>
      </w:r>
    </w:p>
    <w:p w14:paraId="4C05993F" w14:textId="77777777" w:rsidR="00C531D5" w:rsidRPr="00BC31E0" w:rsidRDefault="00C531D5" w:rsidP="008650B4">
      <w:pPr>
        <w:pStyle w:val="1110"/>
        <w:ind w:firstLine="210"/>
      </w:pPr>
      <w:r w:rsidRPr="00BC31E0">
        <w:rPr>
          <w:rFonts w:hint="eastAsia"/>
        </w:rPr>
        <w:t>ワイヤの設計疲労寿命は，</w:t>
      </w:r>
      <w:r w:rsidRPr="00BC31E0">
        <w:rPr>
          <w:rFonts w:ascii="ＭＳ ゴシック" w:eastAsia="ＭＳ ゴシック" w:hAnsi="ＭＳ ゴシック" w:hint="eastAsia"/>
          <w:b/>
        </w:rPr>
        <w:t>6.9.</w:t>
      </w:r>
      <w:r w:rsidRPr="00BC31E0">
        <w:rPr>
          <w:rFonts w:ascii="ＭＳ ゴシック" w:eastAsia="ＭＳ ゴシック" w:hAnsi="ＭＳ ゴシック"/>
          <w:b/>
        </w:rPr>
        <w:t>9</w:t>
      </w:r>
      <w:r w:rsidRPr="00BC31E0">
        <w:rPr>
          <w:rFonts w:hint="eastAsia"/>
        </w:rPr>
        <w:t>で作成した設計疲労曲線を使い，</w:t>
      </w:r>
      <w:r w:rsidRPr="00BC31E0">
        <w:rPr>
          <w:rFonts w:ascii="ＭＳ ゴシック" w:eastAsia="ＭＳ ゴシック" w:hAnsi="ＭＳ ゴシック" w:hint="eastAsia"/>
          <w:b/>
        </w:rPr>
        <w:t>6.3</w:t>
      </w:r>
      <w:r w:rsidRPr="00BC31E0">
        <w:rPr>
          <w:rFonts w:hint="eastAsia"/>
        </w:rPr>
        <w:t>の方法で計算する。</w:t>
      </w:r>
    </w:p>
    <w:p w14:paraId="0DD4DED4" w14:textId="77777777" w:rsidR="00C531D5" w:rsidRPr="00BC31E0" w:rsidRDefault="00C531D5" w:rsidP="008650B4"/>
    <w:p w14:paraId="3A7535CB" w14:textId="77777777" w:rsidR="008E213E" w:rsidRPr="00BC31E0" w:rsidRDefault="008E213E" w:rsidP="008650B4"/>
    <w:p w14:paraId="3D9D913A" w14:textId="77777777" w:rsidR="00C531D5" w:rsidRPr="00BC31E0" w:rsidRDefault="00C531D5" w:rsidP="006945E6">
      <w:pPr>
        <w:pStyle w:val="1110"/>
        <w:ind w:firstLine="210"/>
        <w:jc w:val="center"/>
      </w:pPr>
      <w:r w:rsidRPr="00BC31E0">
        <w:rPr>
          <w:noProof/>
        </w:rPr>
        <w:drawing>
          <wp:inline distT="0" distB="0" distL="0" distR="0" wp14:anchorId="3CF8CFFF" wp14:editId="30503F95">
            <wp:extent cx="3195955" cy="4672965"/>
            <wp:effectExtent l="19050" t="0" r="4445" b="0"/>
            <wp:docPr id="601" name="図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89" cstate="print"/>
                    <a:srcRect/>
                    <a:stretch>
                      <a:fillRect/>
                    </a:stretch>
                  </pic:blipFill>
                  <pic:spPr bwMode="auto">
                    <a:xfrm>
                      <a:off x="0" y="0"/>
                      <a:ext cx="3195955" cy="4672965"/>
                    </a:xfrm>
                    <a:prstGeom prst="rect">
                      <a:avLst/>
                    </a:prstGeom>
                    <a:noFill/>
                    <a:ln w="9525">
                      <a:noFill/>
                      <a:miter lim="800000"/>
                      <a:headEnd/>
                      <a:tailEnd/>
                    </a:ln>
                  </pic:spPr>
                </pic:pic>
              </a:graphicData>
            </a:graphic>
          </wp:inline>
        </w:drawing>
      </w:r>
    </w:p>
    <w:p w14:paraId="60D927CC" w14:textId="77777777" w:rsidR="00C531D5" w:rsidRPr="00BC31E0" w:rsidRDefault="00C531D5" w:rsidP="00C531D5">
      <w:pPr>
        <w:pStyle w:val="af4"/>
        <w:rPr>
          <w:szCs w:val="28"/>
        </w:rPr>
      </w:pPr>
    </w:p>
    <w:p w14:paraId="05D8B320" w14:textId="77777777" w:rsidR="00C531D5" w:rsidRPr="00BC31E0" w:rsidRDefault="00C531D5" w:rsidP="00C531D5">
      <w:pPr>
        <w:pStyle w:val="af4"/>
        <w:rPr>
          <w:szCs w:val="28"/>
        </w:rPr>
      </w:pPr>
      <w:r w:rsidRPr="00BC31E0">
        <w:rPr>
          <w:rFonts w:hint="eastAsia"/>
          <w:szCs w:val="28"/>
        </w:rPr>
        <w:t>図　6.9.1　記号の説明</w:t>
      </w:r>
    </w:p>
    <w:p w14:paraId="655C8952" w14:textId="77777777" w:rsidR="00C531D5" w:rsidRPr="00BC31E0" w:rsidRDefault="00C531D5" w:rsidP="00C531D5">
      <w:pPr>
        <w:pStyle w:val="af4"/>
        <w:jc w:val="left"/>
        <w:rPr>
          <w:szCs w:val="28"/>
        </w:rPr>
      </w:pPr>
    </w:p>
    <w:p w14:paraId="2A0CFF8F" w14:textId="77777777" w:rsidR="00C531D5" w:rsidRPr="00BC31E0" w:rsidRDefault="00C531D5" w:rsidP="006F5AE6">
      <w:pPr>
        <w:pStyle w:val="af4"/>
        <w:rPr>
          <w:noProof/>
        </w:rPr>
      </w:pPr>
      <w:r w:rsidRPr="00BC31E0">
        <w:rPr>
          <w:szCs w:val="28"/>
        </w:rPr>
        <w:br w:type="page"/>
      </w:r>
      <w:r w:rsidR="00A51873">
        <w:rPr>
          <w:noProof/>
        </w:rPr>
      </w:r>
      <w:r w:rsidR="00A51873">
        <w:rPr>
          <w:noProof/>
        </w:rPr>
        <w:pict w14:anchorId="5A631759">
          <v:group id="Group 12087" o:spid="_x0000_s1247" style="width:346.25pt;height:353.35pt;mso-position-horizontal-relative:char;mso-position-vertical-relative:line" coordorigin="2211,1978" coordsize="6925,7067">
            <v:shape id="Picture 12084" o:spid="_x0000_s1248" type="#_x0000_t75" alt="図6" style="position:absolute;left:2211;top:1978;width:6925;height:70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">
              <v:imagedata r:id="rId90" o:title="図6"/>
            </v:shape>
            <v:shape id="Text Box 12085" o:spid="_x0000_s1249" type="#_x0000_t202" style="position:absolute;left:7190;top:5989;width:1565;height: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" stroked="f">
              <v:textbox>
                <w:txbxContent>
                  <w:p w14:paraId="788B366B" w14:textId="77777777" w:rsidR="003B0864" w:rsidRPr="00D31CA9" w:rsidRDefault="003B0864" w:rsidP="00C531D5">
                    <w:pPr>
                      <w:rPr>
                        <w:sz w:val="18"/>
                        <w:szCs w:val="18"/>
                      </w:rPr>
                    </w:pPr>
                    <w:r w:rsidRPr="00D31CA9">
                      <w:rPr>
                        <w:rFonts w:hint="eastAsia"/>
                        <w:sz w:val="18"/>
                        <w:szCs w:val="18"/>
                      </w:rPr>
                      <w:t>ワイヤ疲労曲線</w:t>
                    </w:r>
                  </w:p>
                </w:txbxContent>
              </v:textbox>
            </v:shape>
            <v:shape id="Text Box 12086" o:spid="_x0000_s1250" type="#_x0000_t202" style="position:absolute;left:6994;top:6988;width:1565;height: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" stroked="f">
              <v:textbox>
                <w:txbxContent>
                  <w:p w14:paraId="77575584" w14:textId="77777777" w:rsidR="003B0864" w:rsidRPr="00D31CA9" w:rsidRDefault="003B0864" w:rsidP="00C531D5">
                    <w:pPr>
                      <w:rPr>
                        <w:sz w:val="18"/>
                        <w:szCs w:val="18"/>
                      </w:rPr>
                    </w:pPr>
                    <w:r>
                      <w:rPr>
                        <w:rFonts w:hint="eastAsia"/>
                        <w:sz w:val="18"/>
                        <w:szCs w:val="18"/>
                      </w:rPr>
                      <w:t>設計</w:t>
                    </w:r>
                    <w:r w:rsidRPr="00D31CA9">
                      <w:rPr>
                        <w:rFonts w:hint="eastAsia"/>
                        <w:sz w:val="18"/>
                        <w:szCs w:val="18"/>
                      </w:rPr>
                      <w:t>疲労曲線</w:t>
                    </w:r>
                  </w:p>
                </w:txbxContent>
              </v:textbox>
            </v:shape>
            <w10:anchorlock/>
          </v:group>
        </w:pict>
      </w:r>
    </w:p>
    <w:p w14:paraId="4FB4D296" w14:textId="77777777" w:rsidR="00A85DE4" w:rsidRPr="00BC31E0" w:rsidRDefault="00A85DE4" w:rsidP="006F5AE6">
      <w:pPr>
        <w:pStyle w:val="af4"/>
        <w:jc w:val="both"/>
      </w:pPr>
    </w:p>
    <w:p w14:paraId="66FFA2D3" w14:textId="77777777" w:rsidR="00C531D5" w:rsidRPr="00BC31E0" w:rsidRDefault="00C531D5" w:rsidP="00BC31E0">
      <w:pPr>
        <w:pStyle w:val="af4"/>
        <w:spacing w:beforeLines="50" w:before="180"/>
        <w:rPr>
          <w:vertAlign w:val="superscript"/>
        </w:rPr>
      </w:pPr>
      <w:r w:rsidRPr="00BC31E0">
        <w:rPr>
          <w:rFonts w:hint="eastAsia"/>
        </w:rPr>
        <w:t>図　6.9.2　設計疲労曲線の求め方</w:t>
      </w:r>
      <w:r w:rsidRPr="00BC31E0">
        <w:rPr>
          <w:rFonts w:hint="eastAsia"/>
          <w:vertAlign w:val="superscript"/>
        </w:rPr>
        <w:t>†</w:t>
      </w:r>
    </w:p>
    <w:p w14:paraId="78166CCA" w14:textId="77777777" w:rsidR="00601156" w:rsidRPr="00BC31E0" w:rsidRDefault="00601156" w:rsidP="00BC31E0">
      <w:pPr>
        <w:pStyle w:val="af4"/>
        <w:spacing w:beforeLines="50" w:before="180"/>
        <w:jc w:val="both"/>
      </w:pPr>
    </w:p>
    <w:p w14:paraId="0F58700E" w14:textId="77777777" w:rsidR="00B347C4" w:rsidRPr="00BC31E0" w:rsidRDefault="008E213E" w:rsidP="00736130">
      <w:pPr>
        <w:pStyle w:val="20"/>
        <w:numPr>
          <w:ilvl w:val="1"/>
          <w:numId w:val="153"/>
        </w:numPr>
        <w:ind w:left="567" w:hanging="567"/>
      </w:pPr>
      <w:bookmarkStart w:id="58" w:name="_Toc357672097"/>
      <w:r w:rsidRPr="00BC31E0">
        <w:rPr>
          <w:rFonts w:hint="eastAsia"/>
        </w:rPr>
        <w:t xml:space="preserve">　</w:t>
      </w:r>
      <w:bookmarkStart w:id="59" w:name="_Toc120092530"/>
      <w:r w:rsidRPr="00BC31E0">
        <w:rPr>
          <w:rFonts w:hint="eastAsia"/>
        </w:rPr>
        <w:t>溶接容器の設計要求</w:t>
      </w:r>
      <w:bookmarkEnd w:id="58"/>
      <w:bookmarkEnd w:id="59"/>
    </w:p>
    <w:p w14:paraId="4ECF8780" w14:textId="77777777" w:rsidR="00B347C4" w:rsidRPr="00BC31E0" w:rsidRDefault="008E213E" w:rsidP="00195045">
      <w:pPr>
        <w:pStyle w:val="3"/>
        <w:tabs>
          <w:tab w:val="clear" w:pos="284"/>
        </w:tabs>
        <w:ind w:left="794" w:hanging="794"/>
      </w:pPr>
      <w:r w:rsidRPr="00BC31E0">
        <w:rPr>
          <w:rFonts w:hint="eastAsia"/>
        </w:rPr>
        <w:t xml:space="preserve"> </w:t>
      </w:r>
      <w:r w:rsidR="00B347C4" w:rsidRPr="00BC31E0">
        <w:rPr>
          <w:rFonts w:hint="eastAsia"/>
        </w:rPr>
        <w:t>適用範囲</w:t>
      </w:r>
    </w:p>
    <w:p w14:paraId="0A8E1F1B" w14:textId="77777777" w:rsidR="00B347C4" w:rsidRPr="00BC31E0" w:rsidRDefault="00B347C4" w:rsidP="006F5AE6">
      <w:pPr>
        <w:pStyle w:val="1110"/>
        <w:ind w:firstLine="210"/>
      </w:pPr>
      <w:r w:rsidRPr="00BC31E0">
        <w:rPr>
          <w:rFonts w:hint="eastAsia"/>
        </w:rPr>
        <w:t>この項では，溶接容器の設計方法について</w:t>
      </w:r>
      <w:r w:rsidRPr="00BC31E0">
        <w:rPr>
          <w:rFonts w:ascii="ＭＳ ゴシック" w:eastAsia="ＭＳ ゴシック" w:hAnsi="ＭＳ ゴシック" w:hint="eastAsia"/>
          <w:b/>
          <w:bCs/>
        </w:rPr>
        <w:t>6.2</w:t>
      </w:r>
      <w:r w:rsidRPr="00BC31E0">
        <w:rPr>
          <w:rFonts w:ascii="ＭＳ ゴシック" w:eastAsia="ＭＳ ゴシック" w:hAnsi="ＭＳ ゴシック" w:hint="eastAsia"/>
        </w:rPr>
        <w:t>，</w:t>
      </w:r>
      <w:r w:rsidRPr="00BC31E0">
        <w:rPr>
          <w:rFonts w:ascii="ＭＳ ゴシック" w:eastAsia="ＭＳ ゴシック" w:hAnsi="ＭＳ ゴシック" w:hint="eastAsia"/>
          <w:b/>
          <w:bCs/>
        </w:rPr>
        <w:t>6.3</w:t>
      </w:r>
      <w:r w:rsidRPr="00BC31E0">
        <w:rPr>
          <w:rFonts w:ascii="ＭＳ ゴシック" w:eastAsia="ＭＳ ゴシック" w:hAnsi="ＭＳ ゴシック" w:hint="eastAsia"/>
        </w:rPr>
        <w:t>，</w:t>
      </w:r>
      <w:r w:rsidRPr="00BC31E0">
        <w:rPr>
          <w:rFonts w:ascii="ＭＳ ゴシック" w:eastAsia="ＭＳ ゴシック" w:hAnsi="ＭＳ ゴシック" w:hint="eastAsia"/>
          <w:b/>
          <w:bCs/>
        </w:rPr>
        <w:t>6.4</w:t>
      </w:r>
      <w:r w:rsidRPr="00BC31E0">
        <w:rPr>
          <w:rFonts w:hint="eastAsia"/>
        </w:rPr>
        <w:t>への追加要求を規定する。</w:t>
      </w:r>
    </w:p>
    <w:p w14:paraId="094C0DFA" w14:textId="77777777" w:rsidR="00B347C4" w:rsidRPr="00BC31E0" w:rsidRDefault="008E213E" w:rsidP="00195045">
      <w:pPr>
        <w:pStyle w:val="3"/>
        <w:tabs>
          <w:tab w:val="clear" w:pos="284"/>
        </w:tabs>
        <w:ind w:left="794" w:hanging="794"/>
      </w:pPr>
      <w:r w:rsidRPr="00BC31E0">
        <w:rPr>
          <w:rFonts w:hint="eastAsia"/>
        </w:rPr>
        <w:t xml:space="preserve"> </w:t>
      </w:r>
      <w:r w:rsidR="00B347C4" w:rsidRPr="00BC31E0">
        <w:rPr>
          <w:rFonts w:hint="eastAsia"/>
        </w:rPr>
        <w:t>溶接容器の一般要求</w:t>
      </w:r>
    </w:p>
    <w:p w14:paraId="45C0E804" w14:textId="77777777" w:rsidR="00B347C4" w:rsidRPr="00BC31E0" w:rsidRDefault="00B347C4" w:rsidP="006F5AE6">
      <w:pPr>
        <w:pStyle w:val="1110"/>
        <w:ind w:firstLine="210"/>
      </w:pPr>
      <w:r w:rsidRPr="00BC31E0">
        <w:rPr>
          <w:rFonts w:hint="eastAsia"/>
        </w:rPr>
        <w:t>溶接容器は，鍛造リングほか圧延鋼鈑などの鍛圧材料から，次の</w:t>
      </w:r>
      <w:r w:rsidRPr="00BC31E0">
        <w:rPr>
          <w:rFonts w:ascii="ＭＳ ゴシック" w:eastAsia="ＭＳ ゴシック" w:hAnsi="ＭＳ ゴシック" w:hint="eastAsia"/>
          <w:b/>
        </w:rPr>
        <w:t>a)</w:t>
      </w:r>
      <w:r w:rsidRPr="00BC31E0">
        <w:rPr>
          <w:rFonts w:hint="eastAsia"/>
        </w:rPr>
        <w:t>～</w:t>
      </w:r>
      <w:r w:rsidRPr="00BC31E0">
        <w:rPr>
          <w:rFonts w:ascii="ＭＳ ゴシック" w:eastAsia="ＭＳ ゴシック" w:hAnsi="ＭＳ ゴシック" w:hint="eastAsia"/>
          <w:b/>
        </w:rPr>
        <w:t>d)</w:t>
      </w:r>
      <w:r w:rsidRPr="00BC31E0">
        <w:rPr>
          <w:rFonts w:hint="eastAsia"/>
        </w:rPr>
        <w:t>により製作する。</w:t>
      </w:r>
    </w:p>
    <w:p w14:paraId="1491C423" w14:textId="77777777" w:rsidR="00195045" w:rsidRPr="00BC31E0" w:rsidRDefault="00B347C4" w:rsidP="00736130">
      <w:pPr>
        <w:pStyle w:val="a4"/>
        <w:numPr>
          <w:ilvl w:val="0"/>
          <w:numId w:val="443"/>
        </w:numPr>
        <w:ind w:leftChars="0" w:left="454" w:hanging="454"/>
        <w:rPr>
          <w:rFonts w:asciiTheme="minorHAnsi" w:eastAsiaTheme="minorEastAsia" w:hAnsiTheme="minorHAnsi"/>
        </w:rPr>
      </w:pPr>
      <w:r w:rsidRPr="00BC31E0">
        <w:rPr>
          <w:rFonts w:asciiTheme="minorHAnsi" w:eastAsiaTheme="minorEastAsia" w:hAnsiTheme="minorEastAsia"/>
        </w:rPr>
        <w:t>この規格の溶接規定，</w:t>
      </w:r>
      <w:r w:rsidRPr="00BC31E0">
        <w:rPr>
          <w:rFonts w:asciiTheme="majorEastAsia" w:eastAsiaTheme="majorEastAsia" w:hAnsiTheme="majorEastAsia"/>
          <w:b/>
        </w:rPr>
        <w:t>JIS B 8266</w:t>
      </w:r>
      <w:r w:rsidRPr="00BC31E0">
        <w:rPr>
          <w:rFonts w:asciiTheme="minorHAnsi" w:eastAsiaTheme="minorEastAsia" w:hAnsiTheme="minorEastAsia"/>
        </w:rPr>
        <w:t>及び</w:t>
      </w:r>
      <w:r w:rsidRPr="00BC31E0">
        <w:rPr>
          <w:rFonts w:asciiTheme="majorEastAsia" w:eastAsiaTheme="majorEastAsia" w:hAnsiTheme="majorEastAsia"/>
          <w:b/>
        </w:rPr>
        <w:t>JIS B 8285</w:t>
      </w:r>
      <w:r w:rsidRPr="00BC31E0">
        <w:rPr>
          <w:rFonts w:asciiTheme="minorHAnsi" w:eastAsiaTheme="minorEastAsia" w:hAnsiTheme="minorEastAsia"/>
        </w:rPr>
        <w:t>による。</w:t>
      </w:r>
    </w:p>
    <w:p w14:paraId="371E2EA9" w14:textId="77777777" w:rsidR="00195045" w:rsidRPr="00BC31E0" w:rsidRDefault="00DC160D" w:rsidP="00736130">
      <w:pPr>
        <w:pStyle w:val="a4"/>
        <w:numPr>
          <w:ilvl w:val="0"/>
          <w:numId w:val="443"/>
        </w:numPr>
        <w:ind w:leftChars="0" w:left="454" w:hanging="454"/>
        <w:rPr>
          <w:rFonts w:asciiTheme="minorHAnsi" w:eastAsiaTheme="minorEastAsia" w:hAnsiTheme="minorHAnsi"/>
        </w:rPr>
      </w:pPr>
      <w:r w:rsidRPr="00BC31E0">
        <w:rPr>
          <w:rFonts w:hint="eastAsia"/>
        </w:rPr>
        <w:t>全</w:t>
      </w:r>
      <w:r w:rsidR="00B347C4" w:rsidRPr="00BC31E0">
        <w:rPr>
          <w:rFonts w:hint="eastAsia"/>
        </w:rPr>
        <w:t>ての溶接は，</w:t>
      </w:r>
      <w:r w:rsidR="00B347C4" w:rsidRPr="00BC31E0">
        <w:rPr>
          <w:rFonts w:asciiTheme="majorEastAsia" w:eastAsiaTheme="majorEastAsia" w:hAnsiTheme="majorEastAsia" w:hint="eastAsia"/>
          <w:b/>
          <w:bCs/>
        </w:rPr>
        <w:t>7</w:t>
      </w:r>
      <w:r w:rsidR="00B347C4" w:rsidRPr="00BC31E0">
        <w:rPr>
          <w:rFonts w:hint="eastAsia"/>
        </w:rPr>
        <w:t>及び</w:t>
      </w:r>
      <w:r w:rsidR="00B347C4" w:rsidRPr="00BC31E0">
        <w:rPr>
          <w:rFonts w:asciiTheme="majorEastAsia" w:eastAsiaTheme="majorEastAsia" w:hAnsiTheme="majorEastAsia" w:hint="eastAsia"/>
          <w:b/>
          <w:bCs/>
        </w:rPr>
        <w:t>9</w:t>
      </w:r>
      <w:r w:rsidR="00B347C4" w:rsidRPr="00BC31E0">
        <w:rPr>
          <w:rFonts w:hint="eastAsia"/>
        </w:rPr>
        <w:t>の規定を満足しなければならない。</w:t>
      </w:r>
    </w:p>
    <w:p w14:paraId="1BF0C8DC" w14:textId="77777777" w:rsidR="00195045" w:rsidRPr="00BC31E0" w:rsidRDefault="00B347C4" w:rsidP="00736130">
      <w:pPr>
        <w:pStyle w:val="a4"/>
        <w:numPr>
          <w:ilvl w:val="0"/>
          <w:numId w:val="443"/>
        </w:numPr>
        <w:ind w:leftChars="0" w:left="454" w:hanging="454"/>
        <w:rPr>
          <w:rFonts w:asciiTheme="minorHAnsi" w:eastAsiaTheme="minorEastAsia" w:hAnsiTheme="minorHAnsi"/>
        </w:rPr>
      </w:pPr>
      <w:r w:rsidRPr="00BC31E0">
        <w:rPr>
          <w:rFonts w:hint="eastAsia"/>
        </w:rPr>
        <w:t>この規格の溶接容器は，溶接継手効率</w:t>
      </w:r>
      <w:r w:rsidRPr="00BC31E0">
        <w:rPr>
          <w:rFonts w:asciiTheme="minorHAnsi" w:hAnsiTheme="minorHAnsi"/>
        </w:rPr>
        <w:t>100%</w:t>
      </w:r>
      <w:r w:rsidRPr="00BC31E0">
        <w:rPr>
          <w:rFonts w:hint="eastAsia"/>
        </w:rPr>
        <w:t>を要求される。</w:t>
      </w:r>
    </w:p>
    <w:p w14:paraId="7F5673FD" w14:textId="77777777" w:rsidR="00B347C4" w:rsidRPr="00BC31E0" w:rsidRDefault="00DC160D" w:rsidP="00736130">
      <w:pPr>
        <w:pStyle w:val="a4"/>
        <w:numPr>
          <w:ilvl w:val="0"/>
          <w:numId w:val="443"/>
        </w:numPr>
        <w:ind w:leftChars="0" w:left="454" w:hanging="454"/>
        <w:rPr>
          <w:rFonts w:asciiTheme="minorHAnsi" w:eastAsiaTheme="minorEastAsia" w:hAnsiTheme="minorHAnsi"/>
        </w:rPr>
      </w:pPr>
      <w:r w:rsidRPr="00BC31E0">
        <w:rPr>
          <w:rFonts w:hint="eastAsia"/>
        </w:rPr>
        <w:t>全</w:t>
      </w:r>
      <w:r w:rsidR="00B347C4" w:rsidRPr="00BC31E0">
        <w:rPr>
          <w:rFonts w:hint="eastAsia"/>
        </w:rPr>
        <w:t>ての製作及び熱処理終了後に，溶接金属及び溶接熱影響部の機械的特性は，</w:t>
      </w:r>
      <w:r w:rsidR="00B347C4" w:rsidRPr="00BC31E0">
        <w:rPr>
          <w:rFonts w:asciiTheme="majorEastAsia" w:eastAsiaTheme="majorEastAsia" w:hAnsiTheme="majorEastAsia" w:hint="eastAsia"/>
          <w:b/>
          <w:bCs/>
        </w:rPr>
        <w:t>5</w:t>
      </w:r>
      <w:r w:rsidR="00B347C4" w:rsidRPr="00BC31E0">
        <w:rPr>
          <w:rFonts w:hint="eastAsia"/>
        </w:rPr>
        <w:t>に規定する材料特性を満足しなければならない。</w:t>
      </w:r>
    </w:p>
    <w:p w14:paraId="32ACA979" w14:textId="77777777" w:rsidR="00B347C4" w:rsidRPr="00BC31E0" w:rsidRDefault="008E213E" w:rsidP="00A00B0D">
      <w:pPr>
        <w:pStyle w:val="3"/>
        <w:tabs>
          <w:tab w:val="clear" w:pos="284"/>
        </w:tabs>
        <w:ind w:left="794" w:hanging="794"/>
      </w:pPr>
      <w:r w:rsidRPr="00BC31E0">
        <w:rPr>
          <w:rFonts w:hint="eastAsia"/>
        </w:rPr>
        <w:t xml:space="preserve"> </w:t>
      </w:r>
      <w:r w:rsidR="00B347C4" w:rsidRPr="00BC31E0">
        <w:rPr>
          <w:rFonts w:hint="eastAsia"/>
        </w:rPr>
        <w:t>許容される継手のタイプ</w:t>
      </w:r>
    </w:p>
    <w:p w14:paraId="24EE447A" w14:textId="77777777" w:rsidR="00B347C4" w:rsidRPr="00BC31E0" w:rsidRDefault="00DC160D" w:rsidP="006F5AE6">
      <w:pPr>
        <w:pStyle w:val="1110"/>
        <w:ind w:firstLine="210"/>
      </w:pPr>
      <w:r w:rsidRPr="00BC31E0">
        <w:rPr>
          <w:rFonts w:hint="eastAsia"/>
        </w:rPr>
        <w:t>全</w:t>
      </w:r>
      <w:r w:rsidR="00B347C4" w:rsidRPr="00BC31E0">
        <w:rPr>
          <w:rFonts w:hint="eastAsia"/>
        </w:rPr>
        <w:t>ての継手</w:t>
      </w:r>
      <w:r w:rsidR="00B347C4" w:rsidRPr="00BC31E0">
        <w:rPr>
          <w:rFonts w:hint="eastAsia"/>
        </w:rPr>
        <w:t>(</w:t>
      </w:r>
      <w:r w:rsidR="00B347C4" w:rsidRPr="00BC31E0">
        <w:rPr>
          <w:rFonts w:ascii="ＭＳ ゴシック" w:eastAsia="ＭＳ ゴシック" w:hAnsi="ＭＳ ゴシック" w:hint="eastAsia"/>
          <w:b/>
          <w:bCs/>
        </w:rPr>
        <w:t>6.7</w:t>
      </w:r>
      <w:r w:rsidR="00B347C4" w:rsidRPr="00BC31E0">
        <w:rPr>
          <w:rFonts w:hint="eastAsia"/>
        </w:rPr>
        <w:t>及び</w:t>
      </w:r>
      <w:r w:rsidR="00B347C4" w:rsidRPr="00BC31E0">
        <w:rPr>
          <w:rFonts w:ascii="ＭＳ ゴシック" w:eastAsia="ＭＳ ゴシック" w:hint="eastAsia"/>
          <w:b/>
        </w:rPr>
        <w:t>6.8</w:t>
      </w:r>
      <w:r w:rsidR="00B347C4" w:rsidRPr="00BC31E0">
        <w:rPr>
          <w:rFonts w:hint="eastAsia"/>
        </w:rPr>
        <w:t>の一部を除く</w:t>
      </w:r>
      <w:r w:rsidR="00B347C4" w:rsidRPr="00BC31E0">
        <w:rPr>
          <w:rFonts w:hint="eastAsia"/>
        </w:rPr>
        <w:t>)</w:t>
      </w:r>
      <w:r w:rsidR="00B347C4" w:rsidRPr="00BC31E0">
        <w:rPr>
          <w:rFonts w:hint="eastAsia"/>
        </w:rPr>
        <w:t>は，</w:t>
      </w:r>
      <w:r w:rsidR="00B347C4" w:rsidRPr="00BC31E0">
        <w:rPr>
          <w:rFonts w:hint="eastAsia"/>
        </w:rPr>
        <w:t>Type No.1</w:t>
      </w:r>
      <w:r w:rsidR="00B347C4" w:rsidRPr="00BC31E0">
        <w:rPr>
          <w:rFonts w:hint="eastAsia"/>
        </w:rPr>
        <w:t>突合せ継手とする。</w:t>
      </w:r>
    </w:p>
    <w:p w14:paraId="63C5B4AA" w14:textId="77777777" w:rsidR="00B347C4" w:rsidRPr="00BC31E0" w:rsidRDefault="008E213E" w:rsidP="00A00B0D">
      <w:pPr>
        <w:pStyle w:val="3"/>
        <w:tabs>
          <w:tab w:val="clear" w:pos="284"/>
        </w:tabs>
        <w:ind w:left="794" w:hanging="794"/>
      </w:pPr>
      <w:r w:rsidRPr="00BC31E0">
        <w:rPr>
          <w:rFonts w:hint="eastAsia"/>
        </w:rPr>
        <w:t xml:space="preserve"> </w:t>
      </w:r>
      <w:r w:rsidR="00B347C4" w:rsidRPr="00BC31E0">
        <w:rPr>
          <w:rFonts w:hint="eastAsia"/>
        </w:rPr>
        <w:t>突合せ継手の接続方法</w:t>
      </w:r>
    </w:p>
    <w:p w14:paraId="32B0CE60" w14:textId="77777777" w:rsidR="00B347C4" w:rsidRPr="00BC31E0" w:rsidRDefault="00B347C4" w:rsidP="006F5AE6">
      <w:pPr>
        <w:pStyle w:val="1110"/>
        <w:ind w:firstLine="210"/>
      </w:pPr>
      <w:r w:rsidRPr="00BC31E0">
        <w:rPr>
          <w:rFonts w:hint="eastAsia"/>
        </w:rPr>
        <w:t>突合せ継手の接続方法は，次の</w:t>
      </w:r>
      <w:r w:rsidRPr="00BC31E0">
        <w:rPr>
          <w:rFonts w:ascii="ＭＳ ゴシック" w:eastAsia="ＭＳ ゴシック" w:hint="eastAsia"/>
          <w:b/>
        </w:rPr>
        <w:t>a)</w:t>
      </w:r>
      <w:r w:rsidRPr="00BC31E0">
        <w:rPr>
          <w:rFonts w:hint="eastAsia"/>
        </w:rPr>
        <w:t>～</w:t>
      </w:r>
      <w:r w:rsidRPr="00BC31E0">
        <w:rPr>
          <w:rFonts w:ascii="ＭＳ ゴシック" w:eastAsia="ＭＳ ゴシック" w:hint="eastAsia"/>
          <w:b/>
        </w:rPr>
        <w:t>e)</w:t>
      </w:r>
      <w:r w:rsidRPr="00BC31E0">
        <w:rPr>
          <w:rFonts w:hint="eastAsia"/>
        </w:rPr>
        <w:t>による。</w:t>
      </w:r>
    </w:p>
    <w:p w14:paraId="43EA12F0" w14:textId="77777777" w:rsidR="001C3B4B" w:rsidRPr="00BC31E0" w:rsidRDefault="00B347C4" w:rsidP="00736130">
      <w:pPr>
        <w:pStyle w:val="a4"/>
        <w:numPr>
          <w:ilvl w:val="0"/>
          <w:numId w:val="444"/>
        </w:numPr>
        <w:ind w:leftChars="0" w:left="454" w:hanging="454"/>
      </w:pPr>
      <w:r w:rsidRPr="00BC31E0">
        <w:rPr>
          <w:rFonts w:hint="eastAsia"/>
        </w:rPr>
        <w:lastRenderedPageBreak/>
        <w:t>円筒胴との周突合せ傾斜継手は</w:t>
      </w:r>
      <w:r w:rsidRPr="00BC31E0">
        <w:rPr>
          <w:rFonts w:hint="eastAsia"/>
        </w:rPr>
        <w:t>Type No.1</w:t>
      </w:r>
      <w:r w:rsidRPr="00BC31E0">
        <w:rPr>
          <w:rFonts w:hint="eastAsia"/>
        </w:rPr>
        <w:t>突合せ継手として，円筒軸から</w:t>
      </w:r>
      <w:r w:rsidRPr="00BC31E0">
        <w:t>30°</w:t>
      </w:r>
      <w:r w:rsidRPr="00BC31E0">
        <w:rPr>
          <w:rFonts w:hint="eastAsia"/>
        </w:rPr>
        <w:t>以内の傾きとする。</w:t>
      </w:r>
    </w:p>
    <w:p w14:paraId="05E567C5" w14:textId="77777777" w:rsidR="001C3B4B" w:rsidRPr="00BC31E0" w:rsidRDefault="00B347C4" w:rsidP="00736130">
      <w:pPr>
        <w:pStyle w:val="a4"/>
        <w:numPr>
          <w:ilvl w:val="0"/>
          <w:numId w:val="444"/>
        </w:numPr>
        <w:ind w:leftChars="0" w:left="454" w:hanging="454"/>
      </w:pPr>
      <w:r w:rsidRPr="00BC31E0">
        <w:rPr>
          <w:rFonts w:ascii="ＭＳ 明朝" w:hint="eastAsia"/>
        </w:rPr>
        <w:t>胴，鏡又は他の耐圧部材と突合せ溶接で接続するハブ付き平鏡板のハブは，平板から機械加工で製作してはならない。</w:t>
      </w:r>
    </w:p>
    <w:p w14:paraId="4CCA973B" w14:textId="77777777" w:rsidR="001C3B4B" w:rsidRPr="00BC31E0" w:rsidRDefault="00B347C4" w:rsidP="00736130">
      <w:pPr>
        <w:pStyle w:val="a4"/>
        <w:numPr>
          <w:ilvl w:val="0"/>
          <w:numId w:val="444"/>
        </w:numPr>
        <w:ind w:leftChars="0" w:left="454" w:hanging="454"/>
      </w:pPr>
      <w:r w:rsidRPr="00BC31E0">
        <w:rPr>
          <w:rFonts w:ascii="ＭＳ 明朝" w:hint="eastAsia"/>
        </w:rPr>
        <w:t>ハブは</w:t>
      </w:r>
      <w:r w:rsidRPr="00BC31E0">
        <w:rPr>
          <w:rFonts w:hint="eastAsia"/>
        </w:rPr>
        <w:t>Type No.1</w:t>
      </w:r>
      <w:r w:rsidRPr="00BC31E0">
        <w:rPr>
          <w:rFonts w:ascii="ＭＳ 明朝" w:hint="eastAsia"/>
        </w:rPr>
        <w:t>突合せ溶接ができるように，</w:t>
      </w:r>
      <w:r w:rsidRPr="00BC31E0">
        <w:rPr>
          <w:rFonts w:asciiTheme="majorEastAsia" w:eastAsiaTheme="majorEastAsia" w:hAnsiTheme="majorEastAsia" w:hint="eastAsia"/>
          <w:b/>
          <w:bCs/>
        </w:rPr>
        <w:t>図6.10.1</w:t>
      </w:r>
      <w:r w:rsidRPr="00BC31E0">
        <w:rPr>
          <w:rFonts w:ascii="ＭＳ 明朝" w:hint="eastAsia"/>
        </w:rPr>
        <w:t>に示すように鍛造する。</w:t>
      </w:r>
    </w:p>
    <w:p w14:paraId="131881C9" w14:textId="77777777" w:rsidR="001C3B4B" w:rsidRPr="00BC31E0" w:rsidRDefault="00B347C4" w:rsidP="00736130">
      <w:pPr>
        <w:pStyle w:val="a4"/>
        <w:numPr>
          <w:ilvl w:val="0"/>
          <w:numId w:val="444"/>
        </w:numPr>
        <w:ind w:leftChars="0" w:left="454" w:hanging="454"/>
      </w:pPr>
      <w:r w:rsidRPr="00BC31E0">
        <w:rPr>
          <w:rFonts w:ascii="ＭＳ 明朝" w:hint="eastAsia"/>
        </w:rPr>
        <w:t>胴に溶接される鍛造リップの機械的特性は，胴部と同じ規定を適用する。引張試験片はハブの軸に平行な方向で，できるだけハブに近い箇所から採取して確認する。幾つかの鍛造品の一群に対して，同一設計，同一溶解のもので，かつ同じ鍛造方法の代表試験片は一個でよい。</w:t>
      </w:r>
    </w:p>
    <w:p w14:paraId="2E37BD35" w14:textId="77777777" w:rsidR="00B347C4" w:rsidRPr="00BC31E0" w:rsidRDefault="00B347C4" w:rsidP="00736130">
      <w:pPr>
        <w:pStyle w:val="a4"/>
        <w:numPr>
          <w:ilvl w:val="0"/>
          <w:numId w:val="444"/>
        </w:numPr>
        <w:ind w:leftChars="0" w:left="454" w:hanging="454"/>
      </w:pPr>
      <w:r w:rsidRPr="00BC31E0">
        <w:rPr>
          <w:rFonts w:ascii="ＭＳ 明朝" w:hint="eastAsia"/>
        </w:rPr>
        <w:t>ハブの長さは，ハブが溶接接合される耐圧部材の厚さの</w:t>
      </w:r>
      <w:r w:rsidRPr="00BC31E0">
        <w:t>1.5</w:t>
      </w:r>
      <w:r w:rsidRPr="00BC31E0">
        <w:rPr>
          <w:rFonts w:ascii="ＭＳ 明朝" w:hint="eastAsia"/>
        </w:rPr>
        <w:t>倍又は</w:t>
      </w:r>
      <w:r w:rsidRPr="00BC31E0">
        <w:t>19 mm</w:t>
      </w:r>
      <w:r w:rsidRPr="00BC31E0">
        <w:rPr>
          <w:rFonts w:ascii="ＭＳ 明朝" w:hint="eastAsia"/>
        </w:rPr>
        <w:t>のいずれか大きい方の値以上とするが，</w:t>
      </w:r>
      <w:r w:rsidRPr="00BC31E0">
        <w:t>50 mm</w:t>
      </w:r>
      <w:r w:rsidRPr="00BC31E0">
        <w:rPr>
          <w:rFonts w:ascii="ＭＳ 明朝" w:hint="eastAsia"/>
        </w:rPr>
        <w:t>を超える必要はない。</w:t>
      </w:r>
    </w:p>
    <w:p w14:paraId="2B627525" w14:textId="77777777" w:rsidR="00B347C4" w:rsidRPr="00BC31E0" w:rsidRDefault="006F5AE6" w:rsidP="00FF25C0">
      <w:pPr>
        <w:pStyle w:val="3"/>
        <w:tabs>
          <w:tab w:val="clear" w:pos="284"/>
        </w:tabs>
        <w:ind w:left="794" w:hanging="794"/>
      </w:pPr>
      <w:r w:rsidRPr="00BC31E0">
        <w:rPr>
          <w:rFonts w:hint="eastAsia"/>
        </w:rPr>
        <w:t xml:space="preserve"> </w:t>
      </w:r>
      <w:r w:rsidR="00B347C4" w:rsidRPr="00BC31E0">
        <w:rPr>
          <w:rFonts w:hint="eastAsia"/>
        </w:rPr>
        <w:t>コーナー溶接継手</w:t>
      </w:r>
    </w:p>
    <w:p w14:paraId="7B34CC94" w14:textId="77777777" w:rsidR="00B347C4" w:rsidRPr="00BC31E0" w:rsidRDefault="00B347C4" w:rsidP="009023AF">
      <w:pPr>
        <w:pStyle w:val="1110"/>
        <w:ind w:firstLine="210"/>
      </w:pPr>
      <w:r w:rsidRPr="00BC31E0">
        <w:rPr>
          <w:rFonts w:hint="eastAsia"/>
        </w:rPr>
        <w:t>完全溶け込みグルーブ溶接とすみ肉溶接の組み合せによるコーナー継手は，胴と鏡板，フランジなどの継手に使用してはならない。</w:t>
      </w:r>
    </w:p>
    <w:p w14:paraId="33993630" w14:textId="77777777" w:rsidR="00B347C4" w:rsidRPr="00BC31E0" w:rsidRDefault="006F5AE6" w:rsidP="00FF25C0">
      <w:pPr>
        <w:pStyle w:val="3"/>
        <w:ind w:left="794" w:hanging="794"/>
      </w:pPr>
      <w:r w:rsidRPr="00BC31E0">
        <w:rPr>
          <w:rFonts w:hint="eastAsia"/>
        </w:rPr>
        <w:t xml:space="preserve"> </w:t>
      </w:r>
      <w:r w:rsidR="00B347C4" w:rsidRPr="00BC31E0">
        <w:rPr>
          <w:rFonts w:hint="eastAsia"/>
        </w:rPr>
        <w:t>厚さの違う部材の継手形状</w:t>
      </w:r>
    </w:p>
    <w:p w14:paraId="17C0A2FC" w14:textId="77777777" w:rsidR="00B347C4" w:rsidRPr="00BC31E0" w:rsidRDefault="00B347C4" w:rsidP="009023AF">
      <w:pPr>
        <w:pStyle w:val="1110"/>
        <w:ind w:firstLine="210"/>
      </w:pPr>
      <w:r w:rsidRPr="00BC31E0">
        <w:rPr>
          <w:rFonts w:hint="eastAsia"/>
        </w:rPr>
        <w:t>厚さの違う部材の継手形状は，次の</w:t>
      </w:r>
      <w:r w:rsidRPr="00BC31E0">
        <w:rPr>
          <w:rFonts w:ascii="ＭＳ ゴシック" w:eastAsia="ＭＳ ゴシック" w:hint="eastAsia"/>
          <w:b/>
        </w:rPr>
        <w:t>a)</w:t>
      </w:r>
      <w:r w:rsidRPr="00BC31E0">
        <w:rPr>
          <w:rFonts w:hint="eastAsia"/>
        </w:rPr>
        <w:t>，</w:t>
      </w:r>
      <w:r w:rsidRPr="00BC31E0">
        <w:rPr>
          <w:rFonts w:ascii="ＭＳ ゴシック" w:eastAsia="ＭＳ ゴシック" w:hint="eastAsia"/>
          <w:b/>
        </w:rPr>
        <w:t>b)</w:t>
      </w:r>
      <w:r w:rsidRPr="00BC31E0">
        <w:rPr>
          <w:rFonts w:hint="eastAsia"/>
        </w:rPr>
        <w:t>による。ただし，突合せ溶接フランジのハブの部分にこの規定を適用してはならない。</w:t>
      </w:r>
    </w:p>
    <w:p w14:paraId="54396554" w14:textId="77777777" w:rsidR="00B347C4" w:rsidRPr="00BC31E0" w:rsidRDefault="00B347C4" w:rsidP="00736130">
      <w:pPr>
        <w:pStyle w:val="a4"/>
        <w:numPr>
          <w:ilvl w:val="0"/>
          <w:numId w:val="445"/>
        </w:numPr>
        <w:ind w:leftChars="0" w:left="454" w:hanging="454"/>
      </w:pPr>
      <w:r w:rsidRPr="00BC31E0">
        <w:rPr>
          <w:rFonts w:asciiTheme="majorEastAsia" w:eastAsiaTheme="majorEastAsia" w:hAnsiTheme="majorEastAsia" w:hint="eastAsia"/>
          <w:b/>
        </w:rPr>
        <w:t>胴と鏡板の継手</w:t>
      </w:r>
      <w:r w:rsidRPr="00BC31E0">
        <w:rPr>
          <w:rFonts w:hint="eastAsia"/>
        </w:rPr>
        <w:t xml:space="preserve">　</w:t>
      </w:r>
      <w:r w:rsidRPr="00BC31E0">
        <w:rPr>
          <w:rFonts w:ascii="ＭＳ 明朝" w:hint="eastAsia"/>
        </w:rPr>
        <w:t>胴と鏡板の継手は，次の</w:t>
      </w:r>
      <w:r w:rsidRPr="00BC31E0">
        <w:rPr>
          <w:rFonts w:asciiTheme="majorEastAsia" w:eastAsiaTheme="majorEastAsia" w:hAnsiTheme="majorEastAsia" w:hint="eastAsia"/>
          <w:b/>
        </w:rPr>
        <w:t>1)</w:t>
      </w:r>
      <w:r w:rsidRPr="00BC31E0">
        <w:rPr>
          <w:rFonts w:ascii="ＭＳ 明朝" w:hint="eastAsia"/>
        </w:rPr>
        <w:t>～</w:t>
      </w:r>
      <w:r w:rsidRPr="00BC31E0">
        <w:rPr>
          <w:rFonts w:asciiTheme="majorEastAsia" w:eastAsiaTheme="majorEastAsia" w:hAnsiTheme="majorEastAsia" w:hint="eastAsia"/>
          <w:b/>
        </w:rPr>
        <w:t>3)</w:t>
      </w:r>
      <w:r w:rsidRPr="00BC31E0">
        <w:rPr>
          <w:rFonts w:ascii="ＭＳ 明朝" w:hint="eastAsia"/>
        </w:rPr>
        <w:t>による。</w:t>
      </w:r>
    </w:p>
    <w:p w14:paraId="38F121CE" w14:textId="77777777" w:rsidR="00C776F5" w:rsidRPr="00BC31E0" w:rsidRDefault="00B347C4" w:rsidP="00736130">
      <w:pPr>
        <w:pStyle w:val="a4"/>
        <w:numPr>
          <w:ilvl w:val="0"/>
          <w:numId w:val="446"/>
        </w:numPr>
        <w:ind w:leftChars="0" w:left="738" w:hanging="454"/>
      </w:pPr>
      <w:r w:rsidRPr="00BC31E0">
        <w:rPr>
          <w:rFonts w:hint="eastAsia"/>
        </w:rPr>
        <w:t>基本的な設計要求，疲労評価，破壊力学評価又は実験的設計検証</w:t>
      </w:r>
      <w:r w:rsidRPr="00BC31E0">
        <w:rPr>
          <w:rFonts w:asciiTheme="minorHAnsi" w:hAnsiTheme="minorHAnsi"/>
        </w:rPr>
        <w:t>(</w:t>
      </w:r>
      <w:r w:rsidRPr="00BC31E0">
        <w:rPr>
          <w:rFonts w:asciiTheme="majorEastAsia" w:eastAsiaTheme="majorEastAsia" w:hAnsiTheme="majorEastAsia" w:hint="eastAsia"/>
          <w:b/>
          <w:bCs/>
        </w:rPr>
        <w:t>6.2</w:t>
      </w:r>
      <w:r w:rsidRPr="00BC31E0">
        <w:rPr>
          <w:rFonts w:hint="eastAsia"/>
        </w:rPr>
        <w:t>，</w:t>
      </w:r>
      <w:r w:rsidRPr="00BC31E0">
        <w:rPr>
          <w:rFonts w:asciiTheme="majorEastAsia" w:eastAsiaTheme="majorEastAsia" w:hAnsiTheme="majorEastAsia" w:hint="eastAsia"/>
          <w:b/>
          <w:bCs/>
        </w:rPr>
        <w:t>6.3</w:t>
      </w:r>
      <w:r w:rsidRPr="00BC31E0">
        <w:rPr>
          <w:rFonts w:hint="eastAsia"/>
        </w:rPr>
        <w:t>，</w:t>
      </w:r>
      <w:r w:rsidRPr="00BC31E0">
        <w:rPr>
          <w:rFonts w:asciiTheme="majorEastAsia" w:eastAsiaTheme="majorEastAsia" w:hAnsiTheme="majorEastAsia" w:hint="eastAsia"/>
          <w:b/>
          <w:bCs/>
        </w:rPr>
        <w:t>6.4</w:t>
      </w:r>
      <w:r w:rsidRPr="00BC31E0">
        <w:rPr>
          <w:rFonts w:hint="eastAsia"/>
        </w:rPr>
        <w:t>又は</w:t>
      </w:r>
      <w:r w:rsidRPr="00BC31E0">
        <w:rPr>
          <w:rFonts w:asciiTheme="majorEastAsia" w:eastAsiaTheme="majorEastAsia" w:hAnsiTheme="majorEastAsia" w:hint="eastAsia"/>
          <w:b/>
          <w:bCs/>
        </w:rPr>
        <w:t>6.11</w:t>
      </w:r>
      <w:r w:rsidRPr="00BC31E0">
        <w:rPr>
          <w:rFonts w:asciiTheme="minorHAnsi" w:hAnsiTheme="minorHAnsi"/>
        </w:rPr>
        <w:t>)</w:t>
      </w:r>
      <w:r w:rsidRPr="00BC31E0">
        <w:rPr>
          <w:rFonts w:hint="eastAsia"/>
        </w:rPr>
        <w:t>により妥当性を示さない限り，鏡板と胴との接合部で，鏡板と胴との厚さの差が薄い方の厚さの</w:t>
      </w:r>
      <w:r w:rsidRPr="00BC31E0">
        <w:t>1/4</w:t>
      </w:r>
      <w:r w:rsidRPr="00BC31E0">
        <w:t>又は</w:t>
      </w:r>
      <w:r w:rsidRPr="00BC31E0">
        <w:t>3.2 mm</w:t>
      </w:r>
      <w:r w:rsidRPr="00BC31E0">
        <w:rPr>
          <w:rFonts w:hint="eastAsia"/>
        </w:rPr>
        <w:t>のいずれか小さい方の値を超える場合は，</w:t>
      </w:r>
      <w:r w:rsidRPr="00BC31E0">
        <w:rPr>
          <w:rFonts w:asciiTheme="majorEastAsia" w:eastAsiaTheme="majorEastAsia" w:hAnsiTheme="majorEastAsia" w:hint="eastAsia"/>
          <w:b/>
          <w:bCs/>
        </w:rPr>
        <w:t>図6.10.2</w:t>
      </w:r>
      <w:r w:rsidRPr="00BC31E0">
        <w:rPr>
          <w:rFonts w:hint="eastAsia"/>
        </w:rPr>
        <w:t>に示すようにテーパを付ける。</w:t>
      </w:r>
    </w:p>
    <w:p w14:paraId="15AAB0F5" w14:textId="77777777" w:rsidR="00C776F5" w:rsidRPr="00BC31E0" w:rsidRDefault="00B347C4" w:rsidP="00736130">
      <w:pPr>
        <w:pStyle w:val="a4"/>
        <w:numPr>
          <w:ilvl w:val="0"/>
          <w:numId w:val="446"/>
        </w:numPr>
        <w:ind w:leftChars="0" w:left="738" w:hanging="454"/>
      </w:pPr>
      <w:r w:rsidRPr="00BC31E0">
        <w:rPr>
          <w:rFonts w:hAnsi="ＭＳ ゴシック" w:hint="eastAsia"/>
        </w:rPr>
        <w:t>接続部は均一なテーパが得られれば，どのような方法で形成してもよい。継手溶接端面から延長して，追加の肉盛り溶接を用いて接続部のテーパを形成する場合は，追加の溶接肉盛りは，この規格の溶接・製作及び</w:t>
      </w:r>
      <w:r w:rsidRPr="00BC31E0">
        <w:rPr>
          <w:rFonts w:asciiTheme="majorEastAsia" w:eastAsiaTheme="majorEastAsia" w:hAnsiTheme="majorEastAsia" w:hint="eastAsia"/>
          <w:b/>
        </w:rPr>
        <w:t>JIS B 8266</w:t>
      </w:r>
      <w:r w:rsidRPr="00BC31E0">
        <w:rPr>
          <w:rFonts w:hAnsi="ＭＳ ゴシック" w:hint="eastAsia"/>
        </w:rPr>
        <w:t>及び</w:t>
      </w:r>
      <w:r w:rsidRPr="00BC31E0">
        <w:rPr>
          <w:rFonts w:asciiTheme="majorEastAsia" w:eastAsiaTheme="majorEastAsia" w:hAnsiTheme="majorEastAsia" w:hint="eastAsia"/>
          <w:b/>
        </w:rPr>
        <w:t>JIS B 8285</w:t>
      </w:r>
      <w:r w:rsidRPr="00BC31E0">
        <w:rPr>
          <w:rFonts w:hAnsi="ＭＳ ゴシック" w:hint="eastAsia"/>
        </w:rPr>
        <w:t>の規定を満足しなければならない。</w:t>
      </w:r>
    </w:p>
    <w:p w14:paraId="505367AB" w14:textId="77777777" w:rsidR="00B347C4" w:rsidRPr="00BC31E0" w:rsidRDefault="00B347C4" w:rsidP="00736130">
      <w:pPr>
        <w:pStyle w:val="a4"/>
        <w:numPr>
          <w:ilvl w:val="0"/>
          <w:numId w:val="446"/>
        </w:numPr>
        <w:ind w:leftChars="0" w:left="738" w:hanging="454"/>
      </w:pPr>
      <w:r w:rsidRPr="00BC31E0">
        <w:rPr>
          <w:rFonts w:ascii="ＭＳ 明朝" w:hint="eastAsia"/>
        </w:rPr>
        <w:t>突合せ溶接は，</w:t>
      </w:r>
      <w:r w:rsidRPr="00BC31E0">
        <w:rPr>
          <w:rFonts w:asciiTheme="majorEastAsia" w:eastAsiaTheme="majorEastAsia" w:hAnsiTheme="majorEastAsia" w:hint="eastAsia"/>
          <w:b/>
        </w:rPr>
        <w:t>図6.10.2</w:t>
      </w:r>
      <w:r w:rsidRPr="00BC31E0">
        <w:rPr>
          <w:rFonts w:ascii="ＭＳ 明朝" w:hint="eastAsia"/>
        </w:rPr>
        <w:t>に示すように，部分的又は全体をテーパとしてよい。基本的な設計要求，疲労評価，破壊力学評価又は実験的設計検証</w:t>
      </w:r>
      <w:r w:rsidRPr="00BC31E0">
        <w:rPr>
          <w:rFonts w:asciiTheme="minorHAnsi" w:hAnsiTheme="minorHAnsi"/>
        </w:rPr>
        <w:t>(</w:t>
      </w:r>
      <w:r w:rsidRPr="00BC31E0">
        <w:rPr>
          <w:rFonts w:asciiTheme="majorEastAsia" w:eastAsiaTheme="majorEastAsia" w:hAnsiTheme="majorEastAsia" w:hint="eastAsia"/>
          <w:b/>
        </w:rPr>
        <w:t>6.2</w:t>
      </w:r>
      <w:r w:rsidRPr="00BC31E0">
        <w:rPr>
          <w:rFonts w:ascii="ＭＳ 明朝" w:hint="eastAsia"/>
        </w:rPr>
        <w:t>，</w:t>
      </w:r>
      <w:r w:rsidRPr="00BC31E0">
        <w:rPr>
          <w:rFonts w:asciiTheme="majorEastAsia" w:eastAsiaTheme="majorEastAsia" w:hAnsiTheme="majorEastAsia" w:hint="eastAsia"/>
          <w:b/>
        </w:rPr>
        <w:t>6.3</w:t>
      </w:r>
      <w:r w:rsidRPr="00BC31E0">
        <w:rPr>
          <w:rFonts w:ascii="ＭＳ 明朝" w:hint="eastAsia"/>
        </w:rPr>
        <w:t>，</w:t>
      </w:r>
      <w:r w:rsidRPr="00BC31E0">
        <w:rPr>
          <w:rFonts w:asciiTheme="majorEastAsia" w:eastAsiaTheme="majorEastAsia" w:hAnsiTheme="majorEastAsia" w:hint="eastAsia"/>
          <w:b/>
        </w:rPr>
        <w:t>6.4</w:t>
      </w:r>
      <w:r w:rsidRPr="00BC31E0">
        <w:rPr>
          <w:rFonts w:ascii="ＭＳ 明朝" w:hint="eastAsia"/>
        </w:rPr>
        <w:t>又は</w:t>
      </w:r>
      <w:r w:rsidRPr="00BC31E0">
        <w:rPr>
          <w:rFonts w:asciiTheme="majorEastAsia" w:eastAsiaTheme="majorEastAsia" w:hAnsiTheme="majorEastAsia" w:hint="eastAsia"/>
          <w:b/>
        </w:rPr>
        <w:t>6.11</w:t>
      </w:r>
      <w:r w:rsidRPr="00BC31E0">
        <w:rPr>
          <w:rFonts w:asciiTheme="minorHAnsi" w:hAnsiTheme="minorHAnsi"/>
        </w:rPr>
        <w:t>)</w:t>
      </w:r>
      <w:r w:rsidRPr="00BC31E0">
        <w:rPr>
          <w:rFonts w:ascii="ＭＳ 明朝" w:hint="eastAsia"/>
        </w:rPr>
        <w:t>により妥当性を示さない限り，次の追加規定が更に適用される。</w:t>
      </w:r>
    </w:p>
    <w:p w14:paraId="2ABCDB99" w14:textId="77777777" w:rsidR="00C776F5" w:rsidRPr="00BC31E0" w:rsidRDefault="00B347C4" w:rsidP="00736130">
      <w:pPr>
        <w:pStyle w:val="a4"/>
        <w:numPr>
          <w:ilvl w:val="0"/>
          <w:numId w:val="447"/>
        </w:numPr>
        <w:ind w:leftChars="0" w:left="1134" w:hanging="567"/>
      </w:pPr>
      <w:r w:rsidRPr="00BC31E0">
        <w:rPr>
          <w:rFonts w:hint="eastAsia"/>
        </w:rPr>
        <w:t>テーパの長さは，隣接表面の食違いの</w:t>
      </w:r>
      <w:r w:rsidRPr="00BC31E0">
        <w:t>3</w:t>
      </w:r>
      <w:r w:rsidRPr="00BC31E0">
        <w:rPr>
          <w:rFonts w:hint="eastAsia"/>
        </w:rPr>
        <w:t>倍以上とする。突合せ溶接取付けのために，成形鏡板にテーパが必要な場合は，タンジェントラインをテーパに要する長さが超えないようにスカート部の長さをとる。</w:t>
      </w:r>
    </w:p>
    <w:p w14:paraId="2A413335" w14:textId="77777777" w:rsidR="00B347C4" w:rsidRPr="00BC31E0" w:rsidRDefault="00B347C4" w:rsidP="00736130">
      <w:pPr>
        <w:pStyle w:val="a4"/>
        <w:numPr>
          <w:ilvl w:val="0"/>
          <w:numId w:val="447"/>
        </w:numPr>
        <w:ind w:leftChars="0" w:left="1134" w:hanging="567"/>
      </w:pPr>
      <w:r w:rsidRPr="00BC31E0">
        <w:rPr>
          <w:rFonts w:ascii="ＭＳ 明朝" w:hint="eastAsia"/>
        </w:rPr>
        <w:t>同じ内径の円筒よりも厚い楕円及び半球形鏡板は，同径の胴に必要な厚さを満足すれば，余肉を円筒外径に合わせて機械加工してもよい。</w:t>
      </w:r>
    </w:p>
    <w:p w14:paraId="22563BB1" w14:textId="77777777" w:rsidR="00B347C4" w:rsidRPr="00BC31E0" w:rsidRDefault="00B347C4" w:rsidP="00736130">
      <w:pPr>
        <w:pStyle w:val="a4"/>
        <w:numPr>
          <w:ilvl w:val="0"/>
          <w:numId w:val="448"/>
        </w:numPr>
        <w:ind w:leftChars="0" w:left="454" w:hanging="454"/>
      </w:pPr>
      <w:r w:rsidRPr="00BC31E0">
        <w:rPr>
          <w:rFonts w:asciiTheme="majorEastAsia" w:eastAsiaTheme="majorEastAsia" w:hAnsiTheme="majorEastAsia" w:hint="eastAsia"/>
          <w:b/>
        </w:rPr>
        <w:t>ノズルネックと配管の継手</w:t>
      </w:r>
      <w:r w:rsidRPr="00BC31E0">
        <w:rPr>
          <w:rFonts w:hint="eastAsia"/>
        </w:rPr>
        <w:t xml:space="preserve">　ノズルネックと配管との溶接で，配管の厚さがノズルネックの厚さよりも薄い場合は，配管の厚さがこの規定による</w:t>
      </w:r>
      <w:r w:rsidR="00D36E01" w:rsidRPr="00BC31E0">
        <w:rPr>
          <w:rFonts w:hint="eastAsia"/>
        </w:rPr>
        <w:t>より</w:t>
      </w:r>
      <w:r w:rsidRPr="00BC31E0">
        <w:rPr>
          <w:rFonts w:hint="eastAsia"/>
        </w:rPr>
        <w:t>薄いものであっても，ノズルの溶接端からテーパを付けてパイプ厚さに合わせる。このテーパ部は，</w:t>
      </w:r>
      <w:r w:rsidRPr="00BC31E0">
        <w:rPr>
          <w:rFonts w:asciiTheme="majorEastAsia" w:eastAsiaTheme="majorEastAsia" w:hAnsiTheme="majorEastAsia" w:hint="eastAsia"/>
          <w:b/>
        </w:rPr>
        <w:t>図6.10.3</w:t>
      </w:r>
      <w:r w:rsidRPr="00BC31E0">
        <w:rPr>
          <w:rFonts w:hint="eastAsia"/>
        </w:rPr>
        <w:t>による。</w:t>
      </w:r>
    </w:p>
    <w:p w14:paraId="613CBB0F" w14:textId="77777777" w:rsidR="00B347C4" w:rsidRPr="00BC31E0" w:rsidRDefault="00490475" w:rsidP="00226D7E">
      <w:pPr>
        <w:pStyle w:val="3"/>
        <w:ind w:left="794" w:hanging="794"/>
      </w:pPr>
      <w:r w:rsidRPr="00BC31E0">
        <w:rPr>
          <w:rFonts w:hint="eastAsia"/>
        </w:rPr>
        <w:t xml:space="preserve"> </w:t>
      </w:r>
      <w:r w:rsidR="00B347C4" w:rsidRPr="00BC31E0">
        <w:rPr>
          <w:rFonts w:hint="eastAsia"/>
        </w:rPr>
        <w:t>ノズルの取付け継手</w:t>
      </w:r>
    </w:p>
    <w:p w14:paraId="71E10C68" w14:textId="77777777" w:rsidR="00B347C4" w:rsidRPr="00BC31E0" w:rsidRDefault="00B347C4" w:rsidP="00A341CB">
      <w:pPr>
        <w:pStyle w:val="1110"/>
        <w:ind w:firstLine="211"/>
      </w:pPr>
      <w:r w:rsidRPr="00BC31E0">
        <w:rPr>
          <w:rStyle w:val="1112"/>
          <w:rFonts w:ascii="ＭＳ ゴシック" w:eastAsia="ＭＳ ゴシック" w:hAnsi="ＭＳ ゴシック" w:hint="eastAsia"/>
          <w:b/>
          <w:bCs/>
        </w:rPr>
        <w:t>6.10.8</w:t>
      </w:r>
      <w:r w:rsidRPr="00BC31E0">
        <w:rPr>
          <w:rStyle w:val="1112"/>
          <w:rFonts w:hint="eastAsia"/>
        </w:rPr>
        <w:t>の特例を除いて，</w:t>
      </w:r>
      <w:r w:rsidR="00DC160D" w:rsidRPr="00BC31E0">
        <w:rPr>
          <w:rStyle w:val="1112"/>
          <w:rFonts w:hint="eastAsia"/>
        </w:rPr>
        <w:t>全</w:t>
      </w:r>
      <w:r w:rsidRPr="00BC31E0">
        <w:rPr>
          <w:rStyle w:val="1112"/>
          <w:rFonts w:hint="eastAsia"/>
        </w:rPr>
        <w:t>てのノズルの取付け溶接は，</w:t>
      </w:r>
      <w:r w:rsidRPr="00BC31E0">
        <w:rPr>
          <w:rStyle w:val="1112"/>
          <w:rFonts w:hint="eastAsia"/>
        </w:rPr>
        <w:t>Type No.1</w:t>
      </w:r>
      <w:r w:rsidRPr="00BC31E0">
        <w:rPr>
          <w:rStyle w:val="1112"/>
          <w:rFonts w:hint="eastAsia"/>
        </w:rPr>
        <w:t>突合せ継手とする</w:t>
      </w:r>
      <w:r w:rsidRPr="00BC31E0">
        <w:rPr>
          <w:rStyle w:val="1112"/>
          <w:rFonts w:hint="eastAsia"/>
        </w:rPr>
        <w:t>(</w:t>
      </w:r>
      <w:r w:rsidRPr="00BC31E0">
        <w:rPr>
          <w:rStyle w:val="1112"/>
          <w:rFonts w:asciiTheme="majorEastAsia" w:eastAsiaTheme="majorEastAsia" w:hAnsiTheme="majorEastAsia" w:hint="eastAsia"/>
          <w:b/>
        </w:rPr>
        <w:t>図</w:t>
      </w:r>
      <w:r w:rsidRPr="00BC31E0">
        <w:rPr>
          <w:rFonts w:asciiTheme="majorEastAsia" w:eastAsiaTheme="majorEastAsia" w:hAnsiTheme="majorEastAsia" w:hint="eastAsia"/>
          <w:b/>
          <w:bCs/>
        </w:rPr>
        <w:t>6.10.4</w:t>
      </w:r>
      <w:r w:rsidRPr="00BC31E0">
        <w:rPr>
          <w:rFonts w:hint="eastAsia"/>
        </w:rPr>
        <w:lastRenderedPageBreak/>
        <w:t>を参照</w:t>
      </w:r>
      <w:r w:rsidRPr="00BC31E0">
        <w:rPr>
          <w:rFonts w:hint="eastAsia"/>
        </w:rPr>
        <w:t>)</w:t>
      </w:r>
      <w:r w:rsidRPr="00BC31E0">
        <w:rPr>
          <w:rFonts w:hint="eastAsia"/>
        </w:rPr>
        <w:t>。</w:t>
      </w:r>
    </w:p>
    <w:p w14:paraId="61A5E971" w14:textId="77777777" w:rsidR="00B347C4" w:rsidRPr="00BC31E0" w:rsidRDefault="009023AF" w:rsidP="00226D7E">
      <w:pPr>
        <w:pStyle w:val="3"/>
        <w:tabs>
          <w:tab w:val="clear" w:pos="284"/>
        </w:tabs>
        <w:ind w:left="794" w:hanging="794"/>
      </w:pPr>
      <w:r w:rsidRPr="00BC31E0">
        <w:rPr>
          <w:rFonts w:hint="eastAsia"/>
        </w:rPr>
        <w:t xml:space="preserve"> </w:t>
      </w:r>
      <w:r w:rsidR="00B347C4" w:rsidRPr="00BC31E0">
        <w:rPr>
          <w:rFonts w:hint="eastAsia"/>
        </w:rPr>
        <w:t>容器表面へのノズルの取付け</w:t>
      </w:r>
    </w:p>
    <w:p w14:paraId="34F9710A" w14:textId="77777777" w:rsidR="00B347C4" w:rsidRPr="00BC31E0" w:rsidRDefault="00B347C4" w:rsidP="00A341CB">
      <w:pPr>
        <w:pStyle w:val="1110"/>
        <w:ind w:firstLine="210"/>
      </w:pPr>
      <w:r w:rsidRPr="00BC31E0">
        <w:rPr>
          <w:rFonts w:hint="eastAsia"/>
        </w:rPr>
        <w:t>連続的な流路を確保するために容器外表面に取付けるノズルは，完全溶込みグルーブ溶接とする</w:t>
      </w:r>
      <w:r w:rsidRPr="00BC31E0">
        <w:rPr>
          <w:rFonts w:hint="eastAsia"/>
        </w:rPr>
        <w:t>(</w:t>
      </w:r>
      <w:r w:rsidRPr="00BC31E0">
        <w:rPr>
          <w:rFonts w:ascii="ＭＳ ゴシック" w:eastAsia="ＭＳ ゴシック" w:hAnsi="ＭＳ ゴシック" w:hint="eastAsia"/>
          <w:b/>
          <w:bCs/>
        </w:rPr>
        <w:t>図6.10.5</w:t>
      </w:r>
      <w:r w:rsidRPr="00BC31E0">
        <w:rPr>
          <w:rFonts w:hint="eastAsia"/>
        </w:rPr>
        <w:t>を参照</w:t>
      </w:r>
      <w:r w:rsidRPr="00BC31E0">
        <w:rPr>
          <w:rFonts w:hint="eastAsia"/>
        </w:rPr>
        <w:t>)</w:t>
      </w:r>
      <w:r w:rsidRPr="00BC31E0">
        <w:rPr>
          <w:rFonts w:hint="eastAsia"/>
        </w:rPr>
        <w:t>。</w:t>
      </w:r>
    </w:p>
    <w:p w14:paraId="60725011" w14:textId="77777777" w:rsidR="00B347C4" w:rsidRPr="00BC31E0" w:rsidRDefault="009023AF" w:rsidP="00226D7E">
      <w:pPr>
        <w:pStyle w:val="3"/>
        <w:tabs>
          <w:tab w:val="clear" w:pos="284"/>
        </w:tabs>
        <w:ind w:left="794" w:hanging="794"/>
      </w:pPr>
      <w:r w:rsidRPr="00BC31E0">
        <w:rPr>
          <w:rFonts w:hint="eastAsia"/>
        </w:rPr>
        <w:t xml:space="preserve"> </w:t>
      </w:r>
      <w:r w:rsidR="00B347C4" w:rsidRPr="00BC31E0">
        <w:rPr>
          <w:rFonts w:hint="eastAsia"/>
        </w:rPr>
        <w:t>ノズル補強</w:t>
      </w:r>
    </w:p>
    <w:p w14:paraId="1C76884D" w14:textId="77777777" w:rsidR="00B347C4" w:rsidRPr="00BC31E0" w:rsidRDefault="00B347C4" w:rsidP="00A341CB">
      <w:pPr>
        <w:pStyle w:val="1110"/>
        <w:ind w:firstLine="210"/>
      </w:pPr>
      <w:r w:rsidRPr="00BC31E0">
        <w:rPr>
          <w:rFonts w:hint="eastAsia"/>
        </w:rPr>
        <w:t>一体でないノズル補強は許されない。</w:t>
      </w:r>
      <w:r w:rsidR="00DC160D" w:rsidRPr="00BC31E0">
        <w:rPr>
          <w:rFonts w:hint="eastAsia"/>
        </w:rPr>
        <w:t>全</w:t>
      </w:r>
      <w:r w:rsidRPr="00BC31E0">
        <w:rPr>
          <w:rFonts w:hint="eastAsia"/>
        </w:rPr>
        <w:t>てのノズル補強は，ノズル，胴又はその両方と一体型とする。</w:t>
      </w:r>
      <w:r w:rsidRPr="00BC31E0">
        <w:rPr>
          <w:rFonts w:ascii="ＭＳ ゴシック" w:eastAsia="ＭＳ ゴシック" w:hAnsi="ＭＳ ゴシック" w:hint="eastAsia"/>
          <w:b/>
          <w:bCs/>
        </w:rPr>
        <w:t>附属書E</w:t>
      </w:r>
      <w:r w:rsidRPr="00BC31E0">
        <w:rPr>
          <w:rFonts w:hint="eastAsia"/>
        </w:rPr>
        <w:t>に追加の規定を示す。</w:t>
      </w:r>
    </w:p>
    <w:p w14:paraId="0A57A993" w14:textId="77777777" w:rsidR="00B347C4" w:rsidRPr="00BC31E0" w:rsidRDefault="00B347C4" w:rsidP="00A341CB">
      <w:pPr>
        <w:autoSpaceDE w:val="0"/>
        <w:autoSpaceDN w:val="0"/>
        <w:jc w:val="left"/>
      </w:pPr>
    </w:p>
    <w:p w14:paraId="60111756" w14:textId="77777777" w:rsidR="00B347C4" w:rsidRPr="00BC31E0" w:rsidRDefault="00B347C4" w:rsidP="00A341CB">
      <w:pPr>
        <w:autoSpaceDE w:val="0"/>
        <w:autoSpaceDN w:val="0"/>
        <w:jc w:val="left"/>
      </w:pPr>
    </w:p>
    <w:p w14:paraId="0AB91B28" w14:textId="77777777" w:rsidR="00B347C4" w:rsidRPr="00BC31E0" w:rsidRDefault="00B347C4" w:rsidP="00A341CB">
      <w:pPr>
        <w:autoSpaceDE w:val="0"/>
        <w:autoSpaceDN w:val="0"/>
        <w:jc w:val="left"/>
      </w:pPr>
    </w:p>
    <w:p w14:paraId="7A5389FF" w14:textId="77777777" w:rsidR="00EB6005" w:rsidRPr="00BC31E0" w:rsidRDefault="00EB6005" w:rsidP="00A341CB">
      <w:pPr>
        <w:autoSpaceDE w:val="0"/>
        <w:autoSpaceDN w:val="0"/>
        <w:jc w:val="left"/>
      </w:pPr>
    </w:p>
    <w:p w14:paraId="71E1EBE0" w14:textId="77777777" w:rsidR="00EB6005" w:rsidRPr="00BC31E0" w:rsidRDefault="00EB6005" w:rsidP="00A341CB">
      <w:pPr>
        <w:autoSpaceDE w:val="0"/>
        <w:autoSpaceDN w:val="0"/>
        <w:jc w:val="left"/>
      </w:pPr>
    </w:p>
    <w:p w14:paraId="0322F47A" w14:textId="77777777" w:rsidR="00EB6005" w:rsidRPr="00BC31E0" w:rsidRDefault="00EB6005" w:rsidP="00A341CB">
      <w:pPr>
        <w:autoSpaceDE w:val="0"/>
        <w:autoSpaceDN w:val="0"/>
        <w:jc w:val="left"/>
      </w:pPr>
    </w:p>
    <w:p w14:paraId="6F09A8C9" w14:textId="77777777" w:rsidR="00EB6005" w:rsidRPr="00BC31E0" w:rsidRDefault="00EB6005" w:rsidP="00A341CB">
      <w:pPr>
        <w:autoSpaceDE w:val="0"/>
        <w:autoSpaceDN w:val="0"/>
        <w:jc w:val="left"/>
      </w:pPr>
    </w:p>
    <w:p w14:paraId="609D1743" w14:textId="77777777" w:rsidR="00EB6005" w:rsidRPr="00BC31E0" w:rsidRDefault="00EB6005" w:rsidP="00A341CB">
      <w:pPr>
        <w:autoSpaceDE w:val="0"/>
        <w:autoSpaceDN w:val="0"/>
        <w:jc w:val="left"/>
      </w:pPr>
    </w:p>
    <w:p w14:paraId="05925A02" w14:textId="77777777" w:rsidR="00EB6005" w:rsidRPr="00BC31E0" w:rsidRDefault="00EB6005" w:rsidP="00A341CB">
      <w:pPr>
        <w:autoSpaceDE w:val="0"/>
        <w:autoSpaceDN w:val="0"/>
        <w:jc w:val="left"/>
      </w:pPr>
    </w:p>
    <w:p w14:paraId="5A93AB15" w14:textId="77777777" w:rsidR="00EB6005" w:rsidRPr="00BC31E0" w:rsidRDefault="00EB6005" w:rsidP="00A341CB">
      <w:pPr>
        <w:autoSpaceDE w:val="0"/>
        <w:autoSpaceDN w:val="0"/>
        <w:jc w:val="left"/>
      </w:pPr>
    </w:p>
    <w:p w14:paraId="6E1732D9" w14:textId="77777777" w:rsidR="00EB6005" w:rsidRPr="00BC31E0" w:rsidRDefault="00EB6005" w:rsidP="00A341CB">
      <w:pPr>
        <w:autoSpaceDE w:val="0"/>
        <w:autoSpaceDN w:val="0"/>
        <w:jc w:val="left"/>
      </w:pPr>
    </w:p>
    <w:p w14:paraId="0B069018" w14:textId="77777777" w:rsidR="00B347C4" w:rsidRPr="00BC31E0" w:rsidRDefault="00A51873" w:rsidP="00A341CB">
      <w:pPr>
        <w:autoSpaceDE w:val="0"/>
        <w:autoSpaceDN w:val="0"/>
        <w:jc w:val="center"/>
        <w:rPr>
          <w:szCs w:val="20"/>
        </w:rPr>
      </w:pPr>
      <w:r>
        <w:pict w14:anchorId="2095BC1D">
          <v:group id="_x0000_s3398" style="width:348.05pt;height:120.15pt;mso-position-horizontal-relative:char;mso-position-vertical-relative:line" coordorigin="2201,2388" coordsize="6961,2403">
            <v:group id="_x0000_s3401" style="position:absolute;left:2201;top:2598;width:6961;height:2193" coordorigin="2153,3121" coordsize="6961,2193">
              <v:shape id="_x0000_s3407" type="#_x0000_t75" style="position:absolute;left:2153;top:3121;width:6961;height:2193">
                <v:imagedata r:id="rId91" o:title="" croptop=".4375" cropleft="6924f" cropright="11540f"/>
              </v:shape>
              <v:shape id="_x0000_s3406" type="#_x0000_t32" style="position:absolute;left:7058;top:4137;width:166;height:200" o:connectortype="straight">
                <v:stroke endarrow="classic" endarrowwidth="narrow"/>
                <o:lock v:ext="edit" aspectratio="t"/>
              </v:shape>
              <v:shape id="_x0000_s3405" type="#_x0000_t32" style="position:absolute;left:7058;top:4137;width:240;height:283" o:connectortype="straight"/>
              <v:shape id="_x0000_s3404" type="#_x0000_t202" style="position:absolute;left:7243;top:4420;width:177;height:119" stroked="f">
                <v:textbox style="mso-next-textbox:#_x0000_s3404" inset="5.85pt,.7pt,5.85pt,.7pt">
                  <w:txbxContent>
                    <w:p w14:paraId="693DF509" w14:textId="77777777" w:rsidR="003B0864" w:rsidRPr="006C24BE" w:rsidRDefault="003B0864" w:rsidP="00B347C4">
                      <w:pPr>
                        <w:rPr>
                          <w:rFonts w:ascii="Arial" w:hAnsi="Arial" w:cs="Arial"/>
                          <w:i/>
                          <w:sz w:val="16"/>
                          <w:szCs w:val="16"/>
                        </w:rPr>
                      </w:pPr>
                    </w:p>
                  </w:txbxContent>
                </v:textbox>
              </v:shape>
              <v:shape id="_x0000_s3403" type="#_x0000_t202" style="position:absolute;left:7184;top:4227;width:296;height:423" filled="f" stroked="f">
                <v:textbox style="mso-next-textbox:#_x0000_s3403" inset="5.85pt,.7pt,5.85pt,.7pt">
                  <w:txbxContent>
                    <w:p w14:paraId="392EBB5B" w14:textId="77777777" w:rsidR="003B0864" w:rsidRPr="006C24BE" w:rsidRDefault="003B0864" w:rsidP="00B347C4">
                      <w:pPr>
                        <w:rPr>
                          <w:rFonts w:ascii="Arial" w:hAnsi="Arial" w:cs="Arial"/>
                          <w:i/>
                          <w:sz w:val="16"/>
                          <w:szCs w:val="16"/>
                        </w:rPr>
                      </w:pPr>
                      <w:r w:rsidRPr="006C24BE">
                        <w:rPr>
                          <w:rFonts w:ascii="Arial" w:hAnsi="Arial" w:cs="Arial"/>
                          <w:i/>
                          <w:sz w:val="16"/>
                          <w:szCs w:val="16"/>
                        </w:rPr>
                        <w:t>h</w:t>
                      </w:r>
                    </w:p>
                  </w:txbxContent>
                </v:textbox>
              </v:shape>
              <v:shape id="_x0000_s3402" type="#_x0000_t202" style="position:absolute;left:7002;top:3889;width:296;height:423" filled="f" stroked="f">
                <v:textbox style="mso-next-textbox:#_x0000_s3402" inset="5.85pt,.7pt,5.85pt,.7pt">
                  <w:txbxContent>
                    <w:p w14:paraId="4D29E5E6" w14:textId="77777777" w:rsidR="003B0864" w:rsidRPr="00907B44" w:rsidRDefault="003B0864" w:rsidP="00B347C4">
                      <w:pPr>
                        <w:rPr>
                          <w:rFonts w:ascii="Arial" w:eastAsia="ＭＳ ゴシック" w:hAnsi="Arial" w:cs="Arial"/>
                          <w:i/>
                          <w:sz w:val="16"/>
                          <w:szCs w:val="16"/>
                        </w:rPr>
                      </w:pPr>
                      <w:r w:rsidRPr="00907B44">
                        <w:rPr>
                          <w:rFonts w:ascii="Arial" w:eastAsia="ＭＳ ゴシック" w:hAnsi="Arial" w:cs="Arial"/>
                          <w:i/>
                          <w:sz w:val="16"/>
                          <w:szCs w:val="16"/>
                        </w:rPr>
                        <w:t>r</w:t>
                      </w:r>
                    </w:p>
                  </w:txbxContent>
                </v:textbox>
              </v:shape>
            </v:group>
            <v:shape id="_x0000_s3400" type="#_x0000_t202" style="position:absolute;left:7625;top:2847;width:1249;height:342" stroked="f">
              <v:textbox style="mso-next-textbox:#_x0000_s3400" inset="5.85pt,.7pt,5.85pt,.7pt">
                <w:txbxContent>
                  <w:p w14:paraId="6098AABE" w14:textId="77777777" w:rsidR="003B0864" w:rsidRPr="00F164FA" w:rsidRDefault="003B0864" w:rsidP="00B347C4">
                    <w:pPr>
                      <w:rPr>
                        <w:rFonts w:ascii="ＭＳ Ｐゴシック" w:eastAsia="ＭＳ Ｐゴシック" w:hAnsi="ＭＳ Ｐゴシック"/>
                        <w:sz w:val="19"/>
                        <w:szCs w:val="19"/>
                      </w:rPr>
                    </w:pPr>
                    <w:r w:rsidRPr="00F164FA">
                      <w:rPr>
                        <w:rFonts w:ascii="ＭＳ Ｐゴシック" w:eastAsia="ＭＳ Ｐゴシック" w:hAnsi="ＭＳ Ｐゴシック" w:hint="eastAsia"/>
                        <w:sz w:val="19"/>
                        <w:szCs w:val="19"/>
                      </w:rPr>
                      <w:t>引張試験片</w:t>
                    </w:r>
                  </w:p>
                </w:txbxContent>
              </v:textbox>
            </v:shape>
            <v:shape id="_x0000_s3399" type="#_x0000_t202" style="position:absolute;left:3817;top:2388;width:1249;height:342" stroked="f">
              <v:textbox style="mso-next-textbox:#_x0000_s3399" inset="5.85pt,.7pt,5.85pt,.7pt">
                <w:txbxContent>
                  <w:p w14:paraId="7E9F753F" w14:textId="77777777" w:rsidR="003B0864" w:rsidRPr="00F164FA" w:rsidRDefault="003B0864" w:rsidP="00B347C4">
                    <w:pPr>
                      <w:rPr>
                        <w:rFonts w:ascii="ＭＳ Ｐゴシック" w:eastAsia="ＭＳ Ｐゴシック" w:hAnsi="ＭＳ Ｐゴシック"/>
                        <w:sz w:val="19"/>
                        <w:szCs w:val="19"/>
                      </w:rPr>
                    </w:pPr>
                    <w:r w:rsidRPr="00F164FA">
                      <w:rPr>
                        <w:rFonts w:ascii="ＭＳ Ｐゴシック" w:eastAsia="ＭＳ Ｐゴシック" w:hAnsi="ＭＳ Ｐゴシック" w:hint="eastAsia"/>
                        <w:sz w:val="19"/>
                        <w:szCs w:val="19"/>
                      </w:rPr>
                      <w:t>引張試験片</w:t>
                    </w:r>
                  </w:p>
                </w:txbxContent>
              </v:textbox>
            </v:shape>
            <w10:anchorlock/>
          </v:group>
          <o:OLEObject Type="Embed" ProgID="Photoshop.Image.6" ShapeID="_x0000_s3407" DrawAspect="Content" ObjectID="_1731233643" r:id="rId92">
            <o:FieldCodes>\s</o:FieldCodes>
          </o:OLEObject>
        </w:pict>
      </w:r>
    </w:p>
    <w:p w14:paraId="15D29381" w14:textId="77777777" w:rsidR="00B347C4" w:rsidRPr="00BC31E0" w:rsidRDefault="00B347C4" w:rsidP="00A341CB">
      <w:pPr>
        <w:autoSpaceDE w:val="0"/>
        <w:autoSpaceDN w:val="0"/>
        <w:ind w:firstLineChars="700" w:firstLine="1470"/>
        <w:jc w:val="left"/>
        <w:rPr>
          <w:szCs w:val="20"/>
        </w:rPr>
      </w:pPr>
      <m:oMath>
        <m:r>
          <w:rPr>
            <w:rFonts w:ascii="Cambria Math" w:hAnsi="Cambria Math"/>
            <w:szCs w:val="20"/>
          </w:rPr>
          <m:t>r</m:t>
        </m:r>
        <m:r>
          <w:rPr>
            <w:rFonts w:ascii="Cambria Math" w:hAnsi="Cambria Math" w:hint="eastAsia"/>
            <w:szCs w:val="20"/>
          </w:rPr>
          <m:t>≧</m:t>
        </m:r>
        <m:r>
          <w:rPr>
            <w:rFonts w:ascii="Cambria Math" w:hAnsi="Cambria Math"/>
            <w:szCs w:val="20"/>
          </w:rPr>
          <m:t xml:space="preserve">1.5 </m:t>
        </m:r>
        <m:sSub>
          <m:sSubPr>
            <m:ctrlPr>
              <w:rPr>
                <w:rFonts w:ascii="Cambria Math" w:hAnsi="Cambria Math"/>
                <w:szCs w:val="20"/>
              </w:rPr>
            </m:ctrlPr>
          </m:sSubPr>
          <m:e>
            <m:r>
              <w:rPr>
                <w:rFonts w:ascii="Cambria Math" w:hAnsi="Cambria Math"/>
                <w:szCs w:val="20"/>
              </w:rPr>
              <m:t>t</m:t>
            </m:r>
          </m:e>
          <m:sub>
            <m:r>
              <w:rPr>
                <w:rFonts w:ascii="Cambria Math" w:hAnsi="Cambria Math"/>
                <w:szCs w:val="20"/>
              </w:rPr>
              <m:t>s</m:t>
            </m:r>
          </m:sub>
        </m:sSub>
      </m:oMath>
      <w:r w:rsidRPr="00BC31E0">
        <w:rPr>
          <w:rFonts w:hint="eastAsia"/>
          <w:szCs w:val="20"/>
        </w:rPr>
        <w:t xml:space="preserve">       </w:t>
      </w:r>
      <w:r w:rsidRPr="00BC31E0">
        <w:rPr>
          <w:rFonts w:hint="eastAsia"/>
          <w:szCs w:val="20"/>
        </w:rPr>
        <w:t xml:space="preserve">　</w:t>
      </w:r>
      <w:r w:rsidRPr="00BC31E0">
        <w:rPr>
          <w:rFonts w:hint="eastAsia"/>
          <w:szCs w:val="20"/>
        </w:rPr>
        <w:t xml:space="preserve">  </w:t>
      </w:r>
      <m:oMath>
        <m:r>
          <w:rPr>
            <w:rFonts w:ascii="Cambria Math" w:hAnsi="Cambria Math"/>
            <w:szCs w:val="20"/>
          </w:rPr>
          <m:t>r</m:t>
        </m:r>
        <m:r>
          <w:rPr>
            <w:rFonts w:ascii="Cambria Math" w:hAnsi="Cambria Math" w:hint="eastAsia"/>
            <w:szCs w:val="20"/>
          </w:rPr>
          <m:t>≧</m:t>
        </m:r>
        <m:r>
          <w:rPr>
            <w:rFonts w:ascii="Cambria Math" w:hAnsi="Cambria Math"/>
            <w:szCs w:val="20"/>
          </w:rPr>
          <m:t xml:space="preserve">1.5 </m:t>
        </m:r>
        <m:sSub>
          <m:sSubPr>
            <m:ctrlPr>
              <w:rPr>
                <w:rFonts w:ascii="Cambria Math" w:hAnsi="Cambria Math"/>
                <w:szCs w:val="20"/>
              </w:rPr>
            </m:ctrlPr>
          </m:sSubPr>
          <m:e>
            <m:r>
              <w:rPr>
                <w:rFonts w:ascii="Cambria Math" w:hAnsi="Cambria Math"/>
                <w:szCs w:val="20"/>
              </w:rPr>
              <m:t>t</m:t>
            </m:r>
          </m:e>
          <m:sub>
            <m:r>
              <w:rPr>
                <w:rFonts w:ascii="Cambria Math" w:hAnsi="Cambria Math"/>
                <w:szCs w:val="20"/>
              </w:rPr>
              <m:t>s</m:t>
            </m:r>
          </m:sub>
        </m:sSub>
      </m:oMath>
      <w:r w:rsidRPr="00BC31E0">
        <w:rPr>
          <w:rFonts w:hint="eastAsia"/>
          <w:szCs w:val="20"/>
        </w:rPr>
        <w:t xml:space="preserve">　　　</w:t>
      </w:r>
      <w:r w:rsidRPr="00BC31E0">
        <w:rPr>
          <w:rFonts w:hint="eastAsia"/>
          <w:szCs w:val="20"/>
        </w:rPr>
        <w:t xml:space="preserve">  </w:t>
      </w:r>
      <w:r w:rsidRPr="00BC31E0">
        <w:rPr>
          <w:rFonts w:hint="eastAsia"/>
          <w:szCs w:val="20"/>
        </w:rPr>
        <w:t xml:space="preserve">　</w:t>
      </w:r>
      <w:r w:rsidRPr="00BC31E0">
        <w:rPr>
          <w:rFonts w:hint="eastAsia"/>
          <w:szCs w:val="20"/>
        </w:rPr>
        <w:t xml:space="preserve">  </w:t>
      </w:r>
      <m:oMath>
        <m:r>
          <w:rPr>
            <w:rFonts w:ascii="Cambria Math" w:hAnsi="Cambria Math"/>
            <w:szCs w:val="20"/>
          </w:rPr>
          <m:t>r</m:t>
        </m:r>
        <m:r>
          <w:rPr>
            <w:rFonts w:ascii="Cambria Math" w:hAnsi="Cambria Math" w:hint="eastAsia"/>
            <w:szCs w:val="20"/>
          </w:rPr>
          <m:t>≧</m:t>
        </m:r>
        <m:r>
          <w:rPr>
            <w:rFonts w:ascii="Cambria Math" w:hAnsi="Cambria Math"/>
            <w:szCs w:val="20"/>
          </w:rPr>
          <m:t xml:space="preserve">0.25 </m:t>
        </m:r>
        <m:sSub>
          <m:sSubPr>
            <m:ctrlPr>
              <w:rPr>
                <w:rFonts w:ascii="Cambria Math" w:hAnsi="Cambria Math"/>
                <w:szCs w:val="20"/>
              </w:rPr>
            </m:ctrlPr>
          </m:sSubPr>
          <m:e>
            <m:r>
              <w:rPr>
                <w:rFonts w:ascii="Cambria Math" w:hAnsi="Cambria Math"/>
                <w:szCs w:val="20"/>
              </w:rPr>
              <m:t>t</m:t>
            </m:r>
          </m:e>
          <m:sub>
            <m:r>
              <w:rPr>
                <w:rFonts w:ascii="Cambria Math" w:hAnsi="Cambria Math"/>
                <w:szCs w:val="20"/>
              </w:rPr>
              <m:t>s</m:t>
            </m:r>
          </m:sub>
        </m:sSub>
      </m:oMath>
    </w:p>
    <w:p w14:paraId="4A718AD6" w14:textId="77777777" w:rsidR="00B347C4" w:rsidRPr="00BC31E0" w:rsidRDefault="00B347C4" w:rsidP="00A341CB">
      <w:pPr>
        <w:autoSpaceDE w:val="0"/>
        <w:autoSpaceDN w:val="0"/>
        <w:jc w:val="left"/>
        <w:rPr>
          <w:szCs w:val="20"/>
        </w:rPr>
      </w:pPr>
      <w:r w:rsidRPr="00BC31E0">
        <w:rPr>
          <w:rFonts w:hint="eastAsia"/>
          <w:szCs w:val="20"/>
        </w:rPr>
        <w:t xml:space="preserve">　　　　　</w:t>
      </w:r>
      <w:r w:rsidRPr="00BC31E0">
        <w:rPr>
          <w:rFonts w:hint="eastAsia"/>
          <w:szCs w:val="20"/>
        </w:rPr>
        <w:t xml:space="preserve">      (a)                 (b)             </w:t>
      </w:r>
      <w:r w:rsidRPr="00BC31E0">
        <w:rPr>
          <w:rFonts w:hint="eastAsia"/>
          <w:szCs w:val="20"/>
        </w:rPr>
        <w:t xml:space="preserve">　</w:t>
      </w:r>
      <w:r w:rsidRPr="00BC31E0">
        <w:rPr>
          <w:rFonts w:hint="eastAsia"/>
          <w:szCs w:val="20"/>
        </w:rPr>
        <w:t xml:space="preserve">   (c)</w:t>
      </w:r>
    </w:p>
    <w:p w14:paraId="00E81ED2" w14:textId="77777777" w:rsidR="00B347C4" w:rsidRPr="00BC31E0" w:rsidRDefault="00B347C4" w:rsidP="00A341CB">
      <w:pPr>
        <w:autoSpaceDE w:val="0"/>
        <w:autoSpaceDN w:val="0"/>
        <w:spacing w:before="120"/>
        <w:jc w:val="center"/>
        <w:rPr>
          <w:szCs w:val="20"/>
        </w:rPr>
      </w:pPr>
      <w:r w:rsidRPr="00BC31E0">
        <w:rPr>
          <w:rFonts w:ascii="ＭＳ ゴシック" w:eastAsia="ＭＳ ゴシック" w:hAnsi="ＭＳ ゴシック" w:hint="eastAsia"/>
          <w:b/>
          <w:szCs w:val="20"/>
        </w:rPr>
        <w:t>注記</w:t>
      </w:r>
      <w:r w:rsidRPr="00BC31E0">
        <w:rPr>
          <w:rFonts w:hint="eastAsia"/>
          <w:b/>
          <w:bCs/>
          <w:szCs w:val="20"/>
        </w:rPr>
        <w:t xml:space="preserve">　</w:t>
      </w:r>
      <w:r w:rsidRPr="00BC31E0">
        <w:rPr>
          <w:rFonts w:hint="eastAsia"/>
          <w:szCs w:val="20"/>
        </w:rPr>
        <w:t>引張試験片の採取位置は，ハブの内面又は外面</w:t>
      </w:r>
    </w:p>
    <w:p w14:paraId="63F3010E" w14:textId="77777777" w:rsidR="00AF6B2F" w:rsidRPr="00BC31E0" w:rsidRDefault="00AF6B2F" w:rsidP="00A341CB">
      <w:pPr>
        <w:autoSpaceDE w:val="0"/>
        <w:autoSpaceDN w:val="0"/>
        <w:rPr>
          <w:szCs w:val="20"/>
        </w:rPr>
      </w:pPr>
    </w:p>
    <w:p w14:paraId="7C7C5AB6" w14:textId="77777777" w:rsidR="00B347C4" w:rsidRPr="00BC31E0" w:rsidRDefault="00B347C4" w:rsidP="00A341CB">
      <w:pPr>
        <w:pStyle w:val="af4"/>
        <w:rPr>
          <w:rFonts w:ascii="ＭＳ 明朝" w:hAnsi="ＭＳ 明朝"/>
          <w:vertAlign w:val="superscript"/>
        </w:rPr>
      </w:pPr>
      <w:r w:rsidRPr="00BC31E0">
        <w:rPr>
          <w:rFonts w:hint="eastAsia"/>
        </w:rPr>
        <w:t>図6.10.1　突合せ溶接するハブ付鍛造耐圧部材</w:t>
      </w:r>
    </w:p>
    <w:p w14:paraId="49B1019C" w14:textId="77777777" w:rsidR="00B347C4" w:rsidRPr="00BC31E0" w:rsidRDefault="00B347C4" w:rsidP="00A341CB">
      <w:pPr>
        <w:autoSpaceDE w:val="0"/>
        <w:autoSpaceDN w:val="0"/>
      </w:pPr>
    </w:p>
    <w:p w14:paraId="2697A380" w14:textId="77777777" w:rsidR="00FC657D" w:rsidRPr="00BC31E0" w:rsidRDefault="00FC657D">
      <w:pPr>
        <w:widowControl/>
        <w:jc w:val="left"/>
      </w:pPr>
      <w:r w:rsidRPr="00BC31E0">
        <w:br w:type="page"/>
      </w:r>
    </w:p>
    <w:p w14:paraId="22683992" w14:textId="77777777" w:rsidR="00F95B51" w:rsidRPr="00BC31E0" w:rsidRDefault="00B347C4" w:rsidP="00A341CB">
      <w:pPr>
        <w:autoSpaceDE w:val="0"/>
        <w:autoSpaceDN w:val="0"/>
        <w:jc w:val="center"/>
      </w:pPr>
      <w:r w:rsidRPr="00BC31E0">
        <w:rPr>
          <w:noProof/>
        </w:rPr>
        <w:lastRenderedPageBreak/>
        <w:drawing>
          <wp:inline distT="0" distB="0" distL="0" distR="0" wp14:anchorId="2B5E6DD1" wp14:editId="60A7B720">
            <wp:extent cx="5763260" cy="5285105"/>
            <wp:effectExtent l="19050" t="0" r="8890" b="0"/>
            <wp:docPr id="604" name="図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93" cstate="print"/>
                    <a:srcRect/>
                    <a:stretch>
                      <a:fillRect/>
                    </a:stretch>
                  </pic:blipFill>
                  <pic:spPr bwMode="auto">
                    <a:xfrm>
                      <a:off x="0" y="0"/>
                      <a:ext cx="5763260" cy="5285105"/>
                    </a:xfrm>
                    <a:prstGeom prst="rect">
                      <a:avLst/>
                    </a:prstGeom>
                    <a:noFill/>
                    <a:ln w="9525">
                      <a:noFill/>
                      <a:miter lim="800000"/>
                      <a:headEnd/>
                      <a:tailEnd/>
                    </a:ln>
                  </pic:spPr>
                </pic:pic>
              </a:graphicData>
            </a:graphic>
          </wp:inline>
        </w:drawing>
      </w:r>
      <w:r w:rsidR="00A51873">
        <w:rPr>
          <w:noProof/>
        </w:rPr>
        <w:pict w14:anchorId="1D293C6A">
          <v:shape id="Text Box 12115" o:spid="_x0000_s1253" type="#_x0000_t202" style="position:absolute;left:0;text-align:left;margin-left:325.25pt;margin-top:-259.55pt;width:36.15pt;height:25.2pt;z-index:251672064;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" stroked="f">
            <v:textbox style="mso-fit-shape-to-text:t">
              <w:txbxContent>
                <w:p w14:paraId="2FFE5E6E" w14:textId="77777777" w:rsidR="003B0864" w:rsidRPr="008B4800" w:rsidRDefault="003B0864" w:rsidP="00B347C4">
                  <w:pPr>
                    <w:rPr>
                      <w:rFonts w:ascii="ＭＳ ゴシック" w:eastAsia="ＭＳ ゴシック"/>
                      <w:b/>
                    </w:rPr>
                  </w:pPr>
                  <w:r>
                    <w:rPr>
                      <w:rFonts w:ascii="ＭＳ ゴシック" w:eastAsia="ＭＳ ゴシック" w:hint="eastAsia"/>
                      <w:b/>
                    </w:rPr>
                    <w:t>(b</w:t>
                  </w:r>
                  <w:r w:rsidRPr="008B4800">
                    <w:rPr>
                      <w:rFonts w:ascii="ＭＳ ゴシック" w:eastAsia="ＭＳ ゴシック" w:hint="eastAsia"/>
                      <w:b/>
                    </w:rPr>
                    <w:t>)</w:t>
                  </w:r>
                </w:p>
              </w:txbxContent>
            </v:textbox>
          </v:shape>
        </w:pict>
      </w:r>
      <w:r w:rsidR="00A51873">
        <w:rPr>
          <w:noProof/>
        </w:rPr>
        <w:pict w14:anchorId="51FF76AA">
          <v:shape id="Text Box 12114" o:spid="_x0000_s1254" type="#_x0000_t202" style="position:absolute;left:0;text-align:left;margin-left:56.65pt;margin-top:-259.55pt;width:36.15pt;height:25.2pt;z-index:251671040;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" stroked="f">
            <v:textbox style="mso-fit-shape-to-text:t">
              <w:txbxContent>
                <w:p w14:paraId="69DD2CAC" w14:textId="77777777" w:rsidR="003B0864" w:rsidRPr="008B4800" w:rsidRDefault="003B0864" w:rsidP="00B347C4">
                  <w:pPr>
                    <w:rPr>
                      <w:rFonts w:ascii="ＭＳ ゴシック" w:eastAsia="ＭＳ ゴシック"/>
                      <w:b/>
                    </w:rPr>
                  </w:pPr>
                  <w:r w:rsidRPr="008B4800">
                    <w:rPr>
                      <w:rFonts w:ascii="ＭＳ ゴシック" w:eastAsia="ＭＳ ゴシック" w:hint="eastAsia"/>
                      <w:b/>
                    </w:rPr>
                    <w:t>(a)</w:t>
                  </w:r>
                </w:p>
              </w:txbxContent>
            </v:textbox>
          </v:shape>
        </w:pict>
      </w:r>
      <w:r w:rsidR="00A51873">
        <w:rPr>
          <w:noProof/>
        </w:rPr>
        <w:pict w14:anchorId="50782E86">
          <v:group id="Group 10844" o:spid="_x0000_s1255" style="position:absolute;left:0;text-align:left;margin-left:13.45pt;margin-top:-395.45pt;width:394.8pt;height:295.75pt;z-index:251670016;mso-position-horizontal-relative:text;mso-position-vertical-relative:text" coordorigin="1687,2432" coordsize="7896,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">
            <v:shape id="Text Box 10829" o:spid="_x0000_s1256" type="#_x0000_t202" style="position:absolute;left:2010;top:2432;width:864;height:3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" filled="f" stroked="f">
              <v:textbox inset="5.85pt,.7pt,5.85pt,.7pt">
                <w:txbxContent>
                  <w:p w14:paraId="71387FFC" w14:textId="77777777" w:rsidR="003B0864" w:rsidRPr="00E14061" w:rsidRDefault="003B0864" w:rsidP="00B347C4">
                    <w:pPr>
                      <w:rPr>
                        <w:rFonts w:ascii="Arial" w:hAnsi="Arial" w:cs="Arial"/>
                        <w:i/>
                        <w:sz w:val="16"/>
                        <w:szCs w:val="16"/>
                      </w:rPr>
                    </w:pPr>
                    <w:r w:rsidRPr="00E14061">
                      <w:rPr>
                        <w:rFonts w:ascii="Arial" w:hAnsi="Arial" w:cs="Arial" w:hint="eastAsia"/>
                        <w:i/>
                        <w:sz w:val="16"/>
                        <w:szCs w:val="16"/>
                      </w:rPr>
                      <w:t>r</w:t>
                    </w:r>
                    <w:r w:rsidRPr="00E14061">
                      <w:rPr>
                        <w:rFonts w:ascii="ＭＳ ゴシック" w:eastAsia="ＭＳ ゴシック" w:hAnsi="ＭＳ ゴシック" w:cs="ＭＳ ゴシック" w:hint="eastAsia"/>
                        <w:i/>
                        <w:sz w:val="16"/>
                        <w:szCs w:val="16"/>
                      </w:rPr>
                      <w:t>≧</w:t>
                    </w:r>
                    <w:r w:rsidRPr="00E14061">
                      <w:rPr>
                        <w:rFonts w:ascii="Arial" w:hAnsi="Arial" w:cs="Arial"/>
                        <w:i/>
                        <w:sz w:val="16"/>
                        <w:szCs w:val="16"/>
                      </w:rPr>
                      <w:t>6mm</w:t>
                    </w:r>
                  </w:p>
                </w:txbxContent>
              </v:textbox>
            </v:shape>
            <v:shape id="Text Box 10830" o:spid="_x0000_s1257" type="#_x0000_t202" style="position:absolute;left:3426;top:3062;width:864;height:3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" filled="f" stroked="f">
              <v:textbox inset="5.85pt,.7pt,5.85pt,.7pt">
                <w:txbxContent>
                  <w:p w14:paraId="5EC2A6EA" w14:textId="77777777" w:rsidR="003B0864" w:rsidRPr="00E14061" w:rsidRDefault="003B0864" w:rsidP="00B347C4">
                    <w:pPr>
                      <w:rPr>
                        <w:rFonts w:ascii="Arial" w:hAnsi="Arial" w:cs="Arial"/>
                        <w:i/>
                        <w:sz w:val="16"/>
                        <w:szCs w:val="16"/>
                      </w:rPr>
                    </w:pPr>
                    <w:r w:rsidRPr="00E14061">
                      <w:rPr>
                        <w:rFonts w:ascii="Arial" w:hAnsi="Arial" w:cs="Arial" w:hint="eastAsia"/>
                        <w:i/>
                        <w:sz w:val="16"/>
                        <w:szCs w:val="16"/>
                      </w:rPr>
                      <w:t>r</w:t>
                    </w:r>
                    <w:r w:rsidRPr="00E14061">
                      <w:rPr>
                        <w:rFonts w:ascii="ＭＳ ゴシック" w:eastAsia="ＭＳ ゴシック" w:hAnsi="ＭＳ ゴシック" w:cs="ＭＳ ゴシック" w:hint="eastAsia"/>
                        <w:i/>
                        <w:sz w:val="16"/>
                        <w:szCs w:val="16"/>
                      </w:rPr>
                      <w:t>≧</w:t>
                    </w:r>
                    <w:r w:rsidRPr="00E14061">
                      <w:rPr>
                        <w:rFonts w:ascii="Arial" w:hAnsi="Arial" w:cs="Arial"/>
                        <w:i/>
                        <w:sz w:val="16"/>
                        <w:szCs w:val="16"/>
                      </w:rPr>
                      <w:t>6mm</w:t>
                    </w:r>
                  </w:p>
                </w:txbxContent>
              </v:textbox>
            </v:shape>
            <v:shape id="Text Box 10831" o:spid="_x0000_s1258" type="#_x0000_t202" style="position:absolute;left:7032;top:2504;width:864;height:3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" filled="f" stroked="f">
              <v:textbox inset="5.85pt,.7pt,5.85pt,.7pt">
                <w:txbxContent>
                  <w:p w14:paraId="125C98D6" w14:textId="77777777" w:rsidR="003B0864" w:rsidRPr="00E14061" w:rsidRDefault="003B0864" w:rsidP="00B347C4">
                    <w:pPr>
                      <w:rPr>
                        <w:rFonts w:ascii="Arial" w:hAnsi="Arial" w:cs="Arial"/>
                        <w:i/>
                        <w:sz w:val="16"/>
                        <w:szCs w:val="16"/>
                      </w:rPr>
                    </w:pPr>
                    <w:r w:rsidRPr="00E14061">
                      <w:rPr>
                        <w:rFonts w:ascii="Arial" w:hAnsi="Arial" w:cs="Arial" w:hint="eastAsia"/>
                        <w:i/>
                        <w:sz w:val="16"/>
                        <w:szCs w:val="16"/>
                      </w:rPr>
                      <w:t>r</w:t>
                    </w:r>
                    <w:r w:rsidRPr="00E14061">
                      <w:rPr>
                        <w:rFonts w:ascii="ＭＳ ゴシック" w:eastAsia="ＭＳ ゴシック" w:hAnsi="ＭＳ ゴシック" w:cs="ＭＳ ゴシック" w:hint="eastAsia"/>
                        <w:i/>
                        <w:sz w:val="16"/>
                        <w:szCs w:val="16"/>
                      </w:rPr>
                      <w:t>≧</w:t>
                    </w:r>
                    <w:r w:rsidRPr="00E14061">
                      <w:rPr>
                        <w:rFonts w:ascii="Arial" w:hAnsi="Arial" w:cs="Arial"/>
                        <w:i/>
                        <w:sz w:val="16"/>
                        <w:szCs w:val="16"/>
                      </w:rPr>
                      <w:t>6mm</w:t>
                    </w:r>
                  </w:p>
                </w:txbxContent>
              </v:textbox>
            </v:shape>
            <v:shape id="Text Box 10832" o:spid="_x0000_s1259" type="#_x0000_t202" style="position:absolute;left:8646;top:2672;width:864;height:3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" filled="f" stroked="f">
              <v:textbox inset="5.85pt,.7pt,5.85pt,.7pt">
                <w:txbxContent>
                  <w:p w14:paraId="50DDC3DB" w14:textId="77777777" w:rsidR="003B0864" w:rsidRPr="00E14061" w:rsidRDefault="003B0864" w:rsidP="00B347C4">
                    <w:pPr>
                      <w:rPr>
                        <w:rFonts w:ascii="Arial" w:hAnsi="Arial" w:cs="Arial"/>
                        <w:i/>
                        <w:sz w:val="16"/>
                        <w:szCs w:val="16"/>
                      </w:rPr>
                    </w:pPr>
                    <w:r w:rsidRPr="00E14061">
                      <w:rPr>
                        <w:rFonts w:ascii="Arial" w:hAnsi="Arial" w:cs="Arial" w:hint="eastAsia"/>
                        <w:i/>
                        <w:sz w:val="16"/>
                        <w:szCs w:val="16"/>
                      </w:rPr>
                      <w:t>r</w:t>
                    </w:r>
                    <w:r w:rsidRPr="00E14061">
                      <w:rPr>
                        <w:rFonts w:ascii="ＭＳ ゴシック" w:eastAsia="ＭＳ ゴシック" w:hAnsi="ＭＳ ゴシック" w:cs="ＭＳ ゴシック" w:hint="eastAsia"/>
                        <w:i/>
                        <w:sz w:val="16"/>
                        <w:szCs w:val="16"/>
                      </w:rPr>
                      <w:t>≧</w:t>
                    </w:r>
                    <w:r w:rsidRPr="00E14061">
                      <w:rPr>
                        <w:rFonts w:ascii="Arial" w:hAnsi="Arial" w:cs="Arial"/>
                        <w:i/>
                        <w:sz w:val="16"/>
                        <w:szCs w:val="16"/>
                      </w:rPr>
                      <w:t>6mm</w:t>
                    </w:r>
                  </w:p>
                </w:txbxContent>
              </v:textbox>
            </v:shape>
            <v:shape id="Freeform 10833" o:spid="_x0000_s1260" style="position:absolute;left:3180;top:3152;width:954;height:252;visibility:visible;mso-wrap-style:square;v-text-anchor:top" coordsize="95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" path="m,l330,252r624,e" filled="f">
              <v:stroke startarrow="block" startarrowwidth="narrow"/>
              <v:path arrowok="t" o:connecttype="custom" o:connectlocs="0,0;330,252;954,252" o:connectangles="0,0,0"/>
            </v:shape>
            <v:shape id="Freeform 10834" o:spid="_x0000_s1261" style="position:absolute;left:2099;top:2754;width:804;height:300;visibility:visible;mso-wrap-style:square;v-text-anchor:top" coordsize="80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" path="m804,300l636,,,e" filled="f">
              <v:stroke startarrow="block" startarrowwidth="narrow"/>
              <v:path arrowok="t" o:connecttype="custom" o:connectlocs="804,300;636,0;0,0" o:connectangles="0,0,0"/>
            </v:shape>
            <v:shape id="Freeform 10835" o:spid="_x0000_s1262" style="position:absolute;left:7104;top:2822;width:1026;height:330;visibility:visible;mso-wrap-style:square;v-text-anchor:top" coordsize="102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" path="m1026,330l672,,,e" filled="f">
              <v:stroke startarrow="block" startarrowwidth="narrow"/>
              <v:path arrowok="t" o:connecttype="custom" o:connectlocs="1026,330;672,0;0,0" o:connectangles="0,0,0"/>
            </v:shape>
            <v:shape id="Freeform 10836" o:spid="_x0000_s1263" style="position:absolute;left:8421;top:2990;width:972;height:162;visibility:visible;mso-wrap-style:square;v-text-anchor:top" coordsize="97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" path="m,162l312,,972,e" filled="f">
              <v:stroke startarrow="block" startarrowwidth="narrow"/>
              <v:path arrowok="t" o:connecttype="custom" o:connectlocs="0,162;312,0;972,0" o:connectangles="0,0,0"/>
            </v:shape>
            <v:shape id="Text Box 10837" o:spid="_x0000_s1264" type="#_x0000_t202" style="position:absolute;left:1687;top:7957;width:864;height:3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" filled="f" stroked="f">
              <v:textbox inset="5.85pt,.7pt,5.85pt,.7pt">
                <w:txbxContent>
                  <w:p w14:paraId="78A2B846" w14:textId="77777777" w:rsidR="003B0864" w:rsidRPr="00E14061" w:rsidRDefault="003B0864" w:rsidP="00B347C4">
                    <w:pPr>
                      <w:rPr>
                        <w:rFonts w:ascii="Arial" w:hAnsi="Arial" w:cs="Arial"/>
                        <w:i/>
                        <w:sz w:val="16"/>
                        <w:szCs w:val="16"/>
                      </w:rPr>
                    </w:pPr>
                    <w:r w:rsidRPr="00E14061">
                      <w:rPr>
                        <w:rFonts w:ascii="Arial" w:hAnsi="Arial" w:cs="Arial" w:hint="eastAsia"/>
                        <w:i/>
                        <w:sz w:val="16"/>
                        <w:szCs w:val="16"/>
                      </w:rPr>
                      <w:t>r</w:t>
                    </w:r>
                    <w:r w:rsidRPr="00E14061">
                      <w:rPr>
                        <w:rFonts w:ascii="ＭＳ ゴシック" w:eastAsia="ＭＳ ゴシック" w:hAnsi="ＭＳ ゴシック" w:cs="ＭＳ ゴシック" w:hint="eastAsia"/>
                        <w:i/>
                        <w:sz w:val="16"/>
                        <w:szCs w:val="16"/>
                      </w:rPr>
                      <w:t>≧</w:t>
                    </w:r>
                    <w:r w:rsidRPr="00E14061">
                      <w:rPr>
                        <w:rFonts w:ascii="Arial" w:hAnsi="Arial" w:cs="Arial"/>
                        <w:i/>
                        <w:sz w:val="16"/>
                        <w:szCs w:val="16"/>
                      </w:rPr>
                      <w:t>6mm</w:t>
                    </w:r>
                  </w:p>
                </w:txbxContent>
              </v:textbox>
            </v:shape>
            <v:shape id="Text Box 10838" o:spid="_x0000_s1265" type="#_x0000_t202" style="position:absolute;left:6407;top:7835;width:864;height:3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" filled="f" stroked="f">
              <v:textbox inset="5.85pt,.7pt,5.85pt,.7pt">
                <w:txbxContent>
                  <w:p w14:paraId="0D216447" w14:textId="77777777" w:rsidR="003B0864" w:rsidRPr="00E14061" w:rsidRDefault="003B0864" w:rsidP="00B347C4">
                    <w:pPr>
                      <w:rPr>
                        <w:rFonts w:ascii="Arial" w:hAnsi="Arial" w:cs="Arial"/>
                        <w:i/>
                        <w:sz w:val="16"/>
                        <w:szCs w:val="16"/>
                      </w:rPr>
                    </w:pPr>
                    <w:r w:rsidRPr="00E14061">
                      <w:rPr>
                        <w:rFonts w:ascii="Arial" w:hAnsi="Arial" w:cs="Arial" w:hint="eastAsia"/>
                        <w:i/>
                        <w:sz w:val="16"/>
                        <w:szCs w:val="16"/>
                      </w:rPr>
                      <w:t>r</w:t>
                    </w:r>
                    <w:r w:rsidRPr="00E14061">
                      <w:rPr>
                        <w:rFonts w:ascii="ＭＳ ゴシック" w:eastAsia="ＭＳ ゴシック" w:hAnsi="ＭＳ ゴシック" w:cs="ＭＳ ゴシック" w:hint="eastAsia"/>
                        <w:i/>
                        <w:sz w:val="16"/>
                        <w:szCs w:val="16"/>
                      </w:rPr>
                      <w:t>≧</w:t>
                    </w:r>
                    <w:r w:rsidRPr="00E14061">
                      <w:rPr>
                        <w:rFonts w:ascii="Arial" w:hAnsi="Arial" w:cs="Arial"/>
                        <w:i/>
                        <w:sz w:val="16"/>
                        <w:szCs w:val="16"/>
                      </w:rPr>
                      <w:t>6mm</w:t>
                    </w:r>
                  </w:p>
                </w:txbxContent>
              </v:textbox>
            </v:shape>
            <v:shape id="Text Box 10839" o:spid="_x0000_s1266" type="#_x0000_t202" style="position:absolute;left:8719;top:7672;width:864;height:3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" filled="f" stroked="f">
              <v:textbox inset="5.85pt,.7pt,5.85pt,.7pt">
                <w:txbxContent>
                  <w:p w14:paraId="7F167EBD" w14:textId="77777777" w:rsidR="003B0864" w:rsidRPr="00E14061" w:rsidRDefault="003B0864" w:rsidP="00B347C4">
                    <w:pPr>
                      <w:rPr>
                        <w:rFonts w:ascii="Arial" w:hAnsi="Arial" w:cs="Arial"/>
                        <w:i/>
                        <w:sz w:val="16"/>
                        <w:szCs w:val="16"/>
                      </w:rPr>
                    </w:pPr>
                    <w:r w:rsidRPr="00E14061">
                      <w:rPr>
                        <w:rFonts w:ascii="Arial" w:hAnsi="Arial" w:cs="Arial" w:hint="eastAsia"/>
                        <w:i/>
                        <w:sz w:val="16"/>
                        <w:szCs w:val="16"/>
                      </w:rPr>
                      <w:t>r</w:t>
                    </w:r>
                    <w:r w:rsidRPr="00E14061">
                      <w:rPr>
                        <w:rFonts w:ascii="ＭＳ ゴシック" w:eastAsia="ＭＳ ゴシック" w:hAnsi="ＭＳ ゴシック" w:cs="ＭＳ ゴシック" w:hint="eastAsia"/>
                        <w:i/>
                        <w:sz w:val="16"/>
                        <w:szCs w:val="16"/>
                      </w:rPr>
                      <w:t>≧</w:t>
                    </w:r>
                    <w:r w:rsidRPr="00E14061">
                      <w:rPr>
                        <w:rFonts w:ascii="Arial" w:hAnsi="Arial" w:cs="Arial"/>
                        <w:i/>
                        <w:sz w:val="16"/>
                        <w:szCs w:val="16"/>
                      </w:rPr>
                      <w:t>6mm</w:t>
                    </w:r>
                  </w:p>
                </w:txbxContent>
              </v:textbox>
            </v:shape>
            <v:shape id="Freeform 10840" o:spid="_x0000_s1267" style="position:absolute;left:1803;top:7946;width:1002;height:339;visibility:visible;mso-wrap-style:square;v-text-anchor:top" coordsize="100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" path="m1002,l609,339,,339e" filled="f">
              <v:stroke startarrow="block" startarrowwidth="narrow"/>
              <v:path arrowok="t" o:connecttype="custom" o:connectlocs="1002,0;609,339;0,339" o:connectangles="0,0,0"/>
            </v:shape>
            <v:shape id="Freeform 10841" o:spid="_x0000_s1268" style="position:absolute;left:6497;top:7836;width:1088;height:321;visibility:visible;mso-wrap-style:square;v-text-anchor:top" coordsize="1088,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" path="m1088,l640,321,,321e" filled="f">
              <v:stroke startarrow="block" startarrowwidth="narrow"/>
              <v:path arrowok="t" o:connecttype="custom" o:connectlocs="1088,0;640,321;0,321" o:connectangles="0,0,0"/>
            </v:shape>
            <v:shape id="Freeform 10842" o:spid="_x0000_s1269" style="position:absolute;left:8279;top:7858;width:1151;height:149;visibility:visible;mso-wrap-style:square;v-text-anchor:top" coordsize="115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" path="m,l573,149r578,e" filled="f">
              <v:stroke startarrow="block" startarrowwidth="narrow"/>
              <v:path arrowok="t" o:connecttype="custom" o:connectlocs="0,0;573,149;1151,149" o:connectangles="0,0,0"/>
            </v:shape>
          </v:group>
        </w:pict>
      </w:r>
    </w:p>
    <w:p w14:paraId="1375683D" w14:textId="77777777" w:rsidR="00B347C4" w:rsidRPr="00BC31E0" w:rsidRDefault="00A51873" w:rsidP="00A341CB">
      <w:pPr>
        <w:autoSpaceDE w:val="0"/>
        <w:autoSpaceDN w:val="0"/>
        <w:ind w:firstLineChars="200" w:firstLine="420"/>
        <w:jc w:val="left"/>
        <w:rPr>
          <w:szCs w:val="20"/>
        </w:rPr>
      </w:pPr>
      <w:r>
        <w:rPr>
          <w:noProof/>
        </w:rPr>
        <w:pict w14:anchorId="2D9DB18F">
          <v:group id="_x0000_s3496" style="position:absolute;left:0;text-align:left;margin-left:59.15pt;margin-top:-257.3pt;width:302.7pt;height:248.4pt;z-index:251877888" coordorigin="2601,5195" coordsize="6054,4968">
            <v:rect id="_x0000_s3494" style="position:absolute;left:5177;top:9354;width:214;height:305" fillcolor="white [3212]" stroked="f">
              <v:textbox inset="5.85pt,.7pt,5.85pt,.7pt"/>
            </v:rect>
            <v:rect id="_x0000_s3492" style="position:absolute;left:6497;top:5699;width:774;height:359" fillcolor="white [3212]" stroked="f">
              <v:textbox inset="5.85pt,.7pt,5.85pt,.7pt"/>
            </v:rect>
            <v:shape id="Text Box 12116" o:spid="_x0000_s1252" type="#_x0000_t202" style="position:absolute;left:2745;top:9659;width:723;height:5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" stroked="f">
              <v:textbox style="mso-next-textbox:#Text Box 12116;mso-fit-shape-to-text:t">
                <w:txbxContent>
                  <w:p w14:paraId="00ACCC61" w14:textId="77777777" w:rsidR="003B0864" w:rsidRPr="00796A4E" w:rsidRDefault="003B0864" w:rsidP="00B347C4">
                    <w:pPr>
                      <w:rPr>
                        <w:rFonts w:asciiTheme="minorHAnsi" w:eastAsia="ＭＳ ゴシック" w:hAnsiTheme="minorHAnsi"/>
                      </w:rPr>
                    </w:pPr>
                    <w:r w:rsidRPr="00796A4E">
                      <w:rPr>
                        <w:rFonts w:asciiTheme="minorHAnsi" w:eastAsia="ＭＳ ゴシック" w:hAnsiTheme="minorHAnsi"/>
                      </w:rPr>
                      <w:t>(c)</w:t>
                    </w:r>
                  </w:p>
                </w:txbxContent>
              </v:textbox>
            </v:shape>
            <v:shape id="Text Box 12117" o:spid="_x0000_s1251" type="#_x0000_t202" style="position:absolute;left:7592;top:9659;width:723;height:5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" stroked="f">
              <v:textbox style="mso-next-textbox:#Text Box 12117;mso-fit-shape-to-text:t">
                <w:txbxContent>
                  <w:p w14:paraId="4CA4DD02" w14:textId="77777777" w:rsidR="003B0864" w:rsidRPr="00796A4E" w:rsidRDefault="003B0864" w:rsidP="00B347C4">
                    <w:pPr>
                      <w:rPr>
                        <w:rFonts w:asciiTheme="minorHAnsi" w:eastAsia="ＭＳ ゴシック" w:hAnsiTheme="minorHAnsi"/>
                      </w:rPr>
                    </w:pPr>
                    <w:r w:rsidRPr="00796A4E">
                      <w:rPr>
                        <w:rFonts w:asciiTheme="minorHAnsi" w:eastAsia="ＭＳ ゴシック" w:hAnsiTheme="minorHAnsi"/>
                      </w:rPr>
                      <w:t>(d)</w:t>
                    </w:r>
                  </w:p>
                </w:txbxContent>
              </v:textbox>
            </v:shape>
            <v:shape id="Text Box 12116" o:spid="_x0000_s3489" type="#_x0000_t202" style="position:absolute;left:2601;top:5195;width:723;height:5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" stroked="f">
              <v:textbox style="mso-fit-shape-to-text:t">
                <w:txbxContent>
                  <w:p w14:paraId="2A0C7C76" w14:textId="77777777" w:rsidR="003B0864" w:rsidRPr="00796A4E" w:rsidRDefault="003B0864" w:rsidP="00AF6B2F">
                    <w:pPr>
                      <w:rPr>
                        <w:rFonts w:asciiTheme="minorHAnsi" w:eastAsia="ＭＳ ゴシック" w:hAnsiTheme="minorHAnsi"/>
                      </w:rPr>
                    </w:pPr>
                    <w:r w:rsidRPr="00796A4E">
                      <w:rPr>
                        <w:rFonts w:asciiTheme="minorHAnsi" w:eastAsia="ＭＳ ゴシック" w:hAnsiTheme="minorHAnsi"/>
                      </w:rPr>
                      <w:t>(a)</w:t>
                    </w:r>
                  </w:p>
                </w:txbxContent>
              </v:textbox>
            </v:shape>
            <v:shape id="Text Box 12116" o:spid="_x0000_s3490" type="#_x0000_t202" style="position:absolute;left:7932;top:5195;width:723;height:5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" stroked="f">
              <v:textbox style="mso-fit-shape-to-text:t">
                <w:txbxContent>
                  <w:p w14:paraId="386D679B" w14:textId="77777777" w:rsidR="003B0864" w:rsidRPr="00796A4E" w:rsidRDefault="003B0864" w:rsidP="00AF6B2F">
                    <w:pPr>
                      <w:rPr>
                        <w:rFonts w:asciiTheme="minorHAnsi" w:eastAsia="ＭＳ ゴシック" w:hAnsiTheme="minorHAnsi"/>
                      </w:rPr>
                    </w:pPr>
                    <w:r w:rsidRPr="00796A4E">
                      <w:rPr>
                        <w:rFonts w:asciiTheme="minorHAnsi" w:eastAsia="ＭＳ ゴシック" w:hAnsiTheme="minorHAnsi"/>
                      </w:rPr>
                      <w:t>(b)</w:t>
                    </w:r>
                  </w:p>
                </w:txbxContent>
              </v:textbox>
            </v:shape>
          </v:group>
        </w:pict>
      </w:r>
      <w:r w:rsidR="00B347C4" w:rsidRPr="00BC31E0">
        <w:rPr>
          <w:rFonts w:ascii="ＭＳ ゴシック" w:eastAsia="ＭＳ ゴシック" w:hAnsi="ＭＳ ゴシック" w:hint="eastAsia"/>
          <w:b/>
          <w:bCs/>
          <w:szCs w:val="20"/>
        </w:rPr>
        <w:t>注記 1</w:t>
      </w:r>
      <w:r w:rsidR="00B347C4" w:rsidRPr="00BC31E0">
        <w:rPr>
          <w:rFonts w:hint="eastAsia"/>
          <w:b/>
          <w:bCs/>
          <w:szCs w:val="20"/>
        </w:rPr>
        <w:t xml:space="preserve">　</w:t>
      </w:r>
      <w:r w:rsidR="00B347C4" w:rsidRPr="00BC31E0">
        <w:rPr>
          <w:rFonts w:hint="eastAsia"/>
          <w:szCs w:val="20"/>
        </w:rPr>
        <w:t>テーパの必要とする長さ</w:t>
      </w:r>
      <m:oMath>
        <m:r>
          <m:rPr>
            <m:sty m:val="p"/>
          </m:rPr>
          <w:rPr>
            <w:rFonts w:ascii="Cambria Math" w:hAnsi="Cambria Math"/>
            <w:szCs w:val="20"/>
          </w:rPr>
          <m:t xml:space="preserve"> </m:t>
        </m:r>
        <m:r>
          <w:rPr>
            <w:rFonts w:ascii="Cambria Math" w:eastAsiaTheme="minorEastAsia" w:hAnsi="Cambria Math"/>
            <w:szCs w:val="20"/>
          </w:rPr>
          <m:t xml:space="preserve">l </m:t>
        </m:r>
      </m:oMath>
      <w:r w:rsidR="00B347C4" w:rsidRPr="00BC31E0">
        <w:rPr>
          <w:rFonts w:hint="eastAsia"/>
          <w:szCs w:val="20"/>
        </w:rPr>
        <w:t>のうちに溶接部を含めてもよい。</w:t>
      </w:r>
    </w:p>
    <w:p w14:paraId="1A2CA99B" w14:textId="77777777" w:rsidR="00B347C4" w:rsidRPr="00BC31E0" w:rsidRDefault="00B347C4" w:rsidP="00A341CB">
      <w:pPr>
        <w:autoSpaceDE w:val="0"/>
        <w:autoSpaceDN w:val="0"/>
        <w:jc w:val="left"/>
        <w:rPr>
          <w:szCs w:val="20"/>
        </w:rPr>
      </w:pPr>
      <w:r w:rsidRPr="00BC31E0">
        <w:rPr>
          <w:rFonts w:hint="eastAsia"/>
          <w:szCs w:val="20"/>
        </w:rPr>
        <w:t xml:space="preserve">　　</w:t>
      </w:r>
      <w:r w:rsidRPr="00BC31E0">
        <w:rPr>
          <w:rFonts w:ascii="ＭＳ ゴシック" w:eastAsia="ＭＳ ゴシック" w:hAnsi="ＭＳ ゴシック" w:hint="eastAsia"/>
          <w:b/>
          <w:bCs/>
          <w:szCs w:val="20"/>
        </w:rPr>
        <w:t>注記 2</w:t>
      </w:r>
      <w:r w:rsidRPr="00BC31E0">
        <w:rPr>
          <w:rFonts w:hint="eastAsia"/>
          <w:b/>
          <w:bCs/>
          <w:szCs w:val="20"/>
        </w:rPr>
        <w:t xml:space="preserve">　</w:t>
      </w:r>
      <w:r w:rsidRPr="00BC31E0">
        <w:rPr>
          <w:rFonts w:hint="eastAsia"/>
          <w:szCs w:val="20"/>
        </w:rPr>
        <w:t>図中の記号は，次による。</w:t>
      </w:r>
    </w:p>
    <w:p w14:paraId="3E7350B0" w14:textId="77777777" w:rsidR="00B347C4" w:rsidRPr="00BC31E0" w:rsidRDefault="00B347C4" w:rsidP="00A341CB">
      <w:pPr>
        <w:tabs>
          <w:tab w:val="left" w:pos="1560"/>
        </w:tabs>
        <w:autoSpaceDE w:val="0"/>
        <w:autoSpaceDN w:val="0"/>
        <w:jc w:val="left"/>
        <w:rPr>
          <w:szCs w:val="20"/>
        </w:rPr>
      </w:pPr>
      <w:r w:rsidRPr="00BC31E0">
        <w:rPr>
          <w:rFonts w:hint="eastAsia"/>
          <w:szCs w:val="20"/>
        </w:rPr>
        <w:t xml:space="preserve">　　　　　　</w:t>
      </w: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s</m:t>
            </m:r>
          </m:sub>
        </m:sSub>
      </m:oMath>
      <w:r w:rsidRPr="00BC31E0">
        <w:rPr>
          <w:rFonts w:hint="eastAsia"/>
          <w:szCs w:val="20"/>
        </w:rPr>
        <w:tab/>
      </w:r>
      <w:r w:rsidRPr="00BC31E0">
        <w:rPr>
          <w:rFonts w:hint="eastAsia"/>
          <w:szCs w:val="20"/>
        </w:rPr>
        <w:t>：</w:t>
      </w:r>
      <w:r w:rsidRPr="00BC31E0">
        <w:rPr>
          <w:rFonts w:hint="eastAsia"/>
          <w:szCs w:val="20"/>
        </w:rPr>
        <w:t xml:space="preserve"> </w:t>
      </w:r>
      <w:r w:rsidRPr="00BC31E0">
        <w:rPr>
          <w:rFonts w:hint="eastAsia"/>
          <w:szCs w:val="20"/>
        </w:rPr>
        <w:t>胴の呼び厚さ</w:t>
      </w:r>
      <w:r w:rsidRPr="00BC31E0">
        <w:rPr>
          <w:rFonts w:hint="eastAsia"/>
          <w:szCs w:val="20"/>
        </w:rPr>
        <w:t>(</w:t>
      </w:r>
      <w:r w:rsidRPr="00BC31E0">
        <w:rPr>
          <w:rFonts w:ascii="Cambria Math" w:hAnsi="Cambria Math"/>
          <w:szCs w:val="20"/>
        </w:rPr>
        <w:t>mm</w:t>
      </w:r>
      <w:r w:rsidRPr="00BC31E0">
        <w:rPr>
          <w:rFonts w:hint="eastAsia"/>
          <w:szCs w:val="20"/>
        </w:rPr>
        <w:t>)</w:t>
      </w:r>
    </w:p>
    <w:p w14:paraId="68EB3E4F" w14:textId="77777777" w:rsidR="00B347C4" w:rsidRPr="00BC31E0" w:rsidRDefault="00B347C4" w:rsidP="00A341CB">
      <w:pPr>
        <w:tabs>
          <w:tab w:val="left" w:pos="1560"/>
        </w:tabs>
        <w:autoSpaceDE w:val="0"/>
        <w:autoSpaceDN w:val="0"/>
        <w:jc w:val="left"/>
        <w:rPr>
          <w:szCs w:val="20"/>
        </w:rPr>
      </w:pPr>
      <w:r w:rsidRPr="00BC31E0">
        <w:rPr>
          <w:rFonts w:hint="eastAsia"/>
          <w:szCs w:val="20"/>
        </w:rPr>
        <w:t xml:space="preserve">　　　　　　</w:t>
      </w:r>
      <m:oMath>
        <m:sSub>
          <m:sSubPr>
            <m:ctrlPr>
              <w:rPr>
                <w:rFonts w:ascii="Cambria Math" w:hAnsi="Cambria Math"/>
                <w:i/>
                <w:szCs w:val="20"/>
                <w:vertAlign w:val="subscript"/>
              </w:rPr>
            </m:ctrlPr>
          </m:sSubPr>
          <m:e>
            <m:r>
              <w:rPr>
                <w:rFonts w:ascii="Cambria Math" w:hAnsi="Cambria Math"/>
                <w:szCs w:val="20"/>
                <w:vertAlign w:val="subscript"/>
              </w:rPr>
              <m:t>t</m:t>
            </m:r>
          </m:e>
          <m:sub>
            <m:r>
              <w:rPr>
                <w:rFonts w:ascii="Cambria Math" w:hAnsi="Cambria Math"/>
                <w:szCs w:val="20"/>
                <w:vertAlign w:val="subscript"/>
              </w:rPr>
              <m:t>h</m:t>
            </m:r>
          </m:sub>
        </m:sSub>
      </m:oMath>
      <w:r w:rsidRPr="00BC31E0">
        <w:rPr>
          <w:rFonts w:hint="eastAsia"/>
          <w:szCs w:val="20"/>
        </w:rPr>
        <w:tab/>
      </w:r>
      <w:r w:rsidRPr="00BC31E0">
        <w:rPr>
          <w:rFonts w:hint="eastAsia"/>
          <w:szCs w:val="20"/>
        </w:rPr>
        <w:t>：</w:t>
      </w:r>
      <w:r w:rsidRPr="00BC31E0">
        <w:rPr>
          <w:rFonts w:hint="eastAsia"/>
          <w:szCs w:val="20"/>
        </w:rPr>
        <w:t xml:space="preserve"> </w:t>
      </w:r>
      <w:r w:rsidRPr="00BC31E0">
        <w:rPr>
          <w:rFonts w:hint="eastAsia"/>
          <w:szCs w:val="20"/>
        </w:rPr>
        <w:t>鏡板の呼び厚さ</w:t>
      </w:r>
      <w:r w:rsidRPr="00BC31E0">
        <w:rPr>
          <w:rFonts w:hint="eastAsia"/>
          <w:szCs w:val="20"/>
        </w:rPr>
        <w:t>(</w:t>
      </w:r>
      <w:r w:rsidRPr="00BC31E0">
        <w:rPr>
          <w:rFonts w:ascii="Cambria Math" w:hAnsi="Cambria Math"/>
          <w:szCs w:val="20"/>
        </w:rPr>
        <w:t>mm</w:t>
      </w:r>
      <w:r w:rsidRPr="00BC31E0">
        <w:rPr>
          <w:rFonts w:hint="eastAsia"/>
          <w:szCs w:val="20"/>
        </w:rPr>
        <w:t>)</w:t>
      </w:r>
    </w:p>
    <w:p w14:paraId="23C25CC1" w14:textId="77777777" w:rsidR="00B347C4" w:rsidRPr="00BC31E0" w:rsidRDefault="00B347C4" w:rsidP="00A341CB">
      <w:pPr>
        <w:tabs>
          <w:tab w:val="left" w:pos="1560"/>
        </w:tabs>
        <w:autoSpaceDE w:val="0"/>
        <w:autoSpaceDN w:val="0"/>
        <w:jc w:val="left"/>
        <w:rPr>
          <w:szCs w:val="20"/>
        </w:rPr>
      </w:pPr>
      <w:r w:rsidRPr="00BC31E0">
        <w:rPr>
          <w:rFonts w:hint="eastAsia"/>
          <w:szCs w:val="20"/>
        </w:rPr>
        <w:t xml:space="preserve">　　　　　　</w:t>
      </w:r>
      <m:oMath>
        <m:r>
          <w:rPr>
            <w:rFonts w:ascii="Cambria Math" w:hAnsi="Cambria Math"/>
            <w:szCs w:val="20"/>
          </w:rPr>
          <m:t>l</m:t>
        </m:r>
      </m:oMath>
      <w:r w:rsidRPr="00BC31E0">
        <w:rPr>
          <w:rFonts w:hint="eastAsia"/>
          <w:szCs w:val="20"/>
        </w:rPr>
        <w:tab/>
      </w:r>
      <w:r w:rsidRPr="00BC31E0">
        <w:rPr>
          <w:rFonts w:hint="eastAsia"/>
          <w:szCs w:val="20"/>
        </w:rPr>
        <w:t>：</w:t>
      </w:r>
      <w:r w:rsidRPr="00BC31E0">
        <w:rPr>
          <w:rFonts w:hint="eastAsia"/>
          <w:szCs w:val="20"/>
        </w:rPr>
        <w:t xml:space="preserve"> </w:t>
      </w:r>
      <w:r w:rsidRPr="00BC31E0">
        <w:rPr>
          <w:rFonts w:hint="eastAsia"/>
          <w:szCs w:val="20"/>
        </w:rPr>
        <w:t>テーパ部を必要とする長さ</w:t>
      </w:r>
      <w:r w:rsidRPr="00BC31E0">
        <w:rPr>
          <w:rFonts w:hint="eastAsia"/>
          <w:szCs w:val="20"/>
        </w:rPr>
        <w:t>(</w:t>
      </w:r>
      <w:r w:rsidRPr="00BC31E0">
        <w:rPr>
          <w:rFonts w:ascii="Cambria Math" w:hAnsi="Cambria Math"/>
          <w:szCs w:val="20"/>
        </w:rPr>
        <w:t>mm</w:t>
      </w:r>
      <w:r w:rsidRPr="00BC31E0">
        <w:rPr>
          <w:rFonts w:hint="eastAsia"/>
          <w:szCs w:val="20"/>
        </w:rPr>
        <w:t>)</w:t>
      </w:r>
    </w:p>
    <w:p w14:paraId="726D1BD9" w14:textId="77777777" w:rsidR="00B347C4" w:rsidRPr="00BC31E0" w:rsidRDefault="00B347C4" w:rsidP="00A341CB">
      <w:pPr>
        <w:tabs>
          <w:tab w:val="left" w:pos="1560"/>
        </w:tabs>
        <w:autoSpaceDE w:val="0"/>
        <w:autoSpaceDN w:val="0"/>
        <w:jc w:val="left"/>
        <w:rPr>
          <w:szCs w:val="20"/>
        </w:rPr>
      </w:pPr>
      <w:r w:rsidRPr="00BC31E0">
        <w:rPr>
          <w:rFonts w:hint="eastAsia"/>
          <w:szCs w:val="20"/>
        </w:rPr>
        <w:t xml:space="preserve">　　　　　　</w:t>
      </w:r>
      <m:oMath>
        <m:r>
          <w:rPr>
            <w:rFonts w:ascii="Cambria Math" w:hAnsi="Cambria Math"/>
            <w:szCs w:val="20"/>
          </w:rPr>
          <m:t>Y</m:t>
        </m:r>
      </m:oMath>
      <w:r w:rsidRPr="00BC31E0">
        <w:rPr>
          <w:rFonts w:hint="eastAsia"/>
          <w:szCs w:val="20"/>
        </w:rPr>
        <w:tab/>
      </w:r>
      <w:r w:rsidRPr="00BC31E0">
        <w:rPr>
          <w:rFonts w:hint="eastAsia"/>
          <w:szCs w:val="20"/>
        </w:rPr>
        <w:t>：</w:t>
      </w:r>
      <w:r w:rsidRPr="00BC31E0">
        <w:rPr>
          <w:rFonts w:hint="eastAsia"/>
          <w:szCs w:val="20"/>
        </w:rPr>
        <w:t xml:space="preserve"> </w:t>
      </w:r>
      <w:r w:rsidRPr="00BC31E0">
        <w:rPr>
          <w:rFonts w:hint="eastAsia"/>
          <w:szCs w:val="20"/>
        </w:rPr>
        <w:t>片側表面における厚さの差</w:t>
      </w:r>
      <w:r w:rsidRPr="00BC31E0">
        <w:rPr>
          <w:rFonts w:hint="eastAsia"/>
          <w:szCs w:val="20"/>
        </w:rPr>
        <w:t>(</w:t>
      </w:r>
      <w:r w:rsidRPr="00BC31E0">
        <w:rPr>
          <w:rFonts w:ascii="Cambria Math" w:hAnsi="Cambria Math"/>
          <w:szCs w:val="20"/>
        </w:rPr>
        <w:t>mm</w:t>
      </w:r>
      <w:r w:rsidRPr="00BC31E0">
        <w:rPr>
          <w:rFonts w:hint="eastAsia"/>
          <w:szCs w:val="20"/>
        </w:rPr>
        <w:t>)</w:t>
      </w:r>
    </w:p>
    <w:p w14:paraId="5ED23576" w14:textId="77777777" w:rsidR="00B347C4" w:rsidRPr="00BC31E0" w:rsidRDefault="00B347C4" w:rsidP="00A341CB">
      <w:pPr>
        <w:autoSpaceDE w:val="0"/>
        <w:autoSpaceDN w:val="0"/>
        <w:jc w:val="left"/>
        <w:rPr>
          <w:szCs w:val="20"/>
        </w:rPr>
      </w:pPr>
      <w:r w:rsidRPr="00BC31E0">
        <w:rPr>
          <w:rFonts w:hint="eastAsia"/>
          <w:szCs w:val="20"/>
        </w:rPr>
        <w:t xml:space="preserve">　　</w:t>
      </w:r>
      <w:r w:rsidRPr="00BC31E0">
        <w:rPr>
          <w:rFonts w:ascii="ＭＳ ゴシック" w:eastAsia="ＭＳ ゴシック" w:hAnsi="ＭＳ ゴシック" w:hint="eastAsia"/>
          <w:b/>
          <w:bCs/>
          <w:szCs w:val="20"/>
        </w:rPr>
        <w:t>注記 3</w:t>
      </w:r>
      <w:r w:rsidRPr="00BC31E0">
        <w:rPr>
          <w:rFonts w:hint="eastAsia"/>
          <w:b/>
          <w:bCs/>
          <w:szCs w:val="20"/>
        </w:rPr>
        <w:t xml:space="preserve">　</w:t>
      </w:r>
      <w:r w:rsidR="00796A4E" w:rsidRPr="00BC31E0">
        <w:rPr>
          <w:rFonts w:asciiTheme="minorHAnsi" w:hAnsiTheme="minorHAnsi"/>
          <w:bCs/>
          <w:szCs w:val="20"/>
        </w:rPr>
        <w:t>(c</w:t>
      </w:r>
      <w:r w:rsidR="00796A4E" w:rsidRPr="00BC31E0">
        <w:rPr>
          <w:rFonts w:asciiTheme="minorHAnsi" w:eastAsia="ＭＳ ゴシック" w:hAnsiTheme="minorHAnsi"/>
          <w:bCs/>
          <w:szCs w:val="20"/>
        </w:rPr>
        <w:t>)</w:t>
      </w:r>
      <w:r w:rsidRPr="00BC31E0">
        <w:rPr>
          <w:rFonts w:hint="eastAsia"/>
          <w:bCs/>
          <w:szCs w:val="20"/>
        </w:rPr>
        <w:t>及び</w:t>
      </w:r>
      <w:r w:rsidR="00796A4E" w:rsidRPr="00BC31E0">
        <w:rPr>
          <w:rFonts w:asciiTheme="minorHAnsi" w:eastAsia="ＭＳ ゴシック" w:hAnsiTheme="minorHAnsi"/>
          <w:bCs/>
          <w:szCs w:val="20"/>
        </w:rPr>
        <w:t>(d)</w:t>
      </w:r>
      <w:r w:rsidRPr="00BC31E0">
        <w:rPr>
          <w:rFonts w:hint="eastAsia"/>
          <w:bCs/>
          <w:szCs w:val="20"/>
        </w:rPr>
        <w:t>の</w:t>
      </w:r>
      <w:r w:rsidRPr="00BC31E0">
        <w:rPr>
          <w:rFonts w:hint="eastAsia"/>
          <w:szCs w:val="20"/>
        </w:rPr>
        <w:t>テーパは，外面又は内面のいずれでもよい。</w:t>
      </w:r>
    </w:p>
    <w:p w14:paraId="4159E3C8" w14:textId="77777777" w:rsidR="00B347C4" w:rsidRPr="00BC31E0" w:rsidRDefault="00B347C4" w:rsidP="00A341CB">
      <w:pPr>
        <w:autoSpaceDE w:val="0"/>
        <w:autoSpaceDN w:val="0"/>
        <w:jc w:val="left"/>
        <w:rPr>
          <w:szCs w:val="20"/>
        </w:rPr>
      </w:pPr>
    </w:p>
    <w:p w14:paraId="3084496C" w14:textId="77777777" w:rsidR="00B347C4" w:rsidRPr="00BC31E0" w:rsidRDefault="00B347C4" w:rsidP="00A341CB">
      <w:pPr>
        <w:pStyle w:val="af4"/>
      </w:pPr>
      <w:r w:rsidRPr="00BC31E0">
        <w:rPr>
          <w:rFonts w:hint="eastAsia"/>
        </w:rPr>
        <w:t>図6.10.2　鏡板と胴の継手</w:t>
      </w:r>
    </w:p>
    <w:p w14:paraId="5E017EF0" w14:textId="77777777" w:rsidR="00B347C4" w:rsidRPr="00BC31E0" w:rsidRDefault="00B347C4" w:rsidP="00A341CB">
      <w:pPr>
        <w:rPr>
          <w:rFonts w:ascii="ＭＳ 明朝" w:hAnsi="ＭＳ 明朝"/>
          <w:szCs w:val="20"/>
        </w:rPr>
      </w:pPr>
    </w:p>
    <w:p w14:paraId="7A6F9AB2" w14:textId="77777777" w:rsidR="00B347C4" w:rsidRPr="00BC31E0" w:rsidRDefault="00B347C4" w:rsidP="00A341CB">
      <w:pPr>
        <w:autoSpaceDE w:val="0"/>
        <w:autoSpaceDN w:val="0"/>
        <w:jc w:val="center"/>
      </w:pPr>
    </w:p>
    <w:p w14:paraId="268E92E1" w14:textId="77777777" w:rsidR="00B347C4" w:rsidRPr="00BC31E0" w:rsidRDefault="00B347C4" w:rsidP="00CD453D">
      <w:pPr>
        <w:autoSpaceDE w:val="0"/>
        <w:autoSpaceDN w:val="0"/>
        <w:jc w:val="center"/>
      </w:pPr>
      <w:r w:rsidRPr="00BC31E0">
        <w:br w:type="page"/>
      </w:r>
      <w:r w:rsidR="00A51873">
        <w:pict w14:anchorId="5527E346">
          <v:group id="_x0000_s3386" style="width:394.1pt;height:158.7pt;mso-position-horizontal-relative:char;mso-position-vertical-relative:line" coordorigin="1754,2679" coordsize="7882,3174">
            <v:shape id="_x0000_s3397" type="#_x0000_t75" style="position:absolute;left:1754;top:2764;width:7882;height:3089">
              <v:imagedata r:id="rId94" o:title=""/>
            </v:shape>
            <v:shape id="_x0000_s3396" type="#_x0000_t202" style="position:absolute;left:2493;top:2679;width:6738;height:398" stroked="f">
              <v:textbox style="mso-next-textbox:#_x0000_s3396" inset="5.85pt,.7pt,5.85pt,.7pt">
                <w:txbxContent>
                  <w:p w14:paraId="3C2DFC76" w14:textId="77777777" w:rsidR="003B0864" w:rsidRDefault="003B0864" w:rsidP="00B347C4"/>
                </w:txbxContent>
              </v:textbox>
            </v:shape>
            <v:shape id="_x0000_s3395" type="#_x0000_t202" style="position:absolute;left:3299;top:5452;width:5663;height:401" stroked="f">
              <v:textbox style="mso-next-textbox:#_x0000_s3395" inset="5.85pt,.7pt,5.85pt,.7pt">
                <w:txbxContent>
                  <w:p w14:paraId="360624DF" w14:textId="77777777" w:rsidR="003B0864" w:rsidRDefault="003B0864" w:rsidP="00736130">
                    <w:pPr>
                      <w:numPr>
                        <w:ilvl w:val="0"/>
                        <w:numId w:val="132"/>
                      </w:numPr>
                      <w:spacing w:line="360" w:lineRule="exact"/>
                      <w:jc w:val="left"/>
                    </w:pPr>
                    <w:r>
                      <w:rPr>
                        <w:rFonts w:hint="eastAsia"/>
                      </w:rPr>
                      <w:t xml:space="preserve">                                     (b)</w:t>
                    </w:r>
                  </w:p>
                </w:txbxContent>
              </v:textbox>
            </v:shape>
            <v:rect id="_x0000_s3394" style="position:absolute;left:5433;top:4491;width:187;height:196" stroked="f">
              <v:textbox inset="5.85pt,.7pt,5.85pt,.7pt"/>
            </v:rect>
            <v:rect id="_x0000_s3393" style="position:absolute;left:4778;top:4594;width:187;height:196" stroked="f">
              <v:textbox inset="5.85pt,.7pt,5.85pt,.7pt"/>
            </v:rect>
            <v:rect id="_x0000_s3392" style="position:absolute;left:8575;top:4220;width:187;height:196" stroked="f">
              <v:textbox inset="5.85pt,.7pt,5.85pt,.7pt"/>
            </v:rect>
            <v:rect id="_x0000_s3391" style="position:absolute;left:9164;top:4150;width:187;height:164" stroked="f">
              <v:textbox inset="5.85pt,.7pt,5.85pt,.7pt"/>
            </v:rect>
            <v:shape id="_x0000_s3390" type="#_x0000_t202" style="position:absolute;left:8496;top:4054;width:541;height:374" filled="f" stroked="f">
              <v:textbox style="mso-next-textbox:#_x0000_s3390" inset="5.85pt,.7pt,5.85pt,.7pt">
                <w:txbxContent>
                  <w:p w14:paraId="29D92517" w14:textId="77777777" w:rsidR="003B0864" w:rsidRPr="0022622E" w:rsidRDefault="003B0864" w:rsidP="00B347C4">
                    <w:pPr>
                      <w:rPr>
                        <w:rFonts w:ascii="ＭＳ ゴシック" w:eastAsia="ＭＳ ゴシック" w:hAnsi="ＭＳ ゴシック"/>
                        <w:sz w:val="14"/>
                        <w:szCs w:val="14"/>
                      </w:rPr>
                    </w:pPr>
                    <w:r>
                      <w:rPr>
                        <w:rFonts w:ascii="ＭＳ ゴシック" w:eastAsia="ＭＳ ゴシック" w:hAnsi="ＭＳ ゴシック" w:hint="eastAsia"/>
                        <w:sz w:val="14"/>
                        <w:szCs w:val="14"/>
                      </w:rPr>
                      <w:t>c</w:t>
                    </w:r>
                    <w:r w:rsidRPr="0022622E">
                      <w:rPr>
                        <w:rFonts w:ascii="ＭＳ ゴシック" w:eastAsia="ＭＳ ゴシック" w:hAnsi="ＭＳ ゴシック" w:hint="eastAsia"/>
                        <w:sz w:val="14"/>
                        <w:szCs w:val="14"/>
                      </w:rPr>
                      <w:t>)</w:t>
                    </w:r>
                  </w:p>
                </w:txbxContent>
              </v:textbox>
            </v:shape>
            <v:shape id="_x0000_s3389" type="#_x0000_t202" style="position:absolute;left:4663;top:4491;width:541;height:374" filled="f" stroked="f">
              <v:textbox style="mso-next-textbox:#_x0000_s3389" inset="5.85pt,.7pt,5.85pt,.7pt">
                <w:txbxContent>
                  <w:p w14:paraId="216A8099" w14:textId="77777777" w:rsidR="003B0864" w:rsidRPr="0022622E" w:rsidRDefault="003B0864" w:rsidP="00B347C4">
                    <w:pPr>
                      <w:rPr>
                        <w:rFonts w:ascii="ＭＳ ゴシック" w:eastAsia="ＭＳ ゴシック" w:hAnsi="ＭＳ ゴシック"/>
                        <w:sz w:val="14"/>
                        <w:szCs w:val="14"/>
                      </w:rPr>
                    </w:pPr>
                    <w:r>
                      <w:rPr>
                        <w:rFonts w:ascii="ＭＳ ゴシック" w:eastAsia="ＭＳ ゴシック" w:hAnsi="ＭＳ ゴシック" w:hint="eastAsia"/>
                        <w:sz w:val="14"/>
                        <w:szCs w:val="14"/>
                      </w:rPr>
                      <w:t>c</w:t>
                    </w:r>
                    <w:r w:rsidRPr="0022622E">
                      <w:rPr>
                        <w:rFonts w:ascii="ＭＳ ゴシック" w:eastAsia="ＭＳ ゴシック" w:hAnsi="ＭＳ ゴシック" w:hint="eastAsia"/>
                        <w:sz w:val="14"/>
                        <w:szCs w:val="14"/>
                      </w:rPr>
                      <w:t>)</w:t>
                    </w:r>
                  </w:p>
                </w:txbxContent>
              </v:textbox>
            </v:shape>
            <v:shape id="_x0000_s3388" type="#_x0000_t202" style="position:absolute;left:8915;top:3932;width:585;height:374" filled="f" stroked="f">
              <v:textbox style="layout-flow:vertical;mso-layout-flow-alt:bottom-to-top;mso-next-textbox:#_x0000_s3388" inset="5.85pt,.7pt,5.85pt,.7pt">
                <w:txbxContent>
                  <w:p w14:paraId="2083316A" w14:textId="77777777" w:rsidR="003B0864" w:rsidRPr="0022622E" w:rsidRDefault="003B0864" w:rsidP="00B347C4">
                    <w:pPr>
                      <w:rPr>
                        <w:rFonts w:ascii="ＭＳ ゴシック" w:eastAsia="ＭＳ ゴシック" w:hAnsi="ＭＳ ゴシック"/>
                        <w:sz w:val="14"/>
                        <w:szCs w:val="14"/>
                      </w:rPr>
                    </w:pPr>
                    <w:r>
                      <w:rPr>
                        <w:rFonts w:ascii="ＭＳ ゴシック" w:eastAsia="ＭＳ ゴシック" w:hAnsi="ＭＳ ゴシック" w:hint="eastAsia"/>
                        <w:sz w:val="14"/>
                        <w:szCs w:val="14"/>
                      </w:rPr>
                      <w:t>d</w:t>
                    </w:r>
                    <w:r w:rsidRPr="0022622E">
                      <w:rPr>
                        <w:rFonts w:ascii="ＭＳ ゴシック" w:eastAsia="ＭＳ ゴシック" w:hAnsi="ＭＳ ゴシック" w:hint="eastAsia"/>
                        <w:sz w:val="14"/>
                        <w:szCs w:val="14"/>
                      </w:rPr>
                      <w:t>)</w:t>
                    </w:r>
                  </w:p>
                </w:txbxContent>
              </v:textbox>
            </v:shape>
            <v:shape id="_x0000_s3387" type="#_x0000_t202" style="position:absolute;left:5175;top:4307;width:585;height:374" filled="f" stroked="f">
              <v:textbox style="layout-flow:vertical;mso-layout-flow-alt:bottom-to-top;mso-next-textbox:#_x0000_s3387" inset="5.85pt,.7pt,5.85pt,.7pt">
                <w:txbxContent>
                  <w:p w14:paraId="24B025E9" w14:textId="77777777" w:rsidR="003B0864" w:rsidRPr="0022622E" w:rsidRDefault="003B0864" w:rsidP="00B347C4">
                    <w:pPr>
                      <w:rPr>
                        <w:rFonts w:ascii="ＭＳ ゴシック" w:eastAsia="ＭＳ ゴシック" w:hAnsi="ＭＳ ゴシック"/>
                        <w:sz w:val="14"/>
                        <w:szCs w:val="14"/>
                      </w:rPr>
                    </w:pPr>
                    <w:r>
                      <w:rPr>
                        <w:rFonts w:ascii="ＭＳ ゴシック" w:eastAsia="ＭＳ ゴシック" w:hAnsi="ＭＳ ゴシック" w:hint="eastAsia"/>
                        <w:sz w:val="14"/>
                        <w:szCs w:val="14"/>
                      </w:rPr>
                      <w:t>d</w:t>
                    </w:r>
                    <w:r w:rsidRPr="0022622E">
                      <w:rPr>
                        <w:rFonts w:ascii="ＭＳ ゴシック" w:eastAsia="ＭＳ ゴシック" w:hAnsi="ＭＳ ゴシック" w:hint="eastAsia"/>
                        <w:sz w:val="14"/>
                        <w:szCs w:val="14"/>
                      </w:rPr>
                      <w:t>)</w:t>
                    </w:r>
                  </w:p>
                </w:txbxContent>
              </v:textbox>
            </v:shape>
            <w10:anchorlock/>
          </v:group>
          <o:OLEObject Type="Embed" ProgID="Photoshop.Image.6" ShapeID="_x0000_s3397" DrawAspect="Content" ObjectID="_1731233644" r:id="rId95">
            <o:FieldCodes>\s</o:FieldCodes>
          </o:OLEObject>
        </w:pict>
      </w:r>
    </w:p>
    <w:p w14:paraId="46A59116" w14:textId="77777777" w:rsidR="00B347C4" w:rsidRPr="00BC31E0" w:rsidRDefault="00B347C4" w:rsidP="00CD453D">
      <w:pPr>
        <w:autoSpaceDE w:val="0"/>
        <w:autoSpaceDN w:val="0"/>
        <w:jc w:val="left"/>
        <w:rPr>
          <w:szCs w:val="20"/>
        </w:rPr>
      </w:pPr>
    </w:p>
    <w:p w14:paraId="58BBE08B" w14:textId="77777777" w:rsidR="00B347C4" w:rsidRPr="00BC31E0" w:rsidRDefault="00B347C4" w:rsidP="00CD453D">
      <w:pPr>
        <w:autoSpaceDE w:val="0"/>
        <w:autoSpaceDN w:val="0"/>
        <w:jc w:val="left"/>
        <w:rPr>
          <w:szCs w:val="20"/>
        </w:rPr>
      </w:pPr>
      <w:r w:rsidRPr="00BC31E0">
        <w:rPr>
          <w:rFonts w:ascii="ＭＳ ゴシック" w:eastAsia="ＭＳ ゴシック" w:hAnsi="ＭＳ ゴシック" w:hint="eastAsia"/>
          <w:b/>
          <w:bCs/>
          <w:szCs w:val="20"/>
        </w:rPr>
        <w:t xml:space="preserve">　　注記 1</w:t>
      </w:r>
      <w:r w:rsidRPr="00BC31E0">
        <w:rPr>
          <w:rFonts w:hint="eastAsia"/>
          <w:b/>
          <w:bCs/>
          <w:szCs w:val="20"/>
        </w:rPr>
        <w:t xml:space="preserve">　</w:t>
      </w:r>
      <w:r w:rsidRPr="00BC31E0">
        <w:rPr>
          <w:rFonts w:hint="eastAsia"/>
          <w:szCs w:val="20"/>
        </w:rPr>
        <w:t>図中の記号は，次による。</w:t>
      </w:r>
    </w:p>
    <w:p w14:paraId="3AA20F62" w14:textId="77777777" w:rsidR="00B347C4" w:rsidRPr="00BC31E0" w:rsidRDefault="00B347C4" w:rsidP="00CD453D">
      <w:pPr>
        <w:tabs>
          <w:tab w:val="left" w:pos="1560"/>
        </w:tabs>
        <w:autoSpaceDE w:val="0"/>
        <w:autoSpaceDN w:val="0"/>
        <w:ind w:firstLineChars="300" w:firstLine="630"/>
        <w:jc w:val="left"/>
        <w:rPr>
          <w:szCs w:val="20"/>
        </w:rPr>
      </w:pPr>
      <w:r w:rsidRPr="00BC31E0">
        <w:rPr>
          <w:rFonts w:hint="eastAsia"/>
          <w:szCs w:val="20"/>
        </w:rPr>
        <w:t xml:space="preserve">　　　</w:t>
      </w:r>
      <m:oMath>
        <m:sSub>
          <m:sSubPr>
            <m:ctrlPr>
              <w:rPr>
                <w:rFonts w:ascii="Cambria Math" w:hAnsi="Cambria Math"/>
                <w:i/>
                <w:szCs w:val="20"/>
                <w:vertAlign w:val="subscript"/>
              </w:rPr>
            </m:ctrlPr>
          </m:sSubPr>
          <m:e>
            <m:r>
              <w:rPr>
                <w:rFonts w:ascii="Cambria Math" w:hAnsi="Cambria Math"/>
                <w:szCs w:val="20"/>
                <w:vertAlign w:val="subscript"/>
              </w:rPr>
              <m:t>t</m:t>
            </m:r>
          </m:e>
          <m:sub>
            <m:r>
              <w:rPr>
                <w:rFonts w:ascii="Cambria Math" w:hAnsi="Cambria Math"/>
                <w:szCs w:val="20"/>
                <w:vertAlign w:val="subscript"/>
              </w:rPr>
              <m:t>n</m:t>
            </m:r>
          </m:sub>
        </m:sSub>
      </m:oMath>
      <w:r w:rsidRPr="00BC31E0">
        <w:rPr>
          <w:rFonts w:hint="eastAsia"/>
          <w:szCs w:val="20"/>
        </w:rPr>
        <w:tab/>
        <w:t xml:space="preserve">: </w:t>
      </w:r>
      <w:r w:rsidRPr="00BC31E0">
        <w:rPr>
          <w:rFonts w:hint="eastAsia"/>
          <w:szCs w:val="20"/>
        </w:rPr>
        <w:t>ノズルネックの呼び厚さ</w:t>
      </w:r>
      <w:r w:rsidRPr="00BC31E0">
        <w:rPr>
          <w:rFonts w:hint="eastAsia"/>
          <w:szCs w:val="20"/>
        </w:rPr>
        <w:t>(</w:t>
      </w:r>
      <w:r w:rsidRPr="00BC31E0">
        <w:rPr>
          <w:rFonts w:ascii="Cambria Math" w:hAnsi="Cambria Math"/>
          <w:szCs w:val="20"/>
        </w:rPr>
        <w:t>mm</w:t>
      </w:r>
      <w:r w:rsidRPr="00BC31E0">
        <w:rPr>
          <w:rFonts w:hint="eastAsia"/>
          <w:szCs w:val="20"/>
        </w:rPr>
        <w:t>)</w:t>
      </w:r>
    </w:p>
    <w:p w14:paraId="7635091A" w14:textId="77777777" w:rsidR="00B347C4" w:rsidRPr="00BC31E0" w:rsidRDefault="00B347C4" w:rsidP="00CD453D">
      <w:pPr>
        <w:tabs>
          <w:tab w:val="left" w:pos="1560"/>
        </w:tabs>
        <w:autoSpaceDE w:val="0"/>
        <w:autoSpaceDN w:val="0"/>
        <w:ind w:firstLineChars="300" w:firstLine="630"/>
        <w:jc w:val="left"/>
        <w:rPr>
          <w:szCs w:val="20"/>
        </w:rPr>
      </w:pPr>
      <w:r w:rsidRPr="00BC31E0">
        <w:rPr>
          <w:rFonts w:hint="eastAsia"/>
          <w:szCs w:val="20"/>
        </w:rPr>
        <w:t xml:space="preserve">　　　</w:t>
      </w:r>
      <m:oMath>
        <m:sSub>
          <m:sSubPr>
            <m:ctrlPr>
              <w:rPr>
                <w:rFonts w:ascii="Cambria Math" w:hAnsi="Cambria Math"/>
                <w:i/>
                <w:szCs w:val="20"/>
                <w:vertAlign w:val="subscript"/>
              </w:rPr>
            </m:ctrlPr>
          </m:sSubPr>
          <m:e>
            <m:r>
              <w:rPr>
                <w:rFonts w:ascii="Cambria Math" w:hAnsi="Cambria Math"/>
                <w:szCs w:val="20"/>
                <w:vertAlign w:val="subscript"/>
              </w:rPr>
              <m:t>t</m:t>
            </m:r>
          </m:e>
          <m:sub>
            <m:r>
              <w:rPr>
                <w:rFonts w:ascii="Cambria Math" w:hAnsi="Cambria Math"/>
                <w:szCs w:val="20"/>
                <w:vertAlign w:val="subscript"/>
              </w:rPr>
              <m:t>rn</m:t>
            </m:r>
          </m:sub>
        </m:sSub>
      </m:oMath>
      <w:r w:rsidRPr="00BC31E0">
        <w:rPr>
          <w:rFonts w:hint="eastAsia"/>
          <w:szCs w:val="20"/>
          <w:vertAlign w:val="subscript"/>
        </w:rPr>
        <w:t xml:space="preserve"> </w:t>
      </w:r>
      <w:r w:rsidRPr="00BC31E0">
        <w:rPr>
          <w:rFonts w:hint="eastAsia"/>
          <w:szCs w:val="20"/>
          <w:vertAlign w:val="subscript"/>
        </w:rPr>
        <w:tab/>
      </w:r>
      <w:r w:rsidRPr="00BC31E0">
        <w:rPr>
          <w:rFonts w:hint="eastAsia"/>
          <w:szCs w:val="20"/>
        </w:rPr>
        <w:t xml:space="preserve">: </w:t>
      </w:r>
      <w:r w:rsidRPr="00BC31E0">
        <w:rPr>
          <w:rFonts w:hint="eastAsia"/>
          <w:szCs w:val="20"/>
        </w:rPr>
        <w:t>ノズルの設計厚さ</w:t>
      </w:r>
      <w:r w:rsidRPr="00BC31E0">
        <w:rPr>
          <w:rFonts w:hint="eastAsia"/>
          <w:szCs w:val="20"/>
        </w:rPr>
        <w:t>(</w:t>
      </w:r>
      <w:r w:rsidRPr="00BC31E0">
        <w:rPr>
          <w:rFonts w:ascii="Cambria Math" w:hAnsi="Cambria Math"/>
          <w:szCs w:val="20"/>
        </w:rPr>
        <w:t>mm</w:t>
      </w:r>
      <w:r w:rsidRPr="00BC31E0">
        <w:rPr>
          <w:rFonts w:hint="eastAsia"/>
          <w:szCs w:val="20"/>
        </w:rPr>
        <w:t>)</w:t>
      </w:r>
    </w:p>
    <w:p w14:paraId="6BAB16DD" w14:textId="77777777" w:rsidR="00B347C4" w:rsidRPr="00BC31E0" w:rsidRDefault="00B347C4" w:rsidP="00CD453D">
      <w:pPr>
        <w:autoSpaceDE w:val="0"/>
        <w:autoSpaceDN w:val="0"/>
        <w:jc w:val="left"/>
        <w:rPr>
          <w:szCs w:val="20"/>
        </w:rPr>
      </w:pPr>
      <w:r w:rsidRPr="00BC31E0">
        <w:rPr>
          <w:rFonts w:ascii="ＭＳ ゴシック" w:eastAsia="ＭＳ ゴシック" w:hAnsi="ＭＳ ゴシック" w:hint="eastAsia"/>
          <w:b/>
          <w:szCs w:val="20"/>
        </w:rPr>
        <w:t xml:space="preserve">　　注</w:t>
      </w:r>
      <w:r w:rsidRPr="00BC31E0">
        <w:rPr>
          <w:rFonts w:ascii="ＭＳ ゴシック" w:eastAsia="ＭＳ ゴシック" w:hAnsi="ＭＳ ゴシック" w:hint="eastAsia"/>
          <w:b/>
          <w:szCs w:val="20"/>
          <w:vertAlign w:val="superscript"/>
        </w:rPr>
        <w:t>c)</w:t>
      </w:r>
      <w:r w:rsidRPr="00BC31E0">
        <w:rPr>
          <w:rFonts w:ascii="ＭＳ ゴシック" w:eastAsia="ＭＳ ゴシック" w:hAnsi="ＭＳ ゴシック" w:hint="eastAsia"/>
          <w:b/>
          <w:szCs w:val="20"/>
        </w:rPr>
        <w:t xml:space="preserve">   </w:t>
      </w:r>
      <w:r w:rsidRPr="00BC31E0">
        <w:rPr>
          <w:rFonts w:ascii="ＭＳ ゴシック" w:eastAsia="ＭＳ ゴシック" w:hAnsi="ＭＳ ゴシック" w:hint="eastAsia"/>
          <w:b/>
          <w:bCs/>
          <w:sz w:val="16"/>
          <w:szCs w:val="16"/>
          <w:vertAlign w:val="superscript"/>
        </w:rPr>
        <w:t xml:space="preserve">  </w:t>
      </w:r>
      <w:r w:rsidRPr="00BC31E0">
        <w:rPr>
          <w:rFonts w:hint="eastAsia"/>
          <w:szCs w:val="20"/>
        </w:rPr>
        <w:t>溶接開先は例として示したにすぎない。</w:t>
      </w:r>
    </w:p>
    <w:p w14:paraId="1D991632" w14:textId="77777777" w:rsidR="00B347C4" w:rsidRPr="00BC31E0" w:rsidRDefault="00B347C4" w:rsidP="00CD453D">
      <w:pPr>
        <w:autoSpaceDE w:val="0"/>
        <w:autoSpaceDN w:val="0"/>
        <w:jc w:val="left"/>
        <w:rPr>
          <w:szCs w:val="20"/>
        </w:rPr>
      </w:pPr>
      <w:r w:rsidRPr="00BC31E0">
        <w:rPr>
          <w:rFonts w:ascii="ＭＳ ゴシック" w:eastAsia="ＭＳ ゴシック" w:hAnsi="ＭＳ ゴシック" w:hint="eastAsia"/>
          <w:b/>
          <w:szCs w:val="20"/>
        </w:rPr>
        <w:t xml:space="preserve">　　注</w:t>
      </w:r>
      <w:r w:rsidRPr="00BC31E0">
        <w:rPr>
          <w:rFonts w:ascii="ＭＳ ゴシック" w:eastAsia="ＭＳ ゴシック" w:hAnsi="ＭＳ ゴシック" w:hint="eastAsia"/>
          <w:b/>
          <w:szCs w:val="20"/>
          <w:vertAlign w:val="superscript"/>
        </w:rPr>
        <w:t>d)</w:t>
      </w:r>
      <w:r w:rsidRPr="00BC31E0">
        <w:rPr>
          <w:rFonts w:ascii="ＭＳ ゴシック" w:eastAsia="ＭＳ ゴシック" w:hAnsi="ＭＳ ゴシック" w:hint="eastAsia"/>
          <w:b/>
          <w:szCs w:val="20"/>
        </w:rPr>
        <w:t xml:space="preserve">    </w:t>
      </w:r>
      <m:oMath>
        <m:sSub>
          <m:sSubPr>
            <m:ctrlPr>
              <w:rPr>
                <w:rFonts w:ascii="Cambria Math" w:eastAsia="ＭＳ ゴシック" w:hAnsi="Cambria Math"/>
                <w:i/>
                <w:szCs w:val="20"/>
                <w:vertAlign w:val="subscript"/>
              </w:rPr>
            </m:ctrlPr>
          </m:sSubPr>
          <m:e>
            <m:r>
              <w:rPr>
                <w:rFonts w:ascii="Cambria Math" w:eastAsia="ＭＳ ゴシック" w:hAnsi="Cambria Math"/>
                <w:szCs w:val="20"/>
                <w:vertAlign w:val="subscript"/>
              </w:rPr>
              <m:t>t</m:t>
            </m:r>
          </m:e>
          <m:sub>
            <m:r>
              <w:rPr>
                <w:rFonts w:ascii="Cambria Math" w:eastAsia="ＭＳ ゴシック" w:hAnsi="Cambria Math"/>
                <w:szCs w:val="20"/>
                <w:vertAlign w:val="subscript"/>
              </w:rPr>
              <m:t>l</m:t>
            </m:r>
          </m:sub>
        </m:sSub>
        <m:r>
          <w:rPr>
            <w:rFonts w:ascii="Cambria Math" w:eastAsia="ＭＳ ゴシック" w:hAnsi="Cambria Math"/>
            <w:szCs w:val="20"/>
            <w:vertAlign w:val="subscript"/>
          </w:rPr>
          <m:t xml:space="preserve"> </m:t>
        </m:r>
      </m:oMath>
      <w:r w:rsidRPr="00BC31E0">
        <w:rPr>
          <w:rFonts w:hint="eastAsia"/>
          <w:szCs w:val="20"/>
        </w:rPr>
        <w:t>は</w:t>
      </w:r>
      <m:oMath>
        <m:r>
          <m:rPr>
            <m:sty m:val="p"/>
          </m:rPr>
          <w:rPr>
            <w:rFonts w:ascii="Cambria Math" w:hAnsi="Cambria Math"/>
            <w:szCs w:val="20"/>
          </w:rPr>
          <m:t xml:space="preserve"> </m:t>
        </m:r>
        <m:r>
          <w:rPr>
            <w:rFonts w:ascii="Cambria Math" w:hAnsi="Cambria Math"/>
            <w:szCs w:val="20"/>
            <w:vertAlign w:val="subscript"/>
          </w:rPr>
          <m:t>0.8</m:t>
        </m:r>
        <m:sSub>
          <m:sSubPr>
            <m:ctrlPr>
              <w:rPr>
                <w:rFonts w:ascii="Cambria Math" w:hAnsi="Cambria Math"/>
                <w:i/>
                <w:szCs w:val="20"/>
                <w:vertAlign w:val="subscript"/>
              </w:rPr>
            </m:ctrlPr>
          </m:sSubPr>
          <m:e>
            <m:r>
              <w:rPr>
                <w:rFonts w:ascii="Cambria Math" w:hAnsi="Cambria Math"/>
                <w:szCs w:val="20"/>
                <w:vertAlign w:val="subscript"/>
              </w:rPr>
              <m:t xml:space="preserve"> t</m:t>
            </m:r>
          </m:e>
          <m:sub>
            <m:r>
              <w:rPr>
                <w:rFonts w:ascii="Cambria Math" w:hAnsi="Cambria Math"/>
                <w:szCs w:val="20"/>
                <w:vertAlign w:val="subscript"/>
              </w:rPr>
              <m:t>n</m:t>
            </m:r>
          </m:sub>
        </m:sSub>
        <m:r>
          <w:rPr>
            <w:rFonts w:ascii="Cambria Math" w:hAnsi="Cambria Math"/>
            <w:szCs w:val="20"/>
            <w:vertAlign w:val="subscript"/>
          </w:rPr>
          <m:t xml:space="preserve"> </m:t>
        </m:r>
      </m:oMath>
      <w:r w:rsidRPr="00BC31E0">
        <w:rPr>
          <w:rFonts w:hint="eastAsia"/>
          <w:szCs w:val="20"/>
        </w:rPr>
        <w:t>又は外部配管の最小厚さのうち，いずれか大きい方の値とする。</w:t>
      </w:r>
    </w:p>
    <w:p w14:paraId="14F54406" w14:textId="77777777" w:rsidR="00B347C4" w:rsidRPr="00BC31E0" w:rsidRDefault="00B347C4" w:rsidP="00CD453D">
      <w:pPr>
        <w:autoSpaceDE w:val="0"/>
        <w:autoSpaceDN w:val="0"/>
        <w:jc w:val="left"/>
        <w:rPr>
          <w:szCs w:val="20"/>
        </w:rPr>
      </w:pPr>
    </w:p>
    <w:p w14:paraId="203F5513" w14:textId="77777777" w:rsidR="00B347C4" w:rsidRPr="00BC31E0" w:rsidRDefault="00B347C4" w:rsidP="00CD453D">
      <w:pPr>
        <w:pStyle w:val="af4"/>
        <w:rPr>
          <w:rFonts w:ascii="ＭＳ 明朝" w:hAnsi="ＭＳ 明朝"/>
          <w:vertAlign w:val="superscript"/>
        </w:rPr>
      </w:pPr>
      <w:r w:rsidRPr="00BC31E0">
        <w:rPr>
          <w:rFonts w:hint="eastAsia"/>
        </w:rPr>
        <w:t>図6.10.3　厚さの薄い外部配管とノズルネックの継手</w:t>
      </w:r>
    </w:p>
    <w:p w14:paraId="38AF8AE7" w14:textId="77777777" w:rsidR="00B347C4" w:rsidRPr="00BC31E0" w:rsidRDefault="00B347C4" w:rsidP="00CD453D">
      <w:pPr>
        <w:rPr>
          <w:rFonts w:ascii="ＭＳ 明朝" w:hAnsi="ＭＳ 明朝"/>
          <w:szCs w:val="20"/>
        </w:rPr>
      </w:pPr>
    </w:p>
    <w:p w14:paraId="417080F5" w14:textId="77777777" w:rsidR="00FC657D" w:rsidRPr="00BC31E0" w:rsidRDefault="00FC657D">
      <w:pPr>
        <w:widowControl/>
        <w:jc w:val="left"/>
        <w:rPr>
          <w:rFonts w:ascii="ＭＳ 明朝" w:hAnsi="ＭＳ 明朝"/>
          <w:szCs w:val="20"/>
        </w:rPr>
      </w:pPr>
      <w:r w:rsidRPr="00BC31E0">
        <w:rPr>
          <w:rFonts w:ascii="ＭＳ 明朝" w:hAnsi="ＭＳ 明朝"/>
          <w:szCs w:val="20"/>
        </w:rPr>
        <w:br w:type="page"/>
      </w:r>
    </w:p>
    <w:p w14:paraId="141003F5" w14:textId="77777777" w:rsidR="00B347C4" w:rsidRPr="00BC31E0" w:rsidRDefault="00A51873" w:rsidP="00CD453D">
      <w:pPr>
        <w:autoSpaceDE w:val="0"/>
        <w:autoSpaceDN w:val="0"/>
        <w:jc w:val="center"/>
      </w:pPr>
      <w:r>
        <w:pict w14:anchorId="17AB847D">
          <v:group id="_x0000_s3374" style="width:374.2pt;height:113.15pt;mso-position-horizontal-relative:char;mso-position-vertical-relative:line" coordorigin="2297,4055" coordsize="7484,2596" o:allowincell="f">
            <v:shape id="_x0000_s3385" type="#_x0000_t75" style="position:absolute;left:2297;top:4055;width:7125;height:2596">
              <v:imagedata r:id="rId96" o:title=""/>
            </v:shape>
            <v:shape id="_x0000_s3384" type="#_x0000_t202" style="position:absolute;left:7530;top:4329;width:639;height:646" filled="f" stroked="f">
              <v:textbox style="mso-next-textbox:#_x0000_s3384">
                <w:txbxContent>
                  <w:p w14:paraId="78A27990" w14:textId="77777777" w:rsidR="003B0864" w:rsidRPr="005465E7" w:rsidRDefault="003B0864" w:rsidP="00B347C4">
                    <w:pPr>
                      <w:rPr>
                        <w:rFonts w:ascii="ＭＳ Ｐゴシック" w:eastAsia="ＭＳ Ｐゴシック" w:hAnsi="ＭＳ Ｐゴシック"/>
                        <w:i/>
                        <w:sz w:val="16"/>
                      </w:rPr>
                    </w:pPr>
                    <w:r>
                      <w:rPr>
                        <w:rFonts w:ascii="ＭＳ Ｐゴシック" w:eastAsia="ＭＳ Ｐゴシック" w:hAnsi="ＭＳ Ｐゴシック" w:hint="eastAsia"/>
                        <w:i/>
                        <w:sz w:val="16"/>
                      </w:rPr>
                      <w:t>13</w:t>
                    </w:r>
                  </w:p>
                </w:txbxContent>
              </v:textbox>
            </v:shape>
            <v:group id="_x0000_s3381" style="position:absolute;left:3974;top:4871;width:945;height:363" coordorigin="3203,10341" coordsize="945,363">
              <v:line id="_x0000_s3383" style="position:absolute;flip:x" from="3203,10701" to="3833,10701">
                <v:stroke endarrow="block" endarrowwidth="narrow"/>
              </v:line>
              <v:shape id="_x0000_s3382" type="#_x0000_t202" style="position:absolute;left:3518;top:10341;width:630;height:363" filled="f" stroked="f">
                <v:textbox style="mso-next-textbox:#_x0000_s3382" inset="5.85pt,.7pt,5.85pt,.7pt">
                  <w:txbxContent>
                    <w:p w14:paraId="0C462AD7" w14:textId="77777777" w:rsidR="003B0864" w:rsidRPr="00692D17" w:rsidRDefault="003B0864" w:rsidP="00B347C4">
                      <w:pPr>
                        <w:rPr>
                          <w:rFonts w:ascii="ＭＳ Ｐゴシック" w:eastAsia="ＭＳ Ｐゴシック" w:hAnsi="ＭＳ Ｐゴシック"/>
                          <w:i/>
                          <w:sz w:val="17"/>
                          <w:szCs w:val="17"/>
                        </w:rPr>
                      </w:pPr>
                      <w:r w:rsidRPr="00692D17">
                        <w:rPr>
                          <w:rFonts w:ascii="ＭＳ Ｐゴシック" w:eastAsia="ＭＳ Ｐゴシック" w:hAnsi="ＭＳ Ｐゴシック" w:hint="eastAsia"/>
                          <w:i/>
                          <w:sz w:val="17"/>
                          <w:szCs w:val="17"/>
                        </w:rPr>
                        <w:t>D</w:t>
                      </w:r>
                      <w:r w:rsidRPr="00692D17">
                        <w:rPr>
                          <w:rFonts w:ascii="ＭＳ Ｐゴシック" w:eastAsia="ＭＳ Ｐゴシック" w:hAnsi="ＭＳ Ｐゴシック" w:hint="eastAsia"/>
                          <w:i/>
                          <w:sz w:val="17"/>
                          <w:szCs w:val="17"/>
                          <w:vertAlign w:val="subscript"/>
                        </w:rPr>
                        <w:t>H</w:t>
                      </w:r>
                    </w:p>
                  </w:txbxContent>
                </v:textbox>
              </v:shape>
            </v:group>
            <v:group id="_x0000_s3378" style="position:absolute;left:6346;top:4794;width:945;height:363" coordorigin="3203,10341" coordsize="945,363">
              <v:line id="_x0000_s3380" style="position:absolute;flip:x" from="3203,10701" to="3833,10701">
                <v:stroke endarrow="block" endarrowwidth="narrow"/>
              </v:line>
              <v:shape id="_x0000_s3379" type="#_x0000_t202" style="position:absolute;left:3518;top:10341;width:630;height:363" filled="f" stroked="f">
                <v:textbox style="mso-next-textbox:#_x0000_s3379" inset="5.85pt,.7pt,5.85pt,.7pt">
                  <w:txbxContent>
                    <w:p w14:paraId="6E9CFA33" w14:textId="77777777" w:rsidR="003B0864" w:rsidRPr="00692D17" w:rsidRDefault="003B0864" w:rsidP="00B347C4">
                      <w:pPr>
                        <w:rPr>
                          <w:rFonts w:ascii="ＭＳ Ｐゴシック" w:eastAsia="ＭＳ Ｐゴシック" w:hAnsi="ＭＳ Ｐゴシック"/>
                          <w:i/>
                          <w:sz w:val="17"/>
                          <w:szCs w:val="17"/>
                        </w:rPr>
                      </w:pPr>
                      <w:r w:rsidRPr="00692D17">
                        <w:rPr>
                          <w:rFonts w:ascii="ＭＳ Ｐゴシック" w:eastAsia="ＭＳ Ｐゴシック" w:hAnsi="ＭＳ Ｐゴシック" w:hint="eastAsia"/>
                          <w:i/>
                          <w:sz w:val="17"/>
                          <w:szCs w:val="17"/>
                        </w:rPr>
                        <w:t>D</w:t>
                      </w:r>
                      <w:r w:rsidRPr="00692D17">
                        <w:rPr>
                          <w:rFonts w:ascii="ＭＳ Ｐゴシック" w:eastAsia="ＭＳ Ｐゴシック" w:hAnsi="ＭＳ Ｐゴシック" w:hint="eastAsia"/>
                          <w:i/>
                          <w:sz w:val="17"/>
                          <w:szCs w:val="17"/>
                          <w:vertAlign w:val="subscript"/>
                        </w:rPr>
                        <w:t>H</w:t>
                      </w:r>
                    </w:p>
                  </w:txbxContent>
                </v:textbox>
              </v:shape>
            </v:group>
            <v:group id="_x0000_s3375" style="position:absolute;left:8836;top:4690;width:945;height:363" coordorigin="3203,10341" coordsize="945,363">
              <v:line id="_x0000_s3377" style="position:absolute;flip:x" from="3203,10701" to="3833,10701">
                <v:stroke endarrow="block" endarrowwidth="narrow"/>
              </v:line>
              <v:shape id="_x0000_s3376" type="#_x0000_t202" style="position:absolute;left:3518;top:10341;width:630;height:363" filled="f" stroked="f">
                <v:textbox style="mso-next-textbox:#_x0000_s3376" inset="5.85pt,.7pt,5.85pt,.7pt">
                  <w:txbxContent>
                    <w:p w14:paraId="437710D7" w14:textId="77777777" w:rsidR="003B0864" w:rsidRPr="00692D17" w:rsidRDefault="003B0864" w:rsidP="00B347C4">
                      <w:pPr>
                        <w:rPr>
                          <w:rFonts w:ascii="ＭＳ Ｐゴシック" w:eastAsia="ＭＳ Ｐゴシック" w:hAnsi="ＭＳ Ｐゴシック"/>
                          <w:i/>
                          <w:sz w:val="17"/>
                          <w:szCs w:val="17"/>
                        </w:rPr>
                      </w:pPr>
                      <w:r w:rsidRPr="00692D17">
                        <w:rPr>
                          <w:rFonts w:ascii="ＭＳ Ｐゴシック" w:eastAsia="ＭＳ Ｐゴシック" w:hAnsi="ＭＳ Ｐゴシック" w:hint="eastAsia"/>
                          <w:i/>
                          <w:sz w:val="17"/>
                          <w:szCs w:val="17"/>
                        </w:rPr>
                        <w:t>D</w:t>
                      </w:r>
                      <w:r w:rsidRPr="00692D17">
                        <w:rPr>
                          <w:rFonts w:ascii="ＭＳ Ｐゴシック" w:eastAsia="ＭＳ Ｐゴシック" w:hAnsi="ＭＳ Ｐゴシック" w:hint="eastAsia"/>
                          <w:i/>
                          <w:sz w:val="17"/>
                          <w:szCs w:val="17"/>
                          <w:vertAlign w:val="subscript"/>
                        </w:rPr>
                        <w:t>H</w:t>
                      </w:r>
                    </w:p>
                  </w:txbxContent>
                </v:textbox>
              </v:shape>
            </v:group>
            <w10:wrap anchory="page"/>
            <w10:anchorlock/>
          </v:group>
          <o:OLEObject Type="Embed" ProgID="Photoshop.Image.6" ShapeID="_x0000_s3385" DrawAspect="Content" ObjectID="_1731233645" r:id="rId97">
            <o:FieldCodes>\s</o:FieldCodes>
          </o:OLEObject>
        </w:pict>
      </w:r>
    </w:p>
    <w:p w14:paraId="45749662" w14:textId="77777777" w:rsidR="00B347C4" w:rsidRPr="00BC31E0" w:rsidRDefault="00A51873" w:rsidP="00CD453D">
      <w:pPr>
        <w:autoSpaceDE w:val="0"/>
        <w:autoSpaceDN w:val="0"/>
      </w:pPr>
      <w:r>
        <w:rPr>
          <w:noProof/>
        </w:rPr>
        <w:pict w14:anchorId="2A0669EE">
          <v:group id="グループ化 57" o:spid="_x0000_s3367" style="position:absolute;left:0;text-align:left;margin-left:195.65pt;margin-top:-72.45pt;width:10.2pt;height:25.4pt;z-index:251675136" coordsize="129540,322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">
            <v:rect id="正方形/長方形 58" o:spid="_x0000_s3373" style="position:absolute;top:169545;width:120522;height:1528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" fillcolor="window" stroked="f" strokeweight="2pt"/>
            <v:rect id="正方形/長方形 59" o:spid="_x0000_s3372" style="position:absolute;left:30480;width:68094;height:802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" fillcolor="window" stroked="f" strokeweight="2pt"/>
            <v:line id="直線コネクタ 60" o:spid="_x0000_s3371" style="position:absolute;visibility:visible" from="129540,95250" to="129540,30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" strokecolor="windowText"/>
            <v:shape id="直線矢印コネクタ 61" o:spid="_x0000_s3370" type="#_x0000_t32" style="position:absolute;left:47625;top:264795;width:73626;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" strokecolor="windowText">
              <v:stroke endarrowwidth="narrow"/>
            </v:shape>
            <v:shape id="直線矢印コネクタ 62" o:spid="_x0000_s3369" type="#_x0000_t32" style="position:absolute;left:81915;top:247650;width:39053;height:1666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" strokecolor="windowText">
              <v:stroke endarrowwidth="narrow"/>
            </v:shape>
            <v:shape id="直線矢印コネクタ 63" o:spid="_x0000_s3368" type="#_x0000_t32" style="position:absolute;left:80010;top:264795;width:39053;height:16669;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" strokecolor="windowText">
              <v:stroke endarrowwidth="narrow"/>
            </v:shape>
          </v:group>
        </w:pict>
      </w:r>
      <w:r w:rsidR="00B347C4" w:rsidRPr="00BC31E0">
        <w:rPr>
          <w:rFonts w:hint="eastAsia"/>
        </w:rPr>
        <w:t xml:space="preserve">　　　　　　　　　</w:t>
      </w:r>
      <w:r w:rsidR="00B347C4" w:rsidRPr="00BC31E0">
        <w:rPr>
          <w:rFonts w:hint="eastAsia"/>
        </w:rPr>
        <w:t xml:space="preserve">(a)                     (b)                  </w:t>
      </w:r>
      <w:r w:rsidR="00B347C4" w:rsidRPr="00BC31E0">
        <w:rPr>
          <w:rFonts w:hint="eastAsia"/>
        </w:rPr>
        <w:t xml:space="preserve">　</w:t>
      </w:r>
      <w:r w:rsidR="00B347C4" w:rsidRPr="00BC31E0">
        <w:rPr>
          <w:rFonts w:hint="eastAsia"/>
        </w:rPr>
        <w:t xml:space="preserve"> (c)</w:t>
      </w:r>
    </w:p>
    <w:p w14:paraId="24BA1947" w14:textId="77777777" w:rsidR="00B347C4" w:rsidRPr="00BC31E0" w:rsidRDefault="00B347C4" w:rsidP="00CD453D">
      <w:pPr>
        <w:autoSpaceDE w:val="0"/>
        <w:autoSpaceDN w:val="0"/>
      </w:pPr>
    </w:p>
    <w:p w14:paraId="12686CF2" w14:textId="77777777" w:rsidR="00B347C4" w:rsidRPr="00BC31E0" w:rsidRDefault="00B347C4" w:rsidP="00CD453D">
      <w:pPr>
        <w:autoSpaceDE w:val="0"/>
        <w:autoSpaceDN w:val="0"/>
        <w:jc w:val="center"/>
      </w:pPr>
      <w:r w:rsidRPr="00BC31E0">
        <w:rPr>
          <w:noProof/>
        </w:rPr>
        <w:drawing>
          <wp:inline distT="0" distB="0" distL="0" distR="0" wp14:anchorId="531AA3FB" wp14:editId="4011A9D4">
            <wp:extent cx="4320540" cy="2080260"/>
            <wp:effectExtent l="19050" t="0" r="3810" b="0"/>
            <wp:docPr id="607" name="図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98" cstate="print"/>
                    <a:srcRect/>
                    <a:stretch>
                      <a:fillRect/>
                    </a:stretch>
                  </pic:blipFill>
                  <pic:spPr bwMode="auto">
                    <a:xfrm>
                      <a:off x="0" y="0"/>
                      <a:ext cx="4320540" cy="2080260"/>
                    </a:xfrm>
                    <a:prstGeom prst="rect">
                      <a:avLst/>
                    </a:prstGeom>
                    <a:noFill/>
                    <a:ln w="9525">
                      <a:noFill/>
                      <a:miter lim="800000"/>
                      <a:headEnd/>
                      <a:tailEnd/>
                    </a:ln>
                  </pic:spPr>
                </pic:pic>
              </a:graphicData>
            </a:graphic>
          </wp:inline>
        </w:drawing>
      </w:r>
    </w:p>
    <w:p w14:paraId="4B284393" w14:textId="77777777" w:rsidR="00B347C4" w:rsidRPr="00BC31E0" w:rsidRDefault="00B347C4" w:rsidP="00CD453D">
      <w:pPr>
        <w:autoSpaceDE w:val="0"/>
        <w:autoSpaceDN w:val="0"/>
        <w:jc w:val="center"/>
      </w:pPr>
      <w:r w:rsidRPr="00BC31E0">
        <w:rPr>
          <w:rFonts w:hint="eastAsia"/>
        </w:rPr>
        <w:t>(c</w:t>
      </w:r>
      <w:r w:rsidRPr="00BC31E0">
        <w:rPr>
          <w:rFonts w:ascii="ＭＳ 明朝" w:hAnsi="ＭＳ 明朝" w:hint="eastAsia"/>
        </w:rPr>
        <w:t>-</w:t>
      </w:r>
      <w:r w:rsidRPr="00BC31E0">
        <w:rPr>
          <w:rFonts w:hint="eastAsia"/>
        </w:rPr>
        <w:t>1)</w:t>
      </w:r>
    </w:p>
    <w:p w14:paraId="62B53910" w14:textId="77777777" w:rsidR="00B347C4" w:rsidRPr="00BC31E0" w:rsidRDefault="00B347C4" w:rsidP="00CD453D">
      <w:pPr>
        <w:autoSpaceDE w:val="0"/>
        <w:autoSpaceDN w:val="0"/>
      </w:pPr>
    </w:p>
    <w:p w14:paraId="5D5B12C5" w14:textId="77777777" w:rsidR="00B347C4" w:rsidRPr="00BC31E0" w:rsidRDefault="00B347C4" w:rsidP="00CD453D">
      <w:pPr>
        <w:autoSpaceDE w:val="0"/>
        <w:autoSpaceDN w:val="0"/>
        <w:jc w:val="center"/>
      </w:pPr>
      <w:r w:rsidRPr="00BC31E0">
        <w:rPr>
          <w:noProof/>
        </w:rPr>
        <w:drawing>
          <wp:inline distT="0" distB="0" distL="0" distR="0" wp14:anchorId="00ACF519" wp14:editId="064373B6">
            <wp:extent cx="4412615" cy="1090295"/>
            <wp:effectExtent l="19050" t="0" r="6985" b="0"/>
            <wp:docPr id="608" name="図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99" cstate="print"/>
                    <a:srcRect/>
                    <a:stretch>
                      <a:fillRect/>
                    </a:stretch>
                  </pic:blipFill>
                  <pic:spPr bwMode="auto">
                    <a:xfrm>
                      <a:off x="0" y="0"/>
                      <a:ext cx="4412615" cy="1090295"/>
                    </a:xfrm>
                    <a:prstGeom prst="rect">
                      <a:avLst/>
                    </a:prstGeom>
                    <a:noFill/>
                    <a:ln w="9525">
                      <a:noFill/>
                      <a:miter lim="800000"/>
                      <a:headEnd/>
                      <a:tailEnd/>
                    </a:ln>
                  </pic:spPr>
                </pic:pic>
              </a:graphicData>
            </a:graphic>
          </wp:inline>
        </w:drawing>
      </w:r>
    </w:p>
    <w:p w14:paraId="09EC085B" w14:textId="77777777" w:rsidR="00B347C4" w:rsidRPr="00BC31E0" w:rsidRDefault="00B347C4" w:rsidP="00CD453D">
      <w:pPr>
        <w:autoSpaceDE w:val="0"/>
        <w:autoSpaceDN w:val="0"/>
      </w:pPr>
      <w:r w:rsidRPr="00BC31E0">
        <w:rPr>
          <w:rFonts w:hint="eastAsia"/>
        </w:rPr>
        <w:t xml:space="preserve">             </w:t>
      </w:r>
      <w:r w:rsidRPr="00BC31E0">
        <w:rPr>
          <w:rFonts w:hint="eastAsia"/>
        </w:rPr>
        <w:t xml:space="preserve">　</w:t>
      </w:r>
      <w:r w:rsidRPr="00BC31E0">
        <w:rPr>
          <w:rFonts w:hint="eastAsia"/>
        </w:rPr>
        <w:t xml:space="preserve">  (d)                           (e)</w:t>
      </w:r>
    </w:p>
    <w:p w14:paraId="3F09370B" w14:textId="77777777" w:rsidR="00B347C4" w:rsidRPr="00BC31E0" w:rsidRDefault="00B347C4" w:rsidP="00CD453D">
      <w:pPr>
        <w:autoSpaceDE w:val="0"/>
        <w:autoSpaceDN w:val="0"/>
      </w:pPr>
    </w:p>
    <w:p w14:paraId="5F916C5F" w14:textId="77777777" w:rsidR="00B347C4" w:rsidRPr="00BC31E0" w:rsidRDefault="00B347C4" w:rsidP="00CD453D">
      <w:pPr>
        <w:autoSpaceDE w:val="0"/>
        <w:autoSpaceDN w:val="0"/>
      </w:pPr>
    </w:p>
    <w:p w14:paraId="68F76E5F" w14:textId="77777777" w:rsidR="00B347C4" w:rsidRPr="00BC31E0" w:rsidRDefault="00B347C4" w:rsidP="00CD453D">
      <w:pPr>
        <w:autoSpaceDE w:val="0"/>
        <w:autoSpaceDN w:val="0"/>
        <w:ind w:firstLineChars="300" w:firstLine="632"/>
      </w:pPr>
      <w:r w:rsidRPr="00BC31E0">
        <w:rPr>
          <w:rFonts w:ascii="ＭＳ ゴシック" w:eastAsia="ＭＳ ゴシック" w:hAnsi="ＭＳ 明朝" w:hint="eastAsia"/>
          <w:b/>
          <w:bCs/>
        </w:rPr>
        <w:t>注記 1</w:t>
      </w:r>
      <w:r w:rsidRPr="00BC31E0">
        <w:rPr>
          <w:rFonts w:ascii="ＭＳ ゴシック" w:eastAsia="ＭＳ ゴシック" w:hint="eastAsia"/>
          <w:b/>
          <w:bCs/>
        </w:rPr>
        <w:t xml:space="preserve">　</w:t>
      </w:r>
      <w:r w:rsidRPr="00BC31E0">
        <w:rPr>
          <w:rFonts w:hint="eastAsia"/>
        </w:rPr>
        <w:t>図中の記号は，次による。</w:t>
      </w:r>
    </w:p>
    <w:p w14:paraId="775227FF" w14:textId="77777777" w:rsidR="00B347C4" w:rsidRPr="00BC31E0" w:rsidRDefault="00A51873" w:rsidP="00CD453D">
      <w:pPr>
        <w:tabs>
          <w:tab w:val="left" w:pos="1843"/>
        </w:tabs>
        <w:autoSpaceDE w:val="0"/>
        <w:autoSpaceDN w:val="0"/>
        <w:ind w:left="1474"/>
      </w:pPr>
      <m:oMath>
        <m:sSub>
          <m:sSubPr>
            <m:ctrlPr>
              <w:rPr>
                <w:rFonts w:ascii="Cambria Math" w:hAnsi="Cambria Math"/>
                <w:i/>
                <w:vertAlign w:val="subscript"/>
              </w:rPr>
            </m:ctrlPr>
          </m:sSubPr>
          <m:e>
            <m:r>
              <w:rPr>
                <w:rFonts w:ascii="Cambria Math" w:hAnsi="Cambria Math"/>
                <w:vertAlign w:val="subscript"/>
              </w:rPr>
              <m:t>D</m:t>
            </m:r>
          </m:e>
          <m:sub>
            <m:r>
              <w:rPr>
                <w:rFonts w:ascii="Cambria Math" w:hAnsi="Cambria Math"/>
                <w:vertAlign w:val="subscript"/>
              </w:rPr>
              <m:t>H</m:t>
            </m:r>
          </m:sub>
        </m:sSub>
      </m:oMath>
      <w:r w:rsidR="00B347C4" w:rsidRPr="00BC31E0">
        <w:rPr>
          <w:rFonts w:hint="eastAsia"/>
        </w:rPr>
        <w:tab/>
      </w:r>
      <w:r w:rsidR="00B347C4" w:rsidRPr="00BC31E0">
        <w:rPr>
          <w:rFonts w:hint="eastAsia"/>
        </w:rPr>
        <w:t>：</w:t>
      </w:r>
      <w:r w:rsidR="00B347C4" w:rsidRPr="00BC31E0">
        <w:rPr>
          <w:rFonts w:hint="eastAsia"/>
        </w:rPr>
        <w:t xml:space="preserve"> </w:t>
      </w:r>
      <w:r w:rsidR="00B347C4" w:rsidRPr="00BC31E0">
        <w:rPr>
          <w:rFonts w:hint="eastAsia"/>
        </w:rPr>
        <w:t>胴又は鏡板の穴の径</w:t>
      </w:r>
      <w:r w:rsidR="00B347C4" w:rsidRPr="00BC31E0">
        <w:rPr>
          <w:rFonts w:hint="eastAsia"/>
        </w:rPr>
        <w:t>(</w:t>
      </w:r>
      <w:r w:rsidR="00B347C4" w:rsidRPr="00BC31E0">
        <w:rPr>
          <w:rFonts w:ascii="Cambria Math" w:hAnsi="Cambria Math"/>
        </w:rPr>
        <w:t>mm</w:t>
      </w:r>
      <w:r w:rsidR="00B347C4" w:rsidRPr="00BC31E0">
        <w:rPr>
          <w:rFonts w:hint="eastAsia"/>
        </w:rPr>
        <w:t>)</w:t>
      </w:r>
    </w:p>
    <w:p w14:paraId="25D55AA6" w14:textId="77777777" w:rsidR="00B347C4" w:rsidRPr="00BC31E0" w:rsidRDefault="00B347C4" w:rsidP="00CD453D">
      <w:pPr>
        <w:tabs>
          <w:tab w:val="left" w:pos="1843"/>
        </w:tabs>
        <w:autoSpaceDE w:val="0"/>
        <w:autoSpaceDN w:val="0"/>
        <w:ind w:left="1474"/>
      </w:pPr>
      <m:oMath>
        <m:r>
          <w:rPr>
            <w:rFonts w:ascii="Cambria Math" w:hAnsi="Cambria Math"/>
          </w:rPr>
          <m:t>t</m:t>
        </m:r>
      </m:oMath>
      <w:r w:rsidRPr="00BC31E0">
        <w:rPr>
          <w:rFonts w:hint="eastAsia"/>
          <w:szCs w:val="20"/>
        </w:rPr>
        <w:tab/>
      </w:r>
      <w:r w:rsidRPr="00BC31E0">
        <w:rPr>
          <w:rFonts w:hint="eastAsia"/>
        </w:rPr>
        <w:t>：</w:t>
      </w:r>
      <w:r w:rsidRPr="00BC31E0">
        <w:rPr>
          <w:rFonts w:hint="eastAsia"/>
        </w:rPr>
        <w:t xml:space="preserve"> </w:t>
      </w:r>
      <w:r w:rsidRPr="00BC31E0">
        <w:rPr>
          <w:rFonts w:hint="eastAsia"/>
        </w:rPr>
        <w:t>胴又は鏡板の呼び厚さ</w:t>
      </w:r>
      <w:r w:rsidRPr="00BC31E0">
        <w:rPr>
          <w:rFonts w:hint="eastAsia"/>
        </w:rPr>
        <w:t>(</w:t>
      </w:r>
      <w:r w:rsidRPr="00BC31E0">
        <w:rPr>
          <w:rFonts w:ascii="Cambria Math" w:hAnsi="Cambria Math"/>
        </w:rPr>
        <w:t>mm</w:t>
      </w:r>
      <w:r w:rsidRPr="00BC31E0">
        <w:rPr>
          <w:rFonts w:hint="eastAsia"/>
        </w:rPr>
        <w:t>)</w:t>
      </w:r>
    </w:p>
    <w:p w14:paraId="05035345" w14:textId="77777777" w:rsidR="00B347C4" w:rsidRPr="00BC31E0" w:rsidRDefault="00A51873" w:rsidP="00CD453D">
      <w:pPr>
        <w:tabs>
          <w:tab w:val="left" w:pos="1843"/>
        </w:tabs>
        <w:autoSpaceDE w:val="0"/>
        <w:autoSpaceDN w:val="0"/>
        <w:ind w:left="1474"/>
      </w:pPr>
      <m:oMath>
        <m:sSub>
          <m:sSubPr>
            <m:ctrlPr>
              <w:rPr>
                <w:rFonts w:ascii="Cambria Math" w:hAnsi="Cambria Math"/>
                <w:i/>
                <w:vertAlign w:val="subscript"/>
              </w:rPr>
            </m:ctrlPr>
          </m:sSubPr>
          <m:e>
            <m:r>
              <w:rPr>
                <w:rFonts w:ascii="Cambria Math" w:hAnsi="Cambria Math"/>
                <w:vertAlign w:val="subscript"/>
              </w:rPr>
              <m:t>t</m:t>
            </m:r>
          </m:e>
          <m:sub>
            <m:r>
              <w:rPr>
                <w:rFonts w:ascii="Cambria Math" w:hAnsi="Cambria Math"/>
                <w:vertAlign w:val="subscript"/>
              </w:rPr>
              <m:t>n</m:t>
            </m:r>
          </m:sub>
        </m:sSub>
      </m:oMath>
      <w:r w:rsidR="00B347C4" w:rsidRPr="00BC31E0">
        <w:rPr>
          <w:rFonts w:hint="eastAsia"/>
          <w:szCs w:val="20"/>
        </w:rPr>
        <w:tab/>
      </w:r>
      <w:r w:rsidR="00B347C4" w:rsidRPr="00BC31E0">
        <w:rPr>
          <w:rFonts w:hint="eastAsia"/>
        </w:rPr>
        <w:t>：</w:t>
      </w:r>
      <w:r w:rsidR="00B347C4" w:rsidRPr="00BC31E0">
        <w:rPr>
          <w:rFonts w:hint="eastAsia"/>
        </w:rPr>
        <w:t xml:space="preserve"> </w:t>
      </w:r>
      <w:r w:rsidR="00B347C4" w:rsidRPr="00BC31E0">
        <w:rPr>
          <w:rFonts w:hint="eastAsia"/>
        </w:rPr>
        <w:t>ノズルネックの呼び厚さ</w:t>
      </w:r>
      <w:r w:rsidR="00B347C4" w:rsidRPr="00BC31E0">
        <w:rPr>
          <w:rFonts w:hint="eastAsia"/>
        </w:rPr>
        <w:t>(</w:t>
      </w:r>
      <w:r w:rsidR="00B347C4" w:rsidRPr="00BC31E0">
        <w:rPr>
          <w:rFonts w:ascii="Cambria Math" w:hAnsi="Cambria Math"/>
        </w:rPr>
        <w:t>mm</w:t>
      </w:r>
      <w:r w:rsidR="00B347C4" w:rsidRPr="00BC31E0">
        <w:rPr>
          <w:rFonts w:hint="eastAsia"/>
        </w:rPr>
        <w:t>)</w:t>
      </w:r>
    </w:p>
    <w:p w14:paraId="6B9E440C" w14:textId="77777777" w:rsidR="00B347C4" w:rsidRPr="00BC31E0" w:rsidRDefault="00B347C4" w:rsidP="00CD453D">
      <w:pPr>
        <w:autoSpaceDE w:val="0"/>
        <w:autoSpaceDN w:val="0"/>
        <w:ind w:firstLineChars="300" w:firstLine="632"/>
      </w:pPr>
      <w:r w:rsidRPr="00BC31E0">
        <w:rPr>
          <w:rFonts w:ascii="ＭＳ ゴシック" w:eastAsia="ＭＳ ゴシック" w:hAnsi="ＭＳ 明朝" w:hint="eastAsia"/>
          <w:b/>
          <w:bCs/>
        </w:rPr>
        <w:t>注記 2</w:t>
      </w:r>
      <w:r w:rsidRPr="00BC31E0">
        <w:rPr>
          <w:rFonts w:ascii="ＭＳ ゴシック" w:eastAsia="ＭＳ ゴシック" w:hAnsi="ＭＳ ゴシック" w:hint="eastAsia"/>
          <w:b/>
          <w:bCs/>
        </w:rPr>
        <w:t xml:space="preserve">　</w:t>
      </w:r>
      <m:oMath>
        <m:sSub>
          <m:sSubPr>
            <m:ctrlPr>
              <w:rPr>
                <w:rFonts w:ascii="Cambria Math" w:eastAsia="ＭＳ ゴシック" w:hAnsi="Cambria Math"/>
                <w:bCs/>
                <w:i/>
                <w:vertAlign w:val="subscript"/>
              </w:rPr>
            </m:ctrlPr>
          </m:sSubPr>
          <m:e>
            <m:r>
              <w:rPr>
                <w:rFonts w:ascii="Cambria Math" w:eastAsia="ＭＳ ゴシック" w:hAnsi="Cambria Math"/>
                <w:vertAlign w:val="subscript"/>
              </w:rPr>
              <m:t>r</m:t>
            </m:r>
          </m:e>
          <m:sub>
            <m:r>
              <w:rPr>
                <w:rFonts w:ascii="Cambria Math" w:eastAsia="ＭＳ ゴシック" w:hAnsi="Cambria Math"/>
                <w:vertAlign w:val="subscript"/>
              </w:rPr>
              <m:t xml:space="preserve">1 </m:t>
            </m:r>
          </m:sub>
        </m:sSub>
      </m:oMath>
      <w:r w:rsidRPr="00BC31E0">
        <w:rPr>
          <w:rFonts w:hint="eastAsia"/>
        </w:rPr>
        <w:t>は，</w:t>
      </w:r>
      <m:oMath>
        <m:r>
          <w:rPr>
            <w:rFonts w:ascii="Cambria Math" w:hAnsi="Cambria Math"/>
          </w:rPr>
          <m:t xml:space="preserve">0.25 t </m:t>
        </m:r>
      </m:oMath>
      <w:r w:rsidRPr="00BC31E0">
        <w:rPr>
          <w:rFonts w:hint="eastAsia"/>
        </w:rPr>
        <w:t>又は</w:t>
      </w:r>
      <w:r w:rsidRPr="00BC31E0">
        <w:rPr>
          <w:rFonts w:ascii="Cambria Math" w:hAnsi="Cambria Math" w:hint="eastAsia"/>
        </w:rPr>
        <w:t>3</w:t>
      </w:r>
      <w:r w:rsidRPr="00BC31E0">
        <w:rPr>
          <w:rFonts w:ascii="Cambria Math" w:hAnsi="Cambria Math"/>
        </w:rPr>
        <w:t xml:space="preserve"> mm</w:t>
      </w:r>
      <w:r w:rsidRPr="00BC31E0">
        <w:rPr>
          <w:rFonts w:ascii="Cambria Math" w:hAnsi="Cambria Math" w:hint="eastAsia"/>
        </w:rPr>
        <w:t xml:space="preserve"> </w:t>
      </w:r>
      <w:r w:rsidRPr="00BC31E0">
        <w:rPr>
          <w:rFonts w:hint="eastAsia"/>
        </w:rPr>
        <w:t>のいずれか小さい方の値以上とする。</w:t>
      </w:r>
    </w:p>
    <w:p w14:paraId="31A5733A" w14:textId="77777777" w:rsidR="00B347C4" w:rsidRPr="00BC31E0" w:rsidRDefault="00B347C4" w:rsidP="00CD453D">
      <w:pPr>
        <w:autoSpaceDE w:val="0"/>
        <w:autoSpaceDN w:val="0"/>
        <w:ind w:firstLineChars="300" w:firstLine="632"/>
      </w:pPr>
      <w:r w:rsidRPr="00BC31E0">
        <w:rPr>
          <w:rFonts w:ascii="ＭＳ ゴシック" w:eastAsia="ＭＳ ゴシック" w:hAnsi="ＭＳ 明朝" w:hint="eastAsia"/>
          <w:b/>
        </w:rPr>
        <w:t>注記 3</w:t>
      </w:r>
      <w:r w:rsidRPr="00BC31E0">
        <w:rPr>
          <w:rFonts w:hint="eastAsia"/>
        </w:rPr>
        <w:t xml:space="preserve">　</w:t>
      </w:r>
      <m:oMath>
        <m:sSub>
          <m:sSubPr>
            <m:ctrlPr>
              <w:rPr>
                <w:rFonts w:ascii="Cambria Math" w:eastAsia="ＭＳ ゴシック" w:hAnsi="Cambria Math"/>
                <w:bCs/>
                <w:i/>
                <w:vertAlign w:val="subscript"/>
              </w:rPr>
            </m:ctrlPr>
          </m:sSubPr>
          <m:e>
            <m:r>
              <w:rPr>
                <w:rFonts w:ascii="Cambria Math" w:eastAsia="ＭＳ ゴシック" w:hAnsi="Cambria Math"/>
                <w:vertAlign w:val="subscript"/>
              </w:rPr>
              <m:t>r</m:t>
            </m:r>
          </m:e>
          <m:sub>
            <m:r>
              <w:rPr>
                <w:rFonts w:ascii="Cambria Math" w:eastAsia="ＭＳ ゴシック" w:hAnsi="Cambria Math"/>
                <w:vertAlign w:val="subscript"/>
              </w:rPr>
              <m:t xml:space="preserve">2 </m:t>
            </m:r>
          </m:sub>
        </m:sSub>
      </m:oMath>
      <w:r w:rsidRPr="00BC31E0">
        <w:rPr>
          <w:rFonts w:hint="eastAsia"/>
        </w:rPr>
        <w:t>は，</w:t>
      </w:r>
      <m:oMath>
        <m:r>
          <w:rPr>
            <w:rFonts w:ascii="Cambria Math" w:hAnsi="Cambria Math"/>
            <w:vertAlign w:val="subscript"/>
          </w:rPr>
          <m:t>0.25</m:t>
        </m:r>
        <m:sSub>
          <m:sSubPr>
            <m:ctrlPr>
              <w:rPr>
                <w:rFonts w:ascii="Cambria Math" w:hAnsi="Cambria Math"/>
                <w:i/>
                <w:vertAlign w:val="subscript"/>
              </w:rPr>
            </m:ctrlPr>
          </m:sSubPr>
          <m:e>
            <m:r>
              <w:rPr>
                <w:rFonts w:ascii="Cambria Math" w:hAnsi="Cambria Math"/>
                <w:vertAlign w:val="subscript"/>
              </w:rPr>
              <m:t xml:space="preserve"> t</m:t>
            </m:r>
          </m:e>
          <m:sub>
            <m:r>
              <w:rPr>
                <w:rFonts w:ascii="Cambria Math" w:hAnsi="Cambria Math"/>
                <w:vertAlign w:val="subscript"/>
              </w:rPr>
              <m:t>n</m:t>
            </m:r>
          </m:sub>
        </m:sSub>
      </m:oMath>
      <w:r w:rsidRPr="00BC31E0">
        <w:rPr>
          <w:rFonts w:hint="eastAsia"/>
        </w:rPr>
        <w:t>又は</w:t>
      </w:r>
      <w:r w:rsidRPr="00BC31E0">
        <w:rPr>
          <w:rFonts w:hint="eastAsia"/>
        </w:rPr>
        <w:t>19</w:t>
      </w:r>
      <w:r w:rsidRPr="00BC31E0">
        <w:t xml:space="preserve"> </w:t>
      </w:r>
      <w:r w:rsidRPr="00BC31E0">
        <w:rPr>
          <w:rFonts w:ascii="Cambria Math" w:hAnsi="Cambria Math"/>
        </w:rPr>
        <w:t>mm</w:t>
      </w:r>
      <w:r w:rsidRPr="00BC31E0">
        <w:rPr>
          <w:rFonts w:ascii="Cambria Math" w:hAnsi="Cambria Math" w:hint="eastAsia"/>
        </w:rPr>
        <w:t xml:space="preserve"> </w:t>
      </w:r>
      <w:r w:rsidRPr="00BC31E0">
        <w:rPr>
          <w:rFonts w:hint="eastAsia"/>
        </w:rPr>
        <w:t>のいずれか小さい方の値以上とする。</w:t>
      </w:r>
    </w:p>
    <w:p w14:paraId="33423D15" w14:textId="77777777" w:rsidR="00B347C4" w:rsidRPr="00BC31E0" w:rsidRDefault="00B347C4" w:rsidP="00CD453D">
      <w:pPr>
        <w:rPr>
          <w:rFonts w:ascii="ＭＳ ゴシック" w:eastAsia="ＭＳ ゴシック"/>
          <w:b/>
        </w:rPr>
      </w:pPr>
    </w:p>
    <w:p w14:paraId="0F2E0D46" w14:textId="77777777" w:rsidR="00B347C4" w:rsidRPr="00BC31E0" w:rsidRDefault="00B347C4" w:rsidP="00CD453D">
      <w:pPr>
        <w:pStyle w:val="af4"/>
      </w:pPr>
      <w:r w:rsidRPr="00BC31E0">
        <w:rPr>
          <w:rFonts w:hint="eastAsia"/>
        </w:rPr>
        <w:t>図6.10.4　突合せ溶接によるノズルの取付け</w:t>
      </w:r>
    </w:p>
    <w:p w14:paraId="74BFE435" w14:textId="77777777" w:rsidR="00B347C4" w:rsidRPr="00BC31E0" w:rsidRDefault="00B347C4" w:rsidP="00CD453D">
      <w:pPr>
        <w:autoSpaceDE w:val="0"/>
        <w:autoSpaceDN w:val="0"/>
      </w:pPr>
    </w:p>
    <w:p w14:paraId="00A2C4C9" w14:textId="77777777" w:rsidR="00B347C4" w:rsidRPr="00BC31E0" w:rsidRDefault="00A51873" w:rsidP="00CD453D">
      <w:pPr>
        <w:autoSpaceDE w:val="0"/>
        <w:autoSpaceDN w:val="0"/>
        <w:jc w:val="center"/>
        <w:rPr>
          <w:rFonts w:ascii="ＭＳ 明朝" w:hAnsi="ＭＳ 明朝"/>
          <w:b/>
          <w:bCs/>
        </w:rPr>
      </w:pPr>
      <w:r>
        <w:rPr>
          <w:rFonts w:ascii="ＭＳ 明朝" w:hAnsi="ＭＳ 明朝"/>
          <w:b/>
          <w:bCs/>
        </w:rPr>
      </w:r>
      <w:r>
        <w:rPr>
          <w:rFonts w:ascii="ＭＳ 明朝" w:hAnsi="ＭＳ 明朝"/>
          <w:b/>
          <w:bCs/>
        </w:rPr>
        <w:pict w14:anchorId="6C58BA6D">
          <v:group id="_x0000_s3361" style="width:254.55pt;height:217.65pt;mso-position-horizontal-relative:char;mso-position-vertical-relative:line" coordorigin="3388,1839" coordsize="5091,4353">
            <v:shape id="_x0000_s3366" type="#_x0000_t202" style="position:absolute;left:5680;top:5804;width:1915;height:388;mso-wrap-style:none" filled="f" stroked="f">
              <v:textbox style="mso-next-textbox:#_x0000_s3366;mso-fit-shape-to-text:t" inset="5.85pt,.7pt,5.85pt,.7pt">
                <w:txbxContent>
                  <w:p w14:paraId="67BE294A" w14:textId="77777777" w:rsidR="003B0864" w:rsidRDefault="003B0864" w:rsidP="00B347C4">
                    <w:r w:rsidRPr="00960A97">
                      <w:rPr>
                        <w:rFonts w:hint="eastAsia"/>
                      </w:rPr>
                      <w:t>裏当てを取り除く</w:t>
                    </w:r>
                  </w:p>
                </w:txbxContent>
              </v:textbox>
            </v:shape>
            <v:group id="_x0000_s3362" style="position:absolute;left:3388;top:1839;width:5091;height:4045" coordorigin="2522,3143" coordsize="5091,4045">
              <v:shape id="_x0000_s3365" type="#_x0000_t75" style="position:absolute;left:2522;top:3143;width:4463;height:4045">
                <v:imagedata r:id="rId100" o:title="" cropbottom="4353f"/>
              </v:shape>
              <v:line id="_x0000_s3364" style="position:absolute;flip:x" from="5745,5301" to="7298,5301">
                <v:stroke endarrow="block" endarrowwidth="narrow" endarrowlength="long"/>
              </v:line>
              <v:shape id="_x0000_s3363" type="#_x0000_t202" style="position:absolute;left:6983;top:4941;width:630;height:363" filled="f" stroked="f">
                <v:textbox style="mso-next-textbox:#_x0000_s3363" inset="5.85pt,.7pt,5.85pt,.7pt">
                  <w:txbxContent>
                    <w:p w14:paraId="746659D4" w14:textId="77777777" w:rsidR="003B0864" w:rsidRPr="000B3725" w:rsidRDefault="003B0864" w:rsidP="00B347C4">
                      <w:pPr>
                        <w:rPr>
                          <w:rFonts w:ascii="ＭＳ Ｐゴシック" w:eastAsia="ＭＳ Ｐゴシック" w:hAnsi="ＭＳ Ｐゴシック"/>
                          <w:i/>
                          <w:sz w:val="22"/>
                          <w:szCs w:val="22"/>
                        </w:rPr>
                      </w:pPr>
                      <w:r w:rsidRPr="000B3725">
                        <w:rPr>
                          <w:rFonts w:ascii="ＭＳ Ｐゴシック" w:eastAsia="ＭＳ Ｐゴシック" w:hAnsi="ＭＳ Ｐゴシック" w:hint="eastAsia"/>
                          <w:i/>
                          <w:sz w:val="22"/>
                          <w:szCs w:val="22"/>
                        </w:rPr>
                        <w:t>D</w:t>
                      </w:r>
                      <w:r w:rsidRPr="000B3725">
                        <w:rPr>
                          <w:rFonts w:ascii="ＭＳ Ｐゴシック" w:eastAsia="ＭＳ Ｐゴシック" w:hAnsi="ＭＳ Ｐゴシック" w:hint="eastAsia"/>
                          <w:i/>
                          <w:sz w:val="22"/>
                          <w:szCs w:val="22"/>
                          <w:vertAlign w:val="subscript"/>
                        </w:rPr>
                        <w:t>H</w:t>
                      </w:r>
                    </w:p>
                  </w:txbxContent>
                </v:textbox>
              </v:shape>
            </v:group>
            <w10:anchorlock/>
          </v:group>
          <o:OLEObject Type="Embed" ProgID="Photoshop.Image.6" ShapeID="_x0000_s3365" DrawAspect="Content" ObjectID="_1731233646" r:id="rId101">
            <o:FieldCodes>\s</o:FieldCodes>
          </o:OLEObject>
        </w:pict>
      </w:r>
    </w:p>
    <w:p w14:paraId="7F640C7C" w14:textId="77777777" w:rsidR="00B347C4" w:rsidRPr="00BC31E0" w:rsidRDefault="00B347C4" w:rsidP="00CD453D">
      <w:pPr>
        <w:autoSpaceDE w:val="0"/>
        <w:autoSpaceDN w:val="0"/>
        <w:ind w:leftChars="700" w:left="1470"/>
      </w:pPr>
      <w:r w:rsidRPr="00BC31E0">
        <w:rPr>
          <w:rFonts w:ascii="ＭＳ ゴシック" w:eastAsia="ＭＳ ゴシック" w:hAnsi="ＭＳ 明朝" w:hint="eastAsia"/>
          <w:b/>
          <w:bCs/>
        </w:rPr>
        <w:t>注記 1</w:t>
      </w:r>
      <w:r w:rsidRPr="00BC31E0">
        <w:rPr>
          <w:rFonts w:ascii="ＭＳ ゴシック" w:eastAsia="ＭＳ ゴシック" w:hAnsi="ＭＳ ゴシック" w:hint="eastAsia"/>
          <w:b/>
          <w:bCs/>
        </w:rPr>
        <w:t xml:space="preserve">　</w:t>
      </w:r>
      <w:r w:rsidRPr="00BC31E0">
        <w:rPr>
          <w:rFonts w:hint="eastAsia"/>
        </w:rPr>
        <w:t>図中の記号は，次による。</w:t>
      </w:r>
    </w:p>
    <w:p w14:paraId="3C3FFD77" w14:textId="77777777" w:rsidR="00B347C4" w:rsidRPr="00BC31E0" w:rsidRDefault="00A51873" w:rsidP="00CD453D">
      <w:pPr>
        <w:tabs>
          <w:tab w:val="left" w:pos="2694"/>
        </w:tabs>
        <w:autoSpaceDE w:val="0"/>
        <w:autoSpaceDN w:val="0"/>
        <w:ind w:left="2325"/>
      </w:pPr>
      <m:oMath>
        <m:sSub>
          <m:sSubPr>
            <m:ctrlPr>
              <w:rPr>
                <w:rFonts w:ascii="Cambria Math" w:hAnsi="Cambria Math"/>
                <w:i/>
              </w:rPr>
            </m:ctrlPr>
          </m:sSubPr>
          <m:e>
            <m:r>
              <w:rPr>
                <w:rFonts w:ascii="Cambria Math" w:hAnsi="Cambria Math"/>
              </w:rPr>
              <m:t>D</m:t>
            </m:r>
          </m:e>
          <m:sub>
            <m:r>
              <w:rPr>
                <w:rFonts w:ascii="Cambria Math" w:hAnsi="Cambria Math"/>
              </w:rPr>
              <m:t>H</m:t>
            </m:r>
          </m:sub>
        </m:sSub>
      </m:oMath>
      <w:r w:rsidR="00B347C4" w:rsidRPr="00BC31E0">
        <w:rPr>
          <w:rFonts w:hint="eastAsia"/>
        </w:rPr>
        <w:t xml:space="preserve"> </w:t>
      </w:r>
      <w:r w:rsidR="00B347C4" w:rsidRPr="00BC31E0">
        <w:rPr>
          <w:rFonts w:hint="eastAsia"/>
        </w:rPr>
        <w:tab/>
      </w:r>
      <w:r w:rsidR="00B347C4" w:rsidRPr="00BC31E0">
        <w:rPr>
          <w:rFonts w:hint="eastAsia"/>
        </w:rPr>
        <w:t>：</w:t>
      </w:r>
      <w:r w:rsidR="00B347C4" w:rsidRPr="00BC31E0">
        <w:rPr>
          <w:rFonts w:hint="eastAsia"/>
        </w:rPr>
        <w:t xml:space="preserve"> </w:t>
      </w:r>
      <w:r w:rsidR="00B347C4" w:rsidRPr="00BC31E0">
        <w:rPr>
          <w:rFonts w:hint="eastAsia"/>
        </w:rPr>
        <w:t>胴又は鏡板の穴の径</w:t>
      </w:r>
      <w:r w:rsidR="00B347C4" w:rsidRPr="00BC31E0">
        <w:rPr>
          <w:rFonts w:hint="eastAsia"/>
        </w:rPr>
        <w:t>(</w:t>
      </w:r>
      <w:r w:rsidR="00B347C4" w:rsidRPr="00BC31E0">
        <w:rPr>
          <w:rFonts w:ascii="Cambria Math" w:hAnsi="Cambria Math"/>
        </w:rPr>
        <w:t>mm</w:t>
      </w:r>
      <w:r w:rsidR="00B347C4" w:rsidRPr="00BC31E0">
        <w:rPr>
          <w:rFonts w:hint="eastAsia"/>
        </w:rPr>
        <w:t>)</w:t>
      </w:r>
    </w:p>
    <w:p w14:paraId="7DEB8C61" w14:textId="77777777" w:rsidR="00B347C4" w:rsidRPr="00BC31E0" w:rsidRDefault="00B347C4" w:rsidP="00CD453D">
      <w:pPr>
        <w:tabs>
          <w:tab w:val="left" w:pos="2694"/>
        </w:tabs>
        <w:autoSpaceDE w:val="0"/>
        <w:autoSpaceDN w:val="0"/>
        <w:ind w:left="2325"/>
      </w:pPr>
      <m:oMath>
        <m:r>
          <w:rPr>
            <w:rFonts w:ascii="Cambria Math" w:hAnsi="Cambria Math"/>
          </w:rPr>
          <m:t>t</m:t>
        </m:r>
      </m:oMath>
      <w:r w:rsidRPr="00BC31E0">
        <w:rPr>
          <w:rFonts w:asciiTheme="minorEastAsia" w:eastAsiaTheme="minorEastAsia" w:hAnsiTheme="minorEastAsia" w:hint="eastAsia"/>
          <w:i/>
        </w:rPr>
        <w:tab/>
      </w:r>
      <w:r w:rsidRPr="00BC31E0">
        <w:rPr>
          <w:rFonts w:hint="eastAsia"/>
        </w:rPr>
        <w:t>：</w:t>
      </w:r>
      <w:r w:rsidRPr="00BC31E0">
        <w:rPr>
          <w:rFonts w:hint="eastAsia"/>
        </w:rPr>
        <w:t xml:space="preserve"> </w:t>
      </w:r>
      <w:r w:rsidRPr="00BC31E0">
        <w:rPr>
          <w:rFonts w:hint="eastAsia"/>
        </w:rPr>
        <w:t>胴又は鏡板の呼び厚さ</w:t>
      </w:r>
      <w:r w:rsidRPr="00BC31E0">
        <w:rPr>
          <w:rFonts w:hint="eastAsia"/>
        </w:rPr>
        <w:t>(</w:t>
      </w:r>
      <w:r w:rsidRPr="00BC31E0">
        <w:rPr>
          <w:rFonts w:ascii="Cambria Math" w:hAnsi="Cambria Math"/>
        </w:rPr>
        <w:t>mm</w:t>
      </w:r>
      <w:r w:rsidRPr="00BC31E0">
        <w:rPr>
          <w:rFonts w:hint="eastAsia"/>
        </w:rPr>
        <w:t>)</w:t>
      </w:r>
    </w:p>
    <w:p w14:paraId="50755063" w14:textId="77777777" w:rsidR="00B347C4" w:rsidRPr="00BC31E0" w:rsidRDefault="00A51873" w:rsidP="00CD453D">
      <w:pPr>
        <w:tabs>
          <w:tab w:val="left" w:pos="2694"/>
        </w:tabs>
        <w:autoSpaceDE w:val="0"/>
        <w:autoSpaceDN w:val="0"/>
        <w:ind w:left="2325"/>
      </w:pPr>
      <m:oMath>
        <m:sSub>
          <m:sSubPr>
            <m:ctrlPr>
              <w:rPr>
                <w:rFonts w:ascii="Cambria Math" w:hAnsi="Cambria Math"/>
                <w:i/>
              </w:rPr>
            </m:ctrlPr>
          </m:sSubPr>
          <m:e>
            <m:r>
              <w:rPr>
                <w:rFonts w:ascii="Cambria Math" w:hAnsi="Cambria Math"/>
              </w:rPr>
              <m:t>t</m:t>
            </m:r>
          </m:e>
          <m:sub>
            <m:r>
              <w:rPr>
                <w:rFonts w:ascii="Cambria Math" w:hAnsi="Cambria Math"/>
              </w:rPr>
              <m:t>n</m:t>
            </m:r>
          </m:sub>
        </m:sSub>
      </m:oMath>
      <w:r w:rsidR="00B347C4" w:rsidRPr="00BC31E0">
        <w:rPr>
          <w:rFonts w:hint="eastAsia"/>
          <w:vertAlign w:val="subscript"/>
        </w:rPr>
        <w:t xml:space="preserve"> </w:t>
      </w:r>
      <w:r w:rsidR="00B347C4" w:rsidRPr="00BC31E0">
        <w:rPr>
          <w:rFonts w:hint="eastAsia"/>
          <w:vertAlign w:val="subscript"/>
        </w:rPr>
        <w:tab/>
      </w:r>
      <w:r w:rsidR="00B347C4" w:rsidRPr="00BC31E0">
        <w:rPr>
          <w:rFonts w:hint="eastAsia"/>
        </w:rPr>
        <w:t>：</w:t>
      </w:r>
      <w:r w:rsidR="00B347C4" w:rsidRPr="00BC31E0">
        <w:rPr>
          <w:rFonts w:hint="eastAsia"/>
        </w:rPr>
        <w:t xml:space="preserve"> </w:t>
      </w:r>
      <w:r w:rsidR="00B347C4" w:rsidRPr="00BC31E0">
        <w:rPr>
          <w:rFonts w:hint="eastAsia"/>
        </w:rPr>
        <w:t>ノズルネックの呼び厚さ</w:t>
      </w:r>
      <w:r w:rsidR="00B347C4" w:rsidRPr="00BC31E0">
        <w:rPr>
          <w:rFonts w:hint="eastAsia"/>
        </w:rPr>
        <w:t>(</w:t>
      </w:r>
      <w:r w:rsidR="00B347C4" w:rsidRPr="00BC31E0">
        <w:rPr>
          <w:rFonts w:ascii="Cambria Math" w:hAnsi="Cambria Math"/>
        </w:rPr>
        <w:t>mm</w:t>
      </w:r>
      <w:r w:rsidR="00B347C4" w:rsidRPr="00BC31E0">
        <w:rPr>
          <w:rFonts w:hint="eastAsia"/>
        </w:rPr>
        <w:t>)</w:t>
      </w:r>
    </w:p>
    <w:p w14:paraId="3F99B637" w14:textId="77777777" w:rsidR="00B347C4" w:rsidRPr="00BC31E0" w:rsidRDefault="00A51873" w:rsidP="00CD453D">
      <w:pPr>
        <w:tabs>
          <w:tab w:val="left" w:pos="2694"/>
        </w:tabs>
        <w:autoSpaceDE w:val="0"/>
        <w:autoSpaceDN w:val="0"/>
        <w:ind w:left="3005" w:hanging="680"/>
      </w:pPr>
      <m:oMath>
        <m:sSub>
          <m:sSubPr>
            <m:ctrlPr>
              <w:rPr>
                <w:rFonts w:ascii="Cambria Math" w:hAnsi="Cambria Math"/>
                <w:i/>
              </w:rPr>
            </m:ctrlPr>
          </m:sSubPr>
          <m:e>
            <m:r>
              <w:rPr>
                <w:rFonts w:ascii="Cambria Math" w:hAnsi="Cambria Math"/>
              </w:rPr>
              <m:t>t</m:t>
            </m:r>
          </m:e>
          <m:sub>
            <m:r>
              <w:rPr>
                <w:rFonts w:ascii="Cambria Math" w:hAnsi="Cambria Math"/>
              </w:rPr>
              <m:t>c</m:t>
            </m:r>
          </m:sub>
        </m:sSub>
      </m:oMath>
      <w:r w:rsidR="00B347C4" w:rsidRPr="00BC31E0">
        <w:rPr>
          <w:rFonts w:hint="eastAsia"/>
        </w:rPr>
        <w:t xml:space="preserve"> </w:t>
      </w:r>
      <w:r w:rsidR="00B347C4" w:rsidRPr="00BC31E0">
        <w:rPr>
          <w:rFonts w:hint="eastAsia"/>
        </w:rPr>
        <w:tab/>
      </w:r>
      <w:r w:rsidR="00B347C4" w:rsidRPr="00BC31E0">
        <w:rPr>
          <w:rFonts w:hint="eastAsia"/>
        </w:rPr>
        <w:t>：</w:t>
      </w:r>
      <w:r w:rsidR="00B347C4" w:rsidRPr="00BC31E0">
        <w:rPr>
          <w:rFonts w:hint="eastAsia"/>
        </w:rPr>
        <w:t xml:space="preserve"> </w:t>
      </w:r>
      <w:r w:rsidR="00B347C4" w:rsidRPr="00BC31E0">
        <w:rPr>
          <w:rFonts w:hint="eastAsia"/>
        </w:rPr>
        <w:t>すみ肉溶接ののど厚</w:t>
      </w:r>
      <w:r w:rsidR="00B347C4" w:rsidRPr="00BC31E0">
        <w:rPr>
          <w:rFonts w:hint="eastAsia"/>
        </w:rPr>
        <w:t>(</w:t>
      </w:r>
      <w:r w:rsidR="00B347C4" w:rsidRPr="00BC31E0">
        <w:rPr>
          <w:rFonts w:ascii="Cambria Math" w:hAnsi="Cambria Math"/>
        </w:rPr>
        <w:t>mm</w:t>
      </w:r>
      <w:r w:rsidR="00B347C4" w:rsidRPr="00BC31E0">
        <w:rPr>
          <w:rFonts w:hint="eastAsia"/>
        </w:rPr>
        <w:t>)</w:t>
      </w:r>
      <w:r w:rsidR="00B347C4" w:rsidRPr="00BC31E0">
        <w:rPr>
          <w:rFonts w:hint="eastAsia"/>
        </w:rPr>
        <w:t>で，</w:t>
      </w:r>
      <m:oMath>
        <m:r>
          <w:rPr>
            <w:rFonts w:ascii="Cambria Math" w:hAnsi="Cambria Math"/>
            <w:vertAlign w:val="subscript"/>
          </w:rPr>
          <m:t>0.7</m:t>
        </m:r>
        <m:sSub>
          <m:sSubPr>
            <m:ctrlPr>
              <w:rPr>
                <w:rFonts w:ascii="Cambria Math" w:hAnsi="Cambria Math"/>
                <w:i/>
                <w:vertAlign w:val="subscript"/>
              </w:rPr>
            </m:ctrlPr>
          </m:sSubPr>
          <m:e>
            <m:r>
              <w:rPr>
                <w:rFonts w:ascii="Cambria Math" w:hAnsi="Cambria Math"/>
                <w:vertAlign w:val="subscript"/>
              </w:rPr>
              <m:t xml:space="preserve"> t</m:t>
            </m:r>
          </m:e>
          <m:sub>
            <m:r>
              <w:rPr>
                <w:rFonts w:ascii="Cambria Math" w:hAnsi="Cambria Math"/>
                <w:vertAlign w:val="subscript"/>
              </w:rPr>
              <m:t>n</m:t>
            </m:r>
          </m:sub>
        </m:sSub>
        <m:r>
          <w:rPr>
            <w:rFonts w:ascii="Cambria Math" w:hAnsi="Cambria Math"/>
            <w:vertAlign w:val="subscript"/>
          </w:rPr>
          <m:t xml:space="preserve"> </m:t>
        </m:r>
      </m:oMath>
      <w:r w:rsidR="00B347C4" w:rsidRPr="00BC31E0">
        <w:rPr>
          <w:rFonts w:hint="eastAsia"/>
        </w:rPr>
        <w:t>又は</w:t>
      </w:r>
      <w:r w:rsidR="00B347C4" w:rsidRPr="00BC31E0">
        <w:rPr>
          <w:rFonts w:ascii="Cambria Math" w:hAnsi="Cambria Math"/>
        </w:rPr>
        <w:t>6 mm</w:t>
      </w:r>
      <w:r w:rsidR="00B347C4" w:rsidRPr="00BC31E0">
        <w:rPr>
          <w:rFonts w:ascii="Cambria Math" w:hAnsi="Cambria Math" w:hint="eastAsia"/>
        </w:rPr>
        <w:t xml:space="preserve"> </w:t>
      </w:r>
      <w:r w:rsidR="00B347C4" w:rsidRPr="00BC31E0">
        <w:rPr>
          <w:rFonts w:hint="eastAsia"/>
        </w:rPr>
        <w:t>のいずれか小さい方の値以上とする。</w:t>
      </w:r>
    </w:p>
    <w:p w14:paraId="06F02411" w14:textId="77777777" w:rsidR="00B347C4" w:rsidRPr="00BC31E0" w:rsidRDefault="00B347C4" w:rsidP="00CD453D">
      <w:pPr>
        <w:autoSpaceDE w:val="0"/>
        <w:autoSpaceDN w:val="0"/>
        <w:ind w:leftChars="700" w:left="2313" w:hangingChars="400" w:hanging="843"/>
      </w:pPr>
      <w:r w:rsidRPr="00BC31E0">
        <w:rPr>
          <w:rFonts w:ascii="ＭＳ ゴシック" w:eastAsia="ＭＳ ゴシック" w:hAnsi="ＭＳ 明朝" w:hint="eastAsia"/>
          <w:b/>
          <w:bCs/>
        </w:rPr>
        <w:t>注記 2</w:t>
      </w:r>
      <w:r w:rsidRPr="00BC31E0">
        <w:rPr>
          <w:rFonts w:ascii="ＭＳ ゴシック" w:eastAsia="ＭＳ ゴシック" w:hAnsi="ＭＳ ゴシック" w:hint="eastAsia"/>
          <w:b/>
          <w:bCs/>
        </w:rPr>
        <w:t xml:space="preserve">　</w:t>
      </w:r>
      <m:oMath>
        <m:sSub>
          <m:sSubPr>
            <m:ctrlPr>
              <w:rPr>
                <w:rFonts w:ascii="Cambria Math" w:eastAsia="ＭＳ ゴシック" w:hAnsi="Cambria Math"/>
                <w:bCs/>
                <w:i/>
                <w:vertAlign w:val="subscript"/>
              </w:rPr>
            </m:ctrlPr>
          </m:sSubPr>
          <m:e>
            <m:r>
              <w:rPr>
                <w:rFonts w:ascii="Cambria Math" w:eastAsia="ＭＳ ゴシック" w:hAnsi="Cambria Math"/>
                <w:vertAlign w:val="subscript"/>
              </w:rPr>
              <m:t>r</m:t>
            </m:r>
          </m:e>
          <m:sub>
            <m:r>
              <w:rPr>
                <w:rFonts w:ascii="Cambria Math" w:eastAsia="ＭＳ ゴシック" w:hAnsi="Cambria Math"/>
                <w:vertAlign w:val="subscript"/>
              </w:rPr>
              <m:t xml:space="preserve">1 </m:t>
            </m:r>
          </m:sub>
        </m:sSub>
      </m:oMath>
      <w:r w:rsidRPr="00BC31E0">
        <w:rPr>
          <w:rFonts w:hint="eastAsia"/>
        </w:rPr>
        <w:t>は，</w:t>
      </w:r>
      <m:oMath>
        <m:r>
          <w:rPr>
            <w:rFonts w:ascii="Cambria Math" w:hAnsi="Cambria Math"/>
          </w:rPr>
          <m:t xml:space="preserve">0.25 t </m:t>
        </m:r>
      </m:oMath>
      <w:r w:rsidRPr="00BC31E0">
        <w:rPr>
          <w:rFonts w:hint="eastAsia"/>
        </w:rPr>
        <w:t>又は</w:t>
      </w:r>
      <w:r w:rsidRPr="00BC31E0">
        <w:rPr>
          <w:rFonts w:ascii="Cambria Math" w:hAnsi="Cambria Math" w:hint="eastAsia"/>
        </w:rPr>
        <w:t xml:space="preserve">3 </w:t>
      </w:r>
      <w:r w:rsidRPr="00BC31E0">
        <w:rPr>
          <w:rFonts w:ascii="Cambria Math" w:hAnsi="Cambria Math"/>
        </w:rPr>
        <w:t>mm</w:t>
      </w:r>
      <w:r w:rsidRPr="00BC31E0">
        <w:rPr>
          <w:rFonts w:ascii="Cambria Math" w:hAnsi="Cambria Math" w:hint="eastAsia"/>
        </w:rPr>
        <w:t xml:space="preserve"> </w:t>
      </w:r>
      <w:r w:rsidRPr="00BC31E0">
        <w:rPr>
          <w:rFonts w:hint="eastAsia"/>
        </w:rPr>
        <w:t>のいずれか小さい方の値以上とする。</w:t>
      </w:r>
    </w:p>
    <w:p w14:paraId="45A4499C" w14:textId="77777777" w:rsidR="00B347C4" w:rsidRPr="00BC31E0" w:rsidRDefault="00B347C4" w:rsidP="00CD453D">
      <w:pPr>
        <w:autoSpaceDE w:val="0"/>
        <w:autoSpaceDN w:val="0"/>
        <w:ind w:leftChars="700" w:left="1470"/>
      </w:pPr>
      <w:r w:rsidRPr="00BC31E0">
        <w:rPr>
          <w:rFonts w:ascii="ＭＳ ゴシック" w:eastAsia="ＭＳ ゴシック" w:hAnsi="ＭＳ 明朝" w:hint="eastAsia"/>
          <w:b/>
        </w:rPr>
        <w:t>注記 3</w:t>
      </w:r>
      <w:r w:rsidRPr="00BC31E0">
        <w:rPr>
          <w:rFonts w:ascii="ＭＳ ゴシック" w:eastAsia="ＭＳ ゴシック" w:hAnsi="ＭＳ ゴシック" w:hint="eastAsia"/>
          <w:b/>
        </w:rPr>
        <w:t xml:space="preserve">　</w:t>
      </w:r>
      <m:oMath>
        <m:sSub>
          <m:sSubPr>
            <m:ctrlPr>
              <w:rPr>
                <w:rFonts w:ascii="Cambria Math" w:hAnsi="Cambria Math"/>
                <w:i/>
              </w:rPr>
            </m:ctrlPr>
          </m:sSubPr>
          <m:e>
            <m:r>
              <w:rPr>
                <w:rFonts w:ascii="Cambria Math" w:hAnsi="Cambria Math"/>
              </w:rPr>
              <m:t>r</m:t>
            </m:r>
          </m:e>
          <m:sub>
            <m:r>
              <w:rPr>
                <w:rFonts w:ascii="Cambria Math" w:hAnsi="Cambria Math"/>
              </w:rPr>
              <m:t>2</m:t>
            </m:r>
          </m:sub>
        </m:sSub>
        <m:r>
          <m:rPr>
            <m:sty m:val="p"/>
          </m:rPr>
          <w:rPr>
            <w:rFonts w:ascii="Cambria Math" w:hAnsi="Cambria Math"/>
          </w:rPr>
          <m:t>≧</m:t>
        </m:r>
        <m:r>
          <w:rPr>
            <w:rFonts w:ascii="Cambria Math" w:hAnsi="Cambria Math"/>
          </w:rPr>
          <m:t xml:space="preserve">6 </m:t>
        </m:r>
        <m:r>
          <m:rPr>
            <m:sty m:val="p"/>
          </m:rPr>
          <w:rPr>
            <w:rFonts w:ascii="Cambria Math" w:hAnsi="Cambria Math"/>
          </w:rPr>
          <m:t>mm</m:t>
        </m:r>
      </m:oMath>
    </w:p>
    <w:p w14:paraId="4AA8D0AB" w14:textId="77777777" w:rsidR="00B347C4" w:rsidRPr="00BC31E0" w:rsidRDefault="00B347C4" w:rsidP="00CD453D">
      <w:pPr>
        <w:jc w:val="left"/>
        <w:rPr>
          <w:rFonts w:ascii="ＭＳ ゴシック" w:eastAsia="ＭＳ ゴシック"/>
          <w:b/>
        </w:rPr>
      </w:pPr>
    </w:p>
    <w:p w14:paraId="495A18A5" w14:textId="77777777" w:rsidR="00B347C4" w:rsidRPr="00BC31E0" w:rsidRDefault="00B347C4" w:rsidP="00CD453D">
      <w:pPr>
        <w:pStyle w:val="af4"/>
      </w:pPr>
      <w:r w:rsidRPr="00BC31E0">
        <w:rPr>
          <w:rFonts w:hint="eastAsia"/>
        </w:rPr>
        <w:t xml:space="preserve">図6.10.5　完全溶込み溶接によるノズル取付け　　　　　　　　　　　　　　　　　　　　　　　　　　　　　　　　　　　　　　　　　　　　　　　　　　　　　　　　　　　　　　　　　　　　　　　　　　　　　　　　　　　　　　　　　　　　　　　　　　　　　　　　　　　　　　　　　　　　　　　　　　　　　　　　　　　　　　　　　　　　　　　　　　　　　　　　　　　　　　　　　　　　　　　</w:t>
      </w:r>
    </w:p>
    <w:p w14:paraId="20705AB2" w14:textId="77777777" w:rsidR="00B347C4" w:rsidRPr="00BC31E0" w:rsidRDefault="00B347C4" w:rsidP="008D7FFE">
      <w:pPr>
        <w:outlineLvl w:val="1"/>
        <w:rPr>
          <w:rFonts w:asciiTheme="minorHAnsi" w:eastAsiaTheme="minorEastAsia" w:hAnsiTheme="minorHAnsi"/>
        </w:rPr>
      </w:pPr>
    </w:p>
    <w:p w14:paraId="11540F98" w14:textId="77777777" w:rsidR="008D7FFE" w:rsidRPr="00BC31E0" w:rsidRDefault="008D7FFE">
      <w:pPr>
        <w:widowControl/>
        <w:jc w:val="left"/>
        <w:rPr>
          <w:rFonts w:asciiTheme="minorHAnsi" w:eastAsiaTheme="minorEastAsia" w:hAnsiTheme="minorHAnsi" w:cs="ＭＳ ゴシック"/>
          <w:sz w:val="28"/>
          <w:szCs w:val="28"/>
        </w:rPr>
      </w:pPr>
      <w:r w:rsidRPr="00BC31E0">
        <w:rPr>
          <w:rFonts w:asciiTheme="minorHAnsi" w:eastAsiaTheme="minorEastAsia" w:hAnsiTheme="minorHAnsi" w:cs="ＭＳ ゴシック"/>
          <w:sz w:val="28"/>
          <w:szCs w:val="28"/>
        </w:rPr>
        <w:br w:type="page"/>
      </w:r>
    </w:p>
    <w:p w14:paraId="60E70525" w14:textId="77777777" w:rsidR="00CD54F8" w:rsidRPr="00BC31E0" w:rsidRDefault="00AE7C5D" w:rsidP="00736130">
      <w:pPr>
        <w:pStyle w:val="20"/>
        <w:numPr>
          <w:ilvl w:val="1"/>
          <w:numId w:val="154"/>
        </w:numPr>
        <w:ind w:left="567" w:hanging="567"/>
      </w:pPr>
      <w:bookmarkStart w:id="60" w:name="_Toc357672098"/>
      <w:r w:rsidRPr="00BC31E0">
        <w:rPr>
          <w:rFonts w:hint="eastAsia"/>
        </w:rPr>
        <w:lastRenderedPageBreak/>
        <w:t xml:space="preserve">　</w:t>
      </w:r>
      <w:r w:rsidR="008D7FFE" w:rsidRPr="00BC31E0">
        <w:rPr>
          <w:rFonts w:hint="eastAsia"/>
        </w:rPr>
        <w:t xml:space="preserve"> </w:t>
      </w:r>
      <w:bookmarkStart w:id="61" w:name="_Toc120092531"/>
      <w:r w:rsidRPr="00BC31E0">
        <w:rPr>
          <w:rFonts w:hint="eastAsia"/>
        </w:rPr>
        <w:t>実験的設計検証</w:t>
      </w:r>
      <w:bookmarkEnd w:id="60"/>
      <w:bookmarkEnd w:id="61"/>
    </w:p>
    <w:p w14:paraId="19BD4EDC" w14:textId="77777777" w:rsidR="00CD54F8" w:rsidRPr="00BC31E0" w:rsidRDefault="00AE7C5D" w:rsidP="00FC657D">
      <w:pPr>
        <w:pStyle w:val="3"/>
        <w:tabs>
          <w:tab w:val="clear" w:pos="284"/>
        </w:tabs>
        <w:ind w:left="794" w:hanging="794"/>
      </w:pPr>
      <w:r w:rsidRPr="00BC31E0">
        <w:rPr>
          <w:rFonts w:hint="eastAsia"/>
        </w:rPr>
        <w:t xml:space="preserve"> </w:t>
      </w:r>
      <w:r w:rsidR="00CD54F8" w:rsidRPr="00BC31E0">
        <w:rPr>
          <w:rFonts w:hint="eastAsia"/>
        </w:rPr>
        <w:t>一般要求</w:t>
      </w:r>
    </w:p>
    <w:p w14:paraId="0E870F6A" w14:textId="77777777" w:rsidR="00CD54F8" w:rsidRPr="00BC31E0" w:rsidRDefault="00CD54F8" w:rsidP="00AE7C5D">
      <w:pPr>
        <w:pStyle w:val="1110"/>
        <w:ind w:firstLine="210"/>
      </w:pPr>
      <w:r w:rsidRPr="00BC31E0">
        <w:rPr>
          <w:rFonts w:hint="eastAsia"/>
        </w:rPr>
        <w:t>一般要求は，次の</w:t>
      </w:r>
      <w:r w:rsidRPr="00BC31E0">
        <w:rPr>
          <w:rFonts w:ascii="ＭＳ ゴシック" w:eastAsia="ＭＳ ゴシック" w:hint="eastAsia"/>
          <w:b/>
        </w:rPr>
        <w:t>a)</w:t>
      </w:r>
      <w:r w:rsidRPr="00BC31E0">
        <w:rPr>
          <w:rFonts w:hint="eastAsia"/>
        </w:rPr>
        <w:t>～</w:t>
      </w:r>
      <w:r w:rsidRPr="00BC31E0">
        <w:rPr>
          <w:rFonts w:ascii="ＭＳ ゴシック" w:eastAsia="ＭＳ ゴシック" w:hint="eastAsia"/>
          <w:b/>
        </w:rPr>
        <w:t>d)</w:t>
      </w:r>
      <w:r w:rsidRPr="00BC31E0">
        <w:rPr>
          <w:rFonts w:hint="eastAsia"/>
        </w:rPr>
        <w:t>による。</w:t>
      </w:r>
    </w:p>
    <w:p w14:paraId="6E66FF8A" w14:textId="77777777" w:rsidR="00FC657D" w:rsidRPr="00BC31E0" w:rsidRDefault="00CD54F8" w:rsidP="00736130">
      <w:pPr>
        <w:pStyle w:val="a4"/>
        <w:numPr>
          <w:ilvl w:val="0"/>
          <w:numId w:val="451"/>
        </w:numPr>
        <w:ind w:leftChars="0" w:left="454" w:hanging="454"/>
        <w:rPr>
          <w:b/>
        </w:rPr>
      </w:pPr>
      <w:r w:rsidRPr="00BC31E0">
        <w:rPr>
          <w:rFonts w:asciiTheme="majorEastAsia" w:eastAsiaTheme="majorEastAsia" w:hAnsiTheme="majorEastAsia" w:hint="eastAsia"/>
          <w:b/>
        </w:rPr>
        <w:t>実験的応力解析の適用</w:t>
      </w:r>
      <w:r w:rsidRPr="00BC31E0">
        <w:rPr>
          <w:rFonts w:hint="eastAsia"/>
        </w:rPr>
        <w:t xml:space="preserve">　理論的応力解析が不適当か，又は設計値が得られない部分における決定的又は支配的な応力は，実験的応力解析によって実証する。</w:t>
      </w:r>
    </w:p>
    <w:p w14:paraId="00664D85" w14:textId="77777777" w:rsidR="00FC657D" w:rsidRPr="00BC31E0" w:rsidRDefault="00CD54F8" w:rsidP="00736130">
      <w:pPr>
        <w:pStyle w:val="a4"/>
        <w:numPr>
          <w:ilvl w:val="0"/>
          <w:numId w:val="451"/>
        </w:numPr>
        <w:ind w:leftChars="0" w:left="454" w:hanging="454"/>
        <w:rPr>
          <w:b/>
        </w:rPr>
      </w:pPr>
      <w:r w:rsidRPr="00BC31E0">
        <w:rPr>
          <w:rFonts w:asciiTheme="majorEastAsia" w:eastAsiaTheme="majorEastAsia" w:hAnsiTheme="majorEastAsia" w:hint="eastAsia"/>
          <w:b/>
        </w:rPr>
        <w:t>過去の結果の利用</w:t>
      </w:r>
      <w:r w:rsidRPr="00BC31E0">
        <w:rPr>
          <w:rFonts w:hint="eastAsia"/>
        </w:rPr>
        <w:t xml:space="preserve">　</w:t>
      </w:r>
      <w:r w:rsidRPr="00BC31E0">
        <w:rPr>
          <w:rFonts w:ascii="ＭＳ 明朝" w:hint="eastAsia"/>
        </w:rPr>
        <w:t>この項の要求事項に合致した，詳細な実験結果があるような形状のものは再評価を必要としない。</w:t>
      </w:r>
    </w:p>
    <w:p w14:paraId="6FB88882" w14:textId="77777777" w:rsidR="00FC657D" w:rsidRPr="00BC31E0" w:rsidRDefault="00CD54F8" w:rsidP="00736130">
      <w:pPr>
        <w:pStyle w:val="a4"/>
        <w:numPr>
          <w:ilvl w:val="0"/>
          <w:numId w:val="451"/>
        </w:numPr>
        <w:ind w:leftChars="0" w:left="454" w:hanging="454"/>
        <w:rPr>
          <w:b/>
        </w:rPr>
      </w:pPr>
      <w:r w:rsidRPr="00BC31E0">
        <w:rPr>
          <w:rFonts w:asciiTheme="majorEastAsia" w:eastAsiaTheme="majorEastAsia" w:hAnsiTheme="majorEastAsia" w:hint="eastAsia"/>
          <w:b/>
        </w:rPr>
        <w:t>腐れ代などの取扱い</w:t>
      </w:r>
      <w:r w:rsidRPr="00BC31E0">
        <w:rPr>
          <w:rFonts w:hint="eastAsia"/>
        </w:rPr>
        <w:t xml:space="preserve">　</w:t>
      </w:r>
      <w:r w:rsidRPr="00BC31E0">
        <w:rPr>
          <w:rFonts w:ascii="ＭＳ 明朝" w:hint="eastAsia"/>
        </w:rPr>
        <w:t>試験方法や結果の解釈においては，腐れ代又はその他の付加された材料がその部分の強度を負担すると考えてはならず，</w:t>
      </w:r>
      <w:r w:rsidR="002B305C" w:rsidRPr="00BC31E0">
        <w:rPr>
          <w:rFonts w:ascii="ＭＳ 明朝" w:hint="eastAsia"/>
        </w:rPr>
        <w:t>従って</w:t>
      </w:r>
      <w:r w:rsidRPr="00BC31E0">
        <w:rPr>
          <w:rFonts w:ascii="ＭＳ 明朝" w:hint="eastAsia"/>
        </w:rPr>
        <w:t>，それによる効果も考えてはならない。</w:t>
      </w:r>
    </w:p>
    <w:p w14:paraId="1559CEFA" w14:textId="77777777" w:rsidR="00CD54F8" w:rsidRPr="00BC31E0" w:rsidRDefault="00CD54F8" w:rsidP="00736130">
      <w:pPr>
        <w:pStyle w:val="a4"/>
        <w:numPr>
          <w:ilvl w:val="0"/>
          <w:numId w:val="451"/>
        </w:numPr>
        <w:ind w:leftChars="0" w:left="454" w:hanging="454"/>
        <w:rPr>
          <w:b/>
        </w:rPr>
      </w:pPr>
      <w:r w:rsidRPr="00BC31E0">
        <w:rPr>
          <w:rFonts w:asciiTheme="majorEastAsia" w:eastAsiaTheme="majorEastAsia" w:hAnsiTheme="majorEastAsia" w:hint="eastAsia"/>
          <w:b/>
        </w:rPr>
        <w:t>報告</w:t>
      </w:r>
      <w:r w:rsidRPr="00BC31E0">
        <w:rPr>
          <w:rFonts w:hint="eastAsia"/>
        </w:rPr>
        <w:t xml:space="preserve">　</w:t>
      </w:r>
      <w:r w:rsidRPr="00BC31E0">
        <w:rPr>
          <w:rFonts w:ascii="ＭＳ 明朝" w:hint="eastAsia"/>
        </w:rPr>
        <w:t>製作者設計報告書には，試験方法及び得られた結果の詳細な報告書を含まなければならない。</w:t>
      </w:r>
    </w:p>
    <w:p w14:paraId="31661654" w14:textId="77777777" w:rsidR="00CD54F8" w:rsidRPr="00BC31E0" w:rsidRDefault="00AE7C5D" w:rsidP="00EB529C">
      <w:pPr>
        <w:pStyle w:val="3"/>
        <w:tabs>
          <w:tab w:val="clear" w:pos="284"/>
        </w:tabs>
      </w:pPr>
      <w:r w:rsidRPr="00BC31E0">
        <w:rPr>
          <w:rFonts w:hint="eastAsia"/>
        </w:rPr>
        <w:t xml:space="preserve"> </w:t>
      </w:r>
      <w:r w:rsidR="00CD54F8" w:rsidRPr="00BC31E0">
        <w:rPr>
          <w:rFonts w:hint="eastAsia"/>
        </w:rPr>
        <w:t>実験の種類</w:t>
      </w:r>
    </w:p>
    <w:p w14:paraId="34734F43" w14:textId="77777777" w:rsidR="00CD54F8" w:rsidRPr="00BC31E0" w:rsidRDefault="00CD54F8" w:rsidP="00AE7C5D">
      <w:pPr>
        <w:pStyle w:val="1110"/>
        <w:ind w:firstLine="210"/>
      </w:pPr>
      <w:r w:rsidRPr="00BC31E0">
        <w:rPr>
          <w:rFonts w:hint="eastAsia"/>
        </w:rPr>
        <w:t>実験の種類は，次の</w:t>
      </w:r>
      <w:r w:rsidRPr="00BC31E0">
        <w:rPr>
          <w:rFonts w:ascii="ＭＳ ゴシック" w:eastAsia="ＭＳ ゴシック" w:hint="eastAsia"/>
          <w:b/>
        </w:rPr>
        <w:t>a)</w:t>
      </w:r>
      <w:r w:rsidRPr="00BC31E0">
        <w:rPr>
          <w:rFonts w:hint="eastAsia"/>
        </w:rPr>
        <w:t>～</w:t>
      </w:r>
      <w:r w:rsidRPr="00BC31E0">
        <w:rPr>
          <w:rFonts w:ascii="ＭＳ ゴシック" w:eastAsia="ＭＳ ゴシック" w:hint="eastAsia"/>
          <w:b/>
        </w:rPr>
        <w:t>c)</w:t>
      </w:r>
      <w:r w:rsidRPr="00BC31E0">
        <w:rPr>
          <w:rFonts w:hint="eastAsia"/>
        </w:rPr>
        <w:t>である。実験は，支配的な応力及び崩壊荷重，繰返し荷重に対する適応をみるために行う。支配的な応力及び崩壊荷重の決定は，通常一回の実験で十分である。</w:t>
      </w:r>
    </w:p>
    <w:p w14:paraId="46B48067" w14:textId="77777777" w:rsidR="001F0D96" w:rsidRPr="00BC31E0" w:rsidRDefault="00CD54F8" w:rsidP="00736130">
      <w:pPr>
        <w:pStyle w:val="a4"/>
        <w:numPr>
          <w:ilvl w:val="0"/>
          <w:numId w:val="452"/>
        </w:numPr>
        <w:ind w:leftChars="0" w:left="454" w:hanging="454"/>
        <w:rPr>
          <w:b/>
        </w:rPr>
      </w:pPr>
      <w:r w:rsidRPr="00BC31E0">
        <w:rPr>
          <w:rFonts w:asciiTheme="majorEastAsia" w:eastAsiaTheme="majorEastAsia" w:hAnsiTheme="majorEastAsia" w:hint="eastAsia"/>
          <w:b/>
        </w:rPr>
        <w:t>支配的な応力を決定するための実験</w:t>
      </w:r>
      <w:r w:rsidRPr="00BC31E0">
        <w:rPr>
          <w:rFonts w:hint="eastAsia"/>
        </w:rPr>
        <w:t xml:space="preserve">　支配的な応力を決定するために許される実験は，ひずみ測定による実験と光弾性試験による実験である。応力塗膜による実験は，</w:t>
      </w:r>
      <w:r w:rsidRPr="00BC31E0">
        <w:rPr>
          <w:rFonts w:asciiTheme="majorEastAsia" w:eastAsiaTheme="majorEastAsia" w:hAnsiTheme="majorEastAsia" w:hint="eastAsia"/>
          <w:b/>
        </w:rPr>
        <w:t>6.11.5 a)</w:t>
      </w:r>
      <w:r w:rsidRPr="00BC31E0">
        <w:rPr>
          <w:rFonts w:hint="eastAsia"/>
        </w:rPr>
        <w:t>に述べられている目的の場合に限定する。変位測定試験又は破壊試験の結果から支配的な応力を決定してはならない。</w:t>
      </w:r>
    </w:p>
    <w:p w14:paraId="15AEB8B3" w14:textId="77777777" w:rsidR="001F0D96" w:rsidRPr="00BC31E0" w:rsidRDefault="00CD54F8" w:rsidP="00736130">
      <w:pPr>
        <w:pStyle w:val="a4"/>
        <w:numPr>
          <w:ilvl w:val="0"/>
          <w:numId w:val="452"/>
        </w:numPr>
        <w:ind w:leftChars="0" w:left="454" w:hanging="454"/>
        <w:rPr>
          <w:b/>
        </w:rPr>
      </w:pPr>
      <w:r w:rsidRPr="00BC31E0">
        <w:rPr>
          <w:rFonts w:asciiTheme="majorEastAsia" w:eastAsiaTheme="majorEastAsia" w:hAnsiTheme="majorEastAsia" w:hint="eastAsia"/>
          <w:b/>
        </w:rPr>
        <w:t>崩壊荷重を決定するための実験</w:t>
      </w:r>
      <w:r w:rsidRPr="00BC31E0">
        <w:rPr>
          <w:rFonts w:hint="eastAsia"/>
        </w:rPr>
        <w:t xml:space="preserve">　崩壊荷重を決定するのに，ひずみ測定による実験を用いてよい。変形測定試験の設定及び使用計器が測定物の形状に対して有効な結果を得ることを明示できるならば，その変形測定試験を崩壊荷重の決定に用いてよい。応力塗膜による実験及び破壊試験から崩壊荷重を決定してはならない。</w:t>
      </w:r>
    </w:p>
    <w:p w14:paraId="6AF0773A" w14:textId="77777777" w:rsidR="00CD54F8" w:rsidRPr="00BC31E0" w:rsidRDefault="00CD54F8" w:rsidP="00736130">
      <w:pPr>
        <w:pStyle w:val="a4"/>
        <w:numPr>
          <w:ilvl w:val="0"/>
          <w:numId w:val="452"/>
        </w:numPr>
        <w:ind w:leftChars="0" w:left="454" w:hanging="454"/>
        <w:rPr>
          <w:b/>
        </w:rPr>
      </w:pPr>
      <w:r w:rsidRPr="00BC31E0">
        <w:rPr>
          <w:rFonts w:asciiTheme="majorEastAsia" w:eastAsiaTheme="majorEastAsia" w:hAnsiTheme="majorEastAsia" w:hint="eastAsia"/>
          <w:b/>
        </w:rPr>
        <w:t>疲労試験</w:t>
      </w:r>
      <w:r w:rsidRPr="00BC31E0">
        <w:rPr>
          <w:rFonts w:hint="eastAsia"/>
        </w:rPr>
        <w:t xml:space="preserve">　繰返し荷重を受ける部分の強度を評価するのに，</w:t>
      </w:r>
      <w:r w:rsidRPr="00BC31E0">
        <w:rPr>
          <w:rFonts w:asciiTheme="majorEastAsia" w:eastAsiaTheme="majorEastAsia" w:hAnsiTheme="majorEastAsia" w:hint="eastAsia"/>
          <w:b/>
        </w:rPr>
        <w:t>6.11.7</w:t>
      </w:r>
      <w:r w:rsidRPr="00BC31E0">
        <w:rPr>
          <w:rFonts w:hint="eastAsia"/>
        </w:rPr>
        <w:t>の疲労試験を用いてよい。</w:t>
      </w:r>
    </w:p>
    <w:p w14:paraId="261AE1DC" w14:textId="77777777" w:rsidR="00CD54F8" w:rsidRPr="00BC31E0" w:rsidRDefault="00AE7C5D" w:rsidP="009A2CED">
      <w:pPr>
        <w:pStyle w:val="3"/>
        <w:tabs>
          <w:tab w:val="clear" w:pos="284"/>
        </w:tabs>
        <w:ind w:left="794" w:hanging="794"/>
      </w:pPr>
      <w:r w:rsidRPr="00BC31E0">
        <w:rPr>
          <w:rFonts w:hint="eastAsia"/>
        </w:rPr>
        <w:t xml:space="preserve"> </w:t>
      </w:r>
      <w:r w:rsidR="00CD54F8" w:rsidRPr="00BC31E0">
        <w:rPr>
          <w:rFonts w:hint="eastAsia"/>
        </w:rPr>
        <w:t>ひずみ測定による実験</w:t>
      </w:r>
    </w:p>
    <w:p w14:paraId="70577D13" w14:textId="77777777" w:rsidR="00CD54F8" w:rsidRPr="00BC31E0" w:rsidRDefault="00CD54F8" w:rsidP="00AE7C5D">
      <w:pPr>
        <w:pStyle w:val="1110"/>
        <w:ind w:firstLine="210"/>
      </w:pPr>
      <w:r w:rsidRPr="00BC31E0">
        <w:rPr>
          <w:rFonts w:hint="eastAsia"/>
        </w:rPr>
        <w:t>ひずみ測定による実験は，次の</w:t>
      </w:r>
      <w:r w:rsidRPr="00BC31E0">
        <w:rPr>
          <w:rFonts w:ascii="ＭＳ ゴシック" w:hAnsi="ＭＳ ゴシック" w:hint="eastAsia"/>
          <w:b/>
        </w:rPr>
        <w:t>a)</w:t>
      </w:r>
      <w:r w:rsidRPr="00BC31E0">
        <w:rPr>
          <w:rFonts w:hint="eastAsia"/>
        </w:rPr>
        <w:t>，</w:t>
      </w:r>
      <w:r w:rsidRPr="00BC31E0">
        <w:rPr>
          <w:rFonts w:ascii="ＭＳ ゴシック" w:hAnsi="ＭＳ ゴシック" w:hint="eastAsia"/>
          <w:b/>
        </w:rPr>
        <w:t>b)</w:t>
      </w:r>
      <w:r w:rsidRPr="00BC31E0">
        <w:rPr>
          <w:rFonts w:hint="eastAsia"/>
        </w:rPr>
        <w:t>による。</w:t>
      </w:r>
    </w:p>
    <w:p w14:paraId="67663F08" w14:textId="77777777" w:rsidR="009A2CED" w:rsidRPr="00BC31E0" w:rsidRDefault="00CD54F8" w:rsidP="00736130">
      <w:pPr>
        <w:pStyle w:val="a4"/>
        <w:numPr>
          <w:ilvl w:val="0"/>
          <w:numId w:val="453"/>
        </w:numPr>
        <w:ind w:leftChars="0" w:left="454" w:hanging="454"/>
        <w:rPr>
          <w:b/>
        </w:rPr>
      </w:pPr>
      <w:r w:rsidRPr="00BC31E0">
        <w:rPr>
          <w:rFonts w:asciiTheme="majorEastAsia" w:eastAsiaTheme="majorEastAsia" w:hAnsiTheme="majorEastAsia" w:hint="eastAsia"/>
          <w:b/>
        </w:rPr>
        <w:t>ひずみゲージ</w:t>
      </w:r>
      <w:r w:rsidRPr="00BC31E0">
        <w:rPr>
          <w:rFonts w:hint="eastAsia"/>
        </w:rPr>
        <w:t xml:space="preserve">　</w:t>
      </w:r>
      <w:r w:rsidRPr="00BC31E0">
        <w:t>0.00005 mm/mm(0.005%)</w:t>
      </w:r>
      <w:r w:rsidRPr="00BC31E0">
        <w:rPr>
          <w:rFonts w:hint="eastAsia"/>
        </w:rPr>
        <w:t>又はそれ以上の精度でひずみを測定できるものであれば，どの様な種類のひずみゲージを使用してもよい。原則として，ゲージ長さ内において，最大ひずみが平均ひずみの</w:t>
      </w:r>
      <w:r w:rsidRPr="00BC31E0">
        <w:t>110%</w:t>
      </w:r>
      <w:r w:rsidRPr="00BC31E0">
        <w:rPr>
          <w:rFonts w:hint="eastAsia"/>
        </w:rPr>
        <w:t>を超えないようなゲージ長さを選ばなければならない。測定装置はそれぞれのゲージ位置において，その材料の弾性域における二つの主応力が測定できるようなものでなくてはならない。弾性域を超える部分のゲージのはり付位置におけるゲージの枚数と方向は，弾性域におけるのと同様にする。使用するひずみゲージと接着剤はその部分の表面仕上げ及び形状に対し，予想されるひずみ値の</w:t>
      </w:r>
      <w:r w:rsidRPr="00BC31E0">
        <w:t>1.5</w:t>
      </w:r>
      <w:r w:rsidRPr="00BC31E0">
        <w:rPr>
          <w:rFonts w:hint="eastAsia"/>
        </w:rPr>
        <w:t>倍以上のひずみ値まで信頼できるものでなければならない。</w:t>
      </w:r>
    </w:p>
    <w:p w14:paraId="588CFCEE" w14:textId="77777777" w:rsidR="00CD54F8" w:rsidRPr="00BC31E0" w:rsidRDefault="00CD54F8" w:rsidP="00736130">
      <w:pPr>
        <w:pStyle w:val="a4"/>
        <w:numPr>
          <w:ilvl w:val="0"/>
          <w:numId w:val="453"/>
        </w:numPr>
        <w:ind w:leftChars="0" w:left="454" w:hanging="454"/>
        <w:rPr>
          <w:b/>
        </w:rPr>
      </w:pPr>
      <w:r w:rsidRPr="00BC31E0">
        <w:rPr>
          <w:rFonts w:asciiTheme="majorEastAsia" w:eastAsiaTheme="majorEastAsia" w:hAnsiTheme="majorEastAsia" w:hint="eastAsia"/>
          <w:b/>
        </w:rPr>
        <w:t>ひずみ又は変位測定模型</w:t>
      </w:r>
      <w:r w:rsidRPr="00BC31E0">
        <w:rPr>
          <w:rFonts w:hint="eastAsia"/>
        </w:rPr>
        <w:t xml:space="preserve">　</w:t>
      </w:r>
      <w:r w:rsidRPr="00BC31E0">
        <w:rPr>
          <w:rFonts w:hint="eastAsia"/>
          <w:iCs/>
        </w:rPr>
        <w:t>崩壊荷重</w:t>
      </w:r>
      <w:r w:rsidRPr="00BC31E0">
        <w:rPr>
          <w:rFonts w:hint="eastAsia"/>
        </w:rPr>
        <w:t>決定のための実験を除いて，ひずみ測定は実際の容器又は上記</w:t>
      </w:r>
      <w:r w:rsidRPr="00BC31E0">
        <w:rPr>
          <w:rFonts w:asciiTheme="majorEastAsia" w:eastAsiaTheme="majorEastAsia" w:hAnsiTheme="majorEastAsia" w:hint="eastAsia"/>
          <w:b/>
        </w:rPr>
        <w:t>a)</w:t>
      </w:r>
      <w:r w:rsidRPr="00BC31E0">
        <w:rPr>
          <w:rFonts w:hint="eastAsia"/>
        </w:rPr>
        <w:t>のゲージ長さの規定を満足する任意の尺度の模型</w:t>
      </w:r>
      <w:r w:rsidR="0075253D" w:rsidRPr="00BC31E0">
        <w:rPr>
          <w:rFonts w:hint="eastAsia"/>
        </w:rPr>
        <w:t>を用いてもよい</w:t>
      </w:r>
      <w:r w:rsidRPr="00BC31E0">
        <w:rPr>
          <w:rFonts w:hint="eastAsia"/>
        </w:rPr>
        <w:t>。模型材料は必ずしも実際の容器材料と同一である必要はないが，縦弾性係数が既知のものか，又は試験条件において測定できるものでなければならない。模型の寸法は，実際の容器と相似性がなけれ</w:t>
      </w:r>
      <w:r w:rsidRPr="00BC31E0">
        <w:rPr>
          <w:rFonts w:hint="eastAsia"/>
        </w:rPr>
        <w:lastRenderedPageBreak/>
        <w:t>ばならない。</w:t>
      </w:r>
      <w:r w:rsidRPr="00BC31E0">
        <w:rPr>
          <w:rFonts w:hint="eastAsia"/>
          <w:iCs/>
        </w:rPr>
        <w:t>崩壊荷重</w:t>
      </w:r>
      <w:r w:rsidRPr="00BC31E0">
        <w:rPr>
          <w:rFonts w:hint="eastAsia"/>
        </w:rPr>
        <w:t>試験の場合，使用する比例法則の妥当性を証明することができない場合には，実寸模型を使用しなければならない。崩壊荷重を決定するのに用いる試験容器又は部位は，実際の容器と同じタイプ，グレード，クラスの材料で作られなければならない。</w:t>
      </w:r>
    </w:p>
    <w:p w14:paraId="33D02D4C" w14:textId="77777777" w:rsidR="00CD54F8" w:rsidRPr="00BC31E0" w:rsidRDefault="00EB529C" w:rsidP="000B3328">
      <w:pPr>
        <w:pStyle w:val="3"/>
        <w:tabs>
          <w:tab w:val="clear" w:pos="284"/>
        </w:tabs>
        <w:ind w:left="794" w:hanging="794"/>
      </w:pPr>
      <w:r w:rsidRPr="00BC31E0">
        <w:rPr>
          <w:rFonts w:hint="eastAsia"/>
        </w:rPr>
        <w:t xml:space="preserve"> </w:t>
      </w:r>
      <w:r w:rsidR="00CD54F8" w:rsidRPr="00BC31E0">
        <w:rPr>
          <w:rFonts w:hint="eastAsia"/>
        </w:rPr>
        <w:t>光弾性試験による実験</w:t>
      </w:r>
    </w:p>
    <w:p w14:paraId="54669998" w14:textId="77777777" w:rsidR="00CD54F8" w:rsidRPr="00BC31E0" w:rsidRDefault="00CD54F8" w:rsidP="00EB529C">
      <w:pPr>
        <w:pStyle w:val="1110"/>
        <w:ind w:firstLine="210"/>
      </w:pPr>
      <w:r w:rsidRPr="00BC31E0">
        <w:rPr>
          <w:rFonts w:hint="eastAsia"/>
        </w:rPr>
        <w:t>荷重の構造的効果を表すことができる模型であるならば，二次元又は三次元のいずれの模型を用いてもよい。</w:t>
      </w:r>
    </w:p>
    <w:p w14:paraId="7F1F4604" w14:textId="77777777" w:rsidR="00CD54F8" w:rsidRPr="00BC31E0" w:rsidRDefault="00EB529C" w:rsidP="000B3328">
      <w:pPr>
        <w:pStyle w:val="3"/>
        <w:tabs>
          <w:tab w:val="clear" w:pos="284"/>
        </w:tabs>
        <w:ind w:left="794" w:hanging="794"/>
      </w:pPr>
      <w:r w:rsidRPr="00BC31E0">
        <w:rPr>
          <w:rFonts w:hint="eastAsia"/>
        </w:rPr>
        <w:t xml:space="preserve"> </w:t>
      </w:r>
      <w:r w:rsidR="00CD54F8" w:rsidRPr="00BC31E0">
        <w:rPr>
          <w:rFonts w:hint="eastAsia"/>
        </w:rPr>
        <w:t>実験方法</w:t>
      </w:r>
    </w:p>
    <w:p w14:paraId="6DCDF392" w14:textId="77777777" w:rsidR="00CD54F8" w:rsidRPr="00BC31E0" w:rsidRDefault="00CD54F8" w:rsidP="00EB529C">
      <w:pPr>
        <w:pStyle w:val="1110"/>
        <w:ind w:firstLine="210"/>
      </w:pPr>
      <w:r w:rsidRPr="00BC31E0">
        <w:rPr>
          <w:rFonts w:hint="eastAsia"/>
        </w:rPr>
        <w:t>実験方法は，次の</w:t>
      </w:r>
      <w:r w:rsidRPr="00BC31E0">
        <w:rPr>
          <w:rFonts w:ascii="ＭＳ ゴシック" w:eastAsia="ＭＳ ゴシック" w:hint="eastAsia"/>
          <w:b/>
        </w:rPr>
        <w:t>a)</w:t>
      </w:r>
      <w:r w:rsidRPr="00BC31E0">
        <w:rPr>
          <w:rFonts w:hint="eastAsia"/>
        </w:rPr>
        <w:t>～</w:t>
      </w:r>
      <w:r w:rsidRPr="00BC31E0">
        <w:rPr>
          <w:rFonts w:ascii="ＭＳ ゴシック" w:eastAsia="ＭＳ ゴシック" w:hint="eastAsia"/>
          <w:b/>
        </w:rPr>
        <w:t>c)</w:t>
      </w:r>
      <w:r w:rsidRPr="00BC31E0">
        <w:rPr>
          <w:rFonts w:hint="eastAsia"/>
        </w:rPr>
        <w:t>による。</w:t>
      </w:r>
    </w:p>
    <w:p w14:paraId="11062C71" w14:textId="77777777" w:rsidR="00CD54F8" w:rsidRPr="00BC31E0" w:rsidRDefault="00CD54F8" w:rsidP="00736130">
      <w:pPr>
        <w:numPr>
          <w:ilvl w:val="0"/>
          <w:numId w:val="144"/>
        </w:numPr>
        <w:ind w:left="454" w:hanging="454"/>
      </w:pPr>
      <w:r w:rsidRPr="00BC31E0">
        <w:rPr>
          <w:rFonts w:asciiTheme="majorEastAsia" w:eastAsiaTheme="majorEastAsia" w:hAnsiTheme="majorEastAsia" w:hint="eastAsia"/>
          <w:b/>
        </w:rPr>
        <w:t>ひずみゲージの貼り付位置</w:t>
      </w:r>
      <w:r w:rsidRPr="00BC31E0">
        <w:rPr>
          <w:rFonts w:hint="eastAsia"/>
        </w:rPr>
        <w:t xml:space="preserve">　ひずみゲージの貼り付位置は，次の</w:t>
      </w:r>
      <w:r w:rsidRPr="00BC31E0">
        <w:rPr>
          <w:rFonts w:asciiTheme="majorEastAsia" w:eastAsiaTheme="majorEastAsia" w:hAnsiTheme="majorEastAsia" w:hint="eastAsia"/>
          <w:b/>
        </w:rPr>
        <w:t>1)</w:t>
      </w:r>
      <w:r w:rsidRPr="00BC31E0">
        <w:rPr>
          <w:rFonts w:hint="eastAsia"/>
        </w:rPr>
        <w:t>，</w:t>
      </w:r>
      <w:r w:rsidRPr="00BC31E0">
        <w:rPr>
          <w:rFonts w:asciiTheme="majorEastAsia" w:eastAsiaTheme="majorEastAsia" w:hAnsiTheme="majorEastAsia" w:hint="eastAsia"/>
          <w:b/>
        </w:rPr>
        <w:t>2)</w:t>
      </w:r>
      <w:r w:rsidRPr="00BC31E0">
        <w:rPr>
          <w:rFonts w:hint="eastAsia"/>
        </w:rPr>
        <w:t>による。</w:t>
      </w:r>
    </w:p>
    <w:p w14:paraId="34E39D07" w14:textId="77777777" w:rsidR="00CD54F8" w:rsidRPr="00BC31E0" w:rsidRDefault="00CD54F8" w:rsidP="00736130">
      <w:pPr>
        <w:numPr>
          <w:ilvl w:val="0"/>
          <w:numId w:val="145"/>
        </w:numPr>
        <w:ind w:left="738" w:hanging="454"/>
      </w:pPr>
      <w:r w:rsidRPr="00BC31E0">
        <w:rPr>
          <w:rFonts w:hint="eastAsia"/>
        </w:rPr>
        <w:t>支配的な応力を決定するための試験では，最も厳しい条件のところを測定できるようにゲージの適切な貼り付位置をあらかじめ調査しなければならない。ひずみゲージの最適な貼り付位置及び方向を決めるために，応力塗膜試験を</w:t>
      </w:r>
      <w:r w:rsidR="00E67E22" w:rsidRPr="00BC31E0">
        <w:rPr>
          <w:rFonts w:hint="eastAsia"/>
        </w:rPr>
        <w:t>行ってもよい</w:t>
      </w:r>
      <w:r w:rsidRPr="00BC31E0">
        <w:rPr>
          <w:rFonts w:hint="eastAsia"/>
        </w:rPr>
        <w:t>。</w:t>
      </w:r>
    </w:p>
    <w:p w14:paraId="1B0BF54E" w14:textId="77777777" w:rsidR="00CD54F8" w:rsidRPr="00BC31E0" w:rsidRDefault="00CD54F8" w:rsidP="00736130">
      <w:pPr>
        <w:numPr>
          <w:ilvl w:val="0"/>
          <w:numId w:val="145"/>
        </w:numPr>
        <w:ind w:left="738" w:hanging="454"/>
      </w:pPr>
      <w:r w:rsidRPr="00BC31E0">
        <w:rPr>
          <w:rFonts w:hint="eastAsia"/>
        </w:rPr>
        <w:t>崩壊荷重を測定する試験では，最小崩壊荷重を示す可能性をもつ</w:t>
      </w:r>
      <w:r w:rsidR="00DC160D" w:rsidRPr="00BC31E0">
        <w:rPr>
          <w:rFonts w:hint="eastAsia"/>
        </w:rPr>
        <w:t>全</w:t>
      </w:r>
      <w:r w:rsidRPr="00BC31E0">
        <w:rPr>
          <w:rFonts w:hint="eastAsia"/>
        </w:rPr>
        <w:t>ての範囲が含まれるように十分な数の位置を測定しなければならない。測定の目的は，主荷重による容器内の変形を記録することであることに注意する。二次又はピークによる応力集中部を測定しないように注意</w:t>
      </w:r>
      <w:r w:rsidR="00E43AED" w:rsidRPr="00BC31E0">
        <w:rPr>
          <w:rFonts w:hint="eastAsia"/>
        </w:rPr>
        <w:t>しなければならない</w:t>
      </w:r>
      <w:r w:rsidRPr="00BC31E0">
        <w:rPr>
          <w:rFonts w:hint="eastAsia"/>
        </w:rPr>
        <w:t>。崩壊荷重の決定にひずみゲージを使う時には，測定するひずみ</w:t>
      </w:r>
      <w:r w:rsidRPr="00BC31E0">
        <w:rPr>
          <w:rFonts w:hint="eastAsia"/>
        </w:rPr>
        <w:t>(</w:t>
      </w:r>
      <w:r w:rsidRPr="00BC31E0">
        <w:rPr>
          <w:rFonts w:hint="eastAsia"/>
        </w:rPr>
        <w:t>膜ひずみ，曲げひずみ又はこれらの組合せ</w:t>
      </w:r>
      <w:r w:rsidRPr="00BC31E0">
        <w:rPr>
          <w:rFonts w:hint="eastAsia"/>
        </w:rPr>
        <w:t>)</w:t>
      </w:r>
      <w:r w:rsidR="00FC423C" w:rsidRPr="00BC31E0">
        <w:rPr>
          <w:rFonts w:hint="eastAsia"/>
        </w:rPr>
        <w:t>は，構造物の耐荷重能力を実際に表さ</w:t>
      </w:r>
      <w:r w:rsidRPr="00BC31E0">
        <w:rPr>
          <w:rFonts w:hint="eastAsia"/>
        </w:rPr>
        <w:t>なければならない。変形測定用器具を使う時は，構造物の崩壊の傾向を表す直径又は長さの変化，梁又は板のたわみのような重要な寸法及び変位の変化を測定しなければならない。</w:t>
      </w:r>
    </w:p>
    <w:p w14:paraId="34CE6A0F" w14:textId="77777777" w:rsidR="00CD54F8" w:rsidRPr="00BC31E0" w:rsidRDefault="00CD54F8" w:rsidP="00736130">
      <w:pPr>
        <w:numPr>
          <w:ilvl w:val="0"/>
          <w:numId w:val="144"/>
        </w:numPr>
        <w:ind w:left="454" w:hanging="454"/>
      </w:pPr>
      <w:r w:rsidRPr="00BC31E0">
        <w:rPr>
          <w:rFonts w:asciiTheme="majorEastAsia" w:eastAsiaTheme="majorEastAsia" w:hAnsiTheme="majorEastAsia" w:hint="eastAsia"/>
          <w:b/>
        </w:rPr>
        <w:t>圧力計及び変換器</w:t>
      </w:r>
      <w:r w:rsidRPr="00BC31E0">
        <w:rPr>
          <w:rFonts w:ascii="ＭＳ 明朝" w:hAnsi="ＭＳ 明朝" w:hint="eastAsia"/>
        </w:rPr>
        <w:t xml:space="preserve">　</w:t>
      </w:r>
      <w:r w:rsidRPr="00BC31E0">
        <w:rPr>
          <w:rFonts w:hint="eastAsia"/>
        </w:rPr>
        <w:t>圧力計及び変換器は，</w:t>
      </w:r>
      <w:r w:rsidRPr="00BC31E0">
        <w:rPr>
          <w:rFonts w:asciiTheme="majorEastAsia" w:eastAsiaTheme="majorEastAsia" w:hAnsiTheme="majorEastAsia" w:hint="eastAsia"/>
          <w:b/>
          <w:bCs/>
        </w:rPr>
        <w:t>10.3</w:t>
      </w:r>
      <w:r w:rsidRPr="00BC31E0">
        <w:rPr>
          <w:rFonts w:hint="eastAsia"/>
        </w:rPr>
        <w:t>の要求事項による。</w:t>
      </w:r>
    </w:p>
    <w:p w14:paraId="6DC7882E" w14:textId="77777777" w:rsidR="00CD54F8" w:rsidRPr="00BC31E0" w:rsidRDefault="00CD54F8" w:rsidP="00736130">
      <w:pPr>
        <w:numPr>
          <w:ilvl w:val="0"/>
          <w:numId w:val="144"/>
        </w:numPr>
        <w:ind w:left="454" w:hanging="454"/>
      </w:pPr>
      <w:r w:rsidRPr="00BC31E0">
        <w:rPr>
          <w:rFonts w:asciiTheme="majorEastAsia" w:eastAsiaTheme="majorEastAsia" w:hAnsiTheme="majorEastAsia" w:hint="eastAsia"/>
          <w:b/>
        </w:rPr>
        <w:t>圧力や荷重の負荷法</w:t>
      </w:r>
      <w:r w:rsidRPr="00BC31E0">
        <w:rPr>
          <w:rFonts w:hAnsi="ＭＳ 明朝" w:hint="eastAsia"/>
        </w:rPr>
        <w:t xml:space="preserve">　</w:t>
      </w:r>
      <w:r w:rsidRPr="00BC31E0">
        <w:rPr>
          <w:rFonts w:hint="eastAsia"/>
        </w:rPr>
        <w:t>圧力荷重の負荷法は，次の</w:t>
      </w:r>
      <w:r w:rsidRPr="00BC31E0">
        <w:rPr>
          <w:rFonts w:asciiTheme="majorEastAsia" w:eastAsiaTheme="majorEastAsia" w:hAnsiTheme="majorEastAsia" w:hint="eastAsia"/>
          <w:b/>
        </w:rPr>
        <w:t>1)</w:t>
      </w:r>
      <w:r w:rsidRPr="00BC31E0">
        <w:rPr>
          <w:rFonts w:hint="eastAsia"/>
        </w:rPr>
        <w:t>～</w:t>
      </w:r>
      <w:r w:rsidRPr="00BC31E0">
        <w:rPr>
          <w:rFonts w:asciiTheme="majorEastAsia" w:eastAsiaTheme="majorEastAsia" w:hAnsiTheme="majorEastAsia" w:hint="eastAsia"/>
          <w:b/>
        </w:rPr>
        <w:t>4)</w:t>
      </w:r>
      <w:r w:rsidRPr="00BC31E0">
        <w:rPr>
          <w:rFonts w:hint="eastAsia"/>
        </w:rPr>
        <w:t>による。</w:t>
      </w:r>
    </w:p>
    <w:p w14:paraId="1AC03889" w14:textId="77777777" w:rsidR="00CD54F8" w:rsidRPr="00BC31E0" w:rsidRDefault="00CD54F8" w:rsidP="00736130">
      <w:pPr>
        <w:numPr>
          <w:ilvl w:val="0"/>
          <w:numId w:val="146"/>
        </w:numPr>
        <w:ind w:left="738" w:hanging="454"/>
      </w:pPr>
      <w:r w:rsidRPr="00BC31E0">
        <w:rPr>
          <w:rFonts w:hint="eastAsia"/>
        </w:rPr>
        <w:t>支配的な応力の決定のための試験においては，荷重に対するひずみの変化をプロットすることによって，弾性領域での応力と荷重の関係を求めることができるような，内圧又は，機械的荷重の増分を決定しなければならない。最初に荷重を加えた時，ひずみが荷重に直線的に比例していない場合には，直線的な比例関係が得られるまで除荷，再負荷を繰返してもよい。</w:t>
      </w:r>
    </w:p>
    <w:p w14:paraId="5B45A1EE" w14:textId="77777777" w:rsidR="00CD54F8" w:rsidRPr="00BC31E0" w:rsidRDefault="00CD54F8" w:rsidP="00736130">
      <w:pPr>
        <w:numPr>
          <w:ilvl w:val="0"/>
          <w:numId w:val="146"/>
        </w:numPr>
        <w:ind w:left="738" w:hanging="454"/>
      </w:pPr>
      <w:r w:rsidRPr="00BC31E0">
        <w:rPr>
          <w:rFonts w:hint="eastAsia"/>
        </w:rPr>
        <w:t>応力凍結光弾性試験を行う場合には，試験結果を無意味にするほどの変形を生じないように荷重の大きさを決定しなければならない。</w:t>
      </w:r>
    </w:p>
    <w:p w14:paraId="19621037" w14:textId="77777777" w:rsidR="00CD54F8" w:rsidRPr="00BC31E0" w:rsidRDefault="00CD54F8" w:rsidP="00736130">
      <w:pPr>
        <w:numPr>
          <w:ilvl w:val="0"/>
          <w:numId w:val="146"/>
        </w:numPr>
        <w:ind w:left="738" w:hanging="454"/>
      </w:pPr>
      <w:r w:rsidRPr="00BC31E0">
        <w:rPr>
          <w:rFonts w:hint="eastAsia"/>
        </w:rPr>
        <w:t>崩壊荷重を決定するための試験においては，線形な弾性領域で</w:t>
      </w:r>
      <w:r w:rsidR="00DC160D" w:rsidRPr="00BC31E0">
        <w:rPr>
          <w:rFonts w:hint="eastAsia"/>
        </w:rPr>
        <w:t>全</w:t>
      </w:r>
      <w:r w:rsidRPr="00BC31E0">
        <w:rPr>
          <w:rFonts w:hint="eastAsia"/>
        </w:rPr>
        <w:t>てのゲージから統計的解析に十分な数のデータが得られるように，十分小さい増分で荷重を負荷しなければならない。なお，線形な弾性領域以上での</w:t>
      </w:r>
      <w:r w:rsidR="00DC160D" w:rsidRPr="00BC31E0">
        <w:rPr>
          <w:rFonts w:hint="eastAsia"/>
        </w:rPr>
        <w:t>全</w:t>
      </w:r>
      <w:r w:rsidRPr="00BC31E0">
        <w:rPr>
          <w:rFonts w:hint="eastAsia"/>
        </w:rPr>
        <w:t>てのゲージの特性を調べておく。弾性領域で最適な直線を得るために最小二乗法</w:t>
      </w:r>
      <w:r w:rsidRPr="00BC31E0">
        <w:rPr>
          <w:rFonts w:hint="eastAsia"/>
        </w:rPr>
        <w:t>(</w:t>
      </w:r>
      <w:r w:rsidRPr="00BC31E0">
        <w:rPr>
          <w:rFonts w:hint="eastAsia"/>
        </w:rPr>
        <w:t>回帰法</w:t>
      </w:r>
      <w:r w:rsidRPr="00BC31E0">
        <w:rPr>
          <w:rFonts w:hint="eastAsia"/>
        </w:rPr>
        <w:t>)</w:t>
      </w:r>
      <w:r w:rsidRPr="00BC31E0">
        <w:rPr>
          <w:rFonts w:hint="eastAsia"/>
        </w:rPr>
        <w:t>による解析を行い，信頼区間と設定値を比較することによって，ひずみゲージ又はその他の測定装置の採否を判定しなければならない。不採用となった測定装置は取り換え，取り換えたものについては再試験しなければならない。</w:t>
      </w:r>
    </w:p>
    <w:p w14:paraId="6214BEE8" w14:textId="77777777" w:rsidR="00CD54F8" w:rsidRPr="00BC31E0" w:rsidRDefault="00CD54F8" w:rsidP="00736130">
      <w:pPr>
        <w:numPr>
          <w:ilvl w:val="0"/>
          <w:numId w:val="146"/>
        </w:numPr>
        <w:ind w:left="738" w:hanging="454"/>
      </w:pPr>
      <w:r w:rsidRPr="00BC31E0">
        <w:rPr>
          <w:rFonts w:hint="eastAsia"/>
        </w:rPr>
        <w:t>試験は</w:t>
      </w:r>
      <w:r w:rsidR="00DC160D" w:rsidRPr="00BC31E0">
        <w:rPr>
          <w:rFonts w:hint="eastAsia"/>
        </w:rPr>
        <w:t>全</w:t>
      </w:r>
      <w:r w:rsidRPr="00BC31E0">
        <w:rPr>
          <w:rFonts w:hint="eastAsia"/>
        </w:rPr>
        <w:t>ての測定装置が使用可能となってから，ひずみ制御又は変位制御で行うのが望ましい。荷重の増減は，各荷重での材料の流動が完了するよう適当な時間をもって行わ</w:t>
      </w:r>
      <w:r w:rsidRPr="00BC31E0">
        <w:rPr>
          <w:rFonts w:hint="eastAsia"/>
        </w:rPr>
        <w:lastRenderedPageBreak/>
        <w:t>なければならない。</w:t>
      </w:r>
    </w:p>
    <w:p w14:paraId="50ECBB92" w14:textId="77777777" w:rsidR="00CD54F8" w:rsidRPr="00BC31E0" w:rsidRDefault="00EB529C" w:rsidP="00B83FC6">
      <w:pPr>
        <w:pStyle w:val="3"/>
        <w:tabs>
          <w:tab w:val="clear" w:pos="284"/>
        </w:tabs>
        <w:ind w:left="794" w:hanging="794"/>
      </w:pPr>
      <w:r w:rsidRPr="00BC31E0">
        <w:rPr>
          <w:rFonts w:hint="eastAsia"/>
        </w:rPr>
        <w:t xml:space="preserve"> </w:t>
      </w:r>
      <w:r w:rsidR="00CD54F8" w:rsidRPr="00BC31E0">
        <w:rPr>
          <w:rFonts w:hint="eastAsia"/>
        </w:rPr>
        <w:t>結果の評価</w:t>
      </w:r>
    </w:p>
    <w:p w14:paraId="24E4C275" w14:textId="77777777" w:rsidR="00CD54F8" w:rsidRPr="00BC31E0" w:rsidRDefault="00CD54F8" w:rsidP="009E4D11">
      <w:pPr>
        <w:pStyle w:val="1110"/>
        <w:ind w:firstLine="210"/>
      </w:pPr>
      <w:r w:rsidRPr="00BC31E0">
        <w:rPr>
          <w:rFonts w:hint="eastAsia"/>
        </w:rPr>
        <w:t>結果の評価は，次の</w:t>
      </w:r>
      <w:r w:rsidRPr="00BC31E0">
        <w:rPr>
          <w:rFonts w:ascii="ＭＳ ゴシック" w:hAnsi="ＭＳ ゴシック" w:hint="eastAsia"/>
          <w:b/>
        </w:rPr>
        <w:t>a)</w:t>
      </w:r>
      <w:r w:rsidRPr="00BC31E0">
        <w:rPr>
          <w:rFonts w:hint="eastAsia"/>
        </w:rPr>
        <w:t>～</w:t>
      </w:r>
      <w:r w:rsidRPr="00BC31E0">
        <w:rPr>
          <w:rFonts w:ascii="ＭＳ ゴシック" w:hAnsi="ＭＳ ゴシック" w:hint="eastAsia"/>
          <w:b/>
        </w:rPr>
        <w:t>d)</w:t>
      </w:r>
      <w:r w:rsidRPr="00BC31E0">
        <w:rPr>
          <w:rFonts w:hint="eastAsia"/>
        </w:rPr>
        <w:t>による。</w:t>
      </w:r>
    </w:p>
    <w:p w14:paraId="7704C3FD" w14:textId="77777777" w:rsidR="00CD54F8" w:rsidRPr="00BC31E0" w:rsidRDefault="00CD54F8" w:rsidP="00736130">
      <w:pPr>
        <w:numPr>
          <w:ilvl w:val="0"/>
          <w:numId w:val="147"/>
        </w:numPr>
        <w:ind w:left="454" w:hanging="454"/>
      </w:pPr>
      <w:r w:rsidRPr="00BC31E0">
        <w:rPr>
          <w:rFonts w:asciiTheme="majorEastAsia" w:eastAsiaTheme="majorEastAsia" w:hAnsiTheme="majorEastAsia" w:hint="eastAsia"/>
          <w:b/>
          <w:bCs/>
        </w:rPr>
        <w:t>応力の算定</w:t>
      </w:r>
      <w:r w:rsidRPr="00BC31E0">
        <w:rPr>
          <w:rFonts w:hint="eastAsia"/>
          <w:bCs/>
        </w:rPr>
        <w:t xml:space="preserve">　</w:t>
      </w:r>
      <w:r w:rsidRPr="00BC31E0">
        <w:rPr>
          <w:rFonts w:hint="eastAsia"/>
        </w:rPr>
        <w:t>ひずみの測定値から設計荷重に対応する応力を計算する時には，材料が弾性であると仮定する。この</w:t>
      </w:r>
      <w:r w:rsidR="00A84424" w:rsidRPr="00BC31E0">
        <w:rPr>
          <w:rFonts w:hint="eastAsia"/>
        </w:rPr>
        <w:t>とき</w:t>
      </w:r>
      <w:r w:rsidRPr="00BC31E0">
        <w:rPr>
          <w:rFonts w:hint="eastAsia"/>
        </w:rPr>
        <w:t>使用する縦弾性係数は，試験材料の試験温度における</w:t>
      </w:r>
      <w:r w:rsidR="00ED7D63" w:rsidRPr="00BC31E0">
        <w:rPr>
          <w:rFonts w:hint="eastAsia"/>
        </w:rPr>
        <w:t>値</w:t>
      </w:r>
      <w:r w:rsidRPr="00BC31E0">
        <w:rPr>
          <w:rFonts w:hint="eastAsia"/>
        </w:rPr>
        <w:t>でなければならない。</w:t>
      </w:r>
    </w:p>
    <w:p w14:paraId="0CDFB7AD" w14:textId="77777777" w:rsidR="00CD54F8" w:rsidRPr="00BC31E0" w:rsidRDefault="00CD54F8" w:rsidP="00736130">
      <w:pPr>
        <w:numPr>
          <w:ilvl w:val="0"/>
          <w:numId w:val="147"/>
        </w:numPr>
        <w:ind w:left="454" w:hanging="454"/>
      </w:pPr>
      <w:r w:rsidRPr="00BC31E0">
        <w:rPr>
          <w:rFonts w:asciiTheme="majorEastAsia" w:eastAsiaTheme="majorEastAsia" w:hAnsiTheme="majorEastAsia" w:hint="eastAsia"/>
          <w:b/>
        </w:rPr>
        <w:t>応力解析の範囲</w:t>
      </w:r>
      <w:r w:rsidRPr="00BC31E0">
        <w:rPr>
          <w:rFonts w:hint="eastAsia"/>
        </w:rPr>
        <w:t xml:space="preserve">　実験的応力解析は，</w:t>
      </w:r>
      <w:r w:rsidRPr="00BC31E0">
        <w:rPr>
          <w:rFonts w:asciiTheme="majorEastAsia" w:eastAsiaTheme="majorEastAsia" w:hAnsiTheme="majorEastAsia" w:hint="eastAsia"/>
          <w:b/>
          <w:bCs/>
        </w:rPr>
        <w:t>6.11.1 a)</w:t>
      </w:r>
      <w:r w:rsidRPr="00BC31E0">
        <w:rPr>
          <w:rFonts w:hint="eastAsia"/>
        </w:rPr>
        <w:t>に述べられているように，設計値を得ることができない場合に対して，支配的な応力を決定するのに十分な範囲で行わなければならない。一次，二次及びピーク応力に分類し，それぞれの応力強さの許容値を適用できるように，解析的方法と実験的方法を可能な限り併用しなければならない。</w:t>
      </w:r>
    </w:p>
    <w:p w14:paraId="7D961793" w14:textId="77777777" w:rsidR="00CD54F8" w:rsidRPr="00BC31E0" w:rsidRDefault="00CD54F8" w:rsidP="00736130">
      <w:pPr>
        <w:numPr>
          <w:ilvl w:val="0"/>
          <w:numId w:val="147"/>
        </w:numPr>
        <w:ind w:left="454" w:hanging="454"/>
      </w:pPr>
      <w:r w:rsidRPr="00BC31E0">
        <w:rPr>
          <w:rFonts w:asciiTheme="majorEastAsia" w:eastAsiaTheme="majorEastAsia" w:hAnsiTheme="majorEastAsia" w:hint="eastAsia"/>
          <w:b/>
        </w:rPr>
        <w:t>崩壊荷重決定法</w:t>
      </w:r>
      <w:r w:rsidRPr="00BC31E0">
        <w:rPr>
          <w:rFonts w:hint="eastAsia"/>
        </w:rPr>
        <w:t xml:space="preserve">　崩壊荷重の決定手順を，次の</w:t>
      </w:r>
      <w:r w:rsidRPr="00BC31E0">
        <w:rPr>
          <w:rFonts w:asciiTheme="majorEastAsia" w:eastAsiaTheme="majorEastAsia" w:hAnsiTheme="majorEastAsia" w:hint="eastAsia"/>
          <w:b/>
        </w:rPr>
        <w:t>1)</w:t>
      </w:r>
      <w:r w:rsidRPr="00BC31E0">
        <w:rPr>
          <w:rFonts w:hint="eastAsia"/>
        </w:rPr>
        <w:t>～</w:t>
      </w:r>
      <w:r w:rsidRPr="00BC31E0">
        <w:rPr>
          <w:rFonts w:asciiTheme="majorEastAsia" w:eastAsiaTheme="majorEastAsia" w:hAnsiTheme="majorEastAsia" w:hint="eastAsia"/>
          <w:b/>
        </w:rPr>
        <w:t>3)</w:t>
      </w:r>
      <w:r w:rsidRPr="00BC31E0">
        <w:rPr>
          <w:rFonts w:hint="eastAsia"/>
        </w:rPr>
        <w:t>に示す。</w:t>
      </w:r>
    </w:p>
    <w:p w14:paraId="0213574B" w14:textId="77777777" w:rsidR="00CD54F8" w:rsidRPr="00BC31E0" w:rsidRDefault="00CD54F8" w:rsidP="00736130">
      <w:pPr>
        <w:numPr>
          <w:ilvl w:val="0"/>
          <w:numId w:val="148"/>
        </w:numPr>
        <w:ind w:left="738" w:hanging="454"/>
      </w:pPr>
      <w:r w:rsidRPr="00BC31E0">
        <w:rPr>
          <w:rFonts w:hint="eastAsia"/>
        </w:rPr>
        <w:t>変形測定試験の場合には，荷重を縦軸に，測定した変形を横軸にとる。ひずみ測定試験の場合には，荷重を縦軸に，表面での最大主ひずみを横軸にとる。試験崩壊荷重は，最大</w:t>
      </w:r>
      <w:r w:rsidRPr="00BC31E0">
        <w:rPr>
          <w:rFonts w:ascii="Cambria Math" w:hAnsi="Cambria Math"/>
        </w:rPr>
        <w:t>2%</w:t>
      </w:r>
      <w:r w:rsidRPr="00BC31E0">
        <w:rPr>
          <w:rFonts w:hint="eastAsia"/>
        </w:rPr>
        <w:t>までのひずみを生じる荷重として得</w:t>
      </w:r>
      <w:r w:rsidR="00C51259" w:rsidRPr="00BC31E0">
        <w:rPr>
          <w:rFonts w:hint="eastAsia"/>
        </w:rPr>
        <w:t>られる。このひずみ限界は，主荷重による試験容器の実際のひずみを元</w:t>
      </w:r>
      <w:r w:rsidRPr="00BC31E0">
        <w:rPr>
          <w:rFonts w:hint="eastAsia"/>
        </w:rPr>
        <w:t>にしなければならない。このため，ひずみゲージ又は変形測定装置は主荷重による結果が得られて，二次又はピークによる影響を避けられる場所に設置しなければならない</w:t>
      </w:r>
      <w:r w:rsidR="00185968" w:rsidRPr="00BC31E0">
        <w:rPr>
          <w:rFonts w:hint="eastAsia"/>
        </w:rPr>
        <w:t>[</w:t>
      </w:r>
      <w:r w:rsidRPr="00BC31E0">
        <w:rPr>
          <w:rFonts w:asciiTheme="majorEastAsia" w:eastAsiaTheme="majorEastAsia" w:hAnsiTheme="majorEastAsia" w:hint="eastAsia"/>
          <w:b/>
        </w:rPr>
        <w:t>6.11.5 a)</w:t>
      </w:r>
      <w:r w:rsidRPr="00BC31E0">
        <w:rPr>
          <w:rFonts w:ascii="ＭＳ 明朝" w:hAnsi="ＭＳ 明朝" w:hint="eastAsia"/>
        </w:rPr>
        <w:t>を</w:t>
      </w:r>
      <w:r w:rsidRPr="00BC31E0">
        <w:rPr>
          <w:rFonts w:hint="eastAsia"/>
        </w:rPr>
        <w:t>参照</w:t>
      </w:r>
      <w:r w:rsidR="00185968" w:rsidRPr="00BC31E0">
        <w:rPr>
          <w:rFonts w:hint="eastAsia"/>
        </w:rPr>
        <w:t>]</w:t>
      </w:r>
      <w:r w:rsidRPr="00BC31E0">
        <w:rPr>
          <w:rFonts w:hint="eastAsia"/>
        </w:rPr>
        <w:t>。</w:t>
      </w:r>
    </w:p>
    <w:p w14:paraId="3B089982" w14:textId="77777777" w:rsidR="00CD54F8" w:rsidRPr="00BC31E0" w:rsidRDefault="00CD54F8" w:rsidP="00736130">
      <w:pPr>
        <w:numPr>
          <w:ilvl w:val="0"/>
          <w:numId w:val="148"/>
        </w:numPr>
        <w:ind w:left="738" w:hanging="454"/>
      </w:pPr>
      <w:r w:rsidRPr="00BC31E0">
        <w:rPr>
          <w:rFonts w:hint="eastAsia"/>
          <w:iCs/>
        </w:rPr>
        <w:t>崩壊荷重</w:t>
      </w:r>
      <w:r w:rsidRPr="00BC31E0">
        <w:rPr>
          <w:rFonts w:hint="eastAsia"/>
        </w:rPr>
        <w:t>が決定する前に容器が破壊するか圧力限界を保持できなくなった場合，容器を再設計し再試験しなければならない。崩壊荷重を得るのに十分な圧力に容器が耐えるまで，これは前述の方法で繰り返される。</w:t>
      </w:r>
    </w:p>
    <w:p w14:paraId="53F5F216" w14:textId="77777777" w:rsidR="00CD54F8" w:rsidRPr="00BC31E0" w:rsidRDefault="00CD54F8" w:rsidP="00736130">
      <w:pPr>
        <w:numPr>
          <w:ilvl w:val="0"/>
          <w:numId w:val="148"/>
        </w:numPr>
        <w:ind w:left="738" w:hanging="454"/>
      </w:pPr>
      <w:r w:rsidRPr="00BC31E0">
        <w:rPr>
          <w:rFonts w:hint="eastAsia"/>
        </w:rPr>
        <w:t>設計又は評価の目的に使用する崩壊荷重は，この試験崩壊荷重に使用材料の設計温度での降伏強さと試験材料の試験温度における降伏強さの比を乗じることによって求める。設計圧力が崩壊荷重試験に基づく場合，次の</w:t>
      </w:r>
      <w:r w:rsidRPr="00BC31E0">
        <w:rPr>
          <w:rFonts w:asciiTheme="majorEastAsia" w:eastAsiaTheme="majorEastAsia" w:hAnsiTheme="majorEastAsia" w:hint="eastAsia"/>
          <w:b/>
        </w:rPr>
        <w:t>d)</w:t>
      </w:r>
      <w:r w:rsidRPr="00BC31E0">
        <w:rPr>
          <w:rFonts w:hint="eastAsia"/>
        </w:rPr>
        <w:t>によって最高設計圧力を決定しなければならない。試験模型で得られた崩壊荷重と設計の実物構造物に対する崩壊荷重を関連づけるには，組立てた試験模型の実寸法に適切な考慮を払うように注意する。</w:t>
      </w:r>
    </w:p>
    <w:p w14:paraId="1D550904" w14:textId="77777777" w:rsidR="00CD54F8" w:rsidRPr="00BC31E0" w:rsidRDefault="00CD54F8" w:rsidP="00736130">
      <w:pPr>
        <w:numPr>
          <w:ilvl w:val="0"/>
          <w:numId w:val="140"/>
        </w:numPr>
        <w:ind w:left="454" w:hanging="454"/>
      </w:pPr>
      <w:r w:rsidRPr="00BC31E0">
        <w:rPr>
          <w:rFonts w:asciiTheme="majorEastAsia" w:eastAsiaTheme="majorEastAsia" w:hAnsiTheme="majorEastAsia" w:hint="eastAsia"/>
          <w:b/>
        </w:rPr>
        <w:t>室温での最大設計圧力の決定</w:t>
      </w:r>
      <w:r w:rsidRPr="00BC31E0">
        <w:rPr>
          <w:rFonts w:hint="eastAsia"/>
        </w:rPr>
        <w:t xml:space="preserve">　この項で述べられているような崩壊荷重試験に基づく場合，最大設計圧力</w:t>
      </w:r>
      <m:oMath>
        <m:r>
          <w:rPr>
            <w:rFonts w:ascii="Cambria Math" w:hAnsi="Cambria Math"/>
          </w:rPr>
          <m:t xml:space="preserve"> </m:t>
        </m:r>
        <m:r>
          <w:rPr>
            <w:rFonts w:ascii="Cambria Math" w:hAnsi="Cambria Math" w:hint="eastAsia"/>
          </w:rPr>
          <m:t>P</m:t>
        </m:r>
        <m:r>
          <w:rPr>
            <w:rFonts w:ascii="Cambria Math" w:hAnsi="Cambria Math"/>
          </w:rPr>
          <m:t xml:space="preserve"> </m:t>
        </m:r>
      </m:oMath>
      <w:r w:rsidRPr="00BC31E0">
        <w:rPr>
          <w:rFonts w:hint="eastAsia"/>
        </w:rPr>
        <w:t>は，実際の材料降伏強さを用いて，次式のうちの一つで計算しなければならない。</w:t>
      </w:r>
    </w:p>
    <w:p w14:paraId="62479BD1" w14:textId="77777777" w:rsidR="00CD54F8" w:rsidRPr="00BC31E0" w:rsidRDefault="00CD54F8" w:rsidP="00736130">
      <w:pPr>
        <w:numPr>
          <w:ilvl w:val="0"/>
          <w:numId w:val="149"/>
        </w:numPr>
        <w:spacing w:after="120"/>
        <w:ind w:left="738" w:hanging="454"/>
        <w:rPr>
          <w:rFonts w:asciiTheme="majorEastAsia" w:eastAsiaTheme="majorEastAsia" w:hAnsiTheme="majorEastAsia"/>
          <w:b/>
        </w:rPr>
      </w:pPr>
      <w:r w:rsidRPr="00BC31E0">
        <w:rPr>
          <w:rFonts w:asciiTheme="majorEastAsia" w:eastAsiaTheme="majorEastAsia" w:hAnsiTheme="majorEastAsia" w:hint="eastAsia"/>
          <w:b/>
        </w:rPr>
        <w:t>実際の測定降伏強さが材料規格で要求される試験のみで決定される場合</w:t>
      </w:r>
    </w:p>
    <w:tbl>
      <w:tblPr>
        <w:tblStyle w:val="92"/>
        <w:tblW w:w="5953" w:type="dxa"/>
        <w:tblInd w:w="3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3"/>
        <w:gridCol w:w="3950"/>
      </w:tblGrid>
      <w:tr w:rsidR="00CD54F8" w:rsidRPr="00BC31E0" w14:paraId="4E186017" w14:textId="77777777" w:rsidTr="004736F2">
        <w:tc>
          <w:tcPr>
            <w:tcW w:w="0" w:type="auto"/>
            <w:tcMar>
              <w:left w:w="0" w:type="dxa"/>
              <w:right w:w="0" w:type="dxa"/>
            </w:tcMar>
            <w:vAlign w:val="center"/>
          </w:tcPr>
          <w:p w14:paraId="7031980F" w14:textId="77777777" w:rsidR="00CD54F8" w:rsidRPr="00BC31E0" w:rsidRDefault="00CD54F8" w:rsidP="009E4D11">
            <w:pPr>
              <w:numPr>
                <w:ilvl w:val="12"/>
                <w:numId w:val="0"/>
              </w:numPr>
              <w:tabs>
                <w:tab w:val="left" w:pos="2835"/>
                <w:tab w:val="left" w:leader="middleDot" w:pos="8080"/>
              </w:tabs>
              <w:autoSpaceDE w:val="0"/>
              <w:autoSpaceDN w:val="0"/>
              <w:jc w:val="left"/>
              <w:rPr>
                <w:bCs/>
                <w:i/>
              </w:rPr>
            </w:pPr>
            <m:oMathPara>
              <m:oMathParaPr>
                <m:jc m:val="left"/>
              </m:oMathParaPr>
              <m:oMath>
                <m:r>
                  <w:rPr>
                    <w:rFonts w:ascii="Cambria Math" w:hAnsi="Cambria Math"/>
                  </w:rPr>
                  <m:t>P=</m:t>
                </m:r>
                <m:f>
                  <m:fPr>
                    <m:ctrlPr>
                      <w:rPr>
                        <w:rFonts w:ascii="Cambria Math" w:hAnsi="Cambria Math"/>
                        <w:bCs/>
                        <w:i/>
                      </w:rPr>
                    </m:ctrlPr>
                  </m:fPr>
                  <m:num>
                    <m:r>
                      <w:rPr>
                        <w:rFonts w:ascii="Cambria Math" w:hAnsi="Cambria Math"/>
                      </w:rPr>
                      <m:t>0.8</m:t>
                    </m:r>
                  </m:num>
                  <m:den>
                    <m:r>
                      <w:rPr>
                        <w:rFonts w:ascii="Cambria Math" w:hAnsi="Cambria Math"/>
                      </w:rPr>
                      <m:t>1.732</m:t>
                    </m:r>
                  </m:den>
                </m:f>
                <m:r>
                  <w:rPr>
                    <w:rFonts w:ascii="Cambria Math" w:hAnsi="Cambria Math"/>
                  </w:rPr>
                  <m:t xml:space="preserve"> CP </m:t>
                </m:r>
                <m:d>
                  <m:dPr>
                    <m:ctrlPr>
                      <w:rPr>
                        <w:rFonts w:ascii="Cambria Math" w:hAnsi="Cambria Math"/>
                        <w:bCs/>
                        <w:i/>
                      </w:rPr>
                    </m:ctrlPr>
                  </m:dPr>
                  <m:e>
                    <m:f>
                      <m:fPr>
                        <m:ctrlPr>
                          <w:rPr>
                            <w:rFonts w:ascii="Cambria Math" w:hAnsi="Cambria Math"/>
                            <w:bCs/>
                            <w:i/>
                          </w:rPr>
                        </m:ctrlPr>
                      </m:fPr>
                      <m:num>
                        <m:sSub>
                          <m:sSubPr>
                            <m:ctrlPr>
                              <w:rPr>
                                <w:rFonts w:ascii="Cambria Math" w:hAnsi="Cambria Math"/>
                                <w:bCs/>
                                <w:i/>
                              </w:rPr>
                            </m:ctrlPr>
                          </m:sSubPr>
                          <m:e>
                            <m:r>
                              <w:rPr>
                                <w:rFonts w:ascii="Cambria Math" w:hAnsi="Cambria Math"/>
                              </w:rPr>
                              <m:t>S</m:t>
                            </m:r>
                          </m:e>
                          <m:sub>
                            <m:r>
                              <w:rPr>
                                <w:rFonts w:ascii="Cambria Math" w:hAnsi="Cambria Math"/>
                              </w:rPr>
                              <m:t>y</m:t>
                            </m:r>
                          </m:sub>
                        </m:sSub>
                      </m:num>
                      <m:den>
                        <m:sSub>
                          <m:sSubPr>
                            <m:ctrlPr>
                              <w:rPr>
                                <w:rFonts w:ascii="Cambria Math" w:hAnsi="Cambria Math"/>
                                <w:bCs/>
                                <w:i/>
                              </w:rPr>
                            </m:ctrlPr>
                          </m:sSubPr>
                          <m:e>
                            <m:r>
                              <w:rPr>
                                <w:rFonts w:ascii="Cambria Math" w:hAnsi="Cambria Math"/>
                              </w:rPr>
                              <m:t>S</m:t>
                            </m:r>
                          </m:e>
                          <m:sub>
                            <m:r>
                              <w:rPr>
                                <w:rFonts w:ascii="Cambria Math" w:hAnsi="Cambria Math"/>
                              </w:rPr>
                              <m:t>yms</m:t>
                            </m:r>
                          </m:sub>
                        </m:sSub>
                      </m:den>
                    </m:f>
                  </m:e>
                </m:d>
              </m:oMath>
            </m:oMathPara>
          </w:p>
        </w:tc>
        <w:tc>
          <w:tcPr>
            <w:tcW w:w="3950" w:type="dxa"/>
            <w:tcMar>
              <w:left w:w="0" w:type="dxa"/>
              <w:right w:w="0" w:type="dxa"/>
            </w:tcMar>
            <w:vAlign w:val="center"/>
          </w:tcPr>
          <w:p w14:paraId="39A3704F" w14:textId="77777777" w:rsidR="00CD54F8" w:rsidRPr="00BC31E0" w:rsidRDefault="00CD54F8" w:rsidP="009E4D11">
            <w:pPr>
              <w:numPr>
                <w:ilvl w:val="12"/>
                <w:numId w:val="0"/>
              </w:numPr>
              <w:tabs>
                <w:tab w:val="left" w:leader="middleDot" w:pos="2958"/>
              </w:tabs>
              <w:autoSpaceDE w:val="0"/>
              <w:autoSpaceDN w:val="0"/>
              <w:jc w:val="left"/>
              <w:rPr>
                <w:bCs/>
              </w:rPr>
            </w:pPr>
            <w:r w:rsidRPr="00BC31E0">
              <w:rPr>
                <w:bCs/>
              </w:rPr>
              <w:tab/>
            </w:r>
            <w:r w:rsidRPr="00BC31E0">
              <w:rPr>
                <w:rFonts w:hint="eastAsia"/>
                <w:bCs/>
              </w:rPr>
              <w:t>(6.11.1)</w:t>
            </w:r>
          </w:p>
        </w:tc>
      </w:tr>
    </w:tbl>
    <w:p w14:paraId="182B2095" w14:textId="77777777" w:rsidR="00CD54F8" w:rsidRPr="00BC31E0" w:rsidRDefault="00CD54F8" w:rsidP="009E4D11">
      <w:pPr>
        <w:numPr>
          <w:ilvl w:val="12"/>
          <w:numId w:val="0"/>
        </w:numPr>
        <w:autoSpaceDE w:val="0"/>
        <w:autoSpaceDN w:val="0"/>
        <w:ind w:left="737" w:firstLine="227"/>
        <w:rPr>
          <w:rFonts w:asciiTheme="minorEastAsia" w:eastAsiaTheme="minorEastAsia" w:hAnsiTheme="minorEastAsia"/>
        </w:rPr>
      </w:pPr>
      <w:r w:rsidRPr="00BC31E0">
        <w:rPr>
          <w:rFonts w:asciiTheme="minorEastAsia" w:eastAsiaTheme="minorEastAsia" w:hAnsiTheme="minorEastAsia" w:hint="eastAsia"/>
        </w:rPr>
        <w:t>ここで，</w:t>
      </w:r>
    </w:p>
    <w:p w14:paraId="498DBFE2" w14:textId="77777777" w:rsidR="00CD54F8" w:rsidRPr="00BC31E0" w:rsidRDefault="00CD54F8" w:rsidP="009E4D11">
      <w:pPr>
        <w:numPr>
          <w:ilvl w:val="12"/>
          <w:numId w:val="0"/>
        </w:numPr>
        <w:tabs>
          <w:tab w:val="left" w:pos="1985"/>
        </w:tabs>
        <w:autoSpaceDE w:val="0"/>
        <w:autoSpaceDN w:val="0"/>
        <w:ind w:left="1418"/>
      </w:pPr>
      <m:oMath>
        <m:r>
          <w:rPr>
            <w:rFonts w:ascii="Cambria Math" w:hAnsi="Cambria Math"/>
          </w:rPr>
          <m:t>CP</m:t>
        </m:r>
      </m:oMath>
      <w:r w:rsidRPr="00BC31E0">
        <w:rPr>
          <w:rFonts w:asciiTheme="minorHAnsi" w:hAnsiTheme="minorHAnsi"/>
        </w:rPr>
        <w:tab/>
      </w:r>
      <w:r w:rsidRPr="00BC31E0">
        <w:rPr>
          <w:rFonts w:hint="eastAsia"/>
        </w:rPr>
        <w:t>：</w:t>
      </w:r>
      <w:r w:rsidRPr="00BC31E0">
        <w:t xml:space="preserve"> </w:t>
      </w:r>
      <w:r w:rsidRPr="00BC31E0">
        <w:rPr>
          <w:rFonts w:hint="eastAsia"/>
        </w:rPr>
        <w:t>崩壊荷重</w:t>
      </w:r>
      <w:r w:rsidRPr="00BC31E0">
        <w:rPr>
          <w:rFonts w:hint="eastAsia"/>
        </w:rPr>
        <w:t>(</w:t>
      </w:r>
      <w:r w:rsidRPr="00BC31E0">
        <w:rPr>
          <w:rFonts w:asciiTheme="minorHAnsi" w:hAnsiTheme="minorHAnsi"/>
        </w:rPr>
        <w:t>MPa</w:t>
      </w:r>
      <w:r w:rsidRPr="00BC31E0">
        <w:rPr>
          <w:rFonts w:hint="eastAsia"/>
        </w:rPr>
        <w:t>)</w:t>
      </w:r>
    </w:p>
    <w:p w14:paraId="5E070D14" w14:textId="77777777" w:rsidR="00CD54F8" w:rsidRPr="00BC31E0" w:rsidRDefault="00A51873" w:rsidP="009E4D11">
      <w:pPr>
        <w:numPr>
          <w:ilvl w:val="12"/>
          <w:numId w:val="0"/>
        </w:numPr>
        <w:tabs>
          <w:tab w:val="left" w:pos="1985"/>
        </w:tabs>
        <w:autoSpaceDE w:val="0"/>
        <w:autoSpaceDN w:val="0"/>
        <w:ind w:left="1418"/>
      </w:pPr>
      <m:oMath>
        <m:sSub>
          <m:sSubPr>
            <m:ctrlPr>
              <w:rPr>
                <w:rFonts w:ascii="Cambria Math" w:hAnsi="Cambria Math"/>
                <w:i/>
              </w:rPr>
            </m:ctrlPr>
          </m:sSubPr>
          <m:e>
            <m:r>
              <w:rPr>
                <w:rFonts w:ascii="Cambria Math" w:hAnsi="Cambria Math"/>
              </w:rPr>
              <m:t>S</m:t>
            </m:r>
          </m:e>
          <m:sub>
            <m:r>
              <w:rPr>
                <w:rFonts w:ascii="Cambria Math" w:hAnsi="Cambria Math"/>
              </w:rPr>
              <m:t>y</m:t>
            </m:r>
          </m:sub>
        </m:sSub>
      </m:oMath>
      <w:r w:rsidR="00CD54F8" w:rsidRPr="00BC31E0">
        <w:rPr>
          <w:rFonts w:asciiTheme="minorHAnsi" w:hAnsiTheme="minorHAnsi"/>
        </w:rPr>
        <w:tab/>
      </w:r>
      <w:r w:rsidR="00CD54F8" w:rsidRPr="00BC31E0">
        <w:rPr>
          <w:rFonts w:asciiTheme="minorEastAsia" w:eastAsiaTheme="minorEastAsia" w:hAnsiTheme="minorEastAsia" w:hint="eastAsia"/>
        </w:rPr>
        <w:t>：</w:t>
      </w:r>
      <w:r w:rsidR="00CD54F8" w:rsidRPr="00BC31E0">
        <w:t xml:space="preserve"> </w:t>
      </w:r>
      <w:r w:rsidR="00CD54F8" w:rsidRPr="00BC31E0">
        <w:rPr>
          <w:rFonts w:hint="eastAsia"/>
        </w:rPr>
        <w:t>室温での</w:t>
      </w:r>
      <w:r w:rsidR="00293343" w:rsidRPr="00BC31E0">
        <w:rPr>
          <w:rFonts w:hint="eastAsia"/>
        </w:rPr>
        <w:t>規定</w:t>
      </w:r>
      <w:r w:rsidR="00CD54F8" w:rsidRPr="00BC31E0">
        <w:rPr>
          <w:rFonts w:hint="eastAsia"/>
        </w:rPr>
        <w:t>最小降伏強さ</w:t>
      </w:r>
      <w:r w:rsidR="00CD54F8" w:rsidRPr="00BC31E0">
        <w:rPr>
          <w:rFonts w:hint="eastAsia"/>
        </w:rPr>
        <w:t>(</w:t>
      </w:r>
      <w:r w:rsidR="00CD54F8" w:rsidRPr="00BC31E0">
        <w:rPr>
          <w:rFonts w:asciiTheme="minorHAnsi" w:hAnsiTheme="minorHAnsi"/>
        </w:rPr>
        <w:t>MPa</w:t>
      </w:r>
      <w:r w:rsidR="00CD54F8" w:rsidRPr="00BC31E0">
        <w:rPr>
          <w:rFonts w:hint="eastAsia"/>
        </w:rPr>
        <w:t>)</w:t>
      </w:r>
    </w:p>
    <w:p w14:paraId="4F8D9926" w14:textId="77777777" w:rsidR="00CD54F8" w:rsidRPr="00BC31E0" w:rsidRDefault="00A51873" w:rsidP="009E4D11">
      <w:pPr>
        <w:numPr>
          <w:ilvl w:val="12"/>
          <w:numId w:val="0"/>
        </w:numPr>
        <w:tabs>
          <w:tab w:val="left" w:pos="1985"/>
        </w:tabs>
        <w:autoSpaceDE w:val="0"/>
        <w:autoSpaceDN w:val="0"/>
        <w:ind w:left="1418"/>
      </w:pPr>
      <m:oMath>
        <m:sSub>
          <m:sSubPr>
            <m:ctrlPr>
              <w:rPr>
                <w:rFonts w:ascii="Cambria Math" w:hAnsiTheme="minorHAnsi"/>
                <w:i/>
              </w:rPr>
            </m:ctrlPr>
          </m:sSubPr>
          <m:e>
            <m:r>
              <w:rPr>
                <w:rFonts w:ascii="Cambria Math" w:hAnsi="Cambria Math"/>
              </w:rPr>
              <m:t>S</m:t>
            </m:r>
          </m:e>
          <m:sub>
            <m:r>
              <w:rPr>
                <w:rFonts w:ascii="Cambria Math" w:hAnsi="Cambria Math"/>
              </w:rPr>
              <m:t>yms</m:t>
            </m:r>
          </m:sub>
        </m:sSub>
      </m:oMath>
      <w:r w:rsidR="00CD54F8" w:rsidRPr="00BC31E0">
        <w:rPr>
          <w:rFonts w:hint="eastAsia"/>
        </w:rPr>
        <w:tab/>
      </w:r>
      <w:r w:rsidR="00CD54F8" w:rsidRPr="00BC31E0">
        <w:rPr>
          <w:rFonts w:hint="eastAsia"/>
        </w:rPr>
        <w:t>：</w:t>
      </w:r>
      <w:r w:rsidR="00CD54F8" w:rsidRPr="00BC31E0">
        <w:t xml:space="preserve"> </w:t>
      </w:r>
      <w:r w:rsidR="00CD54F8" w:rsidRPr="00BC31E0">
        <w:rPr>
          <w:rFonts w:hint="eastAsia"/>
        </w:rPr>
        <w:t>材料規格で要求される試験に基づいて得られた実際の降伏強さ</w:t>
      </w:r>
      <w:r w:rsidR="00CD54F8" w:rsidRPr="00BC31E0">
        <w:rPr>
          <w:rFonts w:hint="eastAsia"/>
        </w:rPr>
        <w:t>(</w:t>
      </w:r>
      <w:r w:rsidR="00CD54F8" w:rsidRPr="00BC31E0">
        <w:rPr>
          <w:rFonts w:asciiTheme="minorHAnsi" w:hAnsiTheme="minorHAnsi"/>
        </w:rPr>
        <w:t>MPa</w:t>
      </w:r>
      <w:r w:rsidR="00CD54F8" w:rsidRPr="00BC31E0">
        <w:rPr>
          <w:rFonts w:hint="eastAsia"/>
        </w:rPr>
        <w:t>)</w:t>
      </w:r>
    </w:p>
    <w:p w14:paraId="06391B54" w14:textId="77777777" w:rsidR="00CD54F8" w:rsidRPr="00BC31E0" w:rsidRDefault="00CD54F8" w:rsidP="009E4D11">
      <w:pPr>
        <w:numPr>
          <w:ilvl w:val="12"/>
          <w:numId w:val="0"/>
        </w:numPr>
        <w:autoSpaceDE w:val="0"/>
        <w:autoSpaceDN w:val="0"/>
        <w:ind w:left="2325"/>
      </w:pPr>
      <w:r w:rsidRPr="00BC31E0">
        <w:rPr>
          <w:rFonts w:hint="eastAsia"/>
        </w:rPr>
        <w:t>ただし，</w:t>
      </w:r>
      <m:oMath>
        <m:sSub>
          <m:sSubPr>
            <m:ctrlPr>
              <w:rPr>
                <w:rFonts w:ascii="Cambria Math" w:hAnsi="Cambria Math"/>
                <w:i/>
                <w:vertAlign w:val="subscript"/>
              </w:rPr>
            </m:ctrlPr>
          </m:sSubPr>
          <m:e>
            <m:r>
              <w:rPr>
                <w:rFonts w:ascii="Cambria Math" w:hAnsi="Cambria Math"/>
                <w:vertAlign w:val="subscript"/>
              </w:rPr>
              <m:t>S</m:t>
            </m:r>
          </m:e>
          <m:sub>
            <m:r>
              <w:rPr>
                <w:rFonts w:ascii="Cambria Math" w:hAnsi="Cambria Math"/>
                <w:vertAlign w:val="subscript"/>
              </w:rPr>
              <m:t>y</m:t>
            </m:r>
          </m:sub>
        </m:sSub>
        <m:r>
          <w:rPr>
            <w:rFonts w:ascii="Cambria Math" w:hAnsi="Cambria Math"/>
            <w:vertAlign w:val="subscript"/>
          </w:rPr>
          <m:t xml:space="preserve">  </m:t>
        </m:r>
      </m:oMath>
      <w:r w:rsidRPr="00BC31E0">
        <w:rPr>
          <w:rFonts w:hint="eastAsia"/>
        </w:rPr>
        <w:t>以上</w:t>
      </w:r>
    </w:p>
    <w:p w14:paraId="57DA14CB" w14:textId="77777777" w:rsidR="00CD54F8" w:rsidRPr="00BC31E0" w:rsidRDefault="00CD54F8" w:rsidP="00736130">
      <w:pPr>
        <w:numPr>
          <w:ilvl w:val="0"/>
          <w:numId w:val="149"/>
        </w:numPr>
        <w:spacing w:before="120" w:after="120"/>
        <w:ind w:left="738" w:hanging="454"/>
        <w:rPr>
          <w:rFonts w:asciiTheme="majorEastAsia" w:eastAsiaTheme="majorEastAsia" w:hAnsiTheme="majorEastAsia"/>
          <w:b/>
        </w:rPr>
      </w:pPr>
      <w:r w:rsidRPr="00BC31E0">
        <w:rPr>
          <w:rFonts w:asciiTheme="majorEastAsia" w:eastAsiaTheme="majorEastAsia" w:hAnsiTheme="majorEastAsia" w:hint="eastAsia"/>
          <w:b/>
        </w:rPr>
        <w:t>実際の降伏強さが次の3)に規定された試験によって決定される場合</w:t>
      </w:r>
    </w:p>
    <w:tbl>
      <w:tblPr>
        <w:tblStyle w:val="92"/>
        <w:tblW w:w="5953" w:type="dxa"/>
        <w:tblInd w:w="3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7"/>
        <w:gridCol w:w="3926"/>
      </w:tblGrid>
      <w:tr w:rsidR="00CD54F8" w:rsidRPr="00BC31E0" w14:paraId="399E9D35" w14:textId="77777777" w:rsidTr="004736F2">
        <w:tc>
          <w:tcPr>
            <w:tcW w:w="0" w:type="auto"/>
            <w:tcMar>
              <w:left w:w="0" w:type="dxa"/>
              <w:right w:w="0" w:type="dxa"/>
            </w:tcMar>
            <w:vAlign w:val="center"/>
          </w:tcPr>
          <w:p w14:paraId="645CA130" w14:textId="77777777" w:rsidR="00CD54F8" w:rsidRPr="00BC31E0" w:rsidRDefault="00CD54F8" w:rsidP="009E4D11">
            <w:pPr>
              <w:numPr>
                <w:ilvl w:val="12"/>
                <w:numId w:val="0"/>
              </w:numPr>
              <w:tabs>
                <w:tab w:val="left" w:pos="2835"/>
                <w:tab w:val="left" w:leader="middleDot" w:pos="8080"/>
              </w:tabs>
              <w:autoSpaceDE w:val="0"/>
              <w:autoSpaceDN w:val="0"/>
              <w:jc w:val="left"/>
              <w:rPr>
                <w:bCs/>
                <w:i/>
              </w:rPr>
            </w:pPr>
            <m:oMathPara>
              <m:oMathParaPr>
                <m:jc m:val="left"/>
              </m:oMathParaPr>
              <m:oMath>
                <m:r>
                  <w:rPr>
                    <w:rFonts w:ascii="Cambria Math" w:hAnsi="Cambria Math"/>
                  </w:rPr>
                  <w:lastRenderedPageBreak/>
                  <m:t>P=</m:t>
                </m:r>
                <m:f>
                  <m:fPr>
                    <m:ctrlPr>
                      <w:rPr>
                        <w:rFonts w:ascii="Cambria Math" w:hAnsi="Cambria Math"/>
                        <w:bCs/>
                        <w:i/>
                      </w:rPr>
                    </m:ctrlPr>
                  </m:fPr>
                  <m:num>
                    <m:r>
                      <w:rPr>
                        <w:rFonts w:ascii="Cambria Math" w:hAnsi="Cambria Math"/>
                      </w:rPr>
                      <m:t>1</m:t>
                    </m:r>
                  </m:num>
                  <m:den>
                    <m:r>
                      <w:rPr>
                        <w:rFonts w:ascii="Cambria Math" w:hAnsi="Cambria Math"/>
                      </w:rPr>
                      <m:t>1.732</m:t>
                    </m:r>
                  </m:den>
                </m:f>
                <m:r>
                  <w:rPr>
                    <w:rFonts w:ascii="Cambria Math" w:hAnsi="Cambria Math"/>
                  </w:rPr>
                  <m:t xml:space="preserve"> CP </m:t>
                </m:r>
                <m:d>
                  <m:dPr>
                    <m:ctrlPr>
                      <w:rPr>
                        <w:rFonts w:ascii="Cambria Math" w:hAnsi="Cambria Math"/>
                        <w:bCs/>
                        <w:i/>
                      </w:rPr>
                    </m:ctrlPr>
                  </m:dPr>
                  <m:e>
                    <m:f>
                      <m:fPr>
                        <m:ctrlPr>
                          <w:rPr>
                            <w:rFonts w:ascii="Cambria Math" w:hAnsi="Cambria Math"/>
                            <w:bCs/>
                            <w:i/>
                          </w:rPr>
                        </m:ctrlPr>
                      </m:fPr>
                      <m:num>
                        <m:sSub>
                          <m:sSubPr>
                            <m:ctrlPr>
                              <w:rPr>
                                <w:rFonts w:ascii="Cambria Math" w:hAnsi="Cambria Math"/>
                                <w:bCs/>
                                <w:i/>
                              </w:rPr>
                            </m:ctrlPr>
                          </m:sSubPr>
                          <m:e>
                            <m:r>
                              <w:rPr>
                                <w:rFonts w:ascii="Cambria Math" w:hAnsi="Cambria Math"/>
                              </w:rPr>
                              <m:t>S</m:t>
                            </m:r>
                          </m:e>
                          <m:sub>
                            <m:r>
                              <w:rPr>
                                <w:rFonts w:ascii="Cambria Math" w:hAnsi="Cambria Math"/>
                              </w:rPr>
                              <m:t>y</m:t>
                            </m:r>
                          </m:sub>
                        </m:sSub>
                      </m:num>
                      <m:den>
                        <m:sSub>
                          <m:sSubPr>
                            <m:ctrlPr>
                              <w:rPr>
                                <w:rFonts w:ascii="Cambria Math" w:hAnsi="Cambria Math"/>
                                <w:bCs/>
                                <w:i/>
                              </w:rPr>
                            </m:ctrlPr>
                          </m:sSubPr>
                          <m:e>
                            <m:r>
                              <w:rPr>
                                <w:rFonts w:ascii="Cambria Math" w:hAnsi="Cambria Math"/>
                              </w:rPr>
                              <m:t>S</m:t>
                            </m:r>
                          </m:e>
                          <m:sub>
                            <m:r>
                              <w:rPr>
                                <w:rFonts w:ascii="Cambria Math" w:hAnsi="Cambria Math"/>
                              </w:rPr>
                              <m:t>yact</m:t>
                            </m:r>
                          </m:sub>
                        </m:sSub>
                      </m:den>
                    </m:f>
                  </m:e>
                </m:d>
              </m:oMath>
            </m:oMathPara>
          </w:p>
        </w:tc>
        <w:tc>
          <w:tcPr>
            <w:tcW w:w="3926" w:type="dxa"/>
            <w:tcMar>
              <w:left w:w="0" w:type="dxa"/>
              <w:right w:w="0" w:type="dxa"/>
            </w:tcMar>
            <w:vAlign w:val="center"/>
          </w:tcPr>
          <w:p w14:paraId="50A0886D" w14:textId="77777777" w:rsidR="00CD54F8" w:rsidRPr="00BC31E0" w:rsidRDefault="00CD54F8" w:rsidP="009E4D11">
            <w:pPr>
              <w:numPr>
                <w:ilvl w:val="12"/>
                <w:numId w:val="0"/>
              </w:numPr>
              <w:tabs>
                <w:tab w:val="left" w:leader="middleDot" w:pos="2934"/>
              </w:tabs>
              <w:autoSpaceDE w:val="0"/>
              <w:autoSpaceDN w:val="0"/>
              <w:jc w:val="left"/>
              <w:rPr>
                <w:bCs/>
              </w:rPr>
            </w:pPr>
            <w:r w:rsidRPr="00BC31E0">
              <w:rPr>
                <w:bCs/>
              </w:rPr>
              <w:tab/>
            </w:r>
            <w:r w:rsidRPr="00BC31E0">
              <w:rPr>
                <w:rFonts w:hint="eastAsia"/>
                <w:bCs/>
              </w:rPr>
              <w:t>(6.11.2)</w:t>
            </w:r>
          </w:p>
        </w:tc>
      </w:tr>
    </w:tbl>
    <w:p w14:paraId="1501CB67" w14:textId="77777777" w:rsidR="00CD54F8" w:rsidRPr="00BC31E0" w:rsidRDefault="00CD54F8" w:rsidP="005F7914">
      <w:pPr>
        <w:numPr>
          <w:ilvl w:val="12"/>
          <w:numId w:val="0"/>
        </w:numPr>
        <w:autoSpaceDE w:val="0"/>
        <w:autoSpaceDN w:val="0"/>
        <w:ind w:left="737" w:firstLine="227"/>
      </w:pPr>
      <w:r w:rsidRPr="00BC31E0">
        <w:rPr>
          <w:rFonts w:hint="eastAsia"/>
        </w:rPr>
        <w:t>ここで，</w:t>
      </w:r>
    </w:p>
    <w:p w14:paraId="00E4FD66" w14:textId="77777777" w:rsidR="00CD54F8" w:rsidRPr="00BC31E0" w:rsidRDefault="00A51873" w:rsidP="005F7914">
      <w:pPr>
        <w:numPr>
          <w:ilvl w:val="12"/>
          <w:numId w:val="0"/>
        </w:numPr>
        <w:tabs>
          <w:tab w:val="left" w:pos="1985"/>
        </w:tabs>
        <w:autoSpaceDE w:val="0"/>
        <w:autoSpaceDN w:val="0"/>
        <w:ind w:left="1418"/>
      </w:pPr>
      <m:oMath>
        <m:sSub>
          <m:sSubPr>
            <m:ctrlPr>
              <w:rPr>
                <w:rFonts w:ascii="Cambria Math" w:hAnsi="Cambria Math"/>
                <w:i/>
                <w:vertAlign w:val="subscript"/>
              </w:rPr>
            </m:ctrlPr>
          </m:sSubPr>
          <m:e>
            <m:r>
              <w:rPr>
                <w:rFonts w:ascii="Cambria Math" w:hAnsi="Cambria Math"/>
                <w:vertAlign w:val="subscript"/>
              </w:rPr>
              <m:t>S</m:t>
            </m:r>
          </m:e>
          <m:sub>
            <m:r>
              <w:rPr>
                <w:rFonts w:ascii="Cambria Math" w:hAnsi="Cambria Math"/>
                <w:vertAlign w:val="subscript"/>
              </w:rPr>
              <m:t>yact</m:t>
            </m:r>
          </m:sub>
        </m:sSub>
      </m:oMath>
      <w:r w:rsidR="00CD54F8" w:rsidRPr="00BC31E0">
        <w:rPr>
          <w:rFonts w:hint="eastAsia"/>
        </w:rPr>
        <w:tab/>
      </w:r>
      <w:r w:rsidR="00CD54F8" w:rsidRPr="00BC31E0">
        <w:rPr>
          <w:rFonts w:hint="eastAsia"/>
        </w:rPr>
        <w:t>：</w:t>
      </w:r>
      <w:r w:rsidR="00CD54F8" w:rsidRPr="00BC31E0">
        <w:t xml:space="preserve"> </w:t>
      </w:r>
      <w:r w:rsidR="00CD54F8" w:rsidRPr="00BC31E0">
        <w:rPr>
          <w:rFonts w:hint="eastAsia"/>
        </w:rPr>
        <w:t>室温で試験片から得られた実際の平均降伏強さ</w:t>
      </w:r>
      <w:r w:rsidR="00CD54F8" w:rsidRPr="00BC31E0">
        <w:rPr>
          <w:rFonts w:hint="eastAsia"/>
        </w:rPr>
        <w:t>(</w:t>
      </w:r>
      <w:r w:rsidR="00CD54F8" w:rsidRPr="00BC31E0">
        <w:rPr>
          <w:rFonts w:asciiTheme="minorHAnsi" w:hAnsiTheme="minorHAnsi"/>
        </w:rPr>
        <w:t>MPa</w:t>
      </w:r>
      <w:r w:rsidR="00CD54F8" w:rsidRPr="00BC31E0">
        <w:rPr>
          <w:rFonts w:hint="eastAsia"/>
        </w:rPr>
        <w:t>)</w:t>
      </w:r>
    </w:p>
    <w:p w14:paraId="6BD9D066" w14:textId="77777777" w:rsidR="00CD54F8" w:rsidRPr="00BC31E0" w:rsidRDefault="00CD54F8" w:rsidP="005F7914">
      <w:pPr>
        <w:numPr>
          <w:ilvl w:val="12"/>
          <w:numId w:val="0"/>
        </w:numPr>
        <w:autoSpaceDE w:val="0"/>
        <w:autoSpaceDN w:val="0"/>
        <w:ind w:left="2325"/>
      </w:pPr>
      <w:r w:rsidRPr="00BC31E0">
        <w:rPr>
          <w:rFonts w:hint="eastAsia"/>
        </w:rPr>
        <w:t>ただし，</w:t>
      </w:r>
      <m:oMath>
        <m:sSub>
          <m:sSubPr>
            <m:ctrlPr>
              <w:rPr>
                <w:rFonts w:ascii="Cambria Math" w:hAnsi="Cambria Math"/>
                <w:i/>
                <w:vertAlign w:val="subscript"/>
              </w:rPr>
            </m:ctrlPr>
          </m:sSubPr>
          <m:e>
            <m:r>
              <w:rPr>
                <w:rFonts w:ascii="Cambria Math" w:hAnsi="Cambria Math"/>
                <w:vertAlign w:val="subscript"/>
              </w:rPr>
              <m:t>S</m:t>
            </m:r>
          </m:e>
          <m:sub>
            <m:r>
              <w:rPr>
                <w:rFonts w:ascii="Cambria Math" w:hAnsi="Cambria Math"/>
                <w:vertAlign w:val="subscript"/>
              </w:rPr>
              <m:t>y</m:t>
            </m:r>
          </m:sub>
        </m:sSub>
        <m:r>
          <w:rPr>
            <w:rFonts w:ascii="Cambria Math" w:hAnsi="Cambria Math"/>
            <w:vertAlign w:val="subscript"/>
          </w:rPr>
          <m:t xml:space="preserve">  </m:t>
        </m:r>
      </m:oMath>
      <w:r w:rsidRPr="00BC31E0">
        <w:rPr>
          <w:rFonts w:hint="eastAsia"/>
        </w:rPr>
        <w:t>以上</w:t>
      </w:r>
    </w:p>
    <w:p w14:paraId="1E1CC88D" w14:textId="77777777" w:rsidR="00CD54F8" w:rsidRPr="00BC31E0" w:rsidRDefault="00CD54F8" w:rsidP="00736130">
      <w:pPr>
        <w:numPr>
          <w:ilvl w:val="0"/>
          <w:numId w:val="150"/>
        </w:numPr>
        <w:spacing w:before="120"/>
        <w:ind w:left="738" w:hanging="454"/>
      </w:pPr>
      <w:r w:rsidRPr="00BC31E0">
        <w:rPr>
          <w:rFonts w:hint="eastAsia"/>
        </w:rPr>
        <w:t>試験される部分の材料の降伏強さは，材料規格による要求と次の追加要求事項によらなければならない。</w:t>
      </w:r>
    </w:p>
    <w:p w14:paraId="51469307" w14:textId="77777777" w:rsidR="00CD54F8" w:rsidRPr="00BC31E0" w:rsidRDefault="00CD54F8" w:rsidP="00736130">
      <w:pPr>
        <w:numPr>
          <w:ilvl w:val="0"/>
          <w:numId w:val="141"/>
        </w:numPr>
        <w:ind w:left="1134" w:hanging="567"/>
      </w:pPr>
      <w:r w:rsidRPr="00BC31E0">
        <w:rPr>
          <w:rFonts w:hint="eastAsia"/>
        </w:rPr>
        <w:t>求められる降伏強さ</w:t>
      </w:r>
      <m:oMath>
        <m:sSub>
          <m:sSubPr>
            <m:ctrlPr>
              <w:rPr>
                <w:rFonts w:ascii="Cambria Math" w:hAnsi="Cambria Math"/>
                <w:i/>
              </w:rPr>
            </m:ctrlPr>
          </m:sSubPr>
          <m:e>
            <m:r>
              <w:rPr>
                <w:rFonts w:ascii="Cambria Math" w:hAnsi="Cambria Math"/>
              </w:rPr>
              <m:t xml:space="preserve"> </m:t>
            </m:r>
            <m:r>
              <w:rPr>
                <w:rFonts w:ascii="Cambria Math" w:hAnsi="Cambria Math" w:hint="eastAsia"/>
              </w:rPr>
              <m:t>S</m:t>
            </m:r>
          </m:e>
          <m:sub>
            <m:r>
              <w:rPr>
                <w:rFonts w:ascii="Cambria Math" w:hAnsi="Cambria Math"/>
              </w:rPr>
              <m:t>yact</m:t>
            </m:r>
          </m:sub>
        </m:sSub>
      </m:oMath>
      <w:r w:rsidR="00A11574" w:rsidRPr="00BC31E0">
        <w:rPr>
          <w:rFonts w:hint="eastAsia"/>
        </w:rPr>
        <w:t xml:space="preserve"> </w:t>
      </w:r>
      <w:r w:rsidRPr="00BC31E0">
        <w:rPr>
          <w:rFonts w:hint="eastAsia"/>
        </w:rPr>
        <w:t>は試験完了後の試験部材から切り出した，少なくとも</w:t>
      </w:r>
      <w:r w:rsidRPr="00BC31E0">
        <w:rPr>
          <w:rFonts w:asciiTheme="minorHAnsi" w:hAnsiTheme="minorHAnsi"/>
        </w:rPr>
        <w:t>3</w:t>
      </w:r>
      <w:r w:rsidRPr="00BC31E0">
        <w:rPr>
          <w:rFonts w:hint="eastAsia"/>
        </w:rPr>
        <w:t>本の試験片の平均値でなければならない。試験片は，試験中の応力が降伏強さを超えていないところから採取する。試験片は，ガス切断又はその他の材料の強度に影響を及ぼすような熱を用いる方法で試験片を切出してはならない。</w:t>
      </w:r>
    </w:p>
    <w:p w14:paraId="1B834A2A" w14:textId="77777777" w:rsidR="00CD54F8" w:rsidRPr="00BC31E0" w:rsidRDefault="00CD54F8" w:rsidP="00736130">
      <w:pPr>
        <w:numPr>
          <w:ilvl w:val="0"/>
          <w:numId w:val="141"/>
        </w:numPr>
        <w:ind w:left="1134" w:hanging="567"/>
      </w:pPr>
      <w:r w:rsidRPr="00BC31E0">
        <w:rPr>
          <w:rFonts w:hint="eastAsia"/>
        </w:rPr>
        <w:t>同時に製鋼された材料の余剰材料で，圧力保持部と同一熱処理を受けたものがある場合は，試験片をこの余剰材から切り出してもよい。試験片は，ガス切断又はその他の試験片に影響を及ぼすような熱を用いる方法で切り出してはならない。</w:t>
      </w:r>
    </w:p>
    <w:p w14:paraId="16C0DFD6" w14:textId="77777777" w:rsidR="00CD54F8" w:rsidRPr="00BC31E0" w:rsidRDefault="009E4D11" w:rsidP="005F7914">
      <w:pPr>
        <w:pStyle w:val="3"/>
        <w:tabs>
          <w:tab w:val="clear" w:pos="284"/>
        </w:tabs>
      </w:pPr>
      <w:r w:rsidRPr="00BC31E0">
        <w:rPr>
          <w:rFonts w:hint="eastAsia"/>
        </w:rPr>
        <w:t xml:space="preserve"> </w:t>
      </w:r>
      <w:r w:rsidR="00CD54F8" w:rsidRPr="00BC31E0">
        <w:rPr>
          <w:rFonts w:hint="eastAsia"/>
        </w:rPr>
        <w:t>設計許容繰返し回数の実験的決定</w:t>
      </w:r>
    </w:p>
    <w:p w14:paraId="0057DF86" w14:textId="77777777" w:rsidR="00CD54F8" w:rsidRPr="00BC31E0" w:rsidRDefault="00CD54F8" w:rsidP="005F7914">
      <w:pPr>
        <w:pStyle w:val="1110"/>
        <w:ind w:firstLine="211"/>
      </w:pPr>
      <w:r w:rsidRPr="00BC31E0">
        <w:rPr>
          <w:rFonts w:ascii="ＭＳ ゴシック" w:eastAsia="ＭＳ ゴシック" w:hAnsi="ＭＳ ゴシック" w:hint="eastAsia"/>
          <w:b/>
          <w:bCs/>
        </w:rPr>
        <w:t>6.3</w:t>
      </w:r>
      <w:r w:rsidRPr="00BC31E0">
        <w:rPr>
          <w:rFonts w:hint="eastAsia"/>
        </w:rPr>
        <w:t>の要求事項の代わりに，実験的手法によって容器又はその構成部の設計許容繰返し回数を決めてもよい。この手法は，破裂前漏洩が確認されている容器又はその構成部にのみ用いてよい。設計許容繰返し回数の実験的決定は次の</w:t>
      </w:r>
      <w:r w:rsidRPr="00BC31E0">
        <w:rPr>
          <w:rFonts w:ascii="ＭＳ ゴシック" w:eastAsia="ＭＳ ゴシック" w:hint="eastAsia"/>
          <w:b/>
        </w:rPr>
        <w:t>a)</w:t>
      </w:r>
      <w:r w:rsidRPr="00BC31E0">
        <w:rPr>
          <w:rFonts w:hint="eastAsia"/>
        </w:rPr>
        <w:t>，</w:t>
      </w:r>
      <w:r w:rsidRPr="00BC31E0">
        <w:rPr>
          <w:rFonts w:ascii="ＭＳ ゴシック" w:eastAsia="ＭＳ ゴシック" w:hint="eastAsia"/>
          <w:b/>
        </w:rPr>
        <w:t>b)</w:t>
      </w:r>
      <w:r w:rsidRPr="00BC31E0">
        <w:rPr>
          <w:rFonts w:hint="eastAsia"/>
        </w:rPr>
        <w:t>による。</w:t>
      </w:r>
    </w:p>
    <w:p w14:paraId="4626D5CC" w14:textId="77777777" w:rsidR="009E4D11" w:rsidRPr="00BC31E0" w:rsidRDefault="00CD54F8" w:rsidP="00736130">
      <w:pPr>
        <w:pStyle w:val="a4"/>
        <w:numPr>
          <w:ilvl w:val="0"/>
          <w:numId w:val="311"/>
        </w:numPr>
        <w:ind w:leftChars="0" w:left="454" w:hanging="454"/>
        <w:rPr>
          <w:rFonts w:ascii="ＭＳ 明朝" w:hAnsi="ＭＳ 明朝"/>
        </w:rPr>
      </w:pPr>
      <w:r w:rsidRPr="00BC31E0">
        <w:rPr>
          <w:rFonts w:asciiTheme="majorEastAsia" w:eastAsiaTheme="majorEastAsia" w:hAnsiTheme="majorEastAsia" w:hint="eastAsia"/>
          <w:b/>
        </w:rPr>
        <w:t>試験の記述</w:t>
      </w:r>
      <w:r w:rsidRPr="00BC31E0">
        <w:rPr>
          <w:rFonts w:hint="eastAsia"/>
        </w:rPr>
        <w:t xml:space="preserve">　</w:t>
      </w:r>
      <w:r w:rsidRPr="00BC31E0">
        <w:rPr>
          <w:rFonts w:ascii="ＭＳ 明朝" w:hAnsi="ＭＳ 明朝" w:hint="eastAsia"/>
        </w:rPr>
        <w:t>疲労試験によって，繰返し荷重をうける容器構成部品又はその部位の妥当性を証明する場合，製作者は設計報告書にその試験について記述する。この記述は，ここに述べられている要求事項に</w:t>
      </w:r>
      <w:r w:rsidR="00A11574" w:rsidRPr="00BC31E0">
        <w:rPr>
          <w:rFonts w:ascii="ＭＳ 明朝" w:hAnsi="ＭＳ 明朝" w:hint="eastAsia"/>
        </w:rPr>
        <w:t>沿っている</w:t>
      </w:r>
      <w:r w:rsidRPr="00BC31E0">
        <w:rPr>
          <w:rFonts w:ascii="ＭＳ 明朝" w:hAnsi="ＭＳ 明朝" w:hint="eastAsia"/>
        </w:rPr>
        <w:t>ことを示す詳細な</w:t>
      </w:r>
      <w:r w:rsidR="00D5571A" w:rsidRPr="00BC31E0">
        <w:rPr>
          <w:rFonts w:ascii="ＭＳ 明朝" w:hAnsi="ＭＳ 明朝" w:hint="eastAsia"/>
        </w:rPr>
        <w:t>内容でなければならない</w:t>
      </w:r>
      <w:r w:rsidRPr="00BC31E0">
        <w:rPr>
          <w:rFonts w:ascii="ＭＳ 明朝" w:hAnsi="ＭＳ 明朝" w:hint="eastAsia"/>
        </w:rPr>
        <w:t>。</w:t>
      </w:r>
    </w:p>
    <w:p w14:paraId="5AE4BCD7" w14:textId="77777777" w:rsidR="00CD54F8" w:rsidRPr="00BC31E0" w:rsidRDefault="00CD54F8" w:rsidP="00736130">
      <w:pPr>
        <w:pStyle w:val="a4"/>
        <w:numPr>
          <w:ilvl w:val="0"/>
          <w:numId w:val="311"/>
        </w:numPr>
        <w:ind w:leftChars="0" w:left="454" w:hanging="454"/>
        <w:rPr>
          <w:rFonts w:ascii="ＭＳ 明朝" w:hAnsi="ＭＳ 明朝"/>
        </w:rPr>
      </w:pPr>
      <w:r w:rsidRPr="00BC31E0">
        <w:rPr>
          <w:rFonts w:asciiTheme="majorEastAsia" w:eastAsiaTheme="majorEastAsia" w:hAnsiTheme="majorEastAsia" w:hint="eastAsia"/>
          <w:b/>
        </w:rPr>
        <w:t>試験方法</w:t>
      </w:r>
      <w:r w:rsidRPr="00BC31E0">
        <w:rPr>
          <w:rFonts w:hint="eastAsia"/>
        </w:rPr>
        <w:t xml:space="preserve">　</w:t>
      </w:r>
      <w:r w:rsidRPr="00BC31E0">
        <w:rPr>
          <w:rFonts w:ascii="ＭＳ 明朝" w:hAnsi="ＭＳ 明朝" w:hint="eastAsia"/>
          <w:bCs/>
        </w:rPr>
        <w:t>試験方法は，次の</w:t>
      </w:r>
      <w:r w:rsidRPr="00BC31E0">
        <w:rPr>
          <w:rFonts w:asciiTheme="majorEastAsia" w:eastAsiaTheme="majorEastAsia" w:hAnsiTheme="majorEastAsia" w:hint="eastAsia"/>
          <w:b/>
        </w:rPr>
        <w:t>1)</w:t>
      </w:r>
      <w:r w:rsidRPr="00BC31E0">
        <w:rPr>
          <w:rFonts w:ascii="ＭＳ 明朝" w:hAnsi="ＭＳ 明朝" w:hint="eastAsia"/>
          <w:bCs/>
        </w:rPr>
        <w:t>～</w:t>
      </w:r>
      <w:r w:rsidRPr="00BC31E0">
        <w:rPr>
          <w:rFonts w:asciiTheme="majorEastAsia" w:eastAsiaTheme="majorEastAsia" w:hAnsiTheme="majorEastAsia" w:hint="eastAsia"/>
          <w:b/>
        </w:rPr>
        <w:t>6)</w:t>
      </w:r>
      <w:r w:rsidRPr="00BC31E0">
        <w:rPr>
          <w:rFonts w:ascii="ＭＳ 明朝" w:hAnsi="ＭＳ 明朝" w:hint="eastAsia"/>
          <w:bCs/>
        </w:rPr>
        <w:t>による。</w:t>
      </w:r>
    </w:p>
    <w:p w14:paraId="142D6225" w14:textId="77777777" w:rsidR="009E4D11" w:rsidRPr="00BC31E0" w:rsidRDefault="00CD54F8" w:rsidP="00736130">
      <w:pPr>
        <w:pStyle w:val="a4"/>
        <w:numPr>
          <w:ilvl w:val="0"/>
          <w:numId w:val="312"/>
        </w:numPr>
        <w:ind w:leftChars="0" w:left="738" w:hanging="454"/>
      </w:pPr>
      <w:r w:rsidRPr="00BC31E0">
        <w:rPr>
          <w:rFonts w:asciiTheme="majorEastAsia" w:eastAsiaTheme="majorEastAsia" w:hAnsiTheme="majorEastAsia" w:hint="eastAsia"/>
          <w:b/>
        </w:rPr>
        <w:t>試験片</w:t>
      </w:r>
      <w:r w:rsidRPr="00BC31E0">
        <w:rPr>
          <w:rFonts w:hint="eastAsia"/>
        </w:rPr>
        <w:t xml:space="preserve">　試験部材又はその一部は，実際に使用する部材と同じ化学成分の材料でなければならない。また，同等の機械的性質を得るために同じ機械加工及び熱処理を行わなければならない。繰返し荷重に抵抗する部分及びその部分の応力に影響を与える隣接部分については，幾何学的相似性を保たなければならない。</w:t>
      </w:r>
    </w:p>
    <w:p w14:paraId="2C1AD758" w14:textId="77777777" w:rsidR="009E4D11" w:rsidRPr="00BC31E0" w:rsidRDefault="00CD54F8" w:rsidP="00736130">
      <w:pPr>
        <w:pStyle w:val="a4"/>
        <w:numPr>
          <w:ilvl w:val="0"/>
          <w:numId w:val="312"/>
        </w:numPr>
        <w:ind w:leftChars="0" w:left="738" w:hanging="454"/>
      </w:pPr>
      <w:r w:rsidRPr="00BC31E0">
        <w:rPr>
          <w:rFonts w:hint="eastAsia"/>
        </w:rPr>
        <w:t>試験材又はその部分は，破壊が起きるまでに次の</w:t>
      </w:r>
      <w:r w:rsidRPr="00BC31E0">
        <w:rPr>
          <w:rFonts w:asciiTheme="majorEastAsia" w:hAnsiTheme="majorEastAsia" w:hint="eastAsia"/>
          <w:b/>
        </w:rPr>
        <w:t>3)</w:t>
      </w:r>
      <w:r w:rsidRPr="00BC31E0">
        <w:rPr>
          <w:rFonts w:hint="eastAsia"/>
        </w:rPr>
        <w:t>に示す繰返し数に耐えなければならない。ここでいう破壊とは，耐圧材に測定可能なほどの漏れが生じるくらい，全厚さにわたり割れの入った</w:t>
      </w:r>
      <w:r w:rsidR="007A02C9" w:rsidRPr="00BC31E0">
        <w:rPr>
          <w:rFonts w:hint="eastAsia"/>
        </w:rPr>
        <w:t>状態</w:t>
      </w:r>
      <w:r w:rsidRPr="00BC31E0">
        <w:rPr>
          <w:rFonts w:hint="eastAsia"/>
        </w:rPr>
        <w:t>をいう。</w:t>
      </w:r>
    </w:p>
    <w:p w14:paraId="1CC423C3" w14:textId="77777777" w:rsidR="00CD54F8" w:rsidRPr="00BC31E0" w:rsidRDefault="00CD54F8" w:rsidP="00736130">
      <w:pPr>
        <w:pStyle w:val="a4"/>
        <w:numPr>
          <w:ilvl w:val="0"/>
          <w:numId w:val="312"/>
        </w:numPr>
        <w:ind w:leftChars="0" w:left="738" w:hanging="454"/>
      </w:pPr>
      <w:r w:rsidRPr="00BC31E0">
        <w:rPr>
          <w:rFonts w:asciiTheme="majorEastAsia" w:eastAsiaTheme="majorEastAsia" w:hAnsiTheme="majorEastAsia" w:hint="eastAsia"/>
          <w:b/>
        </w:rPr>
        <w:t>試験部材の最小繰返し回数及び試験荷重</w:t>
      </w:r>
      <w:r w:rsidRPr="00BC31E0">
        <w:rPr>
          <w:rFonts w:hint="eastAsia"/>
        </w:rPr>
        <w:t xml:space="preserve">　試験部材が耐えなければならない最小繰返し回数</w:t>
      </w:r>
      <m:oMath>
        <m:sSub>
          <m:sSubPr>
            <m:ctrlPr>
              <w:rPr>
                <w:rFonts w:ascii="Cambria Math" w:hAnsi="Cambria Math"/>
                <w:i/>
              </w:rPr>
            </m:ctrlPr>
          </m:sSubPr>
          <m:e>
            <m:r>
              <w:rPr>
                <w:rFonts w:ascii="Cambria Math" w:hAnsi="Cambria Math"/>
              </w:rPr>
              <m:t xml:space="preserve"> N</m:t>
            </m:r>
          </m:e>
          <m:sub>
            <m:r>
              <w:rPr>
                <w:rFonts w:ascii="Cambria Math" w:hAnsi="Cambria Math"/>
              </w:rPr>
              <m:t>T</m:t>
            </m:r>
          </m:sub>
        </m:sSub>
        <m:r>
          <w:rPr>
            <w:rFonts w:ascii="Cambria Math" w:hAnsi="Cambria Math"/>
          </w:rPr>
          <m:t xml:space="preserve"> </m:t>
        </m:r>
      </m:oMath>
      <w:r w:rsidRPr="00BC31E0">
        <w:rPr>
          <w:rFonts w:hint="eastAsia"/>
        </w:rPr>
        <w:t>及び試験荷重</w:t>
      </w:r>
      <m:oMath>
        <m:sSub>
          <m:sSubPr>
            <m:ctrlPr>
              <w:rPr>
                <w:rFonts w:ascii="Cambria Math" w:hAnsi="Cambria Math"/>
                <w:i/>
              </w:rPr>
            </m:ctrlPr>
          </m:sSubPr>
          <m:e>
            <m:r>
              <w:rPr>
                <w:rFonts w:ascii="Cambria Math" w:hAnsi="Cambria Math"/>
              </w:rPr>
              <m:t xml:space="preserve"> P</m:t>
            </m:r>
          </m:e>
          <m:sub>
            <m:r>
              <w:rPr>
                <w:rFonts w:ascii="Cambria Math" w:hAnsi="Cambria Math"/>
              </w:rPr>
              <m:t>T</m:t>
            </m:r>
          </m:sub>
        </m:sSub>
        <m:r>
          <w:rPr>
            <w:rFonts w:ascii="Cambria Math" w:hAnsi="Cambria Math"/>
          </w:rPr>
          <m:t xml:space="preserve"> </m:t>
        </m:r>
      </m:oMath>
      <w:r w:rsidRPr="00BC31E0">
        <w:rPr>
          <w:rFonts w:hint="eastAsia"/>
        </w:rPr>
        <w:t>は，設計繰返し回数</w:t>
      </w:r>
      <m:oMath>
        <m:sSub>
          <m:sSubPr>
            <m:ctrlPr>
              <w:rPr>
                <w:rFonts w:ascii="Cambria Math" w:hAnsi="Cambria Math"/>
                <w:i/>
              </w:rPr>
            </m:ctrlPr>
          </m:sSubPr>
          <m:e>
            <m:r>
              <w:rPr>
                <w:rFonts w:ascii="Cambria Math" w:hAnsi="Cambria Math"/>
              </w:rPr>
              <m:t xml:space="preserve"> N</m:t>
            </m:r>
          </m:e>
          <m:sub>
            <m:r>
              <w:rPr>
                <w:rFonts w:ascii="Cambria Math" w:hAnsi="Cambria Math"/>
              </w:rPr>
              <m:t>D</m:t>
            </m:r>
          </m:sub>
        </m:sSub>
        <m:r>
          <w:rPr>
            <w:rFonts w:ascii="Cambria Math" w:hAnsi="Cambria Math"/>
          </w:rPr>
          <m:t xml:space="preserve"> </m:t>
        </m:r>
      </m:oMath>
      <w:r w:rsidRPr="00BC31E0">
        <w:rPr>
          <w:rFonts w:hint="eastAsia"/>
        </w:rPr>
        <w:t>に規定の係数</w:t>
      </w:r>
      <m:oMath>
        <m:sSub>
          <m:sSubPr>
            <m:ctrlPr>
              <w:rPr>
                <w:rFonts w:ascii="Cambria Math" w:hAnsi="Cambria Math"/>
                <w:i/>
              </w:rPr>
            </m:ctrlPr>
          </m:sSubPr>
          <m:e>
            <m:r>
              <w:rPr>
                <w:rFonts w:ascii="Cambria Math" w:hAnsi="Cambria Math"/>
              </w:rPr>
              <m:t xml:space="preserve"> K</m:t>
            </m:r>
          </m:e>
          <m:sub>
            <m:r>
              <w:rPr>
                <w:rFonts w:ascii="Cambria Math" w:hAnsi="Cambria Math"/>
              </w:rPr>
              <m:t>TN</m:t>
            </m:r>
          </m:sub>
        </m:sSub>
        <m:r>
          <w:rPr>
            <w:rFonts w:ascii="Cambria Math" w:hAnsi="Cambria Math"/>
          </w:rPr>
          <m:t xml:space="preserve"> </m:t>
        </m:r>
      </m:oMath>
      <w:r w:rsidRPr="00BC31E0">
        <w:rPr>
          <w:rFonts w:hint="eastAsia"/>
        </w:rPr>
        <w:t>を乗じた値及び設計運転荷重</w:t>
      </w:r>
      <m:oMath>
        <m:sSub>
          <m:sSubPr>
            <m:ctrlPr>
              <w:rPr>
                <w:rFonts w:ascii="Cambria Math" w:hAnsi="Cambria Math"/>
                <w:i/>
              </w:rPr>
            </m:ctrlPr>
          </m:sSubPr>
          <m:e>
            <m:r>
              <w:rPr>
                <w:rFonts w:ascii="Cambria Math" w:hAnsi="Cambria Math"/>
              </w:rPr>
              <m:t xml:space="preserve"> P</m:t>
            </m:r>
          </m:e>
          <m:sub>
            <m:r>
              <w:rPr>
                <w:rFonts w:ascii="Cambria Math" w:hAnsi="Cambria Math"/>
              </w:rPr>
              <m:t>D</m:t>
            </m:r>
          </m:sub>
        </m:sSub>
        <m:r>
          <w:rPr>
            <w:rFonts w:ascii="Cambria Math" w:hAnsi="Cambria Math"/>
          </w:rPr>
          <m:t xml:space="preserve"> </m:t>
        </m:r>
      </m:oMath>
      <w:r w:rsidRPr="00BC31E0">
        <w:rPr>
          <w:rFonts w:hint="eastAsia"/>
        </w:rPr>
        <w:t>に</w:t>
      </w:r>
      <m:oMath>
        <m:sSub>
          <m:sSubPr>
            <m:ctrlPr>
              <w:rPr>
                <w:rFonts w:ascii="Cambria Math" w:hAnsi="Cambria Math"/>
                <w:i/>
              </w:rPr>
            </m:ctrlPr>
          </m:sSubPr>
          <m:e>
            <m:r>
              <w:rPr>
                <w:rFonts w:ascii="Cambria Math" w:hAnsi="Cambria Math"/>
              </w:rPr>
              <m:t xml:space="preserve"> K</m:t>
            </m:r>
          </m:e>
          <m:sub>
            <m:r>
              <w:rPr>
                <w:rFonts w:ascii="Cambria Math" w:hAnsi="Cambria Math"/>
              </w:rPr>
              <m:t>TS</m:t>
            </m:r>
          </m:sub>
        </m:sSub>
        <m:r>
          <w:rPr>
            <w:rFonts w:ascii="Cambria Math" w:hAnsi="Cambria Math"/>
          </w:rPr>
          <m:t xml:space="preserve"> </m:t>
        </m:r>
      </m:oMath>
      <w:r w:rsidRPr="00BC31E0">
        <w:rPr>
          <w:rFonts w:hint="eastAsia"/>
        </w:rPr>
        <w:t>を乗じた値から求める。値は試験パラメータ線図</w:t>
      </w:r>
      <w:r w:rsidRPr="00BC31E0">
        <w:rPr>
          <w:rFonts w:hint="eastAsia"/>
        </w:rPr>
        <w:t>(</w:t>
      </w:r>
      <w:r w:rsidRPr="00BC31E0">
        <w:rPr>
          <w:rFonts w:asciiTheme="majorEastAsia" w:eastAsiaTheme="majorEastAsia" w:hAnsiTheme="majorEastAsia" w:hint="eastAsia"/>
          <w:b/>
        </w:rPr>
        <w:t>図6.11.1</w:t>
      </w:r>
      <w:r w:rsidRPr="00BC31E0">
        <w:rPr>
          <w:rFonts w:hint="eastAsia"/>
        </w:rPr>
        <w:t>)</w:t>
      </w:r>
      <w:r w:rsidRPr="00BC31E0">
        <w:rPr>
          <w:rFonts w:hint="eastAsia"/>
        </w:rPr>
        <w:t>を用いて次の手順で求める。</w:t>
      </w:r>
    </w:p>
    <w:p w14:paraId="2B9CACAF" w14:textId="77777777" w:rsidR="005F7914" w:rsidRPr="00BC31E0" w:rsidRDefault="00CD54F8" w:rsidP="00736130">
      <w:pPr>
        <w:pStyle w:val="a4"/>
        <w:numPr>
          <w:ilvl w:val="0"/>
          <w:numId w:val="313"/>
        </w:numPr>
        <w:ind w:leftChars="0" w:left="1134" w:hanging="567"/>
      </w:pPr>
      <w:r w:rsidRPr="00BC31E0">
        <w:rPr>
          <w:rFonts w:asciiTheme="majorEastAsia" w:eastAsiaTheme="majorEastAsia" w:hAnsiTheme="majorEastAsia" w:hint="eastAsia"/>
          <w:b/>
        </w:rPr>
        <w:t>6.</w:t>
      </w:r>
      <w:r w:rsidRPr="00BC31E0">
        <w:rPr>
          <w:rFonts w:asciiTheme="majorEastAsia" w:eastAsiaTheme="majorEastAsia" w:hAnsiTheme="majorEastAsia"/>
          <w:b/>
        </w:rPr>
        <w:t>3</w:t>
      </w:r>
      <w:r w:rsidRPr="00BC31E0">
        <w:rPr>
          <w:rFonts w:hint="eastAsia"/>
        </w:rPr>
        <w:t>の相当する設計疲労曲線において，横軸上の設計繰返し回数</w:t>
      </w:r>
      <m:oMath>
        <m:sSub>
          <m:sSubPr>
            <m:ctrlPr>
              <w:rPr>
                <w:rFonts w:ascii="Cambria Math" w:hAnsi="Cambria Math"/>
                <w:i/>
              </w:rPr>
            </m:ctrlPr>
          </m:sSubPr>
          <m:e>
            <m:r>
              <w:rPr>
                <w:rFonts w:ascii="Cambria Math" w:hAnsi="Cambria Math"/>
              </w:rPr>
              <m:t xml:space="preserve"> N</m:t>
            </m:r>
          </m:e>
          <m:sub>
            <m:r>
              <w:rPr>
                <w:rFonts w:ascii="Cambria Math" w:hAnsi="Cambria Math"/>
              </w:rPr>
              <m:t>D</m:t>
            </m:r>
          </m:sub>
        </m:sSub>
        <m:r>
          <m:rPr>
            <m:sty m:val="p"/>
          </m:rPr>
          <w:rPr>
            <w:rFonts w:ascii="Cambria Math" w:hAnsi="Cambria Math" w:hint="eastAsia"/>
          </w:rPr>
          <m:t xml:space="preserve"> </m:t>
        </m:r>
      </m:oMath>
      <w:r w:rsidRPr="00BC31E0">
        <w:rPr>
          <w:rFonts w:hint="eastAsia"/>
        </w:rPr>
        <w:t>から垂線を引き，曲線との交点</w:t>
      </w:r>
      <w:r w:rsidRPr="00BC31E0">
        <w:rPr>
          <w:rFonts w:asciiTheme="minorHAnsi" w:hAnsiTheme="minorHAnsi"/>
          <w:iCs/>
        </w:rPr>
        <w:t>D</w:t>
      </w:r>
      <w:r w:rsidRPr="00BC31E0">
        <w:rPr>
          <w:rFonts w:hint="eastAsia"/>
        </w:rPr>
        <w:t>を求める。この垂線上に，</w:t>
      </w:r>
      <w:r w:rsidRPr="00BC31E0">
        <w:rPr>
          <w:rFonts w:asciiTheme="minorHAnsi" w:hAnsiTheme="minorHAnsi"/>
          <w:iCs/>
        </w:rPr>
        <w:t>D</w:t>
      </w:r>
      <w:r w:rsidRPr="00BC31E0">
        <w:rPr>
          <w:rFonts w:hint="eastAsia"/>
        </w:rPr>
        <w:t>点の応力振幅</w:t>
      </w:r>
      <m:oMath>
        <m:sSub>
          <m:sSubPr>
            <m:ctrlPr>
              <w:rPr>
                <w:rFonts w:ascii="Cambria Math" w:hAnsi="Cambria Math"/>
                <w:i/>
              </w:rPr>
            </m:ctrlPr>
          </m:sSubPr>
          <m:e>
            <m:r>
              <w:rPr>
                <w:rFonts w:ascii="Cambria Math" w:hAnsi="Cambria Math"/>
              </w:rPr>
              <m:t xml:space="preserve"> S</m:t>
            </m:r>
          </m:e>
          <m:sub>
            <m:r>
              <w:rPr>
                <w:rFonts w:ascii="Cambria Math" w:hAnsi="Cambria Math"/>
              </w:rPr>
              <m:t>aD</m:t>
            </m:r>
          </m:sub>
        </m:sSub>
        <m:r>
          <w:rPr>
            <w:rFonts w:ascii="Cambria Math" w:hAnsi="Cambria Math"/>
          </w:rPr>
          <m:t xml:space="preserve"> </m:t>
        </m:r>
      </m:oMath>
      <w:r w:rsidRPr="00BC31E0">
        <w:rPr>
          <w:rFonts w:hint="eastAsia"/>
        </w:rPr>
        <w:t>に</w:t>
      </w:r>
      <m:oMath>
        <m:sSub>
          <m:sSubPr>
            <m:ctrlPr>
              <w:rPr>
                <w:rFonts w:ascii="Cambria Math" w:hAnsi="Cambria Math"/>
                <w:i/>
              </w:rPr>
            </m:ctrlPr>
          </m:sSubPr>
          <m:e>
            <m:r>
              <w:rPr>
                <w:rFonts w:ascii="Cambria Math" w:hAnsi="Cambria Math"/>
              </w:rPr>
              <m:t xml:space="preserve"> K</m:t>
            </m:r>
          </m:e>
          <m:sub>
            <m:r>
              <w:rPr>
                <w:rFonts w:ascii="Cambria Math" w:hAnsi="Cambria Math"/>
              </w:rPr>
              <m:t>s</m:t>
            </m:r>
          </m:sub>
        </m:sSub>
        <m:r>
          <w:rPr>
            <w:rFonts w:ascii="Cambria Math" w:hAnsi="Cambria Math"/>
          </w:rPr>
          <m:t xml:space="preserve"> </m:t>
        </m:r>
      </m:oMath>
      <w:r w:rsidRPr="00BC31E0">
        <w:rPr>
          <w:rFonts w:hint="eastAsia"/>
        </w:rPr>
        <w:t>を乗じた縦座標値の点</w:t>
      </w:r>
      <w:r w:rsidRPr="00BC31E0">
        <w:rPr>
          <w:rFonts w:ascii="Cambria Math" w:hAnsi="Cambria Math"/>
          <w:iCs/>
        </w:rPr>
        <w:t>A</w:t>
      </w:r>
      <w:r w:rsidRPr="00BC31E0">
        <w:rPr>
          <w:rFonts w:hint="eastAsia"/>
        </w:rPr>
        <w:t>をとる。</w:t>
      </w:r>
    </w:p>
    <w:p w14:paraId="34997BEF" w14:textId="77777777" w:rsidR="005F7914" w:rsidRPr="00BC31E0" w:rsidRDefault="00CD54F8" w:rsidP="00736130">
      <w:pPr>
        <w:pStyle w:val="a4"/>
        <w:numPr>
          <w:ilvl w:val="0"/>
          <w:numId w:val="313"/>
        </w:numPr>
        <w:ind w:leftChars="0" w:left="1134" w:hanging="567"/>
      </w:pPr>
      <w:r w:rsidRPr="00BC31E0">
        <w:rPr>
          <w:rFonts w:asciiTheme="minorHAnsi" w:hAnsiTheme="minorHAnsi"/>
          <w:iCs/>
        </w:rPr>
        <w:t>D</w:t>
      </w:r>
      <w:r w:rsidRPr="00BC31E0">
        <w:rPr>
          <w:rFonts w:hint="eastAsia"/>
        </w:rPr>
        <w:t>を通る水平線を引き，その長さが</w:t>
      </w:r>
      <w:r w:rsidRPr="00BC31E0">
        <w:rPr>
          <w:rFonts w:asciiTheme="minorHAnsi" w:hAnsiTheme="minorHAnsi"/>
          <w:iCs/>
        </w:rPr>
        <w:t>D</w:t>
      </w:r>
      <w:r w:rsidRPr="00BC31E0">
        <w:rPr>
          <w:rFonts w:hint="eastAsia"/>
        </w:rPr>
        <w:t>点の設計繰返し回数</w:t>
      </w:r>
      <m:oMath>
        <m:sSub>
          <m:sSubPr>
            <m:ctrlPr>
              <w:rPr>
                <w:rFonts w:ascii="Cambria Math" w:hAnsi="Cambria Math"/>
                <w:i/>
              </w:rPr>
            </m:ctrlPr>
          </m:sSubPr>
          <m:e>
            <m:r>
              <w:rPr>
                <w:rFonts w:ascii="Cambria Math" w:hAnsi="Cambria Math"/>
              </w:rPr>
              <m:t xml:space="preserve"> N</m:t>
            </m:r>
          </m:e>
          <m:sub>
            <m:r>
              <w:rPr>
                <w:rFonts w:ascii="Cambria Math" w:hAnsi="Cambria Math"/>
              </w:rPr>
              <m:t>D</m:t>
            </m:r>
          </m:sub>
        </m:sSub>
        <m:r>
          <m:rPr>
            <m:sty m:val="p"/>
          </m:rPr>
          <w:rPr>
            <w:rFonts w:ascii="Cambria Math" w:hAnsi="Cambria Math" w:hint="eastAsia"/>
          </w:rPr>
          <m:t xml:space="preserve"> </m:t>
        </m:r>
      </m:oMath>
      <w:r w:rsidRPr="00BC31E0">
        <w:rPr>
          <w:rFonts w:hint="eastAsia"/>
        </w:rPr>
        <w:t>に</w:t>
      </w:r>
      <m:oMath>
        <m:sSub>
          <m:sSubPr>
            <m:ctrlPr>
              <w:rPr>
                <w:rFonts w:ascii="Cambria Math" w:hAnsi="Cambria Math"/>
                <w:i/>
              </w:rPr>
            </m:ctrlPr>
          </m:sSubPr>
          <m:e>
            <m:r>
              <w:rPr>
                <w:rFonts w:ascii="Cambria Math" w:hAnsi="Cambria Math"/>
              </w:rPr>
              <m:t xml:space="preserve"> K</m:t>
            </m:r>
          </m:e>
          <m:sub>
            <m:r>
              <w:rPr>
                <w:rFonts w:ascii="Cambria Math" w:hAnsi="Cambria Math"/>
              </w:rPr>
              <m:t>N</m:t>
            </m:r>
          </m:sub>
        </m:sSub>
        <m:r>
          <m:rPr>
            <m:sty m:val="p"/>
          </m:rPr>
          <w:rPr>
            <w:rFonts w:ascii="Cambria Math" w:hAnsi="Cambria Math" w:hint="eastAsia"/>
          </w:rPr>
          <m:t xml:space="preserve"> </m:t>
        </m:r>
      </m:oMath>
      <w:r w:rsidRPr="00BC31E0">
        <w:rPr>
          <w:rFonts w:hint="eastAsia"/>
        </w:rPr>
        <w:t>を乗じた横座標</w:t>
      </w:r>
      <w:r w:rsidRPr="00BC31E0">
        <w:rPr>
          <w:rFonts w:hint="eastAsia"/>
        </w:rPr>
        <w:lastRenderedPageBreak/>
        <w:t>値の点</w:t>
      </w:r>
      <w:r w:rsidRPr="00BC31E0">
        <w:rPr>
          <w:rFonts w:asciiTheme="minorHAnsi" w:hAnsiTheme="minorHAnsi"/>
          <w:iCs/>
        </w:rPr>
        <w:t>B</w:t>
      </w:r>
      <w:r w:rsidRPr="00BC31E0">
        <w:rPr>
          <w:rFonts w:hint="eastAsia"/>
        </w:rPr>
        <w:t>をとる。</w:t>
      </w:r>
    </w:p>
    <w:p w14:paraId="7F3448CD" w14:textId="77777777" w:rsidR="00CD54F8" w:rsidRPr="00BC31E0" w:rsidRDefault="00CD54F8" w:rsidP="00736130">
      <w:pPr>
        <w:pStyle w:val="a4"/>
        <w:numPr>
          <w:ilvl w:val="0"/>
          <w:numId w:val="313"/>
        </w:numPr>
        <w:spacing w:after="120"/>
        <w:ind w:leftChars="0" w:left="1134" w:hanging="567"/>
      </w:pPr>
      <w:r w:rsidRPr="00BC31E0">
        <w:rPr>
          <w:rFonts w:asciiTheme="minorHAnsi" w:hAnsiTheme="minorHAnsi"/>
        </w:rPr>
        <w:t>A</w:t>
      </w:r>
      <w:r w:rsidRPr="00BC31E0">
        <w:rPr>
          <w:rFonts w:hint="eastAsia"/>
        </w:rPr>
        <w:t>と</w:t>
      </w:r>
      <w:r w:rsidRPr="00BC31E0">
        <w:rPr>
          <w:rFonts w:asciiTheme="minorHAnsi" w:hAnsiTheme="minorHAnsi"/>
        </w:rPr>
        <w:t>B</w:t>
      </w:r>
      <w:r w:rsidRPr="00BC31E0">
        <w:rPr>
          <w:rFonts w:hint="eastAsia"/>
        </w:rPr>
        <w:t>を結ぶ。</w:t>
      </w:r>
      <w:r w:rsidRPr="00BC31E0">
        <w:rPr>
          <w:rFonts w:asciiTheme="minorHAnsi" w:hAnsiTheme="minorHAnsi"/>
        </w:rPr>
        <w:t>AB</w:t>
      </w:r>
      <w:r w:rsidRPr="00BC31E0">
        <w:rPr>
          <w:rFonts w:hint="eastAsia"/>
        </w:rPr>
        <w:t>は許容される</w:t>
      </w:r>
      <w:r w:rsidR="00A303DC" w:rsidRPr="00BC31E0">
        <w:rPr>
          <w:rFonts w:hint="eastAsia"/>
        </w:rPr>
        <w:t>全</w:t>
      </w:r>
      <w:r w:rsidRPr="00BC31E0">
        <w:rPr>
          <w:rFonts w:hint="eastAsia"/>
        </w:rPr>
        <w:t>ての</w:t>
      </w:r>
      <m:oMath>
        <m:sSub>
          <m:sSubPr>
            <m:ctrlPr>
              <w:rPr>
                <w:rFonts w:ascii="Cambria Math" w:hAnsi="Cambria Math"/>
                <w:i/>
              </w:rPr>
            </m:ctrlPr>
          </m:sSubPr>
          <m:e>
            <m:r>
              <w:rPr>
                <w:rFonts w:ascii="Cambria Math" w:hAnsi="Cambria Math"/>
              </w:rPr>
              <m:t xml:space="preserve"> K</m:t>
            </m:r>
          </m:e>
          <m:sub>
            <m:r>
              <w:rPr>
                <w:rFonts w:ascii="Cambria Math" w:hAnsi="Cambria Math"/>
              </w:rPr>
              <m:t xml:space="preserve">TS </m:t>
            </m:r>
          </m:sub>
        </m:sSub>
      </m:oMath>
      <w:r w:rsidRPr="00BC31E0">
        <w:rPr>
          <w:rFonts w:hint="eastAsia"/>
        </w:rPr>
        <w:t>と</w:t>
      </w:r>
      <m:oMath>
        <m:sSub>
          <m:sSubPr>
            <m:ctrlPr>
              <w:rPr>
                <w:rFonts w:ascii="Cambria Math" w:hAnsi="Cambria Math"/>
                <w:i/>
              </w:rPr>
            </m:ctrlPr>
          </m:sSubPr>
          <m:e>
            <m:r>
              <w:rPr>
                <w:rFonts w:ascii="Cambria Math" w:hAnsi="Cambria Math"/>
              </w:rPr>
              <m:t xml:space="preserve"> K</m:t>
            </m:r>
          </m:e>
          <m:sub>
            <m:r>
              <w:rPr>
                <w:rFonts w:ascii="Cambria Math" w:hAnsi="Cambria Math"/>
              </w:rPr>
              <m:t xml:space="preserve">TN </m:t>
            </m:r>
          </m:sub>
        </m:sSub>
        <m:r>
          <w:rPr>
            <w:rFonts w:ascii="Cambria Math" w:hAnsi="Cambria Math"/>
          </w:rPr>
          <m:t xml:space="preserve"> </m:t>
        </m:r>
      </m:oMath>
      <w:r w:rsidRPr="00BC31E0">
        <w:rPr>
          <w:rFonts w:hint="eastAsia"/>
        </w:rPr>
        <w:t>の組合せを含んでおり，この線分上で任意に点</w:t>
      </w:r>
      <w:r w:rsidRPr="00BC31E0">
        <w:rPr>
          <w:rFonts w:asciiTheme="minorHAnsi" w:hAnsiTheme="minorHAnsi"/>
        </w:rPr>
        <w:t>C</w:t>
      </w:r>
      <w:r w:rsidRPr="00BC31E0">
        <w:rPr>
          <w:rFonts w:hint="eastAsia"/>
        </w:rPr>
        <w:t>を選定する</w:t>
      </w:r>
      <w:r w:rsidR="002B0E0F" w:rsidRPr="00BC31E0">
        <w:rPr>
          <w:rFonts w:hint="eastAsia"/>
        </w:rPr>
        <w:t>[</w:t>
      </w:r>
      <w:r w:rsidRPr="00BC31E0">
        <w:rPr>
          <w:rFonts w:hint="eastAsia"/>
        </w:rPr>
        <w:t>加速疲労試験については</w:t>
      </w:r>
      <w:r w:rsidRPr="00BC31E0">
        <w:rPr>
          <w:rFonts w:asciiTheme="majorEastAsia" w:eastAsiaTheme="majorEastAsia" w:hAnsiTheme="majorEastAsia" w:hint="eastAsia"/>
          <w:b/>
        </w:rPr>
        <w:t>4</w:t>
      </w:r>
      <w:r w:rsidRPr="00BC31E0">
        <w:rPr>
          <w:rFonts w:asciiTheme="majorEastAsia" w:hAnsiTheme="majorEastAsia" w:hint="eastAsia"/>
          <w:b/>
        </w:rPr>
        <w:t>)</w:t>
      </w:r>
      <w:r w:rsidRPr="00BC31E0">
        <w:rPr>
          <w:rFonts w:ascii="ＭＳ 明朝" w:hAnsi="ＭＳ 明朝" w:hint="eastAsia"/>
          <w:bCs/>
        </w:rPr>
        <w:t>を</w:t>
      </w:r>
      <w:r w:rsidRPr="00BC31E0">
        <w:rPr>
          <w:rFonts w:hint="eastAsia"/>
        </w:rPr>
        <w:t>参照</w:t>
      </w:r>
      <w:r w:rsidR="002B0E0F" w:rsidRPr="00BC31E0">
        <w:rPr>
          <w:rFonts w:hint="eastAsia"/>
        </w:rPr>
        <w:t>]</w:t>
      </w:r>
      <w:r w:rsidRPr="00BC31E0">
        <w:rPr>
          <w:rFonts w:hint="eastAsia"/>
        </w:rPr>
        <w:t>。係数</w:t>
      </w:r>
      <m:oMath>
        <m:sSub>
          <m:sSubPr>
            <m:ctrlPr>
              <w:rPr>
                <w:rFonts w:ascii="Cambria Math" w:hAnsi="Cambria Math"/>
                <w:i/>
              </w:rPr>
            </m:ctrlPr>
          </m:sSubPr>
          <m:e>
            <m:r>
              <w:rPr>
                <w:rFonts w:ascii="Cambria Math" w:hAnsi="Cambria Math"/>
              </w:rPr>
              <m:t xml:space="preserve"> K</m:t>
            </m:r>
          </m:e>
          <m:sub>
            <m:r>
              <w:rPr>
                <w:rFonts w:ascii="Cambria Math" w:hAnsi="Cambria Math"/>
              </w:rPr>
              <m:t>TS</m:t>
            </m:r>
          </m:sub>
        </m:sSub>
        <m:r>
          <w:rPr>
            <w:rFonts w:ascii="Cambria Math" w:hAnsi="Cambria Math" w:hint="eastAsia"/>
          </w:rPr>
          <m:t xml:space="preserve"> </m:t>
        </m:r>
      </m:oMath>
      <w:r w:rsidRPr="00BC31E0">
        <w:rPr>
          <w:rFonts w:hint="eastAsia"/>
        </w:rPr>
        <w:t>と</w:t>
      </w:r>
      <m:oMath>
        <m:sSub>
          <m:sSubPr>
            <m:ctrlPr>
              <w:rPr>
                <w:rFonts w:ascii="Cambria Math" w:hAnsi="Cambria Math"/>
                <w:i/>
              </w:rPr>
            </m:ctrlPr>
          </m:sSubPr>
          <m:e>
            <m:r>
              <w:rPr>
                <w:rFonts w:ascii="Cambria Math" w:hAnsi="Cambria Math"/>
              </w:rPr>
              <m:t xml:space="preserve"> K</m:t>
            </m:r>
          </m:e>
          <m:sub>
            <m:r>
              <w:rPr>
                <w:rFonts w:ascii="Cambria Math" w:hAnsi="Cambria Math"/>
              </w:rPr>
              <m:t xml:space="preserve">TN </m:t>
            </m:r>
          </m:sub>
        </m:sSub>
        <m:r>
          <w:rPr>
            <w:rFonts w:ascii="Cambria Math" w:hAnsi="Cambria Math" w:hint="eastAsia"/>
          </w:rPr>
          <m:t xml:space="preserve"> </m:t>
        </m:r>
      </m:oMath>
      <w:r w:rsidRPr="00BC31E0">
        <w:rPr>
          <w:rFonts w:hint="eastAsia"/>
        </w:rPr>
        <w:t>の定義を次に示す。</w:t>
      </w:r>
    </w:p>
    <w:tbl>
      <w:tblPr>
        <w:tblStyle w:val="92"/>
        <w:tblW w:w="5953"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8"/>
        <w:gridCol w:w="3925"/>
      </w:tblGrid>
      <w:tr w:rsidR="00CD54F8" w:rsidRPr="00BC31E0" w14:paraId="314E2E2B" w14:textId="77777777" w:rsidTr="00F34A3B">
        <w:trPr>
          <w:jc w:val="right"/>
        </w:trPr>
        <w:tc>
          <w:tcPr>
            <w:tcW w:w="0" w:type="auto"/>
            <w:tcMar>
              <w:left w:w="0" w:type="dxa"/>
              <w:right w:w="0" w:type="dxa"/>
            </w:tcMar>
            <w:vAlign w:val="center"/>
          </w:tcPr>
          <w:p w14:paraId="13D9DD88" w14:textId="77777777" w:rsidR="00CD54F8" w:rsidRPr="00BC31E0" w:rsidRDefault="00A51873" w:rsidP="00EA4BB4">
            <w:pPr>
              <w:numPr>
                <w:ilvl w:val="12"/>
                <w:numId w:val="0"/>
              </w:numPr>
              <w:tabs>
                <w:tab w:val="left" w:pos="2835"/>
                <w:tab w:val="left" w:leader="middleDot" w:pos="8080"/>
              </w:tabs>
              <w:autoSpaceDE w:val="0"/>
              <w:autoSpaceDN w:val="0"/>
              <w:jc w:val="left"/>
              <w:rPr>
                <w:i/>
              </w:rPr>
            </w:pPr>
            <m:oMathPara>
              <m:oMathParaPr>
                <m:jc m:val="left"/>
              </m:oMathParaPr>
              <m:oMath>
                <m:sSub>
                  <m:sSubPr>
                    <m:ctrlPr>
                      <w:rPr>
                        <w:rFonts w:ascii="Cambria Math" w:hAnsiTheme="minorHAnsi"/>
                        <w:i/>
                      </w:rPr>
                    </m:ctrlPr>
                  </m:sSubPr>
                  <m:e>
                    <m:r>
                      <w:rPr>
                        <w:rFonts w:ascii="Cambria Math" w:hAnsi="Cambria Math"/>
                      </w:rPr>
                      <m:t>K</m:t>
                    </m:r>
                  </m:e>
                  <m:sub>
                    <m:r>
                      <w:rPr>
                        <w:rFonts w:ascii="Cambria Math" w:hAnsi="Cambria Math"/>
                      </w:rPr>
                      <m:t>TS</m:t>
                    </m:r>
                  </m:sub>
                </m:sSub>
                <m:r>
                  <w:rPr>
                    <w:rFonts w:ascii="Cambria Math" w:hAnsiTheme="minorHAnsi"/>
                  </w:rPr>
                  <m:t>=</m:t>
                </m:r>
                <m:f>
                  <m:fPr>
                    <m:ctrlPr>
                      <w:rPr>
                        <w:rFonts w:ascii="Cambria Math" w:hAnsiTheme="minorHAnsi"/>
                      </w:rPr>
                    </m:ctrlPr>
                  </m:fPr>
                  <m:num>
                    <m:r>
                      <m:rPr>
                        <m:sty m:val="p"/>
                      </m:rPr>
                      <w:rPr>
                        <w:rFonts w:ascii="Cambria Math" w:hAnsiTheme="minorHAnsi"/>
                      </w:rPr>
                      <m:t>C</m:t>
                    </m:r>
                    <m:r>
                      <m:rPr>
                        <m:sty m:val="p"/>
                      </m:rPr>
                      <w:rPr>
                        <w:rFonts w:ascii="Cambria Math" w:hAnsi="Cambria Math"/>
                      </w:rPr>
                      <m:t>点の縦座標値</m:t>
                    </m:r>
                  </m:num>
                  <m:den>
                    <m:r>
                      <m:rPr>
                        <m:sty m:val="p"/>
                      </m:rPr>
                      <w:rPr>
                        <w:rFonts w:ascii="Cambria Math" w:hAnsiTheme="minorHAnsi"/>
                      </w:rPr>
                      <m:t>D</m:t>
                    </m:r>
                    <m:r>
                      <m:rPr>
                        <m:sty m:val="p"/>
                      </m:rPr>
                      <w:rPr>
                        <w:rFonts w:ascii="Cambria Math" w:hAnsi="Cambria Math"/>
                      </w:rPr>
                      <m:t>点の縦座標値</m:t>
                    </m:r>
                  </m:den>
                </m:f>
              </m:oMath>
            </m:oMathPara>
          </w:p>
        </w:tc>
        <w:tc>
          <w:tcPr>
            <w:tcW w:w="3925" w:type="dxa"/>
            <w:tcMar>
              <w:left w:w="0" w:type="dxa"/>
              <w:right w:w="0" w:type="dxa"/>
            </w:tcMar>
            <w:vAlign w:val="center"/>
          </w:tcPr>
          <w:p w14:paraId="28146407" w14:textId="77777777" w:rsidR="00CD54F8" w:rsidRPr="00BC31E0" w:rsidRDefault="00CD54F8" w:rsidP="00EA4BB4">
            <w:pPr>
              <w:numPr>
                <w:ilvl w:val="12"/>
                <w:numId w:val="0"/>
              </w:numPr>
              <w:tabs>
                <w:tab w:val="left" w:leader="middleDot" w:pos="2933"/>
              </w:tabs>
              <w:autoSpaceDE w:val="0"/>
              <w:autoSpaceDN w:val="0"/>
              <w:jc w:val="left"/>
            </w:pPr>
            <w:r w:rsidRPr="00BC31E0">
              <w:tab/>
              <w:t>(6.11.3)</w:t>
            </w:r>
          </w:p>
        </w:tc>
      </w:tr>
      <w:tr w:rsidR="00CD54F8" w:rsidRPr="00BC31E0" w14:paraId="077FDE78" w14:textId="77777777" w:rsidTr="00F34A3B">
        <w:trPr>
          <w:jc w:val="right"/>
        </w:trPr>
        <w:tc>
          <w:tcPr>
            <w:tcW w:w="0" w:type="auto"/>
            <w:tcMar>
              <w:left w:w="0" w:type="dxa"/>
              <w:right w:w="0" w:type="dxa"/>
            </w:tcMar>
            <w:vAlign w:val="center"/>
          </w:tcPr>
          <w:p w14:paraId="1F4E085B" w14:textId="77777777" w:rsidR="00CD54F8" w:rsidRPr="00BC31E0" w:rsidRDefault="00A51873" w:rsidP="00EA4BB4">
            <w:pPr>
              <w:numPr>
                <w:ilvl w:val="12"/>
                <w:numId w:val="0"/>
              </w:numPr>
              <w:tabs>
                <w:tab w:val="left" w:pos="2835"/>
                <w:tab w:val="left" w:leader="middleDot" w:pos="8080"/>
              </w:tabs>
              <w:autoSpaceDE w:val="0"/>
              <w:autoSpaceDN w:val="0"/>
              <w:spacing w:before="120"/>
              <w:jc w:val="left"/>
            </w:pPr>
            <m:oMathPara>
              <m:oMathParaPr>
                <m:jc m:val="left"/>
              </m:oMathParaPr>
              <m:oMath>
                <m:sSub>
                  <m:sSubPr>
                    <m:ctrlPr>
                      <w:rPr>
                        <w:rFonts w:ascii="Cambria Math" w:hAnsiTheme="minorHAnsi"/>
                        <w:i/>
                      </w:rPr>
                    </m:ctrlPr>
                  </m:sSubPr>
                  <m:e>
                    <m:r>
                      <w:rPr>
                        <w:rFonts w:ascii="Cambria Math" w:hAnsi="Cambria Math"/>
                      </w:rPr>
                      <m:t>K</m:t>
                    </m:r>
                  </m:e>
                  <m:sub>
                    <m:r>
                      <w:rPr>
                        <w:rFonts w:ascii="Cambria Math" w:hAnsi="Cambria Math"/>
                      </w:rPr>
                      <m:t>TN</m:t>
                    </m:r>
                  </m:sub>
                </m:sSub>
                <m:r>
                  <w:rPr>
                    <w:rFonts w:ascii="Cambria Math" w:hAnsiTheme="minorHAnsi"/>
                  </w:rPr>
                  <m:t>=</m:t>
                </m:r>
                <m:f>
                  <m:fPr>
                    <m:ctrlPr>
                      <w:rPr>
                        <w:rFonts w:ascii="Cambria Math" w:hAnsiTheme="minorHAnsi"/>
                      </w:rPr>
                    </m:ctrlPr>
                  </m:fPr>
                  <m:num>
                    <m:r>
                      <m:rPr>
                        <m:sty m:val="p"/>
                      </m:rPr>
                      <w:rPr>
                        <w:rFonts w:ascii="Cambria Math" w:hAnsiTheme="minorHAnsi"/>
                      </w:rPr>
                      <m:t>C</m:t>
                    </m:r>
                    <m:r>
                      <m:rPr>
                        <m:sty m:val="p"/>
                      </m:rPr>
                      <w:rPr>
                        <w:rFonts w:ascii="Cambria Math" w:hAnsi="Cambria Math"/>
                      </w:rPr>
                      <m:t>点の</m:t>
                    </m:r>
                    <m:r>
                      <m:rPr>
                        <m:sty m:val="p"/>
                      </m:rPr>
                      <w:rPr>
                        <w:rFonts w:ascii="Cambria Math" w:hAnsi="Cambria Math" w:hint="eastAsia"/>
                      </w:rPr>
                      <m:t>横</m:t>
                    </m:r>
                    <m:r>
                      <m:rPr>
                        <m:sty m:val="p"/>
                      </m:rPr>
                      <w:rPr>
                        <w:rFonts w:ascii="Cambria Math" w:hAnsi="Cambria Math"/>
                      </w:rPr>
                      <m:t>座標値</m:t>
                    </m:r>
                  </m:num>
                  <m:den>
                    <m:r>
                      <m:rPr>
                        <m:sty m:val="p"/>
                      </m:rPr>
                      <w:rPr>
                        <w:rFonts w:ascii="Cambria Math" w:hAnsiTheme="minorHAnsi"/>
                      </w:rPr>
                      <m:t>D</m:t>
                    </m:r>
                    <m:r>
                      <m:rPr>
                        <m:sty m:val="p"/>
                      </m:rPr>
                      <w:rPr>
                        <w:rFonts w:ascii="Cambria Math" w:hAnsi="Cambria Math"/>
                      </w:rPr>
                      <m:t>点の</m:t>
                    </m:r>
                    <m:r>
                      <m:rPr>
                        <m:sty m:val="p"/>
                      </m:rPr>
                      <w:rPr>
                        <w:rFonts w:ascii="Cambria Math" w:hAnsi="Cambria Math" w:hint="eastAsia"/>
                      </w:rPr>
                      <m:t>横</m:t>
                    </m:r>
                    <m:r>
                      <m:rPr>
                        <m:sty m:val="p"/>
                      </m:rPr>
                      <w:rPr>
                        <w:rFonts w:ascii="Cambria Math" w:hAnsi="Cambria Math"/>
                      </w:rPr>
                      <m:t>座標値</m:t>
                    </m:r>
                  </m:den>
                </m:f>
              </m:oMath>
            </m:oMathPara>
          </w:p>
        </w:tc>
        <w:tc>
          <w:tcPr>
            <w:tcW w:w="3925" w:type="dxa"/>
            <w:tcMar>
              <w:left w:w="0" w:type="dxa"/>
              <w:right w:w="0" w:type="dxa"/>
            </w:tcMar>
            <w:vAlign w:val="center"/>
          </w:tcPr>
          <w:p w14:paraId="0FA351A5" w14:textId="77777777" w:rsidR="00CD54F8" w:rsidRPr="00BC31E0" w:rsidRDefault="00CD54F8" w:rsidP="00EA4BB4">
            <w:pPr>
              <w:numPr>
                <w:ilvl w:val="12"/>
                <w:numId w:val="0"/>
              </w:numPr>
              <w:tabs>
                <w:tab w:val="left" w:leader="middleDot" w:pos="2933"/>
              </w:tabs>
              <w:autoSpaceDE w:val="0"/>
              <w:autoSpaceDN w:val="0"/>
              <w:spacing w:before="120"/>
              <w:jc w:val="left"/>
            </w:pPr>
            <w:r w:rsidRPr="00BC31E0">
              <w:tab/>
              <w:t>(6.11.4)</w:t>
            </w:r>
          </w:p>
        </w:tc>
      </w:tr>
    </w:tbl>
    <w:p w14:paraId="4F86458F" w14:textId="77777777" w:rsidR="00CD54F8" w:rsidRPr="00BC31E0" w:rsidRDefault="00CD54F8" w:rsidP="00736130">
      <w:pPr>
        <w:pStyle w:val="a4"/>
        <w:numPr>
          <w:ilvl w:val="0"/>
          <w:numId w:val="314"/>
        </w:numPr>
        <w:spacing w:before="120" w:after="120"/>
        <w:ind w:leftChars="0" w:left="1134" w:hanging="567"/>
      </w:pPr>
      <w:r w:rsidRPr="00BC31E0">
        <w:rPr>
          <w:rFonts w:hint="eastAsia"/>
        </w:rPr>
        <w:t>試験荷重</w:t>
      </w:r>
      <m:oMath>
        <m:sSub>
          <m:sSubPr>
            <m:ctrlPr>
              <w:rPr>
                <w:rFonts w:ascii="Cambria Math" w:hAnsi="Cambria Math"/>
                <w:i/>
              </w:rPr>
            </m:ctrlPr>
          </m:sSubPr>
          <m:e>
            <m:r>
              <w:rPr>
                <w:rFonts w:ascii="Cambria Math" w:hAnsi="Cambria Math"/>
              </w:rPr>
              <m:t xml:space="preserve"> P</m:t>
            </m:r>
          </m:e>
          <m:sub>
            <m:r>
              <w:rPr>
                <w:rFonts w:ascii="Cambria Math" w:hAnsi="Cambria Math"/>
              </w:rPr>
              <m:t>T</m:t>
            </m:r>
          </m:sub>
        </m:sSub>
        <m:r>
          <w:rPr>
            <w:rFonts w:ascii="Cambria Math" w:hAnsi="Cambria Math"/>
          </w:rPr>
          <m:t xml:space="preserve"> </m:t>
        </m:r>
      </m:oMath>
      <w:r w:rsidRPr="00BC31E0">
        <w:rPr>
          <w:rFonts w:hint="eastAsia"/>
        </w:rPr>
        <w:t>及び最小繰返し回数</w:t>
      </w:r>
      <m:oMath>
        <m:sSub>
          <m:sSubPr>
            <m:ctrlPr>
              <w:rPr>
                <w:rFonts w:ascii="Cambria Math" w:hAnsi="Cambria Math"/>
                <w:i/>
              </w:rPr>
            </m:ctrlPr>
          </m:sSubPr>
          <m:e>
            <m:r>
              <w:rPr>
                <w:rFonts w:ascii="Cambria Math" w:hAnsi="Cambria Math"/>
              </w:rPr>
              <m:t xml:space="preserve"> N</m:t>
            </m:r>
          </m:e>
          <m:sub>
            <m:r>
              <w:rPr>
                <w:rFonts w:ascii="Cambria Math" w:hAnsi="Cambria Math"/>
              </w:rPr>
              <m:t>T</m:t>
            </m:r>
          </m:sub>
        </m:sSub>
        <m:r>
          <w:rPr>
            <w:rFonts w:ascii="Cambria Math" w:hAnsi="Cambria Math"/>
          </w:rPr>
          <m:t xml:space="preserve"> </m:t>
        </m:r>
      </m:oMath>
      <w:r w:rsidRPr="00BC31E0">
        <w:rPr>
          <w:rFonts w:hint="eastAsia"/>
        </w:rPr>
        <w:t>を次式によって定める。</w:t>
      </w:r>
    </w:p>
    <w:p w14:paraId="6D275FFB" w14:textId="77777777" w:rsidR="00CD54F8" w:rsidRPr="00BC31E0" w:rsidRDefault="00CD54F8" w:rsidP="00EA4BB4">
      <w:pPr>
        <w:tabs>
          <w:tab w:val="left" w:pos="3119"/>
          <w:tab w:val="left" w:leader="middleDot" w:pos="8080"/>
        </w:tabs>
      </w:pPr>
      <w:r w:rsidRPr="00BC31E0">
        <w:rPr>
          <w:rFonts w:hint="eastAsia"/>
        </w:rPr>
        <w:tab/>
      </w:r>
      <m:oMath>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TS</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D</m:t>
            </m:r>
          </m:sub>
        </m:sSub>
      </m:oMath>
      <w:r w:rsidRPr="00BC31E0">
        <w:rPr>
          <w:rFonts w:hint="eastAsia"/>
        </w:rPr>
        <w:tab/>
        <w:t>(6.11.5)</w:t>
      </w:r>
    </w:p>
    <w:p w14:paraId="1A9A02A4" w14:textId="77777777" w:rsidR="00CD54F8" w:rsidRPr="00BC31E0" w:rsidRDefault="00CD54F8" w:rsidP="00EA4BB4">
      <w:pPr>
        <w:tabs>
          <w:tab w:val="left" w:pos="3119"/>
          <w:tab w:val="left" w:leader="middleDot" w:pos="8080"/>
        </w:tabs>
        <w:spacing w:before="120"/>
      </w:pPr>
      <w:r w:rsidRPr="00BC31E0">
        <w:rPr>
          <w:rFonts w:hint="eastAsia"/>
        </w:rPr>
        <w:tab/>
      </w:r>
      <m:oMath>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TN</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D</m:t>
            </m:r>
          </m:sub>
        </m:sSub>
      </m:oMath>
      <w:r w:rsidRPr="00BC31E0">
        <w:rPr>
          <w:rFonts w:hint="eastAsia"/>
        </w:rPr>
        <w:tab/>
        <w:t>(6.11.6)</w:t>
      </w:r>
    </w:p>
    <w:p w14:paraId="21641B22" w14:textId="77777777" w:rsidR="00CD54F8" w:rsidRPr="00BC31E0" w:rsidRDefault="00CD54F8" w:rsidP="00EA4BB4">
      <w:pPr>
        <w:pStyle w:val="1110"/>
        <w:spacing w:before="120"/>
        <w:ind w:left="737" w:firstLineChars="0" w:firstLine="227"/>
      </w:pPr>
      <w:r w:rsidRPr="00BC31E0">
        <w:rPr>
          <w:rFonts w:hint="eastAsia"/>
        </w:rPr>
        <w:t>なお，試験部材が原寸でなく，幾何学的に相似な模型で，また，荷重が圧力以外の場合には，</w:t>
      </w:r>
      <m:oMath>
        <m:sSub>
          <m:sSubPr>
            <m:ctrlPr>
              <w:rPr>
                <w:rFonts w:ascii="Cambria Math" w:hAnsi="Cambria Math"/>
                <w:i/>
              </w:rPr>
            </m:ctrlPr>
          </m:sSubPr>
          <m:e>
            <m:r>
              <w:rPr>
                <w:rFonts w:ascii="Cambria Math" w:hAnsi="Cambria Math"/>
              </w:rPr>
              <m:t xml:space="preserve"> P</m:t>
            </m:r>
          </m:e>
          <m:sub>
            <m:r>
              <w:rPr>
                <w:rFonts w:ascii="Cambria Math" w:hAnsi="Cambria Math"/>
              </w:rPr>
              <m:t>T</m:t>
            </m:r>
          </m:sub>
        </m:sSub>
        <m:r>
          <w:rPr>
            <w:rFonts w:ascii="Cambria Math" w:hAnsi="Cambria Math"/>
          </w:rPr>
          <m:t xml:space="preserve"> </m:t>
        </m:r>
      </m:oMath>
      <w:r w:rsidRPr="00BC31E0">
        <w:rPr>
          <w:rFonts w:hint="eastAsia"/>
        </w:rPr>
        <w:t>の値を構造強度に関する相似法則によって補正しなければならない。</w:t>
      </w:r>
    </w:p>
    <w:p w14:paraId="18719AC1" w14:textId="77777777" w:rsidR="00CD54F8" w:rsidRPr="00BC31E0" w:rsidRDefault="00CD54F8" w:rsidP="00736130">
      <w:pPr>
        <w:pStyle w:val="a4"/>
        <w:numPr>
          <w:ilvl w:val="0"/>
          <w:numId w:val="358"/>
        </w:numPr>
        <w:ind w:leftChars="0" w:left="738" w:hanging="454"/>
      </w:pPr>
      <w:r w:rsidRPr="00BC31E0">
        <w:rPr>
          <w:rFonts w:asciiTheme="majorEastAsia" w:eastAsiaTheme="majorEastAsia" w:hAnsiTheme="majorEastAsia" w:hint="eastAsia"/>
          <w:b/>
        </w:rPr>
        <w:t>加速疲労試験</w:t>
      </w:r>
      <w:r w:rsidRPr="00BC31E0">
        <w:rPr>
          <w:rFonts w:hint="eastAsia"/>
        </w:rPr>
        <w:t xml:space="preserve">　設計繰返し回数</w:t>
      </w:r>
      <m:oMath>
        <m:sSub>
          <m:sSubPr>
            <m:ctrlPr>
              <w:rPr>
                <w:rFonts w:ascii="Cambria Math" w:hAnsi="Cambria Math"/>
                <w:i/>
              </w:rPr>
            </m:ctrlPr>
          </m:sSubPr>
          <m:e>
            <m:r>
              <w:rPr>
                <w:rFonts w:ascii="Cambria Math" w:hAnsi="Cambria Math"/>
              </w:rPr>
              <m:t xml:space="preserve"> N</m:t>
            </m:r>
          </m:e>
          <m:sub>
            <m:r>
              <w:rPr>
                <w:rFonts w:ascii="Cambria Math" w:hAnsi="Cambria Math"/>
              </w:rPr>
              <m:t>D</m:t>
            </m:r>
          </m:sub>
        </m:sSub>
        <m:r>
          <w:rPr>
            <w:rFonts w:ascii="Cambria Math" w:hAnsi="Cambria Math"/>
          </w:rPr>
          <m:t xml:space="preserve"> </m:t>
        </m:r>
      </m:oMath>
      <w:r w:rsidRPr="00BC31E0">
        <w:rPr>
          <w:rFonts w:hint="eastAsia"/>
        </w:rPr>
        <w:t>が</w:t>
      </w:r>
      <w:r w:rsidRPr="00BC31E0">
        <w:rPr>
          <w:rFonts w:asciiTheme="minorHAnsi" w:hAnsiTheme="minorHAnsi"/>
        </w:rPr>
        <w:t>10</w:t>
      </w:r>
      <w:r w:rsidRPr="00BC31E0">
        <w:rPr>
          <w:rFonts w:asciiTheme="minorHAnsi" w:hAnsiTheme="minorHAnsi"/>
          <w:vertAlign w:val="superscript"/>
        </w:rPr>
        <w:t>4</w:t>
      </w:r>
      <w:r w:rsidRPr="00BC31E0">
        <w:rPr>
          <w:rFonts w:hint="eastAsia"/>
        </w:rPr>
        <w:t>より大きく，かつ，試験条件が次の手順で決定される場合には，次の手順によって加速疲労試験</w:t>
      </w:r>
      <w:r w:rsidRPr="00BC31E0">
        <w:rPr>
          <w:rFonts w:hint="eastAsia"/>
        </w:rPr>
        <w:t>(</w:t>
      </w:r>
      <w:r w:rsidRPr="00BC31E0">
        <w:rPr>
          <w:rFonts w:hint="eastAsia"/>
        </w:rPr>
        <w:t>この場合，最小繰返し回数</w:t>
      </w:r>
      <m:oMath>
        <m:sSub>
          <m:sSubPr>
            <m:ctrlPr>
              <w:rPr>
                <w:rFonts w:ascii="Cambria Math" w:hAnsi="Cambria Math"/>
                <w:i/>
              </w:rPr>
            </m:ctrlPr>
          </m:sSubPr>
          <m:e>
            <m:r>
              <w:rPr>
                <w:rFonts w:ascii="Cambria Math" w:hAnsi="Cambria Math"/>
              </w:rPr>
              <m:t xml:space="preserve"> N</m:t>
            </m:r>
          </m:e>
          <m:sub>
            <m:r>
              <w:rPr>
                <w:rFonts w:ascii="Cambria Math" w:hAnsi="Cambria Math"/>
              </w:rPr>
              <m:t>DT</m:t>
            </m:r>
          </m:sub>
        </m:sSub>
        <m:r>
          <w:rPr>
            <w:rFonts w:ascii="Cambria Math" w:hAnsi="Cambria Math"/>
          </w:rPr>
          <m:t xml:space="preserve"> </m:t>
        </m:r>
      </m:oMath>
      <w:r w:rsidRPr="00BC31E0">
        <w:rPr>
          <w:rFonts w:hint="eastAsia"/>
        </w:rPr>
        <w:t>は設計繰返し回数</w:t>
      </w:r>
      <m:oMath>
        <m:sSub>
          <m:sSubPr>
            <m:ctrlPr>
              <w:rPr>
                <w:rFonts w:ascii="Cambria Math" w:hAnsi="Cambria Math"/>
                <w:i/>
              </w:rPr>
            </m:ctrlPr>
          </m:sSubPr>
          <m:e>
            <m:r>
              <w:rPr>
                <w:rFonts w:ascii="Cambria Math" w:hAnsi="Cambria Math"/>
              </w:rPr>
              <m:t xml:space="preserve"> N</m:t>
            </m:r>
          </m:e>
          <m:sub>
            <m:r>
              <w:rPr>
                <w:rFonts w:ascii="Cambria Math" w:hAnsi="Cambria Math"/>
              </w:rPr>
              <m:t>D</m:t>
            </m:r>
          </m:sub>
        </m:sSub>
        <m:r>
          <w:rPr>
            <w:rFonts w:ascii="Cambria Math" w:hAnsi="Cambria Math"/>
          </w:rPr>
          <m:t xml:space="preserve"> </m:t>
        </m:r>
      </m:oMath>
      <w:r w:rsidRPr="00BC31E0">
        <w:rPr>
          <w:rFonts w:hint="eastAsia"/>
        </w:rPr>
        <w:t>以下となる</w:t>
      </w:r>
      <w:r w:rsidRPr="00BC31E0">
        <w:rPr>
          <w:rFonts w:hint="eastAsia"/>
        </w:rPr>
        <w:t>)</w:t>
      </w:r>
      <w:r w:rsidRPr="00BC31E0">
        <w:rPr>
          <w:rFonts w:hint="eastAsia"/>
        </w:rPr>
        <w:t>を行ってもよい。</w:t>
      </w:r>
    </w:p>
    <w:p w14:paraId="594AA8D1" w14:textId="77777777" w:rsidR="00CD54F8" w:rsidRPr="00BC31E0" w:rsidRDefault="00CD54F8" w:rsidP="00736130">
      <w:pPr>
        <w:pStyle w:val="a4"/>
        <w:numPr>
          <w:ilvl w:val="0"/>
          <w:numId w:val="315"/>
        </w:numPr>
        <w:spacing w:after="120"/>
        <w:ind w:leftChars="0" w:left="1134" w:hanging="567"/>
      </w:pPr>
      <w:r w:rsidRPr="00BC31E0">
        <w:rPr>
          <w:rFonts w:asciiTheme="majorEastAsia" w:eastAsiaTheme="majorEastAsia" w:hAnsiTheme="majorEastAsia" w:hint="eastAsia"/>
          <w:b/>
        </w:rPr>
        <w:t>図6.11.2</w:t>
      </w:r>
      <w:r w:rsidRPr="00BC31E0">
        <w:rPr>
          <w:rFonts w:hint="eastAsia"/>
        </w:rPr>
        <w:t>上に，点</w:t>
      </w:r>
      <w:r w:rsidRPr="00BC31E0">
        <w:rPr>
          <w:iCs/>
        </w:rPr>
        <w:t>A</w:t>
      </w:r>
      <w:r w:rsidRPr="00BC31E0">
        <w:rPr>
          <w:rFonts w:hint="eastAsia"/>
        </w:rPr>
        <w:t>，</w:t>
      </w:r>
      <w:r w:rsidRPr="00BC31E0">
        <w:rPr>
          <w:iCs/>
        </w:rPr>
        <w:t>B</w:t>
      </w:r>
      <w:r w:rsidRPr="00BC31E0">
        <w:rPr>
          <w:rFonts w:hint="eastAsia"/>
        </w:rPr>
        <w:t>及び</w:t>
      </w:r>
      <w:r w:rsidRPr="00BC31E0">
        <w:rPr>
          <w:iCs/>
        </w:rPr>
        <w:t>D</w:t>
      </w:r>
      <w:r w:rsidRPr="00BC31E0">
        <w:rPr>
          <w:rFonts w:hint="eastAsia"/>
        </w:rPr>
        <w:t>を上記</w:t>
      </w:r>
      <w:r w:rsidRPr="00BC31E0">
        <w:rPr>
          <w:rFonts w:asciiTheme="majorEastAsia" w:eastAsiaTheme="majorEastAsia" w:hAnsiTheme="majorEastAsia"/>
          <w:b/>
        </w:rPr>
        <w:t>3</w:t>
      </w:r>
      <w:r w:rsidRPr="00BC31E0">
        <w:rPr>
          <w:rFonts w:asciiTheme="majorEastAsia" w:eastAsiaTheme="majorEastAsia" w:hAnsiTheme="majorEastAsia" w:hint="eastAsia"/>
          <w:b/>
        </w:rPr>
        <w:t>)</w:t>
      </w:r>
      <w:r w:rsidRPr="00BC31E0">
        <w:rPr>
          <w:rFonts w:hint="eastAsia"/>
        </w:rPr>
        <w:t>に従って求める。加速疲労試験における最小繰返し回数</w:t>
      </w:r>
      <m:oMath>
        <m:sSub>
          <m:sSubPr>
            <m:ctrlPr>
              <w:rPr>
                <w:rFonts w:ascii="Cambria Math" w:hAnsi="Cambria Math"/>
                <w:i/>
              </w:rPr>
            </m:ctrlPr>
          </m:sSubPr>
          <m:e>
            <m:r>
              <w:rPr>
                <w:rFonts w:ascii="Cambria Math" w:hAnsi="Cambria Math"/>
              </w:rPr>
              <m:t xml:space="preserve"> N</m:t>
            </m:r>
          </m:e>
          <m:sub>
            <m:r>
              <w:rPr>
                <w:rFonts w:ascii="Cambria Math" w:hAnsi="Cambria Math"/>
              </w:rPr>
              <m:t>Tmin</m:t>
            </m:r>
          </m:sub>
        </m:sSub>
        <m:r>
          <m:rPr>
            <m:sty m:val="p"/>
          </m:rPr>
          <w:rPr>
            <w:rFonts w:ascii="Cambria Math" w:hAnsi="Cambria Math"/>
          </w:rPr>
          <m:t xml:space="preserve"> </m:t>
        </m:r>
      </m:oMath>
      <w:r w:rsidRPr="00BC31E0">
        <w:rPr>
          <w:rFonts w:hint="eastAsia"/>
        </w:rPr>
        <w:t>を次式によって求める。</w:t>
      </w:r>
    </w:p>
    <w:p w14:paraId="203B3770" w14:textId="77777777" w:rsidR="00CD54F8" w:rsidRPr="00BC31E0" w:rsidRDefault="00CD54F8" w:rsidP="00EA4BB4">
      <w:pPr>
        <w:tabs>
          <w:tab w:val="left" w:pos="3119"/>
          <w:tab w:val="left" w:leader="middleDot" w:pos="8080"/>
        </w:tabs>
      </w:pPr>
      <w:r w:rsidRPr="00BC31E0">
        <w:rPr>
          <w:rFonts w:hint="eastAsia"/>
        </w:rPr>
        <w:tab/>
      </w:r>
      <m:oMath>
        <m:sSub>
          <m:sSubPr>
            <m:ctrlPr>
              <w:rPr>
                <w:rFonts w:ascii="Cambria Math" w:hAnsi="Cambria Math"/>
                <w:i/>
              </w:rPr>
            </m:ctrlPr>
          </m:sSubPr>
          <m:e>
            <m:r>
              <w:rPr>
                <w:rFonts w:ascii="Cambria Math" w:hAnsi="Cambria Math"/>
              </w:rPr>
              <m:t>N</m:t>
            </m:r>
          </m:e>
          <m:sub>
            <m:r>
              <w:rPr>
                <w:rFonts w:ascii="Cambria Math" w:hAnsi="Cambria Math"/>
              </w:rPr>
              <m:t>T</m:t>
            </m:r>
            <m:r>
              <m:rPr>
                <m:sty m:val="p"/>
              </m:rPr>
              <w:rPr>
                <w:rFonts w:ascii="Cambria Math" w:hAnsi="Cambria Math"/>
              </w:rPr>
              <m:t>min</m:t>
            </m:r>
          </m:sub>
        </m:sSub>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2</m:t>
            </m:r>
          </m:sup>
        </m:sSup>
        <m:r>
          <w:rPr>
            <w:rFonts w:ascii="Cambria Math" w:hAnsi="Cambria Math"/>
          </w:rPr>
          <m:t xml:space="preserve"> </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N</m:t>
                </m:r>
              </m:e>
              <m:sub>
                <m:r>
                  <w:rPr>
                    <w:rFonts w:ascii="Cambria Math" w:hAnsi="Cambria Math"/>
                  </w:rPr>
                  <m:t>D</m:t>
                </m:r>
              </m:sub>
            </m:sSub>
          </m:e>
        </m:rad>
      </m:oMath>
      <w:r w:rsidRPr="00BC31E0">
        <w:rPr>
          <w:rFonts w:hint="eastAsia"/>
        </w:rPr>
        <w:tab/>
        <w:t>(6.11.7)</w:t>
      </w:r>
    </w:p>
    <w:p w14:paraId="1ACA918A" w14:textId="77777777" w:rsidR="00CD54F8" w:rsidRPr="00BC31E0" w:rsidRDefault="00CD54F8" w:rsidP="00EA4BB4">
      <w:pPr>
        <w:pStyle w:val="1110"/>
        <w:spacing w:before="120"/>
        <w:ind w:left="1134" w:firstLineChars="0" w:firstLine="0"/>
      </w:pPr>
      <w:r w:rsidRPr="00BC31E0">
        <w:rPr>
          <w:rFonts w:hint="eastAsia"/>
        </w:rPr>
        <w:t>設計疲労曲線の横軸上の</w:t>
      </w:r>
      <m:oMath>
        <m:sSub>
          <m:sSubPr>
            <m:ctrlPr>
              <w:rPr>
                <w:rFonts w:ascii="Cambria Math" w:hAnsi="Cambria Math"/>
                <w:i/>
              </w:rPr>
            </m:ctrlPr>
          </m:sSubPr>
          <m:e>
            <m:r>
              <w:rPr>
                <w:rFonts w:ascii="Cambria Math" w:hAnsi="Cambria Math"/>
              </w:rPr>
              <m:t xml:space="preserve"> N</m:t>
            </m:r>
          </m:e>
          <m:sub>
            <m:r>
              <w:rPr>
                <w:rFonts w:ascii="Cambria Math" w:hAnsi="Cambria Math"/>
              </w:rPr>
              <m:t>T</m:t>
            </m:r>
            <m:r>
              <m:rPr>
                <m:sty m:val="p"/>
              </m:rPr>
              <w:rPr>
                <w:rFonts w:ascii="Cambria Math" w:hAnsi="Cambria Math"/>
              </w:rPr>
              <m:t>min</m:t>
            </m:r>
          </m:sub>
        </m:sSub>
        <m:r>
          <w:rPr>
            <w:rFonts w:ascii="Cambria Math" w:hAnsi="Cambria Math"/>
          </w:rPr>
          <m:t xml:space="preserve"> </m:t>
        </m:r>
      </m:oMath>
      <w:r w:rsidRPr="00BC31E0">
        <w:rPr>
          <w:rFonts w:hint="eastAsia"/>
        </w:rPr>
        <w:t>から垂線を引く。</w:t>
      </w:r>
    </w:p>
    <w:p w14:paraId="683E2A68" w14:textId="77777777" w:rsidR="00FD5FF2" w:rsidRPr="00BC31E0" w:rsidRDefault="00CD54F8" w:rsidP="00736130">
      <w:pPr>
        <w:pStyle w:val="a4"/>
        <w:numPr>
          <w:ilvl w:val="0"/>
          <w:numId w:val="315"/>
        </w:numPr>
        <w:ind w:leftChars="0" w:left="1134" w:hanging="567"/>
      </w:pPr>
      <w:r w:rsidRPr="00BC31E0">
        <w:rPr>
          <w:rFonts w:hint="eastAsia"/>
        </w:rPr>
        <w:t>点</w:t>
      </w:r>
      <w:r w:rsidRPr="00BC31E0">
        <w:t>A</w:t>
      </w:r>
      <w:r w:rsidRPr="00BC31E0">
        <w:rPr>
          <w:rFonts w:hint="eastAsia"/>
        </w:rPr>
        <w:t>を通り，設計疲労曲線上の各</w:t>
      </w:r>
      <m:oMath>
        <m:sSub>
          <m:sSubPr>
            <m:ctrlPr>
              <w:rPr>
                <w:rFonts w:ascii="Cambria Math" w:hAnsi="Cambria Math"/>
                <w:i/>
              </w:rPr>
            </m:ctrlPr>
          </m:sSubPr>
          <m:e>
            <m:r>
              <w:rPr>
                <w:rFonts w:ascii="Cambria Math" w:hAnsi="Cambria Math"/>
              </w:rPr>
              <m:t xml:space="preserve"> S</m:t>
            </m:r>
          </m:e>
          <m:sub>
            <m:r>
              <w:rPr>
                <w:rFonts w:ascii="Cambria Math" w:hAnsi="Cambria Math"/>
              </w:rPr>
              <m:t>a</m:t>
            </m:r>
          </m:sub>
        </m:sSub>
        <m:r>
          <w:rPr>
            <w:rFonts w:ascii="Cambria Math" w:hAnsi="Cambria Math"/>
          </w:rPr>
          <m:t xml:space="preserve"> </m:t>
        </m:r>
      </m:oMath>
      <w:r w:rsidRPr="00BC31E0">
        <w:rPr>
          <w:rFonts w:hint="eastAsia"/>
        </w:rPr>
        <w:t>値に</w:t>
      </w:r>
      <m:oMath>
        <m:sSub>
          <m:sSubPr>
            <m:ctrlPr>
              <w:rPr>
                <w:rFonts w:ascii="Cambria Math" w:hAnsi="Cambria Math"/>
                <w:i/>
              </w:rPr>
            </m:ctrlPr>
          </m:sSubPr>
          <m:e>
            <m:r>
              <w:rPr>
                <w:rFonts w:ascii="Cambria Math" w:hAnsi="Cambria Math"/>
              </w:rPr>
              <m:t xml:space="preserve"> K</m:t>
            </m:r>
          </m:e>
          <m:sub>
            <m:r>
              <w:rPr>
                <w:rFonts w:ascii="Cambria Math" w:hAnsi="Cambria Math"/>
              </w:rPr>
              <m:t>s</m:t>
            </m:r>
          </m:sub>
        </m:sSub>
        <m:r>
          <w:rPr>
            <w:rFonts w:ascii="Cambria Math" w:hAnsi="Cambria Math"/>
          </w:rPr>
          <m:t xml:space="preserve"> </m:t>
        </m:r>
      </m:oMath>
      <w:r w:rsidRPr="00BC31E0">
        <w:rPr>
          <w:rFonts w:hint="eastAsia"/>
        </w:rPr>
        <w:t>を乗じた点を結ぶ曲線を作成する。</w:t>
      </w:r>
      <m:oMath>
        <m:sSub>
          <m:sSubPr>
            <m:ctrlPr>
              <w:rPr>
                <w:rFonts w:ascii="Cambria Math" w:hAnsi="Cambria Math"/>
                <w:i/>
              </w:rPr>
            </m:ctrlPr>
          </m:sSubPr>
          <m:e>
            <m:r>
              <w:rPr>
                <w:rFonts w:ascii="Cambria Math" w:hAnsi="Cambria Math"/>
              </w:rPr>
              <m:t xml:space="preserve"> N</m:t>
            </m:r>
          </m:e>
          <m:sub>
            <m:r>
              <w:rPr>
                <w:rFonts w:ascii="Cambria Math" w:hAnsi="Cambria Math"/>
              </w:rPr>
              <m:t>Tmin</m:t>
            </m:r>
          </m:sub>
        </m:sSub>
        <m:r>
          <m:rPr>
            <m:sty m:val="p"/>
          </m:rPr>
          <w:rPr>
            <w:rFonts w:ascii="Cambria Math" w:hAnsi="Cambria Math"/>
          </w:rPr>
          <m:t xml:space="preserve"> </m:t>
        </m:r>
      </m:oMath>
      <w:r w:rsidRPr="00BC31E0">
        <w:rPr>
          <w:rFonts w:hint="eastAsia"/>
        </w:rPr>
        <w:t>からの垂線とこの曲線の交点を</w:t>
      </w:r>
      <w:r w:rsidRPr="00BC31E0">
        <w:t>A’</w:t>
      </w:r>
      <w:r w:rsidRPr="00BC31E0">
        <w:rPr>
          <w:rFonts w:hint="eastAsia"/>
        </w:rPr>
        <w:t>とする。</w:t>
      </w:r>
    </w:p>
    <w:p w14:paraId="33EDB85D" w14:textId="77777777" w:rsidR="00FD5FF2" w:rsidRPr="00BC31E0" w:rsidRDefault="00CD54F8" w:rsidP="00736130">
      <w:pPr>
        <w:pStyle w:val="a4"/>
        <w:numPr>
          <w:ilvl w:val="0"/>
          <w:numId w:val="315"/>
        </w:numPr>
        <w:ind w:leftChars="0" w:left="1134" w:hanging="567"/>
      </w:pPr>
      <w:r w:rsidRPr="00BC31E0">
        <w:rPr>
          <w:rFonts w:hint="eastAsia"/>
        </w:rPr>
        <w:t>曲線</w:t>
      </w:r>
      <w:r w:rsidRPr="00BC31E0">
        <w:t>A’AB</w:t>
      </w:r>
      <w:r w:rsidRPr="00BC31E0">
        <w:rPr>
          <w:rFonts w:hint="eastAsia"/>
        </w:rPr>
        <w:t>上の任意の点</w:t>
      </w:r>
      <w:r w:rsidRPr="00BC31E0">
        <w:t>C</w:t>
      </w:r>
      <w:r w:rsidRPr="00BC31E0">
        <w:rPr>
          <w:rFonts w:hint="eastAsia"/>
        </w:rPr>
        <w:t>が許容される</w:t>
      </w:r>
      <m:oMath>
        <m:sSub>
          <m:sSubPr>
            <m:ctrlPr>
              <w:rPr>
                <w:rFonts w:ascii="Cambria Math" w:hAnsi="Cambria Math"/>
                <w:i/>
              </w:rPr>
            </m:ctrlPr>
          </m:sSubPr>
          <m:e>
            <m:r>
              <w:rPr>
                <w:rFonts w:ascii="Cambria Math" w:hAnsi="Cambria Math"/>
              </w:rPr>
              <m:t xml:space="preserve"> K</m:t>
            </m:r>
          </m:e>
          <m:sub>
            <m:r>
              <w:rPr>
                <w:rFonts w:ascii="Cambria Math" w:hAnsi="Cambria Math"/>
              </w:rPr>
              <m:t>TS</m:t>
            </m:r>
          </m:sub>
        </m:sSub>
        <m:r>
          <w:rPr>
            <w:rFonts w:ascii="Cambria Math" w:hAnsi="Cambria Math"/>
          </w:rPr>
          <m:t xml:space="preserve"> </m:t>
        </m:r>
      </m:oMath>
      <w:r w:rsidRPr="00BC31E0">
        <w:rPr>
          <w:rFonts w:hint="eastAsia"/>
        </w:rPr>
        <w:t>と</w:t>
      </w:r>
      <m:oMath>
        <m:sSub>
          <m:sSubPr>
            <m:ctrlPr>
              <w:rPr>
                <w:rFonts w:ascii="Cambria Math" w:hAnsi="Cambria Math"/>
                <w:i/>
              </w:rPr>
            </m:ctrlPr>
          </m:sSubPr>
          <m:e>
            <m:r>
              <w:rPr>
                <w:rFonts w:ascii="Cambria Math" w:hAnsi="Cambria Math"/>
              </w:rPr>
              <m:t xml:space="preserve"> K</m:t>
            </m:r>
          </m:e>
          <m:sub>
            <m:r>
              <w:rPr>
                <w:rFonts w:ascii="Cambria Math" w:hAnsi="Cambria Math"/>
              </w:rPr>
              <m:t>TN</m:t>
            </m:r>
          </m:sub>
        </m:sSub>
        <m:r>
          <w:rPr>
            <w:rFonts w:ascii="Cambria Math" w:hAnsi="Cambria Math"/>
          </w:rPr>
          <m:t xml:space="preserve"> </m:t>
        </m:r>
      </m:oMath>
      <w:r w:rsidRPr="00BC31E0">
        <w:rPr>
          <w:rFonts w:hint="eastAsia"/>
        </w:rPr>
        <w:t>の組合せである。</w:t>
      </w:r>
      <m:oMath>
        <m:sSub>
          <m:sSubPr>
            <m:ctrlPr>
              <w:rPr>
                <w:rFonts w:ascii="Cambria Math" w:hAnsi="Cambria Math"/>
                <w:i/>
              </w:rPr>
            </m:ctrlPr>
          </m:sSubPr>
          <m:e>
            <m:r>
              <w:rPr>
                <w:rFonts w:ascii="Cambria Math" w:hAnsi="Cambria Math"/>
              </w:rPr>
              <m:t>K</m:t>
            </m:r>
          </m:e>
          <m:sub>
            <m:r>
              <w:rPr>
                <w:rFonts w:ascii="Cambria Math" w:hAnsi="Cambria Math"/>
              </w:rPr>
              <m:t>TS</m:t>
            </m:r>
          </m:sub>
        </m:sSub>
        <m:r>
          <w:rPr>
            <w:rFonts w:ascii="Cambria Math" w:hAnsi="Cambria Math"/>
          </w:rPr>
          <m:t xml:space="preserve"> </m:t>
        </m:r>
      </m:oMath>
      <w:r w:rsidRPr="00BC31E0">
        <w:rPr>
          <w:rFonts w:hint="eastAsia"/>
        </w:rPr>
        <w:t>と</w:t>
      </w:r>
      <m:oMath>
        <m:sSub>
          <m:sSubPr>
            <m:ctrlPr>
              <w:rPr>
                <w:rFonts w:ascii="Cambria Math" w:hAnsi="Cambria Math"/>
                <w:i/>
              </w:rPr>
            </m:ctrlPr>
          </m:sSubPr>
          <m:e>
            <m:r>
              <w:rPr>
                <w:rFonts w:ascii="Cambria Math" w:hAnsi="Cambria Math"/>
              </w:rPr>
              <m:t xml:space="preserve"> K</m:t>
            </m:r>
          </m:e>
          <m:sub>
            <m:r>
              <w:rPr>
                <w:rFonts w:ascii="Cambria Math" w:hAnsi="Cambria Math"/>
              </w:rPr>
              <m:t>TN</m:t>
            </m:r>
          </m:sub>
        </m:sSub>
        <m:r>
          <w:rPr>
            <w:rFonts w:ascii="Cambria Math" w:hAnsi="Cambria Math"/>
          </w:rPr>
          <m:t xml:space="preserve"> </m:t>
        </m:r>
      </m:oMath>
      <w:r w:rsidRPr="00BC31E0">
        <w:rPr>
          <w:rFonts w:hint="eastAsia"/>
        </w:rPr>
        <w:t>は上記</w:t>
      </w:r>
      <w:r w:rsidRPr="00BC31E0">
        <w:rPr>
          <w:rFonts w:asciiTheme="majorEastAsia" w:eastAsiaTheme="majorEastAsia" w:hAnsiTheme="majorEastAsia" w:hint="eastAsia"/>
          <w:b/>
          <w:bCs/>
        </w:rPr>
        <w:t>3)</w:t>
      </w:r>
      <w:r w:rsidRPr="00BC31E0">
        <w:rPr>
          <w:rFonts w:hint="eastAsia"/>
        </w:rPr>
        <w:t>と同様にして求める。</w:t>
      </w:r>
    </w:p>
    <w:p w14:paraId="41C6A6CB" w14:textId="77777777" w:rsidR="00CD54F8" w:rsidRPr="00BC31E0" w:rsidRDefault="00CD54F8" w:rsidP="00736130">
      <w:pPr>
        <w:pStyle w:val="a4"/>
        <w:numPr>
          <w:ilvl w:val="0"/>
          <w:numId w:val="315"/>
        </w:numPr>
        <w:ind w:leftChars="0" w:left="1134" w:hanging="567"/>
      </w:pPr>
      <w:r w:rsidRPr="00BC31E0">
        <w:rPr>
          <w:rFonts w:hint="eastAsia"/>
        </w:rPr>
        <w:t>許容繰返し回数</w:t>
      </w:r>
      <m:oMath>
        <m:sSub>
          <m:sSubPr>
            <m:ctrlPr>
              <w:rPr>
                <w:rFonts w:ascii="Cambria Math" w:hAnsi="Cambria Math"/>
                <w:i/>
              </w:rPr>
            </m:ctrlPr>
          </m:sSubPr>
          <m:e>
            <m:r>
              <w:rPr>
                <w:rFonts w:ascii="Cambria Math" w:hAnsi="Cambria Math"/>
              </w:rPr>
              <m:t xml:space="preserve"> N</m:t>
            </m:r>
          </m:e>
          <m:sub>
            <m:r>
              <w:rPr>
                <w:rFonts w:ascii="Cambria Math" w:hAnsi="Cambria Math"/>
              </w:rPr>
              <m:t>T</m:t>
            </m:r>
          </m:sub>
        </m:sSub>
        <m:r>
          <w:rPr>
            <w:rFonts w:ascii="Cambria Math" w:hAnsi="Cambria Math"/>
          </w:rPr>
          <m:t xml:space="preserve"> </m:t>
        </m:r>
      </m:oMath>
      <w:r w:rsidRPr="00BC31E0">
        <w:rPr>
          <w:rFonts w:hint="eastAsia"/>
        </w:rPr>
        <w:t>及び試験荷重</w:t>
      </w:r>
      <m:oMath>
        <m:sSub>
          <m:sSubPr>
            <m:ctrlPr>
              <w:rPr>
                <w:rFonts w:ascii="Cambria Math" w:hAnsi="Cambria Math"/>
                <w:i/>
              </w:rPr>
            </m:ctrlPr>
          </m:sSubPr>
          <m:e>
            <m:r>
              <w:rPr>
                <w:rFonts w:ascii="Cambria Math" w:hAnsi="Cambria Math"/>
              </w:rPr>
              <m:t xml:space="preserve"> P</m:t>
            </m:r>
          </m:e>
          <m:sub>
            <m:r>
              <w:rPr>
                <w:rFonts w:ascii="Cambria Math" w:hAnsi="Cambria Math"/>
              </w:rPr>
              <m:t>T</m:t>
            </m:r>
          </m:sub>
        </m:sSub>
        <m:r>
          <w:rPr>
            <w:rFonts w:ascii="Cambria Math" w:hAnsi="Cambria Math"/>
          </w:rPr>
          <m:t xml:space="preserve"> </m:t>
        </m:r>
      </m:oMath>
      <w:r w:rsidRPr="00BC31E0">
        <w:rPr>
          <w:rFonts w:hint="eastAsia"/>
        </w:rPr>
        <w:t>を，上記</w:t>
      </w:r>
      <w:r w:rsidRPr="00BC31E0">
        <w:rPr>
          <w:rFonts w:asciiTheme="majorEastAsia" w:eastAsiaTheme="majorEastAsia" w:hAnsiTheme="majorEastAsia" w:hint="eastAsia"/>
          <w:b/>
        </w:rPr>
        <w:t>3.4)</w:t>
      </w:r>
      <w:r w:rsidRPr="00BC31E0">
        <w:rPr>
          <w:rFonts w:hint="eastAsia"/>
        </w:rPr>
        <w:t>によって定める。</w:t>
      </w:r>
    </w:p>
    <w:p w14:paraId="7CF99FDF" w14:textId="77777777" w:rsidR="00CD54F8" w:rsidRPr="00BC31E0" w:rsidRDefault="00CD54F8" w:rsidP="007E26D6">
      <w:pPr>
        <w:pStyle w:val="a4"/>
        <w:numPr>
          <w:ilvl w:val="0"/>
          <w:numId w:val="6"/>
        </w:numPr>
        <w:ind w:leftChars="0" w:left="738" w:hanging="454"/>
        <w:rPr>
          <w:rFonts w:ascii="ＭＳ 明朝"/>
        </w:rPr>
      </w:pPr>
      <w:r w:rsidRPr="00BC31E0">
        <w:rPr>
          <w:rFonts w:eastAsiaTheme="majorEastAsia" w:hAnsiTheme="majorEastAsia" w:hint="eastAsia"/>
          <w:b/>
        </w:rPr>
        <w:t>試験荷重又は試験繰返し回数の一方だけを増す試験方法</w:t>
      </w:r>
      <w:r w:rsidRPr="00BC31E0">
        <w:rPr>
          <w:rFonts w:hint="eastAsia"/>
        </w:rPr>
        <w:t xml:space="preserve">　</w:t>
      </w:r>
      <w:r w:rsidRPr="00BC31E0">
        <w:rPr>
          <w:rFonts w:ascii="ＭＳ 明朝" w:hint="eastAsia"/>
        </w:rPr>
        <w:t>試験荷重と繰返し回数の両方ではなく，いずれか一方だけを増して試験をするのが望まし</w:t>
      </w:r>
      <w:r w:rsidRPr="00BC31E0">
        <w:rPr>
          <w:rFonts w:asciiTheme="minorHAnsi" w:hAnsiTheme="minorHAnsi"/>
        </w:rPr>
        <w:t>い</w:t>
      </w:r>
      <w:r w:rsidRPr="00BC31E0">
        <w:rPr>
          <w:rFonts w:asciiTheme="minorHAnsi" w:hAnsiTheme="minorHAnsi"/>
        </w:rPr>
        <w:t>(</w:t>
      </w:r>
      <w:r w:rsidRPr="00BC31E0">
        <w:rPr>
          <w:rFonts w:asciiTheme="minorHAnsi" w:hAnsiTheme="minorHAnsi"/>
        </w:rPr>
        <w:t>又は可能な</w:t>
      </w:r>
      <w:r w:rsidRPr="00BC31E0">
        <w:rPr>
          <w:rFonts w:asciiTheme="minorHAnsi" w:hAnsiTheme="minorHAnsi"/>
        </w:rPr>
        <w:t>)</w:t>
      </w:r>
      <w:r w:rsidRPr="00BC31E0">
        <w:rPr>
          <w:rFonts w:asciiTheme="minorHAnsi" w:hAnsiTheme="minorHAnsi"/>
        </w:rPr>
        <w:t>場合</w:t>
      </w:r>
      <w:r w:rsidRPr="00BC31E0">
        <w:rPr>
          <w:rFonts w:ascii="ＭＳ 明朝" w:hint="eastAsia"/>
        </w:rPr>
        <w:t>がある。</w:t>
      </w:r>
    </w:p>
    <w:p w14:paraId="0F771DF5" w14:textId="77777777" w:rsidR="00CD54F8" w:rsidRPr="00BC31E0" w:rsidRDefault="00CD54F8" w:rsidP="00736130">
      <w:pPr>
        <w:pStyle w:val="a4"/>
        <w:numPr>
          <w:ilvl w:val="0"/>
          <w:numId w:val="316"/>
        </w:numPr>
        <w:spacing w:after="120"/>
        <w:ind w:leftChars="0" w:left="1134" w:hanging="567"/>
      </w:pPr>
      <w:r w:rsidRPr="00BC31E0">
        <w:rPr>
          <w:rFonts w:asciiTheme="majorEastAsia" w:eastAsiaTheme="majorEastAsia" w:hAnsiTheme="majorEastAsia" w:hint="eastAsia"/>
          <w:b/>
        </w:rPr>
        <w:t>繰返し回数のみに係数を適用する場合</w:t>
      </w:r>
      <w:r w:rsidRPr="00BC31E0">
        <w:rPr>
          <w:rFonts w:asciiTheme="minorHAnsi" w:eastAsiaTheme="minorEastAsia" w:hAnsiTheme="minorEastAsia"/>
        </w:rPr>
        <w:t xml:space="preserve">　</w:t>
      </w:r>
      <m:oMath>
        <m:sSub>
          <m:sSubPr>
            <m:ctrlPr>
              <w:rPr>
                <w:rFonts w:ascii="Cambria Math" w:eastAsiaTheme="minorEastAsia" w:hAnsiTheme="minorHAnsi"/>
                <w:bCs/>
                <w:i/>
              </w:rPr>
            </m:ctrlPr>
          </m:sSubPr>
          <m:e>
            <m:r>
              <w:rPr>
                <w:rFonts w:ascii="Cambria Math" w:eastAsiaTheme="minorEastAsia" w:hAnsi="Cambria Math"/>
              </w:rPr>
              <m:t>K</m:t>
            </m:r>
          </m:e>
          <m:sub>
            <m:r>
              <w:rPr>
                <w:rFonts w:ascii="Cambria Math" w:eastAsiaTheme="minorEastAsia" w:hAnsi="Cambria Math"/>
              </w:rPr>
              <m:t>TS</m:t>
            </m:r>
          </m:sub>
        </m:sSub>
        <m:r>
          <w:rPr>
            <w:rFonts w:ascii="Cambria Math" w:eastAsiaTheme="minorEastAsia" w:hAnsiTheme="minorHAnsi"/>
          </w:rPr>
          <m:t>=1</m:t>
        </m:r>
        <m:r>
          <m:rPr>
            <m:sty m:val="p"/>
          </m:rPr>
          <w:rPr>
            <w:rFonts w:ascii="Cambria Math" w:eastAsiaTheme="minorEastAsia" w:hAnsiTheme="minorHAnsi"/>
          </w:rPr>
          <m:t xml:space="preserve"> </m:t>
        </m:r>
      </m:oMath>
      <w:r w:rsidRPr="00BC31E0">
        <w:rPr>
          <w:rFonts w:asciiTheme="minorHAnsi" w:eastAsiaTheme="minorEastAsia" w:hAnsiTheme="minorEastAsia"/>
          <w:bCs/>
        </w:rPr>
        <w:t>とし，</w:t>
      </w:r>
      <m:oMath>
        <m:sSub>
          <m:sSubPr>
            <m:ctrlPr>
              <w:rPr>
                <w:rFonts w:ascii="Cambria Math" w:eastAsiaTheme="minorEastAsia" w:hAnsiTheme="minorHAnsi"/>
                <w:bCs/>
                <w:i/>
              </w:rPr>
            </m:ctrlPr>
          </m:sSubPr>
          <m:e>
            <m:r>
              <w:rPr>
                <w:rFonts w:ascii="Cambria Math" w:eastAsiaTheme="minorEastAsia" w:hAnsi="Cambria Math"/>
              </w:rPr>
              <m:t>K</m:t>
            </m:r>
          </m:e>
          <m:sub>
            <m:r>
              <w:rPr>
                <w:rFonts w:ascii="Cambria Math" w:eastAsiaTheme="minorEastAsia" w:hAnsi="Cambria Math"/>
              </w:rPr>
              <m:t>TN</m:t>
            </m:r>
          </m:sub>
        </m:sSub>
        <m:r>
          <w:rPr>
            <w:rFonts w:ascii="Cambria Math" w:eastAsiaTheme="minorEastAsia" w:hAnsiTheme="minorHAnsi"/>
          </w:rPr>
          <m:t xml:space="preserve"> </m:t>
        </m:r>
      </m:oMath>
      <w:r w:rsidRPr="00BC31E0">
        <w:rPr>
          <w:rFonts w:asciiTheme="minorHAnsi" w:eastAsiaTheme="minorEastAsia" w:hAnsiTheme="minorEastAsia"/>
          <w:bCs/>
        </w:rPr>
        <w:t>は次式とする。</w:t>
      </w:r>
    </w:p>
    <w:tbl>
      <w:tblPr>
        <w:tblStyle w:val="92"/>
        <w:tblW w:w="5953" w:type="dxa"/>
        <w:tblInd w:w="3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8"/>
        <w:gridCol w:w="3925"/>
      </w:tblGrid>
      <w:tr w:rsidR="00CD54F8" w:rsidRPr="00BC31E0" w14:paraId="7BCDF274" w14:textId="77777777" w:rsidTr="004736F2">
        <w:tc>
          <w:tcPr>
            <w:tcW w:w="0" w:type="auto"/>
            <w:tcMar>
              <w:left w:w="0" w:type="dxa"/>
              <w:right w:w="0" w:type="dxa"/>
            </w:tcMar>
            <w:vAlign w:val="center"/>
          </w:tcPr>
          <w:p w14:paraId="67C501DD" w14:textId="77777777" w:rsidR="00CD54F8" w:rsidRPr="00BC31E0" w:rsidRDefault="00A51873" w:rsidP="00EA4BB4">
            <w:pPr>
              <w:numPr>
                <w:ilvl w:val="12"/>
                <w:numId w:val="0"/>
              </w:numPr>
              <w:tabs>
                <w:tab w:val="left" w:pos="2835"/>
                <w:tab w:val="left" w:leader="middleDot" w:pos="8080"/>
              </w:tabs>
              <w:autoSpaceDE w:val="0"/>
              <w:autoSpaceDN w:val="0"/>
              <w:jc w:val="left"/>
            </w:pPr>
            <m:oMathPara>
              <m:oMathParaPr>
                <m:jc m:val="left"/>
              </m:oMathParaPr>
              <m:oMath>
                <m:sSub>
                  <m:sSubPr>
                    <m:ctrlPr>
                      <w:rPr>
                        <w:rFonts w:ascii="Cambria Math" w:hAnsiTheme="minorHAnsi"/>
                        <w:i/>
                      </w:rPr>
                    </m:ctrlPr>
                  </m:sSubPr>
                  <m:e>
                    <m:r>
                      <w:rPr>
                        <w:rFonts w:ascii="Cambria Math" w:hAnsi="Cambria Math"/>
                      </w:rPr>
                      <m:t>K</m:t>
                    </m:r>
                  </m:e>
                  <m:sub>
                    <m:r>
                      <w:rPr>
                        <w:rFonts w:ascii="Cambria Math" w:hAnsi="Cambria Math"/>
                      </w:rPr>
                      <m:t>TN</m:t>
                    </m:r>
                  </m:sub>
                </m:sSub>
                <m:r>
                  <w:rPr>
                    <w:rFonts w:ascii="Cambria Math" w:hAnsiTheme="minorHAnsi"/>
                  </w:rPr>
                  <m:t>=</m:t>
                </m:r>
                <m:f>
                  <m:fPr>
                    <m:ctrlPr>
                      <w:rPr>
                        <w:rFonts w:ascii="Cambria Math" w:hAnsiTheme="minorHAnsi"/>
                      </w:rPr>
                    </m:ctrlPr>
                  </m:fPr>
                  <m:num>
                    <m:r>
                      <m:rPr>
                        <m:sty m:val="p"/>
                      </m:rPr>
                      <w:rPr>
                        <w:rFonts w:ascii="Cambria Math" w:hAnsiTheme="minorHAnsi"/>
                      </w:rPr>
                      <m:t>B</m:t>
                    </m:r>
                    <m:r>
                      <m:rPr>
                        <m:sty m:val="p"/>
                      </m:rPr>
                      <w:rPr>
                        <w:rFonts w:ascii="Cambria Math" w:hAnsi="Cambria Math"/>
                      </w:rPr>
                      <m:t>点の</m:t>
                    </m:r>
                    <m:r>
                      <m:rPr>
                        <m:sty m:val="p"/>
                      </m:rPr>
                      <w:rPr>
                        <w:rFonts w:ascii="Cambria Math" w:hAnsi="Cambria Math" w:hint="eastAsia"/>
                      </w:rPr>
                      <m:t>横</m:t>
                    </m:r>
                    <m:r>
                      <m:rPr>
                        <m:sty m:val="p"/>
                      </m:rPr>
                      <w:rPr>
                        <w:rFonts w:ascii="Cambria Math" w:hAnsi="Cambria Math"/>
                      </w:rPr>
                      <m:t>座標値</m:t>
                    </m:r>
                  </m:num>
                  <m:den>
                    <m:r>
                      <m:rPr>
                        <m:sty m:val="p"/>
                      </m:rPr>
                      <w:rPr>
                        <w:rFonts w:ascii="Cambria Math" w:hAnsiTheme="minorHAnsi"/>
                      </w:rPr>
                      <m:t>D</m:t>
                    </m:r>
                    <m:r>
                      <m:rPr>
                        <m:sty m:val="p"/>
                      </m:rPr>
                      <w:rPr>
                        <w:rFonts w:ascii="Cambria Math" w:hAnsi="Cambria Math"/>
                      </w:rPr>
                      <m:t>点の</m:t>
                    </m:r>
                    <m:r>
                      <m:rPr>
                        <m:sty m:val="p"/>
                      </m:rPr>
                      <w:rPr>
                        <w:rFonts w:ascii="Cambria Math" w:hAnsi="Cambria Math" w:hint="eastAsia"/>
                      </w:rPr>
                      <m:t>横</m:t>
                    </m:r>
                    <m:r>
                      <m:rPr>
                        <m:sty m:val="p"/>
                      </m:rPr>
                      <w:rPr>
                        <w:rFonts w:ascii="Cambria Math" w:hAnsi="Cambria Math"/>
                      </w:rPr>
                      <m:t>座標値</m:t>
                    </m:r>
                  </m:den>
                </m:f>
              </m:oMath>
            </m:oMathPara>
          </w:p>
        </w:tc>
        <w:tc>
          <w:tcPr>
            <w:tcW w:w="3925" w:type="dxa"/>
            <w:tcMar>
              <w:left w:w="0" w:type="dxa"/>
              <w:right w:w="0" w:type="dxa"/>
            </w:tcMar>
            <w:vAlign w:val="center"/>
          </w:tcPr>
          <w:p w14:paraId="0BE56E87" w14:textId="77777777" w:rsidR="00CD54F8" w:rsidRPr="00BC31E0" w:rsidRDefault="00CD54F8" w:rsidP="00EA4BB4">
            <w:pPr>
              <w:numPr>
                <w:ilvl w:val="12"/>
                <w:numId w:val="0"/>
              </w:numPr>
              <w:tabs>
                <w:tab w:val="left" w:leader="middleDot" w:pos="2933"/>
              </w:tabs>
              <w:autoSpaceDE w:val="0"/>
              <w:autoSpaceDN w:val="0"/>
              <w:jc w:val="left"/>
            </w:pPr>
            <w:r w:rsidRPr="00BC31E0">
              <w:tab/>
              <w:t>(6.11.</w:t>
            </w:r>
            <w:r w:rsidRPr="00BC31E0">
              <w:rPr>
                <w:rFonts w:hint="eastAsia"/>
              </w:rPr>
              <w:t>8</w:t>
            </w:r>
            <w:r w:rsidRPr="00BC31E0">
              <w:t>)</w:t>
            </w:r>
          </w:p>
        </w:tc>
      </w:tr>
    </w:tbl>
    <w:p w14:paraId="26DB3BEF" w14:textId="77777777" w:rsidR="00CD54F8" w:rsidRPr="00BC31E0" w:rsidRDefault="00CD54F8" w:rsidP="00DC58EE">
      <w:pPr>
        <w:spacing w:before="120" w:after="120"/>
        <w:ind w:left="1134" w:firstLineChars="100" w:firstLine="210"/>
      </w:pPr>
      <w:r w:rsidRPr="00BC31E0">
        <w:rPr>
          <w:rFonts w:hint="eastAsia"/>
        </w:rPr>
        <w:t>設計荷重を受ける試験部材は，次</w:t>
      </w:r>
      <w:r w:rsidR="009A6AAF" w:rsidRPr="00BC31E0">
        <w:rPr>
          <w:rFonts w:hint="eastAsia"/>
        </w:rPr>
        <w:t>式</w:t>
      </w:r>
      <w:r w:rsidRPr="00BC31E0">
        <w:rPr>
          <w:rFonts w:hint="eastAsia"/>
        </w:rPr>
        <w:t>の繰返し回数に耐えなければならない。</w:t>
      </w:r>
      <w:r w:rsidR="00EB4C0A" w:rsidRPr="00BC31E0">
        <w:rPr>
          <w:rFonts w:hint="eastAsia"/>
        </w:rPr>
        <w:t>なお，模型を使用する場合は，必要に応じて試験荷重を補正する。</w:t>
      </w:r>
    </w:p>
    <w:p w14:paraId="439719F7" w14:textId="77777777" w:rsidR="00CD54F8" w:rsidRPr="00BC31E0" w:rsidRDefault="00CD54F8" w:rsidP="00EB4C0A">
      <w:pPr>
        <w:numPr>
          <w:ilvl w:val="12"/>
          <w:numId w:val="0"/>
        </w:numPr>
        <w:tabs>
          <w:tab w:val="left" w:pos="3119"/>
          <w:tab w:val="left" w:leader="middleDot" w:pos="8080"/>
        </w:tabs>
      </w:pPr>
      <w:r w:rsidRPr="00BC31E0">
        <w:rPr>
          <w:rFonts w:hint="eastAsia"/>
        </w:rPr>
        <w:tab/>
      </w:r>
      <m:oMath>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TN</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D</m:t>
            </m:r>
          </m:sub>
        </m:sSub>
      </m:oMath>
      <w:r w:rsidRPr="00BC31E0">
        <w:rPr>
          <w:rFonts w:hint="eastAsia"/>
        </w:rPr>
        <w:tab/>
        <w:t>(6.11.9)</w:t>
      </w:r>
    </w:p>
    <w:p w14:paraId="16CBDFEA" w14:textId="77777777" w:rsidR="00CD54F8" w:rsidRPr="00BC31E0" w:rsidRDefault="00CD54F8" w:rsidP="00736130">
      <w:pPr>
        <w:pStyle w:val="a4"/>
        <w:numPr>
          <w:ilvl w:val="0"/>
          <w:numId w:val="316"/>
        </w:numPr>
        <w:spacing w:before="120" w:after="120"/>
        <w:ind w:leftChars="0" w:left="1134" w:hanging="567"/>
      </w:pPr>
      <w:r w:rsidRPr="00BC31E0">
        <w:rPr>
          <w:rFonts w:asciiTheme="majorEastAsia" w:eastAsiaTheme="majorEastAsia" w:hAnsiTheme="majorEastAsia" w:hint="eastAsia"/>
          <w:b/>
        </w:rPr>
        <w:t>荷重のみに係数を適用する場合</w:t>
      </w:r>
      <w:r w:rsidRPr="00BC31E0">
        <w:rPr>
          <w:rFonts w:asciiTheme="minorHAnsi" w:eastAsiaTheme="minorEastAsia" w:hAnsiTheme="minorEastAsia"/>
        </w:rPr>
        <w:t xml:space="preserve">　</w:t>
      </w:r>
      <m:oMath>
        <m:sSub>
          <m:sSubPr>
            <m:ctrlPr>
              <w:rPr>
                <w:rFonts w:ascii="Cambria Math" w:eastAsiaTheme="minorEastAsia" w:hAnsiTheme="minorHAnsi"/>
                <w:i/>
              </w:rPr>
            </m:ctrlPr>
          </m:sSubPr>
          <m:e>
            <m:r>
              <w:rPr>
                <w:rFonts w:ascii="Cambria Math" w:eastAsiaTheme="minorEastAsia" w:hAnsi="Cambria Math"/>
              </w:rPr>
              <m:t>K</m:t>
            </m:r>
          </m:e>
          <m:sub>
            <m:r>
              <w:rPr>
                <w:rFonts w:ascii="Cambria Math" w:eastAsiaTheme="minorEastAsia" w:hAnsi="Cambria Math"/>
              </w:rPr>
              <m:t>TN</m:t>
            </m:r>
          </m:sub>
        </m:sSub>
        <m:r>
          <w:rPr>
            <w:rFonts w:ascii="Cambria Math" w:eastAsiaTheme="minorEastAsia" w:hAnsiTheme="minorHAnsi"/>
          </w:rPr>
          <m:t xml:space="preserve">=1 </m:t>
        </m:r>
      </m:oMath>
      <w:r w:rsidRPr="00BC31E0">
        <w:rPr>
          <w:rFonts w:asciiTheme="minorHAnsi" w:eastAsiaTheme="minorEastAsia" w:hAnsiTheme="minorEastAsia"/>
        </w:rPr>
        <w:t>とし，</w:t>
      </w:r>
      <m:oMath>
        <m:sSub>
          <m:sSubPr>
            <m:ctrlPr>
              <w:rPr>
                <w:rFonts w:ascii="Cambria Math" w:eastAsiaTheme="minorEastAsia" w:hAnsiTheme="minorHAnsi"/>
                <w:i/>
              </w:rPr>
            </m:ctrlPr>
          </m:sSubPr>
          <m:e>
            <m:r>
              <w:rPr>
                <w:rFonts w:ascii="Cambria Math" w:eastAsiaTheme="minorEastAsia" w:hAnsi="Cambria Math"/>
              </w:rPr>
              <m:t>K</m:t>
            </m:r>
          </m:e>
          <m:sub>
            <m:r>
              <w:rPr>
                <w:rFonts w:ascii="Cambria Math" w:eastAsiaTheme="minorEastAsia" w:hAnsi="Cambria Math"/>
              </w:rPr>
              <m:t>TS</m:t>
            </m:r>
          </m:sub>
        </m:sSub>
        <m:r>
          <w:rPr>
            <w:rFonts w:ascii="Cambria Math" w:eastAsiaTheme="minorEastAsia" w:hAnsiTheme="minorHAnsi"/>
          </w:rPr>
          <m:t xml:space="preserve">  </m:t>
        </m:r>
      </m:oMath>
      <w:r w:rsidRPr="00BC31E0">
        <w:rPr>
          <w:rFonts w:asciiTheme="minorHAnsi" w:eastAsiaTheme="minorEastAsia" w:hAnsiTheme="minorEastAsia"/>
        </w:rPr>
        <w:t>は次式とする。</w:t>
      </w:r>
    </w:p>
    <w:tbl>
      <w:tblPr>
        <w:tblStyle w:val="92"/>
        <w:tblW w:w="5953" w:type="dxa"/>
        <w:tblInd w:w="3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8"/>
        <w:gridCol w:w="3925"/>
      </w:tblGrid>
      <w:tr w:rsidR="00CD54F8" w:rsidRPr="00BC31E0" w14:paraId="2EC705F7" w14:textId="77777777" w:rsidTr="004736F2">
        <w:tc>
          <w:tcPr>
            <w:tcW w:w="0" w:type="auto"/>
            <w:tcMar>
              <w:left w:w="0" w:type="dxa"/>
              <w:right w:w="0" w:type="dxa"/>
            </w:tcMar>
            <w:vAlign w:val="center"/>
          </w:tcPr>
          <w:p w14:paraId="2659DCEA" w14:textId="77777777" w:rsidR="00CD54F8" w:rsidRPr="00BC31E0" w:rsidRDefault="00A51873" w:rsidP="00EA4BB4">
            <w:pPr>
              <w:numPr>
                <w:ilvl w:val="12"/>
                <w:numId w:val="0"/>
              </w:numPr>
              <w:tabs>
                <w:tab w:val="left" w:pos="2835"/>
                <w:tab w:val="left" w:leader="middleDot" w:pos="8080"/>
              </w:tabs>
              <w:autoSpaceDE w:val="0"/>
              <w:autoSpaceDN w:val="0"/>
              <w:jc w:val="left"/>
              <w:rPr>
                <w:i/>
              </w:rPr>
            </w:pPr>
            <m:oMathPara>
              <m:oMathParaPr>
                <m:jc m:val="left"/>
              </m:oMathParaPr>
              <m:oMath>
                <m:sSub>
                  <m:sSubPr>
                    <m:ctrlPr>
                      <w:rPr>
                        <w:rFonts w:ascii="Cambria Math" w:hAnsiTheme="minorHAnsi"/>
                        <w:i/>
                      </w:rPr>
                    </m:ctrlPr>
                  </m:sSubPr>
                  <m:e>
                    <m:r>
                      <w:rPr>
                        <w:rFonts w:ascii="Cambria Math" w:hAnsi="Cambria Math"/>
                      </w:rPr>
                      <m:t>K</m:t>
                    </m:r>
                  </m:e>
                  <m:sub>
                    <m:r>
                      <w:rPr>
                        <w:rFonts w:ascii="Cambria Math" w:hAnsi="Cambria Math"/>
                      </w:rPr>
                      <m:t>TS</m:t>
                    </m:r>
                  </m:sub>
                </m:sSub>
                <m:r>
                  <w:rPr>
                    <w:rFonts w:ascii="Cambria Math" w:hAnsiTheme="minorHAnsi"/>
                  </w:rPr>
                  <m:t>=</m:t>
                </m:r>
                <m:f>
                  <m:fPr>
                    <m:ctrlPr>
                      <w:rPr>
                        <w:rFonts w:ascii="Cambria Math" w:hAnsiTheme="minorHAnsi"/>
                      </w:rPr>
                    </m:ctrlPr>
                  </m:fPr>
                  <m:num>
                    <m:r>
                      <m:rPr>
                        <m:sty m:val="p"/>
                      </m:rPr>
                      <w:rPr>
                        <w:rFonts w:ascii="Cambria Math" w:hAnsiTheme="minorHAnsi"/>
                      </w:rPr>
                      <m:t>A</m:t>
                    </m:r>
                    <m:r>
                      <m:rPr>
                        <m:sty m:val="p"/>
                      </m:rPr>
                      <w:rPr>
                        <w:rFonts w:ascii="Cambria Math" w:hAnsi="Cambria Math"/>
                      </w:rPr>
                      <m:t>点の縦座標値</m:t>
                    </m:r>
                  </m:num>
                  <m:den>
                    <m:r>
                      <m:rPr>
                        <m:sty m:val="p"/>
                      </m:rPr>
                      <w:rPr>
                        <w:rFonts w:ascii="Cambria Math" w:hAnsiTheme="minorHAnsi"/>
                      </w:rPr>
                      <m:t>D</m:t>
                    </m:r>
                    <m:r>
                      <m:rPr>
                        <m:sty m:val="p"/>
                      </m:rPr>
                      <w:rPr>
                        <w:rFonts w:ascii="Cambria Math" w:hAnsi="Cambria Math"/>
                      </w:rPr>
                      <m:t>点の縦座標値</m:t>
                    </m:r>
                  </m:den>
                </m:f>
              </m:oMath>
            </m:oMathPara>
          </w:p>
        </w:tc>
        <w:tc>
          <w:tcPr>
            <w:tcW w:w="3925" w:type="dxa"/>
            <w:tcMar>
              <w:left w:w="0" w:type="dxa"/>
              <w:right w:w="0" w:type="dxa"/>
            </w:tcMar>
            <w:vAlign w:val="center"/>
          </w:tcPr>
          <w:p w14:paraId="607CCCBB" w14:textId="77777777" w:rsidR="00CD54F8" w:rsidRPr="00BC31E0" w:rsidRDefault="00CD54F8" w:rsidP="00EA4BB4">
            <w:pPr>
              <w:numPr>
                <w:ilvl w:val="12"/>
                <w:numId w:val="0"/>
              </w:numPr>
              <w:tabs>
                <w:tab w:val="left" w:leader="middleDot" w:pos="2933"/>
              </w:tabs>
              <w:autoSpaceDE w:val="0"/>
              <w:autoSpaceDN w:val="0"/>
              <w:jc w:val="left"/>
            </w:pPr>
            <w:r w:rsidRPr="00BC31E0">
              <w:tab/>
              <w:t>(6.11.</w:t>
            </w:r>
            <w:r w:rsidRPr="00BC31E0">
              <w:rPr>
                <w:rFonts w:hint="eastAsia"/>
              </w:rPr>
              <w:t>10</w:t>
            </w:r>
            <w:r w:rsidRPr="00BC31E0">
              <w:t>)</w:t>
            </w:r>
          </w:p>
        </w:tc>
      </w:tr>
    </w:tbl>
    <w:p w14:paraId="243C9B04" w14:textId="77777777" w:rsidR="00CD54F8" w:rsidRPr="00BC31E0" w:rsidRDefault="00CD54F8" w:rsidP="00EB4C0A">
      <w:pPr>
        <w:numPr>
          <w:ilvl w:val="12"/>
          <w:numId w:val="0"/>
        </w:numPr>
        <w:autoSpaceDE w:val="0"/>
        <w:autoSpaceDN w:val="0"/>
        <w:spacing w:before="120" w:after="120"/>
        <w:ind w:left="1134"/>
      </w:pPr>
      <w:r w:rsidRPr="00BC31E0">
        <w:rPr>
          <w:rFonts w:hint="eastAsia"/>
        </w:rPr>
        <w:t>試験荷重</w:t>
      </w:r>
      <m:oMath>
        <m:sSub>
          <m:sSubPr>
            <m:ctrlPr>
              <w:rPr>
                <w:rFonts w:ascii="Cambria Math" w:hAnsi="Cambria Math"/>
                <w:i/>
              </w:rPr>
            </m:ctrlPr>
          </m:sSubPr>
          <m:e>
            <m:r>
              <w:rPr>
                <w:rFonts w:ascii="Cambria Math" w:hAnsi="Cambria Math"/>
              </w:rPr>
              <m:t xml:space="preserve"> P</m:t>
            </m:r>
          </m:e>
          <m:sub>
            <m:r>
              <w:rPr>
                <w:rFonts w:ascii="Cambria Math" w:hAnsi="Cambria Math"/>
              </w:rPr>
              <m:t>T</m:t>
            </m:r>
          </m:sub>
        </m:sSub>
        <m:r>
          <w:rPr>
            <w:rFonts w:ascii="Cambria Math" w:hAnsi="Cambria Math"/>
          </w:rPr>
          <m:t xml:space="preserve"> </m:t>
        </m:r>
      </m:oMath>
      <w:r w:rsidRPr="00BC31E0">
        <w:rPr>
          <w:rFonts w:hint="eastAsia"/>
        </w:rPr>
        <w:t>を受ける試験部材は，少なくとも設計繰返し回数に耐えなければならない。</w:t>
      </w:r>
      <w:r w:rsidR="00EB4C0A" w:rsidRPr="00BC31E0">
        <w:rPr>
          <w:rFonts w:hint="eastAsia"/>
        </w:rPr>
        <w:t>なお，模型を使用する場合は，必要に応じて試験荷重を補正する。</w:t>
      </w:r>
    </w:p>
    <w:p w14:paraId="4413AA77" w14:textId="77777777" w:rsidR="00CD54F8" w:rsidRPr="00BC31E0" w:rsidRDefault="00CD54F8" w:rsidP="00EB4C0A">
      <w:pPr>
        <w:numPr>
          <w:ilvl w:val="12"/>
          <w:numId w:val="0"/>
        </w:numPr>
        <w:tabs>
          <w:tab w:val="left" w:pos="3119"/>
          <w:tab w:val="left" w:leader="middleDot" w:pos="8080"/>
        </w:tabs>
        <w:autoSpaceDE w:val="0"/>
        <w:autoSpaceDN w:val="0"/>
      </w:pPr>
      <w:r w:rsidRPr="00BC31E0">
        <w:rPr>
          <w:rFonts w:hint="eastAsia"/>
        </w:rPr>
        <w:tab/>
      </w:r>
      <m:oMath>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TS</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D</m:t>
            </m:r>
          </m:sub>
        </m:sSub>
      </m:oMath>
      <w:r w:rsidRPr="00BC31E0">
        <w:rPr>
          <w:rFonts w:hint="eastAsia"/>
        </w:rPr>
        <w:tab/>
        <w:t>(6.11.11)</w:t>
      </w:r>
    </w:p>
    <w:p w14:paraId="417F720B" w14:textId="77777777" w:rsidR="00CD54F8" w:rsidRPr="00BC31E0" w:rsidRDefault="00A51873" w:rsidP="007E26D6">
      <w:pPr>
        <w:pStyle w:val="a4"/>
        <w:numPr>
          <w:ilvl w:val="0"/>
          <w:numId w:val="6"/>
        </w:numPr>
        <w:spacing w:after="120"/>
        <w:ind w:leftChars="0" w:left="738" w:hanging="454"/>
      </w:pPr>
      <m:oMath>
        <m:sSub>
          <m:sSubPr>
            <m:ctrlPr>
              <w:rPr>
                <w:rFonts w:ascii="Cambria Math" w:eastAsiaTheme="majorEastAsia" w:hAnsi="Cambria Math"/>
                <w:b/>
                <w:vertAlign w:val="subscript"/>
              </w:rPr>
            </m:ctrlPr>
          </m:sSubPr>
          <m:e>
            <m:r>
              <m:rPr>
                <m:sty m:val="bi"/>
              </m:rPr>
              <w:rPr>
                <w:rFonts w:ascii="Cambria Math" w:eastAsiaTheme="majorEastAsia" w:hAnsi="Cambria Math"/>
                <w:vertAlign w:val="subscript"/>
              </w:rPr>
              <m:t>K</m:t>
            </m:r>
          </m:e>
          <m:sub>
            <m:r>
              <m:rPr>
                <m:sty m:val="bi"/>
              </m:rPr>
              <w:rPr>
                <w:rFonts w:ascii="Cambria Math" w:eastAsiaTheme="majorEastAsia" w:hAnsi="Cambria Math"/>
                <w:vertAlign w:val="subscript"/>
              </w:rPr>
              <m:t>s</m:t>
            </m:r>
          </m:sub>
        </m:sSub>
        <m:r>
          <m:rPr>
            <m:sty m:val="b"/>
          </m:rPr>
          <w:rPr>
            <w:rFonts w:ascii="Cambria Math" w:eastAsiaTheme="majorEastAsia" w:hAnsi="Cambria Math"/>
            <w:vertAlign w:val="subscript"/>
          </w:rPr>
          <m:t xml:space="preserve"> </m:t>
        </m:r>
      </m:oMath>
      <w:r w:rsidR="00CD54F8" w:rsidRPr="00BC31E0">
        <w:rPr>
          <w:rFonts w:asciiTheme="majorEastAsia" w:eastAsiaTheme="majorEastAsia" w:hAnsiTheme="majorEastAsia" w:hint="eastAsia"/>
          <w:b/>
        </w:rPr>
        <w:t>及び</w:t>
      </w:r>
      <m:oMath>
        <m:sSub>
          <m:sSubPr>
            <m:ctrlPr>
              <w:rPr>
                <w:rFonts w:ascii="Cambria Math" w:eastAsiaTheme="majorEastAsia" w:hAnsi="Cambria Math"/>
                <w:b/>
                <w:vertAlign w:val="subscript"/>
              </w:rPr>
            </m:ctrlPr>
          </m:sSubPr>
          <m:e>
            <m:r>
              <m:rPr>
                <m:sty m:val="b"/>
              </m:rPr>
              <w:rPr>
                <w:rFonts w:ascii="Cambria Math" w:eastAsiaTheme="majorEastAsia" w:hAnsi="Cambria Math"/>
                <w:vertAlign w:val="subscript"/>
              </w:rPr>
              <m:t xml:space="preserve"> </m:t>
            </m:r>
            <m:r>
              <m:rPr>
                <m:sty m:val="bi"/>
              </m:rPr>
              <w:rPr>
                <w:rFonts w:ascii="Cambria Math" w:eastAsiaTheme="majorEastAsia" w:hAnsi="Cambria Math"/>
                <w:vertAlign w:val="subscript"/>
              </w:rPr>
              <m:t>K</m:t>
            </m:r>
          </m:e>
          <m:sub>
            <m:r>
              <m:rPr>
                <m:sty m:val="bi"/>
              </m:rPr>
              <w:rPr>
                <w:rFonts w:ascii="Cambria Math" w:eastAsiaTheme="majorEastAsia" w:hAnsi="Cambria Math"/>
                <w:vertAlign w:val="subscript"/>
              </w:rPr>
              <m:t>n</m:t>
            </m:r>
          </m:sub>
        </m:sSub>
        <m:r>
          <m:rPr>
            <m:sty m:val="b"/>
          </m:rPr>
          <w:rPr>
            <w:rFonts w:ascii="Cambria Math" w:eastAsiaTheme="majorEastAsia" w:hAnsi="Cambria Math"/>
            <w:vertAlign w:val="subscript"/>
          </w:rPr>
          <m:t xml:space="preserve"> </m:t>
        </m:r>
      </m:oMath>
      <w:r w:rsidR="00CD54F8" w:rsidRPr="00BC31E0">
        <w:rPr>
          <w:rFonts w:asciiTheme="majorEastAsia" w:eastAsiaTheme="majorEastAsia" w:hAnsiTheme="majorEastAsia" w:hint="eastAsia"/>
          <w:b/>
        </w:rPr>
        <w:t>の値</w:t>
      </w:r>
      <w:r w:rsidR="00CD54F8" w:rsidRPr="00BC31E0">
        <w:rPr>
          <w:rFonts w:asciiTheme="minorHAnsi" w:hAnsiTheme="minorEastAsia"/>
        </w:rPr>
        <w:t xml:space="preserve">　</w:t>
      </w:r>
      <m:oMath>
        <m:sSub>
          <m:sSubPr>
            <m:ctrlPr>
              <w:rPr>
                <w:rFonts w:ascii="Cambria Math" w:hAnsi="Cambria Math"/>
                <w:bCs/>
              </w:rPr>
            </m:ctrlPr>
          </m:sSubPr>
          <m:e>
            <m:r>
              <w:rPr>
                <w:rFonts w:ascii="Cambria Math" w:hAnsi="Cambria Math"/>
              </w:rPr>
              <m:t>K</m:t>
            </m:r>
          </m:e>
          <m:sub>
            <m:r>
              <w:rPr>
                <w:rFonts w:ascii="Cambria Math" w:hAnsi="Cambria Math"/>
              </w:rPr>
              <m:t>s</m:t>
            </m:r>
          </m:sub>
        </m:sSub>
        <m:r>
          <m:rPr>
            <m:sty m:val="p"/>
          </m:rPr>
          <w:rPr>
            <w:rFonts w:ascii="Cambria Math" w:hAnsi="Cambria Math"/>
          </w:rPr>
          <m:t xml:space="preserve"> </m:t>
        </m:r>
      </m:oMath>
      <w:r w:rsidR="00CD54F8" w:rsidRPr="00BC31E0">
        <w:rPr>
          <w:rFonts w:asciiTheme="minorHAnsi" w:hAnsiTheme="minorEastAsia"/>
          <w:bCs/>
        </w:rPr>
        <w:t>及び</w:t>
      </w:r>
      <m:oMath>
        <m:sSub>
          <m:sSubPr>
            <m:ctrlPr>
              <w:rPr>
                <w:rFonts w:ascii="Cambria Math" w:hAnsi="Cambria Math"/>
                <w:bCs/>
              </w:rPr>
            </m:ctrlPr>
          </m:sSubPr>
          <m:e>
            <m:r>
              <m:rPr>
                <m:sty m:val="p"/>
              </m:rPr>
              <w:rPr>
                <w:rFonts w:ascii="Cambria Math" w:hAnsi="Cambria Math"/>
              </w:rPr>
              <m:t xml:space="preserve"> </m:t>
            </m:r>
            <m:r>
              <w:rPr>
                <w:rFonts w:ascii="Cambria Math" w:hAnsi="Cambria Math"/>
              </w:rPr>
              <m:t>K</m:t>
            </m:r>
          </m:e>
          <m:sub>
            <m:r>
              <w:rPr>
                <w:rFonts w:ascii="Cambria Math" w:hAnsi="Cambria Math"/>
              </w:rPr>
              <m:t>n</m:t>
            </m:r>
          </m:sub>
        </m:sSub>
        <m:r>
          <m:rPr>
            <m:sty m:val="p"/>
          </m:rPr>
          <w:rPr>
            <w:rFonts w:ascii="Cambria Math" w:hAnsi="Cambria Math"/>
          </w:rPr>
          <m:t xml:space="preserve"> </m:t>
        </m:r>
      </m:oMath>
      <w:r w:rsidR="00CD54F8" w:rsidRPr="00BC31E0">
        <w:rPr>
          <w:rFonts w:asciiTheme="minorHAnsi" w:hAnsiTheme="minorEastAsia"/>
          <w:bCs/>
        </w:rPr>
        <w:t>の値は次による。</w:t>
      </w:r>
    </w:p>
    <w:tbl>
      <w:tblPr>
        <w:tblStyle w:val="92"/>
        <w:tblW w:w="6804"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1985"/>
        <w:gridCol w:w="2409"/>
      </w:tblGrid>
      <w:tr w:rsidR="00CD54F8" w:rsidRPr="00BC31E0" w14:paraId="1148CC31" w14:textId="77777777" w:rsidTr="004736F2">
        <w:tc>
          <w:tcPr>
            <w:tcW w:w="2410" w:type="dxa"/>
            <w:tcMar>
              <w:left w:w="0" w:type="dxa"/>
              <w:right w:w="0" w:type="dxa"/>
            </w:tcMar>
            <w:vAlign w:val="center"/>
          </w:tcPr>
          <w:p w14:paraId="5146EF87" w14:textId="77777777" w:rsidR="00CD54F8" w:rsidRPr="00BC31E0" w:rsidRDefault="00A51873" w:rsidP="00EA4BB4">
            <w:pPr>
              <w:numPr>
                <w:ilvl w:val="12"/>
                <w:numId w:val="0"/>
              </w:numPr>
              <w:tabs>
                <w:tab w:val="left" w:pos="2127"/>
                <w:tab w:val="left" w:leader="middleDot" w:pos="8080"/>
              </w:tabs>
              <w:autoSpaceDE w:val="0"/>
              <w:autoSpaceDN w:val="0"/>
              <w:jc w:val="left"/>
              <w:rPr>
                <w:i/>
              </w:rPr>
            </w:pPr>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sa</m:t>
                    </m:r>
                  </m:sub>
                </m:sSub>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sf</m:t>
                    </m:r>
                  </m:sub>
                </m:sSub>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sc</m:t>
                    </m:r>
                  </m:sub>
                </m:sSub>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st</m:t>
                    </m:r>
                  </m:sub>
                </m:sSub>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ss</m:t>
                    </m:r>
                  </m:sub>
                </m:sSub>
              </m:oMath>
            </m:oMathPara>
          </w:p>
        </w:tc>
        <w:tc>
          <w:tcPr>
            <w:tcW w:w="1985" w:type="dxa"/>
            <w:tcMar>
              <w:left w:w="0" w:type="dxa"/>
              <w:right w:w="0" w:type="dxa"/>
            </w:tcMar>
            <w:vAlign w:val="center"/>
          </w:tcPr>
          <w:p w14:paraId="295FFE96" w14:textId="77777777" w:rsidR="00CD54F8" w:rsidRPr="00BC31E0" w:rsidRDefault="00CD54F8" w:rsidP="00EA4BB4">
            <w:pPr>
              <w:numPr>
                <w:ilvl w:val="12"/>
                <w:numId w:val="0"/>
              </w:numPr>
              <w:tabs>
                <w:tab w:val="left" w:pos="2127"/>
                <w:tab w:val="left" w:leader="middleDot" w:pos="8080"/>
              </w:tabs>
              <w:autoSpaceDE w:val="0"/>
              <w:autoSpaceDN w:val="0"/>
              <w:jc w:val="left"/>
            </w:pPr>
            <w:r w:rsidRPr="00BC31E0">
              <w:rPr>
                <w:rFonts w:hint="eastAsia"/>
              </w:rPr>
              <w:t>(</w:t>
            </w:r>
            <w:r w:rsidRPr="00BC31E0">
              <w:rPr>
                <w:rFonts w:hint="eastAsia"/>
              </w:rPr>
              <w:t>ただし，最小</w:t>
            </w:r>
            <w:r w:rsidRPr="00BC31E0">
              <w:rPr>
                <w:rFonts w:hint="eastAsia"/>
              </w:rPr>
              <w:t xml:space="preserve"> </w:t>
            </w:r>
            <w:r w:rsidRPr="00BC31E0">
              <w:rPr>
                <w:rFonts w:asciiTheme="minorHAnsi" w:hAnsiTheme="minorHAnsi"/>
              </w:rPr>
              <w:t>1.25</w:t>
            </w:r>
            <w:r w:rsidRPr="00BC31E0">
              <w:rPr>
                <w:rFonts w:ascii="Cambria Math" w:hAnsi="Cambria Math"/>
              </w:rPr>
              <w:t>)</w:t>
            </w:r>
          </w:p>
        </w:tc>
        <w:tc>
          <w:tcPr>
            <w:tcW w:w="2409" w:type="dxa"/>
            <w:tcMar>
              <w:left w:w="0" w:type="dxa"/>
              <w:right w:w="0" w:type="dxa"/>
            </w:tcMar>
            <w:vAlign w:val="center"/>
          </w:tcPr>
          <w:p w14:paraId="62B69396" w14:textId="77777777" w:rsidR="00CD54F8" w:rsidRPr="00BC31E0" w:rsidRDefault="00CD54F8" w:rsidP="00EA4BB4">
            <w:pPr>
              <w:numPr>
                <w:ilvl w:val="12"/>
                <w:numId w:val="0"/>
              </w:numPr>
              <w:tabs>
                <w:tab w:val="left" w:leader="middleDot" w:pos="1417"/>
              </w:tabs>
              <w:autoSpaceDE w:val="0"/>
              <w:autoSpaceDN w:val="0"/>
              <w:jc w:val="left"/>
            </w:pPr>
            <w:r w:rsidRPr="00BC31E0">
              <w:tab/>
            </w:r>
            <w:r w:rsidRPr="00BC31E0">
              <w:rPr>
                <w:rFonts w:hint="eastAsia"/>
              </w:rPr>
              <w:t>(6.11.12)</w:t>
            </w:r>
          </w:p>
        </w:tc>
      </w:tr>
      <w:tr w:rsidR="00CD54F8" w:rsidRPr="00BC31E0" w14:paraId="6091BC31" w14:textId="77777777" w:rsidTr="004736F2">
        <w:tc>
          <w:tcPr>
            <w:tcW w:w="2410" w:type="dxa"/>
            <w:tcMar>
              <w:left w:w="0" w:type="dxa"/>
              <w:right w:w="0" w:type="dxa"/>
            </w:tcMar>
            <w:vAlign w:val="center"/>
          </w:tcPr>
          <w:p w14:paraId="30CE4074" w14:textId="77777777" w:rsidR="00CD54F8" w:rsidRPr="00BC31E0" w:rsidRDefault="00A51873" w:rsidP="00B20A02">
            <w:pPr>
              <w:numPr>
                <w:ilvl w:val="12"/>
                <w:numId w:val="0"/>
              </w:numPr>
              <w:tabs>
                <w:tab w:val="left" w:pos="2127"/>
                <w:tab w:val="left" w:leader="middleDot" w:pos="8080"/>
              </w:tabs>
              <w:autoSpaceDE w:val="0"/>
              <w:autoSpaceDN w:val="0"/>
              <w:spacing w:before="120"/>
              <w:jc w:val="left"/>
              <w:rPr>
                <w:i/>
              </w:rPr>
            </w:pPr>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n</m:t>
                    </m:r>
                  </m:sub>
                </m:sSub>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s</m:t>
                            </m:r>
                          </m:sub>
                        </m:sSub>
                      </m:e>
                    </m:d>
                  </m:e>
                  <m:sup>
                    <m:r>
                      <w:rPr>
                        <w:rFonts w:ascii="Cambria Math" w:hAnsi="Cambria Math"/>
                      </w:rPr>
                      <m:t>4.3</m:t>
                    </m:r>
                  </m:sup>
                </m:sSup>
              </m:oMath>
            </m:oMathPara>
          </w:p>
        </w:tc>
        <w:tc>
          <w:tcPr>
            <w:tcW w:w="1985" w:type="dxa"/>
            <w:tcMar>
              <w:left w:w="0" w:type="dxa"/>
              <w:right w:w="0" w:type="dxa"/>
            </w:tcMar>
            <w:vAlign w:val="center"/>
          </w:tcPr>
          <w:p w14:paraId="738B7502" w14:textId="77777777" w:rsidR="00CD54F8" w:rsidRPr="00BC31E0" w:rsidRDefault="00CD54F8" w:rsidP="00B20A02">
            <w:pPr>
              <w:numPr>
                <w:ilvl w:val="12"/>
                <w:numId w:val="0"/>
              </w:numPr>
              <w:tabs>
                <w:tab w:val="left" w:pos="2127"/>
                <w:tab w:val="left" w:leader="middleDot" w:pos="8080"/>
              </w:tabs>
              <w:autoSpaceDE w:val="0"/>
              <w:autoSpaceDN w:val="0"/>
              <w:spacing w:before="120"/>
              <w:jc w:val="left"/>
            </w:pPr>
            <w:r w:rsidRPr="00BC31E0">
              <w:rPr>
                <w:rFonts w:hint="eastAsia"/>
              </w:rPr>
              <w:t>(</w:t>
            </w:r>
            <w:r w:rsidRPr="00BC31E0">
              <w:rPr>
                <w:rFonts w:hint="eastAsia"/>
              </w:rPr>
              <w:t>ただし，最小</w:t>
            </w:r>
            <w:r w:rsidRPr="00BC31E0">
              <w:rPr>
                <w:rFonts w:hint="eastAsia"/>
              </w:rPr>
              <w:t xml:space="preserve"> </w:t>
            </w:r>
            <w:r w:rsidRPr="00BC31E0">
              <w:rPr>
                <w:rFonts w:asciiTheme="minorHAnsi" w:hAnsiTheme="minorHAnsi"/>
              </w:rPr>
              <w:t>2.6</w:t>
            </w:r>
            <w:r w:rsidRPr="00BC31E0">
              <w:rPr>
                <w:rFonts w:hint="eastAsia"/>
              </w:rPr>
              <w:t>)</w:t>
            </w:r>
          </w:p>
        </w:tc>
        <w:tc>
          <w:tcPr>
            <w:tcW w:w="2409" w:type="dxa"/>
            <w:tcMar>
              <w:left w:w="0" w:type="dxa"/>
              <w:right w:w="0" w:type="dxa"/>
            </w:tcMar>
            <w:vAlign w:val="center"/>
          </w:tcPr>
          <w:p w14:paraId="4814C9E2" w14:textId="77777777" w:rsidR="00CD54F8" w:rsidRPr="00BC31E0" w:rsidRDefault="00CD54F8" w:rsidP="00B20A02">
            <w:pPr>
              <w:numPr>
                <w:ilvl w:val="12"/>
                <w:numId w:val="0"/>
              </w:numPr>
              <w:tabs>
                <w:tab w:val="left" w:leader="middleDot" w:pos="1417"/>
              </w:tabs>
              <w:autoSpaceDE w:val="0"/>
              <w:autoSpaceDN w:val="0"/>
              <w:spacing w:before="120"/>
              <w:jc w:val="left"/>
            </w:pPr>
            <w:r w:rsidRPr="00BC31E0">
              <w:tab/>
            </w:r>
            <w:r w:rsidRPr="00BC31E0">
              <w:rPr>
                <w:rFonts w:hint="eastAsia"/>
              </w:rPr>
              <w:t>(6.11.13)</w:t>
            </w:r>
          </w:p>
        </w:tc>
      </w:tr>
    </w:tbl>
    <w:p w14:paraId="51ED7C84" w14:textId="77777777" w:rsidR="00CD54F8" w:rsidRPr="00BC31E0" w:rsidRDefault="00CD54F8" w:rsidP="00EA4BB4">
      <w:pPr>
        <w:pStyle w:val="1110"/>
        <w:ind w:left="737" w:firstLineChars="0" w:firstLine="0"/>
      </w:pPr>
      <w:r w:rsidRPr="00BC31E0">
        <w:rPr>
          <w:rFonts w:hint="eastAsia"/>
        </w:rPr>
        <w:t>ここで，</w:t>
      </w:r>
    </w:p>
    <w:p w14:paraId="1ECEB031" w14:textId="77777777" w:rsidR="00CD54F8" w:rsidRPr="00BC31E0" w:rsidRDefault="00A51873" w:rsidP="00EA4BB4">
      <w:pPr>
        <w:numPr>
          <w:ilvl w:val="12"/>
          <w:numId w:val="0"/>
        </w:numPr>
        <w:tabs>
          <w:tab w:val="left" w:pos="1560"/>
        </w:tabs>
        <w:autoSpaceDE w:val="0"/>
        <w:autoSpaceDN w:val="0"/>
        <w:spacing w:after="120"/>
        <w:ind w:left="964"/>
      </w:pPr>
      <m:oMath>
        <m:sSub>
          <m:sSubPr>
            <m:ctrlPr>
              <w:rPr>
                <w:rFonts w:ascii="Cambria Math" w:hAnsi="Cambria Math"/>
                <w:i/>
              </w:rPr>
            </m:ctrlPr>
          </m:sSubPr>
          <m:e>
            <m:r>
              <w:rPr>
                <w:rFonts w:ascii="Cambria Math" w:hAnsi="Cambria Math"/>
              </w:rPr>
              <m:t>K</m:t>
            </m:r>
          </m:e>
          <m:sub>
            <m:r>
              <w:rPr>
                <w:rFonts w:ascii="Cambria Math" w:hAnsi="Cambria Math"/>
              </w:rPr>
              <m:t>sa</m:t>
            </m:r>
          </m:sub>
        </m:sSub>
      </m:oMath>
      <w:r w:rsidR="00CD54F8" w:rsidRPr="00BC31E0">
        <w:rPr>
          <w:rFonts w:hint="eastAsia"/>
        </w:rPr>
        <w:tab/>
      </w:r>
      <w:r w:rsidR="00CD54F8" w:rsidRPr="00BC31E0">
        <w:rPr>
          <w:rFonts w:hint="eastAsia"/>
        </w:rPr>
        <w:t>：</w:t>
      </w:r>
      <w:r w:rsidR="00CD54F8" w:rsidRPr="00BC31E0">
        <w:rPr>
          <w:rFonts w:hint="eastAsia"/>
        </w:rPr>
        <w:t xml:space="preserve"> </w:t>
      </w:r>
      <w:r w:rsidR="00CD54F8" w:rsidRPr="00BC31E0">
        <w:rPr>
          <w:rFonts w:hint="eastAsia"/>
        </w:rPr>
        <w:t>疲労寿命に及ぼす高応力表面部の寸法効果の係数は次式による。</w:t>
      </w:r>
    </w:p>
    <w:p w14:paraId="7A4A1247" w14:textId="77777777" w:rsidR="00CD54F8" w:rsidRPr="00BC31E0" w:rsidRDefault="00CD54F8" w:rsidP="00EA4BB4">
      <w:pPr>
        <w:numPr>
          <w:ilvl w:val="12"/>
          <w:numId w:val="0"/>
        </w:numPr>
        <w:tabs>
          <w:tab w:val="left" w:pos="1932"/>
          <w:tab w:val="left" w:leader="middleDot" w:pos="8080"/>
        </w:tabs>
        <w:autoSpaceDE w:val="0"/>
        <w:autoSpaceDN w:val="0"/>
      </w:pPr>
      <w:r w:rsidRPr="00BC31E0">
        <w:rPr>
          <w:rFonts w:hint="eastAsia"/>
        </w:rPr>
        <w:tab/>
      </w:r>
      <m:oMath>
        <m:sSub>
          <m:sSubPr>
            <m:ctrlPr>
              <w:rPr>
                <w:rFonts w:ascii="Cambria Math" w:hAnsi="Cambria Math"/>
                <w:i/>
              </w:rPr>
            </m:ctrlPr>
          </m:sSubPr>
          <m:e>
            <m:r>
              <w:rPr>
                <w:rFonts w:ascii="Cambria Math" w:hAnsi="Cambria Math"/>
              </w:rPr>
              <m:t>K</m:t>
            </m:r>
          </m:e>
          <m:sub>
            <m:r>
              <w:rPr>
                <w:rFonts w:ascii="Cambria Math" w:hAnsi="Cambria Math"/>
              </w:rPr>
              <m:t>sa</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P</m:t>
                        </m:r>
                      </m:sub>
                    </m:sSub>
                  </m:num>
                  <m:den>
                    <m:sSub>
                      <m:sSubPr>
                        <m:ctrlPr>
                          <w:rPr>
                            <w:rFonts w:ascii="Cambria Math" w:hAnsi="Cambria Math"/>
                            <w:i/>
                          </w:rPr>
                        </m:ctrlPr>
                      </m:sSubPr>
                      <m:e>
                        <m:r>
                          <w:rPr>
                            <w:rFonts w:ascii="Cambria Math" w:hAnsi="Cambria Math"/>
                          </w:rPr>
                          <m:t>A</m:t>
                        </m:r>
                      </m:e>
                      <m:sub>
                        <m:r>
                          <w:rPr>
                            <w:rFonts w:ascii="Cambria Math" w:hAnsi="Cambria Math"/>
                          </w:rPr>
                          <m:t>T</m:t>
                        </m:r>
                      </m:sub>
                    </m:sSub>
                  </m:den>
                </m:f>
              </m:e>
            </m:d>
          </m:e>
          <m:sup>
            <m:f>
              <m:fPr>
                <m:type m:val="lin"/>
                <m:ctrlPr>
                  <w:rPr>
                    <w:rFonts w:ascii="Cambria Math" w:hAnsi="Cambria Math"/>
                    <w:i/>
                  </w:rPr>
                </m:ctrlPr>
              </m:fPr>
              <m:num>
                <m:r>
                  <w:rPr>
                    <w:rFonts w:ascii="Cambria Math" w:hAnsi="Cambria Math"/>
                  </w:rPr>
                  <m:t>1</m:t>
                </m:r>
              </m:num>
              <m:den>
                <m:r>
                  <w:rPr>
                    <w:rFonts w:ascii="Cambria Math" w:hAnsi="Cambria Math"/>
                  </w:rPr>
                  <m:t>30</m:t>
                </m:r>
              </m:den>
            </m:f>
          </m:sup>
        </m:sSup>
      </m:oMath>
      <w:r w:rsidRPr="00BC31E0">
        <w:rPr>
          <w:rFonts w:hint="eastAsia"/>
        </w:rPr>
        <w:t xml:space="preserve">　</w:t>
      </w:r>
      <w:r w:rsidRPr="00BC31E0">
        <w:rPr>
          <w:rFonts w:hint="eastAsia"/>
        </w:rPr>
        <w:t>(</w:t>
      </w:r>
      <w:r w:rsidRPr="00BC31E0">
        <w:rPr>
          <w:rFonts w:hint="eastAsia"/>
        </w:rPr>
        <w:t>ただし，最小</w:t>
      </w:r>
      <w:r w:rsidRPr="00BC31E0">
        <w:rPr>
          <w:rFonts w:asciiTheme="minorHAnsi" w:hAnsiTheme="minorHAnsi"/>
        </w:rPr>
        <w:t>1.0</w:t>
      </w:r>
      <w:r w:rsidRPr="00BC31E0">
        <w:rPr>
          <w:rFonts w:hint="eastAsia"/>
        </w:rPr>
        <w:t>)</w:t>
      </w:r>
      <w:r w:rsidRPr="00BC31E0">
        <w:rPr>
          <w:rFonts w:hint="eastAsia"/>
        </w:rPr>
        <w:tab/>
        <w:t>(6.11.14)</w:t>
      </w:r>
    </w:p>
    <w:p w14:paraId="06AC1CC4" w14:textId="77777777" w:rsidR="00CD54F8" w:rsidRPr="00BC31E0" w:rsidRDefault="00CD54F8" w:rsidP="00EA4BB4">
      <w:pPr>
        <w:numPr>
          <w:ilvl w:val="12"/>
          <w:numId w:val="0"/>
        </w:numPr>
        <w:autoSpaceDE w:val="0"/>
        <w:autoSpaceDN w:val="0"/>
        <w:spacing w:before="120"/>
        <w:ind w:left="1871"/>
      </w:pPr>
      <w:r w:rsidRPr="00BC31E0">
        <w:rPr>
          <w:rFonts w:asciiTheme="minorEastAsia" w:eastAsiaTheme="minorEastAsia" w:hAnsiTheme="minorEastAsia" w:hint="eastAsia"/>
        </w:rPr>
        <w:t>ここで，</w:t>
      </w:r>
      <m:oMath>
        <m:f>
          <m:fPr>
            <m:type m:val="lin"/>
            <m:ctrlPr>
              <w:rPr>
                <w:rFonts w:ascii="Cambria Math" w:hAnsi="Cambria Math"/>
                <w:i/>
              </w:rPr>
            </m:ctrlPr>
          </m:fPr>
          <m:num>
            <m:sSub>
              <m:sSubPr>
                <m:ctrlPr>
                  <w:rPr>
                    <w:rFonts w:ascii="Cambria Math" w:hAnsi="Cambria Math"/>
                    <w:i/>
                  </w:rPr>
                </m:ctrlPr>
              </m:sSubPr>
              <m:e>
                <m:r>
                  <w:rPr>
                    <w:rFonts w:ascii="Cambria Math" w:hAnsi="Cambria Math" w:hint="eastAsia"/>
                  </w:rPr>
                  <m:t>A</m:t>
                </m:r>
              </m:e>
              <m:sub>
                <m:r>
                  <w:rPr>
                    <w:rFonts w:ascii="Cambria Math" w:hAnsi="Cambria Math"/>
                  </w:rPr>
                  <m:t>P</m:t>
                </m:r>
              </m:sub>
            </m:sSub>
          </m:num>
          <m:den>
            <m:sSub>
              <m:sSubPr>
                <m:ctrlPr>
                  <w:rPr>
                    <w:rFonts w:ascii="Cambria Math" w:hAnsi="Cambria Math"/>
                    <w:i/>
                  </w:rPr>
                </m:ctrlPr>
              </m:sSubPr>
              <m:e>
                <m:r>
                  <w:rPr>
                    <w:rFonts w:ascii="Cambria Math" w:hAnsi="Cambria Math"/>
                  </w:rPr>
                  <m:t>A</m:t>
                </m:r>
              </m:e>
              <m:sub>
                <m:r>
                  <w:rPr>
                    <w:rFonts w:ascii="Cambria Math" w:hAnsi="Cambria Math"/>
                  </w:rPr>
                  <m:t>T</m:t>
                </m:r>
              </m:sub>
            </m:sSub>
          </m:den>
        </m:f>
      </m:oMath>
      <w:r w:rsidRPr="00BC31E0">
        <w:rPr>
          <w:rFonts w:asciiTheme="minorEastAsia" w:eastAsiaTheme="minorEastAsia" w:hAnsiTheme="minorEastAsia" w:hint="eastAsia"/>
        </w:rPr>
        <w:t>：</w:t>
      </w:r>
      <w:r w:rsidRPr="00BC31E0">
        <w:rPr>
          <w:rFonts w:hint="eastAsia"/>
        </w:rPr>
        <w:t>実機の高応力部表面積／模型の高応力部表面積</w:t>
      </w:r>
    </w:p>
    <w:p w14:paraId="13D83F22" w14:textId="77777777" w:rsidR="00CD54F8" w:rsidRPr="00BC31E0" w:rsidRDefault="00A51873" w:rsidP="00EA4BB4">
      <w:pPr>
        <w:numPr>
          <w:ilvl w:val="12"/>
          <w:numId w:val="0"/>
        </w:numPr>
        <w:tabs>
          <w:tab w:val="left" w:pos="1560"/>
        </w:tabs>
        <w:autoSpaceDE w:val="0"/>
        <w:autoSpaceDN w:val="0"/>
        <w:spacing w:after="120"/>
        <w:ind w:left="964"/>
      </w:pPr>
      <m:oMath>
        <m:sSub>
          <m:sSubPr>
            <m:ctrlPr>
              <w:rPr>
                <w:rFonts w:ascii="Cambria Math" w:hAnsiTheme="minorHAnsi"/>
                <w:i/>
              </w:rPr>
            </m:ctrlPr>
          </m:sSubPr>
          <m:e>
            <m:r>
              <w:rPr>
                <w:rFonts w:ascii="Cambria Math" w:hAnsi="Cambria Math"/>
              </w:rPr>
              <m:t>K</m:t>
            </m:r>
          </m:e>
          <m:sub>
            <m:r>
              <w:rPr>
                <w:rFonts w:ascii="Cambria Math" w:hAnsi="Cambria Math"/>
              </w:rPr>
              <m:t>sc</m:t>
            </m:r>
          </m:sub>
        </m:sSub>
      </m:oMath>
      <w:r w:rsidR="00CD54F8" w:rsidRPr="00BC31E0">
        <w:rPr>
          <w:rFonts w:asciiTheme="minorEastAsia" w:eastAsiaTheme="minorEastAsia" w:hAnsiTheme="minorEastAsia" w:hint="eastAsia"/>
          <w:vertAlign w:val="subscript"/>
        </w:rPr>
        <w:tab/>
      </w:r>
      <w:r w:rsidR="00CD54F8" w:rsidRPr="00BC31E0">
        <w:rPr>
          <w:rFonts w:hint="eastAsia"/>
        </w:rPr>
        <w:t>：</w:t>
      </w:r>
      <w:r w:rsidR="00CD54F8" w:rsidRPr="00BC31E0">
        <w:t xml:space="preserve"> </w:t>
      </w:r>
      <w:r w:rsidR="00CD54F8" w:rsidRPr="00BC31E0">
        <w:rPr>
          <w:rFonts w:hint="eastAsia"/>
        </w:rPr>
        <w:t>温度によって設計疲労曲線が異なることに対する修正係数は次式による。</w:t>
      </w:r>
    </w:p>
    <w:tbl>
      <w:tblPr>
        <w:tblStyle w:val="92"/>
        <w:tblW w:w="7144" w:type="dxa"/>
        <w:tblInd w:w="1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4"/>
        <w:gridCol w:w="1701"/>
        <w:gridCol w:w="1479"/>
      </w:tblGrid>
      <w:tr w:rsidR="00CD54F8" w:rsidRPr="00BC31E0" w14:paraId="799C88F7" w14:textId="77777777" w:rsidTr="004736F2">
        <w:tc>
          <w:tcPr>
            <w:tcW w:w="3964" w:type="dxa"/>
            <w:tcMar>
              <w:left w:w="0" w:type="dxa"/>
              <w:right w:w="0" w:type="dxa"/>
            </w:tcMar>
            <w:vAlign w:val="center"/>
          </w:tcPr>
          <w:p w14:paraId="69FAAA1B" w14:textId="77777777" w:rsidR="00CD54F8" w:rsidRPr="00BC31E0" w:rsidRDefault="00A51873" w:rsidP="00EA4BB4">
            <w:pPr>
              <w:numPr>
                <w:ilvl w:val="12"/>
                <w:numId w:val="0"/>
              </w:numPr>
              <w:tabs>
                <w:tab w:val="left" w:leader="middleDot" w:pos="8080"/>
              </w:tabs>
              <w:autoSpaceDE w:val="0"/>
              <w:autoSpaceDN w:val="0"/>
              <w:rPr>
                <w:rFonts w:asciiTheme="minorHAnsi" w:hAnsiTheme="minorHAnsi"/>
              </w:rPr>
            </w:pPr>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sc</m:t>
                    </m:r>
                  </m:sub>
                </m:sSub>
                <m:r>
                  <w:rPr>
                    <w:rFonts w:ascii="Cambria Math" w:hAnsi="Cambria Math"/>
                  </w:rPr>
                  <m:t>=</m:t>
                </m:r>
                <m:f>
                  <m:fPr>
                    <m:ctrlPr>
                      <w:rPr>
                        <w:rFonts w:ascii="Cambria Math" w:hAnsi="Cambria Math"/>
                      </w:rPr>
                    </m:ctrlPr>
                  </m:fPr>
                  <m:num>
                    <m:d>
                      <m:dPr>
                        <m:ctrlPr>
                          <w:rPr>
                            <w:rFonts w:ascii="Cambria Math" w:hAnsi="Cambria Math"/>
                          </w:rPr>
                        </m:ctrlPr>
                      </m:dPr>
                      <m:e>
                        <m:r>
                          <m:rPr>
                            <m:sty m:val="p"/>
                          </m:rPr>
                          <w:rPr>
                            <w:rFonts w:ascii="Cambria Math" w:hAnsi="Cambria Math" w:hint="eastAsia"/>
                          </w:rPr>
                          <m:t>温度</m:t>
                        </m:r>
                        <m:sSub>
                          <m:sSubPr>
                            <m:ctrlPr>
                              <w:rPr>
                                <w:rFonts w:ascii="Cambria Math" w:hAnsi="Cambria Math"/>
                                <w:i/>
                              </w:rPr>
                            </m:ctrlPr>
                          </m:sSubPr>
                          <m:e>
                            <m:r>
                              <w:rPr>
                                <w:rFonts w:ascii="Cambria Math" w:hAnsi="Cambria Math"/>
                              </w:rPr>
                              <m:t>T</m:t>
                            </m:r>
                          </m:e>
                          <m:sub>
                            <m:r>
                              <w:rPr>
                                <w:rFonts w:ascii="Cambria Math" w:hAnsi="Cambria Math"/>
                              </w:rPr>
                              <m:t>c</m:t>
                            </m:r>
                          </m:sub>
                        </m:sSub>
                        <m:r>
                          <m:rPr>
                            <m:sty m:val="p"/>
                          </m:rPr>
                          <w:rPr>
                            <w:rFonts w:ascii="Cambria Math" w:hAnsi="Cambria Math" w:hint="eastAsia"/>
                          </w:rPr>
                          <m:t>での</m:t>
                        </m:r>
                        <m:sSub>
                          <m:sSubPr>
                            <m:ctrlPr>
                              <w:rPr>
                                <w:rFonts w:ascii="Cambria Math" w:hAnsi="Cambria Math"/>
                                <w:i/>
                              </w:rPr>
                            </m:ctrlPr>
                          </m:sSubPr>
                          <m:e>
                            <m:r>
                              <w:rPr>
                                <w:rFonts w:ascii="Cambria Math" w:hAnsi="Cambria Math"/>
                              </w:rPr>
                              <m:t>S</m:t>
                            </m:r>
                          </m:e>
                          <m:sub>
                            <m:r>
                              <w:rPr>
                                <w:rFonts w:ascii="Cambria Math" w:hAnsi="Cambria Math"/>
                              </w:rPr>
                              <m:t>aN</m:t>
                            </m:r>
                          </m:sub>
                        </m:sSub>
                      </m:e>
                    </m:d>
                    <m:d>
                      <m:dPr>
                        <m:ctrlPr>
                          <w:rPr>
                            <w:rFonts w:ascii="Cambria Math" w:hAnsi="Cambria Math"/>
                          </w:rPr>
                        </m:ctrlPr>
                      </m:dPr>
                      <m:e>
                        <m:r>
                          <m:rPr>
                            <m:sty m:val="p"/>
                          </m:rPr>
                          <w:rPr>
                            <w:rFonts w:ascii="Cambria Math" w:hAnsi="Cambria Math" w:hint="eastAsia"/>
                          </w:rPr>
                          <m:t>温度</m:t>
                        </m:r>
                        <m:sSub>
                          <m:sSubPr>
                            <m:ctrlPr>
                              <w:rPr>
                                <w:rFonts w:ascii="Cambria Math" w:hAnsi="Cambria Math"/>
                                <w:i/>
                              </w:rPr>
                            </m:ctrlPr>
                          </m:sSubPr>
                          <m:e>
                            <m:r>
                              <w:rPr>
                                <w:rFonts w:ascii="Cambria Math" w:hAnsi="Cambria Math"/>
                              </w:rPr>
                              <m:t>T</m:t>
                            </m:r>
                          </m:e>
                          <m:sub>
                            <m:r>
                              <w:rPr>
                                <w:rFonts w:ascii="Cambria Math" w:hAnsi="Cambria Math"/>
                              </w:rPr>
                              <m:t>t</m:t>
                            </m:r>
                          </m:sub>
                        </m:sSub>
                        <m:r>
                          <m:rPr>
                            <m:sty m:val="p"/>
                          </m:rPr>
                          <w:rPr>
                            <w:rFonts w:ascii="Cambria Math" w:hAnsi="Cambria Math" w:hint="eastAsia"/>
                          </w:rPr>
                          <m:t>での</m:t>
                        </m:r>
                        <m:sSub>
                          <m:sSubPr>
                            <m:ctrlPr>
                              <w:rPr>
                                <w:rFonts w:ascii="Cambria Math" w:hAnsi="Cambria Math"/>
                                <w:i/>
                              </w:rPr>
                            </m:ctrlPr>
                          </m:sSubPr>
                          <m:e>
                            <m:r>
                              <w:rPr>
                                <w:rFonts w:ascii="Cambria Math" w:hAnsi="Cambria Math"/>
                              </w:rPr>
                              <m:t>S</m:t>
                            </m:r>
                          </m:e>
                          <m:sub>
                            <m:r>
                              <w:rPr>
                                <w:rFonts w:ascii="Cambria Math" w:hAnsi="Cambria Math"/>
                              </w:rPr>
                              <m:t>aZ</m:t>
                            </m:r>
                          </m:sub>
                        </m:sSub>
                      </m:e>
                    </m:d>
                  </m:num>
                  <m:den>
                    <m:d>
                      <m:dPr>
                        <m:ctrlPr>
                          <w:rPr>
                            <w:rFonts w:ascii="Cambria Math" w:hAnsi="Cambria Math"/>
                          </w:rPr>
                        </m:ctrlPr>
                      </m:dPr>
                      <m:e>
                        <m:r>
                          <m:rPr>
                            <m:sty m:val="p"/>
                          </m:rPr>
                          <w:rPr>
                            <w:rFonts w:ascii="Cambria Math" w:hAnsi="Cambria Math" w:hint="eastAsia"/>
                          </w:rPr>
                          <m:t>温度</m:t>
                        </m:r>
                        <m:sSub>
                          <m:sSubPr>
                            <m:ctrlPr>
                              <w:rPr>
                                <w:rFonts w:ascii="Cambria Math" w:hAnsi="Cambria Math"/>
                                <w:i/>
                              </w:rPr>
                            </m:ctrlPr>
                          </m:sSubPr>
                          <m:e>
                            <m:r>
                              <w:rPr>
                                <w:rFonts w:ascii="Cambria Math" w:hAnsi="Cambria Math"/>
                              </w:rPr>
                              <m:t>T</m:t>
                            </m:r>
                          </m:e>
                          <m:sub>
                            <m:r>
                              <w:rPr>
                                <w:rFonts w:ascii="Cambria Math" w:hAnsi="Cambria Math"/>
                              </w:rPr>
                              <m:t xml:space="preserve">D </m:t>
                            </m:r>
                          </m:sub>
                        </m:sSub>
                        <m:r>
                          <m:rPr>
                            <m:sty m:val="p"/>
                          </m:rPr>
                          <w:rPr>
                            <w:rFonts w:ascii="Cambria Math" w:hAnsi="Cambria Math" w:hint="eastAsia"/>
                          </w:rPr>
                          <m:t>での</m:t>
                        </m:r>
                        <m:sSub>
                          <m:sSubPr>
                            <m:ctrlPr>
                              <w:rPr>
                                <w:rFonts w:ascii="Cambria Math" w:hAnsi="Cambria Math"/>
                                <w:i/>
                              </w:rPr>
                            </m:ctrlPr>
                          </m:sSubPr>
                          <m:e>
                            <m:r>
                              <w:rPr>
                                <w:rFonts w:ascii="Cambria Math" w:hAnsi="Cambria Math"/>
                              </w:rPr>
                              <m:t>S</m:t>
                            </m:r>
                          </m:e>
                          <m:sub>
                            <m:r>
                              <w:rPr>
                                <w:rFonts w:ascii="Cambria Math" w:hAnsi="Cambria Math"/>
                              </w:rPr>
                              <m:t>aN</m:t>
                            </m:r>
                          </m:sub>
                        </m:sSub>
                      </m:e>
                    </m:d>
                    <m:d>
                      <m:dPr>
                        <m:ctrlPr>
                          <w:rPr>
                            <w:rFonts w:ascii="Cambria Math" w:hAnsi="Cambria Math"/>
                          </w:rPr>
                        </m:ctrlPr>
                      </m:dPr>
                      <m:e>
                        <m:r>
                          <m:rPr>
                            <m:sty m:val="p"/>
                          </m:rPr>
                          <w:rPr>
                            <w:rFonts w:ascii="Cambria Math" w:hAnsi="Cambria Math" w:hint="eastAsia"/>
                          </w:rPr>
                          <m:t>温度</m:t>
                        </m:r>
                        <m:sSub>
                          <m:sSubPr>
                            <m:ctrlPr>
                              <w:rPr>
                                <w:rFonts w:ascii="Cambria Math" w:hAnsi="Cambria Math"/>
                                <w:i/>
                              </w:rPr>
                            </m:ctrlPr>
                          </m:sSubPr>
                          <m:e>
                            <m:r>
                              <w:rPr>
                                <w:rFonts w:ascii="Cambria Math" w:hAnsi="Cambria Math"/>
                              </w:rPr>
                              <m:t>T</m:t>
                            </m:r>
                          </m:e>
                          <m:sub>
                            <m:r>
                              <w:rPr>
                                <w:rFonts w:ascii="Cambria Math" w:hAnsi="Cambria Math"/>
                              </w:rPr>
                              <m:t>c</m:t>
                            </m:r>
                          </m:sub>
                        </m:sSub>
                        <m:r>
                          <m:rPr>
                            <m:sty m:val="p"/>
                          </m:rPr>
                          <w:rPr>
                            <w:rFonts w:ascii="Cambria Math" w:hAnsi="Cambria Math" w:hint="eastAsia"/>
                          </w:rPr>
                          <m:t>での</m:t>
                        </m:r>
                        <m:sSub>
                          <m:sSubPr>
                            <m:ctrlPr>
                              <w:rPr>
                                <w:rFonts w:ascii="Cambria Math" w:hAnsi="Cambria Math"/>
                                <w:i/>
                              </w:rPr>
                            </m:ctrlPr>
                          </m:sSubPr>
                          <m:e>
                            <m:r>
                              <w:rPr>
                                <w:rFonts w:ascii="Cambria Math" w:hAnsi="Cambria Math"/>
                              </w:rPr>
                              <m:t>S</m:t>
                            </m:r>
                          </m:e>
                          <m:sub>
                            <m:r>
                              <w:rPr>
                                <w:rFonts w:ascii="Cambria Math" w:hAnsi="Cambria Math"/>
                              </w:rPr>
                              <m:t>aZ</m:t>
                            </m:r>
                          </m:sub>
                        </m:sSub>
                      </m:e>
                    </m:d>
                  </m:den>
                </m:f>
              </m:oMath>
            </m:oMathPara>
          </w:p>
        </w:tc>
        <w:tc>
          <w:tcPr>
            <w:tcW w:w="1701" w:type="dxa"/>
            <w:tcMar>
              <w:left w:w="0" w:type="dxa"/>
              <w:right w:w="0" w:type="dxa"/>
            </w:tcMar>
            <w:vAlign w:val="center"/>
          </w:tcPr>
          <w:p w14:paraId="505CB4D6" w14:textId="77777777" w:rsidR="00CD54F8" w:rsidRPr="00BC31E0" w:rsidRDefault="00CD54F8" w:rsidP="00EA4BB4">
            <w:pPr>
              <w:numPr>
                <w:ilvl w:val="12"/>
                <w:numId w:val="0"/>
              </w:numPr>
              <w:tabs>
                <w:tab w:val="left" w:leader="middleDot" w:pos="8080"/>
              </w:tabs>
              <w:autoSpaceDE w:val="0"/>
              <w:autoSpaceDN w:val="0"/>
              <w:rPr>
                <w:rFonts w:asciiTheme="minorHAnsi" w:hAnsiTheme="minorHAnsi"/>
              </w:rPr>
            </w:pPr>
            <w:r w:rsidRPr="00BC31E0">
              <w:rPr>
                <w:rFonts w:hint="eastAsia"/>
              </w:rPr>
              <w:t>(</w:t>
            </w:r>
            <w:r w:rsidRPr="00BC31E0">
              <w:rPr>
                <w:rFonts w:hint="eastAsia"/>
              </w:rPr>
              <w:t>ただし，最小</w:t>
            </w:r>
            <w:r w:rsidRPr="00BC31E0">
              <w:rPr>
                <w:rFonts w:asciiTheme="minorHAnsi" w:hAnsiTheme="minorHAnsi"/>
              </w:rPr>
              <w:t>1.0</w:t>
            </w:r>
            <w:r w:rsidRPr="00BC31E0">
              <w:rPr>
                <w:rFonts w:hint="eastAsia"/>
              </w:rPr>
              <w:t>)</w:t>
            </w:r>
          </w:p>
        </w:tc>
        <w:tc>
          <w:tcPr>
            <w:tcW w:w="1479" w:type="dxa"/>
            <w:tcMar>
              <w:left w:w="0" w:type="dxa"/>
              <w:right w:w="0" w:type="dxa"/>
            </w:tcMar>
            <w:vAlign w:val="center"/>
          </w:tcPr>
          <w:p w14:paraId="0F924638" w14:textId="77777777" w:rsidR="00CD54F8" w:rsidRPr="00BC31E0" w:rsidRDefault="00CD54F8" w:rsidP="00EA4BB4">
            <w:pPr>
              <w:numPr>
                <w:ilvl w:val="12"/>
                <w:numId w:val="0"/>
              </w:numPr>
              <w:tabs>
                <w:tab w:val="left" w:leader="middleDot" w:pos="487"/>
              </w:tabs>
              <w:autoSpaceDE w:val="0"/>
              <w:autoSpaceDN w:val="0"/>
              <w:rPr>
                <w:rFonts w:asciiTheme="minorHAnsi" w:hAnsiTheme="minorHAnsi"/>
              </w:rPr>
            </w:pPr>
            <w:r w:rsidRPr="00BC31E0">
              <w:rPr>
                <w:rFonts w:asciiTheme="minorHAnsi" w:hAnsiTheme="minorHAnsi" w:hint="eastAsia"/>
              </w:rPr>
              <w:tab/>
              <w:t>(6.11.15)</w:t>
            </w:r>
          </w:p>
        </w:tc>
      </w:tr>
    </w:tbl>
    <w:p w14:paraId="053F5588" w14:textId="77777777" w:rsidR="00CD54F8" w:rsidRPr="00BC31E0" w:rsidRDefault="00A51873" w:rsidP="00EA4BB4">
      <w:pPr>
        <w:numPr>
          <w:ilvl w:val="12"/>
          <w:numId w:val="0"/>
        </w:numPr>
        <w:tabs>
          <w:tab w:val="left" w:pos="1560"/>
        </w:tabs>
        <w:autoSpaceDE w:val="0"/>
        <w:autoSpaceDN w:val="0"/>
        <w:spacing w:before="120"/>
        <w:ind w:left="964"/>
        <w:rPr>
          <w:iCs/>
        </w:rPr>
      </w:pPr>
      <m:oMath>
        <m:sSub>
          <m:sSubPr>
            <m:ctrlPr>
              <w:rPr>
                <w:rFonts w:ascii="Cambria Math" w:hAnsi="Cambria Math"/>
                <w:i/>
              </w:rPr>
            </m:ctrlPr>
          </m:sSubPr>
          <m:e>
            <m:r>
              <w:rPr>
                <w:rFonts w:ascii="Cambria Math" w:hAnsi="Cambria Math"/>
              </w:rPr>
              <m:t>S</m:t>
            </m:r>
          </m:e>
          <m:sub>
            <m:r>
              <w:rPr>
                <w:rFonts w:ascii="Cambria Math" w:hAnsi="Cambria Math"/>
              </w:rPr>
              <m:t>aN</m:t>
            </m:r>
          </m:sub>
        </m:sSub>
      </m:oMath>
      <w:r w:rsidR="00CD54F8" w:rsidRPr="00BC31E0">
        <w:rPr>
          <w:rFonts w:hint="eastAsia"/>
        </w:rPr>
        <w:tab/>
      </w:r>
      <w:r w:rsidR="00CD54F8" w:rsidRPr="00BC31E0">
        <w:rPr>
          <w:rFonts w:hint="eastAsia"/>
        </w:rPr>
        <w:t>：</w:t>
      </w:r>
      <w:r w:rsidR="00CD54F8" w:rsidRPr="00BC31E0">
        <w:t xml:space="preserve"> </w:t>
      </w:r>
      <w:r w:rsidR="00CD54F8" w:rsidRPr="00BC31E0">
        <w:rPr>
          <w:rFonts w:hint="eastAsia"/>
        </w:rPr>
        <w:t>設計疲労曲線上で繰返し回数</w:t>
      </w:r>
      <m:oMath>
        <m:r>
          <w:rPr>
            <w:rFonts w:ascii="Cambria Math" w:hAnsi="Cambria Math"/>
          </w:rPr>
          <m:t>N</m:t>
        </m:r>
      </m:oMath>
      <w:r w:rsidR="00CD54F8" w:rsidRPr="00BC31E0">
        <w:rPr>
          <w:rFonts w:hint="eastAsia"/>
        </w:rPr>
        <w:t>の</w:t>
      </w:r>
      <w:r w:rsidR="00A84424" w:rsidRPr="00BC31E0">
        <w:rPr>
          <w:rFonts w:hint="eastAsia"/>
        </w:rPr>
        <w:t>とき</w:t>
      </w:r>
      <w:r w:rsidR="00CD54F8" w:rsidRPr="00BC31E0">
        <w:rPr>
          <w:rFonts w:hint="eastAsia"/>
        </w:rPr>
        <w:t>の</w:t>
      </w:r>
      <m:oMath>
        <m:sSub>
          <m:sSubPr>
            <m:ctrlPr>
              <w:rPr>
                <w:rFonts w:ascii="Cambria Math" w:hAnsi="Cambria Math"/>
                <w:i/>
              </w:rPr>
            </m:ctrlPr>
          </m:sSubPr>
          <m:e>
            <m:r>
              <w:rPr>
                <w:rFonts w:ascii="Cambria Math" w:hAnsi="Cambria Math"/>
              </w:rPr>
              <m:t xml:space="preserve"> S</m:t>
            </m:r>
          </m:e>
          <m:sub>
            <m:r>
              <w:rPr>
                <w:rFonts w:ascii="Cambria Math" w:hAnsi="Cambria Math"/>
              </w:rPr>
              <m:t>a</m:t>
            </m:r>
          </m:sub>
        </m:sSub>
        <m:r>
          <m:rPr>
            <m:sty m:val="p"/>
          </m:rPr>
          <w:rPr>
            <w:rFonts w:ascii="Cambria Math" w:hAnsi="Cambria Math"/>
          </w:rPr>
          <m:t xml:space="preserve"> </m:t>
        </m:r>
      </m:oMath>
      <w:r w:rsidR="00CD54F8" w:rsidRPr="00BC31E0">
        <w:rPr>
          <w:rFonts w:hint="eastAsia"/>
          <w:iCs/>
        </w:rPr>
        <w:t>値</w:t>
      </w:r>
      <w:r w:rsidR="00CD54F8" w:rsidRPr="00BC31E0">
        <w:rPr>
          <w:rFonts w:hint="eastAsia"/>
          <w:iCs/>
        </w:rPr>
        <w:t>(</w:t>
      </w:r>
      <w:r w:rsidR="00CD54F8" w:rsidRPr="00BC31E0">
        <w:rPr>
          <w:rFonts w:asciiTheme="minorHAnsi" w:hAnsiTheme="minorHAnsi"/>
          <w:iCs/>
        </w:rPr>
        <w:t>MPa</w:t>
      </w:r>
      <w:r w:rsidR="00CD54F8" w:rsidRPr="00BC31E0">
        <w:rPr>
          <w:rFonts w:hint="eastAsia"/>
          <w:iCs/>
        </w:rPr>
        <w:t>)</w:t>
      </w:r>
    </w:p>
    <w:p w14:paraId="69C1082A" w14:textId="77777777" w:rsidR="00CD54F8" w:rsidRPr="00BC31E0" w:rsidRDefault="00A51873" w:rsidP="00EA4BB4">
      <w:pPr>
        <w:numPr>
          <w:ilvl w:val="12"/>
          <w:numId w:val="0"/>
        </w:numPr>
        <w:tabs>
          <w:tab w:val="left" w:pos="1560"/>
        </w:tabs>
        <w:autoSpaceDE w:val="0"/>
        <w:autoSpaceDN w:val="0"/>
        <w:ind w:left="964"/>
        <w:rPr>
          <w:iCs/>
        </w:rPr>
      </w:pPr>
      <m:oMath>
        <m:sSub>
          <m:sSubPr>
            <m:ctrlPr>
              <w:rPr>
                <w:rFonts w:ascii="Cambria Math" w:hAnsi="Cambria Math"/>
                <w:i/>
              </w:rPr>
            </m:ctrlPr>
          </m:sSubPr>
          <m:e>
            <m:r>
              <w:rPr>
                <w:rFonts w:ascii="Cambria Math" w:hAnsi="Cambria Math"/>
              </w:rPr>
              <m:t>S</m:t>
            </m:r>
          </m:e>
          <m:sub>
            <m:r>
              <w:rPr>
                <w:rFonts w:ascii="Cambria Math" w:hAnsi="Cambria Math"/>
              </w:rPr>
              <m:t>aZ</m:t>
            </m:r>
          </m:sub>
        </m:sSub>
      </m:oMath>
      <w:r w:rsidR="00CD54F8" w:rsidRPr="00BC31E0">
        <w:rPr>
          <w:rFonts w:hint="eastAsia"/>
        </w:rPr>
        <w:tab/>
      </w:r>
      <w:r w:rsidR="00CD54F8" w:rsidRPr="00BC31E0">
        <w:rPr>
          <w:rFonts w:hint="eastAsia"/>
        </w:rPr>
        <w:t>：</w:t>
      </w:r>
      <w:r w:rsidR="00CD54F8" w:rsidRPr="00BC31E0">
        <w:t xml:space="preserve"> </w:t>
      </w:r>
      <w:r w:rsidR="00CD54F8" w:rsidRPr="00BC31E0">
        <w:rPr>
          <w:rFonts w:hint="eastAsia"/>
        </w:rPr>
        <w:t>設計疲労曲線上の右端における</w:t>
      </w:r>
      <m:oMath>
        <m:sSub>
          <m:sSubPr>
            <m:ctrlPr>
              <w:rPr>
                <w:rFonts w:ascii="Cambria Math" w:hAnsi="Cambria Math"/>
                <w:i/>
              </w:rPr>
            </m:ctrlPr>
          </m:sSubPr>
          <m:e>
            <m:r>
              <w:rPr>
                <w:rFonts w:ascii="Cambria Math" w:hAnsi="Cambria Math"/>
              </w:rPr>
              <m:t xml:space="preserve"> S</m:t>
            </m:r>
          </m:e>
          <m:sub>
            <m:r>
              <w:rPr>
                <w:rFonts w:ascii="Cambria Math" w:hAnsi="Cambria Math"/>
              </w:rPr>
              <m:t>a</m:t>
            </m:r>
          </m:sub>
        </m:sSub>
        <m:r>
          <m:rPr>
            <m:sty m:val="p"/>
          </m:rPr>
          <w:rPr>
            <w:rFonts w:ascii="Cambria Math" w:hAnsi="Cambria Math"/>
          </w:rPr>
          <m:t xml:space="preserve"> </m:t>
        </m:r>
      </m:oMath>
      <w:r w:rsidR="00CD54F8" w:rsidRPr="00BC31E0">
        <w:rPr>
          <w:rFonts w:hint="eastAsia"/>
          <w:iCs/>
        </w:rPr>
        <w:t>値</w:t>
      </w:r>
      <w:r w:rsidR="00CD54F8" w:rsidRPr="00BC31E0">
        <w:rPr>
          <w:rFonts w:hint="eastAsia"/>
          <w:iCs/>
        </w:rPr>
        <w:t>(</w:t>
      </w:r>
      <w:r w:rsidR="00CD54F8" w:rsidRPr="00BC31E0">
        <w:rPr>
          <w:rFonts w:asciiTheme="minorHAnsi" w:hAnsiTheme="minorHAnsi"/>
          <w:iCs/>
        </w:rPr>
        <w:t>MPa</w:t>
      </w:r>
      <w:r w:rsidR="00CD54F8" w:rsidRPr="00BC31E0">
        <w:rPr>
          <w:rFonts w:hint="eastAsia"/>
          <w:iCs/>
        </w:rPr>
        <w:t>)</w:t>
      </w:r>
    </w:p>
    <w:p w14:paraId="2D631138" w14:textId="77777777" w:rsidR="00CD54F8" w:rsidRPr="00BC31E0" w:rsidRDefault="00A51873" w:rsidP="00EA4BB4">
      <w:pPr>
        <w:numPr>
          <w:ilvl w:val="12"/>
          <w:numId w:val="0"/>
        </w:numPr>
        <w:tabs>
          <w:tab w:val="left" w:pos="1560"/>
        </w:tabs>
        <w:autoSpaceDE w:val="0"/>
        <w:autoSpaceDN w:val="0"/>
        <w:ind w:left="964"/>
      </w:pPr>
      <m:oMath>
        <m:sSub>
          <m:sSubPr>
            <m:ctrlPr>
              <w:rPr>
                <w:rFonts w:ascii="Cambria Math" w:hAnsi="Cambria Math"/>
                <w:i/>
              </w:rPr>
            </m:ctrlPr>
          </m:sSubPr>
          <m:e>
            <m:r>
              <w:rPr>
                <w:rFonts w:ascii="Cambria Math" w:hAnsi="Cambria Math"/>
              </w:rPr>
              <m:t>T</m:t>
            </m:r>
          </m:e>
          <m:sub>
            <m:r>
              <w:rPr>
                <w:rFonts w:ascii="Cambria Math" w:hAnsi="Cambria Math"/>
              </w:rPr>
              <m:t>c</m:t>
            </m:r>
          </m:sub>
        </m:sSub>
      </m:oMath>
      <w:r w:rsidR="00CD54F8" w:rsidRPr="00BC31E0">
        <w:rPr>
          <w:rFonts w:asciiTheme="minorEastAsia" w:eastAsiaTheme="minorEastAsia" w:hAnsiTheme="minorEastAsia" w:hint="eastAsia"/>
        </w:rPr>
        <w:tab/>
        <w:t>：</w:t>
      </w:r>
      <w:r w:rsidR="00CD54F8" w:rsidRPr="00BC31E0">
        <w:rPr>
          <w:rFonts w:hint="eastAsia"/>
        </w:rPr>
        <w:t xml:space="preserve"> </w:t>
      </w:r>
      <w:r w:rsidR="00CD54F8" w:rsidRPr="00BC31E0">
        <w:rPr>
          <w:rFonts w:asciiTheme="minorHAnsi" w:hAnsiTheme="minorHAnsi"/>
        </w:rPr>
        <w:t>=370</w:t>
      </w:r>
      <w:r w:rsidR="00CD54F8" w:rsidRPr="00BC31E0">
        <w:rPr>
          <w:rFonts w:asciiTheme="minorEastAsia" w:eastAsiaTheme="minorEastAsia" w:hAnsiTheme="minorEastAsia"/>
        </w:rPr>
        <w:t>℃</w:t>
      </w:r>
      <m:oMath>
        <m:r>
          <m:rPr>
            <m:sty m:val="p"/>
          </m:rPr>
          <w:rPr>
            <w:rFonts w:ascii="Cambria Math" w:hAnsi="Cambria Math"/>
          </w:rPr>
          <m:t xml:space="preserve"> </m:t>
        </m:r>
      </m:oMath>
      <w:r w:rsidR="00CD54F8" w:rsidRPr="00BC31E0">
        <w:rPr>
          <w:rFonts w:hint="eastAsia"/>
        </w:rPr>
        <w:t>(</w:t>
      </w:r>
      <w:r w:rsidR="00CD54F8" w:rsidRPr="00BC31E0">
        <w:rPr>
          <w:rFonts w:hint="eastAsia"/>
        </w:rPr>
        <w:t>炭素鋼及び低合金鋼の場合</w:t>
      </w:r>
      <w:r w:rsidR="00CD54F8" w:rsidRPr="00BC31E0">
        <w:rPr>
          <w:rFonts w:hint="eastAsia"/>
        </w:rPr>
        <w:t>)</w:t>
      </w:r>
    </w:p>
    <w:p w14:paraId="4C9862A4" w14:textId="77777777" w:rsidR="00CD54F8" w:rsidRPr="00BC31E0" w:rsidRDefault="00CD54F8" w:rsidP="00EA4BB4">
      <w:pPr>
        <w:numPr>
          <w:ilvl w:val="12"/>
          <w:numId w:val="0"/>
        </w:numPr>
        <w:autoSpaceDE w:val="0"/>
        <w:autoSpaceDN w:val="0"/>
        <w:ind w:left="1900"/>
      </w:pPr>
      <w:r w:rsidRPr="00BC31E0">
        <w:rPr>
          <w:rFonts w:asciiTheme="minorHAnsi" w:hAnsiTheme="minorHAnsi"/>
        </w:rPr>
        <w:t>=425</w:t>
      </w:r>
      <w:r w:rsidRPr="00BC31E0">
        <w:rPr>
          <w:rFonts w:asciiTheme="minorEastAsia" w:eastAsiaTheme="minorEastAsia" w:hAnsiTheme="minorEastAsia"/>
        </w:rPr>
        <w:t>℃</w:t>
      </w:r>
      <m:oMath>
        <m:r>
          <m:rPr>
            <m:sty m:val="p"/>
          </m:rPr>
          <w:rPr>
            <w:rFonts w:ascii="Cambria Math" w:hAnsi="Cambria Math"/>
          </w:rPr>
          <m:t xml:space="preserve"> </m:t>
        </m:r>
      </m:oMath>
      <w:r w:rsidRPr="00BC31E0">
        <w:rPr>
          <w:rFonts w:hint="eastAsia"/>
        </w:rPr>
        <w:t>(</w:t>
      </w:r>
      <w:r w:rsidRPr="00BC31E0">
        <w:rPr>
          <w:rFonts w:hint="eastAsia"/>
        </w:rPr>
        <w:t>オーステナイト系ステンレス鋼及びニッケルクロム鉄合金の場合</w:t>
      </w:r>
      <w:r w:rsidRPr="00BC31E0">
        <w:rPr>
          <w:rFonts w:hint="eastAsia"/>
        </w:rPr>
        <w:t>)</w:t>
      </w:r>
    </w:p>
    <w:p w14:paraId="0D0D0A7E" w14:textId="77777777" w:rsidR="00CD54F8" w:rsidRPr="00BC31E0" w:rsidRDefault="00A51873" w:rsidP="00EA4BB4">
      <w:pPr>
        <w:numPr>
          <w:ilvl w:val="12"/>
          <w:numId w:val="0"/>
        </w:numPr>
        <w:tabs>
          <w:tab w:val="left" w:pos="1560"/>
        </w:tabs>
        <w:autoSpaceDE w:val="0"/>
        <w:autoSpaceDN w:val="0"/>
        <w:ind w:left="964"/>
      </w:pPr>
      <m:oMath>
        <m:sSub>
          <m:sSubPr>
            <m:ctrlPr>
              <w:rPr>
                <w:rFonts w:ascii="Cambria Math" w:hAnsi="Cambria Math"/>
                <w:i/>
              </w:rPr>
            </m:ctrlPr>
          </m:sSubPr>
          <m:e>
            <m:r>
              <w:rPr>
                <w:rFonts w:ascii="Cambria Math" w:hAnsi="Cambria Math"/>
              </w:rPr>
              <m:t>T</m:t>
            </m:r>
          </m:e>
          <m:sub>
            <m:r>
              <w:rPr>
                <w:rFonts w:ascii="Cambria Math" w:hAnsi="Cambria Math"/>
              </w:rPr>
              <m:t>D</m:t>
            </m:r>
          </m:sub>
        </m:sSub>
      </m:oMath>
      <w:r w:rsidR="00CD54F8" w:rsidRPr="00BC31E0">
        <w:rPr>
          <w:rFonts w:asciiTheme="minorEastAsia" w:eastAsiaTheme="minorEastAsia" w:hAnsiTheme="minorEastAsia" w:hint="eastAsia"/>
        </w:rPr>
        <w:tab/>
      </w:r>
      <w:r w:rsidR="00CD54F8" w:rsidRPr="00BC31E0">
        <w:rPr>
          <w:rFonts w:hint="eastAsia"/>
        </w:rPr>
        <w:t>：</w:t>
      </w:r>
      <w:r w:rsidR="00CD54F8" w:rsidRPr="00BC31E0">
        <w:t xml:space="preserve"> </w:t>
      </w:r>
      <w:r w:rsidR="00CD54F8" w:rsidRPr="00BC31E0">
        <w:rPr>
          <w:rFonts w:hint="eastAsia"/>
        </w:rPr>
        <w:t>設計温度</w:t>
      </w:r>
      <w:r w:rsidR="00CD54F8" w:rsidRPr="00BC31E0">
        <w:rPr>
          <w:rFonts w:hint="eastAsia"/>
        </w:rPr>
        <w:t>(</w:t>
      </w:r>
      <w:r w:rsidR="00CD54F8" w:rsidRPr="00BC31E0">
        <w:rPr>
          <w:rFonts w:hint="eastAsia"/>
        </w:rPr>
        <w:t>℃</w:t>
      </w:r>
      <w:r w:rsidR="00CD54F8" w:rsidRPr="00BC31E0">
        <w:rPr>
          <w:rFonts w:hint="eastAsia"/>
        </w:rPr>
        <w:t>)</w:t>
      </w:r>
    </w:p>
    <w:p w14:paraId="4858403E" w14:textId="77777777" w:rsidR="00CD54F8" w:rsidRPr="00BC31E0" w:rsidRDefault="00A51873" w:rsidP="00EA4BB4">
      <w:pPr>
        <w:numPr>
          <w:ilvl w:val="12"/>
          <w:numId w:val="0"/>
        </w:numPr>
        <w:tabs>
          <w:tab w:val="left" w:pos="1560"/>
        </w:tabs>
        <w:autoSpaceDE w:val="0"/>
        <w:autoSpaceDN w:val="0"/>
        <w:ind w:left="964"/>
      </w:pPr>
      <m:oMath>
        <m:sSub>
          <m:sSubPr>
            <m:ctrlPr>
              <w:rPr>
                <w:rFonts w:ascii="Cambria Math" w:hAnsi="Cambria Math"/>
                <w:i/>
              </w:rPr>
            </m:ctrlPr>
          </m:sSubPr>
          <m:e>
            <m:r>
              <w:rPr>
                <w:rFonts w:ascii="Cambria Math" w:hAnsi="Cambria Math"/>
              </w:rPr>
              <m:t>T</m:t>
            </m:r>
          </m:e>
          <m:sub>
            <m:r>
              <w:rPr>
                <w:rFonts w:ascii="Cambria Math" w:hAnsi="Cambria Math"/>
              </w:rPr>
              <m:t>t</m:t>
            </m:r>
          </m:sub>
        </m:sSub>
      </m:oMath>
      <w:r w:rsidR="00CD54F8" w:rsidRPr="00BC31E0">
        <w:rPr>
          <w:rFonts w:asciiTheme="minorEastAsia" w:eastAsiaTheme="minorEastAsia" w:hAnsiTheme="minorEastAsia" w:hint="eastAsia"/>
        </w:rPr>
        <w:t xml:space="preserve"> </w:t>
      </w:r>
      <w:r w:rsidR="00CD54F8" w:rsidRPr="00BC31E0">
        <w:rPr>
          <w:rFonts w:asciiTheme="minorEastAsia" w:eastAsiaTheme="minorEastAsia" w:hAnsiTheme="minorEastAsia" w:hint="eastAsia"/>
        </w:rPr>
        <w:tab/>
      </w:r>
      <w:r w:rsidR="00CD54F8" w:rsidRPr="00BC31E0">
        <w:rPr>
          <w:rFonts w:hint="eastAsia"/>
        </w:rPr>
        <w:t>：</w:t>
      </w:r>
      <w:r w:rsidR="00CD54F8" w:rsidRPr="00BC31E0">
        <w:t xml:space="preserve"> </w:t>
      </w:r>
      <w:r w:rsidR="00CD54F8" w:rsidRPr="00BC31E0">
        <w:rPr>
          <w:rFonts w:hint="eastAsia"/>
        </w:rPr>
        <w:t>試験温度</w:t>
      </w:r>
      <w:r w:rsidR="00CD54F8" w:rsidRPr="00BC31E0">
        <w:rPr>
          <w:rFonts w:hint="eastAsia"/>
        </w:rPr>
        <w:t>(</w:t>
      </w:r>
      <w:r w:rsidR="00CD54F8" w:rsidRPr="00BC31E0">
        <w:rPr>
          <w:rFonts w:hint="eastAsia"/>
        </w:rPr>
        <w:t>℃</w:t>
      </w:r>
      <w:r w:rsidR="00CD54F8" w:rsidRPr="00BC31E0">
        <w:rPr>
          <w:rFonts w:hint="eastAsia"/>
        </w:rPr>
        <w:t>)</w:t>
      </w:r>
    </w:p>
    <w:p w14:paraId="7CA55466" w14:textId="77777777" w:rsidR="00CD54F8" w:rsidRPr="00BC31E0" w:rsidRDefault="00A51873" w:rsidP="00EA4BB4">
      <w:pPr>
        <w:numPr>
          <w:ilvl w:val="12"/>
          <w:numId w:val="0"/>
        </w:numPr>
        <w:tabs>
          <w:tab w:val="left" w:pos="1560"/>
        </w:tabs>
        <w:autoSpaceDE w:val="0"/>
        <w:autoSpaceDN w:val="0"/>
        <w:spacing w:after="120"/>
        <w:ind w:left="964"/>
      </w:pPr>
      <m:oMath>
        <m:sSub>
          <m:sSubPr>
            <m:ctrlPr>
              <w:rPr>
                <w:rFonts w:ascii="Cambria Math" w:hAnsi="Cambria Math"/>
                <w:i/>
              </w:rPr>
            </m:ctrlPr>
          </m:sSubPr>
          <m:e>
            <m:r>
              <w:rPr>
                <w:rFonts w:ascii="Cambria Math" w:hAnsi="Cambria Math"/>
              </w:rPr>
              <m:t>K</m:t>
            </m:r>
          </m:e>
          <m:sub>
            <m:r>
              <w:rPr>
                <w:rFonts w:ascii="Cambria Math" w:hAnsi="Cambria Math"/>
              </w:rPr>
              <m:t>sf</m:t>
            </m:r>
          </m:sub>
        </m:sSub>
      </m:oMath>
      <w:r w:rsidR="00CD54F8" w:rsidRPr="00BC31E0">
        <w:rPr>
          <w:rFonts w:asciiTheme="minorEastAsia" w:eastAsiaTheme="minorEastAsia" w:hAnsiTheme="minorEastAsia" w:hint="eastAsia"/>
        </w:rPr>
        <w:tab/>
      </w:r>
      <w:r w:rsidR="00CD54F8" w:rsidRPr="00BC31E0">
        <w:rPr>
          <w:rFonts w:hint="eastAsia"/>
        </w:rPr>
        <w:t>：</w:t>
      </w:r>
      <w:r w:rsidR="00CD54F8" w:rsidRPr="00BC31E0">
        <w:t xml:space="preserve"> </w:t>
      </w:r>
      <w:r w:rsidR="00CD54F8" w:rsidRPr="00BC31E0">
        <w:rPr>
          <w:rFonts w:hint="eastAsia"/>
        </w:rPr>
        <w:t>表面仕上げの影響係数は次式による。</w:t>
      </w:r>
    </w:p>
    <w:p w14:paraId="6DA3D100" w14:textId="77777777" w:rsidR="00CD54F8" w:rsidRPr="00BC31E0" w:rsidRDefault="00CD54F8" w:rsidP="00EA4BB4">
      <w:pPr>
        <w:numPr>
          <w:ilvl w:val="12"/>
          <w:numId w:val="0"/>
        </w:numPr>
        <w:tabs>
          <w:tab w:val="left" w:pos="1932"/>
          <w:tab w:val="left" w:leader="middleDot" w:pos="8080"/>
        </w:tabs>
        <w:autoSpaceDE w:val="0"/>
        <w:autoSpaceDN w:val="0"/>
      </w:pPr>
      <w:r w:rsidRPr="00BC31E0">
        <w:rPr>
          <w:rFonts w:hint="eastAsia"/>
        </w:rPr>
        <w:tab/>
      </w:r>
      <m:oMath>
        <m:sSub>
          <m:sSubPr>
            <m:ctrlPr>
              <w:rPr>
                <w:rFonts w:ascii="Cambria Math" w:hAnsi="Cambria Math"/>
                <w:i/>
              </w:rPr>
            </m:ctrlPr>
          </m:sSubPr>
          <m:e>
            <m:r>
              <w:rPr>
                <w:rFonts w:ascii="Cambria Math" w:hAnsi="Cambria Math"/>
              </w:rPr>
              <m:t>K</m:t>
            </m:r>
          </m:e>
          <m:sub>
            <m:r>
              <w:rPr>
                <w:rFonts w:ascii="Cambria Math" w:hAnsi="Cambria Math"/>
              </w:rPr>
              <m:t>sf</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r</m:t>
                </m:r>
              </m:sub>
            </m:sSub>
            <m:d>
              <m:dPr>
                <m:ctrlPr>
                  <w:rPr>
                    <w:rFonts w:ascii="Cambria Math" w:hAnsi="Cambria Math"/>
                    <w:i/>
                  </w:rPr>
                </m:ctrlPr>
              </m:dPr>
              <m:e>
                <m:r>
                  <w:rPr>
                    <w:rFonts w:ascii="Cambria Math" w:hAnsi="Cambria Math"/>
                  </w:rPr>
                  <m:t>P</m:t>
                </m:r>
              </m:e>
            </m:d>
          </m:num>
          <m:den>
            <m:sSub>
              <m:sSubPr>
                <m:ctrlPr>
                  <w:rPr>
                    <w:rFonts w:ascii="Cambria Math" w:hAnsi="Cambria Math"/>
                    <w:i/>
                  </w:rPr>
                </m:ctrlPr>
              </m:sSubPr>
              <m:e>
                <m:r>
                  <w:rPr>
                    <w:rFonts w:ascii="Cambria Math" w:hAnsi="Cambria Math"/>
                  </w:rPr>
                  <m:t>K</m:t>
                </m:r>
              </m:e>
              <m:sub>
                <m:r>
                  <w:rPr>
                    <w:rFonts w:ascii="Cambria Math" w:hAnsi="Cambria Math"/>
                  </w:rPr>
                  <m:t>r</m:t>
                </m:r>
              </m:sub>
            </m:sSub>
            <m:d>
              <m:dPr>
                <m:ctrlPr>
                  <w:rPr>
                    <w:rFonts w:ascii="Cambria Math" w:hAnsi="Cambria Math"/>
                    <w:i/>
                  </w:rPr>
                </m:ctrlPr>
              </m:dPr>
              <m:e>
                <m:r>
                  <w:rPr>
                    <w:rFonts w:ascii="Cambria Math" w:hAnsi="Cambria Math"/>
                  </w:rPr>
                  <m:t>T</m:t>
                </m:r>
              </m:e>
            </m:d>
          </m:den>
        </m:f>
      </m:oMath>
      <w:r w:rsidRPr="00BC31E0">
        <w:rPr>
          <w:rFonts w:hint="eastAsia"/>
        </w:rPr>
        <w:t xml:space="preserve">　</w:t>
      </w:r>
      <w:r w:rsidRPr="00BC31E0">
        <w:rPr>
          <w:rFonts w:hint="eastAsia"/>
        </w:rPr>
        <w:t>(</w:t>
      </w:r>
      <w:r w:rsidRPr="00BC31E0">
        <w:rPr>
          <w:rFonts w:hint="eastAsia"/>
        </w:rPr>
        <w:t>ただし，最小</w:t>
      </w:r>
      <w:r w:rsidRPr="00BC31E0">
        <w:rPr>
          <w:rFonts w:asciiTheme="minorHAnsi" w:hAnsiTheme="minorHAnsi"/>
        </w:rPr>
        <w:t>1.0</w:t>
      </w:r>
      <w:r w:rsidRPr="00BC31E0">
        <w:rPr>
          <w:rFonts w:hint="eastAsia"/>
        </w:rPr>
        <w:t>)</w:t>
      </w:r>
      <w:r w:rsidRPr="00BC31E0">
        <w:rPr>
          <w:rFonts w:hint="eastAsia"/>
        </w:rPr>
        <w:tab/>
        <w:t>(6.11.16)</w:t>
      </w:r>
    </w:p>
    <w:p w14:paraId="4095E842" w14:textId="77777777" w:rsidR="00CD54F8" w:rsidRPr="00BC31E0" w:rsidRDefault="00A51873" w:rsidP="00EA4BB4">
      <w:pPr>
        <w:numPr>
          <w:ilvl w:val="12"/>
          <w:numId w:val="0"/>
        </w:numPr>
        <w:tabs>
          <w:tab w:val="left" w:pos="1560"/>
        </w:tabs>
        <w:autoSpaceDE w:val="0"/>
        <w:autoSpaceDN w:val="0"/>
        <w:spacing w:before="120"/>
        <w:ind w:left="964"/>
      </w:pPr>
      <m:oMath>
        <m:sSub>
          <m:sSubPr>
            <m:ctrlPr>
              <w:rPr>
                <w:rFonts w:ascii="Cambria Math" w:hAnsi="Cambria Math"/>
                <w:i/>
              </w:rPr>
            </m:ctrlPr>
          </m:sSubPr>
          <m:e>
            <m:r>
              <w:rPr>
                <w:rFonts w:ascii="Cambria Math" w:hAnsi="Cambria Math"/>
              </w:rPr>
              <m:t>K</m:t>
            </m:r>
          </m:e>
          <m:sub>
            <m:r>
              <w:rPr>
                <w:rFonts w:ascii="Cambria Math" w:hAnsi="Cambria Math"/>
              </w:rPr>
              <m:t>r</m:t>
            </m:r>
          </m:sub>
        </m:sSub>
        <m:d>
          <m:dPr>
            <m:ctrlPr>
              <w:rPr>
                <w:rFonts w:ascii="Cambria Math" w:hAnsi="Cambria Math"/>
                <w:i/>
              </w:rPr>
            </m:ctrlPr>
          </m:dPr>
          <m:e>
            <m:r>
              <w:rPr>
                <w:rFonts w:ascii="Cambria Math" w:hAnsi="Cambria Math"/>
              </w:rPr>
              <m:t>P</m:t>
            </m:r>
          </m:e>
        </m:d>
      </m:oMath>
      <w:r w:rsidR="00CD54F8" w:rsidRPr="00BC31E0">
        <w:rPr>
          <w:rFonts w:asciiTheme="minorEastAsia" w:eastAsiaTheme="minorEastAsia" w:hAnsiTheme="minorEastAsia" w:hint="eastAsia"/>
        </w:rPr>
        <w:tab/>
      </w:r>
      <w:r w:rsidR="00CD54F8" w:rsidRPr="00BC31E0">
        <w:rPr>
          <w:rFonts w:hint="eastAsia"/>
        </w:rPr>
        <w:t>：</w:t>
      </w:r>
      <w:r w:rsidR="00CD54F8" w:rsidRPr="00BC31E0">
        <w:rPr>
          <w:rFonts w:hint="eastAsia"/>
        </w:rPr>
        <w:t xml:space="preserve"> </w:t>
      </w:r>
      <w:r w:rsidR="00CD54F8" w:rsidRPr="00BC31E0">
        <w:rPr>
          <w:rFonts w:ascii="ＭＳ ゴシック" w:eastAsia="ＭＳ ゴシック" w:hAnsi="ＭＳ ゴシック" w:hint="eastAsia"/>
          <w:b/>
          <w:bCs/>
        </w:rPr>
        <w:t>図6.3.</w:t>
      </w:r>
      <w:r w:rsidR="00CD54F8" w:rsidRPr="00BC31E0">
        <w:rPr>
          <w:rFonts w:ascii="ＭＳ ゴシック" w:eastAsia="ＭＳ ゴシック" w:hAnsi="ＭＳ ゴシック"/>
          <w:b/>
          <w:bCs/>
        </w:rPr>
        <w:t>10</w:t>
      </w:r>
      <w:r w:rsidR="00CD54F8" w:rsidRPr="00BC31E0">
        <w:rPr>
          <w:rFonts w:hint="eastAsia"/>
        </w:rPr>
        <w:t>から求まる実機の表面粗さ係数</w:t>
      </w:r>
    </w:p>
    <w:p w14:paraId="51FBFE2C" w14:textId="77777777" w:rsidR="00CD54F8" w:rsidRPr="00BC31E0" w:rsidRDefault="00A51873" w:rsidP="00EA4BB4">
      <w:pPr>
        <w:numPr>
          <w:ilvl w:val="12"/>
          <w:numId w:val="0"/>
        </w:numPr>
        <w:tabs>
          <w:tab w:val="left" w:pos="1560"/>
        </w:tabs>
        <w:autoSpaceDE w:val="0"/>
        <w:autoSpaceDN w:val="0"/>
        <w:ind w:left="964"/>
      </w:pPr>
      <m:oMath>
        <m:sSub>
          <m:sSubPr>
            <m:ctrlPr>
              <w:rPr>
                <w:rFonts w:ascii="Cambria Math" w:hAnsi="Cambria Math"/>
                <w:i/>
              </w:rPr>
            </m:ctrlPr>
          </m:sSubPr>
          <m:e>
            <m:r>
              <w:rPr>
                <w:rFonts w:ascii="Cambria Math" w:hAnsi="Cambria Math"/>
              </w:rPr>
              <m:t>K</m:t>
            </m:r>
          </m:e>
          <m:sub>
            <m:r>
              <w:rPr>
                <w:rFonts w:ascii="Cambria Math" w:hAnsi="Cambria Math"/>
              </w:rPr>
              <m:t>r</m:t>
            </m:r>
          </m:sub>
        </m:sSub>
        <m:d>
          <m:dPr>
            <m:ctrlPr>
              <w:rPr>
                <w:rFonts w:ascii="Cambria Math" w:hAnsi="Cambria Math"/>
                <w:i/>
              </w:rPr>
            </m:ctrlPr>
          </m:dPr>
          <m:e>
            <m:r>
              <w:rPr>
                <w:rFonts w:ascii="Cambria Math" w:hAnsi="Cambria Math"/>
              </w:rPr>
              <m:t>T</m:t>
            </m:r>
          </m:e>
        </m:d>
      </m:oMath>
      <w:r w:rsidR="00CD54F8" w:rsidRPr="00BC31E0">
        <w:rPr>
          <w:rFonts w:asciiTheme="minorEastAsia" w:eastAsiaTheme="minorEastAsia" w:hAnsiTheme="minorEastAsia" w:hint="eastAsia"/>
        </w:rPr>
        <w:tab/>
      </w:r>
      <w:r w:rsidR="00CD54F8" w:rsidRPr="00BC31E0">
        <w:rPr>
          <w:rFonts w:hint="eastAsia"/>
        </w:rPr>
        <w:t>：</w:t>
      </w:r>
      <w:r w:rsidR="00CD54F8" w:rsidRPr="00BC31E0">
        <w:rPr>
          <w:rFonts w:hint="eastAsia"/>
        </w:rPr>
        <w:t xml:space="preserve"> </w:t>
      </w:r>
      <w:r w:rsidR="00CD54F8" w:rsidRPr="00BC31E0">
        <w:rPr>
          <w:rFonts w:ascii="ＭＳ ゴシック" w:eastAsia="ＭＳ ゴシック" w:hAnsi="ＭＳ ゴシック" w:hint="eastAsia"/>
          <w:b/>
          <w:bCs/>
        </w:rPr>
        <w:t>図6.3.</w:t>
      </w:r>
      <w:r w:rsidR="00CD54F8" w:rsidRPr="00BC31E0">
        <w:rPr>
          <w:rFonts w:ascii="ＭＳ ゴシック" w:eastAsia="ＭＳ ゴシック" w:hAnsi="ＭＳ ゴシック"/>
          <w:b/>
          <w:bCs/>
        </w:rPr>
        <w:t>10</w:t>
      </w:r>
      <w:r w:rsidR="00CD54F8" w:rsidRPr="00BC31E0">
        <w:rPr>
          <w:rFonts w:hint="eastAsia"/>
        </w:rPr>
        <w:t>から求まる模型の表面粗さ係数</w:t>
      </w:r>
    </w:p>
    <w:p w14:paraId="4B52C1CA" w14:textId="77777777" w:rsidR="00CD54F8" w:rsidRPr="00BC31E0" w:rsidRDefault="00A51873" w:rsidP="00EA4BB4">
      <w:pPr>
        <w:tabs>
          <w:tab w:val="left" w:pos="1560"/>
        </w:tabs>
        <w:spacing w:after="120"/>
        <w:ind w:left="964"/>
      </w:pP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ss</m:t>
            </m:r>
          </m:sub>
        </m:sSub>
      </m:oMath>
      <w:r w:rsidR="00CD54F8" w:rsidRPr="00BC31E0">
        <w:rPr>
          <w:rFonts w:asciiTheme="minorEastAsia" w:eastAsiaTheme="minorEastAsia" w:hAnsiTheme="minorEastAsia" w:hint="eastAsia"/>
        </w:rPr>
        <w:tab/>
      </w:r>
      <w:r w:rsidR="00CD54F8" w:rsidRPr="00BC31E0">
        <w:rPr>
          <w:rFonts w:hint="eastAsia"/>
        </w:rPr>
        <w:t>：</w:t>
      </w:r>
      <w:r w:rsidR="00CD54F8" w:rsidRPr="00BC31E0">
        <w:t xml:space="preserve"> </w:t>
      </w:r>
      <w:r w:rsidR="00CD54F8" w:rsidRPr="00BC31E0">
        <w:rPr>
          <w:rFonts w:hint="eastAsia"/>
        </w:rPr>
        <w:t>試験結果の統計的偏差に対する影響係数は次式による。</w:t>
      </w:r>
    </w:p>
    <w:p w14:paraId="40E13A20" w14:textId="77777777" w:rsidR="00CD54F8" w:rsidRPr="00BC31E0" w:rsidRDefault="00CD54F8" w:rsidP="00EA4BB4">
      <w:pPr>
        <w:tabs>
          <w:tab w:val="left" w:pos="1932"/>
          <w:tab w:val="left" w:leader="middleDot" w:pos="8080"/>
        </w:tabs>
      </w:pPr>
      <w:r w:rsidRPr="00BC31E0">
        <w:rPr>
          <w:rFonts w:hint="eastAsia"/>
        </w:rPr>
        <w:tab/>
      </w:r>
      <m:oMath>
        <m:sSub>
          <m:sSubPr>
            <m:ctrlPr>
              <w:rPr>
                <w:rFonts w:ascii="Cambria Math" w:hAnsi="Cambria Math"/>
                <w:i/>
              </w:rPr>
            </m:ctrlPr>
          </m:sSubPr>
          <m:e>
            <m:r>
              <w:rPr>
                <w:rFonts w:ascii="Cambria Math" w:hAnsi="Cambria Math"/>
              </w:rPr>
              <m:t>K</m:t>
            </m:r>
          </m:e>
          <m:sub>
            <m:r>
              <w:rPr>
                <w:rFonts w:ascii="Cambria Math" w:hAnsi="Cambria Math"/>
              </w:rPr>
              <m:t>ss</m:t>
            </m:r>
          </m:sub>
        </m:sSub>
        <m:r>
          <w:rPr>
            <w:rFonts w:ascii="Cambria Math" w:hAnsi="Cambria Math"/>
          </w:rPr>
          <m:t>=1.470-</m:t>
        </m:r>
        <m:d>
          <m:dPr>
            <m:ctrlPr>
              <w:rPr>
                <w:rFonts w:ascii="Cambria Math" w:hAnsi="Cambria Math"/>
              </w:rPr>
            </m:ctrlPr>
          </m:dPr>
          <m:e>
            <m:r>
              <m:rPr>
                <m:sty m:val="p"/>
              </m:rPr>
              <w:rPr>
                <w:rFonts w:ascii="Cambria Math" w:hAnsi="Cambria Math"/>
              </w:rPr>
              <m:t>0.044×</m:t>
            </m:r>
            <m:r>
              <m:rPr>
                <m:sty m:val="p"/>
              </m:rPr>
              <w:rPr>
                <w:rFonts w:ascii="Cambria Math" w:hAnsi="Cambria Math" w:hint="eastAsia"/>
              </w:rPr>
              <m:t>試験回数</m:t>
            </m:r>
          </m:e>
        </m:d>
      </m:oMath>
      <w:r w:rsidRPr="00BC31E0">
        <w:rPr>
          <w:rFonts w:hint="eastAsia"/>
        </w:rPr>
        <w:t xml:space="preserve">　</w:t>
      </w:r>
      <w:r w:rsidRPr="00BC31E0">
        <w:rPr>
          <w:rFonts w:hint="eastAsia"/>
        </w:rPr>
        <w:t>(</w:t>
      </w:r>
      <w:r w:rsidRPr="00BC31E0">
        <w:rPr>
          <w:rFonts w:hint="eastAsia"/>
        </w:rPr>
        <w:t>ただし，最小</w:t>
      </w:r>
      <w:r w:rsidRPr="00BC31E0">
        <w:rPr>
          <w:rFonts w:asciiTheme="minorHAnsi" w:hAnsiTheme="minorHAnsi"/>
        </w:rPr>
        <w:t>1.0)</w:t>
      </w:r>
      <w:r w:rsidRPr="00BC31E0">
        <w:rPr>
          <w:rFonts w:asciiTheme="minorHAnsi" w:hAnsiTheme="minorHAnsi" w:hint="eastAsia"/>
        </w:rPr>
        <w:tab/>
        <w:t>(6.11.17)</w:t>
      </w:r>
    </w:p>
    <w:p w14:paraId="1B7FAC01" w14:textId="77777777" w:rsidR="00CD54F8" w:rsidRPr="00BC31E0" w:rsidRDefault="00A51873" w:rsidP="00EA4BB4">
      <w:pPr>
        <w:numPr>
          <w:ilvl w:val="12"/>
          <w:numId w:val="0"/>
        </w:numPr>
        <w:tabs>
          <w:tab w:val="left" w:pos="1560"/>
        </w:tabs>
        <w:autoSpaceDE w:val="0"/>
        <w:autoSpaceDN w:val="0"/>
        <w:spacing w:before="120" w:after="120"/>
        <w:ind w:left="964"/>
      </w:pPr>
      <m:oMath>
        <m:sSub>
          <m:sSubPr>
            <m:ctrlPr>
              <w:rPr>
                <w:rFonts w:ascii="Cambria Math" w:hAnsi="Cambria Math"/>
                <w:i/>
              </w:rPr>
            </m:ctrlPr>
          </m:sSubPr>
          <m:e>
            <m:r>
              <w:rPr>
                <w:rFonts w:ascii="Cambria Math" w:hAnsi="Cambria Math"/>
              </w:rPr>
              <m:t>K</m:t>
            </m:r>
          </m:e>
          <m:sub>
            <m:r>
              <w:rPr>
                <w:rFonts w:ascii="Cambria Math" w:hAnsi="Cambria Math"/>
              </w:rPr>
              <m:t>st</m:t>
            </m:r>
          </m:sub>
        </m:sSub>
      </m:oMath>
      <w:r w:rsidR="00CD54F8" w:rsidRPr="00BC31E0">
        <w:rPr>
          <w:rFonts w:asciiTheme="minorEastAsia" w:eastAsiaTheme="minorEastAsia" w:hAnsiTheme="minorEastAsia" w:hint="eastAsia"/>
        </w:rPr>
        <w:tab/>
      </w:r>
      <w:r w:rsidR="00CD54F8" w:rsidRPr="00BC31E0">
        <w:rPr>
          <w:rFonts w:hint="eastAsia"/>
        </w:rPr>
        <w:t>：</w:t>
      </w:r>
      <w:r w:rsidR="00CD54F8" w:rsidRPr="00BC31E0">
        <w:t xml:space="preserve"> </w:t>
      </w:r>
      <w:r w:rsidR="00CD54F8" w:rsidRPr="00BC31E0">
        <w:rPr>
          <w:rFonts w:hint="eastAsia"/>
        </w:rPr>
        <w:t>試験温度の影響係数は次式による。</w:t>
      </w:r>
    </w:p>
    <w:p w14:paraId="0BF655B1" w14:textId="77777777" w:rsidR="00CD54F8" w:rsidRPr="00BC31E0" w:rsidRDefault="00CD54F8" w:rsidP="00EA4BB4">
      <w:pPr>
        <w:tabs>
          <w:tab w:val="left" w:pos="1932"/>
          <w:tab w:val="left" w:leader="middleDot" w:pos="8080"/>
        </w:tabs>
      </w:pPr>
      <w:r w:rsidRPr="00BC31E0">
        <w:rPr>
          <w:rFonts w:hint="eastAsia"/>
        </w:rPr>
        <w:tab/>
      </w:r>
      <m:oMath>
        <m:sSub>
          <m:sSubPr>
            <m:ctrlPr>
              <w:rPr>
                <w:rFonts w:ascii="Cambria Math" w:hAnsi="Cambria Math"/>
                <w:i/>
              </w:rPr>
            </m:ctrlPr>
          </m:sSubPr>
          <m:e>
            <m:r>
              <w:rPr>
                <w:rFonts w:ascii="Cambria Math" w:hAnsi="Cambria Math"/>
              </w:rPr>
              <m:t>K</m:t>
            </m:r>
          </m:e>
          <m:sub>
            <m:r>
              <w:rPr>
                <w:rFonts w:ascii="Cambria Math" w:hAnsi="Cambria Math"/>
              </w:rPr>
              <m:t>st</m:t>
            </m:r>
          </m:sub>
        </m:sSub>
        <m:r>
          <w:rPr>
            <w:rFonts w:ascii="Cambria Math" w:hAnsi="Cambria Math"/>
          </w:rPr>
          <m:t>=</m:t>
        </m:r>
        <m:f>
          <m:fPr>
            <m:type m:val="lin"/>
            <m:ctrlPr>
              <w:rPr>
                <w:rFonts w:ascii="Cambria Math" w:hAnsi="Cambria Math"/>
              </w:rPr>
            </m:ctrlPr>
          </m:fPr>
          <m:num>
            <m:d>
              <m:dPr>
                <m:ctrlPr>
                  <w:rPr>
                    <w:rFonts w:ascii="Cambria Math" w:hAnsi="Cambria Math"/>
                  </w:rPr>
                </m:ctrlPr>
              </m:dPr>
              <m:e>
                <m:r>
                  <m:rPr>
                    <m:sty m:val="p"/>
                  </m:rPr>
                  <w:rPr>
                    <w:rFonts w:ascii="Cambria Math" w:hAnsi="Cambria Math" w:hint="eastAsia"/>
                  </w:rPr>
                  <m:t>温度</m:t>
                </m:r>
                <m:sSub>
                  <m:sSubPr>
                    <m:ctrlPr>
                      <w:rPr>
                        <w:rFonts w:ascii="Cambria Math" w:hAnsi="Cambria Math"/>
                        <w:i/>
                      </w:rPr>
                    </m:ctrlPr>
                  </m:sSubPr>
                  <m:e>
                    <m:r>
                      <w:rPr>
                        <w:rFonts w:ascii="Cambria Math" w:hAnsi="Cambria Math"/>
                      </w:rPr>
                      <m:t>T</m:t>
                    </m:r>
                  </m:e>
                  <m:sub>
                    <m:r>
                      <w:rPr>
                        <w:rFonts w:ascii="Cambria Math" w:hAnsi="Cambria Math"/>
                      </w:rPr>
                      <m:t>t</m:t>
                    </m:r>
                  </m:sub>
                </m:sSub>
                <m:r>
                  <m:rPr>
                    <m:sty m:val="p"/>
                  </m:rPr>
                  <w:rPr>
                    <w:rFonts w:ascii="Cambria Math" w:hAnsi="Cambria Math" w:hint="eastAsia"/>
                  </w:rPr>
                  <m:t>での</m:t>
                </m:r>
                <m:sSub>
                  <m:sSubPr>
                    <m:ctrlPr>
                      <w:rPr>
                        <w:rFonts w:ascii="Cambria Math" w:hAnsi="Cambria Math"/>
                        <w:i/>
                      </w:rPr>
                    </m:ctrlPr>
                  </m:sSubPr>
                  <m:e>
                    <m:r>
                      <w:rPr>
                        <w:rFonts w:ascii="Cambria Math" w:hAnsi="Cambria Math" w:hint="eastAsia"/>
                      </w:rPr>
                      <m:t>S</m:t>
                    </m:r>
                  </m:e>
                  <m:sub>
                    <m:r>
                      <w:rPr>
                        <w:rFonts w:ascii="Cambria Math" w:hAnsi="Cambria Math"/>
                      </w:rPr>
                      <m:t>aN</m:t>
                    </m:r>
                  </m:sub>
                </m:sSub>
              </m:e>
            </m:d>
          </m:num>
          <m:den>
            <m:d>
              <m:dPr>
                <m:ctrlPr>
                  <w:rPr>
                    <w:rFonts w:ascii="Cambria Math" w:hAnsi="Cambria Math"/>
                  </w:rPr>
                </m:ctrlPr>
              </m:dPr>
              <m:e>
                <m:r>
                  <m:rPr>
                    <m:sty m:val="p"/>
                  </m:rPr>
                  <w:rPr>
                    <w:rFonts w:ascii="Cambria Math" w:hAnsi="Cambria Math" w:hint="eastAsia"/>
                  </w:rPr>
                  <m:t>温度</m:t>
                </m:r>
                <m:sSub>
                  <m:sSubPr>
                    <m:ctrlPr>
                      <w:rPr>
                        <w:rFonts w:ascii="Cambria Math" w:hAnsi="Cambria Math"/>
                        <w:i/>
                      </w:rPr>
                    </m:ctrlPr>
                  </m:sSubPr>
                  <m:e>
                    <m:r>
                      <w:rPr>
                        <w:rFonts w:ascii="Cambria Math" w:hAnsi="Cambria Math"/>
                      </w:rPr>
                      <m:t>T</m:t>
                    </m:r>
                  </m:e>
                  <m:sub>
                    <m:r>
                      <w:rPr>
                        <w:rFonts w:ascii="Cambria Math" w:hAnsi="Cambria Math"/>
                      </w:rPr>
                      <m:t>D</m:t>
                    </m:r>
                  </m:sub>
                </m:sSub>
                <m:r>
                  <m:rPr>
                    <m:sty m:val="p"/>
                  </m:rPr>
                  <w:rPr>
                    <w:rFonts w:ascii="Cambria Math" w:hAnsi="Cambria Math" w:hint="eastAsia"/>
                  </w:rPr>
                  <m:t>での</m:t>
                </m:r>
                <m:sSub>
                  <m:sSubPr>
                    <m:ctrlPr>
                      <w:rPr>
                        <w:rFonts w:ascii="Cambria Math" w:hAnsi="Cambria Math"/>
                        <w:i/>
                      </w:rPr>
                    </m:ctrlPr>
                  </m:sSubPr>
                  <m:e>
                    <m:r>
                      <w:rPr>
                        <w:rFonts w:ascii="Cambria Math" w:hAnsi="Cambria Math"/>
                      </w:rPr>
                      <m:t>S</m:t>
                    </m:r>
                  </m:e>
                  <m:sub>
                    <m:r>
                      <w:rPr>
                        <w:rFonts w:ascii="Cambria Math" w:hAnsi="Cambria Math"/>
                      </w:rPr>
                      <m:t>aN</m:t>
                    </m:r>
                  </m:sub>
                </m:sSub>
              </m:e>
            </m:d>
          </m:den>
        </m:f>
      </m:oMath>
      <w:r w:rsidRPr="00BC31E0">
        <w:rPr>
          <w:rFonts w:hint="eastAsia"/>
        </w:rPr>
        <w:t xml:space="preserve">　</w:t>
      </w:r>
      <w:r w:rsidRPr="00BC31E0">
        <w:rPr>
          <w:rFonts w:hint="eastAsia"/>
        </w:rPr>
        <w:t>(</w:t>
      </w:r>
      <w:r w:rsidRPr="00BC31E0">
        <w:rPr>
          <w:rFonts w:hint="eastAsia"/>
        </w:rPr>
        <w:t>ただし，最小</w:t>
      </w:r>
      <w:r w:rsidRPr="00BC31E0">
        <w:rPr>
          <w:rFonts w:asciiTheme="minorHAnsi" w:hAnsiTheme="minorHAnsi"/>
        </w:rPr>
        <w:t>1.0</w:t>
      </w:r>
      <w:r w:rsidRPr="00BC31E0">
        <w:rPr>
          <w:rFonts w:hint="eastAsia"/>
        </w:rPr>
        <w:t>)</w:t>
      </w:r>
      <w:r w:rsidRPr="00BC31E0">
        <w:rPr>
          <w:rFonts w:hint="eastAsia"/>
        </w:rPr>
        <w:tab/>
        <w:t>(6.11.18)</w:t>
      </w:r>
    </w:p>
    <w:p w14:paraId="04422B0A" w14:textId="77777777" w:rsidR="00CD54F8" w:rsidRPr="00BC31E0" w:rsidRDefault="000866AE" w:rsidP="00F653AB">
      <w:pPr>
        <w:pStyle w:val="3"/>
        <w:tabs>
          <w:tab w:val="clear" w:pos="284"/>
        </w:tabs>
        <w:spacing w:before="120"/>
        <w:ind w:left="794" w:hanging="794"/>
      </w:pPr>
      <w:r w:rsidRPr="00BC31E0">
        <w:rPr>
          <w:rFonts w:hint="eastAsia"/>
        </w:rPr>
        <w:t xml:space="preserve"> </w:t>
      </w:r>
      <w:r w:rsidR="00CD54F8" w:rsidRPr="00BC31E0">
        <w:rPr>
          <w:rFonts w:hint="eastAsia"/>
        </w:rPr>
        <w:t>疲労強度減少係数の決定のための疲労試験</w:t>
      </w:r>
    </w:p>
    <w:p w14:paraId="7979D9E6" w14:textId="77777777" w:rsidR="00CD54F8" w:rsidRPr="00BC31E0" w:rsidRDefault="00CD54F8" w:rsidP="00EC75AD">
      <w:pPr>
        <w:pStyle w:val="1110"/>
        <w:ind w:firstLine="210"/>
      </w:pPr>
      <w:r w:rsidRPr="00BC31E0">
        <w:rPr>
          <w:rFonts w:hint="eastAsia"/>
        </w:rPr>
        <w:t>疲労強度減少係数の実験的決定方法は，次の</w:t>
      </w:r>
      <w:r w:rsidRPr="00BC31E0">
        <w:rPr>
          <w:rFonts w:ascii="ＭＳ ゴシック" w:eastAsia="ＭＳ ゴシック" w:hint="eastAsia"/>
          <w:b/>
        </w:rPr>
        <w:t>a)</w:t>
      </w:r>
      <w:r w:rsidRPr="00BC31E0">
        <w:rPr>
          <w:rFonts w:hint="eastAsia"/>
        </w:rPr>
        <w:t>～</w:t>
      </w:r>
      <w:r w:rsidRPr="00BC31E0">
        <w:rPr>
          <w:rFonts w:ascii="ＭＳ ゴシック" w:eastAsia="ＭＳ ゴシック" w:hint="eastAsia"/>
          <w:b/>
        </w:rPr>
        <w:t>c)</w:t>
      </w:r>
      <w:r w:rsidRPr="00BC31E0">
        <w:rPr>
          <w:rFonts w:hint="eastAsia"/>
        </w:rPr>
        <w:t>による。</w:t>
      </w:r>
    </w:p>
    <w:p w14:paraId="52A94065" w14:textId="77777777" w:rsidR="00CD54F8" w:rsidRPr="00BC31E0" w:rsidRDefault="00CD54F8" w:rsidP="00736130">
      <w:pPr>
        <w:pStyle w:val="a4"/>
        <w:numPr>
          <w:ilvl w:val="0"/>
          <w:numId w:val="454"/>
        </w:numPr>
        <w:ind w:leftChars="0" w:left="454" w:hanging="454"/>
      </w:pPr>
      <w:r w:rsidRPr="00BC31E0">
        <w:rPr>
          <w:rFonts w:asciiTheme="majorEastAsia" w:eastAsiaTheme="majorEastAsia" w:hAnsiTheme="majorEastAsia" w:hint="eastAsia"/>
          <w:b/>
        </w:rPr>
        <w:t>試験片</w:t>
      </w:r>
      <w:r w:rsidRPr="00BC31E0">
        <w:rPr>
          <w:rFonts w:hint="eastAsia"/>
        </w:rPr>
        <w:t xml:space="preserve">　</w:t>
      </w:r>
      <w:r w:rsidRPr="00BC31E0">
        <w:rPr>
          <w:rFonts w:ascii="ＭＳ 明朝" w:hint="eastAsia"/>
        </w:rPr>
        <w:t>試験片は，次の</w:t>
      </w:r>
      <w:r w:rsidRPr="00BC31E0">
        <w:rPr>
          <w:rFonts w:asciiTheme="majorEastAsia" w:eastAsiaTheme="majorEastAsia" w:hAnsiTheme="majorEastAsia" w:hint="eastAsia"/>
          <w:b/>
        </w:rPr>
        <w:t>1)</w:t>
      </w:r>
      <w:r w:rsidRPr="00BC31E0">
        <w:rPr>
          <w:rFonts w:ascii="ＭＳ 明朝" w:hint="eastAsia"/>
        </w:rPr>
        <w:t>～</w:t>
      </w:r>
      <w:r w:rsidRPr="00BC31E0">
        <w:rPr>
          <w:rFonts w:asciiTheme="majorEastAsia" w:eastAsiaTheme="majorEastAsia" w:hAnsiTheme="majorEastAsia" w:hint="eastAsia"/>
          <w:b/>
        </w:rPr>
        <w:t>3)</w:t>
      </w:r>
      <w:r w:rsidRPr="00BC31E0">
        <w:rPr>
          <w:rFonts w:ascii="ＭＳ 明朝" w:hint="eastAsia"/>
        </w:rPr>
        <w:t>による。</w:t>
      </w:r>
    </w:p>
    <w:p w14:paraId="421835A3" w14:textId="77777777" w:rsidR="00CD54F8" w:rsidRPr="00BC31E0" w:rsidRDefault="00CD54F8" w:rsidP="00736130">
      <w:pPr>
        <w:numPr>
          <w:ilvl w:val="0"/>
          <w:numId w:val="151"/>
        </w:numPr>
        <w:ind w:left="738" w:hanging="454"/>
      </w:pPr>
      <w:r w:rsidRPr="00BC31E0">
        <w:rPr>
          <w:rFonts w:hint="eastAsia"/>
        </w:rPr>
        <w:t>試験部材は実際に使用する部材と同一の化学成分，機械特性を有し，同一の熱処理を行</w:t>
      </w:r>
      <w:r w:rsidRPr="00BC31E0">
        <w:rPr>
          <w:rFonts w:hint="eastAsia"/>
        </w:rPr>
        <w:lastRenderedPageBreak/>
        <w:t>わなければならない。</w:t>
      </w:r>
    </w:p>
    <w:p w14:paraId="35CE8AFA" w14:textId="77777777" w:rsidR="00CD54F8" w:rsidRPr="00BC31E0" w:rsidRDefault="00CD54F8" w:rsidP="00736130">
      <w:pPr>
        <w:numPr>
          <w:ilvl w:val="0"/>
          <w:numId w:val="151"/>
        </w:numPr>
        <w:ind w:left="738" w:hanging="454"/>
      </w:pPr>
      <w:r w:rsidRPr="00BC31E0">
        <w:rPr>
          <w:rFonts w:hint="eastAsia"/>
        </w:rPr>
        <w:t>試験片に生じる一次＋二次相当応力は，</w:t>
      </w:r>
      <w:r w:rsidRPr="00BC31E0">
        <w:rPr>
          <w:rFonts w:asciiTheme="majorEastAsia" w:eastAsiaTheme="majorEastAsia" w:hAnsiTheme="majorEastAsia" w:hint="eastAsia"/>
          <w:b/>
        </w:rPr>
        <w:t>表J</w:t>
      </w:r>
      <w:r w:rsidRPr="00BC31E0">
        <w:rPr>
          <w:rFonts w:asciiTheme="majorEastAsia" w:eastAsiaTheme="majorEastAsia" w:hAnsiTheme="majorEastAsia"/>
          <w:b/>
        </w:rPr>
        <w:t>.2</w:t>
      </w:r>
      <w:r w:rsidRPr="00BC31E0">
        <w:rPr>
          <w:rFonts w:hint="eastAsia"/>
        </w:rPr>
        <w:t>の許容限界を超えてはならない。また，</w:t>
      </w:r>
      <w:r w:rsidRPr="00BC31E0">
        <w:t>1,000</w:t>
      </w:r>
      <w:r w:rsidRPr="00BC31E0">
        <w:rPr>
          <w:rFonts w:hint="eastAsia"/>
        </w:rPr>
        <w:t>サイクルより小さい繰返し回数で破損が生じないようなものでなければならない。</w:t>
      </w:r>
    </w:p>
    <w:p w14:paraId="4FB66DB7" w14:textId="77777777" w:rsidR="00CD54F8" w:rsidRPr="00BC31E0" w:rsidRDefault="00CD54F8" w:rsidP="00736130">
      <w:pPr>
        <w:numPr>
          <w:ilvl w:val="0"/>
          <w:numId w:val="151"/>
        </w:numPr>
        <w:ind w:left="738" w:hanging="454"/>
      </w:pPr>
      <w:r w:rsidRPr="00BC31E0">
        <w:rPr>
          <w:rFonts w:hint="eastAsia"/>
        </w:rPr>
        <w:t>試験片の形状，表面仕上げ及び応力状態は，実際の構造部材に予想されるものに極く類似しなければならない。特に，応力こう配は，実際の構造部材で予想される</w:t>
      </w:r>
      <w:r w:rsidR="009F6C86" w:rsidRPr="00BC31E0">
        <w:rPr>
          <w:rFonts w:hint="eastAsia"/>
        </w:rPr>
        <w:t>状態</w:t>
      </w:r>
      <w:r w:rsidRPr="00BC31E0">
        <w:rPr>
          <w:rFonts w:hint="eastAsia"/>
        </w:rPr>
        <w:t>よりも急であってはならない。</w:t>
      </w:r>
    </w:p>
    <w:p w14:paraId="249BD79B" w14:textId="77777777" w:rsidR="00CD54F8" w:rsidRPr="00BC31E0" w:rsidRDefault="00CD54F8" w:rsidP="00736130">
      <w:pPr>
        <w:pStyle w:val="a4"/>
        <w:numPr>
          <w:ilvl w:val="0"/>
          <w:numId w:val="455"/>
        </w:numPr>
        <w:ind w:leftChars="0" w:left="454" w:hanging="454"/>
        <w:rPr>
          <w:rFonts w:ascii="ＭＳ 明朝"/>
        </w:rPr>
      </w:pPr>
      <w:r w:rsidRPr="00BC31E0">
        <w:rPr>
          <w:rFonts w:asciiTheme="majorEastAsia" w:eastAsiaTheme="majorEastAsia" w:hAnsiTheme="majorEastAsia" w:hint="eastAsia"/>
          <w:b/>
          <w:bCs/>
        </w:rPr>
        <w:t>繰返し速度</w:t>
      </w:r>
      <w:r w:rsidRPr="00BC31E0">
        <w:rPr>
          <w:rFonts w:hint="eastAsia"/>
        </w:rPr>
        <w:t xml:space="preserve">　</w:t>
      </w:r>
      <w:r w:rsidR="00D028E7" w:rsidRPr="00BC31E0">
        <w:rPr>
          <w:rFonts w:ascii="ＭＳ 明朝" w:hint="eastAsia"/>
        </w:rPr>
        <w:t>試験片に</w:t>
      </w:r>
      <w:r w:rsidRPr="00BC31E0">
        <w:rPr>
          <w:rFonts w:ascii="ＭＳ 明朝" w:hint="eastAsia"/>
        </w:rPr>
        <w:t>感知できる</w:t>
      </w:r>
      <w:r w:rsidR="00D028E7" w:rsidRPr="00BC31E0">
        <w:rPr>
          <w:rFonts w:ascii="ＭＳ 明朝" w:hint="eastAsia"/>
        </w:rPr>
        <w:t>ような</w:t>
      </w:r>
      <w:r w:rsidRPr="00BC31E0">
        <w:rPr>
          <w:rFonts w:ascii="ＭＳ 明朝" w:hint="eastAsia"/>
        </w:rPr>
        <w:t>加熱が生じる</w:t>
      </w:r>
      <w:r w:rsidR="00CB0F79" w:rsidRPr="00BC31E0">
        <w:rPr>
          <w:rFonts w:ascii="ＭＳ 明朝" w:hint="eastAsia"/>
        </w:rPr>
        <w:t>繰返し速度で</w:t>
      </w:r>
      <w:r w:rsidRPr="00BC31E0">
        <w:rPr>
          <w:rFonts w:ascii="ＭＳ 明朝" w:hint="eastAsia"/>
        </w:rPr>
        <w:t>あってはならない。</w:t>
      </w:r>
    </w:p>
    <w:p w14:paraId="09AB0BC9" w14:textId="77777777" w:rsidR="00CD54F8" w:rsidRPr="00BC31E0" w:rsidRDefault="00CD54F8" w:rsidP="00736130">
      <w:pPr>
        <w:pStyle w:val="a4"/>
        <w:numPr>
          <w:ilvl w:val="0"/>
          <w:numId w:val="456"/>
        </w:numPr>
        <w:ind w:leftChars="0" w:left="454" w:hanging="454"/>
        <w:rPr>
          <w:rFonts w:ascii="ＭＳ 明朝"/>
        </w:rPr>
      </w:pPr>
      <w:r w:rsidRPr="00BC31E0">
        <w:rPr>
          <w:rFonts w:asciiTheme="majorEastAsia" w:eastAsiaTheme="majorEastAsia" w:hAnsiTheme="majorEastAsia" w:hint="eastAsia"/>
          <w:b/>
          <w:bCs/>
        </w:rPr>
        <w:t>疲労強度減少係数の決定</w:t>
      </w:r>
      <w:r w:rsidRPr="00BC31E0">
        <w:rPr>
          <w:rFonts w:hint="eastAsia"/>
        </w:rPr>
        <w:t xml:space="preserve">　</w:t>
      </w:r>
      <w:r w:rsidRPr="00BC31E0">
        <w:rPr>
          <w:rFonts w:ascii="ＭＳ 明朝" w:hint="eastAsia"/>
        </w:rPr>
        <w:t>疲労強度減少係数は，切欠付試験片と平滑試験片で試験し，同一破損回数に対する切欠付試験片の応力に対する平滑試験片の応力の比として計算しなければならない。</w:t>
      </w:r>
    </w:p>
    <w:p w14:paraId="01EFD386" w14:textId="77777777" w:rsidR="00EC75AD" w:rsidRPr="00BC31E0" w:rsidRDefault="00EC75AD" w:rsidP="00EC75AD">
      <w:pPr>
        <w:autoSpaceDE w:val="0"/>
        <w:autoSpaceDN w:val="0"/>
        <w:jc w:val="left"/>
        <w:rPr>
          <w:noProof/>
        </w:rPr>
      </w:pPr>
    </w:p>
    <w:p w14:paraId="68926351" w14:textId="77777777" w:rsidR="00EC75AD" w:rsidRPr="00BC31E0" w:rsidRDefault="00EC75AD" w:rsidP="00EC75AD">
      <w:pPr>
        <w:autoSpaceDE w:val="0"/>
        <w:autoSpaceDN w:val="0"/>
        <w:jc w:val="left"/>
        <w:rPr>
          <w:noProof/>
        </w:rPr>
      </w:pPr>
    </w:p>
    <w:p w14:paraId="52F8F7A3" w14:textId="77777777" w:rsidR="004679E5" w:rsidRPr="00BC31E0" w:rsidRDefault="004679E5" w:rsidP="00EC75AD">
      <w:pPr>
        <w:autoSpaceDE w:val="0"/>
        <w:autoSpaceDN w:val="0"/>
        <w:jc w:val="left"/>
        <w:rPr>
          <w:noProof/>
        </w:rPr>
      </w:pPr>
    </w:p>
    <w:p w14:paraId="3441178F" w14:textId="77777777" w:rsidR="00EC75AD" w:rsidRPr="00BC31E0" w:rsidRDefault="00EC75AD" w:rsidP="00EC75AD">
      <w:pPr>
        <w:autoSpaceDE w:val="0"/>
        <w:autoSpaceDN w:val="0"/>
        <w:jc w:val="left"/>
        <w:rPr>
          <w:noProof/>
        </w:rPr>
      </w:pPr>
    </w:p>
    <w:p w14:paraId="40319FA4" w14:textId="77777777" w:rsidR="00CD54F8" w:rsidRPr="00BC31E0" w:rsidRDefault="00A51873" w:rsidP="00EC75AD">
      <w:pPr>
        <w:autoSpaceDE w:val="0"/>
        <w:autoSpaceDN w:val="0"/>
        <w:jc w:val="center"/>
      </w:pPr>
      <w:r>
        <w:rPr>
          <w:noProof/>
        </w:rPr>
      </w:r>
      <w:r>
        <w:rPr>
          <w:noProof/>
        </w:rPr>
        <w:pict w14:anchorId="27DADBBE">
          <v:group id="Group 12101" o:spid="_x0000_s1270" style="width:316.1pt;height:307.45pt;mso-position-horizontal-relative:char;mso-position-vertical-relative:line" coordorigin="2772,1866" coordsize="6322,6149">
            <v:group id="Group 12100" o:spid="_x0000_s1271" style="position:absolute;left:2772;top:1866;width:6322;height:6149" coordorigin="2772,1866" coordsize="6322,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">
              <v:rect id="AutoShape 11823" o:spid="_x0000_s1272" style="position:absolute;left:2772;top:1866;width:6322;height:61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" filled="f" stroked="f">
                <o:lock v:ext="edit" aspectratio="t" text="t"/>
              </v:rect>
              <v:rect id="Rectangle 11824" o:spid="_x0000_s1273" style="position:absolute;left:2772;top:7655;width:111;height:36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" filled="f" stroked="f">
                <v:textbox style="mso-fit-shape-to-text:t" inset="0,0,0,0">
                  <w:txbxContent>
                    <w:p w14:paraId="0084D239" w14:textId="77777777" w:rsidR="003B0864" w:rsidRDefault="003B0864" w:rsidP="00CD54F8">
                      <w:r>
                        <w:rPr>
                          <w:rFonts w:cs="Century"/>
                          <w:color w:val="000000"/>
                          <w:sz w:val="22"/>
                          <w:szCs w:val="22"/>
                        </w:rPr>
                        <w:t xml:space="preserve"> </w:t>
                      </w:r>
                    </w:p>
                  </w:txbxContent>
                </v:textbox>
              </v:rect>
              <v:rect id="Rectangle 11825" o:spid="_x0000_s1274" style="position:absolute;left:6839;top:2084;width:1111;height:36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" filled="f" stroked="f">
                <v:textbox style="mso-fit-shape-to-text:t" inset="0,0,0,0">
                  <w:txbxContent>
                    <w:p w14:paraId="3B1F099B" w14:textId="77777777" w:rsidR="003B0864" w:rsidRDefault="003B0864" w:rsidP="00CD54F8">
                      <w:r w:rsidRPr="00341973">
                        <w:rPr>
                          <w:rFonts w:asciiTheme="majorEastAsia" w:eastAsiaTheme="majorEastAsia" w:hAnsiTheme="majorEastAsia" w:cs="ＭＳ Ｐゴシック" w:hint="eastAsia"/>
                          <w:color w:val="000000"/>
                          <w:sz w:val="18"/>
                          <w:szCs w:val="18"/>
                        </w:rPr>
                        <w:t>点</w:t>
                      </w:r>
                      <w:r w:rsidRPr="00341973">
                        <w:rPr>
                          <w:rFonts w:ascii="ＭＳ Ｐゴシック" w:eastAsia="ＭＳ Ｐゴシック" w:cs="ＭＳ Ｐゴシック" w:hint="eastAsia"/>
                          <w:b/>
                          <w:color w:val="000000"/>
                          <w:sz w:val="18"/>
                          <w:szCs w:val="18"/>
                        </w:rPr>
                        <w:t>C</w:t>
                      </w:r>
                      <w:r w:rsidRPr="00341973">
                        <w:rPr>
                          <w:rFonts w:asciiTheme="majorEastAsia" w:eastAsiaTheme="majorEastAsia" w:hAnsiTheme="majorEastAsia" w:cs="ＭＳ Ｐゴシック" w:hint="eastAsia"/>
                          <w:color w:val="000000"/>
                          <w:sz w:val="18"/>
                          <w:szCs w:val="18"/>
                        </w:rPr>
                        <w:t>に対して</w:t>
                      </w:r>
                    </w:p>
                  </w:txbxContent>
                </v:textbox>
              </v:rect>
              <v:rect id="Rectangle 11826" o:spid="_x0000_s1275" style="position:absolute;left:6666;top:2295;width:91;height:36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" filled="f" stroked="f">
                <v:textbox style="mso-fit-shape-to-text:t" inset="0,0,0,0">
                  <w:txbxContent>
                    <w:p w14:paraId="5D9A77E9" w14:textId="77777777" w:rsidR="003B0864" w:rsidRPr="00E26574" w:rsidRDefault="003B0864" w:rsidP="00CD54F8">
                      <w:pPr>
                        <w:rPr>
                          <w:i/>
                        </w:rPr>
                      </w:pPr>
                      <w:r>
                        <w:rPr>
                          <w:rFonts w:ascii="ＭＳ Ｐゴシック" w:eastAsia="ＭＳ Ｐゴシック" w:cs="ＭＳ Ｐゴシック"/>
                          <w:color w:val="000000"/>
                          <w:sz w:val="18"/>
                          <w:szCs w:val="18"/>
                        </w:rPr>
                        <w:t xml:space="preserve">    </w:t>
                      </w:r>
                    </w:p>
                  </w:txbxContent>
                </v:textbox>
              </v:rect>
              <v:rect id="Rectangle 11827" o:spid="_x0000_s1276" style="position:absolute;left:7077;top:2476;width:1470;height:4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" filled="f" stroked="f">
                <v:textbox inset="0,0,0,0">
                  <w:txbxContent>
                    <w:p w14:paraId="67575FD1" w14:textId="77777777" w:rsidR="003B0864" w:rsidRPr="00341973" w:rsidRDefault="003B0864" w:rsidP="00CD54F8">
                      <w:pPr>
                        <w:snapToGrid w:val="0"/>
                        <w:spacing w:line="240" w:lineRule="atLeast"/>
                        <w:rPr>
                          <w:rFonts w:asciiTheme="majorHAnsi" w:eastAsia="ＭＳ Ｐゴシック" w:hAnsiTheme="majorHAnsi" w:cstheme="majorHAnsi"/>
                          <w:i/>
                          <w:color w:val="000000"/>
                          <w:sz w:val="18"/>
                          <w:szCs w:val="18"/>
                        </w:rPr>
                      </w:pPr>
                      <w:r w:rsidRPr="00341973">
                        <w:rPr>
                          <w:rFonts w:asciiTheme="majorHAnsi" w:eastAsia="ＭＳ Ｐゴシック" w:hAnsiTheme="majorHAnsi" w:cstheme="majorHAnsi"/>
                          <w:i/>
                          <w:color w:val="000000"/>
                          <w:sz w:val="18"/>
                          <w:szCs w:val="18"/>
                        </w:rPr>
                        <w:t>K</w:t>
                      </w:r>
                      <w:r w:rsidRPr="00341973">
                        <w:rPr>
                          <w:rFonts w:asciiTheme="majorHAnsi" w:eastAsia="ＭＳ Ｐゴシック" w:hAnsiTheme="majorHAnsi" w:cstheme="majorHAnsi"/>
                          <w:i/>
                          <w:color w:val="000000"/>
                          <w:sz w:val="18"/>
                          <w:szCs w:val="18"/>
                          <w:vertAlign w:val="subscript"/>
                        </w:rPr>
                        <w:t>TS</w:t>
                      </w:r>
                      <w:r w:rsidRPr="00341973">
                        <w:rPr>
                          <w:rFonts w:asciiTheme="majorHAnsi" w:eastAsia="ＭＳ Ｐゴシック" w:hAnsiTheme="majorHAnsi" w:cstheme="majorHAnsi"/>
                          <w:i/>
                          <w:color w:val="000000"/>
                          <w:sz w:val="18"/>
                          <w:szCs w:val="18"/>
                        </w:rPr>
                        <w:t>= S</w:t>
                      </w:r>
                      <w:r w:rsidRPr="00341973">
                        <w:rPr>
                          <w:rFonts w:asciiTheme="majorHAnsi" w:eastAsia="ＭＳ Ｐゴシック" w:hAnsiTheme="majorHAnsi" w:cstheme="majorHAnsi"/>
                          <w:i/>
                          <w:color w:val="000000"/>
                          <w:sz w:val="18"/>
                          <w:szCs w:val="18"/>
                          <w:vertAlign w:val="subscript"/>
                        </w:rPr>
                        <w:t>aC</w:t>
                      </w:r>
                      <w:r w:rsidRPr="00341973">
                        <w:rPr>
                          <w:rFonts w:asciiTheme="majorHAnsi" w:eastAsia="ＭＳ Ｐゴシック" w:hAnsiTheme="majorHAnsi" w:cstheme="majorHAnsi"/>
                          <w:color w:val="000000"/>
                          <w:sz w:val="18"/>
                          <w:szCs w:val="18"/>
                        </w:rPr>
                        <w:t>/</w:t>
                      </w:r>
                      <w:r w:rsidRPr="00341973">
                        <w:rPr>
                          <w:rFonts w:asciiTheme="majorHAnsi" w:eastAsia="ＭＳ Ｐゴシック" w:hAnsiTheme="majorHAnsi" w:cstheme="majorHAnsi"/>
                          <w:i/>
                          <w:color w:val="000000"/>
                          <w:sz w:val="18"/>
                          <w:szCs w:val="18"/>
                        </w:rPr>
                        <w:t>S</w:t>
                      </w:r>
                      <w:r w:rsidRPr="00341973">
                        <w:rPr>
                          <w:rFonts w:asciiTheme="majorHAnsi" w:eastAsia="ＭＳ Ｐゴシック" w:hAnsiTheme="majorHAnsi" w:cstheme="majorHAnsi"/>
                          <w:i/>
                          <w:color w:val="000000"/>
                          <w:sz w:val="18"/>
                          <w:szCs w:val="18"/>
                          <w:vertAlign w:val="subscript"/>
                        </w:rPr>
                        <w:t>aD</w:t>
                      </w:r>
                    </w:p>
                    <w:p w14:paraId="1E03B5CF" w14:textId="77777777" w:rsidR="003B0864" w:rsidRPr="00E26574" w:rsidRDefault="003B0864" w:rsidP="00CD54F8">
                      <w:pPr>
                        <w:snapToGrid w:val="0"/>
                        <w:spacing w:line="240" w:lineRule="atLeast"/>
                        <w:rPr>
                          <w:i/>
                        </w:rPr>
                      </w:pPr>
                      <w:r w:rsidRPr="00341973">
                        <w:rPr>
                          <w:rFonts w:asciiTheme="majorHAnsi" w:eastAsia="ＭＳ Ｐゴシック" w:hAnsiTheme="majorHAnsi" w:cstheme="majorHAnsi"/>
                          <w:i/>
                          <w:color w:val="000000"/>
                          <w:sz w:val="18"/>
                          <w:szCs w:val="18"/>
                        </w:rPr>
                        <w:t>K</w:t>
                      </w:r>
                      <w:r w:rsidRPr="00341973">
                        <w:rPr>
                          <w:rFonts w:asciiTheme="majorHAnsi" w:eastAsia="ＭＳ Ｐゴシック" w:hAnsiTheme="majorHAnsi" w:cstheme="majorHAnsi"/>
                          <w:i/>
                          <w:color w:val="000000"/>
                          <w:sz w:val="18"/>
                          <w:szCs w:val="18"/>
                          <w:vertAlign w:val="subscript"/>
                        </w:rPr>
                        <w:t>TN</w:t>
                      </w:r>
                      <w:r w:rsidRPr="00341973">
                        <w:rPr>
                          <w:rFonts w:asciiTheme="majorHAnsi" w:eastAsia="ＭＳ Ｐゴシック" w:hAnsiTheme="majorHAnsi" w:cstheme="majorHAnsi"/>
                          <w:i/>
                          <w:color w:val="000000"/>
                          <w:sz w:val="18"/>
                          <w:szCs w:val="18"/>
                        </w:rPr>
                        <w:t>= N</w:t>
                      </w:r>
                      <w:r w:rsidRPr="00341973">
                        <w:rPr>
                          <w:rFonts w:asciiTheme="majorHAnsi" w:eastAsia="ＭＳ Ｐゴシック" w:hAnsiTheme="majorHAnsi" w:cstheme="majorHAnsi"/>
                          <w:i/>
                          <w:color w:val="000000"/>
                          <w:sz w:val="18"/>
                          <w:szCs w:val="18"/>
                          <w:vertAlign w:val="subscript"/>
                        </w:rPr>
                        <w:t>C</w:t>
                      </w:r>
                      <w:r w:rsidRPr="00341973">
                        <w:rPr>
                          <w:rFonts w:asciiTheme="majorHAnsi" w:eastAsia="ＭＳ Ｐゴシック" w:hAnsiTheme="majorHAnsi" w:cstheme="majorHAnsi"/>
                          <w:color w:val="000000"/>
                          <w:sz w:val="18"/>
                          <w:szCs w:val="18"/>
                        </w:rPr>
                        <w:t>/</w:t>
                      </w:r>
                      <w:r w:rsidRPr="00341973">
                        <w:rPr>
                          <w:rFonts w:asciiTheme="majorHAnsi" w:eastAsia="ＭＳ Ｐゴシック" w:hAnsiTheme="majorHAnsi" w:cstheme="majorHAnsi"/>
                          <w:i/>
                          <w:color w:val="000000"/>
                          <w:sz w:val="18"/>
                          <w:szCs w:val="18"/>
                        </w:rPr>
                        <w:t>N</w:t>
                      </w:r>
                      <w:r w:rsidRPr="00341973">
                        <w:rPr>
                          <w:rFonts w:asciiTheme="majorHAnsi" w:eastAsia="ＭＳ Ｐゴシック" w:hAnsiTheme="majorHAnsi" w:cstheme="majorHAnsi"/>
                          <w:i/>
                          <w:color w:val="000000"/>
                          <w:sz w:val="18"/>
                          <w:szCs w:val="18"/>
                          <w:vertAlign w:val="subscript"/>
                        </w:rPr>
                        <w:t>D</w:t>
                      </w:r>
                    </w:p>
                  </w:txbxContent>
                </v:textbox>
              </v:rect>
              <v:rect id="Rectangle 11828" o:spid="_x0000_s1277" style="position:absolute;left:4631;top:2610;width:1081;height:36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" filled="f" stroked="f">
                <v:textbox style="mso-fit-shape-to-text:t" inset="0,0,0,0">
                  <w:txbxContent>
                    <w:p w14:paraId="54D65A7C" w14:textId="77777777" w:rsidR="003B0864" w:rsidRPr="00341973" w:rsidRDefault="003B0864" w:rsidP="00CD54F8">
                      <w:pPr>
                        <w:rPr>
                          <w:rFonts w:asciiTheme="majorEastAsia" w:eastAsiaTheme="majorEastAsia" w:hAnsiTheme="majorEastAsia"/>
                        </w:rPr>
                      </w:pPr>
                      <w:r w:rsidRPr="00341973">
                        <w:rPr>
                          <w:rFonts w:asciiTheme="majorEastAsia" w:eastAsiaTheme="majorEastAsia" w:hAnsiTheme="majorEastAsia" w:cs="ＭＳ Ｐゴシック" w:hint="eastAsia"/>
                          <w:color w:val="000000"/>
                          <w:sz w:val="18"/>
                          <w:szCs w:val="18"/>
                        </w:rPr>
                        <w:t>設計疲労曲線</w:t>
                      </w:r>
                    </w:p>
                  </w:txbxContent>
                </v:textbox>
              </v:rect>
              <v:rect id="Rectangle 11829" o:spid="_x0000_s1278" style="position:absolute;left:3603;top:3090;width:534;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" filled="f" stroked="f">
                <v:textbox style="mso-fit-shape-to-text:t" inset="0,0,0,0">
                  <w:txbxContent>
                    <w:p w14:paraId="2635ED67" w14:textId="77777777" w:rsidR="003B0864" w:rsidRPr="00341973" w:rsidRDefault="003B0864" w:rsidP="00CD54F8">
                      <w:pPr>
                        <w:rPr>
                          <w:rFonts w:asciiTheme="majorHAnsi" w:hAnsiTheme="majorHAnsi" w:cstheme="majorHAnsi"/>
                          <w:i/>
                        </w:rPr>
                      </w:pPr>
                      <w:r>
                        <w:rPr>
                          <w:rFonts w:ascii="ＭＳ Ｐゴシック" w:eastAsia="ＭＳ Ｐゴシック" w:cs="ＭＳ Ｐゴシック"/>
                          <w:color w:val="000000"/>
                          <w:sz w:val="18"/>
                          <w:szCs w:val="18"/>
                        </w:rPr>
                        <w:t xml:space="preserve"> </w:t>
                      </w:r>
                      <w:r w:rsidRPr="00341973">
                        <w:rPr>
                          <w:rFonts w:asciiTheme="majorHAnsi" w:eastAsia="ＭＳ Ｐゴシック" w:hAnsiTheme="majorHAnsi" w:cstheme="majorHAnsi"/>
                          <w:i/>
                          <w:color w:val="000000"/>
                          <w:sz w:val="18"/>
                          <w:szCs w:val="18"/>
                        </w:rPr>
                        <w:t>S</w:t>
                      </w:r>
                      <w:r w:rsidRPr="00341973">
                        <w:rPr>
                          <w:rFonts w:asciiTheme="majorHAnsi" w:eastAsia="ＭＳ Ｐゴシック" w:hAnsiTheme="majorHAnsi" w:cstheme="majorHAnsi"/>
                          <w:i/>
                          <w:color w:val="000000"/>
                          <w:sz w:val="18"/>
                          <w:szCs w:val="18"/>
                          <w:vertAlign w:val="subscript"/>
                        </w:rPr>
                        <w:t>aA</w:t>
                      </w:r>
                    </w:p>
                  </w:txbxContent>
                </v:textbox>
              </v:rect>
              <v:rect id="Rectangle 11830" o:spid="_x0000_s1279" style="position:absolute;left:5751;top:3126;width:114;height:36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" filled="f" stroked="f">
                <v:textbox style="mso-fit-shape-to-text:t" inset="0,0,0,0">
                  <w:txbxContent>
                    <w:p w14:paraId="45A0E7E8" w14:textId="77777777" w:rsidR="003B0864" w:rsidRDefault="003B0864" w:rsidP="00CD54F8">
                      <w:r>
                        <w:rPr>
                          <w:rFonts w:ascii="ＭＳ Ｐゴシック" w:eastAsia="ＭＳ Ｐゴシック" w:cs="ＭＳ Ｐゴシック"/>
                          <w:color w:val="000000"/>
                          <w:sz w:val="18"/>
                          <w:szCs w:val="18"/>
                        </w:rPr>
                        <w:t>A</w:t>
                      </w:r>
                    </w:p>
                  </w:txbxContent>
                </v:textbox>
              </v:rect>
              <v:rect id="Rectangle 11831" o:spid="_x0000_s1280" style="position:absolute;left:6144;top:3390;width:210;height:36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" filled="f" stroked="f">
                <v:textbox style="mso-fit-shape-to-text:t" inset="0,0,0,0">
                  <w:txbxContent>
                    <w:p w14:paraId="5A144E8E" w14:textId="77777777" w:rsidR="003B0864" w:rsidRDefault="003B0864" w:rsidP="00CD54F8">
                      <w:r>
                        <w:rPr>
                          <w:rFonts w:ascii="ＭＳ Ｐゴシック" w:eastAsia="ＭＳ Ｐゴシック" w:cs="ＭＳ Ｐゴシック"/>
                          <w:color w:val="000000"/>
                          <w:sz w:val="18"/>
                          <w:szCs w:val="18"/>
                        </w:rPr>
                        <w:t xml:space="preserve"> C</w:t>
                      </w:r>
                    </w:p>
                  </w:txbxContent>
                </v:textbox>
              </v:rect>
              <v:rect id="Rectangle 11832" o:spid="_x0000_s1281" style="position:absolute;left:5751;top:3729;width:117;height:36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" filled="f" stroked="f">
                <v:textbox style="mso-fit-shape-to-text:t" inset="0,0,0,0">
                  <w:txbxContent>
                    <w:p w14:paraId="73910401" w14:textId="77777777" w:rsidR="003B0864" w:rsidRDefault="003B0864" w:rsidP="00CD54F8">
                      <w:r>
                        <w:rPr>
                          <w:rFonts w:ascii="ＭＳ Ｐゴシック" w:eastAsia="ＭＳ Ｐゴシック" w:cs="ＭＳ Ｐゴシック"/>
                          <w:color w:val="000000"/>
                          <w:sz w:val="18"/>
                          <w:szCs w:val="18"/>
                        </w:rPr>
                        <w:t>D</w:t>
                      </w:r>
                    </w:p>
                  </w:txbxContent>
                </v:textbox>
              </v:rect>
              <v:rect id="Rectangle 11833" o:spid="_x0000_s1282" style="position:absolute;left:6827;top:3753;width:115;height:36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" filled="f" stroked="f">
                <v:textbox style="mso-fit-shape-to-text:t" inset="0,0,0,0">
                  <w:txbxContent>
                    <w:p w14:paraId="2A830841" w14:textId="77777777" w:rsidR="003B0864" w:rsidRDefault="003B0864" w:rsidP="00CD54F8">
                      <w:r>
                        <w:rPr>
                          <w:rFonts w:ascii="ＭＳ Ｐゴシック" w:eastAsia="ＭＳ Ｐゴシック" w:cs="ＭＳ Ｐゴシック"/>
                          <w:color w:val="000000"/>
                          <w:sz w:val="18"/>
                          <w:szCs w:val="18"/>
                        </w:rPr>
                        <w:t>B</w:t>
                      </w:r>
                    </w:p>
                  </w:txbxContent>
                </v:textbox>
              </v:rect>
              <v:rect id="Rectangle 11834" o:spid="_x0000_s1283" style="position:absolute;left:4120;top:4700;width:857;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" filled="f" stroked="f">
                <v:textbox style="mso-fit-shape-to-text:t" inset="0,0,0,0">
                  <w:txbxContent>
                    <w:p w14:paraId="5EB222E9" w14:textId="77777777" w:rsidR="003B0864" w:rsidRPr="00341973" w:rsidRDefault="003B0864" w:rsidP="00CD54F8">
                      <w:pPr>
                        <w:rPr>
                          <w:rFonts w:asciiTheme="majorHAnsi" w:hAnsiTheme="majorHAnsi" w:cstheme="majorHAnsi"/>
                          <w:i/>
                        </w:rPr>
                      </w:pPr>
                      <w:r w:rsidRPr="00341973">
                        <w:rPr>
                          <w:rFonts w:asciiTheme="majorHAnsi" w:eastAsia="ＭＳ Ｐゴシック" w:hAnsiTheme="majorHAnsi" w:cstheme="majorHAnsi"/>
                          <w:i/>
                          <w:color w:val="000000"/>
                          <w:sz w:val="18"/>
                          <w:szCs w:val="18"/>
                        </w:rPr>
                        <w:t>K</w:t>
                      </w:r>
                      <w:r>
                        <w:rPr>
                          <w:rFonts w:asciiTheme="majorHAnsi" w:eastAsia="ＭＳ Ｐゴシック" w:hAnsiTheme="majorHAnsi" w:cstheme="majorHAnsi" w:hint="eastAsia"/>
                          <w:i/>
                          <w:color w:val="000000"/>
                          <w:sz w:val="18"/>
                          <w:szCs w:val="18"/>
                          <w:vertAlign w:val="subscript"/>
                        </w:rPr>
                        <w:t>s</w:t>
                      </w:r>
                      <w:r w:rsidRPr="00341973">
                        <w:rPr>
                          <w:rFonts w:asciiTheme="majorHAnsi" w:eastAsia="ＭＳ Ｐゴシック" w:hAnsiTheme="majorHAnsi" w:cstheme="majorHAnsi"/>
                          <w:i/>
                          <w:color w:val="000000"/>
                          <w:sz w:val="18"/>
                          <w:szCs w:val="18"/>
                        </w:rPr>
                        <w:t>S</w:t>
                      </w:r>
                      <w:r w:rsidRPr="00341973">
                        <w:rPr>
                          <w:rFonts w:asciiTheme="majorHAnsi" w:eastAsia="ＭＳ Ｐゴシック" w:hAnsiTheme="majorHAnsi" w:cstheme="majorHAnsi"/>
                          <w:i/>
                          <w:color w:val="000000"/>
                          <w:sz w:val="18"/>
                          <w:szCs w:val="18"/>
                          <w:vertAlign w:val="subscript"/>
                        </w:rPr>
                        <w:t>aD</w:t>
                      </w:r>
                    </w:p>
                  </w:txbxContent>
                </v:textbox>
              </v:rect>
              <v:rect id="Rectangle 11835" o:spid="_x0000_s1284" style="position:absolute;left:5348;top:6656;width:529;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" filled="f" stroked="f">
                <v:textbox style="mso-fit-shape-to-text:t" inset="0,0,0,0">
                  <w:txbxContent>
                    <w:p w14:paraId="511A6398" w14:textId="77777777" w:rsidR="003B0864" w:rsidRPr="00E248ED" w:rsidRDefault="003B0864" w:rsidP="00CD54F8">
                      <w:pPr>
                        <w:rPr>
                          <w:rFonts w:asciiTheme="majorHAnsi" w:hAnsiTheme="majorHAnsi" w:cstheme="majorHAnsi"/>
                          <w:i/>
                        </w:rPr>
                      </w:pPr>
                      <w:r>
                        <w:rPr>
                          <w:rFonts w:ascii="ＭＳ Ｐゴシック" w:eastAsia="ＭＳ Ｐゴシック" w:cs="ＭＳ Ｐゴシック"/>
                          <w:color w:val="000000"/>
                          <w:sz w:val="18"/>
                          <w:szCs w:val="18"/>
                        </w:rPr>
                        <w:t xml:space="preserve">   </w:t>
                      </w:r>
                      <w:r w:rsidRPr="00E248ED">
                        <w:rPr>
                          <w:rFonts w:asciiTheme="majorHAnsi" w:eastAsia="ＭＳ Ｐゴシック" w:hAnsiTheme="majorHAnsi" w:cstheme="majorHAnsi"/>
                          <w:i/>
                          <w:color w:val="000000"/>
                          <w:sz w:val="18"/>
                          <w:szCs w:val="18"/>
                        </w:rPr>
                        <w:t>N</w:t>
                      </w:r>
                      <w:r w:rsidRPr="00E248ED">
                        <w:rPr>
                          <w:rFonts w:asciiTheme="majorHAnsi" w:eastAsia="ＭＳ Ｐゴシック" w:hAnsiTheme="majorHAnsi" w:cstheme="majorHAnsi"/>
                          <w:i/>
                          <w:color w:val="000000"/>
                          <w:sz w:val="18"/>
                          <w:szCs w:val="18"/>
                          <w:vertAlign w:val="subscript"/>
                        </w:rPr>
                        <w:t>D</w:t>
                      </w:r>
                    </w:p>
                  </w:txbxContent>
                </v:textbox>
              </v:rect>
              <v:rect id="Rectangle 11836" o:spid="_x0000_s1285" style="position:absolute;left:5288;top:7078;width:901;height:54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" filled="f" stroked="f">
                <v:textbox inset="0,0,0,0">
                  <w:txbxContent>
                    <w:p w14:paraId="45B85480" w14:textId="77777777" w:rsidR="003B0864" w:rsidRPr="00341973" w:rsidRDefault="003B0864" w:rsidP="00CD54F8">
                      <w:pPr>
                        <w:rPr>
                          <w:rFonts w:asciiTheme="majorEastAsia" w:eastAsiaTheme="majorEastAsia" w:hAnsiTheme="majorEastAsia"/>
                        </w:rPr>
                      </w:pPr>
                      <w:r w:rsidRPr="00341973">
                        <w:rPr>
                          <w:rFonts w:asciiTheme="majorEastAsia" w:eastAsiaTheme="majorEastAsia" w:hAnsiTheme="majorEastAsia" w:cs="ＭＳ Ｐゴシック" w:hint="eastAsia"/>
                          <w:color w:val="000000"/>
                          <w:sz w:val="18"/>
                          <w:szCs w:val="18"/>
                        </w:rPr>
                        <w:t>繰返し回数</w:t>
                      </w:r>
                    </w:p>
                  </w:txbxContent>
                </v:textbox>
              </v:rect>
              <v:line id="Line 11837" o:spid="_x0000_s1286" style="position:absolute;visibility:visible" from="4082,3444" to="4082,3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" strokeweight="0"/>
              <v:rect id="Rectangle 11838" o:spid="_x0000_s1287" style="position:absolute;left:4082;top:3444;width:15;height:2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" fillcolor="black" stroked="f"/>
              <v:line id="Line 11839" o:spid="_x0000_s1288" style="position:absolute;visibility:visible" from="5713,3444" to="5713,3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" strokeweight="0"/>
              <v:rect id="Rectangle 11840" o:spid="_x0000_s1289" style="position:absolute;left:5713;top:3444;width:15;height:2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" fillcolor="black" stroked="f"/>
              <v:line id="Line 11841" o:spid="_x0000_s1290" style="position:absolute;visibility:visible" from="3588,4064" to="6222,4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" strokeweight="0"/>
              <v:rect id="Rectangle 11842" o:spid="_x0000_s1291" style="position:absolute;left:3588;top:4064;width:2634;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" fillcolor="black" stroked="f"/>
              <v:line id="Line 11843" o:spid="_x0000_s1292" style="position:absolute;visibility:visible" from="3588,5741" to="6222,5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" strokeweight="0"/>
              <v:rect id="Rectangle 11844" o:spid="_x0000_s1293" style="position:absolute;left:3588;top:5741;width:2634;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" fillcolor="black" stroked="f"/>
              <v:rect id="Rectangle 11845" o:spid="_x0000_s1294" style="position:absolute;left:3557;top:2073;width:31;height:46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" fillcolor="black" stroked="f"/>
              <v:line id="Line 11846" o:spid="_x0000_s1295" style="position:absolute;visibility:visible" from="4082,3727" to="4082,6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" strokeweight="0"/>
              <v:rect id="Rectangle 11847" o:spid="_x0000_s1296" style="position:absolute;left:4082;top:3727;width:15;height:30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" fillcolor="black" stroked="f"/>
              <v:line id="Line 11848" o:spid="_x0000_s1297" style="position:absolute;visibility:visible" from="5713,3727" to="5713,6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" strokeweight="0"/>
              <v:rect id="Rectangle 11849" o:spid="_x0000_s1298" style="position:absolute;left:5713;top:3727;width:15;height:30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" fillcolor="black" stroked="f"/>
              <v:rect id="Rectangle 11850" o:spid="_x0000_s1299" style="position:absolute;left:6222;top:3727;width:31;height:1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" fillcolor="black" stroked="f"/>
              <v:rect id="Rectangle 11851" o:spid="_x0000_s1300" style="position:absolute;left:6222;top:3888;width:31;height:1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" fillcolor="black" stroked="f"/>
              <v:rect id="Rectangle 11852" o:spid="_x0000_s1301" style="position:absolute;left:6222;top:4072;width:31;height:1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" fillcolor="black" stroked="f"/>
              <v:rect id="Rectangle 11853" o:spid="_x0000_s1302" style="position:absolute;left:6222;top:4255;width:31;height:1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" fillcolor="black" stroked="f"/>
              <v:rect id="Rectangle 11854" o:spid="_x0000_s1303" style="position:absolute;left:6222;top:4439;width:31;height:1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" fillcolor="black" stroked="f"/>
              <v:rect id="Rectangle 11855" o:spid="_x0000_s1304" style="position:absolute;left:6222;top:4623;width:31;height:1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" fillcolor="black" stroked="f"/>
              <v:rect id="Rectangle 11856" o:spid="_x0000_s1305" style="position:absolute;left:6222;top:4807;width:31;height:1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" fillcolor="black" stroked="f"/>
              <v:rect id="Rectangle 11857" o:spid="_x0000_s1306" style="position:absolute;left:6222;top:4991;width:31;height:1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" fillcolor="black" stroked="f"/>
              <v:rect id="Rectangle 11858" o:spid="_x0000_s1307" style="position:absolute;left:6222;top:5174;width:31;height:1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" fillcolor="black" stroked="f"/>
              <v:rect id="Rectangle 11859" o:spid="_x0000_s1308" style="position:absolute;left:6222;top:5358;width:31;height:1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" fillcolor="black" stroked="f"/>
              <v:rect id="Rectangle 11860" o:spid="_x0000_s1309" style="position:absolute;left:6222;top:5542;width:31;height:1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" fillcolor="black" stroked="f"/>
              <v:rect id="Rectangle 11861" o:spid="_x0000_s1310" style="position:absolute;left:6222;top:5726;width:31;height:1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" fillcolor="black" stroked="f"/>
              <v:rect id="Rectangle 11862" o:spid="_x0000_s1311" style="position:absolute;left:6222;top:5910;width:31;height:1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" fillcolor="black" stroked="f"/>
              <v:rect id="Rectangle 11863" o:spid="_x0000_s1312" style="position:absolute;left:6222;top:6093;width:31;height:1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" fillcolor="black" stroked="f"/>
              <v:rect id="Rectangle 11864" o:spid="_x0000_s1313" style="position:absolute;left:6222;top:6277;width:31;height:1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" fillcolor="black" stroked="f"/>
              <v:rect id="Rectangle 11865" o:spid="_x0000_s1314" style="position:absolute;left:6222;top:6461;width:31;height:1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" fillcolor="black" stroked="f"/>
              <v:rect id="Rectangle 11866" o:spid="_x0000_s1315" style="position:absolute;left:6222;top:6645;width:31;height: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" fillcolor="black" stroked="f"/>
              <v:line id="Line 11867" o:spid="_x0000_s1316" style="position:absolute;visibility:visible" from="6800,4079" to="6800,6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" strokeweight="0"/>
              <v:rect id="Rectangle 11868" o:spid="_x0000_s1317" style="position:absolute;left:6800;top:4079;width:16;height:26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" fillcolor="black" stroked="f"/>
              <v:line id="Line 11869" o:spid="_x0000_s1318" style="position:absolute;visibility:visible" from="4553,2946" to="5724,2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" strokeweight="0"/>
              <v:rect id="Rectangle 11870" o:spid="_x0000_s1319" style="position:absolute;left:4553;top:2946;width:1171;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" fillcolor="black" stroked="f"/>
              <v:line id="Line 11871" o:spid="_x0000_s1320" style="position:absolute;visibility:visible" from="3588,3428" to="5728,3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" strokeweight="0"/>
              <v:rect id="Rectangle 11872" o:spid="_x0000_s1321" style="position:absolute;left:3588;top:3428;width:2140;height: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" fillcolor="black" stroked="f"/>
              <v:rect id="Rectangle 11873" o:spid="_x0000_s1322" style="position:absolute;left:3588;top:3696;width:57;height: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" fillcolor="black" stroked="f"/>
              <v:rect id="Rectangle 11874" o:spid="_x0000_s1323" style="position:absolute;left:3691;top:3696;width:138;height: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" fillcolor="black" stroked="f"/>
              <v:rect id="Rectangle 11875" o:spid="_x0000_s1324" style="position:absolute;left:3875;top:3696;width:138;height: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" fillcolor="black" stroked="f"/>
              <v:rect id="Rectangle 11876" o:spid="_x0000_s1325" style="position:absolute;left:4059;top:3696;width:137;height: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" fillcolor="black" stroked="f"/>
              <v:rect id="Rectangle 11877" o:spid="_x0000_s1326" style="position:absolute;left:4242;top:3696;width:138;height: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" fillcolor="black" stroked="f"/>
              <v:rect id="Rectangle 11878" o:spid="_x0000_s1327" style="position:absolute;left:4426;top:3696;width:138;height: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" fillcolor="black" stroked="f"/>
              <v:rect id="Rectangle 11879" o:spid="_x0000_s1328" style="position:absolute;left:4610;top:3696;width:138;height: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" fillcolor="black" stroked="f"/>
              <v:rect id="Rectangle 11880" o:spid="_x0000_s1329" style="position:absolute;left:4794;top:3696;width:138;height: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" fillcolor="black" stroked="f"/>
              <v:rect id="Rectangle 11881" o:spid="_x0000_s1330" style="position:absolute;left:4978;top:3696;width:137;height: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" fillcolor="black" stroked="f"/>
              <v:rect id="Rectangle 11882" o:spid="_x0000_s1331" style="position:absolute;left:5161;top:3696;width:138;height: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" fillcolor="black" stroked="f"/>
              <v:rect id="Rectangle 11883" o:spid="_x0000_s1332" style="position:absolute;left:5345;top:3696;width:138;height: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" fillcolor="black" stroked="f"/>
              <v:rect id="Rectangle 11884" o:spid="_x0000_s1333" style="position:absolute;left:5529;top:3696;width:138;height: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" fillcolor="black" stroked="f"/>
              <v:rect id="Rectangle 11885" o:spid="_x0000_s1334" style="position:absolute;left:5713;top:3696;width:138;height: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" fillcolor="black" stroked="f"/>
              <v:rect id="Rectangle 11886" o:spid="_x0000_s1335" style="position:absolute;left:5897;top:3696;width:137;height: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" fillcolor="black" stroked="f"/>
              <v:rect id="Rectangle 11887" o:spid="_x0000_s1336" style="position:absolute;left:6080;top:3696;width:138;height: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" fillcolor="black" stroked="f"/>
              <v:line id="Line 11888" o:spid="_x0000_s1337" style="position:absolute;visibility:visible" from="6253,4064" to="6816,4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" strokeweight="0"/>
              <v:rect id="Rectangle 11889" o:spid="_x0000_s1338" style="position:absolute;left:6253;top:4064;width:563;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" fillcolor="black" stroked="f"/>
              <v:line id="Line 11890" o:spid="_x0000_s1339" style="position:absolute;visibility:visible" from="6253,5741" to="6816,5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" strokeweight="0"/>
              <v:rect id="Rectangle 11891" o:spid="_x0000_s1340" style="position:absolute;left:6253;top:5741;width:563;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" fillcolor="black" stroked="f"/>
              <v:rect id="Rectangle 11892" o:spid="_x0000_s1341" style="position:absolute;left:3588;top:6740;width:4710;height: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" fillcolor="black" stroked="f"/>
              <v:group id="Group 11893" o:spid="_x0000_s1342" style="position:absolute;left:3500;top:2057;width:126;height:230" coordorigin="3406,2252" coordsize="12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">
                <v:line id="Line 11894" o:spid="_x0000_s1343" style="position:absolute;flip:x y;visibility:visible" from="3467,2363" to="3471,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" strokeweight=".55pt"/>
                <v:shape id="Freeform 11895" o:spid="_x0000_s1344" style="position:absolute;left:3406;top:2252;width:126;height:127;visibility:visible;mso-wrap-style:square;v-text-anchor:top" coordsize="12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" path="m126,119l53,,,127r126,-8xe" fillcolor="black" stroked="f">
                  <v:path arrowok="t" o:connecttype="custom" o:connectlocs="126,119;53,0;0,127;126,119" o:connectangles="0,0,0,0"/>
                </v:shape>
              </v:group>
              <v:group id="Group 11896" o:spid="_x0000_s1345" style="position:absolute;left:8056;top:6698;width:230;height:127" coordorigin="7962,6893" coordsize="23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">
                <v:line id="Line 11897" o:spid="_x0000_s1346" style="position:absolute;visibility:visible" from="7962,6955" to="8077,6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" strokeweight=".55pt"/>
                <v:shape id="Freeform 11898" o:spid="_x0000_s1347" style="position:absolute;left:8070;top:6893;width:122;height:127;visibility:visible;mso-wrap-style:square;v-text-anchor:top" coordsize="12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" path="m,127l122,62,,,,127xe" fillcolor="black" stroked="f">
                  <v:path arrowok="t" o:connecttype="custom" o:connectlocs="0,127;122,62;0,0;0,127" o:connectangles="0,0,0,0"/>
                </v:shape>
              </v:group>
              <v:shape id="Freeform 11899" o:spid="_x0000_s1348" style="position:absolute;left:3810;top:2563;width:4457;height:2496;visibility:visible;mso-wrap-style:square;v-text-anchor:top" coordsize="4457,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" path="m15,l,15,168,199,341,383,524,563r4,4l716,747,919,919r107,84l1133,1087r115,81l1371,1248r122,81l1627,1405r69,35l1769,1478r4,4l1849,1520r81,38l2102,1635r180,77l2470,1788r195,77l3055,2010r192,69l3431,2144r180,61l3775,2263r77,27l3925,2317r69,22l4059,2362r61,20l4174,2401r49,19l4269,2435r35,16l4338,2462r27,8l4388,2481r19,4l4422,2493r8,l4438,2496r4,l4445,2496r4,-3l4453,2489r4,-4l4457,2481r-4,-4l4449,2473r-7,-3l4426,2462r-4,l4399,2451r-26,-16l4338,2424r-61,-27l4250,2385r-23,-11l4212,2370r-4,-4l4200,2389r8,4l4223,2397r23,11l4273,2420r61,27l4369,2458r27,15l4419,2485r3,-12l4415,2481r15,8l4438,2493r,-20l4434,2477r,4l4434,2485r,4l4445,2485r-3,-12l4438,2473r4,12l4442,2473r-8,-3l4426,2470r-15,-8l4392,2458r-23,-11l4342,2439r-34,-11l4273,2412r-46,-15l4177,2378r-53,-19l4062,2339r-65,-22l3928,2294r-72,-27l3779,2240r-165,-58l3434,2121r-183,-65l3059,1987,2669,1842r-196,-77l2286,1689r-180,-77l1933,1535r-80,-38l1776,1459r-3,11l1780,1459r-72,-39l1635,1386r-130,-77l1382,1229r-122,-80l1145,1068,1037,984,930,900,727,727,540,547r-8,12l543,551,360,371,187,188,15,xe" fillcolor="black" stroked="f">
                <v:path arrowok="t" o:connecttype="custom" o:connectlocs="168,199;528,567;1026,1003;1371,1248;1696,1440;1849,1520;2282,1712;3055,2010;3611,2205;3925,2317;4120,2382;4269,2435;4365,2470;4422,2493;4442,2496;4453,2489;4453,2477;4426,2462;4373,2435;4250,2385;4208,2366;4223,2397;4334,2447;4419,2485;4430,2489;4434,2477;4434,2489;4438,2473;4434,2470;4392,2458;4308,2428;4177,2378;3997,2317;3779,2240;3251,2056;2473,1765;1933,1535;1773,1470;1635,1386;1260,1149;930,900;532,559;187,188" o:connectangles="0,0,0,0,0,0,0,0,0,0,0,0,0,0,0,0,0,0,0,0,0,0,0,0,0,0,0,0,0,0,0,0,0,0,0,0,0,0,0,0,0,0,0"/>
              </v:shape>
              <v:line id="Line 11900" o:spid="_x0000_s1349" style="position:absolute;visibility:visible" from="5724,3428" to="6800,4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" strokeweight=".55pt"/>
              <v:group id="Group 11901" o:spid="_x0000_s1350" style="position:absolute;left:6624;top:5687;width:176;height:127" coordorigin="6530,5882" coordsize="17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">
                <v:line id="Line 11902" o:spid="_x0000_s1351" style="position:absolute;flip:y;visibility:visible" from="6530,5944" to="6591,5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" strokeweight=".55pt"/>
                <v:shape id="Freeform 11903" o:spid="_x0000_s1352" style="position:absolute;left:6580;top:5882;width:126;height:127;visibility:visible;mso-wrap-style:square;v-text-anchor:top" coordsize="12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" path="m8,127l126,54,,,8,127xe" fillcolor="black" stroked="f">
                  <v:path arrowok="t" o:connecttype="custom" o:connectlocs="8,127;126,54;0,0;8,127" o:connectangles="0,0,0,0"/>
                </v:shape>
              </v:group>
              <v:group id="Group 11904" o:spid="_x0000_s1353" style="position:absolute;left:3576;top:5687;width:218;height:127" coordorigin="3482,5882" coordsize="21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">
                <v:line id="Line 11905" o:spid="_x0000_s1354" style="position:absolute;flip:x y;visibility:visible" from="3597,5944" to="3700,5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" strokeweight=".55pt"/>
                <v:shape id="Freeform 11906" o:spid="_x0000_s1355" style="position:absolute;left:3482;top:5882;width:130;height:127;visibility:visible;mso-wrap-style:square;v-text-anchor:top" coordsize="13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" path="m130,l,54r123,73l130,xe" fillcolor="black" stroked="f">
                  <v:path arrowok="t" o:connecttype="custom" o:connectlocs="130,0;0,54;123,127;130,0" o:connectangles="0,0,0,0"/>
                </v:shape>
              </v:group>
              <v:group id="Group 11907" o:spid="_x0000_s1356" style="position:absolute;left:4016;top:3444;width:127;height:183" coordorigin="3922,3639" coordsize="12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">
                <v:line id="Line 11908" o:spid="_x0000_s1357" style="position:absolute;flip:x y;visibility:visible" from="3984,3750" to="3988,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" strokeweight=".55pt"/>
                <v:shape id="Freeform 11909" o:spid="_x0000_s1358" style="position:absolute;left:3922;top:3639;width:127;height:126;visibility:visible;mso-wrap-style:square;v-text-anchor:top" coordsize="127,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" path="m127,118l58,,,126r127,-8xe" fillcolor="black" stroked="f">
                  <v:path arrowok="t" o:connecttype="custom" o:connectlocs="127,118;58,0;0,126;127,118" o:connectangles="0,0,0,0"/>
                </v:shape>
              </v:group>
              <v:group id="Group 11910" o:spid="_x0000_s1359" style="position:absolute;left:4028;top:6449;width:126;height:326" coordorigin="3934,6644" coordsize="126,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">
                <v:line id="Line 11911" o:spid="_x0000_s1360" style="position:absolute;visibility:visible" from="3988,6644" to="3995,6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" strokeweight=".55pt"/>
                <v:shape id="Freeform 11912" o:spid="_x0000_s1361" style="position:absolute;left:3934;top:6840;width:126;height:130;visibility:visible;mso-wrap-style:square;v-text-anchor:top" coordsize="12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" path="m,4l69,130,126,,,4xe" fillcolor="black" stroked="f">
                  <v:path arrowok="t" o:connecttype="custom" o:connectlocs="0,4;69,130;126,0;0,4" o:connectangles="0,0,0,0"/>
                </v:shape>
              </v:group>
              <v:line id="Line 11913" o:spid="_x0000_s1362" style="position:absolute;flip:x;visibility:visible" from="4304,2957" to="4545,3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" strokeweight=".55pt"/>
              <v:group id="Group 11914" o:spid="_x0000_s1363" style="position:absolute;left:4304;top:2984;width:153;height:115" coordorigin="4210,3179" coordsize="15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">
                <v:line id="Line 11915" o:spid="_x0000_s1364" style="position:absolute;flip:x;visibility:visible" from="4309,3206" to="4363,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" strokeweight=".55pt"/>
                <v:shape id="Freeform 11916" o:spid="_x0000_s1365" style="position:absolute;left:4210;top:3179;width:141;height:115;visibility:visible;mso-wrap-style:square;v-text-anchor:top" coordsize="14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" path="m80,l,115r141,-8l80,xe" fillcolor="black" stroked="f">
                  <v:path arrowok="t" o:connecttype="custom" o:connectlocs="80,0;0,115;141,107;80,0" o:connectangles="0,0,0,0"/>
                </v:shape>
              </v:group>
              <v:oval id="Oval 11917" o:spid="_x0000_s1366" style="position:absolute;left:5667;top:4045;width:96;height: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" strokeweight=".55pt"/>
              <v:shape id="Text Box 11918" o:spid="_x0000_s1367" type="#_x0000_t202" style="position:absolute;left:2772;top:3126;width:63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" stroked="f">
                <v:textbox style="layout-flow:vertical;mso-layout-flow-alt:bottom-to-top" inset="5.85pt,.7pt,5.85pt,.7pt">
                  <w:txbxContent>
                    <w:p w14:paraId="393A19CB" w14:textId="77777777" w:rsidR="003B0864" w:rsidRPr="00341973" w:rsidRDefault="003B0864" w:rsidP="00CD54F8">
                      <w:pPr>
                        <w:rPr>
                          <w:rFonts w:asciiTheme="majorHAnsi" w:eastAsia="ＭＳ ゴシック" w:hAnsiTheme="majorHAnsi" w:cstheme="majorHAnsi"/>
                          <w:sz w:val="20"/>
                        </w:rPr>
                      </w:pPr>
                      <w:r w:rsidRPr="00341973">
                        <w:rPr>
                          <w:rFonts w:asciiTheme="majorHAnsi" w:eastAsia="ＭＳ ゴシック" w:hAnsiTheme="majorHAnsi" w:cstheme="majorHAnsi"/>
                          <w:i/>
                          <w:sz w:val="20"/>
                        </w:rPr>
                        <w:t>S</w:t>
                      </w:r>
                      <w:r w:rsidRPr="00341973">
                        <w:rPr>
                          <w:rFonts w:asciiTheme="majorHAnsi" w:eastAsia="ＭＳ ゴシック" w:hAnsiTheme="majorHAnsi" w:cstheme="majorHAnsi"/>
                          <w:i/>
                          <w:sz w:val="20"/>
                          <w:vertAlign w:val="subscript"/>
                        </w:rPr>
                        <w:t>a</w:t>
                      </w:r>
                      <w:r w:rsidRPr="00341973">
                        <w:rPr>
                          <w:rFonts w:asciiTheme="majorHAnsi" w:eastAsia="ＭＳ ゴシック" w:hAnsi="ＭＳ ゴシック" w:cstheme="majorHAnsi"/>
                          <w:sz w:val="20"/>
                        </w:rPr>
                        <w:t>値</w:t>
                      </w:r>
                      <w:r w:rsidRPr="00341973">
                        <w:rPr>
                          <w:rFonts w:asciiTheme="majorHAnsi" w:eastAsia="ＭＳ ゴシック" w:hAnsiTheme="majorHAnsi" w:cstheme="majorHAnsi"/>
                          <w:sz w:val="20"/>
                        </w:rPr>
                        <w:t xml:space="preserve"> (MPa)</w:t>
                      </w:r>
                    </w:p>
                  </w:txbxContent>
                </v:textbox>
              </v:shape>
              <v:rect id="Rectangle 11919" o:spid="_x0000_s1368" style="position:absolute;left:3603;top:3356;width:534;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" filled="f" stroked="f">
                <v:textbox style="mso-fit-shape-to-text:t" inset="0,0,0,0">
                  <w:txbxContent>
                    <w:p w14:paraId="5D465F87" w14:textId="77777777" w:rsidR="003B0864" w:rsidRPr="00341973" w:rsidRDefault="003B0864" w:rsidP="00CD54F8">
                      <w:pPr>
                        <w:rPr>
                          <w:rFonts w:asciiTheme="majorHAnsi" w:hAnsiTheme="majorHAnsi" w:cstheme="majorHAnsi"/>
                          <w:i/>
                        </w:rPr>
                      </w:pPr>
                      <w:r>
                        <w:rPr>
                          <w:rFonts w:ascii="ＭＳ Ｐゴシック" w:eastAsia="ＭＳ Ｐゴシック" w:cs="ＭＳ Ｐゴシック"/>
                          <w:color w:val="000000"/>
                          <w:sz w:val="18"/>
                          <w:szCs w:val="18"/>
                        </w:rPr>
                        <w:t xml:space="preserve"> </w:t>
                      </w:r>
                      <w:r w:rsidRPr="00341973">
                        <w:rPr>
                          <w:rFonts w:asciiTheme="majorHAnsi" w:eastAsia="ＭＳ Ｐゴシック" w:hAnsiTheme="majorHAnsi" w:cstheme="majorHAnsi"/>
                          <w:i/>
                          <w:color w:val="000000"/>
                          <w:sz w:val="18"/>
                          <w:szCs w:val="18"/>
                        </w:rPr>
                        <w:t>S</w:t>
                      </w:r>
                      <w:r w:rsidRPr="00341973">
                        <w:rPr>
                          <w:rFonts w:asciiTheme="majorHAnsi" w:eastAsia="ＭＳ Ｐゴシック" w:hAnsiTheme="majorHAnsi" w:cstheme="majorHAnsi"/>
                          <w:i/>
                          <w:color w:val="000000"/>
                          <w:sz w:val="18"/>
                          <w:szCs w:val="18"/>
                          <w:vertAlign w:val="subscript"/>
                        </w:rPr>
                        <w:t>aC</w:t>
                      </w:r>
                    </w:p>
                  </w:txbxContent>
                </v:textbox>
              </v:rect>
              <v:rect id="Rectangle 11920" o:spid="_x0000_s1369" style="position:absolute;left:3603;top:3716;width:534;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" filled="f" stroked="f">
                <v:textbox style="mso-fit-shape-to-text:t" inset="0,0,0,0">
                  <w:txbxContent>
                    <w:p w14:paraId="74995C37" w14:textId="77777777" w:rsidR="003B0864" w:rsidRPr="00341973" w:rsidRDefault="003B0864" w:rsidP="00CD54F8">
                      <w:pPr>
                        <w:rPr>
                          <w:rFonts w:asciiTheme="majorHAnsi" w:hAnsiTheme="majorHAnsi" w:cstheme="majorHAnsi"/>
                          <w:i/>
                        </w:rPr>
                      </w:pPr>
                      <w:r>
                        <w:rPr>
                          <w:rFonts w:ascii="ＭＳ Ｐゴシック" w:eastAsia="ＭＳ Ｐゴシック" w:cs="ＭＳ Ｐゴシック"/>
                          <w:color w:val="000000"/>
                          <w:sz w:val="18"/>
                          <w:szCs w:val="18"/>
                        </w:rPr>
                        <w:t xml:space="preserve"> </w:t>
                      </w:r>
                      <w:r w:rsidRPr="00341973">
                        <w:rPr>
                          <w:rFonts w:asciiTheme="majorHAnsi" w:eastAsia="ＭＳ Ｐゴシック" w:hAnsiTheme="majorHAnsi" w:cstheme="majorHAnsi"/>
                          <w:i/>
                          <w:color w:val="000000"/>
                          <w:sz w:val="18"/>
                          <w:szCs w:val="18"/>
                        </w:rPr>
                        <w:t>S</w:t>
                      </w:r>
                      <w:r w:rsidRPr="00341973">
                        <w:rPr>
                          <w:rFonts w:asciiTheme="majorHAnsi" w:eastAsia="ＭＳ Ｐゴシック" w:hAnsiTheme="majorHAnsi" w:cstheme="majorHAnsi"/>
                          <w:i/>
                          <w:color w:val="000000"/>
                          <w:sz w:val="18"/>
                          <w:szCs w:val="18"/>
                          <w:vertAlign w:val="subscript"/>
                        </w:rPr>
                        <w:t>aD</w:t>
                      </w:r>
                    </w:p>
                  </w:txbxContent>
                </v:textbox>
              </v:rect>
              <v:rect id="Rectangle 11921" o:spid="_x0000_s1370" style="position:absolute;left:4587;top:5376;width:857;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" filled="f" stroked="f">
                <v:textbox style="mso-fit-shape-to-text:t" inset="0,0,0,0">
                  <w:txbxContent>
                    <w:p w14:paraId="7E6C4BD3" w14:textId="77777777" w:rsidR="003B0864" w:rsidRPr="00341973" w:rsidRDefault="003B0864" w:rsidP="00CD54F8">
                      <w:pPr>
                        <w:rPr>
                          <w:rFonts w:asciiTheme="majorHAnsi" w:hAnsiTheme="majorHAnsi" w:cstheme="majorHAnsi"/>
                          <w:i/>
                        </w:rPr>
                      </w:pPr>
                      <w:r w:rsidRPr="00341973">
                        <w:rPr>
                          <w:rFonts w:asciiTheme="majorHAnsi" w:eastAsia="ＭＳ Ｐゴシック" w:hAnsiTheme="majorHAnsi" w:cstheme="majorHAnsi"/>
                          <w:i/>
                          <w:color w:val="000000"/>
                          <w:sz w:val="18"/>
                          <w:szCs w:val="18"/>
                        </w:rPr>
                        <w:t>K</w:t>
                      </w:r>
                      <w:r>
                        <w:rPr>
                          <w:rFonts w:asciiTheme="majorHAnsi" w:eastAsia="ＭＳ Ｐゴシック" w:hAnsiTheme="majorHAnsi" w:cstheme="majorHAnsi" w:hint="eastAsia"/>
                          <w:i/>
                          <w:color w:val="000000"/>
                          <w:sz w:val="18"/>
                          <w:szCs w:val="18"/>
                          <w:vertAlign w:val="subscript"/>
                        </w:rPr>
                        <w:t>N</w:t>
                      </w:r>
                      <w:r w:rsidRPr="00341973">
                        <w:rPr>
                          <w:rFonts w:asciiTheme="majorHAnsi" w:eastAsia="ＭＳ Ｐゴシック" w:hAnsiTheme="majorHAnsi" w:cstheme="majorHAnsi"/>
                          <w:i/>
                          <w:color w:val="000000"/>
                          <w:sz w:val="18"/>
                          <w:szCs w:val="18"/>
                        </w:rPr>
                        <w:t>N</w:t>
                      </w:r>
                      <w:r w:rsidRPr="00341973">
                        <w:rPr>
                          <w:rFonts w:asciiTheme="majorHAnsi" w:eastAsia="ＭＳ Ｐゴシック" w:hAnsiTheme="majorHAnsi" w:cstheme="majorHAnsi"/>
                          <w:i/>
                          <w:color w:val="000000"/>
                          <w:sz w:val="18"/>
                          <w:szCs w:val="18"/>
                          <w:vertAlign w:val="subscript"/>
                        </w:rPr>
                        <w:t>D</w:t>
                      </w:r>
                    </w:p>
                  </w:txbxContent>
                </v:textbox>
              </v:rect>
              <v:rect id="Rectangle 11922" o:spid="_x0000_s1371" style="position:absolute;left:5882;top:6656;width:529;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" filled="f" stroked="f">
                <v:textbox style="mso-fit-shape-to-text:t" inset="0,0,0,0">
                  <w:txbxContent>
                    <w:p w14:paraId="42AAA9FF" w14:textId="77777777" w:rsidR="003B0864" w:rsidRPr="00E248ED" w:rsidRDefault="003B0864" w:rsidP="00CD54F8">
                      <w:pPr>
                        <w:rPr>
                          <w:rFonts w:asciiTheme="majorHAnsi" w:hAnsiTheme="majorHAnsi" w:cstheme="majorHAnsi"/>
                          <w:i/>
                        </w:rPr>
                      </w:pPr>
                      <w:r>
                        <w:rPr>
                          <w:rFonts w:ascii="ＭＳ Ｐゴシック" w:eastAsia="ＭＳ Ｐゴシック" w:cs="ＭＳ Ｐゴシック"/>
                          <w:color w:val="000000"/>
                          <w:sz w:val="18"/>
                          <w:szCs w:val="18"/>
                        </w:rPr>
                        <w:t xml:space="preserve">   </w:t>
                      </w:r>
                      <w:r w:rsidRPr="00E248ED">
                        <w:rPr>
                          <w:rFonts w:asciiTheme="majorHAnsi" w:eastAsia="ＭＳ Ｐゴシック" w:hAnsiTheme="majorHAnsi" w:cstheme="majorHAnsi"/>
                          <w:i/>
                          <w:color w:val="000000"/>
                          <w:sz w:val="18"/>
                          <w:szCs w:val="18"/>
                        </w:rPr>
                        <w:t>N</w:t>
                      </w:r>
                      <w:r w:rsidRPr="00E248ED">
                        <w:rPr>
                          <w:rFonts w:asciiTheme="majorHAnsi" w:eastAsia="ＭＳ Ｐゴシック" w:hAnsiTheme="majorHAnsi" w:cstheme="majorHAnsi"/>
                          <w:i/>
                          <w:color w:val="000000"/>
                          <w:sz w:val="18"/>
                          <w:szCs w:val="18"/>
                          <w:vertAlign w:val="subscript"/>
                        </w:rPr>
                        <w:t>C</w:t>
                      </w:r>
                    </w:p>
                  </w:txbxContent>
                </v:textbox>
              </v:rect>
              <v:rect id="Rectangle 11923" o:spid="_x0000_s1372" style="position:absolute;left:6452;top:6646;width:529;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" filled="f" stroked="f">
                <v:textbox style="mso-fit-shape-to-text:t" inset="0,0,0,0">
                  <w:txbxContent>
                    <w:p w14:paraId="7E87BE39" w14:textId="77777777" w:rsidR="003B0864" w:rsidRPr="00E248ED" w:rsidRDefault="003B0864" w:rsidP="00CD54F8">
                      <w:pPr>
                        <w:rPr>
                          <w:rFonts w:asciiTheme="majorHAnsi" w:hAnsiTheme="majorHAnsi" w:cstheme="majorHAnsi"/>
                          <w:i/>
                        </w:rPr>
                      </w:pPr>
                      <w:r>
                        <w:rPr>
                          <w:rFonts w:ascii="ＭＳ Ｐゴシック" w:eastAsia="ＭＳ Ｐゴシック" w:cs="ＭＳ Ｐゴシック"/>
                          <w:color w:val="000000"/>
                          <w:sz w:val="18"/>
                          <w:szCs w:val="18"/>
                        </w:rPr>
                        <w:t xml:space="preserve">   </w:t>
                      </w:r>
                      <w:r w:rsidRPr="00E248ED">
                        <w:rPr>
                          <w:rFonts w:asciiTheme="majorHAnsi" w:eastAsia="ＭＳ Ｐゴシック" w:hAnsiTheme="majorHAnsi" w:cstheme="majorHAnsi"/>
                          <w:i/>
                          <w:color w:val="000000"/>
                          <w:sz w:val="18"/>
                          <w:szCs w:val="18"/>
                        </w:rPr>
                        <w:t>N</w:t>
                      </w:r>
                      <w:r w:rsidRPr="00E248ED">
                        <w:rPr>
                          <w:rFonts w:asciiTheme="majorHAnsi" w:eastAsia="ＭＳ Ｐゴシック" w:hAnsiTheme="majorHAnsi" w:cstheme="majorHAnsi"/>
                          <w:i/>
                          <w:color w:val="000000"/>
                          <w:sz w:val="18"/>
                          <w:szCs w:val="18"/>
                          <w:vertAlign w:val="subscript"/>
                        </w:rPr>
                        <w:t>B</w:t>
                      </w:r>
                    </w:p>
                  </w:txbxContent>
                </v:textbox>
              </v:rect>
            </v:group>
            <v:rect id="Rectangle 11924" o:spid="_x0000_s1373" style="position:absolute;left:7959;top:4878;width:348;height:2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" stroked="f"/>
            <w10:anchorlock/>
          </v:group>
        </w:pict>
      </w:r>
    </w:p>
    <w:p w14:paraId="4AC6367C" w14:textId="77777777" w:rsidR="00CD54F8" w:rsidRPr="00BC31E0" w:rsidRDefault="00CD54F8" w:rsidP="00EC75AD">
      <w:pPr>
        <w:pStyle w:val="af4"/>
      </w:pPr>
      <w:r w:rsidRPr="00BC31E0">
        <w:rPr>
          <w:rFonts w:hint="eastAsia"/>
        </w:rPr>
        <w:t>図6.11.1　試験パラメータ線図の作成</w:t>
      </w:r>
    </w:p>
    <w:p w14:paraId="31252012" w14:textId="77777777" w:rsidR="00CD54F8" w:rsidRPr="00BC31E0" w:rsidRDefault="00CD54F8" w:rsidP="00EC75AD">
      <w:pPr>
        <w:jc w:val="left"/>
        <w:rPr>
          <w:rFonts w:ascii="ＭＳ ゴシック" w:eastAsia="ＭＳ ゴシック"/>
          <w:b/>
        </w:rPr>
      </w:pPr>
    </w:p>
    <w:p w14:paraId="784C1107" w14:textId="77777777" w:rsidR="00CD54F8" w:rsidRPr="00BC31E0" w:rsidRDefault="00A51873" w:rsidP="00090BA4">
      <w:pPr>
        <w:tabs>
          <w:tab w:val="left" w:pos="2100"/>
        </w:tabs>
        <w:autoSpaceDE w:val="0"/>
        <w:autoSpaceDN w:val="0"/>
        <w:jc w:val="center"/>
      </w:pPr>
      <w:r>
        <w:rPr>
          <w:noProof/>
        </w:rPr>
      </w:r>
      <w:r>
        <w:rPr>
          <w:noProof/>
        </w:rPr>
        <w:pict w14:anchorId="5BD0F043">
          <v:group id="Group 12110" o:spid="_x0000_s1374" style="width:326.15pt;height:300.9pt;mso-position-horizontal-relative:char;mso-position-vertical-relative:line" coordorigin="2672,8952" coordsize="6523,6018">
            <v:rect id="Rectangle 11996" o:spid="_x0000_s1375" style="position:absolute;left:8183;top:11669;width:275;height:3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" stroked="f"/>
            <v:group id="Group 12109" o:spid="_x0000_s1376" style="position:absolute;left:2672;top:8952;width:6523;height:6018" coordorigin="2672,8952" coordsize="6523,6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">
              <v:shape id="Text Box 4512" o:spid="_x0000_s1377" type="#_x0000_t202" style="position:absolute;left:6452;top:9952;width:1995;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" stroked="f">
                <v:textbox>
                  <w:txbxContent>
                    <w:p w14:paraId="747901E9" w14:textId="77777777" w:rsidR="003B0864" w:rsidRDefault="003B0864" w:rsidP="00CD54F8">
                      <w:pPr>
                        <w:rPr>
                          <w:rFonts w:ascii="ＭＳ ゴシック" w:eastAsia="ＭＳ ゴシック" w:hAnsi="ＭＳ ゴシック"/>
                          <w:sz w:val="18"/>
                        </w:rPr>
                      </w:pPr>
                      <w:r w:rsidRPr="00981F79">
                        <w:rPr>
                          <w:rFonts w:ascii="ＭＳ ゴシック" w:eastAsia="ＭＳ ゴシック" w:hAnsi="ＭＳ ゴシック" w:hint="eastAsia"/>
                          <w:sz w:val="18"/>
                        </w:rPr>
                        <w:t>設計疲労曲線</w:t>
                      </w:r>
                      <w:r>
                        <w:rPr>
                          <w:rFonts w:ascii="ＭＳ ゴシック" w:eastAsia="ＭＳ ゴシック" w:hAnsi="ＭＳ ゴシック" w:hint="eastAsia"/>
                          <w:sz w:val="18"/>
                        </w:rPr>
                        <w:t>x</w:t>
                      </w:r>
                      <w:r w:rsidRPr="00981F79">
                        <w:rPr>
                          <w:rFonts w:ascii="ＭＳ ゴシック" w:eastAsia="ＭＳ ゴシック" w:hAnsi="ＭＳ ゴシック" w:hint="eastAsia"/>
                          <w:i/>
                          <w:sz w:val="18"/>
                        </w:rPr>
                        <w:t>KS</w:t>
                      </w:r>
                    </w:p>
                  </w:txbxContent>
                </v:textbox>
              </v:shape>
              <v:group id="Group 4513" o:spid="_x0000_s1378" style="position:absolute;left:2672;top:8952;width:5766;height:6018" coordorigin="2783,8597" coordsize="5766,6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">
                <v:shape id="Text Box 4514" o:spid="_x0000_s1379" type="#_x0000_t202" style="position:absolute;left:7088;top:8967;width:1365;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" filled="f" stroked="f">
                  <v:textbox inset="5.85pt,.7pt,5.85pt,.7pt">
                    <w:txbxContent>
                      <w:p w14:paraId="1FA5C671" w14:textId="77777777" w:rsidR="003B0864" w:rsidRPr="00E248ED" w:rsidRDefault="003B0864" w:rsidP="00CD54F8">
                        <w:pPr>
                          <w:snapToGrid w:val="0"/>
                          <w:spacing w:line="240" w:lineRule="atLeast"/>
                          <w:rPr>
                            <w:rFonts w:asciiTheme="majorHAnsi" w:eastAsia="ＭＳ Ｐゴシック" w:hAnsiTheme="majorHAnsi" w:cstheme="majorHAnsi"/>
                            <w:i/>
                            <w:color w:val="000000"/>
                            <w:sz w:val="18"/>
                            <w:szCs w:val="18"/>
                          </w:rPr>
                        </w:pPr>
                        <w:r w:rsidRPr="00E248ED">
                          <w:rPr>
                            <w:rFonts w:asciiTheme="majorHAnsi" w:eastAsia="ＭＳ Ｐゴシック" w:hAnsiTheme="majorHAnsi" w:cstheme="majorHAnsi"/>
                            <w:i/>
                            <w:color w:val="000000"/>
                            <w:sz w:val="18"/>
                            <w:szCs w:val="18"/>
                          </w:rPr>
                          <w:t>K</w:t>
                        </w:r>
                        <w:r w:rsidRPr="00E248ED">
                          <w:rPr>
                            <w:rFonts w:asciiTheme="majorHAnsi" w:eastAsia="ＭＳ Ｐゴシック" w:hAnsiTheme="majorHAnsi" w:cstheme="majorHAnsi"/>
                            <w:i/>
                            <w:color w:val="000000"/>
                            <w:sz w:val="18"/>
                            <w:szCs w:val="18"/>
                            <w:vertAlign w:val="subscript"/>
                          </w:rPr>
                          <w:t>TS</w:t>
                        </w:r>
                        <w:r w:rsidRPr="00E248ED">
                          <w:rPr>
                            <w:rFonts w:asciiTheme="majorHAnsi" w:eastAsia="ＭＳ Ｐゴシック" w:hAnsiTheme="majorHAnsi" w:cstheme="majorHAnsi"/>
                            <w:i/>
                            <w:color w:val="000000"/>
                            <w:sz w:val="18"/>
                            <w:szCs w:val="18"/>
                          </w:rPr>
                          <w:t>= S</w:t>
                        </w:r>
                        <w:r w:rsidRPr="00E248ED">
                          <w:rPr>
                            <w:rFonts w:asciiTheme="majorHAnsi" w:eastAsia="ＭＳ Ｐゴシック" w:hAnsiTheme="majorHAnsi" w:cstheme="majorHAnsi"/>
                            <w:i/>
                            <w:color w:val="000000"/>
                            <w:sz w:val="18"/>
                            <w:szCs w:val="18"/>
                            <w:vertAlign w:val="subscript"/>
                          </w:rPr>
                          <w:t>aC</w:t>
                        </w:r>
                        <w:r w:rsidRPr="00341973">
                          <w:rPr>
                            <w:rFonts w:asciiTheme="majorHAnsi" w:eastAsia="ＭＳ Ｐゴシック" w:hAnsiTheme="majorHAnsi" w:cstheme="majorHAnsi"/>
                            <w:color w:val="000000"/>
                            <w:sz w:val="18"/>
                            <w:szCs w:val="18"/>
                          </w:rPr>
                          <w:t>/</w:t>
                        </w:r>
                        <w:r w:rsidRPr="00E248ED">
                          <w:rPr>
                            <w:rFonts w:asciiTheme="majorHAnsi" w:eastAsia="ＭＳ Ｐゴシック" w:hAnsiTheme="majorHAnsi" w:cstheme="majorHAnsi"/>
                            <w:i/>
                            <w:color w:val="000000"/>
                            <w:sz w:val="18"/>
                            <w:szCs w:val="18"/>
                          </w:rPr>
                          <w:t>S</w:t>
                        </w:r>
                        <w:r w:rsidRPr="00E248ED">
                          <w:rPr>
                            <w:rFonts w:asciiTheme="majorHAnsi" w:eastAsia="ＭＳ Ｐゴシック" w:hAnsiTheme="majorHAnsi" w:cstheme="majorHAnsi"/>
                            <w:i/>
                            <w:color w:val="000000"/>
                            <w:sz w:val="18"/>
                            <w:szCs w:val="18"/>
                            <w:vertAlign w:val="subscript"/>
                          </w:rPr>
                          <w:t>aD</w:t>
                        </w:r>
                      </w:p>
                      <w:p w14:paraId="35BA9D0A" w14:textId="77777777" w:rsidR="003B0864" w:rsidRPr="00E248ED" w:rsidRDefault="003B0864" w:rsidP="00CD54F8">
                        <w:pPr>
                          <w:snapToGrid w:val="0"/>
                          <w:spacing w:line="240" w:lineRule="atLeast"/>
                          <w:rPr>
                            <w:rFonts w:asciiTheme="majorHAnsi" w:hAnsiTheme="majorHAnsi" w:cstheme="majorHAnsi"/>
                            <w:i/>
                          </w:rPr>
                        </w:pPr>
                        <w:r w:rsidRPr="00E248ED">
                          <w:rPr>
                            <w:rFonts w:asciiTheme="majorHAnsi" w:eastAsia="ＭＳ Ｐゴシック" w:hAnsiTheme="majorHAnsi" w:cstheme="majorHAnsi"/>
                            <w:i/>
                            <w:color w:val="000000"/>
                            <w:sz w:val="18"/>
                            <w:szCs w:val="18"/>
                          </w:rPr>
                          <w:t>K</w:t>
                        </w:r>
                        <w:r w:rsidRPr="00E248ED">
                          <w:rPr>
                            <w:rFonts w:asciiTheme="majorHAnsi" w:eastAsia="ＭＳ Ｐゴシック" w:hAnsiTheme="majorHAnsi" w:cstheme="majorHAnsi"/>
                            <w:i/>
                            <w:color w:val="000000"/>
                            <w:sz w:val="18"/>
                            <w:szCs w:val="18"/>
                            <w:vertAlign w:val="subscript"/>
                          </w:rPr>
                          <w:t>TN</w:t>
                        </w:r>
                        <w:r w:rsidRPr="00E248ED">
                          <w:rPr>
                            <w:rFonts w:asciiTheme="majorHAnsi" w:eastAsia="ＭＳ Ｐゴシック" w:hAnsiTheme="majorHAnsi" w:cstheme="majorHAnsi"/>
                            <w:i/>
                            <w:color w:val="000000"/>
                            <w:sz w:val="18"/>
                            <w:szCs w:val="18"/>
                          </w:rPr>
                          <w:t>= N</w:t>
                        </w:r>
                        <w:r w:rsidRPr="00E248ED">
                          <w:rPr>
                            <w:rFonts w:asciiTheme="majorHAnsi" w:eastAsia="ＭＳ Ｐゴシック" w:hAnsiTheme="majorHAnsi" w:cstheme="majorHAnsi"/>
                            <w:i/>
                            <w:color w:val="000000"/>
                            <w:sz w:val="18"/>
                            <w:szCs w:val="18"/>
                            <w:vertAlign w:val="subscript"/>
                          </w:rPr>
                          <w:t>C</w:t>
                        </w:r>
                        <w:r w:rsidRPr="00341973">
                          <w:rPr>
                            <w:rFonts w:asciiTheme="majorHAnsi" w:eastAsia="ＭＳ Ｐゴシック" w:hAnsiTheme="majorHAnsi" w:cstheme="majorHAnsi"/>
                            <w:color w:val="000000"/>
                            <w:sz w:val="18"/>
                            <w:szCs w:val="18"/>
                          </w:rPr>
                          <w:t>/</w:t>
                        </w:r>
                        <w:r w:rsidRPr="00E248ED">
                          <w:rPr>
                            <w:rFonts w:asciiTheme="majorHAnsi" w:eastAsia="ＭＳ Ｐゴシック" w:hAnsiTheme="majorHAnsi" w:cstheme="majorHAnsi"/>
                            <w:i/>
                            <w:color w:val="000000"/>
                            <w:sz w:val="18"/>
                            <w:szCs w:val="18"/>
                          </w:rPr>
                          <w:t>N</w:t>
                        </w:r>
                        <w:r w:rsidRPr="00E248ED">
                          <w:rPr>
                            <w:rFonts w:asciiTheme="majorHAnsi" w:eastAsia="ＭＳ Ｐゴシック" w:hAnsiTheme="majorHAnsi" w:cstheme="majorHAnsi"/>
                            <w:i/>
                            <w:color w:val="000000"/>
                            <w:sz w:val="18"/>
                            <w:szCs w:val="18"/>
                            <w:vertAlign w:val="subscript"/>
                          </w:rPr>
                          <w:t>D</w:t>
                        </w:r>
                      </w:p>
                      <w:p w14:paraId="5327671E" w14:textId="77777777" w:rsidR="003B0864" w:rsidRDefault="003B0864" w:rsidP="00CD54F8"/>
                    </w:txbxContent>
                  </v:textbox>
                </v:shape>
                <v:rect id="Rectangle 4515" o:spid="_x0000_s1380" style="position:absolute;left:2783;top:14255;width:111;height:36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" filled="f" stroked="f">
                  <v:textbox style="mso-fit-shape-to-text:t" inset="0,0,0,0">
                    <w:txbxContent>
                      <w:p w14:paraId="3DC8D819" w14:textId="77777777" w:rsidR="003B0864" w:rsidRDefault="003B0864" w:rsidP="00CD54F8">
                        <w:r>
                          <w:rPr>
                            <w:rFonts w:cs="Century"/>
                            <w:color w:val="000000"/>
                            <w:sz w:val="22"/>
                            <w:szCs w:val="22"/>
                          </w:rPr>
                          <w:t xml:space="preserve"> </w:t>
                        </w:r>
                      </w:p>
                    </w:txbxContent>
                  </v:textbox>
                </v:rect>
                <v:rect id="Rectangle 4516" o:spid="_x0000_s1381" style="position:absolute;left:6983;top:8597;width:1111;height:36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" filled="f" stroked="f">
                  <v:textbox style="mso-fit-shape-to-text:t" inset="0,0,0,0">
                    <w:txbxContent>
                      <w:p w14:paraId="5AAE8B5C" w14:textId="77777777" w:rsidR="003B0864" w:rsidRDefault="003B0864" w:rsidP="00CD54F8">
                        <w:r w:rsidRPr="00341973">
                          <w:rPr>
                            <w:rFonts w:asciiTheme="majorEastAsia" w:eastAsiaTheme="majorEastAsia" w:hAnsiTheme="majorEastAsia" w:cs="ＭＳ Ｐゴシック" w:hint="eastAsia"/>
                            <w:color w:val="000000"/>
                            <w:sz w:val="18"/>
                            <w:szCs w:val="18"/>
                          </w:rPr>
                          <w:t>点</w:t>
                        </w:r>
                        <w:r w:rsidRPr="00341973">
                          <w:rPr>
                            <w:rFonts w:ascii="ＭＳ Ｐゴシック" w:eastAsia="ＭＳ Ｐゴシック" w:cs="ＭＳ Ｐゴシック" w:hint="eastAsia"/>
                            <w:b/>
                            <w:color w:val="000000"/>
                            <w:sz w:val="18"/>
                            <w:szCs w:val="18"/>
                          </w:rPr>
                          <w:t>C</w:t>
                        </w:r>
                        <w:r w:rsidRPr="00341973">
                          <w:rPr>
                            <w:rFonts w:asciiTheme="majorEastAsia" w:eastAsiaTheme="majorEastAsia" w:hAnsiTheme="majorEastAsia" w:cs="ＭＳ Ｐゴシック" w:hint="eastAsia"/>
                            <w:color w:val="000000"/>
                            <w:sz w:val="18"/>
                            <w:szCs w:val="18"/>
                          </w:rPr>
                          <w:t>に対して</w:t>
                        </w:r>
                      </w:p>
                    </w:txbxContent>
                  </v:textbox>
                </v:rect>
                <v:rect id="Rectangle 4517" o:spid="_x0000_s1382" style="position:absolute;left:7044;top:9102;width:91;height:36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" filled="f" stroked="f">
                  <v:textbox style="mso-fit-shape-to-text:t" inset="0,0,0,0">
                    <w:txbxContent>
                      <w:p w14:paraId="2E917FA4" w14:textId="77777777" w:rsidR="003B0864" w:rsidRDefault="003B0864" w:rsidP="00CD54F8">
                        <w:r>
                          <w:rPr>
                            <w:rFonts w:ascii="ＭＳ Ｐゴシック" w:eastAsia="ＭＳ Ｐゴシック" w:cs="ＭＳ Ｐゴシック"/>
                            <w:color w:val="000000"/>
                            <w:sz w:val="18"/>
                            <w:szCs w:val="18"/>
                          </w:rPr>
                          <w:t xml:space="preserve">   </w:t>
                        </w:r>
                      </w:p>
                    </w:txbxContent>
                  </v:textbox>
                </v:rect>
                <v:rect id="Rectangle 4518" o:spid="_x0000_s1383" style="position:absolute;left:3275;top:9892;width:181;height:36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" filled="f" stroked="f">
                  <v:textbox style="mso-fit-shape-to-text:t" inset="0,0,0,0">
                    <w:txbxContent>
                      <w:p w14:paraId="3E7951DC" w14:textId="77777777" w:rsidR="003B0864" w:rsidRPr="00E26574" w:rsidRDefault="003B0864" w:rsidP="00CD54F8"/>
                    </w:txbxContent>
                  </v:textbox>
                </v:rect>
                <v:rect id="Rectangle 4519" o:spid="_x0000_s1384" style="position:absolute;left:2888;top:10034;width:120;height:36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" filled="f" stroked="f">
                  <v:textbox style="mso-fit-shape-to-text:t" inset="0,0,0,0">
                    <w:txbxContent>
                      <w:p w14:paraId="52D7680C" w14:textId="77777777" w:rsidR="003B0864" w:rsidRDefault="003B0864" w:rsidP="00CD54F8">
                        <w:r>
                          <w:rPr>
                            <w:rFonts w:ascii="ＭＳ Ｐゴシック" w:eastAsia="ＭＳ Ｐゴシック" w:cs="ＭＳ Ｐゴシック" w:hint="eastAsia"/>
                            <w:color w:val="000000"/>
                            <w:sz w:val="18"/>
                            <w:szCs w:val="18"/>
                          </w:rPr>
                          <w:t xml:space="preserve">　　</w:t>
                        </w:r>
                      </w:p>
                    </w:txbxContent>
                  </v:textbox>
                </v:rect>
                <v:rect id="Rectangle 4520" o:spid="_x0000_s1385" style="position:absolute;left:5933;top:9887;width:151;height:36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" filled="f" stroked="f">
                  <v:textbox style="mso-fit-shape-to-text:t" inset="0,0,0,0">
                    <w:txbxContent>
                      <w:p w14:paraId="4A0CC881" w14:textId="77777777" w:rsidR="003B0864" w:rsidRDefault="003B0864" w:rsidP="00CD54F8">
                        <w:r>
                          <w:rPr>
                            <w:rFonts w:ascii="ＭＳ Ｐゴシック" w:eastAsia="ＭＳ Ｐゴシック" w:cs="ＭＳ Ｐゴシック"/>
                            <w:color w:val="000000"/>
                            <w:sz w:val="18"/>
                            <w:szCs w:val="18"/>
                          </w:rPr>
                          <w:t>A'</w:t>
                        </w:r>
                      </w:p>
                    </w:txbxContent>
                  </v:textbox>
                </v:rect>
                <v:rect id="Rectangle 4521" o:spid="_x0000_s1386" style="position:absolute;left:3728;top:10117;width:454;height:36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" filled="f" stroked="f">
                  <v:textbox inset="0,0,0,0">
                    <w:txbxContent>
                      <w:p w14:paraId="0A51B290" w14:textId="77777777" w:rsidR="003B0864" w:rsidRPr="00E248ED" w:rsidRDefault="003B0864" w:rsidP="00CD54F8">
                        <w:pPr>
                          <w:rPr>
                            <w:rFonts w:asciiTheme="majorHAnsi" w:hAnsiTheme="majorHAnsi" w:cstheme="majorHAnsi"/>
                          </w:rPr>
                        </w:pPr>
                        <w:r>
                          <w:rPr>
                            <w:rFonts w:ascii="ＭＳ Ｐゴシック" w:eastAsia="ＭＳ Ｐゴシック" w:cs="ＭＳ Ｐゴシック"/>
                            <w:color w:val="000000"/>
                            <w:sz w:val="18"/>
                            <w:szCs w:val="18"/>
                          </w:rPr>
                          <w:t xml:space="preserve">  </w:t>
                        </w:r>
                        <w:r w:rsidRPr="00E248ED">
                          <w:rPr>
                            <w:rFonts w:asciiTheme="majorHAnsi" w:eastAsia="ＭＳ Ｐゴシック" w:hAnsiTheme="majorHAnsi" w:cstheme="majorHAnsi"/>
                            <w:i/>
                            <w:color w:val="000000"/>
                            <w:sz w:val="18"/>
                            <w:szCs w:val="18"/>
                          </w:rPr>
                          <w:t>S</w:t>
                        </w:r>
                        <w:r w:rsidRPr="00E248ED">
                          <w:rPr>
                            <w:rFonts w:asciiTheme="majorHAnsi" w:eastAsia="ＭＳ Ｐゴシック" w:hAnsiTheme="majorHAnsi" w:cstheme="majorHAnsi"/>
                            <w:i/>
                            <w:color w:val="000000"/>
                            <w:sz w:val="18"/>
                            <w:szCs w:val="18"/>
                            <w:vertAlign w:val="subscript"/>
                          </w:rPr>
                          <w:t>aC</w:t>
                        </w:r>
                      </w:p>
                    </w:txbxContent>
                  </v:textbox>
                </v:rect>
                <v:rect id="Rectangle 4522" o:spid="_x0000_s1387" style="position:absolute;left:6385;top:10195;width:210;height:36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" filled="f" stroked="f">
                  <v:textbox style="mso-fit-shape-to-text:t" inset="0,0,0,0">
                    <w:txbxContent>
                      <w:p w14:paraId="476C9066" w14:textId="77777777" w:rsidR="003B0864" w:rsidRDefault="003B0864" w:rsidP="00CD54F8">
                        <w:r>
                          <w:rPr>
                            <w:rFonts w:ascii="ＭＳ Ｐゴシック" w:eastAsia="ＭＳ Ｐゴシック" w:cs="ＭＳ Ｐゴシック"/>
                            <w:color w:val="000000"/>
                            <w:sz w:val="18"/>
                            <w:szCs w:val="18"/>
                          </w:rPr>
                          <w:t xml:space="preserve"> C</w:t>
                        </w:r>
                      </w:p>
                    </w:txbxContent>
                  </v:textbox>
                </v:rect>
                <v:rect id="Rectangle 4523" o:spid="_x0000_s1388" style="position:absolute;left:2888;top:10500;width:181;height:36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" filled="f" stroked="f">
                  <v:textbox style="mso-fit-shape-to-text:t" inset="0,0,0,0">
                    <w:txbxContent>
                      <w:p w14:paraId="4A12231B" w14:textId="77777777" w:rsidR="003B0864" w:rsidRPr="00E26574" w:rsidRDefault="003B0864" w:rsidP="00CD54F8"/>
                    </w:txbxContent>
                  </v:textbox>
                </v:rect>
                <v:rect id="Rectangle 4524" o:spid="_x0000_s1389" style="position:absolute;left:6974;top:10390;width:204;height:36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" filled="f" stroked="f">
                  <v:textbox style="mso-fit-shape-to-text:t" inset="0,0,0,0">
                    <w:txbxContent>
                      <w:p w14:paraId="1E077F33" w14:textId="77777777" w:rsidR="003B0864" w:rsidRDefault="003B0864" w:rsidP="00CD54F8">
                        <w:r>
                          <w:rPr>
                            <w:rFonts w:ascii="ＭＳ Ｐゴシック" w:eastAsia="ＭＳ Ｐゴシック" w:cs="ＭＳ Ｐゴシック"/>
                            <w:color w:val="000000"/>
                            <w:sz w:val="18"/>
                            <w:szCs w:val="18"/>
                          </w:rPr>
                          <w:t xml:space="preserve"> A</w:t>
                        </w:r>
                      </w:p>
                    </w:txbxContent>
                  </v:textbox>
                </v:rect>
                <v:rect id="Rectangle 4525" o:spid="_x0000_s1390" style="position:absolute;left:3938;top:10837;width:308;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" filled="f" stroked="f">
                  <v:textbox inset="0,0,0,0">
                    <w:txbxContent>
                      <w:p w14:paraId="56938B1A" w14:textId="77777777" w:rsidR="003B0864" w:rsidRPr="00E248ED" w:rsidRDefault="003B0864" w:rsidP="00CD54F8">
                        <w:pPr>
                          <w:spacing w:line="240" w:lineRule="atLeast"/>
                          <w:rPr>
                            <w:rFonts w:asciiTheme="majorHAnsi" w:hAnsiTheme="majorHAnsi" w:cstheme="majorHAnsi"/>
                          </w:rPr>
                        </w:pPr>
                        <w:r w:rsidRPr="00E248ED">
                          <w:rPr>
                            <w:rFonts w:asciiTheme="majorHAnsi" w:eastAsia="ＭＳ Ｐゴシック" w:hAnsiTheme="majorHAnsi" w:cstheme="majorHAnsi"/>
                            <w:i/>
                            <w:color w:val="000000"/>
                            <w:sz w:val="18"/>
                            <w:szCs w:val="18"/>
                          </w:rPr>
                          <w:t>S</w:t>
                        </w:r>
                        <w:r w:rsidRPr="00E248ED">
                          <w:rPr>
                            <w:rFonts w:asciiTheme="majorHAnsi" w:eastAsia="ＭＳ Ｐゴシック" w:hAnsiTheme="majorHAnsi" w:cstheme="majorHAnsi"/>
                            <w:i/>
                            <w:color w:val="000000"/>
                            <w:sz w:val="18"/>
                            <w:szCs w:val="18"/>
                            <w:vertAlign w:val="subscript"/>
                          </w:rPr>
                          <w:t>aD</w:t>
                        </w:r>
                      </w:p>
                    </w:txbxContent>
                  </v:textbox>
                </v:rect>
                <v:rect id="Rectangle 4526" o:spid="_x0000_s1391" style="position:absolute;left:6974;top:10816;width:207;height:36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" filled="f" stroked="f">
                  <v:textbox style="mso-fit-shape-to-text:t" inset="0,0,0,0">
                    <w:txbxContent>
                      <w:p w14:paraId="07C2166C" w14:textId="77777777" w:rsidR="003B0864" w:rsidRDefault="003B0864" w:rsidP="00CD54F8">
                        <w:r>
                          <w:rPr>
                            <w:rFonts w:ascii="ＭＳ Ｐゴシック" w:eastAsia="ＭＳ Ｐゴシック" w:cs="ＭＳ Ｐゴシック"/>
                            <w:color w:val="000000"/>
                            <w:sz w:val="18"/>
                            <w:szCs w:val="18"/>
                          </w:rPr>
                          <w:t xml:space="preserve"> D</w:t>
                        </w:r>
                      </w:p>
                    </w:txbxContent>
                  </v:textbox>
                </v:rect>
                <v:rect id="Rectangle 4527" o:spid="_x0000_s1392" style="position:absolute;left:7679;top:10796;width:295;height:36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" filled="f" stroked="f">
                  <v:textbox style="mso-fit-shape-to-text:t" inset="0,0,0,0">
                    <w:txbxContent>
                      <w:p w14:paraId="08B404BA" w14:textId="77777777" w:rsidR="003B0864" w:rsidRDefault="003B0864" w:rsidP="00CD54F8">
                        <w:r>
                          <w:rPr>
                            <w:rFonts w:ascii="ＭＳ Ｐゴシック" w:eastAsia="ＭＳ Ｐゴシック" w:cs="ＭＳ Ｐゴシック"/>
                            <w:color w:val="000000"/>
                            <w:sz w:val="18"/>
                            <w:szCs w:val="18"/>
                          </w:rPr>
                          <w:t xml:space="preserve">  B</w:t>
                        </w:r>
                      </w:p>
                    </w:txbxContent>
                  </v:textbox>
                </v:rect>
                <v:rect id="Rectangle 4528" o:spid="_x0000_s1393" style="position:absolute;left:4043;top:12117;width:1484;height:4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" filled="f" stroked="f">
                  <v:textbox inset="0,0,0,0">
                    <w:txbxContent>
                      <w:p w14:paraId="355C7AE1" w14:textId="77777777" w:rsidR="003B0864" w:rsidRPr="00E248ED" w:rsidRDefault="003B0864" w:rsidP="00CD54F8">
                        <w:pPr>
                          <w:rPr>
                            <w:rFonts w:asciiTheme="majorHAnsi" w:hAnsiTheme="majorHAnsi" w:cstheme="majorHAnsi"/>
                          </w:rPr>
                        </w:pPr>
                        <w:r>
                          <w:rPr>
                            <w:rFonts w:ascii="ＭＳ Ｐゴシック" w:eastAsia="ＭＳ Ｐゴシック" w:cs="ＭＳ Ｐゴシック"/>
                            <w:color w:val="000000"/>
                            <w:sz w:val="18"/>
                            <w:szCs w:val="18"/>
                          </w:rPr>
                          <w:t xml:space="preserve">  </w:t>
                        </w:r>
                        <w:r w:rsidRPr="00E248ED">
                          <w:rPr>
                            <w:rFonts w:asciiTheme="majorHAnsi" w:eastAsia="ＭＳ Ｐゴシック" w:hAnsiTheme="majorHAnsi" w:cstheme="majorHAnsi"/>
                            <w:i/>
                            <w:color w:val="000000"/>
                            <w:sz w:val="18"/>
                            <w:szCs w:val="18"/>
                          </w:rPr>
                          <w:t>N</w:t>
                        </w:r>
                        <w:r w:rsidRPr="00E248ED">
                          <w:rPr>
                            <w:rFonts w:asciiTheme="majorHAnsi" w:eastAsia="ＭＳ Ｐゴシック" w:hAnsiTheme="majorHAnsi" w:cstheme="majorHAnsi"/>
                            <w:i/>
                            <w:color w:val="000000"/>
                            <w:sz w:val="18"/>
                            <w:szCs w:val="18"/>
                            <w:vertAlign w:val="subscript"/>
                          </w:rPr>
                          <w:t>T</w:t>
                        </w:r>
                        <w:r w:rsidRPr="00E248ED">
                          <w:rPr>
                            <w:rFonts w:asciiTheme="majorHAnsi" w:eastAsia="ＭＳ Ｐゴシック" w:hAnsiTheme="majorHAnsi" w:cstheme="majorHAnsi"/>
                            <w:color w:val="000000"/>
                            <w:sz w:val="18"/>
                            <w:szCs w:val="18"/>
                            <w:vertAlign w:val="subscript"/>
                          </w:rPr>
                          <w:t>min</w:t>
                        </w:r>
                        <w:r w:rsidRPr="00E248ED">
                          <w:rPr>
                            <w:rFonts w:asciiTheme="majorHAnsi" w:eastAsia="ＭＳ Ｐゴシック" w:hAnsiTheme="majorHAnsi" w:cstheme="majorHAnsi"/>
                            <w:color w:val="000000"/>
                            <w:sz w:val="18"/>
                            <w:szCs w:val="18"/>
                          </w:rPr>
                          <w:t>= 10</w:t>
                        </w:r>
                        <w:r w:rsidRPr="00E248ED">
                          <w:rPr>
                            <w:rFonts w:asciiTheme="majorHAnsi" w:eastAsia="ＭＳ Ｐゴシック" w:hAnsiTheme="majorHAnsi" w:cstheme="majorHAnsi"/>
                            <w:color w:val="000000"/>
                            <w:sz w:val="18"/>
                            <w:szCs w:val="18"/>
                            <w:vertAlign w:val="superscript"/>
                          </w:rPr>
                          <w:t>2</w:t>
                        </w:r>
                        <w:r w:rsidRPr="00E248ED">
                          <w:rPr>
                            <w:rFonts w:asciiTheme="majorHAnsi" w:eastAsia="ＭＳ Ｐゴシック" w:hAnsiTheme="majorHAnsi" w:cstheme="majorHAnsi"/>
                            <w:color w:val="000000"/>
                            <w:sz w:val="18"/>
                            <w:szCs w:val="18"/>
                          </w:rPr>
                          <w:t>√</w:t>
                        </w:r>
                        <w:r w:rsidRPr="00E248ED">
                          <w:rPr>
                            <w:rFonts w:asciiTheme="majorHAnsi" w:eastAsia="ＭＳ Ｐゴシック" w:hAnsiTheme="majorHAnsi" w:cstheme="majorHAnsi"/>
                            <w:i/>
                            <w:color w:val="000000"/>
                            <w:sz w:val="18"/>
                            <w:szCs w:val="18"/>
                          </w:rPr>
                          <w:t>N</w:t>
                        </w:r>
                        <w:r w:rsidRPr="00E248ED">
                          <w:rPr>
                            <w:rFonts w:asciiTheme="majorHAnsi" w:eastAsia="ＭＳ Ｐゴシック" w:hAnsiTheme="majorHAnsi" w:cstheme="majorHAnsi"/>
                            <w:i/>
                            <w:color w:val="000000"/>
                            <w:sz w:val="18"/>
                            <w:szCs w:val="18"/>
                            <w:vertAlign w:val="subscript"/>
                          </w:rPr>
                          <w:t>D</w:t>
                        </w:r>
                      </w:p>
                    </w:txbxContent>
                  </v:textbox>
                </v:rect>
                <v:rect id="Rectangle 4529" o:spid="_x0000_s1394" style="position:absolute;left:5444;top:13625;width:1014;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" filled="f" stroked="f">
                  <v:textbox style="mso-fit-shape-to-text:t" inset="0,0,0,0">
                    <w:txbxContent>
                      <w:p w14:paraId="152D82DB" w14:textId="77777777" w:rsidR="003B0864" w:rsidRPr="00341973" w:rsidRDefault="003B0864" w:rsidP="00CD54F8">
                        <w:pPr>
                          <w:rPr>
                            <w:rFonts w:asciiTheme="majorEastAsia" w:eastAsiaTheme="majorEastAsia" w:hAnsiTheme="majorEastAsia"/>
                          </w:rPr>
                        </w:pPr>
                        <w:r w:rsidRPr="00341973">
                          <w:rPr>
                            <w:rFonts w:asciiTheme="majorEastAsia" w:eastAsiaTheme="majorEastAsia" w:hAnsiTheme="majorEastAsia" w:cs="ＭＳ Ｐゴシック" w:hint="eastAsia"/>
                            <w:color w:val="000000"/>
                            <w:sz w:val="18"/>
                            <w:szCs w:val="18"/>
                          </w:rPr>
                          <w:t>繰返し回数</w:t>
                        </w:r>
                      </w:p>
                    </w:txbxContent>
                  </v:textbox>
                </v:rect>
                <v:line id="Line 4530" o:spid="_x0000_s1395" style="position:absolute;visibility:visible" from="5882,10022" to="5882,10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" strokeweight="0"/>
                <v:rect id="Rectangle 4531" o:spid="_x0000_s1396" style="position:absolute;left:5882;top:10022;width:16;height:4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" fillcolor="black" stroked="f"/>
                <v:line id="Line 4532" o:spid="_x0000_s1397" style="position:absolute;visibility:visible" from="5882,10504" to="5882,1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" strokeweight="0"/>
                <v:rect id="Rectangle 4533" o:spid="_x0000_s1398" style="position:absolute;left:5882;top:10504;width:16;height:6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" fillcolor="black" stroked="f"/>
                <v:rect id="Rectangle 4534" o:spid="_x0000_s1399" style="position:absolute;left:3658;top:9319;width:32;height:39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" fillcolor="black" stroked="f"/>
                <v:line id="Line 4535" o:spid="_x0000_s1400" style="position:absolute;visibility:visible" from="5882,11175" to="5882,13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" strokeweight="0"/>
                <v:rect id="Rectangle 4536" o:spid="_x0000_s1401" style="position:absolute;left:5882;top:11175;width:16;height:20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" fillcolor="black" stroked="f"/>
                <v:rect id="Rectangle 4537" o:spid="_x0000_s1402" style="position:absolute;left:6408;top:10547;width:31;height:1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" fillcolor="black" stroked="f"/>
                <v:rect id="Rectangle 4538" o:spid="_x0000_s1403" style="position:absolute;left:6408;top:10737;width:31;height:1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" fillcolor="black" stroked="f"/>
                <v:rect id="Rectangle 4539" o:spid="_x0000_s1404" style="position:absolute;left:6408;top:10926;width:31;height:1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" fillcolor="black" stroked="f"/>
                <v:rect id="Rectangle 4540" o:spid="_x0000_s1405" style="position:absolute;left:6408;top:11116;width:31;height:1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" fillcolor="black" stroked="f"/>
                <v:rect id="Rectangle 4541" o:spid="_x0000_s1406" style="position:absolute;left:6408;top:11305;width:31;height:1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" fillcolor="black" stroked="f"/>
                <v:rect id="Rectangle 4542" o:spid="_x0000_s1407" style="position:absolute;left:6408;top:11495;width:31;height:1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" fillcolor="black" stroked="f"/>
                <v:rect id="Rectangle 4543" o:spid="_x0000_s1408" style="position:absolute;left:6408;top:11684;width:31;height:1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" fillcolor="black" stroked="f"/>
                <v:rect id="Rectangle 4544" o:spid="_x0000_s1409" style="position:absolute;left:6408;top:11874;width:31;height:1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" fillcolor="black" stroked="f"/>
                <v:rect id="Rectangle 4545" o:spid="_x0000_s1410" style="position:absolute;left:6408;top:12063;width:31;height:1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" fillcolor="black" stroked="f"/>
                <v:rect id="Rectangle 4546" o:spid="_x0000_s1411" style="position:absolute;left:6408;top:12253;width:31;height:1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" fillcolor="black" stroked="f"/>
                <v:rect id="Rectangle 4547" o:spid="_x0000_s1412" style="position:absolute;left:6408;top:12442;width:31;height:1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" fillcolor="black" stroked="f"/>
                <v:rect id="Rectangle 4548" o:spid="_x0000_s1413" style="position:absolute;left:6408;top:12632;width:31;height:1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" fillcolor="black" stroked="f"/>
                <v:rect id="Rectangle 4549" o:spid="_x0000_s1414" style="position:absolute;left:6408;top:12821;width:31;height: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" fillcolor="black" stroked="f"/>
                <v:rect id="Rectangle 4550" o:spid="_x0000_s1415" style="position:absolute;left:6408;top:13011;width:31;height:1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" fillcolor="black" stroked="f"/>
                <v:rect id="Rectangle 4551" o:spid="_x0000_s1416" style="position:absolute;left:6408;top:13200;width:31;height: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" fillcolor="black" stroked="f"/>
                <v:rect id="Rectangle 4552" o:spid="_x0000_s1417" style="position:absolute;left:6996;top:10737;width:32;height:1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" fillcolor="black" stroked="f"/>
                <v:rect id="Rectangle 4553" o:spid="_x0000_s1418" style="position:absolute;left:6996;top:10926;width:32;height:1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" fillcolor="black" stroked="f"/>
                <v:rect id="Rectangle 4554" o:spid="_x0000_s1419" style="position:absolute;left:6996;top:11116;width:32;height:1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" fillcolor="black" stroked="f"/>
                <v:rect id="Rectangle 4555" o:spid="_x0000_s1420" style="position:absolute;left:6996;top:11305;width:32;height:1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" fillcolor="black" stroked="f"/>
                <v:rect id="Rectangle 4556" o:spid="_x0000_s1421" style="position:absolute;left:6996;top:11495;width:32;height:1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" fillcolor="black" stroked="f"/>
                <v:rect id="Rectangle 4557" o:spid="_x0000_s1422" style="position:absolute;left:6996;top:11684;width:32;height:1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" fillcolor="black" stroked="f"/>
                <v:rect id="Rectangle 4558" o:spid="_x0000_s1423" style="position:absolute;left:6996;top:11874;width:32;height:1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" fillcolor="black" stroked="f"/>
                <v:rect id="Rectangle 4559" o:spid="_x0000_s1424" style="position:absolute;left:6996;top:12063;width:32;height:1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" fillcolor="black" stroked="f"/>
                <v:rect id="Rectangle 4560" o:spid="_x0000_s1425" style="position:absolute;left:6996;top:12253;width:32;height:1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" fillcolor="black" stroked="f"/>
                <v:rect id="Rectangle 4561" o:spid="_x0000_s1426" style="position:absolute;left:6996;top:12442;width:32;height:1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" fillcolor="black" stroked="f"/>
                <v:rect id="Rectangle 4562" o:spid="_x0000_s1427" style="position:absolute;left:6996;top:12632;width:32;height:1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" fillcolor="black" stroked="f"/>
                <v:rect id="Rectangle 4563" o:spid="_x0000_s1428" style="position:absolute;left:6996;top:12821;width:32;height: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" fillcolor="black" stroked="f"/>
                <v:rect id="Rectangle 4564" o:spid="_x0000_s1429" style="position:absolute;left:6996;top:13011;width:32;height:1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" fillcolor="black" stroked="f"/>
                <v:rect id="Rectangle 4565" o:spid="_x0000_s1430" style="position:absolute;left:6996;top:13200;width:32;height: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" fillcolor="black" stroked="f"/>
                <v:line id="Line 4566" o:spid="_x0000_s1431" style="position:absolute;visibility:visible" from="5084,9560" to="6167,9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" strokeweight="0"/>
                <v:rect id="Rectangle 4567" o:spid="_x0000_s1432" style="position:absolute;left:5084;top:9560;width:1083;height: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" fillcolor="black" stroked="f"/>
                <v:line id="Line 4568" o:spid="_x0000_s1433" style="position:absolute;visibility:visible" from="6707,10014" to="7754,10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" strokeweight="0"/>
                <v:rect id="Rectangle 4569" o:spid="_x0000_s1434" style="position:absolute;left:6692;top:10014;width:1047;height: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" fillcolor="black" stroked="f"/>
                <v:rect id="Rectangle 4570" o:spid="_x0000_s1435" style="position:absolute;left:3690;top:10472;width:59;height: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" fillcolor="black" stroked="f"/>
                <v:rect id="Rectangle 4571" o:spid="_x0000_s1436" style="position:absolute;left:3796;top:10472;width:142;height: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" fillcolor="black" stroked="f"/>
                <v:rect id="Rectangle 4572" o:spid="_x0000_s1437" style="position:absolute;left:3986;top:10472;width:142;height: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" fillcolor="black" stroked="f"/>
                <v:rect id="Rectangle 4573" o:spid="_x0000_s1438" style="position:absolute;left:4176;top:10472;width:142;height: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" fillcolor="black" stroked="f"/>
                <v:rect id="Rectangle 4574" o:spid="_x0000_s1439" style="position:absolute;left:4365;top:10472;width:142;height: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" fillcolor="black" stroked="f"/>
                <v:rect id="Rectangle 4575" o:spid="_x0000_s1440" style="position:absolute;left:4555;top:10472;width:142;height: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" fillcolor="black" stroked="f"/>
                <v:rect id="Rectangle 4576" o:spid="_x0000_s1441" style="position:absolute;left:4744;top:10472;width:143;height: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" fillcolor="black" stroked="f"/>
                <v:rect id="Rectangle 4577" o:spid="_x0000_s1442" style="position:absolute;left:4934;top:10472;width:142;height: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" fillcolor="black" stroked="f"/>
                <v:rect id="Rectangle 4578" o:spid="_x0000_s1443" style="position:absolute;left:5124;top:10472;width:142;height: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" fillcolor="black" stroked="f"/>
                <v:rect id="Rectangle 4579" o:spid="_x0000_s1444" style="position:absolute;left:5313;top:10472;width:143;height: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" fillcolor="black" stroked="f"/>
                <v:rect id="Rectangle 4580" o:spid="_x0000_s1445" style="position:absolute;left:5503;top:10472;width:142;height: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" fillcolor="black" stroked="f"/>
                <v:rect id="Rectangle 4581" o:spid="_x0000_s1446" style="position:absolute;left:5693;top:10472;width:142;height: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" fillcolor="black" stroked="f"/>
                <v:rect id="Rectangle 4582" o:spid="_x0000_s1447" style="position:absolute;left:5882;top:10472;width:143;height: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" fillcolor="black" stroked="f"/>
                <v:rect id="Rectangle 4583" o:spid="_x0000_s1448" style="position:absolute;left:6072;top:10472;width:142;height: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" fillcolor="black" stroked="f"/>
                <v:rect id="Rectangle 4584" o:spid="_x0000_s1449" style="position:absolute;left:6262;top:10472;width:142;height: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" fillcolor="black" stroked="f"/>
                <v:rect id="Rectangle 4585" o:spid="_x0000_s1450" style="position:absolute;left:3690;top:11143;width:59;height: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" fillcolor="black" stroked="f"/>
                <v:rect id="Rectangle 4586" o:spid="_x0000_s1451" style="position:absolute;left:3796;top:11143;width:142;height: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" fillcolor="black" stroked="f"/>
                <v:rect id="Rectangle 4587" o:spid="_x0000_s1452" style="position:absolute;left:3986;top:11143;width:142;height: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" fillcolor="black" stroked="f"/>
                <v:rect id="Rectangle 4588" o:spid="_x0000_s1453" style="position:absolute;left:4176;top:11143;width:142;height: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" fillcolor="black" stroked="f"/>
                <v:rect id="Rectangle 4589" o:spid="_x0000_s1454" style="position:absolute;left:4365;top:11143;width:142;height: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" fillcolor="black" stroked="f"/>
                <v:rect id="Rectangle 4590" o:spid="_x0000_s1455" style="position:absolute;left:4555;top:11143;width:142;height: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" fillcolor="black" stroked="f"/>
                <v:rect id="Rectangle 4591" o:spid="_x0000_s1456" style="position:absolute;left:4744;top:11143;width:143;height: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" fillcolor="black" stroked="f"/>
                <v:rect id="Rectangle 4592" o:spid="_x0000_s1457" style="position:absolute;left:4934;top:11143;width:142;height: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" fillcolor="black" stroked="f"/>
                <v:rect id="Rectangle 4593" o:spid="_x0000_s1458" style="position:absolute;left:5124;top:11143;width:142;height: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" fillcolor="black" stroked="f"/>
                <v:rect id="Rectangle 4594" o:spid="_x0000_s1459" style="position:absolute;left:5313;top:11143;width:143;height: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" fillcolor="black" stroked="f"/>
                <v:rect id="Rectangle 4595" o:spid="_x0000_s1460" style="position:absolute;left:5503;top:11143;width:142;height: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" fillcolor="black" stroked="f"/>
                <v:rect id="Rectangle 4596" o:spid="_x0000_s1461" style="position:absolute;left:5693;top:11143;width:142;height: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" fillcolor="black" stroked="f"/>
                <v:rect id="Rectangle 4597" o:spid="_x0000_s1462" style="position:absolute;left:5882;top:11143;width:143;height: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" fillcolor="black" stroked="f"/>
                <v:rect id="Rectangle 4598" o:spid="_x0000_s1463" style="position:absolute;left:6072;top:11143;width:142;height: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" fillcolor="black" stroked="f"/>
                <v:rect id="Rectangle 4599" o:spid="_x0000_s1464" style="position:absolute;left:6262;top:11143;width:142;height: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" fillcolor="black" stroked="f"/>
                <v:rect id="Rectangle 4600" o:spid="_x0000_s1465" style="position:absolute;left:6451;top:11143;width:142;height: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" fillcolor="black" stroked="f"/>
                <v:rect id="Rectangle 4601" o:spid="_x0000_s1466" style="position:absolute;left:6641;top:11143;width:142;height: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" fillcolor="black" stroked="f"/>
                <v:rect id="Rectangle 4602" o:spid="_x0000_s1467" style="position:absolute;left:6831;top:11143;width:142;height: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" fillcolor="black" stroked="f"/>
                <v:rect id="Rectangle 4603" o:spid="_x0000_s1468" style="position:absolute;left:7020;top:11143;width:142;height: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" fillcolor="black" stroked="f"/>
                <v:rect id="Rectangle 4604" o:spid="_x0000_s1469" style="position:absolute;left:7210;top:11143;width:142;height: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" fillcolor="black" stroked="f"/>
                <v:rect id="Rectangle 4605" o:spid="_x0000_s1470" style="position:absolute;left:7399;top:11143;width:143;height: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" fillcolor="black" stroked="f"/>
                <v:rect id="Rectangle 4606" o:spid="_x0000_s1471" style="position:absolute;left:7589;top:11143;width:142;height: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" fillcolor="black" stroked="f"/>
                <v:rect id="Rectangle 4607" o:spid="_x0000_s1472" style="position:absolute;left:3690;top:13264;width:4859;height: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" fillcolor="black" stroked="f"/>
                <v:group id="Group 4608" o:spid="_x0000_s1473" style="position:absolute;left:3603;top:9315;width:130;height:281" coordorigin="3498,9339" coordsize="13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">
                  <v:line id="Line 4609" o:spid="_x0000_s1474" style="position:absolute;flip:y;visibility:visible" from="3561,9454" to="3561,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" strokeweight=".6pt"/>
                  <v:shape id="Freeform 4610" o:spid="_x0000_s1475" style="position:absolute;left:3498;top:9339;width:130;height:127;visibility:visible;mso-wrap-style:square;v-text-anchor:top" coordsize="13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" path="m130,127l67,,,127r130,xe" fillcolor="black" stroked="f">
                    <v:path arrowok="t" o:connecttype="custom" o:connectlocs="130,127;67,0;0,127;130,127" o:connectangles="0,0,0,0"/>
                  </v:shape>
                </v:group>
                <v:group id="Group 4611" o:spid="_x0000_s1476" style="position:absolute;left:8209;top:13212;width:328;height:131" coordorigin="8104,13236" coordsize="328,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">
                  <v:line id="Line 4612" o:spid="_x0000_s1477" style="position:absolute;flip:y;visibility:visible" from="8104,13299" to="8314,1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" strokeweight=".6pt"/>
                  <v:shape id="Freeform 4613" o:spid="_x0000_s1478" style="position:absolute;left:8302;top:13236;width:130;height:131;visibility:visible;mso-wrap-style:square;v-text-anchor:top" coordsize="13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" path="m4,131l130,59,,,4,131xe" fillcolor="black" stroked="f">
                    <v:path arrowok="t" o:connecttype="custom" o:connectlocs="4,131;130,59;0,0;4,131" o:connectangles="0,0,0,0"/>
                  </v:shape>
                </v:group>
                <v:shape id="Freeform 4614" o:spid="_x0000_s1479" style="position:absolute;left:4195;top:9564;width:4334;height:1954;visibility:visible;mso-wrap-style:square;v-text-anchor:top" coordsize="4334,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" path="m8,l,20,380,253,759,486r371,225l1490,924r178,103l1837,1125r166,95l2165,1307r158,83l2478,1469r3,l2624,1540r138,63l2896,1658r131,48l3157,1749r123,36l3398,1812r111,28l3619,1860r103,15l3821,1891r91,12l3999,1911r79,8l4153,1927r67,8l4279,1947r51,7l4334,1931r-51,-8l4224,1911r-67,-8l4082,1895r-79,-8l3916,1879r-91,-11l3726,1852r-103,-16l3513,1816r-111,-27l3284,1761r-123,-36l3031,1682r-131,-47l2770,1579r-142,-63l2485,1445r-4,12l2489,1449r-154,-79l2177,1287r-162,-87l1849,1106r-170,-99l1502,904,1142,691,771,466,391,233,8,xe" fillcolor="black" stroked="f">
                  <v:path arrowok="t" o:connecttype="custom" o:connectlocs="8,0;0,20;380,253;759,486;1130,711;1490,924;1668,1027;1837,1125;2003,1220;2165,1307;2323,1390;2478,1469;2481,1469;2624,1540;2762,1603;2896,1658;3027,1706;3157,1749;3280,1785;3398,1812;3509,1840;3619,1860;3722,1875;3821,1891;3912,1903;3999,1911;4078,1919;4153,1927;4220,1935;4279,1947;4330,1954;4334,1931;4283,1923;4224,1911;4157,1903;4082,1895;4003,1887;3916,1879;3825,1868;3726,1852;3623,1836;3513,1816;3402,1789;3284,1761;3161,1725;3031,1682;2900,1635;2770,1579;2628,1516;2485,1445;2481,1457;2489,1449;2335,1370;2177,1287;2015,1200;1849,1106;1679,1007;1502,904;1142,691;771,466;391,233;8,0" o:connectangles="0,0,0,0,0,0,0,0,0,0,0,0,0,0,0,0,0,0,0,0,0,0,0,0,0,0,0,0,0,0,0,0,0,0,0,0,0,0,0,0,0,0,0,0,0,0,0,0,0,0,0,0,0,0,0,0,0,0,0,0,0,0"/>
                </v:shape>
                <v:line id="Line 4615" o:spid="_x0000_s1480" style="position:absolute;flip:x;visibility:visible" from="4756,9572" to="5076,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" strokeweight=".6pt"/>
                <v:group id="Group 4616" o:spid="_x0000_s1481" style="position:absolute;left:4744;top:9718;width:170;height:190" coordorigin="4639,9742" coordsize="17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">
                  <v:line id="Line 4617" o:spid="_x0000_s1482" style="position:absolute;flip:x;visibility:visible" from="4718,9742" to="4809,9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" strokeweight=".6pt"/>
                  <v:shape id="Freeform 4618" o:spid="_x0000_s1483" style="position:absolute;left:4639;top:9789;width:139;height:143;visibility:visible;mso-wrap-style:square;v-text-anchor:top" coordsize="13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" path="m44,l,143,139,87,44,xe" fillcolor="black" stroked="f">
                    <v:path arrowok="t" o:connecttype="custom" o:connectlocs="44,0;0,143;139,87;44,0" o:connectangles="0,0,0,0"/>
                  </v:shape>
                </v:group>
                <v:group id="Group 4619" o:spid="_x0000_s1484" style="position:absolute;left:5819;top:11542;width:130;height:237" coordorigin="5714,11566" coordsize="13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">
                  <v:line id="Line 4620" o:spid="_x0000_s1485" style="position:absolute;flip:y;visibility:visible" from="5777,11681" to="5777,11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" strokeweight=".6pt"/>
                  <v:shape id="Freeform 4621" o:spid="_x0000_s1486" style="position:absolute;left:5714;top:11566;width:130;height:126;visibility:visible;mso-wrap-style:square;v-text-anchor:top" coordsize="13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" path="m130,126l63,,,126r130,xe" fillcolor="black" stroked="f">
                    <v:path arrowok="t" o:connecttype="custom" o:connectlocs="130,126;63,0;0,126;130,126" o:connectangles="0,0,0,0"/>
                  </v:shape>
                </v:group>
                <v:shape id="Freeform 4622" o:spid="_x0000_s1487" style="position:absolute;left:5582;top:10006;width:2039;height:896;visibility:visible;mso-wrap-style:square;v-text-anchor:top" coordsize="203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" path="m12,l,20,198,146,403,269,605,383r98,52l707,438r99,48l909,533r106,44l1229,656r106,35l1430,727r91,27l1604,782r67,24l1735,825r59,16l1845,857r95,20l2035,896r4,-23l1944,853r-95,-20l1798,818r-60,-16l1675,782r-67,-24l1525,731r-91,-28l1339,667,1233,632,1019,553,913,510,814,462,711,415r,12l715,415,616,363,415,249,209,127,12,xe" fillcolor="black" stroked="f">
                  <v:path arrowok="t" o:connecttype="custom" o:connectlocs="12,0;0,20;198,146;403,269;605,383;703,435;707,438;806,486;909,533;1015,577;1229,656;1335,691;1430,727;1521,754;1604,782;1671,806;1735,825;1794,841;1845,857;1940,877;2035,896;2039,873;1944,853;1849,833;1798,818;1738,802;1675,782;1608,758;1525,731;1434,703;1339,667;1233,632;1019,553;913,510;814,462;711,415;711,427;715,415;616,363;415,249;209,127;12,0" o:connectangles="0,0,0,0,0,0,0,0,0,0,0,0,0,0,0,0,0,0,0,0,0,0,0,0,0,0,0,0,0,0,0,0,0,0,0,0,0,0,0,0,0,0"/>
                </v:shape>
                <v:line id="Line 4623" o:spid="_x0000_s1488" style="position:absolute;flip:x;visibility:visible" from="6167,10026" to="6688,10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" strokeweight=".6pt"/>
                <v:group id="Group 4624" o:spid="_x0000_s1489" style="position:absolute;left:6183;top:10196;width:233;height:185" coordorigin="6078,10220" coordsize="23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">
                  <v:line id="Line 4625" o:spid="_x0000_s1490" style="position:absolute;flip:x;visibility:visible" from="6165,10220" to="6311,10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" strokeweight=".6pt"/>
                  <v:shape id="Freeform 4626" o:spid="_x0000_s1491" style="position:absolute;left:6078;top:10275;width:142;height:130;visibility:visible;mso-wrap-style:square;v-text-anchor:top" coordsize="14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" path="m63,l,130,142,103,63,xe" fillcolor="black" stroked="f">
                    <v:path arrowok="t" o:connecttype="custom" o:connectlocs="63,0;0,130;142,103;63,0" o:connectangles="0,0,0,0"/>
                  </v:shape>
                </v:group>
                <v:rect id="Rectangle 4627" o:spid="_x0000_s1492" style="position:absolute;left:5093;top:9237;width:1081;height:36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" filled="f" stroked="f">
                  <v:textbox style="mso-fit-shape-to-text:t" inset="0,0,0,0">
                    <w:txbxContent>
                      <w:p w14:paraId="75C53A06" w14:textId="77777777" w:rsidR="003B0864" w:rsidRPr="00341973" w:rsidRDefault="003B0864" w:rsidP="00CD54F8">
                        <w:pPr>
                          <w:rPr>
                            <w:rFonts w:asciiTheme="majorEastAsia" w:eastAsiaTheme="majorEastAsia" w:hAnsiTheme="majorEastAsia"/>
                          </w:rPr>
                        </w:pPr>
                        <w:r w:rsidRPr="00341973">
                          <w:rPr>
                            <w:rFonts w:asciiTheme="majorEastAsia" w:eastAsiaTheme="majorEastAsia" w:hAnsiTheme="majorEastAsia" w:cs="ＭＳ Ｐゴシック" w:hint="eastAsia"/>
                            <w:color w:val="000000"/>
                            <w:sz w:val="18"/>
                            <w:szCs w:val="18"/>
                          </w:rPr>
                          <w:t>設計疲労曲線</w:t>
                        </w:r>
                      </w:p>
                    </w:txbxContent>
                  </v:textbox>
                </v:rect>
                <v:shape id="Freeform 4628" o:spid="_x0000_s1493" style="position:absolute;left:6993;top:10689;width:730;height:474;visibility:visible;mso-wrap-style:square;v-text-anchor:top" coordsize="730,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" path="m7,l,20,723,474r7,-20l7,xe" fillcolor="black" stroked="f">
                  <v:path arrowok="t" o:connecttype="custom" o:connectlocs="7,0;0,20;723,474;730,454;7,0" o:connectangles="0,0,0,0,0"/>
                </v:shape>
                <v:group id="Group 4629" o:spid="_x0000_s1494" style="position:absolute;left:5977;top:10255;width:142;height:130" coordorigin="5872,9919" coordsize="14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">
                  <v:line id="Line 4630" o:spid="_x0000_s1495" style="position:absolute;flip:x y;visibility:visible" from="5963,9982" to="5983,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" strokeweight=".6pt"/>
                  <v:shape id="Freeform 4631" o:spid="_x0000_s1496" style="position:absolute;left:5872;top:9919;width:142;height:130;visibility:visible;mso-wrap-style:square;v-text-anchor:top" coordsize="14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" path="m142,24l,,67,130,142,24xe" fillcolor="black" stroked="f">
                    <v:path arrowok="t" o:connecttype="custom" o:connectlocs="142,24;0,0;67,130;142,24" o:connectangles="0,0,0,0"/>
                  </v:shape>
                </v:group>
              </v:group>
              <v:rect id="AutoShape 4632" o:spid="_x0000_s1497" style="position:absolute;left:2672;top:9293;width:6523;height:44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" filled="f" stroked="f">
                <o:lock v:ext="edit" aspectratio="t" text="t"/>
              </v:rect>
              <v:rect id="Rectangle 4633" o:spid="_x0000_s1498" style="position:absolute;left:5562;top:13582;width:42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" filled="f" stroked="f">
                <v:textbox inset="0,0,0,0">
                  <w:txbxContent>
                    <w:p w14:paraId="55C83E13" w14:textId="77777777" w:rsidR="003B0864" w:rsidRPr="00E248ED" w:rsidRDefault="003B0864" w:rsidP="00CD54F8">
                      <w:pPr>
                        <w:spacing w:line="240" w:lineRule="atLeast"/>
                        <w:rPr>
                          <w:rFonts w:asciiTheme="majorHAnsi" w:hAnsiTheme="majorHAnsi" w:cstheme="majorHAnsi"/>
                        </w:rPr>
                      </w:pPr>
                      <w:r w:rsidRPr="00E248ED">
                        <w:rPr>
                          <w:rFonts w:asciiTheme="majorHAnsi" w:eastAsia="ＭＳ Ｐゴシック" w:hAnsiTheme="majorHAnsi" w:cstheme="majorHAnsi"/>
                          <w:i/>
                          <w:color w:val="000000"/>
                          <w:sz w:val="18"/>
                          <w:szCs w:val="18"/>
                        </w:rPr>
                        <w:t>N</w:t>
                      </w:r>
                      <w:r w:rsidRPr="00E248ED">
                        <w:rPr>
                          <w:rFonts w:asciiTheme="majorHAnsi" w:eastAsia="ＭＳ Ｐゴシック" w:hAnsiTheme="majorHAnsi" w:cstheme="majorHAnsi"/>
                          <w:i/>
                          <w:color w:val="000000"/>
                          <w:sz w:val="18"/>
                          <w:szCs w:val="18"/>
                          <w:vertAlign w:val="subscript"/>
                        </w:rPr>
                        <w:t>T</w:t>
                      </w:r>
                      <w:r w:rsidRPr="00E248ED">
                        <w:rPr>
                          <w:rFonts w:asciiTheme="majorHAnsi" w:eastAsia="ＭＳ Ｐゴシック" w:hAnsiTheme="majorHAnsi" w:cstheme="majorHAnsi"/>
                          <w:color w:val="000000"/>
                          <w:sz w:val="18"/>
                          <w:szCs w:val="18"/>
                          <w:vertAlign w:val="subscript"/>
                        </w:rPr>
                        <w:t>min</w:t>
                      </w:r>
                    </w:p>
                  </w:txbxContent>
                </v:textbox>
              </v:rect>
              <v:rect id="Rectangle 4634" o:spid="_x0000_s1499" style="position:absolute;left:6222;top:13582;width:42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" filled="f" stroked="f">
                <v:textbox inset="0,0,0,0">
                  <w:txbxContent>
                    <w:p w14:paraId="3A2D15D2" w14:textId="77777777" w:rsidR="003B0864" w:rsidRPr="00E248ED" w:rsidRDefault="003B0864" w:rsidP="00CD54F8">
                      <w:pPr>
                        <w:spacing w:line="240" w:lineRule="atLeast"/>
                        <w:rPr>
                          <w:rFonts w:asciiTheme="majorHAnsi" w:hAnsiTheme="majorHAnsi" w:cstheme="majorHAnsi"/>
                        </w:rPr>
                      </w:pPr>
                      <w:r w:rsidRPr="00E248ED">
                        <w:rPr>
                          <w:rFonts w:asciiTheme="majorHAnsi" w:eastAsia="ＭＳ Ｐゴシック" w:hAnsiTheme="majorHAnsi" w:cstheme="majorHAnsi"/>
                          <w:i/>
                          <w:color w:val="000000"/>
                          <w:sz w:val="18"/>
                          <w:szCs w:val="18"/>
                        </w:rPr>
                        <w:t>N</w:t>
                      </w:r>
                      <w:r w:rsidRPr="00E248ED">
                        <w:rPr>
                          <w:rFonts w:asciiTheme="majorHAnsi" w:eastAsia="ＭＳ Ｐゴシック" w:hAnsiTheme="majorHAnsi" w:cstheme="majorHAnsi"/>
                          <w:i/>
                          <w:color w:val="000000"/>
                          <w:sz w:val="18"/>
                          <w:szCs w:val="18"/>
                          <w:vertAlign w:val="subscript"/>
                        </w:rPr>
                        <w:t>C</w:t>
                      </w:r>
                    </w:p>
                  </w:txbxContent>
                </v:textbox>
              </v:rect>
              <v:rect id="Rectangle 4635" o:spid="_x0000_s1500" style="position:absolute;left:6812;top:13582;width:42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" filled="f" stroked="f">
                <v:textbox inset="0,0,0,0">
                  <w:txbxContent>
                    <w:p w14:paraId="2D9A5D8B" w14:textId="77777777" w:rsidR="003B0864" w:rsidRPr="00E248ED" w:rsidRDefault="003B0864" w:rsidP="00CD54F8">
                      <w:pPr>
                        <w:spacing w:line="240" w:lineRule="atLeast"/>
                        <w:rPr>
                          <w:rFonts w:asciiTheme="majorHAnsi" w:hAnsiTheme="majorHAnsi" w:cstheme="majorHAnsi"/>
                        </w:rPr>
                      </w:pPr>
                      <w:r w:rsidRPr="00E248ED">
                        <w:rPr>
                          <w:rFonts w:asciiTheme="majorHAnsi" w:eastAsia="ＭＳ Ｐゴシック" w:hAnsiTheme="majorHAnsi" w:cstheme="majorHAnsi"/>
                          <w:i/>
                          <w:color w:val="000000"/>
                          <w:sz w:val="18"/>
                          <w:szCs w:val="18"/>
                        </w:rPr>
                        <w:t>N</w:t>
                      </w:r>
                      <w:r w:rsidRPr="00E248ED">
                        <w:rPr>
                          <w:rFonts w:asciiTheme="majorHAnsi" w:eastAsia="ＭＳ Ｐゴシック" w:hAnsiTheme="majorHAnsi" w:cstheme="majorHAnsi"/>
                          <w:i/>
                          <w:color w:val="000000"/>
                          <w:sz w:val="18"/>
                          <w:szCs w:val="18"/>
                          <w:vertAlign w:val="subscript"/>
                        </w:rPr>
                        <w:t>D</w:t>
                      </w:r>
                    </w:p>
                  </w:txbxContent>
                </v:textbox>
              </v:rect>
              <v:shape id="Text Box 4636" o:spid="_x0000_s1501" type="#_x0000_t202" style="position:absolute;left:2777;top:9982;width:63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" stroked="f">
                <v:textbox style="layout-flow:vertical;mso-layout-flow-alt:bottom-to-top" inset="5.85pt,.7pt,5.85pt,.7pt">
                  <w:txbxContent>
                    <w:p w14:paraId="1C2305A5" w14:textId="77777777" w:rsidR="003B0864" w:rsidRPr="00E248ED" w:rsidRDefault="003B0864" w:rsidP="00CD54F8">
                      <w:pPr>
                        <w:rPr>
                          <w:rFonts w:asciiTheme="majorHAnsi" w:eastAsia="ＭＳ ゴシック" w:hAnsiTheme="majorHAnsi" w:cstheme="majorHAnsi"/>
                          <w:sz w:val="20"/>
                        </w:rPr>
                      </w:pPr>
                      <w:r w:rsidRPr="00E248ED">
                        <w:rPr>
                          <w:rFonts w:asciiTheme="majorHAnsi" w:eastAsia="ＭＳ ゴシック" w:hAnsiTheme="majorHAnsi" w:cstheme="majorHAnsi"/>
                          <w:i/>
                          <w:sz w:val="20"/>
                        </w:rPr>
                        <w:t>S</w:t>
                      </w:r>
                      <w:r w:rsidRPr="00E248ED">
                        <w:rPr>
                          <w:rFonts w:asciiTheme="majorHAnsi" w:eastAsia="ＭＳ ゴシック" w:hAnsiTheme="majorHAnsi" w:cstheme="majorHAnsi"/>
                          <w:i/>
                          <w:sz w:val="20"/>
                          <w:vertAlign w:val="subscript"/>
                        </w:rPr>
                        <w:t>a</w:t>
                      </w:r>
                      <w:r w:rsidRPr="00E248ED">
                        <w:rPr>
                          <w:rFonts w:asciiTheme="majorHAnsi" w:eastAsia="ＭＳ ゴシック" w:hAnsi="ＭＳ ゴシック" w:cstheme="majorHAnsi"/>
                          <w:sz w:val="20"/>
                        </w:rPr>
                        <w:t>値</w:t>
                      </w:r>
                      <w:r w:rsidRPr="00E248ED">
                        <w:rPr>
                          <w:rFonts w:asciiTheme="majorHAnsi" w:eastAsia="ＭＳ ゴシック" w:hAnsiTheme="majorHAnsi" w:cstheme="majorHAnsi"/>
                          <w:sz w:val="20"/>
                        </w:rPr>
                        <w:t xml:space="preserve"> (MPa)</w:t>
                      </w:r>
                    </w:p>
                  </w:txbxContent>
                </v:textbox>
              </v:shape>
              <v:rect id="Rectangle 4637" o:spid="_x0000_s1502" style="position:absolute;left:7717;top:10030;width:42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" stroked="f">
                <v:textbox inset="0,0,0,0">
                  <w:txbxContent>
                    <w:p w14:paraId="33471E37" w14:textId="77777777" w:rsidR="003B0864" w:rsidRDefault="003B0864" w:rsidP="00CD54F8">
                      <w:pPr>
                        <w:spacing w:line="240" w:lineRule="atLeast"/>
                      </w:pPr>
                      <w:r w:rsidRPr="005D2E09">
                        <w:rPr>
                          <w:rFonts w:asciiTheme="majorEastAsia" w:eastAsiaTheme="majorEastAsia" w:hAnsiTheme="majorEastAsia" w:cstheme="majorHAnsi"/>
                          <w:color w:val="000000"/>
                          <w:sz w:val="18"/>
                          <w:szCs w:val="18"/>
                        </w:rPr>
                        <w:t>x</w:t>
                      </w:r>
                      <w:r w:rsidRPr="00880B14">
                        <w:rPr>
                          <w:rFonts w:ascii="ＭＳ Ｐゴシック" w:eastAsia="ＭＳ Ｐゴシック" w:cs="ＭＳ Ｐゴシック" w:hint="eastAsia"/>
                          <w:color w:val="000000"/>
                          <w:sz w:val="18"/>
                          <w:szCs w:val="18"/>
                        </w:rPr>
                        <w:t xml:space="preserve"> </w:t>
                      </w:r>
                      <w:r w:rsidRPr="00E248ED">
                        <w:rPr>
                          <w:rFonts w:asciiTheme="majorHAnsi" w:eastAsia="ＭＳ Ｐゴシック" w:hAnsiTheme="majorHAnsi" w:cstheme="majorHAnsi"/>
                          <w:i/>
                          <w:color w:val="000000"/>
                          <w:sz w:val="18"/>
                          <w:szCs w:val="18"/>
                        </w:rPr>
                        <w:t>K</w:t>
                      </w:r>
                      <w:r>
                        <w:rPr>
                          <w:rFonts w:asciiTheme="majorHAnsi" w:eastAsia="ＭＳ Ｐゴシック" w:hAnsiTheme="majorHAnsi" w:cstheme="majorHAnsi" w:hint="eastAsia"/>
                          <w:i/>
                          <w:color w:val="000000"/>
                          <w:sz w:val="18"/>
                          <w:szCs w:val="18"/>
                          <w:vertAlign w:val="subscript"/>
                        </w:rPr>
                        <w:t>s</w:t>
                      </w:r>
                    </w:p>
                  </w:txbxContent>
                </v:textbox>
              </v:rect>
            </v:group>
            <w10:anchorlock/>
          </v:group>
        </w:pict>
      </w:r>
    </w:p>
    <w:p w14:paraId="1936261E" w14:textId="77777777" w:rsidR="00CD54F8" w:rsidRPr="00BC31E0" w:rsidRDefault="00CD54F8" w:rsidP="00090BA4">
      <w:pPr>
        <w:pStyle w:val="af4"/>
      </w:pPr>
      <w:r w:rsidRPr="00BC31E0">
        <w:rPr>
          <w:rFonts w:hint="eastAsia"/>
        </w:rPr>
        <w:t>図6.11.2　加速疲労試験における試験パラメータ線図の作成</w:t>
      </w:r>
    </w:p>
    <w:p w14:paraId="4D610804" w14:textId="77777777" w:rsidR="00670CE2" w:rsidRPr="00BC31E0" w:rsidRDefault="00670CE2" w:rsidP="00090BA4">
      <w:pPr>
        <w:pStyle w:val="1f0"/>
        <w:jc w:val="left"/>
        <w:rPr>
          <w:rFonts w:asciiTheme="minorEastAsia" w:eastAsiaTheme="minorEastAsia" w:hAnsiTheme="minorEastAsia" w:cs="ＭＳ ゴシック"/>
          <w:b w:val="0"/>
          <w:sz w:val="21"/>
          <w:szCs w:val="21"/>
        </w:rPr>
      </w:pPr>
    </w:p>
    <w:p w14:paraId="1E7D675C" w14:textId="77777777" w:rsidR="00670CE2" w:rsidRPr="00BC31E0" w:rsidRDefault="00EC75AD" w:rsidP="00736130">
      <w:pPr>
        <w:pStyle w:val="20"/>
        <w:numPr>
          <w:ilvl w:val="1"/>
          <w:numId w:val="155"/>
        </w:numPr>
        <w:ind w:left="567" w:hanging="567"/>
      </w:pPr>
      <w:bookmarkStart w:id="62" w:name="_Toc357672099"/>
      <w:r w:rsidRPr="00BC31E0">
        <w:rPr>
          <w:rFonts w:hint="eastAsia"/>
        </w:rPr>
        <w:t xml:space="preserve">　</w:t>
      </w:r>
      <w:bookmarkStart w:id="63" w:name="_Toc120092532"/>
      <w:r w:rsidRPr="00BC31E0">
        <w:rPr>
          <w:rFonts w:hint="eastAsia"/>
        </w:rPr>
        <w:t>フランジ継手</w:t>
      </w:r>
      <w:bookmarkEnd w:id="62"/>
      <w:bookmarkEnd w:id="63"/>
    </w:p>
    <w:p w14:paraId="4BF2E919" w14:textId="77777777" w:rsidR="00670CE2" w:rsidRPr="00BC31E0" w:rsidRDefault="00670CE2" w:rsidP="00090BA4">
      <w:pPr>
        <w:pStyle w:val="1110"/>
        <w:ind w:firstLine="210"/>
      </w:pPr>
      <w:r w:rsidRPr="00BC31E0">
        <w:rPr>
          <w:rFonts w:hint="eastAsia"/>
        </w:rPr>
        <w:t>本体胴又は高圧配管と一体のフランジの応力計算は，</w:t>
      </w:r>
      <w:r w:rsidRPr="00BC31E0">
        <w:rPr>
          <w:rFonts w:ascii="ＭＳ ゴシック" w:eastAsia="ＭＳ ゴシック" w:hAnsi="ＭＳ ゴシック" w:hint="eastAsia"/>
          <w:b/>
        </w:rPr>
        <w:t>JIS B 8266 附属書3</w:t>
      </w:r>
      <w:r w:rsidRPr="00BC31E0">
        <w:rPr>
          <w:rFonts w:ascii="ＭＳ 明朝" w:hAnsi="ＭＳ 明朝" w:hint="eastAsia"/>
        </w:rPr>
        <w:t>，</w:t>
      </w:r>
      <w:r w:rsidRPr="00BC31E0">
        <w:rPr>
          <w:rFonts w:hint="eastAsia"/>
        </w:rPr>
        <w:t>この規格の</w:t>
      </w:r>
      <w:r w:rsidRPr="00BC31E0">
        <w:rPr>
          <w:rFonts w:ascii="ＭＳ ゴシック" w:eastAsia="ＭＳ ゴシック" w:hAnsi="ＭＳ ゴシック" w:hint="eastAsia"/>
          <w:b/>
        </w:rPr>
        <w:t>附属書H</w:t>
      </w:r>
      <w:r w:rsidR="00745F26" w:rsidRPr="00BC31E0">
        <w:rPr>
          <w:rFonts w:hint="eastAsia"/>
        </w:rPr>
        <w:t>に規定する算式又は有限要素法など</w:t>
      </w:r>
      <w:r w:rsidRPr="00BC31E0">
        <w:rPr>
          <w:rFonts w:hint="eastAsia"/>
        </w:rPr>
        <w:t>の適切な方法によ</w:t>
      </w:r>
      <w:r w:rsidR="00AF732A" w:rsidRPr="00BC31E0">
        <w:rPr>
          <w:rFonts w:hint="eastAsia"/>
        </w:rPr>
        <w:t>らなければならない</w:t>
      </w:r>
      <w:r w:rsidRPr="00BC31E0">
        <w:rPr>
          <w:rFonts w:hint="eastAsia"/>
        </w:rPr>
        <w:t>。ただし，クランプ継手の設計を</w:t>
      </w:r>
      <w:r w:rsidRPr="00BC31E0">
        <w:rPr>
          <w:rFonts w:ascii="ＭＳ ゴシック" w:eastAsia="ＭＳ ゴシック" w:hAnsi="ＭＳ ゴシック" w:hint="eastAsia"/>
          <w:b/>
        </w:rPr>
        <w:t>附属書H</w:t>
      </w:r>
      <w:r w:rsidRPr="00BC31E0">
        <w:rPr>
          <w:rFonts w:hint="eastAsia"/>
        </w:rPr>
        <w:t>による場合，フランジ部の内外径比は</w:t>
      </w:r>
      <w:r w:rsidRPr="00BC31E0">
        <w:t>1.5</w:t>
      </w:r>
      <w:r w:rsidRPr="00BC31E0">
        <w:rPr>
          <w:rFonts w:hint="eastAsia"/>
        </w:rPr>
        <w:t>以下とする。ねじ込み式のフランジの計算厚さは，</w:t>
      </w:r>
      <w:r w:rsidRPr="00BC31E0">
        <w:rPr>
          <w:rFonts w:ascii="ＭＳ ゴシック" w:eastAsia="ＭＳ ゴシック" w:hAnsi="ＭＳ ゴシック" w:hint="eastAsia"/>
          <w:b/>
        </w:rPr>
        <w:t>JIS B 8266 附属書3</w:t>
      </w:r>
      <w:r w:rsidRPr="00BC31E0">
        <w:rPr>
          <w:rFonts w:hint="eastAsia"/>
        </w:rPr>
        <w:t>においてルーズフランジとみなす。</w:t>
      </w:r>
    </w:p>
    <w:p w14:paraId="40E53228" w14:textId="77777777" w:rsidR="00F137F4" w:rsidRPr="00BC31E0" w:rsidRDefault="00EC75AD" w:rsidP="008113E1">
      <w:pPr>
        <w:pStyle w:val="20"/>
        <w:ind w:left="567" w:hanging="567"/>
      </w:pPr>
      <w:r w:rsidRPr="00BC31E0">
        <w:rPr>
          <w:rFonts w:hint="eastAsia"/>
        </w:rPr>
        <w:t xml:space="preserve">　</w:t>
      </w:r>
      <w:bookmarkStart w:id="64" w:name="_Toc120092533"/>
      <w:r w:rsidRPr="00BC31E0">
        <w:rPr>
          <w:rFonts w:hint="eastAsia"/>
        </w:rPr>
        <w:t>水素容器の特別要求</w:t>
      </w:r>
      <w:bookmarkEnd w:id="64"/>
    </w:p>
    <w:p w14:paraId="33C20CB6" w14:textId="77777777" w:rsidR="00F137F4" w:rsidRPr="00BC31E0" w:rsidRDefault="00EC75AD" w:rsidP="008113E1">
      <w:pPr>
        <w:pStyle w:val="3"/>
        <w:ind w:left="794" w:hanging="794"/>
      </w:pPr>
      <w:r w:rsidRPr="00BC31E0">
        <w:rPr>
          <w:rFonts w:hint="eastAsia"/>
        </w:rPr>
        <w:t xml:space="preserve"> </w:t>
      </w:r>
      <w:r w:rsidR="00F137F4" w:rsidRPr="00BC31E0">
        <w:rPr>
          <w:rFonts w:hint="eastAsia"/>
        </w:rPr>
        <w:t>適用範囲</w:t>
      </w:r>
    </w:p>
    <w:p w14:paraId="366E7656" w14:textId="77777777" w:rsidR="00F137F4" w:rsidRPr="00BC31E0" w:rsidRDefault="00F137F4" w:rsidP="00090BA4">
      <w:pPr>
        <w:pStyle w:val="1110"/>
        <w:ind w:firstLine="210"/>
      </w:pPr>
      <w:r w:rsidRPr="00BC31E0">
        <w:rPr>
          <w:rFonts w:hint="eastAsia"/>
        </w:rPr>
        <w:t>この項の要求は，次の</w:t>
      </w:r>
      <w:r w:rsidRPr="00BC31E0">
        <w:rPr>
          <w:rFonts w:ascii="ＭＳ ゴシック" w:eastAsia="ＭＳ ゴシック" w:hAnsi="ＭＳ ゴシック"/>
          <w:b/>
          <w:bCs/>
        </w:rPr>
        <w:t>a)</w:t>
      </w:r>
      <w:r w:rsidRPr="00BC31E0">
        <w:rPr>
          <w:rFonts w:hint="eastAsia"/>
        </w:rPr>
        <w:t>～</w:t>
      </w:r>
      <w:r w:rsidRPr="00BC31E0">
        <w:rPr>
          <w:rFonts w:ascii="ＭＳ ゴシック" w:eastAsia="ＭＳ ゴシック" w:hAnsi="ＭＳ ゴシック" w:hint="eastAsia"/>
          <w:b/>
          <w:bCs/>
        </w:rPr>
        <w:t>d</w:t>
      </w:r>
      <w:r w:rsidRPr="00BC31E0">
        <w:rPr>
          <w:rFonts w:ascii="ＭＳ ゴシック" w:eastAsia="ＭＳ ゴシック" w:hAnsi="ＭＳ ゴシック"/>
          <w:b/>
          <w:bCs/>
        </w:rPr>
        <w:t>)</w:t>
      </w:r>
      <w:r w:rsidRPr="00BC31E0">
        <w:rPr>
          <w:rFonts w:hint="eastAsia"/>
        </w:rPr>
        <w:t>の水素容器に適用する。水素容器は，</w:t>
      </w:r>
      <w:r w:rsidRPr="00BC31E0">
        <w:rPr>
          <w:rFonts w:ascii="ＭＳ ゴシック" w:eastAsia="ＭＳ ゴシック" w:hAnsi="ＭＳ ゴシック" w:hint="eastAsia"/>
          <w:b/>
          <w:bCs/>
        </w:rPr>
        <w:t>6.3</w:t>
      </w:r>
      <w:r w:rsidRPr="00BC31E0">
        <w:rPr>
          <w:rFonts w:hint="eastAsia"/>
        </w:rPr>
        <w:t>の疲労評価とこの項の破壊靱性要求に従う。</w:t>
      </w:r>
      <w:r w:rsidRPr="00BC31E0">
        <w:rPr>
          <w:rFonts w:ascii="ＭＳ ゴシック" w:eastAsia="ＭＳ ゴシック" w:hAnsi="ＭＳ ゴシック"/>
          <w:b/>
          <w:bCs/>
        </w:rPr>
        <w:t>a)</w:t>
      </w:r>
      <w:r w:rsidRPr="00BC31E0">
        <w:rPr>
          <w:rFonts w:hint="eastAsia"/>
        </w:rPr>
        <w:t>及び</w:t>
      </w:r>
      <w:r w:rsidRPr="00BC31E0">
        <w:rPr>
          <w:rFonts w:ascii="ＭＳ ゴシック" w:eastAsia="ＭＳ ゴシック" w:hAnsi="ＭＳ ゴシック" w:hint="eastAsia"/>
          <w:b/>
          <w:bCs/>
        </w:rPr>
        <w:t>b</w:t>
      </w:r>
      <w:r w:rsidRPr="00BC31E0">
        <w:rPr>
          <w:rFonts w:ascii="ＭＳ ゴシック" w:eastAsia="ＭＳ ゴシック" w:hAnsi="ＭＳ ゴシック"/>
          <w:b/>
          <w:bCs/>
        </w:rPr>
        <w:t>)</w:t>
      </w:r>
      <w:r w:rsidRPr="00BC31E0">
        <w:rPr>
          <w:rFonts w:hint="eastAsia"/>
        </w:rPr>
        <w:t>の容器にはこの項の要求は必須である。これらの要求は，この規格の他の要求事項への追加要求である。</w:t>
      </w:r>
    </w:p>
    <w:p w14:paraId="46BEA160" w14:textId="77777777" w:rsidR="00F137F4" w:rsidRPr="00BC31E0" w:rsidRDefault="00F137F4" w:rsidP="00736130">
      <w:pPr>
        <w:pStyle w:val="a4"/>
        <w:numPr>
          <w:ilvl w:val="0"/>
          <w:numId w:val="457"/>
        </w:numPr>
        <w:ind w:leftChars="0" w:left="454" w:hanging="454"/>
        <w:rPr>
          <w:rFonts w:asciiTheme="majorEastAsia" w:eastAsiaTheme="majorEastAsia" w:hAnsiTheme="majorEastAsia"/>
          <w:b/>
        </w:rPr>
      </w:pPr>
      <w:r w:rsidRPr="00BC31E0">
        <w:rPr>
          <w:rFonts w:asciiTheme="majorEastAsia" w:eastAsiaTheme="majorEastAsia" w:hAnsiTheme="majorEastAsia"/>
          <w:b/>
        </w:rPr>
        <w:t>95</w:t>
      </w:r>
      <w:r w:rsidRPr="00BC31E0">
        <w:rPr>
          <w:rFonts w:asciiTheme="majorEastAsia" w:eastAsiaTheme="majorEastAsia" w:hAnsiTheme="majorEastAsia" w:hint="eastAsia"/>
          <w:b/>
        </w:rPr>
        <w:t>℃未満で運転する非溶接容器</w:t>
      </w:r>
    </w:p>
    <w:p w14:paraId="1A41BB71" w14:textId="77777777" w:rsidR="00904606" w:rsidRPr="00BC31E0" w:rsidRDefault="00F137F4" w:rsidP="00736130">
      <w:pPr>
        <w:pStyle w:val="a4"/>
        <w:numPr>
          <w:ilvl w:val="0"/>
          <w:numId w:val="458"/>
        </w:numPr>
        <w:ind w:leftChars="0" w:left="738" w:hanging="454"/>
      </w:pPr>
      <w:r w:rsidRPr="00BC31E0">
        <w:rPr>
          <w:rFonts w:hint="eastAsia"/>
        </w:rPr>
        <w:t>水素分圧が</w:t>
      </w:r>
      <w:r w:rsidRPr="00BC31E0">
        <w:t>41 MPa</w:t>
      </w:r>
      <w:r w:rsidRPr="00BC31E0">
        <w:rPr>
          <w:rFonts w:hint="eastAsia"/>
        </w:rPr>
        <w:t>を超える容器</w:t>
      </w:r>
    </w:p>
    <w:p w14:paraId="66C0902D" w14:textId="77777777" w:rsidR="00F137F4" w:rsidRPr="00BC31E0" w:rsidRDefault="00F137F4" w:rsidP="00736130">
      <w:pPr>
        <w:pStyle w:val="a4"/>
        <w:numPr>
          <w:ilvl w:val="0"/>
          <w:numId w:val="458"/>
        </w:numPr>
        <w:ind w:leftChars="0" w:left="738" w:hanging="454"/>
      </w:pPr>
      <w:r w:rsidRPr="00BC31E0">
        <w:rPr>
          <w:rFonts w:ascii="ＭＳ 明朝" w:hint="eastAsia"/>
        </w:rPr>
        <w:t>機械試験から得られる引張強さ</w:t>
      </w:r>
      <w:r w:rsidRPr="00BC31E0">
        <w:rPr>
          <w:rFonts w:asciiTheme="minorHAnsi" w:hAnsiTheme="minorHAnsi"/>
        </w:rPr>
        <w:t>(</w:t>
      </w:r>
      <w:r w:rsidRPr="00BC31E0">
        <w:rPr>
          <w:rFonts w:asciiTheme="majorEastAsia" w:eastAsiaTheme="majorEastAsia" w:hAnsiTheme="majorEastAsia" w:hint="eastAsia"/>
          <w:b/>
        </w:rPr>
        <w:t>5.2.6</w:t>
      </w:r>
      <w:r w:rsidRPr="00BC31E0">
        <w:rPr>
          <w:rFonts w:ascii="ＭＳ 明朝" w:hint="eastAsia"/>
        </w:rPr>
        <w:t>，</w:t>
      </w:r>
      <w:r w:rsidRPr="00BC31E0">
        <w:rPr>
          <w:rFonts w:asciiTheme="majorEastAsia" w:eastAsiaTheme="majorEastAsia" w:hAnsiTheme="majorEastAsia" w:hint="eastAsia"/>
          <w:b/>
        </w:rPr>
        <w:t>5.2.8</w:t>
      </w:r>
      <w:r w:rsidRPr="00BC31E0">
        <w:rPr>
          <w:rFonts w:ascii="ＭＳ 明朝" w:hint="eastAsia"/>
        </w:rPr>
        <w:t>を参照</w:t>
      </w:r>
      <w:r w:rsidRPr="00BC31E0">
        <w:rPr>
          <w:rFonts w:asciiTheme="minorHAnsi" w:hAnsiTheme="minorHAnsi"/>
        </w:rPr>
        <w:t>)</w:t>
      </w:r>
      <w:r w:rsidRPr="00BC31E0">
        <w:rPr>
          <w:rFonts w:ascii="ＭＳ 明朝" w:hint="eastAsia"/>
        </w:rPr>
        <w:t>が</w:t>
      </w:r>
      <w:r w:rsidRPr="00BC31E0">
        <w:t>945 MPa</w:t>
      </w:r>
      <w:r w:rsidRPr="00BC31E0">
        <w:rPr>
          <w:rFonts w:ascii="ＭＳ 明朝" w:hint="eastAsia"/>
        </w:rPr>
        <w:t>を超える材料で構成され，水素分圧が</w:t>
      </w:r>
      <w:r w:rsidRPr="00BC31E0">
        <w:t>5.2 MPa</w:t>
      </w:r>
      <w:r w:rsidRPr="00BC31E0">
        <w:rPr>
          <w:rFonts w:ascii="ＭＳ 明朝" w:hint="eastAsia"/>
        </w:rPr>
        <w:t>を超える容器</w:t>
      </w:r>
    </w:p>
    <w:p w14:paraId="0467FC0C" w14:textId="77777777" w:rsidR="00F137F4" w:rsidRPr="00BC31E0" w:rsidRDefault="00F137F4" w:rsidP="00736130">
      <w:pPr>
        <w:pStyle w:val="a4"/>
        <w:numPr>
          <w:ilvl w:val="0"/>
          <w:numId w:val="459"/>
        </w:numPr>
        <w:ind w:leftChars="0" w:left="454" w:hanging="454"/>
        <w:rPr>
          <w:rFonts w:asciiTheme="majorEastAsia" w:eastAsiaTheme="majorEastAsia" w:hAnsiTheme="majorEastAsia"/>
          <w:b/>
        </w:rPr>
      </w:pPr>
      <w:r w:rsidRPr="00BC31E0">
        <w:rPr>
          <w:rFonts w:asciiTheme="majorEastAsia" w:eastAsiaTheme="majorEastAsia" w:hAnsiTheme="majorEastAsia" w:hint="eastAsia"/>
          <w:b/>
        </w:rPr>
        <w:t>95</w:t>
      </w:r>
      <w:r w:rsidR="0095167F" w:rsidRPr="00BC31E0">
        <w:rPr>
          <w:rFonts w:asciiTheme="majorEastAsia" w:eastAsiaTheme="majorEastAsia" w:hAnsiTheme="majorEastAsia" w:cs="ＭＳ 明朝" w:hint="eastAsia"/>
          <w:b/>
        </w:rPr>
        <w:t>℃</w:t>
      </w:r>
      <w:r w:rsidRPr="00BC31E0">
        <w:rPr>
          <w:rFonts w:asciiTheme="majorEastAsia" w:eastAsiaTheme="majorEastAsia" w:hAnsiTheme="majorEastAsia" w:hint="eastAsia"/>
          <w:b/>
        </w:rPr>
        <w:t>未満で運転する溶接容器</w:t>
      </w:r>
    </w:p>
    <w:p w14:paraId="243D08D7" w14:textId="77777777" w:rsidR="00036166" w:rsidRPr="00BC31E0" w:rsidRDefault="00F137F4" w:rsidP="00736130">
      <w:pPr>
        <w:pStyle w:val="a4"/>
        <w:numPr>
          <w:ilvl w:val="0"/>
          <w:numId w:val="460"/>
        </w:numPr>
        <w:ind w:leftChars="0" w:left="738" w:hanging="454"/>
      </w:pPr>
      <w:r w:rsidRPr="00BC31E0">
        <w:rPr>
          <w:rFonts w:hint="eastAsia"/>
        </w:rPr>
        <w:t>水素分圧が</w:t>
      </w:r>
      <w:r w:rsidRPr="00BC31E0">
        <w:t>17 MPa</w:t>
      </w:r>
      <w:r w:rsidRPr="00BC31E0">
        <w:rPr>
          <w:rFonts w:hint="eastAsia"/>
        </w:rPr>
        <w:t>を超える容器</w:t>
      </w:r>
    </w:p>
    <w:p w14:paraId="5488E796" w14:textId="77777777" w:rsidR="00F137F4" w:rsidRPr="00BC31E0" w:rsidRDefault="00F137F4" w:rsidP="00736130">
      <w:pPr>
        <w:pStyle w:val="a4"/>
        <w:numPr>
          <w:ilvl w:val="0"/>
          <w:numId w:val="460"/>
        </w:numPr>
        <w:ind w:leftChars="0" w:left="738" w:hanging="454"/>
      </w:pPr>
      <w:r w:rsidRPr="00BC31E0">
        <w:rPr>
          <w:rFonts w:ascii="ＭＳ 明朝" w:hint="eastAsia"/>
        </w:rPr>
        <w:t>機械試験から得られる引張強さ</w:t>
      </w:r>
      <w:r w:rsidRPr="00BC31E0">
        <w:rPr>
          <w:rFonts w:asciiTheme="minorHAnsi" w:hAnsiTheme="minorHAnsi"/>
        </w:rPr>
        <w:t>(</w:t>
      </w:r>
      <w:r w:rsidRPr="00BC31E0">
        <w:rPr>
          <w:rFonts w:asciiTheme="majorEastAsia" w:eastAsiaTheme="majorEastAsia" w:hAnsiTheme="majorEastAsia"/>
          <w:b/>
        </w:rPr>
        <w:t>5.2.6</w:t>
      </w:r>
      <w:r w:rsidRPr="00BC31E0">
        <w:rPr>
          <w:rFonts w:ascii="ＭＳ 明朝" w:hint="eastAsia"/>
        </w:rPr>
        <w:t>，</w:t>
      </w:r>
      <w:r w:rsidRPr="00BC31E0">
        <w:rPr>
          <w:rFonts w:asciiTheme="majorEastAsia" w:eastAsiaTheme="majorEastAsia" w:hAnsiTheme="majorEastAsia"/>
          <w:b/>
        </w:rPr>
        <w:t>5.2.8</w:t>
      </w:r>
      <w:r w:rsidRPr="00BC31E0">
        <w:rPr>
          <w:rFonts w:ascii="ＭＳ 明朝" w:hint="eastAsia"/>
        </w:rPr>
        <w:t>を参照</w:t>
      </w:r>
      <w:r w:rsidRPr="00BC31E0">
        <w:rPr>
          <w:rFonts w:asciiTheme="minorHAnsi" w:hAnsiTheme="minorHAnsi"/>
        </w:rPr>
        <w:t>)</w:t>
      </w:r>
      <w:r w:rsidRPr="00BC31E0">
        <w:rPr>
          <w:rFonts w:ascii="ＭＳ 明朝" w:hint="eastAsia"/>
        </w:rPr>
        <w:t>が</w:t>
      </w:r>
      <w:r w:rsidRPr="00BC31E0">
        <w:t>620 MPa</w:t>
      </w:r>
      <w:r w:rsidRPr="00BC31E0">
        <w:rPr>
          <w:rFonts w:ascii="ＭＳ 明朝" w:hint="eastAsia"/>
        </w:rPr>
        <w:t>を超える材料で構成され，水素分圧が</w:t>
      </w:r>
      <w:r w:rsidRPr="00BC31E0">
        <w:t>5.2 MPa</w:t>
      </w:r>
      <w:r w:rsidRPr="00BC31E0">
        <w:rPr>
          <w:rFonts w:ascii="ＭＳ 明朝" w:hint="eastAsia"/>
        </w:rPr>
        <w:t>を超える容器</w:t>
      </w:r>
    </w:p>
    <w:p w14:paraId="23294A46" w14:textId="77777777" w:rsidR="00F137F4" w:rsidRPr="00BC31E0" w:rsidRDefault="00F137F4" w:rsidP="00736130">
      <w:pPr>
        <w:pStyle w:val="a4"/>
        <w:numPr>
          <w:ilvl w:val="0"/>
          <w:numId w:val="461"/>
        </w:numPr>
        <w:ind w:leftChars="0" w:left="454" w:hanging="454"/>
        <w:rPr>
          <w:rFonts w:ascii="ＭＳ 明朝"/>
        </w:rPr>
      </w:pPr>
      <w:r w:rsidRPr="00BC31E0">
        <w:rPr>
          <w:rFonts w:asciiTheme="majorEastAsia" w:eastAsiaTheme="majorEastAsia" w:hAnsiTheme="majorEastAsia"/>
          <w:b/>
        </w:rPr>
        <w:t>95</w:t>
      </w:r>
      <w:r w:rsidR="0095167F" w:rsidRPr="00BC31E0">
        <w:rPr>
          <w:rFonts w:asciiTheme="majorEastAsia" w:eastAsiaTheme="majorEastAsia" w:hAnsiTheme="majorEastAsia" w:cs="ＭＳ 明朝" w:hint="eastAsia"/>
          <w:b/>
        </w:rPr>
        <w:t>℃</w:t>
      </w:r>
      <w:r w:rsidRPr="00BC31E0">
        <w:rPr>
          <w:rFonts w:asciiTheme="majorEastAsia" w:eastAsiaTheme="majorEastAsia" w:hAnsiTheme="majorEastAsia"/>
          <w:b/>
        </w:rPr>
        <w:t>を超えて運転する容器</w:t>
      </w:r>
      <w:r w:rsidRPr="00BC31E0">
        <w:rPr>
          <w:rFonts w:hint="eastAsia"/>
        </w:rPr>
        <w:t xml:space="preserve">　</w:t>
      </w:r>
      <w:r w:rsidRPr="00BC31E0">
        <w:rPr>
          <w:rFonts w:ascii="ＭＳ 明朝" w:hint="eastAsia"/>
        </w:rPr>
        <w:t>運転温度が</w:t>
      </w:r>
      <w:r w:rsidRPr="00BC31E0">
        <w:t>95</w:t>
      </w:r>
      <w:r w:rsidR="0095167F" w:rsidRPr="00BC31E0">
        <w:rPr>
          <w:rFonts w:ascii="ＭＳ 明朝" w:hAnsi="ＭＳ 明朝" w:cs="ＭＳ 明朝" w:hint="eastAsia"/>
        </w:rPr>
        <w:t>℃</w:t>
      </w:r>
      <w:r w:rsidRPr="00BC31E0">
        <w:rPr>
          <w:rFonts w:ascii="ＭＳ 明朝" w:hint="eastAsia"/>
        </w:rPr>
        <w:t>を超える容器にはこの項の要求は必須ではな</w:t>
      </w:r>
      <w:r w:rsidRPr="00BC31E0">
        <w:rPr>
          <w:rFonts w:ascii="ＭＳ 明朝" w:hint="eastAsia"/>
        </w:rPr>
        <w:lastRenderedPageBreak/>
        <w:t>い。しかしながら，もし容器が起動停止時を除いて</w:t>
      </w:r>
      <w:r w:rsidRPr="00BC31E0">
        <w:t>95</w:t>
      </w:r>
      <w:r w:rsidR="0095167F" w:rsidRPr="00BC31E0">
        <w:rPr>
          <w:rFonts w:ascii="ＭＳ 明朝" w:hAnsi="ＭＳ 明朝" w:cs="ＭＳ 明朝" w:hint="eastAsia"/>
        </w:rPr>
        <w:t>℃</w:t>
      </w:r>
      <w:r w:rsidRPr="00BC31E0">
        <w:rPr>
          <w:rFonts w:ascii="ＭＳ 明朝" w:hint="eastAsia"/>
        </w:rPr>
        <w:t>より高い温度の水素に晒された後に，引き続き</w:t>
      </w:r>
      <w:r w:rsidRPr="00BC31E0">
        <w:t>95</w:t>
      </w:r>
      <w:r w:rsidR="00F17F01" w:rsidRPr="00BC31E0">
        <w:rPr>
          <w:rFonts w:asciiTheme="minorEastAsia" w:eastAsiaTheme="minorEastAsia" w:hAnsiTheme="minorEastAsia" w:hint="eastAsia"/>
          <w:bCs/>
        </w:rPr>
        <w:t>℃</w:t>
      </w:r>
      <w:r w:rsidRPr="00BC31E0">
        <w:rPr>
          <w:rFonts w:ascii="ＭＳ 明朝" w:hint="eastAsia"/>
        </w:rPr>
        <w:t>未満の温度に晒されるような運転であるならば，この項の要求に従う。起動停止時の破壊モードとして脆性破壊を考慮する。</w:t>
      </w:r>
    </w:p>
    <w:p w14:paraId="02131EAC" w14:textId="77777777" w:rsidR="00F137F4" w:rsidRPr="00BC31E0" w:rsidRDefault="00F137F4" w:rsidP="00736130">
      <w:pPr>
        <w:pStyle w:val="a4"/>
        <w:numPr>
          <w:ilvl w:val="0"/>
          <w:numId w:val="442"/>
        </w:numPr>
        <w:ind w:leftChars="0" w:left="454" w:hanging="454"/>
      </w:pPr>
      <w:r w:rsidRPr="00BC31E0">
        <w:rPr>
          <w:rFonts w:hint="eastAsia"/>
        </w:rPr>
        <w:t>この項の要求は，</w:t>
      </w:r>
      <w:r w:rsidRPr="00BC31E0">
        <w:rPr>
          <w:rFonts w:asciiTheme="majorEastAsia" w:eastAsiaTheme="majorEastAsia" w:hAnsiTheme="majorEastAsia" w:hint="eastAsia"/>
          <w:b/>
        </w:rPr>
        <w:t>表5.4.1</w:t>
      </w:r>
      <w:r w:rsidRPr="00BC31E0">
        <w:rPr>
          <w:rFonts w:hint="eastAsia"/>
        </w:rPr>
        <w:t>の材料に適用する。</w:t>
      </w:r>
    </w:p>
    <w:p w14:paraId="328C6BA6" w14:textId="77777777" w:rsidR="00F137F4" w:rsidRPr="00BC31E0" w:rsidRDefault="00090BA4" w:rsidP="000D406F">
      <w:pPr>
        <w:pStyle w:val="3"/>
        <w:ind w:left="794" w:hanging="794"/>
      </w:pPr>
      <w:r w:rsidRPr="00BC31E0">
        <w:rPr>
          <w:rFonts w:hint="eastAsia"/>
        </w:rPr>
        <w:t xml:space="preserve"> </w:t>
      </w:r>
      <w:r w:rsidR="00F137F4" w:rsidRPr="00BC31E0">
        <w:rPr>
          <w:rFonts w:hint="eastAsia"/>
        </w:rPr>
        <w:t>制限事項</w:t>
      </w:r>
    </w:p>
    <w:p w14:paraId="500A9DDE" w14:textId="77777777" w:rsidR="00F137F4" w:rsidRPr="00BC31E0" w:rsidRDefault="00F137F4" w:rsidP="008E29CE">
      <w:pPr>
        <w:pStyle w:val="1110"/>
        <w:ind w:firstLine="210"/>
      </w:pPr>
      <w:r w:rsidRPr="00BC31E0">
        <w:rPr>
          <w:rFonts w:hint="eastAsia"/>
        </w:rPr>
        <w:t>最高設計温度は，次の</w:t>
      </w:r>
      <w:r w:rsidRPr="00BC31E0">
        <w:rPr>
          <w:rFonts w:ascii="ＭＳ ゴシック" w:eastAsia="ＭＳ ゴシック" w:hAnsi="ＭＳ ゴシック" w:hint="eastAsia"/>
          <w:b/>
        </w:rPr>
        <w:t>a)</w:t>
      </w:r>
      <w:r w:rsidRPr="00BC31E0">
        <w:rPr>
          <w:rFonts w:asciiTheme="minorEastAsia" w:eastAsiaTheme="minorEastAsia" w:hAnsiTheme="minorEastAsia" w:hint="eastAsia"/>
        </w:rPr>
        <w:t>～</w:t>
      </w:r>
      <w:r w:rsidRPr="00BC31E0">
        <w:rPr>
          <w:rFonts w:ascii="ＭＳ ゴシック" w:eastAsia="ＭＳ ゴシック" w:hAnsi="ＭＳ ゴシック" w:hint="eastAsia"/>
          <w:b/>
        </w:rPr>
        <w:t>d)</w:t>
      </w:r>
      <w:r w:rsidRPr="00BC31E0">
        <w:rPr>
          <w:rFonts w:hint="eastAsia"/>
        </w:rPr>
        <w:t>による。</w:t>
      </w:r>
    </w:p>
    <w:p w14:paraId="425720F8" w14:textId="77777777" w:rsidR="00295574" w:rsidRPr="00BC31E0" w:rsidRDefault="00F137F4" w:rsidP="00736130">
      <w:pPr>
        <w:pStyle w:val="a4"/>
        <w:numPr>
          <w:ilvl w:val="0"/>
          <w:numId w:val="462"/>
        </w:numPr>
        <w:ind w:leftChars="0" w:left="454" w:hanging="454"/>
      </w:pPr>
      <w:r w:rsidRPr="00BC31E0">
        <w:rPr>
          <w:rFonts w:asciiTheme="majorEastAsia" w:eastAsiaTheme="majorEastAsia" w:hAnsiTheme="majorEastAsia"/>
          <w:b/>
          <w:bCs/>
        </w:rPr>
        <w:t>API RP 941</w:t>
      </w:r>
      <w:r w:rsidRPr="00BC31E0">
        <w:rPr>
          <w:rFonts w:hint="eastAsia"/>
        </w:rPr>
        <w:t>の</w:t>
      </w:r>
      <w:r w:rsidRPr="00BC31E0">
        <w:rPr>
          <w:rFonts w:asciiTheme="majorEastAsia" w:eastAsiaTheme="majorEastAsia" w:hAnsiTheme="majorEastAsia" w:hint="eastAsia"/>
          <w:b/>
        </w:rPr>
        <w:t>図</w:t>
      </w:r>
      <w:r w:rsidRPr="00BC31E0">
        <w:rPr>
          <w:rFonts w:asciiTheme="majorEastAsia" w:eastAsiaTheme="majorEastAsia" w:hAnsiTheme="majorEastAsia"/>
          <w:b/>
        </w:rPr>
        <w:t>1</w:t>
      </w:r>
      <w:r w:rsidRPr="00BC31E0">
        <w:rPr>
          <w:rFonts w:hint="eastAsia"/>
        </w:rPr>
        <w:t>に含まれ，</w:t>
      </w:r>
      <w:r w:rsidRPr="00BC31E0">
        <w:rPr>
          <w:rFonts w:asciiTheme="majorEastAsia" w:eastAsiaTheme="majorEastAsia" w:hAnsiTheme="majorEastAsia"/>
          <w:b/>
          <w:bCs/>
        </w:rPr>
        <w:t>表5.4.1</w:t>
      </w:r>
      <w:r w:rsidRPr="00BC31E0">
        <w:rPr>
          <w:rFonts w:hint="eastAsia"/>
        </w:rPr>
        <w:t>に示される炭素鋼及び低合金鋼に対する最高設計温度は，運転限界を示した</w:t>
      </w:r>
      <w:r w:rsidRPr="00BC31E0">
        <w:rPr>
          <w:rFonts w:asciiTheme="majorEastAsia" w:eastAsiaTheme="majorEastAsia" w:hAnsiTheme="majorEastAsia"/>
          <w:b/>
          <w:bCs/>
        </w:rPr>
        <w:t>API RP 94</w:t>
      </w:r>
      <w:r w:rsidRPr="00BC31E0">
        <w:rPr>
          <w:rFonts w:asciiTheme="majorEastAsia" w:eastAsiaTheme="majorEastAsia" w:hAnsiTheme="majorEastAsia"/>
          <w:b/>
        </w:rPr>
        <w:t>1</w:t>
      </w:r>
      <w:r w:rsidRPr="00BC31E0">
        <w:rPr>
          <w:rFonts w:hint="eastAsia"/>
        </w:rPr>
        <w:t>の</w:t>
      </w:r>
      <w:r w:rsidRPr="00BC31E0">
        <w:rPr>
          <w:rFonts w:asciiTheme="majorEastAsia" w:eastAsiaTheme="majorEastAsia" w:hAnsiTheme="majorEastAsia" w:hint="eastAsia"/>
          <w:b/>
        </w:rPr>
        <w:t>図</w:t>
      </w:r>
      <w:r w:rsidRPr="00BC31E0">
        <w:rPr>
          <w:rFonts w:asciiTheme="majorEastAsia" w:eastAsiaTheme="majorEastAsia" w:hAnsiTheme="majorEastAsia"/>
          <w:b/>
        </w:rPr>
        <w:t>1</w:t>
      </w:r>
      <w:r w:rsidRPr="00BC31E0">
        <w:rPr>
          <w:rFonts w:hint="eastAsia"/>
        </w:rPr>
        <w:t>の該当する曲線以下とする。水素分圧が</w:t>
      </w:r>
      <w:r w:rsidRPr="00BC31E0">
        <w:t>90 MPa</w:t>
      </w:r>
      <w:r w:rsidRPr="00BC31E0">
        <w:rPr>
          <w:rFonts w:hint="eastAsia"/>
        </w:rPr>
        <w:t>を超え，</w:t>
      </w:r>
      <w:r w:rsidRPr="00BC31E0">
        <w:t>100 MPa</w:t>
      </w:r>
      <w:r w:rsidRPr="00BC31E0">
        <w:rPr>
          <w:rFonts w:hint="eastAsia"/>
        </w:rPr>
        <w:t>以下の場合には，水素分圧</w:t>
      </w:r>
      <w:r w:rsidRPr="00BC31E0">
        <w:t>90 MPa</w:t>
      </w:r>
      <w:r w:rsidRPr="00BC31E0">
        <w:rPr>
          <w:rFonts w:hint="eastAsia"/>
        </w:rPr>
        <w:t>における</w:t>
      </w:r>
      <w:r w:rsidRPr="00BC31E0">
        <w:rPr>
          <w:rFonts w:asciiTheme="majorEastAsia" w:eastAsiaTheme="majorEastAsia" w:hAnsiTheme="majorEastAsia"/>
          <w:b/>
          <w:bCs/>
        </w:rPr>
        <w:t>API RP 941</w:t>
      </w:r>
      <w:r w:rsidR="00D149A4" w:rsidRPr="00BC31E0">
        <w:rPr>
          <w:rFonts w:hint="eastAsia"/>
        </w:rPr>
        <w:t>の</w:t>
      </w:r>
      <w:r w:rsidRPr="00BC31E0">
        <w:rPr>
          <w:rFonts w:asciiTheme="majorEastAsia" w:eastAsiaTheme="majorEastAsia" w:hAnsiTheme="majorEastAsia"/>
          <w:b/>
        </w:rPr>
        <w:t>図1</w:t>
      </w:r>
      <w:r w:rsidRPr="00BC31E0">
        <w:rPr>
          <w:rFonts w:hint="eastAsia"/>
        </w:rPr>
        <w:t>の該当する曲線を用いてもよい。</w:t>
      </w:r>
      <w:r w:rsidRPr="00BC31E0">
        <w:t>100 MPa</w:t>
      </w:r>
      <w:r w:rsidRPr="00BC31E0">
        <w:rPr>
          <w:rFonts w:hint="eastAsia"/>
        </w:rPr>
        <w:t>を超える圧力では，温度は</w:t>
      </w:r>
      <w:r w:rsidRPr="00BC31E0">
        <w:t>65</w:t>
      </w:r>
      <w:r w:rsidR="0095167F" w:rsidRPr="00BC31E0">
        <w:rPr>
          <w:rFonts w:hAnsi="ＭＳ 明朝" w:cs="ＭＳ 明朝" w:hint="eastAsia"/>
        </w:rPr>
        <w:t>℃</w:t>
      </w:r>
      <w:r w:rsidRPr="00BC31E0">
        <w:rPr>
          <w:rFonts w:hint="eastAsia"/>
        </w:rPr>
        <w:t>を超えてはならない。</w:t>
      </w:r>
    </w:p>
    <w:p w14:paraId="2398A356" w14:textId="77777777" w:rsidR="00295574" w:rsidRPr="00BC31E0" w:rsidRDefault="00F137F4" w:rsidP="00736130">
      <w:pPr>
        <w:pStyle w:val="a4"/>
        <w:numPr>
          <w:ilvl w:val="0"/>
          <w:numId w:val="462"/>
        </w:numPr>
        <w:ind w:leftChars="0" w:left="454" w:hanging="454"/>
      </w:pPr>
      <w:r w:rsidRPr="00BC31E0">
        <w:rPr>
          <w:rFonts w:hint="eastAsia"/>
        </w:rPr>
        <w:t>オーステナイト系ステンレス鋼の最高設計温度は，</w:t>
      </w:r>
      <w:r w:rsidRPr="00BC31E0">
        <w:rPr>
          <w:rFonts w:asciiTheme="majorEastAsia" w:eastAsiaTheme="majorEastAsia" w:hAnsiTheme="majorEastAsia" w:hint="eastAsia"/>
          <w:b/>
          <w:bCs/>
        </w:rPr>
        <w:t>表5.4.1</w:t>
      </w:r>
      <w:r w:rsidRPr="00BC31E0">
        <w:rPr>
          <w:rFonts w:hint="eastAsia"/>
        </w:rPr>
        <w:t>の上限温度以下とする。</w:t>
      </w:r>
    </w:p>
    <w:p w14:paraId="31BEDA88" w14:textId="77777777" w:rsidR="00295574" w:rsidRPr="00BC31E0" w:rsidRDefault="00F137F4" w:rsidP="00736130">
      <w:pPr>
        <w:pStyle w:val="a4"/>
        <w:numPr>
          <w:ilvl w:val="0"/>
          <w:numId w:val="462"/>
        </w:numPr>
        <w:ind w:leftChars="0" w:left="454" w:hanging="454"/>
      </w:pPr>
      <w:r w:rsidRPr="00BC31E0">
        <w:rPr>
          <w:rFonts w:hint="eastAsia"/>
        </w:rPr>
        <w:t>アルミニウム合金の最高設計温度は，</w:t>
      </w:r>
      <w:r w:rsidRPr="00BC31E0">
        <w:rPr>
          <w:rFonts w:asciiTheme="majorEastAsia" w:eastAsiaTheme="majorEastAsia" w:hAnsiTheme="majorEastAsia" w:hint="eastAsia"/>
          <w:b/>
          <w:bCs/>
        </w:rPr>
        <w:t>表5.4.1</w:t>
      </w:r>
      <w:r w:rsidRPr="00BC31E0">
        <w:rPr>
          <w:rFonts w:hint="eastAsia"/>
        </w:rPr>
        <w:t>の上限温度以下とする。</w:t>
      </w:r>
    </w:p>
    <w:p w14:paraId="01D26768" w14:textId="77777777" w:rsidR="00F137F4" w:rsidRPr="00BC31E0" w:rsidRDefault="00F137F4" w:rsidP="00736130">
      <w:pPr>
        <w:pStyle w:val="a4"/>
        <w:numPr>
          <w:ilvl w:val="0"/>
          <w:numId w:val="462"/>
        </w:numPr>
        <w:ind w:leftChars="0" w:left="454" w:hanging="454"/>
      </w:pPr>
      <w:r w:rsidRPr="00BC31E0">
        <w:rPr>
          <w:rFonts w:hint="eastAsia"/>
        </w:rPr>
        <w:t>上記以外の材料の最高設計温度は，</w:t>
      </w:r>
      <w:r w:rsidRPr="00BC31E0">
        <w:t>205</w:t>
      </w:r>
      <w:r w:rsidRPr="00BC31E0">
        <w:rPr>
          <w:rFonts w:hAnsi="ＭＳ 明朝" w:cs="ＭＳ 明朝" w:hint="eastAsia"/>
        </w:rPr>
        <w:t>℃</w:t>
      </w:r>
      <w:r w:rsidRPr="00BC31E0">
        <w:rPr>
          <w:rFonts w:hint="eastAsia"/>
        </w:rPr>
        <w:t>以下とする。</w:t>
      </w:r>
    </w:p>
    <w:p w14:paraId="7FD5A5A4" w14:textId="77777777" w:rsidR="00F137F4" w:rsidRPr="00BC31E0" w:rsidRDefault="003C4BB8" w:rsidP="008E29CE">
      <w:pPr>
        <w:pStyle w:val="3"/>
        <w:tabs>
          <w:tab w:val="clear" w:pos="284"/>
        </w:tabs>
      </w:pPr>
      <w:r w:rsidRPr="00BC31E0">
        <w:rPr>
          <w:rFonts w:hint="eastAsia"/>
        </w:rPr>
        <w:t xml:space="preserve"> </w:t>
      </w:r>
      <w:r w:rsidR="00F137F4" w:rsidRPr="00BC31E0">
        <w:rPr>
          <w:rFonts w:hint="eastAsia"/>
        </w:rPr>
        <w:t>記号</w:t>
      </w:r>
    </w:p>
    <w:p w14:paraId="424092DF" w14:textId="77777777" w:rsidR="00F137F4" w:rsidRPr="00BC31E0" w:rsidRDefault="00F137F4" w:rsidP="008E29CE">
      <w:pPr>
        <w:tabs>
          <w:tab w:val="left" w:pos="851"/>
        </w:tabs>
        <w:ind w:left="1191" w:hanging="964"/>
      </w:pPr>
      <m:oMath>
        <m:r>
          <w:rPr>
            <w:rFonts w:ascii="Cambria Math" w:hAnsi="Cambria Math" w:hint="eastAsia"/>
          </w:rPr>
          <m:t>a</m:t>
        </m:r>
      </m:oMath>
      <w:r w:rsidRPr="00BC31E0">
        <w:rPr>
          <w:rFonts w:hint="eastAsia"/>
        </w:rPr>
        <w:tab/>
      </w:r>
      <w:r w:rsidRPr="00BC31E0">
        <w:rPr>
          <w:rFonts w:hint="eastAsia"/>
        </w:rPr>
        <w:t>：</w:t>
      </w:r>
      <w:r w:rsidR="003C4BB8" w:rsidRPr="00BC31E0">
        <w:rPr>
          <w:rFonts w:hint="eastAsia"/>
        </w:rPr>
        <w:t xml:space="preserve"> </w:t>
      </w:r>
      <w:r w:rsidRPr="00BC31E0">
        <w:rPr>
          <w:rFonts w:hint="eastAsia"/>
        </w:rPr>
        <w:t>亀裂の主平面寸法，亀裂深さ</w:t>
      </w:r>
      <w:r w:rsidRPr="00BC31E0">
        <w:rPr>
          <w:rFonts w:hint="eastAsia"/>
        </w:rPr>
        <w:t>(</w:t>
      </w:r>
      <w:r w:rsidRPr="00BC31E0">
        <w:rPr>
          <w:rFonts w:ascii="Cambria Math" w:hAnsi="Cambria Math"/>
        </w:rPr>
        <w:t>mm</w:t>
      </w:r>
      <w:r w:rsidRPr="00BC31E0">
        <w:rPr>
          <w:rFonts w:hint="eastAsia"/>
        </w:rPr>
        <w:t>)</w:t>
      </w:r>
    </w:p>
    <w:p w14:paraId="424F3D05" w14:textId="77777777" w:rsidR="00F137F4" w:rsidRPr="00BC31E0" w:rsidRDefault="00F137F4" w:rsidP="008E29CE">
      <w:pPr>
        <w:tabs>
          <w:tab w:val="left" w:pos="851"/>
        </w:tabs>
        <w:ind w:left="1191" w:hanging="964"/>
      </w:pPr>
      <m:oMath>
        <m:r>
          <w:rPr>
            <w:rFonts w:ascii="Cambria Math" w:hAnsi="Cambria Math"/>
          </w:rPr>
          <m:t>HAC</m:t>
        </m:r>
      </m:oMath>
      <w:r w:rsidRPr="00BC31E0">
        <w:rPr>
          <w:rFonts w:hint="eastAsia"/>
        </w:rPr>
        <w:tab/>
      </w:r>
      <w:r w:rsidR="003C4BB8" w:rsidRPr="00BC31E0">
        <w:rPr>
          <w:rFonts w:hint="eastAsia"/>
        </w:rPr>
        <w:t>：</w:t>
      </w:r>
      <w:r w:rsidR="003C4BB8" w:rsidRPr="00BC31E0">
        <w:rPr>
          <w:rFonts w:hint="eastAsia"/>
        </w:rPr>
        <w:t xml:space="preserve"> </w:t>
      </w:r>
      <w:r w:rsidRPr="00BC31E0">
        <w:rPr>
          <w:rFonts w:hint="eastAsia"/>
        </w:rPr>
        <w:t>水素誘起割れ</w:t>
      </w:r>
    </w:p>
    <w:p w14:paraId="74E4B1A5" w14:textId="77777777" w:rsidR="00F137F4" w:rsidRPr="00BC31E0" w:rsidRDefault="00A51873" w:rsidP="008E29CE">
      <w:pPr>
        <w:tabs>
          <w:tab w:val="left" w:pos="851"/>
        </w:tabs>
        <w:ind w:left="1191" w:hanging="964"/>
      </w:pPr>
      <m:oMath>
        <m:sSub>
          <m:sSubPr>
            <m:ctrlPr>
              <w:rPr>
                <w:rFonts w:ascii="Cambria Math" w:hAnsi="Cambria Math"/>
                <w:i/>
              </w:rPr>
            </m:ctrlPr>
          </m:sSubPr>
          <m:e>
            <m:r>
              <w:rPr>
                <w:rFonts w:ascii="Cambria Math" w:hAnsi="Cambria Math"/>
              </w:rPr>
              <m:t>K</m:t>
            </m:r>
          </m:e>
          <m:sub>
            <m:r>
              <m:rPr>
                <m:sty m:val="p"/>
              </m:rPr>
              <w:rPr>
                <w:rFonts w:ascii="Cambria Math" w:hAnsi="Cambria Math"/>
                <w:vertAlign w:val="subscript"/>
              </w:rPr>
              <m:t>I</m:t>
            </m:r>
            <m:r>
              <w:rPr>
                <w:rFonts w:ascii="Cambria Math" w:hAnsi="Cambria Math"/>
                <w:vertAlign w:val="subscript"/>
              </w:rPr>
              <m:t>C</m:t>
            </m:r>
          </m:sub>
        </m:sSub>
      </m:oMath>
      <w:r w:rsidR="00F137F4" w:rsidRPr="00BC31E0">
        <w:rPr>
          <w:rFonts w:hint="eastAsia"/>
        </w:rPr>
        <w:tab/>
      </w:r>
      <w:r w:rsidR="003C4BB8" w:rsidRPr="00BC31E0">
        <w:rPr>
          <w:rFonts w:hint="eastAsia"/>
        </w:rPr>
        <w:t>：</w:t>
      </w:r>
      <w:r w:rsidR="003C4BB8" w:rsidRPr="00BC31E0">
        <w:rPr>
          <w:rFonts w:hint="eastAsia"/>
        </w:rPr>
        <w:t xml:space="preserve"> </w:t>
      </w:r>
      <w:r w:rsidR="00F137F4" w:rsidRPr="00BC31E0">
        <w:rPr>
          <w:rFonts w:hint="eastAsia"/>
        </w:rPr>
        <w:t>平面ひずみ破壊靱性値</w:t>
      </w:r>
      <w:r w:rsidR="00F137F4" w:rsidRPr="00BC31E0">
        <w:rPr>
          <w:rFonts w:hint="eastAsia"/>
        </w:rPr>
        <w:t>(</w:t>
      </w:r>
      <m:oMath>
        <m:r>
          <m:rPr>
            <m:sty m:val="p"/>
          </m:rPr>
          <w:rPr>
            <w:rFonts w:ascii="Cambria Math" w:hAnsi="Cambria Math" w:hint="eastAsia"/>
            <w:vertAlign w:val="superscript"/>
          </w:rPr>
          <m:t>MPa</m:t>
        </m:r>
        <m:rad>
          <m:radPr>
            <m:degHide m:val="1"/>
            <m:ctrlPr>
              <w:rPr>
                <w:rFonts w:ascii="Cambria Math" w:hAnsi="Cambria Math"/>
                <w:vertAlign w:val="superscript"/>
              </w:rPr>
            </m:ctrlPr>
          </m:radPr>
          <m:deg/>
          <m:e>
            <m:r>
              <m:rPr>
                <m:sty m:val="p"/>
              </m:rPr>
              <w:rPr>
                <w:rFonts w:ascii="Cambria Math" w:hAnsi="Cambria Math"/>
                <w:vertAlign w:val="superscript"/>
              </w:rPr>
              <m:t>m</m:t>
            </m:r>
          </m:e>
        </m:rad>
      </m:oMath>
      <w:r w:rsidR="00F137F4" w:rsidRPr="00BC31E0">
        <w:rPr>
          <w:rFonts w:hint="eastAsia"/>
        </w:rPr>
        <w:t>)</w:t>
      </w:r>
    </w:p>
    <w:p w14:paraId="047FF610" w14:textId="77777777" w:rsidR="00F137F4" w:rsidRPr="00BC31E0" w:rsidRDefault="00A51873" w:rsidP="008E29CE">
      <w:pPr>
        <w:tabs>
          <w:tab w:val="left" w:pos="851"/>
        </w:tabs>
        <w:ind w:left="1191" w:hanging="964"/>
      </w:pPr>
      <m:oMath>
        <m:sSubSup>
          <m:sSubSupPr>
            <m:ctrlPr>
              <w:rPr>
                <w:rFonts w:ascii="Cambria Math" w:hAnsi="Cambria Math"/>
                <w:i/>
              </w:rPr>
            </m:ctrlPr>
          </m:sSubSupPr>
          <m:e>
            <m:r>
              <w:rPr>
                <w:rFonts w:ascii="Cambria Math" w:hAnsi="Cambria Math" w:hint="eastAsia"/>
              </w:rPr>
              <m:t>K</m:t>
            </m:r>
          </m:e>
          <m:sub>
            <m:r>
              <m:rPr>
                <m:sty m:val="p"/>
              </m:rPr>
              <w:rPr>
                <w:rFonts w:ascii="Cambria Math" w:hAnsi="Cambria Math" w:hint="eastAsia"/>
              </w:rPr>
              <m:t>Imax</m:t>
            </m:r>
          </m:sub>
          <m:sup>
            <m:r>
              <w:rPr>
                <w:rFonts w:ascii="Cambria Math" w:hAnsi="Cambria Math"/>
              </w:rPr>
              <m:t>*</m:t>
            </m:r>
          </m:sup>
        </m:sSubSup>
      </m:oMath>
      <w:r w:rsidR="00F137F4" w:rsidRPr="00BC31E0">
        <w:rPr>
          <w:rFonts w:hint="eastAsia"/>
        </w:rPr>
        <w:tab/>
      </w:r>
      <w:r w:rsidR="003C4BB8" w:rsidRPr="00BC31E0">
        <w:rPr>
          <w:rFonts w:hint="eastAsia"/>
        </w:rPr>
        <w:t>：</w:t>
      </w:r>
      <w:r w:rsidR="003C4BB8" w:rsidRPr="00BC31E0">
        <w:rPr>
          <w:rFonts w:hint="eastAsia"/>
        </w:rPr>
        <w:t xml:space="preserve"> </w:t>
      </w:r>
      <w:r w:rsidR="00F137F4" w:rsidRPr="00BC31E0">
        <w:rPr>
          <w:rFonts w:hint="eastAsia"/>
        </w:rPr>
        <w:t>残留応力を除く繰返し応力負荷による応力拡大係数の最大値</w:t>
      </w:r>
      <w:r w:rsidR="00F137F4" w:rsidRPr="00BC31E0">
        <w:rPr>
          <w:rFonts w:hint="eastAsia"/>
        </w:rPr>
        <w:t>(</w:t>
      </w:r>
      <m:oMath>
        <m:r>
          <m:rPr>
            <m:sty m:val="p"/>
          </m:rPr>
          <w:rPr>
            <w:rFonts w:ascii="Cambria Math" w:hAnsi="Cambria Math" w:hint="eastAsia"/>
            <w:vertAlign w:val="superscript"/>
          </w:rPr>
          <m:t>MPa</m:t>
        </m:r>
        <m:rad>
          <m:radPr>
            <m:degHide m:val="1"/>
            <m:ctrlPr>
              <w:rPr>
                <w:rFonts w:ascii="Cambria Math" w:hAnsi="Cambria Math"/>
                <w:vertAlign w:val="superscript"/>
              </w:rPr>
            </m:ctrlPr>
          </m:radPr>
          <m:deg/>
          <m:e>
            <m:r>
              <m:rPr>
                <m:sty m:val="p"/>
              </m:rPr>
              <w:rPr>
                <w:rFonts w:ascii="Cambria Math" w:hAnsi="Cambria Math"/>
                <w:vertAlign w:val="superscript"/>
              </w:rPr>
              <m:t>m</m:t>
            </m:r>
          </m:e>
        </m:rad>
      </m:oMath>
      <w:r w:rsidR="00F137F4" w:rsidRPr="00BC31E0">
        <w:rPr>
          <w:rFonts w:hint="eastAsia"/>
        </w:rPr>
        <w:t>)</w:t>
      </w:r>
    </w:p>
    <w:p w14:paraId="3C0F85AD" w14:textId="77777777" w:rsidR="00F137F4" w:rsidRPr="00BC31E0" w:rsidRDefault="00A51873" w:rsidP="008E29CE">
      <w:pPr>
        <w:tabs>
          <w:tab w:val="left" w:pos="851"/>
        </w:tabs>
        <w:ind w:left="1191" w:hanging="964"/>
      </w:pPr>
      <m:oMath>
        <m:sSubSup>
          <m:sSubSupPr>
            <m:ctrlPr>
              <w:rPr>
                <w:rFonts w:ascii="Cambria Math" w:hAnsi="Cambria Math"/>
                <w:i/>
              </w:rPr>
            </m:ctrlPr>
          </m:sSubSupPr>
          <m:e>
            <m:r>
              <w:rPr>
                <w:rFonts w:ascii="Cambria Math" w:hAnsi="Cambria Math" w:hint="eastAsia"/>
              </w:rPr>
              <m:t>K</m:t>
            </m:r>
          </m:e>
          <m:sub>
            <m:r>
              <m:rPr>
                <m:sty m:val="p"/>
              </m:rPr>
              <w:rPr>
                <w:rFonts w:ascii="Cambria Math" w:hAnsi="Cambria Math" w:hint="eastAsia"/>
              </w:rPr>
              <m:t>Im</m:t>
            </m:r>
            <m:r>
              <m:rPr>
                <m:sty m:val="p"/>
              </m:rPr>
              <w:rPr>
                <w:rFonts w:ascii="Cambria Math" w:hAnsi="Cambria Math"/>
              </w:rPr>
              <m:t>in</m:t>
            </m:r>
          </m:sub>
          <m:sup>
            <m:r>
              <w:rPr>
                <w:rFonts w:ascii="Cambria Math" w:hAnsi="Cambria Math"/>
              </w:rPr>
              <m:t>*</m:t>
            </m:r>
          </m:sup>
        </m:sSubSup>
      </m:oMath>
      <w:r w:rsidR="00F137F4" w:rsidRPr="00BC31E0">
        <w:rPr>
          <w:rFonts w:hint="eastAsia"/>
        </w:rPr>
        <w:tab/>
      </w:r>
      <w:r w:rsidR="003C4BB8" w:rsidRPr="00BC31E0">
        <w:rPr>
          <w:rFonts w:hint="eastAsia"/>
        </w:rPr>
        <w:t>：</w:t>
      </w:r>
      <w:r w:rsidR="003C4BB8" w:rsidRPr="00BC31E0">
        <w:rPr>
          <w:rFonts w:hint="eastAsia"/>
        </w:rPr>
        <w:t xml:space="preserve"> </w:t>
      </w:r>
      <w:r w:rsidR="00F137F4" w:rsidRPr="00BC31E0">
        <w:rPr>
          <w:rFonts w:hint="eastAsia"/>
        </w:rPr>
        <w:t>残留応力を除く繰返し応力負荷による応力拡大係数の最小値</w:t>
      </w:r>
      <w:r w:rsidR="00F137F4" w:rsidRPr="00BC31E0">
        <w:rPr>
          <w:rFonts w:hint="eastAsia"/>
        </w:rPr>
        <w:t>(</w:t>
      </w:r>
      <m:oMath>
        <m:r>
          <m:rPr>
            <m:sty m:val="p"/>
          </m:rPr>
          <w:rPr>
            <w:rFonts w:ascii="Cambria Math" w:hAnsi="Cambria Math" w:hint="eastAsia"/>
            <w:vertAlign w:val="superscript"/>
          </w:rPr>
          <m:t>MPa</m:t>
        </m:r>
        <m:rad>
          <m:radPr>
            <m:degHide m:val="1"/>
            <m:ctrlPr>
              <w:rPr>
                <w:rFonts w:ascii="Cambria Math" w:hAnsi="Cambria Math"/>
                <w:vertAlign w:val="superscript"/>
              </w:rPr>
            </m:ctrlPr>
          </m:radPr>
          <m:deg/>
          <m:e>
            <m:r>
              <m:rPr>
                <m:sty m:val="p"/>
              </m:rPr>
              <w:rPr>
                <w:rFonts w:ascii="Cambria Math" w:hAnsi="Cambria Math"/>
                <w:vertAlign w:val="superscript"/>
              </w:rPr>
              <m:t>m</m:t>
            </m:r>
          </m:e>
        </m:rad>
      </m:oMath>
      <w:r w:rsidR="00F137F4" w:rsidRPr="00BC31E0">
        <w:rPr>
          <w:rFonts w:hint="eastAsia"/>
        </w:rPr>
        <w:t>)</w:t>
      </w:r>
    </w:p>
    <w:p w14:paraId="3A880ABA" w14:textId="77777777" w:rsidR="00F137F4" w:rsidRPr="00BC31E0" w:rsidRDefault="00A51873" w:rsidP="008E29CE">
      <w:pPr>
        <w:tabs>
          <w:tab w:val="left" w:pos="851"/>
        </w:tabs>
        <w:ind w:left="1191" w:hanging="964"/>
      </w:pPr>
      <m:oMath>
        <m:sSub>
          <m:sSubPr>
            <m:ctrlPr>
              <w:rPr>
                <w:rFonts w:ascii="Cambria Math" w:hAnsi="Cambria Math"/>
                <w:i/>
              </w:rPr>
            </m:ctrlPr>
          </m:sSubPr>
          <m:e>
            <m:r>
              <w:rPr>
                <w:rFonts w:ascii="Cambria Math" w:hAnsi="Cambria Math"/>
              </w:rPr>
              <m:t>K</m:t>
            </m:r>
          </m:e>
          <m:sub>
            <m:r>
              <m:rPr>
                <m:sty m:val="p"/>
              </m:rPr>
              <w:rPr>
                <w:rFonts w:ascii="Cambria Math" w:hAnsi="Cambria Math"/>
              </w:rPr>
              <m:t>I</m:t>
            </m:r>
            <m:r>
              <w:rPr>
                <w:rFonts w:ascii="Cambria Math" w:hAnsi="Cambria Math"/>
              </w:rPr>
              <m:t>res</m:t>
            </m:r>
          </m:sub>
        </m:sSub>
      </m:oMath>
      <w:r w:rsidR="00F137F4" w:rsidRPr="00BC31E0">
        <w:t xml:space="preserve"> </w:t>
      </w:r>
      <w:r w:rsidR="00F137F4" w:rsidRPr="00BC31E0">
        <w:rPr>
          <w:rFonts w:hint="eastAsia"/>
        </w:rPr>
        <w:tab/>
      </w:r>
      <w:r w:rsidR="00F137F4" w:rsidRPr="00BC31E0">
        <w:rPr>
          <w:rFonts w:hint="eastAsia"/>
        </w:rPr>
        <w:t>：</w:t>
      </w:r>
      <w:r w:rsidR="003C4BB8" w:rsidRPr="00BC31E0">
        <w:rPr>
          <w:rFonts w:hint="eastAsia"/>
        </w:rPr>
        <w:t xml:space="preserve"> </w:t>
      </w:r>
      <w:r w:rsidR="00F137F4" w:rsidRPr="00BC31E0">
        <w:rPr>
          <w:rFonts w:hint="eastAsia"/>
        </w:rPr>
        <w:t>残留応力による応力拡大係数</w:t>
      </w:r>
      <w:r w:rsidR="00F137F4" w:rsidRPr="00BC31E0">
        <w:rPr>
          <w:rFonts w:hint="eastAsia"/>
        </w:rPr>
        <w:t>(</w:t>
      </w:r>
      <m:oMath>
        <m:r>
          <m:rPr>
            <m:sty m:val="p"/>
          </m:rPr>
          <w:rPr>
            <w:rFonts w:ascii="Cambria Math" w:hAnsi="Cambria Math" w:hint="eastAsia"/>
            <w:vertAlign w:val="superscript"/>
          </w:rPr>
          <m:t>MPa</m:t>
        </m:r>
        <m:rad>
          <m:radPr>
            <m:degHide m:val="1"/>
            <m:ctrlPr>
              <w:rPr>
                <w:rFonts w:ascii="Cambria Math" w:hAnsi="Cambria Math"/>
                <w:vertAlign w:val="superscript"/>
              </w:rPr>
            </m:ctrlPr>
          </m:radPr>
          <m:deg/>
          <m:e>
            <m:r>
              <m:rPr>
                <m:sty m:val="p"/>
              </m:rPr>
              <w:rPr>
                <w:rFonts w:ascii="Cambria Math" w:hAnsi="Cambria Math"/>
                <w:vertAlign w:val="superscript"/>
              </w:rPr>
              <m:t>m</m:t>
            </m:r>
          </m:e>
        </m:rad>
      </m:oMath>
      <w:r w:rsidR="00F137F4" w:rsidRPr="00BC31E0">
        <w:rPr>
          <w:rFonts w:hint="eastAsia"/>
        </w:rPr>
        <w:t>)</w:t>
      </w:r>
    </w:p>
    <w:p w14:paraId="101042FC" w14:textId="77777777" w:rsidR="00F137F4" w:rsidRPr="00BC31E0" w:rsidRDefault="00A51873" w:rsidP="008E29CE">
      <w:pPr>
        <w:tabs>
          <w:tab w:val="left" w:pos="851"/>
        </w:tabs>
        <w:ind w:left="1191" w:hanging="964"/>
      </w:pPr>
      <m:oMath>
        <m:sSub>
          <m:sSubPr>
            <m:ctrlPr>
              <w:rPr>
                <w:rFonts w:ascii="Cambria Math" w:hAnsi="Cambria Math"/>
                <w:i/>
              </w:rPr>
            </m:ctrlPr>
          </m:sSubPr>
          <m:e>
            <m:r>
              <w:rPr>
                <w:rFonts w:ascii="Cambria Math" w:hAnsi="Cambria Math"/>
              </w:rPr>
              <m:t>K</m:t>
            </m:r>
          </m:e>
          <m:sub>
            <m:r>
              <m:rPr>
                <m:sty m:val="p"/>
              </m:rPr>
              <w:rPr>
                <w:rFonts w:ascii="Cambria Math" w:hAnsi="Cambria Math"/>
                <w:vertAlign w:val="subscript"/>
              </w:rPr>
              <m:t>I</m:t>
            </m:r>
            <m:r>
              <w:rPr>
                <w:rFonts w:ascii="Cambria Math" w:hAnsi="Cambria Math"/>
                <w:vertAlign w:val="subscript"/>
              </w:rPr>
              <m:t>H</m:t>
            </m:r>
          </m:sub>
        </m:sSub>
      </m:oMath>
      <w:r w:rsidR="00F137F4" w:rsidRPr="00BC31E0">
        <w:rPr>
          <w:rFonts w:hint="eastAsia"/>
        </w:rPr>
        <w:tab/>
      </w:r>
      <w:r w:rsidR="003C4BB8" w:rsidRPr="00BC31E0">
        <w:rPr>
          <w:rFonts w:hint="eastAsia"/>
        </w:rPr>
        <w:t>：</w:t>
      </w:r>
      <w:r w:rsidR="003C4BB8" w:rsidRPr="00BC31E0">
        <w:rPr>
          <w:rFonts w:hint="eastAsia"/>
        </w:rPr>
        <w:t xml:space="preserve"> </w:t>
      </w:r>
      <w:r w:rsidR="00F137F4" w:rsidRPr="00BC31E0">
        <w:rPr>
          <w:rFonts w:hint="eastAsia"/>
        </w:rPr>
        <w:t>水素誘起割れに対する下限界応力拡大係数</w:t>
      </w:r>
      <w:r w:rsidR="00F137F4" w:rsidRPr="00BC31E0">
        <w:rPr>
          <w:rFonts w:hint="eastAsia"/>
        </w:rPr>
        <w:t>(</w:t>
      </w:r>
      <m:oMath>
        <m:r>
          <m:rPr>
            <m:sty m:val="p"/>
          </m:rPr>
          <w:rPr>
            <w:rFonts w:ascii="Cambria Math" w:hAnsi="Cambria Math" w:hint="eastAsia"/>
            <w:vertAlign w:val="superscript"/>
          </w:rPr>
          <m:t>MPa</m:t>
        </m:r>
        <m:rad>
          <m:radPr>
            <m:degHide m:val="1"/>
            <m:ctrlPr>
              <w:rPr>
                <w:rFonts w:ascii="Cambria Math" w:hAnsi="Cambria Math"/>
                <w:vertAlign w:val="superscript"/>
              </w:rPr>
            </m:ctrlPr>
          </m:radPr>
          <m:deg/>
          <m:e>
            <m:r>
              <m:rPr>
                <m:sty m:val="p"/>
              </m:rPr>
              <w:rPr>
                <w:rFonts w:ascii="Cambria Math" w:hAnsi="Cambria Math"/>
                <w:vertAlign w:val="superscript"/>
              </w:rPr>
              <m:t>m</m:t>
            </m:r>
          </m:e>
        </m:rad>
      </m:oMath>
      <w:r w:rsidR="00F137F4" w:rsidRPr="00BC31E0">
        <w:rPr>
          <w:rFonts w:hint="eastAsia"/>
        </w:rPr>
        <w:t>)</w:t>
      </w:r>
    </w:p>
    <w:p w14:paraId="5AE686FA" w14:textId="77777777" w:rsidR="00F137F4" w:rsidRPr="00BC31E0" w:rsidRDefault="00F137F4" w:rsidP="008E29CE">
      <w:pPr>
        <w:tabs>
          <w:tab w:val="left" w:pos="851"/>
        </w:tabs>
        <w:ind w:left="1191" w:hanging="964"/>
      </w:pPr>
      <m:oMath>
        <m:r>
          <w:rPr>
            <w:rFonts w:ascii="Cambria Math" w:hAnsi="Cambria Math"/>
          </w:rPr>
          <m:t>LT</m:t>
        </m:r>
      </m:oMath>
      <w:r w:rsidRPr="00BC31E0">
        <w:rPr>
          <w:rFonts w:hint="eastAsia"/>
        </w:rPr>
        <w:tab/>
      </w:r>
      <w:r w:rsidR="003C4BB8" w:rsidRPr="00BC31E0">
        <w:rPr>
          <w:rFonts w:hint="eastAsia"/>
        </w:rPr>
        <w:t>：</w:t>
      </w:r>
      <w:r w:rsidR="003C4BB8" w:rsidRPr="00BC31E0">
        <w:rPr>
          <w:rFonts w:hint="eastAsia"/>
        </w:rPr>
        <w:t xml:space="preserve"> </w:t>
      </w:r>
      <w:r w:rsidRPr="00BC31E0">
        <w:rPr>
          <w:rFonts w:hint="eastAsia"/>
        </w:rPr>
        <w:t>試験片の破断面が，板の場合には長手方向に垂直な方向，管の場合には長手方向に垂直な方向にあり，亀裂の進展方向が，板の場合には主圧延方向を横断又は板幅方向，管の場合には周方向になることを表す。</w:t>
      </w:r>
    </w:p>
    <w:p w14:paraId="58D4FEF5" w14:textId="77777777" w:rsidR="00F137F4" w:rsidRPr="00BC31E0" w:rsidRDefault="00F137F4" w:rsidP="008E29CE">
      <w:pPr>
        <w:tabs>
          <w:tab w:val="left" w:pos="851"/>
        </w:tabs>
        <w:ind w:left="1191" w:hanging="964"/>
      </w:pPr>
      <m:oMath>
        <m:r>
          <w:rPr>
            <w:rFonts w:ascii="Cambria Math" w:hAnsi="Cambria Math"/>
          </w:rPr>
          <m:t>TL</m:t>
        </m:r>
      </m:oMath>
      <w:r w:rsidRPr="00BC31E0">
        <w:rPr>
          <w:rFonts w:hint="eastAsia"/>
        </w:rPr>
        <w:tab/>
      </w:r>
      <w:r w:rsidR="003C4BB8" w:rsidRPr="00BC31E0">
        <w:rPr>
          <w:rFonts w:hint="eastAsia"/>
        </w:rPr>
        <w:t>：</w:t>
      </w:r>
      <w:r w:rsidR="003C4BB8" w:rsidRPr="00BC31E0">
        <w:rPr>
          <w:rFonts w:hint="eastAsia"/>
        </w:rPr>
        <w:t xml:space="preserve"> </w:t>
      </w:r>
      <w:r w:rsidRPr="00BC31E0">
        <w:rPr>
          <w:rFonts w:hint="eastAsia"/>
        </w:rPr>
        <w:t>試験片の破断面が，板の場合には板幅に垂直な方向，管の場合には周方向に垂直な方向，亀裂の進展方向が，板の場合には主圧延方向又は板の長手方向，管の場合には長手方向になることを表す。</w:t>
      </w:r>
    </w:p>
    <w:p w14:paraId="7E45EA8C" w14:textId="77777777" w:rsidR="00F137F4" w:rsidRPr="00BC31E0" w:rsidRDefault="00452AE5" w:rsidP="002439C4">
      <w:pPr>
        <w:pStyle w:val="3"/>
        <w:ind w:left="794" w:hanging="794"/>
      </w:pPr>
      <w:r w:rsidRPr="00BC31E0">
        <w:rPr>
          <w:rFonts w:hint="eastAsia"/>
        </w:rPr>
        <w:t xml:space="preserve"> </w:t>
      </w:r>
      <w:r w:rsidR="00F137F4" w:rsidRPr="00BC31E0">
        <w:rPr>
          <w:rFonts w:hint="eastAsia"/>
        </w:rPr>
        <w:t>使用者設計仕様書</w:t>
      </w:r>
    </w:p>
    <w:p w14:paraId="5B43EC20" w14:textId="77777777" w:rsidR="00F137F4" w:rsidRPr="00BC31E0" w:rsidRDefault="00F137F4" w:rsidP="008E29CE">
      <w:pPr>
        <w:pStyle w:val="1110"/>
        <w:ind w:firstLine="210"/>
      </w:pPr>
      <w:r w:rsidRPr="00BC31E0">
        <w:rPr>
          <w:rFonts w:hint="eastAsia"/>
        </w:rPr>
        <w:t>この規格に従って製作される水素容器に対して，この項の特別要求が適用されるときには，使用者はこれを使用者設計仕様書に明記する</w:t>
      </w:r>
      <w:r w:rsidRPr="00BC31E0">
        <w:rPr>
          <w:rFonts w:hint="eastAsia"/>
        </w:rPr>
        <w:t>(</w:t>
      </w:r>
      <w:r w:rsidRPr="00BC31E0">
        <w:rPr>
          <w:rFonts w:ascii="ＭＳ ゴシック" w:eastAsia="ＭＳ ゴシック" w:hAnsi="ＭＳ ゴシック" w:hint="eastAsia"/>
          <w:b/>
        </w:rPr>
        <w:t>1.2.1</w:t>
      </w:r>
      <w:r w:rsidRPr="00BC31E0">
        <w:rPr>
          <w:rFonts w:hint="eastAsia"/>
        </w:rPr>
        <w:t>を参照</w:t>
      </w:r>
      <w:r w:rsidRPr="00BC31E0">
        <w:rPr>
          <w:rFonts w:hint="eastAsia"/>
        </w:rPr>
        <w:t>)</w:t>
      </w:r>
      <w:r w:rsidRPr="00BC31E0">
        <w:rPr>
          <w:rFonts w:hint="eastAsia"/>
        </w:rPr>
        <w:t>。</w:t>
      </w:r>
    </w:p>
    <w:p w14:paraId="57C67DC9" w14:textId="77777777" w:rsidR="00F137F4" w:rsidRPr="00BC31E0" w:rsidRDefault="00452AE5" w:rsidP="002439C4">
      <w:pPr>
        <w:pStyle w:val="3"/>
        <w:ind w:left="794" w:hanging="794"/>
      </w:pPr>
      <w:r w:rsidRPr="00BC31E0">
        <w:rPr>
          <w:rFonts w:hint="eastAsia"/>
        </w:rPr>
        <w:t xml:space="preserve"> </w:t>
      </w:r>
      <w:r w:rsidR="00F137F4" w:rsidRPr="00BC31E0">
        <w:rPr>
          <w:rFonts w:hint="eastAsia"/>
        </w:rPr>
        <w:t>材料の水素適合性</w:t>
      </w:r>
      <w:r w:rsidR="000E1A2F" w:rsidRPr="00BC31E0">
        <w:rPr>
          <w:rFonts w:asciiTheme="majorEastAsia" w:eastAsiaTheme="majorEastAsia" w:hAnsiTheme="majorEastAsia" w:hint="eastAsia"/>
          <w:vertAlign w:val="superscript"/>
        </w:rPr>
        <w:t>1</w:t>
      </w:r>
      <w:r w:rsidR="000E1A2F" w:rsidRPr="00BC31E0">
        <w:rPr>
          <w:rFonts w:asciiTheme="majorEastAsia" w:eastAsiaTheme="majorEastAsia" w:hAnsiTheme="majorEastAsia"/>
          <w:vertAlign w:val="superscript"/>
        </w:rPr>
        <w:t>)</w:t>
      </w:r>
    </w:p>
    <w:p w14:paraId="74D47304" w14:textId="77777777" w:rsidR="00F137F4" w:rsidRPr="00BC31E0" w:rsidRDefault="00F137F4" w:rsidP="008E29CE">
      <w:pPr>
        <w:pStyle w:val="1110"/>
        <w:ind w:firstLine="210"/>
      </w:pPr>
      <w:r w:rsidRPr="00BC31E0">
        <w:rPr>
          <w:rFonts w:hint="eastAsia"/>
        </w:rPr>
        <w:t>水素容器に使用する材料は，次の</w:t>
      </w:r>
      <w:r w:rsidRPr="00BC31E0">
        <w:rPr>
          <w:rFonts w:asciiTheme="majorEastAsia" w:eastAsiaTheme="majorEastAsia" w:hAnsiTheme="majorEastAsia" w:hint="eastAsia"/>
          <w:b/>
        </w:rPr>
        <w:t>a)</w:t>
      </w:r>
      <w:r w:rsidRPr="00BC31E0">
        <w:rPr>
          <w:rFonts w:hint="eastAsia"/>
        </w:rPr>
        <w:t>により水素適合性を判定する。ただし，</w:t>
      </w:r>
      <w:r w:rsidRPr="00BC31E0">
        <w:rPr>
          <w:rFonts w:hint="eastAsia"/>
        </w:rPr>
        <w:t>Type 316</w:t>
      </w:r>
      <w:r w:rsidRPr="00BC31E0">
        <w:rPr>
          <w:rFonts w:hint="eastAsia"/>
        </w:rPr>
        <w:t>と</w:t>
      </w:r>
      <w:r w:rsidRPr="00BC31E0">
        <w:rPr>
          <w:rFonts w:hint="eastAsia"/>
        </w:rPr>
        <w:t>Type</w:t>
      </w:r>
      <w:r w:rsidR="00954D21" w:rsidRPr="00BC31E0">
        <w:rPr>
          <w:rFonts w:hint="eastAsia"/>
        </w:rPr>
        <w:t xml:space="preserve"> </w:t>
      </w:r>
      <w:r w:rsidRPr="00BC31E0">
        <w:rPr>
          <w:rFonts w:hint="eastAsia"/>
        </w:rPr>
        <w:t>316L</w:t>
      </w:r>
      <w:r w:rsidRPr="00BC31E0">
        <w:rPr>
          <w:rFonts w:hint="eastAsia"/>
        </w:rPr>
        <w:t>オーステナイト系ステンレス鋼は，次の</w:t>
      </w:r>
      <w:r w:rsidRPr="00BC31E0">
        <w:rPr>
          <w:rFonts w:asciiTheme="majorEastAsia" w:eastAsiaTheme="majorEastAsia" w:hAnsiTheme="majorEastAsia" w:hint="eastAsia"/>
          <w:b/>
        </w:rPr>
        <w:t>b)</w:t>
      </w:r>
      <w:r w:rsidRPr="00BC31E0">
        <w:rPr>
          <w:rFonts w:hint="eastAsia"/>
        </w:rPr>
        <w:t>により水素適合性を判定してもよい。</w:t>
      </w:r>
    </w:p>
    <w:p w14:paraId="154D48FB" w14:textId="77777777" w:rsidR="00F137F4" w:rsidRPr="00BC31E0" w:rsidRDefault="00F137F4" w:rsidP="00736130">
      <w:pPr>
        <w:pStyle w:val="a4"/>
        <w:numPr>
          <w:ilvl w:val="0"/>
          <w:numId w:val="318"/>
        </w:numPr>
        <w:ind w:leftChars="0" w:left="454" w:hanging="454"/>
        <w:rPr>
          <w:rFonts w:ascii="ＭＳ 明朝" w:hAnsi="ＭＳ 明朝"/>
        </w:rPr>
      </w:pPr>
      <w:r w:rsidRPr="00BC31E0">
        <w:rPr>
          <w:rFonts w:asciiTheme="majorEastAsia" w:eastAsiaTheme="majorEastAsia" w:hAnsiTheme="majorEastAsia" w:hint="eastAsia"/>
          <w:b/>
        </w:rPr>
        <w:t>SSRT(Slow Strain Rate Tensile Test)の試験結果による判定</w:t>
      </w:r>
      <w:r w:rsidRPr="00BC31E0">
        <w:rPr>
          <w:rFonts w:asciiTheme="minorHAnsi" w:eastAsiaTheme="minorEastAsia" w:hAnsiTheme="minorEastAsia"/>
        </w:rPr>
        <w:t xml:space="preserve">　次の</w:t>
      </w:r>
      <w:r w:rsidRPr="00BC31E0">
        <w:rPr>
          <w:rFonts w:asciiTheme="majorEastAsia" w:eastAsiaTheme="majorEastAsia" w:hAnsiTheme="majorEastAsia"/>
          <w:b/>
        </w:rPr>
        <w:t>1)</w:t>
      </w:r>
      <w:r w:rsidRPr="00BC31E0">
        <w:rPr>
          <w:rFonts w:asciiTheme="minorHAnsi" w:eastAsiaTheme="minorEastAsia" w:hAnsiTheme="minorEastAsia"/>
        </w:rPr>
        <w:t>～</w:t>
      </w:r>
      <w:r w:rsidR="00DB0172" w:rsidRPr="00BC31E0">
        <w:rPr>
          <w:rFonts w:asciiTheme="majorEastAsia" w:eastAsiaTheme="majorEastAsia" w:hAnsiTheme="majorEastAsia" w:hint="eastAsia"/>
          <w:b/>
        </w:rPr>
        <w:t>6</w:t>
      </w:r>
      <w:r w:rsidRPr="00BC31E0">
        <w:rPr>
          <w:rFonts w:asciiTheme="majorEastAsia" w:eastAsiaTheme="majorEastAsia" w:hAnsiTheme="majorEastAsia"/>
          <w:b/>
        </w:rPr>
        <w:t>)</w:t>
      </w:r>
      <w:r w:rsidRPr="00BC31E0">
        <w:rPr>
          <w:rFonts w:asciiTheme="minorHAnsi" w:eastAsiaTheme="minorEastAsia" w:hAnsiTheme="minorEastAsia"/>
        </w:rPr>
        <w:t>による。</w:t>
      </w:r>
    </w:p>
    <w:p w14:paraId="50F587A5" w14:textId="77777777" w:rsidR="002439C4" w:rsidRPr="00BC31E0" w:rsidRDefault="00F137F4" w:rsidP="00736130">
      <w:pPr>
        <w:pStyle w:val="a4"/>
        <w:numPr>
          <w:ilvl w:val="0"/>
          <w:numId w:val="463"/>
        </w:numPr>
        <w:ind w:leftChars="0" w:left="738" w:hanging="454"/>
      </w:pPr>
      <w:r w:rsidRPr="00BC31E0">
        <w:rPr>
          <w:rFonts w:asciiTheme="majorEastAsia" w:eastAsiaTheme="majorEastAsia" w:hAnsiTheme="majorEastAsia" w:hint="eastAsia"/>
          <w:b/>
        </w:rPr>
        <w:t>試験片</w:t>
      </w:r>
      <w:r w:rsidRPr="00BC31E0">
        <w:rPr>
          <w:rFonts w:hint="eastAsia"/>
        </w:rPr>
        <w:t xml:space="preserve">　最終形状又は最終形状と同等の形状の試験体の内面近傍から，設備の形状が円筒</w:t>
      </w:r>
      <w:r w:rsidRPr="00BC31E0">
        <w:rPr>
          <w:rFonts w:hint="eastAsia"/>
        </w:rPr>
        <w:t>(</w:t>
      </w:r>
      <w:r w:rsidRPr="00BC31E0">
        <w:rPr>
          <w:rFonts w:hint="eastAsia"/>
        </w:rPr>
        <w:t>管又は胴</w:t>
      </w:r>
      <w:r w:rsidRPr="00BC31E0">
        <w:rPr>
          <w:rFonts w:hint="eastAsia"/>
        </w:rPr>
        <w:t>)</w:t>
      </w:r>
      <w:r w:rsidRPr="00BC31E0">
        <w:rPr>
          <w:rFonts w:hint="eastAsia"/>
        </w:rPr>
        <w:t>の場合は，試験片の軸方向が円筒の周方向と一致するように，平滑円形断面試験片又は平滑矩形断面試験片を採取する。平滑円形断面試験片を使用する場合は，試験片の直径を</w:t>
      </w:r>
      <w:r w:rsidRPr="00BC31E0">
        <w:rPr>
          <w:rFonts w:asciiTheme="minorHAnsi" w:hAnsiTheme="minorHAnsi"/>
        </w:rPr>
        <w:t>4 mm</w:t>
      </w:r>
      <w:r w:rsidRPr="00BC31E0">
        <w:rPr>
          <w:rFonts w:hint="eastAsia"/>
        </w:rPr>
        <w:t>以下とする。低合金鋼の場合は</w:t>
      </w:r>
      <w:r w:rsidRPr="00BC31E0">
        <w:rPr>
          <w:rFonts w:asciiTheme="minorHAnsi" w:hAnsiTheme="minorHAnsi"/>
        </w:rPr>
        <w:t>6</w:t>
      </w:r>
      <w:r w:rsidRPr="00BC31E0">
        <w:rPr>
          <w:rFonts w:asciiTheme="minorHAnsi" w:hAnsiTheme="minorHAnsi" w:hint="eastAsia"/>
        </w:rPr>
        <w:t xml:space="preserve"> </w:t>
      </w:r>
      <w:r w:rsidRPr="00BC31E0">
        <w:rPr>
          <w:rFonts w:asciiTheme="minorHAnsi" w:hAnsiTheme="minorHAnsi"/>
        </w:rPr>
        <w:t>mm</w:t>
      </w:r>
      <w:r w:rsidRPr="00BC31E0">
        <w:rPr>
          <w:rFonts w:asciiTheme="minorHAnsi" w:hAnsiTheme="minorHAnsi" w:hint="eastAsia"/>
        </w:rPr>
        <w:t>としてもよい</w:t>
      </w:r>
      <w:r w:rsidRPr="00BC31E0">
        <w:rPr>
          <w:rFonts w:hint="eastAsia"/>
        </w:rPr>
        <w:t>。平滑矩形断面</w:t>
      </w:r>
      <w:r w:rsidRPr="00BC31E0">
        <w:rPr>
          <w:rFonts w:hint="eastAsia"/>
        </w:rPr>
        <w:lastRenderedPageBreak/>
        <w:t>を使用する場合は，試験片の断面積／外周長さは</w:t>
      </w:r>
      <w:r w:rsidRPr="00BC31E0">
        <w:rPr>
          <w:rFonts w:asciiTheme="minorHAnsi" w:hAnsiTheme="minorHAnsi"/>
        </w:rPr>
        <w:t>1</w:t>
      </w:r>
      <w:r w:rsidRPr="00BC31E0">
        <w:rPr>
          <w:rFonts w:asciiTheme="minorHAnsi" w:hAnsiTheme="minorHAnsi" w:hint="eastAsia"/>
        </w:rPr>
        <w:t xml:space="preserve"> </w:t>
      </w:r>
      <w:r w:rsidRPr="00BC31E0">
        <w:rPr>
          <w:rFonts w:asciiTheme="minorHAnsi" w:hAnsiTheme="minorHAnsi"/>
        </w:rPr>
        <w:t>mm</w:t>
      </w:r>
      <w:r w:rsidR="002439C4" w:rsidRPr="00BC31E0">
        <w:rPr>
          <w:rFonts w:hint="eastAsia"/>
        </w:rPr>
        <w:t>以下とする</w:t>
      </w:r>
    </w:p>
    <w:p w14:paraId="7661A333" w14:textId="77777777" w:rsidR="006F2750" w:rsidRPr="00BC31E0" w:rsidRDefault="00F137F4" w:rsidP="00736130">
      <w:pPr>
        <w:pStyle w:val="a4"/>
        <w:numPr>
          <w:ilvl w:val="0"/>
          <w:numId w:val="463"/>
        </w:numPr>
        <w:ind w:leftChars="0" w:left="738" w:hanging="454"/>
      </w:pPr>
      <w:r w:rsidRPr="00BC31E0">
        <w:rPr>
          <w:rFonts w:asciiTheme="majorEastAsia" w:eastAsiaTheme="majorEastAsia" w:hAnsiTheme="majorEastAsia" w:hint="eastAsia"/>
          <w:b/>
        </w:rPr>
        <w:t>試験方法</w:t>
      </w:r>
      <w:r w:rsidRPr="00BC31E0">
        <w:rPr>
          <w:rFonts w:hint="eastAsia"/>
        </w:rPr>
        <w:t xml:space="preserve">　水素環境及び不活性ガス環境</w:t>
      </w:r>
      <w:r w:rsidRPr="00BC31E0">
        <w:rPr>
          <w:rFonts w:asciiTheme="minorHAnsi" w:hAnsiTheme="minorHAnsi"/>
        </w:rPr>
        <w:t>(</w:t>
      </w:r>
      <w:r w:rsidRPr="00BC31E0">
        <w:rPr>
          <w:rFonts w:asciiTheme="minorHAnsi" w:hint="eastAsia"/>
        </w:rPr>
        <w:t>又</w:t>
      </w:r>
      <w:r w:rsidRPr="00BC31E0">
        <w:rPr>
          <w:rFonts w:asciiTheme="minorHAnsi"/>
        </w:rPr>
        <w:t>は大気環境</w:t>
      </w:r>
      <w:r w:rsidRPr="00BC31E0">
        <w:rPr>
          <w:rFonts w:asciiTheme="minorHAnsi" w:hAnsiTheme="minorHAnsi"/>
        </w:rPr>
        <w:t>)</w:t>
      </w:r>
      <w:r w:rsidRPr="00BC31E0">
        <w:rPr>
          <w:rFonts w:hint="eastAsia"/>
        </w:rPr>
        <w:t>で，</w:t>
      </w:r>
      <w:r w:rsidRPr="00BC31E0">
        <w:rPr>
          <w:rFonts w:asciiTheme="majorEastAsia" w:eastAsiaTheme="majorEastAsia" w:hAnsiTheme="majorEastAsia" w:hint="eastAsia"/>
          <w:b/>
          <w:bCs/>
        </w:rPr>
        <w:t>ASTM G142</w:t>
      </w:r>
      <w:r w:rsidRPr="00BC31E0">
        <w:rPr>
          <w:rFonts w:hint="eastAsia"/>
        </w:rPr>
        <w:t>に従って</w:t>
      </w:r>
      <w:r w:rsidRPr="00BC31E0">
        <w:rPr>
          <w:rFonts w:asciiTheme="majorEastAsia" w:eastAsiaTheme="majorEastAsia" w:hAnsiTheme="majorEastAsia" w:hint="eastAsia"/>
          <w:b/>
          <w:bCs/>
        </w:rPr>
        <w:t>3)</w:t>
      </w:r>
      <w:r w:rsidRPr="00BC31E0">
        <w:rPr>
          <w:rFonts w:hint="eastAsia"/>
        </w:rPr>
        <w:t>の条件を用いて</w:t>
      </w:r>
      <w:r w:rsidRPr="00BC31E0">
        <w:rPr>
          <w:rFonts w:asciiTheme="minorHAnsi" w:hAnsiTheme="minorHAnsi" w:hint="eastAsia"/>
        </w:rPr>
        <w:t>試験</w:t>
      </w:r>
      <w:r w:rsidRPr="00BC31E0">
        <w:rPr>
          <w:rFonts w:hint="eastAsia"/>
        </w:rPr>
        <w:t>を行う。試験片の数はそれぞれ</w:t>
      </w:r>
      <w:r w:rsidRPr="00BC31E0">
        <w:t>3</w:t>
      </w:r>
      <w:r w:rsidRPr="00BC31E0">
        <w:rPr>
          <w:rFonts w:hint="eastAsia"/>
        </w:rPr>
        <w:t>個とする。</w:t>
      </w:r>
    </w:p>
    <w:p w14:paraId="1ABEC8B3" w14:textId="77777777" w:rsidR="00F137F4" w:rsidRPr="00BC31E0" w:rsidRDefault="00F137F4" w:rsidP="00736130">
      <w:pPr>
        <w:pStyle w:val="a4"/>
        <w:numPr>
          <w:ilvl w:val="0"/>
          <w:numId w:val="463"/>
        </w:numPr>
        <w:ind w:leftChars="0" w:left="738" w:hanging="454"/>
      </w:pPr>
      <w:r w:rsidRPr="00BC31E0">
        <w:rPr>
          <w:rFonts w:asciiTheme="majorEastAsia" w:eastAsiaTheme="majorEastAsia" w:hAnsiTheme="majorEastAsia" w:hint="eastAsia"/>
          <w:b/>
        </w:rPr>
        <w:t>試験条件</w:t>
      </w:r>
      <w:r w:rsidRPr="00BC31E0">
        <w:rPr>
          <w:rFonts w:hint="eastAsia"/>
        </w:rPr>
        <w:t xml:space="preserve">　両環境中の試験で，試験温度は同一とする。試験圧力は水素環境及び不活性環境は設計圧力，大気環境は大気圧とする。試験温度は最低設計金属温度とする。水素分圧が</w:t>
      </w:r>
      <w:r w:rsidRPr="00BC31E0">
        <w:rPr>
          <w:rFonts w:asciiTheme="minorHAnsi" w:hAnsiTheme="minorHAnsi"/>
        </w:rPr>
        <w:t>40</w:t>
      </w:r>
      <w:r w:rsidRPr="00BC31E0">
        <w:rPr>
          <w:rFonts w:asciiTheme="minorHAnsi" w:hAnsiTheme="minorHAnsi" w:hint="eastAsia"/>
        </w:rPr>
        <w:t xml:space="preserve"> </w:t>
      </w:r>
      <w:r w:rsidRPr="00BC31E0">
        <w:rPr>
          <w:rFonts w:asciiTheme="minorHAnsi" w:hAnsiTheme="minorHAnsi"/>
        </w:rPr>
        <w:t>MPa</w:t>
      </w:r>
      <w:r w:rsidRPr="00BC31E0">
        <w:rPr>
          <w:rFonts w:hint="eastAsia"/>
        </w:rPr>
        <w:t>未満の場合は，水素圧力は</w:t>
      </w:r>
      <w:r w:rsidRPr="00BC31E0">
        <w:rPr>
          <w:rFonts w:asciiTheme="minorHAnsi" w:hAnsiTheme="minorHAnsi"/>
        </w:rPr>
        <w:t>40</w:t>
      </w:r>
      <w:r w:rsidRPr="00BC31E0">
        <w:rPr>
          <w:rFonts w:asciiTheme="minorHAnsi" w:hAnsiTheme="minorHAnsi" w:hint="eastAsia"/>
        </w:rPr>
        <w:t xml:space="preserve"> </w:t>
      </w:r>
      <w:r w:rsidRPr="00BC31E0">
        <w:rPr>
          <w:rFonts w:asciiTheme="minorHAnsi" w:hAnsiTheme="minorHAnsi"/>
        </w:rPr>
        <w:t>MPa</w:t>
      </w:r>
      <w:r w:rsidRPr="00BC31E0">
        <w:rPr>
          <w:rFonts w:hint="eastAsia"/>
        </w:rPr>
        <w:t>以上とする。水素純度は</w:t>
      </w:r>
      <w:r w:rsidRPr="00BC31E0">
        <w:rPr>
          <w:rFonts w:asciiTheme="minorHAnsi" w:hAnsiTheme="minorHAnsi"/>
        </w:rPr>
        <w:t>99.9999%</w:t>
      </w:r>
      <w:r w:rsidRPr="00BC31E0">
        <w:rPr>
          <w:rFonts w:hint="eastAsia"/>
        </w:rPr>
        <w:t>以上とする，又は</w:t>
      </w:r>
      <w:r w:rsidRPr="00BC31E0">
        <w:rPr>
          <w:rFonts w:asciiTheme="minorHAnsi" w:hAnsiTheme="minorHAnsi"/>
        </w:rPr>
        <w:t>99.999%</w:t>
      </w:r>
      <w:r w:rsidRPr="00BC31E0">
        <w:rPr>
          <w:rFonts w:hint="eastAsia"/>
        </w:rPr>
        <w:t>以上とし，</w:t>
      </w:r>
      <w:r w:rsidRPr="00BC31E0">
        <w:rPr>
          <w:rFonts w:asciiTheme="minorHAnsi" w:hAnsiTheme="minorHAnsi"/>
        </w:rPr>
        <w:t>O</w:t>
      </w:r>
      <w:r w:rsidRPr="00BC31E0">
        <w:rPr>
          <w:rFonts w:asciiTheme="minorHAnsi" w:hAnsiTheme="minorHAnsi"/>
          <w:vertAlign w:val="subscript"/>
        </w:rPr>
        <w:t>2</w:t>
      </w:r>
      <m:oMath>
        <m:r>
          <m:rPr>
            <m:sty m:val="p"/>
          </m:rPr>
          <w:rPr>
            <w:rFonts w:ascii="Cambria Math" w:hAnsi="Cambria Math"/>
            <w:vertAlign w:val="subscript"/>
          </w:rPr>
          <m:t xml:space="preserve"> </m:t>
        </m:r>
        <m:r>
          <m:rPr>
            <m:sty m:val="p"/>
          </m:rPr>
          <w:rPr>
            <w:rFonts w:ascii="Cambria Math" w:hAnsi="Cambria Math"/>
          </w:rPr>
          <m:t>&lt;</m:t>
        </m:r>
        <m:r>
          <w:rPr>
            <w:rFonts w:ascii="Cambria Math" w:hAnsi="Cambria Math"/>
          </w:rPr>
          <m:t xml:space="preserve"> </m:t>
        </m:r>
      </m:oMath>
      <w:r w:rsidRPr="00BC31E0">
        <w:rPr>
          <w:rFonts w:asciiTheme="minorHAnsi" w:hAnsiTheme="minorHAnsi"/>
        </w:rPr>
        <w:t>1</w:t>
      </w:r>
      <w:r w:rsidRPr="00BC31E0">
        <w:rPr>
          <w:rFonts w:asciiTheme="minorHAnsi" w:hAnsiTheme="minorHAnsi" w:hint="eastAsia"/>
        </w:rPr>
        <w:t xml:space="preserve"> </w:t>
      </w:r>
      <w:r w:rsidRPr="00BC31E0">
        <w:rPr>
          <w:rFonts w:asciiTheme="minorHAnsi" w:hAnsiTheme="minorHAnsi"/>
        </w:rPr>
        <w:t>ppm</w:t>
      </w:r>
      <w:r w:rsidRPr="00BC31E0">
        <w:rPr>
          <w:rFonts w:hint="eastAsia"/>
        </w:rPr>
        <w:t>，</w:t>
      </w:r>
      <w:r w:rsidRPr="00BC31E0">
        <w:rPr>
          <w:rFonts w:asciiTheme="minorHAnsi" w:hAnsiTheme="minorHAnsi"/>
        </w:rPr>
        <w:t>CO</w:t>
      </w:r>
      <w:r w:rsidRPr="00BC31E0">
        <w:rPr>
          <w:rFonts w:asciiTheme="minorHAnsi" w:hAnsiTheme="minorHAnsi"/>
          <w:vertAlign w:val="subscript"/>
        </w:rPr>
        <w:t>2</w:t>
      </w:r>
      <m:oMath>
        <m:r>
          <m:rPr>
            <m:sty m:val="p"/>
          </m:rPr>
          <w:rPr>
            <w:rFonts w:ascii="Cambria Math" w:hAnsi="Cambria Math"/>
            <w:vertAlign w:val="subscript"/>
          </w:rPr>
          <m:t xml:space="preserve"> </m:t>
        </m:r>
        <m:r>
          <m:rPr>
            <m:sty m:val="p"/>
          </m:rPr>
          <w:rPr>
            <w:rFonts w:ascii="Cambria Math" w:hAnsi="Cambria Math"/>
          </w:rPr>
          <m:t>&lt;</m:t>
        </m:r>
        <m:r>
          <w:rPr>
            <w:rFonts w:ascii="Cambria Math" w:hAnsi="Cambria Math"/>
          </w:rPr>
          <m:t xml:space="preserve"> </m:t>
        </m:r>
      </m:oMath>
      <w:r w:rsidRPr="00BC31E0">
        <w:rPr>
          <w:rFonts w:asciiTheme="minorHAnsi" w:hAnsiTheme="minorHAnsi"/>
        </w:rPr>
        <w:t>1</w:t>
      </w:r>
      <w:r w:rsidRPr="00BC31E0">
        <w:rPr>
          <w:rFonts w:asciiTheme="minorHAnsi" w:hAnsiTheme="minorHAnsi" w:hint="eastAsia"/>
        </w:rPr>
        <w:t xml:space="preserve"> </w:t>
      </w:r>
      <w:r w:rsidRPr="00BC31E0">
        <w:rPr>
          <w:rFonts w:asciiTheme="minorHAnsi" w:hAnsiTheme="minorHAnsi"/>
        </w:rPr>
        <w:t>ppm</w:t>
      </w:r>
      <w:r w:rsidRPr="00BC31E0">
        <w:rPr>
          <w:rFonts w:hint="eastAsia"/>
        </w:rPr>
        <w:t>，</w:t>
      </w:r>
      <w:r w:rsidRPr="00BC31E0">
        <w:rPr>
          <w:rFonts w:asciiTheme="minorHAnsi" w:hAnsiTheme="minorHAnsi"/>
        </w:rPr>
        <w:t>CO</w:t>
      </w:r>
      <m:oMath>
        <m:r>
          <m:rPr>
            <m:sty m:val="p"/>
          </m:rPr>
          <w:rPr>
            <w:rFonts w:ascii="Cambria Math" w:hAnsi="Cambria Math"/>
          </w:rPr>
          <m:t xml:space="preserve"> </m:t>
        </m:r>
        <m:r>
          <w:rPr>
            <w:rFonts w:ascii="Cambria Math" w:hAnsi="Cambria Math"/>
          </w:rPr>
          <m:t xml:space="preserve">&lt; </m:t>
        </m:r>
      </m:oMath>
      <w:r w:rsidRPr="00BC31E0">
        <w:rPr>
          <w:rFonts w:asciiTheme="minorHAnsi" w:hAnsiTheme="minorHAnsi"/>
        </w:rPr>
        <w:t>1</w:t>
      </w:r>
      <w:r w:rsidRPr="00BC31E0">
        <w:rPr>
          <w:rFonts w:asciiTheme="minorHAnsi" w:hAnsiTheme="minorHAnsi" w:hint="eastAsia"/>
        </w:rPr>
        <w:t xml:space="preserve"> </w:t>
      </w:r>
      <w:r w:rsidRPr="00BC31E0">
        <w:rPr>
          <w:rFonts w:asciiTheme="minorHAnsi" w:hAnsiTheme="minorHAnsi"/>
        </w:rPr>
        <w:t>ppm</w:t>
      </w:r>
      <w:r w:rsidRPr="00BC31E0">
        <w:rPr>
          <w:rFonts w:hint="eastAsia"/>
        </w:rPr>
        <w:t>，</w:t>
      </w:r>
      <w:r w:rsidRPr="00BC31E0">
        <w:rPr>
          <w:rFonts w:asciiTheme="minorHAnsi" w:hAnsiTheme="minorHAnsi"/>
        </w:rPr>
        <w:t>H</w:t>
      </w:r>
      <w:r w:rsidRPr="00BC31E0">
        <w:rPr>
          <w:rFonts w:asciiTheme="minorHAnsi" w:hAnsiTheme="minorHAnsi"/>
          <w:vertAlign w:val="subscript"/>
        </w:rPr>
        <w:t>2</w:t>
      </w:r>
      <w:r w:rsidRPr="00BC31E0">
        <w:rPr>
          <w:rFonts w:asciiTheme="minorHAnsi" w:hAnsiTheme="minorHAnsi"/>
        </w:rPr>
        <w:t>O</w:t>
      </w:r>
      <m:oMath>
        <m:r>
          <m:rPr>
            <m:sty m:val="p"/>
          </m:rPr>
          <w:rPr>
            <w:rFonts w:ascii="Cambria Math" w:hAnsi="Cambria Math"/>
          </w:rPr>
          <m:t xml:space="preserve"> </m:t>
        </m:r>
        <m:r>
          <w:rPr>
            <w:rFonts w:ascii="Cambria Math" w:hAnsi="Cambria Math"/>
          </w:rPr>
          <m:t xml:space="preserve">&lt; </m:t>
        </m:r>
      </m:oMath>
      <w:r w:rsidRPr="00BC31E0">
        <w:rPr>
          <w:rFonts w:asciiTheme="minorHAnsi" w:hAnsiTheme="minorHAnsi"/>
        </w:rPr>
        <w:t>3</w:t>
      </w:r>
      <w:r w:rsidRPr="00BC31E0">
        <w:rPr>
          <w:rFonts w:asciiTheme="minorHAnsi" w:hAnsiTheme="minorHAnsi" w:hint="eastAsia"/>
        </w:rPr>
        <w:t xml:space="preserve"> </w:t>
      </w:r>
      <w:r w:rsidRPr="00BC31E0">
        <w:rPr>
          <w:rFonts w:asciiTheme="minorHAnsi" w:hAnsiTheme="minorHAnsi"/>
        </w:rPr>
        <w:t>ppm</w:t>
      </w:r>
      <w:r w:rsidRPr="00BC31E0">
        <w:rPr>
          <w:rFonts w:hint="eastAsia"/>
        </w:rPr>
        <w:t>とする。変位速度は</w:t>
      </w:r>
      <w:r w:rsidRPr="00BC31E0">
        <w:rPr>
          <w:rFonts w:asciiTheme="minorHAnsi" w:hAnsiTheme="minorHAnsi"/>
        </w:rPr>
        <w:t>0.002</w:t>
      </w:r>
      <w:r w:rsidRPr="00BC31E0">
        <w:rPr>
          <w:rFonts w:asciiTheme="minorHAnsi" w:hAnsiTheme="minorHAnsi" w:hint="eastAsia"/>
          <w:vertAlign w:val="superscript"/>
        </w:rPr>
        <w:t xml:space="preserve"> </w:t>
      </w:r>
      <w:r w:rsidRPr="00BC31E0">
        <w:rPr>
          <w:rFonts w:asciiTheme="minorHAnsi" w:hAnsiTheme="minorHAnsi"/>
        </w:rPr>
        <w:t>mm/s</w:t>
      </w:r>
      <w:r w:rsidRPr="00BC31E0">
        <w:rPr>
          <w:rFonts w:hint="eastAsia"/>
        </w:rPr>
        <w:t>以下とする。</w:t>
      </w:r>
    </w:p>
    <w:p w14:paraId="24264788" w14:textId="77777777" w:rsidR="00F137F4" w:rsidRPr="00BC31E0" w:rsidRDefault="00F137F4" w:rsidP="00736130">
      <w:pPr>
        <w:pStyle w:val="a4"/>
        <w:numPr>
          <w:ilvl w:val="0"/>
          <w:numId w:val="463"/>
        </w:numPr>
        <w:spacing w:after="120"/>
        <w:ind w:leftChars="0" w:left="738" w:hanging="454"/>
      </w:pPr>
      <w:r w:rsidRPr="00BC31E0">
        <w:rPr>
          <w:rFonts w:asciiTheme="majorEastAsia" w:eastAsiaTheme="majorEastAsia" w:hAnsiTheme="majorEastAsia" w:hint="eastAsia"/>
          <w:b/>
        </w:rPr>
        <w:t>相対比の計算</w:t>
      </w:r>
      <w:r w:rsidRPr="00BC31E0">
        <w:rPr>
          <w:rFonts w:hint="eastAsia"/>
        </w:rPr>
        <w:t xml:space="preserve">　試験結果から，</w:t>
      </w:r>
      <w:r w:rsidRPr="00BC31E0">
        <w:rPr>
          <w:rFonts w:asciiTheme="minorHAnsi" w:hAnsiTheme="minorHAnsi"/>
        </w:rPr>
        <w:t>SSRT</w:t>
      </w:r>
      <w:r w:rsidRPr="00BC31E0">
        <w:rPr>
          <w:rFonts w:hint="eastAsia"/>
        </w:rPr>
        <w:t>の引張特性の相対比を求める。</w:t>
      </w:r>
    </w:p>
    <w:tbl>
      <w:tblPr>
        <w:tblStyle w:val="afff2"/>
        <w:tblW w:w="6237"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4"/>
        <w:gridCol w:w="3153"/>
      </w:tblGrid>
      <w:tr w:rsidR="00F137F4" w:rsidRPr="00BC31E0" w14:paraId="0D248FEC" w14:textId="77777777" w:rsidTr="006077F3">
        <w:tc>
          <w:tcPr>
            <w:tcW w:w="0" w:type="auto"/>
            <w:tcMar>
              <w:left w:w="0" w:type="dxa"/>
              <w:right w:w="0" w:type="dxa"/>
            </w:tcMar>
            <w:vAlign w:val="center"/>
          </w:tcPr>
          <w:p w14:paraId="6B92F157" w14:textId="77777777" w:rsidR="00F137F4" w:rsidRPr="00BC31E0" w:rsidRDefault="00F137F4" w:rsidP="00CF52FB">
            <w:pPr>
              <w:tabs>
                <w:tab w:val="left" w:pos="2835"/>
                <w:tab w:val="left" w:leader="middleDot" w:pos="8080"/>
              </w:tabs>
              <w:autoSpaceDE w:val="0"/>
              <w:autoSpaceDN w:val="0"/>
              <w:spacing w:before="120"/>
              <w:jc w:val="left"/>
            </w:pPr>
            <m:oMathPara>
              <m:oMathParaPr>
                <m:jc m:val="left"/>
              </m:oMathParaPr>
              <m:oMath>
                <m:r>
                  <w:rPr>
                    <w:rFonts w:ascii="Cambria Math" w:hAnsi="Cambria Math"/>
                  </w:rPr>
                  <m:t>RYS</m:t>
                </m:r>
                <m:r>
                  <m:rPr>
                    <m:nor/>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hint="eastAsia"/>
                      </w:rPr>
                      <m:t>水素環境の降伏強さ</m:t>
                    </m:r>
                  </m:num>
                  <m:den>
                    <m:r>
                      <m:rPr>
                        <m:sty m:val="p"/>
                      </m:rPr>
                      <w:rPr>
                        <w:rFonts w:ascii="Cambria Math" w:eastAsiaTheme="minorEastAsia" w:hAnsi="Cambria Math" w:hint="eastAsia"/>
                      </w:rPr>
                      <m:t>不活性ガス環境の降伏強さ</m:t>
                    </m:r>
                  </m:den>
                </m:f>
              </m:oMath>
            </m:oMathPara>
          </w:p>
        </w:tc>
        <w:tc>
          <w:tcPr>
            <w:tcW w:w="3153" w:type="dxa"/>
            <w:tcMar>
              <w:left w:w="0" w:type="dxa"/>
              <w:right w:w="0" w:type="dxa"/>
            </w:tcMar>
            <w:vAlign w:val="center"/>
          </w:tcPr>
          <w:p w14:paraId="7F4174A3" w14:textId="77777777" w:rsidR="00F137F4" w:rsidRPr="00BC31E0" w:rsidRDefault="00F137F4" w:rsidP="006077F3">
            <w:pPr>
              <w:tabs>
                <w:tab w:val="left" w:leader="middleDot" w:pos="2161"/>
              </w:tabs>
              <w:autoSpaceDE w:val="0"/>
              <w:autoSpaceDN w:val="0"/>
              <w:spacing w:before="120"/>
              <w:jc w:val="left"/>
            </w:pPr>
            <w:r w:rsidRPr="00BC31E0">
              <w:tab/>
            </w:r>
            <w:r w:rsidRPr="00BC31E0">
              <w:rPr>
                <w:rFonts w:hint="eastAsia"/>
              </w:rPr>
              <w:t>(6.13.1)</w:t>
            </w:r>
          </w:p>
        </w:tc>
      </w:tr>
      <w:tr w:rsidR="00F137F4" w:rsidRPr="00BC31E0" w14:paraId="3500D087" w14:textId="77777777" w:rsidTr="006077F3">
        <w:tc>
          <w:tcPr>
            <w:tcW w:w="0" w:type="auto"/>
            <w:tcMar>
              <w:left w:w="0" w:type="dxa"/>
              <w:right w:w="0" w:type="dxa"/>
            </w:tcMar>
            <w:vAlign w:val="center"/>
          </w:tcPr>
          <w:p w14:paraId="4EB20A34" w14:textId="77777777" w:rsidR="00F137F4" w:rsidRPr="00BC31E0" w:rsidRDefault="00F137F4" w:rsidP="00CF52FB">
            <w:pPr>
              <w:tabs>
                <w:tab w:val="left" w:pos="2835"/>
                <w:tab w:val="left" w:leader="middleDot" w:pos="8080"/>
              </w:tabs>
              <w:autoSpaceDE w:val="0"/>
              <w:autoSpaceDN w:val="0"/>
              <w:spacing w:before="120"/>
              <w:jc w:val="left"/>
              <w:rPr>
                <w:rFonts w:ascii="ＭＳ 明朝" w:hAnsi="ＭＳ 明朝"/>
              </w:rPr>
            </w:pPr>
            <m:oMathPara>
              <m:oMathParaPr>
                <m:jc m:val="left"/>
              </m:oMathParaPr>
              <m:oMath>
                <m:r>
                  <w:rPr>
                    <w:rFonts w:ascii="Cambria Math" w:hAnsi="Cambria Math"/>
                  </w:rPr>
                  <m:t>RTS</m:t>
                </m:r>
                <m:r>
                  <m:rPr>
                    <m:nor/>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hint="eastAsia"/>
                      </w:rPr>
                      <m:t>水素環境の引張強さ</m:t>
                    </m:r>
                  </m:num>
                  <m:den>
                    <m:r>
                      <m:rPr>
                        <m:sty m:val="p"/>
                      </m:rPr>
                      <w:rPr>
                        <w:rFonts w:ascii="Cambria Math" w:eastAsiaTheme="minorEastAsia" w:hAnsi="Cambria Math" w:hint="eastAsia"/>
                      </w:rPr>
                      <m:t>不活性ガス環境の引張強さ</m:t>
                    </m:r>
                  </m:den>
                </m:f>
              </m:oMath>
            </m:oMathPara>
          </w:p>
        </w:tc>
        <w:tc>
          <w:tcPr>
            <w:tcW w:w="3153" w:type="dxa"/>
            <w:tcMar>
              <w:left w:w="0" w:type="dxa"/>
              <w:right w:w="0" w:type="dxa"/>
            </w:tcMar>
            <w:vAlign w:val="center"/>
          </w:tcPr>
          <w:p w14:paraId="1F3E52F2" w14:textId="77777777" w:rsidR="00F137F4" w:rsidRPr="00BC31E0" w:rsidRDefault="00F137F4" w:rsidP="006077F3">
            <w:pPr>
              <w:tabs>
                <w:tab w:val="left" w:leader="middleDot" w:pos="2161"/>
              </w:tabs>
              <w:autoSpaceDE w:val="0"/>
              <w:autoSpaceDN w:val="0"/>
              <w:spacing w:before="120"/>
              <w:jc w:val="left"/>
            </w:pPr>
            <w:r w:rsidRPr="00BC31E0">
              <w:tab/>
            </w:r>
            <w:r w:rsidRPr="00BC31E0">
              <w:rPr>
                <w:rFonts w:hint="eastAsia"/>
              </w:rPr>
              <w:t>(6.13.2)</w:t>
            </w:r>
          </w:p>
        </w:tc>
      </w:tr>
      <w:tr w:rsidR="00F137F4" w:rsidRPr="00BC31E0" w14:paraId="25EA6B97" w14:textId="77777777" w:rsidTr="006077F3">
        <w:tc>
          <w:tcPr>
            <w:tcW w:w="0" w:type="auto"/>
            <w:tcMar>
              <w:left w:w="0" w:type="dxa"/>
              <w:right w:w="0" w:type="dxa"/>
            </w:tcMar>
            <w:vAlign w:val="center"/>
          </w:tcPr>
          <w:p w14:paraId="7B4C90DF" w14:textId="77777777" w:rsidR="00F137F4" w:rsidRPr="00BC31E0" w:rsidRDefault="00F137F4" w:rsidP="00CF52FB">
            <w:pPr>
              <w:tabs>
                <w:tab w:val="left" w:pos="2835"/>
                <w:tab w:val="left" w:leader="middleDot" w:pos="8080"/>
              </w:tabs>
              <w:autoSpaceDE w:val="0"/>
              <w:autoSpaceDN w:val="0"/>
              <w:spacing w:before="120"/>
              <w:jc w:val="left"/>
              <w:rPr>
                <w:rFonts w:ascii="ＭＳ 明朝" w:hAnsi="ＭＳ 明朝"/>
              </w:rPr>
            </w:pPr>
            <m:oMathPara>
              <m:oMathParaPr>
                <m:jc m:val="left"/>
              </m:oMathParaPr>
              <m:oMath>
                <m:r>
                  <w:rPr>
                    <w:rFonts w:ascii="Cambria Math" w:hAnsi="Cambria Math"/>
                  </w:rPr>
                  <m:t>REL</m:t>
                </m:r>
                <m:r>
                  <m:rPr>
                    <m:nor/>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hint="eastAsia"/>
                      </w:rPr>
                      <m:t>水素環境の伸び</m:t>
                    </m:r>
                  </m:num>
                  <m:den>
                    <m:r>
                      <m:rPr>
                        <m:sty m:val="p"/>
                      </m:rPr>
                      <w:rPr>
                        <w:rFonts w:ascii="Cambria Math" w:eastAsiaTheme="minorEastAsia" w:hAnsi="Cambria Math" w:hint="eastAsia"/>
                      </w:rPr>
                      <m:t>不活性ガス環境の伸び</m:t>
                    </m:r>
                  </m:den>
                </m:f>
              </m:oMath>
            </m:oMathPara>
          </w:p>
        </w:tc>
        <w:tc>
          <w:tcPr>
            <w:tcW w:w="3153" w:type="dxa"/>
            <w:tcMar>
              <w:left w:w="0" w:type="dxa"/>
              <w:right w:w="0" w:type="dxa"/>
            </w:tcMar>
            <w:vAlign w:val="center"/>
          </w:tcPr>
          <w:p w14:paraId="435EC64E" w14:textId="77777777" w:rsidR="00F137F4" w:rsidRPr="00BC31E0" w:rsidRDefault="00F137F4" w:rsidP="006077F3">
            <w:pPr>
              <w:tabs>
                <w:tab w:val="left" w:leader="middleDot" w:pos="2161"/>
              </w:tabs>
              <w:autoSpaceDE w:val="0"/>
              <w:autoSpaceDN w:val="0"/>
              <w:spacing w:before="120"/>
              <w:jc w:val="left"/>
            </w:pPr>
            <w:r w:rsidRPr="00BC31E0">
              <w:tab/>
            </w:r>
            <w:r w:rsidRPr="00BC31E0">
              <w:rPr>
                <w:rFonts w:hint="eastAsia"/>
              </w:rPr>
              <w:t>(6.13.3)</w:t>
            </w:r>
          </w:p>
        </w:tc>
      </w:tr>
      <w:tr w:rsidR="00F137F4" w:rsidRPr="00BC31E0" w14:paraId="40A71A6A" w14:textId="77777777" w:rsidTr="006077F3">
        <w:tc>
          <w:tcPr>
            <w:tcW w:w="0" w:type="auto"/>
            <w:tcMar>
              <w:left w:w="0" w:type="dxa"/>
              <w:right w:w="0" w:type="dxa"/>
            </w:tcMar>
            <w:vAlign w:val="center"/>
          </w:tcPr>
          <w:p w14:paraId="2D2E3DBF" w14:textId="77777777" w:rsidR="00F137F4" w:rsidRPr="00BC31E0" w:rsidRDefault="00F137F4" w:rsidP="00CF52FB">
            <w:pPr>
              <w:tabs>
                <w:tab w:val="left" w:pos="2835"/>
                <w:tab w:val="left" w:leader="middleDot" w:pos="8080"/>
              </w:tabs>
              <w:autoSpaceDE w:val="0"/>
              <w:autoSpaceDN w:val="0"/>
              <w:spacing w:before="120"/>
              <w:jc w:val="left"/>
              <w:rPr>
                <w:rFonts w:ascii="ＭＳ 明朝" w:hAnsi="ＭＳ 明朝"/>
              </w:rPr>
            </w:pPr>
            <m:oMathPara>
              <m:oMathParaPr>
                <m:jc m:val="left"/>
              </m:oMathParaPr>
              <m:oMath>
                <m:r>
                  <w:rPr>
                    <w:rFonts w:ascii="Cambria Math" w:hAnsi="Cambria Math"/>
                  </w:rPr>
                  <m:t>RRA</m:t>
                </m:r>
                <m:r>
                  <m:rPr>
                    <m:nor/>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hint="eastAsia"/>
                      </w:rPr>
                      <m:t>水素環境の絞り</m:t>
                    </m:r>
                  </m:num>
                  <m:den>
                    <m:r>
                      <m:rPr>
                        <m:sty m:val="p"/>
                      </m:rPr>
                      <w:rPr>
                        <w:rFonts w:ascii="Cambria Math" w:eastAsiaTheme="minorEastAsia" w:hAnsi="Cambria Math" w:hint="eastAsia"/>
                      </w:rPr>
                      <m:t>不活性ガス環境の絞り</m:t>
                    </m:r>
                  </m:den>
                </m:f>
              </m:oMath>
            </m:oMathPara>
          </w:p>
        </w:tc>
        <w:tc>
          <w:tcPr>
            <w:tcW w:w="3153" w:type="dxa"/>
            <w:tcMar>
              <w:left w:w="0" w:type="dxa"/>
              <w:right w:w="0" w:type="dxa"/>
            </w:tcMar>
            <w:vAlign w:val="center"/>
          </w:tcPr>
          <w:p w14:paraId="6203A393" w14:textId="77777777" w:rsidR="00F137F4" w:rsidRPr="00BC31E0" w:rsidRDefault="00F137F4" w:rsidP="006077F3">
            <w:pPr>
              <w:tabs>
                <w:tab w:val="left" w:leader="middleDot" w:pos="2161"/>
              </w:tabs>
              <w:autoSpaceDE w:val="0"/>
              <w:autoSpaceDN w:val="0"/>
              <w:spacing w:before="120"/>
              <w:jc w:val="left"/>
            </w:pPr>
            <w:r w:rsidRPr="00BC31E0">
              <w:tab/>
            </w:r>
            <w:r w:rsidRPr="00BC31E0">
              <w:rPr>
                <w:rFonts w:hint="eastAsia"/>
              </w:rPr>
              <w:t>(6.13.4)</w:t>
            </w:r>
          </w:p>
        </w:tc>
      </w:tr>
    </w:tbl>
    <w:p w14:paraId="65AD3071" w14:textId="77777777" w:rsidR="00F137F4" w:rsidRPr="00BC31E0" w:rsidRDefault="00F137F4" w:rsidP="008E29CE">
      <w:pPr>
        <w:ind w:left="737" w:firstLineChars="100" w:firstLine="210"/>
        <w:rPr>
          <w:rFonts w:ascii="ＭＳ 明朝" w:hAnsi="ＭＳ 明朝"/>
        </w:rPr>
      </w:pPr>
      <w:r w:rsidRPr="00BC31E0">
        <w:rPr>
          <w:rFonts w:ascii="ＭＳ 明朝" w:hAnsi="ＭＳ 明朝" w:hint="eastAsia"/>
        </w:rPr>
        <w:t>ここで，</w:t>
      </w:r>
    </w:p>
    <w:p w14:paraId="40285A62" w14:textId="77777777" w:rsidR="00F137F4" w:rsidRPr="00BC31E0" w:rsidRDefault="00F137F4" w:rsidP="008E29CE">
      <w:pPr>
        <w:tabs>
          <w:tab w:val="left" w:pos="2268"/>
        </w:tabs>
        <w:autoSpaceDE w:val="0"/>
        <w:autoSpaceDN w:val="0"/>
        <w:ind w:left="1701"/>
      </w:pPr>
      <m:oMath>
        <m:r>
          <w:rPr>
            <w:rFonts w:ascii="Cambria Math" w:hAnsi="Cambria Math"/>
          </w:rPr>
          <m:t>RYS</m:t>
        </m:r>
      </m:oMath>
      <w:r w:rsidR="00CF52FB" w:rsidRPr="00BC31E0">
        <w:rPr>
          <w:rFonts w:hint="eastAsia"/>
          <w:iCs/>
        </w:rPr>
        <w:tab/>
      </w:r>
      <w:r w:rsidRPr="00BC31E0">
        <w:rPr>
          <w:rFonts w:hint="eastAsia"/>
        </w:rPr>
        <w:t>：</w:t>
      </w:r>
      <w:r w:rsidRPr="00BC31E0">
        <w:t xml:space="preserve"> </w:t>
      </w:r>
      <w:r w:rsidRPr="00BC31E0">
        <w:rPr>
          <w:rFonts w:hint="eastAsia"/>
        </w:rPr>
        <w:t>相対降伏強さ</w:t>
      </w:r>
    </w:p>
    <w:p w14:paraId="67203AB0" w14:textId="77777777" w:rsidR="00F137F4" w:rsidRPr="00BC31E0" w:rsidRDefault="00F137F4" w:rsidP="008E29CE">
      <w:pPr>
        <w:tabs>
          <w:tab w:val="left" w:pos="2268"/>
        </w:tabs>
        <w:autoSpaceDE w:val="0"/>
        <w:autoSpaceDN w:val="0"/>
        <w:ind w:left="1701"/>
      </w:pPr>
      <m:oMath>
        <m:r>
          <w:rPr>
            <w:rFonts w:ascii="Cambria Math" w:hAnsi="Cambria Math"/>
          </w:rPr>
          <m:t>RTS</m:t>
        </m:r>
      </m:oMath>
      <w:r w:rsidR="00CF52FB" w:rsidRPr="00BC31E0">
        <w:rPr>
          <w:rFonts w:hint="eastAsia"/>
          <w:iCs/>
        </w:rPr>
        <w:tab/>
      </w:r>
      <w:r w:rsidRPr="00BC31E0">
        <w:rPr>
          <w:rFonts w:hint="eastAsia"/>
        </w:rPr>
        <w:t>：</w:t>
      </w:r>
      <w:r w:rsidRPr="00BC31E0">
        <w:t xml:space="preserve"> </w:t>
      </w:r>
      <w:r w:rsidRPr="00BC31E0">
        <w:rPr>
          <w:rFonts w:hint="eastAsia"/>
        </w:rPr>
        <w:t>相対引張強さ</w:t>
      </w:r>
    </w:p>
    <w:p w14:paraId="5A787104" w14:textId="77777777" w:rsidR="00F137F4" w:rsidRPr="00BC31E0" w:rsidRDefault="00F137F4" w:rsidP="008E29CE">
      <w:pPr>
        <w:tabs>
          <w:tab w:val="left" w:pos="2268"/>
        </w:tabs>
        <w:autoSpaceDE w:val="0"/>
        <w:autoSpaceDN w:val="0"/>
        <w:ind w:left="1701"/>
      </w:pPr>
      <m:oMath>
        <m:r>
          <w:rPr>
            <w:rFonts w:ascii="Cambria Math" w:hAnsi="Cambria Math"/>
          </w:rPr>
          <m:t>REL</m:t>
        </m:r>
      </m:oMath>
      <w:r w:rsidR="00CF52FB" w:rsidRPr="00BC31E0">
        <w:rPr>
          <w:rFonts w:hint="eastAsia"/>
          <w:iCs/>
        </w:rPr>
        <w:tab/>
      </w:r>
      <w:r w:rsidRPr="00BC31E0">
        <w:rPr>
          <w:rFonts w:hint="eastAsia"/>
        </w:rPr>
        <w:t>：</w:t>
      </w:r>
      <w:r w:rsidRPr="00BC31E0">
        <w:t xml:space="preserve"> </w:t>
      </w:r>
      <w:r w:rsidRPr="00BC31E0">
        <w:rPr>
          <w:rFonts w:hint="eastAsia"/>
        </w:rPr>
        <w:t>相対伸び</w:t>
      </w:r>
    </w:p>
    <w:p w14:paraId="599482B0" w14:textId="77777777" w:rsidR="00F137F4" w:rsidRPr="00BC31E0" w:rsidRDefault="00F137F4" w:rsidP="008E29CE">
      <w:pPr>
        <w:tabs>
          <w:tab w:val="left" w:pos="2268"/>
        </w:tabs>
        <w:autoSpaceDE w:val="0"/>
        <w:autoSpaceDN w:val="0"/>
        <w:ind w:left="1701"/>
      </w:pPr>
      <m:oMath>
        <m:r>
          <w:rPr>
            <w:rFonts w:ascii="Cambria Math" w:hAnsi="Cambria Math"/>
          </w:rPr>
          <m:t>RRA</m:t>
        </m:r>
      </m:oMath>
      <w:r w:rsidR="00CF52FB" w:rsidRPr="00BC31E0">
        <w:rPr>
          <w:rFonts w:hint="eastAsia"/>
          <w:iCs/>
        </w:rPr>
        <w:tab/>
      </w:r>
      <w:r w:rsidRPr="00BC31E0">
        <w:rPr>
          <w:rFonts w:hint="eastAsia"/>
        </w:rPr>
        <w:t>：</w:t>
      </w:r>
      <w:r w:rsidRPr="00BC31E0">
        <w:t xml:space="preserve"> </w:t>
      </w:r>
      <w:r w:rsidRPr="00BC31E0">
        <w:rPr>
          <w:rFonts w:hint="eastAsia"/>
        </w:rPr>
        <w:t>相対絞り</w:t>
      </w:r>
    </w:p>
    <w:p w14:paraId="31668AC8" w14:textId="77777777" w:rsidR="00F137F4" w:rsidRPr="00BC31E0" w:rsidRDefault="00F137F4" w:rsidP="00736130">
      <w:pPr>
        <w:pStyle w:val="a4"/>
        <w:numPr>
          <w:ilvl w:val="0"/>
          <w:numId w:val="463"/>
        </w:numPr>
        <w:ind w:leftChars="0" w:left="738" w:hanging="454"/>
        <w:rPr>
          <w:rFonts w:asciiTheme="majorEastAsia" w:eastAsiaTheme="majorEastAsia" w:hAnsiTheme="majorEastAsia"/>
          <w:b/>
        </w:rPr>
      </w:pPr>
      <w:r w:rsidRPr="00BC31E0">
        <w:rPr>
          <w:rFonts w:asciiTheme="majorEastAsia" w:eastAsiaTheme="majorEastAsia" w:hAnsiTheme="majorEastAsia" w:hint="eastAsia"/>
          <w:b/>
        </w:rPr>
        <w:t>材料の選定</w:t>
      </w:r>
    </w:p>
    <w:p w14:paraId="45E6E343" w14:textId="77777777" w:rsidR="00F137F4" w:rsidRPr="00BC31E0" w:rsidRDefault="005959E9" w:rsidP="005959E9">
      <w:pPr>
        <w:ind w:left="1134" w:hanging="567"/>
      </w:pPr>
      <w:r w:rsidRPr="00BC31E0">
        <w:rPr>
          <w:rFonts w:asciiTheme="majorEastAsia" w:eastAsiaTheme="majorEastAsia" w:hAnsiTheme="majorEastAsia" w:hint="eastAsia"/>
          <w:b/>
        </w:rPr>
        <w:t xml:space="preserve">5.1) </w:t>
      </w:r>
      <w:r w:rsidR="00F137F4" w:rsidRPr="00BC31E0">
        <w:rPr>
          <w:rFonts w:hint="eastAsia"/>
        </w:rPr>
        <w:t>次の</w:t>
      </w:r>
      <w:r w:rsidR="00F137F4" w:rsidRPr="00BC31E0">
        <w:t>2</w:t>
      </w:r>
      <w:r w:rsidR="00F137F4" w:rsidRPr="00BC31E0">
        <w:rPr>
          <w:rFonts w:hint="eastAsia"/>
        </w:rPr>
        <w:t>項目が成立することを確認する。</w:t>
      </w:r>
    </w:p>
    <w:p w14:paraId="45A95B8E" w14:textId="77777777" w:rsidR="000E7C42" w:rsidRPr="00BC31E0" w:rsidRDefault="00F137F4" w:rsidP="000609CB">
      <w:pPr>
        <w:ind w:left="1361" w:hanging="227"/>
        <w:rPr>
          <w:rFonts w:asciiTheme="minorHAnsi" w:eastAsiaTheme="minorEastAsia" w:hAnsiTheme="minorHAnsi"/>
        </w:rPr>
      </w:pPr>
      <w:r w:rsidRPr="00BC31E0">
        <w:rPr>
          <w:rFonts w:asciiTheme="minorHAnsi" w:eastAsiaTheme="minorEastAsia" w:hAnsiTheme="minorEastAsia"/>
        </w:rPr>
        <w:t>・不活性ガス環境の</w:t>
      </w:r>
      <w:r w:rsidRPr="00BC31E0">
        <w:rPr>
          <w:rFonts w:asciiTheme="minorHAnsi" w:eastAsiaTheme="minorEastAsia" w:hAnsiTheme="minorHAnsi"/>
          <w:bCs/>
        </w:rPr>
        <w:t>SSRT</w:t>
      </w:r>
      <w:r w:rsidRPr="00BC31E0">
        <w:rPr>
          <w:rFonts w:asciiTheme="minorHAnsi" w:eastAsiaTheme="minorEastAsia" w:hAnsiTheme="minorEastAsia"/>
        </w:rPr>
        <w:t>の荷重</w:t>
      </w:r>
      <w:r w:rsidR="00A9562B" w:rsidRPr="00BC31E0">
        <w:rPr>
          <w:rFonts w:asciiTheme="minorHAnsi" w:eastAsiaTheme="minorEastAsia" w:hAnsiTheme="minorEastAsia" w:hint="eastAsia"/>
        </w:rPr>
        <w:t>－</w:t>
      </w:r>
      <w:r w:rsidRPr="00BC31E0">
        <w:rPr>
          <w:rFonts w:asciiTheme="minorHAnsi" w:eastAsiaTheme="minorEastAsia" w:hAnsiTheme="minorEastAsia"/>
        </w:rPr>
        <w:t>伸び曲線が，最大荷重点で延性不安定破壊を開始する形状を示す。</w:t>
      </w:r>
    </w:p>
    <w:p w14:paraId="0D2A24BD" w14:textId="77777777" w:rsidR="00F137F4" w:rsidRPr="00BC31E0" w:rsidRDefault="000E7C42" w:rsidP="000609CB">
      <w:pPr>
        <w:ind w:left="1361" w:hanging="227"/>
      </w:pPr>
      <w:r w:rsidRPr="00BC31E0">
        <w:rPr>
          <w:rFonts w:asciiTheme="minorHAnsi" w:eastAsiaTheme="minorEastAsia" w:hAnsiTheme="minorEastAsia"/>
        </w:rPr>
        <w:t>・</w:t>
      </w:r>
      <w:r w:rsidR="00F137F4" w:rsidRPr="00BC31E0">
        <w:rPr>
          <w:rFonts w:asciiTheme="minorHAnsi" w:eastAsiaTheme="minorEastAsia" w:hAnsiTheme="minorEastAsia"/>
        </w:rPr>
        <w:t>水素環境の降伏強さが不活性ガス環境の降伏強さと同じで，</w:t>
      </w:r>
      <m:oMath>
        <m:r>
          <w:rPr>
            <w:rFonts w:ascii="Cambria Math" w:eastAsiaTheme="minorEastAsia" w:hAnsi="Cambria Math"/>
          </w:rPr>
          <m:t>RYS</m:t>
        </m:r>
        <m:r>
          <w:rPr>
            <w:rFonts w:ascii="Cambria Math" w:eastAsiaTheme="minorEastAsia" w:hAnsiTheme="minorHAnsi"/>
          </w:rPr>
          <m:t>=1</m:t>
        </m:r>
        <m:r>
          <w:rPr>
            <w:rFonts w:ascii="Cambria Math" w:eastAsiaTheme="minorEastAsia" w:hAnsiTheme="minorHAnsi" w:hint="eastAsia"/>
          </w:rPr>
          <m:t xml:space="preserve"> </m:t>
        </m:r>
      </m:oMath>
      <w:r w:rsidR="00F137F4" w:rsidRPr="00BC31E0">
        <w:rPr>
          <w:rFonts w:asciiTheme="minorHAnsi" w:eastAsiaTheme="minorEastAsia" w:hAnsiTheme="minorEastAsia"/>
        </w:rPr>
        <w:t>とみなせる。</w:t>
      </w:r>
    </w:p>
    <w:p w14:paraId="24D02B72" w14:textId="77777777" w:rsidR="00F137F4" w:rsidRPr="00BC31E0" w:rsidRDefault="0075212E" w:rsidP="0075212E">
      <w:pPr>
        <w:ind w:left="1134" w:hanging="567"/>
        <w:rPr>
          <w:rFonts w:hAnsiTheme="minorHAnsi"/>
        </w:rPr>
      </w:pPr>
      <w:r w:rsidRPr="00BC31E0">
        <w:rPr>
          <w:rFonts w:asciiTheme="majorEastAsia" w:eastAsiaTheme="majorEastAsia" w:hAnsiTheme="majorEastAsia" w:hint="eastAsia"/>
          <w:b/>
        </w:rPr>
        <w:t>5.2）</w:t>
      </w:r>
      <w:r w:rsidR="000E7C42" w:rsidRPr="00BC31E0">
        <w:rPr>
          <w:rFonts w:asciiTheme="majorEastAsia" w:eastAsiaTheme="majorEastAsia" w:hAnsiTheme="majorEastAsia"/>
          <w:b/>
        </w:rPr>
        <w:t>5.1)</w:t>
      </w:r>
      <w:r w:rsidR="00F137F4" w:rsidRPr="00BC31E0">
        <w:t>を確認した後，次の項目が成立すれば</w:t>
      </w:r>
      <w:r w:rsidR="005B0B30" w:rsidRPr="00BC31E0">
        <w:rPr>
          <w:rFonts w:hint="eastAsia"/>
        </w:rPr>
        <w:t>，</w:t>
      </w:r>
      <w:r w:rsidR="00F137F4" w:rsidRPr="00BC31E0">
        <w:rPr>
          <w:rFonts w:asciiTheme="majorEastAsia" w:eastAsiaTheme="majorEastAsia" w:hAnsiTheme="majorEastAsia"/>
          <w:b/>
          <w:bCs/>
        </w:rPr>
        <w:t>6)</w:t>
      </w:r>
      <w:r w:rsidR="00F137F4" w:rsidRPr="00BC31E0">
        <w:t>により水素適合性を判定する。</w:t>
      </w:r>
    </w:p>
    <w:p w14:paraId="611F8483" w14:textId="77777777" w:rsidR="00F137F4" w:rsidRPr="00BC31E0" w:rsidRDefault="00F137F4" w:rsidP="000609CB">
      <w:pPr>
        <w:ind w:left="1361" w:hanging="227"/>
      </w:pPr>
      <w:r w:rsidRPr="00BC31E0">
        <w:rPr>
          <w:rFonts w:hint="eastAsia"/>
        </w:rPr>
        <w:t>・水素環境の</w:t>
      </w:r>
      <w:r w:rsidRPr="00BC31E0">
        <w:rPr>
          <w:rFonts w:asciiTheme="minorHAnsi" w:hAnsiTheme="minorHAnsi"/>
          <w:bCs/>
        </w:rPr>
        <w:t>SSRT</w:t>
      </w:r>
      <w:r w:rsidRPr="00BC31E0">
        <w:rPr>
          <w:rFonts w:hint="eastAsia"/>
        </w:rPr>
        <w:t>の荷重</w:t>
      </w:r>
      <w:r w:rsidR="00A9562B" w:rsidRPr="00BC31E0">
        <w:rPr>
          <w:rFonts w:hint="eastAsia"/>
        </w:rPr>
        <w:t>－</w:t>
      </w:r>
      <w:r w:rsidRPr="00BC31E0">
        <w:rPr>
          <w:rFonts w:hint="eastAsia"/>
        </w:rPr>
        <w:t>伸び曲線が，不活性ガス環境の</w:t>
      </w:r>
      <w:r w:rsidRPr="00BC31E0">
        <w:rPr>
          <w:rFonts w:asciiTheme="minorHAnsi" w:hAnsiTheme="minorHAnsi"/>
          <w:bCs/>
        </w:rPr>
        <w:t>SSRT</w:t>
      </w:r>
      <w:r w:rsidRPr="00BC31E0">
        <w:rPr>
          <w:rFonts w:hint="eastAsia"/>
        </w:rPr>
        <w:t>の最大荷重点に達する前の荷重又は伸びで，破断によって打ち切られない</w:t>
      </w:r>
      <w:r w:rsidRPr="00BC31E0">
        <w:rPr>
          <w:rFonts w:asciiTheme="minorHAnsi" w:hAnsiTheme="minorHAnsi"/>
        </w:rPr>
        <w:t>(</w:t>
      </w:r>
      <m:oMath>
        <m:r>
          <w:rPr>
            <w:rFonts w:ascii="Cambria Math" w:hAnsi="Cambria Math"/>
          </w:rPr>
          <m:t>RTS=1</m:t>
        </m:r>
      </m:oMath>
      <w:r w:rsidRPr="00BC31E0">
        <w:rPr>
          <w:rFonts w:hint="eastAsia"/>
        </w:rPr>
        <w:t>，</w:t>
      </w:r>
      <m:oMath>
        <m:r>
          <w:rPr>
            <w:rFonts w:ascii="Cambria Math" w:hAnsi="Cambria Math"/>
          </w:rPr>
          <m:t>RTS&gt;REL</m:t>
        </m:r>
      </m:oMath>
      <w:r w:rsidRPr="00BC31E0">
        <w:rPr>
          <w:rFonts w:hint="eastAsia"/>
        </w:rPr>
        <w:t>，</w:t>
      </w:r>
      <m:oMath>
        <m:r>
          <w:rPr>
            <w:rFonts w:ascii="Cambria Math" w:hAnsi="Cambria Math"/>
          </w:rPr>
          <m:t>RTS&gt;RRA</m:t>
        </m:r>
      </m:oMath>
      <w:r w:rsidRPr="00BC31E0">
        <w:rPr>
          <w:rFonts w:hint="eastAsia"/>
        </w:rPr>
        <w:t>とみなせる</w:t>
      </w:r>
      <w:r w:rsidRPr="00BC31E0">
        <w:rPr>
          <w:rFonts w:asciiTheme="minorHAnsi" w:hAnsiTheme="minorHAnsi"/>
        </w:rPr>
        <w:t>)</w:t>
      </w:r>
      <w:r w:rsidR="005959E9" w:rsidRPr="00BC31E0">
        <w:rPr>
          <w:rFonts w:hint="eastAsia"/>
        </w:rPr>
        <w:t>。</w:t>
      </w:r>
    </w:p>
    <w:p w14:paraId="112B761A" w14:textId="77777777" w:rsidR="00F137F4" w:rsidRPr="00BC31E0" w:rsidRDefault="00F137F4" w:rsidP="00736130">
      <w:pPr>
        <w:pStyle w:val="a4"/>
        <w:numPr>
          <w:ilvl w:val="0"/>
          <w:numId w:val="463"/>
        </w:numPr>
        <w:spacing w:after="120"/>
        <w:ind w:leftChars="0" w:left="738" w:hanging="454"/>
      </w:pPr>
      <w:r w:rsidRPr="00BC31E0">
        <w:rPr>
          <w:rFonts w:asciiTheme="majorEastAsia" w:eastAsiaTheme="majorEastAsia" w:hAnsiTheme="majorEastAsia" w:hint="eastAsia"/>
          <w:b/>
        </w:rPr>
        <w:t>水素適合性の判定</w:t>
      </w:r>
      <w:r w:rsidRPr="00BC31E0">
        <w:rPr>
          <w:rFonts w:hint="eastAsia"/>
        </w:rPr>
        <w:t xml:space="preserve">　</w:t>
      </w:r>
      <w:r w:rsidRPr="00BC31E0">
        <w:rPr>
          <w:rFonts w:hAnsi="ＭＳ 明朝" w:hint="eastAsia"/>
        </w:rPr>
        <w:t>次の式が成立する場合に，材料は水素への適合性を持つ。</w:t>
      </w:r>
    </w:p>
    <w:p w14:paraId="4B5E751F" w14:textId="77777777" w:rsidR="00F137F4" w:rsidRPr="00BC31E0" w:rsidRDefault="00F137F4" w:rsidP="002950BB">
      <w:pPr>
        <w:tabs>
          <w:tab w:val="left" w:pos="2835"/>
          <w:tab w:val="left" w:leader="middleDot" w:pos="8080"/>
        </w:tabs>
        <w:autoSpaceDE w:val="0"/>
        <w:autoSpaceDN w:val="0"/>
        <w:spacing w:after="120"/>
      </w:pPr>
      <w:r w:rsidRPr="00BC31E0">
        <w:rPr>
          <w:rFonts w:hint="eastAsia"/>
        </w:rPr>
        <w:tab/>
      </w:r>
      <m:oMath>
        <m:r>
          <m:rPr>
            <m:sty m:val="p"/>
          </m:rPr>
          <w:rPr>
            <w:rFonts w:ascii="Cambria Math" w:hAnsi="Cambria Math" w:hint="eastAsia"/>
          </w:rPr>
          <m:t>絞り</m:t>
        </m:r>
        <m:d>
          <m:dPr>
            <m:ctrlPr>
              <w:rPr>
                <w:rFonts w:ascii="Cambria Math" w:hAnsi="Cambria Math"/>
              </w:rPr>
            </m:ctrlPr>
          </m:dPr>
          <m:e>
            <m:r>
              <m:rPr>
                <m:sty m:val="p"/>
              </m:rPr>
              <w:rPr>
                <w:rFonts w:ascii="Cambria Math" w:hAnsi="Cambria Math" w:hint="eastAsia"/>
              </w:rPr>
              <m:t>実測値</m:t>
            </m:r>
          </m:e>
        </m:d>
        <m:r>
          <m:rPr>
            <m:sty m:val="p"/>
          </m:rPr>
          <w:rPr>
            <w:rFonts w:ascii="Cambria Math" w:hAnsi="Cambria Math"/>
          </w:rPr>
          <m:t>×</m:t>
        </m:r>
        <m:r>
          <w:rPr>
            <w:rFonts w:ascii="Cambria Math" w:hAnsi="Cambria Math"/>
          </w:rPr>
          <m:t>RRA</m:t>
        </m:r>
        <m:r>
          <m:rPr>
            <m:sty m:val="p"/>
          </m:rPr>
          <w:rPr>
            <w:rFonts w:ascii="Cambria Math" w:hAnsi="Cambria Math" w:hint="eastAsia"/>
          </w:rPr>
          <m:t>≧絞り</m:t>
        </m:r>
        <m:d>
          <m:dPr>
            <m:ctrlPr>
              <w:rPr>
                <w:rFonts w:ascii="Cambria Math" w:hAnsi="Cambria Math"/>
              </w:rPr>
            </m:ctrlPr>
          </m:dPr>
          <m:e>
            <m:r>
              <m:rPr>
                <m:sty m:val="p"/>
              </m:rPr>
              <w:rPr>
                <w:rFonts w:ascii="Cambria Math" w:hAnsi="Cambria Math" w:hint="eastAsia"/>
              </w:rPr>
              <m:t>規格値</m:t>
            </m:r>
          </m:e>
        </m:d>
      </m:oMath>
      <w:r w:rsidRPr="00BC31E0">
        <w:rPr>
          <w:rFonts w:hint="eastAsia"/>
        </w:rPr>
        <w:tab/>
        <w:t>(6.13.5)</w:t>
      </w:r>
    </w:p>
    <w:p w14:paraId="01C01084" w14:textId="77777777" w:rsidR="00F137F4" w:rsidRPr="00BC31E0" w:rsidRDefault="00F137F4" w:rsidP="008E29CE">
      <w:pPr>
        <w:spacing w:before="120" w:after="120"/>
        <w:ind w:left="737"/>
      </w:pPr>
      <w:r w:rsidRPr="00BC31E0">
        <w:rPr>
          <w:rFonts w:hint="eastAsia"/>
        </w:rPr>
        <w:t>材料規格に絞りが規定されていない場合，絞りに代えて伸びによる次の式で判定をする。</w:t>
      </w:r>
    </w:p>
    <w:p w14:paraId="40463ACC" w14:textId="77777777" w:rsidR="00F137F4" w:rsidRPr="00BC31E0" w:rsidRDefault="00F137F4" w:rsidP="002950BB">
      <w:pPr>
        <w:tabs>
          <w:tab w:val="left" w:pos="2835"/>
          <w:tab w:val="left" w:leader="middleDot" w:pos="8080"/>
        </w:tabs>
        <w:autoSpaceDE w:val="0"/>
        <w:autoSpaceDN w:val="0"/>
        <w:spacing w:before="120" w:after="120"/>
      </w:pPr>
      <w:r w:rsidRPr="00BC31E0">
        <w:rPr>
          <w:rFonts w:hint="eastAsia"/>
        </w:rPr>
        <w:tab/>
      </w:r>
      <m:oMath>
        <m:r>
          <m:rPr>
            <m:sty m:val="p"/>
          </m:rPr>
          <w:rPr>
            <w:rFonts w:ascii="Cambria Math" w:hAnsi="Cambria Math" w:hint="eastAsia"/>
          </w:rPr>
          <m:t>伸び</m:t>
        </m:r>
        <m:d>
          <m:dPr>
            <m:ctrlPr>
              <w:rPr>
                <w:rFonts w:ascii="Cambria Math" w:hAnsi="Cambria Math"/>
              </w:rPr>
            </m:ctrlPr>
          </m:dPr>
          <m:e>
            <m:r>
              <m:rPr>
                <m:sty m:val="p"/>
              </m:rPr>
              <w:rPr>
                <w:rFonts w:ascii="Cambria Math" w:hAnsi="Cambria Math" w:hint="eastAsia"/>
              </w:rPr>
              <m:t>実測値</m:t>
            </m:r>
          </m:e>
        </m:d>
        <m:r>
          <m:rPr>
            <m:sty m:val="p"/>
          </m:rPr>
          <w:rPr>
            <w:rFonts w:ascii="Cambria Math" w:hAnsi="Cambria Math"/>
          </w:rPr>
          <m:t>×</m:t>
        </m:r>
        <m:r>
          <w:rPr>
            <w:rFonts w:ascii="Cambria Math" w:hAnsi="Cambria Math"/>
          </w:rPr>
          <m:t>REL</m:t>
        </m:r>
        <m:r>
          <m:rPr>
            <m:sty m:val="p"/>
          </m:rPr>
          <w:rPr>
            <w:rFonts w:ascii="Cambria Math" w:hAnsi="Cambria Math" w:hint="eastAsia"/>
          </w:rPr>
          <m:t>≧伸び</m:t>
        </m:r>
        <m:d>
          <m:dPr>
            <m:ctrlPr>
              <w:rPr>
                <w:rFonts w:ascii="Cambria Math" w:hAnsi="Cambria Math"/>
              </w:rPr>
            </m:ctrlPr>
          </m:dPr>
          <m:e>
            <m:r>
              <m:rPr>
                <m:sty m:val="p"/>
              </m:rPr>
              <w:rPr>
                <w:rFonts w:ascii="Cambria Math" w:hAnsi="Cambria Math" w:hint="eastAsia"/>
              </w:rPr>
              <m:t>規格値</m:t>
            </m:r>
          </m:e>
        </m:d>
      </m:oMath>
      <w:r w:rsidRPr="00BC31E0">
        <w:rPr>
          <w:rFonts w:hint="eastAsia"/>
        </w:rPr>
        <w:tab/>
        <w:t>(6.13.6)</w:t>
      </w:r>
    </w:p>
    <w:p w14:paraId="614A6958" w14:textId="77777777" w:rsidR="00F137F4" w:rsidRPr="00BC31E0" w:rsidRDefault="00F137F4" w:rsidP="006F5EDD">
      <w:pPr>
        <w:ind w:left="737"/>
        <w:rPr>
          <w:rFonts w:ascii="ＭＳ 明朝" w:hAnsi="ＭＳ 明朝"/>
        </w:rPr>
      </w:pPr>
      <w:r w:rsidRPr="00BC31E0">
        <w:rPr>
          <w:rFonts w:ascii="ＭＳ 明朝" w:hAnsi="ＭＳ 明朝" w:hint="eastAsia"/>
        </w:rPr>
        <w:lastRenderedPageBreak/>
        <w:t>冷間加工材に</w:t>
      </w:r>
      <w:r w:rsidRPr="00BC31E0">
        <w:rPr>
          <w:rFonts w:asciiTheme="majorEastAsia" w:eastAsiaTheme="majorEastAsia" w:hAnsiTheme="majorEastAsia" w:hint="eastAsia"/>
          <w:b/>
        </w:rPr>
        <w:t>式</w:t>
      </w:r>
      <w:r w:rsidRPr="00BC31E0">
        <w:rPr>
          <w:rFonts w:asciiTheme="majorEastAsia" w:eastAsiaTheme="majorEastAsia" w:hAnsiTheme="majorEastAsia"/>
          <w:b/>
          <w:bCs/>
        </w:rPr>
        <w:t>(6.13.6)</w:t>
      </w:r>
      <w:r w:rsidRPr="00BC31E0">
        <w:rPr>
          <w:rFonts w:ascii="ＭＳ 明朝" w:hAnsi="ＭＳ 明朝" w:hint="eastAsia"/>
        </w:rPr>
        <w:t>を適用する場合は，伸び</w:t>
      </w:r>
      <w:r w:rsidR="006566AD" w:rsidRPr="00BC31E0">
        <w:rPr>
          <w:rFonts w:asciiTheme="minorHAnsi" w:hAnsiTheme="minorHAnsi"/>
        </w:rPr>
        <w:t>(</w:t>
      </w:r>
      <w:r w:rsidR="006566AD" w:rsidRPr="00BC31E0">
        <w:rPr>
          <w:rFonts w:asciiTheme="minorHAnsi" w:hAnsi="ＭＳ 明朝"/>
        </w:rPr>
        <w:t>実測値</w:t>
      </w:r>
      <w:r w:rsidR="006566AD" w:rsidRPr="00BC31E0">
        <w:rPr>
          <w:rFonts w:asciiTheme="minorHAnsi" w:hAnsiTheme="minorHAnsi"/>
        </w:rPr>
        <w:t>)</w:t>
      </w:r>
      <w:r w:rsidRPr="00BC31E0">
        <w:rPr>
          <w:rFonts w:ascii="ＭＳ 明朝" w:hAnsi="ＭＳ 明朝" w:hint="eastAsia"/>
        </w:rPr>
        <w:t>に冷間加工度による伸びを加算する。</w:t>
      </w:r>
    </w:p>
    <w:p w14:paraId="7EB83F83" w14:textId="77777777" w:rsidR="00F137F4" w:rsidRPr="00BC31E0" w:rsidRDefault="00F137F4" w:rsidP="00736130">
      <w:pPr>
        <w:pStyle w:val="a4"/>
        <w:numPr>
          <w:ilvl w:val="0"/>
          <w:numId w:val="318"/>
        </w:numPr>
        <w:ind w:leftChars="0" w:left="454" w:hanging="454"/>
        <w:rPr>
          <w:rFonts w:ascii="ＭＳ 明朝" w:hAnsi="ＭＳ 明朝"/>
        </w:rPr>
      </w:pPr>
      <w:r w:rsidRPr="00BC31E0">
        <w:rPr>
          <w:rFonts w:asciiTheme="majorEastAsia" w:eastAsiaTheme="majorEastAsia" w:hAnsiTheme="majorEastAsia" w:hint="eastAsia"/>
          <w:b/>
        </w:rPr>
        <w:t>Ni</w:t>
      </w:r>
      <w:r w:rsidR="006566AD" w:rsidRPr="00BC31E0">
        <w:rPr>
          <w:rFonts w:asciiTheme="majorEastAsia" w:eastAsiaTheme="majorEastAsia" w:hAnsiTheme="majorEastAsia" w:hint="eastAsia"/>
          <w:b/>
        </w:rPr>
        <w:t>当</w:t>
      </w:r>
      <w:r w:rsidRPr="00BC31E0">
        <w:rPr>
          <w:rFonts w:asciiTheme="majorEastAsia" w:eastAsiaTheme="majorEastAsia" w:hAnsiTheme="majorEastAsia" w:hint="eastAsia"/>
          <w:b/>
        </w:rPr>
        <w:t>量による判定</w:t>
      </w:r>
      <w:r w:rsidRPr="00BC31E0">
        <w:rPr>
          <w:rFonts w:hint="eastAsia"/>
        </w:rPr>
        <w:t xml:space="preserve">　</w:t>
      </w:r>
      <w:r w:rsidRPr="00BC31E0">
        <w:rPr>
          <w:rFonts w:asciiTheme="majorEastAsia" w:eastAsiaTheme="majorEastAsia" w:hAnsiTheme="majorEastAsia" w:hint="eastAsia"/>
          <w:b/>
        </w:rPr>
        <w:t>a)</w:t>
      </w:r>
      <w:r w:rsidRPr="00BC31E0">
        <w:rPr>
          <w:rFonts w:hint="eastAsia"/>
        </w:rPr>
        <w:t>による</w:t>
      </w:r>
      <m:oMath>
        <m:r>
          <w:rPr>
            <w:rFonts w:ascii="Cambria Math" w:hAnsi="Cambria Math"/>
          </w:rPr>
          <m:t>RRA</m:t>
        </m:r>
        <m:r>
          <m:rPr>
            <m:sty m:val="p"/>
          </m:rPr>
          <w:rPr>
            <w:rFonts w:ascii="Cambria Math" w:hAnsi="Cambria Math" w:hint="eastAsia"/>
          </w:rPr>
          <m:t xml:space="preserve"> </m:t>
        </m:r>
      </m:oMath>
      <w:r w:rsidRPr="00BC31E0">
        <w:rPr>
          <w:rFonts w:hint="eastAsia"/>
        </w:rPr>
        <w:t>及び</w:t>
      </w:r>
      <m:oMath>
        <m:r>
          <w:rPr>
            <w:rFonts w:ascii="Cambria Math" w:hAnsi="Cambria Math"/>
          </w:rPr>
          <m:t>REL</m:t>
        </m:r>
        <m:r>
          <m:rPr>
            <m:sty m:val="p"/>
          </m:rPr>
          <w:rPr>
            <w:rFonts w:ascii="Cambria Math" w:hAnsi="Cambria Math" w:hint="eastAsia"/>
          </w:rPr>
          <m:t xml:space="preserve"> </m:t>
        </m:r>
      </m:oMath>
      <w:r w:rsidRPr="00BC31E0">
        <w:rPr>
          <w:rFonts w:hint="eastAsia"/>
        </w:rPr>
        <w:t>の算出に代えて，次の式により値を求めて水素適合性の判定を行ってもよい。</w:t>
      </w:r>
    </w:p>
    <w:p w14:paraId="7D699007" w14:textId="77777777" w:rsidR="00F137F4" w:rsidRPr="00BC31E0" w:rsidRDefault="00F137F4" w:rsidP="00736130">
      <w:pPr>
        <w:pStyle w:val="a4"/>
        <w:numPr>
          <w:ilvl w:val="0"/>
          <w:numId w:val="319"/>
        </w:numPr>
        <w:ind w:leftChars="0" w:left="738" w:hanging="454"/>
        <w:rPr>
          <w:rFonts w:asciiTheme="majorEastAsia" w:eastAsiaTheme="majorEastAsia" w:hAnsiTheme="majorEastAsia"/>
          <w:b/>
        </w:rPr>
      </w:pPr>
      <w:r w:rsidRPr="00BC31E0">
        <w:rPr>
          <w:rFonts w:asciiTheme="majorEastAsia" w:eastAsiaTheme="majorEastAsia" w:hAnsiTheme="majorEastAsia" w:hint="eastAsia"/>
          <w:b/>
        </w:rPr>
        <w:t>温度が室温</w:t>
      </w:r>
      <w:r w:rsidRPr="00BC31E0">
        <w:rPr>
          <w:rFonts w:asciiTheme="majorEastAsia" w:eastAsiaTheme="majorEastAsia" w:hAnsiTheme="majorEastAsia"/>
          <w:b/>
        </w:rPr>
        <w:t>(20</w:t>
      </w:r>
      <w:r w:rsidRPr="00BC31E0">
        <w:rPr>
          <w:rFonts w:asciiTheme="majorEastAsia" w:eastAsiaTheme="majorEastAsia" w:hAnsiTheme="majorEastAsia" w:cs="ＭＳ 明朝" w:hint="eastAsia"/>
          <w:b/>
        </w:rPr>
        <w:t>℃</w:t>
      </w:r>
      <w:r w:rsidRPr="00BC31E0">
        <w:rPr>
          <w:rFonts w:asciiTheme="majorEastAsia" w:eastAsiaTheme="majorEastAsia" w:hAnsiTheme="majorEastAsia" w:cs="ＭＳ 明朝"/>
          <w:b/>
        </w:rPr>
        <w:t>以上</w:t>
      </w:r>
      <w:r w:rsidRPr="00BC31E0">
        <w:rPr>
          <w:rFonts w:asciiTheme="majorEastAsia" w:eastAsiaTheme="majorEastAsia" w:hAnsiTheme="majorEastAsia"/>
          <w:b/>
        </w:rPr>
        <w:t>)</w:t>
      </w:r>
      <w:r w:rsidRPr="00BC31E0">
        <w:rPr>
          <w:rFonts w:asciiTheme="majorEastAsia" w:eastAsiaTheme="majorEastAsia" w:hAnsiTheme="majorEastAsia" w:hint="eastAsia"/>
          <w:b/>
        </w:rPr>
        <w:t>の場合</w:t>
      </w:r>
    </w:p>
    <w:tbl>
      <w:tblPr>
        <w:tblStyle w:val="afff2"/>
        <w:tblW w:w="7087" w:type="dxa"/>
        <w:tblInd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9"/>
        <w:gridCol w:w="3648"/>
      </w:tblGrid>
      <w:tr w:rsidR="006F5EDD" w:rsidRPr="00BC31E0" w14:paraId="0D4CB3BF" w14:textId="77777777" w:rsidTr="00E473D9">
        <w:tc>
          <w:tcPr>
            <w:tcW w:w="0" w:type="auto"/>
            <w:tcMar>
              <w:left w:w="0" w:type="dxa"/>
              <w:right w:w="0" w:type="dxa"/>
            </w:tcMar>
            <w:vAlign w:val="center"/>
          </w:tcPr>
          <w:p w14:paraId="55C75E18" w14:textId="77777777" w:rsidR="006F5EDD" w:rsidRPr="00BC31E0" w:rsidRDefault="006F5EDD" w:rsidP="00E473D9">
            <w:pPr>
              <w:tabs>
                <w:tab w:val="left" w:pos="4820"/>
                <w:tab w:val="left" w:leader="middleDot" w:pos="8080"/>
              </w:tabs>
              <w:autoSpaceDE w:val="0"/>
              <w:autoSpaceDN w:val="0"/>
              <w:spacing w:before="120"/>
              <w:rPr>
                <w:i/>
              </w:rPr>
            </w:pPr>
            <m:oMathPara>
              <m:oMathParaPr>
                <m:jc m:val="left"/>
              </m:oMathParaPr>
              <m:oMath>
                <m:r>
                  <w:rPr>
                    <w:rFonts w:ascii="Cambria Math" w:hAnsi="Cambria Math"/>
                  </w:rPr>
                  <m:t>RRA=0.7</m:t>
                </m:r>
                <m:r>
                  <m:rPr>
                    <m:sty m:val="p"/>
                  </m:rPr>
                  <w:rPr>
                    <w:rFonts w:ascii="Cambria Math" w:hAnsi="Cambria Math"/>
                  </w:rPr>
                  <m:t>+0.3</m:t>
                </m:r>
                <m:func>
                  <m:funcPr>
                    <m:ctrlPr>
                      <w:rPr>
                        <w:rFonts w:ascii="Cambria Math" w:eastAsiaTheme="minorEastAsia" w:hAnsi="Cambria Math"/>
                        <w:i/>
                      </w:rPr>
                    </m:ctrlPr>
                  </m:funcPr>
                  <m:fName>
                    <m:r>
                      <m:rPr>
                        <m:sty m:val="bi"/>
                      </m:rPr>
                      <w:rPr>
                        <w:rFonts w:ascii="Cambria Math" w:hAnsi="Cambria Math"/>
                      </w:rPr>
                      <m:t>tanh</m:t>
                    </m:r>
                  </m:fName>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Ni</m:t>
                                </m:r>
                              </m:e>
                              <m:sub>
                                <m:r>
                                  <w:rPr>
                                    <w:rFonts w:ascii="Cambria Math" w:eastAsiaTheme="minorEastAsia" w:hAnsi="Cambria Math"/>
                                  </w:rPr>
                                  <m:t>eq</m:t>
                                </m:r>
                              </m:sub>
                            </m:sSub>
                            <m:r>
                              <w:rPr>
                                <w:rFonts w:ascii="Cambria Math" w:eastAsiaTheme="minorEastAsia" w:hAnsi="Cambria Math"/>
                              </w:rPr>
                              <m:t>-25.73</m:t>
                            </m:r>
                          </m:num>
                          <m:den>
                            <m:r>
                              <w:rPr>
                                <w:rFonts w:ascii="Cambria Math" w:eastAsiaTheme="minorEastAsia" w:hAnsi="Cambria Math"/>
                              </w:rPr>
                              <m:t>1.512</m:t>
                            </m:r>
                          </m:den>
                        </m:f>
                      </m:e>
                    </m:d>
                  </m:e>
                </m:func>
              </m:oMath>
            </m:oMathPara>
          </w:p>
        </w:tc>
        <w:tc>
          <w:tcPr>
            <w:tcW w:w="3648" w:type="dxa"/>
            <w:tcMar>
              <w:left w:w="0" w:type="dxa"/>
              <w:right w:w="0" w:type="dxa"/>
            </w:tcMar>
            <w:vAlign w:val="center"/>
          </w:tcPr>
          <w:p w14:paraId="5C719ACE" w14:textId="77777777" w:rsidR="006F5EDD" w:rsidRPr="00BC31E0" w:rsidRDefault="006F5EDD" w:rsidP="006F5EDD">
            <w:pPr>
              <w:tabs>
                <w:tab w:val="left" w:leader="middleDot" w:pos="2656"/>
              </w:tabs>
              <w:autoSpaceDE w:val="0"/>
              <w:autoSpaceDN w:val="0"/>
              <w:spacing w:before="120"/>
              <w:jc w:val="left"/>
            </w:pPr>
            <w:r w:rsidRPr="00BC31E0">
              <w:tab/>
            </w:r>
            <w:r w:rsidRPr="00BC31E0">
              <w:rPr>
                <w:rFonts w:hint="eastAsia"/>
              </w:rPr>
              <w:t>(6.13.7)</w:t>
            </w:r>
          </w:p>
        </w:tc>
      </w:tr>
      <w:tr w:rsidR="006F5EDD" w:rsidRPr="00BC31E0" w14:paraId="55ACA183" w14:textId="77777777" w:rsidTr="00E473D9">
        <w:tc>
          <w:tcPr>
            <w:tcW w:w="0" w:type="auto"/>
            <w:tcMar>
              <w:left w:w="0" w:type="dxa"/>
              <w:right w:w="0" w:type="dxa"/>
            </w:tcMar>
            <w:vAlign w:val="center"/>
          </w:tcPr>
          <w:p w14:paraId="529850DF" w14:textId="77777777" w:rsidR="006F5EDD" w:rsidRPr="00BC31E0" w:rsidRDefault="006F5EDD" w:rsidP="00E473D9">
            <w:pPr>
              <w:tabs>
                <w:tab w:val="left" w:pos="2835"/>
                <w:tab w:val="left" w:leader="middleDot" w:pos="8080"/>
              </w:tabs>
              <w:autoSpaceDE w:val="0"/>
              <w:autoSpaceDN w:val="0"/>
              <w:spacing w:before="120"/>
              <w:rPr>
                <w:i/>
              </w:rPr>
            </w:pPr>
            <m:oMathPara>
              <m:oMathParaPr>
                <m:jc m:val="left"/>
              </m:oMathParaPr>
              <m:oMath>
                <m:r>
                  <w:rPr>
                    <w:rFonts w:ascii="Cambria Math" w:hAnsi="Cambria Math"/>
                  </w:rPr>
                  <m:t>REL=0.7+0.3</m:t>
                </m:r>
                <m:func>
                  <m:funcPr>
                    <m:ctrlPr>
                      <w:rPr>
                        <w:rFonts w:ascii="Cambria Math" w:eastAsiaTheme="minorEastAsia" w:hAnsi="Cambria Math"/>
                        <w:i/>
                      </w:rPr>
                    </m:ctrlPr>
                  </m:funcPr>
                  <m:fName>
                    <m:r>
                      <m:rPr>
                        <m:sty m:val="bi"/>
                      </m:rPr>
                      <w:rPr>
                        <w:rFonts w:ascii="Cambria Math" w:hAnsi="Cambria Math"/>
                      </w:rPr>
                      <m:t>tanh</m:t>
                    </m:r>
                  </m:fName>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Ni</m:t>
                                </m:r>
                              </m:e>
                              <m:sub>
                                <m:r>
                                  <w:rPr>
                                    <w:rFonts w:ascii="Cambria Math" w:eastAsiaTheme="minorEastAsia" w:hAnsi="Cambria Math"/>
                                  </w:rPr>
                                  <m:t>eq</m:t>
                                </m:r>
                              </m:sub>
                            </m:sSub>
                            <m:r>
                              <w:rPr>
                                <w:rFonts w:ascii="Cambria Math" w:eastAsiaTheme="minorEastAsia" w:hAnsi="Cambria Math"/>
                              </w:rPr>
                              <m:t>-24.49</m:t>
                            </m:r>
                          </m:num>
                          <m:den>
                            <m:r>
                              <w:rPr>
                                <w:rFonts w:ascii="Cambria Math" w:eastAsiaTheme="minorEastAsia" w:hAnsi="Cambria Math"/>
                              </w:rPr>
                              <m:t>1.830</m:t>
                            </m:r>
                          </m:den>
                        </m:f>
                      </m:e>
                    </m:d>
                  </m:e>
                </m:func>
              </m:oMath>
            </m:oMathPara>
          </w:p>
        </w:tc>
        <w:tc>
          <w:tcPr>
            <w:tcW w:w="3648" w:type="dxa"/>
            <w:tcMar>
              <w:left w:w="0" w:type="dxa"/>
              <w:right w:w="0" w:type="dxa"/>
            </w:tcMar>
            <w:vAlign w:val="center"/>
          </w:tcPr>
          <w:p w14:paraId="3863547A" w14:textId="77777777" w:rsidR="006F5EDD" w:rsidRPr="00BC31E0" w:rsidRDefault="006F5EDD" w:rsidP="00E473D9">
            <w:pPr>
              <w:tabs>
                <w:tab w:val="left" w:leader="middleDot" w:pos="2656"/>
              </w:tabs>
              <w:autoSpaceDE w:val="0"/>
              <w:autoSpaceDN w:val="0"/>
              <w:spacing w:before="120"/>
              <w:jc w:val="left"/>
            </w:pPr>
            <w:r w:rsidRPr="00BC31E0">
              <w:tab/>
            </w:r>
            <w:r w:rsidRPr="00BC31E0">
              <w:rPr>
                <w:rFonts w:hint="eastAsia"/>
              </w:rPr>
              <w:t>(6.13.8)</w:t>
            </w:r>
          </w:p>
        </w:tc>
      </w:tr>
    </w:tbl>
    <w:p w14:paraId="5ABD0C95" w14:textId="77777777" w:rsidR="006F5EDD" w:rsidRPr="00BC31E0" w:rsidRDefault="006F5EDD" w:rsidP="006F5EDD">
      <w:pPr>
        <w:spacing w:line="120" w:lineRule="exact"/>
      </w:pPr>
    </w:p>
    <w:tbl>
      <w:tblPr>
        <w:tblStyle w:val="afff2"/>
        <w:tblW w:w="7087" w:type="dxa"/>
        <w:tblInd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2060"/>
      </w:tblGrid>
      <w:tr w:rsidR="006F5EDD" w:rsidRPr="00BC31E0" w14:paraId="1FCE4C4C" w14:textId="77777777" w:rsidTr="00E473D9">
        <w:tc>
          <w:tcPr>
            <w:tcW w:w="0" w:type="auto"/>
            <w:tcMar>
              <w:left w:w="0" w:type="dxa"/>
              <w:right w:w="0" w:type="dxa"/>
            </w:tcMar>
            <w:vAlign w:val="center"/>
          </w:tcPr>
          <w:p w14:paraId="2198A2D9" w14:textId="77777777" w:rsidR="006F5EDD" w:rsidRPr="00BC31E0" w:rsidRDefault="00A51873" w:rsidP="00E473D9">
            <w:pPr>
              <w:tabs>
                <w:tab w:val="left" w:pos="2835"/>
                <w:tab w:val="left" w:leader="middleDot" w:pos="8080"/>
              </w:tabs>
              <w:autoSpaceDE w:val="0"/>
              <w:autoSpaceDN w:val="0"/>
            </w:pPr>
            <m:oMathPara>
              <m:oMath>
                <m:sSub>
                  <m:sSubPr>
                    <m:ctrlPr>
                      <w:rPr>
                        <w:rFonts w:ascii="Cambria Math" w:hAnsi="Cambria Math"/>
                      </w:rPr>
                    </m:ctrlPr>
                  </m:sSubPr>
                  <m:e>
                    <m:r>
                      <w:rPr>
                        <w:rFonts w:ascii="Cambria Math" w:hAnsi="Cambria Math"/>
                      </w:rPr>
                      <m:t>Ni</m:t>
                    </m:r>
                  </m:e>
                  <m:sub>
                    <m:r>
                      <w:rPr>
                        <w:rFonts w:ascii="Cambria Math" w:hAnsi="Cambria Math"/>
                      </w:rPr>
                      <m:t>eq</m:t>
                    </m:r>
                  </m:sub>
                </m:sSub>
                <m:r>
                  <m:rPr>
                    <m:nor/>
                  </m:rPr>
                  <w:rPr>
                    <w:rFonts w:ascii="Cambria Math" w:eastAsiaTheme="minorEastAsia" w:hAnsi="Cambria Math"/>
                  </w:rPr>
                  <m:t>=</m:t>
                </m:r>
                <m:r>
                  <m:rPr>
                    <m:nor/>
                  </m:rPr>
                  <w:rPr>
                    <w:rFonts w:ascii="Cambria Math" w:eastAsiaTheme="minorEastAsia" w:hAnsi="Cambria Math" w:hint="eastAsia"/>
                  </w:rPr>
                  <m:t>12.6C + 0.35Si + 1.05Mn + Ni + 0.65Cr + 0.98Mo</m:t>
                </m:r>
              </m:oMath>
            </m:oMathPara>
          </w:p>
        </w:tc>
        <w:tc>
          <w:tcPr>
            <w:tcW w:w="2060" w:type="dxa"/>
            <w:tcMar>
              <w:left w:w="0" w:type="dxa"/>
              <w:right w:w="0" w:type="dxa"/>
            </w:tcMar>
            <w:vAlign w:val="center"/>
          </w:tcPr>
          <w:p w14:paraId="77AC15D4" w14:textId="77777777" w:rsidR="006F5EDD" w:rsidRPr="00BC31E0" w:rsidRDefault="006F5EDD" w:rsidP="00E473D9">
            <w:pPr>
              <w:tabs>
                <w:tab w:val="left" w:leader="middleDot" w:pos="1068"/>
              </w:tabs>
              <w:autoSpaceDE w:val="0"/>
              <w:autoSpaceDN w:val="0"/>
              <w:jc w:val="left"/>
            </w:pPr>
            <w:r w:rsidRPr="00BC31E0">
              <w:rPr>
                <w:rFonts w:hint="eastAsia"/>
              </w:rPr>
              <w:tab/>
              <w:t>(6.13.9)</w:t>
            </w:r>
          </w:p>
        </w:tc>
      </w:tr>
    </w:tbl>
    <w:p w14:paraId="4851B0D6" w14:textId="77777777" w:rsidR="00F137F4" w:rsidRPr="00BC31E0" w:rsidRDefault="00F137F4" w:rsidP="006F5EDD">
      <w:pPr>
        <w:tabs>
          <w:tab w:val="left" w:pos="2835"/>
          <w:tab w:val="left" w:leader="middleDot" w:pos="8080"/>
        </w:tabs>
        <w:autoSpaceDE w:val="0"/>
        <w:autoSpaceDN w:val="0"/>
        <w:ind w:left="737" w:firstLineChars="100" w:firstLine="210"/>
      </w:pPr>
      <w:r w:rsidRPr="00BC31E0">
        <w:rPr>
          <w:rFonts w:hint="eastAsia"/>
        </w:rPr>
        <w:t>ここで，</w:t>
      </w:r>
    </w:p>
    <w:p w14:paraId="00F9E88C" w14:textId="77777777" w:rsidR="00F137F4" w:rsidRPr="00BC31E0" w:rsidRDefault="00A51873" w:rsidP="006F5EDD">
      <w:pPr>
        <w:autoSpaceDE w:val="0"/>
        <w:autoSpaceDN w:val="0"/>
        <w:ind w:left="1701"/>
      </w:pPr>
      <m:oMath>
        <m:sSub>
          <m:sSubPr>
            <m:ctrlPr>
              <w:rPr>
                <w:rFonts w:ascii="Cambria Math" w:hAnsi="Cambria Math"/>
                <w:i/>
                <w:iCs/>
              </w:rPr>
            </m:ctrlPr>
          </m:sSubPr>
          <m:e>
            <m:r>
              <w:rPr>
                <w:rFonts w:ascii="Cambria Math" w:hAnsi="Cambria Math"/>
              </w:rPr>
              <m:t>Ni</m:t>
            </m:r>
          </m:e>
          <m:sub>
            <m:r>
              <w:rPr>
                <w:rFonts w:ascii="Cambria Math" w:hAnsi="Cambria Math"/>
                <w:vertAlign w:val="subscript"/>
              </w:rPr>
              <m:t>eq</m:t>
            </m:r>
          </m:sub>
        </m:sSub>
      </m:oMath>
      <w:r w:rsidR="00F137F4" w:rsidRPr="00BC31E0">
        <w:rPr>
          <w:rFonts w:hint="eastAsia"/>
          <w:i/>
          <w:iCs/>
        </w:rPr>
        <w:t xml:space="preserve"> </w:t>
      </w:r>
      <w:r w:rsidR="00F137F4" w:rsidRPr="00BC31E0">
        <w:rPr>
          <w:rFonts w:hint="eastAsia"/>
        </w:rPr>
        <w:t>：</w:t>
      </w:r>
      <w:r w:rsidR="00F137F4" w:rsidRPr="00BC31E0">
        <w:t xml:space="preserve"> </w:t>
      </w:r>
      <w:r w:rsidR="00F137F4" w:rsidRPr="00BC31E0">
        <w:rPr>
          <w:rFonts w:hint="eastAsia"/>
        </w:rPr>
        <w:t>Ni</w:t>
      </w:r>
      <w:r w:rsidR="008E29CE" w:rsidRPr="00BC31E0">
        <w:rPr>
          <w:rFonts w:hint="eastAsia"/>
        </w:rPr>
        <w:t>当</w:t>
      </w:r>
      <w:r w:rsidR="00F137F4" w:rsidRPr="00BC31E0">
        <w:rPr>
          <w:rFonts w:hint="eastAsia"/>
        </w:rPr>
        <w:t>量</w:t>
      </w:r>
      <w:r w:rsidR="00F137F4" w:rsidRPr="00BC31E0">
        <w:rPr>
          <w:rFonts w:hint="eastAsia"/>
        </w:rPr>
        <w:t>(</w:t>
      </w:r>
      <w:r w:rsidR="00F137F4" w:rsidRPr="00BC31E0">
        <w:rPr>
          <w:rFonts w:hint="eastAsia"/>
        </w:rPr>
        <w:t>質量</w:t>
      </w:r>
      <w:r w:rsidR="00F137F4" w:rsidRPr="00BC31E0">
        <w:rPr>
          <w:rFonts w:hint="eastAsia"/>
        </w:rPr>
        <w:t>%)</w:t>
      </w:r>
    </w:p>
    <w:p w14:paraId="0E5AFE6E" w14:textId="77777777" w:rsidR="00F137F4" w:rsidRPr="00BC31E0" w:rsidRDefault="00F137F4" w:rsidP="00736130">
      <w:pPr>
        <w:pStyle w:val="a4"/>
        <w:numPr>
          <w:ilvl w:val="0"/>
          <w:numId w:val="320"/>
        </w:numPr>
        <w:ind w:leftChars="0" w:left="738" w:hanging="454"/>
        <w:rPr>
          <w:rFonts w:asciiTheme="majorEastAsia" w:eastAsiaTheme="majorEastAsia" w:hAnsiTheme="majorEastAsia"/>
          <w:b/>
        </w:rPr>
      </w:pPr>
      <w:r w:rsidRPr="00BC31E0">
        <w:rPr>
          <w:rFonts w:asciiTheme="majorEastAsia" w:eastAsiaTheme="majorEastAsia" w:hAnsiTheme="majorEastAsia" w:hint="eastAsia"/>
          <w:b/>
        </w:rPr>
        <w:t>温度が低温</w:t>
      </w:r>
      <w:r w:rsidRPr="00BC31E0">
        <w:rPr>
          <w:rFonts w:asciiTheme="majorEastAsia" w:eastAsiaTheme="majorEastAsia" w:hAnsiTheme="majorEastAsia"/>
          <w:b/>
        </w:rPr>
        <w:t>(-</w:t>
      </w:r>
      <w:r w:rsidRPr="00BC31E0">
        <w:rPr>
          <w:rFonts w:asciiTheme="majorEastAsia" w:eastAsiaTheme="majorEastAsia" w:hAnsiTheme="majorEastAsia" w:hint="eastAsia"/>
          <w:b/>
        </w:rPr>
        <w:t>123</w:t>
      </w:r>
      <w:r w:rsidRPr="00BC31E0">
        <w:rPr>
          <w:rFonts w:asciiTheme="majorEastAsia" w:eastAsiaTheme="majorEastAsia" w:hAnsiTheme="majorEastAsia" w:cs="ＭＳ 明朝" w:hint="eastAsia"/>
          <w:b/>
        </w:rPr>
        <w:t>℃以上～</w:t>
      </w:r>
      <w:r w:rsidRPr="00BC31E0">
        <w:rPr>
          <w:rFonts w:asciiTheme="majorEastAsia" w:eastAsiaTheme="majorEastAsia" w:hAnsiTheme="majorEastAsia" w:cs="ＭＳ 明朝"/>
          <w:b/>
        </w:rPr>
        <w:t>20</w:t>
      </w:r>
      <w:r w:rsidRPr="00BC31E0">
        <w:rPr>
          <w:rFonts w:asciiTheme="majorEastAsia" w:eastAsiaTheme="majorEastAsia" w:hAnsiTheme="majorEastAsia" w:cs="ＭＳ 明朝" w:hint="eastAsia"/>
          <w:b/>
        </w:rPr>
        <w:t>℃未満</w:t>
      </w:r>
      <w:r w:rsidRPr="00BC31E0">
        <w:rPr>
          <w:rFonts w:asciiTheme="majorEastAsia" w:eastAsiaTheme="majorEastAsia" w:hAnsiTheme="majorEastAsia"/>
          <w:b/>
        </w:rPr>
        <w:t>)</w:t>
      </w:r>
      <w:r w:rsidRPr="00BC31E0">
        <w:rPr>
          <w:rFonts w:asciiTheme="majorEastAsia" w:eastAsiaTheme="majorEastAsia" w:hAnsiTheme="majorEastAsia" w:hint="eastAsia"/>
          <w:b/>
        </w:rPr>
        <w:t>の場合</w:t>
      </w:r>
    </w:p>
    <w:tbl>
      <w:tblPr>
        <w:tblStyle w:val="afff2"/>
        <w:tblW w:w="7087" w:type="dxa"/>
        <w:tblInd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4"/>
        <w:gridCol w:w="3623"/>
      </w:tblGrid>
      <w:tr w:rsidR="006F5EDD" w:rsidRPr="00BC31E0" w14:paraId="25344D5E" w14:textId="77777777" w:rsidTr="00E473D9">
        <w:tc>
          <w:tcPr>
            <w:tcW w:w="0" w:type="auto"/>
            <w:tcMar>
              <w:left w:w="0" w:type="dxa"/>
              <w:right w:w="0" w:type="dxa"/>
            </w:tcMar>
            <w:vAlign w:val="center"/>
          </w:tcPr>
          <w:p w14:paraId="53DF84F2" w14:textId="77777777" w:rsidR="006F5EDD" w:rsidRPr="00BC31E0" w:rsidRDefault="006F5EDD" w:rsidP="00E473D9">
            <w:pPr>
              <w:spacing w:before="120"/>
              <w:rPr>
                <w:rFonts w:ascii="ＭＳ 明朝" w:hAnsi="ＭＳ 明朝"/>
                <w:b/>
                <w:i/>
              </w:rPr>
            </w:pPr>
            <m:oMathPara>
              <m:oMathParaPr>
                <m:jc m:val="left"/>
              </m:oMathParaPr>
              <m:oMath>
                <m:r>
                  <w:rPr>
                    <w:rFonts w:ascii="Cambria Math" w:hAnsi="Cambria Math"/>
                  </w:rPr>
                  <m:t xml:space="preserve">RRA=0.6+0.4 </m:t>
                </m:r>
                <m:func>
                  <m:funcPr>
                    <m:ctrlPr>
                      <w:rPr>
                        <w:rFonts w:ascii="Cambria Math" w:hAnsi="Cambria Math"/>
                        <w:i/>
                      </w:rPr>
                    </m:ctrlPr>
                  </m:funcPr>
                  <m:fName>
                    <m:r>
                      <m:rPr>
                        <m:sty m:val="bi"/>
                      </m:rPr>
                      <w:rPr>
                        <w:rFonts w:ascii="Cambria Math" w:hAnsi="Cambria Math"/>
                      </w:rPr>
                      <m:t>tanh</m:t>
                    </m:r>
                  </m:fName>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Ni</m:t>
                                </m:r>
                              </m:e>
                              <m:sub>
                                <m:r>
                                  <w:rPr>
                                    <w:rFonts w:ascii="Cambria Math" w:eastAsiaTheme="minorEastAsia" w:hAnsi="Cambria Math"/>
                                  </w:rPr>
                                  <m:t>eq</m:t>
                                </m:r>
                              </m:sub>
                            </m:sSub>
                            <m:r>
                              <w:rPr>
                                <w:rFonts w:ascii="Cambria Math" w:eastAsiaTheme="minorEastAsia" w:hAnsi="Cambria Math"/>
                              </w:rPr>
                              <m:t>-27.76</m:t>
                            </m:r>
                          </m:num>
                          <m:den>
                            <m:r>
                              <w:rPr>
                                <w:rFonts w:ascii="Cambria Math" w:eastAsiaTheme="minorEastAsia" w:hAnsi="Cambria Math"/>
                              </w:rPr>
                              <m:t>1.339</m:t>
                            </m:r>
                          </m:den>
                        </m:f>
                      </m:e>
                    </m:d>
                  </m:e>
                </m:func>
              </m:oMath>
            </m:oMathPara>
          </w:p>
        </w:tc>
        <w:tc>
          <w:tcPr>
            <w:tcW w:w="3623" w:type="dxa"/>
            <w:tcMar>
              <w:left w:w="0" w:type="dxa"/>
              <w:right w:w="0" w:type="dxa"/>
            </w:tcMar>
            <w:vAlign w:val="center"/>
          </w:tcPr>
          <w:p w14:paraId="40FC2C17" w14:textId="77777777" w:rsidR="006F5EDD" w:rsidRPr="00BC31E0" w:rsidRDefault="006F5EDD" w:rsidP="006F5EDD">
            <w:pPr>
              <w:tabs>
                <w:tab w:val="left" w:leader="middleDot" w:pos="2631"/>
              </w:tabs>
              <w:spacing w:before="120"/>
              <w:rPr>
                <w:rFonts w:asciiTheme="minorHAnsi" w:hAnsiTheme="minorHAnsi"/>
              </w:rPr>
            </w:pPr>
            <w:r w:rsidRPr="00BC31E0">
              <w:rPr>
                <w:rFonts w:asciiTheme="minorHAnsi" w:hAnsiTheme="minorHAnsi"/>
              </w:rPr>
              <w:tab/>
              <w:t>(6.13.10)</w:t>
            </w:r>
          </w:p>
        </w:tc>
      </w:tr>
      <w:tr w:rsidR="006F5EDD" w:rsidRPr="00BC31E0" w14:paraId="25615292" w14:textId="77777777" w:rsidTr="00E473D9">
        <w:tc>
          <w:tcPr>
            <w:tcW w:w="0" w:type="auto"/>
            <w:tcMar>
              <w:left w:w="0" w:type="dxa"/>
              <w:right w:w="0" w:type="dxa"/>
            </w:tcMar>
            <w:vAlign w:val="center"/>
          </w:tcPr>
          <w:p w14:paraId="6288CEE9" w14:textId="77777777" w:rsidR="006F5EDD" w:rsidRPr="00BC31E0" w:rsidRDefault="006F5EDD" w:rsidP="00E473D9">
            <w:pPr>
              <w:spacing w:before="120"/>
              <w:rPr>
                <w:rFonts w:ascii="ＭＳ 明朝" w:hAnsi="ＭＳ 明朝"/>
                <w:b/>
                <w:i/>
              </w:rPr>
            </w:pPr>
            <m:oMathPara>
              <m:oMathParaPr>
                <m:jc m:val="left"/>
              </m:oMathParaPr>
              <m:oMath>
                <m:r>
                  <w:rPr>
                    <w:rFonts w:ascii="Cambria Math" w:hAnsi="Cambria Math"/>
                  </w:rPr>
                  <m:t xml:space="preserve">REL=0.6+0.4 </m:t>
                </m:r>
                <m:func>
                  <m:funcPr>
                    <m:ctrlPr>
                      <w:rPr>
                        <w:rFonts w:ascii="Cambria Math" w:hAnsi="Cambria Math"/>
                        <w:i/>
                      </w:rPr>
                    </m:ctrlPr>
                  </m:funcPr>
                  <m:fName>
                    <m:r>
                      <m:rPr>
                        <m:sty m:val="bi"/>
                      </m:rPr>
                      <w:rPr>
                        <w:rFonts w:ascii="Cambria Math" w:hAnsi="Cambria Math"/>
                      </w:rPr>
                      <m:t>tanh</m:t>
                    </m:r>
                  </m:fName>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Ni</m:t>
                                </m:r>
                              </m:e>
                              <m:sub>
                                <m:r>
                                  <w:rPr>
                                    <w:rFonts w:ascii="Cambria Math" w:eastAsiaTheme="minorEastAsia" w:hAnsi="Cambria Math"/>
                                  </w:rPr>
                                  <m:t>eq</m:t>
                                </m:r>
                              </m:sub>
                            </m:sSub>
                            <m:r>
                              <w:rPr>
                                <w:rFonts w:ascii="Cambria Math" w:eastAsiaTheme="minorEastAsia" w:hAnsi="Cambria Math"/>
                              </w:rPr>
                              <m:t>-26.51</m:t>
                            </m:r>
                          </m:num>
                          <m:den>
                            <m:r>
                              <w:rPr>
                                <w:rFonts w:ascii="Cambria Math" w:eastAsiaTheme="minorEastAsia" w:hAnsi="Cambria Math"/>
                              </w:rPr>
                              <m:t>1.490</m:t>
                            </m:r>
                          </m:den>
                        </m:f>
                      </m:e>
                    </m:d>
                  </m:e>
                </m:func>
              </m:oMath>
            </m:oMathPara>
          </w:p>
        </w:tc>
        <w:tc>
          <w:tcPr>
            <w:tcW w:w="3623" w:type="dxa"/>
            <w:tcMar>
              <w:left w:w="0" w:type="dxa"/>
              <w:right w:w="0" w:type="dxa"/>
            </w:tcMar>
            <w:vAlign w:val="center"/>
          </w:tcPr>
          <w:p w14:paraId="3576B097" w14:textId="77777777" w:rsidR="006F5EDD" w:rsidRPr="00BC31E0" w:rsidRDefault="006F5EDD" w:rsidP="00E473D9">
            <w:pPr>
              <w:tabs>
                <w:tab w:val="left" w:leader="middleDot" w:pos="2631"/>
              </w:tabs>
              <w:spacing w:before="120"/>
              <w:rPr>
                <w:rFonts w:asciiTheme="minorHAnsi" w:hAnsiTheme="minorHAnsi"/>
              </w:rPr>
            </w:pPr>
            <w:r w:rsidRPr="00BC31E0">
              <w:rPr>
                <w:rFonts w:asciiTheme="minorHAnsi" w:hAnsiTheme="minorHAnsi"/>
              </w:rPr>
              <w:tab/>
            </w:r>
            <w:r w:rsidRPr="00BC31E0">
              <w:rPr>
                <w:rFonts w:asciiTheme="minorHAnsi" w:hAnsiTheme="minorHAnsi" w:hint="eastAsia"/>
              </w:rPr>
              <w:t>(6.13.11)</w:t>
            </w:r>
          </w:p>
        </w:tc>
      </w:tr>
    </w:tbl>
    <w:p w14:paraId="21A969FB" w14:textId="77777777" w:rsidR="006F5EDD" w:rsidRPr="00BC31E0" w:rsidRDefault="006F5EDD" w:rsidP="006F5EDD">
      <w:pPr>
        <w:pStyle w:val="a4"/>
        <w:spacing w:line="120" w:lineRule="exact"/>
        <w:ind w:leftChars="0" w:left="0"/>
      </w:pPr>
    </w:p>
    <w:tbl>
      <w:tblPr>
        <w:tblStyle w:val="afff2"/>
        <w:tblW w:w="7087" w:type="dxa"/>
        <w:tblInd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2060"/>
      </w:tblGrid>
      <w:tr w:rsidR="006F5EDD" w:rsidRPr="00BC31E0" w14:paraId="5FBB235A" w14:textId="77777777" w:rsidTr="00E473D9">
        <w:tc>
          <w:tcPr>
            <w:tcW w:w="0" w:type="auto"/>
            <w:tcMar>
              <w:left w:w="0" w:type="dxa"/>
              <w:right w:w="0" w:type="dxa"/>
            </w:tcMar>
            <w:vAlign w:val="center"/>
          </w:tcPr>
          <w:p w14:paraId="7B538BD6" w14:textId="77777777" w:rsidR="006F5EDD" w:rsidRPr="00BC31E0" w:rsidRDefault="00A51873" w:rsidP="00E473D9">
            <w:pPr>
              <w:rPr>
                <w:rFonts w:ascii="ＭＳ 明朝" w:hAnsi="ＭＳ 明朝"/>
                <w:b/>
              </w:rPr>
            </w:pPr>
            <m:oMathPara>
              <m:oMathParaPr>
                <m:jc m:val="left"/>
              </m:oMathParaPr>
              <m:oMath>
                <m:sSub>
                  <m:sSubPr>
                    <m:ctrlPr>
                      <w:rPr>
                        <w:rFonts w:ascii="Cambria Math" w:hAnsi="Cambria Math"/>
                      </w:rPr>
                    </m:ctrlPr>
                  </m:sSubPr>
                  <m:e>
                    <m:r>
                      <w:rPr>
                        <w:rFonts w:ascii="Cambria Math" w:hAnsi="Cambria Math"/>
                      </w:rPr>
                      <m:t>Ni</m:t>
                    </m:r>
                  </m:e>
                  <m:sub>
                    <m:r>
                      <w:rPr>
                        <w:rFonts w:ascii="Cambria Math" w:hAnsi="Cambria Math"/>
                      </w:rPr>
                      <m:t>eq</m:t>
                    </m:r>
                  </m:sub>
                </m:sSub>
                <m:r>
                  <m:rPr>
                    <m:nor/>
                  </m:rPr>
                  <w:rPr>
                    <w:rFonts w:ascii="Cambria Math" w:eastAsiaTheme="minorEastAsia" w:hAnsi="Cambria Math"/>
                  </w:rPr>
                  <m:t>=</m:t>
                </m:r>
                <m:r>
                  <m:rPr>
                    <m:nor/>
                  </m:rPr>
                  <w:rPr>
                    <w:rFonts w:ascii="Cambria Math" w:eastAsiaTheme="minorEastAsia" w:hAnsi="Cambria Math" w:hint="eastAsia"/>
                  </w:rPr>
                  <m:t>12.6C + 0.35Si + 1.05Mn + Ni + 0.65Cr + 0.98Mo</m:t>
                </m:r>
              </m:oMath>
            </m:oMathPara>
          </w:p>
        </w:tc>
        <w:tc>
          <w:tcPr>
            <w:tcW w:w="2060" w:type="dxa"/>
            <w:tcMar>
              <w:left w:w="0" w:type="dxa"/>
              <w:right w:w="0" w:type="dxa"/>
            </w:tcMar>
            <w:vAlign w:val="center"/>
          </w:tcPr>
          <w:p w14:paraId="4F287FC9" w14:textId="77777777" w:rsidR="006F5EDD" w:rsidRPr="00BC31E0" w:rsidRDefault="006F5EDD" w:rsidP="00E473D9">
            <w:pPr>
              <w:tabs>
                <w:tab w:val="left" w:leader="middleDot" w:pos="1068"/>
              </w:tabs>
              <w:rPr>
                <w:rFonts w:asciiTheme="minorHAnsi" w:hAnsiTheme="minorHAnsi"/>
              </w:rPr>
            </w:pPr>
            <w:r w:rsidRPr="00BC31E0">
              <w:rPr>
                <w:rFonts w:asciiTheme="minorHAnsi" w:hAnsiTheme="minorHAnsi"/>
              </w:rPr>
              <w:tab/>
            </w:r>
            <w:r w:rsidRPr="00BC31E0">
              <w:rPr>
                <w:rFonts w:asciiTheme="minorHAnsi" w:hAnsiTheme="minorHAnsi" w:hint="eastAsia"/>
              </w:rPr>
              <w:t>(6.13.12)</w:t>
            </w:r>
          </w:p>
        </w:tc>
      </w:tr>
    </w:tbl>
    <w:p w14:paraId="29480BAA" w14:textId="77777777" w:rsidR="00F137F4" w:rsidRPr="00BC31E0" w:rsidRDefault="006F5EDD" w:rsidP="00206CA2">
      <w:pPr>
        <w:pStyle w:val="3"/>
        <w:tabs>
          <w:tab w:val="clear" w:pos="284"/>
        </w:tabs>
        <w:spacing w:before="120"/>
        <w:ind w:left="794" w:hanging="794"/>
      </w:pPr>
      <w:r w:rsidRPr="00BC31E0">
        <w:rPr>
          <w:rFonts w:hint="eastAsia"/>
        </w:rPr>
        <w:t xml:space="preserve"> </w:t>
      </w:r>
      <w:r w:rsidR="00F137F4" w:rsidRPr="00BC31E0">
        <w:rPr>
          <w:rFonts w:hint="eastAsia"/>
        </w:rPr>
        <w:t>破壊力学を用いた設計許容繰返し回数の評価</w:t>
      </w:r>
    </w:p>
    <w:p w14:paraId="4BF435AD" w14:textId="77777777" w:rsidR="00F137F4" w:rsidRPr="00BC31E0" w:rsidRDefault="00F137F4" w:rsidP="007526F4">
      <w:pPr>
        <w:pStyle w:val="1110"/>
        <w:ind w:firstLine="210"/>
      </w:pPr>
      <w:r w:rsidRPr="00BC31E0">
        <w:rPr>
          <w:rFonts w:hint="eastAsia"/>
        </w:rPr>
        <w:t>設計許容繰返し回数は，次の</w:t>
      </w:r>
      <w:r w:rsidRPr="00BC31E0">
        <w:rPr>
          <w:rFonts w:ascii="ＭＳ ゴシック" w:eastAsia="ＭＳ ゴシック" w:hAnsi="ＭＳ ゴシック" w:hint="eastAsia"/>
          <w:b/>
        </w:rPr>
        <w:t>a)</w:t>
      </w:r>
      <w:r w:rsidRPr="00BC31E0">
        <w:rPr>
          <w:rFonts w:hint="eastAsia"/>
        </w:rPr>
        <w:t>と</w:t>
      </w:r>
      <w:r w:rsidRPr="00BC31E0">
        <w:rPr>
          <w:rFonts w:ascii="ＭＳ ゴシック" w:eastAsia="ＭＳ ゴシック" w:hAnsi="ＭＳ ゴシック" w:hint="eastAsia"/>
          <w:b/>
        </w:rPr>
        <w:t>b)</w:t>
      </w:r>
      <w:r w:rsidRPr="00BC31E0">
        <w:rPr>
          <w:rFonts w:hint="eastAsia"/>
        </w:rPr>
        <w:t>の要求を除いては，</w:t>
      </w:r>
      <w:r w:rsidRPr="00BC31E0">
        <w:rPr>
          <w:rFonts w:ascii="ＭＳ ゴシック" w:eastAsia="ＭＳ ゴシック" w:hAnsi="ＭＳ ゴシック" w:hint="eastAsia"/>
          <w:b/>
        </w:rPr>
        <w:t>6.4</w:t>
      </w:r>
      <w:r w:rsidRPr="00BC31E0">
        <w:rPr>
          <w:rFonts w:hint="eastAsia"/>
        </w:rPr>
        <w:t>に従った破壊力学評価を用いて決定する。水素環境では，水素容器の寿命は脆性破壊又は塑性崩壊による容器の破壊及び水素誘起割れによる破壊を防ぐために評価される。</w:t>
      </w:r>
    </w:p>
    <w:p w14:paraId="72BBFB2C" w14:textId="77777777" w:rsidR="00F137F4" w:rsidRPr="00BC31E0" w:rsidRDefault="00F137F4" w:rsidP="007526F4">
      <w:pPr>
        <w:pStyle w:val="1110"/>
        <w:ind w:firstLine="210"/>
      </w:pPr>
      <w:r w:rsidRPr="00BC31E0">
        <w:rPr>
          <w:rFonts w:ascii="ＭＳ 明朝" w:hAnsi="ＭＳ 明朝" w:hint="eastAsia"/>
        </w:rPr>
        <w:t>アルミニウム合金で製作される容器は，この項の要求事項を満足しなければならない。</w:t>
      </w:r>
      <w:r w:rsidRPr="00BC31E0">
        <w:rPr>
          <w:rFonts w:ascii="ＭＳ 明朝" w:hAnsi="ＭＳ 明朝" w:hint="eastAsia"/>
          <w:u w:color="CC00CC"/>
        </w:rPr>
        <w:t>ただし，アルミニウム合金</w:t>
      </w:r>
      <w:r w:rsidRPr="00BC31E0">
        <w:rPr>
          <w:rFonts w:asciiTheme="minorHAnsi" w:hAnsiTheme="minorHAnsi"/>
          <w:u w:color="CC00CC"/>
        </w:rPr>
        <w:t>A6061-T6</w:t>
      </w:r>
      <w:r w:rsidRPr="00BC31E0">
        <w:rPr>
          <w:rFonts w:ascii="ＭＳ 明朝" w:hAnsi="ＭＳ 明朝" w:hint="eastAsia"/>
          <w:u w:color="CC00CC"/>
        </w:rPr>
        <w:t>及び</w:t>
      </w:r>
      <w:r w:rsidRPr="00BC31E0">
        <w:rPr>
          <w:rFonts w:asciiTheme="minorHAnsi" w:hAnsiTheme="minorHAnsi"/>
          <w:u w:color="CC00CC"/>
        </w:rPr>
        <w:t>A6061-T651</w:t>
      </w:r>
      <w:r w:rsidRPr="00BC31E0">
        <w:rPr>
          <w:rFonts w:ascii="ＭＳ 明朝" w:hAnsi="ＭＳ 明朝" w:hint="eastAsia"/>
          <w:u w:color="CC00CC"/>
        </w:rPr>
        <w:t>は，</w:t>
      </w:r>
      <w:r w:rsidRPr="00BC31E0">
        <w:rPr>
          <w:rFonts w:ascii="ＭＳ ゴシック" w:eastAsia="ＭＳ ゴシック" w:hAnsi="ＭＳ ゴシック" w:hint="eastAsia"/>
          <w:b/>
          <w:u w:color="CC00CC"/>
        </w:rPr>
        <w:t>6.13.8</w:t>
      </w:r>
      <w:r w:rsidRPr="00BC31E0">
        <w:rPr>
          <w:rFonts w:ascii="ＭＳ 明朝" w:hAnsi="ＭＳ 明朝" w:hint="eastAsia"/>
          <w:u w:color="CC00CC"/>
        </w:rPr>
        <w:t>及び</w:t>
      </w:r>
      <w:r w:rsidRPr="00BC31E0">
        <w:rPr>
          <w:rFonts w:ascii="ＭＳ ゴシック" w:eastAsia="ＭＳ ゴシック" w:hAnsi="ＭＳ ゴシック" w:hint="eastAsia"/>
          <w:b/>
          <w:u w:color="CC00CC"/>
        </w:rPr>
        <w:t>6.13.9</w:t>
      </w:r>
      <w:r w:rsidRPr="00BC31E0">
        <w:rPr>
          <w:rFonts w:ascii="ＭＳ 明朝" w:hAnsi="ＭＳ 明朝" w:hint="eastAsia"/>
          <w:u w:color="CC00CC"/>
        </w:rPr>
        <w:t>で要求される疲労亀裂進展特性に及ぼす水素の環境影響を考慮する必要はない。</w:t>
      </w:r>
    </w:p>
    <w:p w14:paraId="309FB235" w14:textId="77777777" w:rsidR="007526F4" w:rsidRPr="00BC31E0" w:rsidRDefault="00F137F4" w:rsidP="00736130">
      <w:pPr>
        <w:pStyle w:val="a4"/>
        <w:numPr>
          <w:ilvl w:val="0"/>
          <w:numId w:val="321"/>
        </w:numPr>
        <w:ind w:leftChars="0" w:left="454" w:hanging="454"/>
      </w:pPr>
      <w:r w:rsidRPr="00BC31E0">
        <w:rPr>
          <w:rFonts w:hint="eastAsia"/>
        </w:rPr>
        <w:t>限界亀裂寸法は</w:t>
      </w:r>
      <w:r w:rsidRPr="00BC31E0">
        <w:rPr>
          <w:rFonts w:asciiTheme="majorEastAsia" w:eastAsiaTheme="majorEastAsia" w:hAnsiTheme="majorEastAsia" w:hint="eastAsia"/>
          <w:b/>
        </w:rPr>
        <w:t>6.</w:t>
      </w:r>
      <w:r w:rsidRPr="00BC31E0">
        <w:rPr>
          <w:rFonts w:asciiTheme="majorEastAsia" w:eastAsiaTheme="majorEastAsia" w:hAnsiTheme="majorEastAsia"/>
          <w:b/>
        </w:rPr>
        <w:t>4</w:t>
      </w:r>
      <w:r w:rsidRPr="00BC31E0">
        <w:rPr>
          <w:rFonts w:asciiTheme="majorEastAsia" w:eastAsiaTheme="majorEastAsia" w:hAnsiTheme="majorEastAsia" w:hint="eastAsia"/>
          <w:b/>
        </w:rPr>
        <w:t>.</w:t>
      </w:r>
      <w:r w:rsidRPr="00BC31E0">
        <w:rPr>
          <w:rFonts w:asciiTheme="majorEastAsia" w:eastAsiaTheme="majorEastAsia" w:hAnsiTheme="majorEastAsia"/>
          <w:b/>
        </w:rPr>
        <w:t>3</w:t>
      </w:r>
      <w:r w:rsidRPr="00BC31E0">
        <w:rPr>
          <w:rFonts w:asciiTheme="majorEastAsia" w:eastAsiaTheme="majorEastAsia" w:hAnsiTheme="majorEastAsia" w:hint="eastAsia"/>
          <w:b/>
        </w:rPr>
        <w:t xml:space="preserve"> c)</w:t>
      </w:r>
      <w:r w:rsidRPr="00BC31E0">
        <w:rPr>
          <w:rFonts w:hint="eastAsia"/>
        </w:rPr>
        <w:t xml:space="preserve"> </w:t>
      </w:r>
      <w:r w:rsidRPr="00BC31E0">
        <w:rPr>
          <w:rFonts w:hint="eastAsia"/>
        </w:rPr>
        <w:t>に従って</w:t>
      </w:r>
      <w:r w:rsidRPr="00BC31E0">
        <w:rPr>
          <w:rFonts w:asciiTheme="majorEastAsia" w:eastAsiaTheme="majorEastAsia" w:hAnsiTheme="majorEastAsia" w:hint="eastAsia"/>
          <w:b/>
        </w:rPr>
        <w:t>6.13.</w:t>
      </w:r>
      <w:r w:rsidRPr="00BC31E0">
        <w:rPr>
          <w:rFonts w:asciiTheme="majorEastAsia" w:eastAsiaTheme="majorEastAsia" w:hAnsiTheme="majorEastAsia"/>
          <w:b/>
        </w:rPr>
        <w:t>7</w:t>
      </w:r>
      <w:r w:rsidRPr="00BC31E0">
        <w:rPr>
          <w:rFonts w:asciiTheme="majorEastAsia" w:eastAsiaTheme="majorEastAsia" w:hAnsiTheme="majorEastAsia" w:hint="eastAsia"/>
          <w:b/>
        </w:rPr>
        <w:t xml:space="preserve"> </w:t>
      </w:r>
      <w:r w:rsidRPr="00BC31E0">
        <w:rPr>
          <w:rFonts w:asciiTheme="majorEastAsia" w:eastAsiaTheme="majorEastAsia" w:hAnsiTheme="majorEastAsia"/>
          <w:b/>
        </w:rPr>
        <w:t>a</w:t>
      </w:r>
      <w:r w:rsidRPr="00BC31E0">
        <w:rPr>
          <w:rFonts w:asciiTheme="majorEastAsia" w:eastAsiaTheme="majorEastAsia" w:hAnsiTheme="majorEastAsia" w:hint="eastAsia"/>
          <w:b/>
        </w:rPr>
        <w:t>)</w:t>
      </w:r>
      <w:r w:rsidRPr="00BC31E0">
        <w:rPr>
          <w:rFonts w:hint="eastAsia"/>
        </w:rPr>
        <w:t>で求める破壊靭性値</w:t>
      </w:r>
      <m:oMath>
        <m:sSub>
          <m:sSubPr>
            <m:ctrlPr>
              <w:rPr>
                <w:rFonts w:ascii="Cambria Math" w:hAnsi="Cambria Math"/>
                <w:i/>
              </w:rPr>
            </m:ctrlPr>
          </m:sSubPr>
          <m:e>
            <m:r>
              <w:rPr>
                <w:rFonts w:ascii="Cambria Math" w:hAnsi="Cambria Math" w:hint="eastAsia"/>
              </w:rPr>
              <m:t xml:space="preserve"> </m:t>
            </m:r>
            <m:r>
              <w:rPr>
                <w:rFonts w:ascii="Cambria Math" w:hAnsi="Cambria Math"/>
              </w:rPr>
              <m:t>K</m:t>
            </m:r>
          </m:e>
          <m:sub>
            <m:r>
              <m:rPr>
                <m:sty m:val="p"/>
              </m:rPr>
              <w:rPr>
                <w:rFonts w:ascii="Cambria Math" w:hAnsi="Cambria Math"/>
                <w:vertAlign w:val="subscript"/>
              </w:rPr>
              <m:t>I</m:t>
            </m:r>
            <m:r>
              <w:rPr>
                <w:rFonts w:ascii="Cambria Math" w:hAnsi="Cambria Math"/>
                <w:vertAlign w:val="subscript"/>
              </w:rPr>
              <m:t>C</m:t>
            </m:r>
            <m:r>
              <w:rPr>
                <w:rFonts w:ascii="Cambria Math" w:hAnsi="Cambria Math" w:hint="eastAsia"/>
                <w:vertAlign w:val="subscript"/>
              </w:rPr>
              <m:t xml:space="preserve"> </m:t>
            </m:r>
          </m:sub>
        </m:sSub>
      </m:oMath>
      <w:r w:rsidRPr="00BC31E0">
        <w:rPr>
          <w:rFonts w:hint="eastAsia"/>
        </w:rPr>
        <w:t>を用いて決定する。限界亀裂寸法は，設計荷重下で亀裂先端における残留応力を考慮した応力拡大係数の最大値</w:t>
      </w:r>
      <w:r w:rsidRPr="00BC31E0">
        <w:rPr>
          <w:rFonts w:asciiTheme="minorHAnsi" w:hAnsiTheme="minorHAnsi"/>
        </w:rPr>
        <w:t>(</w:t>
      </w:r>
      <m:oMath>
        <m:sSub>
          <m:sSubPr>
            <m:ctrlPr>
              <w:rPr>
                <w:rFonts w:ascii="Cambria Math" w:hAnsi="Cambria Math"/>
                <w:i/>
              </w:rPr>
            </m:ctrlPr>
          </m:sSubPr>
          <m:e>
            <m:r>
              <w:rPr>
                <w:rFonts w:ascii="Cambria Math" w:hAnsi="Cambria Math" w:hint="eastAsia"/>
              </w:rPr>
              <m:t xml:space="preserve"> </m:t>
            </m:r>
            <m:sSubSup>
              <m:sSubSupPr>
                <m:ctrlPr>
                  <w:rPr>
                    <w:rFonts w:ascii="Cambria Math" w:hAnsi="Cambria Math"/>
                    <w:i/>
                  </w:rPr>
                </m:ctrlPr>
              </m:sSubSupPr>
              <m:e>
                <m:r>
                  <w:rPr>
                    <w:rFonts w:ascii="Cambria Math" w:hAnsi="Cambria Math"/>
                  </w:rPr>
                  <m:t>K</m:t>
                </m:r>
              </m:e>
              <m:sub>
                <m:r>
                  <m:rPr>
                    <m:sty m:val="p"/>
                  </m:rPr>
                  <w:rPr>
                    <w:rFonts w:ascii="Cambria Math" w:hAnsi="Cambria Math"/>
                  </w:rPr>
                  <m:t>Imax</m:t>
                </m:r>
              </m:sub>
              <m:sup>
                <m:r>
                  <w:rPr>
                    <w:rFonts w:ascii="Cambria Math" w:hAnsi="Cambria Math"/>
                  </w:rPr>
                  <m:t>*</m:t>
                </m:r>
              </m:sup>
            </m:sSubSup>
            <m:r>
              <w:rPr>
                <w:rFonts w:ascii="Cambria Math" w:hAnsi="Cambria Math"/>
              </w:rPr>
              <m:t>+K</m:t>
            </m:r>
          </m:e>
          <m:sub>
            <m:r>
              <m:rPr>
                <m:sty m:val="p"/>
              </m:rPr>
              <w:rPr>
                <w:rFonts w:ascii="Cambria Math" w:hAnsi="Cambria Math"/>
                <w:vertAlign w:val="subscript"/>
              </w:rPr>
              <m:t>I</m:t>
            </m:r>
            <m:r>
              <w:rPr>
                <w:rFonts w:ascii="Cambria Math" w:hAnsi="Cambria Math"/>
                <w:vertAlign w:val="subscript"/>
              </w:rPr>
              <m:t>res</m:t>
            </m:r>
            <m:r>
              <w:rPr>
                <w:rFonts w:ascii="Cambria Math" w:hAnsi="Cambria Math" w:hint="eastAsia"/>
                <w:vertAlign w:val="subscript"/>
              </w:rPr>
              <m:t xml:space="preserve"> </m:t>
            </m:r>
          </m:sub>
        </m:sSub>
      </m:oMath>
      <w:r w:rsidRPr="00BC31E0">
        <w:rPr>
          <w:rFonts w:asciiTheme="minorHAnsi" w:hAnsiTheme="minorHAnsi"/>
        </w:rPr>
        <w:t>)</w:t>
      </w:r>
      <w:r w:rsidR="007526F4" w:rsidRPr="00BC31E0">
        <w:rPr>
          <w:rFonts w:asciiTheme="minorHAnsi" w:hAnsiTheme="minorHAnsi" w:hint="eastAsia"/>
        </w:rPr>
        <w:t xml:space="preserve"> </w:t>
      </w:r>
      <w:r w:rsidRPr="00BC31E0">
        <w:rPr>
          <w:rFonts w:hint="eastAsia"/>
        </w:rPr>
        <w:t>が水素誘起割れに対する下限界応力拡大係数</w:t>
      </w:r>
      <m:oMath>
        <m:r>
          <m:rPr>
            <m:sty m:val="p"/>
          </m:rPr>
          <w:rPr>
            <w:rFonts w:ascii="Cambria Math" w:hAnsi="Cambria Math" w:hint="eastAsia"/>
          </w:rPr>
          <m:t xml:space="preserve"> </m:t>
        </m:r>
        <m:sSub>
          <m:sSubPr>
            <m:ctrlPr>
              <w:rPr>
                <w:rFonts w:ascii="Cambria Math" w:hAnsi="Cambria Math"/>
              </w:rPr>
            </m:ctrlPr>
          </m:sSubPr>
          <m:e>
            <m:r>
              <w:rPr>
                <w:rFonts w:ascii="Cambria Math" w:hAnsi="Cambria Math"/>
              </w:rPr>
              <m:t>K</m:t>
            </m:r>
          </m:e>
          <m:sub>
            <m:r>
              <m:rPr>
                <m:sty m:val="p"/>
              </m:rPr>
              <w:rPr>
                <w:rFonts w:ascii="Cambria Math" w:hAnsi="Cambria Math"/>
                <w:vertAlign w:val="subscript"/>
              </w:rPr>
              <m:t>I</m:t>
            </m:r>
            <m:r>
              <w:rPr>
                <w:rFonts w:ascii="Cambria Math" w:hAnsi="Cambria Math" w:hint="eastAsia"/>
                <w:vertAlign w:val="subscript"/>
              </w:rPr>
              <m:t>H</m:t>
            </m:r>
            <m:r>
              <m:rPr>
                <m:sty m:val="p"/>
              </m:rPr>
              <w:rPr>
                <w:rFonts w:ascii="Cambria Math" w:hAnsi="Cambria Math" w:hint="eastAsia"/>
                <w:vertAlign w:val="subscript"/>
              </w:rPr>
              <m:t xml:space="preserve"> </m:t>
            </m:r>
          </m:sub>
        </m:sSub>
      </m:oMath>
      <w:r w:rsidRPr="00BC31E0">
        <w:rPr>
          <w:rFonts w:hint="eastAsia"/>
        </w:rPr>
        <w:t>を下回るように制限する</w:t>
      </w:r>
      <w:r w:rsidR="007526F4" w:rsidRPr="00BC31E0">
        <w:rPr>
          <w:rFonts w:asciiTheme="minorHAnsi" w:hAnsiTheme="minorHAnsi" w:hint="eastAsia"/>
          <w:bCs/>
        </w:rPr>
        <w:t>[</w:t>
      </w:r>
      <w:r w:rsidRPr="00BC31E0">
        <w:rPr>
          <w:rFonts w:asciiTheme="majorEastAsia" w:eastAsiaTheme="majorEastAsia" w:hAnsiTheme="majorEastAsia"/>
          <w:b/>
        </w:rPr>
        <w:t>6</w:t>
      </w:r>
      <w:r w:rsidRPr="00BC31E0">
        <w:rPr>
          <w:rFonts w:asciiTheme="majorEastAsia" w:eastAsiaTheme="majorEastAsia" w:hAnsiTheme="majorEastAsia" w:hint="eastAsia"/>
          <w:b/>
        </w:rPr>
        <w:t>.</w:t>
      </w:r>
      <w:r w:rsidRPr="00BC31E0">
        <w:rPr>
          <w:rFonts w:asciiTheme="majorEastAsia" w:eastAsiaTheme="majorEastAsia" w:hAnsiTheme="majorEastAsia"/>
          <w:b/>
        </w:rPr>
        <w:t>13.7 b)</w:t>
      </w:r>
      <w:r w:rsidRPr="00BC31E0">
        <w:rPr>
          <w:rFonts w:hint="eastAsia"/>
        </w:rPr>
        <w:t>を参照</w:t>
      </w:r>
      <w:r w:rsidR="007526F4" w:rsidRPr="00BC31E0">
        <w:rPr>
          <w:rFonts w:asciiTheme="minorHAnsi" w:hAnsiTheme="minorHAnsi"/>
        </w:rPr>
        <w:t>]</w:t>
      </w:r>
      <w:r w:rsidRPr="00BC31E0">
        <w:rPr>
          <w:rFonts w:hint="eastAsia"/>
        </w:rPr>
        <w:t>。</w:t>
      </w:r>
    </w:p>
    <w:p w14:paraId="79847264" w14:textId="77777777" w:rsidR="00F137F4" w:rsidRPr="00BC31E0" w:rsidRDefault="00F137F4" w:rsidP="00736130">
      <w:pPr>
        <w:pStyle w:val="a4"/>
        <w:numPr>
          <w:ilvl w:val="0"/>
          <w:numId w:val="321"/>
        </w:numPr>
        <w:ind w:leftChars="0" w:left="454" w:hanging="454"/>
      </w:pPr>
      <w:r w:rsidRPr="00BC31E0">
        <w:rPr>
          <w:rFonts w:asciiTheme="majorEastAsia" w:eastAsiaTheme="majorEastAsia" w:hAnsiTheme="majorEastAsia" w:hint="eastAsia"/>
          <w:b/>
        </w:rPr>
        <w:t>表6</w:t>
      </w:r>
      <w:r w:rsidRPr="00BC31E0">
        <w:rPr>
          <w:rFonts w:asciiTheme="majorEastAsia" w:eastAsiaTheme="majorEastAsia" w:hAnsiTheme="majorEastAsia"/>
          <w:b/>
        </w:rPr>
        <w:t>.4.1</w:t>
      </w:r>
      <w:r w:rsidRPr="00BC31E0">
        <w:rPr>
          <w:rFonts w:hint="eastAsia"/>
        </w:rPr>
        <w:t>の疲労亀裂進展速度の材料特性値を</w:t>
      </w:r>
      <w:r w:rsidRPr="00BC31E0">
        <w:rPr>
          <w:rFonts w:asciiTheme="majorEastAsia" w:eastAsiaTheme="majorEastAsia" w:hAnsiTheme="majorEastAsia" w:hint="eastAsia"/>
          <w:b/>
        </w:rPr>
        <w:t>6</w:t>
      </w:r>
      <w:r w:rsidRPr="00BC31E0">
        <w:rPr>
          <w:rFonts w:asciiTheme="majorEastAsia" w:eastAsiaTheme="majorEastAsia" w:hAnsiTheme="majorEastAsia"/>
          <w:b/>
        </w:rPr>
        <w:t>.13.7 c)</w:t>
      </w:r>
      <w:r w:rsidRPr="00BC31E0">
        <w:rPr>
          <w:rFonts w:hint="eastAsia"/>
        </w:rPr>
        <w:t>によって決まる材料特性値に置き換えることを除いて，疲労亀裂進展速度と設計許容繰返し回数は</w:t>
      </w:r>
      <w:r w:rsidRPr="00BC31E0">
        <w:rPr>
          <w:rFonts w:asciiTheme="majorEastAsia" w:eastAsiaTheme="majorEastAsia" w:hAnsiTheme="majorEastAsia" w:hint="eastAsia"/>
          <w:b/>
        </w:rPr>
        <w:t>6.4</w:t>
      </w:r>
      <w:r w:rsidRPr="00BC31E0">
        <w:rPr>
          <w:rFonts w:hint="eastAsia"/>
        </w:rPr>
        <w:t>に従う。</w:t>
      </w:r>
      <m:oMath>
        <m:sSub>
          <m:sSubPr>
            <m:ctrlPr>
              <w:rPr>
                <w:rFonts w:ascii="Cambria Math" w:hAnsi="Cambria Math"/>
              </w:rPr>
            </m:ctrlPr>
          </m:sSubPr>
          <m:e>
            <m:r>
              <m:rPr>
                <m:sty m:val="p"/>
              </m:rPr>
              <w:rPr>
                <w:rFonts w:ascii="Cambria Math" w:hAnsi="Cambria Math" w:hint="eastAsia"/>
              </w:rPr>
              <m:t xml:space="preserve"> </m:t>
            </m:r>
            <m:sSubSup>
              <m:sSubSupPr>
                <m:ctrlPr>
                  <w:rPr>
                    <w:rFonts w:ascii="Cambria Math" w:hAnsi="Cambria Math"/>
                  </w:rPr>
                </m:ctrlPr>
              </m:sSubSupPr>
              <m:e>
                <m:r>
                  <w:rPr>
                    <w:rFonts w:ascii="Cambria Math" w:hAnsi="Cambria Math"/>
                  </w:rPr>
                  <m:t>K</m:t>
                </m:r>
              </m:e>
              <m:sub>
                <m:r>
                  <m:rPr>
                    <m:sty m:val="p"/>
                  </m:rPr>
                  <w:rPr>
                    <w:rFonts w:ascii="Cambria Math" w:hAnsi="Cambria Math"/>
                  </w:rPr>
                  <m:t>Imax</m:t>
                </m:r>
              </m:sub>
              <m:sup>
                <m:r>
                  <m:rPr>
                    <m:sty m:val="p"/>
                  </m:rPr>
                  <w:rPr>
                    <w:rFonts w:ascii="Cambria Math" w:hAnsi="Cambria Math"/>
                  </w:rPr>
                  <m:t>*</m:t>
                </m:r>
              </m:sup>
            </m:sSubSup>
            <m:r>
              <m:rPr>
                <m:sty m:val="p"/>
              </m:rPr>
              <w:rPr>
                <w:rFonts w:ascii="Cambria Math" w:hAnsi="Cambria Math"/>
              </w:rPr>
              <m:t>+</m:t>
            </m:r>
            <m:r>
              <w:rPr>
                <w:rFonts w:ascii="Cambria Math" w:hAnsi="Cambria Math"/>
              </w:rPr>
              <m:t>K</m:t>
            </m:r>
          </m:e>
          <m:sub>
            <m:r>
              <m:rPr>
                <m:sty m:val="p"/>
              </m:rPr>
              <w:rPr>
                <w:rFonts w:ascii="Cambria Math" w:hAnsi="Cambria Math"/>
                <w:vertAlign w:val="subscript"/>
              </w:rPr>
              <m:t>I</m:t>
            </m:r>
            <m:r>
              <w:rPr>
                <w:rFonts w:ascii="Cambria Math" w:hAnsi="Cambria Math"/>
                <w:vertAlign w:val="subscript"/>
              </w:rPr>
              <m:t>res</m:t>
            </m:r>
            <m:r>
              <m:rPr>
                <m:sty m:val="p"/>
              </m:rPr>
              <w:rPr>
                <w:rFonts w:ascii="Cambria Math" w:hAnsi="Cambria Math" w:hint="eastAsia"/>
                <w:vertAlign w:val="subscript"/>
              </w:rPr>
              <m:t xml:space="preserve"> </m:t>
            </m:r>
          </m:sub>
        </m:sSub>
        <m:r>
          <m:rPr>
            <m:sty m:val="p"/>
          </m:rPr>
          <w:rPr>
            <w:rFonts w:ascii="Cambria Math" w:hAnsi="Cambria Math" w:hint="eastAsia"/>
          </w:rPr>
          <m:t>≦</m:t>
        </m:r>
        <m:r>
          <m:rPr>
            <m:sty m:val="p"/>
          </m:rPr>
          <w:rPr>
            <w:rFonts w:ascii="Cambria Math" w:hAnsi="Cambria Math"/>
          </w:rPr>
          <m:t>0</m:t>
        </m:r>
      </m:oMath>
      <w:r w:rsidRPr="00BC31E0">
        <w:rPr>
          <w:rFonts w:hint="eastAsia"/>
        </w:rPr>
        <w:t>の場合，疲労亀裂進展速度は</w:t>
      </w:r>
      <w:r w:rsidRPr="00BC31E0">
        <w:rPr>
          <w:rFonts w:asciiTheme="minorHAnsi" w:hAnsiTheme="minorHAnsi"/>
        </w:rPr>
        <w:t>0</w:t>
      </w:r>
      <w:r w:rsidRPr="00BC31E0">
        <w:rPr>
          <w:rFonts w:hint="eastAsia"/>
        </w:rPr>
        <w:t>と見なせる。</w:t>
      </w:r>
      <m:oMath>
        <m:sSub>
          <m:sSubPr>
            <m:ctrlPr>
              <w:rPr>
                <w:rFonts w:ascii="Cambria Math" w:hAnsi="Cambria Math"/>
              </w:rPr>
            </m:ctrlPr>
          </m:sSubPr>
          <m:e>
            <m:sSubSup>
              <m:sSubSupPr>
                <m:ctrlPr>
                  <w:rPr>
                    <w:rFonts w:ascii="Cambria Math" w:hAnsi="Cambria Math"/>
                  </w:rPr>
                </m:ctrlPr>
              </m:sSubSupPr>
              <m:e>
                <m:r>
                  <w:rPr>
                    <w:rFonts w:ascii="Cambria Math" w:hAnsi="Cambria Math"/>
                  </w:rPr>
                  <m:t>K</m:t>
                </m:r>
              </m:e>
              <m:sub>
                <m:r>
                  <m:rPr>
                    <m:sty m:val="p"/>
                  </m:rPr>
                  <w:rPr>
                    <w:rFonts w:ascii="Cambria Math" w:hAnsi="Cambria Math"/>
                  </w:rPr>
                  <m:t>Imax</m:t>
                </m:r>
              </m:sub>
              <m:sup>
                <m:r>
                  <m:rPr>
                    <m:sty m:val="p"/>
                  </m:rPr>
                  <w:rPr>
                    <w:rFonts w:ascii="Cambria Math" w:hAnsi="Cambria Math"/>
                  </w:rPr>
                  <m:t>*</m:t>
                </m:r>
              </m:sup>
            </m:sSubSup>
            <m:r>
              <m:rPr>
                <m:sty m:val="p"/>
              </m:rPr>
              <w:rPr>
                <w:rFonts w:ascii="Cambria Math" w:hAnsi="Cambria Math"/>
              </w:rPr>
              <m:t>+</m:t>
            </m:r>
            <m:r>
              <w:rPr>
                <w:rFonts w:ascii="Cambria Math" w:hAnsi="Cambria Math"/>
              </w:rPr>
              <m:t>K</m:t>
            </m:r>
          </m:e>
          <m:sub>
            <m:r>
              <m:rPr>
                <m:sty m:val="p"/>
              </m:rPr>
              <w:rPr>
                <w:rFonts w:ascii="Cambria Math" w:hAnsi="Cambria Math"/>
                <w:vertAlign w:val="subscript"/>
              </w:rPr>
              <m:t>I</m:t>
            </m:r>
            <m:r>
              <w:rPr>
                <w:rFonts w:ascii="Cambria Math" w:hAnsi="Cambria Math"/>
                <w:vertAlign w:val="subscript"/>
              </w:rPr>
              <m:t>res</m:t>
            </m:r>
            <m:r>
              <m:rPr>
                <m:sty m:val="p"/>
              </m:rPr>
              <w:rPr>
                <w:rFonts w:ascii="Cambria Math" w:hAnsi="Cambria Math" w:hint="eastAsia"/>
                <w:vertAlign w:val="subscript"/>
              </w:rPr>
              <m:t xml:space="preserve"> </m:t>
            </m:r>
          </m:sub>
        </m:sSub>
        <m:r>
          <m:rPr>
            <m:sty m:val="p"/>
          </m:rPr>
          <w:rPr>
            <w:rFonts w:ascii="Cambria Math" w:hAnsi="Cambria Math" w:hint="eastAsia"/>
          </w:rPr>
          <m:t>≦</m:t>
        </m:r>
        <m:r>
          <m:rPr>
            <m:sty m:val="p"/>
          </m:rPr>
          <w:rPr>
            <w:rFonts w:ascii="Cambria Math" w:hAnsi="Cambria Math"/>
          </w:rPr>
          <m:t>0</m:t>
        </m:r>
        <m:r>
          <m:rPr>
            <m:sty m:val="p"/>
          </m:rPr>
          <w:rPr>
            <w:rFonts w:ascii="Cambria Math" w:hAnsi="Cambria Math" w:hint="eastAsia"/>
          </w:rPr>
          <m:t xml:space="preserve"> </m:t>
        </m:r>
      </m:oMath>
      <w:r w:rsidRPr="00BC31E0">
        <w:rPr>
          <w:rFonts w:hint="eastAsia"/>
        </w:rPr>
        <w:t>の場合，水素誘起割れに対する下限界応力拡大係数</w:t>
      </w:r>
      <m:oMath>
        <m:sSub>
          <m:sSubPr>
            <m:ctrlPr>
              <w:rPr>
                <w:rFonts w:ascii="Cambria Math" w:hAnsi="Cambria Math"/>
              </w:rPr>
            </m:ctrlPr>
          </m:sSubPr>
          <m:e>
            <m:r>
              <m:rPr>
                <m:sty m:val="p"/>
              </m:rPr>
              <w:rPr>
                <w:rFonts w:ascii="Cambria Math" w:hAnsi="Cambria Math" w:hint="eastAsia"/>
              </w:rPr>
              <m:t xml:space="preserve"> </m:t>
            </m:r>
            <m:r>
              <w:rPr>
                <w:rFonts w:ascii="Cambria Math" w:hAnsi="Cambria Math"/>
              </w:rPr>
              <m:t>K</m:t>
            </m:r>
          </m:e>
          <m:sub>
            <m:r>
              <m:rPr>
                <m:sty m:val="p"/>
              </m:rPr>
              <w:rPr>
                <w:rFonts w:ascii="Cambria Math" w:hAnsi="Cambria Math"/>
                <w:vertAlign w:val="subscript"/>
              </w:rPr>
              <m:t>I</m:t>
            </m:r>
            <m:r>
              <w:rPr>
                <w:rFonts w:ascii="Cambria Math" w:hAnsi="Cambria Math" w:hint="eastAsia"/>
                <w:vertAlign w:val="subscript"/>
              </w:rPr>
              <m:t>H</m:t>
            </m:r>
            <m:r>
              <m:rPr>
                <m:sty m:val="p"/>
              </m:rPr>
              <w:rPr>
                <w:rFonts w:ascii="Cambria Math" w:hAnsi="Cambria Math" w:hint="eastAsia"/>
                <w:vertAlign w:val="subscript"/>
              </w:rPr>
              <m:t xml:space="preserve"> </m:t>
            </m:r>
          </m:sub>
        </m:sSub>
      </m:oMath>
      <w:r w:rsidRPr="00BC31E0">
        <w:rPr>
          <w:rFonts w:hint="eastAsia"/>
        </w:rPr>
        <w:t>と水素環境における疲労亀裂進展速度</w:t>
      </w:r>
      <m:oMath>
        <m:f>
          <m:fPr>
            <m:type m:val="lin"/>
            <m:ctrlPr>
              <w:rPr>
                <w:rFonts w:ascii="Cambria Math" w:hAnsi="Cambria Math"/>
                <w:i/>
              </w:rPr>
            </m:ctrlPr>
          </m:fPr>
          <m:num>
            <m:r>
              <w:rPr>
                <w:rFonts w:ascii="Cambria Math" w:hAnsi="Cambria Math"/>
              </w:rPr>
              <m:t xml:space="preserve"> da</m:t>
            </m:r>
          </m:num>
          <m:den>
            <m:r>
              <w:rPr>
                <w:rFonts w:ascii="Cambria Math" w:hAnsi="Cambria Math"/>
              </w:rPr>
              <m:t xml:space="preserve">dN </m:t>
            </m:r>
          </m:den>
        </m:f>
      </m:oMath>
      <w:r w:rsidRPr="00BC31E0">
        <w:rPr>
          <w:rFonts w:hint="eastAsia"/>
        </w:rPr>
        <w:t>を決定する必要はない。</w:t>
      </w:r>
    </w:p>
    <w:p w14:paraId="6925700B" w14:textId="77777777" w:rsidR="00F137F4" w:rsidRPr="00BC31E0" w:rsidRDefault="006D0342" w:rsidP="006D0342">
      <w:pPr>
        <w:pStyle w:val="3"/>
        <w:tabs>
          <w:tab w:val="clear" w:pos="284"/>
        </w:tabs>
      </w:pPr>
      <w:r w:rsidRPr="00BC31E0">
        <w:rPr>
          <w:rFonts w:hint="eastAsia"/>
        </w:rPr>
        <w:t xml:space="preserve"> </w:t>
      </w:r>
      <w:r w:rsidR="00F137F4" w:rsidRPr="00BC31E0">
        <w:rPr>
          <w:rFonts w:hint="eastAsia"/>
        </w:rPr>
        <w:t>破壊力学特性値</w:t>
      </w:r>
    </w:p>
    <w:p w14:paraId="5C4850CD" w14:textId="77777777" w:rsidR="00F137F4" w:rsidRPr="00BC31E0" w:rsidRDefault="00F137F4" w:rsidP="006F0216">
      <w:pPr>
        <w:pStyle w:val="1110"/>
        <w:ind w:firstLine="210"/>
      </w:pPr>
      <w:r w:rsidRPr="00BC31E0">
        <w:rPr>
          <w:rFonts w:hint="eastAsia"/>
        </w:rPr>
        <w:lastRenderedPageBreak/>
        <w:t>破壊力学評価で使用する材料特性値は，次の</w:t>
      </w:r>
      <w:r w:rsidRPr="00BC31E0">
        <w:rPr>
          <w:rFonts w:ascii="ＭＳ ゴシック" w:eastAsia="ＭＳ ゴシック" w:hAnsi="ＭＳ ゴシック" w:hint="eastAsia"/>
          <w:b/>
        </w:rPr>
        <w:t>a)</w:t>
      </w:r>
      <w:r w:rsidRPr="00BC31E0">
        <w:rPr>
          <w:rFonts w:hint="eastAsia"/>
        </w:rPr>
        <w:t>～</w:t>
      </w:r>
      <w:r w:rsidRPr="00BC31E0">
        <w:rPr>
          <w:rFonts w:ascii="ＭＳ ゴシック" w:eastAsia="ＭＳ ゴシック" w:hAnsi="ＭＳ ゴシック" w:hint="eastAsia"/>
          <w:b/>
        </w:rPr>
        <w:t>c)</w:t>
      </w:r>
      <w:r w:rsidRPr="00BC31E0">
        <w:rPr>
          <w:rFonts w:hint="eastAsia"/>
        </w:rPr>
        <w:t>に従って求める。</w:t>
      </w:r>
    </w:p>
    <w:p w14:paraId="5D50BD82" w14:textId="77777777" w:rsidR="00F137F4" w:rsidRPr="00BC31E0" w:rsidRDefault="00F137F4" w:rsidP="00736130">
      <w:pPr>
        <w:pStyle w:val="a4"/>
        <w:numPr>
          <w:ilvl w:val="0"/>
          <w:numId w:val="322"/>
        </w:numPr>
        <w:ind w:leftChars="0" w:left="454" w:hanging="454"/>
        <w:rPr>
          <w:rFonts w:ascii="ＭＳ 明朝" w:hAnsi="ＭＳ 明朝"/>
        </w:rPr>
      </w:pPr>
      <w:r w:rsidRPr="00BC31E0">
        <w:rPr>
          <w:rFonts w:asciiTheme="majorEastAsia" w:eastAsiaTheme="majorEastAsia" w:hAnsiTheme="majorEastAsia" w:hint="eastAsia"/>
          <w:b/>
        </w:rPr>
        <w:t>平面ひずみ破壊靱性値</w:t>
      </w:r>
      <m:oMath>
        <m:r>
          <m:rPr>
            <m:sty m:val="b"/>
          </m:rPr>
          <w:rPr>
            <w:rFonts w:ascii="Cambria Math" w:eastAsiaTheme="majorEastAsia" w:hAnsi="Cambria Math"/>
          </w:rPr>
          <m:t xml:space="preserve"> </m:t>
        </m:r>
        <m:sSub>
          <m:sSubPr>
            <m:ctrlPr>
              <w:rPr>
                <w:rFonts w:ascii="Cambria Math" w:hAnsi="Cambria Math"/>
                <w:b/>
                <w:i/>
              </w:rPr>
            </m:ctrlPr>
          </m:sSubPr>
          <m:e>
            <m:r>
              <m:rPr>
                <m:sty m:val="bi"/>
              </m:rPr>
              <w:rPr>
                <w:rFonts w:ascii="Cambria Math"/>
              </w:rPr>
              <m:t>K</m:t>
            </m:r>
          </m:e>
          <m:sub>
            <m:r>
              <m:rPr>
                <m:sty m:val="b"/>
              </m:rPr>
              <w:rPr>
                <w:rFonts w:ascii="Cambria Math"/>
                <w:vertAlign w:val="subscript"/>
              </w:rPr>
              <m:t>I</m:t>
            </m:r>
            <m:r>
              <m:rPr>
                <m:sty m:val="bi"/>
              </m:rPr>
              <w:rPr>
                <w:rFonts w:ascii="Cambria Math"/>
                <w:vertAlign w:val="subscript"/>
              </w:rPr>
              <m:t>C</m:t>
            </m:r>
          </m:sub>
        </m:sSub>
      </m:oMath>
      <w:r w:rsidRPr="00BC31E0">
        <w:rPr>
          <w:rFonts w:hint="eastAsia"/>
        </w:rPr>
        <w:t xml:space="preserve">　平面ひずみ破壊靱性値</w:t>
      </w:r>
      <m:oMath>
        <m:sSub>
          <m:sSubPr>
            <m:ctrlPr>
              <w:rPr>
                <w:rFonts w:ascii="Cambria Math" w:hAnsi="Cambria Math"/>
              </w:rPr>
            </m:ctrlPr>
          </m:sSubPr>
          <m:e>
            <m:r>
              <m:rPr>
                <m:sty m:val="p"/>
              </m:rPr>
              <w:rPr>
                <w:rFonts w:ascii="Cambria Math" w:hint="eastAsia"/>
              </w:rPr>
              <m:t xml:space="preserve"> </m:t>
            </m:r>
            <m:r>
              <w:rPr>
                <w:rFonts w:ascii="Cambria Math"/>
              </w:rPr>
              <m:t>K</m:t>
            </m:r>
          </m:e>
          <m:sub>
            <m:r>
              <m:rPr>
                <m:sty m:val="p"/>
              </m:rPr>
              <w:rPr>
                <w:rFonts w:ascii="Cambria Math"/>
                <w:vertAlign w:val="subscript"/>
              </w:rPr>
              <m:t>I</m:t>
            </m:r>
            <m:r>
              <w:rPr>
                <w:rFonts w:ascii="Cambria Math"/>
                <w:vertAlign w:val="subscript"/>
              </w:rPr>
              <m:t>C</m:t>
            </m:r>
            <m:r>
              <m:rPr>
                <m:sty m:val="p"/>
              </m:rPr>
              <w:rPr>
                <w:rFonts w:ascii="Cambria Math" w:hint="eastAsia"/>
                <w:vertAlign w:val="subscript"/>
              </w:rPr>
              <m:t xml:space="preserve"> </m:t>
            </m:r>
          </m:sub>
        </m:sSub>
        <m:r>
          <m:rPr>
            <m:sty m:val="p"/>
          </m:rPr>
          <w:rPr>
            <w:rFonts w:ascii="Cambria Math" w:hAnsi="Cambria Math" w:hint="eastAsia"/>
          </w:rPr>
          <m:t xml:space="preserve"> </m:t>
        </m:r>
      </m:oMath>
      <w:r w:rsidRPr="00BC31E0">
        <w:rPr>
          <w:rFonts w:hint="eastAsia"/>
        </w:rPr>
        <w:t>は，次の</w:t>
      </w:r>
      <w:r w:rsidRPr="00BC31E0">
        <w:rPr>
          <w:rFonts w:asciiTheme="majorEastAsia" w:eastAsiaTheme="majorEastAsia" w:hAnsiTheme="majorEastAsia" w:hint="eastAsia"/>
          <w:b/>
          <w:bCs/>
        </w:rPr>
        <w:t>1)</w:t>
      </w:r>
      <w:r w:rsidRPr="00BC31E0">
        <w:rPr>
          <w:rFonts w:hint="eastAsia"/>
        </w:rPr>
        <w:t>～</w:t>
      </w:r>
      <w:r w:rsidRPr="00BC31E0">
        <w:rPr>
          <w:rFonts w:asciiTheme="majorEastAsia" w:eastAsiaTheme="majorEastAsia" w:hAnsiTheme="majorEastAsia" w:hint="eastAsia"/>
          <w:b/>
          <w:bCs/>
        </w:rPr>
        <w:t>3)</w:t>
      </w:r>
      <w:r w:rsidRPr="00BC31E0">
        <w:rPr>
          <w:rFonts w:hint="eastAsia"/>
        </w:rPr>
        <w:t>による。</w:t>
      </w:r>
    </w:p>
    <w:p w14:paraId="7D8319C9" w14:textId="77777777" w:rsidR="006F0216" w:rsidRPr="00BC31E0" w:rsidRDefault="00F137F4" w:rsidP="00736130">
      <w:pPr>
        <w:pStyle w:val="a4"/>
        <w:numPr>
          <w:ilvl w:val="0"/>
          <w:numId w:val="323"/>
        </w:numPr>
        <w:ind w:leftChars="0" w:left="738" w:hanging="454"/>
      </w:pPr>
      <w:r w:rsidRPr="00BC31E0">
        <w:rPr>
          <w:rFonts w:hint="eastAsia"/>
        </w:rPr>
        <w:t>平面ひずみ破壊靱性値</w:t>
      </w:r>
      <m:oMath>
        <m:sSub>
          <m:sSubPr>
            <m:ctrlPr>
              <w:rPr>
                <w:rFonts w:ascii="Cambria Math" w:hAnsi="Cambria Math"/>
              </w:rPr>
            </m:ctrlPr>
          </m:sSubPr>
          <m:e>
            <m:r>
              <m:rPr>
                <m:sty m:val="p"/>
              </m:rPr>
              <w:rPr>
                <w:rFonts w:ascii="Cambria Math" w:hAnsi="Cambria Math" w:hint="eastAsia"/>
              </w:rPr>
              <m:t xml:space="preserve"> </m:t>
            </m:r>
            <m:r>
              <w:rPr>
                <w:rFonts w:ascii="Cambria Math" w:hAnsi="Cambria Math"/>
              </w:rPr>
              <m:t>K</m:t>
            </m:r>
          </m:e>
          <m:sub>
            <m:r>
              <m:rPr>
                <m:sty m:val="p"/>
              </m:rPr>
              <w:rPr>
                <w:rFonts w:ascii="Cambria Math" w:hAnsi="Cambria Math"/>
                <w:vertAlign w:val="subscript"/>
              </w:rPr>
              <m:t>I</m:t>
            </m:r>
            <m:r>
              <w:rPr>
                <w:rFonts w:ascii="Cambria Math" w:hAnsi="Cambria Math"/>
                <w:vertAlign w:val="subscript"/>
              </w:rPr>
              <m:t>C</m:t>
            </m:r>
            <m:r>
              <m:rPr>
                <m:sty m:val="p"/>
              </m:rPr>
              <w:rPr>
                <w:rFonts w:ascii="Cambria Math" w:hAnsi="Cambria Math" w:hint="eastAsia"/>
                <w:vertAlign w:val="subscript"/>
              </w:rPr>
              <m:t xml:space="preserve"> </m:t>
            </m:r>
          </m:sub>
        </m:sSub>
        <m:r>
          <m:rPr>
            <m:sty m:val="p"/>
          </m:rPr>
          <w:rPr>
            <w:rFonts w:ascii="Cambria Math" w:hAnsi="Cambria Math" w:hint="eastAsia"/>
          </w:rPr>
          <m:t xml:space="preserve"> </m:t>
        </m:r>
      </m:oMath>
      <w:r w:rsidRPr="00BC31E0">
        <w:rPr>
          <w:rFonts w:hint="eastAsia"/>
        </w:rPr>
        <w:t>は容器に使用される材料の各ヒートについて，最大板厚部で求める。試験片は容器製作における最終熱処理条件とする。試験片は母材，溶接金属，溶接継手の熱影響部の各採取位置で</w:t>
      </w:r>
      <w:r w:rsidRPr="00BC31E0">
        <w:rPr>
          <w:rFonts w:eastAsia="ＭＳ Ｐ明朝"/>
        </w:rPr>
        <w:t>3</w:t>
      </w:r>
      <w:r w:rsidRPr="00BC31E0">
        <w:rPr>
          <w:rFonts w:hint="eastAsia"/>
        </w:rPr>
        <w:t>本からなるセットで試験を行う。溶接継手</w:t>
      </w:r>
      <w:r w:rsidRPr="00BC31E0">
        <w:rPr>
          <w:rFonts w:asciiTheme="minorHAnsi" w:hAnsiTheme="minorHAnsi"/>
        </w:rPr>
        <w:t>(</w:t>
      </w:r>
      <w:r w:rsidRPr="00BC31E0">
        <w:rPr>
          <w:rFonts w:asciiTheme="minorHAnsi"/>
        </w:rPr>
        <w:t>溶接金属と熱影響部</w:t>
      </w:r>
      <w:r w:rsidRPr="00BC31E0">
        <w:rPr>
          <w:rFonts w:asciiTheme="minorHAnsi" w:hAnsiTheme="minorHAnsi"/>
        </w:rPr>
        <w:t>)</w:t>
      </w:r>
      <w:r w:rsidRPr="00BC31E0">
        <w:rPr>
          <w:rFonts w:hint="eastAsia"/>
        </w:rPr>
        <w:t>の試験は，容器製作に用いる全ての溶接施工要領で行い，試験片は</w:t>
      </w:r>
      <m:oMath>
        <m:r>
          <m:rPr>
            <m:sty m:val="p"/>
          </m:rPr>
          <w:rPr>
            <w:rFonts w:ascii="Cambria Math" w:hAnsi="Cambria Math" w:hint="eastAsia"/>
          </w:rPr>
          <m:t xml:space="preserve"> </m:t>
        </m:r>
        <m:r>
          <w:rPr>
            <w:rFonts w:ascii="Cambria Math" w:hAnsi="Cambria Math"/>
          </w:rPr>
          <m:t>TL</m:t>
        </m:r>
        <m:r>
          <w:rPr>
            <w:rFonts w:ascii="Cambria Math" w:hAnsi="Cambria Math" w:hint="eastAsia"/>
          </w:rPr>
          <m:t xml:space="preserve"> </m:t>
        </m:r>
      </m:oMath>
      <w:r w:rsidRPr="00BC31E0">
        <w:rPr>
          <w:rFonts w:hint="eastAsia"/>
        </w:rPr>
        <w:t>方向で採取する。</w:t>
      </w:r>
      <m:oMath>
        <m:r>
          <w:rPr>
            <w:rFonts w:ascii="Cambria Math" w:hAnsi="Cambria Math"/>
          </w:rPr>
          <m:t>TL</m:t>
        </m:r>
        <m:r>
          <w:rPr>
            <w:rFonts w:ascii="Cambria Math" w:hAnsi="Cambria Math" w:hint="eastAsia"/>
          </w:rPr>
          <m:t xml:space="preserve"> </m:t>
        </m:r>
      </m:oMath>
      <w:r w:rsidRPr="00BC31E0">
        <w:rPr>
          <w:rFonts w:hint="eastAsia"/>
        </w:rPr>
        <w:t>方向の試験片が溶接金属や熱影響部から採取できない場合には，</w:t>
      </w:r>
      <m:oMath>
        <m:r>
          <w:rPr>
            <w:rFonts w:ascii="Cambria Math" w:hAnsi="Cambria Math"/>
          </w:rPr>
          <m:t>LT</m:t>
        </m:r>
        <m:r>
          <w:rPr>
            <w:rFonts w:ascii="Cambria Math" w:hAnsi="Cambria Math" w:hint="eastAsia"/>
          </w:rPr>
          <m:t xml:space="preserve"> </m:t>
        </m:r>
      </m:oMath>
      <w:r w:rsidRPr="00BC31E0">
        <w:rPr>
          <w:rFonts w:hint="eastAsia"/>
        </w:rPr>
        <w:t>方向でもよい。試験は最小設計金属温度</w:t>
      </w:r>
      <w:r w:rsidRPr="00BC31E0">
        <w:rPr>
          <w:rFonts w:asciiTheme="minorHAnsi" w:hAnsiTheme="minorHAnsi"/>
        </w:rPr>
        <w:t>(MDMT)</w:t>
      </w:r>
      <w:r w:rsidRPr="00BC31E0">
        <w:rPr>
          <w:rFonts w:hint="eastAsia"/>
        </w:rPr>
        <w:t>で</w:t>
      </w:r>
      <w:r w:rsidRPr="00BC31E0">
        <w:rPr>
          <w:rFonts w:asciiTheme="majorEastAsia" w:eastAsiaTheme="majorEastAsia" w:hAnsiTheme="majorEastAsia" w:hint="eastAsia"/>
          <w:b/>
          <w:bCs/>
        </w:rPr>
        <w:t>ASTM E399</w:t>
      </w:r>
      <w:r w:rsidRPr="00BC31E0">
        <w:rPr>
          <w:rFonts w:hint="eastAsia"/>
        </w:rPr>
        <w:t>又は</w:t>
      </w:r>
      <w:r w:rsidRPr="00BC31E0">
        <w:rPr>
          <w:rFonts w:asciiTheme="majorEastAsia" w:eastAsiaTheme="majorEastAsia" w:hAnsiTheme="majorEastAsia" w:hint="eastAsia"/>
          <w:b/>
          <w:bCs/>
        </w:rPr>
        <w:t>E1820</w:t>
      </w:r>
      <w:r w:rsidRPr="00BC31E0">
        <w:rPr>
          <w:rFonts w:hint="eastAsia"/>
        </w:rPr>
        <w:t>に従って行い，得られた</w:t>
      </w:r>
      <m:oMath>
        <m:sSub>
          <m:sSubPr>
            <m:ctrlPr>
              <w:rPr>
                <w:rFonts w:ascii="Cambria Math" w:hAnsi="Cambria Math"/>
              </w:rPr>
            </m:ctrlPr>
          </m:sSubPr>
          <m:e>
            <m:r>
              <m:rPr>
                <m:sty m:val="p"/>
              </m:rPr>
              <w:rPr>
                <w:rFonts w:ascii="Cambria Math" w:hAnsi="Cambria Math" w:hint="eastAsia"/>
              </w:rPr>
              <m:t xml:space="preserve"> </m:t>
            </m:r>
            <m:r>
              <w:rPr>
                <w:rFonts w:ascii="Cambria Math" w:hAnsi="Cambria Math"/>
              </w:rPr>
              <m:t>K</m:t>
            </m:r>
          </m:e>
          <m:sub>
            <m:r>
              <m:rPr>
                <m:sty m:val="p"/>
              </m:rPr>
              <w:rPr>
                <w:rFonts w:ascii="Cambria Math" w:hAnsi="Cambria Math"/>
                <w:vertAlign w:val="subscript"/>
              </w:rPr>
              <m:t>I</m:t>
            </m:r>
            <m:r>
              <w:rPr>
                <w:rFonts w:ascii="Cambria Math" w:hAnsi="Cambria Math"/>
                <w:vertAlign w:val="subscript"/>
              </w:rPr>
              <m:t>C</m:t>
            </m:r>
            <m:r>
              <m:rPr>
                <m:sty m:val="p"/>
              </m:rPr>
              <w:rPr>
                <w:rFonts w:ascii="Cambria Math" w:hAnsi="Cambria Math" w:hint="eastAsia"/>
                <w:vertAlign w:val="subscript"/>
              </w:rPr>
              <m:t xml:space="preserve"> </m:t>
            </m:r>
          </m:sub>
        </m:sSub>
        <m:r>
          <m:rPr>
            <m:sty m:val="p"/>
          </m:rPr>
          <w:rPr>
            <w:rFonts w:ascii="Cambria Math" w:hAnsi="Cambria Math" w:hint="eastAsia"/>
          </w:rPr>
          <m:t xml:space="preserve"> </m:t>
        </m:r>
      </m:oMath>
      <w:r w:rsidRPr="00BC31E0">
        <w:rPr>
          <w:rFonts w:hint="eastAsia"/>
        </w:rPr>
        <w:t>の最小値を破壊力学評価で使用する。</w:t>
      </w:r>
    </w:p>
    <w:p w14:paraId="29813400" w14:textId="77777777" w:rsidR="006F0216" w:rsidRPr="00BC31E0" w:rsidRDefault="00F137F4" w:rsidP="00736130">
      <w:pPr>
        <w:pStyle w:val="a4"/>
        <w:numPr>
          <w:ilvl w:val="0"/>
          <w:numId w:val="323"/>
        </w:numPr>
        <w:ind w:leftChars="0" w:left="738" w:hanging="454"/>
      </w:pPr>
      <w:r w:rsidRPr="00BC31E0">
        <w:rPr>
          <w:rFonts w:asciiTheme="majorEastAsia" w:eastAsiaTheme="majorEastAsia" w:hAnsiTheme="majorEastAsia" w:hint="eastAsia"/>
          <w:b/>
        </w:rPr>
        <w:t>表5.4.1</w:t>
      </w:r>
      <w:r w:rsidRPr="00BC31E0">
        <w:rPr>
          <w:rFonts w:hint="eastAsia"/>
        </w:rPr>
        <w:t>の</w:t>
      </w:r>
      <w:r w:rsidRPr="00BC31E0">
        <w:rPr>
          <w:rFonts w:asciiTheme="minorEastAsia" w:hAnsiTheme="minorEastAsia" w:hint="eastAsia"/>
        </w:rPr>
        <w:t>鉄鋼材料は，</w:t>
      </w:r>
      <w:r w:rsidRPr="00BC31E0">
        <w:rPr>
          <w:rFonts w:asciiTheme="majorEastAsia" w:eastAsiaTheme="majorEastAsia" w:hAnsiTheme="majorEastAsia" w:hint="eastAsia"/>
          <w:b/>
        </w:rPr>
        <w:t>1)</w:t>
      </w:r>
      <w:r w:rsidRPr="00BC31E0">
        <w:rPr>
          <w:rFonts w:hint="eastAsia"/>
        </w:rPr>
        <w:t>の代わりに，平面ひずみ破壊靱性値</w:t>
      </w:r>
      <m:oMath>
        <m:sSub>
          <m:sSubPr>
            <m:ctrlPr>
              <w:rPr>
                <w:rFonts w:ascii="Cambria Math" w:hAnsi="Cambria Math"/>
              </w:rPr>
            </m:ctrlPr>
          </m:sSubPr>
          <m:e>
            <m:r>
              <m:rPr>
                <m:sty m:val="p"/>
              </m:rPr>
              <w:rPr>
                <w:rFonts w:ascii="Cambria Math" w:hAnsi="Cambria Math" w:hint="eastAsia"/>
              </w:rPr>
              <m:t xml:space="preserve"> </m:t>
            </m:r>
            <m:r>
              <w:rPr>
                <w:rFonts w:ascii="Cambria Math" w:hAnsi="Cambria Math"/>
              </w:rPr>
              <m:t>K</m:t>
            </m:r>
          </m:e>
          <m:sub>
            <m:r>
              <m:rPr>
                <m:sty m:val="p"/>
              </m:rPr>
              <w:rPr>
                <w:rFonts w:ascii="Cambria Math" w:hAnsi="Cambria Math"/>
                <w:vertAlign w:val="subscript"/>
              </w:rPr>
              <m:t>I</m:t>
            </m:r>
            <m:r>
              <w:rPr>
                <w:rFonts w:ascii="Cambria Math" w:hAnsi="Cambria Math"/>
                <w:vertAlign w:val="subscript"/>
              </w:rPr>
              <m:t>C</m:t>
            </m:r>
            <m:r>
              <m:rPr>
                <m:sty m:val="p"/>
              </m:rPr>
              <w:rPr>
                <w:rFonts w:ascii="Cambria Math" w:hAnsi="Cambria Math" w:hint="eastAsia"/>
                <w:vertAlign w:val="subscript"/>
              </w:rPr>
              <m:t xml:space="preserve"> </m:t>
            </m:r>
          </m:sub>
        </m:sSub>
      </m:oMath>
      <w:r w:rsidRPr="00BC31E0">
        <w:rPr>
          <w:rFonts w:hint="eastAsia"/>
        </w:rPr>
        <w:t>を</w:t>
      </w:r>
      <w:r w:rsidRPr="00BC31E0">
        <w:rPr>
          <w:rFonts w:asciiTheme="majorEastAsia" w:eastAsiaTheme="majorEastAsia" w:hAnsiTheme="majorEastAsia" w:hint="eastAsia"/>
          <w:b/>
        </w:rPr>
        <w:t>附属書C</w:t>
      </w:r>
      <w:r w:rsidRPr="00BC31E0">
        <w:rPr>
          <w:rFonts w:hint="eastAsia"/>
        </w:rPr>
        <w:t>の</w:t>
      </w:r>
      <w:r w:rsidRPr="00BC31E0">
        <w:rPr>
          <w:rFonts w:asciiTheme="majorEastAsia" w:eastAsiaTheme="majorEastAsia" w:hAnsiTheme="majorEastAsia" w:hint="eastAsia"/>
          <w:b/>
        </w:rPr>
        <w:t>6</w:t>
      </w:r>
      <w:r w:rsidRPr="00BC31E0">
        <w:rPr>
          <w:rFonts w:hint="eastAsia"/>
        </w:rPr>
        <w:t>における破壊靱性値との相関を用いた他の試験方法から求めてもよい。母材，溶接金属，溶接の熱影響部の試験から得られた最小値を破壊力学評価で使用する</w:t>
      </w:r>
      <w:r w:rsidRPr="00BC31E0">
        <w:rPr>
          <w:rFonts w:asciiTheme="minorHAnsi" w:hAnsiTheme="minorHAnsi"/>
        </w:rPr>
        <w:t>(</w:t>
      </w:r>
      <w:r w:rsidRPr="00BC31E0">
        <w:rPr>
          <w:rFonts w:asciiTheme="majorEastAsia" w:eastAsiaTheme="majorEastAsia" w:hAnsiTheme="majorEastAsia" w:hint="eastAsia"/>
          <w:b/>
        </w:rPr>
        <w:t>5.2</w:t>
      </w:r>
      <w:r w:rsidRPr="00BC31E0">
        <w:rPr>
          <w:rFonts w:hint="eastAsia"/>
        </w:rPr>
        <w:t>を参照</w:t>
      </w:r>
      <w:r w:rsidRPr="00BC31E0">
        <w:rPr>
          <w:rFonts w:asciiTheme="minorHAnsi" w:hAnsiTheme="minorHAnsi"/>
        </w:rPr>
        <w:t>)</w:t>
      </w:r>
      <w:r w:rsidRPr="00BC31E0">
        <w:rPr>
          <w:rFonts w:hint="eastAsia"/>
        </w:rPr>
        <w:t xml:space="preserve"> </w:t>
      </w:r>
      <w:r w:rsidRPr="00BC31E0">
        <w:rPr>
          <w:rFonts w:hint="eastAsia"/>
        </w:rPr>
        <w:t>。</w:t>
      </w:r>
    </w:p>
    <w:p w14:paraId="5CB4A0C4" w14:textId="77777777" w:rsidR="00F137F4" w:rsidRPr="00BC31E0" w:rsidRDefault="00F137F4" w:rsidP="00736130">
      <w:pPr>
        <w:pStyle w:val="a4"/>
        <w:numPr>
          <w:ilvl w:val="0"/>
          <w:numId w:val="323"/>
        </w:numPr>
        <w:ind w:leftChars="0" w:left="738" w:hanging="454"/>
      </w:pPr>
      <w:r w:rsidRPr="00BC31E0">
        <w:rPr>
          <w:rFonts w:asciiTheme="majorEastAsia" w:eastAsiaTheme="majorEastAsia" w:hAnsiTheme="majorEastAsia" w:hint="eastAsia"/>
          <w:b/>
        </w:rPr>
        <w:t>表5.4.1</w:t>
      </w:r>
      <w:r w:rsidRPr="00BC31E0">
        <w:rPr>
          <w:rFonts w:hint="eastAsia"/>
        </w:rPr>
        <w:t>のアルミニウム合金には，平面ひずみ破壊靱性値の下限値を確認するために，</w:t>
      </w:r>
      <w:r w:rsidRPr="00BC31E0">
        <w:rPr>
          <w:rFonts w:asciiTheme="majorEastAsia" w:eastAsiaTheme="majorEastAsia" w:hAnsiTheme="majorEastAsia" w:hint="eastAsia"/>
          <w:b/>
        </w:rPr>
        <w:t>5.2.11</w:t>
      </w:r>
      <w:r w:rsidRPr="00BC31E0">
        <w:rPr>
          <w:rFonts w:hint="eastAsia"/>
        </w:rPr>
        <w:t>による切欠き引張試験を行う。破壊力学評価では，</w:t>
      </w:r>
      <m:oMath>
        <m:r>
          <m:rPr>
            <m:sty m:val="p"/>
          </m:rPr>
          <w:rPr>
            <w:rFonts w:ascii="Cambria Math" w:hAnsi="Cambria Math"/>
          </w:rPr>
          <m:t xml:space="preserve"> </m:t>
        </m:r>
        <m:sSub>
          <m:sSubPr>
            <m:ctrlPr>
              <w:rPr>
                <w:rFonts w:ascii="Cambria Math" w:hAnsi="Cambria Math"/>
              </w:rPr>
            </m:ctrlPr>
          </m:sSubPr>
          <m:e>
            <m:r>
              <w:rPr>
                <w:rFonts w:ascii="Cambria Math" w:hAnsi="Cambria Math"/>
              </w:rPr>
              <m:t>K</m:t>
            </m:r>
          </m:e>
          <m:sub>
            <m:r>
              <m:rPr>
                <m:sty m:val="p"/>
              </m:rPr>
              <w:rPr>
                <w:rFonts w:ascii="Cambria Math" w:hAnsi="Cambria Math"/>
                <w:vertAlign w:val="subscript"/>
              </w:rPr>
              <m:t>I</m:t>
            </m:r>
            <m:r>
              <w:rPr>
                <w:rFonts w:ascii="Cambria Math" w:hAnsi="Cambria Math"/>
                <w:vertAlign w:val="subscript"/>
              </w:rPr>
              <m:t>C</m:t>
            </m:r>
            <m:r>
              <m:rPr>
                <m:sty m:val="p"/>
              </m:rPr>
              <w:rPr>
                <w:rFonts w:ascii="Cambria Math" w:hAnsi="Cambria Math" w:hint="eastAsia"/>
                <w:vertAlign w:val="subscript"/>
              </w:rPr>
              <m:t xml:space="preserve"> </m:t>
            </m:r>
          </m:sub>
        </m:sSub>
      </m:oMath>
      <w:r w:rsidRPr="00BC31E0">
        <w:rPr>
          <w:rFonts w:hint="eastAsia"/>
        </w:rPr>
        <w:t>として</w:t>
      </w:r>
      <w:r w:rsidRPr="00BC31E0">
        <w:rPr>
          <w:rFonts w:asciiTheme="minorHAnsi" w:hAnsiTheme="minorHAnsi"/>
        </w:rPr>
        <w:t>25</w:t>
      </w:r>
      <m:oMath>
        <m:r>
          <m:rPr>
            <m:sty m:val="p"/>
          </m:rPr>
          <w:rPr>
            <w:rFonts w:ascii="Cambria Math" w:hAnsi="Cambria Math"/>
            <w:vertAlign w:val="superscript"/>
          </w:rPr>
          <m:t xml:space="preserve"> MPa</m:t>
        </m:r>
        <m:rad>
          <m:radPr>
            <m:degHide m:val="1"/>
            <m:ctrlPr>
              <w:rPr>
                <w:rFonts w:ascii="Cambria Math" w:hAnsi="Cambria Math"/>
                <w:vertAlign w:val="superscript"/>
              </w:rPr>
            </m:ctrlPr>
          </m:radPr>
          <m:deg/>
          <m:e>
            <m:r>
              <m:rPr>
                <m:sty m:val="p"/>
              </m:rPr>
              <w:rPr>
                <w:rFonts w:ascii="Cambria Math" w:hAnsi="Cambria Math"/>
                <w:vertAlign w:val="superscript"/>
              </w:rPr>
              <m:t>m</m:t>
            </m:r>
          </m:e>
        </m:rad>
        <m:r>
          <m:rPr>
            <m:sty m:val="p"/>
          </m:rPr>
          <w:rPr>
            <w:rFonts w:ascii="Cambria Math" w:hAnsi="Cambria Math"/>
            <w:vertAlign w:val="superscript"/>
          </w:rPr>
          <m:t xml:space="preserve"> </m:t>
        </m:r>
      </m:oMath>
      <w:r w:rsidRPr="00BC31E0">
        <w:rPr>
          <w:rFonts w:hint="eastAsia"/>
        </w:rPr>
        <w:t>の値を使用する。ただし，</w:t>
      </w:r>
      <w:r w:rsidRPr="00BC31E0">
        <w:rPr>
          <w:rFonts w:asciiTheme="majorEastAsia" w:eastAsiaTheme="majorEastAsia" w:hAnsiTheme="majorEastAsia" w:hint="eastAsia"/>
          <w:b/>
        </w:rPr>
        <w:t>1)</w:t>
      </w:r>
      <w:r w:rsidRPr="00BC31E0">
        <w:rPr>
          <w:rFonts w:hint="eastAsia"/>
        </w:rPr>
        <w:t>による破壊靭性試験を行えば，その値を用い</w:t>
      </w:r>
      <w:r w:rsidR="002B6AB5" w:rsidRPr="00BC31E0">
        <w:rPr>
          <w:rFonts w:hint="eastAsia"/>
        </w:rPr>
        <w:t>てもよい</w:t>
      </w:r>
      <w:r w:rsidRPr="00BC31E0">
        <w:rPr>
          <w:rFonts w:hint="eastAsia"/>
        </w:rPr>
        <w:t>。</w:t>
      </w:r>
    </w:p>
    <w:p w14:paraId="188864F5" w14:textId="77777777" w:rsidR="00F137F4" w:rsidRPr="00BC31E0" w:rsidRDefault="00F137F4" w:rsidP="00736130">
      <w:pPr>
        <w:pStyle w:val="a4"/>
        <w:numPr>
          <w:ilvl w:val="0"/>
          <w:numId w:val="322"/>
        </w:numPr>
        <w:ind w:leftChars="0" w:left="454" w:hanging="454"/>
        <w:rPr>
          <w:rFonts w:ascii="ＭＳ 明朝" w:hAnsi="ＭＳ 明朝"/>
          <w:b/>
        </w:rPr>
      </w:pPr>
      <w:r w:rsidRPr="00BC31E0">
        <w:rPr>
          <w:rFonts w:asciiTheme="majorEastAsia" w:eastAsiaTheme="majorEastAsia" w:hAnsiTheme="majorEastAsia" w:hint="eastAsia"/>
          <w:b/>
        </w:rPr>
        <w:t>水素誘起割れに対する下限界応力拡大係数</w:t>
      </w:r>
      <m:oMath>
        <m:r>
          <m:rPr>
            <m:sty m:val="b"/>
          </m:rPr>
          <w:rPr>
            <w:rFonts w:ascii="Cambria Math" w:hAnsi="Cambria Math"/>
          </w:rPr>
          <m:t xml:space="preserve"> </m:t>
        </m:r>
        <m:sSub>
          <m:sSubPr>
            <m:ctrlPr>
              <w:rPr>
                <w:rFonts w:ascii="Cambria Math" w:hAnsi="Cambria Math"/>
                <w:b/>
                <w:i/>
              </w:rPr>
            </m:ctrlPr>
          </m:sSubPr>
          <m:e>
            <m:r>
              <m:rPr>
                <m:sty m:val="bi"/>
              </m:rPr>
              <w:rPr>
                <w:rFonts w:ascii="Cambria Math" w:hAnsi="Cambria Math"/>
              </w:rPr>
              <m:t>K</m:t>
            </m:r>
          </m:e>
          <m:sub>
            <m:r>
              <m:rPr>
                <m:sty m:val="b"/>
              </m:rPr>
              <w:rPr>
                <w:rFonts w:ascii="Cambria Math" w:hAnsi="Cambria Math"/>
                <w:vertAlign w:val="subscript"/>
              </w:rPr>
              <m:t>I</m:t>
            </m:r>
            <m:r>
              <m:rPr>
                <m:sty m:val="bi"/>
              </m:rPr>
              <w:rPr>
                <w:rFonts w:ascii="Cambria Math" w:hAnsi="Cambria Math" w:hint="eastAsia"/>
                <w:vertAlign w:val="subscript"/>
              </w:rPr>
              <m:t>H</m:t>
            </m:r>
          </m:sub>
        </m:sSub>
        <m:r>
          <m:rPr>
            <m:sty m:val="bi"/>
          </m:rPr>
          <w:rPr>
            <w:rFonts w:ascii="Cambria Math" w:hAnsi="Cambria Math" w:hint="eastAsia"/>
          </w:rPr>
          <m:t xml:space="preserve"> </m:t>
        </m:r>
      </m:oMath>
      <w:r w:rsidRPr="00BC31E0">
        <w:rPr>
          <w:rFonts w:asciiTheme="majorEastAsia" w:eastAsiaTheme="majorEastAsia" w:hAnsiTheme="majorEastAsia" w:hint="eastAsia"/>
          <w:b/>
        </w:rPr>
        <w:t>の認定試験</w:t>
      </w:r>
      <w:r w:rsidRPr="00BC31E0">
        <w:rPr>
          <w:rFonts w:hint="eastAsia"/>
        </w:rPr>
        <w:t xml:space="preserve">　</w:t>
      </w:r>
      <m:oMath>
        <m:sSub>
          <m:sSubPr>
            <m:ctrlPr>
              <w:rPr>
                <w:rFonts w:ascii="Cambria Math" w:eastAsiaTheme="minorEastAsia" w:hAnsiTheme="minorHAnsi"/>
              </w:rPr>
            </m:ctrlPr>
          </m:sSubPr>
          <m:e>
            <m:r>
              <w:rPr>
                <w:rFonts w:ascii="Cambria Math" w:eastAsiaTheme="minorEastAsia" w:hAnsi="Cambria Math"/>
              </w:rPr>
              <m:t>K</m:t>
            </m:r>
          </m:e>
          <m:sub>
            <m:r>
              <m:rPr>
                <m:sty m:val="p"/>
              </m:rPr>
              <w:rPr>
                <w:rFonts w:ascii="Cambria Math" w:eastAsiaTheme="minorEastAsia" w:hAnsiTheme="minorHAnsi"/>
                <w:vertAlign w:val="subscript"/>
              </w:rPr>
              <m:t>I</m:t>
            </m:r>
            <m:r>
              <w:rPr>
                <w:rFonts w:ascii="Cambria Math" w:eastAsiaTheme="minorEastAsia" w:hAnsi="Cambria Math"/>
                <w:vertAlign w:val="subscript"/>
              </w:rPr>
              <m:t>H</m:t>
            </m:r>
            <m:r>
              <m:rPr>
                <m:sty m:val="p"/>
              </m:rPr>
              <w:rPr>
                <w:rFonts w:ascii="Cambria Math" w:eastAsiaTheme="minorEastAsia" w:hAnsiTheme="minorHAnsi"/>
                <w:vertAlign w:val="subscript"/>
              </w:rPr>
              <m:t xml:space="preserve"> </m:t>
            </m:r>
          </m:sub>
        </m:sSub>
      </m:oMath>
      <w:r w:rsidRPr="00BC31E0">
        <w:rPr>
          <w:rFonts w:asciiTheme="minorHAnsi" w:eastAsiaTheme="minorEastAsia" w:hAnsiTheme="minorEastAsia"/>
        </w:rPr>
        <w:t>の認定試験は次の</w:t>
      </w:r>
      <w:r w:rsidRPr="00BC31E0">
        <w:rPr>
          <w:rFonts w:asciiTheme="majorEastAsia" w:eastAsiaTheme="majorEastAsia" w:hAnsiTheme="majorEastAsia"/>
          <w:b/>
          <w:bCs/>
        </w:rPr>
        <w:t>1)</w:t>
      </w:r>
      <w:r w:rsidRPr="00BC31E0">
        <w:rPr>
          <w:rFonts w:asciiTheme="minorHAnsi" w:eastAsiaTheme="minorEastAsia" w:hAnsiTheme="minorEastAsia"/>
        </w:rPr>
        <w:t>，</w:t>
      </w:r>
      <w:r w:rsidRPr="00BC31E0">
        <w:rPr>
          <w:rFonts w:asciiTheme="majorEastAsia" w:eastAsiaTheme="majorEastAsia" w:hAnsiTheme="majorEastAsia"/>
          <w:b/>
          <w:bCs/>
        </w:rPr>
        <w:t>2)</w:t>
      </w:r>
      <w:r w:rsidRPr="00BC31E0">
        <w:rPr>
          <w:rFonts w:asciiTheme="minorHAnsi" w:eastAsiaTheme="minorEastAsia" w:hAnsiTheme="minorEastAsia"/>
        </w:rPr>
        <w:t>による。</w:t>
      </w:r>
    </w:p>
    <w:p w14:paraId="4395D81B" w14:textId="77777777" w:rsidR="00BB18D8" w:rsidRPr="00BC31E0" w:rsidRDefault="00F137F4" w:rsidP="00736130">
      <w:pPr>
        <w:pStyle w:val="a4"/>
        <w:numPr>
          <w:ilvl w:val="0"/>
          <w:numId w:val="324"/>
        </w:numPr>
        <w:ind w:leftChars="0" w:left="738" w:hanging="454"/>
      </w:pPr>
      <w:r w:rsidRPr="00BC31E0">
        <w:rPr>
          <w:rFonts w:hint="eastAsia"/>
        </w:rPr>
        <w:t>下限界応力拡大係数</w:t>
      </w:r>
      <m:oMath>
        <m:r>
          <m:rPr>
            <m:sty m:val="p"/>
          </m:rPr>
          <w:rPr>
            <w:rFonts w:ascii="Cambria Math" w:hAnsi="Cambria Math"/>
          </w:rPr>
          <m:t xml:space="preserve"> </m:t>
        </m:r>
        <m:sSub>
          <m:sSubPr>
            <m:ctrlPr>
              <w:rPr>
                <w:rFonts w:ascii="Cambria Math" w:hAnsi="Cambria Math"/>
              </w:rPr>
            </m:ctrlPr>
          </m:sSubPr>
          <m:e>
            <m:r>
              <w:rPr>
                <w:rFonts w:ascii="Cambria Math" w:hAnsi="Cambria Math"/>
              </w:rPr>
              <m:t>K</m:t>
            </m:r>
          </m:e>
          <m:sub>
            <m:r>
              <m:rPr>
                <m:sty m:val="p"/>
              </m:rPr>
              <w:rPr>
                <w:rFonts w:ascii="Cambria Math" w:hAnsi="Cambria Math"/>
                <w:vertAlign w:val="subscript"/>
              </w:rPr>
              <m:t>I</m:t>
            </m:r>
            <m:r>
              <w:rPr>
                <w:rFonts w:ascii="Cambria Math" w:hAnsi="Cambria Math" w:hint="eastAsia"/>
                <w:vertAlign w:val="subscript"/>
              </w:rPr>
              <m:t>H</m:t>
            </m:r>
            <m:r>
              <m:rPr>
                <m:sty m:val="p"/>
              </m:rPr>
              <w:rPr>
                <w:rFonts w:ascii="Cambria Math" w:hAnsi="Cambria Math" w:hint="eastAsia"/>
                <w:vertAlign w:val="subscript"/>
              </w:rPr>
              <m:t xml:space="preserve"> </m:t>
            </m:r>
          </m:sub>
        </m:sSub>
      </m:oMath>
      <w:r w:rsidRPr="00BC31E0">
        <w:rPr>
          <w:rFonts w:hint="eastAsia"/>
        </w:rPr>
        <w:t>は材料の各ヒートと熱処理</w:t>
      </w:r>
      <w:r w:rsidR="00A82C2A" w:rsidRPr="00BC31E0">
        <w:rPr>
          <w:rFonts w:hint="eastAsia"/>
        </w:rPr>
        <w:t>ごと</w:t>
      </w:r>
      <w:r w:rsidRPr="00BC31E0">
        <w:rPr>
          <w:rFonts w:hint="eastAsia"/>
        </w:rPr>
        <w:t>に最大板厚部から求める。試験片は，容器製作における最終熱処理条件とする。母材，溶接金属，溶接継手の熱影響部の各々に対して</w:t>
      </w:r>
      <w:r w:rsidRPr="00BC31E0">
        <w:rPr>
          <w:rFonts w:asciiTheme="majorEastAsia" w:eastAsiaTheme="majorEastAsia" w:hAnsiTheme="majorEastAsia" w:hint="eastAsia"/>
          <w:b/>
          <w:bCs/>
        </w:rPr>
        <w:t>6</w:t>
      </w:r>
      <w:r w:rsidRPr="00BC31E0">
        <w:rPr>
          <w:rFonts w:asciiTheme="majorEastAsia" w:eastAsiaTheme="majorEastAsia" w:hAnsiTheme="majorEastAsia"/>
          <w:b/>
          <w:bCs/>
        </w:rPr>
        <w:t>.13.8 b)4)</w:t>
      </w:r>
      <w:r w:rsidRPr="00BC31E0">
        <w:rPr>
          <w:rFonts w:hint="eastAsia"/>
        </w:rPr>
        <w:t>の必要本数からなる試験片のセットで試験を行う。溶接は容器製作に用いる溶接施工要領に従って溶接する。溶接施工要領を変更した場合には，溶接継手</w:t>
      </w:r>
      <w:r w:rsidRPr="00BC31E0">
        <w:rPr>
          <w:rFonts w:asciiTheme="minorHAnsi" w:hAnsiTheme="minorHAnsi"/>
        </w:rPr>
        <w:t>(</w:t>
      </w:r>
      <w:r w:rsidRPr="00BC31E0">
        <w:rPr>
          <w:rFonts w:asciiTheme="minorHAnsi"/>
        </w:rPr>
        <w:t>溶接金属と熱影響部</w:t>
      </w:r>
      <w:r w:rsidRPr="00BC31E0">
        <w:rPr>
          <w:rFonts w:asciiTheme="minorHAnsi" w:hAnsiTheme="minorHAnsi"/>
        </w:rPr>
        <w:t>)</w:t>
      </w:r>
      <w:r w:rsidRPr="00BC31E0">
        <w:rPr>
          <w:rFonts w:hint="eastAsia"/>
        </w:rPr>
        <w:t>の再試験を行う。試験片は</w:t>
      </w:r>
      <m:oMath>
        <m:r>
          <m:rPr>
            <m:sty m:val="p"/>
          </m:rPr>
          <w:rPr>
            <w:rFonts w:ascii="Cambria Math" w:hAnsi="Cambria Math" w:hint="eastAsia"/>
          </w:rPr>
          <m:t xml:space="preserve"> </m:t>
        </m:r>
        <m:r>
          <w:rPr>
            <w:rFonts w:ascii="Cambria Math" w:hAnsi="Cambria Math"/>
          </w:rPr>
          <m:t>TL</m:t>
        </m:r>
        <m:r>
          <m:rPr>
            <m:sty m:val="p"/>
          </m:rPr>
          <w:rPr>
            <w:rFonts w:ascii="Cambria Math" w:hAnsi="Cambria Math" w:hint="eastAsia"/>
          </w:rPr>
          <m:t xml:space="preserve"> </m:t>
        </m:r>
      </m:oMath>
      <w:r w:rsidRPr="00BC31E0">
        <w:rPr>
          <w:rFonts w:hint="eastAsia"/>
        </w:rPr>
        <w:t>方向で採取する。</w:t>
      </w:r>
      <m:oMath>
        <m:r>
          <m:rPr>
            <m:sty m:val="p"/>
          </m:rPr>
          <w:rPr>
            <w:rFonts w:ascii="Cambria Math" w:hAnsi="Cambria Math" w:hint="eastAsia"/>
          </w:rPr>
          <m:t xml:space="preserve"> </m:t>
        </m:r>
        <m:r>
          <w:rPr>
            <w:rFonts w:ascii="Cambria Math" w:hAnsi="Cambria Math"/>
          </w:rPr>
          <m:t>TL</m:t>
        </m:r>
        <m:r>
          <w:rPr>
            <w:rFonts w:ascii="Cambria Math" w:hAnsi="Cambria Math" w:hint="eastAsia"/>
          </w:rPr>
          <m:t xml:space="preserve"> </m:t>
        </m:r>
      </m:oMath>
      <w:r w:rsidRPr="00BC31E0">
        <w:rPr>
          <w:rFonts w:hint="eastAsia"/>
        </w:rPr>
        <w:t>方向の試験片を溶接金属や熱影響部から採取できない場合には，</w:t>
      </w:r>
      <m:oMath>
        <m:r>
          <m:rPr>
            <m:sty m:val="p"/>
          </m:rPr>
          <w:rPr>
            <w:rFonts w:ascii="Cambria Math" w:hAnsi="Cambria Math" w:hint="eastAsia"/>
          </w:rPr>
          <m:t xml:space="preserve"> </m:t>
        </m:r>
        <m:r>
          <w:rPr>
            <w:rFonts w:ascii="Cambria Math" w:hAnsi="Cambria Math"/>
          </w:rPr>
          <m:t>LT</m:t>
        </m:r>
        <m:r>
          <w:rPr>
            <w:rFonts w:ascii="Cambria Math" w:hAnsi="Cambria Math" w:hint="eastAsia"/>
          </w:rPr>
          <m:t xml:space="preserve"> </m:t>
        </m:r>
      </m:oMath>
      <w:r w:rsidRPr="00BC31E0">
        <w:rPr>
          <w:rFonts w:hint="eastAsia"/>
        </w:rPr>
        <w:t>方向の試験片を用いてよい。</w:t>
      </w:r>
      <m:oMath>
        <m:sSub>
          <m:sSubPr>
            <m:ctrlPr>
              <w:rPr>
                <w:rFonts w:ascii="Cambria Math" w:hAnsi="Cambria Math"/>
              </w:rPr>
            </m:ctrlPr>
          </m:sSubPr>
          <m:e>
            <m:r>
              <w:rPr>
                <w:rFonts w:ascii="Cambria Math" w:hAnsi="Cambria Math"/>
              </w:rPr>
              <m:t>K</m:t>
            </m:r>
          </m:e>
          <m:sub>
            <m:r>
              <m:rPr>
                <m:sty m:val="p"/>
              </m:rPr>
              <w:rPr>
                <w:rFonts w:ascii="Cambria Math" w:hAnsi="Cambria Math"/>
                <w:vertAlign w:val="subscript"/>
              </w:rPr>
              <m:t>I</m:t>
            </m:r>
            <m:r>
              <w:rPr>
                <w:rFonts w:ascii="Cambria Math" w:hAnsi="Cambria Math" w:hint="eastAsia"/>
                <w:vertAlign w:val="subscript"/>
              </w:rPr>
              <m:t>H</m:t>
            </m:r>
            <m:r>
              <m:rPr>
                <m:sty m:val="p"/>
              </m:rPr>
              <w:rPr>
                <w:rFonts w:ascii="Cambria Math" w:hAnsi="Cambria Math" w:hint="eastAsia"/>
                <w:vertAlign w:val="subscript"/>
              </w:rPr>
              <m:t xml:space="preserve"> </m:t>
            </m:r>
          </m:sub>
        </m:sSub>
        <m:r>
          <m:rPr>
            <m:sty m:val="p"/>
          </m:rPr>
          <w:rPr>
            <w:rFonts w:ascii="Cambria Math" w:hAnsi="Cambria Math" w:hint="eastAsia"/>
          </w:rPr>
          <m:t xml:space="preserve"> </m:t>
        </m:r>
      </m:oMath>
      <w:r w:rsidRPr="00BC31E0">
        <w:rPr>
          <w:rFonts w:hint="eastAsia"/>
        </w:rPr>
        <w:t>の値は</w:t>
      </w:r>
      <w:r w:rsidRPr="00BC31E0">
        <w:rPr>
          <w:rFonts w:asciiTheme="majorEastAsia" w:eastAsiaTheme="majorEastAsia" w:hAnsiTheme="majorEastAsia" w:hint="eastAsia"/>
          <w:b/>
          <w:bCs/>
        </w:rPr>
        <w:t>6.13.8</w:t>
      </w:r>
      <w:r w:rsidRPr="00BC31E0">
        <w:rPr>
          <w:rFonts w:hint="eastAsia"/>
        </w:rPr>
        <w:t>の試験方法で求め，最小値の</w:t>
      </w:r>
      <m:oMath>
        <m:sSub>
          <m:sSubPr>
            <m:ctrlPr>
              <w:rPr>
                <w:rFonts w:ascii="Cambria Math" w:hAnsi="Cambria Math"/>
              </w:rPr>
            </m:ctrlPr>
          </m:sSubPr>
          <m:e>
            <m:r>
              <w:rPr>
                <w:rFonts w:ascii="Cambria Math" w:hAnsi="Cambria Math" w:hint="eastAsia"/>
              </w:rPr>
              <m:t xml:space="preserve"> </m:t>
            </m:r>
            <m:r>
              <w:rPr>
                <w:rFonts w:ascii="Cambria Math" w:hAnsi="Cambria Math"/>
              </w:rPr>
              <m:t>K</m:t>
            </m:r>
          </m:e>
          <m:sub>
            <m:r>
              <m:rPr>
                <m:sty m:val="p"/>
              </m:rPr>
              <w:rPr>
                <w:rFonts w:ascii="Cambria Math" w:hAnsi="Cambria Math"/>
                <w:vertAlign w:val="subscript"/>
              </w:rPr>
              <m:t>I</m:t>
            </m:r>
            <m:r>
              <w:rPr>
                <w:rFonts w:ascii="Cambria Math" w:hAnsi="Cambria Math" w:hint="eastAsia"/>
                <w:vertAlign w:val="subscript"/>
              </w:rPr>
              <m:t>H</m:t>
            </m:r>
            <m:r>
              <m:rPr>
                <m:sty m:val="p"/>
              </m:rPr>
              <w:rPr>
                <w:rFonts w:ascii="Cambria Math" w:hAnsi="Cambria Math" w:hint="eastAsia"/>
                <w:vertAlign w:val="subscript"/>
              </w:rPr>
              <m:t xml:space="preserve"> </m:t>
            </m:r>
          </m:sub>
        </m:sSub>
      </m:oMath>
      <w:r w:rsidRPr="00BC31E0">
        <w:rPr>
          <w:rFonts w:hint="eastAsia"/>
        </w:rPr>
        <w:t>を破壊力学評価で使用する。</w:t>
      </w:r>
    </w:p>
    <w:p w14:paraId="66905A20" w14:textId="77777777" w:rsidR="00F137F4" w:rsidRPr="00BC31E0" w:rsidRDefault="00F137F4" w:rsidP="00736130">
      <w:pPr>
        <w:pStyle w:val="a4"/>
        <w:numPr>
          <w:ilvl w:val="0"/>
          <w:numId w:val="324"/>
        </w:numPr>
        <w:ind w:leftChars="0" w:left="738" w:hanging="454"/>
      </w:pPr>
      <w:r w:rsidRPr="00BC31E0">
        <w:rPr>
          <w:rFonts w:hint="eastAsia"/>
        </w:rPr>
        <w:t>引張強さと降伏強さが，認定試験で使用された材料の値の</w:t>
      </w:r>
      <w:r w:rsidRPr="00BC31E0">
        <w:t>5%</w:t>
      </w:r>
      <w:r w:rsidRPr="00BC31E0">
        <w:rPr>
          <w:rFonts w:hint="eastAsia"/>
        </w:rPr>
        <w:t>を超えなければ，</w:t>
      </w:r>
      <w:r w:rsidRPr="00BC31E0">
        <w:rPr>
          <w:rFonts w:asciiTheme="majorEastAsia" w:eastAsiaTheme="majorEastAsia" w:hAnsiTheme="majorEastAsia" w:hint="eastAsia"/>
          <w:b/>
        </w:rPr>
        <w:t>1)</w:t>
      </w:r>
      <w:r w:rsidRPr="00BC31E0">
        <w:rPr>
          <w:rFonts w:hint="eastAsia"/>
        </w:rPr>
        <w:t>で求めた値を，同じ公称化学成分と熱処理状態からなる，同一か類似の材料仕様又はグレードの材料で製作される他の容器に使用してもよい。溶接継手は，材料の認定に用いた溶接施工要領に合致させなければならない。</w:t>
      </w:r>
    </w:p>
    <w:p w14:paraId="4ADE610E" w14:textId="77777777" w:rsidR="00F137F4" w:rsidRPr="00BC31E0" w:rsidRDefault="00F137F4" w:rsidP="00736130">
      <w:pPr>
        <w:pStyle w:val="a4"/>
        <w:numPr>
          <w:ilvl w:val="0"/>
          <w:numId w:val="322"/>
        </w:numPr>
        <w:ind w:leftChars="0" w:left="454" w:hanging="454"/>
        <w:rPr>
          <w:rFonts w:ascii="ＭＳ 明朝" w:hAnsi="ＭＳ 明朝"/>
          <w:b/>
        </w:rPr>
      </w:pPr>
      <w:r w:rsidRPr="00BC31E0">
        <w:rPr>
          <w:rFonts w:asciiTheme="majorEastAsia" w:eastAsiaTheme="majorEastAsia" w:hAnsiTheme="majorEastAsia" w:hint="eastAsia"/>
          <w:b/>
        </w:rPr>
        <w:t>疲労亀裂進展速度</w:t>
      </w:r>
      <m:oMath>
        <m:r>
          <m:rPr>
            <m:sty m:val="p"/>
          </m:rPr>
          <w:rPr>
            <w:rFonts w:ascii="Cambria Math"/>
          </w:rPr>
          <m:t xml:space="preserve"> </m:t>
        </m:r>
        <m:f>
          <m:fPr>
            <m:type m:val="lin"/>
            <m:ctrlPr>
              <w:rPr>
                <w:rFonts w:ascii="Cambria Math" w:hAnsi="Cambria Math"/>
                <w:i/>
              </w:rPr>
            </m:ctrlPr>
          </m:fPr>
          <m:num>
            <m:r>
              <m:rPr>
                <m:sty m:val="bi"/>
              </m:rPr>
              <w:rPr>
                <w:rFonts w:ascii="Cambria Math"/>
              </w:rPr>
              <m:t>da</m:t>
            </m:r>
          </m:num>
          <m:den>
            <m:r>
              <m:rPr>
                <m:sty m:val="bi"/>
              </m:rPr>
              <w:rPr>
                <w:rFonts w:ascii="Cambria Math"/>
              </w:rPr>
              <m:t>dN</m:t>
            </m:r>
          </m:den>
        </m:f>
      </m:oMath>
      <w:r w:rsidRPr="00BC31E0">
        <w:rPr>
          <w:rFonts w:hint="eastAsia"/>
        </w:rPr>
        <w:t xml:space="preserve">　</w:t>
      </w:r>
      <w:r w:rsidRPr="00BC31E0">
        <w:rPr>
          <w:rFonts w:asciiTheme="minorHAnsi" w:eastAsiaTheme="minorEastAsia" w:hAnsiTheme="minorEastAsia"/>
        </w:rPr>
        <w:t>疲労亀裂進展速度</w:t>
      </w:r>
      <m:oMath>
        <m:f>
          <m:fPr>
            <m:type m:val="lin"/>
            <m:ctrlPr>
              <w:rPr>
                <w:rFonts w:ascii="Cambria Math" w:eastAsiaTheme="minorEastAsia" w:hAnsiTheme="minorHAnsi"/>
                <w:i/>
              </w:rPr>
            </m:ctrlPr>
          </m:fPr>
          <m:num>
            <m:r>
              <w:rPr>
                <w:rFonts w:ascii="Cambria Math" w:eastAsiaTheme="minorEastAsia" w:hAnsiTheme="minorHAnsi"/>
              </w:rPr>
              <m:t xml:space="preserve"> da</m:t>
            </m:r>
          </m:num>
          <m:den>
            <m:r>
              <w:rPr>
                <w:rFonts w:ascii="Cambria Math" w:eastAsiaTheme="minorEastAsia" w:hAnsiTheme="minorHAnsi"/>
              </w:rPr>
              <m:t xml:space="preserve">dN </m:t>
            </m:r>
          </m:den>
        </m:f>
      </m:oMath>
      <w:r w:rsidRPr="00BC31E0">
        <w:rPr>
          <w:rFonts w:asciiTheme="minorHAnsi" w:eastAsiaTheme="minorEastAsia" w:hAnsiTheme="minorEastAsia"/>
        </w:rPr>
        <w:t>は次の</w:t>
      </w:r>
      <w:r w:rsidRPr="00BC31E0">
        <w:rPr>
          <w:rFonts w:asciiTheme="majorEastAsia" w:eastAsiaTheme="majorEastAsia" w:hAnsiTheme="majorEastAsia"/>
          <w:b/>
          <w:bCs/>
        </w:rPr>
        <w:t>1)</w:t>
      </w:r>
      <w:r w:rsidRPr="00BC31E0">
        <w:rPr>
          <w:rFonts w:asciiTheme="minorHAnsi" w:eastAsiaTheme="minorEastAsia" w:hAnsiTheme="minorEastAsia"/>
        </w:rPr>
        <w:t>，</w:t>
      </w:r>
      <w:r w:rsidRPr="00BC31E0">
        <w:rPr>
          <w:rFonts w:asciiTheme="majorEastAsia" w:eastAsiaTheme="majorEastAsia" w:hAnsiTheme="majorEastAsia"/>
          <w:b/>
          <w:bCs/>
        </w:rPr>
        <w:t>2)</w:t>
      </w:r>
      <w:r w:rsidRPr="00BC31E0">
        <w:rPr>
          <w:rFonts w:asciiTheme="minorHAnsi" w:eastAsiaTheme="minorEastAsia" w:hAnsiTheme="minorEastAsia"/>
        </w:rPr>
        <w:t>による。ただし，</w:t>
      </w:r>
      <w:r w:rsidRPr="00BC31E0">
        <w:rPr>
          <w:rFonts w:asciiTheme="minorHAnsi" w:eastAsiaTheme="minorEastAsia" w:hAnsiTheme="minorHAnsi"/>
          <w:bCs/>
        </w:rPr>
        <w:t>SA-372</w:t>
      </w:r>
      <w:r w:rsidR="00241471" w:rsidRPr="00BC31E0">
        <w:rPr>
          <w:rFonts w:asciiTheme="minorHAnsi" w:eastAsiaTheme="minorEastAsia" w:hAnsiTheme="minorHAnsi" w:hint="eastAsia"/>
          <w:bCs/>
        </w:rPr>
        <w:t>M</w:t>
      </w:r>
      <w:r w:rsidRPr="00BC31E0">
        <w:rPr>
          <w:rFonts w:asciiTheme="minorHAnsi" w:eastAsiaTheme="minorEastAsia" w:hAnsiTheme="minorEastAsia"/>
        </w:rPr>
        <w:t>及び</w:t>
      </w:r>
      <w:r w:rsidRPr="00BC31E0">
        <w:rPr>
          <w:rFonts w:asciiTheme="minorHAnsi" w:eastAsiaTheme="minorEastAsia" w:hAnsiTheme="minorHAnsi"/>
          <w:bCs/>
        </w:rPr>
        <w:t>SA-723</w:t>
      </w:r>
      <w:r w:rsidR="00241471" w:rsidRPr="00BC31E0">
        <w:rPr>
          <w:rFonts w:asciiTheme="minorHAnsi" w:eastAsiaTheme="minorEastAsia" w:hAnsiTheme="minorHAnsi" w:hint="eastAsia"/>
          <w:bCs/>
        </w:rPr>
        <w:t>M</w:t>
      </w:r>
      <w:r w:rsidRPr="00BC31E0">
        <w:rPr>
          <w:rFonts w:asciiTheme="minorHAnsi" w:eastAsiaTheme="minorEastAsia" w:hAnsiTheme="minorEastAsia"/>
        </w:rPr>
        <w:t>の場合は，</w:t>
      </w:r>
      <w:r w:rsidRPr="00BC31E0">
        <w:rPr>
          <w:rFonts w:asciiTheme="majorEastAsia" w:eastAsiaTheme="majorEastAsia" w:hAnsiTheme="majorEastAsia"/>
          <w:b/>
          <w:bCs/>
        </w:rPr>
        <w:t>1)</w:t>
      </w:r>
      <w:r w:rsidRPr="00BC31E0">
        <w:rPr>
          <w:rFonts w:asciiTheme="minorHAnsi" w:eastAsiaTheme="minorEastAsia" w:hAnsiTheme="minorEastAsia"/>
        </w:rPr>
        <w:t>，</w:t>
      </w:r>
      <w:r w:rsidRPr="00BC31E0">
        <w:rPr>
          <w:rFonts w:asciiTheme="majorEastAsia" w:eastAsiaTheme="majorEastAsia" w:hAnsiTheme="majorEastAsia"/>
          <w:b/>
          <w:bCs/>
        </w:rPr>
        <w:t>2)</w:t>
      </w:r>
      <w:r w:rsidRPr="00BC31E0">
        <w:rPr>
          <w:rFonts w:asciiTheme="minorHAnsi" w:eastAsiaTheme="minorEastAsia" w:hAnsiTheme="minorEastAsia"/>
        </w:rPr>
        <w:t>の代わりに</w:t>
      </w:r>
      <w:r w:rsidRPr="00BC31E0">
        <w:rPr>
          <w:rFonts w:asciiTheme="majorEastAsia" w:eastAsiaTheme="majorEastAsia" w:hAnsiTheme="majorEastAsia"/>
          <w:b/>
          <w:bCs/>
        </w:rPr>
        <w:t>3)</w:t>
      </w:r>
      <w:r w:rsidRPr="00BC31E0">
        <w:rPr>
          <w:rFonts w:asciiTheme="minorHAnsi" w:eastAsiaTheme="minorEastAsia" w:hAnsiTheme="minorEastAsia"/>
        </w:rPr>
        <w:t>で疲労亀裂進展速度</w:t>
      </w:r>
      <m:oMath>
        <m:f>
          <m:fPr>
            <m:type m:val="lin"/>
            <m:ctrlPr>
              <w:rPr>
                <w:rFonts w:ascii="Cambria Math" w:eastAsiaTheme="minorEastAsia" w:hAnsiTheme="minorHAnsi"/>
                <w:i/>
              </w:rPr>
            </m:ctrlPr>
          </m:fPr>
          <m:num>
            <m:r>
              <w:rPr>
                <w:rFonts w:ascii="Cambria Math" w:eastAsiaTheme="minorEastAsia" w:hAnsiTheme="minorHAnsi"/>
              </w:rPr>
              <m:t xml:space="preserve"> da</m:t>
            </m:r>
          </m:num>
          <m:den>
            <m:r>
              <w:rPr>
                <w:rFonts w:ascii="Cambria Math" w:eastAsiaTheme="minorEastAsia" w:hAnsiTheme="minorHAnsi"/>
              </w:rPr>
              <m:t xml:space="preserve">dN </m:t>
            </m:r>
          </m:den>
        </m:f>
      </m:oMath>
      <w:r w:rsidRPr="00BC31E0">
        <w:rPr>
          <w:rFonts w:asciiTheme="minorHAnsi" w:eastAsiaTheme="minorEastAsia" w:hAnsiTheme="minorEastAsia"/>
        </w:rPr>
        <w:t>を求めてもよい。</w:t>
      </w:r>
    </w:p>
    <w:p w14:paraId="503E3159" w14:textId="77777777" w:rsidR="00BB18D8" w:rsidRPr="00BC31E0" w:rsidRDefault="00F137F4" w:rsidP="00736130">
      <w:pPr>
        <w:pStyle w:val="a4"/>
        <w:numPr>
          <w:ilvl w:val="0"/>
          <w:numId w:val="325"/>
        </w:numPr>
        <w:ind w:leftChars="0" w:left="738" w:hanging="454"/>
        <w:rPr>
          <w:rFonts w:ascii="ＭＳ 明朝" w:hAnsi="ＭＳ 明朝"/>
        </w:rPr>
      </w:pPr>
      <w:r w:rsidRPr="00BC31E0">
        <w:rPr>
          <w:rFonts w:ascii="ＭＳ 明朝" w:hAnsi="ＭＳ 明朝" w:hint="eastAsia"/>
        </w:rPr>
        <w:t>疲労亀裂進展則</w:t>
      </w:r>
      <m:oMath>
        <m:f>
          <m:fPr>
            <m:type m:val="lin"/>
            <m:ctrlPr>
              <w:rPr>
                <w:rFonts w:ascii="Cambria Math" w:hAnsi="Cambria Math"/>
                <w:i/>
                <w:vertAlign w:val="superscript"/>
              </w:rPr>
            </m:ctrlPr>
          </m:fPr>
          <m:num>
            <m:r>
              <w:rPr>
                <w:rFonts w:ascii="Cambria Math" w:hAnsi="Cambria Math"/>
                <w:vertAlign w:val="superscript"/>
              </w:rPr>
              <m:t>da</m:t>
            </m:r>
          </m:num>
          <m:den>
            <m:r>
              <w:rPr>
                <w:rFonts w:ascii="Cambria Math" w:hAnsi="Cambria Math"/>
                <w:vertAlign w:val="superscript"/>
              </w:rPr>
              <m:t>dN</m:t>
            </m:r>
          </m:den>
        </m:f>
        <m:r>
          <w:rPr>
            <w:rFonts w:ascii="Cambria Math" w:hAnsi="Cambria Math"/>
            <w:vertAlign w:val="superscript"/>
          </w:rPr>
          <m:t>=C</m:t>
        </m:r>
        <m:r>
          <w:rPr>
            <w:rFonts w:ascii="Cambria Math" w:hAnsi="Cambria Math" w:hint="eastAsia"/>
            <w:vertAlign w:val="superscript"/>
          </w:rPr>
          <m:t xml:space="preserve"> </m:t>
        </m:r>
        <m:sSup>
          <m:sSupPr>
            <m:ctrlPr>
              <w:rPr>
                <w:rFonts w:ascii="Cambria Math" w:hAnsi="Cambria Math"/>
                <w:i/>
                <w:vertAlign w:val="superscript"/>
              </w:rPr>
            </m:ctrlPr>
          </m:sSupPr>
          <m:e>
            <m:d>
              <m:dPr>
                <m:ctrlPr>
                  <w:rPr>
                    <w:rFonts w:ascii="Cambria Math" w:hAnsi="Cambria Math"/>
                    <w:i/>
                    <w:vertAlign w:val="superscript"/>
                  </w:rPr>
                </m:ctrlPr>
              </m:dPr>
              <m:e>
                <m:r>
                  <w:rPr>
                    <w:rFonts w:ascii="Cambria Math" w:hAnsi="Cambria Math"/>
                    <w:vertAlign w:val="superscript"/>
                  </w:rPr>
                  <m:t>∆K</m:t>
                </m:r>
              </m:e>
            </m:d>
          </m:e>
          <m:sup>
            <m:r>
              <w:rPr>
                <w:rFonts w:ascii="Cambria Math" w:hAnsi="Cambria Math"/>
                <w:vertAlign w:val="superscript"/>
              </w:rPr>
              <m:t>m</m:t>
            </m:r>
          </m:sup>
        </m:sSup>
        <m:r>
          <w:rPr>
            <w:rFonts w:ascii="Cambria Math" w:hAnsi="Cambria Math"/>
            <w:vertAlign w:val="superscript"/>
          </w:rPr>
          <m:t xml:space="preserve"> </m:t>
        </m:r>
      </m:oMath>
      <w:r w:rsidRPr="00BC31E0">
        <w:rPr>
          <w:rFonts w:ascii="ＭＳ 明朝" w:hAnsi="ＭＳ 明朝" w:hint="eastAsia"/>
        </w:rPr>
        <w:t>は，</w:t>
      </w:r>
      <w:r w:rsidRPr="00BC31E0">
        <w:rPr>
          <w:rFonts w:asciiTheme="majorEastAsia" w:eastAsiaTheme="majorEastAsia" w:hAnsiTheme="majorEastAsia" w:hint="eastAsia"/>
          <w:b/>
          <w:bCs/>
        </w:rPr>
        <w:t>6.13.</w:t>
      </w:r>
      <w:r w:rsidRPr="00BC31E0">
        <w:rPr>
          <w:rFonts w:asciiTheme="majorEastAsia" w:eastAsiaTheme="majorEastAsia" w:hAnsiTheme="majorEastAsia"/>
          <w:b/>
          <w:bCs/>
        </w:rPr>
        <w:t>9</w:t>
      </w:r>
      <w:r w:rsidRPr="00BC31E0">
        <w:rPr>
          <w:rFonts w:ascii="ＭＳ 明朝" w:hAnsi="ＭＳ 明朝" w:hint="eastAsia"/>
        </w:rPr>
        <w:t>の試験方法で求める。</w:t>
      </w:r>
      <m:oMath>
        <m:f>
          <m:fPr>
            <m:type m:val="lin"/>
            <m:ctrlPr>
              <w:rPr>
                <w:rFonts w:ascii="Cambria Math" w:hAnsi="Cambria Math"/>
                <w:i/>
              </w:rPr>
            </m:ctrlPr>
          </m:fPr>
          <m:num>
            <m:r>
              <w:rPr>
                <w:rFonts w:ascii="Cambria Math" w:hAnsi="Cambria Math"/>
              </w:rPr>
              <m:t>da</m:t>
            </m:r>
          </m:num>
          <m:den>
            <m:r>
              <w:rPr>
                <w:rFonts w:ascii="Cambria Math" w:hAnsi="Cambria Math"/>
              </w:rPr>
              <m:t xml:space="preserve">dN </m:t>
            </m:r>
          </m:den>
        </m:f>
      </m:oMath>
      <w:r w:rsidRPr="00BC31E0">
        <w:rPr>
          <w:rFonts w:ascii="ＭＳ 明朝" w:hAnsi="ＭＳ 明朝" w:hint="eastAsia"/>
        </w:rPr>
        <w:t>は材料の各ヒートと各熱処理から求める。試験片は容器製作の最終熱処理条件とする。母材及び溶接継手の溶接金属と熱影響部の各々に対して</w:t>
      </w:r>
      <w:r w:rsidRPr="00BC31E0">
        <w:rPr>
          <w:rFonts w:asciiTheme="majorEastAsia" w:eastAsiaTheme="majorEastAsia" w:hAnsiTheme="majorEastAsia" w:hint="eastAsia"/>
          <w:b/>
        </w:rPr>
        <w:t>6</w:t>
      </w:r>
      <w:r w:rsidRPr="00BC31E0">
        <w:rPr>
          <w:rFonts w:asciiTheme="majorEastAsia" w:eastAsiaTheme="majorEastAsia" w:hAnsiTheme="majorEastAsia"/>
          <w:b/>
        </w:rPr>
        <w:t>.13.9 a)2)</w:t>
      </w:r>
      <w:r w:rsidRPr="00BC31E0">
        <w:rPr>
          <w:rFonts w:ascii="ＭＳ 明朝" w:hAnsi="ＭＳ 明朝" w:hint="eastAsia"/>
        </w:rPr>
        <w:t>の必要本数からなる試験を行う。溶接継手</w:t>
      </w:r>
      <w:r w:rsidRPr="00BC31E0">
        <w:rPr>
          <w:rFonts w:asciiTheme="minorHAnsi" w:hAnsiTheme="minorHAnsi"/>
        </w:rPr>
        <w:t>(</w:t>
      </w:r>
      <w:r w:rsidRPr="00BC31E0">
        <w:rPr>
          <w:rFonts w:asciiTheme="minorHAnsi" w:hAnsi="ＭＳ 明朝"/>
        </w:rPr>
        <w:t>溶接金属と熱影響部</w:t>
      </w:r>
      <w:r w:rsidRPr="00BC31E0">
        <w:rPr>
          <w:rFonts w:asciiTheme="minorHAnsi" w:hAnsiTheme="minorHAnsi"/>
        </w:rPr>
        <w:t>)</w:t>
      </w:r>
      <w:r w:rsidRPr="00BC31E0">
        <w:rPr>
          <w:rFonts w:ascii="ＭＳ 明朝" w:hAnsi="ＭＳ 明朝" w:hint="eastAsia"/>
        </w:rPr>
        <w:t>の試験は，容器製作に使用する各溶接施工要領のデータを含めなければならない。試験片は</w:t>
      </w:r>
      <m:oMath>
        <m:r>
          <m:rPr>
            <m:sty m:val="p"/>
          </m:rPr>
          <w:rPr>
            <w:rFonts w:ascii="Cambria Math" w:hAnsi="Cambria Math" w:hint="eastAsia"/>
          </w:rPr>
          <m:t xml:space="preserve"> </m:t>
        </m:r>
        <m:r>
          <w:rPr>
            <w:rFonts w:ascii="Cambria Math" w:hAnsi="Cambria Math"/>
          </w:rPr>
          <m:t>TL</m:t>
        </m:r>
        <m:r>
          <w:rPr>
            <w:rFonts w:ascii="Cambria Math" w:hAnsi="Cambria Math" w:hint="eastAsia"/>
          </w:rPr>
          <m:t xml:space="preserve"> </m:t>
        </m:r>
      </m:oMath>
      <w:r w:rsidRPr="00BC31E0">
        <w:rPr>
          <w:rFonts w:ascii="ＭＳ 明朝" w:hAnsi="ＭＳ 明朝" w:hint="eastAsia"/>
        </w:rPr>
        <w:t>方向で採取する。</w:t>
      </w:r>
      <m:oMath>
        <m:r>
          <m:rPr>
            <m:sty m:val="p"/>
          </m:rPr>
          <w:rPr>
            <w:rFonts w:ascii="Cambria Math" w:hAnsi="Cambria Math" w:hint="eastAsia"/>
          </w:rPr>
          <m:t xml:space="preserve"> </m:t>
        </m:r>
        <m:r>
          <w:rPr>
            <w:rFonts w:ascii="Cambria Math" w:hAnsi="Cambria Math"/>
          </w:rPr>
          <m:t>TL</m:t>
        </m:r>
        <m:r>
          <w:rPr>
            <w:rFonts w:ascii="Cambria Math" w:hAnsi="Cambria Math" w:hint="eastAsia"/>
          </w:rPr>
          <m:t xml:space="preserve"> </m:t>
        </m:r>
      </m:oMath>
      <w:r w:rsidRPr="00BC31E0">
        <w:rPr>
          <w:rFonts w:ascii="ＭＳ 明朝" w:hAnsi="ＭＳ 明朝" w:hint="eastAsia"/>
        </w:rPr>
        <w:t>方向の試験片が溶接金属や熱影響部から採取できない場合は，</w:t>
      </w:r>
      <m:oMath>
        <m:r>
          <w:rPr>
            <w:rFonts w:ascii="Cambria Math" w:hAnsi="Cambria Math"/>
          </w:rPr>
          <m:t>LT</m:t>
        </m:r>
        <m:r>
          <m:rPr>
            <m:sty m:val="p"/>
          </m:rPr>
          <w:rPr>
            <w:rFonts w:ascii="Cambria Math" w:hAnsi="Cambria Math" w:hint="eastAsia"/>
          </w:rPr>
          <m:t xml:space="preserve"> </m:t>
        </m:r>
      </m:oMath>
      <w:r w:rsidRPr="00BC31E0">
        <w:rPr>
          <w:rFonts w:ascii="ＭＳ 明朝" w:hAnsi="ＭＳ 明朝" w:hint="eastAsia"/>
        </w:rPr>
        <w:t>方向の試験片を用いてよい。上限値を破壊力学評価で使用する。</w:t>
      </w:r>
    </w:p>
    <w:p w14:paraId="7CF8064F" w14:textId="77777777" w:rsidR="00BB18D8" w:rsidRPr="00BC31E0" w:rsidRDefault="00F137F4" w:rsidP="00736130">
      <w:pPr>
        <w:pStyle w:val="a4"/>
        <w:numPr>
          <w:ilvl w:val="0"/>
          <w:numId w:val="325"/>
        </w:numPr>
        <w:ind w:leftChars="0" w:left="738" w:hanging="454"/>
        <w:rPr>
          <w:rFonts w:ascii="ＭＳ 明朝" w:hAnsi="ＭＳ 明朝"/>
        </w:rPr>
      </w:pPr>
      <w:r w:rsidRPr="00BC31E0">
        <w:rPr>
          <w:rFonts w:ascii="ＭＳ 明朝" w:hAnsi="ＭＳ 明朝" w:hint="eastAsia"/>
        </w:rPr>
        <w:lastRenderedPageBreak/>
        <w:t>引張強さと降伏強さが認定試験で使用された材料の値の</w:t>
      </w:r>
      <w:r w:rsidRPr="00BC31E0">
        <w:t>5%</w:t>
      </w:r>
      <w:r w:rsidRPr="00BC31E0">
        <w:rPr>
          <w:rFonts w:ascii="ＭＳ 明朝" w:hAnsi="ＭＳ 明朝" w:hint="eastAsia"/>
        </w:rPr>
        <w:t>を超えなければ，</w:t>
      </w:r>
      <w:r w:rsidRPr="00BC31E0">
        <w:rPr>
          <w:rFonts w:asciiTheme="majorEastAsia" w:eastAsiaTheme="majorEastAsia" w:hAnsiTheme="majorEastAsia" w:hint="eastAsia"/>
          <w:b/>
        </w:rPr>
        <w:t>1)</w:t>
      </w:r>
      <w:r w:rsidRPr="00BC31E0">
        <w:rPr>
          <w:rFonts w:ascii="ＭＳ 明朝" w:hAnsi="ＭＳ 明朝" w:hint="eastAsia"/>
        </w:rPr>
        <w:t>で求めた値を，同じ公称化学成分と熱処理状態からなる，同一か類似の材料仕様又はグレードの材料で製作される他の容器に使用してもよい。溶接継手は，材料の認定に用いた溶接施工要領に合致させなければならない。</w:t>
      </w:r>
    </w:p>
    <w:p w14:paraId="521702E1" w14:textId="77777777" w:rsidR="00F137F4" w:rsidRPr="00BC31E0" w:rsidRDefault="00F137F4" w:rsidP="00736130">
      <w:pPr>
        <w:pStyle w:val="a4"/>
        <w:numPr>
          <w:ilvl w:val="0"/>
          <w:numId w:val="325"/>
        </w:numPr>
        <w:ind w:leftChars="0" w:left="738" w:hanging="454"/>
        <w:rPr>
          <w:rFonts w:ascii="ＭＳ 明朝" w:hAnsi="ＭＳ 明朝"/>
        </w:rPr>
      </w:pPr>
      <w:r w:rsidRPr="00BC31E0">
        <w:rPr>
          <w:rFonts w:asciiTheme="minorHAnsi" w:hAnsiTheme="minorHAnsi"/>
        </w:rPr>
        <w:t>SA-372</w:t>
      </w:r>
      <w:r w:rsidR="00241471" w:rsidRPr="00BC31E0">
        <w:rPr>
          <w:rFonts w:asciiTheme="minorHAnsi" w:hAnsiTheme="minorHAnsi" w:hint="eastAsia"/>
        </w:rPr>
        <w:t>M</w:t>
      </w:r>
      <w:r w:rsidRPr="00BC31E0">
        <w:rPr>
          <w:rFonts w:ascii="ＭＳ 明朝" w:hAnsi="ＭＳ 明朝" w:hint="eastAsia"/>
        </w:rPr>
        <w:t>及び</w:t>
      </w:r>
      <w:r w:rsidRPr="00BC31E0">
        <w:rPr>
          <w:rFonts w:asciiTheme="minorHAnsi" w:hAnsiTheme="minorHAnsi"/>
        </w:rPr>
        <w:t>SA-723</w:t>
      </w:r>
      <w:r w:rsidR="00241471" w:rsidRPr="00BC31E0">
        <w:rPr>
          <w:rFonts w:asciiTheme="minorHAnsi" w:hAnsiTheme="minorHAnsi" w:hint="eastAsia"/>
        </w:rPr>
        <w:t>M</w:t>
      </w:r>
      <w:r w:rsidRPr="00BC31E0">
        <w:rPr>
          <w:rFonts w:ascii="ＭＳ 明朝" w:hAnsi="ＭＳ 明朝" w:hint="eastAsia"/>
        </w:rPr>
        <w:t>の場合は，</w:t>
      </w:r>
      <w:r w:rsidRPr="00BC31E0">
        <w:rPr>
          <w:rFonts w:asciiTheme="majorEastAsia" w:eastAsiaTheme="majorEastAsia" w:hAnsiTheme="majorEastAsia" w:hint="eastAsia"/>
          <w:b/>
        </w:rPr>
        <w:t>6.13.1</w:t>
      </w:r>
      <w:r w:rsidRPr="00BC31E0">
        <w:rPr>
          <w:rFonts w:asciiTheme="majorEastAsia" w:eastAsiaTheme="majorEastAsia" w:hAnsiTheme="majorEastAsia"/>
          <w:b/>
        </w:rPr>
        <w:t>0</w:t>
      </w:r>
      <w:r w:rsidRPr="00BC31E0">
        <w:rPr>
          <w:rFonts w:ascii="ＭＳ 明朝" w:hAnsi="ＭＳ 明朝" w:hint="eastAsia"/>
        </w:rPr>
        <w:t>に規定する疲労亀裂進展速度を適用してもよい。</w:t>
      </w:r>
    </w:p>
    <w:p w14:paraId="57D64715" w14:textId="77777777" w:rsidR="00F137F4" w:rsidRPr="00BC31E0" w:rsidRDefault="009D6C05" w:rsidP="00D807D7">
      <w:pPr>
        <w:pStyle w:val="3"/>
        <w:tabs>
          <w:tab w:val="clear" w:pos="284"/>
        </w:tabs>
        <w:ind w:left="794" w:hanging="794"/>
      </w:pPr>
      <w:r w:rsidRPr="00BC31E0">
        <w:rPr>
          <w:rFonts w:hint="eastAsia"/>
        </w:rPr>
        <w:t xml:space="preserve"> </w:t>
      </w:r>
      <w:r w:rsidR="00F137F4" w:rsidRPr="00BC31E0">
        <w:rPr>
          <w:rFonts w:hint="eastAsia"/>
        </w:rPr>
        <w:t>水素誘起割れに対する下限界応力拡大係数</w:t>
      </w:r>
      <m:oMath>
        <m:r>
          <m:rPr>
            <m:sty m:val="b"/>
          </m:rPr>
          <w:rPr>
            <w:rFonts w:ascii="Cambria Math" w:hAnsi="Cambria Math"/>
          </w:rPr>
          <m:t xml:space="preserve"> </m:t>
        </m:r>
        <m:sSub>
          <m:sSubPr>
            <m:ctrlPr>
              <w:rPr>
                <w:rFonts w:ascii="Cambria Math" w:hAnsi="Cambria Math"/>
                <w:i/>
              </w:rPr>
            </m:ctrlPr>
          </m:sSubPr>
          <m:e>
            <m:r>
              <m:rPr>
                <m:sty m:val="bi"/>
              </m:rPr>
              <w:rPr>
                <w:rFonts w:ascii="Cambria Math" w:hAnsi="Cambria Math"/>
              </w:rPr>
              <m:t>K</m:t>
            </m:r>
          </m:e>
          <m:sub>
            <m:r>
              <m:rPr>
                <m:sty m:val="b"/>
              </m:rPr>
              <w:rPr>
                <w:rFonts w:ascii="Cambria Math" w:hAnsi="Cambria Math"/>
                <w:vertAlign w:val="subscript"/>
              </w:rPr>
              <m:t>I</m:t>
            </m:r>
            <m:r>
              <m:rPr>
                <m:sty m:val="bi"/>
              </m:rPr>
              <w:rPr>
                <w:rFonts w:ascii="Cambria Math" w:hAnsi="Cambria Math" w:hint="eastAsia"/>
                <w:vertAlign w:val="subscript"/>
              </w:rPr>
              <m:t>H</m:t>
            </m:r>
          </m:sub>
        </m:sSub>
        <m:r>
          <m:rPr>
            <m:sty m:val="bi"/>
          </m:rPr>
          <w:rPr>
            <w:rFonts w:ascii="Cambria Math" w:hAnsi="Cambria Math" w:hint="eastAsia"/>
          </w:rPr>
          <m:t xml:space="preserve"> </m:t>
        </m:r>
      </m:oMath>
      <w:r w:rsidR="00F137F4" w:rsidRPr="00BC31E0">
        <w:rPr>
          <w:rFonts w:hint="eastAsia"/>
        </w:rPr>
        <w:t>決定の試験方法</w:t>
      </w:r>
      <w:r w:rsidR="000E1A2F" w:rsidRPr="00BC31E0">
        <w:rPr>
          <w:rFonts w:asciiTheme="majorEastAsia" w:eastAsiaTheme="majorEastAsia" w:hAnsiTheme="majorEastAsia" w:hint="eastAsia"/>
          <w:vertAlign w:val="superscript"/>
        </w:rPr>
        <w:t>1</w:t>
      </w:r>
      <w:r w:rsidR="000E1A2F" w:rsidRPr="00BC31E0">
        <w:rPr>
          <w:rFonts w:asciiTheme="majorEastAsia" w:eastAsiaTheme="majorEastAsia" w:hAnsiTheme="majorEastAsia"/>
          <w:vertAlign w:val="superscript"/>
        </w:rPr>
        <w:t>)</w:t>
      </w:r>
    </w:p>
    <w:p w14:paraId="5271C632" w14:textId="77777777" w:rsidR="00F137F4" w:rsidRPr="00BC31E0" w:rsidRDefault="00F137F4" w:rsidP="00736130">
      <w:pPr>
        <w:pStyle w:val="a4"/>
        <w:numPr>
          <w:ilvl w:val="0"/>
          <w:numId w:val="326"/>
        </w:numPr>
        <w:ind w:leftChars="0" w:left="454" w:hanging="454"/>
        <w:rPr>
          <w:rFonts w:ascii="ＭＳ 明朝" w:hAnsi="ＭＳ 明朝"/>
          <w:bCs/>
        </w:rPr>
      </w:pPr>
      <w:r w:rsidRPr="00BC31E0">
        <w:rPr>
          <w:rFonts w:asciiTheme="majorEastAsia" w:eastAsiaTheme="majorEastAsia" w:hAnsiTheme="majorEastAsia" w:hint="eastAsia"/>
          <w:b/>
        </w:rPr>
        <w:t>一般</w:t>
      </w:r>
      <w:r w:rsidRPr="00BC31E0">
        <w:rPr>
          <w:rFonts w:hint="eastAsia"/>
        </w:rPr>
        <w:t xml:space="preserve">　</w:t>
      </w:r>
      <m:oMath>
        <m:sSub>
          <m:sSubPr>
            <m:ctrlPr>
              <w:rPr>
                <w:rFonts w:ascii="Cambria Math" w:eastAsiaTheme="minorEastAsia" w:hAnsiTheme="minorHAnsi"/>
                <w:bCs/>
                <w:i/>
              </w:rPr>
            </m:ctrlPr>
          </m:sSubPr>
          <m:e>
            <m:r>
              <w:rPr>
                <w:rFonts w:ascii="Cambria Math" w:eastAsiaTheme="minorEastAsia" w:hAnsi="Cambria Math"/>
              </w:rPr>
              <m:t>K</m:t>
            </m:r>
          </m:e>
          <m:sub>
            <m:r>
              <m:rPr>
                <m:sty m:val="p"/>
              </m:rPr>
              <w:rPr>
                <w:rFonts w:ascii="Cambria Math" w:eastAsiaTheme="minorEastAsia" w:hAnsiTheme="minorHAnsi"/>
              </w:rPr>
              <m:t>I</m:t>
            </m:r>
            <m:r>
              <w:rPr>
                <w:rFonts w:ascii="Cambria Math" w:eastAsiaTheme="minorEastAsia" w:hAnsi="Cambria Math"/>
              </w:rPr>
              <m:t>H</m:t>
            </m:r>
            <m:r>
              <w:rPr>
                <w:rFonts w:ascii="Cambria Math" w:eastAsiaTheme="minorEastAsia" w:hAnsiTheme="minorHAnsi"/>
              </w:rPr>
              <m:t xml:space="preserve"> </m:t>
            </m:r>
          </m:sub>
        </m:sSub>
        <m:r>
          <w:rPr>
            <w:rFonts w:ascii="Cambria Math" w:eastAsiaTheme="minorEastAsia" w:hAnsiTheme="minorHAnsi" w:hint="eastAsia"/>
          </w:rPr>
          <m:t xml:space="preserve"> </m:t>
        </m:r>
      </m:oMath>
      <w:r w:rsidRPr="00BC31E0">
        <w:rPr>
          <w:rFonts w:asciiTheme="minorHAnsi" w:eastAsiaTheme="minorEastAsia" w:hAnsiTheme="minorEastAsia"/>
          <w:bCs/>
        </w:rPr>
        <w:t>は，次の</w:t>
      </w:r>
      <w:r w:rsidRPr="00BC31E0">
        <w:rPr>
          <w:rFonts w:asciiTheme="majorEastAsia" w:eastAsiaTheme="majorEastAsia" w:hAnsiTheme="majorEastAsia"/>
          <w:b/>
        </w:rPr>
        <w:t>1)</w:t>
      </w:r>
      <w:r w:rsidRPr="00BC31E0">
        <w:rPr>
          <w:rFonts w:asciiTheme="minorHAnsi" w:eastAsiaTheme="minorEastAsia" w:hAnsiTheme="minorEastAsia"/>
          <w:bCs/>
        </w:rPr>
        <w:t>～</w:t>
      </w:r>
      <w:r w:rsidRPr="00BC31E0">
        <w:rPr>
          <w:rFonts w:asciiTheme="majorEastAsia" w:eastAsiaTheme="majorEastAsia" w:hAnsiTheme="majorEastAsia"/>
          <w:b/>
        </w:rPr>
        <w:t>3)</w:t>
      </w:r>
      <w:r w:rsidRPr="00BC31E0">
        <w:rPr>
          <w:rFonts w:asciiTheme="minorHAnsi" w:eastAsiaTheme="minorEastAsia" w:hAnsiTheme="minorEastAsia"/>
          <w:bCs/>
        </w:rPr>
        <w:t>による。</w:t>
      </w:r>
    </w:p>
    <w:p w14:paraId="71CD56A2" w14:textId="77777777" w:rsidR="009D6C05" w:rsidRPr="00BC31E0" w:rsidRDefault="00F137F4" w:rsidP="00736130">
      <w:pPr>
        <w:pStyle w:val="a4"/>
        <w:numPr>
          <w:ilvl w:val="0"/>
          <w:numId w:val="327"/>
        </w:numPr>
        <w:ind w:leftChars="0" w:left="738" w:hanging="454"/>
      </w:pPr>
      <w:r w:rsidRPr="00BC31E0">
        <w:rPr>
          <w:rFonts w:hint="eastAsia"/>
        </w:rPr>
        <w:t>試験はライジングロード試験とし，</w:t>
      </w:r>
      <w:r w:rsidRPr="00BC31E0">
        <w:rPr>
          <w:rFonts w:asciiTheme="majorEastAsia" w:eastAsiaTheme="majorEastAsia" w:hAnsiTheme="majorEastAsia" w:hint="eastAsia"/>
          <w:b/>
          <w:bCs/>
        </w:rPr>
        <w:t>ASTM E1820</w:t>
      </w:r>
      <w:r w:rsidRPr="00BC31E0">
        <w:rPr>
          <w:rFonts w:hint="eastAsia"/>
        </w:rPr>
        <w:t>及びこの規格の追加要求に従う。</w:t>
      </w:r>
    </w:p>
    <w:p w14:paraId="6D818953" w14:textId="77777777" w:rsidR="009D6C05" w:rsidRPr="00BC31E0" w:rsidRDefault="00F137F4" w:rsidP="00736130">
      <w:pPr>
        <w:pStyle w:val="a4"/>
        <w:numPr>
          <w:ilvl w:val="0"/>
          <w:numId w:val="327"/>
        </w:numPr>
        <w:ind w:leftChars="0" w:left="738" w:hanging="454"/>
      </w:pPr>
      <w:r w:rsidRPr="00BC31E0">
        <w:rPr>
          <w:rFonts w:hint="eastAsia"/>
        </w:rPr>
        <w:t>試験は大気環境及び水素ガス環境で行い，それぞれから得られる荷重－亀裂開口変位曲線を比較して水素誘起割れの進展開始荷重を決定する。</w:t>
      </w:r>
    </w:p>
    <w:p w14:paraId="1D7E1463" w14:textId="77777777" w:rsidR="00F137F4" w:rsidRPr="00BC31E0" w:rsidRDefault="00F137F4" w:rsidP="00736130">
      <w:pPr>
        <w:pStyle w:val="a4"/>
        <w:numPr>
          <w:ilvl w:val="0"/>
          <w:numId w:val="327"/>
        </w:numPr>
        <w:ind w:leftChars="0" w:left="738" w:hanging="454"/>
      </w:pPr>
      <w:r w:rsidRPr="00BC31E0">
        <w:rPr>
          <w:rFonts w:hint="eastAsia"/>
        </w:rPr>
        <w:t>水素誘起割れの進展開始荷重と測定した亀裂長さから</w:t>
      </w:r>
      <m:oMath>
        <m:r>
          <m:rPr>
            <m:sty m:val="p"/>
          </m:rPr>
          <w:rPr>
            <w:rFonts w:ascii="Cambria Math" w:hAnsi="Cambria Math" w:hint="eastAsia"/>
          </w:rPr>
          <m:t xml:space="preserve"> </m:t>
        </m:r>
        <m:sSub>
          <m:sSubPr>
            <m:ctrlPr>
              <w:rPr>
                <w:rFonts w:ascii="Cambria Math" w:hAnsi="Cambria Math"/>
              </w:rPr>
            </m:ctrlPr>
          </m:sSubPr>
          <m:e>
            <m:r>
              <w:rPr>
                <w:rFonts w:ascii="Cambria Math" w:hAnsi="Cambria Math"/>
              </w:rPr>
              <m:t>K</m:t>
            </m:r>
          </m:e>
          <m:sub>
            <m:r>
              <m:rPr>
                <m:sty m:val="p"/>
              </m:rPr>
              <w:rPr>
                <w:rFonts w:ascii="Cambria Math" w:hAnsi="Cambria Math"/>
                <w:vertAlign w:val="subscript"/>
              </w:rPr>
              <m:t>I</m:t>
            </m:r>
            <m:r>
              <w:rPr>
                <w:rFonts w:ascii="Cambria Math" w:hAnsi="Cambria Math" w:hint="eastAsia"/>
                <w:vertAlign w:val="subscript"/>
              </w:rPr>
              <m:t>H</m:t>
            </m:r>
            <m:r>
              <m:rPr>
                <m:sty m:val="p"/>
              </m:rPr>
              <w:rPr>
                <w:rFonts w:ascii="Cambria Math" w:hAnsi="Cambria Math" w:hint="eastAsia"/>
                <w:vertAlign w:val="subscript"/>
              </w:rPr>
              <m:t xml:space="preserve"> </m:t>
            </m:r>
          </m:sub>
        </m:sSub>
      </m:oMath>
      <w:r w:rsidRPr="00BC31E0">
        <w:rPr>
          <w:rFonts w:hint="eastAsia"/>
        </w:rPr>
        <w:t>を算出する。</w:t>
      </w:r>
    </w:p>
    <w:p w14:paraId="08E0EEB6" w14:textId="77777777" w:rsidR="00F137F4" w:rsidRPr="00BC31E0" w:rsidRDefault="00F137F4" w:rsidP="00736130">
      <w:pPr>
        <w:pStyle w:val="a4"/>
        <w:numPr>
          <w:ilvl w:val="0"/>
          <w:numId w:val="328"/>
        </w:numPr>
        <w:ind w:leftChars="0" w:left="454" w:hanging="454"/>
        <w:rPr>
          <w:rFonts w:hAnsi="ＭＳ 明朝"/>
        </w:rPr>
      </w:pPr>
      <w:r w:rsidRPr="00BC31E0">
        <w:rPr>
          <w:rFonts w:asciiTheme="majorEastAsia" w:eastAsiaTheme="majorEastAsia" w:hAnsiTheme="majorEastAsia" w:hint="eastAsia"/>
          <w:b/>
        </w:rPr>
        <w:t>試験片形状と試験片本数</w:t>
      </w:r>
      <w:r w:rsidRPr="00BC31E0">
        <w:rPr>
          <w:rFonts w:hint="eastAsia"/>
        </w:rPr>
        <w:t xml:space="preserve">　</w:t>
      </w:r>
      <w:r w:rsidRPr="00BC31E0">
        <w:rPr>
          <w:rFonts w:hAnsi="ＭＳ 明朝" w:hint="eastAsia"/>
        </w:rPr>
        <w:t>試験片の形状と本数は，次の</w:t>
      </w:r>
      <w:r w:rsidRPr="00BC31E0">
        <w:rPr>
          <w:rFonts w:asciiTheme="majorEastAsia" w:eastAsiaTheme="majorEastAsia" w:hAnsiTheme="majorEastAsia" w:hint="eastAsia"/>
          <w:b/>
        </w:rPr>
        <w:t>1)</w:t>
      </w:r>
      <w:r w:rsidRPr="00BC31E0">
        <w:rPr>
          <w:rFonts w:hAnsi="ＭＳ 明朝" w:hint="eastAsia"/>
        </w:rPr>
        <w:t>～</w:t>
      </w:r>
      <w:r w:rsidRPr="00BC31E0">
        <w:rPr>
          <w:rFonts w:asciiTheme="majorEastAsia" w:eastAsiaTheme="majorEastAsia" w:hAnsiTheme="majorEastAsia" w:hint="eastAsia"/>
          <w:b/>
        </w:rPr>
        <w:t>4)</w:t>
      </w:r>
      <w:r w:rsidRPr="00BC31E0">
        <w:rPr>
          <w:rFonts w:hAnsi="ＭＳ 明朝" w:hint="eastAsia"/>
        </w:rPr>
        <w:t>による。</w:t>
      </w:r>
    </w:p>
    <w:p w14:paraId="3832804E" w14:textId="77777777" w:rsidR="00B84DB3" w:rsidRPr="00BC31E0" w:rsidRDefault="00F137F4" w:rsidP="00736130">
      <w:pPr>
        <w:pStyle w:val="a4"/>
        <w:numPr>
          <w:ilvl w:val="0"/>
          <w:numId w:val="329"/>
        </w:numPr>
        <w:ind w:leftChars="0" w:left="738" w:hanging="454"/>
      </w:pPr>
      <w:r w:rsidRPr="00BC31E0">
        <w:rPr>
          <w:rFonts w:hint="eastAsia"/>
        </w:rPr>
        <w:t>試験片の形状は，</w:t>
      </w:r>
      <w:r w:rsidRPr="00BC31E0">
        <w:rPr>
          <w:rFonts w:asciiTheme="majorEastAsia" w:eastAsiaTheme="majorEastAsia" w:hAnsiTheme="majorEastAsia" w:hint="eastAsia"/>
          <w:b/>
          <w:bCs/>
        </w:rPr>
        <w:t>ASTM E1820 Fig.A2.1</w:t>
      </w:r>
      <w:r w:rsidRPr="00BC31E0">
        <w:rPr>
          <w:rFonts w:hint="eastAsia"/>
        </w:rPr>
        <w:t>に規定するコンパクト試験片とする。試験片には大気中で</w:t>
      </w:r>
      <m:oMath>
        <m:r>
          <m:rPr>
            <m:sty m:val="p"/>
          </m:rP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hint="eastAsia"/>
          </w:rPr>
          <m:t xml:space="preserve">/W </m:t>
        </m:r>
      </m:oMath>
      <w:r w:rsidRPr="00BC31E0">
        <w:rPr>
          <w:rFonts w:asciiTheme="minorHAnsi" w:hAnsiTheme="minorHAnsi" w:hint="eastAsia"/>
        </w:rPr>
        <w:t>(</w:t>
      </w:r>
      <w:r w:rsidRPr="00BC31E0">
        <w:rPr>
          <w:rFonts w:asciiTheme="minorHAnsi" w:hAnsiTheme="minorHAnsi" w:hint="eastAsia"/>
        </w:rPr>
        <w:t>亀裂深さ／試験片幅</w:t>
      </w:r>
      <w:r w:rsidRPr="00BC31E0">
        <w:rPr>
          <w:rFonts w:asciiTheme="minorHAnsi" w:hAnsiTheme="minorHAnsi" w:hint="eastAsia"/>
        </w:rPr>
        <w:t>)</w:t>
      </w:r>
      <m:oMath>
        <m:r>
          <m:rPr>
            <m:sty m:val="p"/>
          </m:rPr>
          <w:rPr>
            <w:rFonts w:ascii="Cambria Math" w:hAnsi="Cambria Math"/>
          </w:rPr>
          <m:t>=0.5±0.05</m:t>
        </m:r>
        <m:r>
          <m:rPr>
            <m:sty m:val="p"/>
          </m:rPr>
          <w:rPr>
            <w:rFonts w:ascii="Cambria Math" w:hAnsi="Cambria Math" w:hint="eastAsia"/>
          </w:rPr>
          <m:t xml:space="preserve"> </m:t>
        </m:r>
      </m:oMath>
      <w:r w:rsidRPr="00BC31E0">
        <w:rPr>
          <w:rFonts w:hint="eastAsia"/>
        </w:rPr>
        <w:t>の範囲の疲労予亀裂を導入する。</w:t>
      </w:r>
    </w:p>
    <w:p w14:paraId="0470EF0E" w14:textId="77777777" w:rsidR="00B84DB3" w:rsidRPr="00BC31E0" w:rsidRDefault="00F137F4" w:rsidP="00736130">
      <w:pPr>
        <w:pStyle w:val="a4"/>
        <w:numPr>
          <w:ilvl w:val="0"/>
          <w:numId w:val="329"/>
        </w:numPr>
        <w:ind w:leftChars="0" w:left="738" w:hanging="454"/>
      </w:pPr>
      <w:r w:rsidRPr="00BC31E0">
        <w:rPr>
          <w:rFonts w:hint="eastAsia"/>
        </w:rPr>
        <w:t>試験片は，圧縮水素用の設備の最終形状又は最終形状と同等の形状の試験体の内面近傍から採取する。円筒形状の試験体から採取する試験片の採取方向は，</w:t>
      </w:r>
      <w:r w:rsidRPr="00BC31E0">
        <w:rPr>
          <w:rFonts w:asciiTheme="majorEastAsia" w:eastAsiaTheme="majorEastAsia" w:hAnsiTheme="majorEastAsia" w:hint="eastAsia"/>
          <w:b/>
        </w:rPr>
        <w:t>ASTM E399</w:t>
      </w:r>
      <w:r w:rsidRPr="00BC31E0">
        <w:rPr>
          <w:rFonts w:hint="eastAsia"/>
        </w:rPr>
        <w:t>に示すように</w:t>
      </w:r>
      <m:oMath>
        <m:r>
          <m:rPr>
            <m:sty m:val="p"/>
          </m:rPr>
          <w:rPr>
            <w:rFonts w:ascii="Cambria Math" w:hAnsi="Cambria Math" w:hint="eastAsia"/>
          </w:rPr>
          <m:t xml:space="preserve"> </m:t>
        </m:r>
        <m:r>
          <w:rPr>
            <w:rFonts w:ascii="Cambria Math" w:hAnsi="Cambria Math"/>
          </w:rPr>
          <m:t>TL</m:t>
        </m:r>
        <m:r>
          <w:rPr>
            <w:rFonts w:ascii="Cambria Math" w:hAnsi="Cambria Math" w:hint="eastAsia"/>
          </w:rPr>
          <m:t xml:space="preserve"> </m:t>
        </m:r>
      </m:oMath>
      <w:r w:rsidRPr="00BC31E0">
        <w:rPr>
          <w:rFonts w:hint="eastAsia"/>
        </w:rPr>
        <w:t>方向とする。</w:t>
      </w:r>
      <m:oMath>
        <m:r>
          <w:rPr>
            <w:rFonts w:ascii="Cambria Math" w:hAnsi="Cambria Math"/>
          </w:rPr>
          <m:t>TL</m:t>
        </m:r>
        <m:r>
          <m:rPr>
            <m:sty m:val="p"/>
          </m:rPr>
          <w:rPr>
            <w:rFonts w:ascii="Cambria Math" w:hAnsi="Cambria Math" w:hint="eastAsia"/>
          </w:rPr>
          <m:t xml:space="preserve"> </m:t>
        </m:r>
      </m:oMath>
      <w:r w:rsidRPr="00BC31E0">
        <w:rPr>
          <w:rFonts w:hint="eastAsia"/>
        </w:rPr>
        <w:t>方向の試験片を溶接金属や熱影響部から採取できない場合には，</w:t>
      </w:r>
      <m:oMath>
        <m:r>
          <w:rPr>
            <w:rFonts w:ascii="Cambria Math" w:hAnsi="Cambria Math"/>
          </w:rPr>
          <m:t>LT</m:t>
        </m:r>
        <m:r>
          <m:rPr>
            <m:sty m:val="p"/>
          </m:rPr>
          <w:rPr>
            <w:rFonts w:ascii="Cambria Math" w:hAnsi="Cambria Math" w:hint="eastAsia"/>
          </w:rPr>
          <m:t xml:space="preserve"> </m:t>
        </m:r>
      </m:oMath>
      <w:r w:rsidRPr="00BC31E0">
        <w:rPr>
          <w:rFonts w:hint="eastAsia"/>
        </w:rPr>
        <w:t>方向の試験片を用いてよい。溶接金属の試験では，材料表面に対して垂直に，切欠きを溶接部の幅の中央に機械で加工する。熱影響部の試験では，切欠きは材料表面に対してほぼ垂直に機械で加工し，破断部が熱影響部となるように予亀裂を位置させる。</w:t>
      </w:r>
    </w:p>
    <w:p w14:paraId="7B8FA0D5" w14:textId="77777777" w:rsidR="00B84DB3" w:rsidRPr="00BC31E0" w:rsidRDefault="00F137F4" w:rsidP="00736130">
      <w:pPr>
        <w:pStyle w:val="a4"/>
        <w:numPr>
          <w:ilvl w:val="0"/>
          <w:numId w:val="329"/>
        </w:numPr>
        <w:ind w:leftChars="0" w:left="738" w:hanging="454"/>
      </w:pPr>
      <w:r w:rsidRPr="00BC31E0">
        <w:rPr>
          <w:rFonts w:hint="eastAsia"/>
        </w:rPr>
        <w:t>試験片には，亀裂開口変位を測定するために溝を設け，クリップゲージを装着する。</w:t>
      </w:r>
    </w:p>
    <w:p w14:paraId="501A06C9" w14:textId="77777777" w:rsidR="00F137F4" w:rsidRPr="00BC31E0" w:rsidRDefault="00F137F4" w:rsidP="00736130">
      <w:pPr>
        <w:pStyle w:val="a4"/>
        <w:numPr>
          <w:ilvl w:val="0"/>
          <w:numId w:val="329"/>
        </w:numPr>
        <w:ind w:leftChars="0" w:left="738" w:hanging="454"/>
      </w:pPr>
      <w:r w:rsidRPr="00BC31E0">
        <w:rPr>
          <w:rFonts w:hint="eastAsia"/>
        </w:rPr>
        <w:t>試験片の数は，大気環境が</w:t>
      </w:r>
      <w:r w:rsidRPr="00BC31E0">
        <w:t>1</w:t>
      </w:r>
      <w:r w:rsidRPr="00BC31E0">
        <w:rPr>
          <w:rFonts w:hint="eastAsia"/>
        </w:rPr>
        <w:t>本，水素ガス環境が</w:t>
      </w:r>
      <w:r w:rsidRPr="00BC31E0">
        <w:t>3</w:t>
      </w:r>
      <w:r w:rsidRPr="00BC31E0">
        <w:rPr>
          <w:rFonts w:hint="eastAsia"/>
        </w:rPr>
        <w:t>本とする。</w:t>
      </w:r>
    </w:p>
    <w:p w14:paraId="11832D28" w14:textId="77777777" w:rsidR="00F137F4" w:rsidRPr="00BC31E0" w:rsidRDefault="00F137F4" w:rsidP="00736130">
      <w:pPr>
        <w:pStyle w:val="a4"/>
        <w:numPr>
          <w:ilvl w:val="0"/>
          <w:numId w:val="330"/>
        </w:numPr>
        <w:ind w:leftChars="0" w:left="454" w:hanging="454"/>
        <w:rPr>
          <w:rFonts w:hAnsi="ＭＳ 明朝"/>
        </w:rPr>
      </w:pPr>
      <w:r w:rsidRPr="00BC31E0">
        <w:rPr>
          <w:rFonts w:asciiTheme="majorEastAsia" w:eastAsiaTheme="majorEastAsia" w:hAnsiTheme="majorEastAsia" w:hint="eastAsia"/>
          <w:b/>
        </w:rPr>
        <w:t>試験要領</w:t>
      </w:r>
      <w:r w:rsidRPr="00BC31E0">
        <w:rPr>
          <w:rFonts w:hint="eastAsia"/>
        </w:rPr>
        <w:t xml:space="preserve">　</w:t>
      </w:r>
      <w:r w:rsidRPr="00BC31E0">
        <w:rPr>
          <w:rFonts w:hAnsi="ＭＳ 明朝" w:hint="eastAsia"/>
        </w:rPr>
        <w:t>試験要領は，次の</w:t>
      </w:r>
      <w:r w:rsidRPr="00BC31E0">
        <w:rPr>
          <w:rFonts w:asciiTheme="majorEastAsia" w:eastAsiaTheme="majorEastAsia" w:hAnsiTheme="majorEastAsia" w:hint="eastAsia"/>
          <w:b/>
        </w:rPr>
        <w:t>1)</w:t>
      </w:r>
      <w:r w:rsidRPr="00BC31E0">
        <w:rPr>
          <w:rFonts w:hAnsi="ＭＳ 明朝" w:hint="eastAsia"/>
        </w:rPr>
        <w:t>～</w:t>
      </w:r>
      <w:r w:rsidR="003D7D91" w:rsidRPr="00BC31E0">
        <w:rPr>
          <w:rFonts w:asciiTheme="majorEastAsia" w:eastAsiaTheme="majorEastAsia" w:hAnsiTheme="majorEastAsia" w:hint="eastAsia"/>
          <w:b/>
        </w:rPr>
        <w:t>5</w:t>
      </w:r>
      <w:r w:rsidRPr="00BC31E0">
        <w:rPr>
          <w:rFonts w:asciiTheme="majorEastAsia" w:eastAsiaTheme="majorEastAsia" w:hAnsiTheme="majorEastAsia" w:hint="eastAsia"/>
          <w:b/>
        </w:rPr>
        <w:t>)</w:t>
      </w:r>
      <w:r w:rsidRPr="00BC31E0">
        <w:rPr>
          <w:rFonts w:hAnsi="ＭＳ 明朝" w:hint="eastAsia"/>
        </w:rPr>
        <w:t>による。</w:t>
      </w:r>
    </w:p>
    <w:p w14:paraId="70680CBA" w14:textId="77777777" w:rsidR="00206CA2" w:rsidRPr="00BC31E0" w:rsidRDefault="00F137F4" w:rsidP="00736130">
      <w:pPr>
        <w:pStyle w:val="a4"/>
        <w:numPr>
          <w:ilvl w:val="0"/>
          <w:numId w:val="465"/>
        </w:numPr>
        <w:ind w:leftChars="0" w:left="738" w:hanging="454"/>
      </w:pPr>
      <w:r w:rsidRPr="00BC31E0">
        <w:rPr>
          <w:rFonts w:hint="eastAsia"/>
        </w:rPr>
        <w:t>水素圧力及び水素純度は，</w:t>
      </w:r>
      <w:r w:rsidRPr="00BC31E0">
        <w:rPr>
          <w:rFonts w:asciiTheme="majorEastAsia" w:eastAsiaTheme="majorEastAsia" w:hAnsiTheme="majorEastAsia" w:hint="eastAsia"/>
          <w:b/>
          <w:bCs/>
        </w:rPr>
        <w:t>6</w:t>
      </w:r>
      <w:r w:rsidRPr="00BC31E0">
        <w:rPr>
          <w:rFonts w:asciiTheme="majorEastAsia" w:eastAsiaTheme="majorEastAsia" w:hAnsiTheme="majorEastAsia"/>
          <w:b/>
          <w:bCs/>
        </w:rPr>
        <w:t>.13.5 a)</w:t>
      </w:r>
      <w:r w:rsidR="003D7D91" w:rsidRPr="00BC31E0">
        <w:rPr>
          <w:rFonts w:asciiTheme="majorEastAsia" w:eastAsiaTheme="majorEastAsia" w:hAnsiTheme="majorEastAsia" w:hint="eastAsia"/>
          <w:b/>
          <w:bCs/>
        </w:rPr>
        <w:t xml:space="preserve"> </w:t>
      </w:r>
      <w:r w:rsidRPr="00BC31E0">
        <w:rPr>
          <w:rFonts w:asciiTheme="majorEastAsia" w:eastAsiaTheme="majorEastAsia" w:hAnsiTheme="majorEastAsia"/>
          <w:b/>
          <w:bCs/>
        </w:rPr>
        <w:t>3)</w:t>
      </w:r>
      <w:r w:rsidRPr="00BC31E0">
        <w:rPr>
          <w:rFonts w:hint="eastAsia"/>
        </w:rPr>
        <w:t>の</w:t>
      </w:r>
      <w:r w:rsidRPr="00BC31E0">
        <w:t>SSRT</w:t>
      </w:r>
      <w:r w:rsidRPr="00BC31E0">
        <w:rPr>
          <w:rFonts w:hint="eastAsia"/>
        </w:rPr>
        <w:t>試験の設計圧力と水素純度を適用する。</w:t>
      </w:r>
    </w:p>
    <w:p w14:paraId="62BD3A6C" w14:textId="77777777" w:rsidR="00206CA2" w:rsidRPr="00BC31E0" w:rsidRDefault="00F137F4" w:rsidP="00736130">
      <w:pPr>
        <w:pStyle w:val="a4"/>
        <w:numPr>
          <w:ilvl w:val="0"/>
          <w:numId w:val="465"/>
        </w:numPr>
        <w:ind w:leftChars="0" w:left="738" w:hanging="454"/>
      </w:pPr>
      <w:r w:rsidRPr="00BC31E0">
        <w:rPr>
          <w:rFonts w:hint="eastAsia"/>
        </w:rPr>
        <w:t>室温で，大気環境及び水素ガス環境の試験を行う。</w:t>
      </w:r>
    </w:p>
    <w:p w14:paraId="10772F02" w14:textId="77777777" w:rsidR="00206CA2" w:rsidRPr="00BC31E0" w:rsidRDefault="00F137F4" w:rsidP="00736130">
      <w:pPr>
        <w:pStyle w:val="a4"/>
        <w:numPr>
          <w:ilvl w:val="0"/>
          <w:numId w:val="465"/>
        </w:numPr>
        <w:ind w:leftChars="0" w:left="738" w:hanging="454"/>
      </w:pPr>
      <w:r w:rsidRPr="00BC31E0">
        <w:rPr>
          <w:rFonts w:hint="eastAsia"/>
        </w:rPr>
        <w:t>試験は，単調増加荷重</w:t>
      </w:r>
      <w:r w:rsidR="003D7D91" w:rsidRPr="00BC31E0">
        <w:rPr>
          <w:rFonts w:asciiTheme="minorHAnsi" w:eastAsiaTheme="minorEastAsia" w:hAnsiTheme="minorHAnsi"/>
        </w:rPr>
        <w:t>(</w:t>
      </w:r>
      <w:r w:rsidRPr="00BC31E0">
        <w:rPr>
          <w:rFonts w:asciiTheme="minorHAnsi" w:eastAsiaTheme="minorEastAsia" w:hAnsiTheme="minorEastAsia"/>
        </w:rPr>
        <w:t>ライジングロード</w:t>
      </w:r>
      <w:r w:rsidR="003D7D91" w:rsidRPr="00BC31E0">
        <w:rPr>
          <w:rFonts w:asciiTheme="minorHAnsi" w:eastAsiaTheme="minorEastAsia" w:hAnsiTheme="minorHAnsi"/>
        </w:rPr>
        <w:t>)</w:t>
      </w:r>
      <w:r w:rsidRPr="00BC31E0">
        <w:rPr>
          <w:rFonts w:hint="eastAsia"/>
        </w:rPr>
        <w:t>を変位制御で負荷する。試験は，最終破断以前に除荷し，途中で終了してもよい。</w:t>
      </w:r>
    </w:p>
    <w:p w14:paraId="4753172C" w14:textId="77777777" w:rsidR="00206CA2" w:rsidRPr="00BC31E0" w:rsidRDefault="00F137F4" w:rsidP="00736130">
      <w:pPr>
        <w:pStyle w:val="a4"/>
        <w:numPr>
          <w:ilvl w:val="0"/>
          <w:numId w:val="465"/>
        </w:numPr>
        <w:ind w:leftChars="0" w:left="738" w:hanging="454"/>
      </w:pPr>
      <w:r w:rsidRPr="00BC31E0">
        <w:rPr>
          <w:rFonts w:hint="eastAsia"/>
        </w:rPr>
        <w:t>荷重は亀裂開口変位速度が</w:t>
      </w:r>
      <w:r w:rsidRPr="00BC31E0">
        <w:t>0.0003 mm/s</w:t>
      </w:r>
      <w:r w:rsidRPr="00BC31E0">
        <w:rPr>
          <w:rFonts w:asciiTheme="minorHAnsi" w:hAnsiTheme="minorHAnsi" w:hint="eastAsia"/>
        </w:rPr>
        <w:t>以下</w:t>
      </w:r>
      <w:r w:rsidRPr="00BC31E0">
        <w:rPr>
          <w:rFonts w:hint="eastAsia"/>
        </w:rPr>
        <w:t>となるように制御して負荷する。試験中に，荷重－亀裂開口変位曲線を記録する。</w:t>
      </w:r>
    </w:p>
    <w:p w14:paraId="59ACDCB5" w14:textId="77777777" w:rsidR="00F137F4" w:rsidRPr="00BC31E0" w:rsidRDefault="00F137F4" w:rsidP="00736130">
      <w:pPr>
        <w:pStyle w:val="a4"/>
        <w:numPr>
          <w:ilvl w:val="0"/>
          <w:numId w:val="465"/>
        </w:numPr>
        <w:ind w:leftChars="0" w:left="738" w:hanging="454"/>
      </w:pPr>
      <w:r w:rsidRPr="00BC31E0">
        <w:rPr>
          <w:rFonts w:hint="eastAsia"/>
        </w:rPr>
        <w:t>大気環境及び水素ガス環境で得られる荷重－亀裂開口変位曲線を比較し，水素誘起割れの進展開始荷重を決定する。</w:t>
      </w:r>
    </w:p>
    <w:p w14:paraId="579BF0E8" w14:textId="77777777" w:rsidR="00953D1A" w:rsidRPr="00BC31E0" w:rsidRDefault="00A51873" w:rsidP="00736130">
      <w:pPr>
        <w:pStyle w:val="a4"/>
        <w:numPr>
          <w:ilvl w:val="0"/>
          <w:numId w:val="322"/>
        </w:numPr>
        <w:ind w:leftChars="0" w:left="454" w:hanging="454"/>
        <w:rPr>
          <w:rStyle w:val="50"/>
          <w:rFonts w:asciiTheme="minorHAnsi" w:eastAsiaTheme="minorEastAsia" w:hAnsiTheme="minorHAnsi"/>
          <w:b w:val="0"/>
        </w:rPr>
      </w:pPr>
      <m:oMath>
        <m:sSub>
          <m:sSubPr>
            <m:ctrlPr>
              <w:rPr>
                <w:rFonts w:ascii="Cambria Math" w:eastAsiaTheme="minorEastAsia" w:hAnsi="Cambria Math"/>
                <w:b/>
                <w:i/>
              </w:rPr>
            </m:ctrlPr>
          </m:sSubPr>
          <m:e>
            <m:r>
              <m:rPr>
                <m:sty m:val="bi"/>
              </m:rPr>
              <w:rPr>
                <w:rFonts w:ascii="Cambria Math" w:eastAsiaTheme="minorEastAsia" w:hAnsi="Cambria Math" w:hint="eastAsia"/>
              </w:rPr>
              <m:t>K</m:t>
            </m:r>
          </m:e>
          <m:sub>
            <m:r>
              <m:rPr>
                <m:sty m:val="b"/>
              </m:rPr>
              <w:rPr>
                <w:rFonts w:ascii="Cambria Math" w:eastAsiaTheme="minorEastAsia" w:hAnsi="Cambria Math" w:hint="eastAsia"/>
              </w:rPr>
              <m:t>I</m:t>
            </m:r>
            <m:r>
              <m:rPr>
                <m:sty m:val="bi"/>
              </m:rPr>
              <w:rPr>
                <w:rFonts w:ascii="Cambria Math" w:eastAsiaTheme="minorEastAsia" w:hAnsi="Cambria Math" w:hint="eastAsia"/>
              </w:rPr>
              <m:t xml:space="preserve">H  </m:t>
            </m:r>
          </m:sub>
        </m:sSub>
      </m:oMath>
      <w:r w:rsidR="00953D1A" w:rsidRPr="00BC31E0">
        <w:rPr>
          <w:rFonts w:asciiTheme="majorEastAsia" w:eastAsiaTheme="majorEastAsia" w:hAnsiTheme="majorEastAsia" w:hint="eastAsia"/>
          <w:b/>
        </w:rPr>
        <w:t>の算出</w:t>
      </w:r>
      <w:r w:rsidR="00953D1A" w:rsidRPr="00BC31E0">
        <w:rPr>
          <w:rFonts w:asciiTheme="minorHAnsi" w:eastAsiaTheme="minorEastAsia" w:hAnsiTheme="minorEastAsia" w:hint="eastAsia"/>
        </w:rPr>
        <w:t xml:space="preserve">　</w:t>
      </w:r>
      <w:r w:rsidR="00953D1A" w:rsidRPr="00BC31E0">
        <w:rPr>
          <w:rFonts w:asciiTheme="minorHAnsi" w:eastAsiaTheme="minorEastAsia" w:hAnsiTheme="minorEastAsia"/>
        </w:rPr>
        <w:t>水素誘起割れ</w:t>
      </w:r>
      <w:r w:rsidR="00953D1A" w:rsidRPr="00BC31E0">
        <w:rPr>
          <w:rFonts w:asciiTheme="minorHAnsi" w:eastAsiaTheme="minorEastAsia" w:hAnsiTheme="minorEastAsia" w:hint="eastAsia"/>
        </w:rPr>
        <w:t>の進展開始荷重と疲労予亀裂長さから，水素誘起割れの下限界応力拡大係数</w:t>
      </w:r>
      <m:oMath>
        <m:sSub>
          <m:sSubPr>
            <m:ctrlPr>
              <w:rPr>
                <w:rFonts w:ascii="Cambria Math" w:eastAsiaTheme="minorEastAsia" w:hAnsi="Cambria Math"/>
                <w:i/>
              </w:rPr>
            </m:ctrlPr>
          </m:sSubPr>
          <m:e>
            <m:r>
              <w:rPr>
                <w:rFonts w:ascii="Cambria Math" w:eastAsiaTheme="minorEastAsia" w:hAnsi="Cambria Math" w:hint="eastAsia"/>
              </w:rPr>
              <m:t xml:space="preserve"> K</m:t>
            </m:r>
          </m:e>
          <m:sub>
            <m:r>
              <m:rPr>
                <m:sty m:val="p"/>
              </m:rPr>
              <w:rPr>
                <w:rFonts w:ascii="Cambria Math" w:eastAsiaTheme="minorEastAsia" w:hAnsi="Cambria Math" w:hint="eastAsia"/>
              </w:rPr>
              <m:t>I</m:t>
            </m:r>
            <m:r>
              <w:rPr>
                <w:rFonts w:ascii="Cambria Math" w:eastAsiaTheme="minorEastAsia" w:hAnsi="Cambria Math" w:hint="eastAsia"/>
              </w:rPr>
              <m:t>H</m:t>
            </m:r>
          </m:sub>
        </m:sSub>
        <m:r>
          <w:rPr>
            <w:rFonts w:ascii="Cambria Math" w:eastAsiaTheme="minorEastAsia" w:hAnsi="Cambria Math" w:hint="eastAsia"/>
          </w:rPr>
          <m:t xml:space="preserve"> </m:t>
        </m:r>
      </m:oMath>
      <w:r w:rsidR="00953D1A" w:rsidRPr="00BC31E0">
        <w:rPr>
          <w:rFonts w:asciiTheme="minorHAnsi" w:eastAsiaTheme="minorEastAsia" w:hAnsiTheme="minorEastAsia" w:hint="eastAsia"/>
        </w:rPr>
        <w:t>を求める。応力拡大係数の式は</w:t>
      </w:r>
      <w:r w:rsidR="00953D1A" w:rsidRPr="00BC31E0">
        <w:rPr>
          <w:rFonts w:asciiTheme="majorEastAsia" w:eastAsiaTheme="majorEastAsia" w:hAnsiTheme="majorEastAsia" w:hint="eastAsia"/>
          <w:b/>
        </w:rPr>
        <w:t>ASTM E1820</w:t>
      </w:r>
      <w:r w:rsidR="00953D1A" w:rsidRPr="00BC31E0">
        <w:rPr>
          <w:rFonts w:asciiTheme="minorHAnsi" w:eastAsiaTheme="minorEastAsia" w:hAnsiTheme="minorEastAsia" w:hint="eastAsia"/>
        </w:rPr>
        <w:t>による。</w:t>
      </w:r>
    </w:p>
    <w:p w14:paraId="1475D65E" w14:textId="77777777" w:rsidR="00F137F4" w:rsidRPr="00BC31E0" w:rsidRDefault="00300635" w:rsidP="00D807D7">
      <w:pPr>
        <w:pStyle w:val="3"/>
        <w:tabs>
          <w:tab w:val="clear" w:pos="284"/>
        </w:tabs>
        <w:ind w:left="794" w:hanging="794"/>
      </w:pPr>
      <w:r w:rsidRPr="00BC31E0">
        <w:rPr>
          <w:rFonts w:hint="eastAsia"/>
        </w:rPr>
        <w:t xml:space="preserve"> </w:t>
      </w:r>
      <w:r w:rsidR="00F137F4" w:rsidRPr="00BC31E0">
        <w:rPr>
          <w:rFonts w:hint="eastAsia"/>
        </w:rPr>
        <w:t>疲労亀裂進展試験</w:t>
      </w:r>
      <w:r w:rsidR="000E1A2F" w:rsidRPr="00BC31E0">
        <w:rPr>
          <w:rFonts w:asciiTheme="majorEastAsia" w:eastAsiaTheme="majorEastAsia" w:hAnsiTheme="majorEastAsia" w:hint="eastAsia"/>
          <w:vertAlign w:val="superscript"/>
        </w:rPr>
        <w:t>1</w:t>
      </w:r>
      <w:r w:rsidR="000E1A2F" w:rsidRPr="00BC31E0">
        <w:rPr>
          <w:rFonts w:asciiTheme="majorEastAsia" w:eastAsiaTheme="majorEastAsia" w:hAnsiTheme="majorEastAsia"/>
          <w:vertAlign w:val="superscript"/>
        </w:rPr>
        <w:t>)</w:t>
      </w:r>
    </w:p>
    <w:p w14:paraId="07AD7EB6" w14:textId="77777777" w:rsidR="00F137F4" w:rsidRPr="00BC31E0" w:rsidRDefault="00F137F4" w:rsidP="00775A5C">
      <w:pPr>
        <w:pStyle w:val="1110"/>
        <w:ind w:firstLine="210"/>
      </w:pPr>
      <w:r w:rsidRPr="00BC31E0">
        <w:rPr>
          <w:rFonts w:hint="eastAsia"/>
        </w:rPr>
        <w:t>この試験方法は，設計圧力の水素ガス環境中における疲労亀裂進展速度を</w:t>
      </w:r>
      <m:oMath>
        <m:r>
          <m:rPr>
            <m:sty m:val="p"/>
          </m:rPr>
          <w:rPr>
            <w:rFonts w:ascii="Cambria Math" w:hAnsi="Cambria Math" w:hint="eastAsia"/>
          </w:rPr>
          <m:t xml:space="preserve"> </m:t>
        </m:r>
        <m:f>
          <m:fPr>
            <m:type m:val="lin"/>
            <m:ctrlPr>
              <w:rPr>
                <w:rFonts w:ascii="Cambria Math" w:hAnsi="Cambria Math"/>
                <w:i/>
                <w:vertAlign w:val="superscript"/>
              </w:rPr>
            </m:ctrlPr>
          </m:fPr>
          <m:num>
            <m:r>
              <w:rPr>
                <w:rFonts w:ascii="Cambria Math" w:hAnsi="Cambria Math"/>
                <w:vertAlign w:val="superscript"/>
              </w:rPr>
              <m:t>da</m:t>
            </m:r>
          </m:num>
          <m:den>
            <m:r>
              <w:rPr>
                <w:rFonts w:ascii="Cambria Math" w:hAnsi="Cambria Math"/>
                <w:vertAlign w:val="superscript"/>
              </w:rPr>
              <m:t>dN</m:t>
            </m:r>
          </m:den>
        </m:f>
        <m:r>
          <w:rPr>
            <w:rFonts w:ascii="Cambria Math" w:hAnsi="Cambria Math"/>
            <w:vertAlign w:val="superscript"/>
          </w:rPr>
          <m:t>=C</m:t>
        </m:r>
        <m:sSup>
          <m:sSupPr>
            <m:ctrlPr>
              <w:rPr>
                <w:rFonts w:ascii="Cambria Math" w:hAnsi="Cambria Math"/>
                <w:i/>
                <w:vertAlign w:val="superscript"/>
              </w:rPr>
            </m:ctrlPr>
          </m:sSupPr>
          <m:e>
            <m:r>
              <w:rPr>
                <w:rFonts w:ascii="Cambria Math" w:hAnsi="Cambria Math" w:hint="eastAsia"/>
                <w:vertAlign w:val="superscript"/>
              </w:rPr>
              <m:t xml:space="preserve"> </m:t>
            </m:r>
            <m:d>
              <m:dPr>
                <m:ctrlPr>
                  <w:rPr>
                    <w:rFonts w:ascii="Cambria Math" w:hAnsi="Cambria Math"/>
                    <w:i/>
                    <w:vertAlign w:val="superscript"/>
                  </w:rPr>
                </m:ctrlPr>
              </m:dPr>
              <m:e>
                <m:r>
                  <w:rPr>
                    <w:rFonts w:ascii="Cambria Math" w:hAnsi="Cambria Math"/>
                    <w:vertAlign w:val="superscript"/>
                  </w:rPr>
                  <m:t>∆K</m:t>
                </m:r>
              </m:e>
            </m:d>
          </m:e>
          <m:sup>
            <m:r>
              <w:rPr>
                <w:rFonts w:ascii="Cambria Math" w:hAnsi="Cambria Math"/>
                <w:vertAlign w:val="superscript"/>
              </w:rPr>
              <m:t>m</m:t>
            </m:r>
          </m:sup>
        </m:sSup>
        <m:r>
          <w:rPr>
            <w:rFonts w:ascii="Cambria Math" w:hAnsi="Cambria Math" w:hint="eastAsia"/>
            <w:vertAlign w:val="superscript"/>
          </w:rPr>
          <m:t xml:space="preserve"> </m:t>
        </m:r>
      </m:oMath>
      <w:r w:rsidRPr="00BC31E0">
        <w:rPr>
          <w:rFonts w:hint="eastAsia"/>
        </w:rPr>
        <w:t>の形式で計測する方法を示す。試験は室温で，容器の設計圧力以上の圧力の水素で，</w:t>
      </w:r>
      <w:r w:rsidRPr="00BC31E0">
        <w:rPr>
          <w:rFonts w:ascii="ＭＳ ゴシック" w:eastAsia="ＭＳ ゴシック" w:hAnsi="ＭＳ ゴシック" w:hint="eastAsia"/>
          <w:b/>
        </w:rPr>
        <w:t>ASTM E647</w:t>
      </w:r>
      <w:r w:rsidR="00C72525" w:rsidRPr="00BC31E0">
        <w:rPr>
          <w:rFonts w:hint="eastAsia"/>
        </w:rPr>
        <w:t>に従って</w:t>
      </w:r>
      <w:r w:rsidRPr="00BC31E0">
        <w:rPr>
          <w:rFonts w:hint="eastAsia"/>
        </w:rPr>
        <w:t>実施する。</w:t>
      </w:r>
      <w:r w:rsidRPr="00BC31E0">
        <w:rPr>
          <w:rFonts w:asciiTheme="minorHAnsi" w:eastAsiaTheme="majorEastAsia" w:hAnsiTheme="minorHAnsi"/>
        </w:rPr>
        <w:t>SA-372</w:t>
      </w:r>
      <w:r w:rsidR="00241471" w:rsidRPr="00BC31E0">
        <w:rPr>
          <w:rFonts w:asciiTheme="minorHAnsi" w:eastAsiaTheme="majorEastAsia" w:hAnsiTheme="minorHAnsi" w:hint="eastAsia"/>
        </w:rPr>
        <w:t>M</w:t>
      </w:r>
      <w:r w:rsidRPr="00BC31E0">
        <w:rPr>
          <w:rFonts w:ascii="ＭＳ 明朝" w:hAnsi="ＭＳ 明朝" w:hint="eastAsia"/>
        </w:rPr>
        <w:t>及び</w:t>
      </w:r>
      <w:r w:rsidRPr="00BC31E0">
        <w:rPr>
          <w:rFonts w:asciiTheme="minorHAnsi" w:eastAsiaTheme="majorEastAsia" w:hAnsiTheme="minorHAnsi"/>
        </w:rPr>
        <w:t>SA-723</w:t>
      </w:r>
      <w:r w:rsidR="00241471" w:rsidRPr="00BC31E0">
        <w:rPr>
          <w:rFonts w:asciiTheme="minorHAnsi" w:eastAsiaTheme="majorEastAsia" w:hAnsiTheme="minorHAnsi" w:hint="eastAsia"/>
        </w:rPr>
        <w:t>M</w:t>
      </w:r>
      <w:r w:rsidRPr="00BC31E0">
        <w:rPr>
          <w:rFonts w:ascii="ＭＳ 明朝" w:hAnsi="ＭＳ 明朝" w:hint="eastAsia"/>
        </w:rPr>
        <w:t>の場合は，</w:t>
      </w:r>
      <w:r w:rsidRPr="00BC31E0">
        <w:rPr>
          <w:rFonts w:asciiTheme="majorEastAsia" w:eastAsiaTheme="majorEastAsia" w:hAnsiTheme="majorEastAsia" w:hint="eastAsia"/>
          <w:b/>
        </w:rPr>
        <w:t>6.13.1</w:t>
      </w:r>
      <w:r w:rsidRPr="00BC31E0">
        <w:rPr>
          <w:rFonts w:asciiTheme="majorEastAsia" w:eastAsiaTheme="majorEastAsia" w:hAnsiTheme="majorEastAsia"/>
          <w:b/>
        </w:rPr>
        <w:t>0</w:t>
      </w:r>
      <w:r w:rsidRPr="00BC31E0">
        <w:rPr>
          <w:rFonts w:ascii="ＭＳ 明朝" w:hAnsi="ＭＳ 明朝" w:hint="eastAsia"/>
        </w:rPr>
        <w:t>に規定する疲労亀裂進展速度を</w:t>
      </w:r>
      <w:r w:rsidRPr="00BC31E0">
        <w:rPr>
          <w:rFonts w:ascii="ＭＳ 明朝" w:hAnsi="ＭＳ 明朝" w:hint="eastAsia"/>
        </w:rPr>
        <w:lastRenderedPageBreak/>
        <w:t>適用してもよい。</w:t>
      </w:r>
    </w:p>
    <w:p w14:paraId="25E2C630" w14:textId="77777777" w:rsidR="00F137F4" w:rsidRPr="00BC31E0" w:rsidRDefault="00F137F4" w:rsidP="00736130">
      <w:pPr>
        <w:pStyle w:val="a4"/>
        <w:numPr>
          <w:ilvl w:val="0"/>
          <w:numId w:val="331"/>
        </w:numPr>
        <w:ind w:leftChars="0" w:left="454" w:hanging="454"/>
        <w:rPr>
          <w:rFonts w:hAnsi="ＭＳ 明朝"/>
        </w:rPr>
      </w:pPr>
      <w:r w:rsidRPr="00BC31E0">
        <w:rPr>
          <w:rFonts w:asciiTheme="majorEastAsia" w:eastAsiaTheme="majorEastAsia" w:hAnsiTheme="majorEastAsia" w:hint="eastAsia"/>
          <w:b/>
        </w:rPr>
        <w:t>試験片形状と試験片本数</w:t>
      </w:r>
      <w:r w:rsidRPr="00BC31E0">
        <w:rPr>
          <w:rFonts w:hint="eastAsia"/>
        </w:rPr>
        <w:t xml:space="preserve">　</w:t>
      </w:r>
      <w:r w:rsidRPr="00BC31E0">
        <w:rPr>
          <w:rFonts w:hAnsi="ＭＳ 明朝" w:hint="eastAsia"/>
        </w:rPr>
        <w:t>試験片の形状と本数は，次の</w:t>
      </w:r>
      <w:r w:rsidRPr="00BC31E0">
        <w:rPr>
          <w:rFonts w:asciiTheme="majorEastAsia" w:eastAsiaTheme="majorEastAsia" w:hAnsiTheme="majorEastAsia" w:hint="eastAsia"/>
          <w:b/>
        </w:rPr>
        <w:t>1)</w:t>
      </w:r>
      <w:r w:rsidRPr="00BC31E0">
        <w:rPr>
          <w:rFonts w:hAnsi="ＭＳ 明朝" w:hint="eastAsia"/>
        </w:rPr>
        <w:t>，</w:t>
      </w:r>
      <w:r w:rsidRPr="00BC31E0">
        <w:rPr>
          <w:rFonts w:asciiTheme="majorEastAsia" w:eastAsiaTheme="majorEastAsia" w:hAnsiTheme="majorEastAsia" w:hint="eastAsia"/>
          <w:b/>
        </w:rPr>
        <w:t>2)</w:t>
      </w:r>
      <w:r w:rsidRPr="00BC31E0">
        <w:rPr>
          <w:rFonts w:hAnsi="ＭＳ 明朝" w:hint="eastAsia"/>
        </w:rPr>
        <w:t>による。</w:t>
      </w:r>
    </w:p>
    <w:p w14:paraId="07D9F083" w14:textId="77777777" w:rsidR="00F137F4" w:rsidRPr="00BC31E0" w:rsidRDefault="00F137F4" w:rsidP="00736130">
      <w:pPr>
        <w:numPr>
          <w:ilvl w:val="1"/>
          <w:numId w:val="156"/>
        </w:numPr>
        <w:tabs>
          <w:tab w:val="clear" w:pos="680"/>
        </w:tabs>
        <w:ind w:left="738" w:hanging="454"/>
        <w:rPr>
          <w:rFonts w:ascii="ＭＳ 明朝" w:hAnsi="ＭＳ 明朝"/>
        </w:rPr>
      </w:pPr>
      <w:r w:rsidRPr="00BC31E0">
        <w:rPr>
          <w:rFonts w:ascii="ＭＳ 明朝" w:hAnsi="ＭＳ 明朝" w:hint="eastAsia"/>
        </w:rPr>
        <w:t>試験片は，圧縮水素用の設備の最終形状又は最終形状と同等の形状の試験体の内面近傍から採取する。</w:t>
      </w:r>
      <w:r w:rsidRPr="00BC31E0">
        <w:rPr>
          <w:rFonts w:ascii="ＭＳ ゴシック" w:eastAsia="ＭＳ ゴシック" w:hAnsi="ＭＳ ゴシック" w:hint="eastAsia"/>
          <w:b/>
        </w:rPr>
        <w:t>ASTM E399</w:t>
      </w:r>
      <w:r w:rsidRPr="00BC31E0">
        <w:rPr>
          <w:rFonts w:ascii="ＭＳ 明朝" w:hAnsi="ＭＳ 明朝" w:hint="eastAsia"/>
        </w:rPr>
        <w:t>に示されるように，試験片の採取方向は</w:t>
      </w:r>
      <m:oMath>
        <m:r>
          <m:rPr>
            <m:sty m:val="p"/>
          </m:rPr>
          <w:rPr>
            <w:rFonts w:ascii="Cambria Math" w:hAnsi="Cambria Math" w:hint="eastAsia"/>
          </w:rPr>
          <m:t xml:space="preserve"> </m:t>
        </m:r>
        <m:r>
          <w:rPr>
            <w:rFonts w:ascii="Cambria Math" w:hAnsi="Cambria Math"/>
          </w:rPr>
          <m:t>TL</m:t>
        </m:r>
        <m:r>
          <w:rPr>
            <w:rFonts w:ascii="Cambria Math" w:hAnsi="Cambria Math" w:hint="eastAsia"/>
          </w:rPr>
          <m:t xml:space="preserve"> </m:t>
        </m:r>
      </m:oMath>
      <w:r w:rsidRPr="00BC31E0">
        <w:rPr>
          <w:rFonts w:ascii="ＭＳ 明朝" w:hAnsi="ＭＳ 明朝" w:hint="eastAsia"/>
        </w:rPr>
        <w:t>方向とする。</w:t>
      </w:r>
      <m:oMath>
        <m:r>
          <w:rPr>
            <w:rFonts w:ascii="Cambria Math" w:hAnsi="Cambria Math"/>
          </w:rPr>
          <m:t>TL</m:t>
        </m:r>
        <m:r>
          <w:rPr>
            <w:rFonts w:ascii="Cambria Math" w:hAnsi="Cambria Math" w:hint="eastAsia"/>
          </w:rPr>
          <m:t xml:space="preserve"> </m:t>
        </m:r>
      </m:oMath>
      <w:r w:rsidRPr="00BC31E0">
        <w:rPr>
          <w:rFonts w:ascii="ＭＳ 明朝" w:hAnsi="ＭＳ 明朝" w:hint="eastAsia"/>
        </w:rPr>
        <w:t>方向の試験片が溶接金属や熱影響部から採取できない場合は，</w:t>
      </w:r>
      <m:oMath>
        <m:r>
          <w:rPr>
            <w:rFonts w:ascii="Cambria Math" w:hAnsi="Cambria Math"/>
          </w:rPr>
          <m:t>LT</m:t>
        </m:r>
        <m:r>
          <w:rPr>
            <w:rFonts w:ascii="Cambria Math" w:hAnsi="Cambria Math" w:hint="eastAsia"/>
          </w:rPr>
          <m:t xml:space="preserve"> </m:t>
        </m:r>
      </m:oMath>
      <w:r w:rsidRPr="00BC31E0">
        <w:rPr>
          <w:rFonts w:ascii="ＭＳ 明朝" w:hAnsi="ＭＳ 明朝" w:hint="eastAsia"/>
        </w:rPr>
        <w:t>方向の試験片を用いてよい。溶接金属の試験の場合には，材料表面に垂直となるように切欠きを溶接幅の中央に機械で加工する。熱影響部の試験の場合には，切欠きは材料表面に対してほぼ垂直に機械で加工し，破断部が熱影響部となるように予亀裂を位置させる。</w:t>
      </w:r>
    </w:p>
    <w:p w14:paraId="4EEC9998" w14:textId="77777777" w:rsidR="00F137F4" w:rsidRPr="00BC31E0" w:rsidRDefault="00F137F4" w:rsidP="00736130">
      <w:pPr>
        <w:numPr>
          <w:ilvl w:val="1"/>
          <w:numId w:val="156"/>
        </w:numPr>
        <w:tabs>
          <w:tab w:val="clear" w:pos="680"/>
        </w:tabs>
        <w:ind w:left="738" w:hanging="454"/>
        <w:rPr>
          <w:rFonts w:ascii="ＭＳ 明朝" w:hAnsi="ＭＳ 明朝"/>
        </w:rPr>
      </w:pPr>
      <w:r w:rsidRPr="00BC31E0">
        <w:rPr>
          <w:rFonts w:ascii="ＭＳ 明朝" w:hAnsi="ＭＳ 明朝" w:hint="eastAsia"/>
        </w:rPr>
        <w:t>試験片の数は，大気環境が</w:t>
      </w:r>
      <w:r w:rsidRPr="00BC31E0">
        <w:t>1</w:t>
      </w:r>
      <w:r w:rsidRPr="00BC31E0">
        <w:rPr>
          <w:rFonts w:ascii="ＭＳ 明朝" w:hAnsi="ＭＳ 明朝" w:hint="eastAsia"/>
        </w:rPr>
        <w:t>本，水素ガス環境が</w:t>
      </w:r>
      <w:r w:rsidRPr="00BC31E0">
        <w:t>3</w:t>
      </w:r>
      <w:r w:rsidRPr="00BC31E0">
        <w:rPr>
          <w:rFonts w:ascii="ＭＳ 明朝" w:hAnsi="ＭＳ 明朝" w:hint="eastAsia"/>
        </w:rPr>
        <w:t>本とする。</w:t>
      </w:r>
    </w:p>
    <w:p w14:paraId="65CD4B69" w14:textId="77777777" w:rsidR="00775A5C" w:rsidRPr="00BC31E0" w:rsidRDefault="00F137F4" w:rsidP="00736130">
      <w:pPr>
        <w:pStyle w:val="a4"/>
        <w:numPr>
          <w:ilvl w:val="0"/>
          <w:numId w:val="332"/>
        </w:numPr>
        <w:ind w:leftChars="0" w:left="454" w:hanging="454"/>
      </w:pPr>
      <w:r w:rsidRPr="00BC31E0">
        <w:rPr>
          <w:rFonts w:asciiTheme="majorEastAsia" w:eastAsiaTheme="majorEastAsia" w:hAnsiTheme="majorEastAsia" w:hint="eastAsia"/>
          <w:b/>
        </w:rPr>
        <w:t>試験条件</w:t>
      </w:r>
      <w:r w:rsidRPr="00BC31E0">
        <w:rPr>
          <w:rFonts w:hint="eastAsia"/>
        </w:rPr>
        <w:t xml:space="preserve">　試験条件及び試験環境は，</w:t>
      </w:r>
      <w:r w:rsidRPr="00BC31E0">
        <w:rPr>
          <w:rFonts w:asciiTheme="majorEastAsia" w:eastAsiaTheme="majorEastAsia" w:hAnsiTheme="majorEastAsia"/>
          <w:b/>
        </w:rPr>
        <w:t>6.13.8 c</w:t>
      </w:r>
      <w:r w:rsidRPr="00BC31E0">
        <w:rPr>
          <w:rFonts w:asciiTheme="majorEastAsia" w:eastAsiaTheme="majorEastAsia" w:hAnsiTheme="majorEastAsia" w:hint="eastAsia"/>
          <w:b/>
        </w:rPr>
        <w:t>)</w:t>
      </w:r>
      <w:r w:rsidR="00775A5C" w:rsidRPr="00BC31E0">
        <w:rPr>
          <w:rFonts w:asciiTheme="majorEastAsia" w:eastAsiaTheme="majorEastAsia" w:hAnsiTheme="majorEastAsia" w:hint="eastAsia"/>
          <w:b/>
        </w:rPr>
        <w:t xml:space="preserve"> </w:t>
      </w:r>
      <w:r w:rsidRPr="00BC31E0">
        <w:rPr>
          <w:rFonts w:asciiTheme="majorEastAsia" w:eastAsiaTheme="majorEastAsia" w:hAnsiTheme="majorEastAsia"/>
          <w:b/>
        </w:rPr>
        <w:t>1)</w:t>
      </w:r>
      <w:r w:rsidRPr="00BC31E0">
        <w:rPr>
          <w:rFonts w:hint="eastAsia"/>
        </w:rPr>
        <w:t>及び</w:t>
      </w:r>
      <w:r w:rsidRPr="00BC31E0">
        <w:rPr>
          <w:rFonts w:asciiTheme="majorEastAsia" w:eastAsiaTheme="majorEastAsia" w:hAnsiTheme="majorEastAsia" w:hint="eastAsia"/>
          <w:b/>
        </w:rPr>
        <w:t>2)</w:t>
      </w:r>
      <w:r w:rsidRPr="00BC31E0">
        <w:rPr>
          <w:rFonts w:hint="eastAsia"/>
        </w:rPr>
        <w:t>のライジングロード試験の試験条件及び試験環境を適用する。</w:t>
      </w:r>
    </w:p>
    <w:p w14:paraId="0FD2EA44" w14:textId="77777777" w:rsidR="00775A5C" w:rsidRPr="00BC31E0" w:rsidRDefault="00F137F4" w:rsidP="00736130">
      <w:pPr>
        <w:pStyle w:val="a4"/>
        <w:numPr>
          <w:ilvl w:val="0"/>
          <w:numId w:val="332"/>
        </w:numPr>
        <w:ind w:leftChars="0" w:left="454" w:hanging="454"/>
      </w:pPr>
      <w:r w:rsidRPr="00BC31E0">
        <w:rPr>
          <w:rFonts w:asciiTheme="majorEastAsia" w:eastAsiaTheme="majorEastAsia" w:hAnsiTheme="majorEastAsia" w:hint="eastAsia"/>
          <w:b/>
        </w:rPr>
        <w:t>試験周波数</w:t>
      </w:r>
      <w:r w:rsidRPr="00BC31E0">
        <w:rPr>
          <w:rFonts w:ascii="ＭＳ 明朝" w:hAnsi="ＭＳ 明朝" w:hint="eastAsia"/>
        </w:rPr>
        <w:t xml:space="preserve">　</w:t>
      </w:r>
      <w:r w:rsidRPr="00BC31E0">
        <w:rPr>
          <w:rFonts w:ascii="ＭＳ 明朝" w:hAnsi="ＭＳ 明朝" w:hint="eastAsia"/>
          <w:bCs/>
        </w:rPr>
        <w:t>試験周波数は運転状態を考慮して使用者が設定するが，</w:t>
      </w:r>
      <w:r w:rsidRPr="00BC31E0">
        <w:rPr>
          <w:bCs/>
        </w:rPr>
        <w:t>0.1 H</w:t>
      </w:r>
      <w:r w:rsidRPr="00BC31E0">
        <w:rPr>
          <w:bCs/>
          <w:vertAlign w:val="subscript"/>
        </w:rPr>
        <w:t>z</w:t>
      </w:r>
      <w:r w:rsidRPr="00BC31E0">
        <w:rPr>
          <w:rFonts w:ascii="ＭＳ 明朝" w:hAnsi="ＭＳ 明朝" w:hint="eastAsia"/>
          <w:bCs/>
        </w:rPr>
        <w:t>以下とする。</w:t>
      </w:r>
    </w:p>
    <w:p w14:paraId="2971F47E" w14:textId="77777777" w:rsidR="00775A5C" w:rsidRPr="00BC31E0" w:rsidRDefault="00F137F4" w:rsidP="00736130">
      <w:pPr>
        <w:pStyle w:val="a4"/>
        <w:numPr>
          <w:ilvl w:val="0"/>
          <w:numId w:val="332"/>
        </w:numPr>
        <w:ind w:leftChars="0" w:left="454" w:hanging="454"/>
      </w:pPr>
      <w:r w:rsidRPr="00BC31E0">
        <w:rPr>
          <w:rFonts w:asciiTheme="majorEastAsia" w:eastAsiaTheme="majorEastAsia" w:hAnsiTheme="majorEastAsia" w:hint="eastAsia"/>
          <w:b/>
        </w:rPr>
        <w:t>応力比</w:t>
      </w:r>
      <w:r w:rsidRPr="00BC31E0">
        <w:rPr>
          <w:rFonts w:hint="eastAsia"/>
        </w:rPr>
        <w:t xml:space="preserve">　</w:t>
      </w:r>
      <w:r w:rsidRPr="00BC31E0">
        <w:rPr>
          <w:rFonts w:ascii="ＭＳ 明朝" w:hAnsi="ＭＳ 明朝" w:hint="eastAsia"/>
          <w:bCs/>
        </w:rPr>
        <w:t>応力比</w:t>
      </w:r>
      <m:oMath>
        <m:r>
          <m:rPr>
            <m:sty m:val="p"/>
          </m:rPr>
          <w:rPr>
            <w:rFonts w:ascii="Cambria Math" w:hAnsi="Cambria Math"/>
          </w:rPr>
          <m:t xml:space="preserve"> </m:t>
        </m:r>
        <m:r>
          <w:rPr>
            <w:rFonts w:ascii="Cambria Math" w:hAnsi="Cambria Math" w:hint="eastAsia"/>
          </w:rPr>
          <m:t>R</m:t>
        </m:r>
        <m:r>
          <w:rPr>
            <w:rFonts w:ascii="Cambria Math" w:hAnsi="Cambria Math"/>
          </w:rPr>
          <m:t xml:space="preserve"> </m:t>
        </m:r>
      </m:oMath>
      <w:r w:rsidRPr="00BC31E0">
        <w:rPr>
          <w:rFonts w:ascii="ＭＳ 明朝" w:hAnsi="ＭＳ 明朝" w:hint="eastAsia"/>
          <w:bCs/>
        </w:rPr>
        <w:t>は，容器設計に用いる値を下回らない。</w:t>
      </w:r>
    </w:p>
    <w:p w14:paraId="13BD4BAF" w14:textId="77777777" w:rsidR="00775A5C" w:rsidRPr="00BC31E0" w:rsidRDefault="00F137F4" w:rsidP="00736130">
      <w:pPr>
        <w:pStyle w:val="a4"/>
        <w:numPr>
          <w:ilvl w:val="0"/>
          <w:numId w:val="332"/>
        </w:numPr>
        <w:ind w:leftChars="0" w:left="454" w:hanging="454"/>
      </w:pPr>
      <w:r w:rsidRPr="00BC31E0">
        <w:rPr>
          <w:rFonts w:asciiTheme="majorEastAsia" w:eastAsiaTheme="majorEastAsia" w:hAnsiTheme="majorEastAsia" w:hint="eastAsia"/>
          <w:b/>
        </w:rPr>
        <w:t>亀裂進展速度データ</w:t>
      </w:r>
      <m:oMath>
        <m:r>
          <m:rPr>
            <m:sty m:val="p"/>
          </m:rPr>
          <w:rPr>
            <w:rFonts w:ascii="Cambria Math" w:hAnsi="Cambria Math"/>
          </w:rPr>
          <m:t xml:space="preserve"> </m:t>
        </m:r>
        <m:f>
          <m:fPr>
            <m:type m:val="lin"/>
            <m:ctrlPr>
              <w:rPr>
                <w:rFonts w:ascii="Cambria Math" w:hAnsi="Cambria Math"/>
                <w:i/>
              </w:rPr>
            </m:ctrlPr>
          </m:fPr>
          <m:num>
            <m:r>
              <m:rPr>
                <m:sty m:val="bi"/>
              </m:rPr>
              <w:rPr>
                <w:rFonts w:ascii="Cambria Math" w:hAnsi="Cambria Math"/>
              </w:rPr>
              <m:t>da</m:t>
            </m:r>
          </m:num>
          <m:den>
            <m:r>
              <m:rPr>
                <m:sty m:val="bi"/>
              </m:rPr>
              <w:rPr>
                <w:rFonts w:ascii="Cambria Math" w:hAnsi="Cambria Math"/>
              </w:rPr>
              <m:t>dN</m:t>
            </m:r>
          </m:den>
        </m:f>
      </m:oMath>
      <w:r w:rsidRPr="00BC31E0">
        <w:rPr>
          <w:rFonts w:hint="eastAsia"/>
        </w:rPr>
        <w:t xml:space="preserve">　</w:t>
      </w:r>
      <w:r w:rsidRPr="00BC31E0">
        <w:rPr>
          <w:rFonts w:ascii="ＭＳ 明朝" w:hAnsi="ＭＳ 明朝" w:hint="eastAsia"/>
          <w:bCs/>
        </w:rPr>
        <w:t>破壊力学評価に用いる</w:t>
      </w:r>
      <m:oMath>
        <m:r>
          <m:rPr>
            <m:sty m:val="p"/>
          </m:rPr>
          <w:rPr>
            <w:rFonts w:ascii="Cambria Math" w:hAnsi="Cambria Math"/>
          </w:rPr>
          <m:t xml:space="preserve"> </m:t>
        </m:r>
        <m:r>
          <w:rPr>
            <w:rFonts w:ascii="Cambria Math" w:hAnsi="Cambria Math"/>
          </w:rPr>
          <m:t xml:space="preserve">ΔK </m:t>
        </m:r>
      </m:oMath>
      <w:r w:rsidRPr="00BC31E0">
        <w:rPr>
          <w:rFonts w:ascii="ＭＳ 明朝" w:hAnsi="ＭＳ 明朝" w:hint="eastAsia"/>
          <w:bCs/>
        </w:rPr>
        <w:t>の全範囲について，</w:t>
      </w:r>
      <m:oMath>
        <m:f>
          <m:fPr>
            <m:type m:val="lin"/>
            <m:ctrlPr>
              <w:rPr>
                <w:rFonts w:ascii="Cambria Math" w:hAnsi="Cambria Math"/>
                <w:bCs/>
                <w:i/>
                <w:vertAlign w:val="superscript"/>
              </w:rPr>
            </m:ctrlPr>
          </m:fPr>
          <m:num>
            <m:r>
              <w:rPr>
                <w:rFonts w:ascii="Cambria Math" w:hAnsi="Cambria Math"/>
                <w:vertAlign w:val="superscript"/>
              </w:rPr>
              <m:t>da</m:t>
            </m:r>
          </m:num>
          <m:den>
            <m:r>
              <w:rPr>
                <w:rFonts w:ascii="Cambria Math" w:hAnsi="Cambria Math"/>
                <w:vertAlign w:val="superscript"/>
              </w:rPr>
              <m:t>dN</m:t>
            </m:r>
          </m:den>
        </m:f>
        <m:r>
          <w:rPr>
            <w:rFonts w:ascii="Cambria Math" w:hAnsi="Cambria Math"/>
            <w:vertAlign w:val="superscript"/>
          </w:rPr>
          <m:t>=C</m:t>
        </m:r>
        <m:sSup>
          <m:sSupPr>
            <m:ctrlPr>
              <w:rPr>
                <w:rFonts w:ascii="Cambria Math" w:hAnsi="Cambria Math"/>
                <w:bCs/>
                <w:i/>
                <w:vertAlign w:val="superscript"/>
              </w:rPr>
            </m:ctrlPr>
          </m:sSupPr>
          <m:e>
            <m:r>
              <w:rPr>
                <w:rFonts w:ascii="Cambria Math" w:hAnsi="Cambria Math" w:hint="eastAsia"/>
                <w:vertAlign w:val="superscript"/>
              </w:rPr>
              <m:t xml:space="preserve"> </m:t>
            </m:r>
            <m:d>
              <m:dPr>
                <m:ctrlPr>
                  <w:rPr>
                    <w:rFonts w:ascii="Cambria Math" w:hAnsi="Cambria Math"/>
                    <w:bCs/>
                    <w:i/>
                    <w:vertAlign w:val="superscript"/>
                  </w:rPr>
                </m:ctrlPr>
              </m:dPr>
              <m:e>
                <m:r>
                  <w:rPr>
                    <w:rFonts w:ascii="Cambria Math" w:hAnsi="Cambria Math"/>
                    <w:vertAlign w:val="superscript"/>
                  </w:rPr>
                  <m:t>∆K</m:t>
                </m:r>
              </m:e>
            </m:d>
          </m:e>
          <m:sup>
            <m:r>
              <w:rPr>
                <w:rFonts w:ascii="Cambria Math" w:hAnsi="Cambria Math"/>
                <w:vertAlign w:val="superscript"/>
              </w:rPr>
              <m:t>m</m:t>
            </m:r>
          </m:sup>
        </m:sSup>
        <m:r>
          <m:rPr>
            <m:sty m:val="p"/>
          </m:rPr>
          <w:rPr>
            <w:rFonts w:ascii="Cambria Math" w:hAnsi="Cambria Math" w:hint="eastAsia"/>
          </w:rPr>
          <m:t xml:space="preserve"> </m:t>
        </m:r>
      </m:oMath>
      <w:r w:rsidRPr="00BC31E0">
        <w:rPr>
          <w:rFonts w:ascii="ＭＳ 明朝" w:hAnsi="ＭＳ 明朝" w:hint="eastAsia"/>
          <w:bCs/>
        </w:rPr>
        <w:t>のデータを取得する。</w:t>
      </w:r>
    </w:p>
    <w:p w14:paraId="600D3E1B" w14:textId="77777777" w:rsidR="00F137F4" w:rsidRPr="00BC31E0" w:rsidRDefault="00F137F4" w:rsidP="00736130">
      <w:pPr>
        <w:pStyle w:val="a4"/>
        <w:numPr>
          <w:ilvl w:val="0"/>
          <w:numId w:val="332"/>
        </w:numPr>
        <w:ind w:leftChars="0" w:left="454" w:hanging="454"/>
      </w:pPr>
      <w:r w:rsidRPr="00BC31E0">
        <w:rPr>
          <w:rFonts w:asciiTheme="majorEastAsia" w:eastAsiaTheme="majorEastAsia" w:hAnsiTheme="majorEastAsia" w:hint="eastAsia"/>
          <w:b/>
        </w:rPr>
        <w:t>記録</w:t>
      </w:r>
      <w:r w:rsidRPr="00BC31E0">
        <w:rPr>
          <w:rFonts w:hAnsi="ＭＳ ゴシック" w:hint="eastAsia"/>
        </w:rPr>
        <w:t xml:space="preserve">　</w:t>
      </w:r>
      <w:r w:rsidRPr="00BC31E0">
        <w:rPr>
          <w:rFonts w:asciiTheme="majorEastAsia" w:eastAsiaTheme="majorEastAsia" w:hAnsiTheme="majorEastAsia" w:hint="eastAsia"/>
          <w:b/>
        </w:rPr>
        <w:t>ASTM E647</w:t>
      </w:r>
      <w:r w:rsidRPr="00BC31E0">
        <w:rPr>
          <w:rFonts w:ascii="ＭＳ 明朝" w:hAnsi="ＭＳ 明朝" w:hint="eastAsia"/>
          <w:bCs/>
        </w:rPr>
        <w:t>の</w:t>
      </w:r>
      <w:r w:rsidRPr="00BC31E0">
        <w:rPr>
          <w:rFonts w:asciiTheme="majorEastAsia" w:eastAsiaTheme="majorEastAsia" w:hAnsiTheme="majorEastAsia" w:hint="eastAsia"/>
          <w:b/>
        </w:rPr>
        <w:t>10</w:t>
      </w:r>
      <w:r w:rsidRPr="00BC31E0">
        <w:rPr>
          <w:rFonts w:ascii="ＭＳ 明朝" w:hAnsi="ＭＳ 明朝" w:hint="eastAsia"/>
          <w:bCs/>
        </w:rPr>
        <w:t>に従って報告書を作成する。</w:t>
      </w:r>
    </w:p>
    <w:p w14:paraId="77148139" w14:textId="77777777" w:rsidR="00F137F4" w:rsidRPr="00BC31E0" w:rsidRDefault="00775A5C" w:rsidP="00D807D7">
      <w:pPr>
        <w:pStyle w:val="3"/>
        <w:ind w:left="794" w:hanging="794"/>
      </w:pPr>
      <w:r w:rsidRPr="00BC31E0">
        <w:rPr>
          <w:rFonts w:hint="eastAsia"/>
        </w:rPr>
        <w:t xml:space="preserve">　</w:t>
      </w:r>
      <w:r w:rsidR="00F137F4" w:rsidRPr="00BC31E0">
        <w:rPr>
          <w:rFonts w:hint="eastAsia"/>
        </w:rPr>
        <w:t>SA-372</w:t>
      </w:r>
      <w:r w:rsidR="00241471" w:rsidRPr="00BC31E0">
        <w:rPr>
          <w:rFonts w:hint="eastAsia"/>
        </w:rPr>
        <w:t>M</w:t>
      </w:r>
      <w:r w:rsidR="00F137F4" w:rsidRPr="00BC31E0">
        <w:rPr>
          <w:rFonts w:hint="eastAsia"/>
        </w:rPr>
        <w:t>及びSA-723</w:t>
      </w:r>
      <w:r w:rsidR="00241471" w:rsidRPr="00BC31E0">
        <w:rPr>
          <w:rFonts w:hint="eastAsia"/>
        </w:rPr>
        <w:t>M</w:t>
      </w:r>
      <w:r w:rsidR="00F137F4" w:rsidRPr="00BC31E0">
        <w:rPr>
          <w:rFonts w:hint="eastAsia"/>
        </w:rPr>
        <w:t>の疲労亀裂進展速度</w:t>
      </w:r>
    </w:p>
    <w:p w14:paraId="68AE6BBB" w14:textId="77777777" w:rsidR="00F137F4" w:rsidRPr="00BC31E0" w:rsidRDefault="00F137F4" w:rsidP="00775A5C">
      <w:pPr>
        <w:pStyle w:val="1110"/>
        <w:ind w:firstLine="210"/>
      </w:pPr>
      <w:r w:rsidRPr="00BC31E0">
        <w:rPr>
          <w:rFonts w:hint="eastAsia"/>
        </w:rPr>
        <w:t>SA-372</w:t>
      </w:r>
      <w:r w:rsidR="00241471" w:rsidRPr="00BC31E0">
        <w:rPr>
          <w:rFonts w:hint="eastAsia"/>
        </w:rPr>
        <w:t>M</w:t>
      </w:r>
      <w:r w:rsidRPr="00BC31E0">
        <w:rPr>
          <w:rFonts w:hint="eastAsia"/>
        </w:rPr>
        <w:t>及び</w:t>
      </w:r>
      <w:r w:rsidRPr="00BC31E0">
        <w:rPr>
          <w:rFonts w:hint="eastAsia"/>
        </w:rPr>
        <w:t>SA-723</w:t>
      </w:r>
      <w:r w:rsidR="00241471" w:rsidRPr="00BC31E0">
        <w:rPr>
          <w:rFonts w:hint="eastAsia"/>
        </w:rPr>
        <w:t>M</w:t>
      </w:r>
      <w:r w:rsidRPr="00BC31E0">
        <w:rPr>
          <w:rFonts w:hint="eastAsia"/>
        </w:rPr>
        <w:t>の室温における水素ガス環境の疲労亀裂進展速度は，次の</w:t>
      </w:r>
      <w:r w:rsidRPr="00BC31E0">
        <w:rPr>
          <w:rFonts w:asciiTheme="majorEastAsia" w:eastAsiaTheme="majorEastAsia" w:hAnsiTheme="majorEastAsia" w:hint="eastAsia"/>
          <w:b/>
        </w:rPr>
        <w:t>a)</w:t>
      </w:r>
      <w:r w:rsidRPr="00BC31E0">
        <w:rPr>
          <w:rFonts w:hint="eastAsia"/>
        </w:rPr>
        <w:t>～</w:t>
      </w:r>
      <w:r w:rsidRPr="00BC31E0">
        <w:rPr>
          <w:rFonts w:asciiTheme="majorEastAsia" w:eastAsiaTheme="majorEastAsia" w:hAnsiTheme="majorEastAsia" w:hint="eastAsia"/>
          <w:b/>
        </w:rPr>
        <w:t>c)</w:t>
      </w:r>
      <w:r w:rsidRPr="00BC31E0">
        <w:rPr>
          <w:rFonts w:hint="eastAsia"/>
        </w:rPr>
        <w:t>による。</w:t>
      </w:r>
    </w:p>
    <w:p w14:paraId="0667C0E0" w14:textId="77777777" w:rsidR="00F137F4" w:rsidRPr="00BC31E0" w:rsidRDefault="00F137F4" w:rsidP="00736130">
      <w:pPr>
        <w:pStyle w:val="a4"/>
        <w:numPr>
          <w:ilvl w:val="0"/>
          <w:numId w:val="333"/>
        </w:numPr>
        <w:ind w:leftChars="0" w:left="454" w:hanging="454"/>
      </w:pPr>
      <w:r w:rsidRPr="00BC31E0">
        <w:rPr>
          <w:rFonts w:hint="eastAsia"/>
        </w:rPr>
        <w:t>疲労亀裂進展速度は，応力拡大係数範囲</w:t>
      </w:r>
      <m:oMath>
        <m:r>
          <m:rPr>
            <m:sty m:val="p"/>
          </m:rPr>
          <w:rPr>
            <w:rFonts w:ascii="Cambria Math" w:hAnsi="Cambria Math" w:hint="eastAsia"/>
          </w:rPr>
          <m:t xml:space="preserve"> </m:t>
        </m:r>
        <m:r>
          <w:rPr>
            <w:rFonts w:ascii="Cambria Math" w:hAnsi="Cambria Math"/>
          </w:rPr>
          <m:t>ΔK</m:t>
        </m:r>
      </m:oMath>
      <w:r w:rsidRPr="00BC31E0">
        <w:rPr>
          <w:rFonts w:hint="eastAsia"/>
        </w:rPr>
        <w:t>と応力拡大係数比</w:t>
      </w:r>
      <m:oMath>
        <m:sSub>
          <m:sSubPr>
            <m:ctrlPr>
              <w:rPr>
                <w:rFonts w:ascii="Cambria Math" w:hAnsi="Cambria Math"/>
                <w:i/>
              </w:rPr>
            </m:ctrlPr>
          </m:sSubPr>
          <m:e>
            <m:r>
              <w:rPr>
                <w:rFonts w:ascii="Cambria Math" w:hAnsi="Cambria Math"/>
              </w:rPr>
              <m:t xml:space="preserve"> </m:t>
            </m:r>
            <m:r>
              <w:rPr>
                <w:rFonts w:ascii="Cambria Math" w:hAnsi="Cambria Math" w:hint="eastAsia"/>
              </w:rPr>
              <m:t>R</m:t>
            </m:r>
          </m:e>
          <m:sub>
            <m:r>
              <w:rPr>
                <w:rFonts w:ascii="Cambria Math" w:hAnsi="Cambria Math"/>
              </w:rPr>
              <m:t>k</m:t>
            </m:r>
          </m:sub>
        </m:sSub>
        <m:r>
          <w:rPr>
            <w:rFonts w:ascii="Cambria Math" w:hAnsi="Cambria Math" w:hint="eastAsia"/>
          </w:rPr>
          <m:t xml:space="preserve"> </m:t>
        </m:r>
      </m:oMath>
      <w:r w:rsidRPr="00BC31E0">
        <w:rPr>
          <w:rFonts w:hint="eastAsia"/>
        </w:rPr>
        <w:t>の関数として次式による。</w:t>
      </w:r>
    </w:p>
    <w:tbl>
      <w:tblPr>
        <w:tblStyle w:val="afff2"/>
        <w:tblW w:w="6237"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6"/>
        <w:gridCol w:w="4211"/>
      </w:tblGrid>
      <w:tr w:rsidR="00F137F4" w:rsidRPr="00BC31E0" w14:paraId="64C96B25" w14:textId="77777777" w:rsidTr="004736F2">
        <w:tc>
          <w:tcPr>
            <w:tcW w:w="0" w:type="auto"/>
            <w:tcMar>
              <w:left w:w="0" w:type="dxa"/>
              <w:right w:w="0" w:type="dxa"/>
            </w:tcMar>
            <w:vAlign w:val="center"/>
          </w:tcPr>
          <w:p w14:paraId="555EFFFB" w14:textId="77777777" w:rsidR="00F137F4" w:rsidRPr="00BC31E0" w:rsidRDefault="00A51873" w:rsidP="004736F2">
            <w:pPr>
              <w:spacing w:before="120"/>
              <w:rPr>
                <w:rFonts w:ascii="ＭＳ 明朝" w:hAnsi="ＭＳ 明朝"/>
              </w:rPr>
            </w:pPr>
            <m:oMathPara>
              <m:oMathParaPr>
                <m:jc m:val="left"/>
              </m:oMathParaPr>
              <m:oMath>
                <m:f>
                  <m:fPr>
                    <m:ctrlPr>
                      <w:rPr>
                        <w:rFonts w:ascii="Cambria Math" w:hAnsi="Cambria Math"/>
                        <w:i/>
                      </w:rPr>
                    </m:ctrlPr>
                  </m:fPr>
                  <m:num>
                    <m:r>
                      <w:rPr>
                        <w:rFonts w:ascii="Cambria Math" w:hAnsi="Cambria Math"/>
                      </w:rPr>
                      <m:t>da</m:t>
                    </m:r>
                  </m:num>
                  <m:den>
                    <m:r>
                      <w:rPr>
                        <w:rFonts w:ascii="Cambria Math" w:hAnsi="Cambria Math"/>
                      </w:rPr>
                      <m:t>dN</m:t>
                    </m:r>
                  </m:den>
                </m:f>
                <m:r>
                  <m:rPr>
                    <m:nor/>
                  </m:rPr>
                  <w:rPr>
                    <w:rFonts w:ascii="Cambria Math" w:eastAsiaTheme="minorEastAsia" w:hAnsi="Cambria Math"/>
                    <w:i/>
                  </w:rPr>
                  <m:t>=</m:t>
                </m:r>
                <m:r>
                  <m:rPr>
                    <m:nor/>
                  </m:rPr>
                  <w:rPr>
                    <w:rFonts w:ascii="Cambria Math" w:eastAsiaTheme="minorEastAsia" w:hAnsi="Cambria Math" w:hint="eastAsia"/>
                    <w:i/>
                  </w:rPr>
                  <m:t xml:space="preserve">C </m:t>
                </m:r>
                <m:sSup>
                  <m:sSupPr>
                    <m:ctrlPr>
                      <w:rPr>
                        <w:rFonts w:ascii="Cambria Math" w:hAnsi="Cambria Math"/>
                        <w:i/>
                      </w:rPr>
                    </m:ctrlPr>
                  </m:sSupPr>
                  <m:e>
                    <m:r>
                      <w:rPr>
                        <w:rFonts w:ascii="Cambria Math" w:hAnsi="Cambria Math"/>
                      </w:rPr>
                      <m:t xml:space="preserve"> </m:t>
                    </m:r>
                    <m:d>
                      <m:dPr>
                        <m:begChr m:val="{"/>
                        <m:endChr m:val="}"/>
                        <m:ctrlPr>
                          <w:rPr>
                            <w:rFonts w:ascii="Cambria Math" w:hAnsi="Cambria Math"/>
                            <w:i/>
                          </w:rPr>
                        </m:ctrlPr>
                      </m:dPr>
                      <m:e>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k</m:t>
                                </m:r>
                              </m:sub>
                            </m:sSub>
                          </m:e>
                        </m:d>
                      </m:e>
                    </m:d>
                    <m:r>
                      <w:rPr>
                        <w:rFonts w:ascii="Cambria Math" w:hAnsi="Cambria Math"/>
                      </w:rPr>
                      <m:t xml:space="preserve"> </m:t>
                    </m:r>
                    <m:d>
                      <m:dPr>
                        <m:ctrlPr>
                          <w:rPr>
                            <w:rFonts w:ascii="Cambria Math" w:hAnsi="Cambria Math"/>
                            <w:i/>
                          </w:rPr>
                        </m:ctrlPr>
                      </m:dPr>
                      <m:e>
                        <m:r>
                          <w:rPr>
                            <w:rFonts w:ascii="Cambria Math" w:hAnsi="Cambria Math"/>
                          </w:rPr>
                          <m:t>∆K</m:t>
                        </m:r>
                      </m:e>
                    </m:d>
                  </m:e>
                  <m:sup>
                    <m:r>
                      <w:rPr>
                        <w:rFonts w:ascii="Cambria Math" w:hAnsi="Cambria Math"/>
                      </w:rPr>
                      <m:t>m</m:t>
                    </m:r>
                  </m:sup>
                </m:sSup>
              </m:oMath>
            </m:oMathPara>
          </w:p>
        </w:tc>
        <w:tc>
          <w:tcPr>
            <w:tcW w:w="4211" w:type="dxa"/>
            <w:tcMar>
              <w:left w:w="0" w:type="dxa"/>
              <w:right w:w="0" w:type="dxa"/>
            </w:tcMar>
            <w:vAlign w:val="center"/>
          </w:tcPr>
          <w:p w14:paraId="388F1946" w14:textId="77777777" w:rsidR="00F137F4" w:rsidRPr="00BC31E0" w:rsidRDefault="00F137F4" w:rsidP="00775A5C">
            <w:pPr>
              <w:tabs>
                <w:tab w:val="left" w:leader="middleDot" w:pos="3219"/>
              </w:tabs>
              <w:spacing w:before="120"/>
              <w:jc w:val="left"/>
              <w:rPr>
                <w:rFonts w:asciiTheme="minorHAnsi" w:hAnsiTheme="minorHAnsi"/>
              </w:rPr>
            </w:pPr>
            <w:r w:rsidRPr="00BC31E0">
              <w:rPr>
                <w:rFonts w:asciiTheme="minorHAnsi" w:hAnsiTheme="minorHAnsi"/>
              </w:rPr>
              <w:tab/>
              <w:t>(6.13.13)</w:t>
            </w:r>
          </w:p>
        </w:tc>
      </w:tr>
      <w:tr w:rsidR="00F137F4" w:rsidRPr="00BC31E0" w14:paraId="72188DE7" w14:textId="77777777" w:rsidTr="004736F2">
        <w:tc>
          <w:tcPr>
            <w:tcW w:w="0" w:type="auto"/>
            <w:tcMar>
              <w:left w:w="0" w:type="dxa"/>
              <w:right w:w="0" w:type="dxa"/>
            </w:tcMar>
            <w:vAlign w:val="center"/>
          </w:tcPr>
          <w:p w14:paraId="1E2046AE" w14:textId="77777777" w:rsidR="00F137F4" w:rsidRPr="00BC31E0" w:rsidRDefault="00F137F4" w:rsidP="004736F2">
            <w:pPr>
              <w:spacing w:before="120"/>
              <w:rPr>
                <w:rFonts w:ascii="ＭＳ 明朝" w:hAnsi="ＭＳ 明朝"/>
              </w:rPr>
            </w:pPr>
            <m:oMathPara>
              <m:oMathParaPr>
                <m:jc m:val="left"/>
              </m:oMathParaPr>
              <m:oMath>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k</m:t>
                        </m:r>
                      </m:sub>
                    </m:sSub>
                  </m:e>
                </m:d>
                <m:r>
                  <m:rPr>
                    <m:nor/>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H</m:t>
                        </m:r>
                      </m:sub>
                    </m:sSub>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k</m:t>
                        </m:r>
                      </m:sub>
                    </m:sSub>
                  </m:num>
                  <m:den>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k</m:t>
                        </m:r>
                      </m:sub>
                    </m:sSub>
                  </m:den>
                </m:f>
              </m:oMath>
            </m:oMathPara>
          </w:p>
        </w:tc>
        <w:tc>
          <w:tcPr>
            <w:tcW w:w="4211" w:type="dxa"/>
            <w:tcMar>
              <w:left w:w="0" w:type="dxa"/>
              <w:right w:w="0" w:type="dxa"/>
            </w:tcMar>
            <w:vAlign w:val="center"/>
          </w:tcPr>
          <w:p w14:paraId="57444BB0" w14:textId="77777777" w:rsidR="00F137F4" w:rsidRPr="00BC31E0" w:rsidRDefault="00F137F4" w:rsidP="004736F2">
            <w:pPr>
              <w:tabs>
                <w:tab w:val="left" w:leader="middleDot" w:pos="3219"/>
              </w:tabs>
              <w:spacing w:before="120"/>
              <w:jc w:val="left"/>
              <w:rPr>
                <w:rFonts w:asciiTheme="minorHAnsi" w:hAnsiTheme="minorHAnsi"/>
              </w:rPr>
            </w:pPr>
            <w:r w:rsidRPr="00BC31E0">
              <w:rPr>
                <w:rFonts w:asciiTheme="minorHAnsi" w:hAnsiTheme="minorHAnsi"/>
              </w:rPr>
              <w:tab/>
            </w:r>
            <w:r w:rsidRPr="00BC31E0">
              <w:rPr>
                <w:rFonts w:asciiTheme="minorHAnsi" w:hAnsiTheme="minorHAnsi" w:hint="eastAsia"/>
              </w:rPr>
              <w:t>(6.13.14)</w:t>
            </w:r>
          </w:p>
        </w:tc>
      </w:tr>
      <w:tr w:rsidR="00F137F4" w:rsidRPr="00BC31E0" w14:paraId="311868AB" w14:textId="77777777" w:rsidTr="004736F2">
        <w:tc>
          <w:tcPr>
            <w:tcW w:w="0" w:type="auto"/>
            <w:tcMar>
              <w:left w:w="0" w:type="dxa"/>
              <w:right w:w="0" w:type="dxa"/>
            </w:tcMar>
            <w:vAlign w:val="center"/>
          </w:tcPr>
          <w:p w14:paraId="3308D77F" w14:textId="77777777" w:rsidR="00F137F4" w:rsidRPr="00BC31E0" w:rsidRDefault="00F137F4" w:rsidP="004736F2">
            <w:pPr>
              <w:spacing w:before="120"/>
              <w:rPr>
                <w:rFonts w:ascii="ＭＳ 明朝" w:hAnsi="ＭＳ 明朝"/>
              </w:rPr>
            </w:pPr>
            <m:oMathPara>
              <m:oMathParaPr>
                <m:jc m:val="left"/>
              </m:oMathParaPr>
              <m:oMath>
                <m:r>
                  <w:rPr>
                    <w:rFonts w:ascii="Cambria Math" w:hAnsi="Cambria Math"/>
                  </w:rPr>
                  <m:t>∆K</m:t>
                </m:r>
                <m:r>
                  <m:rPr>
                    <m:nor/>
                  </m:rP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m:rPr>
                        <m:sty m:val="p"/>
                      </m:rPr>
                      <w:rPr>
                        <w:rFonts w:ascii="Cambria Math" w:eastAsiaTheme="minorEastAsia" w:hAnsi="Cambria Math"/>
                      </w:rPr>
                      <m:t>I max</m:t>
                    </m:r>
                  </m:sub>
                </m:sSub>
                <m:sSub>
                  <m:sSubPr>
                    <m:ctrlPr>
                      <w:rPr>
                        <w:rFonts w:ascii="Cambria Math" w:eastAsiaTheme="minorEastAsia" w:hAnsi="Cambria Math"/>
                        <w:i/>
                      </w:rPr>
                    </m:ctrlPr>
                  </m:sSubPr>
                  <m:e>
                    <m:r>
                      <m:rPr>
                        <m:sty m:val="p"/>
                      </m:rPr>
                      <w:rPr>
                        <w:rFonts w:ascii="Cambria Math" w:eastAsiaTheme="minorEastAsia" w:hAnsi="Cambria Math"/>
                      </w:rPr>
                      <m:t>-</m:t>
                    </m:r>
                    <m:r>
                      <w:rPr>
                        <w:rFonts w:ascii="Cambria Math" w:eastAsiaTheme="minorEastAsia" w:hAnsi="Cambria Math"/>
                      </w:rPr>
                      <m:t>K</m:t>
                    </m:r>
                  </m:e>
                  <m:sub>
                    <m:r>
                      <m:rPr>
                        <m:sty m:val="p"/>
                      </m:rPr>
                      <w:rPr>
                        <w:rFonts w:ascii="Cambria Math" w:eastAsiaTheme="minorEastAsia" w:hAnsi="Cambria Math"/>
                      </w:rPr>
                      <m:t>I min</m:t>
                    </m:r>
                  </m:sub>
                </m:sSub>
              </m:oMath>
            </m:oMathPara>
          </w:p>
        </w:tc>
        <w:tc>
          <w:tcPr>
            <w:tcW w:w="4211" w:type="dxa"/>
            <w:tcMar>
              <w:left w:w="0" w:type="dxa"/>
              <w:right w:w="0" w:type="dxa"/>
            </w:tcMar>
            <w:vAlign w:val="center"/>
          </w:tcPr>
          <w:p w14:paraId="753FF149" w14:textId="77777777" w:rsidR="00F137F4" w:rsidRPr="00BC31E0" w:rsidRDefault="00F137F4" w:rsidP="004736F2">
            <w:pPr>
              <w:tabs>
                <w:tab w:val="left" w:leader="middleDot" w:pos="3219"/>
              </w:tabs>
              <w:spacing w:before="120"/>
              <w:jc w:val="left"/>
              <w:rPr>
                <w:rFonts w:asciiTheme="minorHAnsi" w:hAnsiTheme="minorHAnsi"/>
              </w:rPr>
            </w:pPr>
            <w:r w:rsidRPr="00BC31E0">
              <w:rPr>
                <w:rFonts w:asciiTheme="minorHAnsi" w:hAnsiTheme="minorHAnsi"/>
              </w:rPr>
              <w:tab/>
            </w:r>
            <w:r w:rsidRPr="00BC31E0">
              <w:rPr>
                <w:rFonts w:asciiTheme="minorHAnsi" w:hAnsiTheme="minorHAnsi" w:hint="eastAsia"/>
              </w:rPr>
              <w:t>(6.13.15)</w:t>
            </w:r>
          </w:p>
        </w:tc>
      </w:tr>
      <w:tr w:rsidR="00F137F4" w:rsidRPr="00BC31E0" w14:paraId="77240304" w14:textId="77777777" w:rsidTr="004736F2">
        <w:tc>
          <w:tcPr>
            <w:tcW w:w="0" w:type="auto"/>
            <w:tcMar>
              <w:left w:w="0" w:type="dxa"/>
              <w:right w:w="0" w:type="dxa"/>
            </w:tcMar>
            <w:vAlign w:val="center"/>
          </w:tcPr>
          <w:p w14:paraId="1074385F" w14:textId="77777777" w:rsidR="00F137F4" w:rsidRPr="00BC31E0" w:rsidRDefault="00A51873" w:rsidP="004736F2">
            <w:pPr>
              <w:spacing w:before="120"/>
              <w:rPr>
                <w:rFonts w:ascii="ＭＳ 明朝" w:hAnsi="ＭＳ 明朝"/>
              </w:rPr>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k</m:t>
                    </m:r>
                  </m:sub>
                </m:sSub>
                <m:r>
                  <m:rPr>
                    <m:nor/>
                  </m:rPr>
                  <w:rPr>
                    <w:rFonts w:ascii="Cambria Math" w:eastAsiaTheme="minorEastAsia" w:hAnsi="Cambria Math"/>
                  </w:rPr>
                  <m:t>=</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K</m:t>
                        </m:r>
                      </m:e>
                      <m:sub>
                        <m:r>
                          <m:rPr>
                            <m:sty m:val="p"/>
                          </m:rPr>
                          <w:rPr>
                            <w:rFonts w:ascii="Cambria Math" w:eastAsiaTheme="minorEastAsia" w:hAnsi="Cambria Math"/>
                          </w:rPr>
                          <m:t>I min</m:t>
                        </m:r>
                      </m:sub>
                    </m:sSub>
                  </m:num>
                  <m:den>
                    <m:sSub>
                      <m:sSubPr>
                        <m:ctrlPr>
                          <w:rPr>
                            <w:rFonts w:ascii="Cambria Math" w:eastAsiaTheme="minorEastAsia" w:hAnsi="Cambria Math"/>
                            <w:i/>
                          </w:rPr>
                        </m:ctrlPr>
                      </m:sSubPr>
                      <m:e>
                        <m:r>
                          <w:rPr>
                            <w:rFonts w:ascii="Cambria Math" w:eastAsiaTheme="minorEastAsia" w:hAnsi="Cambria Math"/>
                          </w:rPr>
                          <m:t>K</m:t>
                        </m:r>
                      </m:e>
                      <m:sub>
                        <m:r>
                          <m:rPr>
                            <m:sty m:val="p"/>
                          </m:rPr>
                          <w:rPr>
                            <w:rFonts w:ascii="Cambria Math" w:eastAsiaTheme="minorEastAsia" w:hAnsi="Cambria Math"/>
                          </w:rPr>
                          <m:t>I max</m:t>
                        </m:r>
                      </m:sub>
                    </m:sSub>
                  </m:den>
                </m:f>
              </m:oMath>
            </m:oMathPara>
          </w:p>
        </w:tc>
        <w:tc>
          <w:tcPr>
            <w:tcW w:w="4211" w:type="dxa"/>
            <w:tcMar>
              <w:left w:w="0" w:type="dxa"/>
              <w:right w:w="0" w:type="dxa"/>
            </w:tcMar>
            <w:vAlign w:val="center"/>
          </w:tcPr>
          <w:p w14:paraId="55A35C97" w14:textId="77777777" w:rsidR="00F137F4" w:rsidRPr="00BC31E0" w:rsidRDefault="00F137F4" w:rsidP="004736F2">
            <w:pPr>
              <w:tabs>
                <w:tab w:val="left" w:leader="middleDot" w:pos="3219"/>
              </w:tabs>
              <w:spacing w:before="120"/>
              <w:jc w:val="left"/>
              <w:rPr>
                <w:rFonts w:asciiTheme="minorHAnsi" w:hAnsiTheme="minorHAnsi"/>
              </w:rPr>
            </w:pPr>
            <w:r w:rsidRPr="00BC31E0">
              <w:rPr>
                <w:rFonts w:asciiTheme="minorHAnsi" w:hAnsiTheme="minorHAnsi"/>
              </w:rPr>
              <w:tab/>
            </w:r>
            <w:r w:rsidRPr="00BC31E0">
              <w:rPr>
                <w:rFonts w:asciiTheme="minorHAnsi" w:hAnsiTheme="minorHAnsi" w:hint="eastAsia"/>
              </w:rPr>
              <w:t>(6.13.16)</w:t>
            </w:r>
          </w:p>
        </w:tc>
      </w:tr>
    </w:tbl>
    <w:p w14:paraId="3B949B74" w14:textId="77777777" w:rsidR="00F137F4" w:rsidRPr="00BC31E0" w:rsidRDefault="00F137F4" w:rsidP="006612E3">
      <w:pPr>
        <w:ind w:left="454" w:firstLine="227"/>
        <w:rPr>
          <w:rFonts w:ascii="ＭＳ 明朝" w:hAnsi="ＭＳ 明朝"/>
        </w:rPr>
      </w:pPr>
      <w:r w:rsidRPr="00BC31E0">
        <w:rPr>
          <w:rFonts w:ascii="ＭＳ 明朝" w:hAnsi="ＭＳ 明朝" w:hint="eastAsia"/>
        </w:rPr>
        <w:t>ここで，</w:t>
      </w:r>
    </w:p>
    <w:p w14:paraId="4F1C734D" w14:textId="77777777" w:rsidR="00F137F4" w:rsidRPr="00BC31E0" w:rsidRDefault="00A51873" w:rsidP="006612E3">
      <w:pPr>
        <w:tabs>
          <w:tab w:val="left" w:pos="1985"/>
        </w:tabs>
        <w:autoSpaceDE w:val="0"/>
        <w:autoSpaceDN w:val="0"/>
        <w:ind w:left="1361"/>
      </w:pPr>
      <m:oMath>
        <m:sSub>
          <m:sSubPr>
            <m:ctrlPr>
              <w:rPr>
                <w:rFonts w:ascii="Cambria Math" w:hAnsi="Cambria Math"/>
                <w:iCs/>
              </w:rPr>
            </m:ctrlPr>
          </m:sSubPr>
          <m:e>
            <m:r>
              <w:rPr>
                <w:rFonts w:ascii="Cambria Math" w:hAnsi="Cambria Math"/>
              </w:rPr>
              <m:t>K</m:t>
            </m:r>
          </m:e>
          <m:sub>
            <m:r>
              <m:rPr>
                <m:sty m:val="p"/>
              </m:rPr>
              <w:rPr>
                <w:rFonts w:ascii="Cambria Math" w:hAnsi="Cambria Math"/>
              </w:rPr>
              <m:t>Imax</m:t>
            </m:r>
          </m:sub>
        </m:sSub>
      </m:oMath>
      <w:r w:rsidR="00F137F4" w:rsidRPr="00BC31E0">
        <w:rPr>
          <w:rFonts w:hint="eastAsia"/>
          <w:iCs/>
        </w:rPr>
        <w:tab/>
      </w:r>
      <w:r w:rsidR="00F137F4" w:rsidRPr="00BC31E0">
        <w:rPr>
          <w:rFonts w:hint="eastAsia"/>
        </w:rPr>
        <w:t>：</w:t>
      </w:r>
      <w:r w:rsidR="00F137F4" w:rsidRPr="00BC31E0">
        <w:rPr>
          <w:rFonts w:hint="eastAsia"/>
        </w:rPr>
        <w:t xml:space="preserve"> </w:t>
      </w:r>
      <w:r w:rsidR="00F137F4" w:rsidRPr="00BC31E0">
        <w:rPr>
          <w:rFonts w:hint="eastAsia"/>
        </w:rPr>
        <w:t>最大応力拡大係数，</w:t>
      </w:r>
      <m:oMath>
        <m:sSub>
          <m:sSubPr>
            <m:ctrlPr>
              <w:rPr>
                <w:rFonts w:ascii="Cambria Math" w:hAnsi="Cambria Math"/>
                <w:i/>
              </w:rPr>
            </m:ctrlPr>
          </m:sSubPr>
          <m:e>
            <m:r>
              <w:rPr>
                <w:rFonts w:ascii="Cambria Math" w:hAnsi="Cambria Math"/>
              </w:rPr>
              <m:t>K</m:t>
            </m:r>
          </m:e>
          <m:sub>
            <m:r>
              <m:rPr>
                <m:sty m:val="p"/>
              </m:rPr>
              <w:rPr>
                <w:rFonts w:ascii="Cambria Math" w:hAnsi="Cambria Math"/>
              </w:rPr>
              <m:t>Imax</m:t>
            </m:r>
          </m:sub>
        </m:sSub>
        <m:r>
          <w:rPr>
            <w:rFonts w:ascii="Cambria Math" w:hAnsi="Cambria Math"/>
          </w:rPr>
          <m:t>=</m:t>
        </m:r>
        <m:sSubSup>
          <m:sSubSupPr>
            <m:ctrlPr>
              <w:rPr>
                <w:rFonts w:ascii="Cambria Math" w:hAnsi="Cambria Math"/>
                <w:i/>
              </w:rPr>
            </m:ctrlPr>
          </m:sSubSupPr>
          <m:e>
            <m:r>
              <w:rPr>
                <w:rFonts w:ascii="Cambria Math" w:hAnsi="Cambria Math"/>
              </w:rPr>
              <m:t>K</m:t>
            </m:r>
          </m:e>
          <m:sub>
            <m:r>
              <m:rPr>
                <m:sty m:val="p"/>
              </m:rPr>
              <w:rPr>
                <w:rFonts w:ascii="Cambria Math" w:hAnsi="Cambria Math"/>
              </w:rPr>
              <m:t>Imax</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K</m:t>
            </m:r>
          </m:e>
          <m:sub>
            <m:r>
              <m:rPr>
                <m:sty m:val="p"/>
              </m:rPr>
              <w:rPr>
                <w:rFonts w:ascii="Cambria Math" w:hAnsi="Cambria Math"/>
              </w:rPr>
              <m:t>Ires</m:t>
            </m:r>
          </m:sub>
        </m:sSub>
      </m:oMath>
      <w:r w:rsidR="00F137F4" w:rsidRPr="00BC31E0">
        <w:rPr>
          <w:rFonts w:hint="eastAsia"/>
        </w:rPr>
        <w:t xml:space="preserve"> (</w:t>
      </w:r>
      <m:oMath>
        <m:r>
          <m:rPr>
            <m:sty m:val="p"/>
          </m:rPr>
          <w:rPr>
            <w:rFonts w:ascii="Cambria Math" w:hAnsi="Cambria Math"/>
          </w:rPr>
          <m:t>MPa</m:t>
        </m:r>
        <m:rad>
          <m:radPr>
            <m:degHide m:val="1"/>
            <m:ctrlPr>
              <w:rPr>
                <w:rFonts w:ascii="Cambria Math" w:hAnsi="Cambria Math"/>
              </w:rPr>
            </m:ctrlPr>
          </m:radPr>
          <m:deg/>
          <m:e>
            <m:r>
              <m:rPr>
                <m:sty m:val="p"/>
              </m:rPr>
              <w:rPr>
                <w:rFonts w:ascii="Cambria Math" w:hAnsi="Cambria Math"/>
              </w:rPr>
              <m:t>m</m:t>
            </m:r>
          </m:e>
        </m:rad>
      </m:oMath>
      <w:r w:rsidR="00F137F4" w:rsidRPr="00BC31E0">
        <w:rPr>
          <w:rFonts w:hint="eastAsia"/>
        </w:rPr>
        <w:t>)</w:t>
      </w:r>
    </w:p>
    <w:p w14:paraId="118039BA" w14:textId="77777777" w:rsidR="00F137F4" w:rsidRPr="00BC31E0" w:rsidRDefault="00F137F4" w:rsidP="006612E3">
      <w:pPr>
        <w:tabs>
          <w:tab w:val="left" w:pos="2310"/>
        </w:tabs>
        <w:autoSpaceDE w:val="0"/>
        <w:autoSpaceDN w:val="0"/>
        <w:ind w:left="1418"/>
      </w:pPr>
      <w:r w:rsidRPr="00BC31E0">
        <w:rPr>
          <w:rFonts w:hint="eastAsia"/>
          <w:iCs/>
        </w:rPr>
        <w:tab/>
      </w:r>
      <m:oMath>
        <m:sSub>
          <m:sSubPr>
            <m:ctrlPr>
              <w:rPr>
                <w:rFonts w:ascii="Cambria Math" w:hAnsi="Cambria Math"/>
                <w:iCs/>
              </w:rPr>
            </m:ctrlPr>
          </m:sSubPr>
          <m:e>
            <m:r>
              <w:rPr>
                <w:rFonts w:ascii="Cambria Math" w:hAnsi="Cambria Math"/>
              </w:rPr>
              <m:t>K</m:t>
            </m:r>
          </m:e>
          <m:sub>
            <m:r>
              <m:rPr>
                <m:sty m:val="p"/>
              </m:rPr>
              <w:rPr>
                <w:rFonts w:ascii="Cambria Math" w:hAnsi="Cambria Math"/>
              </w:rPr>
              <m:t>Imax</m:t>
            </m:r>
          </m:sub>
        </m:sSub>
        <m:r>
          <m:rPr>
            <m:sty m:val="p"/>
          </m:rPr>
          <w:rPr>
            <w:rFonts w:ascii="Cambria Math" w:hAnsi="Cambria Math"/>
          </w:rPr>
          <m:t xml:space="preserve"> </m:t>
        </m:r>
      </m:oMath>
      <w:r w:rsidRPr="00BC31E0">
        <w:rPr>
          <w:rFonts w:hint="eastAsia"/>
          <w:iCs/>
        </w:rPr>
        <w:t>は，</w:t>
      </w:r>
      <w:r w:rsidRPr="00BC31E0">
        <w:rPr>
          <w:iCs/>
        </w:rPr>
        <w:t>40</w:t>
      </w:r>
      <m:oMath>
        <m:r>
          <m:rPr>
            <m:sty m:val="p"/>
          </m:rPr>
          <w:rPr>
            <w:rFonts w:ascii="Cambria Math" w:hAnsi="Cambria Math"/>
          </w:rPr>
          <m:t xml:space="preserve"> MPa</m:t>
        </m:r>
        <m:rad>
          <m:radPr>
            <m:degHide m:val="1"/>
            <m:ctrlPr>
              <w:rPr>
                <w:rFonts w:ascii="Cambria Math" w:hAnsi="Cambria Math"/>
              </w:rPr>
            </m:ctrlPr>
          </m:radPr>
          <m:deg/>
          <m:e>
            <m:r>
              <m:rPr>
                <m:sty m:val="p"/>
              </m:rPr>
              <w:rPr>
                <w:rFonts w:ascii="Cambria Math" w:hAnsi="Cambria Math"/>
              </w:rPr>
              <m:t>m</m:t>
            </m:r>
          </m:e>
        </m:rad>
        <m:r>
          <m:rPr>
            <m:sty m:val="p"/>
          </m:rPr>
          <w:rPr>
            <w:rFonts w:ascii="Cambria Math" w:hAnsi="Cambria Math" w:hint="eastAsia"/>
          </w:rPr>
          <m:t xml:space="preserve"> </m:t>
        </m:r>
      </m:oMath>
      <w:r w:rsidRPr="00BC31E0">
        <w:rPr>
          <w:rFonts w:hint="eastAsia"/>
          <w:iCs/>
        </w:rPr>
        <w:t>未満とする。</w:t>
      </w:r>
    </w:p>
    <w:p w14:paraId="7F33457F" w14:textId="77777777" w:rsidR="00F137F4" w:rsidRPr="00BC31E0" w:rsidRDefault="00A51873" w:rsidP="006612E3">
      <w:pPr>
        <w:tabs>
          <w:tab w:val="left" w:pos="1985"/>
        </w:tabs>
        <w:autoSpaceDE w:val="0"/>
        <w:autoSpaceDN w:val="0"/>
        <w:ind w:left="1361"/>
      </w:pPr>
      <m:oMath>
        <m:sSub>
          <m:sSubPr>
            <m:ctrlPr>
              <w:rPr>
                <w:rFonts w:ascii="Cambria Math" w:hAnsi="Cambria Math"/>
                <w:iCs/>
              </w:rPr>
            </m:ctrlPr>
          </m:sSubPr>
          <m:e>
            <m:r>
              <w:rPr>
                <w:rFonts w:ascii="Cambria Math" w:hAnsi="Cambria Math"/>
              </w:rPr>
              <m:t>K</m:t>
            </m:r>
          </m:e>
          <m:sub>
            <m:r>
              <m:rPr>
                <m:sty m:val="p"/>
              </m:rPr>
              <w:rPr>
                <w:rFonts w:ascii="Cambria Math" w:hAnsi="Cambria Math"/>
              </w:rPr>
              <m:t>Imin</m:t>
            </m:r>
          </m:sub>
        </m:sSub>
      </m:oMath>
      <w:r w:rsidR="00F137F4" w:rsidRPr="00BC31E0">
        <w:rPr>
          <w:rFonts w:hint="eastAsia"/>
          <w:iCs/>
        </w:rPr>
        <w:tab/>
      </w:r>
      <w:r w:rsidR="00F137F4" w:rsidRPr="00BC31E0">
        <w:rPr>
          <w:rFonts w:hint="eastAsia"/>
        </w:rPr>
        <w:t>：</w:t>
      </w:r>
      <w:r w:rsidR="00F137F4" w:rsidRPr="00BC31E0">
        <w:rPr>
          <w:rFonts w:hint="eastAsia"/>
        </w:rPr>
        <w:t xml:space="preserve"> </w:t>
      </w:r>
      <w:r w:rsidR="00F137F4" w:rsidRPr="00BC31E0">
        <w:rPr>
          <w:rFonts w:hint="eastAsia"/>
        </w:rPr>
        <w:t>最小応力拡大係数，</w:t>
      </w:r>
      <m:oMath>
        <m:sSub>
          <m:sSubPr>
            <m:ctrlPr>
              <w:rPr>
                <w:rFonts w:ascii="Cambria Math" w:hAnsi="Cambria Math"/>
                <w:i/>
              </w:rPr>
            </m:ctrlPr>
          </m:sSubPr>
          <m:e>
            <m:r>
              <w:rPr>
                <w:rFonts w:ascii="Cambria Math" w:hAnsi="Cambria Math"/>
              </w:rPr>
              <m:t>K</m:t>
            </m:r>
          </m:e>
          <m:sub>
            <m:r>
              <m:rPr>
                <m:sty m:val="p"/>
              </m:rPr>
              <w:rPr>
                <w:rFonts w:ascii="Cambria Math" w:hAnsi="Cambria Math"/>
              </w:rPr>
              <m:t>Imin</m:t>
            </m:r>
          </m:sub>
        </m:sSub>
        <m:r>
          <w:rPr>
            <w:rFonts w:ascii="Cambria Math" w:hAnsi="Cambria Math"/>
          </w:rPr>
          <m:t>=</m:t>
        </m:r>
        <m:sSubSup>
          <m:sSubSupPr>
            <m:ctrlPr>
              <w:rPr>
                <w:rFonts w:ascii="Cambria Math" w:hAnsi="Cambria Math"/>
                <w:i/>
              </w:rPr>
            </m:ctrlPr>
          </m:sSubSupPr>
          <m:e>
            <m:r>
              <w:rPr>
                <w:rFonts w:ascii="Cambria Math" w:hAnsi="Cambria Math"/>
              </w:rPr>
              <m:t>K</m:t>
            </m:r>
          </m:e>
          <m:sub>
            <m:r>
              <m:rPr>
                <m:sty m:val="p"/>
              </m:rPr>
              <w:rPr>
                <w:rFonts w:ascii="Cambria Math" w:hAnsi="Cambria Math"/>
              </w:rPr>
              <m:t>Imin</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K</m:t>
            </m:r>
          </m:e>
          <m:sub>
            <m:r>
              <m:rPr>
                <m:sty m:val="p"/>
              </m:rPr>
              <w:rPr>
                <w:rFonts w:ascii="Cambria Math" w:hAnsi="Cambria Math"/>
              </w:rPr>
              <m:t>Ires</m:t>
            </m:r>
          </m:sub>
        </m:sSub>
      </m:oMath>
      <w:r w:rsidR="00F137F4" w:rsidRPr="00BC31E0">
        <w:rPr>
          <w:rFonts w:hint="eastAsia"/>
        </w:rPr>
        <w:t xml:space="preserve">  (</w:t>
      </w:r>
      <m:oMath>
        <m:r>
          <m:rPr>
            <m:sty m:val="p"/>
          </m:rPr>
          <w:rPr>
            <w:rFonts w:ascii="Cambria Math" w:hAnsi="Cambria Math"/>
          </w:rPr>
          <m:t>MPa</m:t>
        </m:r>
        <m:rad>
          <m:radPr>
            <m:degHide m:val="1"/>
            <m:ctrlPr>
              <w:rPr>
                <w:rFonts w:ascii="Cambria Math" w:hAnsi="Cambria Math"/>
              </w:rPr>
            </m:ctrlPr>
          </m:radPr>
          <m:deg/>
          <m:e>
            <m:r>
              <m:rPr>
                <m:sty m:val="p"/>
              </m:rPr>
              <w:rPr>
                <w:rFonts w:ascii="Cambria Math" w:hAnsi="Cambria Math"/>
              </w:rPr>
              <m:t>m</m:t>
            </m:r>
          </m:e>
        </m:rad>
      </m:oMath>
      <w:r w:rsidR="00F137F4" w:rsidRPr="00BC31E0">
        <w:rPr>
          <w:rFonts w:hint="eastAsia"/>
        </w:rPr>
        <w:t>)</w:t>
      </w:r>
    </w:p>
    <w:p w14:paraId="6CFE0A6D" w14:textId="77777777" w:rsidR="00F137F4" w:rsidRPr="00BC31E0" w:rsidRDefault="00F137F4" w:rsidP="006612E3">
      <w:pPr>
        <w:tabs>
          <w:tab w:val="left" w:pos="2310"/>
        </w:tabs>
        <w:autoSpaceDE w:val="0"/>
        <w:autoSpaceDN w:val="0"/>
        <w:ind w:left="1418"/>
        <w:rPr>
          <w:iCs/>
        </w:rPr>
      </w:pPr>
      <w:r w:rsidRPr="00BC31E0">
        <w:rPr>
          <w:rFonts w:hint="eastAsia"/>
          <w:iCs/>
        </w:rPr>
        <w:tab/>
      </w:r>
      <m:oMath>
        <m:sSub>
          <m:sSubPr>
            <m:ctrlPr>
              <w:rPr>
                <w:rFonts w:ascii="Cambria Math" w:hAnsi="Cambria Math"/>
                <w:iCs/>
              </w:rPr>
            </m:ctrlPr>
          </m:sSubPr>
          <m:e>
            <m:r>
              <w:rPr>
                <w:rFonts w:ascii="Cambria Math" w:hAnsi="Cambria Math"/>
              </w:rPr>
              <m:t>K</m:t>
            </m:r>
          </m:e>
          <m:sub>
            <m:r>
              <m:rPr>
                <m:sty m:val="p"/>
              </m:rPr>
              <w:rPr>
                <w:rFonts w:ascii="Cambria Math" w:hAnsi="Cambria Math"/>
              </w:rPr>
              <m:t>Imin</m:t>
            </m:r>
          </m:sub>
        </m:sSub>
        <m:r>
          <m:rPr>
            <m:sty m:val="p"/>
          </m:rPr>
          <w:rPr>
            <w:rFonts w:ascii="Cambria Math" w:hAnsi="Cambria Math"/>
          </w:rPr>
          <m:t>&lt;</m:t>
        </m:r>
        <m:r>
          <m:rPr>
            <m:sty m:val="p"/>
          </m:rPr>
          <w:rPr>
            <w:rFonts w:ascii="Cambria Math" w:hAnsi="Cambria Math" w:hint="eastAsia"/>
          </w:rPr>
          <m:t xml:space="preserve">0 </m:t>
        </m:r>
      </m:oMath>
      <w:r w:rsidRPr="00BC31E0">
        <w:rPr>
          <w:rFonts w:hint="eastAsia"/>
        </w:rPr>
        <w:t>の場合，</w:t>
      </w:r>
      <m:oMath>
        <m:sSub>
          <m:sSubPr>
            <m:ctrlPr>
              <w:rPr>
                <w:rFonts w:ascii="Cambria Math" w:hAnsi="Cambria Math"/>
                <w:iCs/>
              </w:rPr>
            </m:ctrlPr>
          </m:sSubPr>
          <m:e>
            <m:r>
              <w:rPr>
                <w:rFonts w:ascii="Cambria Math" w:hAnsi="Cambria Math"/>
              </w:rPr>
              <m:t>K</m:t>
            </m:r>
          </m:e>
          <m:sub>
            <m:r>
              <m:rPr>
                <m:sty m:val="p"/>
              </m:rPr>
              <w:rPr>
                <w:rFonts w:ascii="Cambria Math" w:hAnsi="Cambria Math"/>
              </w:rPr>
              <m:t>Imin</m:t>
            </m:r>
          </m:sub>
        </m:sSub>
        <m:r>
          <m:rPr>
            <m:sty m:val="p"/>
          </m:rPr>
          <w:rPr>
            <w:rFonts w:ascii="Cambria Math" w:hAnsi="Cambria Math"/>
          </w:rPr>
          <m:t>=</m:t>
        </m:r>
        <m:r>
          <m:rPr>
            <m:sty m:val="p"/>
          </m:rPr>
          <w:rPr>
            <w:rFonts w:ascii="Cambria Math" w:hAnsi="Cambria Math" w:hint="eastAsia"/>
          </w:rPr>
          <m:t xml:space="preserve">0 </m:t>
        </m:r>
      </m:oMath>
      <w:r w:rsidRPr="00BC31E0">
        <w:rPr>
          <w:rFonts w:hint="eastAsia"/>
          <w:iCs/>
        </w:rPr>
        <w:t>とする。</w:t>
      </w:r>
    </w:p>
    <w:p w14:paraId="68E2EA03" w14:textId="77777777" w:rsidR="00F137F4" w:rsidRPr="00BC31E0" w:rsidRDefault="00F137F4" w:rsidP="006612E3">
      <w:pPr>
        <w:autoSpaceDE w:val="0"/>
        <w:autoSpaceDN w:val="0"/>
        <w:ind w:left="1418"/>
      </w:pPr>
      <m:oMath>
        <m:r>
          <w:rPr>
            <w:rFonts w:ascii="Cambria Math" w:hAnsi="Cambria Math"/>
          </w:rPr>
          <m:t>C</m:t>
        </m:r>
      </m:oMath>
      <w:r w:rsidRPr="00BC31E0">
        <w:rPr>
          <w:rFonts w:hint="eastAsia"/>
        </w:rPr>
        <w:t>，</w:t>
      </w:r>
      <m:oMath>
        <m:r>
          <w:rPr>
            <w:rFonts w:ascii="Cambria Math" w:hAnsi="Cambria Math" w:hint="eastAsia"/>
          </w:rPr>
          <m:t>m</m:t>
        </m:r>
      </m:oMath>
      <w:r w:rsidRPr="00BC31E0">
        <w:rPr>
          <w:rFonts w:hint="eastAsia"/>
        </w:rPr>
        <w:t>，</w:t>
      </w:r>
      <m:oMath>
        <m:sSub>
          <m:sSubPr>
            <m:ctrlPr>
              <w:rPr>
                <w:rFonts w:ascii="Cambria Math" w:hAnsi="Cambria Math"/>
                <w:i/>
              </w:rPr>
            </m:ctrlPr>
          </m:sSubPr>
          <m:e>
            <m:r>
              <w:rPr>
                <w:rFonts w:ascii="Cambria Math" w:hAnsi="Cambria Math"/>
              </w:rPr>
              <m:t>C</m:t>
            </m:r>
          </m:e>
          <m:sub>
            <m:r>
              <w:rPr>
                <w:rFonts w:ascii="Cambria Math" w:hAnsi="Cambria Math"/>
              </w:rPr>
              <m:t>H</m:t>
            </m:r>
          </m:sub>
        </m:sSub>
      </m:oMath>
      <w:r w:rsidRPr="00BC31E0">
        <w:rPr>
          <w:rFonts w:hint="eastAsia"/>
        </w:rPr>
        <w:t xml:space="preserve"> </w:t>
      </w:r>
      <w:r w:rsidRPr="00BC31E0">
        <w:rPr>
          <w:rFonts w:hint="eastAsia"/>
        </w:rPr>
        <w:t>：</w:t>
      </w:r>
      <w:r w:rsidRPr="00BC31E0">
        <w:rPr>
          <w:rFonts w:hint="eastAsia"/>
        </w:rPr>
        <w:t xml:space="preserve"> </w:t>
      </w:r>
      <w:r w:rsidRPr="00BC31E0">
        <w:rPr>
          <w:rFonts w:asciiTheme="majorEastAsia" w:eastAsiaTheme="majorEastAsia" w:hAnsiTheme="majorEastAsia" w:hint="eastAsia"/>
          <w:b/>
        </w:rPr>
        <w:t>表6.13.1</w:t>
      </w:r>
      <w:r w:rsidRPr="00BC31E0">
        <w:rPr>
          <w:rFonts w:hint="eastAsia"/>
        </w:rPr>
        <w:t>に示す材料特性</w:t>
      </w:r>
    </w:p>
    <w:p w14:paraId="64385D03" w14:textId="77777777" w:rsidR="00775A5C" w:rsidRPr="00BC31E0" w:rsidRDefault="00775A5C" w:rsidP="00736130">
      <w:pPr>
        <w:pStyle w:val="a4"/>
        <w:numPr>
          <w:ilvl w:val="0"/>
          <w:numId w:val="334"/>
        </w:numPr>
        <w:spacing w:before="120"/>
        <w:ind w:leftChars="0" w:left="454" w:hanging="454"/>
      </w:pPr>
      <w:r w:rsidRPr="00BC31E0">
        <w:rPr>
          <w:rFonts w:hint="eastAsia"/>
        </w:rPr>
        <w:t>運転圧力は</w:t>
      </w:r>
      <w:r w:rsidRPr="00BC31E0">
        <w:t>103</w:t>
      </w:r>
      <w:r w:rsidRPr="00BC31E0">
        <w:rPr>
          <w:rFonts w:hint="eastAsia"/>
        </w:rPr>
        <w:t xml:space="preserve"> </w:t>
      </w:r>
      <w:r w:rsidRPr="00BC31E0">
        <w:t>MPa</w:t>
      </w:r>
      <w:r w:rsidRPr="00BC31E0">
        <w:rPr>
          <w:rFonts w:hint="eastAsia"/>
        </w:rPr>
        <w:t>以下とする。</w:t>
      </w:r>
    </w:p>
    <w:p w14:paraId="615539D1" w14:textId="77777777" w:rsidR="00775A5C" w:rsidRPr="00BC31E0" w:rsidRDefault="00775A5C" w:rsidP="00736130">
      <w:pPr>
        <w:pStyle w:val="a4"/>
        <w:numPr>
          <w:ilvl w:val="0"/>
          <w:numId w:val="334"/>
        </w:numPr>
        <w:ind w:leftChars="0" w:left="454" w:hanging="454"/>
      </w:pPr>
      <w:r w:rsidRPr="00BC31E0">
        <w:rPr>
          <w:rFonts w:asciiTheme="minorHAnsi" w:eastAsiaTheme="minorEastAsia" w:hAnsiTheme="minorEastAsia"/>
        </w:rPr>
        <w:t>引張強さの実測値は</w:t>
      </w:r>
      <w:r w:rsidRPr="00BC31E0">
        <w:rPr>
          <w:rFonts w:asciiTheme="minorHAnsi" w:eastAsiaTheme="minorEastAsia" w:hAnsiTheme="minorHAnsi"/>
        </w:rPr>
        <w:t>915 MPa</w:t>
      </w:r>
      <w:r w:rsidRPr="00BC31E0">
        <w:rPr>
          <w:rFonts w:asciiTheme="minorHAnsi" w:eastAsiaTheme="minorEastAsia" w:hAnsiTheme="minorEastAsia"/>
        </w:rPr>
        <w:t>未満とする。</w:t>
      </w:r>
    </w:p>
    <w:p w14:paraId="1D97FF30" w14:textId="77777777" w:rsidR="00775A5C" w:rsidRPr="00BC31E0" w:rsidRDefault="00775A5C" w:rsidP="006612E3">
      <w:pPr>
        <w:pBdr>
          <w:bottom w:val="single" w:sz="6" w:space="1" w:color="auto"/>
        </w:pBdr>
      </w:pPr>
    </w:p>
    <w:p w14:paraId="6B259C5E" w14:textId="77777777" w:rsidR="000E1A2F" w:rsidRPr="00BC31E0" w:rsidRDefault="000E1A2F" w:rsidP="000E1A2F">
      <w:pPr>
        <w:rPr>
          <w:rFonts w:ascii="ＭＳ ゴシック" w:eastAsia="ＭＳ ゴシック" w:hAnsi="ＭＳ ゴシック"/>
          <w:b/>
          <w:bCs/>
        </w:rPr>
      </w:pPr>
      <w:r w:rsidRPr="00BC31E0">
        <w:rPr>
          <w:rFonts w:ascii="ＭＳ ゴシック" w:eastAsia="ＭＳ ゴシック" w:hAnsi="ＭＳ ゴシック" w:hint="eastAsia"/>
          <w:b/>
          <w:bCs/>
        </w:rPr>
        <w:t>参考文献</w:t>
      </w:r>
    </w:p>
    <w:p w14:paraId="1CECAA60" w14:textId="77777777" w:rsidR="000E1A2F" w:rsidRPr="00BC31E0" w:rsidRDefault="001D5948" w:rsidP="00E3326A">
      <w:pPr>
        <w:pStyle w:val="a4"/>
        <w:numPr>
          <w:ilvl w:val="0"/>
          <w:numId w:val="654"/>
        </w:numPr>
        <w:ind w:leftChars="0" w:left="454" w:hanging="454"/>
        <w:jc w:val="left"/>
        <w:rPr>
          <w:rFonts w:asciiTheme="minorHAnsi" w:eastAsiaTheme="minorEastAsia" w:hAnsiTheme="minorHAnsi"/>
          <w:b/>
        </w:rPr>
      </w:pPr>
      <w:r w:rsidRPr="00BC31E0">
        <w:rPr>
          <w:rFonts w:asciiTheme="minorHAnsi" w:eastAsiaTheme="minorEastAsia" w:hAnsiTheme="minorEastAsia"/>
        </w:rPr>
        <w:lastRenderedPageBreak/>
        <w:t>高圧ガス保安協会，</w:t>
      </w:r>
      <w:r w:rsidR="000E1A2F" w:rsidRPr="00BC31E0">
        <w:rPr>
          <w:rFonts w:asciiTheme="minorHAnsi" w:eastAsiaTheme="minorEastAsia" w:hAnsiTheme="minorHAnsi"/>
        </w:rPr>
        <w:t>KHKS 0220(2020)</w:t>
      </w:r>
      <w:r w:rsidRPr="00BC31E0">
        <w:rPr>
          <w:rFonts w:asciiTheme="minorHAnsi" w:eastAsiaTheme="minorEastAsia" w:hAnsiTheme="minorEastAsia"/>
        </w:rPr>
        <w:t xml:space="preserve">　</w:t>
      </w:r>
      <w:r w:rsidR="000E1A2F" w:rsidRPr="00BC31E0">
        <w:rPr>
          <w:rFonts w:asciiTheme="minorHAnsi" w:eastAsiaTheme="minorEastAsia" w:hAnsiTheme="minorEastAsia"/>
        </w:rPr>
        <w:t>超高圧ガス設備に関する基準，</w:t>
      </w:r>
      <w:r w:rsidR="00E3326A" w:rsidRPr="00BC31E0">
        <w:rPr>
          <w:rFonts w:asciiTheme="minorHAnsi" w:eastAsiaTheme="minorEastAsia" w:hAnsiTheme="minorHAnsi"/>
        </w:rPr>
        <w:t>(</w:t>
      </w:r>
      <w:r w:rsidR="000E1A2F" w:rsidRPr="00BC31E0">
        <w:rPr>
          <w:rFonts w:asciiTheme="minorHAnsi" w:eastAsiaTheme="minorEastAsia" w:hAnsiTheme="minorHAnsi"/>
        </w:rPr>
        <w:t>2020</w:t>
      </w:r>
      <w:r w:rsidR="00E3326A" w:rsidRPr="00BC31E0">
        <w:rPr>
          <w:rFonts w:asciiTheme="minorHAnsi" w:eastAsiaTheme="minorEastAsia" w:hAnsiTheme="minorHAnsi"/>
        </w:rPr>
        <w:t>)</w:t>
      </w:r>
    </w:p>
    <w:p w14:paraId="3E50F1D4" w14:textId="77777777" w:rsidR="00775A5C" w:rsidRPr="00BC31E0" w:rsidRDefault="00775A5C" w:rsidP="006612E3"/>
    <w:p w14:paraId="425A1A66" w14:textId="77777777" w:rsidR="00F137F4" w:rsidRPr="00BC31E0" w:rsidRDefault="00F137F4" w:rsidP="00775A5C">
      <w:pPr>
        <w:pStyle w:val="af4"/>
      </w:pPr>
      <w:r w:rsidRPr="00BC31E0">
        <w:rPr>
          <w:rFonts w:hint="eastAsia"/>
        </w:rPr>
        <w:t>表6.13.1　疲労亀裂進展速度の材料特性</w:t>
      </w:r>
      <w:r w:rsidRPr="00BC31E0">
        <w:rPr>
          <w:rFonts w:hint="eastAsia"/>
          <w:vertAlign w:val="superscript"/>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6"/>
        <w:gridCol w:w="2095"/>
        <w:gridCol w:w="2278"/>
        <w:gridCol w:w="2232"/>
      </w:tblGrid>
      <w:tr w:rsidR="00F137F4" w:rsidRPr="00BC31E0" w14:paraId="07D27DB4" w14:textId="77777777" w:rsidTr="004736F2">
        <w:trPr>
          <w:jc w:val="center"/>
        </w:trPr>
        <w:tc>
          <w:tcPr>
            <w:tcW w:w="1506" w:type="dxa"/>
            <w:shd w:val="clear" w:color="auto" w:fill="auto"/>
            <w:vAlign w:val="center"/>
          </w:tcPr>
          <w:p w14:paraId="15B3805E" w14:textId="77777777" w:rsidR="00F137F4" w:rsidRPr="00BC31E0" w:rsidRDefault="00F137F4" w:rsidP="004736F2">
            <w:pPr>
              <w:jc w:val="center"/>
            </w:pPr>
            <w:r w:rsidRPr="00BC31E0">
              <w:rPr>
                <w:rFonts w:hint="eastAsia"/>
              </w:rPr>
              <w:t>材料</w:t>
            </w:r>
          </w:p>
        </w:tc>
        <w:tc>
          <w:tcPr>
            <w:tcW w:w="2095" w:type="dxa"/>
            <w:vAlign w:val="center"/>
          </w:tcPr>
          <w:p w14:paraId="22504A4D" w14:textId="77777777" w:rsidR="00F137F4" w:rsidRPr="00BC31E0" w:rsidRDefault="00F137F4" w:rsidP="004736F2">
            <w:pPr>
              <w:jc w:val="center"/>
              <w:rPr>
                <w:rFonts w:ascii="Times New Roman" w:hAnsi="Times New Roman"/>
              </w:rPr>
            </w:pPr>
            <w:r w:rsidRPr="00BC31E0">
              <w:rPr>
                <w:rFonts w:ascii="Times New Roman" w:hAnsi="Times New Roman" w:hint="eastAsia"/>
              </w:rPr>
              <w:t>材料特性</w:t>
            </w:r>
          </w:p>
        </w:tc>
        <w:tc>
          <w:tcPr>
            <w:tcW w:w="2278" w:type="dxa"/>
            <w:vAlign w:val="center"/>
          </w:tcPr>
          <w:p w14:paraId="7D3F2FA1" w14:textId="77777777" w:rsidR="00F137F4" w:rsidRPr="00BC31E0" w:rsidRDefault="00F137F4" w:rsidP="004736F2">
            <w:pPr>
              <w:jc w:val="center"/>
              <w:rPr>
                <w:rFonts w:ascii="Times New Roman" w:hAnsi="Times New Roman"/>
              </w:rPr>
            </w:pPr>
            <m:oMath>
              <m:r>
                <w:rPr>
                  <w:rFonts w:ascii="Cambria Math" w:hAnsi="Cambria Math"/>
                </w:rPr>
                <m:t>∆K&lt;∆</m:t>
              </m:r>
              <m:sSub>
                <m:sSubPr>
                  <m:ctrlPr>
                    <w:rPr>
                      <w:rFonts w:ascii="Cambria Math" w:hAnsi="Cambria Math"/>
                      <w:i/>
                    </w:rPr>
                  </m:ctrlPr>
                </m:sSubPr>
                <m:e>
                  <m:r>
                    <w:rPr>
                      <w:rFonts w:ascii="Cambria Math" w:hAnsi="Cambria Math"/>
                    </w:rPr>
                    <m:t>K</m:t>
                  </m:r>
                </m:e>
                <m:sub>
                  <m:r>
                    <w:rPr>
                      <w:rFonts w:ascii="Cambria Math" w:hAnsi="Cambria Math"/>
                    </w:rPr>
                    <m:t>c</m:t>
                  </m:r>
                </m:sub>
              </m:sSub>
              <m:r>
                <w:rPr>
                  <w:rFonts w:ascii="Cambria Math" w:hAnsi="Cambria Math"/>
                </w:rPr>
                <m:t xml:space="preserve"> </m:t>
              </m:r>
            </m:oMath>
            <w:r w:rsidRPr="00BC31E0">
              <w:rPr>
                <w:rFonts w:ascii="Times New Roman" w:hAnsi="Times New Roman" w:hint="eastAsia"/>
              </w:rPr>
              <w:t>の場合</w:t>
            </w:r>
            <w:r w:rsidRPr="00BC31E0">
              <w:rPr>
                <w:rFonts w:asciiTheme="majorEastAsia" w:eastAsiaTheme="majorEastAsia" w:hAnsiTheme="majorEastAsia" w:hint="eastAsia"/>
                <w:b/>
                <w:vertAlign w:val="superscript"/>
              </w:rPr>
              <w:t xml:space="preserve"> a)</w:t>
            </w:r>
          </w:p>
        </w:tc>
        <w:tc>
          <w:tcPr>
            <w:tcW w:w="2232" w:type="dxa"/>
            <w:shd w:val="clear" w:color="auto" w:fill="auto"/>
            <w:vAlign w:val="center"/>
          </w:tcPr>
          <w:p w14:paraId="7C133483" w14:textId="77777777" w:rsidR="00F137F4" w:rsidRPr="00BC31E0" w:rsidRDefault="00F137F4" w:rsidP="004736F2">
            <w:pPr>
              <w:jc w:val="center"/>
              <w:rPr>
                <w:rFonts w:ascii="Times New Roman" w:hAnsi="Times New Roman"/>
              </w:rPr>
            </w:pPr>
            <m:oMath>
              <m:r>
                <w:rPr>
                  <w:rFonts w:ascii="Cambria Math" w:hAnsi="Cambria Math"/>
                </w:rPr>
                <m:t>∆K</m:t>
              </m:r>
              <m:r>
                <m:rPr>
                  <m:sty m:val="p"/>
                </m:rPr>
                <w:rPr>
                  <w:rFonts w:ascii="Cambria Math" w:hAnsi="Cambria Math" w:hint="eastAsia"/>
                </w:rPr>
                <m:t>≧</m:t>
              </m:r>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c</m:t>
                  </m:r>
                </m:sub>
              </m:sSub>
            </m:oMath>
            <w:r w:rsidRPr="00BC31E0">
              <w:rPr>
                <w:rFonts w:ascii="Times New Roman" w:hAnsi="Times New Roman" w:hint="eastAsia"/>
              </w:rPr>
              <w:t>の場合</w:t>
            </w:r>
            <w:r w:rsidRPr="00BC31E0">
              <w:rPr>
                <w:rFonts w:asciiTheme="majorEastAsia" w:eastAsiaTheme="majorEastAsia" w:hAnsiTheme="majorEastAsia" w:hint="eastAsia"/>
                <w:b/>
                <w:vertAlign w:val="superscript"/>
              </w:rPr>
              <w:t>a)</w:t>
            </w:r>
          </w:p>
        </w:tc>
      </w:tr>
      <w:tr w:rsidR="00F137F4" w:rsidRPr="00BC31E0" w14:paraId="2E769885" w14:textId="77777777" w:rsidTr="004736F2">
        <w:trPr>
          <w:jc w:val="center"/>
        </w:trPr>
        <w:tc>
          <w:tcPr>
            <w:tcW w:w="1506" w:type="dxa"/>
            <w:vMerge w:val="restart"/>
            <w:shd w:val="clear" w:color="auto" w:fill="auto"/>
            <w:vAlign w:val="center"/>
          </w:tcPr>
          <w:p w14:paraId="312D1C76" w14:textId="77777777" w:rsidR="00F137F4" w:rsidRPr="00BC31E0" w:rsidRDefault="00F137F4" w:rsidP="004736F2">
            <w:pPr>
              <w:jc w:val="center"/>
              <w:rPr>
                <w:rFonts w:asciiTheme="minorHAnsi" w:eastAsiaTheme="majorEastAsia" w:hAnsiTheme="minorHAnsi"/>
              </w:rPr>
            </w:pPr>
            <w:r w:rsidRPr="00BC31E0">
              <w:rPr>
                <w:rFonts w:asciiTheme="minorHAnsi" w:eastAsiaTheme="majorEastAsia" w:hAnsiTheme="minorHAnsi"/>
              </w:rPr>
              <w:t>SA-372</w:t>
            </w:r>
            <w:r w:rsidR="00241471" w:rsidRPr="00BC31E0">
              <w:rPr>
                <w:rFonts w:asciiTheme="minorHAnsi" w:eastAsiaTheme="majorEastAsia" w:hAnsiTheme="minorHAnsi" w:hint="eastAsia"/>
              </w:rPr>
              <w:t>M</w:t>
            </w:r>
          </w:p>
          <w:p w14:paraId="2AA9ABF1" w14:textId="77777777" w:rsidR="00F137F4" w:rsidRPr="00BC31E0" w:rsidRDefault="00F137F4" w:rsidP="004736F2">
            <w:pPr>
              <w:jc w:val="center"/>
            </w:pPr>
            <w:r w:rsidRPr="00BC31E0">
              <w:rPr>
                <w:rFonts w:asciiTheme="minorHAnsi" w:eastAsiaTheme="majorEastAsia" w:hAnsiTheme="minorHAnsi"/>
              </w:rPr>
              <w:t>SA-723</w:t>
            </w:r>
            <w:r w:rsidR="00241471" w:rsidRPr="00BC31E0">
              <w:rPr>
                <w:rFonts w:asciiTheme="minorHAnsi" w:eastAsiaTheme="majorEastAsia" w:hAnsiTheme="minorHAnsi" w:hint="eastAsia"/>
              </w:rPr>
              <w:t>M</w:t>
            </w:r>
          </w:p>
        </w:tc>
        <w:tc>
          <w:tcPr>
            <w:tcW w:w="2095" w:type="dxa"/>
            <w:vAlign w:val="center"/>
          </w:tcPr>
          <w:p w14:paraId="4A36048E" w14:textId="77777777" w:rsidR="00F137F4" w:rsidRPr="00BC31E0" w:rsidRDefault="00F137F4" w:rsidP="004736F2">
            <w:pPr>
              <w:snapToGrid w:val="0"/>
              <w:jc w:val="center"/>
            </w:pPr>
            <m:oMathPara>
              <m:oMath>
                <m:r>
                  <w:rPr>
                    <w:rFonts w:ascii="Cambria Math" w:hAnsi="Cambria Math" w:hint="eastAsia"/>
                  </w:rPr>
                  <m:t>C</m:t>
                </m:r>
              </m:oMath>
            </m:oMathPara>
          </w:p>
          <w:p w14:paraId="1559AAC8" w14:textId="77777777" w:rsidR="00F137F4" w:rsidRPr="00BC31E0" w:rsidRDefault="00A51873" w:rsidP="004736F2">
            <w:pPr>
              <w:snapToGrid w:val="0"/>
              <w:jc w:val="center"/>
            </w:pPr>
            <m:oMathPara>
              <m:oMath>
                <m:d>
                  <m:dPr>
                    <m:begChr m:val="{"/>
                    <m:endChr m:val="}"/>
                    <m:ctrlPr>
                      <w:rPr>
                        <w:rFonts w:ascii="Cambria Math" w:eastAsiaTheme="minorEastAsia" w:hAnsi="Cambria Math"/>
                        <w:bCs/>
                      </w:rPr>
                    </m:ctrlPr>
                  </m:dPr>
                  <m:e>
                    <m:f>
                      <m:fPr>
                        <m:ctrlPr>
                          <w:rPr>
                            <w:rFonts w:ascii="Cambria Math" w:eastAsiaTheme="minorEastAsia" w:hAnsi="Cambria Math"/>
                            <w:bCs/>
                          </w:rPr>
                        </m:ctrlPr>
                      </m:fPr>
                      <m:num>
                        <m:r>
                          <m:rPr>
                            <m:nor/>
                          </m:rPr>
                          <w:rPr>
                            <w:rFonts w:ascii="Cambria Math" w:eastAsiaTheme="minorEastAsia" w:hAnsi="Cambria Math"/>
                          </w:rPr>
                          <m:t>m</m:t>
                        </m:r>
                        <m:r>
                          <m:rPr>
                            <m:nor/>
                          </m:rPr>
                          <w:rPr>
                            <w:rFonts w:ascii="Cambria Math" w:eastAsiaTheme="minorEastAsia" w:hAnsi="Cambria Math" w:hint="eastAsia"/>
                          </w:rPr>
                          <m:t>m</m:t>
                        </m:r>
                      </m:num>
                      <m:den>
                        <m:r>
                          <m:rPr>
                            <m:nor/>
                          </m:rPr>
                          <w:rPr>
                            <w:rFonts w:ascii="Cambria Math" w:eastAsiaTheme="minorEastAsia" w:hAnsi="Cambria Math"/>
                          </w:rPr>
                          <m:t>cycle</m:t>
                        </m:r>
                      </m:den>
                    </m:f>
                    <m:sSup>
                      <m:sSupPr>
                        <m:ctrlPr>
                          <w:rPr>
                            <w:rFonts w:ascii="Cambria Math" w:eastAsiaTheme="minorEastAsia" w:hAnsi="Cambria Math"/>
                            <w:bCs/>
                          </w:rPr>
                        </m:ctrlPr>
                      </m:sSupPr>
                      <m:e>
                        <m:d>
                          <m:dPr>
                            <m:ctrlPr>
                              <w:rPr>
                                <w:rFonts w:ascii="Cambria Math" w:eastAsiaTheme="minorEastAsia" w:hAnsi="Cambria Math"/>
                                <w:bCs/>
                              </w:rPr>
                            </m:ctrlPr>
                          </m:dPr>
                          <m:e>
                            <m:r>
                              <m:rPr>
                                <m:nor/>
                              </m:rPr>
                              <w:rPr>
                                <w:rFonts w:ascii="Cambria Math" w:eastAsiaTheme="minorEastAsia" w:hAnsi="Cambria Math"/>
                              </w:rPr>
                              <m:t>MPa</m:t>
                            </m:r>
                            <m:rad>
                              <m:radPr>
                                <m:degHide m:val="1"/>
                                <m:ctrlPr>
                                  <w:rPr>
                                    <w:rFonts w:ascii="Cambria Math" w:eastAsiaTheme="minorEastAsia" w:hAnsi="Cambria Math"/>
                                    <w:bCs/>
                                  </w:rPr>
                                </m:ctrlPr>
                              </m:radPr>
                              <m:deg/>
                              <m:e>
                                <m:r>
                                  <m:rPr>
                                    <m:nor/>
                                  </m:rPr>
                                  <w:rPr>
                                    <w:rFonts w:ascii="Cambria Math" w:eastAsiaTheme="minorEastAsia" w:hAnsi="Cambria Math"/>
                                  </w:rPr>
                                  <m:t>m</m:t>
                                </m:r>
                              </m:e>
                            </m:rad>
                          </m:e>
                        </m:d>
                      </m:e>
                      <m:sup>
                        <m:r>
                          <m:rPr>
                            <m:nor/>
                          </m:rPr>
                          <w:rPr>
                            <w:rFonts w:ascii="Cambria Math" w:eastAsiaTheme="minorEastAsia" w:hAnsi="Cambria Math"/>
                          </w:rPr>
                          <m:t>-</m:t>
                        </m:r>
                        <m:r>
                          <m:rPr>
                            <m:nor/>
                          </m:rPr>
                          <w:rPr>
                            <w:rFonts w:ascii="Times New Roman" w:eastAsiaTheme="minorEastAsia" w:hAnsi="Times New Roman"/>
                            <w:i/>
                          </w:rPr>
                          <m:t>m</m:t>
                        </m:r>
                      </m:sup>
                    </m:sSup>
                  </m:e>
                </m:d>
              </m:oMath>
            </m:oMathPara>
          </w:p>
        </w:tc>
        <w:tc>
          <w:tcPr>
            <w:tcW w:w="2278" w:type="dxa"/>
            <w:vAlign w:val="center"/>
          </w:tcPr>
          <w:p w14:paraId="2BF9836A" w14:textId="77777777" w:rsidR="00F137F4" w:rsidRPr="00BC31E0" w:rsidRDefault="00F137F4" w:rsidP="004736F2">
            <w:pPr>
              <w:snapToGrid w:val="0"/>
              <w:jc w:val="center"/>
            </w:pPr>
            <w:r w:rsidRPr="00BC31E0">
              <w:rPr>
                <w:rFonts w:hint="eastAsia"/>
              </w:rPr>
              <w:t>3.5 E-1</w:t>
            </w:r>
            <w:r w:rsidRPr="00BC31E0">
              <w:t>1</w:t>
            </w:r>
          </w:p>
        </w:tc>
        <w:tc>
          <w:tcPr>
            <w:tcW w:w="2232" w:type="dxa"/>
            <w:shd w:val="clear" w:color="auto" w:fill="auto"/>
            <w:vAlign w:val="center"/>
          </w:tcPr>
          <w:p w14:paraId="1E333B4C" w14:textId="77777777" w:rsidR="00F137F4" w:rsidRPr="00BC31E0" w:rsidRDefault="00F137F4" w:rsidP="004736F2">
            <w:pPr>
              <w:snapToGrid w:val="0"/>
              <w:jc w:val="center"/>
            </w:pPr>
            <w:r w:rsidRPr="00BC31E0">
              <w:rPr>
                <w:rFonts w:hint="eastAsia"/>
              </w:rPr>
              <w:t>1.5 E-</w:t>
            </w:r>
            <w:r w:rsidRPr="00BC31E0">
              <w:t>8</w:t>
            </w:r>
          </w:p>
        </w:tc>
      </w:tr>
      <w:tr w:rsidR="00F137F4" w:rsidRPr="00BC31E0" w14:paraId="36C68A5B" w14:textId="77777777" w:rsidTr="004736F2">
        <w:trPr>
          <w:jc w:val="center"/>
        </w:trPr>
        <w:tc>
          <w:tcPr>
            <w:tcW w:w="1506" w:type="dxa"/>
            <w:vMerge/>
            <w:shd w:val="clear" w:color="auto" w:fill="auto"/>
            <w:vAlign w:val="center"/>
          </w:tcPr>
          <w:p w14:paraId="16C5EBDA" w14:textId="77777777" w:rsidR="00F137F4" w:rsidRPr="00BC31E0" w:rsidRDefault="00F137F4" w:rsidP="004736F2">
            <w:pPr>
              <w:jc w:val="center"/>
            </w:pPr>
          </w:p>
        </w:tc>
        <w:tc>
          <w:tcPr>
            <w:tcW w:w="2095" w:type="dxa"/>
            <w:vAlign w:val="center"/>
          </w:tcPr>
          <w:p w14:paraId="41F5D340" w14:textId="77777777" w:rsidR="00F137F4" w:rsidRPr="00BC31E0" w:rsidRDefault="00F137F4" w:rsidP="004736F2">
            <w:pPr>
              <w:jc w:val="center"/>
              <w:rPr>
                <w:i/>
              </w:rPr>
            </w:pPr>
            <m:oMathPara>
              <m:oMath>
                <m:r>
                  <w:rPr>
                    <w:rFonts w:ascii="Cambria Math" w:hAnsi="Cambria Math" w:hint="eastAsia"/>
                  </w:rPr>
                  <m:t>m</m:t>
                </m:r>
              </m:oMath>
            </m:oMathPara>
          </w:p>
        </w:tc>
        <w:tc>
          <w:tcPr>
            <w:tcW w:w="2278" w:type="dxa"/>
            <w:vAlign w:val="center"/>
          </w:tcPr>
          <w:p w14:paraId="0EB61BEA" w14:textId="77777777" w:rsidR="00F137F4" w:rsidRPr="00BC31E0" w:rsidRDefault="00F137F4" w:rsidP="004736F2">
            <w:pPr>
              <w:jc w:val="center"/>
            </w:pPr>
            <w:r w:rsidRPr="00BC31E0">
              <w:rPr>
                <w:rFonts w:hint="eastAsia"/>
              </w:rPr>
              <w:t>6.5</w:t>
            </w:r>
          </w:p>
        </w:tc>
        <w:tc>
          <w:tcPr>
            <w:tcW w:w="2232" w:type="dxa"/>
            <w:shd w:val="clear" w:color="auto" w:fill="auto"/>
            <w:vAlign w:val="center"/>
          </w:tcPr>
          <w:p w14:paraId="7B59956E" w14:textId="77777777" w:rsidR="00F137F4" w:rsidRPr="00BC31E0" w:rsidRDefault="00F137F4" w:rsidP="004736F2">
            <w:pPr>
              <w:jc w:val="center"/>
            </w:pPr>
            <w:r w:rsidRPr="00BC31E0">
              <w:rPr>
                <w:rFonts w:hint="eastAsia"/>
              </w:rPr>
              <w:t>3.66</w:t>
            </w:r>
          </w:p>
        </w:tc>
      </w:tr>
      <w:tr w:rsidR="00F137F4" w:rsidRPr="00BC31E0" w14:paraId="4B7E6706" w14:textId="77777777" w:rsidTr="004736F2">
        <w:trPr>
          <w:jc w:val="center"/>
        </w:trPr>
        <w:tc>
          <w:tcPr>
            <w:tcW w:w="1506" w:type="dxa"/>
            <w:vMerge/>
            <w:shd w:val="clear" w:color="auto" w:fill="auto"/>
            <w:vAlign w:val="center"/>
          </w:tcPr>
          <w:p w14:paraId="79B6A663" w14:textId="77777777" w:rsidR="00F137F4" w:rsidRPr="00BC31E0" w:rsidRDefault="00F137F4" w:rsidP="004736F2">
            <w:pPr>
              <w:jc w:val="center"/>
            </w:pPr>
          </w:p>
        </w:tc>
        <w:tc>
          <w:tcPr>
            <w:tcW w:w="2095" w:type="dxa"/>
            <w:vAlign w:val="center"/>
          </w:tcPr>
          <w:p w14:paraId="6F1A224B" w14:textId="77777777" w:rsidR="00F137F4" w:rsidRPr="00BC31E0" w:rsidRDefault="00A51873" w:rsidP="004736F2">
            <w:pPr>
              <w:jc w:val="center"/>
              <w:rPr>
                <w:i/>
              </w:rPr>
            </w:pPr>
            <m:oMathPara>
              <m:oMath>
                <m:sSub>
                  <m:sSubPr>
                    <m:ctrlPr>
                      <w:rPr>
                        <w:rFonts w:ascii="Cambria Math" w:hAnsi="Cambria Math"/>
                        <w:i/>
                        <w:vertAlign w:val="subscript"/>
                      </w:rPr>
                    </m:ctrlPr>
                  </m:sSubPr>
                  <m:e>
                    <m:r>
                      <w:rPr>
                        <w:rFonts w:ascii="Cambria Math" w:hAnsi="Cambria Math"/>
                        <w:vertAlign w:val="subscript"/>
                      </w:rPr>
                      <m:t>C</m:t>
                    </m:r>
                  </m:e>
                  <m:sub>
                    <m:r>
                      <w:rPr>
                        <w:rFonts w:ascii="Cambria Math" w:hAnsi="Cambria Math"/>
                        <w:vertAlign w:val="subscript"/>
                      </w:rPr>
                      <m:t>H</m:t>
                    </m:r>
                  </m:sub>
                </m:sSub>
              </m:oMath>
            </m:oMathPara>
          </w:p>
        </w:tc>
        <w:tc>
          <w:tcPr>
            <w:tcW w:w="2278" w:type="dxa"/>
            <w:vAlign w:val="center"/>
          </w:tcPr>
          <w:p w14:paraId="58A27AAD" w14:textId="77777777" w:rsidR="00F137F4" w:rsidRPr="00BC31E0" w:rsidRDefault="00F137F4" w:rsidP="004736F2">
            <w:pPr>
              <w:jc w:val="center"/>
            </w:pPr>
            <w:r w:rsidRPr="00BC31E0">
              <w:rPr>
                <w:rFonts w:hint="eastAsia"/>
              </w:rPr>
              <w:t>0.43</w:t>
            </w:r>
          </w:p>
        </w:tc>
        <w:tc>
          <w:tcPr>
            <w:tcW w:w="2232" w:type="dxa"/>
            <w:shd w:val="clear" w:color="auto" w:fill="auto"/>
            <w:vAlign w:val="center"/>
          </w:tcPr>
          <w:p w14:paraId="6C491A2F" w14:textId="77777777" w:rsidR="00F137F4" w:rsidRPr="00BC31E0" w:rsidRDefault="00F137F4" w:rsidP="004736F2">
            <w:pPr>
              <w:jc w:val="center"/>
            </w:pPr>
            <w:r w:rsidRPr="00BC31E0">
              <w:rPr>
                <w:rFonts w:hint="eastAsia"/>
              </w:rPr>
              <w:t>2.0</w:t>
            </w:r>
          </w:p>
        </w:tc>
      </w:tr>
    </w:tbl>
    <w:p w14:paraId="4B432506" w14:textId="77777777" w:rsidR="00F137F4" w:rsidRPr="00BC31E0" w:rsidRDefault="00F137F4" w:rsidP="00F137F4">
      <w:pPr>
        <w:tabs>
          <w:tab w:val="left" w:leader="middleDot" w:pos="8080"/>
        </w:tabs>
        <w:autoSpaceDE w:val="0"/>
        <w:autoSpaceDN w:val="0"/>
        <w:spacing w:before="120"/>
        <w:ind w:left="567"/>
      </w:pPr>
      <w:r w:rsidRPr="00BC31E0">
        <w:rPr>
          <w:rFonts w:asciiTheme="majorEastAsia" w:eastAsiaTheme="majorEastAsia" w:hAnsiTheme="majorEastAsia" w:hint="eastAsia"/>
          <w:b/>
        </w:rPr>
        <w:t>注</w:t>
      </w:r>
      <w:r w:rsidRPr="00BC31E0">
        <w:rPr>
          <w:rFonts w:asciiTheme="majorEastAsia" w:eastAsiaTheme="majorEastAsia" w:hAnsiTheme="majorEastAsia" w:hint="eastAsia"/>
          <w:b/>
          <w:vertAlign w:val="superscript"/>
        </w:rPr>
        <w:t>a)</w:t>
      </w:r>
      <w:r w:rsidRPr="00BC31E0">
        <w:rPr>
          <w:rFonts w:asciiTheme="majorEastAsia" w:eastAsiaTheme="majorEastAsia" w:hAnsiTheme="majorEastAsia" w:hint="eastAsia"/>
        </w:rPr>
        <w:t xml:space="preserve">　</w:t>
      </w:r>
      <m:oMath>
        <m:r>
          <m:rPr>
            <m:sty m:val="p"/>
          </m:rPr>
          <w:rPr>
            <w:rFonts w:ascii="Cambria Math" w:eastAsiaTheme="maj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c</m:t>
            </m:r>
          </m:sub>
        </m:sSub>
        <m:r>
          <m:rPr>
            <m:nor/>
          </m:rPr>
          <w:rPr>
            <w:rFonts w:ascii="Cambria Math" w:eastAsiaTheme="minorEastAsia" w:hAnsi="Cambria Math"/>
            <w:i/>
          </w:rPr>
          <m:t>=</m:t>
        </m:r>
        <m:r>
          <w:rPr>
            <w:rFonts w:ascii="Cambria Math" w:eastAsiaTheme="minorEastAsia" w:hAnsi="Cambria Math"/>
          </w:rPr>
          <m:t>8.475+4.062</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k</m:t>
            </m:r>
          </m:sub>
        </m:sSub>
        <m:r>
          <w:rPr>
            <w:rFonts w:ascii="Cambria Math" w:hAnsi="Cambria Math"/>
          </w:rPr>
          <m:t>-1.696</m:t>
        </m:r>
        <m:sSup>
          <m:sSupPr>
            <m:ctrlPr>
              <w:rPr>
                <w:rFonts w:ascii="Cambria Math" w:hAnsi="Cambria Math"/>
                <w:i/>
              </w:rPr>
            </m:ctrlPr>
          </m:sSupPr>
          <m:e>
            <m:sSub>
              <m:sSubPr>
                <m:ctrlPr>
                  <w:rPr>
                    <w:rFonts w:ascii="Cambria Math" w:hAnsi="Cambria Math"/>
                    <w:i/>
                  </w:rPr>
                </m:ctrlPr>
              </m:sSubPr>
              <m:e>
                <m:r>
                  <w:rPr>
                    <w:rFonts w:ascii="Cambria Math" w:hAnsi="Cambria Math"/>
                  </w:rPr>
                  <m:t>R</m:t>
                </m:r>
              </m:e>
              <m:sub>
                <m:r>
                  <w:rPr>
                    <w:rFonts w:ascii="Cambria Math" w:hAnsi="Cambria Math"/>
                  </w:rPr>
                  <m:t>k</m:t>
                </m:r>
              </m:sub>
            </m:sSub>
          </m:e>
          <m:sup>
            <m:r>
              <w:rPr>
                <w:rFonts w:ascii="Cambria Math" w:hAnsi="Cambria Math"/>
              </w:rPr>
              <m:t>2</m:t>
            </m:r>
          </m:sup>
        </m:sSup>
      </m:oMath>
    </w:p>
    <w:p w14:paraId="69F03AD5" w14:textId="77777777" w:rsidR="008F0450" w:rsidRPr="00BC31E0" w:rsidRDefault="008F0450" w:rsidP="0023065F"/>
    <w:p w14:paraId="400DED8C" w14:textId="77777777" w:rsidR="008F0450" w:rsidRPr="00BC31E0" w:rsidRDefault="008F0450" w:rsidP="00834B04">
      <w:pPr>
        <w:pStyle w:val="10"/>
        <w:ind w:left="340" w:hanging="340"/>
      </w:pPr>
      <w:bookmarkStart w:id="65" w:name="_Toc357672100"/>
      <w:bookmarkStart w:id="66" w:name="_Toc120092534"/>
      <w:r w:rsidRPr="00BC31E0">
        <w:rPr>
          <w:rFonts w:hint="eastAsia"/>
        </w:rPr>
        <w:t>製作</w:t>
      </w:r>
      <w:bookmarkEnd w:id="65"/>
      <w:bookmarkEnd w:id="66"/>
    </w:p>
    <w:p w14:paraId="715EEA79" w14:textId="77777777" w:rsidR="008F0450" w:rsidRPr="00BC31E0" w:rsidRDefault="008F0450" w:rsidP="00834B04">
      <w:pPr>
        <w:pStyle w:val="20"/>
        <w:tabs>
          <w:tab w:val="clear" w:pos="284"/>
        </w:tabs>
        <w:ind w:left="567" w:hanging="567"/>
      </w:pPr>
      <w:bookmarkStart w:id="67" w:name="_Toc357672101"/>
      <w:bookmarkStart w:id="68" w:name="_Toc120092535"/>
      <w:r w:rsidRPr="00BC31E0">
        <w:rPr>
          <w:rFonts w:hint="eastAsia"/>
        </w:rPr>
        <w:t>製作一般</w:t>
      </w:r>
      <w:bookmarkEnd w:id="67"/>
      <w:bookmarkEnd w:id="68"/>
    </w:p>
    <w:p w14:paraId="61562342" w14:textId="77777777" w:rsidR="008F0450" w:rsidRPr="00BC31E0" w:rsidRDefault="008F0450" w:rsidP="00834B04">
      <w:pPr>
        <w:pStyle w:val="3"/>
        <w:tabs>
          <w:tab w:val="clear" w:pos="284"/>
        </w:tabs>
        <w:ind w:left="794" w:hanging="794"/>
      </w:pPr>
      <w:r w:rsidRPr="00BC31E0">
        <w:rPr>
          <w:rFonts w:hint="eastAsia"/>
        </w:rPr>
        <w:t>一般事項</w:t>
      </w:r>
    </w:p>
    <w:p w14:paraId="40938C32" w14:textId="77777777" w:rsidR="008F0450" w:rsidRPr="00BC31E0" w:rsidRDefault="008F0450" w:rsidP="0023065F">
      <w:pPr>
        <w:pStyle w:val="1110"/>
        <w:ind w:firstLine="210"/>
      </w:pPr>
      <w:r w:rsidRPr="00BC31E0">
        <w:rPr>
          <w:rFonts w:hint="eastAsia"/>
        </w:rPr>
        <w:t>この項では，製作に関する一般事項を規定している。製作に際しては，設計で考慮した残留応力分布が安全側になるよう管理する。また，容器及び容器部品に使用される材料特性や想定される材料欠陥が，設計の前提を満足しなければならない。</w:t>
      </w:r>
    </w:p>
    <w:p w14:paraId="77761F3F" w14:textId="77777777" w:rsidR="008F0450" w:rsidRPr="00BC31E0" w:rsidRDefault="008F0450" w:rsidP="002A7F7D">
      <w:pPr>
        <w:pStyle w:val="3"/>
        <w:tabs>
          <w:tab w:val="clear" w:pos="284"/>
        </w:tabs>
        <w:ind w:left="794" w:hanging="794"/>
      </w:pPr>
      <w:r w:rsidRPr="00BC31E0">
        <w:rPr>
          <w:rFonts w:hint="eastAsia"/>
        </w:rPr>
        <w:t>材料</w:t>
      </w:r>
    </w:p>
    <w:p w14:paraId="09999FDD" w14:textId="77777777" w:rsidR="008F0450" w:rsidRPr="00BC31E0" w:rsidRDefault="008F0450" w:rsidP="0023065F">
      <w:pPr>
        <w:pStyle w:val="1110"/>
        <w:ind w:firstLine="210"/>
      </w:pPr>
      <w:r w:rsidRPr="00BC31E0">
        <w:rPr>
          <w:rFonts w:hint="eastAsia"/>
        </w:rPr>
        <w:t>材料は，次の</w:t>
      </w:r>
      <w:r w:rsidRPr="00BC31E0">
        <w:rPr>
          <w:rFonts w:ascii="ＭＳ ゴシック" w:hAnsi="ＭＳ ゴシック" w:hint="eastAsia"/>
          <w:b/>
        </w:rPr>
        <w:t>a)</w:t>
      </w:r>
      <w:r w:rsidRPr="00BC31E0">
        <w:rPr>
          <w:rFonts w:hint="eastAsia"/>
        </w:rPr>
        <w:t>～</w:t>
      </w:r>
      <w:r w:rsidRPr="00BC31E0">
        <w:rPr>
          <w:rFonts w:ascii="ＭＳ ゴシック" w:hAnsi="ＭＳ ゴシック" w:hint="eastAsia"/>
          <w:b/>
        </w:rPr>
        <w:t>c)</w:t>
      </w:r>
      <w:r w:rsidRPr="00BC31E0">
        <w:rPr>
          <w:rFonts w:hint="eastAsia"/>
        </w:rPr>
        <w:t>による。</w:t>
      </w:r>
    </w:p>
    <w:p w14:paraId="65968B05" w14:textId="77777777" w:rsidR="00834B04" w:rsidRPr="00BC31E0" w:rsidRDefault="008F0450" w:rsidP="00736130">
      <w:pPr>
        <w:pStyle w:val="a4"/>
        <w:numPr>
          <w:ilvl w:val="0"/>
          <w:numId w:val="466"/>
        </w:numPr>
        <w:ind w:leftChars="0" w:left="454" w:hanging="454"/>
      </w:pPr>
      <w:r w:rsidRPr="00BC31E0">
        <w:rPr>
          <w:rFonts w:asciiTheme="majorEastAsia" w:eastAsiaTheme="majorEastAsia" w:hAnsiTheme="majorEastAsia" w:hint="eastAsia"/>
          <w:b/>
        </w:rPr>
        <w:t>材料試験及び証明書</w:t>
      </w:r>
      <w:r w:rsidRPr="00BC31E0">
        <w:rPr>
          <w:rFonts w:hint="eastAsia"/>
        </w:rPr>
        <w:t xml:space="preserve">　溶接材も含め全ての材料に関し，</w:t>
      </w:r>
      <w:r w:rsidRPr="00BC31E0">
        <w:rPr>
          <w:rFonts w:asciiTheme="majorEastAsia" w:eastAsiaTheme="majorEastAsia" w:hAnsiTheme="majorEastAsia" w:hint="eastAsia"/>
          <w:b/>
          <w:bCs/>
        </w:rPr>
        <w:t>5</w:t>
      </w:r>
      <w:r w:rsidRPr="00BC31E0">
        <w:rPr>
          <w:rFonts w:hint="eastAsia"/>
        </w:rPr>
        <w:t>の要求事項を遵守している証明書を必要とする。更に</w:t>
      </w:r>
      <w:r w:rsidRPr="00BC31E0">
        <w:rPr>
          <w:rFonts w:ascii="ＭＳ 明朝" w:hint="eastAsia"/>
        </w:rPr>
        <w:t>，全ての材料は</w:t>
      </w:r>
      <w:r w:rsidRPr="00BC31E0">
        <w:rPr>
          <w:rFonts w:asciiTheme="majorEastAsia" w:eastAsiaTheme="majorEastAsia" w:hAnsiTheme="majorEastAsia" w:hint="eastAsia"/>
          <w:b/>
          <w:bCs/>
        </w:rPr>
        <w:t>9</w:t>
      </w:r>
      <w:r w:rsidRPr="00BC31E0">
        <w:rPr>
          <w:rFonts w:hint="eastAsia"/>
        </w:rPr>
        <w:t>に従って検査を行う。これらの試験及び検査結果は</w:t>
      </w:r>
      <w:r w:rsidRPr="00BC31E0">
        <w:rPr>
          <w:rFonts w:ascii="ＭＳ 明朝" w:hint="eastAsia"/>
        </w:rPr>
        <w:t>，製作者製作記録に文書化する。</w:t>
      </w:r>
    </w:p>
    <w:p w14:paraId="5B601F53" w14:textId="77777777" w:rsidR="008F0450" w:rsidRPr="00BC31E0" w:rsidRDefault="008F0450" w:rsidP="00736130">
      <w:pPr>
        <w:pStyle w:val="a4"/>
        <w:numPr>
          <w:ilvl w:val="0"/>
          <w:numId w:val="466"/>
        </w:numPr>
        <w:ind w:leftChars="0" w:left="454" w:hanging="454"/>
      </w:pPr>
      <w:r w:rsidRPr="00BC31E0">
        <w:rPr>
          <w:rFonts w:asciiTheme="majorEastAsia" w:eastAsiaTheme="majorEastAsia" w:hAnsiTheme="majorEastAsia" w:hint="eastAsia"/>
          <w:b/>
        </w:rPr>
        <w:t>材料確認</w:t>
      </w:r>
      <w:r w:rsidRPr="00BC31E0">
        <w:rPr>
          <w:rFonts w:hint="eastAsia"/>
        </w:rPr>
        <w:t xml:space="preserve">　</w:t>
      </w:r>
      <w:r w:rsidRPr="00BC31E0">
        <w:rPr>
          <w:rFonts w:ascii="ＭＳ 明朝" w:hAnsi="ＭＳ 明朝" w:hint="eastAsia"/>
        </w:rPr>
        <w:t>材料確認は，次の</w:t>
      </w:r>
      <w:r w:rsidRPr="00BC31E0">
        <w:rPr>
          <w:rFonts w:asciiTheme="majorEastAsia" w:eastAsiaTheme="majorEastAsia" w:hAnsiTheme="majorEastAsia" w:hint="eastAsia"/>
          <w:b/>
        </w:rPr>
        <w:t>1)</w:t>
      </w:r>
      <w:r w:rsidR="00236948" w:rsidRPr="00BC31E0">
        <w:rPr>
          <w:rFonts w:ascii="ＭＳ 明朝" w:hAnsi="ＭＳ 明朝" w:hint="eastAsia"/>
        </w:rPr>
        <w:t>～</w:t>
      </w:r>
      <w:r w:rsidR="00236948" w:rsidRPr="00BC31E0">
        <w:rPr>
          <w:rFonts w:asciiTheme="majorEastAsia" w:eastAsiaTheme="majorEastAsia" w:hAnsiTheme="majorEastAsia" w:hint="eastAsia"/>
          <w:b/>
        </w:rPr>
        <w:t>3</w:t>
      </w:r>
      <w:r w:rsidRPr="00BC31E0">
        <w:rPr>
          <w:rFonts w:asciiTheme="majorEastAsia" w:eastAsiaTheme="majorEastAsia" w:hAnsiTheme="majorEastAsia" w:hint="eastAsia"/>
          <w:b/>
        </w:rPr>
        <w:t>)</w:t>
      </w:r>
      <w:r w:rsidRPr="00BC31E0">
        <w:rPr>
          <w:rFonts w:ascii="ＭＳ 明朝" w:hAnsi="ＭＳ 明朝" w:hint="eastAsia"/>
        </w:rPr>
        <w:t>による。</w:t>
      </w:r>
    </w:p>
    <w:p w14:paraId="119E8B32" w14:textId="77777777" w:rsidR="008B7D4F" w:rsidRPr="00BC31E0" w:rsidRDefault="008F0450" w:rsidP="00736130">
      <w:pPr>
        <w:pStyle w:val="a4"/>
        <w:numPr>
          <w:ilvl w:val="0"/>
          <w:numId w:val="467"/>
        </w:numPr>
        <w:ind w:leftChars="0" w:left="738" w:hanging="454"/>
      </w:pPr>
      <w:r w:rsidRPr="00BC31E0">
        <w:rPr>
          <w:rFonts w:hint="eastAsia"/>
        </w:rPr>
        <w:t>容器完成時，可能な限り材料の初期マーキングを明確に見ることができるように，耐圧部材を配置する。初期マーキングが消去されるか，又は材料を</w:t>
      </w:r>
      <w:r w:rsidR="00A03889" w:rsidRPr="00BC31E0">
        <w:rPr>
          <w:rFonts w:hint="eastAsia"/>
        </w:rPr>
        <w:t>二つ</w:t>
      </w:r>
      <w:r w:rsidRPr="00BC31E0">
        <w:rPr>
          <w:rFonts w:hint="eastAsia"/>
        </w:rPr>
        <w:t>以上の部材に分割する場合には，切断前に製作者は完成した容器にてマーキングを見ることができるようにマーキングを移し替える。代替として，製作中の各材料及び完成した容器が特定できるようなコードマーキングを使用</w:t>
      </w:r>
      <w:r w:rsidR="00D72AE5" w:rsidRPr="00BC31E0">
        <w:rPr>
          <w:rFonts w:hint="eastAsia"/>
        </w:rPr>
        <w:t>す</w:t>
      </w:r>
      <w:r w:rsidRPr="00BC31E0">
        <w:rPr>
          <w:rFonts w:hint="eastAsia"/>
        </w:rPr>
        <w:t>る。</w:t>
      </w:r>
    </w:p>
    <w:p w14:paraId="0A4EC10D" w14:textId="77777777" w:rsidR="008B7D4F" w:rsidRPr="00BC31E0" w:rsidRDefault="008F0450" w:rsidP="00736130">
      <w:pPr>
        <w:pStyle w:val="a4"/>
        <w:numPr>
          <w:ilvl w:val="0"/>
          <w:numId w:val="467"/>
        </w:numPr>
        <w:ind w:leftChars="0" w:left="738" w:hanging="454"/>
      </w:pPr>
      <w:r w:rsidRPr="00BC31E0">
        <w:rPr>
          <w:rFonts w:hint="eastAsia"/>
        </w:rPr>
        <w:t>他の場所で完成された部品は，その部品製作者名及び部品が特定できるようにマーキングする。製造時に消去されるマーキングや小さな部品については，他の方法を用いる。</w:t>
      </w:r>
    </w:p>
    <w:p w14:paraId="0A50D8EE" w14:textId="77777777" w:rsidR="008F0450" w:rsidRPr="00BC31E0" w:rsidRDefault="008F0450" w:rsidP="00736130">
      <w:pPr>
        <w:pStyle w:val="a4"/>
        <w:numPr>
          <w:ilvl w:val="0"/>
          <w:numId w:val="467"/>
        </w:numPr>
        <w:ind w:leftChars="0" w:left="738" w:hanging="454"/>
      </w:pPr>
      <w:r w:rsidRPr="00BC31E0">
        <w:rPr>
          <w:rFonts w:hint="eastAsia"/>
        </w:rPr>
        <w:t>マーキングの移し替えについては次の</w:t>
      </w:r>
      <w:r w:rsidRPr="00BC31E0">
        <w:rPr>
          <w:rFonts w:asciiTheme="majorEastAsia" w:eastAsiaTheme="majorEastAsia" w:hAnsiTheme="majorEastAsia" w:hint="eastAsia"/>
          <w:b/>
        </w:rPr>
        <w:t>3.1)</w:t>
      </w:r>
      <w:r w:rsidRPr="00BC31E0">
        <w:rPr>
          <w:rFonts w:hint="eastAsia"/>
        </w:rPr>
        <w:t>～</w:t>
      </w:r>
      <w:r w:rsidRPr="00BC31E0">
        <w:rPr>
          <w:rFonts w:asciiTheme="majorEastAsia" w:eastAsiaTheme="majorEastAsia" w:hAnsiTheme="majorEastAsia" w:hint="eastAsia"/>
          <w:b/>
        </w:rPr>
        <w:t>3.3)</w:t>
      </w:r>
      <w:r w:rsidRPr="00BC31E0">
        <w:rPr>
          <w:rFonts w:hint="eastAsia"/>
        </w:rPr>
        <w:t>による</w:t>
      </w:r>
      <w:r w:rsidR="002C2C8D" w:rsidRPr="00BC31E0">
        <w:rPr>
          <w:rFonts w:hint="eastAsia"/>
        </w:rPr>
        <w:t>。</w:t>
      </w:r>
    </w:p>
    <w:p w14:paraId="5A9EE7B2" w14:textId="77777777" w:rsidR="00A03889" w:rsidRPr="00BC31E0" w:rsidRDefault="001D139B" w:rsidP="001D139B">
      <w:pPr>
        <w:ind w:left="1134" w:hanging="567"/>
        <w:rPr>
          <w:b/>
        </w:rPr>
      </w:pPr>
      <w:r w:rsidRPr="00BC31E0">
        <w:rPr>
          <w:rFonts w:asciiTheme="majorEastAsia" w:eastAsiaTheme="majorEastAsia" w:hAnsiTheme="majorEastAsia" w:hint="eastAsia"/>
          <w:b/>
        </w:rPr>
        <w:t xml:space="preserve">3.1） </w:t>
      </w:r>
      <w:r w:rsidR="008F0450" w:rsidRPr="00BC31E0">
        <w:rPr>
          <w:rFonts w:hint="eastAsia"/>
        </w:rPr>
        <w:t>使用条件において材料に対してダイスタンプが禁止され，使用者によって規定されている場合，材料製作者及び製作者は，材料に必要なデータをマーキングしなければならない。マーキングは，完成した容器における位置が分かるように記録される。分割される材料におけるマーキングの移し替えは，上記</w:t>
      </w:r>
      <w:r w:rsidR="008F0450" w:rsidRPr="00BC31E0">
        <w:rPr>
          <w:rFonts w:asciiTheme="majorEastAsia" w:eastAsiaTheme="majorEastAsia" w:hAnsiTheme="majorEastAsia" w:hint="eastAsia"/>
          <w:b/>
        </w:rPr>
        <w:t>1)</w:t>
      </w:r>
      <w:r w:rsidR="008F0450" w:rsidRPr="00BC31E0">
        <w:rPr>
          <w:rFonts w:hint="eastAsia"/>
        </w:rPr>
        <w:t>による。</w:t>
      </w:r>
    </w:p>
    <w:p w14:paraId="1D2B6B36" w14:textId="77777777" w:rsidR="008F0450" w:rsidRPr="00BC31E0" w:rsidRDefault="001D139B" w:rsidP="001D139B">
      <w:pPr>
        <w:ind w:left="1134" w:hanging="567"/>
        <w:rPr>
          <w:b/>
        </w:rPr>
      </w:pPr>
      <w:r w:rsidRPr="00BC31E0">
        <w:rPr>
          <w:rFonts w:asciiTheme="majorEastAsia" w:eastAsiaTheme="majorEastAsia" w:hAnsiTheme="majorEastAsia" w:hint="eastAsia"/>
          <w:b/>
          <w:bCs/>
        </w:rPr>
        <w:t xml:space="preserve">3.2) </w:t>
      </w:r>
      <w:r w:rsidR="008F0450" w:rsidRPr="00BC31E0">
        <w:rPr>
          <w:rFonts w:ascii="ＭＳ 明朝" w:hAnsi="ＭＳ 明朝" w:hint="eastAsia"/>
          <w:bCs/>
        </w:rPr>
        <w:t>材料が製作者以外によって加工され，材料規格による初期マーキングが消去される場合，又は部材を</w:t>
      </w:r>
      <w:r w:rsidR="00A03889" w:rsidRPr="00BC31E0">
        <w:rPr>
          <w:rFonts w:ascii="ＭＳ 明朝" w:hAnsi="ＭＳ 明朝" w:hint="eastAsia"/>
          <w:bCs/>
        </w:rPr>
        <w:t>二つ</w:t>
      </w:r>
      <w:r w:rsidR="008F0450" w:rsidRPr="00BC31E0">
        <w:rPr>
          <w:rFonts w:ascii="ＭＳ 明朝" w:hAnsi="ＭＳ 明朝" w:hint="eastAsia"/>
          <w:bCs/>
        </w:rPr>
        <w:t>以上に分割する場合には，製作者は次のいずれかを行う。</w:t>
      </w:r>
    </w:p>
    <w:p w14:paraId="25BCBE67" w14:textId="77777777" w:rsidR="008009A1" w:rsidRPr="00BC31E0" w:rsidRDefault="008F0450" w:rsidP="00736130">
      <w:pPr>
        <w:pStyle w:val="a4"/>
        <w:numPr>
          <w:ilvl w:val="0"/>
          <w:numId w:val="336"/>
        </w:numPr>
        <w:ind w:leftChars="0" w:left="1701" w:hanging="794"/>
        <w:rPr>
          <w:b/>
        </w:rPr>
      </w:pPr>
      <w:r w:rsidRPr="00BC31E0">
        <w:rPr>
          <w:rFonts w:hint="eastAsia"/>
        </w:rPr>
        <w:t>初期マーキングを別の場所に移し替える。</w:t>
      </w:r>
    </w:p>
    <w:p w14:paraId="54E12958" w14:textId="77777777" w:rsidR="008F0450" w:rsidRPr="00BC31E0" w:rsidRDefault="008F0450" w:rsidP="00736130">
      <w:pPr>
        <w:pStyle w:val="a4"/>
        <w:numPr>
          <w:ilvl w:val="0"/>
          <w:numId w:val="336"/>
        </w:numPr>
        <w:ind w:leftChars="0" w:left="1701" w:hanging="794"/>
        <w:rPr>
          <w:b/>
        </w:rPr>
      </w:pPr>
      <w:r w:rsidRPr="00BC31E0">
        <w:rPr>
          <w:rFonts w:ascii="ＭＳ 明朝" w:hAnsi="ＭＳ 明朝" w:hint="eastAsia"/>
          <w:bCs/>
        </w:rPr>
        <w:lastRenderedPageBreak/>
        <w:t>完成した圧力容器の製作者の品質マネジメントシステムに記載されているマーキング方法を使用して，初期マーキングが追跡可能となるコードを使用する。</w:t>
      </w:r>
    </w:p>
    <w:p w14:paraId="5CFBEA16" w14:textId="77777777" w:rsidR="008F0450" w:rsidRPr="00BC31E0" w:rsidRDefault="001D139B" w:rsidP="001D139B">
      <w:pPr>
        <w:ind w:left="1134" w:hanging="567"/>
        <w:rPr>
          <w:b/>
        </w:rPr>
      </w:pPr>
      <w:r w:rsidRPr="00BC31E0">
        <w:rPr>
          <w:rFonts w:asciiTheme="majorEastAsia" w:eastAsiaTheme="majorEastAsia" w:hAnsiTheme="majorEastAsia" w:hint="eastAsia"/>
          <w:b/>
        </w:rPr>
        <w:t xml:space="preserve">3.3) </w:t>
      </w:r>
      <w:r w:rsidR="008F0450" w:rsidRPr="00BC31E0">
        <w:rPr>
          <w:rFonts w:hint="eastAsia"/>
        </w:rPr>
        <w:t>材料証明書で追跡可能であり，各材料の位置が特定できるように，完成図又は材料一覧表を作成する。</w:t>
      </w:r>
    </w:p>
    <w:p w14:paraId="47503505" w14:textId="77777777" w:rsidR="008F0450" w:rsidRPr="00BC31E0" w:rsidRDefault="008F0450" w:rsidP="00736130">
      <w:pPr>
        <w:pStyle w:val="a4"/>
        <w:numPr>
          <w:ilvl w:val="0"/>
          <w:numId w:val="468"/>
        </w:numPr>
        <w:ind w:leftChars="0" w:left="454" w:hanging="454"/>
        <w:rPr>
          <w:rFonts w:ascii="ＭＳ 明朝" w:hAnsi="ＭＳ 明朝"/>
        </w:rPr>
      </w:pPr>
      <w:r w:rsidRPr="00BC31E0">
        <w:rPr>
          <w:rFonts w:asciiTheme="majorEastAsia" w:eastAsiaTheme="majorEastAsia" w:hAnsiTheme="majorEastAsia" w:hint="eastAsia"/>
          <w:b/>
        </w:rPr>
        <w:t>欠陥材の補修</w:t>
      </w:r>
      <w:r w:rsidRPr="00BC31E0">
        <w:rPr>
          <w:rFonts w:hint="eastAsia"/>
        </w:rPr>
        <w:t xml:space="preserve">　</w:t>
      </w:r>
      <w:r w:rsidRPr="00BC31E0">
        <w:rPr>
          <w:rFonts w:asciiTheme="majorEastAsia" w:eastAsiaTheme="majorEastAsia" w:hAnsiTheme="majorEastAsia" w:hint="eastAsia"/>
          <w:b/>
        </w:rPr>
        <w:t>9.2</w:t>
      </w:r>
      <w:r w:rsidRPr="00BC31E0">
        <w:rPr>
          <w:rFonts w:ascii="ＭＳ 明朝" w:hAnsi="ＭＳ 明朝" w:hint="eastAsia"/>
        </w:rPr>
        <w:t>の制限を超える欠陥が製作の過程で見つけられた材料は使用</w:t>
      </w:r>
      <w:r w:rsidR="00A743BB" w:rsidRPr="00BC31E0">
        <w:rPr>
          <w:rFonts w:ascii="ＭＳ 明朝" w:hAnsi="ＭＳ 明朝" w:hint="eastAsia"/>
        </w:rPr>
        <w:t>しない</w:t>
      </w:r>
      <w:r w:rsidRPr="00BC31E0">
        <w:rPr>
          <w:rFonts w:ascii="ＭＳ 明朝" w:hAnsi="ＭＳ 明朝" w:hint="eastAsia"/>
        </w:rPr>
        <w:t>。ただし，使用者設計仕様書や</w:t>
      </w:r>
      <w:r w:rsidRPr="00BC31E0">
        <w:rPr>
          <w:rFonts w:asciiTheme="majorEastAsia" w:eastAsiaTheme="majorEastAsia" w:hAnsiTheme="majorEastAsia" w:hint="eastAsia"/>
          <w:b/>
        </w:rPr>
        <w:t>5</w:t>
      </w:r>
      <w:r w:rsidRPr="00BC31E0">
        <w:rPr>
          <w:rFonts w:ascii="ＭＳ 明朝" w:hAnsi="ＭＳ 明朝" w:hint="eastAsia"/>
        </w:rPr>
        <w:t>で禁止されていなければ，欠陥を除去し，材料を補修</w:t>
      </w:r>
      <w:r w:rsidR="00097349" w:rsidRPr="00BC31E0">
        <w:rPr>
          <w:rFonts w:ascii="ＭＳ 明朝" w:hAnsi="ＭＳ 明朝" w:hint="eastAsia"/>
        </w:rPr>
        <w:t>す</w:t>
      </w:r>
      <w:r w:rsidRPr="00BC31E0">
        <w:rPr>
          <w:rFonts w:ascii="ＭＳ 明朝" w:hAnsi="ＭＳ 明朝" w:hint="eastAsia"/>
        </w:rPr>
        <w:t>る。全ての補修は</w:t>
      </w:r>
      <w:r w:rsidRPr="00BC31E0">
        <w:rPr>
          <w:rFonts w:asciiTheme="majorEastAsia" w:eastAsiaTheme="majorEastAsia" w:hAnsiTheme="majorEastAsia" w:hint="eastAsia"/>
          <w:b/>
        </w:rPr>
        <w:t>9.2</w:t>
      </w:r>
      <w:r w:rsidRPr="00BC31E0">
        <w:rPr>
          <w:rFonts w:ascii="ＭＳ 明朝" w:hAnsi="ＭＳ 明朝" w:hint="eastAsia"/>
        </w:rPr>
        <w:t>の規定に従って行い，製作者製作記録に記録する。</w:t>
      </w:r>
    </w:p>
    <w:p w14:paraId="6B0ED149" w14:textId="77777777" w:rsidR="008F0450" w:rsidRPr="00BC31E0" w:rsidRDefault="008F0450" w:rsidP="00146BA8">
      <w:pPr>
        <w:pStyle w:val="3"/>
        <w:tabs>
          <w:tab w:val="clear" w:pos="284"/>
        </w:tabs>
        <w:ind w:left="794" w:hanging="794"/>
      </w:pPr>
      <w:r w:rsidRPr="00BC31E0">
        <w:rPr>
          <w:rFonts w:hint="eastAsia"/>
        </w:rPr>
        <w:t>材料の成形</w:t>
      </w:r>
    </w:p>
    <w:p w14:paraId="327FE0DF" w14:textId="77777777" w:rsidR="008F0450" w:rsidRPr="00BC31E0" w:rsidRDefault="008F0450" w:rsidP="002C2C8D">
      <w:pPr>
        <w:pStyle w:val="1110"/>
        <w:ind w:firstLine="210"/>
      </w:pPr>
      <w:r w:rsidRPr="00BC31E0">
        <w:rPr>
          <w:rFonts w:hint="eastAsia"/>
        </w:rPr>
        <w:t>材料の成形は，次の</w:t>
      </w:r>
      <w:r w:rsidRPr="00BC31E0">
        <w:rPr>
          <w:rFonts w:ascii="ＭＳ ゴシック" w:eastAsia="ＭＳ ゴシック" w:hint="eastAsia"/>
          <w:b/>
        </w:rPr>
        <w:t>a)</w:t>
      </w:r>
      <w:r w:rsidRPr="00BC31E0">
        <w:rPr>
          <w:rFonts w:hint="eastAsia"/>
        </w:rPr>
        <w:t>～</w:t>
      </w:r>
      <w:r w:rsidRPr="00BC31E0">
        <w:rPr>
          <w:rFonts w:ascii="ＭＳ ゴシック" w:eastAsia="ＭＳ ゴシック" w:hint="eastAsia"/>
          <w:b/>
        </w:rPr>
        <w:t>c)</w:t>
      </w:r>
      <w:r w:rsidRPr="00BC31E0">
        <w:rPr>
          <w:rFonts w:hint="eastAsia"/>
        </w:rPr>
        <w:t>による。胴，鏡に使用される材料は，設計の前提となる強度特性を下まわらない方法で成形する。</w:t>
      </w:r>
    </w:p>
    <w:p w14:paraId="6EE28E85" w14:textId="77777777" w:rsidR="008F0450" w:rsidRPr="00BC31E0" w:rsidRDefault="008F0450" w:rsidP="00736130">
      <w:pPr>
        <w:pStyle w:val="a4"/>
        <w:numPr>
          <w:ilvl w:val="0"/>
          <w:numId w:val="338"/>
        </w:numPr>
        <w:ind w:leftChars="0" w:left="454" w:hanging="454"/>
      </w:pPr>
      <w:r w:rsidRPr="00BC31E0">
        <w:rPr>
          <w:rFonts w:asciiTheme="majorEastAsia" w:eastAsiaTheme="majorEastAsia" w:hAnsiTheme="majorEastAsia" w:hint="eastAsia"/>
          <w:b/>
        </w:rPr>
        <w:t>材料検査</w:t>
      </w:r>
      <w:r w:rsidRPr="00BC31E0">
        <w:rPr>
          <w:rFonts w:hint="eastAsia"/>
        </w:rPr>
        <w:t xml:space="preserve">　材料検査は，次の</w:t>
      </w:r>
      <w:r w:rsidRPr="00BC31E0">
        <w:rPr>
          <w:rFonts w:asciiTheme="majorEastAsia" w:eastAsiaTheme="majorEastAsia" w:hAnsiTheme="majorEastAsia" w:hint="eastAsia"/>
          <w:b/>
        </w:rPr>
        <w:t>1)</w:t>
      </w:r>
      <w:r w:rsidRPr="00BC31E0">
        <w:rPr>
          <w:rFonts w:hint="eastAsia"/>
        </w:rPr>
        <w:t>，</w:t>
      </w:r>
      <w:r w:rsidRPr="00BC31E0">
        <w:rPr>
          <w:rFonts w:asciiTheme="majorEastAsia" w:eastAsiaTheme="majorEastAsia" w:hAnsiTheme="majorEastAsia" w:hint="eastAsia"/>
          <w:b/>
        </w:rPr>
        <w:t>2)</w:t>
      </w:r>
      <w:r w:rsidRPr="00BC31E0">
        <w:rPr>
          <w:rFonts w:hint="eastAsia"/>
        </w:rPr>
        <w:t>による。</w:t>
      </w:r>
    </w:p>
    <w:p w14:paraId="04827769" w14:textId="77777777" w:rsidR="00E473D9" w:rsidRPr="00BC31E0" w:rsidRDefault="008F0450" w:rsidP="00736130">
      <w:pPr>
        <w:pStyle w:val="a4"/>
        <w:numPr>
          <w:ilvl w:val="0"/>
          <w:numId w:val="337"/>
        </w:numPr>
        <w:ind w:leftChars="0" w:left="738" w:hanging="454"/>
        <w:rPr>
          <w:b/>
          <w:bCs/>
        </w:rPr>
      </w:pPr>
      <w:r w:rsidRPr="00BC31E0">
        <w:rPr>
          <w:rFonts w:hint="eastAsia"/>
        </w:rPr>
        <w:t>圧力容器に使用される全ての材料は，</w:t>
      </w:r>
      <w:r w:rsidRPr="00BC31E0">
        <w:rPr>
          <w:rFonts w:asciiTheme="majorEastAsia" w:eastAsiaTheme="majorEastAsia" w:hAnsiTheme="majorEastAsia" w:hint="eastAsia"/>
          <w:b/>
        </w:rPr>
        <w:t>9.2</w:t>
      </w:r>
      <w:r w:rsidRPr="00BC31E0">
        <w:rPr>
          <w:rFonts w:hint="eastAsia"/>
        </w:rPr>
        <w:t>の合格基準を超える欠陥を検知する目的で，成形，製作前までに検査する。製作中に切断される全ての端面</w:t>
      </w:r>
      <w:r w:rsidRPr="00BC31E0">
        <w:rPr>
          <w:rFonts w:hint="eastAsia"/>
        </w:rPr>
        <w:t>(</w:t>
      </w:r>
      <w:r w:rsidRPr="00BC31E0">
        <w:rPr>
          <w:rFonts w:hint="eastAsia"/>
        </w:rPr>
        <w:t>開口部の端面を含む</w:t>
      </w:r>
      <w:r w:rsidRPr="00BC31E0">
        <w:rPr>
          <w:rFonts w:hint="eastAsia"/>
        </w:rPr>
        <w:t>)</w:t>
      </w:r>
      <w:r w:rsidRPr="00BC31E0">
        <w:rPr>
          <w:rFonts w:hint="eastAsia"/>
        </w:rPr>
        <w:t>は，</w:t>
      </w:r>
      <w:r w:rsidRPr="00BC31E0">
        <w:rPr>
          <w:rFonts w:asciiTheme="majorEastAsia" w:eastAsiaTheme="majorEastAsia" w:hAnsiTheme="majorEastAsia" w:hint="eastAsia"/>
          <w:b/>
          <w:iCs/>
        </w:rPr>
        <w:t>9.3.4</w:t>
      </w:r>
      <w:r w:rsidRPr="00BC31E0">
        <w:rPr>
          <w:rFonts w:hint="eastAsia"/>
        </w:rPr>
        <w:t>に従って磁粉探傷試験又は浸透探傷試験によって検査し，</w:t>
      </w:r>
      <w:r w:rsidRPr="00BC31E0">
        <w:rPr>
          <w:rFonts w:asciiTheme="majorEastAsia" w:eastAsiaTheme="majorEastAsia" w:hAnsiTheme="majorEastAsia" w:hint="eastAsia"/>
          <w:b/>
          <w:iCs/>
        </w:rPr>
        <w:t>9.3.4</w:t>
      </w:r>
      <w:r w:rsidRPr="00BC31E0">
        <w:rPr>
          <w:rFonts w:hint="eastAsia"/>
        </w:rPr>
        <w:t>の判定基準を超える欠陥は記録に残し補修しなければならない。</w:t>
      </w:r>
    </w:p>
    <w:p w14:paraId="1C2BAA9F" w14:textId="77777777" w:rsidR="008F0450" w:rsidRPr="00BC31E0" w:rsidRDefault="008F0450" w:rsidP="00736130">
      <w:pPr>
        <w:pStyle w:val="a4"/>
        <w:numPr>
          <w:ilvl w:val="0"/>
          <w:numId w:val="337"/>
        </w:numPr>
        <w:ind w:leftChars="0" w:left="738" w:hanging="454"/>
        <w:rPr>
          <w:b/>
          <w:bCs/>
        </w:rPr>
      </w:pPr>
      <w:r w:rsidRPr="00BC31E0">
        <w:t>38 mm</w:t>
      </w:r>
      <w:r w:rsidRPr="00BC31E0">
        <w:rPr>
          <w:rFonts w:ascii="ＭＳ 明朝" w:hAnsi="ＭＳ 明朝" w:hint="eastAsia"/>
        </w:rPr>
        <w:t>を超える母材の切断面は，</w:t>
      </w:r>
      <w:r w:rsidRPr="00BC31E0">
        <w:rPr>
          <w:rFonts w:asciiTheme="majorEastAsia" w:eastAsiaTheme="majorEastAsia" w:hAnsiTheme="majorEastAsia" w:hint="eastAsia"/>
          <w:b/>
          <w:iCs/>
        </w:rPr>
        <w:t>9.2.5</w:t>
      </w:r>
      <w:r w:rsidRPr="00BC31E0">
        <w:rPr>
          <w:rFonts w:asciiTheme="majorEastAsia" w:eastAsiaTheme="majorEastAsia" w:hAnsiTheme="majorEastAsia"/>
          <w:b/>
          <w:iCs/>
        </w:rPr>
        <w:t xml:space="preserve"> d)</w:t>
      </w:r>
      <w:r w:rsidRPr="00BC31E0">
        <w:rPr>
          <w:rFonts w:ascii="ＭＳ 明朝" w:hAnsi="ＭＳ 明朝" w:hint="eastAsia"/>
        </w:rPr>
        <w:t>に従って磁粉探傷試験又は浸透探傷試験により検査する。この検査は，直径</w:t>
      </w:r>
      <w:r w:rsidRPr="00BC31E0">
        <w:t>76 mm</w:t>
      </w:r>
      <w:r w:rsidRPr="00BC31E0">
        <w:rPr>
          <w:rFonts w:ascii="ＭＳ 明朝" w:hAnsi="ＭＳ 明朝" w:hint="eastAsia"/>
        </w:rPr>
        <w:t>以下の開口部の切断面には要求されない。ただし，その開口部周辺については，開口面積以上の範囲において</w:t>
      </w:r>
      <w:r w:rsidRPr="00BC31E0">
        <w:rPr>
          <w:rFonts w:asciiTheme="majorEastAsia" w:eastAsiaTheme="majorEastAsia" w:hAnsiTheme="majorEastAsia" w:hint="eastAsia"/>
          <w:b/>
          <w:iCs/>
        </w:rPr>
        <w:t>9.2.5</w:t>
      </w:r>
      <w:r w:rsidRPr="00BC31E0">
        <w:rPr>
          <w:rFonts w:asciiTheme="majorEastAsia" w:eastAsiaTheme="majorEastAsia" w:hAnsiTheme="majorEastAsia"/>
          <w:b/>
          <w:iCs/>
        </w:rPr>
        <w:t xml:space="preserve"> c)</w:t>
      </w:r>
      <w:r w:rsidRPr="00BC31E0">
        <w:rPr>
          <w:rFonts w:ascii="ＭＳ 明朝" w:hAnsi="ＭＳ 明朝" w:hint="eastAsia"/>
        </w:rPr>
        <w:t>に従って超音波探傷試験を実施する。</w:t>
      </w:r>
      <w:r w:rsidRPr="00BC31E0">
        <w:rPr>
          <w:rFonts w:asciiTheme="majorEastAsia" w:eastAsiaTheme="majorEastAsia" w:hAnsiTheme="majorEastAsia" w:hint="eastAsia"/>
          <w:b/>
        </w:rPr>
        <w:t>9.2</w:t>
      </w:r>
      <w:r w:rsidRPr="00BC31E0">
        <w:rPr>
          <w:rFonts w:asciiTheme="majorEastAsia" w:eastAsiaTheme="majorEastAsia" w:hAnsiTheme="majorEastAsia"/>
          <w:b/>
        </w:rPr>
        <w:t>.5 c)</w:t>
      </w:r>
      <w:r w:rsidRPr="00BC31E0">
        <w:rPr>
          <w:rFonts w:ascii="ＭＳ 明朝" w:hAnsi="ＭＳ 明朝" w:hint="eastAsia"/>
        </w:rPr>
        <w:t>の合格基準を超える指示模様が検出された場合は，</w:t>
      </w:r>
      <w:r w:rsidRPr="00BC31E0">
        <w:rPr>
          <w:rFonts w:asciiTheme="majorEastAsia" w:eastAsiaTheme="majorEastAsia" w:hAnsiTheme="majorEastAsia" w:hint="eastAsia"/>
          <w:b/>
        </w:rPr>
        <w:t>9.2</w:t>
      </w:r>
      <w:r w:rsidRPr="00BC31E0">
        <w:rPr>
          <w:rFonts w:ascii="ＭＳ 明朝" w:hAnsi="ＭＳ 明朝" w:hint="eastAsia"/>
        </w:rPr>
        <w:t>に従って補修しなければならない。板又は鍛造品の非層状不連続部と層状不連続部は，別々に取扱う。圧力をシールするねじ継手は，いかなる指示模様も認めない。</w:t>
      </w:r>
    </w:p>
    <w:p w14:paraId="523D676F" w14:textId="77777777" w:rsidR="00A15CA3" w:rsidRPr="00BC31E0" w:rsidRDefault="008F0450" w:rsidP="00736130">
      <w:pPr>
        <w:pStyle w:val="a4"/>
        <w:numPr>
          <w:ilvl w:val="0"/>
          <w:numId w:val="138"/>
        </w:numPr>
        <w:ind w:leftChars="0" w:left="454" w:hanging="454"/>
      </w:pPr>
      <w:r w:rsidRPr="00BC31E0">
        <w:rPr>
          <w:rFonts w:asciiTheme="majorEastAsia" w:eastAsiaTheme="majorEastAsia" w:hAnsiTheme="majorEastAsia" w:hint="eastAsia"/>
          <w:b/>
        </w:rPr>
        <w:t>材料の切断</w:t>
      </w:r>
      <w:r w:rsidRPr="00BC31E0">
        <w:rPr>
          <w:rFonts w:hint="eastAsia"/>
        </w:rPr>
        <w:t xml:space="preserve">　</w:t>
      </w:r>
      <w:r w:rsidRPr="00BC31E0">
        <w:rPr>
          <w:rFonts w:ascii="ＭＳ 明朝" w:hAnsi="ＭＳ 明朝" w:hint="eastAsia"/>
        </w:rPr>
        <w:t>材料の切断は，機械的方法又は熱的方法にて行う。熱的切断を実施した後は，その後の製作や使用の前に</w:t>
      </w:r>
      <w:r w:rsidR="00DC160D" w:rsidRPr="00BC31E0">
        <w:rPr>
          <w:rFonts w:ascii="ＭＳ 明朝" w:hAnsi="ＭＳ 明朝" w:hint="eastAsia"/>
        </w:rPr>
        <w:t>全</w:t>
      </w:r>
      <w:r w:rsidRPr="00BC31E0">
        <w:rPr>
          <w:rFonts w:ascii="ＭＳ 明朝" w:hAnsi="ＭＳ 明朝" w:hint="eastAsia"/>
        </w:rPr>
        <w:t>てのスラグや有害な変色部を機械的に除去する。熱的切断を実施した場合，材料の強度特性への影響を考慮する。溶接される端面は，均一で滑らかとする。</w:t>
      </w:r>
    </w:p>
    <w:p w14:paraId="18B5E6B7" w14:textId="77777777" w:rsidR="008F0450" w:rsidRPr="00BC31E0" w:rsidRDefault="008F0450" w:rsidP="00736130">
      <w:pPr>
        <w:pStyle w:val="a4"/>
        <w:numPr>
          <w:ilvl w:val="0"/>
          <w:numId w:val="138"/>
        </w:numPr>
        <w:ind w:leftChars="0" w:left="454" w:hanging="454"/>
      </w:pPr>
      <w:r w:rsidRPr="00BC31E0">
        <w:rPr>
          <w:rFonts w:asciiTheme="majorEastAsia" w:eastAsiaTheme="majorEastAsia" w:hAnsiTheme="majorEastAsia" w:hint="eastAsia"/>
          <w:b/>
        </w:rPr>
        <w:t>ノズル内側端部の仕上げ</w:t>
      </w:r>
      <w:r w:rsidRPr="00BC31E0">
        <w:rPr>
          <w:rFonts w:hint="eastAsia"/>
        </w:rPr>
        <w:t xml:space="preserve">　</w:t>
      </w:r>
      <w:r w:rsidRPr="00BC31E0">
        <w:rPr>
          <w:rFonts w:ascii="ＭＳ 明朝" w:hAnsi="ＭＳ 明朝" w:hint="eastAsia"/>
          <w:bCs/>
        </w:rPr>
        <w:t>ノズルネックの内側端面が胴内面に面一の場合，</w:t>
      </w:r>
      <w:r w:rsidRPr="00BC31E0">
        <w:rPr>
          <w:rFonts w:asciiTheme="majorEastAsia" w:eastAsiaTheme="majorEastAsia" w:hAnsiTheme="majorEastAsia" w:hint="eastAsia"/>
          <w:b/>
        </w:rPr>
        <w:t>図6.10.4</w:t>
      </w:r>
      <w:r w:rsidRPr="00BC31E0">
        <w:rPr>
          <w:rFonts w:ascii="ＭＳ 明朝" w:hAnsi="ＭＳ 明朝" w:hint="eastAsia"/>
          <w:bCs/>
        </w:rPr>
        <w:t>，</w:t>
      </w:r>
      <w:r w:rsidRPr="00BC31E0">
        <w:rPr>
          <w:rFonts w:asciiTheme="majorEastAsia" w:eastAsiaTheme="majorEastAsia" w:hAnsiTheme="majorEastAsia" w:hint="eastAsia"/>
          <w:b/>
        </w:rPr>
        <w:t>図6.10.5</w:t>
      </w:r>
      <w:r w:rsidRPr="00BC31E0">
        <w:rPr>
          <w:rFonts w:ascii="ＭＳ 明朝" w:hAnsi="ＭＳ 明朝" w:hint="eastAsia"/>
          <w:bCs/>
        </w:rPr>
        <w:t>で示されている以外のノズルの内側端部は，</w:t>
      </w:r>
      <m:oMath>
        <m:f>
          <m:fPr>
            <m:type m:val="lin"/>
            <m:ctrlPr>
              <w:rPr>
                <w:rFonts w:ascii="Cambria Math" w:hAnsi="Cambria Math"/>
                <w:bCs/>
                <w:i/>
              </w:rPr>
            </m:ctrlPr>
          </m:fPr>
          <m:num>
            <m:r>
              <w:rPr>
                <w:rFonts w:ascii="Cambria Math" w:hAnsi="Cambria Math"/>
              </w:rPr>
              <m:t>t</m:t>
            </m:r>
          </m:num>
          <m:den>
            <m:r>
              <w:rPr>
                <w:rFonts w:ascii="Cambria Math" w:hAnsi="Cambria Math"/>
              </w:rPr>
              <m:t>4</m:t>
            </m:r>
          </m:den>
        </m:f>
        <m:r>
          <m:rPr>
            <m:sty m:val="p"/>
          </m:rPr>
          <w:rPr>
            <w:rFonts w:ascii="Cambria Math" w:hAnsi="Cambria Math"/>
          </w:rPr>
          <m:t xml:space="preserve"> </m:t>
        </m:r>
      </m:oMath>
      <w:r w:rsidRPr="00BC31E0">
        <w:rPr>
          <w:rFonts w:ascii="ＭＳ 明朝" w:hAnsi="ＭＳ 明朝" w:hint="eastAsia"/>
          <w:bCs/>
        </w:rPr>
        <w:t>又は</w:t>
      </w:r>
      <w:r w:rsidRPr="00BC31E0">
        <w:rPr>
          <w:bCs/>
        </w:rPr>
        <w:t>3 mm</w:t>
      </w:r>
      <w:r w:rsidRPr="00BC31E0">
        <w:rPr>
          <w:rFonts w:ascii="ＭＳ 明朝" w:hAnsi="ＭＳ 明朝" w:hint="eastAsia"/>
          <w:bCs/>
        </w:rPr>
        <w:t>のいずれか小さい方の値以上でアール取りをする。ノズルネックが胴内面から突き出している場合は，ノズルネック端部の内側と外側に</w:t>
      </w:r>
      <m:oMath>
        <m:f>
          <m:fPr>
            <m:type m:val="lin"/>
            <m:ctrlPr>
              <w:rPr>
                <w:rFonts w:ascii="Cambria Math" w:hAnsi="Cambria Math"/>
                <w:bCs/>
                <w:i/>
              </w:rPr>
            </m:ctrlPr>
          </m:fPr>
          <m:num>
            <m:sSub>
              <m:sSubPr>
                <m:ctrlPr>
                  <w:rPr>
                    <w:rFonts w:ascii="Cambria Math" w:hAnsi="Cambria Math"/>
                    <w:bCs/>
                    <w:i/>
                  </w:rPr>
                </m:ctrlPr>
              </m:sSubPr>
              <m:e>
                <m:r>
                  <w:rPr>
                    <w:rFonts w:ascii="Cambria Math" w:hAnsi="Cambria Math"/>
                  </w:rPr>
                  <m:t xml:space="preserve"> t</m:t>
                </m:r>
              </m:e>
              <m:sub>
                <m:r>
                  <w:rPr>
                    <w:rFonts w:ascii="Cambria Math" w:hAnsi="Cambria Math"/>
                  </w:rPr>
                  <m:t>n</m:t>
                </m:r>
              </m:sub>
            </m:sSub>
          </m:num>
          <m:den>
            <m:r>
              <w:rPr>
                <w:rFonts w:ascii="Cambria Math" w:hAnsi="Cambria Math"/>
              </w:rPr>
              <m:t xml:space="preserve">4 </m:t>
            </m:r>
          </m:den>
        </m:f>
      </m:oMath>
      <w:r w:rsidRPr="00BC31E0">
        <w:rPr>
          <w:rFonts w:ascii="ＭＳ 明朝" w:hAnsi="ＭＳ 明朝" w:hint="eastAsia"/>
          <w:bCs/>
        </w:rPr>
        <w:t>又は</w:t>
      </w:r>
      <w:r w:rsidRPr="00BC31E0">
        <w:rPr>
          <w:bCs/>
        </w:rPr>
        <w:t>10 mm</w:t>
      </w:r>
      <w:r w:rsidRPr="00BC31E0">
        <w:rPr>
          <w:rFonts w:ascii="ＭＳ 明朝" w:hAnsi="ＭＳ 明朝" w:hint="eastAsia"/>
          <w:bCs/>
        </w:rPr>
        <w:t>のいずれか小さい方の値以上でアール取りをする。</w:t>
      </w:r>
    </w:p>
    <w:p w14:paraId="1560C8B5" w14:textId="77777777" w:rsidR="008F0450" w:rsidRPr="00BC31E0" w:rsidRDefault="008F0450" w:rsidP="00767285">
      <w:pPr>
        <w:pStyle w:val="3"/>
        <w:tabs>
          <w:tab w:val="clear" w:pos="284"/>
        </w:tabs>
        <w:ind w:left="794" w:hanging="794"/>
      </w:pPr>
      <w:r w:rsidRPr="00BC31E0">
        <w:rPr>
          <w:rFonts w:hint="eastAsia"/>
        </w:rPr>
        <w:t>円筒胴，球形胴及び成形鏡の公差</w:t>
      </w:r>
    </w:p>
    <w:p w14:paraId="3D009382" w14:textId="77777777" w:rsidR="008F0450" w:rsidRPr="00BC31E0" w:rsidRDefault="008F0450" w:rsidP="00982014">
      <w:pPr>
        <w:pStyle w:val="1110"/>
        <w:ind w:firstLine="210"/>
      </w:pPr>
      <w:r w:rsidRPr="00BC31E0">
        <w:rPr>
          <w:rFonts w:hint="eastAsia"/>
        </w:rPr>
        <w:t>設計計算が行われ，使用者との合意がない限り，円筒胴，球形胴及び成形鏡の公差は，次の</w:t>
      </w:r>
      <w:r w:rsidRPr="00BC31E0">
        <w:rPr>
          <w:rFonts w:ascii="ＭＳ ゴシック" w:eastAsia="ＭＳ ゴシック" w:hAnsi="ＭＳ ゴシック" w:hint="eastAsia"/>
          <w:b/>
        </w:rPr>
        <w:t>a)</w:t>
      </w:r>
      <w:r w:rsidRPr="00BC31E0">
        <w:rPr>
          <w:rFonts w:hint="eastAsia"/>
        </w:rPr>
        <w:t>，</w:t>
      </w:r>
      <w:r w:rsidRPr="00BC31E0">
        <w:rPr>
          <w:rFonts w:ascii="ＭＳ ゴシック" w:eastAsia="ＭＳ ゴシック" w:hAnsi="ＭＳ ゴシック" w:hint="eastAsia"/>
          <w:b/>
        </w:rPr>
        <w:t>b)</w:t>
      </w:r>
      <w:r w:rsidRPr="00BC31E0">
        <w:rPr>
          <w:rFonts w:hint="eastAsia"/>
        </w:rPr>
        <w:t>の規定を逸脱してはならない。</w:t>
      </w:r>
    </w:p>
    <w:p w14:paraId="5A27AE34" w14:textId="77777777" w:rsidR="00767285" w:rsidRPr="00BC31E0" w:rsidRDefault="008F0450" w:rsidP="00736130">
      <w:pPr>
        <w:pStyle w:val="a4"/>
        <w:numPr>
          <w:ilvl w:val="0"/>
          <w:numId w:val="469"/>
        </w:numPr>
        <w:ind w:leftChars="0" w:left="454" w:hanging="454"/>
        <w:rPr>
          <w:rFonts w:ascii="ＭＳ 明朝" w:hAnsi="ＭＳ 明朝"/>
        </w:rPr>
      </w:pPr>
      <w:r w:rsidRPr="00BC31E0">
        <w:rPr>
          <w:rFonts w:asciiTheme="majorEastAsia" w:eastAsiaTheme="majorEastAsia" w:hAnsiTheme="majorEastAsia" w:hint="eastAsia"/>
          <w:b/>
        </w:rPr>
        <w:t>円筒胴</w:t>
      </w:r>
      <w:r w:rsidRPr="00BC31E0">
        <w:rPr>
          <w:rFonts w:hint="eastAsia"/>
        </w:rPr>
        <w:t xml:space="preserve">　</w:t>
      </w:r>
      <w:r w:rsidRPr="00BC31E0">
        <w:rPr>
          <w:rFonts w:ascii="ＭＳ 明朝" w:hAnsi="ＭＳ 明朝" w:hint="eastAsia"/>
        </w:rPr>
        <w:t>円筒胴の軸に垂直ないかなる断面においても，最大内径と最小内径の差が公称内径の</w:t>
      </w:r>
      <w:r w:rsidRPr="00BC31E0">
        <w:t>1%</w:t>
      </w:r>
      <w:r w:rsidRPr="00BC31E0">
        <w:rPr>
          <w:rFonts w:ascii="ＭＳ 明朝" w:hAnsi="ＭＳ 明朝" w:hint="eastAsia"/>
        </w:rPr>
        <w:t>以下とする。測定は容器の内径でも外径でもよい。外径で測定する場合，内径は該当する断面における材料の最小厚さに対して補正しなければならない。</w:t>
      </w:r>
    </w:p>
    <w:p w14:paraId="3F52E1C6" w14:textId="77777777" w:rsidR="008F0450" w:rsidRPr="00BC31E0" w:rsidRDefault="008F0450" w:rsidP="00736130">
      <w:pPr>
        <w:pStyle w:val="a4"/>
        <w:numPr>
          <w:ilvl w:val="0"/>
          <w:numId w:val="469"/>
        </w:numPr>
        <w:ind w:leftChars="0" w:left="454" w:hanging="454"/>
        <w:rPr>
          <w:rFonts w:ascii="ＭＳ 明朝" w:hAnsi="ＭＳ 明朝"/>
        </w:rPr>
      </w:pPr>
      <w:r w:rsidRPr="00BC31E0">
        <w:rPr>
          <w:rFonts w:asciiTheme="majorEastAsia" w:eastAsiaTheme="majorEastAsia" w:hAnsiTheme="majorEastAsia" w:hint="eastAsia"/>
          <w:b/>
        </w:rPr>
        <w:t>球形胴と成形鏡</w:t>
      </w:r>
      <w:r w:rsidRPr="00BC31E0">
        <w:rPr>
          <w:rFonts w:hint="eastAsia"/>
        </w:rPr>
        <w:t xml:space="preserve">　</w:t>
      </w:r>
      <w:r w:rsidRPr="00BC31E0">
        <w:rPr>
          <w:rFonts w:ascii="ＭＳ 明朝" w:hAnsi="ＭＳ 明朝" w:hint="eastAsia"/>
        </w:rPr>
        <w:t>球形胴と成形鏡は，次の</w:t>
      </w:r>
      <w:r w:rsidRPr="00BC31E0">
        <w:rPr>
          <w:rFonts w:asciiTheme="majorEastAsia" w:eastAsiaTheme="majorEastAsia" w:hAnsiTheme="majorEastAsia" w:hint="eastAsia"/>
          <w:b/>
        </w:rPr>
        <w:t>1)</w:t>
      </w:r>
      <w:r w:rsidRPr="00BC31E0">
        <w:rPr>
          <w:rFonts w:ascii="ＭＳ 明朝" w:hAnsi="ＭＳ 明朝" w:hint="eastAsia"/>
        </w:rPr>
        <w:t>～</w:t>
      </w:r>
      <w:r w:rsidRPr="00BC31E0">
        <w:rPr>
          <w:rFonts w:asciiTheme="majorEastAsia" w:eastAsiaTheme="majorEastAsia" w:hAnsiTheme="majorEastAsia" w:hint="eastAsia"/>
          <w:b/>
        </w:rPr>
        <w:t>3)</w:t>
      </w:r>
      <w:r w:rsidRPr="00BC31E0">
        <w:rPr>
          <w:rFonts w:ascii="ＭＳ 明朝" w:hAnsi="ＭＳ 明朝" w:hint="eastAsia"/>
        </w:rPr>
        <w:t xml:space="preserve"> による。</w:t>
      </w:r>
    </w:p>
    <w:p w14:paraId="69AC3D72" w14:textId="77777777" w:rsidR="00767285" w:rsidRPr="00BC31E0" w:rsidRDefault="008F0450" w:rsidP="00736130">
      <w:pPr>
        <w:pStyle w:val="a4"/>
        <w:numPr>
          <w:ilvl w:val="0"/>
          <w:numId w:val="470"/>
        </w:numPr>
        <w:ind w:leftChars="0" w:left="738" w:hanging="454"/>
      </w:pPr>
      <w:r w:rsidRPr="00BC31E0">
        <w:rPr>
          <w:rFonts w:hint="eastAsia"/>
        </w:rPr>
        <w:t>内表面の規定された形状からの変位量は，公称内径の外側に</w:t>
      </w:r>
      <w:r w:rsidRPr="00BC31E0">
        <w:t>1.25%</w:t>
      </w:r>
      <w:r w:rsidRPr="00BC31E0">
        <w:rPr>
          <w:rFonts w:hint="eastAsia"/>
        </w:rPr>
        <w:t xml:space="preserve">, </w:t>
      </w:r>
      <w:r w:rsidRPr="00BC31E0">
        <w:rPr>
          <w:rFonts w:hint="eastAsia"/>
        </w:rPr>
        <w:t>内側に</w:t>
      </w:r>
      <w:r w:rsidRPr="00BC31E0">
        <w:t>0.625%</w:t>
      </w:r>
      <w:r w:rsidRPr="00BC31E0">
        <w:rPr>
          <w:rFonts w:hint="eastAsia"/>
        </w:rPr>
        <w:t>以下とする。形状に対して垂直に測定し，なだらかな変位量としなければならない。</w:t>
      </w:r>
    </w:p>
    <w:p w14:paraId="0FBE3A6C" w14:textId="77777777" w:rsidR="00767285" w:rsidRPr="00BC31E0" w:rsidRDefault="008F0450" w:rsidP="00736130">
      <w:pPr>
        <w:pStyle w:val="a4"/>
        <w:numPr>
          <w:ilvl w:val="0"/>
          <w:numId w:val="470"/>
        </w:numPr>
        <w:ind w:leftChars="0" w:left="738" w:hanging="454"/>
      </w:pPr>
      <w:r w:rsidRPr="00BC31E0">
        <w:rPr>
          <w:rFonts w:hint="eastAsia"/>
        </w:rPr>
        <w:t>測定は，溶接部ではなく，母材表面から行う。</w:t>
      </w:r>
    </w:p>
    <w:p w14:paraId="0FD40C51" w14:textId="77777777" w:rsidR="008F0450" w:rsidRPr="00BC31E0" w:rsidRDefault="008F0450" w:rsidP="00736130">
      <w:pPr>
        <w:pStyle w:val="a4"/>
        <w:numPr>
          <w:ilvl w:val="0"/>
          <w:numId w:val="470"/>
        </w:numPr>
        <w:ind w:leftChars="0" w:left="738" w:hanging="454"/>
      </w:pPr>
      <w:r w:rsidRPr="00BC31E0">
        <w:rPr>
          <w:rFonts w:hint="eastAsia"/>
        </w:rPr>
        <w:lastRenderedPageBreak/>
        <w:t>ストレートフランジ部，成形鏡部の円筒状端部，又は球形胴の端部は，上記</w:t>
      </w:r>
      <w:r w:rsidRPr="00BC31E0">
        <w:rPr>
          <w:rFonts w:asciiTheme="majorEastAsia" w:eastAsiaTheme="majorEastAsia" w:hAnsiTheme="majorEastAsia" w:hint="eastAsia"/>
          <w:b/>
        </w:rPr>
        <w:t>a)</w:t>
      </w:r>
      <w:r w:rsidRPr="00BC31E0">
        <w:rPr>
          <w:rFonts w:hint="eastAsia"/>
        </w:rPr>
        <w:t>に規定される公差以内とする。</w:t>
      </w:r>
    </w:p>
    <w:p w14:paraId="54E9330D" w14:textId="77777777" w:rsidR="00270A85" w:rsidRPr="00BC31E0" w:rsidRDefault="00270A85" w:rsidP="00CB2D8B">
      <w:pPr>
        <w:pStyle w:val="20"/>
        <w:tabs>
          <w:tab w:val="clear" w:pos="284"/>
        </w:tabs>
        <w:ind w:left="567" w:hanging="567"/>
      </w:pPr>
      <w:bookmarkStart w:id="69" w:name="_Toc357672102"/>
      <w:bookmarkStart w:id="70" w:name="_Toc120092536"/>
      <w:r w:rsidRPr="00BC31E0">
        <w:rPr>
          <w:rFonts w:hint="eastAsia"/>
        </w:rPr>
        <w:t>溶接による製作に関する追加規定</w:t>
      </w:r>
      <w:bookmarkEnd w:id="69"/>
      <w:bookmarkEnd w:id="70"/>
    </w:p>
    <w:p w14:paraId="11585956" w14:textId="77777777" w:rsidR="00270A85" w:rsidRPr="00BC31E0" w:rsidRDefault="00270A85" w:rsidP="00CB2D8B">
      <w:pPr>
        <w:pStyle w:val="3"/>
        <w:tabs>
          <w:tab w:val="clear" w:pos="284"/>
        </w:tabs>
        <w:ind w:left="794" w:hanging="794"/>
      </w:pPr>
      <w:r w:rsidRPr="00BC31E0">
        <w:rPr>
          <w:rFonts w:hint="eastAsia"/>
        </w:rPr>
        <w:t>全ての溶接に関する一般事項</w:t>
      </w:r>
    </w:p>
    <w:p w14:paraId="0567E308" w14:textId="77777777" w:rsidR="00270A85" w:rsidRPr="00BC31E0" w:rsidRDefault="00270A85" w:rsidP="00D33165">
      <w:pPr>
        <w:pStyle w:val="1110"/>
        <w:ind w:firstLine="210"/>
      </w:pPr>
      <w:r w:rsidRPr="00BC31E0">
        <w:rPr>
          <w:rFonts w:hint="eastAsia"/>
        </w:rPr>
        <w:t>全ての溶接に関する一般事項は，次の</w:t>
      </w:r>
      <w:r w:rsidRPr="00BC31E0">
        <w:rPr>
          <w:rFonts w:ascii="ＭＳ ゴシック" w:hAnsi="ＭＳ ゴシック" w:hint="eastAsia"/>
          <w:b/>
        </w:rPr>
        <w:t>a)</w:t>
      </w:r>
      <w:r w:rsidRPr="00BC31E0">
        <w:rPr>
          <w:rFonts w:hint="eastAsia"/>
        </w:rPr>
        <w:t>～</w:t>
      </w:r>
      <w:r w:rsidRPr="00BC31E0">
        <w:rPr>
          <w:rFonts w:ascii="ＭＳ ゴシック" w:hAnsi="ＭＳ ゴシック" w:hint="eastAsia"/>
          <w:b/>
        </w:rPr>
        <w:t>f)</w:t>
      </w:r>
      <w:r w:rsidRPr="00BC31E0">
        <w:rPr>
          <w:rFonts w:hint="eastAsia"/>
        </w:rPr>
        <w:t>による。</w:t>
      </w:r>
    </w:p>
    <w:p w14:paraId="7D7D5284" w14:textId="77777777" w:rsidR="00270A85" w:rsidRPr="00BC31E0" w:rsidRDefault="00270A85" w:rsidP="00736130">
      <w:pPr>
        <w:pStyle w:val="a4"/>
        <w:numPr>
          <w:ilvl w:val="0"/>
          <w:numId w:val="471"/>
        </w:numPr>
        <w:ind w:leftChars="0" w:left="454" w:hanging="454"/>
      </w:pPr>
      <w:r w:rsidRPr="00BC31E0">
        <w:rPr>
          <w:rFonts w:asciiTheme="majorEastAsia" w:eastAsiaTheme="majorEastAsia" w:hAnsiTheme="majorEastAsia" w:hint="eastAsia"/>
          <w:b/>
        </w:rPr>
        <w:t>溶接施工方法</w:t>
      </w:r>
      <w:r w:rsidRPr="00BC31E0">
        <w:rPr>
          <w:rFonts w:hint="eastAsia"/>
        </w:rPr>
        <w:t xml:space="preserve">　</w:t>
      </w:r>
      <w:r w:rsidRPr="00BC31E0">
        <w:rPr>
          <w:rFonts w:ascii="ＭＳ 明朝" w:hAnsi="ＭＳ 明朝" w:hint="eastAsia"/>
        </w:rPr>
        <w:t>容器の製作に使用できる溶接施工方法は，次とする。</w:t>
      </w:r>
    </w:p>
    <w:p w14:paraId="4BD37D06" w14:textId="77777777" w:rsidR="00270A85" w:rsidRPr="00BC31E0" w:rsidRDefault="00270A85" w:rsidP="00D33165">
      <w:pPr>
        <w:ind w:left="454"/>
      </w:pPr>
      <w:r w:rsidRPr="00BC31E0">
        <w:rPr>
          <w:rFonts w:hint="eastAsia"/>
        </w:rPr>
        <w:t>・被覆アーク溶接</w:t>
      </w:r>
    </w:p>
    <w:p w14:paraId="0B703EC0" w14:textId="77777777" w:rsidR="00270A85" w:rsidRPr="00BC31E0" w:rsidRDefault="00270A85" w:rsidP="00D33165">
      <w:pPr>
        <w:ind w:left="454"/>
      </w:pPr>
      <w:r w:rsidRPr="00BC31E0">
        <w:rPr>
          <w:rFonts w:hint="eastAsia"/>
        </w:rPr>
        <w:t>・サブマージアーク溶接</w:t>
      </w:r>
    </w:p>
    <w:p w14:paraId="6C2410FB" w14:textId="77777777" w:rsidR="00270A85" w:rsidRPr="00BC31E0" w:rsidRDefault="00270A85" w:rsidP="00D33165">
      <w:pPr>
        <w:ind w:left="454"/>
      </w:pPr>
      <w:r w:rsidRPr="00BC31E0">
        <w:rPr>
          <w:rFonts w:hint="eastAsia"/>
        </w:rPr>
        <w:t>・溶極式ガスシールドアーク溶接</w:t>
      </w:r>
    </w:p>
    <w:p w14:paraId="3EAC6718" w14:textId="77777777" w:rsidR="00270A85" w:rsidRPr="00BC31E0" w:rsidRDefault="00270A85" w:rsidP="00D33165">
      <w:pPr>
        <w:ind w:left="454"/>
      </w:pPr>
      <w:r w:rsidRPr="00BC31E0">
        <w:rPr>
          <w:rFonts w:hint="eastAsia"/>
        </w:rPr>
        <w:t>・ティグ溶接</w:t>
      </w:r>
    </w:p>
    <w:p w14:paraId="76FBCB92" w14:textId="77777777" w:rsidR="00270A85" w:rsidRPr="00BC31E0" w:rsidRDefault="00270A85" w:rsidP="00D33165">
      <w:pPr>
        <w:ind w:left="454"/>
      </w:pPr>
      <w:r w:rsidRPr="00BC31E0">
        <w:rPr>
          <w:rFonts w:hint="eastAsia"/>
        </w:rPr>
        <w:t>・帯状エレクトロスラグ肉盛溶接</w:t>
      </w:r>
    </w:p>
    <w:p w14:paraId="34BDA7A9" w14:textId="77777777" w:rsidR="00CB2D8B" w:rsidRPr="00BC31E0" w:rsidRDefault="00270A85" w:rsidP="00736130">
      <w:pPr>
        <w:pStyle w:val="a4"/>
        <w:numPr>
          <w:ilvl w:val="0"/>
          <w:numId w:val="472"/>
        </w:numPr>
        <w:ind w:leftChars="0" w:left="454" w:hanging="454"/>
        <w:rPr>
          <w:rFonts w:ascii="ＭＳ 明朝" w:hAnsi="ＭＳ 明朝"/>
        </w:rPr>
      </w:pPr>
      <w:r w:rsidRPr="00BC31E0">
        <w:rPr>
          <w:rFonts w:asciiTheme="majorEastAsia" w:eastAsiaTheme="majorEastAsia" w:hAnsiTheme="majorEastAsia" w:hint="eastAsia"/>
          <w:b/>
        </w:rPr>
        <w:t>炭素含有量に基づく制限</w:t>
      </w:r>
      <w:r w:rsidRPr="00BC31E0">
        <w:rPr>
          <w:rFonts w:hint="eastAsia"/>
        </w:rPr>
        <w:t xml:space="preserve">　</w:t>
      </w:r>
      <w:r w:rsidRPr="00BC31E0">
        <w:rPr>
          <w:rFonts w:ascii="ＭＳ 明朝" w:hAnsi="ＭＳ 明朝" w:hint="eastAsia"/>
        </w:rPr>
        <w:t>溶鋼分析において材料の炭素含有量が</w:t>
      </w:r>
      <w:r w:rsidRPr="00BC31E0">
        <w:t>0.35%</w:t>
      </w:r>
      <w:r w:rsidRPr="00BC31E0">
        <w:rPr>
          <w:rFonts w:ascii="ＭＳ 明朝" w:hAnsi="ＭＳ 明朝" w:hint="eastAsia"/>
        </w:rPr>
        <w:t>を超える場合，附属品取付けも含め</w:t>
      </w:r>
      <w:r w:rsidR="00B553EC" w:rsidRPr="00BC31E0">
        <w:rPr>
          <w:rFonts w:ascii="ＭＳ 明朝" w:hAnsi="ＭＳ 明朝" w:hint="eastAsia"/>
        </w:rPr>
        <w:t>，</w:t>
      </w:r>
      <w:r w:rsidR="003D3150" w:rsidRPr="00BC31E0">
        <w:rPr>
          <w:rFonts w:ascii="ＭＳ 明朝" w:hAnsi="ＭＳ 明朝" w:hint="eastAsia"/>
        </w:rPr>
        <w:t>溶接による製作を</w:t>
      </w:r>
      <w:r w:rsidR="00B553EC" w:rsidRPr="00BC31E0">
        <w:rPr>
          <w:rFonts w:ascii="ＭＳ 明朝" w:hAnsi="ＭＳ 明朝" w:hint="eastAsia"/>
        </w:rPr>
        <w:t>行わない</w:t>
      </w:r>
      <w:r w:rsidRPr="00BC31E0">
        <w:rPr>
          <w:rFonts w:ascii="ＭＳ 明朝" w:hAnsi="ＭＳ 明朝" w:hint="eastAsia"/>
        </w:rPr>
        <w:t>。ただし，線巻きの線材の溶接はこの規定の対象外である。補修溶接は，</w:t>
      </w:r>
      <w:r w:rsidRPr="00BC31E0">
        <w:rPr>
          <w:rFonts w:asciiTheme="majorEastAsia" w:eastAsiaTheme="majorEastAsia" w:hAnsiTheme="majorEastAsia" w:hint="eastAsia"/>
          <w:b/>
        </w:rPr>
        <w:t>7.7</w:t>
      </w:r>
      <w:r w:rsidRPr="00BC31E0">
        <w:rPr>
          <w:rFonts w:ascii="ＭＳ 明朝" w:hAnsi="ＭＳ 明朝" w:hint="eastAsia"/>
        </w:rPr>
        <w:t>の規定に従って実施</w:t>
      </w:r>
      <w:r w:rsidR="004A2B1B" w:rsidRPr="00BC31E0">
        <w:rPr>
          <w:rFonts w:ascii="ＭＳ 明朝" w:hAnsi="ＭＳ 明朝" w:hint="eastAsia"/>
        </w:rPr>
        <w:t>す</w:t>
      </w:r>
      <w:r w:rsidRPr="00BC31E0">
        <w:rPr>
          <w:rFonts w:ascii="ＭＳ 明朝" w:hAnsi="ＭＳ 明朝" w:hint="eastAsia"/>
        </w:rPr>
        <w:t>る。</w:t>
      </w:r>
    </w:p>
    <w:p w14:paraId="6AD5CF8A" w14:textId="77777777" w:rsidR="00CB2D8B" w:rsidRPr="00BC31E0" w:rsidRDefault="00270A85" w:rsidP="00736130">
      <w:pPr>
        <w:pStyle w:val="a4"/>
        <w:numPr>
          <w:ilvl w:val="0"/>
          <w:numId w:val="472"/>
        </w:numPr>
        <w:ind w:leftChars="0" w:left="454" w:hanging="454"/>
        <w:rPr>
          <w:rFonts w:ascii="ＭＳ 明朝" w:hAnsi="ＭＳ 明朝"/>
        </w:rPr>
      </w:pPr>
      <w:r w:rsidRPr="00BC31E0">
        <w:rPr>
          <w:rFonts w:asciiTheme="majorEastAsia" w:eastAsiaTheme="majorEastAsia" w:hAnsiTheme="majorEastAsia" w:hint="eastAsia"/>
          <w:b/>
        </w:rPr>
        <w:t>溶接開先面の検査</w:t>
      </w:r>
      <w:r w:rsidRPr="00BC31E0">
        <w:rPr>
          <w:rFonts w:hint="eastAsia"/>
        </w:rPr>
        <w:t xml:space="preserve">　</w:t>
      </w:r>
      <w:r w:rsidRPr="00BC31E0">
        <w:rPr>
          <w:rFonts w:ascii="ＭＳ 明朝" w:hAnsi="ＭＳ 明朝" w:hint="eastAsia"/>
        </w:rPr>
        <w:t>肉厚</w:t>
      </w:r>
      <w:r w:rsidRPr="00BC31E0">
        <w:t>38 mm</w:t>
      </w:r>
      <w:r w:rsidRPr="00BC31E0">
        <w:rPr>
          <w:rFonts w:ascii="ＭＳ 明朝" w:hAnsi="ＭＳ 明朝" w:hint="eastAsia"/>
        </w:rPr>
        <w:t>以上の溶接開先面は，</w:t>
      </w:r>
      <w:r w:rsidRPr="00BC31E0">
        <w:rPr>
          <w:rFonts w:asciiTheme="majorEastAsia" w:eastAsiaTheme="majorEastAsia" w:hAnsiTheme="majorEastAsia" w:hint="eastAsia"/>
          <w:b/>
        </w:rPr>
        <w:t>9.3.4</w:t>
      </w:r>
      <w:r w:rsidRPr="00BC31E0">
        <w:rPr>
          <w:rFonts w:ascii="ＭＳ 明朝" w:hAnsi="ＭＳ 明朝" w:hint="eastAsia"/>
        </w:rPr>
        <w:t>に従って検査する。欠陥は，</w:t>
      </w:r>
      <w:r w:rsidRPr="00BC31E0">
        <w:rPr>
          <w:rFonts w:asciiTheme="majorEastAsia" w:eastAsiaTheme="majorEastAsia" w:hAnsiTheme="majorEastAsia" w:hint="eastAsia"/>
          <w:b/>
        </w:rPr>
        <w:t>9.2</w:t>
      </w:r>
      <w:r w:rsidRPr="00BC31E0">
        <w:rPr>
          <w:rFonts w:ascii="ＭＳ 明朝" w:hAnsi="ＭＳ 明朝" w:hint="eastAsia"/>
        </w:rPr>
        <w:t>に従って補修する。</w:t>
      </w:r>
    </w:p>
    <w:p w14:paraId="2787D679" w14:textId="77777777" w:rsidR="00CB2D8B" w:rsidRPr="00BC31E0" w:rsidRDefault="00270A85" w:rsidP="00736130">
      <w:pPr>
        <w:pStyle w:val="a4"/>
        <w:numPr>
          <w:ilvl w:val="0"/>
          <w:numId w:val="472"/>
        </w:numPr>
        <w:ind w:leftChars="0" w:left="454" w:hanging="454"/>
        <w:rPr>
          <w:rFonts w:ascii="ＭＳ 明朝" w:hAnsi="ＭＳ 明朝"/>
        </w:rPr>
      </w:pPr>
      <w:r w:rsidRPr="00BC31E0">
        <w:rPr>
          <w:rFonts w:asciiTheme="majorEastAsia" w:eastAsiaTheme="majorEastAsia" w:hAnsiTheme="majorEastAsia" w:hint="eastAsia"/>
          <w:b/>
        </w:rPr>
        <w:t>最終溶接部の仕上げ</w:t>
      </w:r>
      <w:r w:rsidRPr="00BC31E0">
        <w:rPr>
          <w:rFonts w:hint="eastAsia"/>
        </w:rPr>
        <w:t xml:space="preserve">　</w:t>
      </w:r>
      <w:r w:rsidRPr="00BC31E0">
        <w:rPr>
          <w:rFonts w:ascii="ＭＳ 明朝" w:hAnsi="ＭＳ 明朝" w:hint="eastAsia"/>
        </w:rPr>
        <w:t>最終溶接部は，グラインダー又は機械仕上げにて表面を滑らかにする。</w:t>
      </w:r>
    </w:p>
    <w:p w14:paraId="213BA4D1" w14:textId="77777777" w:rsidR="00CB2D8B" w:rsidRPr="00BC31E0" w:rsidRDefault="00270A85" w:rsidP="00736130">
      <w:pPr>
        <w:pStyle w:val="a4"/>
        <w:numPr>
          <w:ilvl w:val="0"/>
          <w:numId w:val="472"/>
        </w:numPr>
        <w:ind w:leftChars="0" w:left="454" w:hanging="454"/>
        <w:rPr>
          <w:rFonts w:ascii="ＭＳ 明朝" w:hAnsi="ＭＳ 明朝"/>
        </w:rPr>
      </w:pPr>
      <w:r w:rsidRPr="00BC31E0">
        <w:rPr>
          <w:rFonts w:asciiTheme="majorEastAsia" w:eastAsiaTheme="majorEastAsia" w:hAnsiTheme="majorEastAsia" w:hint="eastAsia"/>
          <w:b/>
        </w:rPr>
        <w:t>溶接棒及びその他の溶接材料の表示，取扱い，保管</w:t>
      </w:r>
      <w:r w:rsidRPr="00BC31E0">
        <w:rPr>
          <w:rFonts w:hint="eastAsia"/>
        </w:rPr>
        <w:t xml:space="preserve">　</w:t>
      </w:r>
      <w:r w:rsidRPr="00BC31E0">
        <w:rPr>
          <w:rFonts w:ascii="ＭＳ 明朝" w:hAnsi="ＭＳ 明朝" w:hint="eastAsia"/>
          <w:bCs/>
        </w:rPr>
        <w:t>容器の製作に使われる溶接棒及びその他の溶接材料を適切に管理する。低水素系溶接棒とフラックスは水分の吸収を最小限に抑える予防措置を取る。</w:t>
      </w:r>
    </w:p>
    <w:p w14:paraId="082EBCFF" w14:textId="77777777" w:rsidR="00270A85" w:rsidRPr="00BC31E0" w:rsidRDefault="00270A85" w:rsidP="00736130">
      <w:pPr>
        <w:pStyle w:val="a4"/>
        <w:numPr>
          <w:ilvl w:val="0"/>
          <w:numId w:val="472"/>
        </w:numPr>
        <w:ind w:leftChars="0" w:left="454" w:hanging="454"/>
        <w:rPr>
          <w:rFonts w:ascii="ＭＳ 明朝" w:hAnsi="ＭＳ 明朝"/>
        </w:rPr>
      </w:pPr>
      <w:r w:rsidRPr="00BC31E0">
        <w:rPr>
          <w:rFonts w:asciiTheme="majorEastAsia" w:eastAsiaTheme="majorEastAsia" w:hAnsiTheme="majorEastAsia" w:hint="eastAsia"/>
          <w:b/>
        </w:rPr>
        <w:t>溶接中の許容できる環境</w:t>
      </w:r>
      <w:r w:rsidRPr="00BC31E0">
        <w:rPr>
          <w:rFonts w:hint="eastAsia"/>
        </w:rPr>
        <w:t xml:space="preserve">　</w:t>
      </w:r>
      <w:r w:rsidRPr="00BC31E0">
        <w:rPr>
          <w:rFonts w:ascii="ＭＳ 明朝" w:hAnsi="ＭＳ 明朝" w:hint="eastAsia"/>
          <w:bCs/>
        </w:rPr>
        <w:t>溶接部から</w:t>
      </w:r>
      <w:r w:rsidRPr="00BC31E0">
        <w:rPr>
          <w:bCs/>
        </w:rPr>
        <w:t>76 mm</w:t>
      </w:r>
      <w:r w:rsidRPr="00BC31E0">
        <w:rPr>
          <w:rFonts w:ascii="ＭＳ 明朝" w:hAnsi="ＭＳ 明朝" w:hint="eastAsia"/>
          <w:bCs/>
        </w:rPr>
        <w:t>以内の金属表面温度が</w:t>
      </w:r>
      <w:r w:rsidRPr="00BC31E0">
        <w:rPr>
          <w:bCs/>
        </w:rPr>
        <w:t>16</w:t>
      </w:r>
      <w:r w:rsidRPr="00BC31E0">
        <w:rPr>
          <w:rFonts w:ascii="ＭＳ 明朝" w:hAnsi="ＭＳ 明朝" w:cs="ＭＳ 明朝" w:hint="eastAsia"/>
          <w:bCs/>
        </w:rPr>
        <w:t>℃</w:t>
      </w:r>
      <w:r w:rsidRPr="00BC31E0">
        <w:rPr>
          <w:rFonts w:ascii="ＭＳ 明朝" w:hAnsi="ＭＳ 明朝" w:hint="eastAsia"/>
          <w:bCs/>
        </w:rPr>
        <w:t>より低い場合，いかなる溶接も実施してはいけない。溶接表面が濡れているか凍っている場合，雨か雪が降っている場合，又は適切な保護がされていない時の強風時の溶接は実施してはいけない。</w:t>
      </w:r>
    </w:p>
    <w:p w14:paraId="041538AA" w14:textId="77777777" w:rsidR="00270A85" w:rsidRPr="00BC31E0" w:rsidRDefault="00270A85" w:rsidP="007209DD">
      <w:pPr>
        <w:pStyle w:val="3"/>
        <w:tabs>
          <w:tab w:val="clear" w:pos="284"/>
        </w:tabs>
        <w:ind w:left="794" w:hanging="794"/>
      </w:pPr>
      <w:r w:rsidRPr="00BC31E0">
        <w:rPr>
          <w:rFonts w:hint="eastAsia"/>
        </w:rPr>
        <w:t>溶接施工方法確認試験及び記録</w:t>
      </w:r>
    </w:p>
    <w:p w14:paraId="3D2B83CF" w14:textId="77777777" w:rsidR="00270A85" w:rsidRPr="00BC31E0" w:rsidRDefault="00270A85" w:rsidP="006945E6">
      <w:pPr>
        <w:pStyle w:val="1110"/>
        <w:ind w:firstLine="210"/>
      </w:pPr>
      <w:r w:rsidRPr="00BC31E0">
        <w:rPr>
          <w:rFonts w:hint="eastAsia"/>
        </w:rPr>
        <w:t>溶接施工方法確認試験及び記録は，次の</w:t>
      </w:r>
      <w:r w:rsidRPr="00BC31E0">
        <w:rPr>
          <w:rFonts w:ascii="ＭＳ ゴシック" w:hAnsi="ＭＳ ゴシック" w:hint="eastAsia"/>
          <w:b/>
        </w:rPr>
        <w:t>a)</w:t>
      </w:r>
      <w:r w:rsidRPr="00BC31E0">
        <w:rPr>
          <w:rFonts w:hint="eastAsia"/>
        </w:rPr>
        <w:t>～</w:t>
      </w:r>
      <w:r w:rsidRPr="00BC31E0">
        <w:rPr>
          <w:rFonts w:ascii="ＭＳ ゴシック" w:hAnsi="ＭＳ ゴシック" w:hint="eastAsia"/>
          <w:b/>
        </w:rPr>
        <w:t>f)</w:t>
      </w:r>
      <w:r w:rsidRPr="00BC31E0">
        <w:rPr>
          <w:rFonts w:hint="eastAsia"/>
        </w:rPr>
        <w:t>による。</w:t>
      </w:r>
    </w:p>
    <w:p w14:paraId="496C82ED" w14:textId="77777777" w:rsidR="007209DD" w:rsidRPr="00BC31E0" w:rsidRDefault="00270A85" w:rsidP="00736130">
      <w:pPr>
        <w:pStyle w:val="a4"/>
        <w:numPr>
          <w:ilvl w:val="0"/>
          <w:numId w:val="473"/>
        </w:numPr>
        <w:ind w:leftChars="0" w:left="454" w:hanging="454"/>
        <w:rPr>
          <w:rFonts w:ascii="ＭＳ 明朝" w:hAnsi="ＭＳ 明朝"/>
        </w:rPr>
      </w:pPr>
      <w:r w:rsidRPr="00BC31E0">
        <w:rPr>
          <w:rFonts w:asciiTheme="majorEastAsia" w:eastAsiaTheme="majorEastAsia" w:hAnsiTheme="majorEastAsia" w:hint="eastAsia"/>
          <w:b/>
        </w:rPr>
        <w:t>製作者の責任</w:t>
      </w:r>
      <w:r w:rsidRPr="00BC31E0">
        <w:rPr>
          <w:rFonts w:hint="eastAsia"/>
        </w:rPr>
        <w:t xml:space="preserve">　</w:t>
      </w:r>
      <w:r w:rsidRPr="00BC31E0">
        <w:rPr>
          <w:rFonts w:ascii="ＭＳ 明朝" w:hAnsi="ＭＳ 明朝" w:hint="eastAsia"/>
        </w:rPr>
        <w:t>製作者は，</w:t>
      </w:r>
      <w:r w:rsidRPr="00BC31E0">
        <w:rPr>
          <w:rFonts w:asciiTheme="majorEastAsia" w:eastAsiaTheme="majorEastAsia" w:hAnsiTheme="majorEastAsia" w:hint="eastAsia"/>
          <w:b/>
        </w:rPr>
        <w:t>JIS B 8285</w:t>
      </w:r>
      <w:r w:rsidRPr="00BC31E0">
        <w:rPr>
          <w:rFonts w:ascii="ＭＳ 明朝" w:hAnsi="ＭＳ 明朝" w:hint="eastAsia"/>
        </w:rPr>
        <w:t>に従って溶接施工方法の確認試験を行う。製作者は，この規格の追加要求及び溶接士の技能についても責任を有する。</w:t>
      </w:r>
    </w:p>
    <w:p w14:paraId="62E7990F" w14:textId="77777777" w:rsidR="007209DD" w:rsidRPr="00BC31E0" w:rsidRDefault="00270A85" w:rsidP="00736130">
      <w:pPr>
        <w:pStyle w:val="a4"/>
        <w:numPr>
          <w:ilvl w:val="0"/>
          <w:numId w:val="473"/>
        </w:numPr>
        <w:ind w:leftChars="0" w:left="454" w:hanging="454"/>
        <w:rPr>
          <w:rFonts w:ascii="ＭＳ 明朝" w:hAnsi="ＭＳ 明朝"/>
        </w:rPr>
      </w:pPr>
      <w:r w:rsidRPr="00BC31E0">
        <w:rPr>
          <w:rFonts w:asciiTheme="majorEastAsia" w:eastAsiaTheme="majorEastAsia" w:hAnsiTheme="majorEastAsia" w:hint="eastAsia"/>
          <w:b/>
        </w:rPr>
        <w:t>溶接施工方法確認試験の制限</w:t>
      </w:r>
      <w:r w:rsidRPr="00BC31E0">
        <w:rPr>
          <w:rFonts w:hint="eastAsia"/>
        </w:rPr>
        <w:t xml:space="preserve">　</w:t>
      </w:r>
      <w:r w:rsidRPr="00BC31E0">
        <w:rPr>
          <w:rFonts w:ascii="ＭＳ 明朝" w:hAnsi="ＭＳ 明朝" w:hint="eastAsia"/>
          <w:bCs/>
        </w:rPr>
        <w:t>全ての試験片の溶接は，製作者によって実施され，その試験は製作者が責任を有する。</w:t>
      </w:r>
    </w:p>
    <w:p w14:paraId="69E7C1EB" w14:textId="77777777" w:rsidR="007209DD" w:rsidRPr="00BC31E0" w:rsidRDefault="00270A85" w:rsidP="00736130">
      <w:pPr>
        <w:pStyle w:val="a4"/>
        <w:numPr>
          <w:ilvl w:val="0"/>
          <w:numId w:val="473"/>
        </w:numPr>
        <w:ind w:leftChars="0" w:left="454" w:hanging="454"/>
        <w:rPr>
          <w:rFonts w:ascii="ＭＳ 明朝" w:hAnsi="ＭＳ 明朝"/>
        </w:rPr>
      </w:pPr>
      <w:r w:rsidRPr="00BC31E0">
        <w:rPr>
          <w:rFonts w:asciiTheme="majorEastAsia" w:eastAsiaTheme="majorEastAsia" w:hAnsiTheme="majorEastAsia" w:hint="eastAsia"/>
          <w:b/>
        </w:rPr>
        <w:t>溶接施工方法確認前の製品溶接</w:t>
      </w:r>
      <w:r w:rsidRPr="00BC31E0">
        <w:rPr>
          <w:rFonts w:hint="eastAsia"/>
        </w:rPr>
        <w:t xml:space="preserve">　</w:t>
      </w:r>
      <w:r w:rsidRPr="00BC31E0">
        <w:rPr>
          <w:rFonts w:ascii="ＭＳ 明朝" w:hAnsi="ＭＳ 明朝" w:hint="eastAsia"/>
          <w:bCs/>
        </w:rPr>
        <w:t>溶接施工方法が確認されるまで，実製品の溶接は実施してはいけない。</w:t>
      </w:r>
    </w:p>
    <w:p w14:paraId="7B073CAB" w14:textId="77777777" w:rsidR="007209DD" w:rsidRPr="00BC31E0" w:rsidRDefault="00270A85" w:rsidP="00736130">
      <w:pPr>
        <w:pStyle w:val="a4"/>
        <w:numPr>
          <w:ilvl w:val="0"/>
          <w:numId w:val="473"/>
        </w:numPr>
        <w:ind w:leftChars="0" w:left="454" w:hanging="454"/>
        <w:rPr>
          <w:rFonts w:ascii="ＭＳ 明朝" w:hAnsi="ＭＳ 明朝"/>
        </w:rPr>
      </w:pPr>
      <w:r w:rsidRPr="00BC31E0">
        <w:rPr>
          <w:rFonts w:asciiTheme="majorEastAsia" w:eastAsiaTheme="majorEastAsia" w:hAnsiTheme="majorEastAsia" w:hint="eastAsia"/>
          <w:b/>
        </w:rPr>
        <w:t>溶接施工方法確認試験</w:t>
      </w:r>
      <w:r w:rsidRPr="00BC31E0">
        <w:rPr>
          <w:rFonts w:hint="eastAsia"/>
        </w:rPr>
        <w:t xml:space="preserve">　</w:t>
      </w:r>
      <w:r w:rsidRPr="00BC31E0">
        <w:rPr>
          <w:rFonts w:ascii="ＭＳ 明朝" w:hAnsi="ＭＳ 明朝" w:hint="eastAsia"/>
          <w:bCs/>
        </w:rPr>
        <w:t>耐圧部品の溶接及び非耐圧部品の耐圧部品への溶接に使われる溶接施工方法は，</w:t>
      </w:r>
      <w:r w:rsidRPr="00BC31E0">
        <w:rPr>
          <w:rFonts w:asciiTheme="majorEastAsia" w:eastAsiaTheme="majorEastAsia" w:hAnsiTheme="majorEastAsia" w:hint="eastAsia"/>
          <w:b/>
        </w:rPr>
        <w:t>JIS B 8285</w:t>
      </w:r>
      <w:r w:rsidRPr="00BC31E0">
        <w:rPr>
          <w:rFonts w:ascii="ＭＳ 明朝" w:hAnsi="ＭＳ 明朝" w:hint="eastAsia"/>
          <w:bCs/>
        </w:rPr>
        <w:t>に従って溶接施工方法の確認試験を行う。引張試験が，</w:t>
      </w:r>
      <w:r w:rsidRPr="00BC31E0">
        <w:rPr>
          <w:rFonts w:asciiTheme="majorEastAsia" w:eastAsiaTheme="majorEastAsia" w:hAnsiTheme="majorEastAsia" w:hint="eastAsia"/>
          <w:b/>
        </w:rPr>
        <w:t>JIS B 8285</w:t>
      </w:r>
      <w:r w:rsidRPr="00BC31E0">
        <w:rPr>
          <w:rFonts w:ascii="ＭＳ 明朝" w:hAnsi="ＭＳ 明朝" w:hint="eastAsia"/>
          <w:bCs/>
        </w:rPr>
        <w:t>で要求される場合，降伏点又は</w:t>
      </w:r>
      <w:r w:rsidRPr="00BC31E0">
        <w:rPr>
          <w:bCs/>
        </w:rPr>
        <w:t>0.2%</w:t>
      </w:r>
      <w:r w:rsidRPr="00BC31E0">
        <w:rPr>
          <w:rFonts w:ascii="ＭＳ 明朝" w:hAnsi="ＭＳ 明朝" w:hint="eastAsia"/>
          <w:bCs/>
        </w:rPr>
        <w:t>耐力も測定する。更に，衝撃試験も</w:t>
      </w:r>
      <w:r w:rsidRPr="00BC31E0">
        <w:rPr>
          <w:rFonts w:asciiTheme="majorEastAsia" w:eastAsiaTheme="majorEastAsia" w:hAnsiTheme="majorEastAsia" w:hint="eastAsia"/>
          <w:b/>
        </w:rPr>
        <w:t>10.2</w:t>
      </w:r>
      <w:r w:rsidRPr="00BC31E0">
        <w:rPr>
          <w:rFonts w:ascii="ＭＳ 明朝" w:hAnsi="ＭＳ 明朝" w:hint="eastAsia"/>
          <w:bCs/>
        </w:rPr>
        <w:t>に従って実施する。突合せ溶接の試験片を作成する場合，溶接部に負荷されるあらゆる方向の拘束の影響を考慮する。</w:t>
      </w:r>
    </w:p>
    <w:p w14:paraId="5FAF6654" w14:textId="77777777" w:rsidR="007209DD" w:rsidRPr="00BC31E0" w:rsidRDefault="00270A85" w:rsidP="00736130">
      <w:pPr>
        <w:pStyle w:val="a4"/>
        <w:numPr>
          <w:ilvl w:val="0"/>
          <w:numId w:val="473"/>
        </w:numPr>
        <w:ind w:leftChars="0" w:left="454" w:hanging="454"/>
        <w:rPr>
          <w:rFonts w:ascii="ＭＳ 明朝" w:hAnsi="ＭＳ 明朝"/>
        </w:rPr>
      </w:pPr>
      <w:r w:rsidRPr="00BC31E0">
        <w:rPr>
          <w:rFonts w:asciiTheme="majorEastAsia" w:eastAsiaTheme="majorEastAsia" w:hAnsiTheme="majorEastAsia" w:hint="eastAsia"/>
          <w:b/>
        </w:rPr>
        <w:t>溶接士の試験</w:t>
      </w:r>
      <w:r w:rsidRPr="00BC31E0">
        <w:rPr>
          <w:rFonts w:hint="eastAsia"/>
        </w:rPr>
        <w:t xml:space="preserve">　</w:t>
      </w:r>
      <w:r w:rsidRPr="00BC31E0">
        <w:rPr>
          <w:rFonts w:ascii="ＭＳ 明朝" w:hAnsi="ＭＳ 明朝" w:hint="eastAsia"/>
          <w:bCs/>
        </w:rPr>
        <w:t>耐圧部品の溶接及び非耐圧部品の耐圧部品への溶接に携わる溶接士は，</w:t>
      </w:r>
      <w:r w:rsidRPr="00BC31E0">
        <w:rPr>
          <w:rFonts w:asciiTheme="majorEastAsia" w:eastAsiaTheme="majorEastAsia" w:hAnsiTheme="majorEastAsia" w:hint="eastAsia"/>
          <w:b/>
        </w:rPr>
        <w:t>JIS Z</w:t>
      </w:r>
      <w:r w:rsidRPr="00BC31E0">
        <w:rPr>
          <w:rFonts w:asciiTheme="majorEastAsia" w:eastAsiaTheme="majorEastAsia" w:hAnsiTheme="majorEastAsia" w:hint="eastAsia"/>
          <w:b/>
          <w:bCs/>
        </w:rPr>
        <w:t xml:space="preserve"> </w:t>
      </w:r>
      <w:r w:rsidRPr="00BC31E0">
        <w:rPr>
          <w:rFonts w:asciiTheme="majorEastAsia" w:eastAsiaTheme="majorEastAsia" w:hAnsiTheme="majorEastAsia" w:hint="eastAsia"/>
          <w:b/>
        </w:rPr>
        <w:t>3801</w:t>
      </w:r>
      <w:r w:rsidRPr="00BC31E0">
        <w:rPr>
          <w:rFonts w:ascii="ＭＳ 明朝" w:hAnsi="ＭＳ 明朝" w:hint="eastAsia"/>
          <w:bCs/>
        </w:rPr>
        <w:t>，</w:t>
      </w:r>
      <w:r w:rsidRPr="00BC31E0">
        <w:rPr>
          <w:rFonts w:asciiTheme="majorEastAsia" w:eastAsiaTheme="majorEastAsia" w:hAnsiTheme="majorEastAsia" w:hint="eastAsia"/>
          <w:b/>
        </w:rPr>
        <w:t>JIS Z 3811</w:t>
      </w:r>
      <w:r w:rsidRPr="00BC31E0">
        <w:rPr>
          <w:rFonts w:ascii="ＭＳ 明朝" w:hAnsi="ＭＳ 明朝" w:hint="eastAsia"/>
          <w:bCs/>
        </w:rPr>
        <w:t>，</w:t>
      </w:r>
      <w:r w:rsidRPr="00BC31E0">
        <w:rPr>
          <w:rFonts w:asciiTheme="majorEastAsia" w:eastAsiaTheme="majorEastAsia" w:hAnsiTheme="majorEastAsia" w:hint="eastAsia"/>
          <w:b/>
        </w:rPr>
        <w:t>JIS Z 3821</w:t>
      </w:r>
      <w:r w:rsidRPr="00BC31E0">
        <w:rPr>
          <w:rFonts w:ascii="ＭＳ 明朝" w:hAnsi="ＭＳ 明朝" w:hint="eastAsia"/>
          <w:bCs/>
        </w:rPr>
        <w:t>及び</w:t>
      </w:r>
      <w:r w:rsidRPr="00BC31E0">
        <w:rPr>
          <w:rFonts w:asciiTheme="majorEastAsia" w:eastAsiaTheme="majorEastAsia" w:hAnsiTheme="majorEastAsia" w:hint="eastAsia"/>
          <w:b/>
        </w:rPr>
        <w:t>JIS Z 3841</w:t>
      </w:r>
      <w:r w:rsidRPr="00BC31E0">
        <w:rPr>
          <w:rFonts w:ascii="ＭＳ 明朝" w:hAnsi="ＭＳ 明朝" w:hint="eastAsia"/>
          <w:bCs/>
        </w:rPr>
        <w:t>に従って格付けする。機械試験が全ての技</w:t>
      </w:r>
      <w:r w:rsidRPr="00BC31E0">
        <w:rPr>
          <w:rFonts w:ascii="ＭＳ 明朝" w:hAnsi="ＭＳ 明朝" w:hint="eastAsia"/>
          <w:bCs/>
        </w:rPr>
        <w:lastRenderedPageBreak/>
        <w:t>能試験に要求され，非破壊検査による</w:t>
      </w:r>
      <w:r w:rsidR="00AE0F25" w:rsidRPr="00BC31E0">
        <w:rPr>
          <w:rFonts w:ascii="ＭＳ 明朝" w:hAnsi="ＭＳ 明朝" w:hint="eastAsia"/>
          <w:bCs/>
        </w:rPr>
        <w:t>技能</w:t>
      </w:r>
      <w:r w:rsidR="004679E5" w:rsidRPr="00BC31E0">
        <w:rPr>
          <w:rFonts w:ascii="ＭＳ 明朝" w:hAnsi="ＭＳ 明朝" w:hint="eastAsia"/>
          <w:bCs/>
        </w:rPr>
        <w:t>試験</w:t>
      </w:r>
      <w:r w:rsidRPr="00BC31E0">
        <w:rPr>
          <w:rFonts w:ascii="ＭＳ 明朝" w:hAnsi="ＭＳ 明朝" w:hint="eastAsia"/>
          <w:bCs/>
        </w:rPr>
        <w:t>は認めない。自動溶接士に対する技能試験は，</w:t>
      </w:r>
      <w:r w:rsidRPr="00BC31E0">
        <w:rPr>
          <w:rFonts w:asciiTheme="majorEastAsia" w:eastAsiaTheme="majorEastAsia" w:hAnsiTheme="majorEastAsia" w:hint="eastAsia"/>
          <w:b/>
        </w:rPr>
        <w:t>ASME Sec.IX QW-360</w:t>
      </w:r>
      <w:r w:rsidRPr="00BC31E0">
        <w:rPr>
          <w:rFonts w:ascii="ＭＳ 明朝" w:hAnsi="ＭＳ 明朝" w:hint="eastAsia"/>
          <w:bCs/>
        </w:rPr>
        <w:t>に従って</w:t>
      </w:r>
      <w:r w:rsidR="00AC7DB5" w:rsidRPr="00BC31E0">
        <w:rPr>
          <w:rFonts w:ascii="ＭＳ 明朝" w:hAnsi="ＭＳ 明朝" w:hint="eastAsia"/>
          <w:bCs/>
        </w:rPr>
        <w:t>，</w:t>
      </w:r>
      <w:r w:rsidRPr="00BC31E0">
        <w:rPr>
          <w:rFonts w:ascii="ＭＳ 明朝" w:hAnsi="ＭＳ 明朝" w:hint="eastAsia"/>
          <w:bCs/>
        </w:rPr>
        <w:t>別の試験片又は最初の実機ピースで実施する。</w:t>
      </w:r>
    </w:p>
    <w:p w14:paraId="66F5883E" w14:textId="77777777" w:rsidR="00270A85" w:rsidRPr="00BC31E0" w:rsidRDefault="00270A85" w:rsidP="00736130">
      <w:pPr>
        <w:pStyle w:val="a4"/>
        <w:numPr>
          <w:ilvl w:val="0"/>
          <w:numId w:val="473"/>
        </w:numPr>
        <w:ind w:leftChars="0" w:left="454" w:hanging="454"/>
        <w:rPr>
          <w:rFonts w:ascii="ＭＳ 明朝" w:hAnsi="ＭＳ 明朝"/>
        </w:rPr>
      </w:pPr>
      <w:r w:rsidRPr="00BC31E0">
        <w:rPr>
          <w:rFonts w:asciiTheme="majorEastAsia" w:eastAsiaTheme="majorEastAsia" w:hAnsiTheme="majorEastAsia" w:hint="eastAsia"/>
          <w:b/>
        </w:rPr>
        <w:t>溶接施工方法確認記録及び製品記録の保持</w:t>
      </w:r>
      <w:r w:rsidRPr="00BC31E0">
        <w:rPr>
          <w:rFonts w:hint="eastAsia"/>
        </w:rPr>
        <w:t xml:space="preserve">　</w:t>
      </w:r>
      <w:r w:rsidRPr="00BC31E0">
        <w:rPr>
          <w:rFonts w:ascii="ＭＳ 明朝" w:hAnsi="ＭＳ 明朝" w:hint="eastAsia"/>
          <w:bCs/>
        </w:rPr>
        <w:t>試験結果，データ及び各溶接士の識別を含む溶接施工法確認記録，及び溶接士の記録を保管する。</w:t>
      </w:r>
    </w:p>
    <w:p w14:paraId="7478A9A8" w14:textId="77777777" w:rsidR="00270A85" w:rsidRPr="00BC31E0" w:rsidRDefault="00270A85" w:rsidP="00B73FDD">
      <w:pPr>
        <w:pStyle w:val="3"/>
        <w:tabs>
          <w:tab w:val="clear" w:pos="284"/>
        </w:tabs>
        <w:ind w:left="794" w:hanging="794"/>
      </w:pPr>
      <w:r w:rsidRPr="00BC31E0">
        <w:rPr>
          <w:rFonts w:hint="eastAsia"/>
        </w:rPr>
        <w:t>許容される溶接継手とそれらの検査</w:t>
      </w:r>
    </w:p>
    <w:p w14:paraId="54118AE4" w14:textId="77777777" w:rsidR="00270A85" w:rsidRPr="00BC31E0" w:rsidRDefault="00270A85" w:rsidP="00006968">
      <w:pPr>
        <w:pStyle w:val="1110"/>
        <w:ind w:firstLine="210"/>
      </w:pPr>
      <w:r w:rsidRPr="00BC31E0">
        <w:rPr>
          <w:rFonts w:hint="eastAsia"/>
        </w:rPr>
        <w:t>許容される溶接継手とそれらの検査は，次の</w:t>
      </w:r>
      <w:r w:rsidRPr="00BC31E0">
        <w:rPr>
          <w:rFonts w:ascii="ＭＳ ゴシック" w:hAnsi="ＭＳ ゴシック" w:hint="eastAsia"/>
          <w:b/>
        </w:rPr>
        <w:t>a)</w:t>
      </w:r>
      <w:r w:rsidRPr="00BC31E0">
        <w:rPr>
          <w:rFonts w:hint="eastAsia"/>
        </w:rPr>
        <w:t>～</w:t>
      </w:r>
      <w:r w:rsidRPr="00BC31E0">
        <w:rPr>
          <w:rFonts w:ascii="ＭＳ ゴシック" w:hAnsi="ＭＳ ゴシック" w:hint="eastAsia"/>
          <w:b/>
        </w:rPr>
        <w:t>g)</w:t>
      </w:r>
      <w:r w:rsidRPr="00BC31E0">
        <w:rPr>
          <w:rFonts w:hint="eastAsia"/>
        </w:rPr>
        <w:t>による。</w:t>
      </w:r>
    </w:p>
    <w:p w14:paraId="400A2638" w14:textId="77777777" w:rsidR="00270A85" w:rsidRPr="00BC31E0" w:rsidRDefault="00270A85" w:rsidP="00736130">
      <w:pPr>
        <w:pStyle w:val="a4"/>
        <w:numPr>
          <w:ilvl w:val="0"/>
          <w:numId w:val="474"/>
        </w:numPr>
        <w:ind w:leftChars="0" w:left="454" w:hanging="454"/>
      </w:pPr>
      <w:r w:rsidRPr="00BC31E0">
        <w:rPr>
          <w:rFonts w:hint="eastAsia"/>
        </w:rPr>
        <w:t>次の</w:t>
      </w:r>
      <w:r w:rsidRPr="00BC31E0">
        <w:rPr>
          <w:rFonts w:asciiTheme="majorEastAsia" w:eastAsiaTheme="majorEastAsia" w:hAnsiTheme="majorEastAsia" w:hint="eastAsia"/>
          <w:b/>
        </w:rPr>
        <w:t>1)</w:t>
      </w:r>
      <w:r w:rsidRPr="00BC31E0">
        <w:rPr>
          <w:rFonts w:hint="eastAsia"/>
        </w:rPr>
        <w:t>～</w:t>
      </w:r>
      <w:r w:rsidR="00CD2056" w:rsidRPr="00BC31E0">
        <w:rPr>
          <w:rFonts w:asciiTheme="majorEastAsia" w:eastAsiaTheme="majorEastAsia" w:hAnsiTheme="majorEastAsia" w:hint="eastAsia"/>
          <w:b/>
        </w:rPr>
        <w:t>4</w:t>
      </w:r>
      <w:r w:rsidRPr="00BC31E0">
        <w:rPr>
          <w:rFonts w:asciiTheme="majorEastAsia" w:eastAsiaTheme="majorEastAsia" w:hAnsiTheme="majorEastAsia" w:hint="eastAsia"/>
          <w:b/>
        </w:rPr>
        <w:t>)</w:t>
      </w:r>
      <w:r w:rsidRPr="00BC31E0">
        <w:rPr>
          <w:rFonts w:hint="eastAsia"/>
        </w:rPr>
        <w:t>に記載されていることを除き，全ての溶接継手は</w:t>
      </w:r>
      <w:r w:rsidRPr="00BC31E0">
        <w:rPr>
          <w:rFonts w:asciiTheme="majorEastAsia" w:eastAsiaTheme="majorEastAsia" w:hAnsiTheme="majorEastAsia" w:hint="eastAsia"/>
          <w:b/>
        </w:rPr>
        <w:t>b)</w:t>
      </w:r>
      <w:r w:rsidRPr="00BC31E0">
        <w:rPr>
          <w:rFonts w:hint="eastAsia"/>
        </w:rPr>
        <w:t>の</w:t>
      </w:r>
      <w:r w:rsidRPr="00BC31E0">
        <w:t>Type No.1</w:t>
      </w:r>
      <w:r w:rsidRPr="00BC31E0">
        <w:rPr>
          <w:rFonts w:hint="eastAsia"/>
        </w:rPr>
        <w:t>突合せ継手とする。完全溶込み溶接と組合せて使用していない部分溶込み溶接</w:t>
      </w:r>
      <w:r w:rsidRPr="00BC31E0">
        <w:rPr>
          <w:rFonts w:asciiTheme="minorHAnsi" w:hAnsiTheme="minorHAnsi"/>
        </w:rPr>
        <w:t>(</w:t>
      </w:r>
      <w:r w:rsidRPr="00BC31E0">
        <w:rPr>
          <w:rFonts w:asciiTheme="minorHAnsi"/>
        </w:rPr>
        <w:t>すみ肉溶接</w:t>
      </w:r>
      <w:r w:rsidR="00E451D3" w:rsidRPr="00BC31E0">
        <w:rPr>
          <w:rFonts w:hint="eastAsia"/>
        </w:rPr>
        <w:t>など</w:t>
      </w:r>
      <w:r w:rsidRPr="00BC31E0">
        <w:rPr>
          <w:rFonts w:asciiTheme="minorHAnsi" w:hAnsiTheme="minorHAnsi"/>
        </w:rPr>
        <w:t>)</w:t>
      </w:r>
      <w:r w:rsidRPr="00BC31E0">
        <w:rPr>
          <w:rFonts w:hint="eastAsia"/>
        </w:rPr>
        <w:t>は，耐圧部に使用</w:t>
      </w:r>
      <w:r w:rsidR="000337C0" w:rsidRPr="00BC31E0">
        <w:rPr>
          <w:rFonts w:hint="eastAsia"/>
        </w:rPr>
        <w:t>し</w:t>
      </w:r>
      <w:r w:rsidRPr="00BC31E0">
        <w:rPr>
          <w:rFonts w:hint="eastAsia"/>
        </w:rPr>
        <w:t>ない。</w:t>
      </w:r>
    </w:p>
    <w:p w14:paraId="60690091" w14:textId="77777777" w:rsidR="00B73FDD" w:rsidRPr="00BC31E0" w:rsidRDefault="00270A85" w:rsidP="00736130">
      <w:pPr>
        <w:pStyle w:val="a4"/>
        <w:numPr>
          <w:ilvl w:val="0"/>
          <w:numId w:val="475"/>
        </w:numPr>
        <w:ind w:leftChars="0" w:left="738" w:hanging="454"/>
      </w:pPr>
      <w:r w:rsidRPr="00BC31E0">
        <w:rPr>
          <w:rFonts w:hint="eastAsia"/>
        </w:rPr>
        <w:t>完全溶込み溶接は，ノズル取付けに使用する。次の</w:t>
      </w:r>
      <w:r w:rsidRPr="00BC31E0">
        <w:rPr>
          <w:rFonts w:asciiTheme="majorEastAsia" w:eastAsiaTheme="majorEastAsia" w:hAnsiTheme="majorEastAsia" w:hint="eastAsia"/>
          <w:b/>
          <w:bCs/>
        </w:rPr>
        <w:t>c)</w:t>
      </w:r>
      <w:r w:rsidRPr="00BC31E0">
        <w:rPr>
          <w:rFonts w:ascii="ＭＳ 明朝" w:hAnsi="ＭＳ ゴシック" w:hint="eastAsia"/>
        </w:rPr>
        <w:t>を</w:t>
      </w:r>
      <w:r w:rsidRPr="00BC31E0">
        <w:rPr>
          <w:rFonts w:hint="eastAsia"/>
        </w:rPr>
        <w:t>参照する。</w:t>
      </w:r>
    </w:p>
    <w:p w14:paraId="3747ACCB" w14:textId="77777777" w:rsidR="00B73FDD" w:rsidRPr="00BC31E0" w:rsidRDefault="00270A85" w:rsidP="00736130">
      <w:pPr>
        <w:pStyle w:val="a4"/>
        <w:numPr>
          <w:ilvl w:val="0"/>
          <w:numId w:val="475"/>
        </w:numPr>
        <w:ind w:leftChars="0" w:left="738" w:hanging="454"/>
      </w:pPr>
      <w:r w:rsidRPr="00BC31E0">
        <w:rPr>
          <w:rFonts w:hint="eastAsia"/>
        </w:rPr>
        <w:t>溶接多層容器の最も内側の胴を除き，層同士の接合には，</w:t>
      </w:r>
      <w:r w:rsidRPr="00BC31E0">
        <w:t>Type No.2</w:t>
      </w:r>
      <w:r w:rsidRPr="00BC31E0">
        <w:rPr>
          <w:rFonts w:hint="eastAsia"/>
        </w:rPr>
        <w:t>片側グルーブ溶接を使用する。次の</w:t>
      </w:r>
      <w:r w:rsidRPr="00BC31E0">
        <w:rPr>
          <w:rFonts w:asciiTheme="majorEastAsia" w:eastAsiaTheme="majorEastAsia" w:hAnsiTheme="majorEastAsia" w:hint="eastAsia"/>
          <w:b/>
        </w:rPr>
        <w:t>d)</w:t>
      </w:r>
      <w:r w:rsidRPr="00BC31E0">
        <w:rPr>
          <w:rFonts w:hint="eastAsia"/>
        </w:rPr>
        <w:t>を参照する。</w:t>
      </w:r>
    </w:p>
    <w:p w14:paraId="53BCB3B9" w14:textId="77777777" w:rsidR="00B73FDD" w:rsidRPr="00BC31E0" w:rsidRDefault="00270A85" w:rsidP="00736130">
      <w:pPr>
        <w:pStyle w:val="a4"/>
        <w:numPr>
          <w:ilvl w:val="0"/>
          <w:numId w:val="475"/>
        </w:numPr>
        <w:ind w:leftChars="0" w:left="738" w:hanging="454"/>
      </w:pPr>
      <w:r w:rsidRPr="00BC31E0">
        <w:rPr>
          <w:rFonts w:hint="eastAsia"/>
        </w:rPr>
        <w:t>ヒーティング</w:t>
      </w:r>
      <w:r w:rsidR="00750D12" w:rsidRPr="00BC31E0">
        <w:rPr>
          <w:rFonts w:hint="eastAsia"/>
        </w:rPr>
        <w:t>／</w:t>
      </w:r>
      <w:r w:rsidRPr="00BC31E0">
        <w:rPr>
          <w:rFonts w:hint="eastAsia"/>
        </w:rPr>
        <w:t>クーリングジャケット取付け溶接及びサポートクリップ取付け溶接については，</w:t>
      </w:r>
      <w:r w:rsidRPr="00BC31E0">
        <w:rPr>
          <w:rFonts w:asciiTheme="majorEastAsia" w:eastAsiaTheme="majorEastAsia" w:hAnsiTheme="majorEastAsia" w:hint="eastAsia"/>
          <w:b/>
        </w:rPr>
        <w:t>6.7</w:t>
      </w:r>
      <w:r w:rsidRPr="00BC31E0">
        <w:rPr>
          <w:rFonts w:hint="eastAsia"/>
        </w:rPr>
        <w:t>及び次の</w:t>
      </w:r>
      <w:r w:rsidRPr="00BC31E0">
        <w:rPr>
          <w:rFonts w:asciiTheme="majorEastAsia" w:eastAsiaTheme="majorEastAsia" w:hAnsiTheme="majorEastAsia" w:hint="eastAsia"/>
          <w:b/>
        </w:rPr>
        <w:t>e)</w:t>
      </w:r>
      <w:r w:rsidRPr="00BC31E0">
        <w:rPr>
          <w:rFonts w:hint="eastAsia"/>
        </w:rPr>
        <w:t>に従う。要求される溶接検査は，全ての溶接後熱処理後に</w:t>
      </w:r>
      <w:r w:rsidRPr="00BC31E0">
        <w:rPr>
          <w:rFonts w:asciiTheme="majorEastAsia" w:eastAsiaTheme="majorEastAsia" w:hAnsiTheme="majorEastAsia" w:hint="eastAsia"/>
          <w:b/>
        </w:rPr>
        <w:t>9.3</w:t>
      </w:r>
      <w:r w:rsidRPr="00BC31E0">
        <w:rPr>
          <w:rFonts w:hint="eastAsia"/>
        </w:rPr>
        <w:t>に従って実施する。</w:t>
      </w:r>
    </w:p>
    <w:p w14:paraId="0947A118" w14:textId="77777777" w:rsidR="00270A85" w:rsidRPr="00BC31E0" w:rsidRDefault="00270A85" w:rsidP="00736130">
      <w:pPr>
        <w:pStyle w:val="a4"/>
        <w:numPr>
          <w:ilvl w:val="0"/>
          <w:numId w:val="475"/>
        </w:numPr>
        <w:ind w:leftChars="0" w:left="738" w:hanging="454"/>
      </w:pPr>
      <w:r w:rsidRPr="00BC31E0">
        <w:rPr>
          <w:rFonts w:hint="eastAsia"/>
        </w:rPr>
        <w:t>次の</w:t>
      </w:r>
      <w:r w:rsidRPr="00BC31E0">
        <w:rPr>
          <w:rFonts w:asciiTheme="majorEastAsia" w:hAnsiTheme="majorEastAsia" w:hint="eastAsia"/>
          <w:b/>
        </w:rPr>
        <w:t>4.1)</w:t>
      </w:r>
      <w:r w:rsidRPr="00BC31E0">
        <w:rPr>
          <w:rFonts w:hint="eastAsia"/>
        </w:rPr>
        <w:t>～</w:t>
      </w:r>
      <w:r w:rsidRPr="00BC31E0">
        <w:rPr>
          <w:rFonts w:asciiTheme="majorEastAsia" w:hAnsiTheme="majorEastAsia" w:hint="eastAsia"/>
          <w:b/>
        </w:rPr>
        <w:t>4.4)</w:t>
      </w:r>
      <w:r w:rsidRPr="00BC31E0">
        <w:rPr>
          <w:rFonts w:hint="eastAsia"/>
        </w:rPr>
        <w:t>を満足する条件に限り，溶接面にアクセスできないか，表面処理方法が実用的ではない場合に，</w:t>
      </w:r>
      <w:r w:rsidRPr="00BC31E0">
        <w:rPr>
          <w:rFonts w:asciiTheme="majorEastAsia" w:eastAsiaTheme="majorEastAsia" w:hAnsiTheme="majorEastAsia" w:hint="eastAsia"/>
          <w:b/>
        </w:rPr>
        <w:t>7.2.1</w:t>
      </w:r>
      <w:r w:rsidRPr="00BC31E0">
        <w:rPr>
          <w:rFonts w:asciiTheme="majorEastAsia" w:eastAsiaTheme="majorEastAsia" w:hAnsiTheme="majorEastAsia"/>
          <w:b/>
        </w:rPr>
        <w:t xml:space="preserve"> </w:t>
      </w:r>
      <w:r w:rsidRPr="00BC31E0">
        <w:rPr>
          <w:rFonts w:asciiTheme="majorEastAsia" w:eastAsiaTheme="majorEastAsia" w:hAnsiTheme="majorEastAsia" w:hint="eastAsia"/>
          <w:b/>
        </w:rPr>
        <w:t>d)</w:t>
      </w:r>
      <w:r w:rsidRPr="00BC31E0">
        <w:rPr>
          <w:rFonts w:hint="eastAsia"/>
        </w:rPr>
        <w:t>で要求されるグラインダー又は機械仕上げを行わな</w:t>
      </w:r>
      <w:r w:rsidR="00750D12" w:rsidRPr="00BC31E0">
        <w:rPr>
          <w:rFonts w:hint="eastAsia"/>
        </w:rPr>
        <w:t>くてもよい</w:t>
      </w:r>
      <w:r w:rsidRPr="00BC31E0">
        <w:rPr>
          <w:rFonts w:ascii="ＭＳ 明朝" w:hAnsi="ＭＳ 明朝" w:hint="eastAsia"/>
        </w:rPr>
        <w:t>。</w:t>
      </w:r>
    </w:p>
    <w:p w14:paraId="1BFBC3E1" w14:textId="77777777" w:rsidR="00B73FDD" w:rsidRPr="00BC31E0" w:rsidRDefault="00270A85" w:rsidP="00736130">
      <w:pPr>
        <w:pStyle w:val="a4"/>
        <w:numPr>
          <w:ilvl w:val="0"/>
          <w:numId w:val="476"/>
        </w:numPr>
        <w:ind w:leftChars="0" w:left="1134" w:hanging="567"/>
      </w:pPr>
      <w:r w:rsidRPr="00BC31E0">
        <w:rPr>
          <w:rFonts w:hint="eastAsia"/>
        </w:rPr>
        <w:t>溶接部に凹みや厚さの減少がない。</w:t>
      </w:r>
    </w:p>
    <w:p w14:paraId="24963E05" w14:textId="77777777" w:rsidR="00B73FDD" w:rsidRPr="00BC31E0" w:rsidRDefault="00270A85" w:rsidP="00736130">
      <w:pPr>
        <w:pStyle w:val="a4"/>
        <w:numPr>
          <w:ilvl w:val="0"/>
          <w:numId w:val="476"/>
        </w:numPr>
        <w:ind w:leftChars="0" w:left="1134" w:hanging="567"/>
      </w:pPr>
      <w:r w:rsidRPr="00BC31E0">
        <w:rPr>
          <w:rFonts w:asciiTheme="majorEastAsia" w:eastAsiaTheme="majorEastAsia" w:hAnsiTheme="majorEastAsia" w:hint="eastAsia"/>
          <w:b/>
        </w:rPr>
        <w:t>6.4</w:t>
      </w:r>
      <w:r w:rsidRPr="00BC31E0">
        <w:rPr>
          <w:rFonts w:ascii="ＭＳ 明朝" w:hAnsi="ＭＳ 明朝" w:hint="eastAsia"/>
          <w:bCs/>
        </w:rPr>
        <w:t>に従って疲労解析が行われている。</w:t>
      </w:r>
    </w:p>
    <w:p w14:paraId="32D610E5" w14:textId="77777777" w:rsidR="00B73FDD" w:rsidRPr="00BC31E0" w:rsidRDefault="00270A85" w:rsidP="00736130">
      <w:pPr>
        <w:pStyle w:val="a4"/>
        <w:numPr>
          <w:ilvl w:val="0"/>
          <w:numId w:val="476"/>
        </w:numPr>
        <w:ind w:leftChars="0" w:left="1134" w:hanging="567"/>
      </w:pPr>
      <w:r w:rsidRPr="00BC31E0">
        <w:rPr>
          <w:rFonts w:ascii="ＭＳ 明朝" w:hAnsi="ＭＳ 明朝" w:hint="eastAsia"/>
          <w:bCs/>
        </w:rPr>
        <w:t>表面を考慮して破壊力学的評価を行う場合に，全厚さに対して有限要素法解析により応力分布状態が得られている。</w:t>
      </w:r>
    </w:p>
    <w:p w14:paraId="5952FB2E" w14:textId="77777777" w:rsidR="00270A85" w:rsidRPr="00BC31E0" w:rsidRDefault="00270A85" w:rsidP="00736130">
      <w:pPr>
        <w:pStyle w:val="a4"/>
        <w:numPr>
          <w:ilvl w:val="0"/>
          <w:numId w:val="476"/>
        </w:numPr>
        <w:ind w:leftChars="0" w:left="1134" w:hanging="567"/>
      </w:pPr>
      <w:r w:rsidRPr="00BC31E0">
        <w:rPr>
          <w:rFonts w:ascii="ＭＳ 明朝" w:hAnsi="ＭＳ 明朝" w:hint="eastAsia"/>
          <w:bCs/>
        </w:rPr>
        <w:t>有限要素法解析では，この規格で許容されている最大の溶接目違い，ピーキング，溶接補強のプロファイルを組込む。又は，最大の溶接目違い，ピーキング，溶接補強について製作者設計報告書に文書化されて検査報告書で検証されている場合。</w:t>
      </w:r>
    </w:p>
    <w:p w14:paraId="5F7AF351" w14:textId="77777777" w:rsidR="00B73FDD" w:rsidRPr="00BC31E0" w:rsidRDefault="00270A85" w:rsidP="00736130">
      <w:pPr>
        <w:pStyle w:val="a4"/>
        <w:numPr>
          <w:ilvl w:val="0"/>
          <w:numId w:val="477"/>
        </w:numPr>
        <w:ind w:leftChars="0" w:left="454" w:hanging="454"/>
      </w:pPr>
      <w:r w:rsidRPr="00BC31E0">
        <w:rPr>
          <w:rFonts w:asciiTheme="majorEastAsia" w:eastAsiaTheme="majorEastAsia" w:hAnsiTheme="majorEastAsia"/>
          <w:b/>
        </w:rPr>
        <w:t>Type No.1</w:t>
      </w:r>
      <w:r w:rsidRPr="00BC31E0">
        <w:rPr>
          <w:rFonts w:asciiTheme="majorEastAsia" w:eastAsiaTheme="majorEastAsia" w:hAnsiTheme="majorEastAsia" w:hint="eastAsia"/>
          <w:b/>
        </w:rPr>
        <w:t>突合せ溶接</w:t>
      </w:r>
      <w:r w:rsidRPr="00BC31E0">
        <w:rPr>
          <w:rFonts w:hint="eastAsia"/>
        </w:rPr>
        <w:t xml:space="preserve">　</w:t>
      </w:r>
      <w:r w:rsidRPr="00BC31E0">
        <w:t>Type No.1</w:t>
      </w:r>
      <w:r w:rsidRPr="00BC31E0">
        <w:rPr>
          <w:rFonts w:hint="eastAsia"/>
        </w:rPr>
        <w:t>突合せ溶接は，両側溶接，又は，両側溶接と同等の品質を生み出す他の方法によって実施する。残ってしまう裏当て金を使う溶接は，</w:t>
      </w:r>
      <w:r w:rsidRPr="00BC31E0">
        <w:t>Type No.1</w:t>
      </w:r>
      <w:r w:rsidRPr="00BC31E0">
        <w:rPr>
          <w:rFonts w:hint="eastAsia"/>
        </w:rPr>
        <w:t>突合せ溶接とは見なされない。</w:t>
      </w:r>
      <w:r w:rsidRPr="00BC31E0">
        <w:t>Type No.1</w:t>
      </w:r>
      <w:r w:rsidRPr="00BC31E0">
        <w:rPr>
          <w:rFonts w:hint="eastAsia"/>
        </w:rPr>
        <w:t>突合せ溶接は，完全に溶融，溶込みし，接合される部品同士でグラインダー又は機械加工にて面一とする。全ての</w:t>
      </w:r>
      <w:r w:rsidRPr="00BC31E0">
        <w:t>Type No.1</w:t>
      </w:r>
      <w:r w:rsidRPr="00BC31E0">
        <w:rPr>
          <w:rFonts w:hint="eastAsia"/>
        </w:rPr>
        <w:t>突合せ溶接は，全長を</w:t>
      </w:r>
      <w:r w:rsidRPr="00BC31E0">
        <w:rPr>
          <w:rFonts w:asciiTheme="majorEastAsia" w:eastAsiaTheme="majorEastAsia" w:hAnsiTheme="majorEastAsia" w:hint="eastAsia"/>
          <w:b/>
        </w:rPr>
        <w:t>9.3</w:t>
      </w:r>
      <w:r w:rsidRPr="00BC31E0">
        <w:rPr>
          <w:rFonts w:hint="eastAsia"/>
        </w:rPr>
        <w:t>に従って検査を行う。</w:t>
      </w:r>
    </w:p>
    <w:p w14:paraId="0AD561F1" w14:textId="77777777" w:rsidR="00270A85" w:rsidRPr="00BC31E0" w:rsidRDefault="00270A85" w:rsidP="00736130">
      <w:pPr>
        <w:pStyle w:val="a4"/>
        <w:numPr>
          <w:ilvl w:val="0"/>
          <w:numId w:val="477"/>
        </w:numPr>
        <w:ind w:leftChars="0" w:left="454" w:hanging="454"/>
      </w:pPr>
      <w:r w:rsidRPr="00BC31E0">
        <w:rPr>
          <w:rFonts w:asciiTheme="majorEastAsia" w:eastAsiaTheme="majorEastAsia" w:hAnsiTheme="majorEastAsia" w:hint="eastAsia"/>
          <w:b/>
        </w:rPr>
        <w:t>ノズル取付け用完全溶込みグルーブ溶接</w:t>
      </w:r>
      <w:r w:rsidRPr="00BC31E0">
        <w:rPr>
          <w:rFonts w:ascii="ＭＳ 明朝" w:hAnsi="ＭＳ 明朝" w:hint="eastAsia"/>
          <w:bCs/>
        </w:rPr>
        <w:t xml:space="preserve">　ノズル取付けは，</w:t>
      </w:r>
      <w:r w:rsidRPr="00BC31E0">
        <w:rPr>
          <w:rFonts w:asciiTheme="majorEastAsia" w:eastAsiaTheme="majorEastAsia" w:hAnsiTheme="majorEastAsia" w:hint="eastAsia"/>
          <w:b/>
        </w:rPr>
        <w:t>6.10</w:t>
      </w:r>
      <w:r w:rsidRPr="00BC31E0">
        <w:rPr>
          <w:rFonts w:ascii="ＭＳ 明朝" w:hAnsi="ＭＳ 明朝" w:hint="eastAsia"/>
          <w:bCs/>
        </w:rPr>
        <w:t>を参照する。通常は，</w:t>
      </w:r>
      <w:r w:rsidRPr="00BC31E0">
        <w:rPr>
          <w:rFonts w:asciiTheme="majorEastAsia" w:eastAsiaTheme="majorEastAsia" w:hAnsiTheme="majorEastAsia" w:hint="eastAsia"/>
          <w:b/>
        </w:rPr>
        <w:t>6.10.7</w:t>
      </w:r>
      <w:r w:rsidRPr="00BC31E0">
        <w:rPr>
          <w:rFonts w:ascii="ＭＳ 明朝" w:hAnsi="ＭＳ 明朝" w:hint="eastAsia"/>
          <w:bCs/>
        </w:rPr>
        <w:t>による</w:t>
      </w:r>
      <w:r w:rsidRPr="00BC31E0">
        <w:rPr>
          <w:bCs/>
        </w:rPr>
        <w:t>Type No.1</w:t>
      </w:r>
      <w:r w:rsidRPr="00BC31E0">
        <w:rPr>
          <w:rFonts w:ascii="ＭＳ 明朝" w:hAnsi="ＭＳ 明朝" w:hint="eastAsia"/>
          <w:bCs/>
        </w:rPr>
        <w:t>突合せ溶接であるが，</w:t>
      </w:r>
      <w:r w:rsidRPr="00BC31E0">
        <w:rPr>
          <w:rFonts w:asciiTheme="majorEastAsia" w:eastAsiaTheme="majorEastAsia" w:hAnsiTheme="majorEastAsia" w:hint="eastAsia"/>
          <w:b/>
        </w:rPr>
        <w:t>6.10.8</w:t>
      </w:r>
      <w:r w:rsidRPr="00BC31E0">
        <w:rPr>
          <w:rFonts w:ascii="ＭＳ 明朝" w:hAnsi="ＭＳ 明朝" w:hint="eastAsia"/>
          <w:bCs/>
        </w:rPr>
        <w:t>の規定による完全溶込みグルーブ溶接</w:t>
      </w:r>
      <w:r w:rsidR="009F2934" w:rsidRPr="00BC31E0">
        <w:rPr>
          <w:rFonts w:ascii="ＭＳ 明朝" w:hAnsi="ＭＳ 明朝" w:hint="eastAsia"/>
          <w:bCs/>
        </w:rPr>
        <w:t>を</w:t>
      </w:r>
      <w:r w:rsidRPr="00BC31E0">
        <w:rPr>
          <w:rFonts w:ascii="ＭＳ 明朝" w:hAnsi="ＭＳ 明朝" w:hint="eastAsia"/>
          <w:bCs/>
        </w:rPr>
        <w:t>使用</w:t>
      </w:r>
      <w:r w:rsidR="009F2934" w:rsidRPr="00BC31E0">
        <w:rPr>
          <w:rFonts w:ascii="ＭＳ 明朝" w:hAnsi="ＭＳ 明朝" w:hint="eastAsia"/>
          <w:bCs/>
        </w:rPr>
        <w:t>してもよい</w:t>
      </w:r>
      <w:r w:rsidRPr="00BC31E0">
        <w:rPr>
          <w:rFonts w:ascii="ＭＳ 明朝" w:hAnsi="ＭＳ 明朝" w:hint="eastAsia"/>
          <w:bCs/>
        </w:rPr>
        <w:t>。溶接施工方法と溶接検査は，次の</w:t>
      </w:r>
      <w:r w:rsidRPr="00BC31E0">
        <w:rPr>
          <w:rFonts w:asciiTheme="majorEastAsia" w:eastAsiaTheme="majorEastAsia" w:hAnsiTheme="majorEastAsia" w:hint="eastAsia"/>
          <w:b/>
        </w:rPr>
        <w:t>1)</w:t>
      </w:r>
      <w:r w:rsidRPr="00BC31E0">
        <w:rPr>
          <w:rFonts w:ascii="ＭＳ 明朝" w:hAnsi="ＭＳ 明朝" w:hint="eastAsia"/>
          <w:bCs/>
        </w:rPr>
        <w:t>，</w:t>
      </w:r>
      <w:r w:rsidRPr="00BC31E0">
        <w:rPr>
          <w:rFonts w:asciiTheme="majorEastAsia" w:eastAsiaTheme="majorEastAsia" w:hAnsiTheme="majorEastAsia" w:hint="eastAsia"/>
          <w:b/>
        </w:rPr>
        <w:t>2)</w:t>
      </w:r>
      <w:r w:rsidRPr="00BC31E0">
        <w:rPr>
          <w:rFonts w:ascii="ＭＳ 明朝" w:hAnsi="ＭＳ 明朝" w:hint="eastAsia"/>
          <w:bCs/>
        </w:rPr>
        <w:t>による。</w:t>
      </w:r>
    </w:p>
    <w:p w14:paraId="371B032A" w14:textId="77777777" w:rsidR="00B73FDD" w:rsidRPr="00BC31E0" w:rsidRDefault="00270A85" w:rsidP="00736130">
      <w:pPr>
        <w:pStyle w:val="a4"/>
        <w:numPr>
          <w:ilvl w:val="0"/>
          <w:numId w:val="478"/>
        </w:numPr>
        <w:ind w:leftChars="0" w:left="738" w:hanging="454"/>
        <w:rPr>
          <w:rFonts w:ascii="ＭＳ 明朝" w:hAnsi="ＭＳ 明朝"/>
        </w:rPr>
      </w:pPr>
      <w:r w:rsidRPr="00BC31E0">
        <w:rPr>
          <w:rFonts w:asciiTheme="majorEastAsia" w:eastAsiaTheme="majorEastAsia" w:hAnsiTheme="majorEastAsia" w:hint="eastAsia"/>
          <w:b/>
        </w:rPr>
        <w:t>溶接施工方法</w:t>
      </w:r>
      <w:r w:rsidRPr="00BC31E0">
        <w:rPr>
          <w:rFonts w:hint="eastAsia"/>
        </w:rPr>
        <w:t xml:space="preserve">　</w:t>
      </w:r>
      <w:r w:rsidRPr="00BC31E0">
        <w:rPr>
          <w:rFonts w:ascii="ＭＳ 明朝" w:hAnsi="ＭＳ 明朝" w:hint="eastAsia"/>
        </w:rPr>
        <w:t>通常，この溶接は片側溶接となる。ノズル内面側の高品質溶接を生み出すために</w:t>
      </w:r>
      <w:r w:rsidRPr="00BC31E0">
        <w:t>GTAW</w:t>
      </w:r>
      <w:r w:rsidRPr="00BC31E0">
        <w:rPr>
          <w:rFonts w:ascii="ＭＳ 明朝" w:hAnsi="ＭＳ 明朝" w:hint="eastAsia"/>
        </w:rPr>
        <w:t>のような溶接方法を考慮する。</w:t>
      </w:r>
    </w:p>
    <w:p w14:paraId="225526F8" w14:textId="77777777" w:rsidR="00270A85" w:rsidRPr="00BC31E0" w:rsidRDefault="00270A85" w:rsidP="00736130">
      <w:pPr>
        <w:pStyle w:val="a4"/>
        <w:numPr>
          <w:ilvl w:val="0"/>
          <w:numId w:val="478"/>
        </w:numPr>
        <w:ind w:leftChars="0" w:left="738" w:hanging="454"/>
        <w:rPr>
          <w:rFonts w:ascii="ＭＳ 明朝" w:hAnsi="ＭＳ 明朝"/>
        </w:rPr>
      </w:pPr>
      <w:r w:rsidRPr="00BC31E0">
        <w:rPr>
          <w:rFonts w:asciiTheme="majorEastAsia" w:eastAsiaTheme="majorEastAsia" w:hAnsiTheme="majorEastAsia" w:hint="eastAsia"/>
          <w:b/>
        </w:rPr>
        <w:t>溶接検査</w:t>
      </w:r>
      <w:r w:rsidRPr="00BC31E0">
        <w:rPr>
          <w:rFonts w:hint="eastAsia"/>
        </w:rPr>
        <w:t xml:space="preserve">　</w:t>
      </w:r>
      <w:r w:rsidRPr="00BC31E0">
        <w:rPr>
          <w:rFonts w:asciiTheme="majorEastAsia" w:eastAsiaTheme="majorEastAsia" w:hAnsiTheme="majorEastAsia" w:hint="eastAsia"/>
          <w:b/>
        </w:rPr>
        <w:t>9.3</w:t>
      </w:r>
      <w:r w:rsidRPr="00BC31E0">
        <w:rPr>
          <w:rFonts w:ascii="ＭＳ 明朝" w:hAnsi="ＭＳ 明朝" w:hint="eastAsia"/>
        </w:rPr>
        <w:t>に要求される溶接部の試験に追加して，中間段階での検査</w:t>
      </w:r>
      <w:r w:rsidRPr="00BC31E0">
        <w:rPr>
          <w:rFonts w:asciiTheme="minorHAnsi" w:hAnsiTheme="minorHAnsi"/>
        </w:rPr>
        <w:t>(</w:t>
      </w:r>
      <w:r w:rsidRPr="00BC31E0">
        <w:rPr>
          <w:rFonts w:asciiTheme="minorHAnsi" w:hAnsi="ＭＳ 明朝"/>
        </w:rPr>
        <w:t>湿式磁粉探傷試験</w:t>
      </w:r>
      <w:r w:rsidR="009B43E8" w:rsidRPr="00BC31E0">
        <w:rPr>
          <w:rFonts w:hint="eastAsia"/>
        </w:rPr>
        <w:t>など</w:t>
      </w:r>
      <w:r w:rsidRPr="00BC31E0">
        <w:rPr>
          <w:rFonts w:asciiTheme="minorHAnsi" w:hAnsiTheme="minorHAnsi"/>
        </w:rPr>
        <w:t>)</w:t>
      </w:r>
      <w:r w:rsidRPr="00BC31E0">
        <w:rPr>
          <w:rFonts w:ascii="ＭＳ 明朝" w:hAnsi="ＭＳ 明朝" w:hint="eastAsia"/>
        </w:rPr>
        <w:t>を実施する。</w:t>
      </w:r>
    </w:p>
    <w:p w14:paraId="37C4C139" w14:textId="77777777" w:rsidR="00695CD3" w:rsidRPr="00BC31E0" w:rsidRDefault="00270A85" w:rsidP="00736130">
      <w:pPr>
        <w:pStyle w:val="a4"/>
        <w:numPr>
          <w:ilvl w:val="0"/>
          <w:numId w:val="479"/>
        </w:numPr>
        <w:ind w:leftChars="0" w:left="454" w:hanging="454"/>
      </w:pPr>
      <w:r w:rsidRPr="00BC31E0">
        <w:rPr>
          <w:rFonts w:asciiTheme="majorEastAsia" w:eastAsiaTheme="majorEastAsia" w:hAnsiTheme="majorEastAsia"/>
          <w:b/>
        </w:rPr>
        <w:t>Type No.2</w:t>
      </w:r>
      <w:r w:rsidRPr="00BC31E0">
        <w:rPr>
          <w:rFonts w:asciiTheme="majorEastAsia" w:eastAsiaTheme="majorEastAsia" w:hAnsiTheme="majorEastAsia" w:hint="eastAsia"/>
          <w:b/>
        </w:rPr>
        <w:t>突合せ溶接</w:t>
      </w:r>
      <w:r w:rsidRPr="00BC31E0">
        <w:rPr>
          <w:rFonts w:hint="eastAsia"/>
        </w:rPr>
        <w:t xml:space="preserve">　</w:t>
      </w:r>
      <w:r w:rsidRPr="00BC31E0">
        <w:t>Type No.2</w:t>
      </w:r>
      <w:r w:rsidRPr="00BC31E0">
        <w:rPr>
          <w:rFonts w:hint="eastAsia"/>
        </w:rPr>
        <w:t>突合せ溶接は，多層溶接容器における各層の内筒への溶</w:t>
      </w:r>
      <w:r w:rsidRPr="00BC31E0">
        <w:rPr>
          <w:rFonts w:hint="eastAsia"/>
        </w:rPr>
        <w:lastRenderedPageBreak/>
        <w:t>接のみに使用</w:t>
      </w:r>
      <w:r w:rsidR="00924115" w:rsidRPr="00BC31E0">
        <w:rPr>
          <w:rFonts w:hint="eastAsia"/>
        </w:rPr>
        <w:t>す</w:t>
      </w:r>
      <w:r w:rsidRPr="00BC31E0">
        <w:rPr>
          <w:rFonts w:hint="eastAsia"/>
        </w:rPr>
        <w:t>る。設計及び製作に関する規定は，</w:t>
      </w:r>
      <w:r w:rsidRPr="00BC31E0">
        <w:rPr>
          <w:rFonts w:asciiTheme="majorEastAsia" w:eastAsiaTheme="majorEastAsia" w:hAnsiTheme="majorEastAsia" w:hint="eastAsia"/>
          <w:b/>
        </w:rPr>
        <w:t>6.8</w:t>
      </w:r>
      <w:r w:rsidRPr="00BC31E0">
        <w:rPr>
          <w:rFonts w:hint="eastAsia"/>
        </w:rPr>
        <w:t>及び</w:t>
      </w:r>
      <w:r w:rsidRPr="00BC31E0">
        <w:rPr>
          <w:rFonts w:asciiTheme="majorEastAsia" w:eastAsiaTheme="majorEastAsia" w:hAnsiTheme="majorEastAsia" w:hint="eastAsia"/>
          <w:b/>
        </w:rPr>
        <w:t>7.8</w:t>
      </w:r>
      <w:r w:rsidRPr="00BC31E0">
        <w:rPr>
          <w:rFonts w:hint="eastAsia"/>
        </w:rPr>
        <w:t>を参照する。</w:t>
      </w:r>
    </w:p>
    <w:p w14:paraId="12358C57" w14:textId="77777777" w:rsidR="00270A85" w:rsidRPr="00BC31E0" w:rsidRDefault="00695CD3" w:rsidP="00736130">
      <w:pPr>
        <w:pStyle w:val="a4"/>
        <w:numPr>
          <w:ilvl w:val="0"/>
          <w:numId w:val="442"/>
        </w:numPr>
        <w:ind w:leftChars="0" w:left="454" w:hanging="454"/>
        <w:rPr>
          <w:rStyle w:val="50"/>
          <w:rFonts w:ascii="Century" w:eastAsia="ＭＳ 明朝" w:hAnsi="Century"/>
          <w:b w:val="0"/>
        </w:rPr>
      </w:pPr>
      <w:r w:rsidRPr="00BC31E0">
        <w:rPr>
          <w:rFonts w:asciiTheme="majorEastAsia" w:eastAsiaTheme="majorEastAsia" w:hAnsiTheme="majorEastAsia" w:hint="eastAsia"/>
          <w:b/>
        </w:rPr>
        <w:t>完全溶込みグルーブ溶接と組合せて使用するすみ肉溶接の品質と検査</w:t>
      </w:r>
      <w:r w:rsidRPr="00BC31E0">
        <w:rPr>
          <w:rFonts w:hint="eastAsia"/>
        </w:rPr>
        <w:t xml:space="preserve">　すみ肉溶接が完全溶込みグルーブ溶接と組合せて使用される場合，グルーブ溶接部分は，すみ肉溶接が施工される前に上記</w:t>
      </w:r>
      <w:r w:rsidRPr="00BC31E0">
        <w:rPr>
          <w:rFonts w:asciiTheme="majorEastAsia" w:eastAsiaTheme="majorEastAsia" w:hAnsiTheme="majorEastAsia" w:hint="eastAsia"/>
          <w:b/>
        </w:rPr>
        <w:t>c)</w:t>
      </w:r>
      <w:r w:rsidRPr="00BC31E0">
        <w:rPr>
          <w:rFonts w:hint="eastAsia"/>
        </w:rPr>
        <w:t>の規定により施工する。すみ肉溶接は</w:t>
      </w:r>
      <w:r w:rsidR="00AE6E59" w:rsidRPr="00BC31E0">
        <w:rPr>
          <w:rFonts w:hint="eastAsia"/>
        </w:rPr>
        <w:t>，</w:t>
      </w:r>
      <w:r w:rsidRPr="00BC31E0">
        <w:rPr>
          <w:rFonts w:hint="eastAsia"/>
        </w:rPr>
        <w:t>次の</w:t>
      </w:r>
      <w:r w:rsidR="008E432B" w:rsidRPr="00BC31E0">
        <w:rPr>
          <w:rFonts w:asciiTheme="majorEastAsia" w:eastAsiaTheme="majorEastAsia" w:hAnsiTheme="majorEastAsia" w:hint="eastAsia"/>
          <w:b/>
        </w:rPr>
        <w:t>1)</w:t>
      </w:r>
      <w:r w:rsidR="008E432B" w:rsidRPr="00BC31E0">
        <w:rPr>
          <w:rFonts w:hint="eastAsia"/>
        </w:rPr>
        <w:t>，</w:t>
      </w:r>
      <w:r w:rsidR="008E432B" w:rsidRPr="00BC31E0">
        <w:rPr>
          <w:rFonts w:asciiTheme="majorEastAsia" w:eastAsiaTheme="majorEastAsia" w:hAnsiTheme="majorEastAsia" w:hint="eastAsia"/>
          <w:b/>
        </w:rPr>
        <w:t>2)</w:t>
      </w:r>
      <w:r w:rsidR="008E432B" w:rsidRPr="00BC31E0">
        <w:rPr>
          <w:rFonts w:hint="eastAsia"/>
        </w:rPr>
        <w:t>による</w:t>
      </w:r>
      <w:r w:rsidRPr="00BC31E0">
        <w:rPr>
          <w:rFonts w:hint="eastAsia"/>
        </w:rPr>
        <w:t>。</w:t>
      </w:r>
    </w:p>
    <w:p w14:paraId="2B5596E9" w14:textId="77777777" w:rsidR="00695CD3" w:rsidRPr="00BC31E0" w:rsidRDefault="00270A85" w:rsidP="00736130">
      <w:pPr>
        <w:pStyle w:val="a4"/>
        <w:numPr>
          <w:ilvl w:val="0"/>
          <w:numId w:val="480"/>
        </w:numPr>
        <w:ind w:leftChars="0" w:left="738" w:hanging="454"/>
      </w:pPr>
      <w:r w:rsidRPr="00BC31E0">
        <w:rPr>
          <w:rFonts w:hint="eastAsia"/>
        </w:rPr>
        <w:t>すみ肉溶接のルート部でその近傍表面の肉厚減少が</w:t>
      </w:r>
      <w:r w:rsidRPr="00BC31E0">
        <w:t>0.8 mm</w:t>
      </w:r>
      <w:r w:rsidRPr="00BC31E0">
        <w:rPr>
          <w:rFonts w:hint="eastAsia"/>
        </w:rPr>
        <w:t>以下とする。又は</w:t>
      </w:r>
      <w:r w:rsidR="00006968" w:rsidRPr="00BC31E0">
        <w:rPr>
          <w:rFonts w:hint="eastAsia"/>
        </w:rPr>
        <w:t>，</w:t>
      </w:r>
      <w:r w:rsidRPr="00BC31E0">
        <w:rPr>
          <w:rFonts w:hint="eastAsia"/>
        </w:rPr>
        <w:t>近傍の材料のいかなる所でも設計最小必要肉厚以上とする。</w:t>
      </w:r>
    </w:p>
    <w:p w14:paraId="0D8B300E" w14:textId="77777777" w:rsidR="00270A85" w:rsidRPr="00BC31E0" w:rsidRDefault="00270A85" w:rsidP="00736130">
      <w:pPr>
        <w:pStyle w:val="a4"/>
        <w:numPr>
          <w:ilvl w:val="0"/>
          <w:numId w:val="480"/>
        </w:numPr>
        <w:ind w:leftChars="0" w:left="738" w:hanging="454"/>
      </w:pPr>
      <w:r w:rsidRPr="00BC31E0">
        <w:rPr>
          <w:rFonts w:ascii="ＭＳ 明朝" w:hAnsi="ＭＳ 明朝" w:hint="eastAsia"/>
        </w:rPr>
        <w:t>表面は，</w:t>
      </w:r>
      <w:r w:rsidRPr="00BC31E0">
        <w:rPr>
          <w:rFonts w:asciiTheme="majorEastAsia" w:eastAsiaTheme="majorEastAsia" w:hAnsiTheme="majorEastAsia"/>
          <w:b/>
        </w:rPr>
        <w:t>7.2.1 d)</w:t>
      </w:r>
      <w:r w:rsidRPr="00BC31E0">
        <w:rPr>
          <w:rFonts w:ascii="ＭＳ 明朝" w:hAnsi="ＭＳ 明朝" w:hint="eastAsia"/>
        </w:rPr>
        <w:t>，</w:t>
      </w:r>
      <w:r w:rsidRPr="00BC31E0">
        <w:rPr>
          <w:rFonts w:asciiTheme="majorEastAsia" w:eastAsiaTheme="majorEastAsia" w:hAnsiTheme="majorEastAsia" w:hint="eastAsia"/>
          <w:b/>
        </w:rPr>
        <w:t>9.3.6 d)</w:t>
      </w:r>
      <w:r w:rsidRPr="00BC31E0">
        <w:rPr>
          <w:rFonts w:ascii="ＭＳ 明朝" w:hAnsi="ＭＳ 明朝" w:hint="eastAsia"/>
        </w:rPr>
        <w:t>に従って仕上げて検査する。</w:t>
      </w:r>
    </w:p>
    <w:p w14:paraId="2FBF4089" w14:textId="77777777" w:rsidR="00660279" w:rsidRPr="00BC31E0" w:rsidRDefault="00270A85" w:rsidP="00736130">
      <w:pPr>
        <w:pStyle w:val="a4"/>
        <w:numPr>
          <w:ilvl w:val="0"/>
          <w:numId w:val="442"/>
        </w:numPr>
        <w:ind w:leftChars="0" w:left="454" w:hanging="454"/>
      </w:pPr>
      <w:r w:rsidRPr="00BC31E0">
        <w:rPr>
          <w:rFonts w:asciiTheme="majorEastAsia" w:eastAsiaTheme="majorEastAsia" w:hAnsiTheme="majorEastAsia" w:hint="eastAsia"/>
          <w:b/>
        </w:rPr>
        <w:t>浸透探傷試験</w:t>
      </w:r>
      <w:r w:rsidRPr="00BC31E0">
        <w:rPr>
          <w:rFonts w:hint="eastAsia"/>
        </w:rPr>
        <w:t xml:space="preserve">　オーステナイト‐クロム‐ニッケル合金，オーステナイト‐フェライト二相合金，ニッケル合金の突合せ溶接及びすみ肉溶接は，浸透探傷試験を実施する</w:t>
      </w:r>
      <w:r w:rsidR="006E5087" w:rsidRPr="00BC31E0">
        <w:rPr>
          <w:rFonts w:asciiTheme="minorHAnsi" w:hAnsiTheme="minorHAnsi" w:hint="eastAsia"/>
        </w:rPr>
        <w:t>[</w:t>
      </w:r>
      <w:r w:rsidRPr="00BC31E0">
        <w:rPr>
          <w:rFonts w:asciiTheme="majorEastAsia" w:eastAsiaTheme="majorEastAsia" w:hAnsiTheme="majorEastAsia" w:hint="eastAsia"/>
          <w:b/>
        </w:rPr>
        <w:t>9.3.6 d)</w:t>
      </w:r>
      <w:r w:rsidRPr="00BC31E0">
        <w:rPr>
          <w:rFonts w:hint="eastAsia"/>
        </w:rPr>
        <w:t>を参照</w:t>
      </w:r>
      <w:r w:rsidR="006E5087" w:rsidRPr="00BC31E0">
        <w:rPr>
          <w:rFonts w:asciiTheme="minorHAnsi" w:hAnsiTheme="minorHAnsi"/>
        </w:rPr>
        <w:t>]</w:t>
      </w:r>
      <w:r w:rsidRPr="00BC31E0">
        <w:rPr>
          <w:rFonts w:hint="eastAsia"/>
        </w:rPr>
        <w:t>。熱処理が必要な場合，検査は熱処理後に実施する。全ての欠陥は，</w:t>
      </w:r>
      <w:r w:rsidRPr="00BC31E0">
        <w:rPr>
          <w:rFonts w:asciiTheme="majorEastAsia" w:eastAsiaTheme="majorEastAsia" w:hAnsiTheme="majorEastAsia" w:hint="eastAsia"/>
          <w:b/>
        </w:rPr>
        <w:t>7.2.5</w:t>
      </w:r>
      <w:r w:rsidRPr="00BC31E0">
        <w:rPr>
          <w:rFonts w:hint="eastAsia"/>
        </w:rPr>
        <w:t>に従って補修し，記録に残す。補修した範囲は，浸透探傷試験を再度実施する。</w:t>
      </w:r>
    </w:p>
    <w:p w14:paraId="571B8B21" w14:textId="77777777" w:rsidR="00270A85" w:rsidRPr="00BC31E0" w:rsidRDefault="00270A85" w:rsidP="00736130">
      <w:pPr>
        <w:pStyle w:val="a4"/>
        <w:numPr>
          <w:ilvl w:val="0"/>
          <w:numId w:val="442"/>
        </w:numPr>
        <w:ind w:leftChars="0" w:left="454" w:hanging="454"/>
      </w:pPr>
      <w:r w:rsidRPr="00BC31E0">
        <w:rPr>
          <w:rFonts w:asciiTheme="majorEastAsia" w:eastAsiaTheme="majorEastAsia" w:hAnsiTheme="majorEastAsia" w:hint="eastAsia"/>
          <w:b/>
        </w:rPr>
        <w:t>表面溶接肉盛り</w:t>
      </w:r>
      <w:r w:rsidRPr="00BC31E0">
        <w:rPr>
          <w:rFonts w:hint="eastAsia"/>
        </w:rPr>
        <w:t xml:space="preserve">　</w:t>
      </w:r>
      <w:r w:rsidRPr="00BC31E0">
        <w:rPr>
          <w:rFonts w:asciiTheme="majorEastAsia" w:eastAsiaTheme="majorEastAsia" w:hAnsiTheme="majorEastAsia" w:hint="eastAsia"/>
          <w:b/>
        </w:rPr>
        <w:t>6.10.6</w:t>
      </w:r>
      <w:r w:rsidRPr="00BC31E0">
        <w:rPr>
          <w:rFonts w:ascii="ＭＳ 明朝" w:hAnsi="ＭＳ 明朝" w:hint="eastAsia"/>
          <w:bCs/>
        </w:rPr>
        <w:t>，</w:t>
      </w:r>
      <w:r w:rsidRPr="00BC31E0">
        <w:rPr>
          <w:rFonts w:asciiTheme="majorEastAsia" w:eastAsiaTheme="majorEastAsia" w:hAnsiTheme="majorEastAsia" w:hint="eastAsia"/>
          <w:b/>
        </w:rPr>
        <w:t>7.2.4 d)</w:t>
      </w:r>
      <w:r w:rsidRPr="00BC31E0">
        <w:rPr>
          <w:rFonts w:ascii="ＭＳ 明朝" w:hAnsi="ＭＳ 明朝" w:hint="eastAsia"/>
          <w:bCs/>
        </w:rPr>
        <w:t>のテーパ部の要求に従うために，母材の肉厚を修復するか</w:t>
      </w:r>
      <w:r w:rsidR="006E5087" w:rsidRPr="00BC31E0">
        <w:rPr>
          <w:rFonts w:ascii="ＭＳ 明朝" w:hAnsi="ＭＳ 明朝" w:hint="eastAsia"/>
          <w:bCs/>
        </w:rPr>
        <w:t>，</w:t>
      </w:r>
      <w:r w:rsidRPr="00BC31E0">
        <w:rPr>
          <w:rFonts w:ascii="ＭＳ 明朝" w:hAnsi="ＭＳ 明朝" w:hint="eastAsia"/>
          <w:bCs/>
        </w:rPr>
        <w:t>溶接継手の形状を修正する目的で溶着金属を母材表面に盛る場合には，次の要求事項に従う。</w:t>
      </w:r>
    </w:p>
    <w:p w14:paraId="56B55624" w14:textId="77777777" w:rsidR="004C1FAD" w:rsidRPr="00BC31E0" w:rsidRDefault="00270A85" w:rsidP="00736130">
      <w:pPr>
        <w:pStyle w:val="a4"/>
        <w:numPr>
          <w:ilvl w:val="0"/>
          <w:numId w:val="481"/>
        </w:numPr>
        <w:ind w:leftChars="0" w:left="738" w:hanging="454"/>
      </w:pPr>
      <w:r w:rsidRPr="00BC31E0">
        <w:rPr>
          <w:rFonts w:hint="eastAsia"/>
        </w:rPr>
        <w:t>実機溶接の前に，肉盛りする溶着金属の厚さに対応する溶接施工方法確認試験に合格する。</w:t>
      </w:r>
    </w:p>
    <w:p w14:paraId="05B6852A" w14:textId="77777777" w:rsidR="004C1FAD" w:rsidRPr="00BC31E0" w:rsidRDefault="00270A85" w:rsidP="00736130">
      <w:pPr>
        <w:pStyle w:val="a4"/>
        <w:numPr>
          <w:ilvl w:val="0"/>
          <w:numId w:val="481"/>
        </w:numPr>
        <w:ind w:leftChars="0" w:left="738" w:hanging="454"/>
      </w:pPr>
      <w:r w:rsidRPr="00BC31E0">
        <w:rPr>
          <w:rFonts w:ascii="ＭＳ 明朝" w:hAnsi="ＭＳ 明朝" w:hint="eastAsia"/>
        </w:rPr>
        <w:t>全ての溶接肉盛りは，全表面に対し</w:t>
      </w:r>
      <w:r w:rsidRPr="00BC31E0">
        <w:rPr>
          <w:rFonts w:asciiTheme="majorEastAsia" w:eastAsiaTheme="majorEastAsia" w:hAnsiTheme="majorEastAsia" w:hint="eastAsia"/>
          <w:b/>
        </w:rPr>
        <w:t>9.3.6 d)</w:t>
      </w:r>
      <w:r w:rsidRPr="00BC31E0">
        <w:rPr>
          <w:rFonts w:ascii="ＭＳ 明朝" w:hAnsi="ＭＳ 明朝" w:hint="eastAsia"/>
        </w:rPr>
        <w:t>に従って磁粉探傷試験又は浸透探傷試験を実施する。</w:t>
      </w:r>
    </w:p>
    <w:p w14:paraId="461F46D1" w14:textId="77777777" w:rsidR="004C1FAD" w:rsidRPr="00BC31E0" w:rsidRDefault="00270A85" w:rsidP="00736130">
      <w:pPr>
        <w:pStyle w:val="a4"/>
        <w:numPr>
          <w:ilvl w:val="0"/>
          <w:numId w:val="481"/>
        </w:numPr>
        <w:ind w:leftChars="0" w:left="738" w:hanging="454"/>
      </w:pPr>
      <w:r w:rsidRPr="00BC31E0">
        <w:t>10 mm</w:t>
      </w:r>
      <w:r w:rsidRPr="00BC31E0">
        <w:rPr>
          <w:rFonts w:ascii="ＭＳ 明朝" w:hAnsi="ＭＳ 明朝" w:hint="eastAsia"/>
        </w:rPr>
        <w:t>厚さを超える全ての溶接肉盛りは，全溶着金属に対し</w:t>
      </w:r>
      <w:r w:rsidRPr="00BC31E0">
        <w:rPr>
          <w:rFonts w:asciiTheme="majorEastAsia" w:eastAsiaTheme="majorEastAsia" w:hAnsiTheme="majorEastAsia" w:hint="eastAsia"/>
          <w:b/>
        </w:rPr>
        <w:t>9.1</w:t>
      </w:r>
      <w:r w:rsidRPr="00BC31E0">
        <w:rPr>
          <w:rFonts w:ascii="ＭＳ 明朝" w:hAnsi="ＭＳ 明朝" w:hint="eastAsia"/>
        </w:rPr>
        <w:t>に従って放射線透過試験又は超音波探傷試験を実施する。</w:t>
      </w:r>
    </w:p>
    <w:p w14:paraId="38ECA05C" w14:textId="77777777" w:rsidR="00270A85" w:rsidRPr="00BC31E0" w:rsidRDefault="00270A85" w:rsidP="00736130">
      <w:pPr>
        <w:pStyle w:val="a4"/>
        <w:numPr>
          <w:ilvl w:val="0"/>
          <w:numId w:val="481"/>
        </w:numPr>
        <w:ind w:leftChars="0" w:left="738" w:hanging="454"/>
      </w:pPr>
      <w:r w:rsidRPr="00BC31E0">
        <w:rPr>
          <w:rFonts w:ascii="ＭＳ 明朝" w:hAnsi="ＭＳ 明朝" w:hint="eastAsia"/>
        </w:rPr>
        <w:t>溶接肉盛りが容量的検査を必要とする継手に使用される場合，溶接肉盛りについても同様の検査をする。</w:t>
      </w:r>
    </w:p>
    <w:p w14:paraId="68D0BA7E" w14:textId="77777777" w:rsidR="00270A85" w:rsidRPr="00BC31E0" w:rsidRDefault="00270A85" w:rsidP="00EE0CB7">
      <w:pPr>
        <w:pStyle w:val="3"/>
        <w:tabs>
          <w:tab w:val="clear" w:pos="284"/>
        </w:tabs>
        <w:ind w:left="794" w:hanging="794"/>
      </w:pPr>
      <w:r w:rsidRPr="00BC31E0">
        <w:rPr>
          <w:rFonts w:hint="eastAsia"/>
        </w:rPr>
        <w:t>溶接中の要求事項</w:t>
      </w:r>
    </w:p>
    <w:p w14:paraId="2A8F6225" w14:textId="77777777" w:rsidR="00270A85" w:rsidRPr="00BC31E0" w:rsidRDefault="00270A85" w:rsidP="0014570B">
      <w:pPr>
        <w:ind w:firstLineChars="100" w:firstLine="210"/>
      </w:pPr>
      <w:r w:rsidRPr="00BC31E0">
        <w:rPr>
          <w:rFonts w:hint="eastAsia"/>
        </w:rPr>
        <w:t>溶接される部品は，溶接作業中，クリーンであり，適正な位置に設置，保持する。溶接中の要求事項は，次の</w:t>
      </w:r>
      <w:r w:rsidRPr="00BC31E0">
        <w:rPr>
          <w:rFonts w:ascii="ＭＳ ゴシック" w:hAnsi="ＭＳ ゴシック" w:hint="eastAsia"/>
          <w:b/>
        </w:rPr>
        <w:t>a)</w:t>
      </w:r>
      <w:r w:rsidRPr="00BC31E0">
        <w:rPr>
          <w:rFonts w:hint="eastAsia"/>
        </w:rPr>
        <w:t>～</w:t>
      </w:r>
      <w:r w:rsidRPr="00BC31E0">
        <w:rPr>
          <w:rFonts w:ascii="ＭＳ ゴシック" w:hAnsi="ＭＳ ゴシック" w:hint="eastAsia"/>
          <w:b/>
        </w:rPr>
        <w:t>h)</w:t>
      </w:r>
      <w:r w:rsidRPr="00BC31E0">
        <w:rPr>
          <w:rFonts w:hint="eastAsia"/>
        </w:rPr>
        <w:t>による。</w:t>
      </w:r>
    </w:p>
    <w:p w14:paraId="59B4EE45" w14:textId="77777777" w:rsidR="00EE0CB7" w:rsidRPr="00BC31E0" w:rsidRDefault="00270A85" w:rsidP="00736130">
      <w:pPr>
        <w:pStyle w:val="a4"/>
        <w:numPr>
          <w:ilvl w:val="0"/>
          <w:numId w:val="482"/>
        </w:numPr>
        <w:ind w:leftChars="0" w:left="454" w:hanging="454"/>
        <w:rPr>
          <w:rStyle w:val="1112"/>
          <w:rFonts w:ascii="ＭＳ 明朝" w:hAnsi="ＭＳ 明朝"/>
          <w:b/>
          <w:bCs/>
        </w:rPr>
      </w:pPr>
      <w:r w:rsidRPr="00BC31E0">
        <w:rPr>
          <w:rFonts w:asciiTheme="majorEastAsia" w:eastAsiaTheme="majorEastAsia" w:hAnsiTheme="majorEastAsia" w:hint="eastAsia"/>
          <w:b/>
        </w:rPr>
        <w:t>両側溶接における反対側の開先面の準備</w:t>
      </w:r>
      <w:r w:rsidRPr="00BC31E0">
        <w:rPr>
          <w:rFonts w:hint="eastAsia"/>
        </w:rPr>
        <w:t xml:space="preserve">　</w:t>
      </w:r>
      <w:r w:rsidRPr="00BC31E0">
        <w:rPr>
          <w:rStyle w:val="1112"/>
          <w:rFonts w:asciiTheme="minorHAnsi" w:eastAsiaTheme="minorEastAsia" w:hAnsiTheme="minorEastAsia"/>
          <w:bCs/>
        </w:rPr>
        <w:t>反対側の面を溶接する前にその開先面は，ルート部で良好な金属を確保するためにチッピング，グラインディング又はエアアークガウジングにより処理する。その開先面を溶接開始する前に</w:t>
      </w:r>
      <w:r w:rsidRPr="00BC31E0">
        <w:rPr>
          <w:rFonts w:asciiTheme="minorHAnsi" w:eastAsiaTheme="minorEastAsia" w:hAnsiTheme="minorEastAsia"/>
        </w:rPr>
        <w:t>，</w:t>
      </w:r>
      <w:r w:rsidRPr="00BC31E0">
        <w:rPr>
          <w:rStyle w:val="1112"/>
          <w:rFonts w:asciiTheme="majorEastAsia" w:eastAsiaTheme="majorEastAsia" w:hAnsiTheme="majorEastAsia"/>
          <w:b/>
        </w:rPr>
        <w:t>9.2.5 d)</w:t>
      </w:r>
      <w:r w:rsidRPr="00BC31E0">
        <w:rPr>
          <w:rStyle w:val="1112"/>
          <w:rFonts w:asciiTheme="minorHAnsi" w:eastAsiaTheme="minorEastAsia" w:hAnsiTheme="minorEastAsia"/>
          <w:bCs/>
        </w:rPr>
        <w:t>に従って検査する。</w:t>
      </w:r>
    </w:p>
    <w:p w14:paraId="0D25BC30" w14:textId="77777777" w:rsidR="00EE0CB7" w:rsidRPr="00BC31E0" w:rsidRDefault="00270A85" w:rsidP="00736130">
      <w:pPr>
        <w:pStyle w:val="a4"/>
        <w:numPr>
          <w:ilvl w:val="0"/>
          <w:numId w:val="482"/>
        </w:numPr>
        <w:ind w:leftChars="0" w:left="454" w:hanging="454"/>
        <w:rPr>
          <w:rFonts w:ascii="ＭＳ 明朝" w:hAnsi="ＭＳ 明朝"/>
          <w:b/>
          <w:bCs/>
        </w:rPr>
      </w:pPr>
      <w:r w:rsidRPr="00BC31E0">
        <w:rPr>
          <w:rFonts w:asciiTheme="majorEastAsia" w:eastAsiaTheme="majorEastAsia" w:hAnsiTheme="majorEastAsia" w:hint="eastAsia"/>
          <w:b/>
        </w:rPr>
        <w:t>溶接される面の清掃</w:t>
      </w:r>
      <w:r w:rsidRPr="00BC31E0">
        <w:rPr>
          <w:rFonts w:ascii="ＭＳ 明朝" w:hAnsi="ＭＳ 明朝" w:hint="eastAsia"/>
          <w:bCs/>
        </w:rPr>
        <w:t xml:space="preserve">　溶接される部品の表面は，クリーンで，スケール，さび，油，グリース，その他の有害異物がない状態とする。全ての材料に関し，有害な酸化物は，溶接継手から少なくとも</w:t>
      </w:r>
      <w:r w:rsidRPr="00BC31E0">
        <w:rPr>
          <w:bCs/>
        </w:rPr>
        <w:t>50 mm</w:t>
      </w:r>
      <w:r w:rsidRPr="00BC31E0">
        <w:rPr>
          <w:rFonts w:ascii="ＭＳ 明朝" w:hAnsi="ＭＳ 明朝" w:hint="eastAsia"/>
          <w:bCs/>
        </w:rPr>
        <w:t>は除去する。溶接金属が前の溶接金属表面上に盛られる場合，溶接金属中に不純物の巻込みを防ぐために，全てのスラグは取除かなければならない。</w:t>
      </w:r>
    </w:p>
    <w:p w14:paraId="7BB13F39" w14:textId="77777777" w:rsidR="00EE0CB7" w:rsidRPr="00BC31E0" w:rsidRDefault="00270A85" w:rsidP="00736130">
      <w:pPr>
        <w:pStyle w:val="a4"/>
        <w:numPr>
          <w:ilvl w:val="0"/>
          <w:numId w:val="482"/>
        </w:numPr>
        <w:ind w:leftChars="0" w:left="454" w:hanging="454"/>
        <w:rPr>
          <w:rFonts w:ascii="ＭＳ 明朝" w:hAnsi="ＭＳ 明朝"/>
          <w:b/>
          <w:bCs/>
        </w:rPr>
      </w:pPr>
      <w:r w:rsidRPr="00BC31E0">
        <w:rPr>
          <w:rFonts w:asciiTheme="majorEastAsia" w:eastAsiaTheme="majorEastAsia" w:hAnsiTheme="majorEastAsia" w:hint="eastAsia"/>
          <w:b/>
        </w:rPr>
        <w:t>溶接中のアライメント</w:t>
      </w:r>
      <w:r w:rsidRPr="00BC31E0">
        <w:rPr>
          <w:rFonts w:ascii="ＭＳ 明朝" w:hAnsi="ＭＳ 明朝" w:hint="eastAsia"/>
          <w:bCs/>
        </w:rPr>
        <w:t xml:space="preserve">　バー，ジャッキ，クランプ，タック溶接又は他の適正な方法により，溶接される開先の位置関係を調整</w:t>
      </w:r>
      <w:r w:rsidR="004A5EFA" w:rsidRPr="00BC31E0">
        <w:rPr>
          <w:rFonts w:ascii="ＭＳ 明朝" w:hAnsi="ＭＳ 明朝" w:hint="eastAsia"/>
          <w:bCs/>
        </w:rPr>
        <w:t>す</w:t>
      </w:r>
      <w:r w:rsidRPr="00BC31E0">
        <w:rPr>
          <w:rFonts w:ascii="ＭＳ 明朝" w:hAnsi="ＭＳ 明朝" w:hint="eastAsia"/>
          <w:bCs/>
        </w:rPr>
        <w:t>る。タック溶接は，完全に取り除かれるか，最終溶接の一部として溶融させる。</w:t>
      </w:r>
    </w:p>
    <w:p w14:paraId="59D359FA" w14:textId="77777777" w:rsidR="00270A85" w:rsidRPr="00BC31E0" w:rsidRDefault="00270A85" w:rsidP="00736130">
      <w:pPr>
        <w:pStyle w:val="a4"/>
        <w:numPr>
          <w:ilvl w:val="0"/>
          <w:numId w:val="482"/>
        </w:numPr>
        <w:ind w:leftChars="0" w:left="454" w:hanging="454"/>
        <w:rPr>
          <w:rFonts w:ascii="ＭＳ 明朝" w:hAnsi="ＭＳ 明朝"/>
          <w:b/>
          <w:bCs/>
        </w:rPr>
      </w:pPr>
      <w:r w:rsidRPr="00BC31E0">
        <w:rPr>
          <w:rFonts w:asciiTheme="majorEastAsia" w:eastAsiaTheme="majorEastAsia" w:hAnsiTheme="majorEastAsia" w:hint="eastAsia"/>
          <w:b/>
        </w:rPr>
        <w:t>突合せ溶接される開先面の公差</w:t>
      </w:r>
      <w:r w:rsidRPr="00BC31E0">
        <w:rPr>
          <w:rFonts w:ascii="ＭＳ 明朝" w:hAnsi="ＭＳ 明朝" w:hint="eastAsia"/>
          <w:bCs/>
        </w:rPr>
        <w:t xml:space="preserve">　突合せ溶接される開先面の公差は，最大目違いが</w:t>
      </w:r>
      <w:r w:rsidRPr="00BC31E0">
        <w:rPr>
          <w:rFonts w:asciiTheme="majorEastAsia" w:eastAsiaTheme="majorEastAsia" w:hAnsiTheme="majorEastAsia" w:hint="eastAsia"/>
          <w:b/>
        </w:rPr>
        <w:t>表7.2.1</w:t>
      </w:r>
      <w:r w:rsidRPr="00BC31E0">
        <w:rPr>
          <w:rFonts w:ascii="ＭＳ 明朝" w:hAnsi="ＭＳ 明朝" w:hint="eastAsia"/>
          <w:bCs/>
        </w:rPr>
        <w:t>で許容されている値以下とする。全てのずれは，</w:t>
      </w:r>
      <w:r w:rsidRPr="00BC31E0">
        <w:rPr>
          <w:bCs/>
        </w:rPr>
        <w:t>3</w:t>
      </w:r>
      <w:r w:rsidR="006511BD" w:rsidRPr="00BC31E0">
        <w:rPr>
          <w:rFonts w:hint="eastAsia"/>
          <w:bCs/>
        </w:rPr>
        <w:t>：</w:t>
      </w:r>
      <w:r w:rsidRPr="00BC31E0">
        <w:rPr>
          <w:bCs/>
        </w:rPr>
        <w:t>1</w:t>
      </w:r>
      <w:r w:rsidRPr="00BC31E0">
        <w:rPr>
          <w:rFonts w:ascii="ＭＳ 明朝" w:hAnsi="ＭＳ 明朝" w:hint="eastAsia"/>
          <w:bCs/>
        </w:rPr>
        <w:t>のテーパか溶着金属の追加により整形する。肉厚の異なる継手については，</w:t>
      </w:r>
      <w:r w:rsidRPr="00BC31E0">
        <w:rPr>
          <w:rFonts w:asciiTheme="majorEastAsia" w:eastAsiaTheme="majorEastAsia" w:hAnsiTheme="majorEastAsia" w:hint="eastAsia"/>
          <w:b/>
        </w:rPr>
        <w:t>6.10.6</w:t>
      </w:r>
      <w:r w:rsidRPr="00BC31E0">
        <w:rPr>
          <w:rFonts w:ascii="ＭＳ 明朝" w:hAnsi="ＭＳ 明朝" w:hint="eastAsia"/>
          <w:bCs/>
        </w:rPr>
        <w:t>を参照する。</w:t>
      </w:r>
    </w:p>
    <w:p w14:paraId="1C2FB7CB" w14:textId="77777777" w:rsidR="00270A85" w:rsidRPr="00BC31E0" w:rsidRDefault="00270A85" w:rsidP="00717C89">
      <w:pPr>
        <w:pStyle w:val="af4"/>
        <w:rPr>
          <w:vertAlign w:val="superscript"/>
        </w:rPr>
      </w:pPr>
      <w:r w:rsidRPr="00BC31E0">
        <w:rPr>
          <w:rFonts w:hint="eastAsia"/>
        </w:rPr>
        <w:lastRenderedPageBreak/>
        <w:t>表7.2.1  溶接継手の面の最大許容目違い</w:t>
      </w:r>
      <w:r w:rsidRPr="00BC31E0">
        <w:rPr>
          <w:rFonts w:hint="eastAsia"/>
          <w:vertAlign w:val="superscript"/>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76"/>
        <w:gridCol w:w="3119"/>
        <w:gridCol w:w="2126"/>
      </w:tblGrid>
      <w:tr w:rsidR="00270A85" w:rsidRPr="00BC31E0" w14:paraId="30F6510C" w14:textId="77777777" w:rsidTr="004736F2">
        <w:trPr>
          <w:jc w:val="center"/>
        </w:trPr>
        <w:tc>
          <w:tcPr>
            <w:tcW w:w="2976" w:type="dxa"/>
            <w:tcBorders>
              <w:bottom w:val="nil"/>
            </w:tcBorders>
          </w:tcPr>
          <w:p w14:paraId="6DAAB6C4" w14:textId="77777777" w:rsidR="00270A85" w:rsidRPr="00BC31E0" w:rsidRDefault="00270A85" w:rsidP="004736F2">
            <w:pPr>
              <w:jc w:val="center"/>
            </w:pPr>
            <w:r w:rsidRPr="00BC31E0">
              <w:rPr>
                <w:rFonts w:hint="eastAsia"/>
              </w:rPr>
              <w:t>板の厚さ</w:t>
            </w:r>
          </w:p>
        </w:tc>
        <w:tc>
          <w:tcPr>
            <w:tcW w:w="5245" w:type="dxa"/>
            <w:gridSpan w:val="2"/>
          </w:tcPr>
          <w:p w14:paraId="49327D1B" w14:textId="77777777" w:rsidR="00270A85" w:rsidRPr="00BC31E0" w:rsidRDefault="00270A85" w:rsidP="004736F2">
            <w:pPr>
              <w:jc w:val="center"/>
            </w:pPr>
            <w:r w:rsidRPr="00BC31E0">
              <w:rPr>
                <w:rFonts w:hint="eastAsia"/>
              </w:rPr>
              <w:t>円筒胴の継手方向</w:t>
            </w:r>
          </w:p>
        </w:tc>
      </w:tr>
      <w:tr w:rsidR="00270A85" w:rsidRPr="00BC31E0" w14:paraId="3EED19E6" w14:textId="77777777" w:rsidTr="004736F2">
        <w:trPr>
          <w:jc w:val="center"/>
        </w:trPr>
        <w:tc>
          <w:tcPr>
            <w:tcW w:w="2976" w:type="dxa"/>
            <w:tcBorders>
              <w:top w:val="nil"/>
            </w:tcBorders>
          </w:tcPr>
          <w:p w14:paraId="749003D6" w14:textId="77777777" w:rsidR="00270A85" w:rsidRPr="00BC31E0" w:rsidRDefault="00270A85" w:rsidP="004736F2">
            <w:pPr>
              <w:jc w:val="center"/>
            </w:pPr>
            <w:r w:rsidRPr="00BC31E0">
              <w:rPr>
                <w:rFonts w:hint="eastAsia"/>
              </w:rPr>
              <w:t>(</w:t>
            </w:r>
            <m:oMath>
              <m:r>
                <w:rPr>
                  <w:rFonts w:ascii="Cambria Math" w:hAnsi="Cambria Math"/>
                </w:rPr>
                <m:t>t</m:t>
              </m:r>
            </m:oMath>
            <w:r w:rsidRPr="00BC31E0">
              <w:rPr>
                <w:rFonts w:hint="eastAsia"/>
              </w:rPr>
              <w:t>)</w:t>
            </w:r>
          </w:p>
        </w:tc>
        <w:tc>
          <w:tcPr>
            <w:tcW w:w="3119" w:type="dxa"/>
          </w:tcPr>
          <w:p w14:paraId="53F017B6" w14:textId="77777777" w:rsidR="00270A85" w:rsidRPr="00BC31E0" w:rsidRDefault="00270A85" w:rsidP="004736F2">
            <w:pPr>
              <w:jc w:val="center"/>
            </w:pPr>
            <w:r w:rsidRPr="00BC31E0">
              <w:rPr>
                <w:rFonts w:hint="eastAsia"/>
              </w:rPr>
              <w:t>長手方向</w:t>
            </w:r>
          </w:p>
        </w:tc>
        <w:tc>
          <w:tcPr>
            <w:tcW w:w="2126" w:type="dxa"/>
          </w:tcPr>
          <w:p w14:paraId="3CCA7B68" w14:textId="77777777" w:rsidR="00270A85" w:rsidRPr="00BC31E0" w:rsidRDefault="00270A85" w:rsidP="004736F2">
            <w:pPr>
              <w:jc w:val="center"/>
            </w:pPr>
            <w:r w:rsidRPr="00BC31E0">
              <w:rPr>
                <w:rFonts w:hint="eastAsia"/>
              </w:rPr>
              <w:t>周方向</w:t>
            </w:r>
          </w:p>
        </w:tc>
      </w:tr>
      <w:tr w:rsidR="00270A85" w:rsidRPr="00BC31E0" w14:paraId="51074742" w14:textId="77777777" w:rsidTr="004736F2">
        <w:trPr>
          <w:jc w:val="center"/>
        </w:trPr>
        <w:tc>
          <w:tcPr>
            <w:tcW w:w="2976" w:type="dxa"/>
          </w:tcPr>
          <w:p w14:paraId="29077395" w14:textId="77777777" w:rsidR="00270A85" w:rsidRPr="00BC31E0" w:rsidRDefault="00270A85" w:rsidP="004736F2">
            <w:pPr>
              <w:jc w:val="center"/>
            </w:pPr>
            <w:r w:rsidRPr="00BC31E0">
              <w:rPr>
                <w:rFonts w:ascii="Cambria Math" w:hAnsi="Cambria Math"/>
              </w:rPr>
              <w:t>24 mm</w:t>
            </w:r>
            <w:r w:rsidRPr="00BC31E0">
              <w:rPr>
                <w:rFonts w:hint="eastAsia"/>
              </w:rPr>
              <w:t>以下</w:t>
            </w:r>
          </w:p>
        </w:tc>
        <w:tc>
          <w:tcPr>
            <w:tcW w:w="3119" w:type="dxa"/>
          </w:tcPr>
          <w:p w14:paraId="1DE9EB9B" w14:textId="77777777" w:rsidR="00270A85" w:rsidRPr="00BC31E0" w:rsidRDefault="00A51873" w:rsidP="004736F2">
            <w:pPr>
              <w:jc w:val="center"/>
            </w:pPr>
            <m:oMath>
              <m:f>
                <m:fPr>
                  <m:type m:val="lin"/>
                  <m:ctrlPr>
                    <w:rPr>
                      <w:rFonts w:ascii="Cambria Math" w:hAnsi="Cambria Math"/>
                      <w:i/>
                    </w:rPr>
                  </m:ctrlPr>
                </m:fPr>
                <m:num>
                  <m:r>
                    <w:rPr>
                      <w:rFonts w:ascii="Cambria Math" w:hAnsi="Cambria Math"/>
                    </w:rPr>
                    <m:t>t</m:t>
                  </m:r>
                </m:num>
                <m:den>
                  <m:r>
                    <w:rPr>
                      <w:rFonts w:ascii="Cambria Math" w:hAnsi="Cambria Math"/>
                    </w:rPr>
                    <m:t xml:space="preserve">5 </m:t>
                  </m:r>
                </m:den>
              </m:f>
            </m:oMath>
            <w:r w:rsidR="00270A85" w:rsidRPr="00BC31E0">
              <w:rPr>
                <w:rFonts w:hint="eastAsia"/>
              </w:rPr>
              <w:t>と</w:t>
            </w:r>
            <w:r w:rsidR="00270A85" w:rsidRPr="00BC31E0">
              <w:rPr>
                <w:rFonts w:ascii="Cambria Math" w:hAnsi="Cambria Math"/>
              </w:rPr>
              <w:t>2.4 mm</w:t>
            </w:r>
            <w:r w:rsidR="00270A85" w:rsidRPr="00BC31E0">
              <w:rPr>
                <w:rFonts w:hint="eastAsia"/>
              </w:rPr>
              <w:t>の小さい方の値</w:t>
            </w:r>
          </w:p>
        </w:tc>
        <w:tc>
          <w:tcPr>
            <w:tcW w:w="2126" w:type="dxa"/>
          </w:tcPr>
          <w:p w14:paraId="32004FEF" w14:textId="77777777" w:rsidR="00270A85" w:rsidRPr="00BC31E0" w:rsidRDefault="00A51873" w:rsidP="004736F2">
            <w:pPr>
              <w:jc w:val="center"/>
              <w:rPr>
                <w:rFonts w:ascii="Cambria Math" w:hAnsi="Cambria Math"/>
                <w:i/>
              </w:rPr>
            </w:pPr>
            <m:oMathPara>
              <m:oMath>
                <m:f>
                  <m:fPr>
                    <m:type m:val="lin"/>
                    <m:ctrlPr>
                      <w:rPr>
                        <w:rFonts w:ascii="Cambria Math" w:hAnsi="Cambria Math"/>
                        <w:i/>
                      </w:rPr>
                    </m:ctrlPr>
                  </m:fPr>
                  <m:num>
                    <m:r>
                      <w:rPr>
                        <w:rFonts w:ascii="Cambria Math" w:hAnsi="Cambria Math"/>
                      </w:rPr>
                      <m:t>t</m:t>
                    </m:r>
                  </m:num>
                  <m:den>
                    <m:r>
                      <w:rPr>
                        <w:rFonts w:ascii="Cambria Math" w:hAnsi="Cambria Math"/>
                      </w:rPr>
                      <m:t>5</m:t>
                    </m:r>
                  </m:den>
                </m:f>
              </m:oMath>
            </m:oMathPara>
          </w:p>
        </w:tc>
      </w:tr>
      <w:tr w:rsidR="00270A85" w:rsidRPr="00BC31E0" w14:paraId="7A6BA127" w14:textId="77777777" w:rsidTr="004736F2">
        <w:trPr>
          <w:jc w:val="center"/>
        </w:trPr>
        <w:tc>
          <w:tcPr>
            <w:tcW w:w="2976" w:type="dxa"/>
          </w:tcPr>
          <w:p w14:paraId="1F459B1A" w14:textId="77777777" w:rsidR="00270A85" w:rsidRPr="00BC31E0" w:rsidRDefault="00270A85" w:rsidP="004736F2">
            <w:pPr>
              <w:jc w:val="center"/>
              <w:rPr>
                <w:rFonts w:ascii="Cambria Math" w:hAnsi="Cambria Math"/>
              </w:rPr>
            </w:pPr>
            <w:r w:rsidRPr="00BC31E0">
              <w:rPr>
                <w:rFonts w:ascii="Cambria Math" w:hAnsi="Cambria Math"/>
              </w:rPr>
              <w:t>24 mm</w:t>
            </w:r>
            <w:r w:rsidRPr="00BC31E0">
              <w:rPr>
                <w:rFonts w:ascii="Cambria Math" w:hAnsi="Cambria Math"/>
              </w:rPr>
              <w:t>を超え</w:t>
            </w:r>
            <w:r w:rsidRPr="00BC31E0">
              <w:rPr>
                <w:rFonts w:ascii="Cambria Math" w:hAnsi="Cambria Math"/>
              </w:rPr>
              <w:t>38 mm</w:t>
            </w:r>
            <w:r w:rsidRPr="00BC31E0">
              <w:rPr>
                <w:rFonts w:ascii="Cambria Math" w:hAnsi="Cambria Math"/>
              </w:rPr>
              <w:t>以下</w:t>
            </w:r>
          </w:p>
        </w:tc>
        <w:tc>
          <w:tcPr>
            <w:tcW w:w="3119" w:type="dxa"/>
          </w:tcPr>
          <w:p w14:paraId="4C5BEC0B" w14:textId="77777777" w:rsidR="00270A85" w:rsidRPr="00BC31E0" w:rsidRDefault="00270A85" w:rsidP="004736F2">
            <w:pPr>
              <w:jc w:val="center"/>
              <w:rPr>
                <w:rFonts w:ascii="Cambria Math" w:hAnsi="Cambria Math"/>
              </w:rPr>
            </w:pPr>
            <w:r w:rsidRPr="00BC31E0">
              <w:rPr>
                <w:rFonts w:ascii="Cambria Math" w:hAnsi="Cambria Math"/>
              </w:rPr>
              <w:t>2.4 mm</w:t>
            </w:r>
          </w:p>
        </w:tc>
        <w:tc>
          <w:tcPr>
            <w:tcW w:w="2126" w:type="dxa"/>
          </w:tcPr>
          <w:p w14:paraId="7D7B334A" w14:textId="77777777" w:rsidR="00270A85" w:rsidRPr="00BC31E0" w:rsidRDefault="00270A85" w:rsidP="004736F2">
            <w:pPr>
              <w:jc w:val="center"/>
              <w:rPr>
                <w:rFonts w:ascii="Cambria Math" w:hAnsi="Cambria Math"/>
              </w:rPr>
            </w:pPr>
            <w:r w:rsidRPr="00BC31E0">
              <w:rPr>
                <w:rFonts w:ascii="Cambria Math" w:hAnsi="Cambria Math"/>
              </w:rPr>
              <w:t>4.8 mm</w:t>
            </w:r>
          </w:p>
        </w:tc>
      </w:tr>
      <w:tr w:rsidR="00270A85" w:rsidRPr="00BC31E0" w14:paraId="3A9420D4" w14:textId="77777777" w:rsidTr="004736F2">
        <w:trPr>
          <w:jc w:val="center"/>
        </w:trPr>
        <w:tc>
          <w:tcPr>
            <w:tcW w:w="2976" w:type="dxa"/>
          </w:tcPr>
          <w:p w14:paraId="0E125E5D" w14:textId="77777777" w:rsidR="00270A85" w:rsidRPr="00BC31E0" w:rsidRDefault="00270A85" w:rsidP="004736F2">
            <w:pPr>
              <w:jc w:val="center"/>
              <w:rPr>
                <w:rFonts w:ascii="Cambria Math" w:hAnsi="Cambria Math"/>
              </w:rPr>
            </w:pPr>
            <w:r w:rsidRPr="00BC31E0">
              <w:rPr>
                <w:rFonts w:ascii="Cambria Math" w:hAnsi="Cambria Math"/>
              </w:rPr>
              <w:t>38 mm</w:t>
            </w:r>
            <w:r w:rsidRPr="00BC31E0">
              <w:rPr>
                <w:rFonts w:ascii="Cambria Math" w:hAnsi="Cambria Math"/>
              </w:rPr>
              <w:t>超え</w:t>
            </w:r>
          </w:p>
        </w:tc>
        <w:tc>
          <w:tcPr>
            <w:tcW w:w="3119" w:type="dxa"/>
          </w:tcPr>
          <w:p w14:paraId="71BADFBD" w14:textId="77777777" w:rsidR="00270A85" w:rsidRPr="00BC31E0" w:rsidRDefault="00270A85" w:rsidP="004736F2">
            <w:pPr>
              <w:jc w:val="center"/>
              <w:rPr>
                <w:rFonts w:ascii="Cambria Math" w:hAnsi="Cambria Math"/>
              </w:rPr>
            </w:pPr>
            <w:r w:rsidRPr="00BC31E0">
              <w:rPr>
                <w:rFonts w:ascii="Cambria Math" w:hAnsi="Cambria Math"/>
              </w:rPr>
              <w:t>2.4 mm</w:t>
            </w:r>
          </w:p>
        </w:tc>
        <w:tc>
          <w:tcPr>
            <w:tcW w:w="2126" w:type="dxa"/>
          </w:tcPr>
          <w:p w14:paraId="29263A37" w14:textId="77777777" w:rsidR="00270A85" w:rsidRPr="00BC31E0" w:rsidRDefault="00A51873" w:rsidP="004736F2">
            <w:pPr>
              <w:jc w:val="center"/>
              <w:rPr>
                <w:rFonts w:ascii="Cambria Math" w:hAnsi="Cambria Math"/>
              </w:rPr>
            </w:pPr>
            <m:oMath>
              <m:f>
                <m:fPr>
                  <m:type m:val="lin"/>
                  <m:ctrlPr>
                    <w:rPr>
                      <w:rFonts w:ascii="Cambria Math" w:hAnsi="Cambria Math"/>
                      <w:i/>
                    </w:rPr>
                  </m:ctrlPr>
                </m:fPr>
                <m:num>
                  <m:r>
                    <w:rPr>
                      <w:rFonts w:ascii="Cambria Math" w:hAnsi="Cambria Math"/>
                    </w:rPr>
                    <m:t>t</m:t>
                  </m:r>
                </m:num>
                <m:den>
                  <m:r>
                    <w:rPr>
                      <w:rFonts w:ascii="Cambria Math" w:hAnsi="Cambria Math"/>
                    </w:rPr>
                    <m:t>8</m:t>
                  </m:r>
                </m:den>
              </m:f>
            </m:oMath>
            <w:r w:rsidR="00270A85" w:rsidRPr="00BC31E0">
              <w:rPr>
                <w:rFonts w:ascii="Cambria Math" w:hAnsi="Cambria Math"/>
              </w:rPr>
              <w:t xml:space="preserve"> </w:t>
            </w:r>
            <w:r w:rsidR="00270A85" w:rsidRPr="00BC31E0">
              <w:rPr>
                <w:rFonts w:asciiTheme="minorHAnsi" w:hAnsiTheme="minorHAnsi"/>
              </w:rPr>
              <w:t>(</w:t>
            </w:r>
            <w:r w:rsidR="00270A85" w:rsidRPr="00BC31E0">
              <w:rPr>
                <w:rFonts w:ascii="Cambria Math" w:hAnsi="Cambria Math" w:hint="eastAsia"/>
              </w:rPr>
              <w:t>最大</w:t>
            </w:r>
            <w:r w:rsidR="00270A85" w:rsidRPr="00BC31E0">
              <w:rPr>
                <w:rFonts w:ascii="Cambria Math" w:hAnsi="Cambria Math"/>
              </w:rPr>
              <w:t>6 mm</w:t>
            </w:r>
            <w:r w:rsidR="00270A85" w:rsidRPr="00BC31E0">
              <w:rPr>
                <w:rFonts w:asciiTheme="minorHAnsi" w:hAnsiTheme="minorHAnsi"/>
              </w:rPr>
              <w:t>)</w:t>
            </w:r>
          </w:p>
        </w:tc>
      </w:tr>
    </w:tbl>
    <w:p w14:paraId="5FBC3E7A" w14:textId="77777777" w:rsidR="0014570B" w:rsidRPr="00BC31E0" w:rsidRDefault="0014570B" w:rsidP="002D26EF">
      <w:pPr>
        <w:pStyle w:val="5"/>
        <w:numPr>
          <w:ilvl w:val="0"/>
          <w:numId w:val="0"/>
        </w:numPr>
        <w:rPr>
          <w:rFonts w:ascii="ＭＳ 明朝" w:eastAsia="ＭＳ 明朝" w:hAnsi="ＭＳ 明朝"/>
          <w:b w:val="0"/>
          <w:bCs/>
        </w:rPr>
      </w:pPr>
    </w:p>
    <w:p w14:paraId="53B5C9E0" w14:textId="77777777" w:rsidR="009F644B" w:rsidRPr="00BC31E0" w:rsidRDefault="00270A85" w:rsidP="00736130">
      <w:pPr>
        <w:pStyle w:val="a4"/>
        <w:numPr>
          <w:ilvl w:val="0"/>
          <w:numId w:val="482"/>
        </w:numPr>
        <w:ind w:leftChars="0" w:left="454" w:hanging="454"/>
        <w:rPr>
          <w:rFonts w:ascii="ＭＳ 明朝" w:hAnsi="ＭＳ 明朝"/>
        </w:rPr>
      </w:pPr>
      <w:r w:rsidRPr="00BC31E0">
        <w:rPr>
          <w:rFonts w:asciiTheme="majorEastAsia" w:eastAsiaTheme="majorEastAsia" w:hAnsiTheme="majorEastAsia" w:hint="eastAsia"/>
          <w:b/>
        </w:rPr>
        <w:t>溶接が再スタートされる時の注意事項</w:t>
      </w:r>
      <w:r w:rsidRPr="00BC31E0">
        <w:rPr>
          <w:rFonts w:hint="eastAsia"/>
        </w:rPr>
        <w:t xml:space="preserve">　</w:t>
      </w:r>
      <w:r w:rsidRPr="00BC31E0">
        <w:rPr>
          <w:rFonts w:ascii="ＭＳ 明朝" w:hAnsi="ＭＳ 明朝" w:hint="eastAsia"/>
        </w:rPr>
        <w:t>溶接がなんらかの理由により停止する場合，再スタートする際，必要な溶解，溶込みを得るために特に注意する。</w:t>
      </w:r>
    </w:p>
    <w:p w14:paraId="000E8460" w14:textId="77777777" w:rsidR="009F644B" w:rsidRPr="00BC31E0" w:rsidRDefault="00270A85" w:rsidP="00736130">
      <w:pPr>
        <w:pStyle w:val="a4"/>
        <w:numPr>
          <w:ilvl w:val="0"/>
          <w:numId w:val="482"/>
        </w:numPr>
        <w:ind w:leftChars="0" w:left="454" w:hanging="454"/>
        <w:rPr>
          <w:rFonts w:ascii="ＭＳ 明朝" w:hAnsi="ＭＳ 明朝"/>
        </w:rPr>
      </w:pPr>
      <w:r w:rsidRPr="00BC31E0">
        <w:rPr>
          <w:rFonts w:asciiTheme="majorEastAsia" w:eastAsiaTheme="majorEastAsia" w:hAnsiTheme="majorEastAsia" w:hint="eastAsia"/>
          <w:b/>
        </w:rPr>
        <w:t>仮冶具とアークストライクの除去</w:t>
      </w:r>
      <w:r w:rsidRPr="00BC31E0">
        <w:rPr>
          <w:rFonts w:hint="eastAsia"/>
        </w:rPr>
        <w:t xml:space="preserve">　</w:t>
      </w:r>
      <w:r w:rsidRPr="00BC31E0">
        <w:rPr>
          <w:rFonts w:ascii="ＭＳ 明朝" w:hAnsi="ＭＳ 明朝" w:hint="eastAsia"/>
          <w:bCs/>
        </w:rPr>
        <w:t>仮冶具が取り除かれた範囲やアークストライクの発生した範囲は，グラインダーにて滑らかに仕上げ，</w:t>
      </w:r>
      <w:r w:rsidRPr="00BC31E0">
        <w:rPr>
          <w:rFonts w:asciiTheme="majorEastAsia" w:eastAsiaTheme="majorEastAsia" w:hAnsiTheme="majorEastAsia" w:hint="eastAsia"/>
          <w:b/>
        </w:rPr>
        <w:t>9.2.5 d)</w:t>
      </w:r>
      <w:r w:rsidRPr="00BC31E0">
        <w:rPr>
          <w:rFonts w:ascii="ＭＳ 明朝" w:hAnsi="ＭＳ 明朝" w:hint="eastAsia"/>
          <w:bCs/>
        </w:rPr>
        <w:t xml:space="preserve">に従って磁粉探傷法か液体浸透探傷法により検査する。欠陥除去後は，欠陥が取り除かれたことを確認するために再検査する。 </w:t>
      </w:r>
    </w:p>
    <w:p w14:paraId="47F8FCDD" w14:textId="77777777" w:rsidR="009F644B" w:rsidRPr="00BC31E0" w:rsidRDefault="00270A85" w:rsidP="00736130">
      <w:pPr>
        <w:pStyle w:val="a4"/>
        <w:numPr>
          <w:ilvl w:val="0"/>
          <w:numId w:val="482"/>
        </w:numPr>
        <w:ind w:leftChars="0" w:left="454" w:hanging="454"/>
        <w:rPr>
          <w:rFonts w:ascii="ＭＳ 明朝" w:hAnsi="ＭＳ 明朝"/>
        </w:rPr>
      </w:pPr>
      <w:r w:rsidRPr="00BC31E0">
        <w:rPr>
          <w:rFonts w:asciiTheme="majorEastAsia" w:eastAsiaTheme="majorEastAsia" w:hAnsiTheme="majorEastAsia" w:hint="eastAsia"/>
          <w:b/>
        </w:rPr>
        <w:t>ピーニング</w:t>
      </w:r>
      <w:r w:rsidRPr="00BC31E0">
        <w:rPr>
          <w:rFonts w:hint="eastAsia"/>
        </w:rPr>
        <w:t xml:space="preserve">　</w:t>
      </w:r>
      <w:r w:rsidRPr="00BC31E0">
        <w:rPr>
          <w:rFonts w:ascii="ＭＳ 明朝" w:hAnsi="ＭＳ 明朝" w:hint="eastAsia"/>
          <w:bCs/>
        </w:rPr>
        <w:t>管理されたピーニングは，ひずみ減少のために実施</w:t>
      </w:r>
      <w:r w:rsidR="00C157D7" w:rsidRPr="00BC31E0">
        <w:rPr>
          <w:rFonts w:ascii="ＭＳ 明朝" w:hAnsi="ＭＳ 明朝" w:hint="eastAsia"/>
          <w:bCs/>
        </w:rPr>
        <w:t>してもよい</w:t>
      </w:r>
      <w:r w:rsidRPr="00BC31E0">
        <w:rPr>
          <w:rFonts w:ascii="ＭＳ 明朝" w:hAnsi="ＭＳ 明朝" w:hint="eastAsia"/>
          <w:bCs/>
        </w:rPr>
        <w:t>。ピーニングは，後熱処理されなければ，ルート初層にも最終層にも実施</w:t>
      </w:r>
      <w:r w:rsidR="0078310A" w:rsidRPr="00BC31E0">
        <w:rPr>
          <w:rFonts w:ascii="ＭＳ 明朝" w:hAnsi="ＭＳ 明朝" w:hint="eastAsia"/>
          <w:bCs/>
        </w:rPr>
        <w:t>し</w:t>
      </w:r>
      <w:r w:rsidRPr="00BC31E0">
        <w:rPr>
          <w:rFonts w:ascii="ＭＳ 明朝" w:hAnsi="ＭＳ 明朝" w:hint="eastAsia"/>
          <w:bCs/>
        </w:rPr>
        <w:t>ない。</w:t>
      </w:r>
    </w:p>
    <w:p w14:paraId="360987A6" w14:textId="77777777" w:rsidR="00270A85" w:rsidRPr="00BC31E0" w:rsidRDefault="00270A85" w:rsidP="00736130">
      <w:pPr>
        <w:pStyle w:val="a4"/>
        <w:numPr>
          <w:ilvl w:val="0"/>
          <w:numId w:val="482"/>
        </w:numPr>
        <w:ind w:leftChars="0" w:left="454" w:hanging="454"/>
        <w:rPr>
          <w:rFonts w:ascii="ＭＳ 明朝" w:hAnsi="ＭＳ 明朝"/>
        </w:rPr>
      </w:pPr>
      <w:r w:rsidRPr="00BC31E0">
        <w:rPr>
          <w:rFonts w:asciiTheme="majorEastAsia" w:eastAsiaTheme="majorEastAsia" w:hAnsiTheme="majorEastAsia" w:hint="eastAsia"/>
          <w:b/>
        </w:rPr>
        <w:t>溶接士の登録マーキングと記録</w:t>
      </w:r>
      <w:r w:rsidRPr="00BC31E0">
        <w:rPr>
          <w:rFonts w:hAnsi="ＭＳ ゴシック" w:hint="eastAsia"/>
        </w:rPr>
        <w:t xml:space="preserve">　</w:t>
      </w:r>
      <w:r w:rsidRPr="00BC31E0">
        <w:rPr>
          <w:rFonts w:ascii="ＭＳ 明朝" w:hAnsi="ＭＳ 明朝" w:hint="eastAsia"/>
          <w:bCs/>
        </w:rPr>
        <w:t>溶接士の登録マーキングと記録は,次の</w:t>
      </w:r>
      <w:r w:rsidRPr="00BC31E0">
        <w:rPr>
          <w:rFonts w:asciiTheme="majorEastAsia" w:eastAsiaTheme="majorEastAsia" w:hAnsiTheme="majorEastAsia" w:hint="eastAsia"/>
          <w:b/>
        </w:rPr>
        <w:t>1)</w:t>
      </w:r>
      <w:r w:rsidRPr="00BC31E0">
        <w:rPr>
          <w:rFonts w:ascii="ＭＳ 明朝" w:hAnsi="ＭＳ 明朝" w:hint="eastAsia"/>
          <w:bCs/>
        </w:rPr>
        <w:t>～</w:t>
      </w:r>
      <w:r w:rsidRPr="00BC31E0">
        <w:rPr>
          <w:rFonts w:asciiTheme="majorEastAsia" w:eastAsiaTheme="majorEastAsia" w:hAnsiTheme="majorEastAsia" w:hint="eastAsia"/>
          <w:b/>
        </w:rPr>
        <w:t>3)</w:t>
      </w:r>
      <w:r w:rsidRPr="00BC31E0">
        <w:rPr>
          <w:rFonts w:ascii="ＭＳ 明朝" w:hAnsi="ＭＳ 明朝" w:hint="eastAsia"/>
          <w:bCs/>
        </w:rPr>
        <w:t>による。</w:t>
      </w:r>
    </w:p>
    <w:p w14:paraId="26A5B8DB" w14:textId="77777777" w:rsidR="00270A85" w:rsidRPr="00BC31E0" w:rsidRDefault="00270A85" w:rsidP="00736130">
      <w:pPr>
        <w:pStyle w:val="a4"/>
        <w:numPr>
          <w:ilvl w:val="0"/>
          <w:numId w:val="157"/>
        </w:numPr>
        <w:ind w:leftChars="0" w:left="738" w:hanging="454"/>
      </w:pPr>
      <w:r w:rsidRPr="00BC31E0">
        <w:t>各溶接士は，製作者によって与えられた登録番号，文字，シンボルを溶接線</w:t>
      </w:r>
      <w:r w:rsidRPr="00BC31E0">
        <w:t>(6 mm</w:t>
      </w:r>
      <w:r w:rsidRPr="00BC31E0">
        <w:t>以上の肉厚</w:t>
      </w:r>
      <w:r w:rsidRPr="00BC31E0">
        <w:t>)</w:t>
      </w:r>
      <w:r w:rsidRPr="00BC31E0">
        <w:t>に沿って</w:t>
      </w:r>
      <w:r w:rsidRPr="00BC31E0">
        <w:t>0.9 m</w:t>
      </w:r>
      <w:r w:rsidRPr="00BC31E0">
        <w:rPr>
          <w:rFonts w:ascii="Cambria Math" w:hAnsi="Cambria Math" w:hint="eastAsia"/>
        </w:rPr>
        <w:t>ごと</w:t>
      </w:r>
      <w:r w:rsidRPr="00BC31E0">
        <w:t>に示す。又は，溶接士によってなされた各溶接継手の記録を製作者が保持する。</w:t>
      </w:r>
    </w:p>
    <w:p w14:paraId="3EB18353" w14:textId="77777777" w:rsidR="00270A85" w:rsidRPr="00BC31E0" w:rsidRDefault="00270A85" w:rsidP="00736130">
      <w:pPr>
        <w:pStyle w:val="a4"/>
        <w:numPr>
          <w:ilvl w:val="0"/>
          <w:numId w:val="157"/>
        </w:numPr>
        <w:ind w:leftChars="0" w:left="738" w:hanging="454"/>
      </w:pPr>
      <w:r w:rsidRPr="00BC31E0">
        <w:rPr>
          <w:rFonts w:hint="eastAsia"/>
        </w:rPr>
        <w:t>複数の非耐圧部材取付け溶接が容器になされる場合，次のいずれかの条件を満たせば，各継手を溶接した溶接士を特定する必要はない。</w:t>
      </w:r>
    </w:p>
    <w:p w14:paraId="3B07D1DB" w14:textId="77777777" w:rsidR="00270A85" w:rsidRPr="00BC31E0" w:rsidRDefault="00270A85" w:rsidP="002D26EF">
      <w:pPr>
        <w:ind w:left="964" w:hanging="227"/>
      </w:pPr>
      <w:r w:rsidRPr="00BC31E0">
        <w:rPr>
          <w:rFonts w:hint="eastAsia"/>
        </w:rPr>
        <w:t>・それらの溶接を実施した溶接士が全て有資格者であることを証明できるように，溶接士を特定する要領を製作者の品質管理システムが含んでいる場合</w:t>
      </w:r>
    </w:p>
    <w:p w14:paraId="360A9C12" w14:textId="77777777" w:rsidR="00270A85" w:rsidRPr="00BC31E0" w:rsidRDefault="00270A85" w:rsidP="002D26EF">
      <w:pPr>
        <w:ind w:left="964" w:hanging="227"/>
      </w:pPr>
      <w:r w:rsidRPr="00BC31E0">
        <w:rPr>
          <w:rFonts w:hint="eastAsia"/>
        </w:rPr>
        <w:t>・各種の溶接が，全て同じタイプ，形状であり，同じ溶接施工要領で溶接されている場合</w:t>
      </w:r>
    </w:p>
    <w:p w14:paraId="50122C64" w14:textId="77777777" w:rsidR="00270A85" w:rsidRPr="00BC31E0" w:rsidRDefault="00270A85" w:rsidP="00736130">
      <w:pPr>
        <w:pStyle w:val="a4"/>
        <w:numPr>
          <w:ilvl w:val="0"/>
          <w:numId w:val="157"/>
        </w:numPr>
        <w:ind w:leftChars="0" w:left="738" w:hanging="454"/>
      </w:pPr>
      <w:r w:rsidRPr="00BC31E0">
        <w:rPr>
          <w:rFonts w:hint="eastAsia"/>
        </w:rPr>
        <w:t>製作者の品質管理システムでタック溶接が有資格の溶接士によってなされたことを証明できれば，最終耐圧溶接の一部となるタック溶接を施工する溶接士を最終的に記録に残す必要はない。</w:t>
      </w:r>
    </w:p>
    <w:p w14:paraId="643DC79A" w14:textId="77777777" w:rsidR="00270A85" w:rsidRPr="00BC31E0" w:rsidRDefault="00270A85" w:rsidP="002D26EF">
      <w:pPr>
        <w:pStyle w:val="3"/>
        <w:tabs>
          <w:tab w:val="clear" w:pos="284"/>
        </w:tabs>
      </w:pPr>
      <w:r w:rsidRPr="00BC31E0">
        <w:rPr>
          <w:rFonts w:hint="eastAsia"/>
        </w:rPr>
        <w:t>溶接欠陥の補修</w:t>
      </w:r>
    </w:p>
    <w:p w14:paraId="311F3F87" w14:textId="77777777" w:rsidR="00270A85" w:rsidRPr="00BC31E0" w:rsidRDefault="00270A85" w:rsidP="002D26EF">
      <w:pPr>
        <w:pStyle w:val="1110"/>
        <w:ind w:firstLine="210"/>
      </w:pPr>
      <w:r w:rsidRPr="00BC31E0">
        <w:rPr>
          <w:rFonts w:hint="eastAsia"/>
        </w:rPr>
        <w:t>溶接欠陥の補修は，次の</w:t>
      </w:r>
      <w:r w:rsidRPr="00BC31E0">
        <w:rPr>
          <w:rFonts w:ascii="ＭＳ ゴシック" w:hAnsi="ＭＳ ゴシック" w:hint="eastAsia"/>
          <w:b/>
        </w:rPr>
        <w:t>a)</w:t>
      </w:r>
      <w:r w:rsidRPr="00BC31E0">
        <w:rPr>
          <w:rFonts w:hint="eastAsia"/>
        </w:rPr>
        <w:t>～</w:t>
      </w:r>
      <w:r w:rsidRPr="00BC31E0">
        <w:rPr>
          <w:rFonts w:ascii="ＭＳ ゴシック" w:hAnsi="ＭＳ ゴシック" w:hint="eastAsia"/>
          <w:b/>
        </w:rPr>
        <w:t>e)</w:t>
      </w:r>
      <w:r w:rsidRPr="00BC31E0">
        <w:rPr>
          <w:rFonts w:hint="eastAsia"/>
        </w:rPr>
        <w:t>による。</w:t>
      </w:r>
    </w:p>
    <w:p w14:paraId="16D4FD0E" w14:textId="77777777" w:rsidR="002D5994" w:rsidRPr="00BC31E0" w:rsidRDefault="00270A85" w:rsidP="00736130">
      <w:pPr>
        <w:pStyle w:val="a4"/>
        <w:numPr>
          <w:ilvl w:val="0"/>
          <w:numId w:val="483"/>
        </w:numPr>
        <w:ind w:leftChars="0" w:left="454" w:hanging="454"/>
        <w:rPr>
          <w:rFonts w:ascii="ＭＳ 明朝" w:hAnsi="ＭＳ 明朝"/>
        </w:rPr>
      </w:pPr>
      <w:r w:rsidRPr="00BC31E0">
        <w:rPr>
          <w:rFonts w:asciiTheme="majorEastAsia" w:eastAsiaTheme="majorEastAsia" w:hAnsiTheme="majorEastAsia" w:hint="eastAsia"/>
          <w:b/>
        </w:rPr>
        <w:t>欠陥の除去</w:t>
      </w:r>
      <w:r w:rsidRPr="00BC31E0">
        <w:rPr>
          <w:rFonts w:hint="eastAsia"/>
        </w:rPr>
        <w:t xml:space="preserve">　</w:t>
      </w:r>
      <w:r w:rsidRPr="00BC31E0">
        <w:rPr>
          <w:rFonts w:asciiTheme="majorEastAsia" w:eastAsiaTheme="majorEastAsia" w:hAnsiTheme="majorEastAsia" w:hint="eastAsia"/>
          <w:b/>
        </w:rPr>
        <w:t>9.3</w:t>
      </w:r>
      <w:r w:rsidRPr="00BC31E0">
        <w:rPr>
          <w:rFonts w:ascii="ＭＳ 明朝" w:hAnsi="ＭＳ 明朝" w:hint="eastAsia"/>
        </w:rPr>
        <w:t>による検査や耐圧試験により検出された欠陥は，機械的方法やエアアークガウジングにより除去する。もし，エアアークガウジングが使われるならば，製作者は，その手順が材料に有害でないことを確認する。</w:t>
      </w:r>
    </w:p>
    <w:p w14:paraId="03FCC1DB" w14:textId="77777777" w:rsidR="002D5994" w:rsidRPr="00BC31E0" w:rsidRDefault="00270A85" w:rsidP="00736130">
      <w:pPr>
        <w:pStyle w:val="a4"/>
        <w:numPr>
          <w:ilvl w:val="0"/>
          <w:numId w:val="483"/>
        </w:numPr>
        <w:ind w:leftChars="0" w:left="454" w:hanging="454"/>
        <w:rPr>
          <w:rFonts w:ascii="ＭＳ 明朝" w:hAnsi="ＭＳ 明朝"/>
        </w:rPr>
      </w:pPr>
      <w:r w:rsidRPr="00BC31E0">
        <w:rPr>
          <w:rFonts w:asciiTheme="majorEastAsia" w:eastAsiaTheme="majorEastAsia" w:hAnsiTheme="majorEastAsia" w:hint="eastAsia"/>
          <w:b/>
        </w:rPr>
        <w:t>補修部分の再溶接</w:t>
      </w:r>
      <w:r w:rsidRPr="00BC31E0">
        <w:rPr>
          <w:rFonts w:hint="eastAsia"/>
        </w:rPr>
        <w:t xml:space="preserve">　</w:t>
      </w:r>
      <w:r w:rsidRPr="00BC31E0">
        <w:rPr>
          <w:rFonts w:ascii="ＭＳ 明朝" w:hAnsi="ＭＳ 明朝" w:hint="eastAsia"/>
          <w:bCs/>
        </w:rPr>
        <w:t>補修すべき範囲は，確認試験に合格した溶接施工方法を使用し，有資格者により再溶接する</w:t>
      </w:r>
      <w:r w:rsidRPr="00BC31E0">
        <w:rPr>
          <w:rFonts w:asciiTheme="minorHAnsi" w:hAnsiTheme="minorHAnsi"/>
          <w:bCs/>
        </w:rPr>
        <w:t>(</w:t>
      </w:r>
      <w:r w:rsidRPr="00BC31E0">
        <w:rPr>
          <w:rFonts w:asciiTheme="majorEastAsia" w:eastAsiaTheme="majorEastAsia" w:hAnsiTheme="majorEastAsia" w:hint="eastAsia"/>
          <w:b/>
        </w:rPr>
        <w:t>7.2.2</w:t>
      </w:r>
      <w:r w:rsidRPr="00BC31E0">
        <w:rPr>
          <w:rFonts w:ascii="ＭＳ 明朝" w:hAnsi="ＭＳ 明朝" w:hint="eastAsia"/>
          <w:bCs/>
        </w:rPr>
        <w:t>を参照</w:t>
      </w:r>
      <w:r w:rsidRPr="00BC31E0">
        <w:rPr>
          <w:rFonts w:asciiTheme="minorHAnsi" w:hAnsiTheme="minorHAnsi"/>
          <w:bCs/>
        </w:rPr>
        <w:t>)</w:t>
      </w:r>
      <w:r w:rsidRPr="00BC31E0">
        <w:rPr>
          <w:rFonts w:ascii="ＭＳ 明朝" w:hAnsi="ＭＳ 明朝" w:hint="eastAsia"/>
          <w:bCs/>
        </w:rPr>
        <w:t>。</w:t>
      </w:r>
    </w:p>
    <w:p w14:paraId="12A591C7" w14:textId="77777777" w:rsidR="002D5994" w:rsidRPr="00BC31E0" w:rsidRDefault="00270A85" w:rsidP="00736130">
      <w:pPr>
        <w:pStyle w:val="a4"/>
        <w:numPr>
          <w:ilvl w:val="0"/>
          <w:numId w:val="483"/>
        </w:numPr>
        <w:ind w:leftChars="0" w:left="454" w:hanging="454"/>
        <w:rPr>
          <w:rFonts w:ascii="ＭＳ 明朝" w:hAnsi="ＭＳ 明朝"/>
        </w:rPr>
      </w:pPr>
      <w:r w:rsidRPr="00BC31E0">
        <w:rPr>
          <w:rFonts w:asciiTheme="majorEastAsia" w:eastAsiaTheme="majorEastAsia" w:hAnsiTheme="majorEastAsia" w:hint="eastAsia"/>
          <w:b/>
        </w:rPr>
        <w:t>補修溶接の検査</w:t>
      </w:r>
      <w:r w:rsidRPr="00BC31E0">
        <w:rPr>
          <w:rFonts w:hint="eastAsia"/>
        </w:rPr>
        <w:t xml:space="preserve">　</w:t>
      </w:r>
      <w:r w:rsidRPr="00BC31E0">
        <w:rPr>
          <w:rFonts w:ascii="ＭＳ 明朝" w:hAnsi="ＭＳ 明朝" w:hint="eastAsia"/>
          <w:bCs/>
        </w:rPr>
        <w:t>補修溶接は本溶接の検査方法により再検査する。その検査にて満足な結果が得られなければ，その補修溶接は不合格となる。</w:t>
      </w:r>
    </w:p>
    <w:p w14:paraId="74D64101" w14:textId="77777777" w:rsidR="002D5994" w:rsidRPr="00BC31E0" w:rsidRDefault="00270A85" w:rsidP="00736130">
      <w:pPr>
        <w:pStyle w:val="a4"/>
        <w:numPr>
          <w:ilvl w:val="0"/>
          <w:numId w:val="483"/>
        </w:numPr>
        <w:ind w:leftChars="0" w:left="454" w:hanging="454"/>
        <w:rPr>
          <w:rFonts w:ascii="ＭＳ 明朝" w:hAnsi="ＭＳ 明朝"/>
        </w:rPr>
      </w:pPr>
      <w:r w:rsidRPr="00BC31E0">
        <w:rPr>
          <w:rFonts w:asciiTheme="majorEastAsia" w:eastAsiaTheme="majorEastAsia" w:hAnsiTheme="majorEastAsia" w:hint="eastAsia"/>
          <w:b/>
        </w:rPr>
        <w:t>補修溶接の後熱処理</w:t>
      </w:r>
      <w:r w:rsidRPr="00BC31E0">
        <w:rPr>
          <w:rFonts w:hint="eastAsia"/>
        </w:rPr>
        <w:t xml:space="preserve">　</w:t>
      </w:r>
      <w:r w:rsidRPr="00BC31E0">
        <w:rPr>
          <w:rFonts w:asciiTheme="majorEastAsia" w:eastAsiaTheme="majorEastAsia" w:hAnsiTheme="majorEastAsia" w:hint="eastAsia"/>
          <w:b/>
        </w:rPr>
        <w:t>7.4</w:t>
      </w:r>
      <w:r w:rsidRPr="00BC31E0">
        <w:rPr>
          <w:rFonts w:ascii="ＭＳ 明朝" w:hAnsi="ＭＳ 明朝" w:hint="eastAsia"/>
          <w:bCs/>
        </w:rPr>
        <w:t>の溶接後熱処理の要求事項は，全ての補修溶接にも適用する。</w:t>
      </w:r>
    </w:p>
    <w:p w14:paraId="5A88A8AA" w14:textId="77777777" w:rsidR="00270A85" w:rsidRPr="00BC31E0" w:rsidRDefault="00270A85" w:rsidP="00736130">
      <w:pPr>
        <w:pStyle w:val="a4"/>
        <w:numPr>
          <w:ilvl w:val="0"/>
          <w:numId w:val="483"/>
        </w:numPr>
        <w:ind w:leftChars="0" w:left="454" w:hanging="454"/>
        <w:rPr>
          <w:rFonts w:ascii="ＭＳ 明朝" w:hAnsi="ＭＳ 明朝"/>
        </w:rPr>
      </w:pPr>
      <w:r w:rsidRPr="00BC31E0">
        <w:rPr>
          <w:rFonts w:asciiTheme="majorEastAsia" w:eastAsiaTheme="majorEastAsia" w:hAnsiTheme="majorEastAsia" w:hint="eastAsia"/>
          <w:b/>
        </w:rPr>
        <w:t>補修の記録</w:t>
      </w:r>
      <w:r w:rsidRPr="00BC31E0">
        <w:rPr>
          <w:rFonts w:hint="eastAsia"/>
        </w:rPr>
        <w:t xml:space="preserve">　</w:t>
      </w:r>
      <w:r w:rsidRPr="00BC31E0">
        <w:rPr>
          <w:rFonts w:ascii="ＭＳ 明朝" w:hAnsi="ＭＳ 明朝" w:hint="eastAsia"/>
          <w:bCs/>
        </w:rPr>
        <w:t>全ての溶接補修は，製作者製作記録に残す。</w:t>
      </w:r>
    </w:p>
    <w:p w14:paraId="47BB71C7" w14:textId="77777777" w:rsidR="00D905C6" w:rsidRPr="00BC31E0" w:rsidRDefault="00D905C6" w:rsidP="002A7F7D">
      <w:pPr>
        <w:pStyle w:val="20"/>
        <w:tabs>
          <w:tab w:val="clear" w:pos="284"/>
        </w:tabs>
        <w:ind w:left="567" w:hanging="567"/>
      </w:pPr>
      <w:bookmarkStart w:id="71" w:name="_Toc357672103"/>
      <w:bookmarkStart w:id="72" w:name="_Toc120092537"/>
      <w:r w:rsidRPr="00BC31E0">
        <w:rPr>
          <w:rFonts w:hint="eastAsia"/>
        </w:rPr>
        <w:lastRenderedPageBreak/>
        <w:t>耐食クラッド，耐食肉盛溶接又は耐食ライニングに対する製作上の要求</w:t>
      </w:r>
      <w:bookmarkEnd w:id="71"/>
      <w:bookmarkEnd w:id="72"/>
    </w:p>
    <w:p w14:paraId="7D08A7F8" w14:textId="77777777" w:rsidR="00D905C6" w:rsidRPr="00BC31E0" w:rsidRDefault="00D905C6" w:rsidP="002A7F7D">
      <w:pPr>
        <w:pStyle w:val="3"/>
        <w:tabs>
          <w:tab w:val="clear" w:pos="284"/>
        </w:tabs>
        <w:ind w:left="794" w:hanging="794"/>
      </w:pPr>
      <w:r w:rsidRPr="00BC31E0">
        <w:rPr>
          <w:rFonts w:hint="eastAsia"/>
        </w:rPr>
        <w:t>適用範囲</w:t>
      </w:r>
    </w:p>
    <w:p w14:paraId="5020DCA3" w14:textId="77777777" w:rsidR="00D905C6" w:rsidRPr="00BC31E0" w:rsidRDefault="00D905C6" w:rsidP="00AE3167">
      <w:pPr>
        <w:pStyle w:val="1110"/>
        <w:ind w:firstLine="210"/>
      </w:pPr>
      <w:r w:rsidRPr="00BC31E0">
        <w:rPr>
          <w:rFonts w:hint="eastAsia"/>
        </w:rPr>
        <w:t>この規定は，耐食クラッド，耐食肉盛溶接又は耐食ライニングに適用する。強度向上の目的で胴の一部と見なされる初期応力を有するライニングは</w:t>
      </w:r>
      <w:r w:rsidRPr="00BC31E0">
        <w:rPr>
          <w:rFonts w:ascii="ＭＳ ゴシック" w:eastAsia="ＭＳ ゴシック" w:hAnsi="ＭＳ ゴシック" w:hint="eastAsia"/>
          <w:b/>
          <w:bCs/>
        </w:rPr>
        <w:t>7.8</w:t>
      </w:r>
      <w:r w:rsidRPr="00BC31E0">
        <w:rPr>
          <w:rFonts w:hint="eastAsia"/>
        </w:rPr>
        <w:t>による。適用範囲は，次の</w:t>
      </w:r>
      <w:r w:rsidRPr="00BC31E0">
        <w:rPr>
          <w:rFonts w:ascii="ＭＳ ゴシック" w:hAnsi="ＭＳ ゴシック" w:hint="eastAsia"/>
          <w:b/>
        </w:rPr>
        <w:t xml:space="preserve">a) </w:t>
      </w:r>
      <w:r w:rsidRPr="00BC31E0">
        <w:rPr>
          <w:rFonts w:hint="eastAsia"/>
        </w:rPr>
        <w:t>，</w:t>
      </w:r>
      <w:r w:rsidRPr="00BC31E0">
        <w:rPr>
          <w:rFonts w:ascii="ＭＳ ゴシック" w:hAnsi="ＭＳ ゴシック" w:hint="eastAsia"/>
          <w:b/>
        </w:rPr>
        <w:t>b)</w:t>
      </w:r>
      <w:r w:rsidRPr="00BC31E0">
        <w:rPr>
          <w:rFonts w:ascii="ＭＳ ゴシック" w:hAnsi="ＭＳ ゴシック" w:hint="eastAsia"/>
        </w:rPr>
        <w:t xml:space="preserve"> </w:t>
      </w:r>
      <w:r w:rsidRPr="00BC31E0">
        <w:rPr>
          <w:rFonts w:hint="eastAsia"/>
        </w:rPr>
        <w:t>による。</w:t>
      </w:r>
    </w:p>
    <w:p w14:paraId="17BD49AF" w14:textId="77777777" w:rsidR="005F76D4" w:rsidRPr="00BC31E0" w:rsidRDefault="00D905C6" w:rsidP="00736130">
      <w:pPr>
        <w:pStyle w:val="a4"/>
        <w:numPr>
          <w:ilvl w:val="0"/>
          <w:numId w:val="484"/>
        </w:numPr>
        <w:ind w:leftChars="0" w:left="454" w:hanging="454"/>
        <w:rPr>
          <w:rFonts w:ascii="ＭＳ 明朝" w:hAnsi="ＭＳ 明朝"/>
          <w:b/>
        </w:rPr>
      </w:pPr>
      <w:r w:rsidRPr="00BC31E0">
        <w:rPr>
          <w:rFonts w:asciiTheme="majorEastAsia" w:eastAsiaTheme="majorEastAsia" w:hAnsiTheme="majorEastAsia" w:hint="eastAsia"/>
          <w:b/>
        </w:rPr>
        <w:t>許容される継手形状</w:t>
      </w:r>
      <w:r w:rsidRPr="00BC31E0">
        <w:rPr>
          <w:rFonts w:hint="eastAsia"/>
        </w:rPr>
        <w:t xml:space="preserve">　</w:t>
      </w:r>
      <w:r w:rsidRPr="00BC31E0">
        <w:rPr>
          <w:rFonts w:ascii="ＭＳ 明朝" w:hAnsi="ＭＳ 明朝" w:hint="eastAsia"/>
        </w:rPr>
        <w:t>耐食金属と母材の溶融により作られる脆性的な成分を最小限に押えるような継手形状と溶接施工方法を用いる。</w:t>
      </w:r>
    </w:p>
    <w:p w14:paraId="53C08AB3" w14:textId="77777777" w:rsidR="00D905C6" w:rsidRPr="00BC31E0" w:rsidRDefault="00D905C6" w:rsidP="00736130">
      <w:pPr>
        <w:pStyle w:val="a4"/>
        <w:numPr>
          <w:ilvl w:val="0"/>
          <w:numId w:val="484"/>
        </w:numPr>
        <w:ind w:leftChars="0" w:left="454" w:hanging="454"/>
        <w:rPr>
          <w:rFonts w:ascii="ＭＳ 明朝" w:hAnsi="ＭＳ 明朝"/>
          <w:b/>
        </w:rPr>
      </w:pPr>
      <w:r w:rsidRPr="00BC31E0">
        <w:rPr>
          <w:rFonts w:asciiTheme="majorEastAsia" w:eastAsiaTheme="majorEastAsia" w:hAnsiTheme="majorEastAsia" w:hint="eastAsia"/>
          <w:b/>
          <w:bCs/>
        </w:rPr>
        <w:t>溶接金属の成分</w:t>
      </w:r>
      <w:r w:rsidRPr="00BC31E0">
        <w:rPr>
          <w:rFonts w:hint="eastAsia"/>
          <w:bCs/>
        </w:rPr>
        <w:t xml:space="preserve">　</w:t>
      </w:r>
      <w:r w:rsidRPr="00BC31E0">
        <w:rPr>
          <w:rFonts w:asciiTheme="minorHAnsi" w:eastAsiaTheme="minorEastAsia" w:hAnsiTheme="minorEastAsia"/>
          <w:bCs/>
        </w:rPr>
        <w:t>圧力容器の内容物による腐食作用を受ける溶接金属は，合せ材又はライニング材と同等の耐食性を有する必要がある。このため，原則として同一材料の溶接金属を使用するが，機械的性質と耐食性が使用条件に</w:t>
      </w:r>
      <w:r w:rsidR="000A34D9" w:rsidRPr="00BC31E0">
        <w:rPr>
          <w:rFonts w:asciiTheme="minorHAnsi" w:eastAsiaTheme="minorEastAsia" w:hAnsiTheme="minorEastAsia" w:hint="eastAsia"/>
          <w:bCs/>
        </w:rPr>
        <w:t>対して</w:t>
      </w:r>
      <w:r w:rsidRPr="00BC31E0">
        <w:rPr>
          <w:rFonts w:asciiTheme="minorHAnsi" w:eastAsiaTheme="minorEastAsia" w:hAnsiTheme="minorEastAsia"/>
          <w:bCs/>
        </w:rPr>
        <w:t>十分</w:t>
      </w:r>
      <w:r w:rsidR="008C7B9E" w:rsidRPr="00BC31E0">
        <w:rPr>
          <w:rFonts w:asciiTheme="minorHAnsi" w:eastAsiaTheme="minorEastAsia" w:hAnsiTheme="minorEastAsia" w:hint="eastAsia"/>
          <w:bCs/>
        </w:rPr>
        <w:t>な</w:t>
      </w:r>
      <w:r w:rsidR="009156F5" w:rsidRPr="00BC31E0">
        <w:rPr>
          <w:rFonts w:asciiTheme="minorHAnsi" w:eastAsiaTheme="minorEastAsia" w:hAnsiTheme="minorEastAsia" w:hint="eastAsia"/>
          <w:bCs/>
        </w:rPr>
        <w:t>特性を有する</w:t>
      </w:r>
      <w:r w:rsidRPr="00BC31E0">
        <w:rPr>
          <w:rFonts w:asciiTheme="minorHAnsi" w:eastAsiaTheme="minorEastAsia" w:hAnsiTheme="minorEastAsia"/>
          <w:bCs/>
        </w:rPr>
        <w:t>場合には，他の成分の溶接金属でもよい。コロンビウムで安定化したオーステナイト系ステンレス鋼溶接金属のコロンビウム含有量は，</w:t>
      </w:r>
      <w:r w:rsidR="00A24483" w:rsidRPr="00BC31E0">
        <w:rPr>
          <w:rFonts w:asciiTheme="minorHAnsi" w:eastAsiaTheme="minorEastAsia" w:hAnsiTheme="minorHAnsi"/>
        </w:rPr>
        <w:t>1.00%</w:t>
      </w:r>
      <w:r w:rsidRPr="00BC31E0">
        <w:rPr>
          <w:rFonts w:asciiTheme="minorHAnsi" w:eastAsiaTheme="minorEastAsia" w:hAnsiTheme="minorEastAsia"/>
          <w:bCs/>
        </w:rPr>
        <w:t>を超えてはならない。ただし，溶接される材料によって，高いコロンビウム含有量が許容されている場合を除く。母材に溶接する場合には，</w:t>
      </w:r>
      <w:r w:rsidRPr="00BC31E0">
        <w:rPr>
          <w:rFonts w:asciiTheme="minorHAnsi" w:eastAsiaTheme="minorEastAsia" w:hAnsiTheme="minorHAnsi"/>
          <w:bCs/>
        </w:rPr>
        <w:t>400</w:t>
      </w:r>
      <w:r w:rsidRPr="00BC31E0">
        <w:rPr>
          <w:rFonts w:asciiTheme="minorHAnsi" w:eastAsiaTheme="minorEastAsia" w:hAnsiTheme="minorEastAsia"/>
          <w:bCs/>
        </w:rPr>
        <w:t>系合金の溶加材は使用</w:t>
      </w:r>
      <w:r w:rsidR="000109F9" w:rsidRPr="00BC31E0">
        <w:rPr>
          <w:rFonts w:asciiTheme="minorHAnsi" w:eastAsiaTheme="minorEastAsia" w:hAnsiTheme="minorEastAsia" w:hint="eastAsia"/>
          <w:bCs/>
        </w:rPr>
        <w:t>し</w:t>
      </w:r>
      <w:r w:rsidRPr="00BC31E0">
        <w:rPr>
          <w:rFonts w:asciiTheme="minorHAnsi" w:eastAsiaTheme="minorEastAsia" w:hAnsiTheme="minorEastAsia"/>
          <w:bCs/>
        </w:rPr>
        <w:t>ない。</w:t>
      </w:r>
    </w:p>
    <w:p w14:paraId="1C95E3D9" w14:textId="77777777" w:rsidR="00D905C6" w:rsidRPr="00BC31E0" w:rsidRDefault="00D905C6" w:rsidP="00661282">
      <w:pPr>
        <w:pStyle w:val="3"/>
        <w:tabs>
          <w:tab w:val="clear" w:pos="284"/>
        </w:tabs>
        <w:ind w:left="794" w:hanging="794"/>
      </w:pPr>
      <w:r w:rsidRPr="00BC31E0">
        <w:rPr>
          <w:rFonts w:hint="eastAsia"/>
        </w:rPr>
        <w:t>溶接施工方法の確認</w:t>
      </w:r>
    </w:p>
    <w:p w14:paraId="3D52C81C" w14:textId="77777777" w:rsidR="00D905C6" w:rsidRPr="00BC31E0" w:rsidRDefault="00D905C6" w:rsidP="00AE3167">
      <w:pPr>
        <w:pStyle w:val="1110"/>
        <w:ind w:firstLine="210"/>
      </w:pPr>
      <w:r w:rsidRPr="00BC31E0">
        <w:rPr>
          <w:bCs/>
        </w:rPr>
        <w:t>ステンレス</w:t>
      </w:r>
      <w:r w:rsidRPr="00BC31E0">
        <w:t>クラッド鋼の溶接施工は</w:t>
      </w:r>
      <w:r w:rsidRPr="00BC31E0">
        <w:rPr>
          <w:rFonts w:ascii="ＭＳ ゴシック" w:eastAsia="ＭＳ ゴシック" w:hAnsi="ＭＳ ゴシック"/>
          <w:b/>
        </w:rPr>
        <w:t>JIS B 8266</w:t>
      </w:r>
      <w:r w:rsidRPr="00BC31E0">
        <w:rPr>
          <w:rFonts w:ascii="ＭＳ ゴシック" w:eastAsia="ＭＳ ゴシック" w:hAnsi="ＭＳ ゴシック" w:hint="eastAsia"/>
          <w:b/>
        </w:rPr>
        <w:t xml:space="preserve"> </w:t>
      </w:r>
      <w:r w:rsidRPr="00BC31E0">
        <w:rPr>
          <w:rFonts w:ascii="ＭＳ ゴシック" w:eastAsia="ＭＳ ゴシック" w:hAnsi="ＭＳ ゴシック"/>
          <w:b/>
        </w:rPr>
        <w:t>附属書13</w:t>
      </w:r>
      <w:r w:rsidRPr="00BC31E0">
        <w:t>の</w:t>
      </w:r>
      <w:r w:rsidRPr="00BC31E0">
        <w:rPr>
          <w:rFonts w:ascii="ＭＳ ゴシック" w:eastAsia="ＭＳ ゴシック" w:hAnsi="ＭＳ ゴシック"/>
          <w:b/>
        </w:rPr>
        <w:t>3.4</w:t>
      </w:r>
      <w:r w:rsidRPr="00BC31E0">
        <w:t>に従って行い，溶接施工方法は</w:t>
      </w:r>
      <w:r w:rsidRPr="00BC31E0">
        <w:rPr>
          <w:rFonts w:hint="eastAsia"/>
        </w:rPr>
        <w:t>，次の</w:t>
      </w:r>
      <w:r w:rsidRPr="00BC31E0">
        <w:rPr>
          <w:rFonts w:ascii="ＭＳ ゴシック" w:hAnsi="ＭＳ ゴシック" w:hint="eastAsia"/>
          <w:b/>
        </w:rPr>
        <w:t>a)</w:t>
      </w:r>
      <w:r w:rsidRPr="00BC31E0">
        <w:rPr>
          <w:rFonts w:hint="eastAsia"/>
        </w:rPr>
        <w:t>，</w:t>
      </w:r>
      <w:r w:rsidRPr="00BC31E0">
        <w:rPr>
          <w:rFonts w:ascii="ＭＳ ゴシック" w:hAnsi="ＭＳ ゴシック" w:hint="eastAsia"/>
          <w:b/>
        </w:rPr>
        <w:t>b)</w:t>
      </w:r>
      <w:r w:rsidRPr="00BC31E0">
        <w:rPr>
          <w:rFonts w:hint="eastAsia"/>
        </w:rPr>
        <w:t>に従って</w:t>
      </w:r>
      <w:r w:rsidRPr="00BC31E0">
        <w:t>詳細に記録</w:t>
      </w:r>
      <w:r w:rsidRPr="00BC31E0">
        <w:rPr>
          <w:rFonts w:hint="eastAsia"/>
        </w:rPr>
        <w:t>する</w:t>
      </w:r>
      <w:r w:rsidRPr="00BC31E0">
        <w:t>。</w:t>
      </w:r>
    </w:p>
    <w:p w14:paraId="2BD3B091" w14:textId="77777777" w:rsidR="00543B4C" w:rsidRPr="00BC31E0" w:rsidRDefault="00D905C6" w:rsidP="00736130">
      <w:pPr>
        <w:pStyle w:val="a4"/>
        <w:numPr>
          <w:ilvl w:val="0"/>
          <w:numId w:val="485"/>
        </w:numPr>
        <w:ind w:leftChars="0" w:left="454" w:hanging="454"/>
        <w:rPr>
          <w:rFonts w:ascii="ＭＳ 明朝" w:hAnsi="ＭＳ 明朝"/>
          <w:b/>
        </w:rPr>
      </w:pPr>
      <w:r w:rsidRPr="00BC31E0">
        <w:rPr>
          <w:rFonts w:asciiTheme="majorEastAsia" w:eastAsiaTheme="majorEastAsia" w:hAnsiTheme="majorEastAsia" w:hint="eastAsia"/>
          <w:b/>
        </w:rPr>
        <w:t>ライニングの取付け</w:t>
      </w:r>
      <w:r w:rsidRPr="00BC31E0">
        <w:rPr>
          <w:rFonts w:hint="eastAsia"/>
        </w:rPr>
        <w:t xml:space="preserve">　</w:t>
      </w:r>
      <w:r w:rsidRPr="00BC31E0">
        <w:rPr>
          <w:rFonts w:ascii="ＭＳ 明朝" w:hAnsi="ＭＳ 明朝" w:hint="eastAsia"/>
        </w:rPr>
        <w:t>ライニング材を母材に取付ける溶接は，溶接施工方法</w:t>
      </w:r>
      <w:r w:rsidR="00A82C2A" w:rsidRPr="00BC31E0">
        <w:rPr>
          <w:rFonts w:ascii="ＭＳ 明朝" w:hAnsi="ＭＳ 明朝" w:hint="eastAsia"/>
        </w:rPr>
        <w:t>ごと</w:t>
      </w:r>
      <w:r w:rsidRPr="00BC31E0">
        <w:rPr>
          <w:rFonts w:ascii="ＭＳ 明朝" w:hAnsi="ＭＳ 明朝" w:hint="eastAsia"/>
        </w:rPr>
        <w:t>に実際の製作に用いる方法と同一要領</w:t>
      </w:r>
      <w:r w:rsidR="00F9148E" w:rsidRPr="00BC31E0">
        <w:rPr>
          <w:rFonts w:ascii="ＭＳ 明朝" w:hAnsi="ＭＳ 明朝" w:hint="eastAsia"/>
        </w:rPr>
        <w:t>とし</w:t>
      </w:r>
      <w:r w:rsidRPr="00BC31E0">
        <w:rPr>
          <w:rFonts w:ascii="ＭＳ 明朝" w:hAnsi="ＭＳ 明朝" w:hint="eastAsia"/>
        </w:rPr>
        <w:t>，母材，ライニング及び溶接金属にそれぞれ用いる材料の化学成分がいずれも実際の製作に用いる材料の範囲内のものを用いて，ライニング取付け溶接に対する溶接施工方法の確認試験を行う。これは実際の製作に用いる溶接姿勢</w:t>
      </w:r>
      <w:r w:rsidR="00A82C2A" w:rsidRPr="00BC31E0">
        <w:rPr>
          <w:rFonts w:ascii="ＭＳ 明朝" w:hAnsi="ＭＳ 明朝" w:hint="eastAsia"/>
        </w:rPr>
        <w:t>ごと</w:t>
      </w:r>
      <w:r w:rsidRPr="00BC31E0">
        <w:rPr>
          <w:rFonts w:ascii="ＭＳ 明朝" w:hAnsi="ＭＳ 明朝" w:hint="eastAsia"/>
        </w:rPr>
        <w:t>に行い，圧力容器の溶接施工方法の確認試験</w:t>
      </w:r>
      <w:r w:rsidR="00A82C2A" w:rsidRPr="00BC31E0">
        <w:rPr>
          <w:rFonts w:ascii="ＭＳ 明朝" w:hAnsi="ＭＳ 明朝" w:hint="eastAsia"/>
        </w:rPr>
        <w:t>ごと</w:t>
      </w:r>
      <w:r w:rsidRPr="00BC31E0">
        <w:rPr>
          <w:rFonts w:ascii="ＭＳ 明朝" w:hAnsi="ＭＳ 明朝" w:hint="eastAsia"/>
        </w:rPr>
        <w:t>に試験片</w:t>
      </w:r>
      <w:r w:rsidRPr="00BC31E0">
        <w:rPr>
          <w:sz w:val="22"/>
          <w:szCs w:val="22"/>
        </w:rPr>
        <w:t>1</w:t>
      </w:r>
      <w:r w:rsidRPr="00BC31E0">
        <w:rPr>
          <w:rFonts w:ascii="ＭＳ 明朝" w:hAnsi="ＭＳ 明朝" w:hint="eastAsia"/>
        </w:rPr>
        <w:t>個を採取し，切断，研磨，エッチングし，溶接部と母材との境界がはっきり分かるようにする。溶接施工方法を確認するに当っては，試験片を，拡大鏡を使用せずに肉眼で見て，溶着が完全であり，溶着部及び熱影響部に割れがないことを示す。</w:t>
      </w:r>
    </w:p>
    <w:p w14:paraId="73296EB5" w14:textId="77777777" w:rsidR="00D905C6" w:rsidRPr="00BC31E0" w:rsidRDefault="00D905C6" w:rsidP="00736130">
      <w:pPr>
        <w:pStyle w:val="a4"/>
        <w:numPr>
          <w:ilvl w:val="0"/>
          <w:numId w:val="485"/>
        </w:numPr>
        <w:ind w:leftChars="0" w:left="454" w:hanging="454"/>
        <w:rPr>
          <w:rFonts w:ascii="ＭＳ 明朝" w:hAnsi="ＭＳ 明朝"/>
          <w:b/>
        </w:rPr>
      </w:pPr>
      <w:r w:rsidRPr="00BC31E0">
        <w:rPr>
          <w:rFonts w:asciiTheme="majorEastAsia" w:eastAsiaTheme="majorEastAsia" w:hAnsiTheme="majorEastAsia" w:hint="eastAsia"/>
          <w:b/>
        </w:rPr>
        <w:t>クラッド又は肉盛溶接に対する要求事項</w:t>
      </w:r>
      <w:r w:rsidRPr="00BC31E0">
        <w:rPr>
          <w:rFonts w:hint="eastAsia"/>
        </w:rPr>
        <w:t xml:space="preserve">　</w:t>
      </w:r>
      <w:r w:rsidRPr="00BC31E0">
        <w:rPr>
          <w:rFonts w:ascii="ＭＳ 明朝" w:hAnsi="ＭＳ 明朝" w:hint="eastAsia"/>
          <w:bCs/>
        </w:rPr>
        <w:t>クラッド又は肉盛溶接に対する要求事項は，次の</w:t>
      </w:r>
      <w:r w:rsidRPr="00BC31E0">
        <w:rPr>
          <w:rFonts w:asciiTheme="majorEastAsia" w:eastAsiaTheme="majorEastAsia" w:hAnsiTheme="majorEastAsia" w:hint="eastAsia"/>
          <w:b/>
        </w:rPr>
        <w:t>1)</w:t>
      </w:r>
      <w:r w:rsidRPr="00BC31E0">
        <w:rPr>
          <w:rFonts w:ascii="ＭＳ 明朝" w:hAnsi="ＭＳ 明朝" w:hint="eastAsia"/>
          <w:bCs/>
        </w:rPr>
        <w:t>～</w:t>
      </w:r>
      <w:r w:rsidRPr="00BC31E0">
        <w:rPr>
          <w:rFonts w:asciiTheme="majorEastAsia" w:eastAsiaTheme="majorEastAsia" w:hAnsiTheme="majorEastAsia" w:hint="eastAsia"/>
          <w:b/>
        </w:rPr>
        <w:t>3)</w:t>
      </w:r>
      <w:r w:rsidRPr="00BC31E0">
        <w:rPr>
          <w:rFonts w:ascii="ＭＳ 明朝" w:hAnsi="ＭＳ 明朝" w:hint="eastAsia"/>
          <w:bCs/>
        </w:rPr>
        <w:t>による。</w:t>
      </w:r>
    </w:p>
    <w:p w14:paraId="17891343" w14:textId="77777777" w:rsidR="00543B4C" w:rsidRPr="00BC31E0" w:rsidRDefault="00D905C6" w:rsidP="00736130">
      <w:pPr>
        <w:pStyle w:val="a4"/>
        <w:numPr>
          <w:ilvl w:val="0"/>
          <w:numId w:val="486"/>
        </w:numPr>
        <w:ind w:leftChars="0" w:left="738" w:hanging="454"/>
        <w:rPr>
          <w:rFonts w:ascii="ＭＳ 明朝"/>
          <w:b/>
          <w:bCs/>
        </w:rPr>
      </w:pPr>
      <w:r w:rsidRPr="00BC31E0">
        <w:rPr>
          <w:rFonts w:asciiTheme="majorEastAsia" w:eastAsiaTheme="majorEastAsia" w:hAnsiTheme="majorEastAsia" w:hint="eastAsia"/>
          <w:b/>
        </w:rPr>
        <w:t>母材の開先溶接の確認</w:t>
      </w:r>
      <w:r w:rsidRPr="00BC31E0">
        <w:rPr>
          <w:rFonts w:asciiTheme="minorHAnsi" w:eastAsiaTheme="minorEastAsia" w:hAnsiTheme="minorEastAsia"/>
        </w:rPr>
        <w:t xml:space="preserve">　</w:t>
      </w:r>
      <w:r w:rsidRPr="00BC31E0">
        <w:rPr>
          <w:rFonts w:asciiTheme="minorHAnsi" w:eastAsiaTheme="minorEastAsia" w:hAnsiTheme="minorEastAsia"/>
          <w:bCs/>
        </w:rPr>
        <w:t>開先溶接は</w:t>
      </w:r>
      <w:r w:rsidRPr="00BC31E0">
        <w:rPr>
          <w:rFonts w:asciiTheme="majorEastAsia" w:eastAsiaTheme="majorEastAsia" w:hAnsiTheme="majorEastAsia"/>
          <w:b/>
        </w:rPr>
        <w:t>JIS B 8285</w:t>
      </w:r>
      <w:r w:rsidR="0093194F" w:rsidRPr="00BC31E0">
        <w:rPr>
          <w:rFonts w:asciiTheme="majorEastAsia" w:eastAsiaTheme="majorEastAsia" w:hAnsiTheme="majorEastAsia" w:hint="eastAsia"/>
          <w:b/>
        </w:rPr>
        <w:t xml:space="preserve"> </w:t>
      </w:r>
      <w:r w:rsidRPr="00BC31E0">
        <w:rPr>
          <w:rFonts w:asciiTheme="majorEastAsia" w:eastAsiaTheme="majorEastAsia" w:hAnsiTheme="majorEastAsia"/>
          <w:b/>
        </w:rPr>
        <w:t>附属書D</w:t>
      </w:r>
      <w:r w:rsidRPr="00BC31E0">
        <w:rPr>
          <w:rFonts w:asciiTheme="minorHAnsi" w:eastAsiaTheme="minorEastAsia" w:hAnsiTheme="minorEastAsia"/>
          <w:bCs/>
        </w:rPr>
        <w:t>の</w:t>
      </w:r>
      <w:r w:rsidRPr="00BC31E0">
        <w:rPr>
          <w:rFonts w:asciiTheme="majorEastAsia" w:eastAsiaTheme="majorEastAsia" w:hAnsiTheme="majorEastAsia"/>
          <w:b/>
        </w:rPr>
        <w:t>D.2</w:t>
      </w:r>
      <w:r w:rsidRPr="00BC31E0">
        <w:rPr>
          <w:rFonts w:asciiTheme="minorHAnsi" w:eastAsiaTheme="minorEastAsia" w:hAnsiTheme="minorEastAsia"/>
          <w:bCs/>
        </w:rPr>
        <w:t>又は</w:t>
      </w:r>
      <w:r w:rsidRPr="00BC31E0">
        <w:rPr>
          <w:rFonts w:asciiTheme="majorEastAsia" w:eastAsiaTheme="majorEastAsia" w:hAnsiTheme="majorEastAsia"/>
          <w:b/>
        </w:rPr>
        <w:t>D.3</w:t>
      </w:r>
      <w:r w:rsidRPr="00BC31E0">
        <w:rPr>
          <w:rFonts w:asciiTheme="minorHAnsi" w:eastAsiaTheme="minorEastAsia" w:hAnsiTheme="minorEastAsia"/>
          <w:bCs/>
        </w:rPr>
        <w:t>に従って確認試験を行う。</w:t>
      </w:r>
    </w:p>
    <w:p w14:paraId="00B4AE69" w14:textId="77777777" w:rsidR="00543B4C" w:rsidRPr="00BC31E0" w:rsidRDefault="00D905C6" w:rsidP="00736130">
      <w:pPr>
        <w:pStyle w:val="a4"/>
        <w:numPr>
          <w:ilvl w:val="0"/>
          <w:numId w:val="486"/>
        </w:numPr>
        <w:ind w:leftChars="0" w:left="738" w:hanging="454"/>
        <w:rPr>
          <w:rFonts w:ascii="ＭＳ 明朝"/>
          <w:b/>
          <w:bCs/>
        </w:rPr>
      </w:pPr>
      <w:r w:rsidRPr="00BC31E0">
        <w:rPr>
          <w:rFonts w:asciiTheme="majorEastAsia" w:eastAsiaTheme="majorEastAsia" w:hAnsiTheme="majorEastAsia" w:hint="eastAsia"/>
          <w:b/>
        </w:rPr>
        <w:t>確認試験の実施</w:t>
      </w:r>
      <w:r w:rsidRPr="00BC31E0">
        <w:rPr>
          <w:rFonts w:hint="eastAsia"/>
        </w:rPr>
        <w:t xml:space="preserve">　</w:t>
      </w:r>
      <w:r w:rsidRPr="00BC31E0">
        <w:rPr>
          <w:rFonts w:ascii="ＭＳ 明朝" w:hAnsi="ＭＳ 明朝" w:hint="eastAsia"/>
        </w:rPr>
        <w:t>溶接施工方法の確認試験は</w:t>
      </w:r>
      <w:r w:rsidRPr="00BC31E0">
        <w:rPr>
          <w:rFonts w:asciiTheme="majorEastAsia" w:eastAsiaTheme="majorEastAsia" w:hAnsiTheme="majorEastAsia" w:hint="eastAsia"/>
          <w:b/>
        </w:rPr>
        <w:t>JIS B 8285 附属書D</w:t>
      </w:r>
      <w:r w:rsidRPr="00BC31E0">
        <w:rPr>
          <w:rFonts w:ascii="ＭＳ 明朝" w:hAnsi="ＭＳ 明朝" w:hint="eastAsia"/>
        </w:rPr>
        <w:t>の</w:t>
      </w:r>
      <w:r w:rsidRPr="00BC31E0">
        <w:rPr>
          <w:rFonts w:asciiTheme="majorEastAsia" w:eastAsiaTheme="majorEastAsia" w:hAnsiTheme="majorEastAsia" w:hint="eastAsia"/>
          <w:b/>
        </w:rPr>
        <w:t>D.2</w:t>
      </w:r>
      <w:r w:rsidRPr="00BC31E0">
        <w:rPr>
          <w:rFonts w:ascii="ＭＳ 明朝" w:hAnsi="ＭＳ 明朝" w:hint="eastAsia"/>
        </w:rPr>
        <w:t>又は</w:t>
      </w:r>
      <w:r w:rsidRPr="00BC31E0">
        <w:rPr>
          <w:rFonts w:asciiTheme="majorEastAsia" w:eastAsiaTheme="majorEastAsia" w:hAnsiTheme="majorEastAsia" w:hint="eastAsia"/>
          <w:b/>
        </w:rPr>
        <w:t>D.</w:t>
      </w:r>
      <w:r w:rsidRPr="00BC31E0">
        <w:rPr>
          <w:rFonts w:asciiTheme="majorEastAsia" w:eastAsiaTheme="majorEastAsia" w:hAnsiTheme="majorEastAsia"/>
          <w:b/>
        </w:rPr>
        <w:t>3</w:t>
      </w:r>
      <w:r w:rsidRPr="00BC31E0">
        <w:rPr>
          <w:rFonts w:ascii="ＭＳ 明朝" w:hAnsi="ＭＳ 明朝" w:hint="eastAsia"/>
        </w:rPr>
        <w:t>，及び</w:t>
      </w:r>
      <w:r w:rsidRPr="00BC31E0">
        <w:rPr>
          <w:rFonts w:asciiTheme="majorEastAsia" w:eastAsiaTheme="majorEastAsia" w:hAnsiTheme="majorEastAsia" w:hint="eastAsia"/>
          <w:b/>
        </w:rPr>
        <w:t>7.3.2 b) 3)</w:t>
      </w:r>
      <w:r w:rsidRPr="00BC31E0">
        <w:rPr>
          <w:rFonts w:ascii="ＭＳ 明朝" w:hAnsi="ＭＳ 明朝" w:hint="eastAsia"/>
        </w:rPr>
        <w:t>に従って行う。</w:t>
      </w:r>
    </w:p>
    <w:p w14:paraId="2E93A70C" w14:textId="77777777" w:rsidR="00D905C6" w:rsidRPr="00BC31E0" w:rsidRDefault="00D905C6" w:rsidP="00736130">
      <w:pPr>
        <w:pStyle w:val="a4"/>
        <w:numPr>
          <w:ilvl w:val="0"/>
          <w:numId w:val="486"/>
        </w:numPr>
        <w:ind w:leftChars="0" w:left="738" w:hanging="454"/>
        <w:rPr>
          <w:rFonts w:ascii="ＭＳ 明朝"/>
          <w:b/>
          <w:bCs/>
        </w:rPr>
      </w:pPr>
      <w:r w:rsidRPr="00BC31E0">
        <w:rPr>
          <w:rFonts w:asciiTheme="majorEastAsia" w:eastAsiaTheme="majorEastAsia" w:hAnsiTheme="majorEastAsia" w:hint="eastAsia"/>
          <w:b/>
        </w:rPr>
        <w:t>試験片板</w:t>
      </w:r>
      <w:r w:rsidRPr="00BC31E0">
        <w:rPr>
          <w:rFonts w:hint="eastAsia"/>
        </w:rPr>
        <w:t xml:space="preserve">　</w:t>
      </w:r>
      <w:r w:rsidRPr="00BC31E0">
        <w:rPr>
          <w:rFonts w:ascii="ＭＳ 明朝" w:hAnsi="ＭＳ 明朝" w:hint="eastAsia"/>
        </w:rPr>
        <w:t>母材と同じ</w:t>
      </w:r>
      <w:r w:rsidRPr="00BC31E0">
        <w:t>P</w:t>
      </w:r>
      <w:r w:rsidRPr="00BC31E0">
        <w:rPr>
          <w:rFonts w:ascii="ＭＳ 明朝" w:hAnsi="ＭＳ 明朝" w:hint="eastAsia"/>
        </w:rPr>
        <w:t>番号を持つクラッド又は肉盛溶接から，試験材料を準備する。クラッド又は肉盛溶接の試験で使用する溶接材料は，実際の製作時に使用される溶接材料と同じ</w:t>
      </w:r>
      <w:r w:rsidRPr="00BC31E0">
        <w:t>F</w:t>
      </w:r>
      <w:r w:rsidRPr="00BC31E0">
        <w:rPr>
          <w:rFonts w:ascii="ＭＳ 明朝" w:hAnsi="ＭＳ 明朝" w:hint="eastAsia"/>
        </w:rPr>
        <w:t>番号とする。クラッド又は肉盛溶接の試験で使用する溶接材料が</w:t>
      </w:r>
      <w:r w:rsidRPr="00BC31E0">
        <w:rPr>
          <w:rFonts w:asciiTheme="majorEastAsia" w:eastAsiaTheme="majorEastAsia" w:hAnsiTheme="majorEastAsia" w:hint="eastAsia"/>
          <w:b/>
        </w:rPr>
        <w:t>JIS B 8266</w:t>
      </w:r>
      <w:r w:rsidRPr="00BC31E0">
        <w:rPr>
          <w:rFonts w:hAnsi="ＭＳ ゴシック" w:hint="eastAsia"/>
        </w:rPr>
        <w:t xml:space="preserve"> </w:t>
      </w:r>
      <w:r w:rsidRPr="00BC31E0">
        <w:rPr>
          <w:rFonts w:asciiTheme="majorEastAsia" w:eastAsiaTheme="majorEastAsia" w:hAnsiTheme="majorEastAsia" w:hint="eastAsia"/>
          <w:b/>
        </w:rPr>
        <w:t>附属書</w:t>
      </w:r>
      <w:r w:rsidRPr="00BC31E0">
        <w:rPr>
          <w:rFonts w:asciiTheme="majorEastAsia" w:eastAsiaTheme="majorEastAsia" w:hAnsiTheme="majorEastAsia"/>
          <w:b/>
        </w:rPr>
        <w:t>13表1</w:t>
      </w:r>
      <w:r w:rsidRPr="00BC31E0">
        <w:rPr>
          <w:rFonts w:ascii="ＭＳ 明朝" w:hAnsi="ＭＳ 明朝" w:hint="eastAsia"/>
        </w:rPr>
        <w:t>に記載されていない場合には，圧力容器で使用されるものと同じ等級の材料で確認を行う。熱処理をする必要はないが，製作時に熱処理されるのであれば，熱処理を行ってもよい。なお，次の</w:t>
      </w:r>
      <w:r w:rsidRPr="00BC31E0">
        <w:rPr>
          <w:rFonts w:asciiTheme="majorEastAsia" w:eastAsiaTheme="majorEastAsia" w:hAnsiTheme="majorEastAsia" w:hint="eastAsia"/>
          <w:b/>
        </w:rPr>
        <w:t>3.1)</w:t>
      </w:r>
      <w:r w:rsidRPr="00BC31E0">
        <w:rPr>
          <w:rFonts w:ascii="ＭＳ 明朝" w:hAnsi="ＭＳ 明朝" w:hint="eastAsia"/>
        </w:rPr>
        <w:t>と</w:t>
      </w:r>
      <w:r w:rsidRPr="00BC31E0">
        <w:rPr>
          <w:rFonts w:asciiTheme="majorEastAsia" w:eastAsiaTheme="majorEastAsia" w:hAnsiTheme="majorEastAsia" w:hint="eastAsia"/>
          <w:b/>
        </w:rPr>
        <w:t>3.2)</w:t>
      </w:r>
      <w:r w:rsidRPr="00BC31E0">
        <w:rPr>
          <w:rFonts w:ascii="ＭＳ 明朝" w:hAnsi="ＭＳ 明朝" w:hint="eastAsia"/>
        </w:rPr>
        <w:t>の条件も満たす必要がある。</w:t>
      </w:r>
    </w:p>
    <w:p w14:paraId="717C33FA" w14:textId="77777777" w:rsidR="00E13A82" w:rsidRPr="00BC31E0" w:rsidRDefault="00D905C6" w:rsidP="00736130">
      <w:pPr>
        <w:pStyle w:val="a4"/>
        <w:numPr>
          <w:ilvl w:val="0"/>
          <w:numId w:val="487"/>
        </w:numPr>
        <w:ind w:leftChars="0" w:left="1134" w:hanging="567"/>
        <w:rPr>
          <w:rFonts w:hAnsiTheme="minorHAnsi"/>
        </w:rPr>
      </w:pPr>
      <w:r w:rsidRPr="00BC31E0">
        <w:t>溶接方向に対し垂直に切断した試験片断面で，</w:t>
      </w:r>
      <w:r w:rsidR="00A24483" w:rsidRPr="00BC31E0">
        <w:rPr>
          <w:rFonts w:hAnsiTheme="minorHAnsi"/>
        </w:rPr>
        <w:t>3.2 mm</w:t>
      </w:r>
      <w:r w:rsidRPr="00BC31E0">
        <w:t>以上の融合不良がない。</w:t>
      </w:r>
    </w:p>
    <w:p w14:paraId="44E2E123" w14:textId="77777777" w:rsidR="00D905C6" w:rsidRPr="00BC31E0" w:rsidRDefault="00D905C6" w:rsidP="00736130">
      <w:pPr>
        <w:pStyle w:val="a4"/>
        <w:numPr>
          <w:ilvl w:val="0"/>
          <w:numId w:val="487"/>
        </w:numPr>
        <w:ind w:leftChars="0" w:left="1134" w:hanging="567"/>
        <w:rPr>
          <w:rFonts w:hAnsiTheme="minorHAnsi"/>
        </w:rPr>
      </w:pPr>
      <w:r w:rsidRPr="00BC31E0">
        <w:rPr>
          <w:rFonts w:asciiTheme="minorHAnsi" w:eastAsiaTheme="minorEastAsia" w:hAnsiTheme="minorEastAsia"/>
          <w:bCs/>
        </w:rPr>
        <w:lastRenderedPageBreak/>
        <w:t>非溶融のクラッドの全長が，溶接方向に垂直な試験片の長さの</w:t>
      </w:r>
      <w:r w:rsidR="00AE3167" w:rsidRPr="00BC31E0">
        <w:rPr>
          <w:rFonts w:asciiTheme="minorHAnsi" w:eastAsiaTheme="minorEastAsia" w:hAnsiTheme="minorHAnsi"/>
        </w:rPr>
        <w:t>10%</w:t>
      </w:r>
      <w:r w:rsidRPr="00BC31E0">
        <w:rPr>
          <w:rFonts w:asciiTheme="minorHAnsi" w:eastAsiaTheme="minorEastAsia" w:hAnsiTheme="minorEastAsia"/>
          <w:bCs/>
        </w:rPr>
        <w:t>を超えない。</w:t>
      </w:r>
    </w:p>
    <w:p w14:paraId="4EE3DFBE" w14:textId="77777777" w:rsidR="00D905C6" w:rsidRPr="00BC31E0" w:rsidRDefault="00D905C6" w:rsidP="00A624F0">
      <w:pPr>
        <w:pStyle w:val="3"/>
        <w:tabs>
          <w:tab w:val="clear" w:pos="284"/>
        </w:tabs>
        <w:ind w:left="794" w:hanging="794"/>
      </w:pPr>
      <w:r w:rsidRPr="00BC31E0">
        <w:rPr>
          <w:rFonts w:hint="eastAsia"/>
        </w:rPr>
        <w:t>クラッド</w:t>
      </w:r>
    </w:p>
    <w:p w14:paraId="170B68AC" w14:textId="77777777" w:rsidR="00D905C6" w:rsidRPr="00BC31E0" w:rsidRDefault="00D905C6" w:rsidP="00870658">
      <w:pPr>
        <w:pStyle w:val="1110"/>
        <w:ind w:firstLine="210"/>
      </w:pPr>
      <w:r w:rsidRPr="00BC31E0">
        <w:rPr>
          <w:rFonts w:hint="eastAsia"/>
        </w:rPr>
        <w:t>クラッドの場合には，せん断試験でせん断強さが</w:t>
      </w:r>
      <w:r w:rsidR="00AE3167" w:rsidRPr="00BC31E0">
        <w:rPr>
          <w:rFonts w:hint="eastAsia"/>
        </w:rPr>
        <w:t>140 MPa</w:t>
      </w:r>
      <w:r w:rsidRPr="00BC31E0">
        <w:rPr>
          <w:rFonts w:hint="eastAsia"/>
        </w:rPr>
        <w:t>以上あることを示す必要がある。</w:t>
      </w:r>
    </w:p>
    <w:p w14:paraId="2BBB507F" w14:textId="77777777" w:rsidR="00D905C6" w:rsidRPr="00BC31E0" w:rsidRDefault="00D905C6" w:rsidP="00A624F0">
      <w:pPr>
        <w:pStyle w:val="3"/>
        <w:tabs>
          <w:tab w:val="clear" w:pos="284"/>
        </w:tabs>
        <w:ind w:left="794" w:hanging="794"/>
      </w:pPr>
      <w:r w:rsidRPr="00BC31E0">
        <w:rPr>
          <w:rFonts w:hint="eastAsia"/>
        </w:rPr>
        <w:t>溶接後熱処理</w:t>
      </w:r>
    </w:p>
    <w:p w14:paraId="4C0BF2F3" w14:textId="77777777" w:rsidR="00D905C6" w:rsidRPr="00BC31E0" w:rsidRDefault="00D905C6" w:rsidP="00870658">
      <w:pPr>
        <w:pStyle w:val="1110"/>
        <w:ind w:firstLine="210"/>
      </w:pPr>
      <w:r w:rsidRPr="00BC31E0">
        <w:rPr>
          <w:rFonts w:hint="eastAsia"/>
        </w:rPr>
        <w:t>溶接後熱処理は，次の</w:t>
      </w:r>
      <w:r w:rsidRPr="00BC31E0">
        <w:rPr>
          <w:rFonts w:ascii="ＭＳ ゴシック" w:hAnsi="ＭＳ ゴシック" w:hint="eastAsia"/>
          <w:b/>
        </w:rPr>
        <w:t>a)</w:t>
      </w:r>
      <w:r w:rsidRPr="00BC31E0">
        <w:rPr>
          <w:rFonts w:hint="eastAsia"/>
        </w:rPr>
        <w:t>～</w:t>
      </w:r>
      <w:r w:rsidRPr="00BC31E0">
        <w:rPr>
          <w:rFonts w:ascii="ＭＳ ゴシック" w:hAnsi="ＭＳ ゴシック" w:hint="eastAsia"/>
          <w:b/>
        </w:rPr>
        <w:t>c)</w:t>
      </w:r>
      <w:r w:rsidRPr="00BC31E0">
        <w:rPr>
          <w:rFonts w:hint="eastAsia"/>
        </w:rPr>
        <w:t>による。</w:t>
      </w:r>
    </w:p>
    <w:p w14:paraId="017433D1" w14:textId="77777777" w:rsidR="003C236D" w:rsidRPr="00BC31E0" w:rsidRDefault="00D905C6" w:rsidP="00736130">
      <w:pPr>
        <w:pStyle w:val="a4"/>
        <w:numPr>
          <w:ilvl w:val="0"/>
          <w:numId w:val="488"/>
        </w:numPr>
        <w:ind w:leftChars="0" w:left="454" w:hanging="454"/>
        <w:rPr>
          <w:rFonts w:ascii="ＭＳ 明朝" w:hAnsi="ＭＳ 明朝"/>
        </w:rPr>
      </w:pPr>
      <w:r w:rsidRPr="00BC31E0">
        <w:rPr>
          <w:rFonts w:asciiTheme="majorEastAsia" w:eastAsiaTheme="majorEastAsia" w:hAnsiTheme="majorEastAsia" w:hint="eastAsia"/>
          <w:b/>
          <w:bCs/>
        </w:rPr>
        <w:t>母材の溶接後熱処理</w:t>
      </w:r>
      <w:r w:rsidRPr="00BC31E0">
        <w:rPr>
          <w:rFonts w:hint="eastAsia"/>
          <w:bCs/>
        </w:rPr>
        <w:t xml:space="preserve">　</w:t>
      </w:r>
      <w:r w:rsidRPr="00BC31E0">
        <w:rPr>
          <w:rFonts w:ascii="ＭＳ 明朝" w:hAnsi="ＭＳ 明朝" w:hint="eastAsia"/>
        </w:rPr>
        <w:t>母材の溶接後熱処理が要求される場合には，クラッド，肉盛溶接又はライニングで製作された圧力容器又は容器の部分は，溶接後熱処理を行う。溶接後熱処理条件を決める厚さは，母材の厚さを用いる。</w:t>
      </w:r>
    </w:p>
    <w:p w14:paraId="61F47CBD" w14:textId="77777777" w:rsidR="003C236D" w:rsidRPr="00BC31E0" w:rsidRDefault="00D905C6" w:rsidP="00736130">
      <w:pPr>
        <w:pStyle w:val="a4"/>
        <w:numPr>
          <w:ilvl w:val="0"/>
          <w:numId w:val="488"/>
        </w:numPr>
        <w:ind w:leftChars="0" w:left="454" w:hanging="454"/>
        <w:rPr>
          <w:rFonts w:ascii="ＭＳ 明朝" w:hAnsi="ＭＳ 明朝"/>
        </w:rPr>
      </w:pPr>
      <w:r w:rsidRPr="00BC31E0">
        <w:rPr>
          <w:rFonts w:asciiTheme="majorEastAsia" w:eastAsiaTheme="majorEastAsia" w:hAnsiTheme="majorEastAsia" w:hint="eastAsia"/>
          <w:b/>
          <w:bCs/>
        </w:rPr>
        <w:t>クロム系ステンレス鋼の場合</w:t>
      </w:r>
      <w:r w:rsidRPr="00BC31E0">
        <w:rPr>
          <w:rFonts w:hint="eastAsia"/>
        </w:rPr>
        <w:t xml:space="preserve">　</w:t>
      </w:r>
      <w:r w:rsidRPr="00BC31E0">
        <w:rPr>
          <w:rFonts w:ascii="ＭＳ 明朝" w:hAnsi="ＭＳ 明朝" w:hint="eastAsia"/>
        </w:rPr>
        <w:t>クラッド，肉盛溶接又はライニング材としてクロム系ステンレス鋼を使用した圧力容器又は容器の部分は厚さにかかわらず，</w:t>
      </w:r>
      <w:r w:rsidR="00DC160D" w:rsidRPr="00BC31E0">
        <w:rPr>
          <w:rFonts w:ascii="ＭＳ 明朝" w:hAnsi="ＭＳ 明朝" w:hint="eastAsia"/>
        </w:rPr>
        <w:t>全</w:t>
      </w:r>
      <w:r w:rsidRPr="00BC31E0">
        <w:rPr>
          <w:rFonts w:ascii="ＭＳ 明朝" w:hAnsi="ＭＳ 明朝" w:hint="eastAsia"/>
        </w:rPr>
        <w:t>て溶接後熱処理を行う。ただし，</w:t>
      </w:r>
      <w:r w:rsidRPr="00BC31E0">
        <w:t>SUS 405</w:t>
      </w:r>
      <w:r w:rsidRPr="00BC31E0">
        <w:rPr>
          <w:rFonts w:ascii="ＭＳ 明朝" w:hAnsi="ＭＳ 明朝" w:hint="eastAsia"/>
        </w:rPr>
        <w:t>又は</w:t>
      </w:r>
      <w:r w:rsidRPr="00BC31E0">
        <w:t>SUS 410S</w:t>
      </w:r>
      <w:r w:rsidRPr="00BC31E0">
        <w:rPr>
          <w:rFonts w:ascii="ＭＳ 明朝" w:hAnsi="ＭＳ 明朝" w:hint="eastAsia"/>
        </w:rPr>
        <w:t>の合せ材又はライニングで，オーステナイト系溶接棒又は空冷非硬化型のニッケル, クロム, 鉄合金の溶接棒で溶接したものは，上記</w:t>
      </w:r>
      <w:r w:rsidRPr="00BC31E0">
        <w:rPr>
          <w:rFonts w:asciiTheme="majorEastAsia" w:eastAsiaTheme="majorEastAsia" w:hAnsiTheme="majorEastAsia" w:hint="eastAsia"/>
          <w:b/>
        </w:rPr>
        <w:t>a)</w:t>
      </w:r>
      <w:r w:rsidRPr="00BC31E0">
        <w:rPr>
          <w:rFonts w:ascii="ＭＳ 明朝" w:hAnsi="ＭＳ 明朝" w:hint="eastAsia"/>
        </w:rPr>
        <w:t>の規定によって必要な場合を除き，溶接後熱処理を行わない。</w:t>
      </w:r>
    </w:p>
    <w:p w14:paraId="7B62581E" w14:textId="77777777" w:rsidR="00D905C6" w:rsidRPr="00BC31E0" w:rsidRDefault="00D905C6" w:rsidP="00736130">
      <w:pPr>
        <w:pStyle w:val="a4"/>
        <w:numPr>
          <w:ilvl w:val="0"/>
          <w:numId w:val="488"/>
        </w:numPr>
        <w:ind w:leftChars="0" w:left="454" w:hanging="454"/>
        <w:rPr>
          <w:rFonts w:ascii="ＭＳ 明朝" w:hAnsi="ＭＳ 明朝"/>
        </w:rPr>
      </w:pPr>
      <w:r w:rsidRPr="00BC31E0">
        <w:rPr>
          <w:rFonts w:asciiTheme="majorEastAsia" w:eastAsiaTheme="majorEastAsia" w:hAnsiTheme="majorEastAsia" w:hint="eastAsia"/>
          <w:b/>
          <w:bCs/>
        </w:rPr>
        <w:t>応力の再配分に影響を及ぼす熱処理</w:t>
      </w:r>
      <w:r w:rsidRPr="00BC31E0">
        <w:rPr>
          <w:rFonts w:ascii="ＭＳ 明朝" w:hAnsi="ＭＳ 明朝" w:hint="eastAsia"/>
        </w:rPr>
        <w:t xml:space="preserve">　圧力容器又は容器の部分へのいかなる熱処理も，</w:t>
      </w:r>
      <w:r w:rsidRPr="00BC31E0">
        <w:rPr>
          <w:rFonts w:asciiTheme="majorEastAsia" w:eastAsiaTheme="majorEastAsia" w:hAnsiTheme="majorEastAsia" w:hint="eastAsia"/>
          <w:b/>
          <w:bCs/>
        </w:rPr>
        <w:t>6.5</w:t>
      </w:r>
      <w:r w:rsidRPr="00BC31E0">
        <w:rPr>
          <w:rFonts w:ascii="ＭＳ 明朝" w:hAnsi="ＭＳ 明朝" w:hint="eastAsia"/>
        </w:rPr>
        <w:t>，</w:t>
      </w:r>
      <w:r w:rsidRPr="00BC31E0">
        <w:rPr>
          <w:rFonts w:asciiTheme="majorEastAsia" w:eastAsiaTheme="majorEastAsia" w:hAnsiTheme="majorEastAsia" w:hint="eastAsia"/>
          <w:b/>
          <w:bCs/>
        </w:rPr>
        <w:t>6.8</w:t>
      </w:r>
      <w:r w:rsidRPr="00BC31E0">
        <w:rPr>
          <w:rFonts w:ascii="ＭＳ 明朝" w:hAnsi="ＭＳ 明朝" w:hint="eastAsia"/>
        </w:rPr>
        <w:t>，</w:t>
      </w:r>
      <w:r w:rsidRPr="00BC31E0">
        <w:rPr>
          <w:rFonts w:asciiTheme="majorEastAsia" w:eastAsiaTheme="majorEastAsia" w:hAnsiTheme="majorEastAsia" w:hint="eastAsia"/>
          <w:b/>
          <w:bCs/>
        </w:rPr>
        <w:t>6.9</w:t>
      </w:r>
      <w:r w:rsidRPr="00BC31E0">
        <w:rPr>
          <w:rFonts w:ascii="ＭＳ 明朝" w:hAnsi="ＭＳ 明朝" w:hint="eastAsia"/>
        </w:rPr>
        <w:t>で要求される応力分布に有害な影響を及ぼさないようにしなければならない。更に，多層容器又は自緊容器では，</w:t>
      </w:r>
      <w:r w:rsidRPr="00BC31E0">
        <w:rPr>
          <w:rFonts w:asciiTheme="majorEastAsia" w:eastAsiaTheme="majorEastAsia" w:hAnsiTheme="majorEastAsia" w:hint="eastAsia"/>
          <w:b/>
          <w:bCs/>
        </w:rPr>
        <w:t>7.8.3 h)</w:t>
      </w:r>
      <w:r w:rsidRPr="00BC31E0">
        <w:rPr>
          <w:rFonts w:ascii="ＭＳ 明朝" w:hAnsi="ＭＳ 明朝" w:hint="eastAsia"/>
        </w:rPr>
        <w:t>又は</w:t>
      </w:r>
      <w:r w:rsidRPr="00BC31E0">
        <w:rPr>
          <w:rFonts w:asciiTheme="majorEastAsia" w:eastAsiaTheme="majorEastAsia" w:hAnsiTheme="majorEastAsia" w:hint="eastAsia"/>
          <w:b/>
          <w:bCs/>
        </w:rPr>
        <w:t>7.5.5 b)</w:t>
      </w:r>
      <w:r w:rsidRPr="00BC31E0">
        <w:rPr>
          <w:rFonts w:ascii="ＭＳ 明朝" w:hAnsi="ＭＳ 明朝" w:hint="eastAsia"/>
        </w:rPr>
        <w:t>の熱処理要求事項を満たす必要がある。</w:t>
      </w:r>
    </w:p>
    <w:p w14:paraId="06DB6D10" w14:textId="77777777" w:rsidR="00D905C6" w:rsidRPr="00BC31E0" w:rsidRDefault="00D905C6" w:rsidP="00B07740">
      <w:pPr>
        <w:pStyle w:val="3"/>
        <w:tabs>
          <w:tab w:val="clear" w:pos="284"/>
        </w:tabs>
        <w:ind w:left="794" w:hanging="794"/>
      </w:pPr>
      <w:r w:rsidRPr="00BC31E0">
        <w:rPr>
          <w:rFonts w:hint="eastAsia"/>
        </w:rPr>
        <w:t>検査要求事項</w:t>
      </w:r>
    </w:p>
    <w:p w14:paraId="2AF3C386" w14:textId="77777777" w:rsidR="00D905C6" w:rsidRPr="00BC31E0" w:rsidRDefault="00D905C6" w:rsidP="00870658">
      <w:pPr>
        <w:pStyle w:val="1110"/>
        <w:ind w:firstLine="210"/>
      </w:pPr>
      <w:r w:rsidRPr="00BC31E0">
        <w:rPr>
          <w:rFonts w:hint="eastAsia"/>
        </w:rPr>
        <w:t>検査要求事項は，次の</w:t>
      </w:r>
      <w:r w:rsidRPr="00BC31E0">
        <w:rPr>
          <w:rFonts w:ascii="ＭＳ ゴシック" w:hAnsi="ＭＳ ゴシック" w:hint="eastAsia"/>
          <w:b/>
        </w:rPr>
        <w:t>a)</w:t>
      </w:r>
      <w:r w:rsidRPr="00BC31E0">
        <w:rPr>
          <w:rFonts w:hint="eastAsia"/>
        </w:rPr>
        <w:t>，</w:t>
      </w:r>
      <w:r w:rsidRPr="00BC31E0">
        <w:rPr>
          <w:rFonts w:ascii="ＭＳ ゴシック" w:hAnsi="ＭＳ ゴシック" w:hint="eastAsia"/>
          <w:b/>
        </w:rPr>
        <w:t>b)</w:t>
      </w:r>
      <w:r w:rsidRPr="00BC31E0">
        <w:rPr>
          <w:rFonts w:hint="eastAsia"/>
        </w:rPr>
        <w:t>による。</w:t>
      </w:r>
    </w:p>
    <w:p w14:paraId="64A0B4CF" w14:textId="77777777" w:rsidR="00D905C6" w:rsidRPr="00BC31E0" w:rsidRDefault="00D905C6" w:rsidP="00736130">
      <w:pPr>
        <w:pStyle w:val="a4"/>
        <w:numPr>
          <w:ilvl w:val="0"/>
          <w:numId w:val="489"/>
        </w:numPr>
        <w:ind w:leftChars="0" w:left="454" w:hanging="454"/>
        <w:rPr>
          <w:rFonts w:ascii="ＭＳ 明朝" w:hAnsi="ＭＳ 明朝"/>
        </w:rPr>
      </w:pPr>
      <w:r w:rsidRPr="00BC31E0">
        <w:rPr>
          <w:rFonts w:asciiTheme="majorEastAsia" w:eastAsiaTheme="majorEastAsia" w:hAnsiTheme="majorEastAsia" w:hint="eastAsia"/>
          <w:b/>
        </w:rPr>
        <w:t>肉盛溶接で保護された母材の検査</w:t>
      </w:r>
      <w:r w:rsidRPr="00BC31E0">
        <w:rPr>
          <w:rFonts w:hint="eastAsia"/>
        </w:rPr>
        <w:t xml:space="preserve">　</w:t>
      </w:r>
      <w:r w:rsidRPr="00BC31E0">
        <w:rPr>
          <w:rFonts w:asciiTheme="majorEastAsia" w:eastAsiaTheme="majorEastAsia" w:hAnsiTheme="majorEastAsia" w:hint="eastAsia"/>
          <w:b/>
        </w:rPr>
        <w:t>9.3</w:t>
      </w:r>
      <w:r w:rsidRPr="00BC31E0">
        <w:rPr>
          <w:rFonts w:ascii="ＭＳ 明朝" w:hAnsi="ＭＳ 明朝" w:hint="eastAsia"/>
        </w:rPr>
        <w:t>で要求される検査は，耐食層を含め，継手が完成した後に行う。ただし，次の</w:t>
      </w:r>
      <w:r w:rsidRPr="00BC31E0">
        <w:rPr>
          <w:rFonts w:asciiTheme="majorEastAsia" w:eastAsiaTheme="majorEastAsia" w:hAnsiTheme="majorEastAsia" w:hint="eastAsia"/>
          <w:b/>
        </w:rPr>
        <w:t>1)</w:t>
      </w:r>
      <w:r w:rsidRPr="00BC31E0">
        <w:rPr>
          <w:rFonts w:ascii="ＭＳ 明朝" w:hAnsi="ＭＳ 明朝" w:hint="eastAsia"/>
        </w:rPr>
        <w:t>～</w:t>
      </w:r>
      <w:r w:rsidRPr="00BC31E0">
        <w:rPr>
          <w:rFonts w:asciiTheme="majorEastAsia" w:eastAsiaTheme="majorEastAsia" w:hAnsiTheme="majorEastAsia" w:hint="eastAsia"/>
          <w:b/>
        </w:rPr>
        <w:t>3)</w:t>
      </w:r>
      <w:r w:rsidRPr="00BC31E0">
        <w:rPr>
          <w:rFonts w:ascii="ＭＳ 明朝" w:hAnsi="ＭＳ 明朝" w:hint="eastAsia"/>
        </w:rPr>
        <w:t>を満たせば，肉盛溶接を行う前に母材の溶接部で検査を行ってもよい。</w:t>
      </w:r>
    </w:p>
    <w:p w14:paraId="04454DD5" w14:textId="77777777" w:rsidR="00B07740" w:rsidRPr="00BC31E0" w:rsidRDefault="00D905C6" w:rsidP="00736130">
      <w:pPr>
        <w:pStyle w:val="a4"/>
        <w:numPr>
          <w:ilvl w:val="0"/>
          <w:numId w:val="490"/>
        </w:numPr>
        <w:ind w:leftChars="0" w:left="738" w:hanging="454"/>
      </w:pPr>
      <w:r w:rsidRPr="00BC31E0">
        <w:rPr>
          <w:rFonts w:hint="eastAsia"/>
        </w:rPr>
        <w:t>溶接継手部の母材厚さが，設計厚さ</w:t>
      </w:r>
      <w:r w:rsidRPr="00BC31E0">
        <w:rPr>
          <w:rFonts w:asciiTheme="minorHAnsi" w:hAnsiTheme="minorHAnsi"/>
        </w:rPr>
        <w:t>(</w:t>
      </w:r>
      <w:r w:rsidRPr="00BC31E0">
        <w:rPr>
          <w:rFonts w:asciiTheme="majorEastAsia" w:eastAsiaTheme="majorEastAsia" w:hAnsiTheme="majorEastAsia" w:hint="eastAsia"/>
          <w:b/>
        </w:rPr>
        <w:t>6.2.2</w:t>
      </w:r>
      <w:r w:rsidRPr="00BC31E0">
        <w:rPr>
          <w:rFonts w:hint="eastAsia"/>
        </w:rPr>
        <w:t>の計算式で，容器の設計圧力を代入して求められる厚さ</w:t>
      </w:r>
      <w:r w:rsidRPr="00BC31E0">
        <w:rPr>
          <w:rFonts w:asciiTheme="minorHAnsi" w:hAnsiTheme="minorHAnsi"/>
        </w:rPr>
        <w:t>)</w:t>
      </w:r>
      <w:r w:rsidRPr="00BC31E0">
        <w:rPr>
          <w:rFonts w:hint="eastAsia"/>
        </w:rPr>
        <w:t>よりも厚い。</w:t>
      </w:r>
    </w:p>
    <w:p w14:paraId="71C795AE" w14:textId="77777777" w:rsidR="00B07740" w:rsidRPr="00BC31E0" w:rsidRDefault="00D905C6" w:rsidP="00736130">
      <w:pPr>
        <w:pStyle w:val="a4"/>
        <w:numPr>
          <w:ilvl w:val="0"/>
          <w:numId w:val="490"/>
        </w:numPr>
        <w:ind w:leftChars="0" w:left="738" w:hanging="454"/>
      </w:pPr>
      <w:r w:rsidRPr="00BC31E0">
        <w:rPr>
          <w:rFonts w:ascii="ＭＳ 明朝" w:hAnsi="ＭＳ 明朝" w:hint="eastAsia"/>
        </w:rPr>
        <w:t>耐食合金の肉盛溶接が，空冷非硬化型溶接である。</w:t>
      </w:r>
    </w:p>
    <w:p w14:paraId="10C621FC" w14:textId="77777777" w:rsidR="00D905C6" w:rsidRPr="00BC31E0" w:rsidRDefault="00D905C6" w:rsidP="00736130">
      <w:pPr>
        <w:pStyle w:val="a4"/>
        <w:numPr>
          <w:ilvl w:val="0"/>
          <w:numId w:val="490"/>
        </w:numPr>
        <w:ind w:leftChars="0" w:left="738" w:hanging="454"/>
      </w:pPr>
      <w:r w:rsidRPr="00BC31E0">
        <w:rPr>
          <w:rFonts w:ascii="ＭＳ 明朝" w:hAnsi="ＭＳ 明朝" w:hint="eastAsia"/>
        </w:rPr>
        <w:t>完成した肉盛溶接が，</w:t>
      </w:r>
      <w:r w:rsidRPr="00BC31E0">
        <w:rPr>
          <w:rFonts w:asciiTheme="majorEastAsia" w:eastAsiaTheme="majorEastAsia" w:hAnsiTheme="majorEastAsia" w:hint="eastAsia"/>
          <w:b/>
        </w:rPr>
        <w:t>9.2.4</w:t>
      </w:r>
      <w:r w:rsidRPr="00BC31E0">
        <w:rPr>
          <w:rFonts w:ascii="ＭＳ 明朝" w:hAnsi="ＭＳ 明朝" w:hint="eastAsia"/>
        </w:rPr>
        <w:t>に従って割れを検出できる方法で検査される。</w:t>
      </w:r>
    </w:p>
    <w:p w14:paraId="1C127812" w14:textId="77777777" w:rsidR="00D905C6" w:rsidRPr="00BC31E0" w:rsidRDefault="00D905C6" w:rsidP="00736130">
      <w:pPr>
        <w:pStyle w:val="a4"/>
        <w:numPr>
          <w:ilvl w:val="0"/>
          <w:numId w:val="489"/>
        </w:numPr>
        <w:ind w:leftChars="0" w:left="454" w:hanging="454"/>
      </w:pPr>
      <w:r w:rsidRPr="00BC31E0">
        <w:rPr>
          <w:rFonts w:hint="eastAsia"/>
        </w:rPr>
        <w:t>クロム系ステンレス鋼の合せ材又はライニングの溶接部の検査　クロム系ステンレス鋼の合せ材又はライニングをつなぐ合金材溶接継手は，次の</w:t>
      </w:r>
      <w:r w:rsidRPr="00BC31E0">
        <w:rPr>
          <w:rFonts w:asciiTheme="majorEastAsia" w:eastAsiaTheme="majorEastAsia" w:hAnsiTheme="majorEastAsia" w:hint="eastAsia"/>
          <w:b/>
        </w:rPr>
        <w:t>1)</w:t>
      </w:r>
      <w:r w:rsidRPr="00BC31E0">
        <w:rPr>
          <w:rFonts w:hint="eastAsia"/>
        </w:rPr>
        <w:t>又は</w:t>
      </w:r>
      <w:r w:rsidRPr="00BC31E0">
        <w:rPr>
          <w:rFonts w:asciiTheme="majorEastAsia" w:eastAsiaTheme="majorEastAsia" w:hAnsiTheme="majorEastAsia" w:hint="eastAsia"/>
          <w:b/>
        </w:rPr>
        <w:t>2)</w:t>
      </w:r>
      <w:r w:rsidRPr="00BC31E0">
        <w:rPr>
          <w:rFonts w:hint="eastAsia"/>
        </w:rPr>
        <w:t>に従って割れの有無を検査する。</w:t>
      </w:r>
    </w:p>
    <w:p w14:paraId="0B9514DF" w14:textId="77777777" w:rsidR="00D905C6" w:rsidRPr="00BC31E0" w:rsidRDefault="00D905C6" w:rsidP="00736130">
      <w:pPr>
        <w:pStyle w:val="a4"/>
        <w:numPr>
          <w:ilvl w:val="0"/>
          <w:numId w:val="491"/>
        </w:numPr>
        <w:ind w:leftChars="0" w:left="738" w:hanging="454"/>
        <w:rPr>
          <w:rFonts w:asciiTheme="minorHAnsi" w:eastAsiaTheme="minorEastAsia" w:hAnsiTheme="minorHAnsi"/>
        </w:rPr>
      </w:pPr>
      <w:r w:rsidRPr="00BC31E0">
        <w:rPr>
          <w:rFonts w:asciiTheme="majorEastAsia" w:eastAsiaTheme="majorEastAsia" w:hAnsiTheme="majorEastAsia"/>
          <w:b/>
        </w:rPr>
        <w:t>ストレートクロム系ステンレス鋼の溶加材</w:t>
      </w:r>
      <w:r w:rsidRPr="00BC31E0">
        <w:rPr>
          <w:rFonts w:asciiTheme="minorHAnsi" w:eastAsiaTheme="minorEastAsia" w:hAnsiTheme="minorEastAsia"/>
        </w:rPr>
        <w:t xml:space="preserve">　</w:t>
      </w:r>
      <w:r w:rsidRPr="00BC31E0">
        <w:rPr>
          <w:rFonts w:asciiTheme="minorHAnsi" w:eastAsiaTheme="minorEastAsia" w:hAnsiTheme="minorEastAsia"/>
          <w:bCs/>
        </w:rPr>
        <w:t>割れの検査は，次の</w:t>
      </w:r>
      <w:r w:rsidRPr="00BC31E0">
        <w:rPr>
          <w:rFonts w:asciiTheme="majorEastAsia" w:eastAsiaTheme="majorEastAsia" w:hAnsiTheme="majorEastAsia"/>
          <w:b/>
        </w:rPr>
        <w:t>1.1)</w:t>
      </w:r>
      <w:r w:rsidRPr="00BC31E0">
        <w:rPr>
          <w:rFonts w:asciiTheme="minorHAnsi" w:eastAsiaTheme="minorEastAsia" w:hAnsiTheme="minorEastAsia"/>
          <w:bCs/>
        </w:rPr>
        <w:t>及び</w:t>
      </w:r>
      <w:r w:rsidRPr="00BC31E0">
        <w:rPr>
          <w:rFonts w:asciiTheme="majorEastAsia" w:eastAsiaTheme="majorEastAsia" w:hAnsiTheme="majorEastAsia"/>
          <w:b/>
        </w:rPr>
        <w:t>1.2)</w:t>
      </w:r>
      <w:r w:rsidRPr="00BC31E0">
        <w:rPr>
          <w:rFonts w:asciiTheme="minorHAnsi" w:eastAsiaTheme="minorEastAsia" w:hAnsiTheme="minorEastAsia"/>
          <w:bCs/>
        </w:rPr>
        <w:t>による。</w:t>
      </w:r>
    </w:p>
    <w:p w14:paraId="714E69AE" w14:textId="77777777" w:rsidR="00A47A9F" w:rsidRPr="00BC31E0" w:rsidRDefault="00D905C6" w:rsidP="00736130">
      <w:pPr>
        <w:pStyle w:val="a4"/>
        <w:numPr>
          <w:ilvl w:val="0"/>
          <w:numId w:val="492"/>
        </w:numPr>
        <w:ind w:leftChars="0" w:left="1134" w:hanging="567"/>
      </w:pPr>
      <w:r w:rsidRPr="00BC31E0">
        <w:rPr>
          <w:rFonts w:hint="eastAsia"/>
        </w:rPr>
        <w:t>ストレートクロム系ステンレス鋼の溶加材を用いた溶接継手は，全線にわたり割れの検査をする。クロム系ステンレス鋼の溶接が母材の溶接部と連続して接触している場合は，</w:t>
      </w:r>
      <w:r w:rsidRPr="00BC31E0">
        <w:rPr>
          <w:rFonts w:asciiTheme="majorEastAsia" w:eastAsiaTheme="majorEastAsia" w:hAnsiTheme="majorEastAsia" w:hint="eastAsia"/>
          <w:b/>
        </w:rPr>
        <w:t>9.</w:t>
      </w:r>
      <w:r w:rsidRPr="00BC31E0">
        <w:rPr>
          <w:rFonts w:asciiTheme="majorEastAsia" w:eastAsiaTheme="majorEastAsia" w:hAnsiTheme="majorEastAsia"/>
          <w:b/>
        </w:rPr>
        <w:t>3</w:t>
      </w:r>
      <w:r w:rsidRPr="00BC31E0">
        <w:rPr>
          <w:rFonts w:hint="eastAsia"/>
        </w:rPr>
        <w:t>に従って割れの検査をする。</w:t>
      </w:r>
    </w:p>
    <w:p w14:paraId="68391AAA" w14:textId="77777777" w:rsidR="00D905C6" w:rsidRPr="00BC31E0" w:rsidRDefault="00D905C6" w:rsidP="00736130">
      <w:pPr>
        <w:pStyle w:val="a4"/>
        <w:numPr>
          <w:ilvl w:val="0"/>
          <w:numId w:val="492"/>
        </w:numPr>
        <w:ind w:leftChars="0" w:left="1134" w:hanging="567"/>
      </w:pPr>
      <w:r w:rsidRPr="00BC31E0">
        <w:rPr>
          <w:rFonts w:ascii="ＭＳ 明朝" w:hAnsi="ＭＳ 明朝" w:hint="eastAsia"/>
          <w:bCs/>
        </w:rPr>
        <w:t>母材に取付けたライニングの溶接部は，</w:t>
      </w:r>
      <w:r w:rsidRPr="00BC31E0">
        <w:rPr>
          <w:rFonts w:asciiTheme="majorEastAsia" w:eastAsiaTheme="majorEastAsia" w:hAnsiTheme="majorEastAsia" w:hint="eastAsia"/>
          <w:b/>
        </w:rPr>
        <w:t>9.3.5 e)</w:t>
      </w:r>
      <w:r w:rsidRPr="00BC31E0">
        <w:rPr>
          <w:rFonts w:ascii="ＭＳ 明朝" w:hAnsi="ＭＳ 明朝" w:hint="eastAsia"/>
          <w:bCs/>
        </w:rPr>
        <w:t>に従って割れの検査をする。</w:t>
      </w:r>
    </w:p>
    <w:p w14:paraId="71C0DFAB" w14:textId="77777777" w:rsidR="00D905C6" w:rsidRPr="00BC31E0" w:rsidRDefault="00D905C6" w:rsidP="00736130">
      <w:pPr>
        <w:pStyle w:val="a4"/>
        <w:numPr>
          <w:ilvl w:val="0"/>
          <w:numId w:val="491"/>
        </w:numPr>
        <w:ind w:leftChars="0" w:left="738" w:hanging="454"/>
        <w:rPr>
          <w:rFonts w:ascii="ＭＳ 明朝" w:hAnsi="ＭＳ 明朝"/>
        </w:rPr>
      </w:pPr>
      <w:r w:rsidRPr="00BC31E0">
        <w:rPr>
          <w:rFonts w:asciiTheme="majorEastAsia" w:eastAsiaTheme="majorEastAsia" w:hAnsiTheme="majorEastAsia" w:hint="eastAsia"/>
          <w:b/>
        </w:rPr>
        <w:t>オーステナイト系クロムニッケル鋼の溶加材</w:t>
      </w:r>
      <w:r w:rsidRPr="00BC31E0">
        <w:rPr>
          <w:rFonts w:hint="eastAsia"/>
        </w:rPr>
        <w:t xml:space="preserve">　</w:t>
      </w:r>
      <w:r w:rsidRPr="00BC31E0">
        <w:rPr>
          <w:rFonts w:ascii="ＭＳ 明朝" w:hAnsi="ＭＳ 明朝" w:hint="eastAsia"/>
        </w:rPr>
        <w:t>オーステナイト系クロムニッケル鋼の溶加材又は空冷非硬化型のニッケル,クロム,鉄合金の溶加材で溶接した継手は，</w:t>
      </w:r>
      <w:r w:rsidRPr="00BC31E0">
        <w:rPr>
          <w:rFonts w:asciiTheme="majorEastAsia" w:eastAsiaTheme="majorEastAsia" w:hAnsiTheme="majorEastAsia" w:hint="eastAsia"/>
          <w:b/>
        </w:rPr>
        <w:t>9.3.5 d)</w:t>
      </w:r>
      <w:r w:rsidRPr="00BC31E0">
        <w:rPr>
          <w:rFonts w:ascii="ＭＳ 明朝" w:hAnsi="ＭＳ 明朝" w:hint="eastAsia"/>
        </w:rPr>
        <w:t xml:space="preserve"> に従って全線にわたって浸透探傷試験により検査し，</w:t>
      </w:r>
      <w:r w:rsidRPr="00BC31E0">
        <w:rPr>
          <w:rFonts w:asciiTheme="majorEastAsia" w:eastAsiaTheme="majorEastAsia" w:hAnsiTheme="majorEastAsia" w:hint="eastAsia"/>
          <w:b/>
        </w:rPr>
        <w:t>9.3</w:t>
      </w:r>
      <w:r w:rsidRPr="00BC31E0">
        <w:rPr>
          <w:rFonts w:ascii="ＭＳ 明朝" w:hAnsi="ＭＳ 明朝" w:hint="eastAsia"/>
        </w:rPr>
        <w:t>に従っ</w:t>
      </w:r>
      <w:r w:rsidRPr="00BC31E0">
        <w:rPr>
          <w:rFonts w:asciiTheme="minorHAnsi" w:eastAsiaTheme="minorEastAsia" w:hAnsiTheme="minorEastAsia"/>
        </w:rPr>
        <w:t>て全線の</w:t>
      </w:r>
      <w:r w:rsidR="00870658" w:rsidRPr="00BC31E0">
        <w:rPr>
          <w:rFonts w:asciiTheme="minorHAnsi" w:eastAsiaTheme="minorEastAsia" w:hAnsiTheme="minorHAnsi"/>
        </w:rPr>
        <w:t>10%</w:t>
      </w:r>
      <w:r w:rsidRPr="00BC31E0">
        <w:rPr>
          <w:rFonts w:asciiTheme="minorHAnsi" w:eastAsiaTheme="minorEastAsia" w:hAnsiTheme="minorEastAsia"/>
        </w:rPr>
        <w:t>で断続的に超音波探傷をする。</w:t>
      </w:r>
    </w:p>
    <w:p w14:paraId="0F51A340" w14:textId="77777777" w:rsidR="00D905C6" w:rsidRPr="00BC31E0" w:rsidRDefault="00D905C6" w:rsidP="00961F60">
      <w:pPr>
        <w:pStyle w:val="3"/>
        <w:tabs>
          <w:tab w:val="clear" w:pos="284"/>
        </w:tabs>
        <w:ind w:left="794" w:hanging="794"/>
      </w:pPr>
      <w:r w:rsidRPr="00BC31E0">
        <w:rPr>
          <w:rFonts w:hint="eastAsia"/>
        </w:rPr>
        <w:t>検査と試験</w:t>
      </w:r>
    </w:p>
    <w:p w14:paraId="49F0991A" w14:textId="77777777" w:rsidR="00D905C6" w:rsidRPr="00BC31E0" w:rsidRDefault="00D905C6" w:rsidP="00494CF4">
      <w:pPr>
        <w:pStyle w:val="1110"/>
        <w:ind w:firstLine="210"/>
      </w:pPr>
      <w:r w:rsidRPr="00BC31E0">
        <w:rPr>
          <w:rFonts w:hint="eastAsia"/>
        </w:rPr>
        <w:lastRenderedPageBreak/>
        <w:t>検査と試験は，次の</w:t>
      </w:r>
      <w:r w:rsidRPr="00BC31E0">
        <w:rPr>
          <w:rFonts w:ascii="ＭＳ ゴシック" w:eastAsia="ＭＳ ゴシック" w:hAnsi="ＭＳ ゴシック" w:hint="eastAsia"/>
          <w:b/>
          <w:bCs/>
        </w:rPr>
        <w:t>a)</w:t>
      </w:r>
      <w:r w:rsidRPr="00BC31E0">
        <w:rPr>
          <w:rFonts w:hint="eastAsia"/>
        </w:rPr>
        <w:t>，</w:t>
      </w:r>
      <w:r w:rsidRPr="00BC31E0">
        <w:rPr>
          <w:rFonts w:ascii="ＭＳ ゴシック" w:eastAsia="ＭＳ ゴシック" w:hAnsi="ＭＳ ゴシック" w:hint="eastAsia"/>
          <w:b/>
          <w:bCs/>
        </w:rPr>
        <w:t>b)</w:t>
      </w:r>
      <w:r w:rsidRPr="00BC31E0">
        <w:rPr>
          <w:rFonts w:hint="eastAsia"/>
        </w:rPr>
        <w:t>による。</w:t>
      </w:r>
    </w:p>
    <w:p w14:paraId="2E2E65E5" w14:textId="77777777" w:rsidR="00D905C6" w:rsidRPr="00BC31E0" w:rsidRDefault="00D905C6" w:rsidP="00736130">
      <w:pPr>
        <w:numPr>
          <w:ilvl w:val="0"/>
          <w:numId w:val="158"/>
        </w:numPr>
        <w:ind w:left="454" w:hanging="454"/>
      </w:pPr>
      <w:r w:rsidRPr="00BC31E0">
        <w:rPr>
          <w:rFonts w:asciiTheme="majorEastAsia" w:eastAsiaTheme="majorEastAsia" w:hAnsiTheme="majorEastAsia" w:hint="eastAsia"/>
          <w:b/>
          <w:bCs/>
        </w:rPr>
        <w:t>一般要求</w:t>
      </w:r>
      <w:r w:rsidRPr="00BC31E0">
        <w:rPr>
          <w:rFonts w:hint="eastAsia"/>
        </w:rPr>
        <w:t xml:space="preserve">　次の</w:t>
      </w:r>
      <w:r w:rsidRPr="00BC31E0">
        <w:rPr>
          <w:rFonts w:asciiTheme="majorEastAsia" w:eastAsiaTheme="majorEastAsia" w:hAnsiTheme="majorEastAsia" w:hint="eastAsia"/>
          <w:b/>
        </w:rPr>
        <w:t>b)</w:t>
      </w:r>
      <w:r w:rsidRPr="00BC31E0">
        <w:rPr>
          <w:rFonts w:hint="eastAsia"/>
        </w:rPr>
        <w:t>は，</w:t>
      </w:r>
      <w:r w:rsidRPr="00BC31E0">
        <w:rPr>
          <w:rFonts w:asciiTheme="majorEastAsia" w:eastAsiaTheme="majorEastAsia" w:hAnsiTheme="majorEastAsia" w:hint="eastAsia"/>
          <w:b/>
          <w:bCs/>
        </w:rPr>
        <w:t>9</w:t>
      </w:r>
      <w:r w:rsidRPr="00BC31E0">
        <w:rPr>
          <w:rFonts w:hint="eastAsia"/>
        </w:rPr>
        <w:t>の検査と試験に対する一般要求とともに適用する。</w:t>
      </w:r>
    </w:p>
    <w:p w14:paraId="4507C7CD" w14:textId="77777777" w:rsidR="00D905C6" w:rsidRPr="00BC31E0" w:rsidRDefault="00D905C6" w:rsidP="00736130">
      <w:pPr>
        <w:numPr>
          <w:ilvl w:val="0"/>
          <w:numId w:val="158"/>
        </w:numPr>
        <w:ind w:left="454" w:hanging="454"/>
      </w:pPr>
      <w:r w:rsidRPr="00BC31E0">
        <w:rPr>
          <w:rFonts w:asciiTheme="majorEastAsia" w:eastAsiaTheme="majorEastAsia" w:hAnsiTheme="majorEastAsia" w:hint="eastAsia"/>
          <w:b/>
          <w:bCs/>
        </w:rPr>
        <w:t>ライニングの密封度</w:t>
      </w:r>
      <w:r w:rsidRPr="00BC31E0">
        <w:rPr>
          <w:rFonts w:hint="eastAsia"/>
        </w:rPr>
        <w:t xml:space="preserve">　ライニングについては，使用条件に適しているかどうかの漏洩試験を行う。ただし，試験の詳細については，使用者と製作者間の合意に基づ</w:t>
      </w:r>
      <w:r w:rsidR="001031F7" w:rsidRPr="00BC31E0">
        <w:rPr>
          <w:rFonts w:hint="eastAsia"/>
        </w:rPr>
        <w:t>かなければならない</w:t>
      </w:r>
      <w:r w:rsidRPr="00BC31E0">
        <w:rPr>
          <w:rFonts w:hint="eastAsia"/>
        </w:rPr>
        <w:t>。試験では，荷重を受け持っている母材に損傷を与えないようにする。圧力容器の内容物との接触により，母材に急速な腐食が起こることが予想される場合には，特に精度の高い漏洩試験を行う必要がある。</w:t>
      </w:r>
    </w:p>
    <w:p w14:paraId="5688D37F" w14:textId="77777777" w:rsidR="00D905C6" w:rsidRPr="00BC31E0" w:rsidRDefault="00D905C6" w:rsidP="00961F60">
      <w:pPr>
        <w:pStyle w:val="3"/>
        <w:tabs>
          <w:tab w:val="clear" w:pos="284"/>
        </w:tabs>
        <w:ind w:left="794" w:hanging="794"/>
      </w:pPr>
      <w:r w:rsidRPr="00BC31E0">
        <w:rPr>
          <w:rFonts w:hint="eastAsia"/>
        </w:rPr>
        <w:t>記録</w:t>
      </w:r>
    </w:p>
    <w:p w14:paraId="5A2688AD" w14:textId="77777777" w:rsidR="00D905C6" w:rsidRPr="00BC31E0" w:rsidRDefault="00D905C6" w:rsidP="00494CF4">
      <w:pPr>
        <w:pStyle w:val="1110"/>
        <w:ind w:firstLine="210"/>
      </w:pPr>
      <w:r w:rsidRPr="00BC31E0">
        <w:rPr>
          <w:rFonts w:hint="eastAsia"/>
        </w:rPr>
        <w:t>記録に関する規定は，クラッド，肉盛溶接又はライニングで製作される容器に対しても適用され，製作者設計報告書に型式とその仕様を含める。</w:t>
      </w:r>
    </w:p>
    <w:p w14:paraId="13563103" w14:textId="77777777" w:rsidR="00644B5F" w:rsidRPr="00BC31E0" w:rsidRDefault="00644B5F" w:rsidP="00961F60">
      <w:pPr>
        <w:pStyle w:val="20"/>
        <w:tabs>
          <w:tab w:val="clear" w:pos="284"/>
        </w:tabs>
        <w:ind w:left="567" w:hanging="567"/>
      </w:pPr>
      <w:bookmarkStart w:id="73" w:name="_Toc357672104"/>
      <w:bookmarkStart w:id="74" w:name="_Toc120092538"/>
      <w:r w:rsidRPr="00BC31E0">
        <w:rPr>
          <w:rFonts w:hint="eastAsia"/>
        </w:rPr>
        <w:t>溶接部の熱処理</w:t>
      </w:r>
      <w:bookmarkEnd w:id="73"/>
      <w:bookmarkEnd w:id="74"/>
    </w:p>
    <w:p w14:paraId="6CA30399" w14:textId="77777777" w:rsidR="00644B5F" w:rsidRPr="00BC31E0" w:rsidRDefault="00644B5F" w:rsidP="00961F60">
      <w:pPr>
        <w:pStyle w:val="3"/>
        <w:tabs>
          <w:tab w:val="clear" w:pos="284"/>
        </w:tabs>
        <w:ind w:left="794" w:hanging="794"/>
      </w:pPr>
      <w:r w:rsidRPr="00BC31E0">
        <w:rPr>
          <w:rFonts w:hint="eastAsia"/>
        </w:rPr>
        <w:t>熱処理要求</w:t>
      </w:r>
    </w:p>
    <w:p w14:paraId="44CDF7AC" w14:textId="77777777" w:rsidR="00644B5F" w:rsidRPr="00BC31E0" w:rsidRDefault="00644B5F" w:rsidP="00494CF4">
      <w:pPr>
        <w:pStyle w:val="1110"/>
        <w:ind w:firstLine="210"/>
      </w:pPr>
      <w:r w:rsidRPr="00BC31E0">
        <w:rPr>
          <w:rFonts w:hint="eastAsia"/>
        </w:rPr>
        <w:t>溶接部の熱処理要求は，次の</w:t>
      </w:r>
      <w:r w:rsidRPr="00BC31E0">
        <w:rPr>
          <w:rFonts w:ascii="ＭＳ ゴシック" w:hAnsi="ＭＳ ゴシック" w:hint="eastAsia"/>
          <w:b/>
        </w:rPr>
        <w:t>a)</w:t>
      </w:r>
      <w:r w:rsidRPr="00BC31E0">
        <w:rPr>
          <w:rFonts w:ascii="ＭＳ ゴシック" w:hAnsi="ＭＳ ゴシック" w:hint="eastAsia"/>
        </w:rPr>
        <w:t>,</w:t>
      </w:r>
      <w:r w:rsidRPr="00BC31E0">
        <w:rPr>
          <w:rFonts w:hint="eastAsia"/>
        </w:rPr>
        <w:t xml:space="preserve"> </w:t>
      </w:r>
      <w:r w:rsidRPr="00BC31E0">
        <w:rPr>
          <w:rFonts w:ascii="ＭＳ ゴシック" w:hAnsi="ＭＳ ゴシック" w:hint="eastAsia"/>
          <w:b/>
        </w:rPr>
        <w:t>b)</w:t>
      </w:r>
      <w:r w:rsidRPr="00BC31E0">
        <w:rPr>
          <w:rFonts w:hint="eastAsia"/>
        </w:rPr>
        <w:t>による。焼入焼戻鋼に対する追加の要求事項は，</w:t>
      </w:r>
      <w:r w:rsidRPr="00BC31E0">
        <w:rPr>
          <w:rFonts w:ascii="ＭＳ ゴシック" w:eastAsia="ＭＳ ゴシック" w:hAnsi="ＭＳ ゴシック" w:hint="eastAsia"/>
          <w:b/>
        </w:rPr>
        <w:t>7.6</w:t>
      </w:r>
      <w:r w:rsidRPr="00BC31E0">
        <w:rPr>
          <w:rFonts w:ascii="ＭＳ ゴシック" w:hAnsi="ＭＳ ゴシック" w:hint="eastAsia"/>
        </w:rPr>
        <w:t>を</w:t>
      </w:r>
      <w:r w:rsidRPr="00BC31E0">
        <w:rPr>
          <w:rFonts w:hint="eastAsia"/>
        </w:rPr>
        <w:t>参照する。</w:t>
      </w:r>
    </w:p>
    <w:p w14:paraId="2CA35B53" w14:textId="77777777" w:rsidR="00961F60" w:rsidRPr="00BC31E0" w:rsidRDefault="00644B5F" w:rsidP="00736130">
      <w:pPr>
        <w:pStyle w:val="a4"/>
        <w:numPr>
          <w:ilvl w:val="0"/>
          <w:numId w:val="493"/>
        </w:numPr>
        <w:ind w:leftChars="0" w:left="454" w:hanging="454"/>
        <w:rPr>
          <w:rFonts w:ascii="ＭＳ 明朝" w:hAnsi="ＭＳ 明朝"/>
        </w:rPr>
      </w:pPr>
      <w:r w:rsidRPr="00BC31E0">
        <w:rPr>
          <w:rFonts w:asciiTheme="majorEastAsia" w:eastAsiaTheme="majorEastAsia" w:hAnsiTheme="majorEastAsia" w:hint="eastAsia"/>
          <w:b/>
        </w:rPr>
        <w:t>予熱に対する要求</w:t>
      </w:r>
      <w:r w:rsidRPr="00BC31E0">
        <w:rPr>
          <w:rFonts w:hint="eastAsia"/>
        </w:rPr>
        <w:t xml:space="preserve">　</w:t>
      </w:r>
      <w:r w:rsidRPr="00BC31E0">
        <w:rPr>
          <w:rFonts w:asciiTheme="majorEastAsia" w:eastAsiaTheme="majorEastAsia" w:hAnsiTheme="majorEastAsia" w:hint="eastAsia"/>
          <w:b/>
        </w:rPr>
        <w:t>JIS B 8285</w:t>
      </w:r>
      <w:r w:rsidRPr="00BC31E0">
        <w:rPr>
          <w:rFonts w:ascii="ＭＳ 明朝" w:hAnsi="ＭＳ 明朝" w:hint="eastAsia"/>
        </w:rPr>
        <w:t>の溶接施工方法確認試験に従って，必要最小限の予熱要求事項を規定する。予熱の必要性と予熱温度は，化学成分，継手部での部材の拘束度，高温での機械的特性，材料の厚さのような多くの因子に依存する。</w:t>
      </w:r>
    </w:p>
    <w:p w14:paraId="11F350D4" w14:textId="77777777" w:rsidR="00644B5F" w:rsidRPr="00BC31E0" w:rsidRDefault="00644B5F" w:rsidP="00736130">
      <w:pPr>
        <w:pStyle w:val="a4"/>
        <w:numPr>
          <w:ilvl w:val="0"/>
          <w:numId w:val="493"/>
        </w:numPr>
        <w:ind w:leftChars="0" w:left="454" w:hanging="454"/>
        <w:rPr>
          <w:rFonts w:ascii="ＭＳ 明朝" w:hAnsi="ＭＳ 明朝"/>
        </w:rPr>
      </w:pPr>
      <w:r w:rsidRPr="00BC31E0">
        <w:rPr>
          <w:rFonts w:asciiTheme="majorEastAsia" w:eastAsiaTheme="majorEastAsia" w:hAnsiTheme="majorEastAsia" w:hint="eastAsia"/>
          <w:b/>
          <w:bCs/>
        </w:rPr>
        <w:t>溶接後熱処理に対する要求</w:t>
      </w:r>
      <w:r w:rsidRPr="00BC31E0">
        <w:rPr>
          <w:rFonts w:hint="eastAsia"/>
        </w:rPr>
        <w:t xml:space="preserve">　</w:t>
      </w:r>
      <w:r w:rsidRPr="00BC31E0">
        <w:rPr>
          <w:rFonts w:ascii="ＭＳ 明朝" w:hAnsi="ＭＳ 明朝" w:hint="eastAsia"/>
          <w:bCs/>
        </w:rPr>
        <w:t>詳細な要求事項と免除事項を適用する前に，次の</w:t>
      </w:r>
      <w:r w:rsidRPr="00BC31E0">
        <w:rPr>
          <w:rFonts w:asciiTheme="majorEastAsia" w:eastAsiaTheme="majorEastAsia" w:hAnsiTheme="majorEastAsia" w:hint="eastAsia"/>
          <w:b/>
        </w:rPr>
        <w:t>1)</w:t>
      </w:r>
      <w:r w:rsidRPr="00BC31E0">
        <w:rPr>
          <w:rFonts w:ascii="ＭＳ 明朝" w:hAnsi="ＭＳ 明朝" w:hint="eastAsia"/>
          <w:bCs/>
        </w:rPr>
        <w:t>～</w:t>
      </w:r>
      <w:r w:rsidRPr="00BC31E0">
        <w:rPr>
          <w:rFonts w:asciiTheme="majorEastAsia" w:eastAsiaTheme="majorEastAsia" w:hAnsiTheme="majorEastAsia" w:hint="eastAsia"/>
          <w:b/>
        </w:rPr>
        <w:t>4)</w:t>
      </w:r>
      <w:r w:rsidRPr="00BC31E0">
        <w:rPr>
          <w:rFonts w:ascii="ＭＳ 明朝" w:hAnsi="ＭＳ 明朝" w:hint="eastAsia"/>
          <w:bCs/>
        </w:rPr>
        <w:t>の溶接後熱処理条件と制限事項を含み，</w:t>
      </w:r>
      <w:r w:rsidRPr="00BC31E0">
        <w:rPr>
          <w:rFonts w:asciiTheme="majorEastAsia" w:eastAsiaTheme="majorEastAsia" w:hAnsiTheme="majorEastAsia" w:hint="eastAsia"/>
          <w:b/>
        </w:rPr>
        <w:t>JIS B 8285</w:t>
      </w:r>
      <w:r w:rsidRPr="00BC31E0">
        <w:rPr>
          <w:rFonts w:ascii="ＭＳ 明朝" w:hAnsi="ＭＳ 明朝" w:hint="eastAsia"/>
          <w:bCs/>
        </w:rPr>
        <w:t>に従って溶接施工方法の確認試験を行う。</w:t>
      </w:r>
    </w:p>
    <w:p w14:paraId="3E70880B" w14:textId="77777777" w:rsidR="00644B5F" w:rsidRPr="00BC31E0" w:rsidRDefault="00644B5F" w:rsidP="00736130">
      <w:pPr>
        <w:pStyle w:val="a4"/>
        <w:numPr>
          <w:ilvl w:val="0"/>
          <w:numId w:val="339"/>
        </w:numPr>
        <w:ind w:leftChars="0" w:left="738" w:hanging="454"/>
      </w:pPr>
      <w:r w:rsidRPr="00BC31E0">
        <w:rPr>
          <w:rFonts w:hint="eastAsia"/>
        </w:rPr>
        <w:t>材料の溶接後熱処理に対する要求を，次の</w:t>
      </w:r>
      <w:r w:rsidRPr="00BC31E0">
        <w:rPr>
          <w:rFonts w:asciiTheme="majorEastAsia" w:eastAsiaTheme="majorEastAsia" w:hAnsiTheme="majorEastAsia" w:hint="eastAsia"/>
          <w:b/>
        </w:rPr>
        <w:t>1.1)</w:t>
      </w:r>
      <w:r w:rsidRPr="00BC31E0">
        <w:rPr>
          <w:rFonts w:hint="eastAsia"/>
        </w:rPr>
        <w:t>～</w:t>
      </w:r>
      <w:r w:rsidRPr="00BC31E0">
        <w:rPr>
          <w:rFonts w:asciiTheme="majorEastAsia" w:eastAsiaTheme="majorEastAsia" w:hAnsiTheme="majorEastAsia" w:hint="eastAsia"/>
          <w:b/>
        </w:rPr>
        <w:t>1.4)</w:t>
      </w:r>
      <w:r w:rsidRPr="00BC31E0">
        <w:rPr>
          <w:rFonts w:hint="eastAsia"/>
        </w:rPr>
        <w:t>に示す。</w:t>
      </w:r>
    </w:p>
    <w:p w14:paraId="7E1FDC38" w14:textId="77777777" w:rsidR="00870658" w:rsidRPr="00BC31E0" w:rsidRDefault="00C272F4" w:rsidP="00736130">
      <w:pPr>
        <w:pStyle w:val="a4"/>
        <w:numPr>
          <w:ilvl w:val="0"/>
          <w:numId w:val="340"/>
        </w:numPr>
        <w:ind w:leftChars="0" w:left="1134" w:hanging="567"/>
      </w:pPr>
      <w:r w:rsidRPr="00BC31E0">
        <w:rPr>
          <w:rFonts w:hint="eastAsia"/>
        </w:rPr>
        <w:t>高強度の焼入</w:t>
      </w:r>
      <w:r w:rsidR="00644B5F" w:rsidRPr="00BC31E0">
        <w:rPr>
          <w:rFonts w:hint="eastAsia"/>
        </w:rPr>
        <w:t>焼戻鋼に対する溶接後熱処理は，</w:t>
      </w:r>
      <w:r w:rsidR="00644B5F" w:rsidRPr="00BC31E0">
        <w:rPr>
          <w:rFonts w:asciiTheme="majorEastAsia" w:eastAsiaTheme="majorEastAsia" w:hAnsiTheme="majorEastAsia" w:hint="eastAsia"/>
          <w:b/>
        </w:rPr>
        <w:t>7.6.4</w:t>
      </w:r>
      <w:r w:rsidR="00644B5F" w:rsidRPr="00BC31E0">
        <w:rPr>
          <w:rFonts w:hint="eastAsia"/>
        </w:rPr>
        <w:t>による。</w:t>
      </w:r>
    </w:p>
    <w:p w14:paraId="27504276" w14:textId="77777777" w:rsidR="00870658" w:rsidRPr="00BC31E0" w:rsidRDefault="00644B5F" w:rsidP="00736130">
      <w:pPr>
        <w:pStyle w:val="a4"/>
        <w:numPr>
          <w:ilvl w:val="0"/>
          <w:numId w:val="340"/>
        </w:numPr>
        <w:ind w:leftChars="0" w:left="1134" w:hanging="567"/>
      </w:pPr>
      <w:r w:rsidRPr="00BC31E0">
        <w:rPr>
          <w:rFonts w:asciiTheme="majorEastAsia" w:eastAsiaTheme="majorEastAsia" w:hAnsiTheme="majorEastAsia"/>
          <w:b/>
        </w:rPr>
        <w:t>2.25Cr-1Mo-0.25V鋼及び3Cr-1Mo-0.25V-B鋼</w:t>
      </w:r>
      <w:r w:rsidRPr="00BC31E0">
        <w:rPr>
          <w:rFonts w:ascii="ＭＳ 明朝" w:hAnsi="ＭＳ 明朝" w:hint="eastAsia"/>
          <w:bCs/>
        </w:rPr>
        <w:t xml:space="preserve">　</w:t>
      </w:r>
      <w:r w:rsidRPr="00BC31E0">
        <w:rPr>
          <w:rFonts w:ascii="ＭＳ 明朝" w:hAnsi="ＭＳ 明朝"/>
          <w:bCs/>
        </w:rPr>
        <w:t>最終溶接後熱処理は</w:t>
      </w:r>
      <w:r w:rsidRPr="00BC31E0">
        <w:rPr>
          <w:rFonts w:ascii="ＭＳ 明朝" w:hAnsi="ＭＳ 明朝" w:hint="eastAsia"/>
          <w:bCs/>
        </w:rPr>
        <w:t>，</w:t>
      </w:r>
      <w:r w:rsidRPr="00BC31E0">
        <w:rPr>
          <w:bCs/>
        </w:rPr>
        <w:t>P</w:t>
      </w:r>
      <w:r w:rsidRPr="00BC31E0">
        <w:rPr>
          <w:bCs/>
        </w:rPr>
        <w:t>番号</w:t>
      </w:r>
      <w:r w:rsidRPr="00BC31E0">
        <w:rPr>
          <w:bCs/>
        </w:rPr>
        <w:t>5C</w:t>
      </w:r>
      <w:r w:rsidRPr="00BC31E0">
        <w:rPr>
          <w:rFonts w:ascii="ＭＳ 明朝" w:hAnsi="ＭＳ 明朝"/>
          <w:bCs/>
        </w:rPr>
        <w:t>の</w:t>
      </w:r>
      <w:r w:rsidRPr="00BC31E0">
        <w:rPr>
          <w:rFonts w:ascii="ＭＳ 明朝" w:hAnsi="ＭＳ 明朝" w:hint="eastAsia"/>
          <w:bCs/>
        </w:rPr>
        <w:t>材料に対する</w:t>
      </w:r>
      <w:r w:rsidRPr="00BC31E0">
        <w:rPr>
          <w:rFonts w:ascii="ＭＳ 明朝" w:hAnsi="ＭＳ 明朝"/>
          <w:bCs/>
        </w:rPr>
        <w:t>要求事項に従って行</w:t>
      </w:r>
      <w:r w:rsidRPr="00BC31E0">
        <w:rPr>
          <w:rFonts w:ascii="ＭＳ 明朝" w:hAnsi="ＭＳ 明朝" w:hint="eastAsia"/>
          <w:bCs/>
        </w:rPr>
        <w:t>う。</w:t>
      </w:r>
    </w:p>
    <w:p w14:paraId="4D1274EB" w14:textId="77777777" w:rsidR="00870658" w:rsidRPr="00BC31E0" w:rsidRDefault="00644B5F" w:rsidP="00736130">
      <w:pPr>
        <w:pStyle w:val="a4"/>
        <w:numPr>
          <w:ilvl w:val="0"/>
          <w:numId w:val="340"/>
        </w:numPr>
        <w:ind w:leftChars="0" w:left="1134" w:hanging="567"/>
      </w:pPr>
      <w:r w:rsidRPr="00BC31E0">
        <w:rPr>
          <w:rFonts w:asciiTheme="majorEastAsia" w:eastAsiaTheme="majorEastAsia" w:hAnsiTheme="majorEastAsia"/>
          <w:b/>
        </w:rPr>
        <w:t>2.25Cr-1Mo鋼</w:t>
      </w:r>
      <w:r w:rsidRPr="00BC31E0">
        <w:rPr>
          <w:rFonts w:ascii="ＭＳ 明朝" w:hAnsi="ＭＳ 明朝" w:hint="eastAsia"/>
          <w:bCs/>
        </w:rPr>
        <w:t xml:space="preserve">　</w:t>
      </w:r>
      <w:r w:rsidRPr="00BC31E0">
        <w:rPr>
          <w:rFonts w:ascii="ＭＳ 明朝" w:hAnsi="ＭＳ 明朝"/>
          <w:bCs/>
        </w:rPr>
        <w:t>最終溶接後熱処理は</w:t>
      </w:r>
      <w:r w:rsidRPr="00BC31E0">
        <w:rPr>
          <w:rFonts w:ascii="ＭＳ 明朝" w:hAnsi="ＭＳ 明朝" w:hint="eastAsia"/>
          <w:bCs/>
        </w:rPr>
        <w:t>，</w:t>
      </w:r>
      <w:r w:rsidRPr="00BC31E0">
        <w:rPr>
          <w:bCs/>
        </w:rPr>
        <w:t>P</w:t>
      </w:r>
      <w:r w:rsidRPr="00BC31E0">
        <w:rPr>
          <w:bCs/>
        </w:rPr>
        <w:t>番号</w:t>
      </w:r>
      <w:r w:rsidRPr="00BC31E0">
        <w:rPr>
          <w:bCs/>
        </w:rPr>
        <w:t>5A</w:t>
      </w:r>
      <w:r w:rsidRPr="00BC31E0">
        <w:rPr>
          <w:rFonts w:ascii="ＭＳ 明朝" w:hAnsi="ＭＳ 明朝"/>
          <w:bCs/>
        </w:rPr>
        <w:t>の</w:t>
      </w:r>
      <w:r w:rsidRPr="00BC31E0">
        <w:rPr>
          <w:rFonts w:ascii="ＭＳ 明朝" w:hAnsi="ＭＳ 明朝" w:hint="eastAsia"/>
          <w:bCs/>
        </w:rPr>
        <w:t>材料に対する</w:t>
      </w:r>
      <w:r w:rsidRPr="00BC31E0">
        <w:rPr>
          <w:rFonts w:ascii="ＭＳ 明朝" w:hAnsi="ＭＳ 明朝"/>
          <w:bCs/>
        </w:rPr>
        <w:t>要求事項に従って行う。</w:t>
      </w:r>
      <w:r w:rsidRPr="00BC31E0">
        <w:rPr>
          <w:rFonts w:ascii="ＭＳ 明朝" w:hAnsi="ＭＳ 明朝" w:hint="eastAsia"/>
          <w:bCs/>
        </w:rPr>
        <w:t>ただし，</w:t>
      </w:r>
      <w:r w:rsidRPr="00BC31E0">
        <w:rPr>
          <w:rFonts w:asciiTheme="majorEastAsia" w:eastAsiaTheme="majorEastAsia" w:hAnsiTheme="majorEastAsia" w:hint="eastAsia"/>
          <w:b/>
        </w:rPr>
        <w:t>表7.4.1</w:t>
      </w:r>
      <w:r w:rsidRPr="00BC31E0">
        <w:rPr>
          <w:rFonts w:ascii="ＭＳ 明朝" w:hAnsi="ＭＳ 明朝" w:hint="eastAsia"/>
          <w:bCs/>
        </w:rPr>
        <w:t>に示す</w:t>
      </w:r>
      <w:r w:rsidRPr="00BC31E0">
        <w:rPr>
          <w:rFonts w:ascii="ＭＳ 明朝" w:hAnsi="ＭＳ 明朝"/>
          <w:bCs/>
        </w:rPr>
        <w:t>材料は，最低保持温度を</w:t>
      </w:r>
      <w:r w:rsidR="00F17F01" w:rsidRPr="00BC31E0">
        <w:rPr>
          <w:bCs/>
          <w:sz w:val="22"/>
          <w:szCs w:val="22"/>
        </w:rPr>
        <w:t>650</w:t>
      </w:r>
      <w:r w:rsidR="00F17F01" w:rsidRPr="00BC31E0">
        <w:rPr>
          <w:rFonts w:hint="eastAsia"/>
          <w:bCs/>
          <w:sz w:val="22"/>
          <w:szCs w:val="22"/>
        </w:rPr>
        <w:t>℃</w:t>
      </w:r>
      <w:r w:rsidRPr="00BC31E0">
        <w:rPr>
          <w:rFonts w:ascii="ＭＳ 明朝" w:hAnsi="ＭＳ 明朝" w:hint="eastAsia"/>
          <w:bCs/>
        </w:rPr>
        <w:t>とし</w:t>
      </w:r>
      <w:r w:rsidRPr="00BC31E0">
        <w:rPr>
          <w:rFonts w:ascii="ＭＳ 明朝" w:hAnsi="ＭＳ 明朝"/>
          <w:bCs/>
        </w:rPr>
        <w:t>，</w:t>
      </w:r>
      <w:r w:rsidRPr="00BC31E0">
        <w:rPr>
          <w:rFonts w:ascii="ＭＳ 明朝" w:hAnsi="ＭＳ 明朝" w:hint="eastAsia"/>
          <w:bCs/>
        </w:rPr>
        <w:t>次の</w:t>
      </w:r>
      <w:r w:rsidRPr="00BC31E0">
        <w:rPr>
          <w:rFonts w:asciiTheme="majorEastAsia" w:eastAsiaTheme="majorEastAsia" w:hAnsiTheme="majorEastAsia" w:hint="eastAsia"/>
          <w:b/>
        </w:rPr>
        <w:t>4)</w:t>
      </w:r>
      <w:r w:rsidRPr="00BC31E0">
        <w:rPr>
          <w:rFonts w:ascii="ＭＳ 明朝" w:hAnsi="ＭＳ 明朝" w:hint="eastAsia"/>
          <w:bCs/>
        </w:rPr>
        <w:t>で規定する</w:t>
      </w:r>
      <w:r w:rsidRPr="00BC31E0">
        <w:rPr>
          <w:rFonts w:ascii="ＭＳ 明朝" w:hAnsi="ＭＳ 明朝"/>
          <w:bCs/>
        </w:rPr>
        <w:t>公称厚さが</w:t>
      </w:r>
      <w:r w:rsidRPr="00BC31E0">
        <w:rPr>
          <w:bCs/>
        </w:rPr>
        <w:t>125 mm</w:t>
      </w:r>
      <w:r w:rsidRPr="00BC31E0">
        <w:rPr>
          <w:rFonts w:ascii="ＭＳ 明朝" w:hAnsi="ＭＳ 明朝" w:hint="eastAsia"/>
          <w:bCs/>
        </w:rPr>
        <w:t>以下では</w:t>
      </w:r>
      <w:r w:rsidRPr="00BC31E0">
        <w:rPr>
          <w:rFonts w:ascii="ＭＳ 明朝" w:hAnsi="ＭＳ 明朝"/>
          <w:bCs/>
        </w:rPr>
        <w:t>保持時間</w:t>
      </w:r>
      <w:r w:rsidRPr="00BC31E0">
        <w:rPr>
          <w:rFonts w:ascii="ＭＳ 明朝" w:hAnsi="ＭＳ 明朝" w:hint="eastAsia"/>
          <w:bCs/>
        </w:rPr>
        <w:t>を</w:t>
      </w:r>
      <m:oMath>
        <m:f>
          <m:fPr>
            <m:type m:val="lin"/>
            <m:ctrlPr>
              <w:rPr>
                <w:rFonts w:ascii="Cambria Math" w:hAnsi="Cambria Math"/>
                <w:bCs/>
                <w:i/>
              </w:rPr>
            </m:ctrlPr>
          </m:fPr>
          <m:num>
            <m:sSub>
              <m:sSubPr>
                <m:ctrlPr>
                  <w:rPr>
                    <w:rFonts w:ascii="Cambria Math" w:hAnsi="Cambria Math"/>
                    <w:bCs/>
                    <w:i/>
                  </w:rPr>
                </m:ctrlPr>
              </m:sSubPr>
              <m:e>
                <m:r>
                  <w:rPr>
                    <w:rFonts w:ascii="Cambria Math" w:hAnsi="Cambria Math"/>
                  </w:rPr>
                  <m:t xml:space="preserve"> t</m:t>
                </m:r>
              </m:e>
              <m:sub>
                <m:r>
                  <w:rPr>
                    <w:rFonts w:ascii="Cambria Math" w:hAnsi="Cambria Math"/>
                  </w:rPr>
                  <m:t>n</m:t>
                </m:r>
              </m:sub>
            </m:sSub>
          </m:num>
          <m:den>
            <m:r>
              <w:rPr>
                <w:rFonts w:ascii="Cambria Math" w:hAnsi="Cambria Math"/>
              </w:rPr>
              <m:t xml:space="preserve">25 </m:t>
            </m:r>
            <m:r>
              <m:rPr>
                <m:sty m:val="p"/>
              </m:rPr>
              <w:rPr>
                <w:rFonts w:ascii="Cambria Math" w:hAnsi="Cambria Math"/>
              </w:rPr>
              <m:t>h</m:t>
            </m:r>
          </m:den>
        </m:f>
        <m:r>
          <w:rPr>
            <w:rFonts w:ascii="Cambria Math" w:hAnsi="Cambria Math"/>
          </w:rPr>
          <m:t xml:space="preserve"> </m:t>
        </m:r>
      </m:oMath>
      <w:r w:rsidRPr="00BC31E0">
        <w:rPr>
          <w:rFonts w:ascii="ＭＳ 明朝" w:hAnsi="ＭＳ 明朝" w:hint="eastAsia"/>
          <w:bCs/>
        </w:rPr>
        <w:t>，</w:t>
      </w:r>
      <w:r w:rsidRPr="00BC31E0">
        <w:rPr>
          <w:bCs/>
          <w:sz w:val="22"/>
          <w:szCs w:val="22"/>
        </w:rPr>
        <w:t>125 mm</w:t>
      </w:r>
      <w:r w:rsidRPr="00BC31E0">
        <w:rPr>
          <w:rFonts w:ascii="ＭＳ 明朝" w:hAnsi="ＭＳ 明朝"/>
          <w:bCs/>
        </w:rPr>
        <w:t>を超える場合</w:t>
      </w:r>
      <w:r w:rsidRPr="00BC31E0">
        <w:rPr>
          <w:rFonts w:ascii="ＭＳ 明朝" w:hAnsi="ＭＳ 明朝" w:hint="eastAsia"/>
          <w:bCs/>
        </w:rPr>
        <w:t>には</w:t>
      </w:r>
      <w:r w:rsidRPr="00BC31E0">
        <w:rPr>
          <w:rFonts w:ascii="ＭＳ 明朝" w:hAnsi="ＭＳ 明朝"/>
          <w:bCs/>
        </w:rPr>
        <w:t>保持時間</w:t>
      </w:r>
      <w:r w:rsidRPr="00BC31E0">
        <w:rPr>
          <w:rFonts w:ascii="ＭＳ 明朝" w:hAnsi="ＭＳ 明朝" w:hint="eastAsia"/>
          <w:bCs/>
        </w:rPr>
        <w:t>を</w:t>
      </w:r>
      <m:oMath>
        <m:r>
          <w:rPr>
            <w:rFonts w:ascii="Cambria Math" w:hAnsi="Cambria Math"/>
          </w:rPr>
          <m:t xml:space="preserve"> 5+</m:t>
        </m:r>
        <m:f>
          <m:fPr>
            <m:type m:val="lin"/>
            <m:ctrlPr>
              <w:rPr>
                <w:rFonts w:ascii="Cambria Math" w:hAnsi="Cambria Math"/>
                <w:bCs/>
                <w:i/>
              </w:rPr>
            </m:ctrlPr>
          </m:fPr>
          <m:num>
            <m:d>
              <m:dPr>
                <m:ctrlPr>
                  <w:rPr>
                    <w:rFonts w:ascii="Cambria Math" w:hAnsi="Cambria Math"/>
                    <w:bCs/>
                    <w:i/>
                  </w:rPr>
                </m:ctrlPr>
              </m:dPr>
              <m:e>
                <m:sSub>
                  <m:sSubPr>
                    <m:ctrlPr>
                      <w:rPr>
                        <w:rFonts w:ascii="Cambria Math" w:hAnsi="Cambria Math"/>
                        <w:bCs/>
                        <w:i/>
                      </w:rPr>
                    </m:ctrlPr>
                  </m:sSubPr>
                  <m:e>
                    <m:r>
                      <w:rPr>
                        <w:rFonts w:ascii="Cambria Math" w:hAnsi="Cambria Math"/>
                      </w:rPr>
                      <m:t>t</m:t>
                    </m:r>
                  </m:e>
                  <m:sub>
                    <m:r>
                      <w:rPr>
                        <w:rFonts w:ascii="Cambria Math" w:hAnsi="Cambria Math"/>
                      </w:rPr>
                      <m:t>n</m:t>
                    </m:r>
                  </m:sub>
                </m:sSub>
                <m:r>
                  <w:rPr>
                    <w:rFonts w:ascii="Cambria Math" w:hAnsi="Cambria Math"/>
                  </w:rPr>
                  <m:t>-125</m:t>
                </m:r>
              </m:e>
            </m:d>
          </m:num>
          <m:den>
            <m:r>
              <w:rPr>
                <w:rFonts w:ascii="Cambria Math" w:hAnsi="Cambria Math"/>
              </w:rPr>
              <m:t xml:space="preserve">100 </m:t>
            </m:r>
          </m:den>
        </m:f>
        <m:r>
          <m:rPr>
            <m:sty m:val="p"/>
          </m:rPr>
          <w:rPr>
            <w:rFonts w:ascii="Cambria Math" w:hAnsi="Cambria Math"/>
          </w:rPr>
          <m:t xml:space="preserve">h </m:t>
        </m:r>
      </m:oMath>
      <w:r w:rsidRPr="00BC31E0">
        <w:rPr>
          <w:rFonts w:ascii="ＭＳ 明朝" w:hAnsi="ＭＳ 明朝"/>
          <w:bCs/>
        </w:rPr>
        <w:t>とする</w:t>
      </w:r>
      <w:r w:rsidRPr="00BC31E0">
        <w:rPr>
          <w:rFonts w:ascii="ＭＳ 明朝" w:hAnsi="ＭＳ 明朝" w:hint="eastAsia"/>
          <w:bCs/>
        </w:rPr>
        <w:t>。ここで，</w:t>
      </w:r>
      <m:oMath>
        <m:sSub>
          <m:sSubPr>
            <m:ctrlPr>
              <w:rPr>
                <w:rFonts w:ascii="Cambria Math" w:hAnsi="Cambria Math"/>
                <w:bCs/>
                <w:i/>
              </w:rPr>
            </m:ctrlPr>
          </m:sSubPr>
          <m:e>
            <m:r>
              <w:rPr>
                <w:rFonts w:ascii="Cambria Math" w:hAnsi="Cambria Math"/>
              </w:rPr>
              <m:t>t</m:t>
            </m:r>
          </m:e>
          <m:sub>
            <m:r>
              <w:rPr>
                <w:rFonts w:ascii="Cambria Math" w:hAnsi="Cambria Math"/>
              </w:rPr>
              <m:t>n</m:t>
            </m:r>
          </m:sub>
        </m:sSub>
        <m:r>
          <w:rPr>
            <w:rFonts w:ascii="Cambria Math" w:hAnsi="Cambria Math"/>
          </w:rPr>
          <m:t xml:space="preserve"> </m:t>
        </m:r>
      </m:oMath>
      <w:r w:rsidRPr="00BC31E0">
        <w:rPr>
          <w:rFonts w:ascii="ＭＳ 明朝" w:hAnsi="ＭＳ 明朝" w:hint="eastAsia"/>
          <w:bCs/>
        </w:rPr>
        <w:t>は公称厚さである。</w:t>
      </w:r>
    </w:p>
    <w:p w14:paraId="581C4338" w14:textId="77777777" w:rsidR="00644B5F" w:rsidRPr="00BC31E0" w:rsidRDefault="00644B5F" w:rsidP="00736130">
      <w:pPr>
        <w:pStyle w:val="a4"/>
        <w:numPr>
          <w:ilvl w:val="0"/>
          <w:numId w:val="340"/>
        </w:numPr>
        <w:ind w:leftChars="0" w:left="1134" w:hanging="567"/>
      </w:pPr>
      <w:r w:rsidRPr="00BC31E0">
        <w:rPr>
          <w:rFonts w:ascii="ＭＳ 明朝" w:hAnsi="ＭＳ 明朝" w:hint="eastAsia"/>
          <w:bCs/>
        </w:rPr>
        <w:t>その他の材料の溶接後熱処理は，</w:t>
      </w:r>
      <w:r w:rsidRPr="00BC31E0">
        <w:rPr>
          <w:bCs/>
        </w:rPr>
        <w:t>P</w:t>
      </w:r>
      <w:r w:rsidRPr="00BC31E0">
        <w:rPr>
          <w:rFonts w:ascii="ＭＳ 明朝" w:hAnsi="ＭＳ 明朝" w:hint="eastAsia"/>
          <w:bCs/>
        </w:rPr>
        <w:t>番号に対して</w:t>
      </w:r>
      <w:r w:rsidRPr="00BC31E0">
        <w:rPr>
          <w:rFonts w:asciiTheme="majorEastAsia" w:eastAsiaTheme="majorEastAsia" w:hAnsiTheme="majorEastAsia" w:hint="eastAsia"/>
          <w:b/>
        </w:rPr>
        <w:t>表7.4.2</w:t>
      </w:r>
      <w:r w:rsidRPr="00BC31E0">
        <w:rPr>
          <w:rFonts w:ascii="ＭＳ 明朝" w:hAnsi="ＭＳ 明朝" w:hint="eastAsia"/>
          <w:bCs/>
        </w:rPr>
        <w:t>～</w:t>
      </w:r>
      <w:r w:rsidRPr="00BC31E0">
        <w:rPr>
          <w:rFonts w:asciiTheme="majorEastAsia" w:eastAsiaTheme="majorEastAsia" w:hAnsiTheme="majorEastAsia" w:hint="eastAsia"/>
          <w:b/>
        </w:rPr>
        <w:t>表7.4.18</w:t>
      </w:r>
      <w:r w:rsidRPr="00BC31E0">
        <w:rPr>
          <w:rFonts w:ascii="ＭＳ 明朝" w:hAnsi="ＭＳ 明朝" w:hint="eastAsia"/>
          <w:bCs/>
        </w:rPr>
        <w:t>の要求事項に従って行う。表には</w:t>
      </w:r>
      <w:r w:rsidRPr="00BC31E0">
        <w:rPr>
          <w:rFonts w:asciiTheme="majorEastAsia" w:eastAsiaTheme="majorEastAsia" w:hAnsiTheme="majorEastAsia" w:hint="eastAsia"/>
          <w:b/>
        </w:rPr>
        <w:t>ASME Sec. II</w:t>
      </w:r>
      <w:r w:rsidRPr="00BC31E0">
        <w:rPr>
          <w:rFonts w:hAnsi="ＭＳ ゴシック" w:hint="eastAsia"/>
        </w:rPr>
        <w:t>，</w:t>
      </w:r>
      <w:r w:rsidRPr="00BC31E0">
        <w:rPr>
          <w:rFonts w:asciiTheme="majorEastAsia" w:eastAsiaTheme="majorEastAsia" w:hAnsiTheme="majorEastAsia" w:hint="eastAsia"/>
          <w:b/>
        </w:rPr>
        <w:t>Part D</w:t>
      </w:r>
      <w:r w:rsidRPr="00BC31E0">
        <w:rPr>
          <w:rFonts w:ascii="ＭＳ 明朝" w:hAnsi="ＭＳ 明朝" w:hint="eastAsia"/>
          <w:bCs/>
        </w:rPr>
        <w:t>による</w:t>
      </w:r>
      <w:r w:rsidRPr="00BC31E0">
        <w:rPr>
          <w:rFonts w:asciiTheme="minorHAnsi" w:hAnsiTheme="minorHAnsi"/>
          <w:bCs/>
        </w:rPr>
        <w:t>P</w:t>
      </w:r>
      <w:r w:rsidRPr="00BC31E0">
        <w:rPr>
          <w:rFonts w:ascii="ＭＳ 明朝" w:hAnsi="ＭＳ 明朝" w:hint="eastAsia"/>
          <w:bCs/>
        </w:rPr>
        <w:t>番号を示すが，</w:t>
      </w:r>
      <w:r w:rsidRPr="00BC31E0">
        <w:rPr>
          <w:rFonts w:asciiTheme="majorEastAsia" w:eastAsiaTheme="majorEastAsia" w:hAnsiTheme="majorEastAsia"/>
          <w:b/>
          <w:bCs/>
        </w:rPr>
        <w:t>JIS</w:t>
      </w:r>
      <w:r w:rsidRPr="00BC31E0">
        <w:rPr>
          <w:rFonts w:ascii="ＭＳ 明朝" w:hAnsi="ＭＳ 明朝" w:hint="eastAsia"/>
          <w:bCs/>
        </w:rPr>
        <w:t>による</w:t>
      </w:r>
      <w:r w:rsidRPr="00BC31E0">
        <w:rPr>
          <w:bCs/>
        </w:rPr>
        <w:t>P</w:t>
      </w:r>
      <w:r w:rsidRPr="00BC31E0">
        <w:rPr>
          <w:rFonts w:ascii="ＭＳ 明朝" w:hAnsi="ＭＳ 明朝" w:hint="eastAsia"/>
          <w:bCs/>
        </w:rPr>
        <w:t>番号との対応は</w:t>
      </w:r>
      <w:r w:rsidRPr="00BC31E0">
        <w:rPr>
          <w:rFonts w:asciiTheme="majorEastAsia" w:eastAsiaTheme="majorEastAsia" w:hAnsiTheme="majorEastAsia" w:hint="eastAsia"/>
          <w:b/>
        </w:rPr>
        <w:t>JIS B 8267</w:t>
      </w:r>
      <w:r w:rsidR="00461281" w:rsidRPr="00BC31E0">
        <w:rPr>
          <w:rFonts w:asciiTheme="majorEastAsia" w:eastAsiaTheme="majorEastAsia" w:hAnsiTheme="majorEastAsia" w:hint="eastAsia"/>
          <w:b/>
        </w:rPr>
        <w:t xml:space="preserve"> </w:t>
      </w:r>
      <w:r w:rsidRPr="00BC31E0">
        <w:rPr>
          <w:rFonts w:asciiTheme="majorEastAsia" w:eastAsiaTheme="majorEastAsia" w:hAnsiTheme="majorEastAsia" w:hint="eastAsia"/>
          <w:b/>
        </w:rPr>
        <w:t>附属書A</w:t>
      </w:r>
      <w:r w:rsidRPr="00BC31E0">
        <w:rPr>
          <w:rFonts w:ascii="ＭＳ 明朝" w:hAnsi="ＭＳ 明朝" w:hint="eastAsia"/>
          <w:bCs/>
        </w:rPr>
        <w:t>を参照する。これらの表に記載された事項を除いて，全ての溶接された圧力容器又は部材は，腐れ代を含めた溶接継手の公称厚さに基づいて，表で規定された温度以上で溶接後熱処理を行う。なお，</w:t>
      </w:r>
      <w:r w:rsidRPr="00BC31E0">
        <w:rPr>
          <w:rFonts w:asciiTheme="majorEastAsia" w:eastAsiaTheme="majorEastAsia" w:hAnsiTheme="majorEastAsia" w:hint="eastAsia"/>
          <w:b/>
        </w:rPr>
        <w:t>10.2</w:t>
      </w:r>
      <w:r w:rsidRPr="00BC31E0">
        <w:rPr>
          <w:rFonts w:hAnsi="ＭＳ ゴシック" w:hint="eastAsia"/>
        </w:rPr>
        <w:t xml:space="preserve"> </w:t>
      </w:r>
      <w:r w:rsidRPr="00BC31E0">
        <w:rPr>
          <w:rFonts w:ascii="ＭＳ 明朝" w:hAnsi="ＭＳ 明朝" w:hint="eastAsia"/>
          <w:bCs/>
        </w:rPr>
        <w:t>の要求事項により，追加の溶接後熱処理が要求されることもある。</w:t>
      </w:r>
    </w:p>
    <w:p w14:paraId="4F4BB21B" w14:textId="77777777" w:rsidR="004078BD" w:rsidRPr="00BC31E0" w:rsidRDefault="00644B5F" w:rsidP="00736130">
      <w:pPr>
        <w:pStyle w:val="a4"/>
        <w:numPr>
          <w:ilvl w:val="0"/>
          <w:numId w:val="339"/>
        </w:numPr>
        <w:ind w:leftChars="0" w:left="738" w:hanging="454"/>
      </w:pPr>
      <w:r w:rsidRPr="00BC31E0">
        <w:rPr>
          <w:rFonts w:asciiTheme="majorEastAsia" w:eastAsiaTheme="majorEastAsia" w:hAnsiTheme="majorEastAsia" w:hint="eastAsia"/>
          <w:b/>
        </w:rPr>
        <w:t>保持温度及び保持時間を超える場合</w:t>
      </w:r>
      <w:r w:rsidRPr="00BC31E0">
        <w:rPr>
          <w:rFonts w:hAnsi="ＭＳ ゴシック" w:hint="eastAsia"/>
        </w:rPr>
        <w:t xml:space="preserve">　</w:t>
      </w:r>
      <w:r w:rsidRPr="00BC31E0">
        <w:rPr>
          <w:rFonts w:asciiTheme="majorEastAsia" w:eastAsiaTheme="majorEastAsia" w:hAnsiTheme="majorEastAsia" w:hint="eastAsia"/>
          <w:b/>
        </w:rPr>
        <w:t>1)</w:t>
      </w:r>
      <w:r w:rsidRPr="00BC31E0">
        <w:rPr>
          <w:rFonts w:hint="eastAsia"/>
        </w:rPr>
        <w:t>の制限事項を除いて，保持温度又は保持時間は</w:t>
      </w:r>
      <w:r w:rsidRPr="00BC31E0">
        <w:rPr>
          <w:rFonts w:asciiTheme="majorEastAsia" w:eastAsiaTheme="majorEastAsia" w:hAnsiTheme="majorEastAsia" w:hint="eastAsia"/>
          <w:b/>
        </w:rPr>
        <w:t>表7.4.2</w:t>
      </w:r>
      <w:r w:rsidRPr="00BC31E0">
        <w:rPr>
          <w:rFonts w:hint="eastAsia"/>
        </w:rPr>
        <w:t>～</w:t>
      </w:r>
      <w:r w:rsidRPr="00BC31E0">
        <w:rPr>
          <w:rFonts w:asciiTheme="majorEastAsia" w:eastAsiaTheme="majorEastAsia" w:hAnsiTheme="majorEastAsia" w:hint="eastAsia"/>
          <w:b/>
        </w:rPr>
        <w:t>表7.4.18</w:t>
      </w:r>
      <w:r w:rsidRPr="00BC31E0">
        <w:rPr>
          <w:rFonts w:hint="eastAsia"/>
        </w:rPr>
        <w:t>に示す最低の値を超えてもよい。その場合の試験板の熱処理は，</w:t>
      </w:r>
      <w:r w:rsidRPr="00BC31E0">
        <w:rPr>
          <w:rFonts w:asciiTheme="majorEastAsia" w:eastAsiaTheme="majorEastAsia" w:hAnsiTheme="majorEastAsia" w:hint="eastAsia"/>
          <w:b/>
        </w:rPr>
        <w:t>表7.4.1</w:t>
      </w:r>
      <w:r w:rsidRPr="00BC31E0">
        <w:rPr>
          <w:rFonts w:hint="eastAsia"/>
        </w:rPr>
        <w:t>に示す材料に対しては</w:t>
      </w:r>
      <w:r w:rsidRPr="00BC31E0">
        <w:rPr>
          <w:rFonts w:asciiTheme="majorEastAsia" w:eastAsiaTheme="majorEastAsia" w:hAnsiTheme="majorEastAsia" w:hint="eastAsia"/>
          <w:b/>
        </w:rPr>
        <w:t>10.1.2 d)</w:t>
      </w:r>
      <w:r w:rsidRPr="00BC31E0">
        <w:rPr>
          <w:rFonts w:hint="eastAsia"/>
        </w:rPr>
        <w:t>，その他の材料に対しては</w:t>
      </w:r>
      <w:r w:rsidRPr="00BC31E0">
        <w:rPr>
          <w:rFonts w:asciiTheme="majorEastAsia" w:eastAsiaTheme="majorEastAsia" w:hAnsiTheme="majorEastAsia" w:hint="eastAsia"/>
          <w:b/>
        </w:rPr>
        <w:t>10.1.2 c)</w:t>
      </w:r>
      <w:r w:rsidRPr="00BC31E0">
        <w:rPr>
          <w:rFonts w:hint="eastAsia"/>
        </w:rPr>
        <w:t>を参照する。中間の溶接後熱処理は，</w:t>
      </w:r>
      <w:r w:rsidRPr="00BC31E0">
        <w:rPr>
          <w:rFonts w:asciiTheme="majorEastAsia" w:eastAsiaTheme="majorEastAsia" w:hAnsiTheme="majorEastAsia" w:hint="eastAsia"/>
          <w:b/>
        </w:rPr>
        <w:t>1)</w:t>
      </w:r>
      <w:r w:rsidRPr="00BC31E0">
        <w:rPr>
          <w:rFonts w:hint="eastAsia"/>
        </w:rPr>
        <w:t>に準拠する必要はない。溶接後熱処理の時間－温度の全ての記録は保管する。これらの表に規定された温度における保持時間は連続した時間の必要</w:t>
      </w:r>
      <w:r w:rsidRPr="00BC31E0">
        <w:rPr>
          <w:rFonts w:hint="eastAsia"/>
        </w:rPr>
        <w:lastRenderedPageBreak/>
        <w:t>はなく，多段の溶接後熱処理サイクルの累積時間でよい。</w:t>
      </w:r>
    </w:p>
    <w:p w14:paraId="25FC8BD4" w14:textId="77777777" w:rsidR="004078BD" w:rsidRPr="00BC31E0" w:rsidRDefault="00644B5F" w:rsidP="00736130">
      <w:pPr>
        <w:pStyle w:val="a4"/>
        <w:numPr>
          <w:ilvl w:val="0"/>
          <w:numId w:val="339"/>
        </w:numPr>
        <w:ind w:leftChars="0" w:left="738" w:hanging="454"/>
      </w:pPr>
      <w:r w:rsidRPr="00BC31E0">
        <w:rPr>
          <w:rFonts w:asciiTheme="majorEastAsia" w:eastAsiaTheme="majorEastAsia" w:hAnsiTheme="majorEastAsia" w:hint="eastAsia"/>
          <w:b/>
        </w:rPr>
        <w:t>異なる</w:t>
      </w:r>
      <w:r w:rsidRPr="00BC31E0">
        <w:rPr>
          <w:rFonts w:asciiTheme="majorEastAsia" w:eastAsiaTheme="majorEastAsia" w:hAnsiTheme="majorEastAsia"/>
          <w:b/>
        </w:rPr>
        <w:t>P</w:t>
      </w:r>
      <w:r w:rsidRPr="00BC31E0">
        <w:rPr>
          <w:rFonts w:asciiTheme="majorEastAsia" w:eastAsiaTheme="majorEastAsia" w:hAnsiTheme="majorEastAsia" w:hint="eastAsia"/>
          <w:b/>
        </w:rPr>
        <w:t>番号グループの材料及び非耐圧部材が取付けられる耐圧部材の熱処理</w:t>
      </w:r>
      <w:r w:rsidRPr="00BC31E0">
        <w:rPr>
          <w:rFonts w:ascii="ＭＳ 明朝" w:hAnsi="ＭＳ 明朝" w:hint="eastAsia"/>
        </w:rPr>
        <w:t xml:space="preserve">　二つの異なる</w:t>
      </w:r>
      <w:r w:rsidRPr="00BC31E0">
        <w:t>P</w:t>
      </w:r>
      <w:r w:rsidRPr="00BC31E0">
        <w:rPr>
          <w:rFonts w:ascii="ＭＳ 明朝" w:hAnsi="ＭＳ 明朝" w:hint="eastAsia"/>
        </w:rPr>
        <w:t>番号グループの耐圧部材を溶接する場合，溶接後熱処理は</w:t>
      </w:r>
      <w:r w:rsidRPr="00BC31E0">
        <w:rPr>
          <w:rFonts w:asciiTheme="majorEastAsia" w:eastAsiaTheme="majorEastAsia" w:hAnsiTheme="majorEastAsia" w:hint="eastAsia"/>
          <w:b/>
        </w:rPr>
        <w:t>表7.4.2</w:t>
      </w:r>
      <w:r w:rsidRPr="00BC31E0">
        <w:rPr>
          <w:rFonts w:ascii="ＭＳ 明朝" w:hAnsi="ＭＳ 明朝" w:hint="eastAsia"/>
        </w:rPr>
        <w:t>～</w:t>
      </w:r>
      <w:r w:rsidRPr="00BC31E0">
        <w:rPr>
          <w:rFonts w:asciiTheme="majorEastAsia" w:eastAsiaTheme="majorEastAsia" w:hAnsiTheme="majorEastAsia" w:hint="eastAsia"/>
          <w:b/>
        </w:rPr>
        <w:t>表7.4.18</w:t>
      </w:r>
      <w:r w:rsidRPr="00BC31E0">
        <w:rPr>
          <w:rFonts w:ascii="ＭＳ 明朝" w:hAnsi="ＭＳ 明朝" w:hint="eastAsia"/>
        </w:rPr>
        <w:t>において，より高温の溶接後熱処理温度が要求される材料での規定を適用する。非耐圧部材を耐圧部材に溶接する場合には，耐圧部材の溶接後熱処理温度の方を管理する。</w:t>
      </w:r>
    </w:p>
    <w:p w14:paraId="648D0B92" w14:textId="77777777" w:rsidR="00644B5F" w:rsidRPr="00BC31E0" w:rsidRDefault="00644B5F" w:rsidP="00736130">
      <w:pPr>
        <w:pStyle w:val="a4"/>
        <w:numPr>
          <w:ilvl w:val="0"/>
          <w:numId w:val="339"/>
        </w:numPr>
        <w:ind w:leftChars="0" w:left="738" w:hanging="454"/>
      </w:pPr>
      <w:r w:rsidRPr="00BC31E0">
        <w:rPr>
          <w:rFonts w:asciiTheme="majorEastAsia" w:eastAsiaTheme="majorEastAsia" w:hAnsiTheme="majorEastAsia" w:hint="eastAsia"/>
          <w:b/>
        </w:rPr>
        <w:t>溶接後熱処理を決める公称厚さの定義</w:t>
      </w:r>
      <w:r w:rsidRPr="00BC31E0">
        <w:rPr>
          <w:rFonts w:ascii="ＭＳ 明朝" w:hAnsi="ＭＳ 明朝" w:hint="eastAsia"/>
        </w:rPr>
        <w:t xml:space="preserve">　</w:t>
      </w:r>
      <w:r w:rsidRPr="00BC31E0">
        <w:rPr>
          <w:rFonts w:asciiTheme="majorEastAsia" w:eastAsiaTheme="majorEastAsia" w:hAnsiTheme="majorEastAsia" w:hint="eastAsia"/>
          <w:b/>
        </w:rPr>
        <w:t>表7.4.2</w:t>
      </w:r>
      <w:r w:rsidRPr="00BC31E0">
        <w:rPr>
          <w:rFonts w:ascii="ＭＳ 明朝" w:hAnsi="ＭＳ 明朝" w:hint="eastAsia"/>
        </w:rPr>
        <w:t>～</w:t>
      </w:r>
      <w:r w:rsidRPr="00BC31E0">
        <w:rPr>
          <w:rFonts w:asciiTheme="majorEastAsia" w:eastAsiaTheme="majorEastAsia" w:hAnsiTheme="majorEastAsia" w:hint="eastAsia"/>
          <w:b/>
        </w:rPr>
        <w:t>表7.4.18</w:t>
      </w:r>
      <w:r w:rsidRPr="00BC31E0">
        <w:rPr>
          <w:rFonts w:ascii="ＭＳ 明朝" w:hAnsi="ＭＳ 明朝" w:hint="eastAsia"/>
        </w:rPr>
        <w:t>及び</w:t>
      </w:r>
      <w:r w:rsidRPr="00BC31E0">
        <w:rPr>
          <w:rFonts w:asciiTheme="majorEastAsia" w:eastAsiaTheme="majorEastAsia" w:hAnsiTheme="majorEastAsia" w:hint="eastAsia"/>
          <w:b/>
        </w:rPr>
        <w:t>表7.6.1</w:t>
      </w:r>
      <w:r w:rsidRPr="00BC31E0">
        <w:rPr>
          <w:rFonts w:ascii="ＭＳ 明朝" w:hAnsi="ＭＳ 明朝" w:hint="eastAsia"/>
        </w:rPr>
        <w:t>の公称厚さは，次の</w:t>
      </w:r>
      <w:r w:rsidRPr="00BC31E0">
        <w:rPr>
          <w:rFonts w:asciiTheme="majorEastAsia" w:eastAsiaTheme="majorEastAsia" w:hAnsiTheme="majorEastAsia" w:hint="eastAsia"/>
          <w:b/>
        </w:rPr>
        <w:t>4.1)</w:t>
      </w:r>
      <w:r w:rsidRPr="00BC31E0">
        <w:rPr>
          <w:rFonts w:ascii="ＭＳ 明朝" w:hAnsi="ＭＳ 明朝" w:hint="eastAsia"/>
        </w:rPr>
        <w:t>～</w:t>
      </w:r>
      <w:r w:rsidRPr="00BC31E0">
        <w:rPr>
          <w:rFonts w:asciiTheme="majorEastAsia" w:eastAsiaTheme="majorEastAsia" w:hAnsiTheme="majorEastAsia" w:hint="eastAsia"/>
          <w:b/>
        </w:rPr>
        <w:t>4.6)</w:t>
      </w:r>
      <w:r w:rsidRPr="00BC31E0">
        <w:rPr>
          <w:rFonts w:ascii="ＭＳ 明朝" w:hAnsi="ＭＳ 明朝" w:hint="eastAsia"/>
        </w:rPr>
        <w:t>で定義される溶接継手の厚さである。炉内で溶接後熱処理される圧力容器又は部材に対しては，以前に溶接後熱処理されなかった容器又は部材中の最大の溶接部厚さである。</w:t>
      </w:r>
    </w:p>
    <w:p w14:paraId="1201CBCA" w14:textId="77777777" w:rsidR="00961F60" w:rsidRPr="00BC31E0" w:rsidRDefault="00644B5F" w:rsidP="00736130">
      <w:pPr>
        <w:pStyle w:val="a4"/>
        <w:numPr>
          <w:ilvl w:val="0"/>
          <w:numId w:val="494"/>
        </w:numPr>
        <w:ind w:leftChars="0" w:left="1134" w:hanging="567"/>
      </w:pPr>
      <w:r w:rsidRPr="00BC31E0">
        <w:rPr>
          <w:rFonts w:hint="eastAsia"/>
        </w:rPr>
        <w:t>同一厚さの完全溶込み突合せ溶接継手では，公称厚さは溶接余盛を除いた全溶接深さである。</w:t>
      </w:r>
    </w:p>
    <w:p w14:paraId="69F3BF80" w14:textId="77777777" w:rsidR="00961F60" w:rsidRPr="00BC31E0" w:rsidRDefault="00644B5F" w:rsidP="00736130">
      <w:pPr>
        <w:pStyle w:val="a4"/>
        <w:numPr>
          <w:ilvl w:val="0"/>
          <w:numId w:val="494"/>
        </w:numPr>
        <w:ind w:leftChars="0" w:left="1134" w:hanging="567"/>
      </w:pPr>
      <w:r w:rsidRPr="00BC31E0">
        <w:rPr>
          <w:rFonts w:ascii="ＭＳ 明朝" w:hAnsi="ＭＳ 明朝" w:hint="eastAsia"/>
          <w:bCs/>
        </w:rPr>
        <w:t>完全溶込み溶接</w:t>
      </w:r>
      <w:r w:rsidRPr="00BC31E0">
        <w:rPr>
          <w:rFonts w:asciiTheme="minorHAnsi" w:hAnsiTheme="minorHAnsi"/>
          <w:bCs/>
        </w:rPr>
        <w:t>(</w:t>
      </w:r>
      <w:r w:rsidRPr="00BC31E0">
        <w:rPr>
          <w:rFonts w:asciiTheme="minorHAnsi" w:hAnsi="ＭＳ 明朝"/>
          <w:bCs/>
        </w:rPr>
        <w:t>グルーブ溶接</w:t>
      </w:r>
      <w:r w:rsidRPr="00BC31E0">
        <w:rPr>
          <w:rFonts w:asciiTheme="minorHAnsi" w:hAnsiTheme="minorHAnsi"/>
          <w:bCs/>
        </w:rPr>
        <w:t>)</w:t>
      </w:r>
      <w:r w:rsidRPr="00BC31E0">
        <w:rPr>
          <w:rFonts w:ascii="ＭＳ 明朝" w:hAnsi="ＭＳ 明朝" w:hint="eastAsia"/>
          <w:bCs/>
        </w:rPr>
        <w:t>の場合には，公称厚さはグルーブ深さである。</w:t>
      </w:r>
    </w:p>
    <w:p w14:paraId="47067767" w14:textId="77777777" w:rsidR="00961F60" w:rsidRPr="00BC31E0" w:rsidRDefault="00644B5F" w:rsidP="00736130">
      <w:pPr>
        <w:pStyle w:val="a4"/>
        <w:numPr>
          <w:ilvl w:val="0"/>
          <w:numId w:val="494"/>
        </w:numPr>
        <w:ind w:leftChars="0" w:left="1134" w:hanging="567"/>
      </w:pPr>
      <w:r w:rsidRPr="00BC31E0">
        <w:rPr>
          <w:rFonts w:ascii="ＭＳ 明朝" w:hAnsi="ＭＳ 明朝" w:hint="eastAsia"/>
          <w:bCs/>
        </w:rPr>
        <w:t>隅肉溶接の場合には，公称厚さはのど厚である。隅肉溶接と完全溶込み溶接</w:t>
      </w:r>
      <w:r w:rsidRPr="00BC31E0">
        <w:rPr>
          <w:rFonts w:asciiTheme="minorHAnsi" w:hAnsiTheme="minorHAnsi"/>
          <w:bCs/>
        </w:rPr>
        <w:t>(</w:t>
      </w:r>
      <w:r w:rsidRPr="00BC31E0">
        <w:rPr>
          <w:rFonts w:asciiTheme="minorHAnsi" w:hAnsi="ＭＳ 明朝"/>
          <w:bCs/>
        </w:rPr>
        <w:t>グルーブ溶接</w:t>
      </w:r>
      <w:r w:rsidRPr="00BC31E0">
        <w:rPr>
          <w:rFonts w:asciiTheme="minorHAnsi" w:hAnsiTheme="minorHAnsi"/>
          <w:bCs/>
        </w:rPr>
        <w:t>)</w:t>
      </w:r>
      <w:r w:rsidRPr="00BC31E0">
        <w:rPr>
          <w:rFonts w:ascii="ＭＳ 明朝" w:hAnsi="ＭＳ 明朝" w:hint="eastAsia"/>
          <w:bCs/>
        </w:rPr>
        <w:t>を併用した場合には，公称厚さはグルーブ深さ又はのど厚のどちらか大きい方である。</w:t>
      </w:r>
    </w:p>
    <w:p w14:paraId="5E1F8574" w14:textId="77777777" w:rsidR="00961F60" w:rsidRPr="00BC31E0" w:rsidRDefault="00644B5F" w:rsidP="00736130">
      <w:pPr>
        <w:pStyle w:val="a4"/>
        <w:numPr>
          <w:ilvl w:val="0"/>
          <w:numId w:val="494"/>
        </w:numPr>
        <w:ind w:leftChars="0" w:left="1134" w:hanging="567"/>
      </w:pPr>
      <w:r w:rsidRPr="00BC31E0">
        <w:rPr>
          <w:rFonts w:ascii="ＭＳ 明朝" w:hAnsi="ＭＳ 明朝" w:hint="eastAsia"/>
          <w:bCs/>
        </w:rPr>
        <w:t>スタッド溶接の場合には，公称厚さはスタッドの直径である。</w:t>
      </w:r>
    </w:p>
    <w:p w14:paraId="7A4FA793" w14:textId="77777777" w:rsidR="00644B5F" w:rsidRPr="00BC31E0" w:rsidRDefault="00644B5F" w:rsidP="00736130">
      <w:pPr>
        <w:pStyle w:val="a4"/>
        <w:numPr>
          <w:ilvl w:val="0"/>
          <w:numId w:val="494"/>
        </w:numPr>
        <w:ind w:leftChars="0" w:left="1134" w:hanging="567"/>
      </w:pPr>
      <w:r w:rsidRPr="00BC31E0">
        <w:rPr>
          <w:rFonts w:ascii="ＭＳ 明朝" w:hAnsi="ＭＳ 明朝" w:hint="eastAsia"/>
          <w:bCs/>
        </w:rPr>
        <w:t>厚さの異なる溶接継手の場合には，公称厚さは次による。</w:t>
      </w:r>
    </w:p>
    <w:p w14:paraId="5CDCBCF1" w14:textId="77777777" w:rsidR="00961F60" w:rsidRPr="00BC31E0" w:rsidRDefault="00644B5F" w:rsidP="00961F60">
      <w:pPr>
        <w:ind w:left="1361" w:hanging="227"/>
      </w:pPr>
      <w:r w:rsidRPr="00BC31E0">
        <w:rPr>
          <w:rFonts w:hint="eastAsia"/>
        </w:rPr>
        <w:t>・鏡とシェルの溶接部を含め，二つの隣接する突合せ溶接部材の薄い方</w:t>
      </w:r>
    </w:p>
    <w:p w14:paraId="1B496436" w14:textId="77777777" w:rsidR="009E259D" w:rsidRPr="00BC31E0" w:rsidRDefault="00644B5F" w:rsidP="009E259D">
      <w:pPr>
        <w:ind w:left="1361" w:hanging="227"/>
        <w:rPr>
          <w:rFonts w:asciiTheme="minorHAnsi" w:eastAsiaTheme="minorEastAsia" w:hAnsiTheme="minorEastAsia"/>
          <w:bCs/>
        </w:rPr>
      </w:pPr>
      <w:r w:rsidRPr="00BC31E0">
        <w:rPr>
          <w:rFonts w:asciiTheme="minorHAnsi" w:eastAsiaTheme="minorEastAsia" w:hAnsiTheme="minorEastAsia"/>
          <w:bCs/>
        </w:rPr>
        <w:t>・管板，平鏡，蓋，フランジ又は同種の部材とシェルの溶接部では，シェルの厚さ</w:t>
      </w:r>
    </w:p>
    <w:p w14:paraId="69962C5A" w14:textId="77777777" w:rsidR="00644B5F" w:rsidRPr="00BC31E0" w:rsidRDefault="009E259D" w:rsidP="009E259D">
      <w:pPr>
        <w:ind w:left="1361" w:hanging="227"/>
        <w:rPr>
          <w:rFonts w:asciiTheme="minorHAnsi" w:eastAsiaTheme="minorEastAsia" w:hAnsiTheme="minorHAnsi"/>
          <w:bCs/>
        </w:rPr>
      </w:pPr>
      <w:r w:rsidRPr="00BC31E0">
        <w:rPr>
          <w:rFonts w:asciiTheme="minorHAnsi" w:eastAsiaTheme="minorEastAsia" w:hAnsiTheme="minorEastAsia" w:hint="eastAsia"/>
          <w:bCs/>
        </w:rPr>
        <w:t>・</w:t>
      </w:r>
      <w:r w:rsidR="00644B5F" w:rsidRPr="00BC31E0">
        <w:rPr>
          <w:rFonts w:asciiTheme="majorEastAsia" w:eastAsiaTheme="majorEastAsia" w:hAnsiTheme="majorEastAsia" w:hint="eastAsia"/>
          <w:b/>
        </w:rPr>
        <w:t>図6.7.1</w:t>
      </w:r>
      <w:r w:rsidR="00644B5F" w:rsidRPr="00BC31E0">
        <w:rPr>
          <w:rFonts w:ascii="ＭＳ 明朝" w:hAnsi="ＭＳ 明朝" w:hint="eastAsia"/>
          <w:b/>
          <w:bCs/>
        </w:rPr>
        <w:t>，</w:t>
      </w:r>
      <w:r w:rsidR="00644B5F" w:rsidRPr="00BC31E0">
        <w:rPr>
          <w:rFonts w:asciiTheme="majorEastAsia" w:eastAsiaTheme="majorEastAsia" w:hAnsiTheme="majorEastAsia" w:hint="eastAsia"/>
          <w:b/>
        </w:rPr>
        <w:t>図6.10.1</w:t>
      </w:r>
      <w:r w:rsidR="00644B5F" w:rsidRPr="00BC31E0">
        <w:rPr>
          <w:rFonts w:ascii="ＭＳ 明朝" w:hAnsi="ＭＳ 明朝" w:hint="eastAsia"/>
          <w:b/>
          <w:bCs/>
        </w:rPr>
        <w:t>，</w:t>
      </w:r>
      <w:r w:rsidR="00644B5F" w:rsidRPr="00BC31E0">
        <w:rPr>
          <w:rFonts w:asciiTheme="majorEastAsia" w:eastAsiaTheme="majorEastAsia" w:hAnsiTheme="majorEastAsia" w:hint="eastAsia"/>
          <w:b/>
        </w:rPr>
        <w:t>図6.10.2</w:t>
      </w:r>
      <w:r w:rsidR="00644B5F" w:rsidRPr="00BC31E0">
        <w:rPr>
          <w:rFonts w:ascii="ＭＳ 明朝" w:hAnsi="ＭＳ 明朝" w:hint="eastAsia"/>
          <w:b/>
          <w:bCs/>
        </w:rPr>
        <w:t>，</w:t>
      </w:r>
      <w:r w:rsidR="00644B5F" w:rsidRPr="00BC31E0">
        <w:rPr>
          <w:rFonts w:asciiTheme="majorEastAsia" w:eastAsiaTheme="majorEastAsia" w:hAnsiTheme="majorEastAsia" w:hint="eastAsia"/>
          <w:b/>
        </w:rPr>
        <w:t>図6.10.3</w:t>
      </w:r>
      <w:r w:rsidR="00644B5F" w:rsidRPr="00BC31E0">
        <w:rPr>
          <w:rFonts w:ascii="ＭＳ 明朝" w:hAnsi="ＭＳ 明朝" w:hint="eastAsia"/>
          <w:b/>
          <w:bCs/>
        </w:rPr>
        <w:t>，</w:t>
      </w:r>
      <w:r w:rsidR="00644B5F" w:rsidRPr="00BC31E0">
        <w:rPr>
          <w:rFonts w:asciiTheme="majorEastAsia" w:eastAsiaTheme="majorEastAsia" w:hAnsiTheme="majorEastAsia" w:hint="eastAsia"/>
          <w:b/>
        </w:rPr>
        <w:t>図6.10.4</w:t>
      </w:r>
      <w:r w:rsidR="00644B5F" w:rsidRPr="00BC31E0">
        <w:rPr>
          <w:rFonts w:ascii="ＭＳ 明朝" w:hAnsi="ＭＳ 明朝" w:hint="eastAsia"/>
          <w:b/>
          <w:bCs/>
        </w:rPr>
        <w:t>，</w:t>
      </w:r>
      <w:r w:rsidR="00644B5F" w:rsidRPr="00BC31E0">
        <w:rPr>
          <w:rFonts w:asciiTheme="majorEastAsia" w:eastAsiaTheme="majorEastAsia" w:hAnsiTheme="majorEastAsia" w:hint="eastAsia"/>
          <w:b/>
        </w:rPr>
        <w:t>図6.10.5</w:t>
      </w:r>
      <w:r w:rsidR="00644B5F" w:rsidRPr="00BC31E0">
        <w:rPr>
          <w:rFonts w:asciiTheme="minorHAnsi" w:hAnsi="ＭＳ 明朝"/>
          <w:bCs/>
        </w:rPr>
        <w:t>において，ノズル根元，シェル，鏡の溶接部及び取付物の隅肉溶接部の場合は厚さの大きい方</w:t>
      </w:r>
    </w:p>
    <w:p w14:paraId="41307680" w14:textId="77777777" w:rsidR="00644B5F" w:rsidRPr="00BC31E0" w:rsidRDefault="00644B5F" w:rsidP="009E259D">
      <w:pPr>
        <w:ind w:left="1361" w:hanging="227"/>
      </w:pPr>
      <w:r w:rsidRPr="00BC31E0">
        <w:rPr>
          <w:rFonts w:hint="eastAsia"/>
        </w:rPr>
        <w:t>・ノズルとフランジの溶接部では，ノズル根元の厚さ</w:t>
      </w:r>
    </w:p>
    <w:p w14:paraId="7B3EE55D" w14:textId="77777777" w:rsidR="00644B5F" w:rsidRPr="00BC31E0" w:rsidRDefault="00644B5F" w:rsidP="009E259D">
      <w:pPr>
        <w:ind w:left="1361" w:hanging="227"/>
      </w:pPr>
      <w:r w:rsidRPr="00BC31E0">
        <w:rPr>
          <w:rFonts w:hint="eastAsia"/>
        </w:rPr>
        <w:t>・非耐圧部材が耐圧部材に溶接される場合には，取付け位置における溶接部の厚さ</w:t>
      </w:r>
    </w:p>
    <w:p w14:paraId="36F20AF6" w14:textId="77777777" w:rsidR="00644B5F" w:rsidRPr="00BC31E0" w:rsidRDefault="00644B5F" w:rsidP="009E259D">
      <w:pPr>
        <w:ind w:left="1361" w:hanging="227"/>
      </w:pPr>
      <w:r w:rsidRPr="00BC31E0">
        <w:rPr>
          <w:rFonts w:hint="eastAsia"/>
        </w:rPr>
        <w:t>・管と管板の接合部では，溶接部の厚さ</w:t>
      </w:r>
    </w:p>
    <w:p w14:paraId="7E9B41AD" w14:textId="77777777" w:rsidR="00644B5F" w:rsidRPr="00BC31E0" w:rsidRDefault="00644B5F" w:rsidP="00736130">
      <w:pPr>
        <w:pStyle w:val="a4"/>
        <w:numPr>
          <w:ilvl w:val="0"/>
          <w:numId w:val="494"/>
        </w:numPr>
        <w:ind w:leftChars="0" w:left="1134" w:hanging="567"/>
      </w:pPr>
      <w:r w:rsidRPr="00BC31E0">
        <w:rPr>
          <w:rFonts w:hint="eastAsia"/>
        </w:rPr>
        <w:t>補修に対しては，公称厚さは補修溶接の深さである。</w:t>
      </w:r>
    </w:p>
    <w:p w14:paraId="25338089" w14:textId="77777777" w:rsidR="00644B5F" w:rsidRPr="00BC31E0" w:rsidRDefault="00644B5F" w:rsidP="0079112F">
      <w:pPr>
        <w:pStyle w:val="3"/>
        <w:tabs>
          <w:tab w:val="clear" w:pos="284"/>
        </w:tabs>
        <w:ind w:left="794" w:hanging="794"/>
      </w:pPr>
      <w:r w:rsidRPr="00BC31E0">
        <w:rPr>
          <w:rFonts w:hint="eastAsia"/>
        </w:rPr>
        <w:t>溶接後熱処理における加熱手順</w:t>
      </w:r>
    </w:p>
    <w:p w14:paraId="43D6D6D2" w14:textId="77777777" w:rsidR="00644B5F" w:rsidRPr="00BC31E0" w:rsidRDefault="00644B5F" w:rsidP="009C7A2C">
      <w:pPr>
        <w:pStyle w:val="1110"/>
        <w:ind w:firstLine="210"/>
      </w:pPr>
      <w:r w:rsidRPr="00BC31E0">
        <w:rPr>
          <w:rFonts w:hint="eastAsia"/>
        </w:rPr>
        <w:t>溶接後熱処理における加熱手順は，次の</w:t>
      </w:r>
      <w:r w:rsidRPr="00BC31E0">
        <w:rPr>
          <w:rFonts w:ascii="ＭＳ ゴシック" w:hAnsi="ＭＳ ゴシック" w:hint="eastAsia"/>
          <w:b/>
        </w:rPr>
        <w:t>a)</w:t>
      </w:r>
      <w:r w:rsidR="00A241EC" w:rsidRPr="00BC31E0">
        <w:rPr>
          <w:rFonts w:hint="eastAsia"/>
        </w:rPr>
        <w:t>～</w:t>
      </w:r>
      <w:r w:rsidR="00A241EC" w:rsidRPr="00BC31E0">
        <w:rPr>
          <w:rFonts w:ascii="ＭＳ ゴシック" w:hAnsi="ＭＳ ゴシック" w:hint="eastAsia"/>
          <w:b/>
        </w:rPr>
        <w:t>c</w:t>
      </w:r>
      <w:r w:rsidRPr="00BC31E0">
        <w:rPr>
          <w:rFonts w:ascii="ＭＳ ゴシック" w:hAnsi="ＭＳ ゴシック" w:hint="eastAsia"/>
          <w:b/>
        </w:rPr>
        <w:t>)</w:t>
      </w:r>
      <w:r w:rsidRPr="00BC31E0">
        <w:rPr>
          <w:rFonts w:hint="eastAsia"/>
        </w:rPr>
        <w:t>による。</w:t>
      </w:r>
    </w:p>
    <w:p w14:paraId="23FC01F8" w14:textId="77777777" w:rsidR="00644B5F" w:rsidRPr="00BC31E0" w:rsidRDefault="00644B5F" w:rsidP="00736130">
      <w:pPr>
        <w:pStyle w:val="a4"/>
        <w:numPr>
          <w:ilvl w:val="0"/>
          <w:numId w:val="341"/>
        </w:numPr>
        <w:ind w:leftChars="0" w:left="454" w:hanging="454"/>
      </w:pPr>
      <w:r w:rsidRPr="00BC31E0">
        <w:rPr>
          <w:rFonts w:asciiTheme="majorEastAsia" w:eastAsiaTheme="majorEastAsia" w:hAnsiTheme="majorEastAsia" w:hint="eastAsia"/>
          <w:b/>
        </w:rPr>
        <w:t>加熱方法</w:t>
      </w:r>
      <w:r w:rsidRPr="00BC31E0">
        <w:rPr>
          <w:rFonts w:hint="eastAsia"/>
        </w:rPr>
        <w:t xml:space="preserve">　</w:t>
      </w:r>
      <w:r w:rsidRPr="00BC31E0">
        <w:rPr>
          <w:rFonts w:ascii="ＭＳ 明朝" w:hAnsi="ＭＳ 明朝" w:hint="eastAsia"/>
        </w:rPr>
        <w:t>溶接後熱処理は，次の</w:t>
      </w:r>
      <w:r w:rsidRPr="00BC31E0">
        <w:rPr>
          <w:rFonts w:asciiTheme="majorEastAsia" w:eastAsiaTheme="majorEastAsia" w:hAnsiTheme="majorEastAsia" w:hint="eastAsia"/>
          <w:b/>
        </w:rPr>
        <w:t>1)</w:t>
      </w:r>
      <w:r w:rsidRPr="00BC31E0">
        <w:rPr>
          <w:rFonts w:ascii="ＭＳ 明朝" w:hAnsi="ＭＳ 明朝" w:hint="eastAsia"/>
        </w:rPr>
        <w:t>～</w:t>
      </w:r>
      <w:r w:rsidRPr="00BC31E0">
        <w:rPr>
          <w:rFonts w:asciiTheme="majorEastAsia" w:eastAsiaTheme="majorEastAsia" w:hAnsiTheme="majorEastAsia" w:hint="eastAsia"/>
          <w:b/>
        </w:rPr>
        <w:t>7)</w:t>
      </w:r>
      <w:r w:rsidRPr="00BC31E0">
        <w:rPr>
          <w:rFonts w:ascii="ＭＳ 明朝" w:hAnsi="ＭＳ 明朝" w:hint="eastAsia"/>
        </w:rPr>
        <w:t>の手順の一つに従って行う。加熱バンドは，</w:t>
      </w:r>
      <w:r w:rsidRPr="00BC31E0">
        <w:rPr>
          <w:rFonts w:asciiTheme="majorEastAsia" w:eastAsiaTheme="majorEastAsia" w:hAnsiTheme="majorEastAsia" w:hint="eastAsia"/>
          <w:b/>
        </w:rPr>
        <w:t>表7.4.2</w:t>
      </w:r>
      <w:r w:rsidRPr="00BC31E0">
        <w:rPr>
          <w:rFonts w:ascii="ＭＳ 明朝" w:hAnsi="ＭＳ 明朝" w:hint="eastAsia"/>
        </w:rPr>
        <w:t>～</w:t>
      </w:r>
      <w:r w:rsidRPr="00BC31E0">
        <w:rPr>
          <w:rFonts w:asciiTheme="majorEastAsia" w:eastAsiaTheme="majorEastAsia" w:hAnsiTheme="majorEastAsia" w:hint="eastAsia"/>
          <w:b/>
        </w:rPr>
        <w:t>表7.4.18</w:t>
      </w:r>
      <w:r w:rsidRPr="00BC31E0">
        <w:rPr>
          <w:rFonts w:ascii="ＭＳ 明朝" w:hAnsi="ＭＳ 明朝" w:hint="eastAsia"/>
        </w:rPr>
        <w:t>の最低溶接後熱処理温度を満足する金属の体積として定義する。加熱バンドには，最低限，溶接部，熱影響部及び熱処理される溶接部に隣接した母材を含める。加熱バンドの最小幅は，溶接部の各端部又は終端で，溶接部の最も広い幅</w:t>
      </w:r>
      <m:oMath>
        <m:r>
          <m:rPr>
            <m:sty m:val="p"/>
          </m:rPr>
          <w:rPr>
            <w:rFonts w:ascii="Cambria Math" w:hAnsi="Cambria Math" w:hint="eastAsia"/>
          </w:rPr>
          <m:t xml:space="preserve"> </m:t>
        </m:r>
        <m:r>
          <w:rPr>
            <w:rFonts w:ascii="Cambria Math" w:hAnsi="Cambria Math"/>
          </w:rPr>
          <m:t>+</m:t>
        </m:r>
        <m:r>
          <w:rPr>
            <w:rFonts w:ascii="Cambria Math" w:hAnsi="Cambria Math" w:hint="eastAsia"/>
          </w:rPr>
          <m:t xml:space="preserve"> </m:t>
        </m:r>
        <m:r>
          <w:rPr>
            <w:rFonts w:ascii="Cambria Math" w:hAnsi="Cambria Math" w:cs="Cambria Math"/>
          </w:rPr>
          <m:t>t</m:t>
        </m:r>
      </m:oMath>
      <w:r w:rsidRPr="00BC31E0">
        <w:rPr>
          <w:rFonts w:ascii="ＭＳ 明朝" w:hAnsi="ＭＳ 明朝"/>
          <w:sz w:val="22"/>
          <w:szCs w:val="22"/>
        </w:rPr>
        <w:t xml:space="preserve"> </w:t>
      </w:r>
      <w:r w:rsidRPr="00BC31E0">
        <w:rPr>
          <w:rFonts w:ascii="ＭＳ 明朝" w:hAnsi="ＭＳ 明朝" w:hint="eastAsia"/>
        </w:rPr>
        <w:t>又は</w:t>
      </w:r>
      <w:r w:rsidRPr="00BC31E0">
        <w:rPr>
          <w:sz w:val="22"/>
          <w:szCs w:val="22"/>
        </w:rPr>
        <w:t>50 mm</w:t>
      </w:r>
      <w:r w:rsidRPr="00BC31E0">
        <w:rPr>
          <w:rFonts w:ascii="ＭＳ 明朝" w:hAnsi="ＭＳ 明朝" w:hint="eastAsia"/>
        </w:rPr>
        <w:t>のどちらか小さい値とする。なお，</w:t>
      </w:r>
      <m:oMath>
        <m:r>
          <w:rPr>
            <w:rFonts w:ascii="Cambria Math" w:hAnsi="Cambria Math"/>
          </w:rPr>
          <m:t xml:space="preserve">t </m:t>
        </m:r>
        <m:r>
          <w:rPr>
            <w:rFonts w:ascii="Cambria Math" w:hAnsi="Cambria Math" w:hint="eastAsia"/>
          </w:rPr>
          <m:t xml:space="preserve"> </m:t>
        </m:r>
      </m:oMath>
      <w:r w:rsidRPr="00BC31E0">
        <w:rPr>
          <w:rFonts w:ascii="ＭＳ 明朝" w:hAnsi="ＭＳ 明朝" w:hint="eastAsia"/>
        </w:rPr>
        <w:t>は，</w:t>
      </w:r>
      <w:r w:rsidRPr="00BC31E0">
        <w:rPr>
          <w:rFonts w:asciiTheme="majorEastAsia" w:eastAsiaTheme="majorEastAsia" w:hAnsiTheme="majorEastAsia" w:hint="eastAsia"/>
          <w:b/>
        </w:rPr>
        <w:t>7.4.1 b) 4)</w:t>
      </w:r>
      <w:r w:rsidRPr="00BC31E0">
        <w:rPr>
          <w:rFonts w:ascii="ＭＳ 明朝" w:hAnsi="ＭＳ 明朝" w:hint="eastAsia"/>
        </w:rPr>
        <w:t>で定義される公称厚さである。</w:t>
      </w:r>
    </w:p>
    <w:p w14:paraId="15E44C1B" w14:textId="77777777" w:rsidR="0079112F" w:rsidRPr="00BC31E0" w:rsidRDefault="00644B5F" w:rsidP="00736130">
      <w:pPr>
        <w:pStyle w:val="a4"/>
        <w:numPr>
          <w:ilvl w:val="0"/>
          <w:numId w:val="495"/>
        </w:numPr>
        <w:ind w:leftChars="0" w:left="738" w:hanging="454"/>
        <w:rPr>
          <w:rFonts w:ascii="ＭＳ 明朝" w:hAnsi="ＭＳ 明朝"/>
        </w:rPr>
      </w:pPr>
      <w:r w:rsidRPr="00BC31E0">
        <w:rPr>
          <w:rFonts w:asciiTheme="majorEastAsia" w:eastAsiaTheme="majorEastAsia" w:hAnsiTheme="majorEastAsia" w:hint="eastAsia"/>
          <w:b/>
        </w:rPr>
        <w:t>容器全体の加熱</w:t>
      </w:r>
      <w:r w:rsidRPr="00BC31E0">
        <w:rPr>
          <w:rFonts w:hint="eastAsia"/>
        </w:rPr>
        <w:t xml:space="preserve">　</w:t>
      </w:r>
      <w:r w:rsidRPr="00BC31E0">
        <w:rPr>
          <w:rFonts w:ascii="ＭＳ 明朝" w:hAnsi="ＭＳ 明朝" w:hint="eastAsia"/>
        </w:rPr>
        <w:t>閉鎖した炉内で容器全体を加熱することが好ましく，できればこの方法をとる。</w:t>
      </w:r>
    </w:p>
    <w:p w14:paraId="72486672" w14:textId="77777777" w:rsidR="00644B5F" w:rsidRPr="00BC31E0" w:rsidRDefault="00644B5F" w:rsidP="00736130">
      <w:pPr>
        <w:pStyle w:val="a4"/>
        <w:numPr>
          <w:ilvl w:val="0"/>
          <w:numId w:val="495"/>
        </w:numPr>
        <w:ind w:leftChars="0" w:left="738" w:hanging="454"/>
        <w:rPr>
          <w:rFonts w:ascii="ＭＳ 明朝" w:hAnsi="ＭＳ 明朝"/>
        </w:rPr>
      </w:pPr>
      <w:r w:rsidRPr="00BC31E0">
        <w:rPr>
          <w:rFonts w:asciiTheme="majorEastAsia" w:eastAsiaTheme="majorEastAsia" w:hAnsiTheme="majorEastAsia" w:hint="eastAsia"/>
          <w:b/>
        </w:rPr>
        <w:t>容器の部分的加熱</w:t>
      </w:r>
      <w:r w:rsidRPr="00BC31E0">
        <w:rPr>
          <w:rFonts w:hint="eastAsia"/>
        </w:rPr>
        <w:t xml:space="preserve">　</w:t>
      </w:r>
      <w:r w:rsidRPr="00BC31E0">
        <w:rPr>
          <w:rFonts w:ascii="ＭＳ 明朝" w:hAnsi="ＭＳ 明朝" w:hint="eastAsia"/>
        </w:rPr>
        <w:t>加熱する部分を少なくとも</w:t>
      </w:r>
      <w:r w:rsidRPr="00BC31E0">
        <w:t>1.5 m</w:t>
      </w:r>
      <w:r w:rsidRPr="00BC31E0">
        <w:rPr>
          <w:rFonts w:ascii="ＭＳ 明朝" w:hAnsi="ＭＳ 明朝" w:hint="eastAsia"/>
        </w:rPr>
        <w:t>以上オーバーラップさせれば，炉内で一回以上の加熱をしてもよい。この場合，温度勾配が有害にならないように，炉の外側の部分は保温する(次の</w:t>
      </w:r>
      <w:r w:rsidRPr="00BC31E0">
        <w:rPr>
          <w:rFonts w:asciiTheme="majorEastAsia" w:eastAsiaTheme="majorEastAsia" w:hAnsiTheme="majorEastAsia" w:hint="eastAsia"/>
          <w:b/>
        </w:rPr>
        <w:t>b)</w:t>
      </w:r>
      <w:r w:rsidRPr="00BC31E0">
        <w:rPr>
          <w:rFonts w:ascii="ＭＳ 明朝" w:hAnsi="ＭＳ 明朝" w:hint="eastAsia"/>
        </w:rPr>
        <w:t>を参照)。なお，ノズルなどの構造不連続部をまたがって，炉から突き出してはならない。</w:t>
      </w:r>
    </w:p>
    <w:p w14:paraId="5E8F1DEC" w14:textId="77777777" w:rsidR="00644B5F" w:rsidRPr="00BC31E0" w:rsidRDefault="00644B5F" w:rsidP="00736130">
      <w:pPr>
        <w:pStyle w:val="a4"/>
        <w:numPr>
          <w:ilvl w:val="0"/>
          <w:numId w:val="491"/>
        </w:numPr>
        <w:ind w:leftChars="0" w:left="738" w:hanging="454"/>
        <w:rPr>
          <w:rFonts w:asciiTheme="minorHAnsi" w:eastAsiaTheme="minorEastAsia" w:hAnsiTheme="minorHAnsi"/>
        </w:rPr>
      </w:pPr>
      <w:r w:rsidRPr="00BC31E0">
        <w:rPr>
          <w:rFonts w:asciiTheme="majorEastAsia" w:eastAsiaTheme="majorEastAsia" w:hAnsiTheme="majorEastAsia"/>
          <w:b/>
        </w:rPr>
        <w:lastRenderedPageBreak/>
        <w:t>加熱部材と周方向溶接</w:t>
      </w:r>
      <w:r w:rsidRPr="00BC31E0">
        <w:rPr>
          <w:rFonts w:asciiTheme="minorHAnsi" w:eastAsiaTheme="minorEastAsia" w:hAnsiTheme="minorEastAsia"/>
        </w:rPr>
        <w:t xml:space="preserve">　</w:t>
      </w:r>
      <w:r w:rsidRPr="00BC31E0">
        <w:rPr>
          <w:rFonts w:asciiTheme="minorHAnsi" w:eastAsiaTheme="minorEastAsia" w:hAnsiTheme="minorEastAsia"/>
          <w:bCs/>
        </w:rPr>
        <w:t>加熱部材と周方向溶接は，次の</w:t>
      </w:r>
      <w:r w:rsidRPr="00BC31E0">
        <w:rPr>
          <w:rFonts w:asciiTheme="majorEastAsia" w:eastAsiaTheme="majorEastAsia" w:hAnsiTheme="majorEastAsia"/>
          <w:b/>
        </w:rPr>
        <w:t>3.1)</w:t>
      </w:r>
      <w:r w:rsidRPr="00BC31E0">
        <w:rPr>
          <w:rFonts w:asciiTheme="minorHAnsi" w:eastAsiaTheme="minorEastAsia" w:hAnsiTheme="minorEastAsia"/>
          <w:bCs/>
        </w:rPr>
        <w:t>～</w:t>
      </w:r>
      <w:r w:rsidRPr="00BC31E0">
        <w:rPr>
          <w:rFonts w:asciiTheme="majorEastAsia" w:eastAsiaTheme="majorEastAsia" w:hAnsiTheme="majorEastAsia"/>
          <w:b/>
        </w:rPr>
        <w:t>3.3)</w:t>
      </w:r>
      <w:r w:rsidRPr="00BC31E0">
        <w:rPr>
          <w:rFonts w:asciiTheme="minorHAnsi" w:eastAsiaTheme="minorEastAsia" w:hAnsiTheme="minorEastAsia"/>
          <w:bCs/>
        </w:rPr>
        <w:t>による。</w:t>
      </w:r>
    </w:p>
    <w:p w14:paraId="337BBFFA" w14:textId="77777777" w:rsidR="00D82D97" w:rsidRPr="00BC31E0" w:rsidRDefault="00644B5F" w:rsidP="00736130">
      <w:pPr>
        <w:pStyle w:val="a4"/>
        <w:numPr>
          <w:ilvl w:val="0"/>
          <w:numId w:val="496"/>
        </w:numPr>
        <w:ind w:leftChars="0" w:left="1134" w:hanging="567"/>
      </w:pPr>
      <w:r w:rsidRPr="00BC31E0">
        <w:rPr>
          <w:rFonts w:hint="eastAsia"/>
        </w:rPr>
        <w:t>長手溶接継手又は複雑な溶接部の溶接後熱処理に対しては，容器を完全に接合する前に，シェル部，鏡及び他の容器部材を加熱してもよい。前もって溶接後熱処理しなかった周方向溶接継手は，加熱バンドで継手部を含んで周方向を帯状に加熱することにより，局部的に溶接後熱処理をしてもよい。</w:t>
      </w:r>
    </w:p>
    <w:p w14:paraId="2D809A1C" w14:textId="77777777" w:rsidR="00D82D97" w:rsidRPr="00BC31E0" w:rsidRDefault="00644B5F" w:rsidP="00736130">
      <w:pPr>
        <w:pStyle w:val="a4"/>
        <w:numPr>
          <w:ilvl w:val="0"/>
          <w:numId w:val="496"/>
        </w:numPr>
        <w:ind w:leftChars="0" w:left="1134" w:hanging="567"/>
      </w:pPr>
      <w:r w:rsidRPr="00BC31E0">
        <w:rPr>
          <w:rFonts w:hint="eastAsia"/>
        </w:rPr>
        <w:t>局部的に熱処理する方法は，パイプ，チューブ又はノズル取付部の周方向溶接継手の局部熱処理に適用してもよい。ノズル取付部では，有害な温度勾配が生じないように十分な長さを取る必要がある。これが適用できなければ，次の</w:t>
      </w:r>
      <w:r w:rsidRPr="00BC31E0">
        <w:rPr>
          <w:rFonts w:asciiTheme="majorEastAsia" w:eastAsiaTheme="majorEastAsia" w:hAnsiTheme="majorEastAsia" w:hint="eastAsia"/>
          <w:b/>
        </w:rPr>
        <w:t>a) 5)</w:t>
      </w:r>
      <w:r w:rsidRPr="00BC31E0">
        <w:rPr>
          <w:rFonts w:hint="eastAsia"/>
          <w:bCs/>
        </w:rPr>
        <w:t>を</w:t>
      </w:r>
      <w:r w:rsidRPr="00BC31E0">
        <w:rPr>
          <w:rFonts w:hint="eastAsia"/>
        </w:rPr>
        <w:t>参照する。</w:t>
      </w:r>
    </w:p>
    <w:p w14:paraId="39A4F82B" w14:textId="77777777" w:rsidR="00644B5F" w:rsidRPr="00BC31E0" w:rsidRDefault="00644B5F" w:rsidP="00736130">
      <w:pPr>
        <w:pStyle w:val="a4"/>
        <w:numPr>
          <w:ilvl w:val="0"/>
          <w:numId w:val="496"/>
        </w:numPr>
        <w:ind w:leftChars="0" w:left="1134" w:hanging="567"/>
      </w:pPr>
      <w:r w:rsidRPr="00BC31E0">
        <w:rPr>
          <w:rFonts w:hint="eastAsia"/>
        </w:rPr>
        <w:t>加熱バンドの幅は溶接部を含み，更に溶接端から両側にそれぞれ公称厚さの</w:t>
      </w:r>
      <w:r w:rsidRPr="00BC31E0">
        <w:t>2</w:t>
      </w:r>
      <w:r w:rsidRPr="00BC31E0">
        <w:rPr>
          <w:rFonts w:hint="eastAsia"/>
        </w:rPr>
        <w:t>倍以上の幅を取る。加熱バンドの外側は，有害な温度勾配にならないように保温する。局部加熱では，加熱バンドは全周にわたり，加熱バンドの外側は有害な温度勾配が生じないように保温する。この方法は，補修後の容器の溶接後熱処理に適用してもよい。</w:t>
      </w:r>
    </w:p>
    <w:p w14:paraId="08D154DA" w14:textId="77777777" w:rsidR="00644B5F" w:rsidRPr="00BC31E0" w:rsidRDefault="00644B5F" w:rsidP="00736130">
      <w:pPr>
        <w:pStyle w:val="a4"/>
        <w:numPr>
          <w:ilvl w:val="0"/>
          <w:numId w:val="491"/>
        </w:numPr>
        <w:ind w:leftChars="0" w:left="738" w:hanging="454"/>
        <w:rPr>
          <w:rFonts w:ascii="ＭＳ 明朝" w:hAnsi="ＭＳ 明朝"/>
        </w:rPr>
      </w:pPr>
      <w:r w:rsidRPr="00BC31E0">
        <w:rPr>
          <w:rFonts w:asciiTheme="majorEastAsia" w:eastAsiaTheme="majorEastAsia" w:hAnsiTheme="majorEastAsia" w:hint="eastAsia"/>
          <w:b/>
        </w:rPr>
        <w:t>容器の内側からの加熱</w:t>
      </w:r>
      <w:r w:rsidRPr="00BC31E0">
        <w:rPr>
          <w:rFonts w:hint="eastAsia"/>
        </w:rPr>
        <w:t xml:space="preserve">　</w:t>
      </w:r>
      <w:r w:rsidRPr="00BC31E0">
        <w:rPr>
          <w:rFonts w:ascii="ＭＳ 明朝" w:hAnsi="ＭＳ 明朝" w:hint="eastAsia"/>
        </w:rPr>
        <w:t>容器壁で一様な温度分布を管理, 維持できるような温度指示計及び記録装置が利用できる場合には，適切な手段で内側から容器を加熱してもよい。次の</w:t>
      </w:r>
      <w:r w:rsidRPr="00BC31E0">
        <w:rPr>
          <w:rFonts w:asciiTheme="majorEastAsia" w:eastAsiaTheme="majorEastAsia" w:hAnsiTheme="majorEastAsia" w:hint="eastAsia"/>
          <w:b/>
        </w:rPr>
        <w:t>c)</w:t>
      </w:r>
      <w:r w:rsidRPr="00BC31E0">
        <w:rPr>
          <w:rFonts w:ascii="ＭＳ 明朝" w:hAnsi="ＭＳ 明朝" w:hint="eastAsia"/>
        </w:rPr>
        <w:t>の温度要求事項が満足されるように，加熱に先立って，容器を充分に断熱しておく必要がある。</w:t>
      </w:r>
    </w:p>
    <w:p w14:paraId="61B0F0C1" w14:textId="77777777" w:rsidR="00644B5F" w:rsidRPr="00BC31E0" w:rsidRDefault="00644B5F" w:rsidP="00736130">
      <w:pPr>
        <w:pStyle w:val="a4"/>
        <w:numPr>
          <w:ilvl w:val="0"/>
          <w:numId w:val="491"/>
        </w:numPr>
        <w:ind w:leftChars="0" w:left="738" w:hanging="454"/>
        <w:rPr>
          <w:rFonts w:ascii="ＭＳ 明朝" w:hAnsi="ＭＳ 明朝"/>
        </w:rPr>
      </w:pPr>
      <w:r w:rsidRPr="00BC31E0">
        <w:rPr>
          <w:rFonts w:asciiTheme="majorEastAsia" w:eastAsiaTheme="majorEastAsia" w:hAnsiTheme="majorEastAsia" w:hint="eastAsia"/>
          <w:b/>
        </w:rPr>
        <w:t>ノズル及び外部取付物の局部的加熱</w:t>
      </w:r>
      <w:r w:rsidRPr="00BC31E0">
        <w:rPr>
          <w:rFonts w:hint="eastAsia"/>
        </w:rPr>
        <w:t xml:space="preserve">　</w:t>
      </w:r>
      <w:r w:rsidRPr="00BC31E0">
        <w:rPr>
          <w:rFonts w:ascii="ＭＳ 明朝" w:hAnsi="ＭＳ 明朝" w:hint="eastAsia"/>
        </w:rPr>
        <w:t>ノズル及び外部取付物の局部的加熱は，次の</w:t>
      </w:r>
      <w:r w:rsidRPr="00BC31E0">
        <w:rPr>
          <w:rFonts w:asciiTheme="majorEastAsia" w:eastAsiaTheme="majorEastAsia" w:hAnsiTheme="majorEastAsia" w:hint="eastAsia"/>
          <w:b/>
        </w:rPr>
        <w:t>5.1)</w:t>
      </w:r>
      <w:r w:rsidRPr="00BC31E0">
        <w:rPr>
          <w:rFonts w:ascii="ＭＳ 明朝" w:hAnsi="ＭＳ 明朝" w:hint="eastAsia"/>
        </w:rPr>
        <w:t>～</w:t>
      </w:r>
      <w:r w:rsidRPr="00BC31E0">
        <w:rPr>
          <w:rFonts w:asciiTheme="majorEastAsia" w:eastAsiaTheme="majorEastAsia" w:hAnsiTheme="majorEastAsia" w:hint="eastAsia"/>
          <w:b/>
        </w:rPr>
        <w:t>5.3)</w:t>
      </w:r>
      <w:r w:rsidRPr="00BC31E0">
        <w:rPr>
          <w:rFonts w:ascii="ＭＳ 明朝" w:hAnsi="ＭＳ 明朝" w:hint="eastAsia"/>
        </w:rPr>
        <w:t>による。</w:t>
      </w:r>
    </w:p>
    <w:p w14:paraId="5C1119D7" w14:textId="77777777" w:rsidR="00890152" w:rsidRPr="00BC31E0" w:rsidRDefault="00644B5F" w:rsidP="00736130">
      <w:pPr>
        <w:pStyle w:val="a4"/>
        <w:numPr>
          <w:ilvl w:val="0"/>
          <w:numId w:val="497"/>
        </w:numPr>
        <w:ind w:leftChars="0" w:left="1134" w:hanging="567"/>
      </w:pPr>
      <w:r w:rsidRPr="00BC31E0">
        <w:rPr>
          <w:rFonts w:hint="eastAsia"/>
        </w:rPr>
        <w:t>溶接後熱処理が要求されるノズル又は他の溶接取付物を含む周方向加熱は，帯状に一様に要求温度</w:t>
      </w:r>
      <w:r w:rsidRPr="00BC31E0">
        <w:rPr>
          <w:rFonts w:hint="eastAsia"/>
        </w:rPr>
        <w:t>[</w:t>
      </w:r>
      <w:r w:rsidRPr="00BC31E0">
        <w:rPr>
          <w:rFonts w:hint="eastAsia"/>
        </w:rPr>
        <w:t>次の</w:t>
      </w:r>
      <w:r w:rsidRPr="00BC31E0">
        <w:rPr>
          <w:rFonts w:asciiTheme="majorEastAsia" w:eastAsiaTheme="majorEastAsia" w:hAnsiTheme="majorEastAsia" w:hint="eastAsia"/>
          <w:b/>
          <w:bCs/>
        </w:rPr>
        <w:t>c)</w:t>
      </w:r>
      <w:r w:rsidRPr="00BC31E0">
        <w:rPr>
          <w:rFonts w:hint="eastAsia"/>
          <w:bCs/>
        </w:rPr>
        <w:t>を参照</w:t>
      </w:r>
      <w:r w:rsidRPr="00BC31E0">
        <w:rPr>
          <w:rFonts w:hint="eastAsia"/>
          <w:bCs/>
        </w:rPr>
        <w:t>]</w:t>
      </w:r>
      <w:r w:rsidRPr="00BC31E0">
        <w:rPr>
          <w:rFonts w:hint="eastAsia"/>
        </w:rPr>
        <w:t>に加熱し，規定時間保持する。</w:t>
      </w:r>
      <w:r w:rsidRPr="00BC31E0">
        <w:rPr>
          <w:rFonts w:asciiTheme="majorEastAsia" w:eastAsiaTheme="majorEastAsia" w:hAnsiTheme="majorEastAsia" w:hint="eastAsia"/>
          <w:b/>
        </w:rPr>
        <w:t>5.2)</w:t>
      </w:r>
      <w:r w:rsidRPr="00BC31E0">
        <w:rPr>
          <w:rFonts w:hint="eastAsia"/>
        </w:rPr>
        <w:t>の修正事項を除いて，加熱バンドはノズル及び溶接取付物を含まなければならない。加熱バンドの外側の容器部は，有害な温度勾配が生じないように保温する。</w:t>
      </w:r>
    </w:p>
    <w:p w14:paraId="1719455E" w14:textId="77777777" w:rsidR="00890152" w:rsidRPr="00BC31E0" w:rsidRDefault="00644B5F" w:rsidP="00736130">
      <w:pPr>
        <w:pStyle w:val="a4"/>
        <w:numPr>
          <w:ilvl w:val="0"/>
          <w:numId w:val="497"/>
        </w:numPr>
        <w:ind w:leftChars="0" w:left="1134" w:hanging="567"/>
      </w:pPr>
      <w:r w:rsidRPr="00BC31E0">
        <w:rPr>
          <w:rFonts w:asciiTheme="majorEastAsia" w:eastAsiaTheme="majorEastAsia" w:hAnsiTheme="majorEastAsia" w:hint="eastAsia"/>
          <w:b/>
        </w:rPr>
        <w:t>5.1)</w:t>
      </w:r>
      <w:r w:rsidRPr="00BC31E0">
        <w:rPr>
          <w:rFonts w:hint="eastAsia"/>
        </w:rPr>
        <w:t>の方法は，パイプ，チューブ又はノズル取付部の周方向継手の局部熱処理に適用してもよい。ノズル取付部では，熱拘束による有害な温度勾配が生じないように十分な長さを取っておくか，又はノズルを含んでシェルの全周にわたって加熱する。加熱バンドの幅は，ノズル又は溶接取付物周りを要求温度に加熱し，規定時間保持できるように，ノズル又は溶接取付物の形状に応じて変えてもよい。また，ノズル又は溶接取付物周りの加熱バンドを要求温度に加熱し，規定時間保持し，加熱－冷却のサイクル中に有害な温度勾配が生じないならば，ノズル又は溶接取付物から周方向に離れた加熱バンド内の温度は変化してもよいし，要求温度になる必要はない。加熱バンドの外側の容器部は，有害な温度勾配が生じないように保温する。</w:t>
      </w:r>
    </w:p>
    <w:p w14:paraId="3F86EF14" w14:textId="77777777" w:rsidR="00644B5F" w:rsidRPr="00BC31E0" w:rsidRDefault="00644B5F" w:rsidP="00736130">
      <w:pPr>
        <w:pStyle w:val="a4"/>
        <w:numPr>
          <w:ilvl w:val="0"/>
          <w:numId w:val="497"/>
        </w:numPr>
        <w:ind w:leftChars="0" w:left="1134" w:hanging="567"/>
      </w:pPr>
      <w:r w:rsidRPr="00BC31E0">
        <w:rPr>
          <w:rFonts w:asciiTheme="majorEastAsia" w:eastAsiaTheme="majorEastAsia" w:hAnsiTheme="majorEastAsia" w:hint="eastAsia"/>
          <w:b/>
        </w:rPr>
        <w:t>5.1)</w:t>
      </w:r>
      <w:r w:rsidRPr="00BC31E0">
        <w:rPr>
          <w:rFonts w:hint="eastAsia"/>
        </w:rPr>
        <w:t>は，補修後の容器の溶接後熱処理に適用してもよい。</w:t>
      </w:r>
    </w:p>
    <w:p w14:paraId="368EBA7E" w14:textId="77777777" w:rsidR="00644B5F" w:rsidRPr="00BC31E0" w:rsidRDefault="00644B5F" w:rsidP="00736130">
      <w:pPr>
        <w:pStyle w:val="a4"/>
        <w:numPr>
          <w:ilvl w:val="0"/>
          <w:numId w:val="491"/>
        </w:numPr>
        <w:ind w:leftChars="0" w:left="738" w:hanging="454"/>
        <w:rPr>
          <w:rFonts w:ascii="ＭＳ 明朝" w:hAnsi="ＭＳ 明朝"/>
        </w:rPr>
      </w:pPr>
      <w:r w:rsidRPr="00BC31E0">
        <w:rPr>
          <w:rFonts w:asciiTheme="majorEastAsia" w:eastAsiaTheme="majorEastAsia" w:hAnsiTheme="majorEastAsia" w:hint="eastAsia"/>
          <w:b/>
        </w:rPr>
        <w:t>二重曲率を有する鏡又はシェルの局部領域の加熱</w:t>
      </w:r>
      <w:r w:rsidRPr="00BC31E0">
        <w:rPr>
          <w:rFonts w:hint="eastAsia"/>
        </w:rPr>
        <w:t xml:space="preserve">　</w:t>
      </w:r>
      <w:r w:rsidRPr="00BC31E0">
        <w:rPr>
          <w:rFonts w:ascii="ＭＳ 明朝" w:hAnsi="ＭＳ 明朝" w:hint="eastAsia"/>
        </w:rPr>
        <w:t>二重曲率を有する鏡の大径部又は球殻, 半球形鏡に溶接されるノズル又は溶接取付物周りの局部加熱は，一様に要求温度[次の</w:t>
      </w:r>
      <w:r w:rsidRPr="00BC31E0">
        <w:rPr>
          <w:rFonts w:asciiTheme="majorEastAsia" w:eastAsiaTheme="majorEastAsia" w:hAnsiTheme="majorEastAsia" w:hint="eastAsia"/>
          <w:b/>
        </w:rPr>
        <w:t>c)</w:t>
      </w:r>
      <w:r w:rsidRPr="00BC31E0">
        <w:rPr>
          <w:rFonts w:ascii="ＭＳ 明朝" w:hAnsi="ＭＳ 明朝" w:hint="eastAsia"/>
        </w:rPr>
        <w:t>を参照]に加熱し，規定時間保持する。加熱バンドは，ノズル又は溶接取付物を含まなければならない。加熱バンドは，溶接端部から全ての方向に，公称厚さ又は</w:t>
      </w:r>
      <w:r w:rsidRPr="00BC31E0">
        <w:rPr>
          <w:sz w:val="22"/>
          <w:szCs w:val="22"/>
        </w:rPr>
        <w:t>50 mm</w:t>
      </w:r>
      <w:r w:rsidRPr="00BC31E0">
        <w:rPr>
          <w:rFonts w:ascii="ＭＳ 明朝" w:hAnsi="ＭＳ 明朝" w:hint="eastAsia"/>
        </w:rPr>
        <w:t>のどちらか小さい距離だけ広がっていなければならない。加熱バンドの外側の容器部は，有害な温度勾配にならないように保温する。</w:t>
      </w:r>
    </w:p>
    <w:p w14:paraId="1C9540A7" w14:textId="77777777" w:rsidR="00644B5F" w:rsidRPr="00BC31E0" w:rsidRDefault="00644B5F" w:rsidP="00736130">
      <w:pPr>
        <w:pStyle w:val="a4"/>
        <w:numPr>
          <w:ilvl w:val="0"/>
          <w:numId w:val="498"/>
        </w:numPr>
        <w:ind w:leftChars="0" w:left="738" w:hanging="454"/>
        <w:rPr>
          <w:rFonts w:ascii="ＭＳ 明朝" w:hAnsi="ＭＳ 明朝"/>
        </w:rPr>
      </w:pPr>
      <w:r w:rsidRPr="00BC31E0">
        <w:rPr>
          <w:rFonts w:asciiTheme="majorEastAsia" w:eastAsiaTheme="majorEastAsia" w:hAnsiTheme="majorEastAsia" w:hint="eastAsia"/>
          <w:b/>
        </w:rPr>
        <w:lastRenderedPageBreak/>
        <w:t>他の形状の加熱</w:t>
      </w:r>
      <w:r w:rsidRPr="00BC31E0">
        <w:rPr>
          <w:rFonts w:hint="eastAsia"/>
        </w:rPr>
        <w:t xml:space="preserve">　</w:t>
      </w:r>
      <w:r w:rsidRPr="00BC31E0">
        <w:rPr>
          <w:rFonts w:ascii="ＭＳ 明朝" w:hAnsi="ＭＳ 明朝" w:hint="eastAsia"/>
        </w:rPr>
        <w:t>上記</w:t>
      </w:r>
      <w:r w:rsidRPr="00BC31E0">
        <w:rPr>
          <w:rFonts w:asciiTheme="majorEastAsia" w:eastAsiaTheme="majorEastAsia" w:hAnsiTheme="majorEastAsia" w:hint="eastAsia"/>
          <w:b/>
        </w:rPr>
        <w:t>1)</w:t>
      </w:r>
      <w:r w:rsidRPr="00BC31E0">
        <w:rPr>
          <w:rFonts w:ascii="ＭＳ 明朝" w:hAnsi="ＭＳ 明朝" w:hint="eastAsia"/>
        </w:rPr>
        <w:t>～</w:t>
      </w:r>
      <w:r w:rsidRPr="00BC31E0">
        <w:rPr>
          <w:rFonts w:asciiTheme="majorEastAsia" w:eastAsiaTheme="majorEastAsia" w:hAnsiTheme="majorEastAsia" w:hint="eastAsia"/>
          <w:b/>
        </w:rPr>
        <w:t>6)</w:t>
      </w:r>
      <w:r w:rsidRPr="00BC31E0">
        <w:rPr>
          <w:rFonts w:ascii="ＭＳ 明朝" w:hAnsi="ＭＳ 明朝" w:hint="eastAsia"/>
        </w:rPr>
        <w:t>で規定されていない他の形状に対しても，温度勾配，全ての重要な構造不連続部</w:t>
      </w:r>
      <w:r w:rsidRPr="00BC31E0">
        <w:rPr>
          <w:rFonts w:asciiTheme="minorHAnsi" w:hAnsiTheme="minorHAnsi"/>
        </w:rPr>
        <w:t>(</w:t>
      </w:r>
      <w:r w:rsidRPr="00BC31E0">
        <w:rPr>
          <w:rFonts w:asciiTheme="minorHAnsi" w:hAnsi="ＭＳ 明朝"/>
        </w:rPr>
        <w:t>ノズル，取付物，鏡とシェルの接合部</w:t>
      </w:r>
      <w:r w:rsidRPr="00BC31E0">
        <w:rPr>
          <w:rFonts w:asciiTheme="minorHAnsi" w:hAnsiTheme="minorHAnsi"/>
        </w:rPr>
        <w:t>)</w:t>
      </w:r>
      <w:r w:rsidRPr="00BC31E0">
        <w:rPr>
          <w:rFonts w:ascii="ＭＳ 明朝" w:hAnsi="ＭＳ 明朝" w:hint="eastAsia"/>
        </w:rPr>
        <w:t>，溶接後熱処理中に生じる可能性のある機械的荷重の影響を考慮した手段が取られるならば，局部加熱を行ってもよい。加熱バンドの外側の容器部は，有害な温度勾配にならないように保温する。</w:t>
      </w:r>
    </w:p>
    <w:p w14:paraId="24DE0815" w14:textId="77777777" w:rsidR="002A71D7" w:rsidRPr="00BC31E0" w:rsidRDefault="00644B5F" w:rsidP="00736130">
      <w:pPr>
        <w:pStyle w:val="a4"/>
        <w:numPr>
          <w:ilvl w:val="0"/>
          <w:numId w:val="341"/>
        </w:numPr>
        <w:ind w:leftChars="0" w:left="454" w:hanging="454"/>
        <w:rPr>
          <w:rFonts w:ascii="ＭＳ 明朝"/>
        </w:rPr>
      </w:pPr>
      <w:r w:rsidRPr="00BC31E0">
        <w:rPr>
          <w:rFonts w:asciiTheme="majorEastAsia" w:eastAsiaTheme="majorEastAsia" w:hAnsiTheme="majorEastAsia" w:hint="eastAsia"/>
          <w:b/>
        </w:rPr>
        <w:t>容器の残留応力分布に影響を及ぼす熱処理</w:t>
      </w:r>
      <w:r w:rsidRPr="00BC31E0">
        <w:rPr>
          <w:rFonts w:hint="eastAsia"/>
        </w:rPr>
        <w:t xml:space="preserve">　</w:t>
      </w:r>
      <w:r w:rsidRPr="00BC31E0">
        <w:rPr>
          <w:rFonts w:ascii="ＭＳ 明朝" w:hint="eastAsia"/>
        </w:rPr>
        <w:t>いかなる熱処理も，</w:t>
      </w:r>
      <w:r w:rsidRPr="00BC31E0">
        <w:rPr>
          <w:rFonts w:asciiTheme="majorEastAsia" w:eastAsiaTheme="majorEastAsia" w:hAnsiTheme="majorEastAsia" w:hint="eastAsia"/>
          <w:b/>
        </w:rPr>
        <w:t>6.5</w:t>
      </w:r>
      <w:r w:rsidRPr="00BC31E0">
        <w:rPr>
          <w:rFonts w:hAnsi="ＭＳ ゴシック" w:hint="eastAsia"/>
        </w:rPr>
        <w:t>，</w:t>
      </w:r>
      <w:r w:rsidRPr="00BC31E0">
        <w:rPr>
          <w:rFonts w:asciiTheme="majorEastAsia" w:eastAsiaTheme="majorEastAsia" w:hAnsiTheme="majorEastAsia" w:hint="eastAsia"/>
          <w:b/>
        </w:rPr>
        <w:t>6.8</w:t>
      </w:r>
      <w:r w:rsidRPr="00BC31E0">
        <w:rPr>
          <w:rFonts w:ascii="ＭＳ 明朝" w:hint="eastAsia"/>
        </w:rPr>
        <w:t>及び</w:t>
      </w:r>
      <w:r w:rsidRPr="00BC31E0">
        <w:rPr>
          <w:rFonts w:asciiTheme="majorEastAsia" w:eastAsiaTheme="majorEastAsia" w:hAnsiTheme="majorEastAsia" w:hint="eastAsia"/>
          <w:b/>
        </w:rPr>
        <w:t>6.9</w:t>
      </w:r>
      <w:r w:rsidRPr="00BC31E0">
        <w:rPr>
          <w:rFonts w:ascii="ＭＳ 明朝" w:hint="eastAsia"/>
        </w:rPr>
        <w:t>で求められた残留応力分布に悪影響を及ぼさないようにしなければならない。更に，</w:t>
      </w:r>
      <w:r w:rsidRPr="00BC31E0">
        <w:rPr>
          <w:rFonts w:asciiTheme="majorEastAsia" w:eastAsiaTheme="majorEastAsia" w:hAnsiTheme="majorEastAsia" w:hint="eastAsia"/>
          <w:b/>
        </w:rPr>
        <w:t>7.8.3 h)</w:t>
      </w:r>
      <w:r w:rsidRPr="00BC31E0">
        <w:rPr>
          <w:rFonts w:ascii="ＭＳ 明朝" w:hint="eastAsia"/>
        </w:rPr>
        <w:t>又は</w:t>
      </w:r>
      <w:r w:rsidRPr="00BC31E0">
        <w:rPr>
          <w:rFonts w:asciiTheme="majorEastAsia" w:eastAsiaTheme="majorEastAsia" w:hAnsiTheme="majorEastAsia" w:hint="eastAsia"/>
          <w:b/>
        </w:rPr>
        <w:t>7.5.5 b)</w:t>
      </w:r>
      <w:r w:rsidRPr="00BC31E0">
        <w:rPr>
          <w:rFonts w:ascii="ＭＳ 明朝" w:hint="eastAsia"/>
        </w:rPr>
        <w:t>の熱処理の要求事項を満足しなければならない。</w:t>
      </w:r>
    </w:p>
    <w:p w14:paraId="74E8D70E" w14:textId="77777777" w:rsidR="00644B5F" w:rsidRPr="00BC31E0" w:rsidRDefault="00644B5F" w:rsidP="00736130">
      <w:pPr>
        <w:pStyle w:val="a4"/>
        <w:numPr>
          <w:ilvl w:val="0"/>
          <w:numId w:val="341"/>
        </w:numPr>
        <w:ind w:leftChars="0" w:left="454" w:hanging="454"/>
        <w:rPr>
          <w:rFonts w:ascii="ＭＳ 明朝"/>
        </w:rPr>
      </w:pPr>
      <w:r w:rsidRPr="00BC31E0">
        <w:rPr>
          <w:rFonts w:asciiTheme="majorEastAsia" w:eastAsiaTheme="majorEastAsia" w:hAnsiTheme="majorEastAsia" w:hint="eastAsia"/>
          <w:b/>
          <w:bCs/>
        </w:rPr>
        <w:t>加熱及び冷却速度</w:t>
      </w:r>
      <w:r w:rsidRPr="00BC31E0">
        <w:rPr>
          <w:rFonts w:hint="eastAsia"/>
        </w:rPr>
        <w:t xml:space="preserve">　</w:t>
      </w:r>
      <w:r w:rsidRPr="00BC31E0">
        <w:rPr>
          <w:rFonts w:ascii="ＭＳ 明朝" w:hAnsi="ＭＳ 明朝" w:hint="eastAsia"/>
          <w:bCs/>
        </w:rPr>
        <w:t>溶接後熱処理は次の</w:t>
      </w:r>
      <w:r w:rsidRPr="00BC31E0">
        <w:rPr>
          <w:rFonts w:asciiTheme="majorEastAsia" w:eastAsiaTheme="majorEastAsia" w:hAnsiTheme="majorEastAsia" w:hint="eastAsia"/>
          <w:b/>
        </w:rPr>
        <w:t>1)</w:t>
      </w:r>
      <w:r w:rsidRPr="00BC31E0">
        <w:rPr>
          <w:rFonts w:ascii="ＭＳ 明朝" w:hAnsi="ＭＳ 明朝" w:hint="eastAsia"/>
          <w:bCs/>
        </w:rPr>
        <w:t>～</w:t>
      </w:r>
      <w:r w:rsidRPr="00BC31E0">
        <w:rPr>
          <w:rFonts w:asciiTheme="majorEastAsia" w:eastAsiaTheme="majorEastAsia" w:hAnsiTheme="majorEastAsia" w:hint="eastAsia"/>
          <w:b/>
        </w:rPr>
        <w:t>5)</w:t>
      </w:r>
      <w:r w:rsidRPr="00BC31E0">
        <w:rPr>
          <w:rFonts w:ascii="ＭＳ 明朝" w:hAnsi="ＭＳ 明朝" w:hint="eastAsia"/>
          <w:bCs/>
        </w:rPr>
        <w:t>に</w:t>
      </w:r>
      <w:r w:rsidR="00601A6C" w:rsidRPr="00BC31E0">
        <w:rPr>
          <w:rFonts w:ascii="ＭＳ 明朝" w:hAnsi="ＭＳ 明朝" w:hint="eastAsia"/>
          <w:bCs/>
        </w:rPr>
        <w:t>従って</w:t>
      </w:r>
      <w:r w:rsidRPr="00BC31E0">
        <w:rPr>
          <w:rFonts w:ascii="ＭＳ 明朝" w:hAnsi="ＭＳ 明朝" w:hint="eastAsia"/>
          <w:bCs/>
        </w:rPr>
        <w:t>，上記</w:t>
      </w:r>
      <w:r w:rsidRPr="00BC31E0">
        <w:rPr>
          <w:rFonts w:asciiTheme="majorEastAsia" w:eastAsiaTheme="majorEastAsia" w:hAnsiTheme="majorEastAsia" w:hint="eastAsia"/>
          <w:b/>
        </w:rPr>
        <w:t>a)</w:t>
      </w:r>
      <w:r w:rsidRPr="00BC31E0">
        <w:rPr>
          <w:rFonts w:ascii="ＭＳ 明朝" w:hAnsi="ＭＳ 明朝" w:hint="eastAsia"/>
          <w:bCs/>
        </w:rPr>
        <w:t>の一つで行う。</w:t>
      </w:r>
    </w:p>
    <w:p w14:paraId="238F3497" w14:textId="77777777" w:rsidR="00C65232" w:rsidRPr="00BC31E0" w:rsidRDefault="00644B5F" w:rsidP="00736130">
      <w:pPr>
        <w:pStyle w:val="a4"/>
        <w:numPr>
          <w:ilvl w:val="0"/>
          <w:numId w:val="499"/>
        </w:numPr>
        <w:ind w:leftChars="0" w:left="738" w:hanging="454"/>
      </w:pPr>
      <w:r w:rsidRPr="00BC31E0">
        <w:rPr>
          <w:rFonts w:hint="eastAsia"/>
        </w:rPr>
        <w:t>容器又は部材を炉内に置いている間，炉内温度は</w:t>
      </w:r>
      <w:r w:rsidRPr="00BC31E0">
        <w:t>425</w:t>
      </w:r>
      <w:r w:rsidRPr="00BC31E0">
        <w:rPr>
          <w:rFonts w:ascii="ＭＳ 明朝" w:hAnsi="ＭＳ 明朝" w:cs="ＭＳ 明朝" w:hint="eastAsia"/>
        </w:rPr>
        <w:t>℃</w:t>
      </w:r>
      <w:r w:rsidRPr="00BC31E0">
        <w:rPr>
          <w:rFonts w:hint="eastAsia"/>
        </w:rPr>
        <w:t>を超えてはならない。</w:t>
      </w:r>
    </w:p>
    <w:p w14:paraId="47E14C1D" w14:textId="77777777" w:rsidR="00C65232" w:rsidRPr="00BC31E0" w:rsidRDefault="00644B5F" w:rsidP="00736130">
      <w:pPr>
        <w:pStyle w:val="a4"/>
        <w:numPr>
          <w:ilvl w:val="0"/>
          <w:numId w:val="499"/>
        </w:numPr>
        <w:ind w:leftChars="0" w:left="738" w:hanging="454"/>
      </w:pPr>
      <w:r w:rsidRPr="00BC31E0">
        <w:t>425</w:t>
      </w:r>
      <w:r w:rsidRPr="00BC31E0">
        <w:rPr>
          <w:rFonts w:ascii="ＭＳ 明朝" w:hAnsi="ＭＳ 明朝" w:cs="ＭＳ 明朝" w:hint="eastAsia"/>
        </w:rPr>
        <w:t>℃</w:t>
      </w:r>
      <w:r w:rsidRPr="00BC31E0">
        <w:t>より上の加熱速度は，シェル又は鏡の厚さ</w:t>
      </w:r>
      <w:r w:rsidRPr="00BC31E0">
        <w:t>25 mm</w:t>
      </w:r>
      <w:r w:rsidRPr="00BC31E0">
        <w:t>当たり</w:t>
      </w:r>
      <w:r w:rsidRPr="00BC31E0">
        <w:t>220</w:t>
      </w:r>
      <w:r w:rsidRPr="00BC31E0">
        <w:rPr>
          <w:rFonts w:ascii="ＭＳ 明朝" w:hAnsi="ＭＳ 明朝" w:cs="ＭＳ 明朝" w:hint="eastAsia"/>
        </w:rPr>
        <w:t>℃</w:t>
      </w:r>
      <w:r w:rsidRPr="00BC31E0">
        <w:t>/h</w:t>
      </w:r>
      <w:r w:rsidRPr="00BC31E0">
        <w:t>以下</w:t>
      </w:r>
      <w:r w:rsidRPr="00BC31E0">
        <w:rPr>
          <w:rFonts w:hint="eastAsia"/>
        </w:rPr>
        <w:t>とする</w:t>
      </w:r>
      <w:r w:rsidRPr="00BC31E0">
        <w:t>。</w:t>
      </w:r>
      <w:r w:rsidRPr="00BC31E0">
        <w:rPr>
          <w:rFonts w:hint="eastAsia"/>
        </w:rPr>
        <w:t>ただし</w:t>
      </w:r>
      <w:r w:rsidRPr="00BC31E0">
        <w:t>，</w:t>
      </w:r>
      <w:r w:rsidRPr="00BC31E0">
        <w:t>55</w:t>
      </w:r>
      <w:r w:rsidRPr="00BC31E0">
        <w:rPr>
          <w:rFonts w:ascii="ＭＳ 明朝" w:hAnsi="ＭＳ 明朝" w:cs="ＭＳ 明朝" w:hint="eastAsia"/>
        </w:rPr>
        <w:t>℃</w:t>
      </w:r>
      <w:r w:rsidRPr="00BC31E0">
        <w:t>/h</w:t>
      </w:r>
      <w:r w:rsidRPr="00BC31E0">
        <w:t>以下にする必要はない。加熱時間中，</w:t>
      </w:r>
      <w:r w:rsidRPr="00BC31E0">
        <w:t>4.6 m</w:t>
      </w:r>
      <w:r w:rsidRPr="00BC31E0">
        <w:t>間隔の範囲内で加熱される容器部で</w:t>
      </w:r>
      <w:r w:rsidRPr="00BC31E0">
        <w:t>140</w:t>
      </w:r>
      <w:r w:rsidRPr="00BC31E0">
        <w:rPr>
          <w:rFonts w:ascii="ＭＳ 明朝" w:hAnsi="ＭＳ 明朝" w:cs="ＭＳ 明朝" w:hint="eastAsia"/>
        </w:rPr>
        <w:t>℃</w:t>
      </w:r>
      <w:r w:rsidRPr="00BC31E0">
        <w:t>以上の温度変動が</w:t>
      </w:r>
      <w:r w:rsidRPr="00BC31E0">
        <w:rPr>
          <w:rFonts w:hint="eastAsia"/>
        </w:rPr>
        <w:t>あってはならない</w:t>
      </w:r>
      <w:r w:rsidRPr="00BC31E0">
        <w:t>。</w:t>
      </w:r>
    </w:p>
    <w:p w14:paraId="2931C469" w14:textId="77777777" w:rsidR="00C65232" w:rsidRPr="00BC31E0" w:rsidRDefault="00644B5F" w:rsidP="00736130">
      <w:pPr>
        <w:pStyle w:val="a4"/>
        <w:numPr>
          <w:ilvl w:val="0"/>
          <w:numId w:val="499"/>
        </w:numPr>
        <w:ind w:leftChars="0" w:left="738" w:hanging="454"/>
      </w:pPr>
      <w:r w:rsidRPr="00BC31E0">
        <w:rPr>
          <w:rFonts w:hint="eastAsia"/>
        </w:rPr>
        <w:t>容器又は部材は，規定された時間中，</w:t>
      </w:r>
      <w:r w:rsidRPr="00BC31E0">
        <w:rPr>
          <w:rFonts w:asciiTheme="majorEastAsia" w:eastAsiaTheme="majorEastAsia" w:hAnsiTheme="majorEastAsia" w:hint="eastAsia"/>
          <w:b/>
        </w:rPr>
        <w:t>表7.4.2</w:t>
      </w:r>
      <w:r w:rsidRPr="00BC31E0">
        <w:rPr>
          <w:rFonts w:hint="eastAsia"/>
        </w:rPr>
        <w:t>～</w:t>
      </w:r>
      <w:r w:rsidRPr="00BC31E0">
        <w:rPr>
          <w:rFonts w:asciiTheme="majorEastAsia" w:eastAsiaTheme="majorEastAsia" w:hAnsiTheme="majorEastAsia" w:hint="eastAsia"/>
          <w:b/>
        </w:rPr>
        <w:t>表7.4.18</w:t>
      </w:r>
      <w:r w:rsidRPr="00BC31E0">
        <w:rPr>
          <w:rFonts w:hint="eastAsia"/>
        </w:rPr>
        <w:t>の温度以上に保持する。保持時間中，これらの表の制限事項を除いて，加熱される容器部で最高温度と最低温度で</w:t>
      </w:r>
      <w:r w:rsidRPr="00BC31E0">
        <w:t>55</w:t>
      </w:r>
      <w:r w:rsidRPr="00BC31E0">
        <w:rPr>
          <w:rFonts w:ascii="ＭＳ 明朝" w:hAnsi="ＭＳ 明朝" w:cs="ＭＳ 明朝" w:hint="eastAsia"/>
        </w:rPr>
        <w:t>℃</w:t>
      </w:r>
      <w:r w:rsidRPr="00BC31E0">
        <w:rPr>
          <w:rFonts w:hint="eastAsia"/>
        </w:rPr>
        <w:t>以上の温度差があってはならない。</w:t>
      </w:r>
    </w:p>
    <w:p w14:paraId="7548BBBF" w14:textId="77777777" w:rsidR="00C65232" w:rsidRPr="00BC31E0" w:rsidRDefault="00644B5F" w:rsidP="00736130">
      <w:pPr>
        <w:pStyle w:val="a4"/>
        <w:numPr>
          <w:ilvl w:val="0"/>
          <w:numId w:val="499"/>
        </w:numPr>
        <w:ind w:leftChars="0" w:left="738" w:hanging="454"/>
      </w:pPr>
      <w:r w:rsidRPr="00BC31E0">
        <w:rPr>
          <w:rFonts w:hint="eastAsia"/>
        </w:rPr>
        <w:t>加熱及び保持時間中，容器表面における過度な酸化を避けるように，炉内大気を管理する。炉は，火炎が直接容器に当たらないような構造に設計する。</w:t>
      </w:r>
    </w:p>
    <w:p w14:paraId="025772CB" w14:textId="77777777" w:rsidR="00644B5F" w:rsidRPr="00BC31E0" w:rsidRDefault="00644B5F" w:rsidP="00736130">
      <w:pPr>
        <w:pStyle w:val="a4"/>
        <w:numPr>
          <w:ilvl w:val="0"/>
          <w:numId w:val="499"/>
        </w:numPr>
        <w:ind w:leftChars="0" w:left="738" w:hanging="454"/>
      </w:pPr>
      <w:r w:rsidRPr="00BC31E0">
        <w:rPr>
          <w:rFonts w:asciiTheme="majorEastAsia" w:eastAsiaTheme="majorEastAsia" w:hAnsiTheme="majorEastAsia" w:hint="eastAsia"/>
          <w:b/>
        </w:rPr>
        <w:t>7.6</w:t>
      </w:r>
      <w:r w:rsidRPr="00BC31E0">
        <w:rPr>
          <w:rFonts w:hint="eastAsia"/>
        </w:rPr>
        <w:t>による変更がなければ，</w:t>
      </w:r>
      <w:r w:rsidRPr="00BC31E0">
        <w:t>425</w:t>
      </w:r>
      <w:r w:rsidRPr="00BC31E0">
        <w:rPr>
          <w:rFonts w:ascii="ＭＳ 明朝" w:hAnsi="ＭＳ 明朝" w:cs="ＭＳ 明朝" w:hint="eastAsia"/>
        </w:rPr>
        <w:t>℃</w:t>
      </w:r>
      <w:r w:rsidRPr="00BC31E0">
        <w:rPr>
          <w:rFonts w:hint="eastAsia"/>
        </w:rPr>
        <w:t>までの冷却は，閉鎖した炉内又は冷却チャンバー内で，シェル又は鏡の厚さ</w:t>
      </w:r>
      <w:r w:rsidRPr="00BC31E0">
        <w:t>25 mm</w:t>
      </w:r>
      <w:r w:rsidRPr="00BC31E0">
        <w:rPr>
          <w:rFonts w:hint="eastAsia"/>
        </w:rPr>
        <w:t>当たり</w:t>
      </w:r>
      <w:r w:rsidRPr="00BC31E0">
        <w:t>280</w:t>
      </w:r>
      <w:r w:rsidRPr="00BC31E0">
        <w:rPr>
          <w:rFonts w:ascii="ＭＳ 明朝" w:hAnsi="ＭＳ 明朝" w:cs="ＭＳ 明朝" w:hint="eastAsia"/>
        </w:rPr>
        <w:t>℃</w:t>
      </w:r>
      <w:r w:rsidRPr="00BC31E0">
        <w:t>/h</w:t>
      </w:r>
      <w:r w:rsidRPr="00BC31E0">
        <w:rPr>
          <w:rFonts w:hint="eastAsia"/>
        </w:rPr>
        <w:t>以下の速度で行う。ただし，</w:t>
      </w:r>
      <w:r w:rsidRPr="00BC31E0">
        <w:t>55</w:t>
      </w:r>
      <w:r w:rsidRPr="00BC31E0">
        <w:rPr>
          <w:rFonts w:ascii="ＭＳ 明朝" w:hAnsi="ＭＳ 明朝" w:cs="ＭＳ 明朝" w:hint="eastAsia"/>
        </w:rPr>
        <w:t>℃</w:t>
      </w:r>
      <w:r w:rsidRPr="00BC31E0">
        <w:t>/h</w:t>
      </w:r>
      <w:r w:rsidRPr="00BC31E0">
        <w:rPr>
          <w:rFonts w:hint="eastAsia"/>
        </w:rPr>
        <w:t>以下にする必要はない。</w:t>
      </w:r>
      <w:r w:rsidRPr="00BC31E0">
        <w:t>425</w:t>
      </w:r>
      <w:r w:rsidRPr="00BC31E0">
        <w:rPr>
          <w:rFonts w:ascii="ＭＳ 明朝" w:hAnsi="ＭＳ 明朝" w:cs="ＭＳ 明朝" w:hint="eastAsia"/>
        </w:rPr>
        <w:t>℃</w:t>
      </w:r>
      <w:r w:rsidRPr="00BC31E0">
        <w:rPr>
          <w:rFonts w:hint="eastAsia"/>
        </w:rPr>
        <w:t>からは，大気中で空冷してもよい。</w:t>
      </w:r>
    </w:p>
    <w:p w14:paraId="6FDB9881" w14:textId="77777777" w:rsidR="00644B5F" w:rsidRPr="00BC31E0" w:rsidRDefault="00644B5F" w:rsidP="005405C9">
      <w:pPr>
        <w:pStyle w:val="3"/>
        <w:tabs>
          <w:tab w:val="clear" w:pos="284"/>
        </w:tabs>
        <w:ind w:left="794" w:hanging="794"/>
      </w:pPr>
      <w:r w:rsidRPr="00BC31E0">
        <w:rPr>
          <w:rFonts w:hint="eastAsia"/>
        </w:rPr>
        <w:t>補修後の溶接後熱処理</w:t>
      </w:r>
    </w:p>
    <w:p w14:paraId="567686FF" w14:textId="77777777" w:rsidR="00644B5F" w:rsidRPr="00BC31E0" w:rsidRDefault="00644B5F" w:rsidP="00914E68">
      <w:pPr>
        <w:pStyle w:val="1110"/>
        <w:ind w:firstLine="211"/>
        <w:rPr>
          <w:szCs w:val="21"/>
        </w:rPr>
      </w:pPr>
      <w:r w:rsidRPr="00BC31E0">
        <w:rPr>
          <w:rFonts w:ascii="ＭＳ ゴシック" w:hAnsi="ＭＳ ゴシック" w:hint="eastAsia"/>
          <w:b/>
          <w:szCs w:val="21"/>
        </w:rPr>
        <w:t>7.4.1</w:t>
      </w:r>
      <w:r w:rsidRPr="00BC31E0">
        <w:rPr>
          <w:rFonts w:hint="eastAsia"/>
          <w:szCs w:val="21"/>
        </w:rPr>
        <w:t>の要求事項に従って溶接後熱処理された容器又は部材は，溶接後熱処理が要求される補修溶接がなされたならば，補修後に，再度，溶接後熱処理を行う。製作者は，いかなる付加的な熱処理も，容器の材料特性に悪影響を及ぼさないことを保証しなければならない。補修後の溶接後熱処理に関する追加規定を，次の</w:t>
      </w:r>
      <w:r w:rsidRPr="00BC31E0">
        <w:rPr>
          <w:rFonts w:asciiTheme="majorEastAsia" w:eastAsiaTheme="majorEastAsia" w:hAnsiTheme="majorEastAsia" w:hint="eastAsia"/>
          <w:b/>
          <w:szCs w:val="21"/>
        </w:rPr>
        <w:t>a)</w:t>
      </w:r>
      <w:r w:rsidRPr="00BC31E0">
        <w:rPr>
          <w:rFonts w:asciiTheme="minorEastAsia" w:eastAsiaTheme="minorEastAsia" w:hAnsiTheme="minorEastAsia" w:hint="eastAsia"/>
          <w:szCs w:val="21"/>
        </w:rPr>
        <w:t>，</w:t>
      </w:r>
      <w:r w:rsidRPr="00BC31E0">
        <w:rPr>
          <w:rFonts w:asciiTheme="majorEastAsia" w:eastAsiaTheme="majorEastAsia" w:hAnsiTheme="majorEastAsia" w:hint="eastAsia"/>
          <w:b/>
          <w:szCs w:val="21"/>
        </w:rPr>
        <w:t>b)</w:t>
      </w:r>
      <w:r w:rsidRPr="00BC31E0">
        <w:rPr>
          <w:rFonts w:hint="eastAsia"/>
          <w:szCs w:val="21"/>
        </w:rPr>
        <w:t>に示す。</w:t>
      </w:r>
    </w:p>
    <w:p w14:paraId="1C25D867" w14:textId="77777777" w:rsidR="00644B5F" w:rsidRPr="00BC31E0" w:rsidRDefault="00644B5F" w:rsidP="00736130">
      <w:pPr>
        <w:pStyle w:val="a4"/>
        <w:numPr>
          <w:ilvl w:val="0"/>
          <w:numId w:val="500"/>
        </w:numPr>
        <w:ind w:leftChars="0" w:left="454" w:hanging="454"/>
      </w:pPr>
      <w:r w:rsidRPr="00BC31E0">
        <w:rPr>
          <w:rFonts w:hint="eastAsia"/>
        </w:rPr>
        <w:t>P</w:t>
      </w:r>
      <w:r w:rsidRPr="00BC31E0">
        <w:rPr>
          <w:rFonts w:hint="eastAsia"/>
        </w:rPr>
        <w:t>番号</w:t>
      </w:r>
      <w:r w:rsidRPr="00BC31E0">
        <w:rPr>
          <w:rFonts w:hint="eastAsia"/>
        </w:rPr>
        <w:t>1</w:t>
      </w:r>
      <w:r w:rsidRPr="00BC31E0">
        <w:rPr>
          <w:rFonts w:hint="eastAsia"/>
        </w:rPr>
        <w:t>と</w:t>
      </w:r>
      <w:r w:rsidRPr="00BC31E0">
        <w:rPr>
          <w:rFonts w:hint="eastAsia"/>
        </w:rPr>
        <w:t>P</w:t>
      </w:r>
      <w:r w:rsidRPr="00BC31E0">
        <w:rPr>
          <w:rFonts w:hint="eastAsia"/>
        </w:rPr>
        <w:t>番号</w:t>
      </w:r>
      <w:r w:rsidRPr="00BC31E0">
        <w:rPr>
          <w:rFonts w:hint="eastAsia"/>
        </w:rPr>
        <w:t>3</w:t>
      </w:r>
      <w:r w:rsidRPr="00BC31E0">
        <w:rPr>
          <w:rFonts w:hint="eastAsia"/>
        </w:rPr>
        <w:t>の材料及びこれらの材料による継手の溶接金属に対する補修溶接は，最終の溶接後熱処理の後に行ってもよい。しかし，次の</w:t>
      </w:r>
      <w:r w:rsidRPr="00BC31E0">
        <w:rPr>
          <w:rFonts w:asciiTheme="majorEastAsia" w:eastAsiaTheme="majorEastAsia" w:hAnsiTheme="majorEastAsia" w:hint="eastAsia"/>
          <w:b/>
          <w:bCs/>
        </w:rPr>
        <w:t>1)</w:t>
      </w:r>
      <w:r w:rsidRPr="00BC31E0">
        <w:rPr>
          <w:rFonts w:hint="eastAsia"/>
        </w:rPr>
        <w:t>～</w:t>
      </w:r>
      <w:r w:rsidRPr="00BC31E0">
        <w:rPr>
          <w:rFonts w:asciiTheme="majorEastAsia" w:eastAsiaTheme="majorEastAsia" w:hAnsiTheme="majorEastAsia" w:hint="eastAsia"/>
          <w:b/>
          <w:bCs/>
        </w:rPr>
        <w:t>8)</w:t>
      </w:r>
      <w:r w:rsidRPr="00BC31E0">
        <w:rPr>
          <w:rFonts w:hint="eastAsia"/>
        </w:rPr>
        <w:t>の全てを満たすならば，補修溶接は追加の溶接後熱処理を行うことなく，最終の水圧試験の前に行ってもよい。ただし，製作用固定具の取外し後の補修のように材料表面の軽微な修復には，これらの要求は適用されない。</w:t>
      </w:r>
    </w:p>
    <w:p w14:paraId="72EBB33E" w14:textId="77777777" w:rsidR="005405C9" w:rsidRPr="00BC31E0" w:rsidRDefault="00644B5F" w:rsidP="00736130">
      <w:pPr>
        <w:pStyle w:val="a4"/>
        <w:numPr>
          <w:ilvl w:val="0"/>
          <w:numId w:val="501"/>
        </w:numPr>
        <w:ind w:leftChars="0" w:left="738" w:hanging="454"/>
      </w:pPr>
      <w:r w:rsidRPr="00BC31E0">
        <w:rPr>
          <w:rFonts w:hint="eastAsia"/>
        </w:rPr>
        <w:t>使用者によって，溶接後熱処理が要求されていない。</w:t>
      </w:r>
    </w:p>
    <w:p w14:paraId="57484AD5" w14:textId="77777777" w:rsidR="005405C9" w:rsidRPr="00BC31E0" w:rsidRDefault="00644B5F" w:rsidP="00736130">
      <w:pPr>
        <w:pStyle w:val="a4"/>
        <w:numPr>
          <w:ilvl w:val="0"/>
          <w:numId w:val="501"/>
        </w:numPr>
        <w:ind w:leftChars="0" w:left="738" w:hanging="454"/>
      </w:pPr>
      <w:r w:rsidRPr="00BC31E0">
        <w:rPr>
          <w:rFonts w:hint="eastAsia"/>
        </w:rPr>
        <w:t>衝撃試験が要求されない材料である。</w:t>
      </w:r>
    </w:p>
    <w:p w14:paraId="0B6BAA38" w14:textId="77777777" w:rsidR="005405C9" w:rsidRPr="00BC31E0" w:rsidRDefault="00644B5F" w:rsidP="00736130">
      <w:pPr>
        <w:pStyle w:val="a4"/>
        <w:numPr>
          <w:ilvl w:val="0"/>
          <w:numId w:val="501"/>
        </w:numPr>
        <w:ind w:leftChars="0" w:left="738" w:hanging="454"/>
      </w:pPr>
      <w:r w:rsidRPr="00BC31E0">
        <w:rPr>
          <w:rFonts w:hint="eastAsia"/>
        </w:rPr>
        <w:t>製作者は，補修溶接について事前に使用者又は指定代理人に通知し，補修は許可が得られるまで行わない。補修内容は，製作者製作記録に記載する。</w:t>
      </w:r>
    </w:p>
    <w:p w14:paraId="3C6DDBD8" w14:textId="77777777" w:rsidR="005405C9" w:rsidRPr="00BC31E0" w:rsidRDefault="00644B5F" w:rsidP="00736130">
      <w:pPr>
        <w:pStyle w:val="a4"/>
        <w:numPr>
          <w:ilvl w:val="0"/>
          <w:numId w:val="501"/>
        </w:numPr>
        <w:ind w:leftChars="0" w:left="738" w:hanging="454"/>
      </w:pPr>
      <w:r w:rsidRPr="00BC31E0">
        <w:rPr>
          <w:rFonts w:hint="eastAsia"/>
        </w:rPr>
        <w:t>補修溶接の全深さは，</w:t>
      </w:r>
      <w:r w:rsidRPr="00BC31E0">
        <w:rPr>
          <w:rFonts w:hint="eastAsia"/>
        </w:rPr>
        <w:t>P</w:t>
      </w:r>
      <w:r w:rsidRPr="00BC31E0">
        <w:rPr>
          <w:rFonts w:hint="eastAsia"/>
        </w:rPr>
        <w:t>番号</w:t>
      </w:r>
      <w:r w:rsidRPr="00BC31E0">
        <w:rPr>
          <w:rFonts w:hint="eastAsia"/>
        </w:rPr>
        <w:t>1</w:t>
      </w:r>
      <w:r w:rsidRPr="00BC31E0">
        <w:rPr>
          <w:rFonts w:hint="eastAsia"/>
        </w:rPr>
        <w:t>の材料では</w:t>
      </w:r>
      <w:r w:rsidRPr="00BC31E0">
        <w:t>38 mm</w:t>
      </w:r>
      <w:r w:rsidRPr="00BC31E0">
        <w:rPr>
          <w:rFonts w:hint="eastAsia"/>
        </w:rPr>
        <w:t>，</w:t>
      </w:r>
      <w:r w:rsidRPr="00BC31E0">
        <w:rPr>
          <w:rFonts w:hint="eastAsia"/>
        </w:rPr>
        <w:t>P</w:t>
      </w:r>
      <w:r w:rsidRPr="00BC31E0">
        <w:rPr>
          <w:rFonts w:hint="eastAsia"/>
        </w:rPr>
        <w:t>番号</w:t>
      </w:r>
      <w:r w:rsidRPr="00BC31E0">
        <w:rPr>
          <w:rFonts w:hint="eastAsia"/>
        </w:rPr>
        <w:t>3</w:t>
      </w:r>
      <w:r w:rsidRPr="00BC31E0">
        <w:rPr>
          <w:rFonts w:hint="eastAsia"/>
        </w:rPr>
        <w:t>の材料では</w:t>
      </w:r>
      <w:r w:rsidRPr="00BC31E0">
        <w:t>16 mm</w:t>
      </w:r>
      <w:r w:rsidRPr="00BC31E0">
        <w:rPr>
          <w:rFonts w:hint="eastAsia"/>
        </w:rPr>
        <w:t>を超えない。補修溶接の全深さは，両側から行った補修溶接による深さの合計値とする。</w:t>
      </w:r>
    </w:p>
    <w:p w14:paraId="5D97BB78" w14:textId="77777777" w:rsidR="005405C9" w:rsidRPr="00BC31E0" w:rsidRDefault="00644B5F" w:rsidP="00736130">
      <w:pPr>
        <w:pStyle w:val="a4"/>
        <w:numPr>
          <w:ilvl w:val="0"/>
          <w:numId w:val="501"/>
        </w:numPr>
        <w:ind w:leftChars="0" w:left="738" w:hanging="454"/>
      </w:pPr>
      <w:r w:rsidRPr="00BC31E0">
        <w:rPr>
          <w:rFonts w:hint="eastAsia"/>
        </w:rPr>
        <w:t>欠陥の除去後に，</w:t>
      </w:r>
      <w:r w:rsidRPr="00BC31E0">
        <w:rPr>
          <w:rFonts w:asciiTheme="majorEastAsia" w:eastAsiaTheme="majorEastAsia" w:hAnsiTheme="majorEastAsia" w:hint="eastAsia"/>
          <w:b/>
        </w:rPr>
        <w:t>9</w:t>
      </w:r>
      <w:r w:rsidRPr="00BC31E0">
        <w:rPr>
          <w:rFonts w:hint="eastAsia"/>
        </w:rPr>
        <w:t>に従った磁粉探傷試験又は浸透探傷試験で開先の検査を行う。</w:t>
      </w:r>
    </w:p>
    <w:p w14:paraId="20FFC7CF" w14:textId="77777777" w:rsidR="00644B5F" w:rsidRPr="00BC31E0" w:rsidRDefault="00644B5F" w:rsidP="00736130">
      <w:pPr>
        <w:pStyle w:val="a4"/>
        <w:numPr>
          <w:ilvl w:val="0"/>
          <w:numId w:val="501"/>
        </w:numPr>
        <w:ind w:leftChars="0" w:left="738" w:hanging="454"/>
      </w:pPr>
      <w:r w:rsidRPr="00BC31E0">
        <w:rPr>
          <w:rFonts w:asciiTheme="majorEastAsia" w:eastAsiaTheme="majorEastAsia" w:hAnsiTheme="majorEastAsia" w:hint="eastAsia"/>
          <w:b/>
        </w:rPr>
        <w:t>7.2</w:t>
      </w:r>
      <w:r w:rsidRPr="00BC31E0">
        <w:rPr>
          <w:rFonts w:hint="eastAsia"/>
        </w:rPr>
        <w:t>の要求事項に加えて，次の</w:t>
      </w:r>
      <w:r w:rsidRPr="00BC31E0">
        <w:rPr>
          <w:rFonts w:asciiTheme="majorEastAsia" w:eastAsiaTheme="majorEastAsia" w:hAnsiTheme="majorEastAsia" w:hint="eastAsia"/>
          <w:b/>
        </w:rPr>
        <w:t>6.1)</w:t>
      </w:r>
      <w:r w:rsidRPr="00BC31E0">
        <w:rPr>
          <w:rFonts w:hint="eastAsia"/>
        </w:rPr>
        <w:t>～</w:t>
      </w:r>
      <w:r w:rsidRPr="00BC31E0">
        <w:rPr>
          <w:rFonts w:asciiTheme="majorEastAsia" w:eastAsiaTheme="majorEastAsia" w:hAnsiTheme="majorEastAsia" w:hint="eastAsia"/>
          <w:b/>
        </w:rPr>
        <w:t>6.3)</w:t>
      </w:r>
      <w:r w:rsidRPr="00BC31E0">
        <w:rPr>
          <w:rFonts w:hint="eastAsia"/>
        </w:rPr>
        <w:t>の要求を適用する。</w:t>
      </w:r>
    </w:p>
    <w:p w14:paraId="0FA1022E" w14:textId="77777777" w:rsidR="00B10E8C" w:rsidRPr="00BC31E0" w:rsidRDefault="00644B5F" w:rsidP="00736130">
      <w:pPr>
        <w:pStyle w:val="a4"/>
        <w:numPr>
          <w:ilvl w:val="0"/>
          <w:numId w:val="503"/>
        </w:numPr>
        <w:ind w:leftChars="0" w:left="1134" w:hanging="567"/>
      </w:pPr>
      <w:r w:rsidRPr="00BC31E0">
        <w:rPr>
          <w:rFonts w:hint="eastAsia"/>
        </w:rPr>
        <w:lastRenderedPageBreak/>
        <w:t>補修溶接は低水素溶接材料を使用した手動の被覆アーク溶接で行い，最大ビード幅は溶接棒の直径の</w:t>
      </w:r>
      <w:r w:rsidRPr="00BC31E0">
        <w:t>4</w:t>
      </w:r>
      <w:r w:rsidRPr="00BC31E0">
        <w:rPr>
          <w:rFonts w:hint="eastAsia"/>
        </w:rPr>
        <w:t>倍とする。</w:t>
      </w:r>
    </w:p>
    <w:p w14:paraId="2EDD581B" w14:textId="77777777" w:rsidR="00B10E8C" w:rsidRPr="00BC31E0" w:rsidRDefault="00644B5F" w:rsidP="00736130">
      <w:pPr>
        <w:pStyle w:val="a4"/>
        <w:numPr>
          <w:ilvl w:val="0"/>
          <w:numId w:val="503"/>
        </w:numPr>
        <w:ind w:leftChars="0" w:left="1134" w:hanging="567"/>
      </w:pPr>
      <w:r w:rsidRPr="00BC31E0">
        <w:t>P</w:t>
      </w:r>
      <w:r w:rsidRPr="00BC31E0">
        <w:rPr>
          <w:rFonts w:hint="eastAsia"/>
        </w:rPr>
        <w:t>番号</w:t>
      </w:r>
      <w:r w:rsidRPr="00BC31E0">
        <w:t>1</w:t>
      </w:r>
      <w:r w:rsidRPr="00BC31E0">
        <w:rPr>
          <w:rFonts w:hint="eastAsia"/>
        </w:rPr>
        <w:t>の材料の場合，補修領域を最低</w:t>
      </w:r>
      <w:r w:rsidRPr="00BC31E0">
        <w:t>95</w:t>
      </w:r>
      <w:r w:rsidR="00F17F01" w:rsidRPr="00BC31E0">
        <w:rPr>
          <w:rFonts w:asciiTheme="minorEastAsia" w:eastAsiaTheme="minorEastAsia" w:hAnsiTheme="minorEastAsia" w:hint="eastAsia"/>
          <w:bCs/>
        </w:rPr>
        <w:t>℃</w:t>
      </w:r>
      <w:r w:rsidRPr="00BC31E0">
        <w:rPr>
          <w:rFonts w:hint="eastAsia"/>
        </w:rPr>
        <w:t>で予熱し，溶接の間，保持する。</w:t>
      </w:r>
    </w:p>
    <w:p w14:paraId="7C89E2E4" w14:textId="77777777" w:rsidR="00644B5F" w:rsidRPr="00BC31E0" w:rsidRDefault="00644B5F" w:rsidP="00736130">
      <w:pPr>
        <w:pStyle w:val="a4"/>
        <w:numPr>
          <w:ilvl w:val="0"/>
          <w:numId w:val="503"/>
        </w:numPr>
        <w:ind w:leftChars="0" w:left="1134" w:hanging="567"/>
      </w:pPr>
      <w:r w:rsidRPr="00BC31E0">
        <w:rPr>
          <w:rFonts w:hint="eastAsia"/>
        </w:rPr>
        <w:t>P</w:t>
      </w:r>
      <w:r w:rsidRPr="00BC31E0">
        <w:rPr>
          <w:rFonts w:hint="eastAsia"/>
        </w:rPr>
        <w:t>番号</w:t>
      </w:r>
      <w:r w:rsidRPr="00BC31E0">
        <w:rPr>
          <w:rFonts w:hint="eastAsia"/>
        </w:rPr>
        <w:t>3</w:t>
      </w:r>
      <w:r w:rsidRPr="00BC31E0">
        <w:rPr>
          <w:rFonts w:hint="eastAsia"/>
        </w:rPr>
        <w:t>の材料の場合，溶接方法は，サブマージアーク溶接によるハーフビード補修溶接とテンパービード補強法に限定する。補修領域を最低</w:t>
      </w:r>
      <w:r w:rsidRPr="00BC31E0">
        <w:t>175</w:t>
      </w:r>
      <w:r w:rsidR="00F17F01" w:rsidRPr="00BC31E0">
        <w:rPr>
          <w:rFonts w:asciiTheme="minorEastAsia" w:eastAsiaTheme="minorEastAsia" w:hAnsiTheme="minorEastAsia" w:hint="eastAsia"/>
          <w:bCs/>
        </w:rPr>
        <w:t>℃</w:t>
      </w:r>
      <w:r w:rsidRPr="00BC31E0">
        <w:rPr>
          <w:rFonts w:hint="eastAsia"/>
        </w:rPr>
        <w:t>で予熱し，溶接の間，保持する。パス間温度の最高温度は</w:t>
      </w:r>
      <w:r w:rsidRPr="00BC31E0">
        <w:t>230</w:t>
      </w:r>
      <w:r w:rsidR="00F17F01" w:rsidRPr="00BC31E0">
        <w:rPr>
          <w:rFonts w:asciiTheme="minorEastAsia" w:eastAsiaTheme="minorEastAsia" w:hAnsiTheme="minorEastAsia" w:hint="eastAsia"/>
          <w:bCs/>
        </w:rPr>
        <w:t>℃</w:t>
      </w:r>
      <w:r w:rsidRPr="00BC31E0">
        <w:rPr>
          <w:rFonts w:hint="eastAsia"/>
        </w:rPr>
        <w:t>とする。初層は最大直径</w:t>
      </w:r>
      <w:r w:rsidRPr="00BC31E0">
        <w:t>3 mm</w:t>
      </w:r>
      <w:r w:rsidRPr="00BC31E0">
        <w:rPr>
          <w:rFonts w:hint="eastAsia"/>
        </w:rPr>
        <w:t>の溶接棒を使用して全領域に亘って盛り，初層厚さの約半分は次の層を盛る前に研削によって除去する。その後の層は，前の溶接ビードと熱影響部が確実に焼戻しされるように，最大直径</w:t>
      </w:r>
      <w:r w:rsidRPr="00BC31E0">
        <w:t>4</w:t>
      </w:r>
      <w:r w:rsidRPr="00BC31E0">
        <w:rPr>
          <w:rFonts w:hint="eastAsia"/>
        </w:rPr>
        <w:t xml:space="preserve"> </w:t>
      </w:r>
      <w:r w:rsidRPr="00BC31E0">
        <w:t>mm</w:t>
      </w:r>
      <w:r w:rsidRPr="00BC31E0">
        <w:rPr>
          <w:rFonts w:hint="eastAsia"/>
        </w:rPr>
        <w:t>の溶接棒を使用して盛る。最終的に，溶接ビードを母材に接触せずに補修面上まで盛るが，母材熱影響部が確実に焼戻しされるように，下地の溶接ビード端部に十分に接近させる。補修溶接が完了した後に，補修領域を</w:t>
      </w:r>
      <w:r w:rsidRPr="00BC31E0">
        <w:t>205</w:t>
      </w:r>
      <w:r w:rsidR="00F17F01" w:rsidRPr="00BC31E0">
        <w:rPr>
          <w:rFonts w:asciiTheme="minorEastAsia" w:eastAsiaTheme="minorEastAsia" w:hAnsiTheme="minorEastAsia" w:hint="eastAsia"/>
          <w:bCs/>
        </w:rPr>
        <w:t>℃</w:t>
      </w:r>
      <w:r w:rsidRPr="00BC31E0">
        <w:rPr>
          <w:rFonts w:hint="eastAsia"/>
        </w:rPr>
        <w:t>～</w:t>
      </w:r>
      <w:r w:rsidRPr="00BC31E0">
        <w:t>260</w:t>
      </w:r>
      <w:r w:rsidR="00F17F01" w:rsidRPr="00BC31E0">
        <w:rPr>
          <w:rFonts w:asciiTheme="minorEastAsia" w:eastAsiaTheme="minorEastAsia" w:hAnsiTheme="minorEastAsia" w:hint="eastAsia"/>
          <w:bCs/>
        </w:rPr>
        <w:t>℃</w:t>
      </w:r>
      <w:r w:rsidRPr="00BC31E0">
        <w:rPr>
          <w:rFonts w:hint="eastAsia"/>
        </w:rPr>
        <w:t>で，最低でも</w:t>
      </w:r>
      <w:r w:rsidRPr="00BC31E0">
        <w:t>4</w:t>
      </w:r>
      <w:r w:rsidRPr="00BC31E0">
        <w:rPr>
          <w:rFonts w:hint="eastAsia"/>
        </w:rPr>
        <w:t>時間保持する。最終のテンパービード補強層は，母材表面と同一平面になるよ</w:t>
      </w:r>
      <w:r w:rsidRPr="00BC31E0">
        <w:rPr>
          <w:rFonts w:ascii="ＭＳ 明朝" w:hAnsi="ＭＳ 明朝" w:hint="eastAsia"/>
          <w:bCs/>
        </w:rPr>
        <w:t>うに除去する。</w:t>
      </w:r>
    </w:p>
    <w:p w14:paraId="50D231EC" w14:textId="77777777" w:rsidR="000C3923" w:rsidRPr="00BC31E0" w:rsidRDefault="00644B5F" w:rsidP="00736130">
      <w:pPr>
        <w:pStyle w:val="a4"/>
        <w:numPr>
          <w:ilvl w:val="0"/>
          <w:numId w:val="502"/>
        </w:numPr>
        <w:ind w:leftChars="0" w:left="738" w:hanging="454"/>
      </w:pPr>
      <w:r w:rsidRPr="00BC31E0">
        <w:rPr>
          <w:rFonts w:hint="eastAsia"/>
        </w:rPr>
        <w:t>大気温度になった後に，</w:t>
      </w:r>
      <w:r w:rsidRPr="00BC31E0">
        <w:rPr>
          <w:rFonts w:asciiTheme="majorEastAsia" w:eastAsiaTheme="majorEastAsia" w:hAnsiTheme="majorEastAsia" w:hint="eastAsia"/>
          <w:b/>
          <w:bCs/>
        </w:rPr>
        <w:t>9</w:t>
      </w:r>
      <w:r w:rsidRPr="00BC31E0">
        <w:rPr>
          <w:rFonts w:hint="eastAsia"/>
        </w:rPr>
        <w:t>に従って補修溶接の磁粉探傷試験又は浸透探傷試験を行う。磁粉探傷試験は，交流ヨーク型のみでよい。</w:t>
      </w:r>
      <w:r w:rsidRPr="00BC31E0">
        <w:rPr>
          <w:rFonts w:hint="eastAsia"/>
        </w:rPr>
        <w:t>P</w:t>
      </w:r>
      <w:r w:rsidRPr="00BC31E0">
        <w:rPr>
          <w:rFonts w:hint="eastAsia"/>
        </w:rPr>
        <w:t>番号</w:t>
      </w:r>
      <w:r w:rsidRPr="00BC31E0">
        <w:rPr>
          <w:rFonts w:hint="eastAsia"/>
        </w:rPr>
        <w:t>3</w:t>
      </w:r>
      <w:r w:rsidRPr="00BC31E0">
        <w:rPr>
          <w:rFonts w:hint="eastAsia"/>
        </w:rPr>
        <w:t>の材料の場合には，遅れ割れの可能性を判断するために，</w:t>
      </w:r>
      <w:r w:rsidRPr="00BC31E0">
        <w:rPr>
          <w:rFonts w:hint="eastAsia"/>
        </w:rPr>
        <w:t>48</w:t>
      </w:r>
      <w:r w:rsidRPr="00BC31E0">
        <w:rPr>
          <w:rFonts w:hint="eastAsia"/>
        </w:rPr>
        <w:t>時間以上，大気温度に放置した後に探傷試験を行う。更に，深さが</w:t>
      </w:r>
      <w:r w:rsidRPr="00BC31E0">
        <w:t>10 mm</w:t>
      </w:r>
      <w:r w:rsidRPr="00BC31E0">
        <w:rPr>
          <w:rFonts w:hint="eastAsia"/>
        </w:rPr>
        <w:t>を超える補修溶接及び</w:t>
      </w:r>
      <w:r w:rsidRPr="00BC31E0">
        <w:rPr>
          <w:rFonts w:asciiTheme="majorEastAsia" w:eastAsiaTheme="majorEastAsia" w:hAnsiTheme="majorEastAsia" w:hint="eastAsia"/>
          <w:b/>
          <w:bCs/>
        </w:rPr>
        <w:t>9</w:t>
      </w:r>
      <w:r w:rsidRPr="00BC31E0">
        <w:rPr>
          <w:rFonts w:hint="eastAsia"/>
        </w:rPr>
        <w:t>による放射線透過試験が要求される溶接の補修は，放射線透過試験を行う。</w:t>
      </w:r>
    </w:p>
    <w:p w14:paraId="2AD2168F" w14:textId="77777777" w:rsidR="00644B5F" w:rsidRPr="00BC31E0" w:rsidRDefault="00644B5F" w:rsidP="00736130">
      <w:pPr>
        <w:pStyle w:val="a4"/>
        <w:numPr>
          <w:ilvl w:val="0"/>
          <w:numId w:val="502"/>
        </w:numPr>
        <w:ind w:leftChars="0" w:left="738" w:hanging="454"/>
      </w:pPr>
      <w:r w:rsidRPr="00BC31E0">
        <w:rPr>
          <w:rFonts w:hint="eastAsia"/>
        </w:rPr>
        <w:t>補修溶接を行った後に，容器の水圧試験を行う</w:t>
      </w:r>
      <w:r w:rsidR="00914E68" w:rsidRPr="00BC31E0">
        <w:rPr>
          <w:rFonts w:hint="eastAsia"/>
        </w:rPr>
        <w:t>。</w:t>
      </w:r>
    </w:p>
    <w:p w14:paraId="58B82E09" w14:textId="77777777" w:rsidR="00644B5F" w:rsidRPr="00BC31E0" w:rsidRDefault="00644B5F" w:rsidP="00736130">
      <w:pPr>
        <w:pStyle w:val="a4"/>
        <w:numPr>
          <w:ilvl w:val="0"/>
          <w:numId w:val="504"/>
        </w:numPr>
        <w:ind w:leftChars="0" w:left="454" w:hanging="454"/>
      </w:pPr>
      <w:r w:rsidRPr="00BC31E0">
        <w:rPr>
          <w:rFonts w:hint="eastAsia"/>
        </w:rPr>
        <w:t>溶接のための出力が最大</w:t>
      </w:r>
      <w:r w:rsidRPr="00BC31E0">
        <w:t>125 W-sec</w:t>
      </w:r>
      <w:r w:rsidRPr="00BC31E0">
        <w:rPr>
          <w:rFonts w:hint="eastAsia"/>
        </w:rPr>
        <w:t>に制限され，</w:t>
      </w:r>
      <w:r w:rsidRPr="00BC31E0">
        <w:rPr>
          <w:rFonts w:asciiTheme="majorEastAsia" w:eastAsiaTheme="majorEastAsia" w:hAnsiTheme="majorEastAsia" w:hint="eastAsia"/>
          <w:b/>
          <w:bCs/>
        </w:rPr>
        <w:t>表7.4.2</w:t>
      </w:r>
      <w:r w:rsidRPr="00BC31E0">
        <w:rPr>
          <w:rFonts w:hint="eastAsia"/>
        </w:rPr>
        <w:t>～</w:t>
      </w:r>
      <w:r w:rsidRPr="00BC31E0">
        <w:rPr>
          <w:rFonts w:asciiTheme="majorEastAsia" w:eastAsiaTheme="majorEastAsia" w:hAnsiTheme="majorEastAsia" w:hint="eastAsia"/>
          <w:b/>
          <w:bCs/>
        </w:rPr>
        <w:t>表7.4.18</w:t>
      </w:r>
      <w:r w:rsidRPr="00BC31E0">
        <w:rPr>
          <w:rFonts w:hint="eastAsia"/>
        </w:rPr>
        <w:t>の要求事項が適用できるならば，裸線熱電対の取付けにコンデンサ放電又は電気抵抗溶接が使用でき，溶接後熱処理は不要である。溶接手順仕様書を作成し，その内容には最小限，コンデンサ放電装置，接合する材料の組合せ及び適用技術を含める。</w:t>
      </w:r>
      <w:r w:rsidRPr="00BC31E0">
        <w:rPr>
          <w:rFonts w:hint="eastAsia"/>
        </w:rPr>
        <w:t xml:space="preserve"> </w:t>
      </w:r>
      <w:r w:rsidRPr="00BC31E0">
        <w:rPr>
          <w:rFonts w:hint="eastAsia"/>
        </w:rPr>
        <w:t>溶接手順の認定は不要である。</w:t>
      </w:r>
    </w:p>
    <w:p w14:paraId="2CCAF10D" w14:textId="77777777" w:rsidR="00644B5F" w:rsidRPr="00BC31E0" w:rsidRDefault="00644B5F" w:rsidP="00914E68"/>
    <w:p w14:paraId="008E5B24" w14:textId="77777777" w:rsidR="00644B5F" w:rsidRPr="00BC31E0" w:rsidRDefault="00644B5F" w:rsidP="00914E68">
      <w:pPr>
        <w:jc w:val="left"/>
      </w:pPr>
      <w:r w:rsidRPr="00BC31E0">
        <w:br w:type="page"/>
      </w:r>
    </w:p>
    <w:p w14:paraId="704B1844" w14:textId="77777777" w:rsidR="00644B5F" w:rsidRPr="00BC31E0" w:rsidRDefault="00644B5F" w:rsidP="00644B5F">
      <w:pPr>
        <w:spacing w:after="60"/>
        <w:jc w:val="center"/>
        <w:rPr>
          <w:rFonts w:asciiTheme="majorEastAsia" w:eastAsiaTheme="majorEastAsia" w:hAnsiTheme="majorEastAsia"/>
          <w:b/>
        </w:rPr>
      </w:pPr>
      <w:r w:rsidRPr="00BC31E0">
        <w:rPr>
          <w:rFonts w:asciiTheme="majorEastAsia" w:eastAsiaTheme="majorEastAsia" w:hAnsiTheme="majorEastAsia" w:hint="eastAsia"/>
          <w:b/>
        </w:rPr>
        <w:lastRenderedPageBreak/>
        <w:t>表7.4.1　クロムモリブデン鋼の材料仕様</w:t>
      </w:r>
    </w:p>
    <w:tbl>
      <w:tblPr>
        <w:tblStyle w:val="100"/>
        <w:tblW w:w="7422" w:type="dxa"/>
        <w:jc w:val="center"/>
        <w:tblLook w:val="04A0" w:firstRow="1" w:lastRow="0" w:firstColumn="1" w:lastColumn="0" w:noHBand="0" w:noVBand="1"/>
      </w:tblPr>
      <w:tblGrid>
        <w:gridCol w:w="2437"/>
        <w:gridCol w:w="1559"/>
        <w:gridCol w:w="2268"/>
        <w:gridCol w:w="1158"/>
      </w:tblGrid>
      <w:tr w:rsidR="00644B5F" w:rsidRPr="00BC31E0" w14:paraId="2189CF84" w14:textId="77777777" w:rsidTr="002851A3">
        <w:trPr>
          <w:jc w:val="center"/>
        </w:trPr>
        <w:tc>
          <w:tcPr>
            <w:tcW w:w="2437" w:type="dxa"/>
            <w:vAlign w:val="center"/>
          </w:tcPr>
          <w:p w14:paraId="0BEEDEA5" w14:textId="77777777" w:rsidR="00644B5F" w:rsidRPr="00BC31E0" w:rsidRDefault="00644B5F" w:rsidP="00644B5F">
            <w:pPr>
              <w:spacing w:line="320" w:lineRule="atLeast"/>
              <w:jc w:val="center"/>
              <w:rPr>
                <w:rFonts w:asciiTheme="minorHAnsi" w:eastAsiaTheme="minorEastAsia" w:hAnsiTheme="minorHAnsi"/>
              </w:rPr>
            </w:pPr>
            <w:r w:rsidRPr="00BC31E0">
              <w:rPr>
                <w:rFonts w:asciiTheme="minorHAnsi" w:eastAsiaTheme="minorEastAsia" w:hAnsiTheme="minorEastAsia"/>
              </w:rPr>
              <w:t>化学成分</w:t>
            </w:r>
          </w:p>
        </w:tc>
        <w:tc>
          <w:tcPr>
            <w:tcW w:w="3827" w:type="dxa"/>
            <w:gridSpan w:val="2"/>
            <w:vAlign w:val="center"/>
          </w:tcPr>
          <w:p w14:paraId="65E01B35" w14:textId="77777777" w:rsidR="00644B5F" w:rsidRPr="00BC31E0" w:rsidRDefault="00644B5F" w:rsidP="00644B5F">
            <w:pPr>
              <w:spacing w:line="320" w:lineRule="atLeast"/>
              <w:jc w:val="center"/>
              <w:rPr>
                <w:rFonts w:asciiTheme="minorHAnsi" w:eastAsiaTheme="minorEastAsia" w:hAnsiTheme="minorHAnsi"/>
              </w:rPr>
            </w:pPr>
            <w:r w:rsidRPr="00BC31E0">
              <w:rPr>
                <w:rFonts w:asciiTheme="minorHAnsi" w:eastAsiaTheme="minorEastAsia" w:hAnsiTheme="minorHAnsi" w:hint="eastAsia"/>
              </w:rPr>
              <w:t>材料規格番号</w:t>
            </w:r>
          </w:p>
        </w:tc>
        <w:tc>
          <w:tcPr>
            <w:tcW w:w="1158" w:type="dxa"/>
            <w:vAlign w:val="center"/>
          </w:tcPr>
          <w:p w14:paraId="6180B417" w14:textId="77777777" w:rsidR="00644B5F" w:rsidRPr="00BC31E0" w:rsidRDefault="00644B5F" w:rsidP="00644B5F">
            <w:pPr>
              <w:spacing w:line="320" w:lineRule="atLeast"/>
              <w:jc w:val="center"/>
              <w:rPr>
                <w:rFonts w:asciiTheme="minorHAnsi" w:eastAsiaTheme="minorEastAsia" w:hAnsiTheme="minorHAnsi"/>
              </w:rPr>
            </w:pPr>
            <w:r w:rsidRPr="00BC31E0">
              <w:rPr>
                <w:rFonts w:asciiTheme="minorHAnsi" w:eastAsiaTheme="minorEastAsia" w:hAnsiTheme="minorHAnsi" w:hint="eastAsia"/>
              </w:rPr>
              <w:t>形態</w:t>
            </w:r>
          </w:p>
        </w:tc>
      </w:tr>
      <w:tr w:rsidR="00644B5F" w:rsidRPr="00BC31E0" w14:paraId="322E0A30" w14:textId="77777777" w:rsidTr="002851A3">
        <w:trPr>
          <w:jc w:val="center"/>
        </w:trPr>
        <w:tc>
          <w:tcPr>
            <w:tcW w:w="2437" w:type="dxa"/>
            <w:vMerge w:val="restart"/>
            <w:vAlign w:val="center"/>
          </w:tcPr>
          <w:p w14:paraId="3EEAC9C7" w14:textId="77777777" w:rsidR="00644B5F" w:rsidRPr="00BC31E0" w:rsidRDefault="00644B5F" w:rsidP="00644B5F">
            <w:pPr>
              <w:spacing w:line="320" w:lineRule="atLeast"/>
              <w:rPr>
                <w:rFonts w:asciiTheme="minorHAnsi" w:eastAsiaTheme="minorEastAsia" w:hAnsiTheme="minorHAnsi"/>
              </w:rPr>
            </w:pPr>
            <w:r w:rsidRPr="00BC31E0">
              <w:rPr>
                <w:rFonts w:asciiTheme="minorHAnsi" w:eastAsiaTheme="minorEastAsia" w:hAnsiTheme="minorHAnsi" w:hint="eastAsia"/>
              </w:rPr>
              <w:t>2.25Cr-1Mo</w:t>
            </w:r>
          </w:p>
        </w:tc>
        <w:tc>
          <w:tcPr>
            <w:tcW w:w="1559" w:type="dxa"/>
            <w:tcBorders>
              <w:right w:val="nil"/>
            </w:tcBorders>
            <w:vAlign w:val="center"/>
          </w:tcPr>
          <w:p w14:paraId="504BB46E" w14:textId="77777777" w:rsidR="00644B5F" w:rsidRPr="00BC31E0" w:rsidRDefault="00644B5F" w:rsidP="00644B5F">
            <w:pPr>
              <w:spacing w:line="320" w:lineRule="atLeast"/>
              <w:rPr>
                <w:rFonts w:asciiTheme="minorHAnsi" w:eastAsiaTheme="minorEastAsia" w:hAnsiTheme="minorHAnsi"/>
              </w:rPr>
            </w:pPr>
            <w:r w:rsidRPr="00BC31E0">
              <w:rPr>
                <w:rFonts w:asciiTheme="minorHAnsi" w:eastAsiaTheme="minorEastAsia" w:hAnsiTheme="minorHAnsi" w:hint="eastAsia"/>
              </w:rPr>
              <w:t>SA-508</w:t>
            </w:r>
            <w:r w:rsidR="00241471" w:rsidRPr="00BC31E0">
              <w:rPr>
                <w:rFonts w:asciiTheme="minorHAnsi" w:eastAsiaTheme="minorEastAsia" w:hAnsiTheme="minorHAnsi" w:hint="eastAsia"/>
              </w:rPr>
              <w:t>M</w:t>
            </w:r>
          </w:p>
        </w:tc>
        <w:tc>
          <w:tcPr>
            <w:tcW w:w="2268" w:type="dxa"/>
            <w:tcBorders>
              <w:left w:val="nil"/>
            </w:tcBorders>
            <w:vAlign w:val="center"/>
          </w:tcPr>
          <w:p w14:paraId="0355B156" w14:textId="77777777" w:rsidR="00644B5F" w:rsidRPr="00BC31E0" w:rsidRDefault="00644B5F" w:rsidP="002851A3">
            <w:pPr>
              <w:spacing w:line="320" w:lineRule="atLeast"/>
              <w:rPr>
                <w:rFonts w:asciiTheme="minorHAnsi" w:eastAsiaTheme="minorEastAsia" w:hAnsiTheme="minorHAnsi"/>
              </w:rPr>
            </w:pPr>
            <w:r w:rsidRPr="00BC31E0">
              <w:rPr>
                <w:rFonts w:asciiTheme="minorHAnsi" w:eastAsiaTheme="minorEastAsia" w:hAnsiTheme="minorHAnsi" w:hint="eastAsia"/>
              </w:rPr>
              <w:t>Grade 22</w:t>
            </w:r>
            <w:r w:rsidR="002851A3" w:rsidRPr="00BC31E0">
              <w:rPr>
                <w:rFonts w:asciiTheme="minorEastAsia" w:eastAsiaTheme="minorEastAsia" w:hAnsiTheme="minorEastAsia" w:hint="eastAsia"/>
              </w:rPr>
              <w:t xml:space="preserve"> </w:t>
            </w:r>
            <w:r w:rsidRPr="00BC31E0">
              <w:rPr>
                <w:rFonts w:asciiTheme="minorHAnsi" w:eastAsiaTheme="minorEastAsia" w:hAnsiTheme="minorHAnsi" w:hint="eastAsia"/>
              </w:rPr>
              <w:t>Cl.3</w:t>
            </w:r>
          </w:p>
        </w:tc>
        <w:tc>
          <w:tcPr>
            <w:tcW w:w="1158" w:type="dxa"/>
            <w:vAlign w:val="center"/>
          </w:tcPr>
          <w:p w14:paraId="0980EDC3" w14:textId="77777777" w:rsidR="00644B5F" w:rsidRPr="00BC31E0" w:rsidRDefault="00644B5F" w:rsidP="00644B5F">
            <w:pPr>
              <w:spacing w:line="320" w:lineRule="atLeast"/>
              <w:jc w:val="center"/>
              <w:rPr>
                <w:rFonts w:asciiTheme="minorHAnsi" w:eastAsiaTheme="minorEastAsia" w:hAnsiTheme="minorHAnsi"/>
              </w:rPr>
            </w:pPr>
            <w:r w:rsidRPr="00BC31E0">
              <w:rPr>
                <w:rFonts w:asciiTheme="minorHAnsi" w:eastAsiaTheme="minorEastAsia" w:hAnsiTheme="minorHAnsi" w:hint="eastAsia"/>
              </w:rPr>
              <w:t>鍛造</w:t>
            </w:r>
          </w:p>
        </w:tc>
      </w:tr>
      <w:tr w:rsidR="00644B5F" w:rsidRPr="00BC31E0" w14:paraId="2DE359EA" w14:textId="77777777" w:rsidTr="002851A3">
        <w:trPr>
          <w:jc w:val="center"/>
        </w:trPr>
        <w:tc>
          <w:tcPr>
            <w:tcW w:w="2437" w:type="dxa"/>
            <w:vMerge/>
            <w:vAlign w:val="center"/>
          </w:tcPr>
          <w:p w14:paraId="2B499DB1" w14:textId="77777777" w:rsidR="00644B5F" w:rsidRPr="00BC31E0" w:rsidRDefault="00644B5F" w:rsidP="00644B5F">
            <w:pPr>
              <w:spacing w:line="320" w:lineRule="atLeast"/>
              <w:rPr>
                <w:rFonts w:asciiTheme="minorHAnsi" w:eastAsiaTheme="minorEastAsia" w:hAnsiTheme="minorHAnsi"/>
              </w:rPr>
            </w:pPr>
          </w:p>
        </w:tc>
        <w:tc>
          <w:tcPr>
            <w:tcW w:w="1559" w:type="dxa"/>
            <w:tcBorders>
              <w:right w:val="nil"/>
            </w:tcBorders>
            <w:vAlign w:val="center"/>
          </w:tcPr>
          <w:p w14:paraId="4233695D" w14:textId="77777777" w:rsidR="00644B5F" w:rsidRPr="00BC31E0" w:rsidRDefault="00644B5F" w:rsidP="00644B5F">
            <w:pPr>
              <w:spacing w:line="320" w:lineRule="atLeast"/>
              <w:rPr>
                <w:rFonts w:asciiTheme="minorHAnsi" w:eastAsiaTheme="minorEastAsia" w:hAnsiTheme="minorHAnsi"/>
              </w:rPr>
            </w:pPr>
            <w:r w:rsidRPr="00BC31E0">
              <w:rPr>
                <w:rFonts w:asciiTheme="minorHAnsi" w:eastAsiaTheme="minorEastAsia" w:hAnsiTheme="minorHAnsi" w:hint="eastAsia"/>
              </w:rPr>
              <w:t>SA-541</w:t>
            </w:r>
            <w:r w:rsidR="00241471" w:rsidRPr="00BC31E0">
              <w:rPr>
                <w:rFonts w:asciiTheme="minorHAnsi" w:eastAsiaTheme="minorEastAsia" w:hAnsiTheme="minorHAnsi" w:hint="eastAsia"/>
              </w:rPr>
              <w:t>M</w:t>
            </w:r>
          </w:p>
        </w:tc>
        <w:tc>
          <w:tcPr>
            <w:tcW w:w="2268" w:type="dxa"/>
            <w:tcBorders>
              <w:left w:val="nil"/>
            </w:tcBorders>
            <w:vAlign w:val="center"/>
          </w:tcPr>
          <w:p w14:paraId="495DFB5D" w14:textId="77777777" w:rsidR="00644B5F" w:rsidRPr="00BC31E0" w:rsidRDefault="00644B5F" w:rsidP="002851A3">
            <w:pPr>
              <w:spacing w:line="320" w:lineRule="atLeast"/>
              <w:rPr>
                <w:rFonts w:asciiTheme="minorHAnsi" w:eastAsiaTheme="minorEastAsia" w:hAnsiTheme="minorHAnsi"/>
              </w:rPr>
            </w:pPr>
            <w:r w:rsidRPr="00BC31E0">
              <w:rPr>
                <w:rFonts w:asciiTheme="minorHAnsi" w:eastAsiaTheme="minorEastAsia" w:hAnsiTheme="minorHAnsi" w:hint="eastAsia"/>
              </w:rPr>
              <w:t>Grade 22</w:t>
            </w:r>
            <w:r w:rsidR="002851A3" w:rsidRPr="00BC31E0">
              <w:rPr>
                <w:rFonts w:ascii="ＭＳ 明朝" w:hAnsi="ＭＳ 明朝" w:hint="eastAsia"/>
              </w:rPr>
              <w:t xml:space="preserve"> </w:t>
            </w:r>
            <w:r w:rsidRPr="00BC31E0">
              <w:rPr>
                <w:rFonts w:asciiTheme="minorHAnsi" w:eastAsiaTheme="minorEastAsia" w:hAnsiTheme="minorHAnsi" w:hint="eastAsia"/>
              </w:rPr>
              <w:t>Cl.3</w:t>
            </w:r>
          </w:p>
        </w:tc>
        <w:tc>
          <w:tcPr>
            <w:tcW w:w="1158" w:type="dxa"/>
            <w:vAlign w:val="center"/>
          </w:tcPr>
          <w:p w14:paraId="3580EBD0" w14:textId="77777777" w:rsidR="00644B5F" w:rsidRPr="00BC31E0" w:rsidRDefault="00644B5F" w:rsidP="00644B5F">
            <w:pPr>
              <w:spacing w:line="320" w:lineRule="atLeast"/>
              <w:jc w:val="center"/>
              <w:rPr>
                <w:rFonts w:asciiTheme="minorHAnsi" w:eastAsiaTheme="minorEastAsia" w:hAnsiTheme="minorHAnsi"/>
              </w:rPr>
            </w:pPr>
            <w:r w:rsidRPr="00BC31E0">
              <w:rPr>
                <w:rFonts w:asciiTheme="minorHAnsi" w:eastAsiaTheme="minorEastAsia" w:hAnsiTheme="minorHAnsi" w:hint="eastAsia"/>
              </w:rPr>
              <w:t>鍛造</w:t>
            </w:r>
          </w:p>
        </w:tc>
      </w:tr>
      <w:tr w:rsidR="00644B5F" w:rsidRPr="00BC31E0" w14:paraId="23B0F576" w14:textId="77777777" w:rsidTr="002851A3">
        <w:trPr>
          <w:jc w:val="center"/>
        </w:trPr>
        <w:tc>
          <w:tcPr>
            <w:tcW w:w="2437" w:type="dxa"/>
            <w:vMerge/>
            <w:vAlign w:val="center"/>
          </w:tcPr>
          <w:p w14:paraId="05FD2733" w14:textId="77777777" w:rsidR="00644B5F" w:rsidRPr="00BC31E0" w:rsidRDefault="00644B5F" w:rsidP="00644B5F">
            <w:pPr>
              <w:spacing w:line="320" w:lineRule="atLeast"/>
              <w:rPr>
                <w:rFonts w:asciiTheme="minorHAnsi" w:eastAsiaTheme="minorEastAsia" w:hAnsiTheme="minorHAnsi"/>
              </w:rPr>
            </w:pPr>
          </w:p>
        </w:tc>
        <w:tc>
          <w:tcPr>
            <w:tcW w:w="1559" w:type="dxa"/>
            <w:tcBorders>
              <w:right w:val="nil"/>
            </w:tcBorders>
            <w:vAlign w:val="center"/>
          </w:tcPr>
          <w:p w14:paraId="5BD5840D" w14:textId="77777777" w:rsidR="00644B5F" w:rsidRPr="00BC31E0" w:rsidRDefault="00644B5F" w:rsidP="00644B5F">
            <w:pPr>
              <w:spacing w:line="320" w:lineRule="atLeast"/>
              <w:rPr>
                <w:rFonts w:asciiTheme="minorHAnsi" w:eastAsiaTheme="minorEastAsia" w:hAnsiTheme="minorHAnsi"/>
              </w:rPr>
            </w:pPr>
            <w:r w:rsidRPr="00BC31E0">
              <w:rPr>
                <w:rFonts w:asciiTheme="minorHAnsi" w:eastAsiaTheme="minorEastAsia" w:hAnsiTheme="minorHAnsi" w:hint="eastAsia"/>
              </w:rPr>
              <w:t>SA-542</w:t>
            </w:r>
            <w:r w:rsidR="00241471" w:rsidRPr="00BC31E0">
              <w:rPr>
                <w:rFonts w:asciiTheme="minorHAnsi" w:eastAsiaTheme="minorEastAsia" w:hAnsiTheme="minorHAnsi" w:hint="eastAsia"/>
              </w:rPr>
              <w:t>M</w:t>
            </w:r>
          </w:p>
        </w:tc>
        <w:tc>
          <w:tcPr>
            <w:tcW w:w="2268" w:type="dxa"/>
            <w:tcBorders>
              <w:left w:val="nil"/>
            </w:tcBorders>
            <w:vAlign w:val="center"/>
          </w:tcPr>
          <w:p w14:paraId="2937CD3A" w14:textId="77777777" w:rsidR="00644B5F" w:rsidRPr="00BC31E0" w:rsidRDefault="00644B5F" w:rsidP="002851A3">
            <w:pPr>
              <w:spacing w:line="320" w:lineRule="atLeast"/>
              <w:rPr>
                <w:rFonts w:asciiTheme="minorHAnsi" w:eastAsiaTheme="minorEastAsia" w:hAnsiTheme="minorHAnsi"/>
              </w:rPr>
            </w:pPr>
            <w:r w:rsidRPr="00BC31E0">
              <w:rPr>
                <w:rFonts w:asciiTheme="minorHAnsi" w:eastAsiaTheme="minorEastAsia" w:hAnsiTheme="minorHAnsi" w:hint="eastAsia"/>
              </w:rPr>
              <w:t>Type B</w:t>
            </w:r>
            <w:r w:rsidR="002851A3" w:rsidRPr="00BC31E0">
              <w:rPr>
                <w:rFonts w:ascii="ＭＳ 明朝" w:hAnsi="ＭＳ 明朝" w:hint="eastAsia"/>
              </w:rPr>
              <w:t xml:space="preserve"> </w:t>
            </w:r>
            <w:r w:rsidRPr="00BC31E0">
              <w:rPr>
                <w:rFonts w:asciiTheme="minorHAnsi" w:eastAsiaTheme="minorEastAsia" w:hAnsiTheme="minorHAnsi" w:hint="eastAsia"/>
              </w:rPr>
              <w:t>Cl.4</w:t>
            </w:r>
          </w:p>
        </w:tc>
        <w:tc>
          <w:tcPr>
            <w:tcW w:w="1158" w:type="dxa"/>
            <w:vAlign w:val="center"/>
          </w:tcPr>
          <w:p w14:paraId="5CC8F020" w14:textId="77777777" w:rsidR="00644B5F" w:rsidRPr="00BC31E0" w:rsidRDefault="00644B5F" w:rsidP="00644B5F">
            <w:pPr>
              <w:spacing w:line="320" w:lineRule="atLeast"/>
              <w:jc w:val="center"/>
              <w:rPr>
                <w:rFonts w:asciiTheme="minorHAnsi" w:eastAsiaTheme="minorEastAsia" w:hAnsiTheme="minorHAnsi"/>
              </w:rPr>
            </w:pPr>
            <w:r w:rsidRPr="00BC31E0">
              <w:rPr>
                <w:rFonts w:asciiTheme="minorHAnsi" w:eastAsiaTheme="minorEastAsia" w:hAnsiTheme="minorHAnsi" w:hint="eastAsia"/>
              </w:rPr>
              <w:t>板</w:t>
            </w:r>
          </w:p>
        </w:tc>
      </w:tr>
      <w:tr w:rsidR="00644B5F" w:rsidRPr="00BC31E0" w14:paraId="554B7118" w14:textId="77777777" w:rsidTr="002851A3">
        <w:trPr>
          <w:jc w:val="center"/>
        </w:trPr>
        <w:tc>
          <w:tcPr>
            <w:tcW w:w="2437" w:type="dxa"/>
            <w:vMerge w:val="restart"/>
            <w:vAlign w:val="center"/>
          </w:tcPr>
          <w:p w14:paraId="56C570AE" w14:textId="77777777" w:rsidR="00644B5F" w:rsidRPr="00BC31E0" w:rsidRDefault="00644B5F" w:rsidP="00644B5F">
            <w:pPr>
              <w:spacing w:line="320" w:lineRule="atLeast"/>
              <w:rPr>
                <w:rFonts w:asciiTheme="minorHAnsi" w:eastAsiaTheme="minorEastAsia" w:hAnsiTheme="minorHAnsi"/>
              </w:rPr>
            </w:pPr>
            <w:r w:rsidRPr="00BC31E0">
              <w:rPr>
                <w:rFonts w:asciiTheme="minorHAnsi" w:eastAsiaTheme="minorEastAsia" w:hAnsiTheme="minorHAnsi" w:hint="eastAsia"/>
              </w:rPr>
              <w:t>2.25Cr-1Mo-0.25V</w:t>
            </w:r>
          </w:p>
        </w:tc>
        <w:tc>
          <w:tcPr>
            <w:tcW w:w="1559" w:type="dxa"/>
            <w:tcBorders>
              <w:right w:val="nil"/>
            </w:tcBorders>
            <w:vAlign w:val="center"/>
          </w:tcPr>
          <w:p w14:paraId="6F80A19E" w14:textId="77777777" w:rsidR="00644B5F" w:rsidRPr="00BC31E0" w:rsidRDefault="00644B5F" w:rsidP="00644B5F">
            <w:pPr>
              <w:spacing w:line="320" w:lineRule="atLeast"/>
              <w:rPr>
                <w:rFonts w:asciiTheme="minorHAnsi" w:eastAsiaTheme="minorEastAsia" w:hAnsiTheme="minorHAnsi"/>
              </w:rPr>
            </w:pPr>
            <w:r w:rsidRPr="00BC31E0">
              <w:rPr>
                <w:rFonts w:asciiTheme="minorHAnsi" w:eastAsiaTheme="minorEastAsia" w:hAnsiTheme="minorHAnsi" w:hint="eastAsia"/>
              </w:rPr>
              <w:t>SA-182</w:t>
            </w:r>
            <w:r w:rsidR="00241471" w:rsidRPr="00BC31E0">
              <w:rPr>
                <w:rFonts w:asciiTheme="minorHAnsi" w:eastAsiaTheme="minorEastAsia" w:hAnsiTheme="minorHAnsi" w:hint="eastAsia"/>
              </w:rPr>
              <w:t>M</w:t>
            </w:r>
          </w:p>
        </w:tc>
        <w:tc>
          <w:tcPr>
            <w:tcW w:w="2268" w:type="dxa"/>
            <w:tcBorders>
              <w:left w:val="nil"/>
            </w:tcBorders>
            <w:vAlign w:val="center"/>
          </w:tcPr>
          <w:p w14:paraId="34C52582" w14:textId="77777777" w:rsidR="00644B5F" w:rsidRPr="00BC31E0" w:rsidRDefault="00644B5F" w:rsidP="00644B5F">
            <w:pPr>
              <w:spacing w:line="320" w:lineRule="atLeast"/>
              <w:rPr>
                <w:rFonts w:asciiTheme="minorHAnsi" w:eastAsiaTheme="minorEastAsia" w:hAnsiTheme="minorHAnsi"/>
              </w:rPr>
            </w:pPr>
            <w:r w:rsidRPr="00BC31E0">
              <w:rPr>
                <w:rFonts w:asciiTheme="minorHAnsi" w:eastAsiaTheme="minorEastAsia" w:hAnsiTheme="minorHAnsi" w:hint="eastAsia"/>
              </w:rPr>
              <w:t xml:space="preserve">Grade F22V </w:t>
            </w:r>
            <w:r w:rsidRPr="00BC31E0">
              <w:rPr>
                <w:rFonts w:asciiTheme="majorEastAsia" w:eastAsiaTheme="majorEastAsia" w:hAnsiTheme="majorEastAsia" w:hint="eastAsia"/>
                <w:b/>
                <w:vertAlign w:val="superscript"/>
              </w:rPr>
              <w:t>a)</w:t>
            </w:r>
          </w:p>
        </w:tc>
        <w:tc>
          <w:tcPr>
            <w:tcW w:w="1158" w:type="dxa"/>
            <w:vAlign w:val="center"/>
          </w:tcPr>
          <w:p w14:paraId="0A3CB07D" w14:textId="77777777" w:rsidR="00644B5F" w:rsidRPr="00BC31E0" w:rsidRDefault="00644B5F" w:rsidP="00644B5F">
            <w:pPr>
              <w:spacing w:line="320" w:lineRule="atLeast"/>
              <w:jc w:val="center"/>
              <w:rPr>
                <w:rFonts w:asciiTheme="minorHAnsi" w:eastAsiaTheme="minorEastAsia" w:hAnsiTheme="minorHAnsi"/>
              </w:rPr>
            </w:pPr>
            <w:r w:rsidRPr="00BC31E0">
              <w:rPr>
                <w:rFonts w:asciiTheme="minorHAnsi" w:eastAsiaTheme="minorEastAsia" w:hAnsiTheme="minorHAnsi" w:hint="eastAsia"/>
              </w:rPr>
              <w:t>鍛造</w:t>
            </w:r>
          </w:p>
        </w:tc>
      </w:tr>
      <w:tr w:rsidR="00644B5F" w:rsidRPr="00BC31E0" w14:paraId="082D036D" w14:textId="77777777" w:rsidTr="002851A3">
        <w:trPr>
          <w:jc w:val="center"/>
        </w:trPr>
        <w:tc>
          <w:tcPr>
            <w:tcW w:w="2437" w:type="dxa"/>
            <w:vMerge/>
            <w:vAlign w:val="center"/>
          </w:tcPr>
          <w:p w14:paraId="4A3E7CB6" w14:textId="77777777" w:rsidR="00644B5F" w:rsidRPr="00BC31E0" w:rsidRDefault="00644B5F" w:rsidP="00644B5F">
            <w:pPr>
              <w:spacing w:line="320" w:lineRule="atLeast"/>
              <w:rPr>
                <w:rFonts w:asciiTheme="minorHAnsi" w:eastAsiaTheme="minorEastAsia" w:hAnsiTheme="minorHAnsi"/>
              </w:rPr>
            </w:pPr>
          </w:p>
        </w:tc>
        <w:tc>
          <w:tcPr>
            <w:tcW w:w="1559" w:type="dxa"/>
            <w:tcBorders>
              <w:right w:val="nil"/>
            </w:tcBorders>
            <w:vAlign w:val="center"/>
          </w:tcPr>
          <w:p w14:paraId="5A432789" w14:textId="77777777" w:rsidR="00644B5F" w:rsidRPr="00BC31E0" w:rsidRDefault="00644B5F" w:rsidP="00644B5F">
            <w:pPr>
              <w:spacing w:line="320" w:lineRule="atLeast"/>
              <w:rPr>
                <w:rFonts w:asciiTheme="minorHAnsi" w:eastAsiaTheme="minorEastAsia" w:hAnsiTheme="minorHAnsi"/>
              </w:rPr>
            </w:pPr>
            <w:r w:rsidRPr="00BC31E0">
              <w:rPr>
                <w:rFonts w:asciiTheme="minorHAnsi" w:eastAsiaTheme="minorEastAsia" w:hAnsiTheme="minorHAnsi" w:hint="eastAsia"/>
              </w:rPr>
              <w:t>SA-336</w:t>
            </w:r>
            <w:r w:rsidR="00241471" w:rsidRPr="00BC31E0">
              <w:rPr>
                <w:rFonts w:asciiTheme="minorHAnsi" w:eastAsiaTheme="minorEastAsia" w:hAnsiTheme="minorHAnsi" w:hint="eastAsia"/>
              </w:rPr>
              <w:t>M</w:t>
            </w:r>
          </w:p>
        </w:tc>
        <w:tc>
          <w:tcPr>
            <w:tcW w:w="2268" w:type="dxa"/>
            <w:tcBorders>
              <w:left w:val="nil"/>
            </w:tcBorders>
            <w:vAlign w:val="center"/>
          </w:tcPr>
          <w:p w14:paraId="5D508F4E" w14:textId="77777777" w:rsidR="00644B5F" w:rsidRPr="00BC31E0" w:rsidRDefault="00644B5F" w:rsidP="00644B5F">
            <w:pPr>
              <w:spacing w:line="320" w:lineRule="atLeast"/>
              <w:rPr>
                <w:rFonts w:asciiTheme="minorHAnsi" w:eastAsiaTheme="minorEastAsia" w:hAnsiTheme="minorHAnsi"/>
              </w:rPr>
            </w:pPr>
            <w:r w:rsidRPr="00BC31E0">
              <w:rPr>
                <w:rFonts w:asciiTheme="minorHAnsi" w:eastAsiaTheme="minorEastAsia" w:hAnsiTheme="minorHAnsi" w:hint="eastAsia"/>
              </w:rPr>
              <w:t>Grade F22V</w:t>
            </w:r>
          </w:p>
        </w:tc>
        <w:tc>
          <w:tcPr>
            <w:tcW w:w="1158" w:type="dxa"/>
            <w:vAlign w:val="center"/>
          </w:tcPr>
          <w:p w14:paraId="769689AF" w14:textId="77777777" w:rsidR="00644B5F" w:rsidRPr="00BC31E0" w:rsidRDefault="00644B5F" w:rsidP="00644B5F">
            <w:pPr>
              <w:spacing w:line="320" w:lineRule="atLeast"/>
              <w:jc w:val="center"/>
              <w:rPr>
                <w:rFonts w:asciiTheme="minorHAnsi" w:eastAsiaTheme="minorEastAsia" w:hAnsiTheme="minorHAnsi"/>
              </w:rPr>
            </w:pPr>
            <w:r w:rsidRPr="00BC31E0">
              <w:rPr>
                <w:rFonts w:asciiTheme="minorHAnsi" w:eastAsiaTheme="minorEastAsia" w:hAnsiTheme="minorHAnsi" w:hint="eastAsia"/>
              </w:rPr>
              <w:t>鍛造</w:t>
            </w:r>
          </w:p>
        </w:tc>
      </w:tr>
      <w:tr w:rsidR="00644B5F" w:rsidRPr="00BC31E0" w14:paraId="3BC502CE" w14:textId="77777777" w:rsidTr="002851A3">
        <w:trPr>
          <w:jc w:val="center"/>
        </w:trPr>
        <w:tc>
          <w:tcPr>
            <w:tcW w:w="2437" w:type="dxa"/>
            <w:vMerge/>
            <w:vAlign w:val="center"/>
          </w:tcPr>
          <w:p w14:paraId="41E92206" w14:textId="77777777" w:rsidR="00644B5F" w:rsidRPr="00BC31E0" w:rsidRDefault="00644B5F" w:rsidP="00644B5F">
            <w:pPr>
              <w:spacing w:line="320" w:lineRule="atLeast"/>
              <w:rPr>
                <w:rFonts w:asciiTheme="minorHAnsi" w:eastAsiaTheme="minorEastAsia" w:hAnsiTheme="minorHAnsi"/>
              </w:rPr>
            </w:pPr>
          </w:p>
        </w:tc>
        <w:tc>
          <w:tcPr>
            <w:tcW w:w="1559" w:type="dxa"/>
            <w:tcBorders>
              <w:right w:val="nil"/>
            </w:tcBorders>
            <w:vAlign w:val="center"/>
          </w:tcPr>
          <w:p w14:paraId="27CB0737" w14:textId="77777777" w:rsidR="00644B5F" w:rsidRPr="00BC31E0" w:rsidRDefault="00644B5F" w:rsidP="00644B5F">
            <w:pPr>
              <w:spacing w:line="320" w:lineRule="atLeast"/>
              <w:rPr>
                <w:rFonts w:asciiTheme="minorHAnsi" w:eastAsiaTheme="minorEastAsia" w:hAnsiTheme="minorHAnsi"/>
              </w:rPr>
            </w:pPr>
            <w:r w:rsidRPr="00BC31E0">
              <w:rPr>
                <w:rFonts w:asciiTheme="minorHAnsi" w:eastAsiaTheme="minorEastAsia" w:hAnsiTheme="minorHAnsi" w:hint="eastAsia"/>
              </w:rPr>
              <w:t>SA-541</w:t>
            </w:r>
            <w:r w:rsidR="00241471" w:rsidRPr="00BC31E0">
              <w:rPr>
                <w:rFonts w:asciiTheme="minorHAnsi" w:eastAsiaTheme="minorEastAsia" w:hAnsiTheme="minorHAnsi" w:hint="eastAsia"/>
              </w:rPr>
              <w:t>M</w:t>
            </w:r>
          </w:p>
        </w:tc>
        <w:tc>
          <w:tcPr>
            <w:tcW w:w="2268" w:type="dxa"/>
            <w:tcBorders>
              <w:left w:val="nil"/>
            </w:tcBorders>
            <w:vAlign w:val="center"/>
          </w:tcPr>
          <w:p w14:paraId="32E083F3" w14:textId="77777777" w:rsidR="00644B5F" w:rsidRPr="00BC31E0" w:rsidRDefault="00644B5F" w:rsidP="00644B5F">
            <w:pPr>
              <w:spacing w:line="320" w:lineRule="atLeast"/>
              <w:rPr>
                <w:rFonts w:asciiTheme="minorHAnsi" w:eastAsiaTheme="minorEastAsia" w:hAnsiTheme="minorHAnsi"/>
              </w:rPr>
            </w:pPr>
            <w:r w:rsidRPr="00BC31E0">
              <w:rPr>
                <w:rFonts w:asciiTheme="minorHAnsi" w:eastAsiaTheme="minorEastAsia" w:hAnsiTheme="minorHAnsi" w:hint="eastAsia"/>
              </w:rPr>
              <w:t>Grade 22V</w:t>
            </w:r>
          </w:p>
        </w:tc>
        <w:tc>
          <w:tcPr>
            <w:tcW w:w="1158" w:type="dxa"/>
            <w:vAlign w:val="center"/>
          </w:tcPr>
          <w:p w14:paraId="6A32D93E" w14:textId="77777777" w:rsidR="00644B5F" w:rsidRPr="00BC31E0" w:rsidRDefault="00644B5F" w:rsidP="00644B5F">
            <w:pPr>
              <w:spacing w:line="320" w:lineRule="atLeast"/>
              <w:jc w:val="center"/>
              <w:rPr>
                <w:rFonts w:asciiTheme="minorHAnsi" w:eastAsiaTheme="minorEastAsia" w:hAnsiTheme="minorHAnsi"/>
              </w:rPr>
            </w:pPr>
            <w:r w:rsidRPr="00BC31E0">
              <w:rPr>
                <w:rFonts w:asciiTheme="minorHAnsi" w:eastAsiaTheme="minorEastAsia" w:hAnsiTheme="minorHAnsi" w:hint="eastAsia"/>
              </w:rPr>
              <w:t>鍛造</w:t>
            </w:r>
          </w:p>
        </w:tc>
      </w:tr>
      <w:tr w:rsidR="00644B5F" w:rsidRPr="00BC31E0" w14:paraId="16620A51" w14:textId="77777777" w:rsidTr="002851A3">
        <w:trPr>
          <w:jc w:val="center"/>
        </w:trPr>
        <w:tc>
          <w:tcPr>
            <w:tcW w:w="2437" w:type="dxa"/>
            <w:vMerge/>
            <w:vAlign w:val="center"/>
          </w:tcPr>
          <w:p w14:paraId="1009662A" w14:textId="77777777" w:rsidR="00644B5F" w:rsidRPr="00BC31E0" w:rsidRDefault="00644B5F" w:rsidP="00644B5F">
            <w:pPr>
              <w:spacing w:line="320" w:lineRule="atLeast"/>
              <w:rPr>
                <w:rFonts w:asciiTheme="minorHAnsi" w:eastAsiaTheme="minorEastAsia" w:hAnsiTheme="minorHAnsi"/>
              </w:rPr>
            </w:pPr>
          </w:p>
        </w:tc>
        <w:tc>
          <w:tcPr>
            <w:tcW w:w="1559" w:type="dxa"/>
            <w:tcBorders>
              <w:right w:val="nil"/>
            </w:tcBorders>
            <w:vAlign w:val="center"/>
          </w:tcPr>
          <w:p w14:paraId="53A11E1E" w14:textId="77777777" w:rsidR="00644B5F" w:rsidRPr="00BC31E0" w:rsidRDefault="00644B5F" w:rsidP="00644B5F">
            <w:pPr>
              <w:spacing w:line="320" w:lineRule="atLeast"/>
              <w:rPr>
                <w:rFonts w:asciiTheme="minorHAnsi" w:eastAsiaTheme="minorEastAsia" w:hAnsiTheme="minorHAnsi"/>
              </w:rPr>
            </w:pPr>
            <w:r w:rsidRPr="00BC31E0">
              <w:rPr>
                <w:rFonts w:asciiTheme="minorHAnsi" w:eastAsiaTheme="minorEastAsia" w:hAnsiTheme="minorHAnsi" w:hint="eastAsia"/>
              </w:rPr>
              <w:t>SA-542</w:t>
            </w:r>
            <w:r w:rsidR="00241471" w:rsidRPr="00BC31E0">
              <w:rPr>
                <w:rFonts w:asciiTheme="minorHAnsi" w:eastAsiaTheme="minorEastAsia" w:hAnsiTheme="minorHAnsi" w:hint="eastAsia"/>
              </w:rPr>
              <w:t>M</w:t>
            </w:r>
          </w:p>
        </w:tc>
        <w:tc>
          <w:tcPr>
            <w:tcW w:w="2268" w:type="dxa"/>
            <w:tcBorders>
              <w:left w:val="nil"/>
            </w:tcBorders>
            <w:vAlign w:val="center"/>
          </w:tcPr>
          <w:p w14:paraId="670D3BF7" w14:textId="77777777" w:rsidR="00644B5F" w:rsidRPr="00BC31E0" w:rsidRDefault="00644B5F" w:rsidP="002851A3">
            <w:pPr>
              <w:spacing w:line="320" w:lineRule="atLeast"/>
              <w:rPr>
                <w:rFonts w:asciiTheme="minorHAnsi" w:eastAsiaTheme="minorEastAsia" w:hAnsiTheme="minorHAnsi"/>
              </w:rPr>
            </w:pPr>
            <w:r w:rsidRPr="00BC31E0">
              <w:rPr>
                <w:rFonts w:asciiTheme="minorHAnsi" w:eastAsiaTheme="minorEastAsia" w:hAnsiTheme="minorHAnsi" w:hint="eastAsia"/>
              </w:rPr>
              <w:t>Type D</w:t>
            </w:r>
            <w:r w:rsidR="002851A3" w:rsidRPr="00BC31E0">
              <w:rPr>
                <w:rFonts w:asciiTheme="minorEastAsia" w:eastAsiaTheme="minorEastAsia" w:hAnsiTheme="minorEastAsia" w:hint="eastAsia"/>
              </w:rPr>
              <w:t xml:space="preserve"> </w:t>
            </w:r>
            <w:r w:rsidRPr="00BC31E0">
              <w:rPr>
                <w:rFonts w:asciiTheme="minorHAnsi" w:eastAsiaTheme="minorEastAsia" w:hAnsiTheme="minorHAnsi" w:hint="eastAsia"/>
              </w:rPr>
              <w:t xml:space="preserve">Cl.4a </w:t>
            </w:r>
            <w:r w:rsidRPr="00BC31E0">
              <w:rPr>
                <w:rFonts w:asciiTheme="majorEastAsia" w:eastAsiaTheme="majorEastAsia" w:hAnsiTheme="majorEastAsia" w:hint="eastAsia"/>
                <w:b/>
                <w:vertAlign w:val="superscript"/>
              </w:rPr>
              <w:t>b)</w:t>
            </w:r>
          </w:p>
        </w:tc>
        <w:tc>
          <w:tcPr>
            <w:tcW w:w="1158" w:type="dxa"/>
            <w:vAlign w:val="center"/>
          </w:tcPr>
          <w:p w14:paraId="01C24F1F" w14:textId="77777777" w:rsidR="00644B5F" w:rsidRPr="00BC31E0" w:rsidRDefault="00644B5F" w:rsidP="00644B5F">
            <w:pPr>
              <w:spacing w:line="320" w:lineRule="atLeast"/>
              <w:jc w:val="center"/>
              <w:rPr>
                <w:rFonts w:asciiTheme="minorHAnsi" w:eastAsiaTheme="minorEastAsia" w:hAnsiTheme="minorHAnsi"/>
              </w:rPr>
            </w:pPr>
            <w:r w:rsidRPr="00BC31E0">
              <w:rPr>
                <w:rFonts w:asciiTheme="minorHAnsi" w:eastAsiaTheme="minorEastAsia" w:hAnsiTheme="minorHAnsi" w:hint="eastAsia"/>
              </w:rPr>
              <w:t>板</w:t>
            </w:r>
          </w:p>
        </w:tc>
      </w:tr>
      <w:tr w:rsidR="00644B5F" w:rsidRPr="00BC31E0" w14:paraId="2322D602" w14:textId="77777777" w:rsidTr="002851A3">
        <w:trPr>
          <w:jc w:val="center"/>
        </w:trPr>
        <w:tc>
          <w:tcPr>
            <w:tcW w:w="2437" w:type="dxa"/>
            <w:vMerge/>
            <w:vAlign w:val="center"/>
          </w:tcPr>
          <w:p w14:paraId="4A3285CB" w14:textId="77777777" w:rsidR="00644B5F" w:rsidRPr="00BC31E0" w:rsidRDefault="00644B5F" w:rsidP="00644B5F">
            <w:pPr>
              <w:spacing w:line="320" w:lineRule="atLeast"/>
              <w:rPr>
                <w:rFonts w:asciiTheme="minorHAnsi" w:eastAsiaTheme="minorEastAsia" w:hAnsiTheme="minorHAnsi"/>
              </w:rPr>
            </w:pPr>
          </w:p>
        </w:tc>
        <w:tc>
          <w:tcPr>
            <w:tcW w:w="1559" w:type="dxa"/>
            <w:tcBorders>
              <w:right w:val="nil"/>
            </w:tcBorders>
            <w:vAlign w:val="center"/>
          </w:tcPr>
          <w:p w14:paraId="0F43885A" w14:textId="77777777" w:rsidR="00644B5F" w:rsidRPr="00BC31E0" w:rsidRDefault="00644B5F" w:rsidP="00644B5F">
            <w:pPr>
              <w:spacing w:line="320" w:lineRule="atLeast"/>
              <w:rPr>
                <w:rFonts w:asciiTheme="minorHAnsi" w:eastAsiaTheme="minorEastAsia" w:hAnsiTheme="minorHAnsi"/>
              </w:rPr>
            </w:pPr>
            <w:r w:rsidRPr="00BC31E0">
              <w:rPr>
                <w:rFonts w:asciiTheme="minorHAnsi" w:eastAsiaTheme="minorEastAsia" w:hAnsiTheme="minorHAnsi" w:hint="eastAsia"/>
              </w:rPr>
              <w:t>SA-832</w:t>
            </w:r>
            <w:r w:rsidR="00241471" w:rsidRPr="00BC31E0">
              <w:rPr>
                <w:rFonts w:asciiTheme="minorHAnsi" w:eastAsiaTheme="minorEastAsia" w:hAnsiTheme="minorHAnsi" w:hint="eastAsia"/>
              </w:rPr>
              <w:t>M</w:t>
            </w:r>
          </w:p>
        </w:tc>
        <w:tc>
          <w:tcPr>
            <w:tcW w:w="2268" w:type="dxa"/>
            <w:tcBorders>
              <w:left w:val="nil"/>
            </w:tcBorders>
            <w:vAlign w:val="center"/>
          </w:tcPr>
          <w:p w14:paraId="2CD2A2BD" w14:textId="77777777" w:rsidR="00644B5F" w:rsidRPr="00BC31E0" w:rsidRDefault="00644B5F" w:rsidP="00644B5F">
            <w:pPr>
              <w:spacing w:line="320" w:lineRule="atLeast"/>
              <w:rPr>
                <w:rFonts w:asciiTheme="minorHAnsi" w:eastAsiaTheme="minorEastAsia" w:hAnsiTheme="minorHAnsi"/>
              </w:rPr>
            </w:pPr>
            <w:r w:rsidRPr="00BC31E0">
              <w:rPr>
                <w:rFonts w:asciiTheme="minorHAnsi" w:eastAsiaTheme="minorEastAsia" w:hAnsiTheme="minorHAnsi" w:hint="eastAsia"/>
              </w:rPr>
              <w:t>Grade 22V</w:t>
            </w:r>
          </w:p>
        </w:tc>
        <w:tc>
          <w:tcPr>
            <w:tcW w:w="1158" w:type="dxa"/>
            <w:vAlign w:val="center"/>
          </w:tcPr>
          <w:p w14:paraId="27B9EF6C" w14:textId="77777777" w:rsidR="00644B5F" w:rsidRPr="00BC31E0" w:rsidRDefault="00644B5F" w:rsidP="00644B5F">
            <w:pPr>
              <w:spacing w:line="320" w:lineRule="atLeast"/>
              <w:jc w:val="center"/>
              <w:rPr>
                <w:rFonts w:asciiTheme="minorHAnsi" w:eastAsiaTheme="minorEastAsia" w:hAnsiTheme="minorHAnsi"/>
              </w:rPr>
            </w:pPr>
            <w:r w:rsidRPr="00BC31E0">
              <w:rPr>
                <w:rFonts w:asciiTheme="minorHAnsi" w:eastAsiaTheme="minorEastAsia" w:hAnsiTheme="minorHAnsi" w:hint="eastAsia"/>
              </w:rPr>
              <w:t>板</w:t>
            </w:r>
          </w:p>
        </w:tc>
      </w:tr>
      <w:tr w:rsidR="00644B5F" w:rsidRPr="00BC31E0" w14:paraId="7DCE7B52" w14:textId="77777777" w:rsidTr="002851A3">
        <w:trPr>
          <w:jc w:val="center"/>
        </w:trPr>
        <w:tc>
          <w:tcPr>
            <w:tcW w:w="2437" w:type="dxa"/>
            <w:vMerge w:val="restart"/>
            <w:vAlign w:val="center"/>
          </w:tcPr>
          <w:p w14:paraId="0A78C10E" w14:textId="77777777" w:rsidR="00644B5F" w:rsidRPr="00BC31E0" w:rsidRDefault="00644B5F" w:rsidP="00644B5F">
            <w:pPr>
              <w:spacing w:line="320" w:lineRule="atLeast"/>
              <w:rPr>
                <w:rFonts w:asciiTheme="minorHAnsi" w:eastAsiaTheme="minorEastAsia" w:hAnsiTheme="minorHAnsi"/>
              </w:rPr>
            </w:pPr>
            <w:r w:rsidRPr="00BC31E0">
              <w:rPr>
                <w:rFonts w:asciiTheme="minorHAnsi" w:eastAsiaTheme="minorEastAsia" w:hAnsiTheme="minorHAnsi" w:hint="eastAsia"/>
              </w:rPr>
              <w:t>3Cr-1Mo-0.25V-Ti-B</w:t>
            </w:r>
          </w:p>
        </w:tc>
        <w:tc>
          <w:tcPr>
            <w:tcW w:w="1559" w:type="dxa"/>
            <w:tcBorders>
              <w:right w:val="nil"/>
            </w:tcBorders>
            <w:vAlign w:val="center"/>
          </w:tcPr>
          <w:p w14:paraId="5592DDA6" w14:textId="77777777" w:rsidR="00644B5F" w:rsidRPr="00BC31E0" w:rsidRDefault="00644B5F" w:rsidP="00644B5F">
            <w:pPr>
              <w:spacing w:line="320" w:lineRule="atLeast"/>
              <w:rPr>
                <w:rFonts w:asciiTheme="minorHAnsi" w:eastAsiaTheme="minorEastAsia" w:hAnsiTheme="minorHAnsi"/>
              </w:rPr>
            </w:pPr>
            <w:r w:rsidRPr="00BC31E0">
              <w:rPr>
                <w:rFonts w:asciiTheme="minorHAnsi" w:eastAsiaTheme="minorEastAsia" w:hAnsiTheme="minorHAnsi" w:hint="eastAsia"/>
              </w:rPr>
              <w:t>SA-182</w:t>
            </w:r>
            <w:r w:rsidR="00241471" w:rsidRPr="00BC31E0">
              <w:rPr>
                <w:rFonts w:asciiTheme="minorHAnsi" w:eastAsiaTheme="minorEastAsia" w:hAnsiTheme="minorHAnsi" w:hint="eastAsia"/>
              </w:rPr>
              <w:t>M</w:t>
            </w:r>
          </w:p>
        </w:tc>
        <w:tc>
          <w:tcPr>
            <w:tcW w:w="2268" w:type="dxa"/>
            <w:tcBorders>
              <w:left w:val="nil"/>
            </w:tcBorders>
            <w:vAlign w:val="center"/>
          </w:tcPr>
          <w:p w14:paraId="7E4DFF8B" w14:textId="77777777" w:rsidR="00644B5F" w:rsidRPr="00BC31E0" w:rsidRDefault="00644B5F" w:rsidP="00644B5F">
            <w:pPr>
              <w:spacing w:line="320" w:lineRule="atLeast"/>
              <w:rPr>
                <w:rFonts w:asciiTheme="minorHAnsi" w:eastAsiaTheme="minorEastAsia" w:hAnsiTheme="minorHAnsi"/>
              </w:rPr>
            </w:pPr>
            <w:r w:rsidRPr="00BC31E0">
              <w:rPr>
                <w:rFonts w:asciiTheme="minorHAnsi" w:eastAsiaTheme="minorEastAsia" w:hAnsiTheme="minorHAnsi" w:hint="eastAsia"/>
              </w:rPr>
              <w:t xml:space="preserve">Grade F3V </w:t>
            </w:r>
            <w:r w:rsidRPr="00BC31E0">
              <w:rPr>
                <w:rFonts w:asciiTheme="majorEastAsia" w:eastAsiaTheme="majorEastAsia" w:hAnsiTheme="majorEastAsia" w:hint="eastAsia"/>
                <w:b/>
                <w:vertAlign w:val="superscript"/>
              </w:rPr>
              <w:t>c)</w:t>
            </w:r>
          </w:p>
        </w:tc>
        <w:tc>
          <w:tcPr>
            <w:tcW w:w="1158" w:type="dxa"/>
            <w:vAlign w:val="center"/>
          </w:tcPr>
          <w:p w14:paraId="11517A53" w14:textId="77777777" w:rsidR="00644B5F" w:rsidRPr="00BC31E0" w:rsidRDefault="00644B5F" w:rsidP="00644B5F">
            <w:pPr>
              <w:spacing w:line="320" w:lineRule="atLeast"/>
              <w:jc w:val="center"/>
              <w:rPr>
                <w:rFonts w:asciiTheme="minorHAnsi" w:eastAsiaTheme="minorEastAsia" w:hAnsiTheme="minorHAnsi"/>
              </w:rPr>
            </w:pPr>
            <w:r w:rsidRPr="00BC31E0">
              <w:rPr>
                <w:rFonts w:asciiTheme="minorHAnsi" w:eastAsiaTheme="minorEastAsia" w:hAnsiTheme="minorHAnsi" w:hint="eastAsia"/>
              </w:rPr>
              <w:t>鍛造</w:t>
            </w:r>
          </w:p>
        </w:tc>
      </w:tr>
      <w:tr w:rsidR="00644B5F" w:rsidRPr="00BC31E0" w14:paraId="3B89FE3E" w14:textId="77777777" w:rsidTr="002851A3">
        <w:trPr>
          <w:jc w:val="center"/>
        </w:trPr>
        <w:tc>
          <w:tcPr>
            <w:tcW w:w="2437" w:type="dxa"/>
            <w:vMerge/>
            <w:vAlign w:val="center"/>
          </w:tcPr>
          <w:p w14:paraId="755DE954" w14:textId="77777777" w:rsidR="00644B5F" w:rsidRPr="00BC31E0" w:rsidRDefault="00644B5F" w:rsidP="00644B5F">
            <w:pPr>
              <w:spacing w:line="320" w:lineRule="atLeast"/>
              <w:rPr>
                <w:rFonts w:asciiTheme="minorHAnsi" w:eastAsiaTheme="minorEastAsia" w:hAnsiTheme="minorHAnsi"/>
              </w:rPr>
            </w:pPr>
          </w:p>
        </w:tc>
        <w:tc>
          <w:tcPr>
            <w:tcW w:w="1559" w:type="dxa"/>
            <w:tcBorders>
              <w:right w:val="nil"/>
            </w:tcBorders>
            <w:vAlign w:val="center"/>
          </w:tcPr>
          <w:p w14:paraId="2ECD3520" w14:textId="77777777" w:rsidR="00644B5F" w:rsidRPr="00BC31E0" w:rsidRDefault="00644B5F" w:rsidP="00644B5F">
            <w:pPr>
              <w:spacing w:line="320" w:lineRule="atLeast"/>
              <w:rPr>
                <w:rFonts w:asciiTheme="minorHAnsi" w:eastAsiaTheme="minorEastAsia" w:hAnsiTheme="minorHAnsi"/>
              </w:rPr>
            </w:pPr>
            <w:r w:rsidRPr="00BC31E0">
              <w:rPr>
                <w:rFonts w:asciiTheme="minorHAnsi" w:eastAsiaTheme="minorEastAsia" w:hAnsiTheme="minorHAnsi" w:hint="eastAsia"/>
              </w:rPr>
              <w:t>SA-336</w:t>
            </w:r>
            <w:r w:rsidR="00241471" w:rsidRPr="00BC31E0">
              <w:rPr>
                <w:rFonts w:asciiTheme="minorHAnsi" w:eastAsiaTheme="minorEastAsia" w:hAnsiTheme="minorHAnsi" w:hint="eastAsia"/>
              </w:rPr>
              <w:t>M</w:t>
            </w:r>
          </w:p>
        </w:tc>
        <w:tc>
          <w:tcPr>
            <w:tcW w:w="2268" w:type="dxa"/>
            <w:tcBorders>
              <w:left w:val="nil"/>
            </w:tcBorders>
            <w:vAlign w:val="center"/>
          </w:tcPr>
          <w:p w14:paraId="117BDEF9" w14:textId="77777777" w:rsidR="00644B5F" w:rsidRPr="00BC31E0" w:rsidRDefault="00644B5F" w:rsidP="00644B5F">
            <w:pPr>
              <w:spacing w:line="320" w:lineRule="atLeast"/>
              <w:rPr>
                <w:rFonts w:asciiTheme="minorHAnsi" w:eastAsiaTheme="minorEastAsia" w:hAnsiTheme="minorHAnsi"/>
              </w:rPr>
            </w:pPr>
            <w:r w:rsidRPr="00BC31E0">
              <w:rPr>
                <w:rFonts w:asciiTheme="minorHAnsi" w:eastAsiaTheme="minorEastAsia" w:hAnsiTheme="minorHAnsi" w:hint="eastAsia"/>
              </w:rPr>
              <w:t>Grade F3V</w:t>
            </w:r>
          </w:p>
        </w:tc>
        <w:tc>
          <w:tcPr>
            <w:tcW w:w="1158" w:type="dxa"/>
            <w:vAlign w:val="center"/>
          </w:tcPr>
          <w:p w14:paraId="5825C1D5" w14:textId="77777777" w:rsidR="00644B5F" w:rsidRPr="00BC31E0" w:rsidRDefault="00644B5F" w:rsidP="00644B5F">
            <w:pPr>
              <w:spacing w:line="320" w:lineRule="atLeast"/>
              <w:jc w:val="center"/>
              <w:rPr>
                <w:rFonts w:asciiTheme="minorHAnsi" w:eastAsiaTheme="minorEastAsia" w:hAnsiTheme="minorHAnsi"/>
              </w:rPr>
            </w:pPr>
            <w:r w:rsidRPr="00BC31E0">
              <w:rPr>
                <w:rFonts w:asciiTheme="minorHAnsi" w:eastAsiaTheme="minorEastAsia" w:hAnsiTheme="minorHAnsi" w:hint="eastAsia"/>
              </w:rPr>
              <w:t>鍛造</w:t>
            </w:r>
          </w:p>
        </w:tc>
      </w:tr>
      <w:tr w:rsidR="00644B5F" w:rsidRPr="00BC31E0" w14:paraId="7D9941DB" w14:textId="77777777" w:rsidTr="002851A3">
        <w:trPr>
          <w:jc w:val="center"/>
        </w:trPr>
        <w:tc>
          <w:tcPr>
            <w:tcW w:w="2437" w:type="dxa"/>
            <w:vMerge/>
            <w:vAlign w:val="center"/>
          </w:tcPr>
          <w:p w14:paraId="37EB5FA6" w14:textId="77777777" w:rsidR="00644B5F" w:rsidRPr="00BC31E0" w:rsidRDefault="00644B5F" w:rsidP="00644B5F">
            <w:pPr>
              <w:spacing w:line="320" w:lineRule="atLeast"/>
              <w:rPr>
                <w:rFonts w:asciiTheme="minorHAnsi" w:eastAsiaTheme="minorEastAsia" w:hAnsiTheme="minorHAnsi"/>
              </w:rPr>
            </w:pPr>
          </w:p>
        </w:tc>
        <w:tc>
          <w:tcPr>
            <w:tcW w:w="1559" w:type="dxa"/>
            <w:tcBorders>
              <w:right w:val="nil"/>
            </w:tcBorders>
            <w:vAlign w:val="center"/>
          </w:tcPr>
          <w:p w14:paraId="5BC135F3" w14:textId="77777777" w:rsidR="00644B5F" w:rsidRPr="00BC31E0" w:rsidRDefault="00644B5F" w:rsidP="00644B5F">
            <w:pPr>
              <w:spacing w:line="320" w:lineRule="atLeast"/>
              <w:rPr>
                <w:rFonts w:asciiTheme="minorHAnsi" w:eastAsiaTheme="minorEastAsia" w:hAnsiTheme="minorHAnsi"/>
              </w:rPr>
            </w:pPr>
            <w:r w:rsidRPr="00BC31E0">
              <w:rPr>
                <w:rFonts w:asciiTheme="minorHAnsi" w:eastAsiaTheme="minorEastAsia" w:hAnsiTheme="minorHAnsi" w:hint="eastAsia"/>
              </w:rPr>
              <w:t>SA-508</w:t>
            </w:r>
            <w:r w:rsidR="00241471" w:rsidRPr="00BC31E0">
              <w:rPr>
                <w:rFonts w:asciiTheme="minorHAnsi" w:eastAsiaTheme="minorEastAsia" w:hAnsiTheme="minorHAnsi" w:hint="eastAsia"/>
              </w:rPr>
              <w:t>M</w:t>
            </w:r>
          </w:p>
        </w:tc>
        <w:tc>
          <w:tcPr>
            <w:tcW w:w="2268" w:type="dxa"/>
            <w:tcBorders>
              <w:left w:val="nil"/>
            </w:tcBorders>
            <w:vAlign w:val="center"/>
          </w:tcPr>
          <w:p w14:paraId="1E3F9288" w14:textId="77777777" w:rsidR="00644B5F" w:rsidRPr="00BC31E0" w:rsidRDefault="00644B5F" w:rsidP="00644B5F">
            <w:pPr>
              <w:spacing w:line="320" w:lineRule="atLeast"/>
              <w:rPr>
                <w:rFonts w:asciiTheme="minorHAnsi" w:eastAsiaTheme="minorEastAsia" w:hAnsiTheme="minorHAnsi"/>
              </w:rPr>
            </w:pPr>
            <w:r w:rsidRPr="00BC31E0">
              <w:rPr>
                <w:rFonts w:asciiTheme="minorHAnsi" w:eastAsiaTheme="minorEastAsia" w:hAnsiTheme="minorHAnsi" w:hint="eastAsia"/>
              </w:rPr>
              <w:t>Grade 3V</w:t>
            </w:r>
          </w:p>
        </w:tc>
        <w:tc>
          <w:tcPr>
            <w:tcW w:w="1158" w:type="dxa"/>
            <w:vAlign w:val="center"/>
          </w:tcPr>
          <w:p w14:paraId="07E52A6D" w14:textId="77777777" w:rsidR="00644B5F" w:rsidRPr="00BC31E0" w:rsidRDefault="00644B5F" w:rsidP="00644B5F">
            <w:pPr>
              <w:spacing w:line="320" w:lineRule="atLeast"/>
              <w:jc w:val="center"/>
              <w:rPr>
                <w:rFonts w:asciiTheme="minorHAnsi" w:eastAsiaTheme="minorEastAsia" w:hAnsiTheme="minorHAnsi"/>
              </w:rPr>
            </w:pPr>
            <w:r w:rsidRPr="00BC31E0">
              <w:rPr>
                <w:rFonts w:asciiTheme="minorHAnsi" w:eastAsiaTheme="minorEastAsia" w:hAnsiTheme="minorHAnsi" w:hint="eastAsia"/>
              </w:rPr>
              <w:t>鍛造</w:t>
            </w:r>
          </w:p>
        </w:tc>
      </w:tr>
      <w:tr w:rsidR="00644B5F" w:rsidRPr="00BC31E0" w14:paraId="39C2FE32" w14:textId="77777777" w:rsidTr="002851A3">
        <w:trPr>
          <w:jc w:val="center"/>
        </w:trPr>
        <w:tc>
          <w:tcPr>
            <w:tcW w:w="2437" w:type="dxa"/>
            <w:vMerge/>
            <w:vAlign w:val="center"/>
          </w:tcPr>
          <w:p w14:paraId="7B80597A" w14:textId="77777777" w:rsidR="00644B5F" w:rsidRPr="00BC31E0" w:rsidRDefault="00644B5F" w:rsidP="00644B5F">
            <w:pPr>
              <w:spacing w:line="320" w:lineRule="atLeast"/>
              <w:rPr>
                <w:rFonts w:asciiTheme="minorHAnsi" w:eastAsiaTheme="minorEastAsia" w:hAnsiTheme="minorHAnsi"/>
              </w:rPr>
            </w:pPr>
          </w:p>
        </w:tc>
        <w:tc>
          <w:tcPr>
            <w:tcW w:w="1559" w:type="dxa"/>
            <w:tcBorders>
              <w:right w:val="nil"/>
            </w:tcBorders>
            <w:vAlign w:val="center"/>
          </w:tcPr>
          <w:p w14:paraId="05F5A552" w14:textId="77777777" w:rsidR="00644B5F" w:rsidRPr="00BC31E0" w:rsidRDefault="00644B5F" w:rsidP="00644B5F">
            <w:pPr>
              <w:spacing w:line="320" w:lineRule="atLeast"/>
              <w:rPr>
                <w:rFonts w:asciiTheme="minorHAnsi" w:eastAsiaTheme="minorEastAsia" w:hAnsiTheme="minorHAnsi"/>
              </w:rPr>
            </w:pPr>
            <w:r w:rsidRPr="00BC31E0">
              <w:rPr>
                <w:rFonts w:asciiTheme="minorHAnsi" w:eastAsiaTheme="minorEastAsia" w:hAnsiTheme="minorHAnsi" w:hint="eastAsia"/>
              </w:rPr>
              <w:t>SA-541</w:t>
            </w:r>
            <w:r w:rsidR="00241471" w:rsidRPr="00BC31E0">
              <w:rPr>
                <w:rFonts w:asciiTheme="minorHAnsi" w:eastAsiaTheme="minorEastAsia" w:hAnsiTheme="minorHAnsi" w:hint="eastAsia"/>
              </w:rPr>
              <w:t>M</w:t>
            </w:r>
          </w:p>
        </w:tc>
        <w:tc>
          <w:tcPr>
            <w:tcW w:w="2268" w:type="dxa"/>
            <w:tcBorders>
              <w:left w:val="nil"/>
            </w:tcBorders>
            <w:vAlign w:val="center"/>
          </w:tcPr>
          <w:p w14:paraId="3BD3E1FA" w14:textId="77777777" w:rsidR="00644B5F" w:rsidRPr="00BC31E0" w:rsidRDefault="00644B5F" w:rsidP="00644B5F">
            <w:pPr>
              <w:spacing w:line="320" w:lineRule="atLeast"/>
              <w:rPr>
                <w:rFonts w:asciiTheme="minorHAnsi" w:eastAsiaTheme="minorEastAsia" w:hAnsiTheme="minorHAnsi"/>
              </w:rPr>
            </w:pPr>
            <w:r w:rsidRPr="00BC31E0">
              <w:rPr>
                <w:rFonts w:asciiTheme="minorHAnsi" w:eastAsiaTheme="minorEastAsia" w:hAnsiTheme="minorHAnsi" w:hint="eastAsia"/>
              </w:rPr>
              <w:t>Grade 3V</w:t>
            </w:r>
          </w:p>
        </w:tc>
        <w:tc>
          <w:tcPr>
            <w:tcW w:w="1158" w:type="dxa"/>
            <w:vAlign w:val="center"/>
          </w:tcPr>
          <w:p w14:paraId="4A910D96" w14:textId="77777777" w:rsidR="00644B5F" w:rsidRPr="00BC31E0" w:rsidRDefault="00644B5F" w:rsidP="00644B5F">
            <w:pPr>
              <w:spacing w:line="320" w:lineRule="atLeast"/>
              <w:jc w:val="center"/>
              <w:rPr>
                <w:rFonts w:asciiTheme="minorHAnsi" w:eastAsiaTheme="minorEastAsia" w:hAnsiTheme="minorHAnsi"/>
              </w:rPr>
            </w:pPr>
            <w:r w:rsidRPr="00BC31E0">
              <w:rPr>
                <w:rFonts w:asciiTheme="minorHAnsi" w:eastAsiaTheme="minorEastAsia" w:hAnsiTheme="minorHAnsi" w:hint="eastAsia"/>
              </w:rPr>
              <w:t>鍛造</w:t>
            </w:r>
          </w:p>
        </w:tc>
      </w:tr>
      <w:tr w:rsidR="00644B5F" w:rsidRPr="00BC31E0" w14:paraId="18CEED99" w14:textId="77777777" w:rsidTr="002851A3">
        <w:trPr>
          <w:jc w:val="center"/>
        </w:trPr>
        <w:tc>
          <w:tcPr>
            <w:tcW w:w="2437" w:type="dxa"/>
            <w:vMerge/>
            <w:vAlign w:val="center"/>
          </w:tcPr>
          <w:p w14:paraId="089EA1AE" w14:textId="77777777" w:rsidR="00644B5F" w:rsidRPr="00BC31E0" w:rsidRDefault="00644B5F" w:rsidP="00644B5F">
            <w:pPr>
              <w:spacing w:line="320" w:lineRule="atLeast"/>
              <w:rPr>
                <w:rFonts w:asciiTheme="minorHAnsi" w:eastAsiaTheme="minorEastAsia" w:hAnsiTheme="minorHAnsi"/>
              </w:rPr>
            </w:pPr>
          </w:p>
        </w:tc>
        <w:tc>
          <w:tcPr>
            <w:tcW w:w="1559" w:type="dxa"/>
            <w:tcBorders>
              <w:right w:val="nil"/>
            </w:tcBorders>
            <w:vAlign w:val="center"/>
          </w:tcPr>
          <w:p w14:paraId="48AD37B3" w14:textId="77777777" w:rsidR="00644B5F" w:rsidRPr="00BC31E0" w:rsidRDefault="00644B5F" w:rsidP="00644B5F">
            <w:pPr>
              <w:spacing w:line="320" w:lineRule="atLeast"/>
              <w:rPr>
                <w:rFonts w:asciiTheme="minorHAnsi" w:eastAsiaTheme="minorEastAsia" w:hAnsiTheme="minorHAnsi"/>
              </w:rPr>
            </w:pPr>
            <w:r w:rsidRPr="00BC31E0">
              <w:rPr>
                <w:rFonts w:asciiTheme="minorHAnsi" w:eastAsiaTheme="minorEastAsia" w:hAnsiTheme="minorHAnsi" w:hint="eastAsia"/>
              </w:rPr>
              <w:t>SA-542</w:t>
            </w:r>
            <w:r w:rsidR="00241471" w:rsidRPr="00BC31E0">
              <w:rPr>
                <w:rFonts w:asciiTheme="minorHAnsi" w:eastAsiaTheme="minorEastAsia" w:hAnsiTheme="minorHAnsi" w:hint="eastAsia"/>
              </w:rPr>
              <w:t>M</w:t>
            </w:r>
          </w:p>
        </w:tc>
        <w:tc>
          <w:tcPr>
            <w:tcW w:w="2268" w:type="dxa"/>
            <w:tcBorders>
              <w:left w:val="nil"/>
            </w:tcBorders>
            <w:vAlign w:val="center"/>
          </w:tcPr>
          <w:p w14:paraId="383E9D4D" w14:textId="77777777" w:rsidR="00644B5F" w:rsidRPr="00BC31E0" w:rsidRDefault="00644B5F" w:rsidP="002851A3">
            <w:pPr>
              <w:spacing w:line="320" w:lineRule="atLeast"/>
              <w:rPr>
                <w:rFonts w:asciiTheme="minorHAnsi" w:eastAsiaTheme="minorEastAsia" w:hAnsiTheme="minorHAnsi"/>
              </w:rPr>
            </w:pPr>
            <w:r w:rsidRPr="00BC31E0">
              <w:rPr>
                <w:rFonts w:asciiTheme="minorHAnsi" w:eastAsiaTheme="minorEastAsia" w:hAnsiTheme="minorHAnsi" w:hint="eastAsia"/>
              </w:rPr>
              <w:t>Type C</w:t>
            </w:r>
            <w:r w:rsidR="002851A3" w:rsidRPr="00BC31E0">
              <w:rPr>
                <w:rFonts w:asciiTheme="minorEastAsia" w:eastAsiaTheme="minorEastAsia" w:hAnsiTheme="minorEastAsia" w:hint="eastAsia"/>
              </w:rPr>
              <w:t xml:space="preserve"> </w:t>
            </w:r>
            <w:r w:rsidRPr="00BC31E0">
              <w:rPr>
                <w:rFonts w:asciiTheme="minorHAnsi" w:eastAsiaTheme="minorEastAsia" w:hAnsiTheme="minorHAnsi" w:hint="eastAsia"/>
              </w:rPr>
              <w:t xml:space="preserve">Cl.4a </w:t>
            </w:r>
            <w:r w:rsidRPr="00BC31E0">
              <w:rPr>
                <w:rFonts w:asciiTheme="majorEastAsia" w:eastAsiaTheme="majorEastAsia" w:hAnsiTheme="majorEastAsia" w:hint="eastAsia"/>
                <w:b/>
                <w:vertAlign w:val="superscript"/>
              </w:rPr>
              <w:t>d)</w:t>
            </w:r>
          </w:p>
        </w:tc>
        <w:tc>
          <w:tcPr>
            <w:tcW w:w="1158" w:type="dxa"/>
            <w:vAlign w:val="center"/>
          </w:tcPr>
          <w:p w14:paraId="5525738E" w14:textId="77777777" w:rsidR="00644B5F" w:rsidRPr="00BC31E0" w:rsidRDefault="00644B5F" w:rsidP="00644B5F">
            <w:pPr>
              <w:spacing w:line="320" w:lineRule="atLeast"/>
              <w:jc w:val="center"/>
              <w:rPr>
                <w:rFonts w:asciiTheme="minorHAnsi" w:eastAsiaTheme="minorEastAsia" w:hAnsiTheme="minorHAnsi"/>
              </w:rPr>
            </w:pPr>
            <w:r w:rsidRPr="00BC31E0">
              <w:rPr>
                <w:rFonts w:asciiTheme="minorHAnsi" w:eastAsiaTheme="minorEastAsia" w:hAnsiTheme="minorHAnsi" w:hint="eastAsia"/>
              </w:rPr>
              <w:t>板</w:t>
            </w:r>
          </w:p>
        </w:tc>
      </w:tr>
      <w:tr w:rsidR="00644B5F" w:rsidRPr="00BC31E0" w14:paraId="723F3675" w14:textId="77777777" w:rsidTr="002851A3">
        <w:trPr>
          <w:jc w:val="center"/>
        </w:trPr>
        <w:tc>
          <w:tcPr>
            <w:tcW w:w="2437" w:type="dxa"/>
            <w:vMerge/>
            <w:vAlign w:val="center"/>
          </w:tcPr>
          <w:p w14:paraId="557DC658" w14:textId="77777777" w:rsidR="00644B5F" w:rsidRPr="00BC31E0" w:rsidRDefault="00644B5F" w:rsidP="00644B5F">
            <w:pPr>
              <w:spacing w:line="320" w:lineRule="atLeast"/>
              <w:rPr>
                <w:rFonts w:asciiTheme="minorHAnsi" w:eastAsiaTheme="minorEastAsia" w:hAnsiTheme="minorHAnsi"/>
              </w:rPr>
            </w:pPr>
          </w:p>
        </w:tc>
        <w:tc>
          <w:tcPr>
            <w:tcW w:w="1559" w:type="dxa"/>
            <w:tcBorders>
              <w:right w:val="nil"/>
            </w:tcBorders>
            <w:vAlign w:val="center"/>
          </w:tcPr>
          <w:p w14:paraId="552F0DE9" w14:textId="77777777" w:rsidR="00644B5F" w:rsidRPr="00BC31E0" w:rsidRDefault="00644B5F" w:rsidP="00644B5F">
            <w:pPr>
              <w:spacing w:line="320" w:lineRule="atLeast"/>
              <w:rPr>
                <w:rFonts w:asciiTheme="minorHAnsi" w:eastAsiaTheme="minorEastAsia" w:hAnsiTheme="minorHAnsi"/>
              </w:rPr>
            </w:pPr>
            <w:r w:rsidRPr="00BC31E0">
              <w:rPr>
                <w:rFonts w:asciiTheme="minorHAnsi" w:eastAsiaTheme="minorEastAsia" w:hAnsiTheme="minorHAnsi" w:hint="eastAsia"/>
              </w:rPr>
              <w:t>SA-832</w:t>
            </w:r>
            <w:r w:rsidR="00241471" w:rsidRPr="00BC31E0">
              <w:rPr>
                <w:rFonts w:asciiTheme="minorHAnsi" w:eastAsiaTheme="minorEastAsia" w:hAnsiTheme="minorHAnsi" w:hint="eastAsia"/>
              </w:rPr>
              <w:t>M</w:t>
            </w:r>
          </w:p>
        </w:tc>
        <w:tc>
          <w:tcPr>
            <w:tcW w:w="2268" w:type="dxa"/>
            <w:tcBorders>
              <w:left w:val="nil"/>
            </w:tcBorders>
            <w:vAlign w:val="center"/>
          </w:tcPr>
          <w:p w14:paraId="09358BB9" w14:textId="77777777" w:rsidR="00644B5F" w:rsidRPr="00BC31E0" w:rsidRDefault="00644B5F" w:rsidP="00644B5F">
            <w:pPr>
              <w:spacing w:line="320" w:lineRule="atLeast"/>
              <w:rPr>
                <w:rFonts w:asciiTheme="minorHAnsi" w:eastAsiaTheme="minorEastAsia" w:hAnsiTheme="minorHAnsi"/>
              </w:rPr>
            </w:pPr>
            <w:r w:rsidRPr="00BC31E0">
              <w:rPr>
                <w:rFonts w:asciiTheme="minorHAnsi" w:eastAsiaTheme="minorEastAsia" w:hAnsiTheme="minorHAnsi" w:hint="eastAsia"/>
              </w:rPr>
              <w:t>Grade 21V</w:t>
            </w:r>
          </w:p>
        </w:tc>
        <w:tc>
          <w:tcPr>
            <w:tcW w:w="1158" w:type="dxa"/>
            <w:vAlign w:val="center"/>
          </w:tcPr>
          <w:p w14:paraId="663DF725" w14:textId="77777777" w:rsidR="00644B5F" w:rsidRPr="00BC31E0" w:rsidRDefault="00644B5F" w:rsidP="00644B5F">
            <w:pPr>
              <w:spacing w:line="320" w:lineRule="atLeast"/>
              <w:jc w:val="center"/>
              <w:rPr>
                <w:rFonts w:asciiTheme="minorHAnsi" w:eastAsiaTheme="minorEastAsia" w:hAnsiTheme="minorHAnsi"/>
              </w:rPr>
            </w:pPr>
            <w:r w:rsidRPr="00BC31E0">
              <w:rPr>
                <w:rFonts w:asciiTheme="minorHAnsi" w:eastAsiaTheme="minorEastAsia" w:hAnsiTheme="minorHAnsi" w:hint="eastAsia"/>
              </w:rPr>
              <w:t>板</w:t>
            </w:r>
          </w:p>
        </w:tc>
      </w:tr>
    </w:tbl>
    <w:p w14:paraId="7E19158B" w14:textId="77777777" w:rsidR="00644B5F" w:rsidRPr="00BC31E0" w:rsidRDefault="00644B5F" w:rsidP="00F14FC9">
      <w:pPr>
        <w:spacing w:before="60"/>
        <w:ind w:left="794"/>
        <w:rPr>
          <w:rFonts w:asciiTheme="minorEastAsia" w:eastAsiaTheme="minorEastAsia" w:hAnsiTheme="minorEastAsia"/>
        </w:rPr>
      </w:pPr>
      <w:r w:rsidRPr="00BC31E0">
        <w:rPr>
          <w:rFonts w:asciiTheme="majorEastAsia" w:eastAsiaTheme="majorEastAsia" w:hAnsiTheme="majorEastAsia" w:hint="eastAsia"/>
          <w:b/>
        </w:rPr>
        <w:t xml:space="preserve">注記　</w:t>
      </w:r>
      <w:r w:rsidRPr="00BC31E0">
        <w:rPr>
          <w:rFonts w:asciiTheme="majorEastAsia" w:eastAsiaTheme="majorEastAsia" w:hAnsiTheme="majorEastAsia"/>
          <w:b/>
          <w:bCs/>
        </w:rPr>
        <w:t>JIS</w:t>
      </w:r>
      <w:r w:rsidRPr="00BC31E0">
        <w:rPr>
          <w:rFonts w:asciiTheme="minorEastAsia" w:eastAsiaTheme="minorEastAsia" w:hAnsiTheme="minorEastAsia" w:hint="eastAsia"/>
        </w:rPr>
        <w:t>の相当材に対しても適用する。</w:t>
      </w:r>
    </w:p>
    <w:p w14:paraId="235C7D31" w14:textId="77777777" w:rsidR="00644B5F" w:rsidRPr="00BC31E0" w:rsidRDefault="00644B5F" w:rsidP="00F14FC9">
      <w:pPr>
        <w:ind w:left="794"/>
        <w:rPr>
          <w:rFonts w:asciiTheme="majorEastAsia" w:eastAsiaTheme="majorEastAsia" w:hAnsiTheme="majorEastAsia"/>
          <w:b/>
        </w:rPr>
      </w:pPr>
      <w:r w:rsidRPr="00BC31E0">
        <w:rPr>
          <w:rFonts w:asciiTheme="majorEastAsia" w:eastAsiaTheme="majorEastAsia" w:hAnsiTheme="majorEastAsia" w:hint="eastAsia"/>
          <w:b/>
        </w:rPr>
        <w:t>注</w:t>
      </w:r>
      <w:r w:rsidRPr="00BC31E0">
        <w:rPr>
          <w:rFonts w:asciiTheme="majorEastAsia" w:eastAsiaTheme="majorEastAsia" w:hAnsiTheme="majorEastAsia" w:hint="eastAsia"/>
          <w:b/>
          <w:vertAlign w:val="superscript"/>
        </w:rPr>
        <w:t>a)</w:t>
      </w:r>
      <w:r w:rsidRPr="00BC31E0">
        <w:rPr>
          <w:rFonts w:asciiTheme="majorEastAsia" w:eastAsiaTheme="majorEastAsia" w:hAnsiTheme="majorEastAsia" w:hint="eastAsia"/>
          <w:b/>
        </w:rPr>
        <w:t xml:space="preserve">　</w:t>
      </w:r>
      <w:r w:rsidRPr="00BC31E0">
        <w:rPr>
          <w:rFonts w:asciiTheme="minorHAnsi" w:eastAsiaTheme="minorEastAsia" w:hAnsiTheme="minorHAnsi" w:hint="eastAsia"/>
        </w:rPr>
        <w:t>相当材は，</w:t>
      </w:r>
      <w:r w:rsidRPr="00BC31E0">
        <w:rPr>
          <w:rFonts w:asciiTheme="majorEastAsia" w:eastAsiaTheme="majorEastAsia" w:hAnsiTheme="majorEastAsia" w:hint="eastAsia"/>
          <w:b/>
        </w:rPr>
        <w:t xml:space="preserve">JIS G 3206 </w:t>
      </w:r>
      <w:r w:rsidRPr="00BC31E0">
        <w:rPr>
          <w:rFonts w:asciiTheme="minorHAnsi" w:eastAsiaTheme="minorEastAsia" w:hAnsiTheme="minorHAnsi"/>
        </w:rPr>
        <w:t>SFVCM</w:t>
      </w:r>
      <w:r w:rsidRPr="00BC31E0">
        <w:rPr>
          <w:rFonts w:asciiTheme="minorHAnsi" w:eastAsiaTheme="minorEastAsia" w:hAnsiTheme="minorHAnsi" w:hint="eastAsia"/>
        </w:rPr>
        <w:t xml:space="preserve"> </w:t>
      </w:r>
      <w:r w:rsidRPr="00BC31E0">
        <w:rPr>
          <w:rFonts w:asciiTheme="minorHAnsi" w:eastAsiaTheme="minorEastAsia" w:hAnsiTheme="minorHAnsi"/>
        </w:rPr>
        <w:t>F22V</w:t>
      </w:r>
      <w:r w:rsidRPr="00BC31E0">
        <w:rPr>
          <w:rFonts w:asciiTheme="minorHAnsi" w:eastAsiaTheme="minorEastAsia" w:hAnsiTheme="minorHAnsi" w:hint="eastAsia"/>
        </w:rPr>
        <w:t xml:space="preserve"> </w:t>
      </w:r>
      <w:r w:rsidRPr="00BC31E0">
        <w:rPr>
          <w:rFonts w:asciiTheme="minorHAnsi" w:eastAsiaTheme="minorEastAsia" w:hAnsiTheme="minorHAnsi"/>
        </w:rPr>
        <w:t>(</w:t>
      </w:r>
      <w:r w:rsidRPr="00BC31E0">
        <w:rPr>
          <w:rFonts w:asciiTheme="minorHAnsi" w:eastAsiaTheme="minorEastAsia" w:hAnsiTheme="minorEastAsia"/>
        </w:rPr>
        <w:t>鍛鋼品</w:t>
      </w:r>
      <w:r w:rsidRPr="00BC31E0">
        <w:rPr>
          <w:rFonts w:asciiTheme="minorHAnsi" w:eastAsiaTheme="minorEastAsia" w:hAnsiTheme="minorHAnsi"/>
        </w:rPr>
        <w:t>)</w:t>
      </w:r>
      <w:r w:rsidRPr="00BC31E0">
        <w:rPr>
          <w:rFonts w:asciiTheme="minorHAnsi" w:eastAsiaTheme="minorEastAsia" w:hAnsiTheme="minorHAnsi" w:hint="eastAsia"/>
        </w:rPr>
        <w:t>である。</w:t>
      </w:r>
      <w:r w:rsidRPr="00BC31E0">
        <w:rPr>
          <w:rFonts w:asciiTheme="majorEastAsia" w:eastAsiaTheme="majorEastAsia" w:hAnsiTheme="majorEastAsia"/>
          <w:b/>
        </w:rPr>
        <w:t xml:space="preserve"> </w:t>
      </w:r>
    </w:p>
    <w:p w14:paraId="2E3B98D8" w14:textId="77777777" w:rsidR="00644B5F" w:rsidRPr="00BC31E0" w:rsidRDefault="00644B5F" w:rsidP="00F14FC9">
      <w:pPr>
        <w:ind w:left="794"/>
        <w:rPr>
          <w:rFonts w:asciiTheme="majorEastAsia" w:eastAsiaTheme="majorEastAsia" w:hAnsiTheme="majorEastAsia"/>
          <w:b/>
        </w:rPr>
      </w:pPr>
      <w:r w:rsidRPr="00BC31E0">
        <w:rPr>
          <w:rFonts w:asciiTheme="majorEastAsia" w:eastAsiaTheme="majorEastAsia" w:hAnsiTheme="majorEastAsia" w:hint="eastAsia"/>
          <w:b/>
        </w:rPr>
        <w:t>注</w:t>
      </w:r>
      <w:r w:rsidRPr="00BC31E0">
        <w:rPr>
          <w:rFonts w:asciiTheme="majorEastAsia" w:eastAsiaTheme="majorEastAsia" w:hAnsiTheme="majorEastAsia" w:hint="eastAsia"/>
          <w:b/>
          <w:vertAlign w:val="superscript"/>
        </w:rPr>
        <w:t>b)</w:t>
      </w:r>
      <w:r w:rsidRPr="00BC31E0">
        <w:rPr>
          <w:rFonts w:asciiTheme="majorEastAsia" w:eastAsiaTheme="majorEastAsia" w:hAnsiTheme="majorEastAsia" w:hint="eastAsia"/>
          <w:b/>
        </w:rPr>
        <w:t xml:space="preserve">　</w:t>
      </w:r>
      <w:r w:rsidRPr="00BC31E0">
        <w:rPr>
          <w:rFonts w:asciiTheme="minorHAnsi" w:eastAsiaTheme="minorEastAsia" w:hAnsiTheme="minorHAnsi" w:hint="eastAsia"/>
        </w:rPr>
        <w:t>相当材は，</w:t>
      </w:r>
      <w:r w:rsidRPr="00BC31E0">
        <w:rPr>
          <w:rFonts w:asciiTheme="majorEastAsia" w:eastAsiaTheme="majorEastAsia" w:hAnsiTheme="majorEastAsia" w:hint="eastAsia"/>
          <w:b/>
        </w:rPr>
        <w:t xml:space="preserve">JIS G 4110 </w:t>
      </w:r>
      <w:r w:rsidRPr="00BC31E0">
        <w:rPr>
          <w:rFonts w:asciiTheme="minorHAnsi" w:eastAsiaTheme="majorEastAsia" w:hAnsiTheme="minorHAnsi"/>
        </w:rPr>
        <w:t>SCMQ</w:t>
      </w:r>
      <w:r w:rsidRPr="00BC31E0">
        <w:rPr>
          <w:rFonts w:asciiTheme="minorHAnsi" w:eastAsiaTheme="majorEastAsia" w:hAnsiTheme="minorHAnsi" w:hint="eastAsia"/>
        </w:rPr>
        <w:t xml:space="preserve"> </w:t>
      </w:r>
      <w:r w:rsidRPr="00BC31E0">
        <w:rPr>
          <w:rFonts w:asciiTheme="minorHAnsi" w:eastAsiaTheme="majorEastAsia" w:hAnsiTheme="minorHAnsi"/>
        </w:rPr>
        <w:t>4V</w:t>
      </w:r>
      <w:r w:rsidRPr="00BC31E0">
        <w:rPr>
          <w:rFonts w:asciiTheme="minorHAnsi" w:eastAsiaTheme="majorEastAsia" w:hAnsiTheme="minorHAnsi" w:hint="eastAsia"/>
        </w:rPr>
        <w:t xml:space="preserve"> </w:t>
      </w:r>
      <w:r w:rsidRPr="00BC31E0">
        <w:rPr>
          <w:rFonts w:asciiTheme="minorHAnsi" w:eastAsiaTheme="minorEastAsia" w:hAnsiTheme="minorHAnsi"/>
        </w:rPr>
        <w:t>(</w:t>
      </w:r>
      <w:r w:rsidRPr="00BC31E0">
        <w:rPr>
          <w:rFonts w:asciiTheme="minorHAnsi" w:eastAsiaTheme="minorEastAsia" w:hAnsiTheme="minorEastAsia"/>
        </w:rPr>
        <w:t>鋼</w:t>
      </w:r>
      <w:r w:rsidRPr="00BC31E0">
        <w:rPr>
          <w:rFonts w:asciiTheme="minorHAnsi" w:eastAsiaTheme="minorEastAsia" w:hAnsiTheme="minorEastAsia" w:hint="eastAsia"/>
        </w:rPr>
        <w:t>板</w:t>
      </w:r>
      <w:r w:rsidRPr="00BC31E0">
        <w:rPr>
          <w:rFonts w:asciiTheme="minorHAnsi" w:eastAsiaTheme="minorEastAsia" w:hAnsiTheme="minorHAnsi"/>
        </w:rPr>
        <w:t>)</w:t>
      </w:r>
      <w:r w:rsidRPr="00BC31E0">
        <w:rPr>
          <w:rFonts w:asciiTheme="minorHAnsi" w:eastAsiaTheme="minorEastAsia" w:hAnsiTheme="minorHAnsi" w:hint="eastAsia"/>
        </w:rPr>
        <w:t xml:space="preserve"> </w:t>
      </w:r>
      <w:r w:rsidRPr="00BC31E0">
        <w:rPr>
          <w:rFonts w:asciiTheme="minorHAnsi" w:eastAsiaTheme="minorEastAsia" w:hAnsiTheme="minorHAnsi" w:hint="eastAsia"/>
        </w:rPr>
        <w:t>である。</w:t>
      </w:r>
    </w:p>
    <w:p w14:paraId="3F635A5B" w14:textId="77777777" w:rsidR="00644B5F" w:rsidRPr="00BC31E0" w:rsidRDefault="00644B5F" w:rsidP="00F14FC9">
      <w:pPr>
        <w:ind w:left="794"/>
        <w:rPr>
          <w:rFonts w:asciiTheme="majorEastAsia" w:eastAsiaTheme="majorEastAsia" w:hAnsiTheme="majorEastAsia"/>
          <w:b/>
        </w:rPr>
      </w:pPr>
      <w:r w:rsidRPr="00BC31E0">
        <w:rPr>
          <w:rFonts w:asciiTheme="majorEastAsia" w:eastAsiaTheme="majorEastAsia" w:hAnsiTheme="majorEastAsia" w:hint="eastAsia"/>
          <w:b/>
        </w:rPr>
        <w:t>注</w:t>
      </w:r>
      <w:r w:rsidRPr="00BC31E0">
        <w:rPr>
          <w:rFonts w:asciiTheme="majorEastAsia" w:eastAsiaTheme="majorEastAsia" w:hAnsiTheme="majorEastAsia" w:hint="eastAsia"/>
          <w:b/>
          <w:vertAlign w:val="superscript"/>
        </w:rPr>
        <w:t>c)</w:t>
      </w:r>
      <w:r w:rsidRPr="00BC31E0">
        <w:rPr>
          <w:rFonts w:asciiTheme="majorEastAsia" w:eastAsiaTheme="majorEastAsia" w:hAnsiTheme="majorEastAsia" w:hint="eastAsia"/>
          <w:b/>
        </w:rPr>
        <w:t xml:space="preserve">　</w:t>
      </w:r>
      <w:r w:rsidRPr="00BC31E0">
        <w:rPr>
          <w:rFonts w:asciiTheme="minorHAnsi" w:eastAsiaTheme="minorEastAsia" w:hAnsiTheme="minorHAnsi" w:hint="eastAsia"/>
        </w:rPr>
        <w:t>相当材は，</w:t>
      </w:r>
      <w:r w:rsidRPr="00BC31E0">
        <w:rPr>
          <w:rFonts w:asciiTheme="majorEastAsia" w:eastAsiaTheme="majorEastAsia" w:hAnsiTheme="majorEastAsia" w:hint="eastAsia"/>
          <w:b/>
        </w:rPr>
        <w:t xml:space="preserve">JIS G 3206 </w:t>
      </w:r>
      <w:r w:rsidRPr="00BC31E0">
        <w:rPr>
          <w:rFonts w:asciiTheme="minorHAnsi" w:eastAsiaTheme="minorEastAsia" w:hAnsiTheme="minorHAnsi"/>
        </w:rPr>
        <w:t>SFVCM</w:t>
      </w:r>
      <w:r w:rsidRPr="00BC31E0">
        <w:rPr>
          <w:rFonts w:asciiTheme="minorHAnsi" w:eastAsiaTheme="minorEastAsia" w:hAnsiTheme="minorHAnsi" w:hint="eastAsia"/>
        </w:rPr>
        <w:t xml:space="preserve"> </w:t>
      </w:r>
      <w:r w:rsidRPr="00BC31E0">
        <w:rPr>
          <w:rFonts w:asciiTheme="minorHAnsi" w:eastAsiaTheme="minorEastAsia" w:hAnsiTheme="minorHAnsi"/>
        </w:rPr>
        <w:t>F</w:t>
      </w:r>
      <w:r w:rsidRPr="00BC31E0">
        <w:rPr>
          <w:rFonts w:asciiTheme="minorHAnsi" w:eastAsiaTheme="minorEastAsia" w:hAnsiTheme="minorHAnsi" w:hint="eastAsia"/>
        </w:rPr>
        <w:t>3</w:t>
      </w:r>
      <w:r w:rsidRPr="00BC31E0">
        <w:rPr>
          <w:rFonts w:asciiTheme="minorHAnsi" w:eastAsiaTheme="minorEastAsia" w:hAnsiTheme="minorHAnsi"/>
        </w:rPr>
        <w:t>V</w:t>
      </w:r>
      <w:r w:rsidRPr="00BC31E0">
        <w:rPr>
          <w:rFonts w:asciiTheme="minorHAnsi" w:eastAsiaTheme="minorEastAsia" w:hAnsiTheme="minorHAnsi" w:hint="eastAsia"/>
        </w:rPr>
        <w:t xml:space="preserve"> </w:t>
      </w:r>
      <w:r w:rsidRPr="00BC31E0">
        <w:rPr>
          <w:rFonts w:asciiTheme="minorHAnsi" w:eastAsiaTheme="minorEastAsia" w:hAnsiTheme="minorHAnsi"/>
        </w:rPr>
        <w:t>(</w:t>
      </w:r>
      <w:r w:rsidRPr="00BC31E0">
        <w:rPr>
          <w:rFonts w:asciiTheme="minorHAnsi" w:eastAsiaTheme="minorEastAsia" w:hAnsiTheme="minorEastAsia"/>
        </w:rPr>
        <w:t>鍛鋼品</w:t>
      </w:r>
      <w:r w:rsidRPr="00BC31E0">
        <w:rPr>
          <w:rFonts w:asciiTheme="minorHAnsi" w:eastAsiaTheme="minorEastAsia" w:hAnsiTheme="minorHAnsi"/>
        </w:rPr>
        <w:t>)</w:t>
      </w:r>
      <w:r w:rsidRPr="00BC31E0">
        <w:rPr>
          <w:rFonts w:asciiTheme="minorHAnsi" w:eastAsiaTheme="minorEastAsia" w:hAnsiTheme="minorHAnsi" w:hint="eastAsia"/>
        </w:rPr>
        <w:t xml:space="preserve"> </w:t>
      </w:r>
      <w:r w:rsidRPr="00BC31E0">
        <w:rPr>
          <w:rFonts w:asciiTheme="minorHAnsi" w:eastAsiaTheme="minorEastAsia" w:hAnsiTheme="minorHAnsi" w:hint="eastAsia"/>
        </w:rPr>
        <w:t>である。</w:t>
      </w:r>
    </w:p>
    <w:p w14:paraId="618E1E43" w14:textId="77777777" w:rsidR="00644B5F" w:rsidRPr="00BC31E0" w:rsidRDefault="00644B5F" w:rsidP="00F14FC9">
      <w:pPr>
        <w:ind w:left="794"/>
        <w:rPr>
          <w:rFonts w:asciiTheme="majorEastAsia" w:eastAsiaTheme="majorEastAsia" w:hAnsiTheme="majorEastAsia"/>
          <w:b/>
        </w:rPr>
      </w:pPr>
      <w:r w:rsidRPr="00BC31E0">
        <w:rPr>
          <w:rFonts w:asciiTheme="majorEastAsia" w:eastAsiaTheme="majorEastAsia" w:hAnsiTheme="majorEastAsia" w:hint="eastAsia"/>
          <w:b/>
        </w:rPr>
        <w:t>注</w:t>
      </w:r>
      <w:r w:rsidRPr="00BC31E0">
        <w:rPr>
          <w:rFonts w:asciiTheme="majorEastAsia" w:eastAsiaTheme="majorEastAsia" w:hAnsiTheme="majorEastAsia" w:hint="eastAsia"/>
          <w:b/>
          <w:vertAlign w:val="superscript"/>
        </w:rPr>
        <w:t>d)</w:t>
      </w:r>
      <w:r w:rsidRPr="00BC31E0">
        <w:rPr>
          <w:rFonts w:asciiTheme="majorEastAsia" w:eastAsiaTheme="majorEastAsia" w:hAnsiTheme="majorEastAsia" w:hint="eastAsia"/>
          <w:b/>
        </w:rPr>
        <w:t xml:space="preserve">　</w:t>
      </w:r>
      <w:r w:rsidRPr="00BC31E0">
        <w:rPr>
          <w:rFonts w:asciiTheme="minorHAnsi" w:eastAsiaTheme="minorEastAsia" w:hAnsiTheme="minorHAnsi" w:hint="eastAsia"/>
        </w:rPr>
        <w:t>相当材は，</w:t>
      </w:r>
      <w:r w:rsidRPr="00BC31E0">
        <w:rPr>
          <w:rFonts w:asciiTheme="majorEastAsia" w:eastAsiaTheme="majorEastAsia" w:hAnsiTheme="majorEastAsia" w:hint="eastAsia"/>
          <w:b/>
        </w:rPr>
        <w:t xml:space="preserve">JIS G 4110 </w:t>
      </w:r>
      <w:r w:rsidRPr="00BC31E0">
        <w:rPr>
          <w:rFonts w:asciiTheme="minorHAnsi" w:eastAsiaTheme="minorEastAsia" w:hAnsiTheme="minorHAnsi" w:hint="eastAsia"/>
        </w:rPr>
        <w:t xml:space="preserve">SCMQ 5V </w:t>
      </w:r>
      <w:r w:rsidRPr="00BC31E0">
        <w:rPr>
          <w:rFonts w:asciiTheme="minorHAnsi" w:eastAsiaTheme="minorEastAsia" w:hAnsiTheme="minorHAnsi"/>
        </w:rPr>
        <w:t>(</w:t>
      </w:r>
      <w:r w:rsidRPr="00BC31E0">
        <w:rPr>
          <w:rFonts w:asciiTheme="minorHAnsi" w:eastAsiaTheme="minorEastAsia" w:hAnsiTheme="minorEastAsia"/>
        </w:rPr>
        <w:t>鋼</w:t>
      </w:r>
      <w:r w:rsidRPr="00BC31E0">
        <w:rPr>
          <w:rFonts w:asciiTheme="minorHAnsi" w:eastAsiaTheme="minorEastAsia" w:hAnsiTheme="minorEastAsia" w:hint="eastAsia"/>
        </w:rPr>
        <w:t>板</w:t>
      </w:r>
      <w:r w:rsidRPr="00BC31E0">
        <w:rPr>
          <w:rFonts w:asciiTheme="minorHAnsi" w:eastAsiaTheme="minorEastAsia" w:hAnsiTheme="minorHAnsi"/>
        </w:rPr>
        <w:t>)</w:t>
      </w:r>
      <w:r w:rsidRPr="00BC31E0">
        <w:rPr>
          <w:rFonts w:asciiTheme="minorHAnsi" w:eastAsiaTheme="minorEastAsia" w:hAnsiTheme="minorHAnsi" w:hint="eastAsia"/>
        </w:rPr>
        <w:t xml:space="preserve"> </w:t>
      </w:r>
      <w:r w:rsidRPr="00BC31E0">
        <w:rPr>
          <w:rFonts w:asciiTheme="minorHAnsi" w:eastAsiaTheme="minorEastAsia" w:hAnsiTheme="minorHAnsi" w:hint="eastAsia"/>
        </w:rPr>
        <w:t>である。</w:t>
      </w:r>
    </w:p>
    <w:p w14:paraId="242BDBF0" w14:textId="77777777" w:rsidR="00644B5F" w:rsidRPr="00BC31E0" w:rsidRDefault="00644B5F" w:rsidP="00F14FC9">
      <w:pPr>
        <w:rPr>
          <w:rFonts w:asciiTheme="majorEastAsia" w:eastAsiaTheme="majorEastAsia" w:hAnsiTheme="majorEastAsia"/>
          <w:b/>
        </w:rPr>
      </w:pPr>
    </w:p>
    <w:p w14:paraId="41A159BC" w14:textId="77777777" w:rsidR="00644B5F" w:rsidRPr="00BC31E0" w:rsidRDefault="00644B5F" w:rsidP="00F14FC9">
      <w:pPr>
        <w:widowControl/>
        <w:jc w:val="left"/>
      </w:pPr>
      <w:r w:rsidRPr="00BC31E0">
        <w:br w:type="page"/>
      </w:r>
    </w:p>
    <w:p w14:paraId="65FC4914" w14:textId="77777777" w:rsidR="00644B5F" w:rsidRPr="00BC31E0" w:rsidRDefault="00644B5F" w:rsidP="00644B5F">
      <w:pPr>
        <w:jc w:val="center"/>
        <w:rPr>
          <w:rFonts w:asciiTheme="majorEastAsia" w:eastAsiaTheme="majorEastAsia" w:hAnsiTheme="majorEastAsia"/>
          <w:b/>
        </w:rPr>
      </w:pPr>
      <w:r w:rsidRPr="00BC31E0">
        <w:rPr>
          <w:rFonts w:asciiTheme="majorEastAsia" w:eastAsiaTheme="majorEastAsia" w:hAnsiTheme="majorEastAsia" w:hint="eastAsia"/>
          <w:b/>
        </w:rPr>
        <w:lastRenderedPageBreak/>
        <w:t>表7.4.2</w:t>
      </w:r>
      <w:r w:rsidRPr="00BC31E0">
        <w:rPr>
          <w:rFonts w:asciiTheme="majorEastAsia" w:eastAsiaTheme="majorEastAsia" w:hAnsiTheme="majorEastAsia"/>
          <w:b/>
        </w:rPr>
        <w:t xml:space="preserve">　溶接後熱処理</w:t>
      </w:r>
      <w:r w:rsidRPr="00BC31E0">
        <w:rPr>
          <w:rFonts w:asciiTheme="majorEastAsia" w:eastAsiaTheme="majorEastAsia" w:hAnsiTheme="majorEastAsia" w:hint="eastAsia"/>
          <w:b/>
        </w:rPr>
        <w:t>の温度及び時間</w:t>
      </w:r>
    </w:p>
    <w:p w14:paraId="1A8C5E8F" w14:textId="77777777" w:rsidR="00644B5F" w:rsidRPr="00BC31E0" w:rsidRDefault="00644B5F" w:rsidP="00644B5F">
      <w:pPr>
        <w:spacing w:after="60"/>
        <w:jc w:val="center"/>
        <w:rPr>
          <w:rFonts w:asciiTheme="minorHAnsi" w:eastAsiaTheme="minorEastAsia" w:hAnsiTheme="minorHAnsi"/>
        </w:rPr>
      </w:pPr>
      <w:r w:rsidRPr="00BC31E0">
        <w:rPr>
          <w:rFonts w:asciiTheme="majorEastAsia" w:eastAsiaTheme="majorEastAsia" w:hAnsiTheme="majorEastAsia"/>
          <w:b/>
        </w:rPr>
        <w:t>(P</w:t>
      </w:r>
      <w:r w:rsidRPr="00BC31E0">
        <w:rPr>
          <w:rFonts w:asciiTheme="majorEastAsia" w:eastAsiaTheme="majorEastAsia" w:hAnsiTheme="majorEastAsia" w:hint="eastAsia"/>
          <w:b/>
        </w:rPr>
        <w:t>番号</w:t>
      </w:r>
      <w:r w:rsidRPr="00BC31E0">
        <w:rPr>
          <w:rFonts w:asciiTheme="majorEastAsia" w:eastAsiaTheme="majorEastAsia" w:hAnsiTheme="majorEastAsia"/>
          <w:b/>
        </w:rPr>
        <w:t>1</w:t>
      </w:r>
      <w:r w:rsidRPr="00BC31E0">
        <w:rPr>
          <w:rFonts w:asciiTheme="majorEastAsia" w:eastAsiaTheme="majorEastAsia" w:hAnsiTheme="majorEastAsia" w:hint="eastAsia"/>
          <w:b/>
        </w:rPr>
        <w:t>グループ番号</w:t>
      </w:r>
      <w:r w:rsidRPr="00BC31E0">
        <w:rPr>
          <w:rFonts w:asciiTheme="majorEastAsia" w:eastAsiaTheme="majorEastAsia" w:hAnsiTheme="majorEastAsia"/>
          <w:b/>
        </w:rPr>
        <w:t>1，2</w:t>
      </w:r>
      <w:r w:rsidRPr="00BC31E0">
        <w:rPr>
          <w:rFonts w:asciiTheme="majorEastAsia" w:eastAsiaTheme="majorEastAsia" w:hAnsiTheme="majorEastAsia" w:hint="eastAsia"/>
          <w:b/>
        </w:rPr>
        <w:t>及び</w:t>
      </w:r>
      <w:r w:rsidRPr="00BC31E0">
        <w:rPr>
          <w:rFonts w:asciiTheme="majorEastAsia" w:eastAsiaTheme="majorEastAsia" w:hAnsiTheme="majorEastAsia"/>
          <w:b/>
        </w:rPr>
        <w:t>3</w:t>
      </w:r>
      <w:r w:rsidRPr="00BC31E0">
        <w:rPr>
          <w:rFonts w:asciiTheme="majorEastAsia" w:eastAsiaTheme="majorEastAsia" w:hAnsiTheme="majorEastAsia" w:hint="eastAsia"/>
          <w:b/>
        </w:rPr>
        <w:t>の材料</w:t>
      </w:r>
      <w:r w:rsidRPr="00BC31E0">
        <w:rPr>
          <w:rFonts w:asciiTheme="majorEastAsia" w:eastAsiaTheme="majorEastAsia" w:hAnsiTheme="majorEastAsia"/>
          <w:b/>
        </w:rPr>
        <w:t>)</w:t>
      </w:r>
    </w:p>
    <w:tbl>
      <w:tblPr>
        <w:tblStyle w:val="100"/>
        <w:tblW w:w="0" w:type="auto"/>
        <w:tblInd w:w="108" w:type="dxa"/>
        <w:tblLook w:val="04A0" w:firstRow="1" w:lastRow="0" w:firstColumn="1" w:lastColumn="0" w:noHBand="0" w:noVBand="1"/>
      </w:tblPr>
      <w:tblGrid>
        <w:gridCol w:w="6946"/>
        <w:gridCol w:w="2126"/>
      </w:tblGrid>
      <w:tr w:rsidR="00644B5F" w:rsidRPr="00BC31E0" w14:paraId="6C7B0B57" w14:textId="77777777" w:rsidTr="004736F2">
        <w:tc>
          <w:tcPr>
            <w:tcW w:w="6946" w:type="dxa"/>
            <w:vAlign w:val="center"/>
          </w:tcPr>
          <w:p w14:paraId="161442B5" w14:textId="77777777" w:rsidR="00644B5F" w:rsidRPr="00BC31E0" w:rsidRDefault="00644B5F" w:rsidP="00644B5F">
            <w:pPr>
              <w:jc w:val="center"/>
              <w:rPr>
                <w:rFonts w:asciiTheme="minorHAnsi" w:eastAsiaTheme="minorEastAsia" w:hAnsiTheme="minorHAnsi"/>
              </w:rPr>
            </w:pPr>
            <w:r w:rsidRPr="00BC31E0">
              <w:rPr>
                <w:rFonts w:asciiTheme="minorHAnsi" w:eastAsiaTheme="minorEastAsia" w:hAnsiTheme="minorEastAsia"/>
              </w:rPr>
              <w:t>要求事項</w:t>
            </w:r>
          </w:p>
        </w:tc>
        <w:tc>
          <w:tcPr>
            <w:tcW w:w="2126" w:type="dxa"/>
            <w:vAlign w:val="center"/>
          </w:tcPr>
          <w:p w14:paraId="224FDA6B" w14:textId="77777777" w:rsidR="00644B5F" w:rsidRPr="00BC31E0" w:rsidRDefault="00644B5F" w:rsidP="00644B5F">
            <w:pPr>
              <w:jc w:val="center"/>
              <w:rPr>
                <w:rFonts w:asciiTheme="minorHAnsi" w:eastAsiaTheme="minorEastAsia" w:hAnsiTheme="minorHAnsi"/>
              </w:rPr>
            </w:pPr>
            <w:r w:rsidRPr="00BC31E0">
              <w:rPr>
                <w:rFonts w:asciiTheme="minorHAnsi" w:eastAsiaTheme="minorEastAsia" w:hAnsiTheme="minorEastAsia"/>
              </w:rPr>
              <w:t>保持温度と保持時間</w:t>
            </w:r>
          </w:p>
        </w:tc>
      </w:tr>
      <w:tr w:rsidR="00644B5F" w:rsidRPr="00BC31E0" w14:paraId="7D61C0AE" w14:textId="77777777" w:rsidTr="004736F2">
        <w:tc>
          <w:tcPr>
            <w:tcW w:w="6946" w:type="dxa"/>
          </w:tcPr>
          <w:p w14:paraId="476F0BF4" w14:textId="77777777" w:rsidR="00644B5F" w:rsidRPr="00BC31E0" w:rsidRDefault="00644B5F" w:rsidP="00736130">
            <w:pPr>
              <w:numPr>
                <w:ilvl w:val="0"/>
                <w:numId w:val="159"/>
              </w:numPr>
              <w:ind w:left="340" w:hanging="340"/>
              <w:rPr>
                <w:rFonts w:asciiTheme="minorHAnsi" w:eastAsiaTheme="minorEastAsia" w:hAnsiTheme="minorHAnsi"/>
              </w:rPr>
            </w:pPr>
            <w:r w:rsidRPr="00BC31E0">
              <w:rPr>
                <w:rFonts w:asciiTheme="minorHAnsi" w:eastAsiaTheme="minorEastAsia" w:hAnsiTheme="minorEastAsia"/>
              </w:rPr>
              <w:t>次の</w:t>
            </w:r>
            <w:r w:rsidRPr="00BC31E0">
              <w:rPr>
                <w:rFonts w:asciiTheme="majorEastAsia" w:eastAsiaTheme="majorEastAsia" w:hAnsiTheme="majorEastAsia"/>
                <w:b/>
              </w:rPr>
              <w:t>1)</w:t>
            </w:r>
            <w:r w:rsidRPr="00BC31E0">
              <w:rPr>
                <w:rFonts w:asciiTheme="minorHAnsi" w:eastAsiaTheme="minorEastAsia" w:hAnsiTheme="minorEastAsia"/>
              </w:rPr>
              <w:t>～</w:t>
            </w:r>
            <w:r w:rsidRPr="00BC31E0">
              <w:rPr>
                <w:rFonts w:asciiTheme="majorEastAsia" w:eastAsiaTheme="majorEastAsia" w:hAnsiTheme="majorEastAsia"/>
                <w:b/>
              </w:rPr>
              <w:t>3)</w:t>
            </w:r>
            <w:r w:rsidRPr="00BC31E0">
              <w:rPr>
                <w:rFonts w:asciiTheme="minorHAnsi" w:eastAsiaTheme="minorEastAsia" w:hAnsiTheme="minorEastAsia"/>
              </w:rPr>
              <w:t>の場合</w:t>
            </w:r>
            <w:r w:rsidRPr="00BC31E0">
              <w:rPr>
                <w:rFonts w:asciiTheme="minorHAnsi" w:eastAsiaTheme="minorEastAsia" w:hAnsiTheme="minorEastAsia" w:hint="eastAsia"/>
              </w:rPr>
              <w:t>に，</w:t>
            </w:r>
            <w:r w:rsidRPr="00BC31E0">
              <w:rPr>
                <w:rFonts w:asciiTheme="minorHAnsi" w:eastAsiaTheme="minorEastAsia" w:hAnsiTheme="minorEastAsia"/>
              </w:rPr>
              <w:t>溶接後熱処理</w:t>
            </w:r>
            <w:r w:rsidRPr="00BC31E0">
              <w:rPr>
                <w:rFonts w:asciiTheme="minorHAnsi" w:eastAsiaTheme="minorEastAsia" w:hAnsiTheme="minorEastAsia" w:hint="eastAsia"/>
              </w:rPr>
              <w:t>が必要である</w:t>
            </w:r>
            <w:r w:rsidRPr="00BC31E0">
              <w:rPr>
                <w:rFonts w:asciiTheme="minorHAnsi" w:eastAsiaTheme="minorEastAsia" w:hAnsiTheme="minorEastAsia"/>
              </w:rPr>
              <w:t>。</w:t>
            </w:r>
          </w:p>
          <w:p w14:paraId="0A2A7985" w14:textId="77777777" w:rsidR="00644B5F" w:rsidRPr="00BC31E0" w:rsidRDefault="00644B5F" w:rsidP="00736130">
            <w:pPr>
              <w:numPr>
                <w:ilvl w:val="1"/>
                <w:numId w:val="160"/>
              </w:numPr>
              <w:ind w:left="567" w:hanging="340"/>
              <w:rPr>
                <w:rFonts w:asciiTheme="minorHAnsi" w:eastAsiaTheme="minorEastAsia" w:hAnsiTheme="minorHAnsi"/>
              </w:rPr>
            </w:pPr>
            <w:r w:rsidRPr="00BC31E0">
              <w:rPr>
                <w:rFonts w:asciiTheme="minorHAnsi" w:eastAsiaTheme="minorEastAsia" w:hAnsiTheme="minorEastAsia"/>
              </w:rPr>
              <w:t>公称厚さが</w:t>
            </w:r>
            <w:r w:rsidRPr="00BC31E0">
              <w:rPr>
                <w:rFonts w:ascii="Cambria Math" w:eastAsiaTheme="minorEastAsia" w:hAnsi="Cambria Math"/>
              </w:rPr>
              <w:t>38 mm</w:t>
            </w:r>
            <w:r w:rsidRPr="00BC31E0">
              <w:rPr>
                <w:rFonts w:asciiTheme="minorHAnsi" w:eastAsiaTheme="minorEastAsia" w:hAnsiTheme="minorEastAsia"/>
              </w:rPr>
              <w:t>を超える溶接継手</w:t>
            </w:r>
          </w:p>
          <w:p w14:paraId="1A8489AF" w14:textId="77777777" w:rsidR="00644B5F" w:rsidRPr="00BC31E0" w:rsidRDefault="00644B5F" w:rsidP="00736130">
            <w:pPr>
              <w:numPr>
                <w:ilvl w:val="1"/>
                <w:numId w:val="160"/>
              </w:numPr>
              <w:ind w:left="567" w:hanging="340"/>
              <w:rPr>
                <w:rFonts w:asciiTheme="minorHAnsi" w:eastAsiaTheme="minorEastAsia" w:hAnsiTheme="minorHAnsi"/>
              </w:rPr>
            </w:pPr>
            <w:r w:rsidRPr="00BC31E0">
              <w:rPr>
                <w:rFonts w:ascii="Cambria Math" w:eastAsiaTheme="minorEastAsia" w:hAnsi="Cambria Math"/>
              </w:rPr>
              <w:t>95</w:t>
            </w:r>
            <w:r w:rsidRPr="00BC31E0">
              <w:rPr>
                <w:rFonts w:asciiTheme="minorHAnsi" w:hAnsiTheme="minorHAnsi"/>
              </w:rPr>
              <w:t>°C</w:t>
            </w:r>
            <w:r w:rsidRPr="00BC31E0">
              <w:rPr>
                <w:rFonts w:asciiTheme="minorHAnsi" w:eastAsiaTheme="minorEastAsia" w:hAnsiTheme="minorEastAsia" w:hint="eastAsia"/>
              </w:rPr>
              <w:t>以上</w:t>
            </w:r>
            <w:r w:rsidRPr="00BC31E0">
              <w:rPr>
                <w:rFonts w:asciiTheme="minorHAnsi" w:eastAsiaTheme="minorEastAsia" w:hAnsiTheme="minorEastAsia"/>
              </w:rPr>
              <w:t>で予熱</w:t>
            </w:r>
            <w:r w:rsidRPr="00BC31E0">
              <w:rPr>
                <w:rFonts w:asciiTheme="minorHAnsi" w:eastAsiaTheme="minorEastAsia" w:hAnsiTheme="minorEastAsia" w:hint="eastAsia"/>
              </w:rPr>
              <w:t>しない公称厚さ</w:t>
            </w:r>
            <w:r w:rsidRPr="00BC31E0">
              <w:rPr>
                <w:rFonts w:ascii="Cambria Math" w:eastAsiaTheme="minorEastAsia" w:hAnsi="Cambria Math"/>
              </w:rPr>
              <w:t>32 mm</w:t>
            </w:r>
            <w:r w:rsidRPr="00BC31E0">
              <w:rPr>
                <w:rFonts w:asciiTheme="minorHAnsi" w:eastAsiaTheme="minorEastAsia" w:hAnsiTheme="minorEastAsia"/>
              </w:rPr>
              <w:t>～</w:t>
            </w:r>
            <w:r w:rsidRPr="00BC31E0">
              <w:rPr>
                <w:rFonts w:ascii="Cambria Math" w:eastAsiaTheme="minorEastAsia" w:hAnsi="Cambria Math"/>
              </w:rPr>
              <w:t>38 mm</w:t>
            </w:r>
            <w:r w:rsidRPr="00BC31E0">
              <w:rPr>
                <w:rFonts w:asciiTheme="minorHAnsi" w:eastAsiaTheme="minorEastAsia" w:hAnsiTheme="minorEastAsia"/>
              </w:rPr>
              <w:t>の溶接継手</w:t>
            </w:r>
          </w:p>
          <w:p w14:paraId="69A2B20C" w14:textId="77777777" w:rsidR="00644B5F" w:rsidRPr="00BC31E0" w:rsidRDefault="00644B5F" w:rsidP="00644B5F">
            <w:pPr>
              <w:ind w:left="567"/>
              <w:rPr>
                <w:rFonts w:asciiTheme="minorHAnsi" w:eastAsiaTheme="minorEastAsia" w:hAnsiTheme="minorHAnsi"/>
              </w:rPr>
            </w:pPr>
            <w:r w:rsidRPr="00BC31E0">
              <w:rPr>
                <w:rFonts w:asciiTheme="minorHAnsi" w:eastAsiaTheme="minorEastAsia" w:hAnsiTheme="minorHAnsi" w:hint="eastAsia"/>
              </w:rPr>
              <w:t>ただし，</w:t>
            </w:r>
            <w:r w:rsidRPr="00BC31E0">
              <w:rPr>
                <w:rFonts w:asciiTheme="minorHAnsi" w:eastAsiaTheme="minorEastAsia" w:hAnsiTheme="minorHAnsi"/>
              </w:rPr>
              <w:t>SA-841</w:t>
            </w:r>
            <w:r w:rsidR="002851A3" w:rsidRPr="00BC31E0">
              <w:rPr>
                <w:rFonts w:asciiTheme="minorHAnsi" w:eastAsiaTheme="minorEastAsia" w:hAnsiTheme="minorHAnsi" w:hint="eastAsia"/>
              </w:rPr>
              <w:t>M</w:t>
            </w:r>
            <w:r w:rsidRPr="00BC31E0">
              <w:rPr>
                <w:rFonts w:asciiTheme="minorHAnsi" w:eastAsiaTheme="minorEastAsia" w:hAnsiTheme="minorEastAsia"/>
              </w:rPr>
              <w:t>，</w:t>
            </w:r>
            <w:r w:rsidRPr="00BC31E0">
              <w:rPr>
                <w:rFonts w:asciiTheme="minorHAnsi" w:eastAsiaTheme="minorEastAsia" w:hAnsiTheme="minorHAnsi"/>
              </w:rPr>
              <w:t>Grade A</w:t>
            </w:r>
            <w:r w:rsidRPr="00BC31E0">
              <w:rPr>
                <w:rFonts w:asciiTheme="minorHAnsi" w:eastAsiaTheme="minorEastAsia" w:hAnsiTheme="minorEastAsia"/>
              </w:rPr>
              <w:t>及び</w:t>
            </w:r>
            <w:r w:rsidRPr="00BC31E0">
              <w:rPr>
                <w:rFonts w:asciiTheme="minorHAnsi" w:eastAsiaTheme="minorEastAsia" w:hAnsiTheme="minorHAnsi"/>
              </w:rPr>
              <w:t>B</w:t>
            </w:r>
            <w:r w:rsidRPr="00BC31E0">
              <w:rPr>
                <w:rFonts w:asciiTheme="minorHAnsi" w:eastAsiaTheme="minorEastAsia" w:hAnsiTheme="minorHAnsi" w:hint="eastAsia"/>
              </w:rPr>
              <w:t>の</w:t>
            </w:r>
            <w:r w:rsidRPr="00BC31E0">
              <w:rPr>
                <w:rFonts w:asciiTheme="minorHAnsi" w:eastAsiaTheme="minorEastAsia" w:hAnsiTheme="minorEastAsia"/>
              </w:rPr>
              <w:t>板材</w:t>
            </w:r>
            <w:r w:rsidRPr="00BC31E0">
              <w:rPr>
                <w:rFonts w:asciiTheme="minorHAnsi" w:eastAsiaTheme="minorEastAsia" w:hAnsiTheme="minorEastAsia" w:hint="eastAsia"/>
              </w:rPr>
              <w:t>は</w:t>
            </w:r>
            <w:r w:rsidRPr="00BC31E0">
              <w:rPr>
                <w:rFonts w:asciiTheme="minorHAnsi" w:eastAsiaTheme="minorEastAsia" w:hAnsiTheme="minorEastAsia"/>
              </w:rPr>
              <w:t>，炭素含有量と炭素</w:t>
            </w:r>
            <w:r w:rsidRPr="00BC31E0">
              <w:rPr>
                <w:rFonts w:asciiTheme="minorHAnsi" w:eastAsiaTheme="minorEastAsia" w:hAnsiTheme="minorEastAsia" w:hint="eastAsia"/>
              </w:rPr>
              <w:t>当</w:t>
            </w:r>
            <w:r w:rsidRPr="00BC31E0">
              <w:rPr>
                <w:rFonts w:asciiTheme="minorHAnsi" w:eastAsiaTheme="minorEastAsia" w:hAnsiTheme="minorEastAsia"/>
              </w:rPr>
              <w:t>量がそれぞれ</w:t>
            </w:r>
            <w:r w:rsidRPr="00BC31E0">
              <w:rPr>
                <w:rFonts w:ascii="Cambria Math" w:eastAsiaTheme="minorEastAsia" w:hAnsi="Cambria Math"/>
              </w:rPr>
              <w:t>0.14</w:t>
            </w:r>
            <w:r w:rsidRPr="00BC31E0">
              <w:rPr>
                <w:rFonts w:ascii="Cambria Math" w:eastAsiaTheme="minorEastAsia" w:hAnsi="Cambria Math" w:hint="eastAsia"/>
              </w:rPr>
              <w:t xml:space="preserve"> </w:t>
            </w:r>
            <w:r w:rsidRPr="00BC31E0">
              <w:rPr>
                <w:rFonts w:ascii="Cambria Math" w:eastAsiaTheme="minorEastAsia" w:hAnsi="Cambria Math"/>
              </w:rPr>
              <w:t>%</w:t>
            </w:r>
            <w:r w:rsidRPr="00BC31E0">
              <w:rPr>
                <w:rFonts w:asciiTheme="minorHAnsi" w:eastAsiaTheme="minorEastAsia" w:hAnsiTheme="minorEastAsia"/>
              </w:rPr>
              <w:t>と</w:t>
            </w:r>
            <w:r w:rsidRPr="00BC31E0">
              <w:rPr>
                <w:rFonts w:ascii="Cambria Math" w:eastAsiaTheme="minorEastAsia" w:hAnsi="Cambria Math"/>
              </w:rPr>
              <w:t>0.40</w:t>
            </w:r>
            <w:r w:rsidRPr="00BC31E0">
              <w:rPr>
                <w:rFonts w:ascii="Cambria Math" w:eastAsiaTheme="minorEastAsia" w:hAnsi="Cambria Math" w:hint="eastAsia"/>
              </w:rPr>
              <w:t xml:space="preserve"> </w:t>
            </w:r>
            <w:r w:rsidRPr="00BC31E0">
              <w:rPr>
                <w:rFonts w:ascii="Cambria Math" w:eastAsiaTheme="minorEastAsia" w:hAnsi="Cambria Math"/>
              </w:rPr>
              <w:t>%</w:t>
            </w:r>
            <w:r w:rsidRPr="00BC31E0">
              <w:rPr>
                <w:rFonts w:asciiTheme="minorHAnsi" w:eastAsiaTheme="minorEastAsia" w:hAnsiTheme="minorEastAsia"/>
              </w:rPr>
              <w:t>以下の場合には予熱の必要はない。ここで</w:t>
            </w:r>
            <w:r w:rsidRPr="00BC31E0">
              <w:rPr>
                <w:rFonts w:asciiTheme="minorHAnsi" w:eastAsiaTheme="minorEastAsia" w:hAnsiTheme="minorEastAsia" w:hint="eastAsia"/>
              </w:rPr>
              <w:t>，</w:t>
            </w:r>
            <w:r w:rsidRPr="00BC31E0">
              <w:rPr>
                <w:rFonts w:asciiTheme="minorHAnsi" w:eastAsiaTheme="minorEastAsia" w:hAnsiTheme="minorEastAsia"/>
              </w:rPr>
              <w:t>炭素</w:t>
            </w:r>
            <w:r w:rsidRPr="00BC31E0">
              <w:rPr>
                <w:rFonts w:asciiTheme="minorHAnsi" w:eastAsiaTheme="minorEastAsia" w:hAnsiTheme="minorEastAsia" w:hint="eastAsia"/>
              </w:rPr>
              <w:t>当</w:t>
            </w:r>
            <w:r w:rsidRPr="00BC31E0">
              <w:rPr>
                <w:rFonts w:asciiTheme="minorHAnsi" w:eastAsiaTheme="minorEastAsia" w:hAnsiTheme="minorEastAsia"/>
              </w:rPr>
              <w:t>量</w:t>
            </w:r>
            <w:r w:rsidRPr="00BC31E0">
              <w:rPr>
                <w:rFonts w:asciiTheme="minorHAnsi" w:eastAsiaTheme="minorEastAsia" w:hAnsiTheme="minorHAnsi"/>
              </w:rPr>
              <w:t>(CE)</w:t>
            </w:r>
            <w:r w:rsidRPr="00BC31E0">
              <w:rPr>
                <w:rFonts w:asciiTheme="minorHAnsi" w:eastAsiaTheme="minorEastAsia" w:hAnsiTheme="minorHAnsi" w:hint="eastAsia"/>
              </w:rPr>
              <w:t>は次式による。</w:t>
            </w:r>
          </w:p>
          <w:p w14:paraId="21956E66" w14:textId="77777777" w:rsidR="00644B5F" w:rsidRPr="00BC31E0" w:rsidRDefault="00644B5F" w:rsidP="00644B5F">
            <w:pPr>
              <w:spacing w:before="120" w:after="120"/>
              <w:rPr>
                <w:rFonts w:asciiTheme="minorHAnsi" w:eastAsiaTheme="minorEastAsia" w:hAnsiTheme="minorHAnsi"/>
              </w:rPr>
            </w:pPr>
            <m:oMathPara>
              <m:oMath>
                <m:r>
                  <m:rPr>
                    <m:sty m:val="p"/>
                  </m:rPr>
                  <w:rPr>
                    <w:rFonts w:ascii="Cambria Math" w:eastAsiaTheme="minorEastAsia" w:hAnsiTheme="minorHAnsi"/>
                  </w:rPr>
                  <m:t>CE=C+</m:t>
                </m:r>
                <m:f>
                  <m:fPr>
                    <m:ctrlPr>
                      <w:rPr>
                        <w:rFonts w:ascii="Cambria Math" w:eastAsiaTheme="minorEastAsia" w:hAnsiTheme="minorHAnsi"/>
                      </w:rPr>
                    </m:ctrlPr>
                  </m:fPr>
                  <m:num>
                    <m:r>
                      <m:rPr>
                        <m:sty m:val="p"/>
                      </m:rPr>
                      <w:rPr>
                        <w:rFonts w:ascii="Cambria Math" w:eastAsiaTheme="minorEastAsia" w:hAnsiTheme="minorHAnsi"/>
                      </w:rPr>
                      <m:t>Mn</m:t>
                    </m:r>
                  </m:num>
                  <m:den>
                    <m:r>
                      <m:rPr>
                        <m:sty m:val="p"/>
                      </m:rPr>
                      <w:rPr>
                        <w:rFonts w:ascii="Cambria Math" w:eastAsiaTheme="minorEastAsia" w:hAnsiTheme="minorHAnsi"/>
                      </w:rPr>
                      <m:t>6</m:t>
                    </m:r>
                  </m:den>
                </m:f>
                <m:r>
                  <m:rPr>
                    <m:sty m:val="p"/>
                  </m:rPr>
                  <w:rPr>
                    <w:rFonts w:ascii="Cambria Math" w:eastAsiaTheme="minorEastAsia" w:hAnsiTheme="minorHAnsi"/>
                  </w:rPr>
                  <m:t>+</m:t>
                </m:r>
                <m:f>
                  <m:fPr>
                    <m:ctrlPr>
                      <w:rPr>
                        <w:rFonts w:ascii="Cambria Math" w:eastAsiaTheme="minorEastAsia" w:hAnsiTheme="minorHAnsi"/>
                      </w:rPr>
                    </m:ctrlPr>
                  </m:fPr>
                  <m:num>
                    <m:r>
                      <m:rPr>
                        <m:sty m:val="p"/>
                      </m:rPr>
                      <w:rPr>
                        <w:rFonts w:ascii="Cambria Math" w:eastAsiaTheme="minorEastAsia" w:hAnsiTheme="minorHAnsi"/>
                      </w:rPr>
                      <m:t>Cr+Mo+V</m:t>
                    </m:r>
                  </m:num>
                  <m:den>
                    <m:r>
                      <m:rPr>
                        <m:sty m:val="p"/>
                      </m:rPr>
                      <w:rPr>
                        <w:rFonts w:ascii="Cambria Math" w:eastAsiaTheme="minorEastAsia" w:hAnsiTheme="minorHAnsi"/>
                      </w:rPr>
                      <m:t>5</m:t>
                    </m:r>
                  </m:den>
                </m:f>
                <m:r>
                  <m:rPr>
                    <m:sty m:val="p"/>
                  </m:rPr>
                  <w:rPr>
                    <w:rFonts w:ascii="Cambria Math" w:eastAsiaTheme="minorEastAsia" w:hAnsiTheme="minorHAnsi"/>
                  </w:rPr>
                  <m:t>+</m:t>
                </m:r>
                <m:f>
                  <m:fPr>
                    <m:ctrlPr>
                      <w:rPr>
                        <w:rFonts w:ascii="Cambria Math" w:eastAsiaTheme="minorEastAsia" w:hAnsiTheme="minorHAnsi"/>
                      </w:rPr>
                    </m:ctrlPr>
                  </m:fPr>
                  <m:num>
                    <m:r>
                      <m:rPr>
                        <m:sty m:val="p"/>
                      </m:rPr>
                      <w:rPr>
                        <w:rFonts w:ascii="Cambria Math" w:eastAsiaTheme="minorEastAsia" w:hAnsiTheme="minorHAnsi"/>
                      </w:rPr>
                      <m:t>Cu+Ni</m:t>
                    </m:r>
                  </m:num>
                  <m:den>
                    <m:r>
                      <m:rPr>
                        <m:sty m:val="p"/>
                      </m:rPr>
                      <w:rPr>
                        <w:rFonts w:ascii="Cambria Math" w:eastAsiaTheme="minorEastAsia" w:hAnsiTheme="minorHAnsi"/>
                      </w:rPr>
                      <m:t>15</m:t>
                    </m:r>
                  </m:den>
                </m:f>
              </m:oMath>
            </m:oMathPara>
          </w:p>
          <w:p w14:paraId="7CB8F214" w14:textId="77777777" w:rsidR="00644B5F" w:rsidRPr="00BC31E0" w:rsidRDefault="00644B5F" w:rsidP="00736130">
            <w:pPr>
              <w:numPr>
                <w:ilvl w:val="0"/>
                <w:numId w:val="161"/>
              </w:numPr>
              <w:ind w:left="567" w:hanging="340"/>
              <w:rPr>
                <w:rFonts w:asciiTheme="minorHAnsi" w:eastAsiaTheme="minorEastAsia" w:hAnsiTheme="minorEastAsia"/>
              </w:rPr>
            </w:pPr>
            <w:r w:rsidRPr="00BC31E0">
              <w:rPr>
                <w:rFonts w:asciiTheme="minorHAnsi" w:eastAsiaTheme="minorEastAsia" w:hAnsiTheme="minorEastAsia"/>
              </w:rPr>
              <w:t>直火を受ける耐圧部</w:t>
            </w:r>
            <w:r w:rsidRPr="00BC31E0">
              <w:rPr>
                <w:rFonts w:asciiTheme="minorHAnsi" w:eastAsiaTheme="minorEastAsia" w:hAnsiTheme="minorEastAsia" w:hint="eastAsia"/>
              </w:rPr>
              <w:t>材</w:t>
            </w:r>
            <w:r w:rsidRPr="00BC31E0">
              <w:rPr>
                <w:rFonts w:asciiTheme="minorHAnsi" w:eastAsiaTheme="minorEastAsia" w:hAnsiTheme="minorEastAsia"/>
              </w:rPr>
              <w:t>の公称厚さが</w:t>
            </w:r>
            <w:r w:rsidRPr="00BC31E0">
              <w:rPr>
                <w:rFonts w:ascii="Cambria Math" w:eastAsiaTheme="minorEastAsia" w:hAnsi="Cambria Math"/>
              </w:rPr>
              <w:t>16 mm</w:t>
            </w:r>
            <w:r w:rsidRPr="00BC31E0">
              <w:rPr>
                <w:rFonts w:asciiTheme="minorHAnsi" w:eastAsiaTheme="minorEastAsia" w:hAnsiTheme="minorEastAsia"/>
              </w:rPr>
              <w:t>を超える溶接継手</w:t>
            </w:r>
          </w:p>
          <w:p w14:paraId="5E2BDDDA" w14:textId="77777777" w:rsidR="00644B5F" w:rsidRPr="00BC31E0" w:rsidRDefault="00644B5F" w:rsidP="00644B5F">
            <w:pPr>
              <w:ind w:left="567"/>
              <w:rPr>
                <w:rFonts w:asciiTheme="minorHAnsi" w:eastAsiaTheme="minorEastAsia" w:hAnsiTheme="minorHAnsi"/>
              </w:rPr>
            </w:pPr>
            <w:r w:rsidRPr="00BC31E0">
              <w:rPr>
                <w:rFonts w:asciiTheme="minorHAnsi" w:eastAsiaTheme="minorEastAsia" w:hAnsiTheme="minorEastAsia" w:hint="eastAsia"/>
              </w:rPr>
              <w:t>ただし，</w:t>
            </w:r>
            <w:r w:rsidRPr="00BC31E0">
              <w:rPr>
                <w:rFonts w:asciiTheme="minorHAnsi" w:eastAsiaTheme="minorEastAsia" w:hAnsiTheme="minorEastAsia"/>
              </w:rPr>
              <w:t>次の</w:t>
            </w:r>
            <w:r w:rsidRPr="00BC31E0">
              <w:rPr>
                <w:rFonts w:asciiTheme="majorEastAsia" w:eastAsiaTheme="majorEastAsia" w:hAnsiTheme="majorEastAsia" w:hint="eastAsia"/>
                <w:b/>
              </w:rPr>
              <w:t>3.1</w:t>
            </w:r>
            <w:r w:rsidRPr="00BC31E0">
              <w:rPr>
                <w:rFonts w:asciiTheme="majorEastAsia" w:eastAsiaTheme="majorEastAsia" w:hAnsiTheme="majorEastAsia"/>
                <w:b/>
              </w:rPr>
              <w:t>)</w:t>
            </w:r>
            <w:r w:rsidRPr="00BC31E0">
              <w:rPr>
                <w:rFonts w:asciiTheme="minorHAnsi" w:eastAsiaTheme="minorEastAsia" w:hAnsiTheme="minorHAnsi"/>
              </w:rPr>
              <w:t xml:space="preserve"> </w:t>
            </w:r>
            <w:r w:rsidRPr="00BC31E0">
              <w:rPr>
                <w:rFonts w:asciiTheme="minorHAnsi" w:eastAsiaTheme="minorEastAsia" w:hAnsiTheme="minorEastAsia"/>
              </w:rPr>
              <w:t>～</w:t>
            </w:r>
            <w:r w:rsidRPr="00BC31E0">
              <w:rPr>
                <w:rFonts w:asciiTheme="majorEastAsia" w:eastAsiaTheme="majorEastAsia" w:hAnsiTheme="majorEastAsia" w:hint="eastAsia"/>
                <w:b/>
              </w:rPr>
              <w:t>3.5</w:t>
            </w:r>
            <w:r w:rsidRPr="00BC31E0">
              <w:rPr>
                <w:rFonts w:asciiTheme="majorEastAsia" w:eastAsiaTheme="majorEastAsia" w:hAnsiTheme="majorEastAsia"/>
                <w:b/>
              </w:rPr>
              <w:t>)</w:t>
            </w:r>
            <w:r w:rsidRPr="00BC31E0">
              <w:rPr>
                <w:rFonts w:asciiTheme="minorHAnsi" w:eastAsiaTheme="minorEastAsia" w:hAnsiTheme="minorEastAsia"/>
              </w:rPr>
              <w:t>を</w:t>
            </w:r>
            <w:r w:rsidRPr="00BC31E0">
              <w:rPr>
                <w:rFonts w:asciiTheme="minorHAnsi" w:eastAsiaTheme="minorEastAsia" w:hAnsiTheme="minorEastAsia" w:hint="eastAsia"/>
              </w:rPr>
              <w:t>除く。</w:t>
            </w:r>
          </w:p>
          <w:p w14:paraId="53EAE64F" w14:textId="77777777" w:rsidR="00644B5F" w:rsidRPr="00BC31E0" w:rsidRDefault="00644B5F" w:rsidP="00736130">
            <w:pPr>
              <w:numPr>
                <w:ilvl w:val="0"/>
                <w:numId w:val="162"/>
              </w:numPr>
              <w:ind w:left="1021" w:hanging="567"/>
              <w:rPr>
                <w:rFonts w:asciiTheme="minorHAnsi" w:eastAsiaTheme="minorEastAsia" w:hAnsiTheme="minorHAnsi"/>
              </w:rPr>
            </w:pPr>
            <w:r w:rsidRPr="00BC31E0">
              <w:rPr>
                <w:rFonts w:asciiTheme="minorHAnsi" w:eastAsiaTheme="minorEastAsia" w:hAnsiTheme="minorEastAsia"/>
              </w:rPr>
              <w:t>仕上げ内径が</w:t>
            </w:r>
            <w:r w:rsidRPr="00BC31E0">
              <w:rPr>
                <w:rFonts w:ascii="Cambria Math" w:eastAsiaTheme="minorEastAsia" w:hAnsi="Cambria Math"/>
              </w:rPr>
              <w:t>50 mm</w:t>
            </w:r>
            <w:r w:rsidRPr="00BC31E0">
              <w:rPr>
                <w:rFonts w:asciiTheme="minorHAnsi" w:eastAsiaTheme="minorEastAsia" w:hAnsiTheme="minorEastAsia"/>
              </w:rPr>
              <w:t>以下のノズルを</w:t>
            </w:r>
            <w:r w:rsidRPr="00BC31E0">
              <w:rPr>
                <w:rFonts w:asciiTheme="minorHAnsi" w:eastAsiaTheme="minorEastAsia" w:hAnsiTheme="minorEastAsia" w:hint="eastAsia"/>
              </w:rPr>
              <w:t>取付ける場合，</w:t>
            </w:r>
            <w:r w:rsidRPr="00BC31E0">
              <w:rPr>
                <w:rFonts w:asciiTheme="minorHAnsi" w:eastAsiaTheme="minorEastAsia" w:hAnsiTheme="minorHAnsi" w:hint="eastAsia"/>
              </w:rPr>
              <w:t>ノズルを取付けるために胴又は鏡板の厚さを増やす必要がなく，</w:t>
            </w:r>
            <w:r w:rsidRPr="00BC31E0">
              <w:rPr>
                <w:rFonts w:ascii="Cambria Math" w:eastAsiaTheme="minorEastAsia" w:hAnsi="Cambria Math"/>
              </w:rPr>
              <w:t>95</w:t>
            </w:r>
            <w:r w:rsidRPr="00BC31E0">
              <w:rPr>
                <w:rFonts w:asciiTheme="minorHAnsi" w:hAnsiTheme="minorHAnsi"/>
              </w:rPr>
              <w:t>°C</w:t>
            </w:r>
            <w:r w:rsidRPr="00BC31E0">
              <w:rPr>
                <w:rFonts w:asciiTheme="minorHAnsi" w:eastAsiaTheme="minorEastAsia" w:hAnsiTheme="minorHAnsi" w:hint="eastAsia"/>
              </w:rPr>
              <w:t>以上で予熱するならば，</w:t>
            </w:r>
            <w:r w:rsidRPr="00BC31E0">
              <w:rPr>
                <w:rFonts w:asciiTheme="minorHAnsi" w:eastAsiaTheme="minorEastAsia" w:hAnsiTheme="minorEastAsia" w:hint="eastAsia"/>
              </w:rPr>
              <w:t>溶接深さが</w:t>
            </w:r>
            <w:r w:rsidRPr="00BC31E0">
              <w:rPr>
                <w:rFonts w:ascii="Cambria Math" w:eastAsiaTheme="minorEastAsia" w:hAnsi="Cambria Math"/>
              </w:rPr>
              <w:t>13 mm</w:t>
            </w:r>
            <w:r w:rsidRPr="00BC31E0">
              <w:rPr>
                <w:rFonts w:asciiTheme="minorHAnsi" w:eastAsiaTheme="minorEastAsia" w:hAnsiTheme="minorEastAsia" w:hint="eastAsia"/>
              </w:rPr>
              <w:t>以下の開先溶接又は</w:t>
            </w:r>
            <w:r w:rsidRPr="00BC31E0">
              <w:rPr>
                <w:rFonts w:asciiTheme="minorHAnsi" w:eastAsiaTheme="minorEastAsia" w:hAnsiTheme="minorEastAsia"/>
              </w:rPr>
              <w:t>のど厚</w:t>
            </w:r>
            <w:r w:rsidRPr="00BC31E0">
              <w:rPr>
                <w:rFonts w:asciiTheme="minorHAnsi" w:eastAsiaTheme="minorEastAsia" w:hAnsiTheme="minorEastAsia" w:hint="eastAsia"/>
              </w:rPr>
              <w:t>が</w:t>
            </w:r>
            <w:r w:rsidRPr="00BC31E0">
              <w:rPr>
                <w:rFonts w:ascii="Cambria Math" w:eastAsiaTheme="minorEastAsia" w:hAnsi="Cambria Math"/>
              </w:rPr>
              <w:t>13 mm</w:t>
            </w:r>
            <w:r w:rsidRPr="00BC31E0">
              <w:rPr>
                <w:rFonts w:asciiTheme="minorHAnsi" w:eastAsiaTheme="minorEastAsia" w:hAnsiTheme="minorHAnsi" w:hint="eastAsia"/>
              </w:rPr>
              <w:t>以下の</w:t>
            </w:r>
            <w:r w:rsidRPr="00BC31E0">
              <w:rPr>
                <w:rFonts w:asciiTheme="minorHAnsi" w:eastAsiaTheme="minorEastAsia" w:hAnsiTheme="minorEastAsia"/>
              </w:rPr>
              <w:t>隅肉溶接</w:t>
            </w:r>
          </w:p>
          <w:p w14:paraId="75925709" w14:textId="77777777" w:rsidR="00644B5F" w:rsidRPr="00BC31E0" w:rsidRDefault="00644B5F" w:rsidP="00736130">
            <w:pPr>
              <w:numPr>
                <w:ilvl w:val="0"/>
                <w:numId w:val="162"/>
              </w:numPr>
              <w:ind w:left="1021" w:hanging="567"/>
              <w:rPr>
                <w:rFonts w:asciiTheme="minorHAnsi" w:eastAsiaTheme="minorEastAsia" w:hAnsiTheme="minorHAnsi"/>
              </w:rPr>
            </w:pPr>
            <w:r w:rsidRPr="00BC31E0">
              <w:rPr>
                <w:rFonts w:asciiTheme="minorHAnsi" w:eastAsiaTheme="minorEastAsia" w:hAnsiTheme="minorEastAsia"/>
              </w:rPr>
              <w:t>直径</w:t>
            </w:r>
            <w:r w:rsidRPr="00BC31E0">
              <w:rPr>
                <w:rFonts w:ascii="Cambria Math" w:eastAsiaTheme="minorEastAsia" w:hAnsi="Cambria Math"/>
              </w:rPr>
              <w:t>50 mm</w:t>
            </w:r>
            <w:r w:rsidRPr="00BC31E0">
              <w:rPr>
                <w:rFonts w:asciiTheme="minorHAnsi" w:eastAsiaTheme="minorEastAsia" w:hAnsiTheme="minorEastAsia"/>
              </w:rPr>
              <w:t>以下の管を管板に取付ける</w:t>
            </w:r>
            <w:r w:rsidRPr="00BC31E0">
              <w:rPr>
                <w:rFonts w:asciiTheme="minorHAnsi" w:eastAsiaTheme="minorEastAsia" w:hAnsiTheme="minorEastAsia" w:hint="eastAsia"/>
              </w:rPr>
              <w:t>場合，</w:t>
            </w:r>
            <w:r w:rsidRPr="00BC31E0">
              <w:rPr>
                <w:rFonts w:asciiTheme="minorHAnsi" w:eastAsiaTheme="minorEastAsia" w:hAnsiTheme="minorEastAsia"/>
              </w:rPr>
              <w:t>管板材料の炭素含有量が</w:t>
            </w:r>
            <w:r w:rsidRPr="00BC31E0">
              <w:rPr>
                <w:rFonts w:ascii="Cambria Math" w:eastAsiaTheme="minorEastAsia" w:hAnsi="Cambria Math"/>
              </w:rPr>
              <w:t>0.22</w:t>
            </w:r>
            <w:r w:rsidRPr="00BC31E0">
              <w:rPr>
                <w:rFonts w:ascii="Cambria Math" w:eastAsiaTheme="minorEastAsia" w:hAnsi="Cambria Math" w:hint="eastAsia"/>
              </w:rPr>
              <w:t xml:space="preserve"> </w:t>
            </w:r>
            <w:r w:rsidRPr="00BC31E0">
              <w:rPr>
                <w:rFonts w:ascii="Cambria Math" w:eastAsiaTheme="minorEastAsia" w:hAnsi="Cambria Math"/>
              </w:rPr>
              <w:t>%</w:t>
            </w:r>
            <w:r w:rsidRPr="00BC31E0">
              <w:rPr>
                <w:rFonts w:asciiTheme="minorHAnsi" w:eastAsiaTheme="minorEastAsia" w:hAnsiTheme="minorEastAsia"/>
              </w:rPr>
              <w:t>を超え，</w:t>
            </w:r>
            <w:r w:rsidRPr="00BC31E0">
              <w:rPr>
                <w:rFonts w:ascii="Cambria Math" w:eastAsiaTheme="minorEastAsia" w:hAnsi="Cambria Math"/>
              </w:rPr>
              <w:t>95</w:t>
            </w:r>
            <w:r w:rsidRPr="00BC31E0">
              <w:rPr>
                <w:rFonts w:asciiTheme="minorHAnsi" w:hAnsiTheme="minorHAnsi"/>
              </w:rPr>
              <w:t>°C</w:t>
            </w:r>
            <w:r w:rsidRPr="00BC31E0">
              <w:rPr>
                <w:rFonts w:asciiTheme="minorHAnsi" w:eastAsiaTheme="minorEastAsia" w:hAnsiTheme="minorEastAsia" w:hint="eastAsia"/>
              </w:rPr>
              <w:t>以上</w:t>
            </w:r>
            <w:r w:rsidRPr="00BC31E0">
              <w:rPr>
                <w:rFonts w:asciiTheme="minorHAnsi" w:eastAsiaTheme="minorEastAsia" w:hAnsiTheme="minorEastAsia"/>
              </w:rPr>
              <w:t>で予熱</w:t>
            </w:r>
            <w:r w:rsidRPr="00BC31E0">
              <w:rPr>
                <w:rFonts w:asciiTheme="minorHAnsi" w:eastAsiaTheme="minorEastAsia" w:hAnsiTheme="minorEastAsia" w:hint="eastAsia"/>
              </w:rPr>
              <w:t>するならば，溶接深さが</w:t>
            </w:r>
            <w:r w:rsidRPr="00BC31E0">
              <w:rPr>
                <w:rFonts w:ascii="Cambria Math" w:eastAsiaTheme="minorEastAsia" w:hAnsi="Cambria Math"/>
              </w:rPr>
              <w:t>13 mm</w:t>
            </w:r>
            <w:r w:rsidRPr="00BC31E0">
              <w:rPr>
                <w:rFonts w:asciiTheme="minorHAnsi" w:eastAsiaTheme="minorEastAsia" w:hAnsiTheme="minorEastAsia" w:hint="eastAsia"/>
              </w:rPr>
              <w:t>以下の開先溶接又は</w:t>
            </w:r>
            <w:r w:rsidRPr="00BC31E0">
              <w:rPr>
                <w:rFonts w:asciiTheme="minorHAnsi" w:eastAsiaTheme="minorEastAsia" w:hAnsiTheme="minorEastAsia"/>
              </w:rPr>
              <w:t>のど厚が</w:t>
            </w:r>
            <w:r w:rsidRPr="00BC31E0">
              <w:rPr>
                <w:rFonts w:ascii="Cambria Math" w:eastAsiaTheme="minorEastAsia" w:hAnsi="Cambria Math"/>
              </w:rPr>
              <w:t>13 mm</w:t>
            </w:r>
            <w:r w:rsidRPr="00BC31E0">
              <w:rPr>
                <w:rFonts w:asciiTheme="minorHAnsi" w:eastAsiaTheme="minorEastAsia" w:hAnsiTheme="minorEastAsia"/>
              </w:rPr>
              <w:t>以下の隅肉溶接</w:t>
            </w:r>
          </w:p>
          <w:p w14:paraId="0A21FB85" w14:textId="77777777" w:rsidR="00644B5F" w:rsidRPr="00BC31E0" w:rsidRDefault="00644B5F" w:rsidP="00736130">
            <w:pPr>
              <w:numPr>
                <w:ilvl w:val="0"/>
                <w:numId w:val="162"/>
              </w:numPr>
              <w:ind w:left="1021" w:hanging="567"/>
              <w:rPr>
                <w:rFonts w:asciiTheme="minorHAnsi" w:eastAsiaTheme="minorEastAsia" w:hAnsiTheme="minorEastAsia"/>
              </w:rPr>
            </w:pPr>
            <w:r w:rsidRPr="00BC31E0">
              <w:rPr>
                <w:rFonts w:asciiTheme="minorHAnsi" w:eastAsiaTheme="minorEastAsia" w:hAnsiTheme="minorEastAsia"/>
              </w:rPr>
              <w:t>耐圧部</w:t>
            </w:r>
            <w:r w:rsidRPr="00BC31E0">
              <w:rPr>
                <w:rFonts w:asciiTheme="minorHAnsi" w:eastAsiaTheme="minorEastAsia" w:hAnsiTheme="minorEastAsia" w:hint="eastAsia"/>
              </w:rPr>
              <w:t>材</w:t>
            </w:r>
            <w:r w:rsidRPr="00BC31E0">
              <w:rPr>
                <w:rFonts w:asciiTheme="minorHAnsi" w:eastAsiaTheme="minorEastAsia" w:hAnsiTheme="minorEastAsia"/>
              </w:rPr>
              <w:t>に非耐圧部</w:t>
            </w:r>
            <w:r w:rsidRPr="00BC31E0">
              <w:rPr>
                <w:rFonts w:asciiTheme="minorHAnsi" w:eastAsiaTheme="minorEastAsia" w:hAnsiTheme="minorEastAsia" w:hint="eastAsia"/>
              </w:rPr>
              <w:t>材</w:t>
            </w:r>
            <w:r w:rsidRPr="00BC31E0">
              <w:rPr>
                <w:rFonts w:asciiTheme="minorHAnsi" w:eastAsiaTheme="minorEastAsia" w:hAnsiTheme="minorEastAsia"/>
              </w:rPr>
              <w:t>を取付ける</w:t>
            </w:r>
            <w:r w:rsidRPr="00BC31E0">
              <w:rPr>
                <w:rFonts w:asciiTheme="minorHAnsi" w:eastAsiaTheme="minorEastAsia" w:hAnsiTheme="minorEastAsia" w:hint="eastAsia"/>
              </w:rPr>
              <w:t>場合，耐圧部材の厚さが</w:t>
            </w:r>
            <w:r w:rsidRPr="00BC31E0">
              <w:rPr>
                <w:rFonts w:ascii="Cambria Math" w:eastAsiaTheme="minorEastAsia" w:hAnsi="Cambria Math"/>
              </w:rPr>
              <w:t>32 mm</w:t>
            </w:r>
            <w:r w:rsidRPr="00BC31E0">
              <w:rPr>
                <w:rFonts w:asciiTheme="minorHAnsi" w:eastAsiaTheme="minorEastAsia" w:hAnsiTheme="minorEastAsia" w:hint="eastAsia"/>
              </w:rPr>
              <w:t>を超えるときに</w:t>
            </w:r>
            <w:r w:rsidRPr="00BC31E0">
              <w:rPr>
                <w:rFonts w:ascii="Cambria Math" w:eastAsiaTheme="minorEastAsia" w:hAnsi="Cambria Math"/>
              </w:rPr>
              <w:t>95</w:t>
            </w:r>
            <w:r w:rsidRPr="00BC31E0">
              <w:rPr>
                <w:rFonts w:asciiTheme="minorHAnsi" w:hAnsiTheme="minorHAnsi"/>
              </w:rPr>
              <w:t>°C</w:t>
            </w:r>
            <w:r w:rsidRPr="00BC31E0">
              <w:rPr>
                <w:rFonts w:asciiTheme="minorHAnsi" w:eastAsiaTheme="minorEastAsia" w:hAnsiTheme="minorEastAsia" w:hint="eastAsia"/>
              </w:rPr>
              <w:t>以上で予熱した溶接深さが</w:t>
            </w:r>
            <w:r w:rsidRPr="00BC31E0">
              <w:rPr>
                <w:rFonts w:ascii="Cambria Math" w:eastAsiaTheme="minorEastAsia" w:hAnsi="Cambria Math"/>
              </w:rPr>
              <w:t>13 mm</w:t>
            </w:r>
            <w:r w:rsidRPr="00BC31E0">
              <w:rPr>
                <w:rFonts w:asciiTheme="minorHAnsi" w:eastAsiaTheme="minorEastAsia" w:hAnsiTheme="minorEastAsia" w:hint="eastAsia"/>
              </w:rPr>
              <w:t>以下の開先溶接又は</w:t>
            </w:r>
            <w:r w:rsidRPr="00BC31E0">
              <w:rPr>
                <w:rFonts w:asciiTheme="minorHAnsi" w:eastAsiaTheme="minorEastAsia" w:hAnsiTheme="minorEastAsia"/>
              </w:rPr>
              <w:t>のど厚が</w:t>
            </w:r>
            <w:r w:rsidRPr="00BC31E0">
              <w:rPr>
                <w:rFonts w:ascii="Cambria Math" w:eastAsiaTheme="minorEastAsia" w:hAnsi="Cambria Math"/>
              </w:rPr>
              <w:t>13 mm</w:t>
            </w:r>
            <w:r w:rsidRPr="00BC31E0">
              <w:rPr>
                <w:rFonts w:asciiTheme="minorHAnsi" w:eastAsiaTheme="minorEastAsia" w:hAnsiTheme="minorEastAsia"/>
              </w:rPr>
              <w:t>以下の隅肉溶接</w:t>
            </w:r>
          </w:p>
          <w:p w14:paraId="54BACB8C" w14:textId="77777777" w:rsidR="00644B5F" w:rsidRPr="00BC31E0" w:rsidRDefault="00644B5F" w:rsidP="00736130">
            <w:pPr>
              <w:numPr>
                <w:ilvl w:val="0"/>
                <w:numId w:val="162"/>
              </w:numPr>
              <w:ind w:left="1021" w:hanging="567"/>
              <w:rPr>
                <w:rFonts w:asciiTheme="minorHAnsi" w:eastAsiaTheme="minorEastAsia" w:hAnsiTheme="minorHAnsi"/>
              </w:rPr>
            </w:pPr>
            <w:r w:rsidRPr="00BC31E0">
              <w:rPr>
                <w:rFonts w:asciiTheme="minorHAnsi" w:eastAsiaTheme="minorEastAsia" w:hAnsiTheme="minorEastAsia"/>
              </w:rPr>
              <w:t>耐圧部</w:t>
            </w:r>
            <w:r w:rsidRPr="00BC31E0">
              <w:rPr>
                <w:rFonts w:asciiTheme="minorHAnsi" w:eastAsiaTheme="minorEastAsia" w:hAnsiTheme="minorEastAsia" w:hint="eastAsia"/>
              </w:rPr>
              <w:t>材</w:t>
            </w:r>
            <w:r w:rsidRPr="00BC31E0">
              <w:rPr>
                <w:rFonts w:asciiTheme="minorHAnsi" w:eastAsiaTheme="minorEastAsia" w:hAnsiTheme="minorEastAsia"/>
              </w:rPr>
              <w:t>の厚さが</w:t>
            </w:r>
            <w:r w:rsidRPr="00BC31E0">
              <w:rPr>
                <w:rFonts w:ascii="Cambria Math" w:eastAsiaTheme="minorEastAsia" w:hAnsi="Cambria Math"/>
              </w:rPr>
              <w:t>32 mm</w:t>
            </w:r>
            <w:r w:rsidRPr="00BC31E0">
              <w:rPr>
                <w:rFonts w:asciiTheme="minorHAnsi" w:eastAsiaTheme="minorEastAsia" w:hAnsiTheme="minorEastAsia"/>
              </w:rPr>
              <w:t>を超え</w:t>
            </w:r>
            <w:r w:rsidRPr="00BC31E0">
              <w:rPr>
                <w:rFonts w:asciiTheme="minorHAnsi" w:eastAsiaTheme="minorEastAsia" w:hAnsiTheme="minorEastAsia" w:hint="eastAsia"/>
              </w:rPr>
              <w:t>る場合，</w:t>
            </w:r>
            <w:r w:rsidRPr="00BC31E0">
              <w:rPr>
                <w:rFonts w:ascii="Cambria Math" w:eastAsiaTheme="minorEastAsia" w:hAnsi="Cambria Math"/>
              </w:rPr>
              <w:t>95</w:t>
            </w:r>
            <w:r w:rsidRPr="00BC31E0">
              <w:rPr>
                <w:rFonts w:asciiTheme="minorHAnsi" w:hAnsiTheme="minorHAnsi"/>
              </w:rPr>
              <w:t>°C</w:t>
            </w:r>
            <w:r w:rsidRPr="00BC31E0">
              <w:rPr>
                <w:rFonts w:asciiTheme="minorHAnsi" w:eastAsiaTheme="minorEastAsia" w:hAnsiTheme="minorEastAsia" w:hint="eastAsia"/>
              </w:rPr>
              <w:t>以上</w:t>
            </w:r>
            <w:r w:rsidRPr="00BC31E0">
              <w:rPr>
                <w:rFonts w:asciiTheme="minorHAnsi" w:eastAsiaTheme="minorEastAsia" w:hAnsiTheme="minorEastAsia"/>
              </w:rPr>
              <w:t>で予熱</w:t>
            </w:r>
            <w:r w:rsidRPr="00BC31E0">
              <w:rPr>
                <w:rFonts w:asciiTheme="minorHAnsi" w:eastAsiaTheme="minorEastAsia" w:hAnsiTheme="minorEastAsia" w:hint="eastAsia"/>
              </w:rPr>
              <w:t>する</w:t>
            </w:r>
            <w:r w:rsidRPr="00BC31E0">
              <w:rPr>
                <w:rFonts w:asciiTheme="minorHAnsi" w:eastAsiaTheme="minorEastAsia" w:hAnsiTheme="minorEastAsia"/>
              </w:rPr>
              <w:t>耐圧部</w:t>
            </w:r>
            <w:r w:rsidRPr="00BC31E0">
              <w:rPr>
                <w:rFonts w:asciiTheme="minorHAnsi" w:eastAsiaTheme="minorEastAsia" w:hAnsiTheme="minorEastAsia" w:hint="eastAsia"/>
              </w:rPr>
              <w:t>材の</w:t>
            </w:r>
            <w:r w:rsidRPr="00BC31E0">
              <w:rPr>
                <w:rFonts w:asciiTheme="minorHAnsi" w:eastAsiaTheme="minorEastAsia" w:hAnsiTheme="minorEastAsia"/>
              </w:rPr>
              <w:t>スタッド</w:t>
            </w:r>
            <w:r w:rsidRPr="00BC31E0">
              <w:rPr>
                <w:rFonts w:asciiTheme="minorHAnsi" w:eastAsiaTheme="minorEastAsia" w:hAnsiTheme="minorEastAsia" w:hint="eastAsia"/>
              </w:rPr>
              <w:t>溶接</w:t>
            </w:r>
          </w:p>
          <w:p w14:paraId="1D1F9679" w14:textId="77777777" w:rsidR="00644B5F" w:rsidRPr="00BC31E0" w:rsidRDefault="00644B5F" w:rsidP="00736130">
            <w:pPr>
              <w:numPr>
                <w:ilvl w:val="0"/>
                <w:numId w:val="162"/>
              </w:numPr>
              <w:ind w:left="1021" w:hanging="567"/>
              <w:rPr>
                <w:rFonts w:asciiTheme="minorHAnsi" w:eastAsiaTheme="minorEastAsia" w:hAnsiTheme="minorHAnsi"/>
              </w:rPr>
            </w:pPr>
            <w:r w:rsidRPr="00BC31E0">
              <w:rPr>
                <w:rFonts w:asciiTheme="minorHAnsi" w:eastAsiaTheme="minorEastAsia" w:hAnsiTheme="minorEastAsia"/>
              </w:rPr>
              <w:t>耐圧部</w:t>
            </w:r>
            <w:r w:rsidRPr="00BC31E0">
              <w:rPr>
                <w:rFonts w:asciiTheme="minorHAnsi" w:eastAsiaTheme="minorEastAsia" w:hAnsiTheme="minorEastAsia" w:hint="eastAsia"/>
              </w:rPr>
              <w:t>材</w:t>
            </w:r>
            <w:r w:rsidRPr="00BC31E0">
              <w:rPr>
                <w:rFonts w:asciiTheme="minorHAnsi" w:eastAsiaTheme="minorEastAsia" w:hAnsiTheme="minorEastAsia"/>
              </w:rPr>
              <w:t>の厚さが</w:t>
            </w:r>
            <w:r w:rsidRPr="00BC31E0">
              <w:rPr>
                <w:rFonts w:ascii="Cambria Math" w:eastAsiaTheme="minorEastAsia" w:hAnsi="Cambria Math"/>
              </w:rPr>
              <w:t>32 mm</w:t>
            </w:r>
            <w:r w:rsidRPr="00BC31E0">
              <w:rPr>
                <w:rFonts w:asciiTheme="minorHAnsi" w:eastAsiaTheme="minorEastAsia" w:hAnsiTheme="minorEastAsia"/>
              </w:rPr>
              <w:t>を超え</w:t>
            </w:r>
            <w:r w:rsidRPr="00BC31E0">
              <w:rPr>
                <w:rFonts w:asciiTheme="minorHAnsi" w:eastAsiaTheme="minorEastAsia" w:hAnsiTheme="minorEastAsia" w:hint="eastAsia"/>
              </w:rPr>
              <w:t>る場合，</w:t>
            </w:r>
            <w:r w:rsidRPr="00BC31E0">
              <w:rPr>
                <w:rFonts w:asciiTheme="minorHAnsi" w:eastAsiaTheme="minorEastAsia" w:hAnsiTheme="minorEastAsia"/>
              </w:rPr>
              <w:t>初層の溶接で</w:t>
            </w:r>
            <w:r w:rsidRPr="00BC31E0">
              <w:rPr>
                <w:rFonts w:ascii="Cambria Math" w:eastAsiaTheme="minorEastAsia" w:hAnsi="Cambria Math"/>
              </w:rPr>
              <w:t>95</w:t>
            </w:r>
            <w:r w:rsidRPr="00BC31E0">
              <w:rPr>
                <w:rFonts w:asciiTheme="minorHAnsi" w:hAnsiTheme="minorHAnsi"/>
              </w:rPr>
              <w:t>°C</w:t>
            </w:r>
            <w:r w:rsidRPr="00BC31E0">
              <w:rPr>
                <w:rFonts w:asciiTheme="minorHAnsi" w:eastAsiaTheme="minorEastAsia" w:hAnsiTheme="minorEastAsia" w:hint="eastAsia"/>
              </w:rPr>
              <w:t>以上の温度</w:t>
            </w:r>
            <w:r w:rsidRPr="00BC31E0">
              <w:rPr>
                <w:rFonts w:asciiTheme="minorHAnsi" w:eastAsiaTheme="minorEastAsia" w:hAnsiTheme="minorEastAsia"/>
              </w:rPr>
              <w:t>が</w:t>
            </w:r>
            <w:r w:rsidRPr="00BC31E0">
              <w:rPr>
                <w:rFonts w:asciiTheme="minorHAnsi" w:eastAsiaTheme="minorEastAsia" w:hAnsiTheme="minorEastAsia" w:hint="eastAsia"/>
              </w:rPr>
              <w:t>保持</w:t>
            </w:r>
            <w:r w:rsidRPr="00BC31E0">
              <w:rPr>
                <w:rFonts w:asciiTheme="minorHAnsi" w:eastAsiaTheme="minorEastAsia" w:hAnsiTheme="minorEastAsia"/>
              </w:rPr>
              <w:t>される耐食</w:t>
            </w:r>
            <w:r w:rsidRPr="00BC31E0">
              <w:rPr>
                <w:rFonts w:asciiTheme="minorHAnsi" w:eastAsiaTheme="minorEastAsia" w:hAnsiTheme="minorEastAsia" w:hint="eastAsia"/>
              </w:rPr>
              <w:t>肉盛</w:t>
            </w:r>
            <w:r w:rsidRPr="00BC31E0">
              <w:rPr>
                <w:rFonts w:asciiTheme="minorHAnsi" w:eastAsiaTheme="minorEastAsia" w:hAnsiTheme="minorEastAsia"/>
              </w:rPr>
              <w:t>溶接又は耐食ライニング溶接</w:t>
            </w:r>
          </w:p>
          <w:p w14:paraId="5FDC66EA" w14:textId="77777777" w:rsidR="00644B5F" w:rsidRPr="00BC31E0" w:rsidRDefault="00644B5F" w:rsidP="00AF70F6">
            <w:pPr>
              <w:numPr>
                <w:ilvl w:val="0"/>
                <w:numId w:val="159"/>
              </w:numPr>
              <w:ind w:left="340" w:hanging="340"/>
              <w:rPr>
                <w:rFonts w:asciiTheme="minorHAnsi" w:eastAsiaTheme="minorEastAsia" w:hAnsiTheme="minorEastAsia"/>
              </w:rPr>
            </w:pPr>
            <w:r w:rsidRPr="00BC31E0">
              <w:rPr>
                <w:rFonts w:asciiTheme="minorHAnsi" w:eastAsiaTheme="minorEastAsia" w:hAnsiTheme="minorEastAsia"/>
              </w:rPr>
              <w:t>規定</w:t>
            </w:r>
            <w:r w:rsidRPr="00BC31E0">
              <w:rPr>
                <w:rFonts w:asciiTheme="minorHAnsi" w:eastAsiaTheme="minorEastAsia" w:hAnsiTheme="minorEastAsia" w:hint="eastAsia"/>
              </w:rPr>
              <w:t>の保持</w:t>
            </w:r>
            <w:r w:rsidRPr="00BC31E0">
              <w:rPr>
                <w:rFonts w:asciiTheme="minorHAnsi" w:eastAsiaTheme="minorEastAsia" w:hAnsiTheme="minorEastAsia"/>
              </w:rPr>
              <w:t>温度で溶接後熱処理ができない場合には，より低い</w:t>
            </w:r>
            <w:r w:rsidRPr="00BC31E0">
              <w:rPr>
                <w:rFonts w:asciiTheme="minorHAnsi" w:eastAsiaTheme="minorEastAsia" w:hAnsiTheme="minorEastAsia" w:hint="eastAsia"/>
              </w:rPr>
              <w:t>保持</w:t>
            </w:r>
            <w:r w:rsidRPr="00BC31E0">
              <w:rPr>
                <w:rFonts w:asciiTheme="minorHAnsi" w:eastAsiaTheme="minorEastAsia" w:hAnsiTheme="minorEastAsia"/>
              </w:rPr>
              <w:t>温度</w:t>
            </w:r>
            <w:r w:rsidRPr="00BC31E0">
              <w:rPr>
                <w:rFonts w:asciiTheme="minorHAnsi" w:eastAsiaTheme="minorEastAsia" w:hAnsiTheme="minorEastAsia" w:hint="eastAsia"/>
              </w:rPr>
              <w:t>で，</w:t>
            </w:r>
            <w:r w:rsidRPr="00BC31E0">
              <w:rPr>
                <w:rFonts w:asciiTheme="majorEastAsia" w:eastAsiaTheme="majorEastAsia" w:hAnsiTheme="majorEastAsia" w:hint="eastAsia"/>
                <w:b/>
              </w:rPr>
              <w:t>表7.4.18</w:t>
            </w:r>
            <w:r w:rsidRPr="00BC31E0">
              <w:rPr>
                <w:rFonts w:asciiTheme="minorHAnsi" w:eastAsiaTheme="minorEastAsia" w:hAnsiTheme="minorEastAsia"/>
              </w:rPr>
              <w:t>に</w:t>
            </w:r>
            <w:r w:rsidRPr="00BC31E0">
              <w:rPr>
                <w:rFonts w:asciiTheme="minorHAnsi" w:eastAsiaTheme="minorEastAsia" w:hAnsiTheme="minorEastAsia" w:hint="eastAsia"/>
              </w:rPr>
              <w:t>示す</w:t>
            </w:r>
            <w:r w:rsidRPr="00BC31E0">
              <w:rPr>
                <w:rFonts w:asciiTheme="minorHAnsi" w:eastAsiaTheme="minorEastAsia" w:hAnsiTheme="minorEastAsia"/>
              </w:rPr>
              <w:t>保持時間</w:t>
            </w:r>
            <w:r w:rsidRPr="00BC31E0">
              <w:rPr>
                <w:rFonts w:asciiTheme="minorHAnsi" w:eastAsiaTheme="minorEastAsia" w:hAnsiTheme="minorEastAsia" w:hint="eastAsia"/>
              </w:rPr>
              <w:t>で溶接後熱処理を</w:t>
            </w:r>
            <w:r w:rsidR="00AF70F6" w:rsidRPr="00BC31E0">
              <w:rPr>
                <w:rFonts w:asciiTheme="minorHAnsi" w:eastAsiaTheme="minorEastAsia" w:hAnsiTheme="minorEastAsia" w:hint="eastAsia"/>
              </w:rPr>
              <w:t>行ってもよい</w:t>
            </w:r>
            <w:r w:rsidRPr="00BC31E0">
              <w:rPr>
                <w:rFonts w:asciiTheme="minorHAnsi" w:eastAsiaTheme="minorEastAsia" w:hAnsiTheme="minorEastAsia"/>
              </w:rPr>
              <w:t>。</w:t>
            </w:r>
          </w:p>
        </w:tc>
        <w:tc>
          <w:tcPr>
            <w:tcW w:w="2126" w:type="dxa"/>
          </w:tcPr>
          <w:p w14:paraId="2564F960" w14:textId="77777777" w:rsidR="00644B5F" w:rsidRPr="00BC31E0" w:rsidRDefault="00A51873" w:rsidP="00644B5F">
            <w:pPr>
              <w:rPr>
                <w:rFonts w:asciiTheme="minorHAnsi" w:eastAsiaTheme="minorEastAsia" w:hAnsiTheme="minorHAnsi"/>
              </w:rPr>
            </w:pPr>
            <m:oMath>
              <m:sSub>
                <m:sSubPr>
                  <m:ctrlPr>
                    <w:rPr>
                      <w:rFonts w:ascii="Cambria Math" w:eastAsiaTheme="minorEastAsia" w:hAnsi="Cambria Math"/>
                    </w:rPr>
                  </m:ctrlPr>
                </m:sSubPr>
                <m:e>
                  <m:r>
                    <w:rPr>
                      <w:rFonts w:ascii="Cambria Math" w:eastAsiaTheme="minorEastAsia" w:hAnsi="Cambria Math"/>
                    </w:rPr>
                    <m:t>t</m:t>
                  </m:r>
                </m:e>
                <m:sub>
                  <m:r>
                    <w:rPr>
                      <w:rFonts w:ascii="Cambria Math" w:eastAsiaTheme="minorEastAsia" w:hAnsi="Cambria Math"/>
                    </w:rPr>
                    <m:t>n</m:t>
                  </m:r>
                </m:sub>
              </m:sSub>
              <m:r>
                <w:rPr>
                  <w:rFonts w:ascii="Cambria Math" w:eastAsiaTheme="minorEastAsia" w:hAnsi="Cambria Math" w:hint="eastAsia"/>
                </w:rPr>
                <m:t>≦</m:t>
              </m:r>
              <m:r>
                <w:rPr>
                  <w:rFonts w:ascii="Cambria Math" w:eastAsiaTheme="minorEastAsia" w:hAnsi="Cambria Math"/>
                </w:rPr>
                <m:t xml:space="preserve">50 </m:t>
              </m:r>
            </m:oMath>
            <w:r w:rsidR="00644B5F" w:rsidRPr="00BC31E0">
              <w:rPr>
                <w:rFonts w:ascii="Cambria Math" w:eastAsiaTheme="minorEastAsia" w:hAnsi="Cambria Math"/>
              </w:rPr>
              <w:t>mm</w:t>
            </w:r>
          </w:p>
          <w:p w14:paraId="2DBF8D9A" w14:textId="77777777" w:rsidR="00644B5F" w:rsidRPr="00BC31E0" w:rsidRDefault="00644B5F" w:rsidP="00644B5F">
            <w:pPr>
              <w:ind w:left="170"/>
              <w:rPr>
                <w:rFonts w:ascii="Cambria Math" w:eastAsiaTheme="minorEastAsia" w:hAnsi="Cambria Math"/>
              </w:rPr>
            </w:pPr>
            <w:r w:rsidRPr="00BC31E0">
              <w:rPr>
                <w:rFonts w:ascii="Cambria Math" w:eastAsiaTheme="minorEastAsia" w:hAnsi="Cambria Math"/>
              </w:rPr>
              <w:t>595</w:t>
            </w:r>
            <w:r w:rsidRPr="00BC31E0">
              <w:rPr>
                <w:rFonts w:asciiTheme="minorHAnsi" w:hAnsiTheme="minorHAnsi"/>
              </w:rPr>
              <w:t>°C</w:t>
            </w:r>
          </w:p>
          <w:p w14:paraId="28A8097D" w14:textId="77777777" w:rsidR="00644B5F" w:rsidRPr="00BC31E0" w:rsidRDefault="00A51873" w:rsidP="00644B5F">
            <w:pPr>
              <w:spacing w:line="360" w:lineRule="atLeast"/>
              <w:ind w:left="170"/>
              <w:rPr>
                <w:rFonts w:asciiTheme="minorHAnsi" w:eastAsiaTheme="minorEastAsia" w:hAnsiTheme="minorHAnsi" w:cstheme="minorBidi"/>
              </w:rPr>
            </w:pPr>
            <m:oMathPara>
              <m:oMathParaPr>
                <m:jc m:val="left"/>
              </m:oMathParaPr>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n</m:t>
                        </m:r>
                      </m:sub>
                    </m:sSub>
                  </m:num>
                  <m:den>
                    <m:r>
                      <w:rPr>
                        <w:rFonts w:ascii="Cambria Math" w:eastAsiaTheme="minorEastAsia" w:hAnsi="Cambria Math"/>
                      </w:rPr>
                      <m:t>25</m:t>
                    </m:r>
                  </m:den>
                </m:f>
                <m:r>
                  <w:rPr>
                    <w:rFonts w:ascii="Cambria Math" w:eastAsiaTheme="minorEastAsia" w:hAnsi="Cambria Math"/>
                  </w:rPr>
                  <m:t xml:space="preserve"> </m:t>
                </m:r>
                <m:r>
                  <m:rPr>
                    <m:sty m:val="p"/>
                  </m:rPr>
                  <w:rPr>
                    <w:rFonts w:ascii="Cambria Math" w:eastAsiaTheme="minorEastAsia" w:hAnsi="Cambria Math"/>
                  </w:rPr>
                  <m:t>h</m:t>
                </m:r>
              </m:oMath>
            </m:oMathPara>
          </w:p>
          <w:p w14:paraId="5180D142" w14:textId="77777777" w:rsidR="00644B5F" w:rsidRPr="00BC31E0" w:rsidRDefault="00644B5F" w:rsidP="00644B5F">
            <w:pPr>
              <w:ind w:left="170"/>
              <w:rPr>
                <w:rFonts w:asciiTheme="minorHAnsi" w:eastAsiaTheme="minorEastAsia" w:hAnsiTheme="minorHAnsi"/>
              </w:rPr>
            </w:pPr>
            <w:r w:rsidRPr="00BC31E0">
              <w:rPr>
                <w:rFonts w:asciiTheme="minorHAnsi" w:eastAsiaTheme="minorEastAsia" w:hAnsiTheme="minorEastAsia"/>
              </w:rPr>
              <w:t>最小</w:t>
            </w:r>
            <w:r w:rsidRPr="00BC31E0">
              <w:rPr>
                <w:rFonts w:ascii="Cambria Math" w:eastAsiaTheme="minorEastAsia" w:hAnsi="Cambria Math"/>
              </w:rPr>
              <w:t>0.25 h</w:t>
            </w:r>
          </w:p>
          <w:p w14:paraId="55E8AA71" w14:textId="77777777" w:rsidR="00644B5F" w:rsidRPr="00BC31E0" w:rsidRDefault="00644B5F" w:rsidP="00644B5F">
            <w:pPr>
              <w:rPr>
                <w:rFonts w:asciiTheme="minorHAnsi" w:eastAsiaTheme="minorEastAsia" w:hAnsiTheme="minorHAnsi"/>
              </w:rPr>
            </w:pPr>
          </w:p>
          <w:p w14:paraId="59DF863E" w14:textId="77777777" w:rsidR="00644B5F" w:rsidRPr="00BC31E0" w:rsidRDefault="00A51873" w:rsidP="00644B5F">
            <w:pPr>
              <w:rPr>
                <w:rFonts w:asciiTheme="minorHAnsi" w:eastAsiaTheme="minorEastAsia" w:hAnsiTheme="minorHAnsi"/>
              </w:rPr>
            </w:pPr>
            <m:oMath>
              <m:sSub>
                <m:sSubPr>
                  <m:ctrlPr>
                    <w:rPr>
                      <w:rFonts w:ascii="Cambria Math" w:eastAsiaTheme="minorEastAsia" w:hAnsiTheme="minorHAnsi"/>
                    </w:rPr>
                  </m:ctrlPr>
                </m:sSubPr>
                <m:e>
                  <m:r>
                    <w:rPr>
                      <w:rFonts w:ascii="Cambria Math" w:eastAsiaTheme="minorEastAsia" w:hAnsiTheme="minorHAnsi"/>
                    </w:rPr>
                    <m:t>50&lt;</m:t>
                  </m:r>
                  <m:r>
                    <w:rPr>
                      <w:rFonts w:ascii="Cambria Math" w:eastAsiaTheme="minorEastAsia" w:hAnsi="Cambria Math"/>
                    </w:rPr>
                    <m:t>t</m:t>
                  </m:r>
                </m:e>
                <m:sub>
                  <m:r>
                    <w:rPr>
                      <w:rFonts w:ascii="Cambria Math" w:eastAsiaTheme="minorEastAsia" w:hAnsiTheme="minorHAnsi"/>
                    </w:rPr>
                    <m:t>n</m:t>
                  </m:r>
                </m:sub>
              </m:sSub>
              <m:r>
                <w:rPr>
                  <w:rFonts w:ascii="Cambria Math" w:eastAsiaTheme="minorEastAsia" w:hAnsi="Cambria Math" w:hint="eastAsia"/>
                </w:rPr>
                <m:t>≦</m:t>
              </m:r>
              <m:r>
                <w:rPr>
                  <w:rFonts w:ascii="Cambria Math" w:eastAsiaTheme="minorEastAsia" w:hAnsiTheme="minorHAnsi"/>
                </w:rPr>
                <m:t xml:space="preserve">125 </m:t>
              </m:r>
            </m:oMath>
            <w:r w:rsidR="00644B5F" w:rsidRPr="00BC31E0">
              <w:rPr>
                <w:rFonts w:ascii="Cambria Math" w:eastAsiaTheme="minorEastAsia" w:hAnsi="Cambria Math"/>
              </w:rPr>
              <w:t>mm</w:t>
            </w:r>
          </w:p>
          <w:p w14:paraId="6F2DE684" w14:textId="77777777" w:rsidR="00644B5F" w:rsidRPr="00BC31E0" w:rsidRDefault="00644B5F" w:rsidP="00644B5F">
            <w:pPr>
              <w:ind w:left="170"/>
              <w:rPr>
                <w:rFonts w:ascii="Cambria Math" w:eastAsiaTheme="minorEastAsia" w:hAnsi="Cambria Math"/>
              </w:rPr>
            </w:pPr>
            <w:r w:rsidRPr="00BC31E0">
              <w:rPr>
                <w:rFonts w:ascii="Cambria Math" w:eastAsiaTheme="minorEastAsia" w:hAnsi="Cambria Math"/>
              </w:rPr>
              <w:t>595</w:t>
            </w:r>
            <w:r w:rsidRPr="00BC31E0">
              <w:rPr>
                <w:rFonts w:asciiTheme="minorHAnsi" w:hAnsiTheme="minorHAnsi"/>
              </w:rPr>
              <w:t>°C</w:t>
            </w:r>
          </w:p>
          <w:tbl>
            <w:tblPr>
              <w:tblStyle w:val="100"/>
              <w:tblW w:w="0" w:type="auto"/>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5"/>
            </w:tblGrid>
            <w:tr w:rsidR="00644B5F" w:rsidRPr="00BC31E0" w14:paraId="197DA58F" w14:textId="77777777" w:rsidTr="004736F2">
              <w:tc>
                <w:tcPr>
                  <w:tcW w:w="0" w:type="auto"/>
                  <w:tcMar>
                    <w:left w:w="0" w:type="dxa"/>
                    <w:right w:w="0" w:type="dxa"/>
                  </w:tcMar>
                  <w:vAlign w:val="center"/>
                </w:tcPr>
                <w:p w14:paraId="4EF148AB" w14:textId="77777777" w:rsidR="00644B5F" w:rsidRPr="00BC31E0" w:rsidRDefault="00644B5F" w:rsidP="00644B5F">
                  <w:pPr>
                    <w:rPr>
                      <w:rFonts w:asciiTheme="minorHAnsi" w:eastAsiaTheme="minorEastAsia" w:hAnsiTheme="minorHAnsi"/>
                      <w:i/>
                    </w:rPr>
                  </w:pPr>
                  <m:oMathPara>
                    <m:oMathParaPr>
                      <m:jc m:val="left"/>
                    </m:oMathParaPr>
                    <m:oMath>
                      <m:r>
                        <w:rPr>
                          <w:rFonts w:ascii="Cambria Math" w:eastAsiaTheme="minorEastAsia" w:hAnsi="Cambria Math"/>
                        </w:rPr>
                        <m:t>2+</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n</m:t>
                              </m:r>
                            </m:sub>
                          </m:sSub>
                          <m:r>
                            <w:rPr>
                              <w:rFonts w:ascii="Cambria Math" w:eastAsiaTheme="minorEastAsia" w:hAnsi="Cambria Math"/>
                            </w:rPr>
                            <m:t>-50</m:t>
                          </m:r>
                        </m:num>
                        <m:den>
                          <m:r>
                            <w:rPr>
                              <w:rFonts w:ascii="Cambria Math" w:eastAsiaTheme="minorEastAsia" w:hAnsi="Cambria Math"/>
                            </w:rPr>
                            <m:t>100</m:t>
                          </m:r>
                        </m:den>
                      </m:f>
                      <m:r>
                        <w:rPr>
                          <w:rFonts w:ascii="Cambria Math" w:eastAsiaTheme="minorEastAsia" w:hAnsi="Cambria Math"/>
                        </w:rPr>
                        <m:t xml:space="preserve"> </m:t>
                      </m:r>
                      <m:r>
                        <m:rPr>
                          <m:sty m:val="p"/>
                        </m:rPr>
                        <w:rPr>
                          <w:rFonts w:ascii="Cambria Math" w:eastAsiaTheme="minorEastAsia" w:hAnsi="Cambria Math"/>
                        </w:rPr>
                        <m:t>h</m:t>
                      </m:r>
                    </m:oMath>
                  </m:oMathPara>
                </w:p>
              </w:tc>
            </w:tr>
          </w:tbl>
          <w:p w14:paraId="044525D6" w14:textId="77777777" w:rsidR="00644B5F" w:rsidRPr="00BC31E0" w:rsidRDefault="00644B5F" w:rsidP="00644B5F">
            <w:pPr>
              <w:rPr>
                <w:rFonts w:asciiTheme="minorHAnsi" w:eastAsiaTheme="minorEastAsia" w:hAnsiTheme="minorHAnsi"/>
              </w:rPr>
            </w:pPr>
          </w:p>
          <w:p w14:paraId="6BC92FC6" w14:textId="77777777" w:rsidR="00644B5F" w:rsidRPr="00BC31E0" w:rsidRDefault="00A51873" w:rsidP="00644B5F">
            <w:pPr>
              <w:rPr>
                <w:rFonts w:asciiTheme="minorHAnsi" w:eastAsiaTheme="minorEastAsia" w:hAnsiTheme="minorHAnsi"/>
              </w:rPr>
            </w:pPr>
            <m:oMath>
              <m:sSub>
                <m:sSubPr>
                  <m:ctrlPr>
                    <w:rPr>
                      <w:rFonts w:ascii="Cambria Math" w:eastAsiaTheme="minorEastAsia" w:hAnsi="Cambria Math"/>
                    </w:rPr>
                  </m:ctrlPr>
                </m:sSubPr>
                <m:e>
                  <m:r>
                    <w:rPr>
                      <w:rFonts w:ascii="Cambria Math" w:eastAsiaTheme="minorEastAsia" w:hAnsi="Cambria Math"/>
                    </w:rPr>
                    <m:t>t</m:t>
                  </m:r>
                </m:e>
                <m:sub>
                  <m:r>
                    <w:rPr>
                      <w:rFonts w:ascii="Cambria Math" w:eastAsiaTheme="minorEastAsia" w:hAnsi="Cambria Math"/>
                    </w:rPr>
                    <m:t>n</m:t>
                  </m:r>
                </m:sub>
              </m:sSub>
              <m:r>
                <w:rPr>
                  <w:rFonts w:ascii="Cambria Math" w:eastAsiaTheme="minorEastAsia" w:hAnsi="Cambria Math"/>
                </w:rPr>
                <m:t xml:space="preserve">&gt;125 </m:t>
              </m:r>
            </m:oMath>
            <w:r w:rsidR="00644B5F" w:rsidRPr="00BC31E0">
              <w:rPr>
                <w:rFonts w:ascii="Cambria Math" w:eastAsiaTheme="minorEastAsia" w:hAnsi="Cambria Math"/>
              </w:rPr>
              <w:t>mm</w:t>
            </w:r>
          </w:p>
          <w:p w14:paraId="203A9F24" w14:textId="77777777" w:rsidR="00644B5F" w:rsidRPr="00BC31E0" w:rsidRDefault="00644B5F" w:rsidP="00644B5F">
            <w:pPr>
              <w:ind w:left="170"/>
              <w:rPr>
                <w:rFonts w:ascii="Cambria Math" w:eastAsiaTheme="minorEastAsia" w:hAnsi="Cambria Math"/>
              </w:rPr>
            </w:pPr>
            <w:r w:rsidRPr="00BC31E0">
              <w:rPr>
                <w:rFonts w:ascii="Cambria Math" w:eastAsiaTheme="minorEastAsia" w:hAnsi="Cambria Math"/>
              </w:rPr>
              <w:t>595</w:t>
            </w:r>
            <w:r w:rsidRPr="00BC31E0">
              <w:rPr>
                <w:rFonts w:asciiTheme="minorHAnsi" w:hAnsiTheme="minorHAnsi"/>
              </w:rPr>
              <w:t>°C</w:t>
            </w:r>
          </w:p>
          <w:p w14:paraId="03F7E440" w14:textId="77777777" w:rsidR="00644B5F" w:rsidRPr="00BC31E0" w:rsidRDefault="00644B5F" w:rsidP="00644B5F">
            <w:pPr>
              <w:spacing w:line="360" w:lineRule="atLeast"/>
              <w:ind w:left="170"/>
              <w:rPr>
                <w:rFonts w:asciiTheme="minorHAnsi" w:eastAsiaTheme="minorEastAsia" w:hAnsiTheme="minorHAnsi" w:cstheme="minorBidi"/>
              </w:rPr>
            </w:pPr>
            <m:oMathPara>
              <m:oMathParaPr>
                <m:jc m:val="left"/>
              </m:oMathParaPr>
              <m:oMath>
                <m:r>
                  <w:rPr>
                    <w:rFonts w:ascii="Cambria Math" w:eastAsiaTheme="minorEastAsia" w:hAnsi="Cambria Math"/>
                  </w:rPr>
                  <m:t>2+</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n</m:t>
                        </m:r>
                      </m:sub>
                    </m:sSub>
                    <m:r>
                      <w:rPr>
                        <w:rFonts w:ascii="Cambria Math" w:eastAsiaTheme="minorEastAsia" w:hAnsi="Cambria Math"/>
                      </w:rPr>
                      <m:t>-50</m:t>
                    </m:r>
                  </m:num>
                  <m:den>
                    <m:r>
                      <w:rPr>
                        <w:rFonts w:ascii="Cambria Math" w:eastAsiaTheme="minorEastAsia" w:hAnsi="Cambria Math"/>
                      </w:rPr>
                      <m:t>100</m:t>
                    </m:r>
                  </m:den>
                </m:f>
                <m:r>
                  <w:rPr>
                    <w:rFonts w:ascii="Cambria Math" w:eastAsiaTheme="minorEastAsia" w:hAnsi="Cambria Math"/>
                  </w:rPr>
                  <m:t xml:space="preserve"> </m:t>
                </m:r>
                <m:r>
                  <m:rPr>
                    <m:sty m:val="p"/>
                  </m:rPr>
                  <w:rPr>
                    <w:rFonts w:ascii="Cambria Math" w:eastAsiaTheme="minorEastAsia" w:hAnsi="Cambria Math"/>
                  </w:rPr>
                  <m:t>h</m:t>
                </m:r>
              </m:oMath>
            </m:oMathPara>
          </w:p>
          <w:p w14:paraId="57FC1941" w14:textId="77777777" w:rsidR="00644B5F" w:rsidRPr="00BC31E0" w:rsidRDefault="00644B5F" w:rsidP="00644B5F">
            <w:pPr>
              <w:rPr>
                <w:rFonts w:asciiTheme="minorHAnsi" w:eastAsiaTheme="minorEastAsia" w:hAnsiTheme="minorHAnsi"/>
              </w:rPr>
            </w:pPr>
          </w:p>
        </w:tc>
      </w:tr>
    </w:tbl>
    <w:p w14:paraId="2A29CCE5" w14:textId="77777777" w:rsidR="00644B5F" w:rsidRPr="00BC31E0" w:rsidRDefault="00644B5F" w:rsidP="00644B5F">
      <w:pPr>
        <w:spacing w:before="60"/>
        <w:rPr>
          <w:rFonts w:asciiTheme="minorHAnsi" w:eastAsiaTheme="minorEastAsia" w:hAnsiTheme="minorHAnsi"/>
        </w:rPr>
      </w:pPr>
      <w:r w:rsidRPr="00BC31E0">
        <w:rPr>
          <w:rFonts w:asciiTheme="majorEastAsia" w:eastAsiaTheme="majorEastAsia" w:hAnsiTheme="majorEastAsia" w:hint="eastAsia"/>
          <w:b/>
        </w:rPr>
        <w:t>注記</w:t>
      </w:r>
      <w:r w:rsidRPr="00BC31E0">
        <w:rPr>
          <w:rFonts w:asciiTheme="minorHAnsi" w:eastAsiaTheme="minorEastAsia" w:hAnsiTheme="minorHAnsi" w:hint="eastAsia"/>
        </w:rPr>
        <w:t xml:space="preserve">　</w:t>
      </w:r>
      <m:oMath>
        <m:sSub>
          <m:sSubPr>
            <m:ctrlPr>
              <w:rPr>
                <w:rFonts w:ascii="Cambria Math" w:eastAsiaTheme="minorEastAsia" w:hAnsi="Cambria Math"/>
              </w:rPr>
            </m:ctrlPr>
          </m:sSubPr>
          <m:e>
            <m:r>
              <w:rPr>
                <w:rFonts w:ascii="Cambria Math" w:eastAsiaTheme="minorEastAsia" w:hAnsi="Cambria Math" w:hint="eastAsia"/>
              </w:rPr>
              <m:t>t</m:t>
            </m:r>
          </m:e>
          <m:sub>
            <m:r>
              <w:rPr>
                <w:rFonts w:ascii="Cambria Math" w:eastAsiaTheme="minorEastAsia" w:hAnsi="Cambria Math"/>
              </w:rPr>
              <m:t xml:space="preserve">n </m:t>
            </m:r>
          </m:sub>
        </m:sSub>
      </m:oMath>
      <w:r w:rsidRPr="00BC31E0">
        <w:rPr>
          <w:rFonts w:asciiTheme="minorHAnsi" w:eastAsiaTheme="minorEastAsia" w:hAnsiTheme="minorHAnsi" w:hint="eastAsia"/>
        </w:rPr>
        <w:t>は，</w:t>
      </w:r>
      <w:r w:rsidRPr="00BC31E0">
        <w:rPr>
          <w:rFonts w:asciiTheme="majorEastAsia" w:eastAsiaTheme="majorEastAsia" w:hAnsiTheme="majorEastAsia" w:hint="eastAsia"/>
          <w:b/>
        </w:rPr>
        <w:t>7.4.1 b) 4)</w:t>
      </w:r>
      <w:r w:rsidRPr="00BC31E0">
        <w:rPr>
          <w:rFonts w:asciiTheme="minorHAnsi" w:eastAsiaTheme="minorEastAsia" w:hAnsiTheme="minorHAnsi" w:hint="eastAsia"/>
        </w:rPr>
        <w:t>に規定する公称厚さ</w:t>
      </w:r>
      <w:r w:rsidRPr="00BC31E0">
        <w:rPr>
          <w:rFonts w:asciiTheme="minorHAnsi" w:eastAsiaTheme="minorEastAsia" w:hAnsiTheme="minorHAnsi" w:hint="eastAsia"/>
        </w:rPr>
        <w:t>(</w:t>
      </w:r>
      <w:r w:rsidRPr="00BC31E0">
        <w:rPr>
          <w:rFonts w:ascii="Cambria Math" w:eastAsiaTheme="minorEastAsia" w:hAnsi="Cambria Math"/>
        </w:rPr>
        <w:t>mm</w:t>
      </w:r>
      <w:r w:rsidRPr="00BC31E0">
        <w:rPr>
          <w:rFonts w:asciiTheme="minorHAnsi" w:eastAsiaTheme="minorEastAsia" w:hAnsiTheme="minorHAnsi" w:hint="eastAsia"/>
        </w:rPr>
        <w:t>)</w:t>
      </w:r>
      <w:r w:rsidRPr="00BC31E0">
        <w:rPr>
          <w:rFonts w:asciiTheme="minorHAnsi" w:eastAsiaTheme="minorEastAsia" w:hAnsiTheme="minorHAnsi" w:hint="eastAsia"/>
        </w:rPr>
        <w:t>である。</w:t>
      </w:r>
    </w:p>
    <w:p w14:paraId="20A6466F" w14:textId="77777777" w:rsidR="00644B5F" w:rsidRPr="00BC31E0" w:rsidRDefault="00644B5F" w:rsidP="00644B5F"/>
    <w:p w14:paraId="25E8D09D" w14:textId="77777777" w:rsidR="00644B5F" w:rsidRPr="00BC31E0" w:rsidRDefault="00644B5F" w:rsidP="00644B5F">
      <w:pPr>
        <w:widowControl/>
        <w:jc w:val="left"/>
      </w:pPr>
      <w:r w:rsidRPr="00BC31E0">
        <w:br w:type="page"/>
      </w:r>
    </w:p>
    <w:p w14:paraId="6F97EB07" w14:textId="77777777" w:rsidR="00644B5F" w:rsidRPr="00BC31E0" w:rsidRDefault="00644B5F" w:rsidP="00644B5F">
      <w:pPr>
        <w:widowControl/>
        <w:jc w:val="center"/>
        <w:rPr>
          <w:rFonts w:asciiTheme="majorEastAsia" w:eastAsiaTheme="majorEastAsia" w:hAnsiTheme="majorEastAsia"/>
          <w:b/>
        </w:rPr>
      </w:pPr>
      <w:r w:rsidRPr="00BC31E0">
        <w:rPr>
          <w:rFonts w:asciiTheme="majorEastAsia" w:eastAsiaTheme="majorEastAsia" w:hAnsiTheme="majorEastAsia" w:hint="eastAsia"/>
          <w:b/>
        </w:rPr>
        <w:lastRenderedPageBreak/>
        <w:t>表7.4.3</w:t>
      </w:r>
      <w:r w:rsidRPr="00BC31E0">
        <w:rPr>
          <w:rFonts w:asciiTheme="majorEastAsia" w:eastAsiaTheme="majorEastAsia" w:hAnsiTheme="majorEastAsia"/>
          <w:b/>
        </w:rPr>
        <w:t xml:space="preserve">　溶接後熱処理</w:t>
      </w:r>
      <w:r w:rsidRPr="00BC31E0">
        <w:rPr>
          <w:rFonts w:asciiTheme="majorEastAsia" w:eastAsiaTheme="majorEastAsia" w:hAnsiTheme="majorEastAsia" w:hint="eastAsia"/>
          <w:b/>
        </w:rPr>
        <w:t>の温度及び時間</w:t>
      </w:r>
    </w:p>
    <w:p w14:paraId="32205D23" w14:textId="77777777" w:rsidR="00644B5F" w:rsidRPr="00BC31E0" w:rsidRDefault="00644B5F" w:rsidP="00644B5F">
      <w:pPr>
        <w:spacing w:after="60"/>
        <w:jc w:val="center"/>
        <w:rPr>
          <w:rFonts w:asciiTheme="minorHAnsi" w:eastAsiaTheme="minorEastAsia" w:hAnsiTheme="minorHAnsi"/>
        </w:rPr>
      </w:pPr>
      <w:r w:rsidRPr="00BC31E0">
        <w:rPr>
          <w:rFonts w:asciiTheme="majorEastAsia" w:eastAsiaTheme="majorEastAsia" w:hAnsiTheme="majorEastAsia"/>
          <w:b/>
        </w:rPr>
        <w:t>(P</w:t>
      </w:r>
      <w:r w:rsidRPr="00BC31E0">
        <w:rPr>
          <w:rFonts w:asciiTheme="majorEastAsia" w:eastAsiaTheme="majorEastAsia" w:hAnsiTheme="majorEastAsia" w:hint="eastAsia"/>
          <w:b/>
        </w:rPr>
        <w:t>番号</w:t>
      </w:r>
      <w:r w:rsidRPr="00BC31E0">
        <w:rPr>
          <w:rFonts w:asciiTheme="majorEastAsia" w:eastAsiaTheme="majorEastAsia" w:hAnsiTheme="majorEastAsia"/>
          <w:b/>
        </w:rPr>
        <w:t>3</w:t>
      </w:r>
      <w:r w:rsidRPr="00BC31E0">
        <w:rPr>
          <w:rFonts w:asciiTheme="majorEastAsia" w:eastAsiaTheme="majorEastAsia" w:hAnsiTheme="majorEastAsia" w:hint="eastAsia"/>
          <w:b/>
        </w:rPr>
        <w:t>グループ番号</w:t>
      </w:r>
      <w:r w:rsidRPr="00BC31E0">
        <w:rPr>
          <w:rFonts w:asciiTheme="majorEastAsia" w:eastAsiaTheme="majorEastAsia" w:hAnsiTheme="majorEastAsia"/>
          <w:b/>
        </w:rPr>
        <w:t>1，2</w:t>
      </w:r>
      <w:r w:rsidRPr="00BC31E0">
        <w:rPr>
          <w:rFonts w:asciiTheme="majorEastAsia" w:eastAsiaTheme="majorEastAsia" w:hAnsiTheme="majorEastAsia" w:hint="eastAsia"/>
          <w:b/>
        </w:rPr>
        <w:t>及び</w:t>
      </w:r>
      <w:r w:rsidRPr="00BC31E0">
        <w:rPr>
          <w:rFonts w:asciiTheme="majorEastAsia" w:eastAsiaTheme="majorEastAsia" w:hAnsiTheme="majorEastAsia"/>
          <w:b/>
        </w:rPr>
        <w:t>3</w:t>
      </w:r>
      <w:r w:rsidRPr="00BC31E0">
        <w:rPr>
          <w:rFonts w:asciiTheme="majorEastAsia" w:eastAsiaTheme="majorEastAsia" w:hAnsiTheme="majorEastAsia" w:hint="eastAsia"/>
          <w:b/>
        </w:rPr>
        <w:t>の材料</w:t>
      </w:r>
      <w:r w:rsidRPr="00BC31E0">
        <w:rPr>
          <w:rFonts w:asciiTheme="majorEastAsia" w:eastAsiaTheme="majorEastAsia" w:hAnsiTheme="majorEastAsia"/>
          <w:b/>
        </w:rPr>
        <w:t>)</w:t>
      </w:r>
    </w:p>
    <w:tbl>
      <w:tblPr>
        <w:tblStyle w:val="100"/>
        <w:tblW w:w="0" w:type="auto"/>
        <w:tblInd w:w="108" w:type="dxa"/>
        <w:tblLook w:val="04A0" w:firstRow="1" w:lastRow="0" w:firstColumn="1" w:lastColumn="0" w:noHBand="0" w:noVBand="1"/>
      </w:tblPr>
      <w:tblGrid>
        <w:gridCol w:w="6946"/>
        <w:gridCol w:w="2126"/>
      </w:tblGrid>
      <w:tr w:rsidR="00644B5F" w:rsidRPr="00BC31E0" w14:paraId="644876CA" w14:textId="77777777" w:rsidTr="004736F2">
        <w:tc>
          <w:tcPr>
            <w:tcW w:w="6946" w:type="dxa"/>
            <w:vAlign w:val="center"/>
          </w:tcPr>
          <w:p w14:paraId="1EA1C948" w14:textId="77777777" w:rsidR="00644B5F" w:rsidRPr="00BC31E0" w:rsidRDefault="00644B5F" w:rsidP="00644B5F">
            <w:pPr>
              <w:jc w:val="center"/>
              <w:rPr>
                <w:rFonts w:asciiTheme="minorHAnsi" w:eastAsiaTheme="minorEastAsia" w:hAnsiTheme="minorHAnsi"/>
              </w:rPr>
            </w:pPr>
            <w:r w:rsidRPr="00BC31E0">
              <w:rPr>
                <w:rFonts w:asciiTheme="minorHAnsi" w:eastAsiaTheme="minorEastAsia" w:hAnsiTheme="minorEastAsia"/>
              </w:rPr>
              <w:t>要求事項</w:t>
            </w:r>
          </w:p>
        </w:tc>
        <w:tc>
          <w:tcPr>
            <w:tcW w:w="2126" w:type="dxa"/>
            <w:vAlign w:val="center"/>
          </w:tcPr>
          <w:p w14:paraId="3FB38029" w14:textId="77777777" w:rsidR="00644B5F" w:rsidRPr="00BC31E0" w:rsidRDefault="00644B5F" w:rsidP="00644B5F">
            <w:pPr>
              <w:jc w:val="center"/>
              <w:rPr>
                <w:rFonts w:asciiTheme="minorHAnsi" w:eastAsiaTheme="minorEastAsia" w:hAnsiTheme="minorHAnsi"/>
              </w:rPr>
            </w:pPr>
            <w:r w:rsidRPr="00BC31E0">
              <w:rPr>
                <w:rFonts w:asciiTheme="minorHAnsi" w:eastAsiaTheme="minorEastAsia" w:hAnsiTheme="minorEastAsia"/>
              </w:rPr>
              <w:t>保持温度と保持時間</w:t>
            </w:r>
          </w:p>
        </w:tc>
      </w:tr>
      <w:tr w:rsidR="00644B5F" w:rsidRPr="00BC31E0" w14:paraId="12121E18" w14:textId="77777777" w:rsidTr="004736F2">
        <w:tc>
          <w:tcPr>
            <w:tcW w:w="6946" w:type="dxa"/>
          </w:tcPr>
          <w:p w14:paraId="4B0211AD" w14:textId="77777777" w:rsidR="00644B5F" w:rsidRPr="00BC31E0" w:rsidRDefault="00644B5F" w:rsidP="00736130">
            <w:pPr>
              <w:numPr>
                <w:ilvl w:val="0"/>
                <w:numId w:val="163"/>
              </w:numPr>
              <w:ind w:left="340" w:hanging="340"/>
              <w:rPr>
                <w:rFonts w:asciiTheme="minorHAnsi" w:eastAsiaTheme="minorEastAsia" w:hAnsiTheme="minorHAnsi"/>
              </w:rPr>
            </w:pPr>
            <w:r w:rsidRPr="00BC31E0">
              <w:rPr>
                <w:rFonts w:asciiTheme="minorHAnsi" w:eastAsiaTheme="minorEastAsia" w:hAnsiTheme="minorHAnsi" w:hint="eastAsia"/>
              </w:rPr>
              <w:t>グループ番号</w:t>
            </w:r>
            <w:r w:rsidRPr="00BC31E0">
              <w:rPr>
                <w:rFonts w:asciiTheme="minorHAnsi" w:eastAsiaTheme="minorEastAsia" w:hAnsiTheme="minorHAnsi"/>
              </w:rPr>
              <w:t>3</w:t>
            </w:r>
            <w:r w:rsidRPr="00BC31E0">
              <w:rPr>
                <w:rFonts w:asciiTheme="minorHAnsi" w:eastAsiaTheme="minorEastAsia" w:hAnsiTheme="minorEastAsia"/>
              </w:rPr>
              <w:t>の材料は，全ての厚さ</w:t>
            </w:r>
            <w:r w:rsidRPr="00BC31E0">
              <w:rPr>
                <w:rFonts w:asciiTheme="minorHAnsi" w:eastAsiaTheme="minorEastAsia" w:hAnsiTheme="minorEastAsia" w:hint="eastAsia"/>
              </w:rPr>
              <w:t>で</w:t>
            </w:r>
            <w:r w:rsidRPr="00BC31E0">
              <w:rPr>
                <w:rFonts w:asciiTheme="minorHAnsi" w:eastAsiaTheme="minorEastAsia" w:hAnsiTheme="minorEastAsia"/>
              </w:rPr>
              <w:t>溶接後熱処理</w:t>
            </w:r>
            <w:r w:rsidRPr="00BC31E0">
              <w:rPr>
                <w:rFonts w:asciiTheme="minorHAnsi" w:eastAsiaTheme="minorEastAsia" w:hAnsiTheme="minorEastAsia" w:hint="eastAsia"/>
              </w:rPr>
              <w:t>が必要である</w:t>
            </w:r>
            <w:r w:rsidRPr="00BC31E0">
              <w:rPr>
                <w:rFonts w:asciiTheme="minorHAnsi" w:eastAsiaTheme="minorEastAsia" w:hAnsiTheme="minorEastAsia"/>
              </w:rPr>
              <w:t>。</w:t>
            </w:r>
          </w:p>
          <w:p w14:paraId="296D0213" w14:textId="77777777" w:rsidR="00644B5F" w:rsidRPr="00BC31E0" w:rsidRDefault="00644B5F" w:rsidP="00736130">
            <w:pPr>
              <w:numPr>
                <w:ilvl w:val="0"/>
                <w:numId w:val="163"/>
              </w:numPr>
              <w:ind w:left="340" w:hanging="340"/>
              <w:rPr>
                <w:rFonts w:asciiTheme="minorHAnsi" w:eastAsiaTheme="minorEastAsia" w:hAnsiTheme="minorHAnsi"/>
              </w:rPr>
            </w:pPr>
            <w:r w:rsidRPr="00BC31E0">
              <w:rPr>
                <w:rFonts w:asciiTheme="minorHAnsi" w:eastAsiaTheme="minorEastAsia" w:hAnsiTheme="minorEastAsia"/>
              </w:rPr>
              <w:t>次の</w:t>
            </w:r>
            <w:r w:rsidRPr="00BC31E0">
              <w:rPr>
                <w:rFonts w:asciiTheme="majorEastAsia" w:eastAsiaTheme="majorEastAsia" w:hAnsiTheme="majorEastAsia"/>
                <w:b/>
              </w:rPr>
              <w:t>c)</w:t>
            </w:r>
            <w:r w:rsidRPr="00BC31E0">
              <w:rPr>
                <w:rFonts w:asciiTheme="minorHAnsi" w:eastAsiaTheme="minorEastAsia" w:hAnsiTheme="minorEastAsia"/>
              </w:rPr>
              <w:t>を除いて，次の</w:t>
            </w:r>
            <w:r w:rsidRPr="00BC31E0">
              <w:rPr>
                <w:rFonts w:asciiTheme="majorEastAsia" w:eastAsiaTheme="majorEastAsia" w:hAnsiTheme="majorEastAsia"/>
                <w:b/>
              </w:rPr>
              <w:t>1)</w:t>
            </w:r>
            <w:r w:rsidRPr="00BC31E0">
              <w:rPr>
                <w:rFonts w:asciiTheme="minorHAnsi" w:eastAsiaTheme="minorEastAsia" w:hAnsiTheme="minorEastAsia"/>
              </w:rPr>
              <w:t>及び</w:t>
            </w:r>
            <w:r w:rsidRPr="00BC31E0">
              <w:rPr>
                <w:rFonts w:asciiTheme="majorEastAsia" w:eastAsiaTheme="majorEastAsia" w:hAnsiTheme="majorEastAsia"/>
                <w:b/>
              </w:rPr>
              <w:t>2)</w:t>
            </w:r>
            <w:r w:rsidRPr="00BC31E0">
              <w:rPr>
                <w:rFonts w:asciiTheme="minorHAnsi" w:eastAsiaTheme="minorEastAsia" w:hAnsiTheme="minorEastAsia"/>
              </w:rPr>
              <w:t>の場合に溶接後熱処理</w:t>
            </w:r>
            <w:r w:rsidRPr="00BC31E0">
              <w:rPr>
                <w:rFonts w:asciiTheme="minorHAnsi" w:eastAsiaTheme="minorEastAsia" w:hAnsiTheme="minorEastAsia" w:hint="eastAsia"/>
              </w:rPr>
              <w:t>が必要である</w:t>
            </w:r>
            <w:r w:rsidRPr="00BC31E0">
              <w:rPr>
                <w:rFonts w:asciiTheme="minorHAnsi" w:eastAsiaTheme="minorEastAsia" w:hAnsiTheme="minorEastAsia"/>
              </w:rPr>
              <w:t>。</w:t>
            </w:r>
          </w:p>
          <w:p w14:paraId="55F55FC7" w14:textId="77777777" w:rsidR="00644B5F" w:rsidRPr="00BC31E0" w:rsidRDefault="00644B5F" w:rsidP="00736130">
            <w:pPr>
              <w:numPr>
                <w:ilvl w:val="1"/>
                <w:numId w:val="164"/>
              </w:numPr>
              <w:ind w:left="567" w:hanging="340"/>
              <w:rPr>
                <w:rFonts w:asciiTheme="minorHAnsi" w:eastAsiaTheme="minorEastAsia" w:hAnsiTheme="minorEastAsia"/>
              </w:rPr>
            </w:pPr>
            <w:r w:rsidRPr="00BC31E0">
              <w:rPr>
                <w:rFonts w:asciiTheme="minorHAnsi" w:eastAsiaTheme="minorEastAsia" w:hAnsiTheme="minorEastAsia"/>
              </w:rPr>
              <w:t>公称厚さが</w:t>
            </w:r>
            <w:r w:rsidRPr="00BC31E0">
              <w:rPr>
                <w:rFonts w:ascii="Cambria Math" w:eastAsiaTheme="minorEastAsia" w:hAnsi="Cambria Math"/>
              </w:rPr>
              <w:t>16 mm</w:t>
            </w:r>
            <w:r w:rsidRPr="00BC31E0">
              <w:rPr>
                <w:rFonts w:asciiTheme="minorHAnsi" w:eastAsiaTheme="minorEastAsia" w:hAnsiTheme="minorEastAsia"/>
              </w:rPr>
              <w:t>を超える</w:t>
            </w:r>
            <w:r w:rsidRPr="00BC31E0">
              <w:rPr>
                <w:rFonts w:asciiTheme="minorHAnsi" w:eastAsiaTheme="minorEastAsia" w:hAnsiTheme="minorEastAsia" w:hint="eastAsia"/>
              </w:rPr>
              <w:t>グループ番号</w:t>
            </w:r>
            <w:r w:rsidRPr="00BC31E0">
              <w:rPr>
                <w:rFonts w:asciiTheme="minorHAnsi" w:eastAsiaTheme="minorEastAsia" w:hAnsiTheme="minorHAnsi"/>
              </w:rPr>
              <w:t>1</w:t>
            </w:r>
            <w:r w:rsidRPr="00BC31E0">
              <w:rPr>
                <w:rFonts w:asciiTheme="minorHAnsi" w:eastAsiaTheme="minorEastAsia" w:hAnsiTheme="minorHAnsi" w:hint="eastAsia"/>
              </w:rPr>
              <w:t>及び</w:t>
            </w:r>
            <w:r w:rsidRPr="00BC31E0">
              <w:rPr>
                <w:rFonts w:asciiTheme="minorHAnsi" w:eastAsiaTheme="minorEastAsia" w:hAnsiTheme="minorHAnsi"/>
              </w:rPr>
              <w:t>2</w:t>
            </w:r>
            <w:r w:rsidRPr="00BC31E0">
              <w:rPr>
                <w:rFonts w:asciiTheme="minorHAnsi" w:eastAsiaTheme="minorEastAsia" w:hAnsiTheme="minorEastAsia"/>
              </w:rPr>
              <w:t>の材料</w:t>
            </w:r>
          </w:p>
          <w:p w14:paraId="41683D12" w14:textId="77777777" w:rsidR="00644B5F" w:rsidRPr="00BC31E0" w:rsidRDefault="00644B5F" w:rsidP="00644B5F">
            <w:pPr>
              <w:ind w:left="567"/>
              <w:rPr>
                <w:rFonts w:asciiTheme="minorHAnsi" w:eastAsiaTheme="minorEastAsia" w:hAnsiTheme="minorEastAsia"/>
              </w:rPr>
            </w:pPr>
            <w:r w:rsidRPr="00BC31E0">
              <w:rPr>
                <w:rFonts w:asciiTheme="minorHAnsi" w:eastAsiaTheme="minorEastAsia" w:hAnsiTheme="minorEastAsia"/>
              </w:rPr>
              <w:t>これらの材料は，</w:t>
            </w:r>
            <w:r w:rsidRPr="00BC31E0">
              <w:rPr>
                <w:rFonts w:asciiTheme="minorHAnsi" w:eastAsiaTheme="minorEastAsia" w:hAnsiTheme="minorEastAsia" w:hint="eastAsia"/>
              </w:rPr>
              <w:t>製作時の</w:t>
            </w:r>
            <w:r w:rsidRPr="00BC31E0">
              <w:rPr>
                <w:rFonts w:asciiTheme="minorHAnsi" w:eastAsiaTheme="minorEastAsia" w:hAnsiTheme="minorEastAsia"/>
              </w:rPr>
              <w:t>溶接と同じ厚さ以上で</w:t>
            </w:r>
            <w:r w:rsidRPr="00BC31E0">
              <w:rPr>
                <w:rFonts w:asciiTheme="majorEastAsia" w:eastAsiaTheme="majorEastAsia" w:hAnsiTheme="majorEastAsia" w:hint="eastAsia"/>
                <w:b/>
              </w:rPr>
              <w:t>7.2.2</w:t>
            </w:r>
            <w:r w:rsidRPr="00BC31E0">
              <w:rPr>
                <w:rFonts w:asciiTheme="minorHAnsi" w:eastAsiaTheme="minorEastAsia" w:hAnsiTheme="minorEastAsia"/>
              </w:rPr>
              <w:t>の溶接</w:t>
            </w:r>
            <w:r w:rsidRPr="00BC31E0">
              <w:rPr>
                <w:rFonts w:asciiTheme="minorHAnsi" w:eastAsiaTheme="minorEastAsia" w:hAnsiTheme="minorEastAsia" w:hint="eastAsia"/>
              </w:rPr>
              <w:t>施工方法の確認</w:t>
            </w:r>
            <w:r w:rsidRPr="00BC31E0">
              <w:rPr>
                <w:rFonts w:asciiTheme="minorHAnsi" w:eastAsiaTheme="minorEastAsia" w:hAnsiTheme="minorEastAsia"/>
              </w:rPr>
              <w:t>が</w:t>
            </w:r>
            <w:r w:rsidRPr="00BC31E0">
              <w:rPr>
                <w:rFonts w:asciiTheme="minorHAnsi" w:eastAsiaTheme="minorEastAsia" w:hAnsiTheme="minorEastAsia" w:hint="eastAsia"/>
              </w:rPr>
              <w:t>行われなければ</w:t>
            </w:r>
            <w:r w:rsidRPr="00BC31E0">
              <w:rPr>
                <w:rFonts w:asciiTheme="minorHAnsi" w:eastAsiaTheme="minorEastAsia" w:hAnsiTheme="minorEastAsia"/>
              </w:rPr>
              <w:t>，公称厚さが</w:t>
            </w:r>
            <w:r w:rsidRPr="00BC31E0">
              <w:rPr>
                <w:rFonts w:ascii="Cambria Math" w:eastAsiaTheme="minorEastAsia" w:hAnsi="Cambria Math"/>
              </w:rPr>
              <w:t>16 mm</w:t>
            </w:r>
            <w:r w:rsidRPr="00BC31E0">
              <w:rPr>
                <w:rFonts w:asciiTheme="minorHAnsi" w:eastAsiaTheme="minorEastAsia" w:hAnsiTheme="minorEastAsia"/>
              </w:rPr>
              <w:t>以上</w:t>
            </w:r>
            <w:r w:rsidRPr="00BC31E0">
              <w:rPr>
                <w:rFonts w:asciiTheme="minorHAnsi" w:eastAsiaTheme="minorEastAsia" w:hAnsiTheme="minorEastAsia" w:hint="eastAsia"/>
              </w:rPr>
              <w:t>で</w:t>
            </w:r>
            <w:r w:rsidRPr="00BC31E0">
              <w:rPr>
                <w:rFonts w:asciiTheme="minorHAnsi" w:eastAsiaTheme="minorEastAsia" w:hAnsiTheme="minorEastAsia"/>
              </w:rPr>
              <w:t>溶接後熱処理</w:t>
            </w:r>
            <w:r w:rsidRPr="00BC31E0">
              <w:rPr>
                <w:rFonts w:asciiTheme="minorHAnsi" w:eastAsiaTheme="minorEastAsia" w:hAnsiTheme="minorEastAsia" w:hint="eastAsia"/>
              </w:rPr>
              <w:t>が必要である。</w:t>
            </w:r>
          </w:p>
          <w:p w14:paraId="56FBA4F8" w14:textId="77777777" w:rsidR="00644B5F" w:rsidRPr="00BC31E0" w:rsidRDefault="00644B5F" w:rsidP="00736130">
            <w:pPr>
              <w:numPr>
                <w:ilvl w:val="0"/>
                <w:numId w:val="165"/>
              </w:numPr>
              <w:ind w:left="567" w:hanging="340"/>
              <w:rPr>
                <w:rFonts w:asciiTheme="minorHAnsi" w:eastAsiaTheme="minorEastAsia" w:hAnsiTheme="minorHAnsi"/>
              </w:rPr>
            </w:pPr>
            <w:r w:rsidRPr="00BC31E0">
              <w:rPr>
                <w:rFonts w:asciiTheme="minorHAnsi" w:eastAsiaTheme="minorEastAsia" w:hAnsiTheme="minorEastAsia"/>
              </w:rPr>
              <w:t>直火を受ける耐圧部</w:t>
            </w:r>
            <w:r w:rsidRPr="00BC31E0">
              <w:rPr>
                <w:rFonts w:asciiTheme="minorHAnsi" w:eastAsiaTheme="minorEastAsia" w:hAnsiTheme="minorEastAsia" w:hint="eastAsia"/>
              </w:rPr>
              <w:t>材</w:t>
            </w:r>
          </w:p>
          <w:p w14:paraId="0EF4983C" w14:textId="77777777" w:rsidR="00644B5F" w:rsidRPr="00BC31E0" w:rsidRDefault="00644B5F" w:rsidP="00736130">
            <w:pPr>
              <w:numPr>
                <w:ilvl w:val="0"/>
                <w:numId w:val="159"/>
              </w:numPr>
              <w:ind w:left="340" w:hanging="340"/>
              <w:rPr>
                <w:rFonts w:asciiTheme="minorHAnsi" w:eastAsiaTheme="minorEastAsia" w:hAnsiTheme="minorHAnsi"/>
              </w:rPr>
            </w:pPr>
            <w:r w:rsidRPr="00BC31E0">
              <w:rPr>
                <w:rFonts w:asciiTheme="minorHAnsi" w:eastAsiaTheme="minorEastAsia" w:hAnsiTheme="minorHAnsi" w:hint="eastAsia"/>
              </w:rPr>
              <w:t>グループ番号</w:t>
            </w:r>
            <w:r w:rsidRPr="00BC31E0">
              <w:rPr>
                <w:rFonts w:asciiTheme="minorHAnsi" w:eastAsiaTheme="minorEastAsia" w:hAnsiTheme="minorHAnsi"/>
              </w:rPr>
              <w:t>3</w:t>
            </w:r>
            <w:r w:rsidRPr="00BC31E0">
              <w:rPr>
                <w:rFonts w:asciiTheme="minorHAnsi" w:eastAsiaTheme="minorEastAsia" w:hAnsiTheme="minorEastAsia"/>
              </w:rPr>
              <w:t>の材料を除いて，耐圧部</w:t>
            </w:r>
            <w:r w:rsidRPr="00BC31E0">
              <w:rPr>
                <w:rFonts w:asciiTheme="minorHAnsi" w:eastAsiaTheme="minorEastAsia" w:hAnsiTheme="minorEastAsia" w:hint="eastAsia"/>
              </w:rPr>
              <w:t>材への取付けに対して</w:t>
            </w:r>
            <w:r w:rsidRPr="00BC31E0">
              <w:rPr>
                <w:rFonts w:asciiTheme="minorHAnsi" w:eastAsiaTheme="minorEastAsia" w:hAnsiTheme="minorEastAsia"/>
              </w:rPr>
              <w:t>次の</w:t>
            </w:r>
            <w:r w:rsidRPr="00BC31E0">
              <w:rPr>
                <w:rFonts w:asciiTheme="majorEastAsia" w:eastAsiaTheme="majorEastAsia" w:hAnsiTheme="majorEastAsia"/>
                <w:b/>
              </w:rPr>
              <w:t>1)</w:t>
            </w:r>
            <w:r w:rsidRPr="00BC31E0">
              <w:rPr>
                <w:rFonts w:asciiTheme="minorHAnsi" w:eastAsiaTheme="minorEastAsia" w:hAnsiTheme="minorEastAsia"/>
              </w:rPr>
              <w:t>～</w:t>
            </w:r>
            <w:r w:rsidRPr="00BC31E0">
              <w:rPr>
                <w:rFonts w:asciiTheme="majorEastAsia" w:eastAsiaTheme="majorEastAsia" w:hAnsiTheme="majorEastAsia"/>
                <w:b/>
              </w:rPr>
              <w:t>5)</w:t>
            </w:r>
            <w:r w:rsidRPr="00BC31E0">
              <w:rPr>
                <w:rFonts w:asciiTheme="minorHAnsi" w:eastAsiaTheme="minorEastAsia" w:hAnsiTheme="minorEastAsia"/>
              </w:rPr>
              <w:t>の場合には溶接後熱処理の必要はない。</w:t>
            </w:r>
          </w:p>
          <w:p w14:paraId="5880FCFA" w14:textId="77777777" w:rsidR="00644B5F" w:rsidRPr="00BC31E0" w:rsidRDefault="00644B5F" w:rsidP="00736130">
            <w:pPr>
              <w:numPr>
                <w:ilvl w:val="1"/>
                <w:numId w:val="166"/>
              </w:numPr>
              <w:ind w:left="567" w:hanging="340"/>
              <w:rPr>
                <w:rFonts w:asciiTheme="minorHAnsi" w:eastAsiaTheme="minorEastAsia" w:hAnsiTheme="minorHAnsi"/>
              </w:rPr>
            </w:pPr>
            <w:r w:rsidRPr="00BC31E0">
              <w:rPr>
                <w:rFonts w:ascii="Cambria Math" w:eastAsiaTheme="minorEastAsia" w:hAnsi="Cambria Math"/>
              </w:rPr>
              <w:t>95</w:t>
            </w:r>
            <w:r w:rsidRPr="00BC31E0">
              <w:rPr>
                <w:rFonts w:asciiTheme="minorHAnsi" w:hAnsiTheme="minorHAnsi"/>
              </w:rPr>
              <w:t>°C</w:t>
            </w:r>
            <w:r w:rsidRPr="00BC31E0">
              <w:rPr>
                <w:rFonts w:asciiTheme="minorHAnsi" w:eastAsiaTheme="minorEastAsia" w:hAnsiTheme="minorHAnsi" w:hint="eastAsia"/>
              </w:rPr>
              <w:t>以上で予熱するならば，規定炭素含有量が</w:t>
            </w:r>
            <w:r w:rsidRPr="00BC31E0">
              <w:rPr>
                <w:rFonts w:ascii="Cambria Math" w:eastAsiaTheme="minorEastAsia" w:hAnsi="Cambria Math"/>
              </w:rPr>
              <w:t>0.25</w:t>
            </w:r>
            <w:r w:rsidRPr="00BC31E0">
              <w:rPr>
                <w:rFonts w:ascii="Cambria Math" w:eastAsiaTheme="minorEastAsia" w:hAnsi="Cambria Math" w:hint="eastAsia"/>
              </w:rPr>
              <w:t xml:space="preserve"> </w:t>
            </w:r>
            <w:r w:rsidRPr="00BC31E0">
              <w:rPr>
                <w:rFonts w:ascii="Cambria Math" w:eastAsiaTheme="minorEastAsia" w:hAnsi="Cambria Math"/>
              </w:rPr>
              <w:t>%</w:t>
            </w:r>
            <w:r w:rsidRPr="00BC31E0">
              <w:rPr>
                <w:rFonts w:asciiTheme="minorHAnsi" w:eastAsiaTheme="minorEastAsia" w:hAnsiTheme="minorHAnsi" w:hint="eastAsia"/>
              </w:rPr>
              <w:t>以下の耐圧部材への取付物，又は溶接深さが</w:t>
            </w:r>
            <w:r w:rsidRPr="00BC31E0">
              <w:rPr>
                <w:rFonts w:ascii="Cambria Math" w:eastAsiaTheme="minorEastAsia" w:hAnsi="Cambria Math"/>
              </w:rPr>
              <w:t>13 mm</w:t>
            </w:r>
            <w:r w:rsidRPr="00BC31E0">
              <w:rPr>
                <w:rFonts w:asciiTheme="minorHAnsi" w:eastAsiaTheme="minorEastAsia" w:hAnsiTheme="minorHAnsi" w:hint="eastAsia"/>
              </w:rPr>
              <w:t>以下の開先溶接又はのど厚が</w:t>
            </w:r>
            <w:r w:rsidRPr="00BC31E0">
              <w:rPr>
                <w:rFonts w:ascii="Cambria Math" w:eastAsiaTheme="minorEastAsia" w:hAnsi="Cambria Math"/>
              </w:rPr>
              <w:t>13 mm</w:t>
            </w:r>
            <w:r w:rsidRPr="00BC31E0">
              <w:rPr>
                <w:rFonts w:asciiTheme="minorHAnsi" w:eastAsiaTheme="minorEastAsia" w:hAnsiTheme="minorHAnsi" w:hint="eastAsia"/>
              </w:rPr>
              <w:t>以下の隅肉溶接される非耐圧部材への取付物</w:t>
            </w:r>
          </w:p>
          <w:p w14:paraId="6775F216" w14:textId="77777777" w:rsidR="00644B5F" w:rsidRPr="00BC31E0" w:rsidRDefault="00644B5F" w:rsidP="00736130">
            <w:pPr>
              <w:numPr>
                <w:ilvl w:val="1"/>
                <w:numId w:val="166"/>
              </w:numPr>
              <w:ind w:left="567" w:hanging="340"/>
              <w:rPr>
                <w:rFonts w:asciiTheme="minorHAnsi" w:eastAsiaTheme="minorEastAsia" w:hAnsiTheme="minorHAnsi"/>
              </w:rPr>
            </w:pPr>
            <w:r w:rsidRPr="00BC31E0">
              <w:rPr>
                <w:rFonts w:asciiTheme="minorHAnsi" w:eastAsiaTheme="minorEastAsia" w:hAnsiTheme="minorEastAsia"/>
              </w:rPr>
              <w:t>公称厚さが</w:t>
            </w:r>
            <w:r w:rsidRPr="00BC31E0">
              <w:rPr>
                <w:rFonts w:ascii="Cambria Math" w:eastAsiaTheme="minorEastAsia" w:hAnsi="Cambria Math"/>
              </w:rPr>
              <w:t>13 mm</w:t>
            </w:r>
            <w:r w:rsidRPr="00BC31E0">
              <w:rPr>
                <w:rFonts w:asciiTheme="minorHAnsi" w:eastAsiaTheme="minorEastAsia" w:hAnsiTheme="minorEastAsia"/>
              </w:rPr>
              <w:t>以下で，規定炭素含有量が</w:t>
            </w:r>
            <w:r w:rsidRPr="00BC31E0">
              <w:rPr>
                <w:rFonts w:ascii="Cambria Math" w:eastAsiaTheme="minorEastAsia" w:hAnsi="Cambria Math"/>
              </w:rPr>
              <w:t>0.25</w:t>
            </w:r>
            <w:r w:rsidRPr="00BC31E0">
              <w:rPr>
                <w:rFonts w:ascii="Cambria Math" w:eastAsiaTheme="minorEastAsia" w:hAnsi="Cambria Math" w:hint="eastAsia"/>
              </w:rPr>
              <w:t xml:space="preserve"> </w:t>
            </w:r>
            <w:r w:rsidRPr="00BC31E0">
              <w:rPr>
                <w:rFonts w:ascii="Cambria Math" w:eastAsiaTheme="minorEastAsia" w:hAnsi="Cambria Math"/>
              </w:rPr>
              <w:t>%</w:t>
            </w:r>
            <w:r w:rsidRPr="00BC31E0">
              <w:rPr>
                <w:rFonts w:asciiTheme="minorHAnsi" w:eastAsiaTheme="minorEastAsia" w:hAnsiTheme="minorHAnsi" w:hint="eastAsia"/>
              </w:rPr>
              <w:t>以下の</w:t>
            </w:r>
            <w:r w:rsidRPr="00BC31E0">
              <w:rPr>
                <w:rFonts w:asciiTheme="minorHAnsi" w:eastAsiaTheme="minorEastAsia" w:hAnsiTheme="minorEastAsia"/>
              </w:rPr>
              <w:t>パイプ又は管の周方向突合せ溶接</w:t>
            </w:r>
          </w:p>
          <w:p w14:paraId="32D52C15" w14:textId="77777777" w:rsidR="00644B5F" w:rsidRPr="00BC31E0" w:rsidRDefault="00644B5F" w:rsidP="00736130">
            <w:pPr>
              <w:numPr>
                <w:ilvl w:val="1"/>
                <w:numId w:val="166"/>
              </w:numPr>
              <w:ind w:left="567" w:hanging="340"/>
              <w:rPr>
                <w:rFonts w:asciiTheme="minorHAnsi" w:eastAsiaTheme="minorEastAsia" w:hAnsiTheme="minorHAnsi"/>
              </w:rPr>
            </w:pPr>
            <w:r w:rsidRPr="00BC31E0">
              <w:rPr>
                <w:rFonts w:ascii="Cambria Math" w:eastAsiaTheme="minorEastAsia" w:hAnsi="Cambria Math"/>
              </w:rPr>
              <w:t>95</w:t>
            </w:r>
            <w:r w:rsidRPr="00BC31E0">
              <w:rPr>
                <w:rFonts w:asciiTheme="minorHAnsi" w:hAnsiTheme="minorHAnsi"/>
              </w:rPr>
              <w:t>°C</w:t>
            </w:r>
            <w:r w:rsidRPr="00BC31E0">
              <w:rPr>
                <w:rFonts w:asciiTheme="minorHAnsi" w:eastAsiaTheme="minorEastAsia" w:hAnsiTheme="minorEastAsia" w:hint="eastAsia"/>
              </w:rPr>
              <w:t>以上で</w:t>
            </w:r>
            <w:r w:rsidRPr="00BC31E0">
              <w:rPr>
                <w:rFonts w:asciiTheme="minorHAnsi" w:eastAsiaTheme="minorEastAsia" w:hAnsiTheme="minorEastAsia"/>
              </w:rPr>
              <w:t>予熱</w:t>
            </w:r>
            <w:r w:rsidRPr="00BC31E0">
              <w:rPr>
                <w:rFonts w:asciiTheme="minorHAnsi" w:eastAsiaTheme="minorEastAsia" w:hAnsiTheme="minorEastAsia" w:hint="eastAsia"/>
              </w:rPr>
              <w:t>す</w:t>
            </w:r>
            <w:r w:rsidRPr="00BC31E0">
              <w:rPr>
                <w:rFonts w:asciiTheme="minorHAnsi" w:eastAsiaTheme="minorEastAsia" w:hAnsiTheme="minorEastAsia"/>
              </w:rPr>
              <w:t>る</w:t>
            </w:r>
            <w:r w:rsidRPr="00BC31E0">
              <w:rPr>
                <w:rFonts w:asciiTheme="minorHAnsi" w:eastAsiaTheme="minorEastAsia" w:hAnsiTheme="minorEastAsia" w:hint="eastAsia"/>
              </w:rPr>
              <w:t>ならば，</w:t>
            </w:r>
            <w:r w:rsidRPr="00BC31E0">
              <w:rPr>
                <w:rFonts w:asciiTheme="minorHAnsi" w:eastAsiaTheme="minorEastAsia" w:hAnsiTheme="minorEastAsia"/>
              </w:rPr>
              <w:t>規定炭素含有量が</w:t>
            </w:r>
            <w:r w:rsidRPr="00BC31E0">
              <w:rPr>
                <w:rFonts w:ascii="Cambria Math" w:eastAsiaTheme="minorEastAsia" w:hAnsi="Cambria Math"/>
              </w:rPr>
              <w:t>0.25</w:t>
            </w:r>
            <w:r w:rsidRPr="00BC31E0">
              <w:rPr>
                <w:rFonts w:ascii="Cambria Math" w:eastAsiaTheme="minorEastAsia" w:hAnsi="Cambria Math" w:hint="eastAsia"/>
              </w:rPr>
              <w:t xml:space="preserve"> </w:t>
            </w:r>
            <w:r w:rsidRPr="00BC31E0">
              <w:rPr>
                <w:rFonts w:ascii="Cambria Math" w:eastAsiaTheme="minorEastAsia" w:hAnsi="Cambria Math"/>
              </w:rPr>
              <w:t>%</w:t>
            </w:r>
            <w:r w:rsidRPr="00BC31E0">
              <w:rPr>
                <w:rFonts w:asciiTheme="minorHAnsi" w:eastAsiaTheme="minorEastAsia" w:hAnsiTheme="minorHAnsi" w:hint="eastAsia"/>
              </w:rPr>
              <w:t>以下の</w:t>
            </w:r>
            <w:r w:rsidRPr="00BC31E0">
              <w:rPr>
                <w:rFonts w:asciiTheme="minorHAnsi" w:eastAsiaTheme="minorEastAsia" w:hAnsiTheme="minorEastAsia"/>
              </w:rPr>
              <w:t>耐圧部</w:t>
            </w:r>
            <w:r w:rsidRPr="00BC31E0">
              <w:rPr>
                <w:rFonts w:asciiTheme="minorHAnsi" w:eastAsiaTheme="minorEastAsia" w:hAnsiTheme="minorEastAsia" w:hint="eastAsia"/>
              </w:rPr>
              <w:t>材</w:t>
            </w:r>
            <w:r w:rsidRPr="00BC31E0">
              <w:rPr>
                <w:rFonts w:asciiTheme="minorHAnsi" w:eastAsiaTheme="minorEastAsia" w:hAnsiTheme="minorEastAsia"/>
              </w:rPr>
              <w:t>のスタッド溶接</w:t>
            </w:r>
          </w:p>
          <w:p w14:paraId="3708DF4C" w14:textId="77777777" w:rsidR="00644B5F" w:rsidRPr="00BC31E0" w:rsidRDefault="00644B5F" w:rsidP="00736130">
            <w:pPr>
              <w:numPr>
                <w:ilvl w:val="1"/>
                <w:numId w:val="166"/>
              </w:numPr>
              <w:ind w:left="567" w:hanging="340"/>
              <w:rPr>
                <w:rFonts w:asciiTheme="minorHAnsi" w:eastAsiaTheme="minorEastAsia" w:hAnsiTheme="minorHAnsi"/>
              </w:rPr>
            </w:pPr>
            <w:r w:rsidRPr="00BC31E0">
              <w:rPr>
                <w:rFonts w:asciiTheme="minorHAnsi" w:eastAsiaTheme="minorEastAsia" w:hAnsiTheme="minorEastAsia"/>
              </w:rPr>
              <w:t>初層の溶接で</w:t>
            </w:r>
            <w:r w:rsidRPr="00BC31E0">
              <w:rPr>
                <w:rFonts w:ascii="Cambria Math" w:eastAsiaTheme="minorEastAsia" w:hAnsi="Cambria Math"/>
              </w:rPr>
              <w:t>95</w:t>
            </w:r>
            <w:r w:rsidRPr="00BC31E0">
              <w:rPr>
                <w:rFonts w:asciiTheme="minorHAnsi" w:hAnsiTheme="minorHAnsi"/>
              </w:rPr>
              <w:t>°C</w:t>
            </w:r>
            <w:r w:rsidRPr="00BC31E0">
              <w:rPr>
                <w:rFonts w:asciiTheme="minorHAnsi" w:eastAsiaTheme="minorEastAsia" w:hAnsiTheme="minorEastAsia" w:hint="eastAsia"/>
              </w:rPr>
              <w:t>以上の温度</w:t>
            </w:r>
            <w:r w:rsidRPr="00BC31E0">
              <w:rPr>
                <w:rFonts w:asciiTheme="minorHAnsi" w:eastAsiaTheme="minorEastAsia" w:hAnsiTheme="minorEastAsia"/>
              </w:rPr>
              <w:t>が</w:t>
            </w:r>
            <w:r w:rsidRPr="00BC31E0">
              <w:rPr>
                <w:rFonts w:asciiTheme="minorHAnsi" w:eastAsiaTheme="minorEastAsia" w:hAnsiTheme="minorEastAsia" w:hint="eastAsia"/>
              </w:rPr>
              <w:t>保持</w:t>
            </w:r>
            <w:r w:rsidRPr="00BC31E0">
              <w:rPr>
                <w:rFonts w:asciiTheme="minorHAnsi" w:eastAsiaTheme="minorEastAsia" w:hAnsiTheme="minorEastAsia"/>
              </w:rPr>
              <w:t>される</w:t>
            </w:r>
            <w:r w:rsidRPr="00BC31E0">
              <w:rPr>
                <w:rFonts w:asciiTheme="minorHAnsi" w:eastAsiaTheme="minorEastAsia" w:hAnsiTheme="minorEastAsia" w:hint="eastAsia"/>
              </w:rPr>
              <w:t>ならば，</w:t>
            </w:r>
            <w:r w:rsidRPr="00BC31E0">
              <w:rPr>
                <w:rFonts w:asciiTheme="minorHAnsi" w:eastAsiaTheme="minorEastAsia" w:hAnsiTheme="minorEastAsia"/>
              </w:rPr>
              <w:t>規定炭素含有量が</w:t>
            </w:r>
            <w:r w:rsidRPr="00BC31E0">
              <w:rPr>
                <w:rFonts w:ascii="Cambria Math" w:eastAsiaTheme="minorEastAsia" w:hAnsi="Cambria Math"/>
              </w:rPr>
              <w:t>0.25</w:t>
            </w:r>
            <w:r w:rsidRPr="00BC31E0">
              <w:rPr>
                <w:rFonts w:ascii="Cambria Math" w:eastAsiaTheme="minorEastAsia" w:hAnsi="Cambria Math" w:hint="eastAsia"/>
              </w:rPr>
              <w:t xml:space="preserve"> </w:t>
            </w:r>
            <w:r w:rsidRPr="00BC31E0">
              <w:rPr>
                <w:rFonts w:ascii="Cambria Math" w:eastAsiaTheme="minorEastAsia" w:hAnsi="Cambria Math"/>
              </w:rPr>
              <w:t>%</w:t>
            </w:r>
            <w:r w:rsidRPr="00BC31E0">
              <w:rPr>
                <w:rFonts w:asciiTheme="minorHAnsi" w:eastAsiaTheme="minorEastAsia" w:hAnsiTheme="minorEastAsia"/>
              </w:rPr>
              <w:t>以下の耐圧部</w:t>
            </w:r>
            <w:r w:rsidRPr="00BC31E0">
              <w:rPr>
                <w:rFonts w:asciiTheme="minorHAnsi" w:eastAsiaTheme="minorEastAsia" w:hAnsiTheme="minorEastAsia" w:hint="eastAsia"/>
              </w:rPr>
              <w:t>材</w:t>
            </w:r>
            <w:r w:rsidRPr="00BC31E0">
              <w:rPr>
                <w:rFonts w:asciiTheme="minorHAnsi" w:eastAsiaTheme="minorEastAsia" w:hAnsiTheme="minorEastAsia"/>
              </w:rPr>
              <w:t>に溶接され</w:t>
            </w:r>
            <w:r w:rsidRPr="00BC31E0">
              <w:rPr>
                <w:rFonts w:asciiTheme="minorHAnsi" w:eastAsiaTheme="minorEastAsia" w:hAnsiTheme="minorEastAsia" w:hint="eastAsia"/>
              </w:rPr>
              <w:t>る</w:t>
            </w:r>
            <w:r w:rsidRPr="00BC31E0">
              <w:rPr>
                <w:rFonts w:asciiTheme="minorHAnsi" w:eastAsiaTheme="minorEastAsia" w:hAnsiTheme="minorEastAsia"/>
              </w:rPr>
              <w:t>耐食</w:t>
            </w:r>
            <w:r w:rsidRPr="00BC31E0">
              <w:rPr>
                <w:rFonts w:asciiTheme="minorHAnsi" w:eastAsiaTheme="minorEastAsia" w:hAnsiTheme="minorEastAsia" w:hint="eastAsia"/>
              </w:rPr>
              <w:t>肉盛</w:t>
            </w:r>
            <w:r w:rsidRPr="00BC31E0">
              <w:rPr>
                <w:rFonts w:asciiTheme="minorHAnsi" w:eastAsiaTheme="minorEastAsia" w:hAnsiTheme="minorEastAsia"/>
              </w:rPr>
              <w:t>溶接又は耐食ライニング溶接</w:t>
            </w:r>
          </w:p>
          <w:p w14:paraId="6A6B2CE4" w14:textId="77777777" w:rsidR="00644B5F" w:rsidRPr="00BC31E0" w:rsidRDefault="00644B5F" w:rsidP="00736130">
            <w:pPr>
              <w:numPr>
                <w:ilvl w:val="1"/>
                <w:numId w:val="166"/>
              </w:numPr>
              <w:ind w:left="567" w:hanging="340"/>
              <w:rPr>
                <w:rFonts w:asciiTheme="minorHAnsi" w:eastAsiaTheme="minorEastAsia" w:hAnsiTheme="minorHAnsi"/>
              </w:rPr>
            </w:pPr>
            <w:r w:rsidRPr="00BC31E0">
              <w:rPr>
                <w:rFonts w:asciiTheme="minorHAnsi" w:eastAsiaTheme="minorEastAsia" w:hAnsiTheme="minorHAnsi" w:hint="eastAsia"/>
              </w:rPr>
              <w:t>のど厚が</w:t>
            </w:r>
            <w:r w:rsidRPr="00BC31E0">
              <w:rPr>
                <w:rFonts w:ascii="Cambria Math" w:eastAsiaTheme="minorEastAsia" w:hAnsi="Cambria Math"/>
              </w:rPr>
              <w:t>10 mm</w:t>
            </w:r>
            <w:r w:rsidRPr="00BC31E0">
              <w:rPr>
                <w:rFonts w:asciiTheme="minorHAnsi" w:eastAsiaTheme="minorEastAsia" w:hAnsiTheme="minorHAnsi" w:hint="eastAsia"/>
              </w:rPr>
              <w:t>以下のシール溶接で，部材の厚さが</w:t>
            </w:r>
            <w:r w:rsidRPr="00BC31E0">
              <w:rPr>
                <w:rFonts w:ascii="Cambria Math" w:eastAsiaTheme="minorEastAsia" w:hAnsi="Cambria Math"/>
              </w:rPr>
              <w:t>16 mm</w:t>
            </w:r>
            <w:r w:rsidRPr="00BC31E0">
              <w:rPr>
                <w:rFonts w:asciiTheme="minorHAnsi" w:eastAsiaTheme="minorEastAsia" w:hAnsiTheme="minorHAnsi" w:hint="eastAsia"/>
              </w:rPr>
              <w:t>を超える場合に</w:t>
            </w:r>
            <w:r w:rsidRPr="00BC31E0">
              <w:rPr>
                <w:rFonts w:ascii="Cambria Math" w:eastAsiaTheme="minorEastAsia" w:hAnsi="Cambria Math"/>
              </w:rPr>
              <w:t>95</w:t>
            </w:r>
            <w:r w:rsidRPr="00BC31E0">
              <w:rPr>
                <w:rFonts w:asciiTheme="minorHAnsi" w:hAnsiTheme="minorHAnsi"/>
              </w:rPr>
              <w:t>°C</w:t>
            </w:r>
            <w:r w:rsidRPr="00BC31E0">
              <w:rPr>
                <w:rFonts w:asciiTheme="minorHAnsi" w:eastAsiaTheme="minorEastAsia" w:hAnsiTheme="minorHAnsi" w:hint="eastAsia"/>
              </w:rPr>
              <w:t>以上で予熱するならば，</w:t>
            </w:r>
            <w:r w:rsidRPr="00BC31E0">
              <w:rPr>
                <w:rFonts w:asciiTheme="minorHAnsi" w:eastAsiaTheme="minorEastAsia" w:hAnsiTheme="minorEastAsia"/>
              </w:rPr>
              <w:t>拡管やねじなどの機械的手段</w:t>
            </w:r>
            <w:r w:rsidRPr="00BC31E0">
              <w:rPr>
                <w:rFonts w:asciiTheme="minorHAnsi" w:eastAsiaTheme="minorEastAsia" w:hAnsiTheme="minorEastAsia" w:hint="eastAsia"/>
              </w:rPr>
              <w:t>とシール溶接</w:t>
            </w:r>
            <w:r w:rsidRPr="00BC31E0">
              <w:rPr>
                <w:rFonts w:asciiTheme="minorHAnsi" w:eastAsiaTheme="minorEastAsia" w:hAnsiTheme="minorEastAsia"/>
              </w:rPr>
              <w:t>で固定され</w:t>
            </w:r>
            <w:r w:rsidRPr="00BC31E0">
              <w:rPr>
                <w:rFonts w:asciiTheme="minorHAnsi" w:eastAsiaTheme="minorEastAsia" w:hAnsiTheme="minorEastAsia" w:hint="eastAsia"/>
              </w:rPr>
              <w:t>た</w:t>
            </w:r>
            <w:r w:rsidRPr="00BC31E0">
              <w:rPr>
                <w:rFonts w:asciiTheme="minorHAnsi" w:eastAsiaTheme="minorEastAsia" w:hAnsiTheme="minorEastAsia"/>
              </w:rPr>
              <w:t>管，圧力保持ハンドホールと検査プラグ又はフィッティング</w:t>
            </w:r>
          </w:p>
          <w:p w14:paraId="2CA60F34" w14:textId="77777777" w:rsidR="00644B5F" w:rsidRPr="00BC31E0" w:rsidRDefault="00644B5F" w:rsidP="00736130">
            <w:pPr>
              <w:numPr>
                <w:ilvl w:val="0"/>
                <w:numId w:val="159"/>
              </w:numPr>
              <w:ind w:left="340" w:hanging="340"/>
              <w:rPr>
                <w:rFonts w:asciiTheme="minorHAnsi" w:eastAsiaTheme="minorEastAsia" w:hAnsiTheme="minorHAnsi"/>
              </w:rPr>
            </w:pPr>
            <w:r w:rsidRPr="00BC31E0">
              <w:rPr>
                <w:rFonts w:asciiTheme="minorHAnsi" w:eastAsiaTheme="minorEastAsia" w:hAnsiTheme="minorEastAsia"/>
              </w:rPr>
              <w:t>溶接後熱処理の保持</w:t>
            </w:r>
            <w:r w:rsidRPr="00BC31E0">
              <w:rPr>
                <w:rFonts w:asciiTheme="minorHAnsi" w:eastAsiaTheme="minorEastAsia" w:hAnsiTheme="minorEastAsia" w:hint="eastAsia"/>
              </w:rPr>
              <w:t>期間</w:t>
            </w:r>
            <w:r w:rsidRPr="00BC31E0">
              <w:rPr>
                <w:rFonts w:asciiTheme="minorHAnsi" w:eastAsiaTheme="minorEastAsia" w:hAnsiTheme="minorEastAsia"/>
              </w:rPr>
              <w:t>中に，容器</w:t>
            </w:r>
            <w:r w:rsidRPr="00BC31E0">
              <w:rPr>
                <w:rFonts w:asciiTheme="minorHAnsi" w:eastAsiaTheme="minorEastAsia" w:hAnsiTheme="minorEastAsia" w:hint="eastAsia"/>
              </w:rPr>
              <w:t>部材の最大保持時間又は温度が</w:t>
            </w:r>
            <w:r w:rsidRPr="00BC31E0">
              <w:rPr>
                <w:rFonts w:asciiTheme="majorEastAsia" w:eastAsiaTheme="majorEastAsia" w:hAnsiTheme="majorEastAsia" w:hint="eastAsia"/>
                <w:b/>
              </w:rPr>
              <w:t>10.1.2 c)</w:t>
            </w:r>
            <w:r w:rsidRPr="00BC31E0">
              <w:rPr>
                <w:rFonts w:asciiTheme="minorEastAsia" w:eastAsiaTheme="minorEastAsia" w:hAnsiTheme="minorEastAsia" w:hint="eastAsia"/>
              </w:rPr>
              <w:t>の規定を</w:t>
            </w:r>
            <w:r w:rsidRPr="00BC31E0">
              <w:rPr>
                <w:rFonts w:asciiTheme="minorHAnsi" w:eastAsiaTheme="minorEastAsia" w:hAnsiTheme="minorEastAsia"/>
              </w:rPr>
              <w:t>超え</w:t>
            </w:r>
            <w:r w:rsidRPr="00BC31E0">
              <w:rPr>
                <w:rFonts w:asciiTheme="minorHAnsi" w:eastAsiaTheme="minorEastAsia" w:hAnsiTheme="minorEastAsia" w:hint="eastAsia"/>
              </w:rPr>
              <w:t>る</w:t>
            </w:r>
            <w:r w:rsidRPr="00BC31E0">
              <w:rPr>
                <w:rFonts w:asciiTheme="minorHAnsi" w:eastAsiaTheme="minorEastAsia" w:hAnsiTheme="minorEastAsia"/>
              </w:rPr>
              <w:t>場合には，</w:t>
            </w:r>
            <w:r w:rsidRPr="00BC31E0">
              <w:rPr>
                <w:rFonts w:asciiTheme="minorHAnsi" w:eastAsiaTheme="minorEastAsia" w:hAnsiTheme="minorEastAsia" w:hint="eastAsia"/>
              </w:rPr>
              <w:t>追加の</w:t>
            </w:r>
            <w:r w:rsidRPr="00BC31E0">
              <w:rPr>
                <w:rFonts w:asciiTheme="minorHAnsi" w:eastAsiaTheme="minorEastAsia" w:hAnsiTheme="minorEastAsia"/>
              </w:rPr>
              <w:t>試験材を作製して試験しなければならない。</w:t>
            </w:r>
          </w:p>
          <w:p w14:paraId="79A218B3" w14:textId="77777777" w:rsidR="00644B5F" w:rsidRPr="00BC31E0" w:rsidRDefault="00644B5F" w:rsidP="004E6CCF">
            <w:pPr>
              <w:numPr>
                <w:ilvl w:val="0"/>
                <w:numId w:val="159"/>
              </w:numPr>
              <w:ind w:left="340" w:hanging="340"/>
              <w:rPr>
                <w:rFonts w:asciiTheme="minorHAnsi" w:eastAsiaTheme="minorEastAsia" w:hAnsiTheme="minorHAnsi"/>
              </w:rPr>
            </w:pPr>
            <w:r w:rsidRPr="00BC31E0">
              <w:rPr>
                <w:rFonts w:asciiTheme="minorHAnsi" w:eastAsiaTheme="minorEastAsia" w:hAnsiTheme="minorEastAsia"/>
              </w:rPr>
              <w:t>規定</w:t>
            </w:r>
            <w:r w:rsidRPr="00BC31E0">
              <w:rPr>
                <w:rFonts w:asciiTheme="minorHAnsi" w:eastAsiaTheme="minorEastAsia" w:hAnsiTheme="minorEastAsia" w:hint="eastAsia"/>
              </w:rPr>
              <w:t>の保持</w:t>
            </w:r>
            <w:r w:rsidRPr="00BC31E0">
              <w:rPr>
                <w:rFonts w:asciiTheme="minorHAnsi" w:eastAsiaTheme="minorEastAsia" w:hAnsiTheme="minorEastAsia"/>
              </w:rPr>
              <w:t>温度で溶接後熱処理</w:t>
            </w:r>
            <w:r w:rsidRPr="00BC31E0">
              <w:rPr>
                <w:rFonts w:asciiTheme="minorHAnsi" w:eastAsiaTheme="minorEastAsia" w:hAnsiTheme="minorEastAsia" w:hint="eastAsia"/>
              </w:rPr>
              <w:t>が</w:t>
            </w:r>
            <w:r w:rsidRPr="00BC31E0">
              <w:rPr>
                <w:rFonts w:asciiTheme="minorHAnsi" w:eastAsiaTheme="minorEastAsia" w:hAnsiTheme="minorEastAsia"/>
              </w:rPr>
              <w:t>できない場合には，より低い</w:t>
            </w:r>
            <w:r w:rsidRPr="00BC31E0">
              <w:rPr>
                <w:rFonts w:asciiTheme="minorHAnsi" w:eastAsiaTheme="minorEastAsia" w:hAnsiTheme="minorEastAsia" w:hint="eastAsia"/>
              </w:rPr>
              <w:t>保持</w:t>
            </w:r>
            <w:r w:rsidRPr="00BC31E0">
              <w:rPr>
                <w:rFonts w:asciiTheme="minorHAnsi" w:eastAsiaTheme="minorEastAsia" w:hAnsiTheme="minorEastAsia"/>
              </w:rPr>
              <w:t>温度</w:t>
            </w:r>
            <w:r w:rsidRPr="00BC31E0">
              <w:rPr>
                <w:rFonts w:asciiTheme="minorHAnsi" w:eastAsiaTheme="minorEastAsia" w:hAnsiTheme="minorEastAsia" w:hint="eastAsia"/>
              </w:rPr>
              <w:t>で，</w:t>
            </w:r>
            <w:r w:rsidRPr="00BC31E0">
              <w:rPr>
                <w:rFonts w:asciiTheme="majorEastAsia" w:eastAsiaTheme="majorEastAsia" w:hAnsiTheme="majorEastAsia" w:hint="eastAsia"/>
                <w:b/>
              </w:rPr>
              <w:t>表7.4.18</w:t>
            </w:r>
            <w:r w:rsidRPr="00BC31E0">
              <w:rPr>
                <w:rFonts w:asciiTheme="minorHAnsi" w:eastAsiaTheme="minorEastAsia" w:hAnsiTheme="minorEastAsia"/>
              </w:rPr>
              <w:t>に</w:t>
            </w:r>
            <w:r w:rsidRPr="00BC31E0">
              <w:rPr>
                <w:rFonts w:asciiTheme="minorHAnsi" w:eastAsiaTheme="minorEastAsia" w:hAnsiTheme="minorEastAsia" w:hint="eastAsia"/>
              </w:rPr>
              <w:t>示す</w:t>
            </w:r>
            <w:r w:rsidRPr="00BC31E0">
              <w:rPr>
                <w:rFonts w:asciiTheme="minorHAnsi" w:eastAsiaTheme="minorEastAsia" w:hAnsiTheme="minorEastAsia"/>
              </w:rPr>
              <w:t>保持時間</w:t>
            </w:r>
            <w:r w:rsidRPr="00BC31E0">
              <w:rPr>
                <w:rFonts w:asciiTheme="minorHAnsi" w:eastAsiaTheme="minorEastAsia" w:hAnsiTheme="minorEastAsia" w:hint="eastAsia"/>
              </w:rPr>
              <w:t>で溶接後熱処理を</w:t>
            </w:r>
            <w:r w:rsidR="004E6CCF" w:rsidRPr="00BC31E0">
              <w:rPr>
                <w:rFonts w:asciiTheme="minorHAnsi" w:eastAsiaTheme="minorEastAsia" w:hAnsiTheme="minorEastAsia" w:hint="eastAsia"/>
              </w:rPr>
              <w:t>行ってもよい</w:t>
            </w:r>
            <w:r w:rsidRPr="00BC31E0">
              <w:rPr>
                <w:rFonts w:asciiTheme="minorHAnsi" w:eastAsiaTheme="minorEastAsia" w:hAnsiTheme="minorEastAsia"/>
              </w:rPr>
              <w:t>。</w:t>
            </w:r>
            <w:r w:rsidRPr="00BC31E0">
              <w:rPr>
                <w:rFonts w:asciiTheme="minorHAnsi" w:eastAsiaTheme="minorEastAsia" w:hAnsiTheme="minorEastAsia" w:hint="eastAsia"/>
              </w:rPr>
              <w:t>保持温度を低減する場合には</w:t>
            </w:r>
            <w:r w:rsidRPr="00BC31E0">
              <w:rPr>
                <w:rFonts w:asciiTheme="minorHAnsi" w:eastAsiaTheme="minorEastAsia" w:hAnsiTheme="minorEastAsia"/>
              </w:rPr>
              <w:t>，</w:t>
            </w:r>
            <w:r w:rsidRPr="00BC31E0">
              <w:rPr>
                <w:rFonts w:asciiTheme="majorEastAsia" w:eastAsiaTheme="majorEastAsia" w:hAnsiTheme="majorEastAsia" w:hint="eastAsia"/>
                <w:b/>
              </w:rPr>
              <w:t>10.2</w:t>
            </w:r>
            <w:r w:rsidRPr="00BC31E0">
              <w:rPr>
                <w:rFonts w:asciiTheme="minorHAnsi" w:eastAsiaTheme="minorEastAsia" w:hAnsiTheme="minorEastAsia"/>
              </w:rPr>
              <w:t>で要求される</w:t>
            </w:r>
            <w:r w:rsidRPr="00BC31E0">
              <w:rPr>
                <w:rFonts w:asciiTheme="minorHAnsi" w:eastAsiaTheme="minorEastAsia" w:hAnsiTheme="minorEastAsia" w:hint="eastAsia"/>
              </w:rPr>
              <w:t>製作用</w:t>
            </w:r>
            <w:r w:rsidRPr="00BC31E0">
              <w:rPr>
                <w:rFonts w:asciiTheme="minorHAnsi" w:eastAsiaTheme="minorEastAsia" w:hAnsiTheme="minorEastAsia"/>
              </w:rPr>
              <w:t>試験板</w:t>
            </w:r>
            <w:r w:rsidRPr="00BC31E0">
              <w:rPr>
                <w:rFonts w:asciiTheme="minorHAnsi" w:eastAsiaTheme="minorEastAsia" w:hAnsiTheme="minorEastAsia" w:hint="eastAsia"/>
              </w:rPr>
              <w:t>も</w:t>
            </w:r>
            <w:r w:rsidRPr="00BC31E0">
              <w:rPr>
                <w:rFonts w:asciiTheme="minorHAnsi" w:eastAsiaTheme="minorEastAsia" w:hAnsiTheme="minorEastAsia"/>
              </w:rPr>
              <w:t>同じ熱処理にしなければならない。</w:t>
            </w:r>
          </w:p>
        </w:tc>
        <w:tc>
          <w:tcPr>
            <w:tcW w:w="2126" w:type="dxa"/>
          </w:tcPr>
          <w:p w14:paraId="5A9A90EC" w14:textId="77777777" w:rsidR="00644B5F" w:rsidRPr="00BC31E0" w:rsidRDefault="00A51873" w:rsidP="00644B5F">
            <w:pPr>
              <w:rPr>
                <w:rFonts w:asciiTheme="minorHAnsi" w:eastAsiaTheme="minorEastAsia" w:hAnsiTheme="minorHAnsi"/>
              </w:rPr>
            </w:pPr>
            <m:oMath>
              <m:sSub>
                <m:sSubPr>
                  <m:ctrlPr>
                    <w:rPr>
                      <w:rFonts w:ascii="Cambria Math" w:eastAsiaTheme="minorEastAsia" w:hAnsi="Cambria Math"/>
                    </w:rPr>
                  </m:ctrlPr>
                </m:sSubPr>
                <m:e>
                  <m:r>
                    <w:rPr>
                      <w:rFonts w:ascii="Cambria Math" w:eastAsiaTheme="minorEastAsia" w:hAnsi="Cambria Math"/>
                    </w:rPr>
                    <m:t>t</m:t>
                  </m:r>
                </m:e>
                <m:sub>
                  <m:r>
                    <w:rPr>
                      <w:rFonts w:ascii="Cambria Math" w:eastAsiaTheme="minorEastAsia" w:hAnsi="Cambria Math"/>
                    </w:rPr>
                    <m:t>n</m:t>
                  </m:r>
                </m:sub>
              </m:sSub>
              <m:r>
                <w:rPr>
                  <w:rFonts w:ascii="Cambria Math" w:eastAsiaTheme="minorEastAsia" w:hAnsi="Cambria Math" w:hint="eastAsia"/>
                </w:rPr>
                <m:t>≦</m:t>
              </m:r>
              <m:r>
                <w:rPr>
                  <w:rFonts w:ascii="Cambria Math" w:eastAsiaTheme="minorEastAsia" w:hAnsi="Cambria Math"/>
                </w:rPr>
                <m:t xml:space="preserve">50 </m:t>
              </m:r>
            </m:oMath>
            <w:r w:rsidR="00644B5F" w:rsidRPr="00BC31E0">
              <w:rPr>
                <w:rFonts w:ascii="Cambria Math" w:eastAsiaTheme="minorEastAsia" w:hAnsi="Cambria Math"/>
              </w:rPr>
              <w:t>mm</w:t>
            </w:r>
          </w:p>
          <w:p w14:paraId="76B69E59" w14:textId="77777777" w:rsidR="00644B5F" w:rsidRPr="00BC31E0" w:rsidRDefault="00644B5F" w:rsidP="00644B5F">
            <w:pPr>
              <w:ind w:left="170"/>
              <w:rPr>
                <w:rFonts w:asciiTheme="minorHAnsi" w:hAnsiTheme="minorHAnsi"/>
              </w:rPr>
            </w:pPr>
            <w:r w:rsidRPr="00BC31E0">
              <w:rPr>
                <w:rFonts w:ascii="Cambria Math" w:eastAsiaTheme="minorEastAsia" w:hAnsi="Cambria Math"/>
              </w:rPr>
              <w:t>595</w:t>
            </w:r>
            <w:r w:rsidRPr="00BC31E0">
              <w:rPr>
                <w:rFonts w:asciiTheme="minorHAnsi" w:hAnsiTheme="minorHAnsi"/>
              </w:rPr>
              <w:t>°C</w:t>
            </w:r>
          </w:p>
          <w:tbl>
            <w:tblPr>
              <w:tblStyle w:val="100"/>
              <w:tblW w:w="0" w:type="auto"/>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
            </w:tblGrid>
            <w:tr w:rsidR="00644B5F" w:rsidRPr="00BC31E0" w14:paraId="46874534" w14:textId="77777777" w:rsidTr="004736F2">
              <w:tc>
                <w:tcPr>
                  <w:tcW w:w="0" w:type="auto"/>
                  <w:tcMar>
                    <w:left w:w="0" w:type="dxa"/>
                    <w:right w:w="0" w:type="dxa"/>
                  </w:tcMar>
                  <w:vAlign w:val="center"/>
                </w:tcPr>
                <w:p w14:paraId="56E5BCC2" w14:textId="77777777" w:rsidR="00644B5F" w:rsidRPr="00BC31E0" w:rsidRDefault="00A51873" w:rsidP="00644B5F">
                  <w:pPr>
                    <w:rPr>
                      <w:rFonts w:asciiTheme="minorHAnsi" w:eastAsiaTheme="minorEastAsia" w:hAnsiTheme="minorEastAsia"/>
                    </w:rPr>
                  </w:pPr>
                  <m:oMathPara>
                    <m:oMathParaPr>
                      <m:jc m:val="left"/>
                    </m:oMathParaPr>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n</m:t>
                              </m:r>
                            </m:sub>
                          </m:sSub>
                        </m:num>
                        <m:den>
                          <m:r>
                            <w:rPr>
                              <w:rFonts w:ascii="Cambria Math" w:eastAsiaTheme="minorEastAsia" w:hAnsi="Cambria Math"/>
                            </w:rPr>
                            <m:t>25</m:t>
                          </m:r>
                        </m:den>
                      </m:f>
                      <m:r>
                        <w:rPr>
                          <w:rFonts w:ascii="Cambria Math" w:eastAsiaTheme="minorEastAsia" w:hAnsi="Cambria Math"/>
                        </w:rPr>
                        <m:t xml:space="preserve"> </m:t>
                      </m:r>
                      <m:r>
                        <m:rPr>
                          <m:sty m:val="p"/>
                        </m:rPr>
                        <w:rPr>
                          <w:rFonts w:ascii="Cambria Math" w:eastAsiaTheme="minorEastAsia" w:hAnsi="Cambria Math"/>
                        </w:rPr>
                        <m:t>h</m:t>
                      </m:r>
                    </m:oMath>
                  </m:oMathPara>
                </w:p>
              </w:tc>
            </w:tr>
          </w:tbl>
          <w:p w14:paraId="4E76B6DA" w14:textId="77777777" w:rsidR="00644B5F" w:rsidRPr="00BC31E0" w:rsidRDefault="00644B5F" w:rsidP="00644B5F">
            <w:pPr>
              <w:ind w:left="170"/>
              <w:rPr>
                <w:rFonts w:ascii="Cambria Math" w:eastAsiaTheme="minorEastAsia" w:hAnsi="Cambria Math"/>
              </w:rPr>
            </w:pPr>
            <w:r w:rsidRPr="00BC31E0">
              <w:rPr>
                <w:rFonts w:asciiTheme="minorHAnsi" w:eastAsiaTheme="minorEastAsia" w:hAnsiTheme="minorEastAsia"/>
              </w:rPr>
              <w:t>最小</w:t>
            </w:r>
            <w:r w:rsidRPr="00BC31E0">
              <w:rPr>
                <w:rFonts w:ascii="Cambria Math" w:eastAsiaTheme="minorEastAsia" w:hAnsi="Cambria Math"/>
              </w:rPr>
              <w:t>0.25 h</w:t>
            </w:r>
          </w:p>
          <w:p w14:paraId="3B51B6AB" w14:textId="77777777" w:rsidR="00644B5F" w:rsidRPr="00BC31E0" w:rsidRDefault="00644B5F" w:rsidP="00644B5F">
            <w:pPr>
              <w:rPr>
                <w:rFonts w:asciiTheme="minorHAnsi" w:eastAsiaTheme="minorEastAsia" w:hAnsiTheme="minorHAnsi"/>
              </w:rPr>
            </w:pPr>
          </w:p>
          <w:p w14:paraId="48D9800F" w14:textId="77777777" w:rsidR="00644B5F" w:rsidRPr="00BC31E0" w:rsidRDefault="00A51873" w:rsidP="00644B5F">
            <w:pPr>
              <w:rPr>
                <w:rFonts w:asciiTheme="minorHAnsi" w:eastAsiaTheme="minorEastAsia" w:hAnsiTheme="minorHAnsi"/>
              </w:rPr>
            </w:pPr>
            <m:oMath>
              <m:sSub>
                <m:sSubPr>
                  <m:ctrlPr>
                    <w:rPr>
                      <w:rFonts w:ascii="Cambria Math" w:eastAsiaTheme="minorEastAsia" w:hAnsi="Cambria Math"/>
                    </w:rPr>
                  </m:ctrlPr>
                </m:sSubPr>
                <m:e>
                  <m:r>
                    <w:rPr>
                      <w:rFonts w:ascii="Cambria Math" w:eastAsiaTheme="minorEastAsia" w:hAnsi="Cambria Math"/>
                    </w:rPr>
                    <m:t>50&lt;t</m:t>
                  </m:r>
                </m:e>
                <m:sub>
                  <m:r>
                    <w:rPr>
                      <w:rFonts w:ascii="Cambria Math" w:eastAsiaTheme="minorEastAsia" w:hAnsi="Cambria Math"/>
                    </w:rPr>
                    <m:t>n</m:t>
                  </m:r>
                </m:sub>
              </m:sSub>
              <m:r>
                <w:rPr>
                  <w:rFonts w:ascii="Cambria Math" w:eastAsiaTheme="minorEastAsia" w:hAnsi="Cambria Math" w:hint="eastAsia"/>
                </w:rPr>
                <m:t>≦</m:t>
              </m:r>
              <m:r>
                <w:rPr>
                  <w:rFonts w:ascii="Cambria Math" w:eastAsiaTheme="minorEastAsia" w:hAnsi="Cambria Math"/>
                </w:rPr>
                <m:t xml:space="preserve">125 </m:t>
              </m:r>
            </m:oMath>
            <w:r w:rsidR="00644B5F" w:rsidRPr="00BC31E0">
              <w:rPr>
                <w:rFonts w:ascii="Cambria Math" w:eastAsiaTheme="minorEastAsia" w:hAnsi="Cambria Math"/>
              </w:rPr>
              <w:t>mm</w:t>
            </w:r>
          </w:p>
          <w:p w14:paraId="5B12934B" w14:textId="77777777" w:rsidR="00644B5F" w:rsidRPr="00BC31E0" w:rsidRDefault="00644B5F" w:rsidP="00644B5F">
            <w:pPr>
              <w:ind w:left="170"/>
              <w:rPr>
                <w:rFonts w:ascii="Cambria Math" w:eastAsiaTheme="minorEastAsia" w:hAnsi="Cambria Math"/>
              </w:rPr>
            </w:pPr>
            <w:r w:rsidRPr="00BC31E0">
              <w:rPr>
                <w:rFonts w:ascii="Cambria Math" w:eastAsiaTheme="minorEastAsia" w:hAnsi="Cambria Math"/>
              </w:rPr>
              <w:t>595</w:t>
            </w:r>
            <w:r w:rsidRPr="00BC31E0">
              <w:rPr>
                <w:rFonts w:asciiTheme="minorHAnsi" w:hAnsiTheme="minorHAnsi"/>
              </w:rPr>
              <w:t>°C</w:t>
            </w:r>
          </w:p>
          <w:p w14:paraId="72A987E6" w14:textId="77777777" w:rsidR="00644B5F" w:rsidRPr="00BC31E0" w:rsidRDefault="00644B5F" w:rsidP="00644B5F">
            <w:pPr>
              <w:spacing w:line="360" w:lineRule="atLeast"/>
              <w:ind w:left="170"/>
              <w:rPr>
                <w:rFonts w:asciiTheme="minorHAnsi" w:eastAsiaTheme="minorEastAsia" w:hAnsiTheme="minorHAnsi" w:cstheme="minorBidi"/>
              </w:rPr>
            </w:pPr>
            <m:oMathPara>
              <m:oMathParaPr>
                <m:jc m:val="left"/>
              </m:oMathParaPr>
              <m:oMath>
                <m:r>
                  <w:rPr>
                    <w:rFonts w:ascii="Cambria Math" w:eastAsiaTheme="minorEastAsia" w:hAnsi="Cambria Math"/>
                  </w:rPr>
                  <m:t>2+</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n</m:t>
                        </m:r>
                      </m:sub>
                    </m:sSub>
                    <m:r>
                      <w:rPr>
                        <w:rFonts w:ascii="Cambria Math" w:eastAsiaTheme="minorEastAsia" w:hAnsi="Cambria Math"/>
                      </w:rPr>
                      <m:t>-50</m:t>
                    </m:r>
                  </m:num>
                  <m:den>
                    <m:r>
                      <w:rPr>
                        <w:rFonts w:ascii="Cambria Math" w:eastAsiaTheme="minorEastAsia" w:hAnsi="Cambria Math"/>
                      </w:rPr>
                      <m:t>100</m:t>
                    </m:r>
                  </m:den>
                </m:f>
                <m:r>
                  <w:rPr>
                    <w:rFonts w:ascii="Cambria Math" w:eastAsiaTheme="minorEastAsia" w:hAnsi="Cambria Math"/>
                  </w:rPr>
                  <m:t xml:space="preserve"> </m:t>
                </m:r>
                <m:r>
                  <m:rPr>
                    <m:sty m:val="p"/>
                  </m:rPr>
                  <w:rPr>
                    <w:rFonts w:ascii="Cambria Math" w:eastAsiaTheme="minorEastAsia" w:hAnsi="Cambria Math"/>
                  </w:rPr>
                  <m:t>h</m:t>
                </m:r>
              </m:oMath>
            </m:oMathPara>
          </w:p>
          <w:p w14:paraId="6CCF72B8" w14:textId="77777777" w:rsidR="00644B5F" w:rsidRPr="00BC31E0" w:rsidRDefault="00644B5F" w:rsidP="00644B5F">
            <w:pPr>
              <w:rPr>
                <w:rFonts w:asciiTheme="minorHAnsi" w:eastAsiaTheme="minorEastAsia" w:hAnsiTheme="minorHAnsi"/>
              </w:rPr>
            </w:pPr>
          </w:p>
          <w:p w14:paraId="6D70F9E6" w14:textId="77777777" w:rsidR="00644B5F" w:rsidRPr="00BC31E0" w:rsidRDefault="00A51873" w:rsidP="00644B5F">
            <w:pPr>
              <w:rPr>
                <w:rFonts w:asciiTheme="minorHAnsi" w:eastAsiaTheme="minorEastAsia" w:hAnsiTheme="minorHAnsi"/>
              </w:rPr>
            </w:pPr>
            <m:oMath>
              <m:sSub>
                <m:sSubPr>
                  <m:ctrlPr>
                    <w:rPr>
                      <w:rFonts w:ascii="Cambria Math" w:eastAsiaTheme="minorEastAsia" w:hAnsi="Cambria Math"/>
                    </w:rPr>
                  </m:ctrlPr>
                </m:sSubPr>
                <m:e>
                  <m:r>
                    <w:rPr>
                      <w:rFonts w:ascii="Cambria Math" w:eastAsiaTheme="minorEastAsia" w:hAnsi="Cambria Math"/>
                    </w:rPr>
                    <m:t>t</m:t>
                  </m:r>
                </m:e>
                <m:sub>
                  <m:r>
                    <w:rPr>
                      <w:rFonts w:ascii="Cambria Math" w:eastAsiaTheme="minorEastAsia" w:hAnsi="Cambria Math"/>
                    </w:rPr>
                    <m:t>n</m:t>
                  </m:r>
                </m:sub>
              </m:sSub>
              <m:r>
                <w:rPr>
                  <w:rFonts w:ascii="Cambria Math" w:eastAsiaTheme="minorEastAsia" w:hAnsi="Cambria Math"/>
                </w:rPr>
                <m:t xml:space="preserve">&gt;125 </m:t>
              </m:r>
            </m:oMath>
            <w:r w:rsidR="00644B5F" w:rsidRPr="00BC31E0">
              <w:rPr>
                <w:rFonts w:ascii="Cambria Math" w:eastAsiaTheme="minorEastAsia" w:hAnsi="Cambria Math"/>
              </w:rPr>
              <w:t>mm</w:t>
            </w:r>
          </w:p>
          <w:p w14:paraId="222FCC8A" w14:textId="77777777" w:rsidR="00644B5F" w:rsidRPr="00BC31E0" w:rsidRDefault="00644B5F" w:rsidP="00644B5F">
            <w:pPr>
              <w:ind w:left="170"/>
              <w:rPr>
                <w:rFonts w:ascii="Cambria Math" w:eastAsiaTheme="minorEastAsia" w:hAnsi="Cambria Math"/>
              </w:rPr>
            </w:pPr>
            <w:r w:rsidRPr="00BC31E0">
              <w:rPr>
                <w:rFonts w:ascii="Cambria Math" w:eastAsiaTheme="minorEastAsia" w:hAnsi="Cambria Math"/>
              </w:rPr>
              <w:t>595</w:t>
            </w:r>
            <w:r w:rsidRPr="00BC31E0">
              <w:rPr>
                <w:rFonts w:asciiTheme="minorHAnsi" w:hAnsiTheme="minorHAnsi"/>
              </w:rPr>
              <w:t>°C</w:t>
            </w:r>
          </w:p>
          <w:p w14:paraId="1EC697D6" w14:textId="77777777" w:rsidR="00644B5F" w:rsidRPr="00BC31E0" w:rsidRDefault="00644B5F" w:rsidP="00644B5F">
            <w:pPr>
              <w:spacing w:line="360" w:lineRule="atLeast"/>
              <w:ind w:left="170"/>
              <w:rPr>
                <w:rFonts w:asciiTheme="minorHAnsi" w:eastAsiaTheme="minorEastAsia" w:hAnsiTheme="minorHAnsi" w:cstheme="minorBidi"/>
              </w:rPr>
            </w:pPr>
            <m:oMathPara>
              <m:oMathParaPr>
                <m:jc m:val="left"/>
              </m:oMathParaPr>
              <m:oMath>
                <m:r>
                  <w:rPr>
                    <w:rFonts w:ascii="Cambria Math" w:eastAsiaTheme="minorEastAsia" w:hAnsi="Cambria Math"/>
                  </w:rPr>
                  <m:t>2+</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n</m:t>
                        </m:r>
                      </m:sub>
                    </m:sSub>
                    <m:r>
                      <w:rPr>
                        <w:rFonts w:ascii="Cambria Math" w:eastAsiaTheme="minorEastAsia" w:hAnsi="Cambria Math"/>
                      </w:rPr>
                      <m:t>-50</m:t>
                    </m:r>
                  </m:num>
                  <m:den>
                    <m:r>
                      <w:rPr>
                        <w:rFonts w:ascii="Cambria Math" w:eastAsiaTheme="minorEastAsia" w:hAnsi="Cambria Math"/>
                      </w:rPr>
                      <m:t>100</m:t>
                    </m:r>
                  </m:den>
                </m:f>
                <m:r>
                  <w:rPr>
                    <w:rFonts w:ascii="Cambria Math" w:eastAsiaTheme="minorEastAsia" w:hAnsi="Cambria Math"/>
                  </w:rPr>
                  <m:t xml:space="preserve"> </m:t>
                </m:r>
                <m:r>
                  <m:rPr>
                    <m:sty m:val="p"/>
                  </m:rPr>
                  <w:rPr>
                    <w:rFonts w:ascii="Cambria Math" w:eastAsiaTheme="minorEastAsia" w:hAnsi="Cambria Math"/>
                  </w:rPr>
                  <m:t>h</m:t>
                </m:r>
              </m:oMath>
            </m:oMathPara>
          </w:p>
          <w:p w14:paraId="43BBAE14" w14:textId="77777777" w:rsidR="00644B5F" w:rsidRPr="00BC31E0" w:rsidRDefault="00644B5F" w:rsidP="00644B5F">
            <w:pPr>
              <w:rPr>
                <w:rFonts w:asciiTheme="minorHAnsi" w:eastAsiaTheme="minorEastAsia" w:hAnsiTheme="minorEastAsia"/>
              </w:rPr>
            </w:pPr>
          </w:p>
        </w:tc>
      </w:tr>
    </w:tbl>
    <w:p w14:paraId="5C19369D" w14:textId="77777777" w:rsidR="00644B5F" w:rsidRPr="00BC31E0" w:rsidRDefault="00644B5F" w:rsidP="00644B5F">
      <w:pPr>
        <w:spacing w:before="60"/>
      </w:pPr>
      <w:r w:rsidRPr="00BC31E0">
        <w:rPr>
          <w:rFonts w:asciiTheme="majorEastAsia" w:eastAsiaTheme="majorEastAsia" w:hAnsiTheme="majorEastAsia" w:hint="eastAsia"/>
          <w:b/>
        </w:rPr>
        <w:t>注記</w:t>
      </w:r>
      <w:r w:rsidRPr="00BC31E0">
        <w:rPr>
          <w:rFonts w:asciiTheme="minorHAnsi" w:eastAsiaTheme="minorEastAsia" w:hAnsiTheme="minorHAnsi" w:hint="eastAsia"/>
        </w:rPr>
        <w:t xml:space="preserve">　</w:t>
      </w:r>
      <m:oMath>
        <m:sSub>
          <m:sSubPr>
            <m:ctrlPr>
              <w:rPr>
                <w:rFonts w:ascii="Cambria Math" w:eastAsiaTheme="minorEastAsia" w:hAnsi="Cambria Math"/>
              </w:rPr>
            </m:ctrlPr>
          </m:sSubPr>
          <m:e>
            <m:r>
              <w:rPr>
                <w:rFonts w:ascii="Cambria Math" w:eastAsiaTheme="minorEastAsia" w:hAnsi="Cambria Math" w:hint="eastAsia"/>
              </w:rPr>
              <m:t>t</m:t>
            </m:r>
          </m:e>
          <m:sub>
            <m:r>
              <w:rPr>
                <w:rFonts w:ascii="Cambria Math" w:eastAsiaTheme="minorEastAsia" w:hAnsi="Cambria Math"/>
              </w:rPr>
              <m:t>n</m:t>
            </m:r>
          </m:sub>
        </m:sSub>
        <m:r>
          <m:rPr>
            <m:sty m:val="p"/>
          </m:rPr>
          <w:rPr>
            <w:rFonts w:ascii="Cambria Math" w:eastAsiaTheme="minorEastAsia" w:hAnsi="Cambria Math"/>
          </w:rPr>
          <m:t xml:space="preserve"> </m:t>
        </m:r>
      </m:oMath>
      <w:r w:rsidRPr="00BC31E0">
        <w:rPr>
          <w:rFonts w:asciiTheme="minorHAnsi" w:eastAsiaTheme="minorEastAsia" w:hAnsiTheme="minorHAnsi" w:hint="eastAsia"/>
        </w:rPr>
        <w:t>は，</w:t>
      </w:r>
      <w:r w:rsidRPr="00BC31E0">
        <w:rPr>
          <w:rFonts w:asciiTheme="majorEastAsia" w:eastAsiaTheme="majorEastAsia" w:hAnsiTheme="majorEastAsia" w:hint="eastAsia"/>
          <w:b/>
        </w:rPr>
        <w:t>7.4.1 b) 4)</w:t>
      </w:r>
      <w:r w:rsidRPr="00BC31E0">
        <w:rPr>
          <w:rFonts w:asciiTheme="minorHAnsi" w:eastAsiaTheme="minorEastAsia" w:hAnsiTheme="minorHAnsi" w:hint="eastAsia"/>
        </w:rPr>
        <w:t>で規定する公称厚さ</w:t>
      </w:r>
      <w:r w:rsidRPr="00BC31E0">
        <w:rPr>
          <w:rFonts w:asciiTheme="minorHAnsi" w:eastAsiaTheme="minorEastAsia" w:hAnsiTheme="minorHAnsi" w:hint="eastAsia"/>
        </w:rPr>
        <w:t>(</w:t>
      </w:r>
      <w:r w:rsidRPr="00BC31E0">
        <w:rPr>
          <w:rFonts w:ascii="Cambria Math" w:eastAsiaTheme="minorEastAsia" w:hAnsi="Cambria Math"/>
        </w:rPr>
        <w:t>mm</w:t>
      </w:r>
      <w:r w:rsidRPr="00BC31E0">
        <w:rPr>
          <w:rFonts w:asciiTheme="minorHAnsi" w:eastAsiaTheme="minorEastAsia" w:hAnsiTheme="minorHAnsi" w:hint="eastAsia"/>
        </w:rPr>
        <w:t>)</w:t>
      </w:r>
      <w:r w:rsidRPr="00BC31E0">
        <w:rPr>
          <w:rFonts w:asciiTheme="minorHAnsi" w:eastAsiaTheme="minorEastAsia" w:hAnsiTheme="minorHAnsi" w:hint="eastAsia"/>
        </w:rPr>
        <w:t>である。</w:t>
      </w:r>
    </w:p>
    <w:p w14:paraId="4E511235" w14:textId="77777777" w:rsidR="00644B5F" w:rsidRPr="00BC31E0" w:rsidRDefault="00644B5F" w:rsidP="00644B5F"/>
    <w:p w14:paraId="173447AF" w14:textId="77777777" w:rsidR="004E6CCF" w:rsidRPr="00BC31E0" w:rsidRDefault="004E6CCF">
      <w:pPr>
        <w:widowControl/>
        <w:jc w:val="left"/>
      </w:pPr>
      <w:r w:rsidRPr="00BC31E0">
        <w:br w:type="page"/>
      </w:r>
    </w:p>
    <w:p w14:paraId="4BAEC28A" w14:textId="77777777" w:rsidR="00644B5F" w:rsidRPr="00BC31E0" w:rsidRDefault="00644B5F" w:rsidP="002B049D">
      <w:pPr>
        <w:pStyle w:val="af4"/>
      </w:pPr>
      <w:r w:rsidRPr="00BC31E0">
        <w:rPr>
          <w:rFonts w:hint="eastAsia"/>
        </w:rPr>
        <w:lastRenderedPageBreak/>
        <w:t>表7.4.4</w:t>
      </w:r>
      <w:r w:rsidRPr="00BC31E0">
        <w:t xml:space="preserve">　溶接後熱処理</w:t>
      </w:r>
      <w:r w:rsidRPr="00BC31E0">
        <w:rPr>
          <w:rFonts w:hint="eastAsia"/>
        </w:rPr>
        <w:t>の温度及び時間</w:t>
      </w:r>
    </w:p>
    <w:p w14:paraId="0A6A0A4B" w14:textId="77777777" w:rsidR="00644B5F" w:rsidRPr="00BC31E0" w:rsidRDefault="00644B5F" w:rsidP="002B049D">
      <w:pPr>
        <w:pStyle w:val="af4"/>
      </w:pPr>
      <w:r w:rsidRPr="00BC31E0">
        <w:t>(P</w:t>
      </w:r>
      <w:r w:rsidRPr="00BC31E0">
        <w:rPr>
          <w:rFonts w:hint="eastAsia"/>
        </w:rPr>
        <w:t>番号</w:t>
      </w:r>
      <w:r w:rsidRPr="00BC31E0">
        <w:t>4</w:t>
      </w:r>
      <w:r w:rsidRPr="00BC31E0">
        <w:rPr>
          <w:rFonts w:hint="eastAsia"/>
        </w:rPr>
        <w:t>グループ番号</w:t>
      </w:r>
      <w:r w:rsidRPr="00BC31E0">
        <w:t>1</w:t>
      </w:r>
      <w:r w:rsidRPr="00BC31E0">
        <w:rPr>
          <w:rFonts w:hint="eastAsia"/>
        </w:rPr>
        <w:t>及び</w:t>
      </w:r>
      <w:r w:rsidRPr="00BC31E0">
        <w:t>2</w:t>
      </w:r>
      <w:r w:rsidRPr="00BC31E0">
        <w:rPr>
          <w:rFonts w:hint="eastAsia"/>
        </w:rPr>
        <w:t>の材料</w:t>
      </w:r>
      <w:r w:rsidRPr="00BC31E0">
        <w:t>)</w:t>
      </w:r>
    </w:p>
    <w:tbl>
      <w:tblPr>
        <w:tblStyle w:val="100"/>
        <w:tblW w:w="0" w:type="auto"/>
        <w:tblInd w:w="108" w:type="dxa"/>
        <w:tblLook w:val="04A0" w:firstRow="1" w:lastRow="0" w:firstColumn="1" w:lastColumn="0" w:noHBand="0" w:noVBand="1"/>
      </w:tblPr>
      <w:tblGrid>
        <w:gridCol w:w="6946"/>
        <w:gridCol w:w="2126"/>
      </w:tblGrid>
      <w:tr w:rsidR="00644B5F" w:rsidRPr="00BC31E0" w14:paraId="161B93F9" w14:textId="77777777" w:rsidTr="004736F2">
        <w:tc>
          <w:tcPr>
            <w:tcW w:w="6946" w:type="dxa"/>
            <w:vAlign w:val="center"/>
          </w:tcPr>
          <w:p w14:paraId="211990C7" w14:textId="77777777" w:rsidR="00644B5F" w:rsidRPr="00BC31E0" w:rsidRDefault="00644B5F" w:rsidP="00644B5F">
            <w:pPr>
              <w:jc w:val="center"/>
              <w:rPr>
                <w:rFonts w:asciiTheme="minorHAnsi" w:eastAsiaTheme="minorEastAsia" w:hAnsiTheme="minorHAnsi"/>
              </w:rPr>
            </w:pPr>
            <w:r w:rsidRPr="00BC31E0">
              <w:rPr>
                <w:rFonts w:asciiTheme="minorHAnsi" w:eastAsiaTheme="minorEastAsia" w:hAnsiTheme="minorEastAsia"/>
              </w:rPr>
              <w:t>要求事項</w:t>
            </w:r>
          </w:p>
        </w:tc>
        <w:tc>
          <w:tcPr>
            <w:tcW w:w="2126" w:type="dxa"/>
            <w:vAlign w:val="center"/>
          </w:tcPr>
          <w:p w14:paraId="6CD3D83D" w14:textId="77777777" w:rsidR="00644B5F" w:rsidRPr="00BC31E0" w:rsidRDefault="00644B5F" w:rsidP="00644B5F">
            <w:pPr>
              <w:jc w:val="center"/>
              <w:rPr>
                <w:rFonts w:asciiTheme="minorHAnsi" w:eastAsiaTheme="minorEastAsia" w:hAnsiTheme="minorHAnsi"/>
              </w:rPr>
            </w:pPr>
            <w:r w:rsidRPr="00BC31E0">
              <w:rPr>
                <w:rFonts w:asciiTheme="minorHAnsi" w:eastAsiaTheme="minorEastAsia" w:hAnsiTheme="minorEastAsia"/>
              </w:rPr>
              <w:t>保持温度と保持時間</w:t>
            </w:r>
          </w:p>
        </w:tc>
      </w:tr>
      <w:tr w:rsidR="00644B5F" w:rsidRPr="00BC31E0" w14:paraId="4D0F6005" w14:textId="77777777" w:rsidTr="004736F2">
        <w:tc>
          <w:tcPr>
            <w:tcW w:w="6946" w:type="dxa"/>
          </w:tcPr>
          <w:p w14:paraId="3B087C04" w14:textId="77777777" w:rsidR="00644B5F" w:rsidRPr="00BC31E0" w:rsidRDefault="00644B5F" w:rsidP="00736130">
            <w:pPr>
              <w:numPr>
                <w:ilvl w:val="1"/>
                <w:numId w:val="167"/>
              </w:numPr>
              <w:ind w:left="340" w:hanging="340"/>
              <w:rPr>
                <w:rFonts w:asciiTheme="minorHAnsi" w:eastAsiaTheme="minorEastAsia" w:hAnsiTheme="minorHAnsi"/>
              </w:rPr>
            </w:pPr>
            <w:r w:rsidRPr="00BC31E0">
              <w:rPr>
                <w:rFonts w:asciiTheme="minorHAnsi" w:eastAsiaTheme="minorEastAsia" w:hAnsiTheme="minorEastAsia"/>
              </w:rPr>
              <w:t>次の</w:t>
            </w:r>
            <w:r w:rsidRPr="00BC31E0">
              <w:rPr>
                <w:rFonts w:asciiTheme="majorEastAsia" w:eastAsiaTheme="majorEastAsia" w:hAnsiTheme="majorEastAsia"/>
                <w:b/>
              </w:rPr>
              <w:t>1)</w:t>
            </w:r>
            <w:r w:rsidRPr="00BC31E0">
              <w:rPr>
                <w:rFonts w:asciiTheme="minorHAnsi" w:eastAsiaTheme="minorEastAsia" w:hAnsiTheme="minorEastAsia"/>
              </w:rPr>
              <w:t>及び</w:t>
            </w:r>
            <w:r w:rsidRPr="00BC31E0">
              <w:rPr>
                <w:rFonts w:asciiTheme="majorEastAsia" w:eastAsiaTheme="majorEastAsia" w:hAnsiTheme="majorEastAsia"/>
                <w:b/>
              </w:rPr>
              <w:t>2)</w:t>
            </w:r>
            <w:r w:rsidRPr="00BC31E0">
              <w:rPr>
                <w:rFonts w:asciiTheme="minorHAnsi" w:eastAsiaTheme="minorEastAsia" w:hAnsiTheme="minorEastAsia"/>
              </w:rPr>
              <w:t>の場合</w:t>
            </w:r>
            <w:r w:rsidRPr="00BC31E0">
              <w:rPr>
                <w:rFonts w:asciiTheme="minorHAnsi" w:eastAsiaTheme="minorEastAsia" w:hAnsiTheme="minorEastAsia" w:hint="eastAsia"/>
              </w:rPr>
              <w:t>には，</w:t>
            </w:r>
            <w:r w:rsidRPr="00BC31E0">
              <w:rPr>
                <w:rFonts w:asciiTheme="minorHAnsi" w:eastAsiaTheme="minorEastAsia" w:hAnsiTheme="minorEastAsia"/>
              </w:rPr>
              <w:t>溶接後熱処理</w:t>
            </w:r>
            <w:r w:rsidRPr="00BC31E0">
              <w:rPr>
                <w:rFonts w:asciiTheme="minorHAnsi" w:eastAsiaTheme="minorEastAsia" w:hAnsiTheme="minorEastAsia" w:hint="eastAsia"/>
              </w:rPr>
              <w:t>が必要である</w:t>
            </w:r>
            <w:r w:rsidRPr="00BC31E0">
              <w:rPr>
                <w:rFonts w:asciiTheme="minorHAnsi" w:eastAsiaTheme="minorEastAsia" w:hAnsiTheme="minorEastAsia"/>
              </w:rPr>
              <w:t>。</w:t>
            </w:r>
          </w:p>
          <w:p w14:paraId="4F8A8702" w14:textId="77777777" w:rsidR="00644B5F" w:rsidRPr="00BC31E0" w:rsidRDefault="00644B5F" w:rsidP="00736130">
            <w:pPr>
              <w:numPr>
                <w:ilvl w:val="1"/>
                <w:numId w:val="168"/>
              </w:numPr>
              <w:ind w:left="567" w:hanging="340"/>
              <w:rPr>
                <w:rFonts w:asciiTheme="minorHAnsi" w:eastAsiaTheme="minorEastAsia" w:hAnsiTheme="minorHAnsi"/>
              </w:rPr>
            </w:pPr>
            <w:r w:rsidRPr="00BC31E0">
              <w:rPr>
                <w:rFonts w:asciiTheme="minorHAnsi" w:eastAsiaTheme="minorEastAsia" w:hAnsiTheme="minorEastAsia"/>
              </w:rPr>
              <w:t>直火を受ける全ての厚さの耐圧部</w:t>
            </w:r>
            <w:r w:rsidRPr="00BC31E0">
              <w:rPr>
                <w:rFonts w:asciiTheme="minorHAnsi" w:eastAsiaTheme="minorEastAsia" w:hAnsiTheme="minorEastAsia" w:hint="eastAsia"/>
              </w:rPr>
              <w:t>材</w:t>
            </w:r>
          </w:p>
          <w:p w14:paraId="106A449A" w14:textId="77777777" w:rsidR="00644B5F" w:rsidRPr="00BC31E0" w:rsidRDefault="00644B5F" w:rsidP="00736130">
            <w:pPr>
              <w:numPr>
                <w:ilvl w:val="1"/>
                <w:numId w:val="168"/>
              </w:numPr>
              <w:ind w:left="567" w:hanging="340"/>
              <w:rPr>
                <w:rFonts w:asciiTheme="minorHAnsi" w:eastAsiaTheme="minorEastAsia" w:hAnsiTheme="minorHAnsi"/>
              </w:rPr>
            </w:pPr>
            <w:r w:rsidRPr="00BC31E0">
              <w:rPr>
                <w:rFonts w:asciiTheme="minorEastAsia" w:eastAsiaTheme="minorEastAsia" w:hAnsiTheme="minorEastAsia" w:hint="eastAsia"/>
              </w:rPr>
              <w:t>その他の全ての</w:t>
            </w:r>
            <w:r w:rsidRPr="00BC31E0">
              <w:rPr>
                <w:rFonts w:asciiTheme="minorHAnsi" w:eastAsiaTheme="minorEastAsia" w:hAnsiTheme="minorEastAsia" w:hint="eastAsia"/>
              </w:rPr>
              <w:t>グループ番号</w:t>
            </w:r>
            <w:r w:rsidRPr="00BC31E0">
              <w:rPr>
                <w:rFonts w:asciiTheme="minorHAnsi" w:eastAsiaTheme="minorEastAsia" w:hAnsiTheme="minorEastAsia" w:hint="eastAsia"/>
              </w:rPr>
              <w:t>1</w:t>
            </w:r>
            <w:r w:rsidRPr="00BC31E0">
              <w:rPr>
                <w:rFonts w:asciiTheme="minorHAnsi" w:eastAsiaTheme="minorEastAsia" w:hAnsiTheme="minorEastAsia"/>
              </w:rPr>
              <w:t>及び</w:t>
            </w:r>
            <w:r w:rsidRPr="00BC31E0">
              <w:rPr>
                <w:rFonts w:asciiTheme="minorHAnsi" w:eastAsiaTheme="minorEastAsia" w:hAnsiTheme="minorHAnsi"/>
              </w:rPr>
              <w:t>2</w:t>
            </w:r>
            <w:r w:rsidRPr="00BC31E0">
              <w:rPr>
                <w:rFonts w:asciiTheme="minorHAnsi" w:eastAsiaTheme="minorEastAsia" w:hAnsiTheme="minorEastAsia"/>
              </w:rPr>
              <w:t>の材料</w:t>
            </w:r>
          </w:p>
          <w:p w14:paraId="57D6787F" w14:textId="77777777" w:rsidR="00644B5F" w:rsidRPr="00BC31E0" w:rsidRDefault="00644B5F" w:rsidP="00736130">
            <w:pPr>
              <w:numPr>
                <w:ilvl w:val="1"/>
                <w:numId w:val="167"/>
              </w:numPr>
              <w:ind w:left="340" w:hanging="340"/>
              <w:rPr>
                <w:rFonts w:asciiTheme="minorHAnsi" w:eastAsiaTheme="minorEastAsia" w:hAnsiTheme="minorHAnsi"/>
              </w:rPr>
            </w:pPr>
            <w:r w:rsidRPr="00BC31E0">
              <w:rPr>
                <w:rFonts w:asciiTheme="minorHAnsi" w:eastAsiaTheme="minorEastAsia" w:hAnsiTheme="minorEastAsia"/>
              </w:rPr>
              <w:t>次の</w:t>
            </w:r>
            <w:r w:rsidRPr="00BC31E0">
              <w:rPr>
                <w:rFonts w:asciiTheme="majorEastAsia" w:eastAsiaTheme="majorEastAsia" w:hAnsiTheme="majorEastAsia"/>
                <w:b/>
              </w:rPr>
              <w:t>1)</w:t>
            </w:r>
            <w:r w:rsidRPr="00BC31E0">
              <w:rPr>
                <w:rFonts w:asciiTheme="minorHAnsi" w:eastAsiaTheme="minorEastAsia" w:hAnsiTheme="minorEastAsia"/>
              </w:rPr>
              <w:t>～</w:t>
            </w:r>
            <w:r w:rsidRPr="00BC31E0">
              <w:rPr>
                <w:rFonts w:asciiTheme="majorEastAsia" w:eastAsiaTheme="majorEastAsia" w:hAnsiTheme="majorEastAsia"/>
                <w:b/>
              </w:rPr>
              <w:t>5)</w:t>
            </w:r>
            <w:r w:rsidRPr="00BC31E0">
              <w:rPr>
                <w:rFonts w:asciiTheme="minorHAnsi" w:eastAsiaTheme="minorEastAsia" w:hAnsiTheme="minorEastAsia"/>
              </w:rPr>
              <w:t>の場合に</w:t>
            </w:r>
            <w:r w:rsidRPr="00BC31E0">
              <w:rPr>
                <w:rFonts w:asciiTheme="minorHAnsi" w:eastAsiaTheme="minorEastAsia" w:hAnsiTheme="minorEastAsia" w:hint="eastAsia"/>
              </w:rPr>
              <w:t>は，</w:t>
            </w:r>
            <w:r w:rsidRPr="00BC31E0">
              <w:rPr>
                <w:rFonts w:asciiTheme="minorHAnsi" w:eastAsiaTheme="minorEastAsia" w:hAnsiTheme="minorEastAsia"/>
              </w:rPr>
              <w:t>溶接後熱処理の必要はない。</w:t>
            </w:r>
          </w:p>
          <w:p w14:paraId="59D994F3" w14:textId="77777777" w:rsidR="00644B5F" w:rsidRPr="00BC31E0" w:rsidRDefault="00644B5F" w:rsidP="00736130">
            <w:pPr>
              <w:numPr>
                <w:ilvl w:val="1"/>
                <w:numId w:val="169"/>
              </w:numPr>
              <w:ind w:left="567" w:hanging="340"/>
              <w:rPr>
                <w:rFonts w:asciiTheme="minorHAnsi" w:eastAsiaTheme="minorEastAsia" w:hAnsiTheme="minorHAnsi"/>
              </w:rPr>
            </w:pPr>
            <w:r w:rsidRPr="00BC31E0">
              <w:rPr>
                <w:rFonts w:asciiTheme="minorHAnsi" w:eastAsiaTheme="minorEastAsia" w:hAnsiTheme="minorEastAsia"/>
              </w:rPr>
              <w:t>次の</w:t>
            </w:r>
            <w:r w:rsidRPr="00BC31E0">
              <w:rPr>
                <w:rFonts w:asciiTheme="majorEastAsia" w:eastAsiaTheme="majorEastAsia" w:hAnsiTheme="majorEastAsia" w:hint="eastAsia"/>
                <w:b/>
              </w:rPr>
              <w:t>1.1</w:t>
            </w:r>
            <w:r w:rsidRPr="00BC31E0">
              <w:rPr>
                <w:rFonts w:asciiTheme="majorEastAsia" w:eastAsiaTheme="majorEastAsia" w:hAnsiTheme="majorEastAsia"/>
                <w:b/>
              </w:rPr>
              <w:t>)</w:t>
            </w:r>
            <w:r w:rsidRPr="00BC31E0">
              <w:rPr>
                <w:rFonts w:asciiTheme="minorHAnsi" w:eastAsiaTheme="minorEastAsia" w:hAnsiTheme="minorEastAsia"/>
              </w:rPr>
              <w:t>～</w:t>
            </w:r>
            <w:r w:rsidRPr="00BC31E0">
              <w:rPr>
                <w:rFonts w:asciiTheme="majorEastAsia" w:eastAsiaTheme="majorEastAsia" w:hAnsiTheme="majorEastAsia" w:hint="eastAsia"/>
                <w:b/>
              </w:rPr>
              <w:t>1.3)</w:t>
            </w:r>
            <w:r w:rsidRPr="00BC31E0">
              <w:rPr>
                <w:rFonts w:asciiTheme="minorHAnsi" w:eastAsiaTheme="minorEastAsia" w:hAnsiTheme="minorHAnsi" w:hint="eastAsia"/>
              </w:rPr>
              <w:t>の全て</w:t>
            </w:r>
            <w:r w:rsidRPr="00BC31E0">
              <w:rPr>
                <w:rFonts w:asciiTheme="minorHAnsi" w:eastAsiaTheme="minorEastAsia" w:hAnsiTheme="minorEastAsia" w:hint="eastAsia"/>
              </w:rPr>
              <w:t>の要件を満たす</w:t>
            </w:r>
            <w:r w:rsidRPr="00BC31E0">
              <w:rPr>
                <w:rFonts w:asciiTheme="minorHAnsi" w:eastAsiaTheme="minorEastAsia" w:hAnsiTheme="minorEastAsia"/>
              </w:rPr>
              <w:t>パイプ又は管の周方向突合せ溶接</w:t>
            </w:r>
          </w:p>
          <w:p w14:paraId="0B340EF0" w14:textId="77777777" w:rsidR="00644B5F" w:rsidRPr="00BC31E0" w:rsidRDefault="00644B5F" w:rsidP="00736130">
            <w:pPr>
              <w:numPr>
                <w:ilvl w:val="0"/>
                <w:numId w:val="171"/>
              </w:numPr>
              <w:ind w:left="1021" w:hanging="567"/>
              <w:rPr>
                <w:rFonts w:asciiTheme="minorHAnsi" w:eastAsiaTheme="minorEastAsia" w:hAnsiTheme="minorHAnsi"/>
              </w:rPr>
            </w:pPr>
            <w:r w:rsidRPr="00BC31E0">
              <w:rPr>
                <w:rFonts w:asciiTheme="minorHAnsi" w:eastAsiaTheme="minorEastAsia" w:hAnsiTheme="minorEastAsia"/>
              </w:rPr>
              <w:t>公称厚さが</w:t>
            </w:r>
            <w:r w:rsidRPr="00BC31E0">
              <w:rPr>
                <w:rFonts w:ascii="Cambria Math" w:eastAsiaTheme="minorEastAsia" w:hAnsi="Cambria Math"/>
              </w:rPr>
              <w:t>16 mm</w:t>
            </w:r>
            <w:r w:rsidRPr="00BC31E0">
              <w:rPr>
                <w:rFonts w:asciiTheme="minorHAnsi" w:eastAsiaTheme="minorEastAsia" w:hAnsiTheme="minorEastAsia"/>
              </w:rPr>
              <w:t>以下</w:t>
            </w:r>
            <w:r w:rsidRPr="00BC31E0">
              <w:rPr>
                <w:rFonts w:asciiTheme="minorHAnsi" w:eastAsiaTheme="minorEastAsia" w:hAnsiTheme="minorEastAsia" w:hint="eastAsia"/>
              </w:rPr>
              <w:t>である。</w:t>
            </w:r>
          </w:p>
          <w:p w14:paraId="672DCCCD" w14:textId="77777777" w:rsidR="00644B5F" w:rsidRPr="00BC31E0" w:rsidRDefault="00644B5F" w:rsidP="00736130">
            <w:pPr>
              <w:numPr>
                <w:ilvl w:val="0"/>
                <w:numId w:val="171"/>
              </w:numPr>
              <w:ind w:left="1021" w:hanging="567"/>
              <w:rPr>
                <w:rFonts w:asciiTheme="minorHAnsi" w:eastAsiaTheme="minorEastAsia" w:hAnsiTheme="minorHAnsi"/>
              </w:rPr>
            </w:pPr>
            <w:r w:rsidRPr="00BC31E0">
              <w:rPr>
                <w:rFonts w:asciiTheme="minorHAnsi" w:eastAsiaTheme="minorEastAsia" w:hAnsiTheme="minorEastAsia"/>
              </w:rPr>
              <w:t>規定炭素含有量が</w:t>
            </w:r>
            <w:r w:rsidRPr="00BC31E0">
              <w:rPr>
                <w:rFonts w:ascii="Cambria Math" w:eastAsiaTheme="minorEastAsia" w:hAnsi="Cambria Math"/>
              </w:rPr>
              <w:t>0.15</w:t>
            </w:r>
            <w:r w:rsidRPr="00BC31E0">
              <w:rPr>
                <w:rFonts w:ascii="Cambria Math" w:eastAsiaTheme="minorEastAsia" w:hAnsi="Cambria Math" w:hint="eastAsia"/>
              </w:rPr>
              <w:t xml:space="preserve"> </w:t>
            </w:r>
            <w:r w:rsidRPr="00BC31E0">
              <w:rPr>
                <w:rFonts w:ascii="Cambria Math" w:eastAsiaTheme="minorEastAsia" w:hAnsi="Cambria Math"/>
              </w:rPr>
              <w:t>%</w:t>
            </w:r>
            <w:r w:rsidRPr="00BC31E0">
              <w:rPr>
                <w:rFonts w:asciiTheme="minorHAnsi" w:eastAsiaTheme="minorEastAsia" w:hAnsiTheme="minorEastAsia"/>
              </w:rPr>
              <w:t>以下</w:t>
            </w:r>
            <w:r w:rsidRPr="00BC31E0">
              <w:rPr>
                <w:rFonts w:asciiTheme="minorHAnsi" w:eastAsiaTheme="minorEastAsia" w:hAnsiTheme="minorEastAsia" w:hint="eastAsia"/>
              </w:rPr>
              <w:t>である。</w:t>
            </w:r>
          </w:p>
          <w:p w14:paraId="6316B67A" w14:textId="77777777" w:rsidR="00644B5F" w:rsidRPr="00BC31E0" w:rsidRDefault="00644B5F" w:rsidP="00736130">
            <w:pPr>
              <w:numPr>
                <w:ilvl w:val="0"/>
                <w:numId w:val="171"/>
              </w:numPr>
              <w:ind w:left="1021" w:hanging="567"/>
              <w:rPr>
                <w:rFonts w:asciiTheme="minorHAnsi" w:eastAsiaTheme="minorEastAsia" w:hAnsiTheme="minorHAnsi"/>
              </w:rPr>
            </w:pPr>
            <w:r w:rsidRPr="00BC31E0">
              <w:rPr>
                <w:rFonts w:asciiTheme="minorHAnsi" w:eastAsiaTheme="minorEastAsia" w:hAnsiTheme="minorEastAsia"/>
              </w:rPr>
              <w:t>予熱温度が</w:t>
            </w:r>
            <w:r w:rsidRPr="00BC31E0">
              <w:rPr>
                <w:rFonts w:ascii="Cambria Math" w:eastAsiaTheme="minorEastAsia" w:hAnsi="Cambria Math"/>
              </w:rPr>
              <w:t>120</w:t>
            </w:r>
            <w:r w:rsidRPr="00BC31E0">
              <w:rPr>
                <w:rFonts w:asciiTheme="minorHAnsi" w:hAnsiTheme="minorHAnsi"/>
              </w:rPr>
              <w:t>°C</w:t>
            </w:r>
            <w:r w:rsidRPr="00BC31E0">
              <w:rPr>
                <w:rFonts w:asciiTheme="minorHAnsi" w:eastAsiaTheme="minorEastAsia" w:hAnsiTheme="minorEastAsia"/>
              </w:rPr>
              <w:t>以上</w:t>
            </w:r>
            <w:r w:rsidRPr="00BC31E0">
              <w:rPr>
                <w:rFonts w:asciiTheme="minorHAnsi" w:eastAsiaTheme="minorEastAsia" w:hAnsiTheme="minorEastAsia" w:hint="eastAsia"/>
              </w:rPr>
              <w:t>である。</w:t>
            </w:r>
          </w:p>
          <w:p w14:paraId="796356A2" w14:textId="77777777" w:rsidR="00644B5F" w:rsidRPr="00BC31E0" w:rsidRDefault="00644B5F" w:rsidP="00736130">
            <w:pPr>
              <w:numPr>
                <w:ilvl w:val="1"/>
                <w:numId w:val="169"/>
              </w:numPr>
              <w:ind w:left="567" w:hanging="340"/>
              <w:rPr>
                <w:rFonts w:asciiTheme="minorHAnsi" w:eastAsiaTheme="minorEastAsia" w:hAnsiTheme="minorHAnsi"/>
              </w:rPr>
            </w:pPr>
            <w:r w:rsidRPr="00BC31E0">
              <w:rPr>
                <w:rFonts w:asciiTheme="minorHAnsi" w:eastAsiaTheme="minorEastAsia" w:hAnsiTheme="minorEastAsia"/>
              </w:rPr>
              <w:t>次の</w:t>
            </w:r>
            <w:r w:rsidRPr="00BC31E0">
              <w:rPr>
                <w:rFonts w:asciiTheme="majorEastAsia" w:eastAsiaTheme="majorEastAsia" w:hAnsiTheme="majorEastAsia" w:hint="eastAsia"/>
                <w:b/>
              </w:rPr>
              <w:t>2.1</w:t>
            </w:r>
            <w:r w:rsidRPr="00BC31E0">
              <w:rPr>
                <w:rFonts w:asciiTheme="majorEastAsia" w:eastAsiaTheme="majorEastAsia" w:hAnsiTheme="majorEastAsia"/>
                <w:b/>
              </w:rPr>
              <w:t>)</w:t>
            </w:r>
            <w:r w:rsidRPr="00BC31E0">
              <w:rPr>
                <w:rFonts w:asciiTheme="minorEastAsia" w:eastAsiaTheme="minorEastAsia" w:hAnsiTheme="minorEastAsia" w:hint="eastAsia"/>
              </w:rPr>
              <w:t>及び</w:t>
            </w:r>
            <w:r w:rsidRPr="00BC31E0">
              <w:rPr>
                <w:rFonts w:asciiTheme="majorEastAsia" w:eastAsiaTheme="majorEastAsia" w:hAnsiTheme="majorEastAsia" w:hint="eastAsia"/>
                <w:b/>
              </w:rPr>
              <w:t>2.2</w:t>
            </w:r>
            <w:r w:rsidRPr="00BC31E0">
              <w:rPr>
                <w:rFonts w:asciiTheme="majorEastAsia" w:eastAsiaTheme="majorEastAsia" w:hAnsiTheme="majorEastAsia"/>
                <w:b/>
              </w:rPr>
              <w:t>)</w:t>
            </w:r>
            <w:r w:rsidRPr="00BC31E0">
              <w:rPr>
                <w:rFonts w:asciiTheme="minorHAnsi" w:eastAsiaTheme="minorEastAsia" w:hAnsiTheme="minorEastAsia" w:hint="eastAsia"/>
              </w:rPr>
              <w:t>の要件を満たすならば，</w:t>
            </w:r>
            <w:r w:rsidRPr="00BC31E0">
              <w:rPr>
                <w:rFonts w:asciiTheme="minorHAnsi" w:eastAsiaTheme="minorEastAsia" w:hAnsiTheme="minorEastAsia"/>
              </w:rPr>
              <w:t>非耐圧</w:t>
            </w:r>
            <w:r w:rsidRPr="00BC31E0">
              <w:rPr>
                <w:rFonts w:asciiTheme="minorHAnsi" w:eastAsiaTheme="minorEastAsia" w:hAnsiTheme="minorEastAsia" w:hint="eastAsia"/>
              </w:rPr>
              <w:t>の</w:t>
            </w:r>
            <w:r w:rsidRPr="00BC31E0">
              <w:rPr>
                <w:rFonts w:asciiTheme="minorHAnsi" w:eastAsiaTheme="minorEastAsia" w:hAnsiTheme="minorEastAsia"/>
              </w:rPr>
              <w:t>取付物</w:t>
            </w:r>
            <w:r w:rsidRPr="00BC31E0">
              <w:rPr>
                <w:rFonts w:asciiTheme="minorHAnsi" w:eastAsiaTheme="minorEastAsia" w:hAnsiTheme="minorEastAsia" w:hint="eastAsia"/>
              </w:rPr>
              <w:t>が</w:t>
            </w:r>
            <w:r w:rsidRPr="00BC31E0">
              <w:rPr>
                <w:rFonts w:asciiTheme="minorHAnsi" w:eastAsiaTheme="minorEastAsia" w:hAnsiTheme="minorEastAsia"/>
              </w:rPr>
              <w:t>隅肉溶接</w:t>
            </w:r>
            <w:r w:rsidRPr="00BC31E0">
              <w:rPr>
                <w:rFonts w:asciiTheme="minorHAnsi" w:eastAsiaTheme="minorEastAsia" w:hAnsiTheme="minorEastAsia" w:hint="eastAsia"/>
              </w:rPr>
              <w:t>された</w:t>
            </w:r>
            <w:r w:rsidRPr="00BC31E0">
              <w:rPr>
                <w:rFonts w:asciiTheme="majorEastAsia" w:eastAsiaTheme="majorEastAsia" w:hAnsiTheme="majorEastAsia" w:hint="eastAsia"/>
                <w:b/>
              </w:rPr>
              <w:t>a) 1)</w:t>
            </w:r>
            <w:r w:rsidRPr="00BC31E0">
              <w:rPr>
                <w:rFonts w:asciiTheme="minorHAnsi" w:eastAsiaTheme="minorEastAsia" w:hAnsiTheme="minorHAnsi" w:hint="eastAsia"/>
              </w:rPr>
              <w:t>及び</w:t>
            </w:r>
            <w:r w:rsidRPr="00BC31E0">
              <w:rPr>
                <w:rFonts w:asciiTheme="majorEastAsia" w:eastAsiaTheme="majorEastAsia" w:hAnsiTheme="majorEastAsia" w:hint="eastAsia"/>
                <w:b/>
              </w:rPr>
              <w:t>a) 2)</w:t>
            </w:r>
            <w:r w:rsidRPr="00BC31E0">
              <w:rPr>
                <w:rFonts w:asciiTheme="minorHAnsi" w:eastAsiaTheme="minorEastAsia" w:hAnsiTheme="minorHAnsi" w:hint="eastAsia"/>
              </w:rPr>
              <w:t>の</w:t>
            </w:r>
            <w:r w:rsidRPr="00BC31E0">
              <w:rPr>
                <w:rFonts w:asciiTheme="minorHAnsi" w:eastAsiaTheme="minorEastAsia" w:hAnsiTheme="minorEastAsia"/>
              </w:rPr>
              <w:t>パイプ又は管</w:t>
            </w:r>
          </w:p>
          <w:p w14:paraId="72FF8FC4" w14:textId="77777777" w:rsidR="00644B5F" w:rsidRPr="00BC31E0" w:rsidRDefault="00644B5F" w:rsidP="00736130">
            <w:pPr>
              <w:numPr>
                <w:ilvl w:val="0"/>
                <w:numId w:val="172"/>
              </w:numPr>
              <w:ind w:left="1021" w:hanging="567"/>
              <w:rPr>
                <w:rFonts w:asciiTheme="minorHAnsi" w:eastAsiaTheme="minorEastAsia" w:hAnsiTheme="minorHAnsi"/>
              </w:rPr>
            </w:pPr>
            <w:r w:rsidRPr="00BC31E0">
              <w:rPr>
                <w:rFonts w:asciiTheme="minorHAnsi" w:eastAsiaTheme="minorEastAsia" w:hAnsiTheme="minorEastAsia"/>
              </w:rPr>
              <w:t>のど厚が</w:t>
            </w:r>
            <w:r w:rsidRPr="00BC31E0">
              <w:rPr>
                <w:rFonts w:ascii="Cambria Math" w:eastAsiaTheme="minorEastAsia" w:hAnsi="Cambria Math"/>
              </w:rPr>
              <w:t>13 mm</w:t>
            </w:r>
            <w:r w:rsidRPr="00BC31E0">
              <w:rPr>
                <w:rFonts w:asciiTheme="minorHAnsi" w:eastAsiaTheme="minorEastAsia" w:hAnsiTheme="minorEastAsia"/>
              </w:rPr>
              <w:t>以下の隅肉溶接</w:t>
            </w:r>
            <w:r w:rsidRPr="00BC31E0">
              <w:rPr>
                <w:rFonts w:asciiTheme="minorHAnsi" w:eastAsiaTheme="minorEastAsia" w:hAnsiTheme="minorEastAsia" w:hint="eastAsia"/>
              </w:rPr>
              <w:t>である。</w:t>
            </w:r>
          </w:p>
          <w:p w14:paraId="513B496A" w14:textId="77777777" w:rsidR="00644B5F" w:rsidRPr="00BC31E0" w:rsidRDefault="00644B5F" w:rsidP="00736130">
            <w:pPr>
              <w:numPr>
                <w:ilvl w:val="0"/>
                <w:numId w:val="172"/>
              </w:numPr>
              <w:ind w:left="1021" w:hanging="567"/>
              <w:rPr>
                <w:rFonts w:asciiTheme="minorHAnsi" w:eastAsiaTheme="minorEastAsia" w:hAnsiTheme="minorHAnsi"/>
              </w:rPr>
            </w:pPr>
            <w:r w:rsidRPr="00BC31E0">
              <w:rPr>
                <w:rFonts w:asciiTheme="minorHAnsi" w:eastAsiaTheme="minorEastAsia" w:hAnsiTheme="minorEastAsia"/>
              </w:rPr>
              <w:t>予熱温度が</w:t>
            </w:r>
            <w:r w:rsidRPr="00BC31E0">
              <w:rPr>
                <w:rFonts w:ascii="Cambria Math" w:eastAsiaTheme="minorEastAsia" w:hAnsi="Cambria Math"/>
              </w:rPr>
              <w:t>120</w:t>
            </w:r>
            <w:r w:rsidRPr="00BC31E0">
              <w:rPr>
                <w:rFonts w:asciiTheme="minorHAnsi" w:hAnsiTheme="minorHAnsi"/>
              </w:rPr>
              <w:t>°C</w:t>
            </w:r>
            <w:r w:rsidRPr="00BC31E0">
              <w:rPr>
                <w:rFonts w:asciiTheme="minorHAnsi" w:eastAsiaTheme="minorEastAsia" w:hAnsiTheme="minorEastAsia" w:hint="eastAsia"/>
              </w:rPr>
              <w:t>以上である。</w:t>
            </w:r>
          </w:p>
          <w:p w14:paraId="6A7C410B" w14:textId="77777777" w:rsidR="00644B5F" w:rsidRPr="00BC31E0" w:rsidRDefault="00644B5F" w:rsidP="00736130">
            <w:pPr>
              <w:numPr>
                <w:ilvl w:val="1"/>
                <w:numId w:val="169"/>
              </w:numPr>
              <w:ind w:left="567" w:hanging="340"/>
              <w:rPr>
                <w:rFonts w:asciiTheme="minorHAnsi" w:eastAsiaTheme="minorEastAsia" w:hAnsiTheme="minorHAnsi"/>
              </w:rPr>
            </w:pPr>
            <w:r w:rsidRPr="00BC31E0">
              <w:rPr>
                <w:rFonts w:ascii="Cambria Math" w:eastAsiaTheme="minorEastAsia" w:hAnsi="Cambria Math"/>
              </w:rPr>
              <w:t>120</w:t>
            </w:r>
            <w:r w:rsidRPr="00BC31E0">
              <w:rPr>
                <w:rFonts w:asciiTheme="minorHAnsi" w:hAnsiTheme="minorHAnsi"/>
              </w:rPr>
              <w:t>°C</w:t>
            </w:r>
            <w:r w:rsidRPr="00BC31E0">
              <w:rPr>
                <w:rFonts w:asciiTheme="minorHAnsi" w:eastAsiaTheme="minorEastAsia" w:hAnsiTheme="minorEastAsia" w:hint="eastAsia"/>
              </w:rPr>
              <w:t>以上で予熱するならば，</w:t>
            </w:r>
            <w:r w:rsidRPr="00BC31E0">
              <w:rPr>
                <w:rFonts w:asciiTheme="minorHAnsi" w:eastAsiaTheme="minorEastAsia" w:hAnsiTheme="minorEastAsia"/>
              </w:rPr>
              <w:t>スタッド溶接された</w:t>
            </w:r>
            <w:r w:rsidRPr="00BC31E0">
              <w:rPr>
                <w:rFonts w:asciiTheme="majorEastAsia" w:eastAsiaTheme="majorEastAsia" w:hAnsiTheme="majorEastAsia"/>
                <w:b/>
              </w:rPr>
              <w:t>a)</w:t>
            </w:r>
            <w:r w:rsidRPr="00BC31E0">
              <w:rPr>
                <w:rFonts w:asciiTheme="majorEastAsia" w:eastAsiaTheme="majorEastAsia" w:hAnsiTheme="majorEastAsia" w:hint="eastAsia"/>
                <w:b/>
              </w:rPr>
              <w:t xml:space="preserve"> </w:t>
            </w:r>
            <w:r w:rsidRPr="00BC31E0">
              <w:rPr>
                <w:rFonts w:asciiTheme="majorEastAsia" w:eastAsiaTheme="majorEastAsia" w:hAnsiTheme="majorEastAsia"/>
                <w:b/>
              </w:rPr>
              <w:t>1)</w:t>
            </w:r>
            <w:r w:rsidRPr="00BC31E0">
              <w:rPr>
                <w:rFonts w:asciiTheme="minorHAnsi" w:eastAsiaTheme="minorEastAsia" w:hAnsiTheme="minorEastAsia"/>
              </w:rPr>
              <w:t>及び</w:t>
            </w:r>
            <w:r w:rsidRPr="00BC31E0">
              <w:rPr>
                <w:rFonts w:asciiTheme="minorHAnsi" w:eastAsiaTheme="minorEastAsia" w:hAnsiTheme="minorHAnsi" w:hint="eastAsia"/>
              </w:rPr>
              <w:t xml:space="preserve"> </w:t>
            </w:r>
            <w:r w:rsidRPr="00BC31E0">
              <w:rPr>
                <w:rFonts w:asciiTheme="majorEastAsia" w:eastAsiaTheme="majorEastAsia" w:hAnsiTheme="majorEastAsia"/>
                <w:b/>
              </w:rPr>
              <w:t>a)</w:t>
            </w:r>
            <w:r w:rsidRPr="00BC31E0">
              <w:rPr>
                <w:rFonts w:asciiTheme="majorEastAsia" w:eastAsiaTheme="majorEastAsia" w:hAnsiTheme="majorEastAsia" w:hint="eastAsia"/>
                <w:b/>
              </w:rPr>
              <w:t xml:space="preserve"> </w:t>
            </w:r>
            <w:r w:rsidRPr="00BC31E0">
              <w:rPr>
                <w:rFonts w:asciiTheme="majorEastAsia" w:eastAsiaTheme="majorEastAsia" w:hAnsiTheme="majorEastAsia"/>
                <w:b/>
              </w:rPr>
              <w:t>2)</w:t>
            </w:r>
            <w:r w:rsidRPr="00BC31E0">
              <w:rPr>
                <w:rFonts w:asciiTheme="minorHAnsi" w:eastAsiaTheme="minorEastAsia" w:hAnsiTheme="minorEastAsia"/>
              </w:rPr>
              <w:t>のパイプ又は管</w:t>
            </w:r>
          </w:p>
          <w:p w14:paraId="3BD84586" w14:textId="77777777" w:rsidR="00644B5F" w:rsidRPr="00BC31E0" w:rsidRDefault="00644B5F" w:rsidP="00736130">
            <w:pPr>
              <w:numPr>
                <w:ilvl w:val="1"/>
                <w:numId w:val="169"/>
              </w:numPr>
              <w:ind w:left="567" w:hanging="340"/>
              <w:rPr>
                <w:rFonts w:asciiTheme="minorHAnsi" w:eastAsiaTheme="minorEastAsia" w:hAnsiTheme="minorHAnsi"/>
              </w:rPr>
            </w:pPr>
            <w:r w:rsidRPr="00BC31E0">
              <w:rPr>
                <w:rFonts w:asciiTheme="minorHAnsi" w:eastAsiaTheme="minorEastAsia" w:hAnsiTheme="minorEastAsia"/>
              </w:rPr>
              <w:t>次の</w:t>
            </w:r>
            <w:r w:rsidRPr="00BC31E0">
              <w:rPr>
                <w:rFonts w:asciiTheme="majorEastAsia" w:eastAsiaTheme="majorEastAsia" w:hAnsiTheme="majorEastAsia" w:hint="eastAsia"/>
                <w:b/>
              </w:rPr>
              <w:t>4.1</w:t>
            </w:r>
            <w:r w:rsidRPr="00BC31E0">
              <w:rPr>
                <w:rFonts w:asciiTheme="majorEastAsia" w:eastAsiaTheme="majorEastAsia" w:hAnsiTheme="majorEastAsia"/>
                <w:b/>
              </w:rPr>
              <w:t>)</w:t>
            </w:r>
            <w:r w:rsidRPr="00BC31E0">
              <w:rPr>
                <w:rFonts w:asciiTheme="minorHAnsi" w:eastAsiaTheme="minorEastAsia" w:hAnsiTheme="minorHAnsi" w:hint="eastAsia"/>
              </w:rPr>
              <w:t>及び</w:t>
            </w:r>
            <w:r w:rsidRPr="00BC31E0">
              <w:rPr>
                <w:rFonts w:asciiTheme="majorEastAsia" w:eastAsiaTheme="majorEastAsia" w:hAnsiTheme="majorEastAsia" w:hint="eastAsia"/>
                <w:b/>
              </w:rPr>
              <w:t>4.2</w:t>
            </w:r>
            <w:r w:rsidRPr="00BC31E0">
              <w:rPr>
                <w:rFonts w:asciiTheme="majorEastAsia" w:eastAsiaTheme="majorEastAsia" w:hAnsiTheme="majorEastAsia"/>
                <w:b/>
              </w:rPr>
              <w:t>)</w:t>
            </w:r>
            <w:r w:rsidRPr="00BC31E0">
              <w:rPr>
                <w:rFonts w:asciiTheme="minorHAnsi" w:eastAsiaTheme="minorEastAsia" w:hAnsiTheme="minorEastAsia" w:hint="eastAsia"/>
              </w:rPr>
              <w:t>の要件を満たす</w:t>
            </w:r>
            <w:r w:rsidRPr="00BC31E0">
              <w:rPr>
                <w:rFonts w:asciiTheme="minorHAnsi" w:eastAsiaTheme="minorEastAsia" w:hAnsiTheme="minorHAnsi" w:hint="eastAsia"/>
              </w:rPr>
              <w:t>ならば</w:t>
            </w:r>
            <w:r w:rsidRPr="00BC31E0">
              <w:rPr>
                <w:rFonts w:asciiTheme="minorHAnsi" w:eastAsiaTheme="minorEastAsia" w:hAnsiTheme="minorEastAsia" w:hint="eastAsia"/>
              </w:rPr>
              <w:t>，</w:t>
            </w:r>
            <w:r w:rsidRPr="00BC31E0">
              <w:rPr>
                <w:rFonts w:asciiTheme="minorHAnsi" w:eastAsiaTheme="minorEastAsia" w:hAnsiTheme="minorEastAsia"/>
              </w:rPr>
              <w:t>熱吸収フィンが電気抵抗溶接された</w:t>
            </w:r>
            <w:r w:rsidRPr="00BC31E0">
              <w:rPr>
                <w:rFonts w:asciiTheme="minorHAnsi" w:eastAsiaTheme="minorEastAsia" w:hAnsiTheme="minorHAnsi"/>
              </w:rPr>
              <w:t xml:space="preserve"> </w:t>
            </w:r>
            <w:r w:rsidRPr="00BC31E0">
              <w:rPr>
                <w:rFonts w:asciiTheme="majorEastAsia" w:eastAsiaTheme="majorEastAsia" w:hAnsiTheme="majorEastAsia"/>
                <w:b/>
              </w:rPr>
              <w:t>a)</w:t>
            </w:r>
            <w:r w:rsidRPr="00BC31E0">
              <w:rPr>
                <w:rFonts w:asciiTheme="majorEastAsia" w:eastAsiaTheme="majorEastAsia" w:hAnsiTheme="majorEastAsia" w:hint="eastAsia"/>
                <w:b/>
              </w:rPr>
              <w:t xml:space="preserve"> </w:t>
            </w:r>
            <w:r w:rsidRPr="00BC31E0">
              <w:rPr>
                <w:rFonts w:asciiTheme="majorEastAsia" w:eastAsiaTheme="majorEastAsia" w:hAnsiTheme="majorEastAsia"/>
                <w:b/>
              </w:rPr>
              <w:t>1)</w:t>
            </w:r>
            <w:r w:rsidRPr="00BC31E0">
              <w:rPr>
                <w:rFonts w:asciiTheme="minorHAnsi" w:eastAsiaTheme="minorEastAsia" w:hAnsiTheme="minorEastAsia"/>
              </w:rPr>
              <w:t>及び</w:t>
            </w:r>
            <w:r w:rsidRPr="00BC31E0">
              <w:rPr>
                <w:rFonts w:asciiTheme="majorEastAsia" w:eastAsiaTheme="majorEastAsia" w:hAnsiTheme="majorEastAsia"/>
                <w:b/>
              </w:rPr>
              <w:t>a)</w:t>
            </w:r>
            <w:r w:rsidRPr="00BC31E0">
              <w:rPr>
                <w:rFonts w:asciiTheme="majorEastAsia" w:eastAsiaTheme="majorEastAsia" w:hAnsiTheme="majorEastAsia" w:hint="eastAsia"/>
                <w:b/>
              </w:rPr>
              <w:t xml:space="preserve"> </w:t>
            </w:r>
            <w:r w:rsidRPr="00BC31E0">
              <w:rPr>
                <w:rFonts w:asciiTheme="majorEastAsia" w:eastAsiaTheme="majorEastAsia" w:hAnsiTheme="majorEastAsia"/>
                <w:b/>
              </w:rPr>
              <w:t>2)</w:t>
            </w:r>
            <w:r w:rsidRPr="00BC31E0">
              <w:rPr>
                <w:rFonts w:asciiTheme="minorHAnsi" w:eastAsiaTheme="minorEastAsia" w:hAnsiTheme="minorHAnsi" w:hint="eastAsia"/>
              </w:rPr>
              <w:t>の</w:t>
            </w:r>
            <w:r w:rsidRPr="00BC31E0">
              <w:rPr>
                <w:rFonts w:asciiTheme="minorHAnsi" w:eastAsiaTheme="minorEastAsia" w:hAnsiTheme="minorEastAsia"/>
              </w:rPr>
              <w:t>パイプ又は管</w:t>
            </w:r>
          </w:p>
          <w:p w14:paraId="72EFE930" w14:textId="77777777" w:rsidR="00644B5F" w:rsidRPr="00BC31E0" w:rsidRDefault="00644B5F" w:rsidP="00736130">
            <w:pPr>
              <w:numPr>
                <w:ilvl w:val="0"/>
                <w:numId w:val="173"/>
              </w:numPr>
              <w:ind w:left="1021" w:hanging="567"/>
              <w:rPr>
                <w:rFonts w:asciiTheme="minorHAnsi" w:eastAsiaTheme="minorEastAsia" w:hAnsiTheme="minorHAnsi"/>
              </w:rPr>
            </w:pPr>
            <w:r w:rsidRPr="00BC31E0">
              <w:rPr>
                <w:rFonts w:asciiTheme="minorHAnsi" w:eastAsiaTheme="minorEastAsia" w:hAnsiTheme="minorEastAsia"/>
              </w:rPr>
              <w:t>フィンの厚さが</w:t>
            </w:r>
            <w:r w:rsidRPr="00BC31E0">
              <w:rPr>
                <w:rFonts w:ascii="Cambria Math" w:eastAsiaTheme="minorEastAsia" w:hAnsi="Cambria Math"/>
              </w:rPr>
              <w:t>3 mm</w:t>
            </w:r>
            <w:r w:rsidRPr="00BC31E0">
              <w:rPr>
                <w:rFonts w:asciiTheme="minorHAnsi" w:eastAsiaTheme="minorEastAsia" w:hAnsiTheme="minorHAnsi" w:hint="eastAsia"/>
              </w:rPr>
              <w:t>以下である。</w:t>
            </w:r>
          </w:p>
          <w:p w14:paraId="78D1C986" w14:textId="77777777" w:rsidR="00644B5F" w:rsidRPr="00BC31E0" w:rsidRDefault="00644B5F" w:rsidP="00736130">
            <w:pPr>
              <w:numPr>
                <w:ilvl w:val="0"/>
                <w:numId w:val="173"/>
              </w:numPr>
              <w:ind w:left="1021" w:hanging="567"/>
              <w:rPr>
                <w:rFonts w:asciiTheme="minorHAnsi" w:eastAsiaTheme="minorEastAsia" w:hAnsiTheme="minorHAnsi"/>
              </w:rPr>
            </w:pPr>
            <w:r w:rsidRPr="00BC31E0">
              <w:rPr>
                <w:rFonts w:asciiTheme="minorHAnsi" w:eastAsiaTheme="minorEastAsia" w:hAnsiTheme="minorEastAsia"/>
              </w:rPr>
              <w:t>溶接</w:t>
            </w:r>
            <w:r w:rsidRPr="00BC31E0">
              <w:rPr>
                <w:rFonts w:asciiTheme="minorHAnsi" w:eastAsiaTheme="minorEastAsia" w:hAnsiTheme="minorEastAsia" w:hint="eastAsia"/>
              </w:rPr>
              <w:t>手順を用いる前に</w:t>
            </w:r>
            <w:r w:rsidRPr="00BC31E0">
              <w:rPr>
                <w:rFonts w:asciiTheme="minorHAnsi" w:eastAsiaTheme="minorEastAsia" w:hAnsiTheme="minorEastAsia"/>
              </w:rPr>
              <w:t>，製作者は熱影響部がパイプ又は管の最小</w:t>
            </w:r>
            <w:r w:rsidRPr="00BC31E0">
              <w:rPr>
                <w:rFonts w:asciiTheme="minorHAnsi" w:eastAsiaTheme="minorEastAsia" w:hAnsiTheme="minorEastAsia" w:hint="eastAsia"/>
              </w:rPr>
              <w:t>厚さまで入り込まない</w:t>
            </w:r>
            <w:r w:rsidRPr="00BC31E0">
              <w:rPr>
                <w:rFonts w:asciiTheme="minorHAnsi" w:eastAsiaTheme="minorEastAsia" w:hAnsiTheme="minorEastAsia"/>
              </w:rPr>
              <w:t>ことを示さなければならない。</w:t>
            </w:r>
          </w:p>
          <w:p w14:paraId="232D19E2" w14:textId="77777777" w:rsidR="00644B5F" w:rsidRPr="00BC31E0" w:rsidRDefault="00644B5F" w:rsidP="00736130">
            <w:pPr>
              <w:numPr>
                <w:ilvl w:val="0"/>
                <w:numId w:val="170"/>
              </w:numPr>
              <w:ind w:left="567" w:hanging="340"/>
              <w:rPr>
                <w:rFonts w:asciiTheme="minorHAnsi" w:eastAsiaTheme="minorEastAsia" w:hAnsiTheme="minorHAnsi"/>
              </w:rPr>
            </w:pPr>
            <w:r w:rsidRPr="00BC31E0">
              <w:rPr>
                <w:rFonts w:asciiTheme="minorHAnsi" w:eastAsiaTheme="minorEastAsia" w:hAnsiTheme="minorHAnsi" w:hint="eastAsia"/>
              </w:rPr>
              <w:t>のど厚が</w:t>
            </w:r>
            <w:r w:rsidRPr="00BC31E0">
              <w:rPr>
                <w:rFonts w:ascii="Cambria Math" w:eastAsiaTheme="minorEastAsia" w:hAnsi="Cambria Math"/>
              </w:rPr>
              <w:t>10 mm</w:t>
            </w:r>
            <w:r w:rsidRPr="00BC31E0">
              <w:rPr>
                <w:rFonts w:asciiTheme="minorHAnsi" w:eastAsiaTheme="minorEastAsia" w:hAnsiTheme="minorHAnsi" w:hint="eastAsia"/>
              </w:rPr>
              <w:t>以下のシール溶接で，部材の厚さが</w:t>
            </w:r>
            <w:r w:rsidRPr="00BC31E0">
              <w:rPr>
                <w:rFonts w:ascii="Cambria Math" w:eastAsiaTheme="minorEastAsia" w:hAnsi="Cambria Math"/>
              </w:rPr>
              <w:t>16 mm</w:t>
            </w:r>
            <w:r w:rsidRPr="00BC31E0">
              <w:rPr>
                <w:rFonts w:asciiTheme="minorHAnsi" w:eastAsiaTheme="minorEastAsia" w:hAnsiTheme="minorHAnsi" w:hint="eastAsia"/>
              </w:rPr>
              <w:t>を超える場合に</w:t>
            </w:r>
            <w:r w:rsidRPr="00BC31E0">
              <w:rPr>
                <w:rFonts w:ascii="Cambria Math" w:eastAsiaTheme="minorEastAsia" w:hAnsi="Cambria Math"/>
              </w:rPr>
              <w:t>120</w:t>
            </w:r>
            <w:r w:rsidRPr="00BC31E0">
              <w:rPr>
                <w:rFonts w:asciiTheme="minorHAnsi" w:hAnsiTheme="minorHAnsi"/>
              </w:rPr>
              <w:t>°C</w:t>
            </w:r>
            <w:r w:rsidRPr="00BC31E0">
              <w:rPr>
                <w:rFonts w:asciiTheme="minorHAnsi" w:eastAsiaTheme="minorEastAsia" w:hAnsiTheme="minorHAnsi" w:hint="eastAsia"/>
              </w:rPr>
              <w:t>以上で予熱するならば，</w:t>
            </w:r>
            <w:r w:rsidRPr="00BC31E0">
              <w:rPr>
                <w:rFonts w:asciiTheme="minorHAnsi" w:eastAsiaTheme="minorEastAsia" w:hAnsiTheme="minorEastAsia"/>
              </w:rPr>
              <w:t>拡管やねじなどの機械的手段</w:t>
            </w:r>
            <w:r w:rsidRPr="00BC31E0">
              <w:rPr>
                <w:rFonts w:asciiTheme="minorHAnsi" w:eastAsiaTheme="minorEastAsia" w:hAnsiTheme="minorEastAsia" w:hint="eastAsia"/>
              </w:rPr>
              <w:t>とシール溶接</w:t>
            </w:r>
            <w:r w:rsidRPr="00BC31E0">
              <w:rPr>
                <w:rFonts w:asciiTheme="minorHAnsi" w:eastAsiaTheme="minorEastAsia" w:hAnsiTheme="minorEastAsia"/>
              </w:rPr>
              <w:t>で固定され</w:t>
            </w:r>
            <w:r w:rsidRPr="00BC31E0">
              <w:rPr>
                <w:rFonts w:asciiTheme="minorHAnsi" w:eastAsiaTheme="minorEastAsia" w:hAnsiTheme="minorEastAsia" w:hint="eastAsia"/>
              </w:rPr>
              <w:t>た</w:t>
            </w:r>
            <w:r w:rsidRPr="00BC31E0">
              <w:rPr>
                <w:rFonts w:asciiTheme="minorHAnsi" w:eastAsiaTheme="minorEastAsia" w:hAnsiTheme="minorEastAsia"/>
              </w:rPr>
              <w:t>管，圧力保持ハンドホールと検査プラグ又はフィッティング</w:t>
            </w:r>
          </w:p>
          <w:p w14:paraId="1446C4DA" w14:textId="77777777" w:rsidR="00644B5F" w:rsidRPr="00BC31E0" w:rsidRDefault="00644B5F" w:rsidP="00736130">
            <w:pPr>
              <w:numPr>
                <w:ilvl w:val="1"/>
                <w:numId w:val="167"/>
              </w:numPr>
              <w:ind w:left="340" w:hanging="340"/>
              <w:rPr>
                <w:rFonts w:asciiTheme="minorHAnsi" w:eastAsiaTheme="minorEastAsia" w:hAnsiTheme="minorHAnsi"/>
              </w:rPr>
            </w:pPr>
            <w:r w:rsidRPr="00BC31E0">
              <w:rPr>
                <w:rFonts w:asciiTheme="minorHAnsi" w:eastAsiaTheme="minorEastAsia" w:hAnsiTheme="minorEastAsia"/>
              </w:rPr>
              <w:t>溶接後熱処理の保持</w:t>
            </w:r>
            <w:r w:rsidRPr="00BC31E0">
              <w:rPr>
                <w:rFonts w:asciiTheme="minorHAnsi" w:eastAsiaTheme="minorEastAsia" w:hAnsiTheme="minorEastAsia" w:hint="eastAsia"/>
              </w:rPr>
              <w:t>期間</w:t>
            </w:r>
            <w:r w:rsidRPr="00BC31E0">
              <w:rPr>
                <w:rFonts w:asciiTheme="minorHAnsi" w:eastAsiaTheme="minorEastAsia" w:hAnsiTheme="minorEastAsia"/>
              </w:rPr>
              <w:t>中に，容器</w:t>
            </w:r>
            <w:r w:rsidRPr="00BC31E0">
              <w:rPr>
                <w:rFonts w:asciiTheme="minorHAnsi" w:eastAsiaTheme="minorEastAsia" w:hAnsiTheme="minorEastAsia" w:hint="eastAsia"/>
              </w:rPr>
              <w:t>部材</w:t>
            </w:r>
            <w:r w:rsidRPr="00BC31E0">
              <w:rPr>
                <w:rFonts w:asciiTheme="minorHAnsi" w:eastAsiaTheme="minorEastAsia" w:hAnsiTheme="minorEastAsia"/>
              </w:rPr>
              <w:t>の</w:t>
            </w:r>
            <w:r w:rsidRPr="00BC31E0">
              <w:rPr>
                <w:rFonts w:asciiTheme="minorHAnsi" w:eastAsiaTheme="minorEastAsia" w:hAnsiTheme="minorEastAsia" w:hint="eastAsia"/>
              </w:rPr>
              <w:t>最大保持時間又は温度が</w:t>
            </w:r>
            <w:r w:rsidRPr="00BC31E0">
              <w:rPr>
                <w:rFonts w:asciiTheme="majorEastAsia" w:eastAsiaTheme="majorEastAsia" w:hAnsiTheme="majorEastAsia" w:hint="eastAsia"/>
                <w:b/>
              </w:rPr>
              <w:t>10.1.2 c)</w:t>
            </w:r>
            <w:r w:rsidRPr="00BC31E0">
              <w:rPr>
                <w:rFonts w:asciiTheme="minorEastAsia" w:eastAsiaTheme="minorEastAsia" w:hAnsiTheme="minorEastAsia" w:hint="eastAsia"/>
              </w:rPr>
              <w:t>の</w:t>
            </w:r>
            <w:r w:rsidRPr="00BC31E0">
              <w:rPr>
                <w:rFonts w:asciiTheme="minorHAnsi" w:eastAsiaTheme="minorEastAsia" w:hAnsiTheme="minorEastAsia" w:hint="eastAsia"/>
              </w:rPr>
              <w:t>規定</w:t>
            </w:r>
            <w:r w:rsidRPr="00BC31E0">
              <w:rPr>
                <w:rFonts w:asciiTheme="minorHAnsi" w:eastAsiaTheme="minorEastAsia" w:hAnsiTheme="minorEastAsia"/>
              </w:rPr>
              <w:t>を超え</w:t>
            </w:r>
            <w:r w:rsidRPr="00BC31E0">
              <w:rPr>
                <w:rFonts w:asciiTheme="minorHAnsi" w:eastAsiaTheme="minorEastAsia" w:hAnsiTheme="minorEastAsia" w:hint="eastAsia"/>
              </w:rPr>
              <w:t>る</w:t>
            </w:r>
            <w:r w:rsidRPr="00BC31E0">
              <w:rPr>
                <w:rFonts w:asciiTheme="minorHAnsi" w:eastAsiaTheme="minorEastAsia" w:hAnsiTheme="minorEastAsia"/>
              </w:rPr>
              <w:t>場合には，追加</w:t>
            </w:r>
            <w:r w:rsidRPr="00BC31E0">
              <w:rPr>
                <w:rFonts w:asciiTheme="minorHAnsi" w:eastAsiaTheme="minorEastAsia" w:hAnsiTheme="minorEastAsia" w:hint="eastAsia"/>
              </w:rPr>
              <w:t>の</w:t>
            </w:r>
            <w:r w:rsidRPr="00BC31E0">
              <w:rPr>
                <w:rFonts w:asciiTheme="minorHAnsi" w:eastAsiaTheme="minorEastAsia" w:hAnsiTheme="minorEastAsia"/>
              </w:rPr>
              <w:t>試験材を作製して試験しなければならない。</w:t>
            </w:r>
          </w:p>
        </w:tc>
        <w:tc>
          <w:tcPr>
            <w:tcW w:w="2126" w:type="dxa"/>
          </w:tcPr>
          <w:p w14:paraId="79FA9930" w14:textId="77777777" w:rsidR="00644B5F" w:rsidRPr="00BC31E0" w:rsidRDefault="00A51873" w:rsidP="00644B5F">
            <w:pPr>
              <w:rPr>
                <w:rFonts w:asciiTheme="minorHAnsi" w:eastAsiaTheme="minorEastAsia" w:hAnsiTheme="minorHAnsi"/>
              </w:rPr>
            </w:pPr>
            <m:oMath>
              <m:sSub>
                <m:sSubPr>
                  <m:ctrlPr>
                    <w:rPr>
                      <w:rFonts w:ascii="Cambria Math" w:eastAsiaTheme="minorEastAsia" w:hAnsi="Cambria Math"/>
                    </w:rPr>
                  </m:ctrlPr>
                </m:sSubPr>
                <m:e>
                  <m:r>
                    <w:rPr>
                      <w:rFonts w:ascii="Cambria Math" w:eastAsiaTheme="minorEastAsia" w:hAnsi="Cambria Math"/>
                    </w:rPr>
                    <m:t>t</m:t>
                  </m:r>
                </m:e>
                <m:sub>
                  <m:r>
                    <w:rPr>
                      <w:rFonts w:ascii="Cambria Math" w:eastAsiaTheme="minorEastAsia" w:hAnsi="Cambria Math"/>
                    </w:rPr>
                    <m:t>n</m:t>
                  </m:r>
                </m:sub>
              </m:sSub>
              <m:r>
                <w:rPr>
                  <w:rFonts w:ascii="Cambria Math" w:eastAsiaTheme="minorEastAsia" w:hAnsi="Cambria Math" w:hint="eastAsia"/>
                </w:rPr>
                <m:t>≦</m:t>
              </m:r>
              <m:r>
                <w:rPr>
                  <w:rFonts w:ascii="Cambria Math" w:eastAsiaTheme="minorEastAsia" w:hAnsi="Cambria Math"/>
                </w:rPr>
                <m:t xml:space="preserve">50 </m:t>
              </m:r>
            </m:oMath>
            <w:r w:rsidR="00644B5F" w:rsidRPr="00BC31E0">
              <w:rPr>
                <w:rFonts w:ascii="Cambria Math" w:eastAsiaTheme="minorEastAsia" w:hAnsi="Cambria Math"/>
              </w:rPr>
              <w:t>mm</w:t>
            </w:r>
          </w:p>
          <w:p w14:paraId="1DD3B6E8" w14:textId="77777777" w:rsidR="00644B5F" w:rsidRPr="00BC31E0" w:rsidRDefault="00644B5F" w:rsidP="00644B5F">
            <w:pPr>
              <w:ind w:left="170"/>
              <w:rPr>
                <w:rFonts w:ascii="Cambria Math" w:eastAsiaTheme="minorEastAsia" w:hAnsi="Cambria Math"/>
              </w:rPr>
            </w:pPr>
            <w:r w:rsidRPr="00BC31E0">
              <w:rPr>
                <w:rFonts w:ascii="Cambria Math" w:eastAsiaTheme="minorEastAsia" w:hAnsi="Cambria Math"/>
              </w:rPr>
              <w:t>650</w:t>
            </w:r>
            <w:r w:rsidRPr="00BC31E0">
              <w:rPr>
                <w:rFonts w:asciiTheme="minorHAnsi" w:hAnsiTheme="minorHAnsi"/>
              </w:rPr>
              <w:t>°C</w:t>
            </w:r>
          </w:p>
          <w:tbl>
            <w:tblPr>
              <w:tblStyle w:val="100"/>
              <w:tblW w:w="0" w:type="auto"/>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
            </w:tblGrid>
            <w:tr w:rsidR="00644B5F" w:rsidRPr="00BC31E0" w14:paraId="0D5E9A79" w14:textId="77777777" w:rsidTr="004736F2">
              <w:tc>
                <w:tcPr>
                  <w:tcW w:w="0" w:type="auto"/>
                  <w:tcMar>
                    <w:left w:w="0" w:type="dxa"/>
                    <w:right w:w="0" w:type="dxa"/>
                  </w:tcMar>
                  <w:vAlign w:val="center"/>
                </w:tcPr>
                <w:p w14:paraId="5E1CAE7B" w14:textId="77777777" w:rsidR="00644B5F" w:rsidRPr="00BC31E0" w:rsidRDefault="00A51873" w:rsidP="00644B5F">
                  <w:pPr>
                    <w:rPr>
                      <w:rFonts w:asciiTheme="minorHAnsi" w:eastAsiaTheme="minorEastAsia" w:hAnsiTheme="minorEastAsia"/>
                    </w:rPr>
                  </w:pPr>
                  <m:oMathPara>
                    <m:oMathParaPr>
                      <m:jc m:val="left"/>
                    </m:oMathParaPr>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n</m:t>
                              </m:r>
                            </m:sub>
                          </m:sSub>
                        </m:num>
                        <m:den>
                          <m:r>
                            <w:rPr>
                              <w:rFonts w:ascii="Cambria Math" w:eastAsiaTheme="minorEastAsia" w:hAnsi="Cambria Math"/>
                            </w:rPr>
                            <m:t>25</m:t>
                          </m:r>
                        </m:den>
                      </m:f>
                      <m:r>
                        <w:rPr>
                          <w:rFonts w:ascii="Cambria Math" w:eastAsiaTheme="minorEastAsia" w:hAnsi="Cambria Math"/>
                        </w:rPr>
                        <m:t xml:space="preserve"> </m:t>
                      </m:r>
                      <m:r>
                        <m:rPr>
                          <m:sty m:val="p"/>
                        </m:rPr>
                        <w:rPr>
                          <w:rFonts w:ascii="Cambria Math" w:eastAsiaTheme="minorEastAsia" w:hAnsi="Cambria Math"/>
                        </w:rPr>
                        <m:t>h</m:t>
                      </m:r>
                    </m:oMath>
                  </m:oMathPara>
                </w:p>
              </w:tc>
            </w:tr>
          </w:tbl>
          <w:p w14:paraId="0158DC1E" w14:textId="77777777" w:rsidR="00644B5F" w:rsidRPr="00BC31E0" w:rsidRDefault="00644B5F" w:rsidP="00644B5F">
            <w:pPr>
              <w:ind w:left="170"/>
              <w:rPr>
                <w:rFonts w:ascii="Cambria Math" w:eastAsiaTheme="minorEastAsia" w:hAnsi="Cambria Math"/>
              </w:rPr>
            </w:pPr>
            <w:r w:rsidRPr="00BC31E0">
              <w:rPr>
                <w:rFonts w:asciiTheme="minorHAnsi" w:eastAsiaTheme="minorEastAsia" w:hAnsiTheme="minorEastAsia"/>
              </w:rPr>
              <w:t>最小</w:t>
            </w:r>
            <w:r w:rsidRPr="00BC31E0">
              <w:rPr>
                <w:rFonts w:ascii="Cambria Math" w:eastAsiaTheme="minorEastAsia" w:hAnsi="Cambria Math"/>
              </w:rPr>
              <w:t>1 h</w:t>
            </w:r>
          </w:p>
          <w:p w14:paraId="49011B4D" w14:textId="77777777" w:rsidR="00644B5F" w:rsidRPr="00BC31E0" w:rsidRDefault="00644B5F" w:rsidP="00644B5F">
            <w:pPr>
              <w:rPr>
                <w:rFonts w:asciiTheme="minorHAnsi" w:eastAsiaTheme="minorEastAsia" w:hAnsiTheme="minorHAnsi"/>
              </w:rPr>
            </w:pPr>
          </w:p>
          <w:p w14:paraId="4A813FDA" w14:textId="77777777" w:rsidR="00644B5F" w:rsidRPr="00BC31E0" w:rsidRDefault="00A51873" w:rsidP="00644B5F">
            <w:pPr>
              <w:rPr>
                <w:rFonts w:asciiTheme="minorHAnsi" w:eastAsiaTheme="minorEastAsia" w:hAnsiTheme="minorHAnsi"/>
              </w:rPr>
            </w:pPr>
            <m:oMath>
              <m:sSub>
                <m:sSubPr>
                  <m:ctrlPr>
                    <w:rPr>
                      <w:rFonts w:ascii="Cambria Math" w:eastAsiaTheme="minorEastAsia" w:hAnsi="Cambria Math"/>
                    </w:rPr>
                  </m:ctrlPr>
                </m:sSubPr>
                <m:e>
                  <m:r>
                    <w:rPr>
                      <w:rFonts w:ascii="Cambria Math" w:eastAsiaTheme="minorEastAsia" w:hAnsi="Cambria Math"/>
                    </w:rPr>
                    <m:t>50&lt;t</m:t>
                  </m:r>
                </m:e>
                <m:sub>
                  <m:r>
                    <w:rPr>
                      <w:rFonts w:ascii="Cambria Math" w:eastAsiaTheme="minorEastAsia" w:hAnsi="Cambria Math"/>
                    </w:rPr>
                    <m:t>n</m:t>
                  </m:r>
                </m:sub>
              </m:sSub>
              <m:r>
                <w:rPr>
                  <w:rFonts w:ascii="Cambria Math" w:eastAsiaTheme="minorEastAsia" w:hAnsi="Cambria Math" w:hint="eastAsia"/>
                </w:rPr>
                <m:t>≦</m:t>
              </m:r>
              <m:r>
                <w:rPr>
                  <w:rFonts w:ascii="Cambria Math" w:eastAsiaTheme="minorEastAsia" w:hAnsi="Cambria Math"/>
                </w:rPr>
                <m:t xml:space="preserve">125 </m:t>
              </m:r>
            </m:oMath>
            <w:r w:rsidR="00644B5F" w:rsidRPr="00BC31E0">
              <w:rPr>
                <w:rFonts w:ascii="Cambria Math" w:eastAsiaTheme="minorEastAsia" w:hAnsi="Cambria Math"/>
              </w:rPr>
              <w:t>mm</w:t>
            </w:r>
          </w:p>
          <w:p w14:paraId="5B7B5C32" w14:textId="77777777" w:rsidR="00644B5F" w:rsidRPr="00BC31E0" w:rsidRDefault="00644B5F" w:rsidP="00644B5F">
            <w:pPr>
              <w:ind w:left="170"/>
              <w:rPr>
                <w:rFonts w:ascii="Cambria Math" w:eastAsiaTheme="minorEastAsia" w:hAnsi="Cambria Math"/>
              </w:rPr>
            </w:pPr>
            <w:r w:rsidRPr="00BC31E0">
              <w:rPr>
                <w:rFonts w:ascii="Cambria Math" w:eastAsiaTheme="minorEastAsia" w:hAnsi="Cambria Math"/>
              </w:rPr>
              <w:t>650</w:t>
            </w:r>
            <w:r w:rsidRPr="00BC31E0">
              <w:rPr>
                <w:rFonts w:asciiTheme="minorHAnsi" w:hAnsiTheme="minorHAnsi"/>
              </w:rPr>
              <w:t>°C</w:t>
            </w:r>
          </w:p>
          <w:tbl>
            <w:tblPr>
              <w:tblStyle w:val="100"/>
              <w:tblW w:w="0" w:type="auto"/>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
            </w:tblGrid>
            <w:tr w:rsidR="00644B5F" w:rsidRPr="00BC31E0" w14:paraId="01C98638" w14:textId="77777777" w:rsidTr="004736F2">
              <w:tc>
                <w:tcPr>
                  <w:tcW w:w="0" w:type="auto"/>
                  <w:tcMar>
                    <w:left w:w="0" w:type="dxa"/>
                    <w:right w:w="0" w:type="dxa"/>
                  </w:tcMar>
                  <w:vAlign w:val="center"/>
                </w:tcPr>
                <w:p w14:paraId="268CC760" w14:textId="77777777" w:rsidR="00644B5F" w:rsidRPr="00BC31E0" w:rsidRDefault="00A51873" w:rsidP="00644B5F">
                  <w:pPr>
                    <w:rPr>
                      <w:rFonts w:asciiTheme="minorHAnsi" w:eastAsiaTheme="minorEastAsia" w:hAnsiTheme="minorEastAsia"/>
                    </w:rPr>
                  </w:pPr>
                  <m:oMathPara>
                    <m:oMathParaPr>
                      <m:jc m:val="left"/>
                    </m:oMathParaPr>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n</m:t>
                              </m:r>
                            </m:sub>
                          </m:sSub>
                        </m:num>
                        <m:den>
                          <m:r>
                            <w:rPr>
                              <w:rFonts w:ascii="Cambria Math" w:eastAsiaTheme="minorEastAsia" w:hAnsi="Cambria Math"/>
                            </w:rPr>
                            <m:t>25</m:t>
                          </m:r>
                        </m:den>
                      </m:f>
                      <m:r>
                        <w:rPr>
                          <w:rFonts w:ascii="Cambria Math" w:eastAsiaTheme="minorEastAsia" w:hAnsi="Cambria Math"/>
                        </w:rPr>
                        <m:t xml:space="preserve"> </m:t>
                      </m:r>
                      <m:r>
                        <m:rPr>
                          <m:sty m:val="p"/>
                        </m:rPr>
                        <w:rPr>
                          <w:rFonts w:ascii="Cambria Math" w:eastAsiaTheme="minorEastAsia" w:hAnsi="Cambria Math"/>
                        </w:rPr>
                        <m:t>h</m:t>
                      </m:r>
                    </m:oMath>
                  </m:oMathPara>
                </w:p>
              </w:tc>
            </w:tr>
          </w:tbl>
          <w:p w14:paraId="2B2ECBBE" w14:textId="77777777" w:rsidR="00644B5F" w:rsidRPr="00BC31E0" w:rsidRDefault="00644B5F" w:rsidP="00644B5F">
            <w:pPr>
              <w:rPr>
                <w:rFonts w:asciiTheme="minorHAnsi" w:eastAsiaTheme="minorEastAsia" w:hAnsiTheme="minorHAnsi"/>
              </w:rPr>
            </w:pPr>
          </w:p>
          <w:p w14:paraId="3D4AF0BF" w14:textId="77777777" w:rsidR="00644B5F" w:rsidRPr="00BC31E0" w:rsidRDefault="00A51873" w:rsidP="00644B5F">
            <w:pPr>
              <w:rPr>
                <w:rFonts w:asciiTheme="minorHAnsi" w:eastAsiaTheme="minorEastAsia" w:hAnsiTheme="minorHAnsi"/>
              </w:rPr>
            </w:pPr>
            <m:oMath>
              <m:sSub>
                <m:sSubPr>
                  <m:ctrlPr>
                    <w:rPr>
                      <w:rFonts w:ascii="Cambria Math" w:eastAsiaTheme="minorEastAsia" w:hAnsi="Cambria Math"/>
                    </w:rPr>
                  </m:ctrlPr>
                </m:sSubPr>
                <m:e>
                  <m:r>
                    <w:rPr>
                      <w:rFonts w:ascii="Cambria Math" w:eastAsiaTheme="minorEastAsia" w:hAnsi="Cambria Math"/>
                    </w:rPr>
                    <m:t>t</m:t>
                  </m:r>
                </m:e>
                <m:sub>
                  <m:r>
                    <w:rPr>
                      <w:rFonts w:ascii="Cambria Math" w:eastAsiaTheme="minorEastAsia" w:hAnsi="Cambria Math"/>
                    </w:rPr>
                    <m:t>n</m:t>
                  </m:r>
                </m:sub>
              </m:sSub>
              <m:r>
                <w:rPr>
                  <w:rFonts w:ascii="Cambria Math" w:eastAsiaTheme="minorEastAsia" w:hAnsi="Cambria Math"/>
                </w:rPr>
                <m:t xml:space="preserve">&gt;125 </m:t>
              </m:r>
            </m:oMath>
            <w:r w:rsidR="00644B5F" w:rsidRPr="00BC31E0">
              <w:rPr>
                <w:rFonts w:ascii="Cambria Math" w:eastAsiaTheme="minorEastAsia" w:hAnsi="Cambria Math"/>
              </w:rPr>
              <w:t>mm</w:t>
            </w:r>
          </w:p>
          <w:p w14:paraId="7F02AD1E" w14:textId="77777777" w:rsidR="00644B5F" w:rsidRPr="00BC31E0" w:rsidRDefault="00644B5F" w:rsidP="00644B5F">
            <w:pPr>
              <w:ind w:left="170"/>
              <w:rPr>
                <w:rFonts w:ascii="Cambria Math" w:eastAsiaTheme="minorEastAsia" w:hAnsi="Cambria Math"/>
              </w:rPr>
            </w:pPr>
            <w:r w:rsidRPr="00BC31E0">
              <w:rPr>
                <w:rFonts w:ascii="Cambria Math" w:eastAsiaTheme="minorEastAsia" w:hAnsi="Cambria Math"/>
              </w:rPr>
              <w:t>650</w:t>
            </w:r>
            <w:r w:rsidRPr="00BC31E0">
              <w:rPr>
                <w:rFonts w:asciiTheme="minorHAnsi" w:hAnsiTheme="minorHAnsi"/>
              </w:rPr>
              <w:t>°C</w:t>
            </w:r>
          </w:p>
          <w:tbl>
            <w:tblPr>
              <w:tblStyle w:val="100"/>
              <w:tblW w:w="0" w:type="auto"/>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52"/>
            </w:tblGrid>
            <w:tr w:rsidR="00644B5F" w:rsidRPr="00BC31E0" w14:paraId="506EBFE0" w14:textId="77777777" w:rsidTr="004736F2">
              <w:tc>
                <w:tcPr>
                  <w:tcW w:w="0" w:type="auto"/>
                  <w:vAlign w:val="center"/>
                </w:tcPr>
                <w:p w14:paraId="24B86105" w14:textId="77777777" w:rsidR="00644B5F" w:rsidRPr="00BC31E0" w:rsidRDefault="00644B5F" w:rsidP="00644B5F">
                  <w:pPr>
                    <w:rPr>
                      <w:rFonts w:asciiTheme="minorHAnsi" w:eastAsiaTheme="minorEastAsia" w:hAnsiTheme="minorEastAsia"/>
                      <w:i/>
                    </w:rPr>
                  </w:pPr>
                  <m:oMathPara>
                    <m:oMathParaPr>
                      <m:jc m:val="left"/>
                    </m:oMathParaPr>
                    <m:oMath>
                      <m:r>
                        <w:rPr>
                          <w:rFonts w:ascii="Cambria Math" w:eastAsiaTheme="minorEastAsia" w:hAnsi="Cambria Math"/>
                        </w:rPr>
                        <m:t>5+</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n</m:t>
                              </m:r>
                            </m:sub>
                          </m:sSub>
                          <m:r>
                            <w:rPr>
                              <w:rFonts w:ascii="Cambria Math" w:eastAsiaTheme="minorEastAsia" w:hAnsi="Cambria Math"/>
                            </w:rPr>
                            <m:t>-125</m:t>
                          </m:r>
                        </m:num>
                        <m:den>
                          <m:r>
                            <w:rPr>
                              <w:rFonts w:ascii="Cambria Math" w:eastAsiaTheme="minorEastAsia" w:hAnsi="Cambria Math"/>
                            </w:rPr>
                            <m:t>100</m:t>
                          </m:r>
                        </m:den>
                      </m:f>
                      <m:r>
                        <w:rPr>
                          <w:rFonts w:ascii="Cambria Math" w:eastAsiaTheme="minorEastAsia" w:hAnsi="Cambria Math"/>
                        </w:rPr>
                        <m:t xml:space="preserve"> </m:t>
                      </m:r>
                      <m:r>
                        <m:rPr>
                          <m:sty m:val="p"/>
                        </m:rPr>
                        <w:rPr>
                          <w:rFonts w:ascii="Cambria Math" w:eastAsiaTheme="minorEastAsia" w:hAnsi="Cambria Math"/>
                        </w:rPr>
                        <m:t>h</m:t>
                      </m:r>
                    </m:oMath>
                  </m:oMathPara>
                </w:p>
              </w:tc>
            </w:tr>
          </w:tbl>
          <w:p w14:paraId="43C3E405" w14:textId="77777777" w:rsidR="00644B5F" w:rsidRPr="00BC31E0" w:rsidRDefault="00644B5F" w:rsidP="00644B5F">
            <w:pPr>
              <w:rPr>
                <w:rFonts w:asciiTheme="minorHAnsi" w:eastAsiaTheme="minorEastAsia" w:hAnsiTheme="minorEastAsia"/>
              </w:rPr>
            </w:pPr>
          </w:p>
        </w:tc>
      </w:tr>
    </w:tbl>
    <w:p w14:paraId="61E36F3D" w14:textId="77777777" w:rsidR="00644B5F" w:rsidRPr="00BC31E0" w:rsidRDefault="00644B5F" w:rsidP="00644B5F">
      <w:pPr>
        <w:spacing w:before="60"/>
        <w:rPr>
          <w:rFonts w:asciiTheme="minorHAnsi" w:eastAsiaTheme="minorEastAsia" w:hAnsiTheme="minorHAnsi"/>
        </w:rPr>
      </w:pPr>
      <w:r w:rsidRPr="00BC31E0">
        <w:rPr>
          <w:rFonts w:asciiTheme="majorEastAsia" w:eastAsiaTheme="majorEastAsia" w:hAnsiTheme="majorEastAsia" w:hint="eastAsia"/>
          <w:b/>
        </w:rPr>
        <w:t>注記</w:t>
      </w:r>
      <w:r w:rsidRPr="00BC31E0">
        <w:rPr>
          <w:rFonts w:asciiTheme="minorHAnsi" w:eastAsiaTheme="minorEastAsia" w:hAnsiTheme="minorHAnsi" w:hint="eastAsia"/>
        </w:rPr>
        <w:t xml:space="preserve">　</w:t>
      </w:r>
      <m:oMath>
        <m:sSub>
          <m:sSubPr>
            <m:ctrlPr>
              <w:rPr>
                <w:rFonts w:ascii="Cambria Math" w:eastAsiaTheme="minorEastAsia" w:hAnsi="Cambria Math"/>
              </w:rPr>
            </m:ctrlPr>
          </m:sSubPr>
          <m:e>
            <m:r>
              <w:rPr>
                <w:rFonts w:ascii="Cambria Math" w:eastAsiaTheme="minorEastAsia" w:hAnsi="Cambria Math" w:hint="eastAsia"/>
              </w:rPr>
              <m:t>t</m:t>
            </m:r>
          </m:e>
          <m:sub>
            <m:r>
              <w:rPr>
                <w:rFonts w:ascii="Cambria Math" w:eastAsiaTheme="minorEastAsia" w:hAnsi="Cambria Math"/>
              </w:rPr>
              <m:t>n</m:t>
            </m:r>
          </m:sub>
        </m:sSub>
        <m:r>
          <m:rPr>
            <m:sty m:val="p"/>
          </m:rPr>
          <w:rPr>
            <w:rFonts w:ascii="Cambria Math" w:eastAsiaTheme="minorEastAsia" w:hAnsi="Cambria Math"/>
          </w:rPr>
          <m:t xml:space="preserve"> </m:t>
        </m:r>
      </m:oMath>
      <w:r w:rsidRPr="00BC31E0">
        <w:rPr>
          <w:rFonts w:asciiTheme="minorHAnsi" w:eastAsiaTheme="minorEastAsia" w:hAnsiTheme="minorHAnsi" w:hint="eastAsia"/>
        </w:rPr>
        <w:t>は，</w:t>
      </w:r>
      <w:r w:rsidRPr="00BC31E0">
        <w:rPr>
          <w:rFonts w:asciiTheme="majorEastAsia" w:eastAsiaTheme="majorEastAsia" w:hAnsiTheme="majorEastAsia" w:hint="eastAsia"/>
          <w:b/>
        </w:rPr>
        <w:t>7.4.1 b) 4)</w:t>
      </w:r>
      <w:r w:rsidRPr="00BC31E0">
        <w:rPr>
          <w:rFonts w:asciiTheme="minorHAnsi" w:eastAsiaTheme="minorEastAsia" w:hAnsiTheme="minorHAnsi" w:hint="eastAsia"/>
        </w:rPr>
        <w:t>に規定する公称厚さ</w:t>
      </w:r>
      <w:r w:rsidRPr="00BC31E0">
        <w:rPr>
          <w:rFonts w:asciiTheme="minorHAnsi" w:eastAsiaTheme="minorEastAsia" w:hAnsiTheme="minorHAnsi" w:hint="eastAsia"/>
        </w:rPr>
        <w:t>(</w:t>
      </w:r>
      <w:r w:rsidRPr="00BC31E0">
        <w:rPr>
          <w:rFonts w:ascii="Cambria Math" w:eastAsiaTheme="minorEastAsia" w:hAnsi="Cambria Math"/>
        </w:rPr>
        <w:t>mm</w:t>
      </w:r>
      <w:r w:rsidRPr="00BC31E0">
        <w:rPr>
          <w:rFonts w:asciiTheme="minorHAnsi" w:eastAsiaTheme="minorEastAsia" w:hAnsiTheme="minorHAnsi" w:hint="eastAsia"/>
        </w:rPr>
        <w:t>)</w:t>
      </w:r>
      <w:r w:rsidRPr="00BC31E0">
        <w:rPr>
          <w:rFonts w:asciiTheme="minorHAnsi" w:eastAsiaTheme="minorEastAsia" w:hAnsiTheme="minorHAnsi" w:hint="eastAsia"/>
        </w:rPr>
        <w:t>である。</w:t>
      </w:r>
    </w:p>
    <w:p w14:paraId="6D2F65AD" w14:textId="77777777" w:rsidR="00644B5F" w:rsidRPr="00BC31E0" w:rsidRDefault="00644B5F" w:rsidP="00644B5F"/>
    <w:p w14:paraId="4E5C9AFA" w14:textId="77777777" w:rsidR="00644B5F" w:rsidRPr="00BC31E0" w:rsidRDefault="00644B5F" w:rsidP="00644B5F">
      <w:pPr>
        <w:widowControl/>
        <w:jc w:val="left"/>
      </w:pPr>
      <w:r w:rsidRPr="00BC31E0">
        <w:br w:type="page"/>
      </w:r>
    </w:p>
    <w:p w14:paraId="51B24FD9" w14:textId="77777777" w:rsidR="00644B5F" w:rsidRPr="00BC31E0" w:rsidRDefault="00644B5F" w:rsidP="00644B5F">
      <w:pPr>
        <w:jc w:val="center"/>
        <w:rPr>
          <w:rFonts w:asciiTheme="majorEastAsia" w:eastAsiaTheme="majorEastAsia" w:hAnsiTheme="majorEastAsia"/>
          <w:b/>
        </w:rPr>
      </w:pPr>
      <w:r w:rsidRPr="00BC31E0">
        <w:rPr>
          <w:rFonts w:asciiTheme="majorEastAsia" w:eastAsiaTheme="majorEastAsia" w:hAnsiTheme="majorEastAsia" w:hint="eastAsia"/>
          <w:b/>
        </w:rPr>
        <w:lastRenderedPageBreak/>
        <w:t>表7.4.5</w:t>
      </w:r>
      <w:r w:rsidRPr="00BC31E0">
        <w:rPr>
          <w:rFonts w:asciiTheme="majorEastAsia" w:eastAsiaTheme="majorEastAsia" w:hAnsiTheme="majorEastAsia"/>
          <w:b/>
        </w:rPr>
        <w:t xml:space="preserve">　溶接後熱処理</w:t>
      </w:r>
      <w:r w:rsidRPr="00BC31E0">
        <w:rPr>
          <w:rFonts w:asciiTheme="majorEastAsia" w:eastAsiaTheme="majorEastAsia" w:hAnsiTheme="majorEastAsia" w:hint="eastAsia"/>
          <w:b/>
        </w:rPr>
        <w:t>の温度及び時間</w:t>
      </w:r>
    </w:p>
    <w:p w14:paraId="40AE084E" w14:textId="77777777" w:rsidR="00644B5F" w:rsidRPr="00BC31E0" w:rsidRDefault="00644B5F" w:rsidP="00644B5F">
      <w:pPr>
        <w:spacing w:after="60"/>
        <w:jc w:val="center"/>
        <w:rPr>
          <w:rFonts w:asciiTheme="majorEastAsia" w:eastAsiaTheme="majorEastAsia" w:hAnsiTheme="majorEastAsia"/>
        </w:rPr>
      </w:pPr>
      <w:r w:rsidRPr="00BC31E0">
        <w:rPr>
          <w:rFonts w:asciiTheme="majorEastAsia" w:eastAsiaTheme="majorEastAsia" w:hAnsiTheme="majorEastAsia"/>
          <w:b/>
        </w:rPr>
        <w:t>(P</w:t>
      </w:r>
      <w:r w:rsidRPr="00BC31E0">
        <w:rPr>
          <w:rFonts w:asciiTheme="majorEastAsia" w:eastAsiaTheme="majorEastAsia" w:hAnsiTheme="majorEastAsia" w:hint="eastAsia"/>
          <w:b/>
        </w:rPr>
        <w:t>番号</w:t>
      </w:r>
      <w:r w:rsidRPr="00BC31E0">
        <w:rPr>
          <w:rFonts w:asciiTheme="majorEastAsia" w:eastAsiaTheme="majorEastAsia" w:hAnsiTheme="majorEastAsia"/>
          <w:b/>
        </w:rPr>
        <w:t>5A</w:t>
      </w:r>
      <w:r w:rsidRPr="00BC31E0">
        <w:rPr>
          <w:rFonts w:asciiTheme="majorEastAsia" w:eastAsiaTheme="majorEastAsia" w:hAnsiTheme="majorEastAsia" w:hint="eastAsia"/>
          <w:b/>
        </w:rPr>
        <w:t>グループ番号</w:t>
      </w:r>
      <w:r w:rsidRPr="00BC31E0">
        <w:rPr>
          <w:rFonts w:asciiTheme="majorEastAsia" w:eastAsiaTheme="majorEastAsia" w:hAnsiTheme="majorEastAsia"/>
          <w:b/>
        </w:rPr>
        <w:t>1</w:t>
      </w:r>
      <w:r w:rsidRPr="00BC31E0">
        <w:rPr>
          <w:rFonts w:asciiTheme="majorEastAsia" w:eastAsiaTheme="majorEastAsia" w:hAnsiTheme="majorEastAsia" w:hint="eastAsia"/>
          <w:b/>
        </w:rPr>
        <w:t>，</w:t>
      </w:r>
      <w:r w:rsidRPr="00BC31E0">
        <w:rPr>
          <w:rFonts w:asciiTheme="majorEastAsia" w:eastAsiaTheme="majorEastAsia" w:hAnsiTheme="majorEastAsia"/>
          <w:b/>
        </w:rPr>
        <w:t>P</w:t>
      </w:r>
      <w:r w:rsidRPr="00BC31E0">
        <w:rPr>
          <w:rFonts w:asciiTheme="majorEastAsia" w:eastAsiaTheme="majorEastAsia" w:hAnsiTheme="majorEastAsia" w:hint="eastAsia"/>
          <w:b/>
        </w:rPr>
        <w:t>番号</w:t>
      </w:r>
      <w:r w:rsidRPr="00BC31E0">
        <w:rPr>
          <w:rFonts w:asciiTheme="majorEastAsia" w:eastAsiaTheme="majorEastAsia" w:hAnsiTheme="majorEastAsia"/>
          <w:b/>
        </w:rPr>
        <w:t>5B</w:t>
      </w:r>
      <w:r w:rsidRPr="00BC31E0">
        <w:rPr>
          <w:rFonts w:asciiTheme="majorEastAsia" w:eastAsiaTheme="majorEastAsia" w:hAnsiTheme="majorEastAsia" w:hint="eastAsia"/>
          <w:b/>
        </w:rPr>
        <w:t>グループ番号</w:t>
      </w:r>
      <w:r w:rsidRPr="00BC31E0">
        <w:rPr>
          <w:rFonts w:asciiTheme="majorEastAsia" w:eastAsiaTheme="majorEastAsia" w:hAnsiTheme="majorEastAsia"/>
          <w:b/>
        </w:rPr>
        <w:t>1</w:t>
      </w:r>
      <w:r w:rsidRPr="00BC31E0">
        <w:rPr>
          <w:rFonts w:asciiTheme="majorEastAsia" w:eastAsiaTheme="majorEastAsia" w:hAnsiTheme="majorEastAsia" w:hint="eastAsia"/>
          <w:b/>
        </w:rPr>
        <w:t>及び</w:t>
      </w:r>
      <w:r w:rsidRPr="00BC31E0">
        <w:rPr>
          <w:rFonts w:asciiTheme="majorEastAsia" w:eastAsiaTheme="majorEastAsia" w:hAnsiTheme="majorEastAsia"/>
          <w:b/>
        </w:rPr>
        <w:t>P</w:t>
      </w:r>
      <w:r w:rsidRPr="00BC31E0">
        <w:rPr>
          <w:rFonts w:asciiTheme="majorEastAsia" w:eastAsiaTheme="majorEastAsia" w:hAnsiTheme="majorEastAsia" w:hint="eastAsia"/>
          <w:b/>
        </w:rPr>
        <w:t>番号</w:t>
      </w:r>
      <w:r w:rsidRPr="00BC31E0">
        <w:rPr>
          <w:rFonts w:asciiTheme="majorEastAsia" w:eastAsiaTheme="majorEastAsia" w:hAnsiTheme="majorEastAsia"/>
          <w:b/>
        </w:rPr>
        <w:t>5C</w:t>
      </w:r>
      <w:r w:rsidRPr="00BC31E0">
        <w:rPr>
          <w:rFonts w:asciiTheme="majorEastAsia" w:eastAsiaTheme="majorEastAsia" w:hAnsiTheme="majorEastAsia" w:hint="eastAsia"/>
          <w:b/>
        </w:rPr>
        <w:t>グループ番号</w:t>
      </w:r>
      <w:r w:rsidRPr="00BC31E0">
        <w:rPr>
          <w:rFonts w:asciiTheme="majorEastAsia" w:eastAsiaTheme="majorEastAsia" w:hAnsiTheme="majorEastAsia"/>
          <w:b/>
        </w:rPr>
        <w:t>1</w:t>
      </w:r>
      <w:r w:rsidRPr="00BC31E0">
        <w:rPr>
          <w:rFonts w:asciiTheme="majorEastAsia" w:eastAsiaTheme="majorEastAsia" w:hAnsiTheme="majorEastAsia" w:hint="eastAsia"/>
          <w:b/>
        </w:rPr>
        <w:t>の材料</w:t>
      </w:r>
      <w:r w:rsidRPr="00BC31E0">
        <w:rPr>
          <w:rFonts w:asciiTheme="majorEastAsia" w:eastAsiaTheme="majorEastAsia" w:hAnsiTheme="majorEastAsia"/>
          <w:b/>
        </w:rPr>
        <w:t>)</w:t>
      </w:r>
    </w:p>
    <w:tbl>
      <w:tblPr>
        <w:tblStyle w:val="100"/>
        <w:tblW w:w="0" w:type="auto"/>
        <w:tblInd w:w="108" w:type="dxa"/>
        <w:tblLook w:val="04A0" w:firstRow="1" w:lastRow="0" w:firstColumn="1" w:lastColumn="0" w:noHBand="0" w:noVBand="1"/>
      </w:tblPr>
      <w:tblGrid>
        <w:gridCol w:w="6946"/>
        <w:gridCol w:w="2126"/>
      </w:tblGrid>
      <w:tr w:rsidR="00644B5F" w:rsidRPr="00BC31E0" w14:paraId="1BE2CA9E" w14:textId="77777777" w:rsidTr="004736F2">
        <w:tc>
          <w:tcPr>
            <w:tcW w:w="6946" w:type="dxa"/>
            <w:vAlign w:val="center"/>
          </w:tcPr>
          <w:p w14:paraId="6F817552" w14:textId="77777777" w:rsidR="00644B5F" w:rsidRPr="00BC31E0" w:rsidRDefault="00644B5F" w:rsidP="00644B5F">
            <w:pPr>
              <w:jc w:val="center"/>
              <w:rPr>
                <w:rFonts w:asciiTheme="minorHAnsi" w:eastAsiaTheme="minorEastAsia" w:hAnsiTheme="minorHAnsi"/>
              </w:rPr>
            </w:pPr>
            <w:r w:rsidRPr="00BC31E0">
              <w:rPr>
                <w:rFonts w:asciiTheme="minorHAnsi" w:eastAsiaTheme="minorEastAsia" w:hAnsiTheme="minorEastAsia"/>
              </w:rPr>
              <w:t>要求事項</w:t>
            </w:r>
          </w:p>
        </w:tc>
        <w:tc>
          <w:tcPr>
            <w:tcW w:w="2126" w:type="dxa"/>
            <w:vAlign w:val="center"/>
          </w:tcPr>
          <w:p w14:paraId="547EB496" w14:textId="77777777" w:rsidR="00644B5F" w:rsidRPr="00BC31E0" w:rsidRDefault="00644B5F" w:rsidP="00644B5F">
            <w:pPr>
              <w:jc w:val="center"/>
              <w:rPr>
                <w:rFonts w:asciiTheme="minorHAnsi" w:eastAsiaTheme="minorEastAsia" w:hAnsiTheme="minorHAnsi"/>
              </w:rPr>
            </w:pPr>
            <w:r w:rsidRPr="00BC31E0">
              <w:rPr>
                <w:rFonts w:asciiTheme="minorHAnsi" w:eastAsiaTheme="minorEastAsia" w:hAnsiTheme="minorEastAsia"/>
              </w:rPr>
              <w:t>保持温度と保持時間</w:t>
            </w:r>
          </w:p>
        </w:tc>
      </w:tr>
      <w:tr w:rsidR="00644B5F" w:rsidRPr="00BC31E0" w14:paraId="3DE114BA" w14:textId="77777777" w:rsidTr="004736F2">
        <w:tc>
          <w:tcPr>
            <w:tcW w:w="6946" w:type="dxa"/>
          </w:tcPr>
          <w:p w14:paraId="6683C6FE" w14:textId="77777777" w:rsidR="00644B5F" w:rsidRPr="00BC31E0" w:rsidRDefault="00644B5F" w:rsidP="00736130">
            <w:pPr>
              <w:numPr>
                <w:ilvl w:val="0"/>
                <w:numId w:val="174"/>
              </w:numPr>
              <w:ind w:left="340" w:hanging="340"/>
              <w:rPr>
                <w:rFonts w:asciiTheme="minorHAnsi" w:eastAsiaTheme="minorEastAsia" w:hAnsiTheme="minorEastAsia"/>
              </w:rPr>
            </w:pPr>
            <w:r w:rsidRPr="00BC31E0">
              <w:rPr>
                <w:rFonts w:asciiTheme="minorHAnsi" w:eastAsiaTheme="minorEastAsia" w:hAnsiTheme="minorEastAsia"/>
              </w:rPr>
              <w:t>次の</w:t>
            </w:r>
            <w:r w:rsidRPr="00BC31E0">
              <w:rPr>
                <w:rFonts w:asciiTheme="majorEastAsia" w:eastAsiaTheme="majorEastAsia" w:hAnsiTheme="majorEastAsia"/>
                <w:b/>
              </w:rPr>
              <w:t>1)</w:t>
            </w:r>
            <w:r w:rsidRPr="00BC31E0">
              <w:rPr>
                <w:rFonts w:asciiTheme="minorHAnsi" w:eastAsiaTheme="minorEastAsia" w:hAnsiTheme="minorEastAsia"/>
              </w:rPr>
              <w:t>～</w:t>
            </w:r>
            <w:r w:rsidRPr="00BC31E0">
              <w:rPr>
                <w:rFonts w:asciiTheme="majorEastAsia" w:eastAsiaTheme="majorEastAsia" w:hAnsiTheme="majorEastAsia"/>
                <w:b/>
              </w:rPr>
              <w:t>5)</w:t>
            </w:r>
            <w:r w:rsidRPr="00BC31E0">
              <w:rPr>
                <w:rFonts w:asciiTheme="minorHAnsi" w:eastAsiaTheme="minorEastAsia" w:hAnsiTheme="minorEastAsia"/>
              </w:rPr>
              <w:t>を除いて，溶接後熱処理</w:t>
            </w:r>
            <w:r w:rsidRPr="00BC31E0">
              <w:rPr>
                <w:rFonts w:asciiTheme="minorHAnsi" w:eastAsiaTheme="minorEastAsia" w:hAnsiTheme="minorEastAsia" w:hint="eastAsia"/>
              </w:rPr>
              <w:t>が必要である</w:t>
            </w:r>
            <w:r w:rsidRPr="00BC31E0">
              <w:rPr>
                <w:rFonts w:asciiTheme="minorHAnsi" w:eastAsiaTheme="minorEastAsia" w:hAnsiTheme="minorEastAsia"/>
              </w:rPr>
              <w:t>。</w:t>
            </w:r>
          </w:p>
          <w:p w14:paraId="6875F5EF" w14:textId="77777777" w:rsidR="00644B5F" w:rsidRPr="00BC31E0" w:rsidRDefault="00644B5F" w:rsidP="00736130">
            <w:pPr>
              <w:numPr>
                <w:ilvl w:val="1"/>
                <w:numId w:val="175"/>
              </w:numPr>
              <w:ind w:left="567" w:hanging="340"/>
              <w:rPr>
                <w:rFonts w:asciiTheme="minorHAnsi" w:eastAsiaTheme="minorEastAsia" w:hAnsiTheme="minorHAnsi"/>
              </w:rPr>
            </w:pPr>
            <w:r w:rsidRPr="00BC31E0">
              <w:rPr>
                <w:rFonts w:asciiTheme="minorHAnsi" w:eastAsiaTheme="minorEastAsia" w:hAnsiTheme="minorEastAsia"/>
              </w:rPr>
              <w:t>次の</w:t>
            </w:r>
            <w:r w:rsidRPr="00BC31E0">
              <w:rPr>
                <w:rFonts w:asciiTheme="majorEastAsia" w:eastAsiaTheme="majorEastAsia" w:hAnsiTheme="majorEastAsia" w:hint="eastAsia"/>
                <w:b/>
              </w:rPr>
              <w:t>1.1</w:t>
            </w:r>
            <w:r w:rsidRPr="00BC31E0">
              <w:rPr>
                <w:rFonts w:asciiTheme="majorEastAsia" w:eastAsiaTheme="majorEastAsia" w:hAnsiTheme="majorEastAsia"/>
                <w:b/>
              </w:rPr>
              <w:t>)</w:t>
            </w:r>
            <w:r w:rsidRPr="00BC31E0">
              <w:rPr>
                <w:rFonts w:asciiTheme="minorHAnsi" w:eastAsiaTheme="minorEastAsia" w:hAnsiTheme="minorEastAsia"/>
              </w:rPr>
              <w:t>～</w:t>
            </w:r>
            <w:r w:rsidRPr="00BC31E0">
              <w:rPr>
                <w:rFonts w:asciiTheme="majorEastAsia" w:eastAsiaTheme="majorEastAsia" w:hAnsiTheme="majorEastAsia" w:hint="eastAsia"/>
                <w:b/>
              </w:rPr>
              <w:t>1.4</w:t>
            </w:r>
            <w:r w:rsidRPr="00BC31E0">
              <w:rPr>
                <w:rFonts w:asciiTheme="majorEastAsia" w:eastAsiaTheme="majorEastAsia" w:hAnsiTheme="majorEastAsia"/>
                <w:b/>
              </w:rPr>
              <w:t>)</w:t>
            </w:r>
            <w:r w:rsidRPr="00BC31E0">
              <w:rPr>
                <w:rFonts w:asciiTheme="minorHAnsi" w:eastAsiaTheme="minorEastAsia" w:hAnsiTheme="minorEastAsia"/>
              </w:rPr>
              <w:t>の全て</w:t>
            </w:r>
            <w:r w:rsidRPr="00BC31E0">
              <w:rPr>
                <w:rFonts w:asciiTheme="minorHAnsi" w:eastAsiaTheme="minorEastAsia" w:hAnsiTheme="minorEastAsia" w:hint="eastAsia"/>
              </w:rPr>
              <w:t>の要件を満たす</w:t>
            </w:r>
            <w:r w:rsidRPr="00BC31E0">
              <w:rPr>
                <w:rFonts w:asciiTheme="minorHAnsi" w:eastAsiaTheme="minorEastAsia" w:hAnsiTheme="minorEastAsia"/>
              </w:rPr>
              <w:t>パイプ又は管の周方向突合せ溶接</w:t>
            </w:r>
          </w:p>
          <w:p w14:paraId="1068AEBD" w14:textId="77777777" w:rsidR="00644B5F" w:rsidRPr="00BC31E0" w:rsidRDefault="00644B5F" w:rsidP="00736130">
            <w:pPr>
              <w:numPr>
                <w:ilvl w:val="0"/>
                <w:numId w:val="178"/>
              </w:numPr>
              <w:ind w:left="1021" w:hanging="567"/>
              <w:rPr>
                <w:rFonts w:asciiTheme="minorHAnsi" w:eastAsiaTheme="minorEastAsia" w:hAnsiTheme="minorHAnsi"/>
              </w:rPr>
            </w:pPr>
            <w:r w:rsidRPr="00BC31E0">
              <w:rPr>
                <w:rFonts w:asciiTheme="minorHAnsi" w:eastAsiaTheme="minorEastAsia" w:hAnsiTheme="minorEastAsia"/>
              </w:rPr>
              <w:t>規定</w:t>
            </w:r>
            <w:r w:rsidRPr="00BC31E0">
              <w:rPr>
                <w:rFonts w:asciiTheme="minorHAnsi" w:eastAsiaTheme="minorEastAsia" w:hAnsiTheme="minorEastAsia" w:hint="eastAsia"/>
              </w:rPr>
              <w:t>クロム</w:t>
            </w:r>
            <w:r w:rsidRPr="00BC31E0">
              <w:rPr>
                <w:rFonts w:asciiTheme="minorHAnsi" w:eastAsiaTheme="minorEastAsia" w:hAnsiTheme="minorEastAsia"/>
              </w:rPr>
              <w:t>含有量が</w:t>
            </w:r>
            <w:r w:rsidRPr="00BC31E0">
              <w:rPr>
                <w:rFonts w:ascii="Cambria Math" w:eastAsiaTheme="minorEastAsia" w:hAnsi="Cambria Math"/>
              </w:rPr>
              <w:t>3.0</w:t>
            </w:r>
            <w:r w:rsidRPr="00BC31E0">
              <w:rPr>
                <w:rFonts w:ascii="Cambria Math" w:eastAsiaTheme="minorEastAsia" w:hAnsi="Cambria Math" w:hint="eastAsia"/>
              </w:rPr>
              <w:t xml:space="preserve"> </w:t>
            </w:r>
            <w:r w:rsidRPr="00BC31E0">
              <w:rPr>
                <w:rFonts w:ascii="Cambria Math" w:eastAsiaTheme="minorEastAsia" w:hAnsi="Cambria Math"/>
              </w:rPr>
              <w:t>%</w:t>
            </w:r>
            <w:r w:rsidRPr="00BC31E0">
              <w:rPr>
                <w:rFonts w:asciiTheme="minorHAnsi" w:eastAsiaTheme="minorEastAsia" w:hAnsiTheme="minorEastAsia"/>
              </w:rPr>
              <w:t>以下</w:t>
            </w:r>
            <w:r w:rsidRPr="00BC31E0">
              <w:rPr>
                <w:rFonts w:asciiTheme="minorHAnsi" w:eastAsiaTheme="minorEastAsia" w:hAnsiTheme="minorEastAsia" w:hint="eastAsia"/>
              </w:rPr>
              <w:t>である。</w:t>
            </w:r>
          </w:p>
          <w:p w14:paraId="1B044521" w14:textId="77777777" w:rsidR="00644B5F" w:rsidRPr="00BC31E0" w:rsidRDefault="00644B5F" w:rsidP="00736130">
            <w:pPr>
              <w:numPr>
                <w:ilvl w:val="0"/>
                <w:numId w:val="178"/>
              </w:numPr>
              <w:ind w:left="1021" w:hanging="567"/>
              <w:rPr>
                <w:rFonts w:asciiTheme="minorHAnsi" w:eastAsiaTheme="minorEastAsia" w:hAnsiTheme="minorHAnsi"/>
              </w:rPr>
            </w:pPr>
            <w:r w:rsidRPr="00BC31E0">
              <w:rPr>
                <w:rFonts w:asciiTheme="minorHAnsi" w:eastAsiaTheme="minorEastAsia" w:hAnsiTheme="minorEastAsia"/>
              </w:rPr>
              <w:t>公称厚さが</w:t>
            </w:r>
            <w:r w:rsidRPr="00BC31E0">
              <w:rPr>
                <w:rFonts w:ascii="Cambria Math" w:eastAsiaTheme="minorEastAsia" w:hAnsi="Cambria Math"/>
              </w:rPr>
              <w:t>16 mm</w:t>
            </w:r>
            <w:r w:rsidRPr="00BC31E0">
              <w:rPr>
                <w:rFonts w:asciiTheme="minorHAnsi" w:eastAsiaTheme="minorEastAsia" w:hAnsiTheme="minorEastAsia"/>
              </w:rPr>
              <w:t>以下</w:t>
            </w:r>
            <w:r w:rsidRPr="00BC31E0">
              <w:rPr>
                <w:rFonts w:asciiTheme="minorHAnsi" w:eastAsiaTheme="minorEastAsia" w:hAnsiTheme="minorEastAsia" w:hint="eastAsia"/>
              </w:rPr>
              <w:t>である。</w:t>
            </w:r>
          </w:p>
          <w:p w14:paraId="0DDCCCDF" w14:textId="77777777" w:rsidR="00644B5F" w:rsidRPr="00BC31E0" w:rsidRDefault="00644B5F" w:rsidP="00736130">
            <w:pPr>
              <w:numPr>
                <w:ilvl w:val="0"/>
                <w:numId w:val="178"/>
              </w:numPr>
              <w:ind w:left="1021" w:hanging="567"/>
              <w:rPr>
                <w:rFonts w:asciiTheme="minorHAnsi" w:eastAsiaTheme="minorEastAsia" w:hAnsiTheme="minorHAnsi"/>
              </w:rPr>
            </w:pPr>
            <w:r w:rsidRPr="00BC31E0">
              <w:rPr>
                <w:rFonts w:asciiTheme="minorHAnsi" w:eastAsiaTheme="minorEastAsia" w:hAnsiTheme="minorEastAsia"/>
              </w:rPr>
              <w:t>規定炭素含有量が</w:t>
            </w:r>
            <w:r w:rsidRPr="00BC31E0">
              <w:rPr>
                <w:rFonts w:ascii="Cambria Math" w:eastAsiaTheme="minorEastAsia" w:hAnsi="Cambria Math"/>
              </w:rPr>
              <w:t>0.15</w:t>
            </w:r>
            <w:r w:rsidRPr="00BC31E0">
              <w:rPr>
                <w:rFonts w:ascii="Cambria Math" w:eastAsiaTheme="minorEastAsia" w:hAnsi="Cambria Math" w:hint="eastAsia"/>
              </w:rPr>
              <w:t xml:space="preserve"> </w:t>
            </w:r>
            <w:r w:rsidRPr="00BC31E0">
              <w:rPr>
                <w:rFonts w:ascii="Cambria Math" w:eastAsiaTheme="minorEastAsia" w:hAnsi="Cambria Math"/>
              </w:rPr>
              <w:t>%</w:t>
            </w:r>
            <w:r w:rsidRPr="00BC31E0">
              <w:rPr>
                <w:rFonts w:asciiTheme="minorHAnsi" w:eastAsiaTheme="minorEastAsia" w:hAnsiTheme="minorEastAsia"/>
              </w:rPr>
              <w:t>以下</w:t>
            </w:r>
            <w:r w:rsidRPr="00BC31E0">
              <w:rPr>
                <w:rFonts w:asciiTheme="minorHAnsi" w:eastAsiaTheme="minorEastAsia" w:hAnsiTheme="minorEastAsia" w:hint="eastAsia"/>
              </w:rPr>
              <w:t>である。</w:t>
            </w:r>
          </w:p>
          <w:p w14:paraId="6AAC3E3B" w14:textId="77777777" w:rsidR="00644B5F" w:rsidRPr="00BC31E0" w:rsidRDefault="00644B5F" w:rsidP="00736130">
            <w:pPr>
              <w:numPr>
                <w:ilvl w:val="0"/>
                <w:numId w:val="178"/>
              </w:numPr>
              <w:ind w:left="1021" w:hanging="567"/>
              <w:rPr>
                <w:rFonts w:asciiTheme="minorHAnsi" w:eastAsiaTheme="minorEastAsia" w:hAnsiTheme="minorHAnsi"/>
              </w:rPr>
            </w:pPr>
            <w:r w:rsidRPr="00BC31E0">
              <w:rPr>
                <w:rFonts w:asciiTheme="minorHAnsi" w:eastAsiaTheme="minorEastAsia" w:hAnsiTheme="minorEastAsia"/>
              </w:rPr>
              <w:t>予熱温度が</w:t>
            </w:r>
            <w:r w:rsidRPr="00BC31E0">
              <w:rPr>
                <w:rFonts w:ascii="Cambria Math" w:eastAsiaTheme="minorEastAsia" w:hAnsi="Cambria Math"/>
              </w:rPr>
              <w:t>150</w:t>
            </w:r>
            <w:r w:rsidRPr="00BC31E0">
              <w:rPr>
                <w:rFonts w:asciiTheme="minorHAnsi" w:hAnsiTheme="minorHAnsi"/>
              </w:rPr>
              <w:t>°C</w:t>
            </w:r>
            <w:r w:rsidRPr="00BC31E0">
              <w:rPr>
                <w:rFonts w:asciiTheme="minorHAnsi" w:eastAsiaTheme="minorEastAsia" w:hAnsiTheme="minorEastAsia"/>
              </w:rPr>
              <w:t>以上</w:t>
            </w:r>
            <w:r w:rsidRPr="00BC31E0">
              <w:rPr>
                <w:rFonts w:asciiTheme="minorHAnsi" w:eastAsiaTheme="minorEastAsia" w:hAnsiTheme="minorEastAsia" w:hint="eastAsia"/>
              </w:rPr>
              <w:t>である。</w:t>
            </w:r>
          </w:p>
          <w:p w14:paraId="6CDC589D" w14:textId="77777777" w:rsidR="00644B5F" w:rsidRPr="00BC31E0" w:rsidRDefault="00644B5F" w:rsidP="00736130">
            <w:pPr>
              <w:numPr>
                <w:ilvl w:val="1"/>
                <w:numId w:val="175"/>
              </w:numPr>
              <w:ind w:left="567" w:hanging="340"/>
              <w:rPr>
                <w:rFonts w:asciiTheme="minorHAnsi" w:eastAsiaTheme="minorEastAsia" w:hAnsiTheme="minorHAnsi"/>
              </w:rPr>
            </w:pPr>
            <w:r w:rsidRPr="00BC31E0">
              <w:rPr>
                <w:rFonts w:asciiTheme="minorHAnsi" w:eastAsiaTheme="minorEastAsia" w:hAnsiTheme="minorEastAsia"/>
              </w:rPr>
              <w:t>次の</w:t>
            </w:r>
            <w:r w:rsidRPr="00BC31E0">
              <w:rPr>
                <w:rFonts w:asciiTheme="majorEastAsia" w:eastAsiaTheme="majorEastAsia" w:hAnsiTheme="majorEastAsia" w:hint="eastAsia"/>
                <w:b/>
              </w:rPr>
              <w:t>2.1</w:t>
            </w:r>
            <w:r w:rsidRPr="00BC31E0">
              <w:rPr>
                <w:rFonts w:asciiTheme="majorEastAsia" w:eastAsiaTheme="majorEastAsia" w:hAnsiTheme="majorEastAsia"/>
                <w:b/>
              </w:rPr>
              <w:t>)</w:t>
            </w:r>
            <w:r w:rsidRPr="00BC31E0">
              <w:rPr>
                <w:rFonts w:asciiTheme="minorHAnsi" w:eastAsiaTheme="minorEastAsia" w:hAnsiTheme="minorEastAsia"/>
              </w:rPr>
              <w:t>及び</w:t>
            </w:r>
            <w:r w:rsidRPr="00BC31E0">
              <w:rPr>
                <w:rFonts w:asciiTheme="majorEastAsia" w:eastAsiaTheme="majorEastAsia" w:hAnsiTheme="majorEastAsia" w:hint="eastAsia"/>
                <w:b/>
              </w:rPr>
              <w:t>2.2</w:t>
            </w:r>
            <w:r w:rsidRPr="00BC31E0">
              <w:rPr>
                <w:rFonts w:asciiTheme="majorEastAsia" w:eastAsiaTheme="majorEastAsia" w:hAnsiTheme="majorEastAsia"/>
                <w:b/>
              </w:rPr>
              <w:t>)</w:t>
            </w:r>
            <w:r w:rsidRPr="00BC31E0">
              <w:rPr>
                <w:rFonts w:asciiTheme="minorHAnsi" w:eastAsiaTheme="minorEastAsia" w:hAnsiTheme="minorEastAsia" w:hint="eastAsia"/>
              </w:rPr>
              <w:t>の要件を満たす</w:t>
            </w:r>
            <w:r w:rsidRPr="00BC31E0">
              <w:rPr>
                <w:rFonts w:asciiTheme="minorHAnsi" w:eastAsiaTheme="minorEastAsia" w:hAnsiTheme="minorHAnsi" w:hint="eastAsia"/>
              </w:rPr>
              <w:t>ならば</w:t>
            </w:r>
            <w:r w:rsidRPr="00BC31E0">
              <w:rPr>
                <w:rFonts w:asciiTheme="minorHAnsi" w:eastAsiaTheme="minorEastAsia" w:hAnsiTheme="minorEastAsia"/>
              </w:rPr>
              <w:t>，非耐圧</w:t>
            </w:r>
            <w:r w:rsidRPr="00BC31E0">
              <w:rPr>
                <w:rFonts w:asciiTheme="minorHAnsi" w:eastAsiaTheme="minorEastAsia" w:hAnsiTheme="minorEastAsia" w:hint="eastAsia"/>
              </w:rPr>
              <w:t>の</w:t>
            </w:r>
            <w:r w:rsidRPr="00BC31E0">
              <w:rPr>
                <w:rFonts w:asciiTheme="minorHAnsi" w:eastAsiaTheme="minorEastAsia" w:hAnsiTheme="minorEastAsia"/>
              </w:rPr>
              <w:t>取付物が隅肉溶接され</w:t>
            </w:r>
            <w:r w:rsidRPr="00BC31E0">
              <w:rPr>
                <w:rFonts w:asciiTheme="minorHAnsi" w:eastAsiaTheme="minorEastAsia" w:hAnsiTheme="minorEastAsia" w:hint="eastAsia"/>
              </w:rPr>
              <w:t>た</w:t>
            </w:r>
            <w:r w:rsidRPr="00BC31E0">
              <w:rPr>
                <w:rFonts w:asciiTheme="majorEastAsia" w:eastAsiaTheme="majorEastAsia" w:hAnsiTheme="majorEastAsia" w:hint="eastAsia"/>
                <w:b/>
              </w:rPr>
              <w:t>1.1</w:t>
            </w:r>
            <w:r w:rsidRPr="00BC31E0">
              <w:rPr>
                <w:rFonts w:asciiTheme="majorEastAsia" w:eastAsiaTheme="majorEastAsia" w:hAnsiTheme="majorEastAsia"/>
                <w:b/>
              </w:rPr>
              <w:t>)</w:t>
            </w:r>
            <w:r w:rsidRPr="00BC31E0">
              <w:rPr>
                <w:rFonts w:asciiTheme="minorHAnsi" w:eastAsiaTheme="minorEastAsia" w:hAnsiTheme="minorEastAsia"/>
              </w:rPr>
              <w:t>～</w:t>
            </w:r>
            <w:r w:rsidRPr="00BC31E0">
              <w:rPr>
                <w:rFonts w:asciiTheme="majorEastAsia" w:eastAsiaTheme="majorEastAsia" w:hAnsiTheme="majorEastAsia"/>
                <w:b/>
              </w:rPr>
              <w:t>1</w:t>
            </w:r>
            <w:r w:rsidRPr="00BC31E0">
              <w:rPr>
                <w:rFonts w:asciiTheme="majorEastAsia" w:eastAsiaTheme="majorEastAsia" w:hAnsiTheme="majorEastAsia" w:hint="eastAsia"/>
                <w:b/>
              </w:rPr>
              <w:t>.3</w:t>
            </w:r>
            <w:r w:rsidRPr="00BC31E0">
              <w:rPr>
                <w:rFonts w:asciiTheme="majorEastAsia" w:eastAsiaTheme="majorEastAsia" w:hAnsiTheme="majorEastAsia"/>
                <w:b/>
              </w:rPr>
              <w:t>)</w:t>
            </w:r>
            <w:r w:rsidRPr="00BC31E0">
              <w:rPr>
                <w:rFonts w:asciiTheme="minorHAnsi" w:eastAsiaTheme="minorEastAsia" w:hAnsiTheme="minorEastAsia" w:hint="eastAsia"/>
              </w:rPr>
              <w:t xml:space="preserve"> </w:t>
            </w:r>
            <w:r w:rsidRPr="00BC31E0">
              <w:rPr>
                <w:rFonts w:asciiTheme="minorHAnsi" w:eastAsiaTheme="minorEastAsia" w:hAnsiTheme="minorEastAsia" w:hint="eastAsia"/>
              </w:rPr>
              <w:t>満足する</w:t>
            </w:r>
            <w:r w:rsidRPr="00BC31E0">
              <w:rPr>
                <w:rFonts w:asciiTheme="minorHAnsi" w:eastAsiaTheme="minorEastAsia" w:hAnsiTheme="minorEastAsia"/>
              </w:rPr>
              <w:t>パイプ又は管</w:t>
            </w:r>
          </w:p>
          <w:p w14:paraId="5C40708D" w14:textId="77777777" w:rsidR="00644B5F" w:rsidRPr="00BC31E0" w:rsidRDefault="00644B5F" w:rsidP="00736130">
            <w:pPr>
              <w:numPr>
                <w:ilvl w:val="0"/>
                <w:numId w:val="179"/>
              </w:numPr>
              <w:ind w:left="1021" w:hanging="567"/>
              <w:rPr>
                <w:rFonts w:asciiTheme="minorHAnsi" w:eastAsiaTheme="minorEastAsia" w:hAnsiTheme="minorHAnsi"/>
              </w:rPr>
            </w:pPr>
            <w:r w:rsidRPr="00BC31E0">
              <w:rPr>
                <w:rFonts w:asciiTheme="minorHAnsi" w:eastAsiaTheme="minorEastAsia" w:hAnsiTheme="minorEastAsia"/>
              </w:rPr>
              <w:t>のど厚が</w:t>
            </w:r>
            <w:r w:rsidRPr="00BC31E0">
              <w:rPr>
                <w:rFonts w:ascii="Cambria Math" w:eastAsiaTheme="minorEastAsia" w:hAnsi="Cambria Math"/>
              </w:rPr>
              <w:t>13 mm</w:t>
            </w:r>
            <w:r w:rsidRPr="00BC31E0">
              <w:rPr>
                <w:rFonts w:asciiTheme="minorHAnsi" w:eastAsiaTheme="minorEastAsia" w:hAnsiTheme="minorEastAsia"/>
              </w:rPr>
              <w:t>以下の隅肉溶接</w:t>
            </w:r>
            <w:r w:rsidRPr="00BC31E0">
              <w:rPr>
                <w:rFonts w:asciiTheme="minorHAnsi" w:eastAsiaTheme="minorEastAsia" w:hAnsiTheme="minorEastAsia" w:hint="eastAsia"/>
              </w:rPr>
              <w:t>である。</w:t>
            </w:r>
          </w:p>
          <w:p w14:paraId="2F2AB242" w14:textId="77777777" w:rsidR="00644B5F" w:rsidRPr="00BC31E0" w:rsidRDefault="00644B5F" w:rsidP="00736130">
            <w:pPr>
              <w:numPr>
                <w:ilvl w:val="0"/>
                <w:numId w:val="179"/>
              </w:numPr>
              <w:ind w:left="1021" w:hanging="567"/>
              <w:rPr>
                <w:rFonts w:asciiTheme="minorHAnsi" w:eastAsiaTheme="minorEastAsia" w:hAnsiTheme="minorHAnsi"/>
              </w:rPr>
            </w:pPr>
            <w:r w:rsidRPr="00BC31E0">
              <w:rPr>
                <w:rFonts w:asciiTheme="minorHAnsi" w:eastAsiaTheme="minorEastAsia" w:hAnsiTheme="minorEastAsia"/>
              </w:rPr>
              <w:t>予熱温度が</w:t>
            </w:r>
            <w:r w:rsidRPr="00BC31E0">
              <w:rPr>
                <w:rFonts w:ascii="Cambria Math" w:eastAsiaTheme="minorEastAsia" w:hAnsi="Cambria Math"/>
              </w:rPr>
              <w:t>150</w:t>
            </w:r>
            <w:r w:rsidRPr="00BC31E0">
              <w:rPr>
                <w:rFonts w:asciiTheme="minorHAnsi" w:hAnsiTheme="minorHAnsi"/>
              </w:rPr>
              <w:t>°C</w:t>
            </w:r>
            <w:r w:rsidRPr="00BC31E0">
              <w:rPr>
                <w:rFonts w:asciiTheme="minorHAnsi" w:eastAsiaTheme="minorEastAsia" w:hAnsiTheme="minorEastAsia"/>
              </w:rPr>
              <w:t>以上</w:t>
            </w:r>
            <w:r w:rsidRPr="00BC31E0">
              <w:rPr>
                <w:rFonts w:asciiTheme="minorHAnsi" w:eastAsiaTheme="minorEastAsia" w:hAnsiTheme="minorEastAsia" w:hint="eastAsia"/>
              </w:rPr>
              <w:t>である。</w:t>
            </w:r>
          </w:p>
          <w:p w14:paraId="14054A12" w14:textId="77777777" w:rsidR="00644B5F" w:rsidRPr="00BC31E0" w:rsidRDefault="00644B5F" w:rsidP="00736130">
            <w:pPr>
              <w:numPr>
                <w:ilvl w:val="0"/>
                <w:numId w:val="176"/>
              </w:numPr>
              <w:ind w:left="567" w:hanging="340"/>
              <w:rPr>
                <w:rFonts w:asciiTheme="minorHAnsi" w:eastAsiaTheme="minorEastAsia" w:hAnsiTheme="minorHAnsi"/>
              </w:rPr>
            </w:pPr>
            <w:r w:rsidRPr="00BC31E0">
              <w:rPr>
                <w:rFonts w:ascii="Cambria Math" w:eastAsiaTheme="minorEastAsia" w:hAnsi="Cambria Math"/>
              </w:rPr>
              <w:t>150</w:t>
            </w:r>
            <w:r w:rsidRPr="00BC31E0">
              <w:rPr>
                <w:rFonts w:asciiTheme="minorHAnsi" w:hAnsiTheme="minorHAnsi"/>
              </w:rPr>
              <w:t>°C</w:t>
            </w:r>
            <w:r w:rsidRPr="00BC31E0">
              <w:rPr>
                <w:rFonts w:asciiTheme="minorHAnsi" w:eastAsiaTheme="minorEastAsia" w:hAnsiTheme="minorEastAsia" w:hint="eastAsia"/>
              </w:rPr>
              <w:t>以上で予熱するならば，</w:t>
            </w:r>
            <w:r w:rsidRPr="00BC31E0">
              <w:rPr>
                <w:rFonts w:asciiTheme="minorHAnsi" w:eastAsiaTheme="minorEastAsia" w:hAnsiTheme="minorEastAsia"/>
              </w:rPr>
              <w:t>スタッド溶接された</w:t>
            </w:r>
            <w:r w:rsidRPr="00BC31E0">
              <w:rPr>
                <w:rFonts w:asciiTheme="majorEastAsia" w:eastAsiaTheme="majorEastAsia" w:hAnsiTheme="majorEastAsia" w:hint="eastAsia"/>
                <w:b/>
              </w:rPr>
              <w:t>1.1</w:t>
            </w:r>
            <w:r w:rsidRPr="00BC31E0">
              <w:rPr>
                <w:rFonts w:asciiTheme="majorEastAsia" w:eastAsiaTheme="majorEastAsia" w:hAnsiTheme="majorEastAsia"/>
                <w:b/>
              </w:rPr>
              <w:t>)</w:t>
            </w:r>
            <w:r w:rsidRPr="00BC31E0">
              <w:rPr>
                <w:rFonts w:asciiTheme="minorHAnsi" w:eastAsiaTheme="minorEastAsia" w:hAnsiTheme="minorEastAsia"/>
              </w:rPr>
              <w:t>～</w:t>
            </w:r>
            <w:r w:rsidRPr="00BC31E0">
              <w:rPr>
                <w:rFonts w:asciiTheme="majorEastAsia" w:eastAsiaTheme="majorEastAsia" w:hAnsiTheme="majorEastAsia"/>
                <w:b/>
              </w:rPr>
              <w:t>1</w:t>
            </w:r>
            <w:r w:rsidRPr="00BC31E0">
              <w:rPr>
                <w:rFonts w:asciiTheme="majorEastAsia" w:eastAsiaTheme="majorEastAsia" w:hAnsiTheme="majorEastAsia" w:hint="eastAsia"/>
                <w:b/>
              </w:rPr>
              <w:t>.3</w:t>
            </w:r>
            <w:r w:rsidRPr="00BC31E0">
              <w:rPr>
                <w:rFonts w:asciiTheme="majorEastAsia" w:eastAsiaTheme="majorEastAsia" w:hAnsiTheme="majorEastAsia"/>
                <w:b/>
              </w:rPr>
              <w:t>)</w:t>
            </w:r>
            <w:r w:rsidRPr="00BC31E0">
              <w:rPr>
                <w:rFonts w:asciiTheme="minorEastAsia" w:eastAsiaTheme="minorEastAsia" w:hAnsiTheme="minorEastAsia" w:hint="eastAsia"/>
              </w:rPr>
              <w:t>を</w:t>
            </w:r>
            <w:r w:rsidRPr="00BC31E0">
              <w:rPr>
                <w:rFonts w:asciiTheme="minorHAnsi" w:eastAsiaTheme="minorEastAsia" w:hAnsiTheme="minorEastAsia" w:hint="eastAsia"/>
              </w:rPr>
              <w:t>満足する</w:t>
            </w:r>
            <w:r w:rsidRPr="00BC31E0">
              <w:rPr>
                <w:rFonts w:asciiTheme="minorHAnsi" w:eastAsiaTheme="minorEastAsia" w:hAnsiTheme="minorEastAsia"/>
              </w:rPr>
              <w:t>パイプ又は管</w:t>
            </w:r>
          </w:p>
          <w:p w14:paraId="29F761F1" w14:textId="77777777" w:rsidR="00644B5F" w:rsidRPr="00BC31E0" w:rsidRDefault="00644B5F" w:rsidP="00736130">
            <w:pPr>
              <w:numPr>
                <w:ilvl w:val="0"/>
                <w:numId w:val="176"/>
              </w:numPr>
              <w:ind w:left="567" w:hanging="340"/>
              <w:rPr>
                <w:rFonts w:asciiTheme="minorHAnsi" w:eastAsiaTheme="minorEastAsia" w:hAnsiTheme="minorHAnsi"/>
              </w:rPr>
            </w:pPr>
            <w:r w:rsidRPr="00BC31E0">
              <w:rPr>
                <w:rFonts w:asciiTheme="minorHAnsi" w:eastAsiaTheme="minorEastAsia" w:hAnsiTheme="minorEastAsia"/>
              </w:rPr>
              <w:t>次の</w:t>
            </w:r>
            <w:r w:rsidRPr="00BC31E0">
              <w:rPr>
                <w:rFonts w:asciiTheme="majorEastAsia" w:eastAsiaTheme="majorEastAsia" w:hAnsiTheme="majorEastAsia" w:hint="eastAsia"/>
                <w:b/>
              </w:rPr>
              <w:t>4.1</w:t>
            </w:r>
            <w:r w:rsidRPr="00BC31E0">
              <w:rPr>
                <w:rFonts w:asciiTheme="majorEastAsia" w:eastAsiaTheme="majorEastAsia" w:hAnsiTheme="majorEastAsia"/>
                <w:b/>
              </w:rPr>
              <w:t>)</w:t>
            </w:r>
            <w:r w:rsidRPr="00BC31E0">
              <w:rPr>
                <w:rFonts w:asciiTheme="minorHAnsi" w:eastAsiaTheme="minorEastAsia" w:hAnsiTheme="minorEastAsia" w:hint="eastAsia"/>
              </w:rPr>
              <w:t>及び</w:t>
            </w:r>
            <w:r w:rsidRPr="00BC31E0">
              <w:rPr>
                <w:rFonts w:asciiTheme="majorEastAsia" w:eastAsiaTheme="majorEastAsia" w:hAnsiTheme="majorEastAsia" w:hint="eastAsia"/>
                <w:b/>
              </w:rPr>
              <w:t>4.2</w:t>
            </w:r>
            <w:r w:rsidRPr="00BC31E0">
              <w:rPr>
                <w:rFonts w:asciiTheme="majorEastAsia" w:eastAsiaTheme="majorEastAsia" w:hAnsiTheme="majorEastAsia"/>
                <w:b/>
              </w:rPr>
              <w:t>)</w:t>
            </w:r>
            <w:r w:rsidRPr="00BC31E0">
              <w:rPr>
                <w:rFonts w:asciiTheme="minorHAnsi" w:eastAsiaTheme="minorEastAsia" w:hAnsiTheme="minorEastAsia" w:hint="eastAsia"/>
              </w:rPr>
              <w:t>の要件を満たす</w:t>
            </w:r>
            <w:r w:rsidRPr="00BC31E0">
              <w:rPr>
                <w:rFonts w:asciiTheme="minorHAnsi" w:eastAsiaTheme="minorEastAsia" w:hAnsiTheme="minorHAnsi" w:hint="eastAsia"/>
              </w:rPr>
              <w:t>ならば</w:t>
            </w:r>
            <w:r w:rsidRPr="00BC31E0">
              <w:rPr>
                <w:rFonts w:asciiTheme="minorHAnsi" w:eastAsiaTheme="minorEastAsia" w:hAnsiTheme="minorEastAsia"/>
              </w:rPr>
              <w:t>，熱吸収フィンが電気抵抗溶接された</w:t>
            </w:r>
            <w:r w:rsidRPr="00BC31E0">
              <w:rPr>
                <w:rFonts w:asciiTheme="majorEastAsia" w:eastAsiaTheme="majorEastAsia" w:hAnsiTheme="majorEastAsia" w:hint="eastAsia"/>
                <w:b/>
              </w:rPr>
              <w:t>1.1</w:t>
            </w:r>
            <w:r w:rsidRPr="00BC31E0">
              <w:rPr>
                <w:rFonts w:asciiTheme="majorEastAsia" w:eastAsiaTheme="majorEastAsia" w:hAnsiTheme="majorEastAsia"/>
                <w:b/>
              </w:rPr>
              <w:t>)</w:t>
            </w:r>
            <w:r w:rsidRPr="00BC31E0">
              <w:rPr>
                <w:rFonts w:asciiTheme="minorHAnsi" w:eastAsiaTheme="minorEastAsia" w:hAnsiTheme="minorEastAsia"/>
              </w:rPr>
              <w:t>～</w:t>
            </w:r>
            <w:r w:rsidRPr="00BC31E0">
              <w:rPr>
                <w:rFonts w:asciiTheme="majorEastAsia" w:eastAsiaTheme="majorEastAsia" w:hAnsiTheme="majorEastAsia"/>
                <w:b/>
              </w:rPr>
              <w:t>1</w:t>
            </w:r>
            <w:r w:rsidRPr="00BC31E0">
              <w:rPr>
                <w:rFonts w:asciiTheme="majorEastAsia" w:eastAsiaTheme="majorEastAsia" w:hAnsiTheme="majorEastAsia" w:hint="eastAsia"/>
                <w:b/>
              </w:rPr>
              <w:t>.3</w:t>
            </w:r>
            <w:r w:rsidRPr="00BC31E0">
              <w:rPr>
                <w:rFonts w:asciiTheme="majorEastAsia" w:eastAsiaTheme="majorEastAsia" w:hAnsiTheme="majorEastAsia"/>
                <w:b/>
              </w:rPr>
              <w:t>)</w:t>
            </w:r>
            <w:r w:rsidRPr="00BC31E0">
              <w:rPr>
                <w:rFonts w:asciiTheme="minorEastAsia" w:eastAsiaTheme="minorEastAsia" w:hAnsiTheme="minorEastAsia" w:hint="eastAsia"/>
              </w:rPr>
              <w:t>を</w:t>
            </w:r>
            <w:r w:rsidRPr="00BC31E0">
              <w:rPr>
                <w:rFonts w:asciiTheme="minorHAnsi" w:eastAsiaTheme="minorEastAsia" w:hAnsiTheme="minorEastAsia" w:hint="eastAsia"/>
              </w:rPr>
              <w:t>満足する</w:t>
            </w:r>
            <w:r w:rsidRPr="00BC31E0">
              <w:rPr>
                <w:rFonts w:asciiTheme="minorHAnsi" w:eastAsiaTheme="minorEastAsia" w:hAnsiTheme="minorEastAsia"/>
              </w:rPr>
              <w:t>パイプ又は管</w:t>
            </w:r>
          </w:p>
          <w:p w14:paraId="12752662" w14:textId="77777777" w:rsidR="00644B5F" w:rsidRPr="00BC31E0" w:rsidRDefault="00644B5F" w:rsidP="00736130">
            <w:pPr>
              <w:numPr>
                <w:ilvl w:val="0"/>
                <w:numId w:val="180"/>
              </w:numPr>
              <w:ind w:left="1021" w:hanging="567"/>
              <w:rPr>
                <w:rFonts w:asciiTheme="minorHAnsi" w:eastAsiaTheme="minorEastAsia" w:hAnsiTheme="minorHAnsi"/>
              </w:rPr>
            </w:pPr>
            <w:r w:rsidRPr="00BC31E0">
              <w:rPr>
                <w:rFonts w:asciiTheme="minorHAnsi" w:eastAsiaTheme="minorEastAsia" w:hAnsiTheme="minorEastAsia"/>
              </w:rPr>
              <w:t>フィンの厚さが</w:t>
            </w:r>
            <w:r w:rsidRPr="00BC31E0">
              <w:rPr>
                <w:rFonts w:ascii="Cambria Math" w:eastAsiaTheme="minorEastAsia" w:hAnsi="Cambria Math"/>
              </w:rPr>
              <w:t>3 mm</w:t>
            </w:r>
            <w:r w:rsidRPr="00BC31E0">
              <w:rPr>
                <w:rFonts w:asciiTheme="minorHAnsi" w:eastAsiaTheme="minorEastAsia" w:hAnsiTheme="minorEastAsia"/>
              </w:rPr>
              <w:t>以下</w:t>
            </w:r>
            <w:r w:rsidRPr="00BC31E0">
              <w:rPr>
                <w:rFonts w:asciiTheme="minorHAnsi" w:eastAsiaTheme="minorEastAsia" w:hAnsiTheme="minorEastAsia" w:hint="eastAsia"/>
              </w:rPr>
              <w:t>である。</w:t>
            </w:r>
          </w:p>
          <w:p w14:paraId="334E2A2F" w14:textId="77777777" w:rsidR="00644B5F" w:rsidRPr="00BC31E0" w:rsidRDefault="00644B5F" w:rsidP="00736130">
            <w:pPr>
              <w:numPr>
                <w:ilvl w:val="0"/>
                <w:numId w:val="180"/>
              </w:numPr>
              <w:ind w:left="1021" w:hanging="567"/>
              <w:rPr>
                <w:rFonts w:asciiTheme="minorHAnsi" w:eastAsiaTheme="minorEastAsia" w:hAnsiTheme="minorHAnsi"/>
              </w:rPr>
            </w:pPr>
            <w:r w:rsidRPr="00BC31E0">
              <w:rPr>
                <w:rFonts w:asciiTheme="minorHAnsi" w:eastAsiaTheme="minorEastAsia" w:hAnsiTheme="minorEastAsia"/>
              </w:rPr>
              <w:t>溶接</w:t>
            </w:r>
            <w:r w:rsidRPr="00BC31E0">
              <w:rPr>
                <w:rFonts w:asciiTheme="minorHAnsi" w:eastAsiaTheme="minorEastAsia" w:hAnsiTheme="minorEastAsia" w:hint="eastAsia"/>
              </w:rPr>
              <w:t>を行う前に</w:t>
            </w:r>
            <w:r w:rsidRPr="00BC31E0">
              <w:rPr>
                <w:rFonts w:asciiTheme="minorHAnsi" w:eastAsiaTheme="minorEastAsia" w:hAnsiTheme="minorEastAsia"/>
              </w:rPr>
              <w:t>，製作者は熱影響部がパイプ又は管の最小</w:t>
            </w:r>
            <w:r w:rsidRPr="00BC31E0">
              <w:rPr>
                <w:rFonts w:asciiTheme="minorHAnsi" w:eastAsiaTheme="minorEastAsia" w:hAnsiTheme="minorEastAsia" w:hint="eastAsia"/>
              </w:rPr>
              <w:t>厚さまで入り込まない</w:t>
            </w:r>
            <w:r w:rsidRPr="00BC31E0">
              <w:rPr>
                <w:rFonts w:asciiTheme="minorHAnsi" w:eastAsiaTheme="minorEastAsia" w:hAnsiTheme="minorEastAsia"/>
              </w:rPr>
              <w:t>ことを示さなければならない。</w:t>
            </w:r>
          </w:p>
          <w:p w14:paraId="58B529D6" w14:textId="77777777" w:rsidR="00644B5F" w:rsidRPr="00BC31E0" w:rsidRDefault="00644B5F" w:rsidP="00736130">
            <w:pPr>
              <w:numPr>
                <w:ilvl w:val="0"/>
                <w:numId w:val="177"/>
              </w:numPr>
              <w:ind w:left="567" w:hanging="340"/>
              <w:rPr>
                <w:rFonts w:asciiTheme="minorHAnsi" w:eastAsiaTheme="minorEastAsia" w:hAnsiTheme="minorEastAsia"/>
              </w:rPr>
            </w:pPr>
            <w:r w:rsidRPr="00BC31E0">
              <w:rPr>
                <w:rFonts w:asciiTheme="minorHAnsi" w:eastAsiaTheme="minorEastAsia" w:hAnsiTheme="minorHAnsi" w:hint="eastAsia"/>
              </w:rPr>
              <w:t>のど厚が</w:t>
            </w:r>
            <w:r w:rsidRPr="00BC31E0">
              <w:rPr>
                <w:rFonts w:ascii="Cambria Math" w:eastAsiaTheme="minorEastAsia" w:hAnsi="Cambria Math"/>
              </w:rPr>
              <w:t>10 mm</w:t>
            </w:r>
            <w:r w:rsidRPr="00BC31E0">
              <w:rPr>
                <w:rFonts w:asciiTheme="minorHAnsi" w:eastAsiaTheme="minorEastAsia" w:hAnsiTheme="minorHAnsi" w:hint="eastAsia"/>
              </w:rPr>
              <w:t>以下のシール溶接で，部材の厚さが</w:t>
            </w:r>
            <w:r w:rsidRPr="00BC31E0">
              <w:rPr>
                <w:rFonts w:ascii="Cambria Math" w:eastAsiaTheme="minorEastAsia" w:hAnsi="Cambria Math"/>
              </w:rPr>
              <w:t>16 mm</w:t>
            </w:r>
            <w:r w:rsidRPr="00BC31E0">
              <w:rPr>
                <w:rFonts w:asciiTheme="minorHAnsi" w:eastAsiaTheme="minorEastAsia" w:hAnsiTheme="minorHAnsi" w:hint="eastAsia"/>
              </w:rPr>
              <w:t>を超える場合に</w:t>
            </w:r>
            <w:r w:rsidRPr="00BC31E0">
              <w:rPr>
                <w:rFonts w:ascii="Cambria Math" w:eastAsiaTheme="minorEastAsia" w:hAnsi="Cambria Math"/>
              </w:rPr>
              <w:t>150</w:t>
            </w:r>
            <w:r w:rsidRPr="00BC31E0">
              <w:rPr>
                <w:rFonts w:asciiTheme="minorHAnsi" w:hAnsiTheme="minorHAnsi"/>
              </w:rPr>
              <w:t>°C</w:t>
            </w:r>
            <w:r w:rsidRPr="00BC31E0">
              <w:rPr>
                <w:rFonts w:asciiTheme="minorHAnsi" w:eastAsiaTheme="minorEastAsia" w:hAnsiTheme="minorHAnsi" w:hint="eastAsia"/>
              </w:rPr>
              <w:t>以上で予熱するならば，</w:t>
            </w:r>
            <w:r w:rsidRPr="00BC31E0">
              <w:rPr>
                <w:rFonts w:asciiTheme="minorHAnsi" w:eastAsiaTheme="minorEastAsia" w:hAnsiTheme="minorEastAsia"/>
              </w:rPr>
              <w:t>拡管やねじなどの機械的手段</w:t>
            </w:r>
            <w:r w:rsidRPr="00BC31E0">
              <w:rPr>
                <w:rFonts w:asciiTheme="minorHAnsi" w:eastAsiaTheme="minorEastAsia" w:hAnsiTheme="minorEastAsia" w:hint="eastAsia"/>
              </w:rPr>
              <w:t>とシール溶接</w:t>
            </w:r>
            <w:r w:rsidRPr="00BC31E0">
              <w:rPr>
                <w:rFonts w:asciiTheme="minorHAnsi" w:eastAsiaTheme="minorEastAsia" w:hAnsiTheme="minorEastAsia"/>
              </w:rPr>
              <w:t>で固定され</w:t>
            </w:r>
            <w:r w:rsidRPr="00BC31E0">
              <w:rPr>
                <w:rFonts w:asciiTheme="minorHAnsi" w:eastAsiaTheme="minorEastAsia" w:hAnsiTheme="minorEastAsia" w:hint="eastAsia"/>
              </w:rPr>
              <w:t>た規定クロム含有量が</w:t>
            </w:r>
            <w:r w:rsidRPr="00BC31E0">
              <w:rPr>
                <w:rFonts w:ascii="Cambria Math" w:eastAsiaTheme="minorEastAsia" w:hAnsi="Cambria Math"/>
              </w:rPr>
              <w:t>6</w:t>
            </w:r>
            <w:r w:rsidRPr="00BC31E0">
              <w:rPr>
                <w:rFonts w:ascii="Cambria Math" w:eastAsiaTheme="minorEastAsia" w:hAnsi="Cambria Math" w:hint="eastAsia"/>
              </w:rPr>
              <w:t xml:space="preserve"> </w:t>
            </w:r>
            <w:r w:rsidRPr="00BC31E0">
              <w:rPr>
                <w:rFonts w:ascii="Cambria Math" w:eastAsiaTheme="minorEastAsia" w:hAnsi="Cambria Math"/>
              </w:rPr>
              <w:t>%</w:t>
            </w:r>
            <w:r w:rsidRPr="00BC31E0">
              <w:rPr>
                <w:rFonts w:asciiTheme="minorHAnsi" w:eastAsiaTheme="minorEastAsia" w:hAnsiTheme="minorEastAsia" w:hint="eastAsia"/>
              </w:rPr>
              <w:t>以下の</w:t>
            </w:r>
            <w:r w:rsidRPr="00BC31E0">
              <w:rPr>
                <w:rFonts w:asciiTheme="minorHAnsi" w:eastAsiaTheme="minorEastAsia" w:hAnsiTheme="minorEastAsia" w:hint="eastAsia"/>
              </w:rPr>
              <w:t>P</w:t>
            </w:r>
            <w:r w:rsidRPr="00BC31E0">
              <w:rPr>
                <w:rFonts w:asciiTheme="minorHAnsi" w:eastAsiaTheme="minorEastAsia" w:hAnsiTheme="minorEastAsia" w:hint="eastAsia"/>
              </w:rPr>
              <w:t>番号</w:t>
            </w:r>
            <w:r w:rsidRPr="00BC31E0">
              <w:rPr>
                <w:rFonts w:asciiTheme="minorHAnsi" w:eastAsiaTheme="minorEastAsia" w:hAnsiTheme="minorEastAsia" w:hint="eastAsia"/>
              </w:rPr>
              <w:t>5A</w:t>
            </w:r>
            <w:r w:rsidRPr="00BC31E0">
              <w:rPr>
                <w:rFonts w:asciiTheme="minorHAnsi" w:eastAsiaTheme="minorEastAsia" w:hAnsiTheme="minorEastAsia" w:hint="eastAsia"/>
              </w:rPr>
              <w:t>の材料の</w:t>
            </w:r>
            <w:r w:rsidRPr="00BC31E0">
              <w:rPr>
                <w:rFonts w:asciiTheme="minorHAnsi" w:eastAsiaTheme="minorEastAsia" w:hAnsiTheme="minorEastAsia"/>
              </w:rPr>
              <w:t>管，圧力保持ハンドホールと検査プラグ又はフィッティング</w:t>
            </w:r>
          </w:p>
          <w:p w14:paraId="3912CBA3" w14:textId="77777777" w:rsidR="00644B5F" w:rsidRPr="00BC31E0" w:rsidRDefault="00644B5F" w:rsidP="00736130">
            <w:pPr>
              <w:numPr>
                <w:ilvl w:val="0"/>
                <w:numId w:val="174"/>
              </w:numPr>
              <w:ind w:left="340" w:hanging="340"/>
              <w:rPr>
                <w:rFonts w:asciiTheme="minorHAnsi" w:eastAsiaTheme="minorEastAsia" w:hAnsiTheme="minorHAnsi"/>
              </w:rPr>
            </w:pPr>
            <w:r w:rsidRPr="00BC31E0">
              <w:rPr>
                <w:rFonts w:asciiTheme="minorHAnsi" w:eastAsiaTheme="minorEastAsia" w:hAnsiTheme="minorEastAsia"/>
              </w:rPr>
              <w:t>溶接後熱処理の保持</w:t>
            </w:r>
            <w:r w:rsidRPr="00BC31E0">
              <w:rPr>
                <w:rFonts w:asciiTheme="minorHAnsi" w:eastAsiaTheme="minorEastAsia" w:hAnsiTheme="minorEastAsia" w:hint="eastAsia"/>
              </w:rPr>
              <w:t>期間</w:t>
            </w:r>
            <w:r w:rsidRPr="00BC31E0">
              <w:rPr>
                <w:rFonts w:asciiTheme="minorHAnsi" w:eastAsiaTheme="minorEastAsia" w:hAnsiTheme="minorEastAsia"/>
              </w:rPr>
              <w:t>中に，容器</w:t>
            </w:r>
            <w:r w:rsidRPr="00BC31E0">
              <w:rPr>
                <w:rFonts w:asciiTheme="minorHAnsi" w:eastAsiaTheme="minorEastAsia" w:hAnsiTheme="minorEastAsia" w:hint="eastAsia"/>
              </w:rPr>
              <w:t>部材</w:t>
            </w:r>
            <w:r w:rsidRPr="00BC31E0">
              <w:rPr>
                <w:rFonts w:asciiTheme="minorHAnsi" w:eastAsiaTheme="minorEastAsia" w:hAnsiTheme="minorEastAsia"/>
              </w:rPr>
              <w:t>の</w:t>
            </w:r>
            <w:r w:rsidRPr="00BC31E0">
              <w:rPr>
                <w:rFonts w:asciiTheme="minorHAnsi" w:eastAsiaTheme="minorEastAsia" w:hAnsiTheme="minorEastAsia" w:hint="eastAsia"/>
              </w:rPr>
              <w:t>最大保持時間又は温度が</w:t>
            </w:r>
            <w:r w:rsidRPr="00BC31E0">
              <w:rPr>
                <w:rFonts w:asciiTheme="majorEastAsia" w:eastAsiaTheme="majorEastAsia" w:hAnsiTheme="majorEastAsia" w:hint="eastAsia"/>
                <w:b/>
              </w:rPr>
              <w:t>表7.4.1</w:t>
            </w:r>
            <w:r w:rsidRPr="00BC31E0">
              <w:rPr>
                <w:rFonts w:asciiTheme="minorEastAsia" w:eastAsiaTheme="minorEastAsia" w:hAnsiTheme="minorEastAsia" w:hint="eastAsia"/>
              </w:rPr>
              <w:t>に示す材料に対しては</w:t>
            </w:r>
            <w:r w:rsidRPr="00BC31E0">
              <w:rPr>
                <w:rFonts w:asciiTheme="majorEastAsia" w:eastAsiaTheme="majorEastAsia" w:hAnsiTheme="majorEastAsia" w:hint="eastAsia"/>
                <w:b/>
              </w:rPr>
              <w:t>10.1.2 d)</w:t>
            </w:r>
            <w:r w:rsidRPr="00BC31E0">
              <w:rPr>
                <w:rFonts w:asciiTheme="minorEastAsia" w:eastAsiaTheme="minorEastAsia" w:hAnsiTheme="minorEastAsia" w:hint="eastAsia"/>
              </w:rPr>
              <w:t>，その他の材料に対しては</w:t>
            </w:r>
            <w:r w:rsidRPr="00BC31E0">
              <w:rPr>
                <w:rFonts w:asciiTheme="majorEastAsia" w:eastAsiaTheme="majorEastAsia" w:hAnsiTheme="majorEastAsia" w:hint="eastAsia"/>
                <w:b/>
              </w:rPr>
              <w:t>10.1.2 c)</w:t>
            </w:r>
            <w:r w:rsidRPr="00BC31E0">
              <w:rPr>
                <w:rFonts w:asciiTheme="minorEastAsia" w:eastAsiaTheme="minorEastAsia" w:hAnsiTheme="minorEastAsia" w:hint="eastAsia"/>
              </w:rPr>
              <w:t>の</w:t>
            </w:r>
            <w:r w:rsidRPr="00BC31E0">
              <w:rPr>
                <w:rFonts w:asciiTheme="minorHAnsi" w:eastAsiaTheme="minorEastAsia" w:hAnsiTheme="minorEastAsia" w:hint="eastAsia"/>
              </w:rPr>
              <w:t>規定</w:t>
            </w:r>
            <w:r w:rsidRPr="00BC31E0">
              <w:rPr>
                <w:rFonts w:asciiTheme="minorHAnsi" w:eastAsiaTheme="minorEastAsia" w:hAnsiTheme="minorEastAsia"/>
              </w:rPr>
              <w:t>を超え</w:t>
            </w:r>
            <w:r w:rsidRPr="00BC31E0">
              <w:rPr>
                <w:rFonts w:asciiTheme="minorHAnsi" w:eastAsiaTheme="minorEastAsia" w:hAnsiTheme="minorEastAsia" w:hint="eastAsia"/>
              </w:rPr>
              <w:t>る</w:t>
            </w:r>
            <w:r w:rsidRPr="00BC31E0">
              <w:rPr>
                <w:rFonts w:asciiTheme="minorHAnsi" w:eastAsiaTheme="minorEastAsia" w:hAnsiTheme="minorEastAsia"/>
              </w:rPr>
              <w:t>場合には，追加</w:t>
            </w:r>
            <w:r w:rsidRPr="00BC31E0">
              <w:rPr>
                <w:rFonts w:asciiTheme="minorHAnsi" w:eastAsiaTheme="minorEastAsia" w:hAnsiTheme="minorEastAsia" w:hint="eastAsia"/>
              </w:rPr>
              <w:t>の</w:t>
            </w:r>
            <w:r w:rsidRPr="00BC31E0">
              <w:rPr>
                <w:rFonts w:asciiTheme="minorHAnsi" w:eastAsiaTheme="minorEastAsia" w:hAnsiTheme="minorEastAsia"/>
              </w:rPr>
              <w:t>試験材を作製して試験しなければならない。</w:t>
            </w:r>
          </w:p>
          <w:p w14:paraId="211AFE57" w14:textId="77777777" w:rsidR="00644B5F" w:rsidRPr="00BC31E0" w:rsidRDefault="00644B5F" w:rsidP="00736130">
            <w:pPr>
              <w:numPr>
                <w:ilvl w:val="0"/>
                <w:numId w:val="174"/>
              </w:numPr>
              <w:ind w:left="340" w:hanging="340"/>
              <w:rPr>
                <w:rFonts w:asciiTheme="minorHAnsi" w:eastAsiaTheme="minorEastAsia" w:hAnsiTheme="minorHAnsi"/>
              </w:rPr>
            </w:pPr>
            <w:r w:rsidRPr="00BC31E0">
              <w:rPr>
                <w:rFonts w:asciiTheme="minorHAnsi" w:eastAsiaTheme="minorEastAsia" w:hAnsiTheme="minorEastAsia"/>
              </w:rPr>
              <w:t>規定</w:t>
            </w:r>
            <w:r w:rsidRPr="00BC31E0">
              <w:rPr>
                <w:rFonts w:asciiTheme="minorHAnsi" w:eastAsiaTheme="minorEastAsia" w:hAnsiTheme="minorEastAsia" w:hint="eastAsia"/>
              </w:rPr>
              <w:t>の保持</w:t>
            </w:r>
            <w:r w:rsidRPr="00BC31E0">
              <w:rPr>
                <w:rFonts w:asciiTheme="minorHAnsi" w:eastAsiaTheme="minorEastAsia" w:hAnsiTheme="minorEastAsia"/>
              </w:rPr>
              <w:t>温度で溶接後熱処理</w:t>
            </w:r>
            <w:r w:rsidRPr="00BC31E0">
              <w:rPr>
                <w:rFonts w:asciiTheme="minorHAnsi" w:eastAsiaTheme="minorEastAsia" w:hAnsiTheme="minorEastAsia" w:hint="eastAsia"/>
              </w:rPr>
              <w:t>が</w:t>
            </w:r>
            <w:r w:rsidRPr="00BC31E0">
              <w:rPr>
                <w:rFonts w:asciiTheme="minorHAnsi" w:eastAsiaTheme="minorEastAsia" w:hAnsiTheme="minorEastAsia"/>
              </w:rPr>
              <w:t>できない場合には，</w:t>
            </w:r>
            <w:r w:rsidRPr="00BC31E0">
              <w:rPr>
                <w:rFonts w:asciiTheme="minorHAnsi" w:eastAsiaTheme="minorEastAsia" w:hAnsiTheme="minorEastAsia" w:hint="eastAsia"/>
              </w:rPr>
              <w:t>最低</w:t>
            </w:r>
            <w:r w:rsidRPr="00BC31E0">
              <w:rPr>
                <w:rFonts w:asciiTheme="minorHAnsi" w:eastAsiaTheme="minorEastAsia" w:hAnsiTheme="minorEastAsia"/>
              </w:rPr>
              <w:t>保持温度</w:t>
            </w:r>
            <w:r w:rsidRPr="00BC31E0">
              <w:rPr>
                <w:rFonts w:asciiTheme="minorHAnsi" w:eastAsiaTheme="minorEastAsia" w:hAnsiTheme="minorEastAsia" w:hint="eastAsia"/>
              </w:rPr>
              <w:t>を</w:t>
            </w:r>
            <w:r w:rsidRPr="00BC31E0">
              <w:rPr>
                <w:rFonts w:ascii="Cambria Math" w:eastAsiaTheme="minorEastAsia" w:hAnsi="Cambria Math"/>
              </w:rPr>
              <w:t>650</w:t>
            </w:r>
            <w:r w:rsidRPr="00BC31E0">
              <w:rPr>
                <w:rFonts w:asciiTheme="minorHAnsi" w:hAnsiTheme="minorHAnsi"/>
              </w:rPr>
              <w:t>°C</w:t>
            </w:r>
            <w:r w:rsidRPr="00BC31E0">
              <w:rPr>
                <w:rFonts w:asciiTheme="minorHAnsi" w:eastAsiaTheme="minorEastAsia" w:hAnsiTheme="minorEastAsia" w:hint="eastAsia"/>
              </w:rPr>
              <w:t>とし</w:t>
            </w:r>
            <w:r w:rsidRPr="00BC31E0">
              <w:rPr>
                <w:rFonts w:asciiTheme="minorHAnsi" w:eastAsiaTheme="minorEastAsia" w:hAnsiTheme="minorEastAsia"/>
              </w:rPr>
              <w:t>，公称厚さ</w:t>
            </w:r>
            <w:r w:rsidRPr="00BC31E0">
              <w:rPr>
                <w:rFonts w:asciiTheme="minorHAnsi" w:eastAsiaTheme="minorEastAsia" w:hAnsiTheme="minorEastAsia" w:hint="eastAsia"/>
              </w:rPr>
              <w:t>が</w:t>
            </w:r>
            <w:r w:rsidRPr="00BC31E0">
              <w:rPr>
                <w:rFonts w:ascii="Cambria Math" w:eastAsiaTheme="minorEastAsia" w:hAnsi="Cambria Math"/>
              </w:rPr>
              <w:t>50 mm</w:t>
            </w:r>
            <w:r w:rsidRPr="00BC31E0">
              <w:rPr>
                <w:rFonts w:asciiTheme="minorHAnsi" w:eastAsiaTheme="minorEastAsia" w:hAnsiTheme="minorEastAsia" w:hint="eastAsia"/>
              </w:rPr>
              <w:t>以下の場合には</w:t>
            </w:r>
            <w:r w:rsidRPr="00BC31E0">
              <w:rPr>
                <w:rFonts w:asciiTheme="minorHAnsi" w:eastAsiaTheme="minorEastAsia" w:hAnsiTheme="minorEastAsia"/>
              </w:rPr>
              <w:t>保持時間</w:t>
            </w:r>
            <w:r w:rsidRPr="00BC31E0">
              <w:rPr>
                <w:rFonts w:asciiTheme="minorHAnsi" w:eastAsiaTheme="minorEastAsia" w:hAnsiTheme="minorEastAsia" w:hint="eastAsia"/>
              </w:rPr>
              <w:t>を</w:t>
            </w:r>
            <w:r w:rsidRPr="00BC31E0">
              <w:rPr>
                <w:rFonts w:ascii="Cambria Math" w:eastAsiaTheme="minorEastAsia" w:hAnsi="Cambria Math"/>
              </w:rPr>
              <w:t>4 h</w:t>
            </w:r>
            <w:r w:rsidRPr="00BC31E0">
              <w:rPr>
                <w:rFonts w:asciiTheme="minorHAnsi" w:eastAsiaTheme="minorEastAsia" w:hAnsiTheme="minorEastAsia"/>
              </w:rPr>
              <w:t>又は</w:t>
            </w:r>
            <m:oMath>
              <m:sSub>
                <m:sSubPr>
                  <m:ctrlPr>
                    <w:rPr>
                      <w:rFonts w:ascii="Cambria Math" w:eastAsiaTheme="minorEastAsia" w:hAnsi="Cambria Math"/>
                      <w:i/>
                    </w:rPr>
                  </m:ctrlPr>
                </m:sSubPr>
                <m:e>
                  <m:r>
                    <w:rPr>
                      <w:rFonts w:ascii="Cambria Math" w:eastAsiaTheme="minorEastAsia" w:hAnsi="Cambria Math"/>
                    </w:rPr>
                    <m:t xml:space="preserve"> 0.16 </m:t>
                  </m:r>
                  <m:r>
                    <w:rPr>
                      <w:rFonts w:ascii="Cambria Math" w:eastAsiaTheme="minorEastAsia" w:hAnsi="Cambria Math" w:hint="eastAsia"/>
                    </w:rPr>
                    <m:t>t</m:t>
                  </m:r>
                </m:e>
                <m:sub>
                  <m:r>
                    <w:rPr>
                      <w:rFonts w:ascii="Cambria Math" w:eastAsiaTheme="minorEastAsia" w:hAnsi="Cambria Math"/>
                    </w:rPr>
                    <m:t>n</m:t>
                  </m:r>
                </m:sub>
              </m:sSub>
              <m:r>
                <m:rPr>
                  <m:sty m:val="p"/>
                </m:rPr>
                <w:rPr>
                  <w:rFonts w:ascii="Cambria Math" w:eastAsiaTheme="minorEastAsia" w:hAnsi="Cambria Math"/>
                </w:rPr>
                <m:t xml:space="preserve"> h </m:t>
              </m:r>
            </m:oMath>
            <w:r w:rsidRPr="00BC31E0">
              <w:rPr>
                <w:rFonts w:asciiTheme="minorHAnsi" w:eastAsiaTheme="minorEastAsia" w:hAnsiTheme="minorEastAsia"/>
              </w:rPr>
              <w:t>の長い方，公称厚さ</w:t>
            </w:r>
            <w:r w:rsidRPr="00BC31E0">
              <w:rPr>
                <w:rFonts w:asciiTheme="minorHAnsi" w:eastAsiaTheme="minorEastAsia" w:hAnsiTheme="minorEastAsia" w:hint="eastAsia"/>
              </w:rPr>
              <w:t>が</w:t>
            </w:r>
            <w:r w:rsidRPr="00BC31E0">
              <w:rPr>
                <w:rFonts w:ascii="Cambria Math" w:eastAsiaTheme="minorEastAsia" w:hAnsi="Cambria Math"/>
              </w:rPr>
              <w:t>50 mm</w:t>
            </w:r>
            <w:r w:rsidRPr="00BC31E0">
              <w:rPr>
                <w:rFonts w:ascii="Cambria Math" w:eastAsiaTheme="minorEastAsia" w:hAnsi="Cambria Math" w:hint="eastAsia"/>
              </w:rPr>
              <w:t>を超える場合にはその</w:t>
            </w:r>
            <w:r w:rsidRPr="00BC31E0">
              <w:rPr>
                <w:rFonts w:asciiTheme="minorHAnsi" w:eastAsiaTheme="minorEastAsia" w:hAnsiTheme="minorEastAsia"/>
              </w:rPr>
              <w:t>保持時間の</w:t>
            </w:r>
            <w:r w:rsidRPr="00BC31E0">
              <w:rPr>
                <w:rFonts w:ascii="Cambria Math" w:eastAsiaTheme="minorEastAsia" w:hAnsi="Cambria Math"/>
              </w:rPr>
              <w:t>4</w:t>
            </w:r>
            <w:r w:rsidRPr="00BC31E0">
              <w:rPr>
                <w:rFonts w:asciiTheme="minorHAnsi" w:eastAsiaTheme="minorEastAsia" w:hAnsiTheme="minorEastAsia"/>
              </w:rPr>
              <w:t>倍</w:t>
            </w:r>
            <w:r w:rsidRPr="00BC31E0">
              <w:rPr>
                <w:rFonts w:asciiTheme="minorHAnsi" w:eastAsiaTheme="minorEastAsia" w:hAnsiTheme="minorEastAsia" w:hint="eastAsia"/>
              </w:rPr>
              <w:t>に</w:t>
            </w:r>
            <w:r w:rsidRPr="00BC31E0">
              <w:rPr>
                <w:rFonts w:asciiTheme="minorHAnsi" w:eastAsiaTheme="minorEastAsia" w:hAnsiTheme="minorEastAsia"/>
              </w:rPr>
              <w:t>する。</w:t>
            </w:r>
            <w:r w:rsidRPr="00BC31E0">
              <w:rPr>
                <w:rFonts w:asciiTheme="minorHAnsi" w:eastAsiaTheme="minorEastAsia" w:hAnsiTheme="minorEastAsia" w:hint="eastAsia"/>
              </w:rPr>
              <w:t>保持温度を低減する場合には，</w:t>
            </w:r>
            <w:r w:rsidRPr="00BC31E0">
              <w:rPr>
                <w:rFonts w:asciiTheme="majorEastAsia" w:eastAsiaTheme="majorEastAsia" w:hAnsiTheme="majorEastAsia" w:hint="eastAsia"/>
                <w:b/>
              </w:rPr>
              <w:t>10.1.2 a)</w:t>
            </w:r>
            <w:r w:rsidRPr="00BC31E0">
              <w:rPr>
                <w:rFonts w:asciiTheme="minorHAnsi" w:eastAsiaTheme="minorEastAsia" w:hAnsiTheme="minorEastAsia" w:hint="eastAsia"/>
              </w:rPr>
              <w:t>を満足</w:t>
            </w:r>
            <w:r w:rsidRPr="00BC31E0">
              <w:rPr>
                <w:rFonts w:asciiTheme="minorHAnsi" w:eastAsiaTheme="minorEastAsia" w:hAnsiTheme="minorEastAsia"/>
              </w:rPr>
              <w:t>しなければならない。</w:t>
            </w:r>
          </w:p>
        </w:tc>
        <w:tc>
          <w:tcPr>
            <w:tcW w:w="2126" w:type="dxa"/>
          </w:tcPr>
          <w:p w14:paraId="239C0615" w14:textId="77777777" w:rsidR="00644B5F" w:rsidRPr="00BC31E0" w:rsidRDefault="00A51873" w:rsidP="00644B5F">
            <w:pPr>
              <w:rPr>
                <w:rFonts w:asciiTheme="minorHAnsi" w:eastAsiaTheme="minorEastAsia" w:hAnsiTheme="minorHAnsi"/>
              </w:rPr>
            </w:pPr>
            <m:oMath>
              <m:sSub>
                <m:sSubPr>
                  <m:ctrlPr>
                    <w:rPr>
                      <w:rFonts w:ascii="Cambria Math" w:eastAsiaTheme="minorEastAsia" w:hAnsi="Cambria Math"/>
                    </w:rPr>
                  </m:ctrlPr>
                </m:sSubPr>
                <m:e>
                  <m:r>
                    <w:rPr>
                      <w:rFonts w:ascii="Cambria Math" w:eastAsiaTheme="minorEastAsia" w:hAnsi="Cambria Math"/>
                    </w:rPr>
                    <m:t>t</m:t>
                  </m:r>
                </m:e>
                <m:sub>
                  <m:r>
                    <w:rPr>
                      <w:rFonts w:ascii="Cambria Math" w:eastAsiaTheme="minorEastAsia" w:hAnsi="Cambria Math"/>
                    </w:rPr>
                    <m:t>n</m:t>
                  </m:r>
                </m:sub>
              </m:sSub>
              <m:r>
                <w:rPr>
                  <w:rFonts w:ascii="Cambria Math" w:eastAsiaTheme="minorEastAsia" w:hAnsi="Cambria Math" w:hint="eastAsia"/>
                </w:rPr>
                <m:t>≦</m:t>
              </m:r>
              <m:r>
                <w:rPr>
                  <w:rFonts w:ascii="Cambria Math" w:eastAsiaTheme="minorEastAsia" w:hAnsi="Cambria Math"/>
                </w:rPr>
                <m:t xml:space="preserve">50 </m:t>
              </m:r>
            </m:oMath>
            <w:r w:rsidR="00644B5F" w:rsidRPr="00BC31E0">
              <w:rPr>
                <w:rFonts w:ascii="Cambria Math" w:eastAsiaTheme="minorEastAsia" w:hAnsi="Cambria Math"/>
              </w:rPr>
              <w:t>mm</w:t>
            </w:r>
          </w:p>
          <w:p w14:paraId="33A20921" w14:textId="77777777" w:rsidR="00644B5F" w:rsidRPr="00BC31E0" w:rsidRDefault="00644B5F" w:rsidP="00644B5F">
            <w:pPr>
              <w:ind w:left="170"/>
              <w:rPr>
                <w:rFonts w:ascii="Cambria Math" w:eastAsiaTheme="minorEastAsia" w:hAnsi="Cambria Math"/>
              </w:rPr>
            </w:pPr>
            <w:r w:rsidRPr="00BC31E0">
              <w:rPr>
                <w:rFonts w:ascii="Cambria Math" w:eastAsiaTheme="minorEastAsia" w:hAnsi="Cambria Math"/>
              </w:rPr>
              <w:t>675</w:t>
            </w:r>
            <w:r w:rsidRPr="00BC31E0">
              <w:rPr>
                <w:rFonts w:asciiTheme="minorHAnsi" w:hAnsiTheme="minorHAnsi"/>
              </w:rPr>
              <w:t>°C</w:t>
            </w:r>
          </w:p>
          <w:tbl>
            <w:tblPr>
              <w:tblStyle w:val="100"/>
              <w:tblW w:w="0" w:type="auto"/>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0"/>
            </w:tblGrid>
            <w:tr w:rsidR="00644B5F" w:rsidRPr="00BC31E0" w14:paraId="74DD3B1E" w14:textId="77777777" w:rsidTr="004736F2">
              <w:tc>
                <w:tcPr>
                  <w:tcW w:w="0" w:type="auto"/>
                  <w:vAlign w:val="center"/>
                </w:tcPr>
                <w:p w14:paraId="6A4504FD" w14:textId="77777777" w:rsidR="00644B5F" w:rsidRPr="00BC31E0" w:rsidRDefault="00A51873" w:rsidP="00644B5F">
                  <w:pPr>
                    <w:rPr>
                      <w:rFonts w:asciiTheme="minorHAnsi" w:eastAsiaTheme="minorEastAsia" w:hAnsiTheme="minorEastAsia"/>
                      <w:i/>
                    </w:rPr>
                  </w:pPr>
                  <m:oMathPara>
                    <m:oMathParaPr>
                      <m:jc m:val="left"/>
                    </m:oMathParaPr>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n</m:t>
                              </m:r>
                            </m:sub>
                          </m:sSub>
                        </m:num>
                        <m:den>
                          <m:r>
                            <w:rPr>
                              <w:rFonts w:ascii="Cambria Math" w:eastAsiaTheme="minorEastAsia" w:hAnsi="Cambria Math"/>
                            </w:rPr>
                            <m:t>25</m:t>
                          </m:r>
                        </m:den>
                      </m:f>
                      <m:r>
                        <w:rPr>
                          <w:rFonts w:ascii="Cambria Math" w:eastAsiaTheme="minorEastAsia" w:hAnsi="Cambria Math"/>
                        </w:rPr>
                        <m:t xml:space="preserve"> </m:t>
                      </m:r>
                      <m:r>
                        <m:rPr>
                          <m:sty m:val="p"/>
                        </m:rPr>
                        <w:rPr>
                          <w:rFonts w:ascii="Cambria Math" w:eastAsiaTheme="minorEastAsia" w:hAnsi="Cambria Math"/>
                        </w:rPr>
                        <m:t>h</m:t>
                      </m:r>
                    </m:oMath>
                  </m:oMathPara>
                </w:p>
              </w:tc>
            </w:tr>
          </w:tbl>
          <w:p w14:paraId="6631EC9A" w14:textId="77777777" w:rsidR="00644B5F" w:rsidRPr="00BC31E0" w:rsidRDefault="00644B5F" w:rsidP="00644B5F">
            <w:pPr>
              <w:ind w:left="170"/>
              <w:rPr>
                <w:rFonts w:asciiTheme="minorHAnsi" w:eastAsiaTheme="minorEastAsia" w:hAnsiTheme="minorHAnsi"/>
              </w:rPr>
            </w:pPr>
            <w:r w:rsidRPr="00BC31E0">
              <w:rPr>
                <w:rFonts w:asciiTheme="minorHAnsi" w:eastAsiaTheme="minorEastAsia" w:hAnsiTheme="minorEastAsia"/>
              </w:rPr>
              <w:t>最小</w:t>
            </w:r>
            <w:r w:rsidRPr="00BC31E0">
              <w:rPr>
                <w:rFonts w:ascii="Cambria Math" w:eastAsiaTheme="minorEastAsia" w:hAnsi="Cambria Math"/>
              </w:rPr>
              <w:t>1 h</w:t>
            </w:r>
          </w:p>
          <w:p w14:paraId="244EAFC8" w14:textId="77777777" w:rsidR="00644B5F" w:rsidRPr="00BC31E0" w:rsidRDefault="00644B5F" w:rsidP="00644B5F">
            <w:pPr>
              <w:rPr>
                <w:rFonts w:asciiTheme="minorHAnsi" w:eastAsiaTheme="minorEastAsia" w:hAnsiTheme="minorHAnsi"/>
              </w:rPr>
            </w:pPr>
          </w:p>
          <w:p w14:paraId="79BA4B58" w14:textId="77777777" w:rsidR="00644B5F" w:rsidRPr="00BC31E0" w:rsidRDefault="00A51873" w:rsidP="00644B5F">
            <w:pPr>
              <w:rPr>
                <w:rFonts w:asciiTheme="minorHAnsi" w:eastAsiaTheme="minorEastAsia" w:hAnsiTheme="minorHAnsi"/>
              </w:rPr>
            </w:pPr>
            <m:oMath>
              <m:sSub>
                <m:sSubPr>
                  <m:ctrlPr>
                    <w:rPr>
                      <w:rFonts w:ascii="Cambria Math" w:eastAsiaTheme="minorEastAsia" w:hAnsi="Cambria Math"/>
                    </w:rPr>
                  </m:ctrlPr>
                </m:sSubPr>
                <m:e>
                  <m:r>
                    <w:rPr>
                      <w:rFonts w:ascii="Cambria Math" w:eastAsiaTheme="minorEastAsia" w:hAnsi="Cambria Math"/>
                    </w:rPr>
                    <m:t>50&lt;t</m:t>
                  </m:r>
                </m:e>
                <m:sub>
                  <m:r>
                    <w:rPr>
                      <w:rFonts w:ascii="Cambria Math" w:eastAsiaTheme="minorEastAsia" w:hAnsi="Cambria Math"/>
                    </w:rPr>
                    <m:t>n</m:t>
                  </m:r>
                </m:sub>
              </m:sSub>
              <m:r>
                <w:rPr>
                  <w:rFonts w:ascii="Cambria Math" w:eastAsiaTheme="minorEastAsia" w:hAnsi="Cambria Math" w:hint="eastAsia"/>
                </w:rPr>
                <m:t>≦</m:t>
              </m:r>
              <m:r>
                <w:rPr>
                  <w:rFonts w:ascii="Cambria Math" w:eastAsiaTheme="minorEastAsia" w:hAnsi="Cambria Math"/>
                </w:rPr>
                <m:t xml:space="preserve">125 </m:t>
              </m:r>
            </m:oMath>
            <w:r w:rsidR="00644B5F" w:rsidRPr="00BC31E0">
              <w:rPr>
                <w:rFonts w:ascii="Cambria Math" w:eastAsiaTheme="minorEastAsia" w:hAnsi="Cambria Math"/>
              </w:rPr>
              <w:t>mm</w:t>
            </w:r>
          </w:p>
          <w:p w14:paraId="7AE957F1" w14:textId="77777777" w:rsidR="00644B5F" w:rsidRPr="00BC31E0" w:rsidRDefault="00644B5F" w:rsidP="00644B5F">
            <w:pPr>
              <w:ind w:left="170"/>
              <w:rPr>
                <w:rFonts w:ascii="Cambria Math" w:eastAsiaTheme="minorEastAsia" w:hAnsi="Cambria Math"/>
              </w:rPr>
            </w:pPr>
            <w:r w:rsidRPr="00BC31E0">
              <w:rPr>
                <w:rFonts w:ascii="Cambria Math" w:eastAsiaTheme="minorEastAsia" w:hAnsi="Cambria Math"/>
              </w:rPr>
              <w:t>675</w:t>
            </w:r>
            <w:r w:rsidRPr="00BC31E0">
              <w:rPr>
                <w:rFonts w:asciiTheme="minorHAnsi" w:hAnsiTheme="minorHAnsi"/>
              </w:rPr>
              <w:t>°C</w:t>
            </w:r>
          </w:p>
          <w:tbl>
            <w:tblPr>
              <w:tblStyle w:val="100"/>
              <w:tblW w:w="0" w:type="auto"/>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0"/>
            </w:tblGrid>
            <w:tr w:rsidR="00644B5F" w:rsidRPr="00BC31E0" w14:paraId="72C2F842" w14:textId="77777777" w:rsidTr="004736F2">
              <w:tc>
                <w:tcPr>
                  <w:tcW w:w="0" w:type="auto"/>
                  <w:vAlign w:val="center"/>
                </w:tcPr>
                <w:p w14:paraId="64DFA4D2" w14:textId="77777777" w:rsidR="00644B5F" w:rsidRPr="00BC31E0" w:rsidRDefault="00A51873" w:rsidP="00644B5F">
                  <w:pPr>
                    <w:rPr>
                      <w:rFonts w:asciiTheme="minorHAnsi" w:eastAsiaTheme="minorEastAsia" w:hAnsiTheme="minorHAnsi"/>
                    </w:rPr>
                  </w:pPr>
                  <m:oMathPara>
                    <m:oMathParaPr>
                      <m:jc m:val="left"/>
                    </m:oMathParaPr>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n</m:t>
                              </m:r>
                            </m:sub>
                          </m:sSub>
                        </m:num>
                        <m:den>
                          <m:r>
                            <w:rPr>
                              <w:rFonts w:ascii="Cambria Math" w:eastAsiaTheme="minorEastAsia" w:hAnsi="Cambria Math"/>
                            </w:rPr>
                            <m:t>25</m:t>
                          </m:r>
                        </m:den>
                      </m:f>
                      <m:r>
                        <w:rPr>
                          <w:rFonts w:ascii="Cambria Math" w:eastAsiaTheme="minorEastAsia" w:hAnsi="Cambria Math"/>
                        </w:rPr>
                        <m:t xml:space="preserve"> </m:t>
                      </m:r>
                      <m:r>
                        <m:rPr>
                          <m:sty m:val="p"/>
                        </m:rPr>
                        <w:rPr>
                          <w:rFonts w:ascii="Cambria Math" w:eastAsiaTheme="minorEastAsia" w:hAnsi="Cambria Math"/>
                        </w:rPr>
                        <m:t>h</m:t>
                      </m:r>
                    </m:oMath>
                  </m:oMathPara>
                </w:p>
              </w:tc>
            </w:tr>
          </w:tbl>
          <w:p w14:paraId="3CBAF25D" w14:textId="77777777" w:rsidR="00644B5F" w:rsidRPr="00BC31E0" w:rsidRDefault="00644B5F" w:rsidP="00644B5F">
            <w:pPr>
              <w:rPr>
                <w:rFonts w:asciiTheme="minorHAnsi" w:eastAsiaTheme="minorEastAsia" w:hAnsiTheme="minorHAnsi"/>
              </w:rPr>
            </w:pPr>
          </w:p>
          <w:p w14:paraId="6AF0B352" w14:textId="77777777" w:rsidR="00644B5F" w:rsidRPr="00BC31E0" w:rsidRDefault="00A51873" w:rsidP="00644B5F">
            <w:pPr>
              <w:rPr>
                <w:rFonts w:asciiTheme="minorHAnsi" w:eastAsiaTheme="minorEastAsia" w:hAnsiTheme="minorHAnsi"/>
              </w:rPr>
            </w:pPr>
            <m:oMath>
              <m:sSub>
                <m:sSubPr>
                  <m:ctrlPr>
                    <w:rPr>
                      <w:rFonts w:ascii="Cambria Math" w:eastAsiaTheme="minorEastAsia" w:hAnsi="Cambria Math"/>
                    </w:rPr>
                  </m:ctrlPr>
                </m:sSubPr>
                <m:e>
                  <m:r>
                    <w:rPr>
                      <w:rFonts w:ascii="Cambria Math" w:eastAsiaTheme="minorEastAsia" w:hAnsi="Cambria Math"/>
                    </w:rPr>
                    <m:t>t</m:t>
                  </m:r>
                </m:e>
                <m:sub>
                  <m:r>
                    <w:rPr>
                      <w:rFonts w:ascii="Cambria Math" w:eastAsiaTheme="minorEastAsia" w:hAnsi="Cambria Math"/>
                    </w:rPr>
                    <m:t>n</m:t>
                  </m:r>
                </m:sub>
              </m:sSub>
              <m:r>
                <w:rPr>
                  <w:rFonts w:ascii="Cambria Math" w:eastAsiaTheme="minorEastAsia" w:hAnsi="Cambria Math"/>
                </w:rPr>
                <m:t xml:space="preserve">&gt;125 </m:t>
              </m:r>
            </m:oMath>
            <w:r w:rsidR="00644B5F" w:rsidRPr="00BC31E0">
              <w:rPr>
                <w:rFonts w:ascii="Cambria Math" w:eastAsiaTheme="minorEastAsia" w:hAnsi="Cambria Math"/>
              </w:rPr>
              <w:t>mm</w:t>
            </w:r>
          </w:p>
          <w:p w14:paraId="2F1C5351" w14:textId="77777777" w:rsidR="00644B5F" w:rsidRPr="00BC31E0" w:rsidRDefault="00644B5F" w:rsidP="00644B5F">
            <w:pPr>
              <w:ind w:left="170"/>
              <w:rPr>
                <w:rFonts w:ascii="Cambria Math" w:eastAsiaTheme="minorEastAsia" w:hAnsi="Cambria Math"/>
              </w:rPr>
            </w:pPr>
            <w:r w:rsidRPr="00BC31E0">
              <w:rPr>
                <w:rFonts w:ascii="Cambria Math" w:eastAsiaTheme="minorEastAsia" w:hAnsi="Cambria Math"/>
              </w:rPr>
              <w:t>675</w:t>
            </w:r>
            <w:r w:rsidRPr="00BC31E0">
              <w:rPr>
                <w:rFonts w:asciiTheme="minorHAnsi" w:hAnsiTheme="minorHAnsi"/>
              </w:rPr>
              <w:t>°C</w:t>
            </w:r>
          </w:p>
          <w:tbl>
            <w:tblPr>
              <w:tblStyle w:val="100"/>
              <w:tblW w:w="0" w:type="auto"/>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2"/>
            </w:tblGrid>
            <w:tr w:rsidR="00644B5F" w:rsidRPr="00BC31E0" w14:paraId="78EA3CA7" w14:textId="77777777" w:rsidTr="004736F2">
              <w:tc>
                <w:tcPr>
                  <w:tcW w:w="0" w:type="auto"/>
                  <w:tcMar>
                    <w:left w:w="0" w:type="dxa"/>
                    <w:right w:w="0" w:type="dxa"/>
                  </w:tcMar>
                  <w:vAlign w:val="center"/>
                </w:tcPr>
                <w:p w14:paraId="6CB50E15" w14:textId="77777777" w:rsidR="00644B5F" w:rsidRPr="00BC31E0" w:rsidRDefault="00644B5F" w:rsidP="00644B5F">
                  <w:pPr>
                    <w:rPr>
                      <w:rFonts w:asciiTheme="minorHAnsi" w:eastAsiaTheme="minorEastAsia" w:hAnsiTheme="minorHAnsi"/>
                    </w:rPr>
                  </w:pPr>
                  <m:oMathPara>
                    <m:oMathParaPr>
                      <m:jc m:val="left"/>
                    </m:oMathParaPr>
                    <m:oMath>
                      <m:r>
                        <w:rPr>
                          <w:rFonts w:ascii="Cambria Math" w:eastAsiaTheme="minorEastAsia" w:hAnsi="Cambria Math"/>
                        </w:rPr>
                        <m:t>5+</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n</m:t>
                              </m:r>
                            </m:sub>
                          </m:sSub>
                          <m:r>
                            <w:rPr>
                              <w:rFonts w:ascii="Cambria Math" w:eastAsiaTheme="minorEastAsia" w:hAnsi="Cambria Math"/>
                            </w:rPr>
                            <m:t>-125</m:t>
                          </m:r>
                        </m:num>
                        <m:den>
                          <m:r>
                            <w:rPr>
                              <w:rFonts w:ascii="Cambria Math" w:eastAsiaTheme="minorEastAsia" w:hAnsi="Cambria Math"/>
                            </w:rPr>
                            <m:t>100</m:t>
                          </m:r>
                        </m:den>
                      </m:f>
                      <m:r>
                        <w:rPr>
                          <w:rFonts w:ascii="Cambria Math" w:eastAsiaTheme="minorEastAsia" w:hAnsi="Cambria Math"/>
                        </w:rPr>
                        <m:t xml:space="preserve"> </m:t>
                      </m:r>
                      <m:r>
                        <m:rPr>
                          <m:sty m:val="p"/>
                        </m:rPr>
                        <w:rPr>
                          <w:rFonts w:ascii="Cambria Math" w:eastAsiaTheme="minorEastAsia" w:hAnsi="Cambria Math"/>
                        </w:rPr>
                        <m:t>h</m:t>
                      </m:r>
                    </m:oMath>
                  </m:oMathPara>
                </w:p>
              </w:tc>
            </w:tr>
          </w:tbl>
          <w:p w14:paraId="4D25CAC7" w14:textId="77777777" w:rsidR="00644B5F" w:rsidRPr="00BC31E0" w:rsidRDefault="00644B5F" w:rsidP="00644B5F">
            <w:pPr>
              <w:rPr>
                <w:rFonts w:asciiTheme="minorHAnsi" w:eastAsiaTheme="minorEastAsia" w:hAnsiTheme="minorHAnsi"/>
              </w:rPr>
            </w:pPr>
          </w:p>
        </w:tc>
      </w:tr>
    </w:tbl>
    <w:p w14:paraId="7EE4F4A4" w14:textId="77777777" w:rsidR="00F14FC9" w:rsidRPr="00BC31E0" w:rsidRDefault="00F14FC9" w:rsidP="00F14FC9">
      <w:pPr>
        <w:spacing w:before="60"/>
        <w:rPr>
          <w:rFonts w:asciiTheme="minorHAnsi" w:eastAsiaTheme="minorEastAsia" w:hAnsiTheme="minorHAnsi"/>
        </w:rPr>
      </w:pPr>
    </w:p>
    <w:p w14:paraId="308A25F3" w14:textId="77777777" w:rsidR="00644B5F" w:rsidRPr="00BC31E0" w:rsidRDefault="00644B5F" w:rsidP="00644B5F">
      <w:pPr>
        <w:widowControl/>
        <w:jc w:val="left"/>
      </w:pPr>
      <w:r w:rsidRPr="00BC31E0">
        <w:br w:type="page"/>
      </w:r>
    </w:p>
    <w:p w14:paraId="3EDEA42F" w14:textId="77777777" w:rsidR="00644B5F" w:rsidRPr="00BC31E0" w:rsidRDefault="00644B5F" w:rsidP="00644B5F">
      <w:pPr>
        <w:jc w:val="center"/>
        <w:rPr>
          <w:rFonts w:asciiTheme="majorEastAsia" w:eastAsiaTheme="majorEastAsia" w:hAnsiTheme="majorEastAsia"/>
          <w:b/>
        </w:rPr>
      </w:pPr>
      <w:r w:rsidRPr="00BC31E0">
        <w:rPr>
          <w:rFonts w:asciiTheme="majorEastAsia" w:eastAsiaTheme="majorEastAsia" w:hAnsiTheme="majorEastAsia" w:hint="eastAsia"/>
          <w:b/>
        </w:rPr>
        <w:lastRenderedPageBreak/>
        <w:t>表7.4.5</w:t>
      </w:r>
      <w:r w:rsidRPr="00BC31E0">
        <w:rPr>
          <w:rFonts w:asciiTheme="majorEastAsia" w:eastAsiaTheme="majorEastAsia" w:hAnsiTheme="majorEastAsia"/>
          <w:b/>
        </w:rPr>
        <w:t xml:space="preserve">　溶接後熱処理</w:t>
      </w:r>
      <w:r w:rsidRPr="00BC31E0">
        <w:rPr>
          <w:rFonts w:asciiTheme="majorEastAsia" w:eastAsiaTheme="majorEastAsia" w:hAnsiTheme="majorEastAsia" w:hint="eastAsia"/>
          <w:b/>
        </w:rPr>
        <w:t>の温度及び時間 (続き)</w:t>
      </w:r>
    </w:p>
    <w:p w14:paraId="7E4D6ECB" w14:textId="77777777" w:rsidR="00644B5F" w:rsidRPr="00BC31E0" w:rsidRDefault="00644B5F" w:rsidP="00644B5F">
      <w:pPr>
        <w:spacing w:after="60"/>
        <w:jc w:val="center"/>
        <w:rPr>
          <w:rFonts w:asciiTheme="majorEastAsia" w:eastAsiaTheme="majorEastAsia" w:hAnsiTheme="majorEastAsia"/>
        </w:rPr>
      </w:pPr>
      <w:r w:rsidRPr="00BC31E0">
        <w:rPr>
          <w:rFonts w:asciiTheme="majorEastAsia" w:eastAsiaTheme="majorEastAsia" w:hAnsiTheme="majorEastAsia"/>
          <w:b/>
        </w:rPr>
        <w:t>(P</w:t>
      </w:r>
      <w:r w:rsidRPr="00BC31E0">
        <w:rPr>
          <w:rFonts w:asciiTheme="majorEastAsia" w:eastAsiaTheme="majorEastAsia" w:hAnsiTheme="majorEastAsia" w:hint="eastAsia"/>
          <w:b/>
        </w:rPr>
        <w:t>番号</w:t>
      </w:r>
      <w:r w:rsidRPr="00BC31E0">
        <w:rPr>
          <w:rFonts w:asciiTheme="majorEastAsia" w:eastAsiaTheme="majorEastAsia" w:hAnsiTheme="majorEastAsia"/>
          <w:b/>
        </w:rPr>
        <w:t>5A</w:t>
      </w:r>
      <w:r w:rsidRPr="00BC31E0">
        <w:rPr>
          <w:rFonts w:asciiTheme="majorEastAsia" w:eastAsiaTheme="majorEastAsia" w:hAnsiTheme="majorEastAsia" w:hint="eastAsia"/>
          <w:b/>
        </w:rPr>
        <w:t>グループ番号</w:t>
      </w:r>
      <w:r w:rsidRPr="00BC31E0">
        <w:rPr>
          <w:rFonts w:asciiTheme="majorEastAsia" w:eastAsiaTheme="majorEastAsia" w:hAnsiTheme="majorEastAsia"/>
          <w:b/>
        </w:rPr>
        <w:t>1</w:t>
      </w:r>
      <w:r w:rsidRPr="00BC31E0">
        <w:rPr>
          <w:rFonts w:asciiTheme="majorEastAsia" w:eastAsiaTheme="majorEastAsia" w:hAnsiTheme="majorEastAsia" w:hint="eastAsia"/>
          <w:b/>
        </w:rPr>
        <w:t>，</w:t>
      </w:r>
      <w:r w:rsidRPr="00BC31E0">
        <w:rPr>
          <w:rFonts w:asciiTheme="majorEastAsia" w:eastAsiaTheme="majorEastAsia" w:hAnsiTheme="majorEastAsia"/>
          <w:b/>
        </w:rPr>
        <w:t>P</w:t>
      </w:r>
      <w:r w:rsidRPr="00BC31E0">
        <w:rPr>
          <w:rFonts w:asciiTheme="majorEastAsia" w:eastAsiaTheme="majorEastAsia" w:hAnsiTheme="majorEastAsia" w:hint="eastAsia"/>
          <w:b/>
        </w:rPr>
        <w:t>番号</w:t>
      </w:r>
      <w:r w:rsidRPr="00BC31E0">
        <w:rPr>
          <w:rFonts w:asciiTheme="majorEastAsia" w:eastAsiaTheme="majorEastAsia" w:hAnsiTheme="majorEastAsia"/>
          <w:b/>
        </w:rPr>
        <w:t>5B</w:t>
      </w:r>
      <w:r w:rsidRPr="00BC31E0">
        <w:rPr>
          <w:rFonts w:asciiTheme="majorEastAsia" w:eastAsiaTheme="majorEastAsia" w:hAnsiTheme="majorEastAsia" w:hint="eastAsia"/>
          <w:b/>
        </w:rPr>
        <w:t>グループ番号</w:t>
      </w:r>
      <w:r w:rsidRPr="00BC31E0">
        <w:rPr>
          <w:rFonts w:asciiTheme="majorEastAsia" w:eastAsiaTheme="majorEastAsia" w:hAnsiTheme="majorEastAsia"/>
          <w:b/>
        </w:rPr>
        <w:t>1</w:t>
      </w:r>
      <w:r w:rsidRPr="00BC31E0">
        <w:rPr>
          <w:rFonts w:asciiTheme="majorEastAsia" w:eastAsiaTheme="majorEastAsia" w:hAnsiTheme="majorEastAsia" w:hint="eastAsia"/>
          <w:b/>
        </w:rPr>
        <w:t>及び</w:t>
      </w:r>
      <w:r w:rsidRPr="00BC31E0">
        <w:rPr>
          <w:rFonts w:asciiTheme="majorEastAsia" w:eastAsiaTheme="majorEastAsia" w:hAnsiTheme="majorEastAsia"/>
          <w:b/>
        </w:rPr>
        <w:t>P</w:t>
      </w:r>
      <w:r w:rsidRPr="00BC31E0">
        <w:rPr>
          <w:rFonts w:asciiTheme="majorEastAsia" w:eastAsiaTheme="majorEastAsia" w:hAnsiTheme="majorEastAsia" w:hint="eastAsia"/>
          <w:b/>
        </w:rPr>
        <w:t>番号</w:t>
      </w:r>
      <w:r w:rsidRPr="00BC31E0">
        <w:rPr>
          <w:rFonts w:asciiTheme="majorEastAsia" w:eastAsiaTheme="majorEastAsia" w:hAnsiTheme="majorEastAsia"/>
          <w:b/>
        </w:rPr>
        <w:t>5C</w:t>
      </w:r>
      <w:r w:rsidRPr="00BC31E0">
        <w:rPr>
          <w:rFonts w:asciiTheme="majorEastAsia" w:eastAsiaTheme="majorEastAsia" w:hAnsiTheme="majorEastAsia" w:hint="eastAsia"/>
          <w:b/>
        </w:rPr>
        <w:t>グループ番号</w:t>
      </w:r>
      <w:r w:rsidRPr="00BC31E0">
        <w:rPr>
          <w:rFonts w:asciiTheme="majorEastAsia" w:eastAsiaTheme="majorEastAsia" w:hAnsiTheme="majorEastAsia"/>
          <w:b/>
        </w:rPr>
        <w:t>1</w:t>
      </w:r>
      <w:r w:rsidRPr="00BC31E0">
        <w:rPr>
          <w:rFonts w:asciiTheme="majorEastAsia" w:eastAsiaTheme="majorEastAsia" w:hAnsiTheme="majorEastAsia" w:hint="eastAsia"/>
          <w:b/>
        </w:rPr>
        <w:t>の材料</w:t>
      </w:r>
      <w:r w:rsidRPr="00BC31E0">
        <w:rPr>
          <w:rFonts w:asciiTheme="majorEastAsia" w:eastAsiaTheme="majorEastAsia" w:hAnsiTheme="majorEastAsia"/>
          <w:b/>
        </w:rPr>
        <w:t>)</w:t>
      </w:r>
    </w:p>
    <w:tbl>
      <w:tblPr>
        <w:tblStyle w:val="100"/>
        <w:tblW w:w="0" w:type="auto"/>
        <w:tblInd w:w="108" w:type="dxa"/>
        <w:tblLook w:val="04A0" w:firstRow="1" w:lastRow="0" w:firstColumn="1" w:lastColumn="0" w:noHBand="0" w:noVBand="1"/>
      </w:tblPr>
      <w:tblGrid>
        <w:gridCol w:w="6946"/>
        <w:gridCol w:w="2126"/>
      </w:tblGrid>
      <w:tr w:rsidR="00644B5F" w:rsidRPr="00BC31E0" w14:paraId="37C9FCBE" w14:textId="77777777" w:rsidTr="004736F2">
        <w:tc>
          <w:tcPr>
            <w:tcW w:w="6946" w:type="dxa"/>
            <w:vAlign w:val="center"/>
          </w:tcPr>
          <w:p w14:paraId="7BA06C23" w14:textId="77777777" w:rsidR="00644B5F" w:rsidRPr="00BC31E0" w:rsidRDefault="00644B5F" w:rsidP="00644B5F">
            <w:pPr>
              <w:jc w:val="center"/>
              <w:rPr>
                <w:rFonts w:asciiTheme="minorHAnsi" w:eastAsiaTheme="minorEastAsia" w:hAnsiTheme="minorHAnsi"/>
              </w:rPr>
            </w:pPr>
            <w:r w:rsidRPr="00BC31E0">
              <w:rPr>
                <w:rFonts w:asciiTheme="minorHAnsi" w:eastAsiaTheme="minorEastAsia" w:hAnsiTheme="minorEastAsia"/>
              </w:rPr>
              <w:t>要求事項</w:t>
            </w:r>
          </w:p>
        </w:tc>
        <w:tc>
          <w:tcPr>
            <w:tcW w:w="2126" w:type="dxa"/>
            <w:vAlign w:val="center"/>
          </w:tcPr>
          <w:p w14:paraId="5461676F" w14:textId="77777777" w:rsidR="00644B5F" w:rsidRPr="00BC31E0" w:rsidRDefault="00644B5F" w:rsidP="00644B5F">
            <w:pPr>
              <w:jc w:val="center"/>
              <w:rPr>
                <w:rFonts w:asciiTheme="minorHAnsi" w:eastAsiaTheme="minorEastAsia" w:hAnsiTheme="minorHAnsi"/>
              </w:rPr>
            </w:pPr>
            <w:r w:rsidRPr="00BC31E0">
              <w:rPr>
                <w:rFonts w:asciiTheme="minorHAnsi" w:eastAsiaTheme="minorEastAsia" w:hAnsiTheme="minorEastAsia"/>
              </w:rPr>
              <w:t>保持温度と保持時間</w:t>
            </w:r>
          </w:p>
        </w:tc>
      </w:tr>
      <w:tr w:rsidR="00644B5F" w:rsidRPr="00BC31E0" w14:paraId="3286E7D5" w14:textId="77777777" w:rsidTr="004736F2">
        <w:tc>
          <w:tcPr>
            <w:tcW w:w="6946" w:type="dxa"/>
          </w:tcPr>
          <w:p w14:paraId="5AF1E2AF" w14:textId="77777777" w:rsidR="00644B5F" w:rsidRPr="00BC31E0" w:rsidRDefault="00644B5F" w:rsidP="00736130">
            <w:pPr>
              <w:numPr>
                <w:ilvl w:val="0"/>
                <w:numId w:val="174"/>
              </w:numPr>
              <w:ind w:left="340" w:hanging="340"/>
              <w:rPr>
                <w:rFonts w:asciiTheme="minorHAnsi" w:eastAsiaTheme="minorEastAsia" w:hAnsiTheme="minorHAnsi"/>
              </w:rPr>
            </w:pPr>
            <w:r w:rsidRPr="00BC31E0">
              <w:rPr>
                <w:rFonts w:asciiTheme="minorHAnsi" w:eastAsiaTheme="minorEastAsia" w:hAnsiTheme="minorEastAsia"/>
              </w:rPr>
              <w:t>次の</w:t>
            </w:r>
            <w:r w:rsidRPr="00BC31E0">
              <w:rPr>
                <w:rFonts w:asciiTheme="majorEastAsia" w:eastAsiaTheme="majorEastAsia" w:hAnsiTheme="majorEastAsia"/>
                <w:b/>
              </w:rPr>
              <w:t>1)</w:t>
            </w:r>
            <w:r w:rsidRPr="00BC31E0">
              <w:rPr>
                <w:rFonts w:asciiTheme="minorHAnsi" w:eastAsiaTheme="minorEastAsia" w:hAnsiTheme="minorEastAsia"/>
              </w:rPr>
              <w:t>～</w:t>
            </w:r>
            <w:r w:rsidRPr="00BC31E0">
              <w:rPr>
                <w:rFonts w:asciiTheme="majorEastAsia" w:eastAsiaTheme="majorEastAsia" w:hAnsiTheme="majorEastAsia"/>
                <w:b/>
              </w:rPr>
              <w:t>3)</w:t>
            </w:r>
            <w:r w:rsidRPr="00BC31E0">
              <w:rPr>
                <w:rFonts w:asciiTheme="minorHAnsi" w:eastAsiaTheme="minorEastAsia" w:hAnsiTheme="minorEastAsia" w:hint="eastAsia"/>
              </w:rPr>
              <w:t>の要件を満たすならば</w:t>
            </w:r>
            <w:r w:rsidRPr="00BC31E0">
              <w:rPr>
                <w:rFonts w:asciiTheme="minorHAnsi" w:eastAsiaTheme="minorEastAsia" w:hAnsiTheme="minorEastAsia"/>
              </w:rPr>
              <w:t>，裸線熱電対をコンデンサ放電溶接又は電気抵抗溶接で取付ける場合に</w:t>
            </w:r>
            <w:r w:rsidRPr="00BC31E0">
              <w:rPr>
                <w:rFonts w:asciiTheme="minorHAnsi" w:eastAsiaTheme="minorEastAsia" w:hAnsiTheme="minorEastAsia" w:hint="eastAsia"/>
              </w:rPr>
              <w:t>は</w:t>
            </w:r>
            <w:r w:rsidRPr="00BC31E0">
              <w:rPr>
                <w:rFonts w:asciiTheme="minorHAnsi" w:eastAsiaTheme="minorEastAsia" w:hAnsiTheme="minorEastAsia"/>
              </w:rPr>
              <w:t>溶接後熱処理の必要はない。</w:t>
            </w:r>
          </w:p>
          <w:p w14:paraId="0C922F5D" w14:textId="77777777" w:rsidR="00644B5F" w:rsidRPr="00BC31E0" w:rsidRDefault="00644B5F" w:rsidP="00736130">
            <w:pPr>
              <w:numPr>
                <w:ilvl w:val="1"/>
                <w:numId w:val="181"/>
              </w:numPr>
              <w:ind w:left="567" w:hanging="340"/>
              <w:rPr>
                <w:rFonts w:asciiTheme="minorHAnsi" w:eastAsiaTheme="minorEastAsia" w:hAnsiTheme="minorEastAsia"/>
              </w:rPr>
            </w:pPr>
            <w:r w:rsidRPr="00BC31E0">
              <w:rPr>
                <w:rFonts w:asciiTheme="majorEastAsia" w:eastAsiaTheme="majorEastAsia" w:hAnsiTheme="majorEastAsia" w:hint="eastAsia"/>
                <w:b/>
              </w:rPr>
              <w:t>7.4.3 b)</w:t>
            </w:r>
            <w:r w:rsidRPr="00BC31E0">
              <w:rPr>
                <w:rFonts w:asciiTheme="minorHAnsi" w:eastAsiaTheme="minorEastAsia" w:hAnsiTheme="minorEastAsia" w:hint="eastAsia"/>
              </w:rPr>
              <w:t>の要件を満たす</w:t>
            </w:r>
            <w:r w:rsidRPr="00BC31E0">
              <w:rPr>
                <w:rFonts w:asciiTheme="minorHAnsi" w:eastAsiaTheme="minorEastAsia" w:hAnsiTheme="minorEastAsia"/>
              </w:rPr>
              <w:t>。</w:t>
            </w:r>
          </w:p>
          <w:p w14:paraId="5F2FC9D1" w14:textId="77777777" w:rsidR="00644B5F" w:rsidRPr="00BC31E0" w:rsidRDefault="00644B5F" w:rsidP="00736130">
            <w:pPr>
              <w:numPr>
                <w:ilvl w:val="1"/>
                <w:numId w:val="181"/>
              </w:numPr>
              <w:ind w:left="567" w:hanging="340"/>
              <w:rPr>
                <w:rFonts w:asciiTheme="minorHAnsi" w:eastAsiaTheme="minorEastAsia" w:hAnsiTheme="minorEastAsia"/>
              </w:rPr>
            </w:pPr>
            <w:r w:rsidRPr="00BC31E0">
              <w:rPr>
                <w:rFonts w:asciiTheme="minorHAnsi" w:eastAsiaTheme="minorEastAsia" w:hAnsiTheme="minorEastAsia"/>
              </w:rPr>
              <w:t>母材の炭素含有量が</w:t>
            </w:r>
            <w:r w:rsidRPr="00BC31E0">
              <w:rPr>
                <w:rFonts w:ascii="Cambria Math" w:eastAsiaTheme="minorEastAsia" w:hAnsi="Cambria Math"/>
              </w:rPr>
              <w:t>0.15</w:t>
            </w:r>
            <w:r w:rsidRPr="00BC31E0">
              <w:rPr>
                <w:rFonts w:ascii="Cambria Math" w:eastAsiaTheme="minorEastAsia" w:hAnsi="Cambria Math" w:hint="eastAsia"/>
              </w:rPr>
              <w:t xml:space="preserve"> </w:t>
            </w:r>
            <w:r w:rsidRPr="00BC31E0">
              <w:rPr>
                <w:rFonts w:ascii="Cambria Math" w:eastAsiaTheme="minorEastAsia" w:hAnsi="Cambria Math"/>
              </w:rPr>
              <w:t>%</w:t>
            </w:r>
            <w:r w:rsidRPr="00BC31E0">
              <w:rPr>
                <w:rFonts w:asciiTheme="minorHAnsi" w:eastAsiaTheme="minorEastAsia" w:hAnsiTheme="minorEastAsia"/>
              </w:rPr>
              <w:t>以下である。</w:t>
            </w:r>
          </w:p>
          <w:p w14:paraId="475E3842" w14:textId="77777777" w:rsidR="00644B5F" w:rsidRPr="00BC31E0" w:rsidRDefault="00644B5F" w:rsidP="00736130">
            <w:pPr>
              <w:numPr>
                <w:ilvl w:val="1"/>
                <w:numId w:val="181"/>
              </w:numPr>
              <w:ind w:left="567" w:hanging="340"/>
              <w:rPr>
                <w:rFonts w:asciiTheme="minorHAnsi" w:eastAsiaTheme="minorEastAsia" w:hAnsiTheme="minorEastAsia"/>
              </w:rPr>
            </w:pPr>
            <w:r w:rsidRPr="00BC31E0">
              <w:rPr>
                <w:rFonts w:asciiTheme="minorHAnsi" w:eastAsiaTheme="minorEastAsia" w:hAnsiTheme="minorEastAsia"/>
              </w:rPr>
              <w:t>容器の厚さが</w:t>
            </w:r>
            <w:r w:rsidRPr="00BC31E0">
              <w:rPr>
                <w:rFonts w:ascii="Cambria Math" w:eastAsiaTheme="minorEastAsia" w:hAnsi="Cambria Math"/>
              </w:rPr>
              <w:t>5.0 mm</w:t>
            </w:r>
            <w:r w:rsidRPr="00BC31E0">
              <w:rPr>
                <w:rFonts w:asciiTheme="minorHAnsi" w:eastAsiaTheme="minorEastAsia" w:hAnsiTheme="minorEastAsia"/>
              </w:rPr>
              <w:t>以上である。</w:t>
            </w:r>
          </w:p>
        </w:tc>
        <w:tc>
          <w:tcPr>
            <w:tcW w:w="2126" w:type="dxa"/>
          </w:tcPr>
          <w:p w14:paraId="04A113F2" w14:textId="77777777" w:rsidR="00644B5F" w:rsidRPr="00BC31E0" w:rsidRDefault="00644B5F" w:rsidP="00644B5F">
            <w:pPr>
              <w:rPr>
                <w:rFonts w:asciiTheme="minorHAnsi" w:eastAsiaTheme="minorEastAsia" w:hAnsiTheme="minorEastAsia"/>
              </w:rPr>
            </w:pPr>
          </w:p>
        </w:tc>
      </w:tr>
    </w:tbl>
    <w:p w14:paraId="7C78A3B4" w14:textId="77777777" w:rsidR="00644B5F" w:rsidRPr="00BC31E0" w:rsidRDefault="00644B5F" w:rsidP="002B049D">
      <w:pPr>
        <w:spacing w:before="60"/>
        <w:rPr>
          <w:rFonts w:asciiTheme="minorHAnsi" w:eastAsiaTheme="minorEastAsia" w:hAnsiTheme="minorHAnsi"/>
        </w:rPr>
      </w:pPr>
      <w:r w:rsidRPr="00BC31E0">
        <w:rPr>
          <w:rFonts w:asciiTheme="majorEastAsia" w:eastAsiaTheme="majorEastAsia" w:hAnsiTheme="majorEastAsia" w:hint="eastAsia"/>
          <w:b/>
        </w:rPr>
        <w:t>注記</w:t>
      </w:r>
      <w:r w:rsidRPr="00BC31E0">
        <w:rPr>
          <w:rFonts w:asciiTheme="minorHAnsi" w:eastAsiaTheme="minorEastAsia" w:hAnsiTheme="minorHAnsi" w:hint="eastAsia"/>
        </w:rPr>
        <w:t xml:space="preserve">　</w:t>
      </w:r>
      <m:oMath>
        <m:sSub>
          <m:sSubPr>
            <m:ctrlPr>
              <w:rPr>
                <w:rFonts w:ascii="Cambria Math" w:eastAsiaTheme="minorEastAsia" w:hAnsi="Cambria Math"/>
              </w:rPr>
            </m:ctrlPr>
          </m:sSubPr>
          <m:e>
            <m:r>
              <w:rPr>
                <w:rFonts w:ascii="Cambria Math" w:eastAsiaTheme="minorEastAsia" w:hAnsi="Cambria Math" w:hint="eastAsia"/>
              </w:rPr>
              <m:t>t</m:t>
            </m:r>
          </m:e>
          <m:sub>
            <m:r>
              <w:rPr>
                <w:rFonts w:ascii="Cambria Math" w:eastAsiaTheme="minorEastAsia" w:hAnsi="Cambria Math"/>
              </w:rPr>
              <m:t>n</m:t>
            </m:r>
          </m:sub>
        </m:sSub>
        <m:r>
          <m:rPr>
            <m:sty m:val="p"/>
          </m:rPr>
          <w:rPr>
            <w:rFonts w:ascii="Cambria Math" w:eastAsiaTheme="minorEastAsia" w:hAnsi="Cambria Math"/>
          </w:rPr>
          <m:t xml:space="preserve"> </m:t>
        </m:r>
      </m:oMath>
      <w:r w:rsidRPr="00BC31E0">
        <w:rPr>
          <w:rFonts w:asciiTheme="minorHAnsi" w:eastAsiaTheme="minorEastAsia" w:hAnsiTheme="minorHAnsi" w:hint="eastAsia"/>
        </w:rPr>
        <w:t>は，</w:t>
      </w:r>
      <w:r w:rsidRPr="00BC31E0">
        <w:rPr>
          <w:rFonts w:asciiTheme="majorEastAsia" w:eastAsiaTheme="majorEastAsia" w:hAnsiTheme="majorEastAsia" w:hint="eastAsia"/>
          <w:b/>
        </w:rPr>
        <w:t>7.4.1 b) 4)</w:t>
      </w:r>
      <w:r w:rsidRPr="00BC31E0">
        <w:rPr>
          <w:rFonts w:asciiTheme="minorHAnsi" w:eastAsiaTheme="minorEastAsia" w:hAnsiTheme="minorHAnsi" w:hint="eastAsia"/>
        </w:rPr>
        <w:t>に規定する公称厚さ</w:t>
      </w:r>
      <w:r w:rsidRPr="00BC31E0">
        <w:rPr>
          <w:rFonts w:asciiTheme="minorHAnsi" w:eastAsiaTheme="minorEastAsia" w:hAnsiTheme="minorHAnsi" w:hint="eastAsia"/>
        </w:rPr>
        <w:t>(</w:t>
      </w:r>
      <w:r w:rsidRPr="00BC31E0">
        <w:rPr>
          <w:rFonts w:ascii="Cambria Math" w:eastAsiaTheme="minorEastAsia" w:hAnsi="Cambria Math"/>
        </w:rPr>
        <w:t>mm</w:t>
      </w:r>
      <w:r w:rsidRPr="00BC31E0">
        <w:rPr>
          <w:rFonts w:asciiTheme="minorHAnsi" w:eastAsiaTheme="minorEastAsia" w:hAnsiTheme="minorHAnsi" w:hint="eastAsia"/>
        </w:rPr>
        <w:t>)</w:t>
      </w:r>
      <w:r w:rsidRPr="00BC31E0">
        <w:rPr>
          <w:rFonts w:asciiTheme="minorHAnsi" w:eastAsiaTheme="minorEastAsia" w:hAnsiTheme="minorHAnsi" w:hint="eastAsia"/>
        </w:rPr>
        <w:t>である。</w:t>
      </w:r>
    </w:p>
    <w:p w14:paraId="3B2D1B9D" w14:textId="77777777" w:rsidR="00644B5F" w:rsidRPr="00BC31E0" w:rsidRDefault="00644B5F" w:rsidP="00644B5F">
      <w:pPr>
        <w:widowControl/>
        <w:rPr>
          <w:rFonts w:asciiTheme="minorEastAsia" w:eastAsiaTheme="minorEastAsia" w:hAnsiTheme="minorEastAsia"/>
        </w:rPr>
      </w:pPr>
    </w:p>
    <w:p w14:paraId="4C892D2D" w14:textId="77777777" w:rsidR="00644B5F" w:rsidRPr="00BC31E0" w:rsidRDefault="00644B5F" w:rsidP="00644B5F">
      <w:pPr>
        <w:widowControl/>
        <w:rPr>
          <w:rFonts w:asciiTheme="minorEastAsia" w:eastAsiaTheme="minorEastAsia" w:hAnsiTheme="minorEastAsia"/>
        </w:rPr>
      </w:pPr>
    </w:p>
    <w:p w14:paraId="4596FAB4" w14:textId="77777777" w:rsidR="009A5191" w:rsidRPr="00BC31E0" w:rsidRDefault="009A5191" w:rsidP="00644B5F">
      <w:pPr>
        <w:widowControl/>
        <w:rPr>
          <w:rFonts w:asciiTheme="minorEastAsia" w:eastAsiaTheme="minorEastAsia" w:hAnsiTheme="minorEastAsia"/>
        </w:rPr>
      </w:pPr>
    </w:p>
    <w:p w14:paraId="4C1C9FAF" w14:textId="77777777" w:rsidR="00F14FC9" w:rsidRPr="00BC31E0" w:rsidRDefault="00F14FC9" w:rsidP="00644B5F">
      <w:pPr>
        <w:widowControl/>
        <w:rPr>
          <w:rFonts w:asciiTheme="minorEastAsia" w:eastAsiaTheme="minorEastAsia" w:hAnsiTheme="minorEastAsia"/>
        </w:rPr>
      </w:pPr>
    </w:p>
    <w:p w14:paraId="0126E3AE" w14:textId="77777777" w:rsidR="00644B5F" w:rsidRPr="00BC31E0" w:rsidRDefault="00644B5F" w:rsidP="00644B5F">
      <w:pPr>
        <w:jc w:val="center"/>
        <w:rPr>
          <w:rFonts w:asciiTheme="majorEastAsia" w:eastAsiaTheme="majorEastAsia" w:hAnsiTheme="majorEastAsia"/>
          <w:b/>
        </w:rPr>
      </w:pPr>
      <w:r w:rsidRPr="00BC31E0">
        <w:rPr>
          <w:rFonts w:asciiTheme="majorEastAsia" w:eastAsiaTheme="majorEastAsia" w:hAnsiTheme="majorEastAsia" w:hint="eastAsia"/>
          <w:b/>
        </w:rPr>
        <w:t>表7.4.6</w:t>
      </w:r>
      <w:r w:rsidRPr="00BC31E0">
        <w:rPr>
          <w:rFonts w:asciiTheme="majorEastAsia" w:eastAsiaTheme="majorEastAsia" w:hAnsiTheme="majorEastAsia"/>
          <w:b/>
        </w:rPr>
        <w:t xml:space="preserve">　溶接後熱処理</w:t>
      </w:r>
      <w:r w:rsidRPr="00BC31E0">
        <w:rPr>
          <w:rFonts w:asciiTheme="majorEastAsia" w:eastAsiaTheme="majorEastAsia" w:hAnsiTheme="majorEastAsia" w:hint="eastAsia"/>
          <w:b/>
        </w:rPr>
        <w:t>の温度及び時間</w:t>
      </w:r>
    </w:p>
    <w:p w14:paraId="4BF93B4A" w14:textId="77777777" w:rsidR="00644B5F" w:rsidRPr="00BC31E0" w:rsidRDefault="00644B5F" w:rsidP="00644B5F">
      <w:pPr>
        <w:spacing w:after="60"/>
        <w:jc w:val="center"/>
        <w:rPr>
          <w:rFonts w:asciiTheme="majorEastAsia" w:eastAsiaTheme="majorEastAsia" w:hAnsiTheme="majorEastAsia"/>
        </w:rPr>
      </w:pPr>
      <w:r w:rsidRPr="00BC31E0">
        <w:rPr>
          <w:rFonts w:asciiTheme="majorEastAsia" w:eastAsiaTheme="majorEastAsia" w:hAnsiTheme="majorEastAsia"/>
          <w:b/>
        </w:rPr>
        <w:t>(P</w:t>
      </w:r>
      <w:r w:rsidRPr="00BC31E0">
        <w:rPr>
          <w:rFonts w:asciiTheme="majorEastAsia" w:eastAsiaTheme="majorEastAsia" w:hAnsiTheme="majorEastAsia" w:hint="eastAsia"/>
          <w:b/>
        </w:rPr>
        <w:t>番号</w:t>
      </w:r>
      <w:r w:rsidRPr="00BC31E0">
        <w:rPr>
          <w:rFonts w:asciiTheme="majorEastAsia" w:eastAsiaTheme="majorEastAsia" w:hAnsiTheme="majorEastAsia"/>
          <w:b/>
        </w:rPr>
        <w:t>6</w:t>
      </w:r>
      <w:r w:rsidRPr="00BC31E0">
        <w:rPr>
          <w:rFonts w:asciiTheme="majorEastAsia" w:eastAsiaTheme="majorEastAsia" w:hAnsiTheme="majorEastAsia" w:hint="eastAsia"/>
          <w:b/>
        </w:rPr>
        <w:t>グループ番号</w:t>
      </w:r>
      <w:r w:rsidRPr="00BC31E0">
        <w:rPr>
          <w:rFonts w:asciiTheme="majorEastAsia" w:eastAsiaTheme="majorEastAsia" w:hAnsiTheme="majorEastAsia"/>
          <w:b/>
        </w:rPr>
        <w:t>1，2</w:t>
      </w:r>
      <w:r w:rsidRPr="00BC31E0">
        <w:rPr>
          <w:rFonts w:asciiTheme="majorEastAsia" w:eastAsiaTheme="majorEastAsia" w:hAnsiTheme="majorEastAsia" w:hint="eastAsia"/>
          <w:b/>
        </w:rPr>
        <w:t>及び</w:t>
      </w:r>
      <w:r w:rsidRPr="00BC31E0">
        <w:rPr>
          <w:rFonts w:asciiTheme="majorEastAsia" w:eastAsiaTheme="majorEastAsia" w:hAnsiTheme="majorEastAsia"/>
          <w:b/>
        </w:rPr>
        <w:t>3</w:t>
      </w:r>
      <w:r w:rsidRPr="00BC31E0">
        <w:rPr>
          <w:rFonts w:asciiTheme="majorEastAsia" w:eastAsiaTheme="majorEastAsia" w:hAnsiTheme="majorEastAsia" w:hint="eastAsia"/>
          <w:b/>
        </w:rPr>
        <w:t>の材料</w:t>
      </w:r>
      <w:r w:rsidRPr="00BC31E0">
        <w:rPr>
          <w:rFonts w:asciiTheme="majorEastAsia" w:eastAsiaTheme="majorEastAsia" w:hAnsiTheme="majorEastAsia"/>
          <w:b/>
        </w:rPr>
        <w:t>)</w:t>
      </w:r>
    </w:p>
    <w:tbl>
      <w:tblPr>
        <w:tblStyle w:val="100"/>
        <w:tblW w:w="0" w:type="auto"/>
        <w:tblInd w:w="108" w:type="dxa"/>
        <w:tblLook w:val="04A0" w:firstRow="1" w:lastRow="0" w:firstColumn="1" w:lastColumn="0" w:noHBand="0" w:noVBand="1"/>
      </w:tblPr>
      <w:tblGrid>
        <w:gridCol w:w="6946"/>
        <w:gridCol w:w="2126"/>
      </w:tblGrid>
      <w:tr w:rsidR="00644B5F" w:rsidRPr="00BC31E0" w14:paraId="3A7AB5C3" w14:textId="77777777" w:rsidTr="004736F2">
        <w:tc>
          <w:tcPr>
            <w:tcW w:w="6946" w:type="dxa"/>
            <w:vAlign w:val="center"/>
          </w:tcPr>
          <w:p w14:paraId="33645EC0" w14:textId="77777777" w:rsidR="00644B5F" w:rsidRPr="00BC31E0" w:rsidRDefault="00644B5F" w:rsidP="00644B5F">
            <w:pPr>
              <w:jc w:val="center"/>
              <w:rPr>
                <w:rFonts w:asciiTheme="minorHAnsi" w:eastAsiaTheme="minorEastAsia" w:hAnsiTheme="minorHAnsi"/>
              </w:rPr>
            </w:pPr>
            <w:r w:rsidRPr="00BC31E0">
              <w:rPr>
                <w:rFonts w:asciiTheme="minorHAnsi" w:eastAsiaTheme="minorEastAsia" w:hAnsiTheme="minorEastAsia"/>
              </w:rPr>
              <w:t>要求事項</w:t>
            </w:r>
          </w:p>
        </w:tc>
        <w:tc>
          <w:tcPr>
            <w:tcW w:w="2126" w:type="dxa"/>
            <w:vAlign w:val="center"/>
          </w:tcPr>
          <w:p w14:paraId="2C93BB07" w14:textId="77777777" w:rsidR="00644B5F" w:rsidRPr="00BC31E0" w:rsidRDefault="00644B5F" w:rsidP="00644B5F">
            <w:pPr>
              <w:jc w:val="center"/>
              <w:rPr>
                <w:rFonts w:asciiTheme="minorHAnsi" w:eastAsiaTheme="minorEastAsia" w:hAnsiTheme="minorHAnsi"/>
              </w:rPr>
            </w:pPr>
            <w:r w:rsidRPr="00BC31E0">
              <w:rPr>
                <w:rFonts w:asciiTheme="minorHAnsi" w:eastAsiaTheme="minorEastAsia" w:hAnsiTheme="minorEastAsia"/>
              </w:rPr>
              <w:t>保持温度と保持時間</w:t>
            </w:r>
          </w:p>
        </w:tc>
      </w:tr>
      <w:tr w:rsidR="00644B5F" w:rsidRPr="00BC31E0" w14:paraId="65F49ED3" w14:textId="77777777" w:rsidTr="004736F2">
        <w:tc>
          <w:tcPr>
            <w:tcW w:w="6946" w:type="dxa"/>
          </w:tcPr>
          <w:p w14:paraId="109BD8DA" w14:textId="77777777" w:rsidR="00644B5F" w:rsidRPr="00BC31E0" w:rsidRDefault="00644B5F" w:rsidP="00736130">
            <w:pPr>
              <w:numPr>
                <w:ilvl w:val="0"/>
                <w:numId w:val="182"/>
              </w:numPr>
              <w:ind w:left="340" w:hanging="340"/>
              <w:rPr>
                <w:rFonts w:asciiTheme="minorHAnsi" w:eastAsiaTheme="minorEastAsia" w:hAnsiTheme="minorEastAsia"/>
              </w:rPr>
            </w:pPr>
            <w:r w:rsidRPr="00BC31E0">
              <w:rPr>
                <w:rFonts w:asciiTheme="minorHAnsi" w:eastAsiaTheme="minorEastAsia" w:hAnsiTheme="minorEastAsia"/>
              </w:rPr>
              <w:t>炭素含有量が</w:t>
            </w:r>
            <w:r w:rsidRPr="00BC31E0">
              <w:rPr>
                <w:rFonts w:ascii="Cambria Math" w:eastAsiaTheme="minorEastAsia" w:hAnsi="Cambria Math"/>
              </w:rPr>
              <w:t>0.08</w:t>
            </w:r>
            <w:r w:rsidRPr="00BC31E0">
              <w:rPr>
                <w:rFonts w:ascii="Cambria Math" w:eastAsiaTheme="minorEastAsia" w:hAnsi="Cambria Math" w:hint="eastAsia"/>
              </w:rPr>
              <w:t xml:space="preserve"> </w:t>
            </w:r>
            <w:r w:rsidRPr="00BC31E0">
              <w:rPr>
                <w:rFonts w:ascii="Cambria Math" w:eastAsiaTheme="minorEastAsia" w:hAnsi="Cambria Math"/>
              </w:rPr>
              <w:t>%</w:t>
            </w:r>
            <w:r w:rsidRPr="00BC31E0">
              <w:rPr>
                <w:rFonts w:asciiTheme="minorHAnsi" w:eastAsiaTheme="minorEastAsia" w:hAnsiTheme="minorEastAsia"/>
              </w:rPr>
              <w:t>以下で，オーステナイト系</w:t>
            </w:r>
            <w:r w:rsidRPr="00BC31E0">
              <w:rPr>
                <w:rFonts w:asciiTheme="minorHAnsi" w:eastAsiaTheme="minorEastAsia" w:hAnsiTheme="minorHAnsi"/>
              </w:rPr>
              <w:t>Cr</w:t>
            </w:r>
            <w:r w:rsidRPr="00BC31E0">
              <w:rPr>
                <w:rFonts w:asciiTheme="minorEastAsia" w:eastAsiaTheme="minorEastAsia" w:hAnsiTheme="minorEastAsia"/>
              </w:rPr>
              <w:t>-</w:t>
            </w:r>
            <w:r w:rsidRPr="00BC31E0">
              <w:rPr>
                <w:rFonts w:asciiTheme="minorHAnsi" w:eastAsiaTheme="minorEastAsia" w:hAnsiTheme="minorHAnsi"/>
              </w:rPr>
              <w:t>Ni</w:t>
            </w:r>
            <w:r w:rsidRPr="00BC31E0">
              <w:rPr>
                <w:rFonts w:asciiTheme="minorHAnsi" w:eastAsiaTheme="minorEastAsia" w:hAnsiTheme="minorEastAsia"/>
              </w:rPr>
              <w:t>溶着金属又は非空気硬化</w:t>
            </w:r>
            <w:r w:rsidRPr="00BC31E0">
              <w:rPr>
                <w:rFonts w:asciiTheme="minorHAnsi" w:eastAsiaTheme="minorEastAsia" w:hAnsiTheme="minorHAnsi"/>
              </w:rPr>
              <w:t>Ni</w:t>
            </w:r>
            <w:r w:rsidRPr="00BC31E0">
              <w:rPr>
                <w:rFonts w:asciiTheme="minorEastAsia" w:eastAsiaTheme="minorEastAsia" w:hAnsiTheme="minorEastAsia"/>
              </w:rPr>
              <w:t>-</w:t>
            </w:r>
            <w:r w:rsidRPr="00BC31E0">
              <w:rPr>
                <w:rFonts w:asciiTheme="minorHAnsi" w:eastAsiaTheme="minorEastAsia" w:hAnsiTheme="minorHAnsi"/>
              </w:rPr>
              <w:t>Cr</w:t>
            </w:r>
            <w:r w:rsidRPr="00BC31E0">
              <w:rPr>
                <w:rFonts w:asciiTheme="minorEastAsia" w:eastAsiaTheme="minorEastAsia" w:hAnsiTheme="minorEastAsia"/>
              </w:rPr>
              <w:t>-</w:t>
            </w:r>
            <w:r w:rsidRPr="00BC31E0">
              <w:rPr>
                <w:rFonts w:asciiTheme="minorHAnsi" w:eastAsiaTheme="minorEastAsia" w:hAnsiTheme="minorHAnsi"/>
              </w:rPr>
              <w:t>Fe</w:t>
            </w:r>
            <w:r w:rsidRPr="00BC31E0">
              <w:rPr>
                <w:rFonts w:asciiTheme="minorHAnsi" w:eastAsiaTheme="minorEastAsia" w:hAnsiTheme="minorEastAsia"/>
              </w:rPr>
              <w:t>溶着金属を生成する</w:t>
            </w:r>
            <w:r w:rsidRPr="00BC31E0">
              <w:rPr>
                <w:rFonts w:hint="eastAsia"/>
              </w:rPr>
              <w:t>溶接材料</w:t>
            </w:r>
            <w:r w:rsidRPr="00BC31E0">
              <w:rPr>
                <w:rFonts w:asciiTheme="minorHAnsi" w:eastAsiaTheme="minorEastAsia" w:hAnsiTheme="minorEastAsia"/>
              </w:rPr>
              <w:t>で溶接された</w:t>
            </w:r>
            <w:r w:rsidRPr="00BC31E0">
              <w:rPr>
                <w:rFonts w:asciiTheme="minorHAnsi" w:eastAsiaTheme="minorEastAsia" w:hAnsiTheme="minorEastAsia" w:hint="eastAsia"/>
              </w:rPr>
              <w:t>SUS</w:t>
            </w:r>
            <w:r w:rsidRPr="00BC31E0">
              <w:rPr>
                <w:rFonts w:asciiTheme="minorHAnsi" w:eastAsiaTheme="minorEastAsia" w:hAnsiTheme="minorHAnsi"/>
              </w:rPr>
              <w:t xml:space="preserve"> 410</w:t>
            </w:r>
            <w:r w:rsidRPr="00BC31E0">
              <w:rPr>
                <w:rFonts w:asciiTheme="minorHAnsi" w:eastAsiaTheme="minorEastAsia" w:hAnsiTheme="minorEastAsia"/>
              </w:rPr>
              <w:t>の容器は，公称厚さ</w:t>
            </w:r>
            <w:r w:rsidRPr="00BC31E0">
              <w:rPr>
                <w:rFonts w:asciiTheme="minorHAnsi" w:eastAsiaTheme="minorEastAsia" w:hAnsiTheme="minorEastAsia" w:hint="eastAsia"/>
              </w:rPr>
              <w:t>が</w:t>
            </w:r>
            <w:r w:rsidRPr="00BC31E0">
              <w:rPr>
                <w:rFonts w:ascii="Cambria Math" w:eastAsiaTheme="minorEastAsia" w:hAnsi="Cambria Math"/>
              </w:rPr>
              <w:t>10 mm</w:t>
            </w:r>
            <w:r w:rsidRPr="00BC31E0">
              <w:rPr>
                <w:rFonts w:asciiTheme="minorHAnsi" w:eastAsiaTheme="minorEastAsia" w:hAnsiTheme="minorEastAsia"/>
              </w:rPr>
              <w:t>以下</w:t>
            </w:r>
            <w:r w:rsidRPr="00BC31E0">
              <w:rPr>
                <w:rFonts w:asciiTheme="minorHAnsi" w:eastAsiaTheme="minorEastAsia" w:hAnsiTheme="minorEastAsia" w:hint="eastAsia"/>
              </w:rPr>
              <w:t>の場合及び</w:t>
            </w:r>
            <w:r w:rsidRPr="00BC31E0">
              <w:rPr>
                <w:rFonts w:asciiTheme="minorHAnsi" w:eastAsiaTheme="minorEastAsia" w:hAnsiTheme="minorEastAsia"/>
              </w:rPr>
              <w:t>公称厚さ</w:t>
            </w:r>
            <w:r w:rsidRPr="00BC31E0">
              <w:rPr>
                <w:rFonts w:ascii="Cambria Math" w:eastAsiaTheme="minorEastAsia" w:hAnsi="Cambria Math"/>
              </w:rPr>
              <w:t>10 mm</w:t>
            </w:r>
            <w:r w:rsidRPr="00BC31E0">
              <w:rPr>
                <w:rFonts w:asciiTheme="minorHAnsi" w:eastAsiaTheme="minorEastAsia" w:hAnsiTheme="minorEastAsia"/>
              </w:rPr>
              <w:t>～</w:t>
            </w:r>
            <w:r w:rsidRPr="00BC31E0">
              <w:rPr>
                <w:rFonts w:ascii="Cambria Math" w:eastAsiaTheme="minorEastAsia" w:hAnsi="Cambria Math"/>
              </w:rPr>
              <w:t>38 mm</w:t>
            </w:r>
            <w:r w:rsidRPr="00BC31E0">
              <w:rPr>
                <w:rFonts w:asciiTheme="minorHAnsi" w:eastAsiaTheme="minorEastAsia" w:hAnsiTheme="minorHAnsi" w:hint="eastAsia"/>
              </w:rPr>
              <w:t>では</w:t>
            </w:r>
            <w:r w:rsidRPr="00BC31E0">
              <w:rPr>
                <w:rFonts w:asciiTheme="minorHAnsi" w:eastAsiaTheme="minorEastAsia" w:hAnsiTheme="minorEastAsia"/>
              </w:rPr>
              <w:t>溶接中に</w:t>
            </w:r>
            <w:r w:rsidRPr="00BC31E0">
              <w:rPr>
                <w:rFonts w:ascii="Cambria Math" w:eastAsiaTheme="minorEastAsia" w:hAnsi="Cambria Math"/>
              </w:rPr>
              <w:t>230</w:t>
            </w:r>
            <w:r w:rsidRPr="00BC31E0">
              <w:rPr>
                <w:rFonts w:asciiTheme="minorHAnsi" w:hAnsiTheme="minorHAnsi"/>
              </w:rPr>
              <w:t>°C</w:t>
            </w:r>
            <w:r w:rsidRPr="00BC31E0">
              <w:rPr>
                <w:rFonts w:asciiTheme="minorHAnsi" w:eastAsiaTheme="minorEastAsia" w:hAnsiTheme="minorEastAsia"/>
              </w:rPr>
              <w:t>の温度が</w:t>
            </w:r>
            <w:r w:rsidRPr="00BC31E0">
              <w:rPr>
                <w:rFonts w:asciiTheme="minorHAnsi" w:eastAsiaTheme="minorEastAsia" w:hAnsiTheme="minorEastAsia" w:hint="eastAsia"/>
              </w:rPr>
              <w:t>保持</w:t>
            </w:r>
            <w:r w:rsidRPr="00BC31E0">
              <w:rPr>
                <w:rFonts w:asciiTheme="minorHAnsi" w:eastAsiaTheme="minorEastAsia" w:hAnsiTheme="minorEastAsia"/>
              </w:rPr>
              <w:t>され</w:t>
            </w:r>
            <w:r w:rsidRPr="00BC31E0">
              <w:rPr>
                <w:rFonts w:ascii="Cambria Math" w:eastAsiaTheme="minorEastAsia" w:hAnsi="Cambria Math"/>
              </w:rPr>
              <w:t>100</w:t>
            </w:r>
            <w:r w:rsidRPr="00BC31E0">
              <w:rPr>
                <w:rFonts w:ascii="Cambria Math" w:eastAsiaTheme="minorEastAsia" w:hAnsi="Cambria Math" w:hint="eastAsia"/>
              </w:rPr>
              <w:t xml:space="preserve"> </w:t>
            </w:r>
            <w:r w:rsidRPr="00BC31E0">
              <w:rPr>
                <w:rFonts w:ascii="Cambria Math" w:eastAsiaTheme="minorEastAsia" w:hAnsi="Cambria Math"/>
              </w:rPr>
              <w:t>%</w:t>
            </w:r>
            <w:r w:rsidRPr="00BC31E0">
              <w:rPr>
                <w:rFonts w:asciiTheme="minorHAnsi" w:eastAsiaTheme="minorEastAsia" w:hAnsiTheme="minorEastAsia"/>
              </w:rPr>
              <w:t>放射線透過試験</w:t>
            </w:r>
            <w:r w:rsidRPr="00BC31E0">
              <w:rPr>
                <w:rFonts w:asciiTheme="minorHAnsi" w:eastAsiaTheme="minorEastAsia" w:hAnsiTheme="minorEastAsia" w:hint="eastAsia"/>
              </w:rPr>
              <w:t>を行うならば，</w:t>
            </w:r>
            <w:r w:rsidRPr="00BC31E0">
              <w:rPr>
                <w:rFonts w:asciiTheme="minorHAnsi" w:eastAsiaTheme="minorEastAsia" w:hAnsiTheme="minorEastAsia"/>
              </w:rPr>
              <w:t>溶接後熱処理の必要はない。</w:t>
            </w:r>
          </w:p>
          <w:p w14:paraId="45DAE2F6" w14:textId="77777777" w:rsidR="00644B5F" w:rsidRPr="00BC31E0" w:rsidRDefault="00644B5F" w:rsidP="00736130">
            <w:pPr>
              <w:numPr>
                <w:ilvl w:val="0"/>
                <w:numId w:val="182"/>
              </w:numPr>
              <w:ind w:left="340" w:hanging="340"/>
              <w:rPr>
                <w:rFonts w:asciiTheme="minorHAnsi" w:eastAsiaTheme="minorEastAsia" w:hAnsiTheme="minorEastAsia"/>
              </w:rPr>
            </w:pPr>
            <w:r w:rsidRPr="00BC31E0">
              <w:rPr>
                <w:rFonts w:asciiTheme="minorHAnsi" w:eastAsiaTheme="minorEastAsia" w:hAnsiTheme="minorEastAsia"/>
              </w:rPr>
              <w:t>溶接後熱処理の保持</w:t>
            </w:r>
            <w:r w:rsidRPr="00BC31E0">
              <w:rPr>
                <w:rFonts w:asciiTheme="minorHAnsi" w:eastAsiaTheme="minorEastAsia" w:hAnsiTheme="minorEastAsia" w:hint="eastAsia"/>
              </w:rPr>
              <w:t>期間</w:t>
            </w:r>
            <w:r w:rsidRPr="00BC31E0">
              <w:rPr>
                <w:rFonts w:asciiTheme="minorHAnsi" w:eastAsiaTheme="minorEastAsia" w:hAnsiTheme="minorEastAsia"/>
              </w:rPr>
              <w:t>中に，容器</w:t>
            </w:r>
            <w:r w:rsidRPr="00BC31E0">
              <w:rPr>
                <w:rFonts w:asciiTheme="minorHAnsi" w:eastAsiaTheme="minorEastAsia" w:hAnsiTheme="minorEastAsia" w:hint="eastAsia"/>
              </w:rPr>
              <w:t>部材の</w:t>
            </w:r>
            <w:r w:rsidRPr="00BC31E0">
              <w:rPr>
                <w:rFonts w:asciiTheme="minorHAnsi" w:eastAsiaTheme="minorEastAsia" w:hAnsiTheme="minorEastAsia"/>
              </w:rPr>
              <w:t>最大</w:t>
            </w:r>
            <w:r w:rsidRPr="00BC31E0">
              <w:rPr>
                <w:rFonts w:asciiTheme="minorHAnsi" w:eastAsiaTheme="minorEastAsia" w:hAnsiTheme="minorEastAsia" w:hint="eastAsia"/>
              </w:rPr>
              <w:t>保持</w:t>
            </w:r>
            <w:r w:rsidRPr="00BC31E0">
              <w:rPr>
                <w:rFonts w:asciiTheme="minorHAnsi" w:eastAsiaTheme="minorEastAsia" w:hAnsiTheme="minorEastAsia"/>
              </w:rPr>
              <w:t>時間</w:t>
            </w:r>
            <w:r w:rsidRPr="00BC31E0">
              <w:rPr>
                <w:rFonts w:asciiTheme="minorHAnsi" w:eastAsiaTheme="minorEastAsia" w:hAnsiTheme="minorEastAsia" w:hint="eastAsia"/>
              </w:rPr>
              <w:t>又は</w:t>
            </w:r>
            <w:r w:rsidRPr="00BC31E0">
              <w:rPr>
                <w:rFonts w:asciiTheme="minorHAnsi" w:eastAsiaTheme="minorEastAsia" w:hAnsiTheme="minorEastAsia"/>
              </w:rPr>
              <w:t>温度</w:t>
            </w:r>
            <w:r w:rsidRPr="00BC31E0">
              <w:rPr>
                <w:rFonts w:asciiTheme="minorHAnsi" w:eastAsiaTheme="minorEastAsia" w:hAnsiTheme="minorEastAsia" w:hint="eastAsia"/>
              </w:rPr>
              <w:t>が</w:t>
            </w:r>
            <w:r w:rsidRPr="00BC31E0">
              <w:rPr>
                <w:rFonts w:asciiTheme="majorEastAsia" w:eastAsiaTheme="majorEastAsia" w:hAnsiTheme="majorEastAsia" w:hint="eastAsia"/>
                <w:b/>
              </w:rPr>
              <w:t>10.1.2 c)</w:t>
            </w:r>
            <w:r w:rsidRPr="00BC31E0">
              <w:rPr>
                <w:rFonts w:asciiTheme="minorEastAsia" w:eastAsiaTheme="minorEastAsia" w:hAnsiTheme="minorEastAsia" w:hint="eastAsia"/>
              </w:rPr>
              <w:t>の</w:t>
            </w:r>
            <w:r w:rsidRPr="00BC31E0">
              <w:rPr>
                <w:rFonts w:asciiTheme="minorHAnsi" w:eastAsiaTheme="minorEastAsia" w:hAnsiTheme="minorEastAsia" w:hint="eastAsia"/>
              </w:rPr>
              <w:t>規定</w:t>
            </w:r>
            <w:r w:rsidRPr="00BC31E0">
              <w:rPr>
                <w:rFonts w:asciiTheme="minorHAnsi" w:eastAsiaTheme="minorEastAsia" w:hAnsiTheme="minorEastAsia"/>
              </w:rPr>
              <w:t>を超え</w:t>
            </w:r>
            <w:r w:rsidRPr="00BC31E0">
              <w:rPr>
                <w:rFonts w:asciiTheme="minorHAnsi" w:eastAsiaTheme="minorEastAsia" w:hAnsiTheme="minorEastAsia" w:hint="eastAsia"/>
              </w:rPr>
              <w:t>る</w:t>
            </w:r>
            <w:r w:rsidRPr="00BC31E0">
              <w:rPr>
                <w:rFonts w:asciiTheme="minorHAnsi" w:eastAsiaTheme="minorEastAsia" w:hAnsiTheme="minorEastAsia"/>
              </w:rPr>
              <w:t>場合には，追加</w:t>
            </w:r>
            <w:r w:rsidRPr="00BC31E0">
              <w:rPr>
                <w:rFonts w:asciiTheme="minorHAnsi" w:eastAsiaTheme="minorEastAsia" w:hAnsiTheme="minorEastAsia" w:hint="eastAsia"/>
              </w:rPr>
              <w:t>の</w:t>
            </w:r>
            <w:r w:rsidRPr="00BC31E0">
              <w:rPr>
                <w:rFonts w:asciiTheme="minorHAnsi" w:eastAsiaTheme="minorEastAsia" w:hAnsiTheme="minorEastAsia"/>
              </w:rPr>
              <w:t>試験材を作製して試験しなければならない。</w:t>
            </w:r>
          </w:p>
        </w:tc>
        <w:tc>
          <w:tcPr>
            <w:tcW w:w="2126" w:type="dxa"/>
          </w:tcPr>
          <w:p w14:paraId="7941C0F2" w14:textId="77777777" w:rsidR="00644B5F" w:rsidRPr="00BC31E0" w:rsidRDefault="00A51873" w:rsidP="00644B5F">
            <w:pPr>
              <w:rPr>
                <w:rFonts w:asciiTheme="minorHAnsi" w:eastAsiaTheme="minorEastAsia" w:hAnsiTheme="minorHAnsi"/>
              </w:rPr>
            </w:pPr>
            <m:oMath>
              <m:sSub>
                <m:sSubPr>
                  <m:ctrlPr>
                    <w:rPr>
                      <w:rFonts w:ascii="Cambria Math" w:eastAsiaTheme="minorEastAsia" w:hAnsi="Cambria Math"/>
                    </w:rPr>
                  </m:ctrlPr>
                </m:sSubPr>
                <m:e>
                  <m:r>
                    <w:rPr>
                      <w:rFonts w:ascii="Cambria Math" w:eastAsiaTheme="minorEastAsia" w:hAnsi="Cambria Math"/>
                    </w:rPr>
                    <m:t>t</m:t>
                  </m:r>
                </m:e>
                <m:sub>
                  <m:r>
                    <w:rPr>
                      <w:rFonts w:ascii="Cambria Math" w:eastAsiaTheme="minorEastAsia" w:hAnsi="Cambria Math"/>
                    </w:rPr>
                    <m:t>n</m:t>
                  </m:r>
                </m:sub>
              </m:sSub>
              <m:r>
                <w:rPr>
                  <w:rFonts w:ascii="Cambria Math" w:eastAsiaTheme="minorEastAsia" w:hAnsi="Cambria Math"/>
                </w:rPr>
                <m:t xml:space="preserve">≦50 </m:t>
              </m:r>
            </m:oMath>
            <w:r w:rsidR="00644B5F" w:rsidRPr="00BC31E0">
              <w:rPr>
                <w:rFonts w:ascii="Cambria Math" w:eastAsiaTheme="minorEastAsia" w:hAnsi="Cambria Math"/>
              </w:rPr>
              <w:t>mm</w:t>
            </w:r>
          </w:p>
          <w:p w14:paraId="6A93EBFD" w14:textId="77777777" w:rsidR="00644B5F" w:rsidRPr="00BC31E0" w:rsidRDefault="00644B5F" w:rsidP="00644B5F">
            <w:pPr>
              <w:ind w:left="170"/>
              <w:rPr>
                <w:rFonts w:ascii="Cambria Math" w:eastAsiaTheme="minorEastAsia" w:hAnsi="Cambria Math"/>
              </w:rPr>
            </w:pPr>
            <w:r w:rsidRPr="00BC31E0">
              <w:rPr>
                <w:rFonts w:ascii="Cambria Math" w:eastAsiaTheme="minorEastAsia" w:hAnsi="Cambria Math"/>
              </w:rPr>
              <w:t>760</w:t>
            </w:r>
            <w:r w:rsidRPr="00BC31E0">
              <w:rPr>
                <w:rFonts w:asciiTheme="minorHAnsi" w:hAnsiTheme="minorHAnsi"/>
              </w:rPr>
              <w:t>°C</w:t>
            </w:r>
          </w:p>
          <w:tbl>
            <w:tblPr>
              <w:tblStyle w:val="100"/>
              <w:tblW w:w="0" w:type="auto"/>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0"/>
            </w:tblGrid>
            <w:tr w:rsidR="00644B5F" w:rsidRPr="00BC31E0" w14:paraId="3EE99D82" w14:textId="77777777" w:rsidTr="004736F2">
              <w:tc>
                <w:tcPr>
                  <w:tcW w:w="0" w:type="auto"/>
                  <w:vAlign w:val="center"/>
                </w:tcPr>
                <w:p w14:paraId="47D12E4A" w14:textId="77777777" w:rsidR="00644B5F" w:rsidRPr="00BC31E0" w:rsidRDefault="00A51873" w:rsidP="00644B5F">
                  <w:pPr>
                    <w:rPr>
                      <w:rFonts w:asciiTheme="minorHAnsi" w:eastAsiaTheme="minorEastAsia" w:hAnsiTheme="minorEastAsia"/>
                    </w:rPr>
                  </w:pPr>
                  <m:oMathPara>
                    <m:oMathParaPr>
                      <m:jc m:val="left"/>
                    </m:oMathParaPr>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n</m:t>
                              </m:r>
                            </m:sub>
                          </m:sSub>
                        </m:num>
                        <m:den>
                          <m:r>
                            <w:rPr>
                              <w:rFonts w:ascii="Cambria Math" w:eastAsiaTheme="minorEastAsia" w:hAnsi="Cambria Math"/>
                            </w:rPr>
                            <m:t>25</m:t>
                          </m:r>
                        </m:den>
                      </m:f>
                      <m:r>
                        <w:rPr>
                          <w:rFonts w:ascii="Cambria Math" w:eastAsiaTheme="minorEastAsia" w:hAnsi="Cambria Math"/>
                        </w:rPr>
                        <m:t xml:space="preserve"> </m:t>
                      </m:r>
                      <m:r>
                        <m:rPr>
                          <m:sty m:val="p"/>
                        </m:rPr>
                        <w:rPr>
                          <w:rFonts w:ascii="Cambria Math" w:eastAsiaTheme="minorEastAsia" w:hAnsi="Cambria Math"/>
                        </w:rPr>
                        <m:t>h</m:t>
                      </m:r>
                    </m:oMath>
                  </m:oMathPara>
                </w:p>
              </w:tc>
            </w:tr>
          </w:tbl>
          <w:p w14:paraId="234C48CA" w14:textId="77777777" w:rsidR="00644B5F" w:rsidRPr="00BC31E0" w:rsidRDefault="00644B5F" w:rsidP="00644B5F">
            <w:pPr>
              <w:ind w:left="170"/>
              <w:rPr>
                <w:rFonts w:ascii="Cambria Math" w:eastAsiaTheme="minorEastAsia" w:hAnsi="Cambria Math"/>
              </w:rPr>
            </w:pPr>
            <w:r w:rsidRPr="00BC31E0">
              <w:rPr>
                <w:rFonts w:asciiTheme="minorHAnsi" w:eastAsiaTheme="minorEastAsia" w:hAnsiTheme="minorEastAsia"/>
              </w:rPr>
              <w:t>最小</w:t>
            </w:r>
            <w:r w:rsidRPr="00BC31E0">
              <w:rPr>
                <w:rFonts w:ascii="Cambria Math" w:eastAsiaTheme="minorEastAsia" w:hAnsi="Cambria Math"/>
              </w:rPr>
              <w:t>1 h</w:t>
            </w:r>
          </w:p>
          <w:p w14:paraId="40912894" w14:textId="77777777" w:rsidR="00644B5F" w:rsidRPr="00BC31E0" w:rsidRDefault="00644B5F" w:rsidP="00644B5F">
            <w:pPr>
              <w:rPr>
                <w:rFonts w:asciiTheme="minorHAnsi" w:eastAsiaTheme="minorEastAsia" w:hAnsiTheme="minorHAnsi"/>
              </w:rPr>
            </w:pPr>
          </w:p>
          <w:p w14:paraId="1BCE7C47" w14:textId="77777777" w:rsidR="00644B5F" w:rsidRPr="00BC31E0" w:rsidRDefault="00A51873" w:rsidP="00644B5F">
            <w:pPr>
              <w:rPr>
                <w:rFonts w:asciiTheme="minorHAnsi" w:eastAsiaTheme="minorEastAsia" w:hAnsiTheme="minorHAnsi"/>
              </w:rPr>
            </w:pPr>
            <m:oMath>
              <m:sSub>
                <m:sSubPr>
                  <m:ctrlPr>
                    <w:rPr>
                      <w:rFonts w:ascii="Cambria Math" w:eastAsiaTheme="minorEastAsia" w:hAnsi="Cambria Math"/>
                    </w:rPr>
                  </m:ctrlPr>
                </m:sSubPr>
                <m:e>
                  <m:r>
                    <w:rPr>
                      <w:rFonts w:ascii="Cambria Math" w:eastAsiaTheme="minorEastAsia" w:hAnsi="Cambria Math"/>
                    </w:rPr>
                    <m:t>50&lt;t</m:t>
                  </m:r>
                </m:e>
                <m:sub>
                  <m:r>
                    <w:rPr>
                      <w:rFonts w:ascii="Cambria Math" w:eastAsiaTheme="minorEastAsia" w:hAnsi="Cambria Math"/>
                    </w:rPr>
                    <m:t>n</m:t>
                  </m:r>
                </m:sub>
              </m:sSub>
              <m:r>
                <w:rPr>
                  <w:rFonts w:ascii="Cambria Math" w:eastAsiaTheme="minorEastAsia" w:hAnsi="Cambria Math"/>
                </w:rPr>
                <m:t xml:space="preserve">≦125 </m:t>
              </m:r>
            </m:oMath>
            <w:r w:rsidR="00644B5F" w:rsidRPr="00BC31E0">
              <w:rPr>
                <w:rFonts w:ascii="Cambria Math" w:eastAsiaTheme="minorEastAsia" w:hAnsi="Cambria Math"/>
              </w:rPr>
              <w:t>mm</w:t>
            </w:r>
          </w:p>
          <w:p w14:paraId="5B826058" w14:textId="77777777" w:rsidR="00644B5F" w:rsidRPr="00BC31E0" w:rsidRDefault="00644B5F" w:rsidP="00644B5F">
            <w:pPr>
              <w:ind w:left="170"/>
              <w:rPr>
                <w:rFonts w:ascii="Cambria Math" w:eastAsiaTheme="minorEastAsia" w:hAnsi="Cambria Math"/>
              </w:rPr>
            </w:pPr>
            <w:r w:rsidRPr="00BC31E0">
              <w:rPr>
                <w:rFonts w:ascii="Cambria Math" w:eastAsiaTheme="minorEastAsia" w:hAnsi="Cambria Math"/>
              </w:rPr>
              <w:t>760</w:t>
            </w:r>
            <w:r w:rsidRPr="00BC31E0">
              <w:rPr>
                <w:rFonts w:asciiTheme="minorHAnsi" w:hAnsiTheme="minorHAnsi"/>
              </w:rPr>
              <w:t>°C</w:t>
            </w:r>
          </w:p>
          <w:tbl>
            <w:tblPr>
              <w:tblStyle w:val="100"/>
              <w:tblW w:w="0" w:type="auto"/>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35"/>
            </w:tblGrid>
            <w:tr w:rsidR="00644B5F" w:rsidRPr="00BC31E0" w14:paraId="0F3F4D51" w14:textId="77777777" w:rsidTr="004736F2">
              <w:tc>
                <w:tcPr>
                  <w:tcW w:w="0" w:type="auto"/>
                  <w:vAlign w:val="center"/>
                </w:tcPr>
                <w:p w14:paraId="33B704C8" w14:textId="77777777" w:rsidR="00644B5F" w:rsidRPr="00BC31E0" w:rsidRDefault="00644B5F" w:rsidP="00644B5F">
                  <w:pPr>
                    <w:rPr>
                      <w:rFonts w:ascii="Cambria Math" w:eastAsiaTheme="majorEastAsia" w:hAnsi="Cambria Math"/>
                    </w:rPr>
                  </w:pPr>
                  <m:oMathPara>
                    <m:oMathParaPr>
                      <m:jc m:val="left"/>
                    </m:oMathParaPr>
                    <m:oMath>
                      <m:r>
                        <w:rPr>
                          <w:rFonts w:ascii="Cambria Math" w:eastAsiaTheme="majorEastAsia" w:hAnsi="Cambria Math"/>
                        </w:rPr>
                        <m:t>2+</m:t>
                      </m:r>
                      <m:f>
                        <m:fPr>
                          <m:ctrlPr>
                            <w:rPr>
                              <w:rFonts w:ascii="Cambria Math" w:eastAsiaTheme="majorEastAsia" w:hAnsi="Cambria Math"/>
                              <w:i/>
                            </w:rPr>
                          </m:ctrlPr>
                        </m:fPr>
                        <m:num>
                          <m:sSub>
                            <m:sSubPr>
                              <m:ctrlPr>
                                <w:rPr>
                                  <w:rFonts w:ascii="Cambria Math" w:eastAsiaTheme="majorEastAsia" w:hAnsi="Cambria Math"/>
                                  <w:i/>
                                </w:rPr>
                              </m:ctrlPr>
                            </m:sSubPr>
                            <m:e>
                              <m:r>
                                <w:rPr>
                                  <w:rFonts w:ascii="Cambria Math" w:eastAsiaTheme="majorEastAsia" w:hAnsi="Cambria Math"/>
                                </w:rPr>
                                <m:t>t</m:t>
                              </m:r>
                            </m:e>
                            <m:sub>
                              <m:r>
                                <w:rPr>
                                  <w:rFonts w:ascii="Cambria Math" w:eastAsiaTheme="majorEastAsia" w:hAnsi="Cambria Math"/>
                                </w:rPr>
                                <m:t>n</m:t>
                              </m:r>
                            </m:sub>
                          </m:sSub>
                          <m:r>
                            <w:rPr>
                              <w:rFonts w:ascii="Cambria Math" w:eastAsiaTheme="majorEastAsia" w:hAnsi="Cambria Math"/>
                            </w:rPr>
                            <m:t>-50</m:t>
                          </m:r>
                        </m:num>
                        <m:den>
                          <m:r>
                            <w:rPr>
                              <w:rFonts w:ascii="Cambria Math" w:eastAsiaTheme="majorEastAsia" w:hAnsi="Cambria Math"/>
                            </w:rPr>
                            <m:t>100</m:t>
                          </m:r>
                        </m:den>
                      </m:f>
                      <m:r>
                        <w:rPr>
                          <w:rFonts w:ascii="Cambria Math" w:eastAsiaTheme="majorEastAsia" w:hAnsi="Cambria Math"/>
                        </w:rPr>
                        <m:t xml:space="preserve"> </m:t>
                      </m:r>
                      <m:r>
                        <m:rPr>
                          <m:sty m:val="p"/>
                        </m:rPr>
                        <w:rPr>
                          <w:rFonts w:ascii="Cambria Math" w:eastAsiaTheme="majorEastAsia" w:hAnsi="Cambria Math"/>
                        </w:rPr>
                        <m:t>h</m:t>
                      </m:r>
                    </m:oMath>
                  </m:oMathPara>
                </w:p>
              </w:tc>
            </w:tr>
          </w:tbl>
          <w:p w14:paraId="0A85DC0B" w14:textId="77777777" w:rsidR="00644B5F" w:rsidRPr="00BC31E0" w:rsidRDefault="00644B5F" w:rsidP="00644B5F">
            <w:pPr>
              <w:rPr>
                <w:rFonts w:asciiTheme="minorHAnsi" w:eastAsiaTheme="minorEastAsia" w:hAnsiTheme="minorHAnsi"/>
              </w:rPr>
            </w:pPr>
          </w:p>
          <w:p w14:paraId="4C574DA3" w14:textId="77777777" w:rsidR="00644B5F" w:rsidRPr="00BC31E0" w:rsidRDefault="00A51873" w:rsidP="00644B5F">
            <w:pPr>
              <w:rPr>
                <w:rFonts w:asciiTheme="minorHAnsi" w:eastAsiaTheme="minorEastAsia" w:hAnsiTheme="minorHAnsi"/>
              </w:rPr>
            </w:pPr>
            <m:oMath>
              <m:sSub>
                <m:sSubPr>
                  <m:ctrlPr>
                    <w:rPr>
                      <w:rFonts w:ascii="Cambria Math" w:eastAsiaTheme="minorEastAsia" w:hAnsi="Cambria Math"/>
                    </w:rPr>
                  </m:ctrlPr>
                </m:sSubPr>
                <m:e>
                  <m:r>
                    <w:rPr>
                      <w:rFonts w:ascii="Cambria Math" w:eastAsiaTheme="minorEastAsia" w:hAnsi="Cambria Math"/>
                    </w:rPr>
                    <m:t>t</m:t>
                  </m:r>
                </m:e>
                <m:sub>
                  <m:r>
                    <w:rPr>
                      <w:rFonts w:ascii="Cambria Math" w:eastAsiaTheme="minorEastAsia" w:hAnsi="Cambria Math"/>
                    </w:rPr>
                    <m:t>n</m:t>
                  </m:r>
                </m:sub>
              </m:sSub>
              <m:r>
                <w:rPr>
                  <w:rFonts w:ascii="Cambria Math" w:eastAsiaTheme="minorEastAsia" w:hAnsi="Cambria Math"/>
                </w:rPr>
                <m:t xml:space="preserve">&gt;125 </m:t>
              </m:r>
            </m:oMath>
            <w:r w:rsidR="00644B5F" w:rsidRPr="00BC31E0">
              <w:rPr>
                <w:rFonts w:ascii="Cambria Math" w:eastAsiaTheme="minorEastAsia" w:hAnsi="Cambria Math"/>
              </w:rPr>
              <w:t>mm</w:t>
            </w:r>
          </w:p>
          <w:p w14:paraId="4C4A5688" w14:textId="77777777" w:rsidR="00644B5F" w:rsidRPr="00BC31E0" w:rsidRDefault="00644B5F" w:rsidP="00644B5F">
            <w:pPr>
              <w:ind w:left="170"/>
              <w:rPr>
                <w:rFonts w:ascii="Cambria Math" w:eastAsiaTheme="minorEastAsia" w:hAnsi="Cambria Math"/>
              </w:rPr>
            </w:pPr>
            <w:r w:rsidRPr="00BC31E0">
              <w:rPr>
                <w:rFonts w:ascii="Cambria Math" w:eastAsiaTheme="minorEastAsia" w:hAnsi="Cambria Math"/>
              </w:rPr>
              <w:t>760</w:t>
            </w:r>
            <w:r w:rsidRPr="00BC31E0">
              <w:rPr>
                <w:rFonts w:asciiTheme="minorHAnsi" w:hAnsiTheme="minorHAnsi"/>
              </w:rPr>
              <w:t>°C</w:t>
            </w:r>
          </w:p>
          <w:tbl>
            <w:tblPr>
              <w:tblStyle w:val="100"/>
              <w:tblW w:w="0" w:type="auto"/>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35"/>
            </w:tblGrid>
            <w:tr w:rsidR="00644B5F" w:rsidRPr="00BC31E0" w14:paraId="58614510" w14:textId="77777777" w:rsidTr="004736F2">
              <w:tc>
                <w:tcPr>
                  <w:tcW w:w="0" w:type="auto"/>
                  <w:vAlign w:val="center"/>
                </w:tcPr>
                <w:p w14:paraId="5AE683F5" w14:textId="77777777" w:rsidR="00644B5F" w:rsidRPr="00BC31E0" w:rsidRDefault="00644B5F" w:rsidP="00644B5F">
                  <w:pPr>
                    <w:rPr>
                      <w:rFonts w:ascii="Cambria Math" w:eastAsiaTheme="minorEastAsia" w:hAnsi="Cambria Math"/>
                      <w:i/>
                    </w:rPr>
                  </w:pPr>
                  <m:oMathPara>
                    <m:oMathParaPr>
                      <m:jc m:val="left"/>
                    </m:oMathParaPr>
                    <m:oMath>
                      <m:r>
                        <w:rPr>
                          <w:rFonts w:ascii="Cambria Math" w:eastAsiaTheme="minorEastAsia" w:hAnsi="Cambria Math"/>
                        </w:rPr>
                        <m:t>2+</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n</m:t>
                              </m:r>
                            </m:sub>
                          </m:sSub>
                          <m:r>
                            <w:rPr>
                              <w:rFonts w:ascii="Cambria Math" w:eastAsiaTheme="minorEastAsia" w:hAnsi="Cambria Math"/>
                            </w:rPr>
                            <m:t>-50</m:t>
                          </m:r>
                        </m:num>
                        <m:den>
                          <m:r>
                            <w:rPr>
                              <w:rFonts w:ascii="Cambria Math" w:eastAsiaTheme="minorEastAsia" w:hAnsi="Cambria Math"/>
                            </w:rPr>
                            <m:t>100</m:t>
                          </m:r>
                        </m:den>
                      </m:f>
                      <m:r>
                        <w:rPr>
                          <w:rFonts w:ascii="Cambria Math" w:eastAsiaTheme="minorEastAsia" w:hAnsi="Cambria Math"/>
                        </w:rPr>
                        <m:t xml:space="preserve"> </m:t>
                      </m:r>
                      <m:r>
                        <m:rPr>
                          <m:sty m:val="p"/>
                        </m:rPr>
                        <w:rPr>
                          <w:rFonts w:ascii="Cambria Math" w:eastAsiaTheme="minorEastAsia" w:hAnsi="Cambria Math"/>
                        </w:rPr>
                        <m:t>h</m:t>
                      </m:r>
                    </m:oMath>
                  </m:oMathPara>
                </w:p>
              </w:tc>
            </w:tr>
          </w:tbl>
          <w:p w14:paraId="26A368B5" w14:textId="77777777" w:rsidR="00644B5F" w:rsidRPr="00BC31E0" w:rsidRDefault="00644B5F" w:rsidP="00644B5F">
            <w:pPr>
              <w:ind w:left="170"/>
              <w:rPr>
                <w:rFonts w:ascii="Cambria Math" w:eastAsiaTheme="minorEastAsia" w:hAnsi="Cambria Math"/>
              </w:rPr>
            </w:pPr>
          </w:p>
        </w:tc>
      </w:tr>
    </w:tbl>
    <w:p w14:paraId="747DF1E5" w14:textId="77777777" w:rsidR="00644B5F" w:rsidRPr="00BC31E0" w:rsidRDefault="00644B5F" w:rsidP="00644B5F">
      <w:pPr>
        <w:spacing w:before="60"/>
        <w:rPr>
          <w:rFonts w:asciiTheme="minorHAnsi" w:eastAsiaTheme="minorEastAsia" w:hAnsiTheme="minorHAnsi"/>
        </w:rPr>
      </w:pPr>
      <w:r w:rsidRPr="00BC31E0">
        <w:rPr>
          <w:rFonts w:asciiTheme="majorEastAsia" w:eastAsiaTheme="majorEastAsia" w:hAnsiTheme="majorEastAsia" w:hint="eastAsia"/>
          <w:b/>
        </w:rPr>
        <w:t>注記</w:t>
      </w:r>
      <w:r w:rsidRPr="00BC31E0">
        <w:rPr>
          <w:rFonts w:asciiTheme="minorHAnsi" w:eastAsiaTheme="minorEastAsia" w:hAnsiTheme="minorHAnsi" w:hint="eastAsia"/>
        </w:rPr>
        <w:t xml:space="preserve">　</w:t>
      </w:r>
      <m:oMath>
        <m:sSub>
          <m:sSubPr>
            <m:ctrlPr>
              <w:rPr>
                <w:rFonts w:ascii="Cambria Math" w:eastAsiaTheme="minorEastAsia" w:hAnsi="Cambria Math"/>
              </w:rPr>
            </m:ctrlPr>
          </m:sSubPr>
          <m:e>
            <m:r>
              <w:rPr>
                <w:rFonts w:ascii="Cambria Math" w:eastAsiaTheme="minorEastAsia" w:hAnsi="Cambria Math" w:hint="eastAsia"/>
              </w:rPr>
              <m:t>t</m:t>
            </m:r>
          </m:e>
          <m:sub>
            <m:r>
              <w:rPr>
                <w:rFonts w:ascii="Cambria Math" w:eastAsiaTheme="minorEastAsia" w:hAnsi="Cambria Math"/>
              </w:rPr>
              <m:t>n</m:t>
            </m:r>
          </m:sub>
        </m:sSub>
        <m:r>
          <m:rPr>
            <m:sty m:val="p"/>
          </m:rPr>
          <w:rPr>
            <w:rFonts w:ascii="Cambria Math" w:eastAsiaTheme="minorEastAsia" w:hAnsi="Cambria Math"/>
          </w:rPr>
          <m:t xml:space="preserve"> </m:t>
        </m:r>
      </m:oMath>
      <w:r w:rsidRPr="00BC31E0">
        <w:rPr>
          <w:rFonts w:asciiTheme="minorHAnsi" w:eastAsiaTheme="minorEastAsia" w:hAnsiTheme="minorHAnsi" w:hint="eastAsia"/>
        </w:rPr>
        <w:t>は，</w:t>
      </w:r>
      <w:r w:rsidRPr="00BC31E0">
        <w:rPr>
          <w:rFonts w:asciiTheme="majorEastAsia" w:eastAsiaTheme="majorEastAsia" w:hAnsiTheme="majorEastAsia" w:hint="eastAsia"/>
          <w:b/>
        </w:rPr>
        <w:t>7.4.1 b) 4)</w:t>
      </w:r>
      <w:r w:rsidRPr="00BC31E0">
        <w:rPr>
          <w:rFonts w:asciiTheme="minorHAnsi" w:eastAsiaTheme="minorEastAsia" w:hAnsiTheme="minorHAnsi" w:hint="eastAsia"/>
        </w:rPr>
        <w:t>に規定する公称厚さ</w:t>
      </w:r>
      <w:r w:rsidRPr="00BC31E0">
        <w:rPr>
          <w:rFonts w:asciiTheme="minorHAnsi" w:eastAsiaTheme="minorEastAsia" w:hAnsiTheme="minorHAnsi" w:hint="eastAsia"/>
        </w:rPr>
        <w:t>(</w:t>
      </w:r>
      <w:r w:rsidRPr="00BC31E0">
        <w:rPr>
          <w:rFonts w:ascii="Cambria Math" w:eastAsiaTheme="minorEastAsia" w:hAnsi="Cambria Math"/>
        </w:rPr>
        <w:t>mm</w:t>
      </w:r>
      <w:r w:rsidRPr="00BC31E0">
        <w:rPr>
          <w:rFonts w:asciiTheme="minorHAnsi" w:eastAsiaTheme="minorEastAsia" w:hAnsiTheme="minorHAnsi" w:hint="eastAsia"/>
        </w:rPr>
        <w:t>)</w:t>
      </w:r>
      <w:r w:rsidRPr="00BC31E0">
        <w:rPr>
          <w:rFonts w:asciiTheme="minorHAnsi" w:eastAsiaTheme="minorEastAsia" w:hAnsiTheme="minorHAnsi" w:hint="eastAsia"/>
        </w:rPr>
        <w:t>である。</w:t>
      </w:r>
    </w:p>
    <w:p w14:paraId="1EB5D7F4" w14:textId="77777777" w:rsidR="00644B5F" w:rsidRPr="00BC31E0" w:rsidRDefault="00644B5F" w:rsidP="00644B5F"/>
    <w:p w14:paraId="412A658F" w14:textId="77777777" w:rsidR="00644B5F" w:rsidRPr="00BC31E0" w:rsidRDefault="00644B5F" w:rsidP="00644B5F">
      <w:pPr>
        <w:widowControl/>
        <w:jc w:val="left"/>
      </w:pPr>
      <w:r w:rsidRPr="00BC31E0">
        <w:br w:type="page"/>
      </w:r>
    </w:p>
    <w:p w14:paraId="12870874" w14:textId="77777777" w:rsidR="00644B5F" w:rsidRPr="00BC31E0" w:rsidRDefault="00644B5F" w:rsidP="00644B5F">
      <w:pPr>
        <w:jc w:val="center"/>
        <w:rPr>
          <w:rFonts w:asciiTheme="majorEastAsia" w:eastAsiaTheme="majorEastAsia" w:hAnsiTheme="majorEastAsia"/>
          <w:b/>
        </w:rPr>
      </w:pPr>
      <w:r w:rsidRPr="00BC31E0">
        <w:rPr>
          <w:rFonts w:asciiTheme="majorEastAsia" w:eastAsiaTheme="majorEastAsia" w:hAnsiTheme="majorEastAsia" w:hint="eastAsia"/>
          <w:b/>
        </w:rPr>
        <w:lastRenderedPageBreak/>
        <w:t>表7.4.7</w:t>
      </w:r>
      <w:r w:rsidRPr="00BC31E0">
        <w:rPr>
          <w:rFonts w:asciiTheme="majorEastAsia" w:eastAsiaTheme="majorEastAsia" w:hAnsiTheme="majorEastAsia"/>
          <w:b/>
        </w:rPr>
        <w:t xml:space="preserve">　溶接後熱処理</w:t>
      </w:r>
      <w:r w:rsidRPr="00BC31E0">
        <w:rPr>
          <w:rFonts w:asciiTheme="majorEastAsia" w:eastAsiaTheme="majorEastAsia" w:hAnsiTheme="majorEastAsia" w:hint="eastAsia"/>
          <w:b/>
        </w:rPr>
        <w:t>の温度及び時間</w:t>
      </w:r>
    </w:p>
    <w:p w14:paraId="615BF406" w14:textId="77777777" w:rsidR="00644B5F" w:rsidRPr="00BC31E0" w:rsidRDefault="00644B5F" w:rsidP="00644B5F">
      <w:pPr>
        <w:spacing w:after="60"/>
        <w:jc w:val="center"/>
        <w:rPr>
          <w:rFonts w:asciiTheme="majorEastAsia" w:eastAsiaTheme="majorEastAsia" w:hAnsiTheme="majorEastAsia"/>
          <w:b/>
        </w:rPr>
      </w:pPr>
      <w:r w:rsidRPr="00BC31E0">
        <w:rPr>
          <w:rFonts w:asciiTheme="majorEastAsia" w:eastAsiaTheme="majorEastAsia" w:hAnsiTheme="majorEastAsia"/>
          <w:b/>
        </w:rPr>
        <w:t>(P</w:t>
      </w:r>
      <w:r w:rsidRPr="00BC31E0">
        <w:rPr>
          <w:rFonts w:asciiTheme="majorEastAsia" w:eastAsiaTheme="majorEastAsia" w:hAnsiTheme="majorEastAsia" w:hint="eastAsia"/>
          <w:b/>
        </w:rPr>
        <w:t>番号</w:t>
      </w:r>
      <w:r w:rsidRPr="00BC31E0">
        <w:rPr>
          <w:rFonts w:asciiTheme="majorEastAsia" w:eastAsiaTheme="majorEastAsia" w:hAnsiTheme="majorEastAsia"/>
          <w:b/>
        </w:rPr>
        <w:t>7</w:t>
      </w:r>
      <w:r w:rsidRPr="00BC31E0">
        <w:rPr>
          <w:rFonts w:asciiTheme="majorEastAsia" w:eastAsiaTheme="majorEastAsia" w:hAnsiTheme="majorEastAsia" w:hint="eastAsia"/>
          <w:b/>
        </w:rPr>
        <w:t>グループ番号</w:t>
      </w:r>
      <w:r w:rsidRPr="00BC31E0">
        <w:rPr>
          <w:rFonts w:asciiTheme="majorEastAsia" w:eastAsiaTheme="majorEastAsia" w:hAnsiTheme="majorEastAsia"/>
          <w:b/>
        </w:rPr>
        <w:t>1</w:t>
      </w:r>
      <w:r w:rsidRPr="00BC31E0">
        <w:rPr>
          <w:rFonts w:asciiTheme="majorEastAsia" w:eastAsiaTheme="majorEastAsia" w:hAnsiTheme="majorEastAsia" w:hint="eastAsia"/>
          <w:b/>
        </w:rPr>
        <w:t>及び</w:t>
      </w:r>
      <w:r w:rsidRPr="00BC31E0">
        <w:rPr>
          <w:rFonts w:asciiTheme="majorEastAsia" w:eastAsiaTheme="majorEastAsia" w:hAnsiTheme="majorEastAsia"/>
          <w:b/>
        </w:rPr>
        <w:t>2</w:t>
      </w:r>
      <w:r w:rsidRPr="00BC31E0">
        <w:rPr>
          <w:rFonts w:asciiTheme="majorEastAsia" w:eastAsiaTheme="majorEastAsia" w:hAnsiTheme="majorEastAsia" w:hint="eastAsia"/>
          <w:b/>
        </w:rPr>
        <w:t>の材料</w:t>
      </w:r>
      <w:r w:rsidRPr="00BC31E0">
        <w:rPr>
          <w:rFonts w:asciiTheme="majorEastAsia" w:eastAsiaTheme="majorEastAsia" w:hAnsiTheme="majorEastAsia"/>
          <w:b/>
        </w:rPr>
        <w:t>)</w:t>
      </w:r>
    </w:p>
    <w:tbl>
      <w:tblPr>
        <w:tblStyle w:val="100"/>
        <w:tblW w:w="0" w:type="auto"/>
        <w:tblInd w:w="108" w:type="dxa"/>
        <w:tblLook w:val="04A0" w:firstRow="1" w:lastRow="0" w:firstColumn="1" w:lastColumn="0" w:noHBand="0" w:noVBand="1"/>
      </w:tblPr>
      <w:tblGrid>
        <w:gridCol w:w="6946"/>
        <w:gridCol w:w="2126"/>
      </w:tblGrid>
      <w:tr w:rsidR="00644B5F" w:rsidRPr="00BC31E0" w14:paraId="662E85BB" w14:textId="77777777" w:rsidTr="004736F2">
        <w:tc>
          <w:tcPr>
            <w:tcW w:w="6946" w:type="dxa"/>
            <w:vAlign w:val="center"/>
          </w:tcPr>
          <w:p w14:paraId="1FAD78A0" w14:textId="77777777" w:rsidR="00644B5F" w:rsidRPr="00BC31E0" w:rsidRDefault="00644B5F" w:rsidP="00644B5F">
            <w:pPr>
              <w:jc w:val="center"/>
              <w:rPr>
                <w:rFonts w:asciiTheme="minorHAnsi" w:eastAsiaTheme="minorEastAsia" w:hAnsiTheme="minorHAnsi"/>
              </w:rPr>
            </w:pPr>
            <w:r w:rsidRPr="00BC31E0">
              <w:rPr>
                <w:rFonts w:asciiTheme="minorHAnsi" w:eastAsiaTheme="minorEastAsia" w:hAnsiTheme="minorEastAsia"/>
              </w:rPr>
              <w:t>要求事項</w:t>
            </w:r>
          </w:p>
        </w:tc>
        <w:tc>
          <w:tcPr>
            <w:tcW w:w="2126" w:type="dxa"/>
            <w:vAlign w:val="center"/>
          </w:tcPr>
          <w:p w14:paraId="5CF961EC" w14:textId="77777777" w:rsidR="00644B5F" w:rsidRPr="00BC31E0" w:rsidRDefault="00644B5F" w:rsidP="00644B5F">
            <w:pPr>
              <w:jc w:val="center"/>
              <w:rPr>
                <w:rFonts w:asciiTheme="minorHAnsi" w:eastAsiaTheme="minorEastAsia" w:hAnsiTheme="minorHAnsi"/>
              </w:rPr>
            </w:pPr>
            <w:r w:rsidRPr="00BC31E0">
              <w:rPr>
                <w:rFonts w:asciiTheme="minorHAnsi" w:eastAsiaTheme="minorEastAsia" w:hAnsiTheme="minorEastAsia"/>
              </w:rPr>
              <w:t>保持温度と保持時間</w:t>
            </w:r>
          </w:p>
        </w:tc>
      </w:tr>
      <w:tr w:rsidR="00644B5F" w:rsidRPr="00BC31E0" w14:paraId="6628A513" w14:textId="77777777" w:rsidTr="004736F2">
        <w:tc>
          <w:tcPr>
            <w:tcW w:w="6946" w:type="dxa"/>
          </w:tcPr>
          <w:p w14:paraId="21CD3F76" w14:textId="77777777" w:rsidR="00644B5F" w:rsidRPr="00BC31E0" w:rsidRDefault="00644B5F" w:rsidP="00736130">
            <w:pPr>
              <w:numPr>
                <w:ilvl w:val="0"/>
                <w:numId w:val="183"/>
              </w:numPr>
              <w:ind w:left="340" w:hanging="340"/>
              <w:rPr>
                <w:rFonts w:asciiTheme="minorHAnsi" w:eastAsiaTheme="minorEastAsia" w:hAnsiTheme="minorEastAsia"/>
              </w:rPr>
            </w:pPr>
            <w:r w:rsidRPr="00BC31E0">
              <w:rPr>
                <w:rFonts w:ascii="Cambria Math" w:eastAsiaTheme="minorEastAsia" w:hAnsi="Cambria Math"/>
              </w:rPr>
              <w:t>650</w:t>
            </w:r>
            <w:r w:rsidRPr="00BC31E0">
              <w:rPr>
                <w:rFonts w:asciiTheme="minorHAnsi" w:hAnsiTheme="minorHAnsi"/>
              </w:rPr>
              <w:t>°C</w:t>
            </w:r>
            <w:r w:rsidRPr="00BC31E0">
              <w:rPr>
                <w:rFonts w:asciiTheme="minorHAnsi" w:eastAsiaTheme="minorEastAsia" w:hAnsiTheme="minorEastAsia"/>
              </w:rPr>
              <w:t>を超える温度</w:t>
            </w:r>
            <w:r w:rsidRPr="00BC31E0">
              <w:rPr>
                <w:rFonts w:asciiTheme="minorHAnsi" w:eastAsiaTheme="minorEastAsia" w:hAnsiTheme="minorEastAsia" w:hint="eastAsia"/>
              </w:rPr>
              <w:t>における</w:t>
            </w:r>
            <w:r w:rsidRPr="00BC31E0">
              <w:rPr>
                <w:rFonts w:asciiTheme="minorHAnsi" w:eastAsiaTheme="minorEastAsia" w:hAnsiTheme="minorEastAsia"/>
              </w:rPr>
              <w:t>最大冷却速度は</w:t>
            </w:r>
            <w:r w:rsidRPr="00BC31E0">
              <w:rPr>
                <w:rFonts w:ascii="Cambria Math" w:eastAsiaTheme="minorEastAsia" w:hAnsi="Cambria Math"/>
              </w:rPr>
              <w:t>55</w:t>
            </w:r>
            <w:r w:rsidRPr="00BC31E0">
              <w:rPr>
                <w:rFonts w:asciiTheme="minorHAnsi" w:hAnsiTheme="minorHAnsi"/>
              </w:rPr>
              <w:t>°C</w:t>
            </w:r>
            <w:r w:rsidRPr="00BC31E0">
              <w:rPr>
                <w:rFonts w:ascii="Cambria Math" w:eastAsiaTheme="minorEastAsia" w:hAnsi="Cambria Math"/>
              </w:rPr>
              <w:t>/ h</w:t>
            </w:r>
            <w:r w:rsidRPr="00BC31E0">
              <w:rPr>
                <w:rFonts w:asciiTheme="minorHAnsi" w:eastAsiaTheme="minorEastAsia" w:hAnsiTheme="minorEastAsia"/>
              </w:rPr>
              <w:t>とし，その後</w:t>
            </w:r>
            <w:r w:rsidRPr="00BC31E0">
              <w:rPr>
                <w:rFonts w:asciiTheme="minorHAnsi" w:eastAsiaTheme="minorEastAsia" w:hAnsiTheme="minorEastAsia" w:hint="eastAsia"/>
              </w:rPr>
              <w:t>，脆</w:t>
            </w:r>
            <w:r w:rsidRPr="00BC31E0">
              <w:rPr>
                <w:rFonts w:asciiTheme="minorHAnsi" w:eastAsiaTheme="minorEastAsia" w:hAnsiTheme="minorEastAsia"/>
              </w:rPr>
              <w:t>化を防止するために</w:t>
            </w:r>
            <w:r w:rsidRPr="00BC31E0">
              <w:rPr>
                <w:rFonts w:asciiTheme="minorHAnsi" w:eastAsiaTheme="minorEastAsia" w:hAnsiTheme="minorEastAsia" w:hint="eastAsia"/>
              </w:rPr>
              <w:t>十分に</w:t>
            </w:r>
            <w:r w:rsidRPr="00BC31E0">
              <w:rPr>
                <w:rFonts w:asciiTheme="minorHAnsi" w:eastAsiaTheme="minorEastAsia" w:hAnsiTheme="minorEastAsia"/>
              </w:rPr>
              <w:t>速</w:t>
            </w:r>
            <w:r w:rsidRPr="00BC31E0">
              <w:rPr>
                <w:rFonts w:asciiTheme="minorHAnsi" w:eastAsiaTheme="minorEastAsia" w:hAnsiTheme="minorEastAsia" w:hint="eastAsia"/>
              </w:rPr>
              <w:t>い速度で</w:t>
            </w:r>
            <w:r w:rsidRPr="00BC31E0">
              <w:rPr>
                <w:rFonts w:asciiTheme="minorHAnsi" w:eastAsiaTheme="minorEastAsia" w:hAnsiTheme="minorEastAsia"/>
              </w:rPr>
              <w:t>冷却しなければならない。</w:t>
            </w:r>
          </w:p>
          <w:p w14:paraId="5A085441" w14:textId="77777777" w:rsidR="00644B5F" w:rsidRPr="00BC31E0" w:rsidRDefault="00644B5F" w:rsidP="00644B5F">
            <w:pPr>
              <w:ind w:left="340"/>
              <w:rPr>
                <w:rFonts w:asciiTheme="minorHAnsi" w:eastAsiaTheme="minorEastAsia" w:hAnsiTheme="minorHAnsi"/>
              </w:rPr>
            </w:pPr>
            <w:r w:rsidRPr="00BC31E0">
              <w:rPr>
                <w:rFonts w:asciiTheme="minorHAnsi" w:eastAsiaTheme="minorEastAsia" w:hAnsiTheme="minorEastAsia"/>
              </w:rPr>
              <w:t>炭素含有量が</w:t>
            </w:r>
            <w:r w:rsidRPr="00BC31E0">
              <w:rPr>
                <w:rFonts w:ascii="Cambria Math" w:eastAsiaTheme="minorEastAsia" w:hAnsi="Cambria Math"/>
              </w:rPr>
              <w:t>0.08</w:t>
            </w:r>
            <w:r w:rsidRPr="00BC31E0">
              <w:rPr>
                <w:rFonts w:ascii="Cambria Math" w:eastAsiaTheme="minorEastAsia" w:hAnsi="Cambria Math" w:hint="eastAsia"/>
              </w:rPr>
              <w:t xml:space="preserve"> </w:t>
            </w:r>
            <w:r w:rsidRPr="00BC31E0">
              <w:rPr>
                <w:rFonts w:ascii="Cambria Math" w:eastAsiaTheme="minorEastAsia" w:hAnsi="Cambria Math"/>
              </w:rPr>
              <w:t>%</w:t>
            </w:r>
            <w:r w:rsidRPr="00BC31E0">
              <w:rPr>
                <w:rFonts w:asciiTheme="minorHAnsi" w:eastAsiaTheme="minorEastAsia" w:hAnsiTheme="minorEastAsia"/>
              </w:rPr>
              <w:t>以下で，オーステナイト系</w:t>
            </w:r>
            <w:r w:rsidRPr="00BC31E0">
              <w:rPr>
                <w:rFonts w:asciiTheme="minorHAnsi" w:eastAsiaTheme="minorEastAsia" w:hAnsiTheme="minorHAnsi"/>
              </w:rPr>
              <w:t>Cr</w:t>
            </w:r>
            <w:r w:rsidRPr="00BC31E0">
              <w:rPr>
                <w:rFonts w:asciiTheme="minorEastAsia" w:eastAsiaTheme="minorEastAsia" w:hAnsiTheme="minorEastAsia"/>
              </w:rPr>
              <w:t>-</w:t>
            </w:r>
            <w:r w:rsidRPr="00BC31E0">
              <w:rPr>
                <w:rFonts w:asciiTheme="minorHAnsi" w:eastAsiaTheme="minorEastAsia" w:hAnsiTheme="minorHAnsi"/>
              </w:rPr>
              <w:t>Ni</w:t>
            </w:r>
            <w:r w:rsidRPr="00BC31E0">
              <w:rPr>
                <w:rFonts w:asciiTheme="minorHAnsi" w:eastAsiaTheme="minorEastAsia" w:hAnsiTheme="minorEastAsia"/>
              </w:rPr>
              <w:t>溶着金属又は非空気硬化</w:t>
            </w:r>
            <w:r w:rsidRPr="00BC31E0">
              <w:rPr>
                <w:rFonts w:asciiTheme="minorHAnsi" w:eastAsiaTheme="minorEastAsia" w:hAnsiTheme="minorHAnsi"/>
              </w:rPr>
              <w:t>Ni</w:t>
            </w:r>
            <w:r w:rsidRPr="00BC31E0">
              <w:rPr>
                <w:rFonts w:asciiTheme="minorEastAsia" w:eastAsiaTheme="minorEastAsia" w:hAnsiTheme="minorEastAsia"/>
              </w:rPr>
              <w:t>-</w:t>
            </w:r>
            <w:r w:rsidRPr="00BC31E0">
              <w:rPr>
                <w:rFonts w:asciiTheme="minorHAnsi" w:eastAsiaTheme="minorEastAsia" w:hAnsiTheme="minorHAnsi"/>
              </w:rPr>
              <w:t>Cr</w:t>
            </w:r>
            <w:r w:rsidRPr="00BC31E0">
              <w:rPr>
                <w:rFonts w:asciiTheme="minorEastAsia" w:eastAsiaTheme="minorEastAsia" w:hAnsiTheme="minorEastAsia"/>
              </w:rPr>
              <w:t>-</w:t>
            </w:r>
            <w:r w:rsidRPr="00BC31E0">
              <w:rPr>
                <w:rFonts w:asciiTheme="minorHAnsi" w:eastAsiaTheme="minorEastAsia" w:hAnsiTheme="minorHAnsi"/>
              </w:rPr>
              <w:t>Fe</w:t>
            </w:r>
            <w:r w:rsidRPr="00BC31E0">
              <w:rPr>
                <w:rFonts w:asciiTheme="minorHAnsi" w:eastAsiaTheme="minorEastAsia" w:hAnsiTheme="minorEastAsia"/>
              </w:rPr>
              <w:t>溶着金属を生成する</w:t>
            </w:r>
            <w:r w:rsidRPr="00BC31E0">
              <w:rPr>
                <w:rFonts w:hint="eastAsia"/>
              </w:rPr>
              <w:t>溶接材料</w:t>
            </w:r>
            <w:r w:rsidRPr="00BC31E0">
              <w:rPr>
                <w:rFonts w:asciiTheme="minorHAnsi" w:eastAsiaTheme="minorEastAsia" w:hAnsiTheme="minorEastAsia"/>
              </w:rPr>
              <w:t>で溶接された</w:t>
            </w:r>
            <w:r w:rsidRPr="00BC31E0">
              <w:rPr>
                <w:rFonts w:asciiTheme="minorHAnsi" w:eastAsiaTheme="minorEastAsia" w:hAnsiTheme="minorEastAsia" w:hint="eastAsia"/>
              </w:rPr>
              <w:t>SUS</w:t>
            </w:r>
            <w:r w:rsidRPr="00BC31E0">
              <w:rPr>
                <w:rFonts w:asciiTheme="minorHAnsi" w:eastAsiaTheme="minorEastAsia" w:hAnsiTheme="minorHAnsi"/>
              </w:rPr>
              <w:t xml:space="preserve"> 405</w:t>
            </w:r>
            <w:r w:rsidRPr="00BC31E0">
              <w:rPr>
                <w:rFonts w:asciiTheme="minorHAnsi" w:eastAsiaTheme="minorEastAsia" w:hAnsiTheme="minorHAnsi" w:hint="eastAsia"/>
              </w:rPr>
              <w:t>及び</w:t>
            </w:r>
            <w:r w:rsidRPr="00BC31E0">
              <w:rPr>
                <w:rFonts w:asciiTheme="minorHAnsi" w:eastAsiaTheme="minorEastAsia" w:hAnsiTheme="minorHAnsi" w:hint="eastAsia"/>
              </w:rPr>
              <w:t>SUS</w:t>
            </w:r>
            <w:r w:rsidRPr="00BC31E0">
              <w:rPr>
                <w:rFonts w:asciiTheme="minorHAnsi" w:eastAsiaTheme="minorEastAsia" w:hAnsiTheme="minorHAnsi"/>
              </w:rPr>
              <w:t>410S</w:t>
            </w:r>
            <w:r w:rsidRPr="00BC31E0">
              <w:rPr>
                <w:rFonts w:asciiTheme="minorHAnsi" w:eastAsiaTheme="minorEastAsia" w:hAnsiTheme="minorEastAsia"/>
              </w:rPr>
              <w:t>の容器は，公称厚さ</w:t>
            </w:r>
            <w:r w:rsidRPr="00BC31E0">
              <w:rPr>
                <w:rFonts w:asciiTheme="minorHAnsi" w:eastAsiaTheme="minorEastAsia" w:hAnsiTheme="minorEastAsia" w:hint="eastAsia"/>
              </w:rPr>
              <w:t>が</w:t>
            </w:r>
            <w:r w:rsidRPr="00BC31E0">
              <w:rPr>
                <w:rFonts w:ascii="Cambria Math" w:eastAsiaTheme="minorEastAsia" w:hAnsi="Cambria Math"/>
              </w:rPr>
              <w:t>3 mm</w:t>
            </w:r>
            <w:r w:rsidRPr="00BC31E0">
              <w:rPr>
                <w:rFonts w:asciiTheme="minorHAnsi" w:eastAsiaTheme="minorEastAsia" w:hAnsiTheme="minorEastAsia"/>
              </w:rPr>
              <w:t>以下</w:t>
            </w:r>
            <w:r w:rsidRPr="00BC31E0">
              <w:rPr>
                <w:rFonts w:asciiTheme="minorHAnsi" w:eastAsiaTheme="minorEastAsia" w:hAnsiTheme="minorEastAsia" w:hint="eastAsia"/>
              </w:rPr>
              <w:t>の場合及び</w:t>
            </w:r>
            <w:r w:rsidRPr="00BC31E0">
              <w:rPr>
                <w:rFonts w:asciiTheme="minorHAnsi" w:eastAsiaTheme="minorEastAsia" w:hAnsiTheme="minorEastAsia"/>
              </w:rPr>
              <w:t>公称厚さ</w:t>
            </w:r>
            <w:r w:rsidRPr="00BC31E0">
              <w:rPr>
                <w:rFonts w:ascii="Cambria Math" w:eastAsiaTheme="minorEastAsia" w:hAnsi="Cambria Math"/>
              </w:rPr>
              <w:t>3 mm</w:t>
            </w:r>
            <w:r w:rsidRPr="00BC31E0">
              <w:rPr>
                <w:rFonts w:asciiTheme="minorHAnsi" w:eastAsiaTheme="minorEastAsia" w:hAnsiTheme="minorEastAsia"/>
              </w:rPr>
              <w:t>～</w:t>
            </w:r>
            <w:r w:rsidRPr="00BC31E0">
              <w:rPr>
                <w:rFonts w:ascii="Cambria Math" w:eastAsiaTheme="minorEastAsia" w:hAnsi="Cambria Math"/>
              </w:rPr>
              <w:t>38 mm</w:t>
            </w:r>
            <w:r w:rsidRPr="00BC31E0">
              <w:rPr>
                <w:rFonts w:asciiTheme="minorHAnsi" w:eastAsiaTheme="minorEastAsia" w:hAnsiTheme="minorHAnsi" w:hint="eastAsia"/>
              </w:rPr>
              <w:t>では</w:t>
            </w:r>
            <w:r w:rsidRPr="00BC31E0">
              <w:rPr>
                <w:rFonts w:asciiTheme="minorHAnsi" w:eastAsiaTheme="minorEastAsia" w:hAnsiTheme="minorEastAsia"/>
              </w:rPr>
              <w:t>溶接中に</w:t>
            </w:r>
            <w:r w:rsidRPr="00BC31E0">
              <w:rPr>
                <w:rFonts w:ascii="Cambria Math" w:eastAsiaTheme="minorEastAsia" w:hAnsi="Cambria Math"/>
              </w:rPr>
              <w:t>230</w:t>
            </w:r>
            <w:r w:rsidRPr="00BC31E0">
              <w:rPr>
                <w:rFonts w:asciiTheme="minorHAnsi" w:hAnsiTheme="minorHAnsi"/>
              </w:rPr>
              <w:t>°C</w:t>
            </w:r>
            <w:r w:rsidRPr="00BC31E0">
              <w:rPr>
                <w:rFonts w:asciiTheme="minorHAnsi" w:eastAsiaTheme="minorEastAsia" w:hAnsiTheme="minorEastAsia"/>
              </w:rPr>
              <w:t>の温度が</w:t>
            </w:r>
            <w:r w:rsidRPr="00BC31E0">
              <w:rPr>
                <w:rFonts w:asciiTheme="minorHAnsi" w:eastAsiaTheme="minorEastAsia" w:hAnsiTheme="minorEastAsia" w:hint="eastAsia"/>
              </w:rPr>
              <w:t>保持</w:t>
            </w:r>
            <w:r w:rsidRPr="00BC31E0">
              <w:rPr>
                <w:rFonts w:asciiTheme="minorHAnsi" w:eastAsiaTheme="minorEastAsia" w:hAnsiTheme="minorEastAsia"/>
              </w:rPr>
              <w:t>され</w:t>
            </w:r>
            <w:r w:rsidRPr="00BC31E0">
              <w:rPr>
                <w:rFonts w:ascii="Cambria Math" w:eastAsiaTheme="minorEastAsia" w:hAnsi="Cambria Math"/>
              </w:rPr>
              <w:t>100</w:t>
            </w:r>
            <w:r w:rsidRPr="00BC31E0">
              <w:rPr>
                <w:rFonts w:ascii="Cambria Math" w:eastAsiaTheme="minorEastAsia" w:hAnsi="Cambria Math" w:hint="eastAsia"/>
              </w:rPr>
              <w:t xml:space="preserve"> </w:t>
            </w:r>
            <w:r w:rsidRPr="00BC31E0">
              <w:rPr>
                <w:rFonts w:ascii="Cambria Math" w:eastAsiaTheme="minorEastAsia" w:hAnsi="Cambria Math"/>
              </w:rPr>
              <w:t>%</w:t>
            </w:r>
            <w:r w:rsidRPr="00BC31E0">
              <w:rPr>
                <w:rFonts w:asciiTheme="minorHAnsi" w:eastAsiaTheme="minorEastAsia" w:hAnsiTheme="minorEastAsia"/>
              </w:rPr>
              <w:t>放射線透過試験</w:t>
            </w:r>
            <w:r w:rsidRPr="00BC31E0">
              <w:rPr>
                <w:rFonts w:asciiTheme="minorHAnsi" w:eastAsiaTheme="minorEastAsia" w:hAnsiTheme="minorEastAsia" w:hint="eastAsia"/>
              </w:rPr>
              <w:t>を行うならば，</w:t>
            </w:r>
            <w:r w:rsidRPr="00BC31E0">
              <w:rPr>
                <w:rFonts w:asciiTheme="minorHAnsi" w:eastAsiaTheme="minorEastAsia" w:hAnsiTheme="minorEastAsia"/>
              </w:rPr>
              <w:t>溶接後熱処理の必要はない。</w:t>
            </w:r>
          </w:p>
          <w:p w14:paraId="0C9518E9" w14:textId="77777777" w:rsidR="00644B5F" w:rsidRPr="00BC31E0" w:rsidRDefault="00644B5F" w:rsidP="00736130">
            <w:pPr>
              <w:numPr>
                <w:ilvl w:val="0"/>
                <w:numId w:val="183"/>
              </w:numPr>
              <w:ind w:left="340" w:hanging="340"/>
              <w:rPr>
                <w:rFonts w:asciiTheme="minorHAnsi" w:eastAsiaTheme="minorEastAsia" w:hAnsiTheme="minorEastAsia"/>
              </w:rPr>
            </w:pPr>
            <w:r w:rsidRPr="00BC31E0">
              <w:rPr>
                <w:rFonts w:asciiTheme="minorHAnsi" w:eastAsiaTheme="minorEastAsia" w:hAnsiTheme="minorEastAsia"/>
              </w:rPr>
              <w:t>溶接後熱処理の保持</w:t>
            </w:r>
            <w:r w:rsidRPr="00BC31E0">
              <w:rPr>
                <w:rFonts w:asciiTheme="minorHAnsi" w:eastAsiaTheme="minorEastAsia" w:hAnsiTheme="minorEastAsia" w:hint="eastAsia"/>
              </w:rPr>
              <w:t>期間</w:t>
            </w:r>
            <w:r w:rsidRPr="00BC31E0">
              <w:rPr>
                <w:rFonts w:asciiTheme="minorHAnsi" w:eastAsiaTheme="minorEastAsia" w:hAnsiTheme="minorEastAsia"/>
              </w:rPr>
              <w:t>中に，容器</w:t>
            </w:r>
            <w:r w:rsidRPr="00BC31E0">
              <w:rPr>
                <w:rFonts w:asciiTheme="minorHAnsi" w:eastAsiaTheme="minorEastAsia" w:hAnsiTheme="minorEastAsia" w:hint="eastAsia"/>
              </w:rPr>
              <w:t>部材の</w:t>
            </w:r>
            <w:r w:rsidRPr="00BC31E0">
              <w:rPr>
                <w:rFonts w:asciiTheme="minorHAnsi" w:eastAsiaTheme="minorEastAsia" w:hAnsiTheme="minorEastAsia"/>
              </w:rPr>
              <w:t>最大</w:t>
            </w:r>
            <w:r w:rsidRPr="00BC31E0">
              <w:rPr>
                <w:rFonts w:asciiTheme="minorHAnsi" w:eastAsiaTheme="minorEastAsia" w:hAnsiTheme="minorEastAsia" w:hint="eastAsia"/>
              </w:rPr>
              <w:t>保持</w:t>
            </w:r>
            <w:r w:rsidRPr="00BC31E0">
              <w:rPr>
                <w:rFonts w:asciiTheme="minorHAnsi" w:eastAsiaTheme="minorEastAsia" w:hAnsiTheme="minorEastAsia"/>
              </w:rPr>
              <w:t>時間</w:t>
            </w:r>
            <w:r w:rsidRPr="00BC31E0">
              <w:rPr>
                <w:rFonts w:asciiTheme="minorHAnsi" w:eastAsiaTheme="minorEastAsia" w:hAnsiTheme="minorEastAsia" w:hint="eastAsia"/>
              </w:rPr>
              <w:t>又は</w:t>
            </w:r>
            <w:r w:rsidRPr="00BC31E0">
              <w:rPr>
                <w:rFonts w:asciiTheme="minorHAnsi" w:eastAsiaTheme="minorEastAsia" w:hAnsiTheme="minorEastAsia"/>
              </w:rPr>
              <w:t>温度</w:t>
            </w:r>
            <w:r w:rsidRPr="00BC31E0">
              <w:rPr>
                <w:rFonts w:asciiTheme="minorHAnsi" w:eastAsiaTheme="minorEastAsia" w:hAnsiTheme="minorEastAsia" w:hint="eastAsia"/>
              </w:rPr>
              <w:t>が</w:t>
            </w:r>
            <w:r w:rsidRPr="00BC31E0">
              <w:rPr>
                <w:rFonts w:asciiTheme="majorEastAsia" w:eastAsiaTheme="majorEastAsia" w:hAnsiTheme="majorEastAsia" w:hint="eastAsia"/>
                <w:b/>
              </w:rPr>
              <w:t>10.1.2 c)</w:t>
            </w:r>
            <w:r w:rsidRPr="00BC31E0">
              <w:rPr>
                <w:rFonts w:asciiTheme="minorEastAsia" w:eastAsiaTheme="minorEastAsia" w:hAnsiTheme="minorEastAsia" w:hint="eastAsia"/>
              </w:rPr>
              <w:t>の</w:t>
            </w:r>
            <w:r w:rsidRPr="00BC31E0">
              <w:rPr>
                <w:rFonts w:asciiTheme="minorHAnsi" w:eastAsiaTheme="minorEastAsia" w:hAnsiTheme="minorEastAsia" w:hint="eastAsia"/>
              </w:rPr>
              <w:t>規定</w:t>
            </w:r>
            <w:r w:rsidRPr="00BC31E0">
              <w:rPr>
                <w:rFonts w:asciiTheme="minorHAnsi" w:eastAsiaTheme="minorEastAsia" w:hAnsiTheme="minorEastAsia"/>
              </w:rPr>
              <w:t>を超え</w:t>
            </w:r>
            <w:r w:rsidRPr="00BC31E0">
              <w:rPr>
                <w:rFonts w:asciiTheme="minorHAnsi" w:eastAsiaTheme="minorEastAsia" w:hAnsiTheme="minorEastAsia" w:hint="eastAsia"/>
              </w:rPr>
              <w:t>る</w:t>
            </w:r>
            <w:r w:rsidRPr="00BC31E0">
              <w:rPr>
                <w:rFonts w:asciiTheme="minorHAnsi" w:eastAsiaTheme="minorEastAsia" w:hAnsiTheme="minorEastAsia"/>
              </w:rPr>
              <w:t>場合には，追加</w:t>
            </w:r>
            <w:r w:rsidRPr="00BC31E0">
              <w:rPr>
                <w:rFonts w:asciiTheme="minorHAnsi" w:eastAsiaTheme="minorEastAsia" w:hAnsiTheme="minorEastAsia" w:hint="eastAsia"/>
              </w:rPr>
              <w:t>の</w:t>
            </w:r>
            <w:r w:rsidRPr="00BC31E0">
              <w:rPr>
                <w:rFonts w:asciiTheme="minorHAnsi" w:eastAsiaTheme="minorEastAsia" w:hAnsiTheme="minorEastAsia"/>
              </w:rPr>
              <w:t>試験材を作製して試験しなければならない。</w:t>
            </w:r>
          </w:p>
        </w:tc>
        <w:tc>
          <w:tcPr>
            <w:tcW w:w="2126" w:type="dxa"/>
          </w:tcPr>
          <w:p w14:paraId="4EE94735" w14:textId="77777777" w:rsidR="00644B5F" w:rsidRPr="00BC31E0" w:rsidRDefault="00A51873" w:rsidP="00644B5F">
            <w:pPr>
              <w:rPr>
                <w:rFonts w:asciiTheme="minorHAnsi" w:eastAsiaTheme="minorEastAsia" w:hAnsiTheme="minorHAnsi"/>
              </w:rPr>
            </w:pPr>
            <m:oMath>
              <m:sSub>
                <m:sSubPr>
                  <m:ctrlPr>
                    <w:rPr>
                      <w:rFonts w:ascii="Cambria Math" w:eastAsiaTheme="minorEastAsia" w:hAnsi="Cambria Math"/>
                    </w:rPr>
                  </m:ctrlPr>
                </m:sSubPr>
                <m:e>
                  <m:r>
                    <w:rPr>
                      <w:rFonts w:ascii="Cambria Math" w:eastAsiaTheme="minorEastAsia" w:hAnsi="Cambria Math"/>
                    </w:rPr>
                    <m:t>t</m:t>
                  </m:r>
                </m:e>
                <m:sub>
                  <m:r>
                    <m:rPr>
                      <m:sty m:val="p"/>
                    </m:rPr>
                    <w:rPr>
                      <w:rFonts w:ascii="Cambria Math" w:eastAsiaTheme="minorEastAsia" w:hAnsi="Cambria Math"/>
                    </w:rPr>
                    <m:t>n</m:t>
                  </m:r>
                </m:sub>
              </m:sSub>
              <m:r>
                <w:rPr>
                  <w:rFonts w:ascii="Cambria Math" w:eastAsiaTheme="minorEastAsia" w:hAnsi="Cambria Math"/>
                </w:rPr>
                <m:t>≦</m:t>
              </m:r>
              <m:r>
                <m:rPr>
                  <m:sty m:val="p"/>
                </m:rPr>
                <w:rPr>
                  <w:rFonts w:ascii="Cambria Math" w:eastAsiaTheme="minorEastAsia" w:hAnsi="Cambria Math"/>
                </w:rPr>
                <m:t xml:space="preserve">50 </m:t>
              </m:r>
            </m:oMath>
            <w:r w:rsidR="00644B5F" w:rsidRPr="00BC31E0">
              <w:rPr>
                <w:rFonts w:ascii="Cambria Math" w:eastAsiaTheme="minorEastAsia" w:hAnsi="Cambria Math"/>
              </w:rPr>
              <w:t>mm</w:t>
            </w:r>
          </w:p>
          <w:p w14:paraId="665DAEAB" w14:textId="77777777" w:rsidR="00644B5F" w:rsidRPr="00BC31E0" w:rsidRDefault="00644B5F" w:rsidP="00644B5F">
            <w:pPr>
              <w:ind w:left="170"/>
              <w:rPr>
                <w:rFonts w:ascii="Cambria Math" w:eastAsiaTheme="minorEastAsia" w:hAnsi="Cambria Math"/>
              </w:rPr>
            </w:pPr>
            <w:r w:rsidRPr="00BC31E0">
              <w:rPr>
                <w:rFonts w:ascii="Cambria Math" w:eastAsiaTheme="minorEastAsia" w:hAnsi="Cambria Math"/>
              </w:rPr>
              <w:t>730</w:t>
            </w:r>
            <w:r w:rsidRPr="00BC31E0">
              <w:rPr>
                <w:rFonts w:asciiTheme="minorHAnsi" w:hAnsiTheme="minorHAnsi"/>
              </w:rPr>
              <w:t>°C</w:t>
            </w:r>
          </w:p>
          <w:tbl>
            <w:tblPr>
              <w:tblStyle w:val="100"/>
              <w:tblW w:w="0" w:type="auto"/>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0"/>
            </w:tblGrid>
            <w:tr w:rsidR="00644B5F" w:rsidRPr="00BC31E0" w14:paraId="0B3EC9DC" w14:textId="77777777" w:rsidTr="004736F2">
              <w:tc>
                <w:tcPr>
                  <w:tcW w:w="0" w:type="auto"/>
                  <w:vAlign w:val="center"/>
                </w:tcPr>
                <w:p w14:paraId="3302BDF9" w14:textId="77777777" w:rsidR="00644B5F" w:rsidRPr="00BC31E0" w:rsidRDefault="00A51873" w:rsidP="00644B5F">
                  <w:pPr>
                    <w:rPr>
                      <w:rFonts w:asciiTheme="minorHAnsi" w:eastAsiaTheme="minorEastAsia" w:hAnsiTheme="minorHAnsi"/>
                      <w:i/>
                    </w:rPr>
                  </w:pPr>
                  <m:oMathPara>
                    <m:oMathParaPr>
                      <m:jc m:val="left"/>
                    </m:oMathParaPr>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n</m:t>
                              </m:r>
                            </m:sub>
                          </m:sSub>
                        </m:num>
                        <m:den>
                          <m:r>
                            <w:rPr>
                              <w:rFonts w:ascii="Cambria Math" w:eastAsiaTheme="minorEastAsia" w:hAnsi="Cambria Math"/>
                            </w:rPr>
                            <m:t>25</m:t>
                          </m:r>
                        </m:den>
                      </m:f>
                      <m:r>
                        <w:rPr>
                          <w:rFonts w:ascii="Cambria Math" w:eastAsiaTheme="minorEastAsia" w:hAnsi="Cambria Math"/>
                        </w:rPr>
                        <m:t xml:space="preserve"> </m:t>
                      </m:r>
                      <m:r>
                        <m:rPr>
                          <m:sty m:val="p"/>
                        </m:rPr>
                        <w:rPr>
                          <w:rFonts w:ascii="Cambria Math" w:eastAsiaTheme="minorEastAsia" w:hAnsi="Cambria Math"/>
                        </w:rPr>
                        <m:t>h</m:t>
                      </m:r>
                    </m:oMath>
                  </m:oMathPara>
                </w:p>
              </w:tc>
            </w:tr>
          </w:tbl>
          <w:p w14:paraId="02D2AC95" w14:textId="77777777" w:rsidR="00644B5F" w:rsidRPr="00BC31E0" w:rsidRDefault="00644B5F" w:rsidP="00644B5F">
            <w:pPr>
              <w:ind w:left="170"/>
              <w:rPr>
                <w:rFonts w:asciiTheme="minorHAnsi" w:eastAsiaTheme="minorEastAsia" w:hAnsiTheme="minorHAnsi"/>
              </w:rPr>
            </w:pPr>
            <w:r w:rsidRPr="00BC31E0">
              <w:rPr>
                <w:rFonts w:asciiTheme="minorHAnsi" w:eastAsiaTheme="minorEastAsia" w:hAnsiTheme="minorEastAsia"/>
              </w:rPr>
              <w:t>最小</w:t>
            </w:r>
            <w:r w:rsidRPr="00BC31E0">
              <w:rPr>
                <w:rFonts w:ascii="Cambria Math" w:eastAsiaTheme="minorEastAsia" w:hAnsi="Cambria Math"/>
              </w:rPr>
              <w:t>1 h</w:t>
            </w:r>
          </w:p>
          <w:p w14:paraId="67337152" w14:textId="77777777" w:rsidR="00644B5F" w:rsidRPr="00BC31E0" w:rsidRDefault="00644B5F" w:rsidP="00644B5F">
            <w:pPr>
              <w:rPr>
                <w:rFonts w:asciiTheme="minorHAnsi" w:eastAsiaTheme="minorEastAsia" w:hAnsiTheme="minorHAnsi"/>
              </w:rPr>
            </w:pPr>
          </w:p>
          <w:p w14:paraId="3B8F428A" w14:textId="77777777" w:rsidR="00644B5F" w:rsidRPr="00BC31E0" w:rsidRDefault="00A51873" w:rsidP="00644B5F">
            <w:pPr>
              <w:rPr>
                <w:rFonts w:asciiTheme="minorHAnsi" w:eastAsiaTheme="minorEastAsia" w:hAnsiTheme="minorHAnsi"/>
              </w:rPr>
            </w:pPr>
            <m:oMath>
              <m:sSub>
                <m:sSubPr>
                  <m:ctrlPr>
                    <w:rPr>
                      <w:rFonts w:ascii="Cambria Math" w:eastAsiaTheme="minorEastAsia" w:hAnsi="Cambria Math"/>
                    </w:rPr>
                  </m:ctrlPr>
                </m:sSubPr>
                <m:e>
                  <m:r>
                    <m:rPr>
                      <m:sty m:val="p"/>
                    </m:rPr>
                    <w:rPr>
                      <w:rFonts w:ascii="Cambria Math" w:eastAsiaTheme="minorEastAsia" w:hAnsi="Cambria Math"/>
                    </w:rPr>
                    <m:t>50</m:t>
                  </m:r>
                  <m:r>
                    <w:rPr>
                      <w:rFonts w:ascii="Cambria Math" w:eastAsiaTheme="minorEastAsia" w:hAnsi="Cambria Math"/>
                    </w:rPr>
                    <m:t>&lt;t</m:t>
                  </m:r>
                </m:e>
                <m:sub>
                  <m:r>
                    <m:rPr>
                      <m:sty m:val="p"/>
                    </m:rPr>
                    <w:rPr>
                      <w:rFonts w:ascii="Cambria Math" w:eastAsiaTheme="minorEastAsia" w:hAnsi="Cambria Math"/>
                    </w:rPr>
                    <m:t>n</m:t>
                  </m:r>
                </m:sub>
              </m:sSub>
              <m:r>
                <w:rPr>
                  <w:rFonts w:ascii="Cambria Math" w:eastAsiaTheme="minorEastAsia" w:hAnsi="Cambria Math"/>
                </w:rPr>
                <m:t>≦</m:t>
              </m:r>
              <m:r>
                <m:rPr>
                  <m:sty m:val="p"/>
                </m:rPr>
                <w:rPr>
                  <w:rFonts w:ascii="Cambria Math" w:eastAsiaTheme="minorEastAsia" w:hAnsi="Cambria Math"/>
                </w:rPr>
                <m:t xml:space="preserve">125 </m:t>
              </m:r>
            </m:oMath>
            <w:r w:rsidR="00644B5F" w:rsidRPr="00BC31E0">
              <w:rPr>
                <w:rFonts w:ascii="Cambria Math" w:eastAsiaTheme="minorEastAsia" w:hAnsi="Cambria Math"/>
              </w:rPr>
              <w:t>mm</w:t>
            </w:r>
          </w:p>
          <w:p w14:paraId="01F87A42" w14:textId="77777777" w:rsidR="00644B5F" w:rsidRPr="00BC31E0" w:rsidRDefault="00644B5F" w:rsidP="00644B5F">
            <w:pPr>
              <w:ind w:left="170"/>
              <w:rPr>
                <w:rFonts w:ascii="Cambria Math" w:eastAsiaTheme="minorEastAsia" w:hAnsi="Cambria Math"/>
              </w:rPr>
            </w:pPr>
            <w:r w:rsidRPr="00BC31E0">
              <w:rPr>
                <w:rFonts w:ascii="Cambria Math" w:eastAsiaTheme="minorEastAsia" w:hAnsi="Cambria Math"/>
              </w:rPr>
              <w:t>730</w:t>
            </w:r>
            <w:r w:rsidRPr="00BC31E0">
              <w:rPr>
                <w:rFonts w:asciiTheme="minorHAnsi" w:hAnsiTheme="minorHAnsi"/>
              </w:rPr>
              <w:t>°C</w:t>
            </w:r>
          </w:p>
          <w:tbl>
            <w:tblPr>
              <w:tblStyle w:val="100"/>
              <w:tblW w:w="0" w:type="auto"/>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35"/>
            </w:tblGrid>
            <w:tr w:rsidR="00644B5F" w:rsidRPr="00BC31E0" w14:paraId="5159D3A4" w14:textId="77777777" w:rsidTr="004736F2">
              <w:tc>
                <w:tcPr>
                  <w:tcW w:w="0" w:type="auto"/>
                  <w:vAlign w:val="center"/>
                </w:tcPr>
                <w:p w14:paraId="3476EC73" w14:textId="77777777" w:rsidR="00644B5F" w:rsidRPr="00BC31E0" w:rsidRDefault="00644B5F" w:rsidP="00644B5F">
                  <w:pPr>
                    <w:rPr>
                      <w:rFonts w:ascii="Cambria Math" w:eastAsiaTheme="majorEastAsia" w:hAnsi="Cambria Math"/>
                      <w:i/>
                    </w:rPr>
                  </w:pPr>
                  <m:oMathPara>
                    <m:oMathParaPr>
                      <m:jc m:val="left"/>
                    </m:oMathParaPr>
                    <m:oMath>
                      <m:r>
                        <w:rPr>
                          <w:rFonts w:ascii="Cambria Math" w:eastAsiaTheme="majorEastAsia" w:hAnsi="Cambria Math"/>
                        </w:rPr>
                        <m:t>2+</m:t>
                      </m:r>
                      <m:f>
                        <m:fPr>
                          <m:ctrlPr>
                            <w:rPr>
                              <w:rFonts w:ascii="Cambria Math" w:eastAsiaTheme="majorEastAsia" w:hAnsi="Cambria Math"/>
                              <w:i/>
                            </w:rPr>
                          </m:ctrlPr>
                        </m:fPr>
                        <m:num>
                          <m:sSub>
                            <m:sSubPr>
                              <m:ctrlPr>
                                <w:rPr>
                                  <w:rFonts w:ascii="Cambria Math" w:eastAsiaTheme="majorEastAsia" w:hAnsi="Cambria Math"/>
                                  <w:i/>
                                </w:rPr>
                              </m:ctrlPr>
                            </m:sSubPr>
                            <m:e>
                              <m:r>
                                <w:rPr>
                                  <w:rFonts w:ascii="Cambria Math" w:eastAsiaTheme="majorEastAsia" w:hAnsi="Cambria Math"/>
                                </w:rPr>
                                <m:t>t</m:t>
                              </m:r>
                            </m:e>
                            <m:sub>
                              <m:r>
                                <w:rPr>
                                  <w:rFonts w:ascii="Cambria Math" w:eastAsiaTheme="majorEastAsia" w:hAnsi="Cambria Math"/>
                                </w:rPr>
                                <m:t>n</m:t>
                              </m:r>
                            </m:sub>
                          </m:sSub>
                          <m:r>
                            <w:rPr>
                              <w:rFonts w:ascii="Cambria Math" w:eastAsiaTheme="majorEastAsia" w:hAnsi="Cambria Math"/>
                            </w:rPr>
                            <m:t>-50</m:t>
                          </m:r>
                        </m:num>
                        <m:den>
                          <m:r>
                            <w:rPr>
                              <w:rFonts w:ascii="Cambria Math" w:eastAsiaTheme="majorEastAsia" w:hAnsi="Cambria Math"/>
                            </w:rPr>
                            <m:t>100</m:t>
                          </m:r>
                        </m:den>
                      </m:f>
                      <m:r>
                        <w:rPr>
                          <w:rFonts w:ascii="Cambria Math" w:eastAsiaTheme="majorEastAsia" w:hAnsi="Cambria Math"/>
                        </w:rPr>
                        <m:t xml:space="preserve"> </m:t>
                      </m:r>
                      <m:r>
                        <m:rPr>
                          <m:sty m:val="p"/>
                        </m:rPr>
                        <w:rPr>
                          <w:rFonts w:ascii="Cambria Math" w:eastAsiaTheme="majorEastAsia" w:hAnsi="Cambria Math"/>
                        </w:rPr>
                        <m:t>h</m:t>
                      </m:r>
                    </m:oMath>
                  </m:oMathPara>
                </w:p>
              </w:tc>
            </w:tr>
          </w:tbl>
          <w:p w14:paraId="7E191F94" w14:textId="77777777" w:rsidR="00644B5F" w:rsidRPr="00BC31E0" w:rsidRDefault="00644B5F" w:rsidP="00644B5F">
            <w:pPr>
              <w:rPr>
                <w:rFonts w:asciiTheme="minorEastAsia" w:eastAsiaTheme="minorEastAsia" w:hAnsiTheme="minorEastAsia"/>
              </w:rPr>
            </w:pPr>
          </w:p>
          <w:p w14:paraId="24DD6B46" w14:textId="77777777" w:rsidR="00644B5F" w:rsidRPr="00BC31E0" w:rsidRDefault="00A51873" w:rsidP="00644B5F">
            <w:pPr>
              <w:rPr>
                <w:rFonts w:asciiTheme="minorHAnsi" w:eastAsiaTheme="minorEastAsia" w:hAnsiTheme="minorHAnsi"/>
              </w:rPr>
            </w:pPr>
            <m:oMath>
              <m:sSub>
                <m:sSubPr>
                  <m:ctrlPr>
                    <w:rPr>
                      <w:rFonts w:ascii="Cambria Math" w:eastAsiaTheme="minorEastAsia" w:hAnsi="Cambria Math"/>
                    </w:rPr>
                  </m:ctrlPr>
                </m:sSubPr>
                <m:e>
                  <m:r>
                    <w:rPr>
                      <w:rFonts w:ascii="Cambria Math" w:eastAsiaTheme="minorEastAsia" w:hAnsi="Cambria Math"/>
                    </w:rPr>
                    <m:t>t</m:t>
                  </m:r>
                </m:e>
                <m:sub>
                  <m:r>
                    <m:rPr>
                      <m:sty m:val="p"/>
                    </m:rPr>
                    <w:rPr>
                      <w:rFonts w:ascii="Cambria Math" w:eastAsiaTheme="minorEastAsia" w:hAnsi="Cambria Math"/>
                    </w:rPr>
                    <m:t>n</m:t>
                  </m:r>
                </m:sub>
              </m:sSub>
              <m:r>
                <m:rPr>
                  <m:sty m:val="p"/>
                </m:rPr>
                <w:rPr>
                  <w:rFonts w:ascii="Cambria Math" w:eastAsiaTheme="minorEastAsia" w:hAnsi="Cambria Math"/>
                </w:rPr>
                <m:t>&gt;</m:t>
              </m:r>
              <m:r>
                <w:rPr>
                  <w:rFonts w:ascii="Cambria Math" w:eastAsiaTheme="minorEastAsia" w:hAnsi="Cambria Math"/>
                </w:rPr>
                <m:t xml:space="preserve">125 </m:t>
              </m:r>
            </m:oMath>
            <w:r w:rsidR="00644B5F" w:rsidRPr="00BC31E0">
              <w:rPr>
                <w:rFonts w:ascii="Cambria Math" w:eastAsiaTheme="minorEastAsia" w:hAnsi="Cambria Math"/>
              </w:rPr>
              <w:t>mm</w:t>
            </w:r>
          </w:p>
          <w:p w14:paraId="5D6935AB" w14:textId="77777777" w:rsidR="00644B5F" w:rsidRPr="00BC31E0" w:rsidRDefault="00644B5F" w:rsidP="00644B5F">
            <w:pPr>
              <w:ind w:left="170"/>
              <w:rPr>
                <w:rFonts w:ascii="Cambria Math" w:eastAsiaTheme="minorEastAsia" w:hAnsi="Cambria Math"/>
              </w:rPr>
            </w:pPr>
            <w:r w:rsidRPr="00BC31E0">
              <w:rPr>
                <w:rFonts w:ascii="Cambria Math" w:eastAsiaTheme="minorEastAsia" w:hAnsi="Cambria Math"/>
              </w:rPr>
              <w:t>730</w:t>
            </w:r>
            <w:r w:rsidRPr="00BC31E0">
              <w:rPr>
                <w:rFonts w:asciiTheme="minorHAnsi" w:hAnsiTheme="minorHAnsi"/>
              </w:rPr>
              <w:t>°C</w:t>
            </w:r>
          </w:p>
          <w:tbl>
            <w:tblPr>
              <w:tblStyle w:val="100"/>
              <w:tblW w:w="0" w:type="auto"/>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35"/>
            </w:tblGrid>
            <w:tr w:rsidR="00644B5F" w:rsidRPr="00BC31E0" w14:paraId="3EC8CAED" w14:textId="77777777" w:rsidTr="004736F2">
              <w:tc>
                <w:tcPr>
                  <w:tcW w:w="0" w:type="auto"/>
                  <w:vAlign w:val="center"/>
                </w:tcPr>
                <w:p w14:paraId="283CC7C6" w14:textId="77777777" w:rsidR="00644B5F" w:rsidRPr="00BC31E0" w:rsidRDefault="00644B5F" w:rsidP="00644B5F">
                  <w:pPr>
                    <w:rPr>
                      <w:rFonts w:ascii="Cambria Math" w:eastAsiaTheme="minorEastAsia" w:hAnsi="Cambria Math"/>
                      <w:i/>
                    </w:rPr>
                  </w:pPr>
                  <m:oMathPara>
                    <m:oMathParaPr>
                      <m:jc m:val="left"/>
                    </m:oMathParaPr>
                    <m:oMath>
                      <m:r>
                        <w:rPr>
                          <w:rFonts w:ascii="Cambria Math" w:eastAsiaTheme="minorEastAsia" w:hAnsi="Cambria Math"/>
                        </w:rPr>
                        <m:t>2+</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n</m:t>
                              </m:r>
                            </m:sub>
                          </m:sSub>
                          <m:r>
                            <w:rPr>
                              <w:rFonts w:ascii="Cambria Math" w:eastAsiaTheme="minorEastAsia" w:hAnsi="Cambria Math"/>
                            </w:rPr>
                            <m:t>-50</m:t>
                          </m:r>
                        </m:num>
                        <m:den>
                          <m:r>
                            <w:rPr>
                              <w:rFonts w:ascii="Cambria Math" w:eastAsiaTheme="minorEastAsia" w:hAnsi="Cambria Math"/>
                            </w:rPr>
                            <m:t>100</m:t>
                          </m:r>
                        </m:den>
                      </m:f>
                      <m:r>
                        <w:rPr>
                          <w:rFonts w:ascii="Cambria Math" w:eastAsiaTheme="minorEastAsia" w:hAnsi="Cambria Math"/>
                        </w:rPr>
                        <m:t xml:space="preserve"> </m:t>
                      </m:r>
                      <m:r>
                        <m:rPr>
                          <m:sty m:val="p"/>
                        </m:rPr>
                        <w:rPr>
                          <w:rFonts w:ascii="Cambria Math" w:eastAsiaTheme="minorEastAsia" w:hAnsi="Cambria Math"/>
                        </w:rPr>
                        <m:t>h</m:t>
                      </m:r>
                    </m:oMath>
                  </m:oMathPara>
                </w:p>
              </w:tc>
            </w:tr>
          </w:tbl>
          <w:p w14:paraId="381DB154" w14:textId="77777777" w:rsidR="00644B5F" w:rsidRPr="00BC31E0" w:rsidRDefault="00644B5F" w:rsidP="00644B5F">
            <w:pPr>
              <w:ind w:left="170"/>
              <w:rPr>
                <w:rFonts w:ascii="Cambria Math" w:eastAsiaTheme="minorEastAsia" w:hAnsi="Cambria Math"/>
              </w:rPr>
            </w:pPr>
          </w:p>
        </w:tc>
      </w:tr>
    </w:tbl>
    <w:p w14:paraId="4051C7A2" w14:textId="77777777" w:rsidR="00644B5F" w:rsidRPr="00BC31E0" w:rsidRDefault="00644B5F" w:rsidP="009A5191">
      <w:pPr>
        <w:spacing w:before="60"/>
        <w:rPr>
          <w:rFonts w:asciiTheme="minorHAnsi" w:eastAsiaTheme="minorEastAsia" w:hAnsiTheme="minorHAnsi"/>
        </w:rPr>
      </w:pPr>
      <w:r w:rsidRPr="00BC31E0">
        <w:rPr>
          <w:rFonts w:asciiTheme="majorEastAsia" w:eastAsiaTheme="majorEastAsia" w:hAnsiTheme="majorEastAsia" w:hint="eastAsia"/>
          <w:b/>
        </w:rPr>
        <w:t>注記</w:t>
      </w:r>
      <w:r w:rsidRPr="00BC31E0">
        <w:rPr>
          <w:rFonts w:asciiTheme="minorHAnsi" w:eastAsiaTheme="minorEastAsia" w:hAnsiTheme="minorHAnsi" w:hint="eastAsia"/>
        </w:rPr>
        <w:t xml:space="preserve">　</w:t>
      </w:r>
      <m:oMath>
        <m:sSub>
          <m:sSubPr>
            <m:ctrlPr>
              <w:rPr>
                <w:rFonts w:ascii="Cambria Math" w:eastAsiaTheme="minorEastAsia" w:hAnsi="Cambria Math"/>
              </w:rPr>
            </m:ctrlPr>
          </m:sSubPr>
          <m:e>
            <m:r>
              <w:rPr>
                <w:rFonts w:ascii="Cambria Math" w:eastAsiaTheme="minorEastAsia" w:hAnsi="Cambria Math" w:hint="eastAsia"/>
              </w:rPr>
              <m:t>t</m:t>
            </m:r>
          </m:e>
          <m:sub>
            <m:r>
              <w:rPr>
                <w:rFonts w:ascii="Cambria Math" w:eastAsiaTheme="minorEastAsia" w:hAnsi="Cambria Math"/>
              </w:rPr>
              <m:t>n</m:t>
            </m:r>
          </m:sub>
        </m:sSub>
        <m:r>
          <m:rPr>
            <m:sty m:val="p"/>
          </m:rPr>
          <w:rPr>
            <w:rFonts w:ascii="Cambria Math" w:eastAsiaTheme="minorEastAsia" w:hAnsi="Cambria Math"/>
          </w:rPr>
          <m:t xml:space="preserve"> </m:t>
        </m:r>
      </m:oMath>
      <w:r w:rsidRPr="00BC31E0">
        <w:rPr>
          <w:rFonts w:asciiTheme="minorHAnsi" w:eastAsiaTheme="minorEastAsia" w:hAnsiTheme="minorHAnsi" w:hint="eastAsia"/>
        </w:rPr>
        <w:t>は，</w:t>
      </w:r>
      <w:r w:rsidRPr="00BC31E0">
        <w:rPr>
          <w:rFonts w:asciiTheme="majorEastAsia" w:eastAsiaTheme="majorEastAsia" w:hAnsiTheme="majorEastAsia" w:hint="eastAsia"/>
          <w:b/>
        </w:rPr>
        <w:t>7.4.1 b) 4)</w:t>
      </w:r>
      <w:r w:rsidRPr="00BC31E0">
        <w:rPr>
          <w:rFonts w:asciiTheme="minorHAnsi" w:eastAsiaTheme="minorEastAsia" w:hAnsiTheme="minorHAnsi" w:hint="eastAsia"/>
        </w:rPr>
        <w:t>に規定する公称厚さ</w:t>
      </w:r>
      <w:r w:rsidRPr="00BC31E0">
        <w:rPr>
          <w:rFonts w:asciiTheme="minorHAnsi" w:eastAsiaTheme="minorEastAsia" w:hAnsiTheme="minorHAnsi" w:hint="eastAsia"/>
        </w:rPr>
        <w:t>(</w:t>
      </w:r>
      <w:r w:rsidRPr="00BC31E0">
        <w:rPr>
          <w:rFonts w:ascii="Cambria Math" w:eastAsiaTheme="minorEastAsia" w:hAnsi="Cambria Math"/>
        </w:rPr>
        <w:t>mm</w:t>
      </w:r>
      <w:r w:rsidRPr="00BC31E0">
        <w:rPr>
          <w:rFonts w:asciiTheme="minorHAnsi" w:eastAsiaTheme="minorEastAsia" w:hAnsiTheme="minorHAnsi" w:hint="eastAsia"/>
        </w:rPr>
        <w:t>)</w:t>
      </w:r>
      <w:r w:rsidRPr="00BC31E0">
        <w:rPr>
          <w:rFonts w:asciiTheme="minorHAnsi" w:eastAsiaTheme="minorEastAsia" w:hAnsiTheme="minorHAnsi" w:hint="eastAsia"/>
        </w:rPr>
        <w:t>である。</w:t>
      </w:r>
    </w:p>
    <w:p w14:paraId="1C6463C0" w14:textId="77777777" w:rsidR="00644B5F" w:rsidRPr="00BC31E0" w:rsidRDefault="00644B5F" w:rsidP="009A5191">
      <w:pPr>
        <w:rPr>
          <w:rFonts w:asciiTheme="minorEastAsia" w:eastAsiaTheme="minorEastAsia" w:hAnsiTheme="minorEastAsia"/>
        </w:rPr>
      </w:pPr>
    </w:p>
    <w:p w14:paraId="525384AE" w14:textId="77777777" w:rsidR="00644B5F" w:rsidRPr="00BC31E0" w:rsidRDefault="00644B5F" w:rsidP="009A5191">
      <w:pPr>
        <w:rPr>
          <w:rFonts w:asciiTheme="minorEastAsia" w:eastAsiaTheme="minorEastAsia" w:hAnsiTheme="minorEastAsia"/>
        </w:rPr>
      </w:pPr>
    </w:p>
    <w:p w14:paraId="6915EF6F" w14:textId="77777777" w:rsidR="009A5191" w:rsidRPr="00BC31E0" w:rsidRDefault="009A5191" w:rsidP="009A5191">
      <w:pPr>
        <w:rPr>
          <w:rFonts w:asciiTheme="minorEastAsia" w:eastAsiaTheme="minorEastAsia" w:hAnsiTheme="minorEastAsia"/>
        </w:rPr>
      </w:pPr>
    </w:p>
    <w:p w14:paraId="098F6891" w14:textId="77777777" w:rsidR="00F14FC9" w:rsidRPr="00BC31E0" w:rsidRDefault="00F14FC9" w:rsidP="009A5191">
      <w:pPr>
        <w:rPr>
          <w:rFonts w:asciiTheme="minorEastAsia" w:eastAsiaTheme="minorEastAsia" w:hAnsiTheme="minorEastAsia"/>
        </w:rPr>
      </w:pPr>
    </w:p>
    <w:p w14:paraId="5DAB4416" w14:textId="77777777" w:rsidR="00644B5F" w:rsidRPr="00BC31E0" w:rsidRDefault="00644B5F" w:rsidP="00644B5F">
      <w:pPr>
        <w:jc w:val="center"/>
        <w:rPr>
          <w:rFonts w:asciiTheme="majorEastAsia" w:eastAsiaTheme="majorEastAsia" w:hAnsiTheme="majorEastAsia"/>
          <w:b/>
        </w:rPr>
      </w:pPr>
      <w:r w:rsidRPr="00BC31E0">
        <w:rPr>
          <w:rFonts w:asciiTheme="majorEastAsia" w:eastAsiaTheme="majorEastAsia" w:hAnsiTheme="majorEastAsia" w:hint="eastAsia"/>
          <w:b/>
        </w:rPr>
        <w:t>表7.4.8</w:t>
      </w:r>
      <w:r w:rsidRPr="00BC31E0">
        <w:rPr>
          <w:rFonts w:asciiTheme="majorEastAsia" w:eastAsiaTheme="majorEastAsia" w:hAnsiTheme="majorEastAsia"/>
          <w:b/>
        </w:rPr>
        <w:t xml:space="preserve">　溶接後熱処理</w:t>
      </w:r>
      <w:r w:rsidRPr="00BC31E0">
        <w:rPr>
          <w:rFonts w:asciiTheme="majorEastAsia" w:eastAsiaTheme="majorEastAsia" w:hAnsiTheme="majorEastAsia" w:hint="eastAsia"/>
          <w:b/>
        </w:rPr>
        <w:t>の温度及び時間</w:t>
      </w:r>
    </w:p>
    <w:p w14:paraId="0E5FEFCA" w14:textId="77777777" w:rsidR="00644B5F" w:rsidRPr="00BC31E0" w:rsidRDefault="00644B5F" w:rsidP="00644B5F">
      <w:pPr>
        <w:spacing w:after="60"/>
        <w:jc w:val="center"/>
        <w:rPr>
          <w:rFonts w:asciiTheme="majorEastAsia" w:eastAsiaTheme="majorEastAsia" w:hAnsiTheme="majorEastAsia"/>
          <w:b/>
        </w:rPr>
      </w:pPr>
      <w:r w:rsidRPr="00BC31E0">
        <w:rPr>
          <w:rFonts w:asciiTheme="majorEastAsia" w:eastAsiaTheme="majorEastAsia" w:hAnsiTheme="majorEastAsia"/>
          <w:b/>
        </w:rPr>
        <w:t>(P</w:t>
      </w:r>
      <w:r w:rsidRPr="00BC31E0">
        <w:rPr>
          <w:rFonts w:asciiTheme="majorEastAsia" w:eastAsiaTheme="majorEastAsia" w:hAnsiTheme="majorEastAsia" w:hint="eastAsia"/>
          <w:b/>
        </w:rPr>
        <w:t>番号</w:t>
      </w:r>
      <w:r w:rsidRPr="00BC31E0">
        <w:rPr>
          <w:rFonts w:asciiTheme="majorEastAsia" w:eastAsiaTheme="majorEastAsia" w:hAnsiTheme="majorEastAsia"/>
          <w:b/>
        </w:rPr>
        <w:t>8</w:t>
      </w:r>
      <w:r w:rsidRPr="00BC31E0">
        <w:rPr>
          <w:rFonts w:asciiTheme="majorEastAsia" w:eastAsiaTheme="majorEastAsia" w:hAnsiTheme="majorEastAsia" w:hint="eastAsia"/>
          <w:b/>
        </w:rPr>
        <w:t>の材料</w:t>
      </w:r>
      <w:r w:rsidRPr="00BC31E0">
        <w:rPr>
          <w:rFonts w:asciiTheme="majorEastAsia" w:eastAsiaTheme="majorEastAsia" w:hAnsiTheme="majorEastAsia"/>
          <w:b/>
        </w:rPr>
        <w:t>)</w:t>
      </w:r>
    </w:p>
    <w:tbl>
      <w:tblPr>
        <w:tblStyle w:val="100"/>
        <w:tblW w:w="9072" w:type="dxa"/>
        <w:tblInd w:w="108" w:type="dxa"/>
        <w:tblLayout w:type="fixed"/>
        <w:tblLook w:val="04A0" w:firstRow="1" w:lastRow="0" w:firstColumn="1" w:lastColumn="0" w:noHBand="0" w:noVBand="1"/>
      </w:tblPr>
      <w:tblGrid>
        <w:gridCol w:w="6946"/>
        <w:gridCol w:w="2126"/>
      </w:tblGrid>
      <w:tr w:rsidR="00644B5F" w:rsidRPr="00BC31E0" w14:paraId="4D21B02C" w14:textId="77777777" w:rsidTr="004736F2">
        <w:tc>
          <w:tcPr>
            <w:tcW w:w="6946" w:type="dxa"/>
            <w:vAlign w:val="center"/>
          </w:tcPr>
          <w:p w14:paraId="117ECC29" w14:textId="77777777" w:rsidR="00644B5F" w:rsidRPr="00BC31E0" w:rsidRDefault="00644B5F" w:rsidP="00644B5F">
            <w:pPr>
              <w:jc w:val="center"/>
              <w:rPr>
                <w:rFonts w:asciiTheme="minorHAnsi" w:eastAsiaTheme="minorEastAsia" w:hAnsiTheme="minorHAnsi"/>
              </w:rPr>
            </w:pPr>
            <w:r w:rsidRPr="00BC31E0">
              <w:rPr>
                <w:rFonts w:asciiTheme="minorHAnsi" w:eastAsiaTheme="minorEastAsia" w:hAnsiTheme="minorEastAsia"/>
              </w:rPr>
              <w:t>要求事項</w:t>
            </w:r>
          </w:p>
        </w:tc>
        <w:tc>
          <w:tcPr>
            <w:tcW w:w="2126" w:type="dxa"/>
            <w:vAlign w:val="center"/>
          </w:tcPr>
          <w:p w14:paraId="486B0814" w14:textId="77777777" w:rsidR="00644B5F" w:rsidRPr="00BC31E0" w:rsidRDefault="00644B5F" w:rsidP="00644B5F">
            <w:pPr>
              <w:jc w:val="center"/>
              <w:rPr>
                <w:rFonts w:asciiTheme="minorHAnsi" w:eastAsiaTheme="minorEastAsia" w:hAnsiTheme="minorHAnsi"/>
              </w:rPr>
            </w:pPr>
            <w:r w:rsidRPr="00BC31E0">
              <w:rPr>
                <w:rFonts w:asciiTheme="minorHAnsi" w:eastAsiaTheme="minorEastAsia" w:hAnsiTheme="minorEastAsia"/>
              </w:rPr>
              <w:t>保持温度と保持時間</w:t>
            </w:r>
          </w:p>
        </w:tc>
      </w:tr>
      <w:tr w:rsidR="00644B5F" w:rsidRPr="00BC31E0" w14:paraId="0C76B15A" w14:textId="77777777" w:rsidTr="004736F2">
        <w:tc>
          <w:tcPr>
            <w:tcW w:w="6946" w:type="dxa"/>
          </w:tcPr>
          <w:p w14:paraId="207057B6" w14:textId="77777777" w:rsidR="00644B5F" w:rsidRPr="00BC31E0" w:rsidRDefault="00644B5F" w:rsidP="00736130">
            <w:pPr>
              <w:numPr>
                <w:ilvl w:val="0"/>
                <w:numId w:val="184"/>
              </w:numPr>
              <w:ind w:left="340" w:hanging="340"/>
              <w:rPr>
                <w:rFonts w:asciiTheme="minorHAnsi" w:eastAsiaTheme="minorEastAsia" w:hAnsiTheme="minorHAnsi"/>
              </w:rPr>
            </w:pPr>
            <w:r w:rsidRPr="00BC31E0">
              <w:rPr>
                <w:rFonts w:asciiTheme="minorHAnsi" w:eastAsiaTheme="minorEastAsia" w:hAnsiTheme="minorEastAsia"/>
              </w:rPr>
              <w:t>溶接後熱処理を行う必要はない</w:t>
            </w:r>
            <w:r w:rsidRPr="00BC31E0">
              <w:rPr>
                <w:rFonts w:asciiTheme="minorHAnsi" w:eastAsiaTheme="minorEastAsia" w:hAnsiTheme="minorEastAsia" w:hint="eastAsia"/>
              </w:rPr>
              <w:t>が，行ってもよい</w:t>
            </w:r>
            <w:r w:rsidRPr="00BC31E0">
              <w:rPr>
                <w:rFonts w:asciiTheme="minorHAnsi" w:eastAsiaTheme="minorEastAsia" w:hAnsiTheme="minorEastAsia"/>
              </w:rPr>
              <w:t>。</w:t>
            </w:r>
          </w:p>
          <w:p w14:paraId="10E19EC9" w14:textId="77777777" w:rsidR="00644B5F" w:rsidRPr="00BC31E0" w:rsidRDefault="00644B5F" w:rsidP="00736130">
            <w:pPr>
              <w:numPr>
                <w:ilvl w:val="0"/>
                <w:numId w:val="184"/>
              </w:numPr>
              <w:ind w:left="340" w:hanging="340"/>
              <w:rPr>
                <w:rFonts w:asciiTheme="minorHAnsi" w:eastAsiaTheme="minorEastAsia" w:hAnsiTheme="minorHAnsi"/>
              </w:rPr>
            </w:pPr>
            <w:r w:rsidRPr="00BC31E0">
              <w:rPr>
                <w:rFonts w:asciiTheme="minorHAnsi" w:eastAsiaTheme="minorEastAsia" w:hAnsiTheme="minorHAnsi" w:hint="eastAsia"/>
              </w:rPr>
              <w:t>溶接後熱処理を行う場合には，製作者は材料の脆化，鋭敏化及びシグマ相など有害な相の析出を防止するために必要な措置をしなければならない</w:t>
            </w:r>
            <w:r w:rsidRPr="00BC31E0">
              <w:rPr>
                <w:rFonts w:asciiTheme="minorHAnsi" w:eastAsiaTheme="minorEastAsia" w:hAnsiTheme="minorHAnsi" w:hint="eastAsia"/>
              </w:rPr>
              <w:t>(</w:t>
            </w:r>
            <w:r w:rsidRPr="00BC31E0">
              <w:rPr>
                <w:rFonts w:asciiTheme="majorEastAsia" w:eastAsiaTheme="majorEastAsia" w:hAnsiTheme="majorEastAsia" w:hint="eastAsia"/>
                <w:b/>
              </w:rPr>
              <w:t>ASME Sec. II</w:t>
            </w:r>
            <w:r w:rsidRPr="00BC31E0">
              <w:rPr>
                <w:rFonts w:asciiTheme="minorHAnsi" w:eastAsiaTheme="minorEastAsia" w:hAnsiTheme="minorHAnsi" w:hint="eastAsia"/>
              </w:rPr>
              <w:t>，</w:t>
            </w:r>
            <w:r w:rsidRPr="00BC31E0">
              <w:rPr>
                <w:rFonts w:asciiTheme="majorEastAsia" w:eastAsiaTheme="majorEastAsia" w:hAnsiTheme="majorEastAsia" w:hint="eastAsia"/>
                <w:b/>
              </w:rPr>
              <w:t>Appendix A</w:t>
            </w:r>
            <w:r w:rsidRPr="00BC31E0">
              <w:rPr>
                <w:rFonts w:asciiTheme="minorHAnsi" w:eastAsiaTheme="minorEastAsia" w:hAnsiTheme="minorHAnsi" w:hint="eastAsia"/>
              </w:rPr>
              <w:t>，</w:t>
            </w:r>
            <w:r w:rsidRPr="00BC31E0">
              <w:rPr>
                <w:rFonts w:asciiTheme="majorEastAsia" w:eastAsiaTheme="majorEastAsia" w:hAnsiTheme="majorEastAsia" w:hint="eastAsia"/>
                <w:b/>
              </w:rPr>
              <w:t>A-207</w:t>
            </w:r>
            <w:r w:rsidRPr="00BC31E0">
              <w:rPr>
                <w:rFonts w:asciiTheme="minorHAnsi" w:eastAsiaTheme="minorEastAsia" w:hAnsiTheme="minorHAnsi" w:hint="eastAsia"/>
              </w:rPr>
              <w:t>～</w:t>
            </w:r>
            <w:r w:rsidRPr="00BC31E0">
              <w:rPr>
                <w:rFonts w:asciiTheme="majorEastAsia" w:eastAsiaTheme="majorEastAsia" w:hAnsiTheme="majorEastAsia" w:hint="eastAsia"/>
                <w:b/>
              </w:rPr>
              <w:t>A-210</w:t>
            </w:r>
            <w:r w:rsidRPr="00BC31E0">
              <w:rPr>
                <w:rFonts w:asciiTheme="minorHAnsi" w:eastAsiaTheme="minorEastAsia" w:hAnsiTheme="minorHAnsi" w:hint="eastAsia"/>
              </w:rPr>
              <w:t>を参照</w:t>
            </w:r>
            <w:r w:rsidRPr="00BC31E0">
              <w:rPr>
                <w:rFonts w:asciiTheme="minorHAnsi" w:eastAsiaTheme="minorEastAsia" w:hAnsiTheme="minorHAnsi" w:hint="eastAsia"/>
              </w:rPr>
              <w:t>)</w:t>
            </w:r>
            <w:r w:rsidRPr="00BC31E0">
              <w:rPr>
                <w:rFonts w:asciiTheme="minorHAnsi" w:eastAsiaTheme="minorEastAsia" w:hAnsiTheme="minorHAnsi" w:hint="eastAsia"/>
              </w:rPr>
              <w:t>。</w:t>
            </w:r>
          </w:p>
        </w:tc>
        <w:tc>
          <w:tcPr>
            <w:tcW w:w="2126" w:type="dxa"/>
          </w:tcPr>
          <w:p w14:paraId="3A954B4E" w14:textId="77777777" w:rsidR="00644B5F" w:rsidRPr="00BC31E0" w:rsidRDefault="00644B5F" w:rsidP="00644B5F">
            <w:pPr>
              <w:ind w:left="284" w:hanging="284"/>
              <w:rPr>
                <w:rFonts w:asciiTheme="minorHAnsi" w:eastAsiaTheme="minorEastAsia" w:hAnsiTheme="minorHAnsi"/>
              </w:rPr>
            </w:pPr>
          </w:p>
        </w:tc>
      </w:tr>
    </w:tbl>
    <w:p w14:paraId="407E7E25" w14:textId="77777777" w:rsidR="00644B5F" w:rsidRPr="00BC31E0" w:rsidRDefault="00644B5F" w:rsidP="00644B5F">
      <w:pPr>
        <w:rPr>
          <w:rFonts w:asciiTheme="minorEastAsia" w:eastAsiaTheme="minorEastAsia" w:hAnsiTheme="minorEastAsia"/>
        </w:rPr>
      </w:pPr>
    </w:p>
    <w:p w14:paraId="4FBA30F9" w14:textId="77777777" w:rsidR="00644B5F" w:rsidRPr="00BC31E0" w:rsidRDefault="00644B5F" w:rsidP="00644B5F">
      <w:pPr>
        <w:widowControl/>
        <w:jc w:val="left"/>
      </w:pPr>
      <w:r w:rsidRPr="00BC31E0">
        <w:br w:type="page"/>
      </w:r>
    </w:p>
    <w:p w14:paraId="34F5B100" w14:textId="77777777" w:rsidR="00644B5F" w:rsidRPr="00BC31E0" w:rsidRDefault="00644B5F" w:rsidP="00644B5F">
      <w:pPr>
        <w:widowControl/>
        <w:jc w:val="center"/>
        <w:rPr>
          <w:rFonts w:asciiTheme="majorEastAsia" w:eastAsiaTheme="majorEastAsia" w:hAnsiTheme="majorEastAsia"/>
          <w:b/>
        </w:rPr>
      </w:pPr>
      <w:r w:rsidRPr="00BC31E0">
        <w:rPr>
          <w:rFonts w:asciiTheme="majorEastAsia" w:eastAsiaTheme="majorEastAsia" w:hAnsiTheme="majorEastAsia" w:hint="eastAsia"/>
          <w:b/>
        </w:rPr>
        <w:lastRenderedPageBreak/>
        <w:t>表7.4.9</w:t>
      </w:r>
      <w:r w:rsidRPr="00BC31E0">
        <w:rPr>
          <w:rFonts w:asciiTheme="majorEastAsia" w:eastAsiaTheme="majorEastAsia" w:hAnsiTheme="majorEastAsia"/>
          <w:b/>
        </w:rPr>
        <w:t xml:space="preserve">　溶接後熱処理</w:t>
      </w:r>
      <w:r w:rsidRPr="00BC31E0">
        <w:rPr>
          <w:rFonts w:asciiTheme="majorEastAsia" w:eastAsiaTheme="majorEastAsia" w:hAnsiTheme="majorEastAsia" w:hint="eastAsia"/>
          <w:b/>
        </w:rPr>
        <w:t>の温度及び時間</w:t>
      </w:r>
    </w:p>
    <w:p w14:paraId="50942018" w14:textId="77777777" w:rsidR="00644B5F" w:rsidRPr="00BC31E0" w:rsidRDefault="00644B5F" w:rsidP="00644B5F">
      <w:pPr>
        <w:spacing w:after="60"/>
        <w:jc w:val="center"/>
        <w:rPr>
          <w:rFonts w:asciiTheme="majorEastAsia" w:eastAsiaTheme="majorEastAsia" w:hAnsiTheme="majorEastAsia"/>
          <w:b/>
        </w:rPr>
      </w:pPr>
      <w:r w:rsidRPr="00BC31E0">
        <w:rPr>
          <w:rFonts w:asciiTheme="majorEastAsia" w:eastAsiaTheme="majorEastAsia" w:hAnsiTheme="majorEastAsia"/>
          <w:b/>
        </w:rPr>
        <w:t>(P</w:t>
      </w:r>
      <w:r w:rsidRPr="00BC31E0">
        <w:rPr>
          <w:rFonts w:asciiTheme="majorEastAsia" w:eastAsiaTheme="majorEastAsia" w:hAnsiTheme="majorEastAsia" w:hint="eastAsia"/>
          <w:b/>
        </w:rPr>
        <w:t>番号</w:t>
      </w:r>
      <w:r w:rsidRPr="00BC31E0">
        <w:rPr>
          <w:rFonts w:asciiTheme="majorEastAsia" w:eastAsiaTheme="majorEastAsia" w:hAnsiTheme="majorEastAsia"/>
          <w:b/>
        </w:rPr>
        <w:t>9A</w:t>
      </w:r>
      <w:r w:rsidRPr="00BC31E0">
        <w:rPr>
          <w:rFonts w:asciiTheme="majorEastAsia" w:eastAsiaTheme="majorEastAsia" w:hAnsiTheme="majorEastAsia" w:hint="eastAsia"/>
          <w:b/>
        </w:rPr>
        <w:t>グループ番号</w:t>
      </w:r>
      <w:r w:rsidRPr="00BC31E0">
        <w:rPr>
          <w:rFonts w:asciiTheme="majorEastAsia" w:eastAsiaTheme="majorEastAsia" w:hAnsiTheme="majorEastAsia"/>
          <w:b/>
        </w:rPr>
        <w:t>1</w:t>
      </w:r>
      <w:r w:rsidRPr="00BC31E0">
        <w:rPr>
          <w:rFonts w:asciiTheme="majorEastAsia" w:eastAsiaTheme="majorEastAsia" w:hAnsiTheme="majorEastAsia" w:hint="eastAsia"/>
          <w:b/>
        </w:rPr>
        <w:t>の材料</w:t>
      </w:r>
      <w:r w:rsidRPr="00BC31E0">
        <w:rPr>
          <w:rFonts w:asciiTheme="majorEastAsia" w:eastAsiaTheme="majorEastAsia" w:hAnsiTheme="majorEastAsia"/>
          <w:b/>
        </w:rPr>
        <w:t>)</w:t>
      </w:r>
    </w:p>
    <w:tbl>
      <w:tblPr>
        <w:tblStyle w:val="100"/>
        <w:tblW w:w="0" w:type="auto"/>
        <w:tblInd w:w="108" w:type="dxa"/>
        <w:tblLook w:val="04A0" w:firstRow="1" w:lastRow="0" w:firstColumn="1" w:lastColumn="0" w:noHBand="0" w:noVBand="1"/>
      </w:tblPr>
      <w:tblGrid>
        <w:gridCol w:w="6946"/>
        <w:gridCol w:w="2126"/>
      </w:tblGrid>
      <w:tr w:rsidR="00644B5F" w:rsidRPr="00BC31E0" w14:paraId="15CAC38E" w14:textId="77777777" w:rsidTr="004736F2">
        <w:tc>
          <w:tcPr>
            <w:tcW w:w="6946" w:type="dxa"/>
            <w:vAlign w:val="center"/>
          </w:tcPr>
          <w:p w14:paraId="5DA0236A" w14:textId="77777777" w:rsidR="00644B5F" w:rsidRPr="00BC31E0" w:rsidRDefault="00644B5F" w:rsidP="00644B5F">
            <w:pPr>
              <w:jc w:val="center"/>
              <w:rPr>
                <w:rFonts w:asciiTheme="minorHAnsi" w:eastAsiaTheme="minorEastAsia" w:hAnsiTheme="minorHAnsi"/>
              </w:rPr>
            </w:pPr>
            <w:r w:rsidRPr="00BC31E0">
              <w:rPr>
                <w:rFonts w:asciiTheme="minorHAnsi" w:eastAsiaTheme="minorEastAsia" w:hAnsiTheme="minorEastAsia"/>
              </w:rPr>
              <w:t>要求事項</w:t>
            </w:r>
          </w:p>
        </w:tc>
        <w:tc>
          <w:tcPr>
            <w:tcW w:w="2126" w:type="dxa"/>
            <w:vAlign w:val="center"/>
          </w:tcPr>
          <w:p w14:paraId="637B8C85" w14:textId="77777777" w:rsidR="00644B5F" w:rsidRPr="00BC31E0" w:rsidRDefault="00644B5F" w:rsidP="00644B5F">
            <w:pPr>
              <w:jc w:val="center"/>
              <w:rPr>
                <w:rFonts w:asciiTheme="minorHAnsi" w:eastAsiaTheme="minorEastAsia" w:hAnsiTheme="minorHAnsi"/>
              </w:rPr>
            </w:pPr>
            <w:r w:rsidRPr="00BC31E0">
              <w:rPr>
                <w:rFonts w:asciiTheme="minorHAnsi" w:eastAsiaTheme="minorEastAsia" w:hAnsiTheme="minorEastAsia"/>
              </w:rPr>
              <w:t>保持温度と保持時間</w:t>
            </w:r>
          </w:p>
        </w:tc>
      </w:tr>
      <w:tr w:rsidR="00644B5F" w:rsidRPr="00BC31E0" w14:paraId="768C2C22" w14:textId="77777777" w:rsidTr="004736F2">
        <w:tc>
          <w:tcPr>
            <w:tcW w:w="6946" w:type="dxa"/>
          </w:tcPr>
          <w:p w14:paraId="1EBCCE05" w14:textId="77777777" w:rsidR="00644B5F" w:rsidRPr="00BC31E0" w:rsidRDefault="00644B5F" w:rsidP="00736130">
            <w:pPr>
              <w:numPr>
                <w:ilvl w:val="0"/>
                <w:numId w:val="185"/>
              </w:numPr>
              <w:ind w:left="340" w:hanging="340"/>
              <w:rPr>
                <w:rFonts w:asciiTheme="minorHAnsi" w:eastAsiaTheme="minorEastAsia" w:hAnsiTheme="minorHAnsi"/>
              </w:rPr>
            </w:pPr>
            <w:r w:rsidRPr="00BC31E0">
              <w:rPr>
                <w:rFonts w:asciiTheme="minorHAnsi" w:eastAsiaTheme="minorEastAsia" w:hAnsiTheme="minorEastAsia"/>
              </w:rPr>
              <w:t>次の</w:t>
            </w:r>
            <w:r w:rsidRPr="00BC31E0">
              <w:rPr>
                <w:rFonts w:asciiTheme="majorEastAsia" w:eastAsiaTheme="majorEastAsia" w:hAnsiTheme="majorEastAsia"/>
                <w:b/>
              </w:rPr>
              <w:t>1)</w:t>
            </w:r>
            <w:r w:rsidRPr="00BC31E0">
              <w:rPr>
                <w:rFonts w:asciiTheme="minorHAnsi" w:eastAsiaTheme="minorEastAsia" w:hAnsiTheme="minorEastAsia"/>
              </w:rPr>
              <w:t>～</w:t>
            </w:r>
            <w:r w:rsidRPr="00BC31E0">
              <w:rPr>
                <w:rFonts w:asciiTheme="majorEastAsia" w:eastAsiaTheme="majorEastAsia" w:hAnsiTheme="majorEastAsia"/>
                <w:b/>
              </w:rPr>
              <w:t>3)</w:t>
            </w:r>
            <w:r w:rsidRPr="00BC31E0">
              <w:rPr>
                <w:rFonts w:asciiTheme="minorHAnsi" w:eastAsiaTheme="minorEastAsia" w:hAnsiTheme="minorEastAsia"/>
              </w:rPr>
              <w:t>の場合に，溶接後熱処</w:t>
            </w:r>
            <w:r w:rsidRPr="00BC31E0">
              <w:rPr>
                <w:rFonts w:asciiTheme="minorHAnsi" w:eastAsiaTheme="minorEastAsia" w:hAnsiTheme="minorEastAsia" w:hint="eastAsia"/>
              </w:rPr>
              <w:t>が必要である</w:t>
            </w:r>
            <w:r w:rsidRPr="00BC31E0">
              <w:rPr>
                <w:rFonts w:asciiTheme="minorHAnsi" w:eastAsiaTheme="minorEastAsia" w:hAnsiTheme="minorEastAsia"/>
              </w:rPr>
              <w:t>。</w:t>
            </w:r>
          </w:p>
          <w:p w14:paraId="4C384878" w14:textId="77777777" w:rsidR="00644B5F" w:rsidRPr="00BC31E0" w:rsidRDefault="00644B5F" w:rsidP="00736130">
            <w:pPr>
              <w:numPr>
                <w:ilvl w:val="0"/>
                <w:numId w:val="187"/>
              </w:numPr>
              <w:ind w:left="567" w:hanging="340"/>
              <w:rPr>
                <w:rFonts w:asciiTheme="minorHAnsi" w:eastAsiaTheme="minorEastAsia" w:hAnsiTheme="minorEastAsia"/>
              </w:rPr>
            </w:pPr>
            <w:r w:rsidRPr="00BC31E0">
              <w:rPr>
                <w:rFonts w:asciiTheme="minorHAnsi" w:eastAsiaTheme="minorEastAsia" w:hAnsiTheme="minorEastAsia"/>
              </w:rPr>
              <w:t>使用者設計仕様書で要求される全ての厚さの材料</w:t>
            </w:r>
          </w:p>
          <w:p w14:paraId="2640F558" w14:textId="77777777" w:rsidR="00644B5F" w:rsidRPr="00BC31E0" w:rsidRDefault="00644B5F" w:rsidP="00736130">
            <w:pPr>
              <w:numPr>
                <w:ilvl w:val="0"/>
                <w:numId w:val="187"/>
              </w:numPr>
              <w:ind w:left="567" w:hanging="340"/>
              <w:rPr>
                <w:rFonts w:asciiTheme="minorHAnsi" w:eastAsiaTheme="minorEastAsia" w:hAnsiTheme="minorEastAsia"/>
              </w:rPr>
            </w:pPr>
            <w:r w:rsidRPr="00BC31E0">
              <w:rPr>
                <w:rFonts w:asciiTheme="minorHAnsi" w:eastAsiaTheme="minorEastAsia" w:hAnsiTheme="minorEastAsia"/>
              </w:rPr>
              <w:t>公称厚さが</w:t>
            </w:r>
            <w:r w:rsidRPr="00BC31E0">
              <w:rPr>
                <w:rFonts w:ascii="Cambria Math" w:eastAsiaTheme="majorEastAsia" w:hAnsi="Cambria Math"/>
              </w:rPr>
              <w:t>16 mm</w:t>
            </w:r>
            <w:r w:rsidRPr="00BC31E0">
              <w:rPr>
                <w:rFonts w:asciiTheme="minorHAnsi" w:eastAsiaTheme="minorEastAsia" w:hAnsiTheme="minorEastAsia"/>
              </w:rPr>
              <w:t>を超える材料</w:t>
            </w:r>
          </w:p>
          <w:p w14:paraId="2510EAF7" w14:textId="77777777" w:rsidR="00644B5F" w:rsidRPr="00BC31E0" w:rsidRDefault="00644B5F" w:rsidP="00644B5F">
            <w:pPr>
              <w:ind w:left="567"/>
              <w:rPr>
                <w:rFonts w:asciiTheme="minorHAnsi" w:eastAsiaTheme="minorEastAsia" w:hAnsiTheme="minorHAnsi"/>
              </w:rPr>
            </w:pPr>
            <w:r w:rsidRPr="00BC31E0">
              <w:rPr>
                <w:rFonts w:ascii="Cambria Math" w:eastAsiaTheme="minorEastAsia" w:hAnsi="Cambria Math"/>
              </w:rPr>
              <w:t>16 mm</w:t>
            </w:r>
            <w:r w:rsidRPr="00BC31E0">
              <w:rPr>
                <w:rFonts w:asciiTheme="minorHAnsi" w:eastAsiaTheme="minorEastAsia" w:hAnsiTheme="minorEastAsia"/>
              </w:rPr>
              <w:t>以下の材料</w:t>
            </w:r>
            <w:r w:rsidRPr="00BC31E0">
              <w:rPr>
                <w:rFonts w:asciiTheme="minorHAnsi" w:eastAsiaTheme="minorEastAsia" w:hAnsiTheme="minorEastAsia" w:hint="eastAsia"/>
              </w:rPr>
              <w:t>は</w:t>
            </w:r>
            <w:r w:rsidRPr="00BC31E0">
              <w:rPr>
                <w:rFonts w:asciiTheme="minorHAnsi" w:eastAsiaTheme="minorEastAsia" w:hAnsiTheme="minorEastAsia"/>
              </w:rPr>
              <w:t>，製作</w:t>
            </w:r>
            <w:r w:rsidRPr="00BC31E0">
              <w:rPr>
                <w:rFonts w:asciiTheme="minorHAnsi" w:eastAsiaTheme="minorEastAsia" w:hAnsiTheme="minorEastAsia" w:hint="eastAsia"/>
              </w:rPr>
              <w:t>時の</w:t>
            </w:r>
            <w:r w:rsidRPr="00BC31E0">
              <w:rPr>
                <w:rFonts w:asciiTheme="minorHAnsi" w:eastAsiaTheme="minorEastAsia" w:hAnsiTheme="minorEastAsia"/>
              </w:rPr>
              <w:t>溶接以上の厚さで</w:t>
            </w:r>
            <w:r w:rsidRPr="00BC31E0">
              <w:rPr>
                <w:rFonts w:asciiTheme="majorEastAsia" w:eastAsiaTheme="majorEastAsia" w:hAnsiTheme="majorEastAsia" w:hint="eastAsia"/>
                <w:b/>
              </w:rPr>
              <w:t>7.2.2</w:t>
            </w:r>
            <w:r w:rsidRPr="00BC31E0">
              <w:rPr>
                <w:rFonts w:asciiTheme="minorHAnsi" w:eastAsiaTheme="minorEastAsia" w:hAnsiTheme="minorEastAsia"/>
              </w:rPr>
              <w:t>の溶接</w:t>
            </w:r>
            <w:r w:rsidRPr="00BC31E0">
              <w:rPr>
                <w:rFonts w:asciiTheme="minorHAnsi" w:eastAsiaTheme="minorEastAsia" w:hAnsiTheme="minorEastAsia" w:hint="eastAsia"/>
              </w:rPr>
              <w:t>施工方法の確認</w:t>
            </w:r>
            <w:r w:rsidRPr="00BC31E0">
              <w:rPr>
                <w:rFonts w:asciiTheme="minorHAnsi" w:eastAsiaTheme="minorEastAsia" w:hAnsiTheme="minorEastAsia"/>
              </w:rPr>
              <w:t>が</w:t>
            </w:r>
            <w:r w:rsidRPr="00BC31E0">
              <w:rPr>
                <w:rFonts w:asciiTheme="minorHAnsi" w:eastAsiaTheme="minorEastAsia" w:hAnsiTheme="minorEastAsia" w:hint="eastAsia"/>
              </w:rPr>
              <w:t>な</w:t>
            </w:r>
            <w:r w:rsidRPr="00BC31E0">
              <w:rPr>
                <w:rFonts w:asciiTheme="minorHAnsi" w:eastAsiaTheme="minorEastAsia" w:hAnsiTheme="minorEastAsia"/>
              </w:rPr>
              <w:t>されていなければ，溶接後熱処理</w:t>
            </w:r>
            <w:r w:rsidRPr="00BC31E0">
              <w:rPr>
                <w:rFonts w:asciiTheme="minorHAnsi" w:eastAsiaTheme="minorEastAsia" w:hAnsiTheme="minorEastAsia" w:hint="eastAsia"/>
              </w:rPr>
              <w:t>が必要である</w:t>
            </w:r>
            <w:r w:rsidRPr="00BC31E0">
              <w:rPr>
                <w:rFonts w:asciiTheme="minorHAnsi" w:eastAsiaTheme="minorEastAsia" w:hAnsiTheme="minorEastAsia"/>
              </w:rPr>
              <w:t>。</w:t>
            </w:r>
          </w:p>
          <w:p w14:paraId="1512CFD6" w14:textId="77777777" w:rsidR="00644B5F" w:rsidRPr="00BC31E0" w:rsidRDefault="00644B5F" w:rsidP="00736130">
            <w:pPr>
              <w:numPr>
                <w:ilvl w:val="0"/>
                <w:numId w:val="187"/>
              </w:numPr>
              <w:ind w:left="567" w:hanging="340"/>
              <w:rPr>
                <w:rFonts w:asciiTheme="minorHAnsi" w:eastAsiaTheme="minorEastAsia" w:hAnsiTheme="minorHAnsi"/>
              </w:rPr>
            </w:pPr>
            <w:r w:rsidRPr="00BC31E0">
              <w:rPr>
                <w:rFonts w:asciiTheme="minorHAnsi" w:eastAsiaTheme="minorEastAsia" w:hAnsiTheme="minorEastAsia"/>
              </w:rPr>
              <w:t>直火を受ける耐圧部</w:t>
            </w:r>
            <w:r w:rsidRPr="00BC31E0">
              <w:rPr>
                <w:rFonts w:asciiTheme="minorHAnsi" w:eastAsiaTheme="minorEastAsia" w:hAnsiTheme="minorEastAsia" w:hint="eastAsia"/>
              </w:rPr>
              <w:t>材</w:t>
            </w:r>
          </w:p>
          <w:p w14:paraId="0DBC10DF" w14:textId="77777777" w:rsidR="00644B5F" w:rsidRPr="00BC31E0" w:rsidRDefault="00644B5F" w:rsidP="00736130">
            <w:pPr>
              <w:numPr>
                <w:ilvl w:val="0"/>
                <w:numId w:val="186"/>
              </w:numPr>
              <w:ind w:left="340" w:hanging="340"/>
              <w:rPr>
                <w:rFonts w:asciiTheme="minorHAnsi" w:eastAsiaTheme="minorEastAsia" w:hAnsiTheme="minorHAnsi"/>
              </w:rPr>
            </w:pPr>
            <w:r w:rsidRPr="00BC31E0">
              <w:rPr>
                <w:rFonts w:asciiTheme="minorHAnsi" w:eastAsiaTheme="minorEastAsia" w:hAnsiTheme="minorEastAsia"/>
              </w:rPr>
              <w:t>次の</w:t>
            </w:r>
            <w:r w:rsidRPr="00BC31E0">
              <w:rPr>
                <w:rFonts w:asciiTheme="majorEastAsia" w:eastAsiaTheme="majorEastAsia" w:hAnsiTheme="majorEastAsia"/>
                <w:b/>
              </w:rPr>
              <w:t>1)</w:t>
            </w:r>
            <w:r w:rsidRPr="00BC31E0">
              <w:rPr>
                <w:rFonts w:asciiTheme="minorHAnsi" w:eastAsiaTheme="minorEastAsia" w:hAnsiTheme="minorEastAsia"/>
              </w:rPr>
              <w:t>～</w:t>
            </w:r>
            <w:r w:rsidRPr="00BC31E0">
              <w:rPr>
                <w:rFonts w:asciiTheme="majorEastAsia" w:eastAsiaTheme="majorEastAsia" w:hAnsiTheme="majorEastAsia"/>
                <w:b/>
              </w:rPr>
              <w:t>5)</w:t>
            </w:r>
            <w:r w:rsidRPr="00BC31E0">
              <w:rPr>
                <w:rFonts w:asciiTheme="minorHAnsi" w:eastAsiaTheme="minorEastAsia" w:hAnsiTheme="minorEastAsia"/>
              </w:rPr>
              <w:t>の場合に，溶接後熱処理の必要はない。</w:t>
            </w:r>
          </w:p>
          <w:p w14:paraId="02E00379" w14:textId="77777777" w:rsidR="00644B5F" w:rsidRPr="00BC31E0" w:rsidRDefault="00644B5F" w:rsidP="00736130">
            <w:pPr>
              <w:numPr>
                <w:ilvl w:val="0"/>
                <w:numId w:val="188"/>
              </w:numPr>
              <w:ind w:left="567" w:hanging="340"/>
              <w:rPr>
                <w:rFonts w:asciiTheme="minorHAnsi" w:eastAsiaTheme="minorEastAsia" w:hAnsiTheme="minorHAnsi"/>
              </w:rPr>
            </w:pPr>
            <w:r w:rsidRPr="00BC31E0">
              <w:rPr>
                <w:rFonts w:asciiTheme="minorHAnsi" w:eastAsiaTheme="minorEastAsia" w:hAnsiTheme="minorEastAsia"/>
              </w:rPr>
              <w:t>次の</w:t>
            </w:r>
            <w:r w:rsidRPr="00BC31E0">
              <w:rPr>
                <w:rFonts w:asciiTheme="majorEastAsia" w:eastAsiaTheme="majorEastAsia" w:hAnsiTheme="majorEastAsia" w:hint="eastAsia"/>
                <w:b/>
              </w:rPr>
              <w:t>1.1</w:t>
            </w:r>
            <w:r w:rsidRPr="00BC31E0">
              <w:rPr>
                <w:rFonts w:asciiTheme="majorEastAsia" w:eastAsiaTheme="majorEastAsia" w:hAnsiTheme="majorEastAsia"/>
                <w:b/>
              </w:rPr>
              <w:t>)</w:t>
            </w:r>
            <w:r w:rsidRPr="00BC31E0">
              <w:rPr>
                <w:rFonts w:asciiTheme="minorHAnsi" w:eastAsiaTheme="minorEastAsia" w:hAnsiTheme="minorEastAsia"/>
              </w:rPr>
              <w:t>～</w:t>
            </w:r>
            <w:r w:rsidRPr="00BC31E0">
              <w:rPr>
                <w:rFonts w:asciiTheme="majorEastAsia" w:eastAsiaTheme="majorEastAsia" w:hAnsiTheme="majorEastAsia" w:hint="eastAsia"/>
                <w:b/>
              </w:rPr>
              <w:t>1.4</w:t>
            </w:r>
            <w:r w:rsidRPr="00BC31E0">
              <w:rPr>
                <w:rFonts w:asciiTheme="majorEastAsia" w:eastAsiaTheme="majorEastAsia" w:hAnsiTheme="majorEastAsia"/>
                <w:b/>
              </w:rPr>
              <w:t>)</w:t>
            </w:r>
            <w:r w:rsidRPr="00BC31E0">
              <w:rPr>
                <w:rFonts w:asciiTheme="minorHAnsi" w:eastAsiaTheme="minorEastAsia" w:hAnsiTheme="minorHAnsi" w:hint="eastAsia"/>
              </w:rPr>
              <w:t>の要件を満たす</w:t>
            </w:r>
            <w:r w:rsidRPr="00BC31E0">
              <w:rPr>
                <w:rFonts w:asciiTheme="minorHAnsi" w:eastAsiaTheme="minorEastAsia" w:hAnsiTheme="minorEastAsia"/>
              </w:rPr>
              <w:t>パイプ又は管の周方向突合せ溶接</w:t>
            </w:r>
          </w:p>
          <w:p w14:paraId="66F1DEDE" w14:textId="77777777" w:rsidR="00644B5F" w:rsidRPr="00BC31E0" w:rsidRDefault="00644B5F" w:rsidP="00736130">
            <w:pPr>
              <w:numPr>
                <w:ilvl w:val="0"/>
                <w:numId w:val="189"/>
              </w:numPr>
              <w:ind w:left="1021" w:hanging="567"/>
              <w:rPr>
                <w:rFonts w:asciiTheme="minorHAnsi" w:eastAsiaTheme="minorEastAsia" w:hAnsiTheme="minorHAnsi"/>
              </w:rPr>
            </w:pPr>
            <w:r w:rsidRPr="00BC31E0">
              <w:rPr>
                <w:rFonts w:asciiTheme="minorHAnsi" w:eastAsiaTheme="minorEastAsia" w:hAnsiTheme="minorEastAsia"/>
              </w:rPr>
              <w:t>公称外径が</w:t>
            </w:r>
            <w:r w:rsidRPr="00BC31E0">
              <w:rPr>
                <w:rFonts w:ascii="Cambria Math" w:eastAsiaTheme="minorEastAsia" w:hAnsi="Cambria Math"/>
              </w:rPr>
              <w:t>100 mm</w:t>
            </w:r>
            <w:r w:rsidRPr="00BC31E0">
              <w:rPr>
                <w:rFonts w:asciiTheme="minorHAnsi" w:eastAsiaTheme="minorEastAsia" w:hAnsiTheme="minorEastAsia"/>
              </w:rPr>
              <w:t>以下</w:t>
            </w:r>
            <w:r w:rsidRPr="00BC31E0">
              <w:rPr>
                <w:rFonts w:asciiTheme="minorHAnsi" w:eastAsiaTheme="minorEastAsia" w:hAnsiTheme="minorEastAsia" w:hint="eastAsia"/>
              </w:rPr>
              <w:t>である。</w:t>
            </w:r>
          </w:p>
          <w:p w14:paraId="67FFE767" w14:textId="77777777" w:rsidR="00644B5F" w:rsidRPr="00BC31E0" w:rsidRDefault="00644B5F" w:rsidP="00736130">
            <w:pPr>
              <w:numPr>
                <w:ilvl w:val="0"/>
                <w:numId w:val="189"/>
              </w:numPr>
              <w:ind w:left="1021" w:hanging="567"/>
              <w:rPr>
                <w:rFonts w:asciiTheme="minorHAnsi" w:eastAsiaTheme="minorEastAsia" w:hAnsiTheme="minorHAnsi"/>
              </w:rPr>
            </w:pPr>
            <w:r w:rsidRPr="00BC31E0">
              <w:rPr>
                <w:rFonts w:asciiTheme="minorHAnsi" w:eastAsiaTheme="minorEastAsia" w:hAnsiTheme="minorEastAsia"/>
              </w:rPr>
              <w:t>公称厚さが</w:t>
            </w:r>
            <w:r w:rsidRPr="00BC31E0">
              <w:rPr>
                <w:rFonts w:ascii="Cambria Math" w:eastAsiaTheme="minorEastAsia" w:hAnsi="Cambria Math"/>
              </w:rPr>
              <w:t>13 mm</w:t>
            </w:r>
            <w:r w:rsidRPr="00BC31E0">
              <w:rPr>
                <w:rFonts w:asciiTheme="minorHAnsi" w:eastAsiaTheme="minorEastAsia" w:hAnsiTheme="minorEastAsia"/>
              </w:rPr>
              <w:t>以下</w:t>
            </w:r>
            <w:r w:rsidRPr="00BC31E0">
              <w:rPr>
                <w:rFonts w:asciiTheme="minorHAnsi" w:eastAsiaTheme="minorEastAsia" w:hAnsiTheme="minorEastAsia" w:hint="eastAsia"/>
              </w:rPr>
              <w:t>である。</w:t>
            </w:r>
          </w:p>
          <w:p w14:paraId="5F5D5BD1" w14:textId="77777777" w:rsidR="00644B5F" w:rsidRPr="00BC31E0" w:rsidRDefault="00644B5F" w:rsidP="00736130">
            <w:pPr>
              <w:numPr>
                <w:ilvl w:val="0"/>
                <w:numId w:val="189"/>
              </w:numPr>
              <w:ind w:left="1021" w:hanging="567"/>
              <w:rPr>
                <w:rFonts w:asciiTheme="minorHAnsi" w:eastAsiaTheme="minorEastAsia" w:hAnsiTheme="minorHAnsi"/>
              </w:rPr>
            </w:pPr>
            <w:r w:rsidRPr="00BC31E0">
              <w:rPr>
                <w:rFonts w:asciiTheme="minorHAnsi" w:eastAsiaTheme="minorEastAsia" w:hAnsiTheme="minorEastAsia"/>
              </w:rPr>
              <w:t>規定炭素含有量が</w:t>
            </w:r>
            <w:r w:rsidRPr="00BC31E0">
              <w:rPr>
                <w:rFonts w:ascii="Cambria Math" w:eastAsiaTheme="minorEastAsia" w:hAnsi="Cambria Math"/>
              </w:rPr>
              <w:t>0.15</w:t>
            </w:r>
            <w:r w:rsidRPr="00BC31E0">
              <w:rPr>
                <w:rFonts w:ascii="Cambria Math" w:eastAsiaTheme="minorEastAsia" w:hAnsi="Cambria Math" w:hint="eastAsia"/>
              </w:rPr>
              <w:t xml:space="preserve"> </w:t>
            </w:r>
            <w:r w:rsidRPr="00BC31E0">
              <w:rPr>
                <w:rFonts w:ascii="Cambria Math" w:eastAsiaTheme="minorEastAsia" w:hAnsi="Cambria Math"/>
              </w:rPr>
              <w:t>%</w:t>
            </w:r>
            <w:r w:rsidRPr="00BC31E0">
              <w:rPr>
                <w:rFonts w:asciiTheme="minorHAnsi" w:eastAsiaTheme="minorEastAsia" w:hAnsiTheme="minorEastAsia"/>
              </w:rPr>
              <w:t>以下</w:t>
            </w:r>
            <w:r w:rsidRPr="00BC31E0">
              <w:rPr>
                <w:rFonts w:asciiTheme="minorHAnsi" w:eastAsiaTheme="minorEastAsia" w:hAnsiTheme="minorEastAsia" w:hint="eastAsia"/>
              </w:rPr>
              <w:t>である。</w:t>
            </w:r>
          </w:p>
          <w:p w14:paraId="1B98555E" w14:textId="77777777" w:rsidR="00644B5F" w:rsidRPr="00BC31E0" w:rsidRDefault="00644B5F" w:rsidP="00736130">
            <w:pPr>
              <w:numPr>
                <w:ilvl w:val="0"/>
                <w:numId w:val="189"/>
              </w:numPr>
              <w:ind w:left="1021" w:hanging="567"/>
              <w:rPr>
                <w:rFonts w:asciiTheme="minorHAnsi" w:eastAsiaTheme="minorEastAsia" w:hAnsiTheme="minorHAnsi"/>
              </w:rPr>
            </w:pPr>
            <w:r w:rsidRPr="00BC31E0">
              <w:rPr>
                <w:rFonts w:asciiTheme="minorHAnsi" w:eastAsiaTheme="minorEastAsia" w:hAnsiTheme="minorEastAsia"/>
              </w:rPr>
              <w:t>予熱温度</w:t>
            </w:r>
            <w:r w:rsidRPr="00BC31E0">
              <w:rPr>
                <w:rFonts w:asciiTheme="minorHAnsi" w:eastAsiaTheme="minorEastAsia" w:hAnsiTheme="minorEastAsia" w:hint="eastAsia"/>
              </w:rPr>
              <w:t>が</w:t>
            </w:r>
            <w:r w:rsidRPr="00BC31E0">
              <w:rPr>
                <w:rFonts w:ascii="Cambria Math" w:eastAsiaTheme="minorEastAsia" w:hAnsi="Cambria Math"/>
              </w:rPr>
              <w:t>120</w:t>
            </w:r>
            <w:r w:rsidRPr="00BC31E0">
              <w:rPr>
                <w:rFonts w:asciiTheme="minorHAnsi" w:hAnsiTheme="minorHAnsi"/>
              </w:rPr>
              <w:t>°C</w:t>
            </w:r>
            <w:r w:rsidRPr="00BC31E0">
              <w:rPr>
                <w:rFonts w:asciiTheme="minorHAnsi" w:eastAsiaTheme="minorEastAsia" w:hAnsiTheme="minorEastAsia" w:hint="eastAsia"/>
              </w:rPr>
              <w:t>以上である。</w:t>
            </w:r>
          </w:p>
          <w:p w14:paraId="3E0FB4F7" w14:textId="77777777" w:rsidR="00644B5F" w:rsidRPr="00BC31E0" w:rsidRDefault="00644B5F" w:rsidP="00736130">
            <w:pPr>
              <w:numPr>
                <w:ilvl w:val="0"/>
                <w:numId w:val="188"/>
              </w:numPr>
              <w:ind w:left="567" w:hanging="340"/>
              <w:rPr>
                <w:rFonts w:asciiTheme="minorHAnsi" w:eastAsiaTheme="minorEastAsia" w:hAnsiTheme="minorHAnsi"/>
              </w:rPr>
            </w:pPr>
            <w:r w:rsidRPr="00BC31E0">
              <w:rPr>
                <w:rFonts w:asciiTheme="minorHAnsi" w:eastAsiaTheme="minorEastAsia" w:hAnsiTheme="minorEastAsia"/>
              </w:rPr>
              <w:t>次の</w:t>
            </w:r>
            <w:r w:rsidRPr="00BC31E0">
              <w:rPr>
                <w:rFonts w:asciiTheme="majorEastAsia" w:eastAsiaTheme="majorEastAsia" w:hAnsiTheme="majorEastAsia" w:hint="eastAsia"/>
                <w:b/>
              </w:rPr>
              <w:t>2.1</w:t>
            </w:r>
            <w:r w:rsidRPr="00BC31E0">
              <w:rPr>
                <w:rFonts w:asciiTheme="majorEastAsia" w:eastAsiaTheme="majorEastAsia" w:hAnsiTheme="majorEastAsia"/>
                <w:b/>
              </w:rPr>
              <w:t>)</w:t>
            </w:r>
            <w:r w:rsidRPr="00BC31E0">
              <w:rPr>
                <w:rFonts w:asciiTheme="minorHAnsi" w:eastAsiaTheme="minorEastAsia" w:hAnsiTheme="minorEastAsia"/>
              </w:rPr>
              <w:t>及び</w:t>
            </w:r>
            <w:r w:rsidRPr="00BC31E0">
              <w:rPr>
                <w:rFonts w:asciiTheme="majorEastAsia" w:eastAsiaTheme="majorEastAsia" w:hAnsiTheme="majorEastAsia" w:hint="eastAsia"/>
                <w:b/>
              </w:rPr>
              <w:t>2.2</w:t>
            </w:r>
            <w:r w:rsidRPr="00BC31E0">
              <w:rPr>
                <w:rFonts w:asciiTheme="majorEastAsia" w:eastAsiaTheme="majorEastAsia" w:hAnsiTheme="majorEastAsia"/>
                <w:b/>
              </w:rPr>
              <w:t>)</w:t>
            </w:r>
            <w:r w:rsidRPr="00BC31E0">
              <w:rPr>
                <w:rFonts w:asciiTheme="minorHAnsi" w:eastAsiaTheme="minorEastAsia" w:hAnsiTheme="minorEastAsia" w:hint="eastAsia"/>
              </w:rPr>
              <w:t>の要件を満たす</w:t>
            </w:r>
            <w:r w:rsidRPr="00BC31E0">
              <w:rPr>
                <w:rFonts w:asciiTheme="majorEastAsia" w:eastAsiaTheme="majorEastAsia" w:hAnsiTheme="majorEastAsia"/>
                <w:b/>
              </w:rPr>
              <w:t>1</w:t>
            </w:r>
            <w:r w:rsidRPr="00BC31E0">
              <w:rPr>
                <w:rFonts w:asciiTheme="majorEastAsia" w:eastAsiaTheme="majorEastAsia" w:hAnsiTheme="majorEastAsia" w:hint="eastAsia"/>
                <w:b/>
              </w:rPr>
              <w:t>.1</w:t>
            </w:r>
            <w:r w:rsidRPr="00BC31E0">
              <w:rPr>
                <w:rFonts w:asciiTheme="majorEastAsia" w:eastAsiaTheme="majorEastAsia" w:hAnsiTheme="majorEastAsia"/>
                <w:b/>
              </w:rPr>
              <w:t>)</w:t>
            </w:r>
            <w:r w:rsidRPr="00BC31E0">
              <w:rPr>
                <w:rFonts w:asciiTheme="minorHAnsi" w:eastAsiaTheme="minorEastAsia" w:hAnsiTheme="minorEastAsia"/>
              </w:rPr>
              <w:t>～</w:t>
            </w:r>
            <w:r w:rsidRPr="00BC31E0">
              <w:rPr>
                <w:rFonts w:asciiTheme="majorEastAsia" w:eastAsiaTheme="majorEastAsia" w:hAnsiTheme="majorEastAsia"/>
                <w:b/>
              </w:rPr>
              <w:t>1</w:t>
            </w:r>
            <w:r w:rsidRPr="00BC31E0">
              <w:rPr>
                <w:rFonts w:asciiTheme="majorEastAsia" w:eastAsiaTheme="majorEastAsia" w:hAnsiTheme="majorEastAsia" w:hint="eastAsia"/>
                <w:b/>
              </w:rPr>
              <w:t>.3</w:t>
            </w:r>
            <w:r w:rsidRPr="00BC31E0">
              <w:rPr>
                <w:rFonts w:asciiTheme="majorEastAsia" w:eastAsiaTheme="majorEastAsia" w:hAnsiTheme="majorEastAsia"/>
                <w:b/>
              </w:rPr>
              <w:t>)</w:t>
            </w:r>
            <w:r w:rsidRPr="00BC31E0">
              <w:rPr>
                <w:rFonts w:asciiTheme="minorHAnsi" w:eastAsiaTheme="minorEastAsia" w:hAnsiTheme="minorHAnsi" w:hint="eastAsia"/>
              </w:rPr>
              <w:t>の</w:t>
            </w:r>
            <w:r w:rsidRPr="00BC31E0">
              <w:rPr>
                <w:rFonts w:asciiTheme="minorHAnsi" w:eastAsiaTheme="minorEastAsia" w:hAnsiTheme="minorEastAsia"/>
              </w:rPr>
              <w:t>パイプ又は管</w:t>
            </w:r>
          </w:p>
          <w:p w14:paraId="7B9E3BF2" w14:textId="77777777" w:rsidR="00644B5F" w:rsidRPr="00BC31E0" w:rsidRDefault="00644B5F" w:rsidP="00736130">
            <w:pPr>
              <w:numPr>
                <w:ilvl w:val="0"/>
                <w:numId w:val="190"/>
              </w:numPr>
              <w:ind w:left="1021" w:hanging="567"/>
              <w:rPr>
                <w:rFonts w:asciiTheme="minorHAnsi" w:eastAsiaTheme="minorEastAsia" w:hAnsiTheme="minorEastAsia"/>
              </w:rPr>
            </w:pPr>
            <w:r w:rsidRPr="00BC31E0">
              <w:rPr>
                <w:rFonts w:asciiTheme="minorHAnsi" w:eastAsiaTheme="minorEastAsia" w:hAnsiTheme="minorEastAsia"/>
              </w:rPr>
              <w:t>のど厚が</w:t>
            </w:r>
            <w:r w:rsidRPr="00BC31E0">
              <w:rPr>
                <w:rFonts w:asciiTheme="minorHAnsi" w:eastAsiaTheme="minorEastAsia" w:hAnsiTheme="minorHAnsi"/>
              </w:rPr>
              <w:t>13 mm</w:t>
            </w:r>
            <w:r w:rsidRPr="00BC31E0">
              <w:rPr>
                <w:rFonts w:asciiTheme="minorHAnsi" w:eastAsiaTheme="minorEastAsia" w:hAnsiTheme="minorEastAsia"/>
              </w:rPr>
              <w:t>以下の隅肉溶接</w:t>
            </w:r>
          </w:p>
          <w:p w14:paraId="006EB96A" w14:textId="77777777" w:rsidR="00644B5F" w:rsidRPr="00BC31E0" w:rsidRDefault="00644B5F" w:rsidP="00736130">
            <w:pPr>
              <w:numPr>
                <w:ilvl w:val="0"/>
                <w:numId w:val="190"/>
              </w:numPr>
              <w:ind w:left="1021" w:hanging="567"/>
              <w:rPr>
                <w:rFonts w:asciiTheme="minorHAnsi" w:eastAsiaTheme="minorEastAsia" w:hAnsiTheme="minorEastAsia"/>
              </w:rPr>
            </w:pPr>
            <w:r w:rsidRPr="00BC31E0">
              <w:rPr>
                <w:rFonts w:ascii="Cambria Math" w:eastAsiaTheme="minorEastAsia" w:hAnsi="Cambria Math"/>
              </w:rPr>
              <w:t>120</w:t>
            </w:r>
            <w:r w:rsidRPr="00BC31E0">
              <w:rPr>
                <w:rFonts w:asciiTheme="minorHAnsi" w:hAnsiTheme="minorHAnsi"/>
              </w:rPr>
              <w:t>°C</w:t>
            </w:r>
            <w:r w:rsidRPr="00BC31E0">
              <w:rPr>
                <w:rFonts w:asciiTheme="minorHAnsi" w:eastAsiaTheme="minorEastAsia" w:hAnsiTheme="minorEastAsia" w:hint="eastAsia"/>
              </w:rPr>
              <w:t>以上</w:t>
            </w:r>
            <w:r w:rsidRPr="00BC31E0">
              <w:rPr>
                <w:rFonts w:asciiTheme="minorHAnsi" w:eastAsiaTheme="minorEastAsia" w:hAnsiTheme="minorEastAsia"/>
              </w:rPr>
              <w:t>で予熱された材料</w:t>
            </w:r>
          </w:p>
          <w:p w14:paraId="32CBCCC8" w14:textId="77777777" w:rsidR="00644B5F" w:rsidRPr="00BC31E0" w:rsidRDefault="00644B5F" w:rsidP="00644B5F">
            <w:pPr>
              <w:ind w:left="1021"/>
              <w:rPr>
                <w:rFonts w:asciiTheme="minorHAnsi" w:eastAsiaTheme="minorEastAsia" w:hAnsiTheme="minorHAnsi"/>
              </w:rPr>
            </w:pPr>
            <w:r w:rsidRPr="00BC31E0">
              <w:rPr>
                <w:rFonts w:asciiTheme="minorHAnsi" w:eastAsiaTheme="minorEastAsia" w:hAnsiTheme="minorEastAsia"/>
              </w:rPr>
              <w:t>健全な溶接継手を製作するために特別</w:t>
            </w:r>
            <w:r w:rsidRPr="00BC31E0">
              <w:rPr>
                <w:rFonts w:asciiTheme="minorHAnsi" w:eastAsiaTheme="minorEastAsia" w:hAnsiTheme="minorEastAsia" w:hint="eastAsia"/>
              </w:rPr>
              <w:t>な</w:t>
            </w:r>
            <w:r w:rsidRPr="00BC31E0">
              <w:rPr>
                <w:rFonts w:asciiTheme="minorHAnsi" w:eastAsiaTheme="minorEastAsia" w:hAnsiTheme="minorEastAsia"/>
              </w:rPr>
              <w:t>手順が用いられる場合，より低い予熱温度</w:t>
            </w:r>
            <w:r w:rsidR="007D423F" w:rsidRPr="00BC31E0">
              <w:rPr>
                <w:rFonts w:asciiTheme="minorHAnsi" w:eastAsiaTheme="minorEastAsia" w:hAnsiTheme="minorEastAsia" w:hint="eastAsia"/>
              </w:rPr>
              <w:t>にしてもよい</w:t>
            </w:r>
            <w:r w:rsidRPr="00BC31E0">
              <w:rPr>
                <w:rFonts w:asciiTheme="minorHAnsi" w:eastAsiaTheme="minorEastAsia" w:hAnsiTheme="minorEastAsia"/>
              </w:rPr>
              <w:t>。</w:t>
            </w:r>
            <w:r w:rsidRPr="00BC31E0">
              <w:rPr>
                <w:rFonts w:asciiTheme="minorHAnsi" w:eastAsiaTheme="minorEastAsia" w:hAnsiTheme="minorEastAsia" w:hint="eastAsia"/>
              </w:rPr>
              <w:t>この</w:t>
            </w:r>
            <w:r w:rsidRPr="00BC31E0">
              <w:rPr>
                <w:rFonts w:asciiTheme="minorHAnsi" w:eastAsiaTheme="minorEastAsia" w:hAnsiTheme="minorEastAsia"/>
              </w:rPr>
              <w:t>ような手順には次の</w:t>
            </w:r>
            <w:r w:rsidRPr="00BC31E0">
              <w:rPr>
                <w:rFonts w:asciiTheme="majorEastAsia" w:eastAsiaTheme="majorEastAsia" w:hAnsiTheme="majorEastAsia" w:hint="eastAsia"/>
                <w:b/>
              </w:rPr>
              <w:t>2.2.1</w:t>
            </w:r>
            <w:r w:rsidRPr="00BC31E0">
              <w:rPr>
                <w:rFonts w:asciiTheme="majorEastAsia" w:eastAsiaTheme="majorEastAsia" w:hAnsiTheme="majorEastAsia"/>
                <w:b/>
              </w:rPr>
              <w:t>)</w:t>
            </w:r>
            <w:r w:rsidRPr="00BC31E0">
              <w:rPr>
                <w:rFonts w:asciiTheme="minorHAnsi" w:eastAsiaTheme="minorEastAsia" w:hAnsiTheme="minorEastAsia"/>
              </w:rPr>
              <w:t>～</w:t>
            </w:r>
            <w:r w:rsidRPr="00BC31E0">
              <w:rPr>
                <w:rFonts w:asciiTheme="majorEastAsia" w:eastAsiaTheme="majorEastAsia" w:hAnsiTheme="majorEastAsia" w:hint="eastAsia"/>
                <w:b/>
              </w:rPr>
              <w:t>2.2.3</w:t>
            </w:r>
            <w:r w:rsidRPr="00BC31E0">
              <w:rPr>
                <w:rFonts w:asciiTheme="majorEastAsia" w:eastAsiaTheme="majorEastAsia" w:hAnsiTheme="majorEastAsia"/>
                <w:b/>
              </w:rPr>
              <w:t>)</w:t>
            </w:r>
            <w:r w:rsidRPr="00BC31E0">
              <w:rPr>
                <w:rFonts w:asciiTheme="minorHAnsi" w:eastAsiaTheme="minorEastAsia" w:hAnsiTheme="minorEastAsia"/>
              </w:rPr>
              <w:t>が</w:t>
            </w:r>
            <w:r w:rsidRPr="00BC31E0">
              <w:rPr>
                <w:rFonts w:asciiTheme="minorHAnsi" w:eastAsiaTheme="minorEastAsia" w:hAnsiTheme="minorEastAsia" w:hint="eastAsia"/>
              </w:rPr>
              <w:t>あるが</w:t>
            </w:r>
            <w:r w:rsidRPr="00BC31E0">
              <w:rPr>
                <w:rFonts w:asciiTheme="minorHAnsi" w:eastAsiaTheme="minorEastAsia" w:hAnsiTheme="minorEastAsia"/>
              </w:rPr>
              <w:t>，これらに限定されない。</w:t>
            </w:r>
          </w:p>
          <w:p w14:paraId="4F7BF41E" w14:textId="77777777" w:rsidR="00644B5F" w:rsidRPr="00BC31E0" w:rsidRDefault="00644B5F" w:rsidP="00736130">
            <w:pPr>
              <w:numPr>
                <w:ilvl w:val="0"/>
                <w:numId w:val="191"/>
              </w:numPr>
              <w:ind w:left="1701" w:hanging="794"/>
              <w:rPr>
                <w:rFonts w:asciiTheme="minorHAnsi" w:eastAsiaTheme="minorEastAsia" w:hAnsiTheme="minorHAnsi"/>
              </w:rPr>
            </w:pPr>
            <w:r w:rsidRPr="00BC31E0">
              <w:rPr>
                <w:rFonts w:asciiTheme="minorHAnsi" w:eastAsiaTheme="minorEastAsia" w:hAnsiTheme="minorEastAsia"/>
              </w:rPr>
              <w:t>のど厚が</w:t>
            </w:r>
            <w:r w:rsidRPr="00BC31E0">
              <w:rPr>
                <w:rFonts w:asciiTheme="minorHAnsi" w:eastAsiaTheme="minorEastAsia" w:hAnsiTheme="minorHAnsi"/>
              </w:rPr>
              <w:t>13 mm</w:t>
            </w:r>
            <w:r w:rsidRPr="00BC31E0">
              <w:rPr>
                <w:rFonts w:asciiTheme="minorHAnsi" w:eastAsiaTheme="minorEastAsia" w:hAnsiTheme="minorEastAsia"/>
              </w:rPr>
              <w:t>以下</w:t>
            </w:r>
            <w:r w:rsidRPr="00BC31E0">
              <w:rPr>
                <w:rFonts w:asciiTheme="minorHAnsi" w:eastAsiaTheme="minorEastAsia" w:hAnsiTheme="minorEastAsia" w:hint="eastAsia"/>
              </w:rPr>
              <w:t>の</w:t>
            </w:r>
            <w:r w:rsidRPr="00BC31E0">
              <w:rPr>
                <w:rFonts w:asciiTheme="minorHAnsi" w:eastAsiaTheme="minorEastAsia" w:hAnsiTheme="minorEastAsia"/>
              </w:rPr>
              <w:t>隅肉溶接</w:t>
            </w:r>
            <w:r w:rsidRPr="00BC31E0">
              <w:rPr>
                <w:rFonts w:asciiTheme="minorHAnsi" w:eastAsiaTheme="minorEastAsia" w:hAnsiTheme="minorEastAsia" w:hint="eastAsia"/>
              </w:rPr>
              <w:t>である。</w:t>
            </w:r>
          </w:p>
          <w:p w14:paraId="6150F19C" w14:textId="77777777" w:rsidR="00644B5F" w:rsidRPr="00BC31E0" w:rsidRDefault="00644B5F" w:rsidP="00736130">
            <w:pPr>
              <w:numPr>
                <w:ilvl w:val="0"/>
                <w:numId w:val="191"/>
              </w:numPr>
              <w:ind w:left="1701" w:hanging="794"/>
              <w:rPr>
                <w:rFonts w:asciiTheme="minorHAnsi" w:eastAsiaTheme="minorEastAsia" w:hAnsiTheme="minorHAnsi"/>
              </w:rPr>
            </w:pPr>
            <w:r w:rsidRPr="00BC31E0">
              <w:rPr>
                <w:rFonts w:asciiTheme="minorHAnsi" w:eastAsiaTheme="minorEastAsia" w:hAnsiTheme="minorEastAsia"/>
              </w:rPr>
              <w:t>連続長さが</w:t>
            </w:r>
            <w:r w:rsidRPr="00BC31E0">
              <w:rPr>
                <w:rFonts w:asciiTheme="minorHAnsi" w:eastAsiaTheme="minorEastAsia" w:hAnsiTheme="minorHAnsi"/>
              </w:rPr>
              <w:t>100 mm</w:t>
            </w:r>
            <w:r w:rsidRPr="00BC31E0">
              <w:rPr>
                <w:rFonts w:asciiTheme="minorHAnsi" w:eastAsiaTheme="minorEastAsia" w:hAnsiTheme="minorEastAsia"/>
              </w:rPr>
              <w:t>以下</w:t>
            </w:r>
            <w:r w:rsidRPr="00BC31E0">
              <w:rPr>
                <w:rFonts w:asciiTheme="minorHAnsi" w:eastAsiaTheme="minorEastAsia" w:hAnsiTheme="minorEastAsia" w:hint="eastAsia"/>
              </w:rPr>
              <w:t>の</w:t>
            </w:r>
            <w:r w:rsidRPr="00BC31E0">
              <w:rPr>
                <w:rFonts w:asciiTheme="minorHAnsi" w:eastAsiaTheme="minorEastAsia" w:hAnsiTheme="minorEastAsia"/>
              </w:rPr>
              <w:t>隅肉溶接</w:t>
            </w:r>
            <w:r w:rsidRPr="00BC31E0">
              <w:rPr>
                <w:rFonts w:asciiTheme="minorHAnsi" w:eastAsiaTheme="minorEastAsia" w:hAnsiTheme="minorEastAsia" w:hint="eastAsia"/>
              </w:rPr>
              <w:t>である。</w:t>
            </w:r>
          </w:p>
          <w:p w14:paraId="7951D392" w14:textId="77777777" w:rsidR="00644B5F" w:rsidRPr="00BC31E0" w:rsidRDefault="00644B5F" w:rsidP="00736130">
            <w:pPr>
              <w:numPr>
                <w:ilvl w:val="0"/>
                <w:numId w:val="191"/>
              </w:numPr>
              <w:ind w:left="1701" w:hanging="794"/>
              <w:rPr>
                <w:rFonts w:asciiTheme="minorHAnsi" w:eastAsiaTheme="minorEastAsia" w:hAnsiTheme="minorHAnsi"/>
              </w:rPr>
            </w:pPr>
            <w:r w:rsidRPr="00BC31E0">
              <w:rPr>
                <w:rFonts w:asciiTheme="majorEastAsia" w:eastAsiaTheme="majorEastAsia" w:hAnsiTheme="majorEastAsia" w:hint="eastAsia"/>
                <w:b/>
              </w:rPr>
              <w:t>7.2.2</w:t>
            </w:r>
            <w:r w:rsidRPr="00BC31E0">
              <w:rPr>
                <w:rFonts w:asciiTheme="minorHAnsi" w:eastAsiaTheme="minorEastAsia" w:hAnsiTheme="minorEastAsia"/>
              </w:rPr>
              <w:t>の溶接</w:t>
            </w:r>
            <w:r w:rsidRPr="00BC31E0">
              <w:rPr>
                <w:rFonts w:asciiTheme="minorHAnsi" w:eastAsiaTheme="minorEastAsia" w:hAnsiTheme="minorEastAsia" w:hint="eastAsia"/>
              </w:rPr>
              <w:t>施工方法の確認</w:t>
            </w:r>
            <w:r w:rsidRPr="00BC31E0">
              <w:rPr>
                <w:rFonts w:asciiTheme="minorHAnsi" w:eastAsiaTheme="minorEastAsia" w:hAnsiTheme="minorEastAsia"/>
              </w:rPr>
              <w:t>に</w:t>
            </w:r>
            <w:r w:rsidRPr="00BC31E0">
              <w:rPr>
                <w:rFonts w:asciiTheme="minorHAnsi" w:eastAsiaTheme="minorEastAsia" w:hAnsiTheme="minorEastAsia" w:hint="eastAsia"/>
              </w:rPr>
              <w:t>用いる</w:t>
            </w:r>
            <w:r w:rsidRPr="00BC31E0">
              <w:rPr>
                <w:rFonts w:asciiTheme="minorHAnsi" w:eastAsiaTheme="minorEastAsia" w:hAnsiTheme="minorEastAsia"/>
              </w:rPr>
              <w:t>試験板の厚さが溶接</w:t>
            </w:r>
            <w:r w:rsidRPr="00BC31E0">
              <w:rPr>
                <w:rFonts w:asciiTheme="minorHAnsi" w:eastAsiaTheme="minorEastAsia" w:hAnsiTheme="minorEastAsia" w:hint="eastAsia"/>
              </w:rPr>
              <w:t>する</w:t>
            </w:r>
            <w:r w:rsidRPr="00BC31E0">
              <w:rPr>
                <w:rFonts w:asciiTheme="minorHAnsi" w:eastAsiaTheme="minorEastAsia" w:hAnsiTheme="minorEastAsia"/>
              </w:rPr>
              <w:t>材料よりも厚い</w:t>
            </w:r>
            <w:r w:rsidRPr="00BC31E0">
              <w:rPr>
                <w:rFonts w:asciiTheme="minorHAnsi" w:eastAsiaTheme="minorEastAsia" w:hAnsiTheme="minorEastAsia" w:hint="eastAsia"/>
              </w:rPr>
              <w:t>。</w:t>
            </w:r>
          </w:p>
          <w:p w14:paraId="532E8970" w14:textId="77777777" w:rsidR="00644B5F" w:rsidRPr="00BC31E0" w:rsidRDefault="00644B5F" w:rsidP="00736130">
            <w:pPr>
              <w:numPr>
                <w:ilvl w:val="0"/>
                <w:numId w:val="188"/>
              </w:numPr>
              <w:ind w:left="567" w:hanging="340"/>
              <w:rPr>
                <w:rFonts w:asciiTheme="minorHAnsi" w:eastAsiaTheme="minorEastAsia" w:hAnsiTheme="minorHAnsi"/>
              </w:rPr>
            </w:pPr>
            <w:r w:rsidRPr="00BC31E0">
              <w:rPr>
                <w:rFonts w:asciiTheme="minorHAnsi" w:eastAsiaTheme="minorEastAsia" w:hAnsiTheme="minorHAnsi" w:hint="eastAsia"/>
              </w:rPr>
              <w:t>予熱温度が</w:t>
            </w:r>
            <w:r w:rsidRPr="00BC31E0">
              <w:rPr>
                <w:rFonts w:ascii="Cambria Math" w:eastAsiaTheme="minorEastAsia" w:hAnsi="Cambria Math"/>
              </w:rPr>
              <w:t>95</w:t>
            </w:r>
            <w:r w:rsidRPr="00BC31E0">
              <w:rPr>
                <w:rFonts w:asciiTheme="minorHAnsi" w:hAnsiTheme="minorHAnsi"/>
              </w:rPr>
              <w:t>°C</w:t>
            </w:r>
            <w:r w:rsidRPr="00BC31E0">
              <w:rPr>
                <w:rFonts w:asciiTheme="minorHAnsi" w:eastAsiaTheme="minorEastAsia" w:hAnsiTheme="minorHAnsi" w:hint="eastAsia"/>
              </w:rPr>
              <w:t>以上で，溶接深さが</w:t>
            </w:r>
            <w:r w:rsidRPr="00BC31E0">
              <w:rPr>
                <w:rFonts w:ascii="Cambria Math" w:eastAsiaTheme="minorEastAsia" w:hAnsi="Cambria Math"/>
              </w:rPr>
              <w:t>13 mm</w:t>
            </w:r>
            <w:r w:rsidRPr="00BC31E0">
              <w:rPr>
                <w:rFonts w:asciiTheme="minorHAnsi" w:eastAsiaTheme="minorEastAsia" w:hAnsiTheme="minorHAnsi" w:hint="eastAsia"/>
              </w:rPr>
              <w:t>以下の開先溶接又はのど厚が</w:t>
            </w:r>
            <w:r w:rsidRPr="00BC31E0">
              <w:rPr>
                <w:rFonts w:ascii="Cambria Math" w:eastAsiaTheme="minorEastAsia" w:hAnsi="Cambria Math"/>
              </w:rPr>
              <w:t>13 mm</w:t>
            </w:r>
            <w:r w:rsidRPr="00BC31E0">
              <w:rPr>
                <w:rFonts w:asciiTheme="minorHAnsi" w:eastAsiaTheme="minorEastAsia" w:hAnsiTheme="minorHAnsi" w:hint="eastAsia"/>
              </w:rPr>
              <w:t>以下の隅肉溶接による耐圧部材への非耐圧部材の取付け</w:t>
            </w:r>
          </w:p>
          <w:p w14:paraId="3B5B8234" w14:textId="77777777" w:rsidR="00644B5F" w:rsidRPr="00BC31E0" w:rsidRDefault="00644B5F" w:rsidP="00736130">
            <w:pPr>
              <w:numPr>
                <w:ilvl w:val="0"/>
                <w:numId w:val="188"/>
              </w:numPr>
              <w:ind w:left="567" w:hanging="340"/>
              <w:rPr>
                <w:rFonts w:asciiTheme="minorHAnsi" w:eastAsiaTheme="minorEastAsia" w:hAnsiTheme="minorHAnsi"/>
              </w:rPr>
            </w:pPr>
            <w:r w:rsidRPr="00BC31E0">
              <w:rPr>
                <w:rFonts w:asciiTheme="minorHAnsi" w:eastAsiaTheme="minorEastAsia" w:hAnsiTheme="minorEastAsia"/>
              </w:rPr>
              <w:t>予熱温度</w:t>
            </w:r>
            <w:r w:rsidRPr="00BC31E0">
              <w:rPr>
                <w:rFonts w:asciiTheme="minorHAnsi" w:eastAsiaTheme="minorEastAsia" w:hAnsiTheme="minorEastAsia" w:hint="eastAsia"/>
              </w:rPr>
              <w:t>が</w:t>
            </w:r>
            <w:r w:rsidRPr="00BC31E0">
              <w:rPr>
                <w:rFonts w:ascii="Cambria Math" w:eastAsiaTheme="minorEastAsia" w:hAnsi="Cambria Math"/>
              </w:rPr>
              <w:t>95</w:t>
            </w:r>
            <w:r w:rsidRPr="00BC31E0">
              <w:rPr>
                <w:rFonts w:asciiTheme="minorHAnsi" w:hAnsiTheme="minorHAnsi"/>
              </w:rPr>
              <w:t>°C</w:t>
            </w:r>
            <w:r w:rsidRPr="00BC31E0">
              <w:rPr>
                <w:rFonts w:asciiTheme="minorHAnsi" w:eastAsiaTheme="minorEastAsia" w:hAnsiTheme="minorEastAsia" w:hint="eastAsia"/>
              </w:rPr>
              <w:t>以上の</w:t>
            </w:r>
            <w:r w:rsidRPr="00BC31E0">
              <w:rPr>
                <w:rFonts w:asciiTheme="minorHAnsi" w:eastAsiaTheme="minorEastAsia" w:hAnsiTheme="minorEastAsia"/>
              </w:rPr>
              <w:t>耐圧部</w:t>
            </w:r>
            <w:r w:rsidRPr="00BC31E0">
              <w:rPr>
                <w:rFonts w:asciiTheme="minorHAnsi" w:eastAsiaTheme="minorEastAsia" w:hAnsiTheme="minorEastAsia" w:hint="eastAsia"/>
              </w:rPr>
              <w:t>材</w:t>
            </w:r>
            <w:r w:rsidRPr="00BC31E0">
              <w:rPr>
                <w:rFonts w:asciiTheme="minorHAnsi" w:eastAsiaTheme="minorEastAsia" w:hAnsiTheme="minorEastAsia"/>
              </w:rPr>
              <w:t>のスタッド溶接</w:t>
            </w:r>
          </w:p>
          <w:p w14:paraId="409EC9AD" w14:textId="77777777" w:rsidR="00644B5F" w:rsidRPr="00BC31E0" w:rsidRDefault="00644B5F" w:rsidP="00736130">
            <w:pPr>
              <w:numPr>
                <w:ilvl w:val="0"/>
                <w:numId w:val="188"/>
              </w:numPr>
              <w:ind w:left="567" w:hanging="340"/>
              <w:rPr>
                <w:rFonts w:asciiTheme="minorHAnsi" w:eastAsiaTheme="minorEastAsia" w:hAnsiTheme="minorHAnsi"/>
              </w:rPr>
            </w:pPr>
            <w:r w:rsidRPr="00BC31E0">
              <w:rPr>
                <w:rFonts w:asciiTheme="minorHAnsi" w:eastAsiaTheme="minorEastAsia" w:hAnsiTheme="minorEastAsia"/>
              </w:rPr>
              <w:t>初層の溶接で</w:t>
            </w:r>
            <w:r w:rsidRPr="00BC31E0">
              <w:rPr>
                <w:rFonts w:asciiTheme="minorHAnsi" w:eastAsiaTheme="minorEastAsia" w:hAnsiTheme="minorEastAsia" w:hint="eastAsia"/>
              </w:rPr>
              <w:t>，</w:t>
            </w:r>
            <w:r w:rsidRPr="00BC31E0">
              <w:rPr>
                <w:rFonts w:ascii="Cambria Math" w:eastAsiaTheme="minorEastAsia" w:hAnsi="Cambria Math"/>
              </w:rPr>
              <w:t>95</w:t>
            </w:r>
            <w:r w:rsidRPr="00BC31E0">
              <w:rPr>
                <w:rFonts w:asciiTheme="minorHAnsi" w:hAnsiTheme="minorHAnsi"/>
              </w:rPr>
              <w:t>°C</w:t>
            </w:r>
            <w:r w:rsidRPr="00BC31E0">
              <w:rPr>
                <w:rFonts w:asciiTheme="minorHAnsi" w:eastAsiaTheme="minorEastAsia" w:hAnsiTheme="minorEastAsia" w:hint="eastAsia"/>
              </w:rPr>
              <w:t>以上の</w:t>
            </w:r>
            <w:r w:rsidRPr="00BC31E0">
              <w:rPr>
                <w:rFonts w:asciiTheme="minorHAnsi" w:eastAsiaTheme="minorEastAsia" w:hAnsiTheme="minorEastAsia"/>
              </w:rPr>
              <w:t>予熱温度が</w:t>
            </w:r>
            <w:r w:rsidRPr="00BC31E0">
              <w:rPr>
                <w:rFonts w:asciiTheme="minorHAnsi" w:eastAsiaTheme="minorEastAsia" w:hAnsiTheme="minorEastAsia" w:hint="eastAsia"/>
              </w:rPr>
              <w:t>保持</w:t>
            </w:r>
            <w:r w:rsidRPr="00BC31E0">
              <w:rPr>
                <w:rFonts w:asciiTheme="minorHAnsi" w:eastAsiaTheme="minorEastAsia" w:hAnsiTheme="minorEastAsia"/>
              </w:rPr>
              <w:t>される耐食</w:t>
            </w:r>
            <w:r w:rsidRPr="00BC31E0">
              <w:rPr>
                <w:rFonts w:asciiTheme="minorHAnsi" w:eastAsiaTheme="minorEastAsia" w:hAnsiTheme="minorEastAsia" w:hint="eastAsia"/>
              </w:rPr>
              <w:t>肉盛</w:t>
            </w:r>
            <w:r w:rsidRPr="00BC31E0">
              <w:rPr>
                <w:rFonts w:asciiTheme="minorHAnsi" w:eastAsiaTheme="minorEastAsia" w:hAnsiTheme="minorEastAsia"/>
              </w:rPr>
              <w:t>溶接又は耐食ライニング溶接</w:t>
            </w:r>
          </w:p>
          <w:p w14:paraId="26ABC1F3" w14:textId="77777777" w:rsidR="00644B5F" w:rsidRPr="00BC31E0" w:rsidRDefault="00644B5F" w:rsidP="00736130">
            <w:pPr>
              <w:numPr>
                <w:ilvl w:val="0"/>
                <w:numId w:val="184"/>
              </w:numPr>
              <w:ind w:left="340" w:hanging="340"/>
              <w:rPr>
                <w:rFonts w:asciiTheme="minorHAnsi" w:eastAsiaTheme="minorEastAsia" w:hAnsiTheme="minorEastAsia"/>
              </w:rPr>
            </w:pPr>
            <w:r w:rsidRPr="00BC31E0">
              <w:rPr>
                <w:rFonts w:asciiTheme="minorHAnsi" w:eastAsiaTheme="minorEastAsia" w:hAnsiTheme="minorEastAsia"/>
              </w:rPr>
              <w:t>溶接後熱処理の保持</w:t>
            </w:r>
            <w:r w:rsidRPr="00BC31E0">
              <w:rPr>
                <w:rFonts w:asciiTheme="minorHAnsi" w:eastAsiaTheme="minorEastAsia" w:hAnsiTheme="minorEastAsia" w:hint="eastAsia"/>
              </w:rPr>
              <w:t>期間</w:t>
            </w:r>
            <w:r w:rsidRPr="00BC31E0">
              <w:rPr>
                <w:rFonts w:asciiTheme="minorHAnsi" w:eastAsiaTheme="minorEastAsia" w:hAnsiTheme="minorEastAsia"/>
              </w:rPr>
              <w:t>中に，容器</w:t>
            </w:r>
            <w:r w:rsidRPr="00BC31E0">
              <w:rPr>
                <w:rFonts w:asciiTheme="minorHAnsi" w:eastAsiaTheme="minorEastAsia" w:hAnsiTheme="minorEastAsia" w:hint="eastAsia"/>
              </w:rPr>
              <w:t>部材の</w:t>
            </w:r>
            <w:r w:rsidRPr="00BC31E0">
              <w:rPr>
                <w:rFonts w:asciiTheme="minorHAnsi" w:eastAsiaTheme="minorEastAsia" w:hAnsiTheme="minorEastAsia"/>
              </w:rPr>
              <w:t>最大</w:t>
            </w:r>
            <w:r w:rsidRPr="00BC31E0">
              <w:rPr>
                <w:rFonts w:asciiTheme="minorHAnsi" w:eastAsiaTheme="minorEastAsia" w:hAnsiTheme="minorEastAsia" w:hint="eastAsia"/>
              </w:rPr>
              <w:t>保持</w:t>
            </w:r>
            <w:r w:rsidRPr="00BC31E0">
              <w:rPr>
                <w:rFonts w:asciiTheme="minorHAnsi" w:eastAsiaTheme="minorEastAsia" w:hAnsiTheme="minorEastAsia"/>
              </w:rPr>
              <w:t>時間</w:t>
            </w:r>
            <w:r w:rsidRPr="00BC31E0">
              <w:rPr>
                <w:rFonts w:asciiTheme="minorHAnsi" w:eastAsiaTheme="minorEastAsia" w:hAnsiTheme="minorEastAsia" w:hint="eastAsia"/>
              </w:rPr>
              <w:t>又は</w:t>
            </w:r>
            <w:r w:rsidRPr="00BC31E0">
              <w:rPr>
                <w:rFonts w:asciiTheme="minorHAnsi" w:eastAsiaTheme="minorEastAsia" w:hAnsiTheme="minorEastAsia"/>
              </w:rPr>
              <w:t>温度</w:t>
            </w:r>
            <w:r w:rsidRPr="00BC31E0">
              <w:rPr>
                <w:rFonts w:asciiTheme="minorHAnsi" w:eastAsiaTheme="minorEastAsia" w:hAnsiTheme="minorEastAsia" w:hint="eastAsia"/>
              </w:rPr>
              <w:t>が</w:t>
            </w:r>
            <w:r w:rsidRPr="00BC31E0">
              <w:rPr>
                <w:rFonts w:asciiTheme="majorEastAsia" w:eastAsiaTheme="majorEastAsia" w:hAnsiTheme="majorEastAsia" w:hint="eastAsia"/>
                <w:b/>
              </w:rPr>
              <w:t>10.1.2 c)</w:t>
            </w:r>
            <w:r w:rsidRPr="00BC31E0">
              <w:rPr>
                <w:rFonts w:asciiTheme="minorEastAsia" w:eastAsiaTheme="minorEastAsia" w:hAnsiTheme="minorEastAsia" w:hint="eastAsia"/>
              </w:rPr>
              <w:t>の</w:t>
            </w:r>
            <w:r w:rsidRPr="00BC31E0">
              <w:rPr>
                <w:rFonts w:asciiTheme="minorHAnsi" w:eastAsiaTheme="minorEastAsia" w:hAnsiTheme="minorEastAsia" w:hint="eastAsia"/>
              </w:rPr>
              <w:t>規定</w:t>
            </w:r>
            <w:r w:rsidRPr="00BC31E0">
              <w:rPr>
                <w:rFonts w:asciiTheme="minorHAnsi" w:eastAsiaTheme="minorEastAsia" w:hAnsiTheme="minorEastAsia"/>
              </w:rPr>
              <w:t>を超え</w:t>
            </w:r>
            <w:r w:rsidRPr="00BC31E0">
              <w:rPr>
                <w:rFonts w:asciiTheme="minorHAnsi" w:eastAsiaTheme="minorEastAsia" w:hAnsiTheme="minorEastAsia" w:hint="eastAsia"/>
              </w:rPr>
              <w:t>る</w:t>
            </w:r>
            <w:r w:rsidRPr="00BC31E0">
              <w:rPr>
                <w:rFonts w:asciiTheme="minorHAnsi" w:eastAsiaTheme="minorEastAsia" w:hAnsiTheme="minorEastAsia"/>
              </w:rPr>
              <w:t>場合には，追加</w:t>
            </w:r>
            <w:r w:rsidRPr="00BC31E0">
              <w:rPr>
                <w:rFonts w:asciiTheme="minorHAnsi" w:eastAsiaTheme="minorEastAsia" w:hAnsiTheme="minorEastAsia" w:hint="eastAsia"/>
              </w:rPr>
              <w:t>の</w:t>
            </w:r>
            <w:r w:rsidRPr="00BC31E0">
              <w:rPr>
                <w:rFonts w:asciiTheme="minorHAnsi" w:eastAsiaTheme="minorEastAsia" w:hAnsiTheme="minorEastAsia"/>
              </w:rPr>
              <w:t>試験材を作製して試験しなければならない。</w:t>
            </w:r>
          </w:p>
        </w:tc>
        <w:tc>
          <w:tcPr>
            <w:tcW w:w="2126" w:type="dxa"/>
          </w:tcPr>
          <w:p w14:paraId="263C416C" w14:textId="77777777" w:rsidR="00644B5F" w:rsidRPr="00BC31E0" w:rsidRDefault="00644B5F" w:rsidP="00644B5F">
            <w:pPr>
              <w:ind w:left="170"/>
              <w:rPr>
                <w:rFonts w:ascii="Cambria Math" w:eastAsiaTheme="minorEastAsia" w:hAnsi="Cambria Math"/>
              </w:rPr>
            </w:pPr>
            <w:r w:rsidRPr="00BC31E0">
              <w:rPr>
                <w:rFonts w:ascii="Cambria Math" w:eastAsiaTheme="minorEastAsia" w:hAnsi="Cambria Math"/>
              </w:rPr>
              <w:t>595</w:t>
            </w:r>
            <w:r w:rsidRPr="00BC31E0">
              <w:rPr>
                <w:rFonts w:asciiTheme="minorHAnsi" w:hAnsiTheme="minorHAnsi"/>
              </w:rPr>
              <w:t>°C</w:t>
            </w:r>
          </w:p>
          <w:tbl>
            <w:tblPr>
              <w:tblStyle w:val="100"/>
              <w:tblW w:w="0" w:type="auto"/>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35"/>
            </w:tblGrid>
            <w:tr w:rsidR="00644B5F" w:rsidRPr="00BC31E0" w14:paraId="43F8FBAE" w14:textId="77777777" w:rsidTr="004736F2">
              <w:tc>
                <w:tcPr>
                  <w:tcW w:w="0" w:type="auto"/>
                  <w:vAlign w:val="center"/>
                </w:tcPr>
                <w:p w14:paraId="70A6A446" w14:textId="77777777" w:rsidR="00644B5F" w:rsidRPr="00BC31E0" w:rsidRDefault="00644B5F" w:rsidP="00644B5F">
                  <w:pPr>
                    <w:rPr>
                      <w:rFonts w:ascii="Cambria Math" w:eastAsiaTheme="majorEastAsia" w:hAnsi="Cambria Math"/>
                      <w:i/>
                    </w:rPr>
                  </w:pPr>
                  <m:oMathPara>
                    <m:oMathParaPr>
                      <m:jc m:val="left"/>
                    </m:oMathParaPr>
                    <m:oMath>
                      <m:r>
                        <w:rPr>
                          <w:rFonts w:ascii="Cambria Math" w:eastAsiaTheme="majorEastAsia" w:hAnsi="Cambria Math"/>
                        </w:rPr>
                        <m:t>1+</m:t>
                      </m:r>
                      <m:f>
                        <m:fPr>
                          <m:ctrlPr>
                            <w:rPr>
                              <w:rFonts w:ascii="Cambria Math" w:eastAsiaTheme="majorEastAsia" w:hAnsi="Cambria Math"/>
                              <w:i/>
                            </w:rPr>
                          </m:ctrlPr>
                        </m:fPr>
                        <m:num>
                          <m:sSub>
                            <m:sSubPr>
                              <m:ctrlPr>
                                <w:rPr>
                                  <w:rFonts w:ascii="Cambria Math" w:eastAsiaTheme="majorEastAsia" w:hAnsi="Cambria Math"/>
                                  <w:i/>
                                </w:rPr>
                              </m:ctrlPr>
                            </m:sSubPr>
                            <m:e>
                              <m:r>
                                <w:rPr>
                                  <w:rFonts w:ascii="Cambria Math" w:eastAsiaTheme="majorEastAsia" w:hAnsi="Cambria Math"/>
                                </w:rPr>
                                <m:t>t</m:t>
                              </m:r>
                            </m:e>
                            <m:sub>
                              <m:r>
                                <w:rPr>
                                  <w:rFonts w:ascii="Cambria Math" w:eastAsiaTheme="majorEastAsia" w:hAnsi="Cambria Math"/>
                                </w:rPr>
                                <m:t>n</m:t>
                              </m:r>
                            </m:sub>
                          </m:sSub>
                          <m:r>
                            <w:rPr>
                              <w:rFonts w:ascii="Cambria Math" w:eastAsiaTheme="majorEastAsia" w:hAnsi="Cambria Math"/>
                            </w:rPr>
                            <m:t>-25</m:t>
                          </m:r>
                        </m:num>
                        <m:den>
                          <m:r>
                            <w:rPr>
                              <w:rFonts w:ascii="Cambria Math" w:eastAsiaTheme="majorEastAsia" w:hAnsi="Cambria Math"/>
                            </w:rPr>
                            <m:t>100</m:t>
                          </m:r>
                        </m:den>
                      </m:f>
                      <m:r>
                        <w:rPr>
                          <w:rFonts w:ascii="Cambria Math" w:eastAsiaTheme="majorEastAsia" w:hAnsi="Cambria Math"/>
                        </w:rPr>
                        <m:t xml:space="preserve"> </m:t>
                      </m:r>
                      <m:r>
                        <m:rPr>
                          <m:sty m:val="p"/>
                        </m:rPr>
                        <w:rPr>
                          <w:rFonts w:ascii="Cambria Math" w:eastAsiaTheme="majorEastAsia" w:hAnsi="Cambria Math"/>
                        </w:rPr>
                        <m:t>h</m:t>
                      </m:r>
                    </m:oMath>
                  </m:oMathPara>
                </w:p>
              </w:tc>
            </w:tr>
          </w:tbl>
          <w:p w14:paraId="41DC0B91" w14:textId="77777777" w:rsidR="00644B5F" w:rsidRPr="00BC31E0" w:rsidRDefault="00644B5F" w:rsidP="00644B5F">
            <w:pPr>
              <w:ind w:left="170"/>
              <w:rPr>
                <w:rFonts w:asciiTheme="minorEastAsia" w:eastAsiaTheme="minorEastAsia" w:hAnsiTheme="minorEastAsia"/>
              </w:rPr>
            </w:pPr>
            <w:r w:rsidRPr="00BC31E0">
              <w:rPr>
                <w:rFonts w:asciiTheme="minorEastAsia" w:eastAsiaTheme="minorEastAsia" w:hAnsiTheme="minorEastAsia" w:hint="eastAsia"/>
              </w:rPr>
              <w:t xml:space="preserve">最小 </w:t>
            </w:r>
            <w:r w:rsidRPr="00BC31E0">
              <w:rPr>
                <w:rFonts w:ascii="Cambria Math" w:eastAsiaTheme="minorEastAsia" w:hAnsi="Cambria Math"/>
              </w:rPr>
              <w:t>1 h</w:t>
            </w:r>
          </w:p>
          <w:p w14:paraId="31B48CD9" w14:textId="77777777" w:rsidR="00644B5F" w:rsidRPr="00BC31E0" w:rsidRDefault="00644B5F" w:rsidP="00644B5F">
            <w:pPr>
              <w:rPr>
                <w:rFonts w:asciiTheme="minorHAnsi" w:eastAsiaTheme="minorEastAsia" w:hAnsiTheme="minorHAnsi"/>
              </w:rPr>
            </w:pPr>
          </w:p>
        </w:tc>
      </w:tr>
    </w:tbl>
    <w:p w14:paraId="7A86033E" w14:textId="77777777" w:rsidR="00F14FC9" w:rsidRPr="00BC31E0" w:rsidRDefault="00F14FC9" w:rsidP="00F14FC9">
      <w:pPr>
        <w:spacing w:before="60"/>
        <w:rPr>
          <w:rFonts w:asciiTheme="minorHAnsi" w:eastAsiaTheme="minorEastAsia" w:hAnsiTheme="minorHAnsi"/>
        </w:rPr>
      </w:pPr>
    </w:p>
    <w:p w14:paraId="02375B23" w14:textId="77777777" w:rsidR="00F14FC9" w:rsidRPr="00BC31E0" w:rsidRDefault="00F14FC9">
      <w:pPr>
        <w:widowControl/>
        <w:jc w:val="left"/>
        <w:rPr>
          <w:rFonts w:asciiTheme="minorHAnsi" w:eastAsiaTheme="minorEastAsia" w:hAnsiTheme="minorHAnsi"/>
        </w:rPr>
      </w:pPr>
      <w:r w:rsidRPr="00BC31E0">
        <w:rPr>
          <w:rFonts w:asciiTheme="minorHAnsi" w:eastAsiaTheme="minorEastAsia" w:hAnsiTheme="minorHAnsi"/>
        </w:rPr>
        <w:br w:type="page"/>
      </w:r>
    </w:p>
    <w:p w14:paraId="20AFF9B3" w14:textId="77777777" w:rsidR="00644B5F" w:rsidRPr="00BC31E0" w:rsidRDefault="00644B5F" w:rsidP="00644B5F">
      <w:pPr>
        <w:jc w:val="center"/>
        <w:rPr>
          <w:rFonts w:asciiTheme="majorEastAsia" w:eastAsiaTheme="majorEastAsia" w:hAnsiTheme="majorEastAsia"/>
          <w:b/>
        </w:rPr>
      </w:pPr>
      <w:r w:rsidRPr="00BC31E0">
        <w:rPr>
          <w:rFonts w:asciiTheme="majorEastAsia" w:eastAsiaTheme="majorEastAsia" w:hAnsiTheme="majorEastAsia" w:hint="eastAsia"/>
          <w:b/>
        </w:rPr>
        <w:lastRenderedPageBreak/>
        <w:t>表7.4.9</w:t>
      </w:r>
      <w:r w:rsidRPr="00BC31E0">
        <w:rPr>
          <w:rFonts w:asciiTheme="majorEastAsia" w:eastAsiaTheme="majorEastAsia" w:hAnsiTheme="majorEastAsia"/>
          <w:b/>
        </w:rPr>
        <w:t xml:space="preserve">　溶接後熱処理</w:t>
      </w:r>
      <w:r w:rsidRPr="00BC31E0">
        <w:rPr>
          <w:rFonts w:asciiTheme="majorEastAsia" w:eastAsiaTheme="majorEastAsia" w:hAnsiTheme="majorEastAsia" w:hint="eastAsia"/>
          <w:b/>
        </w:rPr>
        <w:t>の温度及び時間 (続き)</w:t>
      </w:r>
    </w:p>
    <w:p w14:paraId="1A0B1369" w14:textId="77777777" w:rsidR="00644B5F" w:rsidRPr="00BC31E0" w:rsidRDefault="00644B5F" w:rsidP="00644B5F">
      <w:pPr>
        <w:spacing w:after="60"/>
        <w:jc w:val="center"/>
        <w:rPr>
          <w:rFonts w:asciiTheme="majorEastAsia" w:eastAsiaTheme="majorEastAsia" w:hAnsiTheme="majorEastAsia"/>
          <w:b/>
        </w:rPr>
      </w:pPr>
      <w:r w:rsidRPr="00BC31E0">
        <w:rPr>
          <w:rFonts w:asciiTheme="majorEastAsia" w:eastAsiaTheme="majorEastAsia" w:hAnsiTheme="majorEastAsia"/>
          <w:b/>
        </w:rPr>
        <w:t>(P</w:t>
      </w:r>
      <w:r w:rsidRPr="00BC31E0">
        <w:rPr>
          <w:rFonts w:asciiTheme="majorEastAsia" w:eastAsiaTheme="majorEastAsia" w:hAnsiTheme="majorEastAsia" w:hint="eastAsia"/>
          <w:b/>
        </w:rPr>
        <w:t>番号</w:t>
      </w:r>
      <w:r w:rsidRPr="00BC31E0">
        <w:rPr>
          <w:rFonts w:asciiTheme="majorEastAsia" w:eastAsiaTheme="majorEastAsia" w:hAnsiTheme="majorEastAsia"/>
          <w:b/>
        </w:rPr>
        <w:t>9A</w:t>
      </w:r>
      <w:r w:rsidRPr="00BC31E0">
        <w:rPr>
          <w:rFonts w:asciiTheme="majorEastAsia" w:eastAsiaTheme="majorEastAsia" w:hAnsiTheme="majorEastAsia" w:hint="eastAsia"/>
          <w:b/>
        </w:rPr>
        <w:t>グループ番号</w:t>
      </w:r>
      <w:r w:rsidRPr="00BC31E0">
        <w:rPr>
          <w:rFonts w:asciiTheme="majorEastAsia" w:eastAsiaTheme="majorEastAsia" w:hAnsiTheme="majorEastAsia"/>
          <w:b/>
        </w:rPr>
        <w:t>1</w:t>
      </w:r>
      <w:r w:rsidRPr="00BC31E0">
        <w:rPr>
          <w:rFonts w:asciiTheme="majorEastAsia" w:eastAsiaTheme="majorEastAsia" w:hAnsiTheme="majorEastAsia" w:hint="eastAsia"/>
          <w:b/>
        </w:rPr>
        <w:t>の材料</w:t>
      </w:r>
      <w:r w:rsidRPr="00BC31E0">
        <w:rPr>
          <w:rFonts w:asciiTheme="majorEastAsia" w:eastAsiaTheme="majorEastAsia" w:hAnsiTheme="majorEastAsia"/>
          <w:b/>
        </w:rPr>
        <w:t>)</w:t>
      </w:r>
    </w:p>
    <w:tbl>
      <w:tblPr>
        <w:tblStyle w:val="100"/>
        <w:tblW w:w="0" w:type="auto"/>
        <w:tblInd w:w="108" w:type="dxa"/>
        <w:tblLook w:val="04A0" w:firstRow="1" w:lastRow="0" w:firstColumn="1" w:lastColumn="0" w:noHBand="0" w:noVBand="1"/>
      </w:tblPr>
      <w:tblGrid>
        <w:gridCol w:w="6946"/>
        <w:gridCol w:w="2126"/>
      </w:tblGrid>
      <w:tr w:rsidR="00644B5F" w:rsidRPr="00BC31E0" w14:paraId="1EBCDA3D" w14:textId="77777777" w:rsidTr="004736F2">
        <w:tc>
          <w:tcPr>
            <w:tcW w:w="6946" w:type="dxa"/>
            <w:vAlign w:val="center"/>
          </w:tcPr>
          <w:p w14:paraId="35F46349" w14:textId="77777777" w:rsidR="00644B5F" w:rsidRPr="00BC31E0" w:rsidRDefault="00644B5F" w:rsidP="00644B5F">
            <w:pPr>
              <w:jc w:val="center"/>
              <w:rPr>
                <w:rFonts w:asciiTheme="minorHAnsi" w:eastAsiaTheme="minorEastAsia" w:hAnsiTheme="minorHAnsi"/>
              </w:rPr>
            </w:pPr>
            <w:r w:rsidRPr="00BC31E0">
              <w:rPr>
                <w:rFonts w:asciiTheme="minorHAnsi" w:eastAsiaTheme="minorEastAsia" w:hAnsiTheme="minorEastAsia"/>
              </w:rPr>
              <w:t>要求事項</w:t>
            </w:r>
          </w:p>
        </w:tc>
        <w:tc>
          <w:tcPr>
            <w:tcW w:w="2126" w:type="dxa"/>
            <w:vAlign w:val="center"/>
          </w:tcPr>
          <w:p w14:paraId="7B91AD93" w14:textId="77777777" w:rsidR="00644B5F" w:rsidRPr="00BC31E0" w:rsidRDefault="00644B5F" w:rsidP="00644B5F">
            <w:pPr>
              <w:jc w:val="center"/>
              <w:rPr>
                <w:rFonts w:asciiTheme="minorHAnsi" w:eastAsiaTheme="minorEastAsia" w:hAnsiTheme="minorHAnsi"/>
              </w:rPr>
            </w:pPr>
            <w:r w:rsidRPr="00BC31E0">
              <w:rPr>
                <w:rFonts w:asciiTheme="minorHAnsi" w:eastAsiaTheme="minorEastAsia" w:hAnsiTheme="minorEastAsia"/>
              </w:rPr>
              <w:t>保持温度と保持時間</w:t>
            </w:r>
          </w:p>
        </w:tc>
      </w:tr>
      <w:tr w:rsidR="00644B5F" w:rsidRPr="00BC31E0" w14:paraId="72F72847" w14:textId="77777777" w:rsidTr="004736F2">
        <w:tc>
          <w:tcPr>
            <w:tcW w:w="6946" w:type="dxa"/>
            <w:vAlign w:val="center"/>
          </w:tcPr>
          <w:p w14:paraId="4E0D171F" w14:textId="77777777" w:rsidR="00644B5F" w:rsidRPr="00BC31E0" w:rsidRDefault="00644B5F" w:rsidP="00736130">
            <w:pPr>
              <w:numPr>
                <w:ilvl w:val="0"/>
                <w:numId w:val="184"/>
              </w:numPr>
              <w:ind w:left="340" w:hanging="340"/>
              <w:rPr>
                <w:rFonts w:asciiTheme="minorHAnsi" w:eastAsiaTheme="minorEastAsia" w:hAnsiTheme="minorEastAsia"/>
              </w:rPr>
            </w:pPr>
            <w:r w:rsidRPr="00BC31E0">
              <w:rPr>
                <w:rFonts w:ascii="Cambria Math" w:eastAsiaTheme="minorEastAsia" w:hAnsi="Cambria Math"/>
              </w:rPr>
              <w:t>425</w:t>
            </w:r>
            <w:r w:rsidRPr="00BC31E0">
              <w:rPr>
                <w:rFonts w:asciiTheme="minorHAnsi" w:hAnsiTheme="minorHAnsi"/>
              </w:rPr>
              <w:t>°C</w:t>
            </w:r>
            <w:r w:rsidRPr="00BC31E0">
              <w:rPr>
                <w:rFonts w:asciiTheme="minorHAnsi" w:eastAsiaTheme="minorEastAsia" w:hAnsiTheme="minorEastAsia" w:hint="eastAsia"/>
              </w:rPr>
              <w:t>～</w:t>
            </w:r>
            <w:r w:rsidRPr="00BC31E0">
              <w:rPr>
                <w:rFonts w:asciiTheme="minorHAnsi" w:eastAsiaTheme="minorEastAsia" w:hAnsiTheme="minorEastAsia"/>
              </w:rPr>
              <w:t>保持温度</w:t>
            </w:r>
            <w:r w:rsidRPr="00BC31E0">
              <w:rPr>
                <w:rFonts w:asciiTheme="minorHAnsi" w:eastAsiaTheme="minorEastAsia" w:hAnsiTheme="minorEastAsia" w:hint="eastAsia"/>
              </w:rPr>
              <w:t>間</w:t>
            </w:r>
            <w:r w:rsidRPr="00BC31E0">
              <w:rPr>
                <w:rFonts w:asciiTheme="minorHAnsi" w:eastAsiaTheme="minorEastAsia" w:hAnsiTheme="minorEastAsia"/>
              </w:rPr>
              <w:t>の加熱速度が</w:t>
            </w:r>
            <w:r w:rsidRPr="00BC31E0">
              <w:rPr>
                <w:rFonts w:ascii="Cambria Math" w:eastAsiaTheme="minorEastAsia" w:hAnsi="Cambria Math"/>
              </w:rPr>
              <w:t>30</w:t>
            </w:r>
            <w:r w:rsidRPr="00BC31E0">
              <w:rPr>
                <w:rFonts w:asciiTheme="minorHAnsi" w:hAnsiTheme="minorHAnsi"/>
              </w:rPr>
              <w:t>°C</w:t>
            </w:r>
            <w:r w:rsidRPr="00BC31E0">
              <w:rPr>
                <w:rFonts w:ascii="Cambria Math" w:eastAsiaTheme="minorEastAsia" w:hAnsi="Cambria Math"/>
              </w:rPr>
              <w:t>/h</w:t>
            </w:r>
            <w:r w:rsidRPr="00BC31E0">
              <w:rPr>
                <w:rFonts w:asciiTheme="minorHAnsi" w:eastAsiaTheme="minorEastAsia" w:hAnsiTheme="minorHAnsi" w:hint="eastAsia"/>
              </w:rPr>
              <w:t>以下の場合</w:t>
            </w:r>
            <w:r w:rsidRPr="00BC31E0">
              <w:rPr>
                <w:rFonts w:asciiTheme="minorHAnsi" w:eastAsiaTheme="minorEastAsia" w:hAnsiTheme="minorEastAsia"/>
              </w:rPr>
              <w:t>，</w:t>
            </w:r>
            <w:r w:rsidRPr="00BC31E0">
              <w:rPr>
                <w:rFonts w:asciiTheme="minorHAnsi" w:eastAsiaTheme="minorEastAsia" w:hAnsiTheme="minorEastAsia" w:hint="eastAsia"/>
              </w:rPr>
              <w:t>保持時間に</w:t>
            </w:r>
            <m:oMath>
              <m:f>
                <m:fPr>
                  <m:type m:val="lin"/>
                  <m:ctrlPr>
                    <w:rPr>
                      <w:rFonts w:ascii="Cambria Math" w:eastAsiaTheme="minorEastAsia" w:hAnsi="Cambria Math"/>
                      <w:i/>
                    </w:rPr>
                  </m:ctrlPr>
                </m:fPr>
                <m:num>
                  <m:r>
                    <w:rPr>
                      <w:rFonts w:ascii="Cambria Math" w:eastAsiaTheme="minorEastAsia" w:hAnsi="Cambria Math"/>
                    </w:rPr>
                    <m:t xml:space="preserve"> </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hint="eastAsia"/>
                            </w:rPr>
                            <m:t>t</m:t>
                          </m:r>
                        </m:e>
                        <m:sub>
                          <m:r>
                            <w:rPr>
                              <w:rFonts w:ascii="Cambria Math" w:eastAsiaTheme="minorEastAsia" w:hAnsi="Cambria Math"/>
                            </w:rPr>
                            <m:t xml:space="preserve">n </m:t>
                          </m:r>
                        </m:sub>
                      </m:sSub>
                      <m:r>
                        <w:rPr>
                          <w:rFonts w:ascii="Cambria Math" w:eastAsiaTheme="minorEastAsia" w:hAnsi="Cambria Math"/>
                        </w:rPr>
                        <m:t>-25</m:t>
                      </m:r>
                    </m:e>
                  </m:d>
                </m:num>
                <m:den>
                  <m:r>
                    <w:rPr>
                      <w:rFonts w:ascii="Cambria Math" w:eastAsiaTheme="minorEastAsia" w:hAnsi="Cambria Math"/>
                    </w:rPr>
                    <m:t xml:space="preserve">100 </m:t>
                  </m:r>
                  <m:r>
                    <m:rPr>
                      <m:sty m:val="p"/>
                    </m:rPr>
                    <w:rPr>
                      <w:rFonts w:ascii="Cambria Math" w:eastAsiaTheme="minorEastAsia" w:hAnsi="Cambria Math"/>
                    </w:rPr>
                    <m:t>h</m:t>
                  </m:r>
                  <m:r>
                    <w:rPr>
                      <w:rFonts w:ascii="Cambria Math" w:eastAsiaTheme="minorEastAsia" w:hAnsi="Cambria Math"/>
                    </w:rPr>
                    <m:t xml:space="preserve"> </m:t>
                  </m:r>
                </m:den>
              </m:f>
            </m:oMath>
            <w:r w:rsidRPr="00BC31E0">
              <w:rPr>
                <w:rFonts w:asciiTheme="minorHAnsi" w:eastAsiaTheme="minorEastAsia" w:hAnsiTheme="minorEastAsia" w:hint="eastAsia"/>
              </w:rPr>
              <w:t>を加算する必要はない</w:t>
            </w:r>
            <w:r w:rsidRPr="00BC31E0">
              <w:rPr>
                <w:rFonts w:asciiTheme="minorHAnsi" w:eastAsiaTheme="minorEastAsia" w:hAnsiTheme="minorEastAsia"/>
              </w:rPr>
              <w:t>。更に，製作者が全厚さにわたって最低温度を</w:t>
            </w:r>
            <w:r w:rsidRPr="00BC31E0">
              <w:rPr>
                <w:rFonts w:asciiTheme="minorHAnsi" w:eastAsiaTheme="minorEastAsia" w:hAnsiTheme="minorEastAsia" w:hint="eastAsia"/>
              </w:rPr>
              <w:t>保持</w:t>
            </w:r>
            <w:r w:rsidRPr="00BC31E0">
              <w:rPr>
                <w:rFonts w:asciiTheme="minorHAnsi" w:eastAsiaTheme="minorEastAsia" w:hAnsiTheme="minorEastAsia"/>
              </w:rPr>
              <w:t>できること</w:t>
            </w:r>
            <w:r w:rsidRPr="00BC31E0">
              <w:rPr>
                <w:rFonts w:asciiTheme="minorHAnsi" w:eastAsiaTheme="minorEastAsia" w:hAnsiTheme="minorEastAsia" w:hint="eastAsia"/>
              </w:rPr>
              <w:t>を</w:t>
            </w:r>
            <w:r w:rsidRPr="00BC31E0">
              <w:rPr>
                <w:rFonts w:asciiTheme="minorHAnsi" w:eastAsiaTheme="minorEastAsia" w:hAnsiTheme="minorEastAsia"/>
              </w:rPr>
              <w:t>示すことができれば，</w:t>
            </w:r>
            <w:r w:rsidRPr="00BC31E0">
              <w:rPr>
                <w:rFonts w:asciiTheme="minorHAnsi" w:eastAsiaTheme="minorEastAsia" w:hAnsiTheme="minorEastAsia" w:hint="eastAsia"/>
              </w:rPr>
              <w:t>保持時間に</w:t>
            </w:r>
            <m:oMath>
              <m:f>
                <m:fPr>
                  <m:type m:val="lin"/>
                  <m:ctrlPr>
                    <w:rPr>
                      <w:rFonts w:ascii="Cambria Math" w:eastAsiaTheme="minorEastAsia" w:hAnsi="Cambria Math"/>
                      <w:i/>
                    </w:rPr>
                  </m:ctrlPr>
                </m:fPr>
                <m:num>
                  <m:r>
                    <w:rPr>
                      <w:rFonts w:ascii="Cambria Math" w:eastAsiaTheme="minorEastAsia" w:hAnsi="Cambria Math"/>
                    </w:rPr>
                    <m:t xml:space="preserve"> </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hint="eastAsia"/>
                            </w:rPr>
                            <m:t>t</m:t>
                          </m:r>
                        </m:e>
                        <m:sub>
                          <m:r>
                            <w:rPr>
                              <w:rFonts w:ascii="Cambria Math" w:eastAsiaTheme="minorEastAsia" w:hAnsi="Cambria Math"/>
                            </w:rPr>
                            <m:t xml:space="preserve">n </m:t>
                          </m:r>
                        </m:sub>
                      </m:sSub>
                      <m:r>
                        <w:rPr>
                          <w:rFonts w:ascii="Cambria Math" w:eastAsiaTheme="minorEastAsia" w:hAnsi="Cambria Math"/>
                        </w:rPr>
                        <m:t>-25</m:t>
                      </m:r>
                    </m:e>
                  </m:d>
                </m:num>
                <m:den>
                  <m:r>
                    <w:rPr>
                      <w:rFonts w:ascii="Cambria Math" w:eastAsiaTheme="minorEastAsia" w:hAnsi="Cambria Math"/>
                    </w:rPr>
                    <m:t xml:space="preserve">100 </m:t>
                  </m:r>
                  <m:r>
                    <m:rPr>
                      <m:sty m:val="p"/>
                    </m:rPr>
                    <w:rPr>
                      <w:rFonts w:ascii="Cambria Math" w:eastAsiaTheme="minorEastAsia" w:hAnsi="Cambria Math"/>
                    </w:rPr>
                    <m:t>h</m:t>
                  </m:r>
                  <m:r>
                    <w:rPr>
                      <w:rFonts w:ascii="Cambria Math" w:eastAsiaTheme="minorEastAsia" w:hAnsi="Cambria Math"/>
                    </w:rPr>
                    <m:t xml:space="preserve"> </m:t>
                  </m:r>
                </m:den>
              </m:f>
            </m:oMath>
            <w:r w:rsidRPr="00BC31E0">
              <w:rPr>
                <w:rFonts w:asciiTheme="minorHAnsi" w:eastAsiaTheme="minorEastAsia" w:hAnsiTheme="minorEastAsia" w:hint="eastAsia"/>
              </w:rPr>
              <w:t>を加算する必要はない</w:t>
            </w:r>
            <w:r w:rsidRPr="00BC31E0">
              <w:rPr>
                <w:rFonts w:asciiTheme="minorHAnsi" w:eastAsiaTheme="minorEastAsia" w:hAnsiTheme="minorEastAsia"/>
              </w:rPr>
              <w:t>。</w:t>
            </w:r>
          </w:p>
          <w:p w14:paraId="673CEC9B" w14:textId="77777777" w:rsidR="00644B5F" w:rsidRPr="00BC31E0" w:rsidRDefault="00644B5F" w:rsidP="00622C3A">
            <w:pPr>
              <w:numPr>
                <w:ilvl w:val="0"/>
                <w:numId w:val="184"/>
              </w:numPr>
              <w:ind w:left="340" w:hanging="340"/>
              <w:rPr>
                <w:rFonts w:asciiTheme="minorHAnsi" w:eastAsiaTheme="minorEastAsia" w:hAnsiTheme="minorEastAsia"/>
              </w:rPr>
            </w:pPr>
            <w:r w:rsidRPr="00BC31E0">
              <w:rPr>
                <w:rFonts w:asciiTheme="minorHAnsi" w:eastAsiaTheme="minorEastAsia" w:hAnsiTheme="minorEastAsia"/>
              </w:rPr>
              <w:t>規定</w:t>
            </w:r>
            <w:r w:rsidRPr="00BC31E0">
              <w:rPr>
                <w:rFonts w:asciiTheme="minorHAnsi" w:eastAsiaTheme="minorEastAsia" w:hAnsiTheme="minorEastAsia" w:hint="eastAsia"/>
              </w:rPr>
              <w:t>の保持</w:t>
            </w:r>
            <w:r w:rsidRPr="00BC31E0">
              <w:rPr>
                <w:rFonts w:asciiTheme="minorHAnsi" w:eastAsiaTheme="minorEastAsia" w:hAnsiTheme="minorEastAsia"/>
              </w:rPr>
              <w:t>温度で溶接後熱処理</w:t>
            </w:r>
            <w:r w:rsidRPr="00BC31E0">
              <w:rPr>
                <w:rFonts w:asciiTheme="minorHAnsi" w:eastAsiaTheme="minorEastAsia" w:hAnsiTheme="minorEastAsia" w:hint="eastAsia"/>
              </w:rPr>
              <w:t>が</w:t>
            </w:r>
            <w:r w:rsidRPr="00BC31E0">
              <w:rPr>
                <w:rFonts w:asciiTheme="minorHAnsi" w:eastAsiaTheme="minorEastAsia" w:hAnsiTheme="minorEastAsia"/>
              </w:rPr>
              <w:t>できない場合には，</w:t>
            </w:r>
            <w:r w:rsidRPr="00BC31E0">
              <w:rPr>
                <w:rFonts w:asciiTheme="minorHAnsi" w:eastAsiaTheme="minorEastAsia" w:hAnsiTheme="minorEastAsia" w:hint="eastAsia"/>
              </w:rPr>
              <w:t>最低保持温度を</w:t>
            </w:r>
            <w:r w:rsidRPr="00BC31E0">
              <w:rPr>
                <w:rFonts w:ascii="Cambria Math" w:eastAsiaTheme="minorEastAsia" w:hAnsi="Cambria Math"/>
              </w:rPr>
              <w:t>540</w:t>
            </w:r>
            <w:r w:rsidRPr="00BC31E0">
              <w:rPr>
                <w:rFonts w:asciiTheme="minorHAnsi" w:hAnsiTheme="minorHAnsi"/>
              </w:rPr>
              <w:t>°C</w:t>
            </w:r>
            <w:r w:rsidRPr="00BC31E0">
              <w:rPr>
                <w:rFonts w:asciiTheme="minorHAnsi" w:hAnsiTheme="minorHAnsi" w:hint="eastAsia"/>
              </w:rPr>
              <w:t>とし</w:t>
            </w:r>
            <w:r w:rsidRPr="00BC31E0">
              <w:rPr>
                <w:rFonts w:asciiTheme="minorHAnsi" w:eastAsiaTheme="minorEastAsia" w:hAnsiTheme="minorEastAsia" w:hint="eastAsia"/>
              </w:rPr>
              <w:t>，</w:t>
            </w:r>
            <w:r w:rsidRPr="00BC31E0">
              <w:rPr>
                <w:rFonts w:asciiTheme="majorEastAsia" w:eastAsiaTheme="majorEastAsia" w:hAnsiTheme="majorEastAsia" w:hint="eastAsia"/>
                <w:b/>
              </w:rPr>
              <w:t>表7.4.18</w:t>
            </w:r>
            <w:r w:rsidRPr="00BC31E0">
              <w:rPr>
                <w:rFonts w:asciiTheme="minorHAnsi" w:eastAsiaTheme="minorEastAsia" w:hAnsiTheme="minorEastAsia"/>
              </w:rPr>
              <w:t>に示す保持時間</w:t>
            </w:r>
            <w:r w:rsidRPr="00BC31E0">
              <w:rPr>
                <w:rFonts w:asciiTheme="minorHAnsi" w:eastAsiaTheme="minorEastAsia" w:hAnsiTheme="minorEastAsia" w:hint="eastAsia"/>
              </w:rPr>
              <w:t>で溶接</w:t>
            </w:r>
            <w:r w:rsidRPr="00BC31E0">
              <w:rPr>
                <w:rFonts w:asciiTheme="minorHAnsi" w:eastAsiaTheme="minorEastAsia" w:hAnsiTheme="minorEastAsia"/>
              </w:rPr>
              <w:t>後熱処理</w:t>
            </w:r>
            <w:r w:rsidRPr="00BC31E0">
              <w:rPr>
                <w:rFonts w:asciiTheme="minorHAnsi" w:eastAsiaTheme="minorEastAsia" w:hAnsiTheme="minorEastAsia" w:hint="eastAsia"/>
              </w:rPr>
              <w:t>を</w:t>
            </w:r>
            <w:r w:rsidR="00622C3A" w:rsidRPr="00BC31E0">
              <w:rPr>
                <w:rFonts w:asciiTheme="minorHAnsi" w:eastAsiaTheme="minorEastAsia" w:hAnsiTheme="minorEastAsia" w:hint="eastAsia"/>
              </w:rPr>
              <w:t>行ってもよい</w:t>
            </w:r>
            <w:r w:rsidRPr="00BC31E0">
              <w:rPr>
                <w:rFonts w:asciiTheme="minorHAnsi" w:eastAsiaTheme="minorEastAsia" w:hAnsiTheme="minorEastAsia"/>
              </w:rPr>
              <w:t>。</w:t>
            </w:r>
            <w:r w:rsidRPr="00BC31E0">
              <w:rPr>
                <w:rFonts w:asciiTheme="minorHAnsi" w:eastAsiaTheme="minorEastAsia" w:hAnsiTheme="minorEastAsia" w:hint="eastAsia"/>
              </w:rPr>
              <w:t>保持温度を低減する</w:t>
            </w:r>
            <w:r w:rsidRPr="00BC31E0">
              <w:rPr>
                <w:rFonts w:asciiTheme="minorHAnsi" w:eastAsiaTheme="minorEastAsia" w:hAnsiTheme="minorEastAsia"/>
              </w:rPr>
              <w:t>場合には，</w:t>
            </w:r>
            <w:r w:rsidRPr="00BC31E0">
              <w:rPr>
                <w:rFonts w:asciiTheme="majorEastAsia" w:eastAsiaTheme="majorEastAsia" w:hAnsiTheme="majorEastAsia" w:hint="eastAsia"/>
                <w:b/>
              </w:rPr>
              <w:t>10.2</w:t>
            </w:r>
            <w:r w:rsidRPr="00BC31E0">
              <w:rPr>
                <w:rFonts w:asciiTheme="minorHAnsi" w:eastAsiaTheme="minorEastAsia" w:hAnsiTheme="minorEastAsia"/>
              </w:rPr>
              <w:t>で要求される</w:t>
            </w:r>
            <w:r w:rsidRPr="00BC31E0">
              <w:rPr>
                <w:rFonts w:asciiTheme="minorHAnsi" w:eastAsiaTheme="minorEastAsia" w:hAnsiTheme="minorEastAsia" w:hint="eastAsia"/>
              </w:rPr>
              <w:t>製作用</w:t>
            </w:r>
            <w:r w:rsidRPr="00BC31E0">
              <w:rPr>
                <w:rFonts w:asciiTheme="minorHAnsi" w:eastAsiaTheme="minorEastAsia" w:hAnsiTheme="minorEastAsia"/>
              </w:rPr>
              <w:t>試験板</w:t>
            </w:r>
            <w:r w:rsidRPr="00BC31E0">
              <w:rPr>
                <w:rFonts w:asciiTheme="minorHAnsi" w:eastAsiaTheme="minorEastAsia" w:hAnsiTheme="minorEastAsia" w:hint="eastAsia"/>
              </w:rPr>
              <w:t>も</w:t>
            </w:r>
            <w:r w:rsidRPr="00BC31E0">
              <w:rPr>
                <w:rFonts w:asciiTheme="minorHAnsi" w:eastAsiaTheme="minorEastAsia" w:hAnsiTheme="minorEastAsia"/>
              </w:rPr>
              <w:t>同じ熱処理にしなければならない。</w:t>
            </w:r>
          </w:p>
        </w:tc>
        <w:tc>
          <w:tcPr>
            <w:tcW w:w="2126" w:type="dxa"/>
            <w:vAlign w:val="center"/>
          </w:tcPr>
          <w:p w14:paraId="274DE92D" w14:textId="77777777" w:rsidR="00644B5F" w:rsidRPr="00BC31E0" w:rsidRDefault="00644B5F" w:rsidP="00644B5F">
            <w:pPr>
              <w:rPr>
                <w:rFonts w:asciiTheme="minorHAnsi" w:eastAsiaTheme="minorEastAsia" w:hAnsiTheme="minorEastAsia"/>
              </w:rPr>
            </w:pPr>
          </w:p>
        </w:tc>
      </w:tr>
    </w:tbl>
    <w:p w14:paraId="0ED13032" w14:textId="77777777" w:rsidR="00644B5F" w:rsidRPr="00BC31E0" w:rsidRDefault="00644B5F" w:rsidP="00644B5F">
      <w:pPr>
        <w:widowControl/>
        <w:spacing w:before="60"/>
        <w:rPr>
          <w:rFonts w:asciiTheme="minorEastAsia" w:eastAsiaTheme="minorEastAsia" w:hAnsiTheme="minorEastAsia"/>
        </w:rPr>
      </w:pPr>
      <w:r w:rsidRPr="00BC31E0">
        <w:rPr>
          <w:rFonts w:asciiTheme="majorEastAsia" w:eastAsiaTheme="majorEastAsia" w:hAnsiTheme="majorEastAsia" w:hint="eastAsia"/>
          <w:b/>
        </w:rPr>
        <w:t>注記</w:t>
      </w:r>
      <w:r w:rsidRPr="00BC31E0">
        <w:rPr>
          <w:rFonts w:asciiTheme="minorHAnsi" w:eastAsiaTheme="minorEastAsia" w:hAnsiTheme="minorHAnsi" w:hint="eastAsia"/>
        </w:rPr>
        <w:t xml:space="preserve">　</w:t>
      </w:r>
      <m:oMath>
        <m:sSub>
          <m:sSubPr>
            <m:ctrlPr>
              <w:rPr>
                <w:rFonts w:ascii="Cambria Math" w:eastAsiaTheme="minorEastAsia" w:hAnsi="Cambria Math"/>
              </w:rPr>
            </m:ctrlPr>
          </m:sSubPr>
          <m:e>
            <m:r>
              <w:rPr>
                <w:rFonts w:ascii="Cambria Math" w:eastAsiaTheme="minorEastAsia" w:hAnsi="Cambria Math" w:hint="eastAsia"/>
              </w:rPr>
              <m:t>t</m:t>
            </m:r>
          </m:e>
          <m:sub>
            <m:r>
              <w:rPr>
                <w:rFonts w:ascii="Cambria Math" w:eastAsiaTheme="minorEastAsia" w:hAnsi="Cambria Math"/>
              </w:rPr>
              <m:t>n</m:t>
            </m:r>
          </m:sub>
        </m:sSub>
        <m:r>
          <m:rPr>
            <m:sty m:val="p"/>
          </m:rPr>
          <w:rPr>
            <w:rFonts w:ascii="Cambria Math" w:eastAsiaTheme="minorEastAsia" w:hAnsi="Cambria Math"/>
          </w:rPr>
          <m:t xml:space="preserve"> </m:t>
        </m:r>
      </m:oMath>
      <w:r w:rsidRPr="00BC31E0">
        <w:rPr>
          <w:rFonts w:asciiTheme="minorHAnsi" w:eastAsiaTheme="minorEastAsia" w:hAnsiTheme="minorHAnsi" w:hint="eastAsia"/>
        </w:rPr>
        <w:t>は，</w:t>
      </w:r>
      <w:r w:rsidRPr="00BC31E0">
        <w:rPr>
          <w:rFonts w:asciiTheme="majorEastAsia" w:eastAsiaTheme="majorEastAsia" w:hAnsiTheme="majorEastAsia" w:hint="eastAsia"/>
          <w:b/>
        </w:rPr>
        <w:t>7.4.1 b) 4)</w:t>
      </w:r>
      <w:r w:rsidRPr="00BC31E0">
        <w:rPr>
          <w:rFonts w:asciiTheme="minorHAnsi" w:eastAsiaTheme="minorEastAsia" w:hAnsiTheme="minorHAnsi" w:hint="eastAsia"/>
        </w:rPr>
        <w:t>に規定する公称厚さ</w:t>
      </w:r>
      <w:r w:rsidRPr="00BC31E0">
        <w:rPr>
          <w:rFonts w:asciiTheme="minorHAnsi" w:eastAsiaTheme="minorEastAsia" w:hAnsiTheme="minorHAnsi" w:hint="eastAsia"/>
        </w:rPr>
        <w:t>(</w:t>
      </w:r>
      <w:r w:rsidRPr="00BC31E0">
        <w:rPr>
          <w:rFonts w:ascii="Cambria Math" w:eastAsiaTheme="minorEastAsia" w:hAnsi="Cambria Math"/>
        </w:rPr>
        <w:t>mm</w:t>
      </w:r>
      <w:r w:rsidRPr="00BC31E0">
        <w:rPr>
          <w:rFonts w:asciiTheme="minorHAnsi" w:eastAsiaTheme="minorEastAsia" w:hAnsiTheme="minorHAnsi" w:hint="eastAsia"/>
        </w:rPr>
        <w:t>)</w:t>
      </w:r>
      <w:r w:rsidRPr="00BC31E0">
        <w:rPr>
          <w:rFonts w:asciiTheme="minorHAnsi" w:eastAsiaTheme="minorEastAsia" w:hAnsiTheme="minorHAnsi" w:hint="eastAsia"/>
        </w:rPr>
        <w:t>である。</w:t>
      </w:r>
    </w:p>
    <w:p w14:paraId="0A32A025" w14:textId="77777777" w:rsidR="00644B5F" w:rsidRPr="00BC31E0" w:rsidRDefault="00644B5F" w:rsidP="00644B5F"/>
    <w:p w14:paraId="533664D6" w14:textId="77777777" w:rsidR="00644B5F" w:rsidRPr="00BC31E0" w:rsidRDefault="00644B5F" w:rsidP="00644B5F">
      <w:pPr>
        <w:widowControl/>
        <w:jc w:val="left"/>
      </w:pPr>
      <w:r w:rsidRPr="00BC31E0">
        <w:br w:type="page"/>
      </w:r>
    </w:p>
    <w:p w14:paraId="68C744D3" w14:textId="77777777" w:rsidR="00644B5F" w:rsidRPr="00BC31E0" w:rsidRDefault="00644B5F" w:rsidP="00644B5F">
      <w:pPr>
        <w:widowControl/>
        <w:jc w:val="center"/>
        <w:rPr>
          <w:rFonts w:asciiTheme="majorEastAsia" w:eastAsiaTheme="majorEastAsia" w:hAnsiTheme="majorEastAsia"/>
          <w:b/>
        </w:rPr>
      </w:pPr>
      <w:r w:rsidRPr="00BC31E0">
        <w:rPr>
          <w:rFonts w:asciiTheme="majorEastAsia" w:eastAsiaTheme="majorEastAsia" w:hAnsiTheme="majorEastAsia" w:hint="eastAsia"/>
          <w:b/>
        </w:rPr>
        <w:lastRenderedPageBreak/>
        <w:t>表7.4.10</w:t>
      </w:r>
      <w:r w:rsidRPr="00BC31E0">
        <w:rPr>
          <w:rFonts w:asciiTheme="majorEastAsia" w:eastAsiaTheme="majorEastAsia" w:hAnsiTheme="majorEastAsia"/>
          <w:b/>
        </w:rPr>
        <w:t xml:space="preserve">　溶接後熱処理</w:t>
      </w:r>
      <w:r w:rsidRPr="00BC31E0">
        <w:rPr>
          <w:rFonts w:asciiTheme="majorEastAsia" w:eastAsiaTheme="majorEastAsia" w:hAnsiTheme="majorEastAsia" w:hint="eastAsia"/>
          <w:b/>
        </w:rPr>
        <w:t>の温度及び時間</w:t>
      </w:r>
    </w:p>
    <w:p w14:paraId="3FA83FC0" w14:textId="77777777" w:rsidR="00644B5F" w:rsidRPr="00BC31E0" w:rsidRDefault="00644B5F" w:rsidP="00644B5F">
      <w:pPr>
        <w:spacing w:after="60"/>
        <w:jc w:val="center"/>
        <w:rPr>
          <w:rFonts w:asciiTheme="majorEastAsia" w:eastAsiaTheme="majorEastAsia" w:hAnsiTheme="majorEastAsia"/>
          <w:b/>
        </w:rPr>
      </w:pPr>
      <w:r w:rsidRPr="00BC31E0">
        <w:rPr>
          <w:rFonts w:asciiTheme="majorEastAsia" w:eastAsiaTheme="majorEastAsia" w:hAnsiTheme="majorEastAsia"/>
          <w:b/>
        </w:rPr>
        <w:t>(P</w:t>
      </w:r>
      <w:r w:rsidRPr="00BC31E0">
        <w:rPr>
          <w:rFonts w:asciiTheme="majorEastAsia" w:eastAsiaTheme="majorEastAsia" w:hAnsiTheme="majorEastAsia" w:hint="eastAsia"/>
          <w:b/>
        </w:rPr>
        <w:t>番号</w:t>
      </w:r>
      <w:r w:rsidRPr="00BC31E0">
        <w:rPr>
          <w:rFonts w:asciiTheme="majorEastAsia" w:eastAsiaTheme="majorEastAsia" w:hAnsiTheme="majorEastAsia"/>
          <w:b/>
        </w:rPr>
        <w:t>9B</w:t>
      </w:r>
      <w:r w:rsidRPr="00BC31E0">
        <w:rPr>
          <w:rFonts w:asciiTheme="majorEastAsia" w:eastAsiaTheme="majorEastAsia" w:hAnsiTheme="majorEastAsia" w:hint="eastAsia"/>
          <w:b/>
        </w:rPr>
        <w:t>グループ番号</w:t>
      </w:r>
      <w:r w:rsidRPr="00BC31E0">
        <w:rPr>
          <w:rFonts w:asciiTheme="majorEastAsia" w:eastAsiaTheme="majorEastAsia" w:hAnsiTheme="majorEastAsia"/>
          <w:b/>
        </w:rPr>
        <w:t>1</w:t>
      </w:r>
      <w:r w:rsidRPr="00BC31E0">
        <w:rPr>
          <w:rFonts w:asciiTheme="majorEastAsia" w:eastAsiaTheme="majorEastAsia" w:hAnsiTheme="majorEastAsia" w:hint="eastAsia"/>
          <w:b/>
        </w:rPr>
        <w:t>の材料</w:t>
      </w:r>
      <w:r w:rsidRPr="00BC31E0">
        <w:rPr>
          <w:rFonts w:asciiTheme="majorEastAsia" w:eastAsiaTheme="majorEastAsia" w:hAnsiTheme="majorEastAsia"/>
          <w:b/>
        </w:rPr>
        <w:t>)</w:t>
      </w:r>
    </w:p>
    <w:tbl>
      <w:tblPr>
        <w:tblStyle w:val="100"/>
        <w:tblW w:w="0" w:type="auto"/>
        <w:tblInd w:w="108" w:type="dxa"/>
        <w:tblLook w:val="04A0" w:firstRow="1" w:lastRow="0" w:firstColumn="1" w:lastColumn="0" w:noHBand="0" w:noVBand="1"/>
      </w:tblPr>
      <w:tblGrid>
        <w:gridCol w:w="6946"/>
        <w:gridCol w:w="2126"/>
      </w:tblGrid>
      <w:tr w:rsidR="00644B5F" w:rsidRPr="00BC31E0" w14:paraId="5AAF0E2C" w14:textId="77777777" w:rsidTr="004736F2">
        <w:tc>
          <w:tcPr>
            <w:tcW w:w="6946" w:type="dxa"/>
            <w:vAlign w:val="center"/>
          </w:tcPr>
          <w:p w14:paraId="34A26E36" w14:textId="77777777" w:rsidR="00644B5F" w:rsidRPr="00BC31E0" w:rsidRDefault="00644B5F" w:rsidP="00644B5F">
            <w:pPr>
              <w:jc w:val="center"/>
              <w:rPr>
                <w:rFonts w:asciiTheme="minorHAnsi" w:eastAsiaTheme="minorEastAsia" w:hAnsiTheme="minorHAnsi"/>
              </w:rPr>
            </w:pPr>
            <w:r w:rsidRPr="00BC31E0">
              <w:rPr>
                <w:rFonts w:asciiTheme="minorHAnsi" w:eastAsiaTheme="minorEastAsia" w:hAnsiTheme="minorEastAsia"/>
              </w:rPr>
              <w:t>要求事項</w:t>
            </w:r>
          </w:p>
        </w:tc>
        <w:tc>
          <w:tcPr>
            <w:tcW w:w="2126" w:type="dxa"/>
            <w:vAlign w:val="center"/>
          </w:tcPr>
          <w:p w14:paraId="566ACFB4" w14:textId="77777777" w:rsidR="00644B5F" w:rsidRPr="00BC31E0" w:rsidRDefault="00644B5F" w:rsidP="00644B5F">
            <w:pPr>
              <w:jc w:val="center"/>
              <w:rPr>
                <w:rFonts w:asciiTheme="minorHAnsi" w:eastAsiaTheme="minorEastAsia" w:hAnsiTheme="minorHAnsi"/>
              </w:rPr>
            </w:pPr>
            <w:r w:rsidRPr="00BC31E0">
              <w:rPr>
                <w:rFonts w:asciiTheme="minorHAnsi" w:eastAsiaTheme="minorEastAsia" w:hAnsiTheme="minorEastAsia"/>
              </w:rPr>
              <w:t>保持温度と保持時間</w:t>
            </w:r>
          </w:p>
        </w:tc>
      </w:tr>
      <w:tr w:rsidR="00644B5F" w:rsidRPr="00BC31E0" w14:paraId="286080AE" w14:textId="77777777" w:rsidTr="004736F2">
        <w:tc>
          <w:tcPr>
            <w:tcW w:w="6946" w:type="dxa"/>
          </w:tcPr>
          <w:p w14:paraId="08BF8967" w14:textId="77777777" w:rsidR="00644B5F" w:rsidRPr="00BC31E0" w:rsidRDefault="00644B5F" w:rsidP="00736130">
            <w:pPr>
              <w:numPr>
                <w:ilvl w:val="0"/>
                <w:numId w:val="192"/>
              </w:numPr>
              <w:ind w:left="340" w:hanging="340"/>
              <w:rPr>
                <w:rFonts w:asciiTheme="minorHAnsi" w:eastAsiaTheme="minorEastAsia" w:hAnsiTheme="minorHAnsi"/>
              </w:rPr>
            </w:pPr>
            <w:r w:rsidRPr="00BC31E0">
              <w:rPr>
                <w:rFonts w:asciiTheme="minorHAnsi" w:eastAsiaTheme="minorEastAsia" w:hAnsiTheme="minorEastAsia"/>
              </w:rPr>
              <w:t>次の</w:t>
            </w:r>
            <w:r w:rsidRPr="00BC31E0">
              <w:rPr>
                <w:rFonts w:asciiTheme="majorEastAsia" w:eastAsiaTheme="majorEastAsia" w:hAnsiTheme="majorEastAsia"/>
                <w:b/>
              </w:rPr>
              <w:t>1)</w:t>
            </w:r>
            <w:r w:rsidRPr="00BC31E0">
              <w:rPr>
                <w:rFonts w:asciiTheme="minorHAnsi" w:eastAsiaTheme="minorEastAsia" w:hAnsiTheme="minorEastAsia"/>
              </w:rPr>
              <w:t>及び</w:t>
            </w:r>
            <w:r w:rsidRPr="00BC31E0">
              <w:rPr>
                <w:rFonts w:asciiTheme="majorEastAsia" w:eastAsiaTheme="majorEastAsia" w:hAnsiTheme="majorEastAsia"/>
                <w:b/>
              </w:rPr>
              <w:t>2)</w:t>
            </w:r>
            <w:r w:rsidRPr="00BC31E0">
              <w:rPr>
                <w:rFonts w:asciiTheme="minorHAnsi" w:eastAsiaTheme="minorEastAsia" w:hAnsiTheme="minorEastAsia"/>
              </w:rPr>
              <w:t>の場合，溶接後熱処理</w:t>
            </w:r>
            <w:r w:rsidRPr="00BC31E0">
              <w:rPr>
                <w:rFonts w:asciiTheme="minorHAnsi" w:eastAsiaTheme="minorEastAsia" w:hAnsiTheme="minorEastAsia" w:hint="eastAsia"/>
              </w:rPr>
              <w:t>が必要である</w:t>
            </w:r>
            <w:r w:rsidRPr="00BC31E0">
              <w:rPr>
                <w:rFonts w:asciiTheme="minorHAnsi" w:eastAsiaTheme="minorEastAsia" w:hAnsiTheme="minorEastAsia"/>
              </w:rPr>
              <w:t>。</w:t>
            </w:r>
          </w:p>
          <w:p w14:paraId="3706D89C" w14:textId="77777777" w:rsidR="00644B5F" w:rsidRPr="00BC31E0" w:rsidRDefault="00644B5F" w:rsidP="00736130">
            <w:pPr>
              <w:numPr>
                <w:ilvl w:val="0"/>
                <w:numId w:val="193"/>
              </w:numPr>
              <w:ind w:left="567" w:hanging="340"/>
              <w:rPr>
                <w:rFonts w:asciiTheme="minorHAnsi" w:eastAsiaTheme="minorEastAsia" w:hAnsiTheme="minorEastAsia"/>
              </w:rPr>
            </w:pPr>
            <w:r w:rsidRPr="00BC31E0">
              <w:rPr>
                <w:rFonts w:asciiTheme="minorHAnsi" w:eastAsiaTheme="minorEastAsia" w:hAnsiTheme="minorEastAsia"/>
              </w:rPr>
              <w:t>公称厚さが</w:t>
            </w:r>
            <w:r w:rsidRPr="00BC31E0">
              <w:rPr>
                <w:rFonts w:ascii="Cambria Math" w:eastAsiaTheme="minorEastAsia" w:hAnsi="Cambria Math"/>
              </w:rPr>
              <w:t>16 mm</w:t>
            </w:r>
            <w:r w:rsidRPr="00BC31E0">
              <w:rPr>
                <w:rFonts w:asciiTheme="minorHAnsi" w:eastAsiaTheme="minorEastAsia" w:hAnsiTheme="minorEastAsia"/>
              </w:rPr>
              <w:t>を超える材料</w:t>
            </w:r>
          </w:p>
          <w:p w14:paraId="1CB0A840" w14:textId="77777777" w:rsidR="00644B5F" w:rsidRPr="00BC31E0" w:rsidRDefault="00644B5F" w:rsidP="00644B5F">
            <w:pPr>
              <w:ind w:left="567"/>
              <w:rPr>
                <w:rFonts w:asciiTheme="minorHAnsi" w:eastAsiaTheme="minorEastAsia" w:hAnsiTheme="minorHAnsi"/>
              </w:rPr>
            </w:pPr>
            <w:r w:rsidRPr="00BC31E0">
              <w:rPr>
                <w:rFonts w:ascii="Cambria Math" w:eastAsiaTheme="minorEastAsia" w:hAnsi="Cambria Math"/>
              </w:rPr>
              <w:t>16 mm</w:t>
            </w:r>
            <w:r w:rsidRPr="00BC31E0">
              <w:rPr>
                <w:rFonts w:asciiTheme="minorHAnsi" w:eastAsiaTheme="minorEastAsia" w:hAnsiTheme="minorEastAsia"/>
              </w:rPr>
              <w:t>以下の材料</w:t>
            </w:r>
            <w:r w:rsidRPr="00BC31E0">
              <w:rPr>
                <w:rFonts w:asciiTheme="minorHAnsi" w:eastAsiaTheme="minorEastAsia" w:hAnsiTheme="minorEastAsia" w:hint="eastAsia"/>
              </w:rPr>
              <w:t>は</w:t>
            </w:r>
            <w:r w:rsidRPr="00BC31E0">
              <w:rPr>
                <w:rFonts w:asciiTheme="minorHAnsi" w:eastAsiaTheme="minorEastAsia" w:hAnsiTheme="minorEastAsia"/>
              </w:rPr>
              <w:t>，製作</w:t>
            </w:r>
            <w:r w:rsidRPr="00BC31E0">
              <w:rPr>
                <w:rFonts w:asciiTheme="minorHAnsi" w:eastAsiaTheme="minorEastAsia" w:hAnsiTheme="minorEastAsia" w:hint="eastAsia"/>
              </w:rPr>
              <w:t>時の</w:t>
            </w:r>
            <w:r w:rsidRPr="00BC31E0">
              <w:rPr>
                <w:rFonts w:asciiTheme="minorHAnsi" w:eastAsiaTheme="minorEastAsia" w:hAnsiTheme="minorEastAsia"/>
              </w:rPr>
              <w:t>溶接以上の厚さで</w:t>
            </w:r>
            <w:r w:rsidRPr="00BC31E0">
              <w:rPr>
                <w:rFonts w:asciiTheme="majorEastAsia" w:eastAsiaTheme="majorEastAsia" w:hAnsiTheme="majorEastAsia" w:hint="eastAsia"/>
                <w:b/>
              </w:rPr>
              <w:t>7.2.2</w:t>
            </w:r>
            <w:r w:rsidRPr="00BC31E0">
              <w:rPr>
                <w:rFonts w:asciiTheme="minorHAnsi" w:eastAsiaTheme="minorEastAsia" w:hAnsiTheme="minorEastAsia"/>
              </w:rPr>
              <w:t>の溶接</w:t>
            </w:r>
            <w:r w:rsidRPr="00BC31E0">
              <w:rPr>
                <w:rFonts w:asciiTheme="minorHAnsi" w:eastAsiaTheme="minorEastAsia" w:hAnsiTheme="minorEastAsia" w:hint="eastAsia"/>
              </w:rPr>
              <w:t>施工方法の確認</w:t>
            </w:r>
            <w:r w:rsidRPr="00BC31E0">
              <w:rPr>
                <w:rFonts w:asciiTheme="minorHAnsi" w:eastAsiaTheme="minorEastAsia" w:hAnsiTheme="minorEastAsia"/>
              </w:rPr>
              <w:t>が</w:t>
            </w:r>
            <w:r w:rsidRPr="00BC31E0">
              <w:rPr>
                <w:rFonts w:asciiTheme="minorHAnsi" w:eastAsiaTheme="minorEastAsia" w:hAnsiTheme="minorEastAsia" w:hint="eastAsia"/>
              </w:rPr>
              <w:t>な</w:t>
            </w:r>
            <w:r w:rsidRPr="00BC31E0">
              <w:rPr>
                <w:rFonts w:asciiTheme="minorHAnsi" w:eastAsiaTheme="minorEastAsia" w:hAnsiTheme="minorEastAsia"/>
              </w:rPr>
              <w:t>されていなければ，溶接後熱処理</w:t>
            </w:r>
            <w:r w:rsidRPr="00BC31E0">
              <w:rPr>
                <w:rFonts w:asciiTheme="minorHAnsi" w:eastAsiaTheme="minorEastAsia" w:hAnsiTheme="minorEastAsia" w:hint="eastAsia"/>
              </w:rPr>
              <w:t>が必要である</w:t>
            </w:r>
            <w:r w:rsidRPr="00BC31E0">
              <w:rPr>
                <w:rFonts w:asciiTheme="minorHAnsi" w:eastAsiaTheme="minorEastAsia" w:hAnsiTheme="minorEastAsia"/>
              </w:rPr>
              <w:t>。</w:t>
            </w:r>
          </w:p>
          <w:p w14:paraId="40334EFB" w14:textId="77777777" w:rsidR="00644B5F" w:rsidRPr="00BC31E0" w:rsidRDefault="00644B5F" w:rsidP="00736130">
            <w:pPr>
              <w:numPr>
                <w:ilvl w:val="0"/>
                <w:numId w:val="193"/>
              </w:numPr>
              <w:ind w:left="567" w:hanging="340"/>
              <w:rPr>
                <w:rFonts w:asciiTheme="minorHAnsi" w:eastAsiaTheme="minorEastAsia" w:hAnsiTheme="minorHAnsi"/>
              </w:rPr>
            </w:pPr>
            <w:r w:rsidRPr="00BC31E0">
              <w:rPr>
                <w:rFonts w:asciiTheme="minorHAnsi" w:eastAsiaTheme="minorEastAsia" w:hAnsiTheme="minorEastAsia"/>
              </w:rPr>
              <w:t>直火を受ける耐圧部</w:t>
            </w:r>
            <w:r w:rsidRPr="00BC31E0">
              <w:rPr>
                <w:rFonts w:asciiTheme="minorHAnsi" w:eastAsiaTheme="minorEastAsia" w:hAnsiTheme="minorEastAsia" w:hint="eastAsia"/>
              </w:rPr>
              <w:t>材</w:t>
            </w:r>
          </w:p>
          <w:p w14:paraId="0B69C1B6" w14:textId="77777777" w:rsidR="00644B5F" w:rsidRPr="00BC31E0" w:rsidRDefault="00644B5F" w:rsidP="00736130">
            <w:pPr>
              <w:numPr>
                <w:ilvl w:val="0"/>
                <w:numId w:val="192"/>
              </w:numPr>
              <w:ind w:left="340" w:hanging="340"/>
              <w:rPr>
                <w:rFonts w:asciiTheme="minorHAnsi" w:eastAsiaTheme="minorEastAsia" w:hAnsiTheme="minorHAnsi"/>
              </w:rPr>
            </w:pPr>
            <w:r w:rsidRPr="00BC31E0">
              <w:rPr>
                <w:rFonts w:asciiTheme="minorHAnsi" w:eastAsiaTheme="minorEastAsia" w:hAnsiTheme="minorEastAsia"/>
              </w:rPr>
              <w:t>次の</w:t>
            </w:r>
            <w:r w:rsidRPr="00BC31E0">
              <w:rPr>
                <w:rFonts w:asciiTheme="majorEastAsia" w:eastAsiaTheme="majorEastAsia" w:hAnsiTheme="majorEastAsia"/>
                <w:b/>
              </w:rPr>
              <w:t>1)</w:t>
            </w:r>
            <w:r w:rsidRPr="00BC31E0">
              <w:rPr>
                <w:rFonts w:asciiTheme="minorHAnsi" w:eastAsiaTheme="minorEastAsia" w:hAnsiTheme="minorEastAsia"/>
              </w:rPr>
              <w:t>～</w:t>
            </w:r>
            <w:r w:rsidRPr="00BC31E0">
              <w:rPr>
                <w:rFonts w:asciiTheme="majorEastAsia" w:eastAsiaTheme="majorEastAsia" w:hAnsiTheme="majorEastAsia"/>
                <w:b/>
              </w:rPr>
              <w:t>3)</w:t>
            </w:r>
            <w:r w:rsidRPr="00BC31E0">
              <w:rPr>
                <w:rFonts w:asciiTheme="minorHAnsi" w:eastAsiaTheme="minorEastAsia" w:hAnsiTheme="minorEastAsia"/>
              </w:rPr>
              <w:t>の場合，溶接後熱処理の必要はない。</w:t>
            </w:r>
          </w:p>
          <w:p w14:paraId="73392460" w14:textId="77777777" w:rsidR="00644B5F" w:rsidRPr="00BC31E0" w:rsidRDefault="00644B5F" w:rsidP="00736130">
            <w:pPr>
              <w:numPr>
                <w:ilvl w:val="0"/>
                <w:numId w:val="194"/>
              </w:numPr>
              <w:ind w:left="567" w:hanging="340"/>
              <w:rPr>
                <w:rFonts w:asciiTheme="minorHAnsi" w:eastAsiaTheme="minorEastAsia" w:hAnsiTheme="minorHAnsi"/>
              </w:rPr>
            </w:pPr>
            <w:r w:rsidRPr="00BC31E0">
              <w:rPr>
                <w:rFonts w:asciiTheme="minorHAnsi" w:eastAsiaTheme="minorEastAsia" w:hAnsiTheme="minorHAnsi" w:hint="eastAsia"/>
              </w:rPr>
              <w:t>予熱温度が</w:t>
            </w:r>
            <w:r w:rsidRPr="00BC31E0">
              <w:rPr>
                <w:rFonts w:ascii="Cambria Math" w:eastAsiaTheme="minorEastAsia" w:hAnsi="Cambria Math"/>
              </w:rPr>
              <w:t>95</w:t>
            </w:r>
            <w:r w:rsidRPr="00BC31E0">
              <w:rPr>
                <w:rFonts w:asciiTheme="minorHAnsi" w:hAnsiTheme="minorHAnsi"/>
              </w:rPr>
              <w:t>°C</w:t>
            </w:r>
            <w:r w:rsidRPr="00BC31E0">
              <w:rPr>
                <w:rFonts w:asciiTheme="minorHAnsi" w:eastAsiaTheme="minorEastAsia" w:hAnsiTheme="minorHAnsi" w:hint="eastAsia"/>
              </w:rPr>
              <w:t>以上で，溶接深さが</w:t>
            </w:r>
            <w:r w:rsidRPr="00BC31E0">
              <w:rPr>
                <w:rFonts w:ascii="Cambria Math" w:eastAsiaTheme="minorEastAsia" w:hAnsi="Cambria Math"/>
              </w:rPr>
              <w:t>13 mm</w:t>
            </w:r>
            <w:r w:rsidRPr="00BC31E0">
              <w:rPr>
                <w:rFonts w:asciiTheme="minorHAnsi" w:eastAsiaTheme="minorEastAsia" w:hAnsiTheme="minorHAnsi" w:hint="eastAsia"/>
              </w:rPr>
              <w:t>以下の開先溶接又はのど厚が</w:t>
            </w:r>
            <w:r w:rsidRPr="00BC31E0">
              <w:rPr>
                <w:rFonts w:ascii="Cambria Math" w:eastAsiaTheme="minorEastAsia" w:hAnsi="Cambria Math"/>
              </w:rPr>
              <w:t>13 mm</w:t>
            </w:r>
            <w:r w:rsidRPr="00BC31E0">
              <w:rPr>
                <w:rFonts w:asciiTheme="minorHAnsi" w:eastAsiaTheme="minorEastAsia" w:hAnsiTheme="minorHAnsi" w:hint="eastAsia"/>
              </w:rPr>
              <w:t>以下の隅肉溶接による耐圧部材への非耐圧部材の取付け</w:t>
            </w:r>
          </w:p>
          <w:p w14:paraId="72357F18" w14:textId="77777777" w:rsidR="00644B5F" w:rsidRPr="00BC31E0" w:rsidRDefault="00644B5F" w:rsidP="00736130">
            <w:pPr>
              <w:numPr>
                <w:ilvl w:val="0"/>
                <w:numId w:val="194"/>
              </w:numPr>
              <w:ind w:left="567" w:hanging="340"/>
              <w:rPr>
                <w:rFonts w:asciiTheme="minorHAnsi" w:eastAsiaTheme="minorEastAsia" w:hAnsiTheme="minorEastAsia"/>
              </w:rPr>
            </w:pPr>
            <w:r w:rsidRPr="00BC31E0">
              <w:rPr>
                <w:rFonts w:asciiTheme="minorHAnsi" w:eastAsiaTheme="minorEastAsia" w:hAnsiTheme="minorEastAsia"/>
              </w:rPr>
              <w:t>予熱温度</w:t>
            </w:r>
            <w:r w:rsidRPr="00BC31E0">
              <w:rPr>
                <w:rFonts w:asciiTheme="minorHAnsi" w:eastAsiaTheme="minorEastAsia" w:hAnsiTheme="minorEastAsia" w:hint="eastAsia"/>
              </w:rPr>
              <w:t>が</w:t>
            </w:r>
            <w:r w:rsidRPr="00BC31E0">
              <w:rPr>
                <w:rFonts w:ascii="Cambria Math" w:eastAsiaTheme="minorEastAsia" w:hAnsi="Cambria Math"/>
              </w:rPr>
              <w:t>95</w:t>
            </w:r>
            <w:r w:rsidRPr="00BC31E0">
              <w:rPr>
                <w:rFonts w:asciiTheme="minorHAnsi" w:hAnsiTheme="minorHAnsi"/>
              </w:rPr>
              <w:t>°C</w:t>
            </w:r>
            <w:r w:rsidRPr="00BC31E0">
              <w:rPr>
                <w:rFonts w:asciiTheme="minorHAnsi" w:eastAsiaTheme="minorEastAsia" w:hAnsiTheme="minorEastAsia" w:hint="eastAsia"/>
              </w:rPr>
              <w:t>以上の</w:t>
            </w:r>
            <w:r w:rsidRPr="00BC31E0">
              <w:rPr>
                <w:rFonts w:asciiTheme="minorHAnsi" w:eastAsiaTheme="minorEastAsia" w:hAnsiTheme="minorEastAsia"/>
              </w:rPr>
              <w:t>耐圧部</w:t>
            </w:r>
            <w:r w:rsidRPr="00BC31E0">
              <w:rPr>
                <w:rFonts w:asciiTheme="minorHAnsi" w:eastAsiaTheme="minorEastAsia" w:hAnsiTheme="minorEastAsia" w:hint="eastAsia"/>
              </w:rPr>
              <w:t>材</w:t>
            </w:r>
            <w:r w:rsidRPr="00BC31E0">
              <w:rPr>
                <w:rFonts w:asciiTheme="minorHAnsi" w:eastAsiaTheme="minorEastAsia" w:hAnsiTheme="minorEastAsia"/>
              </w:rPr>
              <w:t>のスタッド溶接</w:t>
            </w:r>
          </w:p>
          <w:p w14:paraId="09599E41" w14:textId="77777777" w:rsidR="00644B5F" w:rsidRPr="00BC31E0" w:rsidRDefault="00644B5F" w:rsidP="00736130">
            <w:pPr>
              <w:numPr>
                <w:ilvl w:val="0"/>
                <w:numId w:val="194"/>
              </w:numPr>
              <w:ind w:left="567" w:hanging="340"/>
              <w:rPr>
                <w:rFonts w:asciiTheme="minorHAnsi" w:eastAsiaTheme="minorEastAsia" w:hAnsiTheme="minorEastAsia"/>
              </w:rPr>
            </w:pPr>
            <w:r w:rsidRPr="00BC31E0">
              <w:rPr>
                <w:rFonts w:asciiTheme="minorHAnsi" w:eastAsiaTheme="minorEastAsia" w:hAnsiTheme="minorEastAsia"/>
              </w:rPr>
              <w:t>初層の溶接で</w:t>
            </w:r>
            <w:r w:rsidRPr="00BC31E0">
              <w:rPr>
                <w:rFonts w:asciiTheme="minorHAnsi" w:eastAsiaTheme="minorEastAsia" w:hAnsiTheme="minorEastAsia" w:hint="eastAsia"/>
              </w:rPr>
              <w:t>，</w:t>
            </w:r>
            <w:r w:rsidRPr="00BC31E0">
              <w:rPr>
                <w:rFonts w:ascii="Cambria Math" w:eastAsiaTheme="minorEastAsia" w:hAnsi="Cambria Math"/>
              </w:rPr>
              <w:t>95</w:t>
            </w:r>
            <w:r w:rsidRPr="00BC31E0">
              <w:rPr>
                <w:rFonts w:asciiTheme="minorHAnsi" w:hAnsiTheme="minorHAnsi"/>
              </w:rPr>
              <w:t>°C</w:t>
            </w:r>
            <w:r w:rsidRPr="00BC31E0">
              <w:rPr>
                <w:rFonts w:asciiTheme="minorHAnsi" w:eastAsiaTheme="minorEastAsia" w:hAnsiTheme="minorEastAsia" w:hint="eastAsia"/>
              </w:rPr>
              <w:t>以上の</w:t>
            </w:r>
            <w:r w:rsidRPr="00BC31E0">
              <w:rPr>
                <w:rFonts w:asciiTheme="minorHAnsi" w:eastAsiaTheme="minorEastAsia" w:hAnsiTheme="minorEastAsia"/>
              </w:rPr>
              <w:t>予熱温度が</w:t>
            </w:r>
            <w:r w:rsidRPr="00BC31E0">
              <w:rPr>
                <w:rFonts w:asciiTheme="minorHAnsi" w:eastAsiaTheme="minorEastAsia" w:hAnsiTheme="minorEastAsia" w:hint="eastAsia"/>
              </w:rPr>
              <w:t>保持</w:t>
            </w:r>
            <w:r w:rsidRPr="00BC31E0">
              <w:rPr>
                <w:rFonts w:asciiTheme="minorHAnsi" w:eastAsiaTheme="minorEastAsia" w:hAnsiTheme="minorEastAsia"/>
              </w:rPr>
              <w:t>される耐食</w:t>
            </w:r>
            <w:r w:rsidRPr="00BC31E0">
              <w:rPr>
                <w:rFonts w:asciiTheme="minorHAnsi" w:eastAsiaTheme="minorEastAsia" w:hAnsiTheme="minorEastAsia" w:hint="eastAsia"/>
              </w:rPr>
              <w:t>肉盛</w:t>
            </w:r>
            <w:r w:rsidRPr="00BC31E0">
              <w:rPr>
                <w:rFonts w:asciiTheme="minorHAnsi" w:eastAsiaTheme="minorEastAsia" w:hAnsiTheme="minorEastAsia"/>
              </w:rPr>
              <w:t>溶接又は耐食ライニング溶接</w:t>
            </w:r>
          </w:p>
          <w:p w14:paraId="4E18D1B2" w14:textId="77777777" w:rsidR="00644B5F" w:rsidRPr="00BC31E0" w:rsidRDefault="00644B5F" w:rsidP="00736130">
            <w:pPr>
              <w:numPr>
                <w:ilvl w:val="0"/>
                <w:numId w:val="192"/>
              </w:numPr>
              <w:ind w:left="340" w:hanging="340"/>
              <w:rPr>
                <w:rFonts w:asciiTheme="minorHAnsi" w:eastAsiaTheme="minorEastAsia" w:hAnsiTheme="minorEastAsia"/>
              </w:rPr>
            </w:pPr>
            <w:r w:rsidRPr="00BC31E0">
              <w:rPr>
                <w:rFonts w:asciiTheme="minorHAnsi" w:eastAsiaTheme="minorEastAsia" w:hAnsiTheme="minorEastAsia"/>
              </w:rPr>
              <w:t>溶接後熱処理の保持温度は</w:t>
            </w:r>
            <w:r w:rsidRPr="00BC31E0">
              <w:rPr>
                <w:rFonts w:ascii="Cambria Math" w:eastAsiaTheme="minorEastAsia" w:hAnsi="Cambria Math"/>
              </w:rPr>
              <w:t>635</w:t>
            </w:r>
            <w:r w:rsidRPr="00BC31E0">
              <w:rPr>
                <w:rFonts w:asciiTheme="minorHAnsi" w:hAnsiTheme="minorHAnsi"/>
              </w:rPr>
              <w:t>°C</w:t>
            </w:r>
            <w:r w:rsidRPr="00BC31E0">
              <w:rPr>
                <w:rFonts w:asciiTheme="minorHAnsi" w:eastAsiaTheme="minorEastAsia" w:hAnsiTheme="minorEastAsia" w:hint="eastAsia"/>
              </w:rPr>
              <w:t>以下とする</w:t>
            </w:r>
            <w:r w:rsidRPr="00BC31E0">
              <w:rPr>
                <w:rFonts w:asciiTheme="minorHAnsi" w:eastAsiaTheme="minorEastAsia" w:hAnsiTheme="minorEastAsia"/>
              </w:rPr>
              <w:t>。</w:t>
            </w:r>
          </w:p>
          <w:p w14:paraId="29316857" w14:textId="77777777" w:rsidR="00644B5F" w:rsidRPr="00BC31E0" w:rsidRDefault="00644B5F" w:rsidP="00736130">
            <w:pPr>
              <w:numPr>
                <w:ilvl w:val="0"/>
                <w:numId w:val="192"/>
              </w:numPr>
              <w:ind w:left="340" w:hanging="340"/>
              <w:rPr>
                <w:rFonts w:asciiTheme="minorHAnsi" w:eastAsiaTheme="minorEastAsia" w:hAnsiTheme="minorHAnsi"/>
              </w:rPr>
            </w:pPr>
            <w:r w:rsidRPr="00BC31E0">
              <w:rPr>
                <w:rFonts w:asciiTheme="minorHAnsi" w:eastAsiaTheme="minorEastAsia" w:hAnsiTheme="minorEastAsia"/>
              </w:rPr>
              <w:t>溶接後熱処理の保持</w:t>
            </w:r>
            <w:r w:rsidRPr="00BC31E0">
              <w:rPr>
                <w:rFonts w:asciiTheme="minorHAnsi" w:eastAsiaTheme="minorEastAsia" w:hAnsiTheme="minorEastAsia" w:hint="eastAsia"/>
              </w:rPr>
              <w:t>期間</w:t>
            </w:r>
            <w:r w:rsidRPr="00BC31E0">
              <w:rPr>
                <w:rFonts w:asciiTheme="minorHAnsi" w:eastAsiaTheme="minorEastAsia" w:hAnsiTheme="minorEastAsia"/>
              </w:rPr>
              <w:t>中に，容器</w:t>
            </w:r>
            <w:r w:rsidRPr="00BC31E0">
              <w:rPr>
                <w:rFonts w:asciiTheme="minorHAnsi" w:eastAsiaTheme="minorEastAsia" w:hAnsiTheme="minorEastAsia" w:hint="eastAsia"/>
              </w:rPr>
              <w:t>部材の</w:t>
            </w:r>
            <w:r w:rsidRPr="00BC31E0">
              <w:rPr>
                <w:rFonts w:asciiTheme="minorHAnsi" w:eastAsiaTheme="minorEastAsia" w:hAnsiTheme="minorEastAsia"/>
              </w:rPr>
              <w:t>最大時間</w:t>
            </w:r>
            <w:r w:rsidRPr="00BC31E0">
              <w:rPr>
                <w:rFonts w:asciiTheme="minorHAnsi" w:eastAsiaTheme="minorEastAsia" w:hAnsiTheme="minorEastAsia" w:hint="eastAsia"/>
              </w:rPr>
              <w:t>又は</w:t>
            </w:r>
            <w:r w:rsidRPr="00BC31E0">
              <w:rPr>
                <w:rFonts w:asciiTheme="minorHAnsi" w:eastAsiaTheme="minorEastAsia" w:hAnsiTheme="minorEastAsia"/>
              </w:rPr>
              <w:t>温度</w:t>
            </w:r>
            <w:r w:rsidRPr="00BC31E0">
              <w:rPr>
                <w:rFonts w:asciiTheme="minorHAnsi" w:eastAsiaTheme="minorEastAsia" w:hAnsiTheme="minorEastAsia" w:hint="eastAsia"/>
              </w:rPr>
              <w:t>が</w:t>
            </w:r>
            <w:r w:rsidRPr="00BC31E0">
              <w:rPr>
                <w:rFonts w:asciiTheme="majorEastAsia" w:eastAsiaTheme="majorEastAsia" w:hAnsiTheme="majorEastAsia" w:hint="eastAsia"/>
                <w:b/>
              </w:rPr>
              <w:t>10.1.2 c)</w:t>
            </w:r>
            <w:r w:rsidRPr="00BC31E0">
              <w:rPr>
                <w:rFonts w:asciiTheme="minorEastAsia" w:eastAsiaTheme="minorEastAsia" w:hAnsiTheme="minorEastAsia" w:hint="eastAsia"/>
              </w:rPr>
              <w:t>の</w:t>
            </w:r>
            <w:r w:rsidRPr="00BC31E0">
              <w:rPr>
                <w:rFonts w:asciiTheme="minorHAnsi" w:eastAsiaTheme="minorEastAsia" w:hAnsiTheme="minorEastAsia" w:hint="eastAsia"/>
              </w:rPr>
              <w:t>規定</w:t>
            </w:r>
            <w:r w:rsidRPr="00BC31E0">
              <w:rPr>
                <w:rFonts w:asciiTheme="minorHAnsi" w:eastAsiaTheme="minorEastAsia" w:hAnsiTheme="minorEastAsia"/>
              </w:rPr>
              <w:t>を超え</w:t>
            </w:r>
            <w:r w:rsidRPr="00BC31E0">
              <w:rPr>
                <w:rFonts w:asciiTheme="minorHAnsi" w:eastAsiaTheme="minorEastAsia" w:hAnsiTheme="minorEastAsia" w:hint="eastAsia"/>
              </w:rPr>
              <w:t>る</w:t>
            </w:r>
            <w:r w:rsidRPr="00BC31E0">
              <w:rPr>
                <w:rFonts w:asciiTheme="minorHAnsi" w:eastAsiaTheme="minorEastAsia" w:hAnsiTheme="minorEastAsia"/>
              </w:rPr>
              <w:t>場合には，追加</w:t>
            </w:r>
            <w:r w:rsidRPr="00BC31E0">
              <w:rPr>
                <w:rFonts w:asciiTheme="minorHAnsi" w:eastAsiaTheme="minorEastAsia" w:hAnsiTheme="minorEastAsia" w:hint="eastAsia"/>
              </w:rPr>
              <w:t>の</w:t>
            </w:r>
            <w:r w:rsidRPr="00BC31E0">
              <w:rPr>
                <w:rFonts w:asciiTheme="minorHAnsi" w:eastAsiaTheme="minorEastAsia" w:hAnsiTheme="minorEastAsia"/>
              </w:rPr>
              <w:t>試験材を作製して試験しなければならない。</w:t>
            </w:r>
          </w:p>
          <w:p w14:paraId="677CA0CD" w14:textId="77777777" w:rsidR="00644B5F" w:rsidRPr="00BC31E0" w:rsidRDefault="00644B5F" w:rsidP="00736130">
            <w:pPr>
              <w:numPr>
                <w:ilvl w:val="0"/>
                <w:numId w:val="192"/>
              </w:numPr>
              <w:ind w:left="340" w:hanging="340"/>
              <w:rPr>
                <w:rFonts w:asciiTheme="minorHAnsi" w:eastAsiaTheme="minorEastAsia" w:hAnsiTheme="minorHAnsi"/>
              </w:rPr>
            </w:pPr>
            <w:r w:rsidRPr="00BC31E0">
              <w:rPr>
                <w:rFonts w:ascii="Cambria Math" w:eastAsiaTheme="minorEastAsia" w:hAnsi="Cambria Math"/>
              </w:rPr>
              <w:t>425</w:t>
            </w:r>
            <w:r w:rsidRPr="00BC31E0">
              <w:rPr>
                <w:rFonts w:asciiTheme="minorHAnsi" w:hAnsiTheme="minorHAnsi"/>
              </w:rPr>
              <w:t>°C</w:t>
            </w:r>
            <w:r w:rsidRPr="00BC31E0">
              <w:rPr>
                <w:rFonts w:asciiTheme="minorHAnsi" w:eastAsiaTheme="minorEastAsia" w:hAnsiTheme="minorEastAsia" w:hint="eastAsia"/>
              </w:rPr>
              <w:t>～</w:t>
            </w:r>
            <w:r w:rsidRPr="00BC31E0">
              <w:rPr>
                <w:rFonts w:asciiTheme="minorHAnsi" w:eastAsiaTheme="minorEastAsia" w:hAnsiTheme="minorEastAsia"/>
              </w:rPr>
              <w:t>保持温度</w:t>
            </w:r>
            <w:r w:rsidRPr="00BC31E0">
              <w:rPr>
                <w:rFonts w:asciiTheme="minorHAnsi" w:eastAsiaTheme="minorEastAsia" w:hAnsiTheme="minorEastAsia" w:hint="eastAsia"/>
              </w:rPr>
              <w:t>間</w:t>
            </w:r>
            <w:r w:rsidRPr="00BC31E0">
              <w:rPr>
                <w:rFonts w:asciiTheme="minorHAnsi" w:eastAsiaTheme="minorEastAsia" w:hAnsiTheme="minorEastAsia"/>
              </w:rPr>
              <w:t>の加熱速度が</w:t>
            </w:r>
            <w:r w:rsidRPr="00BC31E0">
              <w:rPr>
                <w:rFonts w:ascii="Cambria Math" w:eastAsiaTheme="minorEastAsia" w:hAnsi="Cambria Math"/>
              </w:rPr>
              <w:t>30</w:t>
            </w:r>
            <w:r w:rsidRPr="00BC31E0">
              <w:rPr>
                <w:rFonts w:asciiTheme="minorHAnsi" w:hAnsiTheme="minorHAnsi"/>
              </w:rPr>
              <w:t>°C</w:t>
            </w:r>
            <w:r w:rsidRPr="00BC31E0">
              <w:rPr>
                <w:rFonts w:ascii="Cambria Math" w:eastAsiaTheme="minorEastAsia" w:hAnsi="Cambria Math"/>
              </w:rPr>
              <w:t>/h</w:t>
            </w:r>
            <w:r w:rsidRPr="00BC31E0">
              <w:rPr>
                <w:rFonts w:asciiTheme="minorHAnsi" w:eastAsiaTheme="minorEastAsia" w:hAnsiTheme="minorHAnsi" w:hint="eastAsia"/>
              </w:rPr>
              <w:t>以下の場合</w:t>
            </w:r>
            <w:r w:rsidRPr="00BC31E0">
              <w:rPr>
                <w:rFonts w:asciiTheme="minorHAnsi" w:eastAsiaTheme="minorEastAsia" w:hAnsiTheme="minorEastAsia"/>
              </w:rPr>
              <w:t>，</w:t>
            </w:r>
            <w:r w:rsidRPr="00BC31E0">
              <w:rPr>
                <w:rFonts w:asciiTheme="minorHAnsi" w:eastAsiaTheme="minorEastAsia" w:hAnsiTheme="minorEastAsia" w:hint="eastAsia"/>
              </w:rPr>
              <w:t>保持時間に</w:t>
            </w:r>
            <m:oMath>
              <m:f>
                <m:fPr>
                  <m:type m:val="lin"/>
                  <m:ctrlPr>
                    <w:rPr>
                      <w:rFonts w:ascii="Cambria Math" w:eastAsiaTheme="minorEastAsia" w:hAnsi="Cambria Math"/>
                      <w:i/>
                    </w:rPr>
                  </m:ctrlPr>
                </m:fPr>
                <m:num>
                  <m:r>
                    <w:rPr>
                      <w:rFonts w:ascii="Cambria Math" w:eastAsiaTheme="minorEastAsia" w:hAnsi="Cambria Math"/>
                    </w:rPr>
                    <m:t xml:space="preserve"> </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hint="eastAsia"/>
                            </w:rPr>
                            <m:t>t</m:t>
                          </m:r>
                        </m:e>
                        <m:sub>
                          <m:r>
                            <w:rPr>
                              <w:rFonts w:ascii="Cambria Math" w:eastAsiaTheme="minorEastAsia" w:hAnsi="Cambria Math"/>
                            </w:rPr>
                            <m:t xml:space="preserve">n </m:t>
                          </m:r>
                        </m:sub>
                      </m:sSub>
                      <m:r>
                        <w:rPr>
                          <w:rFonts w:ascii="Cambria Math" w:eastAsiaTheme="minorEastAsia" w:hAnsi="Cambria Math"/>
                        </w:rPr>
                        <m:t>-25</m:t>
                      </m:r>
                    </m:e>
                  </m:d>
                </m:num>
                <m:den>
                  <m:r>
                    <w:rPr>
                      <w:rFonts w:ascii="Cambria Math" w:eastAsiaTheme="minorEastAsia" w:hAnsi="Cambria Math"/>
                    </w:rPr>
                    <m:t xml:space="preserve">100 </m:t>
                  </m:r>
                  <m:r>
                    <m:rPr>
                      <m:sty m:val="p"/>
                    </m:rPr>
                    <w:rPr>
                      <w:rFonts w:ascii="Cambria Math" w:eastAsiaTheme="minorEastAsia" w:hAnsi="Cambria Math"/>
                    </w:rPr>
                    <m:t>h</m:t>
                  </m:r>
                  <m:r>
                    <w:rPr>
                      <w:rFonts w:ascii="Cambria Math" w:eastAsiaTheme="minorEastAsia" w:hAnsi="Cambria Math"/>
                    </w:rPr>
                    <m:t xml:space="preserve"> </m:t>
                  </m:r>
                </m:den>
              </m:f>
            </m:oMath>
            <w:r w:rsidRPr="00BC31E0">
              <w:rPr>
                <w:rFonts w:asciiTheme="minorHAnsi" w:eastAsiaTheme="minorEastAsia" w:hAnsiTheme="minorEastAsia" w:hint="eastAsia"/>
              </w:rPr>
              <w:t>を加算する必要はない</w:t>
            </w:r>
            <w:r w:rsidRPr="00BC31E0">
              <w:rPr>
                <w:rFonts w:asciiTheme="minorHAnsi" w:eastAsiaTheme="minorEastAsia" w:hAnsiTheme="minorEastAsia"/>
              </w:rPr>
              <w:t>。更に，製作者が全厚さにわたって最低温度を</w:t>
            </w:r>
            <w:r w:rsidRPr="00BC31E0">
              <w:rPr>
                <w:rFonts w:asciiTheme="minorHAnsi" w:eastAsiaTheme="minorEastAsia" w:hAnsiTheme="minorEastAsia" w:hint="eastAsia"/>
              </w:rPr>
              <w:t>保持</w:t>
            </w:r>
            <w:r w:rsidRPr="00BC31E0">
              <w:rPr>
                <w:rFonts w:asciiTheme="minorHAnsi" w:eastAsiaTheme="minorEastAsia" w:hAnsiTheme="minorEastAsia"/>
              </w:rPr>
              <w:t>できること</w:t>
            </w:r>
            <w:r w:rsidRPr="00BC31E0">
              <w:rPr>
                <w:rFonts w:asciiTheme="minorHAnsi" w:eastAsiaTheme="minorEastAsia" w:hAnsiTheme="minorEastAsia" w:hint="eastAsia"/>
              </w:rPr>
              <w:t>を</w:t>
            </w:r>
            <w:r w:rsidRPr="00BC31E0">
              <w:rPr>
                <w:rFonts w:asciiTheme="minorHAnsi" w:eastAsiaTheme="minorEastAsia" w:hAnsiTheme="minorEastAsia"/>
              </w:rPr>
              <w:t>示すことができれば，</w:t>
            </w:r>
            <w:r w:rsidRPr="00BC31E0">
              <w:rPr>
                <w:rFonts w:asciiTheme="minorHAnsi" w:eastAsiaTheme="minorEastAsia" w:hAnsiTheme="minorEastAsia" w:hint="eastAsia"/>
              </w:rPr>
              <w:t>保持時間に</w:t>
            </w:r>
            <m:oMath>
              <m:f>
                <m:fPr>
                  <m:type m:val="lin"/>
                  <m:ctrlPr>
                    <w:rPr>
                      <w:rFonts w:ascii="Cambria Math" w:eastAsiaTheme="minorEastAsia" w:hAnsi="Cambria Math"/>
                      <w:i/>
                    </w:rPr>
                  </m:ctrlPr>
                </m:fPr>
                <m:num>
                  <m:r>
                    <w:rPr>
                      <w:rFonts w:ascii="Cambria Math" w:eastAsiaTheme="minorEastAsia" w:hAnsi="Cambria Math"/>
                    </w:rPr>
                    <m:t xml:space="preserve"> </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hint="eastAsia"/>
                            </w:rPr>
                            <m:t>t</m:t>
                          </m:r>
                        </m:e>
                        <m:sub>
                          <m:r>
                            <w:rPr>
                              <w:rFonts w:ascii="Cambria Math" w:eastAsiaTheme="minorEastAsia" w:hAnsi="Cambria Math"/>
                            </w:rPr>
                            <m:t xml:space="preserve">n </m:t>
                          </m:r>
                        </m:sub>
                      </m:sSub>
                      <m:r>
                        <w:rPr>
                          <w:rFonts w:ascii="Cambria Math" w:eastAsiaTheme="minorEastAsia" w:hAnsi="Cambria Math"/>
                        </w:rPr>
                        <m:t>-25</m:t>
                      </m:r>
                    </m:e>
                  </m:d>
                </m:num>
                <m:den>
                  <m:r>
                    <w:rPr>
                      <w:rFonts w:ascii="Cambria Math" w:eastAsiaTheme="minorEastAsia" w:hAnsi="Cambria Math"/>
                    </w:rPr>
                    <m:t xml:space="preserve">100 </m:t>
                  </m:r>
                  <m:r>
                    <m:rPr>
                      <m:sty m:val="p"/>
                    </m:rPr>
                    <w:rPr>
                      <w:rFonts w:ascii="Cambria Math" w:eastAsiaTheme="minorEastAsia" w:hAnsi="Cambria Math"/>
                    </w:rPr>
                    <m:t>h</m:t>
                  </m:r>
                  <m:r>
                    <w:rPr>
                      <w:rFonts w:ascii="Cambria Math" w:eastAsiaTheme="minorEastAsia" w:hAnsi="Cambria Math"/>
                    </w:rPr>
                    <m:t xml:space="preserve"> </m:t>
                  </m:r>
                </m:den>
              </m:f>
            </m:oMath>
            <w:r w:rsidRPr="00BC31E0">
              <w:rPr>
                <w:rFonts w:asciiTheme="minorHAnsi" w:eastAsiaTheme="minorEastAsia" w:hAnsiTheme="minorEastAsia" w:hint="eastAsia"/>
              </w:rPr>
              <w:t>を加算する必要はない</w:t>
            </w:r>
            <w:r w:rsidRPr="00BC31E0">
              <w:rPr>
                <w:rFonts w:asciiTheme="minorHAnsi" w:eastAsiaTheme="minorEastAsia" w:hAnsiTheme="minorEastAsia"/>
              </w:rPr>
              <w:t>。</w:t>
            </w:r>
          </w:p>
          <w:p w14:paraId="3331D874" w14:textId="77777777" w:rsidR="00644B5F" w:rsidRPr="00BC31E0" w:rsidRDefault="00644B5F" w:rsidP="0040716A">
            <w:pPr>
              <w:numPr>
                <w:ilvl w:val="0"/>
                <w:numId w:val="192"/>
              </w:numPr>
              <w:ind w:left="340" w:hanging="340"/>
              <w:rPr>
                <w:rFonts w:asciiTheme="minorHAnsi" w:eastAsiaTheme="minorEastAsia" w:hAnsiTheme="minorHAnsi"/>
              </w:rPr>
            </w:pPr>
            <w:r w:rsidRPr="00BC31E0">
              <w:rPr>
                <w:rFonts w:asciiTheme="minorHAnsi" w:eastAsiaTheme="minorEastAsia" w:hAnsiTheme="minorEastAsia"/>
              </w:rPr>
              <w:t>規定</w:t>
            </w:r>
            <w:r w:rsidRPr="00BC31E0">
              <w:rPr>
                <w:rFonts w:asciiTheme="minorHAnsi" w:eastAsiaTheme="minorEastAsia" w:hAnsiTheme="minorEastAsia" w:hint="eastAsia"/>
              </w:rPr>
              <w:t>の保持</w:t>
            </w:r>
            <w:r w:rsidRPr="00BC31E0">
              <w:rPr>
                <w:rFonts w:asciiTheme="minorHAnsi" w:eastAsiaTheme="minorEastAsia" w:hAnsiTheme="minorEastAsia"/>
              </w:rPr>
              <w:t>温度で溶接後熱処理</w:t>
            </w:r>
            <w:r w:rsidRPr="00BC31E0">
              <w:rPr>
                <w:rFonts w:asciiTheme="minorHAnsi" w:eastAsiaTheme="minorEastAsia" w:hAnsiTheme="minorEastAsia" w:hint="eastAsia"/>
              </w:rPr>
              <w:t>が</w:t>
            </w:r>
            <w:r w:rsidRPr="00BC31E0">
              <w:rPr>
                <w:rFonts w:asciiTheme="minorHAnsi" w:eastAsiaTheme="minorEastAsia" w:hAnsiTheme="minorEastAsia"/>
              </w:rPr>
              <w:t>できない場合には，</w:t>
            </w:r>
            <w:r w:rsidRPr="00BC31E0">
              <w:rPr>
                <w:rFonts w:asciiTheme="minorHAnsi" w:eastAsiaTheme="minorEastAsia" w:hAnsiTheme="minorEastAsia" w:hint="eastAsia"/>
              </w:rPr>
              <w:t>最低保持温度を</w:t>
            </w:r>
            <w:r w:rsidRPr="00BC31E0">
              <w:rPr>
                <w:rFonts w:ascii="Cambria Math" w:eastAsiaTheme="minorEastAsia" w:hAnsi="Cambria Math"/>
              </w:rPr>
              <w:t>540</w:t>
            </w:r>
            <w:r w:rsidRPr="00BC31E0">
              <w:rPr>
                <w:rFonts w:asciiTheme="minorHAnsi" w:hAnsiTheme="minorHAnsi"/>
              </w:rPr>
              <w:t>°C</w:t>
            </w:r>
            <w:r w:rsidRPr="00BC31E0">
              <w:rPr>
                <w:rFonts w:asciiTheme="minorHAnsi" w:hAnsiTheme="minorHAnsi" w:hint="eastAsia"/>
              </w:rPr>
              <w:t>とし</w:t>
            </w:r>
            <w:r w:rsidRPr="00BC31E0">
              <w:rPr>
                <w:rFonts w:asciiTheme="minorHAnsi" w:eastAsiaTheme="minorEastAsia" w:hAnsiTheme="minorEastAsia" w:hint="eastAsia"/>
              </w:rPr>
              <w:t>，</w:t>
            </w:r>
            <w:r w:rsidRPr="00BC31E0">
              <w:rPr>
                <w:rFonts w:asciiTheme="majorEastAsia" w:eastAsiaTheme="majorEastAsia" w:hAnsiTheme="majorEastAsia" w:hint="eastAsia"/>
                <w:b/>
              </w:rPr>
              <w:t>表7.4.18</w:t>
            </w:r>
            <w:r w:rsidRPr="00BC31E0">
              <w:rPr>
                <w:rFonts w:asciiTheme="minorHAnsi" w:eastAsiaTheme="minorEastAsia" w:hAnsiTheme="minorEastAsia"/>
              </w:rPr>
              <w:t>に示す保持時間</w:t>
            </w:r>
            <w:r w:rsidRPr="00BC31E0">
              <w:rPr>
                <w:rFonts w:asciiTheme="minorHAnsi" w:eastAsiaTheme="minorEastAsia" w:hAnsiTheme="minorEastAsia" w:hint="eastAsia"/>
              </w:rPr>
              <w:t>で溶接</w:t>
            </w:r>
            <w:r w:rsidRPr="00BC31E0">
              <w:rPr>
                <w:rFonts w:asciiTheme="minorHAnsi" w:eastAsiaTheme="minorEastAsia" w:hAnsiTheme="minorEastAsia"/>
              </w:rPr>
              <w:t>後熱処理</w:t>
            </w:r>
            <w:r w:rsidRPr="00BC31E0">
              <w:rPr>
                <w:rFonts w:asciiTheme="minorHAnsi" w:eastAsiaTheme="minorEastAsia" w:hAnsiTheme="minorEastAsia" w:hint="eastAsia"/>
              </w:rPr>
              <w:t>を</w:t>
            </w:r>
            <w:r w:rsidR="0040716A" w:rsidRPr="00BC31E0">
              <w:rPr>
                <w:rFonts w:asciiTheme="minorHAnsi" w:eastAsiaTheme="minorEastAsia" w:hAnsiTheme="minorEastAsia" w:hint="eastAsia"/>
              </w:rPr>
              <w:t>行ってもよい</w:t>
            </w:r>
            <w:r w:rsidRPr="00BC31E0">
              <w:rPr>
                <w:rFonts w:asciiTheme="minorHAnsi" w:eastAsiaTheme="minorEastAsia" w:hAnsiTheme="minorEastAsia"/>
              </w:rPr>
              <w:t>。</w:t>
            </w:r>
            <w:r w:rsidRPr="00BC31E0">
              <w:rPr>
                <w:rFonts w:asciiTheme="minorHAnsi" w:eastAsiaTheme="minorEastAsia" w:hAnsiTheme="minorEastAsia" w:hint="eastAsia"/>
              </w:rPr>
              <w:t>保持温度を低減する</w:t>
            </w:r>
            <w:r w:rsidRPr="00BC31E0">
              <w:rPr>
                <w:rFonts w:asciiTheme="minorHAnsi" w:eastAsiaTheme="minorEastAsia" w:hAnsiTheme="minorEastAsia"/>
              </w:rPr>
              <w:t>場合には，</w:t>
            </w:r>
            <w:r w:rsidRPr="00BC31E0">
              <w:rPr>
                <w:rFonts w:asciiTheme="majorEastAsia" w:eastAsiaTheme="majorEastAsia" w:hAnsiTheme="majorEastAsia" w:hint="eastAsia"/>
                <w:b/>
              </w:rPr>
              <w:t>10.2</w:t>
            </w:r>
            <w:r w:rsidRPr="00BC31E0">
              <w:rPr>
                <w:rFonts w:asciiTheme="minorHAnsi" w:eastAsiaTheme="minorEastAsia" w:hAnsiTheme="minorEastAsia"/>
              </w:rPr>
              <w:t>で要求される</w:t>
            </w:r>
            <w:r w:rsidRPr="00BC31E0">
              <w:rPr>
                <w:rFonts w:asciiTheme="minorHAnsi" w:eastAsiaTheme="minorEastAsia" w:hAnsiTheme="minorEastAsia" w:hint="eastAsia"/>
              </w:rPr>
              <w:t>製作用</w:t>
            </w:r>
            <w:r w:rsidRPr="00BC31E0">
              <w:rPr>
                <w:rFonts w:asciiTheme="minorHAnsi" w:eastAsiaTheme="minorEastAsia" w:hAnsiTheme="minorEastAsia"/>
              </w:rPr>
              <w:t>試験板</w:t>
            </w:r>
            <w:r w:rsidRPr="00BC31E0">
              <w:rPr>
                <w:rFonts w:asciiTheme="minorHAnsi" w:eastAsiaTheme="minorEastAsia" w:hAnsiTheme="minorEastAsia" w:hint="eastAsia"/>
              </w:rPr>
              <w:t>も</w:t>
            </w:r>
            <w:r w:rsidRPr="00BC31E0">
              <w:rPr>
                <w:rFonts w:asciiTheme="minorHAnsi" w:eastAsiaTheme="minorEastAsia" w:hAnsiTheme="minorEastAsia"/>
              </w:rPr>
              <w:t>同じ熱処理にしなければならない。</w:t>
            </w:r>
          </w:p>
        </w:tc>
        <w:tc>
          <w:tcPr>
            <w:tcW w:w="2126" w:type="dxa"/>
          </w:tcPr>
          <w:p w14:paraId="1A4996E9" w14:textId="77777777" w:rsidR="00644B5F" w:rsidRPr="00BC31E0" w:rsidRDefault="00644B5F" w:rsidP="00644B5F">
            <w:pPr>
              <w:ind w:left="170"/>
              <w:rPr>
                <w:rFonts w:ascii="Cambria Math" w:eastAsiaTheme="minorEastAsia" w:hAnsi="Cambria Math"/>
              </w:rPr>
            </w:pPr>
            <w:r w:rsidRPr="00BC31E0">
              <w:rPr>
                <w:rFonts w:ascii="Cambria Math" w:eastAsiaTheme="minorEastAsia" w:hAnsi="Cambria Math"/>
              </w:rPr>
              <w:t>595</w:t>
            </w:r>
            <w:r w:rsidRPr="00BC31E0">
              <w:rPr>
                <w:rFonts w:asciiTheme="minorHAnsi" w:hAnsiTheme="minorHAnsi"/>
              </w:rPr>
              <w:t>°C</w:t>
            </w:r>
          </w:p>
          <w:tbl>
            <w:tblPr>
              <w:tblStyle w:val="100"/>
              <w:tblW w:w="0" w:type="auto"/>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35"/>
            </w:tblGrid>
            <w:tr w:rsidR="00644B5F" w:rsidRPr="00BC31E0" w14:paraId="701FAE5E" w14:textId="77777777" w:rsidTr="004736F2">
              <w:tc>
                <w:tcPr>
                  <w:tcW w:w="0" w:type="auto"/>
                  <w:vAlign w:val="center"/>
                </w:tcPr>
                <w:p w14:paraId="142F2809" w14:textId="77777777" w:rsidR="00644B5F" w:rsidRPr="00BC31E0" w:rsidRDefault="00644B5F" w:rsidP="00644B5F">
                  <w:pPr>
                    <w:rPr>
                      <w:rFonts w:ascii="Cambria Math" w:eastAsiaTheme="minorEastAsia" w:hAnsi="Cambria Math"/>
                      <w:i/>
                    </w:rPr>
                  </w:pPr>
                  <m:oMathPara>
                    <m:oMathParaPr>
                      <m:jc m:val="left"/>
                    </m:oMathParaPr>
                    <m:oMath>
                      <m:r>
                        <w:rPr>
                          <w:rFonts w:ascii="Cambria Math" w:eastAsiaTheme="minorEastAsia" w:hAnsi="Cambria Math"/>
                        </w:rPr>
                        <m:t>1+</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n</m:t>
                              </m:r>
                            </m:sub>
                          </m:sSub>
                          <m:r>
                            <w:rPr>
                              <w:rFonts w:ascii="Cambria Math" w:eastAsiaTheme="minorEastAsia" w:hAnsi="Cambria Math"/>
                            </w:rPr>
                            <m:t>-25</m:t>
                          </m:r>
                        </m:num>
                        <m:den>
                          <m:r>
                            <w:rPr>
                              <w:rFonts w:ascii="Cambria Math" w:eastAsiaTheme="minorEastAsia" w:hAnsi="Cambria Math"/>
                            </w:rPr>
                            <m:t>100</m:t>
                          </m:r>
                        </m:den>
                      </m:f>
                      <m:r>
                        <w:rPr>
                          <w:rFonts w:ascii="Cambria Math" w:eastAsiaTheme="minorEastAsia" w:hAnsi="Cambria Math"/>
                        </w:rPr>
                        <m:t xml:space="preserve"> </m:t>
                      </m:r>
                      <m:r>
                        <m:rPr>
                          <m:sty m:val="p"/>
                        </m:rPr>
                        <w:rPr>
                          <w:rFonts w:ascii="Cambria Math" w:eastAsiaTheme="minorEastAsia" w:hAnsi="Cambria Math"/>
                        </w:rPr>
                        <m:t>h</m:t>
                      </m:r>
                    </m:oMath>
                  </m:oMathPara>
                </w:p>
              </w:tc>
            </w:tr>
          </w:tbl>
          <w:p w14:paraId="0A7148D5" w14:textId="77777777" w:rsidR="00644B5F" w:rsidRPr="00BC31E0" w:rsidRDefault="00644B5F" w:rsidP="00644B5F">
            <w:pPr>
              <w:ind w:left="170"/>
              <w:rPr>
                <w:rFonts w:asciiTheme="minorHAnsi" w:eastAsiaTheme="minorEastAsia" w:hAnsiTheme="minorHAnsi"/>
              </w:rPr>
            </w:pPr>
            <w:r w:rsidRPr="00BC31E0">
              <w:rPr>
                <w:rFonts w:asciiTheme="minorHAnsi" w:eastAsiaTheme="minorEastAsia" w:hAnsiTheme="minorEastAsia"/>
              </w:rPr>
              <w:t>最</w:t>
            </w:r>
            <w:r w:rsidRPr="00BC31E0">
              <w:rPr>
                <w:rFonts w:asciiTheme="minorHAnsi" w:eastAsiaTheme="minorEastAsia" w:hAnsiTheme="minorEastAsia" w:hint="eastAsia"/>
              </w:rPr>
              <w:t>小</w:t>
            </w:r>
            <w:r w:rsidRPr="00BC31E0">
              <w:rPr>
                <w:rFonts w:asciiTheme="minorHAnsi" w:eastAsiaTheme="minorEastAsia" w:hAnsiTheme="minorHAnsi"/>
              </w:rPr>
              <w:t xml:space="preserve"> </w:t>
            </w:r>
            <w:r w:rsidRPr="00BC31E0">
              <w:rPr>
                <w:rFonts w:ascii="Cambria Math" w:eastAsiaTheme="minorEastAsia" w:hAnsi="Cambria Math"/>
              </w:rPr>
              <w:t>1 h</w:t>
            </w:r>
          </w:p>
          <w:p w14:paraId="3703D072" w14:textId="77777777" w:rsidR="00644B5F" w:rsidRPr="00BC31E0" w:rsidRDefault="00644B5F" w:rsidP="00644B5F">
            <w:pPr>
              <w:rPr>
                <w:rFonts w:asciiTheme="minorHAnsi" w:eastAsiaTheme="minorEastAsia" w:hAnsiTheme="minorHAnsi"/>
              </w:rPr>
            </w:pPr>
          </w:p>
        </w:tc>
      </w:tr>
    </w:tbl>
    <w:p w14:paraId="19354FD5" w14:textId="77777777" w:rsidR="00644B5F" w:rsidRPr="00BC31E0" w:rsidRDefault="00644B5F" w:rsidP="00644B5F">
      <w:pPr>
        <w:widowControl/>
        <w:spacing w:before="60"/>
        <w:rPr>
          <w:rFonts w:asciiTheme="majorEastAsia" w:eastAsiaTheme="majorEastAsia" w:hAnsiTheme="majorEastAsia"/>
          <w:b/>
        </w:rPr>
      </w:pPr>
      <w:r w:rsidRPr="00BC31E0">
        <w:rPr>
          <w:rFonts w:asciiTheme="majorEastAsia" w:eastAsiaTheme="majorEastAsia" w:hAnsiTheme="majorEastAsia" w:hint="eastAsia"/>
          <w:b/>
        </w:rPr>
        <w:t>注記</w:t>
      </w:r>
      <w:r w:rsidRPr="00BC31E0">
        <w:rPr>
          <w:rFonts w:asciiTheme="minorHAnsi" w:eastAsiaTheme="minorEastAsia" w:hAnsiTheme="minorHAnsi" w:hint="eastAsia"/>
        </w:rPr>
        <w:t xml:space="preserve">　</w:t>
      </w:r>
      <m:oMath>
        <m:sSub>
          <m:sSubPr>
            <m:ctrlPr>
              <w:rPr>
                <w:rFonts w:ascii="Cambria Math" w:eastAsiaTheme="minorEastAsia" w:hAnsi="Cambria Math"/>
              </w:rPr>
            </m:ctrlPr>
          </m:sSubPr>
          <m:e>
            <m:r>
              <w:rPr>
                <w:rFonts w:ascii="Cambria Math" w:eastAsiaTheme="minorEastAsia" w:hAnsi="Cambria Math" w:hint="eastAsia"/>
              </w:rPr>
              <m:t>t</m:t>
            </m:r>
          </m:e>
          <m:sub>
            <m:r>
              <w:rPr>
                <w:rFonts w:ascii="Cambria Math" w:eastAsiaTheme="minorEastAsia" w:hAnsi="Cambria Math"/>
              </w:rPr>
              <m:t>n</m:t>
            </m:r>
          </m:sub>
        </m:sSub>
        <m:r>
          <m:rPr>
            <m:sty m:val="p"/>
          </m:rPr>
          <w:rPr>
            <w:rFonts w:ascii="Cambria Math" w:eastAsiaTheme="minorEastAsia" w:hAnsi="Cambria Math"/>
          </w:rPr>
          <m:t xml:space="preserve"> </m:t>
        </m:r>
      </m:oMath>
      <w:r w:rsidRPr="00BC31E0">
        <w:rPr>
          <w:rFonts w:asciiTheme="minorHAnsi" w:eastAsiaTheme="minorEastAsia" w:hAnsiTheme="minorHAnsi" w:hint="eastAsia"/>
        </w:rPr>
        <w:t>は，</w:t>
      </w:r>
      <w:r w:rsidRPr="00BC31E0">
        <w:rPr>
          <w:rFonts w:asciiTheme="majorEastAsia" w:eastAsiaTheme="majorEastAsia" w:hAnsiTheme="majorEastAsia" w:hint="eastAsia"/>
          <w:b/>
        </w:rPr>
        <w:t>7.4.1 b) 4)</w:t>
      </w:r>
      <w:r w:rsidRPr="00BC31E0">
        <w:rPr>
          <w:rFonts w:asciiTheme="minorHAnsi" w:eastAsiaTheme="minorEastAsia" w:hAnsiTheme="minorHAnsi" w:hint="eastAsia"/>
        </w:rPr>
        <w:t>に規定する公称厚さ</w:t>
      </w:r>
      <w:r w:rsidRPr="00BC31E0">
        <w:rPr>
          <w:rFonts w:asciiTheme="minorHAnsi" w:eastAsiaTheme="minorEastAsia" w:hAnsiTheme="minorHAnsi" w:hint="eastAsia"/>
        </w:rPr>
        <w:t>(</w:t>
      </w:r>
      <w:r w:rsidRPr="00BC31E0">
        <w:rPr>
          <w:rFonts w:ascii="Cambria Math" w:eastAsiaTheme="minorEastAsia" w:hAnsi="Cambria Math"/>
        </w:rPr>
        <w:t>mm</w:t>
      </w:r>
      <w:r w:rsidRPr="00BC31E0">
        <w:rPr>
          <w:rFonts w:asciiTheme="minorHAnsi" w:eastAsiaTheme="minorEastAsia" w:hAnsiTheme="minorHAnsi" w:hint="eastAsia"/>
        </w:rPr>
        <w:t>)</w:t>
      </w:r>
      <w:r w:rsidRPr="00BC31E0">
        <w:rPr>
          <w:rFonts w:asciiTheme="minorHAnsi" w:eastAsiaTheme="minorEastAsia" w:hAnsiTheme="minorHAnsi" w:hint="eastAsia"/>
        </w:rPr>
        <w:t>である。</w:t>
      </w:r>
    </w:p>
    <w:p w14:paraId="2D444FD5" w14:textId="77777777" w:rsidR="00644B5F" w:rsidRPr="00BC31E0" w:rsidRDefault="00644B5F" w:rsidP="00644B5F"/>
    <w:p w14:paraId="30B773B9" w14:textId="77777777" w:rsidR="00644B5F" w:rsidRPr="00BC31E0" w:rsidRDefault="00644B5F" w:rsidP="00644B5F">
      <w:pPr>
        <w:widowControl/>
        <w:jc w:val="left"/>
      </w:pPr>
      <w:r w:rsidRPr="00BC31E0">
        <w:br w:type="page"/>
      </w:r>
    </w:p>
    <w:p w14:paraId="08DF55C7" w14:textId="77777777" w:rsidR="00644B5F" w:rsidRPr="00BC31E0" w:rsidRDefault="00644B5F" w:rsidP="00644B5F">
      <w:pPr>
        <w:widowControl/>
        <w:jc w:val="center"/>
        <w:rPr>
          <w:rFonts w:asciiTheme="majorEastAsia" w:eastAsiaTheme="majorEastAsia" w:hAnsiTheme="majorEastAsia"/>
          <w:b/>
        </w:rPr>
      </w:pPr>
      <w:r w:rsidRPr="00BC31E0">
        <w:rPr>
          <w:rFonts w:asciiTheme="majorEastAsia" w:eastAsiaTheme="majorEastAsia" w:hAnsiTheme="majorEastAsia" w:hint="eastAsia"/>
          <w:b/>
        </w:rPr>
        <w:lastRenderedPageBreak/>
        <w:t>表7.4.11</w:t>
      </w:r>
      <w:r w:rsidRPr="00BC31E0">
        <w:rPr>
          <w:rFonts w:asciiTheme="majorEastAsia" w:eastAsiaTheme="majorEastAsia" w:hAnsiTheme="majorEastAsia"/>
          <w:b/>
        </w:rPr>
        <w:t xml:space="preserve">　溶接後熱処理</w:t>
      </w:r>
      <w:r w:rsidRPr="00BC31E0">
        <w:rPr>
          <w:rFonts w:asciiTheme="majorEastAsia" w:eastAsiaTheme="majorEastAsia" w:hAnsiTheme="majorEastAsia" w:hint="eastAsia"/>
          <w:b/>
        </w:rPr>
        <w:t>の温度及び時間</w:t>
      </w:r>
    </w:p>
    <w:p w14:paraId="7AEA7766" w14:textId="77777777" w:rsidR="00644B5F" w:rsidRPr="00BC31E0" w:rsidRDefault="00644B5F" w:rsidP="00644B5F">
      <w:pPr>
        <w:widowControl/>
        <w:spacing w:after="60"/>
        <w:jc w:val="center"/>
        <w:rPr>
          <w:rFonts w:asciiTheme="minorHAnsi" w:eastAsiaTheme="minorEastAsia" w:hAnsiTheme="minorHAnsi"/>
          <w:b/>
        </w:rPr>
      </w:pPr>
      <w:r w:rsidRPr="00BC31E0">
        <w:rPr>
          <w:rFonts w:asciiTheme="majorEastAsia" w:eastAsiaTheme="majorEastAsia" w:hAnsiTheme="majorEastAsia"/>
          <w:b/>
        </w:rPr>
        <w:t>(P</w:t>
      </w:r>
      <w:r w:rsidRPr="00BC31E0">
        <w:rPr>
          <w:rFonts w:asciiTheme="majorEastAsia" w:eastAsiaTheme="majorEastAsia" w:hAnsiTheme="majorEastAsia" w:hint="eastAsia"/>
          <w:b/>
        </w:rPr>
        <w:t>番号</w:t>
      </w:r>
      <w:r w:rsidRPr="00BC31E0">
        <w:rPr>
          <w:rFonts w:asciiTheme="majorEastAsia" w:eastAsiaTheme="majorEastAsia" w:hAnsiTheme="majorEastAsia"/>
          <w:b/>
        </w:rPr>
        <w:t>10A</w:t>
      </w:r>
      <w:r w:rsidRPr="00BC31E0">
        <w:rPr>
          <w:rFonts w:asciiTheme="majorEastAsia" w:eastAsiaTheme="majorEastAsia" w:hAnsiTheme="majorEastAsia" w:hint="eastAsia"/>
          <w:b/>
        </w:rPr>
        <w:t>グループ番号</w:t>
      </w:r>
      <w:r w:rsidRPr="00BC31E0">
        <w:rPr>
          <w:rFonts w:asciiTheme="majorEastAsia" w:eastAsiaTheme="majorEastAsia" w:hAnsiTheme="majorEastAsia"/>
          <w:b/>
        </w:rPr>
        <w:t>1</w:t>
      </w:r>
      <w:r w:rsidRPr="00BC31E0">
        <w:rPr>
          <w:rFonts w:asciiTheme="majorEastAsia" w:eastAsiaTheme="majorEastAsia" w:hAnsiTheme="majorEastAsia" w:hint="eastAsia"/>
          <w:b/>
        </w:rPr>
        <w:t>の材料</w:t>
      </w:r>
      <w:r w:rsidRPr="00BC31E0">
        <w:rPr>
          <w:rFonts w:asciiTheme="majorEastAsia" w:eastAsiaTheme="majorEastAsia" w:hAnsiTheme="majorEastAsia"/>
          <w:b/>
        </w:rPr>
        <w:t>)</w:t>
      </w:r>
    </w:p>
    <w:tbl>
      <w:tblPr>
        <w:tblStyle w:val="100"/>
        <w:tblW w:w="0" w:type="auto"/>
        <w:tblInd w:w="108" w:type="dxa"/>
        <w:tblLook w:val="04A0" w:firstRow="1" w:lastRow="0" w:firstColumn="1" w:lastColumn="0" w:noHBand="0" w:noVBand="1"/>
      </w:tblPr>
      <w:tblGrid>
        <w:gridCol w:w="6946"/>
        <w:gridCol w:w="2126"/>
      </w:tblGrid>
      <w:tr w:rsidR="00644B5F" w:rsidRPr="00BC31E0" w14:paraId="2997B277" w14:textId="77777777" w:rsidTr="004736F2">
        <w:tc>
          <w:tcPr>
            <w:tcW w:w="6946" w:type="dxa"/>
            <w:vAlign w:val="center"/>
          </w:tcPr>
          <w:p w14:paraId="0FF38888" w14:textId="77777777" w:rsidR="00644B5F" w:rsidRPr="00BC31E0" w:rsidRDefault="00644B5F" w:rsidP="00644B5F">
            <w:pPr>
              <w:jc w:val="center"/>
              <w:rPr>
                <w:rFonts w:asciiTheme="minorHAnsi" w:eastAsiaTheme="minorEastAsia" w:hAnsiTheme="minorHAnsi"/>
              </w:rPr>
            </w:pPr>
            <w:r w:rsidRPr="00BC31E0">
              <w:rPr>
                <w:rFonts w:asciiTheme="minorHAnsi" w:eastAsiaTheme="minorEastAsia" w:hAnsiTheme="minorEastAsia"/>
              </w:rPr>
              <w:t>要求事項</w:t>
            </w:r>
          </w:p>
        </w:tc>
        <w:tc>
          <w:tcPr>
            <w:tcW w:w="2126" w:type="dxa"/>
            <w:vAlign w:val="center"/>
          </w:tcPr>
          <w:p w14:paraId="0CC98248" w14:textId="77777777" w:rsidR="00644B5F" w:rsidRPr="00BC31E0" w:rsidRDefault="00644B5F" w:rsidP="00644B5F">
            <w:pPr>
              <w:jc w:val="center"/>
              <w:rPr>
                <w:rFonts w:asciiTheme="minorHAnsi" w:eastAsiaTheme="minorEastAsia" w:hAnsiTheme="minorHAnsi"/>
              </w:rPr>
            </w:pPr>
            <w:r w:rsidRPr="00BC31E0">
              <w:rPr>
                <w:rFonts w:asciiTheme="minorHAnsi" w:eastAsiaTheme="minorEastAsia" w:hAnsiTheme="minorEastAsia"/>
              </w:rPr>
              <w:t>保持温度と保持時間</w:t>
            </w:r>
          </w:p>
        </w:tc>
      </w:tr>
      <w:tr w:rsidR="00644B5F" w:rsidRPr="00BC31E0" w14:paraId="1228FDF3" w14:textId="77777777" w:rsidTr="004736F2">
        <w:tc>
          <w:tcPr>
            <w:tcW w:w="6946" w:type="dxa"/>
          </w:tcPr>
          <w:p w14:paraId="3BA63C73" w14:textId="77777777" w:rsidR="00644B5F" w:rsidRPr="00BC31E0" w:rsidRDefault="00644B5F" w:rsidP="00736130">
            <w:pPr>
              <w:numPr>
                <w:ilvl w:val="0"/>
                <w:numId w:val="195"/>
              </w:numPr>
              <w:ind w:left="340" w:hanging="340"/>
              <w:rPr>
                <w:rFonts w:asciiTheme="minorHAnsi" w:eastAsiaTheme="minorEastAsia" w:hAnsiTheme="minorHAnsi"/>
              </w:rPr>
            </w:pPr>
            <w:r w:rsidRPr="00BC31E0">
              <w:rPr>
                <w:rFonts w:asciiTheme="minorHAnsi" w:eastAsiaTheme="minorEastAsia" w:hAnsiTheme="minorEastAsia"/>
              </w:rPr>
              <w:t>次の</w:t>
            </w:r>
            <w:r w:rsidRPr="00BC31E0">
              <w:rPr>
                <w:rFonts w:asciiTheme="majorEastAsia" w:eastAsiaTheme="majorEastAsia" w:hAnsiTheme="majorEastAsia"/>
                <w:b/>
              </w:rPr>
              <w:t>1)</w:t>
            </w:r>
            <w:r w:rsidRPr="00BC31E0">
              <w:rPr>
                <w:rFonts w:asciiTheme="minorHAnsi" w:eastAsiaTheme="minorEastAsia" w:hAnsiTheme="minorEastAsia"/>
              </w:rPr>
              <w:t>～</w:t>
            </w:r>
            <w:r w:rsidRPr="00BC31E0">
              <w:rPr>
                <w:rFonts w:asciiTheme="majorEastAsia" w:eastAsiaTheme="majorEastAsia" w:hAnsiTheme="majorEastAsia"/>
                <w:b/>
              </w:rPr>
              <w:t>3)</w:t>
            </w:r>
            <w:r w:rsidRPr="00BC31E0">
              <w:rPr>
                <w:rFonts w:asciiTheme="minorHAnsi" w:eastAsiaTheme="minorEastAsia" w:hAnsiTheme="minorEastAsia"/>
              </w:rPr>
              <w:t>の場合，溶接後熱処理</w:t>
            </w:r>
            <w:r w:rsidRPr="00BC31E0">
              <w:rPr>
                <w:rFonts w:asciiTheme="minorHAnsi" w:eastAsiaTheme="minorEastAsia" w:hAnsiTheme="minorEastAsia" w:hint="eastAsia"/>
              </w:rPr>
              <w:t>が必要である</w:t>
            </w:r>
            <w:r w:rsidRPr="00BC31E0">
              <w:rPr>
                <w:rFonts w:asciiTheme="minorHAnsi" w:eastAsiaTheme="minorEastAsia" w:hAnsiTheme="minorEastAsia"/>
              </w:rPr>
              <w:t>。</w:t>
            </w:r>
          </w:p>
          <w:p w14:paraId="7369CA9C" w14:textId="77777777" w:rsidR="00644B5F" w:rsidRPr="00BC31E0" w:rsidRDefault="00644B5F" w:rsidP="00736130">
            <w:pPr>
              <w:numPr>
                <w:ilvl w:val="0"/>
                <w:numId w:val="196"/>
              </w:numPr>
              <w:ind w:left="567" w:hanging="340"/>
              <w:rPr>
                <w:rFonts w:asciiTheme="minorHAnsi" w:eastAsiaTheme="minorEastAsia" w:hAnsiTheme="minorHAnsi"/>
              </w:rPr>
            </w:pPr>
            <w:r w:rsidRPr="00BC31E0">
              <w:rPr>
                <w:rFonts w:asciiTheme="minorHAnsi" w:eastAsiaTheme="minorEastAsia" w:hAnsiTheme="minorHAnsi" w:hint="eastAsia"/>
              </w:rPr>
              <w:t>SA-487</w:t>
            </w:r>
            <w:r w:rsidR="002851A3" w:rsidRPr="00BC31E0">
              <w:rPr>
                <w:rFonts w:asciiTheme="minorHAnsi" w:eastAsiaTheme="minorEastAsia" w:hAnsiTheme="minorHAnsi" w:hint="eastAsia"/>
              </w:rPr>
              <w:t>M</w:t>
            </w:r>
            <w:r w:rsidRPr="00BC31E0">
              <w:rPr>
                <w:rFonts w:asciiTheme="minorHAnsi" w:eastAsiaTheme="minorEastAsia" w:hAnsiTheme="minorHAnsi" w:hint="eastAsia"/>
              </w:rPr>
              <w:t xml:space="preserve"> Cl. 1A</w:t>
            </w:r>
            <w:r w:rsidRPr="00BC31E0">
              <w:rPr>
                <w:rFonts w:asciiTheme="minorHAnsi" w:eastAsiaTheme="minorEastAsia" w:hAnsiTheme="minorHAnsi" w:hint="eastAsia"/>
              </w:rPr>
              <w:t>と</w:t>
            </w:r>
            <w:r w:rsidRPr="00BC31E0">
              <w:rPr>
                <w:rFonts w:asciiTheme="minorHAnsi" w:eastAsiaTheme="minorEastAsia" w:hAnsiTheme="minorHAnsi" w:hint="eastAsia"/>
              </w:rPr>
              <w:t>Cl. 1B</w:t>
            </w:r>
            <w:r w:rsidRPr="00BC31E0">
              <w:rPr>
                <w:rFonts w:asciiTheme="minorHAnsi" w:eastAsiaTheme="minorEastAsia" w:hAnsiTheme="minorHAnsi" w:hint="eastAsia"/>
              </w:rPr>
              <w:t>の全ての厚さの材料</w:t>
            </w:r>
          </w:p>
          <w:p w14:paraId="3C8EC3C6" w14:textId="77777777" w:rsidR="00644B5F" w:rsidRPr="00BC31E0" w:rsidRDefault="00644B5F" w:rsidP="00736130">
            <w:pPr>
              <w:numPr>
                <w:ilvl w:val="0"/>
                <w:numId w:val="196"/>
              </w:numPr>
              <w:ind w:left="567" w:hanging="340"/>
              <w:rPr>
                <w:rFonts w:asciiTheme="minorHAnsi" w:eastAsiaTheme="minorEastAsia" w:hAnsiTheme="minorHAnsi"/>
              </w:rPr>
            </w:pPr>
            <w:r w:rsidRPr="00BC31E0">
              <w:rPr>
                <w:rFonts w:asciiTheme="minorHAnsi" w:eastAsiaTheme="minorEastAsia" w:hAnsiTheme="minorHAnsi" w:hint="eastAsia"/>
              </w:rPr>
              <w:t>公称厚さが</w:t>
            </w:r>
            <w:r w:rsidRPr="00BC31E0">
              <w:rPr>
                <w:rFonts w:ascii="Cambria Math" w:eastAsiaTheme="minorEastAsia" w:hAnsi="Cambria Math"/>
              </w:rPr>
              <w:t>16 mm</w:t>
            </w:r>
            <w:r w:rsidRPr="00BC31E0">
              <w:rPr>
                <w:rFonts w:asciiTheme="minorHAnsi" w:eastAsiaTheme="minorEastAsia" w:hAnsiTheme="minorHAnsi" w:hint="eastAsia"/>
              </w:rPr>
              <w:t>を超えるその他の</w:t>
            </w:r>
            <w:r w:rsidRPr="00BC31E0">
              <w:rPr>
                <w:rFonts w:asciiTheme="minorHAnsi" w:eastAsiaTheme="minorEastAsia" w:hAnsiTheme="minorHAnsi" w:hint="eastAsia"/>
              </w:rPr>
              <w:t>P</w:t>
            </w:r>
            <w:r w:rsidRPr="00BC31E0">
              <w:rPr>
                <w:rFonts w:asciiTheme="minorHAnsi" w:eastAsiaTheme="minorEastAsia" w:hAnsiTheme="minorHAnsi" w:hint="eastAsia"/>
              </w:rPr>
              <w:t>番号</w:t>
            </w:r>
            <w:r w:rsidRPr="00BC31E0">
              <w:rPr>
                <w:rFonts w:asciiTheme="minorHAnsi" w:eastAsiaTheme="minorEastAsia" w:hAnsiTheme="minorHAnsi" w:hint="eastAsia"/>
              </w:rPr>
              <w:t>10A</w:t>
            </w:r>
            <w:r w:rsidRPr="00BC31E0">
              <w:rPr>
                <w:rFonts w:asciiTheme="minorHAnsi" w:eastAsiaTheme="minorEastAsia" w:hAnsiTheme="minorHAnsi" w:hint="eastAsia"/>
              </w:rPr>
              <w:t>の材料</w:t>
            </w:r>
          </w:p>
          <w:p w14:paraId="4BF95B92" w14:textId="77777777" w:rsidR="00644B5F" w:rsidRPr="00BC31E0" w:rsidRDefault="00644B5F" w:rsidP="00644B5F">
            <w:pPr>
              <w:ind w:left="567"/>
              <w:rPr>
                <w:rFonts w:asciiTheme="minorHAnsi" w:eastAsiaTheme="minorEastAsia" w:hAnsiTheme="minorHAnsi"/>
              </w:rPr>
            </w:pPr>
            <w:r w:rsidRPr="00BC31E0">
              <w:rPr>
                <w:rFonts w:ascii="Cambria Math" w:eastAsiaTheme="minorEastAsia" w:hAnsi="Cambria Math"/>
              </w:rPr>
              <w:t>16 mm</w:t>
            </w:r>
            <w:r w:rsidRPr="00BC31E0">
              <w:rPr>
                <w:rFonts w:asciiTheme="minorHAnsi" w:eastAsiaTheme="minorEastAsia" w:hAnsiTheme="minorEastAsia"/>
              </w:rPr>
              <w:t>以下の材料</w:t>
            </w:r>
            <w:r w:rsidRPr="00BC31E0">
              <w:rPr>
                <w:rFonts w:asciiTheme="minorHAnsi" w:eastAsiaTheme="minorEastAsia" w:hAnsiTheme="minorEastAsia" w:hint="eastAsia"/>
              </w:rPr>
              <w:t>は</w:t>
            </w:r>
            <w:r w:rsidRPr="00BC31E0">
              <w:rPr>
                <w:rFonts w:asciiTheme="minorHAnsi" w:eastAsiaTheme="minorEastAsia" w:hAnsiTheme="minorEastAsia"/>
              </w:rPr>
              <w:t>，製作</w:t>
            </w:r>
            <w:r w:rsidRPr="00BC31E0">
              <w:rPr>
                <w:rFonts w:asciiTheme="minorHAnsi" w:eastAsiaTheme="minorEastAsia" w:hAnsiTheme="minorEastAsia" w:hint="eastAsia"/>
              </w:rPr>
              <w:t>時の</w:t>
            </w:r>
            <w:r w:rsidRPr="00BC31E0">
              <w:rPr>
                <w:rFonts w:asciiTheme="minorHAnsi" w:eastAsiaTheme="minorEastAsia" w:hAnsiTheme="minorEastAsia"/>
              </w:rPr>
              <w:t>溶接以上の厚さで</w:t>
            </w:r>
            <w:r w:rsidRPr="00BC31E0">
              <w:rPr>
                <w:rFonts w:asciiTheme="majorEastAsia" w:eastAsiaTheme="majorEastAsia" w:hAnsiTheme="majorEastAsia" w:hint="eastAsia"/>
                <w:b/>
              </w:rPr>
              <w:t>7.2.2</w:t>
            </w:r>
            <w:r w:rsidRPr="00BC31E0">
              <w:rPr>
                <w:rFonts w:asciiTheme="minorHAnsi" w:eastAsiaTheme="minorEastAsia" w:hAnsiTheme="minorEastAsia"/>
              </w:rPr>
              <w:t>の溶接</w:t>
            </w:r>
            <w:r w:rsidRPr="00BC31E0">
              <w:rPr>
                <w:rFonts w:asciiTheme="minorHAnsi" w:eastAsiaTheme="minorEastAsia" w:hAnsiTheme="minorEastAsia" w:hint="eastAsia"/>
              </w:rPr>
              <w:t>施工方法の確認</w:t>
            </w:r>
            <w:r w:rsidRPr="00BC31E0">
              <w:rPr>
                <w:rFonts w:asciiTheme="minorHAnsi" w:eastAsiaTheme="minorEastAsia" w:hAnsiTheme="minorEastAsia"/>
              </w:rPr>
              <w:t>が</w:t>
            </w:r>
            <w:r w:rsidRPr="00BC31E0">
              <w:rPr>
                <w:rFonts w:asciiTheme="minorHAnsi" w:eastAsiaTheme="minorEastAsia" w:hAnsiTheme="minorEastAsia" w:hint="eastAsia"/>
              </w:rPr>
              <w:t>な</w:t>
            </w:r>
            <w:r w:rsidRPr="00BC31E0">
              <w:rPr>
                <w:rFonts w:asciiTheme="minorHAnsi" w:eastAsiaTheme="minorEastAsia" w:hAnsiTheme="minorEastAsia"/>
              </w:rPr>
              <w:t>されていなければ，溶接後熱処理</w:t>
            </w:r>
            <w:r w:rsidRPr="00BC31E0">
              <w:rPr>
                <w:rFonts w:asciiTheme="minorHAnsi" w:eastAsiaTheme="minorEastAsia" w:hAnsiTheme="minorEastAsia" w:hint="eastAsia"/>
              </w:rPr>
              <w:t>が必要である</w:t>
            </w:r>
            <w:r w:rsidRPr="00BC31E0">
              <w:rPr>
                <w:rFonts w:asciiTheme="minorHAnsi" w:eastAsiaTheme="minorEastAsia" w:hAnsiTheme="minorEastAsia"/>
              </w:rPr>
              <w:t>。</w:t>
            </w:r>
          </w:p>
          <w:p w14:paraId="383AC54F" w14:textId="77777777" w:rsidR="00644B5F" w:rsidRPr="00BC31E0" w:rsidRDefault="00644B5F" w:rsidP="00736130">
            <w:pPr>
              <w:numPr>
                <w:ilvl w:val="0"/>
                <w:numId w:val="193"/>
              </w:numPr>
              <w:ind w:left="567" w:hanging="340"/>
              <w:rPr>
                <w:rFonts w:asciiTheme="minorHAnsi" w:eastAsiaTheme="minorEastAsia" w:hAnsiTheme="minorHAnsi"/>
              </w:rPr>
            </w:pPr>
            <w:r w:rsidRPr="00BC31E0">
              <w:rPr>
                <w:rFonts w:asciiTheme="minorHAnsi" w:eastAsiaTheme="minorEastAsia" w:hAnsiTheme="minorHAnsi" w:hint="eastAsia"/>
              </w:rPr>
              <w:t>直火を受ける耐圧部材</w:t>
            </w:r>
          </w:p>
          <w:p w14:paraId="41B0364D" w14:textId="77777777" w:rsidR="00644B5F" w:rsidRPr="00BC31E0" w:rsidRDefault="00644B5F" w:rsidP="00736130">
            <w:pPr>
              <w:numPr>
                <w:ilvl w:val="0"/>
                <w:numId w:val="195"/>
              </w:numPr>
              <w:ind w:left="340" w:hanging="340"/>
              <w:rPr>
                <w:rFonts w:asciiTheme="minorHAnsi" w:eastAsiaTheme="minorEastAsia" w:hAnsiTheme="minorHAnsi"/>
              </w:rPr>
            </w:pPr>
            <w:r w:rsidRPr="00BC31E0">
              <w:rPr>
                <w:rFonts w:asciiTheme="minorHAnsi" w:eastAsiaTheme="minorEastAsia" w:hAnsiTheme="minorEastAsia"/>
              </w:rPr>
              <w:t>次の</w:t>
            </w:r>
            <w:r w:rsidRPr="00BC31E0">
              <w:rPr>
                <w:rFonts w:asciiTheme="majorEastAsia" w:eastAsiaTheme="majorEastAsia" w:hAnsiTheme="majorEastAsia"/>
                <w:b/>
              </w:rPr>
              <w:t>1)</w:t>
            </w:r>
            <w:r w:rsidRPr="00BC31E0">
              <w:rPr>
                <w:rFonts w:asciiTheme="minorHAnsi" w:eastAsiaTheme="minorEastAsia" w:hAnsiTheme="minorEastAsia"/>
              </w:rPr>
              <w:t>～</w:t>
            </w:r>
            <w:r w:rsidRPr="00BC31E0">
              <w:rPr>
                <w:rFonts w:asciiTheme="majorEastAsia" w:eastAsiaTheme="majorEastAsia" w:hAnsiTheme="majorEastAsia"/>
                <w:b/>
              </w:rPr>
              <w:t>4)</w:t>
            </w:r>
            <w:r w:rsidRPr="00BC31E0">
              <w:rPr>
                <w:rFonts w:asciiTheme="minorHAnsi" w:eastAsiaTheme="minorEastAsia" w:hAnsiTheme="minorEastAsia"/>
              </w:rPr>
              <w:t>の場合，溶接後熱処理の必要はない。</w:t>
            </w:r>
          </w:p>
          <w:p w14:paraId="201FF035" w14:textId="77777777" w:rsidR="00644B5F" w:rsidRPr="00BC31E0" w:rsidRDefault="00644B5F" w:rsidP="00736130">
            <w:pPr>
              <w:numPr>
                <w:ilvl w:val="0"/>
                <w:numId w:val="197"/>
              </w:numPr>
              <w:ind w:left="567" w:hanging="340"/>
              <w:rPr>
                <w:rFonts w:asciiTheme="minorHAnsi" w:eastAsiaTheme="minorEastAsia" w:hAnsiTheme="minorEastAsia"/>
              </w:rPr>
            </w:pPr>
            <w:r w:rsidRPr="00BC31E0">
              <w:rPr>
                <w:rFonts w:ascii="Cambria Math" w:eastAsiaTheme="minorEastAsia" w:hAnsi="Cambria Math"/>
              </w:rPr>
              <w:t>95</w:t>
            </w:r>
            <w:r w:rsidRPr="00BC31E0">
              <w:rPr>
                <w:rFonts w:asciiTheme="minorHAnsi" w:hAnsiTheme="minorHAnsi"/>
              </w:rPr>
              <w:t>°C</w:t>
            </w:r>
            <w:r w:rsidRPr="00BC31E0">
              <w:rPr>
                <w:rFonts w:asciiTheme="minorHAnsi" w:eastAsiaTheme="minorEastAsia" w:hAnsiTheme="minorHAnsi" w:hint="eastAsia"/>
              </w:rPr>
              <w:t>以上で予熱するならば，規定炭素含有量が</w:t>
            </w:r>
            <w:r w:rsidRPr="00BC31E0">
              <w:rPr>
                <w:rFonts w:ascii="Cambria Math" w:eastAsiaTheme="minorEastAsia" w:hAnsi="Cambria Math"/>
              </w:rPr>
              <w:t>0.25</w:t>
            </w:r>
            <w:r w:rsidRPr="00BC31E0">
              <w:rPr>
                <w:rFonts w:ascii="Cambria Math" w:eastAsiaTheme="minorEastAsia" w:hAnsi="Cambria Math" w:hint="eastAsia"/>
              </w:rPr>
              <w:t xml:space="preserve"> </w:t>
            </w:r>
            <w:r w:rsidRPr="00BC31E0">
              <w:rPr>
                <w:rFonts w:ascii="Cambria Math" w:eastAsiaTheme="minorEastAsia" w:hAnsi="Cambria Math"/>
              </w:rPr>
              <w:t>%</w:t>
            </w:r>
            <w:r w:rsidRPr="00BC31E0">
              <w:rPr>
                <w:rFonts w:asciiTheme="minorHAnsi" w:eastAsiaTheme="minorEastAsia" w:hAnsiTheme="minorHAnsi" w:hint="eastAsia"/>
              </w:rPr>
              <w:t>以下の耐圧部材への取付物，又は溶接深さが</w:t>
            </w:r>
            <w:r w:rsidRPr="00BC31E0">
              <w:rPr>
                <w:rFonts w:ascii="Cambria Math" w:eastAsiaTheme="minorEastAsia" w:hAnsi="Cambria Math"/>
              </w:rPr>
              <w:t>13 mm</w:t>
            </w:r>
            <w:r w:rsidRPr="00BC31E0">
              <w:rPr>
                <w:rFonts w:asciiTheme="minorHAnsi" w:eastAsiaTheme="minorEastAsia" w:hAnsiTheme="minorHAnsi" w:hint="eastAsia"/>
              </w:rPr>
              <w:t>以下の開先溶接又はのど厚が</w:t>
            </w:r>
            <w:r w:rsidRPr="00BC31E0">
              <w:rPr>
                <w:rFonts w:ascii="Cambria Math" w:eastAsiaTheme="minorEastAsia" w:hAnsi="Cambria Math"/>
              </w:rPr>
              <w:t>13 mm</w:t>
            </w:r>
            <w:r w:rsidRPr="00BC31E0">
              <w:rPr>
                <w:rFonts w:asciiTheme="minorHAnsi" w:eastAsiaTheme="minorEastAsia" w:hAnsiTheme="minorHAnsi" w:hint="eastAsia"/>
              </w:rPr>
              <w:t>以下の隅肉溶接される非耐圧部材への取付物</w:t>
            </w:r>
          </w:p>
          <w:p w14:paraId="044ED8A1" w14:textId="77777777" w:rsidR="00644B5F" w:rsidRPr="00BC31E0" w:rsidRDefault="00644B5F" w:rsidP="00736130">
            <w:pPr>
              <w:numPr>
                <w:ilvl w:val="0"/>
                <w:numId w:val="197"/>
              </w:numPr>
              <w:ind w:left="567" w:hanging="340"/>
              <w:rPr>
                <w:rFonts w:asciiTheme="minorHAnsi" w:eastAsiaTheme="minorEastAsia" w:hAnsiTheme="minorEastAsia"/>
              </w:rPr>
            </w:pPr>
            <w:r w:rsidRPr="00BC31E0">
              <w:rPr>
                <w:rFonts w:asciiTheme="minorHAnsi" w:eastAsiaTheme="minorEastAsia" w:hAnsiTheme="minorEastAsia"/>
              </w:rPr>
              <w:t>公称厚さが</w:t>
            </w:r>
            <w:r w:rsidRPr="00BC31E0">
              <w:rPr>
                <w:rFonts w:ascii="Cambria Math" w:eastAsiaTheme="minorEastAsia" w:hAnsi="Cambria Math"/>
              </w:rPr>
              <w:t>13 mm</w:t>
            </w:r>
            <w:r w:rsidRPr="00BC31E0">
              <w:rPr>
                <w:rFonts w:asciiTheme="minorHAnsi" w:eastAsiaTheme="minorEastAsia" w:hAnsiTheme="minorEastAsia"/>
              </w:rPr>
              <w:t>以下で，規定炭素含有量が</w:t>
            </w:r>
            <w:r w:rsidRPr="00BC31E0">
              <w:rPr>
                <w:rFonts w:ascii="Cambria Math" w:eastAsiaTheme="minorEastAsia" w:hAnsi="Cambria Math"/>
              </w:rPr>
              <w:t>0.25</w:t>
            </w:r>
            <w:r w:rsidRPr="00BC31E0">
              <w:rPr>
                <w:rFonts w:ascii="Cambria Math" w:eastAsiaTheme="minorEastAsia" w:hAnsi="Cambria Math" w:hint="eastAsia"/>
              </w:rPr>
              <w:t xml:space="preserve"> </w:t>
            </w:r>
            <w:r w:rsidRPr="00BC31E0">
              <w:rPr>
                <w:rFonts w:ascii="Cambria Math" w:eastAsiaTheme="minorEastAsia" w:hAnsi="Cambria Math"/>
              </w:rPr>
              <w:t>%</w:t>
            </w:r>
            <w:r w:rsidRPr="00BC31E0">
              <w:rPr>
                <w:rFonts w:asciiTheme="minorHAnsi" w:eastAsiaTheme="minorEastAsia" w:hAnsiTheme="minorHAnsi" w:hint="eastAsia"/>
              </w:rPr>
              <w:t>以下の</w:t>
            </w:r>
            <w:r w:rsidRPr="00BC31E0">
              <w:rPr>
                <w:rFonts w:asciiTheme="minorHAnsi" w:eastAsiaTheme="minorEastAsia" w:hAnsiTheme="minorEastAsia"/>
              </w:rPr>
              <w:t>パイプ又は管の周方向突合せ溶接</w:t>
            </w:r>
          </w:p>
          <w:p w14:paraId="5FD954E1" w14:textId="77777777" w:rsidR="00644B5F" w:rsidRPr="00BC31E0" w:rsidRDefault="00644B5F" w:rsidP="00736130">
            <w:pPr>
              <w:numPr>
                <w:ilvl w:val="0"/>
                <w:numId w:val="197"/>
              </w:numPr>
              <w:ind w:left="567" w:hanging="340"/>
              <w:rPr>
                <w:rFonts w:asciiTheme="minorHAnsi" w:eastAsiaTheme="minorEastAsia" w:hAnsiTheme="minorHAnsi"/>
              </w:rPr>
            </w:pPr>
            <w:r w:rsidRPr="00BC31E0">
              <w:rPr>
                <w:rFonts w:ascii="Cambria Math" w:eastAsiaTheme="minorEastAsia" w:hAnsi="Cambria Math"/>
              </w:rPr>
              <w:t>95</w:t>
            </w:r>
            <w:r w:rsidRPr="00BC31E0">
              <w:rPr>
                <w:rFonts w:asciiTheme="minorHAnsi" w:hAnsiTheme="minorHAnsi"/>
              </w:rPr>
              <w:t>°C</w:t>
            </w:r>
            <w:r w:rsidRPr="00BC31E0">
              <w:rPr>
                <w:rFonts w:asciiTheme="minorHAnsi" w:eastAsiaTheme="minorEastAsia" w:hAnsiTheme="minorEastAsia" w:hint="eastAsia"/>
              </w:rPr>
              <w:t>以上で</w:t>
            </w:r>
            <w:r w:rsidRPr="00BC31E0">
              <w:rPr>
                <w:rFonts w:asciiTheme="minorHAnsi" w:eastAsiaTheme="minorEastAsia" w:hAnsiTheme="minorEastAsia"/>
              </w:rPr>
              <w:t>予熱</w:t>
            </w:r>
            <w:r w:rsidRPr="00BC31E0">
              <w:rPr>
                <w:rFonts w:asciiTheme="minorHAnsi" w:eastAsiaTheme="minorEastAsia" w:hAnsiTheme="minorEastAsia" w:hint="eastAsia"/>
              </w:rPr>
              <w:t>す</w:t>
            </w:r>
            <w:r w:rsidRPr="00BC31E0">
              <w:rPr>
                <w:rFonts w:asciiTheme="minorHAnsi" w:eastAsiaTheme="minorEastAsia" w:hAnsiTheme="minorEastAsia"/>
              </w:rPr>
              <w:t>る</w:t>
            </w:r>
            <w:r w:rsidRPr="00BC31E0">
              <w:rPr>
                <w:rFonts w:asciiTheme="minorHAnsi" w:eastAsiaTheme="minorEastAsia" w:hAnsiTheme="minorEastAsia" w:hint="eastAsia"/>
              </w:rPr>
              <w:t>ならば，</w:t>
            </w:r>
            <w:r w:rsidRPr="00BC31E0">
              <w:rPr>
                <w:rFonts w:asciiTheme="minorHAnsi" w:eastAsiaTheme="minorEastAsia" w:hAnsiTheme="minorEastAsia"/>
              </w:rPr>
              <w:t>規定炭素含有量が</w:t>
            </w:r>
            <w:r w:rsidRPr="00BC31E0">
              <w:rPr>
                <w:rFonts w:ascii="Cambria Math" w:eastAsiaTheme="minorEastAsia" w:hAnsi="Cambria Math"/>
              </w:rPr>
              <w:t>0.25</w:t>
            </w:r>
            <w:r w:rsidRPr="00BC31E0">
              <w:rPr>
                <w:rFonts w:ascii="Cambria Math" w:eastAsiaTheme="minorEastAsia" w:hAnsi="Cambria Math" w:hint="eastAsia"/>
              </w:rPr>
              <w:t xml:space="preserve"> </w:t>
            </w:r>
            <w:r w:rsidRPr="00BC31E0">
              <w:rPr>
                <w:rFonts w:ascii="Cambria Math" w:eastAsiaTheme="minorEastAsia" w:hAnsi="Cambria Math"/>
              </w:rPr>
              <w:t>%</w:t>
            </w:r>
            <w:r w:rsidRPr="00BC31E0">
              <w:rPr>
                <w:rFonts w:asciiTheme="minorHAnsi" w:eastAsiaTheme="minorEastAsia" w:hAnsiTheme="minorHAnsi" w:hint="eastAsia"/>
              </w:rPr>
              <w:t>以下の</w:t>
            </w:r>
            <w:r w:rsidRPr="00BC31E0">
              <w:rPr>
                <w:rFonts w:asciiTheme="minorHAnsi" w:eastAsiaTheme="minorEastAsia" w:hAnsiTheme="minorEastAsia"/>
              </w:rPr>
              <w:t>耐圧部</w:t>
            </w:r>
            <w:r w:rsidRPr="00BC31E0">
              <w:rPr>
                <w:rFonts w:asciiTheme="minorHAnsi" w:eastAsiaTheme="minorEastAsia" w:hAnsiTheme="minorEastAsia" w:hint="eastAsia"/>
              </w:rPr>
              <w:t>材</w:t>
            </w:r>
            <w:r w:rsidRPr="00BC31E0">
              <w:rPr>
                <w:rFonts w:asciiTheme="minorHAnsi" w:eastAsiaTheme="minorEastAsia" w:hAnsiTheme="minorEastAsia"/>
              </w:rPr>
              <w:t>のスタッド溶接</w:t>
            </w:r>
          </w:p>
          <w:p w14:paraId="2F9A2504" w14:textId="77777777" w:rsidR="00644B5F" w:rsidRPr="00BC31E0" w:rsidRDefault="00644B5F" w:rsidP="00736130">
            <w:pPr>
              <w:numPr>
                <w:ilvl w:val="0"/>
                <w:numId w:val="197"/>
              </w:numPr>
              <w:ind w:left="567" w:hanging="340"/>
              <w:rPr>
                <w:rFonts w:asciiTheme="minorHAnsi" w:eastAsiaTheme="minorEastAsia" w:hAnsiTheme="minorHAnsi"/>
              </w:rPr>
            </w:pPr>
            <w:r w:rsidRPr="00BC31E0">
              <w:rPr>
                <w:rFonts w:asciiTheme="minorHAnsi" w:eastAsiaTheme="minorEastAsia" w:hAnsiTheme="minorEastAsia"/>
              </w:rPr>
              <w:t>初層の溶接で</w:t>
            </w:r>
            <w:r w:rsidRPr="00BC31E0">
              <w:rPr>
                <w:rFonts w:ascii="Cambria Math" w:eastAsiaTheme="minorEastAsia" w:hAnsi="Cambria Math"/>
              </w:rPr>
              <w:t>95</w:t>
            </w:r>
            <w:r w:rsidRPr="00BC31E0">
              <w:rPr>
                <w:rFonts w:asciiTheme="minorHAnsi" w:hAnsiTheme="minorHAnsi"/>
              </w:rPr>
              <w:t>°C</w:t>
            </w:r>
            <w:r w:rsidRPr="00BC31E0">
              <w:rPr>
                <w:rFonts w:asciiTheme="minorHAnsi" w:eastAsiaTheme="minorEastAsia" w:hAnsiTheme="minorEastAsia" w:hint="eastAsia"/>
              </w:rPr>
              <w:t>以上の温度</w:t>
            </w:r>
            <w:r w:rsidRPr="00BC31E0">
              <w:rPr>
                <w:rFonts w:asciiTheme="minorHAnsi" w:eastAsiaTheme="minorEastAsia" w:hAnsiTheme="minorEastAsia"/>
              </w:rPr>
              <w:t>が</w:t>
            </w:r>
            <w:r w:rsidRPr="00BC31E0">
              <w:rPr>
                <w:rFonts w:asciiTheme="minorHAnsi" w:eastAsiaTheme="minorEastAsia" w:hAnsiTheme="minorEastAsia" w:hint="eastAsia"/>
              </w:rPr>
              <w:t>保持</w:t>
            </w:r>
            <w:r w:rsidRPr="00BC31E0">
              <w:rPr>
                <w:rFonts w:asciiTheme="minorHAnsi" w:eastAsiaTheme="minorEastAsia" w:hAnsiTheme="minorEastAsia"/>
              </w:rPr>
              <w:t>される</w:t>
            </w:r>
            <w:r w:rsidRPr="00BC31E0">
              <w:rPr>
                <w:rFonts w:asciiTheme="minorHAnsi" w:eastAsiaTheme="minorEastAsia" w:hAnsiTheme="minorEastAsia" w:hint="eastAsia"/>
              </w:rPr>
              <w:t>ならば，</w:t>
            </w:r>
            <w:r w:rsidRPr="00BC31E0">
              <w:rPr>
                <w:rFonts w:asciiTheme="minorHAnsi" w:eastAsiaTheme="minorEastAsia" w:hAnsiTheme="minorEastAsia"/>
              </w:rPr>
              <w:t>規定炭素含有量が</w:t>
            </w:r>
            <w:r w:rsidRPr="00BC31E0">
              <w:rPr>
                <w:rFonts w:ascii="Cambria Math" w:eastAsiaTheme="minorEastAsia" w:hAnsi="Cambria Math"/>
              </w:rPr>
              <w:t>0.25</w:t>
            </w:r>
            <w:r w:rsidRPr="00BC31E0">
              <w:rPr>
                <w:rFonts w:ascii="Cambria Math" w:eastAsiaTheme="minorEastAsia" w:hAnsi="Cambria Math" w:hint="eastAsia"/>
              </w:rPr>
              <w:t xml:space="preserve"> </w:t>
            </w:r>
            <w:r w:rsidRPr="00BC31E0">
              <w:rPr>
                <w:rFonts w:ascii="Cambria Math" w:eastAsiaTheme="minorEastAsia" w:hAnsi="Cambria Math"/>
              </w:rPr>
              <w:t>%</w:t>
            </w:r>
            <w:r w:rsidRPr="00BC31E0">
              <w:rPr>
                <w:rFonts w:asciiTheme="minorHAnsi" w:eastAsiaTheme="minorEastAsia" w:hAnsiTheme="minorEastAsia"/>
              </w:rPr>
              <w:t>以下の耐圧部</w:t>
            </w:r>
            <w:r w:rsidRPr="00BC31E0">
              <w:rPr>
                <w:rFonts w:asciiTheme="minorHAnsi" w:eastAsiaTheme="minorEastAsia" w:hAnsiTheme="minorEastAsia" w:hint="eastAsia"/>
              </w:rPr>
              <w:t>材</w:t>
            </w:r>
            <w:r w:rsidRPr="00BC31E0">
              <w:rPr>
                <w:rFonts w:asciiTheme="minorHAnsi" w:eastAsiaTheme="minorEastAsia" w:hAnsiTheme="minorEastAsia"/>
              </w:rPr>
              <w:t>に溶接され</w:t>
            </w:r>
            <w:r w:rsidRPr="00BC31E0">
              <w:rPr>
                <w:rFonts w:asciiTheme="minorHAnsi" w:eastAsiaTheme="minorEastAsia" w:hAnsiTheme="minorEastAsia" w:hint="eastAsia"/>
              </w:rPr>
              <w:t>る</w:t>
            </w:r>
            <w:r w:rsidRPr="00BC31E0">
              <w:rPr>
                <w:rFonts w:asciiTheme="minorHAnsi" w:eastAsiaTheme="minorEastAsia" w:hAnsiTheme="minorEastAsia"/>
              </w:rPr>
              <w:t>耐食</w:t>
            </w:r>
            <w:r w:rsidRPr="00BC31E0">
              <w:rPr>
                <w:rFonts w:asciiTheme="minorHAnsi" w:eastAsiaTheme="minorEastAsia" w:hAnsiTheme="minorEastAsia" w:hint="eastAsia"/>
              </w:rPr>
              <w:t>肉盛</w:t>
            </w:r>
            <w:r w:rsidRPr="00BC31E0">
              <w:rPr>
                <w:rFonts w:asciiTheme="minorHAnsi" w:eastAsiaTheme="minorEastAsia" w:hAnsiTheme="minorEastAsia"/>
              </w:rPr>
              <w:t>溶接又は耐食ライニング溶接</w:t>
            </w:r>
          </w:p>
          <w:p w14:paraId="478AC5CC" w14:textId="77777777" w:rsidR="00644B5F" w:rsidRPr="00BC31E0" w:rsidRDefault="00644B5F" w:rsidP="00736130">
            <w:pPr>
              <w:numPr>
                <w:ilvl w:val="0"/>
                <w:numId w:val="195"/>
              </w:numPr>
              <w:ind w:left="340" w:hanging="340"/>
              <w:rPr>
                <w:rFonts w:asciiTheme="minorHAnsi" w:eastAsiaTheme="minorEastAsia" w:hAnsiTheme="minorEastAsia"/>
              </w:rPr>
            </w:pPr>
            <w:r w:rsidRPr="00BC31E0">
              <w:rPr>
                <w:rFonts w:asciiTheme="minorHAnsi" w:eastAsiaTheme="minorEastAsia" w:hAnsiTheme="minorHAnsi" w:hint="eastAsia"/>
              </w:rPr>
              <w:t>溶接後熱処理を最低保持温度及び保持時間を長くしてより低い温度で行う場合，</w:t>
            </w:r>
            <w:r w:rsidRPr="00BC31E0">
              <w:rPr>
                <w:rFonts w:ascii="Cambria Math" w:eastAsiaTheme="minorEastAsia" w:hAnsi="Cambria Math"/>
              </w:rPr>
              <w:t>0.15</w:t>
            </w:r>
            <w:r w:rsidRPr="00BC31E0">
              <w:rPr>
                <w:rFonts w:ascii="Cambria Math" w:eastAsiaTheme="minorEastAsia" w:hAnsi="Cambria Math" w:hint="eastAsia"/>
              </w:rPr>
              <w:t xml:space="preserve"> </w:t>
            </w:r>
            <w:r w:rsidRPr="00BC31E0">
              <w:rPr>
                <w:rFonts w:ascii="Cambria Math" w:eastAsiaTheme="minorEastAsia" w:hAnsiTheme="minorHAnsi" w:hint="eastAsia"/>
              </w:rPr>
              <w:t>%</w:t>
            </w:r>
            <w:r w:rsidRPr="00BC31E0">
              <w:rPr>
                <w:rFonts w:asciiTheme="minorHAnsi" w:eastAsiaTheme="minorEastAsia" w:hAnsiTheme="minorHAnsi" w:hint="eastAsia"/>
              </w:rPr>
              <w:t>までのバナジウムを含む材料は脆化の可能性を考慮しなければならない。</w:t>
            </w:r>
          </w:p>
          <w:p w14:paraId="31D2F78E" w14:textId="77777777" w:rsidR="00644B5F" w:rsidRPr="00BC31E0" w:rsidRDefault="00644B5F" w:rsidP="00736130">
            <w:pPr>
              <w:numPr>
                <w:ilvl w:val="0"/>
                <w:numId w:val="195"/>
              </w:numPr>
              <w:ind w:left="340" w:hanging="340"/>
              <w:rPr>
                <w:rFonts w:asciiTheme="minorHAnsi" w:eastAsiaTheme="minorEastAsia" w:hAnsiTheme="minorEastAsia"/>
              </w:rPr>
            </w:pPr>
            <w:r w:rsidRPr="00BC31E0">
              <w:rPr>
                <w:rFonts w:asciiTheme="minorHAnsi" w:eastAsiaTheme="minorEastAsia" w:hAnsiTheme="minorEastAsia"/>
              </w:rPr>
              <w:t>溶接後熱処理の保持</w:t>
            </w:r>
            <w:r w:rsidRPr="00BC31E0">
              <w:rPr>
                <w:rFonts w:asciiTheme="minorHAnsi" w:eastAsiaTheme="minorEastAsia" w:hAnsiTheme="minorEastAsia" w:hint="eastAsia"/>
              </w:rPr>
              <w:t>期間</w:t>
            </w:r>
            <w:r w:rsidRPr="00BC31E0">
              <w:rPr>
                <w:rFonts w:asciiTheme="minorHAnsi" w:eastAsiaTheme="minorEastAsia" w:hAnsiTheme="minorEastAsia"/>
              </w:rPr>
              <w:t>中に，容器</w:t>
            </w:r>
            <w:r w:rsidRPr="00BC31E0">
              <w:rPr>
                <w:rFonts w:asciiTheme="minorHAnsi" w:eastAsiaTheme="minorEastAsia" w:hAnsiTheme="minorEastAsia" w:hint="eastAsia"/>
              </w:rPr>
              <w:t>部材の</w:t>
            </w:r>
            <w:r w:rsidRPr="00BC31E0">
              <w:rPr>
                <w:rFonts w:asciiTheme="minorHAnsi" w:eastAsiaTheme="minorEastAsia" w:hAnsiTheme="minorEastAsia"/>
              </w:rPr>
              <w:t>最大</w:t>
            </w:r>
            <w:r w:rsidRPr="00BC31E0">
              <w:rPr>
                <w:rFonts w:asciiTheme="minorHAnsi" w:eastAsiaTheme="minorEastAsia" w:hAnsiTheme="minorEastAsia" w:hint="eastAsia"/>
              </w:rPr>
              <w:t>保持</w:t>
            </w:r>
            <w:r w:rsidRPr="00BC31E0">
              <w:rPr>
                <w:rFonts w:asciiTheme="minorHAnsi" w:eastAsiaTheme="minorEastAsia" w:hAnsiTheme="minorEastAsia"/>
              </w:rPr>
              <w:t>時間</w:t>
            </w:r>
            <w:r w:rsidRPr="00BC31E0">
              <w:rPr>
                <w:rFonts w:asciiTheme="minorHAnsi" w:eastAsiaTheme="minorEastAsia" w:hAnsiTheme="minorEastAsia" w:hint="eastAsia"/>
              </w:rPr>
              <w:t>又は</w:t>
            </w:r>
            <w:r w:rsidRPr="00BC31E0">
              <w:rPr>
                <w:rFonts w:asciiTheme="minorHAnsi" w:eastAsiaTheme="minorEastAsia" w:hAnsiTheme="minorEastAsia"/>
              </w:rPr>
              <w:t>温度</w:t>
            </w:r>
            <w:r w:rsidRPr="00BC31E0">
              <w:rPr>
                <w:rFonts w:asciiTheme="minorHAnsi" w:eastAsiaTheme="minorEastAsia" w:hAnsiTheme="minorEastAsia" w:hint="eastAsia"/>
              </w:rPr>
              <w:t>が</w:t>
            </w:r>
            <w:r w:rsidRPr="00BC31E0">
              <w:rPr>
                <w:rFonts w:asciiTheme="majorEastAsia" w:eastAsiaTheme="majorEastAsia" w:hAnsiTheme="majorEastAsia" w:hint="eastAsia"/>
                <w:b/>
              </w:rPr>
              <w:t>10.1.2 c)</w:t>
            </w:r>
            <w:r w:rsidRPr="00BC31E0">
              <w:rPr>
                <w:rFonts w:asciiTheme="minorEastAsia" w:eastAsiaTheme="minorEastAsia" w:hAnsiTheme="minorEastAsia" w:hint="eastAsia"/>
              </w:rPr>
              <w:t>の</w:t>
            </w:r>
            <w:r w:rsidRPr="00BC31E0">
              <w:rPr>
                <w:rFonts w:asciiTheme="minorHAnsi" w:eastAsiaTheme="minorEastAsia" w:hAnsiTheme="minorEastAsia" w:hint="eastAsia"/>
              </w:rPr>
              <w:t>規定</w:t>
            </w:r>
            <w:r w:rsidRPr="00BC31E0">
              <w:rPr>
                <w:rFonts w:asciiTheme="minorHAnsi" w:eastAsiaTheme="minorEastAsia" w:hAnsiTheme="minorEastAsia"/>
              </w:rPr>
              <w:t>を超え</w:t>
            </w:r>
            <w:r w:rsidRPr="00BC31E0">
              <w:rPr>
                <w:rFonts w:asciiTheme="minorHAnsi" w:eastAsiaTheme="minorEastAsia" w:hAnsiTheme="minorEastAsia" w:hint="eastAsia"/>
              </w:rPr>
              <w:t>る</w:t>
            </w:r>
            <w:r w:rsidRPr="00BC31E0">
              <w:rPr>
                <w:rFonts w:asciiTheme="minorHAnsi" w:eastAsiaTheme="minorEastAsia" w:hAnsiTheme="minorEastAsia"/>
              </w:rPr>
              <w:t>場合には，追加</w:t>
            </w:r>
            <w:r w:rsidRPr="00BC31E0">
              <w:rPr>
                <w:rFonts w:asciiTheme="minorHAnsi" w:eastAsiaTheme="minorEastAsia" w:hAnsiTheme="minorEastAsia" w:hint="eastAsia"/>
              </w:rPr>
              <w:t>の</w:t>
            </w:r>
            <w:r w:rsidRPr="00BC31E0">
              <w:rPr>
                <w:rFonts w:asciiTheme="minorHAnsi" w:eastAsiaTheme="minorEastAsia" w:hAnsiTheme="minorEastAsia"/>
              </w:rPr>
              <w:t>試験材を作製して試験しなければならない。</w:t>
            </w:r>
          </w:p>
          <w:p w14:paraId="056FD144" w14:textId="77777777" w:rsidR="00644B5F" w:rsidRPr="00BC31E0" w:rsidRDefault="00644B5F" w:rsidP="00736130">
            <w:pPr>
              <w:numPr>
                <w:ilvl w:val="0"/>
                <w:numId w:val="195"/>
              </w:numPr>
              <w:ind w:left="340" w:hanging="340"/>
              <w:rPr>
                <w:rFonts w:asciiTheme="minorHAnsi" w:eastAsiaTheme="minorEastAsia" w:hAnsiTheme="minorHAnsi"/>
              </w:rPr>
            </w:pPr>
            <w:r w:rsidRPr="00BC31E0">
              <w:rPr>
                <w:rFonts w:ascii="Cambria Math" w:eastAsiaTheme="minorEastAsia" w:hAnsi="Cambria Math"/>
              </w:rPr>
              <w:t>425</w:t>
            </w:r>
            <w:r w:rsidRPr="00BC31E0">
              <w:rPr>
                <w:rFonts w:asciiTheme="minorHAnsi" w:hAnsiTheme="minorHAnsi"/>
              </w:rPr>
              <w:t>°C</w:t>
            </w:r>
            <w:r w:rsidRPr="00BC31E0">
              <w:rPr>
                <w:rFonts w:asciiTheme="minorHAnsi" w:eastAsiaTheme="minorEastAsia" w:hAnsiTheme="minorEastAsia" w:hint="eastAsia"/>
              </w:rPr>
              <w:t>～</w:t>
            </w:r>
            <w:r w:rsidRPr="00BC31E0">
              <w:rPr>
                <w:rFonts w:asciiTheme="minorHAnsi" w:eastAsiaTheme="minorEastAsia" w:hAnsiTheme="minorEastAsia"/>
              </w:rPr>
              <w:t>保持温度</w:t>
            </w:r>
            <w:r w:rsidRPr="00BC31E0">
              <w:rPr>
                <w:rFonts w:asciiTheme="minorHAnsi" w:eastAsiaTheme="minorEastAsia" w:hAnsiTheme="minorEastAsia" w:hint="eastAsia"/>
              </w:rPr>
              <w:t>間</w:t>
            </w:r>
            <w:r w:rsidRPr="00BC31E0">
              <w:rPr>
                <w:rFonts w:asciiTheme="minorHAnsi" w:eastAsiaTheme="minorEastAsia" w:hAnsiTheme="minorEastAsia"/>
              </w:rPr>
              <w:t>の加熱速度が</w:t>
            </w:r>
            <w:r w:rsidRPr="00BC31E0">
              <w:rPr>
                <w:rFonts w:ascii="Cambria Math" w:eastAsiaTheme="minorEastAsia" w:hAnsi="Cambria Math"/>
              </w:rPr>
              <w:t>30</w:t>
            </w:r>
            <w:r w:rsidRPr="00BC31E0">
              <w:rPr>
                <w:rFonts w:asciiTheme="minorHAnsi" w:hAnsiTheme="minorHAnsi"/>
              </w:rPr>
              <w:t>°C</w:t>
            </w:r>
            <w:r w:rsidRPr="00BC31E0">
              <w:rPr>
                <w:rFonts w:ascii="Cambria Math" w:eastAsiaTheme="minorEastAsia" w:hAnsi="Cambria Math"/>
              </w:rPr>
              <w:t>/h</w:t>
            </w:r>
            <w:r w:rsidRPr="00BC31E0">
              <w:rPr>
                <w:rFonts w:asciiTheme="minorHAnsi" w:eastAsiaTheme="minorEastAsia" w:hAnsiTheme="minorHAnsi" w:hint="eastAsia"/>
              </w:rPr>
              <w:t>以下の場合</w:t>
            </w:r>
            <w:r w:rsidRPr="00BC31E0">
              <w:rPr>
                <w:rFonts w:asciiTheme="minorHAnsi" w:eastAsiaTheme="minorEastAsia" w:hAnsiTheme="minorEastAsia"/>
              </w:rPr>
              <w:t>，</w:t>
            </w:r>
            <w:r w:rsidRPr="00BC31E0">
              <w:rPr>
                <w:rFonts w:asciiTheme="minorHAnsi" w:eastAsiaTheme="minorEastAsia" w:hAnsiTheme="minorEastAsia" w:hint="eastAsia"/>
              </w:rPr>
              <w:t>保持時間に</w:t>
            </w:r>
            <m:oMath>
              <m:f>
                <m:fPr>
                  <m:type m:val="lin"/>
                  <m:ctrlPr>
                    <w:rPr>
                      <w:rFonts w:ascii="Cambria Math" w:eastAsiaTheme="minorEastAsia" w:hAnsi="Cambria Math"/>
                      <w:i/>
                    </w:rPr>
                  </m:ctrlPr>
                </m:fPr>
                <m:num>
                  <m:r>
                    <w:rPr>
                      <w:rFonts w:ascii="Cambria Math" w:eastAsiaTheme="minorEastAsia" w:hAnsi="Cambria Math"/>
                    </w:rPr>
                    <m:t xml:space="preserve"> </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hint="eastAsia"/>
                            </w:rPr>
                            <m:t>t</m:t>
                          </m:r>
                        </m:e>
                        <m:sub>
                          <m:r>
                            <w:rPr>
                              <w:rFonts w:ascii="Cambria Math" w:eastAsiaTheme="minorEastAsia" w:hAnsi="Cambria Math"/>
                            </w:rPr>
                            <m:t xml:space="preserve">n </m:t>
                          </m:r>
                        </m:sub>
                      </m:sSub>
                      <m:r>
                        <w:rPr>
                          <w:rFonts w:ascii="Cambria Math" w:eastAsiaTheme="minorEastAsia" w:hAnsi="Cambria Math"/>
                        </w:rPr>
                        <m:t>-25</m:t>
                      </m:r>
                    </m:e>
                  </m:d>
                </m:num>
                <m:den>
                  <m:r>
                    <w:rPr>
                      <w:rFonts w:ascii="Cambria Math" w:eastAsiaTheme="minorEastAsia" w:hAnsi="Cambria Math"/>
                    </w:rPr>
                    <m:t xml:space="preserve">100 </m:t>
                  </m:r>
                  <m:r>
                    <m:rPr>
                      <m:sty m:val="p"/>
                    </m:rPr>
                    <w:rPr>
                      <w:rFonts w:ascii="Cambria Math" w:eastAsiaTheme="minorEastAsia" w:hAnsi="Cambria Math"/>
                    </w:rPr>
                    <m:t>h</m:t>
                  </m:r>
                  <m:r>
                    <w:rPr>
                      <w:rFonts w:ascii="Cambria Math" w:eastAsiaTheme="minorEastAsia" w:hAnsi="Cambria Math"/>
                    </w:rPr>
                    <m:t xml:space="preserve"> </m:t>
                  </m:r>
                </m:den>
              </m:f>
            </m:oMath>
            <w:r w:rsidRPr="00BC31E0">
              <w:rPr>
                <w:rFonts w:asciiTheme="minorHAnsi" w:eastAsiaTheme="minorEastAsia" w:hAnsiTheme="minorEastAsia" w:hint="eastAsia"/>
              </w:rPr>
              <w:t>を加算する必要はない</w:t>
            </w:r>
            <w:r w:rsidRPr="00BC31E0">
              <w:rPr>
                <w:rFonts w:asciiTheme="minorHAnsi" w:eastAsiaTheme="minorEastAsia" w:hAnsiTheme="minorEastAsia"/>
              </w:rPr>
              <w:t>。更に，製作者が全厚さにわたって最低温度を</w:t>
            </w:r>
            <w:r w:rsidRPr="00BC31E0">
              <w:rPr>
                <w:rFonts w:asciiTheme="minorHAnsi" w:eastAsiaTheme="minorEastAsia" w:hAnsiTheme="minorEastAsia" w:hint="eastAsia"/>
              </w:rPr>
              <w:t>保持</w:t>
            </w:r>
            <w:r w:rsidRPr="00BC31E0">
              <w:rPr>
                <w:rFonts w:asciiTheme="minorHAnsi" w:eastAsiaTheme="minorEastAsia" w:hAnsiTheme="minorEastAsia"/>
              </w:rPr>
              <w:t>できること</w:t>
            </w:r>
            <w:r w:rsidRPr="00BC31E0">
              <w:rPr>
                <w:rFonts w:asciiTheme="minorHAnsi" w:eastAsiaTheme="minorEastAsia" w:hAnsiTheme="minorEastAsia" w:hint="eastAsia"/>
              </w:rPr>
              <w:t>を</w:t>
            </w:r>
            <w:r w:rsidRPr="00BC31E0">
              <w:rPr>
                <w:rFonts w:asciiTheme="minorHAnsi" w:eastAsiaTheme="minorEastAsia" w:hAnsiTheme="minorEastAsia"/>
              </w:rPr>
              <w:t>示すことができれば，</w:t>
            </w:r>
            <w:r w:rsidRPr="00BC31E0">
              <w:rPr>
                <w:rFonts w:asciiTheme="minorHAnsi" w:eastAsiaTheme="minorEastAsia" w:hAnsiTheme="minorEastAsia" w:hint="eastAsia"/>
              </w:rPr>
              <w:t>保持時間に</w:t>
            </w:r>
            <m:oMath>
              <m:f>
                <m:fPr>
                  <m:type m:val="lin"/>
                  <m:ctrlPr>
                    <w:rPr>
                      <w:rFonts w:ascii="Cambria Math" w:eastAsiaTheme="minorEastAsia" w:hAnsi="Cambria Math"/>
                      <w:i/>
                    </w:rPr>
                  </m:ctrlPr>
                </m:fPr>
                <m:num>
                  <m:r>
                    <w:rPr>
                      <w:rFonts w:ascii="Cambria Math" w:eastAsiaTheme="minorEastAsia" w:hAnsi="Cambria Math"/>
                    </w:rPr>
                    <m:t xml:space="preserve"> </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hint="eastAsia"/>
                            </w:rPr>
                            <m:t>t</m:t>
                          </m:r>
                        </m:e>
                        <m:sub>
                          <m:r>
                            <w:rPr>
                              <w:rFonts w:ascii="Cambria Math" w:eastAsiaTheme="minorEastAsia" w:hAnsi="Cambria Math"/>
                            </w:rPr>
                            <m:t xml:space="preserve">n </m:t>
                          </m:r>
                        </m:sub>
                      </m:sSub>
                      <m:r>
                        <w:rPr>
                          <w:rFonts w:ascii="Cambria Math" w:eastAsiaTheme="minorEastAsia" w:hAnsi="Cambria Math"/>
                        </w:rPr>
                        <m:t>-25</m:t>
                      </m:r>
                    </m:e>
                  </m:d>
                </m:num>
                <m:den>
                  <m:r>
                    <w:rPr>
                      <w:rFonts w:ascii="Cambria Math" w:eastAsiaTheme="minorEastAsia" w:hAnsi="Cambria Math"/>
                    </w:rPr>
                    <m:t xml:space="preserve">100 </m:t>
                  </m:r>
                  <m:r>
                    <m:rPr>
                      <m:sty m:val="p"/>
                    </m:rPr>
                    <w:rPr>
                      <w:rFonts w:ascii="Cambria Math" w:eastAsiaTheme="minorEastAsia" w:hAnsi="Cambria Math"/>
                    </w:rPr>
                    <m:t>h</m:t>
                  </m:r>
                  <m:r>
                    <w:rPr>
                      <w:rFonts w:ascii="Cambria Math" w:eastAsiaTheme="minorEastAsia" w:hAnsi="Cambria Math"/>
                    </w:rPr>
                    <m:t xml:space="preserve"> </m:t>
                  </m:r>
                </m:den>
              </m:f>
            </m:oMath>
            <w:r w:rsidRPr="00BC31E0">
              <w:rPr>
                <w:rFonts w:asciiTheme="minorHAnsi" w:eastAsiaTheme="minorEastAsia" w:hAnsiTheme="minorEastAsia" w:hint="eastAsia"/>
              </w:rPr>
              <w:t>を加算する必要はない</w:t>
            </w:r>
            <w:r w:rsidRPr="00BC31E0">
              <w:rPr>
                <w:rFonts w:asciiTheme="minorHAnsi" w:eastAsiaTheme="minorEastAsia" w:hAnsiTheme="minorEastAsia"/>
              </w:rPr>
              <w:t>。</w:t>
            </w:r>
          </w:p>
          <w:p w14:paraId="2DBBC68A" w14:textId="77777777" w:rsidR="00644B5F" w:rsidRPr="00BC31E0" w:rsidRDefault="00644B5F" w:rsidP="00FF1EC4">
            <w:pPr>
              <w:numPr>
                <w:ilvl w:val="0"/>
                <w:numId w:val="195"/>
              </w:numPr>
              <w:ind w:left="340" w:hanging="340"/>
              <w:rPr>
                <w:rFonts w:asciiTheme="minorHAnsi" w:eastAsiaTheme="minorEastAsia" w:hAnsiTheme="minorHAnsi"/>
              </w:rPr>
            </w:pPr>
            <w:r w:rsidRPr="00BC31E0">
              <w:rPr>
                <w:rFonts w:asciiTheme="minorHAnsi" w:eastAsiaTheme="minorEastAsia" w:hAnsiTheme="minorEastAsia"/>
              </w:rPr>
              <w:t>規定</w:t>
            </w:r>
            <w:r w:rsidRPr="00BC31E0">
              <w:rPr>
                <w:rFonts w:asciiTheme="minorHAnsi" w:eastAsiaTheme="minorEastAsia" w:hAnsiTheme="minorEastAsia" w:hint="eastAsia"/>
              </w:rPr>
              <w:t>の保持</w:t>
            </w:r>
            <w:r w:rsidRPr="00BC31E0">
              <w:rPr>
                <w:rFonts w:asciiTheme="minorHAnsi" w:eastAsiaTheme="minorEastAsia" w:hAnsiTheme="minorEastAsia"/>
              </w:rPr>
              <w:t>温度で溶接後熱処理</w:t>
            </w:r>
            <w:r w:rsidRPr="00BC31E0">
              <w:rPr>
                <w:rFonts w:asciiTheme="minorHAnsi" w:eastAsiaTheme="minorEastAsia" w:hAnsiTheme="minorEastAsia" w:hint="eastAsia"/>
              </w:rPr>
              <w:t>が</w:t>
            </w:r>
            <w:r w:rsidRPr="00BC31E0">
              <w:rPr>
                <w:rFonts w:asciiTheme="minorHAnsi" w:eastAsiaTheme="minorEastAsia" w:hAnsiTheme="minorEastAsia"/>
              </w:rPr>
              <w:t>できない場合には，</w:t>
            </w:r>
            <w:r w:rsidRPr="00BC31E0">
              <w:rPr>
                <w:rFonts w:asciiTheme="minorHAnsi" w:eastAsiaTheme="minorEastAsia" w:hAnsiTheme="minorEastAsia" w:hint="eastAsia"/>
              </w:rPr>
              <w:t>より低い保持温度で，</w:t>
            </w:r>
            <w:r w:rsidRPr="00BC31E0">
              <w:rPr>
                <w:rFonts w:asciiTheme="majorEastAsia" w:eastAsiaTheme="majorEastAsia" w:hAnsiTheme="majorEastAsia" w:hint="eastAsia"/>
                <w:b/>
              </w:rPr>
              <w:t>表7.4.18</w:t>
            </w:r>
            <w:r w:rsidRPr="00BC31E0">
              <w:rPr>
                <w:rFonts w:asciiTheme="minorHAnsi" w:eastAsiaTheme="minorEastAsia" w:hAnsiTheme="minorEastAsia"/>
              </w:rPr>
              <w:t>に示す保持時間</w:t>
            </w:r>
            <w:r w:rsidRPr="00BC31E0">
              <w:rPr>
                <w:rFonts w:asciiTheme="minorHAnsi" w:eastAsiaTheme="minorEastAsia" w:hAnsiTheme="minorEastAsia" w:hint="eastAsia"/>
              </w:rPr>
              <w:t>で溶接</w:t>
            </w:r>
            <w:r w:rsidRPr="00BC31E0">
              <w:rPr>
                <w:rFonts w:asciiTheme="minorHAnsi" w:eastAsiaTheme="minorEastAsia" w:hAnsiTheme="minorEastAsia"/>
              </w:rPr>
              <w:t>後熱処理</w:t>
            </w:r>
            <w:r w:rsidRPr="00BC31E0">
              <w:rPr>
                <w:rFonts w:asciiTheme="minorHAnsi" w:eastAsiaTheme="minorEastAsia" w:hAnsiTheme="minorEastAsia" w:hint="eastAsia"/>
              </w:rPr>
              <w:t>を</w:t>
            </w:r>
            <w:r w:rsidR="00FF1EC4" w:rsidRPr="00BC31E0">
              <w:rPr>
                <w:rFonts w:asciiTheme="minorHAnsi" w:eastAsiaTheme="minorEastAsia" w:hAnsiTheme="minorEastAsia" w:hint="eastAsia"/>
              </w:rPr>
              <w:t>行ってもよい</w:t>
            </w:r>
            <w:r w:rsidRPr="00BC31E0">
              <w:rPr>
                <w:rFonts w:asciiTheme="minorHAnsi" w:eastAsiaTheme="minorEastAsia" w:hAnsiTheme="minorEastAsia"/>
              </w:rPr>
              <w:t>。</w:t>
            </w:r>
            <w:r w:rsidRPr="00BC31E0">
              <w:rPr>
                <w:rFonts w:asciiTheme="minorHAnsi" w:eastAsiaTheme="minorEastAsia" w:hAnsiTheme="minorEastAsia" w:hint="eastAsia"/>
              </w:rPr>
              <w:t>保持温度を低減する</w:t>
            </w:r>
            <w:r w:rsidRPr="00BC31E0">
              <w:rPr>
                <w:rFonts w:asciiTheme="minorHAnsi" w:eastAsiaTheme="minorEastAsia" w:hAnsiTheme="minorEastAsia"/>
              </w:rPr>
              <w:t>場合には，</w:t>
            </w:r>
            <w:r w:rsidRPr="00BC31E0">
              <w:rPr>
                <w:rFonts w:asciiTheme="majorEastAsia" w:eastAsiaTheme="majorEastAsia" w:hAnsiTheme="majorEastAsia" w:hint="eastAsia"/>
                <w:b/>
              </w:rPr>
              <w:t>10.2</w:t>
            </w:r>
            <w:r w:rsidRPr="00BC31E0">
              <w:rPr>
                <w:rFonts w:asciiTheme="minorHAnsi" w:eastAsiaTheme="minorEastAsia" w:hAnsiTheme="minorEastAsia"/>
              </w:rPr>
              <w:t>で要求される</w:t>
            </w:r>
            <w:r w:rsidRPr="00BC31E0">
              <w:rPr>
                <w:rFonts w:asciiTheme="minorHAnsi" w:eastAsiaTheme="minorEastAsia" w:hAnsiTheme="minorEastAsia" w:hint="eastAsia"/>
              </w:rPr>
              <w:t>製作用</w:t>
            </w:r>
            <w:r w:rsidRPr="00BC31E0">
              <w:rPr>
                <w:rFonts w:asciiTheme="minorHAnsi" w:eastAsiaTheme="minorEastAsia" w:hAnsiTheme="minorEastAsia"/>
              </w:rPr>
              <w:t>試験板</w:t>
            </w:r>
            <w:r w:rsidRPr="00BC31E0">
              <w:rPr>
                <w:rFonts w:asciiTheme="minorHAnsi" w:eastAsiaTheme="minorEastAsia" w:hAnsiTheme="minorEastAsia" w:hint="eastAsia"/>
              </w:rPr>
              <w:t>も</w:t>
            </w:r>
            <w:r w:rsidRPr="00BC31E0">
              <w:rPr>
                <w:rFonts w:asciiTheme="minorHAnsi" w:eastAsiaTheme="minorEastAsia" w:hAnsiTheme="minorEastAsia"/>
              </w:rPr>
              <w:t>同じ熱処理にしなければならない。</w:t>
            </w:r>
          </w:p>
        </w:tc>
        <w:tc>
          <w:tcPr>
            <w:tcW w:w="2126" w:type="dxa"/>
          </w:tcPr>
          <w:p w14:paraId="17BC75C0" w14:textId="77777777" w:rsidR="00644B5F" w:rsidRPr="00BC31E0" w:rsidRDefault="00644B5F" w:rsidP="00644B5F">
            <w:pPr>
              <w:ind w:left="170"/>
              <w:rPr>
                <w:rFonts w:ascii="Cambria Math" w:eastAsiaTheme="minorEastAsia" w:hAnsi="Cambria Math"/>
              </w:rPr>
            </w:pPr>
            <w:r w:rsidRPr="00BC31E0">
              <w:rPr>
                <w:rFonts w:ascii="Cambria Math" w:eastAsiaTheme="minorEastAsia" w:hAnsi="Cambria Math"/>
              </w:rPr>
              <w:t>595</w:t>
            </w:r>
            <w:r w:rsidRPr="00BC31E0">
              <w:rPr>
                <w:rFonts w:asciiTheme="minorHAnsi" w:hAnsiTheme="minorHAnsi"/>
              </w:rPr>
              <w:t>°C</w:t>
            </w:r>
          </w:p>
          <w:tbl>
            <w:tblPr>
              <w:tblStyle w:val="100"/>
              <w:tblW w:w="0" w:type="auto"/>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35"/>
            </w:tblGrid>
            <w:tr w:rsidR="00644B5F" w:rsidRPr="00BC31E0" w14:paraId="32D9C4B5" w14:textId="77777777" w:rsidTr="004736F2">
              <w:tc>
                <w:tcPr>
                  <w:tcW w:w="0" w:type="auto"/>
                  <w:vAlign w:val="center"/>
                </w:tcPr>
                <w:p w14:paraId="33FE0385" w14:textId="77777777" w:rsidR="00644B5F" w:rsidRPr="00BC31E0" w:rsidRDefault="00644B5F" w:rsidP="00644B5F">
                  <w:pPr>
                    <w:rPr>
                      <w:rFonts w:ascii="Cambria Math" w:eastAsiaTheme="majorEastAsia" w:hAnsi="Cambria Math"/>
                      <w:i/>
                    </w:rPr>
                  </w:pPr>
                  <m:oMathPara>
                    <m:oMathParaPr>
                      <m:jc m:val="left"/>
                    </m:oMathParaPr>
                    <m:oMath>
                      <m:r>
                        <w:rPr>
                          <w:rFonts w:ascii="Cambria Math" w:eastAsiaTheme="majorEastAsia" w:hAnsi="Cambria Math"/>
                        </w:rPr>
                        <m:t>1+</m:t>
                      </m:r>
                      <m:f>
                        <m:fPr>
                          <m:ctrlPr>
                            <w:rPr>
                              <w:rFonts w:ascii="Cambria Math" w:eastAsiaTheme="majorEastAsia" w:hAnsi="Cambria Math"/>
                              <w:i/>
                            </w:rPr>
                          </m:ctrlPr>
                        </m:fPr>
                        <m:num>
                          <m:sSub>
                            <m:sSubPr>
                              <m:ctrlPr>
                                <w:rPr>
                                  <w:rFonts w:ascii="Cambria Math" w:eastAsiaTheme="majorEastAsia" w:hAnsi="Cambria Math"/>
                                  <w:i/>
                                </w:rPr>
                              </m:ctrlPr>
                            </m:sSubPr>
                            <m:e>
                              <m:r>
                                <w:rPr>
                                  <w:rFonts w:ascii="Cambria Math" w:eastAsiaTheme="majorEastAsia" w:hAnsi="Cambria Math"/>
                                </w:rPr>
                                <m:t>t</m:t>
                              </m:r>
                            </m:e>
                            <m:sub>
                              <m:r>
                                <w:rPr>
                                  <w:rFonts w:ascii="Cambria Math" w:eastAsiaTheme="majorEastAsia" w:hAnsi="Cambria Math"/>
                                </w:rPr>
                                <m:t>n</m:t>
                              </m:r>
                            </m:sub>
                          </m:sSub>
                          <m:r>
                            <w:rPr>
                              <w:rFonts w:ascii="Cambria Math" w:eastAsiaTheme="majorEastAsia" w:hAnsi="Cambria Math"/>
                            </w:rPr>
                            <m:t>-25</m:t>
                          </m:r>
                        </m:num>
                        <m:den>
                          <m:r>
                            <w:rPr>
                              <w:rFonts w:ascii="Cambria Math" w:eastAsiaTheme="majorEastAsia" w:hAnsi="Cambria Math"/>
                            </w:rPr>
                            <m:t>100</m:t>
                          </m:r>
                        </m:den>
                      </m:f>
                      <m:r>
                        <w:rPr>
                          <w:rFonts w:ascii="Cambria Math" w:eastAsiaTheme="majorEastAsia" w:hAnsi="Cambria Math"/>
                        </w:rPr>
                        <m:t xml:space="preserve"> </m:t>
                      </m:r>
                      <m:r>
                        <m:rPr>
                          <m:sty m:val="p"/>
                        </m:rPr>
                        <w:rPr>
                          <w:rFonts w:ascii="Cambria Math" w:eastAsiaTheme="majorEastAsia" w:hAnsi="Cambria Math"/>
                        </w:rPr>
                        <m:t>h</m:t>
                      </m:r>
                    </m:oMath>
                  </m:oMathPara>
                </w:p>
              </w:tc>
            </w:tr>
          </w:tbl>
          <w:p w14:paraId="675C20DA" w14:textId="77777777" w:rsidR="00644B5F" w:rsidRPr="00BC31E0" w:rsidRDefault="00644B5F" w:rsidP="00644B5F">
            <w:pPr>
              <w:ind w:left="170"/>
              <w:rPr>
                <w:rFonts w:asciiTheme="minorHAnsi" w:eastAsiaTheme="minorEastAsia" w:hAnsiTheme="minorHAnsi"/>
              </w:rPr>
            </w:pPr>
            <w:r w:rsidRPr="00BC31E0">
              <w:rPr>
                <w:rFonts w:asciiTheme="minorHAnsi" w:eastAsiaTheme="minorEastAsia" w:hAnsiTheme="minorEastAsia"/>
              </w:rPr>
              <w:t>最小</w:t>
            </w:r>
            <w:r w:rsidRPr="00BC31E0">
              <w:rPr>
                <w:rFonts w:asciiTheme="minorHAnsi" w:eastAsiaTheme="minorEastAsia" w:hAnsiTheme="minorHAnsi"/>
              </w:rPr>
              <w:t xml:space="preserve"> </w:t>
            </w:r>
            <w:r w:rsidRPr="00BC31E0">
              <w:rPr>
                <w:rFonts w:ascii="Cambria Math" w:eastAsiaTheme="minorEastAsia" w:hAnsi="Cambria Math"/>
              </w:rPr>
              <w:t>1 h</w:t>
            </w:r>
          </w:p>
          <w:p w14:paraId="546547E0" w14:textId="77777777" w:rsidR="00644B5F" w:rsidRPr="00BC31E0" w:rsidRDefault="00644B5F" w:rsidP="00644B5F">
            <w:pPr>
              <w:rPr>
                <w:rFonts w:asciiTheme="minorHAnsi" w:eastAsiaTheme="minorEastAsia" w:hAnsiTheme="minorHAnsi"/>
              </w:rPr>
            </w:pPr>
          </w:p>
          <w:p w14:paraId="4C833FCE" w14:textId="77777777" w:rsidR="00644B5F" w:rsidRPr="00BC31E0" w:rsidRDefault="00644B5F" w:rsidP="00644B5F">
            <w:pPr>
              <w:rPr>
                <w:rFonts w:asciiTheme="minorHAnsi" w:eastAsiaTheme="minorEastAsia" w:hAnsiTheme="minorEastAsia"/>
              </w:rPr>
            </w:pPr>
            <w:r w:rsidRPr="00BC31E0">
              <w:rPr>
                <w:rFonts w:asciiTheme="minorHAnsi" w:eastAsiaTheme="minorEastAsia" w:hAnsiTheme="minorHAnsi"/>
              </w:rPr>
              <w:t>SA/NF A36-215 Grade P440 NJ4</w:t>
            </w:r>
            <w:r w:rsidRPr="00BC31E0">
              <w:rPr>
                <w:rFonts w:asciiTheme="minorHAnsi" w:eastAsiaTheme="minorEastAsia" w:hAnsiTheme="minorEastAsia"/>
              </w:rPr>
              <w:t>の場合</w:t>
            </w:r>
            <w:r w:rsidRPr="00BC31E0">
              <w:rPr>
                <w:rFonts w:asciiTheme="minorHAnsi" w:eastAsiaTheme="minorEastAsia" w:hAnsiTheme="minorEastAsia" w:hint="eastAsia"/>
              </w:rPr>
              <w:t>には，</w:t>
            </w:r>
          </w:p>
          <w:p w14:paraId="62339D19" w14:textId="77777777" w:rsidR="00644B5F" w:rsidRPr="00BC31E0" w:rsidRDefault="00644B5F" w:rsidP="00644B5F">
            <w:pPr>
              <w:ind w:left="170"/>
              <w:rPr>
                <w:rFonts w:asciiTheme="minorHAnsi" w:eastAsiaTheme="minorEastAsia" w:hAnsiTheme="minorHAnsi"/>
              </w:rPr>
            </w:pPr>
            <w:r w:rsidRPr="00BC31E0">
              <w:rPr>
                <w:rFonts w:ascii="Cambria Math" w:eastAsiaTheme="minorEastAsia" w:hAnsi="Cambria Math"/>
              </w:rPr>
              <w:t>530</w:t>
            </w:r>
            <w:r w:rsidRPr="00BC31E0">
              <w:rPr>
                <w:rFonts w:asciiTheme="minorHAnsi" w:hAnsiTheme="minorHAnsi"/>
              </w:rPr>
              <w:t>°C</w:t>
            </w:r>
            <w:r w:rsidRPr="00BC31E0">
              <w:rPr>
                <w:rFonts w:asciiTheme="minorHAnsi" w:eastAsiaTheme="minorEastAsia" w:hAnsiTheme="minorEastAsia"/>
              </w:rPr>
              <w:t>～</w:t>
            </w:r>
            <w:r w:rsidRPr="00BC31E0">
              <w:rPr>
                <w:rFonts w:ascii="Cambria Math" w:eastAsiaTheme="minorEastAsia" w:hAnsi="Cambria Math"/>
              </w:rPr>
              <w:t>560</w:t>
            </w:r>
            <w:r w:rsidRPr="00BC31E0">
              <w:rPr>
                <w:rFonts w:asciiTheme="minorHAnsi" w:hAnsiTheme="minorHAnsi"/>
              </w:rPr>
              <w:t>°C</w:t>
            </w:r>
          </w:p>
          <w:p w14:paraId="711EAB0F" w14:textId="77777777" w:rsidR="00644B5F" w:rsidRPr="00BC31E0" w:rsidRDefault="00A51873" w:rsidP="00644B5F">
            <w:pPr>
              <w:ind w:left="170"/>
              <w:rPr>
                <w:rFonts w:asciiTheme="minorHAnsi" w:eastAsiaTheme="minorEastAsia" w:hAnsiTheme="minorHAnsi"/>
              </w:rPr>
            </w:pPr>
            <m:oMath>
              <m:sSub>
                <m:sSubPr>
                  <m:ctrlPr>
                    <w:rPr>
                      <w:rFonts w:ascii="Cambria Math" w:eastAsiaTheme="minorEastAsia" w:hAnsi="Cambria Math"/>
                    </w:rPr>
                  </m:ctrlPr>
                </m:sSubPr>
                <m:e>
                  <m:r>
                    <w:rPr>
                      <w:rFonts w:ascii="Cambria Math" w:eastAsiaTheme="minorEastAsia" w:hAnsi="Cambria Math"/>
                    </w:rPr>
                    <m:t>t</m:t>
                  </m:r>
                </m:e>
                <m:sub>
                  <m:r>
                    <w:rPr>
                      <w:rFonts w:ascii="Cambria Math" w:eastAsiaTheme="minorEastAsia" w:hAnsi="Cambria Math"/>
                    </w:rPr>
                    <m:t>n</m:t>
                  </m:r>
                </m:sub>
              </m:sSub>
              <m:r>
                <w:rPr>
                  <w:rFonts w:ascii="Cambria Math" w:eastAsiaTheme="minorEastAsia" w:hAnsi="Cambria Math"/>
                </w:rPr>
                <m:t xml:space="preserve">&lt;20 </m:t>
              </m:r>
            </m:oMath>
            <w:r w:rsidR="00644B5F" w:rsidRPr="00BC31E0">
              <w:rPr>
                <w:rFonts w:ascii="Cambria Math" w:eastAsiaTheme="minorEastAsia" w:hAnsi="Cambria Math"/>
              </w:rPr>
              <w:t>mm</w:t>
            </w:r>
            <w:r w:rsidR="00644B5F" w:rsidRPr="00BC31E0">
              <w:rPr>
                <w:rFonts w:asciiTheme="minorHAnsi" w:eastAsiaTheme="minorEastAsia" w:hAnsiTheme="minorEastAsia"/>
              </w:rPr>
              <w:t>で</w:t>
            </w:r>
          </w:p>
          <w:p w14:paraId="40955CA1" w14:textId="77777777" w:rsidR="00644B5F" w:rsidRPr="00BC31E0" w:rsidRDefault="00644B5F" w:rsidP="00644B5F">
            <w:pPr>
              <w:ind w:left="170"/>
              <w:rPr>
                <w:rFonts w:ascii="Cambria Math" w:eastAsiaTheme="minorEastAsia" w:hAnsi="Cambria Math"/>
              </w:rPr>
            </w:pPr>
            <w:r w:rsidRPr="00BC31E0">
              <w:rPr>
                <w:rFonts w:ascii="Cambria Math" w:eastAsiaTheme="minorEastAsia" w:hAnsi="Cambria Math"/>
              </w:rPr>
              <w:t>0.5 h</w:t>
            </w:r>
          </w:p>
          <w:p w14:paraId="3D0F61D5" w14:textId="77777777" w:rsidR="00644B5F" w:rsidRPr="00BC31E0" w:rsidRDefault="00644B5F" w:rsidP="00644B5F">
            <w:pPr>
              <w:rPr>
                <w:rFonts w:asciiTheme="minorHAnsi" w:eastAsiaTheme="minorEastAsia" w:hAnsiTheme="minorHAnsi"/>
              </w:rPr>
            </w:pPr>
          </w:p>
        </w:tc>
      </w:tr>
    </w:tbl>
    <w:p w14:paraId="49A31763" w14:textId="77777777" w:rsidR="00644B5F" w:rsidRPr="00BC31E0" w:rsidRDefault="00644B5F" w:rsidP="009A5191">
      <w:pPr>
        <w:spacing w:before="60"/>
        <w:rPr>
          <w:rFonts w:asciiTheme="minorHAnsi" w:eastAsiaTheme="minorEastAsia" w:hAnsiTheme="minorHAnsi"/>
        </w:rPr>
      </w:pPr>
      <w:r w:rsidRPr="00BC31E0">
        <w:rPr>
          <w:rFonts w:asciiTheme="majorEastAsia" w:eastAsiaTheme="majorEastAsia" w:hAnsiTheme="majorEastAsia" w:hint="eastAsia"/>
          <w:b/>
        </w:rPr>
        <w:t>注記</w:t>
      </w:r>
      <w:r w:rsidRPr="00BC31E0">
        <w:rPr>
          <w:rFonts w:asciiTheme="minorHAnsi" w:eastAsiaTheme="minorEastAsia" w:hAnsiTheme="minorHAnsi" w:hint="eastAsia"/>
        </w:rPr>
        <w:t xml:space="preserve">　</w:t>
      </w:r>
      <m:oMath>
        <m:sSub>
          <m:sSubPr>
            <m:ctrlPr>
              <w:rPr>
                <w:rFonts w:ascii="Cambria Math" w:eastAsiaTheme="minorEastAsia" w:hAnsi="Cambria Math"/>
              </w:rPr>
            </m:ctrlPr>
          </m:sSubPr>
          <m:e>
            <m:r>
              <w:rPr>
                <w:rFonts w:ascii="Cambria Math" w:eastAsiaTheme="minorEastAsia" w:hAnsi="Cambria Math" w:hint="eastAsia"/>
              </w:rPr>
              <m:t>t</m:t>
            </m:r>
          </m:e>
          <m:sub>
            <m:r>
              <w:rPr>
                <w:rFonts w:ascii="Cambria Math" w:eastAsiaTheme="minorEastAsia" w:hAnsi="Cambria Math"/>
              </w:rPr>
              <m:t>n</m:t>
            </m:r>
          </m:sub>
        </m:sSub>
        <m:r>
          <m:rPr>
            <m:sty m:val="p"/>
          </m:rPr>
          <w:rPr>
            <w:rFonts w:ascii="Cambria Math" w:eastAsiaTheme="minorEastAsia" w:hAnsi="Cambria Math"/>
          </w:rPr>
          <m:t xml:space="preserve"> </m:t>
        </m:r>
      </m:oMath>
      <w:r w:rsidRPr="00BC31E0">
        <w:rPr>
          <w:rFonts w:asciiTheme="minorHAnsi" w:eastAsiaTheme="minorEastAsia" w:hAnsiTheme="minorHAnsi" w:hint="eastAsia"/>
        </w:rPr>
        <w:t>は，</w:t>
      </w:r>
      <w:r w:rsidRPr="00BC31E0">
        <w:rPr>
          <w:rFonts w:asciiTheme="majorEastAsia" w:eastAsiaTheme="majorEastAsia" w:hAnsiTheme="majorEastAsia" w:hint="eastAsia"/>
          <w:b/>
        </w:rPr>
        <w:t>7.4.1 b) 4)</w:t>
      </w:r>
      <w:r w:rsidRPr="00BC31E0">
        <w:rPr>
          <w:rFonts w:asciiTheme="minorHAnsi" w:eastAsiaTheme="minorEastAsia" w:hAnsiTheme="minorHAnsi" w:hint="eastAsia"/>
        </w:rPr>
        <w:t>に規定する公称厚さ</w:t>
      </w:r>
      <w:r w:rsidRPr="00BC31E0">
        <w:rPr>
          <w:rFonts w:asciiTheme="minorHAnsi" w:eastAsiaTheme="minorEastAsia" w:hAnsiTheme="minorHAnsi" w:hint="eastAsia"/>
        </w:rPr>
        <w:t>(</w:t>
      </w:r>
      <w:r w:rsidRPr="00BC31E0">
        <w:rPr>
          <w:rFonts w:ascii="Cambria Math" w:eastAsiaTheme="minorEastAsia" w:hAnsi="Cambria Math"/>
        </w:rPr>
        <w:t>mm</w:t>
      </w:r>
      <w:r w:rsidRPr="00BC31E0">
        <w:rPr>
          <w:rFonts w:asciiTheme="minorHAnsi" w:eastAsiaTheme="minorEastAsia" w:hAnsiTheme="minorHAnsi" w:hint="eastAsia"/>
        </w:rPr>
        <w:t>)</w:t>
      </w:r>
      <w:r w:rsidRPr="00BC31E0">
        <w:rPr>
          <w:rFonts w:asciiTheme="minorHAnsi" w:eastAsiaTheme="minorEastAsia" w:hAnsiTheme="minorHAnsi" w:hint="eastAsia"/>
        </w:rPr>
        <w:t>である。</w:t>
      </w:r>
    </w:p>
    <w:p w14:paraId="10C50F14" w14:textId="77777777" w:rsidR="00F14FC9" w:rsidRPr="00BC31E0" w:rsidRDefault="00F14FC9" w:rsidP="009A5191">
      <w:pPr>
        <w:widowControl/>
        <w:jc w:val="left"/>
      </w:pPr>
      <w:r w:rsidRPr="00BC31E0">
        <w:br w:type="page"/>
      </w:r>
    </w:p>
    <w:p w14:paraId="72E02B22" w14:textId="77777777" w:rsidR="00644B5F" w:rsidRPr="00BC31E0" w:rsidRDefault="00644B5F" w:rsidP="00644B5F">
      <w:pPr>
        <w:widowControl/>
        <w:jc w:val="center"/>
        <w:rPr>
          <w:rFonts w:asciiTheme="majorEastAsia" w:eastAsiaTheme="majorEastAsia" w:hAnsiTheme="majorEastAsia"/>
          <w:b/>
        </w:rPr>
      </w:pPr>
      <w:r w:rsidRPr="00BC31E0">
        <w:rPr>
          <w:rFonts w:asciiTheme="majorEastAsia" w:eastAsiaTheme="majorEastAsia" w:hAnsiTheme="majorEastAsia" w:hint="eastAsia"/>
          <w:b/>
        </w:rPr>
        <w:lastRenderedPageBreak/>
        <w:t>表7.4.12</w:t>
      </w:r>
      <w:r w:rsidRPr="00BC31E0">
        <w:rPr>
          <w:rFonts w:asciiTheme="majorEastAsia" w:eastAsiaTheme="majorEastAsia" w:hAnsiTheme="majorEastAsia"/>
          <w:b/>
        </w:rPr>
        <w:t xml:space="preserve">　溶接後熱処理</w:t>
      </w:r>
      <w:r w:rsidRPr="00BC31E0">
        <w:rPr>
          <w:rFonts w:asciiTheme="majorEastAsia" w:eastAsiaTheme="majorEastAsia" w:hAnsiTheme="majorEastAsia" w:hint="eastAsia"/>
          <w:b/>
        </w:rPr>
        <w:t>の温度及び時間</w:t>
      </w:r>
    </w:p>
    <w:p w14:paraId="1CE3B263" w14:textId="77777777" w:rsidR="00644B5F" w:rsidRPr="00BC31E0" w:rsidRDefault="00644B5F" w:rsidP="00644B5F">
      <w:pPr>
        <w:widowControl/>
        <w:spacing w:after="60"/>
        <w:jc w:val="center"/>
        <w:rPr>
          <w:rFonts w:asciiTheme="majorEastAsia" w:eastAsiaTheme="majorEastAsia" w:hAnsiTheme="majorEastAsia"/>
          <w:b/>
        </w:rPr>
      </w:pPr>
      <w:r w:rsidRPr="00BC31E0">
        <w:rPr>
          <w:rFonts w:asciiTheme="majorEastAsia" w:eastAsiaTheme="majorEastAsia" w:hAnsiTheme="majorEastAsia"/>
          <w:b/>
        </w:rPr>
        <w:t>(P</w:t>
      </w:r>
      <w:r w:rsidRPr="00BC31E0">
        <w:rPr>
          <w:rFonts w:asciiTheme="majorEastAsia" w:eastAsiaTheme="majorEastAsia" w:hAnsiTheme="majorEastAsia" w:hint="eastAsia"/>
          <w:b/>
        </w:rPr>
        <w:t>番号</w:t>
      </w:r>
      <w:r w:rsidRPr="00BC31E0">
        <w:rPr>
          <w:rFonts w:asciiTheme="majorEastAsia" w:eastAsiaTheme="majorEastAsia" w:hAnsiTheme="majorEastAsia"/>
          <w:b/>
        </w:rPr>
        <w:t>10</w:t>
      </w:r>
      <w:r w:rsidRPr="00BC31E0">
        <w:rPr>
          <w:rFonts w:asciiTheme="majorEastAsia" w:eastAsiaTheme="majorEastAsia" w:hAnsiTheme="majorEastAsia" w:hint="eastAsia"/>
          <w:b/>
        </w:rPr>
        <w:t>Cグループ番号</w:t>
      </w:r>
      <w:r w:rsidRPr="00BC31E0">
        <w:rPr>
          <w:rFonts w:asciiTheme="majorEastAsia" w:eastAsiaTheme="majorEastAsia" w:hAnsiTheme="majorEastAsia"/>
          <w:b/>
        </w:rPr>
        <w:t>1</w:t>
      </w:r>
      <w:r w:rsidRPr="00BC31E0">
        <w:rPr>
          <w:rFonts w:asciiTheme="majorEastAsia" w:eastAsiaTheme="majorEastAsia" w:hAnsiTheme="majorEastAsia" w:hint="eastAsia"/>
          <w:b/>
        </w:rPr>
        <w:t>の材料</w:t>
      </w:r>
      <w:r w:rsidRPr="00BC31E0">
        <w:rPr>
          <w:rFonts w:asciiTheme="majorEastAsia" w:eastAsiaTheme="majorEastAsia" w:hAnsiTheme="majorEastAsia"/>
          <w:b/>
        </w:rPr>
        <w:t>)</w:t>
      </w:r>
    </w:p>
    <w:tbl>
      <w:tblPr>
        <w:tblStyle w:val="100"/>
        <w:tblW w:w="0" w:type="auto"/>
        <w:tblInd w:w="108" w:type="dxa"/>
        <w:tblLook w:val="04A0" w:firstRow="1" w:lastRow="0" w:firstColumn="1" w:lastColumn="0" w:noHBand="0" w:noVBand="1"/>
      </w:tblPr>
      <w:tblGrid>
        <w:gridCol w:w="6946"/>
        <w:gridCol w:w="2126"/>
      </w:tblGrid>
      <w:tr w:rsidR="00644B5F" w:rsidRPr="00BC31E0" w14:paraId="390BF72A" w14:textId="77777777" w:rsidTr="004736F2">
        <w:tc>
          <w:tcPr>
            <w:tcW w:w="6946" w:type="dxa"/>
            <w:vAlign w:val="center"/>
          </w:tcPr>
          <w:p w14:paraId="663F3D54" w14:textId="77777777" w:rsidR="00644B5F" w:rsidRPr="00BC31E0" w:rsidRDefault="00644B5F" w:rsidP="00644B5F">
            <w:pPr>
              <w:jc w:val="center"/>
              <w:rPr>
                <w:rFonts w:asciiTheme="minorHAnsi" w:eastAsiaTheme="minorEastAsia" w:hAnsiTheme="minorHAnsi"/>
              </w:rPr>
            </w:pPr>
            <w:r w:rsidRPr="00BC31E0">
              <w:rPr>
                <w:rFonts w:asciiTheme="minorHAnsi" w:eastAsiaTheme="minorEastAsia" w:hAnsiTheme="minorEastAsia"/>
              </w:rPr>
              <w:t>要求事項</w:t>
            </w:r>
          </w:p>
        </w:tc>
        <w:tc>
          <w:tcPr>
            <w:tcW w:w="2126" w:type="dxa"/>
            <w:vAlign w:val="center"/>
          </w:tcPr>
          <w:p w14:paraId="2320B6A7" w14:textId="77777777" w:rsidR="00644B5F" w:rsidRPr="00BC31E0" w:rsidRDefault="00644B5F" w:rsidP="00644B5F">
            <w:pPr>
              <w:jc w:val="center"/>
              <w:rPr>
                <w:rFonts w:asciiTheme="minorHAnsi" w:eastAsiaTheme="minorEastAsia" w:hAnsiTheme="minorHAnsi"/>
              </w:rPr>
            </w:pPr>
            <w:r w:rsidRPr="00BC31E0">
              <w:rPr>
                <w:rFonts w:asciiTheme="minorHAnsi" w:eastAsiaTheme="minorEastAsia" w:hAnsiTheme="minorEastAsia"/>
              </w:rPr>
              <w:t>保持温度と保持時間</w:t>
            </w:r>
          </w:p>
        </w:tc>
      </w:tr>
      <w:tr w:rsidR="00644B5F" w:rsidRPr="00BC31E0" w14:paraId="7FA1686C" w14:textId="77777777" w:rsidTr="004736F2">
        <w:tc>
          <w:tcPr>
            <w:tcW w:w="6946" w:type="dxa"/>
          </w:tcPr>
          <w:p w14:paraId="1B15DF93" w14:textId="77777777" w:rsidR="00644B5F" w:rsidRPr="00BC31E0" w:rsidRDefault="00644B5F" w:rsidP="00736130">
            <w:pPr>
              <w:numPr>
                <w:ilvl w:val="0"/>
                <w:numId w:val="198"/>
              </w:numPr>
              <w:ind w:left="340" w:hanging="340"/>
              <w:rPr>
                <w:rFonts w:asciiTheme="minorHAnsi" w:eastAsiaTheme="minorEastAsia" w:hAnsiTheme="minorHAnsi"/>
              </w:rPr>
            </w:pPr>
            <w:r w:rsidRPr="00BC31E0">
              <w:rPr>
                <w:rFonts w:asciiTheme="minorHAnsi" w:eastAsiaTheme="minorEastAsia" w:hAnsiTheme="minorEastAsia"/>
              </w:rPr>
              <w:t>次の</w:t>
            </w:r>
            <w:r w:rsidRPr="00BC31E0">
              <w:rPr>
                <w:rFonts w:asciiTheme="majorEastAsia" w:eastAsiaTheme="majorEastAsia" w:hAnsiTheme="majorEastAsia"/>
                <w:b/>
              </w:rPr>
              <w:t>1)</w:t>
            </w:r>
            <w:r w:rsidRPr="00BC31E0">
              <w:rPr>
                <w:rFonts w:asciiTheme="minorHAnsi" w:eastAsiaTheme="minorEastAsia" w:hAnsiTheme="minorEastAsia"/>
              </w:rPr>
              <w:t>～</w:t>
            </w:r>
            <w:r w:rsidRPr="00BC31E0">
              <w:rPr>
                <w:rFonts w:asciiTheme="majorEastAsia" w:eastAsiaTheme="majorEastAsia" w:hAnsiTheme="majorEastAsia"/>
                <w:b/>
              </w:rPr>
              <w:t>3)</w:t>
            </w:r>
            <w:r w:rsidRPr="00BC31E0">
              <w:rPr>
                <w:rFonts w:asciiTheme="minorHAnsi" w:eastAsiaTheme="minorEastAsia" w:hAnsiTheme="minorEastAsia"/>
              </w:rPr>
              <w:t>の場合，溶接後熱処理</w:t>
            </w:r>
            <w:r w:rsidRPr="00BC31E0">
              <w:rPr>
                <w:rFonts w:asciiTheme="minorHAnsi" w:eastAsiaTheme="minorEastAsia" w:hAnsiTheme="minorEastAsia" w:hint="eastAsia"/>
              </w:rPr>
              <w:t>が必要である</w:t>
            </w:r>
            <w:r w:rsidRPr="00BC31E0">
              <w:rPr>
                <w:rFonts w:asciiTheme="minorHAnsi" w:eastAsiaTheme="minorEastAsia" w:hAnsiTheme="minorEastAsia"/>
              </w:rPr>
              <w:t>。</w:t>
            </w:r>
          </w:p>
          <w:p w14:paraId="312ED1A9" w14:textId="77777777" w:rsidR="00644B5F" w:rsidRPr="00BC31E0" w:rsidRDefault="00644B5F" w:rsidP="00736130">
            <w:pPr>
              <w:numPr>
                <w:ilvl w:val="0"/>
                <w:numId w:val="199"/>
              </w:numPr>
              <w:ind w:left="567" w:hanging="340"/>
              <w:rPr>
                <w:rFonts w:asciiTheme="minorHAnsi" w:eastAsiaTheme="minorEastAsia" w:hAnsiTheme="minorHAnsi"/>
              </w:rPr>
            </w:pPr>
            <w:r w:rsidRPr="00BC31E0">
              <w:rPr>
                <w:rFonts w:asciiTheme="minorHAnsi" w:eastAsiaTheme="minorEastAsia" w:hAnsiTheme="minorHAnsi" w:hint="eastAsia"/>
              </w:rPr>
              <w:t>公称厚さが</w:t>
            </w:r>
            <w:r w:rsidRPr="00BC31E0">
              <w:rPr>
                <w:rFonts w:ascii="Cambria Math" w:eastAsiaTheme="minorEastAsia" w:hAnsi="Cambria Math"/>
              </w:rPr>
              <w:t>38 mm</w:t>
            </w:r>
            <w:r w:rsidRPr="00BC31E0">
              <w:rPr>
                <w:rFonts w:asciiTheme="minorHAnsi" w:eastAsiaTheme="minorEastAsia" w:hAnsiTheme="minorHAnsi" w:hint="eastAsia"/>
              </w:rPr>
              <w:t>を超える溶接継手</w:t>
            </w:r>
          </w:p>
          <w:p w14:paraId="6C2E1044" w14:textId="77777777" w:rsidR="00644B5F" w:rsidRPr="00BC31E0" w:rsidRDefault="00644B5F" w:rsidP="00736130">
            <w:pPr>
              <w:numPr>
                <w:ilvl w:val="0"/>
                <w:numId w:val="199"/>
              </w:numPr>
              <w:ind w:left="567" w:hanging="340"/>
              <w:rPr>
                <w:rFonts w:asciiTheme="minorHAnsi" w:eastAsiaTheme="minorEastAsia" w:hAnsiTheme="minorHAnsi"/>
              </w:rPr>
            </w:pPr>
            <w:r w:rsidRPr="00BC31E0">
              <w:rPr>
                <w:rFonts w:ascii="Cambria Math" w:eastAsiaTheme="minorEastAsia" w:hAnsi="Cambria Math"/>
              </w:rPr>
              <w:t>95</w:t>
            </w:r>
            <w:r w:rsidRPr="00BC31E0">
              <w:rPr>
                <w:rFonts w:asciiTheme="minorHAnsi" w:hAnsiTheme="minorHAnsi"/>
              </w:rPr>
              <w:t>°C</w:t>
            </w:r>
            <w:r w:rsidRPr="00BC31E0">
              <w:rPr>
                <w:rFonts w:asciiTheme="minorHAnsi" w:eastAsiaTheme="minorEastAsia" w:hAnsiTheme="minorHAnsi" w:hint="eastAsia"/>
              </w:rPr>
              <w:t>以上で予熱をしない公称厚さが</w:t>
            </w:r>
            <w:r w:rsidRPr="00BC31E0">
              <w:rPr>
                <w:rFonts w:ascii="Cambria Math" w:eastAsiaTheme="minorEastAsia" w:hAnsi="Cambria Math"/>
              </w:rPr>
              <w:t>32 mm</w:t>
            </w:r>
            <w:r w:rsidRPr="00BC31E0">
              <w:rPr>
                <w:rFonts w:asciiTheme="minorHAnsi" w:eastAsiaTheme="minorEastAsia" w:hAnsiTheme="minorHAnsi" w:hint="eastAsia"/>
              </w:rPr>
              <w:t>～</w:t>
            </w:r>
            <w:r w:rsidRPr="00BC31E0">
              <w:rPr>
                <w:rFonts w:ascii="Cambria Math" w:eastAsiaTheme="minorEastAsia" w:hAnsi="Cambria Math"/>
              </w:rPr>
              <w:t>38 mm</w:t>
            </w:r>
            <w:r w:rsidRPr="00BC31E0">
              <w:rPr>
                <w:rFonts w:asciiTheme="minorHAnsi" w:eastAsiaTheme="minorEastAsia" w:hAnsiTheme="minorHAnsi" w:hint="eastAsia"/>
              </w:rPr>
              <w:t>の溶接継手</w:t>
            </w:r>
          </w:p>
          <w:p w14:paraId="3E32F2AB" w14:textId="77777777" w:rsidR="00644B5F" w:rsidRPr="00BC31E0" w:rsidRDefault="00644B5F" w:rsidP="00736130">
            <w:pPr>
              <w:numPr>
                <w:ilvl w:val="0"/>
                <w:numId w:val="199"/>
              </w:numPr>
              <w:ind w:left="567" w:hanging="340"/>
              <w:rPr>
                <w:rFonts w:asciiTheme="minorHAnsi" w:eastAsiaTheme="minorEastAsia" w:hAnsiTheme="minorHAnsi"/>
              </w:rPr>
            </w:pPr>
            <w:r w:rsidRPr="00BC31E0">
              <w:rPr>
                <w:rFonts w:asciiTheme="minorHAnsi" w:eastAsiaTheme="minorEastAsia" w:hAnsiTheme="minorHAnsi" w:hint="eastAsia"/>
              </w:rPr>
              <w:t>直火を受ける耐圧部材</w:t>
            </w:r>
          </w:p>
          <w:p w14:paraId="43946E9A" w14:textId="77777777" w:rsidR="00644B5F" w:rsidRPr="00BC31E0" w:rsidRDefault="00644B5F" w:rsidP="00736130">
            <w:pPr>
              <w:numPr>
                <w:ilvl w:val="0"/>
                <w:numId w:val="198"/>
              </w:numPr>
              <w:ind w:left="340" w:hanging="340"/>
              <w:rPr>
                <w:rFonts w:asciiTheme="minorHAnsi" w:eastAsiaTheme="minorEastAsia" w:hAnsiTheme="minorHAnsi"/>
              </w:rPr>
            </w:pPr>
            <w:r w:rsidRPr="00BC31E0">
              <w:rPr>
                <w:rFonts w:asciiTheme="minorHAnsi" w:eastAsiaTheme="minorEastAsia" w:hAnsiTheme="minorEastAsia"/>
              </w:rPr>
              <w:t>次の</w:t>
            </w:r>
            <w:r w:rsidRPr="00BC31E0">
              <w:rPr>
                <w:rFonts w:asciiTheme="majorEastAsia" w:eastAsiaTheme="majorEastAsia" w:hAnsiTheme="majorEastAsia"/>
                <w:b/>
              </w:rPr>
              <w:t>1)</w:t>
            </w:r>
            <w:r w:rsidRPr="00BC31E0">
              <w:rPr>
                <w:rFonts w:asciiTheme="minorHAnsi" w:eastAsiaTheme="minorEastAsia" w:hAnsiTheme="minorEastAsia"/>
              </w:rPr>
              <w:t>～</w:t>
            </w:r>
            <w:r w:rsidRPr="00BC31E0">
              <w:rPr>
                <w:rFonts w:asciiTheme="majorEastAsia" w:eastAsiaTheme="majorEastAsia" w:hAnsiTheme="majorEastAsia"/>
                <w:b/>
              </w:rPr>
              <w:t>4)</w:t>
            </w:r>
            <w:r w:rsidRPr="00BC31E0">
              <w:rPr>
                <w:rFonts w:asciiTheme="minorHAnsi" w:eastAsiaTheme="minorEastAsia" w:hAnsiTheme="minorEastAsia"/>
              </w:rPr>
              <w:t>の場合，溶接後熱処理の必要はない。</w:t>
            </w:r>
          </w:p>
          <w:p w14:paraId="3063D3AD" w14:textId="77777777" w:rsidR="00644B5F" w:rsidRPr="00BC31E0" w:rsidRDefault="00644B5F" w:rsidP="00736130">
            <w:pPr>
              <w:numPr>
                <w:ilvl w:val="0"/>
                <w:numId w:val="200"/>
              </w:numPr>
              <w:ind w:left="567" w:hanging="340"/>
              <w:rPr>
                <w:rFonts w:asciiTheme="minorHAnsi" w:eastAsiaTheme="minorEastAsia" w:hAnsiTheme="minorHAnsi"/>
              </w:rPr>
            </w:pPr>
            <w:r w:rsidRPr="00BC31E0">
              <w:rPr>
                <w:rFonts w:asciiTheme="minorHAnsi" w:eastAsiaTheme="minorEastAsia" w:hAnsiTheme="minorEastAsia"/>
              </w:rPr>
              <w:t>仕上げ内径が</w:t>
            </w:r>
            <w:r w:rsidRPr="00BC31E0">
              <w:rPr>
                <w:rFonts w:ascii="Cambria Math" w:eastAsiaTheme="minorEastAsia" w:hAnsi="Cambria Math"/>
              </w:rPr>
              <w:t>50 mm</w:t>
            </w:r>
            <w:r w:rsidRPr="00BC31E0">
              <w:rPr>
                <w:rFonts w:asciiTheme="minorHAnsi" w:eastAsiaTheme="minorEastAsia" w:hAnsiTheme="minorEastAsia"/>
              </w:rPr>
              <w:t>以下のノズルを</w:t>
            </w:r>
            <w:r w:rsidRPr="00BC31E0">
              <w:rPr>
                <w:rFonts w:asciiTheme="minorHAnsi" w:eastAsiaTheme="minorEastAsia" w:hAnsiTheme="minorEastAsia" w:hint="eastAsia"/>
              </w:rPr>
              <w:t>取付ける場合，</w:t>
            </w:r>
            <w:r w:rsidRPr="00BC31E0">
              <w:rPr>
                <w:rFonts w:asciiTheme="minorHAnsi" w:eastAsiaTheme="minorEastAsia" w:hAnsiTheme="minorHAnsi" w:hint="eastAsia"/>
              </w:rPr>
              <w:t>ノズルを取付けるために胴又は鏡板の厚さを増やす必要がなく，</w:t>
            </w:r>
            <w:r w:rsidRPr="00BC31E0">
              <w:rPr>
                <w:rFonts w:ascii="Cambria Math" w:eastAsiaTheme="minorEastAsia" w:hAnsi="Cambria Math"/>
              </w:rPr>
              <w:t>95</w:t>
            </w:r>
            <w:r w:rsidRPr="00BC31E0">
              <w:rPr>
                <w:rFonts w:asciiTheme="minorHAnsi" w:hAnsiTheme="minorHAnsi"/>
              </w:rPr>
              <w:t>°C</w:t>
            </w:r>
            <w:r w:rsidRPr="00BC31E0">
              <w:rPr>
                <w:rFonts w:asciiTheme="minorHAnsi" w:eastAsiaTheme="minorEastAsia" w:hAnsiTheme="minorHAnsi" w:hint="eastAsia"/>
              </w:rPr>
              <w:t>以上で予熱するならば，</w:t>
            </w:r>
            <w:r w:rsidRPr="00BC31E0">
              <w:rPr>
                <w:rFonts w:asciiTheme="minorHAnsi" w:eastAsiaTheme="minorEastAsia" w:hAnsiTheme="minorEastAsia" w:hint="eastAsia"/>
              </w:rPr>
              <w:t>溶接深さが</w:t>
            </w:r>
            <w:r w:rsidRPr="00BC31E0">
              <w:rPr>
                <w:rFonts w:ascii="Cambria Math" w:eastAsiaTheme="minorEastAsia" w:hAnsi="Cambria Math"/>
              </w:rPr>
              <w:t>13 mm</w:t>
            </w:r>
            <w:r w:rsidRPr="00BC31E0">
              <w:rPr>
                <w:rFonts w:asciiTheme="minorHAnsi" w:eastAsiaTheme="minorEastAsia" w:hAnsiTheme="minorEastAsia" w:hint="eastAsia"/>
              </w:rPr>
              <w:t>以下の開先溶接又は</w:t>
            </w:r>
            <w:r w:rsidRPr="00BC31E0">
              <w:rPr>
                <w:rFonts w:asciiTheme="minorHAnsi" w:eastAsiaTheme="minorEastAsia" w:hAnsiTheme="minorEastAsia"/>
              </w:rPr>
              <w:t>のど厚</w:t>
            </w:r>
            <w:r w:rsidRPr="00BC31E0">
              <w:rPr>
                <w:rFonts w:asciiTheme="minorHAnsi" w:eastAsiaTheme="minorEastAsia" w:hAnsiTheme="minorEastAsia" w:hint="eastAsia"/>
              </w:rPr>
              <w:t>が</w:t>
            </w:r>
            <w:r w:rsidRPr="00BC31E0">
              <w:rPr>
                <w:rFonts w:ascii="Cambria Math" w:eastAsiaTheme="minorEastAsia" w:hAnsi="Cambria Math"/>
              </w:rPr>
              <w:t>13 mm</w:t>
            </w:r>
            <w:r w:rsidRPr="00BC31E0">
              <w:rPr>
                <w:rFonts w:asciiTheme="minorHAnsi" w:eastAsiaTheme="minorEastAsia" w:hAnsiTheme="minorHAnsi" w:hint="eastAsia"/>
              </w:rPr>
              <w:t>以下の</w:t>
            </w:r>
            <w:r w:rsidRPr="00BC31E0">
              <w:rPr>
                <w:rFonts w:asciiTheme="minorHAnsi" w:eastAsiaTheme="minorEastAsia" w:hAnsiTheme="minorEastAsia"/>
              </w:rPr>
              <w:t>隅肉溶接</w:t>
            </w:r>
          </w:p>
          <w:p w14:paraId="00BC6380" w14:textId="77777777" w:rsidR="00644B5F" w:rsidRPr="00BC31E0" w:rsidRDefault="00644B5F" w:rsidP="00736130">
            <w:pPr>
              <w:numPr>
                <w:ilvl w:val="0"/>
                <w:numId w:val="200"/>
              </w:numPr>
              <w:ind w:left="567" w:hanging="340"/>
              <w:rPr>
                <w:rFonts w:asciiTheme="minorHAnsi" w:eastAsiaTheme="minorEastAsia" w:hAnsiTheme="minorHAnsi"/>
              </w:rPr>
            </w:pPr>
            <w:r w:rsidRPr="00BC31E0">
              <w:rPr>
                <w:rFonts w:asciiTheme="minorHAnsi" w:eastAsiaTheme="minorEastAsia" w:hAnsiTheme="minorEastAsia"/>
              </w:rPr>
              <w:t>耐圧部</w:t>
            </w:r>
            <w:r w:rsidRPr="00BC31E0">
              <w:rPr>
                <w:rFonts w:asciiTheme="minorHAnsi" w:eastAsiaTheme="minorEastAsia" w:hAnsiTheme="minorEastAsia" w:hint="eastAsia"/>
              </w:rPr>
              <w:t>材</w:t>
            </w:r>
            <w:r w:rsidRPr="00BC31E0">
              <w:rPr>
                <w:rFonts w:asciiTheme="minorHAnsi" w:eastAsiaTheme="minorEastAsia" w:hAnsiTheme="minorEastAsia"/>
              </w:rPr>
              <w:t>に非耐圧部</w:t>
            </w:r>
            <w:r w:rsidRPr="00BC31E0">
              <w:rPr>
                <w:rFonts w:asciiTheme="minorHAnsi" w:eastAsiaTheme="minorEastAsia" w:hAnsiTheme="minorEastAsia" w:hint="eastAsia"/>
              </w:rPr>
              <w:t>材</w:t>
            </w:r>
            <w:r w:rsidRPr="00BC31E0">
              <w:rPr>
                <w:rFonts w:asciiTheme="minorHAnsi" w:eastAsiaTheme="minorEastAsia" w:hAnsiTheme="minorEastAsia"/>
              </w:rPr>
              <w:t>を取付ける</w:t>
            </w:r>
            <w:r w:rsidRPr="00BC31E0">
              <w:rPr>
                <w:rFonts w:asciiTheme="minorHAnsi" w:eastAsiaTheme="minorEastAsia" w:hAnsiTheme="minorEastAsia" w:hint="eastAsia"/>
              </w:rPr>
              <w:t>場合，耐圧部材の厚さが</w:t>
            </w:r>
            <w:r w:rsidRPr="00BC31E0">
              <w:rPr>
                <w:rFonts w:ascii="Cambria Math" w:eastAsiaTheme="minorEastAsia" w:hAnsi="Cambria Math"/>
              </w:rPr>
              <w:t>32 mm</w:t>
            </w:r>
            <w:r w:rsidRPr="00BC31E0">
              <w:rPr>
                <w:rFonts w:asciiTheme="minorHAnsi" w:eastAsiaTheme="minorEastAsia" w:hAnsiTheme="minorEastAsia" w:hint="eastAsia"/>
              </w:rPr>
              <w:t>を超えるときに</w:t>
            </w:r>
            <w:r w:rsidRPr="00BC31E0">
              <w:rPr>
                <w:rFonts w:ascii="Cambria Math" w:eastAsiaTheme="minorEastAsia" w:hAnsi="Cambria Math"/>
              </w:rPr>
              <w:t>95</w:t>
            </w:r>
            <w:r w:rsidRPr="00BC31E0">
              <w:rPr>
                <w:rFonts w:asciiTheme="minorHAnsi" w:hAnsiTheme="minorHAnsi"/>
              </w:rPr>
              <w:t>°C</w:t>
            </w:r>
            <w:r w:rsidRPr="00BC31E0">
              <w:rPr>
                <w:rFonts w:asciiTheme="minorHAnsi" w:eastAsiaTheme="minorEastAsia" w:hAnsiTheme="minorEastAsia" w:hint="eastAsia"/>
              </w:rPr>
              <w:t>以上で予熱した溶接深さが</w:t>
            </w:r>
            <w:r w:rsidRPr="00BC31E0">
              <w:rPr>
                <w:rFonts w:ascii="Cambria Math" w:eastAsiaTheme="minorEastAsia" w:hAnsi="Cambria Math"/>
              </w:rPr>
              <w:t>13 mm</w:t>
            </w:r>
            <w:r w:rsidRPr="00BC31E0">
              <w:rPr>
                <w:rFonts w:asciiTheme="minorHAnsi" w:eastAsiaTheme="minorEastAsia" w:hAnsiTheme="minorEastAsia" w:hint="eastAsia"/>
              </w:rPr>
              <w:t>以下の開先溶接又は</w:t>
            </w:r>
            <w:r w:rsidRPr="00BC31E0">
              <w:rPr>
                <w:rFonts w:asciiTheme="minorHAnsi" w:eastAsiaTheme="minorEastAsia" w:hAnsiTheme="minorEastAsia"/>
              </w:rPr>
              <w:t>のど厚が</w:t>
            </w:r>
            <w:r w:rsidRPr="00BC31E0">
              <w:rPr>
                <w:rFonts w:ascii="Cambria Math" w:eastAsiaTheme="minorEastAsia" w:hAnsi="Cambria Math"/>
              </w:rPr>
              <w:t>13 mm</w:t>
            </w:r>
            <w:r w:rsidRPr="00BC31E0">
              <w:rPr>
                <w:rFonts w:asciiTheme="minorHAnsi" w:eastAsiaTheme="minorEastAsia" w:hAnsiTheme="minorEastAsia"/>
              </w:rPr>
              <w:t>以下の隅肉溶接</w:t>
            </w:r>
          </w:p>
          <w:p w14:paraId="5641DC32" w14:textId="77777777" w:rsidR="00644B5F" w:rsidRPr="00BC31E0" w:rsidRDefault="00644B5F" w:rsidP="00736130">
            <w:pPr>
              <w:numPr>
                <w:ilvl w:val="0"/>
                <w:numId w:val="200"/>
              </w:numPr>
              <w:ind w:left="567" w:hanging="340"/>
              <w:rPr>
                <w:rFonts w:asciiTheme="minorHAnsi" w:eastAsiaTheme="minorEastAsia" w:hAnsiTheme="minorHAnsi"/>
              </w:rPr>
            </w:pPr>
            <w:r w:rsidRPr="00BC31E0">
              <w:rPr>
                <w:rFonts w:asciiTheme="minorHAnsi" w:eastAsiaTheme="minorEastAsia" w:hAnsiTheme="minorHAnsi" w:hint="eastAsia"/>
              </w:rPr>
              <w:t>耐圧部材の厚さが</w:t>
            </w:r>
            <w:r w:rsidRPr="00BC31E0">
              <w:rPr>
                <w:rFonts w:ascii="Cambria Math" w:eastAsiaTheme="minorEastAsia" w:hAnsi="Cambria Math"/>
              </w:rPr>
              <w:t>32 mm</w:t>
            </w:r>
            <w:r w:rsidRPr="00BC31E0">
              <w:rPr>
                <w:rFonts w:asciiTheme="minorHAnsi" w:eastAsiaTheme="minorEastAsia" w:hAnsiTheme="minorHAnsi" w:hint="eastAsia"/>
              </w:rPr>
              <w:t>を超えるときに</w:t>
            </w:r>
            <w:r w:rsidRPr="00BC31E0">
              <w:rPr>
                <w:rFonts w:ascii="Cambria Math" w:eastAsiaTheme="minorEastAsia" w:hAnsi="Cambria Math"/>
              </w:rPr>
              <w:t>95</w:t>
            </w:r>
            <w:r w:rsidRPr="00BC31E0">
              <w:rPr>
                <w:rFonts w:asciiTheme="minorHAnsi" w:hAnsiTheme="minorHAnsi"/>
              </w:rPr>
              <w:t>°C</w:t>
            </w:r>
            <w:r w:rsidRPr="00BC31E0">
              <w:rPr>
                <w:rFonts w:asciiTheme="minorHAnsi" w:eastAsiaTheme="minorEastAsia" w:hAnsiTheme="minorHAnsi" w:hint="eastAsia"/>
              </w:rPr>
              <w:t>以上で予熱した</w:t>
            </w:r>
            <w:r w:rsidRPr="00BC31E0">
              <w:rPr>
                <w:rFonts w:asciiTheme="minorHAnsi" w:eastAsiaTheme="minorEastAsia" w:hAnsiTheme="minorEastAsia"/>
              </w:rPr>
              <w:t>耐圧部</w:t>
            </w:r>
            <w:r w:rsidRPr="00BC31E0">
              <w:rPr>
                <w:rFonts w:asciiTheme="minorHAnsi" w:eastAsiaTheme="minorEastAsia" w:hAnsiTheme="minorEastAsia" w:hint="eastAsia"/>
              </w:rPr>
              <w:t>材の</w:t>
            </w:r>
            <w:r w:rsidRPr="00BC31E0">
              <w:rPr>
                <w:rFonts w:asciiTheme="minorHAnsi" w:eastAsiaTheme="minorEastAsia" w:hAnsiTheme="minorEastAsia"/>
              </w:rPr>
              <w:t>スタッド</w:t>
            </w:r>
            <w:r w:rsidRPr="00BC31E0">
              <w:rPr>
                <w:rFonts w:asciiTheme="minorHAnsi" w:eastAsiaTheme="minorEastAsia" w:hAnsiTheme="minorEastAsia" w:hint="eastAsia"/>
              </w:rPr>
              <w:t>溶接</w:t>
            </w:r>
          </w:p>
          <w:p w14:paraId="37A95AEF" w14:textId="77777777" w:rsidR="00644B5F" w:rsidRPr="00BC31E0" w:rsidRDefault="00644B5F" w:rsidP="00736130">
            <w:pPr>
              <w:numPr>
                <w:ilvl w:val="0"/>
                <w:numId w:val="200"/>
              </w:numPr>
              <w:ind w:left="567" w:hanging="340"/>
              <w:rPr>
                <w:rFonts w:asciiTheme="minorHAnsi" w:eastAsiaTheme="minorEastAsia" w:hAnsiTheme="minorHAnsi"/>
              </w:rPr>
            </w:pPr>
            <w:r w:rsidRPr="00BC31E0">
              <w:rPr>
                <w:rFonts w:asciiTheme="minorHAnsi" w:eastAsiaTheme="minorEastAsia" w:hAnsiTheme="minorHAnsi" w:hint="eastAsia"/>
              </w:rPr>
              <w:t>耐圧部材の厚さが</w:t>
            </w:r>
            <w:r w:rsidRPr="00BC31E0">
              <w:rPr>
                <w:rFonts w:ascii="Cambria Math" w:eastAsiaTheme="minorEastAsia" w:hAnsi="Cambria Math"/>
              </w:rPr>
              <w:t>13 mm</w:t>
            </w:r>
            <w:r w:rsidRPr="00BC31E0">
              <w:rPr>
                <w:rFonts w:asciiTheme="minorHAnsi" w:eastAsiaTheme="minorEastAsia" w:hAnsiTheme="minorHAnsi" w:hint="eastAsia"/>
              </w:rPr>
              <w:t>超える場合，</w:t>
            </w:r>
            <w:r w:rsidRPr="00BC31E0">
              <w:rPr>
                <w:rFonts w:asciiTheme="minorHAnsi" w:eastAsiaTheme="minorEastAsia" w:hAnsiTheme="minorEastAsia"/>
              </w:rPr>
              <w:t>初層の溶接で</w:t>
            </w:r>
            <w:r w:rsidRPr="00BC31E0">
              <w:rPr>
                <w:rFonts w:ascii="Cambria Math" w:eastAsiaTheme="minorEastAsia" w:hAnsi="Cambria Math"/>
              </w:rPr>
              <w:t>95</w:t>
            </w:r>
            <w:r w:rsidRPr="00BC31E0">
              <w:rPr>
                <w:rFonts w:asciiTheme="minorHAnsi" w:hAnsiTheme="minorHAnsi"/>
              </w:rPr>
              <w:t>°C</w:t>
            </w:r>
            <w:r w:rsidRPr="00BC31E0">
              <w:rPr>
                <w:rFonts w:asciiTheme="minorHAnsi" w:eastAsiaTheme="minorEastAsia" w:hAnsiTheme="minorEastAsia" w:hint="eastAsia"/>
              </w:rPr>
              <w:t>以上の</w:t>
            </w:r>
            <w:r w:rsidRPr="00BC31E0">
              <w:rPr>
                <w:rFonts w:asciiTheme="minorHAnsi" w:eastAsiaTheme="minorEastAsia" w:hAnsiTheme="minorEastAsia"/>
              </w:rPr>
              <w:t>予熱温度が</w:t>
            </w:r>
            <w:r w:rsidRPr="00BC31E0">
              <w:rPr>
                <w:rFonts w:asciiTheme="minorHAnsi" w:eastAsiaTheme="minorEastAsia" w:hAnsiTheme="minorEastAsia" w:hint="eastAsia"/>
              </w:rPr>
              <w:t>保持</w:t>
            </w:r>
            <w:r w:rsidRPr="00BC31E0">
              <w:rPr>
                <w:rFonts w:asciiTheme="minorHAnsi" w:eastAsiaTheme="minorEastAsia" w:hAnsiTheme="minorEastAsia"/>
              </w:rPr>
              <w:t>される耐食</w:t>
            </w:r>
            <w:r w:rsidRPr="00BC31E0">
              <w:rPr>
                <w:rFonts w:asciiTheme="minorHAnsi" w:eastAsiaTheme="minorEastAsia" w:hAnsiTheme="minorEastAsia" w:hint="eastAsia"/>
              </w:rPr>
              <w:t>肉盛</w:t>
            </w:r>
            <w:r w:rsidRPr="00BC31E0">
              <w:rPr>
                <w:rFonts w:asciiTheme="minorHAnsi" w:eastAsiaTheme="minorEastAsia" w:hAnsiTheme="minorEastAsia"/>
              </w:rPr>
              <w:t>溶接又は耐食ライニング溶接</w:t>
            </w:r>
          </w:p>
          <w:p w14:paraId="77124FEC" w14:textId="77777777" w:rsidR="00644B5F" w:rsidRPr="00BC31E0" w:rsidRDefault="00644B5F" w:rsidP="00736130">
            <w:pPr>
              <w:numPr>
                <w:ilvl w:val="0"/>
                <w:numId w:val="198"/>
              </w:numPr>
              <w:ind w:left="340" w:hanging="340"/>
              <w:rPr>
                <w:rFonts w:asciiTheme="minorHAnsi" w:eastAsiaTheme="minorEastAsia" w:hAnsiTheme="minorHAnsi"/>
              </w:rPr>
            </w:pPr>
            <w:r w:rsidRPr="00BC31E0">
              <w:rPr>
                <w:rFonts w:ascii="Cambria Math" w:eastAsiaTheme="minorEastAsia" w:hAnsi="Cambria Math"/>
              </w:rPr>
              <w:t>425</w:t>
            </w:r>
            <w:r w:rsidRPr="00BC31E0">
              <w:rPr>
                <w:rFonts w:asciiTheme="minorHAnsi" w:hAnsiTheme="minorHAnsi"/>
              </w:rPr>
              <w:t>°C</w:t>
            </w:r>
            <w:r w:rsidRPr="00BC31E0">
              <w:rPr>
                <w:rFonts w:asciiTheme="minorHAnsi" w:eastAsiaTheme="minorEastAsia" w:hAnsiTheme="minorEastAsia" w:hint="eastAsia"/>
              </w:rPr>
              <w:t>～</w:t>
            </w:r>
            <w:r w:rsidRPr="00BC31E0">
              <w:rPr>
                <w:rFonts w:asciiTheme="minorHAnsi" w:eastAsiaTheme="minorEastAsia" w:hAnsiTheme="minorEastAsia"/>
              </w:rPr>
              <w:t>保持温度</w:t>
            </w:r>
            <w:r w:rsidRPr="00BC31E0">
              <w:rPr>
                <w:rFonts w:asciiTheme="minorHAnsi" w:eastAsiaTheme="minorEastAsia" w:hAnsiTheme="minorEastAsia" w:hint="eastAsia"/>
              </w:rPr>
              <w:t>間</w:t>
            </w:r>
            <w:r w:rsidRPr="00BC31E0">
              <w:rPr>
                <w:rFonts w:asciiTheme="minorHAnsi" w:eastAsiaTheme="minorEastAsia" w:hAnsiTheme="minorEastAsia"/>
              </w:rPr>
              <w:t>の加熱速度が</w:t>
            </w:r>
            <w:r w:rsidRPr="00BC31E0">
              <w:rPr>
                <w:rFonts w:ascii="Cambria Math" w:eastAsiaTheme="minorEastAsia" w:hAnsi="Cambria Math"/>
              </w:rPr>
              <w:t>30</w:t>
            </w:r>
            <w:r w:rsidRPr="00BC31E0">
              <w:rPr>
                <w:rFonts w:asciiTheme="minorHAnsi" w:hAnsiTheme="minorHAnsi"/>
              </w:rPr>
              <w:t>°C</w:t>
            </w:r>
            <w:r w:rsidRPr="00BC31E0">
              <w:rPr>
                <w:rFonts w:ascii="Cambria Math" w:eastAsiaTheme="minorEastAsia" w:hAnsi="Cambria Math"/>
              </w:rPr>
              <w:t>/h</w:t>
            </w:r>
            <w:r w:rsidRPr="00BC31E0">
              <w:rPr>
                <w:rFonts w:asciiTheme="minorHAnsi" w:eastAsiaTheme="minorEastAsia" w:hAnsiTheme="minorHAnsi" w:hint="eastAsia"/>
              </w:rPr>
              <w:t>以下の場合</w:t>
            </w:r>
            <w:r w:rsidRPr="00BC31E0">
              <w:rPr>
                <w:rFonts w:asciiTheme="minorHAnsi" w:eastAsiaTheme="minorEastAsia" w:hAnsiTheme="minorEastAsia"/>
              </w:rPr>
              <w:t>，</w:t>
            </w:r>
            <w:r w:rsidRPr="00BC31E0">
              <w:rPr>
                <w:rFonts w:asciiTheme="minorHAnsi" w:eastAsiaTheme="minorEastAsia" w:hAnsiTheme="minorEastAsia" w:hint="eastAsia"/>
              </w:rPr>
              <w:t>保持時間に</w:t>
            </w:r>
            <m:oMath>
              <m:f>
                <m:fPr>
                  <m:type m:val="lin"/>
                  <m:ctrlPr>
                    <w:rPr>
                      <w:rFonts w:ascii="Cambria Math" w:eastAsiaTheme="minorEastAsia" w:hAnsi="Cambria Math"/>
                      <w:i/>
                    </w:rPr>
                  </m:ctrlPr>
                </m:fPr>
                <m:num>
                  <m:r>
                    <w:rPr>
                      <w:rFonts w:ascii="Cambria Math" w:eastAsiaTheme="minorEastAsia" w:hAnsi="Cambria Math"/>
                    </w:rPr>
                    <m:t xml:space="preserve"> </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hint="eastAsia"/>
                            </w:rPr>
                            <m:t>t</m:t>
                          </m:r>
                        </m:e>
                        <m:sub>
                          <m:r>
                            <w:rPr>
                              <w:rFonts w:ascii="Cambria Math" w:eastAsiaTheme="minorEastAsia" w:hAnsi="Cambria Math"/>
                            </w:rPr>
                            <m:t xml:space="preserve">n </m:t>
                          </m:r>
                        </m:sub>
                      </m:sSub>
                      <m:r>
                        <w:rPr>
                          <w:rFonts w:ascii="Cambria Math" w:eastAsiaTheme="minorEastAsia" w:hAnsi="Cambria Math"/>
                        </w:rPr>
                        <m:t>-25</m:t>
                      </m:r>
                    </m:e>
                  </m:d>
                </m:num>
                <m:den>
                  <m:r>
                    <w:rPr>
                      <w:rFonts w:ascii="Cambria Math" w:eastAsiaTheme="minorEastAsia" w:hAnsi="Cambria Math"/>
                    </w:rPr>
                    <m:t xml:space="preserve">100 </m:t>
                  </m:r>
                  <m:r>
                    <m:rPr>
                      <m:sty m:val="p"/>
                    </m:rPr>
                    <w:rPr>
                      <w:rFonts w:ascii="Cambria Math" w:eastAsiaTheme="minorEastAsia" w:hAnsi="Cambria Math"/>
                    </w:rPr>
                    <m:t>h</m:t>
                  </m:r>
                  <m:r>
                    <w:rPr>
                      <w:rFonts w:ascii="Cambria Math" w:eastAsiaTheme="minorEastAsia" w:hAnsi="Cambria Math"/>
                    </w:rPr>
                    <m:t xml:space="preserve"> </m:t>
                  </m:r>
                </m:den>
              </m:f>
            </m:oMath>
            <w:r w:rsidRPr="00BC31E0">
              <w:rPr>
                <w:rFonts w:asciiTheme="minorHAnsi" w:eastAsiaTheme="minorEastAsia" w:hAnsiTheme="minorEastAsia" w:hint="eastAsia"/>
              </w:rPr>
              <w:t>を加算する必要はない</w:t>
            </w:r>
            <w:r w:rsidRPr="00BC31E0">
              <w:rPr>
                <w:rFonts w:asciiTheme="minorHAnsi" w:eastAsiaTheme="minorEastAsia" w:hAnsiTheme="minorEastAsia"/>
              </w:rPr>
              <w:t>。更に，製作者が全厚さにわたって最低温度を</w:t>
            </w:r>
            <w:r w:rsidRPr="00BC31E0">
              <w:rPr>
                <w:rFonts w:asciiTheme="minorHAnsi" w:eastAsiaTheme="minorEastAsia" w:hAnsiTheme="minorEastAsia" w:hint="eastAsia"/>
              </w:rPr>
              <w:t>保持</w:t>
            </w:r>
            <w:r w:rsidRPr="00BC31E0">
              <w:rPr>
                <w:rFonts w:asciiTheme="minorHAnsi" w:eastAsiaTheme="minorEastAsia" w:hAnsiTheme="minorEastAsia"/>
              </w:rPr>
              <w:t>できること</w:t>
            </w:r>
            <w:r w:rsidRPr="00BC31E0">
              <w:rPr>
                <w:rFonts w:asciiTheme="minorHAnsi" w:eastAsiaTheme="minorEastAsia" w:hAnsiTheme="minorEastAsia" w:hint="eastAsia"/>
              </w:rPr>
              <w:t>を</w:t>
            </w:r>
            <w:r w:rsidRPr="00BC31E0">
              <w:rPr>
                <w:rFonts w:asciiTheme="minorHAnsi" w:eastAsiaTheme="minorEastAsia" w:hAnsiTheme="minorEastAsia"/>
              </w:rPr>
              <w:t>示すことができれば，</w:t>
            </w:r>
            <w:r w:rsidRPr="00BC31E0">
              <w:rPr>
                <w:rFonts w:asciiTheme="minorHAnsi" w:eastAsiaTheme="minorEastAsia" w:hAnsiTheme="minorEastAsia" w:hint="eastAsia"/>
              </w:rPr>
              <w:t>保持時間に</w:t>
            </w:r>
            <m:oMath>
              <m:f>
                <m:fPr>
                  <m:type m:val="lin"/>
                  <m:ctrlPr>
                    <w:rPr>
                      <w:rFonts w:ascii="Cambria Math" w:eastAsiaTheme="minorEastAsia" w:hAnsi="Cambria Math"/>
                      <w:i/>
                    </w:rPr>
                  </m:ctrlPr>
                </m:fPr>
                <m:num>
                  <m:r>
                    <w:rPr>
                      <w:rFonts w:ascii="Cambria Math" w:eastAsiaTheme="minorEastAsia" w:hAnsi="Cambria Math"/>
                    </w:rPr>
                    <m:t xml:space="preserve"> </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hint="eastAsia"/>
                            </w:rPr>
                            <m:t>t</m:t>
                          </m:r>
                        </m:e>
                        <m:sub>
                          <m:r>
                            <w:rPr>
                              <w:rFonts w:ascii="Cambria Math" w:eastAsiaTheme="minorEastAsia" w:hAnsi="Cambria Math"/>
                            </w:rPr>
                            <m:t xml:space="preserve">n </m:t>
                          </m:r>
                        </m:sub>
                      </m:sSub>
                      <m:r>
                        <w:rPr>
                          <w:rFonts w:ascii="Cambria Math" w:eastAsiaTheme="minorEastAsia" w:hAnsi="Cambria Math"/>
                        </w:rPr>
                        <m:t>-25</m:t>
                      </m:r>
                    </m:e>
                  </m:d>
                </m:num>
                <m:den>
                  <m:r>
                    <w:rPr>
                      <w:rFonts w:ascii="Cambria Math" w:eastAsiaTheme="minorEastAsia" w:hAnsi="Cambria Math"/>
                    </w:rPr>
                    <m:t xml:space="preserve">100 </m:t>
                  </m:r>
                  <m:r>
                    <m:rPr>
                      <m:sty m:val="p"/>
                    </m:rPr>
                    <w:rPr>
                      <w:rFonts w:ascii="Cambria Math" w:eastAsiaTheme="minorEastAsia" w:hAnsi="Cambria Math"/>
                    </w:rPr>
                    <m:t>h</m:t>
                  </m:r>
                  <m:r>
                    <w:rPr>
                      <w:rFonts w:ascii="Cambria Math" w:eastAsiaTheme="minorEastAsia" w:hAnsi="Cambria Math"/>
                    </w:rPr>
                    <m:t xml:space="preserve"> </m:t>
                  </m:r>
                </m:den>
              </m:f>
            </m:oMath>
            <w:r w:rsidRPr="00BC31E0">
              <w:rPr>
                <w:rFonts w:asciiTheme="minorHAnsi" w:eastAsiaTheme="minorEastAsia" w:hAnsiTheme="minorEastAsia" w:hint="eastAsia"/>
              </w:rPr>
              <w:t>を加算する必要はない</w:t>
            </w:r>
            <w:r w:rsidRPr="00BC31E0">
              <w:rPr>
                <w:rFonts w:asciiTheme="minorHAnsi" w:eastAsiaTheme="minorEastAsia" w:hAnsiTheme="minorEastAsia"/>
              </w:rPr>
              <w:t>。</w:t>
            </w:r>
          </w:p>
          <w:p w14:paraId="14910D6B" w14:textId="77777777" w:rsidR="00644B5F" w:rsidRPr="00BC31E0" w:rsidRDefault="00644B5F" w:rsidP="00414390">
            <w:pPr>
              <w:numPr>
                <w:ilvl w:val="0"/>
                <w:numId w:val="198"/>
              </w:numPr>
              <w:ind w:left="340" w:hanging="340"/>
              <w:rPr>
                <w:rFonts w:asciiTheme="minorHAnsi" w:eastAsiaTheme="minorEastAsia" w:hAnsiTheme="minorHAnsi"/>
              </w:rPr>
            </w:pPr>
            <w:r w:rsidRPr="00BC31E0">
              <w:rPr>
                <w:rFonts w:asciiTheme="minorHAnsi" w:eastAsiaTheme="minorEastAsia" w:hAnsiTheme="minorEastAsia"/>
              </w:rPr>
              <w:t>規定</w:t>
            </w:r>
            <w:r w:rsidRPr="00BC31E0">
              <w:rPr>
                <w:rFonts w:asciiTheme="minorHAnsi" w:eastAsiaTheme="minorEastAsia" w:hAnsiTheme="minorEastAsia" w:hint="eastAsia"/>
              </w:rPr>
              <w:t>の保持</w:t>
            </w:r>
            <w:r w:rsidRPr="00BC31E0">
              <w:rPr>
                <w:rFonts w:asciiTheme="minorHAnsi" w:eastAsiaTheme="minorEastAsia" w:hAnsiTheme="minorEastAsia"/>
              </w:rPr>
              <w:t>温度で溶接後熱処理</w:t>
            </w:r>
            <w:r w:rsidRPr="00BC31E0">
              <w:rPr>
                <w:rFonts w:asciiTheme="minorHAnsi" w:eastAsiaTheme="minorEastAsia" w:hAnsiTheme="minorEastAsia" w:hint="eastAsia"/>
              </w:rPr>
              <w:t>が</w:t>
            </w:r>
            <w:r w:rsidRPr="00BC31E0">
              <w:rPr>
                <w:rFonts w:asciiTheme="minorHAnsi" w:eastAsiaTheme="minorEastAsia" w:hAnsiTheme="minorEastAsia"/>
              </w:rPr>
              <w:t>できない場合には，より低い</w:t>
            </w:r>
            <w:r w:rsidRPr="00BC31E0">
              <w:rPr>
                <w:rFonts w:asciiTheme="minorHAnsi" w:eastAsiaTheme="minorEastAsia" w:hAnsiTheme="minorEastAsia" w:hint="eastAsia"/>
              </w:rPr>
              <w:t>保持</w:t>
            </w:r>
            <w:r w:rsidRPr="00BC31E0">
              <w:rPr>
                <w:rFonts w:asciiTheme="minorHAnsi" w:eastAsiaTheme="minorEastAsia" w:hAnsiTheme="minorEastAsia"/>
              </w:rPr>
              <w:t>温度</w:t>
            </w:r>
            <w:r w:rsidRPr="00BC31E0">
              <w:rPr>
                <w:rFonts w:asciiTheme="minorHAnsi" w:eastAsiaTheme="minorEastAsia" w:hAnsiTheme="minorEastAsia" w:hint="eastAsia"/>
              </w:rPr>
              <w:t>で，</w:t>
            </w:r>
            <w:r w:rsidRPr="00BC31E0">
              <w:rPr>
                <w:rFonts w:asciiTheme="majorEastAsia" w:eastAsiaTheme="majorEastAsia" w:hAnsiTheme="majorEastAsia" w:hint="eastAsia"/>
                <w:b/>
              </w:rPr>
              <w:t>表7.4.18</w:t>
            </w:r>
            <w:r w:rsidRPr="00BC31E0">
              <w:rPr>
                <w:rFonts w:asciiTheme="minorHAnsi" w:eastAsiaTheme="minorEastAsia" w:hAnsiTheme="minorEastAsia"/>
              </w:rPr>
              <w:t>に</w:t>
            </w:r>
            <w:r w:rsidRPr="00BC31E0">
              <w:rPr>
                <w:rFonts w:asciiTheme="minorHAnsi" w:eastAsiaTheme="minorEastAsia" w:hAnsiTheme="minorEastAsia" w:hint="eastAsia"/>
              </w:rPr>
              <w:t>示す</w:t>
            </w:r>
            <w:r w:rsidRPr="00BC31E0">
              <w:rPr>
                <w:rFonts w:asciiTheme="minorHAnsi" w:eastAsiaTheme="minorEastAsia" w:hAnsiTheme="minorEastAsia"/>
              </w:rPr>
              <w:t>保持時間</w:t>
            </w:r>
            <w:r w:rsidRPr="00BC31E0">
              <w:rPr>
                <w:rFonts w:asciiTheme="minorHAnsi" w:eastAsiaTheme="minorEastAsia" w:hAnsiTheme="minorEastAsia" w:hint="eastAsia"/>
              </w:rPr>
              <w:t>で溶接後熱処理を</w:t>
            </w:r>
            <w:r w:rsidR="00414390" w:rsidRPr="00BC31E0">
              <w:rPr>
                <w:rFonts w:asciiTheme="minorHAnsi" w:eastAsiaTheme="minorEastAsia" w:hAnsiTheme="minorEastAsia" w:hint="eastAsia"/>
              </w:rPr>
              <w:t>行ってもよい</w:t>
            </w:r>
            <w:r w:rsidRPr="00BC31E0">
              <w:rPr>
                <w:rFonts w:asciiTheme="minorHAnsi" w:eastAsiaTheme="minorEastAsia" w:hAnsiTheme="minorEastAsia"/>
              </w:rPr>
              <w:t>。</w:t>
            </w:r>
            <w:r w:rsidRPr="00BC31E0">
              <w:rPr>
                <w:rFonts w:asciiTheme="minorHAnsi" w:eastAsiaTheme="minorEastAsia" w:hAnsiTheme="minorEastAsia" w:hint="eastAsia"/>
              </w:rPr>
              <w:t>保持温度を低減する</w:t>
            </w:r>
            <w:r w:rsidRPr="00BC31E0">
              <w:rPr>
                <w:rFonts w:asciiTheme="minorHAnsi" w:eastAsiaTheme="minorEastAsia" w:hAnsiTheme="minorEastAsia"/>
              </w:rPr>
              <w:t>場合には，</w:t>
            </w:r>
            <w:r w:rsidRPr="00BC31E0">
              <w:rPr>
                <w:rFonts w:asciiTheme="majorEastAsia" w:eastAsiaTheme="majorEastAsia" w:hAnsiTheme="majorEastAsia" w:hint="eastAsia"/>
                <w:b/>
              </w:rPr>
              <w:t>10.2</w:t>
            </w:r>
            <w:r w:rsidRPr="00BC31E0">
              <w:rPr>
                <w:rFonts w:asciiTheme="minorHAnsi" w:eastAsiaTheme="minorEastAsia" w:hAnsiTheme="minorEastAsia"/>
              </w:rPr>
              <w:t>で要求される</w:t>
            </w:r>
            <w:r w:rsidRPr="00BC31E0">
              <w:rPr>
                <w:rFonts w:asciiTheme="minorHAnsi" w:eastAsiaTheme="minorEastAsia" w:hAnsiTheme="minorEastAsia" w:hint="eastAsia"/>
              </w:rPr>
              <w:t>製作用</w:t>
            </w:r>
            <w:r w:rsidRPr="00BC31E0">
              <w:rPr>
                <w:rFonts w:asciiTheme="minorHAnsi" w:eastAsiaTheme="minorEastAsia" w:hAnsiTheme="minorEastAsia"/>
              </w:rPr>
              <w:t>試験板</w:t>
            </w:r>
            <w:r w:rsidRPr="00BC31E0">
              <w:rPr>
                <w:rFonts w:asciiTheme="minorHAnsi" w:eastAsiaTheme="minorEastAsia" w:hAnsiTheme="minorEastAsia" w:hint="eastAsia"/>
              </w:rPr>
              <w:t>も</w:t>
            </w:r>
            <w:r w:rsidRPr="00BC31E0">
              <w:rPr>
                <w:rFonts w:asciiTheme="minorHAnsi" w:eastAsiaTheme="minorEastAsia" w:hAnsiTheme="minorEastAsia"/>
              </w:rPr>
              <w:t>同じ熱処理にしなければならない。</w:t>
            </w:r>
          </w:p>
        </w:tc>
        <w:tc>
          <w:tcPr>
            <w:tcW w:w="2126" w:type="dxa"/>
          </w:tcPr>
          <w:p w14:paraId="1BBC7EF1" w14:textId="77777777" w:rsidR="00644B5F" w:rsidRPr="00BC31E0" w:rsidRDefault="00644B5F" w:rsidP="00644B5F">
            <w:pPr>
              <w:ind w:left="170"/>
              <w:rPr>
                <w:rFonts w:ascii="Cambria Math" w:eastAsiaTheme="minorEastAsia" w:hAnsi="Cambria Math"/>
              </w:rPr>
            </w:pPr>
            <w:r w:rsidRPr="00BC31E0">
              <w:rPr>
                <w:rFonts w:ascii="Cambria Math" w:eastAsiaTheme="minorEastAsia" w:hAnsi="Cambria Math"/>
              </w:rPr>
              <w:t>540</w:t>
            </w:r>
            <w:r w:rsidRPr="00BC31E0">
              <w:rPr>
                <w:rFonts w:asciiTheme="minorHAnsi" w:hAnsiTheme="minorHAnsi"/>
              </w:rPr>
              <w:t>°C</w:t>
            </w:r>
          </w:p>
          <w:tbl>
            <w:tblPr>
              <w:tblStyle w:val="100"/>
              <w:tblW w:w="0" w:type="auto"/>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35"/>
            </w:tblGrid>
            <w:tr w:rsidR="00644B5F" w:rsidRPr="00BC31E0" w14:paraId="2D0B56C2" w14:textId="77777777" w:rsidTr="004736F2">
              <w:tc>
                <w:tcPr>
                  <w:tcW w:w="0" w:type="auto"/>
                  <w:vAlign w:val="center"/>
                </w:tcPr>
                <w:p w14:paraId="295E9874" w14:textId="77777777" w:rsidR="00644B5F" w:rsidRPr="00BC31E0" w:rsidRDefault="00644B5F" w:rsidP="00644B5F">
                  <w:pPr>
                    <w:rPr>
                      <w:rFonts w:ascii="Cambria Math" w:eastAsiaTheme="minorEastAsia" w:hAnsi="Cambria Math"/>
                      <w:i/>
                    </w:rPr>
                  </w:pPr>
                  <m:oMathPara>
                    <m:oMathParaPr>
                      <m:jc m:val="left"/>
                    </m:oMathParaPr>
                    <m:oMath>
                      <m:r>
                        <w:rPr>
                          <w:rFonts w:ascii="Cambria Math" w:eastAsiaTheme="minorEastAsia" w:hAnsi="Cambria Math"/>
                        </w:rPr>
                        <m:t>1+</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n</m:t>
                              </m:r>
                            </m:sub>
                          </m:sSub>
                          <m:r>
                            <w:rPr>
                              <w:rFonts w:ascii="Cambria Math" w:eastAsiaTheme="minorEastAsia" w:hAnsi="Cambria Math"/>
                            </w:rPr>
                            <m:t>-25</m:t>
                          </m:r>
                        </m:num>
                        <m:den>
                          <m:r>
                            <w:rPr>
                              <w:rFonts w:ascii="Cambria Math" w:eastAsiaTheme="minorEastAsia" w:hAnsi="Cambria Math"/>
                            </w:rPr>
                            <m:t>100</m:t>
                          </m:r>
                        </m:den>
                      </m:f>
                      <m:r>
                        <w:rPr>
                          <w:rFonts w:ascii="Cambria Math" w:eastAsiaTheme="minorEastAsia" w:hAnsi="Cambria Math"/>
                        </w:rPr>
                        <m:t xml:space="preserve"> </m:t>
                      </m:r>
                      <m:r>
                        <m:rPr>
                          <m:sty m:val="p"/>
                        </m:rPr>
                        <w:rPr>
                          <w:rFonts w:ascii="Cambria Math" w:eastAsiaTheme="minorEastAsia" w:hAnsi="Cambria Math"/>
                        </w:rPr>
                        <m:t>h</m:t>
                      </m:r>
                    </m:oMath>
                  </m:oMathPara>
                </w:p>
              </w:tc>
            </w:tr>
          </w:tbl>
          <w:p w14:paraId="270C284B" w14:textId="77777777" w:rsidR="00644B5F" w:rsidRPr="00BC31E0" w:rsidRDefault="00644B5F" w:rsidP="00644B5F">
            <w:pPr>
              <w:ind w:left="170"/>
              <w:rPr>
                <w:rFonts w:asciiTheme="minorHAnsi" w:eastAsiaTheme="minorEastAsia" w:hAnsiTheme="minorHAnsi"/>
              </w:rPr>
            </w:pPr>
            <w:r w:rsidRPr="00BC31E0">
              <w:rPr>
                <w:rFonts w:asciiTheme="minorHAnsi" w:eastAsiaTheme="minorEastAsia" w:hAnsiTheme="minorEastAsia"/>
              </w:rPr>
              <w:t>最</w:t>
            </w:r>
            <w:r w:rsidRPr="00BC31E0">
              <w:rPr>
                <w:rFonts w:asciiTheme="minorHAnsi" w:eastAsiaTheme="minorEastAsia" w:hAnsiTheme="minorEastAsia" w:hint="eastAsia"/>
              </w:rPr>
              <w:t>小</w:t>
            </w:r>
            <w:r w:rsidRPr="00BC31E0">
              <w:rPr>
                <w:rFonts w:asciiTheme="minorHAnsi" w:eastAsiaTheme="minorEastAsia" w:hAnsiTheme="minorHAnsi"/>
              </w:rPr>
              <w:t xml:space="preserve"> </w:t>
            </w:r>
            <w:r w:rsidRPr="00BC31E0">
              <w:rPr>
                <w:rFonts w:ascii="Cambria Math" w:eastAsiaTheme="minorEastAsia" w:hAnsi="Cambria Math"/>
              </w:rPr>
              <w:t>1 h</w:t>
            </w:r>
          </w:p>
          <w:p w14:paraId="18729A98" w14:textId="77777777" w:rsidR="00644B5F" w:rsidRPr="00BC31E0" w:rsidRDefault="00644B5F" w:rsidP="00644B5F">
            <w:pPr>
              <w:rPr>
                <w:rFonts w:asciiTheme="minorHAnsi" w:eastAsiaTheme="minorEastAsia" w:hAnsiTheme="minorHAnsi"/>
              </w:rPr>
            </w:pPr>
          </w:p>
        </w:tc>
      </w:tr>
    </w:tbl>
    <w:p w14:paraId="6E2FE1B4" w14:textId="77777777" w:rsidR="00644B5F" w:rsidRPr="00BC31E0" w:rsidRDefault="00644B5F" w:rsidP="009A5191">
      <w:pPr>
        <w:spacing w:before="60"/>
      </w:pPr>
      <w:r w:rsidRPr="00BC31E0">
        <w:rPr>
          <w:rFonts w:asciiTheme="majorEastAsia" w:eastAsiaTheme="majorEastAsia" w:hAnsiTheme="majorEastAsia" w:hint="eastAsia"/>
          <w:b/>
        </w:rPr>
        <w:t>注記</w:t>
      </w:r>
      <w:r w:rsidRPr="00BC31E0">
        <w:rPr>
          <w:rFonts w:asciiTheme="minorHAnsi" w:eastAsiaTheme="minorEastAsia" w:hAnsiTheme="minorHAnsi" w:hint="eastAsia"/>
        </w:rPr>
        <w:t xml:space="preserve">　</w:t>
      </w:r>
      <m:oMath>
        <m:sSub>
          <m:sSubPr>
            <m:ctrlPr>
              <w:rPr>
                <w:rFonts w:ascii="Cambria Math" w:eastAsiaTheme="minorEastAsia" w:hAnsi="Cambria Math"/>
              </w:rPr>
            </m:ctrlPr>
          </m:sSubPr>
          <m:e>
            <m:r>
              <w:rPr>
                <w:rFonts w:ascii="Cambria Math" w:eastAsiaTheme="minorEastAsia" w:hAnsi="Cambria Math" w:hint="eastAsia"/>
              </w:rPr>
              <m:t>t</m:t>
            </m:r>
          </m:e>
          <m:sub>
            <m:r>
              <w:rPr>
                <w:rFonts w:ascii="Cambria Math" w:eastAsiaTheme="minorEastAsia" w:hAnsi="Cambria Math"/>
              </w:rPr>
              <m:t>n</m:t>
            </m:r>
          </m:sub>
        </m:sSub>
        <m:r>
          <m:rPr>
            <m:sty m:val="p"/>
          </m:rPr>
          <w:rPr>
            <w:rFonts w:ascii="Cambria Math" w:eastAsiaTheme="minorEastAsia" w:hAnsi="Cambria Math"/>
          </w:rPr>
          <m:t xml:space="preserve"> </m:t>
        </m:r>
      </m:oMath>
      <w:r w:rsidRPr="00BC31E0">
        <w:rPr>
          <w:rFonts w:asciiTheme="minorHAnsi" w:eastAsiaTheme="minorEastAsia" w:hAnsiTheme="minorHAnsi" w:hint="eastAsia"/>
        </w:rPr>
        <w:t>は，</w:t>
      </w:r>
      <w:r w:rsidRPr="00BC31E0">
        <w:rPr>
          <w:rFonts w:asciiTheme="majorEastAsia" w:eastAsiaTheme="majorEastAsia" w:hAnsiTheme="majorEastAsia" w:hint="eastAsia"/>
          <w:b/>
        </w:rPr>
        <w:t>7.4.1 b) 4)</w:t>
      </w:r>
      <w:r w:rsidRPr="00BC31E0">
        <w:rPr>
          <w:rFonts w:asciiTheme="minorHAnsi" w:eastAsiaTheme="minorEastAsia" w:hAnsiTheme="minorHAnsi" w:hint="eastAsia"/>
        </w:rPr>
        <w:t>に規定する公称厚さ</w:t>
      </w:r>
      <w:r w:rsidRPr="00BC31E0">
        <w:rPr>
          <w:rFonts w:asciiTheme="minorHAnsi" w:eastAsiaTheme="minorEastAsia" w:hAnsiTheme="minorHAnsi" w:hint="eastAsia"/>
        </w:rPr>
        <w:t>(</w:t>
      </w:r>
      <w:r w:rsidRPr="00BC31E0">
        <w:rPr>
          <w:rFonts w:ascii="Cambria Math" w:eastAsiaTheme="minorEastAsia" w:hAnsi="Cambria Math"/>
        </w:rPr>
        <w:t>mm</w:t>
      </w:r>
      <w:r w:rsidRPr="00BC31E0">
        <w:rPr>
          <w:rFonts w:asciiTheme="minorHAnsi" w:eastAsiaTheme="minorEastAsia" w:hAnsiTheme="minorHAnsi" w:hint="eastAsia"/>
        </w:rPr>
        <w:t>)</w:t>
      </w:r>
      <w:r w:rsidRPr="00BC31E0">
        <w:rPr>
          <w:rFonts w:asciiTheme="minorHAnsi" w:eastAsiaTheme="minorEastAsia" w:hAnsiTheme="minorHAnsi" w:hint="eastAsia"/>
        </w:rPr>
        <w:t>である。</w:t>
      </w:r>
    </w:p>
    <w:p w14:paraId="3DF2BAF0" w14:textId="77777777" w:rsidR="00644B5F" w:rsidRPr="00BC31E0" w:rsidRDefault="00644B5F" w:rsidP="009A5191"/>
    <w:p w14:paraId="23FA6F77" w14:textId="77777777" w:rsidR="00644B5F" w:rsidRPr="00BC31E0" w:rsidRDefault="00644B5F" w:rsidP="009A5191">
      <w:pPr>
        <w:widowControl/>
        <w:jc w:val="left"/>
      </w:pPr>
      <w:r w:rsidRPr="00BC31E0">
        <w:br w:type="page"/>
      </w:r>
    </w:p>
    <w:p w14:paraId="5992FFBF" w14:textId="77777777" w:rsidR="00644B5F" w:rsidRPr="00BC31E0" w:rsidRDefault="00644B5F" w:rsidP="00644B5F">
      <w:pPr>
        <w:widowControl/>
        <w:jc w:val="center"/>
        <w:rPr>
          <w:rFonts w:asciiTheme="majorEastAsia" w:eastAsiaTheme="majorEastAsia" w:hAnsiTheme="majorEastAsia"/>
          <w:b/>
        </w:rPr>
      </w:pPr>
      <w:r w:rsidRPr="00BC31E0">
        <w:rPr>
          <w:rFonts w:asciiTheme="minorHAnsi" w:eastAsiaTheme="minorEastAsia" w:hAnsiTheme="minorHAnsi" w:hint="eastAsia"/>
          <w:b/>
        </w:rPr>
        <w:lastRenderedPageBreak/>
        <w:t>表</w:t>
      </w:r>
      <w:r w:rsidRPr="00BC31E0">
        <w:rPr>
          <w:rFonts w:asciiTheme="majorEastAsia" w:eastAsiaTheme="majorEastAsia" w:hAnsiTheme="majorEastAsia" w:hint="eastAsia"/>
          <w:b/>
        </w:rPr>
        <w:t>7.4.13</w:t>
      </w:r>
      <w:r w:rsidRPr="00BC31E0">
        <w:rPr>
          <w:rFonts w:asciiTheme="majorEastAsia" w:eastAsiaTheme="majorEastAsia" w:hAnsiTheme="majorEastAsia"/>
          <w:b/>
        </w:rPr>
        <w:t xml:space="preserve">　溶接後熱処理</w:t>
      </w:r>
      <w:r w:rsidRPr="00BC31E0">
        <w:rPr>
          <w:rFonts w:asciiTheme="majorEastAsia" w:eastAsiaTheme="majorEastAsia" w:hAnsiTheme="majorEastAsia" w:hint="eastAsia"/>
          <w:b/>
        </w:rPr>
        <w:t>の温度及び時間</w:t>
      </w:r>
    </w:p>
    <w:p w14:paraId="776A2238" w14:textId="77777777" w:rsidR="00644B5F" w:rsidRPr="00BC31E0" w:rsidRDefault="00644B5F" w:rsidP="00644B5F">
      <w:pPr>
        <w:widowControl/>
        <w:spacing w:after="60"/>
        <w:jc w:val="center"/>
        <w:rPr>
          <w:rFonts w:asciiTheme="majorEastAsia" w:eastAsiaTheme="majorEastAsia" w:hAnsiTheme="majorEastAsia"/>
          <w:b/>
        </w:rPr>
      </w:pPr>
      <w:r w:rsidRPr="00BC31E0">
        <w:rPr>
          <w:rFonts w:asciiTheme="majorEastAsia" w:eastAsiaTheme="majorEastAsia" w:hAnsiTheme="majorEastAsia"/>
          <w:b/>
        </w:rPr>
        <w:t>(P</w:t>
      </w:r>
      <w:r w:rsidRPr="00BC31E0">
        <w:rPr>
          <w:rFonts w:asciiTheme="majorEastAsia" w:eastAsiaTheme="majorEastAsia" w:hAnsiTheme="majorEastAsia" w:hint="eastAsia"/>
          <w:b/>
        </w:rPr>
        <w:t>番号</w:t>
      </w:r>
      <w:r w:rsidRPr="00BC31E0">
        <w:rPr>
          <w:rFonts w:asciiTheme="majorEastAsia" w:eastAsiaTheme="majorEastAsia" w:hAnsiTheme="majorEastAsia"/>
          <w:b/>
        </w:rPr>
        <w:t>10</w:t>
      </w:r>
      <w:r w:rsidRPr="00BC31E0">
        <w:rPr>
          <w:rFonts w:asciiTheme="majorEastAsia" w:eastAsiaTheme="majorEastAsia" w:hAnsiTheme="majorEastAsia" w:hint="eastAsia"/>
          <w:b/>
        </w:rPr>
        <w:t>Hグループ番号</w:t>
      </w:r>
      <w:r w:rsidRPr="00BC31E0">
        <w:rPr>
          <w:rFonts w:asciiTheme="majorEastAsia" w:eastAsiaTheme="majorEastAsia" w:hAnsiTheme="majorEastAsia"/>
          <w:b/>
        </w:rPr>
        <w:t>1</w:t>
      </w:r>
      <w:r w:rsidRPr="00BC31E0">
        <w:rPr>
          <w:rFonts w:asciiTheme="majorEastAsia" w:eastAsiaTheme="majorEastAsia" w:hAnsiTheme="majorEastAsia" w:hint="eastAsia"/>
          <w:b/>
        </w:rPr>
        <w:t>の材料</w:t>
      </w:r>
      <w:r w:rsidRPr="00BC31E0">
        <w:rPr>
          <w:rFonts w:asciiTheme="majorEastAsia" w:eastAsiaTheme="majorEastAsia" w:hAnsiTheme="majorEastAsia"/>
          <w:b/>
        </w:rPr>
        <w:t>)</w:t>
      </w:r>
    </w:p>
    <w:tbl>
      <w:tblPr>
        <w:tblStyle w:val="100"/>
        <w:tblW w:w="0" w:type="auto"/>
        <w:tblInd w:w="108" w:type="dxa"/>
        <w:tblLayout w:type="fixed"/>
        <w:tblLook w:val="04A0" w:firstRow="1" w:lastRow="0" w:firstColumn="1" w:lastColumn="0" w:noHBand="0" w:noVBand="1"/>
      </w:tblPr>
      <w:tblGrid>
        <w:gridCol w:w="6946"/>
        <w:gridCol w:w="2126"/>
      </w:tblGrid>
      <w:tr w:rsidR="00644B5F" w:rsidRPr="00BC31E0" w14:paraId="14F9E8B3" w14:textId="77777777" w:rsidTr="004736F2">
        <w:tc>
          <w:tcPr>
            <w:tcW w:w="6946" w:type="dxa"/>
            <w:vAlign w:val="center"/>
          </w:tcPr>
          <w:p w14:paraId="3DAFA466" w14:textId="77777777" w:rsidR="00644B5F" w:rsidRPr="00BC31E0" w:rsidRDefault="00644B5F" w:rsidP="00644B5F">
            <w:pPr>
              <w:jc w:val="center"/>
              <w:rPr>
                <w:rFonts w:asciiTheme="minorHAnsi" w:eastAsiaTheme="minorEastAsia" w:hAnsiTheme="minorHAnsi"/>
              </w:rPr>
            </w:pPr>
            <w:r w:rsidRPr="00BC31E0">
              <w:rPr>
                <w:rFonts w:asciiTheme="minorHAnsi" w:eastAsiaTheme="minorEastAsia" w:hAnsiTheme="minorEastAsia"/>
              </w:rPr>
              <w:t>要求事項</w:t>
            </w:r>
          </w:p>
        </w:tc>
        <w:tc>
          <w:tcPr>
            <w:tcW w:w="2126" w:type="dxa"/>
            <w:vAlign w:val="center"/>
          </w:tcPr>
          <w:p w14:paraId="16429FD2" w14:textId="77777777" w:rsidR="00644B5F" w:rsidRPr="00BC31E0" w:rsidRDefault="00644B5F" w:rsidP="00644B5F">
            <w:pPr>
              <w:jc w:val="center"/>
              <w:rPr>
                <w:rFonts w:asciiTheme="minorHAnsi" w:eastAsiaTheme="minorEastAsia" w:hAnsiTheme="minorHAnsi"/>
              </w:rPr>
            </w:pPr>
            <w:r w:rsidRPr="00BC31E0">
              <w:rPr>
                <w:rFonts w:asciiTheme="minorHAnsi" w:eastAsiaTheme="minorEastAsia" w:hAnsiTheme="minorEastAsia"/>
              </w:rPr>
              <w:t>保持温度と保持時間</w:t>
            </w:r>
          </w:p>
        </w:tc>
      </w:tr>
      <w:tr w:rsidR="00644B5F" w:rsidRPr="00BC31E0" w14:paraId="4886734F" w14:textId="77777777" w:rsidTr="004736F2">
        <w:tc>
          <w:tcPr>
            <w:tcW w:w="6946" w:type="dxa"/>
          </w:tcPr>
          <w:p w14:paraId="5260D159" w14:textId="77777777" w:rsidR="00644B5F" w:rsidRPr="00BC31E0" w:rsidRDefault="00644B5F" w:rsidP="00644B5F">
            <w:pPr>
              <w:ind w:firstLineChars="100" w:firstLine="210"/>
              <w:rPr>
                <w:rFonts w:asciiTheme="minorHAnsi" w:eastAsiaTheme="minorEastAsia" w:hAnsiTheme="minorHAnsi"/>
              </w:rPr>
            </w:pPr>
            <w:r w:rsidRPr="00BC31E0">
              <w:rPr>
                <w:rFonts w:asciiTheme="minorHAnsi" w:eastAsiaTheme="minorEastAsia" w:hAnsiTheme="minorHAnsi" w:hint="eastAsia"/>
              </w:rPr>
              <w:t>次に示すオーステナイト－フェライト系の鍛造又は鋳造の二相ステンレス鋼は溶接後熱処理の必要はないが，行ってもよい。</w:t>
            </w:r>
          </w:p>
          <w:p w14:paraId="674C379E" w14:textId="77777777" w:rsidR="00644B5F" w:rsidRPr="00BC31E0" w:rsidRDefault="00644B5F" w:rsidP="00644B5F">
            <w:pPr>
              <w:ind w:firstLineChars="100" w:firstLine="210"/>
              <w:rPr>
                <w:rFonts w:asciiTheme="minorHAnsi" w:eastAsiaTheme="minorEastAsia" w:hAnsiTheme="minorHAnsi"/>
              </w:rPr>
            </w:pPr>
            <w:r w:rsidRPr="00BC31E0">
              <w:rPr>
                <w:rFonts w:asciiTheme="minorHAnsi" w:eastAsiaTheme="minorEastAsia" w:hAnsiTheme="minorHAnsi" w:hint="eastAsia"/>
              </w:rPr>
              <w:t>溶接後熱処理を行う場合には次の保持温度で行い，その後，液体焼入れ又は他の方法による急速冷却を行わなければならない。</w:t>
            </w:r>
          </w:p>
          <w:p w14:paraId="71FEA500" w14:textId="77777777" w:rsidR="00644B5F" w:rsidRPr="00BC31E0" w:rsidRDefault="00644B5F" w:rsidP="00644B5F">
            <w:pPr>
              <w:ind w:firstLineChars="100" w:firstLine="210"/>
              <w:rPr>
                <w:rFonts w:asciiTheme="minorHAnsi" w:eastAsiaTheme="minorEastAsia" w:hAnsiTheme="minorHAnsi"/>
              </w:rPr>
            </w:pPr>
          </w:p>
          <w:p w14:paraId="510CF3D3" w14:textId="77777777" w:rsidR="00644B5F" w:rsidRPr="00BC31E0" w:rsidRDefault="00644B5F" w:rsidP="00644B5F">
            <w:pPr>
              <w:tabs>
                <w:tab w:val="left" w:pos="1452"/>
                <w:tab w:val="left" w:pos="4287"/>
              </w:tabs>
              <w:rPr>
                <w:rFonts w:asciiTheme="minorHAnsi" w:eastAsiaTheme="minorEastAsia" w:hAnsiTheme="minorHAnsi"/>
                <w:u w:val="single"/>
              </w:rPr>
            </w:pPr>
            <w:r w:rsidRPr="00BC31E0">
              <w:rPr>
                <w:rFonts w:asciiTheme="minorHAnsi" w:eastAsiaTheme="minorEastAsia" w:hAnsiTheme="minorHAnsi"/>
              </w:rPr>
              <w:tab/>
            </w:r>
            <w:r w:rsidRPr="00BC31E0">
              <w:rPr>
                <w:rFonts w:asciiTheme="minorHAnsi" w:eastAsiaTheme="minorEastAsia" w:hAnsiTheme="minorHAnsi" w:hint="eastAsia"/>
                <w:u w:val="single"/>
              </w:rPr>
              <w:t>合金</w:t>
            </w:r>
            <w:r w:rsidRPr="00BC31E0">
              <w:rPr>
                <w:rFonts w:asciiTheme="minorHAnsi" w:eastAsiaTheme="minorEastAsia" w:hAnsiTheme="minorHAnsi" w:hint="eastAsia"/>
                <w:u w:val="single"/>
              </w:rPr>
              <w:t>(UNS</w:t>
            </w:r>
            <w:r w:rsidRPr="00BC31E0">
              <w:rPr>
                <w:rFonts w:asciiTheme="minorHAnsi" w:eastAsiaTheme="minorEastAsia" w:hAnsiTheme="minorHAnsi" w:hint="eastAsia"/>
                <w:u w:val="single"/>
              </w:rPr>
              <w:t>番号</w:t>
            </w:r>
            <w:r w:rsidRPr="00BC31E0">
              <w:rPr>
                <w:rFonts w:asciiTheme="minorHAnsi" w:eastAsiaTheme="minorEastAsia" w:hAnsiTheme="minorHAnsi" w:hint="eastAsia"/>
                <w:u w:val="single"/>
              </w:rPr>
              <w:t>)</w:t>
            </w:r>
            <w:r w:rsidRPr="00BC31E0">
              <w:rPr>
                <w:rFonts w:asciiTheme="minorHAnsi" w:eastAsiaTheme="minorEastAsia" w:hAnsiTheme="minorHAnsi"/>
                <w:u w:val="single"/>
              </w:rPr>
              <w:tab/>
            </w:r>
            <w:r w:rsidRPr="00BC31E0">
              <w:rPr>
                <w:rFonts w:asciiTheme="minorHAnsi" w:eastAsiaTheme="minorEastAsia" w:hAnsiTheme="minorHAnsi" w:hint="eastAsia"/>
                <w:u w:val="single"/>
              </w:rPr>
              <w:t>保持温度</w:t>
            </w:r>
            <w:r w:rsidRPr="00BC31E0">
              <w:rPr>
                <w:rFonts w:asciiTheme="minorHAnsi" w:eastAsiaTheme="minorEastAsia" w:hAnsiTheme="minorHAnsi" w:hint="eastAsia"/>
                <w:u w:val="single"/>
              </w:rPr>
              <w:t>(</w:t>
            </w:r>
            <w:r w:rsidRPr="00BC31E0">
              <w:rPr>
                <w:rFonts w:asciiTheme="minorHAnsi" w:hAnsiTheme="minorHAnsi"/>
                <w:u w:val="single"/>
              </w:rPr>
              <w:t>°C</w:t>
            </w:r>
            <w:r w:rsidRPr="00BC31E0">
              <w:rPr>
                <w:rFonts w:asciiTheme="minorHAnsi" w:eastAsiaTheme="minorEastAsia" w:hAnsiTheme="minorHAnsi" w:hint="eastAsia"/>
                <w:u w:val="single"/>
              </w:rPr>
              <w:t>)</w:t>
            </w:r>
            <w:r w:rsidRPr="00BC31E0">
              <w:rPr>
                <w:rFonts w:asciiTheme="minorHAnsi" w:eastAsiaTheme="minorEastAsia" w:hAnsiTheme="minorHAnsi" w:hint="eastAsia"/>
                <w:u w:val="single"/>
              </w:rPr>
              <w:t xml:space="preserve">　　</w:t>
            </w:r>
            <w:r w:rsidRPr="00BC31E0">
              <w:rPr>
                <w:rFonts w:asciiTheme="minorHAnsi" w:eastAsiaTheme="minorEastAsia" w:hAnsiTheme="minorHAnsi" w:hint="eastAsia"/>
                <w:u w:val="single"/>
              </w:rPr>
              <w:t xml:space="preserve"> </w:t>
            </w:r>
          </w:p>
          <w:p w14:paraId="78F2C52F" w14:textId="77777777" w:rsidR="00644B5F" w:rsidRPr="00BC31E0" w:rsidRDefault="00644B5F" w:rsidP="00644B5F">
            <w:pPr>
              <w:tabs>
                <w:tab w:val="left" w:pos="1877"/>
                <w:tab w:val="left" w:pos="4287"/>
              </w:tabs>
              <w:rPr>
                <w:rFonts w:asciiTheme="minorHAnsi" w:eastAsiaTheme="minorEastAsia" w:hAnsiTheme="minorHAnsi"/>
              </w:rPr>
            </w:pPr>
            <w:r w:rsidRPr="00BC31E0">
              <w:rPr>
                <w:rFonts w:asciiTheme="minorHAnsi" w:eastAsiaTheme="minorEastAsia" w:hAnsiTheme="minorHAnsi" w:hint="eastAsia"/>
              </w:rPr>
              <w:tab/>
            </w:r>
            <w:r w:rsidRPr="00BC31E0">
              <w:rPr>
                <w:rFonts w:asciiTheme="minorHAnsi" w:eastAsiaTheme="minorEastAsia" w:hAnsiTheme="minorHAnsi"/>
              </w:rPr>
              <w:t>J93345</w:t>
            </w:r>
            <w:r w:rsidRPr="00BC31E0">
              <w:rPr>
                <w:rFonts w:asciiTheme="minorHAnsi" w:eastAsiaTheme="minorEastAsia" w:hAnsiTheme="minorHAnsi" w:hint="eastAsia"/>
              </w:rPr>
              <w:tab/>
            </w:r>
            <w:r w:rsidRPr="00BC31E0">
              <w:rPr>
                <w:rFonts w:asciiTheme="minorHAnsi" w:eastAsiaTheme="minorEastAsia" w:hAnsiTheme="minorHAnsi" w:hint="eastAsia"/>
              </w:rPr>
              <w:t>最低</w:t>
            </w:r>
            <w:r w:rsidRPr="00BC31E0">
              <w:rPr>
                <w:rFonts w:ascii="Cambria Math" w:eastAsiaTheme="minorEastAsia" w:hAnsi="Cambria Math"/>
              </w:rPr>
              <w:t>1,120</w:t>
            </w:r>
          </w:p>
          <w:p w14:paraId="14838C9F" w14:textId="77777777" w:rsidR="00644B5F" w:rsidRPr="00BC31E0" w:rsidRDefault="00644B5F" w:rsidP="00644B5F">
            <w:pPr>
              <w:tabs>
                <w:tab w:val="left" w:pos="1877"/>
                <w:tab w:val="left" w:pos="4287"/>
              </w:tabs>
              <w:rPr>
                <w:rFonts w:asciiTheme="minorHAnsi" w:eastAsiaTheme="minorEastAsia" w:hAnsiTheme="minorHAnsi"/>
              </w:rPr>
            </w:pPr>
            <w:r w:rsidRPr="00BC31E0">
              <w:rPr>
                <w:rFonts w:asciiTheme="minorHAnsi" w:eastAsiaTheme="minorEastAsia" w:hAnsiTheme="minorHAnsi" w:hint="eastAsia"/>
              </w:rPr>
              <w:tab/>
            </w:r>
            <w:r w:rsidRPr="00BC31E0">
              <w:rPr>
                <w:rFonts w:asciiTheme="minorHAnsi" w:eastAsiaTheme="minorEastAsia" w:hAnsiTheme="minorHAnsi"/>
              </w:rPr>
              <w:t>S31200</w:t>
            </w:r>
            <w:r w:rsidRPr="00BC31E0">
              <w:rPr>
                <w:rFonts w:asciiTheme="minorHAnsi" w:eastAsiaTheme="minorEastAsia" w:hAnsiTheme="minorHAnsi" w:hint="eastAsia"/>
              </w:rPr>
              <w:tab/>
            </w:r>
            <w:r w:rsidRPr="00BC31E0">
              <w:rPr>
                <w:rFonts w:asciiTheme="minorHAnsi" w:eastAsiaTheme="minorEastAsia" w:hAnsiTheme="minorHAnsi" w:hint="eastAsia"/>
              </w:rPr>
              <w:t>最低</w:t>
            </w:r>
            <w:r w:rsidRPr="00BC31E0">
              <w:rPr>
                <w:rFonts w:ascii="Cambria Math" w:eastAsiaTheme="minorEastAsia" w:hAnsi="Cambria Math"/>
              </w:rPr>
              <w:t>1, 040</w:t>
            </w:r>
          </w:p>
          <w:p w14:paraId="15B65CA6" w14:textId="77777777" w:rsidR="00644B5F" w:rsidRPr="00BC31E0" w:rsidRDefault="00644B5F" w:rsidP="00644B5F">
            <w:pPr>
              <w:tabs>
                <w:tab w:val="left" w:pos="1877"/>
                <w:tab w:val="left" w:pos="4287"/>
              </w:tabs>
              <w:rPr>
                <w:rFonts w:asciiTheme="minorHAnsi" w:eastAsiaTheme="minorEastAsia" w:hAnsiTheme="minorHAnsi"/>
              </w:rPr>
            </w:pPr>
            <w:r w:rsidRPr="00BC31E0">
              <w:rPr>
                <w:rFonts w:asciiTheme="minorHAnsi" w:eastAsiaTheme="minorEastAsia" w:hAnsiTheme="minorHAnsi" w:hint="eastAsia"/>
              </w:rPr>
              <w:tab/>
            </w:r>
            <w:r w:rsidRPr="00BC31E0">
              <w:rPr>
                <w:rFonts w:asciiTheme="minorHAnsi" w:eastAsiaTheme="minorEastAsia" w:hAnsiTheme="minorHAnsi"/>
              </w:rPr>
              <w:t>S31260</w:t>
            </w:r>
            <w:r w:rsidRPr="00BC31E0">
              <w:rPr>
                <w:rFonts w:asciiTheme="minorHAnsi" w:eastAsiaTheme="minorEastAsia" w:hAnsiTheme="minorHAnsi" w:hint="eastAsia"/>
              </w:rPr>
              <w:tab/>
            </w:r>
            <w:r w:rsidRPr="00BC31E0">
              <w:rPr>
                <w:rFonts w:ascii="Cambria Math" w:eastAsiaTheme="minorEastAsia" w:hAnsi="Cambria Math"/>
              </w:rPr>
              <w:t>1,020</w:t>
            </w:r>
            <w:r w:rsidRPr="00BC31E0">
              <w:rPr>
                <w:rFonts w:asciiTheme="minorHAnsi" w:eastAsiaTheme="minorEastAsia" w:hAnsiTheme="minorHAnsi" w:hint="eastAsia"/>
              </w:rPr>
              <w:t xml:space="preserve"> </w:t>
            </w:r>
            <w:r w:rsidRPr="00BC31E0">
              <w:rPr>
                <w:rFonts w:asciiTheme="minorHAnsi" w:eastAsiaTheme="minorEastAsia" w:hAnsiTheme="minorHAnsi" w:hint="eastAsia"/>
              </w:rPr>
              <w:t>～</w:t>
            </w:r>
            <w:r w:rsidRPr="00BC31E0">
              <w:rPr>
                <w:rFonts w:asciiTheme="minorHAnsi" w:eastAsiaTheme="minorEastAsia" w:hAnsiTheme="minorHAnsi" w:hint="eastAsia"/>
              </w:rPr>
              <w:t xml:space="preserve"> </w:t>
            </w:r>
            <w:r w:rsidRPr="00BC31E0">
              <w:rPr>
                <w:rFonts w:ascii="Cambria Math" w:eastAsiaTheme="minorEastAsia" w:hAnsi="Cambria Math"/>
              </w:rPr>
              <w:t>1,100</w:t>
            </w:r>
          </w:p>
          <w:p w14:paraId="100CF837" w14:textId="77777777" w:rsidR="00644B5F" w:rsidRPr="00BC31E0" w:rsidRDefault="00644B5F" w:rsidP="00644B5F">
            <w:pPr>
              <w:tabs>
                <w:tab w:val="left" w:pos="1877"/>
                <w:tab w:val="left" w:pos="4428"/>
              </w:tabs>
              <w:rPr>
                <w:rFonts w:asciiTheme="minorHAnsi" w:eastAsiaTheme="minorEastAsia" w:hAnsiTheme="minorHAnsi"/>
              </w:rPr>
            </w:pPr>
            <w:r w:rsidRPr="00BC31E0">
              <w:rPr>
                <w:rFonts w:asciiTheme="minorHAnsi" w:eastAsiaTheme="minorEastAsia" w:hAnsiTheme="minorHAnsi" w:hint="eastAsia"/>
              </w:rPr>
              <w:tab/>
            </w:r>
            <w:r w:rsidRPr="00BC31E0">
              <w:rPr>
                <w:rFonts w:asciiTheme="minorHAnsi" w:eastAsiaTheme="minorEastAsia" w:hAnsiTheme="minorHAnsi"/>
              </w:rPr>
              <w:t>S31500</w:t>
            </w:r>
            <w:r w:rsidRPr="00BC31E0">
              <w:rPr>
                <w:rFonts w:asciiTheme="minorHAnsi" w:eastAsiaTheme="minorEastAsia" w:hAnsiTheme="minorHAnsi" w:hint="eastAsia"/>
              </w:rPr>
              <w:tab/>
            </w:r>
            <w:r w:rsidRPr="00BC31E0">
              <w:rPr>
                <w:rFonts w:ascii="Cambria Math" w:eastAsiaTheme="minorEastAsia" w:hAnsi="Cambria Math"/>
              </w:rPr>
              <w:t>975</w:t>
            </w:r>
            <w:r w:rsidRPr="00BC31E0">
              <w:rPr>
                <w:rFonts w:asciiTheme="minorHAnsi" w:eastAsiaTheme="minorEastAsia" w:hAnsiTheme="minorHAnsi" w:hint="eastAsia"/>
              </w:rPr>
              <w:t xml:space="preserve"> </w:t>
            </w:r>
            <w:r w:rsidRPr="00BC31E0">
              <w:rPr>
                <w:rFonts w:asciiTheme="minorHAnsi" w:eastAsiaTheme="minorEastAsia" w:hAnsiTheme="minorHAnsi" w:hint="eastAsia"/>
              </w:rPr>
              <w:t>～</w:t>
            </w:r>
            <w:r w:rsidRPr="00BC31E0">
              <w:rPr>
                <w:rFonts w:asciiTheme="minorHAnsi" w:eastAsiaTheme="minorEastAsia" w:hAnsiTheme="minorHAnsi" w:hint="eastAsia"/>
              </w:rPr>
              <w:t xml:space="preserve"> </w:t>
            </w:r>
            <w:r w:rsidRPr="00BC31E0">
              <w:rPr>
                <w:rFonts w:ascii="Cambria Math" w:eastAsiaTheme="minorEastAsia" w:hAnsi="Cambria Math"/>
              </w:rPr>
              <w:t>1,025</w:t>
            </w:r>
          </w:p>
          <w:p w14:paraId="5C9B1A63" w14:textId="77777777" w:rsidR="00644B5F" w:rsidRPr="00BC31E0" w:rsidRDefault="00644B5F" w:rsidP="00644B5F">
            <w:pPr>
              <w:tabs>
                <w:tab w:val="left" w:pos="1877"/>
                <w:tab w:val="left" w:pos="4287"/>
              </w:tabs>
              <w:rPr>
                <w:rFonts w:asciiTheme="minorHAnsi" w:eastAsiaTheme="minorEastAsia" w:hAnsiTheme="minorHAnsi"/>
              </w:rPr>
            </w:pPr>
            <w:r w:rsidRPr="00BC31E0">
              <w:rPr>
                <w:rFonts w:asciiTheme="minorHAnsi" w:eastAsiaTheme="minorEastAsia" w:hAnsiTheme="minorHAnsi" w:hint="eastAsia"/>
              </w:rPr>
              <w:tab/>
            </w:r>
            <w:r w:rsidRPr="00BC31E0">
              <w:rPr>
                <w:rFonts w:asciiTheme="minorHAnsi" w:eastAsiaTheme="minorEastAsia" w:hAnsiTheme="minorHAnsi"/>
              </w:rPr>
              <w:t>S31803</w:t>
            </w:r>
            <w:r w:rsidRPr="00BC31E0">
              <w:rPr>
                <w:rFonts w:asciiTheme="minorHAnsi" w:eastAsiaTheme="minorEastAsia" w:hAnsiTheme="minorHAnsi" w:hint="eastAsia"/>
              </w:rPr>
              <w:t>，</w:t>
            </w:r>
            <w:r w:rsidRPr="00BC31E0">
              <w:rPr>
                <w:rFonts w:asciiTheme="minorHAnsi" w:eastAsiaTheme="minorEastAsia" w:hAnsiTheme="minorHAnsi"/>
              </w:rPr>
              <w:t>S32205</w:t>
            </w:r>
            <w:r w:rsidRPr="00BC31E0">
              <w:rPr>
                <w:rFonts w:asciiTheme="minorHAnsi" w:eastAsiaTheme="minorEastAsia" w:hAnsiTheme="minorHAnsi" w:hint="eastAsia"/>
              </w:rPr>
              <w:tab/>
            </w:r>
            <w:r w:rsidRPr="00BC31E0">
              <w:rPr>
                <w:rFonts w:asciiTheme="minorHAnsi" w:eastAsiaTheme="minorEastAsia" w:hAnsiTheme="minorHAnsi" w:hint="eastAsia"/>
              </w:rPr>
              <w:t>最低</w:t>
            </w:r>
            <w:r w:rsidRPr="00BC31E0">
              <w:rPr>
                <w:rFonts w:ascii="Cambria Math" w:eastAsiaTheme="minorEastAsia" w:hAnsi="Cambria Math"/>
              </w:rPr>
              <w:t>1,040</w:t>
            </w:r>
          </w:p>
          <w:p w14:paraId="455041F3" w14:textId="77777777" w:rsidR="00644B5F" w:rsidRPr="00BC31E0" w:rsidRDefault="00644B5F" w:rsidP="00644B5F">
            <w:pPr>
              <w:tabs>
                <w:tab w:val="left" w:pos="1877"/>
                <w:tab w:val="left" w:pos="4428"/>
              </w:tabs>
              <w:rPr>
                <w:rFonts w:asciiTheme="minorHAnsi" w:eastAsiaTheme="minorEastAsia" w:hAnsiTheme="minorHAnsi"/>
              </w:rPr>
            </w:pPr>
            <w:r w:rsidRPr="00BC31E0">
              <w:rPr>
                <w:rFonts w:asciiTheme="minorHAnsi" w:eastAsiaTheme="minorEastAsia" w:hAnsiTheme="minorHAnsi" w:hint="eastAsia"/>
              </w:rPr>
              <w:tab/>
            </w:r>
            <w:r w:rsidRPr="00BC31E0">
              <w:rPr>
                <w:rFonts w:asciiTheme="minorHAnsi" w:eastAsiaTheme="minorEastAsia" w:hAnsiTheme="minorHAnsi"/>
              </w:rPr>
              <w:t>S32202</w:t>
            </w:r>
            <w:r w:rsidRPr="00BC31E0">
              <w:rPr>
                <w:rFonts w:asciiTheme="minorHAnsi" w:eastAsiaTheme="minorEastAsia" w:hAnsiTheme="minorHAnsi" w:hint="eastAsia"/>
              </w:rPr>
              <w:tab/>
            </w:r>
            <w:r w:rsidRPr="00BC31E0">
              <w:rPr>
                <w:rFonts w:ascii="Cambria Math" w:eastAsiaTheme="minorEastAsia" w:hAnsi="Cambria Math"/>
              </w:rPr>
              <w:t>980</w:t>
            </w:r>
            <w:r w:rsidRPr="00BC31E0">
              <w:rPr>
                <w:rFonts w:asciiTheme="minorHAnsi" w:eastAsiaTheme="minorEastAsia" w:hAnsiTheme="minorHAnsi" w:hint="eastAsia"/>
              </w:rPr>
              <w:t xml:space="preserve"> </w:t>
            </w:r>
            <w:r w:rsidRPr="00BC31E0">
              <w:rPr>
                <w:rFonts w:asciiTheme="minorHAnsi" w:eastAsiaTheme="minorEastAsia" w:hAnsiTheme="minorHAnsi" w:hint="eastAsia"/>
              </w:rPr>
              <w:t>～</w:t>
            </w:r>
            <w:r w:rsidRPr="00BC31E0">
              <w:rPr>
                <w:rFonts w:asciiTheme="minorHAnsi" w:eastAsiaTheme="minorEastAsia" w:hAnsiTheme="minorHAnsi" w:hint="eastAsia"/>
              </w:rPr>
              <w:t xml:space="preserve"> </w:t>
            </w:r>
            <w:r w:rsidRPr="00BC31E0">
              <w:rPr>
                <w:rFonts w:ascii="Cambria Math" w:eastAsiaTheme="minorEastAsia" w:hAnsi="Cambria Math"/>
              </w:rPr>
              <w:t>1,080</w:t>
            </w:r>
          </w:p>
          <w:p w14:paraId="32FED607" w14:textId="77777777" w:rsidR="00644B5F" w:rsidRPr="00BC31E0" w:rsidRDefault="00644B5F" w:rsidP="00644B5F">
            <w:pPr>
              <w:tabs>
                <w:tab w:val="left" w:pos="1877"/>
                <w:tab w:val="left" w:pos="4287"/>
              </w:tabs>
              <w:rPr>
                <w:rFonts w:asciiTheme="minorHAnsi" w:eastAsiaTheme="minorEastAsia" w:hAnsiTheme="minorHAnsi"/>
              </w:rPr>
            </w:pPr>
            <w:r w:rsidRPr="00BC31E0">
              <w:rPr>
                <w:rFonts w:asciiTheme="minorHAnsi" w:eastAsiaTheme="minorEastAsia" w:hAnsiTheme="minorHAnsi" w:hint="eastAsia"/>
              </w:rPr>
              <w:tab/>
            </w:r>
            <w:r w:rsidRPr="00BC31E0">
              <w:rPr>
                <w:rFonts w:asciiTheme="minorHAnsi" w:eastAsiaTheme="minorEastAsia" w:hAnsiTheme="minorHAnsi"/>
              </w:rPr>
              <w:t>S32304</w:t>
            </w:r>
            <w:r w:rsidRPr="00BC31E0">
              <w:rPr>
                <w:rFonts w:asciiTheme="minorHAnsi" w:eastAsiaTheme="minorEastAsia" w:hAnsiTheme="minorHAnsi" w:hint="eastAsia"/>
              </w:rPr>
              <w:tab/>
            </w:r>
            <w:r w:rsidRPr="00BC31E0">
              <w:rPr>
                <w:rFonts w:asciiTheme="minorHAnsi" w:eastAsiaTheme="minorEastAsia" w:hAnsiTheme="minorHAnsi" w:hint="eastAsia"/>
              </w:rPr>
              <w:t>最低</w:t>
            </w:r>
            <w:r w:rsidRPr="00BC31E0">
              <w:rPr>
                <w:rFonts w:ascii="Cambria Math" w:eastAsiaTheme="minorEastAsia" w:hAnsi="Cambria Math"/>
              </w:rPr>
              <w:t>980</w:t>
            </w:r>
          </w:p>
          <w:p w14:paraId="7565A0B5" w14:textId="77777777" w:rsidR="00644B5F" w:rsidRPr="00BC31E0" w:rsidRDefault="00644B5F" w:rsidP="00644B5F">
            <w:pPr>
              <w:tabs>
                <w:tab w:val="left" w:pos="1877"/>
                <w:tab w:val="left" w:pos="4287"/>
              </w:tabs>
              <w:rPr>
                <w:rFonts w:asciiTheme="minorHAnsi" w:eastAsiaTheme="minorEastAsia" w:hAnsiTheme="minorHAnsi"/>
              </w:rPr>
            </w:pPr>
            <w:r w:rsidRPr="00BC31E0">
              <w:rPr>
                <w:rFonts w:asciiTheme="minorHAnsi" w:eastAsiaTheme="minorEastAsia" w:hAnsiTheme="minorHAnsi" w:hint="eastAsia"/>
              </w:rPr>
              <w:tab/>
            </w:r>
            <w:r w:rsidRPr="00BC31E0">
              <w:rPr>
                <w:rFonts w:asciiTheme="minorHAnsi" w:eastAsiaTheme="minorEastAsia" w:hAnsiTheme="minorHAnsi"/>
              </w:rPr>
              <w:t>S32550</w:t>
            </w:r>
            <w:r w:rsidRPr="00BC31E0">
              <w:rPr>
                <w:rFonts w:asciiTheme="minorHAnsi" w:eastAsiaTheme="minorEastAsia" w:hAnsiTheme="minorHAnsi" w:hint="eastAsia"/>
              </w:rPr>
              <w:tab/>
            </w:r>
            <w:r w:rsidRPr="00BC31E0">
              <w:rPr>
                <w:rFonts w:asciiTheme="minorHAnsi" w:eastAsiaTheme="minorEastAsia" w:hAnsiTheme="minorHAnsi" w:hint="eastAsia"/>
              </w:rPr>
              <w:t>最低</w:t>
            </w:r>
            <w:r w:rsidRPr="00BC31E0">
              <w:rPr>
                <w:rFonts w:ascii="Cambria Math" w:eastAsiaTheme="minorEastAsia" w:hAnsi="Cambria Math"/>
              </w:rPr>
              <w:t>1,040</w:t>
            </w:r>
          </w:p>
          <w:p w14:paraId="56D33B9C" w14:textId="77777777" w:rsidR="00644B5F" w:rsidRPr="00BC31E0" w:rsidRDefault="00644B5F" w:rsidP="00644B5F">
            <w:pPr>
              <w:tabs>
                <w:tab w:val="left" w:pos="1877"/>
                <w:tab w:val="left" w:pos="4287"/>
              </w:tabs>
              <w:rPr>
                <w:rFonts w:asciiTheme="minorHAnsi" w:eastAsiaTheme="minorEastAsia" w:hAnsiTheme="minorHAnsi"/>
              </w:rPr>
            </w:pPr>
            <w:r w:rsidRPr="00BC31E0">
              <w:rPr>
                <w:rFonts w:asciiTheme="minorHAnsi" w:eastAsiaTheme="minorEastAsia" w:hAnsiTheme="minorHAnsi" w:hint="eastAsia"/>
              </w:rPr>
              <w:tab/>
            </w:r>
            <w:r w:rsidRPr="00BC31E0">
              <w:rPr>
                <w:rFonts w:asciiTheme="minorHAnsi" w:eastAsiaTheme="minorEastAsia" w:hAnsiTheme="minorHAnsi"/>
              </w:rPr>
              <w:t>S32750</w:t>
            </w:r>
            <w:r w:rsidRPr="00BC31E0">
              <w:rPr>
                <w:rFonts w:asciiTheme="minorHAnsi" w:eastAsiaTheme="minorEastAsia" w:hAnsiTheme="minorHAnsi" w:hint="eastAsia"/>
              </w:rPr>
              <w:tab/>
            </w:r>
            <w:r w:rsidRPr="00BC31E0">
              <w:rPr>
                <w:rFonts w:asciiTheme="minorHAnsi" w:eastAsiaTheme="minorEastAsia" w:hAnsiTheme="minorHAnsi"/>
              </w:rPr>
              <w:t>1</w:t>
            </w:r>
            <w:r w:rsidRPr="00BC31E0">
              <w:rPr>
                <w:rFonts w:asciiTheme="minorHAnsi" w:eastAsiaTheme="minorEastAsia" w:hAnsiTheme="minorHAnsi" w:hint="eastAsia"/>
              </w:rPr>
              <w:t>,</w:t>
            </w:r>
            <w:r w:rsidRPr="00BC31E0">
              <w:rPr>
                <w:rFonts w:asciiTheme="minorHAnsi" w:eastAsiaTheme="minorEastAsia" w:hAnsiTheme="minorHAnsi"/>
              </w:rPr>
              <w:t>025</w:t>
            </w:r>
            <w:r w:rsidRPr="00BC31E0">
              <w:rPr>
                <w:rFonts w:asciiTheme="minorHAnsi" w:eastAsiaTheme="minorEastAsia" w:hAnsiTheme="minorHAnsi" w:hint="eastAsia"/>
              </w:rPr>
              <w:t xml:space="preserve"> </w:t>
            </w:r>
            <w:r w:rsidRPr="00BC31E0">
              <w:rPr>
                <w:rFonts w:asciiTheme="minorHAnsi" w:eastAsiaTheme="minorEastAsia" w:hAnsiTheme="minorHAnsi" w:hint="eastAsia"/>
              </w:rPr>
              <w:t>～</w:t>
            </w:r>
            <w:r w:rsidRPr="00BC31E0">
              <w:rPr>
                <w:rFonts w:asciiTheme="minorHAnsi" w:eastAsiaTheme="minorEastAsia" w:hAnsiTheme="minorHAnsi" w:hint="eastAsia"/>
              </w:rPr>
              <w:t xml:space="preserve"> </w:t>
            </w:r>
            <w:r w:rsidRPr="00BC31E0">
              <w:rPr>
                <w:rFonts w:asciiTheme="minorHAnsi" w:eastAsiaTheme="minorEastAsia" w:hAnsiTheme="minorHAnsi"/>
              </w:rPr>
              <w:t>1</w:t>
            </w:r>
            <w:r w:rsidRPr="00BC31E0">
              <w:rPr>
                <w:rFonts w:asciiTheme="minorHAnsi" w:eastAsiaTheme="minorEastAsia" w:hAnsiTheme="minorHAnsi" w:hint="eastAsia"/>
              </w:rPr>
              <w:t>,</w:t>
            </w:r>
            <w:r w:rsidRPr="00BC31E0">
              <w:rPr>
                <w:rFonts w:asciiTheme="minorHAnsi" w:eastAsiaTheme="minorEastAsia" w:hAnsiTheme="minorHAnsi"/>
              </w:rPr>
              <w:t>125</w:t>
            </w:r>
          </w:p>
          <w:p w14:paraId="00A2B341" w14:textId="77777777" w:rsidR="00644B5F" w:rsidRPr="00BC31E0" w:rsidRDefault="00644B5F" w:rsidP="00644B5F">
            <w:pPr>
              <w:tabs>
                <w:tab w:val="left" w:pos="1877"/>
                <w:tab w:val="left" w:pos="4287"/>
              </w:tabs>
              <w:rPr>
                <w:rFonts w:asciiTheme="minorHAnsi" w:eastAsiaTheme="minorEastAsia" w:hAnsiTheme="minorHAnsi"/>
              </w:rPr>
            </w:pPr>
            <w:r w:rsidRPr="00BC31E0">
              <w:rPr>
                <w:rFonts w:asciiTheme="minorHAnsi" w:eastAsiaTheme="minorEastAsia" w:hAnsiTheme="minorHAnsi" w:hint="eastAsia"/>
              </w:rPr>
              <w:tab/>
            </w:r>
            <w:r w:rsidRPr="00BC31E0">
              <w:rPr>
                <w:rFonts w:asciiTheme="minorHAnsi" w:eastAsiaTheme="minorEastAsia" w:hAnsiTheme="minorHAnsi"/>
              </w:rPr>
              <w:t>S32760</w:t>
            </w:r>
            <w:r w:rsidRPr="00BC31E0">
              <w:rPr>
                <w:rFonts w:asciiTheme="minorHAnsi" w:eastAsiaTheme="minorEastAsia" w:hAnsiTheme="minorHAnsi" w:hint="eastAsia"/>
              </w:rPr>
              <w:tab/>
            </w:r>
            <w:r w:rsidRPr="00BC31E0">
              <w:rPr>
                <w:rFonts w:asciiTheme="minorHAnsi" w:eastAsiaTheme="minorEastAsia" w:hAnsiTheme="minorHAnsi"/>
              </w:rPr>
              <w:t>1</w:t>
            </w:r>
            <w:r w:rsidRPr="00BC31E0">
              <w:rPr>
                <w:rFonts w:asciiTheme="minorHAnsi" w:eastAsiaTheme="minorEastAsia" w:hAnsiTheme="minorHAnsi" w:hint="eastAsia"/>
              </w:rPr>
              <w:t>,</w:t>
            </w:r>
            <w:r w:rsidRPr="00BC31E0">
              <w:rPr>
                <w:rFonts w:asciiTheme="minorHAnsi" w:eastAsiaTheme="minorEastAsia" w:hAnsiTheme="minorHAnsi"/>
              </w:rPr>
              <w:t>100</w:t>
            </w:r>
            <w:r w:rsidRPr="00BC31E0">
              <w:rPr>
                <w:rFonts w:asciiTheme="minorHAnsi" w:eastAsiaTheme="minorEastAsia" w:hAnsiTheme="minorHAnsi" w:hint="eastAsia"/>
              </w:rPr>
              <w:t xml:space="preserve"> </w:t>
            </w:r>
            <w:r w:rsidRPr="00BC31E0">
              <w:rPr>
                <w:rFonts w:asciiTheme="minorHAnsi" w:eastAsiaTheme="minorEastAsia" w:hAnsiTheme="minorHAnsi" w:hint="eastAsia"/>
              </w:rPr>
              <w:t>～</w:t>
            </w:r>
            <w:r w:rsidRPr="00BC31E0">
              <w:rPr>
                <w:rFonts w:asciiTheme="minorHAnsi" w:eastAsiaTheme="minorEastAsia" w:hAnsiTheme="minorHAnsi" w:hint="eastAsia"/>
              </w:rPr>
              <w:t xml:space="preserve"> </w:t>
            </w:r>
            <w:r w:rsidRPr="00BC31E0">
              <w:rPr>
                <w:rFonts w:asciiTheme="minorHAnsi" w:eastAsiaTheme="minorEastAsia" w:hAnsiTheme="minorHAnsi"/>
              </w:rPr>
              <w:t>1</w:t>
            </w:r>
            <w:r w:rsidRPr="00BC31E0">
              <w:rPr>
                <w:rFonts w:asciiTheme="minorHAnsi" w:eastAsiaTheme="minorEastAsia" w:hAnsiTheme="minorHAnsi" w:hint="eastAsia"/>
              </w:rPr>
              <w:t>,</w:t>
            </w:r>
            <w:r w:rsidRPr="00BC31E0">
              <w:rPr>
                <w:rFonts w:asciiTheme="minorHAnsi" w:eastAsiaTheme="minorEastAsia" w:hAnsiTheme="minorHAnsi"/>
              </w:rPr>
              <w:t>140</w:t>
            </w:r>
          </w:p>
          <w:p w14:paraId="7CC38772" w14:textId="77777777" w:rsidR="00644B5F" w:rsidRPr="00BC31E0" w:rsidRDefault="00644B5F" w:rsidP="00644B5F">
            <w:pPr>
              <w:tabs>
                <w:tab w:val="left" w:pos="1877"/>
                <w:tab w:val="left" w:pos="4428"/>
                <w:tab w:val="left" w:pos="5421"/>
              </w:tabs>
              <w:rPr>
                <w:rFonts w:asciiTheme="minorHAnsi" w:eastAsiaTheme="minorEastAsia" w:hAnsiTheme="minorHAnsi"/>
              </w:rPr>
            </w:pPr>
            <w:r w:rsidRPr="00BC31E0">
              <w:rPr>
                <w:rFonts w:asciiTheme="minorHAnsi" w:eastAsiaTheme="minorEastAsia" w:hAnsiTheme="minorHAnsi" w:hint="eastAsia"/>
              </w:rPr>
              <w:tab/>
            </w:r>
            <w:r w:rsidRPr="00BC31E0">
              <w:rPr>
                <w:rFonts w:asciiTheme="minorHAnsi" w:eastAsiaTheme="minorEastAsia" w:hAnsiTheme="minorHAnsi"/>
              </w:rPr>
              <w:t>S32900 (0.08 max. C)</w:t>
            </w:r>
            <w:r w:rsidRPr="00BC31E0">
              <w:rPr>
                <w:rFonts w:asciiTheme="minorHAnsi" w:eastAsiaTheme="minorEastAsia" w:hAnsiTheme="minorHAnsi" w:hint="eastAsia"/>
              </w:rPr>
              <w:tab/>
            </w:r>
            <w:r w:rsidRPr="00BC31E0">
              <w:rPr>
                <w:rFonts w:asciiTheme="minorHAnsi" w:eastAsiaTheme="minorEastAsia" w:hAnsiTheme="minorHAnsi"/>
              </w:rPr>
              <w:t>940</w:t>
            </w:r>
            <w:r w:rsidRPr="00BC31E0">
              <w:rPr>
                <w:rFonts w:asciiTheme="minorHAnsi" w:eastAsiaTheme="minorEastAsia" w:hAnsiTheme="minorHAnsi" w:hint="eastAsia"/>
              </w:rPr>
              <w:t xml:space="preserve"> </w:t>
            </w:r>
            <w:r w:rsidRPr="00BC31E0">
              <w:rPr>
                <w:rFonts w:asciiTheme="minorHAnsi" w:eastAsiaTheme="minorEastAsia" w:hAnsiTheme="minorHAnsi" w:hint="eastAsia"/>
              </w:rPr>
              <w:t>～</w:t>
            </w:r>
            <w:r w:rsidRPr="00BC31E0">
              <w:rPr>
                <w:rFonts w:asciiTheme="minorHAnsi" w:eastAsiaTheme="minorEastAsia" w:hAnsiTheme="minorHAnsi" w:hint="eastAsia"/>
              </w:rPr>
              <w:t xml:space="preserve"> </w:t>
            </w:r>
            <w:r w:rsidRPr="00BC31E0">
              <w:rPr>
                <w:rFonts w:asciiTheme="minorHAnsi" w:eastAsiaTheme="minorEastAsia" w:hAnsiTheme="minorHAnsi"/>
              </w:rPr>
              <w:tab/>
              <w:t>970</w:t>
            </w:r>
          </w:p>
          <w:p w14:paraId="74302184" w14:textId="77777777" w:rsidR="00644B5F" w:rsidRPr="00BC31E0" w:rsidRDefault="00644B5F" w:rsidP="00644B5F">
            <w:pPr>
              <w:tabs>
                <w:tab w:val="left" w:pos="1877"/>
                <w:tab w:val="left" w:pos="4428"/>
              </w:tabs>
              <w:rPr>
                <w:rFonts w:asciiTheme="minorHAnsi" w:eastAsiaTheme="minorEastAsia" w:hAnsiTheme="minorHAnsi"/>
              </w:rPr>
            </w:pPr>
            <w:r w:rsidRPr="00BC31E0">
              <w:rPr>
                <w:rFonts w:asciiTheme="minorHAnsi" w:eastAsiaTheme="minorEastAsia" w:hAnsiTheme="minorHAnsi" w:hint="eastAsia"/>
              </w:rPr>
              <w:tab/>
            </w:r>
            <w:r w:rsidRPr="00BC31E0">
              <w:rPr>
                <w:rFonts w:asciiTheme="minorHAnsi" w:eastAsiaTheme="minorEastAsia" w:hAnsiTheme="minorHAnsi"/>
              </w:rPr>
              <w:t>S32950</w:t>
            </w:r>
            <w:r w:rsidRPr="00BC31E0">
              <w:rPr>
                <w:rFonts w:asciiTheme="minorHAnsi" w:eastAsiaTheme="minorEastAsia" w:hAnsiTheme="minorHAnsi" w:hint="eastAsia"/>
              </w:rPr>
              <w:tab/>
            </w:r>
            <w:r w:rsidRPr="00BC31E0">
              <w:rPr>
                <w:rFonts w:asciiTheme="minorHAnsi" w:eastAsiaTheme="minorEastAsia" w:hAnsiTheme="minorHAnsi"/>
              </w:rPr>
              <w:t>995</w:t>
            </w:r>
            <w:r w:rsidRPr="00BC31E0">
              <w:rPr>
                <w:rFonts w:asciiTheme="minorHAnsi" w:eastAsiaTheme="minorEastAsia" w:hAnsiTheme="minorHAnsi" w:hint="eastAsia"/>
              </w:rPr>
              <w:t xml:space="preserve"> </w:t>
            </w:r>
            <w:r w:rsidRPr="00BC31E0">
              <w:rPr>
                <w:rFonts w:asciiTheme="minorHAnsi" w:eastAsiaTheme="minorEastAsia" w:hAnsiTheme="minorHAnsi" w:hint="eastAsia"/>
              </w:rPr>
              <w:t>～</w:t>
            </w:r>
            <w:r w:rsidRPr="00BC31E0">
              <w:rPr>
                <w:rFonts w:asciiTheme="minorHAnsi" w:eastAsiaTheme="minorEastAsia" w:hAnsiTheme="minorHAnsi" w:hint="eastAsia"/>
              </w:rPr>
              <w:t xml:space="preserve"> </w:t>
            </w:r>
            <w:r w:rsidRPr="00BC31E0">
              <w:rPr>
                <w:rFonts w:asciiTheme="minorHAnsi" w:eastAsiaTheme="minorEastAsia" w:hAnsiTheme="minorHAnsi"/>
              </w:rPr>
              <w:t>1</w:t>
            </w:r>
            <w:r w:rsidRPr="00BC31E0">
              <w:rPr>
                <w:rFonts w:asciiTheme="minorHAnsi" w:eastAsiaTheme="minorEastAsia" w:hAnsiTheme="minorHAnsi" w:hint="eastAsia"/>
              </w:rPr>
              <w:t>,</w:t>
            </w:r>
            <w:r w:rsidRPr="00BC31E0">
              <w:rPr>
                <w:rFonts w:asciiTheme="minorHAnsi" w:eastAsiaTheme="minorEastAsia" w:hAnsiTheme="minorHAnsi"/>
              </w:rPr>
              <w:t>025</w:t>
            </w:r>
          </w:p>
          <w:p w14:paraId="7582A921" w14:textId="77777777" w:rsidR="00644B5F" w:rsidRPr="00BC31E0" w:rsidRDefault="00644B5F" w:rsidP="00644B5F">
            <w:pPr>
              <w:tabs>
                <w:tab w:val="left" w:pos="1877"/>
                <w:tab w:val="left" w:pos="4287"/>
              </w:tabs>
              <w:rPr>
                <w:rFonts w:asciiTheme="minorHAnsi" w:eastAsiaTheme="minorEastAsia" w:hAnsiTheme="minorHAnsi"/>
              </w:rPr>
            </w:pPr>
            <w:r w:rsidRPr="00BC31E0">
              <w:rPr>
                <w:rFonts w:asciiTheme="minorHAnsi" w:eastAsiaTheme="minorEastAsia" w:hAnsiTheme="minorHAnsi" w:hint="eastAsia"/>
              </w:rPr>
              <w:tab/>
            </w:r>
            <w:r w:rsidRPr="00BC31E0">
              <w:rPr>
                <w:rFonts w:asciiTheme="minorHAnsi" w:eastAsiaTheme="minorEastAsia" w:hAnsiTheme="minorHAnsi"/>
              </w:rPr>
              <w:t>S39274</w:t>
            </w:r>
            <w:r w:rsidRPr="00BC31E0">
              <w:rPr>
                <w:rFonts w:asciiTheme="minorHAnsi" w:eastAsiaTheme="minorEastAsia" w:hAnsiTheme="minorHAnsi" w:hint="eastAsia"/>
              </w:rPr>
              <w:tab/>
            </w:r>
            <w:r w:rsidRPr="00BC31E0">
              <w:rPr>
                <w:rFonts w:asciiTheme="minorHAnsi" w:eastAsiaTheme="minorEastAsia" w:hAnsiTheme="minorHAnsi"/>
              </w:rPr>
              <w:t>1</w:t>
            </w:r>
            <w:r w:rsidRPr="00BC31E0">
              <w:rPr>
                <w:rFonts w:asciiTheme="minorHAnsi" w:eastAsiaTheme="minorEastAsia" w:hAnsiTheme="minorHAnsi" w:hint="eastAsia"/>
              </w:rPr>
              <w:t>,</w:t>
            </w:r>
            <w:r w:rsidRPr="00BC31E0">
              <w:rPr>
                <w:rFonts w:asciiTheme="minorHAnsi" w:eastAsiaTheme="minorEastAsia" w:hAnsiTheme="minorHAnsi"/>
              </w:rPr>
              <w:t>050</w:t>
            </w:r>
            <w:r w:rsidRPr="00BC31E0">
              <w:rPr>
                <w:rFonts w:asciiTheme="minorHAnsi" w:eastAsiaTheme="minorEastAsia" w:hAnsiTheme="minorHAnsi" w:hint="eastAsia"/>
              </w:rPr>
              <w:t xml:space="preserve"> </w:t>
            </w:r>
            <w:r w:rsidRPr="00BC31E0">
              <w:rPr>
                <w:rFonts w:asciiTheme="minorHAnsi" w:eastAsiaTheme="minorEastAsia" w:hAnsiTheme="minorHAnsi" w:hint="eastAsia"/>
              </w:rPr>
              <w:t>～</w:t>
            </w:r>
            <w:r w:rsidRPr="00BC31E0">
              <w:rPr>
                <w:rFonts w:asciiTheme="minorHAnsi" w:eastAsiaTheme="minorEastAsia" w:hAnsiTheme="minorHAnsi" w:hint="eastAsia"/>
              </w:rPr>
              <w:t xml:space="preserve"> </w:t>
            </w:r>
            <w:r w:rsidRPr="00BC31E0">
              <w:rPr>
                <w:rFonts w:asciiTheme="minorHAnsi" w:eastAsiaTheme="minorEastAsia" w:hAnsiTheme="minorHAnsi"/>
              </w:rPr>
              <w:t>1</w:t>
            </w:r>
            <w:r w:rsidRPr="00BC31E0">
              <w:rPr>
                <w:rFonts w:asciiTheme="minorHAnsi" w:eastAsiaTheme="minorEastAsia" w:hAnsiTheme="minorHAnsi" w:hint="eastAsia"/>
              </w:rPr>
              <w:t>,</w:t>
            </w:r>
            <w:r w:rsidRPr="00BC31E0">
              <w:rPr>
                <w:rFonts w:asciiTheme="minorHAnsi" w:eastAsiaTheme="minorEastAsia" w:hAnsiTheme="minorHAnsi"/>
              </w:rPr>
              <w:t>150</w:t>
            </w:r>
          </w:p>
          <w:p w14:paraId="309F51A6" w14:textId="77777777" w:rsidR="00644B5F" w:rsidRPr="00BC31E0" w:rsidRDefault="00644B5F" w:rsidP="00644B5F">
            <w:pPr>
              <w:rPr>
                <w:rFonts w:asciiTheme="minorHAnsi" w:eastAsiaTheme="minorEastAsia" w:hAnsiTheme="minorHAnsi"/>
              </w:rPr>
            </w:pPr>
          </w:p>
        </w:tc>
        <w:tc>
          <w:tcPr>
            <w:tcW w:w="2126" w:type="dxa"/>
          </w:tcPr>
          <w:p w14:paraId="6B0C0E1E" w14:textId="77777777" w:rsidR="00644B5F" w:rsidRPr="00BC31E0" w:rsidRDefault="00644B5F" w:rsidP="00BC31E0">
            <w:pPr>
              <w:spacing w:beforeLines="50" w:before="180"/>
              <w:rPr>
                <w:rFonts w:asciiTheme="minorHAnsi" w:eastAsiaTheme="minorEastAsia" w:hAnsiTheme="minorHAnsi"/>
              </w:rPr>
            </w:pPr>
          </w:p>
        </w:tc>
      </w:tr>
    </w:tbl>
    <w:p w14:paraId="69027271" w14:textId="77777777" w:rsidR="00644B5F" w:rsidRPr="00BC31E0" w:rsidRDefault="00644B5F" w:rsidP="009A5191">
      <w:pPr>
        <w:rPr>
          <w:rFonts w:asciiTheme="minorEastAsia" w:eastAsiaTheme="minorEastAsia" w:hAnsiTheme="minorEastAsia"/>
        </w:rPr>
      </w:pPr>
    </w:p>
    <w:p w14:paraId="1DED439A" w14:textId="77777777" w:rsidR="00644B5F" w:rsidRPr="00BC31E0" w:rsidRDefault="00644B5F" w:rsidP="00644B5F">
      <w:pPr>
        <w:widowControl/>
        <w:jc w:val="left"/>
      </w:pPr>
      <w:r w:rsidRPr="00BC31E0">
        <w:br w:type="page"/>
      </w:r>
    </w:p>
    <w:p w14:paraId="324729A9" w14:textId="77777777" w:rsidR="00644B5F" w:rsidRPr="00BC31E0" w:rsidRDefault="00644B5F" w:rsidP="00644B5F">
      <w:pPr>
        <w:jc w:val="center"/>
        <w:rPr>
          <w:rFonts w:asciiTheme="majorEastAsia" w:eastAsiaTheme="majorEastAsia" w:hAnsiTheme="majorEastAsia"/>
          <w:b/>
        </w:rPr>
      </w:pPr>
      <w:r w:rsidRPr="00BC31E0">
        <w:rPr>
          <w:rFonts w:asciiTheme="majorEastAsia" w:eastAsiaTheme="majorEastAsia" w:hAnsiTheme="majorEastAsia" w:hint="eastAsia"/>
          <w:b/>
        </w:rPr>
        <w:lastRenderedPageBreak/>
        <w:t>表7.4.14</w:t>
      </w:r>
      <w:r w:rsidRPr="00BC31E0">
        <w:rPr>
          <w:rFonts w:asciiTheme="majorEastAsia" w:eastAsiaTheme="majorEastAsia" w:hAnsiTheme="majorEastAsia"/>
          <w:b/>
        </w:rPr>
        <w:t xml:space="preserve">　溶接後熱処理</w:t>
      </w:r>
      <w:r w:rsidRPr="00BC31E0">
        <w:rPr>
          <w:rFonts w:asciiTheme="majorEastAsia" w:eastAsiaTheme="majorEastAsia" w:hAnsiTheme="majorEastAsia" w:hint="eastAsia"/>
          <w:b/>
        </w:rPr>
        <w:t>の温度及び時間</w:t>
      </w:r>
    </w:p>
    <w:p w14:paraId="6F161381" w14:textId="77777777" w:rsidR="00644B5F" w:rsidRPr="00BC31E0" w:rsidRDefault="00644B5F" w:rsidP="00644B5F">
      <w:pPr>
        <w:spacing w:after="60"/>
        <w:jc w:val="center"/>
        <w:rPr>
          <w:rFonts w:asciiTheme="majorEastAsia" w:eastAsiaTheme="majorEastAsia" w:hAnsiTheme="majorEastAsia"/>
          <w:b/>
        </w:rPr>
      </w:pPr>
      <w:r w:rsidRPr="00BC31E0">
        <w:rPr>
          <w:rFonts w:asciiTheme="majorEastAsia" w:eastAsiaTheme="majorEastAsia" w:hAnsiTheme="majorEastAsia"/>
          <w:b/>
        </w:rPr>
        <w:t>(P</w:t>
      </w:r>
      <w:r w:rsidRPr="00BC31E0">
        <w:rPr>
          <w:rFonts w:asciiTheme="majorEastAsia" w:eastAsiaTheme="majorEastAsia" w:hAnsiTheme="majorEastAsia" w:hint="eastAsia"/>
          <w:b/>
        </w:rPr>
        <w:t>番号</w:t>
      </w:r>
      <w:r w:rsidRPr="00BC31E0">
        <w:rPr>
          <w:rFonts w:asciiTheme="majorEastAsia" w:eastAsiaTheme="majorEastAsia" w:hAnsiTheme="majorEastAsia"/>
          <w:b/>
        </w:rPr>
        <w:t>10</w:t>
      </w:r>
      <w:r w:rsidRPr="00BC31E0">
        <w:rPr>
          <w:rFonts w:asciiTheme="majorEastAsia" w:eastAsiaTheme="majorEastAsia" w:hAnsiTheme="majorEastAsia" w:hint="eastAsia"/>
          <w:b/>
        </w:rPr>
        <w:t>Iグループ番号</w:t>
      </w:r>
      <w:r w:rsidRPr="00BC31E0">
        <w:rPr>
          <w:rFonts w:asciiTheme="majorEastAsia" w:eastAsiaTheme="majorEastAsia" w:hAnsiTheme="majorEastAsia"/>
          <w:b/>
        </w:rPr>
        <w:t>1</w:t>
      </w:r>
      <w:r w:rsidRPr="00BC31E0">
        <w:rPr>
          <w:rFonts w:asciiTheme="majorEastAsia" w:eastAsiaTheme="majorEastAsia" w:hAnsiTheme="majorEastAsia" w:hint="eastAsia"/>
          <w:b/>
        </w:rPr>
        <w:t>の材料</w:t>
      </w:r>
      <w:r w:rsidRPr="00BC31E0">
        <w:rPr>
          <w:rFonts w:asciiTheme="majorEastAsia" w:eastAsiaTheme="majorEastAsia" w:hAnsiTheme="majorEastAsia"/>
          <w:b/>
        </w:rPr>
        <w:t>)</w:t>
      </w:r>
    </w:p>
    <w:tbl>
      <w:tblPr>
        <w:tblStyle w:val="100"/>
        <w:tblW w:w="0" w:type="auto"/>
        <w:tblInd w:w="108" w:type="dxa"/>
        <w:tblLook w:val="04A0" w:firstRow="1" w:lastRow="0" w:firstColumn="1" w:lastColumn="0" w:noHBand="0" w:noVBand="1"/>
      </w:tblPr>
      <w:tblGrid>
        <w:gridCol w:w="6946"/>
        <w:gridCol w:w="2126"/>
      </w:tblGrid>
      <w:tr w:rsidR="00644B5F" w:rsidRPr="00BC31E0" w14:paraId="4F62AA17" w14:textId="77777777" w:rsidTr="004736F2">
        <w:tc>
          <w:tcPr>
            <w:tcW w:w="6946" w:type="dxa"/>
            <w:vAlign w:val="center"/>
          </w:tcPr>
          <w:p w14:paraId="3CF73745" w14:textId="77777777" w:rsidR="00644B5F" w:rsidRPr="00BC31E0" w:rsidRDefault="00644B5F" w:rsidP="00644B5F">
            <w:pPr>
              <w:jc w:val="center"/>
              <w:rPr>
                <w:rFonts w:asciiTheme="minorHAnsi" w:eastAsiaTheme="minorEastAsia" w:hAnsiTheme="minorHAnsi"/>
              </w:rPr>
            </w:pPr>
            <w:r w:rsidRPr="00BC31E0">
              <w:rPr>
                <w:rFonts w:asciiTheme="minorHAnsi" w:eastAsiaTheme="minorEastAsia" w:hAnsiTheme="minorEastAsia"/>
              </w:rPr>
              <w:t>要求事項</w:t>
            </w:r>
          </w:p>
        </w:tc>
        <w:tc>
          <w:tcPr>
            <w:tcW w:w="2126" w:type="dxa"/>
            <w:vAlign w:val="center"/>
          </w:tcPr>
          <w:p w14:paraId="73103232" w14:textId="77777777" w:rsidR="00644B5F" w:rsidRPr="00BC31E0" w:rsidRDefault="00644B5F" w:rsidP="00644B5F">
            <w:pPr>
              <w:jc w:val="center"/>
              <w:rPr>
                <w:rFonts w:asciiTheme="minorHAnsi" w:eastAsiaTheme="minorEastAsia" w:hAnsiTheme="minorHAnsi"/>
              </w:rPr>
            </w:pPr>
            <w:r w:rsidRPr="00BC31E0">
              <w:rPr>
                <w:rFonts w:asciiTheme="minorHAnsi" w:eastAsiaTheme="minorEastAsia" w:hAnsiTheme="minorEastAsia"/>
              </w:rPr>
              <w:t>保持温度と保持時間</w:t>
            </w:r>
          </w:p>
        </w:tc>
      </w:tr>
      <w:tr w:rsidR="00644B5F" w:rsidRPr="00BC31E0" w14:paraId="4C61033F" w14:textId="77777777" w:rsidTr="004736F2">
        <w:tc>
          <w:tcPr>
            <w:tcW w:w="6946" w:type="dxa"/>
          </w:tcPr>
          <w:p w14:paraId="17240D00" w14:textId="77777777" w:rsidR="00644B5F" w:rsidRPr="00BC31E0" w:rsidRDefault="00644B5F" w:rsidP="00736130">
            <w:pPr>
              <w:numPr>
                <w:ilvl w:val="0"/>
                <w:numId w:val="201"/>
              </w:numPr>
              <w:ind w:left="340" w:hanging="340"/>
              <w:rPr>
                <w:rFonts w:asciiTheme="minorHAnsi" w:eastAsiaTheme="minorEastAsia" w:hAnsiTheme="minorHAnsi"/>
              </w:rPr>
            </w:pPr>
            <w:r w:rsidRPr="00BC31E0">
              <w:rPr>
                <w:rFonts w:ascii="Cambria Math" w:eastAsiaTheme="minorEastAsia" w:hAnsi="Cambria Math"/>
              </w:rPr>
              <w:t>650</w:t>
            </w:r>
            <w:r w:rsidRPr="00BC31E0">
              <w:rPr>
                <w:rFonts w:asciiTheme="minorHAnsi" w:hAnsiTheme="minorHAnsi"/>
              </w:rPr>
              <w:t>°C</w:t>
            </w:r>
            <w:r w:rsidRPr="00BC31E0">
              <w:rPr>
                <w:rFonts w:asciiTheme="minorHAnsi" w:eastAsiaTheme="minorEastAsia" w:hAnsiTheme="minorHAnsi" w:hint="eastAsia"/>
              </w:rPr>
              <w:t>を超える温度における最大冷却速度は</w:t>
            </w:r>
            <w:r w:rsidRPr="00BC31E0">
              <w:rPr>
                <w:rFonts w:ascii="Cambria Math" w:eastAsiaTheme="minorEastAsia" w:hAnsi="Cambria Math"/>
              </w:rPr>
              <w:t>55</w:t>
            </w:r>
            <w:r w:rsidRPr="00BC31E0">
              <w:rPr>
                <w:rFonts w:asciiTheme="minorHAnsi" w:hAnsiTheme="minorHAnsi"/>
              </w:rPr>
              <w:t>°C</w:t>
            </w:r>
            <w:r w:rsidRPr="00BC31E0">
              <w:rPr>
                <w:rFonts w:ascii="Cambria Math" w:eastAsiaTheme="minorEastAsia" w:hAnsi="Cambria Math"/>
              </w:rPr>
              <w:t>/h</w:t>
            </w:r>
            <w:r w:rsidRPr="00BC31E0">
              <w:rPr>
                <w:rFonts w:asciiTheme="minorHAnsi" w:eastAsiaTheme="minorEastAsia" w:hAnsiTheme="minorHAnsi" w:hint="eastAsia"/>
              </w:rPr>
              <w:t>以下とし，その後，脆化を防止するために十分に速い速度で冷却しなければならない。</w:t>
            </w:r>
          </w:p>
          <w:p w14:paraId="5D1367E7" w14:textId="77777777" w:rsidR="00644B5F" w:rsidRPr="00BC31E0" w:rsidRDefault="00644B5F" w:rsidP="00736130">
            <w:pPr>
              <w:numPr>
                <w:ilvl w:val="0"/>
                <w:numId w:val="201"/>
              </w:numPr>
              <w:ind w:left="340" w:hanging="340"/>
              <w:rPr>
                <w:rFonts w:asciiTheme="minorHAnsi" w:eastAsiaTheme="minorEastAsia" w:hAnsiTheme="minorHAnsi"/>
              </w:rPr>
            </w:pPr>
            <w:r w:rsidRPr="00BC31E0">
              <w:rPr>
                <w:rFonts w:asciiTheme="minorHAnsi" w:eastAsiaTheme="minorEastAsia" w:hAnsiTheme="minorHAnsi" w:hint="eastAsia"/>
              </w:rPr>
              <w:t>公称厚さが</w:t>
            </w:r>
            <w:r w:rsidRPr="00BC31E0">
              <w:rPr>
                <w:rFonts w:ascii="Cambria Math" w:eastAsiaTheme="minorEastAsia" w:hAnsi="Cambria Math"/>
              </w:rPr>
              <w:t>13 mm</w:t>
            </w:r>
            <w:r w:rsidRPr="00BC31E0">
              <w:rPr>
                <w:rFonts w:asciiTheme="minorHAnsi" w:eastAsiaTheme="minorEastAsia" w:hAnsiTheme="minorHAnsi" w:hint="eastAsia"/>
              </w:rPr>
              <w:t>以下の材料では溶接後熱処理の必要はないが，行ってもよい。</w:t>
            </w:r>
          </w:p>
          <w:p w14:paraId="4C85FDE1" w14:textId="77777777" w:rsidR="00644B5F" w:rsidRPr="00BC31E0" w:rsidRDefault="00644B5F" w:rsidP="00736130">
            <w:pPr>
              <w:numPr>
                <w:ilvl w:val="0"/>
                <w:numId w:val="201"/>
              </w:numPr>
              <w:ind w:left="340" w:hanging="340"/>
              <w:rPr>
                <w:rFonts w:asciiTheme="minorHAnsi" w:eastAsiaTheme="minorEastAsia" w:hAnsiTheme="minorHAnsi"/>
              </w:rPr>
            </w:pPr>
            <w:r w:rsidRPr="00BC31E0">
              <w:rPr>
                <w:rFonts w:asciiTheme="minorHAnsi" w:eastAsiaTheme="minorEastAsia" w:hAnsiTheme="minorHAnsi" w:hint="eastAsia"/>
              </w:rPr>
              <w:t>UNS</w:t>
            </w:r>
            <w:r w:rsidRPr="00BC31E0">
              <w:rPr>
                <w:rFonts w:asciiTheme="minorHAnsi" w:eastAsiaTheme="minorEastAsia" w:hAnsiTheme="minorHAnsi" w:hint="eastAsia"/>
              </w:rPr>
              <w:t>番号</w:t>
            </w:r>
            <w:r w:rsidRPr="00BC31E0">
              <w:rPr>
                <w:rFonts w:asciiTheme="minorHAnsi" w:eastAsiaTheme="minorEastAsia" w:hAnsiTheme="minorHAnsi" w:hint="eastAsia"/>
              </w:rPr>
              <w:t>S44635</w:t>
            </w:r>
            <w:r w:rsidRPr="00BC31E0">
              <w:rPr>
                <w:rFonts w:asciiTheme="minorHAnsi" w:eastAsiaTheme="minorEastAsia" w:hAnsiTheme="minorHAnsi" w:hint="eastAsia"/>
              </w:rPr>
              <w:t>の材料は溶接後熱処理の必要はないが，行う場合にはフェライト系ステンレス鋼</w:t>
            </w:r>
            <w:r w:rsidRPr="00BC31E0">
              <w:rPr>
                <w:rFonts w:asciiTheme="minorHAnsi" w:eastAsiaTheme="minorEastAsia" w:hAnsiTheme="minorHAnsi"/>
              </w:rPr>
              <w:t>(P</w:t>
            </w:r>
            <w:r w:rsidRPr="00BC31E0">
              <w:rPr>
                <w:rFonts w:asciiTheme="minorHAnsi" w:eastAsiaTheme="minorEastAsia" w:hAnsiTheme="minorHAnsi" w:hint="eastAsia"/>
              </w:rPr>
              <w:t>番号</w:t>
            </w:r>
            <w:r w:rsidRPr="00BC31E0">
              <w:rPr>
                <w:rFonts w:asciiTheme="minorHAnsi" w:eastAsiaTheme="minorEastAsia" w:hAnsiTheme="minorHAnsi"/>
              </w:rPr>
              <w:t>7</w:t>
            </w:r>
            <w:r w:rsidRPr="00BC31E0">
              <w:rPr>
                <w:rFonts w:asciiTheme="minorHAnsi" w:eastAsiaTheme="minorEastAsia" w:hAnsiTheme="minorHAnsi" w:hint="eastAsia"/>
              </w:rPr>
              <w:t>の材料</w:t>
            </w:r>
            <w:r w:rsidRPr="00BC31E0">
              <w:rPr>
                <w:rFonts w:asciiTheme="minorHAnsi" w:eastAsiaTheme="minorEastAsia" w:hAnsiTheme="minorHAnsi"/>
              </w:rPr>
              <w:t>)</w:t>
            </w:r>
            <w:r w:rsidRPr="00BC31E0">
              <w:rPr>
                <w:rFonts w:asciiTheme="minorHAnsi" w:eastAsiaTheme="minorEastAsia" w:hAnsiTheme="minorHAnsi" w:hint="eastAsia"/>
              </w:rPr>
              <w:t>の条件とする。成形加工又は溶接後に熱処理する場合には</w:t>
            </w:r>
            <w:r w:rsidRPr="00BC31E0">
              <w:rPr>
                <w:rFonts w:ascii="Cambria Math" w:eastAsiaTheme="minorEastAsia" w:hAnsi="Cambria Math"/>
              </w:rPr>
              <w:t>1,010</w:t>
            </w:r>
            <w:r w:rsidRPr="00BC31E0">
              <w:rPr>
                <w:rFonts w:asciiTheme="minorHAnsi" w:hAnsiTheme="minorHAnsi"/>
              </w:rPr>
              <w:t>°C</w:t>
            </w:r>
            <w:r w:rsidRPr="00BC31E0">
              <w:rPr>
                <w:rFonts w:asciiTheme="minorHAnsi" w:eastAsiaTheme="minorEastAsia" w:hAnsiTheme="minorHAnsi" w:hint="eastAsia"/>
              </w:rPr>
              <w:t>以上とし，その後，</w:t>
            </w:r>
            <w:r w:rsidRPr="00BC31E0">
              <w:rPr>
                <w:rFonts w:ascii="Cambria Math" w:eastAsiaTheme="minorEastAsia" w:hAnsi="Cambria Math"/>
              </w:rPr>
              <w:t>425</w:t>
            </w:r>
            <w:r w:rsidRPr="00BC31E0">
              <w:rPr>
                <w:rFonts w:asciiTheme="minorHAnsi" w:hAnsiTheme="minorHAnsi"/>
              </w:rPr>
              <w:t>°C</w:t>
            </w:r>
            <w:r w:rsidRPr="00BC31E0">
              <w:rPr>
                <w:rFonts w:asciiTheme="minorHAnsi" w:eastAsiaTheme="minorEastAsia" w:hAnsiTheme="minorHAnsi" w:hint="eastAsia"/>
              </w:rPr>
              <w:t>まで急速冷却をする。</w:t>
            </w:r>
          </w:p>
          <w:p w14:paraId="4B698F55" w14:textId="77777777" w:rsidR="00644B5F" w:rsidRPr="00BC31E0" w:rsidRDefault="00644B5F" w:rsidP="00736130">
            <w:pPr>
              <w:numPr>
                <w:ilvl w:val="0"/>
                <w:numId w:val="201"/>
              </w:numPr>
              <w:ind w:left="340" w:hanging="340"/>
              <w:rPr>
                <w:rFonts w:asciiTheme="minorHAnsi" w:eastAsiaTheme="minorEastAsia" w:hAnsiTheme="minorHAnsi"/>
              </w:rPr>
            </w:pPr>
            <w:r w:rsidRPr="00BC31E0">
              <w:rPr>
                <w:rFonts w:asciiTheme="minorHAnsi" w:eastAsiaTheme="minorEastAsia" w:hAnsiTheme="minorEastAsia"/>
              </w:rPr>
              <w:t>溶接後熱処理の保持</w:t>
            </w:r>
            <w:r w:rsidRPr="00BC31E0">
              <w:rPr>
                <w:rFonts w:asciiTheme="minorHAnsi" w:eastAsiaTheme="minorEastAsia" w:hAnsiTheme="minorEastAsia" w:hint="eastAsia"/>
              </w:rPr>
              <w:t>期間</w:t>
            </w:r>
            <w:r w:rsidRPr="00BC31E0">
              <w:rPr>
                <w:rFonts w:asciiTheme="minorHAnsi" w:eastAsiaTheme="minorEastAsia" w:hAnsiTheme="minorEastAsia"/>
              </w:rPr>
              <w:t>中に，容器</w:t>
            </w:r>
            <w:r w:rsidRPr="00BC31E0">
              <w:rPr>
                <w:rFonts w:asciiTheme="minorHAnsi" w:eastAsiaTheme="minorEastAsia" w:hAnsiTheme="minorEastAsia" w:hint="eastAsia"/>
              </w:rPr>
              <w:t>部材の</w:t>
            </w:r>
            <w:r w:rsidRPr="00BC31E0">
              <w:rPr>
                <w:rFonts w:asciiTheme="minorHAnsi" w:eastAsiaTheme="minorEastAsia" w:hAnsiTheme="minorEastAsia"/>
              </w:rPr>
              <w:t>最大</w:t>
            </w:r>
            <w:r w:rsidRPr="00BC31E0">
              <w:rPr>
                <w:rFonts w:asciiTheme="minorHAnsi" w:eastAsiaTheme="minorEastAsia" w:hAnsiTheme="minorEastAsia" w:hint="eastAsia"/>
              </w:rPr>
              <w:t>保持</w:t>
            </w:r>
            <w:r w:rsidRPr="00BC31E0">
              <w:rPr>
                <w:rFonts w:asciiTheme="minorHAnsi" w:eastAsiaTheme="minorEastAsia" w:hAnsiTheme="minorEastAsia"/>
              </w:rPr>
              <w:t>時間</w:t>
            </w:r>
            <w:r w:rsidRPr="00BC31E0">
              <w:rPr>
                <w:rFonts w:asciiTheme="minorHAnsi" w:eastAsiaTheme="minorEastAsia" w:hAnsiTheme="minorEastAsia" w:hint="eastAsia"/>
              </w:rPr>
              <w:t>又は</w:t>
            </w:r>
            <w:r w:rsidRPr="00BC31E0">
              <w:rPr>
                <w:rFonts w:asciiTheme="minorHAnsi" w:eastAsiaTheme="minorEastAsia" w:hAnsiTheme="minorEastAsia"/>
              </w:rPr>
              <w:t>温度</w:t>
            </w:r>
            <w:r w:rsidRPr="00BC31E0">
              <w:rPr>
                <w:rFonts w:asciiTheme="minorHAnsi" w:eastAsiaTheme="minorEastAsia" w:hAnsiTheme="minorEastAsia" w:hint="eastAsia"/>
              </w:rPr>
              <w:t>が</w:t>
            </w:r>
            <w:r w:rsidRPr="00BC31E0">
              <w:rPr>
                <w:rFonts w:asciiTheme="majorEastAsia" w:eastAsiaTheme="majorEastAsia" w:hAnsiTheme="majorEastAsia" w:hint="eastAsia"/>
                <w:b/>
              </w:rPr>
              <w:t>10.1.2 c)</w:t>
            </w:r>
            <w:r w:rsidRPr="00BC31E0">
              <w:rPr>
                <w:rFonts w:asciiTheme="minorEastAsia" w:eastAsiaTheme="minorEastAsia" w:hAnsiTheme="minorEastAsia" w:hint="eastAsia"/>
              </w:rPr>
              <w:t>の</w:t>
            </w:r>
            <w:r w:rsidRPr="00BC31E0">
              <w:rPr>
                <w:rFonts w:asciiTheme="minorHAnsi" w:eastAsiaTheme="minorEastAsia" w:hAnsiTheme="minorEastAsia" w:hint="eastAsia"/>
              </w:rPr>
              <w:t>規定</w:t>
            </w:r>
            <w:r w:rsidRPr="00BC31E0">
              <w:rPr>
                <w:rFonts w:asciiTheme="minorHAnsi" w:eastAsiaTheme="minorEastAsia" w:hAnsiTheme="minorEastAsia"/>
              </w:rPr>
              <w:t>を超え</w:t>
            </w:r>
            <w:r w:rsidRPr="00BC31E0">
              <w:rPr>
                <w:rFonts w:asciiTheme="minorHAnsi" w:eastAsiaTheme="minorEastAsia" w:hAnsiTheme="minorEastAsia" w:hint="eastAsia"/>
              </w:rPr>
              <w:t>る</w:t>
            </w:r>
            <w:r w:rsidRPr="00BC31E0">
              <w:rPr>
                <w:rFonts w:asciiTheme="minorHAnsi" w:eastAsiaTheme="minorEastAsia" w:hAnsiTheme="minorEastAsia"/>
              </w:rPr>
              <w:t>場合には，追加</w:t>
            </w:r>
            <w:r w:rsidRPr="00BC31E0">
              <w:rPr>
                <w:rFonts w:asciiTheme="minorHAnsi" w:eastAsiaTheme="minorEastAsia" w:hAnsiTheme="minorEastAsia" w:hint="eastAsia"/>
              </w:rPr>
              <w:t>の</w:t>
            </w:r>
            <w:r w:rsidRPr="00BC31E0">
              <w:rPr>
                <w:rFonts w:asciiTheme="minorHAnsi" w:eastAsiaTheme="minorEastAsia" w:hAnsiTheme="minorEastAsia"/>
              </w:rPr>
              <w:t>試験材を作製して試験しなければならない。</w:t>
            </w:r>
          </w:p>
          <w:p w14:paraId="2BAC8D9E" w14:textId="77777777" w:rsidR="00644B5F" w:rsidRPr="00BC31E0" w:rsidRDefault="00644B5F" w:rsidP="00736130">
            <w:pPr>
              <w:numPr>
                <w:ilvl w:val="0"/>
                <w:numId w:val="201"/>
              </w:numPr>
              <w:ind w:left="340" w:hanging="340"/>
              <w:rPr>
                <w:rFonts w:asciiTheme="minorHAnsi" w:eastAsiaTheme="minorEastAsia" w:hAnsiTheme="minorHAnsi"/>
              </w:rPr>
            </w:pPr>
            <w:r w:rsidRPr="00BC31E0">
              <w:rPr>
                <w:rFonts w:ascii="Cambria Math" w:eastAsiaTheme="minorEastAsia" w:hAnsi="Cambria Math"/>
              </w:rPr>
              <w:t>425</w:t>
            </w:r>
            <w:r w:rsidRPr="00BC31E0">
              <w:rPr>
                <w:rFonts w:asciiTheme="minorHAnsi" w:hAnsiTheme="minorHAnsi"/>
              </w:rPr>
              <w:t>°C</w:t>
            </w:r>
            <w:r w:rsidRPr="00BC31E0">
              <w:rPr>
                <w:rFonts w:asciiTheme="minorHAnsi" w:eastAsiaTheme="minorEastAsia" w:hAnsiTheme="minorEastAsia" w:hint="eastAsia"/>
              </w:rPr>
              <w:t>～</w:t>
            </w:r>
            <w:r w:rsidRPr="00BC31E0">
              <w:rPr>
                <w:rFonts w:asciiTheme="minorHAnsi" w:eastAsiaTheme="minorEastAsia" w:hAnsiTheme="minorEastAsia"/>
              </w:rPr>
              <w:t>保持温度</w:t>
            </w:r>
            <w:r w:rsidRPr="00BC31E0">
              <w:rPr>
                <w:rFonts w:asciiTheme="minorHAnsi" w:eastAsiaTheme="minorEastAsia" w:hAnsiTheme="minorEastAsia" w:hint="eastAsia"/>
              </w:rPr>
              <w:t>間</w:t>
            </w:r>
            <w:r w:rsidRPr="00BC31E0">
              <w:rPr>
                <w:rFonts w:asciiTheme="minorHAnsi" w:eastAsiaTheme="minorEastAsia" w:hAnsiTheme="minorEastAsia"/>
              </w:rPr>
              <w:t>の加熱速度が</w:t>
            </w:r>
            <w:r w:rsidRPr="00BC31E0">
              <w:rPr>
                <w:rFonts w:ascii="Cambria Math" w:eastAsiaTheme="minorEastAsia" w:hAnsi="Cambria Math"/>
              </w:rPr>
              <w:t>30</w:t>
            </w:r>
            <w:r w:rsidRPr="00BC31E0">
              <w:rPr>
                <w:rFonts w:asciiTheme="minorHAnsi" w:hAnsiTheme="minorHAnsi"/>
              </w:rPr>
              <w:t>°C</w:t>
            </w:r>
            <w:r w:rsidRPr="00BC31E0">
              <w:rPr>
                <w:rFonts w:ascii="Cambria Math" w:eastAsiaTheme="minorEastAsia" w:hAnsi="Cambria Math"/>
              </w:rPr>
              <w:t>/h</w:t>
            </w:r>
            <w:r w:rsidRPr="00BC31E0">
              <w:rPr>
                <w:rFonts w:asciiTheme="minorHAnsi" w:eastAsiaTheme="minorEastAsia" w:hAnsiTheme="minorHAnsi" w:hint="eastAsia"/>
              </w:rPr>
              <w:t>以下の場合</w:t>
            </w:r>
            <w:r w:rsidRPr="00BC31E0">
              <w:rPr>
                <w:rFonts w:asciiTheme="minorHAnsi" w:eastAsiaTheme="minorEastAsia" w:hAnsiTheme="minorEastAsia"/>
              </w:rPr>
              <w:t>，</w:t>
            </w:r>
            <w:r w:rsidRPr="00BC31E0">
              <w:rPr>
                <w:rFonts w:asciiTheme="minorHAnsi" w:eastAsiaTheme="minorEastAsia" w:hAnsiTheme="minorEastAsia" w:hint="eastAsia"/>
              </w:rPr>
              <w:t>保持時間に</w:t>
            </w:r>
            <m:oMath>
              <m:f>
                <m:fPr>
                  <m:type m:val="lin"/>
                  <m:ctrlPr>
                    <w:rPr>
                      <w:rFonts w:ascii="Cambria Math" w:eastAsiaTheme="minorEastAsia" w:hAnsi="Cambria Math"/>
                      <w:i/>
                    </w:rPr>
                  </m:ctrlPr>
                </m:fPr>
                <m:num>
                  <m:r>
                    <w:rPr>
                      <w:rFonts w:ascii="Cambria Math" w:eastAsiaTheme="minorEastAsia" w:hAnsi="Cambria Math"/>
                    </w:rPr>
                    <m:t xml:space="preserve"> </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hint="eastAsia"/>
                            </w:rPr>
                            <m:t>t</m:t>
                          </m:r>
                        </m:e>
                        <m:sub>
                          <m:r>
                            <w:rPr>
                              <w:rFonts w:ascii="Cambria Math" w:eastAsiaTheme="minorEastAsia" w:hAnsi="Cambria Math"/>
                            </w:rPr>
                            <m:t xml:space="preserve">n </m:t>
                          </m:r>
                        </m:sub>
                      </m:sSub>
                      <m:r>
                        <w:rPr>
                          <w:rFonts w:ascii="Cambria Math" w:eastAsiaTheme="minorEastAsia" w:hAnsi="Cambria Math"/>
                        </w:rPr>
                        <m:t>-25</m:t>
                      </m:r>
                    </m:e>
                  </m:d>
                </m:num>
                <m:den>
                  <m:r>
                    <w:rPr>
                      <w:rFonts w:ascii="Cambria Math" w:eastAsiaTheme="minorEastAsia" w:hAnsi="Cambria Math"/>
                    </w:rPr>
                    <m:t xml:space="preserve">100 </m:t>
                  </m:r>
                  <m:r>
                    <m:rPr>
                      <m:sty m:val="p"/>
                    </m:rPr>
                    <w:rPr>
                      <w:rFonts w:ascii="Cambria Math" w:eastAsiaTheme="minorEastAsia" w:hAnsi="Cambria Math"/>
                    </w:rPr>
                    <m:t>h</m:t>
                  </m:r>
                  <m:r>
                    <w:rPr>
                      <w:rFonts w:ascii="Cambria Math" w:eastAsiaTheme="minorEastAsia" w:hAnsi="Cambria Math"/>
                    </w:rPr>
                    <m:t xml:space="preserve"> </m:t>
                  </m:r>
                </m:den>
              </m:f>
            </m:oMath>
            <w:r w:rsidRPr="00BC31E0">
              <w:rPr>
                <w:rFonts w:asciiTheme="minorHAnsi" w:eastAsiaTheme="minorEastAsia" w:hAnsiTheme="minorEastAsia" w:hint="eastAsia"/>
              </w:rPr>
              <w:t>を加算する必要はない</w:t>
            </w:r>
            <w:r w:rsidRPr="00BC31E0">
              <w:rPr>
                <w:rFonts w:asciiTheme="minorHAnsi" w:eastAsiaTheme="minorEastAsia" w:hAnsiTheme="minorEastAsia"/>
              </w:rPr>
              <w:t>。更に，製作者が全厚さにわたって最低温度を</w:t>
            </w:r>
            <w:r w:rsidRPr="00BC31E0">
              <w:rPr>
                <w:rFonts w:asciiTheme="minorHAnsi" w:eastAsiaTheme="minorEastAsia" w:hAnsiTheme="minorEastAsia" w:hint="eastAsia"/>
              </w:rPr>
              <w:t>保持</w:t>
            </w:r>
            <w:r w:rsidRPr="00BC31E0">
              <w:rPr>
                <w:rFonts w:asciiTheme="minorHAnsi" w:eastAsiaTheme="minorEastAsia" w:hAnsiTheme="minorEastAsia"/>
              </w:rPr>
              <w:t>できること</w:t>
            </w:r>
            <w:r w:rsidRPr="00BC31E0">
              <w:rPr>
                <w:rFonts w:asciiTheme="minorHAnsi" w:eastAsiaTheme="minorEastAsia" w:hAnsiTheme="minorEastAsia" w:hint="eastAsia"/>
              </w:rPr>
              <w:t>を</w:t>
            </w:r>
            <w:r w:rsidRPr="00BC31E0">
              <w:rPr>
                <w:rFonts w:asciiTheme="minorHAnsi" w:eastAsiaTheme="minorEastAsia" w:hAnsiTheme="minorEastAsia"/>
              </w:rPr>
              <w:t>示すことができれば，</w:t>
            </w:r>
            <w:r w:rsidRPr="00BC31E0">
              <w:rPr>
                <w:rFonts w:asciiTheme="minorHAnsi" w:eastAsiaTheme="minorEastAsia" w:hAnsiTheme="minorEastAsia" w:hint="eastAsia"/>
              </w:rPr>
              <w:t>保持時間に</w:t>
            </w:r>
            <m:oMath>
              <m:f>
                <m:fPr>
                  <m:type m:val="lin"/>
                  <m:ctrlPr>
                    <w:rPr>
                      <w:rFonts w:ascii="Cambria Math" w:eastAsiaTheme="minorEastAsia" w:hAnsi="Cambria Math"/>
                      <w:i/>
                    </w:rPr>
                  </m:ctrlPr>
                </m:fPr>
                <m:num>
                  <m:r>
                    <w:rPr>
                      <w:rFonts w:ascii="Cambria Math" w:eastAsiaTheme="minorEastAsia" w:hAnsi="Cambria Math"/>
                    </w:rPr>
                    <m:t xml:space="preserve"> </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hint="eastAsia"/>
                            </w:rPr>
                            <m:t>t</m:t>
                          </m:r>
                        </m:e>
                        <m:sub>
                          <m:r>
                            <w:rPr>
                              <w:rFonts w:ascii="Cambria Math" w:eastAsiaTheme="minorEastAsia" w:hAnsi="Cambria Math"/>
                            </w:rPr>
                            <m:t xml:space="preserve">n </m:t>
                          </m:r>
                        </m:sub>
                      </m:sSub>
                      <m:r>
                        <w:rPr>
                          <w:rFonts w:ascii="Cambria Math" w:eastAsiaTheme="minorEastAsia" w:hAnsi="Cambria Math"/>
                        </w:rPr>
                        <m:t>-25</m:t>
                      </m:r>
                    </m:e>
                  </m:d>
                </m:num>
                <m:den>
                  <m:r>
                    <w:rPr>
                      <w:rFonts w:ascii="Cambria Math" w:eastAsiaTheme="minorEastAsia" w:hAnsi="Cambria Math"/>
                    </w:rPr>
                    <m:t xml:space="preserve">100 </m:t>
                  </m:r>
                  <m:r>
                    <m:rPr>
                      <m:sty m:val="p"/>
                    </m:rPr>
                    <w:rPr>
                      <w:rFonts w:ascii="Cambria Math" w:eastAsiaTheme="minorEastAsia" w:hAnsi="Cambria Math"/>
                    </w:rPr>
                    <m:t>h</m:t>
                  </m:r>
                  <m:r>
                    <w:rPr>
                      <w:rFonts w:ascii="Cambria Math" w:eastAsiaTheme="minorEastAsia" w:hAnsi="Cambria Math"/>
                    </w:rPr>
                    <m:t xml:space="preserve"> </m:t>
                  </m:r>
                </m:den>
              </m:f>
            </m:oMath>
            <w:r w:rsidRPr="00BC31E0">
              <w:rPr>
                <w:rFonts w:asciiTheme="minorHAnsi" w:eastAsiaTheme="minorEastAsia" w:hAnsiTheme="minorEastAsia" w:hint="eastAsia"/>
              </w:rPr>
              <w:t>を加算する必要はない</w:t>
            </w:r>
            <w:r w:rsidRPr="00BC31E0">
              <w:rPr>
                <w:rFonts w:asciiTheme="minorHAnsi" w:eastAsiaTheme="minorEastAsia" w:hAnsiTheme="minorEastAsia"/>
              </w:rPr>
              <w:t>。</w:t>
            </w:r>
          </w:p>
        </w:tc>
        <w:tc>
          <w:tcPr>
            <w:tcW w:w="2126" w:type="dxa"/>
          </w:tcPr>
          <w:p w14:paraId="15C1A2CB" w14:textId="77777777" w:rsidR="00644B5F" w:rsidRPr="00BC31E0" w:rsidRDefault="00644B5F" w:rsidP="00644B5F">
            <w:pPr>
              <w:ind w:left="170"/>
              <w:rPr>
                <w:rFonts w:ascii="Cambria Math" w:eastAsiaTheme="minorEastAsia" w:hAnsi="Cambria Math"/>
              </w:rPr>
            </w:pPr>
            <w:r w:rsidRPr="00BC31E0">
              <w:rPr>
                <w:rFonts w:ascii="Cambria Math" w:eastAsiaTheme="minorEastAsia" w:hAnsi="Cambria Math"/>
              </w:rPr>
              <w:t>730</w:t>
            </w:r>
            <w:r w:rsidRPr="00BC31E0">
              <w:rPr>
                <w:rFonts w:asciiTheme="minorHAnsi" w:hAnsiTheme="minorHAnsi"/>
              </w:rPr>
              <w:t>°C</w:t>
            </w:r>
          </w:p>
          <w:tbl>
            <w:tblPr>
              <w:tblStyle w:val="100"/>
              <w:tblW w:w="0" w:type="auto"/>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35"/>
            </w:tblGrid>
            <w:tr w:rsidR="00644B5F" w:rsidRPr="00BC31E0" w14:paraId="4A4BF6BD" w14:textId="77777777" w:rsidTr="004736F2">
              <w:tc>
                <w:tcPr>
                  <w:tcW w:w="0" w:type="auto"/>
                  <w:vAlign w:val="center"/>
                </w:tcPr>
                <w:p w14:paraId="408F08A8" w14:textId="77777777" w:rsidR="00644B5F" w:rsidRPr="00BC31E0" w:rsidRDefault="00644B5F" w:rsidP="00644B5F">
                  <w:pPr>
                    <w:rPr>
                      <w:rFonts w:ascii="Cambria Math" w:eastAsiaTheme="majorEastAsia" w:hAnsi="Cambria Math"/>
                      <w:i/>
                    </w:rPr>
                  </w:pPr>
                  <m:oMathPara>
                    <m:oMathParaPr>
                      <m:jc m:val="left"/>
                    </m:oMathParaPr>
                    <m:oMath>
                      <m:r>
                        <w:rPr>
                          <w:rFonts w:ascii="Cambria Math" w:eastAsiaTheme="majorEastAsia" w:hAnsi="Cambria Math"/>
                        </w:rPr>
                        <m:t>1+</m:t>
                      </m:r>
                      <m:f>
                        <m:fPr>
                          <m:ctrlPr>
                            <w:rPr>
                              <w:rFonts w:ascii="Cambria Math" w:eastAsiaTheme="majorEastAsia" w:hAnsi="Cambria Math"/>
                              <w:i/>
                            </w:rPr>
                          </m:ctrlPr>
                        </m:fPr>
                        <m:num>
                          <m:sSub>
                            <m:sSubPr>
                              <m:ctrlPr>
                                <w:rPr>
                                  <w:rFonts w:ascii="Cambria Math" w:eastAsiaTheme="majorEastAsia" w:hAnsi="Cambria Math"/>
                                  <w:i/>
                                </w:rPr>
                              </m:ctrlPr>
                            </m:sSubPr>
                            <m:e>
                              <m:r>
                                <w:rPr>
                                  <w:rFonts w:ascii="Cambria Math" w:eastAsiaTheme="majorEastAsia" w:hAnsi="Cambria Math"/>
                                </w:rPr>
                                <m:t>t</m:t>
                              </m:r>
                            </m:e>
                            <m:sub>
                              <m:r>
                                <w:rPr>
                                  <w:rFonts w:ascii="Cambria Math" w:eastAsiaTheme="majorEastAsia" w:hAnsi="Cambria Math"/>
                                </w:rPr>
                                <m:t>n</m:t>
                              </m:r>
                            </m:sub>
                          </m:sSub>
                          <m:r>
                            <w:rPr>
                              <w:rFonts w:ascii="Cambria Math" w:eastAsiaTheme="majorEastAsia" w:hAnsi="Cambria Math"/>
                            </w:rPr>
                            <m:t>-25</m:t>
                          </m:r>
                        </m:num>
                        <m:den>
                          <m:r>
                            <w:rPr>
                              <w:rFonts w:ascii="Cambria Math" w:eastAsiaTheme="majorEastAsia" w:hAnsi="Cambria Math"/>
                            </w:rPr>
                            <m:t>100</m:t>
                          </m:r>
                        </m:den>
                      </m:f>
                      <m:r>
                        <w:rPr>
                          <w:rFonts w:ascii="Cambria Math" w:eastAsiaTheme="majorEastAsia" w:hAnsi="Cambria Math"/>
                        </w:rPr>
                        <m:t xml:space="preserve"> </m:t>
                      </m:r>
                      <m:r>
                        <m:rPr>
                          <m:sty m:val="p"/>
                        </m:rPr>
                        <w:rPr>
                          <w:rFonts w:ascii="Cambria Math" w:eastAsiaTheme="majorEastAsia" w:hAnsi="Cambria Math"/>
                        </w:rPr>
                        <m:t>h</m:t>
                      </m:r>
                    </m:oMath>
                  </m:oMathPara>
                </w:p>
              </w:tc>
            </w:tr>
          </w:tbl>
          <w:p w14:paraId="5F45851A" w14:textId="77777777" w:rsidR="00644B5F" w:rsidRPr="00BC31E0" w:rsidRDefault="00644B5F" w:rsidP="00644B5F">
            <w:pPr>
              <w:ind w:left="170"/>
              <w:rPr>
                <w:rFonts w:asciiTheme="minorHAnsi" w:eastAsiaTheme="minorEastAsia" w:hAnsiTheme="minorHAnsi"/>
              </w:rPr>
            </w:pPr>
            <w:r w:rsidRPr="00BC31E0">
              <w:rPr>
                <w:rFonts w:asciiTheme="minorHAnsi" w:eastAsiaTheme="minorEastAsia" w:hAnsiTheme="minorEastAsia"/>
              </w:rPr>
              <w:t>最</w:t>
            </w:r>
            <w:r w:rsidRPr="00BC31E0">
              <w:rPr>
                <w:rFonts w:asciiTheme="minorHAnsi" w:eastAsiaTheme="minorEastAsia" w:hAnsiTheme="minorEastAsia" w:hint="eastAsia"/>
              </w:rPr>
              <w:t>小</w:t>
            </w:r>
            <w:r w:rsidRPr="00BC31E0">
              <w:rPr>
                <w:rFonts w:asciiTheme="minorHAnsi" w:eastAsiaTheme="minorEastAsia" w:hAnsiTheme="minorHAnsi"/>
              </w:rPr>
              <w:t xml:space="preserve"> </w:t>
            </w:r>
            <w:r w:rsidRPr="00BC31E0">
              <w:rPr>
                <w:rFonts w:ascii="Cambria Math" w:eastAsiaTheme="minorEastAsia" w:hAnsi="Cambria Math"/>
              </w:rPr>
              <w:t>1 h</w:t>
            </w:r>
          </w:p>
          <w:p w14:paraId="09102B7D" w14:textId="77777777" w:rsidR="00644B5F" w:rsidRPr="00BC31E0" w:rsidRDefault="00644B5F" w:rsidP="00644B5F">
            <w:pPr>
              <w:rPr>
                <w:rFonts w:asciiTheme="minorHAnsi" w:eastAsiaTheme="minorEastAsia" w:hAnsiTheme="minorHAnsi"/>
              </w:rPr>
            </w:pPr>
          </w:p>
        </w:tc>
      </w:tr>
    </w:tbl>
    <w:p w14:paraId="40C66180" w14:textId="77777777" w:rsidR="00644B5F" w:rsidRPr="00BC31E0" w:rsidRDefault="00644B5F" w:rsidP="009A5191">
      <w:pPr>
        <w:spacing w:before="60"/>
        <w:rPr>
          <w:rFonts w:asciiTheme="minorHAnsi" w:eastAsiaTheme="minorEastAsia" w:hAnsiTheme="minorHAnsi"/>
        </w:rPr>
      </w:pPr>
      <w:r w:rsidRPr="00BC31E0">
        <w:rPr>
          <w:rFonts w:asciiTheme="majorEastAsia" w:eastAsiaTheme="majorEastAsia" w:hAnsiTheme="majorEastAsia" w:hint="eastAsia"/>
          <w:b/>
        </w:rPr>
        <w:t>注記</w:t>
      </w:r>
      <w:r w:rsidRPr="00BC31E0">
        <w:rPr>
          <w:rFonts w:asciiTheme="minorHAnsi" w:eastAsiaTheme="minorEastAsia" w:hAnsiTheme="minorHAnsi" w:hint="eastAsia"/>
        </w:rPr>
        <w:t xml:space="preserve">　</w:t>
      </w:r>
      <m:oMath>
        <m:sSub>
          <m:sSubPr>
            <m:ctrlPr>
              <w:rPr>
                <w:rFonts w:ascii="Cambria Math" w:eastAsiaTheme="minorEastAsia" w:hAnsi="Cambria Math"/>
              </w:rPr>
            </m:ctrlPr>
          </m:sSubPr>
          <m:e>
            <m:r>
              <w:rPr>
                <w:rFonts w:ascii="Cambria Math" w:eastAsiaTheme="minorEastAsia" w:hAnsi="Cambria Math" w:hint="eastAsia"/>
              </w:rPr>
              <m:t>t</m:t>
            </m:r>
          </m:e>
          <m:sub>
            <m:r>
              <w:rPr>
                <w:rFonts w:ascii="Cambria Math" w:eastAsiaTheme="minorEastAsia" w:hAnsi="Cambria Math"/>
              </w:rPr>
              <m:t>n</m:t>
            </m:r>
          </m:sub>
        </m:sSub>
        <m:r>
          <m:rPr>
            <m:sty m:val="p"/>
          </m:rPr>
          <w:rPr>
            <w:rFonts w:ascii="Cambria Math" w:eastAsiaTheme="minorEastAsia" w:hAnsi="Cambria Math"/>
          </w:rPr>
          <m:t xml:space="preserve"> </m:t>
        </m:r>
      </m:oMath>
      <w:r w:rsidRPr="00BC31E0">
        <w:rPr>
          <w:rFonts w:asciiTheme="minorHAnsi" w:eastAsiaTheme="minorEastAsia" w:hAnsiTheme="minorHAnsi" w:hint="eastAsia"/>
        </w:rPr>
        <w:t>は，</w:t>
      </w:r>
      <w:r w:rsidRPr="00BC31E0">
        <w:rPr>
          <w:rFonts w:asciiTheme="majorEastAsia" w:eastAsiaTheme="majorEastAsia" w:hAnsiTheme="majorEastAsia" w:hint="eastAsia"/>
          <w:b/>
        </w:rPr>
        <w:t>7.4.1 b) 4)</w:t>
      </w:r>
      <w:r w:rsidRPr="00BC31E0">
        <w:rPr>
          <w:rFonts w:asciiTheme="minorHAnsi" w:eastAsiaTheme="minorEastAsia" w:hAnsiTheme="minorHAnsi" w:hint="eastAsia"/>
        </w:rPr>
        <w:t>に規定する公称厚さ</w:t>
      </w:r>
      <w:r w:rsidRPr="00BC31E0">
        <w:rPr>
          <w:rFonts w:asciiTheme="minorHAnsi" w:eastAsiaTheme="minorEastAsia" w:hAnsiTheme="minorHAnsi" w:hint="eastAsia"/>
        </w:rPr>
        <w:t>(</w:t>
      </w:r>
      <w:r w:rsidRPr="00BC31E0">
        <w:rPr>
          <w:rFonts w:ascii="Cambria Math" w:eastAsiaTheme="minorEastAsia" w:hAnsi="Cambria Math"/>
        </w:rPr>
        <w:t>mm</w:t>
      </w:r>
      <w:r w:rsidRPr="00BC31E0">
        <w:rPr>
          <w:rFonts w:asciiTheme="minorHAnsi" w:eastAsiaTheme="minorEastAsia" w:hAnsiTheme="minorHAnsi" w:hint="eastAsia"/>
        </w:rPr>
        <w:t>)</w:t>
      </w:r>
      <w:r w:rsidRPr="00BC31E0">
        <w:rPr>
          <w:rFonts w:asciiTheme="minorHAnsi" w:eastAsiaTheme="minorEastAsia" w:hAnsiTheme="minorHAnsi" w:hint="eastAsia"/>
        </w:rPr>
        <w:t>である。</w:t>
      </w:r>
    </w:p>
    <w:p w14:paraId="15974EA2" w14:textId="77777777" w:rsidR="00644B5F" w:rsidRPr="00BC31E0" w:rsidRDefault="00644B5F" w:rsidP="009A5191">
      <w:pPr>
        <w:rPr>
          <w:rFonts w:asciiTheme="minorEastAsia" w:eastAsiaTheme="minorEastAsia" w:hAnsiTheme="minorEastAsia"/>
        </w:rPr>
      </w:pPr>
    </w:p>
    <w:p w14:paraId="68B05C3D" w14:textId="77777777" w:rsidR="00644B5F" w:rsidRPr="00BC31E0" w:rsidRDefault="00644B5F" w:rsidP="009A5191">
      <w:pPr>
        <w:rPr>
          <w:rFonts w:asciiTheme="minorEastAsia" w:eastAsiaTheme="minorEastAsia" w:hAnsiTheme="minorEastAsia"/>
        </w:rPr>
      </w:pPr>
    </w:p>
    <w:p w14:paraId="50CF83A0" w14:textId="77777777" w:rsidR="009A5191" w:rsidRPr="00BC31E0" w:rsidRDefault="009A5191" w:rsidP="009A5191">
      <w:pPr>
        <w:rPr>
          <w:rFonts w:asciiTheme="minorEastAsia" w:eastAsiaTheme="minorEastAsia" w:hAnsiTheme="minorEastAsia"/>
        </w:rPr>
      </w:pPr>
    </w:p>
    <w:p w14:paraId="43F96771" w14:textId="77777777" w:rsidR="00644B5F" w:rsidRPr="00BC31E0" w:rsidRDefault="00644B5F" w:rsidP="009A5191">
      <w:pPr>
        <w:rPr>
          <w:rFonts w:asciiTheme="minorEastAsia" w:eastAsiaTheme="minorEastAsia" w:hAnsiTheme="minorEastAsia"/>
        </w:rPr>
      </w:pPr>
    </w:p>
    <w:p w14:paraId="52023D7B" w14:textId="77777777" w:rsidR="00644B5F" w:rsidRPr="00BC31E0" w:rsidRDefault="00644B5F" w:rsidP="00644B5F">
      <w:pPr>
        <w:jc w:val="center"/>
        <w:rPr>
          <w:rFonts w:asciiTheme="majorEastAsia" w:eastAsiaTheme="majorEastAsia" w:hAnsiTheme="majorEastAsia"/>
          <w:b/>
        </w:rPr>
      </w:pPr>
      <w:r w:rsidRPr="00BC31E0">
        <w:rPr>
          <w:rFonts w:asciiTheme="majorEastAsia" w:eastAsiaTheme="majorEastAsia" w:hAnsiTheme="majorEastAsia" w:hint="eastAsia"/>
          <w:b/>
        </w:rPr>
        <w:t>表7.4.15</w:t>
      </w:r>
      <w:r w:rsidRPr="00BC31E0">
        <w:rPr>
          <w:rFonts w:asciiTheme="majorEastAsia" w:eastAsiaTheme="majorEastAsia" w:hAnsiTheme="majorEastAsia"/>
          <w:b/>
        </w:rPr>
        <w:t xml:space="preserve">　溶接後熱処理</w:t>
      </w:r>
      <w:r w:rsidRPr="00BC31E0">
        <w:rPr>
          <w:rFonts w:asciiTheme="majorEastAsia" w:eastAsiaTheme="majorEastAsia" w:hAnsiTheme="majorEastAsia" w:hint="eastAsia"/>
          <w:b/>
        </w:rPr>
        <w:t>の温度及び時間</w:t>
      </w:r>
    </w:p>
    <w:p w14:paraId="3AFD72F2" w14:textId="77777777" w:rsidR="00644B5F" w:rsidRPr="00BC31E0" w:rsidRDefault="00644B5F" w:rsidP="00644B5F">
      <w:pPr>
        <w:spacing w:after="60"/>
        <w:jc w:val="center"/>
        <w:rPr>
          <w:rFonts w:asciiTheme="majorEastAsia" w:eastAsiaTheme="majorEastAsia" w:hAnsiTheme="majorEastAsia"/>
          <w:b/>
        </w:rPr>
      </w:pPr>
      <w:r w:rsidRPr="00BC31E0">
        <w:rPr>
          <w:rFonts w:asciiTheme="majorEastAsia" w:eastAsiaTheme="majorEastAsia" w:hAnsiTheme="majorEastAsia"/>
          <w:b/>
        </w:rPr>
        <w:t>(P</w:t>
      </w:r>
      <w:r w:rsidRPr="00BC31E0">
        <w:rPr>
          <w:rFonts w:asciiTheme="majorEastAsia" w:eastAsiaTheme="majorEastAsia" w:hAnsiTheme="majorEastAsia" w:hint="eastAsia"/>
          <w:b/>
        </w:rPr>
        <w:t>番号</w:t>
      </w:r>
      <w:r w:rsidRPr="00BC31E0">
        <w:rPr>
          <w:rFonts w:asciiTheme="majorEastAsia" w:eastAsiaTheme="majorEastAsia" w:hAnsiTheme="majorEastAsia"/>
          <w:b/>
        </w:rPr>
        <w:t>10K</w:t>
      </w:r>
      <w:r w:rsidRPr="00BC31E0">
        <w:rPr>
          <w:rFonts w:asciiTheme="majorEastAsia" w:eastAsiaTheme="majorEastAsia" w:hAnsiTheme="majorEastAsia" w:hint="eastAsia"/>
          <w:b/>
        </w:rPr>
        <w:t>グループ番号</w:t>
      </w:r>
      <w:r w:rsidRPr="00BC31E0">
        <w:rPr>
          <w:rFonts w:asciiTheme="majorEastAsia" w:eastAsiaTheme="majorEastAsia" w:hAnsiTheme="majorEastAsia"/>
          <w:b/>
        </w:rPr>
        <w:t>1</w:t>
      </w:r>
      <w:r w:rsidRPr="00BC31E0">
        <w:rPr>
          <w:rFonts w:asciiTheme="majorEastAsia" w:eastAsiaTheme="majorEastAsia" w:hAnsiTheme="majorEastAsia" w:hint="eastAsia"/>
          <w:b/>
        </w:rPr>
        <w:t>の材料</w:t>
      </w:r>
      <w:r w:rsidRPr="00BC31E0">
        <w:rPr>
          <w:rFonts w:asciiTheme="majorEastAsia" w:eastAsiaTheme="majorEastAsia" w:hAnsiTheme="majorEastAsia"/>
          <w:b/>
        </w:rPr>
        <w:t>)</w:t>
      </w:r>
    </w:p>
    <w:tbl>
      <w:tblPr>
        <w:tblStyle w:val="100"/>
        <w:tblW w:w="0" w:type="auto"/>
        <w:tblInd w:w="108" w:type="dxa"/>
        <w:tblLayout w:type="fixed"/>
        <w:tblLook w:val="04A0" w:firstRow="1" w:lastRow="0" w:firstColumn="1" w:lastColumn="0" w:noHBand="0" w:noVBand="1"/>
      </w:tblPr>
      <w:tblGrid>
        <w:gridCol w:w="6946"/>
        <w:gridCol w:w="2126"/>
      </w:tblGrid>
      <w:tr w:rsidR="00644B5F" w:rsidRPr="00BC31E0" w14:paraId="15ED1713" w14:textId="77777777" w:rsidTr="004736F2">
        <w:tc>
          <w:tcPr>
            <w:tcW w:w="6946" w:type="dxa"/>
            <w:vAlign w:val="center"/>
          </w:tcPr>
          <w:p w14:paraId="282F90E5" w14:textId="77777777" w:rsidR="00644B5F" w:rsidRPr="00BC31E0" w:rsidRDefault="00644B5F" w:rsidP="00644B5F">
            <w:pPr>
              <w:jc w:val="center"/>
              <w:rPr>
                <w:rFonts w:asciiTheme="minorHAnsi" w:eastAsiaTheme="minorEastAsia" w:hAnsiTheme="minorHAnsi"/>
              </w:rPr>
            </w:pPr>
            <w:r w:rsidRPr="00BC31E0">
              <w:rPr>
                <w:rFonts w:asciiTheme="minorHAnsi" w:eastAsiaTheme="minorEastAsia" w:hAnsiTheme="minorEastAsia"/>
              </w:rPr>
              <w:t>要求事項</w:t>
            </w:r>
          </w:p>
        </w:tc>
        <w:tc>
          <w:tcPr>
            <w:tcW w:w="2126" w:type="dxa"/>
            <w:vAlign w:val="center"/>
          </w:tcPr>
          <w:p w14:paraId="43D67902" w14:textId="77777777" w:rsidR="00644B5F" w:rsidRPr="00BC31E0" w:rsidRDefault="00644B5F" w:rsidP="00644B5F">
            <w:pPr>
              <w:jc w:val="center"/>
              <w:rPr>
                <w:rFonts w:asciiTheme="minorHAnsi" w:eastAsiaTheme="minorEastAsia" w:hAnsiTheme="minorHAnsi"/>
              </w:rPr>
            </w:pPr>
            <w:r w:rsidRPr="00BC31E0">
              <w:rPr>
                <w:rFonts w:asciiTheme="minorHAnsi" w:eastAsiaTheme="minorEastAsia" w:hAnsiTheme="minorEastAsia"/>
              </w:rPr>
              <w:t>保持温度と保持時間</w:t>
            </w:r>
          </w:p>
        </w:tc>
      </w:tr>
      <w:tr w:rsidR="00644B5F" w:rsidRPr="00BC31E0" w14:paraId="31ECACF0" w14:textId="77777777" w:rsidTr="004736F2">
        <w:tc>
          <w:tcPr>
            <w:tcW w:w="6946" w:type="dxa"/>
          </w:tcPr>
          <w:p w14:paraId="439AE31B" w14:textId="77777777" w:rsidR="00644B5F" w:rsidRPr="00BC31E0" w:rsidRDefault="00644B5F" w:rsidP="00736130">
            <w:pPr>
              <w:numPr>
                <w:ilvl w:val="0"/>
                <w:numId w:val="202"/>
              </w:numPr>
              <w:ind w:left="340" w:hanging="340"/>
              <w:rPr>
                <w:rFonts w:asciiTheme="minorHAnsi" w:eastAsiaTheme="minorEastAsia" w:hAnsiTheme="minorHAnsi"/>
              </w:rPr>
            </w:pPr>
            <w:r w:rsidRPr="00BC31E0">
              <w:rPr>
                <w:rFonts w:asciiTheme="minorHAnsi" w:eastAsiaTheme="minorEastAsia" w:hAnsiTheme="minorHAnsi" w:hint="eastAsia"/>
              </w:rPr>
              <w:t>UNS</w:t>
            </w:r>
            <w:r w:rsidRPr="00BC31E0">
              <w:rPr>
                <w:rFonts w:asciiTheme="minorHAnsi" w:eastAsiaTheme="minorEastAsia" w:hAnsiTheme="minorHAnsi" w:hint="eastAsia"/>
              </w:rPr>
              <w:t>番号</w:t>
            </w:r>
            <w:r w:rsidRPr="00BC31E0">
              <w:rPr>
                <w:rFonts w:asciiTheme="minorHAnsi" w:eastAsiaTheme="minorEastAsia" w:hAnsiTheme="minorHAnsi" w:hint="eastAsia"/>
              </w:rPr>
              <w:t>S44660</w:t>
            </w:r>
            <w:r w:rsidRPr="00BC31E0">
              <w:rPr>
                <w:rFonts w:asciiTheme="minorHAnsi" w:eastAsiaTheme="minorEastAsia" w:hAnsiTheme="minorHAnsi" w:hint="eastAsia"/>
              </w:rPr>
              <w:t>の材料は溶接後熱処理の必要はないが，行う場合にはフェライト系ステンレス鋼</w:t>
            </w:r>
            <w:r w:rsidRPr="00BC31E0">
              <w:rPr>
                <w:rFonts w:asciiTheme="minorHAnsi" w:eastAsiaTheme="minorEastAsia" w:hAnsiTheme="minorHAnsi"/>
              </w:rPr>
              <w:t>(P</w:t>
            </w:r>
            <w:r w:rsidRPr="00BC31E0">
              <w:rPr>
                <w:rFonts w:asciiTheme="minorHAnsi" w:eastAsiaTheme="minorEastAsia" w:hAnsiTheme="minorHAnsi" w:hint="eastAsia"/>
              </w:rPr>
              <w:t>番号</w:t>
            </w:r>
            <w:r w:rsidRPr="00BC31E0">
              <w:rPr>
                <w:rFonts w:asciiTheme="minorHAnsi" w:eastAsiaTheme="minorEastAsia" w:hAnsiTheme="minorHAnsi"/>
              </w:rPr>
              <w:t>7</w:t>
            </w:r>
            <w:r w:rsidRPr="00BC31E0">
              <w:rPr>
                <w:rFonts w:asciiTheme="minorHAnsi" w:eastAsiaTheme="minorEastAsia" w:hAnsiTheme="minorHAnsi" w:hint="eastAsia"/>
              </w:rPr>
              <w:t>の材料</w:t>
            </w:r>
            <w:r w:rsidRPr="00BC31E0">
              <w:rPr>
                <w:rFonts w:asciiTheme="minorHAnsi" w:eastAsiaTheme="minorEastAsia" w:hAnsiTheme="minorHAnsi"/>
              </w:rPr>
              <w:t>)</w:t>
            </w:r>
            <w:r w:rsidRPr="00BC31E0">
              <w:rPr>
                <w:rFonts w:asciiTheme="minorHAnsi" w:eastAsiaTheme="minorEastAsia" w:hAnsiTheme="minorHAnsi" w:hint="eastAsia"/>
              </w:rPr>
              <w:t>の条件とする。成形加工又は溶接後に熱処理する場合には，</w:t>
            </w:r>
            <w:r w:rsidRPr="00BC31E0">
              <w:rPr>
                <w:rFonts w:ascii="Cambria Math" w:eastAsiaTheme="minorEastAsia" w:hAnsi="Cambria Math"/>
              </w:rPr>
              <w:t>815</w:t>
            </w:r>
            <w:r w:rsidRPr="00BC31E0">
              <w:rPr>
                <w:rFonts w:asciiTheme="minorHAnsi" w:hAnsiTheme="minorHAnsi"/>
              </w:rPr>
              <w:t>°C</w:t>
            </w:r>
            <w:r w:rsidRPr="00BC31E0">
              <w:rPr>
                <w:rFonts w:asciiTheme="minorHAnsi" w:eastAsiaTheme="minorEastAsia" w:hAnsiTheme="minorHAnsi" w:hint="eastAsia"/>
              </w:rPr>
              <w:t>～</w:t>
            </w:r>
            <w:r w:rsidRPr="00BC31E0">
              <w:rPr>
                <w:rFonts w:ascii="Cambria Math" w:eastAsiaTheme="minorEastAsia" w:hAnsi="Cambria Math"/>
              </w:rPr>
              <w:t>1,065</w:t>
            </w:r>
            <w:r w:rsidRPr="00BC31E0">
              <w:rPr>
                <w:rFonts w:asciiTheme="minorHAnsi" w:hAnsiTheme="minorHAnsi"/>
              </w:rPr>
              <w:t>°C</w:t>
            </w:r>
            <w:r w:rsidRPr="00BC31E0">
              <w:rPr>
                <w:rFonts w:asciiTheme="minorHAnsi" w:eastAsiaTheme="minorEastAsia" w:hAnsiTheme="minorHAnsi" w:hint="eastAsia"/>
              </w:rPr>
              <w:t>の温度で保持時間を</w:t>
            </w:r>
            <w:r w:rsidRPr="00BC31E0">
              <w:rPr>
                <w:rFonts w:ascii="Cambria Math" w:eastAsiaTheme="minorEastAsia" w:hAnsi="Cambria Math"/>
              </w:rPr>
              <w:t>10</w:t>
            </w:r>
            <w:r w:rsidRPr="00BC31E0">
              <w:rPr>
                <w:rFonts w:asciiTheme="minorHAnsi" w:eastAsiaTheme="minorEastAsia" w:hAnsiTheme="minorHAnsi" w:hint="eastAsia"/>
              </w:rPr>
              <w:t>分以内とし，その後，急速冷却しなければならない。</w:t>
            </w:r>
          </w:p>
          <w:p w14:paraId="28076D49" w14:textId="77777777" w:rsidR="00644B5F" w:rsidRPr="00BC31E0" w:rsidRDefault="00644B5F" w:rsidP="00736130">
            <w:pPr>
              <w:numPr>
                <w:ilvl w:val="0"/>
                <w:numId w:val="202"/>
              </w:numPr>
              <w:ind w:left="340" w:hanging="340"/>
              <w:rPr>
                <w:rFonts w:asciiTheme="minorHAnsi" w:eastAsiaTheme="minorEastAsia" w:hAnsiTheme="minorHAnsi"/>
              </w:rPr>
            </w:pPr>
            <w:r w:rsidRPr="00BC31E0">
              <w:rPr>
                <w:rFonts w:asciiTheme="minorHAnsi" w:eastAsiaTheme="minorEastAsia" w:hAnsiTheme="minorEastAsia"/>
              </w:rPr>
              <w:t>溶接後熱処理の保持</w:t>
            </w:r>
            <w:r w:rsidRPr="00BC31E0">
              <w:rPr>
                <w:rFonts w:asciiTheme="minorHAnsi" w:eastAsiaTheme="minorEastAsia" w:hAnsiTheme="minorEastAsia" w:hint="eastAsia"/>
              </w:rPr>
              <w:t>期間</w:t>
            </w:r>
            <w:r w:rsidRPr="00BC31E0">
              <w:rPr>
                <w:rFonts w:asciiTheme="minorHAnsi" w:eastAsiaTheme="minorEastAsia" w:hAnsiTheme="minorEastAsia"/>
              </w:rPr>
              <w:t>中に，容器</w:t>
            </w:r>
            <w:r w:rsidRPr="00BC31E0">
              <w:rPr>
                <w:rFonts w:asciiTheme="minorHAnsi" w:eastAsiaTheme="minorEastAsia" w:hAnsiTheme="minorEastAsia" w:hint="eastAsia"/>
              </w:rPr>
              <w:t>部材の最大保持時間又は温度が</w:t>
            </w:r>
            <w:r w:rsidRPr="00BC31E0">
              <w:rPr>
                <w:rFonts w:asciiTheme="majorEastAsia" w:eastAsiaTheme="majorEastAsia" w:hAnsiTheme="majorEastAsia" w:hint="eastAsia"/>
                <w:b/>
              </w:rPr>
              <w:t>10.1.2 c)</w:t>
            </w:r>
            <w:r w:rsidRPr="00BC31E0">
              <w:rPr>
                <w:rFonts w:asciiTheme="minorEastAsia" w:eastAsiaTheme="minorEastAsia" w:hAnsiTheme="minorEastAsia" w:hint="eastAsia"/>
              </w:rPr>
              <w:t>の</w:t>
            </w:r>
            <w:r w:rsidRPr="00BC31E0">
              <w:rPr>
                <w:rFonts w:asciiTheme="minorHAnsi" w:eastAsiaTheme="minorEastAsia" w:hAnsiTheme="minorEastAsia" w:hint="eastAsia"/>
              </w:rPr>
              <w:t>規定</w:t>
            </w:r>
            <w:r w:rsidRPr="00BC31E0">
              <w:rPr>
                <w:rFonts w:asciiTheme="minorHAnsi" w:eastAsiaTheme="minorEastAsia" w:hAnsiTheme="minorEastAsia"/>
              </w:rPr>
              <w:t>を超え</w:t>
            </w:r>
            <w:r w:rsidRPr="00BC31E0">
              <w:rPr>
                <w:rFonts w:asciiTheme="minorHAnsi" w:eastAsiaTheme="minorEastAsia" w:hAnsiTheme="minorEastAsia" w:hint="eastAsia"/>
              </w:rPr>
              <w:t>る</w:t>
            </w:r>
            <w:r w:rsidRPr="00BC31E0">
              <w:rPr>
                <w:rFonts w:asciiTheme="minorHAnsi" w:eastAsiaTheme="minorEastAsia" w:hAnsiTheme="minorEastAsia"/>
              </w:rPr>
              <w:t>場合には，追加</w:t>
            </w:r>
            <w:r w:rsidRPr="00BC31E0">
              <w:rPr>
                <w:rFonts w:asciiTheme="minorHAnsi" w:eastAsiaTheme="minorEastAsia" w:hAnsiTheme="minorEastAsia" w:hint="eastAsia"/>
              </w:rPr>
              <w:t>の</w:t>
            </w:r>
            <w:r w:rsidRPr="00BC31E0">
              <w:rPr>
                <w:rFonts w:asciiTheme="minorHAnsi" w:eastAsiaTheme="minorEastAsia" w:hAnsiTheme="minorEastAsia"/>
              </w:rPr>
              <w:t>試験材を作製して試験しなければならない。</w:t>
            </w:r>
          </w:p>
        </w:tc>
        <w:tc>
          <w:tcPr>
            <w:tcW w:w="2126" w:type="dxa"/>
          </w:tcPr>
          <w:p w14:paraId="3FF84144" w14:textId="77777777" w:rsidR="00644B5F" w:rsidRPr="00BC31E0" w:rsidRDefault="00644B5F" w:rsidP="00BC31E0">
            <w:pPr>
              <w:spacing w:beforeLines="50" w:before="180"/>
              <w:rPr>
                <w:rFonts w:asciiTheme="minorHAnsi" w:eastAsiaTheme="minorEastAsia" w:hAnsiTheme="minorHAnsi"/>
              </w:rPr>
            </w:pPr>
          </w:p>
        </w:tc>
      </w:tr>
    </w:tbl>
    <w:p w14:paraId="5FB347DB" w14:textId="77777777" w:rsidR="00644B5F" w:rsidRPr="00BC31E0" w:rsidRDefault="00644B5F" w:rsidP="00644B5F">
      <w:pPr>
        <w:widowControl/>
        <w:rPr>
          <w:rFonts w:asciiTheme="minorEastAsia" w:eastAsiaTheme="minorEastAsia" w:hAnsiTheme="minorEastAsia"/>
        </w:rPr>
      </w:pPr>
    </w:p>
    <w:p w14:paraId="7BD88023" w14:textId="77777777" w:rsidR="00644B5F" w:rsidRPr="00BC31E0" w:rsidRDefault="00644B5F" w:rsidP="00644B5F">
      <w:pPr>
        <w:widowControl/>
        <w:jc w:val="left"/>
      </w:pPr>
      <w:r w:rsidRPr="00BC31E0">
        <w:br w:type="page"/>
      </w:r>
    </w:p>
    <w:p w14:paraId="3BB8A7EA" w14:textId="77777777" w:rsidR="00644B5F" w:rsidRPr="00BC31E0" w:rsidRDefault="00644B5F" w:rsidP="00644B5F">
      <w:pPr>
        <w:jc w:val="center"/>
        <w:rPr>
          <w:rFonts w:asciiTheme="majorEastAsia" w:eastAsiaTheme="majorEastAsia" w:hAnsiTheme="majorEastAsia"/>
          <w:b/>
        </w:rPr>
      </w:pPr>
      <w:r w:rsidRPr="00BC31E0">
        <w:rPr>
          <w:rFonts w:asciiTheme="majorEastAsia" w:eastAsiaTheme="majorEastAsia" w:hAnsiTheme="majorEastAsia" w:hint="eastAsia"/>
          <w:b/>
        </w:rPr>
        <w:lastRenderedPageBreak/>
        <w:t>表7.4.16</w:t>
      </w:r>
      <w:r w:rsidRPr="00BC31E0">
        <w:rPr>
          <w:rFonts w:asciiTheme="majorEastAsia" w:eastAsiaTheme="majorEastAsia" w:hAnsiTheme="majorEastAsia"/>
          <w:b/>
        </w:rPr>
        <w:t xml:space="preserve">　溶接後熱処理</w:t>
      </w:r>
      <w:r w:rsidRPr="00BC31E0">
        <w:rPr>
          <w:rFonts w:asciiTheme="majorEastAsia" w:eastAsiaTheme="majorEastAsia" w:hAnsiTheme="majorEastAsia" w:hint="eastAsia"/>
          <w:b/>
        </w:rPr>
        <w:t>の温度及び時間</w:t>
      </w:r>
    </w:p>
    <w:p w14:paraId="360E96BF" w14:textId="77777777" w:rsidR="00644B5F" w:rsidRPr="00BC31E0" w:rsidRDefault="00644B5F" w:rsidP="00644B5F">
      <w:pPr>
        <w:spacing w:after="60"/>
        <w:jc w:val="center"/>
        <w:rPr>
          <w:rFonts w:asciiTheme="majorEastAsia" w:eastAsiaTheme="majorEastAsia" w:hAnsiTheme="majorEastAsia"/>
        </w:rPr>
      </w:pPr>
      <w:r w:rsidRPr="00BC31E0">
        <w:rPr>
          <w:rFonts w:asciiTheme="majorEastAsia" w:eastAsiaTheme="majorEastAsia" w:hAnsiTheme="majorEastAsia"/>
          <w:b/>
        </w:rPr>
        <w:t>(P</w:t>
      </w:r>
      <w:r w:rsidRPr="00BC31E0">
        <w:rPr>
          <w:rFonts w:asciiTheme="majorEastAsia" w:eastAsiaTheme="majorEastAsia" w:hAnsiTheme="majorEastAsia" w:hint="eastAsia"/>
          <w:b/>
        </w:rPr>
        <w:t>番号</w:t>
      </w:r>
      <w:r w:rsidRPr="00BC31E0">
        <w:rPr>
          <w:rFonts w:asciiTheme="majorEastAsia" w:eastAsiaTheme="majorEastAsia" w:hAnsiTheme="majorEastAsia"/>
          <w:b/>
        </w:rPr>
        <w:t>15E</w:t>
      </w:r>
      <w:r w:rsidRPr="00BC31E0">
        <w:rPr>
          <w:rFonts w:asciiTheme="majorEastAsia" w:eastAsiaTheme="majorEastAsia" w:hAnsiTheme="majorEastAsia" w:hint="eastAsia"/>
          <w:b/>
        </w:rPr>
        <w:t>グループ番号</w:t>
      </w:r>
      <w:r w:rsidRPr="00BC31E0">
        <w:rPr>
          <w:rFonts w:asciiTheme="majorEastAsia" w:eastAsiaTheme="majorEastAsia" w:hAnsiTheme="majorEastAsia"/>
          <w:b/>
        </w:rPr>
        <w:t>1</w:t>
      </w:r>
      <w:r w:rsidRPr="00BC31E0">
        <w:rPr>
          <w:rFonts w:asciiTheme="majorEastAsia" w:eastAsiaTheme="majorEastAsia" w:hAnsiTheme="majorEastAsia" w:hint="eastAsia"/>
          <w:b/>
        </w:rPr>
        <w:t>の材料</w:t>
      </w:r>
      <w:r w:rsidRPr="00BC31E0">
        <w:rPr>
          <w:rFonts w:asciiTheme="majorEastAsia" w:eastAsiaTheme="majorEastAsia" w:hAnsiTheme="majorEastAsia"/>
          <w:b/>
        </w:rPr>
        <w:t>)</w:t>
      </w:r>
    </w:p>
    <w:tbl>
      <w:tblPr>
        <w:tblStyle w:val="100"/>
        <w:tblW w:w="0" w:type="auto"/>
        <w:tblInd w:w="108" w:type="dxa"/>
        <w:tblLook w:val="04A0" w:firstRow="1" w:lastRow="0" w:firstColumn="1" w:lastColumn="0" w:noHBand="0" w:noVBand="1"/>
      </w:tblPr>
      <w:tblGrid>
        <w:gridCol w:w="6946"/>
        <w:gridCol w:w="2126"/>
      </w:tblGrid>
      <w:tr w:rsidR="00644B5F" w:rsidRPr="00BC31E0" w14:paraId="1EF67346" w14:textId="77777777" w:rsidTr="004736F2">
        <w:tc>
          <w:tcPr>
            <w:tcW w:w="6946" w:type="dxa"/>
            <w:vAlign w:val="center"/>
          </w:tcPr>
          <w:p w14:paraId="68B9F5F3" w14:textId="77777777" w:rsidR="00644B5F" w:rsidRPr="00BC31E0" w:rsidRDefault="00644B5F" w:rsidP="00644B5F">
            <w:pPr>
              <w:jc w:val="center"/>
              <w:rPr>
                <w:rFonts w:asciiTheme="minorHAnsi" w:eastAsiaTheme="minorEastAsia" w:hAnsiTheme="minorHAnsi"/>
              </w:rPr>
            </w:pPr>
            <w:r w:rsidRPr="00BC31E0">
              <w:rPr>
                <w:rFonts w:asciiTheme="minorHAnsi" w:eastAsiaTheme="minorEastAsia" w:hAnsiTheme="minorEastAsia"/>
              </w:rPr>
              <w:t>要求事項</w:t>
            </w:r>
          </w:p>
        </w:tc>
        <w:tc>
          <w:tcPr>
            <w:tcW w:w="2126" w:type="dxa"/>
            <w:vAlign w:val="center"/>
          </w:tcPr>
          <w:p w14:paraId="411D5FF1" w14:textId="77777777" w:rsidR="00644B5F" w:rsidRPr="00BC31E0" w:rsidRDefault="00644B5F" w:rsidP="00644B5F">
            <w:pPr>
              <w:jc w:val="center"/>
              <w:rPr>
                <w:rFonts w:asciiTheme="minorHAnsi" w:eastAsiaTheme="minorEastAsia" w:hAnsiTheme="minorHAnsi"/>
              </w:rPr>
            </w:pPr>
            <w:r w:rsidRPr="00BC31E0">
              <w:rPr>
                <w:rFonts w:asciiTheme="minorHAnsi" w:eastAsiaTheme="minorEastAsia" w:hAnsiTheme="minorEastAsia"/>
              </w:rPr>
              <w:t>保持温度と保持時間</w:t>
            </w:r>
          </w:p>
        </w:tc>
      </w:tr>
      <w:tr w:rsidR="00644B5F" w:rsidRPr="00BC31E0" w14:paraId="78AA19F0" w14:textId="77777777" w:rsidTr="004736F2">
        <w:tc>
          <w:tcPr>
            <w:tcW w:w="6946" w:type="dxa"/>
          </w:tcPr>
          <w:p w14:paraId="6FB10C49" w14:textId="77777777" w:rsidR="00644B5F" w:rsidRPr="00BC31E0" w:rsidRDefault="00644B5F" w:rsidP="00736130">
            <w:pPr>
              <w:numPr>
                <w:ilvl w:val="1"/>
                <w:numId w:val="203"/>
              </w:numPr>
              <w:ind w:left="340" w:hanging="340"/>
              <w:rPr>
                <w:rFonts w:asciiTheme="minorHAnsi" w:eastAsiaTheme="minorEastAsia" w:hAnsiTheme="minorHAnsi"/>
              </w:rPr>
            </w:pPr>
            <w:r w:rsidRPr="00BC31E0">
              <w:rPr>
                <w:rFonts w:asciiTheme="minorHAnsi" w:eastAsiaTheme="minorEastAsia" w:hAnsiTheme="minorEastAsia"/>
              </w:rPr>
              <w:t>公称厚さ</w:t>
            </w:r>
            <w:r w:rsidRPr="00BC31E0">
              <w:rPr>
                <w:rFonts w:ascii="Cambria Math" w:eastAsiaTheme="minorEastAsia" w:hAnsi="Cambria Math"/>
              </w:rPr>
              <w:t>13 mm</w:t>
            </w:r>
            <w:r w:rsidRPr="00BC31E0">
              <w:rPr>
                <w:rFonts w:asciiTheme="minorHAnsi" w:eastAsiaTheme="minorEastAsia" w:hAnsiTheme="minorEastAsia" w:hint="eastAsia"/>
              </w:rPr>
              <w:t>以下</w:t>
            </w:r>
            <w:r w:rsidRPr="00BC31E0">
              <w:rPr>
                <w:rFonts w:asciiTheme="minorHAnsi" w:eastAsiaTheme="minorEastAsia" w:hAnsiTheme="minorEastAsia"/>
              </w:rPr>
              <w:t>の場合は，最低保持温度</w:t>
            </w:r>
            <w:r w:rsidRPr="00BC31E0">
              <w:rPr>
                <w:rFonts w:asciiTheme="minorHAnsi" w:eastAsiaTheme="minorEastAsia" w:hAnsiTheme="minorEastAsia" w:hint="eastAsia"/>
              </w:rPr>
              <w:t>を</w:t>
            </w:r>
            <w:r w:rsidRPr="00BC31E0">
              <w:rPr>
                <w:rFonts w:ascii="Cambria Math" w:eastAsiaTheme="minorEastAsia" w:hAnsi="Cambria Math"/>
              </w:rPr>
              <w:t>675</w:t>
            </w:r>
            <w:r w:rsidRPr="00BC31E0">
              <w:rPr>
                <w:rFonts w:asciiTheme="minorHAnsi" w:hAnsiTheme="minorHAnsi"/>
              </w:rPr>
              <w:t>°C</w:t>
            </w:r>
            <w:r w:rsidRPr="00BC31E0">
              <w:rPr>
                <w:rFonts w:asciiTheme="minorHAnsi" w:eastAsiaTheme="minorEastAsia" w:hAnsiTheme="minorEastAsia" w:hint="eastAsia"/>
              </w:rPr>
              <w:t>とする</w:t>
            </w:r>
            <w:r w:rsidRPr="00BC31E0">
              <w:rPr>
                <w:rFonts w:asciiTheme="minorHAnsi" w:eastAsiaTheme="minorEastAsia" w:hAnsiTheme="minorEastAsia"/>
              </w:rPr>
              <w:t>。</w:t>
            </w:r>
          </w:p>
          <w:p w14:paraId="76312DC6" w14:textId="77777777" w:rsidR="00644B5F" w:rsidRPr="00BC31E0" w:rsidRDefault="00644B5F" w:rsidP="00736130">
            <w:pPr>
              <w:numPr>
                <w:ilvl w:val="1"/>
                <w:numId w:val="203"/>
              </w:numPr>
              <w:ind w:left="340" w:hanging="340"/>
              <w:rPr>
                <w:rFonts w:asciiTheme="minorHAnsi" w:eastAsiaTheme="minorEastAsia" w:hAnsiTheme="minorHAnsi"/>
              </w:rPr>
            </w:pPr>
            <w:r w:rsidRPr="00BC31E0">
              <w:rPr>
                <w:rFonts w:asciiTheme="minorHAnsi" w:eastAsiaTheme="minorEastAsia" w:hAnsiTheme="minorEastAsia"/>
              </w:rPr>
              <w:t>溶加材の</w:t>
            </w:r>
            <w:r w:rsidRPr="00BC31E0">
              <w:rPr>
                <w:rFonts w:asciiTheme="minorHAnsi" w:eastAsiaTheme="minorEastAsia" w:hAnsiTheme="minorEastAsia" w:hint="eastAsia"/>
              </w:rPr>
              <w:t>Cr</w:t>
            </w:r>
            <w:r w:rsidRPr="00BC31E0">
              <w:rPr>
                <w:rFonts w:asciiTheme="minorHAnsi" w:eastAsiaTheme="minorEastAsia" w:hAnsiTheme="minorEastAsia"/>
              </w:rPr>
              <w:t>含有量が</w:t>
            </w:r>
            <w:r w:rsidRPr="00BC31E0">
              <w:rPr>
                <w:rFonts w:ascii="Cambria Math" w:eastAsiaTheme="minorEastAsia" w:hAnsi="Cambria Math"/>
              </w:rPr>
              <w:t>3.0</w:t>
            </w:r>
            <w:r w:rsidRPr="00BC31E0">
              <w:rPr>
                <w:rFonts w:ascii="Cambria Math" w:eastAsiaTheme="minorEastAsia" w:hAnsi="Cambria Math" w:hint="eastAsia"/>
              </w:rPr>
              <w:t xml:space="preserve"> </w:t>
            </w:r>
            <w:r w:rsidRPr="00BC31E0">
              <w:rPr>
                <w:rFonts w:ascii="Cambria Math" w:eastAsiaTheme="minorEastAsia" w:hAnsi="Cambria Math"/>
              </w:rPr>
              <w:t>%</w:t>
            </w:r>
            <w:r w:rsidRPr="00BC31E0">
              <w:rPr>
                <w:rFonts w:asciiTheme="minorHAnsi" w:eastAsiaTheme="minorEastAsia" w:hAnsiTheme="minorEastAsia"/>
              </w:rPr>
              <w:t>未満又は溶加材がニッケル系</w:t>
            </w:r>
            <w:r w:rsidRPr="00BC31E0">
              <w:rPr>
                <w:rFonts w:asciiTheme="minorHAnsi" w:eastAsiaTheme="minorEastAsia" w:hAnsiTheme="minorEastAsia" w:hint="eastAsia"/>
              </w:rPr>
              <w:t>又は</w:t>
            </w:r>
            <w:r w:rsidRPr="00BC31E0">
              <w:rPr>
                <w:rFonts w:asciiTheme="minorHAnsi" w:eastAsiaTheme="minorEastAsia" w:hAnsiTheme="minorEastAsia"/>
              </w:rPr>
              <w:t>オーステナイト系の場合には，異材溶接</w:t>
            </w:r>
            <w:r w:rsidRPr="00BC31E0">
              <w:rPr>
                <w:rFonts w:asciiTheme="minorHAnsi" w:eastAsiaTheme="minorEastAsia" w:hAnsiTheme="minorHAnsi"/>
              </w:rPr>
              <w:t>(</w:t>
            </w:r>
            <w:r w:rsidRPr="00BC31E0">
              <w:rPr>
                <w:rFonts w:asciiTheme="minorHAnsi" w:eastAsiaTheme="minorEastAsia" w:hAnsiTheme="minorEastAsia"/>
              </w:rPr>
              <w:t>例えば，</w:t>
            </w:r>
            <w:r w:rsidRPr="00BC31E0">
              <w:rPr>
                <w:rFonts w:asciiTheme="minorHAnsi" w:eastAsiaTheme="minorEastAsia" w:hAnsiTheme="minorHAnsi"/>
              </w:rPr>
              <w:t>P</w:t>
            </w:r>
            <w:r w:rsidRPr="00BC31E0">
              <w:rPr>
                <w:rFonts w:asciiTheme="minorHAnsi" w:eastAsiaTheme="minorEastAsia" w:hAnsiTheme="minorHAnsi" w:hint="eastAsia"/>
              </w:rPr>
              <w:t>番号</w:t>
            </w:r>
            <w:r w:rsidRPr="00BC31E0">
              <w:rPr>
                <w:rFonts w:asciiTheme="minorHAnsi" w:eastAsiaTheme="minorEastAsia" w:hAnsiTheme="minorHAnsi"/>
              </w:rPr>
              <w:t>15E</w:t>
            </w:r>
            <w:r w:rsidRPr="00BC31E0">
              <w:rPr>
                <w:rFonts w:asciiTheme="minorHAnsi" w:eastAsiaTheme="minorEastAsia" w:hAnsiTheme="minorHAnsi" w:hint="eastAsia"/>
              </w:rPr>
              <w:t>グループ番号</w:t>
            </w:r>
            <w:r w:rsidRPr="00BC31E0">
              <w:rPr>
                <w:rFonts w:asciiTheme="minorHAnsi" w:eastAsiaTheme="minorEastAsia" w:hAnsiTheme="minorHAnsi"/>
              </w:rPr>
              <w:t>1</w:t>
            </w:r>
            <w:r w:rsidRPr="00BC31E0">
              <w:rPr>
                <w:rFonts w:asciiTheme="minorHAnsi" w:eastAsiaTheme="minorEastAsia" w:hAnsiTheme="minorEastAsia"/>
              </w:rPr>
              <w:t>と低クロム鋼，オーステナイト鋼又はニッケル鋼との溶接</w:t>
            </w:r>
            <w:r w:rsidRPr="00BC31E0">
              <w:rPr>
                <w:rFonts w:asciiTheme="minorHAnsi" w:eastAsiaTheme="minorEastAsia" w:hAnsiTheme="minorHAnsi"/>
              </w:rPr>
              <w:t>)</w:t>
            </w:r>
            <w:r w:rsidRPr="00BC31E0">
              <w:rPr>
                <w:rFonts w:asciiTheme="minorEastAsia" w:eastAsiaTheme="minorEastAsia" w:hAnsiTheme="minorEastAsia" w:hint="eastAsia"/>
              </w:rPr>
              <w:t>の</w:t>
            </w:r>
            <w:r w:rsidRPr="00BC31E0">
              <w:rPr>
                <w:rFonts w:asciiTheme="minorHAnsi" w:eastAsiaTheme="minorEastAsia" w:hAnsiTheme="minorEastAsia"/>
              </w:rPr>
              <w:t>最低保持温度は</w:t>
            </w:r>
            <w:r w:rsidRPr="00BC31E0">
              <w:rPr>
                <w:rFonts w:ascii="Cambria Math" w:eastAsiaTheme="minorEastAsia" w:hAnsi="Cambria Math"/>
              </w:rPr>
              <w:t>705</w:t>
            </w:r>
            <w:r w:rsidRPr="00BC31E0">
              <w:rPr>
                <w:rFonts w:asciiTheme="minorHAnsi" w:hAnsiTheme="minorHAnsi"/>
              </w:rPr>
              <w:t>°C</w:t>
            </w:r>
            <w:r w:rsidRPr="00BC31E0">
              <w:rPr>
                <w:rFonts w:asciiTheme="minorHAnsi" w:eastAsiaTheme="minorEastAsia" w:hAnsiTheme="minorEastAsia"/>
              </w:rPr>
              <w:t>とする。</w:t>
            </w:r>
          </w:p>
          <w:p w14:paraId="57B5FC70" w14:textId="77777777" w:rsidR="00644B5F" w:rsidRPr="00BC31E0" w:rsidRDefault="00644B5F" w:rsidP="00736130">
            <w:pPr>
              <w:numPr>
                <w:ilvl w:val="1"/>
                <w:numId w:val="203"/>
              </w:numPr>
              <w:ind w:left="340" w:hanging="340"/>
              <w:rPr>
                <w:rFonts w:asciiTheme="minorHAnsi" w:eastAsiaTheme="minorEastAsia" w:hAnsiTheme="minorEastAsia"/>
              </w:rPr>
            </w:pPr>
            <w:r w:rsidRPr="00BC31E0">
              <w:rPr>
                <w:rFonts w:asciiTheme="minorHAnsi" w:eastAsiaTheme="minorEastAsia" w:hAnsiTheme="minorEastAsia" w:hint="eastAsia"/>
              </w:rPr>
              <w:t>Grade 91</w:t>
            </w:r>
            <w:r w:rsidRPr="00BC31E0">
              <w:rPr>
                <w:rFonts w:asciiTheme="minorHAnsi" w:eastAsiaTheme="minorEastAsia" w:hAnsiTheme="minorEastAsia" w:hint="eastAsia"/>
              </w:rPr>
              <w:t>溶加材</w:t>
            </w:r>
            <w:r w:rsidRPr="00BC31E0">
              <w:rPr>
                <w:rFonts w:asciiTheme="minorHAnsi" w:eastAsiaTheme="minorEastAsia" w:hAnsiTheme="minorEastAsia" w:hint="eastAsia"/>
              </w:rPr>
              <w:t>(</w:t>
            </w:r>
            <w:r w:rsidRPr="00BC31E0">
              <w:rPr>
                <w:rFonts w:asciiTheme="minorHAnsi" w:eastAsiaTheme="minorEastAsia" w:hAnsiTheme="minorEastAsia" w:hint="eastAsia"/>
              </w:rPr>
              <w:t>例えば，</w:t>
            </w:r>
            <w:r w:rsidRPr="00BC31E0">
              <w:rPr>
                <w:rFonts w:asciiTheme="minorHAnsi" w:eastAsiaTheme="minorEastAsia" w:hAnsiTheme="minorHAnsi"/>
              </w:rPr>
              <w:t>AWS A.5.5 E90xx-B91</w:t>
            </w:r>
            <w:r w:rsidRPr="00BC31E0">
              <w:rPr>
                <w:rFonts w:asciiTheme="minorHAnsi" w:eastAsiaTheme="minorEastAsia" w:hAnsiTheme="minorHAnsi" w:hint="eastAsia"/>
              </w:rPr>
              <w:t>，</w:t>
            </w:r>
            <w:r w:rsidRPr="00BC31E0">
              <w:rPr>
                <w:rFonts w:asciiTheme="minorHAnsi" w:eastAsiaTheme="minorEastAsia" w:hAnsiTheme="minorHAnsi"/>
              </w:rPr>
              <w:t>ISO EN CrMo91</w:t>
            </w:r>
            <w:r w:rsidRPr="00BC31E0">
              <w:rPr>
                <w:rFonts w:asciiTheme="minorHAnsi" w:eastAsiaTheme="minorEastAsia" w:hAnsiTheme="minorHAnsi" w:hint="eastAsia"/>
              </w:rPr>
              <w:t>)</w:t>
            </w:r>
            <w:r w:rsidRPr="00BC31E0">
              <w:rPr>
                <w:rFonts w:asciiTheme="minorHAnsi" w:eastAsiaTheme="minorEastAsia" w:hAnsiTheme="minorEastAsia"/>
              </w:rPr>
              <w:t>で</w:t>
            </w:r>
            <w:r w:rsidRPr="00BC31E0">
              <w:rPr>
                <w:rFonts w:asciiTheme="minorHAnsi" w:eastAsiaTheme="minorEastAsia" w:hAnsiTheme="minorEastAsia" w:hint="eastAsia"/>
              </w:rPr>
              <w:t>製作</w:t>
            </w:r>
            <w:r w:rsidRPr="00BC31E0">
              <w:rPr>
                <w:rFonts w:asciiTheme="minorHAnsi" w:eastAsiaTheme="minorEastAsia" w:hAnsiTheme="minorEastAsia"/>
              </w:rPr>
              <w:t>された溶接</w:t>
            </w:r>
            <w:r w:rsidRPr="00BC31E0">
              <w:rPr>
                <w:rFonts w:asciiTheme="minorHAnsi" w:eastAsiaTheme="minorEastAsia" w:hAnsiTheme="minorEastAsia" w:hint="eastAsia"/>
              </w:rPr>
              <w:t>継手</w:t>
            </w:r>
            <w:r w:rsidRPr="00BC31E0">
              <w:rPr>
                <w:rFonts w:asciiTheme="minorHAnsi" w:eastAsiaTheme="minorEastAsia" w:hAnsiTheme="minorEastAsia"/>
              </w:rPr>
              <w:t>の場合</w:t>
            </w:r>
            <w:r w:rsidRPr="00BC31E0">
              <w:rPr>
                <w:rFonts w:asciiTheme="minorHAnsi" w:eastAsiaTheme="minorEastAsia" w:hAnsiTheme="minorEastAsia" w:hint="eastAsia"/>
              </w:rPr>
              <w:t>，最高</w:t>
            </w:r>
            <w:r w:rsidRPr="00BC31E0">
              <w:rPr>
                <w:rFonts w:asciiTheme="minorHAnsi" w:eastAsiaTheme="minorEastAsia" w:hAnsiTheme="minorEastAsia"/>
              </w:rPr>
              <w:t>保持温度は次の</w:t>
            </w:r>
            <w:r w:rsidRPr="00BC31E0">
              <w:rPr>
                <w:rFonts w:asciiTheme="majorEastAsia" w:eastAsiaTheme="majorEastAsia" w:hAnsiTheme="majorEastAsia" w:hint="eastAsia"/>
                <w:b/>
              </w:rPr>
              <w:t>1)</w:t>
            </w:r>
            <w:r w:rsidRPr="00BC31E0">
              <w:rPr>
                <w:rFonts w:asciiTheme="minorHAnsi" w:eastAsiaTheme="minorEastAsia" w:hAnsiTheme="minorEastAsia" w:hint="eastAsia"/>
              </w:rPr>
              <w:t>～</w:t>
            </w:r>
            <w:r w:rsidRPr="00BC31E0">
              <w:rPr>
                <w:rFonts w:asciiTheme="majorEastAsia" w:eastAsiaTheme="majorEastAsia" w:hAnsiTheme="majorEastAsia" w:hint="eastAsia"/>
                <w:b/>
              </w:rPr>
              <w:t>4)</w:t>
            </w:r>
            <w:r w:rsidRPr="00BC31E0">
              <w:rPr>
                <w:rFonts w:asciiTheme="minorHAnsi" w:eastAsiaTheme="minorEastAsia" w:hAnsiTheme="minorEastAsia" w:hint="eastAsia"/>
              </w:rPr>
              <w:t>により</w:t>
            </w:r>
            <w:r w:rsidRPr="00BC31E0">
              <w:rPr>
                <w:rFonts w:asciiTheme="minorHAnsi" w:eastAsiaTheme="minorEastAsia" w:hAnsiTheme="minorEastAsia"/>
              </w:rPr>
              <w:t>決定</w:t>
            </w:r>
            <w:r w:rsidRPr="00BC31E0">
              <w:rPr>
                <w:rFonts w:asciiTheme="minorHAnsi" w:eastAsiaTheme="minorEastAsia" w:hAnsiTheme="minorEastAsia" w:hint="eastAsia"/>
              </w:rPr>
              <w:t>する</w:t>
            </w:r>
            <w:r w:rsidRPr="00BC31E0">
              <w:rPr>
                <w:rFonts w:asciiTheme="minorHAnsi" w:eastAsiaTheme="minorEastAsia" w:hAnsiTheme="minorEastAsia"/>
              </w:rPr>
              <w:t>。</w:t>
            </w:r>
          </w:p>
          <w:p w14:paraId="7BA24A19" w14:textId="77777777" w:rsidR="00644B5F" w:rsidRPr="00BC31E0" w:rsidRDefault="00644B5F" w:rsidP="00736130">
            <w:pPr>
              <w:numPr>
                <w:ilvl w:val="0"/>
                <w:numId w:val="204"/>
              </w:numPr>
              <w:ind w:left="567" w:hanging="340"/>
              <w:rPr>
                <w:rFonts w:asciiTheme="minorHAnsi" w:eastAsiaTheme="minorEastAsia" w:hAnsiTheme="minorHAnsi"/>
              </w:rPr>
            </w:pPr>
            <w:r w:rsidRPr="00BC31E0">
              <w:rPr>
                <w:rFonts w:asciiTheme="minorHAnsi" w:eastAsiaTheme="minorEastAsia" w:hAnsiTheme="minorHAnsi" w:hint="eastAsia"/>
              </w:rPr>
              <w:t>溶加材の</w:t>
            </w:r>
            <m:oMath>
              <m:r>
                <m:rPr>
                  <m:sty m:val="p"/>
                </m:rPr>
                <w:rPr>
                  <w:rFonts w:ascii="Cambria Math" w:eastAsiaTheme="minorEastAsia" w:hAnsi="Cambria Math" w:hint="eastAsia"/>
                </w:rPr>
                <m:t>Ni+Mn</m:t>
              </m:r>
            </m:oMath>
            <w:r w:rsidRPr="00BC31E0">
              <w:rPr>
                <w:rFonts w:asciiTheme="minorHAnsi" w:eastAsiaTheme="minorEastAsia" w:hAnsiTheme="minorHAnsi" w:hint="eastAsia"/>
              </w:rPr>
              <w:t>含有量が</w:t>
            </w:r>
            <w:r w:rsidRPr="00BC31E0">
              <w:rPr>
                <w:rFonts w:ascii="Cambria Math" w:eastAsiaTheme="minorEastAsia" w:hAnsi="Cambria Math"/>
              </w:rPr>
              <w:t>1.0 %</w:t>
            </w:r>
            <w:r w:rsidRPr="00BC31E0">
              <w:rPr>
                <w:rFonts w:ascii="Cambria Math" w:eastAsiaTheme="minorEastAsia" w:hAnsi="Cambria Math" w:hint="eastAsia"/>
              </w:rPr>
              <w:t>以下の場合には，最高保持温度は</w:t>
            </w:r>
            <w:r w:rsidRPr="00BC31E0">
              <w:rPr>
                <w:rFonts w:ascii="Cambria Math" w:eastAsiaTheme="minorEastAsia" w:hAnsi="Cambria Math" w:hint="eastAsia"/>
              </w:rPr>
              <w:t>790</w:t>
            </w:r>
            <w:r w:rsidRPr="00BC31E0">
              <w:rPr>
                <w:rFonts w:asciiTheme="minorHAnsi" w:hAnsiTheme="minorHAnsi"/>
              </w:rPr>
              <w:t>°C</w:t>
            </w:r>
            <w:r w:rsidRPr="00BC31E0">
              <w:rPr>
                <w:rFonts w:ascii="Cambria Math" w:eastAsiaTheme="minorEastAsia" w:hAnsi="Cambria Math" w:hint="eastAsia"/>
              </w:rPr>
              <w:t>とする。</w:t>
            </w:r>
          </w:p>
          <w:p w14:paraId="1C019320" w14:textId="77777777" w:rsidR="00644B5F" w:rsidRPr="00BC31E0" w:rsidRDefault="00644B5F" w:rsidP="00736130">
            <w:pPr>
              <w:numPr>
                <w:ilvl w:val="0"/>
                <w:numId w:val="204"/>
              </w:numPr>
              <w:ind w:left="567" w:hanging="340"/>
              <w:rPr>
                <w:rFonts w:asciiTheme="minorHAnsi" w:eastAsiaTheme="minorEastAsia" w:hAnsiTheme="minorHAnsi"/>
              </w:rPr>
            </w:pPr>
            <w:r w:rsidRPr="00BC31E0">
              <w:rPr>
                <w:rFonts w:asciiTheme="minorHAnsi" w:eastAsiaTheme="minorEastAsia" w:hAnsiTheme="minorHAnsi" w:hint="eastAsia"/>
              </w:rPr>
              <w:t>溶加材の</w:t>
            </w:r>
            <m:oMath>
              <m:r>
                <m:rPr>
                  <m:sty m:val="p"/>
                </m:rPr>
                <w:rPr>
                  <w:rFonts w:ascii="Cambria Math" w:eastAsiaTheme="minorEastAsia" w:hAnsi="Cambria Math" w:hint="eastAsia"/>
                </w:rPr>
                <m:t>Ni+Mn</m:t>
              </m:r>
            </m:oMath>
            <w:r w:rsidRPr="00BC31E0">
              <w:rPr>
                <w:rFonts w:asciiTheme="minorHAnsi" w:eastAsiaTheme="minorEastAsia" w:hAnsiTheme="minorHAnsi" w:hint="eastAsia"/>
              </w:rPr>
              <w:t>含有量が</w:t>
            </w:r>
            <w:r w:rsidRPr="00BC31E0">
              <w:rPr>
                <w:rFonts w:ascii="Cambria Math" w:eastAsiaTheme="minorEastAsia" w:hAnsi="Cambria Math"/>
              </w:rPr>
              <w:t>1.0 %</w:t>
            </w:r>
            <w:r w:rsidRPr="00BC31E0">
              <w:rPr>
                <w:rFonts w:ascii="Cambria Math" w:eastAsiaTheme="minorEastAsia" w:hAnsi="Cambria Math" w:hint="eastAsia"/>
              </w:rPr>
              <w:t>を超えて</w:t>
            </w:r>
            <w:r w:rsidRPr="00BC31E0">
              <w:rPr>
                <w:rFonts w:ascii="Cambria Math" w:eastAsiaTheme="minorEastAsia" w:hAnsi="Cambria Math" w:hint="eastAsia"/>
              </w:rPr>
              <w:t>1.2 %</w:t>
            </w:r>
            <w:r w:rsidRPr="00BC31E0">
              <w:rPr>
                <w:rFonts w:ascii="Cambria Math" w:eastAsiaTheme="minorEastAsia" w:hAnsi="Cambria Math" w:hint="eastAsia"/>
              </w:rPr>
              <w:t>以下の場合には，最高保持温度は</w:t>
            </w:r>
            <w:r w:rsidRPr="00BC31E0">
              <w:rPr>
                <w:rFonts w:ascii="Cambria Math" w:eastAsiaTheme="minorEastAsia" w:hAnsi="Cambria Math"/>
              </w:rPr>
              <w:t>780</w:t>
            </w:r>
            <w:r w:rsidRPr="00BC31E0">
              <w:rPr>
                <w:rFonts w:asciiTheme="minorHAnsi" w:hAnsiTheme="minorHAnsi"/>
              </w:rPr>
              <w:t>°C</w:t>
            </w:r>
            <w:r w:rsidRPr="00BC31E0">
              <w:rPr>
                <w:rFonts w:ascii="Cambria Math" w:eastAsiaTheme="minorEastAsia" w:hAnsi="Cambria Math" w:hint="eastAsia"/>
              </w:rPr>
              <w:t>とする。</w:t>
            </w:r>
          </w:p>
          <w:p w14:paraId="0375F7CA" w14:textId="77777777" w:rsidR="00644B5F" w:rsidRPr="00BC31E0" w:rsidRDefault="00644B5F" w:rsidP="00736130">
            <w:pPr>
              <w:numPr>
                <w:ilvl w:val="0"/>
                <w:numId w:val="204"/>
              </w:numPr>
              <w:ind w:left="567" w:hanging="340"/>
              <w:rPr>
                <w:rFonts w:asciiTheme="minorHAnsi" w:eastAsiaTheme="minorEastAsia" w:hAnsiTheme="minorHAnsi"/>
              </w:rPr>
            </w:pPr>
            <w:r w:rsidRPr="00BC31E0">
              <w:rPr>
                <w:rFonts w:asciiTheme="minorHAnsi" w:eastAsiaTheme="minorEastAsia" w:hAnsiTheme="minorHAnsi" w:hint="eastAsia"/>
              </w:rPr>
              <w:t>溶加材の</w:t>
            </w:r>
            <m:oMath>
              <m:r>
                <m:rPr>
                  <m:sty m:val="p"/>
                </m:rPr>
                <w:rPr>
                  <w:rFonts w:ascii="Cambria Math" w:eastAsiaTheme="minorEastAsia" w:hAnsi="Cambria Math" w:hint="eastAsia"/>
                </w:rPr>
                <m:t>Ni+Mn</m:t>
              </m:r>
            </m:oMath>
            <w:r w:rsidRPr="00BC31E0">
              <w:rPr>
                <w:rFonts w:asciiTheme="minorHAnsi" w:eastAsiaTheme="minorEastAsia" w:hAnsiTheme="minorHAnsi" w:hint="eastAsia"/>
              </w:rPr>
              <w:t>含有量が</w:t>
            </w:r>
            <w:r w:rsidRPr="00BC31E0">
              <w:rPr>
                <w:rFonts w:ascii="Cambria Math" w:eastAsiaTheme="minorEastAsia" w:hAnsi="Cambria Math"/>
              </w:rPr>
              <w:t>1.2 %</w:t>
            </w:r>
            <w:r w:rsidRPr="00BC31E0">
              <w:rPr>
                <w:rFonts w:asciiTheme="minorHAnsi" w:eastAsiaTheme="minorEastAsia" w:hAnsiTheme="minorHAnsi" w:hint="eastAsia"/>
              </w:rPr>
              <w:t>を超える場合には，最高保持温度は，</w:t>
            </w:r>
            <w:r w:rsidRPr="00BC31E0">
              <w:rPr>
                <w:rFonts w:asciiTheme="majorEastAsia" w:eastAsiaTheme="majorEastAsia" w:hAnsiTheme="majorEastAsia" w:hint="eastAsia"/>
                <w:b/>
              </w:rPr>
              <w:t>ASTM A1033</w:t>
            </w:r>
            <w:r w:rsidRPr="00BC31E0">
              <w:rPr>
                <w:rFonts w:asciiTheme="minorHAnsi" w:eastAsiaTheme="minorEastAsia" w:hAnsiTheme="minorHAnsi" w:hint="eastAsia"/>
              </w:rPr>
              <w:t>に従って比熱に対する温度の測定によって決定される低変態点</w:t>
            </w:r>
            <w:r w:rsidRPr="00BC31E0">
              <w:rPr>
                <w:rFonts w:asciiTheme="minorHAnsi" w:eastAsiaTheme="minorEastAsia" w:hAnsiTheme="minorHAnsi" w:hint="eastAsia"/>
              </w:rPr>
              <w:t>(Ac1)</w:t>
            </w:r>
            <w:r w:rsidRPr="00BC31E0">
              <w:rPr>
                <w:rFonts w:asciiTheme="minorHAnsi" w:eastAsiaTheme="minorEastAsia" w:hAnsiTheme="minorHAnsi" w:hint="eastAsia"/>
              </w:rPr>
              <w:t>温度よりも少なくとも</w:t>
            </w:r>
            <w:r w:rsidRPr="00BC31E0">
              <w:rPr>
                <w:rFonts w:ascii="Cambria Math" w:eastAsiaTheme="minorEastAsia" w:hAnsi="Cambria Math"/>
              </w:rPr>
              <w:t>10</w:t>
            </w:r>
            <w:r w:rsidRPr="00BC31E0">
              <w:rPr>
                <w:rFonts w:asciiTheme="minorHAnsi" w:hAnsiTheme="minorHAnsi"/>
              </w:rPr>
              <w:t>°C</w:t>
            </w:r>
            <w:r w:rsidRPr="00BC31E0">
              <w:rPr>
                <w:rFonts w:asciiTheme="minorHAnsi" w:eastAsiaTheme="minorEastAsia" w:hAnsiTheme="minorHAnsi" w:hint="eastAsia"/>
              </w:rPr>
              <w:t>低くする。このような場合，更に次の</w:t>
            </w:r>
            <w:r w:rsidRPr="00BC31E0">
              <w:rPr>
                <w:rFonts w:asciiTheme="majorEastAsia" w:eastAsiaTheme="majorEastAsia" w:hAnsiTheme="majorEastAsia" w:hint="eastAsia"/>
                <w:b/>
              </w:rPr>
              <w:t>3.1)</w:t>
            </w:r>
            <w:r w:rsidRPr="00BC31E0">
              <w:rPr>
                <w:rFonts w:asciiTheme="minorHAnsi" w:eastAsiaTheme="minorEastAsia" w:hAnsiTheme="minorHAnsi" w:hint="eastAsia"/>
              </w:rPr>
              <w:t>及び</w:t>
            </w:r>
            <w:r w:rsidRPr="00BC31E0">
              <w:rPr>
                <w:rFonts w:asciiTheme="majorEastAsia" w:eastAsiaTheme="majorEastAsia" w:hAnsiTheme="majorEastAsia" w:hint="eastAsia"/>
                <w:b/>
              </w:rPr>
              <w:t>3.2)</w:t>
            </w:r>
            <w:r w:rsidRPr="00BC31E0">
              <w:rPr>
                <w:rFonts w:asciiTheme="minorHAnsi" w:eastAsiaTheme="minorEastAsia" w:hAnsiTheme="minorHAnsi" w:hint="eastAsia"/>
              </w:rPr>
              <w:t>の制限がある。</w:t>
            </w:r>
          </w:p>
          <w:p w14:paraId="5FAFA698" w14:textId="77777777" w:rsidR="00644B5F" w:rsidRPr="00BC31E0" w:rsidRDefault="00644B5F" w:rsidP="00736130">
            <w:pPr>
              <w:numPr>
                <w:ilvl w:val="0"/>
                <w:numId w:val="205"/>
              </w:numPr>
              <w:ind w:left="1021" w:hanging="567"/>
              <w:rPr>
                <w:rFonts w:asciiTheme="minorHAnsi" w:eastAsiaTheme="minorEastAsia" w:hAnsiTheme="minorEastAsia"/>
              </w:rPr>
            </w:pPr>
            <w:r w:rsidRPr="00BC31E0">
              <w:rPr>
                <w:rFonts w:asciiTheme="majorEastAsia" w:eastAsiaTheme="majorEastAsia" w:hAnsiTheme="majorEastAsia" w:hint="eastAsia"/>
                <w:b/>
              </w:rPr>
              <w:t>ASTM A1033</w:t>
            </w:r>
            <w:r w:rsidRPr="00BC31E0">
              <w:rPr>
                <w:rFonts w:asciiTheme="minorEastAsia" w:eastAsiaTheme="minorEastAsia" w:hAnsiTheme="minorEastAsia" w:hint="eastAsia"/>
              </w:rPr>
              <w:t>に従って測定された</w:t>
            </w:r>
            <w:r w:rsidRPr="00BC31E0">
              <w:rPr>
                <w:rFonts w:asciiTheme="minorHAnsi" w:eastAsiaTheme="minorEastAsia" w:hAnsiTheme="minorEastAsia" w:hint="eastAsia"/>
              </w:rPr>
              <w:t>溶加材の</w:t>
            </w:r>
            <w:r w:rsidRPr="00BC31E0">
              <w:rPr>
                <w:rFonts w:asciiTheme="minorHAnsi" w:eastAsiaTheme="minorEastAsia" w:hAnsiTheme="minorEastAsia" w:hint="eastAsia"/>
              </w:rPr>
              <w:t>Ac1</w:t>
            </w:r>
            <w:r w:rsidRPr="00BC31E0">
              <w:rPr>
                <w:rFonts w:asciiTheme="minorHAnsi" w:eastAsiaTheme="minorEastAsia" w:hAnsiTheme="minorEastAsia" w:hint="eastAsia"/>
              </w:rPr>
              <w:t>温度を，製作者製作記録に記載しなければならない。</w:t>
            </w:r>
          </w:p>
          <w:p w14:paraId="7097077B" w14:textId="77777777" w:rsidR="00644B5F" w:rsidRPr="00BC31E0" w:rsidRDefault="00644B5F" w:rsidP="00736130">
            <w:pPr>
              <w:numPr>
                <w:ilvl w:val="0"/>
                <w:numId w:val="205"/>
              </w:numPr>
              <w:ind w:left="1021" w:hanging="567"/>
              <w:rPr>
                <w:rFonts w:asciiTheme="minorHAnsi" w:eastAsiaTheme="minorEastAsia" w:hAnsiTheme="minorEastAsia"/>
              </w:rPr>
            </w:pPr>
            <m:oMath>
              <m:r>
                <m:rPr>
                  <m:sty m:val="p"/>
                </m:rPr>
                <w:rPr>
                  <w:rFonts w:ascii="Cambria Math" w:eastAsiaTheme="minorEastAsia" w:hAnsi="Cambria Math" w:hint="eastAsia"/>
                </w:rPr>
                <m:t>Ni+Mn</m:t>
              </m:r>
            </m:oMath>
            <w:r w:rsidRPr="00BC31E0">
              <w:rPr>
                <w:rFonts w:asciiTheme="minorHAnsi" w:eastAsiaTheme="minorEastAsia" w:hAnsiTheme="minorHAnsi" w:hint="eastAsia"/>
              </w:rPr>
              <w:t>含有量が</w:t>
            </w:r>
            <w:r w:rsidRPr="00BC31E0">
              <w:rPr>
                <w:rFonts w:ascii="Cambria Math" w:eastAsiaTheme="minorEastAsia" w:hAnsi="Cambria Math"/>
              </w:rPr>
              <w:t>1.2 %</w:t>
            </w:r>
            <w:r w:rsidRPr="00BC31E0">
              <w:rPr>
                <w:rFonts w:asciiTheme="minorHAnsi" w:eastAsiaTheme="minorEastAsia" w:hAnsiTheme="minorHAnsi" w:hint="eastAsia"/>
              </w:rPr>
              <w:t>を超える</w:t>
            </w:r>
            <w:r w:rsidRPr="00BC31E0">
              <w:rPr>
                <w:rFonts w:asciiTheme="minorHAnsi" w:eastAsiaTheme="minorEastAsia" w:hAnsiTheme="minorEastAsia" w:hint="eastAsia"/>
              </w:rPr>
              <w:t>溶加材を使用して製作した容器の最高運転温度は，</w:t>
            </w:r>
            <w:r w:rsidRPr="00BC31E0">
              <w:rPr>
                <w:rFonts w:ascii="Cambria Math" w:eastAsiaTheme="minorEastAsia" w:hAnsi="Cambria Math"/>
              </w:rPr>
              <w:t>525</w:t>
            </w:r>
            <w:r w:rsidRPr="00BC31E0">
              <w:rPr>
                <w:rFonts w:asciiTheme="minorHAnsi" w:hAnsiTheme="minorHAnsi"/>
              </w:rPr>
              <w:t>°C</w:t>
            </w:r>
            <w:r w:rsidRPr="00BC31E0">
              <w:rPr>
                <w:rFonts w:asciiTheme="minorHAnsi" w:eastAsiaTheme="minorEastAsia" w:hAnsiTheme="minorEastAsia" w:hint="eastAsia"/>
              </w:rPr>
              <w:t>とする。</w:t>
            </w:r>
          </w:p>
          <w:p w14:paraId="6D06F9F5" w14:textId="77777777" w:rsidR="00644B5F" w:rsidRPr="00BC31E0" w:rsidRDefault="00644B5F" w:rsidP="00736130">
            <w:pPr>
              <w:numPr>
                <w:ilvl w:val="0"/>
                <w:numId w:val="204"/>
              </w:numPr>
              <w:ind w:left="567" w:hanging="340"/>
              <w:rPr>
                <w:rFonts w:asciiTheme="minorHAnsi" w:eastAsiaTheme="minorEastAsia" w:hAnsiTheme="minorEastAsia"/>
              </w:rPr>
            </w:pPr>
            <w:r w:rsidRPr="00BC31E0">
              <w:rPr>
                <w:rFonts w:asciiTheme="minorHAnsi" w:eastAsiaTheme="minorEastAsia" w:hAnsiTheme="minorEastAsia" w:hint="eastAsia"/>
              </w:rPr>
              <w:t>耐圧部分又は圧力容器において，</w:t>
            </w:r>
            <w:r w:rsidRPr="00BC31E0">
              <w:rPr>
                <w:rFonts w:asciiTheme="minorHAnsi" w:eastAsiaTheme="minorEastAsia" w:hAnsiTheme="minorEastAsia" w:hint="eastAsia"/>
              </w:rPr>
              <w:t>Grade 91</w:t>
            </w:r>
            <w:r w:rsidRPr="00BC31E0">
              <w:rPr>
                <w:rFonts w:asciiTheme="minorHAnsi" w:eastAsiaTheme="minorEastAsia" w:hAnsiTheme="minorEastAsia" w:hint="eastAsia"/>
              </w:rPr>
              <w:t>溶加材を使用して製作した複数の溶接継手を同時に溶接後熱処理する場合には，最高保持温度は最も高い</w:t>
            </w:r>
            <m:oMath>
              <m:r>
                <m:rPr>
                  <m:sty m:val="p"/>
                </m:rPr>
                <w:rPr>
                  <w:rFonts w:ascii="Cambria Math" w:eastAsiaTheme="minorEastAsia" w:hAnsi="Cambria Math" w:hint="eastAsia"/>
                </w:rPr>
                <m:t>Ni+Mn</m:t>
              </m:r>
            </m:oMath>
            <w:r w:rsidRPr="00BC31E0">
              <w:rPr>
                <w:rFonts w:asciiTheme="minorHAnsi" w:eastAsiaTheme="minorEastAsia" w:hAnsiTheme="minorHAnsi" w:hint="eastAsia"/>
              </w:rPr>
              <w:t>含有量に基づいて決定する</w:t>
            </w:r>
            <w:r w:rsidRPr="00BC31E0">
              <w:rPr>
                <w:rFonts w:asciiTheme="minorHAnsi" w:eastAsiaTheme="minorEastAsia" w:hAnsiTheme="minorEastAsia" w:hint="eastAsia"/>
              </w:rPr>
              <w:t>。</w:t>
            </w:r>
          </w:p>
        </w:tc>
        <w:tc>
          <w:tcPr>
            <w:tcW w:w="2126" w:type="dxa"/>
          </w:tcPr>
          <w:p w14:paraId="3FB02B02" w14:textId="77777777" w:rsidR="00644B5F" w:rsidRPr="00BC31E0" w:rsidRDefault="00A51873" w:rsidP="00644B5F">
            <w:pPr>
              <w:rPr>
                <w:rFonts w:asciiTheme="minorHAnsi" w:eastAsiaTheme="minorEastAsia" w:hAnsiTheme="minorHAnsi"/>
              </w:rPr>
            </w:pPr>
            <m:oMath>
              <m:sSub>
                <m:sSubPr>
                  <m:ctrlPr>
                    <w:rPr>
                      <w:rFonts w:ascii="Cambria Math" w:eastAsiaTheme="minorEastAsia" w:hAnsi="Cambria Math"/>
                    </w:rPr>
                  </m:ctrlPr>
                </m:sSubPr>
                <m:e>
                  <m:r>
                    <w:rPr>
                      <w:rFonts w:ascii="Cambria Math" w:eastAsiaTheme="minorEastAsia" w:hAnsi="Cambria Math"/>
                    </w:rPr>
                    <m:t>t</m:t>
                  </m:r>
                </m:e>
                <m:sub>
                  <m:r>
                    <w:rPr>
                      <w:rFonts w:ascii="Cambria Math" w:eastAsiaTheme="minorEastAsia" w:hAnsi="Cambria Math"/>
                    </w:rPr>
                    <m:t>n</m:t>
                  </m:r>
                </m:sub>
              </m:sSub>
              <m:r>
                <w:rPr>
                  <w:rFonts w:ascii="Cambria Math" w:eastAsiaTheme="minorEastAsia" w:hAnsi="Cambria Math" w:hint="eastAsia"/>
                </w:rPr>
                <m:t>≦</m:t>
              </m:r>
              <m:r>
                <w:rPr>
                  <w:rFonts w:ascii="Cambria Math" w:eastAsiaTheme="minorEastAsia" w:hAnsi="Cambria Math"/>
                </w:rPr>
                <m:t xml:space="preserve">125 </m:t>
              </m:r>
            </m:oMath>
            <w:r w:rsidR="00644B5F" w:rsidRPr="00BC31E0">
              <w:rPr>
                <w:rFonts w:ascii="Cambria Math" w:eastAsiaTheme="minorEastAsia" w:hAnsi="Cambria Math"/>
              </w:rPr>
              <w:t>mm</w:t>
            </w:r>
          </w:p>
          <w:p w14:paraId="646EC111" w14:textId="77777777" w:rsidR="00644B5F" w:rsidRPr="00BC31E0" w:rsidRDefault="00644B5F" w:rsidP="00644B5F">
            <w:pPr>
              <w:ind w:left="170"/>
              <w:rPr>
                <w:rFonts w:asciiTheme="minorHAnsi" w:eastAsiaTheme="minorEastAsia" w:hAnsiTheme="minorHAnsi"/>
              </w:rPr>
            </w:pPr>
            <w:r w:rsidRPr="00BC31E0">
              <w:rPr>
                <w:rFonts w:asciiTheme="minorHAnsi" w:eastAsiaTheme="minorEastAsia" w:hAnsiTheme="minorEastAsia"/>
              </w:rPr>
              <w:t>最低</w:t>
            </w:r>
            <w:r w:rsidRPr="00BC31E0">
              <w:rPr>
                <w:rFonts w:ascii="Cambria Math" w:eastAsiaTheme="minorEastAsia" w:hAnsi="Cambria Math"/>
              </w:rPr>
              <w:t>705</w:t>
            </w:r>
            <w:r w:rsidRPr="00BC31E0">
              <w:rPr>
                <w:rFonts w:asciiTheme="minorHAnsi" w:hAnsiTheme="minorHAnsi"/>
              </w:rPr>
              <w:t>°C</w:t>
            </w:r>
          </w:p>
          <w:tbl>
            <w:tblPr>
              <w:tblStyle w:val="100"/>
              <w:tblW w:w="0" w:type="auto"/>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0"/>
            </w:tblGrid>
            <w:tr w:rsidR="00644B5F" w:rsidRPr="00BC31E0" w14:paraId="5C57E748" w14:textId="77777777" w:rsidTr="004736F2">
              <w:tc>
                <w:tcPr>
                  <w:tcW w:w="0" w:type="auto"/>
                  <w:vAlign w:val="center"/>
                </w:tcPr>
                <w:p w14:paraId="07F1A51C" w14:textId="77777777" w:rsidR="00644B5F" w:rsidRPr="00BC31E0" w:rsidRDefault="00A51873" w:rsidP="00644B5F">
                  <w:pPr>
                    <w:rPr>
                      <w:rFonts w:ascii="Cambria Math" w:eastAsiaTheme="minorEastAsia" w:hAnsi="Cambria Math"/>
                      <w:i/>
                    </w:rPr>
                  </w:pPr>
                  <m:oMathPara>
                    <m:oMathParaPr>
                      <m:jc m:val="left"/>
                    </m:oMathParaPr>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n</m:t>
                              </m:r>
                            </m:sub>
                          </m:sSub>
                        </m:num>
                        <m:den>
                          <m:r>
                            <w:rPr>
                              <w:rFonts w:ascii="Cambria Math" w:eastAsiaTheme="minorEastAsia" w:hAnsi="Cambria Math"/>
                            </w:rPr>
                            <m:t>25</m:t>
                          </m:r>
                        </m:den>
                      </m:f>
                      <m:r>
                        <w:rPr>
                          <w:rFonts w:ascii="Cambria Math" w:eastAsiaTheme="minorEastAsia" w:hAnsi="Cambria Math"/>
                        </w:rPr>
                        <m:t xml:space="preserve"> </m:t>
                      </m:r>
                      <m:r>
                        <m:rPr>
                          <m:sty m:val="p"/>
                        </m:rPr>
                        <w:rPr>
                          <w:rFonts w:ascii="Cambria Math" w:eastAsiaTheme="minorEastAsia" w:hAnsi="Cambria Math"/>
                        </w:rPr>
                        <m:t>h</m:t>
                      </m:r>
                    </m:oMath>
                  </m:oMathPara>
                </w:p>
              </w:tc>
            </w:tr>
          </w:tbl>
          <w:p w14:paraId="33509344" w14:textId="77777777" w:rsidR="00644B5F" w:rsidRPr="00BC31E0" w:rsidRDefault="00644B5F" w:rsidP="00644B5F">
            <w:pPr>
              <w:ind w:left="170"/>
              <w:rPr>
                <w:rFonts w:asciiTheme="minorHAnsi" w:eastAsiaTheme="minorEastAsia" w:hAnsiTheme="minorHAnsi"/>
              </w:rPr>
            </w:pPr>
            <w:r w:rsidRPr="00BC31E0">
              <w:rPr>
                <w:rFonts w:asciiTheme="minorHAnsi" w:eastAsiaTheme="minorEastAsia" w:hAnsiTheme="minorEastAsia"/>
              </w:rPr>
              <w:t>最小</w:t>
            </w:r>
            <w:r w:rsidRPr="00BC31E0">
              <w:rPr>
                <w:rFonts w:ascii="Cambria Math" w:eastAsiaTheme="minorEastAsia" w:hAnsi="Cambria Math"/>
              </w:rPr>
              <w:t>0.5 h</w:t>
            </w:r>
          </w:p>
          <w:p w14:paraId="352E76F0" w14:textId="77777777" w:rsidR="00644B5F" w:rsidRPr="00BC31E0" w:rsidRDefault="00644B5F" w:rsidP="00644B5F">
            <w:pPr>
              <w:rPr>
                <w:rFonts w:asciiTheme="minorHAnsi" w:eastAsiaTheme="minorEastAsia" w:hAnsiTheme="minorHAnsi"/>
              </w:rPr>
            </w:pPr>
          </w:p>
          <w:p w14:paraId="5295A9DB" w14:textId="77777777" w:rsidR="00644B5F" w:rsidRPr="00BC31E0" w:rsidRDefault="00A51873" w:rsidP="00644B5F">
            <w:pPr>
              <w:rPr>
                <w:rFonts w:asciiTheme="minorHAnsi" w:eastAsiaTheme="minorEastAsia" w:hAnsiTheme="minorHAnsi"/>
              </w:rPr>
            </w:pPr>
            <m:oMath>
              <m:sSub>
                <m:sSubPr>
                  <m:ctrlPr>
                    <w:rPr>
                      <w:rFonts w:ascii="Cambria Math" w:eastAsiaTheme="minorEastAsia" w:hAnsi="Cambria Math"/>
                    </w:rPr>
                  </m:ctrlPr>
                </m:sSubPr>
                <m:e>
                  <m:r>
                    <w:rPr>
                      <w:rFonts w:ascii="Cambria Math" w:eastAsiaTheme="minorEastAsia" w:hAnsi="Cambria Math"/>
                    </w:rPr>
                    <m:t>t</m:t>
                  </m:r>
                </m:e>
                <m:sub>
                  <m:r>
                    <w:rPr>
                      <w:rFonts w:ascii="Cambria Math" w:eastAsiaTheme="minorEastAsia" w:hAnsi="Cambria Math"/>
                    </w:rPr>
                    <m:t>n</m:t>
                  </m:r>
                </m:sub>
              </m:sSub>
              <m:r>
                <w:rPr>
                  <w:rFonts w:ascii="Cambria Math" w:eastAsiaTheme="minorEastAsia" w:hAnsi="Cambria Math"/>
                </w:rPr>
                <m:t xml:space="preserve">&gt;125 </m:t>
              </m:r>
            </m:oMath>
            <w:r w:rsidR="00644B5F" w:rsidRPr="00BC31E0">
              <w:rPr>
                <w:rFonts w:ascii="Cambria Math" w:eastAsiaTheme="minorEastAsia" w:hAnsi="Cambria Math"/>
              </w:rPr>
              <w:t>mm</w:t>
            </w:r>
          </w:p>
          <w:p w14:paraId="52A21A23" w14:textId="77777777" w:rsidR="00644B5F" w:rsidRPr="00BC31E0" w:rsidRDefault="00644B5F" w:rsidP="00644B5F">
            <w:pPr>
              <w:ind w:left="170"/>
              <w:rPr>
                <w:rFonts w:asciiTheme="minorHAnsi" w:eastAsiaTheme="minorEastAsia" w:hAnsiTheme="minorHAnsi"/>
              </w:rPr>
            </w:pPr>
            <w:r w:rsidRPr="00BC31E0">
              <w:rPr>
                <w:rFonts w:asciiTheme="minorHAnsi" w:eastAsiaTheme="minorEastAsia" w:hAnsiTheme="minorEastAsia"/>
              </w:rPr>
              <w:t>最低</w:t>
            </w:r>
            <w:r w:rsidRPr="00BC31E0">
              <w:rPr>
                <w:rFonts w:ascii="Cambria Math" w:eastAsiaTheme="minorEastAsia" w:hAnsi="Cambria Math"/>
              </w:rPr>
              <w:t>705</w:t>
            </w:r>
            <w:r w:rsidRPr="00BC31E0">
              <w:rPr>
                <w:rFonts w:asciiTheme="minorHAnsi" w:hAnsiTheme="minorHAnsi"/>
              </w:rPr>
              <w:t>°C</w:t>
            </w:r>
          </w:p>
          <w:tbl>
            <w:tblPr>
              <w:tblStyle w:val="100"/>
              <w:tblW w:w="0" w:type="auto"/>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52"/>
            </w:tblGrid>
            <w:tr w:rsidR="00644B5F" w:rsidRPr="00BC31E0" w14:paraId="170A80C0" w14:textId="77777777" w:rsidTr="004736F2">
              <w:tc>
                <w:tcPr>
                  <w:tcW w:w="0" w:type="auto"/>
                  <w:vAlign w:val="center"/>
                </w:tcPr>
                <w:p w14:paraId="2FD199EA" w14:textId="77777777" w:rsidR="00644B5F" w:rsidRPr="00BC31E0" w:rsidRDefault="00644B5F" w:rsidP="00644B5F">
                  <w:pPr>
                    <w:rPr>
                      <w:rFonts w:ascii="Cambria Math" w:eastAsiaTheme="minorEastAsia" w:hAnsi="Cambria Math"/>
                      <w:i/>
                    </w:rPr>
                  </w:pPr>
                  <m:oMathPara>
                    <m:oMathParaPr>
                      <m:jc m:val="left"/>
                    </m:oMathParaPr>
                    <m:oMath>
                      <m:r>
                        <w:rPr>
                          <w:rFonts w:ascii="Cambria Math" w:eastAsiaTheme="minorEastAsia" w:hAnsi="Cambria Math"/>
                        </w:rPr>
                        <m:t>5+</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n</m:t>
                              </m:r>
                            </m:sub>
                          </m:sSub>
                          <m:r>
                            <w:rPr>
                              <w:rFonts w:ascii="Cambria Math" w:eastAsiaTheme="minorEastAsia" w:hAnsi="Cambria Math"/>
                            </w:rPr>
                            <m:t>-125</m:t>
                          </m:r>
                        </m:num>
                        <m:den>
                          <m:r>
                            <w:rPr>
                              <w:rFonts w:ascii="Cambria Math" w:eastAsiaTheme="minorEastAsia" w:hAnsi="Cambria Math"/>
                            </w:rPr>
                            <m:t>100</m:t>
                          </m:r>
                        </m:den>
                      </m:f>
                      <m:r>
                        <w:rPr>
                          <w:rFonts w:ascii="Cambria Math" w:eastAsiaTheme="minorEastAsia" w:hAnsi="Cambria Math"/>
                        </w:rPr>
                        <m:t xml:space="preserve"> </m:t>
                      </m:r>
                      <m:r>
                        <m:rPr>
                          <m:sty m:val="p"/>
                        </m:rPr>
                        <w:rPr>
                          <w:rFonts w:ascii="Cambria Math" w:eastAsiaTheme="minorEastAsia" w:hAnsi="Cambria Math"/>
                        </w:rPr>
                        <m:t>h</m:t>
                      </m:r>
                    </m:oMath>
                  </m:oMathPara>
                </w:p>
              </w:tc>
            </w:tr>
          </w:tbl>
          <w:p w14:paraId="08F9F7F5" w14:textId="77777777" w:rsidR="00644B5F" w:rsidRPr="00BC31E0" w:rsidRDefault="00644B5F" w:rsidP="00644B5F">
            <w:pPr>
              <w:rPr>
                <w:rFonts w:asciiTheme="minorHAnsi" w:eastAsiaTheme="minorEastAsia" w:hAnsiTheme="minorHAnsi"/>
              </w:rPr>
            </w:pPr>
          </w:p>
        </w:tc>
      </w:tr>
    </w:tbl>
    <w:p w14:paraId="30B20546" w14:textId="77777777" w:rsidR="009A5191" w:rsidRPr="00BC31E0" w:rsidRDefault="009A5191" w:rsidP="009A5191">
      <w:pPr>
        <w:spacing w:before="60"/>
        <w:rPr>
          <w:rFonts w:asciiTheme="minorHAnsi" w:eastAsiaTheme="minorEastAsia" w:hAnsiTheme="minorHAnsi"/>
        </w:rPr>
      </w:pPr>
    </w:p>
    <w:p w14:paraId="38811649" w14:textId="77777777" w:rsidR="009A5191" w:rsidRPr="00BC31E0" w:rsidRDefault="009A5191" w:rsidP="009A5191">
      <w:pPr>
        <w:widowControl/>
        <w:jc w:val="left"/>
      </w:pPr>
    </w:p>
    <w:p w14:paraId="4B40CFC7" w14:textId="77777777" w:rsidR="00644B5F" w:rsidRPr="00BC31E0" w:rsidRDefault="00644B5F" w:rsidP="009A5191">
      <w:pPr>
        <w:widowControl/>
        <w:jc w:val="left"/>
      </w:pPr>
      <w:r w:rsidRPr="00BC31E0">
        <w:br w:type="page"/>
      </w:r>
    </w:p>
    <w:p w14:paraId="106FD64B" w14:textId="77777777" w:rsidR="00644B5F" w:rsidRPr="00BC31E0" w:rsidRDefault="00644B5F" w:rsidP="009A5191">
      <w:pPr>
        <w:jc w:val="center"/>
        <w:rPr>
          <w:rFonts w:asciiTheme="majorEastAsia" w:eastAsiaTheme="majorEastAsia" w:hAnsiTheme="majorEastAsia"/>
          <w:b/>
        </w:rPr>
      </w:pPr>
      <w:r w:rsidRPr="00BC31E0">
        <w:rPr>
          <w:rFonts w:asciiTheme="majorEastAsia" w:eastAsiaTheme="majorEastAsia" w:hAnsiTheme="majorEastAsia" w:hint="eastAsia"/>
          <w:b/>
        </w:rPr>
        <w:lastRenderedPageBreak/>
        <w:t>表7.4.16</w:t>
      </w:r>
      <w:r w:rsidRPr="00BC31E0">
        <w:rPr>
          <w:rFonts w:asciiTheme="majorEastAsia" w:eastAsiaTheme="majorEastAsia" w:hAnsiTheme="majorEastAsia"/>
          <w:b/>
        </w:rPr>
        <w:t xml:space="preserve">　溶接後熱処理</w:t>
      </w:r>
      <w:r w:rsidRPr="00BC31E0">
        <w:rPr>
          <w:rFonts w:asciiTheme="majorEastAsia" w:eastAsiaTheme="majorEastAsia" w:hAnsiTheme="majorEastAsia" w:hint="eastAsia"/>
          <w:b/>
        </w:rPr>
        <w:t>の温度及び時間 (続き)</w:t>
      </w:r>
    </w:p>
    <w:p w14:paraId="2D7CBC49" w14:textId="77777777" w:rsidR="00644B5F" w:rsidRPr="00BC31E0" w:rsidRDefault="00644B5F" w:rsidP="009A5191">
      <w:pPr>
        <w:spacing w:after="60"/>
        <w:jc w:val="center"/>
        <w:rPr>
          <w:rFonts w:asciiTheme="majorEastAsia" w:eastAsiaTheme="majorEastAsia" w:hAnsiTheme="majorEastAsia"/>
        </w:rPr>
      </w:pPr>
      <w:r w:rsidRPr="00BC31E0">
        <w:rPr>
          <w:rFonts w:asciiTheme="majorEastAsia" w:eastAsiaTheme="majorEastAsia" w:hAnsiTheme="majorEastAsia"/>
          <w:b/>
        </w:rPr>
        <w:t>(P</w:t>
      </w:r>
      <w:r w:rsidRPr="00BC31E0">
        <w:rPr>
          <w:rFonts w:asciiTheme="majorEastAsia" w:eastAsiaTheme="majorEastAsia" w:hAnsiTheme="majorEastAsia" w:hint="eastAsia"/>
          <w:b/>
        </w:rPr>
        <w:t>番号</w:t>
      </w:r>
      <w:r w:rsidRPr="00BC31E0">
        <w:rPr>
          <w:rFonts w:asciiTheme="majorEastAsia" w:eastAsiaTheme="majorEastAsia" w:hAnsiTheme="majorEastAsia"/>
          <w:b/>
        </w:rPr>
        <w:t>15E</w:t>
      </w:r>
      <w:r w:rsidRPr="00BC31E0">
        <w:rPr>
          <w:rFonts w:asciiTheme="majorEastAsia" w:eastAsiaTheme="majorEastAsia" w:hAnsiTheme="majorEastAsia" w:hint="eastAsia"/>
          <w:b/>
        </w:rPr>
        <w:t>グループ番号</w:t>
      </w:r>
      <w:r w:rsidRPr="00BC31E0">
        <w:rPr>
          <w:rFonts w:asciiTheme="majorEastAsia" w:eastAsiaTheme="majorEastAsia" w:hAnsiTheme="majorEastAsia"/>
          <w:b/>
        </w:rPr>
        <w:t>1)</w:t>
      </w:r>
    </w:p>
    <w:tbl>
      <w:tblPr>
        <w:tblStyle w:val="100"/>
        <w:tblW w:w="0" w:type="auto"/>
        <w:tblInd w:w="108" w:type="dxa"/>
        <w:tblLook w:val="04A0" w:firstRow="1" w:lastRow="0" w:firstColumn="1" w:lastColumn="0" w:noHBand="0" w:noVBand="1"/>
      </w:tblPr>
      <w:tblGrid>
        <w:gridCol w:w="6946"/>
        <w:gridCol w:w="2126"/>
      </w:tblGrid>
      <w:tr w:rsidR="00644B5F" w:rsidRPr="00BC31E0" w14:paraId="258CE1EB" w14:textId="77777777" w:rsidTr="004736F2">
        <w:tc>
          <w:tcPr>
            <w:tcW w:w="6946" w:type="dxa"/>
            <w:vAlign w:val="center"/>
          </w:tcPr>
          <w:p w14:paraId="25500979" w14:textId="77777777" w:rsidR="00644B5F" w:rsidRPr="00BC31E0" w:rsidRDefault="00644B5F" w:rsidP="00644B5F">
            <w:pPr>
              <w:jc w:val="center"/>
              <w:rPr>
                <w:rFonts w:asciiTheme="minorHAnsi" w:eastAsiaTheme="minorEastAsia" w:hAnsiTheme="minorHAnsi"/>
              </w:rPr>
            </w:pPr>
            <w:r w:rsidRPr="00BC31E0">
              <w:rPr>
                <w:rFonts w:asciiTheme="minorHAnsi" w:eastAsiaTheme="minorEastAsia" w:hAnsiTheme="minorEastAsia"/>
              </w:rPr>
              <w:t>要求事項</w:t>
            </w:r>
          </w:p>
        </w:tc>
        <w:tc>
          <w:tcPr>
            <w:tcW w:w="2126" w:type="dxa"/>
            <w:vAlign w:val="center"/>
          </w:tcPr>
          <w:p w14:paraId="0A882F57" w14:textId="77777777" w:rsidR="00644B5F" w:rsidRPr="00BC31E0" w:rsidRDefault="00644B5F" w:rsidP="00644B5F">
            <w:pPr>
              <w:jc w:val="center"/>
              <w:rPr>
                <w:rFonts w:asciiTheme="minorHAnsi" w:eastAsiaTheme="minorEastAsia" w:hAnsiTheme="minorHAnsi"/>
              </w:rPr>
            </w:pPr>
            <w:r w:rsidRPr="00BC31E0">
              <w:rPr>
                <w:rFonts w:asciiTheme="minorHAnsi" w:eastAsiaTheme="minorEastAsia" w:hAnsiTheme="minorEastAsia"/>
              </w:rPr>
              <w:t>保持温度と保持時間</w:t>
            </w:r>
          </w:p>
        </w:tc>
      </w:tr>
      <w:tr w:rsidR="00644B5F" w:rsidRPr="00BC31E0" w14:paraId="229ECF4D" w14:textId="77777777" w:rsidTr="004736F2">
        <w:tc>
          <w:tcPr>
            <w:tcW w:w="6946" w:type="dxa"/>
            <w:vAlign w:val="center"/>
          </w:tcPr>
          <w:p w14:paraId="28C3A886" w14:textId="77777777" w:rsidR="00644B5F" w:rsidRPr="00BC31E0" w:rsidRDefault="00644B5F" w:rsidP="00736130">
            <w:pPr>
              <w:numPr>
                <w:ilvl w:val="0"/>
                <w:numId w:val="207"/>
              </w:numPr>
              <w:ind w:left="340" w:hanging="340"/>
              <w:rPr>
                <w:rFonts w:asciiTheme="minorHAnsi" w:eastAsiaTheme="minorEastAsia" w:hAnsiTheme="minorHAnsi"/>
              </w:rPr>
            </w:pPr>
            <w:r w:rsidRPr="00BC31E0">
              <w:rPr>
                <w:rFonts w:asciiTheme="minorHAnsi" w:eastAsiaTheme="minorEastAsia" w:hAnsiTheme="minorEastAsia"/>
              </w:rPr>
              <w:t>機器の一部が</w:t>
            </w:r>
            <w:r w:rsidRPr="00BC31E0">
              <w:rPr>
                <w:rFonts w:asciiTheme="minorHAnsi" w:eastAsiaTheme="minorEastAsia" w:hAnsiTheme="minorEastAsia" w:hint="eastAsia"/>
              </w:rPr>
              <w:t>最高保持温度</w:t>
            </w:r>
            <w:r w:rsidRPr="00BC31E0">
              <w:rPr>
                <w:rFonts w:asciiTheme="minorHAnsi" w:eastAsiaTheme="minorEastAsia" w:hAnsiTheme="minorEastAsia"/>
              </w:rPr>
              <w:t>を超えて</w:t>
            </w:r>
            <w:r w:rsidRPr="00BC31E0">
              <w:rPr>
                <w:rFonts w:asciiTheme="minorHAnsi" w:eastAsiaTheme="minorEastAsia" w:hAnsiTheme="minorEastAsia" w:hint="eastAsia"/>
              </w:rPr>
              <w:t>加熱された</w:t>
            </w:r>
            <w:r w:rsidRPr="00BC31E0">
              <w:rPr>
                <w:rFonts w:asciiTheme="minorHAnsi" w:eastAsiaTheme="minorEastAsia" w:hAnsiTheme="minorEastAsia"/>
              </w:rPr>
              <w:t>場合</w:t>
            </w:r>
            <w:r w:rsidRPr="00BC31E0">
              <w:rPr>
                <w:rFonts w:asciiTheme="minorHAnsi" w:eastAsiaTheme="minorEastAsia" w:hAnsiTheme="minorEastAsia" w:hint="eastAsia"/>
              </w:rPr>
              <w:t>には</w:t>
            </w:r>
            <w:r w:rsidRPr="00BC31E0">
              <w:rPr>
                <w:rFonts w:asciiTheme="minorHAnsi" w:eastAsiaTheme="minorEastAsia" w:hAnsiTheme="minorEastAsia"/>
              </w:rPr>
              <w:t>，次の</w:t>
            </w:r>
            <w:r w:rsidRPr="00BC31E0">
              <w:rPr>
                <w:rFonts w:asciiTheme="majorEastAsia" w:eastAsiaTheme="majorEastAsia" w:hAnsiTheme="majorEastAsia"/>
                <w:b/>
              </w:rPr>
              <w:t>1)</w:t>
            </w:r>
            <w:r w:rsidRPr="00BC31E0">
              <w:rPr>
                <w:rFonts w:asciiTheme="minorHAnsi" w:eastAsiaTheme="minorEastAsia" w:hAnsiTheme="minorEastAsia"/>
              </w:rPr>
              <w:t>～</w:t>
            </w:r>
            <w:r w:rsidRPr="00BC31E0">
              <w:rPr>
                <w:rFonts w:asciiTheme="majorEastAsia" w:eastAsiaTheme="majorEastAsia" w:hAnsiTheme="majorEastAsia"/>
                <w:b/>
              </w:rPr>
              <w:t>4)</w:t>
            </w:r>
            <w:r w:rsidRPr="00BC31E0">
              <w:rPr>
                <w:rFonts w:asciiTheme="minorHAnsi" w:eastAsiaTheme="minorEastAsia" w:hAnsiTheme="minorHAnsi" w:hint="eastAsia"/>
              </w:rPr>
              <w:t>の一つを行わなければならない。</w:t>
            </w:r>
          </w:p>
          <w:p w14:paraId="7524E056" w14:textId="77777777" w:rsidR="00644B5F" w:rsidRPr="00BC31E0" w:rsidRDefault="00644B5F" w:rsidP="00736130">
            <w:pPr>
              <w:numPr>
                <w:ilvl w:val="0"/>
                <w:numId w:val="210"/>
              </w:numPr>
              <w:ind w:left="567" w:hanging="340"/>
              <w:rPr>
                <w:rFonts w:asciiTheme="majorEastAsia" w:eastAsiaTheme="majorEastAsia" w:hAnsiTheme="majorEastAsia"/>
                <w:b/>
              </w:rPr>
            </w:pPr>
            <w:r w:rsidRPr="00BC31E0">
              <w:rPr>
                <w:rFonts w:asciiTheme="minorHAnsi" w:eastAsiaTheme="minorEastAsia" w:hAnsiTheme="minorEastAsia"/>
              </w:rPr>
              <w:t>機器全体</w:t>
            </w:r>
            <w:r w:rsidRPr="00BC31E0">
              <w:rPr>
                <w:rFonts w:asciiTheme="minorHAnsi" w:eastAsiaTheme="minorEastAsia" w:hAnsiTheme="minorEastAsia" w:hint="eastAsia"/>
              </w:rPr>
              <w:t>の</w:t>
            </w:r>
            <w:r w:rsidRPr="00BC31E0">
              <w:rPr>
                <w:rFonts w:asciiTheme="minorHAnsi" w:eastAsiaTheme="minorEastAsia" w:hAnsiTheme="minorEastAsia"/>
              </w:rPr>
              <w:t>再焼きなましと焼戻しを行う。</w:t>
            </w:r>
          </w:p>
          <w:p w14:paraId="22BF4445" w14:textId="77777777" w:rsidR="00644B5F" w:rsidRPr="00BC31E0" w:rsidRDefault="00644B5F" w:rsidP="00736130">
            <w:pPr>
              <w:numPr>
                <w:ilvl w:val="0"/>
                <w:numId w:val="210"/>
              </w:numPr>
              <w:ind w:left="567" w:hanging="340"/>
              <w:rPr>
                <w:rFonts w:asciiTheme="minorHAnsi" w:eastAsiaTheme="minorEastAsia" w:hAnsiTheme="minorHAnsi"/>
              </w:rPr>
            </w:pPr>
            <w:r w:rsidRPr="00BC31E0">
              <w:rPr>
                <w:rFonts w:asciiTheme="majorEastAsia" w:eastAsiaTheme="majorEastAsia" w:hAnsiTheme="majorEastAsia"/>
                <w:b/>
              </w:rPr>
              <w:t>c)</w:t>
            </w:r>
            <w:r w:rsidRPr="00BC31E0">
              <w:rPr>
                <w:rFonts w:asciiTheme="minorEastAsia" w:eastAsiaTheme="minorEastAsia" w:hAnsiTheme="minorEastAsia" w:hint="eastAsia"/>
              </w:rPr>
              <w:t>の</w:t>
            </w:r>
            <w:r w:rsidRPr="00BC31E0">
              <w:rPr>
                <w:rFonts w:asciiTheme="minorHAnsi" w:eastAsiaTheme="minorEastAsia" w:hAnsiTheme="minorEastAsia"/>
              </w:rPr>
              <w:t>最高保持温度</w:t>
            </w:r>
            <w:r w:rsidRPr="00BC31E0">
              <w:rPr>
                <w:rFonts w:asciiTheme="minorEastAsia" w:eastAsiaTheme="minorEastAsia" w:hAnsiTheme="minorEastAsia" w:hint="eastAsia"/>
              </w:rPr>
              <w:t>を超えるが，</w:t>
            </w:r>
            <w:r w:rsidRPr="00BC31E0">
              <w:rPr>
                <w:rFonts w:ascii="Cambria Math" w:eastAsiaTheme="minorEastAsia" w:hAnsi="Cambria Math"/>
              </w:rPr>
              <w:t>800</w:t>
            </w:r>
            <w:r w:rsidRPr="00BC31E0">
              <w:rPr>
                <w:rFonts w:asciiTheme="minorHAnsi" w:hAnsiTheme="minorHAnsi"/>
              </w:rPr>
              <w:t>°C</w:t>
            </w:r>
            <w:r w:rsidRPr="00BC31E0">
              <w:rPr>
                <w:rFonts w:asciiTheme="minorHAnsi" w:eastAsiaTheme="minorEastAsia" w:hAnsiTheme="minorEastAsia" w:hint="eastAsia"/>
              </w:rPr>
              <w:t>を超えない場合には</w:t>
            </w:r>
            <w:r w:rsidRPr="00BC31E0">
              <w:rPr>
                <w:rFonts w:asciiTheme="minorHAnsi" w:eastAsiaTheme="minorEastAsia" w:hAnsiTheme="minorEastAsia"/>
              </w:rPr>
              <w:t>，溶接金属を除去して</w:t>
            </w:r>
            <w:r w:rsidRPr="00BC31E0">
              <w:rPr>
                <w:rFonts w:asciiTheme="minorHAnsi" w:eastAsiaTheme="minorEastAsia" w:hAnsiTheme="minorEastAsia" w:hint="eastAsia"/>
              </w:rPr>
              <w:t>取替える</w:t>
            </w:r>
            <w:r w:rsidRPr="00BC31E0">
              <w:rPr>
                <w:rFonts w:asciiTheme="minorHAnsi" w:eastAsiaTheme="minorEastAsia" w:hAnsiTheme="minorEastAsia"/>
              </w:rPr>
              <w:t>。</w:t>
            </w:r>
          </w:p>
          <w:p w14:paraId="1EAADCD1" w14:textId="77777777" w:rsidR="00644B5F" w:rsidRPr="00BC31E0" w:rsidRDefault="00644B5F" w:rsidP="00736130">
            <w:pPr>
              <w:numPr>
                <w:ilvl w:val="0"/>
                <w:numId w:val="210"/>
              </w:numPr>
              <w:ind w:left="567" w:hanging="340"/>
              <w:rPr>
                <w:rFonts w:asciiTheme="minorHAnsi" w:eastAsiaTheme="minorEastAsia" w:hAnsiTheme="minorHAnsi"/>
              </w:rPr>
            </w:pPr>
            <w:r w:rsidRPr="00BC31E0">
              <w:rPr>
                <w:rFonts w:asciiTheme="minorHAnsi" w:eastAsiaTheme="minorEastAsia" w:hAnsiTheme="minorHAnsi" w:hint="eastAsia"/>
              </w:rPr>
              <w:t>加熱</w:t>
            </w:r>
            <w:r w:rsidRPr="00BC31E0">
              <w:rPr>
                <w:rFonts w:asciiTheme="minorHAnsi" w:eastAsiaTheme="minorEastAsia" w:hAnsiTheme="minorEastAsia"/>
              </w:rPr>
              <w:t>領域の</w:t>
            </w:r>
            <w:r w:rsidRPr="00BC31E0">
              <w:rPr>
                <w:rFonts w:asciiTheme="minorHAnsi" w:eastAsiaTheme="minorEastAsia" w:hAnsiTheme="minorEastAsia" w:hint="eastAsia"/>
              </w:rPr>
              <w:t>各片</w:t>
            </w:r>
            <w:r w:rsidRPr="00BC31E0">
              <w:rPr>
                <w:rFonts w:asciiTheme="minorHAnsi" w:eastAsiaTheme="minorEastAsia" w:hAnsiTheme="minorEastAsia"/>
              </w:rPr>
              <w:t>側</w:t>
            </w:r>
            <w:r w:rsidRPr="00BC31E0">
              <w:rPr>
                <w:rFonts w:ascii="Cambria Math" w:eastAsiaTheme="minorEastAsia" w:hAnsi="Cambria Math"/>
              </w:rPr>
              <w:t>75 mm</w:t>
            </w:r>
            <w:r w:rsidRPr="00BC31E0">
              <w:rPr>
                <w:rFonts w:asciiTheme="minorHAnsi" w:eastAsiaTheme="minorEastAsia" w:hAnsiTheme="minorEastAsia"/>
              </w:rPr>
              <w:t>以上</w:t>
            </w:r>
            <w:r w:rsidRPr="00BC31E0">
              <w:rPr>
                <w:rFonts w:asciiTheme="minorHAnsi" w:eastAsiaTheme="minorEastAsia" w:hAnsiTheme="minorEastAsia" w:hint="eastAsia"/>
              </w:rPr>
              <w:t>の範囲が</w:t>
            </w:r>
            <w:r w:rsidRPr="00BC31E0">
              <w:rPr>
                <w:rFonts w:ascii="Cambria Math" w:eastAsiaTheme="minorEastAsia" w:hAnsi="Cambria Math"/>
              </w:rPr>
              <w:t>800</w:t>
            </w:r>
            <w:r w:rsidRPr="00BC31E0">
              <w:rPr>
                <w:rFonts w:asciiTheme="minorHAnsi" w:hAnsiTheme="minorHAnsi"/>
              </w:rPr>
              <w:t>°C</w:t>
            </w:r>
            <w:r w:rsidRPr="00BC31E0">
              <w:rPr>
                <w:rFonts w:asciiTheme="minorHAnsi" w:eastAsiaTheme="minorEastAsia" w:hAnsiTheme="minorEastAsia"/>
              </w:rPr>
              <w:t>を超えて</w:t>
            </w:r>
            <w:r w:rsidRPr="00BC31E0">
              <w:rPr>
                <w:rFonts w:asciiTheme="minorHAnsi" w:eastAsiaTheme="minorEastAsia" w:hAnsiTheme="minorEastAsia" w:hint="eastAsia"/>
              </w:rPr>
              <w:t>過熱</w:t>
            </w:r>
            <w:r w:rsidRPr="00BC31E0">
              <w:rPr>
                <w:rFonts w:asciiTheme="minorHAnsi" w:eastAsiaTheme="minorEastAsia" w:hAnsiTheme="minorEastAsia"/>
              </w:rPr>
              <w:t>された機器の一部</w:t>
            </w:r>
            <w:r w:rsidRPr="00BC31E0">
              <w:rPr>
                <w:rFonts w:asciiTheme="minorHAnsi" w:eastAsiaTheme="minorEastAsia" w:hAnsiTheme="minorEastAsia" w:hint="eastAsia"/>
              </w:rPr>
              <w:t>は，</w:t>
            </w:r>
            <w:r w:rsidRPr="00BC31E0">
              <w:rPr>
                <w:rFonts w:asciiTheme="minorHAnsi" w:eastAsiaTheme="minorEastAsia" w:hAnsiTheme="minorEastAsia"/>
              </w:rPr>
              <w:t>除去して再焼きなましと焼戻しを行うか</w:t>
            </w:r>
            <w:r w:rsidRPr="00BC31E0">
              <w:rPr>
                <w:rFonts w:asciiTheme="minorHAnsi" w:eastAsiaTheme="minorEastAsia" w:hAnsiTheme="minorEastAsia" w:hint="eastAsia"/>
              </w:rPr>
              <w:t>又は</w:t>
            </w:r>
            <w:r w:rsidRPr="00BC31E0">
              <w:rPr>
                <w:rFonts w:asciiTheme="minorHAnsi" w:eastAsiaTheme="minorEastAsia" w:hAnsiTheme="minorEastAsia"/>
              </w:rPr>
              <w:t>取替える。</w:t>
            </w:r>
          </w:p>
          <w:p w14:paraId="1BE5F7EC" w14:textId="77777777" w:rsidR="00644B5F" w:rsidRPr="00BC31E0" w:rsidRDefault="00644B5F" w:rsidP="00736130">
            <w:pPr>
              <w:numPr>
                <w:ilvl w:val="0"/>
                <w:numId w:val="210"/>
              </w:numPr>
              <w:ind w:left="567" w:hanging="340"/>
              <w:rPr>
                <w:rFonts w:asciiTheme="minorHAnsi" w:eastAsiaTheme="minorEastAsia" w:hAnsiTheme="minorHAnsi"/>
              </w:rPr>
            </w:pPr>
            <w:r w:rsidRPr="00BC31E0">
              <w:rPr>
                <w:rFonts w:asciiTheme="minorHAnsi" w:eastAsiaTheme="minorEastAsia" w:hAnsiTheme="minorEastAsia" w:hint="eastAsia"/>
              </w:rPr>
              <w:t>最高保持温度を超えて加熱</w:t>
            </w:r>
            <w:r w:rsidRPr="00BC31E0">
              <w:rPr>
                <w:rFonts w:asciiTheme="minorHAnsi" w:eastAsiaTheme="minorEastAsia" w:hAnsiTheme="minorEastAsia"/>
              </w:rPr>
              <w:t>された機器の一部が</w:t>
            </w:r>
            <w:r w:rsidRPr="00BC31E0">
              <w:rPr>
                <w:rFonts w:asciiTheme="minorHAnsi" w:eastAsiaTheme="minorEastAsia" w:hAnsiTheme="minorEastAsia" w:hint="eastAsia"/>
              </w:rPr>
              <w:t>規定</w:t>
            </w:r>
            <w:r w:rsidRPr="00BC31E0">
              <w:rPr>
                <w:rFonts w:asciiTheme="minorHAnsi" w:eastAsiaTheme="minorEastAsia" w:hAnsiTheme="minorEastAsia"/>
              </w:rPr>
              <w:t>温度内で再加熱処理</w:t>
            </w:r>
            <w:r w:rsidRPr="00BC31E0">
              <w:rPr>
                <w:rFonts w:asciiTheme="minorHAnsi" w:eastAsiaTheme="minorEastAsia" w:hAnsiTheme="minorEastAsia" w:hint="eastAsia"/>
              </w:rPr>
              <w:t>されるならば</w:t>
            </w:r>
            <w:r w:rsidRPr="00BC31E0">
              <w:rPr>
                <w:rFonts w:asciiTheme="minorHAnsi" w:eastAsiaTheme="minorEastAsia" w:hAnsiTheme="minorEastAsia"/>
              </w:rPr>
              <w:t>，設計温度における許容応力は，</w:t>
            </w:r>
            <w:r w:rsidRPr="00BC31E0">
              <w:rPr>
                <w:rFonts w:asciiTheme="minorHAnsi" w:eastAsiaTheme="minorEastAsia" w:hAnsiTheme="minorEastAsia" w:hint="eastAsia"/>
              </w:rPr>
              <w:t xml:space="preserve">Grade </w:t>
            </w:r>
            <w:r w:rsidRPr="00BC31E0">
              <w:rPr>
                <w:rFonts w:asciiTheme="minorHAnsi" w:eastAsiaTheme="minorEastAsia" w:hAnsiTheme="minorHAnsi"/>
              </w:rPr>
              <w:t>9</w:t>
            </w:r>
            <w:r w:rsidRPr="00BC31E0">
              <w:rPr>
                <w:rFonts w:asciiTheme="minorHAnsi" w:eastAsiaTheme="minorEastAsia" w:hAnsiTheme="minorEastAsia"/>
              </w:rPr>
              <w:t>の材料</w:t>
            </w:r>
            <w:r w:rsidRPr="00BC31E0">
              <w:rPr>
                <w:rFonts w:asciiTheme="minorHAnsi" w:eastAsiaTheme="minorEastAsia" w:hAnsiTheme="minorHAnsi"/>
              </w:rPr>
              <w:t>(SA-213</w:t>
            </w:r>
            <w:r w:rsidR="002851A3" w:rsidRPr="00BC31E0">
              <w:rPr>
                <w:rFonts w:asciiTheme="minorHAnsi" w:eastAsiaTheme="minorEastAsia" w:hAnsiTheme="minorHAnsi" w:hint="eastAsia"/>
              </w:rPr>
              <w:t>M Gr.</w:t>
            </w:r>
            <w:r w:rsidRPr="00BC31E0">
              <w:rPr>
                <w:rFonts w:asciiTheme="minorHAnsi" w:eastAsiaTheme="minorEastAsia" w:hAnsiTheme="minorHAnsi"/>
              </w:rPr>
              <w:t>T9</w:t>
            </w:r>
            <w:r w:rsidRPr="00BC31E0">
              <w:rPr>
                <w:rFonts w:asciiTheme="minorHAnsi" w:eastAsiaTheme="minorEastAsia" w:hAnsiTheme="minorEastAsia"/>
              </w:rPr>
              <w:t>，</w:t>
            </w:r>
            <w:r w:rsidRPr="00BC31E0">
              <w:rPr>
                <w:rFonts w:asciiTheme="minorHAnsi" w:eastAsiaTheme="minorEastAsia" w:hAnsiTheme="minorHAnsi"/>
              </w:rPr>
              <w:t>SA-335</w:t>
            </w:r>
            <w:r w:rsidR="002851A3" w:rsidRPr="00BC31E0">
              <w:rPr>
                <w:rFonts w:asciiTheme="minorHAnsi" w:eastAsiaTheme="minorEastAsia" w:hAnsiTheme="minorHAnsi" w:hint="eastAsia"/>
              </w:rPr>
              <w:t>M Gr.</w:t>
            </w:r>
            <w:r w:rsidRPr="00BC31E0">
              <w:rPr>
                <w:rFonts w:asciiTheme="minorHAnsi" w:eastAsiaTheme="minorEastAsia" w:hAnsiTheme="minorHAnsi"/>
              </w:rPr>
              <w:t>P9</w:t>
            </w:r>
            <w:r w:rsidRPr="00BC31E0">
              <w:rPr>
                <w:rFonts w:asciiTheme="minorHAnsi" w:eastAsiaTheme="minorEastAsia" w:hAnsiTheme="minorEastAsia"/>
              </w:rPr>
              <w:t>又は同等品</w:t>
            </w:r>
            <w:r w:rsidRPr="00BC31E0">
              <w:rPr>
                <w:rFonts w:asciiTheme="minorHAnsi" w:eastAsiaTheme="minorEastAsia" w:hAnsiTheme="minorHAnsi"/>
              </w:rPr>
              <w:t>)</w:t>
            </w:r>
            <w:r w:rsidRPr="00BC31E0">
              <w:rPr>
                <w:rFonts w:asciiTheme="minorHAnsi" w:eastAsiaTheme="minorEastAsia" w:hAnsiTheme="minorEastAsia"/>
              </w:rPr>
              <w:t>と同じ</w:t>
            </w:r>
            <w:r w:rsidRPr="00BC31E0">
              <w:rPr>
                <w:rFonts w:asciiTheme="minorHAnsi" w:eastAsiaTheme="minorEastAsia" w:hAnsiTheme="minorEastAsia" w:hint="eastAsia"/>
              </w:rPr>
              <w:t>値</w:t>
            </w:r>
            <w:r w:rsidRPr="00BC31E0">
              <w:rPr>
                <w:rFonts w:asciiTheme="minorHAnsi" w:eastAsiaTheme="minorEastAsia" w:hAnsiTheme="minorEastAsia"/>
              </w:rPr>
              <w:t>と</w:t>
            </w:r>
            <w:r w:rsidRPr="00BC31E0">
              <w:rPr>
                <w:rFonts w:asciiTheme="minorHAnsi" w:eastAsiaTheme="minorEastAsia" w:hAnsiTheme="minorEastAsia" w:hint="eastAsia"/>
              </w:rPr>
              <w:t>する</w:t>
            </w:r>
            <w:r w:rsidRPr="00BC31E0">
              <w:rPr>
                <w:rFonts w:asciiTheme="minorHAnsi" w:eastAsiaTheme="minorEastAsia" w:hAnsiTheme="minorEastAsia"/>
              </w:rPr>
              <w:t>。</w:t>
            </w:r>
          </w:p>
          <w:p w14:paraId="6064E2D6" w14:textId="77777777" w:rsidR="00644B5F" w:rsidRPr="00BC31E0" w:rsidRDefault="00644B5F" w:rsidP="00736130">
            <w:pPr>
              <w:numPr>
                <w:ilvl w:val="0"/>
                <w:numId w:val="208"/>
              </w:numPr>
              <w:ind w:left="340" w:hanging="340"/>
              <w:rPr>
                <w:rFonts w:asciiTheme="minorHAnsi" w:eastAsiaTheme="minorEastAsia" w:hAnsiTheme="minorHAnsi"/>
              </w:rPr>
            </w:pPr>
            <w:r w:rsidRPr="00BC31E0">
              <w:rPr>
                <w:rFonts w:asciiTheme="minorHAnsi" w:eastAsiaTheme="minorEastAsia" w:hAnsiTheme="minorEastAsia"/>
              </w:rPr>
              <w:t>次の</w:t>
            </w:r>
            <w:r w:rsidRPr="00BC31E0">
              <w:rPr>
                <w:rFonts w:asciiTheme="majorEastAsia" w:eastAsiaTheme="majorEastAsia" w:hAnsiTheme="majorEastAsia"/>
                <w:b/>
              </w:rPr>
              <w:t>1)</w:t>
            </w:r>
            <w:r w:rsidRPr="00BC31E0">
              <w:rPr>
                <w:rFonts w:asciiTheme="minorHAnsi" w:eastAsiaTheme="minorEastAsia" w:hAnsiTheme="minorEastAsia"/>
              </w:rPr>
              <w:t>～</w:t>
            </w:r>
            <w:r w:rsidRPr="00BC31E0">
              <w:rPr>
                <w:rFonts w:asciiTheme="majorEastAsia" w:eastAsiaTheme="majorEastAsia" w:hAnsiTheme="majorEastAsia"/>
                <w:b/>
              </w:rPr>
              <w:t>4)</w:t>
            </w:r>
            <w:r w:rsidRPr="00BC31E0">
              <w:rPr>
                <w:rFonts w:asciiTheme="minorHAnsi" w:eastAsiaTheme="minorEastAsia" w:hAnsiTheme="minorEastAsia" w:hint="eastAsia"/>
              </w:rPr>
              <w:t>の要件を満たす場合</w:t>
            </w:r>
            <w:r w:rsidRPr="00BC31E0">
              <w:rPr>
                <w:rFonts w:asciiTheme="minorHAnsi" w:eastAsiaTheme="minorEastAsia" w:hAnsiTheme="minorEastAsia"/>
              </w:rPr>
              <w:t>，熱吸収フィンをパイプ及び管に取付ける電気抵抗溶接は</w:t>
            </w:r>
            <w:r w:rsidRPr="00BC31E0">
              <w:rPr>
                <w:rFonts w:asciiTheme="minorHAnsi" w:eastAsiaTheme="minorEastAsia" w:hAnsiTheme="minorEastAsia" w:hint="eastAsia"/>
              </w:rPr>
              <w:t>，</w:t>
            </w:r>
            <w:r w:rsidRPr="00BC31E0">
              <w:rPr>
                <w:rFonts w:asciiTheme="minorHAnsi" w:eastAsiaTheme="minorEastAsia" w:hAnsiTheme="minorEastAsia"/>
              </w:rPr>
              <w:t>溶接後熱処理</w:t>
            </w:r>
            <w:r w:rsidRPr="00BC31E0">
              <w:rPr>
                <w:rFonts w:asciiTheme="minorHAnsi" w:eastAsiaTheme="minorEastAsia" w:hAnsiTheme="minorEastAsia" w:hint="eastAsia"/>
              </w:rPr>
              <w:t>の</w:t>
            </w:r>
            <w:r w:rsidRPr="00BC31E0">
              <w:rPr>
                <w:rFonts w:asciiTheme="minorHAnsi" w:eastAsiaTheme="minorEastAsia" w:hAnsiTheme="minorEastAsia"/>
              </w:rPr>
              <w:t>必要はない。</w:t>
            </w:r>
          </w:p>
          <w:p w14:paraId="195F1E3C" w14:textId="77777777" w:rsidR="00644B5F" w:rsidRPr="00BC31E0" w:rsidRDefault="00644B5F" w:rsidP="00736130">
            <w:pPr>
              <w:numPr>
                <w:ilvl w:val="0"/>
                <w:numId w:val="209"/>
              </w:numPr>
              <w:ind w:left="567" w:hanging="340"/>
              <w:rPr>
                <w:rFonts w:asciiTheme="minorHAnsi" w:eastAsiaTheme="minorEastAsia" w:hAnsiTheme="minorHAnsi"/>
              </w:rPr>
            </w:pPr>
            <w:r w:rsidRPr="00BC31E0">
              <w:rPr>
                <w:rFonts w:asciiTheme="minorHAnsi" w:eastAsiaTheme="minorEastAsia" w:hAnsiTheme="minorEastAsia"/>
              </w:rPr>
              <w:t>パイプ又は管の寸法が</w:t>
            </w:r>
            <w:r w:rsidRPr="00BC31E0">
              <w:rPr>
                <w:rFonts w:asciiTheme="minorHAnsi" w:eastAsiaTheme="minorEastAsia" w:hAnsiTheme="minorHAnsi"/>
              </w:rPr>
              <w:t>100 DN(NPS 4)</w:t>
            </w:r>
            <w:r w:rsidRPr="00BC31E0">
              <w:rPr>
                <w:rFonts w:asciiTheme="minorHAnsi" w:eastAsiaTheme="minorEastAsia" w:hAnsiTheme="minorEastAsia"/>
              </w:rPr>
              <w:t>以下</w:t>
            </w:r>
            <w:r w:rsidRPr="00BC31E0">
              <w:rPr>
                <w:rFonts w:asciiTheme="minorHAnsi" w:eastAsiaTheme="minorEastAsia" w:hAnsiTheme="minorEastAsia" w:hint="eastAsia"/>
              </w:rPr>
              <w:t>である。</w:t>
            </w:r>
          </w:p>
          <w:p w14:paraId="7117AC40" w14:textId="77777777" w:rsidR="00644B5F" w:rsidRPr="00BC31E0" w:rsidRDefault="00644B5F" w:rsidP="00736130">
            <w:pPr>
              <w:numPr>
                <w:ilvl w:val="0"/>
                <w:numId w:val="209"/>
              </w:numPr>
              <w:ind w:left="567" w:hanging="340"/>
              <w:rPr>
                <w:rFonts w:asciiTheme="minorHAnsi" w:eastAsiaTheme="minorEastAsia" w:hAnsiTheme="minorHAnsi"/>
              </w:rPr>
            </w:pPr>
            <w:r w:rsidRPr="00BC31E0">
              <w:rPr>
                <w:rFonts w:asciiTheme="minorHAnsi" w:eastAsiaTheme="minorEastAsia" w:hAnsiTheme="minorEastAsia"/>
              </w:rPr>
              <w:t>規定炭素含有量が</w:t>
            </w:r>
            <w:r w:rsidRPr="00BC31E0">
              <w:rPr>
                <w:rFonts w:ascii="Cambria Math" w:eastAsiaTheme="minorEastAsia" w:hAnsi="Cambria Math"/>
              </w:rPr>
              <w:t>0.15</w:t>
            </w:r>
            <w:r w:rsidRPr="00BC31E0">
              <w:rPr>
                <w:rFonts w:ascii="Cambria Math" w:eastAsiaTheme="minorEastAsia" w:hAnsi="Cambria Math" w:hint="eastAsia"/>
              </w:rPr>
              <w:t xml:space="preserve"> </w:t>
            </w:r>
            <w:r w:rsidRPr="00BC31E0">
              <w:rPr>
                <w:rFonts w:ascii="Cambria Math" w:eastAsiaTheme="minorEastAsia" w:hAnsi="Cambria Math"/>
              </w:rPr>
              <w:t>%</w:t>
            </w:r>
            <w:r w:rsidRPr="00BC31E0">
              <w:rPr>
                <w:rFonts w:asciiTheme="minorHAnsi" w:eastAsiaTheme="minorEastAsia" w:hAnsiTheme="minorEastAsia"/>
              </w:rPr>
              <w:t>以下</w:t>
            </w:r>
            <w:r w:rsidRPr="00BC31E0">
              <w:rPr>
                <w:rFonts w:asciiTheme="minorHAnsi" w:eastAsiaTheme="minorEastAsia" w:hAnsiTheme="minorEastAsia" w:hint="eastAsia"/>
              </w:rPr>
              <w:t>である。</w:t>
            </w:r>
          </w:p>
          <w:p w14:paraId="343805E4" w14:textId="77777777" w:rsidR="00644B5F" w:rsidRPr="00BC31E0" w:rsidRDefault="00644B5F" w:rsidP="00736130">
            <w:pPr>
              <w:numPr>
                <w:ilvl w:val="0"/>
                <w:numId w:val="212"/>
              </w:numPr>
              <w:ind w:left="567" w:hanging="340"/>
              <w:rPr>
                <w:rFonts w:asciiTheme="minorHAnsi" w:eastAsiaTheme="minorEastAsia" w:hAnsiTheme="minorHAnsi"/>
              </w:rPr>
            </w:pPr>
            <w:r w:rsidRPr="00BC31E0">
              <w:rPr>
                <w:rFonts w:asciiTheme="minorHAnsi" w:eastAsiaTheme="minorEastAsia" w:hAnsiTheme="minorEastAsia"/>
              </w:rPr>
              <w:t>厚さが</w:t>
            </w:r>
            <w:r w:rsidRPr="00BC31E0">
              <w:rPr>
                <w:rFonts w:ascii="Cambria Math" w:eastAsiaTheme="minorEastAsia" w:hAnsi="Cambria Math"/>
              </w:rPr>
              <w:t>3 mm</w:t>
            </w:r>
            <w:r w:rsidRPr="00BC31E0">
              <w:rPr>
                <w:rFonts w:asciiTheme="minorHAnsi" w:eastAsiaTheme="minorEastAsia" w:hAnsiTheme="minorEastAsia"/>
              </w:rPr>
              <w:t>以下</w:t>
            </w:r>
            <w:r w:rsidRPr="00BC31E0">
              <w:rPr>
                <w:rFonts w:asciiTheme="minorHAnsi" w:eastAsiaTheme="minorEastAsia" w:hAnsiTheme="minorEastAsia" w:hint="eastAsia"/>
              </w:rPr>
              <w:t>である。</w:t>
            </w:r>
          </w:p>
          <w:p w14:paraId="6446D25E" w14:textId="77777777" w:rsidR="00644B5F" w:rsidRPr="00BC31E0" w:rsidRDefault="00644B5F" w:rsidP="00736130">
            <w:pPr>
              <w:numPr>
                <w:ilvl w:val="0"/>
                <w:numId w:val="212"/>
              </w:numPr>
              <w:ind w:left="567" w:hanging="340"/>
              <w:rPr>
                <w:rFonts w:asciiTheme="minorHAnsi" w:eastAsiaTheme="minorEastAsia" w:hAnsiTheme="minorHAnsi"/>
              </w:rPr>
            </w:pPr>
            <w:r w:rsidRPr="00BC31E0">
              <w:rPr>
                <w:rFonts w:asciiTheme="minorHAnsi" w:eastAsiaTheme="minorEastAsia" w:hAnsiTheme="minorEastAsia"/>
              </w:rPr>
              <w:t>溶接</w:t>
            </w:r>
            <w:r w:rsidRPr="00BC31E0">
              <w:rPr>
                <w:rFonts w:asciiTheme="minorHAnsi" w:eastAsiaTheme="minorEastAsia" w:hAnsiTheme="minorEastAsia" w:hint="eastAsia"/>
              </w:rPr>
              <w:t>を行う前に</w:t>
            </w:r>
            <w:r w:rsidRPr="00BC31E0">
              <w:rPr>
                <w:rFonts w:asciiTheme="minorHAnsi" w:eastAsiaTheme="minorEastAsia" w:hAnsiTheme="minorEastAsia"/>
              </w:rPr>
              <w:t>，製作者は熱影響部がパイプ又は管の最小</w:t>
            </w:r>
            <w:r w:rsidRPr="00BC31E0">
              <w:rPr>
                <w:rFonts w:asciiTheme="minorHAnsi" w:eastAsiaTheme="minorEastAsia" w:hAnsiTheme="minorEastAsia" w:hint="eastAsia"/>
              </w:rPr>
              <w:t>厚さまで入り込まない</w:t>
            </w:r>
            <w:r w:rsidRPr="00BC31E0">
              <w:rPr>
                <w:rFonts w:asciiTheme="minorHAnsi" w:eastAsiaTheme="minorEastAsia" w:hAnsiTheme="minorEastAsia"/>
              </w:rPr>
              <w:t>ことを示さなければならない。</w:t>
            </w:r>
          </w:p>
          <w:p w14:paraId="0C01587D" w14:textId="77777777" w:rsidR="00644B5F" w:rsidRPr="00BC31E0" w:rsidRDefault="00644B5F" w:rsidP="00736130">
            <w:pPr>
              <w:numPr>
                <w:ilvl w:val="0"/>
                <w:numId w:val="211"/>
              </w:numPr>
              <w:ind w:left="340" w:hanging="340"/>
              <w:rPr>
                <w:rFonts w:asciiTheme="minorHAnsi" w:eastAsiaTheme="minorEastAsia" w:hAnsiTheme="minorHAnsi"/>
              </w:rPr>
            </w:pPr>
            <w:r w:rsidRPr="00BC31E0">
              <w:rPr>
                <w:rFonts w:asciiTheme="minorHAnsi" w:eastAsiaTheme="minorEastAsia" w:hAnsiTheme="minorEastAsia"/>
              </w:rPr>
              <w:t>次の</w:t>
            </w:r>
            <w:r w:rsidRPr="00BC31E0">
              <w:rPr>
                <w:rFonts w:asciiTheme="majorEastAsia" w:eastAsiaTheme="majorEastAsia" w:hAnsiTheme="majorEastAsia"/>
                <w:b/>
              </w:rPr>
              <w:t>1)</w:t>
            </w:r>
            <w:r w:rsidRPr="00BC31E0">
              <w:rPr>
                <w:rFonts w:asciiTheme="minorHAnsi" w:eastAsiaTheme="minorEastAsia" w:hAnsiTheme="minorEastAsia"/>
              </w:rPr>
              <w:t>～</w:t>
            </w:r>
            <w:r w:rsidRPr="00BC31E0">
              <w:rPr>
                <w:rFonts w:asciiTheme="majorEastAsia" w:eastAsiaTheme="majorEastAsia" w:hAnsiTheme="majorEastAsia"/>
                <w:b/>
              </w:rPr>
              <w:t>3)</w:t>
            </w:r>
            <w:r w:rsidRPr="00BC31E0">
              <w:rPr>
                <w:rFonts w:asciiTheme="minorHAnsi" w:eastAsiaTheme="minorEastAsia" w:hAnsiTheme="minorEastAsia" w:hint="eastAsia"/>
              </w:rPr>
              <w:t>の要件を満たす場合</w:t>
            </w:r>
            <w:r w:rsidRPr="00BC31E0">
              <w:rPr>
                <w:rFonts w:asciiTheme="minorHAnsi" w:eastAsiaTheme="minorEastAsia" w:hAnsiTheme="minorEastAsia"/>
              </w:rPr>
              <w:t>，裸線熱電対を</w:t>
            </w:r>
            <w:r w:rsidRPr="00BC31E0">
              <w:rPr>
                <w:rFonts w:asciiTheme="minorHAnsi" w:eastAsiaTheme="minorEastAsia" w:hAnsiTheme="minorEastAsia" w:hint="eastAsia"/>
              </w:rPr>
              <w:t>取付ける</w:t>
            </w:r>
            <w:r w:rsidRPr="00BC31E0">
              <w:rPr>
                <w:rFonts w:asciiTheme="minorHAnsi" w:eastAsiaTheme="minorEastAsia" w:hAnsiTheme="minorEastAsia"/>
              </w:rPr>
              <w:t>コンデンサ放電溶接又は電気抵抗溶接は</w:t>
            </w:r>
            <w:r w:rsidRPr="00BC31E0">
              <w:rPr>
                <w:rFonts w:asciiTheme="minorHAnsi" w:eastAsiaTheme="minorEastAsia" w:hAnsiTheme="minorEastAsia" w:hint="eastAsia"/>
              </w:rPr>
              <w:t>，</w:t>
            </w:r>
            <w:r w:rsidRPr="00BC31E0">
              <w:rPr>
                <w:rFonts w:asciiTheme="minorHAnsi" w:eastAsiaTheme="minorEastAsia" w:hAnsiTheme="minorEastAsia"/>
              </w:rPr>
              <w:t>溶接後熱処理</w:t>
            </w:r>
            <w:r w:rsidRPr="00BC31E0">
              <w:rPr>
                <w:rFonts w:asciiTheme="minorHAnsi" w:eastAsiaTheme="minorEastAsia" w:hAnsiTheme="minorEastAsia" w:hint="eastAsia"/>
              </w:rPr>
              <w:t>の</w:t>
            </w:r>
            <w:r w:rsidRPr="00BC31E0">
              <w:rPr>
                <w:rFonts w:asciiTheme="minorHAnsi" w:eastAsiaTheme="minorEastAsia" w:hAnsiTheme="minorEastAsia"/>
              </w:rPr>
              <w:t>必要はない。</w:t>
            </w:r>
          </w:p>
          <w:p w14:paraId="2AAC5BF3" w14:textId="77777777" w:rsidR="00644B5F" w:rsidRPr="00BC31E0" w:rsidRDefault="00644B5F" w:rsidP="00736130">
            <w:pPr>
              <w:numPr>
                <w:ilvl w:val="0"/>
                <w:numId w:val="206"/>
              </w:numPr>
              <w:ind w:left="567" w:hanging="340"/>
              <w:rPr>
                <w:rFonts w:asciiTheme="minorHAnsi" w:eastAsiaTheme="minorEastAsia" w:hAnsiTheme="minorHAnsi"/>
              </w:rPr>
            </w:pPr>
            <w:r w:rsidRPr="00BC31E0">
              <w:rPr>
                <w:rFonts w:asciiTheme="majorEastAsia" w:eastAsiaTheme="majorEastAsia" w:hAnsiTheme="majorEastAsia" w:hint="eastAsia"/>
                <w:b/>
              </w:rPr>
              <w:t>7.4.3 b)</w:t>
            </w:r>
            <w:r w:rsidRPr="00BC31E0">
              <w:rPr>
                <w:rFonts w:asciiTheme="minorHAnsi" w:eastAsiaTheme="minorEastAsia" w:hAnsiTheme="minorEastAsia" w:hint="eastAsia"/>
              </w:rPr>
              <w:t>の要件を満たす</w:t>
            </w:r>
            <w:r w:rsidRPr="00BC31E0">
              <w:rPr>
                <w:rFonts w:asciiTheme="minorHAnsi" w:eastAsiaTheme="minorEastAsia" w:hAnsiTheme="minorEastAsia"/>
              </w:rPr>
              <w:t>。</w:t>
            </w:r>
          </w:p>
          <w:p w14:paraId="31503705" w14:textId="77777777" w:rsidR="00644B5F" w:rsidRPr="00BC31E0" w:rsidRDefault="00644B5F" w:rsidP="00736130">
            <w:pPr>
              <w:numPr>
                <w:ilvl w:val="0"/>
                <w:numId w:val="206"/>
              </w:numPr>
              <w:ind w:left="567" w:hanging="340"/>
              <w:rPr>
                <w:rFonts w:asciiTheme="minorHAnsi" w:eastAsiaTheme="minorEastAsia" w:hAnsiTheme="minorEastAsia"/>
              </w:rPr>
            </w:pPr>
            <w:r w:rsidRPr="00BC31E0">
              <w:rPr>
                <w:rFonts w:asciiTheme="minorHAnsi" w:eastAsiaTheme="minorEastAsia" w:hAnsiTheme="minorEastAsia"/>
              </w:rPr>
              <w:t>母材の炭素含有量が</w:t>
            </w:r>
            <w:r w:rsidRPr="00BC31E0">
              <w:rPr>
                <w:rFonts w:ascii="Cambria Math" w:eastAsiaTheme="minorEastAsia" w:hAnsi="Cambria Math"/>
              </w:rPr>
              <w:t>0.15</w:t>
            </w:r>
            <w:r w:rsidRPr="00BC31E0">
              <w:rPr>
                <w:rFonts w:ascii="Cambria Math" w:eastAsiaTheme="minorEastAsia" w:hAnsi="Cambria Math" w:hint="eastAsia"/>
              </w:rPr>
              <w:t xml:space="preserve"> </w:t>
            </w:r>
            <w:r w:rsidRPr="00BC31E0">
              <w:rPr>
                <w:rFonts w:ascii="Cambria Math" w:eastAsiaTheme="minorEastAsia" w:hAnsi="Cambria Math"/>
              </w:rPr>
              <w:t>%</w:t>
            </w:r>
            <w:r w:rsidRPr="00BC31E0">
              <w:rPr>
                <w:rFonts w:asciiTheme="minorHAnsi" w:eastAsiaTheme="minorEastAsia" w:hAnsiTheme="minorEastAsia"/>
              </w:rPr>
              <w:t>以下</w:t>
            </w:r>
            <w:r w:rsidRPr="00BC31E0">
              <w:rPr>
                <w:rFonts w:asciiTheme="minorHAnsi" w:eastAsiaTheme="minorEastAsia" w:hAnsiTheme="minorEastAsia" w:hint="eastAsia"/>
              </w:rPr>
              <w:t>である。</w:t>
            </w:r>
          </w:p>
          <w:p w14:paraId="6D5B8811" w14:textId="77777777" w:rsidR="00644B5F" w:rsidRPr="00BC31E0" w:rsidRDefault="00644B5F" w:rsidP="00736130">
            <w:pPr>
              <w:numPr>
                <w:ilvl w:val="0"/>
                <w:numId w:val="206"/>
              </w:numPr>
              <w:ind w:left="567" w:hanging="340"/>
              <w:rPr>
                <w:rFonts w:asciiTheme="minorHAnsi" w:eastAsiaTheme="minorEastAsia" w:hAnsiTheme="minorEastAsia"/>
              </w:rPr>
            </w:pPr>
            <w:r w:rsidRPr="00BC31E0">
              <w:rPr>
                <w:rFonts w:asciiTheme="minorHAnsi" w:eastAsiaTheme="minorEastAsia" w:hAnsiTheme="minorEastAsia"/>
              </w:rPr>
              <w:t>容器の厚さが</w:t>
            </w:r>
            <w:r w:rsidRPr="00BC31E0">
              <w:rPr>
                <w:rFonts w:ascii="Cambria Math" w:eastAsiaTheme="minorEastAsia" w:hAnsi="Cambria Math"/>
              </w:rPr>
              <w:t>5.0 mm</w:t>
            </w:r>
            <w:r w:rsidRPr="00BC31E0">
              <w:rPr>
                <w:rFonts w:asciiTheme="minorHAnsi" w:eastAsiaTheme="minorEastAsia" w:hAnsiTheme="minorEastAsia"/>
              </w:rPr>
              <w:t>以上</w:t>
            </w:r>
            <w:r w:rsidRPr="00BC31E0">
              <w:rPr>
                <w:rFonts w:asciiTheme="minorHAnsi" w:eastAsiaTheme="minorEastAsia" w:hAnsiTheme="minorEastAsia" w:hint="eastAsia"/>
              </w:rPr>
              <w:t>である。</w:t>
            </w:r>
          </w:p>
        </w:tc>
        <w:tc>
          <w:tcPr>
            <w:tcW w:w="2126" w:type="dxa"/>
          </w:tcPr>
          <w:p w14:paraId="6B7FD86D" w14:textId="77777777" w:rsidR="00644B5F" w:rsidRPr="00BC31E0" w:rsidRDefault="00644B5F" w:rsidP="00644B5F">
            <w:pPr>
              <w:rPr>
                <w:rFonts w:asciiTheme="minorHAnsi" w:eastAsiaTheme="minorEastAsia" w:hAnsiTheme="minorEastAsia"/>
              </w:rPr>
            </w:pPr>
          </w:p>
        </w:tc>
      </w:tr>
    </w:tbl>
    <w:p w14:paraId="418380A2" w14:textId="77777777" w:rsidR="00644B5F" w:rsidRPr="00BC31E0" w:rsidRDefault="00644B5F" w:rsidP="009A5191">
      <w:pPr>
        <w:spacing w:before="60"/>
        <w:rPr>
          <w:rFonts w:asciiTheme="minorHAnsi" w:eastAsiaTheme="minorEastAsia" w:hAnsiTheme="minorHAnsi"/>
        </w:rPr>
      </w:pPr>
      <w:r w:rsidRPr="00BC31E0">
        <w:rPr>
          <w:rFonts w:asciiTheme="majorEastAsia" w:eastAsiaTheme="majorEastAsia" w:hAnsiTheme="majorEastAsia" w:hint="eastAsia"/>
          <w:b/>
        </w:rPr>
        <w:t>注記</w:t>
      </w:r>
      <w:r w:rsidRPr="00BC31E0">
        <w:rPr>
          <w:rFonts w:asciiTheme="minorHAnsi" w:eastAsiaTheme="minorEastAsia" w:hAnsiTheme="minorHAnsi" w:hint="eastAsia"/>
        </w:rPr>
        <w:t xml:space="preserve">　</w:t>
      </w:r>
      <m:oMath>
        <m:sSub>
          <m:sSubPr>
            <m:ctrlPr>
              <w:rPr>
                <w:rFonts w:ascii="Cambria Math" w:eastAsiaTheme="minorEastAsia" w:hAnsi="Cambria Math"/>
              </w:rPr>
            </m:ctrlPr>
          </m:sSubPr>
          <m:e>
            <m:r>
              <w:rPr>
                <w:rFonts w:ascii="Cambria Math" w:eastAsiaTheme="minorEastAsia" w:hAnsi="Cambria Math" w:hint="eastAsia"/>
              </w:rPr>
              <m:t>t</m:t>
            </m:r>
          </m:e>
          <m:sub>
            <m:r>
              <w:rPr>
                <w:rFonts w:ascii="Cambria Math" w:eastAsiaTheme="minorEastAsia" w:hAnsi="Cambria Math"/>
              </w:rPr>
              <m:t>n</m:t>
            </m:r>
          </m:sub>
        </m:sSub>
        <m:r>
          <m:rPr>
            <m:sty m:val="p"/>
          </m:rPr>
          <w:rPr>
            <w:rFonts w:ascii="Cambria Math" w:eastAsiaTheme="minorEastAsia" w:hAnsi="Cambria Math" w:hint="eastAsia"/>
          </w:rPr>
          <m:t xml:space="preserve"> </m:t>
        </m:r>
      </m:oMath>
      <w:r w:rsidRPr="00BC31E0">
        <w:rPr>
          <w:rFonts w:asciiTheme="minorHAnsi" w:eastAsiaTheme="minorEastAsia" w:hAnsiTheme="minorHAnsi" w:hint="eastAsia"/>
        </w:rPr>
        <w:t>は，</w:t>
      </w:r>
      <w:r w:rsidRPr="00BC31E0">
        <w:rPr>
          <w:rFonts w:asciiTheme="majorEastAsia" w:eastAsiaTheme="majorEastAsia" w:hAnsiTheme="majorEastAsia" w:hint="eastAsia"/>
          <w:b/>
        </w:rPr>
        <w:t>7.4.1 b) 4)</w:t>
      </w:r>
      <w:r w:rsidRPr="00BC31E0">
        <w:rPr>
          <w:rFonts w:asciiTheme="minorHAnsi" w:eastAsiaTheme="minorEastAsia" w:hAnsiTheme="minorHAnsi" w:hint="eastAsia"/>
        </w:rPr>
        <w:t>に規定する公称厚さ</w:t>
      </w:r>
      <w:r w:rsidRPr="00BC31E0">
        <w:rPr>
          <w:rFonts w:asciiTheme="minorHAnsi" w:eastAsiaTheme="minorEastAsia" w:hAnsiTheme="minorHAnsi" w:hint="eastAsia"/>
        </w:rPr>
        <w:t>(</w:t>
      </w:r>
      <w:r w:rsidRPr="00BC31E0">
        <w:rPr>
          <w:rFonts w:ascii="Cambria Math" w:eastAsiaTheme="minorEastAsia" w:hAnsi="Cambria Math"/>
        </w:rPr>
        <w:t>mm</w:t>
      </w:r>
      <w:r w:rsidRPr="00BC31E0">
        <w:rPr>
          <w:rFonts w:asciiTheme="minorHAnsi" w:eastAsiaTheme="minorEastAsia" w:hAnsiTheme="minorHAnsi" w:hint="eastAsia"/>
        </w:rPr>
        <w:t>)</w:t>
      </w:r>
      <w:r w:rsidRPr="00BC31E0">
        <w:rPr>
          <w:rFonts w:asciiTheme="minorHAnsi" w:eastAsiaTheme="minorEastAsia" w:hAnsiTheme="minorHAnsi" w:hint="eastAsia"/>
        </w:rPr>
        <w:t>である。</w:t>
      </w:r>
    </w:p>
    <w:p w14:paraId="6CEAA183" w14:textId="77777777" w:rsidR="00644B5F" w:rsidRPr="00BC31E0" w:rsidRDefault="00644B5F" w:rsidP="009A5191">
      <w:pPr>
        <w:widowControl/>
        <w:rPr>
          <w:rFonts w:asciiTheme="minorEastAsia" w:eastAsiaTheme="minorEastAsia" w:hAnsiTheme="minorEastAsia"/>
        </w:rPr>
      </w:pPr>
    </w:p>
    <w:p w14:paraId="0043168E" w14:textId="77777777" w:rsidR="00644B5F" w:rsidRPr="00BC31E0" w:rsidRDefault="00644B5F" w:rsidP="009A5191">
      <w:pPr>
        <w:widowControl/>
        <w:jc w:val="left"/>
      </w:pPr>
      <w:r w:rsidRPr="00BC31E0">
        <w:br w:type="page"/>
      </w:r>
    </w:p>
    <w:p w14:paraId="28C4F1B8" w14:textId="77777777" w:rsidR="00644B5F" w:rsidRPr="00BC31E0" w:rsidRDefault="00644B5F" w:rsidP="00644B5F">
      <w:pPr>
        <w:jc w:val="center"/>
        <w:rPr>
          <w:rFonts w:asciiTheme="majorEastAsia" w:eastAsiaTheme="majorEastAsia" w:hAnsiTheme="majorEastAsia"/>
          <w:b/>
        </w:rPr>
      </w:pPr>
      <w:r w:rsidRPr="00BC31E0">
        <w:rPr>
          <w:rFonts w:asciiTheme="majorEastAsia" w:eastAsiaTheme="majorEastAsia" w:hAnsiTheme="majorEastAsia" w:hint="eastAsia"/>
          <w:b/>
        </w:rPr>
        <w:lastRenderedPageBreak/>
        <w:t>表7.4.17</w:t>
      </w:r>
      <w:r w:rsidRPr="00BC31E0">
        <w:rPr>
          <w:rFonts w:asciiTheme="majorEastAsia" w:eastAsiaTheme="majorEastAsia" w:hAnsiTheme="majorEastAsia"/>
          <w:b/>
        </w:rPr>
        <w:t xml:space="preserve">　溶接後熱処理</w:t>
      </w:r>
      <w:r w:rsidRPr="00BC31E0">
        <w:rPr>
          <w:rFonts w:asciiTheme="majorEastAsia" w:eastAsiaTheme="majorEastAsia" w:hAnsiTheme="majorEastAsia" w:hint="eastAsia"/>
          <w:b/>
        </w:rPr>
        <w:t>の温度及び時間</w:t>
      </w:r>
    </w:p>
    <w:p w14:paraId="2679F929" w14:textId="77777777" w:rsidR="00644B5F" w:rsidRPr="00BC31E0" w:rsidRDefault="00644B5F" w:rsidP="00644B5F">
      <w:pPr>
        <w:spacing w:after="60"/>
        <w:jc w:val="center"/>
        <w:rPr>
          <w:rFonts w:asciiTheme="majorEastAsia" w:eastAsiaTheme="majorEastAsia" w:hAnsiTheme="majorEastAsia"/>
          <w:b/>
        </w:rPr>
      </w:pPr>
      <w:r w:rsidRPr="00BC31E0">
        <w:rPr>
          <w:rFonts w:asciiTheme="majorEastAsia" w:eastAsiaTheme="majorEastAsia" w:hAnsiTheme="majorEastAsia"/>
          <w:b/>
        </w:rPr>
        <w:t>(P</w:t>
      </w:r>
      <w:r w:rsidRPr="00BC31E0">
        <w:rPr>
          <w:rFonts w:asciiTheme="majorEastAsia" w:eastAsiaTheme="majorEastAsia" w:hAnsiTheme="majorEastAsia" w:hint="eastAsia"/>
          <w:b/>
        </w:rPr>
        <w:t>番号42，</w:t>
      </w:r>
      <w:r w:rsidRPr="00BC31E0">
        <w:rPr>
          <w:rFonts w:asciiTheme="majorEastAsia" w:eastAsiaTheme="majorEastAsia" w:hAnsiTheme="majorEastAsia"/>
          <w:b/>
        </w:rPr>
        <w:t>P</w:t>
      </w:r>
      <w:r w:rsidRPr="00BC31E0">
        <w:rPr>
          <w:rFonts w:asciiTheme="majorEastAsia" w:eastAsiaTheme="majorEastAsia" w:hAnsiTheme="majorEastAsia" w:hint="eastAsia"/>
          <w:b/>
        </w:rPr>
        <w:t>番号43，</w:t>
      </w:r>
      <w:r w:rsidRPr="00BC31E0">
        <w:rPr>
          <w:rFonts w:asciiTheme="majorEastAsia" w:eastAsiaTheme="majorEastAsia" w:hAnsiTheme="majorEastAsia"/>
          <w:b/>
        </w:rPr>
        <w:t>P</w:t>
      </w:r>
      <w:r w:rsidRPr="00BC31E0">
        <w:rPr>
          <w:rFonts w:asciiTheme="majorEastAsia" w:eastAsiaTheme="majorEastAsia" w:hAnsiTheme="majorEastAsia" w:hint="eastAsia"/>
          <w:b/>
        </w:rPr>
        <w:t>番号44及び</w:t>
      </w:r>
      <w:r w:rsidRPr="00BC31E0">
        <w:rPr>
          <w:rFonts w:asciiTheme="majorEastAsia" w:eastAsiaTheme="majorEastAsia" w:hAnsiTheme="majorEastAsia"/>
          <w:b/>
        </w:rPr>
        <w:t>P</w:t>
      </w:r>
      <w:r w:rsidRPr="00BC31E0">
        <w:rPr>
          <w:rFonts w:asciiTheme="majorEastAsia" w:eastAsiaTheme="majorEastAsia" w:hAnsiTheme="majorEastAsia" w:hint="eastAsia"/>
          <w:b/>
        </w:rPr>
        <w:t>番号</w:t>
      </w:r>
      <w:r w:rsidRPr="00BC31E0">
        <w:rPr>
          <w:rFonts w:asciiTheme="majorEastAsia" w:eastAsiaTheme="majorEastAsia" w:hAnsiTheme="majorEastAsia"/>
          <w:b/>
        </w:rPr>
        <w:t>45</w:t>
      </w:r>
      <w:r w:rsidRPr="00BC31E0">
        <w:rPr>
          <w:rFonts w:asciiTheme="majorEastAsia" w:eastAsiaTheme="majorEastAsia" w:hAnsiTheme="majorEastAsia" w:hint="eastAsia"/>
          <w:b/>
        </w:rPr>
        <w:t>の材料</w:t>
      </w:r>
      <w:r w:rsidRPr="00BC31E0">
        <w:rPr>
          <w:rFonts w:asciiTheme="majorEastAsia" w:eastAsiaTheme="majorEastAsia" w:hAnsiTheme="majorEastAsia"/>
          <w:b/>
        </w:rPr>
        <w:t>)</w:t>
      </w:r>
    </w:p>
    <w:tbl>
      <w:tblPr>
        <w:tblStyle w:val="100"/>
        <w:tblW w:w="0" w:type="auto"/>
        <w:tblInd w:w="108" w:type="dxa"/>
        <w:tblLook w:val="04A0" w:firstRow="1" w:lastRow="0" w:firstColumn="1" w:lastColumn="0" w:noHBand="0" w:noVBand="1"/>
      </w:tblPr>
      <w:tblGrid>
        <w:gridCol w:w="6946"/>
        <w:gridCol w:w="2126"/>
      </w:tblGrid>
      <w:tr w:rsidR="00644B5F" w:rsidRPr="00BC31E0" w14:paraId="7E960D9A" w14:textId="77777777" w:rsidTr="004736F2">
        <w:tc>
          <w:tcPr>
            <w:tcW w:w="6946" w:type="dxa"/>
            <w:vAlign w:val="center"/>
          </w:tcPr>
          <w:p w14:paraId="30586F8A" w14:textId="77777777" w:rsidR="00644B5F" w:rsidRPr="00BC31E0" w:rsidRDefault="00644B5F" w:rsidP="00644B5F">
            <w:pPr>
              <w:jc w:val="center"/>
              <w:rPr>
                <w:rFonts w:asciiTheme="minorHAnsi" w:eastAsiaTheme="minorEastAsia" w:hAnsiTheme="minorHAnsi"/>
              </w:rPr>
            </w:pPr>
            <w:r w:rsidRPr="00BC31E0">
              <w:rPr>
                <w:rFonts w:asciiTheme="minorHAnsi" w:eastAsiaTheme="minorEastAsia" w:hAnsiTheme="minorEastAsia"/>
              </w:rPr>
              <w:t>要求事項</w:t>
            </w:r>
          </w:p>
        </w:tc>
        <w:tc>
          <w:tcPr>
            <w:tcW w:w="2126" w:type="dxa"/>
            <w:vAlign w:val="center"/>
          </w:tcPr>
          <w:p w14:paraId="4BBBCC36" w14:textId="77777777" w:rsidR="00644B5F" w:rsidRPr="00BC31E0" w:rsidRDefault="00644B5F" w:rsidP="00644B5F">
            <w:pPr>
              <w:jc w:val="center"/>
              <w:rPr>
                <w:rFonts w:asciiTheme="minorHAnsi" w:eastAsiaTheme="minorEastAsia" w:hAnsiTheme="minorHAnsi"/>
              </w:rPr>
            </w:pPr>
            <w:r w:rsidRPr="00BC31E0">
              <w:rPr>
                <w:rFonts w:asciiTheme="minorHAnsi" w:eastAsiaTheme="minorEastAsia" w:hAnsiTheme="minorEastAsia"/>
              </w:rPr>
              <w:t>保持温度と保持時間</w:t>
            </w:r>
          </w:p>
        </w:tc>
      </w:tr>
      <w:tr w:rsidR="00644B5F" w:rsidRPr="00BC31E0" w14:paraId="15DEF7C2" w14:textId="77777777" w:rsidTr="004736F2">
        <w:tc>
          <w:tcPr>
            <w:tcW w:w="6946" w:type="dxa"/>
          </w:tcPr>
          <w:p w14:paraId="5D94D2EA" w14:textId="77777777" w:rsidR="00644B5F" w:rsidRPr="00BC31E0" w:rsidRDefault="00644B5F" w:rsidP="00736130">
            <w:pPr>
              <w:numPr>
                <w:ilvl w:val="0"/>
                <w:numId w:val="213"/>
              </w:numPr>
              <w:ind w:left="340" w:hanging="340"/>
              <w:rPr>
                <w:rFonts w:asciiTheme="minorHAnsi" w:eastAsiaTheme="minorEastAsia" w:hAnsiTheme="minorHAnsi"/>
              </w:rPr>
            </w:pPr>
            <w:r w:rsidRPr="00BC31E0">
              <w:rPr>
                <w:rFonts w:asciiTheme="minorHAnsi" w:eastAsiaTheme="minorEastAsia" w:hAnsiTheme="minorHAnsi" w:hint="eastAsia"/>
              </w:rPr>
              <w:t>P</w:t>
            </w:r>
            <w:r w:rsidRPr="00BC31E0">
              <w:rPr>
                <w:rFonts w:asciiTheme="minorHAnsi" w:eastAsiaTheme="minorEastAsia" w:hAnsiTheme="minorHAnsi" w:hint="eastAsia"/>
              </w:rPr>
              <w:t>番号</w:t>
            </w:r>
            <w:r w:rsidRPr="00BC31E0">
              <w:rPr>
                <w:rFonts w:asciiTheme="minorHAnsi" w:eastAsiaTheme="minorEastAsia" w:hAnsiTheme="minorHAnsi" w:hint="eastAsia"/>
              </w:rPr>
              <w:t>42</w:t>
            </w:r>
            <w:r w:rsidRPr="00BC31E0">
              <w:rPr>
                <w:rFonts w:asciiTheme="minorHAnsi" w:eastAsiaTheme="minorEastAsia" w:hAnsiTheme="minorHAnsi" w:hint="eastAsia"/>
              </w:rPr>
              <w:t>，</w:t>
            </w:r>
            <w:r w:rsidRPr="00BC31E0">
              <w:rPr>
                <w:rFonts w:asciiTheme="minorHAnsi" w:eastAsiaTheme="minorEastAsia" w:hAnsiTheme="minorHAnsi" w:hint="eastAsia"/>
              </w:rPr>
              <w:t>43</w:t>
            </w:r>
            <w:r w:rsidRPr="00BC31E0">
              <w:rPr>
                <w:rFonts w:asciiTheme="minorHAnsi" w:eastAsiaTheme="minorEastAsia" w:hAnsiTheme="minorHAnsi" w:hint="eastAsia"/>
              </w:rPr>
              <w:t>，</w:t>
            </w:r>
            <w:r w:rsidRPr="00BC31E0">
              <w:rPr>
                <w:rFonts w:asciiTheme="minorHAnsi" w:eastAsiaTheme="minorEastAsia" w:hAnsiTheme="minorHAnsi" w:hint="eastAsia"/>
              </w:rPr>
              <w:t>44</w:t>
            </w:r>
            <w:r w:rsidRPr="00BC31E0">
              <w:rPr>
                <w:rFonts w:asciiTheme="minorHAnsi" w:eastAsiaTheme="minorEastAsia" w:hAnsiTheme="minorHAnsi" w:hint="eastAsia"/>
              </w:rPr>
              <w:t>又は</w:t>
            </w:r>
            <w:r w:rsidRPr="00BC31E0">
              <w:rPr>
                <w:rFonts w:asciiTheme="minorHAnsi" w:eastAsiaTheme="minorEastAsia" w:hAnsiTheme="minorHAnsi" w:hint="eastAsia"/>
              </w:rPr>
              <w:t>45</w:t>
            </w:r>
            <w:r w:rsidRPr="00BC31E0">
              <w:rPr>
                <w:rFonts w:asciiTheme="minorHAnsi" w:eastAsiaTheme="minorEastAsia" w:hAnsiTheme="minorHAnsi" w:hint="eastAsia"/>
              </w:rPr>
              <w:t>の各オーステナイト系ステンレス鋼同士の溶接継手又はこれらのオーステナイト系ステンレス鋼を組合せた溶接継手に対しては溶接後熱処理の必要はないが，行ってもよい。</w:t>
            </w:r>
          </w:p>
          <w:p w14:paraId="316C5285" w14:textId="77777777" w:rsidR="00644B5F" w:rsidRPr="00BC31E0" w:rsidRDefault="00644B5F" w:rsidP="00736130">
            <w:pPr>
              <w:numPr>
                <w:ilvl w:val="0"/>
                <w:numId w:val="213"/>
              </w:numPr>
              <w:ind w:left="340" w:hanging="340"/>
              <w:rPr>
                <w:rFonts w:asciiTheme="minorHAnsi" w:eastAsiaTheme="minorEastAsia" w:hAnsiTheme="minorHAnsi"/>
              </w:rPr>
            </w:pPr>
            <w:r w:rsidRPr="00BC31E0">
              <w:rPr>
                <w:rFonts w:asciiTheme="minorHAnsi" w:eastAsiaTheme="minorEastAsia" w:hAnsiTheme="minorHAnsi" w:hint="eastAsia"/>
              </w:rPr>
              <w:t>UNS</w:t>
            </w:r>
            <w:r w:rsidRPr="00BC31E0">
              <w:rPr>
                <w:rFonts w:asciiTheme="minorHAnsi" w:eastAsiaTheme="minorEastAsia" w:hAnsiTheme="minorHAnsi" w:hint="eastAsia"/>
              </w:rPr>
              <w:t>番号</w:t>
            </w:r>
            <w:r w:rsidRPr="00BC31E0">
              <w:rPr>
                <w:rFonts w:asciiTheme="minorHAnsi" w:eastAsiaTheme="minorEastAsia" w:hAnsiTheme="minorHAnsi" w:hint="eastAsia"/>
              </w:rPr>
              <w:t>S31226</w:t>
            </w:r>
            <w:r w:rsidRPr="00BC31E0">
              <w:rPr>
                <w:rFonts w:asciiTheme="minorHAnsi" w:eastAsiaTheme="minorEastAsia" w:hAnsiTheme="minorHAnsi" w:hint="eastAsia"/>
              </w:rPr>
              <w:t>の材料の溶接後熱処理温度は次による。冷却は，液体焼入れ又は他の手段による急速冷却とする。</w:t>
            </w:r>
          </w:p>
          <w:p w14:paraId="23A6874B" w14:textId="77777777" w:rsidR="00644B5F" w:rsidRPr="00BC31E0" w:rsidRDefault="00644B5F" w:rsidP="00644B5F">
            <w:pPr>
              <w:rPr>
                <w:rFonts w:asciiTheme="minorHAnsi" w:eastAsiaTheme="minorEastAsia" w:hAnsiTheme="minorHAnsi"/>
              </w:rPr>
            </w:pPr>
          </w:p>
          <w:p w14:paraId="46A10CF5" w14:textId="77777777" w:rsidR="00644B5F" w:rsidRPr="00BC31E0" w:rsidRDefault="00644B5F" w:rsidP="00644B5F">
            <w:pPr>
              <w:tabs>
                <w:tab w:val="left" w:pos="1593"/>
                <w:tab w:val="left" w:pos="4287"/>
              </w:tabs>
              <w:rPr>
                <w:rFonts w:asciiTheme="minorHAnsi" w:eastAsiaTheme="minorEastAsia" w:hAnsiTheme="minorHAnsi"/>
                <w:u w:val="single"/>
              </w:rPr>
            </w:pPr>
            <w:r w:rsidRPr="00BC31E0">
              <w:rPr>
                <w:rFonts w:asciiTheme="minorHAnsi" w:eastAsiaTheme="minorEastAsia" w:hAnsiTheme="minorHAnsi"/>
              </w:rPr>
              <w:tab/>
            </w:r>
            <w:r w:rsidRPr="00BC31E0">
              <w:rPr>
                <w:rFonts w:asciiTheme="minorHAnsi" w:eastAsiaTheme="minorEastAsia" w:hAnsiTheme="minorHAnsi" w:hint="eastAsia"/>
                <w:u w:val="single"/>
              </w:rPr>
              <w:t>合金</w:t>
            </w:r>
            <w:r w:rsidRPr="00BC31E0">
              <w:rPr>
                <w:rFonts w:asciiTheme="minorHAnsi" w:eastAsiaTheme="minorEastAsia" w:hAnsiTheme="minorHAnsi" w:hint="eastAsia"/>
                <w:u w:val="single"/>
              </w:rPr>
              <w:t>(UNS</w:t>
            </w:r>
            <w:r w:rsidRPr="00BC31E0">
              <w:rPr>
                <w:rFonts w:asciiTheme="minorHAnsi" w:eastAsiaTheme="minorEastAsia" w:hAnsiTheme="minorHAnsi" w:hint="eastAsia"/>
                <w:u w:val="single"/>
              </w:rPr>
              <w:t>番号</w:t>
            </w:r>
            <w:r w:rsidRPr="00BC31E0">
              <w:rPr>
                <w:rFonts w:asciiTheme="minorHAnsi" w:eastAsiaTheme="minorEastAsia" w:hAnsiTheme="minorHAnsi" w:hint="eastAsia"/>
                <w:u w:val="single"/>
              </w:rPr>
              <w:t>)</w:t>
            </w:r>
            <w:r w:rsidRPr="00BC31E0">
              <w:rPr>
                <w:rFonts w:asciiTheme="minorHAnsi" w:eastAsiaTheme="minorEastAsia" w:hAnsiTheme="minorHAnsi"/>
                <w:u w:val="single"/>
              </w:rPr>
              <w:tab/>
            </w:r>
            <w:r w:rsidRPr="00BC31E0">
              <w:rPr>
                <w:rFonts w:asciiTheme="minorHAnsi" w:eastAsiaTheme="minorEastAsia" w:hAnsiTheme="minorHAnsi" w:hint="eastAsia"/>
                <w:u w:val="single"/>
              </w:rPr>
              <w:t>保持温度</w:t>
            </w:r>
            <w:r w:rsidRPr="00BC31E0">
              <w:rPr>
                <w:rFonts w:asciiTheme="minorHAnsi" w:eastAsiaTheme="minorEastAsia" w:hAnsiTheme="minorHAnsi" w:hint="eastAsia"/>
                <w:u w:val="single"/>
              </w:rPr>
              <w:t>(</w:t>
            </w:r>
            <w:r w:rsidRPr="00BC31E0">
              <w:rPr>
                <w:rFonts w:asciiTheme="minorHAnsi" w:hAnsiTheme="minorHAnsi"/>
                <w:u w:val="single"/>
              </w:rPr>
              <w:t>°C</w:t>
            </w:r>
            <w:r w:rsidRPr="00BC31E0">
              <w:rPr>
                <w:rFonts w:asciiTheme="minorHAnsi" w:eastAsiaTheme="minorEastAsia" w:hAnsiTheme="minorHAnsi" w:hint="eastAsia"/>
                <w:u w:val="single"/>
              </w:rPr>
              <w:t>)</w:t>
            </w:r>
            <w:r w:rsidRPr="00BC31E0">
              <w:rPr>
                <w:rFonts w:asciiTheme="minorHAnsi" w:eastAsiaTheme="minorEastAsia" w:hAnsiTheme="minorHAnsi" w:hint="eastAsia"/>
                <w:u w:val="single"/>
              </w:rPr>
              <w:t xml:space="preserve">　</w:t>
            </w:r>
            <w:r w:rsidRPr="00BC31E0">
              <w:rPr>
                <w:rFonts w:asciiTheme="minorHAnsi" w:eastAsiaTheme="minorEastAsia" w:hAnsiTheme="minorHAnsi" w:hint="eastAsia"/>
                <w:u w:val="single"/>
              </w:rPr>
              <w:t xml:space="preserve"> </w:t>
            </w:r>
          </w:p>
          <w:p w14:paraId="2B7ADC23" w14:textId="77777777" w:rsidR="00644B5F" w:rsidRPr="00BC31E0" w:rsidRDefault="00644B5F" w:rsidP="00644B5F">
            <w:pPr>
              <w:tabs>
                <w:tab w:val="left" w:pos="2019"/>
                <w:tab w:val="left" w:pos="4145"/>
              </w:tabs>
              <w:rPr>
                <w:rFonts w:ascii="Cambria Math" w:eastAsiaTheme="minorEastAsia" w:hAnsi="Cambria Math"/>
              </w:rPr>
            </w:pPr>
            <w:r w:rsidRPr="00BC31E0">
              <w:rPr>
                <w:rFonts w:asciiTheme="minorHAnsi" w:eastAsiaTheme="minorEastAsia" w:hAnsiTheme="minorHAnsi"/>
              </w:rPr>
              <w:tab/>
            </w:r>
            <w:r w:rsidRPr="00BC31E0">
              <w:rPr>
                <w:rFonts w:asciiTheme="minorHAnsi" w:eastAsiaTheme="minorEastAsia" w:hAnsiTheme="minorHAnsi" w:hint="eastAsia"/>
              </w:rPr>
              <w:t>S31226</w:t>
            </w:r>
            <w:r w:rsidRPr="00BC31E0">
              <w:rPr>
                <w:rFonts w:asciiTheme="minorHAnsi" w:eastAsiaTheme="minorEastAsia" w:hAnsiTheme="minorHAnsi" w:hint="eastAsia"/>
              </w:rPr>
              <w:tab/>
            </w:r>
            <w:r w:rsidRPr="00BC31E0">
              <w:rPr>
                <w:rFonts w:ascii="Cambria Math" w:eastAsiaTheme="minorEastAsia" w:hAnsi="Cambria Math"/>
              </w:rPr>
              <w:t>1,140</w:t>
            </w:r>
            <w:r w:rsidRPr="00BC31E0">
              <w:rPr>
                <w:rFonts w:asciiTheme="minorHAnsi" w:eastAsiaTheme="minorEastAsia" w:hAnsiTheme="minorHAnsi" w:hint="eastAsia"/>
              </w:rPr>
              <w:t xml:space="preserve"> </w:t>
            </w:r>
            <w:r w:rsidRPr="00BC31E0">
              <w:rPr>
                <w:rFonts w:asciiTheme="minorHAnsi" w:eastAsiaTheme="minorEastAsia" w:hAnsiTheme="minorHAnsi" w:hint="eastAsia"/>
              </w:rPr>
              <w:t>～</w:t>
            </w:r>
            <w:r w:rsidRPr="00BC31E0">
              <w:rPr>
                <w:rFonts w:asciiTheme="minorHAnsi" w:eastAsiaTheme="minorEastAsia" w:hAnsiTheme="minorHAnsi" w:hint="eastAsia"/>
              </w:rPr>
              <w:t xml:space="preserve"> </w:t>
            </w:r>
            <w:r w:rsidRPr="00BC31E0">
              <w:rPr>
                <w:rFonts w:ascii="Cambria Math" w:eastAsiaTheme="minorEastAsia" w:hAnsi="Cambria Math"/>
              </w:rPr>
              <w:t>1,170</w:t>
            </w:r>
          </w:p>
          <w:p w14:paraId="235BE8FB" w14:textId="77777777" w:rsidR="00644B5F" w:rsidRPr="00BC31E0" w:rsidRDefault="00644B5F" w:rsidP="00644B5F">
            <w:pPr>
              <w:rPr>
                <w:rFonts w:ascii="Cambria Math" w:eastAsiaTheme="minorEastAsia" w:hAnsi="Cambria Math"/>
              </w:rPr>
            </w:pPr>
          </w:p>
          <w:p w14:paraId="1805BCDA" w14:textId="77777777" w:rsidR="00644B5F" w:rsidRPr="00BC31E0" w:rsidRDefault="00644B5F" w:rsidP="00736130">
            <w:pPr>
              <w:numPr>
                <w:ilvl w:val="0"/>
                <w:numId w:val="213"/>
              </w:numPr>
              <w:ind w:left="340" w:hanging="340"/>
              <w:rPr>
                <w:rFonts w:asciiTheme="minorHAnsi" w:eastAsiaTheme="minorEastAsia" w:hAnsiTheme="minorHAnsi"/>
              </w:rPr>
            </w:pPr>
            <w:r w:rsidRPr="00BC31E0">
              <w:rPr>
                <w:rFonts w:asciiTheme="minorHAnsi" w:eastAsiaTheme="minorEastAsia" w:hAnsiTheme="minorHAnsi" w:hint="eastAsia"/>
              </w:rPr>
              <w:t>溶接後熱処理を行う場合には，製作者は材料の脆化，鋭敏化及びシグマ相など有害な相の析出を防止するために必要な措置をしなければならない</w:t>
            </w:r>
            <w:r w:rsidRPr="00BC31E0">
              <w:rPr>
                <w:rFonts w:asciiTheme="minorHAnsi" w:eastAsiaTheme="minorEastAsia" w:hAnsiTheme="minorHAnsi" w:hint="eastAsia"/>
              </w:rPr>
              <w:t>(</w:t>
            </w:r>
            <w:r w:rsidRPr="00BC31E0">
              <w:rPr>
                <w:rFonts w:asciiTheme="majorEastAsia" w:eastAsiaTheme="majorEastAsia" w:hAnsiTheme="majorEastAsia" w:hint="eastAsia"/>
                <w:b/>
              </w:rPr>
              <w:t>ASME Sec. II</w:t>
            </w:r>
            <w:r w:rsidRPr="00BC31E0">
              <w:rPr>
                <w:rFonts w:asciiTheme="minorHAnsi" w:eastAsiaTheme="minorEastAsia" w:hAnsiTheme="minorHAnsi" w:hint="eastAsia"/>
              </w:rPr>
              <w:t>，</w:t>
            </w:r>
            <w:r w:rsidRPr="00BC31E0">
              <w:rPr>
                <w:rFonts w:asciiTheme="majorEastAsia" w:eastAsiaTheme="majorEastAsia" w:hAnsiTheme="majorEastAsia" w:hint="eastAsia"/>
                <w:b/>
              </w:rPr>
              <w:t>Appendix A</w:t>
            </w:r>
            <w:r w:rsidRPr="00BC31E0">
              <w:rPr>
                <w:rFonts w:asciiTheme="minorHAnsi" w:eastAsiaTheme="minorEastAsia" w:hAnsiTheme="minorHAnsi" w:hint="eastAsia"/>
              </w:rPr>
              <w:t>，</w:t>
            </w:r>
            <w:r w:rsidRPr="00BC31E0">
              <w:rPr>
                <w:rFonts w:asciiTheme="majorEastAsia" w:eastAsiaTheme="majorEastAsia" w:hAnsiTheme="majorEastAsia" w:hint="eastAsia"/>
                <w:b/>
              </w:rPr>
              <w:t>A-207</w:t>
            </w:r>
            <w:r w:rsidRPr="00BC31E0">
              <w:rPr>
                <w:rFonts w:asciiTheme="minorHAnsi" w:eastAsiaTheme="minorEastAsia" w:hAnsiTheme="minorHAnsi" w:hint="eastAsia"/>
              </w:rPr>
              <w:t>～</w:t>
            </w:r>
            <w:r w:rsidRPr="00BC31E0">
              <w:rPr>
                <w:rFonts w:asciiTheme="majorEastAsia" w:eastAsiaTheme="majorEastAsia" w:hAnsiTheme="majorEastAsia" w:hint="eastAsia"/>
                <w:b/>
              </w:rPr>
              <w:t>A-210</w:t>
            </w:r>
            <w:r w:rsidRPr="00BC31E0">
              <w:rPr>
                <w:rFonts w:asciiTheme="minorHAnsi" w:eastAsiaTheme="minorEastAsia" w:hAnsiTheme="minorHAnsi" w:hint="eastAsia"/>
              </w:rPr>
              <w:t>を参照</w:t>
            </w:r>
            <w:r w:rsidRPr="00BC31E0">
              <w:rPr>
                <w:rFonts w:asciiTheme="minorHAnsi" w:eastAsiaTheme="minorEastAsia" w:hAnsiTheme="minorHAnsi" w:hint="eastAsia"/>
              </w:rPr>
              <w:t>)</w:t>
            </w:r>
            <w:r w:rsidRPr="00BC31E0">
              <w:rPr>
                <w:rFonts w:asciiTheme="minorHAnsi" w:eastAsiaTheme="minorEastAsia" w:hAnsiTheme="minorHAnsi" w:hint="eastAsia"/>
              </w:rPr>
              <w:t>。</w:t>
            </w:r>
          </w:p>
        </w:tc>
        <w:tc>
          <w:tcPr>
            <w:tcW w:w="2126" w:type="dxa"/>
          </w:tcPr>
          <w:p w14:paraId="2F2ABE9A" w14:textId="77777777" w:rsidR="00644B5F" w:rsidRPr="00BC31E0" w:rsidRDefault="00644B5F" w:rsidP="00644B5F">
            <w:pPr>
              <w:rPr>
                <w:rFonts w:asciiTheme="minorHAnsi" w:eastAsiaTheme="minorEastAsia" w:hAnsiTheme="minorHAnsi"/>
              </w:rPr>
            </w:pPr>
          </w:p>
        </w:tc>
      </w:tr>
    </w:tbl>
    <w:p w14:paraId="25D390D7" w14:textId="77777777" w:rsidR="00644B5F" w:rsidRPr="00BC31E0" w:rsidRDefault="00644B5F" w:rsidP="009752F4">
      <w:pPr>
        <w:jc w:val="left"/>
        <w:rPr>
          <w:rFonts w:asciiTheme="minorEastAsia" w:eastAsiaTheme="minorEastAsia" w:hAnsiTheme="minorEastAsia"/>
        </w:rPr>
      </w:pPr>
    </w:p>
    <w:p w14:paraId="406846E5" w14:textId="77777777" w:rsidR="00644B5F" w:rsidRPr="00BC31E0" w:rsidRDefault="00644B5F" w:rsidP="009752F4">
      <w:pPr>
        <w:jc w:val="left"/>
        <w:rPr>
          <w:rFonts w:asciiTheme="minorEastAsia" w:eastAsiaTheme="minorEastAsia" w:hAnsiTheme="minorEastAsia"/>
        </w:rPr>
      </w:pPr>
    </w:p>
    <w:p w14:paraId="7B74A145" w14:textId="77777777" w:rsidR="009A5191" w:rsidRPr="00BC31E0" w:rsidRDefault="009A5191" w:rsidP="009752F4">
      <w:pPr>
        <w:jc w:val="left"/>
        <w:rPr>
          <w:rFonts w:asciiTheme="minorEastAsia" w:eastAsiaTheme="minorEastAsia" w:hAnsiTheme="minorEastAsia"/>
        </w:rPr>
      </w:pPr>
    </w:p>
    <w:p w14:paraId="445BCB5A" w14:textId="77777777" w:rsidR="00644B5F" w:rsidRPr="00BC31E0" w:rsidRDefault="00644B5F" w:rsidP="009752F4">
      <w:pPr>
        <w:jc w:val="left"/>
        <w:rPr>
          <w:rFonts w:asciiTheme="minorEastAsia" w:eastAsiaTheme="minorEastAsia" w:hAnsiTheme="minorEastAsia"/>
        </w:rPr>
      </w:pPr>
    </w:p>
    <w:p w14:paraId="10951C22" w14:textId="77777777" w:rsidR="00644B5F" w:rsidRPr="00BC31E0" w:rsidRDefault="00644B5F" w:rsidP="009752F4">
      <w:pPr>
        <w:spacing w:after="60"/>
        <w:jc w:val="center"/>
        <w:rPr>
          <w:rFonts w:asciiTheme="majorEastAsia" w:eastAsiaTheme="majorEastAsia" w:hAnsiTheme="majorEastAsia"/>
          <w:b/>
        </w:rPr>
      </w:pPr>
      <w:r w:rsidRPr="00BC31E0">
        <w:rPr>
          <w:rFonts w:asciiTheme="majorEastAsia" w:eastAsiaTheme="majorEastAsia" w:hAnsiTheme="majorEastAsia" w:hint="eastAsia"/>
          <w:b/>
        </w:rPr>
        <w:t>表7.4.18</w:t>
      </w:r>
      <w:r w:rsidRPr="00BC31E0">
        <w:rPr>
          <w:rFonts w:asciiTheme="majorEastAsia" w:eastAsiaTheme="majorEastAsia" w:hAnsiTheme="majorEastAsia"/>
          <w:b/>
        </w:rPr>
        <w:t xml:space="preserve">　</w:t>
      </w:r>
      <w:r w:rsidRPr="00BC31E0">
        <w:rPr>
          <w:rFonts w:asciiTheme="majorEastAsia" w:eastAsiaTheme="majorEastAsia" w:hAnsiTheme="majorEastAsia" w:hint="eastAsia"/>
          <w:b/>
        </w:rPr>
        <w:t>保持温度の低減に対する最小保持時間</w:t>
      </w:r>
    </w:p>
    <w:tbl>
      <w:tblPr>
        <w:tblStyle w:val="100"/>
        <w:tblW w:w="0" w:type="auto"/>
        <w:jc w:val="center"/>
        <w:tblLook w:val="04A0" w:firstRow="1" w:lastRow="0" w:firstColumn="1" w:lastColumn="0" w:noHBand="0" w:noVBand="1"/>
      </w:tblPr>
      <w:tblGrid>
        <w:gridCol w:w="3861"/>
        <w:gridCol w:w="2410"/>
      </w:tblGrid>
      <w:tr w:rsidR="00644B5F" w:rsidRPr="00BC31E0" w14:paraId="7010411E" w14:textId="77777777" w:rsidTr="004736F2">
        <w:trPr>
          <w:jc w:val="center"/>
        </w:trPr>
        <w:tc>
          <w:tcPr>
            <w:tcW w:w="3861" w:type="dxa"/>
            <w:vAlign w:val="center"/>
          </w:tcPr>
          <w:p w14:paraId="4364EF10" w14:textId="77777777" w:rsidR="00644B5F" w:rsidRPr="00BC31E0" w:rsidRDefault="00644B5F" w:rsidP="00644B5F">
            <w:pPr>
              <w:jc w:val="center"/>
              <w:rPr>
                <w:rFonts w:asciiTheme="minorHAnsi" w:eastAsiaTheme="minorEastAsia" w:hAnsiTheme="minorHAnsi"/>
              </w:rPr>
            </w:pPr>
            <w:r w:rsidRPr="00BC31E0">
              <w:rPr>
                <w:rFonts w:asciiTheme="minorHAnsi" w:eastAsiaTheme="minorEastAsia" w:hAnsiTheme="minorHAnsi" w:hint="eastAsia"/>
              </w:rPr>
              <w:t>規定の保持温度から低減する温度</w:t>
            </w:r>
            <w:r w:rsidRPr="00BC31E0">
              <w:rPr>
                <w:rFonts w:asciiTheme="minorHAnsi" w:eastAsiaTheme="minorEastAsia" w:hAnsiTheme="minorHAnsi" w:hint="eastAsia"/>
              </w:rPr>
              <w:t xml:space="preserve"> (</w:t>
            </w:r>
            <w:r w:rsidRPr="00BC31E0">
              <w:rPr>
                <w:rFonts w:asciiTheme="minorHAnsi" w:hAnsiTheme="minorHAnsi"/>
              </w:rPr>
              <w:t>°C</w:t>
            </w:r>
            <w:r w:rsidRPr="00BC31E0">
              <w:rPr>
                <w:rFonts w:asciiTheme="minorHAnsi" w:eastAsiaTheme="minorEastAsia" w:hAnsiTheme="minorHAnsi" w:hint="eastAsia"/>
              </w:rPr>
              <w:t>)</w:t>
            </w:r>
          </w:p>
        </w:tc>
        <w:tc>
          <w:tcPr>
            <w:tcW w:w="2410" w:type="dxa"/>
            <w:vAlign w:val="center"/>
          </w:tcPr>
          <w:p w14:paraId="123400D2" w14:textId="77777777" w:rsidR="00644B5F" w:rsidRPr="00BC31E0" w:rsidRDefault="00644B5F" w:rsidP="00644B5F">
            <w:pPr>
              <w:jc w:val="center"/>
              <w:rPr>
                <w:rFonts w:asciiTheme="minorHAnsi" w:eastAsiaTheme="minorEastAsia" w:hAnsiTheme="minorHAnsi"/>
              </w:rPr>
            </w:pPr>
            <w:r w:rsidRPr="00BC31E0">
              <w:rPr>
                <w:rFonts w:asciiTheme="minorHAnsi" w:eastAsiaTheme="minorEastAsia" w:hAnsiTheme="minorEastAsia" w:hint="eastAsia"/>
              </w:rPr>
              <w:t>最小保持時間</w:t>
            </w:r>
            <w:r w:rsidRPr="00BC31E0">
              <w:rPr>
                <w:rFonts w:asciiTheme="minorHAnsi" w:eastAsiaTheme="minorEastAsia" w:hAnsiTheme="minorEastAsia" w:hint="eastAsia"/>
              </w:rPr>
              <w:t xml:space="preserve"> (</w:t>
            </w:r>
            <w:r w:rsidRPr="00BC31E0">
              <w:rPr>
                <w:rFonts w:ascii="Cambria Math" w:eastAsiaTheme="minorEastAsia" w:hAnsi="Cambria Math"/>
              </w:rPr>
              <w:t>h</w:t>
            </w:r>
            <w:r w:rsidRPr="00BC31E0">
              <w:rPr>
                <w:rFonts w:asciiTheme="minorHAnsi" w:eastAsiaTheme="minorEastAsia" w:hAnsiTheme="minorEastAsia" w:hint="eastAsia"/>
              </w:rPr>
              <w:t xml:space="preserve">) </w:t>
            </w:r>
            <w:r w:rsidRPr="00BC31E0">
              <w:rPr>
                <w:rFonts w:asciiTheme="majorEastAsia" w:eastAsiaTheme="majorEastAsia" w:hAnsiTheme="majorEastAsia" w:hint="eastAsia"/>
                <w:b/>
                <w:vertAlign w:val="superscript"/>
              </w:rPr>
              <w:t>a)</w:t>
            </w:r>
          </w:p>
        </w:tc>
      </w:tr>
      <w:tr w:rsidR="00644B5F" w:rsidRPr="00BC31E0" w14:paraId="17336017" w14:textId="77777777" w:rsidTr="004736F2">
        <w:trPr>
          <w:jc w:val="center"/>
        </w:trPr>
        <w:tc>
          <w:tcPr>
            <w:tcW w:w="3861" w:type="dxa"/>
            <w:vAlign w:val="center"/>
          </w:tcPr>
          <w:p w14:paraId="3A9F0B05" w14:textId="77777777" w:rsidR="00644B5F" w:rsidRPr="00BC31E0" w:rsidRDefault="00644B5F" w:rsidP="00644B5F">
            <w:pPr>
              <w:ind w:left="1588"/>
              <w:rPr>
                <w:rFonts w:ascii="Cambria Math" w:eastAsiaTheme="minorEastAsia" w:hAnsi="Cambria Math"/>
              </w:rPr>
            </w:pPr>
            <w:r w:rsidRPr="00BC31E0">
              <w:rPr>
                <w:rFonts w:ascii="Cambria Math" w:eastAsiaTheme="minorEastAsia" w:hAnsi="Cambria Math"/>
              </w:rPr>
              <w:t>30</w:t>
            </w:r>
          </w:p>
        </w:tc>
        <w:tc>
          <w:tcPr>
            <w:tcW w:w="2410" w:type="dxa"/>
            <w:vAlign w:val="center"/>
          </w:tcPr>
          <w:p w14:paraId="027680AF" w14:textId="77777777" w:rsidR="00644B5F" w:rsidRPr="00BC31E0" w:rsidRDefault="00644B5F" w:rsidP="00644B5F">
            <w:pPr>
              <w:jc w:val="center"/>
              <w:rPr>
                <w:rFonts w:ascii="Cambria Math" w:eastAsiaTheme="minorEastAsia" w:hAnsi="Cambria Math"/>
              </w:rPr>
            </w:pPr>
            <w:r w:rsidRPr="00BC31E0">
              <w:rPr>
                <w:rFonts w:ascii="Cambria Math" w:eastAsiaTheme="minorEastAsia" w:hAnsi="Cambria Math"/>
              </w:rPr>
              <w:t>2</w:t>
            </w:r>
          </w:p>
        </w:tc>
      </w:tr>
      <w:tr w:rsidR="00644B5F" w:rsidRPr="00BC31E0" w14:paraId="3DF7CA13" w14:textId="77777777" w:rsidTr="004736F2">
        <w:trPr>
          <w:jc w:val="center"/>
        </w:trPr>
        <w:tc>
          <w:tcPr>
            <w:tcW w:w="3861" w:type="dxa"/>
            <w:vAlign w:val="center"/>
          </w:tcPr>
          <w:p w14:paraId="28FA13C6" w14:textId="77777777" w:rsidR="00644B5F" w:rsidRPr="00BC31E0" w:rsidRDefault="00644B5F" w:rsidP="00644B5F">
            <w:pPr>
              <w:ind w:left="1588"/>
              <w:rPr>
                <w:rFonts w:ascii="Cambria Math" w:eastAsiaTheme="minorEastAsia" w:hAnsi="Cambria Math"/>
              </w:rPr>
            </w:pPr>
            <w:r w:rsidRPr="00BC31E0">
              <w:rPr>
                <w:rFonts w:ascii="Cambria Math" w:eastAsiaTheme="minorEastAsia" w:hAnsi="Cambria Math"/>
              </w:rPr>
              <w:t>55</w:t>
            </w:r>
          </w:p>
        </w:tc>
        <w:tc>
          <w:tcPr>
            <w:tcW w:w="2410" w:type="dxa"/>
            <w:vAlign w:val="center"/>
          </w:tcPr>
          <w:p w14:paraId="1CD54D00" w14:textId="77777777" w:rsidR="00644B5F" w:rsidRPr="00BC31E0" w:rsidRDefault="00644B5F" w:rsidP="00644B5F">
            <w:pPr>
              <w:jc w:val="center"/>
              <w:rPr>
                <w:rFonts w:ascii="Cambria Math" w:eastAsiaTheme="minorEastAsia" w:hAnsi="Cambria Math"/>
              </w:rPr>
            </w:pPr>
            <w:r w:rsidRPr="00BC31E0">
              <w:rPr>
                <w:rFonts w:ascii="Cambria Math" w:eastAsiaTheme="minorEastAsia" w:hAnsi="Cambria Math"/>
              </w:rPr>
              <w:t>4</w:t>
            </w:r>
          </w:p>
        </w:tc>
      </w:tr>
      <w:tr w:rsidR="00644B5F" w:rsidRPr="00BC31E0" w14:paraId="0210AA14" w14:textId="77777777" w:rsidTr="004736F2">
        <w:trPr>
          <w:jc w:val="center"/>
        </w:trPr>
        <w:tc>
          <w:tcPr>
            <w:tcW w:w="3861" w:type="dxa"/>
            <w:vAlign w:val="center"/>
          </w:tcPr>
          <w:p w14:paraId="661002E8" w14:textId="77777777" w:rsidR="00644B5F" w:rsidRPr="00BC31E0" w:rsidRDefault="00644B5F" w:rsidP="00644B5F">
            <w:pPr>
              <w:ind w:left="1588"/>
              <w:rPr>
                <w:rFonts w:asciiTheme="minorHAnsi" w:eastAsiaTheme="minorEastAsia" w:hAnsiTheme="minorHAnsi"/>
              </w:rPr>
            </w:pPr>
            <w:r w:rsidRPr="00BC31E0">
              <w:rPr>
                <w:rFonts w:ascii="Cambria Math" w:eastAsiaTheme="minorEastAsia" w:hAnsi="Cambria Math"/>
              </w:rPr>
              <w:t>85</w:t>
            </w:r>
            <w:r w:rsidRPr="00BC31E0">
              <w:rPr>
                <w:rFonts w:asciiTheme="minorHAnsi" w:eastAsiaTheme="minorEastAsia" w:hAnsiTheme="minorHAnsi" w:hint="eastAsia"/>
              </w:rPr>
              <w:t xml:space="preserve"> </w:t>
            </w:r>
            <w:r w:rsidRPr="00BC31E0">
              <w:rPr>
                <w:rFonts w:asciiTheme="majorEastAsia" w:eastAsiaTheme="majorEastAsia" w:hAnsiTheme="majorEastAsia" w:hint="eastAsia"/>
                <w:b/>
                <w:vertAlign w:val="superscript"/>
              </w:rPr>
              <w:t>b)</w:t>
            </w:r>
          </w:p>
        </w:tc>
        <w:tc>
          <w:tcPr>
            <w:tcW w:w="2410" w:type="dxa"/>
            <w:vAlign w:val="center"/>
          </w:tcPr>
          <w:p w14:paraId="0F4C6D7A" w14:textId="77777777" w:rsidR="00644B5F" w:rsidRPr="00BC31E0" w:rsidRDefault="00644B5F" w:rsidP="00644B5F">
            <w:pPr>
              <w:jc w:val="center"/>
              <w:rPr>
                <w:rFonts w:ascii="Cambria Math" w:eastAsiaTheme="minorEastAsia" w:hAnsi="Cambria Math"/>
              </w:rPr>
            </w:pPr>
            <w:r w:rsidRPr="00BC31E0">
              <w:rPr>
                <w:rFonts w:ascii="Cambria Math" w:eastAsiaTheme="minorEastAsia" w:hAnsi="Cambria Math"/>
              </w:rPr>
              <w:t>10</w:t>
            </w:r>
          </w:p>
        </w:tc>
      </w:tr>
      <w:tr w:rsidR="00644B5F" w:rsidRPr="00BC31E0" w14:paraId="318C942D" w14:textId="77777777" w:rsidTr="004736F2">
        <w:trPr>
          <w:jc w:val="center"/>
        </w:trPr>
        <w:tc>
          <w:tcPr>
            <w:tcW w:w="3861" w:type="dxa"/>
            <w:vAlign w:val="center"/>
          </w:tcPr>
          <w:p w14:paraId="5459830D" w14:textId="77777777" w:rsidR="00644B5F" w:rsidRPr="00BC31E0" w:rsidRDefault="00644B5F" w:rsidP="00644B5F">
            <w:pPr>
              <w:ind w:left="1588"/>
              <w:rPr>
                <w:rFonts w:asciiTheme="minorHAnsi" w:eastAsiaTheme="minorEastAsia" w:hAnsiTheme="minorHAnsi"/>
              </w:rPr>
            </w:pPr>
            <w:r w:rsidRPr="00BC31E0">
              <w:rPr>
                <w:rFonts w:ascii="Cambria Math" w:eastAsiaTheme="minorEastAsia" w:hAnsi="Cambria Math"/>
              </w:rPr>
              <w:t>110</w:t>
            </w:r>
            <w:r w:rsidRPr="00BC31E0">
              <w:rPr>
                <w:rFonts w:asciiTheme="minorHAnsi" w:eastAsiaTheme="minorEastAsia" w:hAnsiTheme="minorHAnsi" w:hint="eastAsia"/>
              </w:rPr>
              <w:t xml:space="preserve"> </w:t>
            </w:r>
            <w:r w:rsidRPr="00BC31E0">
              <w:rPr>
                <w:rFonts w:asciiTheme="majorEastAsia" w:eastAsiaTheme="majorEastAsia" w:hAnsiTheme="majorEastAsia" w:hint="eastAsia"/>
                <w:b/>
                <w:vertAlign w:val="superscript"/>
              </w:rPr>
              <w:t>b)</w:t>
            </w:r>
          </w:p>
        </w:tc>
        <w:tc>
          <w:tcPr>
            <w:tcW w:w="2410" w:type="dxa"/>
            <w:vAlign w:val="center"/>
          </w:tcPr>
          <w:p w14:paraId="09057600" w14:textId="77777777" w:rsidR="00644B5F" w:rsidRPr="00BC31E0" w:rsidRDefault="00644B5F" w:rsidP="00644B5F">
            <w:pPr>
              <w:jc w:val="center"/>
              <w:rPr>
                <w:rFonts w:ascii="Cambria Math" w:eastAsiaTheme="minorEastAsia" w:hAnsi="Cambria Math"/>
              </w:rPr>
            </w:pPr>
            <w:r w:rsidRPr="00BC31E0">
              <w:rPr>
                <w:rFonts w:ascii="Cambria Math" w:eastAsiaTheme="minorEastAsia" w:hAnsi="Cambria Math"/>
              </w:rPr>
              <w:t>20</w:t>
            </w:r>
          </w:p>
        </w:tc>
      </w:tr>
    </w:tbl>
    <w:p w14:paraId="791D4255" w14:textId="77777777" w:rsidR="00644B5F" w:rsidRPr="00BC31E0" w:rsidRDefault="00644B5F" w:rsidP="009752F4">
      <w:pPr>
        <w:tabs>
          <w:tab w:val="left" w:pos="567"/>
        </w:tabs>
        <w:spacing w:before="60"/>
        <w:rPr>
          <w:rFonts w:asciiTheme="minorHAnsi" w:eastAsiaTheme="minorEastAsia" w:hAnsiTheme="minorHAnsi"/>
        </w:rPr>
      </w:pPr>
      <w:r w:rsidRPr="00BC31E0">
        <w:rPr>
          <w:rFonts w:asciiTheme="majorEastAsia" w:eastAsiaTheme="majorEastAsia" w:hAnsiTheme="majorEastAsia" w:hint="eastAsia"/>
          <w:b/>
        </w:rPr>
        <w:t>注記</w:t>
      </w:r>
      <w:r w:rsidR="00BD582B" w:rsidRPr="00BC31E0">
        <w:rPr>
          <w:rFonts w:asciiTheme="minorHAnsi" w:eastAsiaTheme="minorEastAsia" w:hAnsiTheme="minorHAnsi" w:hint="eastAsia"/>
        </w:rPr>
        <w:tab/>
      </w:r>
      <w:r w:rsidRPr="00BC31E0">
        <w:rPr>
          <w:rFonts w:asciiTheme="minorHAnsi" w:eastAsiaTheme="minorEastAsia" w:hAnsiTheme="minorHAnsi" w:hint="eastAsia"/>
        </w:rPr>
        <w:t>この表は，</w:t>
      </w:r>
      <w:r w:rsidRPr="00BC31E0">
        <w:rPr>
          <w:rFonts w:asciiTheme="majorEastAsia" w:eastAsiaTheme="majorEastAsia" w:hAnsiTheme="majorEastAsia" w:hint="eastAsia"/>
          <w:b/>
        </w:rPr>
        <w:t>表7.4.2</w:t>
      </w:r>
      <w:r w:rsidRPr="00BC31E0">
        <w:rPr>
          <w:rFonts w:asciiTheme="minorHAnsi" w:eastAsiaTheme="minorEastAsia" w:hAnsiTheme="minorHAnsi" w:hint="eastAsia"/>
        </w:rPr>
        <w:t>～</w:t>
      </w:r>
      <w:r w:rsidRPr="00BC31E0">
        <w:rPr>
          <w:rFonts w:asciiTheme="majorEastAsia" w:eastAsiaTheme="majorEastAsia" w:hAnsiTheme="majorEastAsia" w:hint="eastAsia"/>
          <w:b/>
        </w:rPr>
        <w:t>表7.4.17</w:t>
      </w:r>
      <w:r w:rsidRPr="00BC31E0">
        <w:rPr>
          <w:rFonts w:asciiTheme="minorEastAsia" w:eastAsiaTheme="minorEastAsia" w:hAnsiTheme="minorEastAsia" w:hint="eastAsia"/>
        </w:rPr>
        <w:t>で</w:t>
      </w:r>
      <w:r w:rsidRPr="00BC31E0">
        <w:rPr>
          <w:rFonts w:asciiTheme="minorHAnsi" w:eastAsiaTheme="minorEastAsia" w:hAnsiTheme="minorHAnsi" w:hint="eastAsia"/>
        </w:rPr>
        <w:t>許容される場合のみ適用</w:t>
      </w:r>
      <w:r w:rsidR="00383B3C" w:rsidRPr="00BC31E0">
        <w:rPr>
          <w:rFonts w:asciiTheme="minorHAnsi" w:eastAsiaTheme="minorEastAsia" w:hAnsiTheme="minorHAnsi" w:hint="eastAsia"/>
        </w:rPr>
        <w:t>す</w:t>
      </w:r>
      <w:r w:rsidRPr="00BC31E0">
        <w:rPr>
          <w:rFonts w:asciiTheme="minorHAnsi" w:eastAsiaTheme="minorEastAsia" w:hAnsiTheme="minorHAnsi" w:hint="eastAsia"/>
        </w:rPr>
        <w:t>る。</w:t>
      </w:r>
    </w:p>
    <w:p w14:paraId="7286BBB9" w14:textId="77777777" w:rsidR="00644B5F" w:rsidRPr="00BC31E0" w:rsidRDefault="00644B5F" w:rsidP="00BD582B">
      <w:pPr>
        <w:ind w:left="567" w:hanging="567"/>
        <w:rPr>
          <w:rFonts w:asciiTheme="minorHAnsi" w:eastAsiaTheme="minorEastAsia" w:hAnsiTheme="minorHAnsi"/>
        </w:rPr>
      </w:pPr>
      <w:r w:rsidRPr="00BC31E0">
        <w:rPr>
          <w:rFonts w:asciiTheme="majorEastAsia" w:eastAsiaTheme="majorEastAsia" w:hAnsiTheme="majorEastAsia" w:hint="eastAsia"/>
          <w:b/>
        </w:rPr>
        <w:t>注</w:t>
      </w:r>
      <w:r w:rsidRPr="00BC31E0">
        <w:rPr>
          <w:rFonts w:asciiTheme="majorEastAsia" w:eastAsiaTheme="majorEastAsia" w:hAnsiTheme="majorEastAsia" w:hint="eastAsia"/>
          <w:b/>
          <w:vertAlign w:val="superscript"/>
        </w:rPr>
        <w:t>a)</w:t>
      </w:r>
      <w:r w:rsidRPr="00BC31E0">
        <w:rPr>
          <w:rFonts w:asciiTheme="minorEastAsia" w:eastAsiaTheme="minorEastAsia" w:hAnsiTheme="minorEastAsia" w:hint="eastAsia"/>
        </w:rPr>
        <w:t xml:space="preserve">　</w:t>
      </w:r>
      <w:r w:rsidRPr="00BC31E0">
        <w:rPr>
          <w:rFonts w:asciiTheme="majorEastAsia" w:eastAsiaTheme="majorEastAsia" w:hAnsiTheme="majorEastAsia" w:hint="eastAsia"/>
          <w:b/>
        </w:rPr>
        <w:t>7.4.1 b) 4)</w:t>
      </w:r>
      <w:r w:rsidRPr="00BC31E0">
        <w:rPr>
          <w:rFonts w:asciiTheme="minorHAnsi" w:eastAsiaTheme="minorEastAsia" w:hAnsiTheme="minorHAnsi" w:hint="eastAsia"/>
        </w:rPr>
        <w:t>に規定する</w:t>
      </w:r>
      <w:r w:rsidRPr="00BC31E0">
        <w:rPr>
          <w:rFonts w:asciiTheme="minorEastAsia" w:eastAsiaTheme="minorEastAsia" w:hAnsiTheme="minorEastAsia" w:hint="eastAsia"/>
        </w:rPr>
        <w:t>公称厚さ</w:t>
      </w:r>
      <w:r w:rsidRPr="00BC31E0">
        <w:rPr>
          <w:rFonts w:asciiTheme="minorHAnsi" w:eastAsiaTheme="minorEastAsia" w:hAnsiTheme="minorHAnsi" w:hint="eastAsia"/>
        </w:rPr>
        <w:t>が</w:t>
      </w:r>
      <w:r w:rsidRPr="00BC31E0">
        <w:rPr>
          <w:rFonts w:ascii="Cambria Math" w:eastAsiaTheme="minorEastAsia" w:hAnsi="Cambria Math"/>
        </w:rPr>
        <w:t>25 mm</w:t>
      </w:r>
      <w:r w:rsidRPr="00BC31E0">
        <w:rPr>
          <w:rFonts w:asciiTheme="minorHAnsi" w:eastAsiaTheme="minorEastAsia" w:hAnsiTheme="minorHAnsi" w:hint="eastAsia"/>
        </w:rPr>
        <w:t>以下の場合の保持時間である。公称厚さが</w:t>
      </w:r>
      <w:r w:rsidRPr="00BC31E0">
        <w:rPr>
          <w:rFonts w:ascii="Cambria Math" w:eastAsiaTheme="minorEastAsia" w:hAnsi="Cambria Math"/>
        </w:rPr>
        <w:t>25 mm</w:t>
      </w:r>
      <w:r w:rsidRPr="00BC31E0">
        <w:rPr>
          <w:rFonts w:asciiTheme="minorHAnsi" w:eastAsiaTheme="minorEastAsia" w:hAnsiTheme="minorHAnsi" w:hint="eastAsia"/>
        </w:rPr>
        <w:t>を超える場合には，</w:t>
      </w:r>
      <m:oMath>
        <m:f>
          <m:fPr>
            <m:type m:val="lin"/>
            <m:ctrlPr>
              <w:rPr>
                <w:rFonts w:ascii="Cambria Math" w:eastAsiaTheme="minorEastAsia" w:hAnsi="Cambria Math"/>
                <w:i/>
              </w:rPr>
            </m:ctrlPr>
          </m:fPr>
          <m:num>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n</m:t>
                    </m:r>
                  </m:sub>
                </m:sSub>
                <m:r>
                  <w:rPr>
                    <w:rFonts w:ascii="Cambria Math" w:eastAsiaTheme="minorEastAsia" w:hAnsi="Cambria Math"/>
                  </w:rPr>
                  <m:t>-25</m:t>
                </m:r>
              </m:e>
            </m:d>
          </m:num>
          <m:den>
            <m:r>
              <w:rPr>
                <w:rFonts w:ascii="Cambria Math" w:eastAsiaTheme="minorEastAsia" w:hAnsi="Cambria Math"/>
              </w:rPr>
              <m:t xml:space="preserve">100 </m:t>
            </m:r>
            <m:r>
              <m:rPr>
                <m:sty m:val="p"/>
              </m:rPr>
              <w:rPr>
                <w:rFonts w:ascii="Cambria Math" w:eastAsiaTheme="minorEastAsia" w:hAnsi="Cambria Math"/>
              </w:rPr>
              <m:t>h</m:t>
            </m:r>
          </m:den>
        </m:f>
        <m:r>
          <w:rPr>
            <w:rFonts w:ascii="Cambria Math" w:eastAsiaTheme="minorEastAsia" w:hAnsi="Cambria Math" w:hint="eastAsia"/>
          </w:rPr>
          <m:t xml:space="preserve"> </m:t>
        </m:r>
      </m:oMath>
      <w:r w:rsidRPr="00BC31E0">
        <w:rPr>
          <w:rFonts w:asciiTheme="minorHAnsi" w:eastAsiaTheme="minorEastAsia" w:hAnsiTheme="minorHAnsi" w:hint="eastAsia"/>
        </w:rPr>
        <w:t>を加算する。ここで，</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n</m:t>
            </m:r>
          </m:sub>
        </m:sSub>
        <m:r>
          <w:rPr>
            <w:rFonts w:ascii="Cambria Math" w:eastAsiaTheme="minorEastAsia" w:hAnsi="Cambria Math"/>
          </w:rPr>
          <m:t xml:space="preserve"> </m:t>
        </m:r>
      </m:oMath>
      <w:r w:rsidRPr="00BC31E0">
        <w:rPr>
          <w:rFonts w:asciiTheme="minorHAnsi" w:eastAsiaTheme="minorEastAsia" w:hAnsiTheme="minorHAnsi" w:hint="eastAsia"/>
        </w:rPr>
        <w:t>は公称厚さである。</w:t>
      </w:r>
    </w:p>
    <w:p w14:paraId="35DCAA5C" w14:textId="77777777" w:rsidR="00644B5F" w:rsidRPr="00BC31E0" w:rsidRDefault="00BD582B" w:rsidP="00BD582B">
      <w:pPr>
        <w:rPr>
          <w:rFonts w:asciiTheme="minorHAnsi" w:eastAsiaTheme="minorEastAsia" w:hAnsiTheme="minorHAnsi"/>
        </w:rPr>
      </w:pPr>
      <w:r w:rsidRPr="00BC31E0">
        <w:rPr>
          <w:rFonts w:asciiTheme="majorEastAsia" w:eastAsiaTheme="majorEastAsia" w:hAnsiTheme="majorEastAsia" w:hint="eastAsia"/>
          <w:b/>
        </w:rPr>
        <w:t>注</w:t>
      </w:r>
      <w:r w:rsidRPr="00BC31E0">
        <w:rPr>
          <w:rFonts w:asciiTheme="majorEastAsia" w:eastAsiaTheme="majorEastAsia" w:hAnsiTheme="majorEastAsia" w:hint="eastAsia"/>
          <w:b/>
          <w:vertAlign w:val="superscript"/>
        </w:rPr>
        <w:t>b)</w:t>
      </w:r>
      <w:r w:rsidR="00644B5F" w:rsidRPr="00BC31E0">
        <w:rPr>
          <w:rFonts w:asciiTheme="minorEastAsia" w:eastAsiaTheme="minorEastAsia" w:hAnsiTheme="minorEastAsia" w:hint="eastAsia"/>
        </w:rPr>
        <w:t xml:space="preserve">　</w:t>
      </w:r>
      <w:r w:rsidR="00644B5F" w:rsidRPr="00BC31E0">
        <w:rPr>
          <w:rFonts w:asciiTheme="minorHAnsi" w:eastAsiaTheme="minorEastAsia" w:hAnsiTheme="minorHAnsi" w:hint="eastAsia"/>
        </w:rPr>
        <w:t>これらの低減温度は，</w:t>
      </w:r>
      <w:r w:rsidR="00644B5F" w:rsidRPr="00BC31E0">
        <w:rPr>
          <w:rFonts w:asciiTheme="minorHAnsi" w:eastAsiaTheme="minorEastAsia" w:hAnsiTheme="minorHAnsi" w:hint="eastAsia"/>
        </w:rPr>
        <w:t>P</w:t>
      </w:r>
      <w:r w:rsidR="00644B5F" w:rsidRPr="00BC31E0">
        <w:rPr>
          <w:rFonts w:asciiTheme="minorHAnsi" w:eastAsiaTheme="minorEastAsia" w:hAnsiTheme="minorHAnsi" w:hint="eastAsia"/>
        </w:rPr>
        <w:t>番号</w:t>
      </w:r>
      <w:r w:rsidR="00644B5F" w:rsidRPr="00BC31E0">
        <w:rPr>
          <w:rFonts w:asciiTheme="minorHAnsi" w:eastAsiaTheme="minorEastAsia" w:hAnsiTheme="minorHAnsi" w:hint="eastAsia"/>
        </w:rPr>
        <w:t>1</w:t>
      </w:r>
      <w:r w:rsidR="00644B5F" w:rsidRPr="00BC31E0">
        <w:rPr>
          <w:rFonts w:asciiTheme="minorHAnsi" w:eastAsiaTheme="minorEastAsia" w:hAnsiTheme="minorHAnsi" w:hint="eastAsia"/>
        </w:rPr>
        <w:t>グループ番号</w:t>
      </w:r>
      <w:r w:rsidR="00644B5F" w:rsidRPr="00BC31E0">
        <w:rPr>
          <w:rFonts w:asciiTheme="minorHAnsi" w:eastAsiaTheme="minorEastAsia" w:hAnsiTheme="minorHAnsi" w:hint="eastAsia"/>
        </w:rPr>
        <w:t>1</w:t>
      </w:r>
      <w:r w:rsidR="00644B5F" w:rsidRPr="00BC31E0">
        <w:rPr>
          <w:rFonts w:asciiTheme="minorHAnsi" w:eastAsiaTheme="minorEastAsia" w:hAnsiTheme="minorHAnsi" w:hint="eastAsia"/>
        </w:rPr>
        <w:t>及び</w:t>
      </w:r>
      <w:r w:rsidR="00644B5F" w:rsidRPr="00BC31E0">
        <w:rPr>
          <w:rFonts w:asciiTheme="minorHAnsi" w:eastAsiaTheme="minorEastAsia" w:hAnsiTheme="minorHAnsi" w:hint="eastAsia"/>
        </w:rPr>
        <w:t>2</w:t>
      </w:r>
      <w:r w:rsidR="00644B5F" w:rsidRPr="00BC31E0">
        <w:rPr>
          <w:rFonts w:asciiTheme="minorHAnsi" w:eastAsiaTheme="minorEastAsia" w:hAnsiTheme="minorHAnsi" w:hint="eastAsia"/>
        </w:rPr>
        <w:t>の材料にのみ適用</w:t>
      </w:r>
      <w:r w:rsidR="007355E3" w:rsidRPr="00BC31E0">
        <w:rPr>
          <w:rFonts w:asciiTheme="minorHAnsi" w:eastAsiaTheme="minorEastAsia" w:hAnsiTheme="minorHAnsi" w:hint="eastAsia"/>
        </w:rPr>
        <w:t>す</w:t>
      </w:r>
      <w:r w:rsidR="00644B5F" w:rsidRPr="00BC31E0">
        <w:rPr>
          <w:rFonts w:asciiTheme="minorHAnsi" w:eastAsiaTheme="minorEastAsia" w:hAnsiTheme="minorHAnsi" w:hint="eastAsia"/>
        </w:rPr>
        <w:t>る。</w:t>
      </w:r>
    </w:p>
    <w:p w14:paraId="6D805287" w14:textId="77777777" w:rsidR="008F0450" w:rsidRPr="00BC31E0" w:rsidRDefault="008F0450" w:rsidP="009A5191"/>
    <w:p w14:paraId="6EEAED57" w14:textId="77777777" w:rsidR="002858C8" w:rsidRPr="00BC31E0" w:rsidRDefault="00CD54F8" w:rsidP="009A5191">
      <w:pPr>
        <w:pStyle w:val="1f0"/>
        <w:jc w:val="left"/>
      </w:pPr>
      <w:r w:rsidRPr="00BC31E0">
        <w:rPr>
          <w:rFonts w:hAnsi="ＭＳ ゴシック" w:cs="ＭＳ ゴシック"/>
          <w:sz w:val="28"/>
          <w:szCs w:val="28"/>
        </w:rPr>
        <w:br w:type="page"/>
      </w:r>
    </w:p>
    <w:p w14:paraId="45A01CD0" w14:textId="77777777" w:rsidR="00852C3F" w:rsidRPr="00BC31E0" w:rsidRDefault="00852C3F" w:rsidP="009C00F0">
      <w:pPr>
        <w:pStyle w:val="20"/>
        <w:tabs>
          <w:tab w:val="clear" w:pos="284"/>
        </w:tabs>
        <w:ind w:left="567" w:hanging="567"/>
      </w:pPr>
      <w:bookmarkStart w:id="75" w:name="_Toc357672105"/>
      <w:bookmarkStart w:id="76" w:name="_Toc120092539"/>
      <w:r w:rsidRPr="00BC31E0">
        <w:rPr>
          <w:rFonts w:hint="eastAsia"/>
        </w:rPr>
        <w:lastRenderedPageBreak/>
        <w:t>自緊容器に対する製作上の追加規定</w:t>
      </w:r>
      <w:bookmarkEnd w:id="75"/>
      <w:bookmarkEnd w:id="76"/>
    </w:p>
    <w:p w14:paraId="2A7E3B4B" w14:textId="77777777" w:rsidR="00852C3F" w:rsidRPr="00BC31E0" w:rsidRDefault="00852C3F" w:rsidP="009C00F0">
      <w:pPr>
        <w:pStyle w:val="3"/>
        <w:tabs>
          <w:tab w:val="clear" w:pos="284"/>
        </w:tabs>
        <w:ind w:left="794" w:hanging="794"/>
      </w:pPr>
      <w:r w:rsidRPr="00BC31E0">
        <w:rPr>
          <w:rFonts w:hint="eastAsia"/>
        </w:rPr>
        <w:t>適用範囲</w:t>
      </w:r>
    </w:p>
    <w:p w14:paraId="47B57D05" w14:textId="77777777" w:rsidR="00852C3F" w:rsidRPr="00BC31E0" w:rsidRDefault="00852C3F" w:rsidP="00BF6EB8">
      <w:pPr>
        <w:pStyle w:val="1110"/>
        <w:ind w:firstLine="210"/>
      </w:pPr>
      <w:r w:rsidRPr="00BC31E0">
        <w:rPr>
          <w:rFonts w:hint="eastAsia"/>
        </w:rPr>
        <w:t>この規格は自緊式容器の製作に適用し，</w:t>
      </w:r>
      <w:r w:rsidRPr="00BC31E0">
        <w:rPr>
          <w:rFonts w:ascii="ＭＳ ゴシック" w:eastAsia="ＭＳ ゴシック" w:hAnsi="ＭＳ ゴシック"/>
          <w:b/>
        </w:rPr>
        <w:t>7.1</w:t>
      </w:r>
      <w:r w:rsidRPr="00BC31E0">
        <w:rPr>
          <w:rFonts w:hint="eastAsia"/>
        </w:rPr>
        <w:t>と共に用いる。</w:t>
      </w:r>
    </w:p>
    <w:p w14:paraId="1889FB51" w14:textId="77777777" w:rsidR="00852C3F" w:rsidRPr="00BC31E0" w:rsidRDefault="00852C3F" w:rsidP="009C00F0">
      <w:pPr>
        <w:pStyle w:val="3"/>
        <w:tabs>
          <w:tab w:val="clear" w:pos="284"/>
        </w:tabs>
        <w:ind w:left="794" w:hanging="794"/>
      </w:pPr>
      <w:r w:rsidRPr="00BC31E0">
        <w:rPr>
          <w:rFonts w:hint="eastAsia"/>
        </w:rPr>
        <w:t>検査と補修</w:t>
      </w:r>
    </w:p>
    <w:p w14:paraId="007B0562" w14:textId="77777777" w:rsidR="00852C3F" w:rsidRPr="00BC31E0" w:rsidRDefault="00852C3F" w:rsidP="00BF6EB8">
      <w:pPr>
        <w:pStyle w:val="1110"/>
        <w:ind w:firstLine="210"/>
      </w:pPr>
      <w:r w:rsidRPr="00BC31E0">
        <w:rPr>
          <w:rFonts w:hint="eastAsia"/>
        </w:rPr>
        <w:t>検査と補修は，次の</w:t>
      </w:r>
      <w:r w:rsidRPr="00BC31E0">
        <w:rPr>
          <w:rFonts w:ascii="ＭＳ ゴシック" w:hAnsi="ＭＳ ゴシック" w:hint="eastAsia"/>
          <w:b/>
        </w:rPr>
        <w:t>a)</w:t>
      </w:r>
      <w:r w:rsidRPr="00BC31E0">
        <w:rPr>
          <w:rFonts w:hint="eastAsia"/>
        </w:rPr>
        <w:t>～</w:t>
      </w:r>
      <w:r w:rsidRPr="00BC31E0">
        <w:rPr>
          <w:rFonts w:ascii="ＭＳ ゴシック" w:hAnsi="ＭＳ ゴシック" w:hint="eastAsia"/>
          <w:b/>
        </w:rPr>
        <w:t>c)</w:t>
      </w:r>
      <w:r w:rsidRPr="00BC31E0">
        <w:rPr>
          <w:rFonts w:hint="eastAsia"/>
        </w:rPr>
        <w:t>による。</w:t>
      </w:r>
    </w:p>
    <w:p w14:paraId="0A8A2180" w14:textId="77777777" w:rsidR="009C00F0" w:rsidRPr="00BC31E0" w:rsidRDefault="00852C3F" w:rsidP="00736130">
      <w:pPr>
        <w:pStyle w:val="a4"/>
        <w:numPr>
          <w:ilvl w:val="0"/>
          <w:numId w:val="505"/>
        </w:numPr>
        <w:ind w:leftChars="0" w:left="454" w:hanging="454"/>
      </w:pPr>
      <w:r w:rsidRPr="00BC31E0">
        <w:rPr>
          <w:rFonts w:hint="eastAsia"/>
        </w:rPr>
        <w:t>母材は，</w:t>
      </w:r>
      <w:r w:rsidRPr="00BC31E0">
        <w:rPr>
          <w:rFonts w:asciiTheme="majorEastAsia" w:eastAsiaTheme="majorEastAsia" w:hAnsiTheme="majorEastAsia"/>
          <w:b/>
          <w:bCs/>
        </w:rPr>
        <w:t>9.2.4</w:t>
      </w:r>
      <w:r w:rsidRPr="00BC31E0">
        <w:rPr>
          <w:rFonts w:asciiTheme="majorEastAsia" w:eastAsiaTheme="majorEastAsia" w:hAnsiTheme="majorEastAsia" w:hint="eastAsia"/>
          <w:b/>
          <w:bCs/>
        </w:rPr>
        <w:t xml:space="preserve"> b)</w:t>
      </w:r>
      <w:r w:rsidRPr="00BC31E0">
        <w:rPr>
          <w:rFonts w:hint="eastAsia"/>
        </w:rPr>
        <w:t>に従って超音波探傷試験を受ける。</w:t>
      </w:r>
    </w:p>
    <w:p w14:paraId="7033D502" w14:textId="77777777" w:rsidR="009C00F0" w:rsidRPr="00BC31E0" w:rsidRDefault="00852C3F" w:rsidP="00736130">
      <w:pPr>
        <w:pStyle w:val="a4"/>
        <w:numPr>
          <w:ilvl w:val="0"/>
          <w:numId w:val="505"/>
        </w:numPr>
        <w:ind w:leftChars="0" w:left="454" w:hanging="454"/>
      </w:pPr>
      <w:r w:rsidRPr="00BC31E0">
        <w:rPr>
          <w:rFonts w:hint="eastAsia"/>
        </w:rPr>
        <w:t>溶接補修に当たっては，製作者設計報告書を認証する者の同意を得る。</w:t>
      </w:r>
    </w:p>
    <w:p w14:paraId="0F7FAB33" w14:textId="77777777" w:rsidR="00852C3F" w:rsidRPr="00BC31E0" w:rsidRDefault="00DC160D" w:rsidP="00736130">
      <w:pPr>
        <w:pStyle w:val="a4"/>
        <w:numPr>
          <w:ilvl w:val="0"/>
          <w:numId w:val="505"/>
        </w:numPr>
        <w:ind w:leftChars="0" w:left="454" w:hanging="454"/>
      </w:pPr>
      <w:r w:rsidRPr="00BC31E0">
        <w:rPr>
          <w:rFonts w:hint="eastAsia"/>
        </w:rPr>
        <w:t>全</w:t>
      </w:r>
      <w:r w:rsidR="00852C3F" w:rsidRPr="00BC31E0">
        <w:rPr>
          <w:rFonts w:hint="eastAsia"/>
        </w:rPr>
        <w:t>ての補修は材料メーカ又は製作者によって</w:t>
      </w:r>
      <w:r w:rsidR="00852C3F" w:rsidRPr="00BC31E0">
        <w:rPr>
          <w:rFonts w:asciiTheme="majorEastAsia" w:eastAsiaTheme="majorEastAsia" w:hAnsiTheme="majorEastAsia"/>
          <w:b/>
          <w:bCs/>
        </w:rPr>
        <w:t>9.2</w:t>
      </w:r>
      <w:r w:rsidR="00852C3F" w:rsidRPr="00BC31E0">
        <w:rPr>
          <w:rFonts w:hint="eastAsia"/>
        </w:rPr>
        <w:t>に従って行い，</w:t>
      </w:r>
      <w:r w:rsidR="00852C3F" w:rsidRPr="00BC31E0">
        <w:rPr>
          <w:rFonts w:asciiTheme="majorEastAsia" w:eastAsiaTheme="majorEastAsia" w:hAnsiTheme="majorEastAsia" w:hint="eastAsia"/>
          <w:b/>
          <w:bCs/>
        </w:rPr>
        <w:t>9.2.3 d)</w:t>
      </w:r>
      <w:r w:rsidR="00852C3F" w:rsidRPr="00BC31E0">
        <w:rPr>
          <w:rFonts w:hint="eastAsia"/>
        </w:rPr>
        <w:t>に従って材料証明書に記録する。</w:t>
      </w:r>
    </w:p>
    <w:p w14:paraId="2FD769F8" w14:textId="77777777" w:rsidR="00852C3F" w:rsidRPr="00BC31E0" w:rsidRDefault="00852C3F" w:rsidP="004918A5">
      <w:pPr>
        <w:pStyle w:val="3"/>
        <w:tabs>
          <w:tab w:val="clear" w:pos="284"/>
        </w:tabs>
        <w:ind w:left="794" w:hanging="794"/>
      </w:pPr>
      <w:r w:rsidRPr="00BC31E0">
        <w:rPr>
          <w:rFonts w:hint="eastAsia"/>
        </w:rPr>
        <w:t>自緊の実施方法</w:t>
      </w:r>
    </w:p>
    <w:p w14:paraId="76090989" w14:textId="77777777" w:rsidR="00852C3F" w:rsidRPr="00BC31E0" w:rsidRDefault="00852C3F" w:rsidP="00BF6EB8">
      <w:pPr>
        <w:pStyle w:val="1110"/>
        <w:ind w:firstLine="210"/>
      </w:pPr>
      <w:r w:rsidRPr="00BC31E0">
        <w:rPr>
          <w:rFonts w:hint="eastAsia"/>
        </w:rPr>
        <w:t>製作者は詳細な手順書を用意する。手順書には最低限，次の事項を含む。</w:t>
      </w:r>
    </w:p>
    <w:p w14:paraId="53BFC0AF" w14:textId="77777777" w:rsidR="00852C3F" w:rsidRPr="00BC31E0" w:rsidRDefault="00852C3F" w:rsidP="00BF6EB8">
      <w:pPr>
        <w:ind w:leftChars="100" w:left="210" w:firstLineChars="100" w:firstLine="210"/>
      </w:pPr>
      <w:r w:rsidRPr="00BC31E0">
        <w:rPr>
          <w:rFonts w:hint="eastAsia"/>
        </w:rPr>
        <w:t>・自緊の実施方法</w:t>
      </w:r>
    </w:p>
    <w:p w14:paraId="7E4FD369" w14:textId="77777777" w:rsidR="00852C3F" w:rsidRPr="00BC31E0" w:rsidRDefault="00852C3F" w:rsidP="00BF6EB8">
      <w:pPr>
        <w:ind w:leftChars="100" w:left="210" w:firstLineChars="100" w:firstLine="210"/>
      </w:pPr>
      <w:r w:rsidRPr="00BC31E0">
        <w:rPr>
          <w:rFonts w:hint="eastAsia"/>
        </w:rPr>
        <w:t>・自緊範囲の制御方法</w:t>
      </w:r>
      <w:r w:rsidRPr="00BC31E0">
        <w:t xml:space="preserve"> </w:t>
      </w:r>
    </w:p>
    <w:p w14:paraId="576E5B2E" w14:textId="77777777" w:rsidR="00852C3F" w:rsidRPr="00BC31E0" w:rsidRDefault="00852C3F" w:rsidP="00BF6EB8">
      <w:pPr>
        <w:ind w:leftChars="100" w:left="210" w:firstLineChars="100" w:firstLine="210"/>
      </w:pPr>
      <w:r w:rsidRPr="00BC31E0">
        <w:rPr>
          <w:rFonts w:hint="eastAsia"/>
        </w:rPr>
        <w:t>・自緊中の時間，温度及び圧力の記録方法</w:t>
      </w:r>
    </w:p>
    <w:p w14:paraId="3FACCD40" w14:textId="77777777" w:rsidR="00852C3F" w:rsidRPr="00BC31E0" w:rsidRDefault="00852C3F" w:rsidP="00BF6EB8">
      <w:pPr>
        <w:ind w:leftChars="100" w:left="210" w:firstLineChars="100" w:firstLine="210"/>
      </w:pPr>
      <w:r w:rsidRPr="00BC31E0">
        <w:rPr>
          <w:rFonts w:hint="eastAsia"/>
        </w:rPr>
        <w:t>・自緊の到達範囲の測定方法及び許容範囲内であることの確認方法</w:t>
      </w:r>
      <w:r w:rsidRPr="00BC31E0">
        <w:rPr>
          <w:rFonts w:hint="eastAsia"/>
        </w:rPr>
        <w:t>(</w:t>
      </w:r>
      <w:r w:rsidRPr="00BC31E0">
        <w:rPr>
          <w:rFonts w:ascii="ＭＳ ゴシック" w:eastAsia="ＭＳ ゴシック" w:hAnsi="ＭＳ ゴシック"/>
          <w:b/>
        </w:rPr>
        <w:t>6.5</w:t>
      </w:r>
      <w:r w:rsidRPr="00BC31E0">
        <w:rPr>
          <w:rFonts w:ascii="ＭＳ 明朝" w:hAnsi="ＭＳ 明朝" w:hint="eastAsia"/>
        </w:rPr>
        <w:t>を</w:t>
      </w:r>
      <w:r w:rsidRPr="00BC31E0">
        <w:rPr>
          <w:rFonts w:hint="eastAsia"/>
        </w:rPr>
        <w:t>参照</w:t>
      </w:r>
      <w:r w:rsidRPr="00BC31E0">
        <w:rPr>
          <w:rFonts w:hint="eastAsia"/>
        </w:rPr>
        <w:t>)</w:t>
      </w:r>
    </w:p>
    <w:p w14:paraId="634AEC69" w14:textId="77777777" w:rsidR="00852C3F" w:rsidRPr="00BC31E0" w:rsidRDefault="00852C3F" w:rsidP="00BF6EB8">
      <w:pPr>
        <w:ind w:leftChars="100" w:left="210" w:firstLineChars="100" w:firstLine="210"/>
      </w:pPr>
      <w:r w:rsidRPr="00BC31E0">
        <w:rPr>
          <w:rFonts w:hint="eastAsia"/>
        </w:rPr>
        <w:t>・自緊後の機械加工の記録</w:t>
      </w:r>
    </w:p>
    <w:p w14:paraId="4C5C6205" w14:textId="77777777" w:rsidR="00852C3F" w:rsidRPr="00BC31E0" w:rsidRDefault="00852C3F" w:rsidP="00BF6EB8">
      <w:pPr>
        <w:autoSpaceDE w:val="0"/>
        <w:autoSpaceDN w:val="0"/>
        <w:ind w:left="843" w:hangingChars="400" w:hanging="843"/>
        <w:rPr>
          <w:rFonts w:ascii="ＭＳ 明朝"/>
          <w:kern w:val="0"/>
          <w:sz w:val="20"/>
        </w:rPr>
      </w:pPr>
      <w:r w:rsidRPr="00BC31E0">
        <w:rPr>
          <w:b/>
          <w:bCs/>
          <w:kern w:val="0"/>
        </w:rPr>
        <w:t xml:space="preserve">  </w:t>
      </w:r>
      <w:r w:rsidRPr="00BC31E0">
        <w:rPr>
          <w:rFonts w:ascii="ＭＳ ゴシック" w:eastAsia="ＭＳ ゴシック" w:hAnsi="ＭＳ ゴシック" w:hint="eastAsia"/>
          <w:b/>
          <w:bCs/>
          <w:kern w:val="0"/>
        </w:rPr>
        <w:t>注記</w:t>
      </w:r>
      <w:r w:rsidRPr="00BC31E0">
        <w:rPr>
          <w:rFonts w:ascii="ＭＳ 明朝" w:hAnsi="Times New Roman" w:hint="eastAsia"/>
          <w:kern w:val="0"/>
        </w:rPr>
        <w:t xml:space="preserve">　加圧回数の記録：設計圧力の</w:t>
      </w:r>
      <w:r w:rsidRPr="00BC31E0">
        <w:rPr>
          <w:rFonts w:asciiTheme="minorHAnsi" w:eastAsia="ＭＳ ゴシック" w:hAnsiTheme="minorHAnsi"/>
          <w:kern w:val="0"/>
        </w:rPr>
        <w:t>1.25</w:t>
      </w:r>
      <w:r w:rsidRPr="00BC31E0">
        <w:rPr>
          <w:rFonts w:ascii="ＭＳ 明朝" w:hAnsi="Times New Roman" w:hint="eastAsia"/>
          <w:kern w:val="0"/>
        </w:rPr>
        <w:t>倍を超える自緊前の複数回の負荷・除荷が</w:t>
      </w:r>
      <w:r w:rsidR="00BF6EB8" w:rsidRPr="00BC31E0">
        <w:rPr>
          <w:rFonts w:ascii="ＭＳ 明朝" w:hAnsi="Times New Roman" w:hint="eastAsia"/>
          <w:kern w:val="0"/>
        </w:rPr>
        <w:t>亀</w:t>
      </w:r>
      <w:r w:rsidRPr="00BC31E0">
        <w:rPr>
          <w:rFonts w:ascii="ＭＳ 明朝" w:hAnsi="Times New Roman" w:hint="eastAsia"/>
          <w:kern w:val="0"/>
        </w:rPr>
        <w:t>裂発生及び最終疲労寿命に及ぼす影響について考慮する。製作者はそのような行為について文書を作成し，製作者設計報告書を認証する者に提出し承認を得る。</w:t>
      </w:r>
    </w:p>
    <w:p w14:paraId="0F29268C" w14:textId="77777777" w:rsidR="00852C3F" w:rsidRPr="00BC31E0" w:rsidRDefault="00852C3F" w:rsidP="004918A5">
      <w:pPr>
        <w:pStyle w:val="3"/>
        <w:tabs>
          <w:tab w:val="clear" w:pos="284"/>
        </w:tabs>
        <w:ind w:left="794" w:hanging="794"/>
      </w:pPr>
      <w:r w:rsidRPr="00BC31E0">
        <w:rPr>
          <w:rFonts w:hint="eastAsia"/>
        </w:rPr>
        <w:t>自緊後の検査</w:t>
      </w:r>
    </w:p>
    <w:p w14:paraId="38B87C56" w14:textId="77777777" w:rsidR="00852C3F" w:rsidRPr="00BC31E0" w:rsidRDefault="00852C3F" w:rsidP="00BF6EB8">
      <w:pPr>
        <w:pStyle w:val="1110"/>
        <w:ind w:firstLine="210"/>
      </w:pPr>
      <w:r w:rsidRPr="00BC31E0">
        <w:rPr>
          <w:rFonts w:hint="eastAsia"/>
        </w:rPr>
        <w:t>自緊によって塑性変形を受ける箇所のうち，</w:t>
      </w:r>
      <w:r w:rsidRPr="00BC31E0">
        <w:rPr>
          <w:rFonts w:ascii="ＭＳ ゴシック" w:eastAsia="ＭＳ ゴシック" w:hAnsi="ＭＳ ゴシック"/>
          <w:b/>
        </w:rPr>
        <w:t>9.4</w:t>
      </w:r>
      <w:r w:rsidRPr="00BC31E0">
        <w:rPr>
          <w:rFonts w:hint="eastAsia"/>
        </w:rPr>
        <w:t>による最終表面試験の際</w:t>
      </w:r>
      <w:r w:rsidR="006F4D99" w:rsidRPr="00BC31E0">
        <w:rPr>
          <w:rFonts w:hint="eastAsia"/>
        </w:rPr>
        <w:t>に</w:t>
      </w:r>
      <w:r w:rsidRPr="00BC31E0">
        <w:rPr>
          <w:rFonts w:hint="eastAsia"/>
        </w:rPr>
        <w:t>接近できない表面については，</w:t>
      </w:r>
      <w:r w:rsidRPr="00BC31E0">
        <w:rPr>
          <w:rFonts w:ascii="ＭＳ ゴシック" w:eastAsia="ＭＳ ゴシック" w:hAnsi="ＭＳ ゴシック" w:hint="eastAsia"/>
          <w:b/>
        </w:rPr>
        <w:t>9.2.5</w:t>
      </w:r>
      <w:r w:rsidRPr="00BC31E0">
        <w:rPr>
          <w:rFonts w:hint="eastAsia"/>
        </w:rPr>
        <w:t>に示す方法のうち</w:t>
      </w:r>
      <w:r w:rsidR="006F4D99" w:rsidRPr="00BC31E0">
        <w:rPr>
          <w:rFonts w:hint="eastAsia"/>
        </w:rPr>
        <w:t>，</w:t>
      </w:r>
      <w:r w:rsidRPr="00BC31E0">
        <w:rPr>
          <w:rFonts w:hint="eastAsia"/>
        </w:rPr>
        <w:t>適切な</w:t>
      </w:r>
      <w:r w:rsidR="006F4D99" w:rsidRPr="00BC31E0">
        <w:rPr>
          <w:rFonts w:hint="eastAsia"/>
        </w:rPr>
        <w:t>方法で</w:t>
      </w:r>
      <w:r w:rsidRPr="00BC31E0">
        <w:rPr>
          <w:rFonts w:hint="eastAsia"/>
        </w:rPr>
        <w:t>検査する。</w:t>
      </w:r>
    </w:p>
    <w:p w14:paraId="1886C0EB" w14:textId="77777777" w:rsidR="00852C3F" w:rsidRPr="00BC31E0" w:rsidRDefault="00852C3F" w:rsidP="004918A5">
      <w:pPr>
        <w:pStyle w:val="3"/>
        <w:tabs>
          <w:tab w:val="clear" w:pos="284"/>
        </w:tabs>
        <w:ind w:left="794" w:hanging="794"/>
      </w:pPr>
      <w:r w:rsidRPr="00BC31E0">
        <w:rPr>
          <w:rFonts w:hint="eastAsia"/>
        </w:rPr>
        <w:t>自緊後の欠陥の補修</w:t>
      </w:r>
    </w:p>
    <w:p w14:paraId="04A3AA67" w14:textId="77777777" w:rsidR="00852C3F" w:rsidRPr="00BC31E0" w:rsidRDefault="00852C3F" w:rsidP="00BF6EB8">
      <w:pPr>
        <w:pStyle w:val="1110"/>
        <w:ind w:firstLine="210"/>
      </w:pPr>
      <w:r w:rsidRPr="00BC31E0">
        <w:rPr>
          <w:rFonts w:hint="eastAsia"/>
        </w:rPr>
        <w:t>自緊後の欠陥の補修は，次の</w:t>
      </w:r>
      <w:r w:rsidRPr="00BC31E0">
        <w:rPr>
          <w:rFonts w:ascii="ＭＳ ゴシック" w:hAnsi="ＭＳ ゴシック" w:hint="eastAsia"/>
          <w:b/>
        </w:rPr>
        <w:t>a)</w:t>
      </w:r>
      <w:r w:rsidRPr="00BC31E0">
        <w:rPr>
          <w:rFonts w:hint="eastAsia"/>
        </w:rPr>
        <w:t>，</w:t>
      </w:r>
      <w:r w:rsidRPr="00BC31E0">
        <w:rPr>
          <w:rFonts w:ascii="ＭＳ ゴシック" w:hAnsi="ＭＳ ゴシック" w:hint="eastAsia"/>
          <w:b/>
        </w:rPr>
        <w:t>b)</w:t>
      </w:r>
      <w:r w:rsidRPr="00BC31E0">
        <w:rPr>
          <w:rFonts w:hint="eastAsia"/>
        </w:rPr>
        <w:t>による。</w:t>
      </w:r>
    </w:p>
    <w:p w14:paraId="15CCD948" w14:textId="77777777" w:rsidR="004918A5" w:rsidRPr="00BC31E0" w:rsidRDefault="00852C3F" w:rsidP="00736130">
      <w:pPr>
        <w:pStyle w:val="a4"/>
        <w:numPr>
          <w:ilvl w:val="0"/>
          <w:numId w:val="506"/>
        </w:numPr>
        <w:ind w:leftChars="0" w:left="454" w:hanging="454"/>
      </w:pPr>
      <w:r w:rsidRPr="00BC31E0">
        <w:rPr>
          <w:rFonts w:hint="eastAsia"/>
        </w:rPr>
        <w:t>欠陥は製作者が除去し，</w:t>
      </w:r>
      <w:r w:rsidRPr="00BC31E0">
        <w:rPr>
          <w:rFonts w:asciiTheme="majorEastAsia" w:eastAsiaTheme="majorEastAsia" w:hAnsiTheme="majorEastAsia"/>
          <w:b/>
        </w:rPr>
        <w:t>7.5.2</w:t>
      </w:r>
      <w:r w:rsidRPr="00BC31E0">
        <w:rPr>
          <w:rFonts w:hint="eastAsia"/>
        </w:rPr>
        <w:t>に従って補修してもよい。</w:t>
      </w:r>
    </w:p>
    <w:p w14:paraId="6EB86AE8" w14:textId="77777777" w:rsidR="00852C3F" w:rsidRPr="00BC31E0" w:rsidRDefault="00852C3F" w:rsidP="00736130">
      <w:pPr>
        <w:pStyle w:val="a4"/>
        <w:numPr>
          <w:ilvl w:val="0"/>
          <w:numId w:val="506"/>
        </w:numPr>
        <w:ind w:leftChars="0" w:left="454" w:hanging="454"/>
      </w:pPr>
      <w:r w:rsidRPr="00BC31E0">
        <w:rPr>
          <w:rFonts w:hint="eastAsia"/>
          <w:kern w:val="0"/>
        </w:rPr>
        <w:t>溶接補修した場合には，補修部分に対して自緊による好ましい効果を</w:t>
      </w:r>
      <w:r w:rsidRPr="00BC31E0">
        <w:rPr>
          <w:rFonts w:asciiTheme="majorEastAsia" w:eastAsiaTheme="majorEastAsia" w:hAnsiTheme="majorEastAsia" w:hint="eastAsia"/>
          <w:b/>
          <w:kern w:val="0"/>
        </w:rPr>
        <w:t>6</w:t>
      </w:r>
      <w:r w:rsidRPr="00BC31E0">
        <w:rPr>
          <w:rFonts w:asciiTheme="majorEastAsia" w:eastAsiaTheme="majorEastAsia" w:hAnsiTheme="majorEastAsia"/>
          <w:b/>
          <w:kern w:val="0"/>
        </w:rPr>
        <w:t>.3</w:t>
      </w:r>
      <w:r w:rsidRPr="00BC31E0">
        <w:rPr>
          <w:rFonts w:hint="eastAsia"/>
          <w:kern w:val="0"/>
        </w:rPr>
        <w:t>及び</w:t>
      </w:r>
      <w:r w:rsidRPr="00BC31E0">
        <w:rPr>
          <w:rFonts w:asciiTheme="majorEastAsia" w:eastAsiaTheme="majorEastAsia" w:hAnsiTheme="majorEastAsia" w:hint="eastAsia"/>
          <w:b/>
          <w:kern w:val="0"/>
        </w:rPr>
        <w:t>6</w:t>
      </w:r>
      <w:r w:rsidRPr="00BC31E0">
        <w:rPr>
          <w:rFonts w:asciiTheme="majorEastAsia" w:eastAsiaTheme="majorEastAsia" w:hAnsiTheme="majorEastAsia"/>
          <w:b/>
          <w:kern w:val="0"/>
        </w:rPr>
        <w:t>.4</w:t>
      </w:r>
      <w:r w:rsidRPr="00BC31E0">
        <w:rPr>
          <w:rFonts w:hint="eastAsia"/>
          <w:kern w:val="0"/>
        </w:rPr>
        <w:t>において考慮してはならない。溶接補修は</w:t>
      </w:r>
      <w:r w:rsidRPr="00BC31E0">
        <w:rPr>
          <w:rFonts w:asciiTheme="majorEastAsia" w:eastAsiaTheme="majorEastAsia" w:hAnsiTheme="majorEastAsia"/>
          <w:b/>
          <w:kern w:val="0"/>
        </w:rPr>
        <w:t>9.2</w:t>
      </w:r>
      <w:r w:rsidRPr="00BC31E0">
        <w:rPr>
          <w:rFonts w:hint="eastAsia"/>
          <w:kern w:val="0"/>
        </w:rPr>
        <w:t>に従って行う。溶接後熱処理が必要な場合は，残留応力分布に及ぼす影響を製作者製作記録に文書化する。</w:t>
      </w:r>
    </w:p>
    <w:p w14:paraId="33EA389F" w14:textId="77777777" w:rsidR="00461768" w:rsidRPr="00BC31E0" w:rsidRDefault="00461768" w:rsidP="004918A5">
      <w:pPr>
        <w:pStyle w:val="20"/>
        <w:tabs>
          <w:tab w:val="clear" w:pos="284"/>
        </w:tabs>
        <w:ind w:left="567" w:hanging="567"/>
      </w:pPr>
      <w:bookmarkStart w:id="77" w:name="_Toc357672106"/>
      <w:bookmarkStart w:id="78" w:name="_Toc120092540"/>
      <w:r w:rsidRPr="00BC31E0">
        <w:rPr>
          <w:rFonts w:hint="eastAsia"/>
        </w:rPr>
        <w:t>焼入焼戻鋼に対する製作上の追加規定</w:t>
      </w:r>
      <w:bookmarkEnd w:id="77"/>
      <w:bookmarkEnd w:id="78"/>
    </w:p>
    <w:p w14:paraId="3B8B0CCB" w14:textId="77777777" w:rsidR="00461768" w:rsidRPr="00BC31E0" w:rsidRDefault="00461768" w:rsidP="004918A5">
      <w:pPr>
        <w:pStyle w:val="3"/>
        <w:tabs>
          <w:tab w:val="clear" w:pos="284"/>
        </w:tabs>
        <w:ind w:left="794" w:hanging="794"/>
      </w:pPr>
      <w:r w:rsidRPr="00BC31E0">
        <w:rPr>
          <w:rFonts w:hint="eastAsia"/>
        </w:rPr>
        <w:t>一般要求</w:t>
      </w:r>
    </w:p>
    <w:p w14:paraId="6076AA33" w14:textId="77777777" w:rsidR="00461768" w:rsidRPr="00BC31E0" w:rsidRDefault="00461768" w:rsidP="006945E6">
      <w:pPr>
        <w:pStyle w:val="1110"/>
        <w:ind w:firstLine="210"/>
      </w:pPr>
      <w:r w:rsidRPr="00BC31E0">
        <w:rPr>
          <w:rFonts w:hint="eastAsia"/>
        </w:rPr>
        <w:t>一般要求は，次の</w:t>
      </w:r>
      <w:r w:rsidRPr="00BC31E0">
        <w:rPr>
          <w:rFonts w:ascii="ＭＳ ゴシック" w:eastAsia="ＭＳ ゴシック" w:hAnsi="ＭＳ ゴシック" w:hint="eastAsia"/>
          <w:b/>
        </w:rPr>
        <w:t>a)</w:t>
      </w:r>
      <w:r w:rsidRPr="00BC31E0">
        <w:rPr>
          <w:rFonts w:hint="eastAsia"/>
        </w:rPr>
        <w:t>～</w:t>
      </w:r>
      <w:r w:rsidRPr="00BC31E0">
        <w:rPr>
          <w:rFonts w:ascii="ＭＳ ゴシック" w:eastAsia="ＭＳ ゴシック" w:hAnsi="ＭＳ ゴシック" w:hint="eastAsia"/>
          <w:b/>
        </w:rPr>
        <w:t>c</w:t>
      </w:r>
      <w:r w:rsidRPr="00BC31E0">
        <w:rPr>
          <w:rFonts w:asciiTheme="majorEastAsia" w:eastAsiaTheme="majorEastAsia" w:hAnsiTheme="majorEastAsia" w:hint="eastAsia"/>
          <w:b/>
        </w:rPr>
        <w:t>)</w:t>
      </w:r>
      <w:r w:rsidRPr="00BC31E0">
        <w:rPr>
          <w:rFonts w:ascii="ＭＳ ゴシック" w:hAnsi="ＭＳ ゴシック" w:hint="eastAsia"/>
        </w:rPr>
        <w:t>による。</w:t>
      </w:r>
    </w:p>
    <w:p w14:paraId="436C5A4B" w14:textId="77777777" w:rsidR="00C06063" w:rsidRPr="00BC31E0" w:rsidRDefault="00461768" w:rsidP="00736130">
      <w:pPr>
        <w:pStyle w:val="a4"/>
        <w:numPr>
          <w:ilvl w:val="0"/>
          <w:numId w:val="507"/>
        </w:numPr>
        <w:ind w:leftChars="0" w:left="454" w:hanging="454"/>
        <w:rPr>
          <w:rFonts w:hAnsi="ＭＳ 明朝"/>
        </w:rPr>
      </w:pPr>
      <w:r w:rsidRPr="00BC31E0">
        <w:rPr>
          <w:rFonts w:asciiTheme="majorEastAsia" w:eastAsiaTheme="majorEastAsia" w:hAnsiTheme="majorEastAsia" w:hint="eastAsia"/>
          <w:b/>
        </w:rPr>
        <w:t>適用範囲</w:t>
      </w:r>
      <w:r w:rsidRPr="00BC31E0">
        <w:rPr>
          <w:rFonts w:hint="eastAsia"/>
        </w:rPr>
        <w:t xml:space="preserve">　</w:t>
      </w:r>
      <w:r w:rsidRPr="00BC31E0">
        <w:rPr>
          <w:rFonts w:hAnsi="ＭＳ 明朝" w:hint="eastAsia"/>
        </w:rPr>
        <w:t>この規定は，焼入焼戻しによって強度を高めた，溶接容器に適した鋼に適用する。</w:t>
      </w:r>
      <w:r w:rsidRPr="00BC31E0">
        <w:rPr>
          <w:rFonts w:asciiTheme="majorEastAsia" w:eastAsiaTheme="majorEastAsia" w:hAnsiTheme="majorEastAsia"/>
          <w:b/>
        </w:rPr>
        <w:t>5.2.8</w:t>
      </w:r>
      <w:r w:rsidRPr="00BC31E0">
        <w:rPr>
          <w:rFonts w:hAnsi="ＭＳ 明朝" w:hint="eastAsia"/>
        </w:rPr>
        <w:t>の規定はこの材料にも適用する。</w:t>
      </w:r>
    </w:p>
    <w:p w14:paraId="2ED0BB13" w14:textId="77777777" w:rsidR="00461768" w:rsidRPr="00BC31E0" w:rsidRDefault="00461768" w:rsidP="00736130">
      <w:pPr>
        <w:pStyle w:val="a4"/>
        <w:numPr>
          <w:ilvl w:val="0"/>
          <w:numId w:val="507"/>
        </w:numPr>
        <w:ind w:leftChars="0" w:left="454" w:hanging="454"/>
        <w:rPr>
          <w:rFonts w:hAnsi="ＭＳ 明朝"/>
        </w:rPr>
      </w:pPr>
      <w:r w:rsidRPr="00BC31E0">
        <w:rPr>
          <w:rFonts w:asciiTheme="majorEastAsia" w:eastAsiaTheme="majorEastAsia" w:hAnsiTheme="majorEastAsia" w:hint="eastAsia"/>
          <w:b/>
          <w:kern w:val="0"/>
        </w:rPr>
        <w:t>成形後の熱処理</w:t>
      </w:r>
      <w:r w:rsidRPr="00BC31E0">
        <w:rPr>
          <w:rFonts w:hint="eastAsia"/>
          <w:kern w:val="0"/>
        </w:rPr>
        <w:t xml:space="preserve">　</w:t>
      </w:r>
      <w:r w:rsidRPr="00BC31E0">
        <w:rPr>
          <w:rFonts w:ascii="ＭＳ 明朝" w:hAnsi="ＭＳ 明朝" w:hint="eastAsia"/>
          <w:kern w:val="0"/>
        </w:rPr>
        <w:t>成形後の熱処理は，次の</w:t>
      </w:r>
      <w:r w:rsidRPr="00BC31E0">
        <w:rPr>
          <w:rFonts w:asciiTheme="majorEastAsia" w:eastAsiaTheme="majorEastAsia" w:hAnsiTheme="majorEastAsia" w:hint="eastAsia"/>
          <w:b/>
          <w:kern w:val="0"/>
        </w:rPr>
        <w:t>1)</w:t>
      </w:r>
      <w:r w:rsidRPr="00BC31E0">
        <w:rPr>
          <w:rFonts w:ascii="ＭＳ 明朝" w:hAnsi="ＭＳ 明朝" w:hint="eastAsia"/>
        </w:rPr>
        <w:t>，</w:t>
      </w:r>
      <w:r w:rsidRPr="00BC31E0">
        <w:rPr>
          <w:rFonts w:asciiTheme="majorEastAsia" w:eastAsiaTheme="majorEastAsia" w:hAnsiTheme="majorEastAsia" w:hint="eastAsia"/>
          <w:b/>
          <w:kern w:val="0"/>
        </w:rPr>
        <w:t>2)</w:t>
      </w:r>
      <w:r w:rsidRPr="00BC31E0">
        <w:rPr>
          <w:rFonts w:ascii="ＭＳ 明朝" w:hAnsi="ＭＳ 明朝" w:hint="eastAsia"/>
          <w:kern w:val="0"/>
        </w:rPr>
        <w:t>による。</w:t>
      </w:r>
    </w:p>
    <w:p w14:paraId="18A59ADA" w14:textId="77777777" w:rsidR="00461768" w:rsidRPr="00BC31E0" w:rsidRDefault="009208C0" w:rsidP="00736130">
      <w:pPr>
        <w:pStyle w:val="a4"/>
        <w:numPr>
          <w:ilvl w:val="0"/>
          <w:numId w:val="508"/>
        </w:numPr>
        <w:ind w:leftChars="0" w:left="738" w:hanging="454"/>
      </w:pPr>
      <w:r w:rsidRPr="00BC31E0">
        <w:rPr>
          <w:rFonts w:hint="eastAsia"/>
        </w:rPr>
        <w:t>焼入</w:t>
      </w:r>
      <w:r w:rsidR="00461768" w:rsidRPr="00BC31E0">
        <w:rPr>
          <w:rFonts w:hint="eastAsia"/>
        </w:rPr>
        <w:t>焼戻し後の成形が最終焼戻温度未満で行われた部品で，成形による最外縁の繊維伸びが</w:t>
      </w:r>
      <w:r w:rsidR="00461768" w:rsidRPr="00BC31E0">
        <w:t>5%</w:t>
      </w:r>
      <w:r w:rsidR="00461768" w:rsidRPr="00BC31E0">
        <w:rPr>
          <w:rFonts w:hint="eastAsia"/>
        </w:rPr>
        <w:t>を超える場合には，</w:t>
      </w:r>
      <w:r w:rsidR="00461768" w:rsidRPr="00BC31E0">
        <w:rPr>
          <w:rFonts w:asciiTheme="majorEastAsia" w:eastAsiaTheme="majorEastAsia" w:hAnsiTheme="majorEastAsia" w:hint="eastAsia"/>
          <w:b/>
        </w:rPr>
        <w:t>表</w:t>
      </w:r>
      <w:r w:rsidR="00461768" w:rsidRPr="00BC31E0">
        <w:rPr>
          <w:rFonts w:asciiTheme="majorEastAsia" w:eastAsiaTheme="majorEastAsia" w:hAnsiTheme="majorEastAsia"/>
          <w:b/>
        </w:rPr>
        <w:t>7.6.1</w:t>
      </w:r>
      <w:r w:rsidR="00461768" w:rsidRPr="00BC31E0">
        <w:rPr>
          <w:rFonts w:hint="eastAsia"/>
        </w:rPr>
        <w:t>に従って熱処理する。最外縁の繊維伸びは，次の</w:t>
      </w:r>
      <w:r w:rsidR="00461768" w:rsidRPr="00BC31E0">
        <w:rPr>
          <w:rFonts w:asciiTheme="majorEastAsia" w:eastAsiaTheme="majorEastAsia" w:hAnsiTheme="majorEastAsia" w:hint="eastAsia"/>
          <w:b/>
        </w:rPr>
        <w:t>式</w:t>
      </w:r>
      <w:r w:rsidR="00461768" w:rsidRPr="00BC31E0">
        <w:rPr>
          <w:rFonts w:asciiTheme="majorEastAsia" w:eastAsiaTheme="majorEastAsia" w:hAnsiTheme="majorEastAsia"/>
          <w:b/>
        </w:rPr>
        <w:t>(7.6.1)</w:t>
      </w:r>
      <w:r w:rsidR="00461768" w:rsidRPr="00BC31E0">
        <w:rPr>
          <w:rFonts w:hint="eastAsia"/>
        </w:rPr>
        <w:t>又は</w:t>
      </w:r>
      <w:r w:rsidR="00461768" w:rsidRPr="00BC31E0">
        <w:rPr>
          <w:rFonts w:asciiTheme="majorEastAsia" w:eastAsiaTheme="majorEastAsia" w:hAnsiTheme="majorEastAsia" w:hint="eastAsia"/>
          <w:b/>
        </w:rPr>
        <w:t>式</w:t>
      </w:r>
      <w:r w:rsidR="00461768" w:rsidRPr="00BC31E0">
        <w:rPr>
          <w:rFonts w:asciiTheme="majorEastAsia" w:eastAsiaTheme="majorEastAsia" w:hAnsiTheme="majorEastAsia"/>
          <w:b/>
        </w:rPr>
        <w:t>(7.6.2)</w:t>
      </w:r>
      <w:r w:rsidR="00461768" w:rsidRPr="00BC31E0">
        <w:rPr>
          <w:rFonts w:hint="eastAsia"/>
        </w:rPr>
        <w:t>によって計算する。</w:t>
      </w:r>
    </w:p>
    <w:p w14:paraId="24325398" w14:textId="77777777" w:rsidR="00461768" w:rsidRPr="00BC31E0" w:rsidRDefault="00461768" w:rsidP="00BF6EB8">
      <w:pPr>
        <w:autoSpaceDE w:val="0"/>
        <w:autoSpaceDN w:val="0"/>
        <w:spacing w:before="120"/>
        <w:ind w:left="737"/>
        <w:rPr>
          <w:rFonts w:asciiTheme="minorEastAsia" w:eastAsiaTheme="minorEastAsia" w:hAnsiTheme="minorEastAsia"/>
          <w:kern w:val="0"/>
        </w:rPr>
      </w:pPr>
      <w:r w:rsidRPr="00BC31E0">
        <w:rPr>
          <w:rFonts w:asciiTheme="minorEastAsia" w:eastAsiaTheme="minorEastAsia" w:hAnsiTheme="minorEastAsia" w:hint="eastAsia"/>
          <w:kern w:val="0"/>
        </w:rPr>
        <w:lastRenderedPageBreak/>
        <w:t>複曲面の場合</w:t>
      </w:r>
      <w:r w:rsidRPr="00BC31E0">
        <w:rPr>
          <w:rFonts w:asciiTheme="minorHAnsi" w:eastAsiaTheme="minorEastAsia" w:hAnsiTheme="minorHAnsi"/>
          <w:kern w:val="0"/>
        </w:rPr>
        <w:t>(</w:t>
      </w:r>
      <w:r w:rsidRPr="00BC31E0">
        <w:rPr>
          <w:rFonts w:asciiTheme="minorHAnsi" w:eastAsiaTheme="minorEastAsia" w:hAnsiTheme="minorEastAsia"/>
          <w:bCs/>
          <w:kern w:val="0"/>
        </w:rPr>
        <w:t>例</w:t>
      </w:r>
      <w:r w:rsidRPr="00BC31E0">
        <w:rPr>
          <w:rFonts w:asciiTheme="minorHAnsi" w:eastAsiaTheme="minorEastAsia" w:hAnsiTheme="minorEastAsia"/>
          <w:kern w:val="0"/>
        </w:rPr>
        <w:t>：鏡板</w:t>
      </w:r>
      <w:r w:rsidRPr="00BC31E0">
        <w:rPr>
          <w:rFonts w:asciiTheme="minorHAnsi" w:eastAsiaTheme="minorEastAsia" w:hAnsiTheme="minorHAnsi"/>
          <w:kern w:val="0"/>
        </w:rPr>
        <w:t>)</w:t>
      </w:r>
    </w:p>
    <w:tbl>
      <w:tblPr>
        <w:tblStyle w:val="141"/>
        <w:tblW w:w="6095" w:type="dxa"/>
        <w:tblInd w:w="29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2"/>
        <w:gridCol w:w="2573"/>
      </w:tblGrid>
      <w:tr w:rsidR="00461768" w:rsidRPr="00BC31E0" w14:paraId="689366DE" w14:textId="77777777" w:rsidTr="00BF6EB8">
        <w:tc>
          <w:tcPr>
            <w:tcW w:w="0" w:type="auto"/>
            <w:tcMar>
              <w:left w:w="0" w:type="dxa"/>
              <w:right w:w="0" w:type="dxa"/>
            </w:tcMar>
            <w:vAlign w:val="center"/>
          </w:tcPr>
          <w:p w14:paraId="39BDC31D" w14:textId="77777777" w:rsidR="00461768" w:rsidRPr="00BC31E0" w:rsidRDefault="00461768" w:rsidP="00461768">
            <w:pPr>
              <w:tabs>
                <w:tab w:val="left" w:leader="middleDot" w:pos="8222"/>
              </w:tabs>
              <w:rPr>
                <w:kern w:val="0"/>
              </w:rPr>
            </w:pPr>
            <m:oMathPara>
              <m:oMathParaPr>
                <m:jc m:val="left"/>
              </m:oMathParaPr>
              <m:oMath>
                <m:r>
                  <m:rPr>
                    <m:sty m:val="p"/>
                  </m:rPr>
                  <w:rPr>
                    <w:rFonts w:ascii="Cambria Math" w:hAnsi="Cambria Math" w:hint="eastAsia"/>
                    <w:kern w:val="0"/>
                  </w:rPr>
                  <m:t>最外縁の繊維伸び</m:t>
                </m:r>
                <m:d>
                  <m:dPr>
                    <m:ctrlPr>
                      <w:rPr>
                        <w:rFonts w:ascii="Cambria Math" w:hAnsi="Cambria Math"/>
                        <w:kern w:val="0"/>
                      </w:rPr>
                    </m:ctrlPr>
                  </m:dPr>
                  <m:e>
                    <m:r>
                      <m:rPr>
                        <m:sty m:val="p"/>
                      </m:rPr>
                      <w:rPr>
                        <w:rFonts w:ascii="Cambria Math" w:hAnsi="Cambria Math" w:hint="eastAsia"/>
                        <w:kern w:val="0"/>
                      </w:rPr>
                      <m:t>%</m:t>
                    </m:r>
                  </m:e>
                </m:d>
                <m:r>
                  <m:rPr>
                    <m:sty m:val="p"/>
                  </m:rPr>
                  <w:rPr>
                    <w:rFonts w:ascii="Cambria Math"/>
                    <w:kern w:val="0"/>
                  </w:rPr>
                  <m:t>=</m:t>
                </m:r>
                <m:f>
                  <m:fPr>
                    <m:ctrlPr>
                      <w:rPr>
                        <w:rFonts w:ascii="Cambria Math" w:hAnsi="Cambria Math"/>
                        <w:i/>
                        <w:kern w:val="0"/>
                      </w:rPr>
                    </m:ctrlPr>
                  </m:fPr>
                  <m:num>
                    <m:r>
                      <w:rPr>
                        <w:rFonts w:ascii="Cambria Math" w:hAnsi="Cambria Math"/>
                        <w:kern w:val="0"/>
                      </w:rPr>
                      <m:t>75 t</m:t>
                    </m:r>
                  </m:num>
                  <m:den>
                    <m:sSub>
                      <m:sSubPr>
                        <m:ctrlPr>
                          <w:rPr>
                            <w:rFonts w:ascii="Cambria Math" w:hAnsi="Cambria Math"/>
                            <w:i/>
                            <w:kern w:val="0"/>
                          </w:rPr>
                        </m:ctrlPr>
                      </m:sSubPr>
                      <m:e>
                        <m:r>
                          <w:rPr>
                            <w:rFonts w:ascii="Cambria Math" w:hAnsi="Cambria Math"/>
                            <w:kern w:val="0"/>
                          </w:rPr>
                          <m:t>R</m:t>
                        </m:r>
                      </m:e>
                      <m:sub>
                        <m:r>
                          <w:rPr>
                            <w:rFonts w:ascii="Cambria Math" w:hAnsi="Cambria Math"/>
                            <w:kern w:val="0"/>
                          </w:rPr>
                          <m:t>f</m:t>
                        </m:r>
                      </m:sub>
                    </m:sSub>
                  </m:den>
                </m:f>
                <m:d>
                  <m:dPr>
                    <m:ctrlPr>
                      <w:rPr>
                        <w:rFonts w:ascii="Cambria Math" w:hAnsi="Cambria Math"/>
                        <w:i/>
                        <w:kern w:val="0"/>
                      </w:rPr>
                    </m:ctrlPr>
                  </m:dPr>
                  <m:e>
                    <m:r>
                      <w:rPr>
                        <w:rFonts w:ascii="Cambria Math" w:hAnsi="Cambria Math"/>
                        <w:kern w:val="0"/>
                      </w:rPr>
                      <m:t>1-</m:t>
                    </m:r>
                    <m:f>
                      <m:fPr>
                        <m:ctrlPr>
                          <w:rPr>
                            <w:rFonts w:ascii="Cambria Math" w:hAnsi="Cambria Math"/>
                            <w:i/>
                            <w:kern w:val="0"/>
                          </w:rPr>
                        </m:ctrlPr>
                      </m:fPr>
                      <m:num>
                        <m:sSub>
                          <m:sSubPr>
                            <m:ctrlPr>
                              <w:rPr>
                                <w:rFonts w:ascii="Cambria Math" w:hAnsi="Cambria Math"/>
                                <w:i/>
                                <w:kern w:val="0"/>
                              </w:rPr>
                            </m:ctrlPr>
                          </m:sSubPr>
                          <m:e>
                            <m:r>
                              <w:rPr>
                                <w:rFonts w:ascii="Cambria Math" w:hAnsi="Cambria Math"/>
                                <w:kern w:val="0"/>
                              </w:rPr>
                              <m:t>R</m:t>
                            </m:r>
                          </m:e>
                          <m:sub>
                            <m:r>
                              <w:rPr>
                                <w:rFonts w:ascii="Cambria Math" w:hAnsi="Cambria Math"/>
                                <w:kern w:val="0"/>
                              </w:rPr>
                              <m:t>f</m:t>
                            </m:r>
                          </m:sub>
                        </m:sSub>
                      </m:num>
                      <m:den>
                        <m:sSub>
                          <m:sSubPr>
                            <m:ctrlPr>
                              <w:rPr>
                                <w:rFonts w:ascii="Cambria Math" w:hAnsi="Cambria Math"/>
                                <w:i/>
                                <w:kern w:val="0"/>
                              </w:rPr>
                            </m:ctrlPr>
                          </m:sSubPr>
                          <m:e>
                            <m:r>
                              <w:rPr>
                                <w:rFonts w:ascii="Cambria Math" w:hAnsi="Cambria Math"/>
                                <w:kern w:val="0"/>
                              </w:rPr>
                              <m:t>R</m:t>
                            </m:r>
                          </m:e>
                          <m:sub>
                            <m:r>
                              <w:rPr>
                                <w:rFonts w:ascii="Cambria Math" w:hAnsi="Cambria Math"/>
                                <w:kern w:val="0"/>
                              </w:rPr>
                              <m:t>o</m:t>
                            </m:r>
                          </m:sub>
                        </m:sSub>
                      </m:den>
                    </m:f>
                  </m:e>
                </m:d>
              </m:oMath>
            </m:oMathPara>
          </w:p>
        </w:tc>
        <w:tc>
          <w:tcPr>
            <w:tcW w:w="2573" w:type="dxa"/>
            <w:tcMar>
              <w:left w:w="0" w:type="dxa"/>
              <w:right w:w="0" w:type="dxa"/>
            </w:tcMar>
            <w:vAlign w:val="center"/>
          </w:tcPr>
          <w:p w14:paraId="3FF301A8" w14:textId="77777777" w:rsidR="00461768" w:rsidRPr="00BC31E0" w:rsidRDefault="00461768" w:rsidP="00BF6EB8">
            <w:pPr>
              <w:tabs>
                <w:tab w:val="left" w:leader="middleDot" w:pos="1723"/>
              </w:tabs>
              <w:rPr>
                <w:kern w:val="0"/>
              </w:rPr>
            </w:pPr>
            <w:r w:rsidRPr="00BC31E0">
              <w:rPr>
                <w:rFonts w:hint="eastAsia"/>
                <w:kern w:val="0"/>
              </w:rPr>
              <w:tab/>
              <w:t>(7.6.1)</w:t>
            </w:r>
          </w:p>
        </w:tc>
      </w:tr>
    </w:tbl>
    <w:p w14:paraId="79DE2E82" w14:textId="77777777" w:rsidR="00461768" w:rsidRPr="00BC31E0" w:rsidRDefault="00461768" w:rsidP="00ED57E1">
      <w:pPr>
        <w:autoSpaceDE w:val="0"/>
        <w:autoSpaceDN w:val="0"/>
        <w:ind w:left="737"/>
        <w:rPr>
          <w:rFonts w:asciiTheme="minorEastAsia" w:eastAsiaTheme="minorEastAsia" w:hAnsiTheme="minorEastAsia"/>
          <w:kern w:val="0"/>
        </w:rPr>
      </w:pPr>
      <w:r w:rsidRPr="00BC31E0">
        <w:rPr>
          <w:rFonts w:asciiTheme="minorEastAsia" w:eastAsiaTheme="minorEastAsia" w:hAnsiTheme="minorEastAsia" w:hint="eastAsia"/>
          <w:kern w:val="0"/>
        </w:rPr>
        <w:t>単曲面の場合</w:t>
      </w:r>
      <w:r w:rsidRPr="00BC31E0">
        <w:rPr>
          <w:rFonts w:asciiTheme="minorHAnsi" w:eastAsiaTheme="minorEastAsia" w:hAnsiTheme="minorHAnsi"/>
          <w:kern w:val="0"/>
        </w:rPr>
        <w:t>(</w:t>
      </w:r>
      <w:r w:rsidRPr="00BC31E0">
        <w:rPr>
          <w:rFonts w:asciiTheme="minorHAnsi" w:eastAsiaTheme="minorEastAsia" w:hAnsiTheme="minorEastAsia"/>
          <w:bCs/>
          <w:kern w:val="0"/>
        </w:rPr>
        <w:t>例</w:t>
      </w:r>
      <w:r w:rsidRPr="00BC31E0">
        <w:rPr>
          <w:rFonts w:asciiTheme="minorHAnsi" w:eastAsiaTheme="minorEastAsia" w:hAnsiTheme="minorEastAsia"/>
          <w:kern w:val="0"/>
        </w:rPr>
        <w:t>：円筒胴</w:t>
      </w:r>
      <w:r w:rsidRPr="00BC31E0">
        <w:rPr>
          <w:rFonts w:asciiTheme="minorHAnsi" w:eastAsiaTheme="minorEastAsia" w:hAnsiTheme="minorHAnsi"/>
          <w:kern w:val="0"/>
        </w:rPr>
        <w:t>)</w:t>
      </w:r>
    </w:p>
    <w:tbl>
      <w:tblPr>
        <w:tblStyle w:val="141"/>
        <w:tblW w:w="6095" w:type="dxa"/>
        <w:tblInd w:w="29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2"/>
        <w:gridCol w:w="2573"/>
      </w:tblGrid>
      <w:tr w:rsidR="00461768" w:rsidRPr="00BC31E0" w14:paraId="2A5C1763" w14:textId="77777777" w:rsidTr="00BF6EB8">
        <w:tc>
          <w:tcPr>
            <w:tcW w:w="0" w:type="auto"/>
            <w:tcMar>
              <w:left w:w="0" w:type="dxa"/>
              <w:right w:w="0" w:type="dxa"/>
            </w:tcMar>
            <w:vAlign w:val="center"/>
          </w:tcPr>
          <w:p w14:paraId="5BAB2597" w14:textId="77777777" w:rsidR="00461768" w:rsidRPr="00BC31E0" w:rsidRDefault="00461768" w:rsidP="00461768">
            <w:pPr>
              <w:tabs>
                <w:tab w:val="left" w:leader="middleDot" w:pos="8222"/>
              </w:tabs>
              <w:rPr>
                <w:kern w:val="0"/>
              </w:rPr>
            </w:pPr>
            <m:oMathPara>
              <m:oMathParaPr>
                <m:jc m:val="left"/>
              </m:oMathParaPr>
              <m:oMath>
                <m:r>
                  <m:rPr>
                    <m:sty m:val="p"/>
                  </m:rPr>
                  <w:rPr>
                    <w:rFonts w:ascii="Cambria Math" w:hAnsi="Cambria Math" w:hint="eastAsia"/>
                    <w:kern w:val="0"/>
                  </w:rPr>
                  <m:t>最外縁の繊維伸び</m:t>
                </m:r>
                <m:d>
                  <m:dPr>
                    <m:ctrlPr>
                      <w:rPr>
                        <w:rFonts w:ascii="Cambria Math" w:hAnsi="Cambria Math"/>
                        <w:kern w:val="0"/>
                      </w:rPr>
                    </m:ctrlPr>
                  </m:dPr>
                  <m:e>
                    <m:r>
                      <m:rPr>
                        <m:sty m:val="p"/>
                      </m:rPr>
                      <w:rPr>
                        <w:rFonts w:ascii="Cambria Math" w:hAnsi="Cambria Math" w:hint="eastAsia"/>
                        <w:kern w:val="0"/>
                      </w:rPr>
                      <m:t>%</m:t>
                    </m:r>
                  </m:e>
                </m:d>
                <m:r>
                  <m:rPr>
                    <m:sty m:val="p"/>
                  </m:rPr>
                  <w:rPr>
                    <w:rFonts w:ascii="Cambria Math"/>
                    <w:kern w:val="0"/>
                  </w:rPr>
                  <m:t>=</m:t>
                </m:r>
                <m:f>
                  <m:fPr>
                    <m:ctrlPr>
                      <w:rPr>
                        <w:rFonts w:ascii="Cambria Math" w:hAnsi="Cambria Math"/>
                        <w:i/>
                        <w:kern w:val="0"/>
                      </w:rPr>
                    </m:ctrlPr>
                  </m:fPr>
                  <m:num>
                    <m:r>
                      <w:rPr>
                        <w:rFonts w:ascii="Cambria Math" w:hAnsi="Cambria Math"/>
                        <w:kern w:val="0"/>
                      </w:rPr>
                      <m:t>50 t</m:t>
                    </m:r>
                  </m:num>
                  <m:den>
                    <m:sSub>
                      <m:sSubPr>
                        <m:ctrlPr>
                          <w:rPr>
                            <w:rFonts w:ascii="Cambria Math" w:hAnsi="Cambria Math"/>
                            <w:i/>
                            <w:kern w:val="0"/>
                          </w:rPr>
                        </m:ctrlPr>
                      </m:sSubPr>
                      <m:e>
                        <m:r>
                          <w:rPr>
                            <w:rFonts w:ascii="Cambria Math" w:hAnsi="Cambria Math"/>
                            <w:kern w:val="0"/>
                          </w:rPr>
                          <m:t>R</m:t>
                        </m:r>
                      </m:e>
                      <m:sub>
                        <m:r>
                          <w:rPr>
                            <w:rFonts w:ascii="Cambria Math" w:hAnsi="Cambria Math"/>
                            <w:kern w:val="0"/>
                          </w:rPr>
                          <m:t>f</m:t>
                        </m:r>
                      </m:sub>
                    </m:sSub>
                  </m:den>
                </m:f>
                <m:d>
                  <m:dPr>
                    <m:ctrlPr>
                      <w:rPr>
                        <w:rFonts w:ascii="Cambria Math" w:hAnsi="Cambria Math"/>
                        <w:i/>
                        <w:kern w:val="0"/>
                      </w:rPr>
                    </m:ctrlPr>
                  </m:dPr>
                  <m:e>
                    <m:r>
                      <w:rPr>
                        <w:rFonts w:ascii="Cambria Math" w:hAnsi="Cambria Math"/>
                        <w:kern w:val="0"/>
                      </w:rPr>
                      <m:t>1-</m:t>
                    </m:r>
                    <m:f>
                      <m:fPr>
                        <m:ctrlPr>
                          <w:rPr>
                            <w:rFonts w:ascii="Cambria Math" w:hAnsi="Cambria Math"/>
                            <w:i/>
                            <w:kern w:val="0"/>
                          </w:rPr>
                        </m:ctrlPr>
                      </m:fPr>
                      <m:num>
                        <m:sSub>
                          <m:sSubPr>
                            <m:ctrlPr>
                              <w:rPr>
                                <w:rFonts w:ascii="Cambria Math" w:hAnsi="Cambria Math"/>
                                <w:i/>
                                <w:kern w:val="0"/>
                              </w:rPr>
                            </m:ctrlPr>
                          </m:sSubPr>
                          <m:e>
                            <m:r>
                              <w:rPr>
                                <w:rFonts w:ascii="Cambria Math" w:hAnsi="Cambria Math"/>
                                <w:kern w:val="0"/>
                              </w:rPr>
                              <m:t>R</m:t>
                            </m:r>
                          </m:e>
                          <m:sub>
                            <m:r>
                              <w:rPr>
                                <w:rFonts w:ascii="Cambria Math" w:hAnsi="Cambria Math"/>
                                <w:kern w:val="0"/>
                              </w:rPr>
                              <m:t>f</m:t>
                            </m:r>
                          </m:sub>
                        </m:sSub>
                      </m:num>
                      <m:den>
                        <m:sSub>
                          <m:sSubPr>
                            <m:ctrlPr>
                              <w:rPr>
                                <w:rFonts w:ascii="Cambria Math" w:hAnsi="Cambria Math"/>
                                <w:i/>
                                <w:kern w:val="0"/>
                              </w:rPr>
                            </m:ctrlPr>
                          </m:sSubPr>
                          <m:e>
                            <m:r>
                              <w:rPr>
                                <w:rFonts w:ascii="Cambria Math" w:hAnsi="Cambria Math"/>
                                <w:kern w:val="0"/>
                              </w:rPr>
                              <m:t>R</m:t>
                            </m:r>
                          </m:e>
                          <m:sub>
                            <m:r>
                              <w:rPr>
                                <w:rFonts w:ascii="Cambria Math" w:hAnsi="Cambria Math"/>
                                <w:kern w:val="0"/>
                              </w:rPr>
                              <m:t>o</m:t>
                            </m:r>
                          </m:sub>
                        </m:sSub>
                      </m:den>
                    </m:f>
                  </m:e>
                </m:d>
              </m:oMath>
            </m:oMathPara>
          </w:p>
        </w:tc>
        <w:tc>
          <w:tcPr>
            <w:tcW w:w="2573" w:type="dxa"/>
            <w:tcMar>
              <w:left w:w="0" w:type="dxa"/>
              <w:right w:w="0" w:type="dxa"/>
            </w:tcMar>
            <w:vAlign w:val="center"/>
          </w:tcPr>
          <w:p w14:paraId="4FCDEF24" w14:textId="77777777" w:rsidR="00461768" w:rsidRPr="00BC31E0" w:rsidRDefault="00461768" w:rsidP="00BF6EB8">
            <w:pPr>
              <w:tabs>
                <w:tab w:val="left" w:leader="middleDot" w:pos="1723"/>
              </w:tabs>
              <w:rPr>
                <w:kern w:val="0"/>
              </w:rPr>
            </w:pPr>
            <w:r w:rsidRPr="00BC31E0">
              <w:rPr>
                <w:rFonts w:hint="eastAsia"/>
                <w:kern w:val="0"/>
              </w:rPr>
              <w:tab/>
              <w:t>(7.6.2)</w:t>
            </w:r>
          </w:p>
        </w:tc>
      </w:tr>
    </w:tbl>
    <w:p w14:paraId="29FA0C9B" w14:textId="77777777" w:rsidR="00461768" w:rsidRPr="00BC31E0" w:rsidRDefault="00461768" w:rsidP="00ED57E1">
      <w:pPr>
        <w:autoSpaceDE w:val="0"/>
        <w:autoSpaceDN w:val="0"/>
        <w:ind w:left="737" w:firstLine="227"/>
        <w:rPr>
          <w:rFonts w:ascii="ＭＳ 明朝"/>
          <w:kern w:val="0"/>
          <w:sz w:val="20"/>
        </w:rPr>
      </w:pPr>
      <w:r w:rsidRPr="00BC31E0">
        <w:rPr>
          <w:rFonts w:ascii="ＭＳ 明朝" w:hAnsi="Times New Roman" w:hint="eastAsia"/>
          <w:kern w:val="0"/>
        </w:rPr>
        <w:t>ここで，</w:t>
      </w:r>
    </w:p>
    <w:p w14:paraId="78C24F67" w14:textId="77777777" w:rsidR="00461768" w:rsidRPr="00BC31E0" w:rsidRDefault="00461768" w:rsidP="00ED57E1">
      <w:pPr>
        <w:tabs>
          <w:tab w:val="left" w:pos="1843"/>
        </w:tabs>
        <w:autoSpaceDE w:val="0"/>
        <w:autoSpaceDN w:val="0"/>
        <w:ind w:left="1588"/>
        <w:rPr>
          <w:rFonts w:asciiTheme="minorEastAsia" w:eastAsiaTheme="minorEastAsia" w:hAnsiTheme="minorEastAsia"/>
          <w:kern w:val="0"/>
          <w:sz w:val="20"/>
        </w:rPr>
      </w:pPr>
      <m:oMath>
        <m:r>
          <w:rPr>
            <w:rFonts w:ascii="Cambria Math" w:hAnsi="Cambria Math"/>
            <w:kern w:val="0"/>
          </w:rPr>
          <m:t>t</m:t>
        </m:r>
      </m:oMath>
      <w:r w:rsidRPr="00BC31E0">
        <w:rPr>
          <w:rFonts w:asciiTheme="minorHAnsi" w:eastAsiaTheme="minorEastAsia" w:hAnsiTheme="minorHAnsi"/>
          <w:kern w:val="0"/>
        </w:rPr>
        <w:tab/>
      </w:r>
      <w:r w:rsidRPr="00BC31E0">
        <w:rPr>
          <w:rFonts w:hint="eastAsia"/>
          <w:kern w:val="0"/>
        </w:rPr>
        <w:t>：</w:t>
      </w:r>
      <w:r w:rsidRPr="00BC31E0">
        <w:rPr>
          <w:rFonts w:hint="eastAsia"/>
          <w:kern w:val="0"/>
        </w:rPr>
        <w:t xml:space="preserve"> </w:t>
      </w:r>
      <w:r w:rsidRPr="00BC31E0">
        <w:rPr>
          <w:rFonts w:asciiTheme="minorEastAsia" w:eastAsiaTheme="minorEastAsia" w:hAnsiTheme="minorEastAsia" w:hint="eastAsia"/>
          <w:kern w:val="0"/>
        </w:rPr>
        <w:t>厚さ</w:t>
      </w:r>
      <w:r w:rsidRPr="00BC31E0">
        <w:rPr>
          <w:rFonts w:asciiTheme="minorHAnsi" w:eastAsiaTheme="minorEastAsia" w:hAnsiTheme="minorHAnsi"/>
          <w:kern w:val="0"/>
        </w:rPr>
        <w:t>(mm)</w:t>
      </w:r>
    </w:p>
    <w:p w14:paraId="516D0BFE" w14:textId="77777777" w:rsidR="00461768" w:rsidRPr="00BC31E0" w:rsidRDefault="00A51873" w:rsidP="00ED57E1">
      <w:pPr>
        <w:tabs>
          <w:tab w:val="left" w:pos="1843"/>
        </w:tabs>
        <w:autoSpaceDE w:val="0"/>
        <w:autoSpaceDN w:val="0"/>
        <w:ind w:left="1588"/>
        <w:rPr>
          <w:rFonts w:asciiTheme="minorEastAsia" w:eastAsiaTheme="minorEastAsia" w:hAnsiTheme="minorEastAsia"/>
          <w:kern w:val="0"/>
          <w:sz w:val="20"/>
        </w:rPr>
      </w:pPr>
      <m:oMath>
        <m:sSub>
          <m:sSubPr>
            <m:ctrlPr>
              <w:rPr>
                <w:rFonts w:ascii="Cambria Math" w:hAnsi="Cambria Math"/>
                <w:i/>
                <w:kern w:val="0"/>
              </w:rPr>
            </m:ctrlPr>
          </m:sSubPr>
          <m:e>
            <m:r>
              <w:rPr>
                <w:rFonts w:ascii="Cambria Math" w:hAnsi="Cambria Math"/>
                <w:kern w:val="0"/>
              </w:rPr>
              <m:t>R</m:t>
            </m:r>
          </m:e>
          <m:sub>
            <m:r>
              <w:rPr>
                <w:rFonts w:ascii="Cambria Math" w:hAnsi="Cambria Math"/>
                <w:kern w:val="0"/>
              </w:rPr>
              <m:t>f</m:t>
            </m:r>
          </m:sub>
        </m:sSub>
      </m:oMath>
      <w:r w:rsidR="00461768" w:rsidRPr="00BC31E0">
        <w:rPr>
          <w:rFonts w:asciiTheme="minorHAnsi" w:hAnsiTheme="minorHAnsi"/>
          <w:iCs/>
          <w:kern w:val="0"/>
        </w:rPr>
        <w:tab/>
      </w:r>
      <w:r w:rsidR="00461768" w:rsidRPr="00BC31E0">
        <w:rPr>
          <w:rFonts w:hint="eastAsia"/>
          <w:kern w:val="0"/>
        </w:rPr>
        <w:t>：</w:t>
      </w:r>
      <w:r w:rsidR="00461768" w:rsidRPr="00BC31E0">
        <w:rPr>
          <w:rFonts w:hint="eastAsia"/>
          <w:kern w:val="0"/>
        </w:rPr>
        <w:t xml:space="preserve"> </w:t>
      </w:r>
      <w:r w:rsidR="00461768" w:rsidRPr="00BC31E0">
        <w:rPr>
          <w:rFonts w:asciiTheme="minorEastAsia" w:eastAsiaTheme="minorEastAsia" w:hAnsiTheme="minorEastAsia" w:hint="eastAsia"/>
          <w:kern w:val="0"/>
        </w:rPr>
        <w:t>成形後の成形される板の中央面の半径</w:t>
      </w:r>
      <w:r w:rsidR="00461768" w:rsidRPr="00BC31E0">
        <w:rPr>
          <w:rFonts w:asciiTheme="minorHAnsi" w:eastAsiaTheme="minorEastAsia" w:hAnsiTheme="minorHAnsi"/>
          <w:kern w:val="0"/>
        </w:rPr>
        <w:t>(mm)</w:t>
      </w:r>
    </w:p>
    <w:p w14:paraId="5F71E690" w14:textId="77777777" w:rsidR="00461768" w:rsidRPr="00BC31E0" w:rsidRDefault="00A51873" w:rsidP="00ED57E1">
      <w:pPr>
        <w:tabs>
          <w:tab w:val="left" w:pos="1843"/>
        </w:tabs>
        <w:autoSpaceDE w:val="0"/>
        <w:autoSpaceDN w:val="0"/>
        <w:ind w:left="1588"/>
        <w:rPr>
          <w:rFonts w:ascii="ＭＳ 明朝" w:hAnsi="ＭＳ 明朝"/>
          <w:kern w:val="0"/>
          <w:sz w:val="20"/>
        </w:rPr>
      </w:pPr>
      <m:oMath>
        <m:sSub>
          <m:sSubPr>
            <m:ctrlPr>
              <w:rPr>
                <w:rFonts w:ascii="Cambria Math" w:hAnsi="Cambria Math"/>
                <w:i/>
                <w:kern w:val="0"/>
              </w:rPr>
            </m:ctrlPr>
          </m:sSubPr>
          <m:e>
            <m:r>
              <w:rPr>
                <w:rFonts w:ascii="Cambria Math" w:hAnsi="Cambria Math"/>
                <w:kern w:val="0"/>
              </w:rPr>
              <m:t>R</m:t>
            </m:r>
          </m:e>
          <m:sub>
            <m:r>
              <w:rPr>
                <w:rFonts w:ascii="Cambria Math" w:hAnsi="Cambria Math"/>
                <w:kern w:val="0"/>
              </w:rPr>
              <m:t>o</m:t>
            </m:r>
          </m:sub>
        </m:sSub>
      </m:oMath>
      <w:r w:rsidR="00461768" w:rsidRPr="00BC31E0">
        <w:rPr>
          <w:rFonts w:asciiTheme="minorHAnsi" w:hAnsiTheme="minorHAnsi"/>
          <w:kern w:val="0"/>
        </w:rPr>
        <w:tab/>
      </w:r>
      <w:r w:rsidR="00461768" w:rsidRPr="00BC31E0">
        <w:rPr>
          <w:rFonts w:hint="eastAsia"/>
          <w:kern w:val="0"/>
        </w:rPr>
        <w:t>：</w:t>
      </w:r>
      <w:r w:rsidR="00461768" w:rsidRPr="00BC31E0">
        <w:rPr>
          <w:rFonts w:hint="eastAsia"/>
          <w:kern w:val="0"/>
        </w:rPr>
        <w:t xml:space="preserve"> </w:t>
      </w:r>
      <w:r w:rsidR="00461768" w:rsidRPr="00BC31E0">
        <w:rPr>
          <w:rFonts w:ascii="ＭＳ 明朝" w:hAnsi="ＭＳ 明朝" w:hint="eastAsia"/>
          <w:kern w:val="0"/>
        </w:rPr>
        <w:t>成形前の成形される板の中央面の半径</w:t>
      </w:r>
      <w:r w:rsidR="00461768" w:rsidRPr="00BC31E0">
        <w:rPr>
          <w:kern w:val="0"/>
        </w:rPr>
        <w:t>(</w:t>
      </w:r>
      <w:r w:rsidR="00461768" w:rsidRPr="00BC31E0">
        <w:rPr>
          <w:rFonts w:ascii="ＭＳ 明朝" w:hAnsi="ＭＳ 明朝"/>
          <w:kern w:val="0"/>
        </w:rPr>
        <w:t>平板の場合は無限大</w:t>
      </w:r>
      <w:r w:rsidR="00461768" w:rsidRPr="00BC31E0">
        <w:rPr>
          <w:rFonts w:asciiTheme="minorHAnsi" w:hAnsiTheme="minorHAnsi"/>
          <w:kern w:val="0"/>
        </w:rPr>
        <w:t>)(mm)</w:t>
      </w:r>
    </w:p>
    <w:p w14:paraId="2FA7139B" w14:textId="77777777" w:rsidR="00461768" w:rsidRPr="00BC31E0" w:rsidRDefault="00461768" w:rsidP="00736130">
      <w:pPr>
        <w:pStyle w:val="a4"/>
        <w:numPr>
          <w:ilvl w:val="0"/>
          <w:numId w:val="508"/>
        </w:numPr>
        <w:spacing w:before="120"/>
        <w:ind w:leftChars="0" w:left="738" w:hanging="454"/>
      </w:pPr>
      <w:r w:rsidRPr="00BC31E0">
        <w:rPr>
          <w:rFonts w:hint="eastAsia"/>
        </w:rPr>
        <w:t>最初の焼戻温度以上で成形した部品は，溶接する前か後のいずれかの時期に，材料の仕様に従って再度</w:t>
      </w:r>
      <w:r w:rsidR="008314CF" w:rsidRPr="00BC31E0">
        <w:rPr>
          <w:rFonts w:hint="eastAsia"/>
        </w:rPr>
        <w:t>，</w:t>
      </w:r>
      <w:r w:rsidRPr="00BC31E0">
        <w:rPr>
          <w:rFonts w:hint="eastAsia"/>
        </w:rPr>
        <w:t>焼入焼戻しする。</w:t>
      </w:r>
    </w:p>
    <w:p w14:paraId="37A7ED5D" w14:textId="77777777" w:rsidR="00461768" w:rsidRPr="00BC31E0" w:rsidRDefault="00461768" w:rsidP="00736130">
      <w:pPr>
        <w:pStyle w:val="a4"/>
        <w:numPr>
          <w:ilvl w:val="0"/>
          <w:numId w:val="489"/>
        </w:numPr>
        <w:ind w:leftChars="0" w:left="454" w:hanging="454"/>
      </w:pPr>
      <w:r w:rsidRPr="00BC31E0">
        <w:rPr>
          <w:rFonts w:asciiTheme="majorEastAsia" w:eastAsiaTheme="majorEastAsia" w:hAnsiTheme="majorEastAsia" w:hint="eastAsia"/>
          <w:b/>
        </w:rPr>
        <w:t>成形後の最小厚さ</w:t>
      </w:r>
      <w:r w:rsidRPr="00BC31E0">
        <w:rPr>
          <w:rFonts w:hint="eastAsia"/>
        </w:rPr>
        <w:t xml:space="preserve">　耐圧部の成形後の最小厚さは</w:t>
      </w:r>
      <w:r w:rsidRPr="00BC31E0">
        <w:t>6 mm</w:t>
      </w:r>
      <w:r w:rsidRPr="00BC31E0">
        <w:rPr>
          <w:rFonts w:hint="eastAsia"/>
        </w:rPr>
        <w:t>とする。</w:t>
      </w:r>
    </w:p>
    <w:p w14:paraId="4049CA46" w14:textId="77777777" w:rsidR="00461768" w:rsidRPr="00BC31E0" w:rsidRDefault="00461768" w:rsidP="00B731CF">
      <w:pPr>
        <w:pStyle w:val="3"/>
        <w:tabs>
          <w:tab w:val="clear" w:pos="284"/>
        </w:tabs>
        <w:ind w:left="794" w:hanging="794"/>
      </w:pPr>
      <w:r w:rsidRPr="00BC31E0">
        <w:rPr>
          <w:rFonts w:hint="eastAsia"/>
        </w:rPr>
        <w:t>溶接</w:t>
      </w:r>
    </w:p>
    <w:p w14:paraId="69E1AFD3" w14:textId="77777777" w:rsidR="00461768" w:rsidRPr="00BC31E0" w:rsidRDefault="00461768" w:rsidP="00ED57E1">
      <w:pPr>
        <w:ind w:firstLineChars="100" w:firstLine="210"/>
      </w:pPr>
      <w:r w:rsidRPr="00BC31E0">
        <w:rPr>
          <w:rFonts w:hint="eastAsia"/>
        </w:rPr>
        <w:t>溶接は，次の</w:t>
      </w:r>
      <w:r w:rsidRPr="00BC31E0">
        <w:rPr>
          <w:rFonts w:ascii="ＭＳ ゴシック" w:eastAsia="ＭＳ ゴシック" w:hAnsi="ＭＳ ゴシック" w:hint="eastAsia"/>
          <w:b/>
        </w:rPr>
        <w:t>a)</w:t>
      </w:r>
      <w:r w:rsidRPr="00BC31E0">
        <w:rPr>
          <w:rFonts w:ascii="ＭＳ ゴシック" w:hAnsi="ＭＳ ゴシック" w:hint="eastAsia"/>
        </w:rPr>
        <w:t>～</w:t>
      </w:r>
      <w:r w:rsidRPr="00BC31E0">
        <w:rPr>
          <w:rFonts w:ascii="ＭＳ ゴシック" w:eastAsia="ＭＳ ゴシック" w:hAnsi="ＭＳ ゴシック" w:hint="eastAsia"/>
          <w:b/>
        </w:rPr>
        <w:t>f)</w:t>
      </w:r>
      <w:r w:rsidRPr="00BC31E0">
        <w:rPr>
          <w:rFonts w:hint="eastAsia"/>
        </w:rPr>
        <w:t>による。</w:t>
      </w:r>
    </w:p>
    <w:p w14:paraId="12232E09" w14:textId="77777777" w:rsidR="00B731CF" w:rsidRPr="00BC31E0" w:rsidRDefault="00461768" w:rsidP="00736130">
      <w:pPr>
        <w:pStyle w:val="a4"/>
        <w:numPr>
          <w:ilvl w:val="0"/>
          <w:numId w:val="509"/>
        </w:numPr>
        <w:ind w:leftChars="0" w:left="454" w:hanging="454"/>
        <w:rPr>
          <w:rFonts w:asciiTheme="minorHAnsi" w:eastAsiaTheme="minorEastAsia" w:hAnsiTheme="minorHAnsi"/>
        </w:rPr>
      </w:pPr>
      <w:r w:rsidRPr="00BC31E0">
        <w:rPr>
          <w:rFonts w:asciiTheme="majorEastAsia" w:eastAsiaTheme="majorEastAsia" w:hAnsiTheme="majorEastAsia"/>
          <w:b/>
        </w:rPr>
        <w:t>溶接施工方法及び溶接士の確認</w:t>
      </w:r>
      <w:r w:rsidRPr="00BC31E0">
        <w:rPr>
          <w:rFonts w:asciiTheme="minorHAnsi" w:eastAsiaTheme="minorEastAsia" w:hAnsiTheme="minorEastAsia"/>
        </w:rPr>
        <w:t xml:space="preserve">　</w:t>
      </w:r>
      <w:r w:rsidRPr="00BC31E0">
        <w:rPr>
          <w:rFonts w:asciiTheme="majorEastAsia" w:eastAsiaTheme="majorEastAsia" w:hAnsiTheme="majorEastAsia"/>
          <w:b/>
        </w:rPr>
        <w:t>JIS B 8285</w:t>
      </w:r>
      <w:r w:rsidRPr="00BC31E0">
        <w:rPr>
          <w:rFonts w:asciiTheme="minorHAnsi" w:eastAsiaTheme="minorEastAsia" w:hAnsiTheme="minorHAnsi"/>
        </w:rPr>
        <w:t xml:space="preserve"> </w:t>
      </w:r>
      <w:r w:rsidRPr="00BC31E0">
        <w:rPr>
          <w:rFonts w:asciiTheme="minorHAnsi" w:eastAsiaTheme="minorEastAsia" w:hAnsiTheme="minorEastAsia"/>
        </w:rPr>
        <w:t>及びこの規格の追加要求に従う。</w:t>
      </w:r>
    </w:p>
    <w:p w14:paraId="6AA9D6D3" w14:textId="77777777" w:rsidR="00B731CF" w:rsidRPr="00BC31E0" w:rsidRDefault="00461768" w:rsidP="00736130">
      <w:pPr>
        <w:pStyle w:val="a4"/>
        <w:numPr>
          <w:ilvl w:val="0"/>
          <w:numId w:val="509"/>
        </w:numPr>
        <w:ind w:leftChars="0" w:left="454" w:hanging="454"/>
        <w:rPr>
          <w:rFonts w:asciiTheme="minorHAnsi" w:eastAsiaTheme="minorEastAsia" w:hAnsiTheme="minorHAnsi"/>
        </w:rPr>
      </w:pPr>
      <w:r w:rsidRPr="00BC31E0">
        <w:rPr>
          <w:rFonts w:asciiTheme="majorEastAsia" w:eastAsiaTheme="majorEastAsia" w:hAnsiTheme="majorEastAsia" w:hint="eastAsia"/>
          <w:b/>
          <w:bCs/>
        </w:rPr>
        <w:t>溶加材</w:t>
      </w:r>
      <w:r w:rsidRPr="00BC31E0">
        <w:t xml:space="preserve">  0.08%</w:t>
      </w:r>
      <w:r w:rsidRPr="00BC31E0">
        <w:rPr>
          <w:rFonts w:hint="eastAsia"/>
        </w:rPr>
        <w:t>を超えるバナジウムを含む溶加材は，溶接後熱処理をする溶接部に使ってはならない。</w:t>
      </w:r>
    </w:p>
    <w:p w14:paraId="10A34867" w14:textId="77777777" w:rsidR="00B731CF" w:rsidRPr="00BC31E0" w:rsidRDefault="00461768" w:rsidP="00736130">
      <w:pPr>
        <w:pStyle w:val="a4"/>
        <w:numPr>
          <w:ilvl w:val="0"/>
          <w:numId w:val="509"/>
        </w:numPr>
        <w:ind w:leftChars="0" w:left="454" w:hanging="454"/>
        <w:rPr>
          <w:rFonts w:asciiTheme="minorHAnsi" w:eastAsiaTheme="minorEastAsia" w:hAnsiTheme="minorHAnsi"/>
        </w:rPr>
      </w:pPr>
      <w:r w:rsidRPr="00BC31E0">
        <w:rPr>
          <w:rFonts w:asciiTheme="majorEastAsia" w:eastAsiaTheme="majorEastAsia" w:hAnsiTheme="majorEastAsia" w:hint="eastAsia"/>
          <w:b/>
          <w:bCs/>
        </w:rPr>
        <w:t>母材の準備</w:t>
      </w:r>
      <w:r w:rsidRPr="00BC31E0">
        <w:t xml:space="preserve">  </w:t>
      </w:r>
      <w:r w:rsidRPr="00BC31E0">
        <w:rPr>
          <w:rFonts w:hint="eastAsia"/>
        </w:rPr>
        <w:t>板の端部の加工，溶接開先，面取り及び金属の除去を含む同様な操作は，機械加工，チッピング，研削又は次の</w:t>
      </w:r>
      <w:r w:rsidRPr="00BC31E0">
        <w:rPr>
          <w:rFonts w:asciiTheme="majorEastAsia" w:eastAsiaTheme="majorEastAsia" w:hAnsiTheme="majorEastAsia"/>
          <w:b/>
        </w:rPr>
        <w:t xml:space="preserve">d) </w:t>
      </w:r>
      <w:r w:rsidRPr="00BC31E0">
        <w:rPr>
          <w:rFonts w:hint="eastAsia"/>
        </w:rPr>
        <w:t>に示すガス切断又はエアアークガウジングによる。</w:t>
      </w:r>
    </w:p>
    <w:p w14:paraId="631D5289" w14:textId="77777777" w:rsidR="00B731CF" w:rsidRPr="00BC31E0" w:rsidRDefault="00461768" w:rsidP="00736130">
      <w:pPr>
        <w:pStyle w:val="a4"/>
        <w:numPr>
          <w:ilvl w:val="0"/>
          <w:numId w:val="509"/>
        </w:numPr>
        <w:ind w:leftChars="0" w:left="454" w:hanging="454"/>
        <w:rPr>
          <w:rFonts w:asciiTheme="minorHAnsi" w:eastAsiaTheme="minorEastAsia" w:hAnsiTheme="minorHAnsi"/>
        </w:rPr>
      </w:pPr>
      <w:r w:rsidRPr="00BC31E0">
        <w:rPr>
          <w:rFonts w:asciiTheme="majorEastAsia" w:eastAsiaTheme="majorEastAsia" w:hAnsiTheme="majorEastAsia" w:hint="eastAsia"/>
          <w:b/>
          <w:bCs/>
        </w:rPr>
        <w:t>ガス切断又はガウジング</w:t>
      </w:r>
      <w:r w:rsidRPr="00BC31E0">
        <w:rPr>
          <w:rFonts w:hint="eastAsia"/>
          <w:bCs/>
        </w:rPr>
        <w:t xml:space="preserve">　</w:t>
      </w:r>
      <w:r w:rsidRPr="00BC31E0">
        <w:rPr>
          <w:rFonts w:hint="eastAsia"/>
        </w:rPr>
        <w:t>金属をガス切断又はエアアークガウジングなどの熱的方法で取り除く場合には，処理後，機械的方法によって少なくとも</w:t>
      </w:r>
      <w:r w:rsidRPr="00BC31E0">
        <w:t>1.6 mm</w:t>
      </w:r>
      <w:r w:rsidRPr="00BC31E0">
        <w:rPr>
          <w:rFonts w:hint="eastAsia"/>
        </w:rPr>
        <w:t>を取り除き，その後</w:t>
      </w:r>
      <w:r w:rsidRPr="00BC31E0">
        <w:rPr>
          <w:rFonts w:asciiTheme="majorEastAsia" w:eastAsiaTheme="majorEastAsia" w:hAnsiTheme="majorEastAsia" w:hint="eastAsia"/>
          <w:b/>
        </w:rPr>
        <w:t>9.2.5 d)</w:t>
      </w:r>
      <w:r w:rsidRPr="00BC31E0">
        <w:rPr>
          <w:rFonts w:hint="eastAsia"/>
        </w:rPr>
        <w:t>に従って磁粉探傷試験又は浸透探傷試験をする。</w:t>
      </w:r>
    </w:p>
    <w:p w14:paraId="76F437AB" w14:textId="77777777" w:rsidR="00B731CF" w:rsidRPr="00BC31E0" w:rsidRDefault="00461768" w:rsidP="00736130">
      <w:pPr>
        <w:pStyle w:val="a4"/>
        <w:numPr>
          <w:ilvl w:val="0"/>
          <w:numId w:val="509"/>
        </w:numPr>
        <w:ind w:leftChars="0" w:left="454" w:hanging="454"/>
        <w:rPr>
          <w:rFonts w:asciiTheme="minorHAnsi" w:eastAsiaTheme="minorEastAsia" w:hAnsiTheme="minorHAnsi"/>
        </w:rPr>
      </w:pPr>
      <w:r w:rsidRPr="00BC31E0">
        <w:rPr>
          <w:rFonts w:asciiTheme="majorEastAsia" w:eastAsiaTheme="majorEastAsia" w:hAnsiTheme="majorEastAsia" w:hint="eastAsia"/>
          <w:b/>
          <w:bCs/>
        </w:rPr>
        <w:t>溶接部の仕上げ</w:t>
      </w:r>
      <w:r w:rsidRPr="00BC31E0">
        <w:rPr>
          <w:rFonts w:hint="eastAsia"/>
        </w:rPr>
        <w:t xml:space="preserve">　</w:t>
      </w:r>
      <w:r w:rsidRPr="00BC31E0">
        <w:rPr>
          <w:rFonts w:hint="eastAsia"/>
          <w:szCs w:val="22"/>
        </w:rPr>
        <w:t>全</w:t>
      </w:r>
      <w:r w:rsidRPr="00BC31E0">
        <w:rPr>
          <w:rFonts w:hint="eastAsia"/>
        </w:rPr>
        <w:t>ての溶着金属の表面は，母材に対して滑らかでなければならない。</w:t>
      </w:r>
    </w:p>
    <w:p w14:paraId="12089C86" w14:textId="77777777" w:rsidR="00461768" w:rsidRPr="00BC31E0" w:rsidRDefault="00461768" w:rsidP="00736130">
      <w:pPr>
        <w:pStyle w:val="a4"/>
        <w:numPr>
          <w:ilvl w:val="0"/>
          <w:numId w:val="509"/>
        </w:numPr>
        <w:ind w:leftChars="0" w:left="454" w:hanging="454"/>
        <w:rPr>
          <w:rFonts w:asciiTheme="minorHAnsi" w:eastAsiaTheme="minorEastAsia" w:hAnsiTheme="minorHAnsi"/>
        </w:rPr>
      </w:pPr>
      <w:r w:rsidRPr="00BC31E0">
        <w:rPr>
          <w:rFonts w:asciiTheme="majorEastAsia" w:eastAsiaTheme="majorEastAsia" w:hAnsiTheme="majorEastAsia" w:hint="eastAsia"/>
          <w:b/>
          <w:bCs/>
        </w:rPr>
        <w:t>溶接部の靭性</w:t>
      </w:r>
      <w:r w:rsidRPr="00BC31E0">
        <w:t xml:space="preserve">  </w:t>
      </w:r>
      <w:r w:rsidRPr="00BC31E0">
        <w:rPr>
          <w:rFonts w:hint="eastAsia"/>
        </w:rPr>
        <w:t>溶接部が焼入焼戻しされない場合で，溶着金属及び熱影響部を</w:t>
      </w:r>
      <w:r w:rsidRPr="00BC31E0">
        <w:rPr>
          <w:rFonts w:asciiTheme="majorEastAsia" w:eastAsiaTheme="majorEastAsia" w:hAnsiTheme="majorEastAsia"/>
          <w:b/>
        </w:rPr>
        <w:t>10.2</w:t>
      </w:r>
      <w:r w:rsidRPr="00BC31E0">
        <w:rPr>
          <w:rFonts w:asciiTheme="majorEastAsia" w:eastAsiaTheme="majorEastAsia" w:hAnsiTheme="majorEastAsia" w:hint="eastAsia"/>
          <w:b/>
          <w:bCs/>
        </w:rPr>
        <w:t xml:space="preserve"> </w:t>
      </w:r>
      <w:r w:rsidRPr="00BC31E0">
        <w:rPr>
          <w:rFonts w:hint="eastAsia"/>
        </w:rPr>
        <w:t>に従って試験する時は，</w:t>
      </w:r>
      <w:r w:rsidRPr="00BC31E0">
        <w:rPr>
          <w:rFonts w:asciiTheme="majorEastAsia" w:eastAsiaTheme="majorEastAsia" w:hAnsiTheme="majorEastAsia"/>
          <w:b/>
        </w:rPr>
        <w:t>5.2.7</w:t>
      </w:r>
      <w:r w:rsidRPr="00BC31E0">
        <w:rPr>
          <w:rFonts w:hint="eastAsia"/>
        </w:rPr>
        <w:t xml:space="preserve"> </w:t>
      </w:r>
      <w:r w:rsidRPr="00BC31E0">
        <w:rPr>
          <w:rFonts w:hint="eastAsia"/>
        </w:rPr>
        <w:t>に示す衝撃値を満たさなければならない。溶接部が焼入焼戻しされる場合には，</w:t>
      </w:r>
      <w:r w:rsidRPr="00BC31E0">
        <w:rPr>
          <w:rFonts w:asciiTheme="majorEastAsia" w:eastAsiaTheme="majorEastAsia" w:hAnsiTheme="majorEastAsia"/>
          <w:b/>
        </w:rPr>
        <w:t>5.2</w:t>
      </w:r>
      <w:r w:rsidRPr="00BC31E0">
        <w:rPr>
          <w:rFonts w:hAnsi="ＭＳ ゴシック" w:hint="eastAsia"/>
        </w:rPr>
        <w:t xml:space="preserve"> </w:t>
      </w:r>
      <w:r w:rsidRPr="00BC31E0">
        <w:rPr>
          <w:rFonts w:hint="eastAsia"/>
        </w:rPr>
        <w:t>によって衝撃試験する。</w:t>
      </w:r>
    </w:p>
    <w:p w14:paraId="6F698ED4" w14:textId="77777777" w:rsidR="00461768" w:rsidRPr="00BC31E0" w:rsidRDefault="00461768" w:rsidP="00CA2F6B">
      <w:pPr>
        <w:pStyle w:val="3"/>
        <w:tabs>
          <w:tab w:val="clear" w:pos="284"/>
        </w:tabs>
        <w:ind w:left="794" w:hanging="794"/>
      </w:pPr>
      <w:r w:rsidRPr="00BC31E0">
        <w:rPr>
          <w:rFonts w:hint="eastAsia"/>
        </w:rPr>
        <w:t>仮付溶接</w:t>
      </w:r>
    </w:p>
    <w:p w14:paraId="3F99462A" w14:textId="77777777" w:rsidR="00461768" w:rsidRPr="00BC31E0" w:rsidRDefault="00461768" w:rsidP="00ED57E1">
      <w:pPr>
        <w:pStyle w:val="1110"/>
        <w:ind w:firstLine="210"/>
      </w:pPr>
      <w:r w:rsidRPr="00BC31E0">
        <w:rPr>
          <w:rFonts w:hint="eastAsia"/>
        </w:rPr>
        <w:t>仮付溶接は，次の</w:t>
      </w:r>
      <w:r w:rsidRPr="00BC31E0">
        <w:rPr>
          <w:rFonts w:ascii="ＭＳ ゴシック" w:eastAsia="ＭＳ ゴシック" w:hAnsi="ＭＳ ゴシック" w:hint="eastAsia"/>
          <w:b/>
        </w:rPr>
        <w:t>a)</w:t>
      </w:r>
      <w:r w:rsidRPr="00BC31E0">
        <w:rPr>
          <w:rFonts w:hint="eastAsia"/>
        </w:rPr>
        <w:t>，</w:t>
      </w:r>
      <w:r w:rsidRPr="00BC31E0">
        <w:rPr>
          <w:rFonts w:ascii="ＭＳ ゴシック" w:eastAsia="ＭＳ ゴシック" w:hAnsi="ＭＳ ゴシック" w:hint="eastAsia"/>
          <w:b/>
        </w:rPr>
        <w:t>b</w:t>
      </w:r>
      <w:r w:rsidRPr="00BC31E0">
        <w:rPr>
          <w:rFonts w:asciiTheme="majorEastAsia" w:eastAsiaTheme="majorEastAsia" w:hAnsiTheme="majorEastAsia" w:hint="eastAsia"/>
          <w:b/>
        </w:rPr>
        <w:t>)</w:t>
      </w:r>
      <w:r w:rsidRPr="00BC31E0">
        <w:rPr>
          <w:rFonts w:ascii="ＭＳ ゴシック" w:hAnsi="ＭＳ ゴシック" w:hint="eastAsia"/>
        </w:rPr>
        <w:t>による。</w:t>
      </w:r>
    </w:p>
    <w:p w14:paraId="76258981" w14:textId="77777777" w:rsidR="00CA2F6B" w:rsidRPr="00BC31E0" w:rsidRDefault="00461768" w:rsidP="00736130">
      <w:pPr>
        <w:pStyle w:val="a4"/>
        <w:numPr>
          <w:ilvl w:val="0"/>
          <w:numId w:val="510"/>
        </w:numPr>
        <w:ind w:leftChars="0" w:left="454" w:hanging="454"/>
      </w:pPr>
      <w:r w:rsidRPr="00BC31E0">
        <w:rPr>
          <w:rFonts w:hint="eastAsia"/>
        </w:rPr>
        <w:t>合わせ用の一時的ラグと同様に，当て板，吊上げラグ及びその他の非耐圧部品に対する仮付溶接は認証された溶接士並びに</w:t>
      </w:r>
      <w:r w:rsidRPr="00BC31E0">
        <w:rPr>
          <w:rFonts w:asciiTheme="majorEastAsia" w:eastAsiaTheme="majorEastAsia" w:hAnsiTheme="majorEastAsia"/>
          <w:b/>
        </w:rPr>
        <w:t>7.2.2</w:t>
      </w:r>
      <w:r w:rsidRPr="00BC31E0">
        <w:rPr>
          <w:rFonts w:hint="eastAsia"/>
        </w:rPr>
        <w:t>に従った施工法で行う。</w:t>
      </w:r>
    </w:p>
    <w:p w14:paraId="1919084F" w14:textId="77777777" w:rsidR="00461768" w:rsidRPr="00BC31E0" w:rsidRDefault="00461768" w:rsidP="00736130">
      <w:pPr>
        <w:pStyle w:val="a4"/>
        <w:numPr>
          <w:ilvl w:val="0"/>
          <w:numId w:val="510"/>
        </w:numPr>
        <w:ind w:leftChars="0" w:left="454" w:hanging="454"/>
      </w:pPr>
      <w:r w:rsidRPr="00BC31E0">
        <w:rPr>
          <w:rFonts w:hint="eastAsia"/>
          <w:kern w:val="0"/>
        </w:rPr>
        <w:t>仮付溶接部は除去し，金属表面は滑らかな輪郭に戻す。表面は</w:t>
      </w:r>
      <w:r w:rsidRPr="00BC31E0">
        <w:rPr>
          <w:rFonts w:asciiTheme="majorEastAsia" w:eastAsiaTheme="majorEastAsia" w:hAnsiTheme="majorEastAsia" w:hint="eastAsia"/>
          <w:b/>
          <w:kern w:val="0"/>
        </w:rPr>
        <w:t>9.2.5 d)</w:t>
      </w:r>
      <w:r w:rsidRPr="00BC31E0">
        <w:rPr>
          <w:rFonts w:hint="eastAsia"/>
          <w:kern w:val="0"/>
        </w:rPr>
        <w:t>に従って磁粉探傷試験又は浸透探傷試験する。溶接補修が必要な時には，製作者の製作記録に残す。仮付溶接及び溶接補修に対し，認証された溶接士・施工法及び熱処理に対する要求は，他の溶接部と全く同じである。</w:t>
      </w:r>
    </w:p>
    <w:p w14:paraId="70608EA5" w14:textId="77777777" w:rsidR="00461768" w:rsidRPr="00BC31E0" w:rsidRDefault="00461768" w:rsidP="005C46A6">
      <w:pPr>
        <w:pStyle w:val="3"/>
        <w:tabs>
          <w:tab w:val="clear" w:pos="284"/>
        </w:tabs>
        <w:ind w:left="794" w:hanging="794"/>
      </w:pPr>
      <w:r w:rsidRPr="00BC31E0">
        <w:rPr>
          <w:rFonts w:hint="eastAsia"/>
        </w:rPr>
        <w:t>溶接後熱処理</w:t>
      </w:r>
    </w:p>
    <w:p w14:paraId="434D48E0" w14:textId="77777777" w:rsidR="00461768" w:rsidRPr="00BC31E0" w:rsidRDefault="00461768" w:rsidP="00ED57E1">
      <w:pPr>
        <w:pStyle w:val="1110"/>
        <w:ind w:firstLine="210"/>
      </w:pPr>
      <w:r w:rsidRPr="00BC31E0">
        <w:rPr>
          <w:rFonts w:hint="eastAsia"/>
        </w:rPr>
        <w:t>溶接後熱処理は，次の</w:t>
      </w:r>
      <w:r w:rsidRPr="00BC31E0">
        <w:rPr>
          <w:rFonts w:ascii="ＭＳ ゴシック" w:eastAsia="ＭＳ ゴシック" w:hAnsi="ＭＳ ゴシック" w:hint="eastAsia"/>
          <w:b/>
        </w:rPr>
        <w:t>a)</w:t>
      </w:r>
      <w:r w:rsidRPr="00BC31E0">
        <w:rPr>
          <w:rFonts w:hint="eastAsia"/>
        </w:rPr>
        <w:t>～</w:t>
      </w:r>
      <w:r w:rsidRPr="00BC31E0">
        <w:rPr>
          <w:rFonts w:ascii="ＭＳ ゴシック" w:eastAsia="ＭＳ ゴシック" w:hAnsi="ＭＳ ゴシック" w:hint="eastAsia"/>
          <w:b/>
        </w:rPr>
        <w:t>e)</w:t>
      </w:r>
      <w:r w:rsidRPr="00BC31E0">
        <w:rPr>
          <w:rFonts w:hint="eastAsia"/>
        </w:rPr>
        <w:t>による。</w:t>
      </w:r>
    </w:p>
    <w:p w14:paraId="06F199D0" w14:textId="77777777" w:rsidR="005C46A6" w:rsidRPr="00BC31E0" w:rsidRDefault="00461768" w:rsidP="00736130">
      <w:pPr>
        <w:pStyle w:val="a4"/>
        <w:numPr>
          <w:ilvl w:val="0"/>
          <w:numId w:val="511"/>
        </w:numPr>
        <w:ind w:leftChars="0" w:left="454" w:hanging="454"/>
        <w:rPr>
          <w:sz w:val="20"/>
        </w:rPr>
      </w:pPr>
      <w:r w:rsidRPr="00BC31E0">
        <w:rPr>
          <w:rFonts w:hint="eastAsia"/>
        </w:rPr>
        <w:lastRenderedPageBreak/>
        <w:t>焼入焼戻鋼製の容器，又はその部品に対する溶接後熱処理の要否及び方法は，</w:t>
      </w:r>
      <w:r w:rsidRPr="00BC31E0">
        <w:rPr>
          <w:rFonts w:asciiTheme="majorEastAsia" w:eastAsiaTheme="majorEastAsia" w:hAnsiTheme="majorEastAsia" w:hint="eastAsia"/>
          <w:b/>
        </w:rPr>
        <w:t>表</w:t>
      </w:r>
      <w:r w:rsidRPr="00BC31E0">
        <w:rPr>
          <w:rFonts w:asciiTheme="majorEastAsia" w:eastAsiaTheme="majorEastAsia" w:hAnsiTheme="majorEastAsia"/>
          <w:b/>
        </w:rPr>
        <w:t>7.6.1</w:t>
      </w:r>
      <w:r w:rsidRPr="00BC31E0">
        <w:rPr>
          <w:rFonts w:hint="eastAsia"/>
        </w:rPr>
        <w:t>による。</w:t>
      </w:r>
      <w:r w:rsidRPr="00BC31E0">
        <w:rPr>
          <w:rFonts w:asciiTheme="majorEastAsia" w:eastAsiaTheme="majorEastAsia" w:hAnsiTheme="majorEastAsia" w:hint="eastAsia"/>
          <w:b/>
        </w:rPr>
        <w:t>表</w:t>
      </w:r>
      <w:r w:rsidRPr="00BC31E0">
        <w:rPr>
          <w:rFonts w:asciiTheme="majorEastAsia" w:eastAsiaTheme="majorEastAsia" w:hAnsiTheme="majorEastAsia"/>
          <w:b/>
        </w:rPr>
        <w:t>7.6.1</w:t>
      </w:r>
      <w:r w:rsidRPr="00BC31E0">
        <w:rPr>
          <w:rFonts w:hint="eastAsia"/>
        </w:rPr>
        <w:t>で，クラッド，肉盛溶接容器又は容器部品に対して溶接後熱処理が必要な板厚を決定する時には，母材の全厚さを用いる。</w:t>
      </w:r>
    </w:p>
    <w:p w14:paraId="7DA66B45" w14:textId="77777777" w:rsidR="005C46A6" w:rsidRPr="00BC31E0" w:rsidRDefault="00461768" w:rsidP="00736130">
      <w:pPr>
        <w:pStyle w:val="a4"/>
        <w:numPr>
          <w:ilvl w:val="0"/>
          <w:numId w:val="511"/>
        </w:numPr>
        <w:ind w:leftChars="0" w:left="454" w:hanging="454"/>
        <w:rPr>
          <w:sz w:val="20"/>
        </w:rPr>
      </w:pPr>
      <w:r w:rsidRPr="00BC31E0">
        <w:rPr>
          <w:rFonts w:asciiTheme="majorEastAsia" w:eastAsiaTheme="majorEastAsia" w:hAnsiTheme="majorEastAsia" w:hint="eastAsia"/>
          <w:b/>
        </w:rPr>
        <w:t>表</w:t>
      </w:r>
      <w:r w:rsidRPr="00BC31E0">
        <w:rPr>
          <w:rFonts w:asciiTheme="majorEastAsia" w:eastAsiaTheme="majorEastAsia" w:hAnsiTheme="majorEastAsia"/>
          <w:b/>
        </w:rPr>
        <w:t>7.6.1</w:t>
      </w:r>
      <w:r w:rsidRPr="00BC31E0">
        <w:rPr>
          <w:rFonts w:hint="eastAsia"/>
        </w:rPr>
        <w:t>の要求により溶接後熱処理を修正する場合には，</w:t>
      </w:r>
      <w:r w:rsidRPr="00BC31E0">
        <w:rPr>
          <w:rFonts w:asciiTheme="majorEastAsia" w:eastAsiaTheme="majorEastAsia" w:hAnsiTheme="majorEastAsia"/>
          <w:b/>
        </w:rPr>
        <w:t>7.4</w:t>
      </w:r>
      <w:r w:rsidR="00C22229" w:rsidRPr="00BC31E0">
        <w:rPr>
          <w:rFonts w:hint="eastAsia"/>
        </w:rPr>
        <w:t>に従って行う。いかなる場合も，溶接後熱処理の温度は焼戻</w:t>
      </w:r>
      <w:r w:rsidRPr="00BC31E0">
        <w:rPr>
          <w:rFonts w:hint="eastAsia"/>
        </w:rPr>
        <w:t>温度を超えてはならない。溶接後熱処理と焼戻しは，同時に行ってもよい。材料仕様により焼戻温度からの加速冷却が要求される場合には，全く同一の最小冷却速度を溶接後熱処理に適用する。</w:t>
      </w:r>
    </w:p>
    <w:p w14:paraId="746E246F" w14:textId="77777777" w:rsidR="00EA6B85" w:rsidRPr="00BC31E0" w:rsidRDefault="00461768" w:rsidP="00736130">
      <w:pPr>
        <w:pStyle w:val="a4"/>
        <w:numPr>
          <w:ilvl w:val="0"/>
          <w:numId w:val="511"/>
        </w:numPr>
        <w:ind w:leftChars="0" w:left="454" w:hanging="454"/>
        <w:rPr>
          <w:sz w:val="20"/>
        </w:rPr>
      </w:pPr>
      <w:r w:rsidRPr="00BC31E0">
        <w:rPr>
          <w:rFonts w:hint="eastAsia"/>
        </w:rPr>
        <w:t>鏡又は胴へ取付けるアタッチメントの溶接部は，</w:t>
      </w:r>
      <w:r w:rsidRPr="00BC31E0">
        <w:rPr>
          <w:rFonts w:asciiTheme="majorEastAsia" w:eastAsiaTheme="majorEastAsia" w:hAnsiTheme="majorEastAsia" w:hint="eastAsia"/>
          <w:b/>
        </w:rPr>
        <w:t>表7.6.1</w:t>
      </w:r>
      <w:r w:rsidRPr="00BC31E0">
        <w:rPr>
          <w:rFonts w:hint="eastAsia"/>
        </w:rPr>
        <w:t>の溶接後熱処理が必要な厚さとして取付け位置における厚さを用いて，溶接後熱処理の要否と方法を決める</w:t>
      </w:r>
      <w:r w:rsidRPr="00BC31E0">
        <w:t>(</w:t>
      </w:r>
      <w:r w:rsidRPr="00BC31E0">
        <w:rPr>
          <w:rFonts w:asciiTheme="majorEastAsia" w:eastAsiaTheme="majorEastAsia" w:hAnsiTheme="majorEastAsia"/>
          <w:b/>
        </w:rPr>
        <w:t>7.4.1</w:t>
      </w:r>
      <w:r w:rsidRPr="00BC31E0">
        <w:rPr>
          <w:rFonts w:hint="eastAsia"/>
        </w:rPr>
        <w:t>を参照</w:t>
      </w:r>
      <w:r w:rsidRPr="00BC31E0">
        <w:t>)</w:t>
      </w:r>
      <w:r w:rsidRPr="00BC31E0">
        <w:rPr>
          <w:rFonts w:hint="eastAsia"/>
        </w:rPr>
        <w:t>。</w:t>
      </w:r>
    </w:p>
    <w:p w14:paraId="4078A598" w14:textId="77777777" w:rsidR="00EA6B85" w:rsidRPr="00BC31E0" w:rsidRDefault="00461768" w:rsidP="00736130">
      <w:pPr>
        <w:pStyle w:val="a4"/>
        <w:numPr>
          <w:ilvl w:val="0"/>
          <w:numId w:val="511"/>
        </w:numPr>
        <w:ind w:leftChars="0" w:left="454" w:hanging="454"/>
        <w:rPr>
          <w:sz w:val="20"/>
        </w:rPr>
      </w:pPr>
      <w:r w:rsidRPr="00BC31E0">
        <w:rPr>
          <w:rFonts w:hint="eastAsia"/>
        </w:rPr>
        <w:t>炉は自動温度記録装置を有していなければならない。容器及び容器部品の金属温度は，保持期間中は溶接後熱処理温度の</w:t>
      </w:r>
      <w:r w:rsidR="00704C66" w:rsidRPr="00BC31E0">
        <w:rPr>
          <w:rFonts w:ascii="Cambria Math" w:hAnsi="Cambria Math" w:cs="ＭＳ 明朝"/>
        </w:rPr>
        <w:t>±</w:t>
      </w:r>
      <w:r w:rsidR="00704C66" w:rsidRPr="00BC31E0">
        <w:rPr>
          <w:rFonts w:cs="ＭＳ 明朝" w:hint="eastAsia"/>
        </w:rPr>
        <w:t>14</w:t>
      </w:r>
      <w:r w:rsidR="00F17F01" w:rsidRPr="00BC31E0">
        <w:rPr>
          <w:rFonts w:asciiTheme="minorEastAsia" w:eastAsiaTheme="minorEastAsia" w:hAnsiTheme="minorEastAsia" w:hint="eastAsia"/>
          <w:bCs/>
        </w:rPr>
        <w:t>℃</w:t>
      </w:r>
      <w:r w:rsidRPr="00BC31E0">
        <w:rPr>
          <w:rFonts w:hint="eastAsia"/>
        </w:rPr>
        <w:t>以内に保持する。</w:t>
      </w:r>
    </w:p>
    <w:p w14:paraId="6F758804" w14:textId="77777777" w:rsidR="00461768" w:rsidRPr="00BC31E0" w:rsidRDefault="00461768" w:rsidP="00736130">
      <w:pPr>
        <w:pStyle w:val="a4"/>
        <w:numPr>
          <w:ilvl w:val="0"/>
          <w:numId w:val="511"/>
        </w:numPr>
        <w:ind w:leftChars="0" w:left="454" w:hanging="454"/>
        <w:rPr>
          <w:sz w:val="20"/>
        </w:rPr>
      </w:pPr>
      <w:r w:rsidRPr="00BC31E0">
        <w:rPr>
          <w:rFonts w:hint="eastAsia"/>
        </w:rPr>
        <w:t>部品又は容器全体の焼戻し脆化が問題になる場合には，スプレー又は浸漬によって溶接後熱処理をした後，急速冷却してもよい。熱処理の証明規定については</w:t>
      </w:r>
      <w:r w:rsidRPr="00BC31E0">
        <w:rPr>
          <w:rFonts w:asciiTheme="majorEastAsia" w:eastAsiaTheme="majorEastAsia" w:hAnsiTheme="majorEastAsia"/>
          <w:b/>
        </w:rPr>
        <w:t>5.2.8</w:t>
      </w:r>
      <w:r w:rsidRPr="00BC31E0">
        <w:rPr>
          <w:rFonts w:hint="eastAsia"/>
          <w:bCs/>
        </w:rPr>
        <w:t>を</w:t>
      </w:r>
      <w:r w:rsidRPr="00BC31E0">
        <w:rPr>
          <w:rFonts w:hint="eastAsia"/>
        </w:rPr>
        <w:t>参照する。</w:t>
      </w:r>
    </w:p>
    <w:p w14:paraId="0AEFEC74" w14:textId="77777777" w:rsidR="00461768" w:rsidRPr="00BC31E0" w:rsidRDefault="00461768" w:rsidP="00122B7E">
      <w:pPr>
        <w:pStyle w:val="3"/>
        <w:tabs>
          <w:tab w:val="clear" w:pos="284"/>
        </w:tabs>
        <w:ind w:left="794" w:hanging="794"/>
      </w:pPr>
      <w:r w:rsidRPr="00BC31E0">
        <w:rPr>
          <w:rFonts w:hint="eastAsia"/>
        </w:rPr>
        <w:t>検査及び試験</w:t>
      </w:r>
    </w:p>
    <w:p w14:paraId="314EE04E" w14:textId="77777777" w:rsidR="00461768" w:rsidRPr="00BC31E0" w:rsidRDefault="00461768" w:rsidP="00736065">
      <w:pPr>
        <w:pStyle w:val="1110"/>
        <w:ind w:firstLine="210"/>
      </w:pPr>
      <w:r w:rsidRPr="00BC31E0">
        <w:rPr>
          <w:rFonts w:hint="eastAsia"/>
        </w:rPr>
        <w:t>検査及び試験は，次の</w:t>
      </w:r>
      <w:r w:rsidRPr="00BC31E0">
        <w:rPr>
          <w:rFonts w:ascii="ＭＳ ゴシック" w:eastAsia="ＭＳ ゴシック" w:hAnsi="ＭＳ ゴシック" w:hint="eastAsia"/>
          <w:b/>
        </w:rPr>
        <w:t>a)</w:t>
      </w:r>
      <w:r w:rsidR="00736065" w:rsidRPr="00BC31E0">
        <w:rPr>
          <w:rFonts w:asciiTheme="minorEastAsia" w:eastAsiaTheme="minorEastAsia" w:hAnsiTheme="minorEastAsia" w:hint="eastAsia"/>
        </w:rPr>
        <w:t>，</w:t>
      </w:r>
      <w:r w:rsidRPr="00BC31E0">
        <w:rPr>
          <w:rFonts w:hint="eastAsia"/>
        </w:rPr>
        <w:t xml:space="preserve"> </w:t>
      </w:r>
      <w:r w:rsidRPr="00BC31E0">
        <w:rPr>
          <w:rFonts w:ascii="ＭＳ ゴシック" w:eastAsia="ＭＳ ゴシック" w:hAnsi="ＭＳ ゴシック" w:hint="eastAsia"/>
          <w:b/>
        </w:rPr>
        <w:t>b)</w:t>
      </w:r>
      <w:r w:rsidRPr="00BC31E0">
        <w:rPr>
          <w:rFonts w:hint="eastAsia"/>
        </w:rPr>
        <w:t>による。</w:t>
      </w:r>
    </w:p>
    <w:p w14:paraId="39FFD2B9" w14:textId="77777777" w:rsidR="00122B7E" w:rsidRPr="00BC31E0" w:rsidRDefault="00461768" w:rsidP="00736130">
      <w:pPr>
        <w:pStyle w:val="a4"/>
        <w:numPr>
          <w:ilvl w:val="0"/>
          <w:numId w:val="512"/>
        </w:numPr>
        <w:ind w:leftChars="0" w:left="454" w:hanging="454"/>
      </w:pPr>
      <w:r w:rsidRPr="00BC31E0">
        <w:rPr>
          <w:rFonts w:asciiTheme="majorEastAsia" w:eastAsiaTheme="majorEastAsia" w:hAnsiTheme="majorEastAsia" w:hint="eastAsia"/>
          <w:b/>
          <w:bCs/>
        </w:rPr>
        <w:t>熱処理後の検査</w:t>
      </w:r>
      <w:r w:rsidRPr="00BC31E0">
        <w:t xml:space="preserve">  </w:t>
      </w:r>
      <w:r w:rsidRPr="00BC31E0">
        <w:rPr>
          <w:rFonts w:hint="eastAsia"/>
        </w:rPr>
        <w:t>最終熱処理後，胴及び鏡の外面に対して，また，可能な場合には内面に対して</w:t>
      </w:r>
      <w:r w:rsidR="00677C23" w:rsidRPr="00BC31E0">
        <w:rPr>
          <w:rFonts w:hint="eastAsia"/>
        </w:rPr>
        <w:t>亀裂</w:t>
      </w:r>
      <w:r w:rsidRPr="00BC31E0">
        <w:rPr>
          <w:rFonts w:hint="eastAsia"/>
        </w:rPr>
        <w:t>が存在しないか検査する。この検査は</w:t>
      </w:r>
      <w:r w:rsidRPr="00BC31E0">
        <w:rPr>
          <w:rFonts w:asciiTheme="majorEastAsia" w:eastAsiaTheme="majorEastAsia" w:hAnsiTheme="majorEastAsia" w:hint="eastAsia"/>
          <w:b/>
        </w:rPr>
        <w:t>9.2.5 d)</w:t>
      </w:r>
      <w:r w:rsidRPr="00BC31E0">
        <w:rPr>
          <w:rFonts w:hint="eastAsia"/>
        </w:rPr>
        <w:t>に従って行う。</w:t>
      </w:r>
    </w:p>
    <w:p w14:paraId="2643DA80" w14:textId="77777777" w:rsidR="001053E9" w:rsidRPr="00BC31E0" w:rsidRDefault="00461768" w:rsidP="00736130">
      <w:pPr>
        <w:pStyle w:val="a4"/>
        <w:numPr>
          <w:ilvl w:val="0"/>
          <w:numId w:val="512"/>
        </w:numPr>
        <w:ind w:leftChars="0" w:left="454" w:hanging="454"/>
      </w:pPr>
      <w:r w:rsidRPr="00BC31E0">
        <w:rPr>
          <w:rFonts w:asciiTheme="majorEastAsia" w:eastAsiaTheme="majorEastAsia" w:hAnsiTheme="majorEastAsia" w:hint="eastAsia"/>
          <w:b/>
          <w:bCs/>
        </w:rPr>
        <w:t>硬さ試験による熱処理の確認</w:t>
      </w:r>
      <w:r w:rsidRPr="00BC31E0">
        <w:rPr>
          <w:rFonts w:hAnsi="ＭＳ ゴシック"/>
        </w:rPr>
        <w:t xml:space="preserve"> </w:t>
      </w:r>
      <w:r w:rsidRPr="00BC31E0">
        <w:t xml:space="preserve"> </w:t>
      </w:r>
      <w:r w:rsidR="00685507" w:rsidRPr="00BC31E0">
        <w:rPr>
          <w:rFonts w:hint="eastAsia"/>
        </w:rPr>
        <w:t>最終熱処理後，焼入</w:t>
      </w:r>
      <w:r w:rsidRPr="00BC31E0">
        <w:rPr>
          <w:rFonts w:hint="eastAsia"/>
        </w:rPr>
        <w:t>焼戻</w:t>
      </w:r>
      <w:r w:rsidR="00685507" w:rsidRPr="00BC31E0">
        <w:rPr>
          <w:rFonts w:hint="eastAsia"/>
        </w:rPr>
        <w:t>鋼</w:t>
      </w:r>
      <w:r w:rsidRPr="00BC31E0">
        <w:rPr>
          <w:rFonts w:hint="eastAsia"/>
        </w:rPr>
        <w:t>はブリネル硬さ試験をしなければならない。記録は少なくとも</w:t>
      </w:r>
      <w:r w:rsidRPr="00BC31E0">
        <w:t>3</w:t>
      </w:r>
      <w:r w:rsidRPr="00BC31E0">
        <w:rPr>
          <w:rFonts w:hint="eastAsia"/>
        </w:rPr>
        <w:t>ヶ所，すなわち，部品の中央と端部を代表する箇所で行う。各位置間の軸方向の間隔は</w:t>
      </w:r>
      <w:r w:rsidRPr="00BC31E0">
        <w:t>1.5 m</w:t>
      </w:r>
      <w:r w:rsidRPr="00BC31E0">
        <w:rPr>
          <w:rFonts w:hint="eastAsia"/>
        </w:rPr>
        <w:t>を超えてはならない。これらの位置では円周方向に等間隔に</w:t>
      </w:r>
      <w:r w:rsidRPr="00BC31E0">
        <w:t>4</w:t>
      </w:r>
      <w:r w:rsidRPr="00BC31E0">
        <w:rPr>
          <w:rFonts w:hint="eastAsia"/>
        </w:rPr>
        <w:t>ヶ所の記録が必要である。硬さを測定した位置におけるブリネル硬さは平均値で</w:t>
      </w:r>
      <w:r w:rsidRPr="00BC31E0">
        <w:t>40 HB</w:t>
      </w:r>
      <w:r w:rsidRPr="00BC31E0">
        <w:rPr>
          <w:rFonts w:hint="eastAsia"/>
        </w:rPr>
        <w:t>以上変化してはならない。</w:t>
      </w:r>
    </w:p>
    <w:p w14:paraId="14222B6E" w14:textId="77777777" w:rsidR="00122B7E" w:rsidRPr="00BC31E0" w:rsidRDefault="00122B7E" w:rsidP="00736130">
      <w:pPr>
        <w:pStyle w:val="a4"/>
        <w:numPr>
          <w:ilvl w:val="0"/>
          <w:numId w:val="512"/>
        </w:numPr>
        <w:ind w:leftChars="0" w:left="454" w:hanging="454"/>
        <w:sectPr w:rsidR="00122B7E" w:rsidRPr="00BC31E0" w:rsidSect="00ED57E1">
          <w:pgSz w:w="11906" w:h="16838" w:code="9"/>
          <w:pgMar w:top="1701" w:right="1418" w:bottom="1418" w:left="1418" w:header="720" w:footer="720" w:gutter="0"/>
          <w:cols w:space="425"/>
          <w:docGrid w:type="linesAndChars" w:linePitch="360"/>
        </w:sectPr>
      </w:pPr>
    </w:p>
    <w:p w14:paraId="7DE8E702" w14:textId="77777777" w:rsidR="001053E9" w:rsidRPr="00BC31E0" w:rsidRDefault="001053E9" w:rsidP="0007348D">
      <w:pPr>
        <w:spacing w:line="320" w:lineRule="exact"/>
        <w:jc w:val="center"/>
        <w:rPr>
          <w:rFonts w:ascii="ＭＳ ゴシック" w:eastAsia="ＭＳ ゴシック" w:hAnsi="ＭＳ ゴシック"/>
          <w:b/>
        </w:rPr>
      </w:pPr>
      <w:r w:rsidRPr="00BC31E0">
        <w:rPr>
          <w:rFonts w:ascii="ＭＳ ゴシック" w:eastAsia="ＭＳ ゴシック" w:hAnsi="ＭＳ ゴシック" w:hint="eastAsia"/>
          <w:b/>
        </w:rPr>
        <w:lastRenderedPageBreak/>
        <w:t xml:space="preserve">表7.6.1　焼入焼戻鋼に対する溶接後熱処理規定 </w:t>
      </w:r>
      <w:r w:rsidRPr="00BC31E0">
        <w:rPr>
          <w:rFonts w:ascii="ＭＳ ゴシック" w:eastAsia="ＭＳ ゴシック" w:hAnsi="ＭＳ ゴシック" w:hint="eastAsia"/>
          <w:b/>
          <w:vertAlign w:val="superscript"/>
        </w:rPr>
        <w:t>a)</w:t>
      </w:r>
    </w:p>
    <w:tbl>
      <w:tblPr>
        <w:tblW w:w="126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1"/>
        <w:gridCol w:w="1559"/>
        <w:gridCol w:w="2410"/>
        <w:gridCol w:w="2126"/>
        <w:gridCol w:w="3513"/>
      </w:tblGrid>
      <w:tr w:rsidR="001053E9" w:rsidRPr="00BC31E0" w14:paraId="0C4C0794" w14:textId="77777777" w:rsidTr="004736F2">
        <w:trPr>
          <w:trHeight w:val="794"/>
          <w:jc w:val="center"/>
        </w:trPr>
        <w:tc>
          <w:tcPr>
            <w:tcW w:w="3071" w:type="dxa"/>
            <w:vAlign w:val="center"/>
          </w:tcPr>
          <w:p w14:paraId="6AF345F0" w14:textId="77777777" w:rsidR="001053E9" w:rsidRPr="00BC31E0" w:rsidRDefault="001053E9" w:rsidP="001053E9">
            <w:pPr>
              <w:spacing w:line="300" w:lineRule="exact"/>
              <w:jc w:val="center"/>
              <w:rPr>
                <w:szCs w:val="22"/>
              </w:rPr>
            </w:pPr>
            <w:r w:rsidRPr="00BC31E0">
              <w:rPr>
                <w:szCs w:val="22"/>
              </w:rPr>
              <w:t>材料規格番号</w:t>
            </w:r>
          </w:p>
        </w:tc>
        <w:tc>
          <w:tcPr>
            <w:tcW w:w="1559" w:type="dxa"/>
            <w:vAlign w:val="center"/>
          </w:tcPr>
          <w:p w14:paraId="11CEFF1A" w14:textId="77777777" w:rsidR="001053E9" w:rsidRPr="00BC31E0" w:rsidRDefault="001053E9" w:rsidP="001053E9">
            <w:pPr>
              <w:spacing w:line="300" w:lineRule="exact"/>
              <w:jc w:val="center"/>
              <w:rPr>
                <w:rFonts w:asciiTheme="minorEastAsia" w:eastAsiaTheme="minorEastAsia" w:hAnsiTheme="minorEastAsia"/>
                <w:szCs w:val="22"/>
              </w:rPr>
            </w:pPr>
            <w:r w:rsidRPr="00BC31E0">
              <w:rPr>
                <w:rFonts w:asciiTheme="minorHAnsi" w:eastAsiaTheme="minorEastAsia" w:hAnsiTheme="minorHAnsi"/>
                <w:szCs w:val="22"/>
              </w:rPr>
              <w:t>P</w:t>
            </w:r>
            <w:r w:rsidRPr="00BC31E0">
              <w:rPr>
                <w:rFonts w:asciiTheme="minorEastAsia" w:eastAsiaTheme="minorEastAsia" w:hAnsiTheme="minorEastAsia" w:hint="eastAsia"/>
                <w:szCs w:val="22"/>
              </w:rPr>
              <w:t>番号</w:t>
            </w:r>
          </w:p>
        </w:tc>
        <w:tc>
          <w:tcPr>
            <w:tcW w:w="2410" w:type="dxa"/>
            <w:vAlign w:val="center"/>
          </w:tcPr>
          <w:p w14:paraId="4D1D461C" w14:textId="77777777" w:rsidR="001053E9" w:rsidRPr="00BC31E0" w:rsidRDefault="001053E9" w:rsidP="001053E9">
            <w:pPr>
              <w:spacing w:line="300" w:lineRule="exact"/>
              <w:jc w:val="center"/>
              <w:rPr>
                <w:rFonts w:asciiTheme="minorEastAsia" w:eastAsiaTheme="minorEastAsia" w:hAnsiTheme="minorEastAsia"/>
                <w:szCs w:val="22"/>
              </w:rPr>
            </w:pPr>
            <w:r w:rsidRPr="00BC31E0">
              <w:rPr>
                <w:rFonts w:asciiTheme="minorEastAsia" w:eastAsiaTheme="minorEastAsia" w:hAnsiTheme="minorEastAsia"/>
                <w:szCs w:val="22"/>
              </w:rPr>
              <w:t>溶接後熱処理が</w:t>
            </w:r>
          </w:p>
          <w:p w14:paraId="77178CD1" w14:textId="77777777" w:rsidR="001053E9" w:rsidRPr="00BC31E0" w:rsidRDefault="001053E9" w:rsidP="001053E9">
            <w:pPr>
              <w:spacing w:line="300" w:lineRule="exact"/>
              <w:jc w:val="center"/>
              <w:rPr>
                <w:rFonts w:asciiTheme="minorHAnsi" w:hAnsiTheme="minorHAnsi"/>
                <w:szCs w:val="22"/>
              </w:rPr>
            </w:pPr>
            <w:r w:rsidRPr="00BC31E0">
              <w:rPr>
                <w:rFonts w:asciiTheme="minorEastAsia" w:eastAsiaTheme="minorEastAsia" w:hAnsiTheme="minorEastAsia"/>
                <w:szCs w:val="22"/>
              </w:rPr>
              <w:t>必要な公称厚さ</w:t>
            </w:r>
            <w:r w:rsidRPr="00BC31E0">
              <w:rPr>
                <w:rFonts w:asciiTheme="minorHAnsi" w:eastAsiaTheme="minorEastAsia" w:hAnsiTheme="minorHAnsi"/>
                <w:szCs w:val="22"/>
              </w:rPr>
              <w:t>(mm)</w:t>
            </w:r>
          </w:p>
        </w:tc>
        <w:tc>
          <w:tcPr>
            <w:tcW w:w="2126" w:type="dxa"/>
            <w:vAlign w:val="center"/>
          </w:tcPr>
          <w:p w14:paraId="5D82164D" w14:textId="77777777" w:rsidR="001053E9" w:rsidRPr="00BC31E0" w:rsidRDefault="001053E9" w:rsidP="001053E9">
            <w:pPr>
              <w:spacing w:line="300" w:lineRule="exact"/>
              <w:jc w:val="center"/>
              <w:rPr>
                <w:rFonts w:asciiTheme="minorHAnsi" w:eastAsiaTheme="minorEastAsia" w:hAnsiTheme="minorHAnsi"/>
                <w:szCs w:val="22"/>
              </w:rPr>
            </w:pPr>
            <w:r w:rsidRPr="00BC31E0">
              <w:rPr>
                <w:rFonts w:asciiTheme="minorHAnsi" w:eastAsiaTheme="minorEastAsia" w:hAnsiTheme="minorEastAsia"/>
                <w:szCs w:val="22"/>
              </w:rPr>
              <w:t>溶接後熱処理温度</w:t>
            </w:r>
          </w:p>
          <w:p w14:paraId="629E62DC" w14:textId="77777777" w:rsidR="001053E9" w:rsidRPr="00BC31E0" w:rsidRDefault="001053E9" w:rsidP="001053E9">
            <w:pPr>
              <w:spacing w:line="300" w:lineRule="exact"/>
              <w:jc w:val="center"/>
              <w:rPr>
                <w:rFonts w:asciiTheme="minorHAnsi" w:hAnsiTheme="minorHAnsi"/>
                <w:szCs w:val="22"/>
              </w:rPr>
            </w:pPr>
            <w:r w:rsidRPr="00BC31E0">
              <w:rPr>
                <w:rFonts w:asciiTheme="minorHAnsi" w:eastAsiaTheme="minorEastAsia" w:hAnsiTheme="minorHAnsi"/>
                <w:szCs w:val="22"/>
              </w:rPr>
              <w:t>(</w:t>
            </w:r>
            <w:r w:rsidRPr="00BC31E0">
              <w:rPr>
                <w:rFonts w:asciiTheme="minorHAnsi" w:hAnsi="ＭＳ 明朝" w:cs="ＭＳ 明朝"/>
                <w:szCs w:val="22"/>
              </w:rPr>
              <w:t>℃</w:t>
            </w:r>
            <w:r w:rsidRPr="00BC31E0">
              <w:rPr>
                <w:rFonts w:asciiTheme="minorHAnsi" w:eastAsiaTheme="minorEastAsia" w:hAnsiTheme="minorHAnsi"/>
                <w:szCs w:val="22"/>
              </w:rPr>
              <w:t>)</w:t>
            </w:r>
          </w:p>
        </w:tc>
        <w:tc>
          <w:tcPr>
            <w:tcW w:w="3513" w:type="dxa"/>
            <w:vAlign w:val="center"/>
          </w:tcPr>
          <w:p w14:paraId="7143786C" w14:textId="77777777" w:rsidR="001053E9" w:rsidRPr="00BC31E0" w:rsidRDefault="001053E9" w:rsidP="001053E9">
            <w:pPr>
              <w:spacing w:line="300" w:lineRule="exact"/>
              <w:jc w:val="center"/>
              <w:rPr>
                <w:rFonts w:asciiTheme="minorHAnsi" w:eastAsiaTheme="minorEastAsia" w:hAnsiTheme="minorHAnsi"/>
                <w:szCs w:val="22"/>
              </w:rPr>
            </w:pPr>
            <w:r w:rsidRPr="00BC31E0">
              <w:rPr>
                <w:rFonts w:asciiTheme="minorHAnsi" w:eastAsiaTheme="minorEastAsia" w:hAnsiTheme="minorEastAsia"/>
                <w:szCs w:val="22"/>
              </w:rPr>
              <w:t>保持時間</w:t>
            </w:r>
            <w:r w:rsidRPr="00BC31E0">
              <w:rPr>
                <w:rFonts w:asciiTheme="minorHAnsi" w:eastAsiaTheme="minorEastAsia" w:hAnsiTheme="minorHAnsi"/>
                <w:szCs w:val="22"/>
              </w:rPr>
              <w:t>(h)</w:t>
            </w:r>
          </w:p>
          <w:p w14:paraId="446FB3A8" w14:textId="77777777" w:rsidR="001053E9" w:rsidRPr="00BC31E0" w:rsidRDefault="001053E9" w:rsidP="001053E9">
            <w:pPr>
              <w:spacing w:line="300" w:lineRule="exact"/>
              <w:ind w:firstLineChars="100" w:firstLine="210"/>
              <w:jc w:val="left"/>
              <w:rPr>
                <w:rFonts w:asciiTheme="minorHAnsi" w:eastAsiaTheme="minorEastAsia" w:hAnsiTheme="minorHAnsi"/>
                <w:szCs w:val="22"/>
              </w:rPr>
            </w:pPr>
            <w:r w:rsidRPr="00BC31E0">
              <w:rPr>
                <w:rFonts w:asciiTheme="minorHAnsi" w:eastAsiaTheme="minorEastAsia" w:hAnsiTheme="minorHAnsi"/>
                <w:szCs w:val="22"/>
              </w:rPr>
              <w:t>(</w:t>
            </w:r>
            <w:r w:rsidRPr="00BC31E0">
              <w:rPr>
                <w:rFonts w:asciiTheme="minorHAnsi" w:eastAsiaTheme="minorEastAsia" w:hAnsiTheme="minorEastAsia"/>
                <w:szCs w:val="22"/>
              </w:rPr>
              <w:t>時間</w:t>
            </w:r>
            <w:r w:rsidRPr="00BC31E0">
              <w:rPr>
                <w:rFonts w:asciiTheme="minorHAnsi" w:eastAsiaTheme="minorEastAsia" w:hAnsiTheme="minorHAnsi"/>
                <w:szCs w:val="22"/>
              </w:rPr>
              <w:t xml:space="preserve">/25mm) </w:t>
            </w:r>
            <w:r w:rsidRPr="00BC31E0">
              <w:rPr>
                <w:rFonts w:asciiTheme="minorHAnsi" w:eastAsiaTheme="minorEastAsia" w:hAnsiTheme="minorEastAsia"/>
                <w:szCs w:val="22"/>
              </w:rPr>
              <w:t xml:space="preserve">　　　最小</w:t>
            </w:r>
          </w:p>
        </w:tc>
      </w:tr>
      <w:tr w:rsidR="001053E9" w:rsidRPr="00BC31E0" w14:paraId="28B459C0" w14:textId="77777777" w:rsidTr="004736F2">
        <w:trPr>
          <w:trHeight w:val="1605"/>
          <w:jc w:val="center"/>
        </w:trPr>
        <w:tc>
          <w:tcPr>
            <w:tcW w:w="3071" w:type="dxa"/>
            <w:tcBorders>
              <w:bottom w:val="single" w:sz="4" w:space="0" w:color="auto"/>
            </w:tcBorders>
            <w:vAlign w:val="center"/>
          </w:tcPr>
          <w:p w14:paraId="5BCB808C" w14:textId="77777777" w:rsidR="001053E9" w:rsidRPr="00BC31E0" w:rsidRDefault="001053E9" w:rsidP="001053E9">
            <w:pPr>
              <w:spacing w:line="300" w:lineRule="exact"/>
              <w:ind w:firstLineChars="50" w:firstLine="105"/>
              <w:rPr>
                <w:rFonts w:asciiTheme="minorHAnsi" w:eastAsiaTheme="minorEastAsia" w:hAnsiTheme="minorHAnsi"/>
                <w:szCs w:val="22"/>
              </w:rPr>
            </w:pPr>
            <w:r w:rsidRPr="00BC31E0">
              <w:rPr>
                <w:rFonts w:asciiTheme="minorHAnsi" w:eastAsiaTheme="minorEastAsia" w:hAnsiTheme="minorHAnsi"/>
                <w:szCs w:val="22"/>
              </w:rPr>
              <w:t>SA-517</w:t>
            </w:r>
            <w:r w:rsidR="002851A3" w:rsidRPr="00BC31E0">
              <w:rPr>
                <w:rFonts w:asciiTheme="minorHAnsi" w:eastAsiaTheme="minorEastAsia" w:hAnsiTheme="minorHAnsi" w:hint="eastAsia"/>
                <w:szCs w:val="22"/>
              </w:rPr>
              <w:t>M</w:t>
            </w:r>
            <w:r w:rsidRPr="00BC31E0">
              <w:rPr>
                <w:rFonts w:asciiTheme="minorHAnsi" w:eastAsiaTheme="minorEastAsia" w:hAnsiTheme="minorHAnsi"/>
                <w:szCs w:val="22"/>
              </w:rPr>
              <w:t xml:space="preserve"> Grade A</w:t>
            </w:r>
          </w:p>
          <w:p w14:paraId="290F5526" w14:textId="77777777" w:rsidR="001053E9" w:rsidRPr="00BC31E0" w:rsidRDefault="001053E9" w:rsidP="001053E9">
            <w:pPr>
              <w:spacing w:line="300" w:lineRule="exact"/>
              <w:ind w:firstLineChars="50" w:firstLine="105"/>
              <w:rPr>
                <w:rFonts w:asciiTheme="minorHAnsi" w:eastAsiaTheme="minorEastAsia" w:hAnsiTheme="minorHAnsi"/>
                <w:szCs w:val="22"/>
              </w:rPr>
            </w:pPr>
            <w:r w:rsidRPr="00BC31E0">
              <w:rPr>
                <w:rFonts w:asciiTheme="minorHAnsi" w:eastAsiaTheme="minorEastAsia" w:hAnsiTheme="minorHAnsi"/>
                <w:szCs w:val="22"/>
              </w:rPr>
              <w:t>SA-517</w:t>
            </w:r>
            <w:r w:rsidR="002851A3" w:rsidRPr="00BC31E0">
              <w:rPr>
                <w:rFonts w:asciiTheme="minorHAnsi" w:eastAsiaTheme="minorEastAsia" w:hAnsiTheme="minorHAnsi" w:hint="eastAsia"/>
                <w:szCs w:val="22"/>
              </w:rPr>
              <w:t>M</w:t>
            </w:r>
            <w:r w:rsidRPr="00BC31E0">
              <w:rPr>
                <w:rFonts w:asciiTheme="minorHAnsi" w:eastAsiaTheme="minorEastAsia" w:hAnsiTheme="minorHAnsi"/>
                <w:szCs w:val="22"/>
              </w:rPr>
              <w:t xml:space="preserve"> Grade B</w:t>
            </w:r>
          </w:p>
          <w:p w14:paraId="4C4267EC" w14:textId="77777777" w:rsidR="001053E9" w:rsidRPr="00BC31E0" w:rsidRDefault="001053E9" w:rsidP="001053E9">
            <w:pPr>
              <w:spacing w:line="300" w:lineRule="exact"/>
              <w:ind w:firstLineChars="50" w:firstLine="105"/>
              <w:rPr>
                <w:rFonts w:asciiTheme="minorHAnsi" w:eastAsiaTheme="minorEastAsia" w:hAnsiTheme="minorHAnsi"/>
                <w:szCs w:val="22"/>
              </w:rPr>
            </w:pPr>
            <w:r w:rsidRPr="00BC31E0">
              <w:rPr>
                <w:rFonts w:asciiTheme="minorHAnsi" w:eastAsiaTheme="minorEastAsia" w:hAnsiTheme="minorHAnsi"/>
                <w:szCs w:val="22"/>
              </w:rPr>
              <w:t>SA-517</w:t>
            </w:r>
            <w:r w:rsidR="002851A3" w:rsidRPr="00BC31E0">
              <w:rPr>
                <w:rFonts w:asciiTheme="minorHAnsi" w:eastAsiaTheme="minorEastAsia" w:hAnsiTheme="minorHAnsi" w:hint="eastAsia"/>
                <w:szCs w:val="22"/>
              </w:rPr>
              <w:t>M</w:t>
            </w:r>
            <w:r w:rsidRPr="00BC31E0">
              <w:rPr>
                <w:rFonts w:asciiTheme="minorHAnsi" w:eastAsiaTheme="minorEastAsia" w:hAnsiTheme="minorHAnsi"/>
                <w:szCs w:val="22"/>
              </w:rPr>
              <w:t xml:space="preserve"> Grade E</w:t>
            </w:r>
          </w:p>
          <w:p w14:paraId="2A99AFC3" w14:textId="77777777" w:rsidR="001053E9" w:rsidRPr="00BC31E0" w:rsidRDefault="001053E9" w:rsidP="001053E9">
            <w:pPr>
              <w:spacing w:line="300" w:lineRule="exact"/>
              <w:ind w:firstLineChars="50" w:firstLine="105"/>
              <w:rPr>
                <w:rFonts w:asciiTheme="minorHAnsi" w:eastAsiaTheme="minorEastAsia" w:hAnsiTheme="minorHAnsi"/>
                <w:szCs w:val="22"/>
              </w:rPr>
            </w:pPr>
            <w:r w:rsidRPr="00BC31E0">
              <w:rPr>
                <w:rFonts w:asciiTheme="minorHAnsi" w:eastAsiaTheme="minorEastAsia" w:hAnsiTheme="minorHAnsi"/>
                <w:szCs w:val="22"/>
              </w:rPr>
              <w:t>SA-517</w:t>
            </w:r>
            <w:r w:rsidR="002851A3" w:rsidRPr="00BC31E0">
              <w:rPr>
                <w:rFonts w:asciiTheme="minorHAnsi" w:eastAsiaTheme="minorEastAsia" w:hAnsiTheme="minorHAnsi" w:hint="eastAsia"/>
                <w:szCs w:val="22"/>
              </w:rPr>
              <w:t>M</w:t>
            </w:r>
            <w:r w:rsidRPr="00BC31E0">
              <w:rPr>
                <w:rFonts w:asciiTheme="minorHAnsi" w:eastAsiaTheme="minorEastAsia" w:hAnsiTheme="minorHAnsi"/>
                <w:szCs w:val="22"/>
              </w:rPr>
              <w:t xml:space="preserve"> Grade F</w:t>
            </w:r>
          </w:p>
          <w:p w14:paraId="64F89C50" w14:textId="77777777" w:rsidR="001053E9" w:rsidRPr="00BC31E0" w:rsidRDefault="001053E9" w:rsidP="002851A3">
            <w:pPr>
              <w:spacing w:line="300" w:lineRule="exact"/>
              <w:ind w:firstLineChars="50" w:firstLine="105"/>
              <w:rPr>
                <w:szCs w:val="22"/>
              </w:rPr>
            </w:pPr>
            <w:r w:rsidRPr="00BC31E0">
              <w:rPr>
                <w:rFonts w:asciiTheme="minorHAnsi" w:eastAsiaTheme="minorEastAsia" w:hAnsiTheme="minorHAnsi"/>
                <w:szCs w:val="22"/>
              </w:rPr>
              <w:t>SA-517</w:t>
            </w:r>
            <w:r w:rsidR="002851A3" w:rsidRPr="00BC31E0">
              <w:rPr>
                <w:rFonts w:asciiTheme="minorHAnsi" w:eastAsiaTheme="minorEastAsia" w:hAnsiTheme="minorHAnsi" w:hint="eastAsia"/>
                <w:szCs w:val="22"/>
              </w:rPr>
              <w:t xml:space="preserve">M </w:t>
            </w:r>
            <w:r w:rsidRPr="00BC31E0">
              <w:rPr>
                <w:rFonts w:asciiTheme="minorHAnsi" w:eastAsiaTheme="minorEastAsia" w:hAnsiTheme="minorHAnsi"/>
                <w:szCs w:val="22"/>
              </w:rPr>
              <w:t>Grade P</w:t>
            </w:r>
          </w:p>
        </w:tc>
        <w:tc>
          <w:tcPr>
            <w:tcW w:w="1559" w:type="dxa"/>
            <w:tcBorders>
              <w:bottom w:val="single" w:sz="4" w:space="0" w:color="auto"/>
            </w:tcBorders>
            <w:vAlign w:val="center"/>
          </w:tcPr>
          <w:p w14:paraId="3091860D" w14:textId="77777777" w:rsidR="001053E9" w:rsidRPr="00BC31E0" w:rsidRDefault="001053E9" w:rsidP="001053E9">
            <w:pPr>
              <w:spacing w:line="300" w:lineRule="exact"/>
              <w:ind w:firstLineChars="50" w:firstLine="105"/>
              <w:jc w:val="center"/>
              <w:rPr>
                <w:rFonts w:asciiTheme="minorHAnsi" w:eastAsiaTheme="minorEastAsia" w:hAnsiTheme="minorHAnsi"/>
                <w:szCs w:val="22"/>
              </w:rPr>
            </w:pPr>
            <w:r w:rsidRPr="00BC31E0">
              <w:rPr>
                <w:rFonts w:asciiTheme="minorHAnsi" w:eastAsiaTheme="minorEastAsia" w:hAnsiTheme="minorHAnsi"/>
                <w:szCs w:val="22"/>
              </w:rPr>
              <w:t>11B Gr.1</w:t>
            </w:r>
            <w:r w:rsidRPr="00BC31E0">
              <w:rPr>
                <w:rFonts w:ascii="ＭＳ ゴシック" w:eastAsia="ＭＳ ゴシック" w:hAnsi="ＭＳ ゴシック"/>
                <w:b/>
                <w:szCs w:val="22"/>
                <w:vertAlign w:val="superscript"/>
              </w:rPr>
              <w:t xml:space="preserve"> c)</w:t>
            </w:r>
          </w:p>
          <w:p w14:paraId="59D06428" w14:textId="77777777" w:rsidR="001053E9" w:rsidRPr="00BC31E0" w:rsidRDefault="001053E9" w:rsidP="001053E9">
            <w:pPr>
              <w:spacing w:line="300" w:lineRule="exact"/>
              <w:ind w:firstLineChars="50" w:firstLine="105"/>
              <w:jc w:val="center"/>
              <w:rPr>
                <w:rFonts w:asciiTheme="minorHAnsi" w:eastAsiaTheme="minorEastAsia" w:hAnsiTheme="minorHAnsi"/>
                <w:szCs w:val="22"/>
              </w:rPr>
            </w:pPr>
            <w:r w:rsidRPr="00BC31E0">
              <w:rPr>
                <w:rFonts w:asciiTheme="minorHAnsi" w:eastAsiaTheme="minorEastAsia" w:hAnsiTheme="minorHAnsi"/>
                <w:szCs w:val="22"/>
              </w:rPr>
              <w:t xml:space="preserve">11B Gr.4 </w:t>
            </w:r>
            <w:r w:rsidRPr="00BC31E0">
              <w:rPr>
                <w:rFonts w:ascii="ＭＳ ゴシック" w:eastAsia="ＭＳ ゴシック" w:hAnsi="ＭＳ ゴシック"/>
                <w:b/>
                <w:szCs w:val="22"/>
                <w:vertAlign w:val="superscript"/>
              </w:rPr>
              <w:t>c)</w:t>
            </w:r>
          </w:p>
          <w:p w14:paraId="2A9F3EA8" w14:textId="77777777" w:rsidR="001053E9" w:rsidRPr="00BC31E0" w:rsidRDefault="001053E9" w:rsidP="001053E9">
            <w:pPr>
              <w:spacing w:line="300" w:lineRule="exact"/>
              <w:ind w:firstLineChars="50" w:firstLine="105"/>
              <w:jc w:val="center"/>
              <w:rPr>
                <w:rFonts w:asciiTheme="minorHAnsi" w:eastAsiaTheme="minorEastAsia" w:hAnsiTheme="minorHAnsi"/>
                <w:szCs w:val="22"/>
              </w:rPr>
            </w:pPr>
            <w:r w:rsidRPr="00BC31E0">
              <w:rPr>
                <w:rFonts w:asciiTheme="minorHAnsi" w:eastAsiaTheme="minorEastAsia" w:hAnsiTheme="minorHAnsi"/>
                <w:szCs w:val="22"/>
              </w:rPr>
              <w:t xml:space="preserve">11B Gr.2 </w:t>
            </w:r>
            <w:r w:rsidRPr="00BC31E0">
              <w:rPr>
                <w:rFonts w:ascii="ＭＳ ゴシック" w:eastAsia="ＭＳ ゴシック" w:hAnsi="ＭＳ ゴシック"/>
                <w:b/>
                <w:szCs w:val="22"/>
                <w:vertAlign w:val="superscript"/>
              </w:rPr>
              <w:t>c)</w:t>
            </w:r>
          </w:p>
          <w:p w14:paraId="3A336AA1" w14:textId="77777777" w:rsidR="001053E9" w:rsidRPr="00BC31E0" w:rsidRDefault="001053E9" w:rsidP="001053E9">
            <w:pPr>
              <w:spacing w:line="300" w:lineRule="exact"/>
              <w:ind w:firstLineChars="50" w:firstLine="105"/>
              <w:jc w:val="center"/>
              <w:rPr>
                <w:rFonts w:asciiTheme="minorHAnsi" w:eastAsiaTheme="minorEastAsia" w:hAnsiTheme="minorHAnsi"/>
                <w:szCs w:val="22"/>
              </w:rPr>
            </w:pPr>
            <w:r w:rsidRPr="00BC31E0">
              <w:rPr>
                <w:rFonts w:asciiTheme="minorHAnsi" w:eastAsiaTheme="minorEastAsia" w:hAnsiTheme="minorHAnsi"/>
                <w:szCs w:val="22"/>
              </w:rPr>
              <w:t xml:space="preserve">11B Gr.6 </w:t>
            </w:r>
            <w:r w:rsidRPr="00BC31E0">
              <w:rPr>
                <w:rFonts w:ascii="ＭＳ ゴシック" w:eastAsia="ＭＳ ゴシック" w:hAnsi="ＭＳ ゴシック"/>
                <w:b/>
                <w:szCs w:val="22"/>
                <w:vertAlign w:val="superscript"/>
              </w:rPr>
              <w:t>c)</w:t>
            </w:r>
          </w:p>
          <w:p w14:paraId="618E73C9" w14:textId="77777777" w:rsidR="001053E9" w:rsidRPr="00BC31E0" w:rsidRDefault="001053E9" w:rsidP="001053E9">
            <w:pPr>
              <w:spacing w:line="300" w:lineRule="exact"/>
              <w:ind w:firstLineChars="50" w:firstLine="105"/>
              <w:jc w:val="center"/>
              <w:rPr>
                <w:rFonts w:asciiTheme="minorHAnsi" w:eastAsiaTheme="minorEastAsia" w:hAnsiTheme="minorHAnsi"/>
                <w:szCs w:val="22"/>
              </w:rPr>
            </w:pPr>
            <w:r w:rsidRPr="00BC31E0">
              <w:rPr>
                <w:rFonts w:asciiTheme="minorHAnsi" w:eastAsiaTheme="minorEastAsia" w:hAnsiTheme="minorHAnsi"/>
                <w:szCs w:val="22"/>
              </w:rPr>
              <w:t xml:space="preserve">11B Gr.8 </w:t>
            </w:r>
            <w:r w:rsidRPr="00BC31E0">
              <w:rPr>
                <w:rFonts w:ascii="ＭＳ ゴシック" w:eastAsia="ＭＳ ゴシック" w:hAnsi="ＭＳ ゴシック"/>
                <w:b/>
                <w:szCs w:val="22"/>
                <w:vertAlign w:val="superscript"/>
              </w:rPr>
              <w:t>c)</w:t>
            </w:r>
          </w:p>
        </w:tc>
        <w:tc>
          <w:tcPr>
            <w:tcW w:w="2410" w:type="dxa"/>
            <w:tcBorders>
              <w:bottom w:val="single" w:sz="4" w:space="0" w:color="auto"/>
            </w:tcBorders>
            <w:vAlign w:val="center"/>
          </w:tcPr>
          <w:p w14:paraId="30FCC2EF" w14:textId="77777777" w:rsidR="001053E9" w:rsidRPr="00BC31E0" w:rsidRDefault="001053E9" w:rsidP="001053E9">
            <w:pPr>
              <w:spacing w:line="300" w:lineRule="exact"/>
              <w:jc w:val="center"/>
              <w:rPr>
                <w:rFonts w:asciiTheme="minorHAnsi" w:eastAsiaTheme="minorEastAsia" w:hAnsiTheme="minorHAnsi"/>
                <w:szCs w:val="22"/>
              </w:rPr>
            </w:pPr>
            <w:r w:rsidRPr="00BC31E0">
              <w:rPr>
                <w:rFonts w:asciiTheme="minorHAnsi" w:eastAsiaTheme="minorEastAsia" w:hAnsiTheme="minorHAnsi"/>
                <w:szCs w:val="22"/>
              </w:rPr>
              <w:t>&gt; 15</w:t>
            </w:r>
          </w:p>
          <w:p w14:paraId="6BCF074A" w14:textId="77777777" w:rsidR="001053E9" w:rsidRPr="00BC31E0" w:rsidRDefault="001053E9" w:rsidP="001053E9">
            <w:pPr>
              <w:spacing w:line="300" w:lineRule="exact"/>
              <w:jc w:val="center"/>
              <w:rPr>
                <w:rFonts w:asciiTheme="minorHAnsi" w:eastAsiaTheme="minorEastAsia" w:hAnsiTheme="minorHAnsi"/>
                <w:szCs w:val="22"/>
              </w:rPr>
            </w:pPr>
            <w:r w:rsidRPr="00BC31E0">
              <w:rPr>
                <w:rFonts w:asciiTheme="minorHAnsi" w:eastAsiaTheme="minorEastAsia" w:hAnsiTheme="minorHAnsi"/>
                <w:szCs w:val="22"/>
              </w:rPr>
              <w:t>&gt; 15</w:t>
            </w:r>
          </w:p>
          <w:p w14:paraId="00579221" w14:textId="77777777" w:rsidR="001053E9" w:rsidRPr="00BC31E0" w:rsidRDefault="001053E9" w:rsidP="001053E9">
            <w:pPr>
              <w:spacing w:line="300" w:lineRule="exact"/>
              <w:jc w:val="center"/>
              <w:rPr>
                <w:rFonts w:asciiTheme="minorHAnsi" w:eastAsiaTheme="minorEastAsia" w:hAnsiTheme="minorHAnsi"/>
                <w:szCs w:val="22"/>
              </w:rPr>
            </w:pPr>
            <w:r w:rsidRPr="00BC31E0">
              <w:rPr>
                <w:rFonts w:asciiTheme="minorHAnsi" w:eastAsiaTheme="minorEastAsia" w:hAnsiTheme="minorHAnsi"/>
                <w:szCs w:val="22"/>
              </w:rPr>
              <w:t>&gt; 15</w:t>
            </w:r>
          </w:p>
          <w:p w14:paraId="3A8DB35C" w14:textId="77777777" w:rsidR="001053E9" w:rsidRPr="00BC31E0" w:rsidRDefault="001053E9" w:rsidP="001053E9">
            <w:pPr>
              <w:spacing w:line="300" w:lineRule="exact"/>
              <w:jc w:val="center"/>
              <w:rPr>
                <w:rFonts w:asciiTheme="minorHAnsi" w:eastAsiaTheme="minorEastAsia" w:hAnsiTheme="minorHAnsi"/>
                <w:szCs w:val="22"/>
              </w:rPr>
            </w:pPr>
            <w:r w:rsidRPr="00BC31E0">
              <w:rPr>
                <w:rFonts w:asciiTheme="minorHAnsi" w:eastAsiaTheme="minorEastAsia" w:hAnsiTheme="minorHAnsi"/>
                <w:szCs w:val="22"/>
              </w:rPr>
              <w:t>&gt; 15</w:t>
            </w:r>
          </w:p>
          <w:p w14:paraId="6926B32D" w14:textId="77777777" w:rsidR="001053E9" w:rsidRPr="00BC31E0" w:rsidRDefault="001053E9" w:rsidP="001053E9">
            <w:pPr>
              <w:spacing w:line="300" w:lineRule="exact"/>
              <w:jc w:val="center"/>
              <w:rPr>
                <w:rFonts w:asciiTheme="minorHAnsi" w:eastAsiaTheme="minorEastAsia" w:hAnsiTheme="minorHAnsi"/>
                <w:szCs w:val="22"/>
              </w:rPr>
            </w:pPr>
            <w:r w:rsidRPr="00BC31E0">
              <w:rPr>
                <w:rFonts w:asciiTheme="minorHAnsi" w:eastAsiaTheme="minorEastAsia" w:hAnsiTheme="minorHAnsi"/>
                <w:szCs w:val="22"/>
              </w:rPr>
              <w:t>&gt; 15</w:t>
            </w:r>
          </w:p>
        </w:tc>
        <w:tc>
          <w:tcPr>
            <w:tcW w:w="2126" w:type="dxa"/>
            <w:tcBorders>
              <w:bottom w:val="single" w:sz="4" w:space="0" w:color="auto"/>
            </w:tcBorders>
            <w:vAlign w:val="center"/>
          </w:tcPr>
          <w:p w14:paraId="0CB4BD03" w14:textId="77777777" w:rsidR="001053E9" w:rsidRPr="00BC31E0" w:rsidRDefault="001053E9" w:rsidP="001053E9">
            <w:pPr>
              <w:spacing w:line="300" w:lineRule="exact"/>
              <w:jc w:val="center"/>
              <w:rPr>
                <w:rFonts w:asciiTheme="minorHAnsi" w:eastAsiaTheme="minorEastAsia" w:hAnsiTheme="minorHAnsi"/>
                <w:szCs w:val="22"/>
              </w:rPr>
            </w:pPr>
            <w:r w:rsidRPr="00BC31E0">
              <w:rPr>
                <w:rFonts w:asciiTheme="minorHAnsi" w:eastAsiaTheme="minorEastAsia" w:hAnsiTheme="minorHAnsi"/>
                <w:szCs w:val="22"/>
              </w:rPr>
              <w:t xml:space="preserve">540 </w:t>
            </w:r>
            <w:r w:rsidRPr="00BC31E0">
              <w:rPr>
                <w:rFonts w:asciiTheme="minorHAnsi" w:eastAsiaTheme="minorEastAsia" w:hAnsiTheme="minorHAnsi"/>
                <w:szCs w:val="22"/>
              </w:rPr>
              <w:t>～</w:t>
            </w:r>
            <w:r w:rsidRPr="00BC31E0">
              <w:rPr>
                <w:rFonts w:asciiTheme="minorHAnsi" w:eastAsiaTheme="minorEastAsia" w:hAnsiTheme="minorHAnsi"/>
                <w:szCs w:val="22"/>
              </w:rPr>
              <w:t xml:space="preserve"> 595</w:t>
            </w:r>
          </w:p>
          <w:p w14:paraId="0CC3D2A4" w14:textId="77777777" w:rsidR="001053E9" w:rsidRPr="00BC31E0" w:rsidRDefault="001053E9" w:rsidP="001053E9">
            <w:pPr>
              <w:spacing w:line="300" w:lineRule="exact"/>
              <w:jc w:val="center"/>
              <w:rPr>
                <w:rFonts w:asciiTheme="minorHAnsi" w:eastAsiaTheme="minorEastAsia" w:hAnsiTheme="minorHAnsi"/>
                <w:szCs w:val="22"/>
              </w:rPr>
            </w:pPr>
            <w:r w:rsidRPr="00BC31E0">
              <w:rPr>
                <w:rFonts w:asciiTheme="minorHAnsi" w:eastAsiaTheme="minorEastAsia" w:hAnsiTheme="minorHAnsi"/>
                <w:szCs w:val="22"/>
              </w:rPr>
              <w:t xml:space="preserve">540 </w:t>
            </w:r>
            <w:r w:rsidRPr="00BC31E0">
              <w:rPr>
                <w:rFonts w:asciiTheme="minorHAnsi" w:eastAsiaTheme="minorEastAsia" w:hAnsiTheme="minorHAnsi"/>
                <w:szCs w:val="22"/>
              </w:rPr>
              <w:t>～</w:t>
            </w:r>
            <w:r w:rsidRPr="00BC31E0">
              <w:rPr>
                <w:rFonts w:asciiTheme="minorHAnsi" w:eastAsiaTheme="minorEastAsia" w:hAnsiTheme="minorHAnsi"/>
                <w:szCs w:val="22"/>
              </w:rPr>
              <w:t xml:space="preserve"> 595</w:t>
            </w:r>
          </w:p>
          <w:p w14:paraId="4F749A0B" w14:textId="77777777" w:rsidR="001053E9" w:rsidRPr="00BC31E0" w:rsidRDefault="001053E9" w:rsidP="001053E9">
            <w:pPr>
              <w:spacing w:line="300" w:lineRule="exact"/>
              <w:jc w:val="center"/>
              <w:rPr>
                <w:rFonts w:asciiTheme="minorHAnsi" w:eastAsiaTheme="minorEastAsia" w:hAnsiTheme="minorHAnsi"/>
                <w:szCs w:val="22"/>
              </w:rPr>
            </w:pPr>
            <w:r w:rsidRPr="00BC31E0">
              <w:rPr>
                <w:rFonts w:asciiTheme="minorHAnsi" w:eastAsiaTheme="minorEastAsia" w:hAnsiTheme="minorHAnsi"/>
                <w:szCs w:val="22"/>
              </w:rPr>
              <w:t xml:space="preserve">540 </w:t>
            </w:r>
            <w:r w:rsidRPr="00BC31E0">
              <w:rPr>
                <w:rFonts w:asciiTheme="minorHAnsi" w:eastAsiaTheme="minorEastAsia" w:hAnsiTheme="minorHAnsi"/>
                <w:szCs w:val="22"/>
              </w:rPr>
              <w:t>～</w:t>
            </w:r>
            <w:r w:rsidRPr="00BC31E0">
              <w:rPr>
                <w:rFonts w:asciiTheme="minorHAnsi" w:eastAsiaTheme="minorEastAsia" w:hAnsiTheme="minorHAnsi"/>
                <w:szCs w:val="22"/>
              </w:rPr>
              <w:t xml:space="preserve"> 595</w:t>
            </w:r>
          </w:p>
          <w:p w14:paraId="4746883D" w14:textId="77777777" w:rsidR="001053E9" w:rsidRPr="00BC31E0" w:rsidRDefault="001053E9" w:rsidP="001053E9">
            <w:pPr>
              <w:spacing w:line="300" w:lineRule="exact"/>
              <w:jc w:val="center"/>
              <w:rPr>
                <w:rFonts w:asciiTheme="minorHAnsi" w:eastAsiaTheme="minorEastAsia" w:hAnsiTheme="minorHAnsi"/>
                <w:szCs w:val="22"/>
              </w:rPr>
            </w:pPr>
            <w:r w:rsidRPr="00BC31E0">
              <w:rPr>
                <w:rFonts w:asciiTheme="minorHAnsi" w:eastAsiaTheme="minorEastAsia" w:hAnsiTheme="minorHAnsi"/>
                <w:szCs w:val="22"/>
              </w:rPr>
              <w:t xml:space="preserve">540 </w:t>
            </w:r>
            <w:r w:rsidRPr="00BC31E0">
              <w:rPr>
                <w:rFonts w:asciiTheme="minorHAnsi" w:eastAsiaTheme="minorEastAsia" w:hAnsiTheme="minorHAnsi"/>
                <w:szCs w:val="22"/>
              </w:rPr>
              <w:t>～</w:t>
            </w:r>
            <w:r w:rsidRPr="00BC31E0">
              <w:rPr>
                <w:rFonts w:asciiTheme="minorHAnsi" w:eastAsiaTheme="minorEastAsia" w:hAnsiTheme="minorHAnsi"/>
                <w:szCs w:val="22"/>
              </w:rPr>
              <w:t xml:space="preserve"> 595</w:t>
            </w:r>
          </w:p>
          <w:p w14:paraId="77E569BE" w14:textId="77777777" w:rsidR="001053E9" w:rsidRPr="00BC31E0" w:rsidRDefault="001053E9" w:rsidP="001053E9">
            <w:pPr>
              <w:spacing w:line="300" w:lineRule="exact"/>
              <w:jc w:val="center"/>
              <w:rPr>
                <w:rFonts w:asciiTheme="minorHAnsi" w:eastAsiaTheme="minorEastAsia" w:hAnsiTheme="minorHAnsi"/>
                <w:szCs w:val="22"/>
              </w:rPr>
            </w:pPr>
            <w:r w:rsidRPr="00BC31E0">
              <w:rPr>
                <w:rFonts w:asciiTheme="minorHAnsi" w:eastAsiaTheme="minorEastAsia" w:hAnsiTheme="minorHAnsi"/>
                <w:szCs w:val="22"/>
              </w:rPr>
              <w:t xml:space="preserve">540 </w:t>
            </w:r>
            <w:r w:rsidRPr="00BC31E0">
              <w:rPr>
                <w:rFonts w:asciiTheme="minorHAnsi" w:eastAsiaTheme="minorEastAsia" w:hAnsiTheme="minorHAnsi"/>
                <w:szCs w:val="22"/>
              </w:rPr>
              <w:t>～</w:t>
            </w:r>
            <w:r w:rsidRPr="00BC31E0">
              <w:rPr>
                <w:rFonts w:asciiTheme="minorHAnsi" w:eastAsiaTheme="minorEastAsia" w:hAnsiTheme="minorHAnsi"/>
                <w:szCs w:val="22"/>
              </w:rPr>
              <w:t xml:space="preserve"> 595</w:t>
            </w:r>
          </w:p>
        </w:tc>
        <w:tc>
          <w:tcPr>
            <w:tcW w:w="3513" w:type="dxa"/>
            <w:tcBorders>
              <w:bottom w:val="single" w:sz="4" w:space="0" w:color="auto"/>
            </w:tcBorders>
            <w:vAlign w:val="center"/>
          </w:tcPr>
          <w:p w14:paraId="37169935" w14:textId="77777777" w:rsidR="001053E9" w:rsidRPr="00BC31E0" w:rsidRDefault="001053E9" w:rsidP="001053E9">
            <w:pPr>
              <w:spacing w:line="300" w:lineRule="exact"/>
              <w:jc w:val="center"/>
              <w:rPr>
                <w:rFonts w:asciiTheme="minorHAnsi" w:eastAsiaTheme="minorEastAsia" w:hAnsiTheme="minorHAnsi"/>
                <w:szCs w:val="22"/>
              </w:rPr>
            </w:pPr>
            <w:r w:rsidRPr="00BC31E0">
              <w:rPr>
                <w:rFonts w:asciiTheme="minorHAnsi" w:eastAsiaTheme="minorEastAsia" w:hAnsiTheme="minorHAnsi"/>
                <w:szCs w:val="22"/>
              </w:rPr>
              <w:t>1</w:t>
            </w:r>
            <w:r w:rsidRPr="00BC31E0">
              <w:rPr>
                <w:rFonts w:asciiTheme="minorHAnsi" w:eastAsiaTheme="minorEastAsia" w:hAnsiTheme="minorHAnsi"/>
                <w:szCs w:val="22"/>
              </w:rPr>
              <w:t xml:space="preserve">　　　　　　</w:t>
            </w:r>
            <w:r w:rsidRPr="00BC31E0">
              <w:rPr>
                <w:rFonts w:asciiTheme="minorHAnsi" w:eastAsiaTheme="minorEastAsia" w:hAnsiTheme="minorHAnsi"/>
                <w:szCs w:val="22"/>
              </w:rPr>
              <w:t>1/4</w:t>
            </w:r>
          </w:p>
          <w:p w14:paraId="79005167" w14:textId="77777777" w:rsidR="001053E9" w:rsidRPr="00BC31E0" w:rsidRDefault="001053E9" w:rsidP="001053E9">
            <w:pPr>
              <w:spacing w:line="300" w:lineRule="exact"/>
              <w:jc w:val="center"/>
              <w:rPr>
                <w:rFonts w:asciiTheme="minorHAnsi" w:eastAsiaTheme="minorEastAsia" w:hAnsiTheme="minorHAnsi"/>
                <w:szCs w:val="22"/>
              </w:rPr>
            </w:pPr>
            <w:r w:rsidRPr="00BC31E0">
              <w:rPr>
                <w:rFonts w:asciiTheme="minorHAnsi" w:eastAsiaTheme="minorEastAsia" w:hAnsiTheme="minorHAnsi"/>
                <w:szCs w:val="22"/>
              </w:rPr>
              <w:t>1</w:t>
            </w:r>
            <w:r w:rsidRPr="00BC31E0">
              <w:rPr>
                <w:rFonts w:asciiTheme="minorHAnsi" w:eastAsiaTheme="minorEastAsia" w:hAnsiTheme="minorHAnsi"/>
                <w:szCs w:val="22"/>
              </w:rPr>
              <w:t xml:space="preserve">　　　　　　</w:t>
            </w:r>
            <w:r w:rsidRPr="00BC31E0">
              <w:rPr>
                <w:rFonts w:asciiTheme="minorHAnsi" w:eastAsiaTheme="minorEastAsia" w:hAnsiTheme="minorHAnsi"/>
                <w:szCs w:val="22"/>
              </w:rPr>
              <w:t>1/4</w:t>
            </w:r>
          </w:p>
          <w:p w14:paraId="1C3FE3BE" w14:textId="77777777" w:rsidR="001053E9" w:rsidRPr="00BC31E0" w:rsidRDefault="001053E9" w:rsidP="001053E9">
            <w:pPr>
              <w:spacing w:line="300" w:lineRule="exact"/>
              <w:jc w:val="center"/>
              <w:rPr>
                <w:rFonts w:asciiTheme="minorHAnsi" w:eastAsiaTheme="minorEastAsia" w:hAnsiTheme="minorHAnsi"/>
                <w:szCs w:val="22"/>
              </w:rPr>
            </w:pPr>
            <w:r w:rsidRPr="00BC31E0">
              <w:rPr>
                <w:rFonts w:asciiTheme="minorHAnsi" w:eastAsiaTheme="minorEastAsia" w:hAnsiTheme="minorHAnsi"/>
                <w:szCs w:val="22"/>
              </w:rPr>
              <w:t>1</w:t>
            </w:r>
            <w:r w:rsidRPr="00BC31E0">
              <w:rPr>
                <w:rFonts w:asciiTheme="minorHAnsi" w:eastAsiaTheme="minorEastAsia" w:hAnsiTheme="minorHAnsi"/>
                <w:szCs w:val="22"/>
              </w:rPr>
              <w:t xml:space="preserve">　　　　　　</w:t>
            </w:r>
            <w:r w:rsidRPr="00BC31E0">
              <w:rPr>
                <w:rFonts w:asciiTheme="minorHAnsi" w:eastAsiaTheme="minorEastAsia" w:hAnsiTheme="minorHAnsi"/>
                <w:szCs w:val="22"/>
              </w:rPr>
              <w:t>1/4</w:t>
            </w:r>
          </w:p>
          <w:p w14:paraId="5A10A54C" w14:textId="77777777" w:rsidR="001053E9" w:rsidRPr="00BC31E0" w:rsidRDefault="001053E9" w:rsidP="001053E9">
            <w:pPr>
              <w:spacing w:line="300" w:lineRule="exact"/>
              <w:jc w:val="center"/>
              <w:rPr>
                <w:rFonts w:asciiTheme="minorHAnsi" w:eastAsiaTheme="minorEastAsia" w:hAnsiTheme="minorHAnsi"/>
                <w:szCs w:val="22"/>
              </w:rPr>
            </w:pPr>
            <w:r w:rsidRPr="00BC31E0">
              <w:rPr>
                <w:rFonts w:asciiTheme="minorHAnsi" w:eastAsiaTheme="minorEastAsia" w:hAnsiTheme="minorHAnsi"/>
                <w:szCs w:val="22"/>
              </w:rPr>
              <w:t>1</w:t>
            </w:r>
            <w:r w:rsidRPr="00BC31E0">
              <w:rPr>
                <w:rFonts w:asciiTheme="minorHAnsi" w:eastAsiaTheme="minorEastAsia" w:hAnsiTheme="minorHAnsi"/>
                <w:szCs w:val="22"/>
              </w:rPr>
              <w:t xml:space="preserve">　　　　　　</w:t>
            </w:r>
            <w:r w:rsidRPr="00BC31E0">
              <w:rPr>
                <w:rFonts w:asciiTheme="minorHAnsi" w:eastAsiaTheme="minorEastAsia" w:hAnsiTheme="minorHAnsi"/>
                <w:szCs w:val="22"/>
              </w:rPr>
              <w:t>1/4</w:t>
            </w:r>
          </w:p>
          <w:p w14:paraId="4BA23411" w14:textId="77777777" w:rsidR="001053E9" w:rsidRPr="00BC31E0" w:rsidRDefault="001053E9" w:rsidP="001053E9">
            <w:pPr>
              <w:spacing w:line="300" w:lineRule="exact"/>
              <w:jc w:val="center"/>
              <w:rPr>
                <w:rFonts w:asciiTheme="minorHAnsi" w:eastAsiaTheme="minorEastAsia" w:hAnsiTheme="minorHAnsi"/>
                <w:szCs w:val="22"/>
              </w:rPr>
            </w:pPr>
            <w:r w:rsidRPr="00BC31E0">
              <w:rPr>
                <w:rFonts w:asciiTheme="minorHAnsi" w:eastAsiaTheme="minorEastAsia" w:hAnsiTheme="minorHAnsi"/>
                <w:szCs w:val="22"/>
              </w:rPr>
              <w:t>1</w:t>
            </w:r>
            <w:r w:rsidRPr="00BC31E0">
              <w:rPr>
                <w:rFonts w:asciiTheme="minorHAnsi" w:eastAsiaTheme="minorEastAsia" w:hAnsiTheme="minorHAnsi"/>
                <w:szCs w:val="22"/>
              </w:rPr>
              <w:t xml:space="preserve">　　　　　　</w:t>
            </w:r>
            <w:r w:rsidRPr="00BC31E0">
              <w:rPr>
                <w:rFonts w:asciiTheme="minorHAnsi" w:eastAsiaTheme="minorEastAsia" w:hAnsiTheme="minorHAnsi"/>
                <w:szCs w:val="22"/>
              </w:rPr>
              <w:t>1/4</w:t>
            </w:r>
          </w:p>
        </w:tc>
      </w:tr>
      <w:tr w:rsidR="001053E9" w:rsidRPr="00BC31E0" w14:paraId="3CAB2313" w14:textId="77777777" w:rsidTr="004736F2">
        <w:trPr>
          <w:trHeight w:val="395"/>
          <w:jc w:val="center"/>
        </w:trPr>
        <w:tc>
          <w:tcPr>
            <w:tcW w:w="3071" w:type="dxa"/>
            <w:tcBorders>
              <w:bottom w:val="single" w:sz="4" w:space="0" w:color="auto"/>
            </w:tcBorders>
            <w:vAlign w:val="center"/>
          </w:tcPr>
          <w:p w14:paraId="29E3F1F8" w14:textId="77777777" w:rsidR="001053E9" w:rsidRPr="00BC31E0" w:rsidRDefault="001053E9" w:rsidP="002851A3">
            <w:pPr>
              <w:spacing w:line="300" w:lineRule="exact"/>
              <w:ind w:firstLineChars="50" w:firstLine="105"/>
              <w:rPr>
                <w:rFonts w:asciiTheme="minorHAnsi" w:eastAsiaTheme="minorEastAsia" w:hAnsiTheme="minorHAnsi"/>
                <w:szCs w:val="22"/>
              </w:rPr>
            </w:pPr>
            <w:r w:rsidRPr="00BC31E0">
              <w:rPr>
                <w:rFonts w:asciiTheme="minorHAnsi" w:eastAsiaTheme="minorEastAsia" w:hAnsiTheme="minorHAnsi"/>
                <w:szCs w:val="22"/>
              </w:rPr>
              <w:t>SA-533</w:t>
            </w:r>
            <w:r w:rsidR="002851A3" w:rsidRPr="00BC31E0">
              <w:rPr>
                <w:rFonts w:asciiTheme="minorHAnsi" w:eastAsiaTheme="minorEastAsia" w:hAnsiTheme="minorHAnsi" w:hint="eastAsia"/>
                <w:szCs w:val="22"/>
              </w:rPr>
              <w:t>M</w:t>
            </w:r>
            <w:r w:rsidRPr="00BC31E0">
              <w:rPr>
                <w:rFonts w:asciiTheme="minorHAnsi" w:eastAsiaTheme="minorEastAsia" w:hAnsiTheme="minorHAnsi"/>
                <w:szCs w:val="22"/>
              </w:rPr>
              <w:t xml:space="preserve"> </w:t>
            </w:r>
            <w:r w:rsidR="002851A3" w:rsidRPr="00BC31E0">
              <w:rPr>
                <w:rFonts w:asciiTheme="minorHAnsi" w:eastAsiaTheme="minorEastAsia" w:hAnsiTheme="minorHAnsi" w:hint="eastAsia"/>
                <w:szCs w:val="22"/>
              </w:rPr>
              <w:t>Type</w:t>
            </w:r>
            <w:r w:rsidRPr="00BC31E0">
              <w:rPr>
                <w:rFonts w:asciiTheme="minorHAnsi" w:eastAsiaTheme="minorEastAsia" w:hAnsiTheme="minorHAnsi"/>
                <w:szCs w:val="22"/>
              </w:rPr>
              <w:t xml:space="preserve"> B &amp; D Cl.3</w:t>
            </w:r>
          </w:p>
        </w:tc>
        <w:tc>
          <w:tcPr>
            <w:tcW w:w="1559" w:type="dxa"/>
            <w:tcBorders>
              <w:bottom w:val="single" w:sz="4" w:space="0" w:color="auto"/>
            </w:tcBorders>
            <w:vAlign w:val="center"/>
          </w:tcPr>
          <w:p w14:paraId="28C67B0E" w14:textId="77777777" w:rsidR="001053E9" w:rsidRPr="00BC31E0" w:rsidRDefault="001053E9" w:rsidP="001053E9">
            <w:pPr>
              <w:spacing w:line="300" w:lineRule="exact"/>
              <w:ind w:firstLineChars="50" w:firstLine="105"/>
              <w:jc w:val="center"/>
              <w:rPr>
                <w:rFonts w:asciiTheme="minorHAnsi" w:eastAsiaTheme="minorEastAsia" w:hAnsiTheme="minorHAnsi"/>
                <w:szCs w:val="22"/>
              </w:rPr>
            </w:pPr>
            <w:r w:rsidRPr="00BC31E0">
              <w:rPr>
                <w:rFonts w:asciiTheme="minorHAnsi" w:eastAsiaTheme="minorEastAsia" w:hAnsiTheme="minorHAnsi"/>
                <w:szCs w:val="22"/>
              </w:rPr>
              <w:t>11A Gr.4</w:t>
            </w:r>
          </w:p>
        </w:tc>
        <w:tc>
          <w:tcPr>
            <w:tcW w:w="2410" w:type="dxa"/>
            <w:tcBorders>
              <w:bottom w:val="single" w:sz="4" w:space="0" w:color="auto"/>
            </w:tcBorders>
            <w:vAlign w:val="center"/>
          </w:tcPr>
          <w:p w14:paraId="616B9842" w14:textId="77777777" w:rsidR="001053E9" w:rsidRPr="00BC31E0" w:rsidRDefault="001053E9" w:rsidP="001053E9">
            <w:pPr>
              <w:spacing w:line="300" w:lineRule="exact"/>
              <w:jc w:val="center"/>
              <w:rPr>
                <w:rFonts w:asciiTheme="minorHAnsi" w:eastAsiaTheme="minorEastAsia" w:hAnsiTheme="minorHAnsi"/>
                <w:szCs w:val="22"/>
              </w:rPr>
            </w:pPr>
            <w:r w:rsidRPr="00BC31E0">
              <w:rPr>
                <w:rFonts w:asciiTheme="minorHAnsi" w:eastAsiaTheme="minorEastAsia" w:hAnsiTheme="minorHAnsi"/>
                <w:szCs w:val="22"/>
              </w:rPr>
              <w:t>&gt; 15</w:t>
            </w:r>
          </w:p>
        </w:tc>
        <w:tc>
          <w:tcPr>
            <w:tcW w:w="2126" w:type="dxa"/>
            <w:tcBorders>
              <w:bottom w:val="single" w:sz="4" w:space="0" w:color="auto"/>
            </w:tcBorders>
            <w:vAlign w:val="center"/>
          </w:tcPr>
          <w:p w14:paraId="77BD0373" w14:textId="77777777" w:rsidR="001053E9" w:rsidRPr="00BC31E0" w:rsidRDefault="001053E9" w:rsidP="001053E9">
            <w:pPr>
              <w:spacing w:line="300" w:lineRule="exact"/>
              <w:jc w:val="center"/>
              <w:rPr>
                <w:rFonts w:asciiTheme="minorHAnsi" w:eastAsiaTheme="minorEastAsia" w:hAnsiTheme="minorHAnsi"/>
                <w:szCs w:val="22"/>
              </w:rPr>
            </w:pPr>
            <w:r w:rsidRPr="00BC31E0">
              <w:rPr>
                <w:rFonts w:asciiTheme="minorHAnsi" w:eastAsiaTheme="minorEastAsia" w:hAnsiTheme="minorHAnsi"/>
                <w:szCs w:val="22"/>
              </w:rPr>
              <w:t xml:space="preserve">540 </w:t>
            </w:r>
            <w:r w:rsidRPr="00BC31E0">
              <w:rPr>
                <w:rFonts w:asciiTheme="minorHAnsi" w:eastAsiaTheme="minorEastAsia" w:hAnsiTheme="minorHAnsi"/>
                <w:szCs w:val="22"/>
              </w:rPr>
              <w:t>～</w:t>
            </w:r>
            <w:r w:rsidRPr="00BC31E0">
              <w:rPr>
                <w:rFonts w:asciiTheme="minorHAnsi" w:eastAsiaTheme="minorEastAsia" w:hAnsiTheme="minorHAnsi"/>
                <w:szCs w:val="22"/>
              </w:rPr>
              <w:t xml:space="preserve"> 565</w:t>
            </w:r>
          </w:p>
        </w:tc>
        <w:tc>
          <w:tcPr>
            <w:tcW w:w="3513" w:type="dxa"/>
            <w:tcBorders>
              <w:bottom w:val="single" w:sz="4" w:space="0" w:color="auto"/>
            </w:tcBorders>
            <w:vAlign w:val="center"/>
          </w:tcPr>
          <w:p w14:paraId="293A4D10" w14:textId="77777777" w:rsidR="001053E9" w:rsidRPr="00BC31E0" w:rsidRDefault="001053E9" w:rsidP="001053E9">
            <w:pPr>
              <w:spacing w:line="300" w:lineRule="exact"/>
              <w:jc w:val="center"/>
              <w:rPr>
                <w:rFonts w:asciiTheme="minorHAnsi" w:eastAsiaTheme="minorEastAsia" w:hAnsiTheme="minorHAnsi"/>
                <w:szCs w:val="22"/>
              </w:rPr>
            </w:pPr>
            <w:r w:rsidRPr="00BC31E0">
              <w:rPr>
                <w:rFonts w:asciiTheme="minorHAnsi" w:eastAsiaTheme="minorEastAsia" w:hAnsiTheme="minorHAnsi"/>
                <w:szCs w:val="22"/>
              </w:rPr>
              <w:t>1/2</w:t>
            </w:r>
            <w:r w:rsidRPr="00BC31E0">
              <w:rPr>
                <w:rFonts w:asciiTheme="minorHAnsi" w:eastAsiaTheme="minorEastAsia" w:hAnsiTheme="minorHAnsi"/>
                <w:szCs w:val="22"/>
              </w:rPr>
              <w:t xml:space="preserve">　　　　　</w:t>
            </w:r>
            <w:r w:rsidRPr="00BC31E0">
              <w:rPr>
                <w:rFonts w:asciiTheme="minorHAnsi" w:eastAsiaTheme="minorEastAsia" w:hAnsiTheme="minorHAnsi"/>
                <w:szCs w:val="22"/>
              </w:rPr>
              <w:t xml:space="preserve"> 1/2</w:t>
            </w:r>
          </w:p>
        </w:tc>
      </w:tr>
      <w:tr w:rsidR="001053E9" w:rsidRPr="00BC31E0" w14:paraId="3ABE7D1D" w14:textId="77777777" w:rsidTr="004736F2">
        <w:trPr>
          <w:trHeight w:val="698"/>
          <w:jc w:val="center"/>
        </w:trPr>
        <w:tc>
          <w:tcPr>
            <w:tcW w:w="3071" w:type="dxa"/>
            <w:tcBorders>
              <w:bottom w:val="single" w:sz="4" w:space="0" w:color="auto"/>
            </w:tcBorders>
            <w:vAlign w:val="center"/>
          </w:tcPr>
          <w:p w14:paraId="0C6D5597" w14:textId="77777777" w:rsidR="001053E9" w:rsidRPr="00BC31E0" w:rsidRDefault="001053E9" w:rsidP="001053E9">
            <w:pPr>
              <w:spacing w:line="300" w:lineRule="exact"/>
              <w:ind w:firstLineChars="50" w:firstLine="105"/>
              <w:rPr>
                <w:rFonts w:asciiTheme="minorHAnsi" w:eastAsiaTheme="minorEastAsia" w:hAnsiTheme="minorHAnsi"/>
                <w:szCs w:val="22"/>
              </w:rPr>
            </w:pPr>
            <w:r w:rsidRPr="00BC31E0">
              <w:rPr>
                <w:rFonts w:asciiTheme="minorHAnsi" w:eastAsiaTheme="minorEastAsia" w:hAnsiTheme="minorHAnsi"/>
                <w:szCs w:val="22"/>
              </w:rPr>
              <w:t>SA-543</w:t>
            </w:r>
            <w:r w:rsidR="002851A3" w:rsidRPr="00BC31E0">
              <w:rPr>
                <w:rFonts w:asciiTheme="minorHAnsi" w:eastAsiaTheme="minorEastAsia" w:hAnsiTheme="minorHAnsi" w:hint="eastAsia"/>
                <w:szCs w:val="22"/>
              </w:rPr>
              <w:t>M</w:t>
            </w:r>
            <w:r w:rsidRPr="00BC31E0">
              <w:rPr>
                <w:rFonts w:asciiTheme="minorHAnsi" w:eastAsiaTheme="minorEastAsia" w:hAnsiTheme="minorHAnsi"/>
                <w:szCs w:val="22"/>
              </w:rPr>
              <w:t xml:space="preserve"> Type B &amp; C Cl.1</w:t>
            </w:r>
          </w:p>
          <w:p w14:paraId="5979327C" w14:textId="77777777" w:rsidR="001053E9" w:rsidRPr="00BC31E0" w:rsidRDefault="001053E9" w:rsidP="001053E9">
            <w:pPr>
              <w:spacing w:line="300" w:lineRule="exact"/>
              <w:ind w:firstLineChars="50" w:firstLine="105"/>
              <w:rPr>
                <w:rFonts w:asciiTheme="minorHAnsi" w:eastAsiaTheme="minorEastAsia" w:hAnsiTheme="minorHAnsi"/>
                <w:szCs w:val="22"/>
              </w:rPr>
            </w:pPr>
            <w:r w:rsidRPr="00BC31E0">
              <w:rPr>
                <w:rFonts w:asciiTheme="minorHAnsi" w:eastAsiaTheme="minorEastAsia" w:hAnsiTheme="minorHAnsi"/>
                <w:szCs w:val="22"/>
              </w:rPr>
              <w:t>SA-543</w:t>
            </w:r>
            <w:r w:rsidR="002851A3" w:rsidRPr="00BC31E0">
              <w:rPr>
                <w:rFonts w:asciiTheme="minorHAnsi" w:eastAsiaTheme="minorEastAsia" w:hAnsiTheme="minorHAnsi" w:hint="eastAsia"/>
                <w:szCs w:val="22"/>
              </w:rPr>
              <w:t>M</w:t>
            </w:r>
            <w:r w:rsidRPr="00BC31E0">
              <w:rPr>
                <w:rFonts w:asciiTheme="minorHAnsi" w:eastAsiaTheme="minorEastAsia" w:hAnsiTheme="minorHAnsi"/>
                <w:szCs w:val="22"/>
              </w:rPr>
              <w:t xml:space="preserve"> Type B &amp; C Cl.2</w:t>
            </w:r>
          </w:p>
        </w:tc>
        <w:tc>
          <w:tcPr>
            <w:tcW w:w="1559" w:type="dxa"/>
            <w:tcBorders>
              <w:bottom w:val="single" w:sz="4" w:space="0" w:color="auto"/>
            </w:tcBorders>
            <w:vAlign w:val="center"/>
          </w:tcPr>
          <w:p w14:paraId="19929478" w14:textId="77777777" w:rsidR="001053E9" w:rsidRPr="00BC31E0" w:rsidRDefault="001053E9" w:rsidP="001053E9">
            <w:pPr>
              <w:spacing w:line="300" w:lineRule="exact"/>
              <w:ind w:firstLineChars="50" w:firstLine="105"/>
              <w:jc w:val="center"/>
              <w:rPr>
                <w:rFonts w:asciiTheme="minorHAnsi" w:eastAsiaTheme="minorEastAsia" w:hAnsiTheme="minorHAnsi"/>
                <w:szCs w:val="22"/>
              </w:rPr>
            </w:pPr>
            <w:r w:rsidRPr="00BC31E0">
              <w:rPr>
                <w:rFonts w:asciiTheme="minorHAnsi" w:eastAsiaTheme="minorEastAsia" w:hAnsiTheme="minorHAnsi"/>
                <w:szCs w:val="22"/>
              </w:rPr>
              <w:t>11A Gr.5</w:t>
            </w:r>
          </w:p>
          <w:p w14:paraId="275675C5" w14:textId="77777777" w:rsidR="001053E9" w:rsidRPr="00BC31E0" w:rsidRDefault="001053E9" w:rsidP="001053E9">
            <w:pPr>
              <w:spacing w:line="300" w:lineRule="exact"/>
              <w:ind w:firstLineChars="50" w:firstLine="105"/>
              <w:jc w:val="center"/>
              <w:rPr>
                <w:rFonts w:asciiTheme="minorHAnsi" w:eastAsiaTheme="minorEastAsia" w:hAnsiTheme="minorHAnsi"/>
                <w:szCs w:val="22"/>
              </w:rPr>
            </w:pPr>
            <w:r w:rsidRPr="00BC31E0">
              <w:rPr>
                <w:rFonts w:asciiTheme="minorHAnsi" w:eastAsiaTheme="minorEastAsia" w:hAnsiTheme="minorHAnsi"/>
                <w:szCs w:val="22"/>
              </w:rPr>
              <w:t>11B Gr.10</w:t>
            </w:r>
          </w:p>
        </w:tc>
        <w:tc>
          <w:tcPr>
            <w:tcW w:w="2410" w:type="dxa"/>
            <w:tcBorders>
              <w:bottom w:val="single" w:sz="4" w:space="0" w:color="auto"/>
            </w:tcBorders>
            <w:vAlign w:val="center"/>
          </w:tcPr>
          <w:p w14:paraId="3AF0C68E" w14:textId="77777777" w:rsidR="001053E9" w:rsidRPr="00BC31E0" w:rsidRDefault="001053E9" w:rsidP="001053E9">
            <w:pPr>
              <w:spacing w:line="300" w:lineRule="exact"/>
              <w:jc w:val="center"/>
              <w:rPr>
                <w:rFonts w:asciiTheme="minorEastAsia" w:eastAsiaTheme="minorEastAsia" w:hAnsiTheme="minorEastAsia"/>
                <w:szCs w:val="22"/>
              </w:rPr>
            </w:pPr>
            <w:r w:rsidRPr="00BC31E0">
              <w:rPr>
                <w:rFonts w:asciiTheme="minorEastAsia" w:eastAsiaTheme="minorEastAsia" w:hAnsiTheme="minorEastAsia" w:hint="eastAsia"/>
                <w:szCs w:val="22"/>
              </w:rPr>
              <w:t>全て</w:t>
            </w:r>
            <w:r w:rsidRPr="00BC31E0">
              <w:rPr>
                <w:rFonts w:ascii="ＭＳ ゴシック" w:eastAsia="ＭＳ ゴシック" w:hAnsi="ＭＳ ゴシック" w:hint="eastAsia"/>
                <w:b/>
                <w:szCs w:val="22"/>
                <w:vertAlign w:val="superscript"/>
              </w:rPr>
              <w:t>b)</w:t>
            </w:r>
          </w:p>
          <w:p w14:paraId="41FE1412" w14:textId="77777777" w:rsidR="001053E9" w:rsidRPr="00BC31E0" w:rsidRDefault="001053E9" w:rsidP="001053E9">
            <w:pPr>
              <w:spacing w:line="300" w:lineRule="exact"/>
              <w:jc w:val="center"/>
              <w:rPr>
                <w:rFonts w:asciiTheme="minorEastAsia" w:eastAsiaTheme="minorEastAsia" w:hAnsiTheme="minorEastAsia"/>
                <w:szCs w:val="22"/>
              </w:rPr>
            </w:pPr>
            <w:r w:rsidRPr="00BC31E0">
              <w:rPr>
                <w:rFonts w:asciiTheme="minorEastAsia" w:eastAsiaTheme="minorEastAsia" w:hAnsiTheme="minorEastAsia" w:hint="eastAsia"/>
                <w:szCs w:val="22"/>
              </w:rPr>
              <w:t>全て</w:t>
            </w:r>
            <w:r w:rsidRPr="00BC31E0">
              <w:rPr>
                <w:rFonts w:ascii="ＭＳ ゴシック" w:eastAsia="ＭＳ ゴシック" w:hAnsi="ＭＳ ゴシック" w:hint="eastAsia"/>
                <w:b/>
                <w:szCs w:val="22"/>
                <w:vertAlign w:val="superscript"/>
              </w:rPr>
              <w:t>b)</w:t>
            </w:r>
          </w:p>
        </w:tc>
        <w:tc>
          <w:tcPr>
            <w:tcW w:w="2126" w:type="dxa"/>
            <w:tcBorders>
              <w:bottom w:val="single" w:sz="4" w:space="0" w:color="auto"/>
            </w:tcBorders>
            <w:vAlign w:val="center"/>
          </w:tcPr>
          <w:p w14:paraId="4B54D240" w14:textId="77777777" w:rsidR="001053E9" w:rsidRPr="00BC31E0" w:rsidRDefault="001053E9" w:rsidP="001053E9">
            <w:pPr>
              <w:spacing w:line="300" w:lineRule="exact"/>
              <w:jc w:val="center"/>
              <w:rPr>
                <w:rFonts w:asciiTheme="minorHAnsi" w:eastAsiaTheme="minorEastAsia" w:hAnsiTheme="minorHAnsi"/>
                <w:szCs w:val="22"/>
              </w:rPr>
            </w:pPr>
            <w:r w:rsidRPr="00BC31E0">
              <w:rPr>
                <w:rFonts w:asciiTheme="minorHAnsi" w:eastAsiaTheme="minorEastAsia" w:hAnsiTheme="minorHAnsi"/>
                <w:szCs w:val="22"/>
              </w:rPr>
              <w:t xml:space="preserve">540 </w:t>
            </w:r>
            <w:r w:rsidRPr="00BC31E0">
              <w:rPr>
                <w:rFonts w:asciiTheme="minorHAnsi" w:eastAsiaTheme="minorEastAsia" w:hAnsiTheme="minorHAnsi"/>
                <w:szCs w:val="22"/>
              </w:rPr>
              <w:t>～</w:t>
            </w:r>
            <w:r w:rsidRPr="00BC31E0">
              <w:rPr>
                <w:rFonts w:asciiTheme="minorHAnsi" w:eastAsiaTheme="minorEastAsia" w:hAnsiTheme="minorHAnsi"/>
                <w:szCs w:val="22"/>
              </w:rPr>
              <w:t xml:space="preserve"> 565</w:t>
            </w:r>
          </w:p>
          <w:p w14:paraId="1012C7AE" w14:textId="77777777" w:rsidR="001053E9" w:rsidRPr="00BC31E0" w:rsidRDefault="001053E9" w:rsidP="001053E9">
            <w:pPr>
              <w:spacing w:line="300" w:lineRule="exact"/>
              <w:jc w:val="center"/>
              <w:rPr>
                <w:rFonts w:asciiTheme="minorHAnsi" w:eastAsiaTheme="minorEastAsia" w:hAnsiTheme="minorHAnsi"/>
                <w:szCs w:val="22"/>
              </w:rPr>
            </w:pPr>
            <w:r w:rsidRPr="00BC31E0">
              <w:rPr>
                <w:rFonts w:asciiTheme="minorHAnsi" w:eastAsiaTheme="minorEastAsia" w:hAnsiTheme="minorHAnsi"/>
                <w:szCs w:val="22"/>
              </w:rPr>
              <w:t xml:space="preserve">540 </w:t>
            </w:r>
            <w:r w:rsidRPr="00BC31E0">
              <w:rPr>
                <w:rFonts w:asciiTheme="minorHAnsi" w:eastAsiaTheme="minorEastAsia" w:hAnsiTheme="minorHAnsi"/>
                <w:szCs w:val="22"/>
              </w:rPr>
              <w:t>～</w:t>
            </w:r>
            <w:r w:rsidRPr="00BC31E0">
              <w:rPr>
                <w:rFonts w:asciiTheme="minorHAnsi" w:eastAsiaTheme="minorEastAsia" w:hAnsiTheme="minorHAnsi"/>
                <w:szCs w:val="22"/>
              </w:rPr>
              <w:t xml:space="preserve"> 565</w:t>
            </w:r>
          </w:p>
        </w:tc>
        <w:tc>
          <w:tcPr>
            <w:tcW w:w="3513" w:type="dxa"/>
            <w:tcBorders>
              <w:bottom w:val="single" w:sz="4" w:space="0" w:color="auto"/>
            </w:tcBorders>
            <w:vAlign w:val="center"/>
          </w:tcPr>
          <w:p w14:paraId="3B831D4D" w14:textId="77777777" w:rsidR="001053E9" w:rsidRPr="00BC31E0" w:rsidRDefault="001053E9" w:rsidP="001053E9">
            <w:pPr>
              <w:spacing w:line="300" w:lineRule="exact"/>
              <w:jc w:val="center"/>
              <w:rPr>
                <w:rFonts w:asciiTheme="minorHAnsi" w:eastAsiaTheme="minorEastAsia" w:hAnsiTheme="minorHAnsi"/>
                <w:szCs w:val="22"/>
              </w:rPr>
            </w:pPr>
            <w:r w:rsidRPr="00BC31E0">
              <w:rPr>
                <w:rFonts w:asciiTheme="minorHAnsi" w:eastAsiaTheme="minorEastAsia" w:hAnsiTheme="minorHAnsi"/>
                <w:szCs w:val="22"/>
              </w:rPr>
              <w:t>1</w:t>
            </w:r>
            <w:r w:rsidRPr="00BC31E0">
              <w:rPr>
                <w:rFonts w:asciiTheme="minorHAnsi" w:eastAsiaTheme="minorEastAsia" w:hAnsiTheme="minorHAnsi"/>
                <w:szCs w:val="22"/>
              </w:rPr>
              <w:t xml:space="preserve">　　　　　</w:t>
            </w:r>
            <w:r w:rsidRPr="00BC31E0">
              <w:rPr>
                <w:rFonts w:asciiTheme="minorHAnsi" w:eastAsiaTheme="minorEastAsia" w:hAnsiTheme="minorHAnsi"/>
                <w:szCs w:val="22"/>
              </w:rPr>
              <w:t xml:space="preserve">   1</w:t>
            </w:r>
          </w:p>
          <w:p w14:paraId="3007EA91" w14:textId="77777777" w:rsidR="001053E9" w:rsidRPr="00BC31E0" w:rsidRDefault="001053E9" w:rsidP="001053E9">
            <w:pPr>
              <w:spacing w:line="300" w:lineRule="exact"/>
              <w:jc w:val="center"/>
              <w:rPr>
                <w:rFonts w:asciiTheme="minorHAnsi" w:eastAsiaTheme="minorEastAsia" w:hAnsiTheme="minorHAnsi"/>
                <w:szCs w:val="22"/>
              </w:rPr>
            </w:pPr>
            <w:r w:rsidRPr="00BC31E0">
              <w:rPr>
                <w:rFonts w:asciiTheme="minorHAnsi" w:eastAsiaTheme="minorEastAsia" w:hAnsiTheme="minorHAnsi"/>
                <w:szCs w:val="22"/>
              </w:rPr>
              <w:t>1</w:t>
            </w:r>
            <w:r w:rsidRPr="00BC31E0">
              <w:rPr>
                <w:rFonts w:asciiTheme="minorHAnsi" w:eastAsiaTheme="minorEastAsia" w:hAnsiTheme="minorHAnsi"/>
                <w:szCs w:val="22"/>
              </w:rPr>
              <w:t xml:space="preserve">　　　　　</w:t>
            </w:r>
            <w:r w:rsidRPr="00BC31E0">
              <w:rPr>
                <w:rFonts w:asciiTheme="minorHAnsi" w:eastAsiaTheme="minorEastAsia" w:hAnsiTheme="minorHAnsi"/>
                <w:szCs w:val="22"/>
              </w:rPr>
              <w:t xml:space="preserve">   1</w:t>
            </w:r>
          </w:p>
        </w:tc>
      </w:tr>
      <w:tr w:rsidR="001053E9" w:rsidRPr="00BC31E0" w14:paraId="6FFF1A5F" w14:textId="77777777" w:rsidTr="004736F2">
        <w:trPr>
          <w:trHeight w:val="424"/>
          <w:jc w:val="center"/>
        </w:trPr>
        <w:tc>
          <w:tcPr>
            <w:tcW w:w="3071" w:type="dxa"/>
            <w:tcBorders>
              <w:bottom w:val="single" w:sz="4" w:space="0" w:color="auto"/>
            </w:tcBorders>
            <w:vAlign w:val="center"/>
          </w:tcPr>
          <w:p w14:paraId="38D2A378" w14:textId="77777777" w:rsidR="001053E9" w:rsidRPr="00BC31E0" w:rsidRDefault="001053E9" w:rsidP="001053E9">
            <w:pPr>
              <w:spacing w:line="300" w:lineRule="exact"/>
              <w:ind w:firstLineChars="50" w:firstLine="105"/>
              <w:rPr>
                <w:rFonts w:asciiTheme="minorHAnsi" w:eastAsiaTheme="minorEastAsia" w:hAnsiTheme="minorHAnsi"/>
                <w:szCs w:val="22"/>
              </w:rPr>
            </w:pPr>
            <w:r w:rsidRPr="00BC31E0">
              <w:rPr>
                <w:rFonts w:asciiTheme="minorHAnsi" w:eastAsiaTheme="minorEastAsia" w:hAnsiTheme="minorHAnsi"/>
                <w:szCs w:val="22"/>
              </w:rPr>
              <w:t>SA-724</w:t>
            </w:r>
            <w:r w:rsidR="002851A3" w:rsidRPr="00BC31E0">
              <w:rPr>
                <w:rFonts w:asciiTheme="minorHAnsi" w:eastAsiaTheme="minorEastAsia" w:hAnsiTheme="minorHAnsi" w:hint="eastAsia"/>
                <w:szCs w:val="22"/>
              </w:rPr>
              <w:t>M</w:t>
            </w:r>
            <w:r w:rsidRPr="00BC31E0">
              <w:rPr>
                <w:rFonts w:asciiTheme="minorHAnsi" w:eastAsiaTheme="minorEastAsia" w:hAnsiTheme="minorHAnsi"/>
                <w:szCs w:val="22"/>
              </w:rPr>
              <w:t xml:space="preserve"> Grade A &amp; B</w:t>
            </w:r>
          </w:p>
        </w:tc>
        <w:tc>
          <w:tcPr>
            <w:tcW w:w="1559" w:type="dxa"/>
            <w:tcBorders>
              <w:bottom w:val="single" w:sz="4" w:space="0" w:color="auto"/>
            </w:tcBorders>
            <w:vAlign w:val="center"/>
          </w:tcPr>
          <w:p w14:paraId="03D5F595" w14:textId="77777777" w:rsidR="001053E9" w:rsidRPr="00BC31E0" w:rsidRDefault="001053E9" w:rsidP="001053E9">
            <w:pPr>
              <w:spacing w:line="300" w:lineRule="exact"/>
              <w:ind w:firstLineChars="50" w:firstLine="105"/>
              <w:jc w:val="center"/>
              <w:rPr>
                <w:rFonts w:asciiTheme="minorHAnsi" w:eastAsiaTheme="minorEastAsia" w:hAnsiTheme="minorHAnsi"/>
                <w:szCs w:val="22"/>
              </w:rPr>
            </w:pPr>
            <w:r w:rsidRPr="00BC31E0">
              <w:rPr>
                <w:rFonts w:asciiTheme="minorHAnsi" w:eastAsiaTheme="minorEastAsia" w:hAnsiTheme="minorHAnsi"/>
                <w:szCs w:val="22"/>
              </w:rPr>
              <w:t>1 Gr.4</w:t>
            </w:r>
          </w:p>
        </w:tc>
        <w:tc>
          <w:tcPr>
            <w:tcW w:w="8049" w:type="dxa"/>
            <w:gridSpan w:val="3"/>
            <w:tcBorders>
              <w:bottom w:val="single" w:sz="4" w:space="0" w:color="auto"/>
            </w:tcBorders>
            <w:vAlign w:val="center"/>
          </w:tcPr>
          <w:p w14:paraId="423B1771" w14:textId="77777777" w:rsidR="001053E9" w:rsidRPr="00BC31E0" w:rsidRDefault="001053E9" w:rsidP="001053E9">
            <w:pPr>
              <w:spacing w:line="300" w:lineRule="exact"/>
              <w:jc w:val="center"/>
              <w:rPr>
                <w:rFonts w:asciiTheme="minorEastAsia" w:eastAsiaTheme="minorEastAsia" w:hAnsiTheme="minorEastAsia"/>
                <w:szCs w:val="22"/>
              </w:rPr>
            </w:pPr>
            <w:r w:rsidRPr="00BC31E0">
              <w:rPr>
                <w:rFonts w:asciiTheme="minorEastAsia" w:eastAsiaTheme="minorEastAsia" w:hAnsiTheme="minorEastAsia" w:hint="eastAsia"/>
                <w:szCs w:val="22"/>
              </w:rPr>
              <w:t>溶接後熱処理をしてはならない。</w:t>
            </w:r>
          </w:p>
        </w:tc>
      </w:tr>
      <w:tr w:rsidR="001053E9" w:rsidRPr="00BC31E0" w14:paraId="35B32D23" w14:textId="77777777" w:rsidTr="004736F2">
        <w:trPr>
          <w:trHeight w:val="347"/>
          <w:jc w:val="center"/>
        </w:trPr>
        <w:tc>
          <w:tcPr>
            <w:tcW w:w="3071" w:type="dxa"/>
            <w:tcBorders>
              <w:bottom w:val="single" w:sz="4" w:space="0" w:color="auto"/>
            </w:tcBorders>
            <w:vAlign w:val="center"/>
          </w:tcPr>
          <w:p w14:paraId="28A3A3ED" w14:textId="77777777" w:rsidR="001053E9" w:rsidRPr="00BC31E0" w:rsidRDefault="001053E9" w:rsidP="001053E9">
            <w:pPr>
              <w:spacing w:line="300" w:lineRule="exact"/>
              <w:ind w:firstLineChars="50" w:firstLine="105"/>
              <w:rPr>
                <w:rFonts w:asciiTheme="minorHAnsi" w:eastAsiaTheme="minorEastAsia" w:hAnsiTheme="minorHAnsi"/>
                <w:szCs w:val="22"/>
              </w:rPr>
            </w:pPr>
            <w:r w:rsidRPr="00BC31E0">
              <w:rPr>
                <w:rFonts w:asciiTheme="minorHAnsi" w:eastAsiaTheme="minorEastAsia" w:hAnsiTheme="minorHAnsi"/>
                <w:szCs w:val="22"/>
              </w:rPr>
              <w:t>SA-724</w:t>
            </w:r>
            <w:r w:rsidR="002851A3" w:rsidRPr="00BC31E0">
              <w:rPr>
                <w:rFonts w:asciiTheme="minorHAnsi" w:eastAsiaTheme="minorEastAsia" w:hAnsiTheme="minorHAnsi" w:hint="eastAsia"/>
                <w:szCs w:val="22"/>
              </w:rPr>
              <w:t>M</w:t>
            </w:r>
            <w:r w:rsidRPr="00BC31E0">
              <w:rPr>
                <w:rFonts w:asciiTheme="minorHAnsi" w:eastAsiaTheme="minorEastAsia" w:hAnsiTheme="minorHAnsi"/>
                <w:szCs w:val="22"/>
              </w:rPr>
              <w:t xml:space="preserve"> Grade C</w:t>
            </w:r>
          </w:p>
        </w:tc>
        <w:tc>
          <w:tcPr>
            <w:tcW w:w="1559" w:type="dxa"/>
            <w:tcBorders>
              <w:bottom w:val="single" w:sz="4" w:space="0" w:color="auto"/>
            </w:tcBorders>
            <w:vAlign w:val="center"/>
          </w:tcPr>
          <w:p w14:paraId="28D486DA" w14:textId="77777777" w:rsidR="001053E9" w:rsidRPr="00BC31E0" w:rsidRDefault="001053E9" w:rsidP="001053E9">
            <w:pPr>
              <w:spacing w:line="300" w:lineRule="exact"/>
              <w:ind w:firstLineChars="50" w:firstLine="105"/>
              <w:jc w:val="center"/>
              <w:rPr>
                <w:rFonts w:asciiTheme="minorHAnsi" w:eastAsiaTheme="minorEastAsia" w:hAnsiTheme="minorHAnsi"/>
                <w:szCs w:val="22"/>
              </w:rPr>
            </w:pPr>
            <w:r w:rsidRPr="00BC31E0">
              <w:rPr>
                <w:rFonts w:asciiTheme="minorHAnsi" w:eastAsiaTheme="minorEastAsia" w:hAnsiTheme="minorHAnsi"/>
                <w:szCs w:val="22"/>
              </w:rPr>
              <w:t>1 Gr.4</w:t>
            </w:r>
          </w:p>
        </w:tc>
        <w:tc>
          <w:tcPr>
            <w:tcW w:w="2410" w:type="dxa"/>
            <w:tcBorders>
              <w:bottom w:val="single" w:sz="4" w:space="0" w:color="auto"/>
            </w:tcBorders>
            <w:vAlign w:val="center"/>
          </w:tcPr>
          <w:p w14:paraId="7C46252B" w14:textId="77777777" w:rsidR="001053E9" w:rsidRPr="00BC31E0" w:rsidRDefault="001053E9" w:rsidP="001053E9">
            <w:pPr>
              <w:spacing w:line="300" w:lineRule="exact"/>
              <w:jc w:val="center"/>
              <w:rPr>
                <w:rFonts w:asciiTheme="minorHAnsi" w:eastAsiaTheme="minorEastAsia" w:hAnsiTheme="minorHAnsi"/>
                <w:szCs w:val="22"/>
                <w:vertAlign w:val="superscript"/>
              </w:rPr>
            </w:pPr>
            <w:r w:rsidRPr="00BC31E0">
              <w:rPr>
                <w:rFonts w:asciiTheme="minorHAnsi" w:eastAsiaTheme="minorEastAsia" w:hAnsiTheme="minorHAnsi"/>
                <w:szCs w:val="22"/>
              </w:rPr>
              <w:t>&gt; 38</w:t>
            </w:r>
          </w:p>
        </w:tc>
        <w:tc>
          <w:tcPr>
            <w:tcW w:w="2126" w:type="dxa"/>
            <w:tcBorders>
              <w:bottom w:val="single" w:sz="4" w:space="0" w:color="auto"/>
            </w:tcBorders>
            <w:vAlign w:val="center"/>
          </w:tcPr>
          <w:p w14:paraId="2A0CE9DE" w14:textId="77777777" w:rsidR="001053E9" w:rsidRPr="00BC31E0" w:rsidRDefault="001053E9" w:rsidP="001053E9">
            <w:pPr>
              <w:spacing w:line="300" w:lineRule="exact"/>
              <w:jc w:val="center"/>
              <w:rPr>
                <w:rFonts w:asciiTheme="minorHAnsi" w:eastAsiaTheme="minorEastAsia" w:hAnsiTheme="minorHAnsi"/>
                <w:szCs w:val="22"/>
              </w:rPr>
            </w:pPr>
            <w:r w:rsidRPr="00BC31E0">
              <w:rPr>
                <w:rFonts w:asciiTheme="minorHAnsi" w:eastAsiaTheme="minorEastAsia" w:hAnsiTheme="minorHAnsi"/>
                <w:szCs w:val="22"/>
              </w:rPr>
              <w:t xml:space="preserve">565 </w:t>
            </w:r>
            <w:r w:rsidRPr="00BC31E0">
              <w:rPr>
                <w:rFonts w:asciiTheme="minorHAnsi" w:eastAsiaTheme="minorEastAsia" w:hAnsiTheme="minorHAnsi"/>
                <w:szCs w:val="22"/>
              </w:rPr>
              <w:t>～</w:t>
            </w:r>
            <w:r w:rsidRPr="00BC31E0">
              <w:rPr>
                <w:rFonts w:asciiTheme="minorHAnsi" w:eastAsiaTheme="minorEastAsia" w:hAnsiTheme="minorHAnsi"/>
                <w:szCs w:val="22"/>
              </w:rPr>
              <w:t xml:space="preserve"> 620</w:t>
            </w:r>
          </w:p>
        </w:tc>
        <w:tc>
          <w:tcPr>
            <w:tcW w:w="3513" w:type="dxa"/>
            <w:tcBorders>
              <w:bottom w:val="single" w:sz="4" w:space="0" w:color="auto"/>
            </w:tcBorders>
            <w:vAlign w:val="center"/>
          </w:tcPr>
          <w:p w14:paraId="4C74BE3E" w14:textId="77777777" w:rsidR="001053E9" w:rsidRPr="00BC31E0" w:rsidRDefault="001053E9" w:rsidP="001053E9">
            <w:pPr>
              <w:spacing w:line="300" w:lineRule="exact"/>
              <w:jc w:val="center"/>
              <w:rPr>
                <w:rFonts w:asciiTheme="minorHAnsi" w:eastAsiaTheme="minorEastAsia" w:hAnsiTheme="minorHAnsi"/>
                <w:szCs w:val="22"/>
              </w:rPr>
            </w:pPr>
            <w:r w:rsidRPr="00BC31E0">
              <w:rPr>
                <w:rFonts w:asciiTheme="minorHAnsi" w:eastAsiaTheme="minorEastAsia" w:hAnsiTheme="minorHAnsi"/>
                <w:szCs w:val="22"/>
              </w:rPr>
              <w:t>1</w:t>
            </w:r>
            <w:r w:rsidRPr="00BC31E0">
              <w:rPr>
                <w:rFonts w:asciiTheme="minorHAnsi" w:eastAsiaTheme="minorEastAsia" w:hAnsiTheme="minorHAnsi"/>
                <w:szCs w:val="22"/>
              </w:rPr>
              <w:t xml:space="preserve">　　　　　　</w:t>
            </w:r>
            <w:r w:rsidRPr="00BC31E0">
              <w:rPr>
                <w:rFonts w:asciiTheme="minorHAnsi" w:eastAsiaTheme="minorEastAsia" w:hAnsiTheme="minorHAnsi"/>
                <w:szCs w:val="22"/>
              </w:rPr>
              <w:t>1/2</w:t>
            </w:r>
          </w:p>
        </w:tc>
      </w:tr>
      <w:tr w:rsidR="001053E9" w:rsidRPr="00BC31E0" w14:paraId="40F9CF35" w14:textId="77777777" w:rsidTr="004736F2">
        <w:trPr>
          <w:trHeight w:val="1046"/>
          <w:jc w:val="center"/>
        </w:trPr>
        <w:tc>
          <w:tcPr>
            <w:tcW w:w="3071" w:type="dxa"/>
            <w:tcBorders>
              <w:bottom w:val="single" w:sz="4" w:space="0" w:color="auto"/>
            </w:tcBorders>
            <w:vAlign w:val="center"/>
          </w:tcPr>
          <w:p w14:paraId="35D75EAC" w14:textId="77777777" w:rsidR="001053E9" w:rsidRPr="00BC31E0" w:rsidRDefault="001053E9" w:rsidP="001053E9">
            <w:pPr>
              <w:spacing w:line="300" w:lineRule="exact"/>
              <w:ind w:firstLineChars="50" w:firstLine="105"/>
              <w:rPr>
                <w:rFonts w:asciiTheme="minorHAnsi" w:eastAsiaTheme="minorEastAsia" w:hAnsiTheme="minorHAnsi"/>
                <w:szCs w:val="22"/>
              </w:rPr>
            </w:pPr>
            <w:r w:rsidRPr="00BC31E0">
              <w:rPr>
                <w:rFonts w:asciiTheme="minorHAnsi" w:eastAsiaTheme="minorEastAsia" w:hAnsiTheme="minorHAnsi"/>
                <w:szCs w:val="22"/>
              </w:rPr>
              <w:t>SA-372</w:t>
            </w:r>
            <w:r w:rsidR="002851A3" w:rsidRPr="00BC31E0">
              <w:rPr>
                <w:rFonts w:asciiTheme="minorHAnsi" w:eastAsiaTheme="minorEastAsia" w:hAnsiTheme="minorHAnsi" w:hint="eastAsia"/>
                <w:szCs w:val="22"/>
              </w:rPr>
              <w:t>M</w:t>
            </w:r>
            <w:r w:rsidRPr="00BC31E0">
              <w:rPr>
                <w:rFonts w:asciiTheme="minorHAnsi" w:eastAsiaTheme="minorEastAsia" w:hAnsiTheme="minorHAnsi"/>
                <w:szCs w:val="22"/>
              </w:rPr>
              <w:t xml:space="preserve"> Grade E Cl.70</w:t>
            </w:r>
          </w:p>
          <w:p w14:paraId="2257C6DA" w14:textId="77777777" w:rsidR="001053E9" w:rsidRPr="00BC31E0" w:rsidRDefault="001053E9" w:rsidP="001053E9">
            <w:pPr>
              <w:spacing w:line="300" w:lineRule="exact"/>
              <w:ind w:firstLineChars="50" w:firstLine="105"/>
              <w:rPr>
                <w:rFonts w:asciiTheme="minorHAnsi" w:eastAsiaTheme="minorEastAsia" w:hAnsiTheme="minorHAnsi"/>
                <w:szCs w:val="22"/>
              </w:rPr>
            </w:pPr>
            <w:r w:rsidRPr="00BC31E0">
              <w:rPr>
                <w:rFonts w:asciiTheme="minorHAnsi" w:eastAsiaTheme="minorEastAsia" w:hAnsiTheme="minorHAnsi"/>
                <w:szCs w:val="22"/>
              </w:rPr>
              <w:t>SA-372</w:t>
            </w:r>
            <w:r w:rsidR="002851A3" w:rsidRPr="00BC31E0">
              <w:rPr>
                <w:rFonts w:asciiTheme="minorHAnsi" w:eastAsiaTheme="minorEastAsia" w:hAnsiTheme="minorHAnsi" w:hint="eastAsia"/>
                <w:szCs w:val="22"/>
              </w:rPr>
              <w:t>M</w:t>
            </w:r>
            <w:r w:rsidRPr="00BC31E0">
              <w:rPr>
                <w:rFonts w:asciiTheme="minorHAnsi" w:eastAsiaTheme="minorEastAsia" w:hAnsiTheme="minorHAnsi"/>
                <w:szCs w:val="22"/>
              </w:rPr>
              <w:t xml:space="preserve"> Grade F Cl.70</w:t>
            </w:r>
          </w:p>
          <w:p w14:paraId="1C744EEC" w14:textId="77777777" w:rsidR="001053E9" w:rsidRPr="00BC31E0" w:rsidRDefault="001053E9" w:rsidP="001053E9">
            <w:pPr>
              <w:spacing w:line="300" w:lineRule="exact"/>
              <w:ind w:firstLineChars="50" w:firstLine="105"/>
              <w:rPr>
                <w:rFonts w:asciiTheme="minorHAnsi" w:eastAsiaTheme="minorEastAsia" w:hAnsiTheme="minorHAnsi"/>
                <w:dstrike/>
                <w:szCs w:val="22"/>
              </w:rPr>
            </w:pPr>
            <w:r w:rsidRPr="00BC31E0">
              <w:rPr>
                <w:rFonts w:asciiTheme="minorHAnsi" w:eastAsiaTheme="minorEastAsia" w:hAnsiTheme="minorHAnsi"/>
                <w:szCs w:val="22"/>
              </w:rPr>
              <w:t>SA-372</w:t>
            </w:r>
            <w:r w:rsidR="002851A3" w:rsidRPr="00BC31E0">
              <w:rPr>
                <w:rFonts w:asciiTheme="minorHAnsi" w:eastAsiaTheme="minorEastAsia" w:hAnsiTheme="minorHAnsi" w:hint="eastAsia"/>
                <w:szCs w:val="22"/>
              </w:rPr>
              <w:t>M</w:t>
            </w:r>
            <w:r w:rsidRPr="00BC31E0">
              <w:rPr>
                <w:rFonts w:asciiTheme="minorHAnsi" w:eastAsiaTheme="minorEastAsia" w:hAnsiTheme="minorHAnsi"/>
                <w:szCs w:val="22"/>
              </w:rPr>
              <w:t xml:space="preserve"> Grade J Cl.110</w:t>
            </w:r>
          </w:p>
        </w:tc>
        <w:tc>
          <w:tcPr>
            <w:tcW w:w="1559" w:type="dxa"/>
            <w:tcBorders>
              <w:bottom w:val="single" w:sz="4" w:space="0" w:color="auto"/>
            </w:tcBorders>
            <w:vAlign w:val="center"/>
          </w:tcPr>
          <w:p w14:paraId="35047047" w14:textId="77777777" w:rsidR="001053E9" w:rsidRPr="00BC31E0" w:rsidRDefault="001053E9" w:rsidP="001053E9">
            <w:pPr>
              <w:spacing w:line="300" w:lineRule="exact"/>
              <w:jc w:val="center"/>
              <w:rPr>
                <w:rFonts w:asciiTheme="minorHAnsi" w:eastAsiaTheme="minorEastAsia" w:hAnsiTheme="minorHAnsi"/>
                <w:szCs w:val="22"/>
              </w:rPr>
            </w:pPr>
            <w:r w:rsidRPr="00BC31E0">
              <w:rPr>
                <w:rFonts w:asciiTheme="minorHAnsi" w:eastAsiaTheme="minorEastAsia" w:hAnsiTheme="minorHAnsi"/>
                <w:szCs w:val="22"/>
              </w:rPr>
              <w:t>－</w:t>
            </w:r>
          </w:p>
          <w:p w14:paraId="065424A5" w14:textId="77777777" w:rsidR="001053E9" w:rsidRPr="00BC31E0" w:rsidRDefault="001053E9" w:rsidP="001053E9">
            <w:pPr>
              <w:spacing w:line="300" w:lineRule="exact"/>
              <w:jc w:val="center"/>
              <w:rPr>
                <w:rFonts w:asciiTheme="minorHAnsi" w:eastAsiaTheme="minorEastAsia" w:hAnsiTheme="minorHAnsi"/>
                <w:szCs w:val="22"/>
              </w:rPr>
            </w:pPr>
            <w:r w:rsidRPr="00BC31E0">
              <w:rPr>
                <w:rFonts w:asciiTheme="minorHAnsi" w:eastAsiaTheme="minorEastAsia" w:hAnsiTheme="minorHAnsi"/>
                <w:szCs w:val="22"/>
              </w:rPr>
              <w:t>－</w:t>
            </w:r>
          </w:p>
          <w:p w14:paraId="650E810A" w14:textId="77777777" w:rsidR="001053E9" w:rsidRPr="00BC31E0" w:rsidRDefault="001053E9" w:rsidP="001053E9">
            <w:pPr>
              <w:spacing w:line="300" w:lineRule="exact"/>
              <w:jc w:val="center"/>
              <w:rPr>
                <w:rFonts w:asciiTheme="minorHAnsi" w:eastAsiaTheme="minorEastAsia" w:hAnsiTheme="minorHAnsi"/>
                <w:dstrike/>
                <w:szCs w:val="22"/>
              </w:rPr>
            </w:pPr>
            <w:r w:rsidRPr="00BC31E0">
              <w:rPr>
                <w:rFonts w:asciiTheme="minorHAnsi" w:eastAsiaTheme="minorEastAsia" w:hAnsiTheme="minorHAnsi"/>
                <w:szCs w:val="22"/>
              </w:rPr>
              <w:t>－</w:t>
            </w:r>
          </w:p>
        </w:tc>
        <w:tc>
          <w:tcPr>
            <w:tcW w:w="8049" w:type="dxa"/>
            <w:gridSpan w:val="3"/>
            <w:tcBorders>
              <w:bottom w:val="single" w:sz="4" w:space="0" w:color="auto"/>
            </w:tcBorders>
            <w:vAlign w:val="center"/>
          </w:tcPr>
          <w:p w14:paraId="78795830" w14:textId="77777777" w:rsidR="001053E9" w:rsidRPr="00BC31E0" w:rsidRDefault="001053E9" w:rsidP="001053E9">
            <w:pPr>
              <w:spacing w:line="300" w:lineRule="exact"/>
              <w:jc w:val="center"/>
              <w:rPr>
                <w:rFonts w:asciiTheme="minorEastAsia" w:eastAsiaTheme="minorEastAsia" w:hAnsiTheme="minorEastAsia"/>
                <w:szCs w:val="22"/>
              </w:rPr>
            </w:pPr>
            <w:r w:rsidRPr="00BC31E0">
              <w:rPr>
                <w:rFonts w:asciiTheme="minorHAnsi" w:eastAsiaTheme="minorEastAsia" w:hAnsiTheme="minorHAnsi"/>
                <w:szCs w:val="22"/>
              </w:rPr>
              <w:t>ASME Sec.</w:t>
            </w:r>
            <w:r w:rsidRPr="00BC31E0">
              <w:rPr>
                <w:rFonts w:asciiTheme="minorHAnsi" w:hAnsiTheme="minorHAnsi" w:cs="ＭＳ 明朝"/>
                <w:szCs w:val="22"/>
              </w:rPr>
              <w:t>II</w:t>
            </w:r>
            <w:r w:rsidR="00546562" w:rsidRPr="00BC31E0">
              <w:rPr>
                <w:rFonts w:asciiTheme="minorHAnsi" w:hAnsiTheme="minorHAnsi" w:cs="ＭＳ 明朝" w:hint="eastAsia"/>
                <w:szCs w:val="22"/>
              </w:rPr>
              <w:t>，</w:t>
            </w:r>
            <w:r w:rsidRPr="00BC31E0">
              <w:rPr>
                <w:rFonts w:asciiTheme="minorHAnsi" w:eastAsiaTheme="minorEastAsia" w:hAnsiTheme="minorHAnsi"/>
                <w:szCs w:val="22"/>
              </w:rPr>
              <w:t>Part</w:t>
            </w:r>
            <w:r w:rsidR="002851A3" w:rsidRPr="00BC31E0">
              <w:rPr>
                <w:rFonts w:asciiTheme="minorHAnsi" w:eastAsiaTheme="minorEastAsia" w:hAnsiTheme="minorHAnsi" w:hint="eastAsia"/>
                <w:szCs w:val="22"/>
              </w:rPr>
              <w:t xml:space="preserve"> </w:t>
            </w:r>
            <w:r w:rsidRPr="00BC31E0">
              <w:rPr>
                <w:rFonts w:asciiTheme="minorHAnsi" w:eastAsiaTheme="minorEastAsia" w:hAnsiTheme="minorHAnsi"/>
                <w:szCs w:val="22"/>
              </w:rPr>
              <w:t>A</w:t>
            </w:r>
            <w:r w:rsidR="002851A3" w:rsidRPr="00BC31E0">
              <w:rPr>
                <w:rFonts w:asciiTheme="minorHAnsi" w:eastAsiaTheme="minorEastAsia" w:hAnsiTheme="minorHAnsi" w:hint="eastAsia"/>
                <w:szCs w:val="22"/>
              </w:rPr>
              <w:t>，</w:t>
            </w:r>
            <w:r w:rsidRPr="00BC31E0">
              <w:rPr>
                <w:rFonts w:asciiTheme="minorHAnsi" w:eastAsiaTheme="minorEastAsia" w:hAnsiTheme="minorHAnsi"/>
                <w:szCs w:val="22"/>
              </w:rPr>
              <w:t>SA-372</w:t>
            </w:r>
            <w:r w:rsidR="002851A3" w:rsidRPr="00BC31E0">
              <w:rPr>
                <w:rFonts w:asciiTheme="minorHAnsi" w:eastAsiaTheme="minorEastAsia" w:hAnsiTheme="minorHAnsi" w:hint="eastAsia"/>
                <w:szCs w:val="22"/>
              </w:rPr>
              <w:t>M</w:t>
            </w:r>
            <w:r w:rsidRPr="00BC31E0">
              <w:rPr>
                <w:rFonts w:asciiTheme="minorEastAsia" w:eastAsiaTheme="minorEastAsia" w:hAnsiTheme="minorEastAsia" w:hint="eastAsia"/>
                <w:szCs w:val="22"/>
              </w:rPr>
              <w:t>の熱処理規定による。</w:t>
            </w:r>
          </w:p>
          <w:p w14:paraId="6239176E" w14:textId="77777777" w:rsidR="001053E9" w:rsidRPr="00BC31E0" w:rsidRDefault="001053E9" w:rsidP="001053E9">
            <w:pPr>
              <w:spacing w:line="300" w:lineRule="exact"/>
              <w:jc w:val="center"/>
              <w:rPr>
                <w:rFonts w:asciiTheme="minorEastAsia" w:eastAsiaTheme="minorEastAsia" w:hAnsiTheme="minorEastAsia"/>
                <w:szCs w:val="22"/>
              </w:rPr>
            </w:pPr>
            <w:r w:rsidRPr="00BC31E0">
              <w:rPr>
                <w:rFonts w:asciiTheme="minorHAnsi" w:eastAsiaTheme="minorEastAsia" w:hAnsiTheme="minorHAnsi"/>
                <w:szCs w:val="22"/>
              </w:rPr>
              <w:t>ASME Sec.</w:t>
            </w:r>
            <w:r w:rsidRPr="00BC31E0">
              <w:rPr>
                <w:rFonts w:asciiTheme="minorHAnsi" w:hAnsiTheme="minorHAnsi" w:cs="ＭＳ 明朝"/>
                <w:szCs w:val="22"/>
              </w:rPr>
              <w:t>II</w:t>
            </w:r>
            <w:r w:rsidR="00546562" w:rsidRPr="00BC31E0">
              <w:rPr>
                <w:rFonts w:asciiTheme="minorHAnsi" w:hAnsiTheme="minorHAnsi" w:cs="ＭＳ 明朝" w:hint="eastAsia"/>
                <w:szCs w:val="22"/>
              </w:rPr>
              <w:t>，</w:t>
            </w:r>
            <w:r w:rsidRPr="00BC31E0">
              <w:rPr>
                <w:rFonts w:asciiTheme="minorHAnsi" w:eastAsiaTheme="minorEastAsia" w:hAnsiTheme="minorHAnsi"/>
                <w:szCs w:val="22"/>
              </w:rPr>
              <w:t>Part</w:t>
            </w:r>
            <w:r w:rsidR="002851A3" w:rsidRPr="00BC31E0">
              <w:rPr>
                <w:rFonts w:asciiTheme="minorHAnsi" w:eastAsiaTheme="minorEastAsia" w:hAnsiTheme="minorHAnsi" w:hint="eastAsia"/>
                <w:szCs w:val="22"/>
              </w:rPr>
              <w:t xml:space="preserve"> </w:t>
            </w:r>
            <w:r w:rsidRPr="00BC31E0">
              <w:rPr>
                <w:rFonts w:asciiTheme="minorHAnsi" w:eastAsiaTheme="minorEastAsia" w:hAnsiTheme="minorHAnsi"/>
                <w:szCs w:val="22"/>
              </w:rPr>
              <w:t>A</w:t>
            </w:r>
            <w:r w:rsidR="002851A3" w:rsidRPr="00BC31E0">
              <w:rPr>
                <w:rFonts w:asciiTheme="minorHAnsi" w:eastAsiaTheme="minorEastAsia" w:hAnsiTheme="minorHAnsi" w:hint="eastAsia"/>
                <w:szCs w:val="22"/>
              </w:rPr>
              <w:t>，</w:t>
            </w:r>
            <w:r w:rsidRPr="00BC31E0">
              <w:rPr>
                <w:rFonts w:asciiTheme="minorHAnsi" w:eastAsiaTheme="minorEastAsia" w:hAnsiTheme="minorHAnsi"/>
                <w:szCs w:val="22"/>
              </w:rPr>
              <w:t>SA-372</w:t>
            </w:r>
            <w:r w:rsidR="002851A3" w:rsidRPr="00BC31E0">
              <w:rPr>
                <w:rFonts w:asciiTheme="minorHAnsi" w:eastAsiaTheme="minorEastAsia" w:hAnsiTheme="minorHAnsi" w:hint="eastAsia"/>
                <w:szCs w:val="22"/>
              </w:rPr>
              <w:t>M</w:t>
            </w:r>
            <w:r w:rsidRPr="00BC31E0">
              <w:rPr>
                <w:rFonts w:asciiTheme="minorEastAsia" w:eastAsiaTheme="minorEastAsia" w:hAnsiTheme="minorEastAsia" w:hint="eastAsia"/>
                <w:szCs w:val="22"/>
              </w:rPr>
              <w:t>の熱処理規定による。</w:t>
            </w:r>
          </w:p>
          <w:p w14:paraId="4344C9AD" w14:textId="77777777" w:rsidR="001053E9" w:rsidRPr="00BC31E0" w:rsidRDefault="001053E9" w:rsidP="00546562">
            <w:pPr>
              <w:spacing w:line="300" w:lineRule="exact"/>
              <w:jc w:val="center"/>
              <w:rPr>
                <w:rFonts w:asciiTheme="minorEastAsia" w:eastAsiaTheme="minorEastAsia" w:hAnsiTheme="minorEastAsia"/>
                <w:dstrike/>
                <w:szCs w:val="22"/>
              </w:rPr>
            </w:pPr>
            <w:r w:rsidRPr="00BC31E0">
              <w:rPr>
                <w:rFonts w:asciiTheme="minorHAnsi" w:eastAsiaTheme="minorEastAsia" w:hAnsiTheme="minorHAnsi"/>
                <w:szCs w:val="22"/>
              </w:rPr>
              <w:t>ASME Sec.</w:t>
            </w:r>
            <w:r w:rsidRPr="00BC31E0">
              <w:rPr>
                <w:rFonts w:asciiTheme="minorHAnsi" w:hAnsiTheme="minorHAnsi" w:cs="ＭＳ 明朝"/>
                <w:szCs w:val="22"/>
              </w:rPr>
              <w:t>II</w:t>
            </w:r>
            <w:r w:rsidR="00546562" w:rsidRPr="00BC31E0">
              <w:rPr>
                <w:rFonts w:asciiTheme="minorHAnsi" w:hAnsiTheme="minorHAnsi" w:cs="ＭＳ 明朝" w:hint="eastAsia"/>
                <w:szCs w:val="22"/>
              </w:rPr>
              <w:t>，</w:t>
            </w:r>
            <w:r w:rsidRPr="00BC31E0">
              <w:rPr>
                <w:rFonts w:asciiTheme="minorHAnsi" w:eastAsiaTheme="minorEastAsia" w:hAnsiTheme="minorHAnsi"/>
                <w:szCs w:val="22"/>
              </w:rPr>
              <w:t>Part</w:t>
            </w:r>
            <w:r w:rsidR="002851A3" w:rsidRPr="00BC31E0">
              <w:rPr>
                <w:rFonts w:asciiTheme="minorHAnsi" w:eastAsiaTheme="minorEastAsia" w:hAnsiTheme="minorHAnsi" w:hint="eastAsia"/>
                <w:szCs w:val="22"/>
              </w:rPr>
              <w:t xml:space="preserve"> </w:t>
            </w:r>
            <w:r w:rsidRPr="00BC31E0">
              <w:rPr>
                <w:rFonts w:asciiTheme="minorHAnsi" w:eastAsiaTheme="minorEastAsia" w:hAnsiTheme="minorHAnsi"/>
                <w:szCs w:val="22"/>
              </w:rPr>
              <w:t>A</w:t>
            </w:r>
            <w:r w:rsidR="002851A3" w:rsidRPr="00BC31E0">
              <w:rPr>
                <w:rFonts w:asciiTheme="minorHAnsi" w:eastAsiaTheme="minorEastAsia" w:hAnsiTheme="minorHAnsi" w:hint="eastAsia"/>
                <w:szCs w:val="22"/>
              </w:rPr>
              <w:t>，</w:t>
            </w:r>
            <w:r w:rsidRPr="00BC31E0">
              <w:rPr>
                <w:rFonts w:asciiTheme="minorHAnsi" w:eastAsiaTheme="minorEastAsia" w:hAnsiTheme="minorHAnsi"/>
                <w:szCs w:val="22"/>
              </w:rPr>
              <w:t>SA-372</w:t>
            </w:r>
            <w:r w:rsidR="002851A3" w:rsidRPr="00BC31E0">
              <w:rPr>
                <w:rFonts w:asciiTheme="minorHAnsi" w:eastAsiaTheme="minorEastAsia" w:hAnsiTheme="minorHAnsi" w:hint="eastAsia"/>
                <w:szCs w:val="22"/>
              </w:rPr>
              <w:t>M</w:t>
            </w:r>
            <w:r w:rsidRPr="00BC31E0">
              <w:rPr>
                <w:rFonts w:asciiTheme="minorEastAsia" w:eastAsiaTheme="minorEastAsia" w:hAnsiTheme="minorEastAsia" w:hint="eastAsia"/>
                <w:szCs w:val="22"/>
              </w:rPr>
              <w:t>の熱処理規定による。</w:t>
            </w:r>
          </w:p>
        </w:tc>
      </w:tr>
      <w:tr w:rsidR="001053E9" w:rsidRPr="00BC31E0" w14:paraId="6D5D31E6" w14:textId="77777777" w:rsidTr="004736F2">
        <w:trPr>
          <w:trHeight w:val="1009"/>
          <w:jc w:val="center"/>
        </w:trPr>
        <w:tc>
          <w:tcPr>
            <w:tcW w:w="3071" w:type="dxa"/>
            <w:tcBorders>
              <w:bottom w:val="single" w:sz="4" w:space="0" w:color="auto"/>
            </w:tcBorders>
            <w:vAlign w:val="center"/>
          </w:tcPr>
          <w:p w14:paraId="4A8F0A88" w14:textId="77777777" w:rsidR="001053E9" w:rsidRPr="00BC31E0" w:rsidRDefault="001053E9" w:rsidP="001053E9">
            <w:pPr>
              <w:spacing w:line="300" w:lineRule="exact"/>
              <w:ind w:firstLineChars="50" w:firstLine="105"/>
              <w:rPr>
                <w:rFonts w:asciiTheme="minorHAnsi" w:eastAsiaTheme="minorEastAsia" w:hAnsiTheme="minorHAnsi"/>
                <w:szCs w:val="22"/>
              </w:rPr>
            </w:pPr>
            <w:r w:rsidRPr="00BC31E0">
              <w:rPr>
                <w:rFonts w:asciiTheme="minorHAnsi" w:eastAsiaTheme="minorEastAsia" w:hAnsiTheme="minorHAnsi"/>
                <w:szCs w:val="22"/>
              </w:rPr>
              <w:t>SA-508</w:t>
            </w:r>
            <w:r w:rsidR="002851A3" w:rsidRPr="00BC31E0">
              <w:rPr>
                <w:rFonts w:asciiTheme="minorHAnsi" w:eastAsiaTheme="minorEastAsia" w:hAnsiTheme="minorHAnsi" w:hint="eastAsia"/>
                <w:szCs w:val="22"/>
              </w:rPr>
              <w:t>M</w:t>
            </w:r>
            <w:r w:rsidRPr="00BC31E0">
              <w:rPr>
                <w:rFonts w:asciiTheme="minorHAnsi" w:eastAsiaTheme="minorEastAsia" w:hAnsiTheme="minorHAnsi"/>
                <w:szCs w:val="22"/>
              </w:rPr>
              <w:t xml:space="preserve"> Grade 4N Cl.1</w:t>
            </w:r>
          </w:p>
          <w:p w14:paraId="6C93DAEC" w14:textId="77777777" w:rsidR="001053E9" w:rsidRPr="00BC31E0" w:rsidRDefault="001053E9" w:rsidP="001053E9">
            <w:pPr>
              <w:spacing w:line="300" w:lineRule="exact"/>
              <w:ind w:firstLineChars="50" w:firstLine="105"/>
              <w:rPr>
                <w:rFonts w:asciiTheme="minorHAnsi" w:eastAsiaTheme="minorEastAsia" w:hAnsiTheme="minorHAnsi"/>
                <w:szCs w:val="22"/>
              </w:rPr>
            </w:pPr>
            <w:r w:rsidRPr="00BC31E0">
              <w:rPr>
                <w:rFonts w:asciiTheme="minorHAnsi" w:eastAsiaTheme="minorEastAsia" w:hAnsiTheme="minorHAnsi"/>
                <w:szCs w:val="22"/>
              </w:rPr>
              <w:t>SA-508</w:t>
            </w:r>
            <w:r w:rsidR="002851A3" w:rsidRPr="00BC31E0">
              <w:rPr>
                <w:rFonts w:asciiTheme="minorHAnsi" w:eastAsiaTheme="minorEastAsia" w:hAnsiTheme="minorHAnsi" w:hint="eastAsia"/>
                <w:szCs w:val="22"/>
              </w:rPr>
              <w:t>M</w:t>
            </w:r>
            <w:r w:rsidRPr="00BC31E0">
              <w:rPr>
                <w:rFonts w:asciiTheme="minorHAnsi" w:eastAsiaTheme="minorEastAsia" w:hAnsiTheme="minorHAnsi"/>
                <w:szCs w:val="22"/>
              </w:rPr>
              <w:t xml:space="preserve"> Grade 4N Cl.2</w:t>
            </w:r>
          </w:p>
          <w:p w14:paraId="7F426F90" w14:textId="77777777" w:rsidR="001053E9" w:rsidRPr="00BC31E0" w:rsidRDefault="001053E9" w:rsidP="001053E9">
            <w:pPr>
              <w:spacing w:line="300" w:lineRule="exact"/>
              <w:ind w:firstLineChars="50" w:firstLine="105"/>
              <w:rPr>
                <w:rFonts w:asciiTheme="minorHAnsi" w:eastAsiaTheme="minorEastAsia" w:hAnsiTheme="minorHAnsi"/>
                <w:szCs w:val="22"/>
              </w:rPr>
            </w:pPr>
            <w:r w:rsidRPr="00BC31E0">
              <w:rPr>
                <w:rFonts w:asciiTheme="minorHAnsi" w:eastAsiaTheme="minorEastAsia" w:hAnsiTheme="minorHAnsi"/>
                <w:szCs w:val="22"/>
              </w:rPr>
              <w:t>SA-508</w:t>
            </w:r>
            <w:r w:rsidR="002851A3" w:rsidRPr="00BC31E0">
              <w:rPr>
                <w:rFonts w:asciiTheme="minorHAnsi" w:eastAsiaTheme="minorEastAsia" w:hAnsiTheme="minorHAnsi" w:hint="eastAsia"/>
                <w:szCs w:val="22"/>
              </w:rPr>
              <w:t>M</w:t>
            </w:r>
            <w:r w:rsidRPr="00BC31E0">
              <w:rPr>
                <w:rFonts w:asciiTheme="minorHAnsi" w:eastAsiaTheme="minorEastAsia" w:hAnsiTheme="minorHAnsi"/>
                <w:szCs w:val="22"/>
              </w:rPr>
              <w:t xml:space="preserve"> Grade 4N Cl.3</w:t>
            </w:r>
          </w:p>
        </w:tc>
        <w:tc>
          <w:tcPr>
            <w:tcW w:w="1559" w:type="dxa"/>
            <w:tcBorders>
              <w:bottom w:val="single" w:sz="4" w:space="0" w:color="auto"/>
            </w:tcBorders>
            <w:vAlign w:val="center"/>
          </w:tcPr>
          <w:p w14:paraId="32BEF3CE" w14:textId="77777777" w:rsidR="001053E9" w:rsidRPr="00BC31E0" w:rsidRDefault="001053E9" w:rsidP="001053E9">
            <w:pPr>
              <w:spacing w:line="300" w:lineRule="exact"/>
              <w:ind w:firstLineChars="50" w:firstLine="105"/>
              <w:jc w:val="center"/>
              <w:rPr>
                <w:rFonts w:asciiTheme="minorHAnsi" w:eastAsiaTheme="minorEastAsia" w:hAnsiTheme="minorHAnsi"/>
                <w:szCs w:val="22"/>
              </w:rPr>
            </w:pPr>
            <w:r w:rsidRPr="00BC31E0">
              <w:rPr>
                <w:rFonts w:asciiTheme="minorHAnsi" w:eastAsiaTheme="minorEastAsia" w:hAnsiTheme="minorHAnsi"/>
                <w:szCs w:val="22"/>
              </w:rPr>
              <w:t>11A Gr.5</w:t>
            </w:r>
          </w:p>
          <w:p w14:paraId="629BEF7D" w14:textId="77777777" w:rsidR="001053E9" w:rsidRPr="00BC31E0" w:rsidRDefault="001053E9" w:rsidP="001053E9">
            <w:pPr>
              <w:spacing w:line="300" w:lineRule="exact"/>
              <w:ind w:firstLineChars="50" w:firstLine="105"/>
              <w:jc w:val="center"/>
              <w:rPr>
                <w:rFonts w:asciiTheme="minorHAnsi" w:eastAsiaTheme="minorEastAsia" w:hAnsiTheme="minorHAnsi"/>
                <w:szCs w:val="22"/>
              </w:rPr>
            </w:pPr>
            <w:r w:rsidRPr="00BC31E0">
              <w:rPr>
                <w:rFonts w:asciiTheme="minorHAnsi" w:eastAsiaTheme="minorEastAsia" w:hAnsiTheme="minorHAnsi"/>
                <w:szCs w:val="22"/>
              </w:rPr>
              <w:t>11B Gr.10</w:t>
            </w:r>
          </w:p>
          <w:p w14:paraId="133F7D75" w14:textId="77777777" w:rsidR="001053E9" w:rsidRPr="00BC31E0" w:rsidRDefault="001053E9" w:rsidP="001053E9">
            <w:pPr>
              <w:spacing w:line="300" w:lineRule="exact"/>
              <w:jc w:val="center"/>
              <w:rPr>
                <w:rFonts w:asciiTheme="minorHAnsi" w:eastAsiaTheme="minorEastAsia" w:hAnsiTheme="minorHAnsi"/>
                <w:szCs w:val="22"/>
              </w:rPr>
            </w:pPr>
            <w:r w:rsidRPr="00BC31E0">
              <w:rPr>
                <w:rFonts w:asciiTheme="minorHAnsi" w:eastAsiaTheme="minorEastAsia" w:hAnsiTheme="minorHAnsi"/>
                <w:szCs w:val="22"/>
              </w:rPr>
              <w:t>3 Gr.3</w:t>
            </w:r>
          </w:p>
        </w:tc>
        <w:tc>
          <w:tcPr>
            <w:tcW w:w="2410" w:type="dxa"/>
            <w:tcBorders>
              <w:top w:val="single" w:sz="4" w:space="0" w:color="auto"/>
              <w:left w:val="single" w:sz="4" w:space="0" w:color="auto"/>
              <w:bottom w:val="single" w:sz="4" w:space="0" w:color="auto"/>
            </w:tcBorders>
            <w:vAlign w:val="center"/>
          </w:tcPr>
          <w:p w14:paraId="05BCAC54" w14:textId="77777777" w:rsidR="001053E9" w:rsidRPr="00BC31E0" w:rsidRDefault="001053E9" w:rsidP="001053E9">
            <w:pPr>
              <w:spacing w:line="300" w:lineRule="exact"/>
              <w:jc w:val="center"/>
              <w:rPr>
                <w:rFonts w:asciiTheme="minorEastAsia" w:eastAsiaTheme="minorEastAsia" w:hAnsiTheme="minorEastAsia"/>
                <w:szCs w:val="22"/>
                <w:vertAlign w:val="superscript"/>
              </w:rPr>
            </w:pPr>
            <w:r w:rsidRPr="00BC31E0">
              <w:rPr>
                <w:rFonts w:asciiTheme="minorEastAsia" w:eastAsiaTheme="minorEastAsia" w:hAnsiTheme="minorEastAsia" w:hint="eastAsia"/>
                <w:szCs w:val="22"/>
              </w:rPr>
              <w:t>全て</w:t>
            </w:r>
            <w:r w:rsidRPr="00BC31E0">
              <w:rPr>
                <w:rFonts w:asciiTheme="majorEastAsia" w:eastAsiaTheme="majorEastAsia" w:hAnsiTheme="majorEastAsia" w:hint="eastAsia"/>
                <w:b/>
                <w:szCs w:val="22"/>
                <w:vertAlign w:val="superscript"/>
              </w:rPr>
              <w:t>b)</w:t>
            </w:r>
          </w:p>
          <w:p w14:paraId="322BB62F" w14:textId="77777777" w:rsidR="001053E9" w:rsidRPr="00BC31E0" w:rsidRDefault="001053E9" w:rsidP="001053E9">
            <w:pPr>
              <w:spacing w:line="300" w:lineRule="exact"/>
              <w:jc w:val="center"/>
              <w:rPr>
                <w:rFonts w:asciiTheme="minorEastAsia" w:eastAsiaTheme="minorEastAsia" w:hAnsiTheme="minorEastAsia"/>
                <w:szCs w:val="22"/>
                <w:vertAlign w:val="superscript"/>
              </w:rPr>
            </w:pPr>
            <w:r w:rsidRPr="00BC31E0">
              <w:rPr>
                <w:rFonts w:asciiTheme="minorEastAsia" w:eastAsiaTheme="minorEastAsia" w:hAnsiTheme="minorEastAsia" w:hint="eastAsia"/>
                <w:szCs w:val="22"/>
              </w:rPr>
              <w:t>全て</w:t>
            </w:r>
            <w:r w:rsidRPr="00BC31E0">
              <w:rPr>
                <w:rFonts w:asciiTheme="majorEastAsia" w:eastAsiaTheme="majorEastAsia" w:hAnsiTheme="majorEastAsia" w:hint="eastAsia"/>
                <w:b/>
                <w:szCs w:val="22"/>
                <w:vertAlign w:val="superscript"/>
              </w:rPr>
              <w:t>b)</w:t>
            </w:r>
          </w:p>
          <w:p w14:paraId="51F8EE3B" w14:textId="77777777" w:rsidR="001053E9" w:rsidRPr="00BC31E0" w:rsidRDefault="001053E9" w:rsidP="001053E9">
            <w:pPr>
              <w:spacing w:line="300" w:lineRule="exact"/>
              <w:jc w:val="center"/>
              <w:rPr>
                <w:rFonts w:asciiTheme="minorEastAsia" w:eastAsiaTheme="minorEastAsia" w:hAnsiTheme="minorEastAsia"/>
                <w:szCs w:val="22"/>
              </w:rPr>
            </w:pPr>
            <w:r w:rsidRPr="00BC31E0">
              <w:rPr>
                <w:rFonts w:asciiTheme="minorEastAsia" w:eastAsiaTheme="minorEastAsia" w:hAnsiTheme="minorEastAsia" w:hint="eastAsia"/>
                <w:szCs w:val="22"/>
              </w:rPr>
              <w:t>全て</w:t>
            </w:r>
            <w:r w:rsidRPr="00BC31E0">
              <w:rPr>
                <w:rFonts w:asciiTheme="majorEastAsia" w:eastAsiaTheme="majorEastAsia" w:hAnsiTheme="majorEastAsia" w:hint="eastAsia"/>
                <w:b/>
                <w:szCs w:val="22"/>
                <w:vertAlign w:val="superscript"/>
              </w:rPr>
              <w:t>b)</w:t>
            </w:r>
          </w:p>
        </w:tc>
        <w:tc>
          <w:tcPr>
            <w:tcW w:w="2126" w:type="dxa"/>
            <w:tcBorders>
              <w:top w:val="single" w:sz="4" w:space="0" w:color="auto"/>
              <w:left w:val="single" w:sz="4" w:space="0" w:color="auto"/>
              <w:bottom w:val="single" w:sz="4" w:space="0" w:color="auto"/>
            </w:tcBorders>
            <w:vAlign w:val="center"/>
          </w:tcPr>
          <w:p w14:paraId="55D8405F" w14:textId="77777777" w:rsidR="001053E9" w:rsidRPr="00BC31E0" w:rsidRDefault="001053E9" w:rsidP="001053E9">
            <w:pPr>
              <w:spacing w:line="300" w:lineRule="exact"/>
              <w:jc w:val="center"/>
              <w:rPr>
                <w:rFonts w:asciiTheme="minorHAnsi" w:eastAsiaTheme="minorEastAsia" w:hAnsiTheme="minorHAnsi"/>
                <w:szCs w:val="22"/>
              </w:rPr>
            </w:pPr>
            <w:r w:rsidRPr="00BC31E0">
              <w:rPr>
                <w:rFonts w:asciiTheme="minorHAnsi" w:eastAsiaTheme="minorEastAsia" w:hAnsiTheme="minorHAnsi"/>
                <w:szCs w:val="22"/>
              </w:rPr>
              <w:t xml:space="preserve">540 </w:t>
            </w:r>
            <w:r w:rsidRPr="00BC31E0">
              <w:rPr>
                <w:rFonts w:asciiTheme="minorHAnsi" w:eastAsiaTheme="minorEastAsia" w:hAnsiTheme="minorHAnsi"/>
                <w:szCs w:val="22"/>
              </w:rPr>
              <w:t>～</w:t>
            </w:r>
            <w:r w:rsidRPr="00BC31E0">
              <w:rPr>
                <w:rFonts w:asciiTheme="minorHAnsi" w:eastAsiaTheme="minorEastAsia" w:hAnsiTheme="minorHAnsi"/>
                <w:szCs w:val="22"/>
              </w:rPr>
              <w:t xml:space="preserve"> 565</w:t>
            </w:r>
          </w:p>
          <w:p w14:paraId="642A6EC7" w14:textId="77777777" w:rsidR="001053E9" w:rsidRPr="00BC31E0" w:rsidRDefault="001053E9" w:rsidP="001053E9">
            <w:pPr>
              <w:spacing w:line="300" w:lineRule="exact"/>
              <w:jc w:val="center"/>
              <w:rPr>
                <w:rFonts w:asciiTheme="minorHAnsi" w:eastAsiaTheme="minorEastAsia" w:hAnsiTheme="minorHAnsi"/>
                <w:szCs w:val="22"/>
              </w:rPr>
            </w:pPr>
            <w:r w:rsidRPr="00BC31E0">
              <w:rPr>
                <w:rFonts w:asciiTheme="minorHAnsi" w:eastAsiaTheme="minorEastAsia" w:hAnsiTheme="minorHAnsi"/>
                <w:szCs w:val="22"/>
              </w:rPr>
              <w:t xml:space="preserve">540 </w:t>
            </w:r>
            <w:r w:rsidRPr="00BC31E0">
              <w:rPr>
                <w:rFonts w:asciiTheme="minorHAnsi" w:eastAsiaTheme="minorEastAsia" w:hAnsiTheme="minorHAnsi"/>
                <w:szCs w:val="22"/>
              </w:rPr>
              <w:t>～</w:t>
            </w:r>
            <w:r w:rsidRPr="00BC31E0">
              <w:rPr>
                <w:rFonts w:asciiTheme="minorHAnsi" w:eastAsiaTheme="minorEastAsia" w:hAnsiTheme="minorHAnsi"/>
                <w:szCs w:val="22"/>
              </w:rPr>
              <w:t xml:space="preserve"> 565</w:t>
            </w:r>
          </w:p>
          <w:p w14:paraId="4AE8A235" w14:textId="77777777" w:rsidR="001053E9" w:rsidRPr="00BC31E0" w:rsidRDefault="001053E9" w:rsidP="001053E9">
            <w:pPr>
              <w:spacing w:line="300" w:lineRule="exact"/>
              <w:jc w:val="center"/>
              <w:rPr>
                <w:rFonts w:asciiTheme="minorEastAsia" w:eastAsiaTheme="minorEastAsia" w:hAnsiTheme="minorEastAsia"/>
                <w:szCs w:val="22"/>
              </w:rPr>
            </w:pPr>
            <w:r w:rsidRPr="00BC31E0">
              <w:rPr>
                <w:rFonts w:asciiTheme="minorHAnsi" w:eastAsiaTheme="minorEastAsia" w:hAnsiTheme="minorHAnsi"/>
                <w:szCs w:val="22"/>
              </w:rPr>
              <w:t xml:space="preserve">540 </w:t>
            </w:r>
            <w:r w:rsidRPr="00BC31E0">
              <w:rPr>
                <w:rFonts w:asciiTheme="minorHAnsi" w:eastAsiaTheme="minorEastAsia" w:hAnsiTheme="minorHAnsi"/>
                <w:szCs w:val="22"/>
              </w:rPr>
              <w:t>～</w:t>
            </w:r>
            <w:r w:rsidRPr="00BC31E0">
              <w:rPr>
                <w:rFonts w:asciiTheme="minorHAnsi" w:eastAsiaTheme="minorEastAsia" w:hAnsiTheme="minorHAnsi"/>
                <w:szCs w:val="22"/>
              </w:rPr>
              <w:t xml:space="preserve"> 565</w:t>
            </w:r>
          </w:p>
        </w:tc>
        <w:tc>
          <w:tcPr>
            <w:tcW w:w="3513" w:type="dxa"/>
            <w:tcBorders>
              <w:top w:val="single" w:sz="4" w:space="0" w:color="auto"/>
              <w:left w:val="single" w:sz="4" w:space="0" w:color="auto"/>
              <w:bottom w:val="single" w:sz="4" w:space="0" w:color="auto"/>
            </w:tcBorders>
            <w:vAlign w:val="center"/>
          </w:tcPr>
          <w:p w14:paraId="59A3A3E5" w14:textId="77777777" w:rsidR="001053E9" w:rsidRPr="00BC31E0" w:rsidRDefault="001053E9" w:rsidP="001053E9">
            <w:pPr>
              <w:spacing w:line="300" w:lineRule="exact"/>
              <w:jc w:val="center"/>
              <w:rPr>
                <w:rFonts w:asciiTheme="minorHAnsi" w:eastAsiaTheme="minorEastAsia" w:hAnsiTheme="minorHAnsi"/>
                <w:szCs w:val="22"/>
              </w:rPr>
            </w:pPr>
            <w:r w:rsidRPr="00BC31E0">
              <w:rPr>
                <w:rFonts w:asciiTheme="minorHAnsi" w:eastAsiaTheme="minorEastAsia" w:hAnsiTheme="minorHAnsi"/>
                <w:szCs w:val="22"/>
              </w:rPr>
              <w:t>1</w:t>
            </w:r>
            <w:r w:rsidRPr="00BC31E0">
              <w:rPr>
                <w:rFonts w:asciiTheme="minorHAnsi" w:eastAsiaTheme="minorEastAsia" w:hAnsiTheme="minorHAnsi"/>
                <w:szCs w:val="22"/>
              </w:rPr>
              <w:t xml:space="preserve">　　　　　　　</w:t>
            </w:r>
            <w:r w:rsidRPr="00BC31E0">
              <w:rPr>
                <w:rFonts w:asciiTheme="minorHAnsi" w:eastAsiaTheme="minorEastAsia" w:hAnsiTheme="minorHAnsi"/>
                <w:szCs w:val="22"/>
              </w:rPr>
              <w:t>1</w:t>
            </w:r>
          </w:p>
          <w:p w14:paraId="75D35D75" w14:textId="77777777" w:rsidR="001053E9" w:rsidRPr="00BC31E0" w:rsidRDefault="001053E9" w:rsidP="001053E9">
            <w:pPr>
              <w:spacing w:line="300" w:lineRule="exact"/>
              <w:jc w:val="center"/>
              <w:rPr>
                <w:rFonts w:asciiTheme="minorHAnsi" w:eastAsiaTheme="minorEastAsia" w:hAnsiTheme="minorHAnsi"/>
                <w:szCs w:val="22"/>
              </w:rPr>
            </w:pPr>
            <w:r w:rsidRPr="00BC31E0">
              <w:rPr>
                <w:rFonts w:asciiTheme="minorHAnsi" w:eastAsiaTheme="minorEastAsia" w:hAnsiTheme="minorHAnsi"/>
                <w:szCs w:val="22"/>
              </w:rPr>
              <w:t>1</w:t>
            </w:r>
            <w:r w:rsidRPr="00BC31E0">
              <w:rPr>
                <w:rFonts w:asciiTheme="minorHAnsi" w:eastAsiaTheme="minorEastAsia" w:hAnsiTheme="minorHAnsi"/>
                <w:szCs w:val="22"/>
              </w:rPr>
              <w:t xml:space="preserve">　　　　　　　</w:t>
            </w:r>
            <w:r w:rsidRPr="00BC31E0">
              <w:rPr>
                <w:rFonts w:asciiTheme="minorHAnsi" w:eastAsiaTheme="minorEastAsia" w:hAnsiTheme="minorHAnsi"/>
                <w:szCs w:val="22"/>
              </w:rPr>
              <w:t>1</w:t>
            </w:r>
          </w:p>
          <w:p w14:paraId="48B54677" w14:textId="77777777" w:rsidR="001053E9" w:rsidRPr="00BC31E0" w:rsidRDefault="001053E9" w:rsidP="001053E9">
            <w:pPr>
              <w:spacing w:line="300" w:lineRule="exact"/>
              <w:jc w:val="center"/>
              <w:rPr>
                <w:rFonts w:asciiTheme="minorEastAsia" w:eastAsiaTheme="minorEastAsia" w:hAnsiTheme="minorEastAsia"/>
                <w:szCs w:val="22"/>
              </w:rPr>
            </w:pPr>
            <w:r w:rsidRPr="00BC31E0">
              <w:rPr>
                <w:rFonts w:asciiTheme="minorHAnsi" w:eastAsiaTheme="minorEastAsia" w:hAnsiTheme="minorHAnsi"/>
                <w:szCs w:val="22"/>
              </w:rPr>
              <w:t>1</w:t>
            </w:r>
            <w:r w:rsidRPr="00BC31E0">
              <w:rPr>
                <w:rFonts w:asciiTheme="minorHAnsi" w:eastAsiaTheme="minorEastAsia" w:hAnsiTheme="minorHAnsi"/>
                <w:szCs w:val="22"/>
              </w:rPr>
              <w:t xml:space="preserve">　　　　　　　</w:t>
            </w:r>
            <w:r w:rsidRPr="00BC31E0">
              <w:rPr>
                <w:rFonts w:asciiTheme="minorHAnsi" w:eastAsiaTheme="minorEastAsia" w:hAnsiTheme="minorHAnsi"/>
                <w:szCs w:val="22"/>
              </w:rPr>
              <w:t>1</w:t>
            </w:r>
          </w:p>
        </w:tc>
      </w:tr>
    </w:tbl>
    <w:p w14:paraId="2B502943" w14:textId="77777777" w:rsidR="001053E9" w:rsidRPr="00BC31E0" w:rsidRDefault="001053E9" w:rsidP="0007348D">
      <w:pPr>
        <w:autoSpaceDE w:val="0"/>
        <w:autoSpaceDN w:val="0"/>
        <w:spacing w:before="60" w:line="300" w:lineRule="exact"/>
        <w:ind w:left="737"/>
        <w:jc w:val="left"/>
        <w:rPr>
          <w:rFonts w:ascii="ＭＳ 明朝" w:hAnsi="Times New Roman"/>
          <w:kern w:val="0"/>
        </w:rPr>
      </w:pPr>
      <w:r w:rsidRPr="00BC31E0">
        <w:rPr>
          <w:rFonts w:ascii="ＭＳ ゴシック" w:eastAsia="ＭＳ ゴシック" w:hAnsi="ＭＳ ゴシック" w:hint="eastAsia"/>
          <w:b/>
          <w:bCs/>
          <w:kern w:val="0"/>
        </w:rPr>
        <w:t xml:space="preserve">注 </w:t>
      </w:r>
      <w:r w:rsidRPr="00BC31E0">
        <w:rPr>
          <w:rFonts w:ascii="ＭＳ ゴシック" w:eastAsia="ＭＳ ゴシック" w:hAnsi="ＭＳ ゴシック" w:hint="eastAsia"/>
          <w:b/>
          <w:bCs/>
          <w:kern w:val="0"/>
          <w:vertAlign w:val="superscript"/>
        </w:rPr>
        <w:t>a)</w:t>
      </w:r>
      <w:r w:rsidRPr="00BC31E0">
        <w:rPr>
          <w:rFonts w:ascii="ＭＳ 明朝" w:hAnsi="Times New Roman" w:hint="eastAsia"/>
          <w:kern w:val="0"/>
        </w:rPr>
        <w:t xml:space="preserve">　</w:t>
      </w:r>
      <w:r w:rsidRPr="00BC31E0">
        <w:rPr>
          <w:rFonts w:ascii="ＭＳ ゴシック" w:eastAsia="ＭＳ ゴシック" w:hAnsi="ＭＳ ゴシック"/>
          <w:b/>
          <w:kern w:val="0"/>
        </w:rPr>
        <w:t>JIS</w:t>
      </w:r>
      <w:r w:rsidR="00B72A57" w:rsidRPr="00BC31E0">
        <w:rPr>
          <w:rFonts w:ascii="ＭＳ 明朝" w:hAnsi="Times New Roman" w:hint="eastAsia"/>
          <w:kern w:val="0"/>
        </w:rPr>
        <w:t>材料</w:t>
      </w:r>
      <w:r w:rsidR="00887998" w:rsidRPr="00BC31E0">
        <w:rPr>
          <w:rFonts w:ascii="ＭＳ 明朝" w:hAnsi="Times New Roman" w:hint="eastAsia"/>
          <w:kern w:val="0"/>
        </w:rPr>
        <w:t>であって溶接される焼入</w:t>
      </w:r>
      <w:r w:rsidRPr="00BC31E0">
        <w:rPr>
          <w:rFonts w:ascii="ＭＳ 明朝" w:hAnsi="Times New Roman" w:hint="eastAsia"/>
          <w:kern w:val="0"/>
        </w:rPr>
        <w:t>焼戻鋼の溶接後熱処理は，相当する</w:t>
      </w:r>
      <w:r w:rsidRPr="00BC31E0">
        <w:rPr>
          <w:rFonts w:ascii="ＭＳ ゴシック" w:eastAsia="ＭＳ ゴシック" w:hAnsi="ＭＳ ゴシック"/>
          <w:b/>
          <w:kern w:val="0"/>
        </w:rPr>
        <w:t>ASME</w:t>
      </w:r>
      <w:r w:rsidRPr="00BC31E0">
        <w:rPr>
          <w:rFonts w:ascii="ＭＳ 明朝" w:hAnsi="Times New Roman" w:hint="eastAsia"/>
          <w:kern w:val="0"/>
        </w:rPr>
        <w:t>規格材と同等でなければならない。</w:t>
      </w:r>
    </w:p>
    <w:p w14:paraId="3D4BA79D" w14:textId="77777777" w:rsidR="001053E9" w:rsidRPr="00BC31E0" w:rsidRDefault="001053E9" w:rsidP="0007348D">
      <w:pPr>
        <w:autoSpaceDE w:val="0"/>
        <w:autoSpaceDN w:val="0"/>
        <w:spacing w:line="300" w:lineRule="exact"/>
        <w:ind w:left="1361"/>
        <w:jc w:val="left"/>
        <w:rPr>
          <w:rFonts w:ascii="ＭＳ 明朝" w:hAnsi="Times New Roman"/>
          <w:kern w:val="0"/>
        </w:rPr>
      </w:pPr>
      <w:r w:rsidRPr="00BC31E0">
        <w:rPr>
          <w:rFonts w:ascii="ＭＳ 明朝" w:hAnsi="Times New Roman" w:hint="eastAsia"/>
          <w:kern w:val="0"/>
        </w:rPr>
        <w:t>なお，相当する</w:t>
      </w:r>
      <w:r w:rsidRPr="00BC31E0">
        <w:rPr>
          <w:rFonts w:ascii="ＭＳ ゴシック" w:eastAsia="ＭＳ ゴシック" w:hAnsi="ＭＳ ゴシック" w:hint="eastAsia"/>
          <w:b/>
          <w:kern w:val="0"/>
        </w:rPr>
        <w:t>ASME</w:t>
      </w:r>
      <w:r w:rsidRPr="00BC31E0">
        <w:rPr>
          <w:rFonts w:ascii="ＭＳ 明朝" w:hAnsi="Times New Roman" w:hint="eastAsia"/>
          <w:kern w:val="0"/>
        </w:rPr>
        <w:t>規格材がない場合には，</w:t>
      </w:r>
      <w:r w:rsidRPr="00BC31E0">
        <w:rPr>
          <w:rFonts w:ascii="ＭＳ ゴシック" w:eastAsia="ＭＳ ゴシック" w:hAnsi="ＭＳ ゴシック" w:hint="eastAsia"/>
          <w:b/>
          <w:kern w:val="0"/>
        </w:rPr>
        <w:t>JIS B 8266 附属書12</w:t>
      </w:r>
      <w:r w:rsidRPr="00BC31E0">
        <w:rPr>
          <w:rFonts w:ascii="ＭＳ 明朝" w:hAnsi="Times New Roman" w:hint="eastAsia"/>
          <w:kern w:val="0"/>
        </w:rPr>
        <w:t>の</w:t>
      </w:r>
      <w:r w:rsidRPr="00BC31E0">
        <w:rPr>
          <w:rFonts w:ascii="ＭＳ ゴシック" w:eastAsia="ＭＳ ゴシック" w:hAnsi="ＭＳ ゴシック" w:hint="eastAsia"/>
          <w:b/>
          <w:kern w:val="0"/>
        </w:rPr>
        <w:t>5.1</w:t>
      </w:r>
      <w:r w:rsidRPr="00BC31E0">
        <w:rPr>
          <w:rFonts w:ascii="ＭＳ 明朝" w:hAnsi="Times New Roman" w:hint="eastAsia"/>
          <w:kern w:val="0"/>
        </w:rPr>
        <w:t>を適用する。</w:t>
      </w:r>
    </w:p>
    <w:p w14:paraId="1A69F553" w14:textId="77777777" w:rsidR="001053E9" w:rsidRPr="00BC31E0" w:rsidRDefault="00A51873" w:rsidP="0007348D">
      <w:pPr>
        <w:spacing w:line="300" w:lineRule="exact"/>
        <w:ind w:left="737"/>
        <w:rPr>
          <w:rFonts w:ascii="ＭＳ 明朝" w:hAnsi="Times New Roman"/>
          <w:kern w:val="0"/>
        </w:rPr>
      </w:pPr>
      <w:r>
        <w:rPr>
          <w:rFonts w:ascii="ＭＳ 明朝" w:hAnsi="Times New Roman"/>
          <w:b/>
          <w:bCs/>
          <w:noProof/>
          <w:kern w:val="0"/>
          <w:sz w:val="20"/>
        </w:rPr>
        <w:pict w14:anchorId="799E203D">
          <v:shape id="Text Box 10728" o:spid="_x0000_s1503" type="#_x0000_t202" style="position:absolute;left:0;text-align:left;margin-left:325.5pt;margin-top:79.95pt;width:21pt;height:9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" stroked="f">
            <v:textbox>
              <w:txbxContent>
                <w:p w14:paraId="398CAF57" w14:textId="77777777" w:rsidR="003B0864" w:rsidRDefault="003B0864" w:rsidP="001053E9"/>
              </w:txbxContent>
            </v:textbox>
            <w10:wrap type="topAndBottom"/>
          </v:shape>
        </w:pict>
      </w:r>
      <w:r w:rsidR="001053E9" w:rsidRPr="00BC31E0">
        <w:rPr>
          <w:rFonts w:ascii="ＭＳ ゴシック" w:eastAsia="ＭＳ ゴシック" w:hAnsi="ＭＳ ゴシック" w:hint="eastAsia"/>
          <w:b/>
          <w:bCs/>
          <w:kern w:val="0"/>
        </w:rPr>
        <w:t xml:space="preserve">注 </w:t>
      </w:r>
      <w:r w:rsidR="001053E9" w:rsidRPr="00BC31E0">
        <w:rPr>
          <w:rFonts w:ascii="ＭＳ ゴシック" w:eastAsia="ＭＳ ゴシック" w:hAnsi="ＭＳ ゴシック" w:hint="eastAsia"/>
          <w:b/>
          <w:bCs/>
          <w:kern w:val="0"/>
          <w:vertAlign w:val="superscript"/>
        </w:rPr>
        <w:t>b)</w:t>
      </w:r>
      <w:r w:rsidR="001053E9" w:rsidRPr="00BC31E0">
        <w:rPr>
          <w:rFonts w:ascii="ＭＳ 明朝" w:hAnsi="Times New Roman" w:hint="eastAsia"/>
          <w:b/>
          <w:bCs/>
          <w:kern w:val="0"/>
        </w:rPr>
        <w:t xml:space="preserve">　</w:t>
      </w:r>
      <w:r w:rsidR="001053E9" w:rsidRPr="00BC31E0">
        <w:rPr>
          <w:rFonts w:ascii="ＭＳ 明朝" w:hAnsi="Times New Roman" w:hint="eastAsia"/>
          <w:kern w:val="0"/>
        </w:rPr>
        <w:t>溶接後熱処理をしてもしなくてもよい。焼戻し脆化の可能性を検討しなければならない。溶接後熱処理をする場合には，</w:t>
      </w:r>
    </w:p>
    <w:p w14:paraId="6DF528F9" w14:textId="77777777" w:rsidR="001053E9" w:rsidRPr="00BC31E0" w:rsidRDefault="001053E9" w:rsidP="0007348D">
      <w:pPr>
        <w:spacing w:line="300" w:lineRule="exact"/>
        <w:ind w:left="1361"/>
        <w:rPr>
          <w:rFonts w:ascii="ＭＳ 明朝" w:hAnsi="Times New Roman"/>
          <w:kern w:val="0"/>
        </w:rPr>
      </w:pPr>
      <w:r w:rsidRPr="00BC31E0">
        <w:rPr>
          <w:rFonts w:ascii="ＭＳ 明朝" w:hAnsi="ＭＳ 明朝" w:hint="eastAsia"/>
          <w:kern w:val="0"/>
        </w:rPr>
        <w:t>溶接後熱処理後の冷却速度が空冷</w:t>
      </w:r>
      <w:r w:rsidRPr="00BC31E0">
        <w:rPr>
          <w:rFonts w:ascii="ＭＳ 明朝" w:hAnsi="ＭＳ 明朝"/>
          <w:kern w:val="0"/>
        </w:rPr>
        <w:t>(静止した空気による</w:t>
      </w:r>
      <w:r w:rsidRPr="00BC31E0">
        <w:rPr>
          <w:kern w:val="0"/>
        </w:rPr>
        <w:t>)</w:t>
      </w:r>
      <w:r w:rsidRPr="00BC31E0">
        <w:rPr>
          <w:rFonts w:ascii="ＭＳ 明朝" w:hAnsi="Times New Roman" w:hint="eastAsia"/>
          <w:kern w:val="0"/>
        </w:rPr>
        <w:t>よりも遅くならないようにする。</w:t>
      </w:r>
    </w:p>
    <w:p w14:paraId="7131BEA8" w14:textId="77777777" w:rsidR="001053E9" w:rsidRPr="00BC31E0" w:rsidRDefault="001053E9" w:rsidP="0007348D">
      <w:pPr>
        <w:spacing w:line="300" w:lineRule="exact"/>
        <w:ind w:left="737"/>
        <w:rPr>
          <w:rFonts w:ascii="ＭＳ 明朝" w:hAnsi="ＭＳ 明朝"/>
        </w:rPr>
      </w:pPr>
      <w:r w:rsidRPr="00BC31E0">
        <w:rPr>
          <w:rFonts w:ascii="ＭＳ ゴシック" w:eastAsia="ＭＳ ゴシック" w:hAnsi="ＭＳ ゴシック" w:hint="eastAsia"/>
          <w:b/>
          <w:bCs/>
          <w:kern w:val="0"/>
        </w:rPr>
        <w:t xml:space="preserve">注 </w:t>
      </w:r>
      <w:r w:rsidRPr="00BC31E0">
        <w:rPr>
          <w:rFonts w:ascii="ＭＳ ゴシック" w:eastAsia="ＭＳ ゴシック" w:hAnsi="ＭＳ ゴシック" w:hint="eastAsia"/>
          <w:b/>
          <w:bCs/>
          <w:kern w:val="0"/>
          <w:vertAlign w:val="superscript"/>
        </w:rPr>
        <w:t>c)</w:t>
      </w:r>
      <w:r w:rsidRPr="00BC31E0">
        <w:rPr>
          <w:rFonts w:ascii="ＭＳ 明朝" w:hAnsi="Times New Roman" w:hint="eastAsia"/>
          <w:kern w:val="0"/>
        </w:rPr>
        <w:t xml:space="preserve">　</w:t>
      </w:r>
      <w:r w:rsidRPr="00BC31E0">
        <w:rPr>
          <w:rFonts w:asciiTheme="minorHAnsi" w:hAnsiTheme="minorHAnsi"/>
          <w:kern w:val="0"/>
        </w:rPr>
        <w:t>15</w:t>
      </w:r>
      <w:r w:rsidRPr="00BC31E0">
        <w:rPr>
          <w:rFonts w:asciiTheme="minorHAnsi" w:hAnsiTheme="minorHAnsi" w:hint="eastAsia"/>
          <w:kern w:val="0"/>
        </w:rPr>
        <w:t xml:space="preserve"> </w:t>
      </w:r>
      <w:r w:rsidRPr="00BC31E0">
        <w:rPr>
          <w:rFonts w:asciiTheme="minorHAnsi" w:hAnsiTheme="minorHAnsi"/>
          <w:kern w:val="0"/>
        </w:rPr>
        <w:t>mm</w:t>
      </w:r>
      <w:r w:rsidRPr="00BC31E0">
        <w:rPr>
          <w:rFonts w:asciiTheme="minorHAnsi" w:hAnsiTheme="minorHAnsi"/>
          <w:szCs w:val="22"/>
        </w:rPr>
        <w:t>＜</w:t>
      </w:r>
      <w:r w:rsidRPr="00BC31E0">
        <w:rPr>
          <w:rFonts w:asciiTheme="minorHAnsi" w:hAnsiTheme="minorHAnsi"/>
          <w:kern w:val="0"/>
        </w:rPr>
        <w:t>t</w:t>
      </w:r>
      <w:r w:rsidRPr="00BC31E0">
        <w:rPr>
          <w:rFonts w:ascii="ＭＳ 明朝" w:hAnsi="ＭＳ 明朝" w:cs="ＭＳ 明朝" w:hint="eastAsia"/>
        </w:rPr>
        <w:t>≦</w:t>
      </w:r>
      <w:r w:rsidRPr="00BC31E0">
        <w:rPr>
          <w:rFonts w:asciiTheme="minorHAnsi" w:hAnsiTheme="minorHAnsi"/>
        </w:rPr>
        <w:t>32</w:t>
      </w:r>
      <w:r w:rsidRPr="00BC31E0">
        <w:rPr>
          <w:rFonts w:asciiTheme="minorHAnsi" w:hAnsiTheme="minorHAnsi" w:hint="eastAsia"/>
        </w:rPr>
        <w:t xml:space="preserve"> </w:t>
      </w:r>
      <w:r w:rsidRPr="00BC31E0">
        <w:rPr>
          <w:rFonts w:asciiTheme="minorHAnsi" w:hAnsiTheme="minorHAnsi"/>
        </w:rPr>
        <w:t>mm</w:t>
      </w:r>
      <w:r w:rsidRPr="00BC31E0">
        <w:rPr>
          <w:rFonts w:ascii="ＭＳ 明朝" w:hAnsi="ＭＳ 明朝" w:hint="eastAsia"/>
        </w:rPr>
        <w:t>に対しては，次の条件を満足すれば溶接後熱処理をしなくてもよい。</w:t>
      </w:r>
    </w:p>
    <w:p w14:paraId="1C6C29F2" w14:textId="77777777" w:rsidR="001053E9" w:rsidRPr="00BC31E0" w:rsidRDefault="001053E9" w:rsidP="0007348D">
      <w:pPr>
        <w:spacing w:line="300" w:lineRule="exact"/>
        <w:ind w:left="1361"/>
        <w:rPr>
          <w:rFonts w:ascii="ＭＳ 明朝" w:hAnsi="ＭＳ 明朝"/>
        </w:rPr>
      </w:pPr>
      <w:r w:rsidRPr="00BC31E0">
        <w:rPr>
          <w:rFonts w:ascii="ＭＳ 明朝" w:hAnsi="ＭＳ 明朝" w:hint="eastAsia"/>
        </w:rPr>
        <w:t>・</w:t>
      </w:r>
      <w:r w:rsidRPr="00BC31E0">
        <w:rPr>
          <w:rFonts w:asciiTheme="minorHAnsi" w:hAnsiTheme="minorHAnsi"/>
        </w:rPr>
        <w:t>95</w:t>
      </w:r>
      <w:r w:rsidRPr="00BC31E0">
        <w:rPr>
          <w:rFonts w:ascii="ＭＳ 明朝" w:hAnsi="ＭＳ 明朝" w:cs="ＭＳ 明朝" w:hint="eastAsia"/>
        </w:rPr>
        <w:t>℃</w:t>
      </w:r>
      <w:r w:rsidRPr="00BC31E0">
        <w:rPr>
          <w:rFonts w:ascii="ＭＳ 明朝" w:hAnsi="ＭＳ 明朝" w:hint="eastAsia"/>
        </w:rPr>
        <w:t>以上の予熱及びパス間温度</w:t>
      </w:r>
      <w:r w:rsidRPr="00BC31E0">
        <w:rPr>
          <w:rFonts w:asciiTheme="minorHAnsi" w:hAnsiTheme="minorHAnsi"/>
        </w:rPr>
        <w:t>205</w:t>
      </w:r>
      <w:r w:rsidRPr="00BC31E0">
        <w:rPr>
          <w:rFonts w:ascii="ＭＳ 明朝" w:hAnsi="ＭＳ 明朝" w:hint="eastAsia"/>
        </w:rPr>
        <w:t>℃以下</w:t>
      </w:r>
    </w:p>
    <w:p w14:paraId="7C91E694" w14:textId="77777777" w:rsidR="004B26A1" w:rsidRPr="00BC31E0" w:rsidRDefault="001053E9" w:rsidP="0007348D">
      <w:pPr>
        <w:spacing w:line="320" w:lineRule="exact"/>
        <w:ind w:left="1361"/>
        <w:rPr>
          <w:rFonts w:ascii="ＭＳ 明朝" w:hAnsi="ＭＳ 明朝"/>
        </w:rPr>
        <w:sectPr w:rsidR="004B26A1" w:rsidRPr="00BC31E0" w:rsidSect="00B94982">
          <w:headerReference w:type="even" r:id="rId102"/>
          <w:headerReference w:type="default" r:id="rId103"/>
          <w:headerReference w:type="first" r:id="rId104"/>
          <w:pgSz w:w="16838" w:h="11906" w:orient="landscape" w:code="9"/>
          <w:pgMar w:top="1418" w:right="1701" w:bottom="1418" w:left="1418" w:header="720" w:footer="720" w:gutter="0"/>
          <w:cols w:space="720"/>
          <w:noEndnote/>
          <w:docGrid w:type="linesAndChars" w:linePitch="360"/>
        </w:sectPr>
      </w:pPr>
      <w:r w:rsidRPr="00BC31E0">
        <w:rPr>
          <w:rFonts w:ascii="ＭＳ 明朝" w:hAnsi="ＭＳ 明朝" w:hint="eastAsia"/>
        </w:rPr>
        <w:t>・溶接後</w:t>
      </w:r>
      <w:r w:rsidRPr="00BC31E0">
        <w:rPr>
          <w:rFonts w:asciiTheme="minorHAnsi" w:hAnsiTheme="minorHAnsi"/>
        </w:rPr>
        <w:t>205</w:t>
      </w:r>
      <w:r w:rsidRPr="00BC31E0">
        <w:rPr>
          <w:rFonts w:ascii="ＭＳ 明朝" w:hAnsi="ＭＳ 明朝" w:cs="ＭＳ 明朝" w:hint="eastAsia"/>
        </w:rPr>
        <w:t>℃</w:t>
      </w:r>
      <w:r w:rsidRPr="00BC31E0">
        <w:rPr>
          <w:rFonts w:ascii="ＭＳ 明朝" w:hAnsi="ＭＳ 明朝" w:hint="eastAsia"/>
        </w:rPr>
        <w:t>以上に</w:t>
      </w:r>
      <w:r w:rsidRPr="00BC31E0">
        <w:rPr>
          <w:rFonts w:asciiTheme="minorHAnsi" w:hAnsiTheme="minorHAnsi"/>
        </w:rPr>
        <w:t>4</w:t>
      </w:r>
      <w:r w:rsidRPr="00BC31E0">
        <w:rPr>
          <w:rFonts w:ascii="ＭＳ 明朝" w:hAnsi="ＭＳ 明朝" w:hint="eastAsia"/>
        </w:rPr>
        <w:t>時間以上保時</w:t>
      </w:r>
    </w:p>
    <w:p w14:paraId="0447A86A" w14:textId="77777777" w:rsidR="00486FAE" w:rsidRPr="00BC31E0" w:rsidRDefault="00486FAE" w:rsidP="00023B75">
      <w:pPr>
        <w:pStyle w:val="20"/>
        <w:tabs>
          <w:tab w:val="clear" w:pos="284"/>
        </w:tabs>
        <w:ind w:left="567" w:hanging="567"/>
      </w:pPr>
      <w:bookmarkStart w:id="79" w:name="_Toc357672107"/>
      <w:bookmarkStart w:id="80" w:name="_Toc120092541"/>
      <w:r w:rsidRPr="00BC31E0">
        <w:rPr>
          <w:rFonts w:hint="eastAsia"/>
        </w:rPr>
        <w:lastRenderedPageBreak/>
        <w:t>溶接制限のある材料の追加規定</w:t>
      </w:r>
      <w:bookmarkEnd w:id="79"/>
      <w:bookmarkEnd w:id="80"/>
    </w:p>
    <w:p w14:paraId="4C14ACAB" w14:textId="77777777" w:rsidR="00486FAE" w:rsidRPr="00BC31E0" w:rsidRDefault="00486FAE" w:rsidP="00023B75">
      <w:pPr>
        <w:pStyle w:val="3"/>
        <w:tabs>
          <w:tab w:val="clear" w:pos="284"/>
        </w:tabs>
        <w:ind w:left="794" w:hanging="794"/>
      </w:pPr>
      <w:r w:rsidRPr="00BC31E0">
        <w:rPr>
          <w:rFonts w:hint="eastAsia"/>
        </w:rPr>
        <w:t>適用範囲</w:t>
      </w:r>
    </w:p>
    <w:p w14:paraId="503104DF" w14:textId="77777777" w:rsidR="00486FAE" w:rsidRPr="00BC31E0" w:rsidRDefault="00486FAE" w:rsidP="002763F6">
      <w:pPr>
        <w:pStyle w:val="1110"/>
        <w:ind w:firstLine="210"/>
      </w:pPr>
      <w:r w:rsidRPr="00BC31E0">
        <w:rPr>
          <w:rFonts w:hint="eastAsia"/>
        </w:rPr>
        <w:t>この項は溶接制限のある材料を使用して製作される鍛鋼容器とその部品に対しての追加要求について適用する。</w:t>
      </w:r>
    </w:p>
    <w:p w14:paraId="0394B64F" w14:textId="77777777" w:rsidR="00486FAE" w:rsidRPr="00BC31E0" w:rsidRDefault="00486FAE" w:rsidP="00023B75">
      <w:pPr>
        <w:pStyle w:val="3"/>
        <w:ind w:left="794" w:hanging="794"/>
      </w:pPr>
      <w:r w:rsidRPr="00BC31E0">
        <w:rPr>
          <w:rFonts w:hint="eastAsia"/>
        </w:rPr>
        <w:t>欠陥の補修</w:t>
      </w:r>
    </w:p>
    <w:p w14:paraId="7B229943" w14:textId="77777777" w:rsidR="00486FAE" w:rsidRPr="00BC31E0" w:rsidRDefault="00486FAE" w:rsidP="002763F6">
      <w:pPr>
        <w:pStyle w:val="1110"/>
        <w:ind w:firstLine="210"/>
      </w:pPr>
      <w:r w:rsidRPr="00BC31E0">
        <w:rPr>
          <w:rFonts w:hint="eastAsia"/>
        </w:rPr>
        <w:t>欠陥の補修は，次の</w:t>
      </w:r>
      <w:r w:rsidRPr="00BC31E0">
        <w:rPr>
          <w:rFonts w:ascii="ＭＳ ゴシック" w:hAnsi="ＭＳ ゴシック" w:hint="eastAsia"/>
          <w:b/>
        </w:rPr>
        <w:t>a)</w:t>
      </w:r>
      <w:r w:rsidRPr="00BC31E0">
        <w:rPr>
          <w:rFonts w:hint="eastAsia"/>
        </w:rPr>
        <w:t>，</w:t>
      </w:r>
      <w:r w:rsidRPr="00BC31E0">
        <w:rPr>
          <w:rFonts w:ascii="ＭＳ ゴシック" w:hAnsi="ＭＳ ゴシック" w:hint="eastAsia"/>
          <w:b/>
        </w:rPr>
        <w:t>b)</w:t>
      </w:r>
      <w:r w:rsidRPr="00BC31E0">
        <w:rPr>
          <w:rFonts w:hint="eastAsia"/>
        </w:rPr>
        <w:t>による。</w:t>
      </w:r>
    </w:p>
    <w:p w14:paraId="795E91C1" w14:textId="77777777" w:rsidR="00023B75" w:rsidRPr="00BC31E0" w:rsidRDefault="00486FAE" w:rsidP="00736130">
      <w:pPr>
        <w:pStyle w:val="a4"/>
        <w:numPr>
          <w:ilvl w:val="0"/>
          <w:numId w:val="513"/>
        </w:numPr>
        <w:ind w:leftChars="0" w:left="454" w:hanging="454"/>
      </w:pPr>
      <w:r w:rsidRPr="00BC31E0">
        <w:rPr>
          <w:rFonts w:asciiTheme="majorEastAsia" w:eastAsiaTheme="majorEastAsia" w:hAnsiTheme="majorEastAsia" w:hint="eastAsia"/>
          <w:b/>
          <w:bCs/>
        </w:rPr>
        <w:t>表面欠陥の補修</w:t>
      </w:r>
      <w:r w:rsidRPr="00BC31E0">
        <w:rPr>
          <w:rFonts w:hint="eastAsia"/>
        </w:rPr>
        <w:t xml:space="preserve">　表面欠陥は</w:t>
      </w:r>
      <w:r w:rsidR="008B5FFE" w:rsidRPr="00BC31E0">
        <w:rPr>
          <w:rFonts w:hint="eastAsia"/>
        </w:rPr>
        <w:t>，</w:t>
      </w:r>
      <w:r w:rsidRPr="00BC31E0">
        <w:rPr>
          <w:rFonts w:asciiTheme="majorEastAsia" w:eastAsiaTheme="majorEastAsia" w:hAnsiTheme="majorEastAsia" w:hint="eastAsia"/>
          <w:b/>
          <w:bCs/>
        </w:rPr>
        <w:t>9.2.3</w:t>
      </w:r>
      <w:r w:rsidRPr="00BC31E0">
        <w:rPr>
          <w:rFonts w:hint="eastAsia"/>
        </w:rPr>
        <w:t>の制限された条件においてグラインダーで除去する。</w:t>
      </w:r>
    </w:p>
    <w:p w14:paraId="3C0A810A" w14:textId="77777777" w:rsidR="00486FAE" w:rsidRPr="00BC31E0" w:rsidRDefault="00486FAE" w:rsidP="00736130">
      <w:pPr>
        <w:pStyle w:val="a4"/>
        <w:numPr>
          <w:ilvl w:val="0"/>
          <w:numId w:val="513"/>
        </w:numPr>
        <w:ind w:leftChars="0" w:left="454" w:hanging="454"/>
      </w:pPr>
      <w:r w:rsidRPr="00BC31E0">
        <w:rPr>
          <w:rFonts w:asciiTheme="majorEastAsia" w:eastAsiaTheme="majorEastAsia" w:hAnsiTheme="majorEastAsia" w:hint="eastAsia"/>
          <w:b/>
          <w:bCs/>
        </w:rPr>
        <w:t>溶接による欠陥の補修</w:t>
      </w:r>
      <w:r w:rsidRPr="00BC31E0">
        <w:rPr>
          <w:rFonts w:hint="eastAsia"/>
        </w:rPr>
        <w:t xml:space="preserve">　</w:t>
      </w:r>
      <w:r w:rsidRPr="00BC31E0">
        <w:rPr>
          <w:rFonts w:asciiTheme="majorEastAsia" w:eastAsiaTheme="majorEastAsia" w:hAnsiTheme="majorEastAsia" w:hint="eastAsia"/>
          <w:b/>
          <w:bCs/>
        </w:rPr>
        <w:t>5.4</w:t>
      </w:r>
      <w:r w:rsidRPr="00BC31E0">
        <w:rPr>
          <w:rFonts w:hint="eastAsia"/>
          <w:bCs/>
        </w:rPr>
        <w:t>，</w:t>
      </w:r>
      <w:r w:rsidRPr="00BC31E0">
        <w:rPr>
          <w:rFonts w:asciiTheme="majorEastAsia" w:eastAsiaTheme="majorEastAsia" w:hAnsiTheme="majorEastAsia" w:hint="eastAsia"/>
          <w:b/>
          <w:bCs/>
        </w:rPr>
        <w:t>表5.4.1</w:t>
      </w:r>
      <w:r w:rsidRPr="00BC31E0">
        <w:rPr>
          <w:rFonts w:hint="eastAsia"/>
        </w:rPr>
        <w:t>及び</w:t>
      </w:r>
      <w:r w:rsidRPr="00BC31E0">
        <w:rPr>
          <w:rFonts w:asciiTheme="majorEastAsia" w:eastAsiaTheme="majorEastAsia" w:hAnsiTheme="majorEastAsia" w:hint="eastAsia"/>
          <w:b/>
          <w:bCs/>
        </w:rPr>
        <w:t>表5.4.2</w:t>
      </w:r>
      <w:r w:rsidRPr="00BC31E0">
        <w:rPr>
          <w:rFonts w:hint="eastAsia"/>
          <w:bCs/>
        </w:rPr>
        <w:t>の</w:t>
      </w:r>
      <w:r w:rsidRPr="00BC31E0">
        <w:rPr>
          <w:rFonts w:hAnsi="ＭＳ ゴシック" w:hint="eastAsia"/>
          <w:bCs/>
        </w:rPr>
        <w:t>注</w:t>
      </w:r>
      <w:r w:rsidRPr="00BC31E0">
        <w:rPr>
          <w:rFonts w:hint="eastAsia"/>
        </w:rPr>
        <w:t>によって溶接構造物に適用できない材料であっても，次の</w:t>
      </w:r>
      <w:r w:rsidRPr="00BC31E0">
        <w:rPr>
          <w:rFonts w:asciiTheme="majorEastAsia" w:eastAsiaTheme="majorEastAsia" w:hAnsiTheme="majorEastAsia" w:hint="eastAsia"/>
          <w:b/>
          <w:bCs/>
        </w:rPr>
        <w:t>1)</w:t>
      </w:r>
      <w:r w:rsidRPr="00BC31E0">
        <w:rPr>
          <w:rFonts w:hint="eastAsia"/>
        </w:rPr>
        <w:t>～</w:t>
      </w:r>
      <w:r w:rsidRPr="00BC31E0">
        <w:rPr>
          <w:rFonts w:asciiTheme="majorEastAsia" w:eastAsiaTheme="majorEastAsia" w:hAnsiTheme="majorEastAsia" w:hint="eastAsia"/>
          <w:b/>
          <w:bCs/>
        </w:rPr>
        <w:t>8)</w:t>
      </w:r>
      <w:r w:rsidRPr="00BC31E0">
        <w:rPr>
          <w:rFonts w:hint="eastAsia"/>
        </w:rPr>
        <w:t>の条件を全て満足するならば</w:t>
      </w:r>
      <w:r w:rsidR="00290AB8" w:rsidRPr="00BC31E0">
        <w:rPr>
          <w:rFonts w:hint="eastAsia"/>
        </w:rPr>
        <w:t>，</w:t>
      </w:r>
      <w:r w:rsidRPr="00BC31E0">
        <w:rPr>
          <w:rFonts w:hint="eastAsia"/>
        </w:rPr>
        <w:t>溶接による補修を</w:t>
      </w:r>
      <w:r w:rsidR="00D71C3E" w:rsidRPr="00BC31E0">
        <w:rPr>
          <w:rFonts w:hint="eastAsia"/>
        </w:rPr>
        <w:t>行ってもよい</w:t>
      </w:r>
      <w:r w:rsidRPr="00BC31E0">
        <w:rPr>
          <w:rFonts w:hint="eastAsia"/>
        </w:rPr>
        <w:t>。</w:t>
      </w:r>
    </w:p>
    <w:p w14:paraId="7A053412" w14:textId="77777777" w:rsidR="0072351A" w:rsidRPr="00BC31E0" w:rsidRDefault="00486FAE" w:rsidP="00736130">
      <w:pPr>
        <w:pStyle w:val="a4"/>
        <w:numPr>
          <w:ilvl w:val="0"/>
          <w:numId w:val="514"/>
        </w:numPr>
        <w:ind w:leftChars="0" w:left="738" w:hanging="454"/>
      </w:pPr>
      <w:r w:rsidRPr="00BC31E0">
        <w:rPr>
          <w:rFonts w:hint="eastAsia"/>
        </w:rPr>
        <w:t>溶鋼分析値で</w:t>
      </w:r>
      <w:r w:rsidR="00290AB8" w:rsidRPr="00BC31E0">
        <w:rPr>
          <w:rFonts w:hint="eastAsia"/>
        </w:rPr>
        <w:t>，</w:t>
      </w:r>
      <w:r w:rsidRPr="00BC31E0">
        <w:rPr>
          <w:rFonts w:hint="eastAsia"/>
        </w:rPr>
        <w:t>炭素含有量が</w:t>
      </w:r>
      <w:r w:rsidRPr="00BC31E0">
        <w:t>0.40%</w:t>
      </w:r>
      <w:r w:rsidRPr="00BC31E0">
        <w:rPr>
          <w:rFonts w:hint="eastAsia"/>
        </w:rPr>
        <w:t>以下の鉄鋼材料</w:t>
      </w:r>
      <w:r w:rsidR="00290AB8" w:rsidRPr="00BC31E0">
        <w:rPr>
          <w:rFonts w:hint="eastAsia"/>
        </w:rPr>
        <w:t>である。</w:t>
      </w:r>
    </w:p>
    <w:p w14:paraId="34AB95C5" w14:textId="77777777" w:rsidR="0072351A" w:rsidRPr="00BC31E0" w:rsidRDefault="00486FAE" w:rsidP="00736130">
      <w:pPr>
        <w:pStyle w:val="a4"/>
        <w:numPr>
          <w:ilvl w:val="0"/>
          <w:numId w:val="514"/>
        </w:numPr>
        <w:ind w:leftChars="0" w:left="738" w:hanging="454"/>
      </w:pPr>
      <w:r w:rsidRPr="00BC31E0">
        <w:rPr>
          <w:rFonts w:hint="eastAsia"/>
        </w:rPr>
        <w:t>補修溶接が材料規格によって禁止されていない。</w:t>
      </w:r>
    </w:p>
    <w:p w14:paraId="359D6A87" w14:textId="77777777" w:rsidR="0072351A" w:rsidRPr="00BC31E0" w:rsidRDefault="00486FAE" w:rsidP="00736130">
      <w:pPr>
        <w:pStyle w:val="a4"/>
        <w:numPr>
          <w:ilvl w:val="0"/>
          <w:numId w:val="514"/>
        </w:numPr>
        <w:ind w:leftChars="0" w:left="738" w:hanging="454"/>
      </w:pPr>
      <w:r w:rsidRPr="00BC31E0">
        <w:rPr>
          <w:rFonts w:hint="eastAsia"/>
        </w:rPr>
        <w:t>使用者と材料供給者又は製造者の間で補修溶接が合意されている。</w:t>
      </w:r>
    </w:p>
    <w:p w14:paraId="730C8D37" w14:textId="77777777" w:rsidR="0072351A" w:rsidRPr="00BC31E0" w:rsidRDefault="00486FAE" w:rsidP="00736130">
      <w:pPr>
        <w:pStyle w:val="a4"/>
        <w:numPr>
          <w:ilvl w:val="0"/>
          <w:numId w:val="514"/>
        </w:numPr>
        <w:ind w:leftChars="0" w:left="738" w:hanging="454"/>
      </w:pPr>
      <w:r w:rsidRPr="00BC31E0">
        <w:rPr>
          <w:rFonts w:hint="eastAsia"/>
        </w:rPr>
        <w:t>認定された溶接要領書と溶接士により補修溶接が施工される。認定された自動溶接施工要領書により補修溶接を行う場合は，認定された自動溶接士により施工する。</w:t>
      </w:r>
    </w:p>
    <w:p w14:paraId="43925E75" w14:textId="77777777" w:rsidR="0072351A" w:rsidRPr="00BC31E0" w:rsidRDefault="00486FAE" w:rsidP="00736130">
      <w:pPr>
        <w:pStyle w:val="a4"/>
        <w:numPr>
          <w:ilvl w:val="0"/>
          <w:numId w:val="514"/>
        </w:numPr>
        <w:ind w:leftChars="0" w:left="738" w:hanging="454"/>
      </w:pPr>
      <w:r w:rsidRPr="00BC31E0">
        <w:rPr>
          <w:rFonts w:hint="eastAsia"/>
        </w:rPr>
        <w:t>補修用の溶接施工方法確認試験に使用されている溶接材料と溶接手順</w:t>
      </w:r>
      <w:r w:rsidRPr="00BC31E0">
        <w:rPr>
          <w:rFonts w:hint="eastAsia"/>
        </w:rPr>
        <w:t>(</w:t>
      </w:r>
      <w:r w:rsidRPr="00BC31E0">
        <w:rPr>
          <w:rFonts w:hint="eastAsia"/>
        </w:rPr>
        <w:t>予熱と溶接後熱処理を含む</w:t>
      </w:r>
      <w:r w:rsidRPr="00BC31E0">
        <w:rPr>
          <w:rFonts w:hint="eastAsia"/>
        </w:rPr>
        <w:t>)</w:t>
      </w:r>
      <w:r w:rsidRPr="00BC31E0">
        <w:rPr>
          <w:rFonts w:hint="eastAsia"/>
        </w:rPr>
        <w:t>は，補修する材料と同じ適用規格に合致した材料を用い，溶接姿勢，厚さの区分，機械試験項目が適用規格に合致する。特に溶接施工方法確認試験の機械試験に用いる試験片の材料は溶接前に実製品と同じ条件の熱処理を行い，溶接後に製品に実施する熱処理と同等の熱処理を施工する。更に，引張試験及び曲げ試験片は適用規格に規定された形状とし，適用規格による試験を行う。曲げ試験に用いるマンドレル曲率は適用規格による。</w:t>
      </w:r>
    </w:p>
    <w:p w14:paraId="613E827F" w14:textId="77777777" w:rsidR="0072351A" w:rsidRPr="00BC31E0" w:rsidRDefault="00486FAE" w:rsidP="00736130">
      <w:pPr>
        <w:pStyle w:val="a4"/>
        <w:numPr>
          <w:ilvl w:val="0"/>
          <w:numId w:val="514"/>
        </w:numPr>
        <w:ind w:leftChars="0" w:left="738" w:hanging="454"/>
      </w:pPr>
      <w:r w:rsidRPr="00BC31E0">
        <w:rPr>
          <w:rFonts w:hint="eastAsia"/>
        </w:rPr>
        <w:t>補修可能な深さは</w:t>
      </w:r>
      <w:r w:rsidRPr="00BC31E0">
        <w:rPr>
          <w:rFonts w:asciiTheme="majorEastAsia" w:eastAsiaTheme="majorEastAsia" w:hAnsiTheme="majorEastAsia" w:hint="eastAsia"/>
          <w:b/>
        </w:rPr>
        <w:t>9.2</w:t>
      </w:r>
      <w:r w:rsidRPr="00BC31E0">
        <w:rPr>
          <w:rFonts w:hint="eastAsia"/>
        </w:rPr>
        <w:t>を適用する。</w:t>
      </w:r>
    </w:p>
    <w:p w14:paraId="362133BB" w14:textId="77777777" w:rsidR="0072351A" w:rsidRPr="00BC31E0" w:rsidRDefault="00486FAE" w:rsidP="00736130">
      <w:pPr>
        <w:pStyle w:val="a4"/>
        <w:numPr>
          <w:ilvl w:val="0"/>
          <w:numId w:val="514"/>
        </w:numPr>
        <w:ind w:leftChars="0" w:left="738" w:hanging="454"/>
      </w:pPr>
      <w:r w:rsidRPr="00BC31E0">
        <w:rPr>
          <w:rFonts w:hint="eastAsia"/>
        </w:rPr>
        <w:t>補修溶接終了後は，溶接後熱処理又は適用される材料仕様書で要求される熱処理を行わなければならない。補修溶接は最終熱処理前に実施する。ただし，最終熱処理工程の前又は後に，施工されるねじ部開口部のシール溶接を除く。</w:t>
      </w:r>
    </w:p>
    <w:p w14:paraId="32CA4E7F" w14:textId="77777777" w:rsidR="00486FAE" w:rsidRPr="00BC31E0" w:rsidRDefault="00486FAE" w:rsidP="00736130">
      <w:pPr>
        <w:pStyle w:val="a4"/>
        <w:numPr>
          <w:ilvl w:val="0"/>
          <w:numId w:val="514"/>
        </w:numPr>
        <w:ind w:leftChars="0" w:left="738" w:hanging="454"/>
      </w:pPr>
      <w:r w:rsidRPr="00BC31E0">
        <w:rPr>
          <w:rFonts w:hint="eastAsia"/>
        </w:rPr>
        <w:t>補修溶接後の溶接部は，溶接後熱処理施工後に</w:t>
      </w:r>
      <w:r w:rsidRPr="00BC31E0">
        <w:rPr>
          <w:rFonts w:asciiTheme="majorEastAsia" w:eastAsiaTheme="majorEastAsia" w:hAnsiTheme="majorEastAsia" w:hint="eastAsia"/>
          <w:b/>
        </w:rPr>
        <w:t>9.3</w:t>
      </w:r>
      <w:r w:rsidRPr="00BC31E0">
        <w:rPr>
          <w:rFonts w:hint="eastAsia"/>
        </w:rPr>
        <w:t>に従って検査を行う。</w:t>
      </w:r>
    </w:p>
    <w:p w14:paraId="16323582" w14:textId="77777777" w:rsidR="00486FAE" w:rsidRPr="00BC31E0" w:rsidRDefault="00486FAE" w:rsidP="0072351A">
      <w:pPr>
        <w:pStyle w:val="3"/>
        <w:tabs>
          <w:tab w:val="clear" w:pos="284"/>
        </w:tabs>
        <w:ind w:left="794" w:hanging="794"/>
      </w:pPr>
      <w:r w:rsidRPr="00BC31E0">
        <w:rPr>
          <w:rFonts w:hint="eastAsia"/>
        </w:rPr>
        <w:t>鍛鋼鏡板の成形方法</w:t>
      </w:r>
    </w:p>
    <w:p w14:paraId="1F3B67C3" w14:textId="77777777" w:rsidR="00486FAE" w:rsidRPr="00BC31E0" w:rsidRDefault="00486FAE" w:rsidP="002763F6">
      <w:pPr>
        <w:pStyle w:val="1110"/>
        <w:ind w:firstLine="211"/>
      </w:pPr>
      <w:r w:rsidRPr="00BC31E0">
        <w:rPr>
          <w:rFonts w:ascii="ＭＳ ゴシック" w:eastAsia="ＭＳ ゴシック" w:hAnsi="ＭＳ ゴシック" w:hint="eastAsia"/>
          <w:b/>
          <w:bCs/>
        </w:rPr>
        <w:t>6.6.6</w:t>
      </w:r>
      <w:r w:rsidRPr="00BC31E0">
        <w:rPr>
          <w:rFonts w:hint="eastAsia"/>
        </w:rPr>
        <w:t>に示される一体成形鏡板を除き，鏡板は別々の鍛鋼品として製作されるか，又は最終成形工程前の中空胴で末端が閉じた鍛鋼品として製作しなければならない。</w:t>
      </w:r>
    </w:p>
    <w:p w14:paraId="45086BC5" w14:textId="77777777" w:rsidR="00586AE8" w:rsidRPr="00BC31E0" w:rsidRDefault="00586AE8" w:rsidP="0072351A">
      <w:pPr>
        <w:pStyle w:val="20"/>
        <w:tabs>
          <w:tab w:val="clear" w:pos="284"/>
        </w:tabs>
        <w:ind w:left="567" w:hanging="567"/>
      </w:pPr>
      <w:bookmarkStart w:id="81" w:name="_Toc357672108"/>
      <w:bookmarkStart w:id="82" w:name="_Toc120092542"/>
      <w:r w:rsidRPr="00BC31E0">
        <w:rPr>
          <w:rFonts w:hint="eastAsia"/>
        </w:rPr>
        <w:t>多層容器の特別製作規定</w:t>
      </w:r>
      <w:bookmarkEnd w:id="81"/>
      <w:bookmarkEnd w:id="82"/>
    </w:p>
    <w:p w14:paraId="6F1B4CCA" w14:textId="77777777" w:rsidR="00586AE8" w:rsidRPr="00BC31E0" w:rsidRDefault="00586AE8" w:rsidP="0072351A">
      <w:pPr>
        <w:pStyle w:val="3"/>
        <w:tabs>
          <w:tab w:val="clear" w:pos="284"/>
        </w:tabs>
        <w:ind w:left="794" w:hanging="794"/>
      </w:pPr>
      <w:r w:rsidRPr="00BC31E0">
        <w:rPr>
          <w:rFonts w:hint="eastAsia"/>
        </w:rPr>
        <w:t>適用範囲</w:t>
      </w:r>
    </w:p>
    <w:p w14:paraId="055DD4A0" w14:textId="77777777" w:rsidR="00586AE8" w:rsidRPr="00BC31E0" w:rsidRDefault="00586AE8" w:rsidP="002763F6">
      <w:pPr>
        <w:pStyle w:val="1110"/>
        <w:ind w:firstLine="210"/>
      </w:pPr>
      <w:r w:rsidRPr="00BC31E0">
        <w:rPr>
          <w:rFonts w:hint="eastAsia"/>
        </w:rPr>
        <w:t>この項で取り扱う多層容器とは，円筒の容器で</w:t>
      </w:r>
      <w:r w:rsidRPr="00BC31E0">
        <w:rPr>
          <w:rFonts w:ascii="ＭＳ ゴシック" w:eastAsia="ＭＳ ゴシック" w:hAnsi="ＭＳ ゴシック" w:hint="eastAsia"/>
          <w:b/>
          <w:bCs/>
        </w:rPr>
        <w:t>6</w:t>
      </w:r>
      <w:r w:rsidRPr="00BC31E0">
        <w:rPr>
          <w:rFonts w:ascii="ＭＳ ゴシック" w:eastAsia="ＭＳ ゴシック" w:hAnsi="ＭＳ ゴシック"/>
          <w:b/>
          <w:bCs/>
        </w:rPr>
        <w:t>.8</w:t>
      </w:r>
      <w:r w:rsidRPr="00BC31E0">
        <w:rPr>
          <w:rFonts w:hint="eastAsia"/>
        </w:rPr>
        <w:t>に示した焼ばめ式又は溶接巻きで設計された多層容器である。</w:t>
      </w:r>
    </w:p>
    <w:p w14:paraId="7BB2BFAF" w14:textId="77777777" w:rsidR="00586AE8" w:rsidRPr="00BC31E0" w:rsidRDefault="00586AE8" w:rsidP="0072351A">
      <w:pPr>
        <w:pStyle w:val="3"/>
        <w:tabs>
          <w:tab w:val="clear" w:pos="284"/>
        </w:tabs>
        <w:ind w:left="794" w:hanging="794"/>
      </w:pPr>
      <w:r w:rsidRPr="00BC31E0">
        <w:rPr>
          <w:rFonts w:hint="eastAsia"/>
        </w:rPr>
        <w:t>焼ばめ式多層容器</w:t>
      </w:r>
    </w:p>
    <w:p w14:paraId="13709A4F" w14:textId="77777777" w:rsidR="00586AE8" w:rsidRPr="00BC31E0" w:rsidRDefault="00586AE8" w:rsidP="002763F6">
      <w:pPr>
        <w:pStyle w:val="1110"/>
        <w:ind w:firstLine="210"/>
      </w:pPr>
      <w:r w:rsidRPr="00BC31E0">
        <w:rPr>
          <w:rFonts w:hint="eastAsia"/>
        </w:rPr>
        <w:t>焼ばめ式多層容器は，次の</w:t>
      </w:r>
      <w:r w:rsidRPr="00BC31E0">
        <w:rPr>
          <w:rFonts w:ascii="ＭＳ ゴシック" w:eastAsia="ＭＳ ゴシック" w:hAnsi="ＭＳ ゴシック" w:hint="eastAsia"/>
          <w:b/>
        </w:rPr>
        <w:t>a)</w:t>
      </w:r>
      <w:r w:rsidRPr="00BC31E0">
        <w:rPr>
          <w:rFonts w:hint="eastAsia"/>
        </w:rPr>
        <w:t>～</w:t>
      </w:r>
      <w:r w:rsidRPr="00BC31E0">
        <w:rPr>
          <w:rFonts w:ascii="ＭＳ ゴシック" w:eastAsia="ＭＳ ゴシック" w:hAnsi="ＭＳ ゴシック" w:hint="eastAsia"/>
          <w:b/>
        </w:rPr>
        <w:t>d)</w:t>
      </w:r>
      <w:r w:rsidRPr="00BC31E0">
        <w:rPr>
          <w:rFonts w:hint="eastAsia"/>
        </w:rPr>
        <w:t>による。</w:t>
      </w:r>
    </w:p>
    <w:p w14:paraId="61DC7461" w14:textId="77777777" w:rsidR="00D91D12" w:rsidRPr="00BC31E0" w:rsidRDefault="00586AE8" w:rsidP="00736130">
      <w:pPr>
        <w:pStyle w:val="a4"/>
        <w:numPr>
          <w:ilvl w:val="0"/>
          <w:numId w:val="515"/>
        </w:numPr>
        <w:ind w:leftChars="0" w:left="454" w:hanging="454"/>
      </w:pPr>
      <w:r w:rsidRPr="00BC31E0">
        <w:rPr>
          <w:rFonts w:asciiTheme="majorEastAsia" w:eastAsiaTheme="majorEastAsia" w:hAnsiTheme="majorEastAsia" w:hint="eastAsia"/>
          <w:b/>
          <w:bCs/>
        </w:rPr>
        <w:t>層の製作</w:t>
      </w:r>
      <w:r w:rsidRPr="00BC31E0">
        <w:rPr>
          <w:rFonts w:hint="eastAsia"/>
        </w:rPr>
        <w:t xml:space="preserve">　各層</w:t>
      </w:r>
      <w:r w:rsidR="00A82C2A" w:rsidRPr="00BC31E0">
        <w:rPr>
          <w:rFonts w:hint="eastAsia"/>
        </w:rPr>
        <w:t>ごと</w:t>
      </w:r>
      <w:r w:rsidRPr="00BC31E0">
        <w:rPr>
          <w:rFonts w:hint="eastAsia"/>
        </w:rPr>
        <w:t>に必要な熱処理を施したうえで，この規格で定められた単体の胴としての検査を行う。焼ばめの前に自緊される層が有る場合には，その層に対しては</w:t>
      </w:r>
      <w:r w:rsidRPr="00BC31E0">
        <w:rPr>
          <w:rFonts w:asciiTheme="majorEastAsia" w:eastAsiaTheme="majorEastAsia" w:hAnsiTheme="majorEastAsia" w:hint="eastAsia"/>
          <w:b/>
        </w:rPr>
        <w:t>7.5</w:t>
      </w:r>
      <w:r w:rsidRPr="00BC31E0">
        <w:rPr>
          <w:rFonts w:hint="eastAsia"/>
        </w:rPr>
        <w:t>を適用す</w:t>
      </w:r>
      <w:r w:rsidRPr="00BC31E0">
        <w:rPr>
          <w:rFonts w:hint="eastAsia"/>
        </w:rPr>
        <w:lastRenderedPageBreak/>
        <w:t>る。溶接で層を製作する場合には，各層に対して</w:t>
      </w:r>
      <w:r w:rsidRPr="00BC31E0">
        <w:rPr>
          <w:rFonts w:asciiTheme="majorEastAsia" w:eastAsiaTheme="majorEastAsia" w:hAnsiTheme="majorEastAsia" w:hint="eastAsia"/>
          <w:b/>
        </w:rPr>
        <w:t>7.2</w:t>
      </w:r>
      <w:r w:rsidRPr="00BC31E0">
        <w:rPr>
          <w:rFonts w:hint="eastAsia"/>
        </w:rPr>
        <w:t>，</w:t>
      </w:r>
      <w:r w:rsidRPr="00BC31E0">
        <w:rPr>
          <w:rFonts w:asciiTheme="majorEastAsia" w:eastAsiaTheme="majorEastAsia" w:hAnsiTheme="majorEastAsia" w:hint="eastAsia"/>
          <w:b/>
        </w:rPr>
        <w:t>7.4</w:t>
      </w:r>
      <w:r w:rsidRPr="00BC31E0">
        <w:rPr>
          <w:rFonts w:hint="eastAsia"/>
        </w:rPr>
        <w:t>を適用する。非破壊試験は，</w:t>
      </w:r>
      <w:r w:rsidRPr="00BC31E0">
        <w:rPr>
          <w:rFonts w:asciiTheme="majorEastAsia" w:eastAsiaTheme="majorEastAsia" w:hAnsiTheme="majorEastAsia" w:hint="eastAsia"/>
          <w:b/>
        </w:rPr>
        <w:t>9</w:t>
      </w:r>
      <w:r w:rsidR="00161E48" w:rsidRPr="00BC31E0">
        <w:rPr>
          <w:rFonts w:hint="eastAsia"/>
        </w:rPr>
        <w:t>に従って</w:t>
      </w:r>
      <w:r w:rsidRPr="00BC31E0">
        <w:rPr>
          <w:rFonts w:hint="eastAsia"/>
        </w:rPr>
        <w:t>実施する。</w:t>
      </w:r>
    </w:p>
    <w:p w14:paraId="6169A978" w14:textId="77777777" w:rsidR="00D91D12" w:rsidRPr="00BC31E0" w:rsidRDefault="00586AE8" w:rsidP="00736130">
      <w:pPr>
        <w:pStyle w:val="a4"/>
        <w:numPr>
          <w:ilvl w:val="0"/>
          <w:numId w:val="515"/>
        </w:numPr>
        <w:ind w:leftChars="0" w:left="454" w:hanging="454"/>
      </w:pPr>
      <w:r w:rsidRPr="00BC31E0">
        <w:rPr>
          <w:rFonts w:asciiTheme="majorEastAsia" w:eastAsiaTheme="majorEastAsia" w:hAnsiTheme="majorEastAsia" w:hint="eastAsia"/>
          <w:b/>
          <w:bCs/>
        </w:rPr>
        <w:t>焼ばめ温度</w:t>
      </w:r>
      <w:r w:rsidRPr="00BC31E0">
        <w:rPr>
          <w:rFonts w:hint="eastAsia"/>
        </w:rPr>
        <w:t xml:space="preserve">　焼ばめ温度は，材料の焼戻温度を超えてはならない。製作者は，加熱により材料の機械的性質が低下しないことを確認する。</w:t>
      </w:r>
    </w:p>
    <w:p w14:paraId="2D974094" w14:textId="77777777" w:rsidR="00586AE8" w:rsidRPr="00BC31E0" w:rsidRDefault="00586AE8" w:rsidP="00736130">
      <w:pPr>
        <w:pStyle w:val="a4"/>
        <w:numPr>
          <w:ilvl w:val="0"/>
          <w:numId w:val="515"/>
        </w:numPr>
        <w:ind w:leftChars="0" w:left="454" w:hanging="454"/>
      </w:pPr>
      <w:r w:rsidRPr="00BC31E0">
        <w:rPr>
          <w:rFonts w:asciiTheme="majorEastAsia" w:eastAsiaTheme="majorEastAsia" w:hAnsiTheme="majorEastAsia" w:hint="eastAsia"/>
          <w:b/>
          <w:bCs/>
        </w:rPr>
        <w:t>組立て手順及び報告書</w:t>
      </w:r>
      <w:r w:rsidRPr="00BC31E0">
        <w:rPr>
          <w:rFonts w:hAnsi="ＭＳ ゴシック" w:hint="eastAsia"/>
          <w:bCs/>
        </w:rPr>
        <w:t xml:space="preserve">　</w:t>
      </w:r>
      <w:r w:rsidRPr="00BC31E0">
        <w:rPr>
          <w:rFonts w:hint="eastAsia"/>
        </w:rPr>
        <w:t>設計残留応力分布を作りだすために使われる製作要領書を準備しなければならない。要領書には，少なくとも次のことを記述する。</w:t>
      </w:r>
    </w:p>
    <w:p w14:paraId="1E953B65" w14:textId="77777777" w:rsidR="00D91D12" w:rsidRPr="00BC31E0" w:rsidRDefault="00586AE8" w:rsidP="00736130">
      <w:pPr>
        <w:pStyle w:val="a4"/>
        <w:numPr>
          <w:ilvl w:val="0"/>
          <w:numId w:val="516"/>
        </w:numPr>
        <w:ind w:leftChars="0" w:left="738" w:hanging="454"/>
      </w:pPr>
      <w:r w:rsidRPr="00BC31E0">
        <w:rPr>
          <w:rFonts w:hint="eastAsia"/>
        </w:rPr>
        <w:t>応力再分布の達成方法を，必要な製作管理とともに記述する。</w:t>
      </w:r>
    </w:p>
    <w:p w14:paraId="5E144C0F" w14:textId="77777777" w:rsidR="00D91D12" w:rsidRPr="00BC31E0" w:rsidRDefault="00586AE8" w:rsidP="00736130">
      <w:pPr>
        <w:pStyle w:val="a4"/>
        <w:numPr>
          <w:ilvl w:val="0"/>
          <w:numId w:val="516"/>
        </w:numPr>
        <w:ind w:leftChars="0" w:left="738" w:hanging="454"/>
      </w:pPr>
      <w:r w:rsidRPr="00BC31E0">
        <w:rPr>
          <w:rFonts w:ascii="ＭＳ 明朝" w:hAnsi="ＭＳ 明朝" w:hint="eastAsia"/>
        </w:rPr>
        <w:t>設計残留応力分布を実現するために管理されるパラメータ，十分管理されていることを確信するためのパラメータの値及び範囲も記述する。</w:t>
      </w:r>
    </w:p>
    <w:p w14:paraId="4BB6C865" w14:textId="77777777" w:rsidR="00D91D12" w:rsidRPr="00BC31E0" w:rsidRDefault="00586AE8" w:rsidP="00736130">
      <w:pPr>
        <w:pStyle w:val="a4"/>
        <w:numPr>
          <w:ilvl w:val="0"/>
          <w:numId w:val="516"/>
        </w:numPr>
        <w:ind w:leftChars="0" w:left="738" w:hanging="454"/>
      </w:pPr>
      <w:r w:rsidRPr="00BC31E0">
        <w:rPr>
          <w:rFonts w:ascii="ＭＳ 明朝" w:hAnsi="ＭＳ 明朝" w:hint="eastAsia"/>
        </w:rPr>
        <w:t>残留応力を測定する方法及び精度を記述する。ひずみゲージを使用する場合には，最低</w:t>
      </w:r>
      <w:r w:rsidRPr="00BC31E0">
        <w:rPr>
          <w:rFonts w:asciiTheme="minorHAnsi" w:hAnsiTheme="minorHAnsi"/>
        </w:rPr>
        <w:t>4</w:t>
      </w:r>
      <w:r w:rsidRPr="00BC31E0">
        <w:rPr>
          <w:rFonts w:ascii="ＭＳ 明朝" w:hAnsi="ＭＳ 明朝" w:hint="eastAsia"/>
        </w:rPr>
        <w:t>個のひずみゲージが必要である。</w:t>
      </w:r>
    </w:p>
    <w:p w14:paraId="3E32A894" w14:textId="77777777" w:rsidR="00586AE8" w:rsidRPr="00BC31E0" w:rsidRDefault="00586AE8" w:rsidP="00736130">
      <w:pPr>
        <w:pStyle w:val="a4"/>
        <w:numPr>
          <w:ilvl w:val="0"/>
          <w:numId w:val="516"/>
        </w:numPr>
        <w:ind w:leftChars="0" w:left="738" w:hanging="454"/>
      </w:pPr>
      <w:r w:rsidRPr="00BC31E0">
        <w:rPr>
          <w:rFonts w:ascii="ＭＳ 明朝" w:hAnsi="ＭＳ 明朝" w:hint="eastAsia"/>
        </w:rPr>
        <w:t>上記の</w:t>
      </w:r>
      <w:r w:rsidR="00DC160D" w:rsidRPr="00BC31E0">
        <w:rPr>
          <w:rFonts w:ascii="ＭＳ 明朝" w:hAnsi="ＭＳ 明朝" w:hint="eastAsia"/>
        </w:rPr>
        <w:t>全</w:t>
      </w:r>
      <w:r w:rsidRPr="00BC31E0">
        <w:rPr>
          <w:rFonts w:ascii="ＭＳ 明朝" w:hAnsi="ＭＳ 明朝" w:hint="eastAsia"/>
        </w:rPr>
        <w:t>ての測定値を製作者設計報告書に記述する。</w:t>
      </w:r>
    </w:p>
    <w:p w14:paraId="387A0018" w14:textId="77777777" w:rsidR="00586AE8" w:rsidRPr="00BC31E0" w:rsidRDefault="00586AE8" w:rsidP="00736130">
      <w:pPr>
        <w:pStyle w:val="a4"/>
        <w:numPr>
          <w:ilvl w:val="0"/>
          <w:numId w:val="489"/>
        </w:numPr>
        <w:ind w:leftChars="0" w:left="454" w:hanging="454"/>
      </w:pPr>
      <w:r w:rsidRPr="00BC31E0">
        <w:rPr>
          <w:rFonts w:hAnsi="ＭＳ ゴシック"/>
          <w:bCs/>
        </w:rPr>
        <w:t>3</w:t>
      </w:r>
      <w:r w:rsidRPr="00BC31E0">
        <w:rPr>
          <w:rFonts w:hAnsi="ＭＳ ゴシック" w:hint="eastAsia"/>
          <w:bCs/>
        </w:rPr>
        <w:t>層以上の多層容器</w:t>
      </w:r>
      <w:r w:rsidRPr="00BC31E0">
        <w:rPr>
          <w:rFonts w:hint="eastAsia"/>
          <w:bCs/>
        </w:rPr>
        <w:t xml:space="preserve">　</w:t>
      </w:r>
      <w:r w:rsidRPr="00BC31E0">
        <w:t>3</w:t>
      </w:r>
      <w:r w:rsidRPr="00BC31E0">
        <w:rPr>
          <w:rFonts w:hint="eastAsia"/>
        </w:rPr>
        <w:t>層以上の多層容器製造にあたっては，一層重ねる</w:t>
      </w:r>
      <w:r w:rsidR="00A82C2A" w:rsidRPr="00BC31E0">
        <w:rPr>
          <w:rFonts w:hint="eastAsia"/>
        </w:rPr>
        <w:t>ごと</w:t>
      </w:r>
      <w:r w:rsidRPr="00BC31E0">
        <w:rPr>
          <w:rFonts w:hint="eastAsia"/>
        </w:rPr>
        <w:t>に，</w:t>
      </w:r>
      <w:r w:rsidRPr="00BC31E0">
        <w:rPr>
          <w:rFonts w:asciiTheme="majorEastAsia" w:eastAsiaTheme="majorEastAsia" w:hAnsiTheme="majorEastAsia" w:hint="eastAsia"/>
          <w:b/>
        </w:rPr>
        <w:t>7.8.2 a)</w:t>
      </w:r>
      <w:r w:rsidRPr="00BC31E0">
        <w:rPr>
          <w:rFonts w:hint="eastAsia"/>
        </w:rPr>
        <w:t>で規定された非破壊試験に加えて，</w:t>
      </w:r>
      <w:r w:rsidRPr="00BC31E0">
        <w:rPr>
          <w:rFonts w:asciiTheme="majorEastAsia" w:eastAsiaTheme="majorEastAsia" w:hAnsiTheme="majorEastAsia" w:hint="eastAsia"/>
          <w:b/>
        </w:rPr>
        <w:t>9.2</w:t>
      </w:r>
      <w:r w:rsidRPr="00BC31E0">
        <w:rPr>
          <w:rFonts w:hint="eastAsia"/>
        </w:rPr>
        <w:t>に従って次層で覆われる面全体に磁粉探傷試験を行わなければならない。</w:t>
      </w:r>
    </w:p>
    <w:p w14:paraId="3B6279C0" w14:textId="77777777" w:rsidR="00586AE8" w:rsidRPr="00BC31E0" w:rsidRDefault="00586AE8" w:rsidP="0061784B">
      <w:pPr>
        <w:pStyle w:val="3"/>
        <w:ind w:left="794" w:hanging="794"/>
      </w:pPr>
      <w:r w:rsidRPr="00BC31E0">
        <w:rPr>
          <w:rFonts w:hint="eastAsia"/>
        </w:rPr>
        <w:t>溶接巻き多層容器</w:t>
      </w:r>
    </w:p>
    <w:p w14:paraId="4BE59D35" w14:textId="77777777" w:rsidR="00586AE8" w:rsidRPr="00BC31E0" w:rsidRDefault="00586AE8" w:rsidP="006945E6">
      <w:pPr>
        <w:pStyle w:val="1110"/>
        <w:ind w:firstLine="210"/>
      </w:pPr>
      <w:r w:rsidRPr="00BC31E0">
        <w:rPr>
          <w:rFonts w:hint="eastAsia"/>
        </w:rPr>
        <w:t>溶接巻き多層容器は，次の</w:t>
      </w:r>
      <w:r w:rsidRPr="00BC31E0">
        <w:rPr>
          <w:rFonts w:ascii="ＭＳ ゴシック" w:eastAsia="ＭＳ ゴシック" w:hAnsi="ＭＳ ゴシック" w:hint="eastAsia"/>
          <w:b/>
        </w:rPr>
        <w:t>a)</w:t>
      </w:r>
      <w:r w:rsidRPr="00BC31E0">
        <w:rPr>
          <w:rFonts w:hint="eastAsia"/>
        </w:rPr>
        <w:t>～</w:t>
      </w:r>
      <w:r w:rsidRPr="00BC31E0">
        <w:rPr>
          <w:rFonts w:ascii="ＭＳ ゴシック" w:eastAsia="ＭＳ ゴシック" w:hAnsi="ＭＳ ゴシック" w:hint="eastAsia"/>
          <w:b/>
        </w:rPr>
        <w:t>h)</w:t>
      </w:r>
      <w:r w:rsidRPr="00BC31E0">
        <w:rPr>
          <w:rFonts w:hint="eastAsia"/>
        </w:rPr>
        <w:t>による。</w:t>
      </w:r>
    </w:p>
    <w:p w14:paraId="42CCC7A8" w14:textId="77777777" w:rsidR="00586AE8" w:rsidRPr="00BC31E0" w:rsidRDefault="00586AE8" w:rsidP="00736130">
      <w:pPr>
        <w:pStyle w:val="a4"/>
        <w:numPr>
          <w:ilvl w:val="0"/>
          <w:numId w:val="517"/>
        </w:numPr>
        <w:ind w:leftChars="0" w:left="454" w:hanging="454"/>
      </w:pPr>
      <w:r w:rsidRPr="00BC31E0">
        <w:rPr>
          <w:rFonts w:asciiTheme="majorEastAsia" w:eastAsiaTheme="majorEastAsia" w:hAnsiTheme="majorEastAsia" w:hint="eastAsia"/>
          <w:b/>
        </w:rPr>
        <w:t>溶接に対する規定</w:t>
      </w:r>
      <w:r w:rsidRPr="00BC31E0">
        <w:t xml:space="preserve">　溶接に対する規定は，次の</w:t>
      </w:r>
      <w:r w:rsidRPr="00BC31E0">
        <w:rPr>
          <w:rFonts w:asciiTheme="majorEastAsia" w:eastAsiaTheme="majorEastAsia" w:hAnsiTheme="majorEastAsia"/>
          <w:b/>
        </w:rPr>
        <w:t>1)</w:t>
      </w:r>
      <w:r w:rsidRPr="00BC31E0">
        <w:t>～</w:t>
      </w:r>
      <w:r w:rsidRPr="00BC31E0">
        <w:rPr>
          <w:rFonts w:asciiTheme="majorEastAsia" w:eastAsiaTheme="majorEastAsia" w:hAnsiTheme="majorEastAsia"/>
          <w:b/>
        </w:rPr>
        <w:t>7)</w:t>
      </w:r>
      <w:r w:rsidRPr="00BC31E0">
        <w:t>による。</w:t>
      </w:r>
    </w:p>
    <w:p w14:paraId="451443DC" w14:textId="77777777" w:rsidR="0061784B" w:rsidRPr="00BC31E0" w:rsidRDefault="00586AE8" w:rsidP="00736130">
      <w:pPr>
        <w:pStyle w:val="a4"/>
        <w:numPr>
          <w:ilvl w:val="0"/>
          <w:numId w:val="519"/>
        </w:numPr>
        <w:ind w:leftChars="0" w:left="738" w:hanging="454"/>
      </w:pPr>
      <w:r w:rsidRPr="00BC31E0">
        <w:rPr>
          <w:rFonts w:hint="eastAsia"/>
        </w:rPr>
        <w:t>内筒はシームレスか</w:t>
      </w:r>
      <w:r w:rsidRPr="00BC31E0">
        <w:rPr>
          <w:rFonts w:hint="eastAsia"/>
        </w:rPr>
        <w:t>Type No.1</w:t>
      </w:r>
      <w:r w:rsidRPr="00BC31E0">
        <w:rPr>
          <w:rFonts w:hint="eastAsia"/>
        </w:rPr>
        <w:t>突合せ溶接を用いる。内筒と内筒の鏡をつなぐ溶接は</w:t>
      </w:r>
      <w:r w:rsidRPr="00BC31E0">
        <w:t>Type No.1</w:t>
      </w:r>
      <w:r w:rsidRPr="00BC31E0">
        <w:rPr>
          <w:rFonts w:hint="eastAsia"/>
        </w:rPr>
        <w:t>突合せ溶接とする。取り外さない裏当て金は使用してはならない。</w:t>
      </w:r>
    </w:p>
    <w:p w14:paraId="357C21DE" w14:textId="77777777" w:rsidR="0061784B" w:rsidRPr="00BC31E0" w:rsidRDefault="00586AE8" w:rsidP="00736130">
      <w:pPr>
        <w:pStyle w:val="a4"/>
        <w:numPr>
          <w:ilvl w:val="0"/>
          <w:numId w:val="519"/>
        </w:numPr>
        <w:ind w:leftChars="0" w:left="738" w:hanging="454"/>
      </w:pPr>
      <w:r w:rsidRPr="00BC31E0">
        <w:t>2</w:t>
      </w:r>
      <w:r w:rsidRPr="00BC31E0">
        <w:rPr>
          <w:rFonts w:hint="eastAsia"/>
        </w:rPr>
        <w:t>層目以降の胴は</w:t>
      </w:r>
      <w:r w:rsidRPr="00BC31E0">
        <w:t>Type No.2</w:t>
      </w:r>
      <w:r w:rsidRPr="00BC31E0">
        <w:rPr>
          <w:rFonts w:hint="eastAsia"/>
        </w:rPr>
        <w:t>溶接を行う。この</w:t>
      </w:r>
      <w:r w:rsidR="00A84424" w:rsidRPr="00BC31E0">
        <w:rPr>
          <w:rFonts w:hint="eastAsia"/>
        </w:rPr>
        <w:t>とき</w:t>
      </w:r>
      <w:r w:rsidRPr="00BC31E0">
        <w:rPr>
          <w:rFonts w:hint="eastAsia"/>
        </w:rPr>
        <w:t>，溶接位置は層</w:t>
      </w:r>
      <w:r w:rsidR="00A82C2A" w:rsidRPr="00BC31E0">
        <w:rPr>
          <w:rFonts w:hint="eastAsia"/>
        </w:rPr>
        <w:t>ごと</w:t>
      </w:r>
      <w:r w:rsidRPr="00BC31E0">
        <w:rPr>
          <w:rFonts w:hint="eastAsia"/>
        </w:rPr>
        <w:t>に変える。</w:t>
      </w:r>
      <w:r w:rsidRPr="00BC31E0">
        <w:t>Type No.2</w:t>
      </w:r>
      <w:r w:rsidRPr="00BC31E0">
        <w:rPr>
          <w:rFonts w:hint="eastAsia"/>
        </w:rPr>
        <w:t>溶接を行う際，充分溶け込むように開先部が分離しないよう注意を払う。</w:t>
      </w:r>
    </w:p>
    <w:p w14:paraId="762C1E68" w14:textId="77777777" w:rsidR="0061784B" w:rsidRPr="00BC31E0" w:rsidRDefault="00586AE8" w:rsidP="00736130">
      <w:pPr>
        <w:pStyle w:val="a4"/>
        <w:numPr>
          <w:ilvl w:val="0"/>
          <w:numId w:val="519"/>
        </w:numPr>
        <w:ind w:leftChars="0" w:left="738" w:hanging="454"/>
      </w:pPr>
      <w:r w:rsidRPr="00BC31E0">
        <w:rPr>
          <w:rFonts w:hint="eastAsia"/>
        </w:rPr>
        <w:t>溶接部はグラインダーで平滑にする。</w:t>
      </w:r>
    </w:p>
    <w:p w14:paraId="1597770B" w14:textId="77777777" w:rsidR="0061784B" w:rsidRPr="00BC31E0" w:rsidRDefault="00586AE8" w:rsidP="00736130">
      <w:pPr>
        <w:pStyle w:val="a4"/>
        <w:numPr>
          <w:ilvl w:val="0"/>
          <w:numId w:val="519"/>
        </w:numPr>
        <w:ind w:leftChars="0" w:left="738" w:hanging="454"/>
      </w:pPr>
      <w:r w:rsidRPr="00BC31E0">
        <w:rPr>
          <w:rFonts w:hint="eastAsia"/>
        </w:rPr>
        <w:t>各層の分類</w:t>
      </w:r>
      <w:r w:rsidRPr="00BC31E0">
        <w:t>A</w:t>
      </w:r>
      <w:r w:rsidRPr="00BC31E0">
        <w:rPr>
          <w:rFonts w:hint="eastAsia"/>
        </w:rPr>
        <w:t>継手は，その中心を互いに厚さの</w:t>
      </w:r>
      <w:r w:rsidRPr="00BC31E0">
        <w:t>5</w:t>
      </w:r>
      <w:r w:rsidRPr="00BC31E0">
        <w:rPr>
          <w:rFonts w:hint="eastAsia"/>
        </w:rPr>
        <w:t>倍以上離す。</w:t>
      </w:r>
    </w:p>
    <w:p w14:paraId="6EBE8CD4" w14:textId="77777777" w:rsidR="0061784B" w:rsidRPr="00BC31E0" w:rsidRDefault="00586AE8" w:rsidP="00736130">
      <w:pPr>
        <w:pStyle w:val="a4"/>
        <w:numPr>
          <w:ilvl w:val="0"/>
          <w:numId w:val="519"/>
        </w:numPr>
        <w:ind w:leftChars="0" w:left="738" w:hanging="454"/>
      </w:pPr>
      <w:r w:rsidRPr="00BC31E0">
        <w:rPr>
          <w:rFonts w:hint="eastAsia"/>
        </w:rPr>
        <w:t>多層部とソリッド部をつなぐ分類</w:t>
      </w:r>
      <w:r w:rsidRPr="00BC31E0">
        <w:rPr>
          <w:rFonts w:hint="eastAsia"/>
        </w:rPr>
        <w:t xml:space="preserve">A, </w:t>
      </w:r>
      <w:r w:rsidRPr="00BC31E0">
        <w:t>B</w:t>
      </w:r>
      <w:r w:rsidRPr="00BC31E0">
        <w:rPr>
          <w:rFonts w:hint="eastAsia"/>
        </w:rPr>
        <w:t xml:space="preserve">, </w:t>
      </w:r>
      <w:r w:rsidRPr="00BC31E0">
        <w:t>C</w:t>
      </w:r>
      <w:r w:rsidRPr="00BC31E0">
        <w:rPr>
          <w:rFonts w:hint="eastAsia"/>
        </w:rPr>
        <w:t>及び</w:t>
      </w:r>
      <w:r w:rsidRPr="00BC31E0">
        <w:t>D</w:t>
      </w:r>
      <w:r w:rsidRPr="00BC31E0">
        <w:rPr>
          <w:rFonts w:hint="eastAsia"/>
        </w:rPr>
        <w:t>継手は</w:t>
      </w:r>
      <w:r w:rsidRPr="00BC31E0">
        <w:t>Type No.1</w:t>
      </w:r>
      <w:r w:rsidRPr="00BC31E0">
        <w:rPr>
          <w:rFonts w:hint="eastAsia"/>
        </w:rPr>
        <w:t>でなければならない</w:t>
      </w:r>
      <w:r w:rsidR="00E42B3F" w:rsidRPr="00BC31E0">
        <w:rPr>
          <w:rFonts w:hint="eastAsia"/>
        </w:rPr>
        <w:t>(</w:t>
      </w:r>
      <w:r w:rsidRPr="00BC31E0">
        <w:rPr>
          <w:rFonts w:asciiTheme="majorEastAsia" w:eastAsiaTheme="majorEastAsia" w:hAnsiTheme="majorEastAsia" w:hint="eastAsia"/>
          <w:b/>
        </w:rPr>
        <w:t>図6.8.5</w:t>
      </w:r>
      <w:r w:rsidRPr="00BC31E0">
        <w:rPr>
          <w:rFonts w:hint="eastAsia"/>
        </w:rPr>
        <w:t>と</w:t>
      </w:r>
      <w:r w:rsidRPr="00BC31E0">
        <w:rPr>
          <w:rFonts w:asciiTheme="majorEastAsia" w:eastAsiaTheme="majorEastAsia" w:hAnsiTheme="majorEastAsia" w:hint="eastAsia"/>
          <w:b/>
        </w:rPr>
        <w:t>図6.8.6</w:t>
      </w:r>
      <w:r w:rsidR="0061784B" w:rsidRPr="00BC31E0">
        <w:rPr>
          <w:rFonts w:hint="eastAsia"/>
        </w:rPr>
        <w:t>を</w:t>
      </w:r>
      <w:r w:rsidRPr="00BC31E0">
        <w:rPr>
          <w:rFonts w:hint="eastAsia"/>
        </w:rPr>
        <w:t>参照</w:t>
      </w:r>
      <w:r w:rsidR="00E42B3F" w:rsidRPr="00BC31E0">
        <w:rPr>
          <w:rFonts w:hint="eastAsia"/>
        </w:rPr>
        <w:t>)</w:t>
      </w:r>
      <w:r w:rsidRPr="00BC31E0">
        <w:rPr>
          <w:rFonts w:hint="eastAsia"/>
        </w:rPr>
        <w:t>。</w:t>
      </w:r>
    </w:p>
    <w:p w14:paraId="1F2D84D3" w14:textId="77777777" w:rsidR="0061784B" w:rsidRPr="00BC31E0" w:rsidRDefault="00586AE8" w:rsidP="00736130">
      <w:pPr>
        <w:pStyle w:val="a4"/>
        <w:numPr>
          <w:ilvl w:val="0"/>
          <w:numId w:val="519"/>
        </w:numPr>
        <w:ind w:leftChars="0" w:left="738" w:hanging="454"/>
      </w:pPr>
      <w:r w:rsidRPr="00BC31E0">
        <w:rPr>
          <w:rFonts w:hint="eastAsia"/>
        </w:rPr>
        <w:t>多層部同士をつなぐ分類</w:t>
      </w:r>
      <w:r w:rsidRPr="00BC31E0">
        <w:t>B</w:t>
      </w:r>
      <w:r w:rsidRPr="00BC31E0">
        <w:rPr>
          <w:rFonts w:hint="eastAsia"/>
        </w:rPr>
        <w:t>継手は</w:t>
      </w:r>
      <w:r w:rsidRPr="00BC31E0">
        <w:t>Type No.1</w:t>
      </w:r>
      <w:r w:rsidRPr="00BC31E0">
        <w:rPr>
          <w:rFonts w:hint="eastAsia"/>
        </w:rPr>
        <w:t>突合せ溶接を用いる。層</w:t>
      </w:r>
      <w:r w:rsidR="00A82C2A" w:rsidRPr="00BC31E0">
        <w:rPr>
          <w:rFonts w:hint="eastAsia"/>
        </w:rPr>
        <w:t>ごと</w:t>
      </w:r>
      <w:r w:rsidRPr="00BC31E0">
        <w:rPr>
          <w:rFonts w:hint="eastAsia"/>
        </w:rPr>
        <w:t>に溶接する場合は，各層の分類</w:t>
      </w:r>
      <w:r w:rsidRPr="00BC31E0">
        <w:t>A</w:t>
      </w:r>
      <w:r w:rsidRPr="00BC31E0">
        <w:rPr>
          <w:rFonts w:hint="eastAsia"/>
        </w:rPr>
        <w:t>継手が厚さの</w:t>
      </w:r>
      <w:r w:rsidRPr="00BC31E0">
        <w:t>5</w:t>
      </w:r>
      <w:r w:rsidRPr="00BC31E0">
        <w:rPr>
          <w:rFonts w:hint="eastAsia"/>
        </w:rPr>
        <w:t>倍以上離す。</w:t>
      </w:r>
    </w:p>
    <w:p w14:paraId="304D4408" w14:textId="77777777" w:rsidR="00586AE8" w:rsidRPr="00BC31E0" w:rsidRDefault="00586AE8" w:rsidP="00736130">
      <w:pPr>
        <w:pStyle w:val="a4"/>
        <w:numPr>
          <w:ilvl w:val="0"/>
          <w:numId w:val="519"/>
        </w:numPr>
        <w:ind w:leftChars="0" w:left="738" w:hanging="454"/>
      </w:pPr>
      <w:r w:rsidRPr="00BC31E0">
        <w:rPr>
          <w:rFonts w:hint="eastAsia"/>
        </w:rPr>
        <w:t>溶接継手分類は，</w:t>
      </w:r>
      <w:r w:rsidRPr="00BC31E0">
        <w:rPr>
          <w:rFonts w:asciiTheme="majorEastAsia" w:eastAsiaTheme="majorEastAsia" w:hAnsiTheme="majorEastAsia" w:hint="eastAsia"/>
          <w:b/>
        </w:rPr>
        <w:t>9.3.5 a)</w:t>
      </w:r>
      <w:r w:rsidRPr="00BC31E0">
        <w:rPr>
          <w:rFonts w:hint="eastAsia"/>
        </w:rPr>
        <w:t>による。</w:t>
      </w:r>
    </w:p>
    <w:p w14:paraId="1F37B549" w14:textId="77777777" w:rsidR="00586AE8" w:rsidRPr="00BC31E0" w:rsidRDefault="00586AE8" w:rsidP="00736130">
      <w:pPr>
        <w:pStyle w:val="a4"/>
        <w:numPr>
          <w:ilvl w:val="0"/>
          <w:numId w:val="518"/>
        </w:numPr>
        <w:ind w:leftChars="0" w:left="454" w:hanging="454"/>
      </w:pPr>
      <w:r w:rsidRPr="00BC31E0">
        <w:rPr>
          <w:rFonts w:asciiTheme="majorEastAsia" w:eastAsiaTheme="majorEastAsia" w:hAnsiTheme="majorEastAsia" w:hint="eastAsia"/>
          <w:b/>
        </w:rPr>
        <w:t>溶接施工方法確認試験</w:t>
      </w:r>
      <w:r w:rsidRPr="00BC31E0">
        <w:rPr>
          <w:rFonts w:hint="eastAsia"/>
        </w:rPr>
        <w:t xml:space="preserve">　</w:t>
      </w:r>
      <w:r w:rsidRPr="00BC31E0">
        <w:rPr>
          <w:rFonts w:ascii="ＭＳ 明朝" w:hAnsi="ＭＳ 明朝" w:hint="eastAsia"/>
        </w:rPr>
        <w:t>溶接施工方法確認試験は</w:t>
      </w:r>
      <w:r w:rsidRPr="00BC31E0">
        <w:rPr>
          <w:rFonts w:asciiTheme="majorEastAsia" w:eastAsiaTheme="majorEastAsia" w:hAnsiTheme="majorEastAsia" w:hint="eastAsia"/>
          <w:b/>
        </w:rPr>
        <w:t>7.2</w:t>
      </w:r>
      <w:r w:rsidRPr="00BC31E0">
        <w:rPr>
          <w:rFonts w:ascii="ＭＳ 明朝" w:hAnsi="ＭＳ 明朝" w:hint="eastAsia"/>
        </w:rPr>
        <w:t>に従って行うが，層の溶接にかかわる溶接試験方法は次の</w:t>
      </w:r>
      <w:r w:rsidRPr="00BC31E0">
        <w:rPr>
          <w:rFonts w:asciiTheme="majorEastAsia" w:eastAsiaTheme="majorEastAsia" w:hAnsiTheme="majorEastAsia" w:hint="eastAsia"/>
          <w:b/>
        </w:rPr>
        <w:t>1)</w:t>
      </w:r>
      <w:r w:rsidRPr="00BC31E0">
        <w:rPr>
          <w:rFonts w:ascii="ＭＳ 明朝" w:hAnsi="ＭＳ 明朝" w:hint="eastAsia"/>
        </w:rPr>
        <w:t>～</w:t>
      </w:r>
      <w:r w:rsidRPr="00BC31E0">
        <w:rPr>
          <w:rFonts w:asciiTheme="majorEastAsia" w:eastAsiaTheme="majorEastAsia" w:hAnsiTheme="majorEastAsia" w:hint="eastAsia"/>
          <w:b/>
        </w:rPr>
        <w:t>5)</w:t>
      </w:r>
      <w:r w:rsidRPr="00BC31E0">
        <w:rPr>
          <w:rFonts w:ascii="ＭＳ 明朝" w:hAnsi="ＭＳ 明朝" w:hint="eastAsia"/>
        </w:rPr>
        <w:t>のように変更しなければならない。</w:t>
      </w:r>
    </w:p>
    <w:p w14:paraId="373264D9" w14:textId="77777777" w:rsidR="0053788E" w:rsidRPr="00BC31E0" w:rsidRDefault="00586AE8" w:rsidP="00736130">
      <w:pPr>
        <w:pStyle w:val="a4"/>
        <w:numPr>
          <w:ilvl w:val="0"/>
          <w:numId w:val="520"/>
        </w:numPr>
        <w:ind w:leftChars="0" w:left="738" w:hanging="454"/>
      </w:pPr>
      <w:r w:rsidRPr="00BC31E0">
        <w:rPr>
          <w:rFonts w:hint="eastAsia"/>
        </w:rPr>
        <w:t>分類</w:t>
      </w:r>
      <w:r w:rsidRPr="00BC31E0">
        <w:t>A</w:t>
      </w:r>
      <w:r w:rsidRPr="00BC31E0">
        <w:rPr>
          <w:rFonts w:hint="eastAsia"/>
        </w:rPr>
        <w:t>継手については，最内層を除いた層のうち最大厚さの層について手順試験を行えばよい。</w:t>
      </w:r>
    </w:p>
    <w:p w14:paraId="23539C92" w14:textId="77777777" w:rsidR="0053788E" w:rsidRPr="00BC31E0" w:rsidRDefault="00586AE8" w:rsidP="00736130">
      <w:pPr>
        <w:pStyle w:val="a4"/>
        <w:numPr>
          <w:ilvl w:val="0"/>
          <w:numId w:val="520"/>
        </w:numPr>
        <w:ind w:leftChars="0" w:left="738" w:hanging="454"/>
      </w:pPr>
      <w:r w:rsidRPr="00BC31E0">
        <w:rPr>
          <w:rFonts w:hint="eastAsia"/>
        </w:rPr>
        <w:t>分類</w:t>
      </w:r>
      <w:r w:rsidRPr="00BC31E0">
        <w:t>B</w:t>
      </w:r>
      <w:r w:rsidRPr="00BC31E0">
        <w:rPr>
          <w:rFonts w:hint="eastAsia"/>
        </w:rPr>
        <w:t>継手については，試験板の厚さは</w:t>
      </w:r>
      <w:r w:rsidRPr="00BC31E0">
        <w:t>76 mm</w:t>
      </w:r>
      <w:r w:rsidRPr="00BC31E0">
        <w:rPr>
          <w:rFonts w:hint="eastAsia"/>
        </w:rPr>
        <w:t>を超える必要はない。ただし，</w:t>
      </w:r>
      <w:r w:rsidRPr="00BC31E0">
        <w:t>50 mm</w:t>
      </w:r>
      <w:r w:rsidRPr="00BC31E0">
        <w:rPr>
          <w:rFonts w:hint="eastAsia"/>
        </w:rPr>
        <w:t>以下であってはいけない。また，少なくとも</w:t>
      </w:r>
      <w:r w:rsidRPr="00BC31E0">
        <w:t>2</w:t>
      </w:r>
      <w:r w:rsidRPr="00BC31E0">
        <w:rPr>
          <w:rFonts w:hint="eastAsia"/>
        </w:rPr>
        <w:t>層以上の積層状態で試験する。</w:t>
      </w:r>
    </w:p>
    <w:p w14:paraId="59AA484E" w14:textId="77777777" w:rsidR="0053788E" w:rsidRPr="00BC31E0" w:rsidRDefault="00586AE8" w:rsidP="00736130">
      <w:pPr>
        <w:pStyle w:val="a4"/>
        <w:numPr>
          <w:ilvl w:val="0"/>
          <w:numId w:val="520"/>
        </w:numPr>
        <w:ind w:leftChars="0" w:left="738" w:hanging="454"/>
      </w:pPr>
      <w:r w:rsidRPr="00BC31E0">
        <w:rPr>
          <w:rFonts w:hint="eastAsia"/>
        </w:rPr>
        <w:t>分類</w:t>
      </w:r>
      <w:r w:rsidRPr="00BC31E0">
        <w:t>B</w:t>
      </w:r>
      <w:r w:rsidRPr="00BC31E0">
        <w:rPr>
          <w:rFonts w:hint="eastAsia"/>
        </w:rPr>
        <w:t>継手で，一層</w:t>
      </w:r>
      <w:r w:rsidR="00A82C2A" w:rsidRPr="00BC31E0">
        <w:rPr>
          <w:rFonts w:hint="eastAsia"/>
        </w:rPr>
        <w:t>ごと</w:t>
      </w:r>
      <w:r w:rsidRPr="00BC31E0">
        <w:rPr>
          <w:rFonts w:hint="eastAsia"/>
        </w:rPr>
        <w:t>に溶接を行う方法で取付けが行われる場合で，少なくとも板の厚さ分シームの位置がずれるように配置されている時は，分類</w:t>
      </w:r>
      <w:r w:rsidRPr="00BC31E0">
        <w:t>A</w:t>
      </w:r>
      <w:r w:rsidRPr="00BC31E0">
        <w:rPr>
          <w:rFonts w:hint="eastAsia"/>
        </w:rPr>
        <w:t>継手の試験結果を流用してよい。</w:t>
      </w:r>
    </w:p>
    <w:p w14:paraId="74A4CC2C" w14:textId="77777777" w:rsidR="0053788E" w:rsidRPr="00BC31E0" w:rsidRDefault="00586AE8" w:rsidP="00736130">
      <w:pPr>
        <w:pStyle w:val="a4"/>
        <w:numPr>
          <w:ilvl w:val="0"/>
          <w:numId w:val="520"/>
        </w:numPr>
        <w:ind w:leftChars="0" w:left="738" w:hanging="454"/>
      </w:pPr>
      <w:r w:rsidRPr="00BC31E0">
        <w:rPr>
          <w:rFonts w:hint="eastAsia"/>
        </w:rPr>
        <w:lastRenderedPageBreak/>
        <w:t>内筒とそれ以降の層の長手方向継手は</w:t>
      </w:r>
      <w:r w:rsidRPr="00BC31E0">
        <w:t>P</w:t>
      </w:r>
      <w:r w:rsidRPr="00BC31E0">
        <w:rPr>
          <w:rFonts w:hint="eastAsia"/>
        </w:rPr>
        <w:t>番号が同じ場合は同一の試験で兼用</w:t>
      </w:r>
      <w:r w:rsidR="00290AB8" w:rsidRPr="00BC31E0">
        <w:rPr>
          <w:rFonts w:hint="eastAsia"/>
        </w:rPr>
        <w:t>してもよい</w:t>
      </w:r>
      <w:r w:rsidRPr="00BC31E0">
        <w:rPr>
          <w:rFonts w:hint="eastAsia"/>
        </w:rPr>
        <w:t>。</w:t>
      </w:r>
      <w:r w:rsidRPr="00BC31E0">
        <w:t>22 mm</w:t>
      </w:r>
      <w:r w:rsidRPr="00BC31E0">
        <w:rPr>
          <w:rFonts w:hint="eastAsia"/>
        </w:rPr>
        <w:t>以下の長手方向継手の溶接施工方法確認試験に使われる溶接ギャップは最小幅とする。</w:t>
      </w:r>
    </w:p>
    <w:p w14:paraId="7139AD24" w14:textId="77777777" w:rsidR="00586AE8" w:rsidRPr="00BC31E0" w:rsidRDefault="00586AE8" w:rsidP="00736130">
      <w:pPr>
        <w:pStyle w:val="a4"/>
        <w:numPr>
          <w:ilvl w:val="0"/>
          <w:numId w:val="520"/>
        </w:numPr>
        <w:ind w:leftChars="0" w:left="738" w:hanging="454"/>
      </w:pPr>
      <w:r w:rsidRPr="00BC31E0">
        <w:rPr>
          <w:rFonts w:hint="eastAsia"/>
        </w:rPr>
        <w:t>多層部同士，多層部と単胴の周方向溶接は，</w:t>
      </w:r>
      <w:r w:rsidRPr="00BC31E0">
        <w:rPr>
          <w:rFonts w:asciiTheme="majorEastAsia" w:eastAsiaTheme="majorEastAsia" w:hAnsiTheme="majorEastAsia" w:hint="eastAsia"/>
          <w:b/>
        </w:rPr>
        <w:t>図7.8.1</w:t>
      </w:r>
      <w:r w:rsidR="005F582C" w:rsidRPr="00BC31E0">
        <w:rPr>
          <w:rFonts w:hint="eastAsia"/>
        </w:rPr>
        <w:t>に従って</w:t>
      </w:r>
      <w:r w:rsidRPr="00BC31E0">
        <w:rPr>
          <w:rFonts w:hint="eastAsia"/>
        </w:rPr>
        <w:t>製作した部材を使って溶接施工方法確認試験用の試験片を作成する。試験片は</w:t>
      </w:r>
      <w:r w:rsidRPr="00BC31E0">
        <w:rPr>
          <w:rFonts w:asciiTheme="majorEastAsia" w:eastAsiaTheme="majorEastAsia" w:hAnsiTheme="majorEastAsia" w:hint="eastAsia"/>
          <w:b/>
        </w:rPr>
        <w:t>図7.8.2</w:t>
      </w:r>
      <w:r w:rsidRPr="00BC31E0">
        <w:rPr>
          <w:rFonts w:hint="eastAsia"/>
        </w:rPr>
        <w:t>に従って作成する。なお，</w:t>
      </w:r>
      <w:r w:rsidRPr="00BC31E0">
        <w:rPr>
          <w:rFonts w:asciiTheme="majorEastAsia" w:eastAsiaTheme="majorEastAsia" w:hAnsiTheme="majorEastAsia" w:hint="eastAsia"/>
          <w:b/>
        </w:rPr>
        <w:t>図7.8.1</w:t>
      </w:r>
      <w:r w:rsidRPr="00BC31E0">
        <w:rPr>
          <w:rFonts w:hint="eastAsia"/>
        </w:rPr>
        <w:t>に示した継手引張試験片以外の試験片の取り扱いは，試験を行うかどうかも含めて</w:t>
      </w:r>
      <w:r w:rsidR="002E6361" w:rsidRPr="00BC31E0">
        <w:rPr>
          <w:rFonts w:hint="eastAsia"/>
        </w:rPr>
        <w:t>，</w:t>
      </w:r>
      <w:r w:rsidRPr="00BC31E0">
        <w:rPr>
          <w:rFonts w:hint="eastAsia"/>
        </w:rPr>
        <w:t>発注者と製作者の間で協議の上で決定する。</w:t>
      </w:r>
    </w:p>
    <w:p w14:paraId="4CB43357" w14:textId="77777777" w:rsidR="00586AE8" w:rsidRPr="00BC31E0" w:rsidRDefault="00586AE8" w:rsidP="00736130">
      <w:pPr>
        <w:pStyle w:val="a4"/>
        <w:numPr>
          <w:ilvl w:val="0"/>
          <w:numId w:val="521"/>
        </w:numPr>
        <w:ind w:leftChars="0" w:left="454" w:hanging="454"/>
      </w:pPr>
      <w:r w:rsidRPr="00BC31E0">
        <w:rPr>
          <w:rFonts w:asciiTheme="majorEastAsia" w:eastAsiaTheme="majorEastAsia" w:hAnsiTheme="majorEastAsia" w:hint="eastAsia"/>
          <w:b/>
        </w:rPr>
        <w:t>空気穴</w:t>
      </w:r>
      <w:r w:rsidRPr="00BC31E0">
        <w:rPr>
          <w:rFonts w:hint="eastAsia"/>
        </w:rPr>
        <w:t xml:space="preserve">　</w:t>
      </w:r>
      <w:r w:rsidRPr="00BC31E0">
        <w:rPr>
          <w:rFonts w:hAnsi="ＭＳ 明朝" w:hint="eastAsia"/>
        </w:rPr>
        <w:t>空気穴は，次の</w:t>
      </w:r>
      <w:r w:rsidRPr="00BC31E0">
        <w:rPr>
          <w:rFonts w:asciiTheme="majorEastAsia" w:eastAsiaTheme="majorEastAsia" w:hAnsiTheme="majorEastAsia" w:hint="eastAsia"/>
          <w:b/>
        </w:rPr>
        <w:t>1)</w:t>
      </w:r>
      <w:r w:rsidRPr="00BC31E0">
        <w:rPr>
          <w:rFonts w:hAnsi="ＭＳ 明朝" w:hint="eastAsia"/>
        </w:rPr>
        <w:t>，</w:t>
      </w:r>
      <w:r w:rsidRPr="00BC31E0">
        <w:rPr>
          <w:rFonts w:asciiTheme="majorEastAsia" w:eastAsiaTheme="majorEastAsia" w:hAnsiTheme="majorEastAsia" w:hint="eastAsia"/>
          <w:b/>
        </w:rPr>
        <w:t>2)</w:t>
      </w:r>
      <w:r w:rsidRPr="00BC31E0">
        <w:rPr>
          <w:rFonts w:hAnsi="ＭＳ 明朝" w:hint="eastAsia"/>
        </w:rPr>
        <w:t>による。</w:t>
      </w:r>
    </w:p>
    <w:p w14:paraId="382274C9" w14:textId="77777777" w:rsidR="005154A3" w:rsidRPr="00BC31E0" w:rsidRDefault="00586AE8" w:rsidP="00736130">
      <w:pPr>
        <w:pStyle w:val="a4"/>
        <w:numPr>
          <w:ilvl w:val="0"/>
          <w:numId w:val="522"/>
        </w:numPr>
        <w:ind w:leftChars="0" w:left="738" w:hanging="454"/>
      </w:pPr>
      <w:r w:rsidRPr="00BC31E0">
        <w:rPr>
          <w:rFonts w:hint="eastAsia"/>
        </w:rPr>
        <w:t>周溶接で区切られた多層胴の各層について，それを構成する</w:t>
      </w:r>
      <w:r w:rsidR="00DC160D" w:rsidRPr="00BC31E0">
        <w:rPr>
          <w:rFonts w:hint="eastAsia"/>
        </w:rPr>
        <w:t>全</w:t>
      </w:r>
      <w:r w:rsidRPr="00BC31E0">
        <w:rPr>
          <w:rFonts w:hint="eastAsia"/>
        </w:rPr>
        <w:t>ての板に</w:t>
      </w:r>
      <w:r w:rsidRPr="00BC31E0">
        <w:t>2</w:t>
      </w:r>
      <w:r w:rsidRPr="00BC31E0">
        <w:rPr>
          <w:rFonts w:hint="eastAsia"/>
        </w:rPr>
        <w:t>個以上の空気穴を設ける。空気穴は直径</w:t>
      </w:r>
      <w:r w:rsidRPr="00BC31E0">
        <w:t>6 mm</w:t>
      </w:r>
      <w:r w:rsidRPr="00BC31E0">
        <w:rPr>
          <w:rFonts w:hint="eastAsia"/>
        </w:rPr>
        <w:t>以上で，複数の層に対し同じ位置でも異なっていてもかまわない。</w:t>
      </w:r>
    </w:p>
    <w:p w14:paraId="1CE7173E" w14:textId="77777777" w:rsidR="00586AE8" w:rsidRPr="00BC31E0" w:rsidRDefault="00586AE8" w:rsidP="00736130">
      <w:pPr>
        <w:pStyle w:val="a4"/>
        <w:numPr>
          <w:ilvl w:val="0"/>
          <w:numId w:val="522"/>
        </w:numPr>
        <w:ind w:leftChars="0" w:left="738" w:hanging="454"/>
      </w:pPr>
      <w:r w:rsidRPr="00BC31E0">
        <w:rPr>
          <w:rFonts w:hint="eastAsia"/>
        </w:rPr>
        <w:t>空気穴は詰まらせてはいけない。モニタリングシステムをつける場合には層間に圧力がかからないようにモニターの設定圧力を調整する。</w:t>
      </w:r>
    </w:p>
    <w:p w14:paraId="68735F4A" w14:textId="77777777" w:rsidR="00586AE8" w:rsidRPr="00BC31E0" w:rsidRDefault="00586AE8" w:rsidP="00736130">
      <w:pPr>
        <w:pStyle w:val="a4"/>
        <w:numPr>
          <w:ilvl w:val="0"/>
          <w:numId w:val="523"/>
        </w:numPr>
        <w:ind w:leftChars="0" w:left="454" w:hanging="454"/>
      </w:pPr>
      <w:r w:rsidRPr="00BC31E0">
        <w:rPr>
          <w:rFonts w:asciiTheme="majorEastAsia" w:eastAsiaTheme="majorEastAsia" w:hAnsiTheme="majorEastAsia" w:hint="eastAsia"/>
          <w:b/>
        </w:rPr>
        <w:t>溶接継手の非破壊試験</w:t>
      </w:r>
      <w:r w:rsidRPr="00BC31E0">
        <w:rPr>
          <w:rFonts w:hint="eastAsia"/>
        </w:rPr>
        <w:t xml:space="preserve">　</w:t>
      </w:r>
      <w:r w:rsidRPr="00BC31E0">
        <w:rPr>
          <w:rFonts w:hAnsi="ＭＳ 明朝" w:hint="eastAsia"/>
        </w:rPr>
        <w:t>溶接継手の非破壊試験は，次の</w:t>
      </w:r>
      <w:r w:rsidRPr="00BC31E0">
        <w:rPr>
          <w:rFonts w:asciiTheme="majorEastAsia" w:eastAsiaTheme="majorEastAsia" w:hAnsiTheme="majorEastAsia" w:hint="eastAsia"/>
          <w:b/>
        </w:rPr>
        <w:t>1)</w:t>
      </w:r>
      <w:r w:rsidRPr="00BC31E0">
        <w:rPr>
          <w:rFonts w:hAnsi="ＭＳ 明朝" w:hint="eastAsia"/>
        </w:rPr>
        <w:t>～</w:t>
      </w:r>
      <w:r w:rsidRPr="00BC31E0">
        <w:rPr>
          <w:rFonts w:asciiTheme="majorEastAsia" w:eastAsiaTheme="majorEastAsia" w:hAnsiTheme="majorEastAsia" w:hint="eastAsia"/>
          <w:b/>
        </w:rPr>
        <w:t>7)</w:t>
      </w:r>
      <w:r w:rsidRPr="00BC31E0">
        <w:rPr>
          <w:rFonts w:hAnsi="ＭＳ 明朝" w:hint="eastAsia"/>
        </w:rPr>
        <w:t>による。</w:t>
      </w:r>
    </w:p>
    <w:p w14:paraId="2D1B9BCF" w14:textId="77777777" w:rsidR="007703C2" w:rsidRPr="00BC31E0" w:rsidRDefault="00586AE8" w:rsidP="00736130">
      <w:pPr>
        <w:pStyle w:val="a4"/>
        <w:numPr>
          <w:ilvl w:val="0"/>
          <w:numId w:val="524"/>
        </w:numPr>
        <w:ind w:leftChars="0" w:left="738" w:hanging="454"/>
      </w:pPr>
      <w:r w:rsidRPr="00BC31E0">
        <w:rPr>
          <w:rFonts w:hint="eastAsia"/>
        </w:rPr>
        <w:t>内筒の分類</w:t>
      </w:r>
      <w:r w:rsidRPr="00BC31E0">
        <w:t>A</w:t>
      </w:r>
      <w:r w:rsidRPr="00BC31E0">
        <w:rPr>
          <w:rFonts w:hint="eastAsia"/>
        </w:rPr>
        <w:t>継手と分類</w:t>
      </w:r>
      <w:r w:rsidRPr="00BC31E0">
        <w:t>B</w:t>
      </w:r>
      <w:r w:rsidRPr="00BC31E0">
        <w:rPr>
          <w:rFonts w:hint="eastAsia"/>
        </w:rPr>
        <w:t>継手は，全長にわたり</w:t>
      </w:r>
      <w:r w:rsidRPr="00BC31E0">
        <w:rPr>
          <w:rFonts w:asciiTheme="majorEastAsia" w:eastAsiaTheme="majorEastAsia" w:hAnsiTheme="majorEastAsia" w:hint="eastAsia"/>
          <w:b/>
          <w:bCs/>
        </w:rPr>
        <w:t>9.3</w:t>
      </w:r>
      <w:r w:rsidRPr="00BC31E0">
        <w:rPr>
          <w:rFonts w:hint="eastAsia"/>
        </w:rPr>
        <w:t>に</w:t>
      </w:r>
      <w:r w:rsidR="007703C2" w:rsidRPr="00BC31E0">
        <w:rPr>
          <w:rFonts w:hint="eastAsia"/>
        </w:rPr>
        <w:t>従って</w:t>
      </w:r>
      <w:r w:rsidRPr="00BC31E0">
        <w:rPr>
          <w:rFonts w:hint="eastAsia"/>
        </w:rPr>
        <w:t>非破壊試験を行う。</w:t>
      </w:r>
    </w:p>
    <w:p w14:paraId="17352CB1" w14:textId="77777777" w:rsidR="007703C2" w:rsidRPr="00BC31E0" w:rsidRDefault="00586AE8" w:rsidP="00736130">
      <w:pPr>
        <w:pStyle w:val="a4"/>
        <w:numPr>
          <w:ilvl w:val="0"/>
          <w:numId w:val="524"/>
        </w:numPr>
        <w:ind w:leftChars="0" w:left="738" w:hanging="454"/>
      </w:pPr>
      <w:r w:rsidRPr="00BC31E0">
        <w:rPr>
          <w:rFonts w:hint="eastAsia"/>
        </w:rPr>
        <w:t>層の分類</w:t>
      </w:r>
      <w:r w:rsidRPr="00BC31E0">
        <w:t>A</w:t>
      </w:r>
      <w:r w:rsidRPr="00BC31E0">
        <w:rPr>
          <w:rFonts w:hint="eastAsia"/>
        </w:rPr>
        <w:t>継手は，厚さが</w:t>
      </w:r>
      <w:r w:rsidRPr="00BC31E0">
        <w:t>6 mm</w:t>
      </w:r>
      <w:r w:rsidRPr="00BC31E0">
        <w:rPr>
          <w:rFonts w:hint="eastAsia"/>
        </w:rPr>
        <w:t>から</w:t>
      </w:r>
      <w:r w:rsidRPr="00BC31E0">
        <w:t>8 mm</w:t>
      </w:r>
      <w:r w:rsidRPr="00BC31E0">
        <w:rPr>
          <w:rFonts w:hint="eastAsia"/>
        </w:rPr>
        <w:t>の</w:t>
      </w:r>
      <w:r w:rsidR="00A84424" w:rsidRPr="00BC31E0">
        <w:rPr>
          <w:rFonts w:hint="eastAsia"/>
        </w:rPr>
        <w:t>とき</w:t>
      </w:r>
      <w:r w:rsidRPr="00BC31E0">
        <w:rPr>
          <w:rFonts w:hint="eastAsia"/>
        </w:rPr>
        <w:t>は以降の層が巻かれる前に全長にわたり磁紛探傷試験又は浸透探傷試験を行う。厚さが</w:t>
      </w:r>
      <w:r w:rsidRPr="00BC31E0">
        <w:t>8 mm</w:t>
      </w:r>
      <w:r w:rsidRPr="00BC31E0">
        <w:rPr>
          <w:rFonts w:hint="eastAsia"/>
        </w:rPr>
        <w:t>を越える時は，以降の層が巻かれる前に全長にわたり磁紛探傷試験又は浸透探傷試験に加えて超音波探傷試験を行う。超音波探傷試験では溶接厚さの下部</w:t>
      </w:r>
      <w:r w:rsidRPr="00BC31E0">
        <w:t>10%</w:t>
      </w:r>
      <w:r w:rsidRPr="00BC31E0">
        <w:rPr>
          <w:rFonts w:hint="eastAsia"/>
        </w:rPr>
        <w:t>に対しては距離振幅特性曲線又は基準レベルを</w:t>
      </w:r>
      <w:r w:rsidRPr="00BC31E0">
        <w:t>6 dB</w:t>
      </w:r>
      <w:r w:rsidRPr="00BC31E0">
        <w:rPr>
          <w:rFonts w:hint="eastAsia"/>
        </w:rPr>
        <w:t>高める。</w:t>
      </w:r>
    </w:p>
    <w:p w14:paraId="6E0049A1" w14:textId="77777777" w:rsidR="007703C2" w:rsidRPr="00BC31E0" w:rsidRDefault="00586AE8" w:rsidP="00736130">
      <w:pPr>
        <w:pStyle w:val="a4"/>
        <w:numPr>
          <w:ilvl w:val="0"/>
          <w:numId w:val="524"/>
        </w:numPr>
        <w:ind w:leftChars="0" w:left="738" w:hanging="454"/>
      </w:pPr>
      <w:r w:rsidRPr="00BC31E0">
        <w:rPr>
          <w:rFonts w:hint="eastAsia"/>
        </w:rPr>
        <w:t>層の分類</w:t>
      </w:r>
      <w:r w:rsidRPr="00BC31E0">
        <w:t>B</w:t>
      </w:r>
      <w:r w:rsidRPr="00BC31E0">
        <w:rPr>
          <w:rFonts w:hint="eastAsia"/>
        </w:rPr>
        <w:t>継手で，層</w:t>
      </w:r>
      <w:r w:rsidR="00A82C2A" w:rsidRPr="00BC31E0">
        <w:rPr>
          <w:rFonts w:hint="eastAsia"/>
        </w:rPr>
        <w:t>ごと</w:t>
      </w:r>
      <w:r w:rsidRPr="00BC31E0">
        <w:rPr>
          <w:rFonts w:hint="eastAsia"/>
        </w:rPr>
        <w:t>に溶接を行う場合は，厚さが</w:t>
      </w:r>
      <w:r w:rsidRPr="00BC31E0">
        <w:t>6 mm</w:t>
      </w:r>
      <w:r w:rsidRPr="00BC31E0">
        <w:rPr>
          <w:rFonts w:hint="eastAsia"/>
        </w:rPr>
        <w:t>から</w:t>
      </w:r>
      <w:r w:rsidRPr="00BC31E0">
        <w:t>8 mm</w:t>
      </w:r>
      <w:r w:rsidRPr="00BC31E0">
        <w:rPr>
          <w:rFonts w:hint="eastAsia"/>
        </w:rPr>
        <w:t>の</w:t>
      </w:r>
      <w:r w:rsidR="00A84424" w:rsidRPr="00BC31E0">
        <w:rPr>
          <w:rFonts w:hint="eastAsia"/>
        </w:rPr>
        <w:t>とき</w:t>
      </w:r>
      <w:r w:rsidRPr="00BC31E0">
        <w:rPr>
          <w:rFonts w:hint="eastAsia"/>
        </w:rPr>
        <w:t>は</w:t>
      </w:r>
      <w:r w:rsidRPr="00BC31E0">
        <w:t>10%</w:t>
      </w:r>
      <w:r w:rsidRPr="00BC31E0">
        <w:rPr>
          <w:rFonts w:hint="eastAsia"/>
        </w:rPr>
        <w:t>以上の長さを磁紛探傷試験又は浸透探傷試験で検査する。部分試験は</w:t>
      </w:r>
      <w:r w:rsidRPr="00BC31E0">
        <w:rPr>
          <w:rFonts w:asciiTheme="majorEastAsia" w:eastAsiaTheme="majorEastAsia" w:hAnsiTheme="majorEastAsia" w:hint="eastAsia"/>
          <w:b/>
        </w:rPr>
        <w:t>e)</w:t>
      </w:r>
      <w:r w:rsidRPr="00BC31E0">
        <w:rPr>
          <w:rFonts w:hint="eastAsia"/>
        </w:rPr>
        <w:t>による</w:t>
      </w:r>
      <w:r w:rsidRPr="00BC31E0">
        <w:rPr>
          <w:rFonts w:hAnsi="ＭＳ ゴシック" w:hint="eastAsia"/>
        </w:rPr>
        <w:t>。</w:t>
      </w:r>
      <w:r w:rsidRPr="00BC31E0">
        <w:rPr>
          <w:rFonts w:hint="eastAsia"/>
        </w:rPr>
        <w:t>厚さが</w:t>
      </w:r>
      <w:r w:rsidRPr="00BC31E0">
        <w:t>8 mm</w:t>
      </w:r>
      <w:r w:rsidRPr="00BC31E0">
        <w:rPr>
          <w:rFonts w:hint="eastAsia"/>
        </w:rPr>
        <w:t>を越え</w:t>
      </w:r>
      <w:r w:rsidRPr="00BC31E0">
        <w:t>22 mm</w:t>
      </w:r>
      <w:r w:rsidRPr="00BC31E0">
        <w:rPr>
          <w:rFonts w:hint="eastAsia"/>
        </w:rPr>
        <w:t>以下の</w:t>
      </w:r>
      <w:r w:rsidR="00A84424" w:rsidRPr="00BC31E0">
        <w:rPr>
          <w:rFonts w:hint="eastAsia"/>
        </w:rPr>
        <w:t>とき</w:t>
      </w:r>
      <w:r w:rsidRPr="00BC31E0">
        <w:rPr>
          <w:rFonts w:hint="eastAsia"/>
        </w:rPr>
        <w:t>は，全長にわたり磁紛探傷試験又は浸透探傷試験を行い，</w:t>
      </w:r>
      <w:r w:rsidRPr="00BC31E0">
        <w:t>10%</w:t>
      </w:r>
      <w:r w:rsidRPr="00BC31E0">
        <w:rPr>
          <w:rFonts w:hint="eastAsia"/>
        </w:rPr>
        <w:t>以上の超音波探傷試験検査を行う。部分試験は</w:t>
      </w:r>
      <w:r w:rsidRPr="00BC31E0">
        <w:rPr>
          <w:rFonts w:asciiTheme="majorEastAsia" w:eastAsiaTheme="majorEastAsia" w:hAnsiTheme="majorEastAsia" w:hint="eastAsia"/>
          <w:b/>
        </w:rPr>
        <w:t>e)</w:t>
      </w:r>
      <w:r w:rsidRPr="00BC31E0">
        <w:rPr>
          <w:rFonts w:hint="eastAsia"/>
        </w:rPr>
        <w:t>による。厚さが</w:t>
      </w:r>
      <w:r w:rsidRPr="00BC31E0">
        <w:t>22 mm</w:t>
      </w:r>
      <w:r w:rsidRPr="00BC31E0">
        <w:rPr>
          <w:rFonts w:hint="eastAsia"/>
        </w:rPr>
        <w:t>を越える場合は，全長にわたり磁紛探傷試験又は浸透探傷試験，及び超音波探傷試験を行う。</w:t>
      </w:r>
    </w:p>
    <w:p w14:paraId="1C15A2B2" w14:textId="77777777" w:rsidR="00373822" w:rsidRPr="00BC31E0" w:rsidRDefault="00586AE8" w:rsidP="00736130">
      <w:pPr>
        <w:pStyle w:val="a4"/>
        <w:numPr>
          <w:ilvl w:val="0"/>
          <w:numId w:val="524"/>
        </w:numPr>
        <w:ind w:leftChars="0" w:left="738" w:hanging="454"/>
      </w:pPr>
      <w:r w:rsidRPr="00BC31E0">
        <w:rPr>
          <w:rFonts w:hint="eastAsia"/>
        </w:rPr>
        <w:t>分類</w:t>
      </w:r>
      <w:r w:rsidRPr="00BC31E0">
        <w:t>B</w:t>
      </w:r>
      <w:r w:rsidRPr="00BC31E0">
        <w:rPr>
          <w:rFonts w:hint="eastAsia"/>
        </w:rPr>
        <w:t>継手及び分類</w:t>
      </w:r>
      <w:r w:rsidRPr="00BC31E0">
        <w:t>D</w:t>
      </w:r>
      <w:r w:rsidRPr="00BC31E0">
        <w:rPr>
          <w:rFonts w:hint="eastAsia"/>
        </w:rPr>
        <w:t>継手の単肉と多層及び多層と多層の全厚さでの突合せ溶接は，</w:t>
      </w:r>
      <w:r w:rsidRPr="00BC31E0">
        <w:rPr>
          <w:rFonts w:asciiTheme="majorEastAsia" w:eastAsiaTheme="majorEastAsia" w:hAnsiTheme="majorEastAsia" w:hint="eastAsia"/>
          <w:b/>
        </w:rPr>
        <w:t>9</w:t>
      </w:r>
      <w:r w:rsidRPr="00BC31E0">
        <w:rPr>
          <w:rFonts w:hint="eastAsia"/>
        </w:rPr>
        <w:t>に</w:t>
      </w:r>
      <w:r w:rsidR="007703C2" w:rsidRPr="00BC31E0">
        <w:rPr>
          <w:rFonts w:hint="eastAsia"/>
        </w:rPr>
        <w:t>従って</w:t>
      </w:r>
      <w:r w:rsidRPr="00BC31E0">
        <w:rPr>
          <w:rFonts w:hint="eastAsia"/>
        </w:rPr>
        <w:t>検査する。この場合，層端部のレイヤーウォッシュや許容される隙間が判定に影響する場合は</w:t>
      </w:r>
      <w:r w:rsidRPr="00BC31E0">
        <w:rPr>
          <w:rFonts w:hint="eastAsia"/>
        </w:rPr>
        <w:t xml:space="preserve"> </w:t>
      </w:r>
      <w:r w:rsidRPr="00BC31E0">
        <w:rPr>
          <w:rFonts w:asciiTheme="majorEastAsia" w:eastAsiaTheme="majorEastAsia" w:hAnsiTheme="majorEastAsia" w:hint="eastAsia"/>
          <w:b/>
        </w:rPr>
        <w:t>図7.8.3</w:t>
      </w:r>
      <w:r w:rsidRPr="00BC31E0">
        <w:rPr>
          <w:rFonts w:hint="eastAsia"/>
        </w:rPr>
        <w:t>の溶接形状を考慮して判断する。又は，</w:t>
      </w:r>
      <w:r w:rsidRPr="00BC31E0">
        <w:rPr>
          <w:rFonts w:asciiTheme="majorEastAsia" w:eastAsiaTheme="majorEastAsia" w:hAnsiTheme="majorEastAsia" w:hint="eastAsia"/>
          <w:b/>
        </w:rPr>
        <w:t>図7.8.4</w:t>
      </w:r>
      <w:r w:rsidR="007703C2" w:rsidRPr="00BC31E0">
        <w:rPr>
          <w:rFonts w:hint="eastAsia"/>
        </w:rPr>
        <w:t>に従って</w:t>
      </w:r>
      <w:r w:rsidRPr="00BC31E0">
        <w:rPr>
          <w:rFonts w:hint="eastAsia"/>
        </w:rPr>
        <w:t>端部の溶込み部分を検知して，判断基準にしてもよい</w:t>
      </w:r>
    </w:p>
    <w:p w14:paraId="050F4E39" w14:textId="77777777" w:rsidR="00373822" w:rsidRPr="00BC31E0" w:rsidRDefault="00586AE8" w:rsidP="00736130">
      <w:pPr>
        <w:pStyle w:val="a4"/>
        <w:numPr>
          <w:ilvl w:val="0"/>
          <w:numId w:val="524"/>
        </w:numPr>
        <w:ind w:leftChars="0" w:left="738" w:hanging="454"/>
      </w:pPr>
      <w:r w:rsidRPr="00BC31E0">
        <w:rPr>
          <w:rFonts w:hint="eastAsia"/>
        </w:rPr>
        <w:t>平鏡・チューブシートと多層部をつなぐ分類</w:t>
      </w:r>
      <w:r w:rsidRPr="00BC31E0">
        <w:t>C</w:t>
      </w:r>
      <w:r w:rsidRPr="00BC31E0">
        <w:rPr>
          <w:rFonts w:hint="eastAsia"/>
        </w:rPr>
        <w:t>継手は，</w:t>
      </w:r>
      <w:r w:rsidRPr="00BC31E0">
        <w:rPr>
          <w:rFonts w:asciiTheme="majorEastAsia" w:eastAsiaTheme="majorEastAsia" w:hAnsiTheme="majorEastAsia" w:hint="eastAsia"/>
          <w:b/>
        </w:rPr>
        <w:t>9</w:t>
      </w:r>
      <w:r w:rsidRPr="00BC31E0">
        <w:rPr>
          <w:rFonts w:hint="eastAsia"/>
        </w:rPr>
        <w:t>に従って分類</w:t>
      </w:r>
      <w:r w:rsidRPr="00BC31E0">
        <w:rPr>
          <w:rFonts w:hint="eastAsia"/>
        </w:rPr>
        <w:t>B</w:t>
      </w:r>
      <w:r w:rsidRPr="00BC31E0">
        <w:rPr>
          <w:rFonts w:hint="eastAsia"/>
        </w:rPr>
        <w:t>継手として非破壊試験を行う。</w:t>
      </w:r>
    </w:p>
    <w:p w14:paraId="3738A617" w14:textId="77777777" w:rsidR="00373822" w:rsidRPr="00BC31E0" w:rsidRDefault="0087342C" w:rsidP="00736130">
      <w:pPr>
        <w:pStyle w:val="a4"/>
        <w:numPr>
          <w:ilvl w:val="0"/>
          <w:numId w:val="524"/>
        </w:numPr>
        <w:ind w:leftChars="0" w:left="738" w:hanging="454"/>
      </w:pPr>
      <w:r w:rsidRPr="00BC31E0">
        <w:rPr>
          <w:rFonts w:hint="eastAsia"/>
        </w:rPr>
        <w:t>サポート，ラグ，ブラケット，スティフナーなど</w:t>
      </w:r>
      <w:r w:rsidR="00586AE8" w:rsidRPr="00BC31E0">
        <w:rPr>
          <w:rFonts w:hint="eastAsia"/>
        </w:rPr>
        <w:t>の非耐圧部材を耐圧部に取付ける時は，</w:t>
      </w:r>
      <w:r w:rsidR="00DC160D" w:rsidRPr="00BC31E0">
        <w:rPr>
          <w:rFonts w:hint="eastAsia"/>
        </w:rPr>
        <w:t>全</w:t>
      </w:r>
      <w:r w:rsidR="00586AE8" w:rsidRPr="00BC31E0">
        <w:rPr>
          <w:rFonts w:hint="eastAsia"/>
        </w:rPr>
        <w:t>ての溶接部を磁紛探傷試験又は浸透探傷試験を行う。</w:t>
      </w:r>
    </w:p>
    <w:p w14:paraId="1348A1D7" w14:textId="77777777" w:rsidR="00586AE8" w:rsidRPr="00BC31E0" w:rsidRDefault="00586AE8" w:rsidP="00736130">
      <w:pPr>
        <w:pStyle w:val="a4"/>
        <w:numPr>
          <w:ilvl w:val="0"/>
          <w:numId w:val="524"/>
        </w:numPr>
        <w:ind w:leftChars="0" w:left="738" w:hanging="454"/>
      </w:pPr>
      <w:r w:rsidRPr="00BC31E0">
        <w:rPr>
          <w:rFonts w:hint="eastAsia"/>
        </w:rPr>
        <w:t>単胴と多層部の溶接で厚さ変化分を溶接肉盛によってスムーズにする場合には，溶接肉盛部分は</w:t>
      </w:r>
      <w:r w:rsidRPr="00BC31E0">
        <w:t>100%</w:t>
      </w:r>
      <w:r w:rsidRPr="00BC31E0">
        <w:rPr>
          <w:rFonts w:hint="eastAsia"/>
        </w:rPr>
        <w:t>磁紛探傷試験又は浸透探傷試験を行う。溶接肉盛が放射線透過試験又は超音波探傷試験を必要とする継手に使われている時は，溶接肉盛部分も同じ試験の対象としなければならない。</w:t>
      </w:r>
    </w:p>
    <w:p w14:paraId="647574A5" w14:textId="77777777" w:rsidR="00586AE8" w:rsidRPr="00BC31E0" w:rsidRDefault="00586AE8" w:rsidP="00736130">
      <w:pPr>
        <w:pStyle w:val="a4"/>
        <w:numPr>
          <w:ilvl w:val="0"/>
          <w:numId w:val="489"/>
        </w:numPr>
        <w:ind w:leftChars="0" w:left="454" w:hanging="454"/>
      </w:pPr>
      <w:r w:rsidRPr="00BC31E0">
        <w:rPr>
          <w:rFonts w:asciiTheme="majorEastAsia" w:eastAsiaTheme="majorEastAsia" w:hAnsiTheme="majorEastAsia" w:hint="eastAsia"/>
          <w:b/>
        </w:rPr>
        <w:t>部分試験と溶接の補修</w:t>
      </w:r>
      <w:r w:rsidRPr="00BC31E0">
        <w:rPr>
          <w:rFonts w:hint="eastAsia"/>
        </w:rPr>
        <w:t xml:space="preserve">　</w:t>
      </w:r>
      <w:r w:rsidRPr="00BC31E0">
        <w:rPr>
          <w:rFonts w:hAnsi="ＭＳ 明朝" w:hint="eastAsia"/>
        </w:rPr>
        <w:t>部分試験と溶接の補修は，次の</w:t>
      </w:r>
      <w:r w:rsidRPr="00BC31E0">
        <w:rPr>
          <w:rFonts w:asciiTheme="majorEastAsia" w:eastAsiaTheme="majorEastAsia" w:hAnsiTheme="majorEastAsia" w:hint="eastAsia"/>
          <w:b/>
        </w:rPr>
        <w:t>1)</w:t>
      </w:r>
      <w:r w:rsidRPr="00BC31E0">
        <w:rPr>
          <w:rFonts w:hAnsi="ＭＳ 明朝" w:hint="eastAsia"/>
        </w:rPr>
        <w:t>～</w:t>
      </w:r>
      <w:r w:rsidRPr="00BC31E0">
        <w:rPr>
          <w:rFonts w:asciiTheme="majorEastAsia" w:eastAsiaTheme="majorEastAsia" w:hAnsiTheme="majorEastAsia" w:hint="eastAsia"/>
          <w:b/>
        </w:rPr>
        <w:t xml:space="preserve">4) </w:t>
      </w:r>
      <w:r w:rsidRPr="00BC31E0">
        <w:rPr>
          <w:rFonts w:hAnsi="ＭＳ 明朝" w:hint="eastAsia"/>
        </w:rPr>
        <w:t>による。</w:t>
      </w:r>
    </w:p>
    <w:p w14:paraId="0908B8FC" w14:textId="77777777" w:rsidR="00CA7117" w:rsidRPr="00BC31E0" w:rsidRDefault="00586AE8" w:rsidP="00736130">
      <w:pPr>
        <w:pStyle w:val="a4"/>
        <w:numPr>
          <w:ilvl w:val="0"/>
          <w:numId w:val="525"/>
        </w:numPr>
        <w:ind w:leftChars="0" w:left="738" w:hanging="454"/>
      </w:pPr>
      <w:r w:rsidRPr="00BC31E0">
        <w:rPr>
          <w:rFonts w:hint="eastAsia"/>
        </w:rPr>
        <w:lastRenderedPageBreak/>
        <w:t>試験比率が</w:t>
      </w:r>
      <w:r w:rsidRPr="00BC31E0">
        <w:t>100%</w:t>
      </w:r>
      <w:r w:rsidRPr="00BC31E0">
        <w:rPr>
          <w:rFonts w:hint="eastAsia"/>
        </w:rPr>
        <w:t>でない場合には，試験個所は検査員が指定し，一箇所の最小長さは</w:t>
      </w:r>
      <w:r w:rsidRPr="00BC31E0">
        <w:t>150 mm</w:t>
      </w:r>
      <w:r w:rsidRPr="00BC31E0">
        <w:rPr>
          <w:rFonts w:hint="eastAsia"/>
        </w:rPr>
        <w:t>とする。</w:t>
      </w:r>
    </w:p>
    <w:p w14:paraId="2EAD4343" w14:textId="77777777" w:rsidR="00CA7117" w:rsidRPr="00BC31E0" w:rsidRDefault="00586AE8" w:rsidP="00736130">
      <w:pPr>
        <w:pStyle w:val="a4"/>
        <w:numPr>
          <w:ilvl w:val="0"/>
          <w:numId w:val="525"/>
        </w:numPr>
        <w:ind w:leftChars="0" w:left="738" w:hanging="454"/>
      </w:pPr>
      <w:r w:rsidRPr="00BC31E0">
        <w:rPr>
          <w:rFonts w:hint="eastAsia"/>
        </w:rPr>
        <w:t>選択した場所が不合格になった時は最初に選択した場所から離れた他の</w:t>
      </w:r>
      <w:r w:rsidRPr="00BC31E0">
        <w:t>2</w:t>
      </w:r>
      <w:r w:rsidRPr="00BC31E0">
        <w:rPr>
          <w:rFonts w:hint="eastAsia"/>
        </w:rPr>
        <w:t>箇所をランダムに選ぶ。</w:t>
      </w:r>
    </w:p>
    <w:p w14:paraId="47FA1F28" w14:textId="77777777" w:rsidR="00CA7117" w:rsidRPr="00BC31E0" w:rsidRDefault="00586AE8" w:rsidP="00736130">
      <w:pPr>
        <w:pStyle w:val="a4"/>
        <w:numPr>
          <w:ilvl w:val="0"/>
          <w:numId w:val="525"/>
        </w:numPr>
        <w:ind w:leftChars="0" w:left="738" w:hanging="454"/>
      </w:pPr>
      <w:r w:rsidRPr="00BC31E0">
        <w:rPr>
          <w:rFonts w:hint="eastAsia"/>
        </w:rPr>
        <w:t>この</w:t>
      </w:r>
      <w:r w:rsidRPr="00BC31E0">
        <w:t>2</w:t>
      </w:r>
      <w:r w:rsidRPr="00BC31E0">
        <w:rPr>
          <w:rFonts w:hint="eastAsia"/>
        </w:rPr>
        <w:t>箇所のうちどちらかが不合格の</w:t>
      </w:r>
      <w:r w:rsidR="00A84424" w:rsidRPr="00BC31E0">
        <w:rPr>
          <w:rFonts w:hint="eastAsia"/>
        </w:rPr>
        <w:t>とき</w:t>
      </w:r>
      <w:r w:rsidRPr="00BC31E0">
        <w:rPr>
          <w:rFonts w:hint="eastAsia"/>
        </w:rPr>
        <w:t>は，その溶接線全体を不合格とする。この場合，溶接を</w:t>
      </w:r>
      <w:r w:rsidR="00DC160D" w:rsidRPr="00BC31E0">
        <w:rPr>
          <w:rFonts w:hint="eastAsia"/>
        </w:rPr>
        <w:t>全</w:t>
      </w:r>
      <w:r w:rsidRPr="00BC31E0">
        <w:rPr>
          <w:rFonts w:hint="eastAsia"/>
        </w:rPr>
        <w:t>てやり直すか，全線検査を行い欠陥部だけを補修する。</w:t>
      </w:r>
    </w:p>
    <w:p w14:paraId="618A15C0" w14:textId="77777777" w:rsidR="00586AE8" w:rsidRPr="00BC31E0" w:rsidRDefault="00586AE8" w:rsidP="00736130">
      <w:pPr>
        <w:pStyle w:val="a4"/>
        <w:numPr>
          <w:ilvl w:val="0"/>
          <w:numId w:val="525"/>
        </w:numPr>
        <w:ind w:leftChars="0" w:left="738" w:hanging="454"/>
      </w:pPr>
      <w:r w:rsidRPr="00BC31E0">
        <w:rPr>
          <w:rFonts w:hint="eastAsia"/>
        </w:rPr>
        <w:t>補修溶接は溶接手順試験で合格した方法で行う。補修溶接個所は再度</w:t>
      </w:r>
      <w:r w:rsidRPr="00BC31E0">
        <w:rPr>
          <w:rFonts w:asciiTheme="majorEastAsia" w:eastAsiaTheme="majorEastAsia" w:hAnsiTheme="majorEastAsia" w:hint="eastAsia"/>
          <w:b/>
        </w:rPr>
        <w:t>1)</w:t>
      </w:r>
      <w:r w:rsidRPr="00BC31E0">
        <w:rPr>
          <w:rFonts w:hint="eastAsia"/>
        </w:rPr>
        <w:t>～</w:t>
      </w:r>
      <w:r w:rsidRPr="00BC31E0">
        <w:rPr>
          <w:rFonts w:asciiTheme="majorEastAsia" w:eastAsiaTheme="majorEastAsia" w:hAnsiTheme="majorEastAsia" w:hint="eastAsia"/>
          <w:b/>
        </w:rPr>
        <w:t>3)</w:t>
      </w:r>
      <w:r w:rsidRPr="00BC31E0">
        <w:rPr>
          <w:rFonts w:hint="eastAsia"/>
        </w:rPr>
        <w:t>に述べた試験を行う。</w:t>
      </w:r>
    </w:p>
    <w:p w14:paraId="097146E3" w14:textId="77777777" w:rsidR="00586AE8" w:rsidRPr="00BC31E0" w:rsidRDefault="00586AE8" w:rsidP="00736130">
      <w:pPr>
        <w:pStyle w:val="a4"/>
        <w:numPr>
          <w:ilvl w:val="0"/>
          <w:numId w:val="489"/>
        </w:numPr>
        <w:ind w:leftChars="0" w:left="454" w:hanging="454"/>
      </w:pPr>
      <w:r w:rsidRPr="00BC31E0">
        <w:rPr>
          <w:rFonts w:asciiTheme="majorEastAsia" w:eastAsiaTheme="majorEastAsia" w:hAnsiTheme="majorEastAsia" w:hint="eastAsia"/>
          <w:b/>
        </w:rPr>
        <w:t>層間の隙間</w:t>
      </w:r>
      <w:r w:rsidRPr="00BC31E0">
        <w:rPr>
          <w:rFonts w:hint="eastAsia"/>
        </w:rPr>
        <w:t xml:space="preserve">　</w:t>
      </w:r>
      <w:r w:rsidRPr="00BC31E0">
        <w:rPr>
          <w:rFonts w:hAnsi="ＭＳ 明朝" w:hint="eastAsia"/>
        </w:rPr>
        <w:t>層間の隙間は，次の</w:t>
      </w:r>
      <w:r w:rsidRPr="00BC31E0">
        <w:rPr>
          <w:rFonts w:asciiTheme="majorEastAsia" w:eastAsiaTheme="majorEastAsia" w:hAnsiTheme="majorEastAsia" w:hint="eastAsia"/>
          <w:b/>
        </w:rPr>
        <w:t>1)</w:t>
      </w:r>
      <w:r w:rsidRPr="00BC31E0">
        <w:rPr>
          <w:rFonts w:hAnsi="ＭＳ 明朝" w:hint="eastAsia"/>
        </w:rPr>
        <w:t>，</w:t>
      </w:r>
      <w:r w:rsidRPr="00BC31E0">
        <w:rPr>
          <w:rFonts w:asciiTheme="majorEastAsia" w:eastAsiaTheme="majorEastAsia" w:hAnsiTheme="majorEastAsia" w:hint="eastAsia"/>
          <w:b/>
        </w:rPr>
        <w:t>2)</w:t>
      </w:r>
      <w:r w:rsidRPr="00BC31E0">
        <w:rPr>
          <w:rFonts w:hAnsi="ＭＳ 明朝" w:hint="eastAsia"/>
        </w:rPr>
        <w:t>による。</w:t>
      </w:r>
    </w:p>
    <w:p w14:paraId="59B927AA" w14:textId="77777777" w:rsidR="008C5754" w:rsidRPr="00BC31E0" w:rsidRDefault="00586AE8" w:rsidP="00736130">
      <w:pPr>
        <w:pStyle w:val="a4"/>
        <w:numPr>
          <w:ilvl w:val="0"/>
          <w:numId w:val="526"/>
        </w:numPr>
        <w:ind w:leftChars="0" w:left="738" w:hanging="454"/>
      </w:pPr>
      <w:r w:rsidRPr="00BC31E0">
        <w:rPr>
          <w:rFonts w:hint="eastAsia"/>
        </w:rPr>
        <w:t>周溶接の前に層間の隙間を測る。</w:t>
      </w:r>
      <w:r w:rsidRPr="00BC31E0">
        <w:t>0.25 mm</w:t>
      </w:r>
      <w:r w:rsidRPr="00BC31E0">
        <w:rPr>
          <w:rFonts w:hint="eastAsia"/>
        </w:rPr>
        <w:t>未満の隙間は無視する。面積は</w:t>
      </w:r>
      <w:r w:rsidRPr="00BC31E0">
        <w:rPr>
          <w:rFonts w:asciiTheme="majorEastAsia" w:eastAsiaTheme="majorEastAsia" w:hAnsiTheme="majorEastAsia" w:hint="eastAsia"/>
          <w:b/>
          <w:bCs/>
        </w:rPr>
        <w:t>図7.8.5</w:t>
      </w:r>
      <w:r w:rsidR="008F0D17" w:rsidRPr="00BC31E0">
        <w:rPr>
          <w:rFonts w:hint="eastAsia"/>
        </w:rPr>
        <w:t>に従って</w:t>
      </w:r>
      <w:r w:rsidRPr="00BC31E0">
        <w:rPr>
          <w:rFonts w:hint="eastAsia"/>
        </w:rPr>
        <w:t>計算する。</w:t>
      </w:r>
    </w:p>
    <w:p w14:paraId="2F337D40" w14:textId="77777777" w:rsidR="00586AE8" w:rsidRPr="00BC31E0" w:rsidRDefault="00586AE8" w:rsidP="00736130">
      <w:pPr>
        <w:pStyle w:val="a4"/>
        <w:numPr>
          <w:ilvl w:val="0"/>
          <w:numId w:val="526"/>
        </w:numPr>
        <w:ind w:leftChars="0" w:left="738" w:hanging="454"/>
      </w:pPr>
      <w:r w:rsidRPr="00BC31E0">
        <w:rPr>
          <w:rFonts w:hint="eastAsia"/>
        </w:rPr>
        <w:t>許容される隙間の最大値は，次の</w:t>
      </w:r>
      <w:r w:rsidRPr="00BC31E0">
        <w:rPr>
          <w:rFonts w:asciiTheme="majorEastAsia" w:eastAsiaTheme="majorEastAsia" w:hAnsiTheme="majorEastAsia" w:hint="eastAsia"/>
          <w:b/>
        </w:rPr>
        <w:t>2.1)</w:t>
      </w:r>
      <w:r w:rsidRPr="00BC31E0">
        <w:rPr>
          <w:rFonts w:hint="eastAsia"/>
        </w:rPr>
        <w:t>～</w:t>
      </w:r>
      <w:r w:rsidRPr="00BC31E0">
        <w:rPr>
          <w:rFonts w:asciiTheme="majorEastAsia" w:eastAsiaTheme="majorEastAsia" w:hAnsiTheme="majorEastAsia" w:hint="eastAsia"/>
          <w:b/>
        </w:rPr>
        <w:t>2.5)</w:t>
      </w:r>
      <w:r w:rsidRPr="00BC31E0">
        <w:rPr>
          <w:rFonts w:hint="eastAsia"/>
        </w:rPr>
        <w:t>により決定する。</w:t>
      </w:r>
    </w:p>
    <w:p w14:paraId="6558C794" w14:textId="77777777" w:rsidR="00586AE8" w:rsidRPr="00BC31E0" w:rsidRDefault="00586AE8" w:rsidP="00736130">
      <w:pPr>
        <w:pStyle w:val="a4"/>
        <w:numPr>
          <w:ilvl w:val="0"/>
          <w:numId w:val="342"/>
        </w:numPr>
        <w:ind w:leftChars="0" w:left="1134" w:hanging="567"/>
      </w:pPr>
      <w:r w:rsidRPr="00BC31E0">
        <w:rPr>
          <w:rFonts w:hint="eastAsia"/>
        </w:rPr>
        <w:t>隙間の最大値は，変動応力の繰返し回数によって下記のように評価する。その最大値は</w:t>
      </w:r>
      <w:r w:rsidRPr="00BC31E0">
        <w:rPr>
          <w:rFonts w:asciiTheme="minorHAnsi" w:hAnsiTheme="minorHAnsi"/>
        </w:rPr>
        <w:t>5mm</w:t>
      </w:r>
      <w:r w:rsidRPr="00BC31E0">
        <w:rPr>
          <w:rFonts w:hint="eastAsia"/>
        </w:rPr>
        <w:t>以下とする。</w:t>
      </w:r>
    </w:p>
    <w:p w14:paraId="19ED75F9" w14:textId="77777777" w:rsidR="00586AE8" w:rsidRPr="00BC31E0" w:rsidRDefault="00586AE8" w:rsidP="002763F6">
      <w:pPr>
        <w:spacing w:after="120"/>
        <w:ind w:left="1134"/>
        <w:jc w:val="left"/>
        <w:rPr>
          <w:rFonts w:asciiTheme="minorEastAsia" w:eastAsiaTheme="minorEastAsia" w:hAnsiTheme="minorEastAsia"/>
        </w:rPr>
      </w:pPr>
      <w:r w:rsidRPr="00BC31E0">
        <w:rPr>
          <w:rFonts w:asciiTheme="minorEastAsia" w:eastAsiaTheme="minorEastAsia" w:hAnsiTheme="minorEastAsia" w:hint="eastAsia"/>
        </w:rPr>
        <w:t>多層胴の内圧及び層間の最大隙間による応力を計算する。</w:t>
      </w:r>
    </w:p>
    <w:tbl>
      <w:tblPr>
        <w:tblStyle w:val="151"/>
        <w:tblW w:w="6520" w:type="dxa"/>
        <w:tblInd w:w="2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2"/>
        <w:gridCol w:w="3608"/>
      </w:tblGrid>
      <w:tr w:rsidR="00586AE8" w:rsidRPr="00BC31E0" w14:paraId="2ECDD056" w14:textId="77777777" w:rsidTr="00B83BE8">
        <w:tc>
          <w:tcPr>
            <w:tcW w:w="0" w:type="auto"/>
            <w:tcMar>
              <w:left w:w="0" w:type="dxa"/>
              <w:right w:w="0" w:type="dxa"/>
            </w:tcMar>
            <w:vAlign w:val="center"/>
          </w:tcPr>
          <w:p w14:paraId="45D398F0" w14:textId="77777777" w:rsidR="00586AE8" w:rsidRPr="00BC31E0" w:rsidRDefault="00A51873" w:rsidP="00586AE8">
            <w:pPr>
              <w:tabs>
                <w:tab w:val="left" w:pos="2552"/>
                <w:tab w:val="left" w:leader="middleDot" w:pos="8222"/>
              </w:tabs>
              <w:rPr>
                <w:rFonts w:ascii="ＭＳ ゴシック" w:eastAsia="ＭＳ ゴシック"/>
              </w:rPr>
            </w:pPr>
            <m:oMathPara>
              <m:oMathParaPr>
                <m:jc m:val="left"/>
              </m:oMathParaPr>
              <m:oMath>
                <m:sSub>
                  <m:sSubPr>
                    <m:ctrlPr>
                      <w:rPr>
                        <w:rFonts w:ascii="Cambria Math" w:hAnsi="Cambria Math"/>
                        <w:i/>
                      </w:rPr>
                    </m:ctrlPr>
                  </m:sSubPr>
                  <m:e>
                    <m:r>
                      <w:rPr>
                        <w:rFonts w:ascii="Cambria Math" w:hAnsi="Cambria Math"/>
                      </w:rPr>
                      <m:t>σ</m:t>
                    </m:r>
                  </m:e>
                  <m:sub>
                    <m:r>
                      <w:rPr>
                        <w:rFonts w:ascii="Cambria Math" w:hAnsi="Cambria Math"/>
                      </w:rPr>
                      <m:t>l</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R</m:t>
                                </m:r>
                              </m:e>
                              <m:sub>
                                <m:r>
                                  <w:rPr>
                                    <w:rFonts w:ascii="Cambria Math" w:hAnsi="Cambria Math"/>
                                  </w:rPr>
                                  <m:t>O</m:t>
                                </m:r>
                              </m:sub>
                            </m:sSub>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R</m:t>
                                </m:r>
                              </m:e>
                              <m:sub>
                                <m:r>
                                  <w:rPr>
                                    <w:rFonts w:ascii="Cambria Math" w:hAnsi="Cambria Math"/>
                                  </w:rPr>
                                  <m:t>I</m:t>
                                </m:r>
                              </m:sub>
                            </m:sSub>
                          </m:e>
                          <m:sup>
                            <m:r>
                              <w:rPr>
                                <w:rFonts w:ascii="Cambria Math" w:hAnsi="Cambria Math"/>
                              </w:rPr>
                              <m:t>2</m:t>
                            </m:r>
                          </m:sup>
                        </m:sSup>
                      </m:num>
                      <m:den>
                        <m:sSup>
                          <m:sSupPr>
                            <m:ctrlPr>
                              <w:rPr>
                                <w:rFonts w:ascii="Cambria Math" w:hAnsi="Cambria Math"/>
                                <w:i/>
                              </w:rPr>
                            </m:ctrlPr>
                          </m:sSupPr>
                          <m:e>
                            <m:sSub>
                              <m:sSubPr>
                                <m:ctrlPr>
                                  <w:rPr>
                                    <w:rFonts w:ascii="Cambria Math" w:hAnsi="Cambria Math"/>
                                    <w:i/>
                                  </w:rPr>
                                </m:ctrlPr>
                              </m:sSubPr>
                              <m:e>
                                <m:r>
                                  <w:rPr>
                                    <w:rFonts w:ascii="Cambria Math" w:hAnsi="Cambria Math"/>
                                  </w:rPr>
                                  <m:t>R</m:t>
                                </m:r>
                              </m:e>
                              <m:sub>
                                <m:r>
                                  <w:rPr>
                                    <w:rFonts w:ascii="Cambria Math" w:hAnsi="Cambria Math"/>
                                  </w:rPr>
                                  <m:t>O</m:t>
                                </m:r>
                              </m:sub>
                            </m:sSub>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R</m:t>
                                </m:r>
                              </m:e>
                              <m:sub>
                                <m:r>
                                  <w:rPr>
                                    <w:rFonts w:ascii="Cambria Math" w:hAnsi="Cambria Math"/>
                                  </w:rPr>
                                  <m:t>I</m:t>
                                </m:r>
                              </m:sub>
                            </m:sSub>
                          </m:e>
                          <m:sup>
                            <m:r>
                              <w:rPr>
                                <w:rFonts w:ascii="Cambria Math" w:hAnsi="Cambria Math"/>
                              </w:rPr>
                              <m:t>2</m:t>
                            </m:r>
                          </m:sup>
                        </m:sSup>
                      </m:den>
                    </m:f>
                  </m:e>
                </m:d>
                <m:r>
                  <w:rPr>
                    <w:rFonts w:ascii="Cambria Math" w:hAnsi="Cambria Math"/>
                  </w:rPr>
                  <m:t>P+</m:t>
                </m:r>
                <m:f>
                  <m:fPr>
                    <m:ctrlPr>
                      <w:rPr>
                        <w:rFonts w:ascii="Cambria Math" w:hAnsi="Cambria Math"/>
                        <w:i/>
                      </w:rPr>
                    </m:ctrlPr>
                  </m:fPr>
                  <m:num>
                    <m:r>
                      <w:rPr>
                        <w:rFonts w:ascii="Cambria Math" w:hAnsi="Cambria Math"/>
                      </w:rPr>
                      <m:t>1.812Eh</m:t>
                    </m:r>
                  </m:num>
                  <m:den>
                    <m:sSub>
                      <m:sSubPr>
                        <m:ctrlPr>
                          <w:rPr>
                            <w:rFonts w:ascii="Cambria Math" w:hAnsi="Cambria Math"/>
                            <w:i/>
                          </w:rPr>
                        </m:ctrlPr>
                      </m:sSubPr>
                      <m:e>
                        <m:r>
                          <w:rPr>
                            <w:rFonts w:ascii="Cambria Math" w:hAnsi="Cambria Math"/>
                          </w:rPr>
                          <m:t>R</m:t>
                        </m:r>
                      </m:e>
                      <m:sub>
                        <m:r>
                          <w:rPr>
                            <w:rFonts w:ascii="Cambria Math" w:hAnsi="Cambria Math"/>
                          </w:rPr>
                          <m:t>g</m:t>
                        </m:r>
                      </m:sub>
                    </m:sSub>
                  </m:den>
                </m:f>
              </m:oMath>
            </m:oMathPara>
          </w:p>
        </w:tc>
        <w:tc>
          <w:tcPr>
            <w:tcW w:w="3608" w:type="dxa"/>
            <w:tcMar>
              <w:left w:w="0" w:type="dxa"/>
              <w:right w:w="0" w:type="dxa"/>
            </w:tcMar>
            <w:vAlign w:val="center"/>
          </w:tcPr>
          <w:p w14:paraId="619F13F7" w14:textId="77777777" w:rsidR="00586AE8" w:rsidRPr="00BC31E0" w:rsidRDefault="00586AE8" w:rsidP="00B83BE8">
            <w:pPr>
              <w:tabs>
                <w:tab w:val="left" w:leader="middleDot" w:pos="2758"/>
              </w:tabs>
              <w:jc w:val="left"/>
            </w:pPr>
            <w:r w:rsidRPr="00BC31E0">
              <w:tab/>
            </w:r>
            <w:r w:rsidRPr="00BC31E0">
              <w:rPr>
                <w:rFonts w:hint="eastAsia"/>
              </w:rPr>
              <w:t>(7.8.1)</w:t>
            </w:r>
          </w:p>
        </w:tc>
      </w:tr>
    </w:tbl>
    <w:p w14:paraId="28BE3269" w14:textId="77777777" w:rsidR="00586AE8" w:rsidRPr="00BC31E0" w:rsidRDefault="00586AE8" w:rsidP="002763F6">
      <w:pPr>
        <w:spacing w:line="120" w:lineRule="exact"/>
      </w:pPr>
    </w:p>
    <w:tbl>
      <w:tblPr>
        <w:tblStyle w:val="151"/>
        <w:tblW w:w="6520" w:type="dxa"/>
        <w:tblInd w:w="2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8"/>
        <w:gridCol w:w="5752"/>
      </w:tblGrid>
      <w:tr w:rsidR="002763F6" w:rsidRPr="00BC31E0" w14:paraId="3C4C9CD3" w14:textId="77777777" w:rsidTr="00B83BE8">
        <w:tc>
          <w:tcPr>
            <w:tcW w:w="0" w:type="auto"/>
            <w:tcMar>
              <w:left w:w="0" w:type="dxa"/>
              <w:right w:w="0" w:type="dxa"/>
            </w:tcMar>
            <w:vAlign w:val="center"/>
          </w:tcPr>
          <w:p w14:paraId="23A09E58" w14:textId="77777777" w:rsidR="002763F6" w:rsidRPr="00BC31E0" w:rsidRDefault="00A51873" w:rsidP="002763F6">
            <w:pPr>
              <w:tabs>
                <w:tab w:val="left" w:pos="2552"/>
                <w:tab w:val="left" w:leader="middleDot" w:pos="8222"/>
              </w:tabs>
              <w:rPr>
                <w:rFonts w:asciiTheme="minorEastAsia" w:eastAsiaTheme="minorEastAsia" w:hAnsiTheme="minorEastAsia"/>
                <w:b/>
              </w:rPr>
            </w:pPr>
            <m:oMathPara>
              <m:oMathParaPr>
                <m:jc m:val="left"/>
              </m:oMathParaPr>
              <m:oMath>
                <m:sSub>
                  <m:sSubPr>
                    <m:ctrlPr>
                      <w:rPr>
                        <w:rFonts w:ascii="Cambria Math" w:hAnsi="Cambria Math"/>
                        <w:i/>
                      </w:rPr>
                    </m:ctrlPr>
                  </m:sSubPr>
                  <m:e>
                    <m:r>
                      <w:rPr>
                        <w:rFonts w:ascii="Cambria Math" w:hAnsi="Cambria Math"/>
                      </w:rPr>
                      <m:t>σ</m:t>
                    </m:r>
                  </m:e>
                  <m:sub>
                    <m:r>
                      <w:rPr>
                        <w:rFonts w:ascii="Cambria Math" w:hAnsi="Cambria Math"/>
                      </w:rPr>
                      <m:t>r</m:t>
                    </m:r>
                  </m:sub>
                </m:sSub>
                <m:r>
                  <w:rPr>
                    <w:rFonts w:ascii="Cambria Math" w:hAnsi="Cambria Math"/>
                  </w:rPr>
                  <m:t>=-P</m:t>
                </m:r>
              </m:oMath>
            </m:oMathPara>
          </w:p>
        </w:tc>
        <w:tc>
          <w:tcPr>
            <w:tcW w:w="5752" w:type="dxa"/>
            <w:tcMar>
              <w:left w:w="0" w:type="dxa"/>
              <w:right w:w="0" w:type="dxa"/>
            </w:tcMar>
            <w:vAlign w:val="center"/>
          </w:tcPr>
          <w:p w14:paraId="63E75249" w14:textId="77777777" w:rsidR="002763F6" w:rsidRPr="00BC31E0" w:rsidRDefault="008C7D7F" w:rsidP="008C7D7F">
            <w:pPr>
              <w:tabs>
                <w:tab w:val="left" w:leader="middleDot" w:pos="4902"/>
              </w:tabs>
              <w:ind w:firstLineChars="200" w:firstLine="420"/>
              <w:jc w:val="left"/>
            </w:pPr>
            <w:r w:rsidRPr="00BC31E0">
              <w:rPr>
                <w:rFonts w:asciiTheme="minorHAnsi" w:eastAsiaTheme="minorEastAsia" w:hAnsiTheme="minorHAnsi"/>
              </w:rPr>
              <w:t>(</w:t>
            </w:r>
            <w:r w:rsidRPr="00BC31E0">
              <w:rPr>
                <w:rFonts w:asciiTheme="minorHAnsi" w:eastAsiaTheme="minorEastAsia" w:hAnsiTheme="minorEastAsia"/>
              </w:rPr>
              <w:t>最内層以外は</w:t>
            </w:r>
            <w:r w:rsidRPr="00BC31E0">
              <w:rPr>
                <w:rFonts w:asciiTheme="minorHAnsi" w:eastAsiaTheme="minorEastAsia" w:hAnsiTheme="minorHAnsi"/>
              </w:rPr>
              <w:t xml:space="preserve">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r</m:t>
                  </m:r>
                </m:sub>
              </m:sSub>
              <m:r>
                <w:rPr>
                  <w:rFonts w:ascii="Cambria Math" w:eastAsiaTheme="minorEastAsia" w:hAnsiTheme="minorHAnsi"/>
                </w:rPr>
                <m:t>=0</m:t>
              </m:r>
            </m:oMath>
            <w:r w:rsidRPr="00BC31E0">
              <w:rPr>
                <w:rFonts w:asciiTheme="minorHAnsi" w:eastAsiaTheme="minorEastAsia" w:hAnsiTheme="minorEastAsia"/>
              </w:rPr>
              <w:t>とする。</w:t>
            </w:r>
            <w:r w:rsidRPr="00BC31E0">
              <w:rPr>
                <w:rFonts w:asciiTheme="minorHAnsi" w:eastAsiaTheme="minorEastAsia" w:hAnsiTheme="minorHAnsi"/>
              </w:rPr>
              <w:t>)</w:t>
            </w:r>
            <w:r w:rsidRPr="00BC31E0">
              <w:rPr>
                <w:rFonts w:asciiTheme="minorHAnsi" w:eastAsiaTheme="minorEastAsia" w:hAnsiTheme="minorHAnsi" w:hint="eastAsia"/>
              </w:rPr>
              <w:tab/>
            </w:r>
            <w:r w:rsidR="002763F6" w:rsidRPr="00BC31E0">
              <w:rPr>
                <w:rFonts w:hint="eastAsia"/>
              </w:rPr>
              <w:t>(7.8.2)</w:t>
            </w:r>
          </w:p>
        </w:tc>
      </w:tr>
    </w:tbl>
    <w:p w14:paraId="6229307A" w14:textId="77777777" w:rsidR="002763F6" w:rsidRPr="00BC31E0" w:rsidRDefault="002763F6" w:rsidP="008C7D7F">
      <w:pPr>
        <w:spacing w:line="120" w:lineRule="exact"/>
      </w:pPr>
    </w:p>
    <w:tbl>
      <w:tblPr>
        <w:tblStyle w:val="151"/>
        <w:tblW w:w="6520" w:type="dxa"/>
        <w:tblInd w:w="2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2"/>
        <w:gridCol w:w="4998"/>
      </w:tblGrid>
      <w:tr w:rsidR="002763F6" w:rsidRPr="00BC31E0" w14:paraId="71098280" w14:textId="77777777" w:rsidTr="00B83BE8">
        <w:tc>
          <w:tcPr>
            <w:tcW w:w="0" w:type="auto"/>
            <w:tcMar>
              <w:left w:w="0" w:type="dxa"/>
              <w:right w:w="0" w:type="dxa"/>
            </w:tcMar>
            <w:vAlign w:val="center"/>
          </w:tcPr>
          <w:p w14:paraId="6135B2C0" w14:textId="77777777" w:rsidR="002763F6" w:rsidRPr="00BC31E0" w:rsidRDefault="00A51873" w:rsidP="002763F6">
            <w:pPr>
              <w:tabs>
                <w:tab w:val="left" w:pos="2552"/>
                <w:tab w:val="left" w:leader="middleDot" w:pos="8222"/>
              </w:tabs>
              <w:rPr>
                <w:rFonts w:asciiTheme="minorEastAsia" w:eastAsiaTheme="minorEastAsia" w:hAnsi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t</m:t>
                    </m:r>
                  </m:sub>
                </m:sSub>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O</m:t>
                            </m:r>
                          </m:sub>
                        </m:sSub>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e>
                      <m:sup>
                        <m:r>
                          <w:rPr>
                            <w:rFonts w:ascii="Cambria Math" w:eastAsiaTheme="minorEastAsia" w:hAnsi="Cambria Math"/>
                          </w:rPr>
                          <m:t>2</m:t>
                        </m:r>
                      </m:sup>
                    </m:sSup>
                  </m:num>
                  <m:den>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O</m:t>
                            </m:r>
                          </m:sub>
                        </m:sSub>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e>
                      <m:sup>
                        <m:r>
                          <w:rPr>
                            <w:rFonts w:ascii="Cambria Math" w:eastAsiaTheme="minorEastAsia" w:hAnsi="Cambria Math"/>
                          </w:rPr>
                          <m:t>2</m:t>
                        </m:r>
                      </m:sup>
                    </m:sSup>
                  </m:den>
                </m:f>
                <m:r>
                  <w:rPr>
                    <w:rFonts w:ascii="Cambria Math" w:eastAsiaTheme="minorEastAsia" w:hAnsi="Cambria Math"/>
                  </w:rPr>
                  <m:t>P</m:t>
                </m:r>
              </m:oMath>
            </m:oMathPara>
          </w:p>
        </w:tc>
        <w:tc>
          <w:tcPr>
            <w:tcW w:w="4998" w:type="dxa"/>
            <w:tcMar>
              <w:left w:w="0" w:type="dxa"/>
              <w:right w:w="0" w:type="dxa"/>
            </w:tcMar>
            <w:vAlign w:val="center"/>
          </w:tcPr>
          <w:p w14:paraId="6417684F" w14:textId="77777777" w:rsidR="002763F6" w:rsidRPr="00BC31E0" w:rsidRDefault="002763F6" w:rsidP="00B83BE8">
            <w:pPr>
              <w:tabs>
                <w:tab w:val="left" w:leader="middleDot" w:pos="4148"/>
              </w:tabs>
            </w:pPr>
            <w:r w:rsidRPr="00BC31E0">
              <w:tab/>
            </w:r>
            <w:r w:rsidRPr="00BC31E0">
              <w:rPr>
                <w:rFonts w:hint="eastAsia"/>
              </w:rPr>
              <w:t>(7.8.3)</w:t>
            </w:r>
          </w:p>
        </w:tc>
      </w:tr>
    </w:tbl>
    <w:p w14:paraId="14E0669B" w14:textId="77777777" w:rsidR="002763F6" w:rsidRPr="00BC31E0" w:rsidRDefault="002763F6" w:rsidP="00B83BE8">
      <w:pPr>
        <w:spacing w:before="120" w:after="120"/>
        <w:ind w:left="1134"/>
      </w:pPr>
      <w:r w:rsidRPr="00BC31E0">
        <w:rPr>
          <w:rFonts w:asciiTheme="minorEastAsia" w:eastAsiaTheme="minorEastAsia" w:hAnsiTheme="minorEastAsia" w:hint="eastAsia"/>
        </w:rPr>
        <w:t>応力成分より一次＋二次相当応力範囲を計算する。</w:t>
      </w:r>
    </w:p>
    <w:tbl>
      <w:tblPr>
        <w:tblStyle w:val="151"/>
        <w:tblW w:w="6520" w:type="dxa"/>
        <w:tblInd w:w="2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3"/>
        <w:gridCol w:w="2057"/>
      </w:tblGrid>
      <w:tr w:rsidR="002763F6" w:rsidRPr="00BC31E0" w14:paraId="5EA58B7A" w14:textId="77777777" w:rsidTr="00B83BE8">
        <w:tc>
          <w:tcPr>
            <w:tcW w:w="0" w:type="auto"/>
            <w:tcMar>
              <w:left w:w="0" w:type="dxa"/>
              <w:right w:w="0" w:type="dxa"/>
            </w:tcMar>
            <w:vAlign w:val="center"/>
          </w:tcPr>
          <w:p w14:paraId="7FCD16C1" w14:textId="77777777" w:rsidR="002763F6" w:rsidRPr="00BC31E0" w:rsidRDefault="00A51873" w:rsidP="002763F6">
            <w:pPr>
              <w:tabs>
                <w:tab w:val="left" w:pos="2552"/>
                <w:tab w:val="left" w:leader="middleDot" w:pos="8222"/>
              </w:tabs>
              <w:rPr>
                <w:rFonts w:asciiTheme="minorEastAsia" w:eastAsiaTheme="minorEastAsia" w:hAnsiTheme="minorEastAsia"/>
                <w:i/>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m:t>
                    </m:r>
                    <m:r>
                      <w:rPr>
                        <w:rFonts w:ascii="Cambria Math" w:eastAsiaTheme="minorEastAsia" w:hAnsi="Cambria Math" w:hint="eastAsia"/>
                      </w:rPr>
                      <m:t>S</m:t>
                    </m:r>
                  </m:e>
                  <m:sub>
                    <m:r>
                      <w:rPr>
                        <w:rFonts w:ascii="Cambria Math" w:eastAsiaTheme="minorEastAsia" w:hAnsi="Cambria Math"/>
                      </w:rPr>
                      <m:t>n</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ad>
                      <m:radPr>
                        <m:degHide m:val="1"/>
                        <m:ctrlPr>
                          <w:rPr>
                            <w:rFonts w:ascii="Cambria Math" w:eastAsiaTheme="minorEastAsia" w:hAnsi="Cambria Math"/>
                            <w:i/>
                          </w:rPr>
                        </m:ctrlPr>
                      </m:radPr>
                      <m:deg/>
                      <m:e>
                        <m:r>
                          <w:rPr>
                            <w:rFonts w:ascii="Cambria Math" w:eastAsiaTheme="minorEastAsia" w:hAnsi="Cambria Math"/>
                          </w:rPr>
                          <m:t>2</m:t>
                        </m:r>
                      </m:e>
                    </m:rad>
                  </m:den>
                </m:f>
                <m:sSup>
                  <m:sSupPr>
                    <m:ctrlPr>
                      <w:rPr>
                        <w:rFonts w:ascii="Cambria Math" w:eastAsiaTheme="minorEastAsia" w:hAnsi="Cambria Math"/>
                        <w:i/>
                      </w:rPr>
                    </m:ctrlPr>
                  </m:sSupPr>
                  <m:e>
                    <m:d>
                      <m:dPr>
                        <m:begChr m:val="{"/>
                        <m:endChr m:val="}"/>
                        <m:ctrlPr>
                          <w:rPr>
                            <w:rFonts w:ascii="Cambria Math" w:eastAsiaTheme="minorEastAsia" w:hAnsi="Cambria Math"/>
                            <w:i/>
                          </w:rPr>
                        </m:ctrlPr>
                      </m:dPr>
                      <m:e>
                        <m:sSup>
                          <m:sSupPr>
                            <m:ctrlPr>
                              <w:rPr>
                                <w:rFonts w:ascii="Cambria Math" w:eastAsiaTheme="minorEastAsia" w:hAnsi="Cambria Math"/>
                                <w:i/>
                              </w:rPr>
                            </m:ctrlPr>
                          </m:sSup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l</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r</m:t>
                                    </m:r>
                                  </m:sub>
                                </m:sSub>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r</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t</m:t>
                                    </m:r>
                                  </m:sub>
                                </m:sSub>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l</m:t>
                                    </m:r>
                                  </m:sub>
                                </m:sSub>
                              </m:e>
                            </m:d>
                          </m:e>
                          <m:sup>
                            <m:r>
                              <w:rPr>
                                <w:rFonts w:ascii="Cambria Math" w:eastAsiaTheme="minorEastAsia" w:hAnsi="Cambria Math"/>
                              </w:rPr>
                              <m:t>2</m:t>
                            </m:r>
                          </m:sup>
                        </m:sSup>
                      </m:e>
                    </m:d>
                  </m:e>
                  <m:sup>
                    <m:r>
                      <w:rPr>
                        <w:rFonts w:ascii="Cambria Math" w:eastAsiaTheme="minorEastAsia" w:hAnsi="Cambria Math"/>
                      </w:rPr>
                      <m:t>0.5</m:t>
                    </m:r>
                  </m:sup>
                </m:sSup>
              </m:oMath>
            </m:oMathPara>
          </w:p>
        </w:tc>
        <w:tc>
          <w:tcPr>
            <w:tcW w:w="2057" w:type="dxa"/>
            <w:tcMar>
              <w:left w:w="0" w:type="dxa"/>
              <w:right w:w="0" w:type="dxa"/>
            </w:tcMar>
            <w:vAlign w:val="center"/>
          </w:tcPr>
          <w:p w14:paraId="79EEF122" w14:textId="77777777" w:rsidR="002763F6" w:rsidRPr="00BC31E0" w:rsidRDefault="002763F6" w:rsidP="00B83BE8">
            <w:pPr>
              <w:tabs>
                <w:tab w:val="left" w:leader="middleDot" w:pos="1207"/>
              </w:tabs>
            </w:pPr>
            <w:r w:rsidRPr="00BC31E0">
              <w:tab/>
            </w:r>
            <w:r w:rsidRPr="00BC31E0">
              <w:rPr>
                <w:rFonts w:hint="eastAsia"/>
              </w:rPr>
              <w:t>(7.8.4)</w:t>
            </w:r>
          </w:p>
        </w:tc>
      </w:tr>
    </w:tbl>
    <w:p w14:paraId="0FE4B757" w14:textId="77777777" w:rsidR="002763F6" w:rsidRPr="00BC31E0" w:rsidRDefault="002763F6" w:rsidP="00B83BE8">
      <w:pPr>
        <w:spacing w:before="120" w:after="120"/>
        <w:ind w:left="1134"/>
      </w:pPr>
      <w:r w:rsidRPr="00BC31E0">
        <w:rPr>
          <w:rFonts w:asciiTheme="minorEastAsia" w:eastAsiaTheme="minorEastAsia" w:hAnsiTheme="minorEastAsia" w:hint="eastAsia"/>
        </w:rPr>
        <w:t>層間の隙間位置での一次＋二次＋ピーク相当応力</w:t>
      </w:r>
      <w:r w:rsidR="00F673F1" w:rsidRPr="00BC31E0">
        <w:rPr>
          <w:rFonts w:asciiTheme="minorEastAsia" w:eastAsiaTheme="minorEastAsia" w:hAnsiTheme="minorEastAsia" w:hint="eastAsia"/>
        </w:rPr>
        <w:t>振幅</w:t>
      </w:r>
      <m:oMath>
        <m:sSub>
          <m:sSubPr>
            <m:ctrlPr>
              <w:rPr>
                <w:rFonts w:ascii="Cambria Math" w:eastAsiaTheme="minorEastAsia" w:hAnsi="Cambria Math"/>
                <w:i/>
              </w:rPr>
            </m:ctrlPr>
          </m:sSubPr>
          <m:e>
            <m:r>
              <w:rPr>
                <w:rFonts w:ascii="Cambria Math" w:eastAsiaTheme="minorEastAsia" w:hAnsi="Cambria Math"/>
              </w:rPr>
              <m:t xml:space="preserve"> S</m:t>
            </m:r>
          </m:e>
          <m:sub>
            <m:r>
              <w:rPr>
                <w:rFonts w:ascii="Cambria Math" w:eastAsiaTheme="minorEastAsia" w:hAnsi="Cambria Math"/>
              </w:rPr>
              <m:t>ag</m:t>
            </m:r>
          </m:sub>
        </m:sSub>
        <m:r>
          <w:rPr>
            <w:rFonts w:ascii="Cambria Math" w:eastAsiaTheme="minorEastAsia" w:hAnsi="Cambria Math"/>
          </w:rPr>
          <m:t xml:space="preserve"> </m:t>
        </m:r>
      </m:oMath>
      <w:r w:rsidRPr="00BC31E0">
        <w:rPr>
          <w:rFonts w:asciiTheme="minorEastAsia" w:eastAsiaTheme="minorEastAsia" w:hAnsiTheme="minorEastAsia" w:hint="eastAsia"/>
        </w:rPr>
        <w:t>を計算する。</w:t>
      </w:r>
    </w:p>
    <w:tbl>
      <w:tblPr>
        <w:tblStyle w:val="151"/>
        <w:tblW w:w="6520" w:type="dxa"/>
        <w:tblInd w:w="2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0"/>
        <w:gridCol w:w="5380"/>
      </w:tblGrid>
      <w:tr w:rsidR="002763F6" w:rsidRPr="00BC31E0" w14:paraId="5494256B" w14:textId="77777777" w:rsidTr="00B83BE8">
        <w:tc>
          <w:tcPr>
            <w:tcW w:w="0" w:type="auto"/>
            <w:tcMar>
              <w:left w:w="0" w:type="dxa"/>
              <w:right w:w="0" w:type="dxa"/>
            </w:tcMar>
            <w:vAlign w:val="center"/>
          </w:tcPr>
          <w:p w14:paraId="545A4D49" w14:textId="77777777" w:rsidR="002763F6" w:rsidRPr="00BC31E0" w:rsidRDefault="00A51873" w:rsidP="002763F6">
            <w:pPr>
              <w:jc w:val="left"/>
              <w:rPr>
                <w:rFonts w:asciiTheme="minorEastAsia" w:eastAsiaTheme="minorEastAsia" w:hAnsi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ag</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e</m:t>
                            </m:r>
                          </m:sub>
                        </m:sSub>
                        <m:r>
                          <w:rPr>
                            <w:rFonts w:ascii="Cambria Math" w:eastAsiaTheme="minorEastAsia" w:hAnsi="Cambria Math"/>
                          </w:rPr>
                          <m:t>∆</m:t>
                        </m:r>
                        <m:r>
                          <w:rPr>
                            <w:rFonts w:ascii="Cambria Math" w:eastAsiaTheme="minorEastAsia" w:hAnsi="Cambria Math" w:hint="eastAsia"/>
                          </w:rPr>
                          <m:t>S</m:t>
                        </m:r>
                      </m:e>
                      <m:sub>
                        <m:r>
                          <w:rPr>
                            <w:rFonts w:ascii="Cambria Math" w:eastAsiaTheme="minorEastAsia" w:hAnsi="Cambria Math"/>
                          </w:rPr>
                          <m:t>n</m:t>
                        </m:r>
                      </m:sub>
                    </m:sSub>
                  </m:num>
                  <m:den>
                    <m:r>
                      <w:rPr>
                        <w:rFonts w:ascii="Cambria Math" w:eastAsiaTheme="minorEastAsia" w:hAnsi="Cambria Math"/>
                      </w:rPr>
                      <m:t>2</m:t>
                    </m:r>
                  </m:den>
                </m:f>
              </m:oMath>
            </m:oMathPara>
          </w:p>
        </w:tc>
        <w:tc>
          <w:tcPr>
            <w:tcW w:w="5380" w:type="dxa"/>
            <w:tcMar>
              <w:left w:w="0" w:type="dxa"/>
              <w:right w:w="0" w:type="dxa"/>
            </w:tcMar>
            <w:vAlign w:val="center"/>
          </w:tcPr>
          <w:p w14:paraId="2753CAB4" w14:textId="77777777" w:rsidR="002763F6" w:rsidRPr="00BC31E0" w:rsidRDefault="002763F6" w:rsidP="00B83BE8">
            <w:pPr>
              <w:tabs>
                <w:tab w:val="left" w:leader="middleDot" w:pos="4530"/>
              </w:tabs>
            </w:pPr>
            <w:r w:rsidRPr="00BC31E0">
              <w:tab/>
            </w:r>
            <w:r w:rsidRPr="00BC31E0">
              <w:rPr>
                <w:rFonts w:hint="eastAsia"/>
              </w:rPr>
              <w:t>(7.8.5)</w:t>
            </w:r>
          </w:p>
        </w:tc>
      </w:tr>
    </w:tbl>
    <w:p w14:paraId="526C6564" w14:textId="77777777" w:rsidR="002763F6" w:rsidRPr="00BC31E0" w:rsidRDefault="00A51873" w:rsidP="00B83BE8">
      <w:pPr>
        <w:spacing w:before="120" w:after="120"/>
        <w:ind w:left="1134"/>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ag</m:t>
            </m:r>
          </m:sub>
        </m:sSub>
        <m:r>
          <w:rPr>
            <w:rFonts w:ascii="Cambria Math" w:eastAsiaTheme="minorEastAsia" w:hAnsi="Cambria Math"/>
          </w:rPr>
          <m:t xml:space="preserve"> </m:t>
        </m:r>
      </m:oMath>
      <w:r w:rsidR="002763F6" w:rsidRPr="00BC31E0">
        <w:rPr>
          <w:rFonts w:asciiTheme="minorEastAsia" w:eastAsiaTheme="minorEastAsia" w:hAnsiTheme="minorEastAsia" w:hint="eastAsia"/>
        </w:rPr>
        <w:t>は</w:t>
      </w:r>
      <w:r w:rsidR="00E9389E" w:rsidRPr="00BC31E0">
        <w:rPr>
          <w:rFonts w:asciiTheme="minorEastAsia" w:eastAsiaTheme="minorEastAsia" w:hAnsiTheme="minorEastAsia" w:hint="eastAsia"/>
        </w:rPr>
        <w:t>，</w:t>
      </w:r>
      <w:r w:rsidR="002763F6" w:rsidRPr="00BC31E0">
        <w:rPr>
          <w:rFonts w:asciiTheme="minorEastAsia" w:eastAsiaTheme="minorEastAsia" w:hAnsiTheme="minorEastAsia" w:hint="eastAsia"/>
        </w:rPr>
        <w:t>設計許容繰返し回数に相当する許容応力</w:t>
      </w:r>
      <w:r w:rsidR="00F673F1" w:rsidRPr="00BC31E0">
        <w:rPr>
          <w:rFonts w:asciiTheme="minorEastAsia" w:eastAsiaTheme="minorEastAsia" w:hAnsiTheme="minorEastAsia" w:hint="eastAsia"/>
        </w:rPr>
        <w:t>振幅</w:t>
      </w:r>
      <w:r w:rsidR="002763F6" w:rsidRPr="00BC31E0">
        <w:rPr>
          <w:rFonts w:asciiTheme="minorEastAsia" w:eastAsiaTheme="minorEastAsia" w:hAnsiTheme="minorEastAsia" w:hint="eastAsia"/>
        </w:rPr>
        <w:t>以下とする。</w:t>
      </w:r>
    </w:p>
    <w:tbl>
      <w:tblPr>
        <w:tblStyle w:val="151"/>
        <w:tblW w:w="6520" w:type="dxa"/>
        <w:tblInd w:w="2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
        <w:gridCol w:w="5547"/>
      </w:tblGrid>
      <w:tr w:rsidR="002763F6" w:rsidRPr="00BC31E0" w14:paraId="250CFE02" w14:textId="77777777" w:rsidTr="00B83BE8">
        <w:trPr>
          <w:trHeight w:val="426"/>
        </w:trPr>
        <w:tc>
          <w:tcPr>
            <w:tcW w:w="0" w:type="auto"/>
            <w:tcMar>
              <w:left w:w="0" w:type="dxa"/>
              <w:right w:w="0" w:type="dxa"/>
            </w:tcMar>
            <w:vAlign w:val="center"/>
          </w:tcPr>
          <w:p w14:paraId="237AA045" w14:textId="77777777" w:rsidR="002763F6" w:rsidRPr="00BC31E0" w:rsidRDefault="00A51873" w:rsidP="002763F6">
            <w:pPr>
              <w:jc w:val="left"/>
              <w:rPr>
                <w:i/>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ag</m:t>
                    </m:r>
                  </m:sub>
                </m:sSub>
                <m:sSub>
                  <m:sSubPr>
                    <m:ctrlPr>
                      <w:rPr>
                        <w:rFonts w:ascii="Cambria Math" w:eastAsiaTheme="minorEastAsia" w:hAnsi="Cambria Math"/>
                        <w:i/>
                      </w:rPr>
                    </m:ctrlPr>
                  </m:sSubPr>
                  <m:e>
                    <m:r>
                      <m:rPr>
                        <m:sty m:val="p"/>
                      </m:rPr>
                      <w:rPr>
                        <w:rFonts w:ascii="Cambria Math" w:eastAsiaTheme="minorEastAsia" w:hAnsi="Cambria Math" w:hint="eastAsia"/>
                      </w:rPr>
                      <m:t>≦</m:t>
                    </m:r>
                    <m:r>
                      <w:rPr>
                        <w:rFonts w:ascii="Cambria Math" w:eastAsiaTheme="minorEastAsia" w:hAnsi="Cambria Math"/>
                      </w:rPr>
                      <m:t>S</m:t>
                    </m:r>
                  </m:e>
                  <m:sub>
                    <m:r>
                      <w:rPr>
                        <w:rFonts w:ascii="Cambria Math" w:eastAsiaTheme="minorEastAsia" w:hAnsi="Cambria Math"/>
                      </w:rPr>
                      <m:t>a al</m:t>
                    </m:r>
                  </m:sub>
                </m:sSub>
              </m:oMath>
            </m:oMathPara>
          </w:p>
        </w:tc>
        <w:tc>
          <w:tcPr>
            <w:tcW w:w="5547" w:type="dxa"/>
            <w:tcMar>
              <w:left w:w="0" w:type="dxa"/>
              <w:right w:w="0" w:type="dxa"/>
            </w:tcMar>
            <w:vAlign w:val="center"/>
          </w:tcPr>
          <w:p w14:paraId="326342F8" w14:textId="77777777" w:rsidR="002763F6" w:rsidRPr="00BC31E0" w:rsidRDefault="002763F6" w:rsidP="00B83BE8">
            <w:pPr>
              <w:tabs>
                <w:tab w:val="left" w:leader="middleDot" w:pos="4697"/>
              </w:tabs>
            </w:pPr>
            <w:r w:rsidRPr="00BC31E0">
              <w:tab/>
            </w:r>
            <w:r w:rsidRPr="00BC31E0">
              <w:rPr>
                <w:rFonts w:hint="eastAsia"/>
              </w:rPr>
              <w:t>(7.8.6)</w:t>
            </w:r>
          </w:p>
        </w:tc>
      </w:tr>
    </w:tbl>
    <w:p w14:paraId="7E796B5D" w14:textId="77777777" w:rsidR="00586AE8" w:rsidRPr="00BC31E0" w:rsidRDefault="00586AE8" w:rsidP="00525BCB">
      <w:pPr>
        <w:ind w:left="1361"/>
      </w:pPr>
      <w:r w:rsidRPr="00BC31E0">
        <w:rPr>
          <w:rFonts w:hint="eastAsia"/>
        </w:rPr>
        <w:t>ここで，</w:t>
      </w:r>
    </w:p>
    <w:p w14:paraId="1318CA6B" w14:textId="77777777" w:rsidR="00E9389E" w:rsidRPr="00BC31E0" w:rsidRDefault="00E9389E" w:rsidP="00525BCB">
      <w:pPr>
        <w:tabs>
          <w:tab w:val="left" w:pos="1843"/>
          <w:tab w:val="left" w:pos="2410"/>
        </w:tabs>
        <w:ind w:left="2722" w:hanging="2722"/>
        <w:rPr>
          <w:rFonts w:asciiTheme="minorHAnsi" w:eastAsiaTheme="minorEastAsia" w:hAnsiTheme="minorHAnsi"/>
        </w:rPr>
      </w:pPr>
      <w:r w:rsidRPr="00BC31E0">
        <w:rPr>
          <w:rFonts w:hint="eastAsia"/>
        </w:rPr>
        <w:tab/>
      </w:r>
      <m:oMath>
        <m:r>
          <w:rPr>
            <w:rFonts w:ascii="Cambria Math" w:eastAsiaTheme="minorEastAsia" w:hAnsi="Cambria Math"/>
          </w:rPr>
          <m:t>E</m:t>
        </m:r>
      </m:oMath>
      <w:r w:rsidRPr="00BC31E0">
        <w:rPr>
          <w:rFonts w:asciiTheme="minorEastAsia" w:eastAsiaTheme="minorEastAsia" w:hAnsiTheme="minorEastAsia" w:hint="eastAsia"/>
        </w:rPr>
        <w:tab/>
      </w:r>
      <w:r w:rsidR="00586AE8" w:rsidRPr="00BC31E0">
        <w:rPr>
          <w:rFonts w:asciiTheme="minorEastAsia" w:eastAsiaTheme="minorEastAsia" w:hAnsiTheme="minorEastAsia" w:hint="eastAsia"/>
        </w:rPr>
        <w:t>：</w:t>
      </w:r>
      <w:r w:rsidR="00113CF0" w:rsidRPr="00BC31E0">
        <w:rPr>
          <w:rFonts w:asciiTheme="minorEastAsia" w:eastAsiaTheme="minorEastAsia" w:hAnsiTheme="minorEastAsia" w:hint="eastAsia"/>
        </w:rPr>
        <w:t xml:space="preserve"> </w:t>
      </w:r>
      <w:r w:rsidR="00586AE8" w:rsidRPr="00BC31E0">
        <w:rPr>
          <w:rFonts w:asciiTheme="minorEastAsia" w:eastAsiaTheme="minorEastAsia" w:hAnsiTheme="minorEastAsia" w:hint="eastAsia"/>
        </w:rPr>
        <w:t>縦弾性係数</w:t>
      </w:r>
      <w:r w:rsidR="00586AE8" w:rsidRPr="00BC31E0">
        <w:rPr>
          <w:rFonts w:asciiTheme="minorHAnsi" w:eastAsiaTheme="minorEastAsia" w:hAnsiTheme="minorHAnsi"/>
        </w:rPr>
        <w:t>(MPa)</w:t>
      </w:r>
    </w:p>
    <w:p w14:paraId="391A399F" w14:textId="77777777" w:rsidR="00E9389E" w:rsidRPr="00BC31E0" w:rsidRDefault="00E9389E" w:rsidP="00525BCB">
      <w:pPr>
        <w:tabs>
          <w:tab w:val="left" w:pos="1843"/>
          <w:tab w:val="left" w:pos="2410"/>
        </w:tabs>
        <w:ind w:left="2722" w:hanging="2722"/>
        <w:rPr>
          <w:rFonts w:asciiTheme="minorHAnsi" w:eastAsiaTheme="minorEastAsia" w:hAnsiTheme="minorHAnsi"/>
        </w:rPr>
      </w:pPr>
      <w:r w:rsidRPr="00BC31E0">
        <w:rPr>
          <w:rFonts w:asciiTheme="minorHAnsi" w:eastAsiaTheme="minorEastAsia" w:hAnsiTheme="minorHAnsi" w:hint="eastAsia"/>
        </w:rPr>
        <w:tab/>
      </w:r>
      <m:oMath>
        <m:r>
          <w:rPr>
            <w:rFonts w:ascii="Cambria Math" w:eastAsiaTheme="minorEastAsia" w:hAnsi="Cambria Math"/>
          </w:rPr>
          <m:t>h</m:t>
        </m:r>
      </m:oMath>
      <w:r w:rsidRPr="00BC31E0">
        <w:rPr>
          <w:rFonts w:asciiTheme="minorEastAsia" w:eastAsiaTheme="minorEastAsia" w:hAnsiTheme="minorEastAsia" w:hint="eastAsia"/>
        </w:rPr>
        <w:tab/>
      </w:r>
      <w:r w:rsidR="00586AE8" w:rsidRPr="00BC31E0">
        <w:rPr>
          <w:rFonts w:asciiTheme="minorEastAsia" w:eastAsiaTheme="minorEastAsia" w:hAnsiTheme="minorEastAsia" w:hint="eastAsia"/>
        </w:rPr>
        <w:t>：</w:t>
      </w:r>
      <w:bookmarkStart w:id="83" w:name="_Hlk64466251"/>
      <w:r w:rsidR="00113CF0" w:rsidRPr="00BC31E0">
        <w:rPr>
          <w:rFonts w:asciiTheme="minorEastAsia" w:eastAsiaTheme="minorEastAsia" w:hAnsiTheme="minorEastAsia" w:hint="eastAsia"/>
        </w:rPr>
        <w:t xml:space="preserve"> </w:t>
      </w:r>
      <w:r w:rsidR="00586AE8" w:rsidRPr="00BC31E0">
        <w:rPr>
          <w:rFonts w:asciiTheme="minorEastAsia" w:eastAsiaTheme="minorEastAsia" w:hAnsiTheme="minorEastAsia" w:hint="eastAsia"/>
        </w:rPr>
        <w:t>層間の半径方向最大隙間</w:t>
      </w:r>
      <w:bookmarkEnd w:id="83"/>
      <w:r w:rsidRPr="00BC31E0">
        <w:rPr>
          <w:rFonts w:asciiTheme="minorHAnsi" w:eastAsiaTheme="minorEastAsia" w:hAnsiTheme="minorHAnsi"/>
        </w:rPr>
        <w:t>(</w:t>
      </w:r>
      <w:r w:rsidR="00586AE8" w:rsidRPr="00BC31E0">
        <w:rPr>
          <w:rFonts w:asciiTheme="minorHAnsi" w:eastAsiaTheme="minorEastAsia" w:hAnsiTheme="minorHAnsi"/>
        </w:rPr>
        <w:t>mm</w:t>
      </w:r>
      <w:r w:rsidRPr="00BC31E0">
        <w:rPr>
          <w:rFonts w:asciiTheme="minorHAnsi" w:eastAsiaTheme="minorEastAsia" w:hAnsiTheme="minorHAnsi"/>
        </w:rPr>
        <w:t>)</w:t>
      </w:r>
    </w:p>
    <w:p w14:paraId="3E215EEE" w14:textId="77777777" w:rsidR="00E9389E" w:rsidRPr="00BC31E0" w:rsidRDefault="00E9389E" w:rsidP="00525BCB">
      <w:pPr>
        <w:tabs>
          <w:tab w:val="left" w:pos="1843"/>
          <w:tab w:val="left" w:pos="2410"/>
        </w:tabs>
        <w:ind w:left="2722" w:hanging="2722"/>
        <w:rPr>
          <w:rFonts w:asciiTheme="minorEastAsia" w:eastAsiaTheme="minorEastAsia" w:hAnsiTheme="minorEastAsia"/>
        </w:rPr>
      </w:pPr>
      <w:r w:rsidRPr="00BC31E0">
        <w:rPr>
          <w:rFonts w:asciiTheme="minorHAnsi" w:eastAsiaTheme="minorEastAsia" w:hAnsiTheme="minorHAnsi" w:hint="eastAsia"/>
        </w:rPr>
        <w:tab/>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e</m:t>
            </m:r>
          </m:sub>
        </m:sSub>
      </m:oMath>
      <w:r w:rsidRPr="00BC31E0">
        <w:rPr>
          <w:rFonts w:asciiTheme="minorEastAsia" w:eastAsiaTheme="minorEastAsia" w:hAnsiTheme="minorEastAsia" w:hint="eastAsia"/>
        </w:rPr>
        <w:tab/>
        <w:t xml:space="preserve">： </w:t>
      </w:r>
      <w:r w:rsidR="00586AE8" w:rsidRPr="00BC31E0">
        <w:rPr>
          <w:rFonts w:asciiTheme="minorEastAsia" w:eastAsiaTheme="minorEastAsia" w:hAnsiTheme="minorEastAsia" w:hint="eastAsia"/>
        </w:rPr>
        <w:t>簡易弾塑性解析による一次＋二次＋ピーク相当応力範囲を求める係数</w:t>
      </w:r>
      <w:r w:rsidRPr="00BC31E0">
        <w:rPr>
          <w:rFonts w:asciiTheme="minorEastAsia" w:eastAsiaTheme="minorEastAsia" w:hAnsiTheme="minorEastAsia" w:hint="eastAsia"/>
        </w:rPr>
        <w:t xml:space="preserve"> </w:t>
      </w:r>
      <w:r w:rsidRPr="00BC31E0">
        <w:rPr>
          <w:rFonts w:asciiTheme="minorHAnsi" w:eastAsiaTheme="minorEastAsia" w:hAnsiTheme="minorHAnsi"/>
        </w:rPr>
        <w:t>[</w:t>
      </w:r>
      <w:r w:rsidR="00586AE8" w:rsidRPr="00BC31E0">
        <w:rPr>
          <w:rFonts w:ascii="ＭＳ ゴシック" w:eastAsia="ＭＳ ゴシック" w:hAnsi="ＭＳ ゴシック" w:hint="eastAsia"/>
          <w:b/>
        </w:rPr>
        <w:t>附属書 J 1 h)</w:t>
      </w:r>
      <w:r w:rsidRPr="00BC31E0">
        <w:rPr>
          <w:rFonts w:asciiTheme="minorEastAsia" w:eastAsiaTheme="minorEastAsia" w:hAnsiTheme="minorEastAsia" w:hint="eastAsia"/>
        </w:rPr>
        <w:t>を参照</w:t>
      </w:r>
      <w:r w:rsidRPr="00BC31E0">
        <w:rPr>
          <w:rFonts w:asciiTheme="minorHAnsi" w:eastAsia="ＭＳ ゴシック" w:hAnsiTheme="minorHAnsi"/>
        </w:rPr>
        <w:t>]</w:t>
      </w:r>
    </w:p>
    <w:p w14:paraId="2143A5F5" w14:textId="77777777" w:rsidR="00E9389E" w:rsidRPr="00BC31E0" w:rsidRDefault="00E9389E" w:rsidP="00525BCB">
      <w:pPr>
        <w:tabs>
          <w:tab w:val="left" w:pos="1843"/>
          <w:tab w:val="left" w:pos="2410"/>
        </w:tabs>
        <w:ind w:left="2722" w:hanging="2722"/>
        <w:rPr>
          <w:rFonts w:asciiTheme="minorHAnsi" w:eastAsiaTheme="minorEastAsia" w:hAnsiTheme="minorHAnsi"/>
        </w:rPr>
      </w:pPr>
      <w:r w:rsidRPr="00BC31E0">
        <w:rPr>
          <w:rFonts w:asciiTheme="minorEastAsia" w:eastAsiaTheme="minorEastAsia" w:hAnsiTheme="minorEastAsia" w:hint="eastAsia"/>
        </w:rPr>
        <w:tab/>
      </w:r>
      <m:oMath>
        <m:r>
          <w:rPr>
            <w:rFonts w:ascii="Cambria Math" w:eastAsiaTheme="minorEastAsia" w:hAnsi="Cambria Math"/>
          </w:rPr>
          <m:t>P</m:t>
        </m:r>
      </m:oMath>
      <w:r w:rsidR="00853345" w:rsidRPr="00BC31E0">
        <w:rPr>
          <w:rFonts w:asciiTheme="minorEastAsia" w:eastAsiaTheme="minorEastAsia" w:hAnsiTheme="minorEastAsia" w:hint="eastAsia"/>
        </w:rPr>
        <w:tab/>
      </w:r>
      <w:r w:rsidR="00586AE8" w:rsidRPr="00BC31E0">
        <w:rPr>
          <w:rFonts w:asciiTheme="minorEastAsia" w:eastAsiaTheme="minorEastAsia" w:hAnsiTheme="minorEastAsia" w:hint="eastAsia"/>
        </w:rPr>
        <w:t>：</w:t>
      </w:r>
      <w:r w:rsidR="00113CF0" w:rsidRPr="00BC31E0">
        <w:rPr>
          <w:rFonts w:asciiTheme="minorEastAsia" w:eastAsiaTheme="minorEastAsia" w:hAnsiTheme="minorEastAsia" w:hint="eastAsia"/>
        </w:rPr>
        <w:t xml:space="preserve"> </w:t>
      </w:r>
      <w:r w:rsidR="00586AE8" w:rsidRPr="00BC31E0">
        <w:rPr>
          <w:rFonts w:asciiTheme="minorEastAsia" w:eastAsiaTheme="minorEastAsia" w:hAnsiTheme="minorEastAsia" w:hint="eastAsia"/>
        </w:rPr>
        <w:t>設計圧力</w:t>
      </w:r>
      <w:r w:rsidR="00586AE8" w:rsidRPr="00BC31E0">
        <w:rPr>
          <w:rFonts w:asciiTheme="minorHAnsi" w:eastAsiaTheme="minorEastAsia" w:hAnsiTheme="minorHAnsi"/>
        </w:rPr>
        <w:t>(MPa)</w:t>
      </w:r>
    </w:p>
    <w:p w14:paraId="3B426525" w14:textId="77777777" w:rsidR="00E9389E" w:rsidRPr="00BC31E0" w:rsidRDefault="00E9389E" w:rsidP="00525BCB">
      <w:pPr>
        <w:tabs>
          <w:tab w:val="left" w:pos="1843"/>
          <w:tab w:val="left" w:pos="2410"/>
        </w:tabs>
        <w:ind w:left="2722" w:hanging="2722"/>
        <w:rPr>
          <w:rFonts w:asciiTheme="minorEastAsia" w:eastAsiaTheme="minorEastAsia" w:hAnsiTheme="minorEastAsia"/>
        </w:rPr>
      </w:pPr>
      <w:r w:rsidRPr="00BC31E0">
        <w:rPr>
          <w:rFonts w:asciiTheme="minorHAnsi" w:eastAsiaTheme="minorEastAsia" w:hAnsiTheme="minorHAnsi" w:hint="eastAsia"/>
        </w:rPr>
        <w:lastRenderedPageBreak/>
        <w:tab/>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g</m:t>
            </m:r>
          </m:sub>
        </m:sSub>
      </m:oMath>
      <w:r w:rsidR="00853345" w:rsidRPr="00BC31E0">
        <w:rPr>
          <w:rFonts w:asciiTheme="minorEastAsia" w:eastAsiaTheme="minorEastAsia" w:hAnsiTheme="minorEastAsia" w:hint="eastAsia"/>
        </w:rPr>
        <w:tab/>
      </w:r>
      <w:r w:rsidR="00586AE8" w:rsidRPr="00BC31E0">
        <w:rPr>
          <w:rFonts w:asciiTheme="minorEastAsia" w:eastAsiaTheme="minorEastAsia" w:hAnsiTheme="minorEastAsia" w:hint="eastAsia"/>
        </w:rPr>
        <w:t>：</w:t>
      </w:r>
      <w:r w:rsidR="00113CF0" w:rsidRPr="00BC31E0">
        <w:rPr>
          <w:rFonts w:asciiTheme="minorEastAsia" w:eastAsiaTheme="minorEastAsia" w:hAnsiTheme="minorEastAsia" w:hint="eastAsia"/>
        </w:rPr>
        <w:t xml:space="preserve"> </w:t>
      </w:r>
      <w:r w:rsidR="00586AE8" w:rsidRPr="00BC31E0">
        <w:rPr>
          <w:rFonts w:asciiTheme="minorEastAsia" w:eastAsiaTheme="minorEastAsia" w:hAnsiTheme="minorEastAsia" w:hint="eastAsia"/>
        </w:rPr>
        <w:t>隙間を評価している層の外半径</w:t>
      </w:r>
      <w:r w:rsidR="00586AE8" w:rsidRPr="00BC31E0">
        <w:rPr>
          <w:rFonts w:asciiTheme="minorHAnsi" w:eastAsiaTheme="majorEastAsia" w:hAnsiTheme="minorHAnsi"/>
        </w:rPr>
        <w:t>(mm)</w:t>
      </w:r>
      <w:r w:rsidR="00586AE8" w:rsidRPr="00BC31E0">
        <w:rPr>
          <w:rFonts w:asciiTheme="minorEastAsia" w:eastAsiaTheme="minorEastAsia" w:hAnsiTheme="minorEastAsia"/>
        </w:rPr>
        <w:t xml:space="preserve"> </w:t>
      </w:r>
    </w:p>
    <w:p w14:paraId="7D2F1EAB" w14:textId="77777777" w:rsidR="00E9389E" w:rsidRPr="00BC31E0" w:rsidRDefault="00E9389E" w:rsidP="00525BCB">
      <w:pPr>
        <w:tabs>
          <w:tab w:val="left" w:pos="1843"/>
          <w:tab w:val="left" w:pos="2410"/>
        </w:tabs>
        <w:ind w:left="2722" w:hanging="2722"/>
        <w:rPr>
          <w:rFonts w:asciiTheme="minorHAnsi" w:eastAsiaTheme="minorEastAsia" w:hAnsiTheme="minorHAnsi"/>
        </w:rPr>
      </w:pPr>
      <w:r w:rsidRPr="00BC31E0">
        <w:rPr>
          <w:rFonts w:asciiTheme="minorEastAsia" w:eastAsiaTheme="minorEastAsia" w:hAnsiTheme="minorEastAsia" w:hint="eastAsia"/>
        </w:rPr>
        <w:tab/>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hint="eastAsia"/>
              </w:rPr>
              <m:t>I</m:t>
            </m:r>
          </m:sub>
        </m:sSub>
      </m:oMath>
      <w:r w:rsidR="00853345" w:rsidRPr="00BC31E0">
        <w:rPr>
          <w:rFonts w:ascii="Cambria Math" w:eastAsiaTheme="minorEastAsia" w:hAnsi="Cambria Math" w:hint="eastAsia"/>
          <w:i/>
        </w:rPr>
        <w:tab/>
      </w:r>
      <w:r w:rsidR="00586AE8" w:rsidRPr="00BC31E0">
        <w:rPr>
          <w:rFonts w:ascii="Cambria Math" w:eastAsiaTheme="minorEastAsia" w:hAnsi="Cambria Math" w:hint="eastAsia"/>
        </w:rPr>
        <w:t>：</w:t>
      </w:r>
      <w:r w:rsidR="00113CF0" w:rsidRPr="00BC31E0">
        <w:rPr>
          <w:rFonts w:ascii="Cambria Math" w:eastAsiaTheme="minorEastAsia" w:hAnsi="Cambria Math" w:hint="eastAsia"/>
        </w:rPr>
        <w:t xml:space="preserve"> </w:t>
      </w:r>
      <w:r w:rsidR="00586AE8" w:rsidRPr="00BC31E0">
        <w:rPr>
          <w:rFonts w:asciiTheme="minorEastAsia" w:eastAsiaTheme="minorEastAsia" w:hAnsiTheme="minorEastAsia" w:hint="eastAsia"/>
        </w:rPr>
        <w:t>容器の内半径</w:t>
      </w:r>
      <w:r w:rsidRPr="00BC31E0">
        <w:rPr>
          <w:rFonts w:asciiTheme="minorHAnsi" w:eastAsiaTheme="minorEastAsia" w:hAnsiTheme="minorHAnsi"/>
        </w:rPr>
        <w:t>(</w:t>
      </w:r>
      <w:r w:rsidR="00586AE8" w:rsidRPr="00BC31E0">
        <w:rPr>
          <w:rFonts w:asciiTheme="minorHAnsi" w:eastAsiaTheme="minorEastAsia" w:hAnsiTheme="minorHAnsi"/>
        </w:rPr>
        <w:t>mm</w:t>
      </w:r>
      <w:r w:rsidRPr="00BC31E0">
        <w:rPr>
          <w:rFonts w:asciiTheme="minorHAnsi" w:eastAsiaTheme="minorEastAsia" w:hAnsiTheme="minorHAnsi"/>
        </w:rPr>
        <w:t>)</w:t>
      </w:r>
    </w:p>
    <w:p w14:paraId="13B88B59" w14:textId="77777777" w:rsidR="00E9389E" w:rsidRPr="00BC31E0" w:rsidRDefault="00E9389E" w:rsidP="00525BCB">
      <w:pPr>
        <w:tabs>
          <w:tab w:val="left" w:pos="1843"/>
          <w:tab w:val="left" w:pos="2410"/>
        </w:tabs>
        <w:ind w:left="2722" w:hanging="2722"/>
        <w:rPr>
          <w:rFonts w:asciiTheme="minorHAnsi" w:eastAsiaTheme="minorEastAsia" w:hAnsiTheme="minorHAnsi"/>
        </w:rPr>
      </w:pPr>
      <w:r w:rsidRPr="00BC31E0">
        <w:rPr>
          <w:rFonts w:asciiTheme="minorHAnsi" w:eastAsiaTheme="minorEastAsia" w:hAnsiTheme="minorHAnsi" w:hint="eastAsia"/>
        </w:rPr>
        <w:tab/>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o</m:t>
            </m:r>
          </m:sub>
        </m:sSub>
      </m:oMath>
      <w:r w:rsidR="00853345" w:rsidRPr="00BC31E0">
        <w:rPr>
          <w:rFonts w:ascii="Cambria Math" w:eastAsiaTheme="minorEastAsia" w:hAnsi="Cambria Math" w:hint="eastAsia"/>
        </w:rPr>
        <w:tab/>
      </w:r>
      <w:r w:rsidR="00586AE8" w:rsidRPr="00BC31E0">
        <w:rPr>
          <w:rFonts w:ascii="Cambria Math" w:eastAsiaTheme="minorEastAsia" w:hAnsi="Cambria Math" w:hint="eastAsia"/>
        </w:rPr>
        <w:t>：</w:t>
      </w:r>
      <w:r w:rsidR="00113CF0" w:rsidRPr="00BC31E0">
        <w:rPr>
          <w:rFonts w:ascii="Cambria Math" w:eastAsiaTheme="minorEastAsia" w:hAnsi="Cambria Math"/>
        </w:rPr>
        <w:t xml:space="preserve"> </w:t>
      </w:r>
      <w:r w:rsidR="00586AE8" w:rsidRPr="00BC31E0">
        <w:rPr>
          <w:rFonts w:asciiTheme="minorEastAsia" w:eastAsiaTheme="minorEastAsia" w:hAnsiTheme="minorEastAsia" w:hint="eastAsia"/>
        </w:rPr>
        <w:t>容器の外半径</w:t>
      </w:r>
      <w:r w:rsidRPr="00BC31E0">
        <w:rPr>
          <w:rFonts w:asciiTheme="minorHAnsi" w:eastAsiaTheme="minorEastAsia" w:hAnsiTheme="minorHAnsi"/>
        </w:rPr>
        <w:t>(</w:t>
      </w:r>
      <w:r w:rsidR="00586AE8" w:rsidRPr="00BC31E0">
        <w:rPr>
          <w:rFonts w:asciiTheme="minorHAnsi" w:eastAsiaTheme="minorEastAsia" w:hAnsiTheme="minorHAnsi"/>
        </w:rPr>
        <w:t>mm</w:t>
      </w:r>
      <w:r w:rsidRPr="00BC31E0">
        <w:rPr>
          <w:rFonts w:asciiTheme="minorHAnsi" w:eastAsiaTheme="minorEastAsia" w:hAnsiTheme="minorHAnsi"/>
        </w:rPr>
        <w:t>)</w:t>
      </w:r>
    </w:p>
    <w:p w14:paraId="29C68750" w14:textId="77777777" w:rsidR="00E9389E" w:rsidRPr="00BC31E0" w:rsidRDefault="00E9389E" w:rsidP="00525BCB">
      <w:pPr>
        <w:tabs>
          <w:tab w:val="left" w:pos="1843"/>
          <w:tab w:val="left" w:pos="2410"/>
        </w:tabs>
        <w:ind w:left="2722" w:hanging="2722"/>
        <w:rPr>
          <w:rFonts w:asciiTheme="minorHAnsi" w:eastAsiaTheme="minorEastAsia" w:hAnsiTheme="minorHAnsi"/>
        </w:rPr>
      </w:pPr>
      <w:r w:rsidRPr="00BC31E0">
        <w:rPr>
          <w:rFonts w:asciiTheme="minorHAnsi" w:eastAsiaTheme="minorEastAsia" w:hAnsiTheme="minorHAnsi" w:hint="eastAsia"/>
        </w:rPr>
        <w:tab/>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 al</m:t>
            </m:r>
          </m:sub>
        </m:sSub>
      </m:oMath>
      <w:r w:rsidR="00853345" w:rsidRPr="00BC31E0">
        <w:rPr>
          <w:rFonts w:ascii="Cambria Math" w:eastAsiaTheme="minorEastAsia" w:hAnsi="Cambria Math" w:hint="eastAsia"/>
        </w:rPr>
        <w:tab/>
      </w:r>
      <w:r w:rsidR="00586AE8" w:rsidRPr="00BC31E0">
        <w:rPr>
          <w:rFonts w:ascii="Cambria Math" w:eastAsiaTheme="minorEastAsia" w:hAnsi="Cambria Math" w:hint="eastAsia"/>
        </w:rPr>
        <w:t>：</w:t>
      </w:r>
      <w:r w:rsidR="00113CF0" w:rsidRPr="00BC31E0">
        <w:rPr>
          <w:rFonts w:ascii="Cambria Math" w:eastAsiaTheme="minorEastAsia" w:hAnsi="Cambria Math"/>
        </w:rPr>
        <w:t xml:space="preserve"> </w:t>
      </w:r>
      <w:r w:rsidR="00586AE8" w:rsidRPr="00BC31E0">
        <w:rPr>
          <w:rFonts w:ascii="Cambria Math" w:eastAsiaTheme="minorEastAsia" w:hAnsi="Cambria Math" w:hint="eastAsia"/>
        </w:rPr>
        <w:t>設計許容繰返し回数に相当する許容一次＋二次＋ピーク相当応力</w:t>
      </w:r>
      <w:r w:rsidR="00B72606" w:rsidRPr="00BC31E0">
        <w:rPr>
          <w:rFonts w:ascii="Cambria Math" w:eastAsiaTheme="minorEastAsia" w:hAnsi="Cambria Math" w:hint="eastAsia"/>
        </w:rPr>
        <w:t>振幅</w:t>
      </w:r>
      <w:r w:rsidR="00586AE8" w:rsidRPr="00BC31E0">
        <w:rPr>
          <w:rFonts w:asciiTheme="minorHAnsi" w:eastAsiaTheme="minorEastAsia" w:hAnsiTheme="minorHAnsi"/>
        </w:rPr>
        <w:t>(MPa)</w:t>
      </w:r>
    </w:p>
    <w:p w14:paraId="4041C175" w14:textId="77777777" w:rsidR="00E9389E" w:rsidRPr="00BC31E0" w:rsidRDefault="00E9389E" w:rsidP="00525BCB">
      <w:pPr>
        <w:tabs>
          <w:tab w:val="left" w:pos="1843"/>
          <w:tab w:val="left" w:pos="2410"/>
        </w:tabs>
        <w:ind w:left="2722" w:hanging="2722"/>
        <w:rPr>
          <w:rFonts w:asciiTheme="minorHAnsi" w:eastAsia="ＭＳ ゴシック" w:hAnsiTheme="minorHAnsi"/>
        </w:rPr>
      </w:pPr>
      <w:r w:rsidRPr="00BC31E0">
        <w:rPr>
          <w:rFonts w:asciiTheme="minorHAnsi" w:eastAsiaTheme="minorEastAsia" w:hAnsiTheme="minorHAnsi" w:hint="eastAsia"/>
        </w:rPr>
        <w:tab/>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ag</m:t>
            </m:r>
          </m:sub>
        </m:sSub>
      </m:oMath>
      <w:r w:rsidR="00853345" w:rsidRPr="00BC31E0">
        <w:rPr>
          <w:rFonts w:ascii="Cambria Math" w:eastAsiaTheme="minorEastAsia" w:hAnsi="Cambria Math" w:hint="eastAsia"/>
        </w:rPr>
        <w:tab/>
      </w:r>
      <w:r w:rsidR="00586AE8" w:rsidRPr="00BC31E0">
        <w:rPr>
          <w:rFonts w:ascii="Cambria Math" w:eastAsiaTheme="minorEastAsia" w:hAnsi="Cambria Math" w:hint="eastAsia"/>
        </w:rPr>
        <w:t>：</w:t>
      </w:r>
      <w:r w:rsidR="00113CF0" w:rsidRPr="00BC31E0">
        <w:rPr>
          <w:rFonts w:ascii="Cambria Math" w:eastAsiaTheme="minorEastAsia" w:hAnsi="Cambria Math"/>
        </w:rPr>
        <w:t xml:space="preserve"> </w:t>
      </w:r>
      <w:r w:rsidR="00586AE8" w:rsidRPr="00BC31E0">
        <w:rPr>
          <w:rFonts w:asciiTheme="minorEastAsia" w:eastAsiaTheme="minorEastAsia" w:hAnsiTheme="minorEastAsia" w:hint="eastAsia"/>
        </w:rPr>
        <w:t>層間の最大隙間がある層の一次＋二次＋ピーク相当応力</w:t>
      </w:r>
      <w:r w:rsidR="00B72606" w:rsidRPr="00BC31E0">
        <w:rPr>
          <w:rFonts w:asciiTheme="minorEastAsia" w:eastAsiaTheme="minorEastAsia" w:hAnsiTheme="minorEastAsia" w:hint="eastAsia"/>
        </w:rPr>
        <w:t>振幅</w:t>
      </w:r>
      <w:r w:rsidR="00586AE8" w:rsidRPr="00BC31E0">
        <w:rPr>
          <w:rFonts w:asciiTheme="minorHAnsi" w:eastAsia="ＭＳ ゴシック" w:hAnsiTheme="minorHAnsi"/>
        </w:rPr>
        <w:t>(MPa)</w:t>
      </w:r>
    </w:p>
    <w:p w14:paraId="35A78497" w14:textId="77777777" w:rsidR="00E9389E" w:rsidRPr="00BC31E0" w:rsidRDefault="00E9389E" w:rsidP="00525BCB">
      <w:pPr>
        <w:tabs>
          <w:tab w:val="left" w:pos="1843"/>
          <w:tab w:val="left" w:pos="2410"/>
        </w:tabs>
        <w:rPr>
          <w:rFonts w:asciiTheme="minorHAnsi" w:eastAsia="ＭＳ ゴシック" w:hAnsiTheme="minorHAnsi"/>
        </w:rPr>
      </w:pPr>
      <w:r w:rsidRPr="00BC31E0">
        <w:rPr>
          <w:rFonts w:asciiTheme="minorHAnsi" w:eastAsia="ＭＳ ゴシック" w:hAnsiTheme="minorHAnsi" w:hint="eastAsia"/>
        </w:rPr>
        <w:tab/>
      </w:r>
      <m:oMath>
        <m:sSub>
          <m:sSubPr>
            <m:ctrlPr>
              <w:rPr>
                <w:rFonts w:ascii="Cambria Math" w:eastAsiaTheme="minorEastAsia" w:hAnsi="Cambria Math"/>
                <w:i/>
              </w:rPr>
            </m:ctrlPr>
          </m:sSubPr>
          <m:e>
            <m:r>
              <w:rPr>
                <w:rFonts w:ascii="Cambria Math" w:eastAsiaTheme="minorEastAsia" w:hAnsi="Cambria Math"/>
              </w:rPr>
              <m:t>∆</m:t>
            </m:r>
            <m:r>
              <w:rPr>
                <w:rFonts w:ascii="Cambria Math" w:eastAsiaTheme="minorEastAsia" w:hAnsi="Cambria Math" w:hint="eastAsia"/>
              </w:rPr>
              <m:t>S</m:t>
            </m:r>
          </m:e>
          <m:sub>
            <m:r>
              <w:rPr>
                <w:rFonts w:ascii="Cambria Math" w:eastAsiaTheme="minorEastAsia" w:hAnsi="Cambria Math"/>
              </w:rPr>
              <m:t>n</m:t>
            </m:r>
          </m:sub>
        </m:sSub>
      </m:oMath>
      <w:r w:rsidR="00853345" w:rsidRPr="00BC31E0">
        <w:rPr>
          <w:rFonts w:ascii="Cambria Math" w:eastAsiaTheme="minorEastAsia" w:hAnsi="Cambria Math" w:hint="eastAsia"/>
        </w:rPr>
        <w:tab/>
      </w:r>
      <w:r w:rsidR="00586AE8" w:rsidRPr="00BC31E0">
        <w:rPr>
          <w:rFonts w:ascii="Cambria Math" w:eastAsiaTheme="minorEastAsia" w:hAnsi="Cambria Math" w:hint="eastAsia"/>
        </w:rPr>
        <w:t>：</w:t>
      </w:r>
      <w:r w:rsidR="00113CF0" w:rsidRPr="00BC31E0">
        <w:rPr>
          <w:rFonts w:ascii="Cambria Math" w:eastAsiaTheme="minorEastAsia" w:hAnsi="Cambria Math"/>
        </w:rPr>
        <w:t xml:space="preserve"> </w:t>
      </w:r>
      <w:r w:rsidR="00586AE8" w:rsidRPr="00BC31E0">
        <w:rPr>
          <w:rFonts w:asciiTheme="minorEastAsia" w:eastAsiaTheme="minorEastAsia" w:hAnsiTheme="minorEastAsia" w:hint="eastAsia"/>
        </w:rPr>
        <w:t>層間の最大隙間がある層の一次＋二次相当応力範囲</w:t>
      </w:r>
      <w:r w:rsidR="00586AE8" w:rsidRPr="00BC31E0">
        <w:rPr>
          <w:rFonts w:asciiTheme="minorHAnsi" w:eastAsia="ＭＳ ゴシック" w:hAnsiTheme="minorHAnsi"/>
        </w:rPr>
        <w:t>(MPa)</w:t>
      </w:r>
    </w:p>
    <w:p w14:paraId="76965B96" w14:textId="77777777" w:rsidR="00E9389E" w:rsidRPr="00BC31E0" w:rsidRDefault="00E9389E" w:rsidP="00525BCB">
      <w:pPr>
        <w:tabs>
          <w:tab w:val="left" w:pos="1843"/>
          <w:tab w:val="left" w:pos="2410"/>
        </w:tabs>
        <w:rPr>
          <w:rFonts w:asciiTheme="minorHAnsi" w:eastAsiaTheme="minorEastAsia" w:hAnsiTheme="minorHAnsi"/>
        </w:rPr>
      </w:pPr>
      <w:r w:rsidRPr="00BC31E0">
        <w:rPr>
          <w:rFonts w:asciiTheme="minorHAnsi" w:eastAsia="ＭＳ ゴシック" w:hAnsiTheme="minorHAnsi" w:hint="eastAsia"/>
        </w:rPr>
        <w:tab/>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l</m:t>
            </m:r>
          </m:sub>
        </m:sSub>
      </m:oMath>
      <w:r w:rsidR="00853345" w:rsidRPr="00BC31E0">
        <w:rPr>
          <w:rFonts w:ascii="Cambria Math" w:eastAsiaTheme="minorEastAsia" w:hAnsi="Cambria Math" w:hint="eastAsia"/>
        </w:rPr>
        <w:tab/>
      </w:r>
      <w:r w:rsidR="00586AE8" w:rsidRPr="00BC31E0">
        <w:rPr>
          <w:rFonts w:ascii="Cambria Math" w:eastAsiaTheme="minorEastAsia" w:hAnsi="Cambria Math" w:hint="eastAsia"/>
        </w:rPr>
        <w:t>：</w:t>
      </w:r>
      <w:r w:rsidR="00113CF0" w:rsidRPr="00BC31E0">
        <w:rPr>
          <w:rFonts w:ascii="Cambria Math" w:eastAsiaTheme="minorEastAsia" w:hAnsi="Cambria Math"/>
        </w:rPr>
        <w:t xml:space="preserve"> </w:t>
      </w:r>
      <w:r w:rsidR="00586AE8" w:rsidRPr="00BC31E0">
        <w:rPr>
          <w:rFonts w:asciiTheme="minorEastAsia" w:eastAsiaTheme="minorEastAsia" w:hAnsiTheme="minorEastAsia" w:hint="eastAsia"/>
        </w:rPr>
        <w:t>最大の層間隙間がある層の軸方向応力</w:t>
      </w:r>
      <w:r w:rsidR="00586AE8" w:rsidRPr="00BC31E0">
        <w:rPr>
          <w:rFonts w:asciiTheme="minorHAnsi" w:eastAsiaTheme="minorEastAsia" w:hAnsiTheme="minorHAnsi"/>
        </w:rPr>
        <w:t>(MPa)</w:t>
      </w:r>
    </w:p>
    <w:p w14:paraId="01447551" w14:textId="77777777" w:rsidR="00E9389E" w:rsidRPr="00BC31E0" w:rsidRDefault="00E9389E" w:rsidP="00525BCB">
      <w:pPr>
        <w:tabs>
          <w:tab w:val="left" w:pos="1843"/>
          <w:tab w:val="left" w:pos="2410"/>
        </w:tabs>
        <w:rPr>
          <w:rFonts w:asciiTheme="minorHAnsi" w:eastAsia="ＭＳ ゴシック" w:hAnsiTheme="minorHAnsi"/>
        </w:rPr>
      </w:pPr>
      <w:r w:rsidRPr="00BC31E0">
        <w:rPr>
          <w:rFonts w:asciiTheme="minorHAnsi" w:eastAsiaTheme="minorEastAsia" w:hAnsiTheme="minorHAnsi" w:hint="eastAsia"/>
        </w:rPr>
        <w:tab/>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r</m:t>
            </m:r>
          </m:sub>
        </m:sSub>
      </m:oMath>
      <w:r w:rsidR="00586AE8" w:rsidRPr="00BC31E0">
        <w:rPr>
          <w:rFonts w:ascii="Cambria Math" w:eastAsiaTheme="minorEastAsia" w:hAnsi="Cambria Math" w:hint="eastAsia"/>
        </w:rPr>
        <w:tab/>
      </w:r>
      <w:r w:rsidR="00586AE8" w:rsidRPr="00BC31E0">
        <w:rPr>
          <w:rFonts w:ascii="Cambria Math" w:eastAsiaTheme="minorEastAsia" w:hAnsi="Cambria Math" w:hint="eastAsia"/>
        </w:rPr>
        <w:t>：</w:t>
      </w:r>
      <w:r w:rsidR="00113CF0" w:rsidRPr="00BC31E0">
        <w:rPr>
          <w:rFonts w:ascii="Cambria Math" w:eastAsiaTheme="minorEastAsia" w:hAnsi="Cambria Math"/>
        </w:rPr>
        <w:t xml:space="preserve"> </w:t>
      </w:r>
      <w:r w:rsidR="00586AE8" w:rsidRPr="00BC31E0">
        <w:rPr>
          <w:rFonts w:asciiTheme="minorEastAsia" w:eastAsiaTheme="minorEastAsia" w:hAnsiTheme="minorEastAsia" w:hint="eastAsia"/>
        </w:rPr>
        <w:t>最大の層間隙間がある層の半径方向応力</w:t>
      </w:r>
      <w:r w:rsidR="00586AE8" w:rsidRPr="00BC31E0">
        <w:rPr>
          <w:rFonts w:asciiTheme="minorHAnsi" w:eastAsia="ＭＳ ゴシック" w:hAnsiTheme="minorHAnsi"/>
        </w:rPr>
        <w:t>(MPa)</w:t>
      </w:r>
    </w:p>
    <w:p w14:paraId="3A556697" w14:textId="77777777" w:rsidR="00586AE8" w:rsidRPr="00BC31E0" w:rsidRDefault="00E9389E" w:rsidP="00525BCB">
      <w:pPr>
        <w:tabs>
          <w:tab w:val="left" w:pos="1843"/>
          <w:tab w:val="left" w:pos="2410"/>
        </w:tabs>
        <w:rPr>
          <w:rFonts w:asciiTheme="minorHAnsi" w:eastAsia="ＭＳ ゴシック" w:hAnsiTheme="minorHAnsi"/>
        </w:rPr>
      </w:pPr>
      <w:r w:rsidRPr="00BC31E0">
        <w:rPr>
          <w:rFonts w:asciiTheme="minorHAnsi" w:eastAsia="ＭＳ ゴシック" w:hAnsiTheme="minorHAnsi" w:hint="eastAsia"/>
        </w:rPr>
        <w:tab/>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t</m:t>
            </m:r>
          </m:sub>
        </m:sSub>
      </m:oMath>
      <w:r w:rsidR="00853345" w:rsidRPr="00BC31E0">
        <w:rPr>
          <w:rFonts w:ascii="Cambria Math" w:eastAsiaTheme="minorEastAsia" w:hAnsi="Cambria Math" w:hint="eastAsia"/>
        </w:rPr>
        <w:tab/>
      </w:r>
      <w:r w:rsidR="00586AE8" w:rsidRPr="00BC31E0">
        <w:rPr>
          <w:rFonts w:ascii="Cambria Math" w:eastAsiaTheme="minorEastAsia" w:hAnsi="Cambria Math" w:hint="eastAsia"/>
        </w:rPr>
        <w:t>：</w:t>
      </w:r>
      <w:r w:rsidR="00113CF0" w:rsidRPr="00BC31E0">
        <w:rPr>
          <w:rFonts w:ascii="Cambria Math" w:eastAsiaTheme="minorEastAsia" w:hAnsi="Cambria Math"/>
        </w:rPr>
        <w:t xml:space="preserve"> </w:t>
      </w:r>
      <w:r w:rsidR="00586AE8" w:rsidRPr="00BC31E0">
        <w:rPr>
          <w:rFonts w:asciiTheme="minorEastAsia" w:eastAsiaTheme="minorEastAsia" w:hAnsiTheme="minorEastAsia" w:hint="eastAsia"/>
        </w:rPr>
        <w:t>最大の層間隙間がある層の周方向応力</w:t>
      </w:r>
      <w:r w:rsidR="00586AE8" w:rsidRPr="00BC31E0">
        <w:rPr>
          <w:rFonts w:asciiTheme="minorHAnsi" w:eastAsiaTheme="minorEastAsia" w:hAnsiTheme="minorHAnsi"/>
        </w:rPr>
        <w:t>(MPa)</w:t>
      </w:r>
    </w:p>
    <w:p w14:paraId="794D713D" w14:textId="77777777" w:rsidR="00586AE8" w:rsidRPr="00BC31E0" w:rsidRDefault="00586AE8" w:rsidP="00736130">
      <w:pPr>
        <w:pStyle w:val="a4"/>
        <w:numPr>
          <w:ilvl w:val="0"/>
          <w:numId w:val="342"/>
        </w:numPr>
        <w:spacing w:before="120" w:after="120"/>
        <w:ind w:leftChars="0" w:left="1134" w:hanging="567"/>
      </w:pPr>
      <w:r w:rsidRPr="00BC31E0">
        <w:rPr>
          <w:rFonts w:hint="eastAsia"/>
        </w:rPr>
        <w:t>隙間</w:t>
      </w:r>
      <w:r w:rsidR="00A82C2A" w:rsidRPr="00BC31E0">
        <w:rPr>
          <w:rFonts w:hint="eastAsia"/>
        </w:rPr>
        <w:t>ごと</w:t>
      </w:r>
      <w:r w:rsidRPr="00BC31E0">
        <w:rPr>
          <w:rFonts w:hint="eastAsia"/>
        </w:rPr>
        <w:t>に次式で</w:t>
      </w:r>
      <m:oMath>
        <m:r>
          <m:rPr>
            <m:sty m:val="p"/>
          </m:rPr>
          <w:rPr>
            <w:rFonts w:ascii="Cambria Math" w:hAnsi="Cambria Math"/>
          </w:rPr>
          <m:t xml:space="preserve"> </m:t>
        </m:r>
        <m:r>
          <w:rPr>
            <w:rFonts w:ascii="Cambria Math" w:hAnsi="Cambria Math"/>
          </w:rPr>
          <m:t xml:space="preserve">F </m:t>
        </m:r>
      </m:oMath>
      <w:r w:rsidRPr="00BC31E0">
        <w:rPr>
          <w:rFonts w:hint="eastAsia"/>
        </w:rPr>
        <w:t>を計算し，</w:t>
      </w:r>
      <w:r w:rsidR="00DC160D" w:rsidRPr="00BC31E0">
        <w:rPr>
          <w:rFonts w:hint="eastAsia"/>
        </w:rPr>
        <w:t>全</w:t>
      </w:r>
      <w:r w:rsidRPr="00BC31E0">
        <w:rPr>
          <w:rFonts w:hint="eastAsia"/>
        </w:rPr>
        <w:t>ての隙間について足し合わせた合計は，次式で計算される</w:t>
      </w:r>
      <m:oMath>
        <m:sSub>
          <m:sSubPr>
            <m:ctrlPr>
              <w:rPr>
                <w:rFonts w:ascii="Cambria Math" w:hAnsi="Cambria Math"/>
                <w:i/>
              </w:rPr>
            </m:ctrlPr>
          </m:sSubPr>
          <m:e>
            <m:r>
              <w:rPr>
                <w:rFonts w:ascii="Cambria Math" w:hAnsi="Cambria Math"/>
              </w:rPr>
              <m:t xml:space="preserve"> F</m:t>
            </m:r>
          </m:e>
          <m:sub>
            <m:r>
              <w:rPr>
                <w:rFonts w:ascii="Cambria Math" w:hAnsi="Cambria Math"/>
              </w:rPr>
              <m:t>T</m:t>
            </m:r>
          </m:sub>
        </m:sSub>
        <m:r>
          <w:rPr>
            <w:rFonts w:ascii="Cambria Math" w:hAnsi="Cambria Math"/>
          </w:rPr>
          <m:t xml:space="preserve"> </m:t>
        </m:r>
      </m:oMath>
      <w:r w:rsidRPr="00BC31E0">
        <w:rPr>
          <w:rFonts w:hint="eastAsia"/>
        </w:rPr>
        <w:t>を超えてはならない。</w:t>
      </w:r>
    </w:p>
    <w:tbl>
      <w:tblPr>
        <w:tblStyle w:val="151"/>
        <w:tblW w:w="6520" w:type="dxa"/>
        <w:tblInd w:w="2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7"/>
        <w:gridCol w:w="1826"/>
        <w:gridCol w:w="3367"/>
      </w:tblGrid>
      <w:tr w:rsidR="00586AE8" w:rsidRPr="00BC31E0" w14:paraId="3461F67A" w14:textId="77777777" w:rsidTr="00525BCB">
        <w:tc>
          <w:tcPr>
            <w:tcW w:w="0" w:type="auto"/>
            <w:tcMar>
              <w:left w:w="0" w:type="dxa"/>
              <w:right w:w="0" w:type="dxa"/>
            </w:tcMar>
            <w:vAlign w:val="center"/>
          </w:tcPr>
          <w:p w14:paraId="2AFE3A48" w14:textId="77777777" w:rsidR="00586AE8" w:rsidRPr="00BC31E0" w:rsidRDefault="00586AE8" w:rsidP="00586AE8">
            <w:pPr>
              <w:tabs>
                <w:tab w:val="left" w:pos="2552"/>
                <w:tab w:val="left" w:leader="middleDot" w:pos="8222"/>
              </w:tabs>
              <w:rPr>
                <w:i/>
              </w:rPr>
            </w:pPr>
            <m:oMathPara>
              <m:oMathParaPr>
                <m:jc m:val="left"/>
              </m:oMathParaPr>
              <m:oMath>
                <m:r>
                  <w:rPr>
                    <w:rFonts w:ascii="Cambria Math" w:hAnsi="Cambria Math"/>
                  </w:rPr>
                  <m:t xml:space="preserve">F=0.109 </m:t>
                </m:r>
                <m:f>
                  <m:fPr>
                    <m:ctrlPr>
                      <w:rPr>
                        <w:rFonts w:ascii="Cambria Math" w:hAnsi="Cambria Math"/>
                        <w:i/>
                      </w:rPr>
                    </m:ctrlPr>
                  </m:fPr>
                  <m:num>
                    <m:r>
                      <w:rPr>
                        <w:rFonts w:ascii="Cambria Math" w:hAnsi="Cambria Math"/>
                      </w:rPr>
                      <m:t>b h</m:t>
                    </m:r>
                  </m:num>
                  <m:den>
                    <m:sSup>
                      <m:sSupPr>
                        <m:ctrlPr>
                          <w:rPr>
                            <w:rFonts w:ascii="Cambria Math" w:hAnsi="Cambria Math"/>
                            <w:i/>
                          </w:rPr>
                        </m:ctrlPr>
                      </m:sSupPr>
                      <m:e>
                        <m:sSub>
                          <m:sSubPr>
                            <m:ctrlPr>
                              <w:rPr>
                                <w:rFonts w:ascii="Cambria Math" w:hAnsi="Cambria Math"/>
                                <w:i/>
                              </w:rPr>
                            </m:ctrlPr>
                          </m:sSubPr>
                          <m:e>
                            <m:r>
                              <w:rPr>
                                <w:rFonts w:ascii="Cambria Math" w:hAnsi="Cambria Math"/>
                              </w:rPr>
                              <m:t>R</m:t>
                            </m:r>
                          </m:e>
                          <m:sub>
                            <m:r>
                              <w:rPr>
                                <w:rFonts w:ascii="Cambria Math" w:hAnsi="Cambria Math"/>
                              </w:rPr>
                              <m:t>g</m:t>
                            </m:r>
                          </m:sub>
                        </m:sSub>
                      </m:e>
                      <m:sup>
                        <m:r>
                          <w:rPr>
                            <w:rFonts w:ascii="Cambria Math" w:hAnsi="Cambria Math"/>
                          </w:rPr>
                          <m:t>2</m:t>
                        </m:r>
                      </m:sup>
                    </m:sSup>
                  </m:den>
                </m:f>
              </m:oMath>
            </m:oMathPara>
          </w:p>
        </w:tc>
        <w:tc>
          <w:tcPr>
            <w:tcW w:w="0" w:type="auto"/>
            <w:tcMar>
              <w:left w:w="0" w:type="dxa"/>
              <w:right w:w="0" w:type="dxa"/>
            </w:tcMar>
            <w:vAlign w:val="center"/>
          </w:tcPr>
          <w:p w14:paraId="760E9F37" w14:textId="77777777" w:rsidR="00586AE8" w:rsidRPr="00BC31E0" w:rsidRDefault="00586AE8" w:rsidP="00586AE8">
            <w:pPr>
              <w:tabs>
                <w:tab w:val="left" w:pos="2552"/>
                <w:tab w:val="left" w:leader="middleDot" w:pos="8222"/>
              </w:tabs>
              <w:ind w:leftChars="100" w:left="210"/>
            </w:pPr>
            <w:r w:rsidRPr="00BC31E0">
              <w:rPr>
                <w:rFonts w:hint="eastAsia"/>
              </w:rPr>
              <w:t>(</w:t>
            </w:r>
            <w:r w:rsidRPr="00BC31E0">
              <w:rPr>
                <w:rFonts w:ascii="ＭＳ ゴシック" w:eastAsia="ＭＳ ゴシック" w:hint="eastAsia"/>
                <w:b/>
              </w:rPr>
              <w:t>図7.8.5</w:t>
            </w:r>
            <w:r w:rsidRPr="00BC31E0">
              <w:rPr>
                <w:rFonts w:hint="eastAsia"/>
              </w:rPr>
              <w:t>を参照</w:t>
            </w:r>
            <w:r w:rsidRPr="00BC31E0">
              <w:rPr>
                <w:rFonts w:hint="eastAsia"/>
              </w:rPr>
              <w:t>)</w:t>
            </w:r>
          </w:p>
        </w:tc>
        <w:tc>
          <w:tcPr>
            <w:tcW w:w="3367" w:type="dxa"/>
            <w:tcMar>
              <w:left w:w="0" w:type="dxa"/>
              <w:right w:w="0" w:type="dxa"/>
            </w:tcMar>
            <w:vAlign w:val="center"/>
          </w:tcPr>
          <w:p w14:paraId="29FEF0A0" w14:textId="77777777" w:rsidR="00586AE8" w:rsidRPr="00BC31E0" w:rsidRDefault="00586AE8" w:rsidP="00525BCB">
            <w:pPr>
              <w:tabs>
                <w:tab w:val="left" w:leader="middleDot" w:pos="2517"/>
              </w:tabs>
            </w:pPr>
            <w:r w:rsidRPr="00BC31E0">
              <w:tab/>
            </w:r>
            <w:r w:rsidRPr="00BC31E0">
              <w:rPr>
                <w:rFonts w:hint="eastAsia"/>
              </w:rPr>
              <w:t>(7.8.7)</w:t>
            </w:r>
          </w:p>
        </w:tc>
      </w:tr>
      <w:tr w:rsidR="00586AE8" w:rsidRPr="00BC31E0" w14:paraId="761CE2EC" w14:textId="77777777" w:rsidTr="00525BCB">
        <w:tc>
          <w:tcPr>
            <w:tcW w:w="0" w:type="auto"/>
            <w:gridSpan w:val="2"/>
            <w:tcMar>
              <w:left w:w="0" w:type="dxa"/>
              <w:right w:w="0" w:type="dxa"/>
            </w:tcMar>
            <w:vAlign w:val="center"/>
          </w:tcPr>
          <w:p w14:paraId="2D3983AF" w14:textId="77777777" w:rsidR="00586AE8" w:rsidRPr="00BC31E0" w:rsidRDefault="00A51873" w:rsidP="00525BCB">
            <w:pPr>
              <w:tabs>
                <w:tab w:val="left" w:pos="2552"/>
                <w:tab w:val="left" w:leader="middleDot" w:pos="8222"/>
              </w:tabs>
              <w:spacing w:before="120"/>
              <w:jc w:val="left"/>
              <w:rPr>
                <w:i/>
              </w:rPr>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1-</m:t>
                    </m:r>
                    <m:sSup>
                      <m:sSupPr>
                        <m:ctrlPr>
                          <w:rPr>
                            <w:rFonts w:ascii="Cambria Math" w:hAnsi="Cambria Math"/>
                            <w:i/>
                          </w:rPr>
                        </m:ctrlPr>
                      </m:sSupPr>
                      <m:e>
                        <m:r>
                          <w:rPr>
                            <w:rFonts w:ascii="Cambria Math" w:hAnsi="Cambria Math"/>
                          </w:rPr>
                          <m:t>ν</m:t>
                        </m:r>
                      </m:e>
                      <m:sup>
                        <m:r>
                          <w:rPr>
                            <w:rFonts w:ascii="Cambria Math" w:hAnsi="Cambria Math" w:hint="eastAsia"/>
                          </w:rPr>
                          <m:t>2</m:t>
                        </m:r>
                      </m:sup>
                    </m:sSup>
                  </m:num>
                  <m:den>
                    <m:r>
                      <w:rPr>
                        <w:rFonts w:ascii="Cambria Math" w:hAnsi="Cambria Math"/>
                      </w:rPr>
                      <m:t>E</m:t>
                    </m:r>
                  </m:den>
                </m:f>
                <m:d>
                  <m:dPr>
                    <m:ctrlPr>
                      <w:rPr>
                        <w:rFonts w:ascii="Cambria Math" w:hAnsi="Cambria Math"/>
                        <w:i/>
                      </w:rPr>
                    </m:ctrlPr>
                  </m:dPr>
                  <m:e>
                    <m:r>
                      <w:rPr>
                        <w:rFonts w:ascii="Cambria Math" w:hAnsi="Cambria Math"/>
                      </w:rPr>
                      <m:t xml:space="preserve">1.67 </m:t>
                    </m:r>
                    <m:sSub>
                      <m:sSubPr>
                        <m:ctrlPr>
                          <w:rPr>
                            <w:rFonts w:ascii="Cambria Math" w:hAnsi="Cambria Math"/>
                            <w:i/>
                          </w:rPr>
                        </m:ctrlPr>
                      </m:sSubPr>
                      <m:e>
                        <m:r>
                          <w:rPr>
                            <w:rFonts w:ascii="Cambria Math" w:hAnsi="Cambria Math"/>
                          </w:rPr>
                          <m:t>S</m:t>
                        </m:r>
                      </m:e>
                      <m:sub>
                        <m:r>
                          <w:rPr>
                            <w:rFonts w:ascii="Cambria Math" w:hAnsi="Cambria Math"/>
                          </w:rPr>
                          <m:t>y</m:t>
                        </m:r>
                      </m:sub>
                    </m:sSub>
                    <m:r>
                      <w:rPr>
                        <w:rFonts w:ascii="Cambria Math" w:hAnsi="Cambria Math"/>
                      </w:rPr>
                      <m:t>-</m:t>
                    </m:r>
                    <m:f>
                      <m:fPr>
                        <m:ctrlPr>
                          <w:rPr>
                            <w:rFonts w:ascii="Cambria Math" w:hAnsi="Cambria Math"/>
                            <w:i/>
                          </w:rPr>
                        </m:ctrlPr>
                      </m:fPr>
                      <m:num>
                        <m:r>
                          <w:rPr>
                            <w:rFonts w:ascii="Cambria Math" w:hAnsi="Cambria Math"/>
                          </w:rPr>
                          <m:t xml:space="preserve">2 P </m:t>
                        </m:r>
                        <m:sSup>
                          <m:sSupPr>
                            <m:ctrlPr>
                              <w:rPr>
                                <w:rFonts w:ascii="Cambria Math" w:hAnsi="Cambria Math"/>
                                <w:i/>
                              </w:rPr>
                            </m:ctrlPr>
                          </m:sSupPr>
                          <m:e>
                            <m:sSub>
                              <m:sSubPr>
                                <m:ctrlPr>
                                  <w:rPr>
                                    <w:rFonts w:ascii="Cambria Math" w:hAnsi="Cambria Math"/>
                                    <w:i/>
                                  </w:rPr>
                                </m:ctrlPr>
                              </m:sSubPr>
                              <m:e>
                                <m:r>
                                  <w:rPr>
                                    <w:rFonts w:ascii="Cambria Math" w:hAnsi="Cambria Math"/>
                                  </w:rPr>
                                  <m:t>R</m:t>
                                </m:r>
                              </m:e>
                              <m:sub>
                                <m:r>
                                  <w:rPr>
                                    <w:rFonts w:ascii="Cambria Math" w:hAnsi="Cambria Math"/>
                                  </w:rPr>
                                  <m:t>O</m:t>
                                </m:r>
                              </m:sub>
                            </m:sSub>
                          </m:e>
                          <m:sup>
                            <m:r>
                              <w:rPr>
                                <w:rFonts w:ascii="Cambria Math" w:hAnsi="Cambria Math"/>
                              </w:rPr>
                              <m:t>2</m:t>
                            </m:r>
                          </m:sup>
                        </m:sSup>
                      </m:num>
                      <m:den>
                        <m:sSup>
                          <m:sSupPr>
                            <m:ctrlPr>
                              <w:rPr>
                                <w:rFonts w:ascii="Cambria Math" w:hAnsi="Cambria Math"/>
                                <w:i/>
                              </w:rPr>
                            </m:ctrlPr>
                          </m:sSupPr>
                          <m:e>
                            <m:sSub>
                              <m:sSubPr>
                                <m:ctrlPr>
                                  <w:rPr>
                                    <w:rFonts w:ascii="Cambria Math" w:hAnsi="Cambria Math"/>
                                    <w:i/>
                                  </w:rPr>
                                </m:ctrlPr>
                              </m:sSubPr>
                              <m:e>
                                <m:r>
                                  <w:rPr>
                                    <w:rFonts w:ascii="Cambria Math" w:hAnsi="Cambria Math"/>
                                  </w:rPr>
                                  <m:t>R</m:t>
                                </m:r>
                              </m:e>
                              <m:sub>
                                <m:r>
                                  <w:rPr>
                                    <w:rFonts w:ascii="Cambria Math" w:hAnsi="Cambria Math"/>
                                  </w:rPr>
                                  <m:t>O</m:t>
                                </m:r>
                              </m:sub>
                            </m:sSub>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R</m:t>
                                </m:r>
                              </m:e>
                              <m:sub>
                                <m:r>
                                  <w:rPr>
                                    <w:rFonts w:ascii="Cambria Math" w:hAnsi="Cambria Math"/>
                                  </w:rPr>
                                  <m:t>I</m:t>
                                </m:r>
                              </m:sub>
                            </m:sSub>
                          </m:e>
                          <m:sup>
                            <m:r>
                              <w:rPr>
                                <w:rFonts w:ascii="Cambria Math" w:hAnsi="Cambria Math"/>
                              </w:rPr>
                              <m:t>2</m:t>
                            </m:r>
                          </m:sup>
                        </m:sSup>
                      </m:den>
                    </m:f>
                  </m:e>
                </m:d>
              </m:oMath>
            </m:oMathPara>
          </w:p>
        </w:tc>
        <w:tc>
          <w:tcPr>
            <w:tcW w:w="3367" w:type="dxa"/>
            <w:tcMar>
              <w:left w:w="0" w:type="dxa"/>
              <w:right w:w="0" w:type="dxa"/>
            </w:tcMar>
            <w:vAlign w:val="center"/>
          </w:tcPr>
          <w:p w14:paraId="127D907E" w14:textId="77777777" w:rsidR="00586AE8" w:rsidRPr="00BC31E0" w:rsidRDefault="00586AE8" w:rsidP="00525BCB">
            <w:pPr>
              <w:tabs>
                <w:tab w:val="left" w:leader="middleDot" w:pos="2517"/>
              </w:tabs>
              <w:spacing w:before="120"/>
            </w:pPr>
            <w:r w:rsidRPr="00BC31E0">
              <w:rPr>
                <w:rFonts w:hint="eastAsia"/>
              </w:rPr>
              <w:tab/>
              <w:t>(7.8.8)</w:t>
            </w:r>
          </w:p>
        </w:tc>
      </w:tr>
    </w:tbl>
    <w:p w14:paraId="4D3A7DEE" w14:textId="77777777" w:rsidR="00586AE8" w:rsidRPr="00BC31E0" w:rsidRDefault="00586AE8" w:rsidP="00525BCB">
      <w:pPr>
        <w:ind w:left="1361"/>
      </w:pPr>
      <w:r w:rsidRPr="00BC31E0">
        <w:rPr>
          <w:rFonts w:hint="eastAsia"/>
        </w:rPr>
        <w:t>ここで，</w:t>
      </w:r>
    </w:p>
    <w:p w14:paraId="57FDF996" w14:textId="77777777" w:rsidR="00586AE8" w:rsidRPr="00BC31E0" w:rsidRDefault="00525BCB" w:rsidP="00525BCB">
      <w:pPr>
        <w:tabs>
          <w:tab w:val="left" w:pos="1843"/>
          <w:tab w:val="left" w:pos="2410"/>
        </w:tabs>
      </w:pPr>
      <w:r w:rsidRPr="00BC31E0">
        <w:rPr>
          <w:rFonts w:hint="eastAsia"/>
        </w:rPr>
        <w:tab/>
      </w:r>
      <m:oMath>
        <m:r>
          <w:rPr>
            <w:rFonts w:ascii="Cambria Math" w:hAnsi="Cambria Math"/>
          </w:rPr>
          <m:t>b</m:t>
        </m:r>
      </m:oMath>
      <w:r w:rsidR="00586AE8" w:rsidRPr="00BC31E0">
        <w:rPr>
          <w:rFonts w:hint="eastAsia"/>
        </w:rPr>
        <w:tab/>
      </w:r>
      <w:r w:rsidR="00586AE8" w:rsidRPr="00BC31E0">
        <w:rPr>
          <w:rFonts w:hint="eastAsia"/>
        </w:rPr>
        <w:t>：</w:t>
      </w:r>
      <w:r w:rsidR="00586AE8" w:rsidRPr="00BC31E0">
        <w:rPr>
          <w:rFonts w:hint="eastAsia"/>
        </w:rPr>
        <w:t xml:space="preserve"> </w:t>
      </w:r>
      <w:r w:rsidR="00586AE8" w:rsidRPr="00BC31E0">
        <w:rPr>
          <w:rFonts w:asciiTheme="minorEastAsia" w:eastAsiaTheme="minorEastAsia" w:hAnsiTheme="minorEastAsia" w:hint="eastAsia"/>
        </w:rPr>
        <w:t>層間の隙間長さ</w:t>
      </w:r>
      <w:r w:rsidR="00586AE8" w:rsidRPr="00BC31E0">
        <w:rPr>
          <w:rFonts w:asciiTheme="minorHAnsi" w:eastAsiaTheme="minorEastAsia" w:hAnsiTheme="minorHAnsi"/>
        </w:rPr>
        <w:t>(mm)</w:t>
      </w:r>
    </w:p>
    <w:p w14:paraId="455CDF6F" w14:textId="77777777" w:rsidR="00586AE8" w:rsidRPr="00BC31E0" w:rsidRDefault="00525BCB" w:rsidP="00525BCB">
      <w:pPr>
        <w:tabs>
          <w:tab w:val="left" w:pos="1843"/>
          <w:tab w:val="left" w:pos="2410"/>
        </w:tabs>
      </w:pPr>
      <w:r w:rsidRPr="00BC31E0">
        <w:rPr>
          <w:rFonts w:hint="eastAsia"/>
        </w:rPr>
        <w:tab/>
      </w:r>
      <m:oMath>
        <m:r>
          <w:rPr>
            <w:rFonts w:ascii="Cambria Math" w:hAnsi="Cambria Math"/>
          </w:rPr>
          <m:t>F</m:t>
        </m:r>
      </m:oMath>
      <w:r w:rsidRPr="00BC31E0">
        <w:rPr>
          <w:rFonts w:hint="eastAsia"/>
          <w:i/>
        </w:rPr>
        <w:tab/>
      </w:r>
      <w:r w:rsidR="00586AE8" w:rsidRPr="00BC31E0">
        <w:rPr>
          <w:rFonts w:hint="eastAsia"/>
        </w:rPr>
        <w:t>：</w:t>
      </w:r>
      <w:r w:rsidR="00586AE8" w:rsidRPr="00BC31E0">
        <w:rPr>
          <w:rFonts w:hint="eastAsia"/>
        </w:rPr>
        <w:t xml:space="preserve"> </w:t>
      </w:r>
      <w:r w:rsidR="00586AE8" w:rsidRPr="00BC31E0">
        <w:rPr>
          <w:rFonts w:hint="eastAsia"/>
        </w:rPr>
        <w:t>各隙間の評価値</w:t>
      </w:r>
    </w:p>
    <w:p w14:paraId="16F48D67" w14:textId="77777777" w:rsidR="00586AE8" w:rsidRPr="00BC31E0" w:rsidRDefault="00525BCB" w:rsidP="00525BCB">
      <w:pPr>
        <w:tabs>
          <w:tab w:val="left" w:pos="1843"/>
          <w:tab w:val="left" w:pos="2410"/>
        </w:tabs>
        <w:rPr>
          <w:rFonts w:asciiTheme="minorEastAsia" w:eastAsiaTheme="minorEastAsia" w:hAnsiTheme="minorEastAsia"/>
        </w:rPr>
      </w:pPr>
      <w:r w:rsidRPr="00BC31E0">
        <w:rPr>
          <w:rFonts w:hint="eastAsia"/>
        </w:rPr>
        <w:tab/>
      </w:r>
      <m:oMath>
        <m:sSub>
          <m:sSubPr>
            <m:ctrlPr>
              <w:rPr>
                <w:rFonts w:ascii="Cambria Math" w:hAnsi="Cambria Math"/>
                <w:i/>
              </w:rPr>
            </m:ctrlPr>
          </m:sSubPr>
          <m:e>
            <m:r>
              <w:rPr>
                <w:rFonts w:ascii="Cambria Math" w:hAnsi="Cambria Math"/>
              </w:rPr>
              <m:t>F</m:t>
            </m:r>
          </m:e>
          <m:sub>
            <m:r>
              <w:rPr>
                <w:rFonts w:ascii="Cambria Math" w:hAnsi="Cambria Math"/>
              </w:rPr>
              <m:t>T</m:t>
            </m:r>
          </m:sub>
        </m:sSub>
      </m:oMath>
      <w:r w:rsidR="00586AE8" w:rsidRPr="00BC31E0">
        <w:rPr>
          <w:rFonts w:hint="eastAsia"/>
          <w:vertAlign w:val="subscript"/>
        </w:rPr>
        <w:tab/>
      </w:r>
      <w:r w:rsidR="00586AE8" w:rsidRPr="00BC31E0">
        <w:rPr>
          <w:rFonts w:hint="eastAsia"/>
        </w:rPr>
        <w:t>：</w:t>
      </w:r>
      <w:r w:rsidR="00586AE8" w:rsidRPr="00BC31E0">
        <w:rPr>
          <w:rFonts w:hint="eastAsia"/>
        </w:rPr>
        <w:t xml:space="preserve"> </w:t>
      </w:r>
      <w:r w:rsidR="00586AE8" w:rsidRPr="00BC31E0">
        <w:rPr>
          <w:rFonts w:hint="eastAsia"/>
        </w:rPr>
        <w:t>各隙間の評価値合計の許容値</w:t>
      </w:r>
    </w:p>
    <w:p w14:paraId="3EE1675C" w14:textId="77777777" w:rsidR="00586AE8" w:rsidRPr="00BC31E0" w:rsidRDefault="00525BCB" w:rsidP="00525BCB">
      <w:pPr>
        <w:tabs>
          <w:tab w:val="left" w:pos="1843"/>
          <w:tab w:val="left" w:pos="2410"/>
        </w:tabs>
      </w:pPr>
      <w:r w:rsidRPr="00BC31E0">
        <w:rPr>
          <w:rFonts w:asciiTheme="minorEastAsia" w:eastAsiaTheme="minorEastAsia" w:hAnsiTheme="minorEastAsia" w:hint="eastAsia"/>
        </w:rPr>
        <w:tab/>
      </w:r>
      <m:oMath>
        <m:sSub>
          <m:sSubPr>
            <m:ctrlPr>
              <w:rPr>
                <w:rFonts w:ascii="Cambria Math" w:hAnsi="Cambria Math"/>
                <w:i/>
              </w:rPr>
            </m:ctrlPr>
          </m:sSubPr>
          <m:e>
            <m:r>
              <w:rPr>
                <w:rFonts w:ascii="Cambria Math" w:hAnsi="Cambria Math"/>
              </w:rPr>
              <m:t>S</m:t>
            </m:r>
          </m:e>
          <m:sub>
            <m:r>
              <w:rPr>
                <w:rFonts w:ascii="Cambria Math" w:hAnsi="Cambria Math"/>
              </w:rPr>
              <m:t>y</m:t>
            </m:r>
          </m:sub>
        </m:sSub>
      </m:oMath>
      <w:r w:rsidR="00586AE8" w:rsidRPr="00BC31E0">
        <w:rPr>
          <w:rFonts w:hint="eastAsia"/>
          <w:vertAlign w:val="subscript"/>
        </w:rPr>
        <w:tab/>
      </w:r>
      <w:r w:rsidR="00586AE8" w:rsidRPr="00BC31E0">
        <w:rPr>
          <w:rFonts w:hint="eastAsia"/>
        </w:rPr>
        <w:t>：</w:t>
      </w:r>
      <w:r w:rsidR="00586AE8" w:rsidRPr="00BC31E0">
        <w:rPr>
          <w:rFonts w:hint="eastAsia"/>
        </w:rPr>
        <w:t xml:space="preserve"> </w:t>
      </w:r>
      <w:r w:rsidR="00586AE8" w:rsidRPr="00BC31E0">
        <w:rPr>
          <w:rFonts w:asciiTheme="minorEastAsia" w:eastAsiaTheme="minorEastAsia" w:hAnsiTheme="minorEastAsia" w:hint="eastAsia"/>
        </w:rPr>
        <w:t>降伏強さ</w:t>
      </w:r>
      <w:r w:rsidR="00586AE8" w:rsidRPr="00BC31E0">
        <w:rPr>
          <w:rFonts w:asciiTheme="minorHAnsi" w:eastAsiaTheme="minorEastAsia" w:hAnsiTheme="minorHAnsi"/>
        </w:rPr>
        <w:t>(MPa)</w:t>
      </w:r>
    </w:p>
    <w:p w14:paraId="6846FE13" w14:textId="77777777" w:rsidR="00586AE8" w:rsidRPr="00BC31E0" w:rsidRDefault="00525BCB" w:rsidP="00525BCB">
      <w:pPr>
        <w:tabs>
          <w:tab w:val="left" w:pos="1843"/>
          <w:tab w:val="left" w:pos="2410"/>
        </w:tabs>
      </w:pPr>
      <w:r w:rsidRPr="00BC31E0">
        <w:rPr>
          <w:rFonts w:hint="eastAsia"/>
        </w:rPr>
        <w:tab/>
      </w:r>
      <m:oMath>
        <m:r>
          <w:rPr>
            <w:rFonts w:ascii="Cambria Math" w:hAnsi="Cambria Math" w:hint="eastAsia"/>
          </w:rPr>
          <m:t>ν</m:t>
        </m:r>
      </m:oMath>
      <w:r w:rsidR="00586AE8" w:rsidRPr="00BC31E0">
        <w:tab/>
      </w:r>
      <w:r w:rsidR="00586AE8" w:rsidRPr="00BC31E0">
        <w:rPr>
          <w:rFonts w:hint="eastAsia"/>
        </w:rPr>
        <w:t>：</w:t>
      </w:r>
      <w:r w:rsidR="00586AE8" w:rsidRPr="00BC31E0">
        <w:rPr>
          <w:rFonts w:hint="eastAsia"/>
        </w:rPr>
        <w:t xml:space="preserve"> </w:t>
      </w:r>
      <w:r w:rsidR="00586AE8" w:rsidRPr="00BC31E0">
        <w:rPr>
          <w:rFonts w:hint="eastAsia"/>
        </w:rPr>
        <w:t>ポアソン比</w:t>
      </w:r>
    </w:p>
    <w:p w14:paraId="068E0DF3" w14:textId="77777777" w:rsidR="00525BCB" w:rsidRPr="00BC31E0" w:rsidRDefault="00586AE8" w:rsidP="00736130">
      <w:pPr>
        <w:pStyle w:val="a4"/>
        <w:numPr>
          <w:ilvl w:val="0"/>
          <w:numId w:val="342"/>
        </w:numPr>
        <w:spacing w:before="120"/>
        <w:ind w:leftChars="0" w:left="1134" w:hanging="567"/>
      </w:pPr>
      <w:r w:rsidRPr="00BC31E0">
        <w:rPr>
          <w:rFonts w:asciiTheme="majorEastAsia" w:eastAsiaTheme="majorEastAsia" w:hAnsiTheme="majorEastAsia" w:hint="eastAsia"/>
          <w:b/>
        </w:rPr>
        <w:t>図</w:t>
      </w:r>
      <w:r w:rsidRPr="00BC31E0">
        <w:rPr>
          <w:rFonts w:asciiTheme="majorEastAsia" w:eastAsiaTheme="majorEastAsia" w:hAnsiTheme="majorEastAsia"/>
          <w:b/>
        </w:rPr>
        <w:t>7.</w:t>
      </w:r>
      <w:r w:rsidRPr="00BC31E0">
        <w:rPr>
          <w:rFonts w:asciiTheme="majorEastAsia" w:eastAsiaTheme="majorEastAsia" w:hAnsiTheme="majorEastAsia" w:hint="eastAsia"/>
          <w:b/>
        </w:rPr>
        <w:t>8</w:t>
      </w:r>
      <w:r w:rsidRPr="00BC31E0">
        <w:rPr>
          <w:rFonts w:asciiTheme="majorEastAsia" w:eastAsiaTheme="majorEastAsia" w:hAnsiTheme="majorEastAsia"/>
          <w:b/>
        </w:rPr>
        <w:t>.5</w:t>
      </w:r>
      <w:r w:rsidRPr="00BC31E0">
        <w:rPr>
          <w:rFonts w:hint="eastAsia"/>
        </w:rPr>
        <w:t>に示した二つの隣り合った層の隙間の面積</w:t>
      </w:r>
      <m:oMath>
        <m:sSub>
          <m:sSubPr>
            <m:ctrlPr>
              <w:rPr>
                <w:rFonts w:ascii="Cambria Math" w:hAnsi="Cambria Math"/>
                <w:i/>
              </w:rPr>
            </m:ctrlPr>
          </m:sSubPr>
          <m:e>
            <m:r>
              <w:rPr>
                <w:rFonts w:ascii="Cambria Math" w:hAnsi="Cambria Math"/>
              </w:rPr>
              <m:t xml:space="preserve"> A</m:t>
            </m:r>
          </m:e>
          <m:sub>
            <m:r>
              <w:rPr>
                <w:rFonts w:ascii="Cambria Math" w:hAnsi="Cambria Math"/>
              </w:rPr>
              <m:t>g</m:t>
            </m:r>
          </m:sub>
        </m:sSub>
        <m:r>
          <w:rPr>
            <w:rFonts w:ascii="Cambria Math" w:hAnsi="Cambria Math"/>
          </w:rPr>
          <m:t xml:space="preserve"> </m:t>
        </m:r>
      </m:oMath>
      <w:r w:rsidRPr="00BC31E0">
        <w:rPr>
          <w:rFonts w:hint="eastAsia"/>
        </w:rPr>
        <w:t>の値は，いずれか薄い方の層の厚さの値を超えてはならない。</w:t>
      </w:r>
    </w:p>
    <w:p w14:paraId="12B9DE19" w14:textId="77777777" w:rsidR="00525BCB" w:rsidRPr="00BC31E0" w:rsidRDefault="00586AE8" w:rsidP="00736130">
      <w:pPr>
        <w:pStyle w:val="a4"/>
        <w:numPr>
          <w:ilvl w:val="0"/>
          <w:numId w:val="342"/>
        </w:numPr>
        <w:ind w:leftChars="0" w:left="1134" w:hanging="567"/>
      </w:pPr>
      <w:r w:rsidRPr="00BC31E0">
        <w:rPr>
          <w:rFonts w:ascii="ＭＳ 明朝" w:hAnsi="ＭＳ 明朝" w:hint="eastAsia"/>
          <w:bCs/>
        </w:rPr>
        <w:t>一つの隙間の長さは，容器の内径を超えてはならない。二つの隣り合った層に存在する隙間の長さの合計は，容器の内径を越えてはならない。</w:t>
      </w:r>
    </w:p>
    <w:p w14:paraId="7F8A2F1C" w14:textId="77777777" w:rsidR="00586AE8" w:rsidRPr="00BC31E0" w:rsidRDefault="00586AE8" w:rsidP="00736130">
      <w:pPr>
        <w:pStyle w:val="a4"/>
        <w:numPr>
          <w:ilvl w:val="0"/>
          <w:numId w:val="342"/>
        </w:numPr>
        <w:ind w:leftChars="0" w:left="1134" w:hanging="567"/>
      </w:pPr>
      <w:r w:rsidRPr="00BC31E0">
        <w:rPr>
          <w:rFonts w:asciiTheme="majorEastAsia" w:eastAsiaTheme="majorEastAsia" w:hAnsiTheme="majorEastAsia" w:hint="eastAsia"/>
          <w:b/>
        </w:rPr>
        <w:t>2.1)</w:t>
      </w:r>
      <w:r w:rsidRPr="00BC31E0">
        <w:rPr>
          <w:rFonts w:ascii="ＭＳ 明朝" w:hAnsi="ＭＳ 明朝" w:hint="eastAsia"/>
          <w:bCs/>
        </w:rPr>
        <w:t>～</w:t>
      </w:r>
      <w:r w:rsidRPr="00BC31E0">
        <w:rPr>
          <w:rFonts w:asciiTheme="majorEastAsia" w:eastAsiaTheme="majorEastAsia" w:hAnsiTheme="majorEastAsia" w:hint="eastAsia"/>
          <w:b/>
        </w:rPr>
        <w:t>2.4)</w:t>
      </w:r>
      <w:r w:rsidRPr="00BC31E0">
        <w:rPr>
          <w:rFonts w:ascii="ＭＳ 明朝" w:hAnsi="ＭＳ 明朝" w:hint="eastAsia"/>
          <w:bCs/>
        </w:rPr>
        <w:t>の結果は，検査記録に残す。</w:t>
      </w:r>
    </w:p>
    <w:p w14:paraId="733E30B1" w14:textId="77777777" w:rsidR="00586AE8" w:rsidRPr="00BC31E0" w:rsidRDefault="00586AE8" w:rsidP="00736130">
      <w:pPr>
        <w:pStyle w:val="a4"/>
        <w:numPr>
          <w:ilvl w:val="0"/>
          <w:numId w:val="489"/>
        </w:numPr>
        <w:ind w:leftChars="0" w:left="454" w:hanging="454"/>
      </w:pPr>
      <w:r w:rsidRPr="00BC31E0">
        <w:rPr>
          <w:rFonts w:asciiTheme="majorEastAsia" w:eastAsiaTheme="majorEastAsia" w:hAnsiTheme="majorEastAsia" w:hint="eastAsia"/>
          <w:b/>
        </w:rPr>
        <w:t>耐圧試験中の周長の測定</w:t>
      </w:r>
      <w:r w:rsidRPr="00BC31E0">
        <w:rPr>
          <w:rFonts w:hint="eastAsia"/>
        </w:rPr>
        <w:t xml:space="preserve">　</w:t>
      </w:r>
      <w:r w:rsidRPr="00BC31E0">
        <w:rPr>
          <w:rFonts w:ascii="ＭＳ 明朝" w:hAnsi="ＭＳ 明朝" w:hint="eastAsia"/>
        </w:rPr>
        <w:t>耐圧試験中の周長の測定は，次の</w:t>
      </w:r>
      <w:r w:rsidRPr="00BC31E0">
        <w:rPr>
          <w:rFonts w:asciiTheme="majorEastAsia" w:eastAsiaTheme="majorEastAsia" w:hAnsiTheme="majorEastAsia" w:hint="eastAsia"/>
          <w:b/>
        </w:rPr>
        <w:t>1)</w:t>
      </w:r>
      <w:r w:rsidRPr="00BC31E0">
        <w:rPr>
          <w:rFonts w:ascii="ＭＳ 明朝" w:hAnsi="ＭＳ 明朝" w:hint="eastAsia"/>
        </w:rPr>
        <w:t>～</w:t>
      </w:r>
      <w:r w:rsidRPr="00BC31E0">
        <w:rPr>
          <w:rFonts w:asciiTheme="majorEastAsia" w:eastAsiaTheme="majorEastAsia" w:hAnsiTheme="majorEastAsia" w:hint="eastAsia"/>
          <w:b/>
        </w:rPr>
        <w:t>4)</w:t>
      </w:r>
      <w:r w:rsidRPr="00BC31E0">
        <w:rPr>
          <w:rFonts w:eastAsiaTheme="majorEastAsia" w:hint="eastAsia"/>
        </w:rPr>
        <w:t xml:space="preserve"> </w:t>
      </w:r>
      <w:r w:rsidRPr="00BC31E0">
        <w:rPr>
          <w:rFonts w:ascii="ＭＳ 明朝" w:hAnsi="ＭＳ 明朝" w:hint="eastAsia"/>
        </w:rPr>
        <w:t>による。</w:t>
      </w:r>
    </w:p>
    <w:p w14:paraId="33DEE951" w14:textId="77777777" w:rsidR="00927B28" w:rsidRPr="00BC31E0" w:rsidRDefault="00586AE8" w:rsidP="00736130">
      <w:pPr>
        <w:pStyle w:val="a4"/>
        <w:numPr>
          <w:ilvl w:val="0"/>
          <w:numId w:val="343"/>
        </w:numPr>
        <w:ind w:leftChars="0" w:left="738" w:hanging="454"/>
      </w:pPr>
      <w:r w:rsidRPr="00BC31E0">
        <w:rPr>
          <w:rFonts w:hint="eastAsia"/>
        </w:rPr>
        <w:t>耐圧前と耐圧試験圧力に達してから</w:t>
      </w:r>
      <w:r w:rsidRPr="00BC31E0">
        <w:t>5</w:t>
      </w:r>
      <w:r w:rsidRPr="00BC31E0">
        <w:rPr>
          <w:rFonts w:hint="eastAsia"/>
        </w:rPr>
        <w:t>分以上保持した後に</w:t>
      </w:r>
      <w:r w:rsidRPr="00BC31E0">
        <w:t>2</w:t>
      </w:r>
      <w:r w:rsidRPr="00BC31E0">
        <w:rPr>
          <w:rFonts w:hint="eastAsia"/>
        </w:rPr>
        <w:t>回周長を測定し，周長の増加を求める。測定は周溶接線と周溶接線の中央，又は周溶接線とノズル溶接線の中央とする。周長の測定は周溶接線で仕切られた胴</w:t>
      </w:r>
      <w:r w:rsidR="00A82C2A" w:rsidRPr="00BC31E0">
        <w:rPr>
          <w:rFonts w:hint="eastAsia"/>
        </w:rPr>
        <w:t>ごと</w:t>
      </w:r>
      <w:r w:rsidRPr="00BC31E0">
        <w:rPr>
          <w:rFonts w:hint="eastAsia"/>
        </w:rPr>
        <w:t>に行い，その平均値を</w:t>
      </w:r>
      <m:oMath>
        <m:sSub>
          <m:sSubPr>
            <m:ctrlPr>
              <w:rPr>
                <w:rFonts w:ascii="Cambria Math" w:hAnsi="Cambria Math"/>
                <w:i/>
              </w:rPr>
            </m:ctrlPr>
          </m:sSubPr>
          <m:e>
            <m:r>
              <w:rPr>
                <w:rFonts w:ascii="Cambria Math" w:hAnsi="Cambria Math"/>
              </w:rPr>
              <m:t xml:space="preserve"> e</m:t>
            </m:r>
          </m:e>
          <m:sub>
            <m:r>
              <w:rPr>
                <w:rFonts w:ascii="Cambria Math" w:hAnsi="Cambria Math"/>
              </w:rPr>
              <m:t>m</m:t>
            </m:r>
          </m:sub>
        </m:sSub>
        <m:r>
          <w:rPr>
            <w:rFonts w:ascii="Cambria Math" w:hAnsi="Cambria Math"/>
          </w:rPr>
          <m:t xml:space="preserve"> </m:t>
        </m:r>
      </m:oMath>
      <w:r w:rsidRPr="00BC31E0">
        <w:rPr>
          <w:rFonts w:hint="eastAsia"/>
        </w:rPr>
        <w:t>とする。</w:t>
      </w:r>
    </w:p>
    <w:p w14:paraId="09A99B60" w14:textId="77777777" w:rsidR="00927B28" w:rsidRPr="00BC31E0" w:rsidRDefault="00586AE8" w:rsidP="00736130">
      <w:pPr>
        <w:pStyle w:val="a4"/>
        <w:numPr>
          <w:ilvl w:val="0"/>
          <w:numId w:val="343"/>
        </w:numPr>
        <w:ind w:leftChars="0" w:left="738" w:hanging="454"/>
      </w:pPr>
      <w:r w:rsidRPr="00BC31E0">
        <w:rPr>
          <w:rFonts w:ascii="ＭＳ 明朝" w:hAnsi="ＭＳ 明朝" w:hint="eastAsia"/>
        </w:rPr>
        <w:t>理論</w:t>
      </w:r>
      <w:r w:rsidR="00DF3B3B" w:rsidRPr="00BC31E0">
        <w:rPr>
          <w:rFonts w:ascii="ＭＳ 明朝" w:hAnsi="ＭＳ 明朝" w:hint="eastAsia"/>
        </w:rPr>
        <w:t>周長伸び</w:t>
      </w:r>
      <m:oMath>
        <m:sSub>
          <m:sSubPr>
            <m:ctrlPr>
              <w:rPr>
                <w:rFonts w:ascii="Cambria Math" w:hAnsi="Cambria Math"/>
                <w:i/>
              </w:rPr>
            </m:ctrlPr>
          </m:sSubPr>
          <m:e>
            <m:r>
              <w:rPr>
                <w:rFonts w:ascii="Cambria Math" w:hAnsi="Cambria Math"/>
              </w:rPr>
              <m:t xml:space="preserve"> e</m:t>
            </m:r>
          </m:e>
          <m:sub>
            <m:r>
              <w:rPr>
                <w:rFonts w:ascii="Cambria Math" w:hAnsi="Cambria Math"/>
              </w:rPr>
              <m:t>th</m:t>
            </m:r>
          </m:sub>
        </m:sSub>
        <m:r>
          <w:rPr>
            <w:rFonts w:ascii="Cambria Math" w:hAnsi="Cambria Math"/>
          </w:rPr>
          <m:t xml:space="preserve"> </m:t>
        </m:r>
      </m:oMath>
      <w:r w:rsidRPr="00BC31E0">
        <w:rPr>
          <w:rFonts w:ascii="ＭＳ 明朝" w:hAnsi="ＭＳ 明朝" w:hint="eastAsia"/>
        </w:rPr>
        <w:t>を</w:t>
      </w:r>
      <w:r w:rsidRPr="00BC31E0">
        <w:rPr>
          <w:rFonts w:asciiTheme="majorEastAsia" w:eastAsiaTheme="majorEastAsia" w:hAnsiTheme="majorEastAsia" w:hint="eastAsia"/>
          <w:b/>
        </w:rPr>
        <w:t>6.8</w:t>
      </w:r>
      <w:r w:rsidR="009969EC" w:rsidRPr="00BC31E0">
        <w:rPr>
          <w:rFonts w:ascii="ＭＳ 明朝" w:hAnsi="ＭＳ 明朝" w:hint="eastAsia"/>
        </w:rPr>
        <w:t>に従って</w:t>
      </w:r>
      <w:r w:rsidRPr="00BC31E0">
        <w:rPr>
          <w:rFonts w:ascii="ＭＳ 明朝" w:hAnsi="ＭＳ 明朝" w:hint="eastAsia"/>
        </w:rPr>
        <w:t>計算する。</w:t>
      </w:r>
    </w:p>
    <w:p w14:paraId="4ABA6846" w14:textId="77777777" w:rsidR="00927B28" w:rsidRPr="00BC31E0" w:rsidRDefault="00DF3B3B" w:rsidP="00736130">
      <w:pPr>
        <w:pStyle w:val="a4"/>
        <w:numPr>
          <w:ilvl w:val="0"/>
          <w:numId w:val="343"/>
        </w:numPr>
        <w:ind w:leftChars="0" w:left="738" w:hanging="454"/>
      </w:pPr>
      <w:r w:rsidRPr="00BC31E0">
        <w:rPr>
          <w:rFonts w:hint="eastAsia"/>
        </w:rPr>
        <w:t>層間隙間係数</w:t>
      </w:r>
      <w:r w:rsidR="007642F3" w:rsidRPr="00BC31E0">
        <w:rPr>
          <w:rFonts w:hint="eastAsia"/>
        </w:rPr>
        <w:t xml:space="preserve"> </w:t>
      </w:r>
      <m:oMath>
        <m:sSub>
          <m:sSubPr>
            <m:ctrlPr>
              <w:rPr>
                <w:rFonts w:ascii="Cambria Math" w:hAnsi="Cambria Math"/>
                <w:i/>
              </w:rPr>
            </m:ctrlPr>
          </m:sSubPr>
          <m:e>
            <m:r>
              <w:rPr>
                <w:rFonts w:ascii="Cambria Math" w:hAnsi="Cambria Math"/>
              </w:rPr>
              <m:t>Q</m:t>
            </m:r>
          </m:e>
          <m:sub>
            <m:r>
              <w:rPr>
                <w:rFonts w:ascii="Cambria Math" w:hAnsi="Cambria Math"/>
              </w:rPr>
              <m:t>C</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m</m:t>
                </m:r>
              </m:sub>
            </m:sSub>
          </m:num>
          <m:den>
            <m:sSub>
              <m:sSubPr>
                <m:ctrlPr>
                  <w:rPr>
                    <w:rFonts w:ascii="Cambria Math" w:hAnsi="Cambria Math"/>
                    <w:i/>
                  </w:rPr>
                </m:ctrlPr>
              </m:sSubPr>
              <m:e>
                <m:r>
                  <w:rPr>
                    <w:rFonts w:ascii="Cambria Math" w:hAnsi="Cambria Math"/>
                  </w:rPr>
                  <m:t>e</m:t>
                </m:r>
              </m:e>
              <m:sub>
                <m:r>
                  <w:rPr>
                    <w:rFonts w:ascii="Cambria Math" w:hAnsi="Cambria Math"/>
                  </w:rPr>
                  <m:t>th</m:t>
                </m:r>
              </m:sub>
            </m:sSub>
          </m:den>
        </m:f>
        <m:r>
          <w:rPr>
            <w:rFonts w:ascii="Cambria Math" w:hAnsi="Cambria Math"/>
          </w:rPr>
          <m:t xml:space="preserve"> </m:t>
        </m:r>
      </m:oMath>
      <w:r w:rsidR="00586AE8" w:rsidRPr="00BC31E0">
        <w:rPr>
          <w:rFonts w:ascii="ＭＳ 明朝" w:hAnsi="ＭＳ 明朝" w:hint="eastAsia"/>
        </w:rPr>
        <w:t>は，</w:t>
      </w:r>
      <w:r w:rsidR="00586AE8" w:rsidRPr="00BC31E0">
        <w:rPr>
          <w:rFonts w:asciiTheme="majorEastAsia" w:eastAsiaTheme="majorEastAsia" w:hAnsiTheme="majorEastAsia" w:hint="eastAsia"/>
          <w:b/>
        </w:rPr>
        <w:t>6.8</w:t>
      </w:r>
      <w:r w:rsidR="00586AE8" w:rsidRPr="00BC31E0">
        <w:rPr>
          <w:rFonts w:ascii="ＭＳ 明朝" w:hAnsi="ＭＳ 明朝" w:hint="eastAsia"/>
        </w:rPr>
        <w:t>に規定する範囲になければならない。</w:t>
      </w:r>
    </w:p>
    <w:p w14:paraId="6C3F1A52" w14:textId="77777777" w:rsidR="00586AE8" w:rsidRPr="00BC31E0" w:rsidRDefault="00DC160D" w:rsidP="00736130">
      <w:pPr>
        <w:pStyle w:val="a4"/>
        <w:numPr>
          <w:ilvl w:val="0"/>
          <w:numId w:val="343"/>
        </w:numPr>
        <w:ind w:leftChars="0" w:left="738" w:hanging="454"/>
      </w:pPr>
      <w:r w:rsidRPr="00BC31E0">
        <w:rPr>
          <w:rFonts w:ascii="ＭＳ 明朝" w:hAnsi="ＭＳ 明朝" w:hint="eastAsia"/>
        </w:rPr>
        <w:t>全</w:t>
      </w:r>
      <w:r w:rsidR="00586AE8" w:rsidRPr="00BC31E0">
        <w:rPr>
          <w:rFonts w:ascii="ＭＳ 明朝" w:hAnsi="ＭＳ 明朝" w:hint="eastAsia"/>
        </w:rPr>
        <w:t>ての測定値は検査記録に残す。</w:t>
      </w:r>
    </w:p>
    <w:p w14:paraId="4BE1B446" w14:textId="77777777" w:rsidR="00586AE8" w:rsidRPr="00BC31E0" w:rsidRDefault="00586AE8" w:rsidP="00736130">
      <w:pPr>
        <w:pStyle w:val="a4"/>
        <w:numPr>
          <w:ilvl w:val="0"/>
          <w:numId w:val="489"/>
        </w:numPr>
        <w:ind w:leftChars="0" w:left="454" w:hanging="454"/>
      </w:pPr>
      <w:r w:rsidRPr="00BC31E0">
        <w:rPr>
          <w:rFonts w:asciiTheme="majorEastAsia" w:eastAsiaTheme="majorEastAsia" w:hAnsiTheme="majorEastAsia" w:hint="eastAsia"/>
          <w:b/>
        </w:rPr>
        <w:t>溶接部の熱処理</w:t>
      </w:r>
      <w:r w:rsidRPr="00BC31E0">
        <w:rPr>
          <w:rFonts w:hint="eastAsia"/>
        </w:rPr>
        <w:t xml:space="preserve">　</w:t>
      </w:r>
      <w:r w:rsidRPr="00BC31E0">
        <w:rPr>
          <w:rFonts w:ascii="ＭＳ 明朝" w:hAnsi="ＭＳ 明朝" w:hint="eastAsia"/>
        </w:rPr>
        <w:t>溶接部の熱処理は，次の</w:t>
      </w:r>
      <w:r w:rsidRPr="00BC31E0">
        <w:rPr>
          <w:rFonts w:asciiTheme="majorEastAsia" w:eastAsiaTheme="majorEastAsia" w:hAnsiTheme="majorEastAsia" w:hint="eastAsia"/>
          <w:b/>
        </w:rPr>
        <w:t>1)</w:t>
      </w:r>
      <w:r w:rsidRPr="00BC31E0">
        <w:rPr>
          <w:rFonts w:ascii="ＭＳ 明朝" w:hAnsi="ＭＳ 明朝" w:hint="eastAsia"/>
        </w:rPr>
        <w:t>，</w:t>
      </w:r>
      <w:r w:rsidRPr="00BC31E0">
        <w:rPr>
          <w:rFonts w:asciiTheme="majorEastAsia" w:eastAsiaTheme="majorEastAsia" w:hAnsiTheme="majorEastAsia" w:hint="eastAsia"/>
          <w:b/>
        </w:rPr>
        <w:t>2)</w:t>
      </w:r>
      <w:r w:rsidRPr="00BC31E0">
        <w:rPr>
          <w:rFonts w:ascii="ＭＳ 明朝" w:hAnsi="ＭＳ 明朝" w:hint="eastAsia"/>
        </w:rPr>
        <w:t>による。</w:t>
      </w:r>
    </w:p>
    <w:p w14:paraId="2CCDBE44" w14:textId="77777777" w:rsidR="00066A53" w:rsidRPr="00BC31E0" w:rsidRDefault="00586AE8" w:rsidP="00736130">
      <w:pPr>
        <w:pStyle w:val="a4"/>
        <w:numPr>
          <w:ilvl w:val="0"/>
          <w:numId w:val="527"/>
        </w:numPr>
        <w:ind w:leftChars="0" w:left="738" w:hanging="454"/>
      </w:pPr>
      <w:r w:rsidRPr="00BC31E0">
        <w:rPr>
          <w:rFonts w:hint="eastAsia"/>
        </w:rPr>
        <w:t>溶接後熱処理を行った場合には，残留応力分布が変化することを設計に反映する。</w:t>
      </w:r>
    </w:p>
    <w:p w14:paraId="6C091290" w14:textId="77777777" w:rsidR="00586AE8" w:rsidRPr="00BC31E0" w:rsidRDefault="00586AE8" w:rsidP="00736130">
      <w:pPr>
        <w:pStyle w:val="a4"/>
        <w:numPr>
          <w:ilvl w:val="0"/>
          <w:numId w:val="527"/>
        </w:numPr>
        <w:ind w:leftChars="0" w:left="738" w:hanging="454"/>
      </w:pPr>
      <w:r w:rsidRPr="00BC31E0">
        <w:rPr>
          <w:rFonts w:hint="eastAsia"/>
        </w:rPr>
        <w:lastRenderedPageBreak/>
        <w:t>次の条件を</w:t>
      </w:r>
      <w:r w:rsidR="00DC160D" w:rsidRPr="00BC31E0">
        <w:rPr>
          <w:rFonts w:hint="eastAsia"/>
        </w:rPr>
        <w:t>全</w:t>
      </w:r>
      <w:r w:rsidRPr="00BC31E0">
        <w:rPr>
          <w:rFonts w:hint="eastAsia"/>
        </w:rPr>
        <w:t>て満たした</w:t>
      </w:r>
      <w:r w:rsidR="000D50DE" w:rsidRPr="00BC31E0">
        <w:rPr>
          <w:rFonts w:hint="eastAsia"/>
        </w:rPr>
        <w:t>場合</w:t>
      </w:r>
      <w:r w:rsidR="003722B0" w:rsidRPr="00BC31E0">
        <w:rPr>
          <w:rFonts w:hint="eastAsia"/>
        </w:rPr>
        <w:t>に</w:t>
      </w:r>
      <w:r w:rsidRPr="00BC31E0">
        <w:rPr>
          <w:rFonts w:hint="eastAsia"/>
        </w:rPr>
        <w:t>は，溶接後熱処理を行う必要はない。</w:t>
      </w:r>
    </w:p>
    <w:p w14:paraId="331A12AD" w14:textId="77777777" w:rsidR="00066A53" w:rsidRPr="00BC31E0" w:rsidRDefault="00586AE8" w:rsidP="00736130">
      <w:pPr>
        <w:pStyle w:val="a4"/>
        <w:numPr>
          <w:ilvl w:val="0"/>
          <w:numId w:val="528"/>
        </w:numPr>
        <w:ind w:leftChars="0" w:left="1134" w:hanging="567"/>
      </w:pPr>
      <w:r w:rsidRPr="00BC31E0">
        <w:rPr>
          <w:rFonts w:hint="eastAsia"/>
        </w:rPr>
        <w:t>一層の厚さが，材料</w:t>
      </w:r>
      <w:r w:rsidR="00A82C2A" w:rsidRPr="00BC31E0">
        <w:rPr>
          <w:rFonts w:hint="eastAsia"/>
        </w:rPr>
        <w:t>ごと</w:t>
      </w:r>
      <w:r w:rsidRPr="00BC31E0">
        <w:rPr>
          <w:rFonts w:hint="eastAsia"/>
        </w:rPr>
        <w:t>に</w:t>
      </w:r>
      <w:r w:rsidRPr="00BC31E0">
        <w:rPr>
          <w:rFonts w:ascii="ＭＳ ゴシック" w:eastAsia="ＭＳ ゴシック" w:hAnsi="ＭＳ ゴシック" w:hint="eastAsia"/>
          <w:b/>
        </w:rPr>
        <w:t>7.4</w:t>
      </w:r>
      <w:r w:rsidRPr="00BC31E0">
        <w:rPr>
          <w:rFonts w:hint="eastAsia"/>
        </w:rPr>
        <w:t>，</w:t>
      </w:r>
      <w:r w:rsidRPr="00BC31E0">
        <w:rPr>
          <w:rFonts w:ascii="ＭＳ ゴシック" w:eastAsia="ＭＳ ゴシック" w:hAnsi="ＭＳ ゴシック" w:hint="eastAsia"/>
          <w:b/>
        </w:rPr>
        <w:t>7.6</w:t>
      </w:r>
      <w:r w:rsidRPr="00BC31E0">
        <w:rPr>
          <w:rFonts w:hint="eastAsia"/>
        </w:rPr>
        <w:t>に規定される厚さを越えない</w:t>
      </w:r>
      <w:r w:rsidR="007F36C6" w:rsidRPr="00BC31E0">
        <w:rPr>
          <w:rFonts w:hint="eastAsia"/>
        </w:rPr>
        <w:t>。</w:t>
      </w:r>
    </w:p>
    <w:p w14:paraId="0A4B5423" w14:textId="77777777" w:rsidR="00066A53" w:rsidRPr="00BC31E0" w:rsidRDefault="00586AE8" w:rsidP="00736130">
      <w:pPr>
        <w:pStyle w:val="a4"/>
        <w:numPr>
          <w:ilvl w:val="0"/>
          <w:numId w:val="528"/>
        </w:numPr>
        <w:ind w:leftChars="0" w:left="1134" w:hanging="567"/>
      </w:pPr>
      <w:r w:rsidRPr="00BC31E0">
        <w:rPr>
          <w:rFonts w:asciiTheme="minorEastAsia" w:eastAsiaTheme="minorEastAsia" w:hAnsiTheme="minorEastAsia" w:hint="eastAsia"/>
        </w:rPr>
        <w:t>単肉の鏡やノズルを溶接後熱処理の必要のない材料で，最小</w:t>
      </w:r>
      <w:r w:rsidRPr="00BC31E0">
        <w:rPr>
          <w:rFonts w:asciiTheme="minorHAnsi" w:eastAsiaTheme="minorEastAsia" w:hAnsiTheme="minorHAnsi"/>
        </w:rPr>
        <w:t>6 mm</w:t>
      </w:r>
      <w:r w:rsidRPr="00BC31E0">
        <w:rPr>
          <w:rFonts w:asciiTheme="minorEastAsia" w:eastAsiaTheme="minorEastAsia" w:hAnsiTheme="minorEastAsia" w:hint="eastAsia"/>
        </w:rPr>
        <w:t>の厚さでバタリング溶接し，部品状態で溶接後熱処理を</w:t>
      </w:r>
      <w:r w:rsidR="007F36C6" w:rsidRPr="00BC31E0">
        <w:rPr>
          <w:rFonts w:asciiTheme="minorEastAsia" w:eastAsiaTheme="minorEastAsia" w:hAnsiTheme="minorEastAsia" w:hint="eastAsia"/>
        </w:rPr>
        <w:t>行</w:t>
      </w:r>
      <w:r w:rsidR="00D3778A" w:rsidRPr="00BC31E0">
        <w:rPr>
          <w:rFonts w:asciiTheme="minorEastAsia" w:eastAsiaTheme="minorEastAsia" w:hAnsiTheme="minorEastAsia" w:hint="eastAsia"/>
        </w:rPr>
        <w:t>う</w:t>
      </w:r>
      <w:r w:rsidR="007F36C6" w:rsidRPr="00BC31E0">
        <w:rPr>
          <w:rFonts w:asciiTheme="minorEastAsia" w:eastAsiaTheme="minorEastAsia" w:hAnsiTheme="minorEastAsia" w:hint="eastAsia"/>
        </w:rPr>
        <w:t>。</w:t>
      </w:r>
      <w:r w:rsidRPr="00BC31E0">
        <w:rPr>
          <w:rFonts w:asciiTheme="minorEastAsia" w:eastAsiaTheme="minorEastAsia" w:hAnsiTheme="minorEastAsia" w:hint="eastAsia"/>
        </w:rPr>
        <w:t>ただし，単肉の鏡やノズルが</w:t>
      </w:r>
      <w:r w:rsidRPr="00BC31E0">
        <w:rPr>
          <w:rFonts w:asciiTheme="minorHAnsi" w:eastAsiaTheme="minorEastAsia" w:hAnsiTheme="minorHAnsi"/>
        </w:rPr>
        <w:t>P</w:t>
      </w:r>
      <w:r w:rsidRPr="00BC31E0">
        <w:rPr>
          <w:rFonts w:asciiTheme="minorEastAsia" w:eastAsiaTheme="minorEastAsia" w:hAnsiTheme="minorEastAsia" w:hint="eastAsia"/>
        </w:rPr>
        <w:t>番</w:t>
      </w:r>
      <w:r w:rsidRPr="00BC31E0">
        <w:rPr>
          <w:rFonts w:asciiTheme="minorHAnsi" w:eastAsiaTheme="minorEastAsia" w:hAnsiTheme="minorEastAsia"/>
        </w:rPr>
        <w:t>号</w:t>
      </w:r>
      <w:r w:rsidRPr="00BC31E0">
        <w:rPr>
          <w:rFonts w:asciiTheme="minorHAnsi" w:eastAsiaTheme="minorEastAsia" w:hAnsiTheme="minorHAnsi"/>
        </w:rPr>
        <w:t>1</w:t>
      </w:r>
      <w:r w:rsidRPr="00BC31E0">
        <w:rPr>
          <w:rFonts w:asciiTheme="minorEastAsia" w:eastAsiaTheme="minorEastAsia" w:hAnsiTheme="minorEastAsia" w:hint="eastAsia"/>
        </w:rPr>
        <w:t>の場合には溶接肉盛をしなくて</w:t>
      </w:r>
      <w:r w:rsidR="007F36C6" w:rsidRPr="00BC31E0">
        <w:rPr>
          <w:rFonts w:asciiTheme="minorEastAsia" w:eastAsiaTheme="minorEastAsia" w:hAnsiTheme="minorEastAsia" w:hint="eastAsia"/>
        </w:rPr>
        <w:t>も</w:t>
      </w:r>
      <w:r w:rsidRPr="00BC31E0">
        <w:rPr>
          <w:rFonts w:asciiTheme="minorEastAsia" w:eastAsiaTheme="minorEastAsia" w:hAnsiTheme="minorEastAsia" w:hint="eastAsia"/>
        </w:rPr>
        <w:t>よい</w:t>
      </w:r>
      <w:r w:rsidRPr="00BC31E0">
        <w:rPr>
          <w:rFonts w:hint="eastAsia"/>
        </w:rPr>
        <w:t>。</w:t>
      </w:r>
    </w:p>
    <w:p w14:paraId="06E77BAA" w14:textId="77777777" w:rsidR="00066A53" w:rsidRPr="00BC31E0" w:rsidRDefault="00586AE8" w:rsidP="00736130">
      <w:pPr>
        <w:pStyle w:val="a4"/>
        <w:numPr>
          <w:ilvl w:val="0"/>
          <w:numId w:val="528"/>
        </w:numPr>
        <w:ind w:leftChars="0" w:left="1134" w:hanging="567"/>
      </w:pPr>
      <w:r w:rsidRPr="00BC31E0">
        <w:rPr>
          <w:rFonts w:asciiTheme="minorEastAsia" w:eastAsiaTheme="minorEastAsia" w:hAnsiTheme="minorEastAsia" w:hint="eastAsia"/>
        </w:rPr>
        <w:t>マルチパス溶接を用いて</w:t>
      </w:r>
      <w:r w:rsidRPr="00BC31E0">
        <w:rPr>
          <w:rFonts w:asciiTheme="minorHAnsi" w:eastAsia="ＭＳ ゴシック" w:hAnsiTheme="minorHAnsi"/>
        </w:rPr>
        <w:t>6 mm</w:t>
      </w:r>
      <w:r w:rsidRPr="00BC31E0">
        <w:rPr>
          <w:rFonts w:asciiTheme="minorEastAsia" w:eastAsiaTheme="minorEastAsia" w:hAnsiTheme="minorEastAsia" w:hint="eastAsia"/>
        </w:rPr>
        <w:t>以下の溶接層で</w:t>
      </w:r>
      <w:r w:rsidR="00E100CA" w:rsidRPr="00BC31E0">
        <w:rPr>
          <w:rFonts w:asciiTheme="minorEastAsia" w:eastAsiaTheme="minorEastAsia" w:hAnsiTheme="minorEastAsia" w:hint="eastAsia"/>
        </w:rPr>
        <w:t>肉</w:t>
      </w:r>
      <w:r w:rsidRPr="00BC31E0">
        <w:rPr>
          <w:rFonts w:asciiTheme="minorEastAsia" w:eastAsiaTheme="minorEastAsia" w:hAnsiTheme="minorEastAsia" w:hint="eastAsia"/>
        </w:rPr>
        <w:t>盛</w:t>
      </w:r>
      <w:r w:rsidR="00E100CA" w:rsidRPr="00BC31E0">
        <w:rPr>
          <w:rFonts w:asciiTheme="minorEastAsia" w:eastAsiaTheme="minorEastAsia" w:hAnsiTheme="minorEastAsia" w:hint="eastAsia"/>
        </w:rPr>
        <w:t>する。</w:t>
      </w:r>
      <w:r w:rsidRPr="00BC31E0">
        <w:rPr>
          <w:rFonts w:hint="eastAsia"/>
        </w:rPr>
        <w:t>ただし，</w:t>
      </w:r>
      <w:r w:rsidRPr="00BC31E0">
        <w:rPr>
          <w:rFonts w:ascii="ＭＳ ゴシック" w:eastAsia="ＭＳ ゴシック" w:hAnsi="ＭＳ ゴシック" w:hint="eastAsia"/>
          <w:b/>
        </w:rPr>
        <w:t>7.6</w:t>
      </w:r>
      <w:r w:rsidRPr="00BC31E0">
        <w:rPr>
          <w:rFonts w:hint="eastAsia"/>
        </w:rPr>
        <w:t>に当てはまる材料の場合には，最終層をテンパービード法によらなければならない。</w:t>
      </w:r>
    </w:p>
    <w:p w14:paraId="797FDE07" w14:textId="77777777" w:rsidR="00586AE8" w:rsidRPr="00BC31E0" w:rsidRDefault="00586AE8" w:rsidP="00736130">
      <w:pPr>
        <w:pStyle w:val="a4"/>
        <w:numPr>
          <w:ilvl w:val="0"/>
          <w:numId w:val="528"/>
        </w:numPr>
        <w:ind w:leftChars="0" w:left="1134" w:hanging="567"/>
      </w:pPr>
      <w:r w:rsidRPr="00BC31E0">
        <w:rPr>
          <w:rFonts w:hint="eastAsia"/>
        </w:rPr>
        <w:t>溶接補修を行う場合は，</w:t>
      </w:r>
      <w:r w:rsidRPr="00BC31E0">
        <w:rPr>
          <w:rFonts w:ascii="ＭＳ ゴシック" w:eastAsia="ＭＳ ゴシック" w:hAnsi="ＭＳ ゴシック" w:hint="eastAsia"/>
          <w:b/>
        </w:rPr>
        <w:t>7.4</w:t>
      </w:r>
      <w:r w:rsidRPr="00BC31E0">
        <w:rPr>
          <w:rFonts w:hint="eastAsia"/>
        </w:rPr>
        <w:t>により溶接後熱処理を行う。</w:t>
      </w:r>
    </w:p>
    <w:p w14:paraId="3975B85E" w14:textId="77777777" w:rsidR="00586AE8" w:rsidRPr="00BC31E0" w:rsidRDefault="00586AE8" w:rsidP="00806C01"/>
    <w:p w14:paraId="742EB182" w14:textId="77777777" w:rsidR="007642F3" w:rsidRPr="00BC31E0" w:rsidRDefault="007642F3">
      <w:pPr>
        <w:widowControl/>
        <w:jc w:val="left"/>
      </w:pPr>
      <w:r w:rsidRPr="00BC31E0">
        <w:br w:type="page"/>
      </w:r>
    </w:p>
    <w:p w14:paraId="3E5CAD61" w14:textId="77777777" w:rsidR="00586AE8" w:rsidRPr="00BC31E0" w:rsidRDefault="00586AE8" w:rsidP="000935C2">
      <w:pPr>
        <w:autoSpaceDE w:val="0"/>
        <w:autoSpaceDN w:val="0"/>
        <w:jc w:val="center"/>
      </w:pPr>
      <w:r w:rsidRPr="00BC31E0">
        <w:rPr>
          <w:noProof/>
        </w:rPr>
        <w:lastRenderedPageBreak/>
        <w:drawing>
          <wp:inline distT="0" distB="0" distL="0" distR="0" wp14:anchorId="4247C590" wp14:editId="5672F376">
            <wp:extent cx="5746750" cy="7524750"/>
            <wp:effectExtent l="19050" t="0" r="6350" b="0"/>
            <wp:docPr id="654" name="図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1"/>
                    <pic:cNvPicPr>
                      <a:picLocks noChangeAspect="1" noChangeArrowheads="1"/>
                    </pic:cNvPicPr>
                  </pic:nvPicPr>
                  <pic:blipFill>
                    <a:blip r:embed="rId105" cstate="print"/>
                    <a:srcRect/>
                    <a:stretch>
                      <a:fillRect/>
                    </a:stretch>
                  </pic:blipFill>
                  <pic:spPr bwMode="auto">
                    <a:xfrm>
                      <a:off x="0" y="0"/>
                      <a:ext cx="5746750" cy="7524750"/>
                    </a:xfrm>
                    <a:prstGeom prst="rect">
                      <a:avLst/>
                    </a:prstGeom>
                    <a:noFill/>
                    <a:ln w="9525">
                      <a:noFill/>
                      <a:miter lim="800000"/>
                      <a:headEnd/>
                      <a:tailEnd/>
                    </a:ln>
                  </pic:spPr>
                </pic:pic>
              </a:graphicData>
            </a:graphic>
          </wp:inline>
        </w:drawing>
      </w:r>
    </w:p>
    <w:p w14:paraId="04744479" w14:textId="77777777" w:rsidR="00586AE8" w:rsidRPr="00BC31E0" w:rsidRDefault="00586AE8" w:rsidP="000935C2">
      <w:pPr>
        <w:autoSpaceDE w:val="0"/>
        <w:autoSpaceDN w:val="0"/>
      </w:pPr>
      <w:r w:rsidRPr="00BC31E0">
        <w:rPr>
          <w:rFonts w:ascii="ＭＳ ゴシック" w:eastAsia="ＭＳ ゴシック" w:hAnsi="ＭＳ ゴシック" w:hint="eastAsia"/>
          <w:b/>
        </w:rPr>
        <w:t xml:space="preserve">           注記</w:t>
      </w:r>
      <w:r w:rsidRPr="00BC31E0">
        <w:rPr>
          <w:rFonts w:hint="eastAsia"/>
        </w:rPr>
        <w:t xml:space="preserve">　層成胴は開先加工面を除き，試験板の端面を溶接により固定する。</w:t>
      </w:r>
    </w:p>
    <w:p w14:paraId="7B738E73" w14:textId="77777777" w:rsidR="00586AE8" w:rsidRPr="00BC31E0" w:rsidRDefault="00586AE8" w:rsidP="000935C2">
      <w:pPr>
        <w:autoSpaceDE w:val="0"/>
        <w:autoSpaceDN w:val="0"/>
      </w:pPr>
    </w:p>
    <w:p w14:paraId="1B2CD055" w14:textId="77777777" w:rsidR="00586AE8" w:rsidRPr="00BC31E0" w:rsidRDefault="00586AE8" w:rsidP="000935C2">
      <w:pPr>
        <w:jc w:val="center"/>
        <w:rPr>
          <w:rFonts w:ascii="ＭＳ ゴシック" w:eastAsia="ＭＳ ゴシック" w:hAnsi="ＭＳ ゴシック"/>
          <w:b/>
        </w:rPr>
      </w:pPr>
      <w:r w:rsidRPr="00BC31E0">
        <w:rPr>
          <w:rFonts w:ascii="ＭＳ ゴシック" w:eastAsia="ＭＳ ゴシック" w:hAnsi="ＭＳ ゴシック" w:hint="eastAsia"/>
          <w:b/>
        </w:rPr>
        <w:t>図7.8.1　突合せ両側溶接の場合の試験材の取付け及び試験片の採取要領</w:t>
      </w:r>
    </w:p>
    <w:p w14:paraId="21411EC7" w14:textId="77777777" w:rsidR="00586AE8" w:rsidRPr="00BC31E0" w:rsidRDefault="00586AE8" w:rsidP="000935C2">
      <w:pPr>
        <w:autoSpaceDE w:val="0"/>
        <w:autoSpaceDN w:val="0"/>
        <w:jc w:val="center"/>
      </w:pPr>
      <w:r w:rsidRPr="00BC31E0">
        <w:rPr>
          <w:noProof/>
        </w:rPr>
        <w:lastRenderedPageBreak/>
        <w:drawing>
          <wp:inline distT="0" distB="0" distL="0" distR="0" wp14:anchorId="12F2E105" wp14:editId="0AAF268E">
            <wp:extent cx="4832350" cy="1845310"/>
            <wp:effectExtent l="19050" t="0" r="6350" b="0"/>
            <wp:docPr id="655" name="図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2"/>
                    <pic:cNvPicPr>
                      <a:picLocks noChangeAspect="1" noChangeArrowheads="1"/>
                    </pic:cNvPicPr>
                  </pic:nvPicPr>
                  <pic:blipFill>
                    <a:blip r:embed="rId106" cstate="print"/>
                    <a:srcRect/>
                    <a:stretch>
                      <a:fillRect/>
                    </a:stretch>
                  </pic:blipFill>
                  <pic:spPr bwMode="auto">
                    <a:xfrm>
                      <a:off x="0" y="0"/>
                      <a:ext cx="4832350" cy="1845310"/>
                    </a:xfrm>
                    <a:prstGeom prst="rect">
                      <a:avLst/>
                    </a:prstGeom>
                    <a:noFill/>
                    <a:ln w="9525">
                      <a:noFill/>
                      <a:miter lim="800000"/>
                      <a:headEnd/>
                      <a:tailEnd/>
                    </a:ln>
                  </pic:spPr>
                </pic:pic>
              </a:graphicData>
            </a:graphic>
          </wp:inline>
        </w:drawing>
      </w:r>
    </w:p>
    <w:p w14:paraId="5A468039" w14:textId="77777777" w:rsidR="00586AE8" w:rsidRPr="00BC31E0" w:rsidRDefault="00586AE8" w:rsidP="000935C2">
      <w:pPr>
        <w:autoSpaceDE w:val="0"/>
        <w:autoSpaceDN w:val="0"/>
        <w:ind w:left="907"/>
      </w:pPr>
      <w:r w:rsidRPr="00BC31E0">
        <w:rPr>
          <w:rFonts w:ascii="ＭＳ ゴシック" w:eastAsia="ＭＳ ゴシック" w:hAnsi="ＭＳ ゴシック" w:hint="eastAsia"/>
          <w:b/>
        </w:rPr>
        <w:t>注記</w:t>
      </w:r>
      <w:r w:rsidRPr="00BC31E0">
        <w:rPr>
          <w:rFonts w:hint="eastAsia"/>
        </w:rPr>
        <w:t xml:space="preserve">　</w:t>
      </w:r>
      <w:r w:rsidRPr="00BC31E0">
        <w:rPr>
          <w:rFonts w:asciiTheme="minorHAnsi" w:eastAsiaTheme="minorEastAsia" w:hAnsiTheme="minorHAnsi"/>
          <w:i/>
        </w:rPr>
        <w:t>T</w:t>
      </w:r>
      <w:r w:rsidRPr="00BC31E0">
        <w:rPr>
          <w:rFonts w:asciiTheme="minorHAnsi" w:eastAsiaTheme="minorEastAsia" w:hAnsiTheme="minorHAnsi"/>
        </w:rPr>
        <w:t xml:space="preserve"> </w:t>
      </w:r>
      <w:r w:rsidRPr="00BC31E0">
        <w:rPr>
          <w:rFonts w:hint="eastAsia"/>
        </w:rPr>
        <w:t>：</w:t>
      </w:r>
      <w:r w:rsidRPr="00BC31E0">
        <w:rPr>
          <w:rFonts w:hint="eastAsia"/>
        </w:rPr>
        <w:t xml:space="preserve"> </w:t>
      </w:r>
      <w:r w:rsidRPr="00BC31E0">
        <w:rPr>
          <w:rFonts w:hint="eastAsia"/>
        </w:rPr>
        <w:t>試験片の厚さで，多層試験片母材の厚さとする。</w:t>
      </w:r>
    </w:p>
    <w:p w14:paraId="5DB1F2EE" w14:textId="77777777" w:rsidR="00586AE8" w:rsidRPr="00BC31E0" w:rsidRDefault="00586AE8" w:rsidP="000935C2">
      <w:pPr>
        <w:rPr>
          <w:rFonts w:ascii="ＭＳ ゴシック" w:eastAsia="ＭＳ ゴシック"/>
          <w:b/>
        </w:rPr>
      </w:pPr>
    </w:p>
    <w:p w14:paraId="0EC187B4" w14:textId="77777777" w:rsidR="00586AE8" w:rsidRPr="00BC31E0" w:rsidRDefault="00586AE8" w:rsidP="000935C2">
      <w:pPr>
        <w:jc w:val="center"/>
        <w:rPr>
          <w:rFonts w:ascii="ＭＳ ゴシック" w:eastAsia="ＭＳ ゴシック" w:hAnsi="ＭＳ ゴシック"/>
          <w:b/>
        </w:rPr>
      </w:pPr>
      <w:r w:rsidRPr="00BC31E0">
        <w:rPr>
          <w:rFonts w:ascii="ＭＳ ゴシック" w:eastAsia="ＭＳ ゴシック" w:hAnsi="ＭＳ ゴシック" w:hint="eastAsia"/>
          <w:b/>
        </w:rPr>
        <w:t>図7.8.2　継手引張試験片の形状及び寸法</w:t>
      </w:r>
    </w:p>
    <w:p w14:paraId="317FC5CE" w14:textId="77777777" w:rsidR="00586AE8" w:rsidRPr="00BC31E0" w:rsidRDefault="00586AE8" w:rsidP="000935C2">
      <w:pPr>
        <w:rPr>
          <w:rFonts w:ascii="ＭＳ ゴシック" w:eastAsia="ＭＳ ゴシック"/>
          <w:b/>
        </w:rPr>
      </w:pPr>
    </w:p>
    <w:p w14:paraId="0DD43945" w14:textId="77777777" w:rsidR="000935C2" w:rsidRPr="00BC31E0" w:rsidRDefault="000935C2" w:rsidP="000935C2">
      <w:pPr>
        <w:rPr>
          <w:rFonts w:ascii="ＭＳ ゴシック" w:eastAsia="ＭＳ ゴシック"/>
          <w:b/>
        </w:rPr>
      </w:pPr>
    </w:p>
    <w:p w14:paraId="21A5BFD8" w14:textId="77777777" w:rsidR="00586AE8" w:rsidRPr="00BC31E0" w:rsidRDefault="00586AE8" w:rsidP="000935C2">
      <w:pPr>
        <w:autoSpaceDE w:val="0"/>
        <w:autoSpaceDN w:val="0"/>
        <w:jc w:val="center"/>
        <w:rPr>
          <w:noProof/>
        </w:rPr>
      </w:pPr>
      <w:r w:rsidRPr="00BC31E0">
        <w:rPr>
          <w:noProof/>
        </w:rPr>
        <w:object w:dxaOrig="6020" w:dyaOrig="5425" w14:anchorId="7C66CFBA">
          <v:shape id="_x0000_i1057" type="#_x0000_t75" style="width:390.6pt;height:348.6pt" o:ole="">
            <v:imagedata r:id="rId107" o:title="" cropbottom="1370f" cropright="1235f"/>
          </v:shape>
          <o:OLEObject Type="Embed" ProgID="Visio.Drawing.11" ShapeID="_x0000_i1057" DrawAspect="Content" ObjectID="_1731233628" r:id="rId108"/>
        </w:object>
      </w:r>
    </w:p>
    <w:p w14:paraId="6EBD88A6" w14:textId="77777777" w:rsidR="00586AE8" w:rsidRPr="00BC31E0" w:rsidRDefault="00586AE8" w:rsidP="000935C2">
      <w:pPr>
        <w:autoSpaceDE w:val="0"/>
        <w:autoSpaceDN w:val="0"/>
        <w:ind w:left="907"/>
      </w:pPr>
      <w:r w:rsidRPr="00BC31E0">
        <w:rPr>
          <w:rFonts w:ascii="ＭＳ ゴシック" w:eastAsia="ＭＳ ゴシック" w:hAnsi="ＭＳ ゴシック" w:hint="eastAsia"/>
          <w:b/>
        </w:rPr>
        <w:t>注記</w:t>
      </w:r>
      <w:r w:rsidRPr="00BC31E0">
        <w:rPr>
          <w:rFonts w:hint="eastAsia"/>
        </w:rPr>
        <w:t xml:space="preserve">　層成胴の合わせ面以外の指示は，</w:t>
      </w:r>
      <w:r w:rsidRPr="00BC31E0">
        <w:rPr>
          <w:rFonts w:ascii="ＭＳ ゴシック" w:eastAsia="ＭＳ ゴシック" w:hAnsi="ＭＳ ゴシック" w:hint="eastAsia"/>
          <w:b/>
        </w:rPr>
        <w:t>9.3.6</w:t>
      </w:r>
      <w:r w:rsidRPr="00BC31E0">
        <w:rPr>
          <w:rFonts w:hint="eastAsia"/>
        </w:rPr>
        <w:t>に従って判定する。</w:t>
      </w:r>
    </w:p>
    <w:p w14:paraId="78303792" w14:textId="77777777" w:rsidR="00586AE8" w:rsidRPr="00BC31E0" w:rsidRDefault="00586AE8" w:rsidP="000935C2">
      <w:pPr>
        <w:autoSpaceDE w:val="0"/>
        <w:autoSpaceDN w:val="0"/>
      </w:pPr>
    </w:p>
    <w:p w14:paraId="6CD0D233" w14:textId="77777777" w:rsidR="00586AE8" w:rsidRPr="00BC31E0" w:rsidRDefault="00586AE8" w:rsidP="000935C2">
      <w:pPr>
        <w:jc w:val="center"/>
        <w:rPr>
          <w:rFonts w:ascii="ＭＳ ゴシック" w:eastAsia="ＭＳ ゴシック" w:hAnsi="ＭＳ ゴシック"/>
          <w:b/>
        </w:rPr>
      </w:pPr>
      <w:r w:rsidRPr="00BC31E0">
        <w:rPr>
          <w:rFonts w:ascii="ＭＳ ゴシック" w:eastAsia="ＭＳ ゴシック" w:hAnsi="ＭＳ ゴシック" w:hint="eastAsia"/>
          <w:b/>
        </w:rPr>
        <w:t>図7.8.3　レイヤーウォッシュと溶接の位置関係</w:t>
      </w:r>
    </w:p>
    <w:p w14:paraId="221CD99A" w14:textId="77777777" w:rsidR="00586AE8" w:rsidRPr="00BC31E0" w:rsidRDefault="00586AE8" w:rsidP="000935C2">
      <w:pPr>
        <w:autoSpaceDE w:val="0"/>
        <w:autoSpaceDN w:val="0"/>
        <w:jc w:val="center"/>
      </w:pPr>
      <w:r w:rsidRPr="00BC31E0">
        <w:rPr>
          <w:noProof/>
        </w:rPr>
        <w:lastRenderedPageBreak/>
        <w:drawing>
          <wp:inline distT="0" distB="0" distL="0" distR="0" wp14:anchorId="0F3C10FA" wp14:editId="0E640AC9">
            <wp:extent cx="5755005" cy="7734935"/>
            <wp:effectExtent l="19050" t="0" r="0" b="0"/>
            <wp:docPr id="658" name="図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89"/>
                    <pic:cNvPicPr>
                      <a:picLocks noChangeAspect="1" noChangeArrowheads="1"/>
                    </pic:cNvPicPr>
                  </pic:nvPicPr>
                  <pic:blipFill>
                    <a:blip r:embed="rId109" cstate="print"/>
                    <a:srcRect/>
                    <a:stretch>
                      <a:fillRect/>
                    </a:stretch>
                  </pic:blipFill>
                  <pic:spPr bwMode="auto">
                    <a:xfrm>
                      <a:off x="0" y="0"/>
                      <a:ext cx="5755005" cy="7734935"/>
                    </a:xfrm>
                    <a:prstGeom prst="rect">
                      <a:avLst/>
                    </a:prstGeom>
                    <a:noFill/>
                    <a:ln w="9525">
                      <a:noFill/>
                      <a:miter lim="800000"/>
                      <a:headEnd/>
                      <a:tailEnd/>
                    </a:ln>
                  </pic:spPr>
                </pic:pic>
              </a:graphicData>
            </a:graphic>
          </wp:inline>
        </w:drawing>
      </w:r>
    </w:p>
    <w:p w14:paraId="47D4B226" w14:textId="77777777" w:rsidR="00586AE8" w:rsidRPr="00BC31E0" w:rsidRDefault="00586AE8" w:rsidP="000935C2">
      <w:pPr>
        <w:jc w:val="center"/>
        <w:rPr>
          <w:rFonts w:ascii="ＭＳ ゴシック" w:eastAsia="ＭＳ ゴシック" w:hAnsi="ＭＳ ゴシック"/>
          <w:b/>
        </w:rPr>
      </w:pPr>
      <w:r w:rsidRPr="00BC31E0">
        <w:rPr>
          <w:rFonts w:ascii="ＭＳ ゴシック" w:eastAsia="ＭＳ ゴシック" w:hAnsi="ＭＳ ゴシック" w:hint="eastAsia"/>
          <w:b/>
        </w:rPr>
        <w:t>図7.8.4　レイヤーウォッシュを見つけるための斜角放射線法</w:t>
      </w:r>
    </w:p>
    <w:p w14:paraId="45C34767" w14:textId="77777777" w:rsidR="00586AE8" w:rsidRPr="00BC31E0" w:rsidRDefault="00586AE8" w:rsidP="000935C2">
      <w:pPr>
        <w:rPr>
          <w:rFonts w:ascii="ＭＳ ゴシック" w:eastAsia="ＭＳ ゴシック"/>
          <w:b/>
        </w:rPr>
      </w:pPr>
    </w:p>
    <w:p w14:paraId="6F970DF6" w14:textId="77777777" w:rsidR="00586AE8" w:rsidRPr="00BC31E0" w:rsidRDefault="00586AE8" w:rsidP="000935C2">
      <w:pPr>
        <w:jc w:val="center"/>
        <w:rPr>
          <w:rFonts w:ascii="ＭＳ ゴシック" w:eastAsia="ＭＳ ゴシック"/>
          <w:b/>
        </w:rPr>
      </w:pPr>
      <w:r w:rsidRPr="00BC31E0">
        <w:rPr>
          <w:rFonts w:ascii="ＭＳ ゴシック" w:eastAsia="ＭＳ ゴシック"/>
          <w:b/>
        </w:rPr>
        <w:br w:type="page"/>
      </w:r>
      <w:r w:rsidRPr="00BC31E0">
        <w:rPr>
          <w:rFonts w:ascii="ＭＳ ゴシック" w:eastAsia="ＭＳ ゴシック"/>
          <w:b/>
          <w:noProof/>
        </w:rPr>
        <w:lastRenderedPageBreak/>
        <w:drawing>
          <wp:inline distT="0" distB="0" distL="0" distR="0" wp14:anchorId="2EFE6AD5" wp14:editId="71552E7D">
            <wp:extent cx="5567899" cy="2905125"/>
            <wp:effectExtent l="0" t="0" r="0" b="0"/>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stretch>
                      <a:fillRect/>
                    </a:stretch>
                  </pic:blipFill>
                  <pic:spPr>
                    <a:xfrm>
                      <a:off x="0" y="0"/>
                      <a:ext cx="5569934" cy="2906187"/>
                    </a:xfrm>
                    <a:prstGeom prst="rect">
                      <a:avLst/>
                    </a:prstGeom>
                  </pic:spPr>
                </pic:pic>
              </a:graphicData>
            </a:graphic>
          </wp:inline>
        </w:drawing>
      </w:r>
    </w:p>
    <w:p w14:paraId="10FF8484" w14:textId="77777777" w:rsidR="00586AE8" w:rsidRPr="00BC31E0" w:rsidRDefault="00586AE8" w:rsidP="000935C2">
      <w:pPr>
        <w:tabs>
          <w:tab w:val="left" w:pos="2552"/>
        </w:tabs>
        <w:autoSpaceDE w:val="0"/>
        <w:autoSpaceDN w:val="0"/>
        <w:ind w:firstLineChars="675" w:firstLine="1423"/>
        <w:rPr>
          <w:rFonts w:asciiTheme="minorEastAsia" w:eastAsiaTheme="minorEastAsia" w:hAnsiTheme="minorEastAsia"/>
        </w:rPr>
      </w:pPr>
      <w:r w:rsidRPr="00BC31E0">
        <w:rPr>
          <w:rFonts w:ascii="ＭＳ ゴシック" w:eastAsia="ＭＳ ゴシック" w:hAnsi="ＭＳ ゴシック" w:hint="eastAsia"/>
          <w:b/>
        </w:rPr>
        <w:t>注記1</w:t>
      </w:r>
      <w:r w:rsidRPr="00BC31E0">
        <w:rPr>
          <w:rFonts w:asciiTheme="minorEastAsia" w:eastAsiaTheme="minorEastAsia" w:hAnsiTheme="minorEastAsia" w:hint="eastAsia"/>
        </w:rPr>
        <w:t xml:space="preserve">　</w:t>
      </w:r>
      <m:oMath>
        <m:r>
          <w:rPr>
            <w:rFonts w:ascii="Cambria Math" w:eastAsia="ＭＳ ゴシック" w:hAnsi="Cambria Math"/>
          </w:rPr>
          <m:t>h</m:t>
        </m:r>
      </m:oMath>
      <w:r w:rsidRPr="00BC31E0">
        <w:rPr>
          <w:rFonts w:hint="eastAsia"/>
        </w:rPr>
        <w:tab/>
      </w:r>
      <w:r w:rsidRPr="00BC31E0">
        <w:rPr>
          <w:rFonts w:hint="eastAsia"/>
        </w:rPr>
        <w:t>：</w:t>
      </w:r>
      <w:r w:rsidRPr="00BC31E0">
        <w:rPr>
          <w:rFonts w:hint="eastAsia"/>
        </w:rPr>
        <w:t xml:space="preserve"> </w:t>
      </w:r>
      <w:r w:rsidRPr="00BC31E0">
        <w:rPr>
          <w:rFonts w:asciiTheme="minorEastAsia" w:eastAsiaTheme="minorEastAsia" w:hAnsiTheme="minorEastAsia" w:hint="eastAsia"/>
        </w:rPr>
        <w:t>層間の半径方向最大隙間</w:t>
      </w:r>
      <w:r w:rsidRPr="00BC31E0">
        <w:rPr>
          <w:rFonts w:asciiTheme="minorHAnsi" w:eastAsiaTheme="minorEastAsia" w:hAnsiTheme="minorHAnsi"/>
        </w:rPr>
        <w:t>(mm)</w:t>
      </w:r>
    </w:p>
    <w:p w14:paraId="358B7007" w14:textId="77777777" w:rsidR="00586AE8" w:rsidRPr="00BC31E0" w:rsidRDefault="00586AE8" w:rsidP="000935C2">
      <w:pPr>
        <w:tabs>
          <w:tab w:val="left" w:pos="210"/>
          <w:tab w:val="left" w:pos="2552"/>
        </w:tabs>
        <w:autoSpaceDE w:val="0"/>
        <w:autoSpaceDN w:val="0"/>
        <w:ind w:firstLineChars="675" w:firstLine="1423"/>
      </w:pPr>
      <w:r w:rsidRPr="00BC31E0">
        <w:rPr>
          <w:rFonts w:ascii="ＭＳ ゴシック" w:eastAsia="ＭＳ ゴシック" w:hAnsi="ＭＳ ゴシック" w:hint="eastAsia"/>
          <w:b/>
        </w:rPr>
        <w:t>注記2</w:t>
      </w:r>
      <w:r w:rsidRPr="00BC31E0">
        <w:rPr>
          <w:rFonts w:asciiTheme="minorEastAsia" w:eastAsiaTheme="minorEastAsia" w:hAnsiTheme="minorEastAsia" w:hint="eastAsia"/>
        </w:rPr>
        <w:t xml:space="preserve">　</w:t>
      </w:r>
      <m:oMath>
        <m:r>
          <w:rPr>
            <w:rFonts w:ascii="Cambria Math" w:eastAsiaTheme="minorEastAsia" w:hAnsiTheme="minorEastAsia"/>
          </w:rPr>
          <m:t xml:space="preserve"> </m:t>
        </m:r>
        <m:r>
          <w:rPr>
            <w:rFonts w:ascii="Cambria Math" w:eastAsiaTheme="minorEastAsia" w:hAnsi="Cambria Math"/>
          </w:rPr>
          <m:t>b</m:t>
        </m:r>
      </m:oMath>
      <w:r w:rsidRPr="00BC31E0">
        <w:rPr>
          <w:rFonts w:hint="eastAsia"/>
        </w:rPr>
        <w:tab/>
      </w:r>
      <w:r w:rsidRPr="00BC31E0">
        <w:rPr>
          <w:rFonts w:hint="eastAsia"/>
        </w:rPr>
        <w:t>：</w:t>
      </w:r>
      <w:r w:rsidRPr="00BC31E0">
        <w:rPr>
          <w:rFonts w:hint="eastAsia"/>
        </w:rPr>
        <w:t xml:space="preserve"> </w:t>
      </w:r>
      <w:r w:rsidRPr="00BC31E0">
        <w:rPr>
          <w:rFonts w:asciiTheme="minorEastAsia" w:eastAsiaTheme="minorEastAsia" w:hAnsiTheme="minorEastAsia" w:hint="eastAsia"/>
        </w:rPr>
        <w:t>弧長(円に沿って測定した値)</w:t>
      </w:r>
      <w:r w:rsidRPr="00BC31E0">
        <w:rPr>
          <w:rFonts w:asciiTheme="minorHAnsi" w:eastAsiaTheme="minorEastAsia" w:hAnsiTheme="minorHAnsi"/>
        </w:rPr>
        <w:t>(mm)</w:t>
      </w:r>
    </w:p>
    <w:p w14:paraId="41559F99" w14:textId="77777777" w:rsidR="00586AE8" w:rsidRPr="00BC31E0" w:rsidRDefault="00586AE8" w:rsidP="000935C2">
      <w:pPr>
        <w:tabs>
          <w:tab w:val="left" w:pos="2552"/>
        </w:tabs>
        <w:autoSpaceDE w:val="0"/>
        <w:autoSpaceDN w:val="0"/>
        <w:ind w:firstLineChars="675" w:firstLine="1423"/>
        <w:rPr>
          <w:rFonts w:asciiTheme="minorEastAsia" w:eastAsiaTheme="minorEastAsia" w:hAnsiTheme="minorEastAsia"/>
        </w:rPr>
      </w:pPr>
      <w:r w:rsidRPr="00BC31E0">
        <w:rPr>
          <w:rFonts w:ascii="ＭＳ ゴシック" w:eastAsia="ＭＳ ゴシック" w:hAnsi="ＭＳ ゴシック" w:hint="eastAsia"/>
          <w:b/>
        </w:rPr>
        <w:t>注記3</w:t>
      </w:r>
      <w:r w:rsidRPr="00BC31E0">
        <w:rPr>
          <w:rFonts w:asciiTheme="minorEastAsia" w:eastAsiaTheme="minorEastAsia" w:hAnsiTheme="minorEastAsia" w:hint="eastAsia"/>
        </w:rPr>
        <w:t xml:space="preserve">　</w:t>
      </w:r>
      <m:oMath>
        <m:sSub>
          <m:sSubPr>
            <m:ctrlPr>
              <w:rPr>
                <w:rFonts w:ascii="Cambria Math" w:eastAsiaTheme="minorEastAsia" w:hAnsiTheme="minorEastAsia"/>
                <w:i/>
              </w:rPr>
            </m:ctrlPr>
          </m:sSubPr>
          <m:e>
            <m:r>
              <w:rPr>
                <w:rFonts w:ascii="Cambria Math" w:eastAsiaTheme="minorEastAsia" w:hAnsi="Cambria Math"/>
              </w:rPr>
              <m:t>R</m:t>
            </m:r>
          </m:e>
          <m:sub>
            <m:r>
              <w:rPr>
                <w:rFonts w:ascii="Cambria Math" w:eastAsiaTheme="minorEastAsia" w:hAnsi="Cambria Math"/>
              </w:rPr>
              <m:t>g</m:t>
            </m:r>
          </m:sub>
        </m:sSub>
      </m:oMath>
      <w:r w:rsidRPr="00BC31E0">
        <w:rPr>
          <w:rFonts w:hint="eastAsia"/>
        </w:rPr>
        <w:tab/>
      </w:r>
      <w:r w:rsidRPr="00BC31E0">
        <w:rPr>
          <w:rFonts w:hint="eastAsia"/>
        </w:rPr>
        <w:t>：</w:t>
      </w:r>
      <w:r w:rsidRPr="00BC31E0">
        <w:rPr>
          <w:rFonts w:hint="eastAsia"/>
        </w:rPr>
        <w:t xml:space="preserve"> </w:t>
      </w:r>
      <w:r w:rsidRPr="00BC31E0">
        <w:rPr>
          <w:rFonts w:asciiTheme="minorEastAsia" w:eastAsiaTheme="minorEastAsia" w:hAnsiTheme="minorEastAsia" w:hint="eastAsia"/>
        </w:rPr>
        <w:t>半径</w:t>
      </w:r>
      <w:r w:rsidRPr="00BC31E0">
        <w:rPr>
          <w:rFonts w:asciiTheme="majorEastAsia" w:eastAsiaTheme="majorEastAsia" w:hAnsiTheme="majorEastAsia" w:hint="eastAsia"/>
        </w:rPr>
        <w:t>(</w:t>
      </w:r>
      <w:r w:rsidRPr="00BC31E0">
        <w:rPr>
          <w:rFonts w:asciiTheme="majorEastAsia" w:eastAsiaTheme="majorEastAsia" w:hAnsiTheme="majorEastAsia"/>
        </w:rPr>
        <w:t>mm</w:t>
      </w:r>
      <w:r w:rsidRPr="00BC31E0">
        <w:rPr>
          <w:rFonts w:asciiTheme="majorEastAsia" w:eastAsiaTheme="majorEastAsia" w:hAnsiTheme="majorEastAsia" w:hint="eastAsia"/>
        </w:rPr>
        <w:t>)</w:t>
      </w:r>
    </w:p>
    <w:p w14:paraId="0CD88F5F" w14:textId="77777777" w:rsidR="00586AE8" w:rsidRPr="00BC31E0" w:rsidRDefault="00586AE8" w:rsidP="000935C2">
      <w:pPr>
        <w:tabs>
          <w:tab w:val="left" w:pos="2552"/>
        </w:tabs>
        <w:autoSpaceDE w:val="0"/>
        <w:autoSpaceDN w:val="0"/>
        <w:ind w:firstLineChars="675" w:firstLine="1423"/>
        <w:rPr>
          <w:rFonts w:asciiTheme="minorEastAsia" w:eastAsiaTheme="minorEastAsia" w:hAnsiTheme="minorEastAsia"/>
        </w:rPr>
      </w:pPr>
      <w:r w:rsidRPr="00BC31E0">
        <w:rPr>
          <w:rFonts w:ascii="ＭＳ ゴシック" w:eastAsia="ＭＳ ゴシック" w:hAnsi="ＭＳ ゴシック" w:hint="eastAsia"/>
          <w:b/>
        </w:rPr>
        <w:t>注記4</w:t>
      </w:r>
      <w:r w:rsidRPr="00BC31E0">
        <w:rPr>
          <w:rFonts w:asciiTheme="minorEastAsia" w:eastAsiaTheme="minorEastAsia" w:hAnsiTheme="minorEastAsia" w:hint="eastAsia"/>
        </w:rPr>
        <w:t xml:space="preserve">　</w:t>
      </w:r>
      <m:oMath>
        <m:r>
          <w:rPr>
            <w:rFonts w:ascii="Cambria Math" w:eastAsiaTheme="minorEastAsia" w:hAnsiTheme="minorEastAsia"/>
          </w:rPr>
          <m:t xml:space="preserve"> </m:t>
        </m:r>
        <m:r>
          <w:rPr>
            <w:rFonts w:ascii="Cambria Math" w:eastAsiaTheme="minorEastAsia" w:hAnsi="Cambria Math"/>
          </w:rPr>
          <m:t>t</m:t>
        </m:r>
      </m:oMath>
      <w:r w:rsidRPr="00BC31E0">
        <w:rPr>
          <w:rFonts w:asciiTheme="minorEastAsia" w:eastAsiaTheme="minorEastAsia" w:hAnsiTheme="minorEastAsia" w:hint="eastAsia"/>
        </w:rPr>
        <w:tab/>
      </w:r>
      <w:r w:rsidRPr="00BC31E0">
        <w:rPr>
          <w:rFonts w:hint="eastAsia"/>
        </w:rPr>
        <w:t>：</w:t>
      </w:r>
      <w:r w:rsidRPr="00BC31E0">
        <w:rPr>
          <w:rFonts w:hint="eastAsia"/>
        </w:rPr>
        <w:t xml:space="preserve"> </w:t>
      </w:r>
      <w:r w:rsidRPr="00BC31E0">
        <w:rPr>
          <w:rFonts w:asciiTheme="minorEastAsia" w:eastAsiaTheme="minorEastAsia" w:hAnsiTheme="minorEastAsia" w:hint="eastAsia"/>
        </w:rPr>
        <w:t>厚さ</w:t>
      </w:r>
      <w:r w:rsidRPr="00BC31E0">
        <w:rPr>
          <w:rFonts w:asciiTheme="minorHAnsi" w:eastAsiaTheme="minorEastAsia" w:hAnsiTheme="minorHAnsi"/>
        </w:rPr>
        <w:t>(mm)</w:t>
      </w:r>
    </w:p>
    <w:p w14:paraId="6B00DA5E" w14:textId="77777777" w:rsidR="00586AE8" w:rsidRPr="00BC31E0" w:rsidRDefault="00586AE8" w:rsidP="000935C2">
      <w:pPr>
        <w:tabs>
          <w:tab w:val="left" w:pos="2552"/>
        </w:tabs>
        <w:autoSpaceDE w:val="0"/>
        <w:autoSpaceDN w:val="0"/>
        <w:ind w:firstLineChars="675" w:firstLine="1423"/>
        <w:rPr>
          <w:rFonts w:asciiTheme="minorEastAsia" w:eastAsiaTheme="minorEastAsia" w:hAnsiTheme="minorEastAsia"/>
        </w:rPr>
      </w:pPr>
      <w:r w:rsidRPr="00BC31E0">
        <w:rPr>
          <w:rFonts w:ascii="ＭＳ ゴシック" w:eastAsia="ＭＳ ゴシック" w:hAnsi="ＭＳ ゴシック" w:hint="eastAsia"/>
          <w:b/>
        </w:rPr>
        <w:t>注記5</w:t>
      </w:r>
      <w:r w:rsidRPr="00BC31E0">
        <w:rPr>
          <w:rFonts w:asciiTheme="minorEastAsia" w:eastAsiaTheme="minorEastAsia" w:hAnsiTheme="minorEastAsia" w:hint="eastAsia"/>
        </w:rPr>
        <w:t xml:space="preserve">　</w:t>
      </w:r>
      <m:oMath>
        <m:r>
          <w:rPr>
            <w:rFonts w:ascii="Cambria Math" w:eastAsiaTheme="minorEastAsia" w:hAnsiTheme="minorEastAsia"/>
          </w:rPr>
          <m:t xml:space="preserve"> </m:t>
        </m:r>
        <m:sSub>
          <m:sSubPr>
            <m:ctrlPr>
              <w:rPr>
                <w:rFonts w:ascii="Cambria Math" w:eastAsiaTheme="minorEastAsia" w:hAnsiTheme="minorEastAsia"/>
                <w:i/>
              </w:rPr>
            </m:ctrlPr>
          </m:sSubPr>
          <m:e>
            <m:r>
              <w:rPr>
                <w:rFonts w:ascii="Cambria Math" w:eastAsiaTheme="minorEastAsia" w:hAnsi="Cambria Math"/>
              </w:rPr>
              <m:t>A</m:t>
            </m:r>
          </m:e>
          <m:sub>
            <m:r>
              <w:rPr>
                <w:rFonts w:ascii="Cambria Math" w:eastAsiaTheme="minorEastAsia" w:hAnsi="Cambria Math"/>
              </w:rPr>
              <m:t>g</m:t>
            </m:r>
          </m:sub>
        </m:sSub>
      </m:oMath>
      <w:r w:rsidRPr="00BC31E0">
        <w:rPr>
          <w:rFonts w:asciiTheme="minorEastAsia" w:eastAsiaTheme="minorEastAsia" w:hAnsiTheme="minorEastAsia" w:hint="eastAsia"/>
        </w:rPr>
        <w:tab/>
      </w:r>
      <w:r w:rsidRPr="00BC31E0">
        <w:rPr>
          <w:rFonts w:hint="eastAsia"/>
        </w:rPr>
        <w:t>：</w:t>
      </w:r>
      <w:r w:rsidRPr="00BC31E0">
        <w:rPr>
          <w:rFonts w:asciiTheme="minorEastAsia" w:eastAsiaTheme="minorEastAsia" w:hAnsiTheme="minorEastAsia" w:hint="eastAsia"/>
        </w:rPr>
        <w:t xml:space="preserve"> 隙間面積</w:t>
      </w:r>
      <m:oMath>
        <m:r>
          <m:rPr>
            <m:sty m:val="p"/>
          </m:rPr>
          <w:rPr>
            <w:rFonts w:ascii="Cambria Math" w:eastAsiaTheme="minorEastAsia" w:hAnsi="Cambria Math" w:hint="eastAsia"/>
          </w:rPr>
          <m:t>=</m:t>
        </m:r>
        <m:r>
          <w:rPr>
            <w:rFonts w:ascii="Cambria Math" w:eastAsiaTheme="minorEastAsia" w:hAnsi="Cambria Math"/>
          </w:rPr>
          <m:t xml:space="preserve">2 </m:t>
        </m:r>
        <m:r>
          <w:rPr>
            <w:rFonts w:ascii="Cambria Math" w:eastAsiaTheme="minorEastAsia" w:hAnsi="Cambria Math"/>
          </w:rPr>
          <m:t xml:space="preserve">h b/3 </m:t>
        </m:r>
      </m:oMath>
      <w:r w:rsidRPr="00BC31E0">
        <w:rPr>
          <w:rFonts w:asciiTheme="minorHAnsi" w:eastAsiaTheme="minorEastAsia" w:hAnsiTheme="minorHAnsi"/>
        </w:rPr>
        <w:t>(mm</w:t>
      </w:r>
      <w:r w:rsidRPr="00BC31E0">
        <w:rPr>
          <w:rFonts w:asciiTheme="minorHAnsi" w:eastAsiaTheme="minorEastAsia" w:hAnsiTheme="minorHAnsi"/>
          <w:vertAlign w:val="superscript"/>
        </w:rPr>
        <w:t xml:space="preserve">2 </w:t>
      </w:r>
      <w:r w:rsidRPr="00BC31E0">
        <w:rPr>
          <w:rFonts w:asciiTheme="minorHAnsi" w:eastAsiaTheme="minorEastAsia" w:hAnsiTheme="minorHAnsi"/>
        </w:rPr>
        <w:t>)</w:t>
      </w:r>
    </w:p>
    <w:p w14:paraId="1AC64475" w14:textId="77777777" w:rsidR="00586AE8" w:rsidRPr="00BC31E0" w:rsidRDefault="00586AE8" w:rsidP="000935C2">
      <w:pPr>
        <w:rPr>
          <w:rFonts w:asciiTheme="minorEastAsia" w:eastAsiaTheme="minorEastAsia" w:hAnsiTheme="minorEastAsia"/>
          <w:b/>
        </w:rPr>
      </w:pPr>
    </w:p>
    <w:p w14:paraId="433CFD2B" w14:textId="77777777" w:rsidR="00586AE8" w:rsidRPr="00BC31E0" w:rsidRDefault="00586AE8" w:rsidP="000935C2">
      <w:pPr>
        <w:jc w:val="center"/>
        <w:rPr>
          <w:rFonts w:ascii="ＭＳ ゴシック" w:eastAsia="ＭＳ ゴシック" w:hAnsi="ＭＳ ゴシック"/>
          <w:b/>
        </w:rPr>
      </w:pPr>
      <w:r w:rsidRPr="00BC31E0">
        <w:rPr>
          <w:rFonts w:ascii="ＭＳ ゴシック" w:eastAsia="ＭＳ ゴシック" w:hAnsi="ＭＳ ゴシック" w:hint="eastAsia"/>
          <w:b/>
        </w:rPr>
        <w:t>図7.8.5　層間隙間</w:t>
      </w:r>
    </w:p>
    <w:p w14:paraId="15C92B19" w14:textId="77777777" w:rsidR="00586AE8" w:rsidRPr="00BC31E0" w:rsidRDefault="00586AE8" w:rsidP="000935C2">
      <w:pPr>
        <w:widowControl/>
        <w:jc w:val="left"/>
        <w:rPr>
          <w:rFonts w:ascii="ＭＳ ゴシック" w:eastAsia="ＭＳ ゴシック"/>
          <w:b/>
        </w:rPr>
      </w:pPr>
    </w:p>
    <w:p w14:paraId="618714B4" w14:textId="77777777" w:rsidR="00B94982" w:rsidRPr="00BC31E0" w:rsidRDefault="00B94982" w:rsidP="000935C2">
      <w:pPr>
        <w:widowControl/>
      </w:pPr>
      <w:r w:rsidRPr="00BC31E0">
        <w:br w:type="page"/>
      </w:r>
    </w:p>
    <w:p w14:paraId="16322731" w14:textId="77777777" w:rsidR="005D77CA" w:rsidRPr="00BC31E0" w:rsidRDefault="005D77CA" w:rsidP="00AB0E82">
      <w:pPr>
        <w:pStyle w:val="20"/>
        <w:tabs>
          <w:tab w:val="clear" w:pos="284"/>
        </w:tabs>
        <w:ind w:left="567" w:hanging="567"/>
      </w:pPr>
      <w:bookmarkStart w:id="84" w:name="_Toc357672109"/>
      <w:bookmarkStart w:id="85" w:name="_Toc120092543"/>
      <w:r w:rsidRPr="00BC31E0">
        <w:rPr>
          <w:rFonts w:hint="eastAsia"/>
        </w:rPr>
        <w:lastRenderedPageBreak/>
        <w:t>線巻き容器とフレームの特別製作規定</w:t>
      </w:r>
      <w:bookmarkEnd w:id="84"/>
      <w:bookmarkEnd w:id="85"/>
    </w:p>
    <w:p w14:paraId="1D164890" w14:textId="77777777" w:rsidR="005D77CA" w:rsidRPr="00BC31E0" w:rsidRDefault="005D77CA" w:rsidP="00AB0E82">
      <w:pPr>
        <w:pStyle w:val="3"/>
        <w:tabs>
          <w:tab w:val="clear" w:pos="284"/>
        </w:tabs>
        <w:ind w:left="794" w:hanging="794"/>
      </w:pPr>
      <w:r w:rsidRPr="00BC31E0">
        <w:rPr>
          <w:rFonts w:hint="eastAsia"/>
        </w:rPr>
        <w:t>適用範囲</w:t>
      </w:r>
    </w:p>
    <w:p w14:paraId="7AEA73E8" w14:textId="77777777" w:rsidR="005D77CA" w:rsidRPr="00BC31E0" w:rsidRDefault="005D77CA" w:rsidP="00546E74">
      <w:pPr>
        <w:pStyle w:val="1110"/>
        <w:ind w:firstLine="210"/>
      </w:pPr>
      <w:r w:rsidRPr="00BC31E0">
        <w:rPr>
          <w:rFonts w:hint="eastAsia"/>
        </w:rPr>
        <w:t>この項の規定は，線巻き容器とフレームに対して適用する。この項は</w:t>
      </w:r>
      <w:r w:rsidRPr="00BC31E0">
        <w:rPr>
          <w:rFonts w:ascii="ＭＳ ゴシック" w:eastAsia="ＭＳ ゴシック" w:hAnsi="ＭＳ ゴシック" w:hint="eastAsia"/>
          <w:b/>
          <w:bCs/>
        </w:rPr>
        <w:t>7.1</w:t>
      </w:r>
      <w:r w:rsidRPr="00BC31E0">
        <w:rPr>
          <w:rFonts w:hint="eastAsia"/>
        </w:rPr>
        <w:t>～</w:t>
      </w:r>
      <w:r w:rsidRPr="00BC31E0">
        <w:rPr>
          <w:rFonts w:ascii="ＭＳ ゴシック" w:eastAsia="ＭＳ ゴシック" w:hAnsi="ＭＳ ゴシック" w:hint="eastAsia"/>
          <w:b/>
          <w:bCs/>
        </w:rPr>
        <w:t>7.7</w:t>
      </w:r>
      <w:r w:rsidRPr="00BC31E0">
        <w:rPr>
          <w:rFonts w:hint="eastAsia"/>
        </w:rPr>
        <w:t>の規定に対する追加要求を規定しており，内容が矛盾している場合はこの項の規定を優先させる。</w:t>
      </w:r>
    </w:p>
    <w:p w14:paraId="0F6D82F2" w14:textId="77777777" w:rsidR="005D77CA" w:rsidRPr="00BC31E0" w:rsidRDefault="005D77CA" w:rsidP="00AB0E82">
      <w:pPr>
        <w:pStyle w:val="3"/>
        <w:tabs>
          <w:tab w:val="clear" w:pos="284"/>
        </w:tabs>
        <w:ind w:left="794" w:hanging="794"/>
      </w:pPr>
      <w:r w:rsidRPr="00BC31E0">
        <w:rPr>
          <w:rFonts w:hint="eastAsia"/>
        </w:rPr>
        <w:t>製作要求</w:t>
      </w:r>
    </w:p>
    <w:p w14:paraId="77453489" w14:textId="77777777" w:rsidR="005D77CA" w:rsidRPr="00BC31E0" w:rsidRDefault="005D77CA" w:rsidP="00546E74">
      <w:pPr>
        <w:pStyle w:val="1110"/>
        <w:ind w:firstLine="211"/>
      </w:pPr>
      <w:r w:rsidRPr="00BC31E0">
        <w:rPr>
          <w:rFonts w:ascii="ＭＳ ゴシック" w:eastAsia="ＭＳ ゴシック" w:hint="eastAsia"/>
          <w:b/>
          <w:bCs/>
        </w:rPr>
        <w:t>7.1</w:t>
      </w:r>
      <w:r w:rsidRPr="00BC31E0">
        <w:rPr>
          <w:rFonts w:ascii="ＭＳ ゴシック" w:eastAsia="ＭＳ ゴシック" w:hAnsi="ＭＳ 明朝" w:hint="eastAsia"/>
          <w:bCs/>
        </w:rPr>
        <w:t>，</w:t>
      </w:r>
      <w:r w:rsidRPr="00BC31E0">
        <w:rPr>
          <w:rFonts w:ascii="ＭＳ ゴシック" w:eastAsia="ＭＳ ゴシック" w:hint="eastAsia"/>
          <w:b/>
          <w:bCs/>
        </w:rPr>
        <w:t>7.6</w:t>
      </w:r>
      <w:r w:rsidRPr="00BC31E0">
        <w:rPr>
          <w:rFonts w:ascii="ＭＳ ゴシック" w:eastAsia="ＭＳ ゴシック" w:hAnsi="ＭＳ 明朝" w:hint="eastAsia"/>
          <w:bCs/>
        </w:rPr>
        <w:t>，</w:t>
      </w:r>
      <w:r w:rsidRPr="00BC31E0">
        <w:rPr>
          <w:rFonts w:ascii="ＭＳ ゴシック" w:eastAsia="ＭＳ ゴシック" w:hint="eastAsia"/>
          <w:b/>
          <w:bCs/>
        </w:rPr>
        <w:t>7.7</w:t>
      </w:r>
      <w:r w:rsidRPr="00BC31E0">
        <w:rPr>
          <w:rFonts w:ascii="ＭＳ ゴシック" w:eastAsia="ＭＳ ゴシック" w:hAnsi="ＭＳ 明朝" w:hint="eastAsia"/>
          <w:bCs/>
        </w:rPr>
        <w:t>，</w:t>
      </w:r>
      <w:r w:rsidRPr="00BC31E0">
        <w:rPr>
          <w:rFonts w:ascii="ＭＳ ゴシック" w:eastAsia="ＭＳ ゴシック" w:hint="eastAsia"/>
          <w:b/>
          <w:bCs/>
        </w:rPr>
        <w:t>7.8</w:t>
      </w:r>
      <w:r w:rsidRPr="00BC31E0">
        <w:rPr>
          <w:rFonts w:hint="eastAsia"/>
        </w:rPr>
        <w:t>の一般と特別規定は，線巻き容器とフレームの製作についても適用する。</w:t>
      </w:r>
      <w:r w:rsidRPr="00BC31E0">
        <w:rPr>
          <w:rFonts w:ascii="ＭＳ ゴシック" w:eastAsia="ＭＳ ゴシック" w:hint="eastAsia"/>
          <w:b/>
          <w:bCs/>
        </w:rPr>
        <w:t>7.2</w:t>
      </w:r>
      <w:r w:rsidRPr="00BC31E0">
        <w:rPr>
          <w:rFonts w:hint="eastAsia"/>
          <w:bCs/>
        </w:rPr>
        <w:t>～</w:t>
      </w:r>
      <w:r w:rsidRPr="00BC31E0">
        <w:rPr>
          <w:rFonts w:ascii="ＭＳ ゴシック" w:eastAsia="ＭＳ ゴシック" w:hint="eastAsia"/>
          <w:b/>
          <w:bCs/>
        </w:rPr>
        <w:t>7.8</w:t>
      </w:r>
      <w:r w:rsidRPr="00BC31E0">
        <w:rPr>
          <w:rFonts w:hint="eastAsia"/>
        </w:rPr>
        <w:t>に示す溶接製作規定は，次の</w:t>
      </w:r>
      <w:r w:rsidRPr="00BC31E0">
        <w:rPr>
          <w:rFonts w:ascii="ＭＳ ゴシック" w:eastAsia="ＭＳ ゴシック" w:hAnsi="ＭＳ ゴシック" w:hint="eastAsia"/>
          <w:b/>
        </w:rPr>
        <w:t>a)</w:t>
      </w:r>
      <w:r w:rsidRPr="00BC31E0">
        <w:rPr>
          <w:rFonts w:hint="eastAsia"/>
        </w:rPr>
        <w:t>～</w:t>
      </w:r>
      <w:r w:rsidRPr="00BC31E0">
        <w:rPr>
          <w:rFonts w:ascii="ＭＳ ゴシック" w:eastAsia="ＭＳ ゴシック" w:hint="eastAsia"/>
          <w:b/>
          <w:bCs/>
        </w:rPr>
        <w:t>c)</w:t>
      </w:r>
      <w:r w:rsidRPr="00BC31E0">
        <w:rPr>
          <w:rFonts w:hint="eastAsia"/>
        </w:rPr>
        <w:t>に置き換える。</w:t>
      </w:r>
    </w:p>
    <w:p w14:paraId="34FD5592" w14:textId="77777777" w:rsidR="00AB0E82" w:rsidRPr="00BC31E0" w:rsidRDefault="005D77CA" w:rsidP="00736130">
      <w:pPr>
        <w:pStyle w:val="a4"/>
        <w:numPr>
          <w:ilvl w:val="0"/>
          <w:numId w:val="529"/>
        </w:numPr>
        <w:ind w:leftChars="0" w:left="454" w:hanging="454"/>
      </w:pPr>
      <w:r w:rsidRPr="00BC31E0">
        <w:rPr>
          <w:rFonts w:asciiTheme="majorEastAsia" w:eastAsiaTheme="majorEastAsia" w:hAnsiTheme="majorEastAsia" w:hint="eastAsia"/>
          <w:b/>
        </w:rPr>
        <w:t>溶接に関する製作要求</w:t>
      </w:r>
      <w:r w:rsidRPr="00BC31E0">
        <w:rPr>
          <w:rFonts w:hint="eastAsia"/>
        </w:rPr>
        <w:t xml:space="preserve">　線巻きにより残留応力が与えられ，かつ圧力荷重を受ける部分には溶接は許されない。ただし，ワイヤ繋ぎ溶接を除く。</w:t>
      </w:r>
    </w:p>
    <w:p w14:paraId="75C887CB" w14:textId="77777777" w:rsidR="00AB0E82" w:rsidRPr="00BC31E0" w:rsidRDefault="005D77CA" w:rsidP="00736130">
      <w:pPr>
        <w:pStyle w:val="a4"/>
        <w:numPr>
          <w:ilvl w:val="0"/>
          <w:numId w:val="529"/>
        </w:numPr>
        <w:ind w:leftChars="0" w:left="454" w:hanging="454"/>
      </w:pPr>
      <w:r w:rsidRPr="00BC31E0">
        <w:rPr>
          <w:rFonts w:asciiTheme="majorEastAsia" w:eastAsiaTheme="majorEastAsia" w:hAnsiTheme="majorEastAsia" w:hint="eastAsia"/>
          <w:b/>
        </w:rPr>
        <w:t>ワイヤ繋ぎ溶接</w:t>
      </w:r>
      <w:r w:rsidRPr="00BC31E0">
        <w:rPr>
          <w:rFonts w:hint="eastAsia"/>
        </w:rPr>
        <w:t xml:space="preserve">　必要な場合には，ワイヤは突合せ溶接する。溶接間の距離は</w:t>
      </w:r>
      <w:r w:rsidRPr="00BC31E0">
        <w:t>2,000m</w:t>
      </w:r>
      <w:r w:rsidRPr="00BC31E0">
        <w:rPr>
          <w:rFonts w:hint="eastAsia"/>
        </w:rPr>
        <w:t xml:space="preserve"> </w:t>
      </w:r>
      <w:r w:rsidRPr="00BC31E0">
        <w:rPr>
          <w:rFonts w:hint="eastAsia"/>
        </w:rPr>
        <w:t>以上とし，平均溶接間距離は</w:t>
      </w:r>
      <w:r w:rsidRPr="00BC31E0">
        <w:t>3,700m</w:t>
      </w:r>
      <w:r w:rsidRPr="00BC31E0">
        <w:rPr>
          <w:rFonts w:hint="eastAsia"/>
        </w:rPr>
        <w:t>以上とする。最外周に巻くワイヤには溶接があってはいけない。溶接部は平滑化する。溶接手順試験により，溶接後のワイヤ継手強度を測定しておかなければならない。ワイヤ溶接継手の前後最低</w:t>
      </w:r>
      <w:r w:rsidRPr="00BC31E0">
        <w:t>2</w:t>
      </w:r>
      <w:r w:rsidRPr="00BC31E0">
        <w:rPr>
          <w:rFonts w:hint="eastAsia"/>
        </w:rPr>
        <w:t>巻きはワイヤ張力を低くする。溶接後，線巻きの開始前に，ワイヤに少なくとも材料の規定引張強さの</w:t>
      </w:r>
      <w:r w:rsidRPr="00BC31E0">
        <w:t>2/3</w:t>
      </w:r>
      <w:r w:rsidRPr="00BC31E0">
        <w:rPr>
          <w:rFonts w:hint="eastAsia"/>
        </w:rPr>
        <w:t>の張力をかけ，もしワイヤ溶接部が破損したら溶接をやり直し，再度同じ手順を繰返す。</w:t>
      </w:r>
    </w:p>
    <w:p w14:paraId="290E7B12" w14:textId="77777777" w:rsidR="005D77CA" w:rsidRPr="00BC31E0" w:rsidRDefault="005D77CA" w:rsidP="00736130">
      <w:pPr>
        <w:pStyle w:val="a4"/>
        <w:numPr>
          <w:ilvl w:val="0"/>
          <w:numId w:val="529"/>
        </w:numPr>
        <w:ind w:leftChars="0" w:left="454" w:hanging="454"/>
      </w:pPr>
      <w:r w:rsidRPr="00BC31E0">
        <w:rPr>
          <w:rFonts w:hint="eastAsia"/>
        </w:rPr>
        <w:t>線巻き手順の要求事項　線巻き手順書をつくる。手順書には少なくとも次を記述する。</w:t>
      </w:r>
    </w:p>
    <w:p w14:paraId="2B9432FD" w14:textId="77777777" w:rsidR="00C029CF" w:rsidRPr="00BC31E0" w:rsidRDefault="005D77CA" w:rsidP="00736130">
      <w:pPr>
        <w:pStyle w:val="a4"/>
        <w:numPr>
          <w:ilvl w:val="0"/>
          <w:numId w:val="530"/>
        </w:numPr>
        <w:ind w:leftChars="0" w:left="738" w:hanging="454"/>
      </w:pPr>
      <w:r w:rsidRPr="00BC31E0">
        <w:rPr>
          <w:rFonts w:hint="eastAsia"/>
        </w:rPr>
        <w:t>線巻き用の機械の仕様と調整記録。なお，装置は</w:t>
      </w:r>
      <w:r w:rsidRPr="00BC31E0">
        <w:t>6</w:t>
      </w:r>
      <w:r w:rsidRPr="00BC31E0">
        <w:rPr>
          <w:rFonts w:hint="eastAsia"/>
        </w:rPr>
        <w:t>ヶ月</w:t>
      </w:r>
      <w:r w:rsidR="00A82C2A" w:rsidRPr="00BC31E0">
        <w:rPr>
          <w:rFonts w:hint="eastAsia"/>
        </w:rPr>
        <w:t>ごと</w:t>
      </w:r>
      <w:r w:rsidRPr="00BC31E0">
        <w:rPr>
          <w:rFonts w:hint="eastAsia"/>
        </w:rPr>
        <w:t>に調整する。</w:t>
      </w:r>
    </w:p>
    <w:p w14:paraId="6F74D864" w14:textId="77777777" w:rsidR="00C029CF" w:rsidRPr="00BC31E0" w:rsidRDefault="005D77CA" w:rsidP="00736130">
      <w:pPr>
        <w:pStyle w:val="a4"/>
        <w:numPr>
          <w:ilvl w:val="0"/>
          <w:numId w:val="530"/>
        </w:numPr>
        <w:ind w:leftChars="0" w:left="738" w:hanging="454"/>
      </w:pPr>
      <w:r w:rsidRPr="00BC31E0">
        <w:rPr>
          <w:rFonts w:hint="eastAsia"/>
        </w:rPr>
        <w:t>ワイヤに張力を与える方法</w:t>
      </w:r>
    </w:p>
    <w:p w14:paraId="709E7547" w14:textId="77777777" w:rsidR="00C029CF" w:rsidRPr="00BC31E0" w:rsidRDefault="005D77CA" w:rsidP="00736130">
      <w:pPr>
        <w:pStyle w:val="a4"/>
        <w:numPr>
          <w:ilvl w:val="0"/>
          <w:numId w:val="530"/>
        </w:numPr>
        <w:ind w:leftChars="0" w:left="738" w:hanging="454"/>
      </w:pPr>
      <w:r w:rsidRPr="00BC31E0">
        <w:rPr>
          <w:rFonts w:hint="eastAsia"/>
        </w:rPr>
        <w:t>ワイヤ張力を測定する方法</w:t>
      </w:r>
    </w:p>
    <w:p w14:paraId="0A0615DD" w14:textId="77777777" w:rsidR="00C029CF" w:rsidRPr="00BC31E0" w:rsidRDefault="005D77CA" w:rsidP="00736130">
      <w:pPr>
        <w:pStyle w:val="a4"/>
        <w:numPr>
          <w:ilvl w:val="0"/>
          <w:numId w:val="530"/>
        </w:numPr>
        <w:ind w:leftChars="0" w:left="738" w:hanging="454"/>
      </w:pPr>
      <w:r w:rsidRPr="00BC31E0">
        <w:rPr>
          <w:rFonts w:hint="eastAsia"/>
        </w:rPr>
        <w:t>ワイヤの張力を調整する方法</w:t>
      </w:r>
    </w:p>
    <w:p w14:paraId="26817682" w14:textId="77777777" w:rsidR="00C029CF" w:rsidRPr="00BC31E0" w:rsidRDefault="005D77CA" w:rsidP="00736130">
      <w:pPr>
        <w:pStyle w:val="a4"/>
        <w:numPr>
          <w:ilvl w:val="0"/>
          <w:numId w:val="530"/>
        </w:numPr>
        <w:ind w:leftChars="0" w:left="738" w:hanging="454"/>
      </w:pPr>
      <w:r w:rsidRPr="00BC31E0">
        <w:rPr>
          <w:rFonts w:hint="eastAsia"/>
        </w:rPr>
        <w:t>ワイヤの張力を記録する方法</w:t>
      </w:r>
    </w:p>
    <w:p w14:paraId="4FAC2E0B" w14:textId="77777777" w:rsidR="00C029CF" w:rsidRPr="00BC31E0" w:rsidRDefault="005D77CA" w:rsidP="00736130">
      <w:pPr>
        <w:pStyle w:val="a4"/>
        <w:numPr>
          <w:ilvl w:val="0"/>
          <w:numId w:val="530"/>
        </w:numPr>
        <w:ind w:leftChars="0" w:left="738" w:hanging="454"/>
      </w:pPr>
      <w:r w:rsidRPr="00BC31E0">
        <w:rPr>
          <w:rFonts w:hint="eastAsia"/>
        </w:rPr>
        <w:t>計算上必要な張力</w:t>
      </w:r>
    </w:p>
    <w:p w14:paraId="1B6F4D84" w14:textId="77777777" w:rsidR="005D77CA" w:rsidRPr="00BC31E0" w:rsidRDefault="005D77CA" w:rsidP="00736130">
      <w:pPr>
        <w:pStyle w:val="a4"/>
        <w:numPr>
          <w:ilvl w:val="0"/>
          <w:numId w:val="530"/>
        </w:numPr>
        <w:ind w:leftChars="0" w:left="738" w:hanging="454"/>
      </w:pPr>
      <w:r w:rsidRPr="00BC31E0">
        <w:rPr>
          <w:rFonts w:hint="eastAsia"/>
        </w:rPr>
        <w:t>製造時，適切なインターバル</w:t>
      </w:r>
      <w:r w:rsidR="00A82C2A" w:rsidRPr="00BC31E0">
        <w:rPr>
          <w:rFonts w:hint="eastAsia"/>
        </w:rPr>
        <w:t>ごと</w:t>
      </w:r>
      <w:r w:rsidRPr="00BC31E0">
        <w:rPr>
          <w:rFonts w:hint="eastAsia"/>
        </w:rPr>
        <w:t>に必要な張力と測定値を比較した結果。なお，製造途中で最終圧縮力が足りなくなると計算されたら，以降の張力は</w:t>
      </w:r>
      <w:r w:rsidRPr="00BC31E0">
        <w:t>10%</w:t>
      </w:r>
      <w:r w:rsidRPr="00BC31E0">
        <w:rPr>
          <w:rFonts w:hint="eastAsia"/>
        </w:rPr>
        <w:t>以内で調整してよい。最終圧縮力と計算値は</w:t>
      </w:r>
      <w:r w:rsidRPr="00BC31E0">
        <w:t>5</w:t>
      </w:r>
      <w:r w:rsidRPr="00BC31E0">
        <w:rPr>
          <w:rFonts w:hint="eastAsia"/>
        </w:rPr>
        <w:t>%</w:t>
      </w:r>
      <w:r w:rsidRPr="00BC31E0">
        <w:rPr>
          <w:rFonts w:hint="eastAsia"/>
        </w:rPr>
        <w:t>以内に納める。ワイヤの最終端は適切に留め，ほどけないようにする。</w:t>
      </w:r>
    </w:p>
    <w:p w14:paraId="17FD7B8D" w14:textId="77777777" w:rsidR="000101BC" w:rsidRPr="00BC31E0" w:rsidRDefault="00D600D2" w:rsidP="00736130">
      <w:pPr>
        <w:pStyle w:val="20"/>
        <w:numPr>
          <w:ilvl w:val="1"/>
          <w:numId w:val="214"/>
        </w:numPr>
        <w:tabs>
          <w:tab w:val="clear" w:pos="397"/>
        </w:tabs>
        <w:ind w:left="567" w:hanging="567"/>
      </w:pPr>
      <w:r w:rsidRPr="00BC31E0">
        <w:rPr>
          <w:rFonts w:hint="eastAsia"/>
        </w:rPr>
        <w:t xml:space="preserve"> </w:t>
      </w:r>
      <w:bookmarkStart w:id="86" w:name="_Toc120092544"/>
      <w:r w:rsidR="000101BC" w:rsidRPr="00BC31E0">
        <w:rPr>
          <w:rFonts w:hint="eastAsia"/>
        </w:rPr>
        <w:t>アルミニウム合金製容器の特別製作規定</w:t>
      </w:r>
      <w:bookmarkEnd w:id="86"/>
    </w:p>
    <w:p w14:paraId="72798558" w14:textId="77777777" w:rsidR="000101BC" w:rsidRPr="00BC31E0" w:rsidRDefault="000101BC" w:rsidP="00546E74">
      <w:pPr>
        <w:pStyle w:val="113"/>
        <w:ind w:firstLine="211"/>
      </w:pPr>
      <w:r w:rsidRPr="00BC31E0">
        <w:rPr>
          <w:rFonts w:ascii="ＭＳ ゴシック" w:eastAsia="ＭＳ ゴシック" w:hAnsi="ＭＳ ゴシック" w:hint="eastAsia"/>
          <w:b/>
        </w:rPr>
        <w:t>6.13</w:t>
      </w:r>
      <w:r w:rsidRPr="00BC31E0">
        <w:rPr>
          <w:rFonts w:hint="eastAsia"/>
        </w:rPr>
        <w:t>の水素容器などに用いられるアルミニウム合金製容器に対する製作要求は，次の</w:t>
      </w:r>
      <w:r w:rsidRPr="00BC31E0">
        <w:rPr>
          <w:rFonts w:ascii="ＭＳ ゴシック" w:eastAsia="ＭＳ ゴシック" w:hAnsi="ＭＳ ゴシック" w:hint="eastAsia"/>
          <w:b/>
        </w:rPr>
        <w:t>a)</w:t>
      </w:r>
      <w:r w:rsidRPr="00BC31E0">
        <w:rPr>
          <w:rFonts w:hint="eastAsia"/>
        </w:rPr>
        <w:t>～</w:t>
      </w:r>
      <w:r w:rsidRPr="00BC31E0">
        <w:rPr>
          <w:rFonts w:ascii="ＭＳ ゴシック" w:eastAsia="ＭＳ ゴシック" w:hAnsi="ＭＳ ゴシック" w:hint="eastAsia"/>
          <w:b/>
        </w:rPr>
        <w:t>c)</w:t>
      </w:r>
      <w:r w:rsidRPr="00BC31E0">
        <w:rPr>
          <w:rFonts w:hint="eastAsia"/>
        </w:rPr>
        <w:t>による。</w:t>
      </w:r>
    </w:p>
    <w:p w14:paraId="3AFD78DB" w14:textId="77777777" w:rsidR="003D41C5" w:rsidRPr="00BC31E0" w:rsidRDefault="000101BC" w:rsidP="00736130">
      <w:pPr>
        <w:pStyle w:val="a4"/>
        <w:numPr>
          <w:ilvl w:val="0"/>
          <w:numId w:val="531"/>
        </w:numPr>
        <w:ind w:leftChars="0" w:left="454" w:hanging="454"/>
      </w:pPr>
      <w:r w:rsidRPr="00BC31E0">
        <w:rPr>
          <w:rFonts w:asciiTheme="majorEastAsia" w:eastAsiaTheme="majorEastAsia" w:hAnsiTheme="majorEastAsia" w:hint="eastAsia"/>
          <w:b/>
        </w:rPr>
        <w:t>表5.4.1</w:t>
      </w:r>
      <w:r w:rsidRPr="00BC31E0">
        <w:rPr>
          <w:rFonts w:hint="eastAsia"/>
        </w:rPr>
        <w:t>の仕様に一致する製品形体，薄板，板，棒，引抜き継目なし管，継目なし押出し管から容器や構成部材を製造してもよい。完成した容器及び構成部材は，</w:t>
      </w:r>
      <w:r w:rsidRPr="00BC31E0">
        <w:rPr>
          <w:rFonts w:asciiTheme="majorEastAsia" w:eastAsiaTheme="majorEastAsia" w:hAnsiTheme="majorEastAsia" w:hint="eastAsia"/>
          <w:b/>
        </w:rPr>
        <w:t>表5.4.1</w:t>
      </w:r>
      <w:r w:rsidRPr="00BC31E0">
        <w:rPr>
          <w:rFonts w:hint="eastAsia"/>
        </w:rPr>
        <w:t>に示される仕様要求に従って熱処理を施工し，</w:t>
      </w:r>
      <w:r w:rsidRPr="00BC31E0">
        <w:t>T6</w:t>
      </w:r>
      <w:r w:rsidRPr="00BC31E0">
        <w:rPr>
          <w:rFonts w:hint="eastAsia"/>
        </w:rPr>
        <w:t>又は</w:t>
      </w:r>
      <w:r w:rsidRPr="00BC31E0">
        <w:t>T651</w:t>
      </w:r>
      <w:r w:rsidRPr="00BC31E0">
        <w:rPr>
          <w:rFonts w:hint="eastAsia"/>
        </w:rPr>
        <w:t>のいずれかの調質に対して指定された機械的特性を満足しなければならない。</w:t>
      </w:r>
    </w:p>
    <w:p w14:paraId="29123503" w14:textId="77777777" w:rsidR="003D41C5" w:rsidRPr="00BC31E0" w:rsidRDefault="000101BC" w:rsidP="00736130">
      <w:pPr>
        <w:pStyle w:val="a4"/>
        <w:numPr>
          <w:ilvl w:val="0"/>
          <w:numId w:val="531"/>
        </w:numPr>
        <w:ind w:leftChars="0" w:left="454" w:hanging="454"/>
      </w:pPr>
      <w:r w:rsidRPr="00BC31E0">
        <w:rPr>
          <w:rFonts w:ascii="ＭＳ 明朝" w:hAnsi="ＭＳ 明朝" w:hint="eastAsia"/>
          <w:bCs/>
        </w:rPr>
        <w:t>溶接施工及び熱的切断施工を行ってはならない。</w:t>
      </w:r>
    </w:p>
    <w:p w14:paraId="3A888A8F" w14:textId="77777777" w:rsidR="000101BC" w:rsidRPr="00BC31E0" w:rsidRDefault="000101BC" w:rsidP="00736130">
      <w:pPr>
        <w:pStyle w:val="a4"/>
        <w:numPr>
          <w:ilvl w:val="0"/>
          <w:numId w:val="531"/>
        </w:numPr>
        <w:ind w:leftChars="0" w:left="454" w:hanging="454"/>
      </w:pPr>
      <w:r w:rsidRPr="00BC31E0">
        <w:rPr>
          <w:rFonts w:asciiTheme="majorEastAsia" w:eastAsiaTheme="majorEastAsia" w:hAnsiTheme="majorEastAsia" w:hint="eastAsia"/>
          <w:b/>
        </w:rPr>
        <w:t>5.2.11</w:t>
      </w:r>
      <w:r w:rsidRPr="00BC31E0">
        <w:rPr>
          <w:rFonts w:ascii="ＭＳ 明朝" w:hAnsi="ＭＳ 明朝" w:hint="eastAsia"/>
          <w:bCs/>
        </w:rPr>
        <w:t>に従って切欠き引張試験を実施しなければならない。</w:t>
      </w:r>
    </w:p>
    <w:p w14:paraId="23385AF4" w14:textId="77777777" w:rsidR="00D600D2" w:rsidRPr="00BC31E0" w:rsidRDefault="00D600D2" w:rsidP="00813868">
      <w:pPr>
        <w:pStyle w:val="20"/>
        <w:tabs>
          <w:tab w:val="clear" w:pos="284"/>
        </w:tabs>
        <w:ind w:left="567" w:hanging="567"/>
      </w:pPr>
      <w:r w:rsidRPr="00BC31E0">
        <w:rPr>
          <w:rFonts w:hint="eastAsia"/>
        </w:rPr>
        <w:t xml:space="preserve"> </w:t>
      </w:r>
      <w:bookmarkStart w:id="87" w:name="_Toc120092545"/>
      <w:r w:rsidRPr="00BC31E0">
        <w:rPr>
          <w:rFonts w:hint="eastAsia"/>
        </w:rPr>
        <w:t>時効硬化ステンレス鋼を溶接する場合の追加製作規定</w:t>
      </w:r>
      <w:bookmarkEnd w:id="87"/>
    </w:p>
    <w:p w14:paraId="440615A9" w14:textId="77777777" w:rsidR="00D600D2" w:rsidRPr="00BC31E0" w:rsidRDefault="002F5673" w:rsidP="00813868">
      <w:pPr>
        <w:pStyle w:val="3"/>
        <w:tabs>
          <w:tab w:val="clear" w:pos="284"/>
        </w:tabs>
        <w:ind w:left="794" w:hanging="794"/>
      </w:pPr>
      <w:r w:rsidRPr="00BC31E0">
        <w:rPr>
          <w:rFonts w:hint="eastAsia"/>
        </w:rPr>
        <w:t xml:space="preserve"> </w:t>
      </w:r>
      <w:r w:rsidR="00D600D2" w:rsidRPr="00BC31E0">
        <w:rPr>
          <w:rFonts w:hint="eastAsia"/>
        </w:rPr>
        <w:t>適用範囲</w:t>
      </w:r>
    </w:p>
    <w:p w14:paraId="3879D820" w14:textId="77777777" w:rsidR="00D600D2" w:rsidRPr="00BC31E0" w:rsidRDefault="00D600D2" w:rsidP="00546E74">
      <w:pPr>
        <w:pStyle w:val="1110"/>
        <w:ind w:firstLine="210"/>
      </w:pPr>
      <w:r w:rsidRPr="00BC31E0">
        <w:rPr>
          <w:rFonts w:hint="eastAsia"/>
        </w:rPr>
        <w:t>この項の規定は，</w:t>
      </w:r>
      <w:r w:rsidRPr="00BC31E0">
        <w:rPr>
          <w:rFonts w:hint="eastAsia"/>
        </w:rPr>
        <w:t>SA564</w:t>
      </w:r>
      <w:r w:rsidRPr="00BC31E0">
        <w:rPr>
          <w:rFonts w:hint="eastAsia"/>
        </w:rPr>
        <w:t>，</w:t>
      </w:r>
      <w:r w:rsidRPr="00BC31E0">
        <w:rPr>
          <w:rFonts w:hint="eastAsia"/>
        </w:rPr>
        <w:t>SA705</w:t>
      </w:r>
      <w:r w:rsidRPr="00BC31E0">
        <w:rPr>
          <w:rFonts w:hint="eastAsia"/>
        </w:rPr>
        <w:t>及び</w:t>
      </w:r>
      <w:r w:rsidRPr="00BC31E0">
        <w:rPr>
          <w:rFonts w:hint="eastAsia"/>
        </w:rPr>
        <w:t>SUS630</w:t>
      </w:r>
      <w:r w:rsidRPr="00BC31E0">
        <w:rPr>
          <w:rFonts w:hint="eastAsia"/>
        </w:rPr>
        <w:t>鋼の時効硬化ステンレス鋼が溶接される場合</w:t>
      </w:r>
      <w:r w:rsidRPr="00BC31E0">
        <w:rPr>
          <w:rFonts w:hint="eastAsia"/>
        </w:rPr>
        <w:lastRenderedPageBreak/>
        <w:t>に適用する。</w:t>
      </w:r>
    </w:p>
    <w:p w14:paraId="35651466" w14:textId="77777777" w:rsidR="00D600D2" w:rsidRPr="00BC31E0" w:rsidRDefault="002F5673" w:rsidP="00813868">
      <w:pPr>
        <w:pStyle w:val="3"/>
        <w:tabs>
          <w:tab w:val="clear" w:pos="284"/>
        </w:tabs>
        <w:ind w:left="794" w:hanging="794"/>
      </w:pPr>
      <w:r w:rsidRPr="00BC31E0">
        <w:rPr>
          <w:rFonts w:hint="eastAsia"/>
        </w:rPr>
        <w:t xml:space="preserve"> </w:t>
      </w:r>
      <w:r w:rsidR="00D600D2" w:rsidRPr="00BC31E0">
        <w:rPr>
          <w:rFonts w:hint="eastAsia"/>
        </w:rPr>
        <w:t>溶接に関する製作要求</w:t>
      </w:r>
    </w:p>
    <w:p w14:paraId="01CC5F8E" w14:textId="77777777" w:rsidR="00D600D2" w:rsidRPr="00BC31E0" w:rsidRDefault="00D600D2" w:rsidP="00546E74">
      <w:pPr>
        <w:pStyle w:val="1110"/>
        <w:ind w:firstLine="210"/>
      </w:pPr>
      <w:r w:rsidRPr="00BC31E0">
        <w:rPr>
          <w:rFonts w:hint="eastAsia"/>
        </w:rPr>
        <w:t>溶接に関する製作要求は，次の</w:t>
      </w:r>
      <w:r w:rsidRPr="00BC31E0">
        <w:rPr>
          <w:rFonts w:asciiTheme="majorEastAsia" w:eastAsiaTheme="majorEastAsia" w:hAnsiTheme="majorEastAsia" w:hint="eastAsia"/>
          <w:b/>
        </w:rPr>
        <w:t>a)</w:t>
      </w:r>
      <w:r w:rsidRPr="00BC31E0">
        <w:rPr>
          <w:rFonts w:hint="eastAsia"/>
        </w:rPr>
        <w:t>～</w:t>
      </w:r>
      <w:r w:rsidRPr="00BC31E0">
        <w:rPr>
          <w:rFonts w:asciiTheme="majorEastAsia" w:eastAsiaTheme="majorEastAsia" w:hAnsiTheme="majorEastAsia" w:hint="eastAsia"/>
          <w:b/>
        </w:rPr>
        <w:t>d)</w:t>
      </w:r>
      <w:r w:rsidRPr="00BC31E0">
        <w:rPr>
          <w:rFonts w:hint="eastAsia"/>
        </w:rPr>
        <w:t>による。</w:t>
      </w:r>
    </w:p>
    <w:p w14:paraId="187A7D8A" w14:textId="77777777" w:rsidR="00813868" w:rsidRPr="00BC31E0" w:rsidRDefault="00D600D2" w:rsidP="00736130">
      <w:pPr>
        <w:pStyle w:val="a4"/>
        <w:numPr>
          <w:ilvl w:val="0"/>
          <w:numId w:val="532"/>
        </w:numPr>
        <w:ind w:leftChars="0" w:left="454" w:hanging="454"/>
        <w:rPr>
          <w:szCs w:val="20"/>
        </w:rPr>
      </w:pPr>
      <w:r w:rsidRPr="00BC31E0">
        <w:rPr>
          <w:rFonts w:hint="eastAsia"/>
        </w:rPr>
        <w:t>溶接施工方法の確認と溶接士の格付けは，この項と</w:t>
      </w:r>
      <w:r w:rsidRPr="00BC31E0">
        <w:rPr>
          <w:rFonts w:asciiTheme="majorEastAsia" w:eastAsiaTheme="majorEastAsia" w:hAnsiTheme="majorEastAsia" w:hint="eastAsia"/>
          <w:b/>
        </w:rPr>
        <w:t>7.2.2</w:t>
      </w:r>
      <w:r w:rsidRPr="00BC31E0">
        <w:rPr>
          <w:rFonts w:hint="eastAsia"/>
        </w:rPr>
        <w:t>に従う。</w:t>
      </w:r>
    </w:p>
    <w:p w14:paraId="2E2EDE65" w14:textId="77777777" w:rsidR="00813868" w:rsidRPr="00BC31E0" w:rsidRDefault="00D600D2" w:rsidP="00736130">
      <w:pPr>
        <w:pStyle w:val="a4"/>
        <w:numPr>
          <w:ilvl w:val="0"/>
          <w:numId w:val="532"/>
        </w:numPr>
        <w:ind w:leftChars="0" w:left="454" w:hanging="454"/>
        <w:rPr>
          <w:szCs w:val="20"/>
        </w:rPr>
      </w:pPr>
      <w:r w:rsidRPr="00BC31E0">
        <w:rPr>
          <w:rFonts w:asciiTheme="minorEastAsia" w:hAnsiTheme="minorEastAsia" w:hint="eastAsia"/>
          <w:szCs w:val="20"/>
        </w:rPr>
        <w:t>溶接試験片は</w:t>
      </w:r>
      <w:r w:rsidRPr="00BC31E0">
        <w:rPr>
          <w:rFonts w:asciiTheme="majorEastAsia" w:eastAsiaTheme="majorEastAsia" w:hAnsiTheme="majorEastAsia" w:hint="eastAsia"/>
          <w:b/>
          <w:szCs w:val="20"/>
        </w:rPr>
        <w:t>10.2</w:t>
      </w:r>
      <w:r w:rsidRPr="00BC31E0">
        <w:rPr>
          <w:rFonts w:asciiTheme="minorEastAsia" w:hAnsiTheme="minorEastAsia" w:hint="eastAsia"/>
          <w:szCs w:val="20"/>
        </w:rPr>
        <w:t>の衝撃試験を行い，</w:t>
      </w:r>
      <w:r w:rsidRPr="00BC31E0">
        <w:rPr>
          <w:rFonts w:asciiTheme="majorEastAsia" w:eastAsiaTheme="majorEastAsia" w:hAnsiTheme="majorEastAsia" w:hint="eastAsia"/>
          <w:b/>
          <w:szCs w:val="20"/>
        </w:rPr>
        <w:t>表5.2.2</w:t>
      </w:r>
      <w:r w:rsidRPr="00BC31E0">
        <w:rPr>
          <w:rFonts w:asciiTheme="minorEastAsia" w:hAnsiTheme="minorEastAsia" w:hint="eastAsia"/>
          <w:szCs w:val="20"/>
        </w:rPr>
        <w:t>の衝撃値を満足しなければならない。</w:t>
      </w:r>
    </w:p>
    <w:p w14:paraId="57168934" w14:textId="77777777" w:rsidR="00813868" w:rsidRPr="00BC31E0" w:rsidRDefault="00D600D2" w:rsidP="00736130">
      <w:pPr>
        <w:pStyle w:val="a4"/>
        <w:numPr>
          <w:ilvl w:val="0"/>
          <w:numId w:val="532"/>
        </w:numPr>
        <w:ind w:leftChars="0" w:left="454" w:hanging="454"/>
        <w:rPr>
          <w:szCs w:val="20"/>
        </w:rPr>
      </w:pPr>
      <w:r w:rsidRPr="00BC31E0">
        <w:rPr>
          <w:rFonts w:asciiTheme="minorEastAsia" w:hAnsiTheme="minorEastAsia" w:hint="eastAsia"/>
          <w:szCs w:val="20"/>
        </w:rPr>
        <w:t>衝撃試験片は，溶接部と熱影響部の両方から採取する。</w:t>
      </w:r>
    </w:p>
    <w:p w14:paraId="169A78CB" w14:textId="77777777" w:rsidR="00D600D2" w:rsidRPr="00BC31E0" w:rsidRDefault="00D600D2" w:rsidP="00736130">
      <w:pPr>
        <w:pStyle w:val="a4"/>
        <w:numPr>
          <w:ilvl w:val="0"/>
          <w:numId w:val="532"/>
        </w:numPr>
        <w:ind w:leftChars="0" w:left="454" w:hanging="454"/>
        <w:rPr>
          <w:szCs w:val="20"/>
        </w:rPr>
      </w:pPr>
      <w:r w:rsidRPr="00BC31E0">
        <w:rPr>
          <w:rFonts w:asciiTheme="minorEastAsia" w:hAnsiTheme="minorEastAsia" w:hint="eastAsia"/>
          <w:szCs w:val="20"/>
        </w:rPr>
        <w:t>熔加材は，母材と同等成分のものを使用する。</w:t>
      </w:r>
    </w:p>
    <w:p w14:paraId="3F18C29C" w14:textId="77777777" w:rsidR="00D600D2" w:rsidRPr="00BC31E0" w:rsidRDefault="002F5673" w:rsidP="008342E2">
      <w:pPr>
        <w:pStyle w:val="3"/>
        <w:tabs>
          <w:tab w:val="clear" w:pos="284"/>
        </w:tabs>
        <w:ind w:left="794" w:hanging="794"/>
      </w:pPr>
      <w:r w:rsidRPr="00BC31E0">
        <w:rPr>
          <w:rFonts w:hint="eastAsia"/>
        </w:rPr>
        <w:t xml:space="preserve"> </w:t>
      </w:r>
      <w:r w:rsidR="00D600D2" w:rsidRPr="00BC31E0">
        <w:rPr>
          <w:rFonts w:hint="eastAsia"/>
        </w:rPr>
        <w:t>母材の熱処理条件</w:t>
      </w:r>
    </w:p>
    <w:p w14:paraId="33EEC3B9" w14:textId="77777777" w:rsidR="00D600D2" w:rsidRPr="00BC31E0" w:rsidRDefault="00DC160D" w:rsidP="00546E74">
      <w:pPr>
        <w:pStyle w:val="1110"/>
        <w:ind w:firstLine="210"/>
        <w:rPr>
          <w:rFonts w:ascii="ＭＳ ゴシック" w:eastAsia="ＭＳ ゴシック" w:hAnsi="Arial"/>
          <w:b/>
        </w:rPr>
      </w:pPr>
      <w:r w:rsidRPr="00BC31E0">
        <w:rPr>
          <w:rFonts w:hint="eastAsia"/>
        </w:rPr>
        <w:t>全</w:t>
      </w:r>
      <w:r w:rsidR="00D600D2" w:rsidRPr="00BC31E0">
        <w:rPr>
          <w:rFonts w:hint="eastAsia"/>
        </w:rPr>
        <w:t>ての材料について，溶接前に材料仕様書に従った熱処理条件で固溶化熱処理を行うか，又は降伏強さが</w:t>
      </w:r>
      <w:r w:rsidR="00D600D2" w:rsidRPr="00BC31E0">
        <w:rPr>
          <w:rFonts w:hint="eastAsia"/>
        </w:rPr>
        <w:t>725 MPa</w:t>
      </w:r>
      <w:r w:rsidR="00D600D2" w:rsidRPr="00BC31E0">
        <w:rPr>
          <w:rFonts w:hint="eastAsia"/>
        </w:rPr>
        <w:t>以下でなければならない。</w:t>
      </w:r>
    </w:p>
    <w:p w14:paraId="69D75D02" w14:textId="77777777" w:rsidR="00D600D2" w:rsidRPr="00BC31E0" w:rsidRDefault="002F5673" w:rsidP="008342E2">
      <w:pPr>
        <w:pStyle w:val="3"/>
        <w:tabs>
          <w:tab w:val="clear" w:pos="284"/>
        </w:tabs>
        <w:ind w:left="794" w:hanging="794"/>
      </w:pPr>
      <w:r w:rsidRPr="00BC31E0">
        <w:rPr>
          <w:rFonts w:hint="eastAsia"/>
        </w:rPr>
        <w:t xml:space="preserve"> </w:t>
      </w:r>
      <w:r w:rsidR="00D600D2" w:rsidRPr="00BC31E0">
        <w:rPr>
          <w:rFonts w:hint="eastAsia"/>
        </w:rPr>
        <w:t>溶接が禁止されていない材料への仮付溶接</w:t>
      </w:r>
    </w:p>
    <w:p w14:paraId="0617F68A" w14:textId="77777777" w:rsidR="00D600D2" w:rsidRPr="00BC31E0" w:rsidRDefault="00D600D2" w:rsidP="00546E74">
      <w:pPr>
        <w:pStyle w:val="1110"/>
        <w:ind w:firstLine="210"/>
      </w:pPr>
      <w:r w:rsidRPr="00BC31E0">
        <w:rPr>
          <w:rFonts w:hint="eastAsia"/>
        </w:rPr>
        <w:t>仮付け溶接は，</w:t>
      </w:r>
      <w:r w:rsidRPr="00BC31E0">
        <w:rPr>
          <w:rFonts w:asciiTheme="majorEastAsia" w:eastAsiaTheme="majorEastAsia" w:hAnsiTheme="majorEastAsia" w:hint="eastAsia"/>
          <w:b/>
        </w:rPr>
        <w:t>7.6.3</w:t>
      </w:r>
      <w:r w:rsidRPr="00BC31E0">
        <w:rPr>
          <w:rFonts w:hint="eastAsia"/>
        </w:rPr>
        <w:t>に従う。</w:t>
      </w:r>
    </w:p>
    <w:p w14:paraId="6059B352" w14:textId="77777777" w:rsidR="00D600D2" w:rsidRPr="00BC31E0" w:rsidRDefault="002F5673" w:rsidP="008342E2">
      <w:pPr>
        <w:pStyle w:val="3"/>
        <w:tabs>
          <w:tab w:val="clear" w:pos="284"/>
        </w:tabs>
        <w:ind w:left="794" w:hanging="794"/>
      </w:pPr>
      <w:r w:rsidRPr="00BC31E0">
        <w:rPr>
          <w:rFonts w:hint="eastAsia"/>
        </w:rPr>
        <w:t xml:space="preserve"> </w:t>
      </w:r>
      <w:r w:rsidR="00D600D2" w:rsidRPr="00BC31E0">
        <w:rPr>
          <w:rFonts w:hint="eastAsia"/>
        </w:rPr>
        <w:t>溶接後熱処理</w:t>
      </w:r>
    </w:p>
    <w:p w14:paraId="6C412A8D" w14:textId="77777777" w:rsidR="00D600D2" w:rsidRPr="00BC31E0" w:rsidRDefault="00D600D2" w:rsidP="00546E74">
      <w:pPr>
        <w:pStyle w:val="1110"/>
        <w:ind w:firstLine="210"/>
      </w:pPr>
      <w:r w:rsidRPr="00BC31E0">
        <w:rPr>
          <w:rFonts w:hint="eastAsia"/>
        </w:rPr>
        <w:t>容器と部品について，</w:t>
      </w:r>
      <w:r w:rsidR="00DC160D" w:rsidRPr="00BC31E0">
        <w:rPr>
          <w:rFonts w:hint="eastAsia"/>
        </w:rPr>
        <w:t>全</w:t>
      </w:r>
      <w:r w:rsidRPr="00BC31E0">
        <w:rPr>
          <w:rFonts w:hint="eastAsia"/>
        </w:rPr>
        <w:t>ての溶接後に材料仕様書に従った熱処理条件で固溶化熱処理と時効硬化処理を行う。</w:t>
      </w:r>
    </w:p>
    <w:p w14:paraId="1B0A544B" w14:textId="77777777" w:rsidR="00D600D2" w:rsidRPr="00BC31E0" w:rsidRDefault="002F5673" w:rsidP="008342E2">
      <w:pPr>
        <w:pStyle w:val="3"/>
        <w:tabs>
          <w:tab w:val="clear" w:pos="284"/>
        </w:tabs>
        <w:ind w:left="794" w:hanging="794"/>
      </w:pPr>
      <w:r w:rsidRPr="00BC31E0">
        <w:rPr>
          <w:rFonts w:hint="eastAsia"/>
        </w:rPr>
        <w:t xml:space="preserve"> </w:t>
      </w:r>
      <w:r w:rsidR="00D600D2" w:rsidRPr="00BC31E0">
        <w:rPr>
          <w:rFonts w:hint="eastAsia"/>
        </w:rPr>
        <w:t>圧力容器製作用の溶接部試験</w:t>
      </w:r>
    </w:p>
    <w:p w14:paraId="76507877" w14:textId="77777777" w:rsidR="00D600D2" w:rsidRPr="00BC31E0" w:rsidRDefault="00D600D2" w:rsidP="00546E74">
      <w:pPr>
        <w:pStyle w:val="1110"/>
        <w:ind w:firstLine="210"/>
      </w:pPr>
      <w:r w:rsidRPr="00BC31E0">
        <w:rPr>
          <w:rFonts w:hint="eastAsia"/>
        </w:rPr>
        <w:t>圧力容器製作用の溶接部試験は，次の</w:t>
      </w:r>
      <w:r w:rsidRPr="00BC31E0">
        <w:rPr>
          <w:rFonts w:asciiTheme="majorEastAsia" w:eastAsiaTheme="majorEastAsia" w:hAnsiTheme="majorEastAsia" w:hint="eastAsia"/>
          <w:b/>
        </w:rPr>
        <w:t>a)</w:t>
      </w:r>
      <w:r w:rsidRPr="00BC31E0">
        <w:rPr>
          <w:rFonts w:hint="eastAsia"/>
        </w:rPr>
        <w:t>～</w:t>
      </w:r>
      <w:r w:rsidRPr="00BC31E0">
        <w:rPr>
          <w:rFonts w:asciiTheme="majorEastAsia" w:eastAsiaTheme="majorEastAsia" w:hAnsiTheme="majorEastAsia" w:hint="eastAsia"/>
          <w:b/>
        </w:rPr>
        <w:t>d)</w:t>
      </w:r>
      <w:r w:rsidRPr="00BC31E0">
        <w:rPr>
          <w:rFonts w:hint="eastAsia"/>
        </w:rPr>
        <w:t>による。</w:t>
      </w:r>
    </w:p>
    <w:p w14:paraId="082A686B" w14:textId="77777777" w:rsidR="008342E2" w:rsidRPr="00BC31E0" w:rsidRDefault="00D600D2" w:rsidP="00736130">
      <w:pPr>
        <w:pStyle w:val="a4"/>
        <w:numPr>
          <w:ilvl w:val="0"/>
          <w:numId w:val="533"/>
        </w:numPr>
        <w:ind w:leftChars="0" w:left="454" w:hanging="454"/>
      </w:pPr>
      <w:r w:rsidRPr="00BC31E0">
        <w:rPr>
          <w:rFonts w:hint="eastAsia"/>
        </w:rPr>
        <w:t>圧力容器製作用の試験片サンプルは，実溶接部と同様の形状と熱処理条件で，最低</w:t>
      </w:r>
      <w:r w:rsidRPr="00BC31E0">
        <w:t>150×150 mm</w:t>
      </w:r>
      <w:r w:rsidRPr="00BC31E0">
        <w:rPr>
          <w:rFonts w:hint="eastAsia"/>
        </w:rPr>
        <w:t>以上とする。</w:t>
      </w:r>
    </w:p>
    <w:p w14:paraId="5DF475A9" w14:textId="77777777" w:rsidR="008342E2" w:rsidRPr="00BC31E0" w:rsidRDefault="00D600D2" w:rsidP="00736130">
      <w:pPr>
        <w:pStyle w:val="a4"/>
        <w:numPr>
          <w:ilvl w:val="0"/>
          <w:numId w:val="533"/>
        </w:numPr>
        <w:ind w:leftChars="0" w:left="454" w:hanging="454"/>
      </w:pPr>
      <w:r w:rsidRPr="00BC31E0">
        <w:rPr>
          <w:rFonts w:ascii="ＭＳ 明朝" w:hAnsi="ＭＳ 明朝" w:hint="eastAsia"/>
          <w:bCs/>
        </w:rPr>
        <w:t>同一の熱処理条件と溶接手順の製品</w:t>
      </w:r>
      <w:r w:rsidR="00A82C2A" w:rsidRPr="00BC31E0">
        <w:rPr>
          <w:rFonts w:ascii="ＭＳ 明朝" w:hAnsi="ＭＳ 明朝" w:hint="eastAsia"/>
          <w:bCs/>
        </w:rPr>
        <w:t>ごと</w:t>
      </w:r>
      <w:r w:rsidRPr="00BC31E0">
        <w:rPr>
          <w:rFonts w:ascii="ＭＳ 明朝" w:hAnsi="ＭＳ 明朝" w:hint="eastAsia"/>
          <w:bCs/>
        </w:rPr>
        <w:t>に，最小個数の試験片を用意する。</w:t>
      </w:r>
    </w:p>
    <w:p w14:paraId="0652B55B" w14:textId="77777777" w:rsidR="008342E2" w:rsidRPr="00BC31E0" w:rsidRDefault="00D600D2" w:rsidP="00736130">
      <w:pPr>
        <w:pStyle w:val="a4"/>
        <w:numPr>
          <w:ilvl w:val="0"/>
          <w:numId w:val="533"/>
        </w:numPr>
        <w:ind w:leftChars="0" w:left="454" w:hanging="454"/>
      </w:pPr>
      <w:r w:rsidRPr="00BC31E0">
        <w:rPr>
          <w:rFonts w:ascii="ＭＳ 明朝" w:hAnsi="ＭＳ 明朝" w:hint="eastAsia"/>
          <w:bCs/>
        </w:rPr>
        <w:t>試験片は，圧力容器や部品と同じ条件で同時に熱処理し</w:t>
      </w:r>
      <w:r w:rsidR="00C74B95" w:rsidRPr="00BC31E0">
        <w:rPr>
          <w:rFonts w:ascii="ＭＳ 明朝" w:hAnsi="ＭＳ 明朝" w:hint="eastAsia"/>
          <w:bCs/>
        </w:rPr>
        <w:t>なければならない</w:t>
      </w:r>
      <w:r w:rsidRPr="00BC31E0">
        <w:rPr>
          <w:rFonts w:ascii="ＭＳ 明朝" w:hAnsi="ＭＳ 明朝" w:hint="eastAsia"/>
          <w:bCs/>
        </w:rPr>
        <w:t>。</w:t>
      </w:r>
    </w:p>
    <w:p w14:paraId="2E04192F" w14:textId="77777777" w:rsidR="00D600D2" w:rsidRPr="00BC31E0" w:rsidRDefault="00D600D2" w:rsidP="00736130">
      <w:pPr>
        <w:pStyle w:val="a4"/>
        <w:numPr>
          <w:ilvl w:val="0"/>
          <w:numId w:val="533"/>
        </w:numPr>
        <w:ind w:leftChars="0" w:left="454" w:hanging="454"/>
      </w:pPr>
      <w:r w:rsidRPr="00BC31E0">
        <w:rPr>
          <w:rFonts w:ascii="ＭＳ 明朝" w:hAnsi="ＭＳ 明朝" w:hint="eastAsia"/>
          <w:bCs/>
        </w:rPr>
        <w:t>試験片は，</w:t>
      </w:r>
      <w:r w:rsidRPr="00BC31E0">
        <w:rPr>
          <w:rFonts w:asciiTheme="majorEastAsia" w:eastAsiaTheme="majorEastAsia" w:hAnsiTheme="majorEastAsia" w:hint="eastAsia"/>
          <w:b/>
        </w:rPr>
        <w:t>7.11.2</w:t>
      </w:r>
      <w:r w:rsidRPr="00BC31E0">
        <w:rPr>
          <w:rFonts w:ascii="ＭＳ 明朝" w:hAnsi="ＭＳ 明朝" w:hint="eastAsia"/>
          <w:bCs/>
        </w:rPr>
        <w:t>により衝撃試験を実施する。</w:t>
      </w:r>
    </w:p>
    <w:p w14:paraId="6E46F198" w14:textId="77777777" w:rsidR="00D600D2" w:rsidRPr="00BC31E0" w:rsidRDefault="002F5673" w:rsidP="008342E2">
      <w:pPr>
        <w:pStyle w:val="3"/>
        <w:tabs>
          <w:tab w:val="clear" w:pos="284"/>
        </w:tabs>
        <w:ind w:left="794" w:hanging="794"/>
      </w:pPr>
      <w:r w:rsidRPr="00BC31E0">
        <w:rPr>
          <w:rFonts w:hint="eastAsia"/>
        </w:rPr>
        <w:t xml:space="preserve"> </w:t>
      </w:r>
      <w:r w:rsidR="00D600D2" w:rsidRPr="00BC31E0">
        <w:rPr>
          <w:rFonts w:hint="eastAsia"/>
        </w:rPr>
        <w:t>検査と試験</w:t>
      </w:r>
    </w:p>
    <w:p w14:paraId="32AF4609" w14:textId="77777777" w:rsidR="00D600D2" w:rsidRPr="00BC31E0" w:rsidRDefault="00D600D2" w:rsidP="00546E74">
      <w:pPr>
        <w:pStyle w:val="1110"/>
        <w:ind w:firstLine="210"/>
      </w:pPr>
      <w:r w:rsidRPr="00BC31E0">
        <w:rPr>
          <w:rFonts w:hint="eastAsia"/>
        </w:rPr>
        <w:t>容器と部品の最終熱処理後，検査可能な</w:t>
      </w:r>
      <w:r w:rsidR="00DC160D" w:rsidRPr="00BC31E0">
        <w:rPr>
          <w:rFonts w:hint="eastAsia"/>
        </w:rPr>
        <w:t>全</w:t>
      </w:r>
      <w:r w:rsidRPr="00BC31E0">
        <w:rPr>
          <w:rFonts w:hint="eastAsia"/>
        </w:rPr>
        <w:t>ての溶接部の内面と外面は，</w:t>
      </w:r>
      <w:r w:rsidRPr="00BC31E0">
        <w:rPr>
          <w:rFonts w:asciiTheme="majorEastAsia" w:eastAsiaTheme="majorEastAsia" w:hAnsiTheme="majorEastAsia" w:hint="eastAsia"/>
          <w:b/>
        </w:rPr>
        <w:t>9.2.5 d)</w:t>
      </w:r>
      <w:r w:rsidRPr="00BC31E0">
        <w:rPr>
          <w:rFonts w:hint="eastAsia"/>
        </w:rPr>
        <w:t>に従って磁粉探傷試験と</w:t>
      </w:r>
      <w:r w:rsidRPr="00BC31E0">
        <w:rPr>
          <w:rFonts w:asciiTheme="majorEastAsia" w:eastAsiaTheme="majorEastAsia" w:hAnsiTheme="majorEastAsia" w:hint="eastAsia"/>
          <w:b/>
        </w:rPr>
        <w:t>9.3</w:t>
      </w:r>
      <w:r w:rsidRPr="00BC31E0">
        <w:rPr>
          <w:rFonts w:hint="eastAsia"/>
        </w:rPr>
        <w:t>の試験を実施する。</w:t>
      </w:r>
    </w:p>
    <w:p w14:paraId="091E9DD1" w14:textId="77777777" w:rsidR="00D600D2" w:rsidRPr="00BC31E0" w:rsidRDefault="002F5673" w:rsidP="008342E2">
      <w:pPr>
        <w:pStyle w:val="3"/>
        <w:tabs>
          <w:tab w:val="clear" w:pos="284"/>
        </w:tabs>
        <w:ind w:left="794" w:hanging="794"/>
      </w:pPr>
      <w:r w:rsidRPr="00BC31E0">
        <w:rPr>
          <w:rFonts w:hint="eastAsia"/>
        </w:rPr>
        <w:t xml:space="preserve"> </w:t>
      </w:r>
      <w:r w:rsidR="00D600D2" w:rsidRPr="00BC31E0">
        <w:rPr>
          <w:rFonts w:hint="eastAsia"/>
        </w:rPr>
        <w:t>溶接補修</w:t>
      </w:r>
    </w:p>
    <w:p w14:paraId="76990688" w14:textId="77777777" w:rsidR="00D600D2" w:rsidRPr="00BC31E0" w:rsidRDefault="00D600D2" w:rsidP="00546E74">
      <w:pPr>
        <w:pStyle w:val="1110"/>
        <w:ind w:firstLine="210"/>
      </w:pPr>
      <w:r w:rsidRPr="00BC31E0">
        <w:rPr>
          <w:rFonts w:hint="eastAsia"/>
        </w:rPr>
        <w:t>溶接補修は，</w:t>
      </w:r>
      <w:r w:rsidRPr="00BC31E0">
        <w:rPr>
          <w:rFonts w:asciiTheme="majorEastAsia" w:eastAsiaTheme="majorEastAsia" w:hAnsiTheme="majorEastAsia" w:hint="eastAsia"/>
          <w:b/>
        </w:rPr>
        <w:t>9.2.3</w:t>
      </w:r>
      <w:r w:rsidRPr="00BC31E0">
        <w:rPr>
          <w:rFonts w:hint="eastAsia"/>
        </w:rPr>
        <w:t>に従う。</w:t>
      </w:r>
    </w:p>
    <w:p w14:paraId="679C84AB" w14:textId="77777777" w:rsidR="00D600D2" w:rsidRPr="00BC31E0" w:rsidRDefault="002F5673" w:rsidP="008342E2">
      <w:pPr>
        <w:pStyle w:val="3"/>
        <w:tabs>
          <w:tab w:val="clear" w:pos="284"/>
        </w:tabs>
        <w:ind w:left="794" w:hanging="794"/>
      </w:pPr>
      <w:r w:rsidRPr="00BC31E0">
        <w:rPr>
          <w:rFonts w:hint="eastAsia"/>
        </w:rPr>
        <w:t xml:space="preserve"> </w:t>
      </w:r>
      <w:r w:rsidR="00D600D2" w:rsidRPr="00BC31E0">
        <w:rPr>
          <w:rFonts w:hint="eastAsia"/>
        </w:rPr>
        <w:t>溶接補修後の溶接後熱処理</w:t>
      </w:r>
    </w:p>
    <w:p w14:paraId="7A9A784C" w14:textId="77777777" w:rsidR="00D600D2" w:rsidRPr="00BC31E0" w:rsidRDefault="00D600D2" w:rsidP="00546E74">
      <w:pPr>
        <w:pStyle w:val="1110"/>
        <w:ind w:firstLine="210"/>
      </w:pPr>
      <w:r w:rsidRPr="00BC31E0">
        <w:rPr>
          <w:rFonts w:hint="eastAsia"/>
        </w:rPr>
        <w:t>最終熱処理後に溶接補修をした場合は，再度固溶化熱処理と時効硬化処理を実施する。</w:t>
      </w:r>
    </w:p>
    <w:p w14:paraId="1305F632" w14:textId="77777777" w:rsidR="00D55290" w:rsidRPr="00BC31E0" w:rsidRDefault="00D55290" w:rsidP="00546E74">
      <w:pPr>
        <w:pStyle w:val="1110"/>
        <w:ind w:firstLineChars="0" w:firstLine="0"/>
      </w:pPr>
    </w:p>
    <w:p w14:paraId="66C295EF" w14:textId="77777777" w:rsidR="00D55290" w:rsidRPr="00BC31E0" w:rsidRDefault="00D55290" w:rsidP="008342E2">
      <w:pPr>
        <w:pStyle w:val="10"/>
        <w:ind w:left="340" w:hanging="340"/>
      </w:pPr>
      <w:bookmarkStart w:id="88" w:name="_Toc357672110"/>
      <w:bookmarkStart w:id="89" w:name="_Toc120092546"/>
      <w:r w:rsidRPr="00BC31E0">
        <w:rPr>
          <w:rFonts w:hint="eastAsia"/>
        </w:rPr>
        <w:t>過圧防止安全装置</w:t>
      </w:r>
      <w:bookmarkEnd w:id="88"/>
      <w:bookmarkEnd w:id="89"/>
    </w:p>
    <w:p w14:paraId="51FECD63" w14:textId="77777777" w:rsidR="00D55290" w:rsidRPr="00BC31E0" w:rsidRDefault="00D55290" w:rsidP="008342E2">
      <w:pPr>
        <w:pStyle w:val="20"/>
        <w:tabs>
          <w:tab w:val="clear" w:pos="284"/>
        </w:tabs>
        <w:ind w:left="567" w:hanging="567"/>
      </w:pPr>
      <w:bookmarkStart w:id="90" w:name="_Toc357672111"/>
      <w:bookmarkStart w:id="91" w:name="_Toc120092547"/>
      <w:r w:rsidRPr="00BC31E0">
        <w:rPr>
          <w:rFonts w:hint="eastAsia"/>
        </w:rPr>
        <w:t>過圧防止安全装置一般</w:t>
      </w:r>
      <w:bookmarkEnd w:id="90"/>
      <w:bookmarkEnd w:id="91"/>
    </w:p>
    <w:p w14:paraId="371A2775" w14:textId="77777777" w:rsidR="00D55290" w:rsidRPr="00BC31E0" w:rsidRDefault="00D55290" w:rsidP="00546E74">
      <w:pPr>
        <w:pStyle w:val="113"/>
        <w:ind w:firstLine="210"/>
      </w:pPr>
      <w:r w:rsidRPr="00BC31E0">
        <w:rPr>
          <w:rFonts w:hint="eastAsia"/>
        </w:rPr>
        <w:t>この規格の範囲に含まれる</w:t>
      </w:r>
      <w:r w:rsidR="00DC160D" w:rsidRPr="00BC31E0">
        <w:rPr>
          <w:rFonts w:hint="eastAsia"/>
        </w:rPr>
        <w:t>全</w:t>
      </w:r>
      <w:r w:rsidRPr="00BC31E0">
        <w:rPr>
          <w:rFonts w:hint="eastAsia"/>
        </w:rPr>
        <w:t>ての圧力容器は，この章の規定による過圧防止安全装置を備えていなければならない。適用法規により規定される場合は，その法規に従わなければならない。</w:t>
      </w:r>
    </w:p>
    <w:p w14:paraId="01687AD7" w14:textId="77777777" w:rsidR="00D55290" w:rsidRPr="00BC31E0" w:rsidRDefault="00D55290" w:rsidP="008342E2">
      <w:pPr>
        <w:pStyle w:val="20"/>
        <w:tabs>
          <w:tab w:val="clear" w:pos="284"/>
        </w:tabs>
        <w:ind w:left="567" w:hanging="567"/>
      </w:pPr>
      <w:bookmarkStart w:id="92" w:name="_Toc357672112"/>
      <w:bookmarkStart w:id="93" w:name="_Toc120092548"/>
      <w:r w:rsidRPr="00BC31E0">
        <w:rPr>
          <w:rFonts w:hint="eastAsia"/>
        </w:rPr>
        <w:t>破裂板</w:t>
      </w:r>
      <w:bookmarkEnd w:id="92"/>
      <w:bookmarkEnd w:id="93"/>
    </w:p>
    <w:p w14:paraId="203D3A96" w14:textId="77777777" w:rsidR="00D55290" w:rsidRPr="00BC31E0" w:rsidRDefault="00D55290" w:rsidP="00546E74">
      <w:pPr>
        <w:pStyle w:val="113"/>
        <w:ind w:firstLine="210"/>
      </w:pPr>
      <w:r w:rsidRPr="00BC31E0">
        <w:rPr>
          <w:rFonts w:hint="eastAsia"/>
        </w:rPr>
        <w:t>破裂板は，</w:t>
      </w:r>
      <w:r w:rsidRPr="00BC31E0">
        <w:rPr>
          <w:rFonts w:asciiTheme="majorEastAsia" w:eastAsiaTheme="majorEastAsia" w:hAnsiTheme="majorEastAsia" w:hint="eastAsia"/>
          <w:b/>
        </w:rPr>
        <w:t>JIS B 8226</w:t>
      </w:r>
      <w:r w:rsidRPr="00BC31E0">
        <w:rPr>
          <w:rFonts w:hint="eastAsia"/>
        </w:rPr>
        <w:t>に規定する破裂板又はこれと性能及び構造が同等以上</w:t>
      </w:r>
      <w:r w:rsidR="006D0F4F" w:rsidRPr="00BC31E0">
        <w:rPr>
          <w:rFonts w:hint="eastAsia"/>
        </w:rPr>
        <w:t>でなければならない</w:t>
      </w:r>
      <w:r w:rsidRPr="00BC31E0">
        <w:rPr>
          <w:rFonts w:hint="eastAsia"/>
        </w:rPr>
        <w:t>。</w:t>
      </w:r>
    </w:p>
    <w:p w14:paraId="67FD53F9" w14:textId="77777777" w:rsidR="00D55290" w:rsidRPr="00BC31E0" w:rsidRDefault="00D55290" w:rsidP="008342E2">
      <w:pPr>
        <w:pStyle w:val="20"/>
        <w:ind w:left="567" w:hanging="567"/>
      </w:pPr>
      <w:bookmarkStart w:id="94" w:name="_Toc357672113"/>
      <w:bookmarkStart w:id="95" w:name="_Toc120092549"/>
      <w:r w:rsidRPr="00BC31E0">
        <w:rPr>
          <w:rFonts w:hint="eastAsia"/>
        </w:rPr>
        <w:t>ばね安全弁</w:t>
      </w:r>
      <w:bookmarkEnd w:id="94"/>
      <w:bookmarkEnd w:id="95"/>
    </w:p>
    <w:p w14:paraId="7C8B67BC" w14:textId="77777777" w:rsidR="00D55290" w:rsidRPr="00BC31E0" w:rsidRDefault="00D55290" w:rsidP="00570CDB">
      <w:pPr>
        <w:pStyle w:val="113"/>
        <w:ind w:firstLine="210"/>
      </w:pPr>
      <w:r w:rsidRPr="00BC31E0">
        <w:rPr>
          <w:rFonts w:hint="eastAsia"/>
        </w:rPr>
        <w:lastRenderedPageBreak/>
        <w:t>安全弁は直接ばね式のもので，</w:t>
      </w:r>
      <w:r w:rsidRPr="00BC31E0">
        <w:rPr>
          <w:rFonts w:asciiTheme="majorEastAsia" w:eastAsiaTheme="majorEastAsia" w:hAnsiTheme="majorEastAsia" w:hint="eastAsia"/>
          <w:b/>
        </w:rPr>
        <w:t>JIS B 8210</w:t>
      </w:r>
      <w:r w:rsidRPr="00BC31E0">
        <w:rPr>
          <w:rFonts w:hint="eastAsia"/>
        </w:rPr>
        <w:t>に規定する安全弁又はこれと性能及び構造が同等以上</w:t>
      </w:r>
      <w:r w:rsidR="00120D23" w:rsidRPr="00BC31E0">
        <w:rPr>
          <w:rFonts w:hint="eastAsia"/>
        </w:rPr>
        <w:t>でなければならない</w:t>
      </w:r>
      <w:r w:rsidRPr="00BC31E0">
        <w:rPr>
          <w:rFonts w:hint="eastAsia"/>
        </w:rPr>
        <w:t>。なお，ばね安全弁は，</w:t>
      </w:r>
      <w:r w:rsidRPr="00BC31E0">
        <w:rPr>
          <w:rFonts w:ascii="ＭＳ ゴシック" w:eastAsia="ＭＳ ゴシック" w:hAnsi="ＭＳ ゴシック" w:hint="eastAsia"/>
          <w:b/>
        </w:rPr>
        <w:t>JIS B 8225</w:t>
      </w:r>
      <w:r w:rsidRPr="00BC31E0">
        <w:rPr>
          <w:rFonts w:hint="eastAsia"/>
        </w:rPr>
        <w:t>によって吹出し係数を確認</w:t>
      </w:r>
      <w:r w:rsidR="003779D1" w:rsidRPr="00BC31E0">
        <w:rPr>
          <w:rFonts w:hint="eastAsia"/>
        </w:rPr>
        <w:t>する</w:t>
      </w:r>
      <w:r w:rsidRPr="00BC31E0">
        <w:rPr>
          <w:rFonts w:hint="eastAsia"/>
        </w:rPr>
        <w:t>ことが望ましい。</w:t>
      </w:r>
    </w:p>
    <w:p w14:paraId="0B178B97" w14:textId="77777777" w:rsidR="00D55290" w:rsidRPr="00BC31E0" w:rsidRDefault="00D55290" w:rsidP="008342E2">
      <w:pPr>
        <w:pStyle w:val="20"/>
        <w:ind w:left="567" w:hanging="567"/>
      </w:pPr>
      <w:bookmarkStart w:id="96" w:name="_Toc357672114"/>
      <w:bookmarkStart w:id="97" w:name="_Toc120092550"/>
      <w:r w:rsidRPr="00BC31E0">
        <w:rPr>
          <w:rFonts w:hint="eastAsia"/>
        </w:rPr>
        <w:t>表示</w:t>
      </w:r>
      <w:bookmarkEnd w:id="96"/>
      <w:bookmarkEnd w:id="97"/>
    </w:p>
    <w:p w14:paraId="2152CFBD" w14:textId="77777777" w:rsidR="00D55290" w:rsidRPr="00BC31E0" w:rsidRDefault="00D55290" w:rsidP="00570CDB">
      <w:pPr>
        <w:pStyle w:val="113"/>
        <w:ind w:firstLine="210"/>
      </w:pPr>
      <w:r w:rsidRPr="00BC31E0">
        <w:rPr>
          <w:rFonts w:hint="eastAsia"/>
        </w:rPr>
        <w:t>破裂板は</w:t>
      </w:r>
      <w:r w:rsidRPr="00BC31E0">
        <w:rPr>
          <w:rFonts w:asciiTheme="majorEastAsia" w:eastAsiaTheme="majorEastAsia" w:hAnsiTheme="majorEastAsia" w:hint="eastAsia"/>
          <w:b/>
        </w:rPr>
        <w:t>JIS B 8266</w:t>
      </w:r>
      <w:r w:rsidRPr="00BC31E0">
        <w:rPr>
          <w:rFonts w:hint="eastAsia"/>
        </w:rPr>
        <w:t>の規定に従い，ばね安全弁は</w:t>
      </w:r>
      <w:r w:rsidRPr="00BC31E0">
        <w:rPr>
          <w:rFonts w:asciiTheme="majorEastAsia" w:eastAsiaTheme="majorEastAsia" w:hAnsiTheme="majorEastAsia" w:hint="eastAsia"/>
          <w:b/>
        </w:rPr>
        <w:t>JIS B 8210</w:t>
      </w:r>
      <w:r w:rsidRPr="00BC31E0">
        <w:rPr>
          <w:rFonts w:hint="eastAsia"/>
        </w:rPr>
        <w:t>の規定に従って表示を行わなければならない。</w:t>
      </w:r>
    </w:p>
    <w:p w14:paraId="00F83BC3" w14:textId="77777777" w:rsidR="00D55290" w:rsidRPr="00BC31E0" w:rsidRDefault="00D55290" w:rsidP="00570CDB">
      <w:pPr>
        <w:pStyle w:val="1110"/>
        <w:ind w:firstLineChars="0" w:firstLine="0"/>
      </w:pPr>
    </w:p>
    <w:p w14:paraId="4E1960DC" w14:textId="77777777" w:rsidR="00A6073D" w:rsidRPr="00BC31E0" w:rsidRDefault="00A6073D" w:rsidP="008342E2">
      <w:pPr>
        <w:pStyle w:val="10"/>
        <w:ind w:left="340" w:hanging="340"/>
      </w:pPr>
      <w:bookmarkStart w:id="98" w:name="_Toc357672115"/>
      <w:bookmarkStart w:id="99" w:name="_Toc120092551"/>
      <w:r w:rsidRPr="00BC31E0">
        <w:rPr>
          <w:rFonts w:hint="eastAsia"/>
        </w:rPr>
        <w:t>非破壊試験</w:t>
      </w:r>
      <w:bookmarkEnd w:id="98"/>
      <w:bookmarkEnd w:id="99"/>
    </w:p>
    <w:p w14:paraId="3EA5BA87" w14:textId="77777777" w:rsidR="00A6073D" w:rsidRPr="00BC31E0" w:rsidRDefault="00A6073D" w:rsidP="008342E2">
      <w:pPr>
        <w:pStyle w:val="20"/>
        <w:tabs>
          <w:tab w:val="clear" w:pos="284"/>
        </w:tabs>
        <w:ind w:left="567" w:hanging="567"/>
      </w:pPr>
      <w:bookmarkStart w:id="100" w:name="_Toc357672116"/>
      <w:bookmarkStart w:id="101" w:name="_Toc120092552"/>
      <w:r w:rsidRPr="00BC31E0">
        <w:rPr>
          <w:rFonts w:hint="eastAsia"/>
        </w:rPr>
        <w:t>試験手順，試験技術者の認定</w:t>
      </w:r>
      <w:bookmarkEnd w:id="100"/>
      <w:bookmarkEnd w:id="101"/>
    </w:p>
    <w:p w14:paraId="76F1B3D7" w14:textId="77777777" w:rsidR="00A6073D" w:rsidRPr="00BC31E0" w:rsidRDefault="00A6073D" w:rsidP="008342E2">
      <w:pPr>
        <w:pStyle w:val="3"/>
        <w:tabs>
          <w:tab w:val="clear" w:pos="284"/>
        </w:tabs>
        <w:ind w:left="794" w:hanging="794"/>
      </w:pPr>
      <w:r w:rsidRPr="00BC31E0">
        <w:rPr>
          <w:rFonts w:hint="eastAsia"/>
        </w:rPr>
        <w:t>試験手順一般事項</w:t>
      </w:r>
    </w:p>
    <w:p w14:paraId="318D4767" w14:textId="77777777" w:rsidR="00A6073D" w:rsidRPr="00BC31E0" w:rsidRDefault="00A6073D" w:rsidP="00570CDB">
      <w:pPr>
        <w:pStyle w:val="1110"/>
        <w:ind w:firstLine="210"/>
      </w:pPr>
      <w:r w:rsidRPr="00BC31E0">
        <w:rPr>
          <w:rFonts w:hint="eastAsia"/>
        </w:rPr>
        <w:t>この規格で要求される非破壊試験は，次の</w:t>
      </w:r>
      <w:r w:rsidRPr="00BC31E0">
        <w:rPr>
          <w:rFonts w:ascii="ＭＳ ゴシック" w:hAnsi="ＭＳ ゴシック" w:hint="eastAsia"/>
          <w:b/>
        </w:rPr>
        <w:t>a)</w:t>
      </w:r>
      <w:r w:rsidRPr="00BC31E0">
        <w:rPr>
          <w:rFonts w:hint="eastAsia"/>
        </w:rPr>
        <w:t>～</w:t>
      </w:r>
      <w:r w:rsidRPr="00BC31E0">
        <w:rPr>
          <w:rFonts w:ascii="ＭＳ ゴシック" w:hAnsi="ＭＳ ゴシック" w:hint="eastAsia"/>
          <w:b/>
        </w:rPr>
        <w:t>d)</w:t>
      </w:r>
      <w:r w:rsidRPr="00BC31E0">
        <w:rPr>
          <w:rFonts w:hint="eastAsia"/>
        </w:rPr>
        <w:t>に示す</w:t>
      </w:r>
      <w:r w:rsidRPr="00BC31E0">
        <w:rPr>
          <w:rFonts w:ascii="ＭＳ ゴシック" w:eastAsia="ＭＳ ゴシック" w:hAnsi="ＭＳ ゴシック" w:hint="eastAsia"/>
          <w:b/>
        </w:rPr>
        <w:t>JI</w:t>
      </w:r>
      <w:r w:rsidRPr="00BC31E0">
        <w:rPr>
          <w:rFonts w:asciiTheme="majorEastAsia" w:eastAsiaTheme="majorEastAsia" w:hAnsiTheme="majorEastAsia" w:hint="eastAsia"/>
          <w:b/>
        </w:rPr>
        <w:t>S</w:t>
      </w:r>
      <w:r w:rsidRPr="00BC31E0">
        <w:rPr>
          <w:rFonts w:hint="eastAsia"/>
        </w:rPr>
        <w:t>に従って実施する。</w:t>
      </w:r>
      <w:r w:rsidRPr="00BC31E0">
        <w:rPr>
          <w:rFonts w:asciiTheme="majorEastAsia" w:eastAsiaTheme="majorEastAsia" w:hAnsiTheme="majorEastAsia" w:hint="eastAsia"/>
          <w:b/>
        </w:rPr>
        <w:t>ASME</w:t>
      </w:r>
      <w:r w:rsidR="00FE114C" w:rsidRPr="00BC31E0">
        <w:rPr>
          <w:rFonts w:hint="eastAsia"/>
        </w:rPr>
        <w:t>規格材など</w:t>
      </w:r>
      <w:r w:rsidRPr="00BC31E0">
        <w:rPr>
          <w:rFonts w:hint="eastAsia"/>
        </w:rPr>
        <w:t>の</w:t>
      </w:r>
      <w:r w:rsidRPr="00BC31E0">
        <w:rPr>
          <w:rFonts w:asciiTheme="majorEastAsia" w:eastAsiaTheme="majorEastAsia" w:hAnsiTheme="majorEastAsia" w:hint="eastAsia"/>
          <w:b/>
        </w:rPr>
        <w:t>JIS</w:t>
      </w:r>
      <w:r w:rsidR="00B72A57" w:rsidRPr="00BC31E0">
        <w:rPr>
          <w:rFonts w:hint="eastAsia"/>
        </w:rPr>
        <w:t>材料</w:t>
      </w:r>
      <w:r w:rsidRPr="00BC31E0">
        <w:rPr>
          <w:rFonts w:hint="eastAsia"/>
        </w:rPr>
        <w:t>以外の場合には，該当する規格で認められた超音波探傷法による試験を行ってもよい。全ての非破壊試験は，実績やモックアップ試験にて裏付けされた詳細な要領書に従って実施する。非破壊試験後は，検査を行った部材を清掃する。</w:t>
      </w:r>
    </w:p>
    <w:p w14:paraId="13F8FD7B" w14:textId="77777777" w:rsidR="00832265" w:rsidRPr="00BC31E0" w:rsidRDefault="00A6073D" w:rsidP="00736130">
      <w:pPr>
        <w:pStyle w:val="a4"/>
        <w:numPr>
          <w:ilvl w:val="0"/>
          <w:numId w:val="534"/>
        </w:numPr>
        <w:ind w:leftChars="0" w:left="454" w:hanging="454"/>
        <w:rPr>
          <w:rFonts w:asciiTheme="minorHAnsi" w:eastAsiaTheme="minorEastAsia" w:hAnsiTheme="minorHAnsi"/>
        </w:rPr>
      </w:pPr>
      <w:r w:rsidRPr="00BC31E0">
        <w:rPr>
          <w:rFonts w:asciiTheme="minorHAnsi" w:eastAsiaTheme="minorEastAsia" w:hAnsiTheme="minorEastAsia"/>
        </w:rPr>
        <w:t>放射線透過試験は，鋼種や形状により，</w:t>
      </w:r>
      <w:r w:rsidRPr="00BC31E0">
        <w:rPr>
          <w:rFonts w:asciiTheme="majorEastAsia" w:eastAsiaTheme="majorEastAsia" w:hAnsiTheme="majorEastAsia"/>
          <w:b/>
        </w:rPr>
        <w:t>JIS G 0803</w:t>
      </w:r>
      <w:r w:rsidRPr="00BC31E0">
        <w:rPr>
          <w:rFonts w:asciiTheme="minorHAnsi" w:eastAsiaTheme="minorEastAsia" w:hAnsiTheme="minorEastAsia"/>
        </w:rPr>
        <w:t>，</w:t>
      </w:r>
      <w:r w:rsidRPr="00BC31E0">
        <w:rPr>
          <w:rFonts w:asciiTheme="minorHAnsi" w:eastAsiaTheme="minorEastAsia" w:hAnsiTheme="minorHAnsi"/>
        </w:rPr>
        <w:t xml:space="preserve"> </w:t>
      </w:r>
      <w:r w:rsidRPr="00BC31E0">
        <w:rPr>
          <w:rFonts w:asciiTheme="majorEastAsia" w:eastAsiaTheme="majorEastAsia" w:hAnsiTheme="majorEastAsia"/>
          <w:b/>
        </w:rPr>
        <w:t>JIS G 0804</w:t>
      </w:r>
      <w:r w:rsidRPr="00BC31E0">
        <w:rPr>
          <w:rFonts w:asciiTheme="minorHAnsi" w:eastAsiaTheme="minorEastAsia" w:hAnsiTheme="minorEastAsia"/>
        </w:rPr>
        <w:t>，</w:t>
      </w:r>
      <w:r w:rsidRPr="00BC31E0">
        <w:rPr>
          <w:rFonts w:asciiTheme="minorHAnsi" w:eastAsiaTheme="minorEastAsia" w:hAnsiTheme="minorHAnsi"/>
        </w:rPr>
        <w:t xml:space="preserve"> </w:t>
      </w:r>
      <w:r w:rsidRPr="00BC31E0">
        <w:rPr>
          <w:rFonts w:asciiTheme="majorEastAsia" w:eastAsiaTheme="majorEastAsia" w:hAnsiTheme="majorEastAsia"/>
          <w:b/>
        </w:rPr>
        <w:t>JIS Z 3104</w:t>
      </w:r>
      <w:r w:rsidRPr="00BC31E0">
        <w:rPr>
          <w:rFonts w:asciiTheme="minorHAnsi" w:eastAsiaTheme="minorEastAsia" w:hAnsiTheme="minorEastAsia"/>
        </w:rPr>
        <w:t>，</w:t>
      </w:r>
      <w:r w:rsidRPr="00BC31E0">
        <w:rPr>
          <w:rFonts w:asciiTheme="minorHAnsi" w:eastAsiaTheme="minorEastAsia" w:hAnsiTheme="minorHAnsi"/>
        </w:rPr>
        <w:t xml:space="preserve"> </w:t>
      </w:r>
      <w:r w:rsidRPr="00BC31E0">
        <w:rPr>
          <w:rFonts w:asciiTheme="majorEastAsia" w:eastAsiaTheme="majorEastAsia" w:hAnsiTheme="majorEastAsia"/>
          <w:b/>
        </w:rPr>
        <w:t>JIS Z 3105</w:t>
      </w:r>
      <w:r w:rsidRPr="00BC31E0">
        <w:rPr>
          <w:rFonts w:asciiTheme="minorHAnsi" w:eastAsiaTheme="minorEastAsia" w:hAnsiTheme="minorEastAsia"/>
        </w:rPr>
        <w:t>，</w:t>
      </w:r>
      <w:r w:rsidRPr="00BC31E0">
        <w:rPr>
          <w:rFonts w:asciiTheme="minorHAnsi" w:eastAsiaTheme="minorEastAsia" w:hAnsiTheme="minorHAnsi"/>
        </w:rPr>
        <w:t xml:space="preserve"> </w:t>
      </w:r>
      <w:r w:rsidRPr="00BC31E0">
        <w:rPr>
          <w:rFonts w:asciiTheme="majorEastAsia" w:eastAsiaTheme="majorEastAsia" w:hAnsiTheme="majorEastAsia"/>
          <w:b/>
        </w:rPr>
        <w:t>JIS Z 3106</w:t>
      </w:r>
      <w:r w:rsidRPr="00BC31E0">
        <w:rPr>
          <w:rFonts w:asciiTheme="minorHAnsi" w:eastAsiaTheme="minorEastAsia" w:hAnsiTheme="minorEastAsia"/>
        </w:rPr>
        <w:t>のいずれかに従って検査を行う。</w:t>
      </w:r>
    </w:p>
    <w:p w14:paraId="522120F6" w14:textId="77777777" w:rsidR="003D6CC8" w:rsidRPr="00BC31E0" w:rsidRDefault="00A6073D" w:rsidP="00736130">
      <w:pPr>
        <w:pStyle w:val="a4"/>
        <w:numPr>
          <w:ilvl w:val="0"/>
          <w:numId w:val="534"/>
        </w:numPr>
        <w:ind w:leftChars="0" w:left="454" w:hanging="454"/>
        <w:rPr>
          <w:rFonts w:asciiTheme="minorHAnsi" w:eastAsiaTheme="minorEastAsia" w:hAnsiTheme="minorHAnsi"/>
        </w:rPr>
      </w:pPr>
      <w:r w:rsidRPr="00BC31E0">
        <w:rPr>
          <w:rFonts w:ascii="ＭＳ 明朝" w:hint="eastAsia"/>
        </w:rPr>
        <w:t>超音波探傷試験は，鋼種や形状により，</w:t>
      </w:r>
      <w:r w:rsidRPr="00BC31E0">
        <w:rPr>
          <w:rFonts w:asciiTheme="majorEastAsia" w:eastAsiaTheme="majorEastAsia" w:hAnsiTheme="majorEastAsia" w:hint="eastAsia"/>
          <w:b/>
        </w:rPr>
        <w:t>JIS G 0582</w:t>
      </w:r>
      <w:r w:rsidRPr="00BC31E0">
        <w:rPr>
          <w:rFonts w:hint="eastAsia"/>
          <w:bCs/>
        </w:rPr>
        <w:t>，</w:t>
      </w:r>
      <w:r w:rsidRPr="00BC31E0">
        <w:rPr>
          <w:rFonts w:hint="eastAsia"/>
        </w:rPr>
        <w:t xml:space="preserve"> </w:t>
      </w:r>
      <w:r w:rsidRPr="00BC31E0">
        <w:rPr>
          <w:rFonts w:asciiTheme="majorEastAsia" w:eastAsiaTheme="majorEastAsia" w:hAnsiTheme="majorEastAsia" w:hint="eastAsia"/>
          <w:b/>
        </w:rPr>
        <w:t>JIS G 0584</w:t>
      </w:r>
      <w:r w:rsidRPr="00BC31E0">
        <w:rPr>
          <w:rFonts w:asciiTheme="minorEastAsia" w:eastAsiaTheme="minorEastAsia" w:hAnsiTheme="minorEastAsia" w:hint="eastAsia"/>
          <w:bCs/>
        </w:rPr>
        <w:t>，</w:t>
      </w:r>
      <w:r w:rsidRPr="00BC31E0">
        <w:rPr>
          <w:rFonts w:asciiTheme="minorEastAsia" w:eastAsiaTheme="minorEastAsia" w:hAnsiTheme="minorEastAsia" w:hint="eastAsia"/>
        </w:rPr>
        <w:t xml:space="preserve"> </w:t>
      </w:r>
      <w:r w:rsidRPr="00BC31E0">
        <w:rPr>
          <w:rFonts w:asciiTheme="majorEastAsia" w:eastAsiaTheme="majorEastAsia" w:hAnsiTheme="majorEastAsia" w:hint="eastAsia"/>
          <w:b/>
        </w:rPr>
        <w:t>JIS G 0587</w:t>
      </w:r>
      <w:r w:rsidRPr="00BC31E0">
        <w:rPr>
          <w:rFonts w:asciiTheme="minorEastAsia" w:eastAsiaTheme="minorEastAsia" w:hAnsiTheme="minorEastAsia" w:hint="eastAsia"/>
          <w:bCs/>
        </w:rPr>
        <w:t>，</w:t>
      </w:r>
      <w:r w:rsidRPr="00BC31E0">
        <w:rPr>
          <w:rFonts w:asciiTheme="minorEastAsia" w:eastAsiaTheme="minorEastAsia" w:hAnsiTheme="minorEastAsia" w:hint="eastAsia"/>
        </w:rPr>
        <w:t xml:space="preserve"> </w:t>
      </w:r>
      <w:r w:rsidRPr="00BC31E0">
        <w:rPr>
          <w:rFonts w:asciiTheme="majorEastAsia" w:eastAsiaTheme="majorEastAsia" w:hAnsiTheme="majorEastAsia" w:hint="eastAsia"/>
          <w:b/>
        </w:rPr>
        <w:t>JIS G 0801</w:t>
      </w:r>
      <w:r w:rsidRPr="00BC31E0">
        <w:rPr>
          <w:rFonts w:asciiTheme="minorEastAsia" w:eastAsiaTheme="minorEastAsia" w:hAnsiTheme="minorEastAsia" w:hint="eastAsia"/>
        </w:rPr>
        <w:t>，</w:t>
      </w:r>
      <w:r w:rsidRPr="00BC31E0">
        <w:rPr>
          <w:rFonts w:asciiTheme="majorEastAsia" w:eastAsiaTheme="majorEastAsia" w:hAnsiTheme="majorEastAsia" w:hint="eastAsia"/>
          <w:b/>
        </w:rPr>
        <w:t xml:space="preserve"> JIS G 0802</w:t>
      </w:r>
      <w:r w:rsidRPr="00BC31E0">
        <w:rPr>
          <w:rFonts w:asciiTheme="minorEastAsia" w:eastAsiaTheme="minorEastAsia" w:hAnsiTheme="minorEastAsia" w:hint="eastAsia"/>
          <w:bCs/>
        </w:rPr>
        <w:t>，</w:t>
      </w:r>
      <w:r w:rsidRPr="00BC31E0">
        <w:rPr>
          <w:rFonts w:asciiTheme="minorEastAsia" w:eastAsiaTheme="minorEastAsia" w:hAnsiTheme="minorEastAsia" w:hint="eastAsia"/>
        </w:rPr>
        <w:t xml:space="preserve"> </w:t>
      </w:r>
      <w:r w:rsidRPr="00BC31E0">
        <w:rPr>
          <w:rFonts w:asciiTheme="majorEastAsia" w:eastAsiaTheme="majorEastAsia" w:hAnsiTheme="majorEastAsia" w:hint="eastAsia"/>
          <w:b/>
        </w:rPr>
        <w:t>JIS Z 3060</w:t>
      </w:r>
      <w:r w:rsidRPr="00BC31E0">
        <w:rPr>
          <w:rFonts w:asciiTheme="minorEastAsia" w:eastAsiaTheme="minorEastAsia" w:hAnsiTheme="minorEastAsia" w:hint="eastAsia"/>
          <w:bCs/>
        </w:rPr>
        <w:t>，</w:t>
      </w:r>
      <w:r w:rsidRPr="00BC31E0">
        <w:rPr>
          <w:rFonts w:asciiTheme="majorEastAsia" w:eastAsiaTheme="majorEastAsia" w:hAnsiTheme="majorEastAsia" w:hint="eastAsia"/>
          <w:b/>
        </w:rPr>
        <w:t xml:space="preserve">JIS </w:t>
      </w:r>
      <w:r w:rsidRPr="00BC31E0">
        <w:rPr>
          <w:rFonts w:asciiTheme="majorEastAsia" w:eastAsiaTheme="majorEastAsia" w:hAnsiTheme="majorEastAsia"/>
          <w:b/>
        </w:rPr>
        <w:t>Z</w:t>
      </w:r>
      <w:r w:rsidRPr="00BC31E0">
        <w:rPr>
          <w:rFonts w:asciiTheme="majorEastAsia" w:eastAsiaTheme="majorEastAsia" w:hAnsiTheme="majorEastAsia" w:hint="eastAsia"/>
          <w:b/>
        </w:rPr>
        <w:t xml:space="preserve"> </w:t>
      </w:r>
      <w:r w:rsidRPr="00BC31E0">
        <w:rPr>
          <w:rFonts w:asciiTheme="majorEastAsia" w:eastAsiaTheme="majorEastAsia" w:hAnsiTheme="majorEastAsia"/>
          <w:b/>
        </w:rPr>
        <w:t>3070</w:t>
      </w:r>
      <w:r w:rsidRPr="00BC31E0">
        <w:rPr>
          <w:rFonts w:asciiTheme="minorEastAsia" w:eastAsiaTheme="minorEastAsia" w:hAnsiTheme="minorEastAsia" w:hint="eastAsia"/>
          <w:bCs/>
        </w:rPr>
        <w:t>，</w:t>
      </w:r>
      <w:r w:rsidRPr="00BC31E0">
        <w:rPr>
          <w:rFonts w:asciiTheme="majorEastAsia" w:eastAsiaTheme="majorEastAsia" w:hAnsiTheme="majorEastAsia" w:hint="eastAsia"/>
          <w:b/>
        </w:rPr>
        <w:t xml:space="preserve">JIS </w:t>
      </w:r>
      <w:r w:rsidRPr="00BC31E0">
        <w:rPr>
          <w:rFonts w:asciiTheme="majorEastAsia" w:eastAsiaTheme="majorEastAsia" w:hAnsiTheme="majorEastAsia"/>
          <w:b/>
        </w:rPr>
        <w:t>Z</w:t>
      </w:r>
      <w:r w:rsidRPr="00BC31E0">
        <w:rPr>
          <w:rFonts w:asciiTheme="majorEastAsia" w:eastAsiaTheme="majorEastAsia" w:hAnsiTheme="majorEastAsia" w:hint="eastAsia"/>
          <w:b/>
        </w:rPr>
        <w:t xml:space="preserve"> </w:t>
      </w:r>
      <w:r w:rsidRPr="00BC31E0">
        <w:rPr>
          <w:rFonts w:asciiTheme="majorEastAsia" w:eastAsiaTheme="majorEastAsia" w:hAnsiTheme="majorEastAsia"/>
          <w:b/>
        </w:rPr>
        <w:t>3080</w:t>
      </w:r>
      <w:r w:rsidRPr="00BC31E0">
        <w:rPr>
          <w:rFonts w:asciiTheme="minorEastAsia" w:eastAsiaTheme="minorEastAsia" w:hAnsiTheme="minorEastAsia" w:hint="eastAsia"/>
          <w:bCs/>
        </w:rPr>
        <w:t>，</w:t>
      </w:r>
      <w:r w:rsidRPr="00BC31E0">
        <w:rPr>
          <w:rFonts w:asciiTheme="majorEastAsia" w:eastAsiaTheme="majorEastAsia" w:hAnsiTheme="majorEastAsia" w:hint="eastAsia"/>
          <w:b/>
        </w:rPr>
        <w:t xml:space="preserve">JIS </w:t>
      </w:r>
      <w:r w:rsidRPr="00BC31E0">
        <w:rPr>
          <w:rFonts w:asciiTheme="majorEastAsia" w:eastAsiaTheme="majorEastAsia" w:hAnsiTheme="majorEastAsia"/>
          <w:b/>
        </w:rPr>
        <w:t>Z</w:t>
      </w:r>
      <w:r w:rsidRPr="00BC31E0">
        <w:rPr>
          <w:rFonts w:asciiTheme="majorEastAsia" w:eastAsiaTheme="majorEastAsia" w:hAnsiTheme="majorEastAsia" w:hint="eastAsia"/>
          <w:b/>
        </w:rPr>
        <w:t xml:space="preserve"> </w:t>
      </w:r>
      <w:r w:rsidRPr="00BC31E0">
        <w:rPr>
          <w:rFonts w:asciiTheme="majorEastAsia" w:eastAsiaTheme="majorEastAsia" w:hAnsiTheme="majorEastAsia"/>
          <w:b/>
        </w:rPr>
        <w:t>3081</w:t>
      </w:r>
      <w:r w:rsidRPr="00BC31E0">
        <w:rPr>
          <w:rFonts w:ascii="ＭＳ 明朝" w:hint="eastAsia"/>
        </w:rPr>
        <w:t>のいずれかに従って検査を行う。</w:t>
      </w:r>
    </w:p>
    <w:p w14:paraId="5BFA6FEE" w14:textId="77777777" w:rsidR="003D6CC8" w:rsidRPr="00BC31E0" w:rsidRDefault="00A6073D" w:rsidP="00736130">
      <w:pPr>
        <w:pStyle w:val="a4"/>
        <w:numPr>
          <w:ilvl w:val="0"/>
          <w:numId w:val="534"/>
        </w:numPr>
        <w:ind w:leftChars="0" w:left="454" w:hanging="454"/>
        <w:rPr>
          <w:rFonts w:asciiTheme="minorHAnsi" w:eastAsiaTheme="minorEastAsia" w:hAnsiTheme="minorHAnsi"/>
        </w:rPr>
      </w:pPr>
      <w:r w:rsidRPr="00BC31E0">
        <w:rPr>
          <w:rFonts w:ascii="ＭＳ 明朝" w:hint="eastAsia"/>
        </w:rPr>
        <w:t>磁粉探傷試験及び浸透探傷試験は，</w:t>
      </w:r>
      <w:r w:rsidRPr="00BC31E0">
        <w:rPr>
          <w:rFonts w:asciiTheme="majorEastAsia" w:eastAsiaTheme="majorEastAsia" w:hAnsiTheme="majorEastAsia" w:hint="eastAsia"/>
          <w:b/>
        </w:rPr>
        <w:t>JIS Z 2320-1</w:t>
      </w:r>
      <w:r w:rsidRPr="00BC31E0">
        <w:rPr>
          <w:rFonts w:hint="eastAsia"/>
        </w:rPr>
        <w:t>～</w:t>
      </w:r>
      <w:r w:rsidRPr="00BC31E0">
        <w:rPr>
          <w:rFonts w:asciiTheme="majorEastAsia" w:eastAsiaTheme="majorEastAsia" w:hAnsiTheme="majorEastAsia" w:hint="eastAsia"/>
          <w:b/>
        </w:rPr>
        <w:t>JIS Z 2320-3</w:t>
      </w:r>
      <w:r w:rsidRPr="00BC31E0">
        <w:rPr>
          <w:rFonts w:asciiTheme="minorHAnsi" w:eastAsiaTheme="minorEastAsia" w:hAnsiTheme="minorHAnsi"/>
        </w:rPr>
        <w:t>(</w:t>
      </w:r>
      <w:r w:rsidRPr="00BC31E0">
        <w:rPr>
          <w:rFonts w:asciiTheme="minorHAnsi" w:eastAsiaTheme="minorEastAsia" w:hAnsiTheme="minorEastAsia"/>
        </w:rPr>
        <w:t>磁粉探傷試験</w:t>
      </w:r>
      <w:r w:rsidRPr="00BC31E0">
        <w:rPr>
          <w:rFonts w:asciiTheme="minorHAnsi" w:eastAsiaTheme="minorEastAsia" w:hAnsiTheme="minorHAnsi"/>
        </w:rPr>
        <w:t>)</w:t>
      </w:r>
      <w:r w:rsidRPr="00BC31E0">
        <w:rPr>
          <w:rFonts w:asciiTheme="minorEastAsia" w:eastAsiaTheme="minorEastAsia" w:hAnsiTheme="minorEastAsia" w:hint="eastAsia"/>
          <w:bCs/>
        </w:rPr>
        <w:t>又は</w:t>
      </w:r>
      <w:r w:rsidRPr="00BC31E0">
        <w:rPr>
          <w:rFonts w:asciiTheme="majorEastAsia" w:eastAsiaTheme="majorEastAsia" w:hAnsiTheme="majorEastAsia" w:hint="eastAsia"/>
          <w:b/>
        </w:rPr>
        <w:t>JIS Z 2343-1</w:t>
      </w:r>
      <w:r w:rsidRPr="00BC31E0">
        <w:rPr>
          <w:rFonts w:hint="eastAsia"/>
        </w:rPr>
        <w:t>～</w:t>
      </w:r>
      <w:r w:rsidRPr="00BC31E0">
        <w:rPr>
          <w:rFonts w:asciiTheme="majorEastAsia" w:eastAsiaTheme="majorEastAsia" w:hAnsiTheme="majorEastAsia" w:hint="eastAsia"/>
          <w:b/>
        </w:rPr>
        <w:t>JIS Z 2343-6</w:t>
      </w:r>
      <w:r w:rsidR="00033CAC" w:rsidRPr="00BC31E0">
        <w:rPr>
          <w:rFonts w:asciiTheme="minorHAnsi" w:eastAsiaTheme="minorEastAsia" w:hAnsiTheme="minorEastAsia" w:hint="eastAsia"/>
        </w:rPr>
        <w:t>(</w:t>
      </w:r>
      <w:r w:rsidRPr="00BC31E0">
        <w:rPr>
          <w:rFonts w:asciiTheme="minorHAnsi" w:eastAsiaTheme="minorEastAsia" w:hAnsiTheme="minorEastAsia"/>
        </w:rPr>
        <w:t>浸透探傷試験</w:t>
      </w:r>
      <w:r w:rsidR="00033CAC" w:rsidRPr="00BC31E0">
        <w:rPr>
          <w:rFonts w:asciiTheme="minorHAnsi" w:eastAsiaTheme="minorEastAsia" w:hAnsiTheme="minorEastAsia" w:hint="eastAsia"/>
        </w:rPr>
        <w:t>)</w:t>
      </w:r>
      <w:r w:rsidRPr="00BC31E0">
        <w:rPr>
          <w:rFonts w:asciiTheme="minorEastAsia" w:eastAsiaTheme="minorEastAsia" w:hAnsiTheme="minorEastAsia" w:hint="eastAsia"/>
          <w:bCs/>
        </w:rPr>
        <w:t>に従って検査を行う。</w:t>
      </w:r>
    </w:p>
    <w:p w14:paraId="31A4F340" w14:textId="77777777" w:rsidR="00A6073D" w:rsidRPr="00BC31E0" w:rsidRDefault="00A6073D" w:rsidP="00736130">
      <w:pPr>
        <w:pStyle w:val="a4"/>
        <w:numPr>
          <w:ilvl w:val="0"/>
          <w:numId w:val="534"/>
        </w:numPr>
        <w:ind w:leftChars="0" w:left="454" w:hanging="454"/>
        <w:rPr>
          <w:rFonts w:asciiTheme="minorHAnsi" w:eastAsiaTheme="minorEastAsia" w:hAnsiTheme="minorHAnsi"/>
        </w:rPr>
      </w:pPr>
      <w:r w:rsidRPr="00BC31E0">
        <w:rPr>
          <w:rFonts w:asciiTheme="minorEastAsia" w:eastAsiaTheme="minorEastAsia" w:hAnsiTheme="minorEastAsia" w:hint="eastAsia"/>
          <w:bCs/>
        </w:rPr>
        <w:t>渦流探傷試験は</w:t>
      </w:r>
      <w:r w:rsidRPr="00BC31E0">
        <w:rPr>
          <w:rFonts w:hint="eastAsia"/>
          <w:bCs/>
        </w:rPr>
        <w:t>，</w:t>
      </w:r>
      <w:r w:rsidRPr="00BC31E0">
        <w:rPr>
          <w:rFonts w:asciiTheme="majorEastAsia" w:eastAsiaTheme="majorEastAsia" w:hAnsiTheme="majorEastAsia" w:hint="eastAsia"/>
          <w:b/>
        </w:rPr>
        <w:t>JIS Z 2316</w:t>
      </w:r>
      <w:r w:rsidRPr="00BC31E0">
        <w:rPr>
          <w:rFonts w:asciiTheme="minorEastAsia" w:eastAsiaTheme="minorEastAsia" w:hAnsiTheme="minorEastAsia" w:hint="eastAsia"/>
          <w:bCs/>
        </w:rPr>
        <w:t>に従って検査を行う。</w:t>
      </w:r>
    </w:p>
    <w:p w14:paraId="2014A669" w14:textId="77777777" w:rsidR="00A6073D" w:rsidRPr="00BC31E0" w:rsidRDefault="00A6073D" w:rsidP="00FE68BA">
      <w:pPr>
        <w:pStyle w:val="3"/>
        <w:tabs>
          <w:tab w:val="clear" w:pos="284"/>
        </w:tabs>
        <w:ind w:left="794" w:hanging="794"/>
      </w:pPr>
      <w:r w:rsidRPr="00BC31E0">
        <w:rPr>
          <w:rFonts w:hint="eastAsia"/>
        </w:rPr>
        <w:t>非破壊試験技術者の認定</w:t>
      </w:r>
    </w:p>
    <w:p w14:paraId="5340BA8C" w14:textId="77777777" w:rsidR="00A6073D" w:rsidRPr="00BC31E0" w:rsidRDefault="00A6073D" w:rsidP="00570CDB">
      <w:pPr>
        <w:pStyle w:val="1110"/>
        <w:ind w:firstLine="210"/>
      </w:pPr>
      <w:r w:rsidRPr="00BC31E0">
        <w:rPr>
          <w:rFonts w:hint="eastAsia"/>
        </w:rPr>
        <w:t>非破壊試験技術者の認定は，次の</w:t>
      </w:r>
      <w:r w:rsidRPr="00BC31E0">
        <w:rPr>
          <w:rFonts w:ascii="ＭＳ ゴシック" w:hAnsi="ＭＳ ゴシック" w:hint="eastAsia"/>
          <w:b/>
        </w:rPr>
        <w:t>a)</w:t>
      </w:r>
      <w:r w:rsidRPr="00BC31E0">
        <w:rPr>
          <w:rFonts w:hint="eastAsia"/>
        </w:rPr>
        <w:t>～</w:t>
      </w:r>
      <w:r w:rsidRPr="00BC31E0">
        <w:rPr>
          <w:rFonts w:ascii="ＭＳ ゴシック" w:hAnsi="ＭＳ ゴシック" w:hint="eastAsia"/>
          <w:b/>
        </w:rPr>
        <w:t>c)</w:t>
      </w:r>
      <w:r w:rsidRPr="00BC31E0">
        <w:rPr>
          <w:rFonts w:hint="eastAsia"/>
        </w:rPr>
        <w:t>による。</w:t>
      </w:r>
    </w:p>
    <w:p w14:paraId="754173BC" w14:textId="77777777" w:rsidR="00FE68BA" w:rsidRPr="00BC31E0" w:rsidRDefault="00A6073D" w:rsidP="00736130">
      <w:pPr>
        <w:pStyle w:val="a4"/>
        <w:numPr>
          <w:ilvl w:val="0"/>
          <w:numId w:val="535"/>
        </w:numPr>
        <w:ind w:leftChars="0" w:left="454" w:hanging="454"/>
      </w:pPr>
      <w:r w:rsidRPr="00BC31E0">
        <w:rPr>
          <w:rFonts w:hint="eastAsia"/>
        </w:rPr>
        <w:t>非破壊試験技術者は，権威ある機関の技量検定に合格し，その技量について格付けされた資格のある者とする。</w:t>
      </w:r>
    </w:p>
    <w:p w14:paraId="6B01DC32" w14:textId="77777777" w:rsidR="00FE68BA" w:rsidRPr="00BC31E0" w:rsidRDefault="00A6073D" w:rsidP="00736130">
      <w:pPr>
        <w:pStyle w:val="a4"/>
        <w:numPr>
          <w:ilvl w:val="0"/>
          <w:numId w:val="535"/>
        </w:numPr>
        <w:ind w:leftChars="0" w:left="454" w:hanging="454"/>
      </w:pPr>
      <w:r w:rsidRPr="00BC31E0">
        <w:rPr>
          <w:rFonts w:hint="eastAsia"/>
        </w:rPr>
        <w:t>目視試験技術者は，高圧容器の材料，製作方法，発生する傷などに関する必要な知識をもち，</w:t>
      </w:r>
      <w:r w:rsidRPr="00BC31E0">
        <w:rPr>
          <w:rFonts w:asciiTheme="majorEastAsia" w:eastAsiaTheme="majorEastAsia" w:hAnsiTheme="majorEastAsia" w:hint="eastAsia"/>
          <w:b/>
          <w:bCs/>
        </w:rPr>
        <w:t>9</w:t>
      </w:r>
      <w:r w:rsidRPr="00BC31E0">
        <w:rPr>
          <w:rFonts w:hint="eastAsia"/>
        </w:rPr>
        <w:t>の内容に習熟し，経験のある者とする。</w:t>
      </w:r>
    </w:p>
    <w:p w14:paraId="41694F64" w14:textId="77777777" w:rsidR="00A6073D" w:rsidRPr="00BC31E0" w:rsidRDefault="00A6073D" w:rsidP="00736130">
      <w:pPr>
        <w:pStyle w:val="a4"/>
        <w:numPr>
          <w:ilvl w:val="0"/>
          <w:numId w:val="535"/>
        </w:numPr>
        <w:ind w:leftChars="0" w:left="454" w:hanging="454"/>
      </w:pPr>
      <w:r w:rsidRPr="00BC31E0">
        <w:rPr>
          <w:rFonts w:hint="eastAsia"/>
        </w:rPr>
        <w:t>非破壊試験技術者は，色覚が正常で遠方視力は</w:t>
      </w:r>
      <w:r w:rsidRPr="00BC31E0">
        <w:t>0.7</w:t>
      </w:r>
      <w:r w:rsidRPr="00BC31E0">
        <w:rPr>
          <w:rFonts w:hint="eastAsia"/>
        </w:rPr>
        <w:t>以上とする。</w:t>
      </w:r>
    </w:p>
    <w:p w14:paraId="00179875" w14:textId="77777777" w:rsidR="008103A2" w:rsidRPr="00BC31E0" w:rsidRDefault="008103A2" w:rsidP="00E843B3">
      <w:pPr>
        <w:pStyle w:val="20"/>
        <w:tabs>
          <w:tab w:val="clear" w:pos="284"/>
        </w:tabs>
        <w:ind w:left="567" w:hanging="567"/>
      </w:pPr>
      <w:bookmarkStart w:id="102" w:name="_Toc357672117"/>
      <w:bookmarkStart w:id="103" w:name="_Toc120092553"/>
      <w:r w:rsidRPr="00BC31E0">
        <w:rPr>
          <w:rFonts w:hint="eastAsia"/>
        </w:rPr>
        <w:t>耐圧部材の試験と材料補修</w:t>
      </w:r>
      <w:bookmarkEnd w:id="102"/>
      <w:bookmarkEnd w:id="103"/>
    </w:p>
    <w:p w14:paraId="24406DEA" w14:textId="77777777" w:rsidR="008103A2" w:rsidRPr="00BC31E0" w:rsidRDefault="008103A2" w:rsidP="00E843B3">
      <w:pPr>
        <w:pStyle w:val="3"/>
        <w:tabs>
          <w:tab w:val="clear" w:pos="284"/>
        </w:tabs>
        <w:ind w:left="794" w:hanging="794"/>
      </w:pPr>
      <w:r w:rsidRPr="00BC31E0">
        <w:rPr>
          <w:rFonts w:hint="eastAsia"/>
        </w:rPr>
        <w:t>一般要求</w:t>
      </w:r>
    </w:p>
    <w:p w14:paraId="56C56055" w14:textId="77777777" w:rsidR="008103A2" w:rsidRPr="00BC31E0" w:rsidRDefault="008103A2" w:rsidP="0048140B">
      <w:pPr>
        <w:pStyle w:val="1110"/>
        <w:ind w:firstLine="210"/>
      </w:pPr>
      <w:r w:rsidRPr="00BC31E0">
        <w:rPr>
          <w:rFonts w:hint="eastAsia"/>
        </w:rPr>
        <w:t>一般要求は，次の</w:t>
      </w:r>
      <w:r w:rsidRPr="00BC31E0">
        <w:rPr>
          <w:rFonts w:asciiTheme="majorEastAsia" w:eastAsiaTheme="majorEastAsia" w:hAnsiTheme="majorEastAsia" w:hint="eastAsia"/>
          <w:b/>
        </w:rPr>
        <w:t>a)</w:t>
      </w:r>
      <w:r w:rsidRPr="00BC31E0">
        <w:rPr>
          <w:rFonts w:hint="eastAsia"/>
        </w:rPr>
        <w:t>～</w:t>
      </w:r>
      <w:r w:rsidRPr="00BC31E0">
        <w:rPr>
          <w:rFonts w:asciiTheme="majorEastAsia" w:eastAsiaTheme="majorEastAsia" w:hAnsiTheme="majorEastAsia" w:hint="eastAsia"/>
          <w:b/>
        </w:rPr>
        <w:t>c)</w:t>
      </w:r>
      <w:r w:rsidRPr="00BC31E0">
        <w:rPr>
          <w:rFonts w:hint="eastAsia"/>
        </w:rPr>
        <w:t>による。</w:t>
      </w:r>
    </w:p>
    <w:p w14:paraId="6D0D7870" w14:textId="77777777" w:rsidR="00E843B3" w:rsidRPr="00BC31E0" w:rsidRDefault="008103A2" w:rsidP="00736130">
      <w:pPr>
        <w:pStyle w:val="a4"/>
        <w:numPr>
          <w:ilvl w:val="0"/>
          <w:numId w:val="536"/>
        </w:numPr>
        <w:ind w:leftChars="0" w:left="454" w:hanging="454"/>
      </w:pPr>
      <w:r w:rsidRPr="00BC31E0">
        <w:rPr>
          <w:rFonts w:hint="eastAsia"/>
        </w:rPr>
        <w:t>耐圧部材は，材料規格で規定される試験の他，この項に従って非破壊試験を実施しなければならない。</w:t>
      </w:r>
    </w:p>
    <w:p w14:paraId="38D25F8B" w14:textId="77777777" w:rsidR="00E843B3" w:rsidRPr="00BC31E0" w:rsidRDefault="008103A2" w:rsidP="00736130">
      <w:pPr>
        <w:pStyle w:val="a4"/>
        <w:numPr>
          <w:ilvl w:val="0"/>
          <w:numId w:val="536"/>
        </w:numPr>
        <w:ind w:leftChars="0" w:left="454" w:hanging="454"/>
      </w:pPr>
      <w:r w:rsidRPr="00BC31E0">
        <w:rPr>
          <w:rFonts w:ascii="ＭＳ 明朝" w:hAnsi="ＭＳ 明朝" w:hint="eastAsia"/>
          <w:bCs/>
        </w:rPr>
        <w:t>溶接補修に関するこの項の要求事項は，耐圧部材に適用する。</w:t>
      </w:r>
    </w:p>
    <w:p w14:paraId="79A81EE6" w14:textId="77777777" w:rsidR="008103A2" w:rsidRPr="00BC31E0" w:rsidRDefault="008103A2" w:rsidP="00736130">
      <w:pPr>
        <w:pStyle w:val="a4"/>
        <w:numPr>
          <w:ilvl w:val="0"/>
          <w:numId w:val="536"/>
        </w:numPr>
        <w:ind w:leftChars="0" w:left="454" w:hanging="454"/>
      </w:pPr>
      <w:r w:rsidRPr="00BC31E0">
        <w:rPr>
          <w:rFonts w:ascii="ＭＳ 明朝" w:hAnsi="ＭＳ 明朝" w:hint="eastAsia"/>
          <w:bCs/>
        </w:rPr>
        <w:t>この項の要求事項は，材料製造者と容器製作者の両方に適用する。</w:t>
      </w:r>
    </w:p>
    <w:p w14:paraId="41B661BA" w14:textId="77777777" w:rsidR="008103A2" w:rsidRPr="00BC31E0" w:rsidRDefault="008103A2" w:rsidP="0048140B">
      <w:pPr>
        <w:pStyle w:val="3"/>
        <w:tabs>
          <w:tab w:val="clear" w:pos="284"/>
        </w:tabs>
        <w:ind w:left="794" w:hanging="794"/>
      </w:pPr>
      <w:r w:rsidRPr="00BC31E0">
        <w:rPr>
          <w:rFonts w:hint="eastAsia"/>
        </w:rPr>
        <w:t>焼入焼戻し後の試験</w:t>
      </w:r>
    </w:p>
    <w:p w14:paraId="0CD0064C" w14:textId="77777777" w:rsidR="008103A2" w:rsidRPr="00BC31E0" w:rsidRDefault="008103A2" w:rsidP="00570CDB">
      <w:pPr>
        <w:pStyle w:val="1110"/>
        <w:ind w:firstLine="210"/>
      </w:pPr>
      <w:r w:rsidRPr="00BC31E0">
        <w:rPr>
          <w:rFonts w:hint="eastAsia"/>
        </w:rPr>
        <w:t>焼入焼戻しによって機械的特性を高めているフェライト系材料は，焼入焼戻し後の各製品形状</w:t>
      </w:r>
      <w:r w:rsidRPr="00BC31E0">
        <w:rPr>
          <w:rFonts w:hint="eastAsia"/>
        </w:rPr>
        <w:lastRenderedPageBreak/>
        <w:t>に対して，</w:t>
      </w:r>
      <w:r w:rsidRPr="00BC31E0">
        <w:rPr>
          <w:rFonts w:ascii="ＭＳ ゴシック" w:hAnsi="ＭＳ ゴシック" w:hint="eastAsia"/>
          <w:b/>
        </w:rPr>
        <w:t>9.2</w:t>
      </w:r>
      <w:r w:rsidRPr="00BC31E0">
        <w:rPr>
          <w:rFonts w:hint="eastAsia"/>
        </w:rPr>
        <w:t>で規定された方法による試験を実施しなければならない。</w:t>
      </w:r>
    </w:p>
    <w:p w14:paraId="238E5067" w14:textId="77777777" w:rsidR="008103A2" w:rsidRPr="00BC31E0" w:rsidRDefault="008103A2" w:rsidP="0048140B">
      <w:pPr>
        <w:pStyle w:val="3"/>
        <w:tabs>
          <w:tab w:val="clear" w:pos="284"/>
        </w:tabs>
        <w:ind w:left="794" w:hanging="794"/>
      </w:pPr>
      <w:r w:rsidRPr="00BC31E0">
        <w:rPr>
          <w:rFonts w:hint="eastAsia"/>
        </w:rPr>
        <w:t>欠陥の補修に関する一般要求</w:t>
      </w:r>
    </w:p>
    <w:p w14:paraId="25AF3B23" w14:textId="77777777" w:rsidR="008103A2" w:rsidRPr="00BC31E0" w:rsidRDefault="008103A2" w:rsidP="00656CDD">
      <w:pPr>
        <w:pStyle w:val="1110"/>
        <w:ind w:firstLine="210"/>
      </w:pPr>
      <w:r w:rsidRPr="00BC31E0">
        <w:rPr>
          <w:rFonts w:hint="eastAsia"/>
        </w:rPr>
        <w:t>欠陥の補修に関する一般要求は，次の</w:t>
      </w:r>
      <w:r w:rsidRPr="00BC31E0">
        <w:rPr>
          <w:rFonts w:ascii="ＭＳ ゴシック" w:hAnsi="ＭＳ ゴシック" w:hint="eastAsia"/>
          <w:b/>
        </w:rPr>
        <w:t>a)</w:t>
      </w:r>
      <w:r w:rsidRPr="00BC31E0">
        <w:rPr>
          <w:rFonts w:hint="eastAsia"/>
        </w:rPr>
        <w:t>～</w:t>
      </w:r>
      <w:r w:rsidRPr="00BC31E0">
        <w:rPr>
          <w:rFonts w:ascii="ＭＳ ゴシック" w:hAnsi="ＭＳ ゴシック" w:hint="eastAsia"/>
          <w:b/>
        </w:rPr>
        <w:t>d)</w:t>
      </w:r>
      <w:r w:rsidRPr="00BC31E0">
        <w:rPr>
          <w:rFonts w:hint="eastAsia"/>
        </w:rPr>
        <w:t>による。</w:t>
      </w:r>
    </w:p>
    <w:p w14:paraId="4E7C7EA3" w14:textId="77777777" w:rsidR="008103A2" w:rsidRPr="00BC31E0" w:rsidRDefault="008103A2" w:rsidP="00736130">
      <w:pPr>
        <w:pStyle w:val="a4"/>
        <w:numPr>
          <w:ilvl w:val="0"/>
          <w:numId w:val="537"/>
        </w:numPr>
        <w:ind w:leftChars="0" w:left="454" w:hanging="454"/>
      </w:pPr>
      <w:r w:rsidRPr="00BC31E0">
        <w:rPr>
          <w:rFonts w:asciiTheme="majorEastAsia" w:eastAsiaTheme="majorEastAsia" w:hAnsiTheme="majorEastAsia" w:hint="eastAsia"/>
          <w:b/>
        </w:rPr>
        <w:t>溶接補修の必要がない欠陥</w:t>
      </w:r>
      <w:r w:rsidRPr="00BC31E0">
        <w:rPr>
          <w:rFonts w:hint="eastAsia"/>
        </w:rPr>
        <w:t xml:space="preserve">　</w:t>
      </w:r>
      <w:r w:rsidRPr="00BC31E0">
        <w:rPr>
          <w:rFonts w:ascii="ＭＳ 明朝" w:hAnsi="ＭＳ 明朝" w:hint="eastAsia"/>
        </w:rPr>
        <w:t>溶接補修の必要がない欠陥は，次の</w:t>
      </w:r>
      <w:r w:rsidRPr="00BC31E0">
        <w:rPr>
          <w:rFonts w:asciiTheme="majorEastAsia" w:eastAsiaTheme="majorEastAsia" w:hAnsiTheme="majorEastAsia" w:hint="eastAsia"/>
          <w:b/>
        </w:rPr>
        <w:t>1)</w:t>
      </w:r>
      <w:r w:rsidRPr="00BC31E0">
        <w:rPr>
          <w:rFonts w:ascii="ＭＳ 明朝" w:hAnsi="ＭＳ 明朝" w:hint="eastAsia"/>
        </w:rPr>
        <w:t>，</w:t>
      </w:r>
      <w:r w:rsidRPr="00BC31E0">
        <w:rPr>
          <w:rFonts w:asciiTheme="majorEastAsia" w:eastAsiaTheme="majorEastAsia" w:hAnsiTheme="majorEastAsia" w:hint="eastAsia"/>
          <w:b/>
        </w:rPr>
        <w:t>2)</w:t>
      </w:r>
      <w:r w:rsidRPr="00BC31E0">
        <w:rPr>
          <w:rFonts w:ascii="ＭＳ 明朝" w:hAnsi="ＭＳ 明朝" w:hint="eastAsia"/>
        </w:rPr>
        <w:t>による。</w:t>
      </w:r>
    </w:p>
    <w:p w14:paraId="191313A6" w14:textId="77777777" w:rsidR="008103A2" w:rsidRPr="00BC31E0" w:rsidRDefault="008103A2" w:rsidP="00736130">
      <w:pPr>
        <w:pStyle w:val="a4"/>
        <w:numPr>
          <w:ilvl w:val="0"/>
          <w:numId w:val="538"/>
        </w:numPr>
        <w:ind w:leftChars="0" w:left="738" w:hanging="454"/>
      </w:pPr>
      <w:r w:rsidRPr="00BC31E0">
        <w:rPr>
          <w:rFonts w:asciiTheme="majorEastAsia" w:eastAsiaTheme="majorEastAsia" w:hAnsiTheme="majorEastAsia" w:hint="eastAsia"/>
          <w:b/>
        </w:rPr>
        <w:t>9.2</w:t>
      </w:r>
      <w:r w:rsidRPr="00BC31E0">
        <w:rPr>
          <w:rFonts w:hint="eastAsia"/>
        </w:rPr>
        <w:t>の判定基準を超える不完全部は欠陥とみなす。そのような欠陥は，完全に除去するか，合格となる不完全部サイズまで除去しなければならない。欠陥は，次の</w:t>
      </w:r>
      <w:r w:rsidRPr="00BC31E0">
        <w:rPr>
          <w:rFonts w:asciiTheme="majorEastAsia" w:eastAsiaTheme="majorEastAsia" w:hAnsiTheme="majorEastAsia" w:hint="eastAsia"/>
          <w:b/>
        </w:rPr>
        <w:t>1.1)</w:t>
      </w:r>
      <w:r w:rsidRPr="00BC31E0">
        <w:rPr>
          <w:rFonts w:hint="eastAsia"/>
        </w:rPr>
        <w:t>～</w:t>
      </w:r>
      <w:r w:rsidRPr="00BC31E0">
        <w:rPr>
          <w:rFonts w:asciiTheme="majorEastAsia" w:eastAsiaTheme="majorEastAsia" w:hAnsiTheme="majorEastAsia" w:hint="eastAsia"/>
          <w:b/>
        </w:rPr>
        <w:t>1.4)</w:t>
      </w:r>
      <w:r w:rsidRPr="00BC31E0">
        <w:rPr>
          <w:rFonts w:hint="eastAsia"/>
        </w:rPr>
        <w:t>の要求に合致すればグラインダーや機械加工により除去し，溶接補修を行わなくてもよい。</w:t>
      </w:r>
    </w:p>
    <w:p w14:paraId="0BE59861" w14:textId="77777777" w:rsidR="00DE658D" w:rsidRPr="00BC31E0" w:rsidRDefault="008103A2" w:rsidP="00736130">
      <w:pPr>
        <w:pStyle w:val="a4"/>
        <w:numPr>
          <w:ilvl w:val="0"/>
          <w:numId w:val="539"/>
        </w:numPr>
        <w:ind w:leftChars="0" w:left="1134" w:hanging="567"/>
      </w:pPr>
      <w:r w:rsidRPr="00BC31E0">
        <w:rPr>
          <w:rFonts w:hint="eastAsia"/>
        </w:rPr>
        <w:t>次の</w:t>
      </w:r>
      <w:r w:rsidRPr="00BC31E0">
        <w:rPr>
          <w:rFonts w:asciiTheme="majorEastAsia" w:eastAsiaTheme="majorEastAsia" w:hAnsiTheme="majorEastAsia" w:hint="eastAsia"/>
          <w:b/>
          <w:bCs/>
        </w:rPr>
        <w:t>2)</w:t>
      </w:r>
      <w:r w:rsidRPr="00BC31E0">
        <w:rPr>
          <w:rFonts w:hint="eastAsia"/>
        </w:rPr>
        <w:t>を除き，その部分の残存肉厚が</w:t>
      </w:r>
      <w:r w:rsidRPr="00BC31E0">
        <w:rPr>
          <w:rFonts w:asciiTheme="majorEastAsia" w:eastAsiaTheme="majorEastAsia" w:hAnsiTheme="majorEastAsia" w:hint="eastAsia"/>
          <w:b/>
          <w:bCs/>
        </w:rPr>
        <w:t>6.2</w:t>
      </w:r>
      <w:r w:rsidRPr="00BC31E0">
        <w:rPr>
          <w:rFonts w:hint="eastAsia"/>
        </w:rPr>
        <w:t>で与えられる式に設計圧力を代入して計算できる設計圧力時の必要厚さより減肉していない。</w:t>
      </w:r>
    </w:p>
    <w:p w14:paraId="02138940" w14:textId="77777777" w:rsidR="00DE658D" w:rsidRPr="00BC31E0" w:rsidRDefault="008103A2" w:rsidP="00736130">
      <w:pPr>
        <w:pStyle w:val="a4"/>
        <w:numPr>
          <w:ilvl w:val="0"/>
          <w:numId w:val="539"/>
        </w:numPr>
        <w:ind w:leftChars="0" w:left="1134" w:hanging="567"/>
      </w:pPr>
      <w:r w:rsidRPr="00BC31E0">
        <w:rPr>
          <w:rFonts w:hint="eastAsia"/>
        </w:rPr>
        <w:t>欠陥除去部が除去部周辺の面と滑らかにつなげて仕上げている。</w:t>
      </w:r>
    </w:p>
    <w:p w14:paraId="4284FEB8" w14:textId="77777777" w:rsidR="00DE658D" w:rsidRPr="00BC31E0" w:rsidRDefault="008103A2" w:rsidP="00736130">
      <w:pPr>
        <w:pStyle w:val="a4"/>
        <w:numPr>
          <w:ilvl w:val="0"/>
          <w:numId w:val="539"/>
        </w:numPr>
        <w:ind w:leftChars="0" w:left="1134" w:hanging="567"/>
      </w:pPr>
      <w:r w:rsidRPr="00BC31E0">
        <w:rPr>
          <w:rFonts w:hint="eastAsia"/>
        </w:rPr>
        <w:t>欠陥除去後，</w:t>
      </w:r>
      <w:r w:rsidRPr="00BC31E0">
        <w:rPr>
          <w:rFonts w:asciiTheme="majorEastAsia" w:eastAsiaTheme="majorEastAsia" w:hAnsiTheme="majorEastAsia" w:hint="eastAsia"/>
          <w:b/>
          <w:bCs/>
        </w:rPr>
        <w:t>9.2.5 d)</w:t>
      </w:r>
      <w:r w:rsidRPr="00BC31E0">
        <w:rPr>
          <w:rFonts w:hint="eastAsia"/>
        </w:rPr>
        <w:t>に従って磁粉探傷試験又は浸透探傷試験によって再試験を行い，不完全部が除去されている，又は合格サイズまで減少していることを確認する。</w:t>
      </w:r>
    </w:p>
    <w:p w14:paraId="032CA19B" w14:textId="77777777" w:rsidR="008103A2" w:rsidRPr="00BC31E0" w:rsidRDefault="008103A2" w:rsidP="00736130">
      <w:pPr>
        <w:pStyle w:val="a4"/>
        <w:numPr>
          <w:ilvl w:val="0"/>
          <w:numId w:val="539"/>
        </w:numPr>
        <w:ind w:leftChars="0" w:left="1134" w:hanging="567"/>
      </w:pPr>
      <w:r w:rsidRPr="00BC31E0">
        <w:rPr>
          <w:rFonts w:hint="eastAsia"/>
        </w:rPr>
        <w:t>酸化スケールや機械的打痕を除去した範囲や適正な超音波探傷試験が実施できるように処理された範囲は，磁粉探傷試験又は浸透探傷試験を実施する必要はない。</w:t>
      </w:r>
    </w:p>
    <w:p w14:paraId="624069BC" w14:textId="77777777" w:rsidR="008103A2" w:rsidRPr="00BC31E0" w:rsidRDefault="008103A2" w:rsidP="00736130">
      <w:pPr>
        <w:pStyle w:val="a4"/>
        <w:numPr>
          <w:ilvl w:val="0"/>
          <w:numId w:val="540"/>
        </w:numPr>
        <w:ind w:leftChars="0" w:left="738" w:hanging="454"/>
      </w:pPr>
      <w:r w:rsidRPr="00BC31E0">
        <w:rPr>
          <w:rFonts w:hint="eastAsia"/>
        </w:rPr>
        <w:t>グラインダーによる欠陥除去によって，</w:t>
      </w:r>
      <w:r w:rsidRPr="00BC31E0">
        <w:rPr>
          <w:rFonts w:asciiTheme="majorEastAsia" w:eastAsiaTheme="majorEastAsia" w:hAnsiTheme="majorEastAsia" w:hint="eastAsia"/>
          <w:b/>
        </w:rPr>
        <w:t>6.2</w:t>
      </w:r>
      <w:r w:rsidRPr="00BC31E0">
        <w:rPr>
          <w:rFonts w:hint="eastAsia"/>
        </w:rPr>
        <w:t>で与える式に，設計圧力を代入して計算できる設計圧力時の必要厚さより減肉する場合であっても，くぼみ径とくぼみ深さが次式の値以内であれば，溶接補修を行わなくてもよい。</w:t>
      </w:r>
    </w:p>
    <w:p w14:paraId="5C253481" w14:textId="77777777" w:rsidR="008103A2" w:rsidRPr="00BC31E0" w:rsidRDefault="008103A2" w:rsidP="00736130">
      <w:pPr>
        <w:pStyle w:val="a4"/>
        <w:numPr>
          <w:ilvl w:val="0"/>
          <w:numId w:val="541"/>
        </w:numPr>
        <w:ind w:leftChars="0" w:left="1134" w:hanging="567"/>
        <w:rPr>
          <w:rFonts w:asciiTheme="majorEastAsia" w:eastAsiaTheme="majorEastAsia" w:hAnsiTheme="majorEastAsia"/>
          <w:b/>
        </w:rPr>
      </w:pPr>
      <w:r w:rsidRPr="00BC31E0">
        <w:rPr>
          <w:rFonts w:asciiTheme="majorEastAsia" w:eastAsiaTheme="majorEastAsia" w:hAnsiTheme="majorEastAsia" w:hint="eastAsia"/>
          <w:b/>
        </w:rPr>
        <w:t>補修後のくぼみ径</w:t>
      </w:r>
    </w:p>
    <w:tbl>
      <w:tblPr>
        <w:tblStyle w:val="160"/>
        <w:tblW w:w="5670" w:type="dxa"/>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5"/>
        <w:gridCol w:w="4165"/>
      </w:tblGrid>
      <w:tr w:rsidR="008103A2" w:rsidRPr="00BC31E0" w14:paraId="39279110" w14:textId="77777777" w:rsidTr="004736F2">
        <w:tc>
          <w:tcPr>
            <w:tcW w:w="0" w:type="auto"/>
            <w:tcMar>
              <w:left w:w="0" w:type="dxa"/>
              <w:right w:w="0" w:type="dxa"/>
            </w:tcMar>
            <w:vAlign w:val="center"/>
          </w:tcPr>
          <w:p w14:paraId="1A5C163A" w14:textId="77777777" w:rsidR="008103A2" w:rsidRPr="00BC31E0" w:rsidRDefault="00A51873" w:rsidP="00656CDD">
            <w:pPr>
              <w:spacing w:before="120"/>
              <w:jc w:val="left"/>
              <w:rPr>
                <w:rFonts w:asciiTheme="minorHAnsi" w:hAnsiTheme="minorHAnsi"/>
              </w:rPr>
            </w:pPr>
            <m:oMathPara>
              <m:oMathParaPr>
                <m:jc m:val="left"/>
              </m:oMathParaPr>
              <m:oMath>
                <m:sSub>
                  <m:sSubPr>
                    <m:ctrlPr>
                      <w:rPr>
                        <w:rFonts w:ascii="Cambria Math" w:hAnsi="Cambria Math"/>
                      </w:rPr>
                    </m:ctrlPr>
                  </m:sSubPr>
                  <m:e>
                    <m:r>
                      <w:rPr>
                        <w:rFonts w:ascii="Cambria Math" w:hAnsi="Cambria Math"/>
                      </w:rPr>
                      <m:t>C</m:t>
                    </m:r>
                  </m:e>
                  <m:sub>
                    <m:r>
                      <w:rPr>
                        <w:rFonts w:ascii="Cambria Math" w:hAnsi="Cambria Math"/>
                      </w:rPr>
                      <m:t>OD</m:t>
                    </m:r>
                  </m:sub>
                </m:sSub>
                <m:r>
                  <w:rPr>
                    <w:rFonts w:ascii="Cambria Math" w:hAnsi="Cambria Math" w:hint="eastAsia"/>
                  </w:rPr>
                  <m:t>≦</m:t>
                </m:r>
                <m:r>
                  <w:rPr>
                    <w:rFonts w:ascii="Cambria Math" w:hAnsi="Cambria Math"/>
                  </w:rPr>
                  <m:t xml:space="preserve">0.2 </m:t>
                </m:r>
                <m:rad>
                  <m:radPr>
                    <m:degHide m:val="1"/>
                    <m:ctrlPr>
                      <w:rPr>
                        <w:rFonts w:ascii="Cambria Math" w:hAnsi="Cambria Math"/>
                      </w:rPr>
                    </m:ctrlPr>
                  </m:radPr>
                  <m:deg/>
                  <m:e>
                    <m:sSub>
                      <m:sSubPr>
                        <m:ctrlPr>
                          <w:rPr>
                            <w:rFonts w:ascii="Cambria Math" w:hAnsi="Cambria Math"/>
                          </w:rPr>
                        </m:ctrlPr>
                      </m:sSubPr>
                      <m:e>
                        <m:r>
                          <w:rPr>
                            <w:rFonts w:ascii="Cambria Math" w:hAnsi="Cambria Math"/>
                          </w:rPr>
                          <m:t>R</m:t>
                        </m:r>
                      </m:e>
                      <m:sub>
                        <m:r>
                          <w:rPr>
                            <w:rFonts w:ascii="Cambria Math" w:hAnsi="Cambria Math"/>
                          </w:rPr>
                          <m:t>m</m:t>
                        </m:r>
                      </m:sub>
                    </m:sSub>
                    <m:r>
                      <w:rPr>
                        <w:rFonts w:ascii="Cambria Math" w:hAnsi="Cambria Math"/>
                      </w:rPr>
                      <m:t xml:space="preserve"> t</m:t>
                    </m:r>
                  </m:e>
                </m:rad>
              </m:oMath>
            </m:oMathPara>
          </w:p>
        </w:tc>
        <w:tc>
          <w:tcPr>
            <w:tcW w:w="4165" w:type="dxa"/>
            <w:tcMar>
              <w:left w:w="0" w:type="dxa"/>
              <w:right w:w="0" w:type="dxa"/>
            </w:tcMar>
            <w:vAlign w:val="center"/>
          </w:tcPr>
          <w:p w14:paraId="59CD6EFC" w14:textId="77777777" w:rsidR="008103A2" w:rsidRPr="00BC31E0" w:rsidRDefault="008103A2" w:rsidP="00656CDD">
            <w:pPr>
              <w:tabs>
                <w:tab w:val="left" w:leader="middleDot" w:pos="3315"/>
              </w:tabs>
              <w:spacing w:before="120"/>
              <w:jc w:val="left"/>
              <w:rPr>
                <w:rFonts w:asciiTheme="minorHAnsi" w:hAnsiTheme="minorHAnsi"/>
              </w:rPr>
            </w:pPr>
            <w:r w:rsidRPr="00BC31E0">
              <w:rPr>
                <w:rFonts w:asciiTheme="minorHAnsi" w:hAnsiTheme="minorHAnsi" w:hint="eastAsia"/>
              </w:rPr>
              <w:tab/>
              <w:t>(9.2.1)</w:t>
            </w:r>
          </w:p>
        </w:tc>
      </w:tr>
    </w:tbl>
    <w:p w14:paraId="3DF4F2A5" w14:textId="77777777" w:rsidR="008103A2" w:rsidRPr="00BC31E0" w:rsidRDefault="008103A2" w:rsidP="00736130">
      <w:pPr>
        <w:pStyle w:val="a4"/>
        <w:numPr>
          <w:ilvl w:val="0"/>
          <w:numId w:val="542"/>
        </w:numPr>
        <w:spacing w:before="120" w:after="120"/>
        <w:ind w:leftChars="0" w:left="1134" w:hanging="567"/>
        <w:rPr>
          <w:rFonts w:asciiTheme="majorEastAsia" w:eastAsiaTheme="majorEastAsia" w:hAnsiTheme="majorEastAsia"/>
          <w:b/>
        </w:rPr>
      </w:pPr>
      <w:r w:rsidRPr="00BC31E0">
        <w:rPr>
          <w:rFonts w:asciiTheme="majorEastAsia" w:eastAsiaTheme="majorEastAsia" w:hAnsiTheme="majorEastAsia" w:hint="eastAsia"/>
          <w:b/>
        </w:rPr>
        <w:t>要求厚さ以下のくぼみ深さ</w:t>
      </w:r>
    </w:p>
    <w:tbl>
      <w:tblPr>
        <w:tblStyle w:val="160"/>
        <w:tblW w:w="5670" w:type="dxa"/>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1"/>
        <w:gridCol w:w="3829"/>
      </w:tblGrid>
      <w:tr w:rsidR="008103A2" w:rsidRPr="00BC31E0" w14:paraId="4E566328" w14:textId="77777777" w:rsidTr="004736F2">
        <w:tc>
          <w:tcPr>
            <w:tcW w:w="0" w:type="auto"/>
            <w:tcMar>
              <w:left w:w="0" w:type="dxa"/>
              <w:right w:w="0" w:type="dxa"/>
            </w:tcMar>
            <w:vAlign w:val="center"/>
          </w:tcPr>
          <w:p w14:paraId="790D89FE" w14:textId="77777777" w:rsidR="008103A2" w:rsidRPr="00BC31E0" w:rsidRDefault="00A51873" w:rsidP="00656CDD">
            <w:pPr>
              <w:spacing w:before="120"/>
              <w:jc w:val="left"/>
              <w:rPr>
                <w:rFonts w:asciiTheme="minorHAnsi" w:hAnsiTheme="minorHAnsi"/>
              </w:rPr>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rPr>
                      <m:t>depth</m:t>
                    </m:r>
                  </m:sub>
                </m:sSub>
                <m:r>
                  <w:rPr>
                    <w:rFonts w:ascii="Cambria Math" w:hAnsi="Cambria Math" w:hint="eastAsia"/>
                  </w:rPr>
                  <m:t>≦</m:t>
                </m:r>
                <m:r>
                  <w:rPr>
                    <w:rFonts w:ascii="Cambria Math" w:hAnsi="Cambria Math" w:hint="eastAsia"/>
                  </w:rPr>
                  <m:t>0.02</m:t>
                </m:r>
                <m:r>
                  <w:rPr>
                    <w:rFonts w:ascii="Cambria Math" w:hAnsi="Cambria Math"/>
                  </w:rPr>
                  <m:t xml:space="preserve"> </m:t>
                </m:r>
                <m:rad>
                  <m:radPr>
                    <m:degHide m:val="1"/>
                    <m:ctrlPr>
                      <w:rPr>
                        <w:rFonts w:ascii="Cambria Math" w:hAnsi="Cambria Math"/>
                      </w:rPr>
                    </m:ctrlPr>
                  </m:radPr>
                  <m:deg/>
                  <m:e>
                    <m:sSub>
                      <m:sSubPr>
                        <m:ctrlPr>
                          <w:rPr>
                            <w:rFonts w:ascii="Cambria Math" w:hAnsi="Cambria Math"/>
                          </w:rPr>
                        </m:ctrlPr>
                      </m:sSubPr>
                      <m:e>
                        <m:r>
                          <w:rPr>
                            <w:rFonts w:ascii="Cambria Math" w:hAnsi="Cambria Math"/>
                          </w:rPr>
                          <m:t>R</m:t>
                        </m:r>
                      </m:e>
                      <m:sub>
                        <m:r>
                          <w:rPr>
                            <w:rFonts w:ascii="Cambria Math" w:hAnsi="Cambria Math"/>
                          </w:rPr>
                          <m:t>m</m:t>
                        </m:r>
                      </m:sub>
                    </m:sSub>
                    <m:r>
                      <w:rPr>
                        <w:rFonts w:ascii="Cambria Math" w:hAnsi="Cambria Math"/>
                      </w:rPr>
                      <m:t xml:space="preserve"> t</m:t>
                    </m:r>
                  </m:e>
                </m:rad>
              </m:oMath>
            </m:oMathPara>
          </w:p>
        </w:tc>
        <w:tc>
          <w:tcPr>
            <w:tcW w:w="3829" w:type="dxa"/>
            <w:tcMar>
              <w:left w:w="0" w:type="dxa"/>
              <w:right w:w="0" w:type="dxa"/>
            </w:tcMar>
            <w:vAlign w:val="center"/>
          </w:tcPr>
          <w:p w14:paraId="1773BE40" w14:textId="77777777" w:rsidR="008103A2" w:rsidRPr="00BC31E0" w:rsidRDefault="008103A2" w:rsidP="00656CDD">
            <w:pPr>
              <w:tabs>
                <w:tab w:val="left" w:leader="middleDot" w:pos="2979"/>
              </w:tabs>
              <w:spacing w:before="120"/>
              <w:jc w:val="left"/>
              <w:rPr>
                <w:rFonts w:asciiTheme="minorHAnsi" w:hAnsiTheme="minorHAnsi"/>
              </w:rPr>
            </w:pPr>
            <w:r w:rsidRPr="00BC31E0">
              <w:rPr>
                <w:rFonts w:asciiTheme="minorHAnsi" w:hAnsiTheme="minorHAnsi" w:hint="eastAsia"/>
              </w:rPr>
              <w:tab/>
              <w:t>(9.2.2)</w:t>
            </w:r>
          </w:p>
        </w:tc>
      </w:tr>
    </w:tbl>
    <w:p w14:paraId="6326E16D" w14:textId="77777777" w:rsidR="008103A2" w:rsidRPr="00BC31E0" w:rsidRDefault="008103A2" w:rsidP="00AB0001"/>
    <w:p w14:paraId="65A30204" w14:textId="77777777" w:rsidR="008103A2" w:rsidRPr="00BC31E0" w:rsidRDefault="00A51873" w:rsidP="00AB0001">
      <w:pPr>
        <w:jc w:val="center"/>
        <w:rPr>
          <w:noProof/>
        </w:rPr>
      </w:pPr>
      <w:r>
        <w:rPr>
          <w:noProof/>
        </w:rPr>
      </w:r>
      <w:r>
        <w:rPr>
          <w:noProof/>
        </w:rPr>
        <w:pict w14:anchorId="5B614FEC">
          <v:group id="Group 11821" o:spid="_x0000_s1504" style="width:405.65pt;height:136.8pt;mso-position-horizontal-relative:char;mso-position-vertical-relative:line" coordorigin="2086,1769" coordsize="8113,2736">
            <v:shape id="Text Box 9539" o:spid="_x0000_s1505" type="#_x0000_t202" style="position:absolute;left:4570;top:1777;width:760;height:5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" filled="f" stroked="f">
              <v:textbox style="mso-fit-shape-to-text:t">
                <w:txbxContent>
                  <w:p w14:paraId="68C30661" w14:textId="77777777" w:rsidR="003B0864" w:rsidRPr="00207960" w:rsidRDefault="003B0864" w:rsidP="008103A2">
                    <w:pPr>
                      <w:rPr>
                        <w:rFonts w:ascii="Cambria Math" w:hAnsi="Cambria Math"/>
                      </w:rPr>
                    </w:pPr>
                    <w:r w:rsidRPr="00207960">
                      <w:rPr>
                        <w:rFonts w:ascii="Cambria Math" w:hAnsi="Cambria Math"/>
                        <w:i/>
                      </w:rPr>
                      <w:t>C</w:t>
                    </w:r>
                    <w:r w:rsidRPr="00C009F6">
                      <w:rPr>
                        <w:rFonts w:ascii="Cambria Math" w:hAnsi="Cambria Math"/>
                        <w:vertAlign w:val="subscript"/>
                      </w:rPr>
                      <w:t>depth</w:t>
                    </w:r>
                  </w:p>
                </w:txbxContent>
              </v:textbox>
            </v:shape>
            <v:group id="Group 11820" o:spid="_x0000_s1506" style="position:absolute;left:2086;top:1769;width:8113;height:2736" coordorigin="2086,1769" coordsize="8113,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">
              <v:shape id="Text Box 10775" o:spid="_x0000_s1507" type="#_x0000_t202" style="position:absolute;left:5689;top:2830;width:367;height:5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" stroked="f">
                <v:textbox style="mso-fit-shape-to-text:t">
                  <w:txbxContent>
                    <w:p w14:paraId="3B9E79CD" w14:textId="77777777" w:rsidR="003B0864" w:rsidRPr="00207960" w:rsidRDefault="003B0864" w:rsidP="008103A2">
                      <w:pPr>
                        <w:rPr>
                          <w:rFonts w:ascii="Cambria Math" w:hAnsi="Cambria Math"/>
                        </w:rPr>
                      </w:pPr>
                      <w:r w:rsidRPr="00F75F11">
                        <w:rPr>
                          <w:rFonts w:ascii="Cambria Math" w:hAnsi="Cambria Math"/>
                          <w:sz w:val="20"/>
                          <w:szCs w:val="20"/>
                        </w:rPr>
                        <w:t>𝑡</w:t>
                      </w:r>
                    </w:p>
                  </w:txbxContent>
                </v:textbox>
              </v:shape>
              <v:shape id="Text Box 10776" o:spid="_x0000_s1508" type="#_x0000_t202" style="position:absolute;left:5667;top:3703;width:458;height:5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" stroked="f">
                <v:textbox style="mso-fit-shape-to-text:t">
                  <w:txbxContent>
                    <w:p w14:paraId="04C5B77C" w14:textId="77777777" w:rsidR="003B0864" w:rsidRPr="00207960" w:rsidRDefault="003B0864" w:rsidP="008103A2">
                      <w:pPr>
                        <w:pStyle w:val="aff4"/>
                        <w:tabs>
                          <w:tab w:val="clear" w:pos="4252"/>
                          <w:tab w:val="clear" w:pos="8504"/>
                        </w:tabs>
                        <w:snapToGrid/>
                        <w:rPr>
                          <w:rFonts w:ascii="Cambria Math" w:hAnsi="Cambria Math"/>
                          <w:i/>
                        </w:rPr>
                      </w:pPr>
                      <w:r w:rsidRPr="00207960">
                        <w:rPr>
                          <w:rFonts w:ascii="Cambria Math" w:hAnsi="Cambria Math"/>
                          <w:i/>
                          <w:sz w:val="20"/>
                          <w:szCs w:val="20"/>
                        </w:rPr>
                        <w:t>R</w:t>
                      </w:r>
                    </w:p>
                  </w:txbxContent>
                </v:textbox>
              </v:shape>
              <v:shape id="Text Box 10777" o:spid="_x0000_s1509" type="#_x0000_t202" style="position:absolute;left:3225;top:1769;width:586;height:5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" stroked="f">
                <v:textbox style="mso-fit-shape-to-text:t">
                  <w:txbxContent>
                    <w:p w14:paraId="58C55186" w14:textId="77777777" w:rsidR="003B0864" w:rsidRPr="00207960" w:rsidRDefault="003B0864" w:rsidP="008103A2">
                      <w:pPr>
                        <w:tabs>
                          <w:tab w:val="left" w:pos="735"/>
                          <w:tab w:val="left" w:pos="6405"/>
                        </w:tabs>
                        <w:jc w:val="center"/>
                        <w:rPr>
                          <w:rFonts w:ascii="Cambria Math" w:hAnsi="Cambria Math"/>
                          <w:color w:val="000000"/>
                        </w:rPr>
                      </w:pPr>
                      <w:r>
                        <w:rPr>
                          <w:rFonts w:ascii="Cambria Math" w:hAnsi="Cambria Math"/>
                          <w:sz w:val="20"/>
                          <w:szCs w:val="20"/>
                        </w:rPr>
                        <w:t>𝐶</w:t>
                      </w:r>
                      <w:r w:rsidRPr="00F75F11">
                        <w:rPr>
                          <w:rFonts w:ascii="Cambria Math" w:hAnsi="Cambria Math"/>
                          <w:position w:val="-2"/>
                          <w:sz w:val="20"/>
                          <w:szCs w:val="20"/>
                          <w:vertAlign w:val="subscript"/>
                        </w:rPr>
                        <w:t>𝑂𝐷</w:t>
                      </w:r>
                    </w:p>
                  </w:txbxContent>
                </v:textbox>
              </v:shape>
              <v:shape id="Arc 10778" o:spid="_x0000_s1510" style="position:absolute;left:2751;top:2561;width:1632;height:246;flip:y;visibility:visible" coordsize="43200,222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" adj="0,,0" path="m8,22222nfc2,22014,,21807,,21600,,9670,9670,,21600,,33529,,43200,9670,43200,21599em8,22222nsc2,22014,,21807,,21600,,9670,9670,,21600,,33529,,43200,9670,43200,21599r-21600,1l8,22222xe" filled="f">
                <v:stroke joinstyle="round"/>
                <v:formulas/>
                <v:path arrowok="t" o:extrusionok="f" o:connecttype="custom" o:connectlocs="0,246;1632,239;816,239" o:connectangles="0,0,0"/>
              </v:shape>
              <v:line id="Line 10779" o:spid="_x0000_s1511" style="position:absolute;visibility:visible" from="2341,2576" to="5845,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"/>
              <v:line id="Line 10780" o:spid="_x0000_s1512" style="position:absolute;flip:y;visibility:visible" from="2749,2131" to="2749,2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" strokeweight=".5pt"/>
              <v:line id="Line 10781" o:spid="_x0000_s1513" style="position:absolute;flip:y;visibility:visible" from="4382,2131" to="4382,2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" strokeweight=".5pt"/>
              <v:line id="Line 10782" o:spid="_x0000_s1514" style="position:absolute;visibility:visible" from="2749,2233" to="4382,2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" strokeweight=".5pt">
                <v:stroke startarrow="open" endarrow="open"/>
              </v:line>
              <v:line id="Line 10783" o:spid="_x0000_s1515" style="position:absolute;visibility:visible" from="3566,2805" to="4705,2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" strokeweight=".5pt"/>
              <v:line id="Line 10784" o:spid="_x0000_s1516" style="position:absolute;visibility:visible" from="5182,3651" to="5794,3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"/>
              <v:line id="Line 10785" o:spid="_x0000_s1517" style="position:absolute;visibility:visible" from="2086,4486" to="6194,4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">
                <v:stroke dashstyle="dashDot"/>
              </v:line>
              <v:shape id="Freeform 10786" o:spid="_x0000_s1518" style="position:absolute;left:2323;top:2576;width:120;height:559;visibility:visible;mso-wrap-style:square;v-text-anchor:top" coordsize="10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" path="m46,c7,154,,116,46,300v18,71,60,130,60,210e" filled="f">
                <v:path arrowok="t" o:connecttype="custom" o:connectlocs="52,0;52,329;120,559" o:connectangles="0,0,0"/>
              </v:shape>
              <v:shape id="Freeform 10787" o:spid="_x0000_s1519" style="position:absolute;left:2299;top:3399;width:51;height:263;visibility:visible;mso-wrap-style:square;v-text-anchor:top" coordsize="4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" path="m,240c5,215,7,189,15,165v7,-21,30,-60,30,-60c24,41,30,76,30,e" filled="f">
                <v:path arrowok="t" o:connecttype="custom" o:connectlocs="0,263;17,181;51,115;34,0" o:connectangles="0,0,0,0"/>
              </v:shape>
              <v:line id="Line 10788" o:spid="_x0000_s1520" style="position:absolute;visibility:visible" from="5718,3654" to="5718,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" strokeweight=".5pt">
                <v:stroke startarrow="open"/>
              </v:line>
              <v:line id="Line 10789" o:spid="_x0000_s1521" style="position:absolute;flip:y;visibility:visible" from="5718,2568" to="5718,3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" strokeweight=".5pt">
                <v:stroke startarrow="open" endarrow="open"/>
              </v:line>
              <v:line id="Line 10790" o:spid="_x0000_s1522" style="position:absolute;visibility:visible" from="4612,2041" to="4612,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" strokeweight=".5pt">
                <v:stroke endarrow="open"/>
              </v:line>
              <v:line id="Line 10791" o:spid="_x0000_s1523" style="position:absolute;visibility:visible" from="4612,2584" to="4612,2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" strokeweight=".5pt"/>
              <v:line id="Line 10792" o:spid="_x0000_s1524" style="position:absolute;visibility:visible" from="4612,2782" to="4612,3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" strokeweight=".5pt">
                <v:stroke startarrow="open"/>
              </v:line>
              <v:line id="Line 10793" o:spid="_x0000_s1525" style="position:absolute;flip:y;visibility:visible" from="5063,3089" to="5063,4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">
                <v:stroke endarrow="open"/>
              </v:line>
              <v:line id="Line 10794" o:spid="_x0000_s1526" style="position:absolute;visibility:visible" from="4893,3089" to="5539,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" strokeweight=".5pt">
                <v:stroke dashstyle="dashDot"/>
              </v:line>
              <v:shape id="Text Box 10795" o:spid="_x0000_s1527" type="#_x0000_t202" style="position:absolute;left:4994;top:3692;width:525;height:5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" filled="f" stroked="f">
                <v:textbox style="mso-fit-shape-to-text:t">
                  <w:txbxContent>
                    <w:p w14:paraId="2C6EDD96" w14:textId="77777777" w:rsidR="003B0864" w:rsidRPr="00207960" w:rsidRDefault="003B0864" w:rsidP="008103A2">
                      <w:pPr>
                        <w:rPr>
                          <w:rFonts w:ascii="Cambria Math" w:hAnsi="Cambria Math"/>
                        </w:rPr>
                      </w:pPr>
                      <w:r w:rsidRPr="00F75F11">
                        <w:rPr>
                          <w:rFonts w:ascii="Cambria Math" w:hAnsi="Cambria Math"/>
                          <w:sz w:val="20"/>
                          <w:szCs w:val="20"/>
                        </w:rPr>
                        <w:t>𝑅</w:t>
                      </w:r>
                      <w:r w:rsidRPr="00F75F11">
                        <w:rPr>
                          <w:rFonts w:ascii="Cambria Math" w:hAnsi="Cambria Math"/>
                          <w:position w:val="-2"/>
                          <w:sz w:val="20"/>
                          <w:szCs w:val="20"/>
                          <w:vertAlign w:val="subscript"/>
                        </w:rPr>
                        <w:t>𝑚</w:t>
                      </w:r>
                    </w:p>
                  </w:txbxContent>
                </v:textbox>
              </v:shape>
              <v:line id="Line 10796" o:spid="_x0000_s1528" style="position:absolute;flip:x;visibility:visible" from="2273,3646" to="4927,3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"/>
              <v:shape id="Text Box 10797" o:spid="_x0000_s1529" type="#_x0000_t202" style="position:absolute;left:6743;top:2065;width:3456;height:19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">
                <v:textbox>
                  <w:txbxContent>
                    <w:p w14:paraId="54569AA7" w14:textId="77777777" w:rsidR="003B0864" w:rsidRPr="00B1550C" w:rsidRDefault="003B0864" w:rsidP="008103A2">
                      <w:pPr>
                        <w:tabs>
                          <w:tab w:val="left" w:pos="567"/>
                        </w:tabs>
                        <w:rPr>
                          <w:sz w:val="20"/>
                          <w:szCs w:val="20"/>
                        </w:rPr>
                      </w:pPr>
                      <w:r>
                        <w:rPr>
                          <w:rFonts w:ascii="Cambria Math" w:hAnsi="Cambria Math"/>
                          <w:sz w:val="20"/>
                          <w:szCs w:val="20"/>
                        </w:rPr>
                        <w:t>𝐶</w:t>
                      </w:r>
                      <w:r w:rsidRPr="00F75F11">
                        <w:rPr>
                          <w:rFonts w:ascii="Cambria Math" w:hAnsi="Cambria Math"/>
                          <w:position w:val="-2"/>
                          <w:sz w:val="20"/>
                          <w:szCs w:val="20"/>
                          <w:vertAlign w:val="subscript"/>
                        </w:rPr>
                        <w:t>𝑂𝐷</w:t>
                      </w:r>
                      <w:r w:rsidRPr="00B1550C">
                        <w:rPr>
                          <w:rFonts w:hint="eastAsia"/>
                          <w:sz w:val="20"/>
                          <w:szCs w:val="20"/>
                        </w:rPr>
                        <w:t xml:space="preserve"> </w:t>
                      </w:r>
                      <w:r>
                        <w:rPr>
                          <w:sz w:val="20"/>
                          <w:szCs w:val="20"/>
                        </w:rPr>
                        <w:tab/>
                      </w:r>
                      <w:r w:rsidRPr="00B1550C">
                        <w:rPr>
                          <w:rFonts w:hint="eastAsia"/>
                          <w:sz w:val="20"/>
                          <w:szCs w:val="20"/>
                        </w:rPr>
                        <w:t xml:space="preserve">: </w:t>
                      </w:r>
                      <w:r w:rsidRPr="00B1550C">
                        <w:rPr>
                          <w:rFonts w:hint="eastAsia"/>
                          <w:sz w:val="20"/>
                          <w:szCs w:val="20"/>
                        </w:rPr>
                        <w:t>補修後のくぼみ径</w:t>
                      </w:r>
                      <w:r>
                        <w:rPr>
                          <w:rFonts w:hint="eastAsia"/>
                          <w:sz w:val="20"/>
                          <w:szCs w:val="20"/>
                        </w:rPr>
                        <w:t>(mm)</w:t>
                      </w:r>
                    </w:p>
                    <w:p w14:paraId="1977E83D" w14:textId="77777777" w:rsidR="003B0864" w:rsidRPr="00B1550C" w:rsidRDefault="003B0864" w:rsidP="008103A2">
                      <w:pPr>
                        <w:tabs>
                          <w:tab w:val="left" w:pos="567"/>
                        </w:tabs>
                        <w:rPr>
                          <w:sz w:val="20"/>
                          <w:szCs w:val="20"/>
                        </w:rPr>
                      </w:pPr>
                      <w:r>
                        <w:rPr>
                          <w:rFonts w:ascii="Cambria Math" w:hAnsi="Cambria Math"/>
                          <w:sz w:val="20"/>
                          <w:szCs w:val="20"/>
                        </w:rPr>
                        <w:t>𝐶</w:t>
                      </w:r>
                      <w:r>
                        <w:rPr>
                          <w:rFonts w:ascii="Cambria Math" w:hAnsi="Cambria Math" w:hint="eastAsia"/>
                          <w:sz w:val="20"/>
                          <w:szCs w:val="20"/>
                          <w:vertAlign w:val="subscript"/>
                        </w:rPr>
                        <w:t>depth</w:t>
                      </w:r>
                      <w:r w:rsidRPr="00B1550C">
                        <w:rPr>
                          <w:rFonts w:hint="eastAsia"/>
                          <w:sz w:val="20"/>
                          <w:szCs w:val="20"/>
                        </w:rPr>
                        <w:t xml:space="preserve"> </w:t>
                      </w:r>
                      <w:r>
                        <w:rPr>
                          <w:sz w:val="20"/>
                          <w:szCs w:val="20"/>
                        </w:rPr>
                        <w:tab/>
                      </w:r>
                      <w:r w:rsidRPr="00B1550C">
                        <w:rPr>
                          <w:rFonts w:hint="eastAsia"/>
                          <w:sz w:val="20"/>
                          <w:szCs w:val="20"/>
                        </w:rPr>
                        <w:t xml:space="preserve">: </w:t>
                      </w:r>
                      <w:r w:rsidRPr="00B1550C">
                        <w:rPr>
                          <w:rFonts w:hint="eastAsia"/>
                          <w:sz w:val="20"/>
                          <w:szCs w:val="20"/>
                        </w:rPr>
                        <w:t>補修後のくぼみ深さ</w:t>
                      </w:r>
                      <w:r>
                        <w:rPr>
                          <w:rFonts w:hint="eastAsia"/>
                          <w:sz w:val="20"/>
                          <w:szCs w:val="20"/>
                        </w:rPr>
                        <w:t>(mm)</w:t>
                      </w:r>
                    </w:p>
                    <w:p w14:paraId="28153165" w14:textId="77777777" w:rsidR="003B0864" w:rsidRPr="00B1550C" w:rsidRDefault="003B0864" w:rsidP="008103A2">
                      <w:pPr>
                        <w:tabs>
                          <w:tab w:val="left" w:pos="567"/>
                        </w:tabs>
                        <w:rPr>
                          <w:sz w:val="20"/>
                          <w:szCs w:val="20"/>
                        </w:rPr>
                      </w:pPr>
                      <w:r w:rsidRPr="00F75F11">
                        <w:rPr>
                          <w:rFonts w:ascii="Cambria Math" w:hAnsi="Cambria Math"/>
                          <w:sz w:val="20"/>
                          <w:szCs w:val="20"/>
                        </w:rPr>
                        <w:t>𝑅</w:t>
                      </w:r>
                      <w:r w:rsidRPr="00F75F11">
                        <w:rPr>
                          <w:rFonts w:ascii="Cambria Math" w:hAnsi="Cambria Math"/>
                          <w:position w:val="-2"/>
                          <w:sz w:val="20"/>
                          <w:szCs w:val="20"/>
                          <w:vertAlign w:val="subscript"/>
                        </w:rPr>
                        <w:t>𝑚</w:t>
                      </w:r>
                      <w:r w:rsidRPr="00B1550C">
                        <w:rPr>
                          <w:rFonts w:hint="eastAsia"/>
                          <w:sz w:val="20"/>
                          <w:szCs w:val="20"/>
                        </w:rPr>
                        <w:t xml:space="preserve"> </w:t>
                      </w:r>
                      <w:r>
                        <w:rPr>
                          <w:sz w:val="20"/>
                          <w:szCs w:val="20"/>
                        </w:rPr>
                        <w:tab/>
                      </w:r>
                      <w:r w:rsidRPr="00B1550C">
                        <w:rPr>
                          <w:rFonts w:hint="eastAsia"/>
                          <w:sz w:val="20"/>
                          <w:szCs w:val="20"/>
                        </w:rPr>
                        <w:t xml:space="preserve">: </w:t>
                      </w:r>
                      <w:r w:rsidRPr="00B1550C">
                        <w:rPr>
                          <w:rFonts w:hint="eastAsia"/>
                          <w:sz w:val="20"/>
                          <w:szCs w:val="20"/>
                        </w:rPr>
                        <w:t>平均半径</w:t>
                      </w:r>
                      <w:r w:rsidRPr="00F75F11">
                        <w:rPr>
                          <w:rFonts w:ascii="Cambria Math" w:hAnsi="Cambria Math"/>
                          <w:sz w:val="20"/>
                          <w:szCs w:val="20"/>
                        </w:rPr>
                        <w:t>=𝑅</w:t>
                      </w:r>
                      <w:r w:rsidRPr="00207960">
                        <w:rPr>
                          <w:rFonts w:ascii="Cambria Math" w:hAnsi="Cambria Math" w:hint="eastAsia"/>
                          <w:i/>
                          <w:sz w:val="20"/>
                          <w:szCs w:val="20"/>
                        </w:rPr>
                        <w:t xml:space="preserve"> </w:t>
                      </w:r>
                      <w:r>
                        <w:rPr>
                          <w:rFonts w:ascii="Cambria Math" w:hAnsi="Cambria Math"/>
                          <w:sz w:val="20"/>
                          <w:szCs w:val="20"/>
                        </w:rPr>
                        <w:t>+𝑡</w:t>
                      </w:r>
                      <w:r w:rsidRPr="00207960">
                        <w:rPr>
                          <w:rFonts w:ascii="Cambria Math" w:hAnsi="Cambria Math"/>
                          <w:sz w:val="20"/>
                          <w:szCs w:val="20"/>
                        </w:rPr>
                        <w:t>/2</w:t>
                      </w:r>
                      <w:r w:rsidRPr="00207960">
                        <w:rPr>
                          <w:rFonts w:ascii="Cambria Math" w:hAnsi="Cambria Math" w:hint="eastAsia"/>
                          <w:sz w:val="20"/>
                          <w:szCs w:val="20"/>
                        </w:rPr>
                        <w:t>(mm)</w:t>
                      </w:r>
                    </w:p>
                    <w:p w14:paraId="5014C33C" w14:textId="77777777" w:rsidR="003B0864" w:rsidRPr="00B1550C" w:rsidRDefault="003B0864" w:rsidP="008103A2">
                      <w:pPr>
                        <w:tabs>
                          <w:tab w:val="left" w:pos="567"/>
                        </w:tabs>
                        <w:rPr>
                          <w:sz w:val="20"/>
                          <w:szCs w:val="20"/>
                        </w:rPr>
                      </w:pPr>
                      <w:r w:rsidRPr="00F75F11">
                        <w:rPr>
                          <w:rFonts w:ascii="Cambria Math" w:hAnsi="Cambria Math"/>
                          <w:sz w:val="20"/>
                          <w:szCs w:val="20"/>
                        </w:rPr>
                        <w:t>𝑡</w:t>
                      </w:r>
                      <w:r w:rsidRPr="00207960">
                        <w:rPr>
                          <w:rFonts w:ascii="Cambria Math" w:hAnsi="Cambria Math"/>
                          <w:sz w:val="20"/>
                          <w:szCs w:val="20"/>
                        </w:rPr>
                        <w:t xml:space="preserve"> </w:t>
                      </w:r>
                      <w:r w:rsidRPr="00207960">
                        <w:rPr>
                          <w:rFonts w:ascii="Cambria Math" w:hAnsi="Cambria Math" w:hint="eastAsia"/>
                          <w:sz w:val="20"/>
                          <w:szCs w:val="20"/>
                        </w:rPr>
                        <w:tab/>
                      </w:r>
                      <w:r w:rsidRPr="00B1550C">
                        <w:rPr>
                          <w:rFonts w:hint="eastAsia"/>
                          <w:sz w:val="20"/>
                          <w:szCs w:val="20"/>
                        </w:rPr>
                        <w:t xml:space="preserve">: </w:t>
                      </w:r>
                      <w:r w:rsidRPr="00B1550C">
                        <w:rPr>
                          <w:rFonts w:hint="eastAsia"/>
                          <w:sz w:val="20"/>
                          <w:szCs w:val="20"/>
                        </w:rPr>
                        <w:t>板の厚さ</w:t>
                      </w:r>
                      <w:r>
                        <w:rPr>
                          <w:rFonts w:hint="eastAsia"/>
                          <w:sz w:val="20"/>
                          <w:szCs w:val="20"/>
                        </w:rPr>
                        <w:t>(mm)</w:t>
                      </w:r>
                    </w:p>
                    <w:p w14:paraId="4792C2F1" w14:textId="77777777" w:rsidR="003B0864" w:rsidRPr="00B1550C" w:rsidRDefault="003B0864" w:rsidP="008103A2">
                      <w:pPr>
                        <w:tabs>
                          <w:tab w:val="left" w:pos="567"/>
                        </w:tabs>
                        <w:rPr>
                          <w:sz w:val="20"/>
                          <w:szCs w:val="20"/>
                        </w:rPr>
                      </w:pPr>
                      <w:r w:rsidRPr="00207960">
                        <w:rPr>
                          <w:rFonts w:ascii="Cambria Math" w:hAnsi="Cambria Math"/>
                          <w:i/>
                          <w:sz w:val="20"/>
                          <w:szCs w:val="20"/>
                        </w:rPr>
                        <w:t>R</w:t>
                      </w:r>
                      <w:r w:rsidRPr="00207960">
                        <w:rPr>
                          <w:rFonts w:ascii="Cambria Math" w:hAnsi="Cambria Math"/>
                          <w:sz w:val="20"/>
                          <w:szCs w:val="20"/>
                        </w:rPr>
                        <w:t xml:space="preserve"> </w:t>
                      </w:r>
                      <w:r w:rsidRPr="00207960">
                        <w:rPr>
                          <w:rFonts w:ascii="Cambria Math" w:hAnsi="Cambria Math" w:hint="eastAsia"/>
                          <w:sz w:val="20"/>
                          <w:szCs w:val="20"/>
                        </w:rPr>
                        <w:tab/>
                      </w:r>
                      <w:r w:rsidRPr="00B1550C">
                        <w:rPr>
                          <w:rFonts w:hint="eastAsia"/>
                          <w:sz w:val="20"/>
                          <w:szCs w:val="20"/>
                        </w:rPr>
                        <w:t xml:space="preserve">: </w:t>
                      </w:r>
                      <w:r w:rsidRPr="00B1550C">
                        <w:rPr>
                          <w:rFonts w:hint="eastAsia"/>
                          <w:sz w:val="20"/>
                          <w:szCs w:val="20"/>
                        </w:rPr>
                        <w:t>内半径</w:t>
                      </w:r>
                      <w:r>
                        <w:rPr>
                          <w:rFonts w:hint="eastAsia"/>
                          <w:sz w:val="20"/>
                          <w:szCs w:val="20"/>
                        </w:rPr>
                        <w:t>(mm)</w:t>
                      </w:r>
                    </w:p>
                  </w:txbxContent>
                </v:textbox>
              </v:shape>
            </v:group>
            <w10:anchorlock/>
          </v:group>
        </w:pict>
      </w:r>
    </w:p>
    <w:p w14:paraId="3991311D" w14:textId="77777777" w:rsidR="00AB0001" w:rsidRPr="00BC31E0" w:rsidRDefault="00AB0001" w:rsidP="00AB0001"/>
    <w:p w14:paraId="12160153" w14:textId="77777777" w:rsidR="008103A2" w:rsidRPr="00BC31E0" w:rsidRDefault="008103A2" w:rsidP="00736130">
      <w:pPr>
        <w:pStyle w:val="a4"/>
        <w:numPr>
          <w:ilvl w:val="0"/>
          <w:numId w:val="543"/>
        </w:numPr>
        <w:ind w:leftChars="0" w:left="454" w:hanging="454"/>
        <w:rPr>
          <w:rFonts w:ascii="ＭＳ 明朝" w:hAnsi="ＭＳ 明朝"/>
        </w:rPr>
      </w:pPr>
      <w:r w:rsidRPr="00BC31E0">
        <w:rPr>
          <w:rFonts w:asciiTheme="majorEastAsia" w:eastAsiaTheme="majorEastAsia" w:hAnsiTheme="majorEastAsia" w:hint="eastAsia"/>
          <w:b/>
        </w:rPr>
        <w:t>溶接補修に関する一般的要求</w:t>
      </w:r>
      <w:r w:rsidRPr="00BC31E0">
        <w:rPr>
          <w:rFonts w:hint="eastAsia"/>
        </w:rPr>
        <w:t xml:space="preserve">　</w:t>
      </w:r>
      <w:r w:rsidRPr="00BC31E0">
        <w:rPr>
          <w:rFonts w:ascii="ＭＳ 明朝" w:hAnsi="ＭＳ 明朝" w:hint="eastAsia"/>
        </w:rPr>
        <w:t>溶接が</w:t>
      </w:r>
      <w:r w:rsidRPr="00BC31E0">
        <w:rPr>
          <w:rFonts w:asciiTheme="majorEastAsia" w:eastAsiaTheme="majorEastAsia" w:hAnsiTheme="majorEastAsia" w:hint="eastAsia"/>
          <w:b/>
        </w:rPr>
        <w:t>5</w:t>
      </w:r>
      <w:r w:rsidRPr="00BC31E0">
        <w:rPr>
          <w:rFonts w:ascii="ＭＳ 明朝" w:hAnsi="ＭＳ 明朝" w:hint="eastAsia"/>
        </w:rPr>
        <w:t>にて禁止，又は</w:t>
      </w:r>
      <w:r w:rsidRPr="00BC31E0">
        <w:rPr>
          <w:rFonts w:asciiTheme="majorEastAsia" w:eastAsiaTheme="majorEastAsia" w:hAnsiTheme="majorEastAsia" w:hint="eastAsia"/>
          <w:b/>
        </w:rPr>
        <w:t>7.7</w:t>
      </w:r>
      <w:r w:rsidRPr="00BC31E0">
        <w:rPr>
          <w:rFonts w:ascii="ＭＳ 明朝" w:hAnsi="ＭＳ 明朝" w:hint="eastAsia"/>
        </w:rPr>
        <w:t>にて制限されている材料を除き，材料製造者は欠陥除去後に次の</w:t>
      </w:r>
      <w:r w:rsidRPr="00BC31E0">
        <w:rPr>
          <w:rFonts w:asciiTheme="majorEastAsia" w:eastAsiaTheme="majorEastAsia" w:hAnsiTheme="majorEastAsia" w:hint="eastAsia"/>
          <w:b/>
        </w:rPr>
        <w:t>1)</w:t>
      </w:r>
      <w:r w:rsidRPr="00BC31E0">
        <w:rPr>
          <w:rFonts w:ascii="ＭＳ 明朝" w:hAnsi="ＭＳ 明朝" w:hint="eastAsia"/>
        </w:rPr>
        <w:t>～</w:t>
      </w:r>
      <w:r w:rsidRPr="00BC31E0">
        <w:rPr>
          <w:rFonts w:asciiTheme="majorEastAsia" w:eastAsiaTheme="majorEastAsia" w:hAnsiTheme="majorEastAsia" w:hint="eastAsia"/>
          <w:b/>
        </w:rPr>
        <w:t>5)</w:t>
      </w:r>
      <w:r w:rsidRPr="00BC31E0">
        <w:rPr>
          <w:rFonts w:ascii="ＭＳ 明朝" w:hAnsi="ＭＳ 明朝" w:hint="eastAsia"/>
        </w:rPr>
        <w:t>により材料を溶接補修する。補修するくぼみ深さの許容値は製品</w:t>
      </w:r>
      <w:r w:rsidR="00A82C2A" w:rsidRPr="00BC31E0">
        <w:rPr>
          <w:rFonts w:ascii="ＭＳ 明朝" w:hAnsi="ＭＳ 明朝" w:hint="eastAsia"/>
        </w:rPr>
        <w:t>ごと</w:t>
      </w:r>
      <w:r w:rsidRPr="00BC31E0">
        <w:rPr>
          <w:rFonts w:ascii="ＭＳ 明朝" w:hAnsi="ＭＳ 明朝" w:hint="eastAsia"/>
        </w:rPr>
        <w:t>に</w:t>
      </w:r>
      <w:r w:rsidRPr="00BC31E0">
        <w:rPr>
          <w:rFonts w:asciiTheme="majorEastAsia" w:eastAsiaTheme="majorEastAsia" w:hAnsiTheme="majorEastAsia" w:hint="eastAsia"/>
          <w:b/>
        </w:rPr>
        <w:t>9.2.4</w:t>
      </w:r>
      <w:r w:rsidRPr="00BC31E0">
        <w:rPr>
          <w:rFonts w:ascii="ＭＳ 明朝" w:hAnsi="ＭＳ 明朝" w:hint="eastAsia"/>
        </w:rPr>
        <w:t>～</w:t>
      </w:r>
      <w:r w:rsidRPr="00BC31E0">
        <w:rPr>
          <w:rFonts w:asciiTheme="majorEastAsia" w:eastAsiaTheme="majorEastAsia" w:hAnsiTheme="majorEastAsia" w:hint="eastAsia"/>
          <w:b/>
        </w:rPr>
        <w:t>9.2.8</w:t>
      </w:r>
      <w:r w:rsidRPr="00BC31E0">
        <w:rPr>
          <w:rFonts w:ascii="ＭＳ 明朝" w:hAnsi="ＭＳ 明朝" w:hint="eastAsia"/>
        </w:rPr>
        <w:t>で規定する。補修溶接前に容器製作者又は容器購入者の事前承認を得なければならない。</w:t>
      </w:r>
    </w:p>
    <w:p w14:paraId="713D942F" w14:textId="77777777" w:rsidR="00AB0001" w:rsidRPr="00BC31E0" w:rsidRDefault="008103A2" w:rsidP="00736130">
      <w:pPr>
        <w:pStyle w:val="a4"/>
        <w:numPr>
          <w:ilvl w:val="0"/>
          <w:numId w:val="544"/>
        </w:numPr>
        <w:ind w:leftChars="0" w:left="738" w:hanging="454"/>
        <w:rPr>
          <w:rFonts w:ascii="ＭＳ 明朝" w:hAnsi="ＭＳ 明朝"/>
        </w:rPr>
      </w:pPr>
      <w:r w:rsidRPr="00BC31E0">
        <w:rPr>
          <w:rFonts w:asciiTheme="majorEastAsia" w:eastAsiaTheme="majorEastAsia" w:hAnsiTheme="majorEastAsia" w:hint="eastAsia"/>
          <w:b/>
        </w:rPr>
        <w:t>欠陥除去</w:t>
      </w:r>
      <w:r w:rsidRPr="00BC31E0">
        <w:rPr>
          <w:rFonts w:hint="eastAsia"/>
        </w:rPr>
        <w:t xml:space="preserve">　</w:t>
      </w:r>
      <w:r w:rsidRPr="00BC31E0">
        <w:rPr>
          <w:rFonts w:ascii="ＭＳ 明朝" w:hAnsi="ＭＳ 明朝" w:hint="eastAsia"/>
        </w:rPr>
        <w:t>欠陥は，適切な機械加工，熱的切断又はガウジングにより除去する。熱的切</w:t>
      </w:r>
      <w:r w:rsidR="00FE114C" w:rsidRPr="00BC31E0">
        <w:rPr>
          <w:rFonts w:ascii="ＭＳ 明朝" w:hAnsi="ＭＳ 明朝" w:hint="eastAsia"/>
        </w:rPr>
        <w:lastRenderedPageBreak/>
        <w:t>断後，全てのスラグと有害な変色部はグラインダー</w:t>
      </w:r>
      <w:r w:rsidR="00FE114C" w:rsidRPr="00BC31E0">
        <w:rPr>
          <w:rFonts w:hint="eastAsia"/>
        </w:rPr>
        <w:t>など</w:t>
      </w:r>
      <w:r w:rsidRPr="00BC31E0">
        <w:rPr>
          <w:rFonts w:ascii="ＭＳ 明朝" w:hAnsi="ＭＳ 明朝" w:hint="eastAsia"/>
        </w:rPr>
        <w:t>の機械加工により除去する。熱的切断を使用する場合，機械的性質の影響を考慮する。溶接補修される表面は，均一で滑らかな面にする。欠陥除去後のくぼみは，</w:t>
      </w:r>
      <w:r w:rsidRPr="00BC31E0">
        <w:rPr>
          <w:rFonts w:asciiTheme="majorEastAsia" w:eastAsiaTheme="majorEastAsia" w:hAnsiTheme="majorEastAsia" w:hint="eastAsia"/>
          <w:b/>
        </w:rPr>
        <w:t>9.2.5 d)</w:t>
      </w:r>
      <w:r w:rsidRPr="00BC31E0">
        <w:rPr>
          <w:rFonts w:ascii="ＭＳ 明朝" w:hAnsi="ＭＳ 明朝" w:hint="eastAsia"/>
        </w:rPr>
        <w:t>に従って浸透探傷試験又は磁粉探傷試験により検査する。</w:t>
      </w:r>
    </w:p>
    <w:p w14:paraId="626AB068" w14:textId="77777777" w:rsidR="00AB0001" w:rsidRPr="00BC31E0" w:rsidRDefault="008103A2" w:rsidP="00736130">
      <w:pPr>
        <w:pStyle w:val="a4"/>
        <w:numPr>
          <w:ilvl w:val="0"/>
          <w:numId w:val="544"/>
        </w:numPr>
        <w:ind w:leftChars="0" w:left="738" w:hanging="454"/>
        <w:rPr>
          <w:rFonts w:ascii="ＭＳ 明朝" w:hAnsi="ＭＳ 明朝"/>
        </w:rPr>
      </w:pPr>
      <w:r w:rsidRPr="00BC31E0">
        <w:rPr>
          <w:rFonts w:asciiTheme="majorEastAsia" w:eastAsiaTheme="majorEastAsia" w:hAnsiTheme="majorEastAsia" w:hint="eastAsia"/>
          <w:b/>
        </w:rPr>
        <w:t>溶接施工方法と溶接士の認定</w:t>
      </w:r>
      <w:r w:rsidRPr="00BC31E0">
        <w:rPr>
          <w:rFonts w:hint="eastAsia"/>
        </w:rPr>
        <w:t xml:space="preserve">　</w:t>
      </w:r>
      <w:r w:rsidRPr="00BC31E0">
        <w:rPr>
          <w:rFonts w:ascii="ＭＳ 明朝" w:hAnsi="ＭＳ 明朝" w:hint="eastAsia"/>
        </w:rPr>
        <w:t>溶接施工方法と溶接士又は溶接機のオペレータは</w:t>
      </w:r>
      <w:r w:rsidRPr="00BC31E0">
        <w:rPr>
          <w:rFonts w:asciiTheme="majorEastAsia" w:eastAsiaTheme="majorEastAsia" w:hAnsiTheme="majorEastAsia" w:hint="eastAsia"/>
          <w:b/>
        </w:rPr>
        <w:t>7.2</w:t>
      </w:r>
      <w:r w:rsidRPr="00BC31E0">
        <w:rPr>
          <w:rFonts w:ascii="ＭＳ 明朝" w:hAnsi="ＭＳ 明朝" w:hint="eastAsia"/>
        </w:rPr>
        <w:t>の要求事項に従って認定されなければならない。</w:t>
      </w:r>
    </w:p>
    <w:p w14:paraId="31FE5DD3" w14:textId="77777777" w:rsidR="00AB0001" w:rsidRPr="00BC31E0" w:rsidRDefault="008103A2" w:rsidP="00736130">
      <w:pPr>
        <w:pStyle w:val="a4"/>
        <w:numPr>
          <w:ilvl w:val="0"/>
          <w:numId w:val="544"/>
        </w:numPr>
        <w:ind w:leftChars="0" w:left="738" w:hanging="454"/>
        <w:rPr>
          <w:rFonts w:ascii="ＭＳ 明朝" w:hAnsi="ＭＳ 明朝"/>
        </w:rPr>
      </w:pPr>
      <w:r w:rsidRPr="00BC31E0">
        <w:rPr>
          <w:rFonts w:asciiTheme="majorEastAsia" w:eastAsiaTheme="majorEastAsia" w:hAnsiTheme="majorEastAsia" w:hint="eastAsia"/>
          <w:b/>
        </w:rPr>
        <w:t>補修部分の表面仕上げ</w:t>
      </w:r>
      <w:r w:rsidRPr="00BC31E0">
        <w:rPr>
          <w:rFonts w:hint="eastAsia"/>
        </w:rPr>
        <w:t xml:space="preserve">　</w:t>
      </w:r>
      <w:r w:rsidRPr="00BC31E0">
        <w:rPr>
          <w:rFonts w:ascii="ＭＳ 明朝" w:hAnsi="ＭＳ 明朝" w:hint="eastAsia"/>
        </w:rPr>
        <w:t>補修後，表面は補修面の周りと均一になるように仕上げる。</w:t>
      </w:r>
    </w:p>
    <w:p w14:paraId="06622B8B" w14:textId="77777777" w:rsidR="00AB0001" w:rsidRPr="00BC31E0" w:rsidRDefault="008103A2" w:rsidP="00736130">
      <w:pPr>
        <w:pStyle w:val="a4"/>
        <w:numPr>
          <w:ilvl w:val="0"/>
          <w:numId w:val="544"/>
        </w:numPr>
        <w:ind w:leftChars="0" w:left="738" w:hanging="454"/>
        <w:rPr>
          <w:rFonts w:ascii="ＭＳ 明朝" w:hAnsi="ＭＳ 明朝"/>
        </w:rPr>
      </w:pPr>
      <w:r w:rsidRPr="00BC31E0">
        <w:rPr>
          <w:rFonts w:asciiTheme="majorEastAsia" w:eastAsiaTheme="majorEastAsia" w:hAnsiTheme="majorEastAsia" w:hint="eastAsia"/>
          <w:b/>
        </w:rPr>
        <w:t>補修溶接部の試験</w:t>
      </w:r>
      <w:r w:rsidRPr="00BC31E0">
        <w:rPr>
          <w:rFonts w:hint="eastAsia"/>
        </w:rPr>
        <w:t xml:space="preserve">　</w:t>
      </w:r>
      <w:r w:rsidRPr="00BC31E0">
        <w:rPr>
          <w:rFonts w:ascii="ＭＳ 明朝" w:hAnsi="ＭＳ 明朝" w:hint="eastAsia"/>
        </w:rPr>
        <w:t>各補修溶接部は，</w:t>
      </w:r>
      <w:r w:rsidRPr="00BC31E0">
        <w:rPr>
          <w:rFonts w:asciiTheme="majorEastAsia" w:eastAsiaTheme="majorEastAsia" w:hAnsiTheme="majorEastAsia" w:hint="eastAsia"/>
          <w:b/>
        </w:rPr>
        <w:t>9.2.5 d)</w:t>
      </w:r>
      <w:r w:rsidRPr="00BC31E0">
        <w:rPr>
          <w:rFonts w:ascii="ＭＳ 明朝" w:hAnsi="ＭＳ 明朝" w:hint="eastAsia"/>
        </w:rPr>
        <w:t>に従って磁粉探傷試験又は浸透探傷試験により検査する。更に，欠陥除去後のくぼみ深さが</w:t>
      </w:r>
      <w:r w:rsidRPr="00BC31E0">
        <w:t>10 mm</w:t>
      </w:r>
      <w:r w:rsidRPr="00BC31E0">
        <w:rPr>
          <w:rFonts w:ascii="ＭＳ 明朝" w:hAnsi="ＭＳ 明朝" w:hint="eastAsia"/>
        </w:rPr>
        <w:t>又はその部分における厚さの</w:t>
      </w:r>
      <w:r w:rsidRPr="00BC31E0">
        <w:t>10%</w:t>
      </w:r>
      <w:r w:rsidRPr="00BC31E0">
        <w:rPr>
          <w:rFonts w:ascii="ＭＳ 明朝" w:hAnsi="ＭＳ 明朝" w:hint="eastAsia"/>
        </w:rPr>
        <w:t>のどちらか小さい方の値を超える場合，溶接補修部は</w:t>
      </w:r>
      <w:r w:rsidRPr="00BC31E0">
        <w:rPr>
          <w:rFonts w:asciiTheme="majorEastAsia" w:eastAsiaTheme="majorEastAsia" w:hAnsiTheme="majorEastAsia" w:hint="eastAsia"/>
          <w:b/>
        </w:rPr>
        <w:t>9.1</w:t>
      </w:r>
      <w:r w:rsidRPr="00BC31E0">
        <w:rPr>
          <w:rFonts w:ascii="ＭＳ 明朝" w:hAnsi="ＭＳ 明朝" w:hint="eastAsia"/>
        </w:rPr>
        <w:t>に従って超音波探傷試験により検査し，判定基準は</w:t>
      </w:r>
      <w:r w:rsidRPr="00BC31E0">
        <w:rPr>
          <w:rFonts w:asciiTheme="majorEastAsia" w:eastAsiaTheme="majorEastAsia" w:hAnsiTheme="majorEastAsia" w:hint="eastAsia"/>
          <w:b/>
        </w:rPr>
        <w:t>9.3.6 c)</w:t>
      </w:r>
      <w:r w:rsidRPr="00BC31E0">
        <w:rPr>
          <w:rFonts w:ascii="ＭＳ 明朝" w:hAnsi="ＭＳ 明朝" w:hint="eastAsia"/>
        </w:rPr>
        <w:t>に従う。</w:t>
      </w:r>
    </w:p>
    <w:p w14:paraId="7F2D1656" w14:textId="77777777" w:rsidR="008103A2" w:rsidRPr="00BC31E0" w:rsidRDefault="008103A2" w:rsidP="00736130">
      <w:pPr>
        <w:pStyle w:val="a4"/>
        <w:numPr>
          <w:ilvl w:val="0"/>
          <w:numId w:val="544"/>
        </w:numPr>
        <w:ind w:leftChars="0" w:left="738" w:hanging="454"/>
        <w:rPr>
          <w:rFonts w:ascii="ＭＳ 明朝" w:hAnsi="ＭＳ 明朝"/>
        </w:rPr>
      </w:pPr>
      <w:r w:rsidRPr="00BC31E0">
        <w:rPr>
          <w:rFonts w:asciiTheme="majorEastAsia" w:eastAsiaTheme="majorEastAsia" w:hAnsiTheme="majorEastAsia" w:hint="eastAsia"/>
          <w:b/>
        </w:rPr>
        <w:t>溶接補修後の熱処理</w:t>
      </w:r>
      <w:r w:rsidRPr="00BC31E0">
        <w:rPr>
          <w:rFonts w:hint="eastAsia"/>
        </w:rPr>
        <w:t xml:space="preserve">　</w:t>
      </w:r>
      <w:r w:rsidRPr="00BC31E0">
        <w:rPr>
          <w:rFonts w:ascii="ＭＳ 明朝" w:hAnsi="ＭＳ 明朝" w:hint="eastAsia"/>
        </w:rPr>
        <w:t>補修後は</w:t>
      </w:r>
      <w:r w:rsidRPr="00BC31E0">
        <w:rPr>
          <w:rFonts w:asciiTheme="majorEastAsia" w:eastAsiaTheme="majorEastAsia" w:hAnsiTheme="majorEastAsia" w:hint="eastAsia"/>
          <w:b/>
        </w:rPr>
        <w:t>7.4</w:t>
      </w:r>
      <w:r w:rsidR="00096FF9" w:rsidRPr="00BC31E0">
        <w:rPr>
          <w:rFonts w:ascii="ＭＳ 明朝" w:hAnsi="ＭＳ 明朝" w:hint="eastAsia"/>
        </w:rPr>
        <w:t>の要求事項に従って</w:t>
      </w:r>
      <w:r w:rsidRPr="00BC31E0">
        <w:rPr>
          <w:rFonts w:ascii="ＭＳ 明朝" w:hAnsi="ＭＳ 明朝" w:hint="eastAsia"/>
        </w:rPr>
        <w:t>熱処理を行う。</w:t>
      </w:r>
    </w:p>
    <w:p w14:paraId="7FBECCD6" w14:textId="77777777" w:rsidR="008103A2" w:rsidRPr="00BC31E0" w:rsidRDefault="008103A2" w:rsidP="00736130">
      <w:pPr>
        <w:pStyle w:val="a4"/>
        <w:numPr>
          <w:ilvl w:val="0"/>
          <w:numId w:val="545"/>
        </w:numPr>
        <w:ind w:leftChars="0" w:left="454" w:hanging="454"/>
        <w:rPr>
          <w:rFonts w:ascii="ＭＳ 明朝" w:hAnsi="ＭＳ 明朝"/>
        </w:rPr>
      </w:pPr>
      <w:r w:rsidRPr="00BC31E0">
        <w:rPr>
          <w:rFonts w:asciiTheme="majorEastAsia" w:eastAsiaTheme="majorEastAsia" w:hAnsiTheme="majorEastAsia" w:hint="eastAsia"/>
          <w:b/>
        </w:rPr>
        <w:t>クラッド材の補修</w:t>
      </w:r>
      <w:r w:rsidRPr="00BC31E0">
        <w:rPr>
          <w:rFonts w:hint="eastAsia"/>
        </w:rPr>
        <w:t xml:space="preserve">　</w:t>
      </w:r>
      <w:r w:rsidRPr="00BC31E0">
        <w:rPr>
          <w:rFonts w:ascii="ＭＳ 明朝" w:hAnsi="ＭＳ 明朝" w:hint="eastAsia"/>
        </w:rPr>
        <w:t>材料製造者がクラッド材の欠陥を補修する場合，次の</w:t>
      </w:r>
      <w:r w:rsidRPr="00BC31E0">
        <w:rPr>
          <w:rFonts w:asciiTheme="majorEastAsia" w:eastAsiaTheme="majorEastAsia" w:hAnsiTheme="majorEastAsia" w:hint="eastAsia"/>
          <w:b/>
        </w:rPr>
        <w:t>1)</w:t>
      </w:r>
      <w:r w:rsidRPr="00BC31E0">
        <w:rPr>
          <w:rFonts w:ascii="ＭＳ 明朝" w:hAnsi="ＭＳ 明朝" w:hint="eastAsia"/>
        </w:rPr>
        <w:t>～</w:t>
      </w:r>
      <w:r w:rsidRPr="00BC31E0">
        <w:rPr>
          <w:rFonts w:asciiTheme="majorEastAsia" w:eastAsiaTheme="majorEastAsia" w:hAnsiTheme="majorEastAsia" w:hint="eastAsia"/>
          <w:b/>
        </w:rPr>
        <w:t>3)</w:t>
      </w:r>
      <w:r w:rsidRPr="00BC31E0">
        <w:rPr>
          <w:rFonts w:ascii="ＭＳ 明朝" w:hAnsi="ＭＳ 明朝" w:hint="eastAsia"/>
        </w:rPr>
        <w:t>の要求に合致させる。</w:t>
      </w:r>
    </w:p>
    <w:p w14:paraId="55C527A6" w14:textId="77777777" w:rsidR="00FE7C4E" w:rsidRPr="00BC31E0" w:rsidRDefault="008103A2" w:rsidP="00736130">
      <w:pPr>
        <w:pStyle w:val="a4"/>
        <w:numPr>
          <w:ilvl w:val="0"/>
          <w:numId w:val="547"/>
        </w:numPr>
        <w:ind w:leftChars="0" w:left="738" w:hanging="454"/>
      </w:pPr>
      <w:r w:rsidRPr="00BC31E0">
        <w:rPr>
          <w:rFonts w:asciiTheme="majorEastAsia" w:eastAsiaTheme="majorEastAsia" w:hAnsiTheme="majorEastAsia" w:hint="eastAsia"/>
          <w:b/>
        </w:rPr>
        <w:t>7.2</w:t>
      </w:r>
      <w:r w:rsidRPr="00BC31E0">
        <w:rPr>
          <w:rFonts w:hint="eastAsia"/>
        </w:rPr>
        <w:t>によって認証された溶接施工方法，溶接士でなければならない。</w:t>
      </w:r>
    </w:p>
    <w:p w14:paraId="078EF987" w14:textId="77777777" w:rsidR="00FE7C4E" w:rsidRPr="00BC31E0" w:rsidRDefault="008103A2" w:rsidP="00736130">
      <w:pPr>
        <w:pStyle w:val="a4"/>
        <w:numPr>
          <w:ilvl w:val="0"/>
          <w:numId w:val="547"/>
        </w:numPr>
        <w:ind w:leftChars="0" w:left="738" w:hanging="454"/>
      </w:pPr>
      <w:r w:rsidRPr="00BC31E0">
        <w:rPr>
          <w:rFonts w:ascii="ＭＳ 明朝" w:hAnsi="ＭＳ 明朝" w:hint="eastAsia"/>
        </w:rPr>
        <w:t>欠陥除去後のくぼみは，</w:t>
      </w:r>
      <w:r w:rsidRPr="00BC31E0">
        <w:rPr>
          <w:rFonts w:asciiTheme="majorEastAsia" w:eastAsiaTheme="majorEastAsia" w:hAnsiTheme="majorEastAsia" w:hint="eastAsia"/>
          <w:b/>
        </w:rPr>
        <w:t>9.2.5 d)</w:t>
      </w:r>
      <w:r w:rsidRPr="00BC31E0">
        <w:rPr>
          <w:rFonts w:ascii="ＭＳ 明朝" w:hAnsi="ＭＳ 明朝" w:hint="eastAsia"/>
        </w:rPr>
        <w:t>に従って磁粉探傷試験や浸透探傷試験によって検査する。</w:t>
      </w:r>
    </w:p>
    <w:p w14:paraId="13076AF1" w14:textId="77777777" w:rsidR="008103A2" w:rsidRPr="00BC31E0" w:rsidRDefault="008103A2" w:rsidP="00736130">
      <w:pPr>
        <w:pStyle w:val="a4"/>
        <w:numPr>
          <w:ilvl w:val="0"/>
          <w:numId w:val="547"/>
        </w:numPr>
        <w:ind w:leftChars="0" w:left="738" w:hanging="454"/>
      </w:pPr>
      <w:r w:rsidRPr="00BC31E0">
        <w:rPr>
          <w:rFonts w:ascii="ＭＳ 明朝" w:hAnsi="ＭＳ 明朝" w:hint="eastAsia"/>
        </w:rPr>
        <w:t>溶接補修後は，</w:t>
      </w:r>
      <w:r w:rsidRPr="00BC31E0">
        <w:rPr>
          <w:rFonts w:asciiTheme="majorEastAsia" w:eastAsiaTheme="majorEastAsia" w:hAnsiTheme="majorEastAsia" w:hint="eastAsia"/>
          <w:b/>
        </w:rPr>
        <w:t>9.2.5 d)</w:t>
      </w:r>
      <w:r w:rsidRPr="00BC31E0">
        <w:rPr>
          <w:rFonts w:ascii="ＭＳ 明朝" w:hAnsi="ＭＳ 明朝" w:hint="eastAsia"/>
        </w:rPr>
        <w:t>に従って磁粉探傷試験又は浸透探傷試験によって検査する。</w:t>
      </w:r>
    </w:p>
    <w:p w14:paraId="1E9E4A30" w14:textId="77777777" w:rsidR="008103A2" w:rsidRPr="00BC31E0" w:rsidRDefault="008103A2" w:rsidP="00736130">
      <w:pPr>
        <w:pStyle w:val="a4"/>
        <w:numPr>
          <w:ilvl w:val="0"/>
          <w:numId w:val="546"/>
        </w:numPr>
        <w:ind w:leftChars="0" w:left="454" w:hanging="454"/>
        <w:rPr>
          <w:rFonts w:ascii="ＭＳ 明朝" w:hAnsi="ＭＳ 明朝"/>
        </w:rPr>
      </w:pPr>
      <w:r w:rsidRPr="00BC31E0">
        <w:rPr>
          <w:rFonts w:asciiTheme="majorEastAsia" w:eastAsiaTheme="majorEastAsia" w:hAnsiTheme="majorEastAsia" w:hint="eastAsia"/>
          <w:b/>
        </w:rPr>
        <w:t>材料証明書への補修記録の記述</w:t>
      </w:r>
      <w:r w:rsidRPr="00BC31E0">
        <w:rPr>
          <w:rFonts w:hint="eastAsia"/>
        </w:rPr>
        <w:t xml:space="preserve">　</w:t>
      </w:r>
      <w:r w:rsidRPr="00BC31E0">
        <w:rPr>
          <w:rFonts w:ascii="ＭＳ 明朝" w:hAnsi="ＭＳ 明朝" w:hint="eastAsia"/>
        </w:rPr>
        <w:t>補修を行った場合，各補修内容を各部品の材料証明書に記述する。補修内容については補修部の位置，サイズ，深さを示し，補修に用いた溶接についての溶接材料証明書，溶接要領書，熱処理記録，そして検査結果を添付する。完成容器において補修を行った位置を確認できるように記録する。</w:t>
      </w:r>
    </w:p>
    <w:p w14:paraId="3990D47A" w14:textId="77777777" w:rsidR="008103A2" w:rsidRPr="00BC31E0" w:rsidRDefault="008103A2" w:rsidP="00FE3DAE">
      <w:pPr>
        <w:pStyle w:val="3"/>
        <w:tabs>
          <w:tab w:val="clear" w:pos="284"/>
        </w:tabs>
        <w:ind w:left="794" w:hanging="794"/>
      </w:pPr>
      <w:r w:rsidRPr="00BC31E0">
        <w:rPr>
          <w:rFonts w:hint="eastAsia"/>
        </w:rPr>
        <w:t>板材の試験と補修</w:t>
      </w:r>
    </w:p>
    <w:p w14:paraId="04341947" w14:textId="77777777" w:rsidR="008103A2" w:rsidRPr="00BC31E0" w:rsidRDefault="008103A2" w:rsidP="00BD4A16">
      <w:pPr>
        <w:pStyle w:val="1110"/>
        <w:ind w:firstLine="210"/>
      </w:pPr>
      <w:r w:rsidRPr="00BC31E0">
        <w:rPr>
          <w:rFonts w:hint="eastAsia"/>
        </w:rPr>
        <w:t>板材の試験と補修は，次の</w:t>
      </w:r>
      <w:r w:rsidRPr="00BC31E0">
        <w:rPr>
          <w:rFonts w:ascii="ＭＳ ゴシック" w:hAnsi="ＭＳ ゴシック" w:hint="eastAsia"/>
          <w:b/>
        </w:rPr>
        <w:t>a)</w:t>
      </w:r>
      <w:r w:rsidRPr="00BC31E0">
        <w:rPr>
          <w:rFonts w:hint="eastAsia"/>
        </w:rPr>
        <w:t>～</w:t>
      </w:r>
      <w:r w:rsidRPr="00BC31E0">
        <w:rPr>
          <w:rFonts w:ascii="ＭＳ ゴシック" w:hAnsi="ＭＳ ゴシック" w:hint="eastAsia"/>
          <w:b/>
        </w:rPr>
        <w:t>c)</w:t>
      </w:r>
      <w:r w:rsidRPr="00BC31E0">
        <w:rPr>
          <w:rFonts w:hint="eastAsia"/>
        </w:rPr>
        <w:t>による。</w:t>
      </w:r>
    </w:p>
    <w:p w14:paraId="5DBA5ACF" w14:textId="77777777" w:rsidR="008103A2" w:rsidRPr="00BC31E0" w:rsidRDefault="008103A2" w:rsidP="00736130">
      <w:pPr>
        <w:pStyle w:val="a4"/>
        <w:numPr>
          <w:ilvl w:val="0"/>
          <w:numId w:val="548"/>
        </w:numPr>
        <w:ind w:leftChars="0" w:left="454" w:hanging="454"/>
      </w:pPr>
      <w:r w:rsidRPr="00BC31E0">
        <w:rPr>
          <w:rFonts w:asciiTheme="majorEastAsia" w:eastAsiaTheme="majorEastAsia" w:hAnsiTheme="majorEastAsia" w:hint="eastAsia"/>
          <w:b/>
        </w:rPr>
        <w:t>要求される試験</w:t>
      </w:r>
      <w:r w:rsidRPr="00BC31E0">
        <w:rPr>
          <w:rFonts w:hint="eastAsia"/>
        </w:rPr>
        <w:t xml:space="preserve">　</w:t>
      </w:r>
      <w:r w:rsidRPr="00BC31E0">
        <w:rPr>
          <w:rFonts w:ascii="ＭＳ 明朝" w:hAnsi="ＭＳ 明朝" w:hint="eastAsia"/>
        </w:rPr>
        <w:t>次の</w:t>
      </w:r>
      <w:r w:rsidRPr="00BC31E0">
        <w:rPr>
          <w:rFonts w:asciiTheme="majorEastAsia" w:eastAsiaTheme="majorEastAsia" w:hAnsiTheme="majorEastAsia" w:hint="eastAsia"/>
          <w:b/>
        </w:rPr>
        <w:t>1)</w:t>
      </w:r>
      <w:r w:rsidRPr="00BC31E0">
        <w:rPr>
          <w:rFonts w:ascii="ＭＳ 明朝" w:hAnsi="ＭＳ 明朝" w:hint="eastAsia"/>
        </w:rPr>
        <w:t>～</w:t>
      </w:r>
      <w:r w:rsidRPr="00BC31E0">
        <w:rPr>
          <w:rFonts w:asciiTheme="majorEastAsia" w:eastAsiaTheme="majorEastAsia" w:hAnsiTheme="majorEastAsia" w:hint="eastAsia"/>
          <w:b/>
        </w:rPr>
        <w:t>3)</w:t>
      </w:r>
      <w:r w:rsidRPr="00BC31E0">
        <w:rPr>
          <w:rFonts w:ascii="ＭＳ 明朝" w:hAnsi="ＭＳ 明朝" w:hint="eastAsia"/>
        </w:rPr>
        <w:t>に示す製作時期に検査を行う。</w:t>
      </w:r>
    </w:p>
    <w:p w14:paraId="513AA2DF" w14:textId="77777777" w:rsidR="008103A2" w:rsidRPr="00BC31E0" w:rsidRDefault="008103A2" w:rsidP="00736130">
      <w:pPr>
        <w:numPr>
          <w:ilvl w:val="0"/>
          <w:numId w:val="216"/>
        </w:numPr>
        <w:ind w:left="738" w:hanging="454"/>
      </w:pPr>
      <w:r w:rsidRPr="00BC31E0">
        <w:rPr>
          <w:rFonts w:hint="eastAsia"/>
        </w:rPr>
        <w:t>超音波探傷試験は，規定サイズに圧延施工した後の熱処理後</w:t>
      </w:r>
      <w:r w:rsidRPr="00BC31E0">
        <w:rPr>
          <w:rFonts w:hint="eastAsia"/>
        </w:rPr>
        <w:t>(</w:t>
      </w:r>
      <w:r w:rsidRPr="00BC31E0">
        <w:rPr>
          <w:rFonts w:hint="eastAsia"/>
        </w:rPr>
        <w:t>溶接後熱処理を除く</w:t>
      </w:r>
      <w:r w:rsidRPr="00BC31E0">
        <w:rPr>
          <w:rFonts w:hint="eastAsia"/>
        </w:rPr>
        <w:t>)</w:t>
      </w:r>
      <w:r w:rsidRPr="00BC31E0">
        <w:rPr>
          <w:rFonts w:hint="eastAsia"/>
        </w:rPr>
        <w:t>に行う。</w:t>
      </w:r>
    </w:p>
    <w:p w14:paraId="51871F86" w14:textId="77777777" w:rsidR="008103A2" w:rsidRPr="00BC31E0" w:rsidRDefault="008103A2" w:rsidP="00736130">
      <w:pPr>
        <w:numPr>
          <w:ilvl w:val="0"/>
          <w:numId w:val="216"/>
        </w:numPr>
        <w:ind w:left="738" w:hanging="454"/>
      </w:pPr>
      <w:r w:rsidRPr="00BC31E0">
        <w:rPr>
          <w:rFonts w:hint="eastAsia"/>
        </w:rPr>
        <w:t>補修溶接部に放射線透過試験の要求がある場合は，溶接後熱処理後に実施する。</w:t>
      </w:r>
    </w:p>
    <w:p w14:paraId="47D141B4" w14:textId="77777777" w:rsidR="008103A2" w:rsidRPr="00BC31E0" w:rsidRDefault="008103A2" w:rsidP="00736130">
      <w:pPr>
        <w:numPr>
          <w:ilvl w:val="0"/>
          <w:numId w:val="216"/>
        </w:numPr>
        <w:ind w:left="738" w:hanging="454"/>
      </w:pPr>
      <w:r w:rsidRPr="00BC31E0">
        <w:rPr>
          <w:rFonts w:hint="eastAsia"/>
        </w:rPr>
        <w:t>補修溶接部の磁粉探傷試験又は浸透探傷試験は，最終熱処理後に実施する</w:t>
      </w:r>
      <w:r w:rsidR="00491348" w:rsidRPr="00BC31E0">
        <w:rPr>
          <w:rFonts w:hint="eastAsia"/>
        </w:rPr>
        <w:t>[</w:t>
      </w:r>
      <w:r w:rsidRPr="00BC31E0">
        <w:rPr>
          <w:rFonts w:asciiTheme="majorEastAsia" w:eastAsiaTheme="majorEastAsia" w:hAnsiTheme="majorEastAsia" w:hint="eastAsia"/>
          <w:b/>
        </w:rPr>
        <w:t>9.2.3 b)</w:t>
      </w:r>
      <w:r w:rsidR="00491348" w:rsidRPr="00BC31E0">
        <w:rPr>
          <w:rFonts w:asciiTheme="minorEastAsia" w:eastAsiaTheme="minorEastAsia" w:hAnsiTheme="minorEastAsia" w:hint="eastAsia"/>
        </w:rPr>
        <w:t>を</w:t>
      </w:r>
      <w:r w:rsidRPr="00BC31E0">
        <w:rPr>
          <w:rFonts w:asciiTheme="minorEastAsia" w:eastAsiaTheme="minorEastAsia" w:hAnsiTheme="minorEastAsia" w:hint="eastAsia"/>
        </w:rPr>
        <w:t>参照</w:t>
      </w:r>
      <w:r w:rsidR="00D71D52" w:rsidRPr="00BC31E0">
        <w:rPr>
          <w:rFonts w:hint="eastAsia"/>
        </w:rPr>
        <w:t>]</w:t>
      </w:r>
      <w:r w:rsidRPr="00BC31E0">
        <w:rPr>
          <w:rFonts w:hint="eastAsia"/>
        </w:rPr>
        <w:t>。</w:t>
      </w:r>
    </w:p>
    <w:p w14:paraId="41D2710E" w14:textId="77777777" w:rsidR="008103A2" w:rsidRPr="00BC31E0" w:rsidRDefault="008103A2" w:rsidP="00736130">
      <w:pPr>
        <w:pStyle w:val="a4"/>
        <w:numPr>
          <w:ilvl w:val="0"/>
          <w:numId w:val="549"/>
        </w:numPr>
        <w:ind w:leftChars="0" w:left="454" w:hanging="454"/>
        <w:rPr>
          <w:rFonts w:ascii="ＭＳ 明朝" w:hAnsi="ＭＳ 明朝"/>
        </w:rPr>
      </w:pPr>
      <w:r w:rsidRPr="00BC31E0">
        <w:rPr>
          <w:rFonts w:asciiTheme="majorEastAsia" w:eastAsiaTheme="majorEastAsia" w:hAnsiTheme="majorEastAsia" w:hint="eastAsia"/>
          <w:b/>
        </w:rPr>
        <w:t>超音波探傷試験</w:t>
      </w:r>
      <w:r w:rsidRPr="00BC31E0">
        <w:rPr>
          <w:rFonts w:hint="eastAsia"/>
        </w:rPr>
        <w:t xml:space="preserve">　</w:t>
      </w:r>
      <w:r w:rsidRPr="00BC31E0">
        <w:rPr>
          <w:rFonts w:ascii="ＭＳ 明朝" w:hAnsi="ＭＳ 明朝" w:hint="eastAsia"/>
        </w:rPr>
        <w:t>全ての板材は</w:t>
      </w:r>
      <w:r w:rsidRPr="00BC31E0">
        <w:rPr>
          <w:rFonts w:asciiTheme="majorEastAsia" w:eastAsiaTheme="majorEastAsia" w:hAnsiTheme="majorEastAsia" w:hint="eastAsia"/>
          <w:b/>
        </w:rPr>
        <w:t>JIS G 0801</w:t>
      </w:r>
      <w:r w:rsidRPr="00BC31E0">
        <w:rPr>
          <w:rFonts w:ascii="ＭＳ 明朝" w:hAnsi="ＭＳ 明朝" w:hint="eastAsia"/>
        </w:rPr>
        <w:t>又は</w:t>
      </w:r>
      <w:r w:rsidRPr="00BC31E0">
        <w:rPr>
          <w:rFonts w:asciiTheme="majorEastAsia" w:eastAsiaTheme="majorEastAsia" w:hAnsiTheme="majorEastAsia" w:hint="eastAsia"/>
          <w:b/>
        </w:rPr>
        <w:t>JIS G 0802</w:t>
      </w:r>
      <w:r w:rsidRPr="00BC31E0">
        <w:rPr>
          <w:rFonts w:ascii="ＭＳ 明朝" w:hAnsi="ＭＳ 明朝" w:hint="eastAsia"/>
        </w:rPr>
        <w:t>に準じた超音波探傷法による試験を行わなければならない。</w:t>
      </w:r>
      <w:r w:rsidRPr="00BC31E0">
        <w:rPr>
          <w:rFonts w:asciiTheme="majorEastAsia" w:eastAsiaTheme="majorEastAsia" w:hAnsiTheme="majorEastAsia"/>
          <w:b/>
        </w:rPr>
        <w:t>ASME</w:t>
      </w:r>
      <w:r w:rsidRPr="00BC31E0">
        <w:rPr>
          <w:rFonts w:ascii="ＭＳ 明朝" w:hAnsi="ＭＳ 明朝" w:hint="eastAsia"/>
        </w:rPr>
        <w:t>規格材</w:t>
      </w:r>
      <w:r w:rsidR="00677A7B" w:rsidRPr="00BC31E0">
        <w:rPr>
          <w:rFonts w:hint="eastAsia"/>
        </w:rPr>
        <w:t>など</w:t>
      </w:r>
      <w:r w:rsidRPr="00BC31E0">
        <w:rPr>
          <w:rFonts w:ascii="ＭＳ 明朝" w:hAnsi="ＭＳ 明朝" w:hint="eastAsia"/>
        </w:rPr>
        <w:t>の</w:t>
      </w:r>
      <w:r w:rsidRPr="00BC31E0">
        <w:rPr>
          <w:rFonts w:asciiTheme="majorEastAsia" w:eastAsiaTheme="majorEastAsia" w:hAnsiTheme="majorEastAsia"/>
          <w:b/>
        </w:rPr>
        <w:t>JIS</w:t>
      </w:r>
      <w:r w:rsidR="00B72A57" w:rsidRPr="00BC31E0">
        <w:rPr>
          <w:rFonts w:ascii="ＭＳ 明朝" w:hAnsi="ＭＳ 明朝" w:hint="eastAsia"/>
        </w:rPr>
        <w:t>材料</w:t>
      </w:r>
      <w:r w:rsidRPr="00BC31E0">
        <w:rPr>
          <w:rFonts w:ascii="ＭＳ 明朝" w:hAnsi="ＭＳ 明朝" w:hint="eastAsia"/>
        </w:rPr>
        <w:t>以外の場合には，該当する規格で認められた超音波探傷法による試験を行ってもよい。ただし，試験範囲，判定基準は，次の</w:t>
      </w:r>
      <w:r w:rsidRPr="00BC31E0">
        <w:rPr>
          <w:rFonts w:asciiTheme="majorEastAsia" w:eastAsiaTheme="majorEastAsia" w:hAnsiTheme="majorEastAsia" w:hint="eastAsia"/>
          <w:b/>
        </w:rPr>
        <w:t>1)</w:t>
      </w:r>
      <w:r w:rsidRPr="00BC31E0">
        <w:rPr>
          <w:rFonts w:ascii="ＭＳ 明朝" w:hAnsi="ＭＳ 明朝" w:hint="eastAsia"/>
        </w:rPr>
        <w:t>，</w:t>
      </w:r>
      <w:r w:rsidRPr="00BC31E0">
        <w:rPr>
          <w:rFonts w:asciiTheme="majorEastAsia" w:eastAsiaTheme="majorEastAsia" w:hAnsiTheme="majorEastAsia" w:hint="eastAsia"/>
          <w:b/>
        </w:rPr>
        <w:t>2)</w:t>
      </w:r>
      <w:r w:rsidRPr="00BC31E0">
        <w:rPr>
          <w:rFonts w:ascii="ＭＳ 明朝" w:hAnsi="ＭＳ 明朝" w:hint="eastAsia"/>
        </w:rPr>
        <w:t>による。</w:t>
      </w:r>
    </w:p>
    <w:p w14:paraId="4147F7AF" w14:textId="77777777" w:rsidR="00FE3DAE" w:rsidRPr="00BC31E0" w:rsidRDefault="008103A2" w:rsidP="00736130">
      <w:pPr>
        <w:pStyle w:val="a4"/>
        <w:numPr>
          <w:ilvl w:val="0"/>
          <w:numId w:val="550"/>
        </w:numPr>
        <w:ind w:leftChars="0" w:left="738" w:hanging="454"/>
        <w:rPr>
          <w:rFonts w:ascii="ＭＳ 明朝" w:hAnsi="ＭＳ 明朝"/>
        </w:rPr>
      </w:pPr>
      <w:r w:rsidRPr="00BC31E0">
        <w:rPr>
          <w:rFonts w:asciiTheme="majorEastAsia" w:eastAsiaTheme="majorEastAsia" w:hAnsiTheme="majorEastAsia" w:hint="eastAsia"/>
          <w:b/>
        </w:rPr>
        <w:t>試験範囲</w:t>
      </w:r>
      <w:r w:rsidRPr="00BC31E0">
        <w:rPr>
          <w:rFonts w:hint="eastAsia"/>
        </w:rPr>
        <w:t xml:space="preserve">　</w:t>
      </w:r>
      <w:r w:rsidRPr="00BC31E0">
        <w:rPr>
          <w:rFonts w:ascii="ＭＳ 明朝" w:hAnsi="ＭＳ 明朝" w:hint="eastAsia"/>
        </w:rPr>
        <w:t>探傷試験範囲は</w:t>
      </w:r>
      <w:r w:rsidRPr="00BC31E0">
        <w:t>10%</w:t>
      </w:r>
      <w:r w:rsidRPr="00BC31E0">
        <w:rPr>
          <w:rFonts w:ascii="ＭＳ 明朝" w:hAnsi="ＭＳ 明朝" w:hint="eastAsia"/>
        </w:rPr>
        <w:t>以上のオーバーラップを含み，板表面を</w:t>
      </w:r>
      <w:r w:rsidRPr="00BC31E0">
        <w:t>100%</w:t>
      </w:r>
      <w:r w:rsidRPr="00BC31E0">
        <w:rPr>
          <w:rFonts w:ascii="ＭＳ 明朝" w:hAnsi="ＭＳ 明朝" w:hint="eastAsia"/>
        </w:rPr>
        <w:t>施工する。該当する</w:t>
      </w:r>
      <w:r w:rsidRPr="00BC31E0">
        <w:rPr>
          <w:rFonts w:asciiTheme="majorEastAsia" w:eastAsiaTheme="majorEastAsia" w:hAnsiTheme="majorEastAsia"/>
          <w:b/>
        </w:rPr>
        <w:t>JIS</w:t>
      </w:r>
      <w:r w:rsidRPr="00BC31E0">
        <w:rPr>
          <w:rFonts w:ascii="ＭＳ 明朝" w:hAnsi="ＭＳ 明朝" w:hint="eastAsia"/>
        </w:rPr>
        <w:t>又は</w:t>
      </w:r>
      <w:r w:rsidRPr="00BC31E0">
        <w:rPr>
          <w:rFonts w:asciiTheme="majorEastAsia" w:eastAsiaTheme="majorEastAsia" w:hAnsiTheme="majorEastAsia"/>
          <w:b/>
        </w:rPr>
        <w:t>ASME</w:t>
      </w:r>
      <w:r w:rsidR="00F45D3D" w:rsidRPr="00BC31E0">
        <w:rPr>
          <w:rFonts w:hint="eastAsia"/>
        </w:rPr>
        <w:t>などの</w:t>
      </w:r>
      <w:r w:rsidRPr="00BC31E0">
        <w:rPr>
          <w:rFonts w:ascii="ＭＳ 明朝" w:hAnsi="ＭＳ 明朝" w:hint="eastAsia"/>
        </w:rPr>
        <w:t>材料規格に従って，記録対象の指示模様は記録しておく。</w:t>
      </w:r>
    </w:p>
    <w:p w14:paraId="00F5C700" w14:textId="77777777" w:rsidR="008103A2" w:rsidRPr="00BC31E0" w:rsidRDefault="008103A2" w:rsidP="00736130">
      <w:pPr>
        <w:pStyle w:val="a4"/>
        <w:numPr>
          <w:ilvl w:val="0"/>
          <w:numId w:val="550"/>
        </w:numPr>
        <w:ind w:leftChars="0" w:left="738" w:hanging="454"/>
        <w:rPr>
          <w:rFonts w:ascii="ＭＳ 明朝" w:hAnsi="ＭＳ 明朝"/>
        </w:rPr>
      </w:pPr>
      <w:r w:rsidRPr="00BC31E0">
        <w:rPr>
          <w:rFonts w:asciiTheme="majorEastAsia" w:eastAsiaTheme="majorEastAsia" w:hAnsiTheme="majorEastAsia" w:hint="eastAsia"/>
          <w:b/>
        </w:rPr>
        <w:t>判定基準</w:t>
      </w:r>
      <w:r w:rsidRPr="00BC31E0">
        <w:rPr>
          <w:rFonts w:hint="eastAsia"/>
        </w:rPr>
        <w:t xml:space="preserve">　</w:t>
      </w:r>
      <w:r w:rsidRPr="00BC31E0">
        <w:rPr>
          <w:rFonts w:ascii="ＭＳ 明朝" w:hAnsi="ＭＳ 明朝" w:hint="eastAsia"/>
        </w:rPr>
        <w:t>検査する板材についての判定基準は，次の</w:t>
      </w:r>
      <w:r w:rsidRPr="00BC31E0">
        <w:rPr>
          <w:rFonts w:asciiTheme="majorEastAsia" w:eastAsiaTheme="majorEastAsia" w:hAnsiTheme="majorEastAsia" w:hint="eastAsia"/>
          <w:b/>
        </w:rPr>
        <w:t xml:space="preserve"> 2.1)</w:t>
      </w:r>
      <w:r w:rsidRPr="00BC31E0">
        <w:rPr>
          <w:rFonts w:ascii="ＭＳ 明朝" w:hAnsi="ＭＳ 明朝" w:hint="eastAsia"/>
        </w:rPr>
        <w:t>～</w:t>
      </w:r>
      <w:r w:rsidRPr="00BC31E0">
        <w:rPr>
          <w:rFonts w:asciiTheme="majorEastAsia" w:eastAsiaTheme="majorEastAsia" w:hAnsiTheme="majorEastAsia" w:hint="eastAsia"/>
          <w:b/>
        </w:rPr>
        <w:t>2.3)</w:t>
      </w:r>
      <w:r w:rsidRPr="00BC31E0">
        <w:rPr>
          <w:rFonts w:ascii="ＭＳ 明朝" w:hAnsi="ＭＳ 明朝" w:hint="eastAsia"/>
        </w:rPr>
        <w:t>に示す評価基準とする。</w:t>
      </w:r>
    </w:p>
    <w:p w14:paraId="6FDFF6FB" w14:textId="77777777" w:rsidR="00736BC9" w:rsidRPr="00BC31E0" w:rsidRDefault="008103A2" w:rsidP="00736130">
      <w:pPr>
        <w:pStyle w:val="a4"/>
        <w:numPr>
          <w:ilvl w:val="0"/>
          <w:numId w:val="344"/>
        </w:numPr>
        <w:ind w:leftChars="0" w:left="1134" w:hanging="567"/>
        <w:rPr>
          <w:rFonts w:ascii="ＭＳ 明朝" w:hAnsi="ＭＳ 明朝"/>
        </w:rPr>
      </w:pPr>
      <w:r w:rsidRPr="00BC31E0">
        <w:rPr>
          <w:rFonts w:asciiTheme="majorEastAsia" w:eastAsiaTheme="majorEastAsia" w:hAnsiTheme="majorEastAsia" w:hint="eastAsia"/>
          <w:b/>
        </w:rPr>
        <w:t>不合格となる欠陥サイズ</w:t>
      </w:r>
      <w:r w:rsidRPr="00BC31E0">
        <w:rPr>
          <w:rFonts w:hint="eastAsia"/>
        </w:rPr>
        <w:t xml:space="preserve">　</w:t>
      </w:r>
      <w:r w:rsidRPr="00BC31E0">
        <w:rPr>
          <w:rFonts w:ascii="ＭＳ 明朝" w:hAnsi="ＭＳ 明朝" w:hint="eastAsia"/>
        </w:rPr>
        <w:t>直径</w:t>
      </w:r>
      <w:r w:rsidRPr="00BC31E0">
        <w:t>25 mm</w:t>
      </w:r>
      <w:r w:rsidRPr="00BC31E0">
        <w:rPr>
          <w:rFonts w:ascii="ＭＳ 明朝" w:hAnsi="ＭＳ 明朝" w:hint="eastAsia"/>
        </w:rPr>
        <w:t>の円の中に収まらない連続した指示模様が同一平面上に存在する場合は不合格とする。</w:t>
      </w:r>
    </w:p>
    <w:p w14:paraId="7E12ECEC" w14:textId="77777777" w:rsidR="008103A2" w:rsidRPr="00BC31E0" w:rsidRDefault="008103A2" w:rsidP="00736130">
      <w:pPr>
        <w:pStyle w:val="a4"/>
        <w:numPr>
          <w:ilvl w:val="0"/>
          <w:numId w:val="344"/>
        </w:numPr>
        <w:ind w:leftChars="0" w:left="1134" w:hanging="567"/>
        <w:rPr>
          <w:rFonts w:ascii="ＭＳ 明朝" w:hAnsi="ＭＳ 明朝"/>
        </w:rPr>
      </w:pPr>
      <w:r w:rsidRPr="00BC31E0">
        <w:rPr>
          <w:rFonts w:asciiTheme="majorEastAsia" w:eastAsiaTheme="majorEastAsia" w:hAnsiTheme="majorEastAsia" w:hint="eastAsia"/>
          <w:b/>
        </w:rPr>
        <w:lastRenderedPageBreak/>
        <w:t>複数存在するきずの評価</w:t>
      </w:r>
      <w:r w:rsidRPr="00BC31E0">
        <w:rPr>
          <w:rFonts w:hint="eastAsia"/>
        </w:rPr>
        <w:t xml:space="preserve">　</w:t>
      </w:r>
      <w:r w:rsidRPr="00BC31E0">
        <w:rPr>
          <w:rFonts w:ascii="ＭＳ 明朝" w:hAnsi="ＭＳ 明朝" w:hint="eastAsia"/>
          <w:bCs/>
        </w:rPr>
        <w:t>上記</w:t>
      </w:r>
      <w:r w:rsidRPr="00BC31E0">
        <w:rPr>
          <w:rFonts w:asciiTheme="majorEastAsia" w:eastAsiaTheme="majorEastAsia" w:hAnsiTheme="majorEastAsia" w:hint="eastAsia"/>
          <w:b/>
        </w:rPr>
        <w:t>2.1)</w:t>
      </w:r>
      <w:r w:rsidRPr="00BC31E0">
        <w:rPr>
          <w:rFonts w:ascii="ＭＳ 明朝" w:hAnsi="ＭＳ 明朝" w:hint="eastAsia"/>
          <w:bCs/>
        </w:rPr>
        <w:t>で合格と判定されたきずが同一平面内に</w:t>
      </w:r>
      <w:r w:rsidRPr="00BC31E0">
        <w:rPr>
          <w:bCs/>
        </w:rPr>
        <w:t>2</w:t>
      </w:r>
      <w:r w:rsidRPr="00BC31E0">
        <w:rPr>
          <w:rFonts w:ascii="ＭＳ 明朝" w:hAnsi="ＭＳ 明朝" w:hint="eastAsia"/>
          <w:bCs/>
        </w:rPr>
        <w:t>箇所隣接し，各きず間の距離</w:t>
      </w:r>
      <m:oMath>
        <m:r>
          <m:rPr>
            <m:sty m:val="p"/>
          </m:rPr>
          <w:rPr>
            <w:rFonts w:ascii="Cambria Math" w:hAnsi="Cambria Math"/>
          </w:rPr>
          <m:t xml:space="preserve"> </m:t>
        </m:r>
        <m:r>
          <w:rPr>
            <w:rFonts w:ascii="Cambria Math" w:hAnsi="Cambria Math"/>
          </w:rPr>
          <m:t xml:space="preserve">D </m:t>
        </m:r>
      </m:oMath>
      <w:r w:rsidRPr="00BC31E0">
        <w:rPr>
          <w:rFonts w:ascii="ＭＳ 明朝" w:hAnsi="ＭＳ 明朝" w:hint="eastAsia"/>
          <w:bCs/>
        </w:rPr>
        <w:t>が下図に示される</w:t>
      </w:r>
      <m:oMath>
        <m:sSub>
          <m:sSubPr>
            <m:ctrlPr>
              <w:rPr>
                <w:rFonts w:ascii="Cambria Math" w:hAnsi="Cambria Math"/>
                <w:bCs/>
                <w:i/>
              </w:rPr>
            </m:ctrlPr>
          </m:sSubPr>
          <m:e>
            <m:r>
              <w:rPr>
                <w:rFonts w:ascii="Cambria Math" w:hAnsi="Cambria Math"/>
              </w:rPr>
              <m:t xml:space="preserve"> D</m:t>
            </m:r>
          </m:e>
          <m:sub>
            <m:r>
              <w:rPr>
                <w:rFonts w:ascii="Cambria Math" w:hAnsi="Cambria Math"/>
              </w:rPr>
              <m:t>0</m:t>
            </m:r>
          </m:sub>
        </m:sSub>
        <m:r>
          <w:rPr>
            <w:rFonts w:ascii="Cambria Math" w:hAnsi="Cambria Math"/>
          </w:rPr>
          <m:t xml:space="preserve"> </m:t>
        </m:r>
      </m:oMath>
      <w:r w:rsidRPr="00BC31E0">
        <w:rPr>
          <w:rFonts w:asciiTheme="minorHAnsi" w:hAnsiTheme="minorHAnsi"/>
          <w:bCs/>
        </w:rPr>
        <w:t>(</w:t>
      </w:r>
      <w:r w:rsidRPr="00BC31E0">
        <w:rPr>
          <w:rFonts w:ascii="ＭＳ 明朝" w:hAnsi="ＭＳ 明朝" w:hint="eastAsia"/>
          <w:bCs/>
        </w:rPr>
        <w:t>各きずを半楕円きずとしたとき，長軸の半長</w:t>
      </w:r>
      <m:oMath>
        <m:r>
          <m:rPr>
            <m:sty m:val="p"/>
          </m:rPr>
          <w:rPr>
            <w:rFonts w:ascii="Cambria Math" w:hAnsi="Cambria Math"/>
          </w:rPr>
          <m:t xml:space="preserve"> </m:t>
        </m:r>
        <m:r>
          <w:rPr>
            <w:rFonts w:ascii="Cambria Math" w:hAnsi="Cambria Math"/>
          </w:rPr>
          <m:t>a</m:t>
        </m:r>
        <m:r>
          <m:rPr>
            <m:sty m:val="p"/>
          </m:rPr>
          <w:rPr>
            <w:rFonts w:ascii="Cambria Math" w:hAnsi="Cambria Math"/>
          </w:rPr>
          <m:t xml:space="preserve"> </m:t>
        </m:r>
      </m:oMath>
      <w:r w:rsidRPr="00BC31E0">
        <w:rPr>
          <w:rFonts w:ascii="ＭＳ 明朝" w:hAnsi="ＭＳ 明朝" w:hint="eastAsia"/>
          <w:bCs/>
        </w:rPr>
        <w:t>の最大値</w:t>
      </w:r>
      <w:r w:rsidRPr="00BC31E0">
        <w:rPr>
          <w:rFonts w:asciiTheme="minorHAnsi" w:hAnsiTheme="minorHAnsi"/>
          <w:bCs/>
        </w:rPr>
        <w:t>)</w:t>
      </w:r>
      <w:r w:rsidRPr="00BC31E0">
        <w:rPr>
          <w:rFonts w:ascii="ＭＳ 明朝" w:hAnsi="ＭＳ 明朝" w:hint="eastAsia"/>
          <w:bCs/>
        </w:rPr>
        <w:t>より小さい場合，</w:t>
      </w:r>
      <w:r w:rsidRPr="00BC31E0">
        <w:rPr>
          <w:bCs/>
        </w:rPr>
        <w:t>2</w:t>
      </w:r>
      <w:r w:rsidRPr="00BC31E0">
        <w:rPr>
          <w:rFonts w:ascii="ＭＳ 明朝" w:hAnsi="ＭＳ 明朝" w:hint="eastAsia"/>
          <w:bCs/>
        </w:rPr>
        <w:t>箇所のきずが直径</w:t>
      </w:r>
      <w:r w:rsidRPr="00BC31E0">
        <w:rPr>
          <w:bCs/>
        </w:rPr>
        <w:t>25 mm</w:t>
      </w:r>
      <w:r w:rsidRPr="00BC31E0">
        <w:rPr>
          <w:rFonts w:ascii="ＭＳ 明朝" w:hAnsi="ＭＳ 明朝" w:hint="eastAsia"/>
          <w:bCs/>
        </w:rPr>
        <w:t>の円の中に収まらなければ不合格とする。また</w:t>
      </w:r>
      <w:r w:rsidRPr="00BC31E0">
        <w:rPr>
          <w:rFonts w:asciiTheme="minorHAnsi" w:hAnsi="ＭＳ 明朝"/>
          <w:bCs/>
        </w:rPr>
        <w:t>，</w:t>
      </w:r>
      <w:r w:rsidRPr="00BC31E0">
        <w:rPr>
          <w:rFonts w:asciiTheme="minorHAnsi" w:hAnsiTheme="minorHAnsi"/>
          <w:bCs/>
        </w:rPr>
        <w:t>2</w:t>
      </w:r>
      <w:r w:rsidRPr="00BC31E0">
        <w:rPr>
          <w:rFonts w:ascii="ＭＳ 明朝" w:hAnsi="ＭＳ 明朝" w:hint="eastAsia"/>
          <w:bCs/>
        </w:rPr>
        <w:t>箇所のきずが定義された平面間に距離</w:t>
      </w:r>
      <m:oMath>
        <m:r>
          <m:rPr>
            <m:sty m:val="p"/>
          </m:rPr>
          <w:rPr>
            <w:rFonts w:ascii="Cambria Math" w:hAnsi="Cambria Math"/>
          </w:rPr>
          <m:t xml:space="preserve"> </m:t>
        </m:r>
        <m:r>
          <w:rPr>
            <w:rFonts w:ascii="Cambria Math" w:hAnsi="Cambria Math"/>
          </w:rPr>
          <m:t>d</m:t>
        </m:r>
        <m:r>
          <w:rPr>
            <w:rFonts w:ascii="Cambria Math" w:hAnsi="Cambria Math" w:hint="eastAsia"/>
          </w:rPr>
          <m:t xml:space="preserve"> </m:t>
        </m:r>
        <m:r>
          <w:rPr>
            <w:rFonts w:ascii="Cambria Math" w:hAnsi="Cambria Math"/>
          </w:rPr>
          <m:t xml:space="preserve"> </m:t>
        </m:r>
      </m:oMath>
      <w:r w:rsidRPr="00BC31E0">
        <w:rPr>
          <w:rFonts w:ascii="ＭＳ 明朝" w:hAnsi="ＭＳ 明朝" w:hint="eastAsia"/>
          <w:bCs/>
        </w:rPr>
        <w:t>離れて存在し，</w:t>
      </w:r>
      <m:oMath>
        <m:r>
          <w:rPr>
            <w:rFonts w:ascii="Cambria Math" w:hAnsi="Cambria Math"/>
          </w:rPr>
          <m:t>d</m:t>
        </m:r>
        <m:r>
          <w:rPr>
            <w:rFonts w:ascii="Cambria Math" w:hAnsi="Cambria Math" w:hint="eastAsia"/>
          </w:rPr>
          <m:t xml:space="preserve"> </m:t>
        </m:r>
      </m:oMath>
      <w:r w:rsidRPr="00BC31E0">
        <w:rPr>
          <w:rFonts w:ascii="ＭＳ 明朝" w:hAnsi="ＭＳ 明朝" w:hint="eastAsia"/>
          <w:bCs/>
        </w:rPr>
        <w:t>が下図に示される</w:t>
      </w:r>
      <m:oMath>
        <m:r>
          <m:rPr>
            <m:sty m:val="p"/>
          </m:rPr>
          <w:rPr>
            <w:rFonts w:ascii="Cambria Math" w:hAnsi="Cambria Math"/>
          </w:rPr>
          <m:t xml:space="preserve"> </m:t>
        </m:r>
        <m:sSub>
          <m:sSubPr>
            <m:ctrlPr>
              <w:rPr>
                <w:rFonts w:ascii="Cambria Math" w:hAnsi="Cambria Math"/>
                <w:bCs/>
                <w:i/>
              </w:rPr>
            </m:ctrlPr>
          </m:sSubPr>
          <m:e>
            <m:r>
              <w:rPr>
                <w:rFonts w:ascii="Cambria Math" w:hAnsi="Cambria Math"/>
              </w:rPr>
              <m:t>d</m:t>
            </m:r>
          </m:e>
          <m:sub>
            <m:r>
              <w:rPr>
                <w:rFonts w:ascii="Cambria Math" w:hAnsi="Cambria Math"/>
              </w:rPr>
              <m:t>0</m:t>
            </m:r>
          </m:sub>
        </m:sSub>
        <m:r>
          <w:rPr>
            <w:rFonts w:ascii="Cambria Math" w:hAnsi="Cambria Math" w:hint="eastAsia"/>
          </w:rPr>
          <m:t xml:space="preserve"> </m:t>
        </m:r>
      </m:oMath>
      <w:r w:rsidRPr="00BC31E0">
        <w:rPr>
          <w:rFonts w:asciiTheme="minorHAnsi" w:eastAsiaTheme="minorEastAsia" w:hAnsiTheme="minorHAnsi"/>
          <w:bCs/>
        </w:rPr>
        <w:t>(</w:t>
      </w:r>
      <w:r w:rsidRPr="00BC31E0">
        <w:rPr>
          <w:rFonts w:asciiTheme="minorHAnsi" w:eastAsiaTheme="minorEastAsia" w:hAnsiTheme="minorEastAsia"/>
          <w:bCs/>
        </w:rPr>
        <w:t>各きずを半楕円きずとしたとき，短軸の半長</w:t>
      </w:r>
      <m:oMath>
        <m:r>
          <m:rPr>
            <m:sty m:val="p"/>
          </m:rPr>
          <w:rPr>
            <w:rFonts w:ascii="Cambria Math" w:eastAsiaTheme="minorEastAsia" w:hAnsiTheme="minorHAnsi"/>
          </w:rPr>
          <m:t xml:space="preserve"> </m:t>
        </m:r>
        <m:r>
          <w:rPr>
            <w:rFonts w:ascii="Cambria Math" w:eastAsiaTheme="minorEastAsia" w:hAnsi="Cambria Math"/>
          </w:rPr>
          <m:t>b</m:t>
        </m:r>
        <m:r>
          <w:rPr>
            <w:rFonts w:ascii="Cambria Math" w:eastAsiaTheme="minorEastAsia" w:hAnsiTheme="minorHAnsi"/>
          </w:rPr>
          <m:t xml:space="preserve"> </m:t>
        </m:r>
      </m:oMath>
      <w:r w:rsidRPr="00BC31E0">
        <w:rPr>
          <w:rFonts w:asciiTheme="minorHAnsi" w:eastAsiaTheme="minorEastAsia" w:hAnsiTheme="minorEastAsia"/>
          <w:bCs/>
        </w:rPr>
        <w:t>の最小値</w:t>
      </w:r>
      <w:r w:rsidRPr="00BC31E0">
        <w:rPr>
          <w:rFonts w:asciiTheme="minorHAnsi" w:eastAsiaTheme="minorEastAsia" w:hAnsiTheme="minorHAnsi"/>
          <w:bCs/>
        </w:rPr>
        <w:t>)</w:t>
      </w:r>
      <w:r w:rsidRPr="00BC31E0">
        <w:rPr>
          <w:rFonts w:ascii="ＭＳ 明朝" w:hAnsi="ＭＳ 明朝" w:hint="eastAsia"/>
          <w:bCs/>
        </w:rPr>
        <w:t>より小さい場合は同一平面上に存在するきずとして判定する。また，距離</w:t>
      </w:r>
      <m:oMath>
        <m:r>
          <m:rPr>
            <m:sty m:val="p"/>
          </m:rPr>
          <w:rPr>
            <w:rFonts w:ascii="Cambria Math" w:hAnsi="Cambria Math"/>
          </w:rPr>
          <m:t xml:space="preserve"> </m:t>
        </m:r>
        <m:r>
          <w:rPr>
            <w:rFonts w:ascii="Cambria Math" w:hAnsi="Cambria Math"/>
          </w:rPr>
          <m:t xml:space="preserve">d </m:t>
        </m:r>
      </m:oMath>
      <w:r w:rsidRPr="00BC31E0">
        <w:rPr>
          <w:rFonts w:ascii="ＭＳ 明朝" w:hAnsi="ＭＳ 明朝" w:hint="eastAsia"/>
          <w:bCs/>
        </w:rPr>
        <w:t>が</w:t>
      </w:r>
      <m:oMath>
        <m:sSub>
          <m:sSubPr>
            <m:ctrlPr>
              <w:rPr>
                <w:rFonts w:ascii="Cambria Math" w:hAnsi="Cambria Math"/>
                <w:bCs/>
                <w:i/>
              </w:rPr>
            </m:ctrlPr>
          </m:sSubPr>
          <m:e>
            <m:r>
              <w:rPr>
                <w:rFonts w:ascii="Cambria Math" w:hAnsi="Cambria Math"/>
              </w:rPr>
              <m:t xml:space="preserve"> d</m:t>
            </m:r>
          </m:e>
          <m:sub>
            <m:r>
              <w:rPr>
                <w:rFonts w:ascii="Cambria Math" w:hAnsi="Cambria Math"/>
              </w:rPr>
              <m:t>0</m:t>
            </m:r>
          </m:sub>
        </m:sSub>
        <m:r>
          <w:rPr>
            <w:rFonts w:ascii="Cambria Math" w:hAnsi="Cambria Math"/>
          </w:rPr>
          <m:t xml:space="preserve"> </m:t>
        </m:r>
      </m:oMath>
      <w:r w:rsidRPr="00BC31E0">
        <w:rPr>
          <w:rFonts w:ascii="ＭＳ 明朝" w:hAnsi="ＭＳ 明朝" w:hint="eastAsia"/>
          <w:bCs/>
        </w:rPr>
        <w:t>より大きい場合は，単独で存在するきずと判定する。</w:t>
      </w:r>
    </w:p>
    <w:p w14:paraId="37181B23" w14:textId="77777777" w:rsidR="00491348" w:rsidRPr="00BC31E0" w:rsidRDefault="00491348" w:rsidP="00096626">
      <w:pPr>
        <w:rPr>
          <w:rFonts w:ascii="ＭＳ 明朝" w:hAnsi="ＭＳ 明朝"/>
        </w:rPr>
      </w:pPr>
    </w:p>
    <w:p w14:paraId="32D5DBDE" w14:textId="77777777" w:rsidR="008103A2" w:rsidRPr="00BC31E0" w:rsidRDefault="00A51873" w:rsidP="00096626">
      <w:pPr>
        <w:jc w:val="center"/>
      </w:pPr>
      <w:r>
        <w:rPr>
          <w:noProof/>
        </w:rPr>
      </w:r>
      <w:r>
        <w:rPr>
          <w:noProof/>
        </w:rPr>
        <w:pict w14:anchorId="2E483B85">
          <v:group id="Group 10804" o:spid="_x0000_s1530" style="width:412pt;height:83.35pt;mso-position-horizontal-relative:char;mso-position-vertical-relative:line" coordorigin="1852,7550" coordsize="8240,1667">
            <v:shape id="Text Box 4209" o:spid="_x0000_s1531" type="#_x0000_t202" style="position:absolute;left:6235;top:7727;width:3857;height:12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" stroked="f">
              <v:textbox>
                <w:txbxContent>
                  <w:p w14:paraId="0A151A3A" w14:textId="77777777" w:rsidR="003B0864" w:rsidRDefault="003B0864" w:rsidP="008103A2">
                    <w:r w:rsidRPr="009E6952">
                      <w:rPr>
                        <w:rFonts w:ascii="Cambria Math" w:hAnsi="Cambria Math"/>
                      </w:rPr>
                      <w:t>𝐷</w:t>
                    </w:r>
                    <w:r>
                      <w:rPr>
                        <w:rFonts w:ascii="Cambria Math" w:hAnsi="Cambria Math" w:hint="eastAsia"/>
                      </w:rPr>
                      <w:t xml:space="preserve"> </w:t>
                    </w:r>
                    <w:r w:rsidRPr="00FB51E8">
                      <w:rPr>
                        <w:rFonts w:ascii="Cambria Math" w:hAnsi="Cambria Math"/>
                      </w:rPr>
                      <w:t>&lt;</w:t>
                    </w:r>
                    <w:r>
                      <w:rPr>
                        <w:rFonts w:ascii="Cambria Math" w:hAnsi="Cambria Math" w:hint="eastAsia"/>
                      </w:rPr>
                      <w:t xml:space="preserve"> </w:t>
                    </w:r>
                    <w:r w:rsidRPr="009E6952">
                      <w:rPr>
                        <w:rFonts w:ascii="Cambria Math" w:hAnsi="Cambria Math"/>
                      </w:rPr>
                      <w:t>𝐷</w:t>
                    </w:r>
                    <w:r w:rsidRPr="009E6952">
                      <w:rPr>
                        <w:rFonts w:ascii="Cambria Math" w:hAnsi="Cambria Math" w:hint="eastAsia"/>
                        <w:position w:val="-2"/>
                        <w:vertAlign w:val="subscript"/>
                      </w:rPr>
                      <w:t>0</w:t>
                    </w:r>
                    <w:r>
                      <w:rPr>
                        <w:rFonts w:hint="eastAsia"/>
                      </w:rPr>
                      <w:t>の場合は結合されたきず</w:t>
                    </w:r>
                  </w:p>
                  <w:p w14:paraId="669BE3BB" w14:textId="77777777" w:rsidR="003B0864" w:rsidRDefault="003B0864" w:rsidP="008103A2">
                    <w:r>
                      <w:rPr>
                        <w:rFonts w:hint="eastAsia"/>
                      </w:rPr>
                      <w:t>として評価する。</w:t>
                    </w:r>
                  </w:p>
                  <w:p w14:paraId="057C73C6" w14:textId="77777777" w:rsidR="003B0864" w:rsidRDefault="003B0864" w:rsidP="008103A2">
                    <w:r>
                      <w:rPr>
                        <w:rFonts w:hint="eastAsia"/>
                      </w:rPr>
                      <w:t>ただし，</w:t>
                    </w:r>
                    <w:r w:rsidRPr="009E6952">
                      <w:rPr>
                        <w:rFonts w:ascii="Cambria Math" w:hAnsi="Cambria Math"/>
                      </w:rPr>
                      <w:t>𝐷</w:t>
                    </w:r>
                    <w:r w:rsidRPr="009E6952">
                      <w:rPr>
                        <w:rFonts w:ascii="Cambria Math" w:hAnsi="Cambria Math" w:hint="eastAsia"/>
                        <w:position w:val="-2"/>
                        <w:vertAlign w:val="subscript"/>
                      </w:rPr>
                      <w:t>0</w:t>
                    </w:r>
                    <w:r w:rsidRPr="009E6952">
                      <w:rPr>
                        <w:rFonts w:ascii="Cambria Math" w:hAnsi="Cambria Math"/>
                      </w:rPr>
                      <w:t>=</w:t>
                    </w:r>
                    <w:r w:rsidRPr="009E6952">
                      <w:rPr>
                        <w:rFonts w:ascii="Cambria Math" w:hAnsi="Cambria Math"/>
                        <w:b/>
                      </w:rPr>
                      <w:t>𝑚𝑎𝑥</w:t>
                    </w:r>
                    <w:r w:rsidRPr="00207960">
                      <w:rPr>
                        <w:rFonts w:ascii="Cambria Math" w:hAnsi="Cambria Math"/>
                      </w:rPr>
                      <w:t xml:space="preserve"> (</w:t>
                    </w:r>
                    <w:r w:rsidRPr="009E6952">
                      <w:rPr>
                        <w:rFonts w:ascii="Cambria Math" w:hAnsi="Cambria Math"/>
                      </w:rPr>
                      <w:t>𝑎</w:t>
                    </w:r>
                    <w:r w:rsidRPr="00207960">
                      <w:rPr>
                        <w:rFonts w:ascii="Cambria Math" w:hAnsi="Cambria Math"/>
                        <w:position w:val="-2"/>
                        <w:vertAlign w:val="subscript"/>
                      </w:rPr>
                      <w:t>1</w:t>
                    </w:r>
                    <w:r w:rsidRPr="00207960">
                      <w:rPr>
                        <w:rFonts w:ascii="Cambria Math" w:hAnsi="Cambria Math"/>
                      </w:rPr>
                      <w:t>,</w:t>
                    </w:r>
                    <w:r w:rsidRPr="00207960">
                      <w:rPr>
                        <w:rFonts w:ascii="Cambria Math" w:hAnsi="Cambria Math" w:hint="eastAsia"/>
                      </w:rPr>
                      <w:t xml:space="preserve"> </w:t>
                    </w:r>
                    <w:r w:rsidRPr="009E6952">
                      <w:rPr>
                        <w:rFonts w:ascii="Cambria Math" w:hAnsi="Cambria Math"/>
                      </w:rPr>
                      <w:t>𝑎</w:t>
                    </w:r>
                    <w:r w:rsidRPr="00207960">
                      <w:rPr>
                        <w:rFonts w:ascii="Cambria Math" w:hAnsi="Cambria Math"/>
                        <w:position w:val="-2"/>
                        <w:vertAlign w:val="subscript"/>
                      </w:rPr>
                      <w:t>2</w:t>
                    </w:r>
                    <w:r w:rsidRPr="00207960">
                      <w:rPr>
                        <w:rFonts w:ascii="Cambria Math" w:hAnsi="Cambria Math"/>
                      </w:rPr>
                      <w:t>)</w:t>
                    </w:r>
                  </w:p>
                </w:txbxContent>
              </v:textbox>
            </v:shape>
            <v:group id="Group 4647" o:spid="_x0000_s1532" style="position:absolute;left:1852;top:7550;width:3915;height:1667" coordorigin="2860,1687" coordsize="3915,1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">
              <v:shape id="Text Box 4648" o:spid="_x0000_s1533" type="#_x0000_t202" style="position:absolute;left:5710;top:2304;width:1065;height:5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" stroked="f">
                <v:textbox>
                  <w:txbxContent>
                    <w:p w14:paraId="40B0F006" w14:textId="77777777" w:rsidR="003B0864" w:rsidRPr="00207960" w:rsidRDefault="003B0864" w:rsidP="008103A2">
                      <w:pPr>
                        <w:rPr>
                          <w:rFonts w:ascii="Cambria Math" w:hAnsi="Cambria Math"/>
                        </w:rPr>
                      </w:pPr>
                      <w:r w:rsidRPr="00207960">
                        <w:rPr>
                          <w:rFonts w:ascii="Cambria Math" w:hAnsi="Cambria Math"/>
                        </w:rPr>
                        <w:t>2</w:t>
                      </w:r>
                      <w:r>
                        <w:rPr>
                          <w:rFonts w:ascii="Cambria Math" w:hAnsi="Cambria Math"/>
                        </w:rPr>
                        <w:t>𝑎</w:t>
                      </w:r>
                      <w:r w:rsidRPr="00207960">
                        <w:rPr>
                          <w:rFonts w:ascii="Cambria Math" w:hAnsi="Cambria Math"/>
                          <w:position w:val="-2"/>
                          <w:vertAlign w:val="subscript"/>
                        </w:rPr>
                        <w:t>1</w:t>
                      </w:r>
                    </w:p>
                  </w:txbxContent>
                </v:textbox>
              </v:shape>
              <v:shape id="Text Box 4649" o:spid="_x0000_s1534" type="#_x0000_t202" style="position:absolute;left:2860;top:2529;width:1065;height:5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" stroked="f">
                <v:textbox>
                  <w:txbxContent>
                    <w:p w14:paraId="72A66425" w14:textId="77777777" w:rsidR="003B0864" w:rsidRDefault="003B0864" w:rsidP="008103A2">
                      <w:r w:rsidRPr="00207960">
                        <w:rPr>
                          <w:rFonts w:ascii="Cambria Math" w:hAnsi="Cambria Math"/>
                        </w:rPr>
                        <w:t>2</w:t>
                      </w:r>
                      <w:r w:rsidRPr="000214B6">
                        <w:rPr>
                          <w:rFonts w:ascii="Cambria Math" w:hAnsi="Cambria Math"/>
                        </w:rPr>
                        <w:t xml:space="preserve"> </w:t>
                      </w:r>
                      <w:r>
                        <w:rPr>
                          <w:rFonts w:ascii="Cambria Math" w:hAnsi="Cambria Math"/>
                        </w:rPr>
                        <w:t>𝑎</w:t>
                      </w:r>
                      <w:r w:rsidRPr="00207960">
                        <w:rPr>
                          <w:rFonts w:ascii="Cambria Math" w:hAnsi="Cambria Math"/>
                          <w:position w:val="-2"/>
                          <w:vertAlign w:val="subscript"/>
                        </w:rPr>
                        <w:t>2</w:t>
                      </w:r>
                    </w:p>
                  </w:txbxContent>
                </v:textbox>
              </v:shape>
              <v:shape id="Text Box 4650" o:spid="_x0000_s1535" type="#_x0000_t202" style="position:absolute;left:4265;top:2784;width:1065;height:5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" stroked="f">
                <v:textbox>
                  <w:txbxContent>
                    <w:p w14:paraId="28B4DD6F" w14:textId="77777777" w:rsidR="003B0864" w:rsidRPr="00207960" w:rsidRDefault="003B0864" w:rsidP="008103A2">
                      <w:pPr>
                        <w:rPr>
                          <w:rFonts w:ascii="Cambria Math" w:hAnsi="Cambria Math"/>
                          <w:i/>
                        </w:rPr>
                      </w:pPr>
                      <w:r w:rsidRPr="000214B6">
                        <w:rPr>
                          <w:rFonts w:ascii="Cambria Math" w:hAnsi="Cambria Math"/>
                        </w:rPr>
                        <w:t>𝐷</w:t>
                      </w:r>
                    </w:p>
                  </w:txbxContent>
                </v:textbox>
              </v:shape>
              <v:group id="Group 4651" o:spid="_x0000_s1536" style="position:absolute;left:3052;top:1687;width:3115;height:1515" coordorigin="3052,1687" coordsize="3115,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">
                <v:oval id="Oval 4652" o:spid="_x0000_s1537" alt="横線" style="position:absolute;left:3330;top:2077;width:810;height:240;rotation: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" fillcolor="black">
                  <v:fill r:id="rId111" o:title="" type="pattern"/>
                </v:oval>
                <v:line id="Line 4653" o:spid="_x0000_s1538" style="position:absolute;flip:x;visibility:visible" from="3052,1919" to="3442,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" strokeweight=".5pt"/>
                <v:line id="Line 4654" o:spid="_x0000_s1539" style="position:absolute;flip:x;visibility:visible" from="3675,2497" to="4020,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" strokeweight=".5pt"/>
                <v:line id="Line 4655" o:spid="_x0000_s1540" style="position:absolute;visibility:visible" from="3075,2302" to="3675,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" strokeweight=".5pt">
                  <v:stroke startarrow="open" endarrow="open"/>
                </v:line>
                <v:oval id="Oval 4656" o:spid="_x0000_s1541" alt="横線" style="position:absolute;left:4775;top:1971;width:1156;height:285;rotation:-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" fillcolor="black">
                  <v:fill r:id="rId111" o:title="" type="pattern"/>
                </v:oval>
                <v:line id="Line 4657" o:spid="_x0000_s1542" style="position:absolute;visibility:visible" from="5740,1687" to="6167,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" strokeweight=".5pt"/>
                <v:line id="Line 4658" o:spid="_x0000_s1543" style="position:absolute;visibility:visible" from="4948,2540" to="5438,2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" strokeweight=".5pt"/>
                <v:line id="Line 4659" o:spid="_x0000_s1544" style="position:absolute;flip:x;visibility:visible" from="5375,2023" to="6129,2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" strokeweight=".5pt">
                  <v:stroke startarrow="open" endarrow="open"/>
                </v:line>
                <v:line id="Line 4660" o:spid="_x0000_s1545" style="position:absolute;visibility:visible" from="4035,2422" to="4035,3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" strokeweight=".5pt"/>
                <v:line id="Line 4661" o:spid="_x0000_s1546" style="position:absolute;visibility:visible" from="4935,2527" to="4935,3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" strokeweight=".5pt"/>
                <v:line id="Line 4662" o:spid="_x0000_s1547" style="position:absolute;visibility:visible" from="4038,3172" to="4938,3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" strokeweight=".5pt">
                  <v:stroke startarrow="open" endarrow="open"/>
                </v:line>
              </v:group>
            </v:group>
            <w10:anchorlock/>
          </v:group>
        </w:pict>
      </w:r>
    </w:p>
    <w:p w14:paraId="5160986F" w14:textId="77777777" w:rsidR="008103A2" w:rsidRPr="00BC31E0" w:rsidRDefault="008103A2" w:rsidP="00096626">
      <w:pPr>
        <w:tabs>
          <w:tab w:val="left" w:pos="6405"/>
        </w:tabs>
        <w:rPr>
          <w:rFonts w:hAnsi="ＭＳ 明朝"/>
        </w:rPr>
      </w:pPr>
    </w:p>
    <w:p w14:paraId="01C4AA6D" w14:textId="77777777" w:rsidR="008103A2" w:rsidRPr="00BC31E0" w:rsidRDefault="00A51873" w:rsidP="00096626">
      <w:pPr>
        <w:jc w:val="center"/>
        <w:outlineLvl w:val="6"/>
        <w:rPr>
          <w:rFonts w:ascii="ＭＳ ゴシック" w:eastAsia="ＭＳ ゴシック"/>
          <w:b/>
        </w:rPr>
      </w:pPr>
      <w:r>
        <w:rPr>
          <w:rFonts w:ascii="ＭＳ ゴシック" w:eastAsia="ＭＳ ゴシック"/>
          <w:b/>
          <w:noProof/>
        </w:rPr>
      </w:r>
      <w:r>
        <w:rPr>
          <w:rFonts w:ascii="ＭＳ ゴシック" w:eastAsia="ＭＳ ゴシック"/>
          <w:b/>
          <w:noProof/>
        </w:rPr>
        <w:pict w14:anchorId="01A919F3">
          <v:group id="Group 10803" o:spid="_x0000_s1548" style="width:415.85pt;height:106.25pt;mso-position-horizontal-relative:char;mso-position-vertical-relative:line" coordorigin="1848,10258" coordsize="8317,2125">
            <v:group id="Group 4181" o:spid="_x0000_s1549" style="position:absolute;left:1848;top:10258;width:4353;height:2125" coordorigin="3143,2469" coordsize="4353,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">
              <v:shape id="Text Box 4182" o:spid="_x0000_s1550" type="#_x0000_t202" style="position:absolute;left:6746;top:3624;width:750;height:4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" stroked="f">
                <v:textbox>
                  <w:txbxContent>
                    <w:p w14:paraId="32031478" w14:textId="77777777" w:rsidR="003B0864" w:rsidRPr="00207960" w:rsidRDefault="003B0864" w:rsidP="008103A2">
                      <w:pPr>
                        <w:rPr>
                          <w:rFonts w:ascii="Cambria Math" w:hAnsi="Cambria Math"/>
                          <w:i/>
                        </w:rPr>
                      </w:pPr>
                      <w:r w:rsidRPr="000214B6">
                        <w:rPr>
                          <w:rFonts w:ascii="Cambria Math" w:hAnsi="Cambria Math"/>
                        </w:rPr>
                        <w:t>𝑑</w:t>
                      </w:r>
                    </w:p>
                  </w:txbxContent>
                </v:textbox>
              </v:shape>
              <v:line id="Line 4183" o:spid="_x0000_s1551" style="position:absolute;visibility:visible" from="3435,3005" to="5910,3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"/>
              <v:line id="Line 4184" o:spid="_x0000_s1552" style="position:absolute;flip:y;visibility:visible" from="5904,2970" to="7284,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"/>
              <v:oval id="Oval 4185" o:spid="_x0000_s1553" alt="右上がり対角線" style="position:absolute;left:4377;top:3723;width:975;height:266;rotation: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" fillcolor="black">
                <v:fill r:id="rId112" o:title="" type="pattern"/>
              </v:oval>
              <v:shape id="Text Box 4186" o:spid="_x0000_s1554" type="#_x0000_t202" style="position:absolute;left:3221;top:3219;width:750;height:4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" stroked="f">
                <v:textbox>
                  <w:txbxContent>
                    <w:p w14:paraId="7F1D88FE" w14:textId="77777777" w:rsidR="003B0864" w:rsidRPr="00207960" w:rsidRDefault="003B0864" w:rsidP="008103A2">
                      <w:pPr>
                        <w:rPr>
                          <w:rFonts w:ascii="Cambria Math" w:hAnsi="Cambria Math"/>
                        </w:rPr>
                      </w:pPr>
                      <w:r w:rsidRPr="00207960">
                        <w:rPr>
                          <w:rFonts w:ascii="Cambria Math" w:hAnsi="Cambria Math"/>
                        </w:rPr>
                        <w:t>2</w:t>
                      </w:r>
                      <w:r>
                        <w:rPr>
                          <w:rFonts w:ascii="Cambria Math" w:hAnsi="Cambria Math"/>
                        </w:rPr>
                        <w:t>𝑏</w:t>
                      </w:r>
                      <w:r w:rsidRPr="00207960">
                        <w:rPr>
                          <w:rFonts w:ascii="Cambria Math" w:hAnsi="Cambria Math"/>
                          <w:position w:val="-2"/>
                          <w:vertAlign w:val="subscript"/>
                        </w:rPr>
                        <w:t>1</w:t>
                      </w:r>
                    </w:p>
                  </w:txbxContent>
                </v:textbox>
              </v:shape>
              <v:group id="Group 4187" o:spid="_x0000_s1555" style="position:absolute;left:3690;top:3471;width:1200;height:522" coordorigin="3420,3525" coordsize="1200,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">
                <v:line id="Line 4188" o:spid="_x0000_s1556" style="position:absolute;flip:x y;visibility:visible" from="3690,3525" to="4620,3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" strokeweight=".3pt"/>
                <v:line id="Line 4189" o:spid="_x0000_s1557" style="position:absolute;flip:x y;visibility:visible" from="3420,3732" to="4590,4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" strokeweight=".3pt"/>
                <v:line id="Line 4190" o:spid="_x0000_s1558" style="position:absolute;flip:x;visibility:visible" from="3473,3555" to="3803,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" strokeweight=".3pt">
                  <v:stroke startarrow="open" endarrow="open"/>
                </v:line>
              </v:group>
              <v:oval id="Oval 4191" o:spid="_x0000_s1559" alt="右上がり対角線" style="position:absolute;left:5247;top:3012;width:975;height:266;rotation: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" fillcolor="black">
                <v:fill r:id="rId112" o:title="" type="pattern"/>
              </v:oval>
              <v:shape id="Text Box 4192" o:spid="_x0000_s1560" type="#_x0000_t202" style="position:absolute;left:4121;top:2469;width:750;height:4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" stroked="f">
                <v:textbox>
                  <w:txbxContent>
                    <w:p w14:paraId="249272D8" w14:textId="77777777" w:rsidR="003B0864" w:rsidRPr="00207960" w:rsidRDefault="003B0864" w:rsidP="008103A2">
                      <w:pPr>
                        <w:rPr>
                          <w:rFonts w:ascii="Cambria Math" w:hAnsi="Cambria Math"/>
                          <w:vertAlign w:val="subscript"/>
                        </w:rPr>
                      </w:pPr>
                      <w:r w:rsidRPr="00207960">
                        <w:rPr>
                          <w:rFonts w:ascii="Cambria Math" w:hAnsi="Cambria Math"/>
                        </w:rPr>
                        <w:t>2</w:t>
                      </w:r>
                      <w:r>
                        <w:rPr>
                          <w:rFonts w:ascii="Cambria Math" w:hAnsi="Cambria Math"/>
                        </w:rPr>
                        <w:t>𝑏</w:t>
                      </w:r>
                      <w:r w:rsidRPr="00207960">
                        <w:rPr>
                          <w:rFonts w:ascii="Cambria Math" w:hAnsi="Cambria Math"/>
                          <w:position w:val="-2"/>
                          <w:vertAlign w:val="subscript"/>
                        </w:rPr>
                        <w:t>2</w:t>
                      </w:r>
                    </w:p>
                    <w:p w14:paraId="214C9B31" w14:textId="77777777" w:rsidR="003B0864" w:rsidRDefault="003B0864" w:rsidP="008103A2">
                      <w:pPr>
                        <w:rPr>
                          <w:vertAlign w:val="superscript"/>
                        </w:rPr>
                      </w:pPr>
                    </w:p>
                  </w:txbxContent>
                </v:textbox>
              </v:shape>
              <v:group id="Group 4193" o:spid="_x0000_s1561" style="position:absolute;left:4560;top:2760;width:1200;height:522" coordorigin="3420,3525" coordsize="1200,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">
                <v:line id="Line 4194" o:spid="_x0000_s1562" style="position:absolute;flip:x y;visibility:visible" from="3690,3525" to="4620,3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" strokeweight=".3pt"/>
                <v:line id="Line 4195" o:spid="_x0000_s1563" style="position:absolute;flip:x y;visibility:visible" from="3420,3732" to="4590,4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" strokeweight=".3pt"/>
                <v:line id="Line 4196" o:spid="_x0000_s1564" style="position:absolute;flip:x;visibility:visible" from="3473,3555" to="3803,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" strokeweight=".3pt">
                  <v:stroke startarrow="open" endarrow="open"/>
                </v:line>
              </v:group>
              <v:line id="Line 4197" o:spid="_x0000_s1565" style="position:absolute;visibility:visible" from="5303,3015" to="6773,3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" strokeweight=".3pt"/>
              <v:line id="Line 4198" o:spid="_x0000_s1566" style="position:absolute;visibility:visible" from="4418,3723" to="6788,4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" strokeweight=".3pt"/>
              <v:line id="Line 4199" o:spid="_x0000_s1567" style="position:absolute;visibility:visible" from="6773,3420" to="6773,4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" strokeweight=".3pt">
                <v:stroke startarrow="open" endarrow="open"/>
              </v:line>
              <v:line id="Line 4200" o:spid="_x0000_s1568" style="position:absolute;visibility:visible" from="5888,3615" to="5888,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"/>
              <v:shape id="Freeform 4201" o:spid="_x0000_s1569" style="position:absolute;left:3143;top:4204;width:2745;height:626;visibility:visible;mso-wrap-style:square;v-text-anchor:top" coordsize="2745,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" path="m2745,626c2635,571,2489,581,2370,551,2206,510,2064,410,1890,401v-180,-9,-360,-10,-540,-15c1141,351,944,263,735,221,660,183,560,166,480,146v-11,-3,-19,-12,-30,-15c425,124,400,121,375,116,300,79,213,70,135,41,25,,128,11,,11e" filled="f">
                <v:path arrowok="t" o:connecttype="custom" o:connectlocs="2745,626;2370,551;1890,401;1350,386;735,221;480,146;450,131;375,116;135,41;0,11" o:connectangles="0,0,0,0,0,0,0,0,0,0"/>
              </v:shape>
              <v:shape id="Freeform 4202" o:spid="_x0000_s1570" style="position:absolute;left:5888;top:4200;width:1410;height:615;visibility:visible;mso-wrap-style:square;v-text-anchor:top" coordsize="201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" path="m,915c125,853,259,809,390,765v93,-31,-50,1,75,-30c678,682,898,624,1095,525v13,-6,18,-22,30,-30c1144,483,1169,481,1185,465v10,-10,18,-22,30,-30c1234,423,1259,421,1275,405v46,-46,152,-106,210,-135c1509,258,1552,211,1575,195v19,-12,40,-20,60,-30c1645,160,1665,150,1665,150v5,-10,6,-23,15,-30c1745,68,1874,34,1950,15,1970,10,2010,,2010,e" filled="f">
                <v:path arrowok="t" o:connecttype="custom" o:connectlocs="0,615;274,514;326,494;768,353;789,333;831,313;852,292;894,272;1042,181;1105,131;1147,111;1168,101;1179,81;1368,10;1410,0" o:connectangles="0,0,0,0,0,0,0,0,0,0,0,0,0,0,0"/>
              </v:shape>
              <v:line id="Line 4203" o:spid="_x0000_s1571" style="position:absolute;visibility:visible" from="7298,2970" to="7298,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"/>
              <v:shape id="Freeform 4204" o:spid="_x0000_s1572" style="position:absolute;left:5258;top:2550;width:2025;height:420;visibility:visible;mso-wrap-style:square;v-text-anchor:top" coordsize="202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" path="m2025,420c1843,410,1665,401,1485,375,1392,344,1306,304,1215,270,1081,220,920,178,780,150,715,118,628,113,555,105,440,92,210,75,210,75,143,53,73,,,e" filled="f">
                <v:path arrowok="t" o:connecttype="custom" o:connectlocs="2025,420;1485,375;1215,270;780,150;555,105;210,75;0,0" o:connectangles="0,0,0,0,0,0,0"/>
              </v:shape>
              <v:shape id="Freeform 4205" o:spid="_x0000_s1573" style="position:absolute;left:3458;top:2805;width:345;height:210;visibility:visible;mso-wrap-style:square;v-text-anchor:top" coordsize="34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" path="m,210c3,199,14,136,30,120,70,80,189,78,225,60v8,-4,87,-43,90,-45c325,10,345,,345,e" filled="f">
                <v:path arrowok="t" o:connecttype="custom" o:connectlocs="0,210;30,120;225,60;315,15;345,0" o:connectangles="0,0,0,0,0"/>
              </v:shape>
              <v:shape id="Freeform 4206" o:spid="_x0000_s1574" style="position:absolute;left:3367;top:3015;width:106;height:285;visibility:visible;mso-wrap-style:square;v-text-anchor:top" coordsize="10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" path="m106,c56,25,81,5,46,75,,166,16,139,16,285e" filled="f">
                <v:path arrowok="t" o:connecttype="custom" o:connectlocs="106,0;46,75;16,285" o:connectangles="0,0,0"/>
              </v:shape>
              <v:shape id="Freeform 4207" o:spid="_x0000_s1575" style="position:absolute;left:3158;top:3930;width:90;height:270;visibility:visible;mso-wrap-style:square;v-text-anchor:top" coordsize="9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" path="m,270c35,166,90,112,90,e" filled="f">
                <v:path arrowok="t" o:connecttype="custom" o:connectlocs="0,270;90,0" o:connectangles="0,0"/>
              </v:shape>
            </v:group>
            <v:shape id="Text Box 4208" o:spid="_x0000_s1576" type="#_x0000_t202" style="position:absolute;left:6366;top:10656;width:3799;height:1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" stroked="f">
              <v:textbox>
                <w:txbxContent>
                  <w:p w14:paraId="46A4044A" w14:textId="77777777" w:rsidR="003B0864" w:rsidRDefault="003B0864" w:rsidP="008103A2">
                    <w:pPr>
                      <w:jc w:val="left"/>
                    </w:pPr>
                    <w:r>
                      <w:rPr>
                        <w:rFonts w:ascii="Cambria Math" w:hAnsi="Cambria Math"/>
                      </w:rPr>
                      <w:t>𝑑</w:t>
                    </w:r>
                    <w:r w:rsidRPr="00207960">
                      <w:rPr>
                        <w:rFonts w:ascii="Cambria Math" w:hAnsi="Cambria Math"/>
                      </w:rPr>
                      <w:t xml:space="preserve"> </w:t>
                    </w:r>
                    <w:r w:rsidRPr="00FB51E8">
                      <w:rPr>
                        <w:rFonts w:ascii="Cambria Math" w:hAnsi="Cambria Math"/>
                      </w:rPr>
                      <w:t xml:space="preserve">&lt; </w:t>
                    </w:r>
                    <w:r w:rsidRPr="009E6952">
                      <w:rPr>
                        <w:rFonts w:ascii="Cambria Math" w:hAnsi="Cambria Math"/>
                      </w:rPr>
                      <w:t>𝑑</w:t>
                    </w:r>
                    <w:r w:rsidRPr="009E6952">
                      <w:rPr>
                        <w:rFonts w:ascii="Cambria Math" w:hAnsi="Cambria Math"/>
                        <w:position w:val="-2"/>
                        <w:vertAlign w:val="subscript"/>
                      </w:rPr>
                      <w:t>0</w:t>
                    </w:r>
                    <w:r>
                      <w:rPr>
                        <w:rFonts w:hint="eastAsia"/>
                      </w:rPr>
                      <w:t>の場合は同一平面上に存在</w:t>
                    </w:r>
                  </w:p>
                  <w:p w14:paraId="1D455BE2" w14:textId="77777777" w:rsidR="003B0864" w:rsidRDefault="003B0864" w:rsidP="008103A2">
                    <w:pPr>
                      <w:jc w:val="left"/>
                    </w:pPr>
                    <w:r>
                      <w:rPr>
                        <w:rFonts w:hint="eastAsia"/>
                      </w:rPr>
                      <w:t>する</w:t>
                    </w:r>
                    <w:r w:rsidRPr="002E5C9E">
                      <w:rPr>
                        <w:rFonts w:hint="eastAsia"/>
                        <w:color w:val="FF0000"/>
                      </w:rPr>
                      <w:t>きずと</w:t>
                    </w:r>
                    <w:r>
                      <w:rPr>
                        <w:rFonts w:hint="eastAsia"/>
                        <w:color w:val="FF0000"/>
                      </w:rPr>
                      <w:t>して評価</w:t>
                    </w:r>
                    <w:r>
                      <w:rPr>
                        <w:rFonts w:hint="eastAsia"/>
                      </w:rPr>
                      <w:t>する。</w:t>
                    </w:r>
                  </w:p>
                  <w:p w14:paraId="08E2AE25" w14:textId="77777777" w:rsidR="003B0864" w:rsidRDefault="003B0864" w:rsidP="008103A2">
                    <w:pPr>
                      <w:jc w:val="left"/>
                    </w:pPr>
                    <w:r>
                      <w:rPr>
                        <w:rFonts w:hint="eastAsia"/>
                      </w:rPr>
                      <w:t>ただし，</w:t>
                    </w:r>
                    <w:r w:rsidRPr="009E6952">
                      <w:rPr>
                        <w:rFonts w:ascii="Cambria Math" w:hAnsi="Cambria Math"/>
                      </w:rPr>
                      <w:t>𝑑</w:t>
                    </w:r>
                    <w:r w:rsidRPr="009E6952">
                      <w:rPr>
                        <w:rFonts w:ascii="Cambria Math" w:hAnsi="Cambria Math"/>
                        <w:position w:val="-2"/>
                        <w:vertAlign w:val="subscript"/>
                      </w:rPr>
                      <w:t>0</w:t>
                    </w:r>
                    <w:r w:rsidRPr="009E6952">
                      <w:rPr>
                        <w:rFonts w:ascii="Cambria Math" w:hAnsi="Cambria Math"/>
                      </w:rPr>
                      <w:t>=</w:t>
                    </w:r>
                    <w:r w:rsidRPr="009E6952">
                      <w:rPr>
                        <w:rFonts w:ascii="Cambria Math" w:hAnsi="Cambria Math"/>
                        <w:b/>
                      </w:rPr>
                      <w:t>𝑚𝑖𝑛</w:t>
                    </w:r>
                    <w:r w:rsidRPr="00207960">
                      <w:rPr>
                        <w:rFonts w:ascii="Cambria Math" w:hAnsi="Cambria Math"/>
                      </w:rPr>
                      <w:t xml:space="preserve"> (</w:t>
                    </w:r>
                    <w:r>
                      <w:rPr>
                        <w:rFonts w:ascii="Cambria Math" w:hAnsi="Cambria Math"/>
                      </w:rPr>
                      <w:t>𝑏</w:t>
                    </w:r>
                    <w:r w:rsidRPr="00207960">
                      <w:rPr>
                        <w:rFonts w:ascii="Cambria Math" w:hAnsi="Cambria Math"/>
                        <w:position w:val="-2"/>
                        <w:vertAlign w:val="subscript"/>
                      </w:rPr>
                      <w:t>1</w:t>
                    </w:r>
                    <w:r w:rsidRPr="00207960">
                      <w:rPr>
                        <w:rFonts w:ascii="Cambria Math" w:hAnsi="Cambria Math"/>
                      </w:rPr>
                      <w:t>,</w:t>
                    </w:r>
                    <w:r w:rsidRPr="00207960">
                      <w:rPr>
                        <w:rFonts w:ascii="Cambria Math" w:hAnsi="Cambria Math" w:hint="eastAsia"/>
                      </w:rPr>
                      <w:t xml:space="preserve"> </w:t>
                    </w:r>
                    <w:r>
                      <w:rPr>
                        <w:rFonts w:ascii="Cambria Math" w:hAnsi="Cambria Math"/>
                      </w:rPr>
                      <w:t>𝑏</w:t>
                    </w:r>
                    <w:r w:rsidRPr="00207960">
                      <w:rPr>
                        <w:rFonts w:ascii="Cambria Math" w:hAnsi="Cambria Math"/>
                        <w:position w:val="-2"/>
                        <w:vertAlign w:val="subscript"/>
                      </w:rPr>
                      <w:t>2</w:t>
                    </w:r>
                    <w:r w:rsidRPr="00207960">
                      <w:rPr>
                        <w:rFonts w:ascii="Cambria Math" w:hAnsi="Cambria Math"/>
                      </w:rPr>
                      <w:t>)</w:t>
                    </w:r>
                  </w:p>
                </w:txbxContent>
              </v:textbox>
            </v:shape>
            <w10:anchorlock/>
          </v:group>
        </w:pict>
      </w:r>
    </w:p>
    <w:p w14:paraId="70CAD1BD" w14:textId="77777777" w:rsidR="008103A2" w:rsidRPr="00BC31E0" w:rsidRDefault="008103A2" w:rsidP="00096626"/>
    <w:p w14:paraId="2FDD3E11" w14:textId="77777777" w:rsidR="008103A2" w:rsidRPr="00BC31E0" w:rsidRDefault="008103A2" w:rsidP="00736130">
      <w:pPr>
        <w:pStyle w:val="a4"/>
        <w:numPr>
          <w:ilvl w:val="0"/>
          <w:numId w:val="344"/>
        </w:numPr>
        <w:ind w:leftChars="0" w:left="1134" w:hanging="567"/>
      </w:pPr>
      <w:r w:rsidRPr="00BC31E0">
        <w:rPr>
          <w:rFonts w:asciiTheme="majorEastAsia" w:eastAsiaTheme="majorEastAsia" w:hAnsiTheme="majorEastAsia" w:hint="eastAsia"/>
          <w:b/>
        </w:rPr>
        <w:t>きずの密集度，占積率に対する評価</w:t>
      </w:r>
      <w:r w:rsidRPr="00BC31E0">
        <w:rPr>
          <w:rFonts w:hint="eastAsia"/>
        </w:rPr>
        <w:t xml:space="preserve">　</w:t>
      </w:r>
      <w:r w:rsidRPr="00BC31E0">
        <w:rPr>
          <w:rFonts w:asciiTheme="majorEastAsia" w:eastAsiaTheme="majorEastAsia" w:hAnsiTheme="majorEastAsia" w:hint="eastAsia"/>
          <w:b/>
        </w:rPr>
        <w:t>2.1)</w:t>
      </w:r>
      <w:r w:rsidRPr="00BC31E0">
        <w:rPr>
          <w:rFonts w:hint="eastAsia"/>
        </w:rPr>
        <w:t>，</w:t>
      </w:r>
      <w:r w:rsidRPr="00BC31E0">
        <w:rPr>
          <w:rFonts w:asciiTheme="majorEastAsia" w:eastAsiaTheme="majorEastAsia" w:hAnsiTheme="majorEastAsia" w:hint="eastAsia"/>
          <w:b/>
        </w:rPr>
        <w:t>2.2)</w:t>
      </w:r>
      <w:r w:rsidRPr="00BC31E0">
        <w:rPr>
          <w:rFonts w:hint="eastAsia"/>
        </w:rPr>
        <w:t>で合格と判定されたきずが板材に密集して存在する場合，</w:t>
      </w:r>
      <w:r w:rsidRPr="00BC31E0">
        <w:rPr>
          <w:rFonts w:asciiTheme="majorEastAsia" w:eastAsiaTheme="majorEastAsia" w:hAnsiTheme="majorEastAsia" w:hint="eastAsia"/>
          <w:b/>
        </w:rPr>
        <w:t>JIS G 0801</w:t>
      </w:r>
      <w:r w:rsidRPr="00BC31E0">
        <w:rPr>
          <w:rFonts w:hint="eastAsia"/>
        </w:rPr>
        <w:t>又は</w:t>
      </w:r>
      <w:r w:rsidRPr="00BC31E0">
        <w:rPr>
          <w:rFonts w:asciiTheme="majorEastAsia" w:eastAsiaTheme="majorEastAsia" w:hAnsiTheme="majorEastAsia" w:hint="eastAsia"/>
          <w:b/>
        </w:rPr>
        <w:t>JIS G 0802</w:t>
      </w:r>
      <w:r w:rsidRPr="00BC31E0">
        <w:rPr>
          <w:rFonts w:hint="eastAsia"/>
        </w:rPr>
        <w:t>に準じたきずの密集度，占積率により判定する。</w:t>
      </w:r>
    </w:p>
    <w:p w14:paraId="55A2ED10" w14:textId="77777777" w:rsidR="008103A2" w:rsidRPr="00BC31E0" w:rsidRDefault="008103A2" w:rsidP="00736130">
      <w:pPr>
        <w:pStyle w:val="a4"/>
        <w:numPr>
          <w:ilvl w:val="0"/>
          <w:numId w:val="551"/>
        </w:numPr>
        <w:ind w:leftChars="0" w:left="454" w:hanging="454"/>
        <w:rPr>
          <w:rFonts w:ascii="ＭＳ 明朝" w:hAnsi="ＭＳ 明朝"/>
        </w:rPr>
      </w:pPr>
      <w:r w:rsidRPr="00BC31E0">
        <w:rPr>
          <w:rFonts w:asciiTheme="majorEastAsia" w:eastAsiaTheme="majorEastAsia" w:hint="eastAsia"/>
          <w:b/>
        </w:rPr>
        <w:t>溶接補修</w:t>
      </w:r>
      <w:r w:rsidRPr="00BC31E0">
        <w:rPr>
          <w:rFonts w:hint="eastAsia"/>
        </w:rPr>
        <w:t xml:space="preserve">　</w:t>
      </w:r>
      <w:r w:rsidRPr="00BC31E0">
        <w:rPr>
          <w:rFonts w:ascii="ＭＳ 明朝" w:hAnsi="ＭＳ 明朝" w:hint="eastAsia"/>
        </w:rPr>
        <w:t>補修するくぼみの深さは，板材の公称厚さの</w:t>
      </w:r>
      <w:r w:rsidRPr="00BC31E0">
        <w:t>1/3</w:t>
      </w:r>
      <w:r w:rsidRPr="00BC31E0">
        <w:rPr>
          <w:rFonts w:ascii="ＭＳ 明朝" w:hAnsi="ＭＳ 明朝" w:hint="eastAsia"/>
        </w:rPr>
        <w:t>を超えてはならない。補修を行う場合は</w:t>
      </w:r>
      <w:r w:rsidRPr="00BC31E0">
        <w:rPr>
          <w:rFonts w:asciiTheme="majorEastAsia" w:eastAsiaTheme="majorEastAsia" w:hAnsiTheme="majorEastAsia" w:hint="eastAsia"/>
          <w:b/>
        </w:rPr>
        <w:t>9.2.3</w:t>
      </w:r>
      <w:r w:rsidRPr="00BC31E0">
        <w:rPr>
          <w:rFonts w:ascii="ＭＳ 明朝" w:hAnsi="ＭＳ 明朝" w:hint="eastAsia"/>
        </w:rPr>
        <w:t>を適用する。</w:t>
      </w:r>
    </w:p>
    <w:p w14:paraId="666D6550" w14:textId="77777777" w:rsidR="008103A2" w:rsidRPr="00BC31E0" w:rsidRDefault="008103A2" w:rsidP="001116B1">
      <w:pPr>
        <w:pStyle w:val="3"/>
        <w:ind w:left="794" w:hanging="794"/>
      </w:pPr>
      <w:r w:rsidRPr="00BC31E0">
        <w:rPr>
          <w:rFonts w:hint="eastAsia"/>
        </w:rPr>
        <w:t>鍛造品・棒材の試験と補修</w:t>
      </w:r>
    </w:p>
    <w:p w14:paraId="0DD49A7D" w14:textId="77777777" w:rsidR="008103A2" w:rsidRPr="00BC31E0" w:rsidRDefault="008103A2" w:rsidP="00BD4A16">
      <w:pPr>
        <w:pStyle w:val="1110"/>
        <w:ind w:firstLine="210"/>
      </w:pPr>
      <w:r w:rsidRPr="00BC31E0">
        <w:rPr>
          <w:rFonts w:hint="eastAsia"/>
        </w:rPr>
        <w:t>鍛造品・棒材の試験と補修は，次の</w:t>
      </w:r>
      <w:r w:rsidRPr="00BC31E0">
        <w:rPr>
          <w:rFonts w:ascii="ＭＳ ゴシック" w:hAnsi="ＭＳ ゴシック" w:hint="eastAsia"/>
          <w:b/>
        </w:rPr>
        <w:t>a)</w:t>
      </w:r>
      <w:r w:rsidRPr="00BC31E0">
        <w:rPr>
          <w:rFonts w:hint="eastAsia"/>
        </w:rPr>
        <w:t>～</w:t>
      </w:r>
      <w:r w:rsidRPr="00BC31E0">
        <w:rPr>
          <w:rFonts w:ascii="ＭＳ ゴシック" w:hAnsi="ＭＳ ゴシック" w:hint="eastAsia"/>
          <w:b/>
        </w:rPr>
        <w:t>e)</w:t>
      </w:r>
      <w:r w:rsidRPr="00BC31E0">
        <w:rPr>
          <w:rFonts w:hint="eastAsia"/>
        </w:rPr>
        <w:t>による。</w:t>
      </w:r>
    </w:p>
    <w:p w14:paraId="30375A85" w14:textId="77777777" w:rsidR="008103A2" w:rsidRPr="00BC31E0" w:rsidRDefault="008103A2" w:rsidP="00736130">
      <w:pPr>
        <w:pStyle w:val="a4"/>
        <w:numPr>
          <w:ilvl w:val="0"/>
          <w:numId w:val="552"/>
        </w:numPr>
        <w:ind w:leftChars="0" w:left="454" w:hanging="454"/>
      </w:pPr>
      <w:r w:rsidRPr="00BC31E0">
        <w:rPr>
          <w:rFonts w:asciiTheme="majorEastAsia" w:eastAsiaTheme="majorEastAsia" w:hAnsiTheme="majorEastAsia" w:hint="eastAsia"/>
          <w:b/>
        </w:rPr>
        <w:t>要求される試験</w:t>
      </w:r>
      <w:r w:rsidRPr="00BC31E0">
        <w:rPr>
          <w:rFonts w:hint="eastAsia"/>
        </w:rPr>
        <w:t xml:space="preserve">　</w:t>
      </w:r>
      <w:r w:rsidRPr="00BC31E0">
        <w:rPr>
          <w:rFonts w:ascii="ＭＳ 明朝" w:hAnsi="ＭＳ 明朝" w:hint="eastAsia"/>
        </w:rPr>
        <w:t>要求される試験は，次の</w:t>
      </w:r>
      <w:r w:rsidRPr="00BC31E0">
        <w:rPr>
          <w:rFonts w:asciiTheme="majorEastAsia" w:eastAsiaTheme="majorEastAsia" w:hAnsiTheme="majorEastAsia" w:hint="eastAsia"/>
          <w:b/>
        </w:rPr>
        <w:t>1)</w:t>
      </w:r>
      <w:r w:rsidRPr="00BC31E0">
        <w:rPr>
          <w:rFonts w:ascii="ＭＳ 明朝" w:hAnsi="ＭＳ 明朝" w:hint="eastAsia"/>
        </w:rPr>
        <w:t>～</w:t>
      </w:r>
      <w:r w:rsidRPr="00BC31E0">
        <w:rPr>
          <w:rFonts w:asciiTheme="majorEastAsia" w:eastAsiaTheme="majorEastAsia" w:hAnsiTheme="majorEastAsia" w:hint="eastAsia"/>
          <w:b/>
        </w:rPr>
        <w:t>4)</w:t>
      </w:r>
      <w:r w:rsidRPr="00BC31E0">
        <w:rPr>
          <w:rFonts w:ascii="ＭＳ 明朝" w:hAnsi="ＭＳ 明朝" w:hint="eastAsia"/>
        </w:rPr>
        <w:t>による。</w:t>
      </w:r>
    </w:p>
    <w:p w14:paraId="56986121" w14:textId="77777777" w:rsidR="00D214E4" w:rsidRPr="00BC31E0" w:rsidRDefault="008103A2" w:rsidP="00736130">
      <w:pPr>
        <w:pStyle w:val="a4"/>
        <w:numPr>
          <w:ilvl w:val="0"/>
          <w:numId w:val="554"/>
        </w:numPr>
        <w:ind w:leftChars="0" w:left="738" w:hanging="454"/>
      </w:pPr>
      <w:r w:rsidRPr="00BC31E0">
        <w:rPr>
          <w:rFonts w:hint="eastAsia"/>
        </w:rPr>
        <w:t>鍛造品と棒材は</w:t>
      </w:r>
      <w:r w:rsidRPr="00BC31E0">
        <w:rPr>
          <w:rFonts w:asciiTheme="majorEastAsia" w:eastAsiaTheme="majorEastAsia" w:hAnsiTheme="majorEastAsia" w:hint="eastAsia"/>
          <w:b/>
        </w:rPr>
        <w:t>9.2.5 c)</w:t>
      </w:r>
      <w:r w:rsidRPr="00BC31E0">
        <w:rPr>
          <w:rFonts w:hint="eastAsia"/>
        </w:rPr>
        <w:t>に従って超音波探傷試験を実施しなければならない。超音波探傷試験が適用できない形状の場合は</w:t>
      </w:r>
      <w:r w:rsidRPr="00BC31E0">
        <w:rPr>
          <w:rFonts w:asciiTheme="majorEastAsia" w:eastAsiaTheme="majorEastAsia" w:hAnsiTheme="majorEastAsia" w:hint="eastAsia"/>
          <w:b/>
        </w:rPr>
        <w:t>9.1</w:t>
      </w:r>
      <w:r w:rsidRPr="00BC31E0">
        <w:rPr>
          <w:rFonts w:hint="eastAsia"/>
        </w:rPr>
        <w:t>の放射線透過試験を実施しなければならない。放射線透過試験の判定基準は，</w:t>
      </w:r>
      <w:r w:rsidRPr="00BC31E0">
        <w:rPr>
          <w:rFonts w:asciiTheme="majorEastAsia" w:eastAsiaTheme="majorEastAsia" w:hAnsiTheme="majorEastAsia" w:hint="eastAsia"/>
          <w:b/>
        </w:rPr>
        <w:t>9.3.6</w:t>
      </w:r>
      <w:r w:rsidRPr="00BC31E0">
        <w:rPr>
          <w:rFonts w:hint="eastAsia"/>
        </w:rPr>
        <w:t>による。更に全ての外表面と試験可能な内表面は</w:t>
      </w:r>
      <w:r w:rsidRPr="00BC31E0">
        <w:rPr>
          <w:rFonts w:asciiTheme="majorEastAsia" w:eastAsiaTheme="majorEastAsia" w:hAnsiTheme="majorEastAsia" w:hint="eastAsia"/>
          <w:b/>
        </w:rPr>
        <w:t>9.2.5 d)</w:t>
      </w:r>
      <w:r w:rsidRPr="00BC31E0">
        <w:rPr>
          <w:rFonts w:hint="eastAsia"/>
        </w:rPr>
        <w:t>に従って磁粉探傷試験，又は浸透探傷試験を実施しなければならない。</w:t>
      </w:r>
    </w:p>
    <w:p w14:paraId="2ED30D66" w14:textId="77777777" w:rsidR="00D214E4" w:rsidRPr="00BC31E0" w:rsidRDefault="008103A2" w:rsidP="00736130">
      <w:pPr>
        <w:pStyle w:val="a4"/>
        <w:numPr>
          <w:ilvl w:val="0"/>
          <w:numId w:val="554"/>
        </w:numPr>
        <w:ind w:leftChars="0" w:left="738" w:hanging="454"/>
      </w:pPr>
      <w:r w:rsidRPr="00BC31E0">
        <w:rPr>
          <w:rFonts w:ascii="ＭＳ 明朝" w:hAnsi="ＭＳ 明朝" w:hint="eastAsia"/>
        </w:rPr>
        <w:t>エルボ，ティー，カップリングなどの鍛造フランジ及び継手は，</w:t>
      </w:r>
      <w:r w:rsidRPr="00BC31E0">
        <w:rPr>
          <w:rFonts w:asciiTheme="majorEastAsia" w:eastAsiaTheme="majorEastAsia" w:hAnsiTheme="majorEastAsia" w:hint="eastAsia"/>
          <w:b/>
        </w:rPr>
        <w:t>9.2.6</w:t>
      </w:r>
      <w:r w:rsidRPr="00BC31E0">
        <w:rPr>
          <w:rFonts w:ascii="ＭＳ 明朝" w:hAnsi="ＭＳ 明朝" w:hint="eastAsia"/>
        </w:rPr>
        <w:t>に従って検査する。</w:t>
      </w:r>
    </w:p>
    <w:p w14:paraId="71B5D6CC" w14:textId="77777777" w:rsidR="00D214E4" w:rsidRPr="00BC31E0" w:rsidRDefault="008103A2" w:rsidP="00736130">
      <w:pPr>
        <w:pStyle w:val="a4"/>
        <w:numPr>
          <w:ilvl w:val="0"/>
          <w:numId w:val="554"/>
        </w:numPr>
        <w:ind w:leftChars="0" w:left="738" w:hanging="454"/>
      </w:pPr>
      <w:r w:rsidRPr="00BC31E0">
        <w:rPr>
          <w:rFonts w:ascii="ＭＳ 明朝" w:hAnsi="ＭＳ 明朝" w:hint="eastAsia"/>
        </w:rPr>
        <w:t>ボルトに使われる棒材は，</w:t>
      </w:r>
      <w:r w:rsidRPr="00BC31E0">
        <w:rPr>
          <w:rFonts w:asciiTheme="majorEastAsia" w:eastAsiaTheme="majorEastAsia" w:hAnsiTheme="majorEastAsia" w:hint="eastAsia"/>
          <w:b/>
        </w:rPr>
        <w:t>9.2.8</w:t>
      </w:r>
      <w:r w:rsidRPr="00BC31E0">
        <w:rPr>
          <w:rFonts w:ascii="ＭＳ 明朝" w:hAnsi="ＭＳ 明朝" w:hint="eastAsia"/>
        </w:rPr>
        <w:t>に従って検査する。</w:t>
      </w:r>
    </w:p>
    <w:p w14:paraId="67FE3AA8" w14:textId="77777777" w:rsidR="008103A2" w:rsidRPr="00BC31E0" w:rsidRDefault="008103A2" w:rsidP="00736130">
      <w:pPr>
        <w:pStyle w:val="a4"/>
        <w:numPr>
          <w:ilvl w:val="0"/>
          <w:numId w:val="554"/>
        </w:numPr>
        <w:ind w:leftChars="0" w:left="738" w:hanging="454"/>
      </w:pPr>
      <w:r w:rsidRPr="00BC31E0">
        <w:rPr>
          <w:rFonts w:ascii="ＭＳ 明朝" w:hAnsi="ＭＳ 明朝" w:hint="eastAsia"/>
        </w:rPr>
        <w:t>管や継手に製作される鍛造品，棒材は，加工後に</w:t>
      </w:r>
      <w:r w:rsidRPr="00BC31E0">
        <w:rPr>
          <w:rFonts w:asciiTheme="majorEastAsia" w:eastAsiaTheme="majorEastAsia" w:hAnsiTheme="majorEastAsia" w:hint="eastAsia"/>
          <w:b/>
        </w:rPr>
        <w:t>9.2.6</w:t>
      </w:r>
      <w:r w:rsidRPr="00BC31E0">
        <w:rPr>
          <w:rFonts w:ascii="ＭＳ 明朝" w:hAnsi="ＭＳ 明朝" w:hint="eastAsia"/>
        </w:rPr>
        <w:t>に従って検査する。</w:t>
      </w:r>
    </w:p>
    <w:p w14:paraId="1F1D2443" w14:textId="77777777" w:rsidR="008103A2" w:rsidRPr="00BC31E0" w:rsidRDefault="008103A2" w:rsidP="00736130">
      <w:pPr>
        <w:pStyle w:val="a4"/>
        <w:numPr>
          <w:ilvl w:val="0"/>
          <w:numId w:val="553"/>
        </w:numPr>
        <w:ind w:leftChars="0" w:left="454" w:hanging="454"/>
        <w:rPr>
          <w:rFonts w:ascii="ＭＳ 明朝" w:hAnsi="ＭＳ 明朝"/>
        </w:rPr>
      </w:pPr>
      <w:r w:rsidRPr="00BC31E0">
        <w:rPr>
          <w:rFonts w:asciiTheme="majorEastAsia" w:eastAsiaTheme="majorEastAsia" w:hAnsiTheme="majorEastAsia" w:hint="eastAsia"/>
          <w:b/>
        </w:rPr>
        <w:t>試験時期</w:t>
      </w:r>
      <w:r w:rsidRPr="00BC31E0">
        <w:rPr>
          <w:rFonts w:hint="eastAsia"/>
        </w:rPr>
        <w:t xml:space="preserve">　</w:t>
      </w:r>
      <w:r w:rsidRPr="00BC31E0">
        <w:rPr>
          <w:rFonts w:ascii="ＭＳ 明朝" w:hAnsi="ＭＳ 明朝" w:hint="eastAsia"/>
        </w:rPr>
        <w:t>次の</w:t>
      </w:r>
      <w:r w:rsidRPr="00BC31E0">
        <w:rPr>
          <w:rFonts w:asciiTheme="majorEastAsia" w:eastAsiaTheme="majorEastAsia" w:hAnsiTheme="majorEastAsia" w:hint="eastAsia"/>
          <w:b/>
        </w:rPr>
        <w:t>1)</w:t>
      </w:r>
      <w:r w:rsidRPr="00BC31E0">
        <w:rPr>
          <w:rFonts w:ascii="ＭＳ 明朝" w:hAnsi="ＭＳ 明朝" w:hint="eastAsia"/>
        </w:rPr>
        <w:t>～</w:t>
      </w:r>
      <w:r w:rsidRPr="00BC31E0">
        <w:rPr>
          <w:rFonts w:asciiTheme="majorEastAsia" w:eastAsiaTheme="majorEastAsia" w:hAnsiTheme="majorEastAsia" w:hint="eastAsia"/>
          <w:b/>
        </w:rPr>
        <w:t>4)</w:t>
      </w:r>
      <w:r w:rsidRPr="00BC31E0">
        <w:rPr>
          <w:rFonts w:ascii="ＭＳ 明朝" w:hAnsi="ＭＳ 明朝" w:hint="eastAsia"/>
        </w:rPr>
        <w:t>に示す製作の時期に検査をする。</w:t>
      </w:r>
    </w:p>
    <w:p w14:paraId="3C04E107" w14:textId="77777777" w:rsidR="008103A2" w:rsidRPr="00BC31E0" w:rsidRDefault="008103A2" w:rsidP="00736130">
      <w:pPr>
        <w:numPr>
          <w:ilvl w:val="0"/>
          <w:numId w:val="217"/>
        </w:numPr>
        <w:ind w:left="738" w:hanging="454"/>
      </w:pPr>
      <w:r w:rsidRPr="00BC31E0">
        <w:rPr>
          <w:rFonts w:hint="eastAsia"/>
        </w:rPr>
        <w:t>超音波探傷試験は，鍛造後及び溶接後熱処理以外の最終熱処理後に可能な最大範囲で実</w:t>
      </w:r>
      <w:r w:rsidRPr="00BC31E0">
        <w:rPr>
          <w:rFonts w:hint="eastAsia"/>
        </w:rPr>
        <w:lastRenderedPageBreak/>
        <w:t>施する。</w:t>
      </w:r>
    </w:p>
    <w:p w14:paraId="22399659" w14:textId="77777777" w:rsidR="008103A2" w:rsidRPr="00BC31E0" w:rsidRDefault="008103A2" w:rsidP="00736130">
      <w:pPr>
        <w:numPr>
          <w:ilvl w:val="0"/>
          <w:numId w:val="217"/>
        </w:numPr>
        <w:ind w:left="738" w:hanging="454"/>
      </w:pPr>
      <w:r w:rsidRPr="00BC31E0">
        <w:rPr>
          <w:rFonts w:hint="eastAsia"/>
        </w:rPr>
        <w:t>補修溶接部に放射線透過試験が要求される場合，溶接後熱処理前に実施してもよい。</w:t>
      </w:r>
    </w:p>
    <w:p w14:paraId="16498EC7" w14:textId="77777777" w:rsidR="008103A2" w:rsidRPr="00BC31E0" w:rsidRDefault="008103A2" w:rsidP="00736130">
      <w:pPr>
        <w:numPr>
          <w:ilvl w:val="0"/>
          <w:numId w:val="217"/>
        </w:numPr>
        <w:ind w:left="738" w:hanging="454"/>
      </w:pPr>
      <w:r w:rsidRPr="00BC31E0">
        <w:rPr>
          <w:rFonts w:hint="eastAsia"/>
        </w:rPr>
        <w:t>磁粉探傷試験又は浸透探傷試験は，最終形状で行わなければならない。</w:t>
      </w:r>
    </w:p>
    <w:p w14:paraId="1EF735D9" w14:textId="77777777" w:rsidR="008103A2" w:rsidRPr="00BC31E0" w:rsidRDefault="008103A2" w:rsidP="00736130">
      <w:pPr>
        <w:numPr>
          <w:ilvl w:val="0"/>
          <w:numId w:val="217"/>
        </w:numPr>
        <w:ind w:left="738" w:hanging="454"/>
      </w:pPr>
      <w:r w:rsidRPr="00BC31E0">
        <w:rPr>
          <w:rFonts w:hint="eastAsia"/>
        </w:rPr>
        <w:t>鍛造品又は棒材から管，継手を製造する場合は，中空加工後</w:t>
      </w:r>
      <w:r w:rsidRPr="00BC31E0">
        <w:rPr>
          <w:rFonts w:hint="eastAsia"/>
        </w:rPr>
        <w:t>(</w:t>
      </w:r>
      <w:r w:rsidRPr="00BC31E0">
        <w:rPr>
          <w:rFonts w:hint="eastAsia"/>
        </w:rPr>
        <w:t>ねじ加工を除く</w:t>
      </w:r>
      <w:r w:rsidRPr="00BC31E0">
        <w:rPr>
          <w:rFonts w:hint="eastAsia"/>
        </w:rPr>
        <w:t>)</w:t>
      </w:r>
      <w:r w:rsidRPr="00BC31E0">
        <w:rPr>
          <w:rFonts w:hint="eastAsia"/>
        </w:rPr>
        <w:t>に検査する。</w:t>
      </w:r>
    </w:p>
    <w:p w14:paraId="0CD9793C" w14:textId="77777777" w:rsidR="008103A2" w:rsidRPr="00BC31E0" w:rsidRDefault="008103A2" w:rsidP="00736130">
      <w:pPr>
        <w:pStyle w:val="a4"/>
        <w:numPr>
          <w:ilvl w:val="0"/>
          <w:numId w:val="555"/>
        </w:numPr>
        <w:ind w:leftChars="0" w:left="454" w:hanging="454"/>
      </w:pPr>
      <w:r w:rsidRPr="00BC31E0">
        <w:rPr>
          <w:rFonts w:asciiTheme="majorEastAsia" w:eastAsiaTheme="majorEastAsia" w:hAnsiTheme="majorEastAsia" w:hint="eastAsia"/>
          <w:b/>
        </w:rPr>
        <w:t>超音波探傷試験</w:t>
      </w:r>
      <w:r w:rsidRPr="00BC31E0">
        <w:rPr>
          <w:rFonts w:hint="eastAsia"/>
        </w:rPr>
        <w:t xml:space="preserve">　</w:t>
      </w:r>
      <w:r w:rsidRPr="00BC31E0">
        <w:rPr>
          <w:rFonts w:ascii="ＭＳ 明朝" w:hAnsi="ＭＳ 明朝" w:hint="eastAsia"/>
        </w:rPr>
        <w:t>超音波探傷試験は，次の</w:t>
      </w:r>
      <w:r w:rsidRPr="00BC31E0">
        <w:rPr>
          <w:rFonts w:asciiTheme="majorEastAsia" w:eastAsiaTheme="majorEastAsia" w:hAnsiTheme="majorEastAsia" w:hint="eastAsia"/>
          <w:b/>
        </w:rPr>
        <w:t>1)</w:t>
      </w:r>
      <w:r w:rsidRPr="00BC31E0">
        <w:rPr>
          <w:rFonts w:ascii="ＭＳ 明朝" w:hAnsi="ＭＳ 明朝" w:hint="eastAsia"/>
        </w:rPr>
        <w:t>，</w:t>
      </w:r>
      <w:r w:rsidRPr="00BC31E0">
        <w:rPr>
          <w:rFonts w:asciiTheme="majorEastAsia" w:eastAsiaTheme="majorEastAsia" w:hAnsiTheme="majorEastAsia" w:hint="eastAsia"/>
          <w:b/>
        </w:rPr>
        <w:t>2)</w:t>
      </w:r>
      <w:r w:rsidRPr="00BC31E0">
        <w:rPr>
          <w:rFonts w:ascii="ＭＳ 明朝" w:hAnsi="ＭＳ 明朝" w:hint="eastAsia"/>
        </w:rPr>
        <w:t>による。</w:t>
      </w:r>
    </w:p>
    <w:p w14:paraId="0E0CBD81" w14:textId="77777777" w:rsidR="008103A2" w:rsidRPr="00BC31E0" w:rsidRDefault="008103A2" w:rsidP="00736130">
      <w:pPr>
        <w:pStyle w:val="a4"/>
        <w:numPr>
          <w:ilvl w:val="0"/>
          <w:numId w:val="558"/>
        </w:numPr>
        <w:ind w:leftChars="0" w:left="738" w:hanging="454"/>
        <w:rPr>
          <w:rFonts w:ascii="ＭＳ 明朝" w:hAnsi="ＭＳ 明朝"/>
        </w:rPr>
      </w:pPr>
      <w:r w:rsidRPr="00BC31E0">
        <w:rPr>
          <w:rFonts w:asciiTheme="majorEastAsia" w:eastAsiaTheme="majorEastAsia" w:hAnsiTheme="majorEastAsia" w:hint="eastAsia"/>
          <w:b/>
        </w:rPr>
        <w:t>試験要領</w:t>
      </w:r>
      <w:r w:rsidRPr="00BC31E0">
        <w:rPr>
          <w:rFonts w:hint="eastAsia"/>
        </w:rPr>
        <w:t xml:space="preserve">　</w:t>
      </w:r>
      <w:r w:rsidRPr="00BC31E0">
        <w:rPr>
          <w:rFonts w:ascii="ＭＳ 明朝" w:hAnsi="ＭＳ 明朝" w:hint="eastAsia"/>
        </w:rPr>
        <w:t>超音波探傷試験は，</w:t>
      </w:r>
      <w:r w:rsidRPr="00BC31E0">
        <w:rPr>
          <w:rFonts w:asciiTheme="majorEastAsia" w:eastAsiaTheme="majorEastAsia" w:hAnsiTheme="majorEastAsia" w:hint="eastAsia"/>
          <w:b/>
        </w:rPr>
        <w:t>JIS G 0587</w:t>
      </w:r>
      <w:r w:rsidRPr="00BC31E0">
        <w:rPr>
          <w:rFonts w:ascii="ＭＳ 明朝" w:hAnsi="ＭＳ 明朝" w:hint="eastAsia"/>
        </w:rPr>
        <w:t>に従うが，直接接触法，水浸法又は局部水浸法のどの方法も適用してよい。</w:t>
      </w:r>
      <w:r w:rsidRPr="00BC31E0">
        <w:rPr>
          <w:rFonts w:asciiTheme="majorEastAsia" w:eastAsiaTheme="majorEastAsia" w:hAnsiTheme="majorEastAsia"/>
          <w:b/>
        </w:rPr>
        <w:t>ASME</w:t>
      </w:r>
      <w:r w:rsidR="00F45D3D" w:rsidRPr="00BC31E0">
        <w:rPr>
          <w:rFonts w:ascii="ＭＳ 明朝" w:hAnsi="ＭＳ 明朝" w:hint="eastAsia"/>
        </w:rPr>
        <w:t>規格材</w:t>
      </w:r>
      <w:r w:rsidR="00F45D3D" w:rsidRPr="00BC31E0">
        <w:rPr>
          <w:rFonts w:hint="eastAsia"/>
        </w:rPr>
        <w:t>など</w:t>
      </w:r>
      <w:r w:rsidRPr="00BC31E0">
        <w:rPr>
          <w:rFonts w:ascii="ＭＳ 明朝" w:hAnsi="ＭＳ 明朝" w:hint="eastAsia"/>
        </w:rPr>
        <w:t>の</w:t>
      </w:r>
      <w:r w:rsidRPr="00BC31E0">
        <w:rPr>
          <w:rFonts w:asciiTheme="majorEastAsia" w:eastAsiaTheme="majorEastAsia" w:hAnsiTheme="majorEastAsia"/>
          <w:b/>
        </w:rPr>
        <w:t>JIS</w:t>
      </w:r>
      <w:r w:rsidR="00B72A57" w:rsidRPr="00BC31E0">
        <w:rPr>
          <w:rFonts w:ascii="ＭＳ 明朝" w:hAnsi="ＭＳ 明朝" w:hint="eastAsia"/>
        </w:rPr>
        <w:t>材料</w:t>
      </w:r>
      <w:r w:rsidRPr="00BC31E0">
        <w:rPr>
          <w:rFonts w:ascii="ＭＳ 明朝" w:hAnsi="ＭＳ 明朝" w:hint="eastAsia"/>
        </w:rPr>
        <w:t>以外の場合には，該当する規格で認められた超音波探傷法による試験を行ってもよい。適用に当たっては，次</w:t>
      </w:r>
      <w:r w:rsidR="006F4B51" w:rsidRPr="00BC31E0">
        <w:rPr>
          <w:rFonts w:ascii="ＭＳ 明朝" w:hAnsi="ＭＳ 明朝" w:hint="eastAsia"/>
        </w:rPr>
        <w:t>の</w:t>
      </w:r>
      <w:r w:rsidR="006F4B51" w:rsidRPr="00BC31E0">
        <w:rPr>
          <w:rFonts w:asciiTheme="majorEastAsia" w:eastAsiaTheme="majorEastAsia" w:hAnsiTheme="majorEastAsia" w:hint="eastAsia"/>
          <w:b/>
        </w:rPr>
        <w:t>1.1)</w:t>
      </w:r>
      <w:r w:rsidR="006F4B51" w:rsidRPr="00BC31E0">
        <w:rPr>
          <w:rFonts w:ascii="ＭＳ 明朝" w:hAnsi="ＭＳ 明朝" w:hint="eastAsia"/>
        </w:rPr>
        <w:t>～</w:t>
      </w:r>
      <w:r w:rsidR="006F4B51" w:rsidRPr="00BC31E0">
        <w:rPr>
          <w:rFonts w:asciiTheme="majorEastAsia" w:eastAsiaTheme="majorEastAsia" w:hAnsiTheme="majorEastAsia" w:hint="eastAsia"/>
          <w:b/>
        </w:rPr>
        <w:t>1.4)</w:t>
      </w:r>
      <w:r w:rsidRPr="00BC31E0">
        <w:rPr>
          <w:rFonts w:ascii="ＭＳ 明朝" w:hAnsi="ＭＳ 明朝" w:hint="eastAsia"/>
        </w:rPr>
        <w:t>が要求される。</w:t>
      </w:r>
    </w:p>
    <w:p w14:paraId="19CEB503" w14:textId="77777777" w:rsidR="00020FA8" w:rsidRPr="00BC31E0" w:rsidRDefault="008103A2" w:rsidP="00736130">
      <w:pPr>
        <w:pStyle w:val="a4"/>
        <w:numPr>
          <w:ilvl w:val="0"/>
          <w:numId w:val="559"/>
        </w:numPr>
        <w:ind w:leftChars="0" w:left="1134" w:hanging="567"/>
      </w:pPr>
      <w:r w:rsidRPr="00BC31E0">
        <w:rPr>
          <w:rFonts w:hint="eastAsia"/>
        </w:rPr>
        <w:t>全ての鍛鋼品及び棒材は，垂直探傷法を用いて検査する。</w:t>
      </w:r>
    </w:p>
    <w:p w14:paraId="2A0301F1" w14:textId="77777777" w:rsidR="00020FA8" w:rsidRPr="00BC31E0" w:rsidRDefault="008103A2" w:rsidP="00736130">
      <w:pPr>
        <w:pStyle w:val="a4"/>
        <w:numPr>
          <w:ilvl w:val="0"/>
          <w:numId w:val="559"/>
        </w:numPr>
        <w:ind w:leftChars="0" w:left="1134" w:hanging="567"/>
      </w:pPr>
      <w:r w:rsidRPr="00BC31E0">
        <w:rPr>
          <w:rFonts w:ascii="ＭＳ 明朝" w:hAnsi="ＭＳ 明朝" w:hint="eastAsia"/>
          <w:bCs/>
        </w:rPr>
        <w:t>リング状及び円筒状鍛鋼品は，上記</w:t>
      </w:r>
      <w:r w:rsidRPr="00BC31E0">
        <w:rPr>
          <w:rFonts w:asciiTheme="majorEastAsia" w:eastAsiaTheme="majorEastAsia" w:hAnsiTheme="majorEastAsia" w:hint="eastAsia"/>
          <w:b/>
        </w:rPr>
        <w:t>1.1)</w:t>
      </w:r>
      <w:r w:rsidRPr="00BC31E0">
        <w:rPr>
          <w:rFonts w:ascii="ＭＳ 明朝" w:hAnsi="ＭＳ 明朝" w:hint="eastAsia"/>
          <w:bCs/>
        </w:rPr>
        <w:t>に加えて外周面から周</w:t>
      </w:r>
      <w:r w:rsidRPr="00BC31E0">
        <w:rPr>
          <w:bCs/>
        </w:rPr>
        <w:t>2</w:t>
      </w:r>
      <w:r w:rsidRPr="00BC31E0">
        <w:rPr>
          <w:rFonts w:ascii="ＭＳ 明朝" w:hAnsi="ＭＳ 明朝" w:hint="eastAsia"/>
          <w:bCs/>
        </w:rPr>
        <w:t>方向に斜角探傷法を用いて検査する。ただし，板厚及び形状により斜角探傷による検査が不可能な場合を除く。</w:t>
      </w:r>
    </w:p>
    <w:p w14:paraId="506E49D3" w14:textId="77777777" w:rsidR="00020FA8" w:rsidRPr="00BC31E0" w:rsidRDefault="008103A2" w:rsidP="00736130">
      <w:pPr>
        <w:pStyle w:val="a4"/>
        <w:numPr>
          <w:ilvl w:val="0"/>
          <w:numId w:val="559"/>
        </w:numPr>
        <w:ind w:leftChars="0" w:left="1134" w:hanging="567"/>
      </w:pPr>
      <w:r w:rsidRPr="00BC31E0">
        <w:rPr>
          <w:rFonts w:ascii="ＭＳ 明朝" w:hAnsi="ＭＳ 明朝" w:hint="eastAsia"/>
          <w:bCs/>
        </w:rPr>
        <w:t>上記</w:t>
      </w:r>
      <w:r w:rsidRPr="00BC31E0">
        <w:rPr>
          <w:rFonts w:asciiTheme="majorEastAsia" w:eastAsiaTheme="majorEastAsia" w:hAnsiTheme="majorEastAsia" w:hint="eastAsia"/>
          <w:b/>
        </w:rPr>
        <w:t>1.1)</w:t>
      </w:r>
      <w:r w:rsidRPr="00BC31E0">
        <w:rPr>
          <w:rFonts w:ascii="ＭＳ 明朝" w:hAnsi="ＭＳ 明朝" w:hint="eastAsia"/>
          <w:bCs/>
        </w:rPr>
        <w:t>及び</w:t>
      </w:r>
      <w:r w:rsidRPr="00BC31E0">
        <w:rPr>
          <w:rFonts w:asciiTheme="majorEastAsia" w:eastAsiaTheme="majorEastAsia" w:hAnsiTheme="majorEastAsia" w:hint="eastAsia"/>
          <w:b/>
        </w:rPr>
        <w:t>1.2)</w:t>
      </w:r>
      <w:r w:rsidRPr="00BC31E0">
        <w:rPr>
          <w:rFonts w:ascii="ＭＳ 明朝" w:hAnsi="ＭＳ 明朝" w:hint="eastAsia"/>
          <w:bCs/>
        </w:rPr>
        <w:t>に加え，リング状鍛鋼品が細粒溶融法で製造され容器の胴部に使用される場合は，軸</w:t>
      </w:r>
      <w:r w:rsidRPr="00BC31E0">
        <w:rPr>
          <w:bCs/>
        </w:rPr>
        <w:t>2</w:t>
      </w:r>
      <w:r w:rsidRPr="00BC31E0">
        <w:rPr>
          <w:rFonts w:ascii="ＭＳ 明朝" w:hAnsi="ＭＳ 明朝" w:hint="eastAsia"/>
          <w:bCs/>
        </w:rPr>
        <w:t>方向に斜角探傷法を用いて探傷する。</w:t>
      </w:r>
    </w:p>
    <w:p w14:paraId="3213043C" w14:textId="77777777" w:rsidR="008103A2" w:rsidRPr="00BC31E0" w:rsidRDefault="008103A2" w:rsidP="00736130">
      <w:pPr>
        <w:pStyle w:val="a4"/>
        <w:numPr>
          <w:ilvl w:val="0"/>
          <w:numId w:val="559"/>
        </w:numPr>
        <w:ind w:leftChars="0" w:left="1134" w:hanging="567"/>
      </w:pPr>
      <w:r w:rsidRPr="00BC31E0">
        <w:rPr>
          <w:rFonts w:ascii="ＭＳ 明朝" w:hAnsi="ＭＳ 明朝" w:hint="eastAsia"/>
          <w:bCs/>
        </w:rPr>
        <w:t>下記</w:t>
      </w:r>
      <w:r w:rsidRPr="00BC31E0">
        <w:rPr>
          <w:rFonts w:asciiTheme="majorEastAsia" w:eastAsiaTheme="majorEastAsia" w:hAnsiTheme="majorEastAsia" w:hint="eastAsia"/>
          <w:b/>
        </w:rPr>
        <w:t>2)</w:t>
      </w:r>
      <w:r w:rsidRPr="00BC31E0">
        <w:rPr>
          <w:rFonts w:ascii="ＭＳ 明朝" w:hAnsi="ＭＳ 明朝" w:hint="eastAsia"/>
          <w:bCs/>
        </w:rPr>
        <w:t>に記載された内容と同等の合格基準である場合には，距離振幅補正を利用した超音波探傷試験により検査してよい。</w:t>
      </w:r>
    </w:p>
    <w:p w14:paraId="1E9650CF" w14:textId="77777777" w:rsidR="008103A2" w:rsidRPr="00BC31E0" w:rsidRDefault="008103A2" w:rsidP="00736130">
      <w:pPr>
        <w:pStyle w:val="a4"/>
        <w:numPr>
          <w:ilvl w:val="0"/>
          <w:numId w:val="558"/>
        </w:numPr>
        <w:ind w:leftChars="0" w:left="738" w:hanging="454"/>
        <w:rPr>
          <w:rFonts w:ascii="ＭＳ 明朝" w:hAnsi="ＭＳ 明朝"/>
        </w:rPr>
      </w:pPr>
      <w:r w:rsidRPr="00BC31E0">
        <w:rPr>
          <w:rFonts w:asciiTheme="majorEastAsia" w:eastAsiaTheme="majorEastAsia" w:hint="eastAsia"/>
          <w:b/>
        </w:rPr>
        <w:t>判定基準</w:t>
      </w:r>
      <w:r w:rsidRPr="00BC31E0">
        <w:rPr>
          <w:rFonts w:hint="eastAsia"/>
        </w:rPr>
        <w:t xml:space="preserve">　</w:t>
      </w:r>
      <w:r w:rsidRPr="00BC31E0">
        <w:rPr>
          <w:rFonts w:ascii="ＭＳ 明朝" w:hAnsi="ＭＳ 明朝" w:hint="eastAsia"/>
        </w:rPr>
        <w:t>垂直探傷においては</w:t>
      </w:r>
      <w:r w:rsidRPr="00BC31E0">
        <w:rPr>
          <w:rFonts w:asciiTheme="majorEastAsia" w:eastAsiaTheme="majorEastAsia" w:hAnsiTheme="majorEastAsia" w:hint="eastAsia"/>
          <w:b/>
        </w:rPr>
        <w:t>JIS G 0587</w:t>
      </w:r>
      <w:r w:rsidRPr="00BC31E0">
        <w:rPr>
          <w:rFonts w:ascii="ＭＳ 明朝" w:hAnsi="ＭＳ 明朝" w:hint="eastAsia"/>
        </w:rPr>
        <w:t>，第</w:t>
      </w:r>
      <w:r w:rsidRPr="00BC31E0">
        <w:t>2</w:t>
      </w:r>
      <w:r w:rsidRPr="00BC31E0">
        <w:rPr>
          <w:rFonts w:ascii="ＭＳ 明朝" w:hAnsi="ＭＳ 明朝" w:hint="eastAsia"/>
        </w:rPr>
        <w:t>類の等価きず直径以下を合格とし，斜角探傷においては</w:t>
      </w:r>
      <w:r w:rsidRPr="00BC31E0">
        <w:rPr>
          <w:rFonts w:asciiTheme="majorEastAsia" w:eastAsiaTheme="majorEastAsia" w:hAnsiTheme="majorEastAsia" w:hint="eastAsia"/>
          <w:b/>
        </w:rPr>
        <w:t>JIS G 0587</w:t>
      </w:r>
      <w:r w:rsidRPr="00BC31E0">
        <w:rPr>
          <w:rFonts w:ascii="ＭＳ 明朝" w:hAnsi="ＭＳ 明朝" w:hint="eastAsia"/>
        </w:rPr>
        <w:t>の標準ノッチに対するエコー高さ以下を合格とする。ただし，使用状況，応力集中部</w:t>
      </w:r>
      <w:r w:rsidR="00554BAA" w:rsidRPr="00BC31E0">
        <w:rPr>
          <w:rFonts w:hint="eastAsia"/>
        </w:rPr>
        <w:t>など</w:t>
      </w:r>
      <w:r w:rsidRPr="00BC31E0">
        <w:rPr>
          <w:rFonts w:ascii="ＭＳ 明朝" w:hAnsi="ＭＳ 明朝" w:hint="eastAsia"/>
        </w:rPr>
        <w:t>，判定基準を厳しくする必要のある場合は使用者と協議を行い決定する。また，</w:t>
      </w:r>
      <w:r w:rsidRPr="00BC31E0">
        <w:rPr>
          <w:rFonts w:asciiTheme="majorEastAsia" w:eastAsiaTheme="majorEastAsia" w:hAnsiTheme="majorEastAsia" w:hint="eastAsia"/>
          <w:b/>
        </w:rPr>
        <w:t>JIS G 0587</w:t>
      </w:r>
      <w:r w:rsidRPr="00BC31E0">
        <w:rPr>
          <w:rFonts w:ascii="ＭＳ 明朝" w:hAnsi="ＭＳ 明朝" w:hint="eastAsia"/>
        </w:rPr>
        <w:t>に従って記録対象のきずは記録する。</w:t>
      </w:r>
    </w:p>
    <w:p w14:paraId="07A6D4F8" w14:textId="77777777" w:rsidR="008103A2" w:rsidRPr="00BC31E0" w:rsidRDefault="008103A2" w:rsidP="00736130">
      <w:pPr>
        <w:pStyle w:val="a4"/>
        <w:numPr>
          <w:ilvl w:val="0"/>
          <w:numId w:val="556"/>
        </w:numPr>
        <w:ind w:leftChars="0" w:left="454" w:hanging="454"/>
        <w:rPr>
          <w:rFonts w:ascii="ＭＳ 明朝" w:hAnsi="ＭＳ 明朝"/>
        </w:rPr>
      </w:pPr>
      <w:r w:rsidRPr="00BC31E0">
        <w:rPr>
          <w:rFonts w:asciiTheme="majorEastAsia" w:eastAsiaTheme="majorEastAsia" w:hAnsiTheme="majorEastAsia" w:hint="eastAsia"/>
          <w:b/>
        </w:rPr>
        <w:t>磁粉探傷試験，浸透探傷試験</w:t>
      </w:r>
      <w:r w:rsidRPr="00BC31E0">
        <w:rPr>
          <w:rFonts w:hint="eastAsia"/>
        </w:rPr>
        <w:t xml:space="preserve">　</w:t>
      </w:r>
      <w:r w:rsidRPr="00BC31E0">
        <w:rPr>
          <w:rFonts w:asciiTheme="majorEastAsia" w:eastAsiaTheme="majorEastAsia" w:hAnsiTheme="majorEastAsia" w:hint="eastAsia"/>
          <w:b/>
        </w:rPr>
        <w:t>JIS Z 2320</w:t>
      </w:r>
      <w:r w:rsidRPr="00BC31E0">
        <w:rPr>
          <w:rFonts w:ascii="ＭＳ 明朝" w:hAnsi="ＭＳ 明朝" w:hint="eastAsia"/>
        </w:rPr>
        <w:t>に従って行う磁粉探傷試験，</w:t>
      </w:r>
      <w:r w:rsidRPr="00BC31E0">
        <w:rPr>
          <w:rFonts w:asciiTheme="majorEastAsia" w:eastAsiaTheme="majorEastAsia" w:hAnsiTheme="majorEastAsia" w:hint="eastAsia"/>
          <w:b/>
        </w:rPr>
        <w:t>JIS Z 2343</w:t>
      </w:r>
      <w:r w:rsidRPr="00BC31E0">
        <w:rPr>
          <w:rFonts w:ascii="ＭＳ 明朝" w:hAnsi="ＭＳ 明朝" w:hint="eastAsia"/>
        </w:rPr>
        <w:t>に従って行う浸透探傷試験は，次の</w:t>
      </w:r>
      <w:r w:rsidRPr="00BC31E0">
        <w:rPr>
          <w:rFonts w:asciiTheme="majorEastAsia" w:eastAsiaTheme="majorEastAsia" w:hAnsiTheme="majorEastAsia" w:hint="eastAsia"/>
          <w:b/>
        </w:rPr>
        <w:t>1)</w:t>
      </w:r>
      <w:r w:rsidRPr="00BC31E0">
        <w:rPr>
          <w:rFonts w:ascii="ＭＳ 明朝" w:hAnsi="ＭＳ 明朝" w:hint="eastAsia"/>
        </w:rPr>
        <w:t>，</w:t>
      </w:r>
      <w:r w:rsidRPr="00BC31E0">
        <w:rPr>
          <w:rFonts w:asciiTheme="majorEastAsia" w:eastAsiaTheme="majorEastAsia" w:hAnsiTheme="majorEastAsia" w:hint="eastAsia"/>
          <w:b/>
        </w:rPr>
        <w:t>2)</w:t>
      </w:r>
      <w:r w:rsidRPr="00BC31E0">
        <w:rPr>
          <w:rFonts w:ascii="ＭＳ 明朝" w:hAnsi="ＭＳ 明朝" w:hint="eastAsia"/>
        </w:rPr>
        <w:t>による。磁性材の表面試験は，湿式磁粉探傷を行わなければならない。ただし，磁粉探傷試験が</w:t>
      </w:r>
      <w:r w:rsidR="00B6247B" w:rsidRPr="00BC31E0">
        <w:rPr>
          <w:rFonts w:ascii="ＭＳ 明朝" w:hAnsi="ＭＳ 明朝" w:hint="eastAsia"/>
        </w:rPr>
        <w:t>適用</w:t>
      </w:r>
      <w:r w:rsidR="006A5CF8" w:rsidRPr="00BC31E0">
        <w:rPr>
          <w:rFonts w:ascii="ＭＳ 明朝" w:hAnsi="ＭＳ 明朝" w:hint="eastAsia"/>
        </w:rPr>
        <w:t>でき</w:t>
      </w:r>
      <w:r w:rsidRPr="00BC31E0">
        <w:rPr>
          <w:rFonts w:ascii="ＭＳ 明朝" w:hAnsi="ＭＳ 明朝" w:hint="eastAsia"/>
        </w:rPr>
        <w:t>ない場合には浸透探傷試験を行ってもよい。非磁性材の表面試験は浸透探傷試験を行わなければならない。</w:t>
      </w:r>
    </w:p>
    <w:p w14:paraId="2644D150" w14:textId="77777777" w:rsidR="008103A2" w:rsidRPr="00BC31E0" w:rsidRDefault="008103A2" w:rsidP="00736130">
      <w:pPr>
        <w:pStyle w:val="a4"/>
        <w:numPr>
          <w:ilvl w:val="0"/>
          <w:numId w:val="560"/>
        </w:numPr>
        <w:ind w:leftChars="0" w:left="738" w:hanging="454"/>
        <w:rPr>
          <w:rFonts w:asciiTheme="minorHAnsi" w:eastAsiaTheme="minorEastAsia" w:hAnsiTheme="minorHAnsi"/>
        </w:rPr>
      </w:pPr>
      <w:r w:rsidRPr="00BC31E0">
        <w:rPr>
          <w:rFonts w:asciiTheme="majorEastAsia" w:eastAsiaTheme="majorEastAsia" w:hAnsiTheme="majorEastAsia"/>
          <w:b/>
        </w:rPr>
        <w:t>指示模様の評価</w:t>
      </w:r>
      <w:r w:rsidRPr="00BC31E0">
        <w:rPr>
          <w:rFonts w:asciiTheme="minorHAnsi" w:eastAsiaTheme="minorEastAsia" w:hAnsiTheme="minorEastAsia"/>
        </w:rPr>
        <w:t xml:space="preserve">　</w:t>
      </w:r>
      <w:r w:rsidRPr="00BC31E0">
        <w:rPr>
          <w:rFonts w:asciiTheme="minorHAnsi" w:eastAsiaTheme="minorEastAsia" w:hAnsiTheme="minorEastAsia"/>
          <w:bCs/>
        </w:rPr>
        <w:t>指示模様の評価は，次の</w:t>
      </w:r>
      <w:r w:rsidRPr="00BC31E0">
        <w:rPr>
          <w:rFonts w:asciiTheme="majorEastAsia" w:eastAsiaTheme="majorEastAsia" w:hAnsiTheme="majorEastAsia"/>
          <w:b/>
        </w:rPr>
        <w:t>1.1)</w:t>
      </w:r>
      <w:r w:rsidRPr="00BC31E0">
        <w:rPr>
          <w:rFonts w:asciiTheme="minorHAnsi" w:eastAsiaTheme="minorEastAsia" w:hAnsiTheme="minorEastAsia"/>
          <w:bCs/>
        </w:rPr>
        <w:t>～</w:t>
      </w:r>
      <w:r w:rsidRPr="00BC31E0">
        <w:rPr>
          <w:rFonts w:asciiTheme="majorEastAsia" w:eastAsiaTheme="majorEastAsia" w:hAnsiTheme="majorEastAsia"/>
          <w:b/>
        </w:rPr>
        <w:t>1.3)</w:t>
      </w:r>
      <w:r w:rsidRPr="00BC31E0">
        <w:rPr>
          <w:rFonts w:asciiTheme="minorHAnsi" w:eastAsiaTheme="minorEastAsia" w:hAnsiTheme="minorEastAsia"/>
          <w:bCs/>
        </w:rPr>
        <w:t>による。</w:t>
      </w:r>
    </w:p>
    <w:p w14:paraId="391EABC6" w14:textId="77777777" w:rsidR="00020FA8" w:rsidRPr="00BC31E0" w:rsidRDefault="008103A2" w:rsidP="00736130">
      <w:pPr>
        <w:pStyle w:val="a4"/>
        <w:numPr>
          <w:ilvl w:val="0"/>
          <w:numId w:val="561"/>
        </w:numPr>
        <w:ind w:leftChars="0" w:left="1134" w:hanging="567"/>
      </w:pPr>
      <w:r w:rsidRPr="00BC31E0">
        <w:rPr>
          <w:rFonts w:hint="eastAsia"/>
        </w:rPr>
        <w:t>磁粉探傷試験を適用する場合，表面又は，表面直下の機械的な不連続部が試験媒体の滞留によって磁粉模様が示されるが，全ての磁粉模様が欠陥とは限らない。冶金的な不連続部や透磁率変化による，疑似指示が示されることもある。従って，次の</w:t>
      </w:r>
      <w:r w:rsidRPr="00BC31E0">
        <w:rPr>
          <w:rFonts w:asciiTheme="majorEastAsia" w:eastAsiaTheme="majorEastAsia" w:hAnsiTheme="majorEastAsia" w:hint="eastAsia"/>
          <w:b/>
        </w:rPr>
        <w:t>2)</w:t>
      </w:r>
      <w:r w:rsidRPr="00BC31E0">
        <w:rPr>
          <w:rFonts w:hint="eastAsia"/>
        </w:rPr>
        <w:t>の判定基準により評価対象寸法を超える疑似指示は，同様方法による再試験，又は他の非破壊検査により欠陥であるかどうかを検査する。</w:t>
      </w:r>
    </w:p>
    <w:p w14:paraId="68B0B03B" w14:textId="77777777" w:rsidR="000738C1" w:rsidRPr="00BC31E0" w:rsidRDefault="008103A2" w:rsidP="00736130">
      <w:pPr>
        <w:pStyle w:val="a4"/>
        <w:numPr>
          <w:ilvl w:val="0"/>
          <w:numId w:val="561"/>
        </w:numPr>
        <w:ind w:leftChars="0" w:left="1134" w:hanging="567"/>
      </w:pPr>
      <w:r w:rsidRPr="00BC31E0">
        <w:rPr>
          <w:rFonts w:ascii="ＭＳ 明朝" w:hAnsi="ＭＳ 明朝" w:hint="eastAsia"/>
          <w:bCs/>
        </w:rPr>
        <w:t>浸透探傷試験を利用する場合，表面の機械的な不連続部は浸透液のしみ出しによって指示模様となる場合がある。しかしながら，機械加工による不完全部，表面の状態，又はクラ</w:t>
      </w:r>
      <w:r w:rsidR="00554BAA" w:rsidRPr="00BC31E0">
        <w:rPr>
          <w:rFonts w:ascii="ＭＳ 明朝" w:hAnsi="ＭＳ 明朝" w:hint="eastAsia"/>
          <w:bCs/>
        </w:rPr>
        <w:t>ッド材と母材との不完全結合</w:t>
      </w:r>
      <w:r w:rsidR="00554BAA" w:rsidRPr="00BC31E0">
        <w:rPr>
          <w:rFonts w:hint="eastAsia"/>
        </w:rPr>
        <w:t>など</w:t>
      </w:r>
      <w:r w:rsidRPr="00BC31E0">
        <w:rPr>
          <w:rFonts w:ascii="ＭＳ 明朝" w:hAnsi="ＭＳ 明朝" w:hint="eastAsia"/>
          <w:bCs/>
        </w:rPr>
        <w:t>による局部的な表面不完全部により疑似指示を示す場合がある。従って，次の</w:t>
      </w:r>
      <w:r w:rsidRPr="00BC31E0">
        <w:rPr>
          <w:rFonts w:asciiTheme="majorEastAsia" w:eastAsiaTheme="majorEastAsia" w:hAnsiTheme="majorEastAsia" w:hint="eastAsia"/>
          <w:b/>
        </w:rPr>
        <w:t>2)</w:t>
      </w:r>
      <w:r w:rsidRPr="00BC31E0">
        <w:rPr>
          <w:rFonts w:ascii="ＭＳ 明朝" w:hAnsi="ＭＳ 明朝" w:hint="eastAsia"/>
          <w:bCs/>
        </w:rPr>
        <w:t>の判定基準により評価対象寸法を超える疑似指示は，同様方法による再試験，又は他の非破壊検査により欠陥であるかどうかを検査する。</w:t>
      </w:r>
    </w:p>
    <w:p w14:paraId="5D65B773" w14:textId="77777777" w:rsidR="008103A2" w:rsidRPr="00BC31E0" w:rsidRDefault="008103A2" w:rsidP="00736130">
      <w:pPr>
        <w:pStyle w:val="a4"/>
        <w:numPr>
          <w:ilvl w:val="0"/>
          <w:numId w:val="561"/>
        </w:numPr>
        <w:ind w:leftChars="0" w:left="1134" w:hanging="567"/>
      </w:pPr>
      <w:r w:rsidRPr="00BC31E0">
        <w:rPr>
          <w:rFonts w:ascii="ＭＳ 明朝" w:hAnsi="ＭＳ 明朝" w:hint="eastAsia"/>
          <w:bCs/>
        </w:rPr>
        <w:t>線状指示模様は長さが幅の</w:t>
      </w:r>
      <w:r w:rsidRPr="00BC31E0">
        <w:rPr>
          <w:bCs/>
        </w:rPr>
        <w:t>3</w:t>
      </w:r>
      <w:r w:rsidRPr="00BC31E0">
        <w:rPr>
          <w:rFonts w:ascii="ＭＳ 明朝" w:hAnsi="ＭＳ 明朝" w:hint="eastAsia"/>
          <w:bCs/>
        </w:rPr>
        <w:t>倍以上の</w:t>
      </w:r>
      <w:r w:rsidR="0023248F" w:rsidRPr="00BC31E0">
        <w:rPr>
          <w:rFonts w:ascii="ＭＳ 明朝" w:hAnsi="ＭＳ 明朝" w:hint="eastAsia"/>
          <w:bCs/>
        </w:rPr>
        <w:t>指示模様</w:t>
      </w:r>
      <w:r w:rsidRPr="00BC31E0">
        <w:rPr>
          <w:rFonts w:ascii="ＭＳ 明朝" w:hAnsi="ＭＳ 明朝" w:hint="eastAsia"/>
          <w:bCs/>
        </w:rPr>
        <w:t>とする</w:t>
      </w:r>
      <w:r w:rsidR="0023248F" w:rsidRPr="00BC31E0">
        <w:rPr>
          <w:rFonts w:ascii="ＭＳ 明朝" w:hAnsi="ＭＳ 明朝" w:hint="eastAsia"/>
          <w:bCs/>
        </w:rPr>
        <w:t>。円形状指示模様</w:t>
      </w:r>
      <w:r w:rsidRPr="00BC31E0">
        <w:rPr>
          <w:rFonts w:ascii="ＭＳ 明朝" w:hAnsi="ＭＳ 明朝" w:hint="eastAsia"/>
          <w:bCs/>
        </w:rPr>
        <w:t>は</w:t>
      </w:r>
      <w:r w:rsidR="0023248F" w:rsidRPr="00BC31E0">
        <w:rPr>
          <w:rFonts w:ascii="ＭＳ 明朝" w:hAnsi="ＭＳ 明朝" w:hint="eastAsia"/>
          <w:bCs/>
        </w:rPr>
        <w:t>，</w:t>
      </w:r>
      <w:r w:rsidRPr="00BC31E0">
        <w:rPr>
          <w:rFonts w:ascii="ＭＳ 明朝" w:hAnsi="ＭＳ 明朝" w:hint="eastAsia"/>
          <w:bCs/>
        </w:rPr>
        <w:t>長さが幅</w:t>
      </w:r>
      <w:r w:rsidRPr="00BC31E0">
        <w:rPr>
          <w:rFonts w:ascii="ＭＳ 明朝" w:hAnsi="ＭＳ 明朝" w:hint="eastAsia"/>
          <w:bCs/>
        </w:rPr>
        <w:lastRenderedPageBreak/>
        <w:t>の</w:t>
      </w:r>
      <w:r w:rsidRPr="00BC31E0">
        <w:rPr>
          <w:bCs/>
        </w:rPr>
        <w:t>3</w:t>
      </w:r>
      <w:r w:rsidRPr="00BC31E0">
        <w:rPr>
          <w:rFonts w:ascii="ＭＳ 明朝" w:hAnsi="ＭＳ 明朝" w:hint="eastAsia"/>
          <w:bCs/>
        </w:rPr>
        <w:t>倍未満の</w:t>
      </w:r>
      <w:r w:rsidR="0023248F" w:rsidRPr="00BC31E0">
        <w:rPr>
          <w:rFonts w:ascii="ＭＳ 明朝" w:hAnsi="ＭＳ 明朝" w:hint="eastAsia"/>
          <w:bCs/>
        </w:rPr>
        <w:t>指示模様</w:t>
      </w:r>
      <w:r w:rsidRPr="00BC31E0">
        <w:rPr>
          <w:rFonts w:ascii="ＭＳ 明朝" w:hAnsi="ＭＳ 明朝" w:hint="eastAsia"/>
          <w:bCs/>
        </w:rPr>
        <w:t>とする。</w:t>
      </w:r>
    </w:p>
    <w:p w14:paraId="223BA5D3" w14:textId="77777777" w:rsidR="008103A2" w:rsidRPr="00BC31E0" w:rsidRDefault="008103A2" w:rsidP="00736130">
      <w:pPr>
        <w:pStyle w:val="a4"/>
        <w:numPr>
          <w:ilvl w:val="0"/>
          <w:numId w:val="562"/>
        </w:numPr>
        <w:ind w:leftChars="0" w:left="738" w:hanging="454"/>
        <w:rPr>
          <w:rFonts w:ascii="ＭＳ 明朝" w:hAnsi="ＭＳ 明朝"/>
        </w:rPr>
      </w:pPr>
      <w:r w:rsidRPr="00BC31E0">
        <w:rPr>
          <w:rFonts w:asciiTheme="majorEastAsia" w:eastAsiaTheme="majorEastAsia" w:hAnsiTheme="majorEastAsia" w:hint="eastAsia"/>
          <w:b/>
        </w:rPr>
        <w:t>判定基準</w:t>
      </w:r>
      <w:r w:rsidRPr="00BC31E0">
        <w:rPr>
          <w:rFonts w:hint="eastAsia"/>
        </w:rPr>
        <w:t xml:space="preserve">　</w:t>
      </w:r>
      <w:r w:rsidRPr="00BC31E0">
        <w:rPr>
          <w:rFonts w:ascii="ＭＳ 明朝" w:hAnsi="ＭＳ 明朝" w:hint="eastAsia"/>
        </w:rPr>
        <w:t>主要寸法が</w:t>
      </w:r>
      <w:r w:rsidRPr="00BC31E0">
        <w:t>1.6 mm</w:t>
      </w:r>
      <w:r w:rsidRPr="00BC31E0">
        <w:rPr>
          <w:rFonts w:ascii="ＭＳ 明朝" w:hAnsi="ＭＳ 明朝" w:hint="eastAsia"/>
        </w:rPr>
        <w:t>を超える指示模様を評価対象とする。次の指示模様は，不合格とする。より厳しい評価基準が使用者設計仕様書で指示される場合もある。</w:t>
      </w:r>
    </w:p>
    <w:p w14:paraId="65554A78" w14:textId="77777777" w:rsidR="008103A2" w:rsidRPr="00BC31E0" w:rsidRDefault="008103A2" w:rsidP="00E972AF">
      <w:pPr>
        <w:ind w:left="964" w:hanging="227"/>
      </w:pPr>
      <w:r w:rsidRPr="00BC31E0">
        <w:rPr>
          <w:rFonts w:hint="eastAsia"/>
        </w:rPr>
        <w:t>・厚さ</w:t>
      </w:r>
      <w:r w:rsidRPr="00BC31E0">
        <w:t>16 mm</w:t>
      </w:r>
      <w:r w:rsidRPr="00BC31E0">
        <w:rPr>
          <w:rFonts w:hint="eastAsia"/>
        </w:rPr>
        <w:t>未満の材料について，長さ</w:t>
      </w:r>
      <w:r w:rsidRPr="00BC31E0">
        <w:t>1.6 mm</w:t>
      </w:r>
      <w:r w:rsidRPr="00BC31E0">
        <w:rPr>
          <w:rFonts w:hint="eastAsia"/>
        </w:rPr>
        <w:t>を超える線状指示模様</w:t>
      </w:r>
    </w:p>
    <w:p w14:paraId="1416CDFD" w14:textId="77777777" w:rsidR="008103A2" w:rsidRPr="00BC31E0" w:rsidRDefault="008103A2" w:rsidP="00E972AF">
      <w:pPr>
        <w:ind w:left="964" w:hanging="227"/>
      </w:pPr>
      <w:r w:rsidRPr="00BC31E0">
        <w:rPr>
          <w:rFonts w:hint="eastAsia"/>
        </w:rPr>
        <w:t>・厚さ</w:t>
      </w:r>
      <w:r w:rsidRPr="00BC31E0">
        <w:t>16 mm</w:t>
      </w:r>
      <w:r w:rsidRPr="00BC31E0">
        <w:rPr>
          <w:rFonts w:hint="eastAsia"/>
        </w:rPr>
        <w:t>以上，</w:t>
      </w:r>
      <w:r w:rsidRPr="00BC31E0">
        <w:t>50 mm</w:t>
      </w:r>
      <w:r w:rsidRPr="00BC31E0">
        <w:rPr>
          <w:rFonts w:hint="eastAsia"/>
        </w:rPr>
        <w:t>未満の材料について，長さ</w:t>
      </w:r>
      <w:r w:rsidRPr="00BC31E0">
        <w:t>3.2 mm</w:t>
      </w:r>
      <w:r w:rsidRPr="00BC31E0">
        <w:rPr>
          <w:rFonts w:hint="eastAsia"/>
        </w:rPr>
        <w:t>を超える線状指示模様</w:t>
      </w:r>
    </w:p>
    <w:p w14:paraId="49E92812" w14:textId="77777777" w:rsidR="008103A2" w:rsidRPr="00BC31E0" w:rsidRDefault="008103A2" w:rsidP="00E972AF">
      <w:pPr>
        <w:ind w:left="964" w:hanging="227"/>
      </w:pPr>
      <w:r w:rsidRPr="00BC31E0">
        <w:rPr>
          <w:rFonts w:hint="eastAsia"/>
        </w:rPr>
        <w:t>・厚さ</w:t>
      </w:r>
      <w:r w:rsidRPr="00BC31E0">
        <w:t>50 mm</w:t>
      </w:r>
      <w:r w:rsidRPr="00BC31E0">
        <w:rPr>
          <w:rFonts w:hint="eastAsia"/>
        </w:rPr>
        <w:t>以上の材料について，長さ</w:t>
      </w:r>
      <w:r w:rsidRPr="00BC31E0">
        <w:t>4.8 mm</w:t>
      </w:r>
      <w:r w:rsidRPr="00BC31E0">
        <w:rPr>
          <w:rFonts w:hint="eastAsia"/>
        </w:rPr>
        <w:t>を超える線状指示模様</w:t>
      </w:r>
    </w:p>
    <w:p w14:paraId="10B3071E" w14:textId="77777777" w:rsidR="008103A2" w:rsidRPr="00BC31E0" w:rsidRDefault="008103A2" w:rsidP="00E972AF">
      <w:pPr>
        <w:ind w:left="964" w:hanging="227"/>
      </w:pPr>
      <w:r w:rsidRPr="00BC31E0">
        <w:rPr>
          <w:rFonts w:hint="eastAsia"/>
        </w:rPr>
        <w:t>・厚さ</w:t>
      </w:r>
      <w:r w:rsidRPr="00BC31E0">
        <w:t>16 mm</w:t>
      </w:r>
      <w:r w:rsidRPr="00BC31E0">
        <w:rPr>
          <w:rFonts w:hint="eastAsia"/>
        </w:rPr>
        <w:t>未満の材料について，直径</w:t>
      </w:r>
      <w:r w:rsidRPr="00BC31E0">
        <w:t>3.2 mm</w:t>
      </w:r>
      <w:r w:rsidRPr="00BC31E0">
        <w:rPr>
          <w:rFonts w:hint="eastAsia"/>
        </w:rPr>
        <w:t>を超える円形状指示模様</w:t>
      </w:r>
    </w:p>
    <w:p w14:paraId="3F24D5CD" w14:textId="77777777" w:rsidR="008103A2" w:rsidRPr="00BC31E0" w:rsidRDefault="008103A2" w:rsidP="00E972AF">
      <w:pPr>
        <w:ind w:left="964" w:hanging="227"/>
      </w:pPr>
      <w:r w:rsidRPr="00BC31E0">
        <w:rPr>
          <w:rFonts w:hint="eastAsia"/>
        </w:rPr>
        <w:t>・厚さ</w:t>
      </w:r>
      <w:r w:rsidRPr="00BC31E0">
        <w:t>16 mm</w:t>
      </w:r>
      <w:r w:rsidRPr="00BC31E0">
        <w:rPr>
          <w:rFonts w:hint="eastAsia"/>
        </w:rPr>
        <w:t>以上の材料について，直径</w:t>
      </w:r>
      <w:r w:rsidRPr="00BC31E0">
        <w:t>4.8</w:t>
      </w:r>
      <w:r w:rsidRPr="00BC31E0">
        <w:rPr>
          <w:rFonts w:hint="eastAsia"/>
        </w:rPr>
        <w:t xml:space="preserve"> </w:t>
      </w:r>
      <w:r w:rsidRPr="00BC31E0">
        <w:t>mm</w:t>
      </w:r>
      <w:r w:rsidRPr="00BC31E0">
        <w:rPr>
          <w:rFonts w:hint="eastAsia"/>
        </w:rPr>
        <w:t>を超える円形状指示模様</w:t>
      </w:r>
    </w:p>
    <w:p w14:paraId="032AF364" w14:textId="77777777" w:rsidR="008103A2" w:rsidRPr="00BC31E0" w:rsidRDefault="008103A2" w:rsidP="00E972AF">
      <w:pPr>
        <w:ind w:left="964" w:hanging="227"/>
      </w:pPr>
      <w:r w:rsidRPr="00BC31E0">
        <w:rPr>
          <w:rFonts w:hint="eastAsia"/>
        </w:rPr>
        <w:t>・同一線上に</w:t>
      </w:r>
      <w:r w:rsidRPr="00BC31E0">
        <w:t>4</w:t>
      </w:r>
      <w:r w:rsidRPr="00BC31E0">
        <w:rPr>
          <w:rFonts w:hint="eastAsia"/>
        </w:rPr>
        <w:t>個以上の円形状指示模様が並び，端部間距離が</w:t>
      </w:r>
      <w:r w:rsidRPr="00BC31E0">
        <w:t>1.6 mm</w:t>
      </w:r>
      <w:r w:rsidRPr="00BC31E0">
        <w:rPr>
          <w:rFonts w:hint="eastAsia"/>
        </w:rPr>
        <w:t>以下の場合</w:t>
      </w:r>
    </w:p>
    <w:p w14:paraId="21C7F59B" w14:textId="77777777" w:rsidR="008103A2" w:rsidRPr="00BC31E0" w:rsidRDefault="008103A2" w:rsidP="00E972AF">
      <w:pPr>
        <w:ind w:left="964" w:hanging="227"/>
      </w:pPr>
      <w:r w:rsidRPr="00BC31E0">
        <w:rPr>
          <w:rFonts w:hint="eastAsia"/>
        </w:rPr>
        <w:t>・最も不利な条件にて</w:t>
      </w:r>
      <w:r w:rsidRPr="00BC31E0">
        <w:t>3,900</w:t>
      </w:r>
      <w:r w:rsidRPr="00BC31E0">
        <w:rPr>
          <w:rFonts w:hint="eastAsia"/>
        </w:rPr>
        <w:t xml:space="preserve"> </w:t>
      </w:r>
      <w:r w:rsidRPr="00BC31E0">
        <w:t>mm</w:t>
      </w:r>
      <w:r w:rsidRPr="00BC31E0">
        <w:rPr>
          <w:vertAlign w:val="superscript"/>
        </w:rPr>
        <w:t>2</w:t>
      </w:r>
      <w:r w:rsidRPr="00BC31E0">
        <w:rPr>
          <w:rFonts w:hint="eastAsia"/>
        </w:rPr>
        <w:t>面積内に</w:t>
      </w:r>
      <w:r w:rsidRPr="00BC31E0">
        <w:t>10</w:t>
      </w:r>
      <w:r w:rsidRPr="00BC31E0">
        <w:rPr>
          <w:rFonts w:hint="eastAsia"/>
        </w:rPr>
        <w:t>個以上の円形状指示模様がある場合。ただし，面積の取り方は，その主要寸法が</w:t>
      </w:r>
      <w:r w:rsidRPr="00BC31E0">
        <w:t>150 mm</w:t>
      </w:r>
      <w:r w:rsidRPr="00BC31E0">
        <w:rPr>
          <w:rFonts w:hint="eastAsia"/>
        </w:rPr>
        <w:t>未満とする。</w:t>
      </w:r>
    </w:p>
    <w:p w14:paraId="0F261095" w14:textId="77777777" w:rsidR="008103A2" w:rsidRPr="00BC31E0" w:rsidRDefault="008103A2" w:rsidP="00736130">
      <w:pPr>
        <w:pStyle w:val="a4"/>
        <w:numPr>
          <w:ilvl w:val="0"/>
          <w:numId w:val="557"/>
        </w:numPr>
        <w:ind w:leftChars="0" w:left="454" w:hanging="454"/>
      </w:pPr>
      <w:r w:rsidRPr="00BC31E0">
        <w:rPr>
          <w:rFonts w:asciiTheme="majorEastAsia" w:eastAsiaTheme="majorEastAsia" w:hAnsiTheme="majorEastAsia" w:hint="eastAsia"/>
          <w:b/>
        </w:rPr>
        <w:t>溶接による補修</w:t>
      </w:r>
      <w:r w:rsidRPr="00BC31E0">
        <w:rPr>
          <w:rFonts w:hint="eastAsia"/>
        </w:rPr>
        <w:t xml:space="preserve">　</w:t>
      </w:r>
      <w:r w:rsidRPr="00BC31E0">
        <w:rPr>
          <w:rFonts w:asciiTheme="majorEastAsia" w:eastAsiaTheme="majorEastAsia" w:hAnsiTheme="majorEastAsia" w:hint="eastAsia"/>
          <w:b/>
        </w:rPr>
        <w:t>5</w:t>
      </w:r>
      <w:r w:rsidRPr="00BC31E0">
        <w:rPr>
          <w:rFonts w:ascii="ＭＳ 明朝" w:hAnsi="ＭＳ 明朝" w:hint="eastAsia"/>
        </w:rPr>
        <w:t>及び製品仕様により溶接補修が禁止されていない場合，補修の深さは製品仕様による制限を除けば制限はない。ただし，</w:t>
      </w:r>
      <w:r w:rsidRPr="00BC31E0">
        <w:rPr>
          <w:rFonts w:asciiTheme="majorEastAsia" w:eastAsiaTheme="majorEastAsia" w:hAnsiTheme="majorEastAsia" w:hint="eastAsia"/>
          <w:b/>
        </w:rPr>
        <w:t>9.2.3</w:t>
      </w:r>
      <w:r w:rsidRPr="00BC31E0">
        <w:rPr>
          <w:rFonts w:ascii="ＭＳ 明朝" w:hAnsi="ＭＳ 明朝" w:hint="eastAsia"/>
        </w:rPr>
        <w:t>には従わなければならない。</w:t>
      </w:r>
    </w:p>
    <w:p w14:paraId="4256E35E" w14:textId="77777777" w:rsidR="008103A2" w:rsidRPr="00BC31E0" w:rsidRDefault="008103A2" w:rsidP="00BE2F85">
      <w:pPr>
        <w:pStyle w:val="3"/>
        <w:tabs>
          <w:tab w:val="clear" w:pos="284"/>
        </w:tabs>
        <w:ind w:left="794" w:hanging="794"/>
      </w:pPr>
      <w:r w:rsidRPr="00BC31E0">
        <w:rPr>
          <w:rFonts w:hint="eastAsia"/>
        </w:rPr>
        <w:t>シームレス，溶接管と継手の試験と補修</w:t>
      </w:r>
    </w:p>
    <w:p w14:paraId="1A5D72AE" w14:textId="77777777" w:rsidR="008103A2" w:rsidRPr="00BC31E0" w:rsidRDefault="008103A2" w:rsidP="00E972AF">
      <w:pPr>
        <w:pStyle w:val="1110"/>
        <w:ind w:firstLine="210"/>
      </w:pPr>
      <w:r w:rsidRPr="00BC31E0">
        <w:rPr>
          <w:rFonts w:hint="eastAsia"/>
        </w:rPr>
        <w:t>シームレス，溶接管と継手の試験と補修は，次の</w:t>
      </w:r>
      <w:r w:rsidRPr="00BC31E0">
        <w:rPr>
          <w:rFonts w:ascii="ＭＳ ゴシック" w:hAnsi="ＭＳ ゴシック" w:hint="eastAsia"/>
          <w:b/>
        </w:rPr>
        <w:t>a)</w:t>
      </w:r>
      <w:r w:rsidRPr="00BC31E0">
        <w:rPr>
          <w:rFonts w:hint="eastAsia"/>
        </w:rPr>
        <w:t>～</w:t>
      </w:r>
      <w:r w:rsidRPr="00BC31E0">
        <w:rPr>
          <w:rFonts w:ascii="ＭＳ ゴシック" w:hAnsi="ＭＳ ゴシック" w:hint="eastAsia"/>
          <w:b/>
        </w:rPr>
        <w:t>f</w:t>
      </w:r>
      <w:r w:rsidRPr="00BC31E0">
        <w:rPr>
          <w:rFonts w:asciiTheme="majorEastAsia" w:eastAsiaTheme="majorEastAsia" w:hAnsiTheme="majorEastAsia" w:hint="eastAsia"/>
          <w:b/>
        </w:rPr>
        <w:t>)</w:t>
      </w:r>
      <w:r w:rsidRPr="00BC31E0">
        <w:rPr>
          <w:rFonts w:hint="eastAsia"/>
        </w:rPr>
        <w:t>による。</w:t>
      </w:r>
    </w:p>
    <w:p w14:paraId="0E053569" w14:textId="77777777" w:rsidR="008103A2" w:rsidRPr="00BC31E0" w:rsidRDefault="008103A2" w:rsidP="00736130">
      <w:pPr>
        <w:pStyle w:val="a4"/>
        <w:numPr>
          <w:ilvl w:val="0"/>
          <w:numId w:val="563"/>
        </w:numPr>
        <w:ind w:leftChars="0" w:left="454" w:hanging="454"/>
      </w:pPr>
      <w:r w:rsidRPr="00BC31E0">
        <w:rPr>
          <w:rFonts w:asciiTheme="majorEastAsia" w:eastAsiaTheme="majorEastAsia" w:hAnsiTheme="majorEastAsia" w:hint="eastAsia"/>
          <w:b/>
        </w:rPr>
        <w:t>要求される試験</w:t>
      </w:r>
      <w:r w:rsidRPr="00BC31E0">
        <w:rPr>
          <w:rFonts w:hint="eastAsia"/>
        </w:rPr>
        <w:t xml:space="preserve">　</w:t>
      </w:r>
      <w:r w:rsidRPr="00BC31E0">
        <w:rPr>
          <w:rFonts w:ascii="ＭＳ 明朝" w:hAnsi="ＭＳ 明朝" w:hint="eastAsia"/>
        </w:rPr>
        <w:t>要求される試験は，次の</w:t>
      </w:r>
      <w:r w:rsidRPr="00BC31E0">
        <w:rPr>
          <w:rFonts w:asciiTheme="majorEastAsia" w:eastAsiaTheme="majorEastAsia" w:hAnsiTheme="majorEastAsia" w:hint="eastAsia"/>
          <w:b/>
        </w:rPr>
        <w:t>1)</w:t>
      </w:r>
      <w:r w:rsidRPr="00BC31E0">
        <w:rPr>
          <w:rFonts w:ascii="ＭＳ 明朝" w:hAnsi="ＭＳ 明朝" w:hint="eastAsia"/>
        </w:rPr>
        <w:t>～</w:t>
      </w:r>
      <w:r w:rsidRPr="00BC31E0">
        <w:rPr>
          <w:rFonts w:asciiTheme="majorEastAsia" w:eastAsiaTheme="majorEastAsia" w:hAnsiTheme="majorEastAsia" w:hint="eastAsia"/>
          <w:b/>
        </w:rPr>
        <w:t>3)</w:t>
      </w:r>
      <w:r w:rsidRPr="00BC31E0">
        <w:rPr>
          <w:rFonts w:ascii="ＭＳ 明朝" w:hAnsi="ＭＳ 明朝" w:hint="eastAsia"/>
        </w:rPr>
        <w:t>による。</w:t>
      </w:r>
    </w:p>
    <w:p w14:paraId="78DEB975" w14:textId="77777777" w:rsidR="008103A2" w:rsidRPr="00BC31E0" w:rsidRDefault="008103A2" w:rsidP="00736130">
      <w:pPr>
        <w:pStyle w:val="a4"/>
        <w:numPr>
          <w:ilvl w:val="0"/>
          <w:numId w:val="564"/>
        </w:numPr>
        <w:ind w:leftChars="0" w:left="738" w:hanging="454"/>
      </w:pPr>
      <w:r w:rsidRPr="00BC31E0">
        <w:rPr>
          <w:rFonts w:hint="eastAsia"/>
        </w:rPr>
        <w:t>シームレス，溶接管</w:t>
      </w:r>
      <w:r w:rsidRPr="00BC31E0">
        <w:rPr>
          <w:rFonts w:asciiTheme="minorHAnsi" w:hAnsiTheme="minorHAnsi"/>
        </w:rPr>
        <w:t>(</w:t>
      </w:r>
      <w:r w:rsidRPr="00BC31E0">
        <w:rPr>
          <w:rFonts w:asciiTheme="minorHAnsi"/>
        </w:rPr>
        <w:t>溶加材なし</w:t>
      </w:r>
      <w:r w:rsidRPr="00BC31E0">
        <w:rPr>
          <w:rFonts w:asciiTheme="minorHAnsi" w:hAnsiTheme="minorHAnsi"/>
        </w:rPr>
        <w:t>)</w:t>
      </w:r>
      <w:r w:rsidRPr="00BC31E0">
        <w:rPr>
          <w:rFonts w:hint="eastAsia"/>
        </w:rPr>
        <w:t>は，次の</w:t>
      </w:r>
      <w:r w:rsidRPr="00BC31E0">
        <w:rPr>
          <w:rFonts w:asciiTheme="majorEastAsia" w:eastAsiaTheme="majorEastAsia" w:hAnsiTheme="majorEastAsia" w:hint="eastAsia"/>
          <w:b/>
        </w:rPr>
        <w:t>1.1)</w:t>
      </w:r>
      <w:r w:rsidRPr="00BC31E0">
        <w:rPr>
          <w:rFonts w:hint="eastAsia"/>
        </w:rPr>
        <w:t>，</w:t>
      </w:r>
      <w:r w:rsidRPr="00BC31E0">
        <w:rPr>
          <w:rFonts w:asciiTheme="majorEastAsia" w:eastAsiaTheme="majorEastAsia" w:hAnsiTheme="majorEastAsia" w:hint="eastAsia"/>
          <w:b/>
        </w:rPr>
        <w:t>1.2)</w:t>
      </w:r>
      <w:r w:rsidRPr="00BC31E0">
        <w:rPr>
          <w:rFonts w:hint="eastAsia"/>
        </w:rPr>
        <w:t>又は</w:t>
      </w:r>
      <w:r w:rsidRPr="00BC31E0">
        <w:rPr>
          <w:rFonts w:asciiTheme="majorEastAsia" w:eastAsiaTheme="majorEastAsia" w:hAnsiTheme="majorEastAsia" w:hint="eastAsia"/>
          <w:b/>
        </w:rPr>
        <w:t>1.3)</w:t>
      </w:r>
      <w:r w:rsidRPr="00BC31E0">
        <w:rPr>
          <w:rFonts w:hint="eastAsia"/>
        </w:rPr>
        <w:t>に従って材料全体について試験を行わなければならない。管製品は検査前に内外面の手入れを要求される場合がある。</w:t>
      </w:r>
    </w:p>
    <w:p w14:paraId="137DC62D" w14:textId="77777777" w:rsidR="00BE2F85" w:rsidRPr="00BC31E0" w:rsidRDefault="008103A2" w:rsidP="00736130">
      <w:pPr>
        <w:pStyle w:val="a4"/>
        <w:numPr>
          <w:ilvl w:val="0"/>
          <w:numId w:val="565"/>
        </w:numPr>
        <w:ind w:leftChars="0" w:left="1134" w:hanging="567"/>
      </w:pPr>
      <w:r w:rsidRPr="00BC31E0">
        <w:rPr>
          <w:rFonts w:hint="eastAsia"/>
        </w:rPr>
        <w:t>外径</w:t>
      </w:r>
      <w:r w:rsidRPr="00BC31E0">
        <w:t>64 mm</w:t>
      </w:r>
      <w:r w:rsidRPr="00BC31E0">
        <w:rPr>
          <w:rFonts w:hint="eastAsia"/>
        </w:rPr>
        <w:t>未満の管は，周</w:t>
      </w:r>
      <w:r w:rsidRPr="00BC31E0">
        <w:t>2</w:t>
      </w:r>
      <w:r w:rsidRPr="00BC31E0">
        <w:rPr>
          <w:rFonts w:hint="eastAsia"/>
        </w:rPr>
        <w:t>方向への超音波探傷試験</w:t>
      </w:r>
      <w:r w:rsidR="00BE2F85" w:rsidRPr="00BC31E0">
        <w:rPr>
          <w:rFonts w:hint="eastAsia"/>
        </w:rPr>
        <w:t>[</w:t>
      </w:r>
      <w:r w:rsidRPr="00BC31E0">
        <w:rPr>
          <w:rFonts w:hint="eastAsia"/>
        </w:rPr>
        <w:t>次の</w:t>
      </w:r>
      <w:r w:rsidRPr="00BC31E0">
        <w:rPr>
          <w:rFonts w:asciiTheme="majorEastAsia" w:eastAsiaTheme="majorEastAsia" w:hAnsiTheme="majorEastAsia" w:hint="eastAsia"/>
          <w:b/>
        </w:rPr>
        <w:t>b)</w:t>
      </w:r>
      <w:r w:rsidR="00BE2F85" w:rsidRPr="00BC31E0">
        <w:rPr>
          <w:rFonts w:hAnsi="ＭＳ ゴシック" w:hint="eastAsia"/>
        </w:rPr>
        <w:t>]</w:t>
      </w:r>
      <w:r w:rsidRPr="00BC31E0">
        <w:rPr>
          <w:rFonts w:hint="eastAsia"/>
        </w:rPr>
        <w:t xml:space="preserve"> </w:t>
      </w:r>
      <w:r w:rsidRPr="00BC31E0">
        <w:rPr>
          <w:rFonts w:hint="eastAsia"/>
        </w:rPr>
        <w:t>，及び有意な結果が得られるようにサイズ，材料，厚さが制限されている条件で渦流探傷試験</w:t>
      </w:r>
      <w:r w:rsidR="00D06B2E" w:rsidRPr="00BC31E0">
        <w:rPr>
          <w:rFonts w:asciiTheme="minorHAnsi" w:hAnsiTheme="minorHAnsi"/>
        </w:rPr>
        <w:t>[</w:t>
      </w:r>
      <w:r w:rsidRPr="00BC31E0">
        <w:rPr>
          <w:rFonts w:hint="eastAsia"/>
        </w:rPr>
        <w:t>次の</w:t>
      </w:r>
      <w:r w:rsidRPr="00BC31E0">
        <w:rPr>
          <w:rFonts w:asciiTheme="majorEastAsia" w:eastAsiaTheme="majorEastAsia" w:hAnsiTheme="majorEastAsia" w:hint="eastAsia"/>
          <w:b/>
        </w:rPr>
        <w:t>d)</w:t>
      </w:r>
      <w:r w:rsidR="00D06B2E" w:rsidRPr="00BC31E0">
        <w:rPr>
          <w:rFonts w:asciiTheme="minorHAnsi" w:hAnsiTheme="minorHAnsi"/>
        </w:rPr>
        <w:t>]</w:t>
      </w:r>
      <w:r w:rsidRPr="00BC31E0">
        <w:rPr>
          <w:rFonts w:hint="eastAsia"/>
        </w:rPr>
        <w:t>を実施しなければならない。各試験方法について，超音波探傷試験は次の</w:t>
      </w:r>
      <w:r w:rsidRPr="00BC31E0">
        <w:rPr>
          <w:rFonts w:asciiTheme="majorEastAsia" w:eastAsiaTheme="majorEastAsia" w:hAnsiTheme="majorEastAsia" w:hint="eastAsia"/>
          <w:b/>
        </w:rPr>
        <w:t>b) 2.1)</w:t>
      </w:r>
      <w:r w:rsidRPr="00BC31E0">
        <w:rPr>
          <w:rFonts w:hint="eastAsia"/>
        </w:rPr>
        <w:t>の軸方向のノッチ又は溝に合わせて校正し，渦流探傷試験は次の</w:t>
      </w:r>
      <w:r w:rsidRPr="00BC31E0">
        <w:rPr>
          <w:rFonts w:asciiTheme="majorEastAsia" w:eastAsiaTheme="majorEastAsia" w:hAnsiTheme="majorEastAsia" w:hint="eastAsia"/>
          <w:b/>
        </w:rPr>
        <w:t>d) 2)</w:t>
      </w:r>
      <w:r w:rsidRPr="00BC31E0">
        <w:rPr>
          <w:rFonts w:hint="eastAsia"/>
        </w:rPr>
        <w:t>の半径方向の孔と，周方向ノッチ又は溝に合わせて校正する。渦流探傷試験の代替として，又は渦流探傷試験により有意な結果が得られない場合は，次の</w:t>
      </w:r>
      <w:r w:rsidRPr="00BC31E0">
        <w:rPr>
          <w:rFonts w:asciiTheme="majorEastAsia" w:eastAsiaTheme="majorEastAsia" w:hAnsiTheme="majorEastAsia" w:hint="eastAsia"/>
          <w:b/>
        </w:rPr>
        <w:t>b) 1.2)</w:t>
      </w:r>
      <w:r w:rsidRPr="00BC31E0">
        <w:rPr>
          <w:rFonts w:hint="eastAsia"/>
        </w:rPr>
        <w:t>に従って軸</w:t>
      </w:r>
      <w:r w:rsidRPr="00BC31E0">
        <w:t>2</w:t>
      </w:r>
      <w:r w:rsidRPr="00BC31E0">
        <w:rPr>
          <w:rFonts w:hint="eastAsia"/>
        </w:rPr>
        <w:t>方向の超音波探傷試験を行う。</w:t>
      </w:r>
    </w:p>
    <w:p w14:paraId="5B286BD0" w14:textId="77777777" w:rsidR="00BE2F85" w:rsidRPr="00BC31E0" w:rsidRDefault="008103A2" w:rsidP="00736130">
      <w:pPr>
        <w:pStyle w:val="a4"/>
        <w:numPr>
          <w:ilvl w:val="0"/>
          <w:numId w:val="565"/>
        </w:numPr>
        <w:ind w:leftChars="0" w:left="1134" w:hanging="567"/>
      </w:pPr>
      <w:r w:rsidRPr="00BC31E0">
        <w:rPr>
          <w:rFonts w:ascii="ＭＳ 明朝" w:hAnsi="ＭＳ 明朝" w:hint="eastAsia"/>
          <w:bCs/>
        </w:rPr>
        <w:t>外径</w:t>
      </w:r>
      <w:r w:rsidRPr="00BC31E0">
        <w:rPr>
          <w:bCs/>
        </w:rPr>
        <w:t>64 mm</w:t>
      </w:r>
      <w:r w:rsidRPr="00BC31E0">
        <w:rPr>
          <w:rFonts w:ascii="ＭＳ 明朝" w:hAnsi="ＭＳ 明朝" w:hint="eastAsia"/>
          <w:bCs/>
        </w:rPr>
        <w:t>から</w:t>
      </w:r>
      <w:r w:rsidRPr="00BC31E0">
        <w:rPr>
          <w:bCs/>
        </w:rPr>
        <w:t>170 mm</w:t>
      </w:r>
      <w:r w:rsidRPr="00BC31E0">
        <w:rPr>
          <w:rFonts w:ascii="ＭＳ 明朝" w:hAnsi="ＭＳ 明朝" w:hint="eastAsia"/>
          <w:bCs/>
        </w:rPr>
        <w:t>までの管は，次の</w:t>
      </w:r>
      <w:r w:rsidRPr="00BC31E0">
        <w:rPr>
          <w:rFonts w:asciiTheme="majorEastAsia" w:eastAsiaTheme="majorEastAsia" w:hAnsiTheme="majorEastAsia" w:hint="eastAsia"/>
          <w:b/>
        </w:rPr>
        <w:t>b) 1.1)</w:t>
      </w:r>
      <w:r w:rsidRPr="00BC31E0">
        <w:rPr>
          <w:rFonts w:ascii="ＭＳ 明朝" w:hAnsi="ＭＳ 明朝" w:hint="eastAsia"/>
          <w:bCs/>
        </w:rPr>
        <w:t>に従って周</w:t>
      </w:r>
      <w:r w:rsidRPr="00BC31E0">
        <w:rPr>
          <w:bCs/>
        </w:rPr>
        <w:t>2</w:t>
      </w:r>
      <w:r w:rsidRPr="00BC31E0">
        <w:rPr>
          <w:rFonts w:ascii="ＭＳ 明朝" w:hAnsi="ＭＳ 明朝" w:hint="eastAsia"/>
          <w:bCs/>
        </w:rPr>
        <w:t>方向と次の</w:t>
      </w:r>
      <w:r w:rsidRPr="00BC31E0">
        <w:rPr>
          <w:rFonts w:asciiTheme="majorEastAsia" w:eastAsiaTheme="majorEastAsia" w:hAnsiTheme="majorEastAsia" w:hint="eastAsia"/>
          <w:b/>
        </w:rPr>
        <w:t>b) 1.2)</w:t>
      </w:r>
      <w:r w:rsidRPr="00BC31E0">
        <w:rPr>
          <w:rFonts w:ascii="ＭＳ 明朝" w:hAnsi="ＭＳ 明朝" w:hint="eastAsia"/>
          <w:bCs/>
        </w:rPr>
        <w:t>に従った軸</w:t>
      </w:r>
      <w:r w:rsidRPr="00BC31E0">
        <w:rPr>
          <w:bCs/>
        </w:rPr>
        <w:t>2</w:t>
      </w:r>
      <w:r w:rsidRPr="00BC31E0">
        <w:rPr>
          <w:rFonts w:ascii="ＭＳ 明朝" w:hAnsi="ＭＳ 明朝" w:hint="eastAsia"/>
          <w:bCs/>
        </w:rPr>
        <w:t>方向への超音波探傷試験を実施しなければならない。</w:t>
      </w:r>
    </w:p>
    <w:p w14:paraId="38BCDEA2" w14:textId="77777777" w:rsidR="008103A2" w:rsidRPr="00BC31E0" w:rsidRDefault="008103A2" w:rsidP="00736130">
      <w:pPr>
        <w:pStyle w:val="a4"/>
        <w:numPr>
          <w:ilvl w:val="0"/>
          <w:numId w:val="565"/>
        </w:numPr>
        <w:ind w:leftChars="0" w:left="1134" w:hanging="567"/>
      </w:pPr>
      <w:r w:rsidRPr="00BC31E0">
        <w:rPr>
          <w:rFonts w:ascii="ＭＳ 明朝" w:hAnsi="ＭＳ 明朝" w:hint="eastAsia"/>
          <w:bCs/>
        </w:rPr>
        <w:t>外径</w:t>
      </w:r>
      <w:r w:rsidRPr="00BC31E0">
        <w:rPr>
          <w:bCs/>
        </w:rPr>
        <w:t>170 mm</w:t>
      </w:r>
      <w:r w:rsidRPr="00BC31E0">
        <w:rPr>
          <w:rFonts w:ascii="ＭＳ 明朝" w:hAnsi="ＭＳ 明朝" w:hint="eastAsia"/>
          <w:bCs/>
        </w:rPr>
        <w:t>を超える管は，次の</w:t>
      </w:r>
      <w:r w:rsidRPr="00BC31E0">
        <w:rPr>
          <w:rFonts w:asciiTheme="majorEastAsia" w:eastAsiaTheme="majorEastAsia" w:hAnsiTheme="majorEastAsia" w:hint="eastAsia"/>
          <w:b/>
        </w:rPr>
        <w:t>b) 1.3)</w:t>
      </w:r>
      <w:r w:rsidRPr="00BC31E0">
        <w:rPr>
          <w:rFonts w:ascii="ＭＳ 明朝" w:hAnsi="ＭＳ 明朝" w:hint="eastAsia"/>
          <w:bCs/>
        </w:rPr>
        <w:t>に従って周</w:t>
      </w:r>
      <w:r w:rsidRPr="00BC31E0">
        <w:rPr>
          <w:bCs/>
        </w:rPr>
        <w:t>2</w:t>
      </w:r>
      <w:r w:rsidRPr="00BC31E0">
        <w:rPr>
          <w:rFonts w:ascii="ＭＳ 明朝" w:hAnsi="ＭＳ 明朝" w:hint="eastAsia"/>
          <w:bCs/>
        </w:rPr>
        <w:t>方向への超音波探傷試験又は，次の</w:t>
      </w:r>
      <w:r w:rsidRPr="00BC31E0">
        <w:rPr>
          <w:rFonts w:asciiTheme="majorEastAsia" w:eastAsiaTheme="majorEastAsia" w:hAnsiTheme="majorEastAsia" w:hint="eastAsia"/>
          <w:b/>
        </w:rPr>
        <w:t>c)</w:t>
      </w:r>
      <w:r w:rsidRPr="00BC31E0">
        <w:rPr>
          <w:rFonts w:ascii="ＭＳ 明朝" w:hAnsi="ＭＳ 明朝" w:hint="eastAsia"/>
          <w:bCs/>
        </w:rPr>
        <w:t>に従った放射線透過試験を実施しなければならない。代替案として，外径</w:t>
      </w:r>
      <w:r w:rsidRPr="00BC31E0">
        <w:rPr>
          <w:bCs/>
        </w:rPr>
        <w:t>170 mm</w:t>
      </w:r>
      <w:r w:rsidRPr="00BC31E0">
        <w:rPr>
          <w:rFonts w:ascii="ＭＳ 明朝" w:hAnsi="ＭＳ 明朝" w:hint="eastAsia"/>
          <w:bCs/>
        </w:rPr>
        <w:t>を超える溶加材無しの溶接管に対しては曲げ加工の前に板を</w:t>
      </w:r>
      <w:r w:rsidRPr="00BC31E0">
        <w:rPr>
          <w:rFonts w:asciiTheme="majorEastAsia" w:eastAsiaTheme="majorEastAsia" w:hAnsiTheme="majorEastAsia" w:hint="eastAsia"/>
          <w:b/>
        </w:rPr>
        <w:t>9.2.4</w:t>
      </w:r>
      <w:r w:rsidRPr="00BC31E0">
        <w:rPr>
          <w:rFonts w:ascii="ＭＳ 明朝" w:hAnsi="ＭＳ 明朝" w:hint="eastAsia"/>
          <w:bCs/>
        </w:rPr>
        <w:t>に従って超音波探傷試験を行い，溶接部には次の</w:t>
      </w:r>
      <w:r w:rsidRPr="00BC31E0">
        <w:rPr>
          <w:rFonts w:asciiTheme="majorEastAsia" w:eastAsiaTheme="majorEastAsia" w:hAnsiTheme="majorEastAsia" w:hint="eastAsia"/>
          <w:b/>
        </w:rPr>
        <w:t>c)</w:t>
      </w:r>
      <w:r w:rsidRPr="00BC31E0">
        <w:rPr>
          <w:rFonts w:ascii="ＭＳ 明朝" w:hAnsi="ＭＳ 明朝" w:hint="eastAsia"/>
          <w:bCs/>
        </w:rPr>
        <w:t>に従った放射線透過試験を行う。補修溶接部を含む溶接部は最終圧延や成形後に放射線透過試験を行う。放射線透過試験は溶接後熱処理前に実施してもよい。</w:t>
      </w:r>
    </w:p>
    <w:p w14:paraId="40B5BF0C" w14:textId="77777777" w:rsidR="003960D2" w:rsidRPr="00BC31E0" w:rsidRDefault="008103A2" w:rsidP="00736130">
      <w:pPr>
        <w:pStyle w:val="a4"/>
        <w:numPr>
          <w:ilvl w:val="0"/>
          <w:numId w:val="566"/>
        </w:numPr>
        <w:ind w:leftChars="0" w:left="738" w:hanging="454"/>
      </w:pPr>
      <w:r w:rsidRPr="00BC31E0">
        <w:rPr>
          <w:rFonts w:hint="eastAsia"/>
        </w:rPr>
        <w:t>鍛造品又は棒材から機械加工により製作する管フランジや継手を含む，シームレスや溶加材無し溶接管は，材料仕様による試験に加えて全ての外表面と試験可能な内表面に対して</w:t>
      </w:r>
      <w:r w:rsidRPr="00BC31E0">
        <w:rPr>
          <w:rFonts w:asciiTheme="majorEastAsia" w:eastAsiaTheme="majorEastAsia" w:hAnsiTheme="majorEastAsia" w:hint="eastAsia"/>
          <w:b/>
        </w:rPr>
        <w:t>9.2.5 d)</w:t>
      </w:r>
      <w:r w:rsidRPr="00BC31E0">
        <w:rPr>
          <w:rFonts w:hint="eastAsia"/>
        </w:rPr>
        <w:t>に従った磁粉探傷試験，又は，浸透探傷試験を行わなければならない。</w:t>
      </w:r>
    </w:p>
    <w:p w14:paraId="176F132B" w14:textId="77777777" w:rsidR="008103A2" w:rsidRPr="00BC31E0" w:rsidRDefault="008103A2" w:rsidP="00736130">
      <w:pPr>
        <w:pStyle w:val="a4"/>
        <w:numPr>
          <w:ilvl w:val="0"/>
          <w:numId w:val="566"/>
        </w:numPr>
        <w:ind w:leftChars="0" w:left="738" w:hanging="454"/>
      </w:pPr>
      <w:r w:rsidRPr="00BC31E0">
        <w:rPr>
          <w:rFonts w:hint="eastAsia"/>
        </w:rPr>
        <w:t>容器のノズルに使われる管材は，次の</w:t>
      </w:r>
      <w:r w:rsidRPr="00BC31E0">
        <w:rPr>
          <w:rFonts w:asciiTheme="majorEastAsia" w:eastAsiaTheme="majorEastAsia" w:hAnsiTheme="majorEastAsia" w:hint="eastAsia"/>
          <w:b/>
        </w:rPr>
        <w:t>b)</w:t>
      </w:r>
      <w:r w:rsidRPr="00BC31E0">
        <w:rPr>
          <w:rFonts w:hint="eastAsia"/>
        </w:rPr>
        <w:t>に従った周</w:t>
      </w:r>
      <w:r w:rsidRPr="00BC31E0">
        <w:rPr>
          <w:rFonts w:hint="eastAsia"/>
        </w:rPr>
        <w:t>2</w:t>
      </w:r>
      <w:r w:rsidRPr="00BC31E0">
        <w:rPr>
          <w:rFonts w:hint="eastAsia"/>
        </w:rPr>
        <w:t>方向への超音波探傷試験，又は次</w:t>
      </w:r>
      <w:r w:rsidRPr="00BC31E0">
        <w:rPr>
          <w:rFonts w:hint="eastAsia"/>
        </w:rPr>
        <w:lastRenderedPageBreak/>
        <w:t>の</w:t>
      </w:r>
      <w:r w:rsidRPr="00BC31E0">
        <w:rPr>
          <w:rFonts w:asciiTheme="majorEastAsia" w:eastAsiaTheme="majorEastAsia" w:hAnsiTheme="majorEastAsia" w:hint="eastAsia"/>
          <w:b/>
        </w:rPr>
        <w:t>c)</w:t>
      </w:r>
      <w:r w:rsidRPr="00BC31E0">
        <w:rPr>
          <w:rFonts w:hint="eastAsia"/>
        </w:rPr>
        <w:t>に従った放射線透過試験を実施しなければならない。更に，全ての外表面と試験可能な内表面について</w:t>
      </w:r>
      <w:r w:rsidRPr="00BC31E0">
        <w:rPr>
          <w:rFonts w:asciiTheme="majorEastAsia" w:eastAsiaTheme="majorEastAsia" w:hAnsiTheme="majorEastAsia" w:hint="eastAsia"/>
          <w:b/>
        </w:rPr>
        <w:t>9.2.5 d)</w:t>
      </w:r>
      <w:r w:rsidRPr="00BC31E0">
        <w:rPr>
          <w:rFonts w:hint="eastAsia"/>
        </w:rPr>
        <w:t>に従った磁粉探傷試験，又は浸透探傷試験を行わなければならない。</w:t>
      </w:r>
    </w:p>
    <w:p w14:paraId="1B3F0A00" w14:textId="77777777" w:rsidR="008103A2" w:rsidRPr="00BC31E0" w:rsidRDefault="008103A2" w:rsidP="00736130">
      <w:pPr>
        <w:pStyle w:val="a4"/>
        <w:numPr>
          <w:ilvl w:val="0"/>
          <w:numId w:val="567"/>
        </w:numPr>
        <w:ind w:leftChars="0" w:left="454" w:hanging="454"/>
      </w:pPr>
      <w:r w:rsidRPr="00BC31E0">
        <w:rPr>
          <w:rFonts w:asciiTheme="majorEastAsia" w:eastAsiaTheme="majorEastAsia" w:hAnsiTheme="majorEastAsia" w:hint="eastAsia"/>
          <w:b/>
        </w:rPr>
        <w:t>超音波探傷試験</w:t>
      </w:r>
      <w:r w:rsidRPr="00BC31E0">
        <w:rPr>
          <w:rFonts w:hint="eastAsia"/>
        </w:rPr>
        <w:t xml:space="preserve">　</w:t>
      </w:r>
      <w:r w:rsidRPr="00BC31E0">
        <w:rPr>
          <w:rFonts w:ascii="ＭＳ 明朝" w:hAnsi="ＭＳ 明朝" w:hint="eastAsia"/>
        </w:rPr>
        <w:t>超音波探傷試験は，次の</w:t>
      </w:r>
      <w:r w:rsidRPr="00BC31E0">
        <w:rPr>
          <w:rFonts w:asciiTheme="majorEastAsia" w:eastAsiaTheme="majorEastAsia" w:hAnsiTheme="majorEastAsia" w:hint="eastAsia"/>
          <w:b/>
        </w:rPr>
        <w:t>1)</w:t>
      </w:r>
      <w:r w:rsidRPr="00BC31E0">
        <w:rPr>
          <w:rFonts w:ascii="ＭＳ 明朝" w:hAnsi="ＭＳ 明朝" w:hint="eastAsia"/>
        </w:rPr>
        <w:t>～</w:t>
      </w:r>
      <w:r w:rsidRPr="00BC31E0">
        <w:rPr>
          <w:rFonts w:asciiTheme="majorEastAsia" w:eastAsiaTheme="majorEastAsia" w:hAnsiTheme="majorEastAsia" w:hint="eastAsia"/>
          <w:b/>
        </w:rPr>
        <w:t xml:space="preserve">3) </w:t>
      </w:r>
      <w:r w:rsidRPr="00BC31E0">
        <w:rPr>
          <w:rFonts w:ascii="ＭＳ 明朝" w:hAnsi="ＭＳ 明朝" w:hint="eastAsia"/>
        </w:rPr>
        <w:t>による。</w:t>
      </w:r>
    </w:p>
    <w:p w14:paraId="5C6F7060" w14:textId="77777777" w:rsidR="008103A2" w:rsidRPr="00BC31E0" w:rsidRDefault="008103A2" w:rsidP="00736130">
      <w:pPr>
        <w:pStyle w:val="a4"/>
        <w:numPr>
          <w:ilvl w:val="0"/>
          <w:numId w:val="568"/>
        </w:numPr>
        <w:ind w:leftChars="0" w:left="738" w:hanging="454"/>
        <w:rPr>
          <w:rFonts w:ascii="ＭＳ 明朝" w:hAnsi="ＭＳ 明朝"/>
        </w:rPr>
      </w:pPr>
      <w:r w:rsidRPr="00BC31E0">
        <w:rPr>
          <w:rFonts w:asciiTheme="majorEastAsia" w:eastAsiaTheme="majorEastAsia" w:hAnsiTheme="majorEastAsia" w:hint="eastAsia"/>
          <w:b/>
        </w:rPr>
        <w:t>管材の試験要領</w:t>
      </w:r>
      <w:r w:rsidRPr="00BC31E0">
        <w:rPr>
          <w:rFonts w:hint="eastAsia"/>
        </w:rPr>
        <w:t xml:space="preserve">　</w:t>
      </w:r>
      <w:r w:rsidRPr="00BC31E0">
        <w:rPr>
          <w:rFonts w:ascii="ＭＳ 明朝" w:hAnsi="ＭＳ 明朝" w:hint="eastAsia"/>
        </w:rPr>
        <w:t>管材は次の</w:t>
      </w:r>
      <w:r w:rsidRPr="00BC31E0">
        <w:rPr>
          <w:rFonts w:asciiTheme="majorEastAsia" w:eastAsiaTheme="majorEastAsia" w:hAnsiTheme="majorEastAsia" w:hint="eastAsia"/>
          <w:b/>
        </w:rPr>
        <w:t>1.1)</w:t>
      </w:r>
      <w:r w:rsidRPr="00BC31E0">
        <w:rPr>
          <w:rFonts w:hint="eastAsia"/>
        </w:rPr>
        <w:t>～</w:t>
      </w:r>
      <w:r w:rsidRPr="00BC31E0">
        <w:rPr>
          <w:rFonts w:asciiTheme="majorEastAsia" w:eastAsiaTheme="majorEastAsia" w:hAnsiTheme="majorEastAsia" w:hint="eastAsia"/>
          <w:b/>
        </w:rPr>
        <w:t>1.4)</w:t>
      </w:r>
      <w:r w:rsidRPr="00BC31E0">
        <w:rPr>
          <w:rFonts w:ascii="ＭＳ 明朝" w:hAnsi="ＭＳ 明朝" w:hint="eastAsia"/>
        </w:rPr>
        <w:t>に従って，軸方向及び周方向の探傷を行う。探傷方法は</w:t>
      </w:r>
      <w:r w:rsidRPr="00BC31E0">
        <w:rPr>
          <w:rFonts w:asciiTheme="majorEastAsia" w:eastAsiaTheme="majorEastAsia" w:hAnsiTheme="majorEastAsia" w:hint="eastAsia"/>
          <w:b/>
        </w:rPr>
        <w:t>JIS G 0582</w:t>
      </w:r>
      <w:r w:rsidRPr="00BC31E0">
        <w:rPr>
          <w:rFonts w:ascii="ＭＳ 明朝" w:hAnsi="ＭＳ 明朝" w:hint="eastAsia"/>
        </w:rPr>
        <w:t>に準じて行う。</w:t>
      </w:r>
      <w:r w:rsidRPr="00BC31E0">
        <w:rPr>
          <w:rFonts w:asciiTheme="majorEastAsia" w:eastAsiaTheme="majorEastAsia" w:hAnsiTheme="majorEastAsia"/>
          <w:b/>
        </w:rPr>
        <w:t>ASME</w:t>
      </w:r>
      <w:r w:rsidR="00554BAA" w:rsidRPr="00BC31E0">
        <w:rPr>
          <w:rFonts w:ascii="ＭＳ 明朝" w:hAnsi="ＭＳ 明朝" w:hint="eastAsia"/>
        </w:rPr>
        <w:t>規格材</w:t>
      </w:r>
      <w:r w:rsidR="00554BAA" w:rsidRPr="00BC31E0">
        <w:rPr>
          <w:rFonts w:hint="eastAsia"/>
        </w:rPr>
        <w:t>など</w:t>
      </w:r>
      <w:r w:rsidRPr="00BC31E0">
        <w:rPr>
          <w:rFonts w:ascii="ＭＳ 明朝" w:hAnsi="ＭＳ 明朝" w:hint="eastAsia"/>
        </w:rPr>
        <w:t>の</w:t>
      </w:r>
      <w:r w:rsidRPr="00BC31E0">
        <w:rPr>
          <w:rFonts w:asciiTheme="majorEastAsia" w:eastAsiaTheme="majorEastAsia" w:hAnsiTheme="majorEastAsia"/>
          <w:b/>
        </w:rPr>
        <w:t>JIS</w:t>
      </w:r>
      <w:r w:rsidR="00B72A57" w:rsidRPr="00BC31E0">
        <w:rPr>
          <w:rFonts w:ascii="ＭＳ 明朝" w:hAnsi="ＭＳ 明朝" w:hint="eastAsia"/>
        </w:rPr>
        <w:t>材料</w:t>
      </w:r>
      <w:r w:rsidRPr="00BC31E0">
        <w:rPr>
          <w:rFonts w:ascii="ＭＳ 明朝" w:hAnsi="ＭＳ 明朝" w:hint="eastAsia"/>
        </w:rPr>
        <w:t>以外の場合には，該当する規格で認められた超音波探傷法による試験を行ってもよい。</w:t>
      </w:r>
    </w:p>
    <w:p w14:paraId="3A36EC91" w14:textId="77777777" w:rsidR="00ED7985" w:rsidRPr="00BC31E0" w:rsidRDefault="008103A2" w:rsidP="00736130">
      <w:pPr>
        <w:pStyle w:val="a4"/>
        <w:numPr>
          <w:ilvl w:val="0"/>
          <w:numId w:val="569"/>
        </w:numPr>
        <w:ind w:leftChars="0" w:left="1134" w:hanging="567"/>
      </w:pPr>
      <w:r w:rsidRPr="00BC31E0">
        <w:rPr>
          <w:rFonts w:asciiTheme="majorEastAsia" w:eastAsiaTheme="majorEastAsia" w:hAnsiTheme="majorEastAsia" w:hint="eastAsia"/>
          <w:b/>
          <w:bCs/>
        </w:rPr>
        <w:t>周方向</w:t>
      </w:r>
      <w:r w:rsidR="00E972AF" w:rsidRPr="00BC31E0">
        <w:rPr>
          <w:rFonts w:asciiTheme="majorEastAsia" w:eastAsiaTheme="majorEastAsia" w:hAnsiTheme="majorEastAsia" w:hint="eastAsia"/>
          <w:b/>
          <w:bCs/>
        </w:rPr>
        <w:t>－</w:t>
      </w:r>
      <w:r w:rsidRPr="00BC31E0">
        <w:rPr>
          <w:rFonts w:asciiTheme="majorEastAsia" w:eastAsiaTheme="majorEastAsia" w:hAnsiTheme="majorEastAsia" w:hint="eastAsia"/>
          <w:b/>
          <w:bCs/>
        </w:rPr>
        <w:t>外径が</w:t>
      </w:r>
      <w:r w:rsidRPr="00BC31E0">
        <w:rPr>
          <w:rFonts w:asciiTheme="majorEastAsia" w:eastAsiaTheme="majorEastAsia" w:hAnsiTheme="majorEastAsia"/>
          <w:b/>
          <w:bCs/>
        </w:rPr>
        <w:t>170 mm</w:t>
      </w:r>
      <w:r w:rsidRPr="00BC31E0">
        <w:rPr>
          <w:rFonts w:asciiTheme="majorEastAsia" w:eastAsiaTheme="majorEastAsia" w:hAnsiTheme="majorEastAsia" w:hint="eastAsia"/>
          <w:b/>
          <w:bCs/>
        </w:rPr>
        <w:t>以下の場合</w:t>
      </w:r>
      <w:r w:rsidRPr="00BC31E0">
        <w:rPr>
          <w:rFonts w:hint="eastAsia"/>
        </w:rPr>
        <w:t xml:space="preserve">　要領書は，この項の要求事項と</w:t>
      </w:r>
      <w:r w:rsidRPr="00BC31E0">
        <w:rPr>
          <w:rFonts w:asciiTheme="majorEastAsia" w:eastAsiaTheme="majorEastAsia" w:hAnsiTheme="majorEastAsia" w:hint="eastAsia"/>
          <w:b/>
          <w:bCs/>
        </w:rPr>
        <w:t>9.2.6 a) 1.1)</w:t>
      </w:r>
      <w:r w:rsidRPr="00BC31E0">
        <w:rPr>
          <w:rFonts w:hint="eastAsia"/>
        </w:rPr>
        <w:t>及び</w:t>
      </w:r>
      <w:r w:rsidRPr="00BC31E0">
        <w:rPr>
          <w:rFonts w:asciiTheme="majorEastAsia" w:eastAsiaTheme="majorEastAsia" w:hAnsiTheme="majorEastAsia" w:hint="eastAsia"/>
          <w:b/>
          <w:bCs/>
        </w:rPr>
        <w:t>1.2)</w:t>
      </w:r>
      <w:r w:rsidRPr="00BC31E0">
        <w:rPr>
          <w:rFonts w:hint="eastAsia"/>
        </w:rPr>
        <w:t>項にある要求事項は除き，</w:t>
      </w:r>
      <w:r w:rsidRPr="00BC31E0">
        <w:rPr>
          <w:rFonts w:asciiTheme="majorEastAsia" w:eastAsiaTheme="majorEastAsia" w:hAnsiTheme="majorEastAsia"/>
          <w:b/>
        </w:rPr>
        <w:t>JIS</w:t>
      </w:r>
      <w:r w:rsidR="00554BAA" w:rsidRPr="00BC31E0">
        <w:rPr>
          <w:rFonts w:hint="eastAsia"/>
        </w:rPr>
        <w:t>など</w:t>
      </w:r>
      <w:r w:rsidRPr="00BC31E0">
        <w:rPr>
          <w:rFonts w:hint="eastAsia"/>
        </w:rPr>
        <w:t>の規格による。次の</w:t>
      </w:r>
      <w:r w:rsidRPr="00BC31E0">
        <w:rPr>
          <w:rFonts w:asciiTheme="majorEastAsia" w:eastAsiaTheme="majorEastAsia" w:hAnsiTheme="majorEastAsia" w:hint="eastAsia"/>
          <w:b/>
          <w:bCs/>
        </w:rPr>
        <w:t>2)</w:t>
      </w:r>
      <w:r w:rsidRPr="00BC31E0">
        <w:rPr>
          <w:rFonts w:hint="eastAsia"/>
        </w:rPr>
        <w:t>の対比試験片に含まれる欠陥以上が検出できる感度でなければならない。</w:t>
      </w:r>
    </w:p>
    <w:p w14:paraId="681E3A69" w14:textId="77777777" w:rsidR="00ED7985" w:rsidRPr="00BC31E0" w:rsidRDefault="008103A2" w:rsidP="00736130">
      <w:pPr>
        <w:pStyle w:val="a4"/>
        <w:numPr>
          <w:ilvl w:val="0"/>
          <w:numId w:val="569"/>
        </w:numPr>
        <w:ind w:leftChars="0" w:left="1134" w:hanging="567"/>
      </w:pPr>
      <w:r w:rsidRPr="00BC31E0">
        <w:rPr>
          <w:rFonts w:asciiTheme="majorEastAsia" w:eastAsiaTheme="majorEastAsia" w:hAnsiTheme="majorEastAsia" w:hint="eastAsia"/>
          <w:b/>
          <w:bCs/>
        </w:rPr>
        <w:t>軸方向－外径が</w:t>
      </w:r>
      <w:r w:rsidRPr="00BC31E0">
        <w:rPr>
          <w:rFonts w:asciiTheme="majorEastAsia" w:eastAsiaTheme="majorEastAsia" w:hAnsiTheme="majorEastAsia"/>
          <w:b/>
          <w:bCs/>
        </w:rPr>
        <w:t>170 mm</w:t>
      </w:r>
      <w:r w:rsidRPr="00BC31E0">
        <w:rPr>
          <w:rFonts w:asciiTheme="majorEastAsia" w:eastAsiaTheme="majorEastAsia" w:hAnsiTheme="majorEastAsia" w:hint="eastAsia"/>
          <w:b/>
          <w:bCs/>
        </w:rPr>
        <w:t>以下の場合</w:t>
      </w:r>
      <w:r w:rsidRPr="00BC31E0">
        <w:rPr>
          <w:rFonts w:ascii="ＭＳ 明朝" w:hAnsi="ＭＳ 明朝" w:hint="eastAsia"/>
        </w:rPr>
        <w:t xml:space="preserve">　上記 </w:t>
      </w:r>
      <w:r w:rsidRPr="00BC31E0">
        <w:rPr>
          <w:rFonts w:asciiTheme="majorEastAsia" w:eastAsiaTheme="majorEastAsia" w:hAnsiTheme="majorEastAsia" w:hint="eastAsia"/>
          <w:b/>
          <w:bCs/>
        </w:rPr>
        <w:t>a)</w:t>
      </w:r>
      <w:r w:rsidRPr="00BC31E0">
        <w:rPr>
          <w:rFonts w:ascii="ＭＳ 明朝" w:hAnsi="ＭＳ 明朝" w:hint="eastAsia"/>
        </w:rPr>
        <w:t>が適用される場合，管の超音波探傷試験は軸方向に斜角探傷を行う。</w:t>
      </w:r>
    </w:p>
    <w:p w14:paraId="6AB3AFC6" w14:textId="77777777" w:rsidR="00ED7985" w:rsidRPr="00BC31E0" w:rsidRDefault="008103A2" w:rsidP="00736130">
      <w:pPr>
        <w:pStyle w:val="a4"/>
        <w:numPr>
          <w:ilvl w:val="0"/>
          <w:numId w:val="569"/>
        </w:numPr>
        <w:ind w:leftChars="0" w:left="1134" w:hanging="567"/>
      </w:pPr>
      <w:r w:rsidRPr="00BC31E0">
        <w:rPr>
          <w:rFonts w:asciiTheme="majorEastAsia" w:eastAsiaTheme="majorEastAsia" w:hAnsiTheme="majorEastAsia" w:hint="eastAsia"/>
          <w:b/>
          <w:bCs/>
        </w:rPr>
        <w:t>管の外径が</w:t>
      </w:r>
      <w:r w:rsidRPr="00BC31E0">
        <w:rPr>
          <w:rFonts w:asciiTheme="majorEastAsia" w:eastAsiaTheme="majorEastAsia" w:hAnsiTheme="majorEastAsia"/>
          <w:b/>
          <w:bCs/>
        </w:rPr>
        <w:t>170 mm</w:t>
      </w:r>
      <w:r w:rsidRPr="00BC31E0">
        <w:rPr>
          <w:rFonts w:asciiTheme="majorEastAsia" w:eastAsiaTheme="majorEastAsia" w:hAnsiTheme="majorEastAsia" w:hint="eastAsia"/>
          <w:b/>
          <w:bCs/>
        </w:rPr>
        <w:t>を超える場合</w:t>
      </w:r>
      <w:r w:rsidRPr="00BC31E0">
        <w:rPr>
          <w:rFonts w:ascii="ＭＳ 明朝" w:hAnsi="ＭＳ 明朝" w:hint="eastAsia"/>
        </w:rPr>
        <w:t xml:space="preserve">　管の外径が</w:t>
      </w:r>
      <w:r w:rsidRPr="00BC31E0">
        <w:t>170 mm</w:t>
      </w:r>
      <w:r w:rsidRPr="00BC31E0">
        <w:rPr>
          <w:rFonts w:ascii="ＭＳ 明朝" w:hAnsi="ＭＳ 明朝" w:hint="eastAsia"/>
        </w:rPr>
        <w:t>を超える場合は，上記</w:t>
      </w:r>
      <w:r w:rsidRPr="00BC31E0">
        <w:rPr>
          <w:rFonts w:asciiTheme="majorEastAsia" w:eastAsiaTheme="majorEastAsia" w:hAnsiTheme="majorEastAsia" w:hint="eastAsia"/>
          <w:b/>
          <w:bCs/>
        </w:rPr>
        <w:t>a)</w:t>
      </w:r>
      <w:r w:rsidRPr="00BC31E0">
        <w:rPr>
          <w:rFonts w:asciiTheme="majorEastAsia" w:eastAsiaTheme="majorEastAsia" w:hAnsiTheme="majorEastAsia"/>
          <w:b/>
          <w:bCs/>
        </w:rPr>
        <w:t xml:space="preserve"> </w:t>
      </w:r>
      <w:r w:rsidRPr="00BC31E0">
        <w:rPr>
          <w:rFonts w:asciiTheme="majorEastAsia" w:eastAsiaTheme="majorEastAsia" w:hAnsiTheme="majorEastAsia" w:hint="eastAsia"/>
          <w:b/>
          <w:bCs/>
        </w:rPr>
        <w:t>1.3)</w:t>
      </w:r>
      <w:r w:rsidRPr="00BC31E0">
        <w:rPr>
          <w:rFonts w:ascii="ＭＳ 明朝" w:hAnsi="ＭＳ 明朝" w:hint="eastAsia"/>
        </w:rPr>
        <w:t>の要求事項を除き，</w:t>
      </w:r>
      <w:r w:rsidRPr="00BC31E0">
        <w:rPr>
          <w:rFonts w:asciiTheme="majorEastAsia" w:eastAsiaTheme="majorEastAsia" w:hAnsiTheme="majorEastAsia" w:hint="eastAsia"/>
          <w:b/>
          <w:bCs/>
        </w:rPr>
        <w:t>JIS G 0582</w:t>
      </w:r>
      <w:r w:rsidRPr="00BC31E0">
        <w:rPr>
          <w:rFonts w:ascii="ＭＳ 明朝" w:hAnsi="ＭＳ 明朝" w:hint="eastAsia"/>
        </w:rPr>
        <w:t>に準じて行う。対比試験片は，次の</w:t>
      </w:r>
      <w:r w:rsidRPr="00BC31E0">
        <w:rPr>
          <w:rFonts w:asciiTheme="majorEastAsia" w:eastAsiaTheme="majorEastAsia" w:hAnsiTheme="majorEastAsia" w:hint="eastAsia"/>
          <w:b/>
          <w:bCs/>
        </w:rPr>
        <w:t>2)</w:t>
      </w:r>
      <w:r w:rsidRPr="00BC31E0">
        <w:rPr>
          <w:rFonts w:ascii="ＭＳ 明朝" w:hAnsi="ＭＳ 明朝" w:hint="eastAsia"/>
        </w:rPr>
        <w:t>による。</w:t>
      </w:r>
    </w:p>
    <w:p w14:paraId="0A6B32C6" w14:textId="77777777" w:rsidR="008103A2" w:rsidRPr="00BC31E0" w:rsidRDefault="008103A2" w:rsidP="00736130">
      <w:pPr>
        <w:pStyle w:val="a4"/>
        <w:numPr>
          <w:ilvl w:val="0"/>
          <w:numId w:val="569"/>
        </w:numPr>
        <w:ind w:leftChars="0" w:left="1134" w:hanging="567"/>
      </w:pPr>
      <w:r w:rsidRPr="00BC31E0">
        <w:rPr>
          <w:rFonts w:asciiTheme="majorEastAsia" w:eastAsiaTheme="majorEastAsia" w:hAnsiTheme="majorEastAsia" w:hint="eastAsia"/>
          <w:b/>
          <w:bCs/>
        </w:rPr>
        <w:t>判定基準</w:t>
      </w:r>
      <w:r w:rsidRPr="00BC31E0">
        <w:rPr>
          <w:rFonts w:ascii="ＭＳ 明朝" w:hAnsi="ＭＳ 明朝" w:hint="eastAsia"/>
        </w:rPr>
        <w:t xml:space="preserve">　製品で検出した指示模様が次の</w:t>
      </w:r>
      <w:r w:rsidRPr="00BC31E0">
        <w:rPr>
          <w:rFonts w:asciiTheme="majorEastAsia" w:eastAsiaTheme="majorEastAsia" w:hAnsiTheme="majorEastAsia" w:hint="eastAsia"/>
          <w:b/>
          <w:bCs/>
        </w:rPr>
        <w:t>2)</w:t>
      </w:r>
      <w:r w:rsidRPr="00BC31E0">
        <w:rPr>
          <w:rFonts w:ascii="ＭＳ 明朝" w:hAnsi="ＭＳ 明朝" w:hint="eastAsia"/>
        </w:rPr>
        <w:t>の対比試験片によって示される指示模様を超える場合は不合格とする。</w:t>
      </w:r>
    </w:p>
    <w:p w14:paraId="4D87825D" w14:textId="77777777" w:rsidR="008103A2" w:rsidRPr="00BC31E0" w:rsidRDefault="008103A2" w:rsidP="00736130">
      <w:pPr>
        <w:pStyle w:val="a4"/>
        <w:numPr>
          <w:ilvl w:val="0"/>
          <w:numId w:val="570"/>
        </w:numPr>
        <w:ind w:leftChars="0" w:left="738" w:hanging="454"/>
      </w:pPr>
      <w:r w:rsidRPr="00BC31E0">
        <w:rPr>
          <w:rFonts w:eastAsiaTheme="majorEastAsia" w:hint="eastAsia"/>
          <w:b/>
        </w:rPr>
        <w:t>対比試験片</w:t>
      </w:r>
      <w:r w:rsidRPr="00BC31E0">
        <w:rPr>
          <w:rFonts w:hint="eastAsia"/>
        </w:rPr>
        <w:t xml:space="preserve">　</w:t>
      </w:r>
      <w:r w:rsidRPr="00BC31E0">
        <w:rPr>
          <w:rFonts w:ascii="ＭＳ 明朝" w:hAnsi="ＭＳ 明朝" w:hint="eastAsia"/>
        </w:rPr>
        <w:t>対比試験片は検査を行う製品と同じ公称径，肉厚，同材質及び同熱処理条件でなければならない。対比試験片は，次の</w:t>
      </w:r>
      <w:r w:rsidRPr="00BC31E0">
        <w:rPr>
          <w:rFonts w:asciiTheme="majorEastAsia" w:eastAsiaTheme="majorEastAsia" w:hAnsiTheme="majorEastAsia" w:hint="eastAsia"/>
          <w:b/>
        </w:rPr>
        <w:t>2.1)</w:t>
      </w:r>
      <w:r w:rsidRPr="00BC31E0">
        <w:rPr>
          <w:rFonts w:ascii="ＭＳ 明朝" w:hAnsi="ＭＳ 明朝" w:hint="eastAsia"/>
        </w:rPr>
        <w:t>～</w:t>
      </w:r>
      <w:r w:rsidRPr="00BC31E0">
        <w:rPr>
          <w:rFonts w:asciiTheme="majorEastAsia" w:eastAsiaTheme="majorEastAsia" w:hAnsiTheme="majorEastAsia" w:hint="eastAsia"/>
          <w:b/>
        </w:rPr>
        <w:t>2.3)</w:t>
      </w:r>
      <w:r w:rsidRPr="00BC31E0">
        <w:rPr>
          <w:rFonts w:ascii="ＭＳ 明朝" w:hAnsi="ＭＳ 明朝" w:hint="eastAsia"/>
        </w:rPr>
        <w:t>による。</w:t>
      </w:r>
    </w:p>
    <w:p w14:paraId="62A0F89C" w14:textId="77777777" w:rsidR="00A259BC" w:rsidRPr="00BC31E0" w:rsidRDefault="008103A2" w:rsidP="00736130">
      <w:pPr>
        <w:pStyle w:val="a4"/>
        <w:numPr>
          <w:ilvl w:val="0"/>
          <w:numId w:val="571"/>
        </w:numPr>
        <w:ind w:leftChars="0" w:left="1134" w:hanging="567"/>
      </w:pPr>
      <w:r w:rsidRPr="00BC31E0">
        <w:rPr>
          <w:rFonts w:asciiTheme="majorEastAsia" w:eastAsiaTheme="majorEastAsia" w:hAnsiTheme="majorEastAsia" w:hint="eastAsia"/>
          <w:b/>
          <w:bCs/>
        </w:rPr>
        <w:t>周方向探傷の場合</w:t>
      </w:r>
      <w:r w:rsidR="00317A29" w:rsidRPr="00BC31E0">
        <w:rPr>
          <w:rFonts w:hint="eastAsia"/>
        </w:rPr>
        <w:t xml:space="preserve"> </w:t>
      </w:r>
      <w:r w:rsidRPr="00BC31E0">
        <w:rPr>
          <w:rFonts w:hint="eastAsia"/>
        </w:rPr>
        <w:t>標準欠陥は対比試験片の内外面上に軸方向のノッチ又は溝を設ける。その長さは</w:t>
      </w:r>
      <w:r w:rsidRPr="00BC31E0">
        <w:t>25 mm</w:t>
      </w:r>
      <w:r w:rsidRPr="00BC31E0">
        <w:rPr>
          <w:rFonts w:hint="eastAsia"/>
        </w:rPr>
        <w:t>以下とする。角溝ノッチ又は</w:t>
      </w:r>
      <w:r w:rsidRPr="00BC31E0">
        <w:rPr>
          <w:rFonts w:hint="eastAsia"/>
        </w:rPr>
        <w:t>U</w:t>
      </w:r>
      <w:r w:rsidRPr="00BC31E0">
        <w:rPr>
          <w:rFonts w:hint="eastAsia"/>
        </w:rPr>
        <w:t>ノッチの場合には，幅は</w:t>
      </w:r>
      <w:r w:rsidRPr="00BC31E0">
        <w:t>1.6 mm</w:t>
      </w:r>
      <w:r w:rsidRPr="00BC31E0">
        <w:rPr>
          <w:rFonts w:hint="eastAsia"/>
        </w:rPr>
        <w:t>を超えてはならない。</w:t>
      </w:r>
      <w:r w:rsidRPr="00BC31E0">
        <w:rPr>
          <w:rFonts w:hint="eastAsia"/>
        </w:rPr>
        <w:t>V</w:t>
      </w:r>
      <w:r w:rsidRPr="00BC31E0">
        <w:rPr>
          <w:rFonts w:hint="eastAsia"/>
        </w:rPr>
        <w:t>ノッチの場合には，幅は深さに比例する。深さは，</w:t>
      </w:r>
      <w:r w:rsidRPr="00BC31E0">
        <w:t>0.1 mm</w:t>
      </w:r>
      <w:r w:rsidRPr="00BC31E0">
        <w:rPr>
          <w:rFonts w:hint="eastAsia"/>
        </w:rPr>
        <w:t>又は公称板厚の</w:t>
      </w:r>
      <w:r w:rsidRPr="00BC31E0">
        <w:t>3%</w:t>
      </w:r>
      <w:r w:rsidRPr="00BC31E0">
        <w:rPr>
          <w:rFonts w:hint="eastAsia"/>
        </w:rPr>
        <w:t>の大きい方を超えてはならない。</w:t>
      </w:r>
    </w:p>
    <w:p w14:paraId="546E55CF" w14:textId="77777777" w:rsidR="00A259BC" w:rsidRPr="00BC31E0" w:rsidRDefault="008103A2" w:rsidP="00736130">
      <w:pPr>
        <w:pStyle w:val="a4"/>
        <w:numPr>
          <w:ilvl w:val="0"/>
          <w:numId w:val="571"/>
        </w:numPr>
        <w:ind w:leftChars="0" w:left="1134" w:hanging="567"/>
      </w:pPr>
      <w:r w:rsidRPr="00BC31E0">
        <w:rPr>
          <w:rFonts w:asciiTheme="majorEastAsia" w:eastAsiaTheme="majorEastAsia" w:hAnsiTheme="majorEastAsia" w:hint="eastAsia"/>
          <w:b/>
          <w:bCs/>
        </w:rPr>
        <w:t>軸方向探傷の場合</w:t>
      </w:r>
      <w:r w:rsidR="00317A29" w:rsidRPr="00BC31E0">
        <w:rPr>
          <w:rFonts w:hint="eastAsia"/>
        </w:rPr>
        <w:t xml:space="preserve"> </w:t>
      </w:r>
      <w:r w:rsidRPr="00BC31E0">
        <w:rPr>
          <w:rFonts w:hint="eastAsia"/>
        </w:rPr>
        <w:t>標準欠陥は対比試験片の内外面上に</w:t>
      </w:r>
      <w:r w:rsidRPr="00BC31E0">
        <w:t>周方向</w:t>
      </w:r>
      <w:r w:rsidRPr="00BC31E0">
        <w:rPr>
          <w:rFonts w:hint="eastAsia"/>
        </w:rPr>
        <w:t>ノッチを設ける。周方向ノッチの寸法は，</w:t>
      </w:r>
      <w:r w:rsidRPr="00BC31E0">
        <w:rPr>
          <w:rFonts w:asciiTheme="majorEastAsia" w:eastAsiaTheme="majorEastAsia" w:hAnsiTheme="majorEastAsia" w:hint="eastAsia"/>
          <w:b/>
        </w:rPr>
        <w:t>2.1)</w:t>
      </w:r>
      <w:r w:rsidRPr="00BC31E0">
        <w:rPr>
          <w:rFonts w:hint="eastAsia"/>
        </w:rPr>
        <w:t>の軸方向ノッチの寸法を超えてはならない。対比試験片は検査する製品であってもよい。</w:t>
      </w:r>
    </w:p>
    <w:p w14:paraId="27DEB793" w14:textId="77777777" w:rsidR="008103A2" w:rsidRPr="00BC31E0" w:rsidRDefault="008103A2" w:rsidP="00736130">
      <w:pPr>
        <w:pStyle w:val="a4"/>
        <w:numPr>
          <w:ilvl w:val="0"/>
          <w:numId w:val="571"/>
        </w:numPr>
        <w:ind w:leftChars="0" w:left="1134" w:hanging="567"/>
      </w:pPr>
      <w:r w:rsidRPr="00BC31E0">
        <w:rPr>
          <w:rFonts w:asciiTheme="majorEastAsia" w:eastAsiaTheme="majorEastAsia" w:hAnsiTheme="majorEastAsia" w:hint="eastAsia"/>
          <w:b/>
          <w:bCs/>
        </w:rPr>
        <w:t>対比試験片</w:t>
      </w:r>
      <w:r w:rsidR="00317A29" w:rsidRPr="00BC31E0">
        <w:rPr>
          <w:rFonts w:hint="eastAsia"/>
        </w:rPr>
        <w:t xml:space="preserve"> </w:t>
      </w:r>
      <w:r w:rsidRPr="00BC31E0">
        <w:rPr>
          <w:rFonts w:hint="eastAsia"/>
        </w:rPr>
        <w:t>検査機器を用いて実製品を充分に模擬できる長さとする。二つ以上の標準欠陥を導入する場合は，欠陥は各欠陥の指示模様が分離でき，相互干渉や増幅の影響がないように配置する。標準欠陥近傍における全てのバリは取り除く。</w:t>
      </w:r>
    </w:p>
    <w:p w14:paraId="26353FEC" w14:textId="77777777" w:rsidR="008103A2" w:rsidRPr="00BC31E0" w:rsidRDefault="008103A2" w:rsidP="00736130">
      <w:pPr>
        <w:pStyle w:val="a4"/>
        <w:numPr>
          <w:ilvl w:val="0"/>
          <w:numId w:val="558"/>
        </w:numPr>
        <w:ind w:leftChars="0" w:left="738" w:hanging="454"/>
        <w:rPr>
          <w:rFonts w:ascii="ＭＳ 明朝" w:hAnsi="ＭＳ 明朝"/>
        </w:rPr>
      </w:pPr>
      <w:r w:rsidRPr="00BC31E0">
        <w:rPr>
          <w:rFonts w:asciiTheme="majorEastAsia" w:eastAsiaTheme="majorEastAsia" w:hAnsiTheme="majorEastAsia"/>
          <w:b/>
        </w:rPr>
        <w:t>試験機器の試験</w:t>
      </w:r>
      <w:r w:rsidRPr="00BC31E0">
        <w:rPr>
          <w:rFonts w:asciiTheme="majorEastAsia" w:eastAsiaTheme="majorEastAsia" w:hAnsiTheme="majorEastAsia" w:hint="eastAsia"/>
          <w:b/>
        </w:rPr>
        <w:t>，</w:t>
      </w:r>
      <w:r w:rsidRPr="00BC31E0">
        <w:rPr>
          <w:rFonts w:asciiTheme="majorEastAsia" w:eastAsiaTheme="majorEastAsia" w:hAnsiTheme="majorEastAsia"/>
          <w:b/>
        </w:rPr>
        <w:t>校正</w:t>
      </w:r>
      <w:r w:rsidRPr="00BC31E0">
        <w:rPr>
          <w:rFonts w:hint="eastAsia"/>
        </w:rPr>
        <w:t xml:space="preserve">　</w:t>
      </w:r>
      <w:r w:rsidRPr="00BC31E0">
        <w:rPr>
          <w:rFonts w:ascii="ＭＳ 明朝" w:hAnsi="ＭＳ 明朝" w:hint="eastAsia"/>
        </w:rPr>
        <w:t>検査機器の機能について充分確認し，検査機器を対比試験により校正する。校正は，次の</w:t>
      </w:r>
      <w:r w:rsidRPr="00BC31E0">
        <w:rPr>
          <w:rFonts w:asciiTheme="majorEastAsia" w:eastAsiaTheme="majorEastAsia" w:hAnsiTheme="majorEastAsia" w:hint="eastAsia"/>
          <w:b/>
        </w:rPr>
        <w:t>3.1)</w:t>
      </w:r>
      <w:r w:rsidRPr="00BC31E0">
        <w:rPr>
          <w:rFonts w:ascii="ＭＳ 明朝" w:hAnsi="ＭＳ 明朝" w:hint="eastAsia"/>
        </w:rPr>
        <w:t>～</w:t>
      </w:r>
      <w:r w:rsidRPr="00BC31E0">
        <w:rPr>
          <w:rFonts w:asciiTheme="majorEastAsia" w:eastAsiaTheme="majorEastAsia" w:hAnsiTheme="majorEastAsia" w:hint="eastAsia"/>
          <w:b/>
        </w:rPr>
        <w:t>3.4)</w:t>
      </w:r>
      <w:r w:rsidRPr="00BC31E0">
        <w:rPr>
          <w:rFonts w:ascii="ＭＳ 明朝" w:hAnsi="ＭＳ 明朝" w:hint="eastAsia"/>
        </w:rPr>
        <w:t>の条件下で行う。検査中に検査機器が適切に機能していないと判断された場合は，最後の有効な校正を行った時以降の再検査を行う。</w:t>
      </w:r>
    </w:p>
    <w:p w14:paraId="63E1F914" w14:textId="77777777" w:rsidR="00C67374" w:rsidRPr="00BC31E0" w:rsidRDefault="008103A2" w:rsidP="00736130">
      <w:pPr>
        <w:pStyle w:val="a4"/>
        <w:numPr>
          <w:ilvl w:val="0"/>
          <w:numId w:val="572"/>
        </w:numPr>
        <w:ind w:leftChars="0" w:left="1134" w:hanging="567"/>
      </w:pPr>
      <w:r w:rsidRPr="00BC31E0">
        <w:rPr>
          <w:rFonts w:hint="eastAsia"/>
        </w:rPr>
        <w:t>各製品の製作開始時，又はサイズと素材板厚の変更時に校正を行う。</w:t>
      </w:r>
    </w:p>
    <w:p w14:paraId="6F1D64E1" w14:textId="77777777" w:rsidR="00C67374" w:rsidRPr="00BC31E0" w:rsidRDefault="008103A2" w:rsidP="00736130">
      <w:pPr>
        <w:pStyle w:val="a4"/>
        <w:numPr>
          <w:ilvl w:val="0"/>
          <w:numId w:val="572"/>
        </w:numPr>
        <w:ind w:leftChars="0" w:left="1134" w:hanging="567"/>
      </w:pPr>
      <w:r w:rsidRPr="00BC31E0">
        <w:rPr>
          <w:rFonts w:hint="eastAsia"/>
        </w:rPr>
        <w:t>各製品の検査中であっても</w:t>
      </w:r>
      <w:r w:rsidRPr="00BC31E0">
        <w:rPr>
          <w:rFonts w:asciiTheme="minorHAnsi" w:hAnsiTheme="minorHAnsi"/>
        </w:rPr>
        <w:t>4</w:t>
      </w:r>
      <w:r w:rsidRPr="00BC31E0">
        <w:rPr>
          <w:rFonts w:hint="eastAsia"/>
        </w:rPr>
        <w:t>時間</w:t>
      </w:r>
      <w:r w:rsidR="00A82C2A" w:rsidRPr="00BC31E0">
        <w:rPr>
          <w:rFonts w:hint="eastAsia"/>
        </w:rPr>
        <w:t>ごと</w:t>
      </w:r>
      <w:r w:rsidRPr="00BC31E0">
        <w:rPr>
          <w:rFonts w:hint="eastAsia"/>
        </w:rPr>
        <w:t>に校正を行う。</w:t>
      </w:r>
    </w:p>
    <w:p w14:paraId="55B40C2A" w14:textId="77777777" w:rsidR="00C67374" w:rsidRPr="00BC31E0" w:rsidRDefault="008103A2" w:rsidP="00736130">
      <w:pPr>
        <w:pStyle w:val="a4"/>
        <w:numPr>
          <w:ilvl w:val="0"/>
          <w:numId w:val="572"/>
        </w:numPr>
        <w:ind w:leftChars="0" w:left="1134" w:hanging="567"/>
      </w:pPr>
      <w:r w:rsidRPr="00BC31E0">
        <w:rPr>
          <w:rFonts w:hint="eastAsia"/>
        </w:rPr>
        <w:t>各製品の製作終了後に校正</w:t>
      </w:r>
      <w:r w:rsidRPr="00BC31E0">
        <w:t>(</w:t>
      </w:r>
      <w:r w:rsidRPr="00BC31E0">
        <w:t>感度確認</w:t>
      </w:r>
      <w:r w:rsidRPr="00BC31E0">
        <w:t>)</w:t>
      </w:r>
      <w:r w:rsidRPr="00BC31E0">
        <w:rPr>
          <w:rFonts w:hint="eastAsia"/>
        </w:rPr>
        <w:t>を行う。</w:t>
      </w:r>
    </w:p>
    <w:p w14:paraId="77438DFB" w14:textId="77777777" w:rsidR="008103A2" w:rsidRPr="00BC31E0" w:rsidRDefault="008103A2" w:rsidP="00736130">
      <w:pPr>
        <w:pStyle w:val="a4"/>
        <w:numPr>
          <w:ilvl w:val="0"/>
          <w:numId w:val="572"/>
        </w:numPr>
        <w:ind w:leftChars="0" w:left="1134" w:hanging="567"/>
      </w:pPr>
      <w:r w:rsidRPr="00BC31E0">
        <w:rPr>
          <w:rFonts w:hint="eastAsia"/>
        </w:rPr>
        <w:t>誤動作と考えられるときに校正を行う。</w:t>
      </w:r>
    </w:p>
    <w:p w14:paraId="75AAD782" w14:textId="77777777" w:rsidR="00087520" w:rsidRPr="00BC31E0" w:rsidRDefault="008103A2" w:rsidP="00736130">
      <w:pPr>
        <w:pStyle w:val="a4"/>
        <w:numPr>
          <w:ilvl w:val="0"/>
          <w:numId w:val="573"/>
        </w:numPr>
        <w:ind w:leftChars="0" w:left="454" w:hanging="454"/>
      </w:pPr>
      <w:r w:rsidRPr="00BC31E0">
        <w:rPr>
          <w:rFonts w:eastAsiaTheme="majorEastAsia" w:hint="eastAsia"/>
          <w:b/>
        </w:rPr>
        <w:t>放射線透過試験</w:t>
      </w:r>
      <w:r w:rsidRPr="00BC31E0">
        <w:rPr>
          <w:rFonts w:hint="eastAsia"/>
        </w:rPr>
        <w:t xml:space="preserve">　</w:t>
      </w:r>
      <w:r w:rsidRPr="00BC31E0">
        <w:rPr>
          <w:rFonts w:ascii="ＭＳ 明朝" w:hAnsi="ＭＳ 明朝" w:hint="eastAsia"/>
        </w:rPr>
        <w:t>放射線透過試験は，</w:t>
      </w:r>
      <w:r w:rsidRPr="00BC31E0">
        <w:rPr>
          <w:rFonts w:asciiTheme="majorEastAsia" w:eastAsiaTheme="majorEastAsia" w:hAnsiTheme="majorEastAsia" w:hint="eastAsia"/>
          <w:b/>
        </w:rPr>
        <w:t>9.1</w:t>
      </w:r>
      <w:r w:rsidRPr="00BC31E0">
        <w:rPr>
          <w:rFonts w:ascii="ＭＳ 明朝" w:hAnsi="ＭＳ 明朝" w:hint="eastAsia"/>
        </w:rPr>
        <w:t>に従って行わなければならない。判定基準は，</w:t>
      </w:r>
      <w:r w:rsidRPr="00BC31E0">
        <w:rPr>
          <w:rFonts w:asciiTheme="majorEastAsia" w:eastAsiaTheme="majorEastAsia" w:hAnsiTheme="majorEastAsia" w:hint="eastAsia"/>
          <w:b/>
        </w:rPr>
        <w:t>9.3.6</w:t>
      </w:r>
      <w:r w:rsidRPr="00BC31E0">
        <w:rPr>
          <w:rFonts w:ascii="ＭＳ 明朝" w:hAnsi="ＭＳ 明朝" w:hint="eastAsia"/>
        </w:rPr>
        <w:t>による。</w:t>
      </w:r>
    </w:p>
    <w:p w14:paraId="361A83D9" w14:textId="77777777" w:rsidR="008103A2" w:rsidRPr="00BC31E0" w:rsidRDefault="008103A2" w:rsidP="00736130">
      <w:pPr>
        <w:pStyle w:val="a4"/>
        <w:numPr>
          <w:ilvl w:val="0"/>
          <w:numId w:val="573"/>
        </w:numPr>
        <w:ind w:leftChars="0" w:left="454" w:hanging="454"/>
      </w:pPr>
      <w:r w:rsidRPr="00BC31E0">
        <w:rPr>
          <w:rFonts w:asciiTheme="majorEastAsia" w:eastAsiaTheme="majorEastAsia" w:hAnsiTheme="majorEastAsia" w:hint="eastAsia"/>
          <w:b/>
          <w:bCs/>
        </w:rPr>
        <w:t>渦流探傷試験</w:t>
      </w:r>
      <w:r w:rsidRPr="00BC31E0">
        <w:rPr>
          <w:rFonts w:hint="eastAsia"/>
          <w:bCs/>
        </w:rPr>
        <w:t xml:space="preserve">　</w:t>
      </w:r>
      <w:r w:rsidRPr="00BC31E0">
        <w:rPr>
          <w:rFonts w:ascii="ＭＳ 明朝" w:hAnsi="ＭＳ 明朝" w:hint="eastAsia"/>
          <w:bCs/>
        </w:rPr>
        <w:t>渦流探傷試験の要求事項は，次の</w:t>
      </w:r>
      <w:r w:rsidRPr="00BC31E0">
        <w:rPr>
          <w:rFonts w:asciiTheme="majorEastAsia" w:eastAsiaTheme="majorEastAsia" w:hAnsiTheme="majorEastAsia" w:hint="eastAsia"/>
          <w:b/>
        </w:rPr>
        <w:t>1)</w:t>
      </w:r>
      <w:r w:rsidRPr="00BC31E0">
        <w:rPr>
          <w:rFonts w:ascii="ＭＳ 明朝" w:hAnsi="ＭＳ 明朝" w:hint="eastAsia"/>
          <w:bCs/>
        </w:rPr>
        <w:t>～</w:t>
      </w:r>
      <w:r w:rsidRPr="00BC31E0">
        <w:rPr>
          <w:rFonts w:asciiTheme="majorEastAsia" w:eastAsiaTheme="majorEastAsia" w:hAnsiTheme="majorEastAsia" w:hint="eastAsia"/>
          <w:b/>
        </w:rPr>
        <w:t>3)</w:t>
      </w:r>
      <w:r w:rsidRPr="00BC31E0">
        <w:rPr>
          <w:rFonts w:ascii="ＭＳ 明朝" w:hAnsi="ＭＳ 明朝" w:hint="eastAsia"/>
          <w:bCs/>
        </w:rPr>
        <w:t>による。</w:t>
      </w:r>
    </w:p>
    <w:p w14:paraId="3240EBC8" w14:textId="77777777" w:rsidR="009E66D1" w:rsidRPr="00BC31E0" w:rsidRDefault="008103A2" w:rsidP="00736130">
      <w:pPr>
        <w:pStyle w:val="a4"/>
        <w:numPr>
          <w:ilvl w:val="0"/>
          <w:numId w:val="574"/>
        </w:numPr>
        <w:ind w:leftChars="0" w:left="738" w:hanging="454"/>
      </w:pPr>
      <w:r w:rsidRPr="00BC31E0">
        <w:rPr>
          <w:rFonts w:asciiTheme="majorEastAsia" w:eastAsiaTheme="majorEastAsia" w:hAnsiTheme="majorEastAsia" w:hint="eastAsia"/>
          <w:b/>
        </w:rPr>
        <w:lastRenderedPageBreak/>
        <w:t>試験要領</w:t>
      </w:r>
      <w:r w:rsidRPr="00BC31E0">
        <w:rPr>
          <w:rFonts w:hint="eastAsia"/>
        </w:rPr>
        <w:t xml:space="preserve">　渦流探傷試験の感度は次の</w:t>
      </w:r>
      <w:r w:rsidRPr="00BC31E0">
        <w:rPr>
          <w:rFonts w:asciiTheme="majorEastAsia" w:eastAsiaTheme="majorEastAsia" w:hAnsiTheme="majorEastAsia" w:hint="eastAsia"/>
          <w:b/>
        </w:rPr>
        <w:t>2)</w:t>
      </w:r>
      <w:r w:rsidRPr="00BC31E0">
        <w:rPr>
          <w:rFonts w:hint="eastAsia"/>
        </w:rPr>
        <w:t>の対比試験片による標準欠陥との比較により定め，標準欠陥からの信号が判定のために必要な大きさになるよう調整する。標準欠陥からの信号を超える指示模様を示す製品は，次の</w:t>
      </w:r>
      <w:r w:rsidRPr="00BC31E0">
        <w:rPr>
          <w:rFonts w:asciiTheme="majorEastAsia" w:eastAsiaTheme="majorEastAsia" w:hAnsiTheme="majorEastAsia" w:hint="eastAsia"/>
          <w:b/>
        </w:rPr>
        <w:t>f)</w:t>
      </w:r>
      <w:r w:rsidRPr="00BC31E0">
        <w:rPr>
          <w:rFonts w:hint="eastAsia"/>
        </w:rPr>
        <w:t>に従って欠陥を除去又は補修しない限り不合格とする。</w:t>
      </w:r>
    </w:p>
    <w:p w14:paraId="7FA22A39" w14:textId="77777777" w:rsidR="00FB76D5" w:rsidRPr="00BC31E0" w:rsidRDefault="008103A2" w:rsidP="00736130">
      <w:pPr>
        <w:pStyle w:val="a4"/>
        <w:numPr>
          <w:ilvl w:val="0"/>
          <w:numId w:val="574"/>
        </w:numPr>
        <w:ind w:leftChars="0" w:left="738" w:hanging="454"/>
      </w:pPr>
      <w:r w:rsidRPr="00BC31E0">
        <w:rPr>
          <w:rFonts w:asciiTheme="majorEastAsia" w:eastAsiaTheme="majorEastAsia" w:hAnsiTheme="majorEastAsia" w:hint="eastAsia"/>
          <w:b/>
        </w:rPr>
        <w:t>対比試験片</w:t>
      </w:r>
      <w:r w:rsidRPr="00BC31E0">
        <w:rPr>
          <w:rFonts w:hint="eastAsia"/>
        </w:rPr>
        <w:t xml:space="preserve">　対比試験片は，検査する製品と同じように製作されたものから作成する。標準欠陥は製品の内外面の円周方向又は接線方向のノッチ，又は溝とする。長さは，</w:t>
      </w:r>
      <w:r w:rsidRPr="00BC31E0">
        <w:t>25 mm</w:t>
      </w:r>
      <w:r w:rsidRPr="00BC31E0">
        <w:rPr>
          <w:rFonts w:hint="eastAsia"/>
        </w:rPr>
        <w:t>以下，幅は</w:t>
      </w:r>
      <w:r w:rsidRPr="00BC31E0">
        <w:t>1.6 mm</w:t>
      </w:r>
      <w:r w:rsidRPr="00BC31E0">
        <w:rPr>
          <w:rFonts w:hint="eastAsia"/>
        </w:rPr>
        <w:t>を超えてはならない。深さは，</w:t>
      </w:r>
      <w:r w:rsidRPr="00BC31E0">
        <w:t>0.1 mm</w:t>
      </w:r>
      <w:r w:rsidRPr="00BC31E0">
        <w:rPr>
          <w:rFonts w:hint="eastAsia"/>
        </w:rPr>
        <w:t>又は板厚の</w:t>
      </w:r>
      <w:r w:rsidRPr="00BC31E0">
        <w:t>5%</w:t>
      </w:r>
      <w:r w:rsidRPr="00BC31E0">
        <w:rPr>
          <w:rFonts w:hint="eastAsia"/>
        </w:rPr>
        <w:t>の大きい方の値を超えてはならない。半径方向の孔は</w:t>
      </w:r>
      <w:r w:rsidRPr="00BC31E0">
        <w:rPr>
          <w:rFonts w:hint="eastAsia"/>
        </w:rPr>
        <w:t>1.6</w:t>
      </w:r>
      <w:r w:rsidRPr="00BC31E0">
        <w:t xml:space="preserve"> </w:t>
      </w:r>
      <w:r w:rsidRPr="00BC31E0">
        <w:rPr>
          <w:rFonts w:hint="eastAsia"/>
        </w:rPr>
        <w:t>mm</w:t>
      </w:r>
      <w:r w:rsidRPr="00BC31E0">
        <w:rPr>
          <w:rFonts w:hint="eastAsia"/>
        </w:rPr>
        <w:t>以下とする。対比試験片のサイズは，上記</w:t>
      </w:r>
      <w:r w:rsidRPr="00BC31E0">
        <w:rPr>
          <w:rFonts w:asciiTheme="majorEastAsia" w:eastAsiaTheme="majorEastAsia" w:hAnsiTheme="majorEastAsia" w:hint="eastAsia"/>
          <w:b/>
        </w:rPr>
        <w:t xml:space="preserve"> b) 2)</w:t>
      </w:r>
      <w:r w:rsidRPr="00BC31E0">
        <w:rPr>
          <w:rFonts w:hint="eastAsia"/>
        </w:rPr>
        <w:t>による。</w:t>
      </w:r>
    </w:p>
    <w:p w14:paraId="0B3AD35B" w14:textId="77777777" w:rsidR="008103A2" w:rsidRPr="00BC31E0" w:rsidRDefault="008103A2" w:rsidP="00736130">
      <w:pPr>
        <w:pStyle w:val="a4"/>
        <w:numPr>
          <w:ilvl w:val="0"/>
          <w:numId w:val="574"/>
        </w:numPr>
        <w:ind w:leftChars="0" w:left="738" w:hanging="454"/>
      </w:pPr>
      <w:r w:rsidRPr="00BC31E0">
        <w:rPr>
          <w:rFonts w:asciiTheme="majorEastAsia" w:eastAsiaTheme="majorEastAsia" w:hAnsiTheme="majorEastAsia" w:hint="eastAsia"/>
          <w:b/>
        </w:rPr>
        <w:t>試験機器の試験，校正</w:t>
      </w:r>
      <w:r w:rsidRPr="00BC31E0">
        <w:rPr>
          <w:rFonts w:hint="eastAsia"/>
        </w:rPr>
        <w:t xml:space="preserve">　検査機器の試験，校正は上記</w:t>
      </w:r>
      <w:r w:rsidRPr="00BC31E0">
        <w:rPr>
          <w:rFonts w:hint="eastAsia"/>
        </w:rPr>
        <w:t xml:space="preserve"> </w:t>
      </w:r>
      <w:r w:rsidRPr="00BC31E0">
        <w:rPr>
          <w:rFonts w:asciiTheme="majorEastAsia" w:eastAsiaTheme="majorEastAsia" w:hAnsiTheme="majorEastAsia" w:hint="eastAsia"/>
          <w:b/>
        </w:rPr>
        <w:t>b) 3)</w:t>
      </w:r>
      <w:r w:rsidRPr="00BC31E0">
        <w:rPr>
          <w:rFonts w:hint="eastAsia"/>
        </w:rPr>
        <w:t>と同じ方法とする。</w:t>
      </w:r>
    </w:p>
    <w:p w14:paraId="6ACB0D44" w14:textId="77777777" w:rsidR="009474EE" w:rsidRPr="00BC31E0" w:rsidRDefault="008103A2" w:rsidP="00736130">
      <w:pPr>
        <w:pStyle w:val="a4"/>
        <w:numPr>
          <w:ilvl w:val="0"/>
          <w:numId w:val="575"/>
        </w:numPr>
        <w:ind w:leftChars="0" w:left="454" w:hanging="454"/>
      </w:pPr>
      <w:r w:rsidRPr="00BC31E0">
        <w:rPr>
          <w:rFonts w:eastAsiaTheme="majorEastAsia" w:hint="eastAsia"/>
          <w:b/>
        </w:rPr>
        <w:t>試験時期</w:t>
      </w:r>
      <w:r w:rsidRPr="00BC31E0">
        <w:rPr>
          <w:rFonts w:hint="eastAsia"/>
        </w:rPr>
        <w:t xml:space="preserve">　</w:t>
      </w:r>
      <w:r w:rsidRPr="00BC31E0">
        <w:rPr>
          <w:rFonts w:ascii="ＭＳ 明朝" w:hAnsi="ＭＳ 明朝" w:hint="eastAsia"/>
        </w:rPr>
        <w:t>補修溶接も含め試験時期は，</w:t>
      </w:r>
      <w:r w:rsidRPr="00BC31E0">
        <w:rPr>
          <w:rFonts w:asciiTheme="majorEastAsia" w:eastAsiaTheme="majorEastAsia" w:hAnsiTheme="majorEastAsia" w:hint="eastAsia"/>
          <w:b/>
        </w:rPr>
        <w:t>9.2.5 b)</w:t>
      </w:r>
      <w:r w:rsidRPr="00BC31E0">
        <w:rPr>
          <w:rFonts w:ascii="ＭＳ 明朝" w:hAnsi="ＭＳ 明朝" w:hint="eastAsia"/>
        </w:rPr>
        <w:t>に従う。</w:t>
      </w:r>
    </w:p>
    <w:p w14:paraId="0AC8E749" w14:textId="77777777" w:rsidR="008103A2" w:rsidRPr="00BC31E0" w:rsidRDefault="008103A2" w:rsidP="00736130">
      <w:pPr>
        <w:pStyle w:val="a4"/>
        <w:numPr>
          <w:ilvl w:val="0"/>
          <w:numId w:val="575"/>
        </w:numPr>
        <w:ind w:leftChars="0" w:left="454" w:hanging="454"/>
      </w:pPr>
      <w:r w:rsidRPr="00BC31E0">
        <w:rPr>
          <w:rFonts w:asciiTheme="majorEastAsia" w:eastAsiaTheme="majorEastAsia" w:hAnsiTheme="majorEastAsia" w:hint="eastAsia"/>
          <w:b/>
          <w:bCs/>
        </w:rPr>
        <w:t>溶接による補修</w:t>
      </w:r>
      <w:r w:rsidRPr="00BC31E0">
        <w:rPr>
          <w:rFonts w:hint="eastAsia"/>
          <w:bCs/>
        </w:rPr>
        <w:t xml:space="preserve">　</w:t>
      </w:r>
      <w:r w:rsidRPr="00BC31E0">
        <w:rPr>
          <w:rFonts w:asciiTheme="majorEastAsia" w:eastAsiaTheme="majorEastAsia" w:hAnsiTheme="majorEastAsia" w:hint="eastAsia"/>
          <w:b/>
          <w:bCs/>
        </w:rPr>
        <w:t>5</w:t>
      </w:r>
      <w:r w:rsidRPr="00BC31E0">
        <w:rPr>
          <w:rFonts w:ascii="ＭＳ 明朝" w:hAnsi="ＭＳ 明朝" w:hint="eastAsia"/>
          <w:bCs/>
        </w:rPr>
        <w:t>や製品仕様により溶接補修が禁止されていない場合，補修の深さは製品による制限を除けば制限はないが，</w:t>
      </w:r>
      <w:r w:rsidRPr="00BC31E0">
        <w:rPr>
          <w:rFonts w:asciiTheme="majorEastAsia" w:eastAsiaTheme="majorEastAsia" w:hAnsiTheme="majorEastAsia" w:hint="eastAsia"/>
          <w:b/>
          <w:bCs/>
        </w:rPr>
        <w:t>9.2.3</w:t>
      </w:r>
      <w:r w:rsidRPr="00BC31E0">
        <w:rPr>
          <w:rFonts w:ascii="ＭＳ 明朝" w:hAnsi="ＭＳ 明朝" w:hint="eastAsia"/>
          <w:bCs/>
        </w:rPr>
        <w:t>には従わなければならない。</w:t>
      </w:r>
    </w:p>
    <w:p w14:paraId="585D9F7A" w14:textId="77777777" w:rsidR="008103A2" w:rsidRPr="00BC31E0" w:rsidRDefault="008103A2" w:rsidP="00001D62">
      <w:pPr>
        <w:pStyle w:val="3"/>
        <w:tabs>
          <w:tab w:val="clear" w:pos="284"/>
        </w:tabs>
        <w:ind w:left="794" w:hanging="794"/>
      </w:pPr>
      <w:r w:rsidRPr="00BC31E0">
        <w:rPr>
          <w:rFonts w:hint="eastAsia"/>
        </w:rPr>
        <w:t>溶加材使用溶接管・継手の試験と補修</w:t>
      </w:r>
    </w:p>
    <w:p w14:paraId="1ABC01DC" w14:textId="77777777" w:rsidR="008103A2" w:rsidRPr="00BC31E0" w:rsidRDefault="008103A2" w:rsidP="006739E8">
      <w:pPr>
        <w:pStyle w:val="1110"/>
        <w:ind w:firstLine="210"/>
      </w:pPr>
      <w:r w:rsidRPr="00BC31E0">
        <w:rPr>
          <w:rFonts w:hint="eastAsia"/>
        </w:rPr>
        <w:t>溶加材使用溶接管・継手の試験と補修は，次の</w:t>
      </w:r>
      <w:r w:rsidRPr="00BC31E0">
        <w:rPr>
          <w:rFonts w:ascii="ＭＳ ゴシック" w:eastAsia="ＭＳ ゴシック" w:hint="eastAsia"/>
          <w:b/>
        </w:rPr>
        <w:t>a)</w:t>
      </w:r>
      <w:r w:rsidRPr="00BC31E0">
        <w:rPr>
          <w:rFonts w:hint="eastAsia"/>
        </w:rPr>
        <w:t>～</w:t>
      </w:r>
      <w:r w:rsidRPr="00BC31E0">
        <w:rPr>
          <w:rFonts w:ascii="ＭＳ ゴシック" w:eastAsia="ＭＳ ゴシック" w:hint="eastAsia"/>
          <w:b/>
        </w:rPr>
        <w:t>c)</w:t>
      </w:r>
      <w:r w:rsidRPr="00BC31E0">
        <w:rPr>
          <w:rFonts w:hint="eastAsia"/>
        </w:rPr>
        <w:t>による。</w:t>
      </w:r>
    </w:p>
    <w:p w14:paraId="39A01609" w14:textId="77777777" w:rsidR="008103A2" w:rsidRPr="00BC31E0" w:rsidRDefault="008103A2" w:rsidP="00736130">
      <w:pPr>
        <w:pStyle w:val="a4"/>
        <w:numPr>
          <w:ilvl w:val="0"/>
          <w:numId w:val="576"/>
        </w:numPr>
        <w:ind w:leftChars="0" w:left="454" w:hanging="454"/>
      </w:pPr>
      <w:r w:rsidRPr="00BC31E0">
        <w:rPr>
          <w:rFonts w:eastAsiaTheme="majorEastAsia" w:hint="eastAsia"/>
          <w:b/>
        </w:rPr>
        <w:t>要求される試験</w:t>
      </w:r>
      <w:r w:rsidRPr="00BC31E0">
        <w:rPr>
          <w:rFonts w:hint="eastAsia"/>
        </w:rPr>
        <w:t xml:space="preserve">　</w:t>
      </w:r>
      <w:r w:rsidRPr="00BC31E0">
        <w:rPr>
          <w:rFonts w:ascii="ＭＳ 明朝" w:hAnsi="ＭＳ 明朝" w:hint="eastAsia"/>
        </w:rPr>
        <w:t>要求される試験は，次の</w:t>
      </w:r>
      <w:r w:rsidRPr="00BC31E0">
        <w:rPr>
          <w:rFonts w:asciiTheme="majorEastAsia" w:eastAsiaTheme="majorEastAsia" w:hAnsiTheme="majorEastAsia" w:hint="eastAsia"/>
          <w:b/>
        </w:rPr>
        <w:t>1)</w:t>
      </w:r>
      <w:r w:rsidRPr="00BC31E0">
        <w:rPr>
          <w:rFonts w:ascii="ＭＳ 明朝" w:hAnsi="ＭＳ 明朝" w:hint="eastAsia"/>
        </w:rPr>
        <w:t>，</w:t>
      </w:r>
      <w:r w:rsidRPr="00BC31E0">
        <w:rPr>
          <w:rFonts w:asciiTheme="majorEastAsia" w:eastAsiaTheme="majorEastAsia" w:hAnsiTheme="majorEastAsia" w:hint="eastAsia"/>
          <w:b/>
        </w:rPr>
        <w:t>2)</w:t>
      </w:r>
      <w:r w:rsidRPr="00BC31E0">
        <w:rPr>
          <w:rFonts w:ascii="ＭＳ 明朝" w:hAnsi="ＭＳ 明朝" w:hint="eastAsia"/>
        </w:rPr>
        <w:t>による。</w:t>
      </w:r>
    </w:p>
    <w:p w14:paraId="4D7A2B30" w14:textId="77777777" w:rsidR="00001D62" w:rsidRPr="00BC31E0" w:rsidRDefault="008103A2" w:rsidP="00736130">
      <w:pPr>
        <w:pStyle w:val="a4"/>
        <w:numPr>
          <w:ilvl w:val="0"/>
          <w:numId w:val="577"/>
        </w:numPr>
        <w:ind w:leftChars="0" w:left="738" w:hanging="454"/>
      </w:pPr>
      <w:r w:rsidRPr="00BC31E0">
        <w:rPr>
          <w:rFonts w:hint="eastAsia"/>
        </w:rPr>
        <w:t>全ての溶接部は，材料仕様に従った放射線透過試験と</w:t>
      </w:r>
      <w:r w:rsidRPr="00BC31E0">
        <w:rPr>
          <w:rFonts w:asciiTheme="majorEastAsia" w:eastAsiaTheme="majorEastAsia" w:hAnsiTheme="majorEastAsia" w:hint="eastAsia"/>
          <w:b/>
          <w:bCs/>
        </w:rPr>
        <w:t>9.2.5 d)</w:t>
      </w:r>
      <w:r w:rsidRPr="00BC31E0">
        <w:rPr>
          <w:rFonts w:hint="eastAsia"/>
        </w:rPr>
        <w:t>に従った磁粉探傷試験，又は浸透探傷試験を行わなければならない。材料仕様に溶接部の放射線透過試験が規定されていない部分には，</w:t>
      </w:r>
      <w:r w:rsidRPr="00BC31E0">
        <w:rPr>
          <w:rFonts w:asciiTheme="majorEastAsia" w:eastAsiaTheme="majorEastAsia" w:hAnsiTheme="majorEastAsia" w:hint="eastAsia"/>
          <w:b/>
          <w:bCs/>
        </w:rPr>
        <w:t>9.1</w:t>
      </w:r>
      <w:r w:rsidRPr="00BC31E0">
        <w:rPr>
          <w:rFonts w:hint="eastAsia"/>
        </w:rPr>
        <w:t xml:space="preserve"> </w:t>
      </w:r>
      <w:r w:rsidRPr="00BC31E0">
        <w:rPr>
          <w:rFonts w:hint="eastAsia"/>
        </w:rPr>
        <w:t>に従って放射線透過試験を実施する。判定基準は</w:t>
      </w:r>
      <w:r w:rsidRPr="00BC31E0">
        <w:rPr>
          <w:rFonts w:asciiTheme="majorEastAsia" w:eastAsiaTheme="majorEastAsia" w:hAnsiTheme="majorEastAsia" w:hint="eastAsia"/>
          <w:b/>
          <w:bCs/>
        </w:rPr>
        <w:t>9.3.6</w:t>
      </w:r>
      <w:r w:rsidRPr="00BC31E0">
        <w:rPr>
          <w:rFonts w:hint="eastAsia"/>
        </w:rPr>
        <w:t>による。放射線写真と放射線写真撮影位置を示す報告書は，材料証明書に添付しなければならない。</w:t>
      </w:r>
    </w:p>
    <w:p w14:paraId="62D7BB0F" w14:textId="77777777" w:rsidR="008103A2" w:rsidRPr="00BC31E0" w:rsidRDefault="008103A2" w:rsidP="00736130">
      <w:pPr>
        <w:pStyle w:val="a4"/>
        <w:numPr>
          <w:ilvl w:val="0"/>
          <w:numId w:val="577"/>
        </w:numPr>
        <w:ind w:leftChars="0" w:left="738" w:hanging="454"/>
      </w:pPr>
      <w:r w:rsidRPr="00BC31E0">
        <w:rPr>
          <w:rFonts w:hint="eastAsia"/>
        </w:rPr>
        <w:t>溶加材使用溶接管・継手に使用される板材は，</w:t>
      </w:r>
      <w:r w:rsidRPr="00BC31E0">
        <w:rPr>
          <w:rFonts w:asciiTheme="majorEastAsia" w:eastAsiaTheme="majorEastAsia" w:hAnsiTheme="majorEastAsia" w:hint="eastAsia"/>
          <w:b/>
        </w:rPr>
        <w:t>9.2.4 b)</w:t>
      </w:r>
      <w:r w:rsidRPr="00BC31E0">
        <w:rPr>
          <w:rFonts w:hint="eastAsia"/>
        </w:rPr>
        <w:t>に従った超音波探傷試験を行うか，又は最終製品で</w:t>
      </w:r>
      <w:r w:rsidRPr="00BC31E0">
        <w:rPr>
          <w:rFonts w:asciiTheme="majorEastAsia" w:eastAsiaTheme="majorEastAsia" w:hAnsiTheme="majorEastAsia" w:hint="eastAsia"/>
          <w:b/>
        </w:rPr>
        <w:t>9.2.6 b)</w:t>
      </w:r>
      <w:r w:rsidRPr="00BC31E0">
        <w:rPr>
          <w:rFonts w:hint="eastAsia"/>
        </w:rPr>
        <w:t>に従った試験を実施しなければならない。</w:t>
      </w:r>
    </w:p>
    <w:p w14:paraId="09301A80" w14:textId="77777777" w:rsidR="008103A2" w:rsidRPr="00BC31E0" w:rsidRDefault="008103A2" w:rsidP="00736130">
      <w:pPr>
        <w:pStyle w:val="a4"/>
        <w:numPr>
          <w:ilvl w:val="0"/>
          <w:numId w:val="578"/>
        </w:numPr>
        <w:ind w:leftChars="0" w:left="454" w:hanging="454"/>
      </w:pPr>
      <w:r w:rsidRPr="00BC31E0">
        <w:rPr>
          <w:rFonts w:eastAsiaTheme="majorEastAsia" w:hint="eastAsia"/>
          <w:b/>
        </w:rPr>
        <w:t>試験時期</w:t>
      </w:r>
      <w:r w:rsidRPr="00BC31E0">
        <w:rPr>
          <w:rFonts w:hint="eastAsia"/>
        </w:rPr>
        <w:t xml:space="preserve">　</w:t>
      </w:r>
      <w:r w:rsidRPr="00BC31E0">
        <w:rPr>
          <w:rFonts w:ascii="ＭＳ 明朝" w:hAnsi="ＭＳ 明朝" w:hint="eastAsia"/>
        </w:rPr>
        <w:t>補修溶接も含め試験は，次の</w:t>
      </w:r>
      <w:r w:rsidRPr="00BC31E0">
        <w:rPr>
          <w:rFonts w:asciiTheme="majorEastAsia" w:eastAsiaTheme="majorEastAsia" w:hAnsiTheme="majorEastAsia" w:hint="eastAsia"/>
          <w:b/>
        </w:rPr>
        <w:t>1)</w:t>
      </w:r>
      <w:r w:rsidRPr="00BC31E0">
        <w:rPr>
          <w:rFonts w:ascii="ＭＳ 明朝" w:hAnsi="ＭＳ 明朝" w:hint="eastAsia"/>
        </w:rPr>
        <w:t>～</w:t>
      </w:r>
      <w:r w:rsidRPr="00BC31E0">
        <w:rPr>
          <w:rFonts w:asciiTheme="majorEastAsia" w:eastAsiaTheme="majorEastAsia" w:hAnsiTheme="majorEastAsia" w:hint="eastAsia"/>
          <w:b/>
        </w:rPr>
        <w:t>3)</w:t>
      </w:r>
      <w:r w:rsidRPr="00BC31E0">
        <w:rPr>
          <w:rFonts w:ascii="ＭＳ 明朝" w:hAnsi="ＭＳ 明朝" w:hint="eastAsia"/>
        </w:rPr>
        <w:t>に示された製作時期に行わなければならない。</w:t>
      </w:r>
    </w:p>
    <w:p w14:paraId="15755122" w14:textId="77777777" w:rsidR="00924896" w:rsidRPr="00BC31E0" w:rsidRDefault="008103A2" w:rsidP="00736130">
      <w:pPr>
        <w:pStyle w:val="a4"/>
        <w:numPr>
          <w:ilvl w:val="0"/>
          <w:numId w:val="579"/>
        </w:numPr>
        <w:ind w:leftChars="0" w:left="738" w:hanging="454"/>
      </w:pPr>
      <w:r w:rsidRPr="00BC31E0">
        <w:rPr>
          <w:rFonts w:hint="eastAsia"/>
        </w:rPr>
        <w:t>板材の超音波探傷試験は，</w:t>
      </w:r>
      <w:r w:rsidRPr="00BC31E0">
        <w:rPr>
          <w:rFonts w:asciiTheme="majorEastAsia" w:eastAsiaTheme="majorEastAsia" w:hAnsiTheme="majorEastAsia" w:hint="eastAsia"/>
          <w:b/>
          <w:bCs/>
        </w:rPr>
        <w:t>9.2.4 a)</w:t>
      </w:r>
      <w:r w:rsidRPr="00BC31E0">
        <w:rPr>
          <w:rFonts w:hint="eastAsia"/>
        </w:rPr>
        <w:t>に示された時期，又は最終製品で試験を実施するのであれば，最終圧延，成形後とする。</w:t>
      </w:r>
    </w:p>
    <w:p w14:paraId="50B63468" w14:textId="77777777" w:rsidR="00924896" w:rsidRPr="00BC31E0" w:rsidRDefault="008103A2" w:rsidP="00736130">
      <w:pPr>
        <w:pStyle w:val="a4"/>
        <w:numPr>
          <w:ilvl w:val="0"/>
          <w:numId w:val="579"/>
        </w:numPr>
        <w:ind w:leftChars="0" w:left="738" w:hanging="454"/>
      </w:pPr>
      <w:r w:rsidRPr="00BC31E0">
        <w:rPr>
          <w:rFonts w:hint="eastAsia"/>
        </w:rPr>
        <w:t>補修溶接も含め，溶接部の放射線透過試験は，最終圧延，成形後とする。ただし，溶接後熱処理前でもよい。</w:t>
      </w:r>
    </w:p>
    <w:p w14:paraId="79055651" w14:textId="77777777" w:rsidR="008103A2" w:rsidRPr="00BC31E0" w:rsidRDefault="008103A2" w:rsidP="00736130">
      <w:pPr>
        <w:pStyle w:val="a4"/>
        <w:numPr>
          <w:ilvl w:val="0"/>
          <w:numId w:val="579"/>
        </w:numPr>
        <w:ind w:leftChars="0" w:left="738" w:hanging="454"/>
      </w:pPr>
      <w:r w:rsidRPr="00BC31E0">
        <w:rPr>
          <w:rFonts w:hint="eastAsia"/>
        </w:rPr>
        <w:t>補修溶接も含め溶接部の磁粉探傷試験，又は浸透探傷試験は最終熱処理後に行う。ただし，</w:t>
      </w:r>
      <w:r w:rsidRPr="00BC31E0">
        <w:rPr>
          <w:rFonts w:hint="eastAsia"/>
        </w:rPr>
        <w:t>P</w:t>
      </w:r>
      <w:r w:rsidRPr="00BC31E0">
        <w:rPr>
          <w:rFonts w:hint="eastAsia"/>
        </w:rPr>
        <w:t>番号</w:t>
      </w:r>
      <w:r w:rsidRPr="00BC31E0">
        <w:rPr>
          <w:rFonts w:hint="eastAsia"/>
        </w:rPr>
        <w:t>1</w:t>
      </w:r>
      <w:r w:rsidRPr="00BC31E0">
        <w:rPr>
          <w:rFonts w:hint="eastAsia"/>
        </w:rPr>
        <w:t>の材料については溶接後熱処理前に行ってもよい。</w:t>
      </w:r>
    </w:p>
    <w:p w14:paraId="5CCD47C7" w14:textId="77777777" w:rsidR="008103A2" w:rsidRPr="00BC31E0" w:rsidRDefault="008103A2" w:rsidP="00736130">
      <w:pPr>
        <w:pStyle w:val="a4"/>
        <w:numPr>
          <w:ilvl w:val="0"/>
          <w:numId w:val="580"/>
        </w:numPr>
        <w:ind w:leftChars="0" w:left="454" w:hanging="454"/>
        <w:rPr>
          <w:rFonts w:ascii="ＭＳ 明朝" w:hAnsi="ＭＳ 明朝"/>
        </w:rPr>
      </w:pPr>
      <w:r w:rsidRPr="00BC31E0">
        <w:rPr>
          <w:rFonts w:eastAsiaTheme="majorEastAsia" w:hint="eastAsia"/>
          <w:b/>
        </w:rPr>
        <w:t>溶接による補修</w:t>
      </w:r>
      <w:r w:rsidRPr="00BC31E0">
        <w:rPr>
          <w:rFonts w:hint="eastAsia"/>
        </w:rPr>
        <w:t xml:space="preserve">　</w:t>
      </w:r>
      <w:r w:rsidRPr="00BC31E0">
        <w:rPr>
          <w:rFonts w:asciiTheme="majorEastAsia" w:eastAsiaTheme="majorEastAsia" w:hAnsiTheme="majorEastAsia" w:hint="eastAsia"/>
          <w:b/>
        </w:rPr>
        <w:t>5</w:t>
      </w:r>
      <w:r w:rsidRPr="00BC31E0">
        <w:rPr>
          <w:rFonts w:ascii="ＭＳ 明朝" w:hAnsi="ＭＳ 明朝" w:hint="eastAsia"/>
        </w:rPr>
        <w:t>や製品仕様により溶接補修が禁止されていない場合，補修の深さは製品仕様による制限を除けば制限がないが，</w:t>
      </w:r>
      <w:r w:rsidRPr="00BC31E0">
        <w:rPr>
          <w:rFonts w:asciiTheme="majorEastAsia" w:eastAsiaTheme="majorEastAsia" w:hAnsiTheme="majorEastAsia" w:hint="eastAsia"/>
          <w:b/>
        </w:rPr>
        <w:t>9.2.3</w:t>
      </w:r>
      <w:r w:rsidRPr="00BC31E0">
        <w:rPr>
          <w:rFonts w:ascii="ＭＳ 明朝" w:hAnsi="ＭＳ 明朝" w:hint="eastAsia"/>
        </w:rPr>
        <w:t>には従わなければならない。</w:t>
      </w:r>
    </w:p>
    <w:p w14:paraId="4A477BED" w14:textId="77777777" w:rsidR="008103A2" w:rsidRPr="00BC31E0" w:rsidRDefault="008103A2" w:rsidP="00190F55">
      <w:pPr>
        <w:pStyle w:val="3"/>
        <w:tabs>
          <w:tab w:val="clear" w:pos="284"/>
        </w:tabs>
        <w:ind w:left="794" w:hanging="794"/>
      </w:pPr>
      <w:r w:rsidRPr="00BC31E0">
        <w:rPr>
          <w:rFonts w:hint="eastAsia"/>
        </w:rPr>
        <w:t>ボルト・ナット材の試験と補修</w:t>
      </w:r>
    </w:p>
    <w:p w14:paraId="336A1CBF" w14:textId="77777777" w:rsidR="008103A2" w:rsidRPr="00BC31E0" w:rsidRDefault="008103A2" w:rsidP="006739E8">
      <w:pPr>
        <w:pStyle w:val="1110"/>
        <w:ind w:firstLine="210"/>
      </w:pPr>
      <w:r w:rsidRPr="00BC31E0">
        <w:rPr>
          <w:rFonts w:hint="eastAsia"/>
        </w:rPr>
        <w:t>ボルト・ナット材の試験と補修は，次の</w:t>
      </w:r>
      <w:r w:rsidRPr="00BC31E0">
        <w:rPr>
          <w:rFonts w:ascii="ＭＳ ゴシック" w:hAnsi="ＭＳ ゴシック" w:hint="eastAsia"/>
          <w:b/>
        </w:rPr>
        <w:t>a)</w:t>
      </w:r>
      <w:r w:rsidRPr="00BC31E0">
        <w:rPr>
          <w:rFonts w:hint="eastAsia"/>
        </w:rPr>
        <w:t>～</w:t>
      </w:r>
      <w:r w:rsidRPr="00BC31E0">
        <w:rPr>
          <w:rFonts w:ascii="ＭＳ ゴシック" w:hAnsi="ＭＳ ゴシック" w:hint="eastAsia"/>
          <w:b/>
        </w:rPr>
        <w:t>f)</w:t>
      </w:r>
      <w:r w:rsidRPr="00BC31E0">
        <w:rPr>
          <w:rFonts w:hint="eastAsia"/>
        </w:rPr>
        <w:t>による。</w:t>
      </w:r>
    </w:p>
    <w:p w14:paraId="08DDA993" w14:textId="77777777" w:rsidR="008103A2" w:rsidRPr="00BC31E0" w:rsidRDefault="008103A2" w:rsidP="00736130">
      <w:pPr>
        <w:pStyle w:val="a4"/>
        <w:numPr>
          <w:ilvl w:val="0"/>
          <w:numId w:val="581"/>
        </w:numPr>
        <w:ind w:leftChars="0" w:left="454" w:hanging="454"/>
      </w:pPr>
      <w:r w:rsidRPr="00BC31E0">
        <w:rPr>
          <w:rFonts w:asciiTheme="majorEastAsia" w:eastAsiaTheme="majorEastAsia" w:hAnsiTheme="majorEastAsia" w:hint="eastAsia"/>
          <w:b/>
        </w:rPr>
        <w:t>要求される試験</w:t>
      </w:r>
      <w:r w:rsidRPr="00BC31E0">
        <w:rPr>
          <w:rFonts w:hint="eastAsia"/>
        </w:rPr>
        <w:t xml:space="preserve">  </w:t>
      </w:r>
      <w:r w:rsidRPr="00BC31E0">
        <w:rPr>
          <w:rFonts w:hint="eastAsia"/>
        </w:rPr>
        <w:t>要求される試験は，次の</w:t>
      </w:r>
      <w:r w:rsidRPr="00BC31E0">
        <w:rPr>
          <w:rFonts w:asciiTheme="majorEastAsia" w:eastAsiaTheme="majorEastAsia" w:hAnsiTheme="majorEastAsia" w:hint="eastAsia"/>
          <w:b/>
        </w:rPr>
        <w:t>1)</w:t>
      </w:r>
      <w:r w:rsidRPr="00BC31E0">
        <w:rPr>
          <w:rFonts w:hint="eastAsia"/>
        </w:rPr>
        <w:t>～</w:t>
      </w:r>
      <w:r w:rsidRPr="00BC31E0">
        <w:rPr>
          <w:rFonts w:asciiTheme="majorEastAsia" w:eastAsiaTheme="majorEastAsia" w:hAnsiTheme="majorEastAsia" w:hint="eastAsia"/>
          <w:b/>
        </w:rPr>
        <w:t>3)</w:t>
      </w:r>
      <w:r w:rsidRPr="00BC31E0">
        <w:rPr>
          <w:rFonts w:hint="eastAsia"/>
        </w:rPr>
        <w:t>による。</w:t>
      </w:r>
    </w:p>
    <w:p w14:paraId="3ABF2C3E" w14:textId="77777777" w:rsidR="008103A2" w:rsidRPr="00BC31E0" w:rsidRDefault="008103A2" w:rsidP="00736130">
      <w:pPr>
        <w:numPr>
          <w:ilvl w:val="0"/>
          <w:numId w:val="218"/>
        </w:numPr>
        <w:ind w:left="738" w:hanging="454"/>
      </w:pPr>
      <w:r w:rsidRPr="00BC31E0">
        <w:rPr>
          <w:rFonts w:hint="eastAsia"/>
        </w:rPr>
        <w:t>全てのボルト材は，目視試験を行わなければならない。</w:t>
      </w:r>
    </w:p>
    <w:p w14:paraId="53111712" w14:textId="77777777" w:rsidR="008103A2" w:rsidRPr="00BC31E0" w:rsidRDefault="008103A2" w:rsidP="00736130">
      <w:pPr>
        <w:numPr>
          <w:ilvl w:val="0"/>
          <w:numId w:val="218"/>
        </w:numPr>
        <w:ind w:left="738" w:hanging="454"/>
      </w:pPr>
      <w:r w:rsidRPr="00BC31E0">
        <w:rPr>
          <w:rFonts w:hint="eastAsia"/>
        </w:rPr>
        <w:t>公称サイズ</w:t>
      </w:r>
      <w:r w:rsidRPr="00BC31E0">
        <w:t>25 mm</w:t>
      </w:r>
      <w:r w:rsidRPr="00BC31E0">
        <w:rPr>
          <w:rFonts w:hint="eastAsia"/>
        </w:rPr>
        <w:t>を超えるものは，磁粉探傷試験，又は浸透探傷試験を行わなければならない。</w:t>
      </w:r>
    </w:p>
    <w:p w14:paraId="51AEF17E" w14:textId="77777777" w:rsidR="008103A2" w:rsidRPr="00BC31E0" w:rsidRDefault="008103A2" w:rsidP="00736130">
      <w:pPr>
        <w:numPr>
          <w:ilvl w:val="0"/>
          <w:numId w:val="218"/>
        </w:numPr>
        <w:ind w:left="738" w:hanging="454"/>
      </w:pPr>
      <w:r w:rsidRPr="00BC31E0">
        <w:rPr>
          <w:rFonts w:hint="eastAsia"/>
        </w:rPr>
        <w:lastRenderedPageBreak/>
        <w:t>公称サイズ</w:t>
      </w:r>
      <w:r w:rsidRPr="00BC31E0">
        <w:t>50 mm</w:t>
      </w:r>
      <w:r w:rsidRPr="00BC31E0">
        <w:rPr>
          <w:rFonts w:hint="eastAsia"/>
        </w:rPr>
        <w:t>を超えるものは，次の</w:t>
      </w:r>
      <w:r w:rsidRPr="00BC31E0">
        <w:rPr>
          <w:rFonts w:asciiTheme="majorEastAsia" w:eastAsiaTheme="majorEastAsia" w:hAnsiTheme="majorEastAsia" w:hint="eastAsia"/>
          <w:b/>
        </w:rPr>
        <w:t>d)</w:t>
      </w:r>
      <w:r w:rsidRPr="00BC31E0">
        <w:rPr>
          <w:rFonts w:hint="eastAsia"/>
        </w:rPr>
        <w:t>，</w:t>
      </w:r>
      <w:r w:rsidRPr="00BC31E0">
        <w:rPr>
          <w:rFonts w:asciiTheme="majorEastAsia" w:eastAsiaTheme="majorEastAsia" w:hAnsiTheme="majorEastAsia" w:hint="eastAsia"/>
          <w:b/>
        </w:rPr>
        <w:t>e)</w:t>
      </w:r>
      <w:r w:rsidRPr="00BC31E0">
        <w:rPr>
          <w:rFonts w:hint="eastAsia"/>
        </w:rPr>
        <w:t>に従って超音波探傷試験を実施しなければならない。</w:t>
      </w:r>
    </w:p>
    <w:p w14:paraId="3F735474" w14:textId="77777777" w:rsidR="00190F55" w:rsidRPr="00BC31E0" w:rsidRDefault="008103A2" w:rsidP="00736130">
      <w:pPr>
        <w:pStyle w:val="a4"/>
        <w:numPr>
          <w:ilvl w:val="0"/>
          <w:numId w:val="582"/>
        </w:numPr>
        <w:ind w:leftChars="0" w:left="454" w:hanging="454"/>
      </w:pPr>
      <w:r w:rsidRPr="00BC31E0">
        <w:rPr>
          <w:rFonts w:asciiTheme="majorEastAsia" w:eastAsiaTheme="majorEastAsia" w:hAnsiTheme="majorEastAsia" w:hint="eastAsia"/>
          <w:b/>
          <w:bCs/>
        </w:rPr>
        <w:t>目視試験</w:t>
      </w:r>
      <w:r w:rsidRPr="00BC31E0">
        <w:rPr>
          <w:rFonts w:hint="eastAsia"/>
          <w:bCs/>
        </w:rPr>
        <w:t xml:space="preserve">　</w:t>
      </w:r>
      <w:r w:rsidRPr="00BC31E0">
        <w:rPr>
          <w:rFonts w:hint="eastAsia"/>
        </w:rPr>
        <w:t>最終機械加工後のネジ部，軸部，ヘッド部は，目視試験を行わなければならない。実際の使用に悪影響を与える</w:t>
      </w:r>
      <w:r w:rsidR="00B32211" w:rsidRPr="00BC31E0">
        <w:rPr>
          <w:rFonts w:hint="eastAsia"/>
        </w:rPr>
        <w:t>よう</w:t>
      </w:r>
      <w:r w:rsidRPr="00BC31E0">
        <w:rPr>
          <w:rFonts w:hint="eastAsia"/>
        </w:rPr>
        <w:t>なラップ，きず，割れ</w:t>
      </w:r>
      <w:r w:rsidR="00554BAA" w:rsidRPr="00BC31E0">
        <w:rPr>
          <w:rFonts w:hint="eastAsia"/>
        </w:rPr>
        <w:t>など</w:t>
      </w:r>
      <w:r w:rsidRPr="00BC31E0">
        <w:rPr>
          <w:rFonts w:hint="eastAsia"/>
        </w:rPr>
        <w:t>の不連続部があるものについては不合格とする。</w:t>
      </w:r>
    </w:p>
    <w:p w14:paraId="467BAC46" w14:textId="77777777" w:rsidR="00190F55" w:rsidRPr="00BC31E0" w:rsidRDefault="008103A2" w:rsidP="00736130">
      <w:pPr>
        <w:pStyle w:val="a4"/>
        <w:numPr>
          <w:ilvl w:val="0"/>
          <w:numId w:val="582"/>
        </w:numPr>
        <w:ind w:leftChars="0" w:left="454" w:hanging="454"/>
      </w:pPr>
      <w:r w:rsidRPr="00BC31E0">
        <w:rPr>
          <w:rFonts w:asciiTheme="majorEastAsia" w:eastAsiaTheme="majorEastAsia" w:hAnsiTheme="majorEastAsia" w:hint="eastAsia"/>
          <w:b/>
          <w:bCs/>
        </w:rPr>
        <w:t>磁粉探傷試験又は浸透探傷試験</w:t>
      </w:r>
      <w:r w:rsidRPr="00BC31E0">
        <w:rPr>
          <w:rFonts w:hint="eastAsia"/>
          <w:bCs/>
        </w:rPr>
        <w:t xml:space="preserve">　</w:t>
      </w:r>
      <w:r w:rsidRPr="00BC31E0">
        <w:rPr>
          <w:rFonts w:hint="eastAsia"/>
        </w:rPr>
        <w:t>公称サイズが</w:t>
      </w:r>
      <w:r w:rsidRPr="00BC31E0">
        <w:t>25 mm</w:t>
      </w:r>
      <w:r w:rsidRPr="00BC31E0">
        <w:rPr>
          <w:rFonts w:hint="eastAsia"/>
        </w:rPr>
        <w:t>を超える全てのボルト，スタッドボルト及びナットは，ねじ加工後の最終形状のボルト又はヘッディング後でねじ加工前のほぼ最終径の材料に対して，</w:t>
      </w:r>
      <w:r w:rsidRPr="00BC31E0">
        <w:rPr>
          <w:rFonts w:asciiTheme="majorEastAsia" w:eastAsiaTheme="majorEastAsia" w:hAnsiTheme="majorEastAsia" w:hint="eastAsia"/>
          <w:b/>
        </w:rPr>
        <w:t>9.2.5 d)</w:t>
      </w:r>
      <w:r w:rsidRPr="00BC31E0">
        <w:rPr>
          <w:rFonts w:hint="eastAsia"/>
        </w:rPr>
        <w:t>に従って磁粉探傷試験又は浸透探傷試験を行わなければならない。指示模様があるものは，全て不合格とする。</w:t>
      </w:r>
    </w:p>
    <w:p w14:paraId="118CD3DF" w14:textId="77777777" w:rsidR="008103A2" w:rsidRPr="00BC31E0" w:rsidRDefault="008103A2" w:rsidP="00736130">
      <w:pPr>
        <w:pStyle w:val="a4"/>
        <w:numPr>
          <w:ilvl w:val="0"/>
          <w:numId w:val="582"/>
        </w:numPr>
        <w:ind w:leftChars="0" w:left="454" w:hanging="454"/>
      </w:pPr>
      <w:r w:rsidRPr="00BC31E0">
        <w:rPr>
          <w:rFonts w:asciiTheme="majorEastAsia" w:eastAsiaTheme="majorEastAsia" w:hAnsiTheme="majorEastAsia" w:hint="eastAsia"/>
          <w:b/>
          <w:bCs/>
        </w:rPr>
        <w:t>公称サイズが</w:t>
      </w:r>
      <w:r w:rsidRPr="00BC31E0">
        <w:rPr>
          <w:rFonts w:asciiTheme="majorEastAsia" w:eastAsiaTheme="majorEastAsia" w:hAnsiTheme="majorEastAsia"/>
          <w:b/>
          <w:bCs/>
        </w:rPr>
        <w:t>50 mm</w:t>
      </w:r>
      <w:r w:rsidRPr="00BC31E0">
        <w:rPr>
          <w:rFonts w:asciiTheme="majorEastAsia" w:eastAsiaTheme="majorEastAsia" w:hAnsiTheme="majorEastAsia" w:hint="eastAsia"/>
          <w:b/>
          <w:bCs/>
        </w:rPr>
        <w:t>を超えるボルトとナットの超音波探傷試験</w:t>
      </w:r>
      <w:r w:rsidRPr="00BC31E0">
        <w:rPr>
          <w:rFonts w:hint="eastAsia"/>
          <w:bCs/>
        </w:rPr>
        <w:t xml:space="preserve">　</w:t>
      </w:r>
      <w:r w:rsidRPr="00BC31E0">
        <w:rPr>
          <w:rFonts w:hint="eastAsia"/>
        </w:rPr>
        <w:t>公称サイズが</w:t>
      </w:r>
      <w:r w:rsidRPr="00BC31E0">
        <w:t>50 mm</w:t>
      </w:r>
      <w:r w:rsidRPr="00BC31E0">
        <w:rPr>
          <w:rFonts w:hint="eastAsia"/>
        </w:rPr>
        <w:t>を超える全てのボルト，スタッドボルト及びナットは，次の</w:t>
      </w:r>
      <w:r w:rsidRPr="00BC31E0">
        <w:rPr>
          <w:rFonts w:asciiTheme="majorEastAsia" w:eastAsiaTheme="majorEastAsia" w:hAnsiTheme="majorEastAsia" w:hint="eastAsia"/>
          <w:b/>
          <w:bCs/>
        </w:rPr>
        <w:t>1)</w:t>
      </w:r>
      <w:r w:rsidRPr="00BC31E0">
        <w:rPr>
          <w:rFonts w:hint="eastAsia"/>
        </w:rPr>
        <w:t>～</w:t>
      </w:r>
      <w:r w:rsidRPr="00BC31E0">
        <w:rPr>
          <w:rFonts w:asciiTheme="majorEastAsia" w:eastAsiaTheme="majorEastAsia" w:hAnsiTheme="majorEastAsia" w:hint="eastAsia"/>
          <w:b/>
          <w:bCs/>
        </w:rPr>
        <w:t>4)</w:t>
      </w:r>
      <w:r w:rsidRPr="00BC31E0">
        <w:rPr>
          <w:rFonts w:hint="eastAsia"/>
        </w:rPr>
        <w:t>の要求事項に従ってねじ加工前に外周面から全面超音波探傷試験を実施する。</w:t>
      </w:r>
    </w:p>
    <w:p w14:paraId="62A8CEB4" w14:textId="77777777" w:rsidR="008103A2" w:rsidRPr="00BC31E0" w:rsidRDefault="008103A2" w:rsidP="00736130">
      <w:pPr>
        <w:numPr>
          <w:ilvl w:val="0"/>
          <w:numId w:val="219"/>
        </w:numPr>
        <w:ind w:left="738" w:hanging="454"/>
      </w:pPr>
      <w:r w:rsidRPr="00BC31E0">
        <w:rPr>
          <w:rFonts w:asciiTheme="majorEastAsia" w:eastAsiaTheme="majorEastAsia" w:hAnsiTheme="majorEastAsia" w:hint="eastAsia"/>
          <w:b/>
        </w:rPr>
        <w:t>超音波探傷試験</w:t>
      </w:r>
      <w:r w:rsidRPr="00BC31E0">
        <w:rPr>
          <w:rFonts w:hint="eastAsia"/>
        </w:rPr>
        <w:t xml:space="preserve">　検査は垂直探傷法により周方向に探傷する。</w:t>
      </w:r>
    </w:p>
    <w:p w14:paraId="010EAE2E" w14:textId="77777777" w:rsidR="008103A2" w:rsidRPr="00BC31E0" w:rsidRDefault="008103A2" w:rsidP="00736130">
      <w:pPr>
        <w:numPr>
          <w:ilvl w:val="0"/>
          <w:numId w:val="219"/>
        </w:numPr>
        <w:ind w:left="738" w:hanging="454"/>
      </w:pPr>
      <w:r w:rsidRPr="00BC31E0">
        <w:rPr>
          <w:rFonts w:asciiTheme="majorEastAsia" w:eastAsiaTheme="majorEastAsia" w:hAnsiTheme="majorEastAsia" w:hint="eastAsia"/>
          <w:b/>
        </w:rPr>
        <w:t>試験要領</w:t>
      </w:r>
      <w:r w:rsidRPr="00BC31E0">
        <w:rPr>
          <w:rFonts w:hint="eastAsia"/>
        </w:rPr>
        <w:t xml:space="preserve">　振動子の接触面積が</w:t>
      </w:r>
      <w:r w:rsidRPr="00BC31E0">
        <w:t>650 mm</w:t>
      </w:r>
      <w:r w:rsidRPr="00BC31E0">
        <w:rPr>
          <w:vertAlign w:val="superscript"/>
        </w:rPr>
        <w:t>2</w:t>
      </w:r>
      <w:r w:rsidRPr="00BC31E0">
        <w:rPr>
          <w:rFonts w:hint="eastAsia"/>
        </w:rPr>
        <w:t>を超えない探触子を用いて公称周波数</w:t>
      </w:r>
      <w:r w:rsidRPr="00BC31E0">
        <w:t>2.25 MH</w:t>
      </w:r>
      <w:r w:rsidRPr="00BC31E0">
        <w:rPr>
          <w:vertAlign w:val="subscript"/>
        </w:rPr>
        <w:t>Z</w:t>
      </w:r>
      <w:r w:rsidRPr="00BC31E0">
        <w:rPr>
          <w:rFonts w:hint="eastAsia"/>
        </w:rPr>
        <w:t>によって検査する。</w:t>
      </w:r>
    </w:p>
    <w:p w14:paraId="2B3CC592" w14:textId="77777777" w:rsidR="008103A2" w:rsidRPr="00BC31E0" w:rsidRDefault="008103A2" w:rsidP="00736130">
      <w:pPr>
        <w:numPr>
          <w:ilvl w:val="0"/>
          <w:numId w:val="219"/>
        </w:numPr>
        <w:ind w:left="738" w:hanging="454"/>
      </w:pPr>
      <w:r w:rsidRPr="00BC31E0">
        <w:rPr>
          <w:rFonts w:asciiTheme="majorEastAsia" w:eastAsiaTheme="majorEastAsia" w:hAnsiTheme="majorEastAsia" w:hint="eastAsia"/>
          <w:b/>
        </w:rPr>
        <w:t>試験機器の校正</w:t>
      </w:r>
      <w:r w:rsidRPr="00BC31E0">
        <w:rPr>
          <w:rFonts w:hint="eastAsia"/>
        </w:rPr>
        <w:t xml:space="preserve">　感度の校正は最初の底面エコーが最大目盛り高さの</w:t>
      </w:r>
      <w:r w:rsidRPr="00BC31E0">
        <w:t>75%</w:t>
      </w:r>
      <w:r w:rsidRPr="00BC31E0">
        <w:t>～</w:t>
      </w:r>
      <w:r w:rsidRPr="00BC31E0">
        <w:t>90%</w:t>
      </w:r>
      <w:r w:rsidRPr="00BC31E0">
        <w:rPr>
          <w:rFonts w:hint="eastAsia"/>
        </w:rPr>
        <w:t>になるように機器の調整を行う。</w:t>
      </w:r>
    </w:p>
    <w:p w14:paraId="557447FB" w14:textId="77777777" w:rsidR="008103A2" w:rsidRPr="00BC31E0" w:rsidRDefault="008103A2" w:rsidP="00736130">
      <w:pPr>
        <w:numPr>
          <w:ilvl w:val="0"/>
          <w:numId w:val="219"/>
        </w:numPr>
        <w:ind w:left="738" w:hanging="454"/>
      </w:pPr>
      <w:r w:rsidRPr="00BC31E0">
        <w:rPr>
          <w:rFonts w:asciiTheme="majorEastAsia" w:eastAsiaTheme="majorEastAsia" w:hAnsiTheme="majorEastAsia" w:hint="eastAsia"/>
          <w:b/>
        </w:rPr>
        <w:t>判定基準</w:t>
      </w:r>
      <w:r w:rsidRPr="00BC31E0">
        <w:rPr>
          <w:rFonts w:hint="eastAsia"/>
        </w:rPr>
        <w:t xml:space="preserve">　底面エコー高さの</w:t>
      </w:r>
      <w:r w:rsidRPr="00BC31E0">
        <w:t>20%</w:t>
      </w:r>
      <w:r w:rsidRPr="00BC31E0">
        <w:rPr>
          <w:rFonts w:hint="eastAsia"/>
        </w:rPr>
        <w:t>を超える指示による不連続部，又は校正感度において底面エコー高さが</w:t>
      </w:r>
      <w:r w:rsidRPr="00BC31E0">
        <w:t>50%</w:t>
      </w:r>
      <w:r w:rsidRPr="00BC31E0">
        <w:rPr>
          <w:rFonts w:hint="eastAsia"/>
        </w:rPr>
        <w:t>以下に減衰する不連続部は不合格となる。</w:t>
      </w:r>
    </w:p>
    <w:p w14:paraId="68FA5AA2" w14:textId="77777777" w:rsidR="008103A2" w:rsidRPr="00BC31E0" w:rsidRDefault="008103A2" w:rsidP="00736130">
      <w:pPr>
        <w:pStyle w:val="a4"/>
        <w:numPr>
          <w:ilvl w:val="0"/>
          <w:numId w:val="583"/>
        </w:numPr>
        <w:ind w:leftChars="0" w:left="454" w:hanging="454"/>
      </w:pPr>
      <w:r w:rsidRPr="00BC31E0">
        <w:rPr>
          <w:rFonts w:asciiTheme="majorEastAsia" w:eastAsiaTheme="majorEastAsia" w:hAnsiTheme="majorEastAsia" w:hint="eastAsia"/>
          <w:b/>
        </w:rPr>
        <w:t>公称サイズが</w:t>
      </w:r>
      <w:r w:rsidRPr="00BC31E0">
        <w:rPr>
          <w:rFonts w:asciiTheme="majorEastAsia" w:eastAsiaTheme="majorEastAsia" w:hAnsiTheme="majorEastAsia"/>
          <w:b/>
        </w:rPr>
        <w:t>100 mm</w:t>
      </w:r>
      <w:r w:rsidRPr="00BC31E0">
        <w:rPr>
          <w:rFonts w:asciiTheme="majorEastAsia" w:eastAsiaTheme="majorEastAsia" w:hAnsiTheme="majorEastAsia" w:hint="eastAsia"/>
          <w:b/>
        </w:rPr>
        <w:t>を超えるボルトとナットの超音波探傷試験</w:t>
      </w:r>
      <w:r w:rsidRPr="00BC31E0">
        <w:rPr>
          <w:rFonts w:hint="eastAsia"/>
        </w:rPr>
        <w:t xml:space="preserve">　上記</w:t>
      </w:r>
      <w:r w:rsidRPr="00BC31E0">
        <w:rPr>
          <w:rFonts w:asciiTheme="majorEastAsia" w:eastAsiaTheme="majorEastAsia" w:hAnsiTheme="majorEastAsia" w:hint="eastAsia"/>
          <w:b/>
          <w:bCs/>
        </w:rPr>
        <w:t>d)</w:t>
      </w:r>
      <w:r w:rsidRPr="00BC31E0">
        <w:rPr>
          <w:rFonts w:hint="eastAsia"/>
        </w:rPr>
        <w:t>の追加要求事項として，公称サイズが</w:t>
      </w:r>
      <w:r w:rsidRPr="00BC31E0">
        <w:t>100 mm</w:t>
      </w:r>
      <w:r w:rsidRPr="00BC31E0">
        <w:rPr>
          <w:rFonts w:hint="eastAsia"/>
        </w:rPr>
        <w:t>を超える全てのボルト，スタッドボルト及びナットは，次の</w:t>
      </w:r>
      <w:r w:rsidRPr="00BC31E0">
        <w:rPr>
          <w:rFonts w:asciiTheme="majorEastAsia" w:eastAsiaTheme="majorEastAsia" w:hAnsiTheme="majorEastAsia" w:hint="eastAsia"/>
          <w:b/>
          <w:bCs/>
        </w:rPr>
        <w:t>1)</w:t>
      </w:r>
      <w:r w:rsidRPr="00BC31E0">
        <w:rPr>
          <w:rFonts w:hint="eastAsia"/>
        </w:rPr>
        <w:t>～</w:t>
      </w:r>
      <w:r w:rsidRPr="00BC31E0">
        <w:rPr>
          <w:rFonts w:asciiTheme="majorEastAsia" w:eastAsiaTheme="majorEastAsia" w:hAnsiTheme="majorEastAsia" w:hint="eastAsia"/>
          <w:b/>
          <w:bCs/>
        </w:rPr>
        <w:t>4)</w:t>
      </w:r>
      <w:r w:rsidRPr="00BC31E0">
        <w:rPr>
          <w:rFonts w:hint="eastAsia"/>
        </w:rPr>
        <w:t>の要求事項に従ってねじ加工前又はねじ加工後に，端面から全面超音波探傷試験行う。</w:t>
      </w:r>
    </w:p>
    <w:p w14:paraId="6773F754" w14:textId="77777777" w:rsidR="008103A2" w:rsidRPr="00BC31E0" w:rsidRDefault="008103A2" w:rsidP="00736130">
      <w:pPr>
        <w:numPr>
          <w:ilvl w:val="0"/>
          <w:numId w:val="220"/>
        </w:numPr>
        <w:ind w:left="738" w:hanging="454"/>
      </w:pPr>
      <w:r w:rsidRPr="00BC31E0">
        <w:rPr>
          <w:rFonts w:asciiTheme="majorEastAsia" w:eastAsiaTheme="majorEastAsia" w:hAnsiTheme="majorEastAsia" w:hint="eastAsia"/>
          <w:b/>
        </w:rPr>
        <w:t>超音波探傷方法</w:t>
      </w:r>
      <w:r w:rsidRPr="00BC31E0">
        <w:rPr>
          <w:rFonts w:hint="eastAsia"/>
        </w:rPr>
        <w:t xml:space="preserve">　検査は垂直探傷法による長手方向の探傷にて実施する。</w:t>
      </w:r>
    </w:p>
    <w:p w14:paraId="66E442BB" w14:textId="77777777" w:rsidR="008103A2" w:rsidRPr="00BC31E0" w:rsidRDefault="008103A2" w:rsidP="00736130">
      <w:pPr>
        <w:numPr>
          <w:ilvl w:val="0"/>
          <w:numId w:val="220"/>
        </w:numPr>
        <w:ind w:left="738" w:hanging="454"/>
      </w:pPr>
      <w:r w:rsidRPr="00BC31E0">
        <w:rPr>
          <w:rFonts w:asciiTheme="majorEastAsia" w:eastAsiaTheme="majorEastAsia" w:hAnsiTheme="majorEastAsia" w:hint="eastAsia"/>
          <w:b/>
        </w:rPr>
        <w:t>試験要領</w:t>
      </w:r>
      <w:r w:rsidRPr="00BC31E0">
        <w:rPr>
          <w:rFonts w:hint="eastAsia"/>
        </w:rPr>
        <w:t xml:space="preserve">　検査は振動子の接触面積が</w:t>
      </w:r>
      <w:r w:rsidRPr="00BC31E0">
        <w:t>320 mm</w:t>
      </w:r>
      <w:r w:rsidRPr="00BC31E0">
        <w:rPr>
          <w:vertAlign w:val="superscript"/>
        </w:rPr>
        <w:t>2</w:t>
      </w:r>
      <w:r w:rsidRPr="00BC31E0">
        <w:rPr>
          <w:rFonts w:hint="eastAsia"/>
        </w:rPr>
        <w:t>を超えない探触子を用い，公称周波数</w:t>
      </w:r>
      <w:r w:rsidRPr="00BC31E0">
        <w:t>2.25 MH</w:t>
      </w:r>
      <w:r w:rsidRPr="00BC31E0">
        <w:rPr>
          <w:vertAlign w:val="subscript"/>
        </w:rPr>
        <w:t>Z</w:t>
      </w:r>
      <w:r w:rsidRPr="00BC31E0">
        <w:rPr>
          <w:rFonts w:hint="eastAsia"/>
        </w:rPr>
        <w:t>で実施する。</w:t>
      </w:r>
    </w:p>
    <w:p w14:paraId="5DE0EB61" w14:textId="77777777" w:rsidR="008103A2" w:rsidRPr="00BC31E0" w:rsidRDefault="008103A2" w:rsidP="00736130">
      <w:pPr>
        <w:numPr>
          <w:ilvl w:val="0"/>
          <w:numId w:val="220"/>
        </w:numPr>
        <w:ind w:left="738" w:hanging="454"/>
      </w:pPr>
      <w:r w:rsidRPr="00BC31E0">
        <w:rPr>
          <w:rFonts w:asciiTheme="majorEastAsia" w:eastAsiaTheme="majorEastAsia" w:hAnsiTheme="majorEastAsia" w:hint="eastAsia"/>
          <w:b/>
        </w:rPr>
        <w:t>試験機器の校正</w:t>
      </w:r>
      <w:r w:rsidRPr="00BC31E0">
        <w:rPr>
          <w:rFonts w:hint="eastAsia"/>
        </w:rPr>
        <w:t xml:space="preserve">　試験機器の校正は，</w:t>
      </w:r>
      <w:r w:rsidRPr="00BC31E0">
        <w:rPr>
          <w:rFonts w:ascii="ＭＳ ゴシック" w:eastAsia="ＭＳ ゴシック" w:hAnsi="ＭＳ ゴシック" w:hint="eastAsia"/>
          <w:b/>
        </w:rPr>
        <w:t>JIS G 0587</w:t>
      </w:r>
      <w:r w:rsidRPr="00BC31E0">
        <w:rPr>
          <w:rFonts w:hint="eastAsia"/>
        </w:rPr>
        <w:t>に準じて，距離振幅補正曲線を作成する。必要に応じて，感度補正を実施し探傷する。</w:t>
      </w:r>
    </w:p>
    <w:p w14:paraId="18B2D436" w14:textId="77777777" w:rsidR="008103A2" w:rsidRPr="00BC31E0" w:rsidRDefault="008103A2" w:rsidP="00736130">
      <w:pPr>
        <w:numPr>
          <w:ilvl w:val="0"/>
          <w:numId w:val="220"/>
        </w:numPr>
        <w:ind w:left="738" w:hanging="454"/>
      </w:pPr>
      <w:r w:rsidRPr="00BC31E0">
        <w:rPr>
          <w:rFonts w:asciiTheme="majorEastAsia" w:eastAsiaTheme="majorEastAsia" w:hAnsiTheme="majorEastAsia" w:hint="eastAsia"/>
          <w:b/>
        </w:rPr>
        <w:t>判定基準</w:t>
      </w:r>
      <w:r w:rsidRPr="00BC31E0">
        <w:rPr>
          <w:rFonts w:hint="eastAsia"/>
        </w:rPr>
        <w:t xml:space="preserve">　</w:t>
      </w:r>
      <w:r w:rsidRPr="00BC31E0">
        <w:rPr>
          <w:rFonts w:ascii="ＭＳ ゴシック" w:eastAsia="ＭＳ ゴシック" w:hAnsi="ＭＳ ゴシック" w:hint="eastAsia"/>
          <w:b/>
        </w:rPr>
        <w:t>JIS G 0587</w:t>
      </w:r>
      <w:r w:rsidRPr="00BC31E0">
        <w:rPr>
          <w:rFonts w:ascii="ＭＳ 明朝" w:hAnsi="ＭＳ 明朝" w:hint="eastAsia"/>
        </w:rPr>
        <w:t>の</w:t>
      </w:r>
      <w:r w:rsidRPr="00BC31E0">
        <w:t>2</w:t>
      </w:r>
      <w:r w:rsidRPr="00BC31E0">
        <w:rPr>
          <w:rFonts w:ascii="ＭＳ 明朝" w:hAnsi="ＭＳ 明朝" w:hint="eastAsia"/>
        </w:rPr>
        <w:t>類を超える欠陥による指示模様は不合格とする。</w:t>
      </w:r>
    </w:p>
    <w:p w14:paraId="1F83EBA5" w14:textId="77777777" w:rsidR="008103A2" w:rsidRPr="00BC31E0" w:rsidRDefault="008103A2" w:rsidP="00736130">
      <w:pPr>
        <w:pStyle w:val="a4"/>
        <w:numPr>
          <w:ilvl w:val="0"/>
          <w:numId w:val="584"/>
        </w:numPr>
        <w:ind w:leftChars="0" w:left="454" w:hanging="454"/>
      </w:pPr>
      <w:r w:rsidRPr="00BC31E0">
        <w:rPr>
          <w:rFonts w:asciiTheme="majorEastAsia" w:eastAsiaTheme="majorEastAsia" w:hAnsiTheme="majorEastAsia" w:hint="eastAsia"/>
          <w:b/>
        </w:rPr>
        <w:t>溶接による補修</w:t>
      </w:r>
      <w:r w:rsidRPr="00BC31E0">
        <w:rPr>
          <w:rFonts w:hint="eastAsia"/>
        </w:rPr>
        <w:t xml:space="preserve">　ボルト，スタッドボルト及びナットへの補修溶接は認められない。</w:t>
      </w:r>
    </w:p>
    <w:p w14:paraId="22F3CC1F" w14:textId="77777777" w:rsidR="00342321" w:rsidRPr="00BC31E0" w:rsidRDefault="00342321" w:rsidP="003274EF">
      <w:pPr>
        <w:pStyle w:val="20"/>
        <w:tabs>
          <w:tab w:val="clear" w:pos="284"/>
        </w:tabs>
        <w:ind w:left="567" w:hanging="567"/>
      </w:pPr>
      <w:bookmarkStart w:id="104" w:name="_Toc357672118"/>
      <w:bookmarkStart w:id="105" w:name="_Toc120092554"/>
      <w:r w:rsidRPr="00BC31E0">
        <w:rPr>
          <w:rFonts w:hint="eastAsia"/>
        </w:rPr>
        <w:t>溶接部の試験と合格判定基準</w:t>
      </w:r>
      <w:bookmarkEnd w:id="104"/>
      <w:bookmarkEnd w:id="105"/>
    </w:p>
    <w:p w14:paraId="7DEA770F" w14:textId="77777777" w:rsidR="00342321" w:rsidRPr="00BC31E0" w:rsidRDefault="00342321" w:rsidP="003274EF">
      <w:pPr>
        <w:pStyle w:val="3"/>
        <w:tabs>
          <w:tab w:val="clear" w:pos="284"/>
        </w:tabs>
        <w:ind w:left="794" w:hanging="794"/>
      </w:pPr>
      <w:r w:rsidRPr="00BC31E0">
        <w:rPr>
          <w:rFonts w:hint="eastAsia"/>
        </w:rPr>
        <w:t>溶接部及び溶接オーバレイの試験</w:t>
      </w:r>
    </w:p>
    <w:p w14:paraId="26E66453" w14:textId="77777777" w:rsidR="00342321" w:rsidRPr="00BC31E0" w:rsidRDefault="00342321" w:rsidP="006739E8">
      <w:pPr>
        <w:pStyle w:val="1110"/>
        <w:ind w:firstLine="210"/>
      </w:pPr>
      <w:r w:rsidRPr="00BC31E0">
        <w:rPr>
          <w:rFonts w:hint="eastAsia"/>
        </w:rPr>
        <w:t>製作工程において，次の</w:t>
      </w:r>
      <w:r w:rsidRPr="00BC31E0">
        <w:rPr>
          <w:rFonts w:ascii="ＭＳ ゴシック" w:eastAsia="ＭＳ ゴシック" w:hAnsi="ＭＳ ゴシック" w:hint="eastAsia"/>
          <w:b/>
          <w:bCs/>
        </w:rPr>
        <w:t>a)</w:t>
      </w:r>
      <w:r w:rsidRPr="00BC31E0">
        <w:rPr>
          <w:rFonts w:ascii="ＭＳ 明朝" w:hAnsi="ＭＳ 明朝" w:hint="eastAsia"/>
          <w:bCs/>
        </w:rPr>
        <w:t>～</w:t>
      </w:r>
      <w:r w:rsidRPr="00BC31E0">
        <w:rPr>
          <w:rFonts w:ascii="ＭＳ ゴシック" w:eastAsia="ＭＳ ゴシック" w:hAnsi="ＭＳ ゴシック" w:hint="eastAsia"/>
          <w:b/>
          <w:bCs/>
        </w:rPr>
        <w:t>f)</w:t>
      </w:r>
      <w:r w:rsidRPr="00BC31E0">
        <w:rPr>
          <w:rFonts w:hint="eastAsia"/>
        </w:rPr>
        <w:t>の段階で溶接部及び溶接オーバレイの試験を行う。</w:t>
      </w:r>
    </w:p>
    <w:p w14:paraId="6FA390F4" w14:textId="77777777" w:rsidR="00D81360" w:rsidRPr="00BC31E0" w:rsidRDefault="00342321" w:rsidP="00736130">
      <w:pPr>
        <w:pStyle w:val="a4"/>
        <w:numPr>
          <w:ilvl w:val="0"/>
          <w:numId w:val="585"/>
        </w:numPr>
        <w:ind w:leftChars="0" w:left="454" w:hanging="454"/>
        <w:rPr>
          <w:b/>
        </w:rPr>
      </w:pPr>
      <w:r w:rsidRPr="00BC31E0">
        <w:rPr>
          <w:rFonts w:hint="eastAsia"/>
        </w:rPr>
        <w:t>厚さ</w:t>
      </w:r>
      <w:r w:rsidR="00C001B2" w:rsidRPr="00BC31E0">
        <w:rPr>
          <w:rFonts w:hint="eastAsia"/>
        </w:rPr>
        <w:t>13 mm</w:t>
      </w:r>
      <w:r w:rsidRPr="00BC31E0">
        <w:rPr>
          <w:rFonts w:hint="eastAsia"/>
        </w:rPr>
        <w:t>以上の突合せ継手の超音波探傷試験は，全ての必要な熱処理を行った後に行う。超音波探傷試験で適確性確認試験体に埋め込まれたきずを検出できない場合，又は溶接継手，容器の形状から超音波探傷試験が適用できない場合には，放射線透過試験を行う。</w:t>
      </w:r>
    </w:p>
    <w:p w14:paraId="70FCC172" w14:textId="77777777" w:rsidR="00D81360" w:rsidRPr="00BC31E0" w:rsidRDefault="00342321" w:rsidP="00736130">
      <w:pPr>
        <w:pStyle w:val="a4"/>
        <w:numPr>
          <w:ilvl w:val="0"/>
          <w:numId w:val="585"/>
        </w:numPr>
        <w:ind w:leftChars="0" w:left="454" w:hanging="454"/>
        <w:rPr>
          <w:b/>
        </w:rPr>
      </w:pPr>
      <w:r w:rsidRPr="00BC31E0">
        <w:rPr>
          <w:rFonts w:hint="eastAsia"/>
        </w:rPr>
        <w:t>母材の溶接補修を含めた溶接部の磁紛探傷試験又は浸透探傷試験は，必要な溶接後熱処理後に行う。ただし，</w:t>
      </w:r>
      <w:r w:rsidRPr="00BC31E0">
        <w:rPr>
          <w:rFonts w:hint="eastAsia"/>
        </w:rPr>
        <w:t>P</w:t>
      </w:r>
      <w:r w:rsidRPr="00BC31E0">
        <w:rPr>
          <w:rFonts w:hint="eastAsia"/>
        </w:rPr>
        <w:t>番号</w:t>
      </w:r>
      <w:r w:rsidRPr="00BC31E0">
        <w:rPr>
          <w:rFonts w:hint="eastAsia"/>
        </w:rPr>
        <w:t>1</w:t>
      </w:r>
      <w:r w:rsidRPr="00BC31E0">
        <w:rPr>
          <w:rFonts w:hint="eastAsia"/>
        </w:rPr>
        <w:t>の炭素鋼材は，溶接後熱処理の前後のいずれでもよい。溶接施工中の溶接部の磁紛探傷試験又は浸透探傷試験は，溶接後熱処理前に行ってよい。</w:t>
      </w:r>
    </w:p>
    <w:p w14:paraId="2B962654" w14:textId="77777777" w:rsidR="00D81360" w:rsidRPr="00BC31E0" w:rsidRDefault="00342321" w:rsidP="00736130">
      <w:pPr>
        <w:pStyle w:val="a4"/>
        <w:numPr>
          <w:ilvl w:val="0"/>
          <w:numId w:val="585"/>
        </w:numPr>
        <w:ind w:leftChars="0" w:left="454" w:hanging="454"/>
        <w:rPr>
          <w:b/>
        </w:rPr>
      </w:pPr>
      <w:r w:rsidRPr="00BC31E0">
        <w:rPr>
          <w:rFonts w:hint="eastAsia"/>
        </w:rPr>
        <w:lastRenderedPageBreak/>
        <w:t>溶接オーバレイされる溶接表面の磁紛探傷試験又は浸透探傷試験は，オーバレイ前に行う。溶接後熱処理後に検査できない溶接表面の磁紛探傷試験又は浸透探傷試験は，溶接後熱処理前に行ってもよい。</w:t>
      </w:r>
    </w:p>
    <w:p w14:paraId="3A493E5B" w14:textId="77777777" w:rsidR="00D81360" w:rsidRPr="00BC31E0" w:rsidRDefault="00342321" w:rsidP="00736130">
      <w:pPr>
        <w:pStyle w:val="a4"/>
        <w:numPr>
          <w:ilvl w:val="0"/>
          <w:numId w:val="585"/>
        </w:numPr>
        <w:ind w:leftChars="0" w:left="454" w:hanging="454"/>
        <w:rPr>
          <w:b/>
        </w:rPr>
      </w:pPr>
      <w:r w:rsidRPr="00BC31E0">
        <w:rPr>
          <w:rFonts w:hint="eastAsia"/>
        </w:rPr>
        <w:t>溶接オーバレイは，全ての必要な熱処理後に，磁紛探傷試験又は浸透探傷試験を行う。</w:t>
      </w:r>
    </w:p>
    <w:p w14:paraId="26E9FABB" w14:textId="77777777" w:rsidR="00D81360" w:rsidRPr="00BC31E0" w:rsidRDefault="00342321" w:rsidP="00736130">
      <w:pPr>
        <w:pStyle w:val="a4"/>
        <w:numPr>
          <w:ilvl w:val="0"/>
          <w:numId w:val="585"/>
        </w:numPr>
        <w:ind w:leftChars="0" w:left="454" w:hanging="454"/>
        <w:rPr>
          <w:b/>
        </w:rPr>
      </w:pPr>
      <w:r w:rsidRPr="00BC31E0">
        <w:rPr>
          <w:rFonts w:hint="eastAsia"/>
        </w:rPr>
        <w:t>オーステナイト系ステンレス鋼及び非鉄材料の全ての継手に対して，最終溶接後熱処理後に，磁紛探傷試験又は浸透探傷試験を行う。</w:t>
      </w:r>
    </w:p>
    <w:p w14:paraId="7944B152" w14:textId="77777777" w:rsidR="00342321" w:rsidRPr="00BC31E0" w:rsidRDefault="00342321" w:rsidP="00736130">
      <w:pPr>
        <w:pStyle w:val="a4"/>
        <w:numPr>
          <w:ilvl w:val="0"/>
          <w:numId w:val="585"/>
        </w:numPr>
        <w:ind w:leftChars="0" w:left="454" w:hanging="454"/>
        <w:rPr>
          <w:b/>
        </w:rPr>
      </w:pPr>
      <w:r w:rsidRPr="00BC31E0">
        <w:rPr>
          <w:rFonts w:hint="eastAsia"/>
        </w:rPr>
        <w:t>焼入焼戻鋼の溶接継手に対する試験は，溶接オーバレイを行い，全ての必要な溶接後熱処理を行った後に行う。</w:t>
      </w:r>
    </w:p>
    <w:p w14:paraId="5B538B60" w14:textId="77777777" w:rsidR="00342321" w:rsidRPr="00BC31E0" w:rsidRDefault="00342321" w:rsidP="009E639F">
      <w:pPr>
        <w:pStyle w:val="3"/>
        <w:tabs>
          <w:tab w:val="clear" w:pos="284"/>
        </w:tabs>
        <w:ind w:left="794" w:hanging="794"/>
      </w:pPr>
      <w:r w:rsidRPr="00BC31E0">
        <w:rPr>
          <w:rFonts w:hint="eastAsia"/>
        </w:rPr>
        <w:t>溶接部の超音波探傷試験に対する要求</w:t>
      </w:r>
    </w:p>
    <w:p w14:paraId="2F16D3FE" w14:textId="77777777" w:rsidR="00342321" w:rsidRPr="00BC31E0" w:rsidRDefault="00342321" w:rsidP="00DE595F">
      <w:pPr>
        <w:pStyle w:val="1110"/>
        <w:ind w:firstLine="210"/>
      </w:pPr>
      <w:r w:rsidRPr="00BC31E0">
        <w:rPr>
          <w:rFonts w:hint="eastAsia"/>
        </w:rPr>
        <w:t>溶接部の超音波探傷試験は，次の</w:t>
      </w:r>
      <w:r w:rsidRPr="00BC31E0">
        <w:rPr>
          <w:rFonts w:ascii="ＭＳ ゴシック" w:hAnsi="ＭＳ ゴシック" w:hint="eastAsia"/>
          <w:b/>
        </w:rPr>
        <w:t>a)</w:t>
      </w:r>
      <w:r w:rsidRPr="00BC31E0">
        <w:rPr>
          <w:rFonts w:hint="eastAsia"/>
        </w:rPr>
        <w:t>～</w:t>
      </w:r>
      <w:r w:rsidRPr="00BC31E0">
        <w:rPr>
          <w:rFonts w:ascii="ＭＳ ゴシック" w:hAnsi="ＭＳ ゴシック" w:hint="eastAsia"/>
          <w:b/>
        </w:rPr>
        <w:t>i)</w:t>
      </w:r>
      <w:r w:rsidRPr="00BC31E0">
        <w:rPr>
          <w:rFonts w:hint="eastAsia"/>
        </w:rPr>
        <w:t>による。</w:t>
      </w:r>
    </w:p>
    <w:p w14:paraId="19CF8341" w14:textId="77777777" w:rsidR="00D81FDD" w:rsidRPr="00BC31E0" w:rsidRDefault="00342321" w:rsidP="00736130">
      <w:pPr>
        <w:pStyle w:val="a4"/>
        <w:numPr>
          <w:ilvl w:val="0"/>
          <w:numId w:val="586"/>
        </w:numPr>
        <w:ind w:leftChars="0" w:left="454" w:hanging="454"/>
        <w:rPr>
          <w:b/>
        </w:rPr>
      </w:pPr>
      <w:r w:rsidRPr="00BC31E0">
        <w:rPr>
          <w:rFonts w:hint="eastAsia"/>
        </w:rPr>
        <w:t>成形</w:t>
      </w:r>
      <w:r w:rsidRPr="00BC31E0">
        <w:rPr>
          <w:rFonts w:hint="eastAsia"/>
        </w:rPr>
        <w:t>(</w:t>
      </w:r>
      <w:r w:rsidRPr="00BC31E0">
        <w:rPr>
          <w:rFonts w:hint="eastAsia"/>
        </w:rPr>
        <w:t>圧延，絞り，鍛造，押出加工</w:t>
      </w:r>
      <w:r w:rsidRPr="00BC31E0">
        <w:rPr>
          <w:rFonts w:hint="eastAsia"/>
        </w:rPr>
        <w:t>)</w:t>
      </w:r>
      <w:r w:rsidRPr="00BC31E0">
        <w:rPr>
          <w:rFonts w:hint="eastAsia"/>
        </w:rPr>
        <w:t>材の溶接部に対しては，きずの高さ及び長さを精度よく求めることができる方法を用いる。超音波探傷試験の範囲は，溶接部と溶接部の両端</w:t>
      </w:r>
      <w:r w:rsidR="00C001B2" w:rsidRPr="00BC31E0">
        <w:rPr>
          <w:rFonts w:hint="eastAsia"/>
        </w:rPr>
        <w:t>50 mm</w:t>
      </w:r>
      <w:r w:rsidRPr="00BC31E0">
        <w:rPr>
          <w:rFonts w:hint="eastAsia"/>
        </w:rPr>
        <w:t>以上の母材を含む。超音波探傷試験は，購入者と製作者が合意した要領に従って行う。</w:t>
      </w:r>
    </w:p>
    <w:p w14:paraId="48EB0F22" w14:textId="77777777" w:rsidR="00D81FDD" w:rsidRPr="00BC31E0" w:rsidRDefault="00342321" w:rsidP="00736130">
      <w:pPr>
        <w:pStyle w:val="a4"/>
        <w:numPr>
          <w:ilvl w:val="0"/>
          <w:numId w:val="586"/>
        </w:numPr>
        <w:ind w:leftChars="0" w:left="454" w:hanging="454"/>
        <w:rPr>
          <w:b/>
        </w:rPr>
      </w:pPr>
      <w:r w:rsidRPr="00BC31E0">
        <w:rPr>
          <w:rFonts w:hint="eastAsia"/>
        </w:rPr>
        <w:t>超音波探傷試験要領</w:t>
      </w:r>
      <w:r w:rsidRPr="00BC31E0">
        <w:rPr>
          <w:rFonts w:hint="eastAsia"/>
        </w:rPr>
        <w:t>(</w:t>
      </w:r>
      <w:r w:rsidRPr="00BC31E0">
        <w:rPr>
          <w:rFonts w:hint="eastAsia"/>
        </w:rPr>
        <w:t>探傷計画</w:t>
      </w:r>
      <w:r w:rsidRPr="00BC31E0">
        <w:rPr>
          <w:rFonts w:hint="eastAsia"/>
        </w:rPr>
        <w:t>)</w:t>
      </w:r>
      <w:r w:rsidRPr="00BC31E0">
        <w:rPr>
          <w:rFonts w:hint="eastAsia"/>
        </w:rPr>
        <w:t>には，溶接部の品質確認を行うために必要な標準化され，再現性ある探触子の配置，走査，探傷範囲を示さなければならない。探傷計画には，各溶接部に対して，超音波の角度，溶接部中心線に対する超音波の方向及び探傷する母材の範囲を含める。これらの文書は，購入者の要求があれば開示しなければならない。</w:t>
      </w:r>
    </w:p>
    <w:p w14:paraId="7CB05FDE" w14:textId="77777777" w:rsidR="00D81FDD" w:rsidRPr="00BC31E0" w:rsidRDefault="00342321" w:rsidP="00736130">
      <w:pPr>
        <w:pStyle w:val="a4"/>
        <w:numPr>
          <w:ilvl w:val="0"/>
          <w:numId w:val="586"/>
        </w:numPr>
        <w:ind w:leftChars="0" w:left="454" w:hanging="454"/>
        <w:rPr>
          <w:b/>
        </w:rPr>
      </w:pPr>
      <w:r w:rsidRPr="00BC31E0">
        <w:rPr>
          <w:rFonts w:hint="eastAsia"/>
        </w:rPr>
        <w:t>超音波探傷試験は，文書化された要領に従って行う。探傷要領は，適格性確認試験体</w:t>
      </w:r>
      <w:r w:rsidRPr="00BC31E0">
        <w:rPr>
          <w:rFonts w:hint="eastAsia"/>
        </w:rPr>
        <w:t>(Q</w:t>
      </w:r>
      <w:r w:rsidRPr="00BC31E0">
        <w:rPr>
          <w:rFonts w:hint="eastAsia"/>
        </w:rPr>
        <w:t>ブロック</w:t>
      </w:r>
      <w:r w:rsidRPr="00BC31E0">
        <w:rPr>
          <w:rFonts w:hint="eastAsia"/>
        </w:rPr>
        <w:t>)</w:t>
      </w:r>
      <w:r w:rsidRPr="00BC31E0">
        <w:rPr>
          <w:rFonts w:hint="eastAsia"/>
        </w:rPr>
        <w:t>を用いて適格性が実証されていなければならない。適格性は，最大許容きずからのエコー及び検出が必要なきずからのエコーが評価レベルを超えることで実証される。エコー高さで評価を行わない検査手法では，最大許容きずを含む</w:t>
      </w:r>
      <w:r w:rsidRPr="00BC31E0">
        <w:rPr>
          <w:rFonts w:hint="eastAsia"/>
        </w:rPr>
        <w:t>Q</w:t>
      </w:r>
      <w:r w:rsidRPr="00BC31E0">
        <w:rPr>
          <w:rFonts w:hint="eastAsia"/>
        </w:rPr>
        <w:t>ブロックに内在する全てのきずの長さの測定結果が，実際のきず長さより長いことを示すことで適格性が実証される。</w:t>
      </w:r>
    </w:p>
    <w:p w14:paraId="155AC3A8" w14:textId="77777777" w:rsidR="00D81FDD" w:rsidRPr="00BC31E0" w:rsidRDefault="00342321" w:rsidP="00736130">
      <w:pPr>
        <w:pStyle w:val="a4"/>
        <w:numPr>
          <w:ilvl w:val="0"/>
          <w:numId w:val="586"/>
        </w:numPr>
        <w:ind w:leftChars="0" w:left="454" w:hanging="454"/>
        <w:rPr>
          <w:b/>
        </w:rPr>
      </w:pPr>
      <w:r w:rsidRPr="00BC31E0">
        <w:rPr>
          <w:rFonts w:hint="eastAsia"/>
        </w:rPr>
        <w:t>超音波探傷試験は，自動データ取得機能付きの探傷装置を使用して実施する。斜角探傷の妨げとなる母材部のきずを事前に特定するために，最初に母材部に対して垂直探傷を行わなければならない。</w:t>
      </w:r>
    </w:p>
    <w:p w14:paraId="5610CF2F" w14:textId="77777777" w:rsidR="00D81FDD" w:rsidRPr="00BC31E0" w:rsidRDefault="00342321" w:rsidP="00736130">
      <w:pPr>
        <w:pStyle w:val="a4"/>
        <w:numPr>
          <w:ilvl w:val="0"/>
          <w:numId w:val="586"/>
        </w:numPr>
        <w:ind w:leftChars="0" w:left="454" w:hanging="454"/>
        <w:rPr>
          <w:b/>
        </w:rPr>
      </w:pPr>
      <w:r w:rsidRPr="00BC31E0">
        <w:rPr>
          <w:rFonts w:hint="eastAsia"/>
        </w:rPr>
        <w:t>超音波探傷試験データはゲート設定，フィルタ処理，しきい値処理などを行わない未加工状態で記録する。</w:t>
      </w:r>
    </w:p>
    <w:p w14:paraId="5DE91F08" w14:textId="77777777" w:rsidR="00D81FDD" w:rsidRPr="00BC31E0" w:rsidRDefault="00342321" w:rsidP="00736130">
      <w:pPr>
        <w:pStyle w:val="a4"/>
        <w:numPr>
          <w:ilvl w:val="0"/>
          <w:numId w:val="586"/>
        </w:numPr>
        <w:ind w:leftChars="0" w:left="454" w:hanging="454"/>
        <w:rPr>
          <w:b/>
        </w:rPr>
      </w:pPr>
      <w:r w:rsidRPr="00BC31E0">
        <w:rPr>
          <w:rFonts w:hint="eastAsia"/>
        </w:rPr>
        <w:t>超音波探傷試験を行い，評価する検査員は，検査員の雇用者が定めた認定要領に従って資格付けされ，認定されなければならない。</w:t>
      </w:r>
    </w:p>
    <w:p w14:paraId="53585165" w14:textId="77777777" w:rsidR="00D81FDD" w:rsidRPr="00BC31E0" w:rsidRDefault="00342321" w:rsidP="00736130">
      <w:pPr>
        <w:pStyle w:val="a4"/>
        <w:numPr>
          <w:ilvl w:val="0"/>
          <w:numId w:val="586"/>
        </w:numPr>
        <w:ind w:leftChars="0" w:left="454" w:hanging="454"/>
        <w:rPr>
          <w:b/>
        </w:rPr>
      </w:pPr>
      <w:r w:rsidRPr="00BC31E0">
        <w:rPr>
          <w:rFonts w:hint="eastAsia"/>
        </w:rPr>
        <w:t>超音波探傷試験を外部に委託する場合には，製作者は認定検査員の資格認定記録を承認しなければならない。資格認定記録は，検査員の雇用者によって維持されなければならない。</w:t>
      </w:r>
    </w:p>
    <w:p w14:paraId="7E376136" w14:textId="77777777" w:rsidR="00D81FDD" w:rsidRPr="00BC31E0" w:rsidRDefault="00342321" w:rsidP="00736130">
      <w:pPr>
        <w:pStyle w:val="a4"/>
        <w:numPr>
          <w:ilvl w:val="0"/>
          <w:numId w:val="586"/>
        </w:numPr>
        <w:ind w:leftChars="0" w:left="454" w:hanging="454"/>
        <w:rPr>
          <w:b/>
        </w:rPr>
      </w:pPr>
      <w:r w:rsidRPr="00BC31E0">
        <w:rPr>
          <w:rFonts w:hint="eastAsia"/>
        </w:rPr>
        <w:t>超音波探傷試験データを採取し，解析する検査員は，上記</w:t>
      </w:r>
      <w:r w:rsidRPr="00BC31E0">
        <w:rPr>
          <w:rFonts w:asciiTheme="majorEastAsia" w:eastAsiaTheme="majorEastAsia" w:hAnsiTheme="majorEastAsia" w:hint="eastAsia"/>
          <w:b/>
          <w:bCs/>
        </w:rPr>
        <w:t>d)</w:t>
      </w:r>
      <w:r w:rsidRPr="00BC31E0">
        <w:rPr>
          <w:rFonts w:hint="eastAsia"/>
        </w:rPr>
        <w:t>の超音波探傷装置を使用して訓練され，上記</w:t>
      </w:r>
      <w:r w:rsidRPr="00BC31E0">
        <w:rPr>
          <w:rFonts w:asciiTheme="majorEastAsia" w:eastAsiaTheme="majorEastAsia" w:hAnsiTheme="majorEastAsia" w:hint="eastAsia"/>
          <w:b/>
          <w:bCs/>
        </w:rPr>
        <w:t>c)</w:t>
      </w:r>
      <w:r w:rsidRPr="00BC31E0">
        <w:rPr>
          <w:rFonts w:hint="eastAsia"/>
        </w:rPr>
        <w:t>の適格性の実証試験に参加しなければならない。</w:t>
      </w:r>
    </w:p>
    <w:p w14:paraId="2D99466F" w14:textId="77777777" w:rsidR="00342321" w:rsidRPr="00BC31E0" w:rsidRDefault="00342321" w:rsidP="00736130">
      <w:pPr>
        <w:pStyle w:val="a4"/>
        <w:numPr>
          <w:ilvl w:val="0"/>
          <w:numId w:val="586"/>
        </w:numPr>
        <w:ind w:leftChars="0" w:left="454" w:hanging="454"/>
        <w:rPr>
          <w:b/>
        </w:rPr>
      </w:pPr>
      <w:r w:rsidRPr="00BC31E0">
        <w:rPr>
          <w:rFonts w:hint="eastAsia"/>
        </w:rPr>
        <w:t>超音波探傷試験データの解析と判定基準は次の</w:t>
      </w:r>
      <w:r w:rsidRPr="00BC31E0">
        <w:rPr>
          <w:rFonts w:asciiTheme="majorEastAsia" w:eastAsiaTheme="majorEastAsia" w:hAnsiTheme="majorEastAsia" w:hint="eastAsia"/>
          <w:b/>
          <w:bCs/>
        </w:rPr>
        <w:t>1)</w:t>
      </w:r>
      <w:r w:rsidRPr="00BC31E0">
        <w:rPr>
          <w:rFonts w:hint="eastAsia"/>
        </w:rPr>
        <w:t>～</w:t>
      </w:r>
      <w:r w:rsidRPr="00BC31E0">
        <w:rPr>
          <w:rFonts w:asciiTheme="majorEastAsia" w:eastAsiaTheme="majorEastAsia" w:hAnsiTheme="majorEastAsia" w:hint="eastAsia"/>
          <w:b/>
          <w:bCs/>
        </w:rPr>
        <w:t>3)</w:t>
      </w:r>
      <w:r w:rsidRPr="00BC31E0">
        <w:rPr>
          <w:rFonts w:hint="eastAsia"/>
        </w:rPr>
        <w:t>による。</w:t>
      </w:r>
    </w:p>
    <w:p w14:paraId="6C2FE6DD" w14:textId="77777777" w:rsidR="00342321" w:rsidRPr="00BC31E0" w:rsidRDefault="00342321" w:rsidP="00736130">
      <w:pPr>
        <w:pStyle w:val="a4"/>
        <w:numPr>
          <w:ilvl w:val="0"/>
          <w:numId w:val="587"/>
        </w:numPr>
        <w:ind w:leftChars="0" w:left="738" w:hanging="454"/>
        <w:rPr>
          <w:rFonts w:ascii="ＭＳ 明朝" w:hAnsi="ＭＳ 明朝"/>
          <w:b/>
          <w:bCs/>
        </w:rPr>
      </w:pPr>
      <w:r w:rsidRPr="00BC31E0">
        <w:rPr>
          <w:rFonts w:asciiTheme="majorEastAsia" w:eastAsiaTheme="majorEastAsia" w:hAnsiTheme="majorEastAsia" w:hint="eastAsia"/>
          <w:b/>
        </w:rPr>
        <w:t>超音波探傷試験データの解析基準</w:t>
      </w:r>
      <w:r w:rsidRPr="00BC31E0">
        <w:rPr>
          <w:rFonts w:hint="eastAsia"/>
        </w:rPr>
        <w:t xml:space="preserve">　</w:t>
      </w:r>
      <w:r w:rsidRPr="00BC31E0">
        <w:rPr>
          <w:rFonts w:ascii="ＭＳ 明朝" w:hAnsi="ＭＳ 明朝"/>
        </w:rPr>
        <w:t>次の</w:t>
      </w:r>
      <w:r w:rsidRPr="00BC31E0">
        <w:rPr>
          <w:rFonts w:asciiTheme="majorEastAsia" w:eastAsiaTheme="majorEastAsia" w:hAnsiTheme="majorEastAsia"/>
          <w:b/>
        </w:rPr>
        <w:t>1.1)</w:t>
      </w:r>
      <w:r w:rsidRPr="00BC31E0">
        <w:rPr>
          <w:rFonts w:ascii="ＭＳ 明朝" w:hAnsi="ＭＳ 明朝"/>
        </w:rPr>
        <w:t>又は</w:t>
      </w:r>
      <w:r w:rsidRPr="00BC31E0">
        <w:rPr>
          <w:rFonts w:asciiTheme="majorEastAsia" w:eastAsiaTheme="majorEastAsia" w:hAnsiTheme="majorEastAsia"/>
          <w:b/>
        </w:rPr>
        <w:t>1.2)</w:t>
      </w:r>
      <w:r w:rsidRPr="00BC31E0">
        <w:rPr>
          <w:rFonts w:ascii="ＭＳ 明朝" w:hAnsi="ＭＳ 明朝"/>
        </w:rPr>
        <w:t>の制限を超える指示</w:t>
      </w:r>
      <w:r w:rsidRPr="00BC31E0">
        <w:rPr>
          <w:rFonts w:ascii="ＭＳ 明朝" w:hAnsi="ＭＳ 明朝" w:hint="eastAsia"/>
        </w:rPr>
        <w:t>模様</w:t>
      </w:r>
      <w:r w:rsidRPr="00BC31E0">
        <w:rPr>
          <w:rFonts w:ascii="ＭＳ 明朝" w:hAnsi="ＭＳ 明朝"/>
        </w:rPr>
        <w:t>がきずに起因するか，又</w:t>
      </w:r>
      <w:r w:rsidRPr="00BC31E0">
        <w:rPr>
          <w:rFonts w:ascii="ＭＳ 明朝" w:hAnsi="ＭＳ 明朝" w:hint="eastAsia"/>
        </w:rPr>
        <w:t>は次の</w:t>
      </w:r>
      <w:r w:rsidRPr="00BC31E0">
        <w:rPr>
          <w:rFonts w:asciiTheme="majorEastAsia" w:eastAsiaTheme="majorEastAsia" w:hAnsiTheme="majorEastAsia"/>
          <w:b/>
        </w:rPr>
        <w:t>i) 2)</w:t>
      </w:r>
      <w:r w:rsidRPr="00BC31E0">
        <w:rPr>
          <w:rFonts w:ascii="ＭＳ 明朝" w:hAnsi="ＭＳ 明朝" w:hint="eastAsia"/>
        </w:rPr>
        <w:t>の</w:t>
      </w:r>
      <w:r w:rsidRPr="00BC31E0">
        <w:rPr>
          <w:rFonts w:ascii="ＭＳ 明朝" w:hAnsi="ＭＳ 明朝"/>
        </w:rPr>
        <w:t>幾何学的形状に起因かを調査する。反射体がきずと判定された場合は，</w:t>
      </w:r>
      <w:r w:rsidRPr="00BC31E0">
        <w:rPr>
          <w:rFonts w:asciiTheme="majorEastAsia" w:eastAsiaTheme="majorEastAsia" w:hAnsiTheme="majorEastAsia"/>
          <w:b/>
        </w:rPr>
        <w:t>9.3.</w:t>
      </w:r>
      <w:r w:rsidRPr="00BC31E0">
        <w:rPr>
          <w:rFonts w:asciiTheme="majorEastAsia" w:eastAsiaTheme="majorEastAsia" w:hAnsiTheme="majorEastAsia" w:hint="eastAsia"/>
          <w:b/>
        </w:rPr>
        <w:t>6</w:t>
      </w:r>
      <w:r w:rsidRPr="00BC31E0">
        <w:rPr>
          <w:rFonts w:asciiTheme="majorEastAsia" w:eastAsiaTheme="majorEastAsia" w:hAnsiTheme="majorEastAsia"/>
          <w:b/>
        </w:rPr>
        <w:t xml:space="preserve"> c)</w:t>
      </w:r>
      <w:r w:rsidRPr="00BC31E0">
        <w:rPr>
          <w:rFonts w:ascii="ＭＳ 明朝" w:hAnsi="ＭＳ 明朝"/>
        </w:rPr>
        <w:t>に従って評価する。</w:t>
      </w:r>
    </w:p>
    <w:p w14:paraId="04B8A4A0" w14:textId="77777777" w:rsidR="0001574D" w:rsidRPr="00BC31E0" w:rsidRDefault="00342321" w:rsidP="00736130">
      <w:pPr>
        <w:pStyle w:val="a4"/>
        <w:numPr>
          <w:ilvl w:val="0"/>
          <w:numId w:val="591"/>
        </w:numPr>
        <w:ind w:leftChars="0" w:left="1134" w:hanging="567"/>
        <w:rPr>
          <w:rFonts w:hAnsiTheme="minorHAnsi"/>
          <w:b/>
        </w:rPr>
      </w:pPr>
      <w:r w:rsidRPr="00BC31E0">
        <w:t>エコー高さにより評価を行う手法では，基準レベルの</w:t>
      </w:r>
      <w:r w:rsidR="00DE4C7D" w:rsidRPr="00BC31E0">
        <w:rPr>
          <w:rFonts w:hAnsiTheme="minorHAnsi"/>
        </w:rPr>
        <w:t>20%</w:t>
      </w:r>
      <w:r w:rsidRPr="00BC31E0">
        <w:t>を超える</w:t>
      </w:r>
      <w:r w:rsidR="00DC160D" w:rsidRPr="00BC31E0">
        <w:rPr>
          <w:rFonts w:hint="eastAsia"/>
        </w:rPr>
        <w:t>全</w:t>
      </w:r>
      <w:r w:rsidRPr="00BC31E0">
        <w:t>ての反射体の</w:t>
      </w:r>
      <w:r w:rsidRPr="00BC31E0">
        <w:lastRenderedPageBreak/>
        <w:t>位置，エコー高さ，大きさを調査する。</w:t>
      </w:r>
    </w:p>
    <w:p w14:paraId="3A9036D0" w14:textId="77777777" w:rsidR="00342321" w:rsidRPr="00BC31E0" w:rsidRDefault="00342321" w:rsidP="00736130">
      <w:pPr>
        <w:pStyle w:val="a4"/>
        <w:numPr>
          <w:ilvl w:val="0"/>
          <w:numId w:val="591"/>
        </w:numPr>
        <w:ind w:leftChars="0" w:left="1134" w:hanging="567"/>
        <w:rPr>
          <w:rFonts w:hAnsiTheme="minorHAnsi"/>
          <w:b/>
        </w:rPr>
      </w:pPr>
      <w:r w:rsidRPr="00BC31E0">
        <w:rPr>
          <w:rFonts w:ascii="ＭＳ 明朝" w:hAnsi="ＭＳ 明朝" w:hint="eastAsia"/>
          <w:bCs/>
        </w:rPr>
        <w:t>エコー高さにより評価を行わない手法では，次の</w:t>
      </w:r>
      <w:r w:rsidRPr="00BC31E0">
        <w:rPr>
          <w:rFonts w:asciiTheme="majorEastAsia" w:eastAsiaTheme="majorEastAsia" w:hAnsiTheme="majorEastAsia" w:hint="eastAsia"/>
          <w:b/>
        </w:rPr>
        <w:t>1.2.1)</w:t>
      </w:r>
      <w:r w:rsidRPr="00BC31E0">
        <w:rPr>
          <w:rFonts w:ascii="ＭＳ 明朝" w:hAnsi="ＭＳ 明朝" w:hint="eastAsia"/>
          <w:bCs/>
        </w:rPr>
        <w:t>，</w:t>
      </w:r>
      <w:r w:rsidRPr="00BC31E0">
        <w:rPr>
          <w:rFonts w:asciiTheme="majorEastAsia" w:eastAsiaTheme="majorEastAsia" w:hAnsiTheme="majorEastAsia" w:hint="eastAsia"/>
          <w:b/>
        </w:rPr>
        <w:t>1.2.2)</w:t>
      </w:r>
      <w:r w:rsidRPr="00BC31E0">
        <w:rPr>
          <w:rFonts w:ascii="ＭＳ 明朝" w:hAnsi="ＭＳ 明朝" w:hint="eastAsia"/>
          <w:bCs/>
        </w:rPr>
        <w:t>又は</w:t>
      </w:r>
      <w:r w:rsidRPr="00BC31E0">
        <w:rPr>
          <w:rFonts w:asciiTheme="majorEastAsia" w:eastAsiaTheme="majorEastAsia" w:hAnsiTheme="majorEastAsia" w:hint="eastAsia"/>
          <w:b/>
        </w:rPr>
        <w:t>1.2.3)</w:t>
      </w:r>
      <w:r w:rsidRPr="00BC31E0">
        <w:rPr>
          <w:rFonts w:ascii="ＭＳ 明朝" w:hAnsi="ＭＳ 明朝" w:hint="eastAsia"/>
          <w:bCs/>
        </w:rPr>
        <w:t>の制限値を超える長さを有する</w:t>
      </w:r>
      <w:r w:rsidR="00DC160D" w:rsidRPr="00BC31E0">
        <w:rPr>
          <w:rFonts w:ascii="ＭＳ 明朝" w:hAnsi="ＭＳ 明朝" w:hint="eastAsia"/>
          <w:bCs/>
        </w:rPr>
        <w:t>全</w:t>
      </w:r>
      <w:r w:rsidRPr="00BC31E0">
        <w:rPr>
          <w:rFonts w:ascii="ＭＳ 明朝" w:hAnsi="ＭＳ 明朝" w:hint="eastAsia"/>
          <w:bCs/>
        </w:rPr>
        <w:t>ての指示模様の位置と大きさを調査する。</w:t>
      </w:r>
    </w:p>
    <w:p w14:paraId="4993953D" w14:textId="77777777" w:rsidR="00DE4C7D" w:rsidRPr="00BC31E0" w:rsidRDefault="00342321" w:rsidP="00736130">
      <w:pPr>
        <w:pStyle w:val="a4"/>
        <w:numPr>
          <w:ilvl w:val="0"/>
          <w:numId w:val="345"/>
        </w:numPr>
        <w:ind w:leftChars="0" w:left="1701" w:hanging="794"/>
        <w:rPr>
          <w:rFonts w:hAnsiTheme="minorHAnsi"/>
        </w:rPr>
      </w:pPr>
      <w:r w:rsidRPr="00BC31E0">
        <w:t>溶接部における厚さが</w:t>
      </w:r>
      <w:r w:rsidR="00DE4C7D" w:rsidRPr="00BC31E0">
        <w:rPr>
          <w:rFonts w:hAnsiTheme="minorHAnsi"/>
        </w:rPr>
        <w:t>38 mm</w:t>
      </w:r>
      <w:r w:rsidRPr="00BC31E0">
        <w:t>以下の溶接部では，長さが</w:t>
      </w:r>
      <w:r w:rsidR="00DE4C7D" w:rsidRPr="00BC31E0">
        <w:rPr>
          <w:rFonts w:hAnsiTheme="minorHAnsi"/>
        </w:rPr>
        <w:t>3.8 mm</w:t>
      </w:r>
      <w:r w:rsidRPr="00BC31E0">
        <w:t>を超える指示模様を調査する。</w:t>
      </w:r>
    </w:p>
    <w:p w14:paraId="3DD13088" w14:textId="77777777" w:rsidR="00DE4C7D" w:rsidRPr="00BC31E0" w:rsidRDefault="00342321" w:rsidP="00736130">
      <w:pPr>
        <w:pStyle w:val="a4"/>
        <w:numPr>
          <w:ilvl w:val="0"/>
          <w:numId w:val="345"/>
        </w:numPr>
        <w:ind w:leftChars="0" w:left="1701" w:hanging="794"/>
        <w:rPr>
          <w:rFonts w:hAnsiTheme="minorHAnsi"/>
        </w:rPr>
      </w:pPr>
      <w:r w:rsidRPr="00BC31E0">
        <w:rPr>
          <w:rFonts w:asciiTheme="minorHAnsi" w:hAnsi="ＭＳ 明朝"/>
          <w:bCs/>
        </w:rPr>
        <w:t>溶接部における厚さが</w:t>
      </w:r>
      <w:r w:rsidR="00DE4C7D" w:rsidRPr="00BC31E0">
        <w:rPr>
          <w:rFonts w:asciiTheme="minorHAnsi" w:hAnsiTheme="minorHAnsi"/>
          <w:bCs/>
        </w:rPr>
        <w:t>38 mm</w:t>
      </w:r>
      <w:r w:rsidRPr="00BC31E0">
        <w:rPr>
          <w:rFonts w:asciiTheme="minorHAnsi" w:hAnsi="ＭＳ 明朝"/>
          <w:bCs/>
        </w:rPr>
        <w:t>を超え，</w:t>
      </w:r>
      <w:r w:rsidR="00DE4C7D" w:rsidRPr="00BC31E0">
        <w:rPr>
          <w:rFonts w:asciiTheme="minorHAnsi" w:hAnsiTheme="minorHAnsi"/>
          <w:bCs/>
        </w:rPr>
        <w:t>100 mm</w:t>
      </w:r>
      <w:r w:rsidRPr="00BC31E0">
        <w:rPr>
          <w:rFonts w:asciiTheme="minorHAnsi" w:hAnsi="ＭＳ 明朝"/>
          <w:bCs/>
        </w:rPr>
        <w:t>以下の溶接部では，長さが</w:t>
      </w:r>
      <w:r w:rsidR="00DE4C7D" w:rsidRPr="00BC31E0">
        <w:rPr>
          <w:rFonts w:asciiTheme="minorHAnsi" w:hAnsiTheme="minorHAnsi"/>
          <w:bCs/>
        </w:rPr>
        <w:t>5 mm</w:t>
      </w:r>
      <w:r w:rsidRPr="00BC31E0">
        <w:rPr>
          <w:rFonts w:asciiTheme="minorHAnsi" w:hAnsi="ＭＳ 明朝"/>
          <w:bCs/>
        </w:rPr>
        <w:t>を超える指示模様を調査する。</w:t>
      </w:r>
    </w:p>
    <w:p w14:paraId="1D3FB669" w14:textId="77777777" w:rsidR="00342321" w:rsidRPr="00BC31E0" w:rsidRDefault="00342321" w:rsidP="00736130">
      <w:pPr>
        <w:pStyle w:val="a4"/>
        <w:numPr>
          <w:ilvl w:val="0"/>
          <w:numId w:val="345"/>
        </w:numPr>
        <w:ind w:leftChars="0" w:left="1701" w:hanging="794"/>
        <w:rPr>
          <w:rFonts w:hAnsiTheme="minorHAnsi"/>
        </w:rPr>
      </w:pPr>
      <w:r w:rsidRPr="00BC31E0">
        <w:rPr>
          <w:rFonts w:asciiTheme="minorHAnsi" w:eastAsiaTheme="minorEastAsia" w:hAnsiTheme="minorEastAsia"/>
          <w:bCs/>
        </w:rPr>
        <w:t>溶接部における厚さが</w:t>
      </w:r>
      <w:r w:rsidR="00DE4C7D" w:rsidRPr="00BC31E0">
        <w:rPr>
          <w:rFonts w:asciiTheme="minorHAnsi" w:eastAsiaTheme="minorEastAsia" w:hAnsiTheme="minorHAnsi"/>
          <w:bCs/>
        </w:rPr>
        <w:t>100 mm</w:t>
      </w:r>
      <w:r w:rsidRPr="00BC31E0">
        <w:rPr>
          <w:rFonts w:asciiTheme="minorHAnsi" w:eastAsiaTheme="minorEastAsia" w:hAnsiTheme="minorEastAsia"/>
          <w:bCs/>
        </w:rPr>
        <w:t>を超える溶接部では，長さが</w:t>
      </w:r>
      <m:oMath>
        <m:r>
          <m:rPr>
            <m:sty m:val="p"/>
          </m:rPr>
          <w:rPr>
            <w:rFonts w:ascii="Cambria Math" w:eastAsiaTheme="minorEastAsia" w:hAnsiTheme="minorHAnsi"/>
          </w:rPr>
          <m:t xml:space="preserve"> </m:t>
        </m:r>
        <m:r>
          <w:rPr>
            <w:rFonts w:ascii="Cambria Math" w:eastAsiaTheme="minorEastAsia" w:hAnsi="Cambria Math"/>
          </w:rPr>
          <m:t>0</m:t>
        </m:r>
        <m:r>
          <w:rPr>
            <w:rFonts w:ascii="Cambria Math" w:eastAsiaTheme="minorEastAsia" w:hAnsiTheme="minorHAnsi"/>
          </w:rPr>
          <m:t>.</m:t>
        </m:r>
        <m:r>
          <w:rPr>
            <w:rFonts w:ascii="Cambria Math" w:eastAsiaTheme="minorEastAsia" w:hAnsi="Cambria Math"/>
          </w:rPr>
          <m:t>05</m:t>
        </m:r>
        <m:r>
          <w:rPr>
            <w:rFonts w:ascii="Cambria Math" w:eastAsiaTheme="minorEastAsia" w:hAnsiTheme="minorHAnsi"/>
          </w:rPr>
          <m:t xml:space="preserve"> </m:t>
        </m:r>
        <m:r>
          <w:rPr>
            <w:rFonts w:ascii="Cambria Math" w:eastAsiaTheme="minorEastAsia" w:hAnsi="Cambria Math"/>
          </w:rPr>
          <m:t>t</m:t>
        </m:r>
        <m:r>
          <w:rPr>
            <w:rFonts w:ascii="Cambria Math" w:eastAsiaTheme="minorEastAsia" w:hAnsiTheme="minorHAnsi"/>
          </w:rPr>
          <m:t xml:space="preserve"> </m:t>
        </m:r>
        <m:r>
          <m:rPr>
            <m:sty m:val="p"/>
          </m:rPr>
          <w:rPr>
            <w:rFonts w:ascii="Cambria Math" w:eastAsiaTheme="minorEastAsia" w:hAnsi="Cambria Math"/>
          </w:rPr>
          <m:t xml:space="preserve"> </m:t>
        </m:r>
      </m:oMath>
      <w:r w:rsidRPr="00BC31E0">
        <w:rPr>
          <w:rFonts w:asciiTheme="minorHAnsi" w:eastAsiaTheme="minorEastAsia" w:hAnsiTheme="minorEastAsia"/>
          <w:bCs/>
        </w:rPr>
        <w:t>又は</w:t>
      </w:r>
      <w:r w:rsidR="00DE4C7D" w:rsidRPr="00BC31E0">
        <w:rPr>
          <w:rFonts w:asciiTheme="minorHAnsi" w:eastAsiaTheme="minorEastAsia" w:hAnsiTheme="minorHAnsi"/>
          <w:bCs/>
        </w:rPr>
        <w:t>19 mm</w:t>
      </w:r>
      <w:r w:rsidRPr="00BC31E0">
        <w:rPr>
          <w:rFonts w:asciiTheme="minorHAnsi" w:eastAsiaTheme="minorEastAsia" w:hAnsiTheme="minorEastAsia"/>
          <w:bCs/>
        </w:rPr>
        <w:t>のどちらか小さい方を超える指示模様を調査する。</w:t>
      </w:r>
      <m:oMath>
        <m:r>
          <w:rPr>
            <w:rFonts w:ascii="Cambria Math" w:eastAsiaTheme="minorEastAsia" w:hAnsi="Cambria Math"/>
          </w:rPr>
          <m:t>t</m:t>
        </m:r>
        <m:r>
          <w:rPr>
            <w:rFonts w:ascii="Cambria Math" w:eastAsiaTheme="minorEastAsia" w:hAnsiTheme="minorHAnsi"/>
          </w:rPr>
          <m:t xml:space="preserve">  </m:t>
        </m:r>
      </m:oMath>
      <w:r w:rsidRPr="00BC31E0">
        <w:rPr>
          <w:rFonts w:asciiTheme="minorHAnsi" w:eastAsiaTheme="minorEastAsia" w:hAnsiTheme="minorEastAsia"/>
          <w:bCs/>
        </w:rPr>
        <w:t>は，溶接部に隣接した材料の公称厚さである。</w:t>
      </w:r>
    </w:p>
    <w:p w14:paraId="3045AE4A" w14:textId="77777777" w:rsidR="00342321" w:rsidRPr="00BC31E0" w:rsidRDefault="00342321" w:rsidP="00736130">
      <w:pPr>
        <w:pStyle w:val="a4"/>
        <w:numPr>
          <w:ilvl w:val="0"/>
          <w:numId w:val="587"/>
        </w:numPr>
        <w:ind w:leftChars="0" w:left="738" w:hanging="454"/>
        <w:rPr>
          <w:rFonts w:ascii="ＭＳ 明朝" w:hAnsi="ＭＳ 明朝"/>
          <w:b/>
          <w:bCs/>
        </w:rPr>
      </w:pPr>
      <w:r w:rsidRPr="00BC31E0">
        <w:rPr>
          <w:rFonts w:asciiTheme="majorEastAsia" w:eastAsiaTheme="majorEastAsia" w:hAnsiTheme="majorEastAsia" w:hint="eastAsia"/>
          <w:b/>
        </w:rPr>
        <w:t>幾何学的形状</w:t>
      </w:r>
      <w:r w:rsidRPr="00BC31E0">
        <w:t xml:space="preserve">　</w:t>
      </w:r>
      <w:r w:rsidRPr="00BC31E0">
        <w:rPr>
          <w:rFonts w:ascii="ＭＳ 明朝" w:hAnsi="ＭＳ 明朝"/>
        </w:rPr>
        <w:t>幾何学的形状及び冶金的構造に起因する指示模様は</w:t>
      </w:r>
      <w:r w:rsidRPr="00BC31E0">
        <w:rPr>
          <w:rFonts w:ascii="ＭＳ 明朝" w:hAnsi="ＭＳ 明朝" w:hint="eastAsia"/>
        </w:rPr>
        <w:t>，</w:t>
      </w:r>
      <w:r w:rsidRPr="00BC31E0">
        <w:rPr>
          <w:rFonts w:ascii="ＭＳ 明朝" w:hAnsi="ＭＳ 明朝"/>
        </w:rPr>
        <w:t>次の</w:t>
      </w:r>
      <w:r w:rsidR="00320C9E" w:rsidRPr="00BC31E0">
        <w:rPr>
          <w:rFonts w:asciiTheme="majorEastAsia" w:eastAsiaTheme="majorEastAsia" w:hAnsiTheme="majorEastAsia" w:hint="eastAsia"/>
          <w:b/>
        </w:rPr>
        <w:t>2.1)</w:t>
      </w:r>
      <w:r w:rsidR="00320C9E" w:rsidRPr="00BC31E0">
        <w:rPr>
          <w:rFonts w:ascii="ＭＳ 明朝" w:hAnsi="ＭＳ 明朝" w:hint="eastAsia"/>
        </w:rPr>
        <w:t>～</w:t>
      </w:r>
      <w:r w:rsidR="00320C9E" w:rsidRPr="00BC31E0">
        <w:rPr>
          <w:rFonts w:asciiTheme="majorEastAsia" w:eastAsiaTheme="majorEastAsia" w:hAnsiTheme="majorEastAsia" w:hint="eastAsia"/>
          <w:b/>
        </w:rPr>
        <w:t>2.3)</w:t>
      </w:r>
      <w:r w:rsidR="00320C9E" w:rsidRPr="00BC31E0">
        <w:rPr>
          <w:rFonts w:ascii="ＭＳ 明朝" w:hAnsi="ＭＳ 明朝" w:hint="eastAsia"/>
        </w:rPr>
        <w:t>に</w:t>
      </w:r>
      <w:r w:rsidRPr="00BC31E0">
        <w:rPr>
          <w:rFonts w:ascii="ＭＳ 明朝" w:hAnsi="ＭＳ 明朝"/>
        </w:rPr>
        <w:t>分類する。</w:t>
      </w:r>
    </w:p>
    <w:p w14:paraId="7C3C260B" w14:textId="77777777" w:rsidR="00342321" w:rsidRPr="00BC31E0" w:rsidRDefault="00342321" w:rsidP="00736130">
      <w:pPr>
        <w:pStyle w:val="a4"/>
        <w:numPr>
          <w:ilvl w:val="0"/>
          <w:numId w:val="588"/>
        </w:numPr>
        <w:ind w:leftChars="0" w:left="1134" w:hanging="567"/>
        <w:rPr>
          <w:b/>
        </w:rPr>
      </w:pPr>
      <w:r w:rsidRPr="00BC31E0">
        <w:rPr>
          <w:rFonts w:hint="eastAsia"/>
        </w:rPr>
        <w:t>余盛又はルート部のような表面形状に起因する指示模様，又はクラッドのような冶金的構造に起因する指示模様は幾何学的指示模様として分類し，次のように処置する。</w:t>
      </w:r>
    </w:p>
    <w:p w14:paraId="2A8C7A0B" w14:textId="77777777" w:rsidR="00EE2D1E" w:rsidRPr="00BC31E0" w:rsidRDefault="00342321" w:rsidP="00736130">
      <w:pPr>
        <w:pStyle w:val="a4"/>
        <w:numPr>
          <w:ilvl w:val="0"/>
          <w:numId w:val="590"/>
        </w:numPr>
        <w:ind w:leftChars="0" w:left="1701" w:hanging="794"/>
        <w:rPr>
          <w:b/>
        </w:rPr>
      </w:pPr>
      <w:r w:rsidRPr="00BC31E0">
        <w:rPr>
          <w:rFonts w:hint="eastAsia"/>
        </w:rPr>
        <w:t>指示模様の特性を調査し，次の</w:t>
      </w:r>
      <w:r w:rsidRPr="00BC31E0">
        <w:rPr>
          <w:rFonts w:asciiTheme="majorEastAsia" w:eastAsiaTheme="majorEastAsia" w:hAnsiTheme="majorEastAsia" w:hint="eastAsia"/>
          <w:b/>
          <w:bCs/>
        </w:rPr>
        <w:t>3)</w:t>
      </w:r>
      <w:r w:rsidRPr="00BC31E0">
        <w:rPr>
          <w:rFonts w:hint="eastAsia"/>
        </w:rPr>
        <w:t>に従って寸法測定を行う必要はない。</w:t>
      </w:r>
    </w:p>
    <w:p w14:paraId="6A32D02F" w14:textId="77777777" w:rsidR="00EE2D1E" w:rsidRPr="00BC31E0" w:rsidRDefault="00342321" w:rsidP="00736130">
      <w:pPr>
        <w:pStyle w:val="a4"/>
        <w:numPr>
          <w:ilvl w:val="0"/>
          <w:numId w:val="590"/>
        </w:numPr>
        <w:ind w:leftChars="0" w:left="1701" w:hanging="794"/>
        <w:rPr>
          <w:b/>
        </w:rPr>
      </w:pPr>
      <w:r w:rsidRPr="00BC31E0">
        <w:rPr>
          <w:rFonts w:asciiTheme="majorEastAsia" w:eastAsiaTheme="majorEastAsia" w:hAnsiTheme="majorEastAsia" w:hint="eastAsia"/>
          <w:b/>
          <w:bCs/>
        </w:rPr>
        <w:t>表9.3.2</w:t>
      </w:r>
      <w:r w:rsidRPr="00BC31E0">
        <w:rPr>
          <w:rFonts w:ascii="ＭＳ 明朝" w:hAnsi="ＭＳ 明朝" w:hint="eastAsia"/>
        </w:rPr>
        <w:t>～</w:t>
      </w:r>
      <w:r w:rsidRPr="00BC31E0">
        <w:rPr>
          <w:rFonts w:asciiTheme="majorEastAsia" w:eastAsiaTheme="majorEastAsia" w:hAnsiTheme="majorEastAsia" w:hint="eastAsia"/>
          <w:b/>
          <w:bCs/>
        </w:rPr>
        <w:t>表9.3.27</w:t>
      </w:r>
      <w:r w:rsidRPr="00BC31E0">
        <w:rPr>
          <w:rFonts w:hint="eastAsia"/>
        </w:rPr>
        <w:t>に示す許容きず寸法と比較する必要はない。</w:t>
      </w:r>
    </w:p>
    <w:p w14:paraId="3A699343" w14:textId="77777777" w:rsidR="00342321" w:rsidRPr="00BC31E0" w:rsidRDefault="00342321" w:rsidP="00736130">
      <w:pPr>
        <w:pStyle w:val="a4"/>
        <w:numPr>
          <w:ilvl w:val="0"/>
          <w:numId w:val="590"/>
        </w:numPr>
        <w:ind w:leftChars="0" w:left="1701" w:hanging="794"/>
        <w:rPr>
          <w:b/>
        </w:rPr>
      </w:pPr>
      <w:r w:rsidRPr="00BC31E0">
        <w:rPr>
          <w:rFonts w:hint="eastAsia"/>
        </w:rPr>
        <w:t>最大エコー高さ及び位置を記録する。例えば，内部取付け部，最大エコー高さ</w:t>
      </w:r>
      <w:r w:rsidRPr="00BC31E0">
        <w:rPr>
          <w:rFonts w:asciiTheme="minorHAnsi" w:hAnsiTheme="minorHAnsi"/>
        </w:rPr>
        <w:t>DAC(</w:t>
      </w:r>
      <w:r w:rsidRPr="00BC31E0">
        <w:rPr>
          <w:rFonts w:hint="eastAsia"/>
        </w:rPr>
        <w:t>距離振幅特性曲線</w:t>
      </w:r>
      <w:r w:rsidRPr="00BC31E0">
        <w:rPr>
          <w:rFonts w:hint="eastAsia"/>
        </w:rPr>
        <w:t>)</w:t>
      </w:r>
      <w:r w:rsidRPr="00BC31E0">
        <w:rPr>
          <w:rFonts w:hint="eastAsia"/>
        </w:rPr>
        <w:t>の</w:t>
      </w:r>
      <w:r w:rsidR="00DE595F" w:rsidRPr="00BC31E0">
        <w:rPr>
          <w:rFonts w:asciiTheme="minorHAnsi" w:hAnsiTheme="minorHAnsi"/>
        </w:rPr>
        <w:t>200%</w:t>
      </w:r>
      <w:r w:rsidRPr="00BC31E0">
        <w:rPr>
          <w:rFonts w:hint="eastAsia"/>
        </w:rPr>
        <w:t>，溶接中心線から</w:t>
      </w:r>
      <w:r w:rsidR="00DE595F" w:rsidRPr="00BC31E0">
        <w:rPr>
          <w:rFonts w:asciiTheme="minorHAnsi" w:hAnsiTheme="minorHAnsi"/>
        </w:rPr>
        <w:t>25 mm</w:t>
      </w:r>
      <w:r w:rsidRPr="00BC31E0">
        <w:rPr>
          <w:rFonts w:hint="eastAsia"/>
        </w:rPr>
        <w:t>，内表面，</w:t>
      </w:r>
      <w:r w:rsidR="00DE595F" w:rsidRPr="00BC31E0">
        <w:rPr>
          <w:rFonts w:asciiTheme="minorHAnsi" w:hAnsiTheme="minorHAnsi"/>
        </w:rPr>
        <w:t>90°</w:t>
      </w:r>
      <w:r w:rsidRPr="00BC31E0">
        <w:t>～</w:t>
      </w:r>
      <w:r w:rsidR="00DE595F" w:rsidRPr="00BC31E0">
        <w:rPr>
          <w:rFonts w:asciiTheme="minorHAnsi" w:hAnsiTheme="minorHAnsi"/>
        </w:rPr>
        <w:t>9</w:t>
      </w:r>
      <w:r w:rsidR="00DE595F" w:rsidRPr="00BC31E0">
        <w:rPr>
          <w:rFonts w:asciiTheme="minorHAnsi" w:hAnsiTheme="minorHAnsi" w:hint="eastAsia"/>
        </w:rPr>
        <w:t>5</w:t>
      </w:r>
      <w:r w:rsidR="00DE595F" w:rsidRPr="00BC31E0">
        <w:rPr>
          <w:rFonts w:asciiTheme="minorHAnsi" w:hAnsiTheme="minorHAnsi"/>
        </w:rPr>
        <w:t>°</w:t>
      </w:r>
      <w:r w:rsidRPr="00BC31E0">
        <w:rPr>
          <w:rFonts w:hint="eastAsia"/>
        </w:rPr>
        <w:t>など。</w:t>
      </w:r>
    </w:p>
    <w:p w14:paraId="7F43324D" w14:textId="77777777" w:rsidR="00342321" w:rsidRPr="00BC31E0" w:rsidRDefault="00342321" w:rsidP="00736130">
      <w:pPr>
        <w:pStyle w:val="a4"/>
        <w:numPr>
          <w:ilvl w:val="0"/>
          <w:numId w:val="346"/>
        </w:numPr>
        <w:ind w:leftChars="0" w:left="1134" w:hanging="567"/>
      </w:pPr>
      <w:r w:rsidRPr="00BC31E0">
        <w:rPr>
          <w:rFonts w:hint="eastAsia"/>
        </w:rPr>
        <w:t>次の手順に従って，指示模様を幾何学的形状に起因する</w:t>
      </w:r>
      <w:r w:rsidR="008946DA" w:rsidRPr="00BC31E0">
        <w:rPr>
          <w:rFonts w:hint="eastAsia"/>
        </w:rPr>
        <w:t>指示模様と判定する</w:t>
      </w:r>
      <w:r w:rsidRPr="00BC31E0">
        <w:rPr>
          <w:rFonts w:hint="eastAsia"/>
        </w:rPr>
        <w:t>。</w:t>
      </w:r>
    </w:p>
    <w:p w14:paraId="4FEDA051" w14:textId="77777777" w:rsidR="00342321" w:rsidRPr="00BC31E0" w:rsidRDefault="00342321" w:rsidP="00736130">
      <w:pPr>
        <w:pStyle w:val="a4"/>
        <w:numPr>
          <w:ilvl w:val="0"/>
          <w:numId w:val="221"/>
        </w:numPr>
        <w:ind w:leftChars="0" w:left="1701" w:hanging="794"/>
      </w:pPr>
      <w:r w:rsidRPr="00BC31E0">
        <w:rPr>
          <w:rFonts w:hint="eastAsia"/>
        </w:rPr>
        <w:t>適用される超音波探傷試験要領書に従って，反射体が存在する領域を求める。</w:t>
      </w:r>
    </w:p>
    <w:p w14:paraId="6A2C3670" w14:textId="77777777" w:rsidR="00342321" w:rsidRPr="00BC31E0" w:rsidRDefault="00342321" w:rsidP="00736130">
      <w:pPr>
        <w:pStyle w:val="a4"/>
        <w:numPr>
          <w:ilvl w:val="0"/>
          <w:numId w:val="221"/>
        </w:numPr>
        <w:ind w:leftChars="0" w:left="1701" w:hanging="794"/>
      </w:pPr>
      <w:r w:rsidRPr="00BC31E0">
        <w:rPr>
          <w:rFonts w:hint="eastAsia"/>
        </w:rPr>
        <w:t>反射体の位置及びルート部やボルト穴のような位置を断面図に描きながら，反射体が存在する領域を求める。</w:t>
      </w:r>
    </w:p>
    <w:p w14:paraId="3D315FEC" w14:textId="77777777" w:rsidR="00342321" w:rsidRPr="00BC31E0" w:rsidRDefault="00342321" w:rsidP="00736130">
      <w:pPr>
        <w:pStyle w:val="a4"/>
        <w:numPr>
          <w:ilvl w:val="0"/>
          <w:numId w:val="221"/>
        </w:numPr>
        <w:ind w:leftChars="0" w:left="1701" w:hanging="794"/>
      </w:pPr>
      <w:r w:rsidRPr="00BC31E0">
        <w:rPr>
          <w:rFonts w:hint="eastAsia"/>
        </w:rPr>
        <w:t>製作図又は溶接開先図で確認する。</w:t>
      </w:r>
    </w:p>
    <w:p w14:paraId="2A39B687" w14:textId="77777777" w:rsidR="00342321" w:rsidRPr="00BC31E0" w:rsidRDefault="00342321" w:rsidP="00736130">
      <w:pPr>
        <w:pStyle w:val="a4"/>
        <w:numPr>
          <w:ilvl w:val="0"/>
          <w:numId w:val="589"/>
        </w:numPr>
        <w:ind w:leftChars="0" w:left="1134" w:hanging="567"/>
        <w:rPr>
          <w:b/>
        </w:rPr>
      </w:pPr>
      <w:r w:rsidRPr="00BC31E0">
        <w:rPr>
          <w:rFonts w:hint="eastAsia"/>
        </w:rPr>
        <w:t>指示模様を幾何学的形状に起因する</w:t>
      </w:r>
      <w:r w:rsidR="00B32211" w:rsidRPr="00BC31E0">
        <w:rPr>
          <w:rFonts w:hint="eastAsia"/>
        </w:rPr>
        <w:t>指示模様</w:t>
      </w:r>
      <w:r w:rsidRPr="00BC31E0">
        <w:rPr>
          <w:rFonts w:hint="eastAsia"/>
        </w:rPr>
        <w:t>と分類するために，他の角度の超音波探傷試験や放射線透過試験など，他の非破壊検査技術や手法を用いてもよい。</w:t>
      </w:r>
    </w:p>
    <w:p w14:paraId="031C3210" w14:textId="77777777" w:rsidR="00342321" w:rsidRPr="00BC31E0" w:rsidRDefault="00342321" w:rsidP="00736130">
      <w:pPr>
        <w:pStyle w:val="a4"/>
        <w:numPr>
          <w:ilvl w:val="0"/>
          <w:numId w:val="587"/>
        </w:numPr>
        <w:ind w:leftChars="0" w:left="738" w:hanging="454"/>
        <w:rPr>
          <w:b/>
          <w:bCs/>
        </w:rPr>
      </w:pPr>
      <w:r w:rsidRPr="00BC31E0">
        <w:rPr>
          <w:rFonts w:asciiTheme="majorEastAsia" w:eastAsiaTheme="majorEastAsia" w:hAnsiTheme="majorEastAsia" w:hint="eastAsia"/>
          <w:b/>
        </w:rPr>
        <w:t>きず寸法の測定</w:t>
      </w:r>
      <w:r w:rsidRPr="00BC31E0">
        <w:t xml:space="preserve">　きず寸法の測定は，類似した</w:t>
      </w:r>
      <w:r w:rsidRPr="00BC31E0">
        <w:rPr>
          <w:rFonts w:hint="eastAsia"/>
        </w:rPr>
        <w:t>材料</w:t>
      </w:r>
      <w:r w:rsidRPr="00BC31E0">
        <w:t>深さで，類似したきずに対して適格性が実証された測定要領に従って行わなければならない。なお，</w:t>
      </w:r>
      <w:r w:rsidRPr="00BC31E0">
        <w:rPr>
          <w:rFonts w:asciiTheme="majorEastAsia" w:eastAsiaTheme="majorEastAsia" w:hAnsiTheme="majorEastAsia"/>
          <w:b/>
        </w:rPr>
        <w:t>9.3.2 c)</w:t>
      </w:r>
      <w:r w:rsidRPr="00BC31E0">
        <w:t>に従って適格性が実証されている場合には，補足的に手探傷により</w:t>
      </w:r>
      <w:r w:rsidRPr="00BC31E0">
        <w:rPr>
          <w:rFonts w:hint="eastAsia"/>
        </w:rPr>
        <w:t>きず</w:t>
      </w:r>
      <w:r w:rsidRPr="00BC31E0">
        <w:t>寸法を測定してもよい。きず寸法は</w:t>
      </w:r>
      <w:r w:rsidRPr="00BC31E0">
        <w:rPr>
          <w:rFonts w:hint="eastAsia"/>
        </w:rPr>
        <w:t>次により</w:t>
      </w:r>
      <w:r w:rsidRPr="00BC31E0">
        <w:t>，きずを内包する長方形として求める</w:t>
      </w:r>
      <w:r w:rsidRPr="00BC31E0">
        <w:rPr>
          <w:rFonts w:asciiTheme="minorHAnsi" w:hAnsiTheme="minorHAnsi"/>
        </w:rPr>
        <w:t>(</w:t>
      </w:r>
      <w:r w:rsidRPr="00BC31E0">
        <w:rPr>
          <w:rFonts w:asciiTheme="majorEastAsia" w:eastAsiaTheme="majorEastAsia" w:hAnsiTheme="majorEastAsia"/>
          <w:b/>
        </w:rPr>
        <w:t>図9.3.2</w:t>
      </w:r>
      <w:r w:rsidRPr="00BC31E0">
        <w:t>～</w:t>
      </w:r>
      <w:r w:rsidRPr="00BC31E0">
        <w:rPr>
          <w:rFonts w:asciiTheme="majorEastAsia" w:eastAsiaTheme="majorEastAsia" w:hAnsiTheme="majorEastAsia"/>
          <w:b/>
        </w:rPr>
        <w:t>図9.3.6</w:t>
      </w:r>
      <w:r w:rsidRPr="00BC31E0">
        <w:rPr>
          <w:rFonts w:hint="eastAsia"/>
        </w:rPr>
        <w:t>を参</w:t>
      </w:r>
      <w:r w:rsidRPr="00BC31E0">
        <w:t>照</w:t>
      </w:r>
      <w:r w:rsidRPr="00BC31E0">
        <w:rPr>
          <w:rFonts w:asciiTheme="minorHAnsi" w:hAnsiTheme="minorHAnsi"/>
        </w:rPr>
        <w:t>)</w:t>
      </w:r>
      <w:r w:rsidRPr="00BC31E0">
        <w:t>。</w:t>
      </w:r>
    </w:p>
    <w:p w14:paraId="6BB93B32" w14:textId="77777777" w:rsidR="00DE595F" w:rsidRPr="00BC31E0" w:rsidRDefault="00342321" w:rsidP="00736130">
      <w:pPr>
        <w:pStyle w:val="a4"/>
        <w:numPr>
          <w:ilvl w:val="0"/>
          <w:numId w:val="347"/>
        </w:numPr>
        <w:ind w:leftChars="0" w:left="1134" w:hanging="567"/>
        <w:rPr>
          <w:rFonts w:hAnsiTheme="minorHAnsi"/>
        </w:rPr>
      </w:pPr>
      <w:r w:rsidRPr="00BC31E0">
        <w:t>きずの長さ</w:t>
      </w:r>
      <w:r w:rsidRPr="00BC31E0">
        <w:rPr>
          <w:rFonts w:hAnsiTheme="minorHAnsi"/>
        </w:rPr>
        <w:t>(</w:t>
      </w:r>
      <m:oMath>
        <m:r>
          <w:rPr>
            <w:rFonts w:ascii="Cambria Math" w:hAnsi="Cambria Math"/>
          </w:rPr>
          <m:t>l</m:t>
        </m:r>
      </m:oMath>
      <w:r w:rsidRPr="00BC31E0">
        <w:rPr>
          <w:rFonts w:hAnsiTheme="minorHAnsi"/>
        </w:rPr>
        <w:t>)</w:t>
      </w:r>
      <w:r w:rsidRPr="00BC31E0">
        <w:t>は，</w:t>
      </w:r>
      <w:bookmarkStart w:id="106" w:name="OLE_LINK1"/>
      <w:r w:rsidRPr="00BC31E0">
        <w:t>内圧を受ける内表面に対して</w:t>
      </w:r>
      <w:bookmarkEnd w:id="106"/>
      <w:r w:rsidRPr="00BC31E0">
        <w:t>平行な長さである。</w:t>
      </w:r>
    </w:p>
    <w:p w14:paraId="3C20CD86" w14:textId="77777777" w:rsidR="00342321" w:rsidRPr="00BC31E0" w:rsidRDefault="00342321" w:rsidP="00736130">
      <w:pPr>
        <w:pStyle w:val="a4"/>
        <w:numPr>
          <w:ilvl w:val="0"/>
          <w:numId w:val="347"/>
        </w:numPr>
        <w:ind w:leftChars="0" w:left="1134" w:hanging="567"/>
        <w:rPr>
          <w:rFonts w:hAnsiTheme="minorHAnsi"/>
        </w:rPr>
      </w:pPr>
      <w:r w:rsidRPr="00BC31E0">
        <w:rPr>
          <w:rFonts w:asciiTheme="minorHAnsi" w:eastAsiaTheme="minorEastAsia" w:hAnsiTheme="minorEastAsia"/>
          <w:bCs/>
        </w:rPr>
        <w:t>きずの高さは，内圧を受ける内表面に対して垂直な長さであり，表面きずの場合には</w:t>
      </w:r>
      <m:oMath>
        <m:r>
          <m:rPr>
            <m:sty m:val="p"/>
          </m:rPr>
          <w:rPr>
            <w:rFonts w:ascii="Cambria Math" w:eastAsiaTheme="minorEastAsia" w:hAnsiTheme="minorHAnsi"/>
          </w:rPr>
          <m:t xml:space="preserve"> </m:t>
        </m:r>
        <m:r>
          <w:rPr>
            <w:rFonts w:ascii="Cambria Math" w:eastAsiaTheme="minorEastAsia" w:hAnsi="Cambria Math"/>
          </w:rPr>
          <m:t>a</m:t>
        </m:r>
      </m:oMath>
      <w:r w:rsidRPr="00BC31E0">
        <w:rPr>
          <w:rFonts w:asciiTheme="minorHAnsi" w:eastAsiaTheme="minorEastAsia" w:hAnsiTheme="minorEastAsia"/>
          <w:bCs/>
        </w:rPr>
        <w:t>，内部きずの場合には</w:t>
      </w:r>
      <m:oMath>
        <m:r>
          <m:rPr>
            <m:sty m:val="p"/>
          </m:rPr>
          <w:rPr>
            <w:rFonts w:ascii="Cambria Math" w:eastAsiaTheme="minorEastAsia" w:hAnsiTheme="minorHAnsi"/>
          </w:rPr>
          <m:t xml:space="preserve"> </m:t>
        </m:r>
        <m:r>
          <w:rPr>
            <w:rFonts w:ascii="Cambria Math" w:eastAsiaTheme="minorEastAsia" w:hAnsi="Cambria Math"/>
          </w:rPr>
          <m:t>2</m:t>
        </m:r>
        <m:r>
          <w:rPr>
            <w:rFonts w:ascii="Cambria Math" w:eastAsiaTheme="minorEastAsia" w:hAnsiTheme="minorHAnsi"/>
          </w:rPr>
          <m:t xml:space="preserve"> </m:t>
        </m:r>
        <m:r>
          <w:rPr>
            <w:rFonts w:ascii="Cambria Math" w:eastAsiaTheme="minorEastAsia" w:hAnsi="Cambria Math"/>
          </w:rPr>
          <m:t>a</m:t>
        </m:r>
        <m:r>
          <w:rPr>
            <w:rFonts w:ascii="Cambria Math" w:eastAsiaTheme="minorEastAsia" w:hAnsiTheme="minorHAnsi"/>
          </w:rPr>
          <m:t xml:space="preserve"> </m:t>
        </m:r>
      </m:oMath>
      <w:r w:rsidRPr="00BC31E0">
        <w:rPr>
          <w:rFonts w:asciiTheme="minorHAnsi" w:eastAsiaTheme="minorEastAsia" w:hAnsiTheme="minorEastAsia"/>
          <w:bCs/>
        </w:rPr>
        <w:t>とする。</w:t>
      </w:r>
    </w:p>
    <w:p w14:paraId="51796EDC" w14:textId="77777777" w:rsidR="00342321" w:rsidRPr="00BC31E0" w:rsidRDefault="00342321" w:rsidP="002C266F">
      <w:pPr>
        <w:pStyle w:val="3"/>
        <w:tabs>
          <w:tab w:val="clear" w:pos="284"/>
        </w:tabs>
        <w:ind w:left="794" w:hanging="794"/>
      </w:pPr>
      <w:r w:rsidRPr="00BC31E0">
        <w:rPr>
          <w:rFonts w:hint="eastAsia"/>
        </w:rPr>
        <w:t>適格性確認試験体(Qブロック)の要求事項</w:t>
      </w:r>
    </w:p>
    <w:p w14:paraId="3A9EDE51" w14:textId="77777777" w:rsidR="00342321" w:rsidRPr="00BC31E0" w:rsidRDefault="00342321" w:rsidP="00194CEC">
      <w:pPr>
        <w:pStyle w:val="1110"/>
        <w:ind w:firstLine="210"/>
      </w:pPr>
      <w:r w:rsidRPr="00BC31E0">
        <w:rPr>
          <w:rFonts w:hint="eastAsia"/>
        </w:rPr>
        <w:t>Q</w:t>
      </w:r>
      <w:r w:rsidRPr="00BC31E0">
        <w:rPr>
          <w:rFonts w:hint="eastAsia"/>
        </w:rPr>
        <w:t>ブロックは，次の</w:t>
      </w:r>
      <w:r w:rsidRPr="00BC31E0">
        <w:rPr>
          <w:rFonts w:asciiTheme="majorEastAsia" w:eastAsiaTheme="majorEastAsia" w:hAnsiTheme="majorEastAsia" w:hint="eastAsia"/>
          <w:b/>
        </w:rPr>
        <w:t>a)</w:t>
      </w:r>
      <w:r w:rsidRPr="00BC31E0">
        <w:rPr>
          <w:rFonts w:hint="eastAsia"/>
        </w:rPr>
        <w:t>～</w:t>
      </w:r>
      <w:r w:rsidRPr="00BC31E0">
        <w:rPr>
          <w:rFonts w:asciiTheme="majorEastAsia" w:eastAsiaTheme="majorEastAsia" w:hAnsiTheme="majorEastAsia" w:hint="eastAsia"/>
          <w:b/>
        </w:rPr>
        <w:t>e)</w:t>
      </w:r>
      <w:r w:rsidRPr="00BC31E0">
        <w:rPr>
          <w:rFonts w:hint="eastAsia"/>
        </w:rPr>
        <w:t>の要求事項を満たさなければならない。</w:t>
      </w:r>
    </w:p>
    <w:p w14:paraId="7BC38E95" w14:textId="77777777" w:rsidR="002C266F" w:rsidRPr="00BC31E0" w:rsidRDefault="00342321" w:rsidP="00736130">
      <w:pPr>
        <w:pStyle w:val="a4"/>
        <w:numPr>
          <w:ilvl w:val="0"/>
          <w:numId w:val="592"/>
        </w:numPr>
        <w:ind w:leftChars="0" w:left="454" w:hanging="454"/>
        <w:rPr>
          <w:rFonts w:hAnsiTheme="minorHAnsi"/>
          <w:b/>
        </w:rPr>
      </w:pPr>
      <w:r w:rsidRPr="00BC31E0">
        <w:rPr>
          <w:rFonts w:hAnsiTheme="minorHAnsi"/>
        </w:rPr>
        <w:t xml:space="preserve">Q </w:t>
      </w:r>
      <w:r w:rsidRPr="00BC31E0">
        <w:t>ブロックには，少なくても</w:t>
      </w:r>
      <w:r w:rsidRPr="00BC31E0">
        <w:rPr>
          <w:rFonts w:hAnsiTheme="minorHAnsi"/>
        </w:rPr>
        <w:t>3</w:t>
      </w:r>
      <w:r w:rsidRPr="00BC31E0">
        <w:t>個の平面きずを含める。少なくとも</w:t>
      </w:r>
      <w:r w:rsidRPr="00BC31E0">
        <w:rPr>
          <w:rFonts w:hAnsiTheme="minorHAnsi"/>
        </w:rPr>
        <w:t>2</w:t>
      </w:r>
      <w:r w:rsidRPr="00BC31E0">
        <w:t>個の内部きずは，溶接開先角度の</w:t>
      </w:r>
      <w:r w:rsidR="00194CEC" w:rsidRPr="00BC31E0">
        <w:rPr>
          <w:rFonts w:ascii="Cambria Math" w:hAnsi="Cambria Math"/>
        </w:rPr>
        <w:t>±</w:t>
      </w:r>
      <w:r w:rsidR="00194CEC" w:rsidRPr="00BC31E0">
        <w:rPr>
          <w:rFonts w:hAnsiTheme="minorHAnsi"/>
        </w:rPr>
        <w:t>10°</w:t>
      </w:r>
      <w:r w:rsidRPr="00BC31E0">
        <w:t>以内で作成する。きずの</w:t>
      </w:r>
      <w:r w:rsidRPr="00BC31E0">
        <w:rPr>
          <w:rFonts w:hAnsiTheme="minorHAnsi"/>
        </w:rPr>
        <w:t>1</w:t>
      </w:r>
      <w:r w:rsidRPr="00BC31E0">
        <w:t>個は，外面側のきずを模擬して，</w:t>
      </w:r>
      <w:r w:rsidRPr="00BC31E0">
        <w:rPr>
          <w:rFonts w:hAnsiTheme="minorHAnsi"/>
        </w:rPr>
        <w:t xml:space="preserve">Q </w:t>
      </w:r>
      <w:r w:rsidRPr="00BC31E0">
        <w:t>ブロックの上部</w:t>
      </w:r>
      <w:r w:rsidR="00194CEC" w:rsidRPr="00BC31E0">
        <w:rPr>
          <w:rFonts w:hAnsiTheme="minorHAnsi"/>
        </w:rPr>
        <w:t>1/3</w:t>
      </w:r>
      <w:r w:rsidRPr="00BC31E0">
        <w:t>の領域の中央付近に作成する。きずの</w:t>
      </w:r>
      <w:r w:rsidRPr="00BC31E0">
        <w:rPr>
          <w:rFonts w:hAnsiTheme="minorHAnsi"/>
        </w:rPr>
        <w:t>1</w:t>
      </w:r>
      <w:r w:rsidRPr="00BC31E0">
        <w:t>個は，</w:t>
      </w:r>
      <w:r w:rsidRPr="00BC31E0">
        <w:rPr>
          <w:rFonts w:hAnsiTheme="minorHAnsi"/>
        </w:rPr>
        <w:t xml:space="preserve">Q </w:t>
      </w:r>
      <w:r w:rsidRPr="00BC31E0">
        <w:t>ブロックの厚さの中央付近に作</w:t>
      </w:r>
      <w:r w:rsidRPr="00BC31E0">
        <w:lastRenderedPageBreak/>
        <w:t>成する。きずの</w:t>
      </w:r>
      <w:r w:rsidRPr="00BC31E0">
        <w:rPr>
          <w:rFonts w:hAnsiTheme="minorHAnsi"/>
        </w:rPr>
        <w:t>1</w:t>
      </w:r>
      <w:r w:rsidRPr="00BC31E0">
        <w:t>個は，内面側のきずを模擬して，</w:t>
      </w:r>
      <w:r w:rsidRPr="00BC31E0">
        <w:rPr>
          <w:rFonts w:hAnsiTheme="minorHAnsi"/>
        </w:rPr>
        <w:t xml:space="preserve">Q </w:t>
      </w:r>
      <w:r w:rsidRPr="00BC31E0">
        <w:t>ブロックの下部</w:t>
      </w:r>
      <w:r w:rsidR="00194CEC" w:rsidRPr="00BC31E0">
        <w:rPr>
          <w:rFonts w:hAnsiTheme="minorHAnsi"/>
        </w:rPr>
        <w:t>1/3</w:t>
      </w:r>
      <w:r w:rsidRPr="00BC31E0">
        <w:t>の領域の中央付近に作成する。</w:t>
      </w:r>
    </w:p>
    <w:p w14:paraId="1841DD12" w14:textId="77777777" w:rsidR="002C266F" w:rsidRPr="00BC31E0" w:rsidRDefault="00342321" w:rsidP="00736130">
      <w:pPr>
        <w:pStyle w:val="a4"/>
        <w:numPr>
          <w:ilvl w:val="0"/>
          <w:numId w:val="592"/>
        </w:numPr>
        <w:ind w:leftChars="0" w:left="454" w:hanging="454"/>
        <w:rPr>
          <w:rFonts w:hAnsiTheme="minorHAnsi"/>
          <w:b/>
        </w:rPr>
      </w:pPr>
      <w:r w:rsidRPr="00BC31E0">
        <w:rPr>
          <w:rFonts w:hint="eastAsia"/>
          <w:bCs/>
        </w:rPr>
        <w:t xml:space="preserve">Q </w:t>
      </w:r>
      <w:r w:rsidRPr="00BC31E0">
        <w:rPr>
          <w:rFonts w:hint="eastAsia"/>
          <w:bCs/>
        </w:rPr>
        <w:t>ブロックの材料は，</w:t>
      </w:r>
      <w:r w:rsidRPr="00BC31E0">
        <w:rPr>
          <w:rFonts w:asciiTheme="majorEastAsia" w:eastAsiaTheme="majorEastAsia" w:hAnsiTheme="majorEastAsia" w:hint="eastAsia"/>
          <w:b/>
        </w:rPr>
        <w:t>JIS B 8285 付表1</w:t>
      </w:r>
      <w:r w:rsidRPr="00BC31E0">
        <w:rPr>
          <w:rFonts w:hint="eastAsia"/>
          <w:bCs/>
        </w:rPr>
        <w:t>の実容器材料と同等の</w:t>
      </w:r>
      <w:r w:rsidRPr="00BC31E0">
        <w:rPr>
          <w:rFonts w:hint="eastAsia"/>
          <w:bCs/>
        </w:rPr>
        <w:t>P</w:t>
      </w:r>
      <w:r w:rsidRPr="00BC31E0">
        <w:rPr>
          <w:rFonts w:hint="eastAsia"/>
          <w:bCs/>
        </w:rPr>
        <w:t>番号とする。</w:t>
      </w:r>
    </w:p>
    <w:p w14:paraId="31CAC798" w14:textId="77777777" w:rsidR="002C266F" w:rsidRPr="00BC31E0" w:rsidRDefault="00342321" w:rsidP="00736130">
      <w:pPr>
        <w:pStyle w:val="a4"/>
        <w:numPr>
          <w:ilvl w:val="0"/>
          <w:numId w:val="592"/>
        </w:numPr>
        <w:ind w:leftChars="0" w:left="454" w:hanging="454"/>
        <w:rPr>
          <w:rFonts w:hAnsiTheme="minorHAnsi"/>
          <w:b/>
        </w:rPr>
      </w:pPr>
      <w:r w:rsidRPr="00BC31E0">
        <w:rPr>
          <w:rFonts w:hint="eastAsia"/>
          <w:bCs/>
        </w:rPr>
        <w:t xml:space="preserve">Q </w:t>
      </w:r>
      <w:r w:rsidRPr="00BC31E0">
        <w:rPr>
          <w:rFonts w:hint="eastAsia"/>
          <w:bCs/>
        </w:rPr>
        <w:t>ブロックの厚さは，圧力容器として検査される最も厚い溶接部の最終実測厚さの</w:t>
      </w:r>
      <w:r w:rsidR="00194CEC" w:rsidRPr="00BC31E0">
        <w:rPr>
          <w:rFonts w:ascii="Cambria Math" w:hAnsi="Cambria Math"/>
          <w:bCs/>
        </w:rPr>
        <w:t>±</w:t>
      </w:r>
      <w:r w:rsidR="00194CEC" w:rsidRPr="00BC31E0">
        <w:rPr>
          <w:rFonts w:hint="eastAsia"/>
          <w:bCs/>
        </w:rPr>
        <w:t>25%</w:t>
      </w:r>
      <w:r w:rsidRPr="00BC31E0">
        <w:rPr>
          <w:rFonts w:hint="eastAsia"/>
          <w:bCs/>
        </w:rPr>
        <w:t>以内とする。</w:t>
      </w:r>
    </w:p>
    <w:p w14:paraId="4B57D3B5" w14:textId="77777777" w:rsidR="002C266F" w:rsidRPr="00BC31E0" w:rsidRDefault="00342321" w:rsidP="00736130">
      <w:pPr>
        <w:pStyle w:val="a4"/>
        <w:numPr>
          <w:ilvl w:val="0"/>
          <w:numId w:val="592"/>
        </w:numPr>
        <w:ind w:leftChars="0" w:left="454" w:hanging="454"/>
        <w:rPr>
          <w:rFonts w:hAnsiTheme="minorHAnsi"/>
          <w:b/>
        </w:rPr>
      </w:pPr>
      <w:r w:rsidRPr="00BC31E0">
        <w:rPr>
          <w:rFonts w:hint="eastAsia"/>
          <w:bCs/>
        </w:rPr>
        <w:t xml:space="preserve">Q </w:t>
      </w:r>
      <w:r w:rsidRPr="00BC31E0">
        <w:rPr>
          <w:rFonts w:hint="eastAsia"/>
          <w:bCs/>
        </w:rPr>
        <w:t>ブロックに埋込まれる平面きず</w:t>
      </w:r>
      <w:r w:rsidRPr="00BC31E0">
        <w:rPr>
          <w:rFonts w:hint="eastAsia"/>
          <w:bCs/>
        </w:rPr>
        <w:t>(</w:t>
      </w:r>
      <w:r w:rsidRPr="00BC31E0">
        <w:rPr>
          <w:rFonts w:hint="eastAsia"/>
          <w:bCs/>
        </w:rPr>
        <w:t>開口きず</w:t>
      </w:r>
      <w:r w:rsidRPr="00BC31E0">
        <w:rPr>
          <w:rFonts w:hint="eastAsia"/>
          <w:bCs/>
        </w:rPr>
        <w:t>)</w:t>
      </w:r>
      <w:r w:rsidRPr="00BC31E0">
        <w:rPr>
          <w:rFonts w:hint="eastAsia"/>
          <w:bCs/>
        </w:rPr>
        <w:t>は，自然きず又は人工きずのいずれでもよいが，きずの位置，方向，反射面積が明確になっていなければならない。</w:t>
      </w:r>
    </w:p>
    <w:p w14:paraId="03619728" w14:textId="77777777" w:rsidR="00342321" w:rsidRPr="00BC31E0" w:rsidRDefault="00342321" w:rsidP="00736130">
      <w:pPr>
        <w:pStyle w:val="a4"/>
        <w:numPr>
          <w:ilvl w:val="0"/>
          <w:numId w:val="592"/>
        </w:numPr>
        <w:ind w:leftChars="0" w:left="454" w:hanging="454"/>
        <w:rPr>
          <w:rFonts w:hAnsiTheme="minorHAnsi"/>
          <w:b/>
        </w:rPr>
      </w:pPr>
      <w:r w:rsidRPr="00BC31E0">
        <w:rPr>
          <w:rFonts w:hint="eastAsia"/>
          <w:bCs/>
        </w:rPr>
        <w:t xml:space="preserve">Q </w:t>
      </w:r>
      <w:r w:rsidRPr="00BC31E0">
        <w:rPr>
          <w:rFonts w:hint="eastAsia"/>
          <w:bCs/>
        </w:rPr>
        <w:t>ブロックに埋込むきず寸法は，</w:t>
      </w:r>
      <w:r w:rsidRPr="00BC31E0">
        <w:rPr>
          <w:rFonts w:asciiTheme="majorEastAsia" w:eastAsiaTheme="majorEastAsia" w:hAnsiTheme="majorEastAsia" w:hint="eastAsia"/>
          <w:b/>
        </w:rPr>
        <w:t>9.3.6 c)</w:t>
      </w:r>
      <w:r w:rsidRPr="00BC31E0">
        <w:rPr>
          <w:rFonts w:hint="eastAsia"/>
          <w:bCs/>
        </w:rPr>
        <w:t>に示す超音波探傷試験の対象厚さに対する判定基準の許容寸法を超え</w:t>
      </w:r>
      <w:r w:rsidR="00E85B70" w:rsidRPr="00BC31E0">
        <w:rPr>
          <w:rFonts w:hint="eastAsia"/>
          <w:bCs/>
        </w:rPr>
        <w:t>てはならない</w:t>
      </w:r>
      <w:r w:rsidRPr="00BC31E0">
        <w:rPr>
          <w:rFonts w:hint="eastAsia"/>
          <w:bCs/>
        </w:rPr>
        <w:t>。</w:t>
      </w:r>
    </w:p>
    <w:p w14:paraId="51F0892F" w14:textId="77777777" w:rsidR="00342321" w:rsidRPr="00BC31E0" w:rsidRDefault="00342321" w:rsidP="007F730C">
      <w:pPr>
        <w:pStyle w:val="3"/>
        <w:tabs>
          <w:tab w:val="clear" w:pos="284"/>
        </w:tabs>
        <w:ind w:left="794" w:hanging="794"/>
      </w:pPr>
      <w:r w:rsidRPr="00BC31E0">
        <w:rPr>
          <w:rFonts w:hint="eastAsia"/>
        </w:rPr>
        <w:t>溶接開先面の試験</w:t>
      </w:r>
    </w:p>
    <w:p w14:paraId="13CBBDFF" w14:textId="77777777" w:rsidR="00342321" w:rsidRPr="00BC31E0" w:rsidRDefault="00342321" w:rsidP="0022077D">
      <w:pPr>
        <w:pStyle w:val="1110"/>
        <w:ind w:firstLine="210"/>
      </w:pPr>
      <w:r w:rsidRPr="00BC31E0">
        <w:rPr>
          <w:rFonts w:hint="eastAsia"/>
        </w:rPr>
        <w:t>厚さ</w:t>
      </w:r>
      <m:oMath>
        <m:r>
          <m:rPr>
            <m:sty m:val="p"/>
          </m:rPr>
          <w:rPr>
            <w:rFonts w:ascii="Cambria Math" w:hAnsi="Cambria Math"/>
          </w:rPr>
          <m:t xml:space="preserve">50 mm </m:t>
        </m:r>
      </m:oMath>
      <w:r w:rsidRPr="00BC31E0">
        <w:rPr>
          <w:rFonts w:hint="eastAsia"/>
        </w:rPr>
        <w:t>以上の</w:t>
      </w:r>
      <w:r w:rsidR="00DC160D" w:rsidRPr="00BC31E0">
        <w:rPr>
          <w:rFonts w:hint="eastAsia"/>
        </w:rPr>
        <w:t>全</w:t>
      </w:r>
      <w:r w:rsidRPr="00BC31E0">
        <w:rPr>
          <w:rFonts w:hint="eastAsia"/>
        </w:rPr>
        <w:t>ての溶接開先面は，磁紛探傷試験又は浸透探傷試験を行う。開先面の補修溶接部もその面の検査ができる段階で，磁紛探傷試験又は浸透探傷試験を行う。指示模様は，次の</w:t>
      </w:r>
      <w:r w:rsidRPr="00BC31E0">
        <w:rPr>
          <w:rFonts w:ascii="ＭＳ ゴシック" w:eastAsia="ＭＳ ゴシック" w:hAnsi="ＭＳ ゴシック" w:hint="eastAsia"/>
          <w:b/>
          <w:bCs/>
        </w:rPr>
        <w:t>a)</w:t>
      </w:r>
      <w:r w:rsidRPr="00BC31E0">
        <w:rPr>
          <w:rFonts w:ascii="ＭＳ 明朝" w:hAnsi="ＭＳ 明朝" w:hint="eastAsia"/>
          <w:bCs/>
        </w:rPr>
        <w:t>～</w:t>
      </w:r>
      <w:r w:rsidRPr="00BC31E0">
        <w:rPr>
          <w:rFonts w:ascii="ＭＳ ゴシック" w:eastAsia="ＭＳ ゴシック" w:hAnsi="ＭＳ ゴシック" w:hint="eastAsia"/>
          <w:b/>
          <w:bCs/>
        </w:rPr>
        <w:t>c)</w:t>
      </w:r>
      <w:r w:rsidRPr="00BC31E0">
        <w:rPr>
          <w:rFonts w:hint="eastAsia"/>
        </w:rPr>
        <w:t>の判定基準により評価する。</w:t>
      </w:r>
      <w:r w:rsidR="00DC160D" w:rsidRPr="00BC31E0">
        <w:rPr>
          <w:rFonts w:hint="eastAsia"/>
        </w:rPr>
        <w:t>全</w:t>
      </w:r>
      <w:r w:rsidRPr="00BC31E0">
        <w:rPr>
          <w:rFonts w:hint="eastAsia"/>
        </w:rPr>
        <w:t>ての関連指示模様の位置を記録する。</w:t>
      </w:r>
    </w:p>
    <w:p w14:paraId="0A44A506" w14:textId="77777777" w:rsidR="007F730C" w:rsidRPr="00BC31E0" w:rsidRDefault="00342321" w:rsidP="00736130">
      <w:pPr>
        <w:pStyle w:val="a4"/>
        <w:numPr>
          <w:ilvl w:val="0"/>
          <w:numId w:val="593"/>
        </w:numPr>
        <w:ind w:leftChars="0" w:left="454" w:hanging="454"/>
        <w:rPr>
          <w:b/>
        </w:rPr>
      </w:pPr>
      <w:r w:rsidRPr="00BC31E0">
        <w:rPr>
          <w:rFonts w:hint="eastAsia"/>
        </w:rPr>
        <w:t>主寸法が</w:t>
      </w:r>
      <w:r w:rsidR="00194CEC" w:rsidRPr="00BC31E0">
        <w:rPr>
          <w:rFonts w:hint="eastAsia"/>
        </w:rPr>
        <w:t>1.6 mm</w:t>
      </w:r>
      <w:r w:rsidRPr="00BC31E0">
        <w:rPr>
          <w:rFonts w:hint="eastAsia"/>
        </w:rPr>
        <w:t>を超える指示模様は，関連指示模様とみなす。</w:t>
      </w:r>
    </w:p>
    <w:p w14:paraId="067B924D" w14:textId="77777777" w:rsidR="007F730C" w:rsidRPr="00BC31E0" w:rsidRDefault="00342321" w:rsidP="00736130">
      <w:pPr>
        <w:pStyle w:val="a4"/>
        <w:numPr>
          <w:ilvl w:val="0"/>
          <w:numId w:val="593"/>
        </w:numPr>
        <w:ind w:leftChars="0" w:left="454" w:hanging="454"/>
        <w:rPr>
          <w:b/>
        </w:rPr>
      </w:pPr>
      <w:r w:rsidRPr="00BC31E0">
        <w:rPr>
          <w:rFonts w:hint="eastAsia"/>
        </w:rPr>
        <w:t>長さが</w:t>
      </w:r>
      <w:r w:rsidRPr="00BC31E0">
        <w:t>6 mm</w:t>
      </w:r>
      <w:r w:rsidRPr="00BC31E0">
        <w:rPr>
          <w:rFonts w:hint="eastAsia"/>
        </w:rPr>
        <w:t>を超えなければ，ラミネーション型の模様は補修しなくて</w:t>
      </w:r>
      <w:r w:rsidR="00D42594" w:rsidRPr="00BC31E0">
        <w:rPr>
          <w:rFonts w:hint="eastAsia"/>
        </w:rPr>
        <w:t>も</w:t>
      </w:r>
      <w:r w:rsidRPr="00BC31E0">
        <w:rPr>
          <w:rFonts w:hint="eastAsia"/>
        </w:rPr>
        <w:t>よいが，</w:t>
      </w:r>
      <w:r w:rsidR="00194CEC" w:rsidRPr="00BC31E0">
        <w:rPr>
          <w:rFonts w:hint="eastAsia"/>
        </w:rPr>
        <w:t>6 mm</w:t>
      </w:r>
      <w:r w:rsidRPr="00BC31E0">
        <w:rPr>
          <w:rFonts w:hint="eastAsia"/>
        </w:rPr>
        <w:t>を超える</w:t>
      </w:r>
      <w:r w:rsidR="00A32F4A" w:rsidRPr="00BC31E0">
        <w:rPr>
          <w:rFonts w:hint="eastAsia"/>
        </w:rPr>
        <w:t>指示模様</w:t>
      </w:r>
      <w:r w:rsidRPr="00BC31E0">
        <w:rPr>
          <w:rFonts w:hint="eastAsia"/>
        </w:rPr>
        <w:t>は，その範囲を超音波探傷試験で決定する。長さ</w:t>
      </w:r>
      <w:r w:rsidR="00D42594" w:rsidRPr="00BC31E0">
        <w:rPr>
          <w:rFonts w:hint="eastAsia"/>
        </w:rPr>
        <w:t>が</w:t>
      </w:r>
      <w:r w:rsidR="00194CEC" w:rsidRPr="00BC31E0">
        <w:rPr>
          <w:rFonts w:hint="eastAsia"/>
        </w:rPr>
        <w:t>6 mm</w:t>
      </w:r>
      <w:r w:rsidRPr="00BC31E0">
        <w:rPr>
          <w:rFonts w:hint="eastAsia"/>
        </w:rPr>
        <w:t>を超える指示模様は，</w:t>
      </w:r>
      <w:r w:rsidR="00194CEC" w:rsidRPr="00BC31E0">
        <w:rPr>
          <w:rFonts w:hint="eastAsia"/>
        </w:rPr>
        <w:t>10 mm</w:t>
      </w:r>
      <w:r w:rsidRPr="00BC31E0">
        <w:rPr>
          <w:rFonts w:hint="eastAsia"/>
        </w:rPr>
        <w:t>又はその深さの小さい方まで溶接補修する。ただし，製品形状に対する超音波探傷試験規定により，更に深い補修が必要な場合を除く。</w:t>
      </w:r>
    </w:p>
    <w:p w14:paraId="4DA85383" w14:textId="77777777" w:rsidR="00342321" w:rsidRPr="00BC31E0" w:rsidRDefault="00342321" w:rsidP="00736130">
      <w:pPr>
        <w:pStyle w:val="a4"/>
        <w:numPr>
          <w:ilvl w:val="0"/>
          <w:numId w:val="593"/>
        </w:numPr>
        <w:ind w:leftChars="0" w:left="454" w:hanging="454"/>
        <w:rPr>
          <w:b/>
        </w:rPr>
      </w:pPr>
      <w:r w:rsidRPr="00BC31E0">
        <w:rPr>
          <w:rFonts w:hint="eastAsia"/>
        </w:rPr>
        <w:t>他のラミネーション型に類しない指示模様は，次の</w:t>
      </w:r>
      <w:r w:rsidR="00CC77B8" w:rsidRPr="00BC31E0">
        <w:rPr>
          <w:rFonts w:asciiTheme="majorEastAsia" w:eastAsiaTheme="majorEastAsia" w:hAnsiTheme="majorEastAsia" w:hint="eastAsia"/>
          <w:b/>
        </w:rPr>
        <w:t>1)</w:t>
      </w:r>
      <w:r w:rsidR="00CC77B8" w:rsidRPr="00BC31E0">
        <w:rPr>
          <w:rFonts w:hint="eastAsia"/>
        </w:rPr>
        <w:t>～</w:t>
      </w:r>
      <w:r w:rsidR="00CC77B8" w:rsidRPr="00BC31E0">
        <w:rPr>
          <w:rFonts w:asciiTheme="majorEastAsia" w:eastAsiaTheme="majorEastAsia" w:hAnsiTheme="majorEastAsia" w:hint="eastAsia"/>
          <w:b/>
        </w:rPr>
        <w:t>3)</w:t>
      </w:r>
      <w:r w:rsidR="00CC77B8" w:rsidRPr="00BC31E0">
        <w:rPr>
          <w:rFonts w:hint="eastAsia"/>
        </w:rPr>
        <w:t>の</w:t>
      </w:r>
      <w:r w:rsidRPr="00BC31E0">
        <w:rPr>
          <w:rFonts w:hint="eastAsia"/>
        </w:rPr>
        <w:t>場合，受け入れられない。</w:t>
      </w:r>
    </w:p>
    <w:p w14:paraId="4D98A3A1" w14:textId="77777777" w:rsidR="002A5135" w:rsidRPr="00BC31E0" w:rsidRDefault="00342321" w:rsidP="00736130">
      <w:pPr>
        <w:pStyle w:val="a4"/>
        <w:numPr>
          <w:ilvl w:val="0"/>
          <w:numId w:val="594"/>
        </w:numPr>
        <w:ind w:leftChars="0" w:left="738" w:hanging="454"/>
        <w:rPr>
          <w:b/>
        </w:rPr>
      </w:pPr>
      <w:r w:rsidRPr="00BC31E0">
        <w:t>長さ</w:t>
      </w:r>
      <w:r w:rsidR="00194CEC" w:rsidRPr="00BC31E0">
        <w:rPr>
          <w:rFonts w:hint="eastAsia"/>
        </w:rPr>
        <w:t>4.8 mm</w:t>
      </w:r>
      <w:r w:rsidRPr="00BC31E0">
        <w:t>を超える線状指示模様</w:t>
      </w:r>
    </w:p>
    <w:p w14:paraId="73CA2590" w14:textId="77777777" w:rsidR="002A5135" w:rsidRPr="00BC31E0" w:rsidRDefault="00194CEC" w:rsidP="00736130">
      <w:pPr>
        <w:pStyle w:val="a4"/>
        <w:numPr>
          <w:ilvl w:val="0"/>
          <w:numId w:val="594"/>
        </w:numPr>
        <w:ind w:leftChars="0" w:left="738" w:hanging="454"/>
        <w:rPr>
          <w:b/>
        </w:rPr>
      </w:pPr>
      <w:r w:rsidRPr="00BC31E0">
        <w:rPr>
          <w:rFonts w:asciiTheme="minorHAnsi" w:hAnsiTheme="minorHAnsi"/>
        </w:rPr>
        <w:t>4.8 mm</w:t>
      </w:r>
      <w:r w:rsidR="00342321" w:rsidRPr="00BC31E0">
        <w:t>を超える円形状指示模様</w:t>
      </w:r>
    </w:p>
    <w:p w14:paraId="2D0FE97E" w14:textId="77777777" w:rsidR="00342321" w:rsidRPr="00BC31E0" w:rsidRDefault="00342321" w:rsidP="00736130">
      <w:pPr>
        <w:pStyle w:val="a4"/>
        <w:numPr>
          <w:ilvl w:val="0"/>
          <w:numId w:val="594"/>
        </w:numPr>
        <w:ind w:leftChars="0" w:left="738" w:hanging="454"/>
        <w:rPr>
          <w:b/>
        </w:rPr>
      </w:pPr>
      <w:r w:rsidRPr="00BC31E0">
        <w:t>縁間隔</w:t>
      </w:r>
      <w:r w:rsidR="00194CEC" w:rsidRPr="00BC31E0">
        <w:rPr>
          <w:rFonts w:hint="eastAsia"/>
        </w:rPr>
        <w:t>1.6 mm</w:t>
      </w:r>
      <w:r w:rsidRPr="00BC31E0">
        <w:t>以下の</w:t>
      </w:r>
      <w:r w:rsidR="00194CEC" w:rsidRPr="00BC31E0">
        <w:rPr>
          <w:rFonts w:hint="eastAsia"/>
        </w:rPr>
        <w:t>4</w:t>
      </w:r>
      <w:r w:rsidRPr="00BC31E0">
        <w:t>個以上の円形状指示模様</w:t>
      </w:r>
    </w:p>
    <w:p w14:paraId="567D5B11" w14:textId="77777777" w:rsidR="00342321" w:rsidRPr="00BC31E0" w:rsidRDefault="00342321" w:rsidP="009E639F">
      <w:pPr>
        <w:pStyle w:val="3"/>
        <w:tabs>
          <w:tab w:val="clear" w:pos="284"/>
        </w:tabs>
        <w:ind w:left="794" w:hanging="794"/>
      </w:pPr>
      <w:r w:rsidRPr="00BC31E0">
        <w:rPr>
          <w:rFonts w:hint="eastAsia"/>
        </w:rPr>
        <w:t>溶接部のタイプとそれらの試験</w:t>
      </w:r>
    </w:p>
    <w:p w14:paraId="221B8247" w14:textId="77777777" w:rsidR="00342321" w:rsidRPr="00BC31E0" w:rsidRDefault="00342321" w:rsidP="0022077D">
      <w:pPr>
        <w:pStyle w:val="1110"/>
        <w:ind w:firstLine="210"/>
      </w:pPr>
      <w:r w:rsidRPr="00BC31E0">
        <w:rPr>
          <w:rFonts w:hint="eastAsia"/>
        </w:rPr>
        <w:t>溶接部のタイプとそれらの試験は，次の</w:t>
      </w:r>
      <w:r w:rsidRPr="00BC31E0">
        <w:rPr>
          <w:rFonts w:ascii="ＭＳ ゴシック" w:hAnsi="ＭＳ ゴシック" w:hint="eastAsia"/>
          <w:b/>
        </w:rPr>
        <w:t>a)</w:t>
      </w:r>
      <w:r w:rsidRPr="00BC31E0">
        <w:rPr>
          <w:rFonts w:hint="eastAsia"/>
        </w:rPr>
        <w:t>～</w:t>
      </w:r>
      <w:r w:rsidRPr="00BC31E0">
        <w:rPr>
          <w:rFonts w:ascii="ＭＳ ゴシック" w:hAnsi="ＭＳ ゴシック" w:hint="eastAsia"/>
          <w:b/>
        </w:rPr>
        <w:t>e)</w:t>
      </w:r>
      <w:r w:rsidRPr="00BC31E0">
        <w:rPr>
          <w:rFonts w:hint="eastAsia"/>
        </w:rPr>
        <w:t>による。</w:t>
      </w:r>
    </w:p>
    <w:p w14:paraId="1461B53D" w14:textId="77777777" w:rsidR="00342321" w:rsidRPr="00BC31E0" w:rsidRDefault="00342321" w:rsidP="00736130">
      <w:pPr>
        <w:pStyle w:val="a4"/>
        <w:numPr>
          <w:ilvl w:val="0"/>
          <w:numId w:val="595"/>
        </w:numPr>
        <w:ind w:leftChars="0" w:left="454" w:hanging="454"/>
        <w:rPr>
          <w:b/>
        </w:rPr>
      </w:pPr>
      <w:r w:rsidRPr="00BC31E0">
        <w:rPr>
          <w:rFonts w:asciiTheme="majorEastAsia" w:eastAsiaTheme="majorEastAsia" w:hAnsiTheme="majorEastAsia" w:hint="eastAsia"/>
          <w:b/>
        </w:rPr>
        <w:t>溶接継手分類</w:t>
      </w:r>
      <w:r w:rsidRPr="00BC31E0">
        <w:rPr>
          <w:rFonts w:hint="eastAsia"/>
        </w:rPr>
        <w:t xml:space="preserve">　溶接継手の分類は容器内の継手の位置を定義</w:t>
      </w:r>
      <w:r w:rsidR="004E4DAC" w:rsidRPr="00BC31E0">
        <w:rPr>
          <w:rFonts w:hint="eastAsia"/>
        </w:rPr>
        <w:t>しており</w:t>
      </w:r>
      <w:r w:rsidRPr="00BC31E0">
        <w:rPr>
          <w:rFonts w:hint="eastAsia"/>
        </w:rPr>
        <w:t>，継手のタイプ</w:t>
      </w:r>
      <w:r w:rsidR="004E4DAC" w:rsidRPr="00BC31E0">
        <w:rPr>
          <w:rFonts w:hint="eastAsia"/>
        </w:rPr>
        <w:t>を定義していない</w:t>
      </w:r>
      <w:r w:rsidRPr="00BC31E0">
        <w:rPr>
          <w:rFonts w:hint="eastAsia"/>
        </w:rPr>
        <w:t>。継手タイプに関する特殊規定及び溶接された耐圧継手に対する試験の程度を規定するために使用する。特殊規定が用途及び厚さに基づくため，どの継手にも適用されるのではなく，特殊規定が適用される継手のみがその分類に含まれる。分類は，次のように</w:t>
      </w:r>
      <w:r w:rsidRPr="00BC31E0">
        <w:rPr>
          <w:rFonts w:hint="eastAsia"/>
          <w:bCs/>
        </w:rPr>
        <w:t>分類</w:t>
      </w:r>
      <w:r w:rsidRPr="00BC31E0">
        <w:t>A</w:t>
      </w:r>
      <w:r w:rsidRPr="00BC31E0">
        <w:rPr>
          <w:rFonts w:hint="eastAsia"/>
        </w:rPr>
        <w:t>，</w:t>
      </w:r>
      <w:r w:rsidRPr="00BC31E0">
        <w:t>B</w:t>
      </w:r>
      <w:r w:rsidRPr="00BC31E0">
        <w:rPr>
          <w:rFonts w:hint="eastAsia"/>
        </w:rPr>
        <w:t>，</w:t>
      </w:r>
      <w:r w:rsidRPr="00BC31E0">
        <w:t>C</w:t>
      </w:r>
      <w:r w:rsidRPr="00BC31E0">
        <w:rPr>
          <w:rFonts w:hint="eastAsia"/>
        </w:rPr>
        <w:t>，</w:t>
      </w:r>
      <w:r w:rsidRPr="00BC31E0">
        <w:t>D</w:t>
      </w:r>
      <w:r w:rsidRPr="00BC31E0">
        <w:rPr>
          <w:rFonts w:hint="eastAsia"/>
        </w:rPr>
        <w:t>，</w:t>
      </w:r>
      <w:r w:rsidRPr="00BC31E0">
        <w:rPr>
          <w:rFonts w:hint="eastAsia"/>
        </w:rPr>
        <w:t>E</w:t>
      </w:r>
      <w:r w:rsidRPr="00BC31E0">
        <w:rPr>
          <w:rFonts w:hint="eastAsia"/>
        </w:rPr>
        <w:t>で示される。</w:t>
      </w:r>
      <w:r w:rsidRPr="00BC31E0">
        <w:rPr>
          <w:rFonts w:asciiTheme="majorEastAsia" w:eastAsiaTheme="majorEastAsia" w:hAnsiTheme="majorEastAsia" w:hint="eastAsia"/>
          <w:b/>
        </w:rPr>
        <w:t>図9.3.1</w:t>
      </w:r>
      <w:r w:rsidRPr="00BC31E0">
        <w:rPr>
          <w:rFonts w:hint="eastAsia"/>
        </w:rPr>
        <w:t>に，各分類に含まれる代表的継手位置を示す。</w:t>
      </w:r>
    </w:p>
    <w:p w14:paraId="037297AA" w14:textId="77777777" w:rsidR="00C649DF" w:rsidRPr="00BC31E0" w:rsidRDefault="00342321" w:rsidP="00736130">
      <w:pPr>
        <w:pStyle w:val="a4"/>
        <w:numPr>
          <w:ilvl w:val="0"/>
          <w:numId w:val="596"/>
        </w:numPr>
        <w:ind w:leftChars="0" w:left="738" w:hanging="454"/>
        <w:rPr>
          <w:b/>
        </w:rPr>
      </w:pPr>
      <w:r w:rsidRPr="00BC31E0">
        <w:rPr>
          <w:rFonts w:asciiTheme="majorEastAsia" w:eastAsiaTheme="majorEastAsia" w:hAnsiTheme="majorEastAsia" w:hint="eastAsia"/>
          <w:b/>
        </w:rPr>
        <w:t>分類A</w:t>
      </w:r>
      <w:r w:rsidRPr="00BC31E0">
        <w:rPr>
          <w:rFonts w:hint="eastAsia"/>
        </w:rPr>
        <w:t xml:space="preserve">　円筒胴，連結圧力室，円すい胴又はノズル内の長手溶接継手。球体，成形又は平鏡板又は角型容器の側板</w:t>
      </w:r>
      <w:r w:rsidRPr="00BC31E0">
        <w:rPr>
          <w:rFonts w:hint="eastAsia"/>
        </w:rPr>
        <w:t>(</w:t>
      </w:r>
      <w:r w:rsidRPr="00BC31E0">
        <w:rPr>
          <w:rFonts w:hint="eastAsia"/>
        </w:rPr>
        <w:t>耐圧容器に一体に成形された平板の</w:t>
      </w:r>
      <w:r w:rsidR="00DC160D" w:rsidRPr="00BC31E0">
        <w:rPr>
          <w:rFonts w:hint="eastAsia"/>
        </w:rPr>
        <w:t>全</w:t>
      </w:r>
      <w:r w:rsidRPr="00BC31E0">
        <w:rPr>
          <w:rFonts w:hint="eastAsia"/>
        </w:rPr>
        <w:t>て</w:t>
      </w:r>
      <w:r w:rsidRPr="00BC31E0">
        <w:rPr>
          <w:rFonts w:hint="eastAsia"/>
        </w:rPr>
        <w:t>)</w:t>
      </w:r>
      <w:r w:rsidRPr="00BC31E0">
        <w:rPr>
          <w:rFonts w:hint="eastAsia"/>
        </w:rPr>
        <w:t>にある</w:t>
      </w:r>
      <w:r w:rsidR="00DC160D" w:rsidRPr="00BC31E0">
        <w:rPr>
          <w:rFonts w:hint="eastAsia"/>
        </w:rPr>
        <w:t>全</w:t>
      </w:r>
      <w:r w:rsidRPr="00BC31E0">
        <w:rPr>
          <w:rFonts w:hint="eastAsia"/>
        </w:rPr>
        <w:t>ての溶接継手。半球形鏡と円筒胴，円すい胴，ノズル又は連結圧力室に取付ける周溶接継手</w:t>
      </w:r>
    </w:p>
    <w:p w14:paraId="5E311891" w14:textId="77777777" w:rsidR="00C649DF" w:rsidRPr="00BC31E0" w:rsidRDefault="00342321" w:rsidP="00736130">
      <w:pPr>
        <w:pStyle w:val="a4"/>
        <w:numPr>
          <w:ilvl w:val="0"/>
          <w:numId w:val="596"/>
        </w:numPr>
        <w:ind w:leftChars="0" w:left="738" w:hanging="454"/>
        <w:rPr>
          <w:b/>
        </w:rPr>
      </w:pPr>
      <w:r w:rsidRPr="00BC31E0">
        <w:rPr>
          <w:rFonts w:asciiTheme="majorEastAsia" w:eastAsiaTheme="majorEastAsia" w:hAnsiTheme="majorEastAsia" w:hint="eastAsia"/>
          <w:b/>
        </w:rPr>
        <w:t>分類B</w:t>
      </w:r>
      <w:r w:rsidRPr="00BC31E0">
        <w:rPr>
          <w:rFonts w:hint="eastAsia"/>
        </w:rPr>
        <w:t xml:space="preserve">　円筒胴，連結圧力室，ノズル，円すい胴の周継手で，円すい胴の大径端，小径端で円筒胴又はノズルネックを接合する溶接継手を含む。全半球形鏡板以外の成形鏡板を円筒胴，円すい胴，ノズル又は連結圧力室に取付ける周溶接継手</w:t>
      </w:r>
    </w:p>
    <w:p w14:paraId="1C885B47" w14:textId="77777777" w:rsidR="00C649DF" w:rsidRPr="00BC31E0" w:rsidRDefault="00342321" w:rsidP="00736130">
      <w:pPr>
        <w:pStyle w:val="a4"/>
        <w:numPr>
          <w:ilvl w:val="0"/>
          <w:numId w:val="596"/>
        </w:numPr>
        <w:ind w:leftChars="0" w:left="738" w:hanging="454"/>
        <w:rPr>
          <w:b/>
        </w:rPr>
      </w:pPr>
      <w:r w:rsidRPr="00BC31E0">
        <w:rPr>
          <w:rFonts w:asciiTheme="majorEastAsia" w:eastAsiaTheme="majorEastAsia" w:hAnsiTheme="majorEastAsia" w:hint="eastAsia"/>
          <w:b/>
        </w:rPr>
        <w:t>分類C</w:t>
      </w:r>
      <w:r w:rsidRPr="00BC31E0">
        <w:rPr>
          <w:rFonts w:hint="eastAsia"/>
        </w:rPr>
        <w:t xml:space="preserve">　接続フランジ，管板又は平鏡板を円筒胴，成形鏡板，円すい胴，ノズル又は連結圧力室に取付ける溶接継手。角型容器の側板と他の側板をつなぐ</w:t>
      </w:r>
      <w:r w:rsidR="00DC160D" w:rsidRPr="00BC31E0">
        <w:rPr>
          <w:rFonts w:hint="eastAsia"/>
        </w:rPr>
        <w:t>全</w:t>
      </w:r>
      <w:r w:rsidRPr="00BC31E0">
        <w:rPr>
          <w:rFonts w:hint="eastAsia"/>
        </w:rPr>
        <w:t>ての溶接継手</w:t>
      </w:r>
    </w:p>
    <w:p w14:paraId="36227C26" w14:textId="77777777" w:rsidR="00C649DF" w:rsidRPr="00BC31E0" w:rsidRDefault="00342321" w:rsidP="00736130">
      <w:pPr>
        <w:pStyle w:val="a4"/>
        <w:numPr>
          <w:ilvl w:val="0"/>
          <w:numId w:val="596"/>
        </w:numPr>
        <w:ind w:leftChars="0" w:left="738" w:hanging="454"/>
        <w:rPr>
          <w:b/>
        </w:rPr>
      </w:pPr>
      <w:r w:rsidRPr="00BC31E0">
        <w:rPr>
          <w:rFonts w:asciiTheme="majorEastAsia" w:eastAsiaTheme="majorEastAsia" w:hAnsiTheme="majorEastAsia" w:hint="eastAsia"/>
          <w:b/>
        </w:rPr>
        <w:t>分類D</w:t>
      </w:r>
      <w:r w:rsidRPr="00BC31E0">
        <w:rPr>
          <w:rFonts w:hint="eastAsia"/>
        </w:rPr>
        <w:t xml:space="preserve">　連結圧力室又はノズルと円筒胴，球形胴，円すい胴，鏡板又は角型容器の溶接継</w:t>
      </w:r>
      <w:r w:rsidRPr="00BC31E0">
        <w:rPr>
          <w:rFonts w:hint="eastAsia"/>
        </w:rPr>
        <w:lastRenderedPageBreak/>
        <w:t>手。円すい胴の小径端とノズル及びノズルと連結圧力室との接続継手</w:t>
      </w:r>
    </w:p>
    <w:p w14:paraId="640190F9" w14:textId="77777777" w:rsidR="00342321" w:rsidRPr="00BC31E0" w:rsidRDefault="00342321" w:rsidP="00736130">
      <w:pPr>
        <w:pStyle w:val="a4"/>
        <w:numPr>
          <w:ilvl w:val="0"/>
          <w:numId w:val="596"/>
        </w:numPr>
        <w:ind w:leftChars="0" w:left="738" w:hanging="454"/>
        <w:rPr>
          <w:b/>
        </w:rPr>
      </w:pPr>
      <w:r w:rsidRPr="00BC31E0">
        <w:rPr>
          <w:rFonts w:asciiTheme="majorEastAsia" w:eastAsiaTheme="majorEastAsia" w:hAnsiTheme="majorEastAsia" w:hint="eastAsia"/>
          <w:b/>
        </w:rPr>
        <w:t>分類E</w:t>
      </w:r>
      <w:r w:rsidRPr="00BC31E0">
        <w:rPr>
          <w:rFonts w:hint="eastAsia"/>
        </w:rPr>
        <w:t xml:space="preserve">　</w:t>
      </w:r>
      <w:r w:rsidRPr="00BC31E0">
        <w:rPr>
          <w:rFonts w:asciiTheme="minorEastAsia" w:eastAsiaTheme="minorEastAsia" w:hAnsiTheme="minorEastAsia" w:hint="eastAsia"/>
        </w:rPr>
        <w:t>非耐圧部に附属品を取付ける溶接継手</w:t>
      </w:r>
    </w:p>
    <w:p w14:paraId="2B239220" w14:textId="77777777" w:rsidR="00C649DF" w:rsidRPr="00BC31E0" w:rsidRDefault="00342321" w:rsidP="00736130">
      <w:pPr>
        <w:pStyle w:val="a4"/>
        <w:numPr>
          <w:ilvl w:val="0"/>
          <w:numId w:val="595"/>
        </w:numPr>
        <w:ind w:leftChars="0" w:left="454" w:hanging="454"/>
        <w:rPr>
          <w:b/>
        </w:rPr>
      </w:pPr>
      <w:r w:rsidRPr="00BC31E0">
        <w:rPr>
          <w:rFonts w:asciiTheme="majorEastAsia" w:eastAsiaTheme="majorEastAsia" w:hAnsiTheme="majorEastAsia" w:hint="eastAsia"/>
          <w:b/>
          <w:bCs/>
        </w:rPr>
        <w:t>溶接継手</w:t>
      </w:r>
      <w:r w:rsidRPr="00BC31E0">
        <w:rPr>
          <w:rFonts w:hint="eastAsia"/>
        </w:rPr>
        <w:t xml:space="preserve">　</w:t>
      </w:r>
      <w:r w:rsidR="00DC160D" w:rsidRPr="00BC31E0">
        <w:rPr>
          <w:rFonts w:hint="eastAsia"/>
        </w:rPr>
        <w:t>全</w:t>
      </w:r>
      <w:r w:rsidRPr="00BC31E0">
        <w:rPr>
          <w:rFonts w:hint="eastAsia"/>
        </w:rPr>
        <w:t>ての</w:t>
      </w:r>
      <w:r w:rsidRPr="00BC31E0">
        <w:rPr>
          <w:rFonts w:hint="eastAsia"/>
          <w:bCs/>
        </w:rPr>
        <w:t>分類</w:t>
      </w:r>
      <w:r w:rsidRPr="00BC31E0">
        <w:rPr>
          <w:rFonts w:hint="eastAsia"/>
          <w:bCs/>
        </w:rPr>
        <w:t>A</w:t>
      </w:r>
      <w:r w:rsidRPr="00BC31E0">
        <w:rPr>
          <w:rFonts w:hint="eastAsia"/>
          <w:bCs/>
        </w:rPr>
        <w:t>，</w:t>
      </w:r>
      <w:r w:rsidRPr="00BC31E0">
        <w:rPr>
          <w:rFonts w:hint="eastAsia"/>
          <w:bCs/>
        </w:rPr>
        <w:t>B</w:t>
      </w:r>
      <w:r w:rsidRPr="00BC31E0">
        <w:rPr>
          <w:rFonts w:hint="eastAsia"/>
          <w:bCs/>
        </w:rPr>
        <w:t>，</w:t>
      </w:r>
      <w:r w:rsidRPr="00BC31E0">
        <w:rPr>
          <w:rFonts w:hint="eastAsia"/>
          <w:bCs/>
        </w:rPr>
        <w:t>C</w:t>
      </w:r>
      <w:r w:rsidRPr="00BC31E0">
        <w:rPr>
          <w:rFonts w:hint="eastAsia"/>
          <w:bCs/>
        </w:rPr>
        <w:t>，</w:t>
      </w:r>
      <w:r w:rsidRPr="00BC31E0">
        <w:rPr>
          <w:rFonts w:hint="eastAsia"/>
          <w:bCs/>
        </w:rPr>
        <w:t>D</w:t>
      </w:r>
      <w:r w:rsidRPr="00BC31E0">
        <w:rPr>
          <w:rFonts w:hint="eastAsia"/>
          <w:bCs/>
        </w:rPr>
        <w:t>及び</w:t>
      </w:r>
      <w:r w:rsidRPr="00BC31E0">
        <w:rPr>
          <w:rFonts w:hint="eastAsia"/>
          <w:bCs/>
        </w:rPr>
        <w:t>E</w:t>
      </w:r>
      <w:r w:rsidRPr="00BC31E0">
        <w:rPr>
          <w:rFonts w:hint="eastAsia"/>
        </w:rPr>
        <w:t>溶接継手の全長は，</w:t>
      </w:r>
      <w:r w:rsidRPr="00BC31E0">
        <w:rPr>
          <w:rFonts w:asciiTheme="majorEastAsia" w:eastAsiaTheme="majorEastAsia" w:hAnsiTheme="majorEastAsia" w:hint="eastAsia"/>
          <w:b/>
        </w:rPr>
        <w:t>9.3.1</w:t>
      </w:r>
      <w:r w:rsidRPr="00BC31E0">
        <w:rPr>
          <w:rFonts w:hint="eastAsia"/>
        </w:rPr>
        <w:t>に従って超音波探傷試験を実施する。超音波探傷試験で適切な判定が得られなければ，放射線透過試験を</w:t>
      </w:r>
      <w:r w:rsidR="00DC70A4" w:rsidRPr="00BC31E0">
        <w:rPr>
          <w:rFonts w:hint="eastAsia"/>
        </w:rPr>
        <w:t>実施する</w:t>
      </w:r>
      <w:r w:rsidRPr="00BC31E0">
        <w:rPr>
          <w:rFonts w:hint="eastAsia"/>
        </w:rPr>
        <w:t>。溶接部の両側各</w:t>
      </w:r>
      <w:r w:rsidR="0022077D" w:rsidRPr="00BC31E0">
        <w:rPr>
          <w:rFonts w:hint="eastAsia"/>
        </w:rPr>
        <w:t>13 mm</w:t>
      </w:r>
      <w:r w:rsidRPr="00BC31E0">
        <w:rPr>
          <w:rFonts w:hint="eastAsia"/>
        </w:rPr>
        <w:t>の母材と溶接部の内外面は，磁紛探傷試験又は浸透探傷試験を行う。</w:t>
      </w:r>
    </w:p>
    <w:p w14:paraId="0EA99E29" w14:textId="77777777" w:rsidR="00C649DF" w:rsidRPr="00BC31E0" w:rsidRDefault="00342321" w:rsidP="00736130">
      <w:pPr>
        <w:pStyle w:val="a4"/>
        <w:numPr>
          <w:ilvl w:val="0"/>
          <w:numId w:val="595"/>
        </w:numPr>
        <w:ind w:leftChars="0" w:left="454" w:hanging="454"/>
        <w:rPr>
          <w:b/>
        </w:rPr>
      </w:pPr>
      <w:r w:rsidRPr="00BC31E0">
        <w:rPr>
          <w:rFonts w:asciiTheme="majorEastAsia" w:eastAsiaTheme="majorEastAsia" w:hAnsiTheme="majorEastAsia"/>
          <w:b/>
          <w:bCs/>
        </w:rPr>
        <w:t>ノズル，枝管，配管継手の開口部の溶接肉盛</w:t>
      </w:r>
      <w:r w:rsidRPr="00BC31E0">
        <w:rPr>
          <w:rFonts w:hAnsi="ＭＳ ゴシック" w:hint="eastAsia"/>
          <w:bCs/>
        </w:rPr>
        <w:t xml:space="preserve">　</w:t>
      </w:r>
      <w:r w:rsidRPr="00BC31E0">
        <w:rPr>
          <w:rFonts w:hint="eastAsia"/>
        </w:rPr>
        <w:t>溶接肉盛が表面になされる場合は，溶接肉盛，溶込み部，肉盛近傍の母材の超音波探傷試験を行い，</w:t>
      </w:r>
      <w:r w:rsidRPr="00BC31E0">
        <w:rPr>
          <w:rFonts w:asciiTheme="majorEastAsia" w:eastAsiaTheme="majorEastAsia" w:hAnsiTheme="majorEastAsia" w:hint="eastAsia"/>
          <w:b/>
        </w:rPr>
        <w:t>9.3.6 c)</w:t>
      </w:r>
      <w:r w:rsidRPr="00BC31E0">
        <w:rPr>
          <w:rFonts w:hint="eastAsia"/>
        </w:rPr>
        <w:t>の判定基準を満足することを確認する。なお，超音波探傷試験が困難な箇所は，磁紛探傷試験又は浸透探傷試験を行う。</w:t>
      </w:r>
    </w:p>
    <w:p w14:paraId="1C2537C7" w14:textId="77777777" w:rsidR="00C649DF" w:rsidRPr="00BC31E0" w:rsidRDefault="00342321" w:rsidP="00736130">
      <w:pPr>
        <w:pStyle w:val="a4"/>
        <w:numPr>
          <w:ilvl w:val="0"/>
          <w:numId w:val="595"/>
        </w:numPr>
        <w:ind w:leftChars="0" w:left="454" w:hanging="454"/>
        <w:rPr>
          <w:b/>
        </w:rPr>
      </w:pPr>
      <w:r w:rsidRPr="00BC31E0">
        <w:rPr>
          <w:rFonts w:asciiTheme="majorEastAsia" w:eastAsiaTheme="majorEastAsia" w:hAnsiTheme="majorEastAsia"/>
          <w:b/>
          <w:bCs/>
        </w:rPr>
        <w:t>取付け溶接部</w:t>
      </w:r>
      <w:r w:rsidRPr="00BC31E0">
        <w:t xml:space="preserve">　</w:t>
      </w:r>
      <w:r w:rsidRPr="00BC31E0">
        <w:rPr>
          <w:rFonts w:hint="eastAsia"/>
        </w:rPr>
        <w:t>耐圧部材への取付け溶接部は磁紛探傷試験又は浸透探傷試験を行い，</w:t>
      </w:r>
      <w:r w:rsidRPr="00BC31E0">
        <w:rPr>
          <w:rFonts w:asciiTheme="majorEastAsia" w:eastAsiaTheme="majorEastAsia" w:hAnsiTheme="majorEastAsia" w:hint="eastAsia"/>
          <w:b/>
        </w:rPr>
        <w:t>9.3.6 d)</w:t>
      </w:r>
      <w:r w:rsidRPr="00BC31E0">
        <w:rPr>
          <w:rFonts w:hint="eastAsia"/>
        </w:rPr>
        <w:t>の判定基準を満足することを確認する。</w:t>
      </w:r>
    </w:p>
    <w:p w14:paraId="5AD99F90" w14:textId="77777777" w:rsidR="00342321" w:rsidRPr="00BC31E0" w:rsidRDefault="00342321" w:rsidP="00736130">
      <w:pPr>
        <w:pStyle w:val="a4"/>
        <w:numPr>
          <w:ilvl w:val="0"/>
          <w:numId w:val="595"/>
        </w:numPr>
        <w:ind w:leftChars="0" w:left="454" w:hanging="454"/>
        <w:rPr>
          <w:b/>
        </w:rPr>
      </w:pPr>
      <w:r w:rsidRPr="00BC31E0">
        <w:rPr>
          <w:rFonts w:asciiTheme="majorEastAsia" w:eastAsiaTheme="majorEastAsia" w:hAnsiTheme="majorEastAsia" w:hint="eastAsia"/>
          <w:b/>
          <w:bCs/>
        </w:rPr>
        <w:t>漏れ止</w:t>
      </w:r>
      <w:r w:rsidRPr="00BC31E0">
        <w:rPr>
          <w:rFonts w:asciiTheme="majorEastAsia" w:eastAsiaTheme="majorEastAsia" w:hAnsiTheme="majorEastAsia"/>
          <w:b/>
          <w:bCs/>
        </w:rPr>
        <w:t>溶接部</w:t>
      </w:r>
      <w:r w:rsidRPr="00BC31E0">
        <w:rPr>
          <w:rFonts w:hint="eastAsia"/>
        </w:rPr>
        <w:t xml:space="preserve">　漏れ止溶接部は，磁紛探傷試験又は浸透探傷試験を行う。</w:t>
      </w:r>
    </w:p>
    <w:p w14:paraId="69CB4215" w14:textId="77777777" w:rsidR="00342321" w:rsidRPr="00BC31E0" w:rsidRDefault="00342321" w:rsidP="003B1500">
      <w:pPr>
        <w:pStyle w:val="3"/>
        <w:ind w:left="794" w:hanging="794"/>
      </w:pPr>
      <w:r w:rsidRPr="00BC31E0">
        <w:rPr>
          <w:rFonts w:hint="eastAsia"/>
        </w:rPr>
        <w:t>判定基準</w:t>
      </w:r>
    </w:p>
    <w:p w14:paraId="35B3199D" w14:textId="77777777" w:rsidR="00342321" w:rsidRPr="00BC31E0" w:rsidRDefault="00342321" w:rsidP="00E74915">
      <w:pPr>
        <w:pStyle w:val="1110"/>
        <w:ind w:firstLine="210"/>
      </w:pPr>
      <w:r w:rsidRPr="00BC31E0">
        <w:rPr>
          <w:rFonts w:hint="eastAsia"/>
        </w:rPr>
        <w:t>判定基準は，次の</w:t>
      </w:r>
      <w:r w:rsidRPr="00BC31E0">
        <w:rPr>
          <w:rFonts w:ascii="ＭＳ ゴシック" w:hAnsi="ＭＳ ゴシック" w:hint="eastAsia"/>
          <w:b/>
        </w:rPr>
        <w:t>a)</w:t>
      </w:r>
      <w:r w:rsidRPr="00BC31E0">
        <w:rPr>
          <w:rFonts w:hint="eastAsia"/>
        </w:rPr>
        <w:t>～</w:t>
      </w:r>
      <w:r w:rsidRPr="00BC31E0">
        <w:rPr>
          <w:rFonts w:ascii="ＭＳ ゴシック" w:hAnsi="ＭＳ ゴシック" w:hint="eastAsia"/>
          <w:b/>
        </w:rPr>
        <w:t>d)</w:t>
      </w:r>
      <w:r w:rsidRPr="00BC31E0">
        <w:rPr>
          <w:rFonts w:hint="eastAsia"/>
        </w:rPr>
        <w:t>による。</w:t>
      </w:r>
    </w:p>
    <w:p w14:paraId="32EA6AC9" w14:textId="77777777" w:rsidR="003B1500" w:rsidRPr="00BC31E0" w:rsidRDefault="00342321" w:rsidP="00736130">
      <w:pPr>
        <w:pStyle w:val="a4"/>
        <w:numPr>
          <w:ilvl w:val="0"/>
          <w:numId w:val="597"/>
        </w:numPr>
        <w:ind w:leftChars="0" w:left="454" w:hanging="454"/>
      </w:pPr>
      <w:r w:rsidRPr="00BC31E0">
        <w:rPr>
          <w:rFonts w:asciiTheme="majorEastAsia" w:eastAsiaTheme="majorEastAsia" w:hAnsiTheme="majorEastAsia" w:hint="eastAsia"/>
          <w:b/>
          <w:lang w:eastAsia="zh-TW"/>
        </w:rPr>
        <w:t>一般規定</w:t>
      </w:r>
      <w:r w:rsidRPr="00BC31E0">
        <w:rPr>
          <w:rFonts w:hint="eastAsia"/>
          <w:lang w:eastAsia="zh-TW"/>
        </w:rPr>
        <w:t xml:space="preserve">　</w:t>
      </w:r>
      <w:r w:rsidRPr="00BC31E0">
        <w:rPr>
          <w:rFonts w:hint="eastAsia"/>
        </w:rPr>
        <w:t>受入規定は次による。溶接部又は溶接肉盛近傍の材料の判定基準は</w:t>
      </w:r>
      <w:r w:rsidRPr="00BC31E0">
        <w:rPr>
          <w:rFonts w:asciiTheme="majorEastAsia" w:eastAsiaTheme="majorEastAsia" w:hAnsiTheme="majorEastAsia" w:hint="eastAsia"/>
          <w:b/>
        </w:rPr>
        <w:t>9.2</w:t>
      </w:r>
      <w:r w:rsidRPr="00BC31E0">
        <w:rPr>
          <w:rFonts w:hint="eastAsia"/>
        </w:rPr>
        <w:t>による。</w:t>
      </w:r>
    </w:p>
    <w:p w14:paraId="660F772F" w14:textId="77777777" w:rsidR="00342321" w:rsidRPr="00BC31E0" w:rsidRDefault="00342321" w:rsidP="00736130">
      <w:pPr>
        <w:pStyle w:val="a4"/>
        <w:numPr>
          <w:ilvl w:val="0"/>
          <w:numId w:val="597"/>
        </w:numPr>
        <w:ind w:leftChars="0" w:left="454" w:hanging="454"/>
      </w:pPr>
      <w:r w:rsidRPr="00BC31E0">
        <w:rPr>
          <w:rFonts w:asciiTheme="majorEastAsia" w:eastAsiaTheme="majorEastAsia" w:hAnsiTheme="majorEastAsia" w:hint="eastAsia"/>
          <w:b/>
          <w:bCs/>
        </w:rPr>
        <w:t>放射線透過試験</w:t>
      </w:r>
      <w:r w:rsidRPr="00BC31E0">
        <w:rPr>
          <w:rFonts w:hint="eastAsia"/>
          <w:lang w:eastAsia="zh-TW"/>
        </w:rPr>
        <w:t xml:space="preserve">　</w:t>
      </w:r>
      <w:r w:rsidRPr="00BC31E0">
        <w:rPr>
          <w:rFonts w:hint="eastAsia"/>
        </w:rPr>
        <w:t>次の</w:t>
      </w:r>
      <w:r w:rsidR="003E0114" w:rsidRPr="00BC31E0">
        <w:rPr>
          <w:rFonts w:asciiTheme="majorEastAsia" w:eastAsiaTheme="majorEastAsia" w:hAnsiTheme="majorEastAsia" w:hint="eastAsia"/>
          <w:b/>
        </w:rPr>
        <w:t>1)</w:t>
      </w:r>
      <w:r w:rsidR="003E0114" w:rsidRPr="00BC31E0">
        <w:rPr>
          <w:rFonts w:hint="eastAsia"/>
        </w:rPr>
        <w:t>～</w:t>
      </w:r>
      <w:r w:rsidR="003E0114" w:rsidRPr="00BC31E0">
        <w:rPr>
          <w:rFonts w:asciiTheme="majorEastAsia" w:eastAsiaTheme="majorEastAsia" w:hAnsiTheme="majorEastAsia" w:hint="eastAsia"/>
          <w:b/>
        </w:rPr>
        <w:t>6)</w:t>
      </w:r>
      <w:r w:rsidRPr="00BC31E0">
        <w:rPr>
          <w:rFonts w:hint="eastAsia"/>
        </w:rPr>
        <w:t>の不完全部は，受け入れられない。</w:t>
      </w:r>
    </w:p>
    <w:p w14:paraId="7A5C41ED" w14:textId="77777777" w:rsidR="00342321" w:rsidRPr="00BC31E0" w:rsidRDefault="00342321" w:rsidP="00736130">
      <w:pPr>
        <w:pStyle w:val="a4"/>
        <w:numPr>
          <w:ilvl w:val="0"/>
          <w:numId w:val="215"/>
        </w:numPr>
        <w:ind w:leftChars="0" w:left="738" w:hanging="454"/>
      </w:pPr>
      <w:r w:rsidRPr="00BC31E0">
        <w:rPr>
          <w:rFonts w:hint="eastAsia"/>
        </w:rPr>
        <w:t>割れ又は融合不良，又は不完全溶込み部分の</w:t>
      </w:r>
      <w:r w:rsidR="00DC160D" w:rsidRPr="00BC31E0">
        <w:rPr>
          <w:rFonts w:hint="eastAsia"/>
        </w:rPr>
        <w:t>全</w:t>
      </w:r>
      <w:r w:rsidRPr="00BC31E0">
        <w:rPr>
          <w:rFonts w:hint="eastAsia"/>
        </w:rPr>
        <w:t>てのタイプ</w:t>
      </w:r>
    </w:p>
    <w:p w14:paraId="405A2AF7" w14:textId="77777777" w:rsidR="00342321" w:rsidRPr="00BC31E0" w:rsidRDefault="00342321" w:rsidP="00736130">
      <w:pPr>
        <w:pStyle w:val="a4"/>
        <w:numPr>
          <w:ilvl w:val="0"/>
          <w:numId w:val="215"/>
        </w:numPr>
        <w:ind w:leftChars="0" w:left="738" w:hanging="454"/>
      </w:pPr>
      <w:r w:rsidRPr="00BC31E0">
        <w:rPr>
          <w:rFonts w:hint="eastAsia"/>
        </w:rPr>
        <w:t>次の長さを超える線状指示模様</w:t>
      </w:r>
    </w:p>
    <w:p w14:paraId="5E2F27F6" w14:textId="77777777" w:rsidR="00342321" w:rsidRPr="00BC31E0" w:rsidRDefault="00342321" w:rsidP="00E74915">
      <w:pPr>
        <w:tabs>
          <w:tab w:val="left" w:pos="4111"/>
        </w:tabs>
        <w:ind w:left="737"/>
      </w:pPr>
      <m:oMath>
        <m:r>
          <w:rPr>
            <w:rFonts w:ascii="Cambria Math" w:hAnsi="Cambria Math"/>
          </w:rPr>
          <m:t>t</m:t>
        </m:r>
        <m:r>
          <m:rPr>
            <m:sty m:val="p"/>
          </m:rPr>
          <w:rPr>
            <w:rFonts w:ascii="Cambria Math" w:hAnsi="Cambria Math"/>
          </w:rPr>
          <m:t>≦</m:t>
        </m:r>
        <m:r>
          <w:rPr>
            <w:rFonts w:ascii="Cambria Math" w:hAnsi="Cambria Math"/>
          </w:rPr>
          <m:t xml:space="preserve">19 </m:t>
        </m:r>
        <m:r>
          <m:rPr>
            <m:sty m:val="p"/>
          </m:rPr>
          <w:rPr>
            <w:rFonts w:ascii="Cambria Math" w:hAnsi="Cambria Math"/>
          </w:rPr>
          <m:t xml:space="preserve">mm </m:t>
        </m:r>
      </m:oMath>
      <w:r w:rsidRPr="00BC31E0">
        <w:rPr>
          <w:rFonts w:hint="eastAsia"/>
        </w:rPr>
        <w:t>の場合</w:t>
      </w:r>
      <w:r w:rsidRPr="00BC31E0">
        <w:rPr>
          <w:rFonts w:hint="eastAsia"/>
        </w:rPr>
        <w:tab/>
      </w:r>
      <m:oMath>
        <m:r>
          <w:rPr>
            <w:rFonts w:ascii="Cambria Math" w:hAnsi="Cambria Math"/>
          </w:rPr>
          <m:t xml:space="preserve">6 </m:t>
        </m:r>
        <m:r>
          <m:rPr>
            <m:sty m:val="p"/>
          </m:rPr>
          <w:rPr>
            <w:rFonts w:ascii="Cambria Math" w:hAnsi="Cambria Math"/>
          </w:rPr>
          <m:t>mm</m:t>
        </m:r>
      </m:oMath>
      <w:r w:rsidRPr="00BC31E0">
        <w:rPr>
          <w:rFonts w:hint="eastAsia"/>
        </w:rPr>
        <w:t xml:space="preserve"> (</w:t>
      </w:r>
      <m:oMath>
        <m:r>
          <w:rPr>
            <w:rFonts w:ascii="Cambria Math" w:hAnsi="Cambria Math"/>
          </w:rPr>
          <m:t>t</m:t>
        </m:r>
      </m:oMath>
      <w:r w:rsidRPr="00BC31E0">
        <w:t>：溶接される厚さの薄い方</w:t>
      </w:r>
      <w:r w:rsidRPr="00BC31E0">
        <w:rPr>
          <w:rFonts w:hint="eastAsia"/>
        </w:rPr>
        <w:t>)</w:t>
      </w:r>
    </w:p>
    <w:p w14:paraId="521CE73A" w14:textId="77777777" w:rsidR="00342321" w:rsidRPr="00BC31E0" w:rsidRDefault="00342321" w:rsidP="00E74915">
      <w:pPr>
        <w:tabs>
          <w:tab w:val="left" w:pos="4111"/>
        </w:tabs>
        <w:ind w:left="737"/>
      </w:pPr>
      <m:oMath>
        <m:r>
          <w:rPr>
            <w:rFonts w:ascii="Cambria Math" w:hAnsi="Cambria Math"/>
          </w:rPr>
          <m:t xml:space="preserve">19 </m:t>
        </m:r>
        <m:r>
          <m:rPr>
            <m:sty m:val="p"/>
          </m:rPr>
          <w:rPr>
            <w:rFonts w:ascii="Cambria Math" w:hAnsi="Cambria Math"/>
          </w:rPr>
          <m:t>mm</m:t>
        </m:r>
        <m:r>
          <w:rPr>
            <w:rFonts w:ascii="Cambria Math" w:hAnsi="Cambria Math"/>
          </w:rPr>
          <m:t>&lt;t</m:t>
        </m:r>
        <m:r>
          <m:rPr>
            <m:sty m:val="p"/>
          </m:rPr>
          <w:rPr>
            <w:rFonts w:ascii="Cambria Math" w:hAnsi="Cambria Math"/>
          </w:rPr>
          <m:t>≦</m:t>
        </m:r>
        <m:r>
          <w:rPr>
            <w:rFonts w:ascii="Cambria Math" w:hAnsi="Cambria Math" w:hint="eastAsia"/>
          </w:rPr>
          <m:t xml:space="preserve"> </m:t>
        </m:r>
        <m:r>
          <w:rPr>
            <w:rFonts w:ascii="Cambria Math" w:hAnsi="Cambria Math"/>
          </w:rPr>
          <m:t xml:space="preserve">57 </m:t>
        </m:r>
        <m:r>
          <m:rPr>
            <m:sty m:val="p"/>
          </m:rPr>
          <w:rPr>
            <w:rFonts w:ascii="Cambria Math" w:hAnsi="Cambria Math"/>
          </w:rPr>
          <m:t xml:space="preserve">mm </m:t>
        </m:r>
      </m:oMath>
      <w:r w:rsidRPr="00BC31E0">
        <w:rPr>
          <w:rFonts w:hint="eastAsia"/>
        </w:rPr>
        <w:t>の場合</w:t>
      </w:r>
      <w:r w:rsidRPr="00BC31E0">
        <w:rPr>
          <w:rFonts w:hint="eastAsia"/>
        </w:rPr>
        <w:tab/>
      </w:r>
      <m:oMath>
        <m:f>
          <m:fPr>
            <m:type m:val="lin"/>
            <m:ctrlPr>
              <w:rPr>
                <w:rFonts w:ascii="Cambria Math" w:hAnsi="Cambria Math"/>
                <w:i/>
              </w:rPr>
            </m:ctrlPr>
          </m:fPr>
          <m:num>
            <m:r>
              <w:rPr>
                <w:rFonts w:ascii="Cambria Math" w:hAnsi="Cambria Math"/>
              </w:rPr>
              <m:t>t</m:t>
            </m:r>
          </m:num>
          <m:den>
            <m:r>
              <w:rPr>
                <w:rFonts w:ascii="Cambria Math" w:hAnsi="Cambria Math"/>
              </w:rPr>
              <m:t>3</m:t>
            </m:r>
          </m:den>
        </m:f>
        <m:r>
          <w:rPr>
            <w:rFonts w:ascii="Cambria Math" w:hAnsi="Cambria Math"/>
          </w:rPr>
          <m:t xml:space="preserve"> </m:t>
        </m:r>
        <m:r>
          <m:rPr>
            <m:sty m:val="p"/>
          </m:rPr>
          <w:rPr>
            <w:rFonts w:ascii="Cambria Math" w:hAnsi="Cambria Math"/>
          </w:rPr>
          <m:t>mm</m:t>
        </m:r>
      </m:oMath>
    </w:p>
    <w:p w14:paraId="39DF7443" w14:textId="77777777" w:rsidR="00342321" w:rsidRPr="00BC31E0" w:rsidRDefault="00342321" w:rsidP="00E74915">
      <w:pPr>
        <w:tabs>
          <w:tab w:val="left" w:pos="4111"/>
        </w:tabs>
        <w:ind w:left="737"/>
      </w:pPr>
      <m:oMath>
        <m:r>
          <w:rPr>
            <w:rFonts w:ascii="Cambria Math" w:hAnsi="Cambria Math"/>
          </w:rPr>
          <m:t>t</m:t>
        </m:r>
        <m:r>
          <m:rPr>
            <m:sty m:val="p"/>
          </m:rPr>
          <w:rPr>
            <w:rFonts w:ascii="Cambria Math" w:hAnsi="Cambria Math"/>
          </w:rPr>
          <m:t>&gt;</m:t>
        </m:r>
        <m:r>
          <w:rPr>
            <w:rFonts w:ascii="Cambria Math" w:hAnsi="Cambria Math"/>
          </w:rPr>
          <m:t xml:space="preserve">57 </m:t>
        </m:r>
        <m:r>
          <m:rPr>
            <m:sty m:val="p"/>
          </m:rPr>
          <w:rPr>
            <w:rFonts w:ascii="Cambria Math" w:hAnsi="Cambria Math"/>
          </w:rPr>
          <m:t xml:space="preserve">mm </m:t>
        </m:r>
      </m:oMath>
      <w:r w:rsidRPr="00BC31E0">
        <w:rPr>
          <w:rFonts w:hint="eastAsia"/>
        </w:rPr>
        <w:t>の場合</w:t>
      </w:r>
      <w:r w:rsidRPr="00BC31E0">
        <w:rPr>
          <w:rFonts w:hint="eastAsia"/>
        </w:rPr>
        <w:tab/>
      </w:r>
      <m:oMath>
        <m:r>
          <w:rPr>
            <w:rFonts w:ascii="Cambria Math" w:hAnsi="Cambria Math"/>
          </w:rPr>
          <m:t xml:space="preserve">19 </m:t>
        </m:r>
        <m:r>
          <m:rPr>
            <m:sty m:val="p"/>
          </m:rPr>
          <w:rPr>
            <w:rFonts w:ascii="Cambria Math" w:hAnsi="Cambria Math"/>
          </w:rPr>
          <m:t>mm</m:t>
        </m:r>
      </m:oMath>
    </w:p>
    <w:p w14:paraId="4C7C0029" w14:textId="77777777" w:rsidR="00342321" w:rsidRPr="00BC31E0" w:rsidRDefault="00342321" w:rsidP="00736130">
      <w:pPr>
        <w:pStyle w:val="a4"/>
        <w:numPr>
          <w:ilvl w:val="0"/>
          <w:numId w:val="215"/>
        </w:numPr>
        <w:ind w:leftChars="0" w:left="738" w:hanging="454"/>
      </w:pPr>
      <w:r w:rsidRPr="00BC31E0">
        <w:rPr>
          <w:rFonts w:hint="eastAsia"/>
        </w:rPr>
        <w:t>放射線フィルムに示す濃度変化が急変しなければ，内部ルート溶接条件は受入られる。こような条件の両端でのフィルム上の線状指示模様は，</w:t>
      </w:r>
      <w:r w:rsidRPr="00BC31E0">
        <w:rPr>
          <w:rFonts w:hint="eastAsia"/>
        </w:rPr>
        <w:t xml:space="preserve"> </w:t>
      </w:r>
      <w:r w:rsidRPr="00BC31E0">
        <w:rPr>
          <w:rFonts w:ascii="ＭＳ 明朝" w:hAnsi="ＭＳ 明朝" w:hint="eastAsia"/>
        </w:rPr>
        <w:t>上記</w:t>
      </w:r>
      <w:r w:rsidRPr="00BC31E0">
        <w:rPr>
          <w:rFonts w:asciiTheme="majorEastAsia" w:eastAsiaTheme="majorEastAsia" w:hAnsiTheme="majorEastAsia" w:hint="eastAsia"/>
          <w:b/>
        </w:rPr>
        <w:t>2)</w:t>
      </w:r>
      <w:r w:rsidRPr="00BC31E0">
        <w:rPr>
          <w:rFonts w:hint="eastAsia"/>
        </w:rPr>
        <w:t>に示す条件を満足しなければならない。</w:t>
      </w:r>
    </w:p>
    <w:p w14:paraId="4C1F0C38" w14:textId="77777777" w:rsidR="00342321" w:rsidRPr="00BC31E0" w:rsidRDefault="00342321" w:rsidP="00736130">
      <w:pPr>
        <w:pStyle w:val="a4"/>
        <w:numPr>
          <w:ilvl w:val="0"/>
          <w:numId w:val="215"/>
        </w:numPr>
        <w:ind w:leftChars="0" w:left="738" w:hanging="454"/>
      </w:pPr>
      <m:oMath>
        <m:r>
          <w:rPr>
            <w:rFonts w:ascii="Cambria Math" w:hAnsi="Cambria Math"/>
          </w:rPr>
          <m:t xml:space="preserve">12 t </m:t>
        </m:r>
      </m:oMath>
      <w:r w:rsidRPr="00BC31E0">
        <w:t>の長さ</w:t>
      </w:r>
      <w:r w:rsidRPr="00BC31E0">
        <w:rPr>
          <w:rFonts w:hint="eastAsia"/>
        </w:rPr>
        <w:t>中</w:t>
      </w:r>
      <w:r w:rsidRPr="00BC31E0">
        <w:t>に，</w:t>
      </w:r>
      <m:oMath>
        <m:r>
          <w:rPr>
            <w:rFonts w:ascii="Cambria Math" w:hAnsi="Cambria Math"/>
          </w:rPr>
          <m:t xml:space="preserve">t </m:t>
        </m:r>
      </m:oMath>
      <w:r w:rsidRPr="00BC31E0">
        <w:t>を超える集合長さの一線上にある円形状指示模様。ただし，集合長さ</w:t>
      </w:r>
      <w:r w:rsidRPr="00BC31E0">
        <w:rPr>
          <w:rFonts w:hint="eastAsia"/>
        </w:rPr>
        <w:t>を</w:t>
      </w:r>
      <w:r w:rsidRPr="00BC31E0">
        <w:t>限定</w:t>
      </w:r>
      <w:r w:rsidRPr="00BC31E0">
        <w:rPr>
          <w:rFonts w:hint="eastAsia"/>
        </w:rPr>
        <w:t>せず，</w:t>
      </w:r>
      <w:r w:rsidRPr="00BC31E0">
        <w:t>指示模様間の最小距離が</w:t>
      </w:r>
      <m:oMath>
        <m:r>
          <w:rPr>
            <w:rFonts w:ascii="Cambria Math" w:hAnsi="Cambria Math"/>
          </w:rPr>
          <m:t>6</m:t>
        </m:r>
        <m:r>
          <w:rPr>
            <w:rFonts w:ascii="Cambria Math" w:hAnsi="Cambria Math" w:hint="eastAsia"/>
          </w:rPr>
          <m:t xml:space="preserve"> </m:t>
        </m:r>
        <m:r>
          <w:rPr>
            <w:rFonts w:ascii="Cambria Math" w:hAnsi="Cambria Math"/>
          </w:rPr>
          <m:t>L</m:t>
        </m:r>
      </m:oMath>
      <w:r w:rsidRPr="00BC31E0">
        <w:rPr>
          <w:rFonts w:hint="eastAsia"/>
        </w:rPr>
        <w:t>(</w:t>
      </w:r>
      <m:oMath>
        <m:r>
          <w:rPr>
            <w:rFonts w:ascii="Cambria Math" w:hAnsi="Cambria Math"/>
          </w:rPr>
          <m:t>L</m:t>
        </m:r>
      </m:oMath>
      <w:r w:rsidRPr="00BC31E0">
        <w:t>：最大指示模様長さ</w:t>
      </w:r>
      <w:r w:rsidRPr="00BC31E0">
        <w:rPr>
          <w:rFonts w:hint="eastAsia"/>
        </w:rPr>
        <w:t>)</w:t>
      </w:r>
      <w:r w:rsidRPr="00BC31E0">
        <w:t>を超えている場合は</w:t>
      </w:r>
      <w:r w:rsidRPr="00BC31E0">
        <w:rPr>
          <w:rFonts w:hint="eastAsia"/>
        </w:rPr>
        <w:t>除く</w:t>
      </w:r>
      <w:r w:rsidRPr="00BC31E0">
        <w:t>。</w:t>
      </w:r>
    </w:p>
    <w:p w14:paraId="5E24ACB0" w14:textId="77777777" w:rsidR="00342321" w:rsidRPr="00BC31E0" w:rsidRDefault="00342321" w:rsidP="00736130">
      <w:pPr>
        <w:pStyle w:val="a4"/>
        <w:numPr>
          <w:ilvl w:val="0"/>
          <w:numId w:val="215"/>
        </w:numPr>
        <w:ind w:leftChars="0" w:left="738" w:hanging="454"/>
      </w:pPr>
      <w:r w:rsidRPr="00BC31E0">
        <w:rPr>
          <w:rFonts w:asciiTheme="majorEastAsia" w:eastAsiaTheme="majorEastAsia" w:hAnsiTheme="majorEastAsia" w:hint="eastAsia"/>
          <w:b/>
        </w:rPr>
        <w:t>表9.3.1</w:t>
      </w:r>
      <w:r w:rsidRPr="00BC31E0">
        <w:rPr>
          <w:rFonts w:hint="eastAsia"/>
        </w:rPr>
        <w:t>及び</w:t>
      </w:r>
      <w:r w:rsidRPr="00BC31E0">
        <w:rPr>
          <w:rFonts w:hint="eastAsia"/>
        </w:rPr>
        <w:t xml:space="preserve"> </w:t>
      </w:r>
      <w:r w:rsidRPr="00BC31E0">
        <w:rPr>
          <w:rFonts w:asciiTheme="majorEastAsia" w:eastAsiaTheme="majorEastAsia" w:hAnsiTheme="majorEastAsia" w:hint="eastAsia"/>
          <w:b/>
        </w:rPr>
        <w:t>附属書I</w:t>
      </w:r>
      <w:r w:rsidRPr="00BC31E0">
        <w:rPr>
          <w:rFonts w:hAnsi="ＭＳ ゴシック" w:hint="eastAsia"/>
        </w:rPr>
        <w:t>の</w:t>
      </w:r>
      <w:r w:rsidRPr="00BC31E0">
        <w:rPr>
          <w:rFonts w:hint="eastAsia"/>
        </w:rPr>
        <w:t>判定基準を超える円形状指示模様</w:t>
      </w:r>
    </w:p>
    <w:p w14:paraId="4001CECE" w14:textId="77777777" w:rsidR="00342321" w:rsidRPr="00BC31E0" w:rsidRDefault="00342321" w:rsidP="00736130">
      <w:pPr>
        <w:pStyle w:val="a4"/>
        <w:numPr>
          <w:ilvl w:val="0"/>
          <w:numId w:val="215"/>
        </w:numPr>
        <w:ind w:leftChars="0" w:left="738" w:hanging="454"/>
      </w:pPr>
      <w:r w:rsidRPr="00BC31E0">
        <w:rPr>
          <w:rFonts w:asciiTheme="majorEastAsia" w:eastAsiaTheme="majorEastAsia" w:hAnsiTheme="majorEastAsia" w:hint="eastAsia"/>
          <w:b/>
        </w:rPr>
        <w:t>2)</w:t>
      </w:r>
      <w:r w:rsidRPr="00BC31E0">
        <w:rPr>
          <w:rFonts w:hAnsi="ＭＳ ゴシック" w:hint="eastAsia"/>
        </w:rPr>
        <w:t>～</w:t>
      </w:r>
      <w:r w:rsidRPr="00BC31E0">
        <w:rPr>
          <w:rFonts w:asciiTheme="majorEastAsia" w:eastAsiaTheme="majorEastAsia" w:hAnsiTheme="majorEastAsia" w:hint="eastAsia"/>
          <w:b/>
        </w:rPr>
        <w:t>5)</w:t>
      </w:r>
      <w:r w:rsidRPr="00BC31E0">
        <w:rPr>
          <w:rFonts w:hint="eastAsia"/>
        </w:rPr>
        <w:t>に代えて，鋼の場合は</w:t>
      </w:r>
      <w:r w:rsidRPr="00BC31E0">
        <w:rPr>
          <w:rFonts w:asciiTheme="majorEastAsia" w:eastAsiaTheme="majorEastAsia" w:hAnsiTheme="majorEastAsia" w:hint="eastAsia"/>
          <w:b/>
        </w:rPr>
        <w:t>JIS Z 3104</w:t>
      </w:r>
      <w:r w:rsidRPr="00BC31E0">
        <w:rPr>
          <w:rFonts w:hint="eastAsia"/>
        </w:rPr>
        <w:t>，ステンレス鋼・耐食耐熱超合金及びその他これに類する</w:t>
      </w:r>
      <w:r w:rsidR="004A63E8" w:rsidRPr="00BC31E0">
        <w:rPr>
          <w:rFonts w:hint="eastAsia"/>
        </w:rPr>
        <w:t>指示模様</w:t>
      </w:r>
      <w:r w:rsidRPr="00BC31E0">
        <w:rPr>
          <w:rFonts w:hint="eastAsia"/>
        </w:rPr>
        <w:t>は</w:t>
      </w:r>
      <w:r w:rsidRPr="00BC31E0">
        <w:rPr>
          <w:rFonts w:asciiTheme="majorEastAsia" w:eastAsiaTheme="majorEastAsia" w:hAnsiTheme="majorEastAsia" w:hint="eastAsia"/>
          <w:b/>
        </w:rPr>
        <w:t>JIS Z 3106</w:t>
      </w:r>
      <w:r w:rsidRPr="00BC31E0">
        <w:rPr>
          <w:rFonts w:hint="eastAsia"/>
        </w:rPr>
        <w:t>における透過写真によるきずの像の分類方法により，判定基準を</w:t>
      </w:r>
      <w:r w:rsidRPr="00BC31E0">
        <w:t>1</w:t>
      </w:r>
      <w:r w:rsidRPr="00BC31E0">
        <w:rPr>
          <w:rFonts w:hint="eastAsia"/>
        </w:rPr>
        <w:t>類とする。</w:t>
      </w:r>
    </w:p>
    <w:p w14:paraId="206779C6" w14:textId="77777777" w:rsidR="00342321" w:rsidRPr="00BC31E0" w:rsidRDefault="00342321" w:rsidP="00736130">
      <w:pPr>
        <w:pStyle w:val="a4"/>
        <w:numPr>
          <w:ilvl w:val="0"/>
          <w:numId w:val="597"/>
        </w:numPr>
        <w:ind w:leftChars="0" w:left="454" w:hanging="454"/>
        <w:rPr>
          <w:b/>
        </w:rPr>
      </w:pPr>
      <w:r w:rsidRPr="00BC31E0">
        <w:rPr>
          <w:rFonts w:asciiTheme="majorEastAsia" w:eastAsiaTheme="majorEastAsia" w:hAnsiTheme="majorEastAsia" w:hint="eastAsia"/>
          <w:b/>
          <w:bCs/>
        </w:rPr>
        <w:t>超音波探傷試験</w:t>
      </w:r>
      <w:r w:rsidRPr="00BC31E0">
        <w:rPr>
          <w:rFonts w:hint="eastAsia"/>
        </w:rPr>
        <w:t xml:space="preserve">　</w:t>
      </w:r>
      <w:r w:rsidRPr="00BC31E0">
        <w:rPr>
          <w:rFonts w:asciiTheme="majorEastAsia" w:eastAsiaTheme="majorEastAsia" w:hAnsiTheme="majorEastAsia" w:hint="eastAsia"/>
          <w:b/>
        </w:rPr>
        <w:t>9.3.2 i) 1)</w:t>
      </w:r>
      <w:r w:rsidRPr="00BC31E0">
        <w:rPr>
          <w:rFonts w:hint="eastAsia"/>
        </w:rPr>
        <w:t>の超音波探傷試験データの解析基準に従って，これら</w:t>
      </w:r>
      <w:r w:rsidR="00A2398B" w:rsidRPr="00BC31E0">
        <w:rPr>
          <w:rFonts w:hint="eastAsia"/>
        </w:rPr>
        <w:t>全</w:t>
      </w:r>
      <w:r w:rsidRPr="00BC31E0">
        <w:rPr>
          <w:rFonts w:hint="eastAsia"/>
        </w:rPr>
        <w:t>ての指示模様の形状，特徴，位置を調査し，次の</w:t>
      </w:r>
      <w:r w:rsidRPr="00BC31E0">
        <w:rPr>
          <w:rFonts w:asciiTheme="majorEastAsia" w:eastAsiaTheme="majorEastAsia" w:hAnsiTheme="majorEastAsia" w:hint="eastAsia"/>
          <w:b/>
        </w:rPr>
        <w:t>1)</w:t>
      </w:r>
      <w:r w:rsidRPr="00BC31E0">
        <w:rPr>
          <w:rFonts w:hint="eastAsia"/>
        </w:rPr>
        <w:t>，</w:t>
      </w:r>
      <w:r w:rsidRPr="00BC31E0">
        <w:rPr>
          <w:rFonts w:asciiTheme="majorEastAsia" w:eastAsiaTheme="majorEastAsia" w:hAnsiTheme="majorEastAsia" w:hint="eastAsia"/>
          <w:b/>
        </w:rPr>
        <w:t>2)</w:t>
      </w:r>
      <w:r w:rsidRPr="00BC31E0">
        <w:rPr>
          <w:rFonts w:hint="eastAsia"/>
        </w:rPr>
        <w:t>の要求とともに</w:t>
      </w:r>
      <w:r w:rsidRPr="00BC31E0">
        <w:rPr>
          <w:rFonts w:asciiTheme="majorEastAsia" w:eastAsiaTheme="majorEastAsia" w:hAnsiTheme="majorEastAsia" w:hint="eastAsia"/>
          <w:b/>
        </w:rPr>
        <w:t>2.1)</w:t>
      </w:r>
      <w:r w:rsidRPr="00BC31E0">
        <w:rPr>
          <w:rFonts w:hint="eastAsia"/>
        </w:rPr>
        <w:t>～</w:t>
      </w:r>
      <w:r w:rsidRPr="00BC31E0">
        <w:rPr>
          <w:rFonts w:asciiTheme="majorEastAsia" w:eastAsiaTheme="majorEastAsia" w:hAnsiTheme="majorEastAsia" w:hint="eastAsia"/>
          <w:b/>
        </w:rPr>
        <w:t>2.3)</w:t>
      </w:r>
      <w:r w:rsidRPr="00BC31E0">
        <w:rPr>
          <w:rFonts w:hint="eastAsia"/>
        </w:rPr>
        <w:t>の判定基準に対して評価する。</w:t>
      </w:r>
    </w:p>
    <w:p w14:paraId="3CB7589A" w14:textId="77777777" w:rsidR="00342321" w:rsidRPr="00BC31E0" w:rsidRDefault="00342321" w:rsidP="00736130">
      <w:pPr>
        <w:pStyle w:val="a4"/>
        <w:numPr>
          <w:ilvl w:val="0"/>
          <w:numId w:val="348"/>
        </w:numPr>
        <w:ind w:leftChars="0" w:left="738" w:hanging="454"/>
      </w:pPr>
      <w:r w:rsidRPr="00BC31E0">
        <w:t>指示模様の</w:t>
      </w:r>
      <w:r w:rsidRPr="00BC31E0">
        <w:rPr>
          <w:rFonts w:hint="eastAsia"/>
        </w:rPr>
        <w:t>高さ</w:t>
      </w:r>
      <w:r w:rsidRPr="00BC31E0">
        <w:t>及び長さを，判定基準として評価するきず高さ</w:t>
      </w:r>
      <w:r w:rsidRPr="00BC31E0">
        <w:rPr>
          <w:rFonts w:hint="eastAsia"/>
        </w:rPr>
        <w:t>(</w:t>
      </w:r>
      <w:r w:rsidRPr="00BC31E0">
        <w:t>表面</w:t>
      </w:r>
      <w:r w:rsidRPr="00BC31E0">
        <w:rPr>
          <w:rFonts w:hint="eastAsia"/>
        </w:rPr>
        <w:t>きず</w:t>
      </w:r>
      <w:r w:rsidRPr="00BC31E0">
        <w:t>の場合は</w:t>
      </w:r>
      <m:oMath>
        <m:r>
          <m:rPr>
            <m:sty m:val="p"/>
          </m:rPr>
          <w:rPr>
            <w:rFonts w:ascii="Cambria Math" w:hAnsi="Cambria Math"/>
          </w:rPr>
          <m:t xml:space="preserve"> </m:t>
        </m:r>
        <m:r>
          <w:rPr>
            <w:rFonts w:ascii="Cambria Math" w:hAnsi="Cambria Math"/>
          </w:rPr>
          <m:t>a</m:t>
        </m:r>
      </m:oMath>
      <w:r w:rsidRPr="00BC31E0">
        <w:t>，内部</w:t>
      </w:r>
      <w:r w:rsidRPr="00BC31E0">
        <w:rPr>
          <w:rFonts w:hint="eastAsia"/>
        </w:rPr>
        <w:t>きず</w:t>
      </w:r>
      <w:r w:rsidRPr="00BC31E0">
        <w:t>の場合は</w:t>
      </w:r>
      <m:oMath>
        <m:r>
          <w:rPr>
            <w:rFonts w:ascii="Cambria Math" w:hAnsi="Cambria Math"/>
          </w:rPr>
          <m:t xml:space="preserve"> 2a</m:t>
        </m:r>
      </m:oMath>
      <w:r w:rsidRPr="00BC31E0">
        <w:rPr>
          <w:rFonts w:hint="eastAsia"/>
        </w:rPr>
        <w:t>)</w:t>
      </w:r>
      <w:r w:rsidRPr="00BC31E0">
        <w:rPr>
          <w:rFonts w:cs="Century" w:hint="eastAsia"/>
        </w:rPr>
        <w:t>(</w:t>
      </w:r>
      <m:oMath>
        <m:r>
          <w:rPr>
            <w:rFonts w:ascii="Cambria Math" w:hAnsi="Cambria Math"/>
          </w:rPr>
          <m:t>a</m:t>
        </m:r>
      </m:oMath>
      <w:r w:rsidRPr="00BC31E0">
        <w:rPr>
          <w:rFonts w:cs="Century"/>
        </w:rPr>
        <w:t>：</w:t>
      </w:r>
      <w:r w:rsidRPr="00BC31E0">
        <w:t>mm</w:t>
      </w:r>
      <w:r w:rsidRPr="00BC31E0">
        <w:rPr>
          <w:rFonts w:cs="Century" w:hint="eastAsia"/>
        </w:rPr>
        <w:t>)</w:t>
      </w:r>
      <w:r w:rsidRPr="00BC31E0">
        <w:rPr>
          <w:rFonts w:cs="Century" w:hint="eastAsia"/>
        </w:rPr>
        <w:t>及び</w:t>
      </w:r>
      <w:r w:rsidRPr="00BC31E0">
        <w:rPr>
          <w:rFonts w:hint="eastAsia"/>
        </w:rPr>
        <w:t>きず</w:t>
      </w:r>
      <w:r w:rsidRPr="00BC31E0">
        <w:t>長さ</w:t>
      </w:r>
      <w:r w:rsidRPr="00BC31E0">
        <w:rPr>
          <w:rFonts w:hint="eastAsia"/>
        </w:rPr>
        <w:t>(</w:t>
      </w:r>
      <m:oMath>
        <m:r>
          <w:rPr>
            <w:rFonts w:ascii="Cambria Math" w:hAnsi="Cambria Math"/>
          </w:rPr>
          <m:t>l</m:t>
        </m:r>
      </m:oMath>
      <w:r w:rsidRPr="00BC31E0">
        <w:rPr>
          <w:rFonts w:cs="Century"/>
        </w:rPr>
        <w:t>：</w:t>
      </w:r>
      <w:r w:rsidRPr="00BC31E0">
        <w:t>mm</w:t>
      </w:r>
      <w:r w:rsidRPr="00BC31E0">
        <w:rPr>
          <w:rFonts w:cs="Century" w:hint="eastAsia"/>
        </w:rPr>
        <w:t>)</w:t>
      </w:r>
      <w:r w:rsidRPr="00BC31E0">
        <w:t>に置き換える方法は次による。</w:t>
      </w:r>
    </w:p>
    <w:p w14:paraId="60CEE436" w14:textId="77777777" w:rsidR="00A2398B" w:rsidRPr="00BC31E0" w:rsidRDefault="00342321" w:rsidP="00736130">
      <w:pPr>
        <w:pStyle w:val="a4"/>
        <w:numPr>
          <w:ilvl w:val="0"/>
          <w:numId w:val="349"/>
        </w:numPr>
        <w:ind w:leftChars="0" w:left="1134" w:hanging="567"/>
      </w:pPr>
      <w:r w:rsidRPr="00BC31E0">
        <w:rPr>
          <w:rFonts w:hint="eastAsia"/>
        </w:rPr>
        <w:t>単一指示模様の場合は，</w:t>
      </w:r>
      <w:r w:rsidRPr="00BC31E0">
        <w:rPr>
          <w:rFonts w:asciiTheme="majorEastAsia" w:eastAsiaTheme="majorEastAsia" w:hAnsiTheme="majorEastAsia" w:hint="eastAsia"/>
          <w:b/>
          <w:bCs/>
        </w:rPr>
        <w:t>図</w:t>
      </w:r>
      <w:r w:rsidRPr="00BC31E0">
        <w:rPr>
          <w:rFonts w:asciiTheme="majorEastAsia" w:eastAsiaTheme="majorEastAsia" w:hAnsiTheme="majorEastAsia"/>
          <w:b/>
          <w:bCs/>
        </w:rPr>
        <w:t>9.3.2</w:t>
      </w:r>
      <w:r w:rsidRPr="00BC31E0">
        <w:rPr>
          <w:rFonts w:asciiTheme="majorEastAsia" w:eastAsiaTheme="majorEastAsia" w:hAnsiTheme="majorEastAsia"/>
          <w:b/>
        </w:rPr>
        <w:t xml:space="preserve"> </w:t>
      </w:r>
      <w:r w:rsidRPr="00BC31E0">
        <w:rPr>
          <w:rFonts w:hint="eastAsia"/>
        </w:rPr>
        <w:t>による。</w:t>
      </w:r>
    </w:p>
    <w:p w14:paraId="7C15C467" w14:textId="77777777" w:rsidR="00342321" w:rsidRPr="00BC31E0" w:rsidRDefault="00342321" w:rsidP="00736130">
      <w:pPr>
        <w:pStyle w:val="a4"/>
        <w:numPr>
          <w:ilvl w:val="0"/>
          <w:numId w:val="349"/>
        </w:numPr>
        <w:ind w:leftChars="0" w:left="1134" w:hanging="567"/>
      </w:pPr>
      <w:r w:rsidRPr="00BC31E0">
        <w:t>複数指示模様の場合は，</w:t>
      </w:r>
      <w:r w:rsidRPr="00BC31E0">
        <w:rPr>
          <w:rFonts w:asciiTheme="majorEastAsia" w:eastAsiaTheme="majorEastAsia" w:hAnsiTheme="majorEastAsia"/>
          <w:b/>
          <w:bCs/>
        </w:rPr>
        <w:t>図9.3.3</w:t>
      </w:r>
      <w:r w:rsidRPr="00BC31E0">
        <w:t>～</w:t>
      </w:r>
      <w:r w:rsidRPr="00BC31E0">
        <w:rPr>
          <w:rFonts w:asciiTheme="majorEastAsia" w:eastAsiaTheme="majorEastAsia" w:hAnsiTheme="majorEastAsia"/>
          <w:b/>
          <w:bCs/>
        </w:rPr>
        <w:t>図9.3.6</w:t>
      </w:r>
      <w:r w:rsidRPr="00BC31E0">
        <w:t>による。圧力</w:t>
      </w:r>
      <w:r w:rsidRPr="00BC31E0">
        <w:rPr>
          <w:rFonts w:hint="eastAsia"/>
        </w:rPr>
        <w:t>を受ける</w:t>
      </w:r>
      <w:r w:rsidRPr="00BC31E0">
        <w:t>面に垂直な同一</w:t>
      </w:r>
      <w:r w:rsidRPr="00BC31E0">
        <w:rPr>
          <w:rFonts w:hint="eastAsia"/>
        </w:rPr>
        <w:t>平</w:t>
      </w:r>
      <w:r w:rsidRPr="00BC31E0">
        <w:t>面上にある並列な複数個の平面</w:t>
      </w:r>
      <w:r w:rsidRPr="00BC31E0">
        <w:rPr>
          <w:rFonts w:hint="eastAsia"/>
        </w:rPr>
        <w:t>きず間</w:t>
      </w:r>
      <w:r w:rsidRPr="00BC31E0">
        <w:t>の距離</w:t>
      </w:r>
      <m:oMath>
        <m:r>
          <m:rPr>
            <m:sty m:val="p"/>
          </m:rPr>
          <w:rPr>
            <w:rFonts w:ascii="Cambria Math" w:hAnsi="Cambria Math"/>
          </w:rPr>
          <m:t xml:space="preserve"> </m:t>
        </m:r>
        <m:r>
          <w:rPr>
            <w:rFonts w:ascii="Cambria Math" w:hAnsi="Cambria Math"/>
          </w:rPr>
          <m:t>S</m:t>
        </m:r>
        <m:r>
          <w:rPr>
            <w:rFonts w:ascii="Cambria Math" w:hAnsi="Cambria Math" w:hint="eastAsia"/>
          </w:rPr>
          <m:t xml:space="preserve"> </m:t>
        </m:r>
      </m:oMath>
      <w:r w:rsidRPr="00BC31E0">
        <w:t>が</w:t>
      </w:r>
      <w:r w:rsidRPr="00BC31E0">
        <w:rPr>
          <w:rFonts w:hint="eastAsia"/>
        </w:rPr>
        <w:t>合体の判定基準</w:t>
      </w:r>
      <w:r w:rsidRPr="00BC31E0">
        <w:t>以下の場合には</w:t>
      </w:r>
      <w:r w:rsidRPr="00BC31E0">
        <w:rPr>
          <w:rFonts w:hint="eastAsia"/>
        </w:rPr>
        <w:t>，単</w:t>
      </w:r>
      <w:r w:rsidRPr="00BC31E0">
        <w:lastRenderedPageBreak/>
        <w:t>一の</w:t>
      </w:r>
      <w:r w:rsidRPr="00BC31E0">
        <w:rPr>
          <w:rFonts w:hint="eastAsia"/>
        </w:rPr>
        <w:t>平面きず</w:t>
      </w:r>
      <w:r w:rsidRPr="00BC31E0">
        <w:t>と</w:t>
      </w:r>
      <w:r w:rsidRPr="00BC31E0">
        <w:rPr>
          <w:rFonts w:hint="eastAsia"/>
        </w:rPr>
        <w:t>する</w:t>
      </w:r>
      <w:r w:rsidRPr="00BC31E0">
        <w:rPr>
          <w:rFonts w:hint="eastAsia"/>
        </w:rPr>
        <w:t>(</w:t>
      </w:r>
      <w:r w:rsidRPr="00BC31E0">
        <w:rPr>
          <w:rFonts w:asciiTheme="majorEastAsia" w:eastAsiaTheme="majorEastAsia" w:hAnsiTheme="majorEastAsia"/>
          <w:b/>
          <w:bCs/>
        </w:rPr>
        <w:t>図9.3.3</w:t>
      </w:r>
      <w:r w:rsidRPr="00BC31E0">
        <w:rPr>
          <w:rFonts w:hint="eastAsia"/>
        </w:rPr>
        <w:t>を参照</w:t>
      </w:r>
      <w:r w:rsidRPr="00BC31E0">
        <w:rPr>
          <w:rFonts w:hint="eastAsia"/>
        </w:rPr>
        <w:t>)</w:t>
      </w:r>
      <w:r w:rsidRPr="00BC31E0">
        <w:t>。</w:t>
      </w:r>
      <w:r w:rsidRPr="00BC31E0">
        <w:t>13 mm</w:t>
      </w:r>
      <w:r w:rsidRPr="00BC31E0">
        <w:t>以下の間隔の平行平面上にある接近する複数個の平面</w:t>
      </w:r>
      <w:r w:rsidRPr="00BC31E0">
        <w:rPr>
          <w:rFonts w:hint="eastAsia"/>
        </w:rPr>
        <w:t>きず</w:t>
      </w:r>
      <w:r w:rsidRPr="00BC31E0">
        <w:t>は</w:t>
      </w:r>
      <w:r w:rsidRPr="00BC31E0">
        <w:rPr>
          <w:rFonts w:hint="eastAsia"/>
        </w:rPr>
        <w:t>，同一平面上の平面きずとする</w:t>
      </w:r>
      <w:r w:rsidRPr="00BC31E0">
        <w:rPr>
          <w:rFonts w:hint="eastAsia"/>
        </w:rPr>
        <w:t>(</w:t>
      </w:r>
      <w:r w:rsidRPr="00BC31E0">
        <w:rPr>
          <w:rFonts w:asciiTheme="majorEastAsia" w:eastAsiaTheme="majorEastAsia" w:hAnsiTheme="majorEastAsia"/>
          <w:b/>
          <w:bCs/>
        </w:rPr>
        <w:t>図9.3.4</w:t>
      </w:r>
      <w:r w:rsidRPr="00BC31E0">
        <w:rPr>
          <w:rFonts w:hint="eastAsia"/>
        </w:rPr>
        <w:t>を参照</w:t>
      </w:r>
      <w:r w:rsidRPr="00BC31E0">
        <w:rPr>
          <w:rFonts w:hint="eastAsia"/>
        </w:rPr>
        <w:t>)</w:t>
      </w:r>
      <w:r w:rsidRPr="00BC31E0">
        <w:t>。</w:t>
      </w:r>
      <w:r w:rsidRPr="00BC31E0">
        <w:rPr>
          <w:rFonts w:hint="eastAsia"/>
        </w:rPr>
        <w:t>又</w:t>
      </w:r>
      <w:r w:rsidRPr="00BC31E0">
        <w:t>，同一面上にある非並列な複数個の平面</w:t>
      </w:r>
      <w:r w:rsidRPr="00BC31E0">
        <w:rPr>
          <w:rFonts w:hint="eastAsia"/>
        </w:rPr>
        <w:t>きず</w:t>
      </w:r>
      <w:r w:rsidRPr="00BC31E0">
        <w:t>は</w:t>
      </w:r>
      <w:r w:rsidRPr="00BC31E0">
        <w:rPr>
          <w:rFonts w:hint="eastAsia"/>
        </w:rPr>
        <w:t>，きず間</w:t>
      </w:r>
      <w:r w:rsidRPr="00BC31E0">
        <w:t>距離</w:t>
      </w:r>
      <m:oMath>
        <m:r>
          <m:rPr>
            <m:sty m:val="p"/>
          </m:rPr>
          <w:rPr>
            <w:rFonts w:ascii="Cambria Math" w:hAnsi="Cambria Math"/>
          </w:rPr>
          <m:t xml:space="preserve"> </m:t>
        </m:r>
        <m:r>
          <w:rPr>
            <w:rFonts w:ascii="Cambria Math" w:hAnsi="Cambria Math"/>
          </w:rPr>
          <m:t>S</m:t>
        </m:r>
        <m:r>
          <m:rPr>
            <m:sty m:val="p"/>
          </m:rPr>
          <w:rPr>
            <w:rFonts w:ascii="Cambria Math" w:hAnsi="Cambria Math"/>
          </w:rPr>
          <m:t xml:space="preserve"> </m:t>
        </m:r>
      </m:oMath>
      <w:r w:rsidRPr="00BC31E0">
        <w:t>が</w:t>
      </w:r>
      <w:r w:rsidRPr="00BC31E0">
        <w:rPr>
          <w:rFonts w:hint="eastAsia"/>
        </w:rPr>
        <w:t>合体の判定基準</w:t>
      </w:r>
      <w:r w:rsidRPr="00BC31E0">
        <w:t>以下の場合には</w:t>
      </w:r>
      <w:r w:rsidRPr="00BC31E0">
        <w:rPr>
          <w:rFonts w:hint="eastAsia"/>
        </w:rPr>
        <w:t>，単</w:t>
      </w:r>
      <w:r w:rsidRPr="00BC31E0">
        <w:t>一の</w:t>
      </w:r>
      <w:r w:rsidRPr="00BC31E0">
        <w:rPr>
          <w:rFonts w:hint="eastAsia"/>
        </w:rPr>
        <w:t>平面きず</w:t>
      </w:r>
      <w:r w:rsidRPr="00BC31E0">
        <w:t>と</w:t>
      </w:r>
      <w:r w:rsidRPr="00BC31E0">
        <w:rPr>
          <w:rFonts w:hint="eastAsia"/>
        </w:rPr>
        <w:t>する</w:t>
      </w:r>
      <w:r w:rsidRPr="00BC31E0">
        <w:rPr>
          <w:rFonts w:hint="eastAsia"/>
        </w:rPr>
        <w:t>(</w:t>
      </w:r>
      <w:r w:rsidRPr="00BC31E0">
        <w:rPr>
          <w:rFonts w:asciiTheme="majorEastAsia" w:eastAsiaTheme="majorEastAsia" w:hAnsiTheme="majorEastAsia"/>
          <w:b/>
          <w:bCs/>
        </w:rPr>
        <w:t>図9.3.5</w:t>
      </w:r>
      <w:r w:rsidRPr="00BC31E0">
        <w:rPr>
          <w:rFonts w:hint="eastAsia"/>
        </w:rPr>
        <w:t>を参照</w:t>
      </w:r>
      <w:r w:rsidRPr="00BC31E0">
        <w:rPr>
          <w:rFonts w:hint="eastAsia"/>
        </w:rPr>
        <w:t>)</w:t>
      </w:r>
      <w:r w:rsidRPr="00BC31E0">
        <w:t>。平面間の距離が</w:t>
      </w:r>
      <w:r w:rsidR="00A2398B" w:rsidRPr="00BC31E0">
        <w:rPr>
          <w:rFonts w:asciiTheme="minorHAnsi" w:hAnsiTheme="minorHAnsi"/>
        </w:rPr>
        <w:t>13 mm</w:t>
      </w:r>
      <w:r w:rsidRPr="00BC31E0">
        <w:t>以下の同一平面上にない並列な複数個の平面</w:t>
      </w:r>
      <w:r w:rsidRPr="00BC31E0">
        <w:rPr>
          <w:rFonts w:hint="eastAsia"/>
        </w:rPr>
        <w:t>きず</w:t>
      </w:r>
      <w:r w:rsidRPr="00BC31E0">
        <w:t>の取扱いは</w:t>
      </w:r>
      <w:r w:rsidRPr="00BC31E0">
        <w:rPr>
          <w:rFonts w:hint="eastAsia"/>
        </w:rPr>
        <w:t>，</w:t>
      </w:r>
      <w:r w:rsidRPr="00BC31E0">
        <w:rPr>
          <w:rFonts w:asciiTheme="majorEastAsia" w:eastAsiaTheme="majorEastAsia" w:hAnsiTheme="majorEastAsia"/>
          <w:b/>
          <w:bCs/>
        </w:rPr>
        <w:t>図9.3.6</w:t>
      </w:r>
      <w:r w:rsidRPr="00BC31E0">
        <w:t>による。</w:t>
      </w:r>
    </w:p>
    <w:p w14:paraId="6A1CACFC" w14:textId="77777777" w:rsidR="00342321" w:rsidRPr="00BC31E0" w:rsidRDefault="00342321" w:rsidP="00E74915">
      <w:pPr>
        <w:ind w:left="1134" w:firstLine="227"/>
      </w:pPr>
      <w:r w:rsidRPr="00BC31E0">
        <w:rPr>
          <w:rFonts w:hint="eastAsia"/>
        </w:rPr>
        <w:t>同一平面上に複数個の平面きずが存在する場合，個々のきずについて，元のきず高さを用いて表面及び隣接きずとの相互作用を評価する</w:t>
      </w:r>
      <w:r w:rsidRPr="00BC31E0">
        <w:rPr>
          <w:rFonts w:hint="eastAsia"/>
        </w:rPr>
        <w:t>(</w:t>
      </w:r>
      <w:r w:rsidRPr="00BC31E0">
        <w:rPr>
          <w:rFonts w:asciiTheme="majorEastAsia" w:eastAsiaTheme="majorEastAsia" w:hAnsiTheme="majorEastAsia" w:hint="eastAsia"/>
          <w:b/>
          <w:bCs/>
        </w:rPr>
        <w:t>図9.3.3</w:t>
      </w:r>
      <w:r w:rsidRPr="00BC31E0">
        <w:rPr>
          <w:rFonts w:hint="eastAsia"/>
        </w:rPr>
        <w:t>及び</w:t>
      </w:r>
      <w:r w:rsidRPr="00BC31E0">
        <w:rPr>
          <w:rFonts w:asciiTheme="majorEastAsia" w:eastAsiaTheme="majorEastAsia" w:hAnsiTheme="majorEastAsia" w:hint="eastAsia"/>
          <w:b/>
          <w:bCs/>
        </w:rPr>
        <w:t>図9.3.5</w:t>
      </w:r>
      <w:r w:rsidRPr="00BC31E0">
        <w:rPr>
          <w:rFonts w:hint="eastAsia"/>
        </w:rPr>
        <w:t>を参照</w:t>
      </w:r>
      <w:r w:rsidRPr="00BC31E0">
        <w:rPr>
          <w:rFonts w:hint="eastAsia"/>
        </w:rPr>
        <w:t>)</w:t>
      </w:r>
      <w:r w:rsidRPr="00BC31E0">
        <w:rPr>
          <w:rFonts w:hint="eastAsia"/>
        </w:rPr>
        <w:t>。</w:t>
      </w:r>
    </w:p>
    <w:p w14:paraId="69252C44" w14:textId="77777777" w:rsidR="00130AAD" w:rsidRPr="00BC31E0" w:rsidRDefault="00342321" w:rsidP="00E74915">
      <w:pPr>
        <w:ind w:left="1134" w:firstLine="227"/>
      </w:pPr>
      <w:r w:rsidRPr="00BC31E0">
        <w:rPr>
          <w:rFonts w:hint="eastAsia"/>
        </w:rPr>
        <w:t>最初に，個々のきずについて表面との近接性を決定する。表面との相互作用の判定基準</w:t>
      </w:r>
      <w:r w:rsidRPr="00BC31E0">
        <w:rPr>
          <w:rFonts w:hint="eastAsia"/>
        </w:rPr>
        <w:t>(</w:t>
      </w:r>
      <m:oMath>
        <m:r>
          <w:rPr>
            <w:rFonts w:ascii="Cambria Math" w:hAnsi="Cambria Math" w:hint="eastAsia"/>
          </w:rPr>
          <m:t>S&lt;0.4 d</m:t>
        </m:r>
      </m:oMath>
      <w:r w:rsidRPr="00BC31E0">
        <w:rPr>
          <w:rFonts w:hint="eastAsia"/>
        </w:rPr>
        <w:t>)</w:t>
      </w:r>
      <w:r w:rsidRPr="00BC31E0">
        <w:rPr>
          <w:rFonts w:hint="eastAsia"/>
        </w:rPr>
        <w:t>を満足する内部きずは，表面きずとして再分類する。ここで，</w:t>
      </w:r>
      <m:oMath>
        <m:r>
          <w:rPr>
            <w:rFonts w:ascii="Cambria Math" w:hAnsi="Cambria Math" w:hint="eastAsia"/>
          </w:rPr>
          <m:t>S</m:t>
        </m:r>
        <m:r>
          <m:rPr>
            <m:sty m:val="p"/>
          </m:rPr>
          <w:rPr>
            <w:rFonts w:ascii="Cambria Math" w:hAnsi="Cambria Math" w:hint="eastAsia"/>
          </w:rPr>
          <m:t xml:space="preserve"> </m:t>
        </m:r>
      </m:oMath>
      <w:r w:rsidRPr="00BC31E0">
        <w:rPr>
          <w:rFonts w:hint="eastAsia"/>
        </w:rPr>
        <w:t>は表面又はクラッドと母材境界から内部きずまでの距離，</w:t>
      </w:r>
      <m:oMath>
        <m:r>
          <w:rPr>
            <w:rFonts w:ascii="Cambria Math" w:hAnsi="Cambria Math"/>
          </w:rPr>
          <m:t>d</m:t>
        </m:r>
        <m:r>
          <m:rPr>
            <m:sty m:val="p"/>
          </m:rPr>
          <w:rPr>
            <w:rFonts w:ascii="Cambria Math" w:hAnsi="Cambria Math" w:hint="eastAsia"/>
          </w:rPr>
          <m:t xml:space="preserve"> </m:t>
        </m:r>
      </m:oMath>
      <w:r w:rsidRPr="00BC31E0">
        <w:rPr>
          <w:rFonts w:hint="eastAsia"/>
        </w:rPr>
        <w:t>はきず高さの</w:t>
      </w:r>
      <w:r w:rsidR="00130AAD" w:rsidRPr="00BC31E0">
        <w:rPr>
          <w:rFonts w:hint="eastAsia"/>
        </w:rPr>
        <w:t>1/2</w:t>
      </w:r>
      <w:r w:rsidRPr="00BC31E0">
        <w:rPr>
          <w:rFonts w:hint="eastAsia"/>
        </w:rPr>
        <w:t>である。</w:t>
      </w:r>
    </w:p>
    <w:p w14:paraId="52201C0C" w14:textId="77777777" w:rsidR="00130AAD" w:rsidRPr="00BC31E0" w:rsidRDefault="00342321" w:rsidP="00E74915">
      <w:pPr>
        <w:ind w:left="1134" w:firstLine="227"/>
      </w:pPr>
      <w:r w:rsidRPr="00BC31E0">
        <w:rPr>
          <w:rFonts w:hint="eastAsia"/>
        </w:rPr>
        <w:t>次に，個々のきずについて，元のきず高さを用いて隣接するきずとの近接性を評価する。隣接するきずとの合体の判定基準</w:t>
      </w:r>
      <w:r w:rsidRPr="00BC31E0">
        <w:rPr>
          <w:rFonts w:hint="eastAsia"/>
        </w:rPr>
        <w:t>[</w:t>
      </w:r>
      <m:oMath>
        <m:r>
          <w:rPr>
            <w:rFonts w:ascii="Cambria Math" w:hAnsi="Cambria Math" w:hint="eastAsia"/>
          </w:rPr>
          <m:t>S</m:t>
        </m:r>
        <m:r>
          <w:rPr>
            <w:rFonts w:ascii="Cambria Math" w:hAnsi="Cambria Math" w:hint="eastAsia"/>
          </w:rPr>
          <m:t>≦</m:t>
        </m:r>
        <m:r>
          <m:rPr>
            <m:sty m:val="bi"/>
          </m:rPr>
          <w:rPr>
            <w:rFonts w:ascii="Cambria Math" w:hAnsi="Cambria Math" w:hint="eastAsia"/>
          </w:rPr>
          <m:t>max</m:t>
        </m:r>
        <m:d>
          <m:dPr>
            <m:ctrlPr>
              <w:rPr>
                <w:rFonts w:ascii="Cambria Math" w:hAnsi="Cambria Math"/>
                <w:i/>
              </w:rPr>
            </m:ctrlPr>
          </m:dPr>
          <m:e>
            <m:sSub>
              <m:sSubPr>
                <m:ctrlPr>
                  <w:rPr>
                    <w:rFonts w:ascii="Cambria Math" w:hAnsi="Cambria Math"/>
                    <w:i/>
                  </w:rPr>
                </m:ctrlPr>
              </m:sSubPr>
              <m:e>
                <m:r>
                  <w:rPr>
                    <w:rFonts w:ascii="Cambria Math" w:hAnsi="Cambria Math" w:hint="eastAsia"/>
                  </w:rPr>
                  <m:t>d</m:t>
                </m:r>
              </m:e>
              <m:sub>
                <m:r>
                  <w:rPr>
                    <w:rFonts w:ascii="Cambria Math" w:hAnsi="Cambria Math"/>
                  </w:rPr>
                  <m:t>i</m:t>
                </m:r>
              </m:sub>
            </m:sSub>
            <m:r>
              <w:rPr>
                <w:rFonts w:ascii="Cambria Math" w:hAnsi="Cambria Math" w:hint="eastAsia"/>
              </w:rPr>
              <m:t xml:space="preserve"> </m:t>
            </m:r>
            <m:r>
              <w:rPr>
                <w:rFonts w:ascii="Cambria Math" w:hAnsi="Cambria Math" w:hint="eastAsia"/>
              </w:rPr>
              <m:t>，</m:t>
            </m:r>
            <m:sSub>
              <m:sSubPr>
                <m:ctrlPr>
                  <w:rPr>
                    <w:rFonts w:ascii="Cambria Math" w:hAnsi="Cambria Math"/>
                    <w:i/>
                  </w:rPr>
                </m:ctrlPr>
              </m:sSubPr>
              <m:e>
                <m:r>
                  <w:rPr>
                    <w:rFonts w:ascii="Cambria Math" w:hAnsi="Cambria Math"/>
                  </w:rPr>
                  <m:t>d</m:t>
                </m:r>
              </m:e>
              <m:sub>
                <m:r>
                  <w:rPr>
                    <w:rFonts w:ascii="Cambria Math" w:hAnsi="Cambria Math"/>
                  </w:rPr>
                  <m:t>j</m:t>
                </m:r>
              </m:sub>
            </m:sSub>
          </m:e>
        </m:d>
      </m:oMath>
      <w:r w:rsidRPr="00BC31E0">
        <w:rPr>
          <w:rFonts w:hint="eastAsia"/>
        </w:rPr>
        <w:t>，</w:t>
      </w:r>
      <m:oMath>
        <m:r>
          <w:rPr>
            <w:rFonts w:ascii="Cambria Math" w:hAnsi="Cambria Math"/>
          </w:rPr>
          <m:t>S</m:t>
        </m:r>
        <m:r>
          <m:rPr>
            <m:sty m:val="p"/>
          </m:rPr>
          <w:rPr>
            <w:rFonts w:ascii="Cambria Math" w:hAnsi="Cambria Math"/>
          </w:rPr>
          <m:t xml:space="preserve"> </m:t>
        </m:r>
      </m:oMath>
      <w:r w:rsidRPr="00BC31E0">
        <w:rPr>
          <w:rFonts w:hint="eastAsia"/>
        </w:rPr>
        <w:t>は隣接するきず間の距離，</w:t>
      </w:r>
      <m:oMath>
        <m:sSub>
          <m:sSubPr>
            <m:ctrlPr>
              <w:rPr>
                <w:rFonts w:ascii="Cambria Math" w:hAnsi="Cambria Math"/>
                <w:i/>
              </w:rPr>
            </m:ctrlPr>
          </m:sSubPr>
          <m:e>
            <m:r>
              <w:rPr>
                <w:rFonts w:ascii="Cambria Math" w:hAnsi="Cambria Math" w:hint="eastAsia"/>
              </w:rPr>
              <m:t>d</m:t>
            </m:r>
          </m:e>
          <m:sub>
            <m:r>
              <w:rPr>
                <w:rFonts w:ascii="Cambria Math" w:hAnsi="Cambria Math"/>
              </w:rPr>
              <m:t>i</m:t>
            </m:r>
          </m:sub>
        </m:sSub>
        <m:r>
          <m:rPr>
            <m:sty m:val="p"/>
          </m:rPr>
          <w:rPr>
            <w:rFonts w:ascii="Cambria Math" w:hAnsi="Cambria Math"/>
          </w:rPr>
          <m:t xml:space="preserve"> </m:t>
        </m:r>
      </m:oMath>
      <w:r w:rsidRPr="00BC31E0">
        <w:rPr>
          <w:rFonts w:hint="eastAsia"/>
        </w:rPr>
        <w:t>と</w:t>
      </w:r>
      <m:oMath>
        <m:sSub>
          <m:sSubPr>
            <m:ctrlPr>
              <w:rPr>
                <w:rFonts w:ascii="Cambria Math" w:hAnsi="Cambria Math"/>
                <w:i/>
              </w:rPr>
            </m:ctrlPr>
          </m:sSubPr>
          <m:e>
            <m:r>
              <w:rPr>
                <w:rFonts w:ascii="Cambria Math" w:hAnsi="Cambria Math" w:hint="eastAsia"/>
              </w:rPr>
              <m:t>d</m:t>
            </m:r>
          </m:e>
          <m:sub>
            <m:r>
              <w:rPr>
                <w:rFonts w:ascii="Cambria Math" w:hAnsi="Cambria Math"/>
              </w:rPr>
              <m:t>j</m:t>
            </m:r>
          </m:sub>
        </m:sSub>
        <m:r>
          <w:rPr>
            <w:rFonts w:ascii="Cambria Math" w:hAnsi="Cambria Math" w:hint="eastAsia"/>
          </w:rPr>
          <m:t xml:space="preserve"> </m:t>
        </m:r>
      </m:oMath>
      <w:r w:rsidRPr="00BC31E0">
        <w:rPr>
          <w:rFonts w:hint="eastAsia"/>
        </w:rPr>
        <w:t>は隣接するきずのきず高さの</w:t>
      </w:r>
      <w:r w:rsidR="00130AAD" w:rsidRPr="00BC31E0">
        <w:rPr>
          <w:rFonts w:hint="eastAsia"/>
        </w:rPr>
        <w:t>1/2</w:t>
      </w:r>
      <w:r w:rsidRPr="00BC31E0">
        <w:rPr>
          <w:rFonts w:hint="eastAsia"/>
        </w:rPr>
        <w:t>]</w:t>
      </w:r>
      <w:r w:rsidRPr="00BC31E0">
        <w:rPr>
          <w:rFonts w:hint="eastAsia"/>
        </w:rPr>
        <w:t>により，</w:t>
      </w:r>
      <w:r w:rsidRPr="00BC31E0">
        <w:rPr>
          <w:rFonts w:hint="eastAsia"/>
        </w:rPr>
        <w:t>2</w:t>
      </w:r>
      <w:r w:rsidRPr="00BC31E0">
        <w:rPr>
          <w:rFonts w:hint="eastAsia"/>
        </w:rPr>
        <w:t>個以上のきずが合体すると判定された場合，更に，合体したきず高さに基づいて，隣接する他のいかなるきずとの合体又は表面との相互作用を考慮する必要はない。</w:t>
      </w:r>
    </w:p>
    <w:p w14:paraId="34E0CF0D" w14:textId="77777777" w:rsidR="00342321" w:rsidRPr="00BC31E0" w:rsidRDefault="00342321" w:rsidP="00E74915">
      <w:pPr>
        <w:ind w:left="1134" w:firstLine="227"/>
      </w:pPr>
      <w:r w:rsidRPr="00BC31E0">
        <w:rPr>
          <w:rFonts w:hint="eastAsia"/>
        </w:rPr>
        <w:t>2</w:t>
      </w:r>
      <w:r w:rsidRPr="00BC31E0">
        <w:rPr>
          <w:rFonts w:hint="eastAsia"/>
        </w:rPr>
        <w:t>個以上の平面きずが合体した単一の平面きずが内部きず又は表面きずかの判定は，合体した単一の平面きずに含まれる個々のきずの中で</w:t>
      </w:r>
      <m:oMath>
        <m:r>
          <w:rPr>
            <w:rFonts w:ascii="Cambria Math" w:hAnsi="Cambria Math" w:hint="eastAsia"/>
          </w:rPr>
          <m:t xml:space="preserve"> </m:t>
        </m:r>
        <m:f>
          <m:fPr>
            <m:type m:val="lin"/>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i</m:t>
                </m:r>
              </m:sub>
            </m:sSub>
          </m:num>
          <m:den>
            <m:sSub>
              <m:sSubPr>
                <m:ctrlPr>
                  <w:rPr>
                    <w:rFonts w:ascii="Cambria Math" w:hAnsi="Cambria Math"/>
                    <w:i/>
                  </w:rPr>
                </m:ctrlPr>
              </m:sSubPr>
              <m:e>
                <m:r>
                  <w:rPr>
                    <w:rFonts w:ascii="Cambria Math" w:hAnsi="Cambria Math"/>
                  </w:rPr>
                  <m:t>d</m:t>
                </m:r>
              </m:e>
              <m:sub>
                <m:r>
                  <w:rPr>
                    <w:rFonts w:ascii="Cambria Math" w:hAnsi="Cambria Math"/>
                  </w:rPr>
                  <m:t xml:space="preserve">i  </m:t>
                </m:r>
              </m:sub>
            </m:sSub>
          </m:den>
        </m:f>
      </m:oMath>
      <w:r w:rsidRPr="00BC31E0">
        <w:rPr>
          <w:rFonts w:hint="eastAsia"/>
        </w:rPr>
        <w:t>が最小値のきずで行う。</w:t>
      </w:r>
      <m:oMath>
        <m:r>
          <m:rPr>
            <m:sty m:val="p"/>
          </m:rPr>
          <w:rPr>
            <w:rFonts w:ascii="Cambria Math" w:hAnsi="Cambria Math"/>
          </w:rPr>
          <m:t xml:space="preserve"> </m:t>
        </m:r>
        <m:f>
          <m:fPr>
            <m:type m:val="lin"/>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i</m:t>
                </m:r>
              </m:sub>
            </m:sSub>
          </m:num>
          <m:den>
            <m:sSub>
              <m:sSubPr>
                <m:ctrlPr>
                  <w:rPr>
                    <w:rFonts w:ascii="Cambria Math" w:hAnsi="Cambria Math"/>
                    <w:i/>
                  </w:rPr>
                </m:ctrlPr>
              </m:sSubPr>
              <m:e>
                <m:r>
                  <w:rPr>
                    <w:rFonts w:ascii="Cambria Math" w:hAnsi="Cambria Math"/>
                  </w:rPr>
                  <m:t>d</m:t>
                </m:r>
              </m:e>
              <m:sub>
                <m:r>
                  <w:rPr>
                    <w:rFonts w:ascii="Cambria Math" w:hAnsi="Cambria Math"/>
                  </w:rPr>
                  <m:t xml:space="preserve">i  </m:t>
                </m:r>
              </m:sub>
            </m:sSub>
          </m:den>
        </m:f>
      </m:oMath>
      <w:r w:rsidRPr="00BC31E0">
        <w:rPr>
          <w:rFonts w:hint="eastAsia"/>
        </w:rPr>
        <w:t>が最小値のきずが内部きずの場合には合体した単一の平面きずを内部きず，表面きずの場合には合体した単一の平面きずを表面きずとする。表面きずと判定された場合には，きず高さに</w:t>
      </w:r>
      <m:oMath>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hint="eastAsia"/>
          </w:rPr>
          <m:t xml:space="preserve"> </m:t>
        </m:r>
      </m:oMath>
      <w:r w:rsidRPr="00BC31E0">
        <w:rPr>
          <w:rFonts w:hint="eastAsia"/>
        </w:rPr>
        <w:t>の最小値を含める。ここで，</w:t>
      </w:r>
      <m:oMath>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 xml:space="preserve"> </m:t>
        </m:r>
      </m:oMath>
      <w:r w:rsidRPr="00BC31E0">
        <w:rPr>
          <w:rFonts w:hint="eastAsia"/>
        </w:rPr>
        <w:t>は個々のきずの表面又はクラッドと母材境界からの距離，</w:t>
      </w:r>
      <m:oMath>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 xml:space="preserve"> </m:t>
        </m:r>
      </m:oMath>
      <w:r w:rsidRPr="00BC31E0">
        <w:rPr>
          <w:rFonts w:hint="eastAsia"/>
        </w:rPr>
        <w:t>はきず高さの</w:t>
      </w:r>
      <w:r w:rsidR="00130AAD" w:rsidRPr="00BC31E0">
        <w:rPr>
          <w:rFonts w:hint="eastAsia"/>
        </w:rPr>
        <w:t>1/2</w:t>
      </w:r>
      <w:r w:rsidRPr="00BC31E0">
        <w:rPr>
          <w:rFonts w:hint="eastAsia"/>
        </w:rPr>
        <w:t>である。</w:t>
      </w:r>
    </w:p>
    <w:p w14:paraId="2F7405A2" w14:textId="77777777" w:rsidR="00342321" w:rsidRPr="00BC31E0" w:rsidRDefault="00342321" w:rsidP="00736130">
      <w:pPr>
        <w:pStyle w:val="a4"/>
        <w:numPr>
          <w:ilvl w:val="0"/>
          <w:numId w:val="350"/>
        </w:numPr>
        <w:ind w:leftChars="0" w:left="738" w:hanging="454"/>
      </w:pPr>
      <w:r w:rsidRPr="00BC31E0">
        <w:t>超音波探傷試験データ解析で，表面</w:t>
      </w:r>
      <w:r w:rsidRPr="00BC31E0">
        <w:rPr>
          <w:rFonts w:hint="eastAsia"/>
        </w:rPr>
        <w:t>きず</w:t>
      </w:r>
      <w:r w:rsidRPr="00BC31E0">
        <w:t>に近接した</w:t>
      </w:r>
      <w:r w:rsidRPr="00BC31E0">
        <w:rPr>
          <w:rFonts w:hint="eastAsia"/>
        </w:rPr>
        <w:t>きずと</w:t>
      </w:r>
      <w:r w:rsidRPr="00BC31E0">
        <w:t>確認され</w:t>
      </w:r>
      <w:r w:rsidRPr="00BC31E0">
        <w:rPr>
          <w:rFonts w:hint="eastAsia"/>
        </w:rPr>
        <w:t>る</w:t>
      </w:r>
      <w:r w:rsidRPr="00BC31E0">
        <w:t>場合には，表面</w:t>
      </w:r>
      <w:r w:rsidRPr="00BC31E0">
        <w:rPr>
          <w:rFonts w:hint="eastAsia"/>
        </w:rPr>
        <w:t>きず</w:t>
      </w:r>
      <w:r w:rsidRPr="00BC31E0">
        <w:t>として評価する。この場合には，この規格に規定された磁粉探傷検査，浸透探傷検査又は渦流探傷試験を実施し，合格しなければ受け入れられない。内部</w:t>
      </w:r>
      <w:r w:rsidRPr="00BC31E0">
        <w:rPr>
          <w:rFonts w:hint="eastAsia"/>
        </w:rPr>
        <w:t>きず</w:t>
      </w:r>
      <w:r w:rsidRPr="00BC31E0">
        <w:t>の長さ</w:t>
      </w:r>
      <w:r w:rsidRPr="00BC31E0">
        <w:rPr>
          <w:rFonts w:hint="eastAsia"/>
        </w:rPr>
        <w:t>(</w:t>
      </w:r>
      <m:oMath>
        <m:r>
          <w:rPr>
            <w:rFonts w:ascii="Cambria Math" w:hAnsi="Cambria Math"/>
            <w:kern w:val="0"/>
          </w:rPr>
          <m:t>l</m:t>
        </m:r>
      </m:oMath>
      <w:r w:rsidRPr="00BC31E0">
        <w:rPr>
          <w:rFonts w:hint="eastAsia"/>
        </w:rPr>
        <w:t>)</w:t>
      </w:r>
      <w:r w:rsidRPr="00BC31E0">
        <w:t>は，厚</w:t>
      </w:r>
      <w:r w:rsidRPr="00BC31E0">
        <w:rPr>
          <w:rFonts w:hint="eastAsia"/>
        </w:rPr>
        <w:t>さ</w:t>
      </w:r>
      <w:r w:rsidRPr="00BC31E0">
        <w:t>の</w:t>
      </w:r>
      <w:r w:rsidRPr="00BC31E0">
        <w:t>4</w:t>
      </w:r>
      <w:r w:rsidRPr="00BC31E0">
        <w:t>倍</w:t>
      </w:r>
      <w:r w:rsidRPr="00BC31E0">
        <w:rPr>
          <w:rFonts w:hint="eastAsia"/>
        </w:rPr>
        <w:t>(</w:t>
      </w:r>
      <m:oMath>
        <m:r>
          <w:rPr>
            <w:rFonts w:ascii="Cambria Math" w:hAnsi="Cambria Math"/>
          </w:rPr>
          <m:t>4 t</m:t>
        </m:r>
      </m:oMath>
      <w:r w:rsidRPr="00BC31E0">
        <w:rPr>
          <w:rFonts w:hint="eastAsia"/>
        </w:rPr>
        <w:t>)</w:t>
      </w:r>
      <w:r w:rsidRPr="00BC31E0">
        <w:t>以下でなければならない。</w:t>
      </w:r>
    </w:p>
    <w:p w14:paraId="1108DE83" w14:textId="77777777" w:rsidR="00342321" w:rsidRPr="00BC31E0" w:rsidRDefault="00342321" w:rsidP="00736130">
      <w:pPr>
        <w:pStyle w:val="a4"/>
        <w:numPr>
          <w:ilvl w:val="0"/>
          <w:numId w:val="351"/>
        </w:numPr>
        <w:ind w:leftChars="0" w:left="1134" w:hanging="567"/>
        <w:rPr>
          <w:rFonts w:ascii="ＭＳ 明朝"/>
          <w:b/>
          <w:bCs/>
        </w:rPr>
      </w:pPr>
      <w:r w:rsidRPr="00BC31E0">
        <w:rPr>
          <w:rFonts w:asciiTheme="majorEastAsia" w:eastAsiaTheme="majorEastAsia" w:hAnsiTheme="majorEastAsia" w:hint="eastAsia"/>
          <w:b/>
        </w:rPr>
        <w:t>溶接後熱処理を行う場合</w:t>
      </w:r>
      <w:r w:rsidRPr="00BC31E0">
        <w:rPr>
          <w:rFonts w:asciiTheme="minorHAnsi" w:eastAsiaTheme="minorEastAsia" w:hAnsiTheme="minorEastAsia"/>
        </w:rPr>
        <w:t xml:space="preserve">　</w:t>
      </w:r>
      <w:r w:rsidRPr="00BC31E0">
        <w:rPr>
          <w:rFonts w:asciiTheme="minorHAnsi" w:eastAsiaTheme="minorEastAsia" w:hAnsiTheme="minorEastAsia"/>
          <w:bCs/>
        </w:rPr>
        <w:t>表面きずの許容きず寸法は</w:t>
      </w:r>
      <w:r w:rsidRPr="00BC31E0">
        <w:rPr>
          <w:rFonts w:asciiTheme="majorEastAsia" w:eastAsiaTheme="majorEastAsia" w:hAnsiTheme="majorEastAsia"/>
          <w:b/>
        </w:rPr>
        <w:t>表9.3.2</w:t>
      </w:r>
      <w:r w:rsidRPr="00BC31E0">
        <w:rPr>
          <w:rFonts w:asciiTheme="minorHAnsi" w:eastAsiaTheme="minorEastAsia" w:hAnsiTheme="minorEastAsia"/>
          <w:bCs/>
        </w:rPr>
        <w:t>～</w:t>
      </w:r>
      <w:r w:rsidRPr="00BC31E0">
        <w:rPr>
          <w:rFonts w:asciiTheme="majorEastAsia" w:eastAsiaTheme="majorEastAsia" w:hAnsiTheme="majorEastAsia"/>
          <w:b/>
        </w:rPr>
        <w:t>表9.3.13</w:t>
      </w:r>
      <w:r w:rsidRPr="00BC31E0">
        <w:rPr>
          <w:rFonts w:asciiTheme="minorHAnsi" w:eastAsiaTheme="minorEastAsia" w:hAnsiTheme="minorEastAsia"/>
          <w:bCs/>
        </w:rPr>
        <w:t>に，内部きずの許容きず寸法は</w:t>
      </w:r>
      <w:r w:rsidRPr="00BC31E0">
        <w:rPr>
          <w:rFonts w:asciiTheme="majorEastAsia" w:eastAsiaTheme="majorEastAsia" w:hAnsiTheme="majorEastAsia"/>
          <w:b/>
        </w:rPr>
        <w:t>表9.3.14</w:t>
      </w:r>
      <w:r w:rsidRPr="00BC31E0">
        <w:rPr>
          <w:rFonts w:asciiTheme="minorHAnsi" w:eastAsiaTheme="minorEastAsia" w:hAnsiTheme="minorEastAsia"/>
          <w:bCs/>
        </w:rPr>
        <w:t>～</w:t>
      </w:r>
      <w:r w:rsidRPr="00BC31E0">
        <w:rPr>
          <w:rFonts w:asciiTheme="majorEastAsia" w:eastAsiaTheme="majorEastAsia" w:hAnsiTheme="majorEastAsia"/>
          <w:b/>
        </w:rPr>
        <w:t>表9.3.25</w:t>
      </w:r>
      <w:r w:rsidRPr="00BC31E0">
        <w:rPr>
          <w:rFonts w:asciiTheme="minorHAnsi" w:eastAsiaTheme="minorEastAsia" w:hAnsiTheme="minorEastAsia"/>
          <w:bCs/>
        </w:rPr>
        <w:t>による。</w:t>
      </w:r>
      <w:r w:rsidRPr="00BC31E0">
        <w:rPr>
          <w:rFonts w:asciiTheme="majorEastAsia" w:eastAsiaTheme="majorEastAsia" w:hAnsiTheme="majorEastAsia"/>
          <w:b/>
        </w:rPr>
        <w:t>表9.3.14</w:t>
      </w:r>
      <w:r w:rsidRPr="00BC31E0">
        <w:rPr>
          <w:rFonts w:asciiTheme="minorHAnsi" w:eastAsiaTheme="minorEastAsia" w:hAnsiTheme="minorEastAsia"/>
          <w:bCs/>
        </w:rPr>
        <w:t>～</w:t>
      </w:r>
      <w:r w:rsidRPr="00BC31E0">
        <w:rPr>
          <w:rFonts w:asciiTheme="majorEastAsia" w:eastAsiaTheme="majorEastAsia" w:hAnsiTheme="majorEastAsia"/>
          <w:b/>
        </w:rPr>
        <w:t>表9.3.25</w:t>
      </w:r>
      <w:r w:rsidRPr="00BC31E0">
        <w:rPr>
          <w:rFonts w:asciiTheme="minorHAnsi" w:eastAsiaTheme="minorEastAsia" w:hAnsiTheme="minorEastAsia"/>
          <w:bCs/>
        </w:rPr>
        <w:t>において，</w:t>
      </w:r>
      <m:oMath>
        <m:sSub>
          <m:sSubPr>
            <m:ctrlPr>
              <w:rPr>
                <w:rFonts w:ascii="Cambria Math" w:eastAsiaTheme="minorEastAsia" w:hAnsiTheme="minorHAnsi"/>
                <w:bCs/>
                <w:i/>
              </w:rPr>
            </m:ctrlPr>
          </m:sSubPr>
          <m:e>
            <m:r>
              <w:rPr>
                <w:rFonts w:ascii="Cambria Math" w:eastAsiaTheme="minorEastAsia" w:hAnsi="Cambria Math"/>
              </w:rPr>
              <m:t>X</m:t>
            </m:r>
          </m:e>
          <m:sub>
            <m:r>
              <w:rPr>
                <w:rFonts w:ascii="Cambria Math" w:eastAsiaTheme="minorEastAsia" w:hAnsi="Cambria Math"/>
              </w:rPr>
              <m:t>a</m:t>
            </m:r>
          </m:sub>
        </m:sSub>
        <m:r>
          <w:rPr>
            <w:rFonts w:ascii="Cambria Math" w:eastAsiaTheme="minorEastAsia" w:hAnsiTheme="minorHAnsi"/>
          </w:rPr>
          <m:t xml:space="preserve"> </m:t>
        </m:r>
      </m:oMath>
      <w:r w:rsidRPr="00BC31E0">
        <w:rPr>
          <w:rFonts w:asciiTheme="minorHAnsi" w:eastAsiaTheme="minorEastAsia" w:hAnsiTheme="minorEastAsia"/>
          <w:bCs/>
        </w:rPr>
        <w:t>は</w:t>
      </w:r>
      <w:r w:rsidRPr="00BC31E0">
        <w:rPr>
          <w:rFonts w:asciiTheme="majorEastAsia" w:eastAsiaTheme="majorEastAsia" w:hAnsiTheme="majorEastAsia"/>
          <w:b/>
        </w:rPr>
        <w:t>式(9.3.1)</w:t>
      </w:r>
      <w:r w:rsidRPr="00BC31E0">
        <w:rPr>
          <w:rFonts w:asciiTheme="minorHAnsi" w:eastAsiaTheme="minorEastAsia" w:hAnsiTheme="minorEastAsia"/>
          <w:bCs/>
        </w:rPr>
        <w:t>に示す。</w:t>
      </w:r>
    </w:p>
    <w:tbl>
      <w:tblPr>
        <w:tblStyle w:val="afff2"/>
        <w:tblW w:w="5528" w:type="dxa"/>
        <w:tblInd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0"/>
        <w:gridCol w:w="3498"/>
      </w:tblGrid>
      <w:tr w:rsidR="00342321" w:rsidRPr="00BC31E0" w14:paraId="5CBF0826" w14:textId="77777777" w:rsidTr="004736F2">
        <w:tc>
          <w:tcPr>
            <w:tcW w:w="0" w:type="auto"/>
            <w:tcMar>
              <w:left w:w="0" w:type="dxa"/>
              <w:right w:w="0" w:type="dxa"/>
            </w:tcMar>
            <w:vAlign w:val="center"/>
          </w:tcPr>
          <w:p w14:paraId="1C4D0615" w14:textId="77777777" w:rsidR="00342321" w:rsidRPr="00BC31E0" w:rsidRDefault="00A51873" w:rsidP="00700DCF">
            <w:pPr>
              <w:tabs>
                <w:tab w:val="left" w:pos="3119"/>
                <w:tab w:val="left" w:leader="middleDot" w:pos="8222"/>
              </w:tabs>
              <w:jc w:val="left"/>
              <w:outlineLvl w:val="6"/>
              <w:rPr>
                <w:rFonts w:ascii="ＭＳ 明朝" w:hAnsi="ＭＳ 明朝"/>
                <w:i/>
              </w:rPr>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m:t>
                </m:r>
                <m:func>
                  <m:funcPr>
                    <m:ctrlPr>
                      <w:rPr>
                        <w:rFonts w:ascii="Cambria Math" w:hAnsi="Cambria Math"/>
                        <w:i/>
                      </w:rPr>
                    </m:ctrlPr>
                  </m:funcPr>
                  <m:fName>
                    <m:r>
                      <m:rPr>
                        <m:sty m:val="bi"/>
                      </m:rPr>
                      <w:rPr>
                        <w:rFonts w:ascii="Cambria Math" w:hAnsi="Cambria Math"/>
                      </w:rPr>
                      <m:t>cos</m:t>
                    </m:r>
                  </m:fName>
                  <m:e>
                    <m:d>
                      <m:dPr>
                        <m:begChr m:val="{"/>
                        <m:endChr m:val="}"/>
                        <m:ctrlPr>
                          <w:rPr>
                            <w:rFonts w:ascii="Cambria Math" w:hAnsi="Cambria Math"/>
                            <w:i/>
                          </w:rPr>
                        </m:ctrlPr>
                      </m:dPr>
                      <m:e>
                        <m:r>
                          <w:rPr>
                            <w:rFonts w:ascii="Cambria Math" w:hAnsi="Cambria Math"/>
                          </w:rPr>
                          <m:t xml:space="preserve"> </m:t>
                        </m:r>
                        <m:f>
                          <m:fPr>
                            <m:ctrlPr>
                              <w:rPr>
                                <w:rFonts w:ascii="Cambria Math" w:hAnsi="Cambria Math"/>
                                <w:i/>
                              </w:rPr>
                            </m:ctrlPr>
                          </m:fPr>
                          <m:num>
                            <m:r>
                              <w:rPr>
                                <w:rFonts w:ascii="Cambria Math" w:hAnsi="Cambria Math"/>
                              </w:rPr>
                              <m:t>π</m:t>
                            </m:r>
                          </m:num>
                          <m:den>
                            <m:r>
                              <w:rPr>
                                <w:rFonts w:ascii="Cambria Math" w:hAnsi="Cambria Math"/>
                              </w:rPr>
                              <m:t xml:space="preserve">2 </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Y</m:t>
                                    </m:r>
                                  </m:e>
                                  <m:sub>
                                    <m:r>
                                      <w:rPr>
                                        <w:rFonts w:ascii="Cambria Math" w:hAnsi="Cambria Math"/>
                                      </w:rPr>
                                      <m:t>a</m:t>
                                    </m:r>
                                  </m:sub>
                                </m:sSub>
                              </m:e>
                            </m:d>
                          </m:den>
                        </m:f>
                        <m:r>
                          <w:rPr>
                            <w:rFonts w:ascii="Cambria Math" w:hAnsi="Cambria Math"/>
                          </w:rPr>
                          <m:t xml:space="preserve"> </m:t>
                        </m:r>
                      </m:e>
                    </m:d>
                  </m:e>
                </m:func>
              </m:oMath>
            </m:oMathPara>
          </w:p>
        </w:tc>
        <w:tc>
          <w:tcPr>
            <w:tcW w:w="3498" w:type="dxa"/>
            <w:tcMar>
              <w:left w:w="0" w:type="dxa"/>
              <w:right w:w="0" w:type="dxa"/>
            </w:tcMar>
            <w:vAlign w:val="center"/>
          </w:tcPr>
          <w:p w14:paraId="51EF19D6" w14:textId="77777777" w:rsidR="00342321" w:rsidRPr="00BC31E0" w:rsidRDefault="00342321" w:rsidP="00700DCF">
            <w:pPr>
              <w:tabs>
                <w:tab w:val="left" w:leader="middleDot" w:pos="2790"/>
              </w:tabs>
              <w:jc w:val="left"/>
              <w:outlineLvl w:val="6"/>
              <w:rPr>
                <w:rFonts w:asciiTheme="minorHAnsi" w:hAnsiTheme="minorHAnsi"/>
              </w:rPr>
            </w:pPr>
            <w:r w:rsidRPr="00BC31E0">
              <w:rPr>
                <w:rFonts w:asciiTheme="minorHAnsi" w:hAnsiTheme="minorHAnsi"/>
              </w:rPr>
              <w:tab/>
            </w:r>
            <w:r w:rsidRPr="00BC31E0">
              <w:rPr>
                <w:rFonts w:asciiTheme="minorHAnsi" w:hAnsiTheme="minorHAnsi" w:hint="eastAsia"/>
              </w:rPr>
              <w:t>(9.3.1)</w:t>
            </w:r>
          </w:p>
        </w:tc>
      </w:tr>
    </w:tbl>
    <w:p w14:paraId="27A878BE" w14:textId="77777777" w:rsidR="00342321" w:rsidRPr="00BC31E0" w:rsidRDefault="00342321" w:rsidP="00CC444A">
      <w:pPr>
        <w:spacing w:before="120"/>
        <w:ind w:left="1134" w:firstLineChars="100" w:firstLine="210"/>
        <w:outlineLvl w:val="6"/>
        <w:rPr>
          <w:rFonts w:ascii="ＭＳ 明朝" w:hAnsi="ＭＳ 明朝"/>
        </w:rPr>
      </w:pPr>
      <w:r w:rsidRPr="00BC31E0">
        <w:rPr>
          <w:rFonts w:ascii="ＭＳ 明朝" w:hAnsi="ＭＳ 明朝" w:hint="eastAsia"/>
        </w:rPr>
        <w:t>ここで，</w:t>
      </w:r>
      <m:oMath>
        <m:sSub>
          <m:sSubPr>
            <m:ctrlPr>
              <w:rPr>
                <w:rFonts w:ascii="Cambria Math" w:hAnsi="Cambria Math"/>
              </w:rPr>
            </m:ctrlPr>
          </m:sSubPr>
          <m:e>
            <m:r>
              <w:rPr>
                <w:rFonts w:ascii="Cambria Math" w:hAnsi="Cambria Math"/>
              </w:rPr>
              <m:t>Y</m:t>
            </m:r>
          </m:e>
          <m:sub>
            <m:r>
              <w:rPr>
                <w:rFonts w:ascii="Cambria Math" w:hAnsi="Cambria Math"/>
              </w:rPr>
              <m:t>a</m:t>
            </m:r>
          </m:sub>
        </m:sSub>
        <m:r>
          <w:rPr>
            <w:rFonts w:ascii="Cambria Math" w:hAnsi="Cambria Math"/>
          </w:rPr>
          <m:t>=</m:t>
        </m:r>
        <m:f>
          <m:fPr>
            <m:type m:val="lin"/>
            <m:ctrlPr>
              <w:rPr>
                <w:rFonts w:ascii="Cambria Math" w:hAnsi="Cambria Math"/>
                <w:i/>
              </w:rPr>
            </m:ctrlPr>
          </m:fPr>
          <m:num>
            <m:r>
              <w:rPr>
                <w:rFonts w:ascii="Cambria Math" w:hAnsi="Cambria Math" w:hint="eastAsia"/>
              </w:rPr>
              <m:t>S</m:t>
            </m:r>
          </m:num>
          <m:den>
            <m:sSub>
              <m:sSubPr>
                <m:ctrlPr>
                  <w:rPr>
                    <w:rFonts w:ascii="Cambria Math" w:hAnsi="Cambria Math"/>
                    <w:i/>
                  </w:rPr>
                </m:ctrlPr>
              </m:sSubPr>
              <m:e>
                <m:r>
                  <w:rPr>
                    <w:rFonts w:ascii="Cambria Math" w:hAnsi="Cambria Math"/>
                  </w:rPr>
                  <m:t>a</m:t>
                </m:r>
              </m:e>
              <m:sub>
                <m:r>
                  <w:rPr>
                    <w:rFonts w:ascii="Cambria Math" w:hAnsi="Cambria Math"/>
                  </w:rPr>
                  <m:t>e</m:t>
                </m:r>
              </m:sub>
            </m:sSub>
          </m:den>
        </m:f>
      </m:oMath>
      <w:r w:rsidRPr="00BC31E0">
        <w:rPr>
          <w:rFonts w:asciiTheme="minorHAnsi" w:hAnsiTheme="minorHAnsi" w:hint="eastAsia"/>
        </w:rPr>
        <w:t>(</w:t>
      </w:r>
      <m:oMath>
        <m:r>
          <m:rPr>
            <m:sty m:val="p"/>
          </m:rPr>
          <w:rPr>
            <w:rFonts w:ascii="Cambria Math" w:hAnsi="Cambria Math"/>
          </w:rPr>
          <m:t>≧</m:t>
        </m:r>
        <m:r>
          <w:rPr>
            <w:rFonts w:ascii="Cambria Math" w:hAnsi="Cambria Math"/>
          </w:rPr>
          <m:t>0.4</m:t>
        </m:r>
      </m:oMath>
      <w:r w:rsidRPr="00BC31E0">
        <w:rPr>
          <w:rFonts w:asciiTheme="minorHAnsi" w:hAnsiTheme="minorHAnsi" w:hint="eastAsia"/>
        </w:rPr>
        <w:t>)</w:t>
      </w:r>
      <w:r w:rsidRPr="00BC31E0">
        <w:rPr>
          <w:rFonts w:asciiTheme="minorHAnsi" w:hAnsiTheme="minorHAnsi" w:hint="eastAsia"/>
        </w:rPr>
        <w:t>とし，</w:t>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a</m:t>
            </m:r>
          </m:sub>
        </m:sSub>
        <m:r>
          <w:rPr>
            <w:rFonts w:ascii="Cambria Math" w:eastAsiaTheme="minorEastAsia" w:hAnsi="Cambria Math"/>
          </w:rPr>
          <m:t>&gt;</m:t>
        </m:r>
        <m:r>
          <w:rPr>
            <w:rFonts w:ascii="Cambria Math" w:eastAsiaTheme="minorEastAsia" w:hAnsi="Cambria Math" w:hint="eastAsia"/>
          </w:rPr>
          <m:t xml:space="preserve">1 </m:t>
        </m:r>
      </m:oMath>
      <w:r w:rsidRPr="00BC31E0">
        <w:rPr>
          <w:rFonts w:asciiTheme="minorHAnsi" w:eastAsiaTheme="minorEastAsia" w:hAnsiTheme="minorHAnsi" w:hint="eastAsia"/>
        </w:rPr>
        <w:t>の場合には</w:t>
      </w:r>
      <m:oMath>
        <m:sSub>
          <m:sSubPr>
            <m:ctrlPr>
              <w:rPr>
                <w:rFonts w:ascii="Cambria Math" w:eastAsiaTheme="minorEastAsia" w:hAnsi="Cambria Math"/>
                <w:i/>
              </w:rPr>
            </m:ctrlPr>
          </m:sSubPr>
          <m:e>
            <m:r>
              <w:rPr>
                <w:rFonts w:ascii="Cambria Math" w:eastAsiaTheme="minorEastAsia" w:hAnsi="Cambria Math" w:hint="eastAsia"/>
              </w:rPr>
              <m:t xml:space="preserve"> </m:t>
            </m:r>
            <m:r>
              <w:rPr>
                <w:rFonts w:ascii="Cambria Math" w:eastAsiaTheme="minorEastAsia" w:hAnsi="Cambria Math"/>
              </w:rPr>
              <m:t>Y</m:t>
            </m:r>
          </m:e>
          <m:sub>
            <m:r>
              <w:rPr>
                <w:rFonts w:ascii="Cambria Math" w:eastAsiaTheme="minorEastAsia" w:hAnsi="Cambria Math"/>
              </w:rPr>
              <m:t>a</m:t>
            </m:r>
          </m:sub>
        </m:sSub>
        <m:r>
          <w:rPr>
            <w:rFonts w:ascii="Cambria Math" w:eastAsiaTheme="minorEastAsia" w:hAnsi="Cambria Math"/>
          </w:rPr>
          <m:t>=</m:t>
        </m:r>
        <m:r>
          <w:rPr>
            <w:rFonts w:ascii="Cambria Math" w:eastAsiaTheme="minorEastAsia" w:hAnsi="Cambria Math" w:hint="eastAsia"/>
          </w:rPr>
          <m:t>1</m:t>
        </m:r>
      </m:oMath>
      <w:r w:rsidRPr="00BC31E0">
        <w:rPr>
          <w:rFonts w:asciiTheme="minorHAnsi" w:eastAsiaTheme="minorEastAsia" w:hAnsiTheme="minorHAnsi" w:hint="eastAsia"/>
        </w:rPr>
        <w:t xml:space="preserve"> </w:t>
      </w:r>
      <w:r w:rsidRPr="00BC31E0">
        <w:rPr>
          <w:rFonts w:asciiTheme="minorHAnsi" w:eastAsiaTheme="minorEastAsia" w:hAnsiTheme="minorHAnsi" w:hint="eastAsia"/>
        </w:rPr>
        <w:t>とする。複数の内部きずが合体した単一きずの</w:t>
      </w:r>
      <m:oMath>
        <m:sSub>
          <m:sSubPr>
            <m:ctrlPr>
              <w:rPr>
                <w:rFonts w:ascii="Cambria Math" w:eastAsiaTheme="minorEastAsia" w:hAnsi="Cambria Math"/>
                <w:i/>
              </w:rPr>
            </m:ctrlPr>
          </m:sSubPr>
          <m:e>
            <m:r>
              <w:rPr>
                <w:rFonts w:ascii="Cambria Math" w:eastAsiaTheme="minorEastAsia" w:hAnsi="Cambria Math"/>
              </w:rPr>
              <m:t xml:space="preserve"> Y</m:t>
            </m:r>
          </m:e>
          <m:sub>
            <m:r>
              <w:rPr>
                <w:rFonts w:ascii="Cambria Math" w:eastAsiaTheme="minorEastAsia" w:hAnsi="Cambria Math"/>
              </w:rPr>
              <m:t>a</m:t>
            </m:r>
          </m:sub>
        </m:sSub>
        <m:r>
          <w:rPr>
            <w:rFonts w:ascii="Cambria Math" w:eastAsiaTheme="minorEastAsia" w:hAnsi="Cambria Math"/>
          </w:rPr>
          <m:t xml:space="preserve"> </m:t>
        </m:r>
      </m:oMath>
      <w:r w:rsidRPr="00BC31E0">
        <w:rPr>
          <w:rFonts w:asciiTheme="minorHAnsi" w:eastAsiaTheme="minorEastAsia" w:hAnsiTheme="minorHAnsi" w:hint="eastAsia"/>
        </w:rPr>
        <w:t>は，次による。</w:t>
      </w:r>
    </w:p>
    <w:p w14:paraId="052CC9D3" w14:textId="77777777" w:rsidR="00342321" w:rsidRPr="00BC31E0" w:rsidRDefault="00A51873" w:rsidP="00E74915">
      <w:pPr>
        <w:tabs>
          <w:tab w:val="left" w:pos="1843"/>
        </w:tabs>
        <w:ind w:left="1588"/>
        <w:outlineLvl w:val="6"/>
      </w:pPr>
      <m:oMath>
        <m:sSub>
          <m:sSubPr>
            <m:ctrlPr>
              <w:rPr>
                <w:rFonts w:ascii="Cambria Math" w:hAnsi="Cambria Math"/>
                <w:i/>
              </w:rPr>
            </m:ctrlPr>
          </m:sSubPr>
          <m:e>
            <m:r>
              <w:rPr>
                <w:rFonts w:ascii="Cambria Math" w:hAnsi="Cambria Math"/>
              </w:rPr>
              <m:t>Y</m:t>
            </m:r>
          </m:e>
          <m:sub>
            <m:r>
              <w:rPr>
                <w:rFonts w:ascii="Cambria Math" w:hAnsi="Cambria Math"/>
              </w:rPr>
              <m:t>a</m:t>
            </m:r>
          </m:sub>
        </m:sSub>
      </m:oMath>
      <w:r w:rsidR="00342321" w:rsidRPr="00BC31E0">
        <w:rPr>
          <w:rFonts w:hint="eastAsia"/>
        </w:rPr>
        <w:tab/>
      </w:r>
      <w:r w:rsidR="00342321" w:rsidRPr="00BC31E0">
        <w:rPr>
          <w:rFonts w:asciiTheme="minorHAnsi" w:eastAsiaTheme="minorEastAsia" w:hAnsiTheme="minorHAnsi" w:hint="eastAsia"/>
        </w:rPr>
        <w:t>：</w:t>
      </w:r>
      <w:r w:rsidR="00342321" w:rsidRPr="00BC31E0">
        <w:rPr>
          <w:rFonts w:asciiTheme="minorHAnsi" w:eastAsiaTheme="minorEastAsia" w:hAnsiTheme="minorHAnsi" w:hint="eastAsia"/>
        </w:rPr>
        <w:t xml:space="preserve"> </w:t>
      </w:r>
      <w:r w:rsidR="00342321" w:rsidRPr="00BC31E0">
        <w:rPr>
          <w:rFonts w:asciiTheme="minorHAnsi" w:eastAsiaTheme="minorEastAsia" w:hAnsiTheme="minorHAnsi" w:hint="eastAsia"/>
        </w:rPr>
        <w:t>合体した単一きずに含まれる個々の内部きずの</w:t>
      </w:r>
      <m:oMath>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 xml:space="preserve"> S</m:t>
                </m:r>
              </m:e>
              <m:sub>
                <m:r>
                  <w:rPr>
                    <w:rFonts w:ascii="Cambria Math" w:eastAsiaTheme="minorEastAsia" w:hAnsi="Cambria Math"/>
                  </w:rPr>
                  <m:t>i</m:t>
                </m:r>
              </m:sub>
            </m:sSub>
          </m:num>
          <m:den>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i</m:t>
                </m:r>
              </m:sub>
            </m:sSub>
            <m:r>
              <w:rPr>
                <w:rFonts w:ascii="Cambria Math" w:eastAsiaTheme="minorEastAsia" w:hAnsi="Cambria Math"/>
              </w:rPr>
              <m:t xml:space="preserve"> </m:t>
            </m:r>
          </m:den>
        </m:f>
      </m:oMath>
      <w:r w:rsidR="00342321" w:rsidRPr="00BC31E0">
        <w:rPr>
          <w:rFonts w:asciiTheme="minorHAnsi" w:eastAsiaTheme="minorEastAsia" w:hAnsiTheme="minorHAnsi" w:hint="eastAsia"/>
        </w:rPr>
        <w:t>の最小値</w:t>
      </w:r>
    </w:p>
    <w:p w14:paraId="22474AFE" w14:textId="77777777" w:rsidR="00342321" w:rsidRPr="00BC31E0" w:rsidRDefault="00A51873" w:rsidP="00E74915">
      <w:pPr>
        <w:tabs>
          <w:tab w:val="left" w:pos="1843"/>
        </w:tabs>
        <w:ind w:left="1588"/>
        <w:outlineLvl w:val="6"/>
        <w:rPr>
          <w:rFonts w:ascii="ＭＳ 明朝" w:hAnsi="ＭＳ 明朝"/>
          <w:szCs w:val="20"/>
        </w:rPr>
      </w:pPr>
      <m:oMath>
        <m:sSub>
          <m:sSubPr>
            <m:ctrlPr>
              <w:rPr>
                <w:rFonts w:ascii="Cambria Math" w:hAnsi="Cambria Math"/>
                <w:i/>
              </w:rPr>
            </m:ctrlPr>
          </m:sSubPr>
          <m:e>
            <m:r>
              <w:rPr>
                <w:rFonts w:ascii="Cambria Math" w:hAnsi="Cambria Math"/>
              </w:rPr>
              <m:t>S</m:t>
            </m:r>
          </m:e>
          <m:sub>
            <m:r>
              <w:rPr>
                <w:rFonts w:ascii="Cambria Math" w:hAnsi="Cambria Math"/>
              </w:rPr>
              <m:t>i</m:t>
            </m:r>
          </m:sub>
        </m:sSub>
      </m:oMath>
      <w:r w:rsidR="00342321" w:rsidRPr="00BC31E0">
        <w:rPr>
          <w:rFonts w:ascii="ＭＳ 明朝" w:hAnsi="ＭＳ 明朝" w:hint="eastAsia"/>
        </w:rPr>
        <w:tab/>
        <w:t xml:space="preserve">： </w:t>
      </w:r>
      <w:r w:rsidR="00342321" w:rsidRPr="00BC31E0">
        <w:rPr>
          <w:rFonts w:asciiTheme="minorHAnsi" w:eastAsiaTheme="minorEastAsia" w:hAnsiTheme="minorHAnsi" w:hint="eastAsia"/>
        </w:rPr>
        <w:t>個々の内部きずの表面又はクラッドと母材境界からの距離</w:t>
      </w:r>
      <w:r w:rsidR="00342321" w:rsidRPr="00BC31E0">
        <w:rPr>
          <w:rFonts w:asciiTheme="minorHAnsi" w:hAnsiTheme="minorHAnsi"/>
          <w:szCs w:val="20"/>
        </w:rPr>
        <w:t>(</w:t>
      </w:r>
      <w:r w:rsidR="00342321" w:rsidRPr="00BC31E0">
        <w:rPr>
          <w:rFonts w:ascii="Cambria Math" w:hAnsi="Cambria Math"/>
          <w:szCs w:val="20"/>
        </w:rPr>
        <w:t>mm</w:t>
      </w:r>
      <w:r w:rsidR="00342321" w:rsidRPr="00BC31E0">
        <w:rPr>
          <w:rFonts w:asciiTheme="minorHAnsi" w:hAnsiTheme="minorHAnsi"/>
          <w:szCs w:val="20"/>
        </w:rPr>
        <w:t>)</w:t>
      </w:r>
    </w:p>
    <w:p w14:paraId="2414B39D" w14:textId="77777777" w:rsidR="00342321" w:rsidRPr="00BC31E0" w:rsidRDefault="00A51873" w:rsidP="00E74915">
      <w:pPr>
        <w:tabs>
          <w:tab w:val="left" w:pos="1843"/>
        </w:tabs>
        <w:ind w:left="1588"/>
        <w:outlineLvl w:val="6"/>
        <w:rPr>
          <w:rFonts w:asciiTheme="minorHAnsi" w:hAnsiTheme="minorHAnsi"/>
          <w:szCs w:val="20"/>
        </w:rPr>
      </w:pPr>
      <m:oMath>
        <m:sSub>
          <m:sSubPr>
            <m:ctrlPr>
              <w:rPr>
                <w:rFonts w:ascii="Cambria Math" w:hAnsi="Cambria Math"/>
                <w:i/>
              </w:rPr>
            </m:ctrlPr>
          </m:sSubPr>
          <m:e>
            <m:r>
              <w:rPr>
                <w:rFonts w:ascii="Cambria Math" w:hAnsi="Cambria Math"/>
              </w:rPr>
              <m:t>d</m:t>
            </m:r>
          </m:e>
          <m:sub>
            <m:r>
              <w:rPr>
                <w:rFonts w:ascii="Cambria Math" w:hAnsi="Cambria Math"/>
              </w:rPr>
              <m:t>i</m:t>
            </m:r>
          </m:sub>
        </m:sSub>
      </m:oMath>
      <w:r w:rsidR="00342321" w:rsidRPr="00BC31E0">
        <w:rPr>
          <w:rFonts w:ascii="ＭＳ 明朝" w:hAnsi="ＭＳ 明朝" w:hint="eastAsia"/>
          <w:i/>
        </w:rPr>
        <w:tab/>
      </w:r>
      <w:r w:rsidR="00342321" w:rsidRPr="00BC31E0">
        <w:rPr>
          <w:rFonts w:ascii="ＭＳ 明朝" w:hAnsi="ＭＳ 明朝" w:hint="eastAsia"/>
        </w:rPr>
        <w:t xml:space="preserve">： </w:t>
      </w:r>
      <w:r w:rsidR="00342321" w:rsidRPr="00BC31E0">
        <w:rPr>
          <w:rFonts w:asciiTheme="minorHAnsi" w:eastAsiaTheme="minorEastAsia" w:hAnsiTheme="minorHAnsi" w:hint="eastAsia"/>
        </w:rPr>
        <w:t>個々の内部きずの高さの</w:t>
      </w:r>
      <w:r w:rsidR="00700DCF" w:rsidRPr="00BC31E0">
        <w:rPr>
          <w:rFonts w:asciiTheme="minorHAnsi" w:eastAsiaTheme="minorEastAsia" w:hAnsiTheme="minorHAnsi" w:hint="eastAsia"/>
        </w:rPr>
        <w:t>1/2</w:t>
      </w:r>
      <w:r w:rsidR="00F83DE0" w:rsidRPr="00BC31E0">
        <w:rPr>
          <w:rFonts w:asciiTheme="minorHAnsi" w:eastAsiaTheme="minorEastAsia" w:hAnsiTheme="minorHAnsi" w:hint="eastAsia"/>
        </w:rPr>
        <w:t xml:space="preserve"> </w:t>
      </w:r>
      <w:r w:rsidR="00342321" w:rsidRPr="00BC31E0">
        <w:rPr>
          <w:rFonts w:asciiTheme="minorHAnsi" w:hAnsiTheme="minorHAnsi"/>
          <w:szCs w:val="20"/>
        </w:rPr>
        <w:t>(</w:t>
      </w:r>
      <w:r w:rsidR="00342321" w:rsidRPr="00BC31E0">
        <w:rPr>
          <w:rFonts w:ascii="Cambria Math" w:hAnsi="Cambria Math"/>
          <w:szCs w:val="20"/>
        </w:rPr>
        <w:t>mm</w:t>
      </w:r>
      <w:r w:rsidR="00342321" w:rsidRPr="00BC31E0">
        <w:rPr>
          <w:rFonts w:asciiTheme="minorHAnsi" w:hAnsiTheme="minorHAnsi"/>
          <w:szCs w:val="20"/>
        </w:rPr>
        <w:t>)</w:t>
      </w:r>
    </w:p>
    <w:p w14:paraId="493B507F" w14:textId="77777777" w:rsidR="00342321" w:rsidRPr="00BC31E0" w:rsidRDefault="00342321" w:rsidP="00E74915">
      <w:pPr>
        <w:spacing w:before="120"/>
        <w:ind w:left="1134" w:firstLine="227"/>
        <w:outlineLvl w:val="6"/>
        <w:rPr>
          <w:rFonts w:ascii="ＭＳ 明朝" w:hAnsi="ＭＳ 明朝"/>
        </w:rPr>
      </w:pPr>
      <w:r w:rsidRPr="00BC31E0">
        <w:rPr>
          <w:rFonts w:ascii="ＭＳ 明朝" w:hAnsi="ＭＳ 明朝" w:hint="eastAsia"/>
        </w:rPr>
        <w:t>降伏強さ</w:t>
      </w:r>
      <m:oMath>
        <m:sSub>
          <m:sSubPr>
            <m:ctrlPr>
              <w:rPr>
                <w:rFonts w:ascii="Cambria Math" w:hAnsi="Cambria Math"/>
                <w:i/>
              </w:rPr>
            </m:ctrlPr>
          </m:sSubPr>
          <m:e>
            <m:r>
              <w:rPr>
                <w:rFonts w:ascii="Cambria Math" w:hAnsi="Cambria Math"/>
              </w:rPr>
              <m:t xml:space="preserve"> S</m:t>
            </m:r>
          </m:e>
          <m:sub>
            <m:r>
              <w:rPr>
                <w:rFonts w:ascii="Cambria Math" w:hAnsi="Cambria Math"/>
              </w:rPr>
              <m:t>y</m:t>
            </m:r>
          </m:sub>
        </m:sSub>
        <m:r>
          <m:rPr>
            <m:sty m:val="p"/>
          </m:rPr>
          <w:rPr>
            <w:rFonts w:ascii="Cambria Math" w:hAnsi="Cambria Math"/>
          </w:rPr>
          <m:t>&gt;</m:t>
        </m:r>
        <m:r>
          <w:rPr>
            <w:rFonts w:ascii="Cambria Math" w:hAnsi="Cambria Math"/>
          </w:rPr>
          <m:t>690</m:t>
        </m:r>
        <m:r>
          <m:rPr>
            <m:sty m:val="p"/>
          </m:rPr>
          <w:rPr>
            <w:rFonts w:ascii="Cambria Math" w:hAnsi="Cambria Math"/>
          </w:rPr>
          <m:t xml:space="preserve"> MPa </m:t>
        </m:r>
      </m:oMath>
      <w:r w:rsidRPr="00BC31E0">
        <w:rPr>
          <w:rFonts w:ascii="ＭＳ 明朝" w:hAnsi="ＭＳ 明朝" w:hint="eastAsia"/>
        </w:rPr>
        <w:t>の場合，又は内外径比</w:t>
      </w:r>
      <m:oMath>
        <m:r>
          <m:rPr>
            <m:sty m:val="p"/>
          </m:rPr>
          <w:rPr>
            <w:rFonts w:ascii="Cambria Math" w:hAnsi="Cambria Math"/>
          </w:rPr>
          <m:t xml:space="preserve"> </m:t>
        </m:r>
        <m:r>
          <w:rPr>
            <w:rFonts w:ascii="Cambria Math" w:hAnsi="Cambria Math"/>
          </w:rPr>
          <m:t>Y</m:t>
        </m:r>
        <m:r>
          <m:rPr>
            <m:sty m:val="p"/>
          </m:rPr>
          <w:rPr>
            <w:rFonts w:ascii="Cambria Math" w:hAnsi="Cambria Math"/>
          </w:rPr>
          <m:t>&lt;</m:t>
        </m:r>
        <m:r>
          <w:rPr>
            <w:rFonts w:ascii="Cambria Math" w:hAnsi="Cambria Math"/>
          </w:rPr>
          <m:t xml:space="preserve">1.2 </m:t>
        </m:r>
      </m:oMath>
      <w:r w:rsidRPr="00BC31E0">
        <w:rPr>
          <w:rFonts w:ascii="ＭＳ 明朝" w:hAnsi="ＭＳ 明朝" w:hint="eastAsia"/>
        </w:rPr>
        <w:t>又は</w:t>
      </w:r>
      <m:oMath>
        <m:r>
          <m:rPr>
            <m:sty m:val="p"/>
          </m:rPr>
          <w:rPr>
            <w:rFonts w:ascii="Cambria Math" w:hAnsi="Cambria Math"/>
          </w:rPr>
          <m:t xml:space="preserve"> </m:t>
        </m:r>
        <m:r>
          <w:rPr>
            <w:rFonts w:ascii="Cambria Math" w:hAnsi="Cambria Math"/>
          </w:rPr>
          <m:t>Y</m:t>
        </m:r>
        <m:r>
          <m:rPr>
            <m:sty m:val="p"/>
          </m:rPr>
          <w:rPr>
            <w:rFonts w:ascii="Cambria Math" w:hAnsi="Cambria Math"/>
          </w:rPr>
          <m:t>&gt;</m:t>
        </m:r>
        <m:r>
          <w:rPr>
            <w:rFonts w:ascii="Cambria Math" w:hAnsi="Cambria Math"/>
          </w:rPr>
          <m:t xml:space="preserve">2.5 </m:t>
        </m:r>
      </m:oMath>
      <w:r w:rsidRPr="00BC31E0">
        <w:rPr>
          <w:rFonts w:ascii="ＭＳ 明朝" w:hAnsi="ＭＳ 明朝" w:hint="eastAsia"/>
        </w:rPr>
        <w:t>の場合には，次の</w:t>
      </w:r>
      <w:r w:rsidRPr="00BC31E0">
        <w:rPr>
          <w:rFonts w:ascii="ＭＳ ゴシック" w:eastAsia="ＭＳ ゴシック" w:hAnsi="ＭＳ ゴシック" w:hint="eastAsia"/>
          <w:b/>
        </w:rPr>
        <w:t>2.3)</w:t>
      </w:r>
      <w:r w:rsidRPr="00BC31E0">
        <w:rPr>
          <w:rFonts w:ascii="ＭＳ 明朝" w:hAnsi="ＭＳ 明朝" w:hint="eastAsia"/>
        </w:rPr>
        <w:t>により許容きず寸法を求める。</w:t>
      </w:r>
    </w:p>
    <w:p w14:paraId="038BF667" w14:textId="77777777" w:rsidR="00342321" w:rsidRPr="00BC31E0" w:rsidRDefault="00342321" w:rsidP="00E74915">
      <w:pPr>
        <w:ind w:left="1134" w:firstLine="227"/>
        <w:outlineLvl w:val="6"/>
        <w:rPr>
          <w:rFonts w:ascii="ＭＳ 明朝" w:hAnsi="ＭＳ 明朝"/>
        </w:rPr>
      </w:pPr>
      <m:oMath>
        <m:r>
          <w:rPr>
            <w:rFonts w:ascii="Cambria Math" w:hAnsi="Cambria Math"/>
          </w:rPr>
          <w:lastRenderedPageBreak/>
          <m:t>Y</m:t>
        </m:r>
        <m:r>
          <m:rPr>
            <m:sty m:val="p"/>
          </m:rPr>
          <w:rPr>
            <w:rFonts w:ascii="Cambria Math" w:hAnsi="Cambria Math"/>
          </w:rPr>
          <m:t>&lt;</m:t>
        </m:r>
        <m:r>
          <w:rPr>
            <w:rFonts w:ascii="Cambria Math" w:hAnsi="Cambria Math"/>
          </w:rPr>
          <m:t xml:space="preserve">1.2 </m:t>
        </m:r>
      </m:oMath>
      <w:r w:rsidRPr="00BC31E0">
        <w:rPr>
          <w:rFonts w:ascii="ＭＳ 明朝" w:hAnsi="ＭＳ 明朝" w:hint="eastAsia"/>
        </w:rPr>
        <w:t>の場合には，</w:t>
      </w:r>
      <m:oMath>
        <m:r>
          <w:rPr>
            <w:rFonts w:ascii="Cambria Math" w:hAnsi="Cambria Math"/>
          </w:rPr>
          <m:t>Y</m:t>
        </m:r>
        <m:r>
          <m:rPr>
            <m:sty m:val="p"/>
          </m:rPr>
          <w:rPr>
            <w:rFonts w:ascii="Cambria Math" w:hAnsi="Cambria Math"/>
          </w:rPr>
          <m:t>=</m:t>
        </m:r>
        <m:r>
          <w:rPr>
            <w:rFonts w:ascii="Cambria Math" w:hAnsi="Cambria Math"/>
          </w:rPr>
          <m:t xml:space="preserve">1.2 </m:t>
        </m:r>
      </m:oMath>
      <w:r w:rsidRPr="00BC31E0">
        <w:rPr>
          <w:rFonts w:ascii="ＭＳ 明朝" w:hAnsi="ＭＳ 明朝" w:hint="eastAsia"/>
        </w:rPr>
        <w:t>の許容きず寸法の方が安全側であるので，</w:t>
      </w:r>
      <m:oMath>
        <m:r>
          <w:rPr>
            <w:rFonts w:ascii="Cambria Math" w:hAnsi="Cambria Math"/>
          </w:rPr>
          <m:t>Y</m:t>
        </m:r>
        <m:r>
          <m:rPr>
            <m:sty m:val="p"/>
          </m:rPr>
          <w:rPr>
            <w:rFonts w:ascii="Cambria Math" w:hAnsi="Cambria Math"/>
          </w:rPr>
          <m:t>=</m:t>
        </m:r>
        <m:r>
          <w:rPr>
            <w:rFonts w:ascii="Cambria Math" w:hAnsi="Cambria Math"/>
          </w:rPr>
          <m:t xml:space="preserve">1.2 </m:t>
        </m:r>
      </m:oMath>
      <w:r w:rsidRPr="00BC31E0">
        <w:rPr>
          <w:rFonts w:ascii="ＭＳ 明朝" w:hAnsi="ＭＳ 明朝" w:hint="eastAsia"/>
        </w:rPr>
        <w:t>の許容きず寸法を用いてもよい。</w:t>
      </w:r>
    </w:p>
    <w:p w14:paraId="2B786DDD" w14:textId="77777777" w:rsidR="00342321" w:rsidRPr="00BC31E0" w:rsidRDefault="00342321" w:rsidP="00736130">
      <w:pPr>
        <w:pStyle w:val="a4"/>
        <w:numPr>
          <w:ilvl w:val="0"/>
          <w:numId w:val="351"/>
        </w:numPr>
        <w:ind w:leftChars="0" w:left="1134" w:hanging="567"/>
        <w:rPr>
          <w:rFonts w:asciiTheme="minorHAnsi" w:eastAsiaTheme="minorEastAsia" w:hAnsiTheme="minorHAnsi"/>
        </w:rPr>
      </w:pPr>
      <w:r w:rsidRPr="00BC31E0">
        <w:rPr>
          <w:rFonts w:asciiTheme="majorEastAsia" w:eastAsiaTheme="majorEastAsia" w:hAnsiTheme="majorEastAsia" w:hint="eastAsia"/>
          <w:b/>
        </w:rPr>
        <w:t>溶接後熱処理を行わない場合</w:t>
      </w:r>
      <w:r w:rsidRPr="00BC31E0">
        <w:rPr>
          <w:rFonts w:asciiTheme="minorHAnsi" w:eastAsiaTheme="minorEastAsia" w:hAnsiTheme="minorEastAsia"/>
        </w:rPr>
        <w:t xml:space="preserve">　</w:t>
      </w:r>
      <w:r w:rsidRPr="00BC31E0">
        <w:rPr>
          <w:rFonts w:asciiTheme="minorHAnsi" w:eastAsiaTheme="minorEastAsia" w:hAnsiTheme="minorEastAsia"/>
          <w:bCs/>
        </w:rPr>
        <w:t>表面きずの許容きず寸法は</w:t>
      </w:r>
      <w:r w:rsidRPr="00BC31E0">
        <w:rPr>
          <w:rFonts w:asciiTheme="majorEastAsia" w:eastAsiaTheme="majorEastAsia" w:hAnsiTheme="majorEastAsia"/>
          <w:b/>
        </w:rPr>
        <w:t>表9.3.26</w:t>
      </w:r>
      <w:r w:rsidRPr="00BC31E0">
        <w:rPr>
          <w:rFonts w:asciiTheme="minorHAnsi" w:eastAsiaTheme="minorEastAsia" w:hAnsiTheme="minorEastAsia"/>
          <w:bCs/>
        </w:rPr>
        <w:t>に，内部きずの許容きず寸法は</w:t>
      </w:r>
      <w:r w:rsidRPr="00BC31E0">
        <w:rPr>
          <w:rFonts w:asciiTheme="majorEastAsia" w:eastAsiaTheme="majorEastAsia" w:hAnsiTheme="majorEastAsia"/>
          <w:b/>
        </w:rPr>
        <w:t>表9.3.27</w:t>
      </w:r>
      <w:r w:rsidRPr="00BC31E0">
        <w:rPr>
          <w:rFonts w:asciiTheme="minorHAnsi" w:eastAsiaTheme="minorEastAsia" w:hAnsiTheme="minorEastAsia"/>
          <w:bCs/>
        </w:rPr>
        <w:t>による。</w:t>
      </w:r>
      <w:r w:rsidRPr="00BC31E0">
        <w:rPr>
          <w:rFonts w:asciiTheme="majorEastAsia" w:eastAsiaTheme="majorEastAsia" w:hAnsiTheme="majorEastAsia"/>
          <w:b/>
        </w:rPr>
        <w:t>表9.3.27</w:t>
      </w:r>
      <w:r w:rsidRPr="00BC31E0">
        <w:rPr>
          <w:rFonts w:asciiTheme="minorHAnsi" w:eastAsiaTheme="minorEastAsia" w:hAnsiTheme="minorEastAsia"/>
          <w:bCs/>
        </w:rPr>
        <w:t>において，</w:t>
      </w:r>
      <m:oMath>
        <m:sSub>
          <m:sSubPr>
            <m:ctrlPr>
              <w:rPr>
                <w:rFonts w:ascii="Cambria Math" w:eastAsiaTheme="minorEastAsia" w:hAnsiTheme="minorHAnsi"/>
                <w:bCs/>
                <w:i/>
              </w:rPr>
            </m:ctrlPr>
          </m:sSubPr>
          <m:e>
            <m:r>
              <w:rPr>
                <w:rFonts w:ascii="Cambria Math" w:eastAsiaTheme="minorEastAsia" w:hAnsi="Cambria Math"/>
              </w:rPr>
              <m:t>X</m:t>
            </m:r>
          </m:e>
          <m:sub>
            <m:r>
              <w:rPr>
                <w:rFonts w:ascii="Cambria Math" w:eastAsiaTheme="minorEastAsia" w:hAnsi="Cambria Math"/>
              </w:rPr>
              <m:t>a</m:t>
            </m:r>
          </m:sub>
        </m:sSub>
        <m:r>
          <w:rPr>
            <w:rFonts w:ascii="Cambria Math" w:eastAsiaTheme="minorEastAsia" w:hAnsiTheme="minorHAnsi"/>
          </w:rPr>
          <m:t xml:space="preserve"> </m:t>
        </m:r>
      </m:oMath>
      <w:r w:rsidRPr="00BC31E0">
        <w:rPr>
          <w:rFonts w:asciiTheme="minorHAnsi" w:eastAsiaTheme="minorEastAsia" w:hAnsiTheme="minorEastAsia"/>
          <w:bCs/>
        </w:rPr>
        <w:t>は</w:t>
      </w:r>
      <w:r w:rsidRPr="00BC31E0">
        <w:rPr>
          <w:rFonts w:asciiTheme="majorEastAsia" w:eastAsiaTheme="majorEastAsia" w:hAnsiTheme="majorEastAsia"/>
          <w:b/>
        </w:rPr>
        <w:t>式(9.3.1)</w:t>
      </w:r>
      <w:r w:rsidRPr="00BC31E0">
        <w:rPr>
          <w:rFonts w:asciiTheme="minorHAnsi" w:eastAsiaTheme="minorEastAsia" w:hAnsiTheme="minorEastAsia"/>
          <w:bCs/>
        </w:rPr>
        <w:t>に示す。</w:t>
      </w:r>
    </w:p>
    <w:p w14:paraId="461B83B6" w14:textId="77777777" w:rsidR="004306DE" w:rsidRPr="00BC31E0" w:rsidRDefault="00342321" w:rsidP="00E74915">
      <w:pPr>
        <w:ind w:left="1134" w:firstLine="227"/>
        <w:rPr>
          <w:b/>
          <w:bCs/>
        </w:rPr>
      </w:pPr>
      <w:r w:rsidRPr="00BC31E0">
        <w:rPr>
          <w:bCs/>
        </w:rPr>
        <w:t>降伏強さ</w:t>
      </w:r>
      <m:oMath>
        <m:sSub>
          <m:sSubPr>
            <m:ctrlPr>
              <w:rPr>
                <w:rFonts w:ascii="Cambria Math" w:hAnsiTheme="minorHAnsi"/>
              </w:rPr>
            </m:ctrlPr>
          </m:sSubPr>
          <m:e>
            <m:r>
              <m:rPr>
                <m:sty m:val="p"/>
              </m:rPr>
              <w:rPr>
                <w:rFonts w:ascii="Cambria Math" w:hAnsiTheme="minorHAnsi"/>
              </w:rPr>
              <m:t xml:space="preserve"> </m:t>
            </m:r>
            <m:r>
              <m:rPr>
                <m:sty m:val="p"/>
              </m:rPr>
              <w:rPr>
                <w:rFonts w:ascii="Cambria Math" w:hAnsi="Cambria Math"/>
              </w:rPr>
              <m:t>S</m:t>
            </m:r>
          </m:e>
          <m:sub>
            <m:r>
              <m:rPr>
                <m:sty m:val="p"/>
              </m:rPr>
              <w:rPr>
                <w:rFonts w:ascii="Cambria Math" w:hAnsi="Cambria Math"/>
              </w:rPr>
              <m:t>y</m:t>
            </m:r>
          </m:sub>
        </m:sSub>
        <m:r>
          <m:rPr>
            <m:sty m:val="p"/>
          </m:rPr>
          <w:rPr>
            <w:rFonts w:ascii="Cambria Math" w:hAnsiTheme="minorHAnsi"/>
          </w:rPr>
          <m:t>&gt;</m:t>
        </m:r>
        <m:r>
          <w:rPr>
            <w:rFonts w:ascii="Cambria Math" w:hAnsiTheme="minorHAnsi"/>
          </w:rPr>
          <m:t xml:space="preserve">260 </m:t>
        </m:r>
        <m:r>
          <m:rPr>
            <m:sty m:val="p"/>
          </m:rPr>
          <w:rPr>
            <w:rFonts w:ascii="Cambria Math" w:hAnsiTheme="minorHAnsi"/>
          </w:rPr>
          <m:t>MPa</m:t>
        </m:r>
        <m:r>
          <w:rPr>
            <w:rFonts w:ascii="Cambria Math" w:hAnsiTheme="minorHAnsi"/>
          </w:rPr>
          <m:t xml:space="preserve"> </m:t>
        </m:r>
      </m:oMath>
      <w:r w:rsidRPr="00BC31E0">
        <w:rPr>
          <w:bCs/>
        </w:rPr>
        <w:t>の場合，又は内外径比</w:t>
      </w:r>
      <m:oMath>
        <m:r>
          <w:rPr>
            <w:rFonts w:ascii="Cambria Math" w:hAnsiTheme="minorHAnsi"/>
          </w:rPr>
          <m:t xml:space="preserve"> </m:t>
        </m:r>
        <m:r>
          <w:rPr>
            <w:rFonts w:ascii="Cambria Math" w:hAnsi="Cambria Math"/>
          </w:rPr>
          <m:t>Y</m:t>
        </m:r>
        <m:r>
          <w:rPr>
            <w:rFonts w:ascii="Cambria Math" w:hAnsiTheme="minorHAnsi"/>
          </w:rPr>
          <m:t xml:space="preserve">&lt;1.2 </m:t>
        </m:r>
      </m:oMath>
      <w:r w:rsidRPr="00BC31E0">
        <w:t>又は</w:t>
      </w:r>
      <m:oMath>
        <m:r>
          <w:rPr>
            <w:rFonts w:ascii="Cambria Math" w:hAnsiTheme="minorHAnsi"/>
          </w:rPr>
          <m:t xml:space="preserve"> </m:t>
        </m:r>
        <m:r>
          <w:rPr>
            <w:rFonts w:ascii="Cambria Math" w:hAnsi="Cambria Math"/>
          </w:rPr>
          <m:t>Y</m:t>
        </m:r>
        <m:r>
          <w:rPr>
            <w:rFonts w:ascii="Cambria Math" w:hAnsiTheme="minorHAnsi"/>
          </w:rPr>
          <m:t xml:space="preserve">&gt;2.5 </m:t>
        </m:r>
      </m:oMath>
      <w:r w:rsidRPr="00BC31E0">
        <w:rPr>
          <w:bCs/>
        </w:rPr>
        <w:t>の場合には，次の</w:t>
      </w:r>
      <w:r w:rsidRPr="00BC31E0">
        <w:rPr>
          <w:rFonts w:asciiTheme="majorEastAsia" w:eastAsiaTheme="majorEastAsia" w:hAnsiTheme="majorEastAsia"/>
          <w:b/>
        </w:rPr>
        <w:t>2.3)</w:t>
      </w:r>
      <w:r w:rsidRPr="00BC31E0">
        <w:rPr>
          <w:bCs/>
        </w:rPr>
        <w:t>により許容きず寸法を求める。</w:t>
      </w:r>
    </w:p>
    <w:p w14:paraId="2898C173" w14:textId="77777777" w:rsidR="00342321" w:rsidRPr="00BC31E0" w:rsidRDefault="00244687" w:rsidP="00E74915">
      <w:pPr>
        <w:ind w:left="1134" w:firstLine="227"/>
        <w:rPr>
          <w:rFonts w:ascii="ＭＳ 明朝" w:hAnsi="ＭＳ 明朝"/>
          <w:b/>
          <w:bCs/>
        </w:rPr>
      </w:pPr>
      <m:oMath>
        <m:r>
          <w:rPr>
            <w:rFonts w:ascii="Cambria Math" w:hAnsi="Cambria Math"/>
          </w:rPr>
          <m:t>Y</m:t>
        </m:r>
        <m:r>
          <w:rPr>
            <w:rFonts w:ascii="Cambria Math" w:hAnsiTheme="minorHAnsi"/>
          </w:rPr>
          <m:t xml:space="preserve">&lt;1.2 </m:t>
        </m:r>
      </m:oMath>
      <w:r w:rsidR="00342321" w:rsidRPr="00BC31E0">
        <w:rPr>
          <w:bCs/>
        </w:rPr>
        <w:t>の場合には，</w:t>
      </w:r>
      <m:oMath>
        <m:r>
          <w:rPr>
            <w:rFonts w:ascii="Cambria Math" w:hAnsi="Cambria Math"/>
          </w:rPr>
          <m:t>Y</m:t>
        </m:r>
        <m:r>
          <w:rPr>
            <w:rFonts w:ascii="Cambria Math" w:hAnsiTheme="minorHAnsi"/>
          </w:rPr>
          <m:t xml:space="preserve">=1.2 </m:t>
        </m:r>
      </m:oMath>
      <w:r w:rsidR="00342321" w:rsidRPr="00BC31E0">
        <w:rPr>
          <w:bCs/>
        </w:rPr>
        <w:t>の許容きず寸法の方が安全側であるので，</w:t>
      </w:r>
      <m:oMath>
        <m:r>
          <w:rPr>
            <w:rFonts w:ascii="Cambria Math" w:hAnsi="Cambria Math"/>
          </w:rPr>
          <m:t>Y</m:t>
        </m:r>
        <m:r>
          <w:rPr>
            <w:rFonts w:ascii="Cambria Math" w:hAnsiTheme="minorHAnsi"/>
          </w:rPr>
          <m:t xml:space="preserve">=1.2 </m:t>
        </m:r>
      </m:oMath>
      <w:r w:rsidR="00342321" w:rsidRPr="00BC31E0">
        <w:rPr>
          <w:bCs/>
        </w:rPr>
        <w:t>の許容きず寸法を用いてもよい。</w:t>
      </w:r>
    </w:p>
    <w:p w14:paraId="07421493" w14:textId="77777777" w:rsidR="00342321" w:rsidRPr="00BC31E0" w:rsidRDefault="00342321" w:rsidP="00736130">
      <w:pPr>
        <w:pStyle w:val="a4"/>
        <w:numPr>
          <w:ilvl w:val="0"/>
          <w:numId w:val="351"/>
        </w:numPr>
        <w:ind w:leftChars="0" w:left="1134" w:hanging="567"/>
        <w:rPr>
          <w:rFonts w:hAnsi="ＭＳ 明朝"/>
        </w:rPr>
      </w:pPr>
      <w:r w:rsidRPr="00BC31E0">
        <w:rPr>
          <w:rFonts w:asciiTheme="majorEastAsia" w:eastAsiaTheme="majorEastAsia" w:hAnsiTheme="majorEastAsia" w:hint="eastAsia"/>
          <w:b/>
        </w:rPr>
        <w:t>許容きず寸法の算出手順</w:t>
      </w:r>
      <w:r w:rsidRPr="00BC31E0">
        <w:rPr>
          <w:rFonts w:hint="eastAsia"/>
        </w:rPr>
        <w:t xml:space="preserve">　</w:t>
      </w:r>
      <w:r w:rsidRPr="00BC31E0">
        <w:rPr>
          <w:rFonts w:asciiTheme="majorEastAsia" w:eastAsiaTheme="majorEastAsia" w:hAnsiTheme="majorEastAsia" w:hint="eastAsia"/>
          <w:b/>
        </w:rPr>
        <w:t>2.1)</w:t>
      </w:r>
      <w:r w:rsidRPr="00BC31E0">
        <w:rPr>
          <w:rFonts w:hAnsi="ＭＳ 明朝" w:hint="eastAsia"/>
        </w:rPr>
        <w:t>又は</w:t>
      </w:r>
      <w:r w:rsidRPr="00BC31E0">
        <w:rPr>
          <w:rFonts w:asciiTheme="majorEastAsia" w:eastAsiaTheme="majorEastAsia" w:hAnsiTheme="majorEastAsia" w:hint="eastAsia"/>
          <w:b/>
        </w:rPr>
        <w:t>2.2)</w:t>
      </w:r>
      <w:r w:rsidRPr="00BC31E0">
        <w:rPr>
          <w:rFonts w:hAnsi="ＭＳ 明朝" w:hint="eastAsia"/>
        </w:rPr>
        <w:t>の許容きず寸法によらずに，別途，製作者は次の</w:t>
      </w:r>
      <w:r w:rsidR="00682279" w:rsidRPr="00BC31E0">
        <w:rPr>
          <w:rFonts w:asciiTheme="majorEastAsia" w:eastAsiaTheme="majorEastAsia" w:hAnsiTheme="majorEastAsia" w:hint="eastAsia"/>
          <w:b/>
        </w:rPr>
        <w:t>2.3.1)</w:t>
      </w:r>
      <w:r w:rsidR="00682279" w:rsidRPr="00BC31E0">
        <w:rPr>
          <w:rFonts w:hAnsi="ＭＳ 明朝" w:hint="eastAsia"/>
        </w:rPr>
        <w:t>～</w:t>
      </w:r>
      <w:r w:rsidR="00682279" w:rsidRPr="00BC31E0">
        <w:rPr>
          <w:rFonts w:asciiTheme="majorEastAsia" w:eastAsiaTheme="majorEastAsia" w:hAnsiTheme="majorEastAsia" w:hint="eastAsia"/>
          <w:b/>
        </w:rPr>
        <w:t>2.3.5)</w:t>
      </w:r>
      <w:r w:rsidR="00682279" w:rsidRPr="00BC31E0">
        <w:rPr>
          <w:rFonts w:hAnsi="ＭＳ 明朝" w:hint="eastAsia"/>
        </w:rPr>
        <w:t>の</w:t>
      </w:r>
      <w:r w:rsidRPr="00BC31E0">
        <w:rPr>
          <w:rFonts w:hAnsi="ＭＳ 明朝" w:hint="eastAsia"/>
        </w:rPr>
        <w:t>手順により許容きず寸法を設定する。なお，内部きずの許容きず寸法は，表面きずの許容きず寸法を用いて設定する。</w:t>
      </w:r>
    </w:p>
    <w:p w14:paraId="0D1BFCEF" w14:textId="77777777" w:rsidR="00342321" w:rsidRPr="00BC31E0" w:rsidRDefault="00342321" w:rsidP="00736130">
      <w:pPr>
        <w:pStyle w:val="a4"/>
        <w:numPr>
          <w:ilvl w:val="0"/>
          <w:numId w:val="645"/>
        </w:numPr>
        <w:ind w:leftChars="0" w:left="1701" w:hanging="794"/>
        <w:rPr>
          <w:rFonts w:ascii="ＭＳ 明朝" w:hAnsi="ＭＳ 明朝"/>
        </w:rPr>
      </w:pPr>
      <w:r w:rsidRPr="00BC31E0">
        <w:rPr>
          <w:rFonts w:hint="eastAsia"/>
        </w:rPr>
        <w:t>構造不連続部から十分離れた位置で軸方向の表面きずを想定し，</w:t>
      </w:r>
      <w:r w:rsidRPr="00BC31E0">
        <w:rPr>
          <w:rFonts w:ascii="ＭＳ 明朝" w:hAnsi="ＭＳ 明朝" w:hint="eastAsia"/>
        </w:rPr>
        <w:t>設計圧力</w:t>
      </w:r>
      <m:oMath>
        <m:r>
          <m:rPr>
            <m:sty m:val="p"/>
          </m:rPr>
          <w:rPr>
            <w:rFonts w:ascii="Cambria Math" w:hAnsi="Cambria Math"/>
          </w:rPr>
          <m:t xml:space="preserve"> </m:t>
        </m:r>
        <m:r>
          <w:rPr>
            <w:rFonts w:ascii="Cambria Math" w:hAnsi="Cambria Math"/>
          </w:rPr>
          <m:t xml:space="preserve">P </m:t>
        </m:r>
      </m:oMath>
      <w:r w:rsidRPr="00BC31E0">
        <w:rPr>
          <w:rFonts w:ascii="ＭＳ 明朝" w:hAnsi="ＭＳ 明朝" w:hint="eastAsia"/>
        </w:rPr>
        <w:t>による周方向応力の他に，溶接残留応力</w:t>
      </w:r>
      <m:oMath>
        <m:sSub>
          <m:sSubPr>
            <m:ctrlPr>
              <w:rPr>
                <w:rFonts w:ascii="Cambria Math" w:hAnsi="Cambria Math"/>
                <w:i/>
              </w:rPr>
            </m:ctrlPr>
          </m:sSubPr>
          <m:e>
            <m:r>
              <w:rPr>
                <w:rFonts w:ascii="Cambria Math" w:hAnsi="Cambria Math"/>
              </w:rPr>
              <m:t xml:space="preserve"> σ</m:t>
            </m:r>
          </m:e>
          <m:sub>
            <m:r>
              <w:rPr>
                <w:rFonts w:ascii="Cambria Math" w:hAnsi="Cambria Math"/>
              </w:rPr>
              <m:t>r</m:t>
            </m:r>
          </m:sub>
        </m:sSub>
        <m:r>
          <w:rPr>
            <w:rFonts w:ascii="Cambria Math" w:hAnsi="Cambria Math"/>
          </w:rPr>
          <m:t xml:space="preserve"> </m:t>
        </m:r>
      </m:oMath>
      <w:r w:rsidRPr="00BC31E0">
        <w:rPr>
          <w:rFonts w:ascii="ＭＳ 明朝" w:hAnsi="ＭＳ 明朝" w:hint="eastAsia"/>
        </w:rPr>
        <w:t>を膜応力として考慮して，</w:t>
      </w:r>
      <w:r w:rsidRPr="00BC31E0">
        <w:rPr>
          <w:rFonts w:ascii="ＭＳ ゴシック" w:eastAsia="ＭＳ ゴシック" w:hint="eastAsia"/>
          <w:b/>
        </w:rPr>
        <w:t>式(</w:t>
      </w:r>
      <w:r w:rsidRPr="00BC31E0">
        <w:rPr>
          <w:rFonts w:ascii="ＭＳ ゴシック" w:eastAsia="ＭＳ ゴシック"/>
          <w:b/>
        </w:rPr>
        <w:t>9.3.</w:t>
      </w:r>
      <w:r w:rsidRPr="00BC31E0">
        <w:rPr>
          <w:rFonts w:ascii="ＭＳ ゴシック" w:eastAsia="ＭＳ ゴシック" w:hint="eastAsia"/>
          <w:b/>
        </w:rPr>
        <w:t>2)</w:t>
      </w:r>
      <w:r w:rsidRPr="00BC31E0">
        <w:rPr>
          <w:rFonts w:ascii="ＭＳ 明朝" w:hAnsi="ＭＳ 明朝" w:hint="eastAsia"/>
        </w:rPr>
        <w:t>により周方向応力</w:t>
      </w:r>
      <m:oMath>
        <m:sSub>
          <m:sSubPr>
            <m:ctrlPr>
              <w:rPr>
                <w:rFonts w:ascii="Cambria Math" w:hAnsi="Cambria Math"/>
                <w:i/>
              </w:rPr>
            </m:ctrlPr>
          </m:sSubPr>
          <m:e>
            <m:r>
              <w:rPr>
                <w:rFonts w:ascii="Cambria Math" w:hAnsi="Cambria Math"/>
              </w:rPr>
              <m:t xml:space="preserve"> σ</m:t>
            </m:r>
          </m:e>
          <m:sub>
            <m:r>
              <w:rPr>
                <w:rFonts w:ascii="Cambria Math" w:hAnsi="Cambria Math" w:hint="eastAsia"/>
              </w:rPr>
              <m:t>t</m:t>
            </m:r>
          </m:sub>
        </m:sSub>
        <m:r>
          <w:rPr>
            <w:rFonts w:ascii="Cambria Math" w:hAnsi="Cambria Math"/>
          </w:rPr>
          <m:t xml:space="preserve"> </m:t>
        </m:r>
      </m:oMath>
      <w:r w:rsidRPr="00BC31E0">
        <w:rPr>
          <w:rFonts w:ascii="ＭＳ 明朝" w:hAnsi="ＭＳ 明朝" w:hint="eastAsia"/>
        </w:rPr>
        <w:t>を求める</w:t>
      </w:r>
      <w:r w:rsidR="005B316D" w:rsidRPr="00BC31E0">
        <w:rPr>
          <w:rFonts w:hint="eastAsia"/>
        </w:rPr>
        <w:t>[</w:t>
      </w:r>
      <w:r w:rsidR="00943E1D" w:rsidRPr="00BC31E0">
        <w:rPr>
          <w:rFonts w:ascii="ＭＳ ゴシック" w:eastAsia="ＭＳ ゴシック" w:hint="eastAsia"/>
          <w:b/>
        </w:rPr>
        <w:t>附属書J</w:t>
      </w:r>
      <w:r w:rsidR="004335E3" w:rsidRPr="00BC31E0">
        <w:rPr>
          <w:rFonts w:asciiTheme="minorEastAsia" w:eastAsiaTheme="minorEastAsia" w:hAnsiTheme="minorEastAsia" w:hint="eastAsia"/>
        </w:rPr>
        <w:t>の</w:t>
      </w:r>
      <w:r w:rsidR="00943E1D" w:rsidRPr="00BC31E0">
        <w:rPr>
          <w:rFonts w:ascii="ＭＳ ゴシック" w:eastAsia="ＭＳ ゴシック" w:hint="eastAsia"/>
          <w:b/>
        </w:rPr>
        <w:t>2</w:t>
      </w:r>
      <w:r w:rsidRPr="00BC31E0">
        <w:rPr>
          <w:rFonts w:ascii="ＭＳ 明朝" w:hAnsi="ＭＳ 明朝" w:hint="eastAsia"/>
        </w:rPr>
        <w:t>を</w:t>
      </w:r>
      <w:r w:rsidRPr="00BC31E0">
        <w:rPr>
          <w:rFonts w:hint="eastAsia"/>
        </w:rPr>
        <w:t>参照</w:t>
      </w:r>
      <w:r w:rsidR="005B316D" w:rsidRPr="00BC31E0">
        <w:rPr>
          <w:rFonts w:hint="eastAsia"/>
        </w:rPr>
        <w:t>]</w:t>
      </w:r>
      <w:r w:rsidRPr="00BC31E0">
        <w:rPr>
          <w:rFonts w:ascii="ＭＳ 明朝" w:hAnsi="ＭＳ 明朝" w:hint="eastAsia"/>
        </w:rPr>
        <w:t>。</w:t>
      </w:r>
    </w:p>
    <w:p w14:paraId="05C312C7" w14:textId="77777777" w:rsidR="00342321" w:rsidRPr="00BC31E0" w:rsidRDefault="00342321" w:rsidP="00611E68">
      <w:pPr>
        <w:ind w:left="1701" w:firstLineChars="100" w:firstLine="210"/>
        <w:outlineLvl w:val="6"/>
        <w:rPr>
          <w:rFonts w:ascii="ＭＳ 明朝" w:hAnsi="ＭＳ 明朝"/>
        </w:rPr>
      </w:pPr>
      <w:r w:rsidRPr="00BC31E0">
        <w:rPr>
          <w:rFonts w:ascii="ＭＳ 明朝" w:hAnsi="ＭＳ 明朝" w:hint="eastAsia"/>
        </w:rPr>
        <w:t>胴の周方向溶接部におけるきずのように，きずの位置ときずに垂直な方向が周方向と異なることが明確に判断できる場合には，判断の理由を示して</w:t>
      </w:r>
      <w:r w:rsidRPr="00BC31E0">
        <w:rPr>
          <w:rFonts w:ascii="ＭＳ ゴシック" w:eastAsia="ＭＳ ゴシック" w:hAnsi="ＭＳ 明朝" w:hint="eastAsia"/>
          <w:b/>
        </w:rPr>
        <w:t>式(9.3.2)</w:t>
      </w:r>
      <w:r w:rsidRPr="00BC31E0">
        <w:rPr>
          <w:rFonts w:ascii="ＭＳ 明朝" w:hAnsi="ＭＳ 明朝" w:hint="eastAsia"/>
        </w:rPr>
        <w:t>の内圧による周方向応力の代わりに</w:t>
      </w:r>
      <w:r w:rsidR="003B14F9" w:rsidRPr="00BC31E0">
        <w:rPr>
          <w:rFonts w:ascii="ＭＳ 明朝" w:hAnsi="ＭＳ 明朝" w:hint="eastAsia"/>
        </w:rPr>
        <w:t>，</w:t>
      </w:r>
      <w:r w:rsidRPr="00BC31E0">
        <w:rPr>
          <w:rFonts w:ascii="ＭＳ 明朝" w:hAnsi="ＭＳ 明朝" w:hint="eastAsia"/>
        </w:rPr>
        <w:t>想定きずに垂直な方向の応力を用い</w:t>
      </w:r>
      <w:r w:rsidR="00033B76" w:rsidRPr="00BC31E0">
        <w:rPr>
          <w:rFonts w:ascii="ＭＳ 明朝" w:hAnsi="ＭＳ 明朝" w:hint="eastAsia"/>
        </w:rPr>
        <w:t>る</w:t>
      </w:r>
      <w:r w:rsidRPr="00BC31E0">
        <w:rPr>
          <w:rFonts w:ascii="ＭＳ 明朝" w:hAnsi="ＭＳ 明朝" w:hint="eastAsia"/>
        </w:rPr>
        <w:t>。この場合には，</w:t>
      </w:r>
      <w:r w:rsidR="00C86B5F" w:rsidRPr="00BC31E0">
        <w:rPr>
          <w:rFonts w:asciiTheme="majorEastAsia" w:eastAsiaTheme="majorEastAsia" w:hAnsiTheme="majorEastAsia"/>
          <w:b/>
        </w:rPr>
        <w:t>2</w:t>
      </w:r>
      <w:r w:rsidR="00611E68" w:rsidRPr="00BC31E0">
        <w:rPr>
          <w:rFonts w:asciiTheme="majorEastAsia" w:eastAsiaTheme="majorEastAsia" w:hAnsiTheme="majorEastAsia" w:hint="eastAsia"/>
          <w:b/>
        </w:rPr>
        <w:t>.3.2)</w:t>
      </w:r>
      <w:r w:rsidR="00C86B5F" w:rsidRPr="00BC31E0">
        <w:rPr>
          <w:rFonts w:ascii="ＭＳ 明朝" w:hAnsi="ＭＳ 明朝" w:hint="eastAsia"/>
        </w:rPr>
        <w:t>で</w:t>
      </w:r>
      <w:r w:rsidRPr="00BC31E0">
        <w:rPr>
          <w:rFonts w:ascii="ＭＳ 明朝" w:hAnsi="ＭＳ 明朝" w:hint="eastAsia"/>
        </w:rPr>
        <w:t>周方向応力</w:t>
      </w:r>
      <w:r w:rsidR="00033B76" w:rsidRPr="00BC31E0">
        <w:rPr>
          <w:rFonts w:ascii="ＭＳ 明朝" w:hAnsi="ＭＳ 明朝" w:hint="eastAsia"/>
        </w:rPr>
        <w:t>を想定きずに垂直な方向の応力に</w:t>
      </w:r>
      <w:r w:rsidRPr="00BC31E0">
        <w:rPr>
          <w:rFonts w:ascii="ＭＳ 明朝" w:hAnsi="ＭＳ 明朝" w:hint="eastAsia"/>
        </w:rPr>
        <w:t>読み替え</w:t>
      </w:r>
      <w:r w:rsidR="00DF6DBA" w:rsidRPr="00BC31E0">
        <w:rPr>
          <w:rFonts w:ascii="ＭＳ 明朝" w:hAnsi="ＭＳ 明朝" w:hint="eastAsia"/>
        </w:rPr>
        <w:t>，</w:t>
      </w:r>
      <w:r w:rsidR="00611E68" w:rsidRPr="00BC31E0">
        <w:rPr>
          <w:rFonts w:asciiTheme="majorEastAsia" w:eastAsiaTheme="majorEastAsia" w:hAnsiTheme="majorEastAsia"/>
          <w:b/>
        </w:rPr>
        <w:t>2</w:t>
      </w:r>
      <w:r w:rsidR="00611E68" w:rsidRPr="00BC31E0">
        <w:rPr>
          <w:rFonts w:asciiTheme="majorEastAsia" w:eastAsiaTheme="majorEastAsia" w:hAnsiTheme="majorEastAsia" w:hint="eastAsia"/>
          <w:b/>
        </w:rPr>
        <w:t>.3.4)</w:t>
      </w:r>
      <w:r w:rsidR="00DF6DBA" w:rsidRPr="00BC31E0">
        <w:rPr>
          <w:rFonts w:ascii="ＭＳ 明朝" w:hAnsi="ＭＳ 明朝" w:hint="eastAsia"/>
        </w:rPr>
        <w:t>で軸方向のきず寸法を想定した方向のきず寸法に読み替える</w:t>
      </w:r>
      <w:r w:rsidR="00033B76" w:rsidRPr="00BC31E0">
        <w:rPr>
          <w:rFonts w:ascii="ＭＳ 明朝" w:hAnsi="ＭＳ 明朝" w:hint="eastAsia"/>
        </w:rPr>
        <w:t>。</w:t>
      </w:r>
    </w:p>
    <w:tbl>
      <w:tblPr>
        <w:tblStyle w:val="afff2"/>
        <w:tblW w:w="5703" w:type="dxa"/>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5"/>
        <w:gridCol w:w="3388"/>
      </w:tblGrid>
      <w:tr w:rsidR="00342321" w:rsidRPr="00BC31E0" w14:paraId="50060BCB" w14:textId="77777777" w:rsidTr="004736F2">
        <w:tc>
          <w:tcPr>
            <w:tcW w:w="0" w:type="auto"/>
            <w:tcMar>
              <w:left w:w="0" w:type="dxa"/>
              <w:right w:w="0" w:type="dxa"/>
            </w:tcMar>
            <w:vAlign w:val="center"/>
          </w:tcPr>
          <w:p w14:paraId="27B40761" w14:textId="77777777" w:rsidR="00342321" w:rsidRPr="00BC31E0" w:rsidRDefault="00A51873" w:rsidP="004736F2">
            <w:pPr>
              <w:jc w:val="left"/>
              <w:outlineLvl w:val="6"/>
              <w:rPr>
                <w:rFonts w:ascii="ＭＳ 明朝" w:hAnsi="ＭＳ 明朝"/>
                <w:i/>
              </w:rPr>
            </w:pPr>
            <m:oMathPara>
              <m:oMath>
                <m:sSub>
                  <m:sSubPr>
                    <m:ctrlPr>
                      <w:rPr>
                        <w:rFonts w:ascii="Cambria Math" w:hAnsi="Cambria Math"/>
                        <w:i/>
                      </w:rPr>
                    </m:ctrlPr>
                  </m:sSubPr>
                  <m:e>
                    <m:r>
                      <w:rPr>
                        <w:rFonts w:ascii="Cambria Math" w:hAnsi="Cambria Math"/>
                      </w:rPr>
                      <m:t>σ</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P</m:t>
                    </m:r>
                  </m:num>
                  <m:den>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-1</m:t>
                    </m:r>
                  </m:den>
                </m:f>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Z</m:t>
                        </m:r>
                      </m:e>
                      <m:sup>
                        <m:r>
                          <w:rPr>
                            <w:rFonts w:ascii="Cambria Math" w:hAnsi="Cambria Math"/>
                          </w:rPr>
                          <m:t>2</m:t>
                        </m:r>
                      </m:sup>
                    </m:sSup>
                  </m:e>
                </m:d>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r</m:t>
                    </m:r>
                  </m:sub>
                </m:sSub>
              </m:oMath>
            </m:oMathPara>
          </w:p>
        </w:tc>
        <w:tc>
          <w:tcPr>
            <w:tcW w:w="3388" w:type="dxa"/>
            <w:tcMar>
              <w:left w:w="0" w:type="dxa"/>
              <w:right w:w="0" w:type="dxa"/>
            </w:tcMar>
            <w:vAlign w:val="center"/>
          </w:tcPr>
          <w:p w14:paraId="408BD8B9" w14:textId="77777777" w:rsidR="00342321" w:rsidRPr="00BC31E0" w:rsidRDefault="00342321" w:rsidP="004736F2">
            <w:pPr>
              <w:tabs>
                <w:tab w:val="left" w:leader="middleDot" w:pos="2680"/>
              </w:tabs>
              <w:jc w:val="left"/>
              <w:outlineLvl w:val="6"/>
              <w:rPr>
                <w:rFonts w:asciiTheme="minorHAnsi" w:hAnsiTheme="minorHAnsi"/>
              </w:rPr>
            </w:pPr>
            <w:r w:rsidRPr="00BC31E0">
              <w:rPr>
                <w:rFonts w:asciiTheme="minorHAnsi" w:hAnsiTheme="minorHAnsi"/>
              </w:rPr>
              <w:tab/>
              <w:t>(9.3.2)</w:t>
            </w:r>
          </w:p>
        </w:tc>
      </w:tr>
    </w:tbl>
    <w:p w14:paraId="12FF5BBE" w14:textId="77777777" w:rsidR="00342321" w:rsidRPr="00BC31E0" w:rsidRDefault="00342321" w:rsidP="00682279">
      <w:pPr>
        <w:ind w:left="1701" w:firstLineChars="100" w:firstLine="210"/>
        <w:outlineLvl w:val="6"/>
        <w:rPr>
          <w:rFonts w:ascii="ＭＳ 明朝" w:hAnsi="ＭＳ 明朝"/>
        </w:rPr>
      </w:pPr>
      <w:r w:rsidRPr="00BC31E0">
        <w:rPr>
          <w:rFonts w:ascii="ＭＳ 明朝" w:hAnsi="ＭＳ 明朝" w:hint="eastAsia"/>
        </w:rPr>
        <w:t>ここで，</w:t>
      </w:r>
    </w:p>
    <w:p w14:paraId="696F3833" w14:textId="77777777" w:rsidR="00342321" w:rsidRPr="00BC31E0" w:rsidRDefault="00A51873" w:rsidP="00C969BC">
      <w:pPr>
        <w:tabs>
          <w:tab w:val="left" w:pos="2694"/>
        </w:tabs>
        <w:ind w:left="2381"/>
        <w:outlineLvl w:val="6"/>
        <w:rPr>
          <w:rFonts w:ascii="ＭＳ 明朝" w:hAnsi="ＭＳ 明朝"/>
        </w:rPr>
      </w:pPr>
      <m:oMath>
        <m:sSub>
          <m:sSubPr>
            <m:ctrlPr>
              <w:rPr>
                <w:rFonts w:ascii="Cambria Math" w:hAnsi="Cambria Math"/>
                <w:i/>
              </w:rPr>
            </m:ctrlPr>
          </m:sSubPr>
          <m:e>
            <m:r>
              <w:rPr>
                <w:rFonts w:ascii="Cambria Math" w:hAnsi="Cambria Math"/>
              </w:rPr>
              <m:t>σ</m:t>
            </m:r>
          </m:e>
          <m:sub>
            <m:r>
              <w:rPr>
                <w:rFonts w:ascii="Cambria Math" w:hAnsi="Cambria Math"/>
              </w:rPr>
              <m:t>r</m:t>
            </m:r>
          </m:sub>
        </m:sSub>
      </m:oMath>
      <w:r w:rsidR="00342321" w:rsidRPr="00BC31E0">
        <w:rPr>
          <w:rFonts w:ascii="ＭＳ 明朝" w:hAnsi="ＭＳ 明朝" w:hint="eastAsia"/>
        </w:rPr>
        <w:tab/>
        <w:t>： 溶接後熱処理を行う場合，</w:t>
      </w:r>
      <m:oMath>
        <m:sSub>
          <m:sSubPr>
            <m:ctrlPr>
              <w:rPr>
                <w:rFonts w:ascii="Cambria Math" w:hAnsi="Cambria Math"/>
                <w:i/>
              </w:rPr>
            </m:ctrlPr>
          </m:sSubPr>
          <m:e>
            <m:r>
              <w:rPr>
                <w:rFonts w:ascii="Cambria Math" w:hAnsi="Cambria Math"/>
              </w:rPr>
              <m:t xml:space="preserve"> σ</m:t>
            </m:r>
          </m:e>
          <m:sub>
            <m:r>
              <w:rPr>
                <w:rFonts w:ascii="Cambria Math" w:hAnsi="Cambria Math"/>
              </w:rPr>
              <m:t>r</m:t>
            </m:r>
          </m:sub>
        </m:sSub>
        <m:r>
          <w:rPr>
            <w:rFonts w:ascii="Cambria Math" w:hAnsi="Cambria Math"/>
          </w:rPr>
          <m:t xml:space="preserve">=0.15 </m:t>
        </m:r>
        <m:sSub>
          <m:sSubPr>
            <m:ctrlPr>
              <w:rPr>
                <w:rFonts w:ascii="Cambria Math" w:hAnsi="Cambria Math"/>
                <w:i/>
              </w:rPr>
            </m:ctrlPr>
          </m:sSubPr>
          <m:e>
            <m:r>
              <w:rPr>
                <w:rFonts w:ascii="Cambria Math" w:hAnsi="Cambria Math"/>
              </w:rPr>
              <m:t>S</m:t>
            </m:r>
          </m:e>
          <m:sub>
            <m:r>
              <w:rPr>
                <w:rFonts w:ascii="Cambria Math" w:hAnsi="Cambria Math"/>
              </w:rPr>
              <m:t>y</m:t>
            </m:r>
          </m:sub>
        </m:sSub>
      </m:oMath>
    </w:p>
    <w:p w14:paraId="6ACBF4DC" w14:textId="77777777" w:rsidR="00342321" w:rsidRPr="00BC31E0" w:rsidRDefault="00342321" w:rsidP="00C969BC">
      <w:pPr>
        <w:ind w:left="3005"/>
        <w:outlineLvl w:val="6"/>
        <w:rPr>
          <w:rFonts w:ascii="ＭＳ 明朝" w:hAnsi="ＭＳ 明朝"/>
        </w:rPr>
      </w:pPr>
      <w:r w:rsidRPr="00BC31E0">
        <w:rPr>
          <w:rFonts w:ascii="ＭＳ 明朝" w:hAnsi="ＭＳ 明朝" w:hint="eastAsia"/>
        </w:rPr>
        <w:t>溶接後熱処理を行わない場合，</w:t>
      </w:r>
      <m:oMath>
        <m:sSub>
          <m:sSubPr>
            <m:ctrlPr>
              <w:rPr>
                <w:rFonts w:ascii="Cambria Math" w:hAnsi="Cambria Math"/>
                <w:i/>
              </w:rPr>
            </m:ctrlPr>
          </m:sSubPr>
          <m:e>
            <m:r>
              <w:rPr>
                <w:rFonts w:ascii="Cambria Math" w:hAnsi="Cambria Math"/>
              </w:rPr>
              <m:t>σ</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y</m:t>
            </m:r>
          </m:sub>
        </m:sSub>
      </m:oMath>
    </w:p>
    <w:p w14:paraId="2D7D9130" w14:textId="77777777" w:rsidR="00342321" w:rsidRPr="00BC31E0" w:rsidRDefault="00A51873" w:rsidP="00C969BC">
      <w:pPr>
        <w:tabs>
          <w:tab w:val="left" w:pos="2694"/>
        </w:tabs>
        <w:ind w:left="2381"/>
        <w:outlineLvl w:val="6"/>
        <w:rPr>
          <w:rFonts w:ascii="ＭＳ 明朝" w:hAnsi="ＭＳ 明朝"/>
        </w:rPr>
      </w:pPr>
      <m:oMath>
        <m:sSub>
          <m:sSubPr>
            <m:ctrlPr>
              <w:rPr>
                <w:rFonts w:ascii="Cambria Math" w:hAnsi="Cambria Math"/>
                <w:i/>
              </w:rPr>
            </m:ctrlPr>
          </m:sSubPr>
          <m:e>
            <m:r>
              <w:rPr>
                <w:rFonts w:ascii="Cambria Math" w:hAnsi="Cambria Math"/>
              </w:rPr>
              <m:t>S</m:t>
            </m:r>
          </m:e>
          <m:sub>
            <m:r>
              <w:rPr>
                <w:rFonts w:ascii="Cambria Math" w:hAnsi="Cambria Math"/>
              </w:rPr>
              <m:t>y</m:t>
            </m:r>
          </m:sub>
        </m:sSub>
      </m:oMath>
      <w:r w:rsidR="00342321" w:rsidRPr="00BC31E0">
        <w:rPr>
          <w:rFonts w:ascii="ＭＳ 明朝" w:hAnsi="ＭＳ 明朝" w:hint="eastAsia"/>
        </w:rPr>
        <w:tab/>
        <w:t>：</w:t>
      </w:r>
      <w:r w:rsidR="00801545" w:rsidRPr="00BC31E0">
        <w:rPr>
          <w:rFonts w:ascii="ＭＳ 明朝" w:hAnsi="ＭＳ 明朝" w:hint="eastAsia"/>
        </w:rPr>
        <w:t xml:space="preserve"> </w:t>
      </w:r>
      <w:r w:rsidR="00342321" w:rsidRPr="00BC31E0">
        <w:rPr>
          <w:rFonts w:ascii="ＭＳ 明朝" w:hAnsi="ＭＳ 明朝" w:hint="eastAsia"/>
        </w:rPr>
        <w:t>室温における規定最小降伏強さ</w:t>
      </w:r>
      <w:r w:rsidR="00342321" w:rsidRPr="00BC31E0">
        <w:rPr>
          <w:rFonts w:asciiTheme="minorHAnsi" w:hAnsiTheme="minorHAnsi"/>
        </w:rPr>
        <w:t>(</w:t>
      </w:r>
      <w:r w:rsidR="00342321" w:rsidRPr="00BC31E0">
        <w:rPr>
          <w:rFonts w:ascii="Cambria Math" w:hAnsi="Cambria Math"/>
        </w:rPr>
        <w:t>MPa</w:t>
      </w:r>
      <w:r w:rsidR="00342321" w:rsidRPr="00BC31E0">
        <w:rPr>
          <w:rFonts w:asciiTheme="minorHAnsi" w:hAnsiTheme="minorHAnsi"/>
        </w:rPr>
        <w:t>)</w:t>
      </w:r>
      <w:r w:rsidR="00342321" w:rsidRPr="00BC31E0">
        <w:rPr>
          <w:rFonts w:ascii="ＭＳ 明朝" w:hAnsi="ＭＳ 明朝" w:hint="eastAsia"/>
        </w:rPr>
        <w:t xml:space="preserve"> </w:t>
      </w:r>
    </w:p>
    <w:p w14:paraId="45379C41" w14:textId="77777777" w:rsidR="00342321" w:rsidRPr="00BC31E0" w:rsidRDefault="00342321" w:rsidP="00682279">
      <w:pPr>
        <w:spacing w:before="120"/>
        <w:ind w:left="1701" w:firstLineChars="100" w:firstLine="210"/>
        <w:outlineLvl w:val="6"/>
        <w:rPr>
          <w:rFonts w:ascii="ＭＳ 明朝" w:hAnsi="ＭＳ 明朝"/>
        </w:rPr>
      </w:pPr>
      <w:r w:rsidRPr="00BC31E0">
        <w:rPr>
          <w:rFonts w:ascii="ＭＳ 明朝" w:hAnsi="ＭＳ 明朝" w:hint="eastAsia"/>
        </w:rPr>
        <w:t>計測</w:t>
      </w:r>
      <w:r w:rsidR="00554BAA" w:rsidRPr="00BC31E0">
        <w:rPr>
          <w:rFonts w:hint="eastAsia"/>
        </w:rPr>
        <w:t>など</w:t>
      </w:r>
      <w:r w:rsidRPr="00BC31E0">
        <w:rPr>
          <w:rFonts w:ascii="ＭＳ 明朝" w:hAnsi="ＭＳ 明朝" w:hint="eastAsia"/>
        </w:rPr>
        <w:t>により類似溶接部の溶接残留応力が求められている場合には，その値を用いてもよい。</w:t>
      </w:r>
    </w:p>
    <w:p w14:paraId="01723DD6" w14:textId="77777777" w:rsidR="00682279" w:rsidRPr="00BC31E0" w:rsidRDefault="00342321" w:rsidP="00736130">
      <w:pPr>
        <w:pStyle w:val="a4"/>
        <w:numPr>
          <w:ilvl w:val="0"/>
          <w:numId w:val="646"/>
        </w:numPr>
        <w:ind w:leftChars="0" w:left="1701" w:hanging="794"/>
        <w:rPr>
          <w:rFonts w:ascii="ＭＳ 明朝" w:hAnsi="ＭＳ 明朝"/>
        </w:rPr>
      </w:pPr>
      <w:r w:rsidRPr="00BC31E0">
        <w:rPr>
          <w:rFonts w:asciiTheme="majorEastAsia" w:eastAsiaTheme="majorEastAsia" w:hAnsiTheme="majorEastAsia" w:hint="eastAsia"/>
          <w:b/>
        </w:rPr>
        <w:t>附属書C</w:t>
      </w:r>
      <w:r w:rsidRPr="00BC31E0">
        <w:rPr>
          <w:rFonts w:asciiTheme="minorEastAsia" w:eastAsiaTheme="minorEastAsia" w:hint="eastAsia"/>
        </w:rPr>
        <w:t>の</w:t>
      </w:r>
      <w:r w:rsidRPr="00BC31E0">
        <w:rPr>
          <w:rFonts w:asciiTheme="majorEastAsia" w:eastAsiaTheme="majorEastAsia" w:hAnsiTheme="majorEastAsia" w:hint="eastAsia"/>
          <w:b/>
        </w:rPr>
        <w:t>4.1</w:t>
      </w:r>
      <w:r w:rsidRPr="00BC31E0">
        <w:rPr>
          <w:rFonts w:ascii="ＭＳ 明朝" w:hAnsi="ＭＳ 明朝" w:hint="eastAsia"/>
        </w:rPr>
        <w:t>により，溶接残留応力を考慮した周方向応力</w:t>
      </w:r>
      <m:oMath>
        <m:sSub>
          <m:sSubPr>
            <m:ctrlPr>
              <w:rPr>
                <w:rFonts w:ascii="Cambria Math" w:hAnsi="Cambria Math"/>
                <w:i/>
              </w:rPr>
            </m:ctrlPr>
          </m:sSubPr>
          <m:e>
            <m:r>
              <w:rPr>
                <w:rFonts w:ascii="Cambria Math" w:hAnsi="Cambria Math"/>
              </w:rPr>
              <m:t xml:space="preserve"> σ</m:t>
            </m:r>
          </m:e>
          <m:sub>
            <m:r>
              <w:rPr>
                <w:rFonts w:ascii="Cambria Math" w:hAnsi="Cambria Math"/>
                <w:vertAlign w:val="subscript"/>
              </w:rPr>
              <m:t>t</m:t>
            </m:r>
          </m:sub>
        </m:sSub>
        <m:r>
          <w:rPr>
            <w:rFonts w:ascii="Cambria Math" w:hAnsi="Cambria Math"/>
          </w:rPr>
          <m:t xml:space="preserve"> </m:t>
        </m:r>
      </m:oMath>
      <w:r w:rsidRPr="00BC31E0">
        <w:rPr>
          <w:rFonts w:ascii="ＭＳ 明朝" w:hAnsi="ＭＳ 明朝" w:hint="eastAsia"/>
        </w:rPr>
        <w:t>に対する応力拡大係数</w:t>
      </w:r>
      <m:oMath>
        <m:sSub>
          <m:sSubPr>
            <m:ctrlPr>
              <w:rPr>
                <w:rFonts w:ascii="Cambria Math" w:hAnsi="Cambria Math"/>
                <w:i/>
              </w:rPr>
            </m:ctrlPr>
          </m:sSubPr>
          <m:e>
            <m:r>
              <w:rPr>
                <w:rFonts w:ascii="Cambria Math" w:hAnsi="Cambria Math"/>
              </w:rPr>
              <m:t xml:space="preserve"> K</m:t>
            </m:r>
          </m:e>
          <m:sub>
            <m:r>
              <m:rPr>
                <m:sty m:val="p"/>
              </m:rPr>
              <w:rPr>
                <w:rFonts w:ascii="Cambria Math" w:hAnsi="Cambria Math"/>
              </w:rPr>
              <m:t>I</m:t>
            </m:r>
            <m:r>
              <w:rPr>
                <w:rFonts w:ascii="Cambria Math" w:hAnsi="Cambria Math"/>
              </w:rPr>
              <m:t>A</m:t>
            </m:r>
          </m:sub>
        </m:sSub>
        <m:r>
          <m:rPr>
            <m:sty m:val="p"/>
          </m:rPr>
          <w:rPr>
            <w:rFonts w:ascii="Cambria Math" w:hAnsi="Cambria Math"/>
          </w:rPr>
          <m:t xml:space="preserve"> </m:t>
        </m:r>
      </m:oMath>
      <w:r w:rsidRPr="00BC31E0">
        <w:rPr>
          <w:rFonts w:ascii="ＭＳ 明朝" w:hAnsi="ＭＳ 明朝" w:hint="eastAsia"/>
        </w:rPr>
        <w:t>を算出する。</w:t>
      </w:r>
    </w:p>
    <w:p w14:paraId="16BAF484" w14:textId="77777777" w:rsidR="00682279" w:rsidRPr="00BC31E0" w:rsidRDefault="00342321" w:rsidP="00736130">
      <w:pPr>
        <w:pStyle w:val="a4"/>
        <w:numPr>
          <w:ilvl w:val="0"/>
          <w:numId w:val="646"/>
        </w:numPr>
        <w:ind w:leftChars="0" w:left="1701" w:hanging="794"/>
        <w:rPr>
          <w:rFonts w:ascii="ＭＳ 明朝" w:hAnsi="ＭＳ 明朝"/>
        </w:rPr>
      </w:pPr>
      <w:r w:rsidRPr="00BC31E0">
        <w:rPr>
          <w:rFonts w:ascii="ＭＳ ゴシック" w:eastAsia="ＭＳ ゴシック" w:hAnsi="ＭＳ ゴシック" w:cs="Courier New" w:hint="eastAsia"/>
          <w:b/>
        </w:rPr>
        <w:t>附属書C</w:t>
      </w:r>
      <w:r w:rsidRPr="00BC31E0">
        <w:rPr>
          <w:rFonts w:asciiTheme="minorEastAsia" w:eastAsiaTheme="minorEastAsia" w:hAnsiTheme="minorEastAsia" w:cs="Courier New" w:hint="eastAsia"/>
        </w:rPr>
        <w:t>の</w:t>
      </w:r>
      <w:r w:rsidRPr="00BC31E0">
        <w:rPr>
          <w:rFonts w:ascii="ＭＳ ゴシック" w:eastAsia="ＭＳ ゴシック" w:hAnsi="ＭＳ ゴシック" w:cs="Courier New" w:hint="eastAsia"/>
          <w:b/>
        </w:rPr>
        <w:t>6 a)</w:t>
      </w:r>
      <w:r w:rsidRPr="00BC31E0">
        <w:rPr>
          <w:rFonts w:ascii="ＭＳ 明朝" w:hAnsi="ＭＳ 明朝" w:cs="Courier New" w:hint="eastAsia"/>
        </w:rPr>
        <w:t>により，シャルピー衝撃吸収エネルギーを用いて平面ひずみ破壊靭性値</w:t>
      </w:r>
      <m:oMath>
        <m:sSub>
          <m:sSubPr>
            <m:ctrlPr>
              <w:rPr>
                <w:rFonts w:ascii="Cambria Math" w:hAnsi="Cambria Math" w:cs="Courier New"/>
                <w:i/>
              </w:rPr>
            </m:ctrlPr>
          </m:sSubPr>
          <m:e>
            <m:r>
              <w:rPr>
                <w:rFonts w:ascii="Cambria Math" w:hAnsi="Cambria Math" w:cs="Courier New"/>
              </w:rPr>
              <m:t xml:space="preserve"> K</m:t>
            </m:r>
          </m:e>
          <m:sub>
            <m:r>
              <m:rPr>
                <m:sty m:val="p"/>
              </m:rPr>
              <w:rPr>
                <w:rFonts w:ascii="Cambria Math" w:hAnsi="Cambria Math" w:cs="Courier New"/>
              </w:rPr>
              <m:t>I</m:t>
            </m:r>
            <m:r>
              <w:rPr>
                <w:rFonts w:ascii="Cambria Math" w:hAnsi="Cambria Math" w:cs="Courier New"/>
              </w:rPr>
              <m:t>C</m:t>
            </m:r>
          </m:sub>
        </m:sSub>
        <m:r>
          <w:rPr>
            <w:rFonts w:ascii="Cambria Math" w:hAnsi="Cambria Math" w:cs="Courier New"/>
          </w:rPr>
          <m:t xml:space="preserve"> </m:t>
        </m:r>
      </m:oMath>
      <w:r w:rsidRPr="00BC31E0">
        <w:rPr>
          <w:rFonts w:ascii="ＭＳ 明朝" w:hAnsi="ＭＳ 明朝" w:cs="Courier New" w:hint="eastAsia"/>
        </w:rPr>
        <w:t>を求める。ここで用いるシャルピー衝撃吸収エネルギーは，</w:t>
      </w:r>
      <w:r w:rsidRPr="00BC31E0">
        <w:rPr>
          <w:rFonts w:ascii="ＭＳ ゴシック" w:eastAsia="ＭＳ ゴシック" w:hAnsi="ＭＳ ゴシック" w:cs="Courier New" w:hint="eastAsia"/>
          <w:b/>
        </w:rPr>
        <w:t>表5.2.2</w:t>
      </w:r>
      <w:r w:rsidRPr="00BC31E0">
        <w:rPr>
          <w:rFonts w:ascii="ＭＳ 明朝" w:hAnsi="ＭＳ 明朝" w:cs="Courier New" w:hint="eastAsia"/>
        </w:rPr>
        <w:t>の横方向の</w:t>
      </w:r>
      <w:r w:rsidRPr="00BC31E0">
        <w:rPr>
          <w:rFonts w:asciiTheme="minorHAnsi" w:hAnsiTheme="minorHAnsi"/>
        </w:rPr>
        <w:t>3</w:t>
      </w:r>
      <w:r w:rsidRPr="00BC31E0">
        <w:rPr>
          <w:rFonts w:ascii="ＭＳ 明朝" w:hAnsi="ＭＳ 明朝" w:cs="Courier New" w:hint="eastAsia"/>
        </w:rPr>
        <w:t>個の試験片の平均値，又は使用者設計仕様書で規定されたシャルピー衝撃吸収エネルギーを用いる。なお，使用者設計仕様書で平面ひずみ破壊靭性値を規定した場合には，その値を用いてもよい。</w:t>
      </w:r>
    </w:p>
    <w:p w14:paraId="1D432128" w14:textId="77777777" w:rsidR="00682279" w:rsidRPr="00BC31E0" w:rsidRDefault="00A51873" w:rsidP="00736130">
      <w:pPr>
        <w:pStyle w:val="a4"/>
        <w:numPr>
          <w:ilvl w:val="0"/>
          <w:numId w:val="646"/>
        </w:numPr>
        <w:ind w:leftChars="0" w:left="1701" w:hanging="794"/>
        <w:rPr>
          <w:rFonts w:ascii="ＭＳ 明朝" w:hAnsi="ＭＳ 明朝"/>
        </w:rPr>
      </w:pPr>
      <m:oMath>
        <m:sSub>
          <m:sSubPr>
            <m:ctrlPr>
              <w:rPr>
                <w:rFonts w:ascii="Cambria Math" w:eastAsia="ＭＳ ゴシック" w:hAnsi="Cambria Math" w:cs="Courier New"/>
                <w:i/>
              </w:rPr>
            </m:ctrlPr>
          </m:sSubPr>
          <m:e>
            <m:r>
              <w:rPr>
                <w:rFonts w:ascii="Cambria Math" w:eastAsia="ＭＳ ゴシック" w:hAnsi="Cambria Math" w:cs="Courier New"/>
              </w:rPr>
              <m:t>K</m:t>
            </m:r>
          </m:e>
          <m:sub>
            <m:r>
              <m:rPr>
                <m:sty m:val="p"/>
              </m:rPr>
              <w:rPr>
                <w:rFonts w:ascii="Cambria Math" w:eastAsia="ＭＳ ゴシック" w:hAnsi="Cambria Math" w:cs="Courier New"/>
              </w:rPr>
              <m:t>I</m:t>
            </m:r>
            <m:r>
              <w:rPr>
                <w:rFonts w:ascii="Cambria Math" w:eastAsia="ＭＳ ゴシック" w:hAnsi="Cambria Math" w:cs="Courier New"/>
              </w:rPr>
              <m:t>A</m:t>
            </m:r>
          </m:sub>
        </m:sSub>
        <m:r>
          <w:rPr>
            <w:rFonts w:ascii="Cambria Math" w:eastAsia="ＭＳ ゴシック" w:hAnsi="Cambria Math" w:cs="Courier New" w:hint="eastAsia"/>
          </w:rPr>
          <m:t>≦</m:t>
        </m:r>
        <m:f>
          <m:fPr>
            <m:type m:val="lin"/>
            <m:ctrlPr>
              <w:rPr>
                <w:rFonts w:ascii="Cambria Math" w:eastAsia="ＭＳ ゴシック" w:hAnsi="Cambria Math" w:cs="Courier New"/>
                <w:i/>
              </w:rPr>
            </m:ctrlPr>
          </m:fPr>
          <m:num>
            <m:sSub>
              <m:sSubPr>
                <m:ctrlPr>
                  <w:rPr>
                    <w:rFonts w:ascii="Cambria Math" w:eastAsia="ＭＳ ゴシック" w:hAnsi="Cambria Math" w:cs="Courier New"/>
                    <w:i/>
                  </w:rPr>
                </m:ctrlPr>
              </m:sSubPr>
              <m:e>
                <m:r>
                  <w:rPr>
                    <w:rFonts w:ascii="Cambria Math" w:eastAsia="ＭＳ ゴシック" w:hAnsi="Cambria Math" w:cs="Courier New"/>
                  </w:rPr>
                  <m:t>K</m:t>
                </m:r>
              </m:e>
              <m:sub>
                <m:r>
                  <m:rPr>
                    <m:sty m:val="p"/>
                  </m:rPr>
                  <w:rPr>
                    <w:rFonts w:ascii="Cambria Math" w:eastAsia="ＭＳ ゴシック" w:hAnsi="Cambria Math" w:cs="Courier New"/>
                  </w:rPr>
                  <m:t>I</m:t>
                </m:r>
                <m:r>
                  <w:rPr>
                    <w:rFonts w:ascii="Cambria Math" w:eastAsia="ＭＳ ゴシック" w:hAnsi="Cambria Math" w:cs="Courier New"/>
                  </w:rPr>
                  <m:t>C</m:t>
                </m:r>
              </m:sub>
            </m:sSub>
          </m:num>
          <m:den>
            <m:r>
              <w:rPr>
                <w:rFonts w:ascii="Cambria Math" w:eastAsia="ＭＳ ゴシック" w:hAnsi="Cambria Math" w:cs="Courier New"/>
              </w:rPr>
              <m:t>1.</m:t>
            </m:r>
            <m:r>
              <w:rPr>
                <w:rFonts w:ascii="Cambria Math" w:eastAsia="ＭＳ ゴシック" w:hAnsi="Cambria Math" w:cs="Courier New" w:hint="eastAsia"/>
              </w:rPr>
              <m:t>3</m:t>
            </m:r>
          </m:den>
        </m:f>
        <m:r>
          <w:rPr>
            <w:rFonts w:ascii="Cambria Math" w:eastAsia="ＭＳ ゴシック" w:hAnsi="Cambria Math" w:cs="Courier New"/>
          </w:rPr>
          <m:t xml:space="preserve"> </m:t>
        </m:r>
      </m:oMath>
      <w:r w:rsidR="00342321" w:rsidRPr="00BC31E0">
        <w:rPr>
          <w:rFonts w:ascii="ＭＳ 明朝" w:hAnsi="ＭＳ 明朝" w:cs="Courier New" w:hint="eastAsia"/>
        </w:rPr>
        <w:t>となる軸方向のきず寸法</w:t>
      </w:r>
      <w:r w:rsidR="00342321" w:rsidRPr="00BC31E0">
        <w:rPr>
          <w:rFonts w:cs="Courier New"/>
        </w:rPr>
        <w:t>(</w:t>
      </w:r>
      <m:oMath>
        <m:sSub>
          <m:sSubPr>
            <m:ctrlPr>
              <w:rPr>
                <w:rFonts w:ascii="Cambria Math" w:hAnsi="Cambria Math" w:cs="Courier New"/>
                <w:i/>
              </w:rPr>
            </m:ctrlPr>
          </m:sSubPr>
          <m:e>
            <m:r>
              <w:rPr>
                <w:rFonts w:ascii="Cambria Math" w:hAnsi="Cambria Math" w:cs="Courier New"/>
              </w:rPr>
              <m:t>a</m:t>
            </m:r>
          </m:e>
          <m:sub>
            <m:r>
              <w:rPr>
                <w:rFonts w:ascii="Cambria Math" w:hAnsi="Cambria Math" w:cs="Courier New"/>
              </w:rPr>
              <m:t>s</m:t>
            </m:r>
          </m:sub>
        </m:sSub>
      </m:oMath>
      <w:r w:rsidR="00342321" w:rsidRPr="00BC31E0">
        <w:rPr>
          <w:rFonts w:ascii="ＭＳ 明朝" w:hAnsi="ＭＳ 明朝" w:cs="Courier New" w:hint="eastAsia"/>
        </w:rPr>
        <w:t>，</w:t>
      </w:r>
      <m:oMath>
        <m:sSub>
          <m:sSubPr>
            <m:ctrlPr>
              <w:rPr>
                <w:rFonts w:ascii="Cambria Math" w:hAnsi="Cambria Math" w:cs="Courier New"/>
                <w:i/>
              </w:rPr>
            </m:ctrlPr>
          </m:sSubPr>
          <m:e>
            <m:r>
              <w:rPr>
                <w:rFonts w:ascii="Cambria Math" w:hAnsi="Cambria Math" w:cs="Courier New"/>
              </w:rPr>
              <m:t>l</m:t>
            </m:r>
          </m:e>
          <m:sub>
            <m:r>
              <w:rPr>
                <w:rFonts w:ascii="Cambria Math" w:hAnsi="Cambria Math" w:cs="Courier New"/>
              </w:rPr>
              <m:t>s</m:t>
            </m:r>
          </m:sub>
        </m:sSub>
      </m:oMath>
      <w:r w:rsidR="00342321" w:rsidRPr="00BC31E0">
        <w:rPr>
          <w:rFonts w:ascii="ＭＳ 明朝" w:hAnsi="ＭＳ 明朝" w:cs="Courier New" w:hint="eastAsia"/>
        </w:rPr>
        <w:t>，</w:t>
      </w:r>
      <m:oMath>
        <m:f>
          <m:fPr>
            <m:type m:val="lin"/>
            <m:ctrlPr>
              <w:rPr>
                <w:rFonts w:ascii="Cambria Math" w:hAnsi="Cambria Math" w:cs="Courier New"/>
                <w:i/>
              </w:rPr>
            </m:ctrlPr>
          </m:fPr>
          <m:num>
            <m:sSub>
              <m:sSubPr>
                <m:ctrlPr>
                  <w:rPr>
                    <w:rFonts w:ascii="Cambria Math" w:hAnsi="Cambria Math" w:cs="Courier New"/>
                    <w:i/>
                  </w:rPr>
                </m:ctrlPr>
              </m:sSubPr>
              <m:e>
                <m:r>
                  <w:rPr>
                    <w:rFonts w:ascii="Cambria Math" w:hAnsi="Cambria Math" w:cs="Courier New"/>
                  </w:rPr>
                  <m:t>a</m:t>
                </m:r>
              </m:e>
              <m:sub>
                <m:r>
                  <w:rPr>
                    <w:rFonts w:ascii="Cambria Math" w:hAnsi="Cambria Math" w:cs="Courier New"/>
                  </w:rPr>
                  <m:t>s</m:t>
                </m:r>
              </m:sub>
            </m:sSub>
          </m:num>
          <m:den>
            <m:r>
              <w:rPr>
                <w:rFonts w:ascii="Cambria Math" w:hAnsi="Cambria Math" w:cs="Courier New"/>
              </w:rPr>
              <m:t>t</m:t>
            </m:r>
          </m:den>
        </m:f>
      </m:oMath>
      <w:r w:rsidR="00342321" w:rsidRPr="00BC31E0">
        <w:rPr>
          <w:rFonts w:cs="Courier New"/>
        </w:rPr>
        <w:t>)</w:t>
      </w:r>
      <w:r w:rsidR="00342321" w:rsidRPr="00BC31E0">
        <w:rPr>
          <w:rFonts w:ascii="ＭＳ 明朝" w:hAnsi="ＭＳ 明朝" w:cs="Courier New" w:hint="eastAsia"/>
        </w:rPr>
        <w:t>を求め，それを表面きずの許容きず寸法とする。ここで，</w:t>
      </w:r>
      <w:r w:rsidR="00342321" w:rsidRPr="00BC31E0">
        <w:rPr>
          <w:rFonts w:ascii="Cambria Math" w:hAnsi="Cambria Math"/>
        </w:rPr>
        <w:t>1.</w:t>
      </w:r>
      <w:r w:rsidR="00C876E1" w:rsidRPr="00BC31E0">
        <w:rPr>
          <w:rFonts w:ascii="Cambria Math" w:hAnsi="Cambria Math" w:hint="eastAsia"/>
        </w:rPr>
        <w:t>3</w:t>
      </w:r>
      <w:r w:rsidR="00342321" w:rsidRPr="00BC31E0">
        <w:rPr>
          <w:rFonts w:ascii="ＭＳ 明朝" w:hAnsi="ＭＳ 明朝" w:cs="Courier New" w:hint="eastAsia"/>
        </w:rPr>
        <w:t>は</w:t>
      </w:r>
      <w:r w:rsidR="000D5F3C" w:rsidRPr="00BC31E0">
        <w:rPr>
          <w:rFonts w:ascii="ＭＳ 明朝" w:hAnsi="ＭＳ 明朝" w:cs="Courier New" w:hint="eastAsia"/>
        </w:rPr>
        <w:t>設計</w:t>
      </w:r>
      <w:r w:rsidR="00342321" w:rsidRPr="00BC31E0">
        <w:rPr>
          <w:rFonts w:ascii="ＭＳ 明朝" w:hAnsi="ＭＳ 明朝" w:cs="Courier New" w:hint="eastAsia"/>
        </w:rPr>
        <w:t>係数である。</w:t>
      </w:r>
    </w:p>
    <w:p w14:paraId="335BB929" w14:textId="77777777" w:rsidR="00342321" w:rsidRPr="00BC31E0" w:rsidRDefault="00342321" w:rsidP="00736130">
      <w:pPr>
        <w:pStyle w:val="a4"/>
        <w:numPr>
          <w:ilvl w:val="0"/>
          <w:numId w:val="646"/>
        </w:numPr>
        <w:spacing w:after="120"/>
        <w:ind w:leftChars="0" w:left="1701" w:hanging="794"/>
        <w:rPr>
          <w:rFonts w:ascii="ＭＳ 明朝" w:hAnsi="ＭＳ 明朝"/>
        </w:rPr>
      </w:pPr>
      <w:r w:rsidRPr="00BC31E0">
        <w:rPr>
          <w:rFonts w:ascii="ＭＳ 明朝" w:hAnsi="ＭＳ 明朝" w:cs="Courier New" w:hint="eastAsia"/>
        </w:rPr>
        <w:t>内部きずの許容きず高さ</w:t>
      </w:r>
      <m:oMath>
        <m:r>
          <m:rPr>
            <m:sty m:val="p"/>
          </m:rPr>
          <w:rPr>
            <w:rFonts w:ascii="Cambria Math" w:hAnsi="Cambria Math" w:cs="Courier New"/>
          </w:rPr>
          <m:t xml:space="preserve"> </m:t>
        </m:r>
        <m:r>
          <w:rPr>
            <w:rFonts w:ascii="Cambria Math" w:hAnsi="Cambria Math" w:cs="Courier New"/>
          </w:rPr>
          <m:t>2</m:t>
        </m:r>
        <m:sSub>
          <m:sSubPr>
            <m:ctrlPr>
              <w:rPr>
                <w:rFonts w:ascii="Cambria Math" w:hAnsi="Cambria Math" w:cs="Courier New"/>
                <w:i/>
              </w:rPr>
            </m:ctrlPr>
          </m:sSubPr>
          <m:e>
            <m:r>
              <w:rPr>
                <w:rFonts w:ascii="Cambria Math" w:hAnsi="Cambria Math" w:cs="Courier New"/>
              </w:rPr>
              <m:t>a</m:t>
            </m:r>
          </m:e>
          <m:sub>
            <m:r>
              <w:rPr>
                <w:rFonts w:ascii="Cambria Math" w:hAnsi="Cambria Math" w:cs="Courier New"/>
              </w:rPr>
              <m:t>e</m:t>
            </m:r>
          </m:sub>
        </m:sSub>
        <m:r>
          <w:rPr>
            <w:rFonts w:ascii="Cambria Math" w:hAnsi="Cambria Math" w:cs="Courier New"/>
          </w:rPr>
          <m:t xml:space="preserve"> </m:t>
        </m:r>
      </m:oMath>
      <w:r w:rsidRPr="00BC31E0">
        <w:rPr>
          <w:rFonts w:ascii="ＭＳ 明朝" w:hAnsi="ＭＳ 明朝" w:cs="Courier New" w:hint="eastAsia"/>
        </w:rPr>
        <w:t>は，</w:t>
      </w:r>
      <w:r w:rsidR="00682279" w:rsidRPr="00BC31E0">
        <w:rPr>
          <w:rFonts w:asciiTheme="majorEastAsia" w:eastAsiaTheme="majorEastAsia" w:hAnsiTheme="majorEastAsia" w:cs="Courier New" w:hint="eastAsia"/>
          <w:b/>
        </w:rPr>
        <w:t>2.3.4)</w:t>
      </w:r>
      <w:r w:rsidRPr="00BC31E0">
        <w:rPr>
          <w:rFonts w:ascii="ＭＳ 明朝" w:hAnsi="ＭＳ 明朝" w:cs="Courier New" w:hint="eastAsia"/>
        </w:rPr>
        <w:t>で求めた表面きずの許容きず高さ</w:t>
      </w:r>
      <m:oMath>
        <m:sSub>
          <m:sSubPr>
            <m:ctrlPr>
              <w:rPr>
                <w:rFonts w:ascii="Cambria Math" w:hAnsi="Cambria Math" w:cs="Courier New"/>
                <w:i/>
              </w:rPr>
            </m:ctrlPr>
          </m:sSubPr>
          <m:e>
            <m:r>
              <w:rPr>
                <w:rFonts w:ascii="Cambria Math" w:hAnsi="Cambria Math" w:cs="Courier New"/>
              </w:rPr>
              <m:t xml:space="preserve"> a</m:t>
            </m:r>
          </m:e>
          <m:sub>
            <m:r>
              <w:rPr>
                <w:rFonts w:ascii="Cambria Math" w:hAnsi="Cambria Math" w:cs="Courier New"/>
              </w:rPr>
              <m:t>s</m:t>
            </m:r>
          </m:sub>
        </m:sSub>
        <m:r>
          <w:rPr>
            <w:rFonts w:ascii="Cambria Math" w:hAnsi="Cambria Math" w:cs="Courier New"/>
          </w:rPr>
          <m:t xml:space="preserve"> </m:t>
        </m:r>
      </m:oMath>
      <w:r w:rsidRPr="00BC31E0">
        <w:rPr>
          <w:rFonts w:ascii="ＭＳ 明朝" w:hAnsi="ＭＳ 明朝" w:cs="Courier New" w:hint="eastAsia"/>
        </w:rPr>
        <w:lastRenderedPageBreak/>
        <w:t>を用いて</w:t>
      </w:r>
      <w:r w:rsidRPr="00BC31E0">
        <w:rPr>
          <w:rFonts w:ascii="ＭＳ ゴシック" w:eastAsia="ＭＳ ゴシック" w:hAnsi="ＭＳ ゴシック" w:cs="Courier New" w:hint="eastAsia"/>
          <w:b/>
          <w:sz w:val="20"/>
        </w:rPr>
        <w:t>式(</w:t>
      </w:r>
      <w:r w:rsidRPr="00BC31E0">
        <w:rPr>
          <w:rFonts w:ascii="ＭＳ ゴシック" w:eastAsia="ＭＳ ゴシック" w:hAnsi="ＭＳ ゴシック" w:cs="Courier New"/>
          <w:b/>
          <w:sz w:val="20"/>
        </w:rPr>
        <w:t>9.3.</w:t>
      </w:r>
      <w:r w:rsidRPr="00BC31E0">
        <w:rPr>
          <w:rFonts w:ascii="ＭＳ ゴシック" w:eastAsia="ＭＳ ゴシック" w:hAnsi="ＭＳ ゴシック" w:cs="Courier New" w:hint="eastAsia"/>
          <w:b/>
          <w:sz w:val="20"/>
        </w:rPr>
        <w:t>3)</w:t>
      </w:r>
      <w:r w:rsidRPr="00BC31E0">
        <w:rPr>
          <w:rFonts w:ascii="ＭＳ 明朝" w:hAnsi="ＭＳ 明朝" w:cs="Courier New" w:hint="eastAsia"/>
        </w:rPr>
        <w:t>で求める。なお，</w:t>
      </w:r>
      <w:r w:rsidRPr="00BC31E0">
        <w:rPr>
          <w:rFonts w:ascii="ＭＳ ゴシック" w:eastAsia="ＭＳ ゴシック" w:hAnsi="ＭＳ ゴシック" w:cs="Courier New" w:hint="eastAsia"/>
          <w:b/>
        </w:rPr>
        <w:t>式(9.3.3)</w:t>
      </w:r>
      <w:r w:rsidRPr="00BC31E0">
        <w:rPr>
          <w:rFonts w:ascii="ＭＳ 明朝" w:hAnsi="ＭＳ 明朝" w:cs="Courier New" w:hint="eastAsia"/>
        </w:rPr>
        <w:t>の関係は，表面きずのアスペクト比</w:t>
      </w:r>
      <m:oMath>
        <m:f>
          <m:fPr>
            <m:type m:val="lin"/>
            <m:ctrlPr>
              <w:rPr>
                <w:rFonts w:ascii="Cambria Math" w:hAnsi="Cambria Math" w:cs="Courier New"/>
                <w:i/>
              </w:rPr>
            </m:ctrlPr>
          </m:fPr>
          <m:num>
            <m:sSub>
              <m:sSubPr>
                <m:ctrlPr>
                  <w:rPr>
                    <w:rFonts w:ascii="Cambria Math" w:hAnsi="Cambria Math" w:cs="Courier New"/>
                    <w:i/>
                  </w:rPr>
                </m:ctrlPr>
              </m:sSubPr>
              <m:e>
                <m:r>
                  <w:rPr>
                    <w:rFonts w:ascii="Cambria Math" w:hAnsi="Cambria Math" w:cs="Courier New"/>
                  </w:rPr>
                  <m:t xml:space="preserve"> a</m:t>
                </m:r>
              </m:e>
              <m:sub>
                <m:r>
                  <w:rPr>
                    <w:rFonts w:ascii="Cambria Math" w:hAnsi="Cambria Math" w:cs="Courier New"/>
                  </w:rPr>
                  <m:t>s</m:t>
                </m:r>
              </m:sub>
            </m:sSub>
          </m:num>
          <m:den>
            <m:sSub>
              <m:sSubPr>
                <m:ctrlPr>
                  <w:rPr>
                    <w:rFonts w:ascii="Cambria Math" w:hAnsi="Cambria Math" w:cs="Courier New"/>
                    <w:i/>
                  </w:rPr>
                </m:ctrlPr>
              </m:sSubPr>
              <m:e>
                <m:r>
                  <w:rPr>
                    <w:rFonts w:ascii="Cambria Math" w:hAnsi="Cambria Math" w:cs="Courier New"/>
                  </w:rPr>
                  <m:t>l</m:t>
                </m:r>
              </m:e>
              <m:sub>
                <m:r>
                  <w:rPr>
                    <w:rFonts w:ascii="Cambria Math" w:hAnsi="Cambria Math" w:cs="Courier New"/>
                  </w:rPr>
                  <m:t>s</m:t>
                </m:r>
              </m:sub>
            </m:sSub>
          </m:den>
        </m:f>
        <m:r>
          <w:rPr>
            <w:rFonts w:ascii="Cambria Math" w:hAnsi="Cambria Math" w:cs="Courier New"/>
          </w:rPr>
          <m:t xml:space="preserve"> </m:t>
        </m:r>
      </m:oMath>
      <w:r w:rsidRPr="00BC31E0">
        <w:rPr>
          <w:rFonts w:ascii="ＭＳ 明朝" w:hAnsi="ＭＳ 明朝" w:cs="Courier New" w:hint="eastAsia"/>
        </w:rPr>
        <w:t>の値によらず，一定とする。</w:t>
      </w:r>
    </w:p>
    <w:tbl>
      <w:tblPr>
        <w:tblStyle w:val="afff2"/>
        <w:tblW w:w="5953" w:type="dxa"/>
        <w:tblInd w:w="3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9"/>
        <w:gridCol w:w="3184"/>
      </w:tblGrid>
      <w:tr w:rsidR="00342321" w:rsidRPr="00BC31E0" w14:paraId="4D3BAA27" w14:textId="77777777" w:rsidTr="004736F2">
        <w:tc>
          <w:tcPr>
            <w:tcW w:w="0" w:type="auto"/>
            <w:tcMar>
              <w:left w:w="0" w:type="dxa"/>
              <w:right w:w="0" w:type="dxa"/>
            </w:tcMar>
            <w:vAlign w:val="center"/>
          </w:tcPr>
          <w:p w14:paraId="60DB2FE0" w14:textId="77777777" w:rsidR="00342321" w:rsidRPr="00BC31E0" w:rsidRDefault="00A51873" w:rsidP="004736F2">
            <w:pPr>
              <w:tabs>
                <w:tab w:val="left" w:pos="2552"/>
                <w:tab w:val="left" w:leader="middleDot" w:pos="8222"/>
              </w:tabs>
              <w:jc w:val="left"/>
              <w:rPr>
                <w:rFonts w:asciiTheme="minorHAnsi" w:hAnsiTheme="minorHAnsi"/>
                <w:i/>
                <w:noProof/>
                <w:szCs w:val="20"/>
              </w:rPr>
            </w:pPr>
            <m:oMathPara>
              <m:oMath>
                <m:sSub>
                  <m:sSubPr>
                    <m:ctrlPr>
                      <w:rPr>
                        <w:rFonts w:ascii="Cambria Math" w:hAnsi="Cambria Math"/>
                        <w:i/>
                        <w:noProof/>
                        <w:szCs w:val="20"/>
                      </w:rPr>
                    </m:ctrlPr>
                  </m:sSubPr>
                  <m:e>
                    <m:r>
                      <w:rPr>
                        <w:rFonts w:ascii="Cambria Math" w:hAnsi="Cambria Math"/>
                        <w:noProof/>
                        <w:szCs w:val="20"/>
                      </w:rPr>
                      <m:t>a</m:t>
                    </m:r>
                  </m:e>
                  <m:sub>
                    <m:r>
                      <w:rPr>
                        <w:rFonts w:ascii="Cambria Math" w:hAnsi="Cambria Math"/>
                        <w:noProof/>
                        <w:szCs w:val="20"/>
                      </w:rPr>
                      <m:t>e</m:t>
                    </m:r>
                  </m:sub>
                </m:sSub>
                <m:r>
                  <w:rPr>
                    <w:rFonts w:ascii="Cambria Math" w:hAnsi="Cambria Math"/>
                    <w:noProof/>
                    <w:szCs w:val="20"/>
                  </w:rPr>
                  <m:t>=</m:t>
                </m:r>
                <m:sSup>
                  <m:sSupPr>
                    <m:ctrlPr>
                      <w:rPr>
                        <w:rFonts w:ascii="Cambria Math" w:hAnsi="Cambria Math"/>
                        <w:i/>
                        <w:noProof/>
                        <w:szCs w:val="20"/>
                      </w:rPr>
                    </m:ctrlPr>
                  </m:sSupPr>
                  <m:e>
                    <m:r>
                      <w:rPr>
                        <w:rFonts w:ascii="Cambria Math" w:hAnsi="Cambria Math"/>
                        <w:noProof/>
                        <w:szCs w:val="20"/>
                      </w:rPr>
                      <m:t>1.12</m:t>
                    </m:r>
                  </m:e>
                  <m:sup>
                    <m:r>
                      <w:rPr>
                        <w:rFonts w:ascii="Cambria Math" w:hAnsi="Cambria Math"/>
                        <w:noProof/>
                        <w:szCs w:val="20"/>
                      </w:rPr>
                      <m:t>2</m:t>
                    </m:r>
                  </m:sup>
                </m:sSup>
                <m:func>
                  <m:funcPr>
                    <m:ctrlPr>
                      <w:rPr>
                        <w:rFonts w:ascii="Cambria Math" w:hAnsi="Cambria Math"/>
                        <w:i/>
                        <w:noProof/>
                        <w:szCs w:val="20"/>
                      </w:rPr>
                    </m:ctrlPr>
                  </m:funcPr>
                  <m:fName>
                    <m:r>
                      <m:rPr>
                        <m:sty m:val="bi"/>
                      </m:rPr>
                      <w:rPr>
                        <w:rFonts w:ascii="Cambria Math" w:hAnsi="Cambria Math"/>
                        <w:noProof/>
                        <w:szCs w:val="20"/>
                      </w:rPr>
                      <m:t>cos</m:t>
                    </m:r>
                  </m:fName>
                  <m:e>
                    <m:d>
                      <m:dPr>
                        <m:begChr m:val="{"/>
                        <m:endChr m:val="}"/>
                        <m:ctrlPr>
                          <w:rPr>
                            <w:rFonts w:ascii="Cambria Math" w:hAnsi="Cambria Math"/>
                            <w:i/>
                            <w:noProof/>
                            <w:szCs w:val="20"/>
                          </w:rPr>
                        </m:ctrlPr>
                      </m:dPr>
                      <m:e>
                        <m:r>
                          <w:rPr>
                            <w:rFonts w:ascii="Cambria Math" w:hAnsi="Cambria Math"/>
                            <w:noProof/>
                            <w:szCs w:val="20"/>
                          </w:rPr>
                          <m:t xml:space="preserve"> </m:t>
                        </m:r>
                        <m:f>
                          <m:fPr>
                            <m:ctrlPr>
                              <w:rPr>
                                <w:rFonts w:ascii="Cambria Math" w:hAnsi="Cambria Math"/>
                                <w:i/>
                                <w:noProof/>
                                <w:szCs w:val="20"/>
                              </w:rPr>
                            </m:ctrlPr>
                          </m:fPr>
                          <m:num>
                            <m:r>
                              <w:rPr>
                                <w:rFonts w:ascii="Cambria Math" w:hAnsi="Cambria Math"/>
                                <w:noProof/>
                                <w:szCs w:val="20"/>
                              </w:rPr>
                              <m:t>π</m:t>
                            </m:r>
                          </m:num>
                          <m:den>
                            <m:r>
                              <w:rPr>
                                <w:rFonts w:ascii="Cambria Math" w:hAnsi="Cambria Math"/>
                                <w:noProof/>
                                <w:szCs w:val="20"/>
                              </w:rPr>
                              <m:t xml:space="preserve">2 </m:t>
                            </m:r>
                            <m:d>
                              <m:dPr>
                                <m:ctrlPr>
                                  <w:rPr>
                                    <w:rFonts w:ascii="Cambria Math" w:hAnsi="Cambria Math"/>
                                    <w:i/>
                                    <w:noProof/>
                                    <w:szCs w:val="20"/>
                                  </w:rPr>
                                </m:ctrlPr>
                              </m:dPr>
                              <m:e>
                                <m:r>
                                  <w:rPr>
                                    <w:rFonts w:ascii="Cambria Math" w:hAnsi="Cambria Math"/>
                                    <w:noProof/>
                                    <w:szCs w:val="20"/>
                                  </w:rPr>
                                  <m:t>1+</m:t>
                                </m:r>
                                <m:sSub>
                                  <m:sSubPr>
                                    <m:ctrlPr>
                                      <w:rPr>
                                        <w:rFonts w:ascii="Cambria Math" w:hAnsi="Cambria Math"/>
                                        <w:i/>
                                        <w:noProof/>
                                        <w:szCs w:val="20"/>
                                      </w:rPr>
                                    </m:ctrlPr>
                                  </m:sSubPr>
                                  <m:e>
                                    <m:r>
                                      <w:rPr>
                                        <w:rFonts w:ascii="Cambria Math" w:hAnsi="Cambria Math"/>
                                        <w:noProof/>
                                        <w:szCs w:val="20"/>
                                      </w:rPr>
                                      <m:t>Y</m:t>
                                    </m:r>
                                  </m:e>
                                  <m:sub>
                                    <m:r>
                                      <w:rPr>
                                        <w:rFonts w:ascii="Cambria Math" w:hAnsi="Cambria Math"/>
                                        <w:noProof/>
                                        <w:szCs w:val="20"/>
                                      </w:rPr>
                                      <m:t>a</m:t>
                                    </m:r>
                                  </m:sub>
                                </m:sSub>
                              </m:e>
                            </m:d>
                          </m:den>
                        </m:f>
                        <m:r>
                          <w:rPr>
                            <w:rFonts w:ascii="Cambria Math" w:hAnsi="Cambria Math"/>
                            <w:noProof/>
                            <w:szCs w:val="20"/>
                          </w:rPr>
                          <m:t xml:space="preserve"> </m:t>
                        </m:r>
                      </m:e>
                    </m:d>
                  </m:e>
                </m:func>
                <m:sSub>
                  <m:sSubPr>
                    <m:ctrlPr>
                      <w:rPr>
                        <w:rFonts w:ascii="Cambria Math" w:hAnsi="Cambria Math"/>
                        <w:i/>
                        <w:noProof/>
                        <w:szCs w:val="20"/>
                      </w:rPr>
                    </m:ctrlPr>
                  </m:sSubPr>
                  <m:e>
                    <m:r>
                      <w:rPr>
                        <w:rFonts w:ascii="Cambria Math" w:hAnsi="Cambria Math"/>
                        <w:noProof/>
                        <w:szCs w:val="20"/>
                      </w:rPr>
                      <m:t>a</m:t>
                    </m:r>
                  </m:e>
                  <m:sub>
                    <m:r>
                      <w:rPr>
                        <w:rFonts w:ascii="Cambria Math" w:hAnsi="Cambria Math"/>
                        <w:noProof/>
                        <w:szCs w:val="20"/>
                      </w:rPr>
                      <m:t>s</m:t>
                    </m:r>
                  </m:sub>
                </m:sSub>
              </m:oMath>
            </m:oMathPara>
          </w:p>
        </w:tc>
        <w:tc>
          <w:tcPr>
            <w:tcW w:w="3184" w:type="dxa"/>
            <w:tcMar>
              <w:left w:w="0" w:type="dxa"/>
              <w:right w:w="0" w:type="dxa"/>
            </w:tcMar>
            <w:vAlign w:val="center"/>
          </w:tcPr>
          <w:p w14:paraId="53C87BA1" w14:textId="77777777" w:rsidR="00342321" w:rsidRPr="00BC31E0" w:rsidRDefault="00342321" w:rsidP="004736F2">
            <w:pPr>
              <w:tabs>
                <w:tab w:val="left" w:leader="middleDot" w:pos="2320"/>
              </w:tabs>
              <w:jc w:val="left"/>
              <w:rPr>
                <w:rFonts w:asciiTheme="minorHAnsi" w:hAnsiTheme="minorHAnsi"/>
                <w:noProof/>
                <w:szCs w:val="20"/>
              </w:rPr>
            </w:pPr>
            <w:r w:rsidRPr="00BC31E0">
              <w:rPr>
                <w:rFonts w:asciiTheme="minorHAnsi" w:hAnsiTheme="minorHAnsi" w:hint="eastAsia"/>
                <w:noProof/>
                <w:szCs w:val="20"/>
              </w:rPr>
              <w:tab/>
              <w:t>(9.3.3)</w:t>
            </w:r>
          </w:p>
        </w:tc>
      </w:tr>
    </w:tbl>
    <w:p w14:paraId="04FB6BC5" w14:textId="77777777" w:rsidR="00342321" w:rsidRPr="00BC31E0" w:rsidRDefault="00342321" w:rsidP="00682279">
      <w:pPr>
        <w:spacing w:before="120"/>
        <w:ind w:left="1701" w:firstLineChars="100" w:firstLine="210"/>
        <w:outlineLvl w:val="6"/>
        <w:rPr>
          <w:rFonts w:ascii="ＭＳ 明朝" w:hAnsi="ＭＳ 明朝"/>
        </w:rPr>
      </w:pPr>
      <w:r w:rsidRPr="00BC31E0">
        <w:rPr>
          <w:rFonts w:ascii="ＭＳ 明朝" w:hAnsi="ＭＳ 明朝" w:hint="eastAsia"/>
        </w:rPr>
        <w:t>ここで，</w:t>
      </w:r>
      <m:oMath>
        <m:sSub>
          <m:sSubPr>
            <m:ctrlPr>
              <w:rPr>
                <w:rFonts w:ascii="Cambria Math" w:hAnsi="Cambria Math"/>
              </w:rPr>
            </m:ctrlPr>
          </m:sSubPr>
          <m:e>
            <m:r>
              <w:rPr>
                <w:rFonts w:ascii="Cambria Math" w:hAnsi="Cambria Math"/>
              </w:rPr>
              <m:t>Y</m:t>
            </m:r>
          </m:e>
          <m:sub>
            <m:r>
              <w:rPr>
                <w:rFonts w:ascii="Cambria Math" w:hAnsi="Cambria Math"/>
              </w:rPr>
              <m:t>a</m:t>
            </m:r>
          </m:sub>
        </m:sSub>
        <m:r>
          <w:rPr>
            <w:rFonts w:ascii="Cambria Math" w:hAnsi="Cambria Math"/>
          </w:rPr>
          <m:t>=</m:t>
        </m:r>
        <m:f>
          <m:fPr>
            <m:type m:val="lin"/>
            <m:ctrlPr>
              <w:rPr>
                <w:rFonts w:ascii="Cambria Math" w:hAnsi="Cambria Math"/>
                <w:i/>
              </w:rPr>
            </m:ctrlPr>
          </m:fPr>
          <m:num>
            <m:r>
              <w:rPr>
                <w:rFonts w:ascii="Cambria Math" w:hAnsi="Cambria Math" w:hint="eastAsia"/>
              </w:rPr>
              <m:t>S</m:t>
            </m:r>
          </m:num>
          <m:den>
            <m:sSub>
              <m:sSubPr>
                <m:ctrlPr>
                  <w:rPr>
                    <w:rFonts w:ascii="Cambria Math" w:hAnsi="Cambria Math"/>
                    <w:i/>
                  </w:rPr>
                </m:ctrlPr>
              </m:sSubPr>
              <m:e>
                <m:r>
                  <w:rPr>
                    <w:rFonts w:ascii="Cambria Math" w:hAnsi="Cambria Math"/>
                  </w:rPr>
                  <m:t>a</m:t>
                </m:r>
              </m:e>
              <m:sub>
                <m:r>
                  <w:rPr>
                    <w:rFonts w:ascii="Cambria Math" w:hAnsi="Cambria Math"/>
                  </w:rPr>
                  <m:t>e</m:t>
                </m:r>
              </m:sub>
            </m:sSub>
          </m:den>
        </m:f>
      </m:oMath>
      <w:r w:rsidRPr="00BC31E0">
        <w:rPr>
          <w:rFonts w:asciiTheme="minorHAnsi" w:hAnsiTheme="minorHAnsi" w:hint="eastAsia"/>
        </w:rPr>
        <w:t>(</w:t>
      </w:r>
      <m:oMath>
        <m:r>
          <m:rPr>
            <m:sty m:val="p"/>
          </m:rPr>
          <w:rPr>
            <w:rFonts w:ascii="Cambria Math" w:hAnsi="Cambria Math"/>
          </w:rPr>
          <m:t>≧</m:t>
        </m:r>
        <m:r>
          <w:rPr>
            <w:rFonts w:ascii="Cambria Math" w:hAnsi="Cambria Math"/>
          </w:rPr>
          <m:t>0.4</m:t>
        </m:r>
      </m:oMath>
      <w:r w:rsidRPr="00BC31E0">
        <w:rPr>
          <w:rFonts w:asciiTheme="minorHAnsi" w:hAnsiTheme="minorHAnsi" w:hint="eastAsia"/>
        </w:rPr>
        <w:t>)</w:t>
      </w:r>
      <w:r w:rsidRPr="00BC31E0">
        <w:rPr>
          <w:rFonts w:asciiTheme="minorHAnsi" w:hAnsiTheme="minorHAnsi" w:hint="eastAsia"/>
        </w:rPr>
        <w:t>とし，</w:t>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a</m:t>
            </m:r>
          </m:sub>
        </m:sSub>
        <m:r>
          <w:rPr>
            <w:rFonts w:ascii="Cambria Math" w:eastAsiaTheme="minorEastAsia" w:hAnsi="Cambria Math"/>
          </w:rPr>
          <m:t>&gt;</m:t>
        </m:r>
        <m:r>
          <w:rPr>
            <w:rFonts w:ascii="Cambria Math" w:eastAsiaTheme="minorEastAsia" w:hAnsi="Cambria Math" w:hint="eastAsia"/>
          </w:rPr>
          <m:t xml:space="preserve">1 </m:t>
        </m:r>
      </m:oMath>
      <w:r w:rsidRPr="00BC31E0">
        <w:rPr>
          <w:rFonts w:asciiTheme="minorHAnsi" w:eastAsiaTheme="minorEastAsia" w:hAnsiTheme="minorHAnsi" w:hint="eastAsia"/>
        </w:rPr>
        <w:t>の場合には</w:t>
      </w:r>
      <m:oMath>
        <m:sSub>
          <m:sSubPr>
            <m:ctrlPr>
              <w:rPr>
                <w:rFonts w:ascii="Cambria Math" w:eastAsiaTheme="minorEastAsia" w:hAnsi="Cambria Math"/>
                <w:i/>
              </w:rPr>
            </m:ctrlPr>
          </m:sSubPr>
          <m:e>
            <m:r>
              <w:rPr>
                <w:rFonts w:ascii="Cambria Math" w:eastAsiaTheme="minorEastAsia" w:hAnsi="Cambria Math" w:hint="eastAsia"/>
              </w:rPr>
              <m:t xml:space="preserve"> </m:t>
            </m:r>
            <m:r>
              <w:rPr>
                <w:rFonts w:ascii="Cambria Math" w:eastAsiaTheme="minorEastAsia" w:hAnsi="Cambria Math"/>
              </w:rPr>
              <m:t>Y</m:t>
            </m:r>
          </m:e>
          <m:sub>
            <m:r>
              <w:rPr>
                <w:rFonts w:ascii="Cambria Math" w:eastAsiaTheme="minorEastAsia" w:hAnsi="Cambria Math"/>
              </w:rPr>
              <m:t>a</m:t>
            </m:r>
          </m:sub>
        </m:sSub>
        <m:r>
          <w:rPr>
            <w:rFonts w:ascii="Cambria Math" w:eastAsiaTheme="minorEastAsia" w:hAnsi="Cambria Math"/>
          </w:rPr>
          <m:t>=</m:t>
        </m:r>
        <m:r>
          <w:rPr>
            <w:rFonts w:ascii="Cambria Math" w:eastAsiaTheme="minorEastAsia" w:hAnsi="Cambria Math" w:hint="eastAsia"/>
          </w:rPr>
          <m:t>1</m:t>
        </m:r>
      </m:oMath>
      <w:r w:rsidRPr="00BC31E0">
        <w:rPr>
          <w:rFonts w:asciiTheme="minorHAnsi" w:eastAsiaTheme="minorEastAsia" w:hAnsiTheme="minorHAnsi" w:hint="eastAsia"/>
        </w:rPr>
        <w:t xml:space="preserve"> </w:t>
      </w:r>
      <w:r w:rsidRPr="00BC31E0">
        <w:rPr>
          <w:rFonts w:asciiTheme="minorHAnsi" w:eastAsiaTheme="minorEastAsia" w:hAnsiTheme="minorHAnsi" w:hint="eastAsia"/>
        </w:rPr>
        <w:t>とする。複数の内部きずが合体した単一きずの</w:t>
      </w:r>
      <m:oMath>
        <m:sSub>
          <m:sSubPr>
            <m:ctrlPr>
              <w:rPr>
                <w:rFonts w:ascii="Cambria Math" w:eastAsiaTheme="minorEastAsia" w:hAnsi="Cambria Math"/>
                <w:i/>
              </w:rPr>
            </m:ctrlPr>
          </m:sSubPr>
          <m:e>
            <m:r>
              <w:rPr>
                <w:rFonts w:ascii="Cambria Math" w:eastAsiaTheme="minorEastAsia" w:hAnsi="Cambria Math"/>
              </w:rPr>
              <m:t xml:space="preserve"> Y</m:t>
            </m:r>
          </m:e>
          <m:sub>
            <m:r>
              <w:rPr>
                <w:rFonts w:ascii="Cambria Math" w:eastAsiaTheme="minorEastAsia" w:hAnsi="Cambria Math"/>
              </w:rPr>
              <m:t>a</m:t>
            </m:r>
          </m:sub>
        </m:sSub>
        <m:r>
          <w:rPr>
            <w:rFonts w:ascii="Cambria Math" w:eastAsiaTheme="minorEastAsia" w:hAnsi="Cambria Math"/>
          </w:rPr>
          <m:t xml:space="preserve"> </m:t>
        </m:r>
      </m:oMath>
      <w:r w:rsidRPr="00BC31E0">
        <w:rPr>
          <w:rFonts w:asciiTheme="minorHAnsi" w:eastAsiaTheme="minorEastAsia" w:hAnsiTheme="minorHAnsi" w:hint="eastAsia"/>
        </w:rPr>
        <w:t>は，次による。</w:t>
      </w:r>
    </w:p>
    <w:p w14:paraId="3C6210A0" w14:textId="77777777" w:rsidR="00342321" w:rsidRPr="00BC31E0" w:rsidRDefault="00A51873" w:rsidP="00702CAB">
      <w:pPr>
        <w:tabs>
          <w:tab w:val="left" w:pos="2410"/>
        </w:tabs>
        <w:ind w:left="2155"/>
        <w:outlineLvl w:val="6"/>
      </w:pPr>
      <m:oMath>
        <m:sSub>
          <m:sSubPr>
            <m:ctrlPr>
              <w:rPr>
                <w:rFonts w:ascii="Cambria Math" w:hAnsi="Cambria Math"/>
                <w:i/>
              </w:rPr>
            </m:ctrlPr>
          </m:sSubPr>
          <m:e>
            <m:r>
              <w:rPr>
                <w:rFonts w:ascii="Cambria Math" w:hAnsi="Cambria Math"/>
              </w:rPr>
              <m:t>Y</m:t>
            </m:r>
          </m:e>
          <m:sub>
            <m:r>
              <w:rPr>
                <w:rFonts w:ascii="Cambria Math" w:hAnsi="Cambria Math"/>
              </w:rPr>
              <m:t>a</m:t>
            </m:r>
          </m:sub>
        </m:sSub>
      </m:oMath>
      <w:r w:rsidR="00342321" w:rsidRPr="00BC31E0">
        <w:rPr>
          <w:rFonts w:hint="eastAsia"/>
        </w:rPr>
        <w:tab/>
      </w:r>
      <w:r w:rsidR="00342321" w:rsidRPr="00BC31E0">
        <w:rPr>
          <w:rFonts w:asciiTheme="minorHAnsi" w:eastAsiaTheme="minorEastAsia" w:hAnsiTheme="minorHAnsi" w:hint="eastAsia"/>
        </w:rPr>
        <w:t>：</w:t>
      </w:r>
      <w:r w:rsidR="00B46FA9" w:rsidRPr="00BC31E0">
        <w:rPr>
          <w:rFonts w:asciiTheme="minorHAnsi" w:eastAsiaTheme="minorEastAsia" w:hAnsiTheme="minorHAnsi" w:hint="eastAsia"/>
        </w:rPr>
        <w:t xml:space="preserve"> </w:t>
      </w:r>
      <w:r w:rsidR="00342321" w:rsidRPr="00BC31E0">
        <w:rPr>
          <w:rFonts w:asciiTheme="minorHAnsi" w:eastAsiaTheme="minorEastAsia" w:hAnsiTheme="minorHAnsi" w:hint="eastAsia"/>
        </w:rPr>
        <w:t>合体した単一きずに含まれる個々の内部きずの</w:t>
      </w:r>
      <m:oMath>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 xml:space="preserve"> S</m:t>
                </m:r>
              </m:e>
              <m:sub>
                <m:r>
                  <w:rPr>
                    <w:rFonts w:ascii="Cambria Math" w:eastAsiaTheme="minorEastAsia" w:hAnsi="Cambria Math"/>
                  </w:rPr>
                  <m:t>i</m:t>
                </m:r>
              </m:sub>
            </m:sSub>
          </m:num>
          <m:den>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i</m:t>
                </m:r>
              </m:sub>
            </m:sSub>
            <m:r>
              <w:rPr>
                <w:rFonts w:ascii="Cambria Math" w:eastAsiaTheme="minorEastAsia" w:hAnsi="Cambria Math"/>
              </w:rPr>
              <m:t xml:space="preserve"> </m:t>
            </m:r>
          </m:den>
        </m:f>
      </m:oMath>
      <w:r w:rsidR="00342321" w:rsidRPr="00BC31E0">
        <w:rPr>
          <w:rFonts w:asciiTheme="minorHAnsi" w:eastAsiaTheme="minorEastAsia" w:hAnsiTheme="minorHAnsi" w:hint="eastAsia"/>
        </w:rPr>
        <w:t>の最小値</w:t>
      </w:r>
    </w:p>
    <w:p w14:paraId="19249C79" w14:textId="77777777" w:rsidR="00342321" w:rsidRPr="00BC31E0" w:rsidRDefault="00A51873" w:rsidP="00702CAB">
      <w:pPr>
        <w:tabs>
          <w:tab w:val="left" w:pos="2410"/>
        </w:tabs>
        <w:ind w:left="2155"/>
        <w:outlineLvl w:val="6"/>
        <w:rPr>
          <w:rFonts w:ascii="ＭＳ 明朝" w:hAnsi="ＭＳ 明朝"/>
          <w:szCs w:val="20"/>
        </w:rPr>
      </w:pPr>
      <m:oMath>
        <m:sSub>
          <m:sSubPr>
            <m:ctrlPr>
              <w:rPr>
                <w:rFonts w:ascii="Cambria Math" w:hAnsi="Cambria Math"/>
                <w:i/>
              </w:rPr>
            </m:ctrlPr>
          </m:sSubPr>
          <m:e>
            <m:r>
              <w:rPr>
                <w:rFonts w:ascii="Cambria Math" w:hAnsi="Cambria Math"/>
              </w:rPr>
              <m:t>S</m:t>
            </m:r>
          </m:e>
          <m:sub>
            <m:r>
              <w:rPr>
                <w:rFonts w:ascii="Cambria Math" w:hAnsi="Cambria Math"/>
              </w:rPr>
              <m:t>i</m:t>
            </m:r>
          </m:sub>
        </m:sSub>
      </m:oMath>
      <w:r w:rsidR="00342321" w:rsidRPr="00BC31E0">
        <w:rPr>
          <w:rFonts w:ascii="ＭＳ 明朝" w:hAnsi="ＭＳ 明朝" w:hint="eastAsia"/>
        </w:rPr>
        <w:tab/>
        <w:t xml:space="preserve">： </w:t>
      </w:r>
      <w:r w:rsidR="00342321" w:rsidRPr="00BC31E0">
        <w:rPr>
          <w:rFonts w:asciiTheme="minorHAnsi" w:eastAsiaTheme="minorEastAsia" w:hAnsiTheme="minorHAnsi" w:hint="eastAsia"/>
        </w:rPr>
        <w:t>個々の内部きずの表面又はクラッドと母材境界からの距離</w:t>
      </w:r>
      <w:r w:rsidR="00342321" w:rsidRPr="00BC31E0">
        <w:rPr>
          <w:rFonts w:asciiTheme="minorHAnsi" w:hAnsiTheme="minorHAnsi"/>
          <w:szCs w:val="20"/>
        </w:rPr>
        <w:t>(</w:t>
      </w:r>
      <w:r w:rsidR="00342321" w:rsidRPr="00BC31E0">
        <w:rPr>
          <w:rFonts w:ascii="Cambria Math" w:hAnsi="Cambria Math"/>
          <w:szCs w:val="20"/>
        </w:rPr>
        <w:t>mm</w:t>
      </w:r>
      <w:r w:rsidR="00342321" w:rsidRPr="00BC31E0">
        <w:rPr>
          <w:rFonts w:asciiTheme="minorHAnsi" w:hAnsiTheme="minorHAnsi"/>
          <w:szCs w:val="20"/>
        </w:rPr>
        <w:t>)</w:t>
      </w:r>
    </w:p>
    <w:p w14:paraId="2C939956" w14:textId="77777777" w:rsidR="00342321" w:rsidRPr="00BC31E0" w:rsidRDefault="00A51873" w:rsidP="00702CAB">
      <w:pPr>
        <w:tabs>
          <w:tab w:val="left" w:pos="2410"/>
        </w:tabs>
        <w:ind w:left="2155"/>
        <w:outlineLvl w:val="6"/>
        <w:rPr>
          <w:rFonts w:asciiTheme="minorHAnsi" w:hAnsiTheme="minorHAnsi"/>
          <w:szCs w:val="20"/>
        </w:rPr>
      </w:pPr>
      <m:oMath>
        <m:sSub>
          <m:sSubPr>
            <m:ctrlPr>
              <w:rPr>
                <w:rFonts w:ascii="Cambria Math" w:hAnsi="Cambria Math"/>
                <w:i/>
              </w:rPr>
            </m:ctrlPr>
          </m:sSubPr>
          <m:e>
            <m:r>
              <w:rPr>
                <w:rFonts w:ascii="Cambria Math" w:hAnsi="Cambria Math"/>
              </w:rPr>
              <m:t>d</m:t>
            </m:r>
          </m:e>
          <m:sub>
            <m:r>
              <w:rPr>
                <w:rFonts w:ascii="Cambria Math" w:hAnsi="Cambria Math"/>
              </w:rPr>
              <m:t>i</m:t>
            </m:r>
          </m:sub>
        </m:sSub>
      </m:oMath>
      <w:r w:rsidR="00342321" w:rsidRPr="00BC31E0">
        <w:rPr>
          <w:rFonts w:ascii="ＭＳ 明朝" w:hAnsi="ＭＳ 明朝" w:hint="eastAsia"/>
          <w:i/>
        </w:rPr>
        <w:tab/>
      </w:r>
      <w:r w:rsidR="00342321" w:rsidRPr="00BC31E0">
        <w:rPr>
          <w:rFonts w:ascii="ＭＳ 明朝" w:hAnsi="ＭＳ 明朝" w:hint="eastAsia"/>
        </w:rPr>
        <w:t xml:space="preserve">： </w:t>
      </w:r>
      <w:r w:rsidR="00342321" w:rsidRPr="00BC31E0">
        <w:rPr>
          <w:rFonts w:asciiTheme="minorHAnsi" w:eastAsiaTheme="minorEastAsia" w:hAnsiTheme="minorHAnsi" w:hint="eastAsia"/>
        </w:rPr>
        <w:t>個々の内部きずの高さの</w:t>
      </w:r>
      <w:r w:rsidR="00F83DE0" w:rsidRPr="00BC31E0">
        <w:rPr>
          <w:rFonts w:asciiTheme="minorHAnsi" w:eastAsiaTheme="minorEastAsia" w:hAnsiTheme="minorHAnsi" w:hint="eastAsia"/>
        </w:rPr>
        <w:t xml:space="preserve">1/2 </w:t>
      </w:r>
      <w:r w:rsidR="00342321" w:rsidRPr="00BC31E0">
        <w:rPr>
          <w:rFonts w:asciiTheme="minorHAnsi" w:hAnsiTheme="minorHAnsi"/>
          <w:szCs w:val="20"/>
        </w:rPr>
        <w:t>(</w:t>
      </w:r>
      <w:r w:rsidR="00342321" w:rsidRPr="00BC31E0">
        <w:rPr>
          <w:rFonts w:ascii="Cambria Math" w:hAnsi="Cambria Math"/>
          <w:szCs w:val="20"/>
        </w:rPr>
        <w:t>mm</w:t>
      </w:r>
      <w:r w:rsidR="00342321" w:rsidRPr="00BC31E0">
        <w:rPr>
          <w:rFonts w:asciiTheme="minorHAnsi" w:hAnsiTheme="minorHAnsi"/>
          <w:szCs w:val="20"/>
        </w:rPr>
        <w:t>)</w:t>
      </w:r>
    </w:p>
    <w:p w14:paraId="356E47BE" w14:textId="77777777" w:rsidR="00342321" w:rsidRPr="00BC31E0" w:rsidRDefault="00342321" w:rsidP="00736130">
      <w:pPr>
        <w:pStyle w:val="a4"/>
        <w:numPr>
          <w:ilvl w:val="0"/>
          <w:numId w:val="598"/>
        </w:numPr>
        <w:spacing w:before="120"/>
        <w:ind w:leftChars="0" w:left="454" w:hanging="454"/>
        <w:rPr>
          <w:szCs w:val="20"/>
        </w:rPr>
      </w:pPr>
      <w:r w:rsidRPr="00BC31E0">
        <w:rPr>
          <w:rFonts w:asciiTheme="majorEastAsia" w:eastAsiaTheme="majorEastAsia" w:hAnsiTheme="majorEastAsia" w:hint="eastAsia"/>
          <w:b/>
        </w:rPr>
        <w:t>磁粉探傷試験及び浸透探傷試験</w:t>
      </w:r>
      <w:r w:rsidRPr="00BC31E0">
        <w:rPr>
          <w:rFonts w:hint="eastAsia"/>
        </w:rPr>
        <w:t xml:space="preserve">　</w:t>
      </w:r>
      <w:r w:rsidRPr="00BC31E0">
        <w:rPr>
          <w:rFonts w:ascii="ＭＳ 明朝" w:hAnsi="ＭＳ 明朝" w:hint="eastAsia"/>
          <w:bCs/>
        </w:rPr>
        <w:t xml:space="preserve">磁粉探傷試験及び浸透探傷試験は </w:t>
      </w:r>
      <w:r w:rsidRPr="00BC31E0">
        <w:rPr>
          <w:rFonts w:asciiTheme="majorEastAsia" w:eastAsiaTheme="majorEastAsia" w:hAnsiTheme="majorEastAsia" w:hint="eastAsia"/>
          <w:b/>
        </w:rPr>
        <w:t>9.2.5 d)</w:t>
      </w:r>
      <w:r w:rsidRPr="00BC31E0">
        <w:rPr>
          <w:rFonts w:ascii="ＭＳ 明朝" w:hAnsi="ＭＳ 明朝" w:hint="eastAsia"/>
          <w:bCs/>
        </w:rPr>
        <w:t>による。</w:t>
      </w:r>
    </w:p>
    <w:p w14:paraId="62C31325" w14:textId="77777777" w:rsidR="00342321" w:rsidRPr="00BC31E0" w:rsidRDefault="00342321" w:rsidP="00244687">
      <w:pPr>
        <w:numPr>
          <w:ilvl w:val="1"/>
          <w:numId w:val="0"/>
        </w:numPr>
        <w:tabs>
          <w:tab w:val="num" w:pos="680"/>
        </w:tabs>
        <w:jc w:val="left"/>
        <w:rPr>
          <w:szCs w:val="20"/>
        </w:rPr>
      </w:pPr>
    </w:p>
    <w:p w14:paraId="70C26B73" w14:textId="77777777" w:rsidR="00342321" w:rsidRPr="00BC31E0" w:rsidRDefault="00342321" w:rsidP="00342321">
      <w:pPr>
        <w:pStyle w:val="aff4"/>
        <w:tabs>
          <w:tab w:val="clear" w:pos="4252"/>
          <w:tab w:val="clear" w:pos="8504"/>
        </w:tabs>
        <w:autoSpaceDE w:val="0"/>
        <w:autoSpaceDN w:val="0"/>
        <w:snapToGrid/>
        <w:jc w:val="center"/>
        <w:rPr>
          <w:noProof/>
          <w:szCs w:val="20"/>
        </w:rPr>
      </w:pPr>
      <w:r w:rsidRPr="00BC31E0">
        <w:rPr>
          <w:szCs w:val="20"/>
        </w:rPr>
        <w:br w:type="page"/>
      </w:r>
      <w:r w:rsidR="00A51873">
        <w:rPr>
          <w:noProof/>
          <w:szCs w:val="20"/>
        </w:rPr>
      </w:r>
      <w:r w:rsidR="00A51873">
        <w:rPr>
          <w:noProof/>
          <w:szCs w:val="20"/>
        </w:rPr>
        <w:pict w14:anchorId="13E1D845">
          <v:group id="グループ化 194" o:spid="_x0000_s1577" style="width:453.15pt;height:201.15pt;mso-position-horizontal-relative:char;mso-position-vertical-relative:line" coordorigin="1428,2061" coordsize="9063,4023">
            <v:shape id="Picture 10847" o:spid="_x0000_s1578" type="#_x0000_t75" alt="Div" style="position:absolute;left:1428;top:2061;width:9063;height:4023;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">
              <v:imagedata r:id="rId113" o:title="Div"/>
            </v:shape>
            <v:group id="Group 10845" o:spid="_x0000_s1579" style="position:absolute;left:5762;top:2212;width:1843;height:2703" coordorigin="5740,2198" coordsize="1843,2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rect id="Rectangle 9794" o:spid="_x0000_s1580" style="position:absolute;left:5864;top:4185;width:666;height:2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" stroked="f">
                <v:textbox inset="5.85pt,.7pt,5.85pt,.7pt"/>
              </v:rect>
              <v:rect id="Rectangle 9795" o:spid="_x0000_s1581" style="position:absolute;left:6338;top:4368;width:75;height:5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" stroked="f">
                <v:textbox inset="5.85pt,.7pt,5.85pt,.7pt"/>
              </v:rect>
              <v:rect id="Rectangle 9796" o:spid="_x0000_s1582" style="position:absolute;left:5740;top:4306;width:336;height:5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" stroked="f">
                <v:textbox inset="5.85pt,.7pt,5.85pt,.7pt"/>
              </v:rect>
              <v:shape id="Text Box 9797" o:spid="_x0000_s1583" type="#_x0000_t202" style="position:absolute;left:6586;top:2198;width:997;height:28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" stroked="f">
                <v:textbox style="mso-fit-shape-to-text:t" inset="5.85pt,.7pt,5.85pt,.7pt">
                  <w:txbxContent>
                    <w:p w14:paraId="4A86C349" w14:textId="77777777" w:rsidR="003B0864" w:rsidRPr="001302F6" w:rsidRDefault="003B0864" w:rsidP="00342321">
                      <w:pPr>
                        <w:snapToGrid w:val="0"/>
                        <w:jc w:val="center"/>
                        <w:rPr>
                          <w:sz w:val="20"/>
                        </w:rPr>
                      </w:pPr>
                      <w:r w:rsidRPr="001302F6">
                        <w:rPr>
                          <w:rFonts w:ascii="Tahoma" w:eastAsia="ＭＳ ゴシック" w:hAnsi="ＭＳ ゴシック" w:cs="Tahoma"/>
                          <w:sz w:val="20"/>
                        </w:rPr>
                        <w:t>最大</w:t>
                      </w:r>
                      <w:r w:rsidRPr="001302F6">
                        <w:rPr>
                          <w:rFonts w:ascii="Tahoma" w:eastAsia="ＭＳ ゴシック" w:hAnsi="Tahoma" w:cs="Tahoma"/>
                          <w:sz w:val="20"/>
                        </w:rPr>
                        <w:t>30°</w:t>
                      </w:r>
                    </w:p>
                  </w:txbxContent>
                </v:textbox>
              </v:shape>
              <v:shape id="AutoShape 9798" o:spid="_x0000_s1584" type="#_x0000_t32" style="position:absolute;left:5853;top:4221;width:378;height:24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">
                <v:stroke endarrow="block" endarrowwidth="narrow"/>
              </v:shape>
            </v:group>
            <w10:anchorlock/>
          </v:group>
        </w:pict>
      </w:r>
    </w:p>
    <w:p w14:paraId="6DA10207" w14:textId="77777777" w:rsidR="00342321" w:rsidRPr="00BC31E0" w:rsidRDefault="00342321" w:rsidP="000E2012">
      <w:pPr>
        <w:pStyle w:val="af4"/>
        <w:rPr>
          <w:vertAlign w:val="superscript"/>
        </w:rPr>
      </w:pPr>
      <w:r w:rsidRPr="00BC31E0">
        <w:rPr>
          <w:rFonts w:hint="eastAsia"/>
        </w:rPr>
        <w:t>図9.3.1　溶接継手の位置による分類</w:t>
      </w:r>
      <w:r w:rsidRPr="00BC31E0">
        <w:rPr>
          <w:rFonts w:hint="eastAsia"/>
          <w:vertAlign w:val="superscript"/>
        </w:rPr>
        <w:t>†</w:t>
      </w:r>
    </w:p>
    <w:p w14:paraId="54D7AC12" w14:textId="77777777" w:rsidR="00342321" w:rsidRPr="00BC31E0" w:rsidRDefault="00342321" w:rsidP="00342321">
      <w:pPr>
        <w:autoSpaceDE w:val="0"/>
        <w:autoSpaceDN w:val="0"/>
        <w:rPr>
          <w:noProof/>
          <w:szCs w:val="20"/>
        </w:rPr>
      </w:pPr>
    </w:p>
    <w:p w14:paraId="70F10D2C" w14:textId="77777777" w:rsidR="00342321" w:rsidRPr="00BC31E0" w:rsidRDefault="00342321" w:rsidP="00342321">
      <w:pPr>
        <w:autoSpaceDE w:val="0"/>
        <w:autoSpaceDN w:val="0"/>
        <w:rPr>
          <w:noProof/>
          <w:szCs w:val="20"/>
        </w:rPr>
      </w:pPr>
    </w:p>
    <w:p w14:paraId="6A933AA2" w14:textId="77777777" w:rsidR="00342321" w:rsidRPr="00BC31E0" w:rsidRDefault="00342321" w:rsidP="00342321">
      <w:pPr>
        <w:autoSpaceDE w:val="0"/>
        <w:autoSpaceDN w:val="0"/>
        <w:rPr>
          <w:noProof/>
          <w:szCs w:val="20"/>
        </w:rPr>
      </w:pPr>
    </w:p>
    <w:p w14:paraId="2D3D3730" w14:textId="77777777" w:rsidR="00342321" w:rsidRPr="00BC31E0" w:rsidRDefault="00342321" w:rsidP="000E2012">
      <w:pPr>
        <w:pStyle w:val="af4"/>
      </w:pPr>
      <w:r w:rsidRPr="00BC31E0">
        <w:rPr>
          <w:rFonts w:hint="eastAsia"/>
        </w:rPr>
        <w:t>表9.3.1　放射線透過試験における許容円形状指示模様寸法</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843"/>
        <w:gridCol w:w="1737"/>
        <w:gridCol w:w="1738"/>
        <w:gridCol w:w="2551"/>
      </w:tblGrid>
      <w:tr w:rsidR="00342321" w:rsidRPr="00BC31E0" w14:paraId="0ACED4CE" w14:textId="77777777" w:rsidTr="004736F2">
        <w:trPr>
          <w:jc w:val="center"/>
        </w:trPr>
        <w:tc>
          <w:tcPr>
            <w:tcW w:w="1843" w:type="dxa"/>
            <w:tcBorders>
              <w:bottom w:val="nil"/>
            </w:tcBorders>
            <w:vAlign w:val="center"/>
          </w:tcPr>
          <w:p w14:paraId="207AFA37" w14:textId="77777777" w:rsidR="00342321" w:rsidRPr="00BC31E0" w:rsidRDefault="00342321" w:rsidP="004736F2">
            <w:pPr>
              <w:autoSpaceDE w:val="0"/>
              <w:autoSpaceDN w:val="0"/>
              <w:jc w:val="center"/>
              <w:rPr>
                <w:szCs w:val="20"/>
              </w:rPr>
            </w:pPr>
            <w:r w:rsidRPr="00BC31E0">
              <w:rPr>
                <w:rFonts w:hint="eastAsia"/>
                <w:szCs w:val="20"/>
              </w:rPr>
              <w:t>厚さ</w:t>
            </w:r>
            <w:r w:rsidRPr="00BC31E0">
              <w:rPr>
                <w:rFonts w:hint="eastAsia"/>
                <w:szCs w:val="20"/>
              </w:rPr>
              <w:t xml:space="preserve"> </w:t>
            </w:r>
            <m:oMath>
              <m:r>
                <w:rPr>
                  <w:rFonts w:ascii="Cambria Math" w:hAnsi="Cambria Math"/>
                  <w:szCs w:val="20"/>
                </w:rPr>
                <m:t>t</m:t>
              </m:r>
            </m:oMath>
          </w:p>
        </w:tc>
        <w:tc>
          <w:tcPr>
            <w:tcW w:w="3475" w:type="dxa"/>
            <w:gridSpan w:val="2"/>
            <w:vAlign w:val="center"/>
          </w:tcPr>
          <w:p w14:paraId="28DDD84A" w14:textId="77777777" w:rsidR="00342321" w:rsidRPr="00BC31E0" w:rsidRDefault="00342321" w:rsidP="004736F2">
            <w:pPr>
              <w:autoSpaceDE w:val="0"/>
              <w:autoSpaceDN w:val="0"/>
              <w:snapToGrid w:val="0"/>
              <w:jc w:val="center"/>
              <w:rPr>
                <w:szCs w:val="20"/>
              </w:rPr>
            </w:pPr>
            <w:r w:rsidRPr="00BC31E0">
              <w:rPr>
                <w:rFonts w:hint="eastAsia"/>
                <w:szCs w:val="20"/>
              </w:rPr>
              <w:t>最大許容円形状指示模様寸法</w:t>
            </w:r>
          </w:p>
          <w:p w14:paraId="61BF4D39" w14:textId="77777777" w:rsidR="00342321" w:rsidRPr="00BC31E0" w:rsidRDefault="00342321" w:rsidP="004736F2">
            <w:pPr>
              <w:autoSpaceDE w:val="0"/>
              <w:autoSpaceDN w:val="0"/>
              <w:snapToGrid w:val="0"/>
              <w:jc w:val="center"/>
              <w:rPr>
                <w:rFonts w:ascii="Cambria Math" w:hAnsi="Cambria Math"/>
                <w:szCs w:val="20"/>
              </w:rPr>
            </w:pPr>
            <w:r w:rsidRPr="00BC31E0">
              <w:rPr>
                <w:rFonts w:asciiTheme="minorHAnsi" w:hAnsiTheme="minorHAnsi"/>
                <w:szCs w:val="20"/>
              </w:rPr>
              <w:t>(</w:t>
            </w:r>
            <w:r w:rsidRPr="00BC31E0">
              <w:rPr>
                <w:rFonts w:ascii="Cambria Math" w:hAnsi="Cambria Math"/>
                <w:szCs w:val="20"/>
              </w:rPr>
              <w:t>mm</w:t>
            </w:r>
            <w:r w:rsidRPr="00BC31E0">
              <w:rPr>
                <w:rFonts w:asciiTheme="minorHAnsi" w:hAnsiTheme="minorHAnsi"/>
                <w:szCs w:val="20"/>
              </w:rPr>
              <w:t>)</w:t>
            </w:r>
          </w:p>
        </w:tc>
        <w:tc>
          <w:tcPr>
            <w:tcW w:w="2551" w:type="dxa"/>
            <w:tcBorders>
              <w:bottom w:val="nil"/>
            </w:tcBorders>
            <w:vAlign w:val="center"/>
          </w:tcPr>
          <w:p w14:paraId="03026258" w14:textId="77777777" w:rsidR="00342321" w:rsidRPr="00BC31E0" w:rsidRDefault="00342321" w:rsidP="004736F2">
            <w:pPr>
              <w:autoSpaceDE w:val="0"/>
              <w:autoSpaceDN w:val="0"/>
              <w:snapToGrid w:val="0"/>
              <w:jc w:val="center"/>
              <w:rPr>
                <w:szCs w:val="20"/>
              </w:rPr>
            </w:pPr>
            <w:r w:rsidRPr="00BC31E0">
              <w:rPr>
                <w:rFonts w:hint="eastAsia"/>
                <w:szCs w:val="20"/>
              </w:rPr>
              <w:t>評価対象外の円形状指示</w:t>
            </w:r>
          </w:p>
          <w:p w14:paraId="0D838D42" w14:textId="77777777" w:rsidR="00342321" w:rsidRPr="00BC31E0" w:rsidRDefault="00342321" w:rsidP="004736F2">
            <w:pPr>
              <w:autoSpaceDE w:val="0"/>
              <w:autoSpaceDN w:val="0"/>
              <w:snapToGrid w:val="0"/>
              <w:jc w:val="center"/>
              <w:rPr>
                <w:szCs w:val="20"/>
              </w:rPr>
            </w:pPr>
            <w:r w:rsidRPr="00BC31E0">
              <w:rPr>
                <w:rFonts w:hint="eastAsia"/>
                <w:szCs w:val="20"/>
              </w:rPr>
              <w:t>模様の最大寸法</w:t>
            </w:r>
            <w:r w:rsidRPr="00BC31E0">
              <w:rPr>
                <w:rFonts w:hint="eastAsia"/>
                <w:szCs w:val="20"/>
              </w:rPr>
              <w:t xml:space="preserve"> </w:t>
            </w:r>
            <w:r w:rsidRPr="00BC31E0">
              <w:rPr>
                <w:rFonts w:asciiTheme="majorEastAsia" w:eastAsiaTheme="majorEastAsia" w:hAnsiTheme="majorEastAsia" w:hint="eastAsia"/>
                <w:b/>
                <w:szCs w:val="20"/>
                <w:vertAlign w:val="superscript"/>
              </w:rPr>
              <w:t>a)</w:t>
            </w:r>
          </w:p>
        </w:tc>
      </w:tr>
      <w:tr w:rsidR="00342321" w:rsidRPr="00BC31E0" w14:paraId="3CCD8F40" w14:textId="77777777" w:rsidTr="004736F2">
        <w:trPr>
          <w:jc w:val="center"/>
        </w:trPr>
        <w:tc>
          <w:tcPr>
            <w:tcW w:w="1843" w:type="dxa"/>
            <w:tcBorders>
              <w:top w:val="nil"/>
            </w:tcBorders>
            <w:vAlign w:val="center"/>
          </w:tcPr>
          <w:p w14:paraId="3BC69351" w14:textId="77777777" w:rsidR="00342321" w:rsidRPr="00BC31E0" w:rsidRDefault="00342321" w:rsidP="004736F2">
            <w:pPr>
              <w:autoSpaceDE w:val="0"/>
              <w:autoSpaceDN w:val="0"/>
              <w:jc w:val="center"/>
              <w:rPr>
                <w:rFonts w:ascii="Cambria Math" w:hAnsi="Cambria Math"/>
                <w:szCs w:val="20"/>
              </w:rPr>
            </w:pPr>
            <w:r w:rsidRPr="00BC31E0">
              <w:rPr>
                <w:rFonts w:asciiTheme="minorHAnsi" w:hAnsiTheme="minorHAnsi"/>
                <w:szCs w:val="20"/>
              </w:rPr>
              <w:t>(</w:t>
            </w:r>
            <w:r w:rsidRPr="00BC31E0">
              <w:rPr>
                <w:rFonts w:ascii="Cambria Math" w:hAnsi="Cambria Math"/>
                <w:szCs w:val="20"/>
              </w:rPr>
              <w:t>mm</w:t>
            </w:r>
            <w:r w:rsidRPr="00BC31E0">
              <w:rPr>
                <w:rFonts w:asciiTheme="minorHAnsi" w:hAnsiTheme="minorHAnsi"/>
                <w:szCs w:val="20"/>
              </w:rPr>
              <w:t>)</w:t>
            </w:r>
          </w:p>
        </w:tc>
        <w:tc>
          <w:tcPr>
            <w:tcW w:w="1737" w:type="dxa"/>
            <w:vAlign w:val="center"/>
          </w:tcPr>
          <w:p w14:paraId="4C0E51E8" w14:textId="77777777" w:rsidR="00342321" w:rsidRPr="00BC31E0" w:rsidRDefault="00342321" w:rsidP="004736F2">
            <w:pPr>
              <w:autoSpaceDE w:val="0"/>
              <w:autoSpaceDN w:val="0"/>
              <w:jc w:val="center"/>
              <w:rPr>
                <w:rFonts w:ascii="ＭＳ 明朝" w:hAnsi="ＭＳ 明朝"/>
                <w:szCs w:val="20"/>
              </w:rPr>
            </w:pPr>
            <w:r w:rsidRPr="00BC31E0">
              <w:rPr>
                <w:rFonts w:ascii="ＭＳ 明朝" w:hAnsi="ＭＳ 明朝"/>
                <w:szCs w:val="20"/>
              </w:rPr>
              <w:t>散在指示模様</w:t>
            </w:r>
          </w:p>
        </w:tc>
        <w:tc>
          <w:tcPr>
            <w:tcW w:w="1738" w:type="dxa"/>
            <w:vAlign w:val="center"/>
          </w:tcPr>
          <w:p w14:paraId="5C69160F" w14:textId="77777777" w:rsidR="00342321" w:rsidRPr="00BC31E0" w:rsidRDefault="00342321" w:rsidP="004736F2">
            <w:pPr>
              <w:autoSpaceDE w:val="0"/>
              <w:autoSpaceDN w:val="0"/>
              <w:jc w:val="center"/>
              <w:rPr>
                <w:rFonts w:ascii="ＭＳ 明朝" w:hAnsi="ＭＳ 明朝"/>
                <w:szCs w:val="20"/>
              </w:rPr>
            </w:pPr>
            <w:r w:rsidRPr="00BC31E0">
              <w:rPr>
                <w:rFonts w:ascii="ＭＳ 明朝" w:hAnsi="ＭＳ 明朝"/>
                <w:szCs w:val="20"/>
              </w:rPr>
              <w:t>独立指示模様</w:t>
            </w:r>
          </w:p>
        </w:tc>
        <w:tc>
          <w:tcPr>
            <w:tcW w:w="2551" w:type="dxa"/>
            <w:tcBorders>
              <w:top w:val="nil"/>
            </w:tcBorders>
            <w:vAlign w:val="center"/>
          </w:tcPr>
          <w:p w14:paraId="4680230D" w14:textId="77777777" w:rsidR="00342321" w:rsidRPr="00BC31E0" w:rsidRDefault="00342321" w:rsidP="004736F2">
            <w:pPr>
              <w:autoSpaceDE w:val="0"/>
              <w:autoSpaceDN w:val="0"/>
              <w:jc w:val="center"/>
              <w:rPr>
                <w:rFonts w:ascii="Cambria Math" w:hAnsi="Cambria Math"/>
                <w:szCs w:val="20"/>
              </w:rPr>
            </w:pPr>
            <w:r w:rsidRPr="00BC31E0">
              <w:rPr>
                <w:rFonts w:asciiTheme="minorHAnsi" w:hAnsiTheme="minorHAnsi"/>
                <w:szCs w:val="20"/>
              </w:rPr>
              <w:t>(</w:t>
            </w:r>
            <w:r w:rsidRPr="00BC31E0">
              <w:rPr>
                <w:rFonts w:ascii="Cambria Math" w:hAnsi="Cambria Math"/>
                <w:szCs w:val="20"/>
              </w:rPr>
              <w:t>mm</w:t>
            </w:r>
            <w:r w:rsidRPr="00BC31E0">
              <w:rPr>
                <w:rFonts w:asciiTheme="minorHAnsi" w:hAnsiTheme="minorHAnsi"/>
                <w:szCs w:val="20"/>
              </w:rPr>
              <w:t>)</w:t>
            </w:r>
          </w:p>
        </w:tc>
      </w:tr>
      <w:tr w:rsidR="00342321" w:rsidRPr="00BC31E0" w14:paraId="2E6D46B9" w14:textId="77777777" w:rsidTr="004736F2">
        <w:trPr>
          <w:jc w:val="center"/>
        </w:trPr>
        <w:tc>
          <w:tcPr>
            <w:tcW w:w="1843" w:type="dxa"/>
            <w:vAlign w:val="center"/>
          </w:tcPr>
          <w:p w14:paraId="34FD68CF" w14:textId="77777777" w:rsidR="00342321" w:rsidRPr="00BC31E0" w:rsidRDefault="00342321" w:rsidP="004736F2">
            <w:pPr>
              <w:autoSpaceDE w:val="0"/>
              <w:autoSpaceDN w:val="0"/>
              <w:jc w:val="center"/>
              <w:rPr>
                <w:rFonts w:ascii="Cambria Math" w:hAnsi="Cambria Math"/>
                <w:szCs w:val="20"/>
              </w:rPr>
            </w:pPr>
            <w:r w:rsidRPr="00BC31E0">
              <w:rPr>
                <w:rFonts w:ascii="Cambria Math" w:hAnsi="Cambria Math"/>
                <w:sz w:val="22"/>
                <w:szCs w:val="22"/>
              </w:rPr>
              <w:t>3</w:t>
            </w:r>
            <w:r w:rsidRPr="00BC31E0">
              <w:rPr>
                <w:rFonts w:ascii="Cambria Math" w:hAnsi="Cambria Math"/>
                <w:szCs w:val="20"/>
              </w:rPr>
              <w:t>未満</w:t>
            </w:r>
          </w:p>
        </w:tc>
        <w:tc>
          <w:tcPr>
            <w:tcW w:w="1737" w:type="dxa"/>
            <w:vAlign w:val="center"/>
          </w:tcPr>
          <w:p w14:paraId="78AAAFE0" w14:textId="77777777" w:rsidR="00342321" w:rsidRPr="00BC31E0" w:rsidRDefault="00A51873" w:rsidP="004736F2">
            <w:pPr>
              <w:autoSpaceDE w:val="0"/>
              <w:autoSpaceDN w:val="0"/>
              <w:jc w:val="center"/>
              <w:rPr>
                <w:rFonts w:ascii="Cambria Math" w:hAnsi="Cambria Math"/>
                <w:sz w:val="22"/>
                <w:szCs w:val="22"/>
              </w:rPr>
            </w:pPr>
            <m:oMathPara>
              <m:oMath>
                <m:f>
                  <m:fPr>
                    <m:type m:val="lin"/>
                    <m:ctrlPr>
                      <w:rPr>
                        <w:rFonts w:ascii="Cambria Math" w:hAnsi="Cambria Math"/>
                        <w:i/>
                        <w:sz w:val="22"/>
                        <w:szCs w:val="22"/>
                      </w:rPr>
                    </m:ctrlPr>
                  </m:fPr>
                  <m:num>
                    <m:r>
                      <w:rPr>
                        <w:rFonts w:ascii="Cambria Math" w:hAnsi="Cambria Math"/>
                        <w:sz w:val="22"/>
                        <w:szCs w:val="22"/>
                      </w:rPr>
                      <m:t>t</m:t>
                    </m:r>
                  </m:num>
                  <m:den>
                    <m:r>
                      <w:rPr>
                        <w:rFonts w:ascii="Cambria Math" w:hAnsi="Cambria Math"/>
                        <w:sz w:val="22"/>
                        <w:szCs w:val="22"/>
                      </w:rPr>
                      <m:t>4</m:t>
                    </m:r>
                  </m:den>
                </m:f>
              </m:oMath>
            </m:oMathPara>
          </w:p>
        </w:tc>
        <w:tc>
          <w:tcPr>
            <w:tcW w:w="1738" w:type="dxa"/>
            <w:vAlign w:val="center"/>
          </w:tcPr>
          <w:p w14:paraId="472A2D0B" w14:textId="77777777" w:rsidR="00342321" w:rsidRPr="00BC31E0" w:rsidRDefault="00A51873" w:rsidP="004736F2">
            <w:pPr>
              <w:autoSpaceDE w:val="0"/>
              <w:autoSpaceDN w:val="0"/>
              <w:jc w:val="center"/>
              <w:rPr>
                <w:rFonts w:ascii="Cambria Math" w:hAnsi="Cambria Math"/>
                <w:sz w:val="22"/>
                <w:szCs w:val="22"/>
              </w:rPr>
            </w:pPr>
            <m:oMathPara>
              <m:oMath>
                <m:f>
                  <m:fPr>
                    <m:type m:val="lin"/>
                    <m:ctrlPr>
                      <w:rPr>
                        <w:rFonts w:ascii="Cambria Math" w:hAnsi="Cambria Math"/>
                        <w:i/>
                        <w:sz w:val="22"/>
                        <w:szCs w:val="22"/>
                      </w:rPr>
                    </m:ctrlPr>
                  </m:fPr>
                  <m:num>
                    <m:r>
                      <w:rPr>
                        <w:rFonts w:ascii="Cambria Math" w:hAnsi="Cambria Math"/>
                        <w:sz w:val="22"/>
                        <w:szCs w:val="22"/>
                      </w:rPr>
                      <m:t>t</m:t>
                    </m:r>
                  </m:num>
                  <m:den>
                    <m:r>
                      <w:rPr>
                        <w:rFonts w:ascii="Cambria Math" w:hAnsi="Cambria Math"/>
                        <w:sz w:val="22"/>
                        <w:szCs w:val="22"/>
                      </w:rPr>
                      <m:t>3</m:t>
                    </m:r>
                  </m:den>
                </m:f>
              </m:oMath>
            </m:oMathPara>
          </w:p>
        </w:tc>
        <w:tc>
          <w:tcPr>
            <w:tcW w:w="2551" w:type="dxa"/>
            <w:vAlign w:val="center"/>
          </w:tcPr>
          <w:p w14:paraId="380EE4D3" w14:textId="77777777" w:rsidR="00342321" w:rsidRPr="00BC31E0" w:rsidRDefault="00A51873" w:rsidP="004736F2">
            <w:pPr>
              <w:autoSpaceDE w:val="0"/>
              <w:autoSpaceDN w:val="0"/>
              <w:jc w:val="center"/>
              <w:rPr>
                <w:rFonts w:ascii="Cambria Math" w:hAnsi="Cambria Math"/>
                <w:sz w:val="22"/>
                <w:szCs w:val="22"/>
              </w:rPr>
            </w:pPr>
            <m:oMathPara>
              <m:oMath>
                <m:f>
                  <m:fPr>
                    <m:type m:val="lin"/>
                    <m:ctrlPr>
                      <w:rPr>
                        <w:rFonts w:ascii="Cambria Math" w:hAnsi="Cambria Math"/>
                        <w:i/>
                        <w:sz w:val="22"/>
                        <w:szCs w:val="22"/>
                      </w:rPr>
                    </m:ctrlPr>
                  </m:fPr>
                  <m:num>
                    <m:r>
                      <w:rPr>
                        <w:rFonts w:ascii="Cambria Math" w:hAnsi="Cambria Math"/>
                        <w:sz w:val="22"/>
                        <w:szCs w:val="22"/>
                      </w:rPr>
                      <m:t>t</m:t>
                    </m:r>
                  </m:num>
                  <m:den>
                    <m:r>
                      <w:rPr>
                        <w:rFonts w:ascii="Cambria Math" w:hAnsi="Cambria Math"/>
                        <w:sz w:val="22"/>
                        <w:szCs w:val="22"/>
                      </w:rPr>
                      <m:t>10</m:t>
                    </m:r>
                  </m:den>
                </m:f>
              </m:oMath>
            </m:oMathPara>
          </w:p>
        </w:tc>
      </w:tr>
      <w:tr w:rsidR="00342321" w:rsidRPr="00BC31E0" w14:paraId="519A2DDB" w14:textId="77777777" w:rsidTr="004736F2">
        <w:trPr>
          <w:jc w:val="center"/>
        </w:trPr>
        <w:tc>
          <w:tcPr>
            <w:tcW w:w="1843" w:type="dxa"/>
            <w:vAlign w:val="center"/>
          </w:tcPr>
          <w:p w14:paraId="313EF968" w14:textId="77777777" w:rsidR="00342321" w:rsidRPr="00BC31E0" w:rsidRDefault="00342321" w:rsidP="004736F2">
            <w:pPr>
              <w:autoSpaceDE w:val="0"/>
              <w:autoSpaceDN w:val="0"/>
              <w:jc w:val="center"/>
              <w:rPr>
                <w:rFonts w:ascii="Cambria Math" w:hAnsi="Cambria Math"/>
                <w:sz w:val="22"/>
                <w:szCs w:val="22"/>
              </w:rPr>
            </w:pPr>
            <w:r w:rsidRPr="00BC31E0">
              <w:rPr>
                <w:rFonts w:ascii="Cambria Math" w:hAnsi="Cambria Math"/>
                <w:sz w:val="22"/>
                <w:szCs w:val="22"/>
              </w:rPr>
              <w:t>3</w:t>
            </w:r>
          </w:p>
        </w:tc>
        <w:tc>
          <w:tcPr>
            <w:tcW w:w="1737" w:type="dxa"/>
            <w:vAlign w:val="center"/>
          </w:tcPr>
          <w:p w14:paraId="57F2C839" w14:textId="77777777" w:rsidR="00342321" w:rsidRPr="00BC31E0" w:rsidRDefault="00342321" w:rsidP="004736F2">
            <w:pPr>
              <w:autoSpaceDE w:val="0"/>
              <w:autoSpaceDN w:val="0"/>
              <w:jc w:val="center"/>
              <w:rPr>
                <w:rFonts w:ascii="Cambria Math" w:hAnsi="Cambria Math"/>
                <w:sz w:val="22"/>
                <w:szCs w:val="22"/>
              </w:rPr>
            </w:pPr>
            <w:r w:rsidRPr="00BC31E0">
              <w:rPr>
                <w:rFonts w:ascii="Cambria Math" w:hAnsi="Cambria Math"/>
                <w:sz w:val="22"/>
                <w:szCs w:val="22"/>
              </w:rPr>
              <w:t>0.8</w:t>
            </w:r>
          </w:p>
        </w:tc>
        <w:tc>
          <w:tcPr>
            <w:tcW w:w="1738" w:type="dxa"/>
            <w:vAlign w:val="center"/>
          </w:tcPr>
          <w:p w14:paraId="17F80A73" w14:textId="77777777" w:rsidR="00342321" w:rsidRPr="00BC31E0" w:rsidRDefault="00342321" w:rsidP="004736F2">
            <w:pPr>
              <w:autoSpaceDE w:val="0"/>
              <w:autoSpaceDN w:val="0"/>
              <w:jc w:val="center"/>
              <w:rPr>
                <w:rFonts w:ascii="Cambria Math" w:hAnsi="Cambria Math"/>
                <w:sz w:val="22"/>
                <w:szCs w:val="22"/>
              </w:rPr>
            </w:pPr>
            <w:r w:rsidRPr="00BC31E0">
              <w:rPr>
                <w:rFonts w:ascii="Cambria Math" w:hAnsi="Cambria Math"/>
                <w:sz w:val="22"/>
                <w:szCs w:val="22"/>
              </w:rPr>
              <w:t>1.1</w:t>
            </w:r>
          </w:p>
        </w:tc>
        <w:tc>
          <w:tcPr>
            <w:tcW w:w="2551" w:type="dxa"/>
            <w:vMerge w:val="restart"/>
            <w:vAlign w:val="center"/>
          </w:tcPr>
          <w:p w14:paraId="21B5AC28" w14:textId="77777777" w:rsidR="00342321" w:rsidRPr="00BC31E0" w:rsidRDefault="00342321" w:rsidP="004736F2">
            <w:pPr>
              <w:autoSpaceDE w:val="0"/>
              <w:autoSpaceDN w:val="0"/>
              <w:jc w:val="center"/>
              <w:rPr>
                <w:rFonts w:ascii="Cambria Math" w:hAnsi="Cambria Math"/>
                <w:sz w:val="22"/>
                <w:szCs w:val="22"/>
              </w:rPr>
            </w:pPr>
            <w:r w:rsidRPr="00BC31E0">
              <w:rPr>
                <w:rFonts w:ascii="Cambria Math" w:hAnsi="Cambria Math"/>
                <w:sz w:val="22"/>
                <w:szCs w:val="22"/>
              </w:rPr>
              <w:t>0.4</w:t>
            </w:r>
          </w:p>
        </w:tc>
      </w:tr>
      <w:tr w:rsidR="00342321" w:rsidRPr="00BC31E0" w14:paraId="59717F0B" w14:textId="77777777" w:rsidTr="004736F2">
        <w:trPr>
          <w:jc w:val="center"/>
        </w:trPr>
        <w:tc>
          <w:tcPr>
            <w:tcW w:w="1843" w:type="dxa"/>
            <w:vAlign w:val="center"/>
          </w:tcPr>
          <w:p w14:paraId="22DE14A9" w14:textId="77777777" w:rsidR="00342321" w:rsidRPr="00BC31E0" w:rsidRDefault="00342321" w:rsidP="004736F2">
            <w:pPr>
              <w:autoSpaceDE w:val="0"/>
              <w:autoSpaceDN w:val="0"/>
              <w:jc w:val="center"/>
              <w:rPr>
                <w:rFonts w:ascii="Cambria Math" w:hAnsi="Cambria Math"/>
                <w:sz w:val="22"/>
                <w:szCs w:val="22"/>
              </w:rPr>
            </w:pPr>
            <w:r w:rsidRPr="00BC31E0">
              <w:rPr>
                <w:rFonts w:ascii="Cambria Math" w:hAnsi="Cambria Math"/>
                <w:sz w:val="22"/>
                <w:szCs w:val="22"/>
              </w:rPr>
              <w:t>5</w:t>
            </w:r>
          </w:p>
        </w:tc>
        <w:tc>
          <w:tcPr>
            <w:tcW w:w="1737" w:type="dxa"/>
            <w:vAlign w:val="center"/>
          </w:tcPr>
          <w:p w14:paraId="3CCB52AA" w14:textId="77777777" w:rsidR="00342321" w:rsidRPr="00BC31E0" w:rsidRDefault="00342321" w:rsidP="004736F2">
            <w:pPr>
              <w:autoSpaceDE w:val="0"/>
              <w:autoSpaceDN w:val="0"/>
              <w:jc w:val="center"/>
              <w:rPr>
                <w:rFonts w:ascii="Cambria Math" w:hAnsi="Cambria Math"/>
                <w:sz w:val="22"/>
                <w:szCs w:val="22"/>
              </w:rPr>
            </w:pPr>
            <w:r w:rsidRPr="00BC31E0">
              <w:rPr>
                <w:rFonts w:ascii="Cambria Math" w:hAnsi="Cambria Math"/>
                <w:sz w:val="22"/>
                <w:szCs w:val="22"/>
              </w:rPr>
              <w:t>1.2</w:t>
            </w:r>
          </w:p>
        </w:tc>
        <w:tc>
          <w:tcPr>
            <w:tcW w:w="1738" w:type="dxa"/>
            <w:vAlign w:val="center"/>
          </w:tcPr>
          <w:p w14:paraId="5F2F113B" w14:textId="77777777" w:rsidR="00342321" w:rsidRPr="00BC31E0" w:rsidRDefault="00342321" w:rsidP="004736F2">
            <w:pPr>
              <w:autoSpaceDE w:val="0"/>
              <w:autoSpaceDN w:val="0"/>
              <w:jc w:val="center"/>
              <w:rPr>
                <w:rFonts w:ascii="Cambria Math" w:hAnsi="Cambria Math"/>
                <w:sz w:val="22"/>
                <w:szCs w:val="22"/>
              </w:rPr>
            </w:pPr>
            <w:r w:rsidRPr="00BC31E0">
              <w:rPr>
                <w:rFonts w:ascii="Cambria Math" w:hAnsi="Cambria Math"/>
                <w:sz w:val="22"/>
                <w:szCs w:val="22"/>
              </w:rPr>
              <w:t>1.6</w:t>
            </w:r>
          </w:p>
        </w:tc>
        <w:tc>
          <w:tcPr>
            <w:tcW w:w="2551" w:type="dxa"/>
            <w:vMerge/>
            <w:vAlign w:val="center"/>
          </w:tcPr>
          <w:p w14:paraId="2BB4FD98" w14:textId="77777777" w:rsidR="00342321" w:rsidRPr="00BC31E0" w:rsidRDefault="00342321" w:rsidP="004736F2">
            <w:pPr>
              <w:autoSpaceDE w:val="0"/>
              <w:autoSpaceDN w:val="0"/>
              <w:jc w:val="center"/>
              <w:rPr>
                <w:rFonts w:ascii="Cambria Math" w:hAnsi="Cambria Math"/>
                <w:sz w:val="22"/>
                <w:szCs w:val="22"/>
              </w:rPr>
            </w:pPr>
          </w:p>
        </w:tc>
      </w:tr>
      <w:tr w:rsidR="00342321" w:rsidRPr="00BC31E0" w14:paraId="7BE2316C" w14:textId="77777777" w:rsidTr="004736F2">
        <w:trPr>
          <w:jc w:val="center"/>
        </w:trPr>
        <w:tc>
          <w:tcPr>
            <w:tcW w:w="1843" w:type="dxa"/>
            <w:vAlign w:val="center"/>
          </w:tcPr>
          <w:p w14:paraId="7223A621" w14:textId="77777777" w:rsidR="00342321" w:rsidRPr="00BC31E0" w:rsidRDefault="00342321" w:rsidP="004736F2">
            <w:pPr>
              <w:autoSpaceDE w:val="0"/>
              <w:autoSpaceDN w:val="0"/>
              <w:jc w:val="center"/>
              <w:rPr>
                <w:rFonts w:ascii="Cambria Math" w:hAnsi="Cambria Math"/>
                <w:sz w:val="22"/>
                <w:szCs w:val="22"/>
              </w:rPr>
            </w:pPr>
            <w:r w:rsidRPr="00BC31E0">
              <w:rPr>
                <w:rFonts w:ascii="Cambria Math" w:hAnsi="Cambria Math"/>
                <w:sz w:val="22"/>
                <w:szCs w:val="22"/>
              </w:rPr>
              <w:t>6</w:t>
            </w:r>
          </w:p>
        </w:tc>
        <w:tc>
          <w:tcPr>
            <w:tcW w:w="1737" w:type="dxa"/>
            <w:vAlign w:val="center"/>
          </w:tcPr>
          <w:p w14:paraId="5CA937B9" w14:textId="77777777" w:rsidR="00342321" w:rsidRPr="00BC31E0" w:rsidRDefault="00342321" w:rsidP="004736F2">
            <w:pPr>
              <w:autoSpaceDE w:val="0"/>
              <w:autoSpaceDN w:val="0"/>
              <w:jc w:val="center"/>
              <w:rPr>
                <w:rFonts w:ascii="Cambria Math" w:hAnsi="Cambria Math"/>
                <w:sz w:val="22"/>
                <w:szCs w:val="22"/>
              </w:rPr>
            </w:pPr>
            <w:r w:rsidRPr="00BC31E0">
              <w:rPr>
                <w:rFonts w:ascii="Cambria Math" w:hAnsi="Cambria Math"/>
                <w:sz w:val="22"/>
                <w:szCs w:val="22"/>
              </w:rPr>
              <w:t>1.6</w:t>
            </w:r>
          </w:p>
        </w:tc>
        <w:tc>
          <w:tcPr>
            <w:tcW w:w="1738" w:type="dxa"/>
            <w:vAlign w:val="center"/>
          </w:tcPr>
          <w:p w14:paraId="62CB983C" w14:textId="77777777" w:rsidR="00342321" w:rsidRPr="00BC31E0" w:rsidRDefault="00342321" w:rsidP="004736F2">
            <w:pPr>
              <w:autoSpaceDE w:val="0"/>
              <w:autoSpaceDN w:val="0"/>
              <w:jc w:val="center"/>
              <w:rPr>
                <w:rFonts w:ascii="Cambria Math" w:hAnsi="Cambria Math"/>
                <w:sz w:val="22"/>
                <w:szCs w:val="22"/>
              </w:rPr>
            </w:pPr>
            <w:r w:rsidRPr="00BC31E0">
              <w:rPr>
                <w:rFonts w:ascii="Cambria Math" w:hAnsi="Cambria Math"/>
                <w:sz w:val="22"/>
                <w:szCs w:val="22"/>
              </w:rPr>
              <w:t>2.1</w:t>
            </w:r>
          </w:p>
        </w:tc>
        <w:tc>
          <w:tcPr>
            <w:tcW w:w="2551" w:type="dxa"/>
            <w:vMerge/>
            <w:vAlign w:val="center"/>
          </w:tcPr>
          <w:p w14:paraId="379C2272" w14:textId="77777777" w:rsidR="00342321" w:rsidRPr="00BC31E0" w:rsidRDefault="00342321" w:rsidP="004736F2">
            <w:pPr>
              <w:autoSpaceDE w:val="0"/>
              <w:autoSpaceDN w:val="0"/>
              <w:jc w:val="center"/>
              <w:rPr>
                <w:rFonts w:ascii="Cambria Math" w:hAnsi="Cambria Math"/>
                <w:sz w:val="22"/>
                <w:szCs w:val="22"/>
              </w:rPr>
            </w:pPr>
          </w:p>
        </w:tc>
      </w:tr>
      <w:tr w:rsidR="00342321" w:rsidRPr="00BC31E0" w14:paraId="17CC65EF" w14:textId="77777777" w:rsidTr="004736F2">
        <w:trPr>
          <w:jc w:val="center"/>
        </w:trPr>
        <w:tc>
          <w:tcPr>
            <w:tcW w:w="1843" w:type="dxa"/>
            <w:vAlign w:val="center"/>
          </w:tcPr>
          <w:p w14:paraId="2F8EFD69" w14:textId="77777777" w:rsidR="00342321" w:rsidRPr="00BC31E0" w:rsidRDefault="00342321" w:rsidP="004736F2">
            <w:pPr>
              <w:autoSpaceDE w:val="0"/>
              <w:autoSpaceDN w:val="0"/>
              <w:jc w:val="center"/>
              <w:rPr>
                <w:rFonts w:ascii="Cambria Math" w:hAnsi="Cambria Math"/>
                <w:sz w:val="22"/>
                <w:szCs w:val="22"/>
              </w:rPr>
            </w:pPr>
            <w:r w:rsidRPr="00BC31E0">
              <w:rPr>
                <w:rFonts w:ascii="Cambria Math" w:hAnsi="Cambria Math"/>
                <w:sz w:val="22"/>
                <w:szCs w:val="22"/>
              </w:rPr>
              <w:t>8</w:t>
            </w:r>
          </w:p>
        </w:tc>
        <w:tc>
          <w:tcPr>
            <w:tcW w:w="1737" w:type="dxa"/>
            <w:vAlign w:val="center"/>
          </w:tcPr>
          <w:p w14:paraId="1B9C84AE" w14:textId="77777777" w:rsidR="00342321" w:rsidRPr="00BC31E0" w:rsidRDefault="00342321" w:rsidP="004736F2">
            <w:pPr>
              <w:autoSpaceDE w:val="0"/>
              <w:autoSpaceDN w:val="0"/>
              <w:jc w:val="center"/>
              <w:rPr>
                <w:rFonts w:ascii="Cambria Math" w:hAnsi="Cambria Math"/>
                <w:sz w:val="22"/>
                <w:szCs w:val="22"/>
              </w:rPr>
            </w:pPr>
            <w:r w:rsidRPr="00BC31E0">
              <w:rPr>
                <w:rFonts w:ascii="Cambria Math" w:hAnsi="Cambria Math"/>
                <w:sz w:val="22"/>
                <w:szCs w:val="22"/>
              </w:rPr>
              <w:t>2.0</w:t>
            </w:r>
          </w:p>
        </w:tc>
        <w:tc>
          <w:tcPr>
            <w:tcW w:w="1738" w:type="dxa"/>
            <w:vAlign w:val="center"/>
          </w:tcPr>
          <w:p w14:paraId="5E9AD163" w14:textId="77777777" w:rsidR="00342321" w:rsidRPr="00BC31E0" w:rsidRDefault="00342321" w:rsidP="004736F2">
            <w:pPr>
              <w:autoSpaceDE w:val="0"/>
              <w:autoSpaceDN w:val="0"/>
              <w:jc w:val="center"/>
              <w:rPr>
                <w:rFonts w:ascii="Cambria Math" w:hAnsi="Cambria Math"/>
                <w:sz w:val="22"/>
                <w:szCs w:val="22"/>
              </w:rPr>
            </w:pPr>
            <w:r w:rsidRPr="00BC31E0">
              <w:rPr>
                <w:rFonts w:ascii="Cambria Math" w:hAnsi="Cambria Math"/>
                <w:sz w:val="22"/>
                <w:szCs w:val="22"/>
              </w:rPr>
              <w:t>2.6</w:t>
            </w:r>
          </w:p>
        </w:tc>
        <w:tc>
          <w:tcPr>
            <w:tcW w:w="2551" w:type="dxa"/>
            <w:vMerge w:val="restart"/>
            <w:vAlign w:val="center"/>
          </w:tcPr>
          <w:p w14:paraId="745FBC6C" w14:textId="77777777" w:rsidR="00342321" w:rsidRPr="00BC31E0" w:rsidRDefault="00342321" w:rsidP="004736F2">
            <w:pPr>
              <w:autoSpaceDE w:val="0"/>
              <w:autoSpaceDN w:val="0"/>
              <w:jc w:val="center"/>
              <w:rPr>
                <w:rFonts w:ascii="Cambria Math" w:hAnsi="Cambria Math"/>
                <w:sz w:val="22"/>
                <w:szCs w:val="22"/>
              </w:rPr>
            </w:pPr>
            <w:r w:rsidRPr="00BC31E0">
              <w:rPr>
                <w:rFonts w:ascii="Cambria Math" w:hAnsi="Cambria Math"/>
                <w:sz w:val="22"/>
                <w:szCs w:val="22"/>
              </w:rPr>
              <w:t>0.8</w:t>
            </w:r>
          </w:p>
        </w:tc>
      </w:tr>
      <w:tr w:rsidR="00342321" w:rsidRPr="00BC31E0" w14:paraId="3BCB798B" w14:textId="77777777" w:rsidTr="004736F2">
        <w:trPr>
          <w:jc w:val="center"/>
        </w:trPr>
        <w:tc>
          <w:tcPr>
            <w:tcW w:w="1843" w:type="dxa"/>
            <w:vAlign w:val="center"/>
          </w:tcPr>
          <w:p w14:paraId="176F4E7B" w14:textId="77777777" w:rsidR="00342321" w:rsidRPr="00BC31E0" w:rsidRDefault="00342321" w:rsidP="004736F2">
            <w:pPr>
              <w:autoSpaceDE w:val="0"/>
              <w:autoSpaceDN w:val="0"/>
              <w:jc w:val="center"/>
              <w:rPr>
                <w:rFonts w:ascii="Cambria Math" w:hAnsi="Cambria Math"/>
                <w:sz w:val="22"/>
                <w:szCs w:val="22"/>
              </w:rPr>
            </w:pPr>
            <w:r w:rsidRPr="00BC31E0">
              <w:rPr>
                <w:rFonts w:ascii="Cambria Math" w:hAnsi="Cambria Math"/>
                <w:sz w:val="22"/>
                <w:szCs w:val="22"/>
              </w:rPr>
              <w:t>9.5</w:t>
            </w:r>
          </w:p>
        </w:tc>
        <w:tc>
          <w:tcPr>
            <w:tcW w:w="1737" w:type="dxa"/>
            <w:vAlign w:val="center"/>
          </w:tcPr>
          <w:p w14:paraId="24227131" w14:textId="77777777" w:rsidR="00342321" w:rsidRPr="00BC31E0" w:rsidRDefault="00342321" w:rsidP="004736F2">
            <w:pPr>
              <w:autoSpaceDE w:val="0"/>
              <w:autoSpaceDN w:val="0"/>
              <w:jc w:val="center"/>
              <w:rPr>
                <w:rFonts w:ascii="Cambria Math" w:hAnsi="Cambria Math"/>
                <w:sz w:val="22"/>
                <w:szCs w:val="22"/>
              </w:rPr>
            </w:pPr>
            <w:r w:rsidRPr="00BC31E0">
              <w:rPr>
                <w:rFonts w:ascii="Cambria Math" w:hAnsi="Cambria Math"/>
                <w:sz w:val="22"/>
                <w:szCs w:val="22"/>
              </w:rPr>
              <w:t>2.3</w:t>
            </w:r>
          </w:p>
        </w:tc>
        <w:tc>
          <w:tcPr>
            <w:tcW w:w="1738" w:type="dxa"/>
            <w:vAlign w:val="center"/>
          </w:tcPr>
          <w:p w14:paraId="585D3A98" w14:textId="77777777" w:rsidR="00342321" w:rsidRPr="00BC31E0" w:rsidRDefault="00342321" w:rsidP="004736F2">
            <w:pPr>
              <w:autoSpaceDE w:val="0"/>
              <w:autoSpaceDN w:val="0"/>
              <w:jc w:val="center"/>
              <w:rPr>
                <w:rFonts w:ascii="Cambria Math" w:hAnsi="Cambria Math"/>
                <w:sz w:val="22"/>
                <w:szCs w:val="22"/>
              </w:rPr>
            </w:pPr>
            <w:r w:rsidRPr="00BC31E0">
              <w:rPr>
                <w:rFonts w:ascii="Cambria Math" w:hAnsi="Cambria Math"/>
                <w:sz w:val="22"/>
                <w:szCs w:val="22"/>
              </w:rPr>
              <w:t>3.2</w:t>
            </w:r>
          </w:p>
        </w:tc>
        <w:tc>
          <w:tcPr>
            <w:tcW w:w="2551" w:type="dxa"/>
            <w:vMerge/>
            <w:vAlign w:val="center"/>
          </w:tcPr>
          <w:p w14:paraId="0B9DB23D" w14:textId="77777777" w:rsidR="00342321" w:rsidRPr="00BC31E0" w:rsidRDefault="00342321" w:rsidP="004736F2">
            <w:pPr>
              <w:autoSpaceDE w:val="0"/>
              <w:autoSpaceDN w:val="0"/>
              <w:jc w:val="center"/>
              <w:rPr>
                <w:rFonts w:ascii="Cambria Math" w:hAnsi="Cambria Math"/>
                <w:sz w:val="22"/>
                <w:szCs w:val="22"/>
              </w:rPr>
            </w:pPr>
          </w:p>
        </w:tc>
      </w:tr>
      <w:tr w:rsidR="00342321" w:rsidRPr="00BC31E0" w14:paraId="209C7303" w14:textId="77777777" w:rsidTr="004736F2">
        <w:trPr>
          <w:jc w:val="center"/>
        </w:trPr>
        <w:tc>
          <w:tcPr>
            <w:tcW w:w="1843" w:type="dxa"/>
            <w:vAlign w:val="center"/>
          </w:tcPr>
          <w:p w14:paraId="0802A9DC" w14:textId="77777777" w:rsidR="00342321" w:rsidRPr="00BC31E0" w:rsidRDefault="00342321" w:rsidP="004736F2">
            <w:pPr>
              <w:autoSpaceDE w:val="0"/>
              <w:autoSpaceDN w:val="0"/>
              <w:jc w:val="center"/>
              <w:rPr>
                <w:rFonts w:ascii="Cambria Math" w:hAnsi="Cambria Math"/>
                <w:sz w:val="22"/>
                <w:szCs w:val="22"/>
              </w:rPr>
            </w:pPr>
            <w:r w:rsidRPr="00BC31E0">
              <w:rPr>
                <w:rFonts w:ascii="Cambria Math" w:hAnsi="Cambria Math"/>
                <w:sz w:val="22"/>
                <w:szCs w:val="22"/>
              </w:rPr>
              <w:t>11</w:t>
            </w:r>
          </w:p>
        </w:tc>
        <w:tc>
          <w:tcPr>
            <w:tcW w:w="1737" w:type="dxa"/>
            <w:vAlign w:val="center"/>
          </w:tcPr>
          <w:p w14:paraId="693B00A9" w14:textId="77777777" w:rsidR="00342321" w:rsidRPr="00BC31E0" w:rsidRDefault="00342321" w:rsidP="004736F2">
            <w:pPr>
              <w:autoSpaceDE w:val="0"/>
              <w:autoSpaceDN w:val="0"/>
              <w:jc w:val="center"/>
              <w:rPr>
                <w:rFonts w:ascii="Cambria Math" w:hAnsi="Cambria Math"/>
                <w:sz w:val="22"/>
                <w:szCs w:val="22"/>
              </w:rPr>
            </w:pPr>
            <w:r w:rsidRPr="00BC31E0">
              <w:rPr>
                <w:rFonts w:ascii="Cambria Math" w:hAnsi="Cambria Math"/>
                <w:sz w:val="22"/>
                <w:szCs w:val="22"/>
              </w:rPr>
              <w:t>2.8</w:t>
            </w:r>
          </w:p>
        </w:tc>
        <w:tc>
          <w:tcPr>
            <w:tcW w:w="1738" w:type="dxa"/>
            <w:vAlign w:val="center"/>
          </w:tcPr>
          <w:p w14:paraId="179545E3" w14:textId="77777777" w:rsidR="00342321" w:rsidRPr="00BC31E0" w:rsidRDefault="00342321" w:rsidP="004736F2">
            <w:pPr>
              <w:autoSpaceDE w:val="0"/>
              <w:autoSpaceDN w:val="0"/>
              <w:jc w:val="center"/>
              <w:rPr>
                <w:rFonts w:ascii="Cambria Math" w:hAnsi="Cambria Math"/>
                <w:sz w:val="22"/>
                <w:szCs w:val="22"/>
              </w:rPr>
            </w:pPr>
            <w:r w:rsidRPr="00BC31E0">
              <w:rPr>
                <w:rFonts w:ascii="Cambria Math" w:hAnsi="Cambria Math"/>
                <w:sz w:val="22"/>
                <w:szCs w:val="22"/>
              </w:rPr>
              <w:t>3.7</w:t>
            </w:r>
          </w:p>
        </w:tc>
        <w:tc>
          <w:tcPr>
            <w:tcW w:w="2551" w:type="dxa"/>
            <w:vMerge/>
            <w:vAlign w:val="center"/>
          </w:tcPr>
          <w:p w14:paraId="54A6DDEB" w14:textId="77777777" w:rsidR="00342321" w:rsidRPr="00BC31E0" w:rsidRDefault="00342321" w:rsidP="004736F2">
            <w:pPr>
              <w:autoSpaceDE w:val="0"/>
              <w:autoSpaceDN w:val="0"/>
              <w:jc w:val="center"/>
              <w:rPr>
                <w:rFonts w:ascii="Cambria Math" w:hAnsi="Cambria Math"/>
                <w:sz w:val="22"/>
                <w:szCs w:val="22"/>
              </w:rPr>
            </w:pPr>
          </w:p>
        </w:tc>
      </w:tr>
      <w:tr w:rsidR="00342321" w:rsidRPr="00BC31E0" w14:paraId="0347A308" w14:textId="77777777" w:rsidTr="004736F2">
        <w:trPr>
          <w:jc w:val="center"/>
        </w:trPr>
        <w:tc>
          <w:tcPr>
            <w:tcW w:w="1843" w:type="dxa"/>
            <w:vAlign w:val="center"/>
          </w:tcPr>
          <w:p w14:paraId="2CF5107C" w14:textId="77777777" w:rsidR="00342321" w:rsidRPr="00BC31E0" w:rsidRDefault="00342321" w:rsidP="004736F2">
            <w:pPr>
              <w:autoSpaceDE w:val="0"/>
              <w:autoSpaceDN w:val="0"/>
              <w:jc w:val="center"/>
              <w:rPr>
                <w:rFonts w:ascii="Cambria Math" w:hAnsi="Cambria Math"/>
                <w:sz w:val="22"/>
                <w:szCs w:val="22"/>
              </w:rPr>
            </w:pPr>
            <w:r w:rsidRPr="00BC31E0">
              <w:rPr>
                <w:rFonts w:ascii="Cambria Math" w:hAnsi="Cambria Math"/>
                <w:sz w:val="22"/>
                <w:szCs w:val="22"/>
              </w:rPr>
              <w:t>13</w:t>
            </w:r>
          </w:p>
        </w:tc>
        <w:tc>
          <w:tcPr>
            <w:tcW w:w="1737" w:type="dxa"/>
            <w:vAlign w:val="center"/>
          </w:tcPr>
          <w:p w14:paraId="50862915" w14:textId="77777777" w:rsidR="00342321" w:rsidRPr="00BC31E0" w:rsidRDefault="00342321" w:rsidP="004736F2">
            <w:pPr>
              <w:autoSpaceDE w:val="0"/>
              <w:autoSpaceDN w:val="0"/>
              <w:jc w:val="center"/>
              <w:rPr>
                <w:rFonts w:ascii="Cambria Math" w:hAnsi="Cambria Math"/>
                <w:sz w:val="22"/>
                <w:szCs w:val="22"/>
              </w:rPr>
            </w:pPr>
            <w:r w:rsidRPr="00BC31E0">
              <w:rPr>
                <w:rFonts w:ascii="Cambria Math" w:hAnsi="Cambria Math"/>
                <w:sz w:val="22"/>
                <w:szCs w:val="22"/>
              </w:rPr>
              <w:t>3.2</w:t>
            </w:r>
          </w:p>
        </w:tc>
        <w:tc>
          <w:tcPr>
            <w:tcW w:w="1738" w:type="dxa"/>
            <w:vAlign w:val="center"/>
          </w:tcPr>
          <w:p w14:paraId="45E2E1C5" w14:textId="77777777" w:rsidR="00342321" w:rsidRPr="00BC31E0" w:rsidRDefault="00342321" w:rsidP="004736F2">
            <w:pPr>
              <w:autoSpaceDE w:val="0"/>
              <w:autoSpaceDN w:val="0"/>
              <w:jc w:val="center"/>
              <w:rPr>
                <w:rFonts w:ascii="Cambria Math" w:hAnsi="Cambria Math"/>
                <w:sz w:val="22"/>
                <w:szCs w:val="22"/>
              </w:rPr>
            </w:pPr>
            <w:r w:rsidRPr="00BC31E0">
              <w:rPr>
                <w:rFonts w:ascii="Cambria Math" w:hAnsi="Cambria Math"/>
                <w:sz w:val="22"/>
                <w:szCs w:val="22"/>
              </w:rPr>
              <w:t>4.3</w:t>
            </w:r>
          </w:p>
        </w:tc>
        <w:tc>
          <w:tcPr>
            <w:tcW w:w="2551" w:type="dxa"/>
            <w:vMerge/>
            <w:vAlign w:val="center"/>
          </w:tcPr>
          <w:p w14:paraId="2BFC25EC" w14:textId="77777777" w:rsidR="00342321" w:rsidRPr="00BC31E0" w:rsidRDefault="00342321" w:rsidP="004736F2">
            <w:pPr>
              <w:autoSpaceDE w:val="0"/>
              <w:autoSpaceDN w:val="0"/>
              <w:jc w:val="center"/>
              <w:rPr>
                <w:rFonts w:ascii="Cambria Math" w:hAnsi="Cambria Math"/>
                <w:sz w:val="22"/>
                <w:szCs w:val="22"/>
              </w:rPr>
            </w:pPr>
          </w:p>
        </w:tc>
      </w:tr>
      <w:tr w:rsidR="00342321" w:rsidRPr="00BC31E0" w14:paraId="3E4A9E74" w14:textId="77777777" w:rsidTr="004736F2">
        <w:trPr>
          <w:jc w:val="center"/>
        </w:trPr>
        <w:tc>
          <w:tcPr>
            <w:tcW w:w="1843" w:type="dxa"/>
            <w:vAlign w:val="center"/>
          </w:tcPr>
          <w:p w14:paraId="6E462AA4" w14:textId="77777777" w:rsidR="00342321" w:rsidRPr="00BC31E0" w:rsidRDefault="00342321" w:rsidP="004736F2">
            <w:pPr>
              <w:autoSpaceDE w:val="0"/>
              <w:autoSpaceDN w:val="0"/>
              <w:jc w:val="center"/>
              <w:rPr>
                <w:rFonts w:ascii="Cambria Math" w:hAnsi="Cambria Math"/>
                <w:sz w:val="22"/>
                <w:szCs w:val="22"/>
              </w:rPr>
            </w:pPr>
            <w:r w:rsidRPr="00BC31E0">
              <w:rPr>
                <w:rFonts w:ascii="Cambria Math" w:hAnsi="Cambria Math"/>
                <w:sz w:val="22"/>
                <w:szCs w:val="22"/>
              </w:rPr>
              <w:t>14</w:t>
            </w:r>
          </w:p>
        </w:tc>
        <w:tc>
          <w:tcPr>
            <w:tcW w:w="1737" w:type="dxa"/>
            <w:vAlign w:val="center"/>
          </w:tcPr>
          <w:p w14:paraId="14DED363" w14:textId="77777777" w:rsidR="00342321" w:rsidRPr="00BC31E0" w:rsidRDefault="00342321" w:rsidP="004736F2">
            <w:pPr>
              <w:autoSpaceDE w:val="0"/>
              <w:autoSpaceDN w:val="0"/>
              <w:jc w:val="center"/>
              <w:rPr>
                <w:rFonts w:ascii="Cambria Math" w:hAnsi="Cambria Math"/>
                <w:sz w:val="22"/>
                <w:szCs w:val="22"/>
              </w:rPr>
            </w:pPr>
            <w:r w:rsidRPr="00BC31E0">
              <w:rPr>
                <w:rFonts w:ascii="Cambria Math" w:hAnsi="Cambria Math"/>
                <w:sz w:val="22"/>
                <w:szCs w:val="22"/>
              </w:rPr>
              <w:t>3.6</w:t>
            </w:r>
          </w:p>
        </w:tc>
        <w:tc>
          <w:tcPr>
            <w:tcW w:w="1738" w:type="dxa"/>
            <w:vAlign w:val="center"/>
          </w:tcPr>
          <w:p w14:paraId="43604678" w14:textId="77777777" w:rsidR="00342321" w:rsidRPr="00BC31E0" w:rsidRDefault="00342321" w:rsidP="004736F2">
            <w:pPr>
              <w:autoSpaceDE w:val="0"/>
              <w:autoSpaceDN w:val="0"/>
              <w:jc w:val="center"/>
              <w:rPr>
                <w:rFonts w:ascii="Cambria Math" w:hAnsi="Cambria Math"/>
                <w:sz w:val="22"/>
                <w:szCs w:val="22"/>
              </w:rPr>
            </w:pPr>
            <w:r w:rsidRPr="00BC31E0">
              <w:rPr>
                <w:rFonts w:ascii="Cambria Math" w:hAnsi="Cambria Math"/>
                <w:sz w:val="22"/>
                <w:szCs w:val="22"/>
              </w:rPr>
              <w:t>4.8</w:t>
            </w:r>
          </w:p>
        </w:tc>
        <w:tc>
          <w:tcPr>
            <w:tcW w:w="2551" w:type="dxa"/>
            <w:vMerge/>
            <w:vAlign w:val="center"/>
          </w:tcPr>
          <w:p w14:paraId="5F7C4AB3" w14:textId="77777777" w:rsidR="00342321" w:rsidRPr="00BC31E0" w:rsidRDefault="00342321" w:rsidP="004736F2">
            <w:pPr>
              <w:autoSpaceDE w:val="0"/>
              <w:autoSpaceDN w:val="0"/>
              <w:jc w:val="center"/>
              <w:rPr>
                <w:rFonts w:ascii="Cambria Math" w:hAnsi="Cambria Math"/>
                <w:sz w:val="22"/>
                <w:szCs w:val="22"/>
              </w:rPr>
            </w:pPr>
          </w:p>
        </w:tc>
      </w:tr>
      <w:tr w:rsidR="00342321" w:rsidRPr="00BC31E0" w14:paraId="15479D12" w14:textId="77777777" w:rsidTr="004736F2">
        <w:trPr>
          <w:jc w:val="center"/>
        </w:trPr>
        <w:tc>
          <w:tcPr>
            <w:tcW w:w="1843" w:type="dxa"/>
            <w:vAlign w:val="center"/>
          </w:tcPr>
          <w:p w14:paraId="4FAD916B" w14:textId="77777777" w:rsidR="00342321" w:rsidRPr="00BC31E0" w:rsidRDefault="00342321" w:rsidP="004736F2">
            <w:pPr>
              <w:autoSpaceDE w:val="0"/>
              <w:autoSpaceDN w:val="0"/>
              <w:jc w:val="center"/>
              <w:rPr>
                <w:rFonts w:ascii="Cambria Math" w:hAnsi="Cambria Math"/>
                <w:sz w:val="22"/>
                <w:szCs w:val="22"/>
              </w:rPr>
            </w:pPr>
            <w:r w:rsidRPr="00BC31E0">
              <w:rPr>
                <w:rFonts w:ascii="Cambria Math" w:hAnsi="Cambria Math"/>
                <w:sz w:val="22"/>
                <w:szCs w:val="22"/>
              </w:rPr>
              <w:t>16</w:t>
            </w:r>
          </w:p>
        </w:tc>
        <w:tc>
          <w:tcPr>
            <w:tcW w:w="1737" w:type="dxa"/>
            <w:vAlign w:val="center"/>
          </w:tcPr>
          <w:p w14:paraId="50B0A870" w14:textId="77777777" w:rsidR="00342321" w:rsidRPr="00BC31E0" w:rsidRDefault="00342321" w:rsidP="004736F2">
            <w:pPr>
              <w:autoSpaceDE w:val="0"/>
              <w:autoSpaceDN w:val="0"/>
              <w:jc w:val="center"/>
              <w:rPr>
                <w:rFonts w:ascii="Cambria Math" w:hAnsi="Cambria Math"/>
                <w:sz w:val="22"/>
                <w:szCs w:val="22"/>
              </w:rPr>
            </w:pPr>
            <w:r w:rsidRPr="00BC31E0">
              <w:rPr>
                <w:rFonts w:ascii="Cambria Math" w:hAnsi="Cambria Math"/>
                <w:sz w:val="22"/>
                <w:szCs w:val="22"/>
              </w:rPr>
              <w:t>4.0</w:t>
            </w:r>
          </w:p>
        </w:tc>
        <w:tc>
          <w:tcPr>
            <w:tcW w:w="1738" w:type="dxa"/>
            <w:vAlign w:val="center"/>
          </w:tcPr>
          <w:p w14:paraId="243AA01D" w14:textId="77777777" w:rsidR="00342321" w:rsidRPr="00BC31E0" w:rsidRDefault="00342321" w:rsidP="004736F2">
            <w:pPr>
              <w:autoSpaceDE w:val="0"/>
              <w:autoSpaceDN w:val="0"/>
              <w:jc w:val="center"/>
              <w:rPr>
                <w:rFonts w:ascii="Cambria Math" w:hAnsi="Cambria Math"/>
                <w:sz w:val="22"/>
                <w:szCs w:val="22"/>
              </w:rPr>
            </w:pPr>
            <w:r w:rsidRPr="00BC31E0">
              <w:rPr>
                <w:rFonts w:ascii="Cambria Math" w:hAnsi="Cambria Math"/>
                <w:sz w:val="22"/>
                <w:szCs w:val="22"/>
              </w:rPr>
              <w:t>5.3</w:t>
            </w:r>
          </w:p>
        </w:tc>
        <w:tc>
          <w:tcPr>
            <w:tcW w:w="2551" w:type="dxa"/>
            <w:vMerge/>
            <w:vAlign w:val="center"/>
          </w:tcPr>
          <w:p w14:paraId="781D40B0" w14:textId="77777777" w:rsidR="00342321" w:rsidRPr="00BC31E0" w:rsidRDefault="00342321" w:rsidP="004736F2">
            <w:pPr>
              <w:autoSpaceDE w:val="0"/>
              <w:autoSpaceDN w:val="0"/>
              <w:jc w:val="center"/>
              <w:rPr>
                <w:rFonts w:ascii="Cambria Math" w:hAnsi="Cambria Math"/>
                <w:sz w:val="22"/>
                <w:szCs w:val="22"/>
              </w:rPr>
            </w:pPr>
          </w:p>
        </w:tc>
      </w:tr>
      <w:tr w:rsidR="00342321" w:rsidRPr="00BC31E0" w14:paraId="782E518E" w14:textId="77777777" w:rsidTr="004736F2">
        <w:trPr>
          <w:jc w:val="center"/>
        </w:trPr>
        <w:tc>
          <w:tcPr>
            <w:tcW w:w="1843" w:type="dxa"/>
            <w:vAlign w:val="center"/>
          </w:tcPr>
          <w:p w14:paraId="77617C33" w14:textId="77777777" w:rsidR="00342321" w:rsidRPr="00BC31E0" w:rsidRDefault="00342321" w:rsidP="004736F2">
            <w:pPr>
              <w:autoSpaceDE w:val="0"/>
              <w:autoSpaceDN w:val="0"/>
              <w:jc w:val="center"/>
              <w:rPr>
                <w:rFonts w:ascii="Cambria Math" w:hAnsi="Cambria Math"/>
                <w:sz w:val="22"/>
                <w:szCs w:val="22"/>
              </w:rPr>
            </w:pPr>
            <w:r w:rsidRPr="00BC31E0">
              <w:rPr>
                <w:rFonts w:ascii="Cambria Math" w:hAnsi="Cambria Math"/>
                <w:sz w:val="22"/>
                <w:szCs w:val="22"/>
              </w:rPr>
              <w:t>17.5</w:t>
            </w:r>
          </w:p>
        </w:tc>
        <w:tc>
          <w:tcPr>
            <w:tcW w:w="1737" w:type="dxa"/>
            <w:vAlign w:val="center"/>
          </w:tcPr>
          <w:p w14:paraId="71E6A75C" w14:textId="77777777" w:rsidR="00342321" w:rsidRPr="00BC31E0" w:rsidRDefault="00342321" w:rsidP="004736F2">
            <w:pPr>
              <w:autoSpaceDE w:val="0"/>
              <w:autoSpaceDN w:val="0"/>
              <w:jc w:val="center"/>
              <w:rPr>
                <w:rFonts w:ascii="Cambria Math" w:hAnsi="Cambria Math"/>
                <w:sz w:val="22"/>
                <w:szCs w:val="22"/>
              </w:rPr>
            </w:pPr>
            <w:r w:rsidRPr="00BC31E0">
              <w:rPr>
                <w:rFonts w:ascii="Cambria Math" w:hAnsi="Cambria Math"/>
                <w:sz w:val="22"/>
                <w:szCs w:val="22"/>
              </w:rPr>
              <w:t>4.0</w:t>
            </w:r>
          </w:p>
        </w:tc>
        <w:tc>
          <w:tcPr>
            <w:tcW w:w="1738" w:type="dxa"/>
            <w:vAlign w:val="center"/>
          </w:tcPr>
          <w:p w14:paraId="38AF77EC" w14:textId="77777777" w:rsidR="00342321" w:rsidRPr="00BC31E0" w:rsidRDefault="00342321" w:rsidP="004736F2">
            <w:pPr>
              <w:autoSpaceDE w:val="0"/>
              <w:autoSpaceDN w:val="0"/>
              <w:jc w:val="center"/>
              <w:rPr>
                <w:rFonts w:ascii="Cambria Math" w:hAnsi="Cambria Math"/>
                <w:sz w:val="22"/>
                <w:szCs w:val="22"/>
              </w:rPr>
            </w:pPr>
            <w:r w:rsidRPr="00BC31E0">
              <w:rPr>
                <w:rFonts w:ascii="Cambria Math" w:hAnsi="Cambria Math"/>
                <w:sz w:val="22"/>
                <w:szCs w:val="22"/>
              </w:rPr>
              <w:t>5.8</w:t>
            </w:r>
          </w:p>
        </w:tc>
        <w:tc>
          <w:tcPr>
            <w:tcW w:w="2551" w:type="dxa"/>
            <w:vMerge/>
            <w:vAlign w:val="center"/>
          </w:tcPr>
          <w:p w14:paraId="3E986A2F" w14:textId="77777777" w:rsidR="00342321" w:rsidRPr="00BC31E0" w:rsidRDefault="00342321" w:rsidP="004736F2">
            <w:pPr>
              <w:autoSpaceDE w:val="0"/>
              <w:autoSpaceDN w:val="0"/>
              <w:jc w:val="center"/>
              <w:rPr>
                <w:rFonts w:ascii="Cambria Math" w:hAnsi="Cambria Math"/>
                <w:sz w:val="22"/>
                <w:szCs w:val="22"/>
              </w:rPr>
            </w:pPr>
          </w:p>
        </w:tc>
      </w:tr>
      <w:tr w:rsidR="00342321" w:rsidRPr="00BC31E0" w14:paraId="7A64E780" w14:textId="77777777" w:rsidTr="004736F2">
        <w:trPr>
          <w:jc w:val="center"/>
        </w:trPr>
        <w:tc>
          <w:tcPr>
            <w:tcW w:w="1843" w:type="dxa"/>
            <w:vAlign w:val="center"/>
          </w:tcPr>
          <w:p w14:paraId="23FBB58A" w14:textId="77777777" w:rsidR="00342321" w:rsidRPr="00BC31E0" w:rsidRDefault="00342321" w:rsidP="004736F2">
            <w:pPr>
              <w:autoSpaceDE w:val="0"/>
              <w:autoSpaceDN w:val="0"/>
              <w:jc w:val="center"/>
              <w:rPr>
                <w:rFonts w:ascii="Cambria Math" w:hAnsi="Cambria Math"/>
                <w:szCs w:val="20"/>
              </w:rPr>
            </w:pPr>
            <w:r w:rsidRPr="00BC31E0">
              <w:rPr>
                <w:rFonts w:ascii="Cambria Math" w:hAnsi="Cambria Math"/>
                <w:sz w:val="22"/>
                <w:szCs w:val="22"/>
              </w:rPr>
              <w:t>19</w:t>
            </w:r>
            <w:r w:rsidRPr="00BC31E0">
              <w:rPr>
                <w:rFonts w:ascii="Cambria Math" w:hAnsi="Cambria Math"/>
                <w:szCs w:val="20"/>
              </w:rPr>
              <w:t>から</w:t>
            </w:r>
            <w:r w:rsidRPr="00BC31E0">
              <w:rPr>
                <w:rFonts w:ascii="Cambria Math" w:hAnsi="Cambria Math"/>
                <w:sz w:val="22"/>
                <w:szCs w:val="22"/>
              </w:rPr>
              <w:t>50</w:t>
            </w:r>
            <w:r w:rsidRPr="00BC31E0">
              <w:rPr>
                <w:rFonts w:ascii="Cambria Math" w:hAnsi="Cambria Math"/>
                <w:szCs w:val="20"/>
              </w:rPr>
              <w:t>以下</w:t>
            </w:r>
          </w:p>
        </w:tc>
        <w:tc>
          <w:tcPr>
            <w:tcW w:w="1737" w:type="dxa"/>
            <w:vAlign w:val="center"/>
          </w:tcPr>
          <w:p w14:paraId="0A7039D7" w14:textId="77777777" w:rsidR="00342321" w:rsidRPr="00BC31E0" w:rsidRDefault="00342321" w:rsidP="004736F2">
            <w:pPr>
              <w:autoSpaceDE w:val="0"/>
              <w:autoSpaceDN w:val="0"/>
              <w:jc w:val="center"/>
              <w:rPr>
                <w:rFonts w:ascii="Cambria Math" w:hAnsi="Cambria Math"/>
                <w:sz w:val="22"/>
                <w:szCs w:val="22"/>
              </w:rPr>
            </w:pPr>
            <w:r w:rsidRPr="00BC31E0">
              <w:rPr>
                <w:rFonts w:ascii="Cambria Math" w:hAnsi="Cambria Math"/>
                <w:sz w:val="22"/>
                <w:szCs w:val="22"/>
              </w:rPr>
              <w:t>4.0</w:t>
            </w:r>
          </w:p>
        </w:tc>
        <w:tc>
          <w:tcPr>
            <w:tcW w:w="1738" w:type="dxa"/>
            <w:vAlign w:val="center"/>
          </w:tcPr>
          <w:p w14:paraId="0E67A442" w14:textId="77777777" w:rsidR="00342321" w:rsidRPr="00BC31E0" w:rsidRDefault="00342321" w:rsidP="004736F2">
            <w:pPr>
              <w:autoSpaceDE w:val="0"/>
              <w:autoSpaceDN w:val="0"/>
              <w:jc w:val="center"/>
              <w:rPr>
                <w:rFonts w:ascii="Cambria Math" w:hAnsi="Cambria Math"/>
                <w:sz w:val="22"/>
                <w:szCs w:val="22"/>
              </w:rPr>
            </w:pPr>
            <w:r w:rsidRPr="00BC31E0">
              <w:rPr>
                <w:rFonts w:ascii="Cambria Math" w:hAnsi="Cambria Math"/>
                <w:sz w:val="22"/>
                <w:szCs w:val="22"/>
              </w:rPr>
              <w:t>6.4</w:t>
            </w:r>
          </w:p>
        </w:tc>
        <w:tc>
          <w:tcPr>
            <w:tcW w:w="2551" w:type="dxa"/>
            <w:vMerge/>
            <w:vAlign w:val="center"/>
          </w:tcPr>
          <w:p w14:paraId="39151F77" w14:textId="77777777" w:rsidR="00342321" w:rsidRPr="00BC31E0" w:rsidRDefault="00342321" w:rsidP="004736F2">
            <w:pPr>
              <w:autoSpaceDE w:val="0"/>
              <w:autoSpaceDN w:val="0"/>
              <w:jc w:val="center"/>
              <w:rPr>
                <w:rFonts w:ascii="Cambria Math" w:hAnsi="Cambria Math"/>
                <w:sz w:val="22"/>
                <w:szCs w:val="22"/>
              </w:rPr>
            </w:pPr>
          </w:p>
        </w:tc>
      </w:tr>
      <w:tr w:rsidR="00342321" w:rsidRPr="00BC31E0" w14:paraId="0BCABE11" w14:textId="77777777" w:rsidTr="004736F2">
        <w:trPr>
          <w:jc w:val="center"/>
        </w:trPr>
        <w:tc>
          <w:tcPr>
            <w:tcW w:w="1843" w:type="dxa"/>
            <w:vAlign w:val="center"/>
          </w:tcPr>
          <w:p w14:paraId="0C122073" w14:textId="77777777" w:rsidR="00342321" w:rsidRPr="00BC31E0" w:rsidRDefault="00342321" w:rsidP="004736F2">
            <w:pPr>
              <w:autoSpaceDE w:val="0"/>
              <w:autoSpaceDN w:val="0"/>
              <w:jc w:val="center"/>
              <w:rPr>
                <w:rFonts w:ascii="Cambria Math" w:hAnsi="Cambria Math"/>
                <w:szCs w:val="20"/>
              </w:rPr>
            </w:pPr>
            <w:r w:rsidRPr="00BC31E0">
              <w:rPr>
                <w:rFonts w:ascii="Cambria Math" w:hAnsi="Cambria Math"/>
                <w:sz w:val="22"/>
                <w:szCs w:val="22"/>
              </w:rPr>
              <w:t>50</w:t>
            </w:r>
            <w:r w:rsidRPr="00BC31E0">
              <w:rPr>
                <w:rFonts w:ascii="Cambria Math" w:hAnsi="Cambria Math"/>
                <w:szCs w:val="20"/>
              </w:rPr>
              <w:t>を超える場合</w:t>
            </w:r>
          </w:p>
        </w:tc>
        <w:tc>
          <w:tcPr>
            <w:tcW w:w="1737" w:type="dxa"/>
            <w:vAlign w:val="center"/>
          </w:tcPr>
          <w:p w14:paraId="2E739480" w14:textId="77777777" w:rsidR="00342321" w:rsidRPr="00BC31E0" w:rsidRDefault="00342321" w:rsidP="004736F2">
            <w:pPr>
              <w:autoSpaceDE w:val="0"/>
              <w:autoSpaceDN w:val="0"/>
              <w:jc w:val="center"/>
              <w:rPr>
                <w:rFonts w:ascii="Cambria Math" w:hAnsi="Cambria Math"/>
                <w:sz w:val="22"/>
                <w:szCs w:val="22"/>
              </w:rPr>
            </w:pPr>
            <w:r w:rsidRPr="00BC31E0">
              <w:rPr>
                <w:rFonts w:ascii="Cambria Math" w:hAnsi="Cambria Math"/>
                <w:sz w:val="22"/>
                <w:szCs w:val="22"/>
              </w:rPr>
              <w:t>4.0</w:t>
            </w:r>
          </w:p>
        </w:tc>
        <w:tc>
          <w:tcPr>
            <w:tcW w:w="1738" w:type="dxa"/>
            <w:vAlign w:val="center"/>
          </w:tcPr>
          <w:p w14:paraId="2314B93C" w14:textId="77777777" w:rsidR="00342321" w:rsidRPr="00BC31E0" w:rsidRDefault="00342321" w:rsidP="004736F2">
            <w:pPr>
              <w:autoSpaceDE w:val="0"/>
              <w:autoSpaceDN w:val="0"/>
              <w:jc w:val="center"/>
              <w:rPr>
                <w:rFonts w:ascii="Cambria Math" w:hAnsi="Cambria Math"/>
                <w:sz w:val="22"/>
                <w:szCs w:val="22"/>
              </w:rPr>
            </w:pPr>
            <w:r w:rsidRPr="00BC31E0">
              <w:rPr>
                <w:rFonts w:ascii="Cambria Math" w:hAnsi="Cambria Math"/>
                <w:sz w:val="22"/>
                <w:szCs w:val="22"/>
              </w:rPr>
              <w:t>9.5</w:t>
            </w:r>
          </w:p>
        </w:tc>
        <w:tc>
          <w:tcPr>
            <w:tcW w:w="2551" w:type="dxa"/>
            <w:vAlign w:val="center"/>
          </w:tcPr>
          <w:p w14:paraId="6D12F841" w14:textId="77777777" w:rsidR="00342321" w:rsidRPr="00BC31E0" w:rsidRDefault="00342321" w:rsidP="004736F2">
            <w:pPr>
              <w:autoSpaceDE w:val="0"/>
              <w:autoSpaceDN w:val="0"/>
              <w:jc w:val="center"/>
              <w:rPr>
                <w:rFonts w:ascii="Cambria Math" w:hAnsi="Cambria Math"/>
                <w:sz w:val="22"/>
                <w:szCs w:val="22"/>
              </w:rPr>
            </w:pPr>
            <w:r w:rsidRPr="00BC31E0">
              <w:rPr>
                <w:rFonts w:ascii="Cambria Math" w:hAnsi="Cambria Math"/>
                <w:sz w:val="22"/>
                <w:szCs w:val="22"/>
              </w:rPr>
              <w:t>1.6</w:t>
            </w:r>
          </w:p>
        </w:tc>
      </w:tr>
    </w:tbl>
    <w:p w14:paraId="7BEA4DBE" w14:textId="77777777" w:rsidR="00342321" w:rsidRPr="00BC31E0" w:rsidRDefault="00342321" w:rsidP="00342321">
      <w:pPr>
        <w:autoSpaceDE w:val="0"/>
        <w:autoSpaceDN w:val="0"/>
        <w:spacing w:before="60"/>
        <w:ind w:leftChars="300" w:left="630"/>
        <w:jc w:val="left"/>
        <w:rPr>
          <w:szCs w:val="20"/>
        </w:rPr>
      </w:pPr>
      <w:r w:rsidRPr="00BC31E0">
        <w:rPr>
          <w:rFonts w:asciiTheme="majorEastAsia" w:eastAsiaTheme="majorEastAsia" w:hAnsiTheme="majorEastAsia" w:hint="eastAsia"/>
          <w:b/>
          <w:szCs w:val="20"/>
        </w:rPr>
        <w:t>注</w:t>
      </w:r>
      <w:r w:rsidRPr="00BC31E0">
        <w:rPr>
          <w:rFonts w:asciiTheme="majorEastAsia" w:eastAsiaTheme="majorEastAsia" w:hAnsiTheme="majorEastAsia" w:hint="eastAsia"/>
          <w:b/>
          <w:szCs w:val="20"/>
          <w:vertAlign w:val="superscript"/>
        </w:rPr>
        <w:t>a)</w:t>
      </w:r>
      <w:r w:rsidRPr="00BC31E0">
        <w:rPr>
          <w:rFonts w:asciiTheme="majorEastAsia" w:eastAsiaTheme="majorEastAsia" w:hAnsiTheme="majorEastAsia" w:hint="eastAsia"/>
          <w:b/>
          <w:szCs w:val="20"/>
        </w:rPr>
        <w:t xml:space="preserve">　附属書I 2 b)</w:t>
      </w:r>
      <w:r w:rsidRPr="00BC31E0">
        <w:rPr>
          <w:rFonts w:hint="eastAsia"/>
          <w:szCs w:val="20"/>
        </w:rPr>
        <w:t>を参照</w:t>
      </w:r>
    </w:p>
    <w:p w14:paraId="66B55B5F" w14:textId="77777777" w:rsidR="00342321" w:rsidRPr="00BC31E0" w:rsidRDefault="00342321" w:rsidP="00342321">
      <w:pPr>
        <w:autoSpaceDE w:val="0"/>
        <w:autoSpaceDN w:val="0"/>
        <w:jc w:val="left"/>
        <w:rPr>
          <w:rFonts w:asciiTheme="majorEastAsia" w:eastAsiaTheme="majorEastAsia" w:hAnsiTheme="majorEastAsia"/>
          <w:b/>
          <w:szCs w:val="20"/>
        </w:rPr>
      </w:pPr>
    </w:p>
    <w:p w14:paraId="567F3456" w14:textId="77777777" w:rsidR="00342321" w:rsidRPr="00BC31E0" w:rsidRDefault="00342321" w:rsidP="00342321">
      <w:pPr>
        <w:pStyle w:val="af4"/>
      </w:pPr>
      <w:r w:rsidRPr="00BC31E0">
        <w:rPr>
          <w:szCs w:val="20"/>
        </w:rPr>
        <w:br w:type="page"/>
      </w:r>
    </w:p>
    <w:p w14:paraId="6907A580" w14:textId="77777777" w:rsidR="00342321" w:rsidRPr="00BC31E0" w:rsidRDefault="00342321" w:rsidP="00342321">
      <w:pPr>
        <w:pStyle w:val="af4"/>
      </w:pPr>
      <w:r w:rsidRPr="00BC31E0">
        <w:rPr>
          <w:rFonts w:hint="eastAsia"/>
          <w:noProof/>
        </w:rPr>
        <w:lastRenderedPageBreak/>
        <w:drawing>
          <wp:inline distT="0" distB="0" distL="0" distR="0" wp14:anchorId="5A3291C0" wp14:editId="610E65EA">
            <wp:extent cx="5191125" cy="1379220"/>
            <wp:effectExtent l="19050" t="0" r="9525" b="0"/>
            <wp:docPr id="19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cstate="print"/>
                    <a:srcRect/>
                    <a:stretch>
                      <a:fillRect/>
                    </a:stretch>
                  </pic:blipFill>
                  <pic:spPr bwMode="auto">
                    <a:xfrm>
                      <a:off x="0" y="0"/>
                      <a:ext cx="5191125" cy="1379220"/>
                    </a:xfrm>
                    <a:prstGeom prst="rect">
                      <a:avLst/>
                    </a:prstGeom>
                    <a:noFill/>
                    <a:ln w="9525">
                      <a:noFill/>
                      <a:miter lim="800000"/>
                      <a:headEnd/>
                      <a:tailEnd/>
                    </a:ln>
                  </pic:spPr>
                </pic:pic>
              </a:graphicData>
            </a:graphic>
          </wp:inline>
        </w:drawing>
      </w:r>
    </w:p>
    <w:p w14:paraId="65650CAB" w14:textId="77777777" w:rsidR="00342321" w:rsidRPr="00BC31E0" w:rsidRDefault="00342321" w:rsidP="00342321">
      <w:pPr>
        <w:tabs>
          <w:tab w:val="left" w:pos="6379"/>
        </w:tabs>
      </w:pPr>
      <w:r w:rsidRPr="00BC31E0">
        <w:rPr>
          <w:rFonts w:hint="eastAsia"/>
        </w:rPr>
        <w:tab/>
      </w:r>
      <m:oMath>
        <m:r>
          <w:rPr>
            <w:rFonts w:ascii="Cambria Math" w:hAnsi="Cambria Math"/>
          </w:rPr>
          <m:t>S</m:t>
        </m:r>
        <m:r>
          <m:rPr>
            <m:sty m:val="p"/>
          </m:rPr>
          <w:rPr>
            <w:rFonts w:ascii="Cambria Math" w:hAnsi="Cambria Math"/>
          </w:rPr>
          <m:t>&lt;</m:t>
        </m:r>
        <m:r>
          <m:rPr>
            <m:sty m:val="p"/>
          </m:rPr>
          <w:rPr>
            <w:rFonts w:ascii="Cambria Math" w:hAnsi="Cambria Math" w:hint="eastAsia"/>
          </w:rPr>
          <m:t xml:space="preserve">0.4 </m:t>
        </m:r>
        <m:r>
          <w:rPr>
            <w:rFonts w:ascii="Cambria Math" w:hAnsi="Cambria Math" w:hint="eastAsia"/>
          </w:rPr>
          <m:t>d</m:t>
        </m:r>
      </m:oMath>
    </w:p>
    <w:p w14:paraId="70A3EEE9" w14:textId="77777777" w:rsidR="00342321" w:rsidRPr="00BC31E0" w:rsidRDefault="00342321" w:rsidP="00EA78A5">
      <w:pPr>
        <w:tabs>
          <w:tab w:val="left" w:pos="1276"/>
          <w:tab w:val="left" w:pos="5529"/>
        </w:tabs>
        <w:rPr>
          <w:rFonts w:hAnsiTheme="minorEastAsia"/>
          <w:b/>
        </w:rPr>
      </w:pPr>
      <w:r w:rsidRPr="00BC31E0">
        <w:rPr>
          <w:rFonts w:hint="eastAsia"/>
        </w:rPr>
        <w:tab/>
      </w:r>
      <w:r w:rsidRPr="00BC31E0">
        <w:t xml:space="preserve">(a) </w:t>
      </w:r>
      <w:r w:rsidRPr="00BC31E0">
        <w:rPr>
          <w:rFonts w:hAnsiTheme="minorEastAsia"/>
        </w:rPr>
        <w:t>表面指示模様</w:t>
      </w:r>
      <w:r w:rsidRPr="00BC31E0">
        <w:rPr>
          <w:rFonts w:hAnsiTheme="minorEastAsia" w:hint="eastAsia"/>
        </w:rPr>
        <w:tab/>
      </w:r>
      <w:r w:rsidRPr="00BC31E0">
        <w:t xml:space="preserve">(b) </w:t>
      </w:r>
      <w:r w:rsidRPr="00BC31E0">
        <w:rPr>
          <w:rFonts w:hAnsiTheme="minorEastAsia"/>
        </w:rPr>
        <w:t>表面指示模様</w:t>
      </w:r>
      <w:r w:rsidRPr="00BC31E0">
        <w:t xml:space="preserve"> (</w:t>
      </w:r>
      <m:oMath>
        <m:r>
          <w:rPr>
            <w:rFonts w:ascii="Cambria Math" w:hAnsi="Cambria Math"/>
          </w:rPr>
          <m:t>a</m:t>
        </m:r>
        <m:r>
          <w:rPr>
            <w:rFonts w:ascii="Cambria Math"/>
          </w:rPr>
          <m:t>=2</m:t>
        </m:r>
        <m:r>
          <w:rPr>
            <w:rFonts w:ascii="Cambria Math" w:hAnsi="Cambria Math"/>
          </w:rPr>
          <m:t>d</m:t>
        </m:r>
        <m:r>
          <w:rPr>
            <w:rFonts w:ascii="Cambria Math"/>
          </w:rPr>
          <m:t>+</m:t>
        </m:r>
        <m:r>
          <w:rPr>
            <w:rFonts w:ascii="Cambria Math" w:hAnsi="Cambria Math"/>
          </w:rPr>
          <m:t>S</m:t>
        </m:r>
      </m:oMath>
      <w:r w:rsidRPr="00BC31E0">
        <w:t>)</w:t>
      </w:r>
    </w:p>
    <w:p w14:paraId="5C1144F9" w14:textId="77777777" w:rsidR="00342321" w:rsidRPr="00BC31E0" w:rsidRDefault="00342321" w:rsidP="00342321">
      <w:pPr>
        <w:pStyle w:val="af4"/>
        <w:tabs>
          <w:tab w:val="left" w:pos="1134"/>
          <w:tab w:val="left" w:pos="6096"/>
        </w:tabs>
        <w:rPr>
          <w:rFonts w:asciiTheme="minorHAnsi" w:eastAsiaTheme="minorEastAsia" w:hAnsiTheme="minorHAnsi"/>
          <w:b w:val="0"/>
        </w:rPr>
      </w:pPr>
      <w:r w:rsidRPr="00BC31E0">
        <w:rPr>
          <w:rFonts w:hint="eastAsia"/>
          <w:noProof/>
        </w:rPr>
        <w:drawing>
          <wp:inline distT="0" distB="0" distL="0" distR="0" wp14:anchorId="0068A2D2" wp14:editId="493AF97A">
            <wp:extent cx="2426335" cy="1231265"/>
            <wp:effectExtent l="19050" t="0" r="0" b="0"/>
            <wp:docPr id="19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5" cstate="print"/>
                    <a:srcRect/>
                    <a:stretch>
                      <a:fillRect/>
                    </a:stretch>
                  </pic:blipFill>
                  <pic:spPr bwMode="auto">
                    <a:xfrm>
                      <a:off x="0" y="0"/>
                      <a:ext cx="2426335" cy="1231265"/>
                    </a:xfrm>
                    <a:prstGeom prst="rect">
                      <a:avLst/>
                    </a:prstGeom>
                    <a:noFill/>
                    <a:ln w="9525">
                      <a:noFill/>
                      <a:miter lim="800000"/>
                      <a:headEnd/>
                      <a:tailEnd/>
                    </a:ln>
                  </pic:spPr>
                </pic:pic>
              </a:graphicData>
            </a:graphic>
          </wp:inline>
        </w:drawing>
      </w:r>
    </w:p>
    <w:p w14:paraId="1D8FE6B1" w14:textId="77777777" w:rsidR="00342321" w:rsidRPr="00BC31E0" w:rsidRDefault="00342321" w:rsidP="00EA78A5">
      <m:oMathPara>
        <m:oMath>
          <m:r>
            <w:rPr>
              <w:rFonts w:ascii="Cambria Math" w:hAnsi="Cambria Math"/>
            </w:rPr>
            <m:t>S</m:t>
          </m:r>
          <m:r>
            <m:rPr>
              <m:sty m:val="p"/>
            </m:rPr>
            <w:rPr>
              <w:rFonts w:ascii="Cambria Math" w:hAnsi="Cambria Math" w:hint="eastAsia"/>
            </w:rPr>
            <m:t>≧</m:t>
          </m:r>
          <m:r>
            <m:rPr>
              <m:sty m:val="p"/>
            </m:rPr>
            <w:rPr>
              <w:rFonts w:ascii="Cambria Math" w:hAnsi="Cambria Math" w:hint="eastAsia"/>
            </w:rPr>
            <m:t xml:space="preserve">0.4 </m:t>
          </m:r>
          <m:r>
            <w:rPr>
              <w:rFonts w:ascii="Cambria Math" w:hAnsi="Cambria Math"/>
            </w:rPr>
            <m:t>d</m:t>
          </m:r>
        </m:oMath>
      </m:oMathPara>
    </w:p>
    <w:p w14:paraId="3491CCCC" w14:textId="77777777" w:rsidR="00342321" w:rsidRPr="00BC31E0" w:rsidRDefault="00342321" w:rsidP="00EA78A5">
      <w:pPr>
        <w:tabs>
          <w:tab w:val="left" w:pos="3261"/>
        </w:tabs>
        <w:rPr>
          <w:b/>
        </w:rPr>
      </w:pPr>
      <w:r w:rsidRPr="00BC31E0">
        <w:rPr>
          <w:rFonts w:hint="eastAsia"/>
        </w:rPr>
        <w:tab/>
        <w:t xml:space="preserve">(c) </w:t>
      </w:r>
      <w:r w:rsidRPr="00BC31E0">
        <w:rPr>
          <w:rFonts w:hint="eastAsia"/>
        </w:rPr>
        <w:t>内部指示模様</w:t>
      </w:r>
      <w:r w:rsidRPr="00BC31E0">
        <w:rPr>
          <w:rFonts w:hint="eastAsia"/>
        </w:rPr>
        <w:t xml:space="preserve"> (</w:t>
      </w:r>
      <m:oMath>
        <m:r>
          <m:rPr>
            <m:sty m:val="p"/>
          </m:rPr>
          <w:rPr>
            <w:rFonts w:ascii="Cambria Math" w:hAnsi="Cambria Math"/>
          </w:rPr>
          <m:t>2</m:t>
        </m:r>
        <m:r>
          <w:rPr>
            <w:rFonts w:ascii="Cambria Math" w:hAnsi="Cambria Math"/>
          </w:rPr>
          <m:t>a</m:t>
        </m:r>
        <m:r>
          <m:rPr>
            <m:sty m:val="p"/>
          </m:rPr>
          <w:rPr>
            <w:rFonts w:ascii="Cambria Math" w:hAnsi="Cambria Math"/>
          </w:rPr>
          <m:t>=2</m:t>
        </m:r>
        <m:r>
          <w:rPr>
            <w:rFonts w:ascii="Cambria Math" w:hAnsi="Cambria Math"/>
          </w:rPr>
          <m:t>d</m:t>
        </m:r>
      </m:oMath>
      <w:r w:rsidRPr="00BC31E0">
        <w:rPr>
          <w:rFonts w:hint="eastAsia"/>
        </w:rPr>
        <w:t>)</w:t>
      </w:r>
    </w:p>
    <w:p w14:paraId="586A864C" w14:textId="77777777" w:rsidR="00E81253" w:rsidRPr="00BC31E0" w:rsidRDefault="00E81253" w:rsidP="00EA78A5"/>
    <w:p w14:paraId="09AF09CC" w14:textId="77777777" w:rsidR="00342321" w:rsidRPr="00BC31E0" w:rsidRDefault="00342321" w:rsidP="000E2012">
      <w:pPr>
        <w:pStyle w:val="af4"/>
      </w:pPr>
      <w:r w:rsidRPr="00BC31E0">
        <w:rPr>
          <w:rFonts w:hint="eastAsia"/>
        </w:rPr>
        <w:t>図9.3.2　単一指示模様のきず分類</w:t>
      </w:r>
    </w:p>
    <w:p w14:paraId="1B179813" w14:textId="77777777" w:rsidR="00342321" w:rsidRPr="00BC31E0" w:rsidRDefault="00342321" w:rsidP="00342321">
      <w:pPr>
        <w:pStyle w:val="af4"/>
        <w:jc w:val="left"/>
        <w:rPr>
          <w:rFonts w:cs="Century"/>
          <w:kern w:val="0"/>
        </w:rPr>
      </w:pPr>
    </w:p>
    <w:p w14:paraId="7331D6E2" w14:textId="77777777" w:rsidR="00342321" w:rsidRPr="00BC31E0" w:rsidRDefault="00342321" w:rsidP="00342321">
      <w:pPr>
        <w:widowControl/>
        <w:jc w:val="left"/>
        <w:rPr>
          <w:szCs w:val="20"/>
        </w:rPr>
      </w:pPr>
      <w:r w:rsidRPr="00BC31E0">
        <w:rPr>
          <w:szCs w:val="20"/>
        </w:rPr>
        <w:br w:type="page"/>
      </w:r>
    </w:p>
    <w:p w14:paraId="5A0D8EF7" w14:textId="77777777" w:rsidR="00342321" w:rsidRPr="00BC31E0" w:rsidRDefault="00A51873" w:rsidP="00342321">
      <w:pPr>
        <w:pStyle w:val="af4"/>
        <w:rPr>
          <w:rFonts w:ascii="ＭＳ 明朝" w:eastAsia="ＭＳ 明朝" w:hAnsi="ＭＳ 明朝" w:cs="Century"/>
          <w:kern w:val="0"/>
        </w:rPr>
      </w:pPr>
      <w:r>
        <w:rPr>
          <w:noProof/>
        </w:rPr>
        <w:lastRenderedPageBreak/>
        <w:pict w14:anchorId="76819715">
          <v:group id="_x0000_s3512" style="position:absolute;left:0;text-align:left;margin-left:301.1pt;margin-top:16.35pt;width:32.05pt;height:7.15pt;z-index:251880960" coordorigin="7440,2028" coordsize="641,143">
            <v:rect id="_x0000_s3510" style="position:absolute;left:7878;top:2028;width:143;height:143" fillcolor="white [3212]" stroked="f">
              <v:textbox inset="5.85pt,.7pt,5.85pt,.7pt"/>
            </v:rect>
            <v:shape id="_x0000_s3511" type="#_x0000_t32" style="position:absolute;left:7440;top:2088;width:641;height:0" o:connectortype="straight"/>
          </v:group>
        </w:pict>
      </w:r>
      <w:r>
        <w:rPr>
          <w:noProof/>
        </w:rPr>
        <w:pict w14:anchorId="648E0014">
          <v:rect id="正方形/長方形 1823" o:spid="_x0000_s3359" style="position:absolute;left:0;text-align:left;margin-left:155.25pt;margin-top:106.15pt;width:50.1pt;height:13.95pt;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" stroked="f">
            <v:textbox inset="5.85pt,.7pt,5.85pt,.7pt"/>
          </v:rect>
        </w:pict>
      </w:r>
      <w:r>
        <w:rPr>
          <w:noProof/>
        </w:rPr>
        <w:pict w14:anchorId="36A5FE6B">
          <v:rect id="正方形/長方形 1822" o:spid="_x0000_s3358" style="position:absolute;left:0;text-align:left;margin-left:212.3pt;margin-top:68.15pt;width:39.15pt;height:21.9pt;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" stroked="f">
            <v:textbox inset="5.85pt,.7pt,5.85pt,.7pt"/>
          </v:rect>
        </w:pict>
      </w:r>
      <w:r w:rsidR="00342321" w:rsidRPr="00BC31E0">
        <w:rPr>
          <w:rFonts w:ascii="ＭＳ 明朝" w:eastAsia="ＭＳ 明朝" w:hAnsi="ＭＳ 明朝" w:cs="Century" w:hint="eastAsia"/>
          <w:noProof/>
          <w:kern w:val="0"/>
        </w:rPr>
        <w:drawing>
          <wp:inline distT="0" distB="0" distL="0" distR="0" wp14:anchorId="191E3214" wp14:editId="3673EFA0">
            <wp:extent cx="5687695" cy="7097395"/>
            <wp:effectExtent l="19050" t="0" r="8255" b="0"/>
            <wp:docPr id="705" name="図 705" descr="図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図9"/>
                    <pic:cNvPicPr>
                      <a:picLocks noChangeAspect="1" noChangeArrowheads="1"/>
                    </pic:cNvPicPr>
                  </pic:nvPicPr>
                  <pic:blipFill>
                    <a:blip r:embed="rId116" cstate="print"/>
                    <a:srcRect/>
                    <a:stretch>
                      <a:fillRect/>
                    </a:stretch>
                  </pic:blipFill>
                  <pic:spPr bwMode="auto">
                    <a:xfrm>
                      <a:off x="0" y="0"/>
                      <a:ext cx="5687695" cy="7097395"/>
                    </a:xfrm>
                    <a:prstGeom prst="rect">
                      <a:avLst/>
                    </a:prstGeom>
                    <a:noFill/>
                    <a:ln w="9525">
                      <a:noFill/>
                      <a:miter lim="800000"/>
                      <a:headEnd/>
                      <a:tailEnd/>
                    </a:ln>
                  </pic:spPr>
                </pic:pic>
              </a:graphicData>
            </a:graphic>
          </wp:inline>
        </w:drawing>
      </w:r>
    </w:p>
    <w:p w14:paraId="5532851A" w14:textId="77777777" w:rsidR="00342321" w:rsidRPr="00BC31E0" w:rsidRDefault="00A51873" w:rsidP="00342321">
      <w:pPr>
        <w:pStyle w:val="af4"/>
        <w:spacing w:line="360" w:lineRule="atLeast"/>
        <w:jc w:val="left"/>
        <w:rPr>
          <w:rFonts w:ascii="ＭＳ 明朝" w:eastAsia="ＭＳ 明朝" w:hAnsi="ＭＳ 明朝" w:cs="Century"/>
          <w:kern w:val="0"/>
        </w:rPr>
      </w:pPr>
      <w:r>
        <w:rPr>
          <w:rFonts w:ascii="ＭＳ 明朝" w:eastAsia="ＭＳ 明朝" w:hAnsi="ＭＳ 明朝" w:cs="Century"/>
          <w:noProof/>
          <w:kern w:val="0"/>
        </w:rPr>
        <w:pict w14:anchorId="18BC961C">
          <v:group id="グループ化 1794" o:spid="_x0000_s1585" style="position:absolute;margin-left:23.85pt;margin-top:-574.25pt;width:421.65pt;height:524.9pt;z-index:251700736" coordorigin="1895,1736" coordsize="8433,10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">
            <v:rect id="Rectangle 10918" o:spid="_x0000_s1586" style="position:absolute;left:5743;top:5080;width:783;height:4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" stroked="f">
              <v:textbox inset="5.85pt,.7pt,5.85pt,.7pt"/>
            </v:rect>
            <v:rect id="Rectangle 10919" o:spid="_x0000_s1587" style="position:absolute;left:4869;top:3073;width:664;height:4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" stroked="f">
              <v:textbox inset="5.85pt,.7pt,5.85pt,.7pt"/>
            </v:rect>
            <v:rect id="Rectangle 10920" o:spid="_x0000_s1588" style="position:absolute;left:8748;top:10330;width:763;height:2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" stroked="f">
              <v:textbox inset="5.85pt,.7pt,5.85pt,.7pt"/>
            </v:rect>
            <v:rect id="Rectangle 10921" o:spid="_x0000_s1589" style="position:absolute;left:4730;top:11831;width:803;height:4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" stroked="f">
              <v:textbox inset="5.85pt,.7pt,5.85pt,.7pt"/>
            </v:rect>
            <v:rect id="Rectangle 10922" o:spid="_x0000_s1590" style="position:absolute;left:5664;top:3732;width:1186;height:2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" stroked="f">
              <v:textbox inset="5.85pt,.7pt,5.85pt,.7pt"/>
            </v:rect>
            <v:shape id="AutoShape 10924" o:spid="_x0000_s1591" type="#_x0000_t32" style="position:absolute;left:4281;top:3962;width:808;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">
              <v:stroke endarrow="classic" endarrowwidth="narrow"/>
            </v:shape>
            <v:shape id="AutoShape 10925" o:spid="_x0000_s1592" type="#_x0000_t32" style="position:absolute;left:5086;top:3752;width:0;height:38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"/>
            <v:shape id="Text Box 10927" o:spid="_x0000_s1593" type="#_x0000_t202" style="position:absolute;left:8349;top:4362;width:1452;height:2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" stroked="f">
              <v:textbox style="mso-fit-shape-to-text:t" inset="5.85pt,.7pt,5.85pt,.7pt">
                <w:txbxContent>
                  <w:p w14:paraId="7C32F90D" w14:textId="77777777" w:rsidR="003B0864" w:rsidRPr="00BF552F" w:rsidRDefault="003B0864" w:rsidP="00342321">
                    <w:pPr>
                      <w:snapToGrid w:val="0"/>
                      <w:jc w:val="center"/>
                      <w:rPr>
                        <w:rFonts w:ascii="ＭＳ ゴシック" w:eastAsia="ＭＳ ゴシック" w:hAnsi="ＭＳ ゴシック"/>
                        <w:sz w:val="18"/>
                        <w:szCs w:val="18"/>
                      </w:rPr>
                    </w:pPr>
                    <w:r w:rsidRPr="00BF552F">
                      <w:rPr>
                        <w:rFonts w:ascii="ＭＳ ゴシック" w:eastAsia="ＭＳ ゴシック" w:hAnsi="ＭＳ ゴシック" w:hint="eastAsia"/>
                        <w:sz w:val="18"/>
                        <w:szCs w:val="18"/>
                      </w:rPr>
                      <w:t>内部</w:t>
                    </w:r>
                    <w:r w:rsidRPr="00366E17">
                      <w:rPr>
                        <w:rFonts w:ascii="ＭＳ ゴシック" w:eastAsia="ＭＳ ゴシック" w:hAnsi="ＭＳ ゴシック" w:hint="eastAsia"/>
                        <w:sz w:val="18"/>
                        <w:szCs w:val="18"/>
                      </w:rPr>
                      <w:t>きず</w:t>
                    </w:r>
                    <w:r>
                      <w:rPr>
                        <w:rFonts w:ascii="ＭＳ ゴシック" w:eastAsia="ＭＳ ゴシック" w:hAnsi="ＭＳ ゴシック" w:hint="eastAsia"/>
                        <w:sz w:val="18"/>
                        <w:szCs w:val="18"/>
                      </w:rPr>
                      <w:t xml:space="preserve"> </w:t>
                    </w:r>
                    <w:r w:rsidRPr="00BF552F">
                      <w:rPr>
                        <w:rFonts w:ascii="Arial" w:eastAsia="ＭＳ ゴシック" w:hAnsi="Arial" w:cs="Arial"/>
                        <w:sz w:val="18"/>
                        <w:szCs w:val="18"/>
                      </w:rPr>
                      <w:t>#2</w:t>
                    </w:r>
                  </w:p>
                </w:txbxContent>
              </v:textbox>
            </v:shape>
            <v:shape id="Text Box 10928" o:spid="_x0000_s1594" type="#_x0000_t202" style="position:absolute;left:1931;top:4350;width:1452;height:2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" stroked="f">
              <v:textbox style="mso-fit-shape-to-text:t" inset="5.85pt,.7pt,5.85pt,.7pt">
                <w:txbxContent>
                  <w:p w14:paraId="15957324" w14:textId="77777777" w:rsidR="003B0864" w:rsidRPr="00BF552F" w:rsidRDefault="003B0864" w:rsidP="00342321">
                    <w:pPr>
                      <w:snapToGrid w:val="0"/>
                      <w:jc w:val="center"/>
                      <w:rPr>
                        <w:rFonts w:ascii="ＭＳ ゴシック" w:eastAsia="ＭＳ ゴシック" w:hAnsi="ＭＳ ゴシック"/>
                        <w:sz w:val="18"/>
                        <w:szCs w:val="18"/>
                      </w:rPr>
                    </w:pPr>
                    <w:r w:rsidRPr="00BF552F">
                      <w:rPr>
                        <w:rFonts w:ascii="ＭＳ ゴシック" w:eastAsia="ＭＳ ゴシック" w:hAnsi="ＭＳ ゴシック" w:hint="eastAsia"/>
                        <w:sz w:val="18"/>
                        <w:szCs w:val="18"/>
                      </w:rPr>
                      <w:t>表面</w:t>
                    </w:r>
                    <w:r w:rsidRPr="00366E17">
                      <w:rPr>
                        <w:rFonts w:ascii="ＭＳ ゴシック" w:eastAsia="ＭＳ ゴシック" w:hAnsi="ＭＳ ゴシック" w:hint="eastAsia"/>
                        <w:sz w:val="18"/>
                        <w:szCs w:val="18"/>
                      </w:rPr>
                      <w:t>きず</w:t>
                    </w:r>
                    <w:r w:rsidRPr="00BF552F">
                      <w:rPr>
                        <w:rFonts w:ascii="ＭＳ ゴシック" w:eastAsia="ＭＳ ゴシック" w:hAnsi="ＭＳ ゴシック" w:hint="eastAsia"/>
                        <w:sz w:val="18"/>
                        <w:szCs w:val="18"/>
                      </w:rPr>
                      <w:t xml:space="preserve"> </w:t>
                    </w:r>
                    <w:r w:rsidRPr="00BF552F">
                      <w:rPr>
                        <w:rFonts w:ascii="Arial" w:eastAsia="ＭＳ ゴシック" w:hAnsi="Arial" w:cs="Arial"/>
                        <w:sz w:val="18"/>
                        <w:szCs w:val="18"/>
                      </w:rPr>
                      <w:t>#1</w:t>
                    </w:r>
                  </w:p>
                </w:txbxContent>
              </v:textbox>
            </v:shape>
            <v:shape id="Text Box 10929" o:spid="_x0000_s1595" type="#_x0000_t202" style="position:absolute;left:1919;top:7137;width:1452;height:2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" stroked="f">
              <v:textbox style="mso-fit-shape-to-text:t" inset="5.85pt,.7pt,5.85pt,.7pt">
                <w:txbxContent>
                  <w:p w14:paraId="34440A9D" w14:textId="77777777" w:rsidR="003B0864" w:rsidRPr="00184CC9" w:rsidRDefault="003B0864" w:rsidP="00342321">
                    <w:pPr>
                      <w:snapToGrid w:val="0"/>
                      <w:jc w:val="center"/>
                      <w:rPr>
                        <w:rFonts w:ascii="ＭＳ ゴシック" w:eastAsia="ＭＳ ゴシック" w:hAnsi="ＭＳ ゴシック"/>
                        <w:sz w:val="18"/>
                        <w:szCs w:val="18"/>
                      </w:rPr>
                    </w:pPr>
                    <w:r w:rsidRPr="00184CC9">
                      <w:rPr>
                        <w:rFonts w:ascii="ＭＳ ゴシック" w:eastAsia="ＭＳ ゴシック" w:hAnsi="ＭＳ ゴシック" w:hint="eastAsia"/>
                        <w:sz w:val="18"/>
                        <w:szCs w:val="18"/>
                      </w:rPr>
                      <w:t>内部</w:t>
                    </w:r>
                    <w:r w:rsidRPr="00366E17">
                      <w:rPr>
                        <w:rFonts w:ascii="ＭＳ ゴシック" w:eastAsia="ＭＳ ゴシック" w:hAnsi="ＭＳ ゴシック" w:hint="eastAsia"/>
                        <w:sz w:val="18"/>
                        <w:szCs w:val="18"/>
                      </w:rPr>
                      <w:t>きず</w:t>
                    </w:r>
                    <w:r w:rsidRPr="00184CC9">
                      <w:rPr>
                        <w:rFonts w:ascii="ＭＳ ゴシック" w:eastAsia="ＭＳ ゴシック" w:hAnsi="ＭＳ ゴシック" w:hint="eastAsia"/>
                        <w:sz w:val="18"/>
                        <w:szCs w:val="18"/>
                      </w:rPr>
                      <w:t xml:space="preserve"> </w:t>
                    </w:r>
                    <w:r w:rsidRPr="00184CC9">
                      <w:rPr>
                        <w:rFonts w:ascii="Arial" w:eastAsia="ＭＳ ゴシック" w:hAnsi="Arial" w:cs="Arial"/>
                        <w:sz w:val="18"/>
                        <w:szCs w:val="18"/>
                      </w:rPr>
                      <w:t>#</w:t>
                    </w:r>
                    <w:r w:rsidRPr="00184CC9">
                      <w:rPr>
                        <w:rFonts w:ascii="Arial" w:eastAsia="ＭＳ ゴシック" w:hAnsi="Arial" w:cs="Arial" w:hint="eastAsia"/>
                        <w:sz w:val="18"/>
                        <w:szCs w:val="18"/>
                      </w:rPr>
                      <w:t>3</w:t>
                    </w:r>
                  </w:p>
                </w:txbxContent>
              </v:textbox>
            </v:shape>
            <v:shape id="Text Box 10930" o:spid="_x0000_s1596" type="#_x0000_t202" style="position:absolute;left:2010;top:5710;width:1855;height:2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" stroked="f">
              <v:textbox style="mso-fit-shape-to-text:t" inset="5.85pt,.7pt,5.85pt,.7pt">
                <w:txbxContent>
                  <w:p w14:paraId="17F1C2DF" w14:textId="77777777" w:rsidR="003B0864" w:rsidRPr="00BF552F" w:rsidRDefault="003B0864" w:rsidP="00342321">
                    <w:pPr>
                      <w:snapToGrid w:val="0"/>
                      <w:jc w:val="right"/>
                      <w:rPr>
                        <w:rFonts w:ascii="ＭＳ ゴシック" w:eastAsia="ＭＳ ゴシック" w:hAnsi="ＭＳ ゴシック"/>
                        <w:sz w:val="18"/>
                        <w:szCs w:val="18"/>
                      </w:rPr>
                    </w:pPr>
                    <w:r w:rsidRPr="00BF552F">
                      <w:rPr>
                        <w:rFonts w:ascii="ＭＳ ゴシック" w:eastAsia="ＭＳ ゴシック" w:hAnsi="ＭＳ ゴシック" w:hint="eastAsia"/>
                        <w:sz w:val="18"/>
                        <w:szCs w:val="18"/>
                      </w:rPr>
                      <w:t>クラッドのない表面</w:t>
                    </w:r>
                  </w:p>
                </w:txbxContent>
              </v:textbox>
            </v:shape>
            <v:shape id="Text Box 10931" o:spid="_x0000_s1597" type="#_x0000_t202" style="position:absolute;left:1895;top:10092;width:1452;height:2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" stroked="f">
              <v:textbox style="mso-fit-shape-to-text:t" inset="5.85pt,.7pt,5.85pt,.7pt">
                <w:txbxContent>
                  <w:p w14:paraId="595A30D9" w14:textId="77777777" w:rsidR="003B0864" w:rsidRPr="00BF552F" w:rsidRDefault="003B0864" w:rsidP="00342321">
                    <w:pPr>
                      <w:snapToGrid w:val="0"/>
                      <w:jc w:val="center"/>
                      <w:rPr>
                        <w:rFonts w:ascii="ＭＳ ゴシック" w:eastAsia="ＭＳ ゴシック" w:hAnsi="ＭＳ ゴシック"/>
                        <w:sz w:val="18"/>
                        <w:szCs w:val="18"/>
                      </w:rPr>
                    </w:pPr>
                    <w:r w:rsidRPr="00BF552F">
                      <w:rPr>
                        <w:rFonts w:ascii="ＭＳ ゴシック" w:eastAsia="ＭＳ ゴシック" w:hAnsi="ＭＳ ゴシック" w:hint="eastAsia"/>
                        <w:sz w:val="18"/>
                        <w:szCs w:val="18"/>
                      </w:rPr>
                      <w:t>内部</w:t>
                    </w:r>
                    <w:r w:rsidRPr="00366E17">
                      <w:rPr>
                        <w:rFonts w:ascii="ＭＳ ゴシック" w:eastAsia="ＭＳ ゴシック" w:hAnsi="ＭＳ ゴシック" w:hint="eastAsia"/>
                        <w:sz w:val="18"/>
                        <w:szCs w:val="18"/>
                      </w:rPr>
                      <w:t>きず</w:t>
                    </w:r>
                    <w:r w:rsidRPr="00BF552F">
                      <w:rPr>
                        <w:rFonts w:ascii="ＭＳ ゴシック" w:eastAsia="ＭＳ ゴシック" w:hAnsi="ＭＳ ゴシック" w:hint="eastAsia"/>
                        <w:sz w:val="18"/>
                        <w:szCs w:val="18"/>
                      </w:rPr>
                      <w:t xml:space="preserve"> </w:t>
                    </w:r>
                    <w:r w:rsidRPr="00BF552F">
                      <w:rPr>
                        <w:rFonts w:ascii="Arial" w:eastAsia="ＭＳ ゴシック" w:hAnsi="Arial" w:cs="Arial"/>
                        <w:sz w:val="18"/>
                        <w:szCs w:val="18"/>
                      </w:rPr>
                      <w:t>#</w:t>
                    </w:r>
                    <w:r w:rsidRPr="00BF552F">
                      <w:rPr>
                        <w:rFonts w:ascii="Arial" w:eastAsia="ＭＳ ゴシック" w:hAnsi="Arial" w:cs="Arial" w:hint="eastAsia"/>
                        <w:sz w:val="18"/>
                        <w:szCs w:val="18"/>
                      </w:rPr>
                      <w:t>4</w:t>
                    </w:r>
                  </w:p>
                </w:txbxContent>
              </v:textbox>
            </v:shape>
            <v:shape id="Text Box 10932" o:spid="_x0000_s1598" type="#_x0000_t202" style="position:absolute;left:8748;top:11360;width:1452;height:2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" stroked="f">
              <v:textbox style="mso-fit-shape-to-text:t" inset="5.85pt,.7pt,5.85pt,.7pt">
                <w:txbxContent>
                  <w:p w14:paraId="48395B97" w14:textId="77777777" w:rsidR="003B0864" w:rsidRPr="00BF552F" w:rsidRDefault="003B0864" w:rsidP="00342321">
                    <w:pPr>
                      <w:snapToGrid w:val="0"/>
                      <w:jc w:val="center"/>
                      <w:rPr>
                        <w:rFonts w:ascii="ＭＳ ゴシック" w:eastAsia="ＭＳ ゴシック" w:hAnsi="ＭＳ ゴシック"/>
                        <w:sz w:val="18"/>
                        <w:szCs w:val="18"/>
                      </w:rPr>
                    </w:pPr>
                    <w:r w:rsidRPr="00BF552F">
                      <w:rPr>
                        <w:rFonts w:ascii="ＭＳ ゴシック" w:eastAsia="ＭＳ ゴシック" w:hAnsi="ＭＳ ゴシック" w:hint="eastAsia"/>
                        <w:sz w:val="18"/>
                        <w:szCs w:val="18"/>
                      </w:rPr>
                      <w:t>表面</w:t>
                    </w:r>
                    <w:r w:rsidRPr="00366E17">
                      <w:rPr>
                        <w:rFonts w:ascii="ＭＳ ゴシック" w:eastAsia="ＭＳ ゴシック" w:hAnsi="ＭＳ ゴシック" w:hint="eastAsia"/>
                        <w:sz w:val="18"/>
                        <w:szCs w:val="18"/>
                      </w:rPr>
                      <w:t>きず</w:t>
                    </w:r>
                    <w:r w:rsidRPr="00BF552F">
                      <w:rPr>
                        <w:rFonts w:ascii="ＭＳ ゴシック" w:eastAsia="ＭＳ ゴシック" w:hAnsi="ＭＳ ゴシック" w:hint="eastAsia"/>
                        <w:sz w:val="18"/>
                        <w:szCs w:val="18"/>
                      </w:rPr>
                      <w:t xml:space="preserve"> </w:t>
                    </w:r>
                    <w:r w:rsidRPr="00BF552F">
                      <w:rPr>
                        <w:rFonts w:ascii="Arial" w:eastAsia="ＭＳ ゴシック" w:hAnsi="Arial" w:cs="Arial"/>
                        <w:sz w:val="18"/>
                        <w:szCs w:val="18"/>
                      </w:rPr>
                      <w:t>#</w:t>
                    </w:r>
                    <w:r w:rsidRPr="00BF552F">
                      <w:rPr>
                        <w:rFonts w:ascii="Arial" w:eastAsia="ＭＳ ゴシック" w:hAnsi="Arial" w:cs="Arial" w:hint="eastAsia"/>
                        <w:sz w:val="18"/>
                        <w:szCs w:val="18"/>
                      </w:rPr>
                      <w:t>5</w:t>
                    </w:r>
                  </w:p>
                </w:txbxContent>
              </v:textbox>
            </v:shape>
            <v:shape id="Text Box 10933" o:spid="_x0000_s1599" type="#_x0000_t202" style="position:absolute;left:8440;top:7038;width:1406;height:2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" stroked="f">
              <v:textbox style="mso-fit-shape-to-text:t" inset="5.85pt,.7pt,5.85pt,.7pt">
                <w:txbxContent>
                  <w:p w14:paraId="2D4D041D" w14:textId="77777777" w:rsidR="003B0864" w:rsidRPr="00BF552F" w:rsidRDefault="003B0864" w:rsidP="00342321">
                    <w:pPr>
                      <w:snapToGrid w:val="0"/>
                      <w:rPr>
                        <w:rFonts w:ascii="ＭＳ ゴシック" w:eastAsia="ＭＳ ゴシック" w:hAnsi="ＭＳ ゴシック"/>
                        <w:sz w:val="18"/>
                        <w:szCs w:val="18"/>
                      </w:rPr>
                    </w:pPr>
                    <w:r w:rsidRPr="00BF552F">
                      <w:rPr>
                        <w:rFonts w:ascii="ＭＳ ゴシック" w:eastAsia="ＭＳ ゴシック" w:hAnsi="ＭＳ ゴシック" w:hint="eastAsia"/>
                        <w:sz w:val="18"/>
                        <w:szCs w:val="18"/>
                      </w:rPr>
                      <w:t>クラッド表面</w:t>
                    </w:r>
                  </w:p>
                </w:txbxContent>
              </v:textbox>
            </v:shape>
            <v:shape id="Text Box 10934" o:spid="_x0000_s1600" type="#_x0000_t202" style="position:absolute;left:8440;top:7553;width:1824;height:8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" stroked="f">
              <v:textbox inset="5.85pt,.7pt,5.85pt,.7pt">
                <w:txbxContent>
                  <w:p w14:paraId="65161ADC" w14:textId="77777777" w:rsidR="003B0864" w:rsidRPr="00BF552F" w:rsidRDefault="003B0864" w:rsidP="00342321">
                    <w:pPr>
                      <w:snapToGrid w:val="0"/>
                      <w:rPr>
                        <w:rFonts w:ascii="ＭＳ ゴシック" w:eastAsia="ＭＳ ゴシック" w:hAnsi="ＭＳ ゴシック"/>
                        <w:sz w:val="18"/>
                        <w:szCs w:val="18"/>
                      </w:rPr>
                    </w:pPr>
                    <w:r w:rsidRPr="00BF552F">
                      <w:rPr>
                        <w:rFonts w:ascii="ＭＳ ゴシック" w:eastAsia="ＭＳ ゴシック" w:hAnsi="ＭＳ ゴシック" w:hint="eastAsia"/>
                        <w:sz w:val="18"/>
                        <w:szCs w:val="18"/>
                      </w:rPr>
                      <w:t>圧力を受ける表面</w:t>
                    </w:r>
                  </w:p>
                  <w:p w14:paraId="1C114AF5" w14:textId="77777777" w:rsidR="003B0864" w:rsidRDefault="003B0864" w:rsidP="00342321">
                    <w:pPr>
                      <w:snapToGrid w:val="0"/>
                      <w:rPr>
                        <w:rFonts w:ascii="ＭＳ ゴシック" w:eastAsia="ＭＳ ゴシック" w:hAnsi="ＭＳ ゴシック"/>
                        <w:sz w:val="18"/>
                        <w:szCs w:val="18"/>
                      </w:rPr>
                    </w:pPr>
                    <w:r w:rsidRPr="00BF552F">
                      <w:rPr>
                        <w:rFonts w:ascii="ＭＳ ゴシック" w:eastAsia="ＭＳ ゴシック" w:hAnsi="ＭＳ ゴシック" w:hint="eastAsia"/>
                        <w:sz w:val="18"/>
                        <w:szCs w:val="18"/>
                      </w:rPr>
                      <w:t>又はクラッドと</w:t>
                    </w:r>
                  </w:p>
                  <w:p w14:paraId="5E755518" w14:textId="77777777" w:rsidR="003B0864" w:rsidRPr="00BF552F" w:rsidRDefault="003B0864" w:rsidP="00342321">
                    <w:pPr>
                      <w:snapToGrid w:val="0"/>
                      <w:rPr>
                        <w:rFonts w:ascii="ＭＳ ゴシック" w:eastAsia="ＭＳ ゴシック" w:hAnsi="ＭＳ ゴシック"/>
                        <w:sz w:val="18"/>
                        <w:szCs w:val="18"/>
                      </w:rPr>
                    </w:pPr>
                    <w:r w:rsidRPr="00BF552F">
                      <w:rPr>
                        <w:rFonts w:ascii="ＭＳ ゴシック" w:eastAsia="ＭＳ ゴシック" w:hAnsi="ＭＳ ゴシック" w:hint="eastAsia"/>
                        <w:sz w:val="18"/>
                        <w:szCs w:val="18"/>
                      </w:rPr>
                      <w:t>母材の境界</w:t>
                    </w:r>
                  </w:p>
                </w:txbxContent>
              </v:textbox>
            </v:shape>
            <v:shape id="Text Box 10935" o:spid="_x0000_s1601" type="#_x0000_t202" style="position:absolute;left:8289;top:6030;width:1512;height:6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" stroked="f">
              <v:textbox inset="5.85pt,.7pt,5.85pt,.7pt">
                <w:txbxContent>
                  <w:p w14:paraId="19CAF9E1" w14:textId="77777777" w:rsidR="003B0864" w:rsidRPr="006052D6" w:rsidRDefault="003B0864" w:rsidP="00342321">
                    <w:pPr>
                      <w:rPr>
                        <w:rFonts w:ascii="Arial" w:hAnsi="Arial" w:cs="Arial"/>
                        <w:sz w:val="16"/>
                        <w:szCs w:val="16"/>
                      </w:rPr>
                    </w:pPr>
                    <w:r w:rsidRPr="006052D6">
                      <w:rPr>
                        <w:rFonts w:ascii="Arial" w:hAnsi="Arial" w:cs="Arial"/>
                        <w:i/>
                        <w:sz w:val="16"/>
                        <w:szCs w:val="16"/>
                      </w:rPr>
                      <w:t>S</w:t>
                    </w:r>
                    <w:r w:rsidRPr="006052D6">
                      <w:rPr>
                        <w:rFonts w:ascii="ＭＳ ゴシック" w:eastAsia="ＭＳ ゴシック" w:hAnsi="ＭＳ ゴシック" w:cs="Arial"/>
                        <w:sz w:val="16"/>
                        <w:szCs w:val="16"/>
                      </w:rPr>
                      <w:t>≦</w:t>
                    </w:r>
                    <w:r w:rsidRPr="006052D6">
                      <w:rPr>
                        <w:rFonts w:ascii="Arial" w:hAnsi="Arial" w:cs="Arial"/>
                        <w:sz w:val="16"/>
                        <w:szCs w:val="16"/>
                      </w:rPr>
                      <w:t>max(</w:t>
                    </w:r>
                    <w:r w:rsidRPr="00074311">
                      <w:rPr>
                        <w:rFonts w:ascii="Arial" w:hAnsi="Arial" w:cs="Arial"/>
                        <w:i/>
                        <w:sz w:val="16"/>
                        <w:szCs w:val="16"/>
                      </w:rPr>
                      <w:t>d</w:t>
                    </w:r>
                    <w:r w:rsidRPr="00074311">
                      <w:rPr>
                        <w:rFonts w:ascii="Arial" w:hAnsi="Arial" w:cs="Arial" w:hint="eastAsia"/>
                        <w:sz w:val="16"/>
                        <w:szCs w:val="16"/>
                        <w:vertAlign w:val="subscript"/>
                      </w:rPr>
                      <w:t>2</w:t>
                    </w:r>
                    <w:r w:rsidRPr="00074311">
                      <w:rPr>
                        <w:rFonts w:ascii="Arial" w:hAnsi="Arial" w:cs="Arial"/>
                        <w:sz w:val="16"/>
                        <w:szCs w:val="16"/>
                      </w:rPr>
                      <w:t xml:space="preserve">, </w:t>
                    </w:r>
                    <w:r w:rsidRPr="00074311">
                      <w:rPr>
                        <w:rFonts w:ascii="Arial" w:hAnsi="Arial" w:cs="Arial"/>
                        <w:i/>
                        <w:sz w:val="16"/>
                        <w:szCs w:val="16"/>
                      </w:rPr>
                      <w:t>d</w:t>
                    </w:r>
                    <w:r w:rsidRPr="00074311">
                      <w:rPr>
                        <w:rFonts w:ascii="Arial" w:hAnsi="Arial" w:cs="Arial" w:hint="eastAsia"/>
                        <w:sz w:val="16"/>
                        <w:szCs w:val="16"/>
                        <w:vertAlign w:val="subscript"/>
                      </w:rPr>
                      <w:t>3</w:t>
                    </w:r>
                    <w:r w:rsidRPr="00074311">
                      <w:rPr>
                        <w:rFonts w:ascii="Arial" w:hAnsi="Arial" w:cs="Arial"/>
                        <w:sz w:val="16"/>
                        <w:szCs w:val="16"/>
                      </w:rPr>
                      <w:t>)</w:t>
                    </w:r>
                  </w:p>
                </w:txbxContent>
              </v:textbox>
            </v:shape>
            <v:shape id="Text Box 10936" o:spid="_x0000_s1602" type="#_x0000_t202" style="position:absolute;left:8416;top:9943;width:1912;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" stroked="f">
              <v:textbox inset="5.85pt,.7pt,5.85pt,.7pt">
                <w:txbxContent>
                  <w:p w14:paraId="3EFDFB8D" w14:textId="77777777" w:rsidR="003B0864" w:rsidRPr="006052D6" w:rsidRDefault="003B0864" w:rsidP="00342321">
                    <w:pPr>
                      <w:rPr>
                        <w:rFonts w:ascii="Arial" w:hAnsi="Arial" w:cs="Arial"/>
                        <w:sz w:val="16"/>
                        <w:szCs w:val="16"/>
                      </w:rPr>
                    </w:pPr>
                    <w:r w:rsidRPr="006052D6">
                      <w:rPr>
                        <w:rFonts w:ascii="Arial" w:hAnsi="Arial" w:cs="Arial"/>
                        <w:i/>
                        <w:sz w:val="16"/>
                        <w:szCs w:val="16"/>
                      </w:rPr>
                      <w:t>S</w:t>
                    </w:r>
                    <w:r w:rsidRPr="00653C66">
                      <w:rPr>
                        <w:rFonts w:asciiTheme="majorEastAsia" w:eastAsiaTheme="majorEastAsia" w:hAnsiTheme="majorEastAsia" w:cs="Arial"/>
                        <w:sz w:val="16"/>
                        <w:szCs w:val="16"/>
                      </w:rPr>
                      <w:t>≦</w:t>
                    </w:r>
                    <w:r w:rsidRPr="006052D6">
                      <w:rPr>
                        <w:rFonts w:ascii="Arial" w:hAnsi="Arial" w:cs="Arial"/>
                        <w:sz w:val="16"/>
                        <w:szCs w:val="16"/>
                      </w:rPr>
                      <w:t>max(</w:t>
                    </w:r>
                    <w:r w:rsidRPr="00074311">
                      <w:rPr>
                        <w:rFonts w:ascii="Arial" w:hAnsi="Arial" w:cs="Arial"/>
                        <w:i/>
                        <w:sz w:val="16"/>
                        <w:szCs w:val="16"/>
                      </w:rPr>
                      <w:t>d</w:t>
                    </w:r>
                    <w:r w:rsidRPr="00074311">
                      <w:rPr>
                        <w:rFonts w:ascii="Arial" w:hAnsi="Arial" w:cs="Arial"/>
                        <w:sz w:val="16"/>
                        <w:szCs w:val="16"/>
                        <w:vertAlign w:val="subscript"/>
                      </w:rPr>
                      <w:t>1</w:t>
                    </w:r>
                    <w:r w:rsidRPr="00074311">
                      <w:rPr>
                        <w:rFonts w:ascii="Arial" w:hAnsi="Arial" w:cs="Arial"/>
                        <w:sz w:val="16"/>
                        <w:szCs w:val="16"/>
                      </w:rPr>
                      <w:t xml:space="preserve">, </w:t>
                    </w:r>
                    <w:r w:rsidRPr="00074311">
                      <w:rPr>
                        <w:rFonts w:ascii="Arial" w:hAnsi="Arial" w:cs="Arial" w:hint="eastAsia"/>
                        <w:sz w:val="16"/>
                        <w:szCs w:val="16"/>
                      </w:rPr>
                      <w:t>0.5</w:t>
                    </w:r>
                    <w:r w:rsidRPr="00074311">
                      <w:rPr>
                        <w:rFonts w:ascii="Arial" w:hAnsi="Arial" w:cs="Arial"/>
                        <w:i/>
                        <w:sz w:val="16"/>
                        <w:szCs w:val="16"/>
                      </w:rPr>
                      <w:t>d</w:t>
                    </w:r>
                    <w:r w:rsidRPr="00074311">
                      <w:rPr>
                        <w:rFonts w:ascii="Arial" w:hAnsi="Arial" w:cs="Arial"/>
                        <w:sz w:val="16"/>
                        <w:szCs w:val="16"/>
                        <w:vertAlign w:val="subscript"/>
                      </w:rPr>
                      <w:t>2</w:t>
                    </w:r>
                    <w:r w:rsidRPr="006052D6">
                      <w:rPr>
                        <w:rFonts w:ascii="Arial" w:hAnsi="Arial" w:cs="Arial"/>
                        <w:sz w:val="16"/>
                        <w:szCs w:val="16"/>
                      </w:rPr>
                      <w:t>)</w:t>
                    </w:r>
                  </w:p>
                </w:txbxContent>
              </v:textbox>
            </v:shape>
            <v:shape id="Text Box 10937" o:spid="_x0000_s1603" type="#_x0000_t202" style="position:absolute;left:4556;top:11353;width:1288;height:38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" stroked="f">
              <v:textbox style="mso-fit-shape-to-text:t" inset="5.85pt,.7pt,5.85pt,.7pt">
                <w:txbxContent>
                  <w:p w14:paraId="3DA4C205" w14:textId="77777777" w:rsidR="003B0864" w:rsidRPr="006052D6" w:rsidRDefault="003B0864" w:rsidP="00342321">
                    <w:pPr>
                      <w:rPr>
                        <w:rFonts w:ascii="Arial" w:hAnsi="Arial" w:cs="Arial"/>
                        <w:sz w:val="16"/>
                        <w:szCs w:val="16"/>
                      </w:rPr>
                    </w:pPr>
                    <w:r w:rsidRPr="006052D6">
                      <w:rPr>
                        <w:rFonts w:ascii="Arial" w:hAnsi="Arial" w:cs="Arial"/>
                        <w:i/>
                        <w:sz w:val="16"/>
                        <w:szCs w:val="16"/>
                      </w:rPr>
                      <w:t>S</w:t>
                    </w:r>
                    <w:r w:rsidRPr="006052D6">
                      <w:rPr>
                        <w:rFonts w:ascii="ＭＳ ゴシック" w:eastAsia="ＭＳ ゴシック" w:hAnsi="ＭＳ ゴシック" w:cs="Arial"/>
                        <w:sz w:val="16"/>
                        <w:szCs w:val="16"/>
                      </w:rPr>
                      <w:t>≦</w:t>
                    </w:r>
                    <w:r w:rsidRPr="006052D6">
                      <w:rPr>
                        <w:rFonts w:ascii="Arial" w:hAnsi="Arial" w:cs="Arial"/>
                        <w:sz w:val="16"/>
                        <w:szCs w:val="16"/>
                      </w:rPr>
                      <w:t>max</w:t>
                    </w:r>
                    <w:r w:rsidRPr="00074311">
                      <w:rPr>
                        <w:rFonts w:ascii="Arial" w:hAnsi="Arial" w:cs="Arial"/>
                        <w:sz w:val="16"/>
                        <w:szCs w:val="16"/>
                      </w:rPr>
                      <w:t>(</w:t>
                    </w:r>
                    <w:r w:rsidRPr="00074311">
                      <w:rPr>
                        <w:rFonts w:ascii="Arial" w:hAnsi="Arial" w:cs="Arial"/>
                        <w:i/>
                        <w:sz w:val="16"/>
                        <w:szCs w:val="16"/>
                      </w:rPr>
                      <w:t>d</w:t>
                    </w:r>
                    <w:r w:rsidRPr="00074311">
                      <w:rPr>
                        <w:rFonts w:ascii="Arial" w:hAnsi="Arial" w:cs="Arial"/>
                        <w:sz w:val="16"/>
                        <w:szCs w:val="16"/>
                        <w:vertAlign w:val="subscript"/>
                      </w:rPr>
                      <w:t>1</w:t>
                    </w:r>
                    <w:r w:rsidRPr="00074311">
                      <w:rPr>
                        <w:rFonts w:ascii="Arial" w:hAnsi="Arial" w:cs="Arial"/>
                        <w:sz w:val="16"/>
                        <w:szCs w:val="16"/>
                      </w:rPr>
                      <w:t xml:space="preserve">, </w:t>
                    </w:r>
                    <w:r w:rsidRPr="00074311">
                      <w:rPr>
                        <w:rFonts w:ascii="Arial" w:hAnsi="Arial" w:cs="Arial"/>
                        <w:i/>
                        <w:sz w:val="16"/>
                        <w:szCs w:val="16"/>
                      </w:rPr>
                      <w:t>d</w:t>
                    </w:r>
                    <w:r w:rsidRPr="00074311">
                      <w:rPr>
                        <w:rFonts w:ascii="Arial" w:hAnsi="Arial" w:cs="Arial"/>
                        <w:sz w:val="16"/>
                        <w:szCs w:val="16"/>
                        <w:vertAlign w:val="subscript"/>
                      </w:rPr>
                      <w:t>2</w:t>
                    </w:r>
                    <w:r w:rsidRPr="00074311">
                      <w:rPr>
                        <w:rFonts w:ascii="Arial" w:hAnsi="Arial" w:cs="Arial"/>
                        <w:sz w:val="16"/>
                        <w:szCs w:val="16"/>
                      </w:rPr>
                      <w:t>)</w:t>
                    </w:r>
                  </w:p>
                </w:txbxContent>
              </v:textbox>
            </v:shape>
            <v:shape id="Text Box 10938" o:spid="_x0000_s1604" type="#_x0000_t202" style="position:absolute;left:2493;top:11014;width:1811;height:2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" stroked="f">
              <v:textbox style="mso-fit-shape-to-text:t" inset="5.85pt,.7pt,5.85pt,.7pt">
                <w:txbxContent>
                  <w:p w14:paraId="3BD5E088" w14:textId="77777777" w:rsidR="003B0864" w:rsidRPr="006052D6" w:rsidRDefault="003B0864" w:rsidP="00342321">
                    <w:pPr>
                      <w:snapToGrid w:val="0"/>
                      <w:rPr>
                        <w:rFonts w:ascii="ＭＳ ゴシック" w:eastAsia="ＭＳ ゴシック" w:hAnsi="ＭＳ ゴシック"/>
                        <w:sz w:val="18"/>
                        <w:szCs w:val="18"/>
                      </w:rPr>
                    </w:pPr>
                    <w:r w:rsidRPr="006052D6">
                      <w:rPr>
                        <w:rFonts w:ascii="ＭＳ ゴシック" w:eastAsia="ＭＳ ゴシック" w:hAnsi="ＭＳ ゴシック" w:hint="eastAsia"/>
                        <w:sz w:val="18"/>
                        <w:szCs w:val="18"/>
                      </w:rPr>
                      <w:t>：個々の</w:t>
                    </w:r>
                    <w:r w:rsidRPr="00366E17">
                      <w:rPr>
                        <w:rFonts w:ascii="ＭＳ ゴシック" w:eastAsia="ＭＳ ゴシック" w:hAnsi="ＭＳ ゴシック" w:hint="eastAsia"/>
                        <w:sz w:val="18"/>
                        <w:szCs w:val="18"/>
                      </w:rPr>
                      <w:t>きず高さ</w:t>
                    </w:r>
                  </w:p>
                </w:txbxContent>
              </v:textbox>
            </v:shape>
            <v:shape id="Text Box 10939" o:spid="_x0000_s1605" type="#_x0000_t202" style="position:absolute;left:2010;top:7598;width:1921;height:5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" stroked="f">
              <v:textbox inset="5.85pt,.7pt,5.85pt,.7pt">
                <w:txbxContent>
                  <w:p w14:paraId="647725BB" w14:textId="77777777" w:rsidR="003B0864" w:rsidRPr="006052D6" w:rsidRDefault="003B0864" w:rsidP="00342321">
                    <w:pPr>
                      <w:jc w:val="right"/>
                      <w:rPr>
                        <w:rFonts w:ascii="Arial" w:hAnsi="Arial" w:cs="Arial"/>
                        <w:sz w:val="16"/>
                        <w:szCs w:val="16"/>
                      </w:rPr>
                    </w:pPr>
                    <w:r w:rsidRPr="006052D6">
                      <w:rPr>
                        <w:rFonts w:ascii="Arial" w:hAnsi="Arial" w:cs="Arial"/>
                        <w:i/>
                        <w:sz w:val="16"/>
                        <w:szCs w:val="16"/>
                      </w:rPr>
                      <w:t>S</w:t>
                    </w:r>
                    <w:r w:rsidRPr="006052D6">
                      <w:rPr>
                        <w:rFonts w:ascii="ＭＳ ゴシック" w:eastAsia="ＭＳ ゴシック" w:hAnsi="ＭＳ ゴシック" w:cs="Arial"/>
                        <w:sz w:val="16"/>
                        <w:szCs w:val="16"/>
                      </w:rPr>
                      <w:t>≦</w:t>
                    </w:r>
                    <w:r w:rsidRPr="006052D6">
                      <w:rPr>
                        <w:rFonts w:ascii="Arial" w:hAnsi="Arial" w:cs="Arial"/>
                        <w:sz w:val="16"/>
                        <w:szCs w:val="16"/>
                      </w:rPr>
                      <w:t>max</w:t>
                    </w:r>
                    <w:r w:rsidRPr="00074311">
                      <w:rPr>
                        <w:rFonts w:ascii="Arial" w:hAnsi="Arial" w:cs="Arial"/>
                        <w:sz w:val="16"/>
                        <w:szCs w:val="16"/>
                      </w:rPr>
                      <w:t>(</w:t>
                    </w:r>
                    <w:r w:rsidRPr="00074311">
                      <w:rPr>
                        <w:rFonts w:ascii="Arial" w:hAnsi="Arial" w:cs="Arial"/>
                        <w:i/>
                        <w:sz w:val="16"/>
                        <w:szCs w:val="16"/>
                      </w:rPr>
                      <w:t>d</w:t>
                    </w:r>
                    <w:r w:rsidRPr="00074311">
                      <w:rPr>
                        <w:rFonts w:ascii="Arial" w:hAnsi="Arial" w:cs="Arial"/>
                        <w:sz w:val="16"/>
                        <w:szCs w:val="16"/>
                        <w:vertAlign w:val="subscript"/>
                      </w:rPr>
                      <w:t>1</w:t>
                    </w:r>
                    <w:r w:rsidRPr="00074311">
                      <w:rPr>
                        <w:rFonts w:ascii="Arial" w:hAnsi="Arial" w:cs="Arial"/>
                        <w:sz w:val="16"/>
                        <w:szCs w:val="16"/>
                      </w:rPr>
                      <w:t xml:space="preserve">, </w:t>
                    </w:r>
                    <w:r w:rsidRPr="00074311">
                      <w:rPr>
                        <w:rFonts w:ascii="Arial" w:hAnsi="Arial" w:cs="Arial"/>
                        <w:i/>
                        <w:sz w:val="16"/>
                        <w:szCs w:val="16"/>
                      </w:rPr>
                      <w:t>d</w:t>
                    </w:r>
                    <w:r w:rsidRPr="00074311">
                      <w:rPr>
                        <w:rFonts w:ascii="Arial" w:hAnsi="Arial" w:cs="Arial"/>
                        <w:sz w:val="16"/>
                        <w:szCs w:val="16"/>
                        <w:vertAlign w:val="subscript"/>
                      </w:rPr>
                      <w:t>2</w:t>
                    </w:r>
                    <w:r w:rsidRPr="00074311">
                      <w:rPr>
                        <w:rFonts w:ascii="Arial" w:hAnsi="Arial" w:cs="Arial"/>
                        <w:sz w:val="16"/>
                        <w:szCs w:val="16"/>
                      </w:rPr>
                      <w:t>)</w:t>
                    </w:r>
                  </w:p>
                </w:txbxContent>
              </v:textbox>
            </v:shape>
            <v:shape id="Text Box 10940" o:spid="_x0000_s1606" type="#_x0000_t202" style="position:absolute;left:5349;top:4839;width:1288;height:38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" stroked="f">
              <v:textbox style="mso-fit-shape-to-text:t" inset="5.85pt,.7pt,5.85pt,.7pt">
                <w:txbxContent>
                  <w:p w14:paraId="01449C34" w14:textId="77777777" w:rsidR="003B0864" w:rsidRPr="006052D6" w:rsidRDefault="003B0864" w:rsidP="00342321">
                    <w:pPr>
                      <w:rPr>
                        <w:rFonts w:ascii="Arial" w:hAnsi="Arial" w:cs="Arial"/>
                        <w:sz w:val="16"/>
                        <w:szCs w:val="16"/>
                      </w:rPr>
                    </w:pPr>
                    <w:r w:rsidRPr="006052D6">
                      <w:rPr>
                        <w:rFonts w:ascii="Arial" w:hAnsi="Arial" w:cs="Arial" w:hint="eastAsia"/>
                        <w:i/>
                        <w:sz w:val="16"/>
                        <w:szCs w:val="16"/>
                      </w:rPr>
                      <w:t>S</w:t>
                    </w:r>
                    <w:r w:rsidRPr="006052D6">
                      <w:rPr>
                        <w:rFonts w:ascii="Arial" w:hAnsi="Arial" w:cs="Arial" w:hint="eastAsia"/>
                        <w:sz w:val="16"/>
                        <w:szCs w:val="16"/>
                      </w:rPr>
                      <w:t>≦</w:t>
                    </w:r>
                    <w:r w:rsidRPr="006052D6">
                      <w:rPr>
                        <w:rFonts w:ascii="Arial" w:hAnsi="Arial" w:cs="Arial" w:hint="eastAsia"/>
                        <w:sz w:val="16"/>
                        <w:szCs w:val="16"/>
                      </w:rPr>
                      <w:t>max(</w:t>
                    </w:r>
                    <w:r w:rsidRPr="00074311">
                      <w:rPr>
                        <w:rFonts w:ascii="Arial" w:hAnsi="Arial" w:cs="Arial" w:hint="eastAsia"/>
                        <w:i/>
                        <w:sz w:val="16"/>
                        <w:szCs w:val="16"/>
                      </w:rPr>
                      <w:t>d</w:t>
                    </w:r>
                    <w:r w:rsidRPr="00074311">
                      <w:rPr>
                        <w:rFonts w:ascii="Arial" w:hAnsi="Arial" w:cs="Arial" w:hint="eastAsia"/>
                        <w:sz w:val="16"/>
                        <w:szCs w:val="16"/>
                        <w:vertAlign w:val="subscript"/>
                      </w:rPr>
                      <w:t>2</w:t>
                    </w:r>
                    <w:r w:rsidRPr="00074311">
                      <w:rPr>
                        <w:rFonts w:ascii="Arial" w:hAnsi="Arial" w:cs="Arial" w:hint="eastAsia"/>
                        <w:sz w:val="16"/>
                        <w:szCs w:val="16"/>
                      </w:rPr>
                      <w:t xml:space="preserve">, </w:t>
                    </w:r>
                    <w:r w:rsidRPr="00074311">
                      <w:rPr>
                        <w:rFonts w:ascii="Arial" w:hAnsi="Arial" w:cs="Arial" w:hint="eastAsia"/>
                        <w:i/>
                        <w:sz w:val="16"/>
                        <w:szCs w:val="16"/>
                      </w:rPr>
                      <w:t>d</w:t>
                    </w:r>
                    <w:r w:rsidRPr="00074311">
                      <w:rPr>
                        <w:rFonts w:ascii="Arial" w:hAnsi="Arial" w:cs="Arial" w:hint="eastAsia"/>
                        <w:sz w:val="16"/>
                        <w:szCs w:val="16"/>
                        <w:vertAlign w:val="subscript"/>
                      </w:rPr>
                      <w:t>3</w:t>
                    </w:r>
                    <w:r w:rsidRPr="00074311">
                      <w:rPr>
                        <w:rFonts w:ascii="Arial" w:hAnsi="Arial" w:cs="Arial" w:hint="eastAsia"/>
                        <w:sz w:val="16"/>
                        <w:szCs w:val="16"/>
                      </w:rPr>
                      <w:t>)</w:t>
                    </w:r>
                  </w:p>
                </w:txbxContent>
              </v:textbox>
            </v:shape>
            <v:shape id="Text Box 10941" o:spid="_x0000_s1607" type="#_x0000_t202" style="position:absolute;left:5217;top:3145;width:1288;height:38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" stroked="f">
              <v:textbox style="mso-fit-shape-to-text:t" inset="5.85pt,.7pt,5.85pt,.7pt">
                <w:txbxContent>
                  <w:p w14:paraId="06062CEE" w14:textId="77777777" w:rsidR="003B0864" w:rsidRPr="00F15409" w:rsidRDefault="003B0864" w:rsidP="00342321">
                    <w:pPr>
                      <w:rPr>
                        <w:rFonts w:ascii="Arial" w:hAnsi="Arial" w:cs="Arial"/>
                        <w:sz w:val="16"/>
                        <w:szCs w:val="16"/>
                      </w:rPr>
                    </w:pPr>
                    <w:r w:rsidRPr="00F15409">
                      <w:rPr>
                        <w:rFonts w:ascii="Arial" w:hAnsi="Arial" w:cs="Arial" w:hint="eastAsia"/>
                        <w:i/>
                        <w:sz w:val="16"/>
                        <w:szCs w:val="16"/>
                      </w:rPr>
                      <w:t>S</w:t>
                    </w:r>
                    <w:r w:rsidRPr="00F15409">
                      <w:rPr>
                        <w:rFonts w:ascii="Arial" w:hAnsi="Arial" w:cs="Arial" w:hint="eastAsia"/>
                        <w:sz w:val="16"/>
                        <w:szCs w:val="16"/>
                      </w:rPr>
                      <w:t>≦</w:t>
                    </w:r>
                    <w:r w:rsidRPr="00F15409">
                      <w:rPr>
                        <w:rFonts w:ascii="Arial" w:hAnsi="Arial" w:cs="Arial" w:hint="eastAsia"/>
                        <w:sz w:val="16"/>
                        <w:szCs w:val="16"/>
                      </w:rPr>
                      <w:t>max</w:t>
                    </w:r>
                    <w:r w:rsidRPr="00074311">
                      <w:rPr>
                        <w:rFonts w:ascii="Arial" w:hAnsi="Arial" w:cs="Arial" w:hint="eastAsia"/>
                        <w:sz w:val="16"/>
                        <w:szCs w:val="16"/>
                      </w:rPr>
                      <w:t>(</w:t>
                    </w:r>
                    <w:r w:rsidRPr="00074311">
                      <w:rPr>
                        <w:rFonts w:ascii="Arial" w:hAnsi="Arial" w:cs="Arial" w:hint="eastAsia"/>
                        <w:i/>
                        <w:sz w:val="16"/>
                        <w:szCs w:val="16"/>
                      </w:rPr>
                      <w:t>d</w:t>
                    </w:r>
                    <w:r w:rsidRPr="00074311">
                      <w:rPr>
                        <w:rFonts w:ascii="Arial" w:hAnsi="Arial" w:cs="Arial" w:hint="eastAsia"/>
                        <w:sz w:val="16"/>
                        <w:szCs w:val="16"/>
                        <w:vertAlign w:val="subscript"/>
                      </w:rPr>
                      <w:t>1</w:t>
                    </w:r>
                    <w:r w:rsidRPr="00074311">
                      <w:rPr>
                        <w:rFonts w:ascii="Arial" w:hAnsi="Arial" w:cs="Arial" w:hint="eastAsia"/>
                        <w:sz w:val="16"/>
                        <w:szCs w:val="16"/>
                      </w:rPr>
                      <w:t xml:space="preserve">, </w:t>
                    </w:r>
                    <w:r w:rsidRPr="00074311">
                      <w:rPr>
                        <w:rFonts w:ascii="Arial" w:hAnsi="Arial" w:cs="Arial" w:hint="eastAsia"/>
                        <w:i/>
                        <w:sz w:val="16"/>
                        <w:szCs w:val="16"/>
                      </w:rPr>
                      <w:t>d</w:t>
                    </w:r>
                    <w:r w:rsidRPr="00074311">
                      <w:rPr>
                        <w:rFonts w:ascii="Arial" w:hAnsi="Arial" w:cs="Arial" w:hint="eastAsia"/>
                        <w:sz w:val="16"/>
                        <w:szCs w:val="16"/>
                        <w:vertAlign w:val="subscript"/>
                      </w:rPr>
                      <w:t>2</w:t>
                    </w:r>
                    <w:r w:rsidRPr="00F15409">
                      <w:rPr>
                        <w:rFonts w:ascii="Arial" w:hAnsi="Arial" w:cs="Arial" w:hint="eastAsia"/>
                        <w:sz w:val="16"/>
                        <w:szCs w:val="16"/>
                      </w:rPr>
                      <w:t>)</w:t>
                    </w:r>
                  </w:p>
                </w:txbxContent>
              </v:textbox>
            </v:shape>
            <v:shape id="Text Box 10942" o:spid="_x0000_s1608" type="#_x0000_t202" style="position:absolute;left:2571;top:3763;width:1733;height:38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" stroked="f">
              <v:textbox style="mso-fit-shape-to-text:t" inset="5.85pt,.7pt,5.85pt,.7pt">
                <w:txbxContent>
                  <w:p w14:paraId="461EC6C8" w14:textId="77777777" w:rsidR="003B0864" w:rsidRPr="00F15409" w:rsidRDefault="003B0864" w:rsidP="00342321">
                    <w:pPr>
                      <w:rPr>
                        <w:rFonts w:ascii="Arial" w:hAnsi="Arial" w:cs="Arial"/>
                        <w:sz w:val="16"/>
                        <w:szCs w:val="16"/>
                      </w:rPr>
                    </w:pPr>
                    <w:r w:rsidRPr="00F15409">
                      <w:rPr>
                        <w:rFonts w:ascii="Arial" w:hAnsi="Arial" w:cs="Arial" w:hint="eastAsia"/>
                        <w:i/>
                        <w:sz w:val="16"/>
                        <w:szCs w:val="16"/>
                      </w:rPr>
                      <w:t>S</w:t>
                    </w:r>
                    <w:r w:rsidRPr="00F15409">
                      <w:rPr>
                        <w:rFonts w:ascii="Arial" w:hAnsi="Arial" w:cs="Arial" w:hint="eastAsia"/>
                        <w:sz w:val="16"/>
                        <w:szCs w:val="16"/>
                      </w:rPr>
                      <w:t>≦</w:t>
                    </w:r>
                    <w:r w:rsidRPr="00F15409">
                      <w:rPr>
                        <w:rFonts w:ascii="Arial" w:hAnsi="Arial" w:cs="Arial" w:hint="eastAsia"/>
                        <w:sz w:val="16"/>
                        <w:szCs w:val="16"/>
                      </w:rPr>
                      <w:t>max(</w:t>
                    </w:r>
                    <w:r w:rsidRPr="00074311">
                      <w:rPr>
                        <w:rFonts w:ascii="Arial" w:hAnsi="Arial" w:cs="Arial" w:hint="eastAsia"/>
                        <w:sz w:val="16"/>
                        <w:szCs w:val="16"/>
                      </w:rPr>
                      <w:t>0.5</w:t>
                    </w:r>
                    <w:r w:rsidRPr="00074311">
                      <w:rPr>
                        <w:rFonts w:ascii="Arial" w:hAnsi="Arial" w:cs="Arial" w:hint="eastAsia"/>
                        <w:i/>
                        <w:sz w:val="16"/>
                        <w:szCs w:val="16"/>
                      </w:rPr>
                      <w:t>d</w:t>
                    </w:r>
                    <w:r w:rsidRPr="00074311">
                      <w:rPr>
                        <w:rFonts w:ascii="Arial" w:hAnsi="Arial" w:cs="Arial" w:hint="eastAsia"/>
                        <w:sz w:val="16"/>
                        <w:szCs w:val="16"/>
                        <w:vertAlign w:val="subscript"/>
                      </w:rPr>
                      <w:t>1</w:t>
                    </w:r>
                    <w:r w:rsidRPr="00074311">
                      <w:rPr>
                        <w:rFonts w:ascii="Arial" w:hAnsi="Arial" w:cs="Arial" w:hint="eastAsia"/>
                        <w:sz w:val="16"/>
                        <w:szCs w:val="16"/>
                      </w:rPr>
                      <w:t>, 0.5</w:t>
                    </w:r>
                    <w:r w:rsidRPr="00074311">
                      <w:rPr>
                        <w:rFonts w:ascii="Arial" w:hAnsi="Arial" w:cs="Arial" w:hint="eastAsia"/>
                        <w:i/>
                        <w:sz w:val="16"/>
                        <w:szCs w:val="16"/>
                      </w:rPr>
                      <w:t>d</w:t>
                    </w:r>
                    <w:r w:rsidRPr="00074311">
                      <w:rPr>
                        <w:rFonts w:ascii="Arial" w:hAnsi="Arial" w:cs="Arial" w:hint="eastAsia"/>
                        <w:sz w:val="16"/>
                        <w:szCs w:val="16"/>
                        <w:vertAlign w:val="subscript"/>
                      </w:rPr>
                      <w:t>2</w:t>
                    </w:r>
                    <w:r w:rsidRPr="00074311">
                      <w:rPr>
                        <w:rFonts w:ascii="Arial" w:hAnsi="Arial" w:cs="Arial" w:hint="eastAsia"/>
                        <w:sz w:val="16"/>
                        <w:szCs w:val="16"/>
                      </w:rPr>
                      <w:t>)</w:t>
                    </w:r>
                  </w:p>
                </w:txbxContent>
              </v:textbox>
            </v:shape>
            <v:rect id="Rectangle 10943" o:spid="_x0000_s1609" style="position:absolute;left:7452;top:1981;width:545;height:1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" stroked="f">
              <v:textbox style="mso-fit-shape-to-text:t" inset="5.85pt,.7pt,5.85pt,.7pt"/>
            </v:rect>
            <v:shape id="Text Box 10944" o:spid="_x0000_s1610" type="#_x0000_t202" style="position:absolute;left:7326;top:1736;width:874;height:38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" filled="f" stroked="f">
              <v:textbox style="mso-fit-shape-to-text:t" inset="5.85pt,.7pt,5.85pt,.7pt">
                <w:txbxContent>
                  <w:p w14:paraId="577EDF4C" w14:textId="77777777" w:rsidR="003B0864" w:rsidRPr="00E14099" w:rsidRDefault="003B0864" w:rsidP="00342321">
                    <w:pPr>
                      <w:rPr>
                        <w:rFonts w:ascii="Arial" w:hAnsi="Arial" w:cs="Arial"/>
                        <w:sz w:val="15"/>
                        <w:szCs w:val="15"/>
                      </w:rPr>
                    </w:pPr>
                    <w:r w:rsidRPr="00E14099">
                      <w:rPr>
                        <w:rFonts w:ascii="Arial" w:hAnsi="Arial" w:cs="Arial" w:hint="eastAsia"/>
                        <w:i/>
                        <w:sz w:val="15"/>
                        <w:szCs w:val="15"/>
                      </w:rPr>
                      <w:t>S</w:t>
                    </w:r>
                    <w:r w:rsidRPr="00E14099">
                      <w:rPr>
                        <w:rFonts w:ascii="Arial" w:hAnsi="Arial" w:cs="Arial" w:hint="eastAsia"/>
                        <w:sz w:val="15"/>
                        <w:szCs w:val="15"/>
                      </w:rPr>
                      <w:t>≧</w:t>
                    </w:r>
                    <w:r w:rsidRPr="00E14099">
                      <w:rPr>
                        <w:rFonts w:ascii="Arial" w:hAnsi="Arial" w:cs="Arial" w:hint="eastAsia"/>
                        <w:sz w:val="15"/>
                        <w:szCs w:val="15"/>
                      </w:rPr>
                      <w:t xml:space="preserve">0.4 </w:t>
                    </w:r>
                    <w:r w:rsidRPr="00E14099">
                      <w:rPr>
                        <w:rFonts w:ascii="Arial" w:hAnsi="Arial" w:cs="Arial" w:hint="eastAsia"/>
                        <w:i/>
                        <w:sz w:val="15"/>
                        <w:szCs w:val="15"/>
                      </w:rPr>
                      <w:t>d</w:t>
                    </w:r>
                    <w:r w:rsidRPr="00E14099">
                      <w:rPr>
                        <w:rFonts w:ascii="Arial" w:hAnsi="Arial" w:cs="Arial" w:hint="eastAsia"/>
                        <w:sz w:val="15"/>
                        <w:szCs w:val="15"/>
                        <w:vertAlign w:val="subscript"/>
                      </w:rPr>
                      <w:t>2</w:t>
                    </w:r>
                  </w:p>
                </w:txbxContent>
              </v:textbox>
            </v:shape>
          </v:group>
        </w:pict>
      </w:r>
    </w:p>
    <w:p w14:paraId="0E291B74" w14:textId="77777777" w:rsidR="00342321" w:rsidRPr="00BC31E0" w:rsidRDefault="00A51873" w:rsidP="00342321">
      <w:pPr>
        <w:autoSpaceDE w:val="0"/>
        <w:autoSpaceDN w:val="0"/>
        <w:spacing w:line="360" w:lineRule="atLeast"/>
        <w:jc w:val="center"/>
        <w:rPr>
          <w:rFonts w:ascii="ＭＳ 明朝" w:hAnsi="ＭＳ 明朝" w:cs="Century"/>
          <w:kern w:val="0"/>
        </w:rPr>
      </w:pPr>
      <w:r>
        <w:rPr>
          <w:noProof/>
        </w:rPr>
        <w:pict w14:anchorId="15D76081">
          <v:rect id="正方形/長方形 1793" o:spid="_x0000_s3357" style="position:absolute;left:0;text-align:left;margin-left:165.6pt;margin-top:506.5pt;width:40.15pt;height:20.15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" stroked="f">
            <v:textbox inset="5.85pt,.7pt,5.85pt,.7pt"/>
          </v:rect>
        </w:pict>
      </w:r>
      <w:r>
        <w:rPr>
          <w:noProof/>
        </w:rPr>
        <w:pict w14:anchorId="029DEE6A">
          <v:rect id="正方形/長方形 1792" o:spid="_x0000_s3356" style="position:absolute;left:0;text-align:left;margin-left:366.5pt;margin-top:431.45pt;width:38.15pt;height:11.1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" stroked="f">
            <v:textbox inset="5.85pt,.7pt,5.85pt,.7pt"/>
          </v:rect>
        </w:pict>
      </w:r>
      <w:r>
        <w:rPr>
          <w:noProof/>
        </w:rPr>
        <w:pict w14:anchorId="7FCFF8CC">
          <v:rect id="正方形/長方形 735" o:spid="_x0000_s3355" style="position:absolute;left:0;text-align:left;margin-left:172.55pt;margin-top:68.6pt;width:33.2pt;height:21.9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" stroked="f">
            <v:textbox inset="5.85pt,.7pt,5.85pt,.7pt"/>
          </v:rect>
        </w:pict>
      </w:r>
      <w:r>
        <w:rPr>
          <w:noProof/>
        </w:rPr>
        <w:pict w14:anchorId="6888B554">
          <v:rect id="正方形/長方形 734" o:spid="_x0000_s3354" style="position:absolute;left:0;text-align:left;margin-left:216.25pt;margin-top:168.95pt;width:39.15pt;height:21.9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" stroked="f">
            <v:textbox inset="5.85pt,.7pt,5.85pt,.7pt"/>
          </v:rect>
        </w:pict>
      </w:r>
      <w:r>
        <w:rPr>
          <w:noProof/>
        </w:rPr>
        <w:pict w14:anchorId="5FA134CD">
          <v:rect id="正方形/長方形 733" o:spid="_x0000_s3353" style="position:absolute;left:0;text-align:left;margin-left:212.3pt;margin-top:68.15pt;width:39.15pt;height:21.9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" stroked="f">
            <v:textbox inset="5.85pt,.7pt,5.85pt,.7pt"/>
          </v:rect>
        </w:pict>
      </w:r>
    </w:p>
    <w:p w14:paraId="5A0EDEEC" w14:textId="77777777" w:rsidR="00342321" w:rsidRPr="00BC31E0" w:rsidRDefault="00342321" w:rsidP="00342321">
      <w:pPr>
        <w:pStyle w:val="af4"/>
        <w:rPr>
          <w:rFonts w:cs="Century"/>
          <w:kern w:val="0"/>
        </w:rPr>
      </w:pPr>
      <w:r w:rsidRPr="00BC31E0">
        <w:rPr>
          <w:rFonts w:cs="Century" w:hint="eastAsia"/>
          <w:kern w:val="0"/>
        </w:rPr>
        <w:t>図9.3.3　同一平面上にある並列な複数個の平面きずの取扱い</w:t>
      </w:r>
      <w:r w:rsidRPr="00BC31E0">
        <w:rPr>
          <w:rFonts w:hAnsi="ＭＳ ゴシック" w:hint="eastAsia"/>
          <w:szCs w:val="20"/>
          <w:vertAlign w:val="superscript"/>
        </w:rPr>
        <w:t>†</w:t>
      </w:r>
    </w:p>
    <w:p w14:paraId="078ADCE7" w14:textId="77777777" w:rsidR="00342321" w:rsidRPr="00BC31E0" w:rsidRDefault="00342321" w:rsidP="00342321">
      <w:pPr>
        <w:pStyle w:val="af4"/>
        <w:jc w:val="both"/>
        <w:rPr>
          <w:rFonts w:cs="Century"/>
          <w:kern w:val="0"/>
        </w:rPr>
      </w:pPr>
    </w:p>
    <w:p w14:paraId="7549433C" w14:textId="77777777" w:rsidR="00342321" w:rsidRPr="00BC31E0" w:rsidRDefault="00342321" w:rsidP="00342321">
      <w:pPr>
        <w:widowControl/>
        <w:jc w:val="left"/>
        <w:rPr>
          <w:rFonts w:ascii="ＭＳ ゴシック" w:eastAsia="ＭＳ ゴシック" w:cs="Century"/>
          <w:b/>
          <w:kern w:val="0"/>
        </w:rPr>
      </w:pPr>
      <w:r w:rsidRPr="00BC31E0">
        <w:rPr>
          <w:rFonts w:cs="Century"/>
          <w:kern w:val="0"/>
        </w:rPr>
        <w:br w:type="page"/>
      </w:r>
    </w:p>
    <w:p w14:paraId="16A55347" w14:textId="77777777" w:rsidR="00342321" w:rsidRPr="00BC31E0" w:rsidRDefault="00A51873" w:rsidP="00342321">
      <w:pPr>
        <w:pStyle w:val="af4"/>
        <w:spacing w:line="360" w:lineRule="atLeast"/>
        <w:rPr>
          <w:rFonts w:cs="Century"/>
          <w:kern w:val="0"/>
        </w:rPr>
      </w:pPr>
      <w:r>
        <w:rPr>
          <w:rFonts w:cs="Century"/>
          <w:noProof/>
          <w:kern w:val="0"/>
        </w:rPr>
        <w:lastRenderedPageBreak/>
        <w:pict w14:anchorId="46737BC8">
          <v:group id="グループ化 724" o:spid="_x0000_s1611" style="position:absolute;left:0;text-align:left;margin-left:69.85pt;margin-top:130.1pt;width:404.5pt;height:162.25pt;z-index:251696640" coordorigin="2815,4303" coordsize="8090,3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">
            <v:shape id="Text Box 10005" o:spid="_x0000_s1612" type="#_x0000_t202" style="position:absolute;left:9820;top:5035;width:1085;height:2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" filled="f" stroked="f">
              <v:textbox style="mso-fit-shape-to-text:t" inset="5.85pt,.7pt,5.85pt,.7pt">
                <w:txbxContent>
                  <w:p w14:paraId="4A096FA6" w14:textId="77777777" w:rsidR="003B0864" w:rsidRPr="006052D6" w:rsidRDefault="003B0864" w:rsidP="00342321">
                    <w:pPr>
                      <w:snapToGrid w:val="0"/>
                      <w:rPr>
                        <w:rFonts w:ascii="Arial" w:hAnsi="Arial" w:cs="Arial"/>
                        <w:sz w:val="18"/>
                        <w:szCs w:val="18"/>
                      </w:rPr>
                    </w:pPr>
                    <w:r w:rsidRPr="00A76381">
                      <w:rPr>
                        <w:rFonts w:ascii="Arial" w:hAnsi="Arial" w:cs="Arial" w:hint="eastAsia"/>
                        <w:i/>
                        <w:sz w:val="18"/>
                        <w:szCs w:val="18"/>
                      </w:rPr>
                      <w:t>S</w:t>
                    </w:r>
                    <w:r w:rsidRPr="006052D6">
                      <w:rPr>
                        <w:rFonts w:ascii="Arial" w:hAnsi="Arial" w:cs="Arial" w:hint="eastAsia"/>
                        <w:sz w:val="18"/>
                        <w:szCs w:val="18"/>
                      </w:rPr>
                      <w:t>≦</w:t>
                    </w:r>
                    <w:r w:rsidRPr="006052D6">
                      <w:rPr>
                        <w:rFonts w:ascii="Arial" w:hAnsi="Arial" w:cs="Arial"/>
                        <w:sz w:val="18"/>
                        <w:szCs w:val="18"/>
                      </w:rPr>
                      <w:t>13</w:t>
                    </w:r>
                    <w:r>
                      <w:rPr>
                        <w:rFonts w:ascii="Arial" w:hAnsi="Arial" w:cs="Arial"/>
                        <w:sz w:val="18"/>
                        <w:szCs w:val="18"/>
                      </w:rPr>
                      <w:t xml:space="preserve"> mm</w:t>
                    </w:r>
                  </w:p>
                </w:txbxContent>
              </v:textbox>
            </v:shape>
            <v:shape id="Text Box 10007" o:spid="_x0000_s1613" type="#_x0000_t202" style="position:absolute;left:8339;top:6395;width:984;height:2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" stroked="f">
              <v:textbox style="mso-fit-shape-to-text:t" inset="5.85pt,.7pt,5.85pt,.7pt">
                <w:txbxContent>
                  <w:p w14:paraId="79AD0265" w14:textId="77777777" w:rsidR="003B0864" w:rsidRPr="006052D6" w:rsidRDefault="003B0864" w:rsidP="00342321">
                    <w:pPr>
                      <w:snapToGrid w:val="0"/>
                      <w:contextualSpacing/>
                      <w:jc w:val="center"/>
                      <w:rPr>
                        <w:rFonts w:ascii="ＭＳ ゴシック" w:eastAsia="ＭＳ ゴシック" w:hAnsi="ＭＳ ゴシック"/>
                        <w:sz w:val="18"/>
                        <w:szCs w:val="18"/>
                      </w:rPr>
                    </w:pPr>
                    <w:r w:rsidRPr="006052D6">
                      <w:rPr>
                        <w:rFonts w:ascii="ＭＳ ゴシック" w:eastAsia="ＭＳ ゴシック" w:hAnsi="ＭＳ ゴシック" w:hint="eastAsia"/>
                        <w:sz w:val="18"/>
                        <w:szCs w:val="18"/>
                      </w:rPr>
                      <w:t>表面</w:t>
                    </w:r>
                    <w:r w:rsidRPr="004C4F89">
                      <w:rPr>
                        <w:rFonts w:ascii="ＭＳ ゴシック" w:eastAsia="ＭＳ ゴシック" w:hAnsi="ＭＳ ゴシック" w:hint="eastAsia"/>
                        <w:sz w:val="18"/>
                        <w:szCs w:val="18"/>
                      </w:rPr>
                      <w:t>きず</w:t>
                    </w:r>
                  </w:p>
                </w:txbxContent>
              </v:textbox>
            </v:shape>
            <v:shape id="Text Box 10011" o:spid="_x0000_s1614" type="#_x0000_t202" style="position:absolute;left:4491;top:6361;width:984;height:2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" stroked="f">
              <v:textbox style="mso-fit-shape-to-text:t" inset="5.85pt,.7pt,5.85pt,.7pt">
                <w:txbxContent>
                  <w:p w14:paraId="63E0A235" w14:textId="77777777" w:rsidR="003B0864" w:rsidRPr="00BF552F" w:rsidRDefault="003B0864" w:rsidP="00342321">
                    <w:pPr>
                      <w:snapToGrid w:val="0"/>
                      <w:contextualSpacing/>
                      <w:jc w:val="center"/>
                      <w:rPr>
                        <w:rFonts w:ascii="ＭＳ ゴシック" w:eastAsia="ＭＳ ゴシック" w:hAnsi="ＭＳ ゴシック"/>
                        <w:sz w:val="18"/>
                        <w:szCs w:val="18"/>
                      </w:rPr>
                    </w:pPr>
                    <w:r w:rsidRPr="00BF552F">
                      <w:rPr>
                        <w:rFonts w:ascii="ＭＳ ゴシック" w:eastAsia="ＭＳ ゴシック" w:hAnsi="ＭＳ ゴシック" w:hint="eastAsia"/>
                        <w:sz w:val="18"/>
                        <w:szCs w:val="18"/>
                      </w:rPr>
                      <w:t>内部</w:t>
                    </w:r>
                    <w:r w:rsidRPr="004C4F89">
                      <w:rPr>
                        <w:rFonts w:ascii="ＭＳ ゴシック" w:eastAsia="ＭＳ ゴシック" w:hAnsi="ＭＳ ゴシック" w:hint="eastAsia"/>
                        <w:sz w:val="18"/>
                        <w:szCs w:val="18"/>
                      </w:rPr>
                      <w:t>きず</w:t>
                    </w:r>
                  </w:p>
                </w:txbxContent>
              </v:textbox>
            </v:shape>
            <v:shape id="Text Box 10013" o:spid="_x0000_s1615" type="#_x0000_t202" style="position:absolute;left:2815;top:6341;width:1085;height:2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" stroked="f">
              <v:textbox style="mso-fit-shape-to-text:t" inset="5.85pt,.7pt,5.85pt,.7pt">
                <w:txbxContent>
                  <w:p w14:paraId="2CDB2BCD" w14:textId="77777777" w:rsidR="003B0864" w:rsidRPr="00BF552F" w:rsidRDefault="003B0864" w:rsidP="00342321">
                    <w:pPr>
                      <w:snapToGrid w:val="0"/>
                      <w:rPr>
                        <w:rFonts w:ascii="Arial" w:hAnsi="Arial" w:cs="Arial"/>
                        <w:sz w:val="18"/>
                        <w:szCs w:val="18"/>
                      </w:rPr>
                    </w:pPr>
                    <w:r w:rsidRPr="00A76381">
                      <w:rPr>
                        <w:rFonts w:ascii="Arial" w:hAnsi="Arial" w:cs="Arial" w:hint="eastAsia"/>
                        <w:i/>
                        <w:sz w:val="18"/>
                        <w:szCs w:val="18"/>
                      </w:rPr>
                      <w:t>S</w:t>
                    </w:r>
                    <w:r w:rsidRPr="00BF552F">
                      <w:rPr>
                        <w:rFonts w:ascii="Arial" w:hAnsi="Arial" w:cs="Arial" w:hint="eastAsia"/>
                        <w:sz w:val="18"/>
                        <w:szCs w:val="18"/>
                      </w:rPr>
                      <w:t>≦</w:t>
                    </w:r>
                    <w:r w:rsidRPr="00BF552F">
                      <w:rPr>
                        <w:rFonts w:ascii="Arial" w:hAnsi="Arial" w:cs="Arial"/>
                        <w:sz w:val="18"/>
                        <w:szCs w:val="18"/>
                      </w:rPr>
                      <w:t>13</w:t>
                    </w:r>
                    <w:r>
                      <w:rPr>
                        <w:rFonts w:ascii="Arial" w:hAnsi="Arial" w:cs="Arial"/>
                        <w:sz w:val="18"/>
                        <w:szCs w:val="18"/>
                      </w:rPr>
                      <w:t xml:space="preserve"> mm</w:t>
                    </w:r>
                  </w:p>
                </w:txbxContent>
              </v:textbox>
            </v:shape>
            <v:shape id="Text Box 10014" o:spid="_x0000_s1616" type="#_x0000_t202" style="position:absolute;left:4925;top:7287;width:1470;height:2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" stroked="f">
              <v:textbox style="mso-fit-shape-to-text:t" inset="5.85pt,.7pt,5.85pt,.7pt">
                <w:txbxContent>
                  <w:p w14:paraId="0A4D7FB1" w14:textId="77777777" w:rsidR="003B0864" w:rsidRPr="006052D6" w:rsidRDefault="003B0864" w:rsidP="00342321">
                    <w:pPr>
                      <w:snapToGrid w:val="0"/>
                      <w:rPr>
                        <w:rFonts w:ascii="Arial" w:eastAsia="ＭＳ ゴシック" w:hAnsi="Arial" w:cs="Arial"/>
                        <w:sz w:val="18"/>
                        <w:szCs w:val="18"/>
                      </w:rPr>
                    </w:pPr>
                    <w:r w:rsidRPr="004C4F89">
                      <w:rPr>
                        <w:rFonts w:ascii="Arial" w:eastAsia="ＭＳ ゴシック" w:hAnsi="ＭＳ ゴシック" w:cs="Arial" w:hint="eastAsia"/>
                        <w:sz w:val="18"/>
                        <w:szCs w:val="18"/>
                      </w:rPr>
                      <w:t>きず</w:t>
                    </w:r>
                    <w:r>
                      <w:rPr>
                        <w:rFonts w:ascii="Arial" w:eastAsia="ＭＳ ゴシック" w:hAnsi="ＭＳ ゴシック" w:cs="Arial" w:hint="eastAsia"/>
                        <w:color w:val="FF0000"/>
                        <w:sz w:val="18"/>
                        <w:szCs w:val="18"/>
                      </w:rPr>
                      <w:t xml:space="preserve"> </w:t>
                    </w:r>
                    <w:r w:rsidRPr="006052D6">
                      <w:rPr>
                        <w:rFonts w:ascii="Arial" w:eastAsia="ＭＳ ゴシック" w:hAnsi="Arial" w:cs="Arial"/>
                        <w:sz w:val="18"/>
                        <w:szCs w:val="18"/>
                      </w:rPr>
                      <w:t>#</w:t>
                    </w:r>
                    <w:r w:rsidRPr="006052D6">
                      <w:rPr>
                        <w:rFonts w:ascii="Arial" w:eastAsia="ＭＳ ゴシック" w:hAnsi="Arial" w:cs="Arial" w:hint="eastAsia"/>
                        <w:sz w:val="18"/>
                        <w:szCs w:val="18"/>
                      </w:rPr>
                      <w:t>4</w:t>
                    </w:r>
                    <w:r w:rsidRPr="006052D6">
                      <w:rPr>
                        <w:rFonts w:ascii="Arial" w:eastAsia="ＭＳ ゴシック" w:hAnsi="ＭＳ ゴシック" w:cs="Arial"/>
                        <w:sz w:val="18"/>
                        <w:szCs w:val="18"/>
                      </w:rPr>
                      <w:t>の平面</w:t>
                    </w:r>
                  </w:p>
                </w:txbxContent>
              </v:textbox>
            </v:shape>
            <v:shape id="Text Box 10015" o:spid="_x0000_s1617" type="#_x0000_t202" style="position:absolute;left:5774;top:6101;width:1470;height:2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" stroked="f">
              <v:textbox style="mso-fit-shape-to-text:t" inset="5.85pt,.7pt,5.85pt,.7pt">
                <w:txbxContent>
                  <w:p w14:paraId="58A199CB" w14:textId="77777777" w:rsidR="003B0864" w:rsidRPr="00BF552F" w:rsidRDefault="003B0864" w:rsidP="00342321">
                    <w:pPr>
                      <w:snapToGrid w:val="0"/>
                      <w:contextualSpacing/>
                      <w:rPr>
                        <w:rFonts w:ascii="Arial" w:eastAsia="ＭＳ ゴシック" w:hAnsi="Arial" w:cs="Arial"/>
                        <w:sz w:val="18"/>
                        <w:szCs w:val="18"/>
                      </w:rPr>
                    </w:pPr>
                    <w:r w:rsidRPr="004C4F89">
                      <w:rPr>
                        <w:rFonts w:ascii="Arial" w:eastAsia="ＭＳ ゴシック" w:hAnsi="ＭＳ ゴシック" w:cs="Arial" w:hint="eastAsia"/>
                        <w:sz w:val="18"/>
                        <w:szCs w:val="18"/>
                      </w:rPr>
                      <w:t>きず</w:t>
                    </w:r>
                    <w:r>
                      <w:rPr>
                        <w:rFonts w:ascii="Arial" w:eastAsia="ＭＳ ゴシック" w:hAnsi="ＭＳ ゴシック" w:cs="Arial" w:hint="eastAsia"/>
                        <w:color w:val="FF0000"/>
                        <w:sz w:val="18"/>
                        <w:szCs w:val="18"/>
                      </w:rPr>
                      <w:t xml:space="preserve"> </w:t>
                    </w:r>
                    <w:r w:rsidRPr="00BF552F">
                      <w:rPr>
                        <w:rFonts w:ascii="Arial" w:eastAsia="ＭＳ ゴシック" w:hAnsi="Arial" w:cs="Arial"/>
                        <w:sz w:val="18"/>
                        <w:szCs w:val="18"/>
                      </w:rPr>
                      <w:t>#</w:t>
                    </w:r>
                    <w:r w:rsidRPr="00BF552F">
                      <w:rPr>
                        <w:rFonts w:ascii="Arial" w:eastAsia="ＭＳ ゴシック" w:hAnsi="Arial" w:cs="Arial" w:hint="eastAsia"/>
                        <w:sz w:val="18"/>
                        <w:szCs w:val="18"/>
                      </w:rPr>
                      <w:t>3</w:t>
                    </w:r>
                    <w:r w:rsidRPr="00BF552F">
                      <w:rPr>
                        <w:rFonts w:ascii="Arial" w:eastAsia="ＭＳ ゴシック" w:hAnsi="ＭＳ ゴシック" w:cs="Arial"/>
                        <w:sz w:val="18"/>
                        <w:szCs w:val="18"/>
                      </w:rPr>
                      <w:t>の平面</w:t>
                    </w:r>
                  </w:p>
                </w:txbxContent>
              </v:textbox>
            </v:shape>
            <v:shape id="Text Box 10019" o:spid="_x0000_s1618" type="#_x0000_t202" style="position:absolute;left:4563;top:4303;width:1470;height:2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" stroked="f">
              <v:textbox style="mso-fit-shape-to-text:t" inset="5.85pt,.7pt,5.85pt,.7pt">
                <w:txbxContent>
                  <w:p w14:paraId="72CFB413" w14:textId="77777777" w:rsidR="003B0864" w:rsidRPr="00BF552F" w:rsidRDefault="003B0864" w:rsidP="00342321">
                    <w:pPr>
                      <w:snapToGrid w:val="0"/>
                      <w:contextualSpacing/>
                      <w:rPr>
                        <w:rFonts w:ascii="Arial" w:eastAsia="ＭＳ ゴシック" w:hAnsi="Arial" w:cs="Arial"/>
                        <w:sz w:val="18"/>
                        <w:szCs w:val="18"/>
                      </w:rPr>
                    </w:pPr>
                    <w:r w:rsidRPr="004C4F89">
                      <w:rPr>
                        <w:rFonts w:ascii="Arial" w:eastAsia="ＭＳ ゴシック" w:hAnsi="ＭＳ ゴシック" w:cs="Arial" w:hint="eastAsia"/>
                        <w:sz w:val="18"/>
                        <w:szCs w:val="18"/>
                      </w:rPr>
                      <w:t>きず</w:t>
                    </w:r>
                    <w:r>
                      <w:rPr>
                        <w:rFonts w:ascii="Arial" w:eastAsia="ＭＳ ゴシック" w:hAnsi="ＭＳ ゴシック" w:cs="Arial" w:hint="eastAsia"/>
                        <w:color w:val="FF0000"/>
                        <w:sz w:val="18"/>
                        <w:szCs w:val="18"/>
                      </w:rPr>
                      <w:t xml:space="preserve"> </w:t>
                    </w:r>
                    <w:r w:rsidRPr="00BF552F">
                      <w:rPr>
                        <w:rFonts w:ascii="Arial" w:eastAsia="ＭＳ ゴシック" w:hAnsi="Arial" w:cs="Arial"/>
                        <w:sz w:val="18"/>
                        <w:szCs w:val="18"/>
                      </w:rPr>
                      <w:t>#</w:t>
                    </w:r>
                    <w:r w:rsidRPr="00BF552F">
                      <w:rPr>
                        <w:rFonts w:ascii="Arial" w:eastAsia="ＭＳ ゴシック" w:hAnsi="Arial" w:cs="Arial" w:hint="eastAsia"/>
                        <w:sz w:val="18"/>
                        <w:szCs w:val="18"/>
                      </w:rPr>
                      <w:t>2</w:t>
                    </w:r>
                    <w:r w:rsidRPr="00BF552F">
                      <w:rPr>
                        <w:rFonts w:ascii="Arial" w:eastAsia="ＭＳ ゴシック" w:hAnsi="ＭＳ ゴシック" w:cs="Arial"/>
                        <w:sz w:val="18"/>
                        <w:szCs w:val="18"/>
                      </w:rPr>
                      <w:t>の平面</w:t>
                    </w:r>
                  </w:p>
                </w:txbxContent>
              </v:textbox>
            </v:shape>
            <v:shape id="Text Box 10020" o:spid="_x0000_s1619" type="#_x0000_t202" style="position:absolute;left:3348;top:5044;width:1470;height:2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" stroked="f">
              <v:textbox style="mso-fit-shape-to-text:t" inset="5.85pt,.7pt,5.85pt,.7pt">
                <w:txbxContent>
                  <w:p w14:paraId="10C2206C" w14:textId="77777777" w:rsidR="003B0864" w:rsidRPr="00BF552F" w:rsidRDefault="003B0864" w:rsidP="00342321">
                    <w:pPr>
                      <w:snapToGrid w:val="0"/>
                      <w:contextualSpacing/>
                      <w:rPr>
                        <w:rFonts w:ascii="Arial" w:eastAsia="ＭＳ ゴシック" w:hAnsi="Arial" w:cs="Arial"/>
                        <w:sz w:val="18"/>
                        <w:szCs w:val="18"/>
                      </w:rPr>
                    </w:pPr>
                    <w:r w:rsidRPr="004C4F89">
                      <w:rPr>
                        <w:rFonts w:ascii="Arial" w:eastAsia="ＭＳ ゴシック" w:hAnsi="ＭＳ ゴシック" w:cs="Arial" w:hint="eastAsia"/>
                        <w:sz w:val="18"/>
                        <w:szCs w:val="18"/>
                      </w:rPr>
                      <w:t>きず</w:t>
                    </w:r>
                    <w:r w:rsidRPr="004C4F89">
                      <w:rPr>
                        <w:rFonts w:ascii="Arial" w:eastAsia="ＭＳ ゴシック" w:hAnsi="ＭＳ ゴシック" w:cs="Arial" w:hint="eastAsia"/>
                        <w:sz w:val="18"/>
                        <w:szCs w:val="18"/>
                      </w:rPr>
                      <w:t xml:space="preserve"> </w:t>
                    </w:r>
                    <w:r w:rsidRPr="00BF552F">
                      <w:rPr>
                        <w:rFonts w:ascii="Arial" w:eastAsia="ＭＳ ゴシック" w:hAnsi="Arial" w:cs="Arial"/>
                        <w:sz w:val="18"/>
                        <w:szCs w:val="18"/>
                      </w:rPr>
                      <w:t>#</w:t>
                    </w:r>
                    <w:r w:rsidRPr="00BF552F">
                      <w:rPr>
                        <w:rFonts w:ascii="Arial" w:eastAsia="ＭＳ ゴシック" w:hAnsi="Arial" w:cs="Arial" w:hint="eastAsia"/>
                        <w:sz w:val="18"/>
                        <w:szCs w:val="18"/>
                      </w:rPr>
                      <w:t>1</w:t>
                    </w:r>
                    <w:r w:rsidRPr="00BF552F">
                      <w:rPr>
                        <w:rFonts w:ascii="Arial" w:eastAsia="ＭＳ ゴシック" w:hAnsi="ＭＳ ゴシック" w:cs="Arial"/>
                        <w:sz w:val="18"/>
                        <w:szCs w:val="18"/>
                      </w:rPr>
                      <w:t>の平面</w:t>
                    </w:r>
                  </w:p>
                </w:txbxContent>
              </v:textbox>
            </v:shape>
          </v:group>
        </w:pict>
      </w:r>
      <w:r>
        <w:rPr>
          <w:rFonts w:cs="Century"/>
          <w:noProof/>
          <w:kern w:val="0"/>
        </w:rPr>
        <w:pict w14:anchorId="5760834B">
          <v:rect id="正方形/長方形 723" o:spid="_x0000_s3352" style="position:absolute;left:0;text-align:left;margin-left:240.75pt;margin-top:264.6pt;width:43.75pt;height:10.2pt;rotation:-2042627fd;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" stroked="f">
            <v:textbox style="mso-fit-shape-to-text:t" inset="5.85pt,.7pt,5.85pt,.7pt"/>
          </v:rect>
        </w:pict>
      </w:r>
      <w:r>
        <w:rPr>
          <w:rFonts w:cs="Century"/>
          <w:noProof/>
          <w:kern w:val="0"/>
        </w:rPr>
        <w:pict w14:anchorId="2C99B3B5">
          <v:rect id="正方形/長方形 722" o:spid="_x0000_s3351" style="position:absolute;left:0;text-align:left;margin-left:159.1pt;margin-top:193.9pt;width:43.75pt;height:8.35pt;rotation:-2042627fd;z-index:25169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" stroked="f">
            <v:textbox style="mso-fit-shape-to-text:t" inset="5.85pt,.7pt,5.85pt,.7pt"/>
          </v:rect>
        </w:pict>
      </w:r>
      <w:r>
        <w:rPr>
          <w:rFonts w:cs="Century"/>
          <w:noProof/>
          <w:kern w:val="0"/>
        </w:rPr>
        <w:pict w14:anchorId="1F8FE9F8">
          <v:rect id="正方形/長方形 721" o:spid="_x0000_s3350" style="position:absolute;left:0;text-align:left;margin-left:216.25pt;margin-top:167.15pt;width:43.75pt;height:8.35pt;rotation:-2042627fd;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" stroked="f">
            <v:textbox style="mso-fit-shape-to-text:t" inset="5.85pt,.7pt,5.85pt,.7pt"/>
          </v:rect>
        </w:pict>
      </w:r>
      <w:r>
        <w:rPr>
          <w:rFonts w:cs="Century"/>
          <w:noProof/>
          <w:kern w:val="0"/>
        </w:rPr>
        <w:pict w14:anchorId="6F0F7FF2">
          <v:rect id="正方形/長方形 720" o:spid="_x0000_s3349" style="position:absolute;left:0;text-align:left;margin-left:226.55pt;margin-top:177.9pt;width:43.75pt;height:8.35pt;rotation:-2042627fd;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" stroked="f">
            <v:textbox style="mso-fit-shape-to-text:t" inset="5.85pt,.7pt,5.85pt,.7pt"/>
          </v:rect>
        </w:pict>
      </w:r>
      <w:r>
        <w:rPr>
          <w:rFonts w:cs="Century"/>
          <w:noProof/>
          <w:kern w:val="0"/>
        </w:rPr>
        <w:pict w14:anchorId="40AC513D">
          <v:rect id="正方形/長方形 719" o:spid="_x0000_s3348" style="position:absolute;left:0;text-align:left;margin-left:98.1pt;margin-top:225.9pt;width:70.25pt;height:11.8pt;rotation:-2042627fd;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" stroked="f">
            <v:textbox style="mso-fit-shape-to-text:t" inset="5.85pt,.7pt,5.85pt,.7pt"/>
          </v:rect>
        </w:pict>
      </w:r>
      <w:r>
        <w:rPr>
          <w:rFonts w:cs="Century"/>
          <w:noProof/>
          <w:kern w:val="0"/>
        </w:rPr>
        <w:pict w14:anchorId="2DB56169">
          <v:rect id="正方形/長方形 718" o:spid="_x0000_s3347" style="position:absolute;left:0;text-align:left;margin-left:137.7pt;margin-top:241.2pt;width:57.2pt;height:10.2pt;rotation:-2042627fd;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" stroked="f">
            <v:textbox style="mso-fit-shape-to-text:t" inset="5.85pt,.7pt,5.85pt,.7pt"/>
          </v:rect>
        </w:pict>
      </w:r>
      <w:r>
        <w:rPr>
          <w:rFonts w:cs="Century"/>
          <w:noProof/>
          <w:kern w:val="0"/>
        </w:rPr>
        <w:pict w14:anchorId="2266C13A">
          <v:rect id="正方形/長方形 717" o:spid="_x0000_s3346" style="position:absolute;left:0;text-align:left;margin-left:205.25pt;margin-top:261.5pt;width:43.75pt;height:10.2pt;rotation:-2042627fd;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" stroked="f">
            <v:textbox style="mso-fit-shape-to-text:t" inset="5.85pt,.7pt,5.85pt,.7pt"/>
          </v:rect>
        </w:pict>
      </w:r>
      <w:r>
        <w:rPr>
          <w:rFonts w:cs="Century"/>
          <w:noProof/>
          <w:kern w:val="0"/>
        </w:rPr>
        <w:pict w14:anchorId="5B0F9DDE">
          <v:rect id="正方形/長方形 716" o:spid="_x0000_s3345" style="position:absolute;left:0;text-align:left;margin-left:349.1pt;margin-top:226pt;width:43.75pt;height:13.85pt;rotation:-2042627fd;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" stroked="f">
            <v:textbox style="mso-fit-shape-to-text:t" inset="5.85pt,.7pt,5.85pt,.7pt"/>
          </v:rect>
        </w:pict>
      </w:r>
      <w:r>
        <w:rPr>
          <w:rFonts w:cs="Century"/>
          <w:noProof/>
          <w:kern w:val="0"/>
        </w:rPr>
        <w:pict w14:anchorId="012838A6">
          <v:shape id="直線矢印コネクタ 715" o:spid="_x0000_s3344" type="#_x0000_t32" style="position:absolute;left:0;text-align:left;margin-left:421.25pt;margin-top:161.3pt;width:.05pt;height:21.3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">
            <v:stroke startarrow="classic" startarrowwidth="narrow" endarrow="classic" endarrowwidth="narrow"/>
          </v:shape>
        </w:pict>
      </w:r>
      <w:r>
        <w:rPr>
          <w:rFonts w:cs="Century"/>
          <w:noProof/>
          <w:kern w:val="0"/>
        </w:rPr>
        <w:pict w14:anchorId="7F11FA76">
          <v:rect id="正方形/長方形 714" o:spid="_x0000_s3343" style="position:absolute;left:0;text-align:left;margin-left:415.6pt;margin-top:156.05pt;width:46.1pt;height:15.85pt;rotation:-2195496fd;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" stroked="f">
            <v:textbox inset="5.85pt,.7pt,5.85pt,.7pt"/>
          </v:rect>
        </w:pict>
      </w:r>
      <w:r w:rsidR="00342321" w:rsidRPr="00BC31E0">
        <w:rPr>
          <w:rFonts w:cs="Century"/>
          <w:noProof/>
          <w:kern w:val="0"/>
        </w:rPr>
        <w:drawing>
          <wp:inline distT="0" distB="0" distL="0" distR="0" wp14:anchorId="6FC28FFB" wp14:editId="161A7304">
            <wp:extent cx="5687695" cy="4043680"/>
            <wp:effectExtent l="19050" t="0" r="8255" b="0"/>
            <wp:docPr id="706" name="図 380" descr="図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80" descr="図9"/>
                    <pic:cNvPicPr>
                      <a:picLocks noChangeAspect="1" noChangeArrowheads="1"/>
                    </pic:cNvPicPr>
                  </pic:nvPicPr>
                  <pic:blipFill>
                    <a:blip r:embed="rId117" cstate="print"/>
                    <a:srcRect/>
                    <a:stretch>
                      <a:fillRect/>
                    </a:stretch>
                  </pic:blipFill>
                  <pic:spPr bwMode="auto">
                    <a:xfrm>
                      <a:off x="0" y="0"/>
                      <a:ext cx="5687695" cy="4043680"/>
                    </a:xfrm>
                    <a:prstGeom prst="rect">
                      <a:avLst/>
                    </a:prstGeom>
                    <a:noFill/>
                    <a:ln w="9525">
                      <a:noFill/>
                      <a:miter lim="800000"/>
                      <a:headEnd/>
                      <a:tailEnd/>
                    </a:ln>
                  </pic:spPr>
                </pic:pic>
              </a:graphicData>
            </a:graphic>
          </wp:inline>
        </w:drawing>
      </w:r>
    </w:p>
    <w:p w14:paraId="5F7895A5" w14:textId="77777777" w:rsidR="00342321" w:rsidRPr="00BC31E0" w:rsidRDefault="00342321" w:rsidP="00342321">
      <w:pPr>
        <w:pStyle w:val="af4"/>
        <w:spacing w:line="360" w:lineRule="atLeast"/>
        <w:jc w:val="both"/>
        <w:rPr>
          <w:rFonts w:cs="Century"/>
          <w:kern w:val="0"/>
        </w:rPr>
      </w:pPr>
    </w:p>
    <w:p w14:paraId="3011C664" w14:textId="77777777" w:rsidR="00342321" w:rsidRPr="00BC31E0" w:rsidRDefault="00342321" w:rsidP="00342321">
      <w:pPr>
        <w:pStyle w:val="af4"/>
      </w:pPr>
      <w:r w:rsidRPr="00BC31E0">
        <w:rPr>
          <w:rFonts w:hint="eastAsia"/>
        </w:rPr>
        <w:t>図9.3.4　平行平面上にある接近する複数個の平面きずの取扱い</w:t>
      </w:r>
      <w:r w:rsidRPr="00BC31E0">
        <w:rPr>
          <w:rFonts w:hint="eastAsia"/>
          <w:vertAlign w:val="superscript"/>
        </w:rPr>
        <w:t>†</w:t>
      </w:r>
    </w:p>
    <w:p w14:paraId="34F4AFF0" w14:textId="77777777" w:rsidR="00342321" w:rsidRPr="00BC31E0" w:rsidRDefault="00342321" w:rsidP="00342321">
      <w:pPr>
        <w:pStyle w:val="af4"/>
        <w:jc w:val="both"/>
        <w:rPr>
          <w:rFonts w:cs="Century"/>
          <w:kern w:val="0"/>
        </w:rPr>
      </w:pPr>
    </w:p>
    <w:p w14:paraId="2A0E5A36" w14:textId="77777777" w:rsidR="00342321" w:rsidRPr="00BC31E0" w:rsidRDefault="00342321" w:rsidP="00342321">
      <w:pPr>
        <w:widowControl/>
        <w:jc w:val="left"/>
        <w:rPr>
          <w:rFonts w:ascii="ＭＳ ゴシック" w:eastAsia="ＭＳ ゴシック" w:cs="Century"/>
          <w:b/>
          <w:kern w:val="0"/>
        </w:rPr>
      </w:pPr>
      <w:r w:rsidRPr="00BC31E0">
        <w:rPr>
          <w:rFonts w:cs="Century"/>
          <w:kern w:val="0"/>
        </w:rPr>
        <w:br w:type="page"/>
      </w:r>
    </w:p>
    <w:p w14:paraId="03A7A329" w14:textId="77777777" w:rsidR="00342321" w:rsidRPr="00BC31E0" w:rsidRDefault="00A51873" w:rsidP="00342321">
      <w:pPr>
        <w:pStyle w:val="af4"/>
        <w:spacing w:line="360" w:lineRule="atLeast"/>
        <w:rPr>
          <w:rFonts w:cs="Century"/>
          <w:kern w:val="0"/>
        </w:rPr>
      </w:pPr>
      <w:r>
        <w:rPr>
          <w:rFonts w:cs="Century"/>
          <w:noProof/>
          <w:kern w:val="0"/>
        </w:rPr>
        <w:lastRenderedPageBreak/>
        <w:pict w14:anchorId="0FBB2A69">
          <v:group id="グループ化 1580" o:spid="_x0000_s1620" style="position:absolute;left:0;text-align:left;margin-left:31.5pt;margin-top:51.05pt;width:431.45pt;height:475.85pt;z-index:251699712" coordorigin="2048,2722" coordsize="8629,9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">
            <v:shape id="Text Box 9971" o:spid="_x0000_s1621" type="#_x0000_t202" style="position:absolute;left:8835;top:2722;width:1561;height:4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" stroked="f">
              <v:textbox style="mso-fit-shape-to-text:t" inset="5.85pt,.7pt,5.85pt,.7pt">
                <w:txbxContent>
                  <w:p w14:paraId="1C004678" w14:textId="77777777" w:rsidR="003B0864" w:rsidRPr="00BF552F" w:rsidRDefault="003B0864" w:rsidP="00342321">
                    <w:pPr>
                      <w:snapToGrid w:val="0"/>
                      <w:rPr>
                        <w:rFonts w:ascii="ＭＳ ゴシック" w:eastAsia="ＭＳ ゴシック" w:hAnsi="ＭＳ ゴシック"/>
                        <w:sz w:val="18"/>
                        <w:szCs w:val="18"/>
                      </w:rPr>
                    </w:pPr>
                    <w:r w:rsidRPr="00BF552F">
                      <w:rPr>
                        <w:rFonts w:ascii="ＭＳ ゴシック" w:eastAsia="ＭＳ ゴシック" w:hAnsi="ＭＳ ゴシック" w:hint="eastAsia"/>
                        <w:sz w:val="18"/>
                        <w:szCs w:val="18"/>
                      </w:rPr>
                      <w:t>クラッドのない</w:t>
                    </w:r>
                  </w:p>
                  <w:p w14:paraId="519C1D25" w14:textId="77777777" w:rsidR="003B0864" w:rsidRPr="00BF552F" w:rsidRDefault="003B0864" w:rsidP="00342321">
                    <w:pPr>
                      <w:snapToGrid w:val="0"/>
                      <w:rPr>
                        <w:rFonts w:ascii="ＭＳ ゴシック" w:eastAsia="ＭＳ ゴシック" w:hAnsi="ＭＳ ゴシック"/>
                        <w:sz w:val="18"/>
                        <w:szCs w:val="18"/>
                      </w:rPr>
                    </w:pPr>
                    <w:r w:rsidRPr="00BF552F">
                      <w:rPr>
                        <w:rFonts w:ascii="ＭＳ ゴシック" w:eastAsia="ＭＳ ゴシック" w:hAnsi="ＭＳ ゴシック" w:hint="eastAsia"/>
                        <w:sz w:val="18"/>
                        <w:szCs w:val="18"/>
                      </w:rPr>
                      <w:t>表面</w:t>
                    </w:r>
                  </w:p>
                </w:txbxContent>
              </v:textbox>
            </v:shape>
            <v:shape id="Text Box 9983" o:spid="_x0000_s1622" type="#_x0000_t202" style="position:absolute;left:2852;top:3696;width:1763;height:7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" stroked="f">
              <v:textbox inset="5.85pt,.7pt,5.85pt,.7pt">
                <w:txbxContent>
                  <w:p w14:paraId="27048C32" w14:textId="77777777" w:rsidR="003B0864" w:rsidRPr="008D4219" w:rsidRDefault="003B0864" w:rsidP="00342321">
                    <w:pPr>
                      <w:jc w:val="center"/>
                      <w:rPr>
                        <w:rFonts w:ascii="Arial" w:hAnsi="Arial" w:cs="Arial"/>
                        <w:i/>
                        <w:sz w:val="16"/>
                        <w:szCs w:val="16"/>
                      </w:rPr>
                    </w:pPr>
                  </w:p>
                  <w:p w14:paraId="748329A9" w14:textId="77777777" w:rsidR="003B0864" w:rsidRPr="008D4219" w:rsidRDefault="003B0864" w:rsidP="00342321">
                    <w:pPr>
                      <w:jc w:val="center"/>
                      <w:rPr>
                        <w:rFonts w:ascii="Arial" w:hAnsi="Arial" w:cs="Arial"/>
                        <w:sz w:val="16"/>
                        <w:szCs w:val="16"/>
                      </w:rPr>
                    </w:pPr>
                    <w:r w:rsidRPr="008D4219">
                      <w:rPr>
                        <w:rFonts w:ascii="Arial" w:hAnsi="Arial" w:cs="Arial"/>
                        <w:i/>
                        <w:sz w:val="16"/>
                        <w:szCs w:val="16"/>
                      </w:rPr>
                      <w:t>S</w:t>
                    </w:r>
                    <w:r w:rsidRPr="002859C7">
                      <w:rPr>
                        <w:rFonts w:ascii="Arial" w:hAnsi="Arial" w:cs="Arial" w:hint="eastAsia"/>
                        <w:sz w:val="16"/>
                        <w:szCs w:val="16"/>
                        <w:vertAlign w:val="subscript"/>
                      </w:rPr>
                      <w:t>1</w:t>
                    </w:r>
                    <w:r w:rsidRPr="008D4219">
                      <w:rPr>
                        <w:rFonts w:ascii="ＭＳ ゴシック" w:eastAsia="ＭＳ ゴシック" w:hAnsi="ＭＳ ゴシック" w:cs="Arial"/>
                        <w:sz w:val="16"/>
                        <w:szCs w:val="16"/>
                      </w:rPr>
                      <w:t>≦</w:t>
                    </w:r>
                    <w:r w:rsidRPr="008D4219">
                      <w:rPr>
                        <w:rFonts w:ascii="Arial" w:hAnsi="Arial" w:cs="Arial"/>
                        <w:sz w:val="16"/>
                        <w:szCs w:val="16"/>
                      </w:rPr>
                      <w:t>ma</w:t>
                    </w:r>
                    <w:r w:rsidRPr="00154067">
                      <w:rPr>
                        <w:rFonts w:ascii="Arial" w:hAnsi="Arial" w:cs="Arial"/>
                        <w:sz w:val="16"/>
                        <w:szCs w:val="16"/>
                      </w:rPr>
                      <w:t>x(</w:t>
                    </w:r>
                    <w:r w:rsidRPr="00154067">
                      <w:rPr>
                        <w:rFonts w:ascii="Arial" w:hAnsi="Arial" w:cs="Arial" w:hint="eastAsia"/>
                        <w:sz w:val="16"/>
                        <w:szCs w:val="16"/>
                      </w:rPr>
                      <w:t>0.5</w:t>
                    </w:r>
                    <w:r w:rsidRPr="00154067">
                      <w:rPr>
                        <w:rFonts w:ascii="Arial" w:hAnsi="Arial" w:cs="Arial"/>
                        <w:i/>
                        <w:sz w:val="16"/>
                        <w:szCs w:val="16"/>
                      </w:rPr>
                      <w:t>d</w:t>
                    </w:r>
                    <w:r w:rsidRPr="00154067">
                      <w:rPr>
                        <w:rFonts w:ascii="Arial" w:hAnsi="Arial" w:cs="Arial" w:hint="eastAsia"/>
                        <w:sz w:val="16"/>
                        <w:szCs w:val="16"/>
                        <w:vertAlign w:val="subscript"/>
                      </w:rPr>
                      <w:t>1</w:t>
                    </w:r>
                    <w:r w:rsidRPr="00154067">
                      <w:rPr>
                        <w:rFonts w:ascii="Arial" w:cs="Arial" w:hint="eastAsia"/>
                        <w:sz w:val="16"/>
                        <w:szCs w:val="16"/>
                      </w:rPr>
                      <w:t xml:space="preserve">, </w:t>
                    </w:r>
                    <w:r w:rsidRPr="00154067">
                      <w:rPr>
                        <w:rFonts w:ascii="Arial" w:hAnsi="Arial" w:cs="Arial"/>
                        <w:i/>
                        <w:sz w:val="16"/>
                        <w:szCs w:val="16"/>
                      </w:rPr>
                      <w:t>d</w:t>
                    </w:r>
                    <w:r w:rsidRPr="00154067">
                      <w:rPr>
                        <w:rFonts w:ascii="Arial" w:hAnsi="Arial" w:cs="Arial" w:hint="eastAsia"/>
                        <w:sz w:val="16"/>
                        <w:szCs w:val="16"/>
                        <w:vertAlign w:val="subscript"/>
                      </w:rPr>
                      <w:t>2</w:t>
                    </w:r>
                    <w:r w:rsidRPr="008D4219">
                      <w:rPr>
                        <w:rFonts w:ascii="Arial" w:hAnsi="Arial" w:cs="Arial"/>
                        <w:sz w:val="16"/>
                        <w:szCs w:val="16"/>
                      </w:rPr>
                      <w:t>)</w:t>
                    </w:r>
                  </w:p>
                  <w:p w14:paraId="66E22DE1" w14:textId="77777777" w:rsidR="003B0864" w:rsidRPr="008D4219" w:rsidRDefault="003B0864" w:rsidP="00342321">
                    <w:pPr>
                      <w:jc w:val="center"/>
                    </w:pPr>
                  </w:p>
                </w:txbxContent>
              </v:textbox>
            </v:shape>
            <v:shape id="Text Box 10021" o:spid="_x0000_s1623" type="#_x0000_t202" style="position:absolute;left:2601;top:5011;width:1245;height:2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" stroked="f">
              <v:textbox style="mso-fit-shape-to-text:t" inset="5.85pt,.7pt,5.85pt,.7pt">
                <w:txbxContent>
                  <w:p w14:paraId="3F0DCBA3" w14:textId="77777777" w:rsidR="003B0864" w:rsidRPr="006052D6" w:rsidRDefault="003B0864" w:rsidP="00342321">
                    <w:pPr>
                      <w:snapToGrid w:val="0"/>
                      <w:jc w:val="center"/>
                      <w:rPr>
                        <w:rFonts w:ascii="Arial" w:eastAsia="ＭＳ ゴシック" w:hAnsi="Arial" w:cs="Arial"/>
                        <w:sz w:val="18"/>
                        <w:szCs w:val="18"/>
                      </w:rPr>
                    </w:pPr>
                    <w:r w:rsidRPr="006052D6">
                      <w:rPr>
                        <w:rFonts w:ascii="Arial" w:eastAsia="ＭＳ ゴシック" w:hAnsi="ＭＳ ゴシック" w:cs="Arial"/>
                        <w:sz w:val="18"/>
                        <w:szCs w:val="18"/>
                      </w:rPr>
                      <w:t>表面</w:t>
                    </w:r>
                    <w:r w:rsidRPr="004C4F89">
                      <w:rPr>
                        <w:rFonts w:ascii="Arial" w:eastAsia="ＭＳ ゴシック" w:hAnsi="ＭＳ ゴシック" w:cs="Arial" w:hint="eastAsia"/>
                        <w:sz w:val="18"/>
                        <w:szCs w:val="18"/>
                      </w:rPr>
                      <w:t>きず</w:t>
                    </w:r>
                    <w:r w:rsidRPr="006052D6">
                      <w:rPr>
                        <w:rFonts w:ascii="Arial" w:eastAsia="ＭＳ ゴシック" w:hAnsi="Arial" w:cs="Arial"/>
                        <w:sz w:val="18"/>
                        <w:szCs w:val="18"/>
                      </w:rPr>
                      <w:t xml:space="preserve"> #1</w:t>
                    </w:r>
                  </w:p>
                </w:txbxContent>
              </v:textbox>
            </v:shape>
            <v:shape id="Text Box 10022" o:spid="_x0000_s1624" type="#_x0000_t202" style="position:absolute;left:2323;top:9660;width:1486;height:2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" stroked="f">
              <v:textbox style="mso-fit-shape-to-text:t" inset="5.85pt,.7pt,5.85pt,.7pt">
                <w:txbxContent>
                  <w:p w14:paraId="2791C4D8" w14:textId="77777777" w:rsidR="003B0864" w:rsidRPr="00BF552F" w:rsidRDefault="003B0864" w:rsidP="00342321">
                    <w:pPr>
                      <w:snapToGrid w:val="0"/>
                      <w:jc w:val="center"/>
                      <w:rPr>
                        <w:rFonts w:ascii="Arial" w:eastAsia="ＭＳ ゴシック" w:hAnsi="Arial" w:cs="Arial"/>
                        <w:sz w:val="18"/>
                        <w:szCs w:val="18"/>
                      </w:rPr>
                    </w:pPr>
                    <w:r w:rsidRPr="00BF552F">
                      <w:rPr>
                        <w:rFonts w:ascii="Arial" w:eastAsia="ＭＳ ゴシック" w:hAnsi="ＭＳ ゴシック" w:cs="Arial" w:hint="eastAsia"/>
                        <w:sz w:val="18"/>
                        <w:szCs w:val="18"/>
                      </w:rPr>
                      <w:t>内部</w:t>
                    </w:r>
                    <w:r w:rsidRPr="004C4F89">
                      <w:rPr>
                        <w:rFonts w:ascii="Arial" w:eastAsia="ＭＳ ゴシック" w:hAnsi="ＭＳ ゴシック" w:cs="Arial" w:hint="eastAsia"/>
                        <w:sz w:val="18"/>
                        <w:szCs w:val="18"/>
                      </w:rPr>
                      <w:t>きず</w:t>
                    </w:r>
                    <w:r w:rsidRPr="004C4F89">
                      <w:rPr>
                        <w:rFonts w:ascii="Arial" w:eastAsia="ＭＳ ゴシック" w:hAnsi="Arial" w:cs="Arial"/>
                        <w:sz w:val="18"/>
                        <w:szCs w:val="18"/>
                      </w:rPr>
                      <w:t xml:space="preserve"> </w:t>
                    </w:r>
                    <w:r w:rsidRPr="00BF552F">
                      <w:rPr>
                        <w:rFonts w:ascii="Arial" w:eastAsia="ＭＳ ゴシック" w:hAnsi="Arial" w:cs="Arial"/>
                        <w:sz w:val="18"/>
                        <w:szCs w:val="18"/>
                      </w:rPr>
                      <w:t>#</w:t>
                    </w:r>
                    <w:r w:rsidRPr="00BF552F">
                      <w:rPr>
                        <w:rFonts w:ascii="Arial" w:eastAsia="ＭＳ ゴシック" w:hAnsi="Arial" w:cs="Arial" w:hint="eastAsia"/>
                        <w:sz w:val="18"/>
                        <w:szCs w:val="18"/>
                      </w:rPr>
                      <w:t>2</w:t>
                    </w:r>
                  </w:p>
                </w:txbxContent>
              </v:textbox>
            </v:shape>
            <v:shape id="Text Box 10023" o:spid="_x0000_s1625" type="#_x0000_t202" style="position:absolute;left:2048;top:6442;width:2310;height:8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" stroked="f">
              <v:textbox inset="5.85pt,.7pt,5.85pt,.7pt">
                <w:txbxContent>
                  <w:p w14:paraId="18CC891A" w14:textId="77777777" w:rsidR="003B0864" w:rsidRPr="006052D6" w:rsidRDefault="003B0864" w:rsidP="00342321">
                    <w:pPr>
                      <w:snapToGrid w:val="0"/>
                      <w:jc w:val="right"/>
                      <w:rPr>
                        <w:rFonts w:ascii="Arial" w:hAnsi="Arial" w:cs="Arial"/>
                        <w:i/>
                        <w:sz w:val="16"/>
                        <w:szCs w:val="16"/>
                      </w:rPr>
                    </w:pPr>
                  </w:p>
                  <w:p w14:paraId="79B470F3" w14:textId="77777777" w:rsidR="003B0864" w:rsidRPr="006052D6" w:rsidRDefault="003B0864" w:rsidP="00342321">
                    <w:pPr>
                      <w:jc w:val="right"/>
                      <w:rPr>
                        <w:rFonts w:ascii="Arial" w:hAnsi="Arial" w:cs="Arial"/>
                        <w:sz w:val="16"/>
                        <w:szCs w:val="16"/>
                      </w:rPr>
                    </w:pPr>
                    <w:r w:rsidRPr="006052D6">
                      <w:rPr>
                        <w:rFonts w:ascii="Arial" w:hAnsi="Arial" w:cs="Arial"/>
                        <w:i/>
                        <w:sz w:val="16"/>
                        <w:szCs w:val="16"/>
                      </w:rPr>
                      <w:t>S</w:t>
                    </w:r>
                    <w:r w:rsidRPr="006052D6">
                      <w:rPr>
                        <w:rFonts w:ascii="Arial" w:hAnsi="Arial" w:cs="Arial"/>
                        <w:sz w:val="16"/>
                        <w:szCs w:val="16"/>
                        <w:vertAlign w:val="subscript"/>
                      </w:rPr>
                      <w:t>2</w:t>
                    </w:r>
                    <w:r w:rsidRPr="006052D6">
                      <w:rPr>
                        <w:rFonts w:ascii="ＭＳ ゴシック" w:eastAsia="ＭＳ ゴシック" w:hAnsi="ＭＳ ゴシック" w:cs="Arial"/>
                        <w:sz w:val="16"/>
                        <w:szCs w:val="16"/>
                      </w:rPr>
                      <w:t>≦</w:t>
                    </w:r>
                    <w:r w:rsidRPr="006052D6">
                      <w:rPr>
                        <w:rFonts w:ascii="Arial" w:hAnsi="Arial" w:cs="Arial"/>
                        <w:sz w:val="16"/>
                        <w:szCs w:val="16"/>
                      </w:rPr>
                      <w:t>max(</w:t>
                    </w:r>
                    <w:r w:rsidRPr="004D3974">
                      <w:rPr>
                        <w:rFonts w:ascii="Arial" w:hAnsi="Arial" w:cs="Arial" w:hint="eastAsia"/>
                        <w:sz w:val="16"/>
                        <w:szCs w:val="16"/>
                      </w:rPr>
                      <w:t>0.5</w:t>
                    </w:r>
                    <w:r w:rsidRPr="004D3974">
                      <w:rPr>
                        <w:rFonts w:ascii="Arial" w:hAnsi="Arial" w:cs="Arial"/>
                        <w:i/>
                        <w:sz w:val="16"/>
                        <w:szCs w:val="16"/>
                      </w:rPr>
                      <w:t>d</w:t>
                    </w:r>
                    <w:r w:rsidRPr="004D3974">
                      <w:rPr>
                        <w:rFonts w:ascii="Arial" w:hAnsi="Arial" w:cs="Arial"/>
                        <w:sz w:val="16"/>
                        <w:szCs w:val="16"/>
                        <w:vertAlign w:val="subscript"/>
                      </w:rPr>
                      <w:t>1</w:t>
                    </w:r>
                    <w:r w:rsidRPr="004D3974">
                      <w:rPr>
                        <w:rFonts w:ascii="Arial" w:hAnsi="Arial" w:cs="Arial"/>
                        <w:sz w:val="16"/>
                        <w:szCs w:val="16"/>
                      </w:rPr>
                      <w:t xml:space="preserve">, </w:t>
                    </w:r>
                    <w:r w:rsidRPr="004D3974">
                      <w:rPr>
                        <w:rFonts w:ascii="Arial" w:hAnsi="Arial" w:cs="Arial"/>
                        <w:i/>
                        <w:sz w:val="16"/>
                        <w:szCs w:val="16"/>
                      </w:rPr>
                      <w:t>d</w:t>
                    </w:r>
                    <w:r w:rsidRPr="004D3974">
                      <w:rPr>
                        <w:rFonts w:ascii="Arial" w:hAnsi="Arial" w:cs="Arial"/>
                        <w:sz w:val="16"/>
                        <w:szCs w:val="16"/>
                        <w:vertAlign w:val="subscript"/>
                      </w:rPr>
                      <w:t>2</w:t>
                    </w:r>
                    <w:r w:rsidRPr="004D3974">
                      <w:rPr>
                        <w:rFonts w:ascii="Arial" w:hAnsi="Arial" w:cs="Arial"/>
                        <w:sz w:val="16"/>
                        <w:szCs w:val="16"/>
                      </w:rPr>
                      <w:t>)</w:t>
                    </w:r>
                  </w:p>
                  <w:p w14:paraId="1A5E178F" w14:textId="77777777" w:rsidR="003B0864" w:rsidRPr="006052D6" w:rsidRDefault="003B0864" w:rsidP="00342321">
                    <w:pPr>
                      <w:jc w:val="right"/>
                    </w:pPr>
                  </w:p>
                </w:txbxContent>
              </v:textbox>
            </v:shape>
            <v:shape id="Text Box 10024" o:spid="_x0000_s1626" type="#_x0000_t202" style="position:absolute;left:8715;top:6974;width:1655;height:5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" stroked="f">
              <v:textbox inset="5.85pt,.7pt,5.85pt,.7pt">
                <w:txbxContent>
                  <w:p w14:paraId="5F4F04B6" w14:textId="77777777" w:rsidR="003B0864" w:rsidRPr="006052D6" w:rsidRDefault="003B0864" w:rsidP="00342321">
                    <w:pPr>
                      <w:snapToGrid w:val="0"/>
                      <w:rPr>
                        <w:rFonts w:ascii="Arial" w:hAnsi="Arial" w:cs="Arial"/>
                        <w:sz w:val="16"/>
                        <w:szCs w:val="16"/>
                      </w:rPr>
                    </w:pPr>
                    <w:r w:rsidRPr="006052D6">
                      <w:rPr>
                        <w:rFonts w:ascii="Arial" w:hAnsi="Arial" w:cs="Arial"/>
                        <w:i/>
                        <w:sz w:val="16"/>
                        <w:szCs w:val="16"/>
                      </w:rPr>
                      <w:t>S</w:t>
                    </w:r>
                    <w:r w:rsidRPr="006052D6">
                      <w:rPr>
                        <w:rFonts w:ascii="Arial" w:hAnsi="Arial" w:cs="Arial"/>
                        <w:sz w:val="16"/>
                        <w:szCs w:val="16"/>
                        <w:vertAlign w:val="subscript"/>
                      </w:rPr>
                      <w:t>1</w:t>
                    </w:r>
                    <w:r w:rsidRPr="006052D6">
                      <w:rPr>
                        <w:rFonts w:ascii="ＭＳ ゴシック" w:eastAsia="ＭＳ ゴシック" w:hAnsi="ＭＳ ゴシック" w:cs="Arial"/>
                        <w:sz w:val="16"/>
                        <w:szCs w:val="16"/>
                      </w:rPr>
                      <w:t>≦</w:t>
                    </w:r>
                    <w:r w:rsidRPr="006052D6">
                      <w:rPr>
                        <w:rFonts w:ascii="Arial" w:hAnsi="Arial" w:cs="Arial"/>
                        <w:sz w:val="16"/>
                        <w:szCs w:val="16"/>
                      </w:rPr>
                      <w:t>max(</w:t>
                    </w:r>
                    <w:r w:rsidRPr="004D3974">
                      <w:rPr>
                        <w:rFonts w:ascii="Arial" w:hAnsi="Arial" w:cs="Arial"/>
                        <w:i/>
                        <w:sz w:val="16"/>
                        <w:szCs w:val="16"/>
                      </w:rPr>
                      <w:t>d</w:t>
                    </w:r>
                    <w:r w:rsidRPr="004D3974">
                      <w:rPr>
                        <w:rFonts w:ascii="Arial" w:hAnsi="Arial" w:cs="Arial"/>
                        <w:sz w:val="16"/>
                        <w:szCs w:val="16"/>
                        <w:vertAlign w:val="subscript"/>
                      </w:rPr>
                      <w:t>1</w:t>
                    </w:r>
                    <w:r w:rsidRPr="004D3974">
                      <w:rPr>
                        <w:rFonts w:ascii="Arial" w:hAnsi="Arial" w:cs="Arial"/>
                        <w:sz w:val="16"/>
                        <w:szCs w:val="16"/>
                      </w:rPr>
                      <w:t xml:space="preserve">, </w:t>
                    </w:r>
                    <w:r w:rsidRPr="004D3974">
                      <w:rPr>
                        <w:rFonts w:ascii="Arial" w:hAnsi="Arial" w:cs="Arial"/>
                        <w:i/>
                        <w:sz w:val="16"/>
                        <w:szCs w:val="16"/>
                      </w:rPr>
                      <w:t>d</w:t>
                    </w:r>
                    <w:r w:rsidRPr="004D3974">
                      <w:rPr>
                        <w:rFonts w:ascii="Arial" w:hAnsi="Arial" w:cs="Arial"/>
                        <w:sz w:val="16"/>
                        <w:szCs w:val="16"/>
                        <w:vertAlign w:val="subscript"/>
                      </w:rPr>
                      <w:t>2</w:t>
                    </w:r>
                    <w:r w:rsidRPr="004D3974">
                      <w:rPr>
                        <w:rFonts w:ascii="Arial" w:hAnsi="Arial" w:cs="Arial"/>
                        <w:sz w:val="16"/>
                        <w:szCs w:val="16"/>
                      </w:rPr>
                      <w:t>)</w:t>
                    </w:r>
                  </w:p>
                  <w:p w14:paraId="7574A017" w14:textId="77777777" w:rsidR="003B0864" w:rsidRPr="004D3974" w:rsidRDefault="003B0864" w:rsidP="00342321">
                    <w:pPr>
                      <w:rPr>
                        <w:szCs w:val="16"/>
                      </w:rPr>
                    </w:pPr>
                  </w:p>
                </w:txbxContent>
              </v:textbox>
            </v:shape>
            <v:shape id="Text Box 10025" o:spid="_x0000_s1627" type="#_x0000_t202" style="position:absolute;left:8986;top:8444;width:1655;height:6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" stroked="f">
              <v:textbox inset="5.85pt,.7pt,5.85pt,.7pt">
                <w:txbxContent>
                  <w:p w14:paraId="14F29B87" w14:textId="77777777" w:rsidR="003B0864" w:rsidRPr="002859C7" w:rsidRDefault="003B0864" w:rsidP="00342321">
                    <w:pPr>
                      <w:snapToGrid w:val="0"/>
                      <w:rPr>
                        <w:rFonts w:ascii="Arial" w:hAnsi="Arial" w:cs="Arial"/>
                        <w:sz w:val="16"/>
                        <w:szCs w:val="16"/>
                      </w:rPr>
                    </w:pPr>
                    <w:r w:rsidRPr="002859C7">
                      <w:rPr>
                        <w:rFonts w:ascii="Arial" w:hAnsi="Arial" w:cs="Arial"/>
                        <w:i/>
                        <w:sz w:val="16"/>
                        <w:szCs w:val="16"/>
                      </w:rPr>
                      <w:t>S</w:t>
                    </w:r>
                    <w:r>
                      <w:rPr>
                        <w:rFonts w:ascii="Arial" w:hAnsi="Arial" w:cs="Arial" w:hint="eastAsia"/>
                        <w:sz w:val="16"/>
                        <w:szCs w:val="16"/>
                        <w:vertAlign w:val="subscript"/>
                      </w:rPr>
                      <w:t>3</w:t>
                    </w:r>
                    <w:r w:rsidRPr="002859C7">
                      <w:rPr>
                        <w:rFonts w:ascii="ＭＳ ゴシック" w:eastAsia="ＭＳ ゴシック" w:hAnsi="ＭＳ ゴシック" w:cs="Arial"/>
                        <w:sz w:val="16"/>
                        <w:szCs w:val="16"/>
                      </w:rPr>
                      <w:t>≦</w:t>
                    </w:r>
                    <w:r>
                      <w:rPr>
                        <w:rFonts w:ascii="Arial" w:hAnsi="Arial" w:cs="Arial"/>
                        <w:sz w:val="16"/>
                        <w:szCs w:val="16"/>
                      </w:rPr>
                      <w:t>max(</w:t>
                    </w:r>
                    <w:r w:rsidRPr="004D3974">
                      <w:rPr>
                        <w:rFonts w:ascii="Arial" w:hAnsi="Arial" w:cs="Arial"/>
                        <w:i/>
                        <w:sz w:val="16"/>
                        <w:szCs w:val="16"/>
                      </w:rPr>
                      <w:t>d</w:t>
                    </w:r>
                    <w:r w:rsidRPr="004D3974">
                      <w:rPr>
                        <w:rFonts w:ascii="Arial" w:hAnsi="Arial" w:cs="Arial"/>
                        <w:sz w:val="16"/>
                        <w:szCs w:val="16"/>
                        <w:vertAlign w:val="subscript"/>
                      </w:rPr>
                      <w:t>1</w:t>
                    </w:r>
                    <w:r w:rsidRPr="004D3974">
                      <w:rPr>
                        <w:rFonts w:ascii="Arial" w:hAnsi="Arial" w:cs="Arial"/>
                        <w:sz w:val="16"/>
                        <w:szCs w:val="16"/>
                      </w:rPr>
                      <w:t xml:space="preserve">, </w:t>
                    </w:r>
                    <w:r w:rsidRPr="004D3974">
                      <w:rPr>
                        <w:rFonts w:ascii="Arial" w:hAnsi="Arial" w:cs="Arial"/>
                        <w:i/>
                        <w:sz w:val="16"/>
                        <w:szCs w:val="16"/>
                      </w:rPr>
                      <w:t>d</w:t>
                    </w:r>
                    <w:r w:rsidRPr="004D3974">
                      <w:rPr>
                        <w:rFonts w:ascii="Arial" w:hAnsi="Arial" w:cs="Arial"/>
                        <w:sz w:val="16"/>
                        <w:szCs w:val="16"/>
                        <w:vertAlign w:val="subscript"/>
                      </w:rPr>
                      <w:t>2</w:t>
                    </w:r>
                    <w:r w:rsidRPr="004D3974">
                      <w:rPr>
                        <w:rFonts w:ascii="Arial" w:hAnsi="Arial" w:cs="Arial"/>
                        <w:sz w:val="16"/>
                        <w:szCs w:val="16"/>
                      </w:rPr>
                      <w:t>)</w:t>
                    </w:r>
                  </w:p>
                  <w:p w14:paraId="3A45483C" w14:textId="77777777" w:rsidR="003B0864" w:rsidRPr="004D3974" w:rsidRDefault="003B0864" w:rsidP="00342321">
                    <w:pPr>
                      <w:rPr>
                        <w:szCs w:val="16"/>
                      </w:rPr>
                    </w:pPr>
                  </w:p>
                </w:txbxContent>
              </v:textbox>
            </v:shape>
            <v:shape id="Text Box 10026" o:spid="_x0000_s1628" type="#_x0000_t202" style="position:absolute;left:9022;top:10094;width:1655;height: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" stroked="f">
              <v:textbox inset="5.85pt,.7pt,5.85pt,.7pt">
                <w:txbxContent>
                  <w:p w14:paraId="4D2D31AA" w14:textId="77777777" w:rsidR="003B0864" w:rsidRDefault="003B0864" w:rsidP="00342321">
                    <w:pPr>
                      <w:snapToGrid w:val="0"/>
                      <w:rPr>
                        <w:rFonts w:ascii="Arial" w:hAnsi="Arial" w:cs="Arial"/>
                        <w:i/>
                        <w:sz w:val="16"/>
                        <w:szCs w:val="16"/>
                      </w:rPr>
                    </w:pPr>
                  </w:p>
                  <w:p w14:paraId="59D72431" w14:textId="77777777" w:rsidR="003B0864" w:rsidRPr="004D3974" w:rsidRDefault="003B0864" w:rsidP="00342321">
                    <w:pPr>
                      <w:snapToGrid w:val="0"/>
                      <w:rPr>
                        <w:rFonts w:ascii="Arial" w:hAnsi="Arial" w:cs="Arial"/>
                        <w:sz w:val="16"/>
                        <w:szCs w:val="16"/>
                      </w:rPr>
                    </w:pPr>
                    <w:r w:rsidRPr="004D3974">
                      <w:rPr>
                        <w:rFonts w:ascii="Arial" w:hAnsi="Arial" w:cs="Arial"/>
                        <w:i/>
                        <w:sz w:val="16"/>
                        <w:szCs w:val="16"/>
                      </w:rPr>
                      <w:t>S</w:t>
                    </w:r>
                    <w:r w:rsidRPr="004D3974">
                      <w:rPr>
                        <w:rFonts w:ascii="Arial" w:hAnsi="Arial" w:cs="Arial" w:hint="eastAsia"/>
                        <w:sz w:val="16"/>
                        <w:szCs w:val="16"/>
                        <w:vertAlign w:val="subscript"/>
                      </w:rPr>
                      <w:t>4</w:t>
                    </w:r>
                    <w:r w:rsidRPr="004D3974">
                      <w:rPr>
                        <w:rFonts w:ascii="ＭＳ ゴシック" w:eastAsia="ＭＳ ゴシック" w:hAnsi="ＭＳ ゴシック" w:cs="Arial"/>
                        <w:sz w:val="16"/>
                        <w:szCs w:val="16"/>
                      </w:rPr>
                      <w:t>≦</w:t>
                    </w:r>
                    <w:r w:rsidRPr="004D3974">
                      <w:rPr>
                        <w:rFonts w:ascii="Arial" w:hAnsi="Arial" w:cs="Arial"/>
                        <w:sz w:val="16"/>
                        <w:szCs w:val="16"/>
                      </w:rPr>
                      <w:t>max(</w:t>
                    </w:r>
                    <w:r w:rsidRPr="004D3974">
                      <w:rPr>
                        <w:rFonts w:ascii="Arial" w:hAnsi="Arial" w:cs="Arial"/>
                        <w:i/>
                        <w:sz w:val="16"/>
                        <w:szCs w:val="16"/>
                      </w:rPr>
                      <w:t>d</w:t>
                    </w:r>
                    <w:r w:rsidRPr="004D3974">
                      <w:rPr>
                        <w:rFonts w:ascii="Arial" w:hAnsi="Arial" w:cs="Arial" w:hint="eastAsia"/>
                        <w:sz w:val="16"/>
                        <w:szCs w:val="16"/>
                        <w:vertAlign w:val="subscript"/>
                      </w:rPr>
                      <w:t>2</w:t>
                    </w:r>
                    <w:r w:rsidRPr="004D3974">
                      <w:rPr>
                        <w:rFonts w:ascii="Arial" w:hAnsi="Arial" w:cs="Arial"/>
                        <w:sz w:val="16"/>
                        <w:szCs w:val="16"/>
                      </w:rPr>
                      <w:t xml:space="preserve">, </w:t>
                    </w:r>
                    <w:r w:rsidRPr="004D3974">
                      <w:rPr>
                        <w:rFonts w:ascii="Arial" w:hAnsi="Arial" w:cs="Arial"/>
                        <w:i/>
                        <w:sz w:val="16"/>
                        <w:szCs w:val="16"/>
                      </w:rPr>
                      <w:t>d</w:t>
                    </w:r>
                    <w:r w:rsidRPr="004D3974">
                      <w:rPr>
                        <w:rFonts w:ascii="Arial" w:hAnsi="Arial" w:cs="Arial" w:hint="eastAsia"/>
                        <w:sz w:val="16"/>
                        <w:szCs w:val="16"/>
                        <w:vertAlign w:val="subscript"/>
                      </w:rPr>
                      <w:t>3</w:t>
                    </w:r>
                    <w:r w:rsidRPr="004D3974">
                      <w:rPr>
                        <w:rFonts w:ascii="Arial" w:hAnsi="Arial" w:cs="Arial"/>
                        <w:sz w:val="16"/>
                        <w:szCs w:val="16"/>
                      </w:rPr>
                      <w:t>)</w:t>
                    </w:r>
                  </w:p>
                  <w:p w14:paraId="2D94590C" w14:textId="77777777" w:rsidR="003B0864" w:rsidRPr="00E17047" w:rsidRDefault="003B0864" w:rsidP="00342321">
                    <w:pPr>
                      <w:snapToGrid w:val="0"/>
                    </w:pPr>
                  </w:p>
                </w:txbxContent>
              </v:textbox>
            </v:shape>
            <v:shape id="Text Box 10027" o:spid="_x0000_s1629" type="#_x0000_t202" style="position:absolute;left:8847;top:11404;width:1655;height: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" stroked="f">
              <v:textbox inset="5.85pt,.7pt,5.85pt,.7pt">
                <w:txbxContent>
                  <w:p w14:paraId="51427052" w14:textId="77777777" w:rsidR="003B0864" w:rsidRDefault="003B0864" w:rsidP="00342321">
                    <w:pPr>
                      <w:snapToGrid w:val="0"/>
                      <w:rPr>
                        <w:rFonts w:ascii="Arial" w:hAnsi="Arial" w:cs="Arial"/>
                        <w:i/>
                        <w:sz w:val="16"/>
                        <w:szCs w:val="16"/>
                      </w:rPr>
                    </w:pPr>
                  </w:p>
                  <w:p w14:paraId="7CDBDC51" w14:textId="77777777" w:rsidR="003B0864" w:rsidRPr="004D3974" w:rsidRDefault="003B0864" w:rsidP="00342321">
                    <w:pPr>
                      <w:snapToGrid w:val="0"/>
                      <w:rPr>
                        <w:rFonts w:ascii="Arial" w:hAnsi="Arial" w:cs="Arial"/>
                        <w:sz w:val="16"/>
                        <w:szCs w:val="16"/>
                      </w:rPr>
                    </w:pPr>
                    <w:r w:rsidRPr="004D3974">
                      <w:rPr>
                        <w:rFonts w:ascii="Arial" w:hAnsi="Arial" w:cs="Arial"/>
                        <w:i/>
                        <w:sz w:val="16"/>
                        <w:szCs w:val="16"/>
                      </w:rPr>
                      <w:t>S</w:t>
                    </w:r>
                    <w:r w:rsidRPr="004D3974">
                      <w:rPr>
                        <w:rFonts w:ascii="Arial" w:hAnsi="Arial" w:cs="Arial" w:hint="eastAsia"/>
                        <w:sz w:val="16"/>
                        <w:szCs w:val="16"/>
                        <w:vertAlign w:val="subscript"/>
                      </w:rPr>
                      <w:t>2</w:t>
                    </w:r>
                    <w:r w:rsidRPr="004D3974">
                      <w:rPr>
                        <w:rFonts w:ascii="ＭＳ ゴシック" w:eastAsia="ＭＳ ゴシック" w:hAnsi="ＭＳ ゴシック" w:cs="Arial"/>
                        <w:sz w:val="16"/>
                        <w:szCs w:val="16"/>
                      </w:rPr>
                      <w:t>≦</w:t>
                    </w:r>
                    <w:r w:rsidRPr="004D3974">
                      <w:rPr>
                        <w:rFonts w:ascii="Arial" w:hAnsi="Arial" w:cs="Arial"/>
                        <w:sz w:val="16"/>
                        <w:szCs w:val="16"/>
                      </w:rPr>
                      <w:t>max(</w:t>
                    </w:r>
                    <w:r w:rsidRPr="004D3974">
                      <w:rPr>
                        <w:rFonts w:ascii="Arial" w:hAnsi="Arial" w:cs="Arial"/>
                        <w:i/>
                        <w:sz w:val="16"/>
                        <w:szCs w:val="16"/>
                      </w:rPr>
                      <w:t>d</w:t>
                    </w:r>
                    <w:r w:rsidRPr="004D3974">
                      <w:rPr>
                        <w:rFonts w:ascii="Arial" w:hAnsi="Arial" w:cs="Arial" w:hint="eastAsia"/>
                        <w:sz w:val="16"/>
                        <w:szCs w:val="16"/>
                        <w:vertAlign w:val="subscript"/>
                      </w:rPr>
                      <w:t>2</w:t>
                    </w:r>
                    <w:r w:rsidRPr="004D3974">
                      <w:rPr>
                        <w:rFonts w:ascii="Arial" w:hAnsi="Arial" w:cs="Arial"/>
                        <w:sz w:val="16"/>
                        <w:szCs w:val="16"/>
                      </w:rPr>
                      <w:t xml:space="preserve">, </w:t>
                    </w:r>
                    <w:r w:rsidRPr="004D3974">
                      <w:rPr>
                        <w:rFonts w:ascii="Arial" w:hAnsi="Arial" w:cs="Arial"/>
                        <w:i/>
                        <w:sz w:val="16"/>
                        <w:szCs w:val="16"/>
                      </w:rPr>
                      <w:t>d</w:t>
                    </w:r>
                    <w:r w:rsidRPr="004D3974">
                      <w:rPr>
                        <w:rFonts w:ascii="Arial" w:hAnsi="Arial" w:cs="Arial" w:hint="eastAsia"/>
                        <w:sz w:val="16"/>
                        <w:szCs w:val="16"/>
                        <w:vertAlign w:val="subscript"/>
                      </w:rPr>
                      <w:t>3</w:t>
                    </w:r>
                    <w:r w:rsidRPr="004D3974">
                      <w:rPr>
                        <w:rFonts w:ascii="Arial" w:hAnsi="Arial" w:cs="Arial"/>
                        <w:sz w:val="16"/>
                        <w:szCs w:val="16"/>
                      </w:rPr>
                      <w:t>)</w:t>
                    </w:r>
                  </w:p>
                  <w:p w14:paraId="19A00A29" w14:textId="77777777" w:rsidR="003B0864" w:rsidRPr="00E17047" w:rsidRDefault="003B0864" w:rsidP="00342321">
                    <w:pPr>
                      <w:snapToGrid w:val="0"/>
                    </w:pPr>
                  </w:p>
                </w:txbxContent>
              </v:textbox>
            </v:shape>
            <v:shape id="Text Box 10028" o:spid="_x0000_s1630" type="#_x0000_t202" style="position:absolute;left:3032;top:10145;width:1315;height:2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" stroked="f">
              <v:textbox style="mso-fit-shape-to-text:t" inset="5.85pt,.7pt,5.85pt,.7pt">
                <w:txbxContent>
                  <w:p w14:paraId="7C1B3D01" w14:textId="77777777" w:rsidR="003B0864" w:rsidRPr="00BF552F" w:rsidRDefault="003B0864" w:rsidP="00342321">
                    <w:pPr>
                      <w:snapToGrid w:val="0"/>
                      <w:jc w:val="right"/>
                      <w:rPr>
                        <w:rFonts w:ascii="ＭＳ ゴシック" w:eastAsia="ＭＳ ゴシック" w:hAnsi="ＭＳ ゴシック"/>
                        <w:sz w:val="18"/>
                        <w:szCs w:val="18"/>
                      </w:rPr>
                    </w:pPr>
                    <w:r w:rsidRPr="00BF552F">
                      <w:rPr>
                        <w:rFonts w:ascii="ＭＳ ゴシック" w:eastAsia="ＭＳ ゴシック" w:hAnsi="ＭＳ ゴシック" w:hint="eastAsia"/>
                        <w:sz w:val="18"/>
                        <w:szCs w:val="18"/>
                      </w:rPr>
                      <w:t>クラッド表面</w:t>
                    </w:r>
                  </w:p>
                </w:txbxContent>
              </v:textbox>
            </v:shape>
            <v:shape id="Text Box 10029" o:spid="_x0000_s1631" type="#_x0000_t202" style="position:absolute;left:2431;top:10692;width:1870;height:9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" stroked="f">
              <v:textbox inset="5.85pt,.7pt,5.85pt,.7pt">
                <w:txbxContent>
                  <w:p w14:paraId="71A60EAE" w14:textId="77777777" w:rsidR="003B0864" w:rsidRPr="00BF552F" w:rsidRDefault="003B0864" w:rsidP="00342321">
                    <w:pPr>
                      <w:snapToGrid w:val="0"/>
                      <w:rPr>
                        <w:rFonts w:ascii="ＭＳ ゴシック" w:eastAsia="ＭＳ ゴシック" w:hAnsi="ＭＳ ゴシック"/>
                        <w:sz w:val="18"/>
                        <w:szCs w:val="18"/>
                      </w:rPr>
                    </w:pPr>
                    <w:r w:rsidRPr="00BF552F">
                      <w:rPr>
                        <w:rFonts w:ascii="ＭＳ ゴシック" w:eastAsia="ＭＳ ゴシック" w:hAnsi="ＭＳ ゴシック" w:hint="eastAsia"/>
                        <w:sz w:val="18"/>
                        <w:szCs w:val="18"/>
                      </w:rPr>
                      <w:t>圧力を受ける表面</w:t>
                    </w:r>
                  </w:p>
                  <w:p w14:paraId="0A8E237F" w14:textId="77777777" w:rsidR="003B0864" w:rsidRDefault="003B0864" w:rsidP="00342321">
                    <w:pPr>
                      <w:snapToGrid w:val="0"/>
                      <w:rPr>
                        <w:rFonts w:ascii="ＭＳ ゴシック" w:eastAsia="ＭＳ ゴシック" w:hAnsi="ＭＳ ゴシック"/>
                        <w:sz w:val="18"/>
                        <w:szCs w:val="18"/>
                      </w:rPr>
                    </w:pPr>
                    <w:r w:rsidRPr="00BF552F">
                      <w:rPr>
                        <w:rFonts w:ascii="ＭＳ ゴシック" w:eastAsia="ＭＳ ゴシック" w:hAnsi="ＭＳ ゴシック" w:hint="eastAsia"/>
                        <w:sz w:val="18"/>
                        <w:szCs w:val="18"/>
                      </w:rPr>
                      <w:t>又はクラッドと</w:t>
                    </w:r>
                  </w:p>
                  <w:p w14:paraId="09F48366" w14:textId="77777777" w:rsidR="003B0864" w:rsidRPr="00BF552F" w:rsidRDefault="003B0864" w:rsidP="00342321">
                    <w:pPr>
                      <w:snapToGrid w:val="0"/>
                      <w:rPr>
                        <w:rFonts w:ascii="ＭＳ ゴシック" w:eastAsia="ＭＳ ゴシック" w:hAnsi="ＭＳ ゴシック"/>
                        <w:sz w:val="18"/>
                        <w:szCs w:val="18"/>
                      </w:rPr>
                    </w:pPr>
                    <w:r w:rsidRPr="00BF552F">
                      <w:rPr>
                        <w:rFonts w:ascii="ＭＳ ゴシック" w:eastAsia="ＭＳ ゴシック" w:hAnsi="ＭＳ ゴシック" w:hint="eastAsia"/>
                        <w:sz w:val="18"/>
                        <w:szCs w:val="18"/>
                      </w:rPr>
                      <w:t>母材の境界</w:t>
                    </w:r>
                  </w:p>
                </w:txbxContent>
              </v:textbox>
            </v:shape>
            <v:shape id="Text Box 10030" o:spid="_x0000_s1632" type="#_x0000_t202" style="position:absolute;left:2770;top:8058;width:1947;height:2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" stroked="f">
              <v:textbox style="mso-fit-shape-to-text:t" inset="5.85pt,.7pt,5.85pt,.7pt">
                <w:txbxContent>
                  <w:p w14:paraId="31201AA7" w14:textId="77777777" w:rsidR="003B0864" w:rsidRPr="00BF552F" w:rsidRDefault="003B0864" w:rsidP="00342321">
                    <w:pPr>
                      <w:snapToGrid w:val="0"/>
                      <w:rPr>
                        <w:rFonts w:ascii="ＭＳ ゴシック" w:eastAsia="ＭＳ ゴシック" w:hAnsi="ＭＳ ゴシック"/>
                        <w:sz w:val="18"/>
                        <w:szCs w:val="18"/>
                      </w:rPr>
                    </w:pPr>
                    <w:r w:rsidRPr="00BF552F">
                      <w:rPr>
                        <w:rFonts w:ascii="ＭＳ ゴシック" w:eastAsia="ＭＳ ゴシック" w:hAnsi="ＭＳ ゴシック" w:hint="eastAsia"/>
                        <w:sz w:val="18"/>
                        <w:szCs w:val="18"/>
                      </w:rPr>
                      <w:t>個々の</w:t>
                    </w:r>
                    <w:r w:rsidRPr="004C4F89">
                      <w:rPr>
                        <w:rFonts w:ascii="ＭＳ ゴシック" w:eastAsia="ＭＳ ゴシック" w:hAnsi="ＭＳ ゴシック" w:hint="eastAsia"/>
                        <w:sz w:val="18"/>
                        <w:szCs w:val="18"/>
                      </w:rPr>
                      <w:t>きず高さ</w:t>
                    </w:r>
                  </w:p>
                </w:txbxContent>
              </v:textbox>
            </v:shape>
          </v:group>
        </w:pict>
      </w:r>
      <w:r w:rsidR="00342321" w:rsidRPr="00BC31E0">
        <w:rPr>
          <w:rFonts w:cs="Century" w:hint="eastAsia"/>
          <w:noProof/>
          <w:kern w:val="0"/>
        </w:rPr>
        <w:drawing>
          <wp:inline distT="0" distB="0" distL="0" distR="0" wp14:anchorId="1A56BC56" wp14:editId="0C83FFF2">
            <wp:extent cx="5687695" cy="6904355"/>
            <wp:effectExtent l="19050" t="0" r="8255" b="0"/>
            <wp:docPr id="707" name="図 707" descr="図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図9"/>
                    <pic:cNvPicPr>
                      <a:picLocks noChangeAspect="1" noChangeArrowheads="1"/>
                    </pic:cNvPicPr>
                  </pic:nvPicPr>
                  <pic:blipFill>
                    <a:blip r:embed="rId118" cstate="print"/>
                    <a:srcRect/>
                    <a:stretch>
                      <a:fillRect/>
                    </a:stretch>
                  </pic:blipFill>
                  <pic:spPr bwMode="auto">
                    <a:xfrm>
                      <a:off x="0" y="0"/>
                      <a:ext cx="5687695" cy="6904355"/>
                    </a:xfrm>
                    <a:prstGeom prst="rect">
                      <a:avLst/>
                    </a:prstGeom>
                    <a:noFill/>
                    <a:ln w="9525">
                      <a:noFill/>
                      <a:miter lim="800000"/>
                      <a:headEnd/>
                      <a:tailEnd/>
                    </a:ln>
                  </pic:spPr>
                </pic:pic>
              </a:graphicData>
            </a:graphic>
          </wp:inline>
        </w:drawing>
      </w:r>
    </w:p>
    <w:p w14:paraId="512B11B1" w14:textId="77777777" w:rsidR="00342321" w:rsidRPr="00BC31E0" w:rsidRDefault="00342321" w:rsidP="00342321">
      <w:pPr>
        <w:pStyle w:val="af4"/>
        <w:spacing w:line="360" w:lineRule="atLeast"/>
        <w:jc w:val="both"/>
        <w:rPr>
          <w:rFonts w:cs="Century"/>
          <w:kern w:val="0"/>
        </w:rPr>
      </w:pPr>
    </w:p>
    <w:p w14:paraId="7C529D2C" w14:textId="77777777" w:rsidR="00342321" w:rsidRPr="00BC31E0" w:rsidRDefault="00342321" w:rsidP="00342321">
      <w:pPr>
        <w:pStyle w:val="af4"/>
        <w:rPr>
          <w:rFonts w:cs="Century"/>
          <w:kern w:val="0"/>
        </w:rPr>
      </w:pPr>
      <w:r w:rsidRPr="00BC31E0">
        <w:rPr>
          <w:rFonts w:cs="Century" w:hint="eastAsia"/>
          <w:kern w:val="0"/>
        </w:rPr>
        <w:t xml:space="preserve">        注記</w:t>
      </w:r>
      <w:r w:rsidRPr="00BC31E0">
        <w:rPr>
          <w:rFonts w:ascii="ＭＳ 明朝" w:eastAsia="ＭＳ 明朝" w:hAnsi="ＭＳ 明朝" w:cs="Century" w:hint="eastAsia"/>
          <w:b w:val="0"/>
          <w:kern w:val="0"/>
        </w:rPr>
        <w:t xml:space="preserve">　非並列とは，厚さ及びその直角方向に重ならないことを言う。</w:t>
      </w:r>
    </w:p>
    <w:p w14:paraId="08649414" w14:textId="77777777" w:rsidR="00342321" w:rsidRPr="00BC31E0" w:rsidRDefault="00342321" w:rsidP="00342321">
      <w:pPr>
        <w:pStyle w:val="af4"/>
        <w:jc w:val="left"/>
        <w:rPr>
          <w:rFonts w:cs="Century"/>
          <w:kern w:val="0"/>
        </w:rPr>
      </w:pPr>
    </w:p>
    <w:p w14:paraId="159176BF" w14:textId="77777777" w:rsidR="00342321" w:rsidRPr="00BC31E0" w:rsidRDefault="00342321" w:rsidP="00342321">
      <w:pPr>
        <w:pStyle w:val="af4"/>
        <w:rPr>
          <w:rFonts w:cs="Century"/>
          <w:kern w:val="0"/>
        </w:rPr>
      </w:pPr>
      <w:r w:rsidRPr="00BC31E0">
        <w:rPr>
          <w:rFonts w:cs="Century" w:hint="eastAsia"/>
          <w:kern w:val="0"/>
        </w:rPr>
        <w:t>図9.3.5　同一平面上にある非並列な複数個の平面きずの取扱い</w:t>
      </w:r>
      <w:r w:rsidRPr="00BC31E0">
        <w:rPr>
          <w:rFonts w:hAnsi="ＭＳ ゴシック" w:hint="eastAsia"/>
          <w:szCs w:val="20"/>
          <w:vertAlign w:val="superscript"/>
        </w:rPr>
        <w:t>†</w:t>
      </w:r>
    </w:p>
    <w:p w14:paraId="088528B3" w14:textId="77777777" w:rsidR="00342321" w:rsidRPr="00BC31E0" w:rsidRDefault="00342321" w:rsidP="00342321">
      <w:pPr>
        <w:pStyle w:val="af4"/>
        <w:jc w:val="left"/>
        <w:rPr>
          <w:rFonts w:cs="Century"/>
          <w:kern w:val="0"/>
        </w:rPr>
      </w:pPr>
    </w:p>
    <w:p w14:paraId="77770E0D" w14:textId="77777777" w:rsidR="00342321" w:rsidRPr="00BC31E0" w:rsidRDefault="00342321" w:rsidP="00342321">
      <w:pPr>
        <w:widowControl/>
        <w:jc w:val="left"/>
        <w:rPr>
          <w:rFonts w:ascii="ＭＳ ゴシック" w:eastAsia="ＭＳ ゴシック" w:cs="Century"/>
          <w:b/>
          <w:kern w:val="0"/>
        </w:rPr>
      </w:pPr>
      <w:r w:rsidRPr="00BC31E0">
        <w:rPr>
          <w:rFonts w:cs="Century"/>
          <w:kern w:val="0"/>
        </w:rPr>
        <w:br w:type="page"/>
      </w:r>
    </w:p>
    <w:p w14:paraId="2D62FD50" w14:textId="77777777" w:rsidR="00342321" w:rsidRPr="00BC31E0" w:rsidRDefault="00A51873" w:rsidP="00342321">
      <w:pPr>
        <w:pStyle w:val="af4"/>
        <w:rPr>
          <w:rFonts w:cs="Century"/>
          <w:kern w:val="0"/>
        </w:rPr>
      </w:pPr>
      <w:r>
        <w:rPr>
          <w:rFonts w:cs="Century"/>
          <w:noProof/>
          <w:kern w:val="0"/>
        </w:rPr>
        <w:lastRenderedPageBreak/>
        <w:pict w14:anchorId="3EFE8C14">
          <v:group id="グループ化 670" o:spid="_x0000_s1633" style="position:absolute;left:0;text-align:left;margin-left:-3.95pt;margin-top:9.15pt;width:474.8pt;height:603.5pt;z-index:251701760" coordorigin="1339,1884" coordsize="9496,12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">
            <v:shape id="Text Box 10032" o:spid="_x0000_s1634" type="#_x0000_t202" style="position:absolute;left:6916;top:1884;width:2405;height:78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" stroked="f">
              <v:textbox inset="5.85pt,.7pt,5.85pt,.7pt">
                <w:txbxContent>
                  <w:p w14:paraId="41DF7E87" w14:textId="77777777" w:rsidR="003B0864" w:rsidRPr="00BF552F" w:rsidRDefault="003B0864" w:rsidP="00342321">
                    <w:pPr>
                      <w:rPr>
                        <w:rFonts w:ascii="Arial" w:eastAsia="ＭＳ ゴシック" w:hAnsi="Arial" w:cs="Arial"/>
                        <w:sz w:val="18"/>
                        <w:szCs w:val="18"/>
                      </w:rPr>
                    </w:pPr>
                    <w:r w:rsidRPr="00BF552F">
                      <w:rPr>
                        <w:rFonts w:ascii="Arial" w:eastAsia="ＭＳ ゴシック" w:hAnsi="ＭＳ ゴシック" w:cs="Arial"/>
                        <w:sz w:val="18"/>
                        <w:szCs w:val="18"/>
                      </w:rPr>
                      <w:t>並列な</w:t>
                    </w:r>
                    <w:r w:rsidRPr="00F867AF">
                      <w:rPr>
                        <w:rFonts w:ascii="Arial" w:eastAsia="ＭＳ ゴシック" w:hAnsi="ＭＳ ゴシック" w:cs="Arial" w:hint="eastAsia"/>
                        <w:sz w:val="18"/>
                        <w:szCs w:val="18"/>
                      </w:rPr>
                      <w:t>きず</w:t>
                    </w:r>
                    <w:r w:rsidRPr="00BF552F">
                      <w:rPr>
                        <w:rFonts w:ascii="Arial" w:eastAsia="ＭＳ ゴシック" w:hAnsi="ＭＳ ゴシック" w:cs="Arial"/>
                        <w:sz w:val="18"/>
                        <w:szCs w:val="18"/>
                      </w:rPr>
                      <w:t>をはさむ</w:t>
                    </w:r>
                    <w:r w:rsidRPr="00BF552F">
                      <w:rPr>
                        <w:rFonts w:ascii="Arial" w:eastAsia="ＭＳ ゴシック" w:hAnsi="Arial" w:cs="Arial"/>
                        <w:sz w:val="18"/>
                        <w:szCs w:val="18"/>
                      </w:rPr>
                      <w:t>2</w:t>
                    </w:r>
                    <w:r w:rsidRPr="00BF552F">
                      <w:rPr>
                        <w:rFonts w:ascii="Arial" w:eastAsia="ＭＳ ゴシック" w:hAnsi="ＭＳ ゴシック" w:cs="Arial"/>
                        <w:sz w:val="18"/>
                        <w:szCs w:val="18"/>
                      </w:rPr>
                      <w:t>平面</w:t>
                    </w:r>
                  </w:p>
                </w:txbxContent>
              </v:textbox>
            </v:shape>
            <v:shape id="Text Box 10033" o:spid="_x0000_s1635" type="#_x0000_t202" style="position:absolute;left:6662;top:3356;width:1315;height:2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" stroked="f">
              <v:textbox style="mso-fit-shape-to-text:t" inset="5.85pt,.7pt,5.85pt,.7pt">
                <w:txbxContent>
                  <w:p w14:paraId="1B8AEC2E" w14:textId="77777777" w:rsidR="003B0864" w:rsidRPr="00BF552F" w:rsidRDefault="003B0864" w:rsidP="00342321">
                    <w:pPr>
                      <w:snapToGrid w:val="0"/>
                      <w:rPr>
                        <w:rFonts w:ascii="ＭＳ ゴシック" w:eastAsia="ＭＳ ゴシック" w:hAnsi="ＭＳ ゴシック"/>
                        <w:sz w:val="18"/>
                        <w:szCs w:val="18"/>
                      </w:rPr>
                    </w:pPr>
                    <w:r w:rsidRPr="00BF552F">
                      <w:rPr>
                        <w:rFonts w:ascii="ＭＳ ゴシック" w:eastAsia="ＭＳ ゴシック" w:hAnsi="ＭＳ ゴシック" w:hint="eastAsia"/>
                        <w:sz w:val="18"/>
                        <w:szCs w:val="18"/>
                      </w:rPr>
                      <w:t>クラッド表面</w:t>
                    </w:r>
                  </w:p>
                </w:txbxContent>
              </v:textbox>
            </v:shape>
            <v:shape id="Text Box 10034" o:spid="_x0000_s1636" type="#_x0000_t202" style="position:absolute;left:6674;top:3712;width:2631;height:8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" stroked="f">
              <v:textbox inset="5.85pt,.7pt,5.85pt,.7pt">
                <w:txbxContent>
                  <w:p w14:paraId="1E5963E1" w14:textId="77777777" w:rsidR="003B0864" w:rsidRPr="00BF552F" w:rsidRDefault="003B0864" w:rsidP="00342321">
                    <w:pPr>
                      <w:snapToGrid w:val="0"/>
                      <w:rPr>
                        <w:rFonts w:ascii="ＭＳ ゴシック" w:eastAsia="ＭＳ ゴシック" w:hAnsi="ＭＳ ゴシック"/>
                        <w:sz w:val="18"/>
                        <w:szCs w:val="18"/>
                      </w:rPr>
                    </w:pPr>
                    <w:r w:rsidRPr="00BF552F">
                      <w:rPr>
                        <w:rFonts w:ascii="ＭＳ ゴシック" w:eastAsia="ＭＳ ゴシック" w:hAnsi="ＭＳ ゴシック" w:hint="eastAsia"/>
                        <w:sz w:val="18"/>
                        <w:szCs w:val="18"/>
                      </w:rPr>
                      <w:t>圧力を受ける表面</w:t>
                    </w:r>
                  </w:p>
                  <w:p w14:paraId="66596DD3" w14:textId="77777777" w:rsidR="003B0864" w:rsidRPr="00BF552F" w:rsidRDefault="003B0864" w:rsidP="00342321">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又はクラッドと母材の境界</w:t>
                    </w:r>
                  </w:p>
                </w:txbxContent>
              </v:textbox>
            </v:shape>
            <v:shape id="Text Box 10035" o:spid="_x0000_s1637" type="#_x0000_t202" style="position:absolute;left:2047;top:2852;width:1148;height:2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" stroked="f">
              <v:textbox style="mso-fit-shape-to-text:t" inset="5.85pt,.7pt,5.85pt,.7pt">
                <w:txbxContent>
                  <w:p w14:paraId="4E30621C" w14:textId="77777777" w:rsidR="003B0864" w:rsidRPr="00E70A7B" w:rsidRDefault="003B0864" w:rsidP="00342321">
                    <w:pPr>
                      <w:snapToGrid w:val="0"/>
                      <w:jc w:val="right"/>
                      <w:rPr>
                        <w:rFonts w:ascii="Arial" w:hAnsi="Arial" w:cs="Arial"/>
                        <w:sz w:val="18"/>
                        <w:szCs w:val="18"/>
                      </w:rPr>
                    </w:pPr>
                    <w:r w:rsidRPr="00E70A7B">
                      <w:rPr>
                        <w:rFonts w:ascii="Arial" w:hAnsi="Arial" w:cs="Arial"/>
                        <w:sz w:val="18"/>
                        <w:szCs w:val="18"/>
                      </w:rPr>
                      <w:t>13</w:t>
                    </w:r>
                    <w:r>
                      <w:rPr>
                        <w:rFonts w:ascii="Arial" w:hAnsi="Arial" w:cs="Arial" w:hint="eastAsia"/>
                        <w:sz w:val="18"/>
                        <w:szCs w:val="18"/>
                      </w:rPr>
                      <w:t xml:space="preserve"> </w:t>
                    </w:r>
                    <w:r w:rsidRPr="00E70A7B">
                      <w:rPr>
                        <w:rFonts w:ascii="Arial" w:hAnsi="Arial" w:cs="Arial"/>
                        <w:sz w:val="18"/>
                        <w:szCs w:val="18"/>
                      </w:rPr>
                      <w:t>mm</w:t>
                    </w:r>
                  </w:p>
                </w:txbxContent>
              </v:textbox>
            </v:shape>
            <v:shape id="Text Box 10036" o:spid="_x0000_s1638" type="#_x0000_t202" style="position:absolute;left:1339;top:2077;width:1603;height:4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" stroked="f">
              <v:textbox style="mso-fit-shape-to-text:t" inset="5.85pt,.7pt,5.85pt,.7pt">
                <w:txbxContent>
                  <w:p w14:paraId="339404CC" w14:textId="77777777" w:rsidR="003B0864" w:rsidRPr="00BF552F" w:rsidRDefault="003B0864" w:rsidP="00342321">
                    <w:pPr>
                      <w:snapToGrid w:val="0"/>
                      <w:rPr>
                        <w:rFonts w:ascii="ＭＳ ゴシック" w:eastAsia="ＭＳ ゴシック" w:hAnsi="ＭＳ ゴシック"/>
                        <w:sz w:val="18"/>
                        <w:szCs w:val="18"/>
                      </w:rPr>
                    </w:pPr>
                    <w:r w:rsidRPr="00BF552F">
                      <w:rPr>
                        <w:rFonts w:ascii="ＭＳ ゴシック" w:eastAsia="ＭＳ ゴシック" w:hAnsi="ＭＳ ゴシック" w:hint="eastAsia"/>
                        <w:sz w:val="18"/>
                        <w:szCs w:val="18"/>
                      </w:rPr>
                      <w:t>クラッドのない</w:t>
                    </w:r>
                  </w:p>
                  <w:p w14:paraId="5088C86C" w14:textId="77777777" w:rsidR="003B0864" w:rsidRPr="00BF552F" w:rsidRDefault="003B0864" w:rsidP="00342321">
                    <w:pPr>
                      <w:snapToGrid w:val="0"/>
                      <w:rPr>
                        <w:rFonts w:ascii="ＭＳ ゴシック" w:eastAsia="ＭＳ ゴシック" w:hAnsi="ＭＳ ゴシック"/>
                        <w:sz w:val="18"/>
                        <w:szCs w:val="18"/>
                      </w:rPr>
                    </w:pPr>
                    <w:r w:rsidRPr="00BF552F">
                      <w:rPr>
                        <w:rFonts w:ascii="ＭＳ ゴシック" w:eastAsia="ＭＳ ゴシック" w:hAnsi="ＭＳ ゴシック" w:hint="eastAsia"/>
                        <w:sz w:val="18"/>
                        <w:szCs w:val="18"/>
                      </w:rPr>
                      <w:t>表面</w:t>
                    </w:r>
                  </w:p>
                </w:txbxContent>
              </v:textbox>
            </v:shape>
            <v:shape id="Text Box 10037" o:spid="_x0000_s1639" type="#_x0000_t202" style="position:absolute;left:4358;top:4341;width:655;height:2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" stroked="f">
              <v:textbox style="mso-fit-shape-to-text:t" inset="5.85pt,.7pt,5.85pt,.7pt">
                <w:txbxContent>
                  <w:p w14:paraId="3191E800" w14:textId="77777777" w:rsidR="003B0864" w:rsidRPr="00A959CB" w:rsidRDefault="003B0864" w:rsidP="00342321">
                    <w:pPr>
                      <w:snapToGrid w:val="0"/>
                      <w:jc w:val="right"/>
                      <w:rPr>
                        <w:rFonts w:ascii="ＭＳ ゴシック" w:eastAsia="ＭＳ ゴシック" w:hAnsi="ＭＳ ゴシック"/>
                        <w:sz w:val="16"/>
                        <w:szCs w:val="16"/>
                      </w:rPr>
                    </w:pPr>
                    <w:r w:rsidRPr="00A959CB">
                      <w:rPr>
                        <w:rFonts w:ascii="ＭＳ ゴシック" w:eastAsia="ＭＳ ゴシック" w:hAnsi="ＭＳ ゴシック" w:hint="eastAsia"/>
                        <w:sz w:val="16"/>
                        <w:szCs w:val="16"/>
                      </w:rPr>
                      <w:t>断面</w:t>
                    </w:r>
                  </w:p>
                </w:txbxContent>
              </v:textbox>
            </v:shape>
            <v:shape id="Text Box 10038" o:spid="_x0000_s1640" type="#_x0000_t202" style="position:absolute;left:1487;top:5866;width:1290;height:6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" stroked="f">
              <v:textbox inset="5.85pt,.7pt,5.85pt,.7pt">
                <w:txbxContent>
                  <w:p w14:paraId="10C5BF39" w14:textId="77777777" w:rsidR="003B0864" w:rsidRPr="00BF552F" w:rsidRDefault="003B0864" w:rsidP="00342321">
                    <w:pPr>
                      <w:snapToGrid w:val="0"/>
                      <w:jc w:val="center"/>
                      <w:rPr>
                        <w:rFonts w:ascii="ＭＳ ゴシック" w:eastAsia="ＭＳ ゴシック" w:hAnsi="ＭＳ ゴシック"/>
                        <w:sz w:val="18"/>
                        <w:szCs w:val="18"/>
                      </w:rPr>
                    </w:pPr>
                    <w:r w:rsidRPr="00BF552F">
                      <w:rPr>
                        <w:rFonts w:ascii="ＭＳ ゴシック" w:eastAsia="ＭＳ ゴシック" w:hAnsi="ＭＳ ゴシック" w:hint="eastAsia"/>
                        <w:sz w:val="18"/>
                        <w:szCs w:val="18"/>
                      </w:rPr>
                      <w:t>表面</w:t>
                    </w:r>
                    <w:r w:rsidRPr="00F867AF">
                      <w:rPr>
                        <w:rFonts w:ascii="ＭＳ ゴシック" w:eastAsia="ＭＳ ゴシック" w:hAnsi="ＭＳ ゴシック" w:hint="eastAsia"/>
                        <w:sz w:val="18"/>
                        <w:szCs w:val="18"/>
                      </w:rPr>
                      <w:t>きず</w:t>
                    </w:r>
                    <w:r w:rsidRPr="006052D6">
                      <w:rPr>
                        <w:rFonts w:ascii="ＭＳ ゴシック" w:eastAsia="ＭＳ ゴシック" w:hAnsi="ＭＳ ゴシック" w:hint="eastAsia"/>
                        <w:b/>
                        <w:sz w:val="18"/>
                        <w:szCs w:val="18"/>
                        <w:vertAlign w:val="superscript"/>
                      </w:rPr>
                      <w:t>a)</w:t>
                    </w:r>
                  </w:p>
                </w:txbxContent>
              </v:textbox>
            </v:shape>
            <v:shape id="Text Box 10039" o:spid="_x0000_s1641" type="#_x0000_t202" style="position:absolute;left:1527;top:8781;width:1110;height:6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" stroked="f">
              <v:textbox inset="5.85pt,.7pt,5.85pt,.7pt">
                <w:txbxContent>
                  <w:p w14:paraId="44F1A67A" w14:textId="77777777" w:rsidR="003B0864" w:rsidRPr="00BF552F" w:rsidRDefault="003B0864" w:rsidP="00342321">
                    <w:pPr>
                      <w:snapToGrid w:val="0"/>
                      <w:jc w:val="center"/>
                      <w:rPr>
                        <w:rFonts w:ascii="ＭＳ ゴシック" w:eastAsia="ＭＳ ゴシック" w:hAnsi="ＭＳ ゴシック"/>
                        <w:sz w:val="18"/>
                        <w:szCs w:val="18"/>
                      </w:rPr>
                    </w:pPr>
                    <w:r w:rsidRPr="00BF552F">
                      <w:rPr>
                        <w:rFonts w:ascii="ＭＳ ゴシック" w:eastAsia="ＭＳ ゴシック" w:hAnsi="ＭＳ ゴシック" w:hint="eastAsia"/>
                        <w:sz w:val="18"/>
                        <w:szCs w:val="18"/>
                      </w:rPr>
                      <w:t>内部</w:t>
                    </w:r>
                    <w:r w:rsidRPr="00F867AF">
                      <w:rPr>
                        <w:rFonts w:ascii="ＭＳ ゴシック" w:eastAsia="ＭＳ ゴシック" w:hAnsi="ＭＳ ゴシック" w:hint="eastAsia"/>
                        <w:sz w:val="18"/>
                        <w:szCs w:val="18"/>
                      </w:rPr>
                      <w:t>きず</w:t>
                    </w:r>
                    <w:r w:rsidRPr="006052D6">
                      <w:rPr>
                        <w:rFonts w:ascii="ＭＳ ゴシック" w:eastAsia="ＭＳ ゴシック" w:hAnsi="ＭＳ ゴシック" w:hint="eastAsia"/>
                        <w:b/>
                        <w:sz w:val="18"/>
                        <w:szCs w:val="18"/>
                        <w:vertAlign w:val="superscript"/>
                      </w:rPr>
                      <w:t>b)</w:t>
                    </w:r>
                  </w:p>
                </w:txbxContent>
              </v:textbox>
            </v:shape>
            <v:shape id="Text Box 10040" o:spid="_x0000_s1642" type="#_x0000_t202" style="position:absolute;left:1491;top:10924;width:1263;height:9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" stroked="f">
              <v:textbox inset="5.85pt,.7pt,5.85pt,.7pt">
                <w:txbxContent>
                  <w:p w14:paraId="779DC7BA" w14:textId="77777777" w:rsidR="003B0864" w:rsidRPr="00F867AF" w:rsidRDefault="003B0864" w:rsidP="00342321">
                    <w:pPr>
                      <w:snapToGrid w:val="0"/>
                      <w:jc w:val="center"/>
                      <w:rPr>
                        <w:rFonts w:ascii="ＭＳ ゴシック" w:eastAsia="ＭＳ ゴシック" w:hAnsi="ＭＳ ゴシック"/>
                        <w:sz w:val="18"/>
                        <w:szCs w:val="18"/>
                      </w:rPr>
                    </w:pPr>
                    <w:r w:rsidRPr="00BF552F">
                      <w:rPr>
                        <w:rFonts w:ascii="ＭＳ ゴシック" w:eastAsia="ＭＳ ゴシック" w:hAnsi="ＭＳ ゴシック" w:hint="eastAsia"/>
                        <w:sz w:val="18"/>
                        <w:szCs w:val="18"/>
                      </w:rPr>
                      <w:t>表面</w:t>
                    </w:r>
                    <w:r w:rsidRPr="00F867AF">
                      <w:rPr>
                        <w:rFonts w:ascii="ＭＳ ゴシック" w:eastAsia="ＭＳ ゴシック" w:hAnsi="ＭＳ ゴシック" w:hint="eastAsia"/>
                        <w:sz w:val="18"/>
                        <w:szCs w:val="18"/>
                      </w:rPr>
                      <w:t>きず</w:t>
                    </w:r>
                  </w:p>
                  <w:p w14:paraId="7B04290C" w14:textId="77777777" w:rsidR="003B0864" w:rsidRPr="00F867AF" w:rsidRDefault="003B0864" w:rsidP="00342321">
                    <w:pPr>
                      <w:snapToGrid w:val="0"/>
                      <w:jc w:val="center"/>
                      <w:rPr>
                        <w:rFonts w:ascii="ＭＳ ゴシック" w:eastAsia="ＭＳ ゴシック" w:hAnsi="ＭＳ ゴシック"/>
                        <w:sz w:val="18"/>
                        <w:szCs w:val="18"/>
                      </w:rPr>
                    </w:pPr>
                    <w:r w:rsidRPr="00F867AF">
                      <w:rPr>
                        <w:rFonts w:ascii="ＭＳ ゴシック" w:eastAsia="ＭＳ ゴシック" w:hAnsi="ＭＳ ゴシック" w:hint="eastAsia"/>
                        <w:sz w:val="18"/>
                        <w:szCs w:val="18"/>
                      </w:rPr>
                      <w:t>と</w:t>
                    </w:r>
                  </w:p>
                  <w:p w14:paraId="69A7A293" w14:textId="77777777" w:rsidR="003B0864" w:rsidRPr="00BF552F" w:rsidRDefault="003B0864" w:rsidP="00342321">
                    <w:pPr>
                      <w:snapToGrid w:val="0"/>
                      <w:jc w:val="center"/>
                      <w:rPr>
                        <w:rFonts w:ascii="ＭＳ ゴシック" w:eastAsia="ＭＳ ゴシック" w:hAnsi="ＭＳ ゴシック"/>
                        <w:sz w:val="18"/>
                        <w:szCs w:val="18"/>
                      </w:rPr>
                    </w:pPr>
                    <w:r w:rsidRPr="00F867AF">
                      <w:rPr>
                        <w:rFonts w:ascii="ＭＳ ゴシック" w:eastAsia="ＭＳ ゴシック" w:hAnsi="ＭＳ ゴシック" w:hint="eastAsia"/>
                        <w:sz w:val="18"/>
                        <w:szCs w:val="18"/>
                      </w:rPr>
                      <w:t>内部きず</w:t>
                    </w:r>
                    <w:r w:rsidRPr="006052D6">
                      <w:rPr>
                        <w:rFonts w:ascii="ＭＳ ゴシック" w:eastAsia="ＭＳ ゴシック" w:hAnsi="ＭＳ ゴシック" w:hint="eastAsia"/>
                        <w:b/>
                        <w:sz w:val="18"/>
                        <w:szCs w:val="18"/>
                        <w:vertAlign w:val="superscript"/>
                      </w:rPr>
                      <w:t>c)</w:t>
                    </w:r>
                  </w:p>
                </w:txbxContent>
              </v:textbox>
            </v:shape>
            <v:shape id="Text Box 10041" o:spid="_x0000_s1643" type="#_x0000_t202" style="position:absolute;left:6847;top:7748;width:3988;height:62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" stroked="f">
              <v:textbox inset="5.85pt,.7pt,5.85pt,.7pt">
                <w:txbxContent>
                  <w:p w14:paraId="3C066CAD" w14:textId="77777777" w:rsidR="003B0864" w:rsidRPr="006052D6" w:rsidRDefault="003B0864" w:rsidP="00342321">
                    <w:pPr>
                      <w:ind w:left="632" w:hangingChars="300" w:hanging="632"/>
                      <w:rPr>
                        <w:rFonts w:ascii="ＭＳ 明朝" w:hAnsi="ＭＳ 明朝"/>
                      </w:rPr>
                    </w:pPr>
                    <w:r w:rsidRPr="00DA3097">
                      <w:rPr>
                        <w:rFonts w:ascii="ＭＳ ゴシック" w:eastAsia="ＭＳ ゴシック" w:hAnsi="ＭＳ ゴシック" w:hint="eastAsia"/>
                        <w:b/>
                      </w:rPr>
                      <w:t>注記</w:t>
                    </w:r>
                    <w:r w:rsidRPr="006052D6">
                      <w:rPr>
                        <w:rFonts w:ascii="ＭＳ 明朝" w:hAnsi="ＭＳ 明朝" w:hint="eastAsia"/>
                      </w:rPr>
                      <w:t xml:space="preserve">　表面</w:t>
                    </w:r>
                    <w:r w:rsidRPr="00F867AF">
                      <w:rPr>
                        <w:rFonts w:ascii="ＭＳ 明朝" w:hAnsi="ＭＳ 明朝" w:hint="eastAsia"/>
                      </w:rPr>
                      <w:t>きずと内部きずの許容きず</w:t>
                    </w:r>
                    <w:r w:rsidRPr="006052D6">
                      <w:rPr>
                        <w:rFonts w:ascii="ＭＳ 明朝" w:hAnsi="ＭＳ 明朝" w:hint="eastAsia"/>
                      </w:rPr>
                      <w:t>寸法をそれぞれ</w:t>
                    </w:r>
                    <w:r>
                      <w:rPr>
                        <w:rFonts w:ascii="Cambria Math" w:hAnsi="Cambria Math"/>
                      </w:rPr>
                      <w:t>𝑎</w:t>
                    </w:r>
                    <w:r>
                      <w:rPr>
                        <w:rFonts w:ascii="Cambria Math" w:hAnsi="Cambria Math"/>
                        <w:vertAlign w:val="subscript"/>
                      </w:rPr>
                      <w:t>𝑠</w:t>
                    </w:r>
                    <w:r w:rsidRPr="006052D6">
                      <w:rPr>
                        <w:rFonts w:ascii="ＭＳ 明朝" w:hAnsi="ＭＳ 明朝" w:hint="eastAsia"/>
                      </w:rPr>
                      <w:t>，</w:t>
                    </w:r>
                    <w:r>
                      <w:rPr>
                        <w:rFonts w:ascii="Cambria Math" w:hAnsi="Cambria Math"/>
                      </w:rPr>
                      <w:t>𝑎</w:t>
                    </w:r>
                    <w:r>
                      <w:rPr>
                        <w:rFonts w:ascii="Cambria Math" w:hAnsi="Cambria Math"/>
                        <w:vertAlign w:val="subscript"/>
                      </w:rPr>
                      <w:t>𝑒</w:t>
                    </w:r>
                    <w:r w:rsidRPr="006052D6">
                      <w:rPr>
                        <w:rFonts w:ascii="ＭＳ 明朝" w:hAnsi="ＭＳ 明朝" w:hint="eastAsia"/>
                      </w:rPr>
                      <w:t>とする</w:t>
                    </w:r>
                  </w:p>
                  <w:p w14:paraId="5D83F4C0" w14:textId="77777777" w:rsidR="003B0864" w:rsidRPr="006052D6" w:rsidRDefault="003B0864" w:rsidP="00342321">
                    <w:pPr>
                      <w:spacing w:before="120"/>
                      <w:ind w:left="422" w:hangingChars="200" w:hanging="422"/>
                      <w:rPr>
                        <w:rFonts w:eastAsia="ＭＳ ゴシック"/>
                      </w:rPr>
                    </w:pPr>
                    <w:r w:rsidRPr="00DA3097">
                      <w:rPr>
                        <w:rFonts w:ascii="ＭＳ ゴシック" w:eastAsia="ＭＳ ゴシック" w:hAnsi="ＭＳ ゴシック" w:hint="eastAsia"/>
                        <w:b/>
                      </w:rPr>
                      <w:t>注</w:t>
                    </w:r>
                    <w:r w:rsidRPr="006052D6">
                      <w:rPr>
                        <w:rFonts w:ascii="ＭＳ ゴシック" w:eastAsia="ＭＳ ゴシック" w:hAnsi="ＭＳ ゴシック" w:hint="eastAsia"/>
                        <w:b/>
                        <w:vertAlign w:val="superscript"/>
                      </w:rPr>
                      <w:t>a)</w:t>
                    </w:r>
                    <w:r w:rsidRPr="006052D6">
                      <w:rPr>
                        <w:rFonts w:ascii="ＭＳ ゴシック" w:eastAsia="ＭＳ ゴシック" w:hAnsi="ＭＳ ゴシック" w:hint="eastAsia"/>
                      </w:rPr>
                      <w:t xml:space="preserve"> </w:t>
                    </w:r>
                    <w:r w:rsidRPr="00DA3097">
                      <w:rPr>
                        <w:rFonts w:ascii="ＭＳ 明朝" w:hAnsi="ＭＳ 明朝" w:hint="eastAsia"/>
                      </w:rPr>
                      <w:t>平面</w:t>
                    </w:r>
                    <w:r w:rsidRPr="006052D6">
                      <w:rPr>
                        <w:rFonts w:eastAsia="ＭＳ ゴシック"/>
                      </w:rPr>
                      <w:t>A</w:t>
                    </w:r>
                    <w:r w:rsidRPr="00216479">
                      <w:rPr>
                        <w:rFonts w:asciiTheme="minorEastAsia" w:eastAsiaTheme="minorEastAsia" w:hAnsiTheme="minorEastAsia"/>
                      </w:rPr>
                      <w:t>-</w:t>
                    </w:r>
                    <w:r w:rsidRPr="006052D6">
                      <w:rPr>
                        <w:rFonts w:eastAsia="ＭＳ ゴシック"/>
                      </w:rPr>
                      <w:t>A’</w:t>
                    </w:r>
                    <w:r w:rsidRPr="006052D6">
                      <w:rPr>
                        <w:rFonts w:ascii="ＭＳ 明朝" w:hAnsi="ＭＳ 明朝" w:hint="eastAsia"/>
                      </w:rPr>
                      <w:t>と</w:t>
                    </w:r>
                    <w:r w:rsidRPr="00DA3097">
                      <w:rPr>
                        <w:rFonts w:ascii="ＭＳ 明朝" w:hAnsi="ＭＳ 明朝" w:hint="eastAsia"/>
                      </w:rPr>
                      <w:t>平面</w:t>
                    </w:r>
                    <w:r w:rsidRPr="006052D6">
                      <w:rPr>
                        <w:rFonts w:eastAsia="ＭＳ ゴシック" w:hint="eastAsia"/>
                      </w:rPr>
                      <w:t>B</w:t>
                    </w:r>
                    <w:r w:rsidRPr="00216479">
                      <w:rPr>
                        <w:rFonts w:asciiTheme="minorEastAsia" w:eastAsiaTheme="minorEastAsia" w:hAnsiTheme="minorEastAsia"/>
                      </w:rPr>
                      <w:t>-</w:t>
                    </w:r>
                    <w:r w:rsidRPr="006052D6">
                      <w:rPr>
                        <w:rFonts w:eastAsia="ＭＳ ゴシック" w:hint="eastAsia"/>
                      </w:rPr>
                      <w:t>B</w:t>
                    </w:r>
                    <w:r w:rsidRPr="006052D6">
                      <w:rPr>
                        <w:rFonts w:eastAsia="ＭＳ ゴシック"/>
                      </w:rPr>
                      <w:t>’</w:t>
                    </w:r>
                    <w:r w:rsidRPr="006052D6">
                      <w:rPr>
                        <w:rFonts w:ascii="ＭＳ 明朝" w:hAnsi="ＭＳ 明朝" w:hint="eastAsia"/>
                      </w:rPr>
                      <w:t>の範囲で，</w:t>
                    </w:r>
                  </w:p>
                  <w:p w14:paraId="2A5143AA" w14:textId="77777777" w:rsidR="003B0864" w:rsidRPr="006052D6" w:rsidRDefault="00A51873" w:rsidP="00342321">
                    <w:pPr>
                      <w:ind w:leftChars="250" w:left="525"/>
                      <w:rPr>
                        <w:rFonts w:ascii="ＭＳ 明朝" w:hAnsi="ＭＳ 明朝"/>
                      </w:rPr>
                    </w:pPr>
                    <m:oMath>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e>
                      </m:d>
                      <m:r>
                        <w:rPr>
                          <w:rFonts w:ascii="Cambria Math" w:hAnsi="Cambria Math"/>
                        </w:rPr>
                        <m:t>≦</m:t>
                      </m:r>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s</m:t>
                                  </m:r>
                                </m:sub>
                              </m:sSub>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s</m:t>
                                      </m:r>
                                    </m:sub>
                                  </m:sSub>
                                </m:e>
                                <m:sup>
                                  <m:r>
                                    <w:rPr>
                                      <w:rFonts w:ascii="Cambria Math" w:hAnsi="Cambria Math"/>
                                    </w:rPr>
                                    <m:t>'</m:t>
                                  </m:r>
                                </m:sup>
                              </m:sSup>
                            </m:e>
                          </m:d>
                        </m:num>
                        <m:den>
                          <m:r>
                            <w:rPr>
                              <w:rFonts w:ascii="Cambria Math" w:hAnsi="Cambria Math"/>
                            </w:rPr>
                            <m:t>2</m:t>
                          </m:r>
                        </m:den>
                      </m:f>
                    </m:oMath>
                    <w:r w:rsidR="003B0864">
                      <w:rPr>
                        <w:rFonts w:ascii="ＭＳ 明朝" w:hAnsi="ＭＳ 明朝"/>
                      </w:rPr>
                      <w:t xml:space="preserve"> </w:t>
                    </w:r>
                  </w:p>
                  <w:p w14:paraId="0A9DA967" w14:textId="77777777" w:rsidR="003B0864" w:rsidRPr="006052D6" w:rsidRDefault="003B0864" w:rsidP="00342321">
                    <w:pPr>
                      <w:spacing w:before="120"/>
                      <w:ind w:leftChars="130" w:left="273"/>
                      <w:rPr>
                        <w:rFonts w:eastAsia="ＭＳ ゴシック"/>
                      </w:rPr>
                    </w:pPr>
                    <w:r w:rsidRPr="006052D6">
                      <w:rPr>
                        <w:rFonts w:ascii="ＭＳ ゴシック" w:eastAsia="ＭＳ ゴシック" w:hAnsi="ＭＳ ゴシック" w:hint="eastAsia"/>
                        <w:b/>
                        <w:vertAlign w:val="superscript"/>
                      </w:rPr>
                      <w:t>b)</w:t>
                    </w:r>
                    <w:r w:rsidRPr="006052D6">
                      <w:rPr>
                        <w:rFonts w:ascii="ＭＳ ゴシック" w:eastAsia="ＭＳ ゴシック" w:hAnsi="ＭＳ ゴシック" w:hint="eastAsia"/>
                        <w:b/>
                      </w:rPr>
                      <w:t xml:space="preserve"> </w:t>
                    </w:r>
                    <w:r w:rsidRPr="00DA3097">
                      <w:rPr>
                        <w:rFonts w:ascii="ＭＳ 明朝" w:hAnsi="ＭＳ 明朝" w:hint="eastAsia"/>
                      </w:rPr>
                      <w:t>平面</w:t>
                    </w:r>
                    <w:r w:rsidRPr="006052D6">
                      <w:t>C</w:t>
                    </w:r>
                    <w:r w:rsidRPr="00216479">
                      <w:rPr>
                        <w:rFonts w:asciiTheme="minorEastAsia" w:eastAsiaTheme="minorEastAsia" w:hAnsiTheme="minorEastAsia"/>
                      </w:rPr>
                      <w:t>-</w:t>
                    </w:r>
                    <w:r w:rsidRPr="006052D6">
                      <w:rPr>
                        <w:rFonts w:eastAsia="ＭＳ ゴシック" w:hint="eastAsia"/>
                      </w:rPr>
                      <w:t>C</w:t>
                    </w:r>
                    <w:r w:rsidRPr="006052D6">
                      <w:rPr>
                        <w:rFonts w:eastAsia="ＭＳ ゴシック"/>
                      </w:rPr>
                      <w:t>’</w:t>
                    </w:r>
                    <w:r w:rsidRPr="006052D6">
                      <w:rPr>
                        <w:rFonts w:ascii="ＭＳ 明朝" w:hAnsi="ＭＳ 明朝" w:hint="eastAsia"/>
                      </w:rPr>
                      <w:t>と</w:t>
                    </w:r>
                    <w:r w:rsidRPr="00DA3097">
                      <w:rPr>
                        <w:rFonts w:ascii="ＭＳ 明朝" w:hAnsi="ＭＳ 明朝" w:hint="eastAsia"/>
                      </w:rPr>
                      <w:t>平面</w:t>
                    </w:r>
                    <w:r w:rsidRPr="006052D6">
                      <w:t>D</w:t>
                    </w:r>
                    <w:r w:rsidRPr="00216479">
                      <w:rPr>
                        <w:rFonts w:asciiTheme="minorEastAsia" w:eastAsiaTheme="minorEastAsia" w:hAnsiTheme="minorEastAsia"/>
                      </w:rPr>
                      <w:t>-</w:t>
                    </w:r>
                    <w:r w:rsidRPr="006052D6">
                      <w:rPr>
                        <w:rFonts w:eastAsia="ＭＳ ゴシック" w:hint="eastAsia"/>
                      </w:rPr>
                      <w:t>D</w:t>
                    </w:r>
                    <w:r w:rsidRPr="006052D6">
                      <w:rPr>
                        <w:rFonts w:eastAsia="ＭＳ ゴシック"/>
                      </w:rPr>
                      <w:t>’</w:t>
                    </w:r>
                    <w:r w:rsidRPr="006052D6">
                      <w:rPr>
                        <w:rFonts w:ascii="ＭＳ 明朝" w:hAnsi="ＭＳ 明朝" w:hint="eastAsia"/>
                      </w:rPr>
                      <w:t>の範囲で，</w:t>
                    </w:r>
                  </w:p>
                  <w:p w14:paraId="5D788352" w14:textId="77777777" w:rsidR="003B0864" w:rsidRPr="006052D6" w:rsidRDefault="00A51873" w:rsidP="00342321">
                    <w:pPr>
                      <w:ind w:leftChars="250" w:left="525"/>
                      <w:rPr>
                        <w:rFonts w:ascii="ＭＳ ゴシック" w:eastAsia="ＭＳ ゴシック" w:hAnsi="ＭＳ ゴシック"/>
                        <w:b/>
                        <w:vertAlign w:val="superscript"/>
                      </w:rPr>
                    </w:pPr>
                    <m:oMath>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e>
                      </m:d>
                      <m:r>
                        <w:rPr>
                          <w:rFonts w:ascii="Cambria Math" w:hAnsi="Cambria Math"/>
                        </w:rPr>
                        <m:t>≦</m:t>
                      </m:r>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e</m:t>
                                  </m:r>
                                </m:sub>
                              </m:sSub>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e</m:t>
                                      </m:r>
                                    </m:sub>
                                  </m:sSub>
                                </m:e>
                                <m:sup>
                                  <m:r>
                                    <w:rPr>
                                      <w:rFonts w:ascii="Cambria Math" w:hAnsi="Cambria Math"/>
                                    </w:rPr>
                                    <m:t>'</m:t>
                                  </m:r>
                                </m:sup>
                              </m:sSup>
                            </m:e>
                          </m:d>
                        </m:num>
                        <m:den>
                          <m:r>
                            <w:rPr>
                              <w:rFonts w:ascii="Cambria Math" w:hAnsi="Cambria Math"/>
                            </w:rPr>
                            <m:t>2</m:t>
                          </m:r>
                        </m:den>
                      </m:f>
                    </m:oMath>
                    <w:r w:rsidR="003B0864">
                      <w:rPr>
                        <w:rFonts w:ascii="ＭＳ ゴシック" w:eastAsia="ＭＳ ゴシック" w:hAnsi="ＭＳ ゴシック"/>
                        <w:b/>
                        <w:vertAlign w:val="superscript"/>
                      </w:rPr>
                      <w:t xml:space="preserve"> </w:t>
                    </w:r>
                  </w:p>
                  <w:p w14:paraId="7352D5C0" w14:textId="77777777" w:rsidR="003B0864" w:rsidRPr="006052D6" w:rsidRDefault="003B0864" w:rsidP="00342321">
                    <w:pPr>
                      <w:spacing w:before="120"/>
                      <w:ind w:leftChars="130" w:left="273"/>
                      <w:rPr>
                        <w:rFonts w:eastAsia="ＭＳ ゴシック"/>
                      </w:rPr>
                    </w:pPr>
                    <w:r w:rsidRPr="006052D6">
                      <w:rPr>
                        <w:rFonts w:ascii="ＭＳ ゴシック" w:eastAsia="ＭＳ ゴシック" w:hAnsi="ＭＳ ゴシック" w:hint="eastAsia"/>
                        <w:b/>
                        <w:vertAlign w:val="superscript"/>
                      </w:rPr>
                      <w:t>c)</w:t>
                    </w:r>
                    <w:r w:rsidRPr="006052D6">
                      <w:rPr>
                        <w:rFonts w:ascii="ＭＳ ゴシック" w:eastAsia="ＭＳ ゴシック" w:hAnsi="ＭＳ ゴシック" w:hint="eastAsia"/>
                        <w:b/>
                      </w:rPr>
                      <w:t xml:space="preserve"> </w:t>
                    </w:r>
                    <w:r w:rsidRPr="00DA3097">
                      <w:rPr>
                        <w:rFonts w:ascii="ＭＳ 明朝" w:hAnsi="ＭＳ 明朝" w:hint="eastAsia"/>
                      </w:rPr>
                      <w:t>平面</w:t>
                    </w:r>
                    <w:r w:rsidRPr="006052D6">
                      <w:rPr>
                        <w:rFonts w:hint="eastAsia"/>
                      </w:rPr>
                      <w:t>E</w:t>
                    </w:r>
                    <w:r w:rsidRPr="00216479">
                      <w:rPr>
                        <w:rFonts w:asciiTheme="minorEastAsia" w:eastAsiaTheme="minorEastAsia" w:hAnsiTheme="minorEastAsia"/>
                      </w:rPr>
                      <w:t>-</w:t>
                    </w:r>
                    <w:r w:rsidRPr="006052D6">
                      <w:rPr>
                        <w:rFonts w:eastAsia="ＭＳ ゴシック" w:hint="eastAsia"/>
                      </w:rPr>
                      <w:t>E</w:t>
                    </w:r>
                    <w:r w:rsidRPr="006052D6">
                      <w:rPr>
                        <w:rFonts w:eastAsia="ＭＳ ゴシック"/>
                      </w:rPr>
                      <w:t>’</w:t>
                    </w:r>
                    <w:r w:rsidRPr="006052D6">
                      <w:rPr>
                        <w:rFonts w:ascii="ＭＳ 明朝" w:hAnsi="ＭＳ 明朝" w:hint="eastAsia"/>
                      </w:rPr>
                      <w:t>と</w:t>
                    </w:r>
                    <w:r w:rsidRPr="00DA3097">
                      <w:rPr>
                        <w:rFonts w:ascii="ＭＳ 明朝" w:hAnsi="ＭＳ 明朝" w:hint="eastAsia"/>
                      </w:rPr>
                      <w:t>平面</w:t>
                    </w:r>
                    <w:r w:rsidRPr="006052D6">
                      <w:rPr>
                        <w:rFonts w:hint="eastAsia"/>
                      </w:rPr>
                      <w:t>F</w:t>
                    </w:r>
                    <w:r w:rsidRPr="00216479">
                      <w:rPr>
                        <w:rFonts w:asciiTheme="minorEastAsia" w:eastAsiaTheme="minorEastAsia" w:hAnsiTheme="minorEastAsia"/>
                      </w:rPr>
                      <w:t>-</w:t>
                    </w:r>
                    <w:r w:rsidRPr="006052D6">
                      <w:rPr>
                        <w:rFonts w:eastAsia="ＭＳ ゴシック" w:hint="eastAsia"/>
                      </w:rPr>
                      <w:t>F</w:t>
                    </w:r>
                    <w:r w:rsidRPr="006052D6">
                      <w:rPr>
                        <w:rFonts w:eastAsia="ＭＳ ゴシック"/>
                      </w:rPr>
                      <w:t>’</w:t>
                    </w:r>
                    <w:r w:rsidRPr="006052D6">
                      <w:rPr>
                        <w:rFonts w:ascii="ＭＳ 明朝" w:hAnsi="ＭＳ 明朝" w:hint="eastAsia"/>
                      </w:rPr>
                      <w:t>の範囲で，</w:t>
                    </w:r>
                  </w:p>
                  <w:p w14:paraId="4BDF1558" w14:textId="77777777" w:rsidR="003B0864" w:rsidRPr="006052D6" w:rsidRDefault="00A51873" w:rsidP="00342321">
                    <w:pPr>
                      <w:ind w:leftChars="250" w:left="525"/>
                      <w:rPr>
                        <w:rFonts w:ascii="ＭＳ 明朝" w:hAnsi="ＭＳ 明朝"/>
                      </w:rPr>
                    </w:pPr>
                    <m:oMath>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3</m:t>
                              </m:r>
                            </m:sub>
                          </m:sSub>
                        </m:e>
                      </m:d>
                      <m:r>
                        <w:rPr>
                          <w:rFonts w:ascii="Cambria Math" w:hAnsi="Cambria Math"/>
                        </w:rPr>
                        <m:t>≦</m:t>
                      </m:r>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m:t>
                                  </m:r>
                                </m:sub>
                              </m:sSub>
                            </m:e>
                          </m:d>
                        </m:num>
                        <m:den>
                          <m:r>
                            <w:rPr>
                              <w:rFonts w:ascii="Cambria Math" w:hAnsi="Cambria Math"/>
                            </w:rPr>
                            <m:t>2</m:t>
                          </m:r>
                        </m:den>
                      </m:f>
                    </m:oMath>
                    <w:r w:rsidR="003B0864">
                      <w:rPr>
                        <w:rFonts w:ascii="ＭＳ 明朝" w:hAnsi="ＭＳ 明朝"/>
                      </w:rPr>
                      <w:t xml:space="preserve"> </w:t>
                    </w:r>
                  </w:p>
                  <w:p w14:paraId="4842AEB4" w14:textId="77777777" w:rsidR="003B0864" w:rsidRPr="006052D6" w:rsidRDefault="003B0864" w:rsidP="00342321">
                    <w:pPr>
                      <w:spacing w:before="120"/>
                      <w:ind w:leftChars="130" w:left="273" w:firstLineChars="100" w:firstLine="210"/>
                      <w:rPr>
                        <w:rFonts w:eastAsia="ＭＳ ゴシック"/>
                      </w:rPr>
                    </w:pPr>
                    <w:r w:rsidRPr="00DA3097">
                      <w:rPr>
                        <w:rFonts w:ascii="ＭＳ 明朝" w:hAnsi="ＭＳ 明朝" w:hint="eastAsia"/>
                      </w:rPr>
                      <w:t>平面</w:t>
                    </w:r>
                    <w:r w:rsidRPr="006052D6">
                      <w:rPr>
                        <w:rFonts w:hint="eastAsia"/>
                      </w:rPr>
                      <w:t>F</w:t>
                    </w:r>
                    <w:r w:rsidRPr="00216479">
                      <w:rPr>
                        <w:rFonts w:asciiTheme="minorEastAsia" w:eastAsiaTheme="minorEastAsia" w:hAnsiTheme="minorEastAsia"/>
                      </w:rPr>
                      <w:t>-</w:t>
                    </w:r>
                    <w:r w:rsidRPr="006052D6">
                      <w:rPr>
                        <w:rFonts w:eastAsia="ＭＳ ゴシック" w:hint="eastAsia"/>
                      </w:rPr>
                      <w:t>F</w:t>
                    </w:r>
                    <w:r w:rsidRPr="006052D6">
                      <w:rPr>
                        <w:rFonts w:eastAsia="ＭＳ ゴシック"/>
                      </w:rPr>
                      <w:t>’</w:t>
                    </w:r>
                    <w:r w:rsidRPr="006052D6">
                      <w:rPr>
                        <w:rFonts w:ascii="ＭＳ 明朝" w:hAnsi="ＭＳ 明朝" w:hint="eastAsia"/>
                      </w:rPr>
                      <w:t>と</w:t>
                    </w:r>
                    <w:r w:rsidRPr="00DA3097">
                      <w:rPr>
                        <w:rFonts w:ascii="ＭＳ 明朝" w:hAnsi="ＭＳ 明朝" w:hint="eastAsia"/>
                      </w:rPr>
                      <w:t>平面</w:t>
                    </w:r>
                    <w:r w:rsidRPr="006052D6">
                      <w:rPr>
                        <w:rFonts w:hint="eastAsia"/>
                      </w:rPr>
                      <w:t>G</w:t>
                    </w:r>
                    <w:r w:rsidRPr="00216479">
                      <w:rPr>
                        <w:rFonts w:asciiTheme="minorEastAsia" w:eastAsiaTheme="minorEastAsia" w:hAnsiTheme="minorEastAsia"/>
                      </w:rPr>
                      <w:t>-</w:t>
                    </w:r>
                    <w:r w:rsidRPr="006052D6">
                      <w:rPr>
                        <w:rFonts w:eastAsia="ＭＳ ゴシック" w:hint="eastAsia"/>
                      </w:rPr>
                      <w:t>G</w:t>
                    </w:r>
                    <w:r w:rsidRPr="006052D6">
                      <w:rPr>
                        <w:rFonts w:eastAsia="ＭＳ ゴシック"/>
                      </w:rPr>
                      <w:t>’</w:t>
                    </w:r>
                    <w:r w:rsidRPr="006052D6">
                      <w:rPr>
                        <w:rFonts w:ascii="ＭＳ 明朝" w:hAnsi="ＭＳ 明朝" w:hint="eastAsia"/>
                      </w:rPr>
                      <w:t>の範囲で，</w:t>
                    </w:r>
                  </w:p>
                  <w:p w14:paraId="41351225" w14:textId="77777777" w:rsidR="003B0864" w:rsidRPr="006052D6" w:rsidRDefault="00A51873" w:rsidP="00342321">
                    <w:pPr>
                      <w:ind w:leftChars="250" w:left="525"/>
                      <w:rPr>
                        <w:rFonts w:ascii="ＭＳ 明朝" w:hAnsi="ＭＳ 明朝"/>
                      </w:rPr>
                    </w:pPr>
                    <m:oMathPara>
                      <m:oMath>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3</m:t>
                                </m:r>
                              </m:sub>
                            </m:sSub>
                          </m:e>
                        </m:d>
                        <m:r>
                          <w:rPr>
                            <w:rFonts w:ascii="Cambria Math" w:hAnsi="Cambria Math"/>
                          </w:rPr>
                          <m:t>≦</m:t>
                        </m:r>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m:t>
                                    </m:r>
                                  </m:sub>
                                </m:sSub>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s</m:t>
                                        </m:r>
                                      </m:sub>
                                    </m:sSub>
                                  </m:e>
                                  <m:sup>
                                    <m:r>
                                      <w:rPr>
                                        <w:rFonts w:ascii="Cambria Math" w:hAnsi="Cambria Math"/>
                                      </w:rPr>
                                      <m:t>'</m:t>
                                    </m:r>
                                  </m:sup>
                                </m:sSup>
                              </m:e>
                            </m:d>
                          </m:num>
                          <m:den>
                            <m:r>
                              <w:rPr>
                                <w:rFonts w:ascii="Cambria Math" w:hAnsi="Cambria Math"/>
                              </w:rPr>
                              <m:t>3</m:t>
                            </m:r>
                          </m:den>
                        </m:f>
                      </m:oMath>
                    </m:oMathPara>
                  </w:p>
                  <w:p w14:paraId="2C05FEB8" w14:textId="77777777" w:rsidR="003B0864" w:rsidRPr="006052D6" w:rsidRDefault="003B0864" w:rsidP="00342321">
                    <w:pPr>
                      <w:spacing w:before="120"/>
                      <w:ind w:leftChars="130" w:left="273" w:firstLineChars="100" w:firstLine="210"/>
                      <w:rPr>
                        <w:rFonts w:eastAsia="ＭＳ ゴシック"/>
                      </w:rPr>
                    </w:pPr>
                    <w:r w:rsidRPr="00DA3097">
                      <w:rPr>
                        <w:rFonts w:ascii="ＭＳ 明朝" w:hAnsi="ＭＳ 明朝" w:hint="eastAsia"/>
                      </w:rPr>
                      <w:t>平面</w:t>
                    </w:r>
                    <w:r w:rsidRPr="006052D6">
                      <w:rPr>
                        <w:rFonts w:hint="eastAsia"/>
                      </w:rPr>
                      <w:t>G</w:t>
                    </w:r>
                    <w:r w:rsidRPr="00216479">
                      <w:rPr>
                        <w:rFonts w:asciiTheme="minorEastAsia" w:eastAsiaTheme="minorEastAsia" w:hAnsiTheme="minorEastAsia"/>
                      </w:rPr>
                      <w:t>-</w:t>
                    </w:r>
                    <w:r w:rsidRPr="006052D6">
                      <w:rPr>
                        <w:rFonts w:eastAsia="ＭＳ ゴシック" w:hint="eastAsia"/>
                      </w:rPr>
                      <w:t>G</w:t>
                    </w:r>
                    <w:r w:rsidRPr="006052D6">
                      <w:rPr>
                        <w:rFonts w:eastAsia="ＭＳ ゴシック"/>
                      </w:rPr>
                      <w:t>’</w:t>
                    </w:r>
                    <w:r w:rsidRPr="006052D6">
                      <w:rPr>
                        <w:rFonts w:ascii="ＭＳ 明朝" w:hAnsi="ＭＳ 明朝" w:hint="eastAsia"/>
                      </w:rPr>
                      <w:t>と</w:t>
                    </w:r>
                    <w:r w:rsidRPr="00DA3097">
                      <w:rPr>
                        <w:rFonts w:ascii="ＭＳ 明朝" w:hAnsi="ＭＳ 明朝" w:hint="eastAsia"/>
                      </w:rPr>
                      <w:t>平面</w:t>
                    </w:r>
                    <w:r w:rsidRPr="006052D6">
                      <w:rPr>
                        <w:rFonts w:hint="eastAsia"/>
                      </w:rPr>
                      <w:t>H</w:t>
                    </w:r>
                    <w:r w:rsidRPr="00216479">
                      <w:rPr>
                        <w:rFonts w:asciiTheme="minorEastAsia" w:eastAsiaTheme="minorEastAsia" w:hAnsiTheme="minorEastAsia"/>
                      </w:rPr>
                      <w:t>-</w:t>
                    </w:r>
                    <w:r w:rsidRPr="006052D6">
                      <w:rPr>
                        <w:rFonts w:eastAsia="ＭＳ ゴシック" w:hint="eastAsia"/>
                      </w:rPr>
                      <w:t>H</w:t>
                    </w:r>
                    <w:r w:rsidRPr="006052D6">
                      <w:rPr>
                        <w:rFonts w:eastAsia="ＭＳ ゴシック"/>
                      </w:rPr>
                      <w:t>’</w:t>
                    </w:r>
                    <w:r w:rsidRPr="006052D6">
                      <w:rPr>
                        <w:rFonts w:ascii="ＭＳ 明朝" w:hAnsi="ＭＳ 明朝" w:hint="eastAsia"/>
                      </w:rPr>
                      <w:t>の範囲で，</w:t>
                    </w:r>
                  </w:p>
                  <w:p w14:paraId="7D09942F" w14:textId="77777777" w:rsidR="003B0864" w:rsidRPr="006052D6" w:rsidRDefault="00A51873" w:rsidP="00342321">
                    <w:pPr>
                      <w:ind w:leftChars="250" w:left="525"/>
                      <w:rPr>
                        <w:rFonts w:ascii="ＭＳ ゴシック" w:eastAsia="ＭＳ ゴシック" w:hAnsi="ＭＳ ゴシック"/>
                        <w:b/>
                        <w:vertAlign w:val="superscript"/>
                      </w:rPr>
                    </w:pPr>
                    <m:oMath>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3</m:t>
                              </m:r>
                            </m:sub>
                          </m:sSub>
                        </m:e>
                      </m:d>
                      <m:r>
                        <w:rPr>
                          <w:rFonts w:ascii="Cambria Math" w:hAnsi="Cambria Math"/>
                        </w:rPr>
                        <m:t>≦</m:t>
                      </m:r>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s</m:t>
                                          </m:r>
                                        </m:sub>
                                      </m:sSub>
                                    </m:e>
                                    <m:sup>
                                      <m:r>
                                        <w:rPr>
                                          <w:rFonts w:ascii="Cambria Math" w:hAnsi="Cambria Math"/>
                                        </w:rPr>
                                        <m:t>'</m:t>
                                      </m:r>
                                    </m:sup>
                                  </m:sSup>
                                  <m:r>
                                    <w:rPr>
                                      <w:rFonts w:ascii="Cambria Math" w:hAnsi="Cambria Math"/>
                                    </w:rPr>
                                    <m:t>+a</m:t>
                                  </m:r>
                                </m:e>
                                <m:sub>
                                  <m:r>
                                    <w:rPr>
                                      <w:rFonts w:ascii="Cambria Math" w:hAnsi="Cambria Math"/>
                                    </w:rPr>
                                    <m:t>e</m:t>
                                  </m:r>
                                </m:sub>
                              </m:sSub>
                            </m:e>
                          </m:d>
                        </m:num>
                        <m:den>
                          <m:r>
                            <w:rPr>
                              <w:rFonts w:ascii="Cambria Math" w:hAnsi="Cambria Math"/>
                            </w:rPr>
                            <m:t>2</m:t>
                          </m:r>
                        </m:den>
                      </m:f>
                    </m:oMath>
                    <w:r w:rsidR="003B0864">
                      <w:rPr>
                        <w:rFonts w:ascii="ＭＳ ゴシック" w:eastAsia="ＭＳ ゴシック" w:hAnsi="ＭＳ ゴシック"/>
                        <w:b/>
                        <w:vertAlign w:val="superscript"/>
                      </w:rPr>
                      <w:t xml:space="preserve"> </w:t>
                    </w:r>
                  </w:p>
                </w:txbxContent>
              </v:textbox>
            </v:shape>
          </v:group>
        </w:pict>
      </w:r>
      <w:r w:rsidR="00342321" w:rsidRPr="00BC31E0">
        <w:rPr>
          <w:rFonts w:cs="Century" w:hint="eastAsia"/>
          <w:noProof/>
          <w:kern w:val="0"/>
        </w:rPr>
        <w:drawing>
          <wp:inline distT="0" distB="0" distL="0" distR="0" wp14:anchorId="4650B8B3" wp14:editId="21CA9846">
            <wp:extent cx="5469890" cy="7785100"/>
            <wp:effectExtent l="19050" t="0" r="0" b="0"/>
            <wp:docPr id="708" name="図 708" descr="図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図9"/>
                    <pic:cNvPicPr>
                      <a:picLocks noChangeAspect="1" noChangeArrowheads="1"/>
                    </pic:cNvPicPr>
                  </pic:nvPicPr>
                  <pic:blipFill>
                    <a:blip r:embed="rId119" cstate="print"/>
                    <a:srcRect/>
                    <a:stretch>
                      <a:fillRect/>
                    </a:stretch>
                  </pic:blipFill>
                  <pic:spPr bwMode="auto">
                    <a:xfrm>
                      <a:off x="0" y="0"/>
                      <a:ext cx="5469890" cy="7785100"/>
                    </a:xfrm>
                    <a:prstGeom prst="rect">
                      <a:avLst/>
                    </a:prstGeom>
                    <a:noFill/>
                    <a:ln w="9525">
                      <a:noFill/>
                      <a:miter lim="800000"/>
                      <a:headEnd/>
                      <a:tailEnd/>
                    </a:ln>
                  </pic:spPr>
                </pic:pic>
              </a:graphicData>
            </a:graphic>
          </wp:inline>
        </w:drawing>
      </w:r>
    </w:p>
    <w:p w14:paraId="499CB1D1" w14:textId="77777777" w:rsidR="00342321" w:rsidRPr="00BC31E0" w:rsidRDefault="00342321" w:rsidP="00342321">
      <w:pPr>
        <w:pStyle w:val="af4"/>
        <w:spacing w:line="360" w:lineRule="atLeast"/>
        <w:rPr>
          <w:vertAlign w:val="superscript"/>
        </w:rPr>
      </w:pPr>
      <w:r w:rsidRPr="00BC31E0">
        <w:rPr>
          <w:rFonts w:cs="Century" w:hint="eastAsia"/>
          <w:kern w:val="0"/>
        </w:rPr>
        <w:t>図9.3.6　同一平面上にない並列な複数個の平面きずの取扱い</w:t>
      </w:r>
      <w:r w:rsidRPr="00BC31E0">
        <w:rPr>
          <w:rFonts w:hAnsi="ＭＳ ゴシック" w:hint="eastAsia"/>
          <w:szCs w:val="20"/>
          <w:vertAlign w:val="superscript"/>
        </w:rPr>
        <w:t>†</w:t>
      </w:r>
    </w:p>
    <w:p w14:paraId="1B5E6AE8" w14:textId="77777777" w:rsidR="00342321" w:rsidRPr="00BC31E0" w:rsidRDefault="00342321" w:rsidP="00342321">
      <w:pPr>
        <w:pStyle w:val="af4"/>
        <w:spacing w:line="360" w:lineRule="atLeast"/>
        <w:jc w:val="left"/>
        <w:rPr>
          <w:vertAlign w:val="superscript"/>
        </w:rPr>
      </w:pPr>
    </w:p>
    <w:p w14:paraId="103800CE" w14:textId="77777777" w:rsidR="00342321" w:rsidRPr="00BC31E0" w:rsidRDefault="00A51873" w:rsidP="00342321">
      <w:pPr>
        <w:autoSpaceDE w:val="0"/>
        <w:autoSpaceDN w:val="0"/>
        <w:spacing w:line="360" w:lineRule="atLeast"/>
        <w:jc w:val="left"/>
        <w:rPr>
          <w:szCs w:val="20"/>
        </w:rPr>
      </w:pPr>
      <w:r>
        <w:rPr>
          <w:noProof/>
          <w:szCs w:val="20"/>
        </w:rPr>
        <w:pict w14:anchorId="744088D2">
          <v:shape id="テキスト ボックス 669" o:spid="_x0000_s1644" type="#_x0000_t202" style="position:absolute;margin-left:254.85pt;margin-top:199.65pt;width:21.5pt;height:25.2pt;z-index:2516802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" strokecolor="white">
            <v:textbox inset="5.85pt,.7pt,5.85pt,.7pt">
              <w:txbxContent>
                <w:p w14:paraId="14FBB1DB" w14:textId="77777777" w:rsidR="003B0864" w:rsidRPr="004C4F89" w:rsidRDefault="003B0864" w:rsidP="00342321">
                  <w:pPr>
                    <w:rPr>
                      <w:sz w:val="16"/>
                      <w:szCs w:val="16"/>
                    </w:rPr>
                  </w:pPr>
                  <w:r w:rsidRPr="004C4F89">
                    <w:rPr>
                      <w:rFonts w:hint="eastAsia"/>
                      <w:sz w:val="16"/>
                      <w:szCs w:val="16"/>
                    </w:rPr>
                    <w:t>2d</w:t>
                  </w:r>
                </w:p>
              </w:txbxContent>
            </v:textbox>
          </v:shape>
        </w:pict>
      </w:r>
      <w:r>
        <w:rPr>
          <w:noProof/>
          <w:szCs w:val="20"/>
        </w:rPr>
        <w:pict w14:anchorId="6ACDE6DC">
          <v:shape id="テキスト ボックス 668" o:spid="_x0000_s1645" type="#_x0000_t202" style="position:absolute;margin-left:126.55pt;margin-top:264.4pt;width:41.25pt;height:22.8pt;z-index:2516792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" strokecolor="white">
            <v:textbox inset="5.85pt,.7pt,5.85pt,.7pt">
              <w:txbxContent>
                <w:p w14:paraId="16167B27" w14:textId="77777777" w:rsidR="003B0864" w:rsidRPr="004C4F89" w:rsidRDefault="003B0864" w:rsidP="00342321">
                  <w:pPr>
                    <w:rPr>
                      <w:sz w:val="16"/>
                      <w:szCs w:val="16"/>
                    </w:rPr>
                  </w:pPr>
                  <w:r w:rsidRPr="00A76381">
                    <w:rPr>
                      <w:rFonts w:hint="eastAsia"/>
                      <w:i/>
                      <w:sz w:val="16"/>
                      <w:szCs w:val="16"/>
                    </w:rPr>
                    <w:t>S</w:t>
                  </w:r>
                  <w:r w:rsidRPr="004C4F89">
                    <w:rPr>
                      <w:rFonts w:hint="eastAsia"/>
                      <w:sz w:val="16"/>
                      <w:szCs w:val="16"/>
                    </w:rPr>
                    <w:t>＞</w:t>
                  </w:r>
                  <w:r w:rsidRPr="004C4F89">
                    <w:rPr>
                      <w:rFonts w:hint="eastAsia"/>
                      <w:sz w:val="16"/>
                      <w:szCs w:val="16"/>
                    </w:rPr>
                    <w:t>0.4d</w:t>
                  </w:r>
                </w:p>
              </w:txbxContent>
            </v:textbox>
          </v:shape>
        </w:pict>
      </w:r>
    </w:p>
    <w:p w14:paraId="4F838CFE" w14:textId="77777777" w:rsidR="00342321" w:rsidRPr="00BC31E0" w:rsidRDefault="00342321" w:rsidP="000E2012">
      <w:pPr>
        <w:pStyle w:val="af4"/>
      </w:pPr>
      <w:r w:rsidRPr="00BC31E0">
        <w:rPr>
          <w:rFonts w:hint="eastAsia"/>
        </w:rPr>
        <w:lastRenderedPageBreak/>
        <w:t>表9.3.2　表面きずの許容きず寸法 (</w:t>
      </w:r>
      <m:oMath>
        <m:r>
          <m:rPr>
            <m:sty m:val="bi"/>
          </m:rPr>
          <w:rPr>
            <w:rFonts w:ascii="Cambria Math" w:hAnsi="Cambria Math"/>
            <w:sz w:val="22"/>
            <w:szCs w:val="22"/>
          </w:rPr>
          <m:t>570&lt;</m:t>
        </m:r>
        <m:sSub>
          <m:sSubPr>
            <m:ctrlPr>
              <w:rPr>
                <w:rFonts w:ascii="Cambria Math" w:hAnsi="Cambria Math"/>
                <w:i/>
                <w:sz w:val="22"/>
                <w:szCs w:val="22"/>
              </w:rPr>
            </m:ctrlPr>
          </m:sSubPr>
          <m:e>
            <m:r>
              <m:rPr>
                <m:sty m:val="bi"/>
              </m:rPr>
              <w:rPr>
                <w:rFonts w:ascii="Cambria Math" w:hAnsi="Cambria Math"/>
                <w:sz w:val="22"/>
                <w:szCs w:val="22"/>
              </w:rPr>
              <m:t>S</m:t>
            </m:r>
          </m:e>
          <m:sub>
            <m:r>
              <m:rPr>
                <m:sty m:val="bi"/>
              </m:rPr>
              <w:rPr>
                <w:rFonts w:ascii="Cambria Math" w:hAnsi="Cambria Math"/>
                <w:sz w:val="22"/>
                <w:szCs w:val="22"/>
                <w:vertAlign w:val="subscript"/>
              </w:rPr>
              <m:t>y</m:t>
            </m:r>
          </m:sub>
        </m:sSub>
        <m:r>
          <m:rPr>
            <m:sty m:val="bi"/>
          </m:rPr>
          <w:rPr>
            <w:rFonts w:ascii="Cambria Math" w:hAnsi="Cambria Math"/>
            <w:sz w:val="22"/>
            <w:szCs w:val="22"/>
          </w:rPr>
          <m:t xml:space="preserve">≦690 </m:t>
        </m:r>
        <m:r>
          <m:rPr>
            <m:sty m:val="b"/>
          </m:rPr>
          <w:rPr>
            <w:rFonts w:ascii="Cambria Math" w:hAnsi="Cambria Math"/>
            <w:sz w:val="22"/>
            <w:szCs w:val="22"/>
          </w:rPr>
          <m:t>MPa</m:t>
        </m:r>
      </m:oMath>
      <w:r w:rsidRPr="00BC31E0">
        <w:rPr>
          <w:rFonts w:hint="eastAsia"/>
        </w:rPr>
        <w:t>，溶接後熱処理</w:t>
      </w:r>
      <w:r w:rsidRPr="00BC31E0">
        <w:t>あり</w:t>
      </w:r>
      <w:r w:rsidRPr="00BC31E0">
        <w:rPr>
          <w:rFonts w:hint="eastAsia"/>
        </w:rPr>
        <w:t>)</w:t>
      </w:r>
    </w:p>
    <w:tbl>
      <w:tblPr>
        <w:tblW w:w="0" w:type="auto"/>
        <w:tblInd w:w="1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3"/>
      </w:tblGrid>
      <w:tr w:rsidR="00342321" w:rsidRPr="00BC31E0" w14:paraId="0B501F74" w14:textId="77777777" w:rsidTr="004736F2">
        <w:tc>
          <w:tcPr>
            <w:tcW w:w="5273" w:type="dxa"/>
          </w:tcPr>
          <w:p w14:paraId="04C4C1EC" w14:textId="77777777" w:rsidR="00342321" w:rsidRPr="00BC31E0" w:rsidRDefault="00342321" w:rsidP="004736F2">
            <w:pPr>
              <w:snapToGrid w:val="0"/>
              <w:spacing w:line="320" w:lineRule="atLeast"/>
              <w:jc w:val="center"/>
              <w:rPr>
                <w:i/>
                <w:szCs w:val="20"/>
              </w:rPr>
            </w:pPr>
            <m:oMathPara>
              <m:oMath>
                <m:r>
                  <w:rPr>
                    <w:rFonts w:ascii="Cambria Math" w:hAnsi="Cambria Math" w:hint="eastAsia"/>
                    <w:szCs w:val="20"/>
                  </w:rPr>
                  <m:t>13</m:t>
                </m:r>
                <m:r>
                  <w:rPr>
                    <w:rFonts w:ascii="Cambria Math" w:hAnsi="Cambria Math"/>
                    <w:szCs w:val="20"/>
                  </w:rPr>
                  <m:t>≦t&lt;</m:t>
                </m:r>
                <m:r>
                  <w:rPr>
                    <w:rFonts w:ascii="Cambria Math" w:hAnsi="Cambria Math" w:hint="eastAsia"/>
                    <w:szCs w:val="20"/>
                  </w:rPr>
                  <m:t>25</m:t>
                </m:r>
                <m:r>
                  <m:rPr>
                    <m:sty m:val="p"/>
                  </m:rPr>
                  <w:rPr>
                    <w:rFonts w:ascii="Cambria Math" w:hAnsi="Cambria Math" w:hint="eastAsia"/>
                    <w:szCs w:val="20"/>
                  </w:rPr>
                  <m:t xml:space="preserve"> mm</m:t>
                </m:r>
              </m:oMath>
            </m:oMathPara>
          </w:p>
        </w:tc>
      </w:tr>
      <w:tr w:rsidR="00342321" w:rsidRPr="00BC31E0" w14:paraId="160136D1" w14:textId="77777777" w:rsidTr="004736F2">
        <w:tc>
          <w:tcPr>
            <w:tcW w:w="5273" w:type="dxa"/>
          </w:tcPr>
          <w:p w14:paraId="1BD358C5" w14:textId="77777777" w:rsidR="00342321" w:rsidRPr="00BC31E0" w:rsidRDefault="00A51873" w:rsidP="004736F2">
            <w:pPr>
              <w:snapToGrid w:val="0"/>
              <w:spacing w:line="320" w:lineRule="atLeast"/>
              <w:jc w:val="center"/>
            </w:pPr>
            <m:oMath>
              <m:f>
                <m:fPr>
                  <m:type m:val="lin"/>
                  <m:ctrlPr>
                    <w:rPr>
                      <w:rFonts w:ascii="Cambria Math" w:hAnsi="Cambria Math"/>
                      <w:i/>
                      <w:kern w:val="0"/>
                    </w:rPr>
                  </m:ctrlPr>
                </m:fPr>
                <m:num>
                  <m:r>
                    <w:rPr>
                      <w:rFonts w:ascii="Cambria Math" w:hAnsi="Cambria Math"/>
                      <w:kern w:val="0"/>
                    </w:rPr>
                    <m:t>a</m:t>
                  </m:r>
                </m:num>
                <m:den>
                  <m:r>
                    <w:rPr>
                      <w:rFonts w:ascii="Cambria Math" w:hAnsi="Cambria Math"/>
                      <w:kern w:val="0"/>
                    </w:rPr>
                    <m:t>t</m:t>
                  </m:r>
                </m:den>
              </m:f>
              <m:r>
                <m:rPr>
                  <m:sty m:val="p"/>
                </m:rPr>
                <w:rPr>
                  <w:rFonts w:ascii="Cambria Math" w:hAnsi="Cambria Math"/>
                </w:rPr>
                <m:t>≦0.087</m:t>
              </m:r>
            </m:oMath>
            <w:r w:rsidR="00342321" w:rsidRPr="00BC31E0">
              <w:rPr>
                <w:rFonts w:hAnsi="ＭＳ 明朝"/>
              </w:rPr>
              <w:t xml:space="preserve">　</w:t>
            </w:r>
            <w:r w:rsidR="00342321" w:rsidRPr="00BC31E0">
              <w:rPr>
                <w:rFonts w:hAnsi="ＭＳ 明朝" w:hint="eastAsia"/>
              </w:rPr>
              <w:t>及</w:t>
            </w:r>
            <w:r w:rsidR="00342321" w:rsidRPr="00BC31E0">
              <w:rPr>
                <w:rFonts w:hAnsi="ＭＳ 明朝"/>
              </w:rPr>
              <w:t xml:space="preserve">び　</w:t>
            </w:r>
            <m:oMath>
              <m:r>
                <w:rPr>
                  <w:rFonts w:ascii="Cambria Math" w:hAnsi="Cambria Math"/>
                </w:rPr>
                <m:t>l</m:t>
              </m:r>
              <m:r>
                <w:rPr>
                  <w:rFonts w:ascii="Cambria Math" w:hAnsi="Cambria Math" w:hint="eastAsia"/>
                </w:rPr>
                <m:t xml:space="preserve"> </m:t>
              </m:r>
              <m:r>
                <w:rPr>
                  <w:rFonts w:ascii="Cambria Math" w:hAnsi="Cambria Math"/>
                </w:rPr>
                <m:t>≦</m:t>
              </m:r>
              <m:r>
                <w:rPr>
                  <w:rFonts w:ascii="Cambria Math" w:hAnsi="Cambria Math" w:hint="eastAsia"/>
                </w:rPr>
                <m:t>6.4</m:t>
              </m:r>
              <m:r>
                <m:rPr>
                  <m:sty m:val="p"/>
                </m:rPr>
                <w:rPr>
                  <w:rFonts w:ascii="Cambria Math" w:hAnsi="Cambria Math"/>
                </w:rPr>
                <m:t xml:space="preserve"> mm</m:t>
              </m:r>
            </m:oMath>
          </w:p>
        </w:tc>
      </w:tr>
    </w:tbl>
    <w:p w14:paraId="47A09AB6" w14:textId="77777777" w:rsidR="000E2012" w:rsidRPr="00BC31E0" w:rsidRDefault="000E2012" w:rsidP="00E071EE">
      <w:pPr>
        <w:spacing w:line="200" w:lineRule="exact"/>
      </w:pPr>
    </w:p>
    <w:p w14:paraId="775C0717" w14:textId="77777777" w:rsidR="00342321" w:rsidRPr="00BC31E0" w:rsidRDefault="00342321" w:rsidP="000E2012">
      <w:pPr>
        <w:pStyle w:val="af4"/>
      </w:pPr>
      <w:r w:rsidRPr="00BC31E0">
        <w:rPr>
          <w:rFonts w:hint="eastAsia"/>
        </w:rPr>
        <w:t>表9.3.3　表面きずの許容きず寸法 (</w:t>
      </w:r>
      <m:oMath>
        <m:r>
          <m:rPr>
            <m:sty m:val="bi"/>
          </m:rPr>
          <w:rPr>
            <w:rFonts w:ascii="Cambria Math" w:hAnsi="Cambria Math"/>
            <w:sz w:val="22"/>
            <w:szCs w:val="22"/>
          </w:rPr>
          <m:t>570&lt;</m:t>
        </m:r>
        <m:sSub>
          <m:sSubPr>
            <m:ctrlPr>
              <w:rPr>
                <w:rFonts w:ascii="Cambria Math" w:hAnsi="Cambria Math"/>
                <w:i/>
                <w:sz w:val="22"/>
                <w:szCs w:val="22"/>
              </w:rPr>
            </m:ctrlPr>
          </m:sSubPr>
          <m:e>
            <m:r>
              <m:rPr>
                <m:sty m:val="bi"/>
              </m:rPr>
              <w:rPr>
                <w:rFonts w:ascii="Cambria Math" w:hAnsi="Cambria Math"/>
                <w:sz w:val="22"/>
                <w:szCs w:val="22"/>
              </w:rPr>
              <m:t>S</m:t>
            </m:r>
          </m:e>
          <m:sub>
            <m:r>
              <m:rPr>
                <m:sty m:val="bi"/>
              </m:rPr>
              <w:rPr>
                <w:rFonts w:ascii="Cambria Math" w:hAnsi="Cambria Math"/>
                <w:sz w:val="22"/>
                <w:szCs w:val="22"/>
                <w:vertAlign w:val="subscript"/>
              </w:rPr>
              <m:t>y</m:t>
            </m:r>
          </m:sub>
        </m:sSub>
        <m:r>
          <m:rPr>
            <m:sty m:val="bi"/>
          </m:rPr>
          <w:rPr>
            <w:rFonts w:ascii="Cambria Math" w:hAnsi="Cambria Math"/>
            <w:sz w:val="22"/>
            <w:szCs w:val="22"/>
          </w:rPr>
          <m:t xml:space="preserve">≦690 </m:t>
        </m:r>
        <m:r>
          <m:rPr>
            <m:sty m:val="b"/>
          </m:rPr>
          <w:rPr>
            <w:rFonts w:ascii="Cambria Math" w:hAnsi="Cambria Math"/>
            <w:sz w:val="22"/>
            <w:szCs w:val="22"/>
          </w:rPr>
          <m:t>MPa</m:t>
        </m:r>
      </m:oMath>
      <w:r w:rsidRPr="00BC31E0">
        <w:rPr>
          <w:rFonts w:hint="eastAsia"/>
        </w:rPr>
        <w:t>，溶接後熱処理</w:t>
      </w:r>
      <w:r w:rsidRPr="00BC31E0">
        <w:t>あり</w:t>
      </w:r>
      <w:r w:rsidRPr="00BC31E0">
        <w:rPr>
          <w:rFonts w:hint="eastAsi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753"/>
        <w:gridCol w:w="1754"/>
        <w:gridCol w:w="1754"/>
        <w:gridCol w:w="1754"/>
      </w:tblGrid>
      <w:tr w:rsidR="00342321" w:rsidRPr="00BC31E0" w14:paraId="03B96FDC" w14:textId="77777777" w:rsidTr="004736F2">
        <w:trPr>
          <w:jc w:val="center"/>
        </w:trPr>
        <w:tc>
          <w:tcPr>
            <w:tcW w:w="993" w:type="dxa"/>
            <w:vMerge w:val="restart"/>
            <w:vAlign w:val="center"/>
          </w:tcPr>
          <w:p w14:paraId="2088E86E" w14:textId="77777777" w:rsidR="00342321" w:rsidRPr="00BC31E0" w:rsidRDefault="00A51873" w:rsidP="004736F2">
            <w:pPr>
              <w:snapToGrid w:val="0"/>
              <w:spacing w:line="300" w:lineRule="atLeast"/>
              <w:jc w:val="center"/>
              <w:rPr>
                <w:rFonts w:ascii="Times New Roman" w:hAnsi="Times New Roman"/>
                <w:i/>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l</m:t>
                    </m:r>
                  </m:den>
                </m:f>
              </m:oMath>
            </m:oMathPara>
          </w:p>
        </w:tc>
        <w:tc>
          <w:tcPr>
            <w:tcW w:w="7015" w:type="dxa"/>
            <w:gridSpan w:val="4"/>
            <w:vAlign w:val="center"/>
          </w:tcPr>
          <w:p w14:paraId="3F498D2B" w14:textId="77777777" w:rsidR="00342321" w:rsidRPr="00BC31E0" w:rsidRDefault="00342321" w:rsidP="004736F2">
            <w:pPr>
              <w:snapToGrid w:val="0"/>
              <w:spacing w:line="300" w:lineRule="atLeast"/>
              <w:jc w:val="center"/>
              <w:rPr>
                <w:rFonts w:ascii="Times New Roman" w:hAnsi="Times New Roman"/>
                <w:szCs w:val="20"/>
              </w:rPr>
            </w:pPr>
            <m:oMathPara>
              <m:oMath>
                <m:r>
                  <w:rPr>
                    <w:rFonts w:ascii="Cambria Math" w:hAnsi="Cambria Math" w:hint="eastAsia"/>
                    <w:szCs w:val="20"/>
                  </w:rPr>
                  <m:t>25</m:t>
                </m:r>
                <m:r>
                  <w:rPr>
                    <w:rFonts w:ascii="Cambria Math" w:hAnsi="Cambria Math"/>
                    <w:szCs w:val="20"/>
                  </w:rPr>
                  <m:t>≦t≦</m:t>
                </m:r>
                <m:r>
                  <w:rPr>
                    <w:rFonts w:ascii="Cambria Math" w:hAnsi="Cambria Math" w:hint="eastAsia"/>
                    <w:szCs w:val="20"/>
                  </w:rPr>
                  <m:t xml:space="preserve">300 </m:t>
                </m:r>
                <m:r>
                  <m:rPr>
                    <m:sty m:val="p"/>
                  </m:rPr>
                  <w:rPr>
                    <w:rFonts w:ascii="Cambria Math" w:hAnsi="Cambria Math" w:hint="eastAsia"/>
                    <w:szCs w:val="20"/>
                  </w:rPr>
                  <m:t>mm</m:t>
                </m:r>
              </m:oMath>
            </m:oMathPara>
          </w:p>
        </w:tc>
      </w:tr>
      <w:tr w:rsidR="00342321" w:rsidRPr="00BC31E0" w14:paraId="6D2D24B1" w14:textId="77777777" w:rsidTr="004736F2">
        <w:trPr>
          <w:jc w:val="center"/>
        </w:trPr>
        <w:tc>
          <w:tcPr>
            <w:tcW w:w="993" w:type="dxa"/>
            <w:vMerge/>
            <w:vAlign w:val="center"/>
          </w:tcPr>
          <w:p w14:paraId="7C04F81A" w14:textId="77777777" w:rsidR="00342321" w:rsidRPr="00BC31E0" w:rsidRDefault="00342321" w:rsidP="004736F2">
            <w:pPr>
              <w:snapToGrid w:val="0"/>
              <w:spacing w:line="300" w:lineRule="atLeast"/>
              <w:jc w:val="center"/>
              <w:rPr>
                <w:rFonts w:ascii="Times New Roman" w:hAnsi="Times New Roman"/>
                <w:i/>
                <w:szCs w:val="20"/>
              </w:rPr>
            </w:pPr>
          </w:p>
        </w:tc>
        <w:tc>
          <w:tcPr>
            <w:tcW w:w="1753" w:type="dxa"/>
            <w:vAlign w:val="center"/>
          </w:tcPr>
          <w:p w14:paraId="65AEEB97" w14:textId="77777777" w:rsidR="00342321" w:rsidRPr="00BC31E0" w:rsidRDefault="00342321" w:rsidP="004736F2">
            <w:pPr>
              <w:snapToGrid w:val="0"/>
              <w:spacing w:line="300" w:lineRule="atLeast"/>
              <w:jc w:val="center"/>
              <w:rPr>
                <w:i/>
                <w:szCs w:val="20"/>
              </w:rPr>
            </w:pPr>
            <m:oMathPara>
              <m:oMath>
                <m:r>
                  <w:rPr>
                    <w:rFonts w:ascii="Cambria Math" w:hAnsi="Cambria Math"/>
                    <w:szCs w:val="20"/>
                  </w:rPr>
                  <m:t>Y=</m:t>
                </m:r>
                <m:r>
                  <w:rPr>
                    <w:rFonts w:ascii="Cambria Math" w:hAnsi="Cambria Math" w:hint="eastAsia"/>
                    <w:szCs w:val="20"/>
                  </w:rPr>
                  <m:t>1.2</m:t>
                </m:r>
              </m:oMath>
            </m:oMathPara>
          </w:p>
        </w:tc>
        <w:tc>
          <w:tcPr>
            <w:tcW w:w="1754" w:type="dxa"/>
            <w:vAlign w:val="center"/>
          </w:tcPr>
          <w:p w14:paraId="0290DA4C" w14:textId="77777777" w:rsidR="00342321" w:rsidRPr="00BC31E0" w:rsidRDefault="00342321" w:rsidP="004736F2">
            <w:pPr>
              <w:snapToGrid w:val="0"/>
              <w:spacing w:line="300" w:lineRule="atLeast"/>
              <w:jc w:val="center"/>
              <w:rPr>
                <w:i/>
                <w:szCs w:val="20"/>
              </w:rPr>
            </w:pPr>
            <m:oMathPara>
              <m:oMath>
                <m:r>
                  <w:rPr>
                    <w:rFonts w:ascii="Cambria Math" w:hAnsi="Cambria Math"/>
                    <w:szCs w:val="20"/>
                  </w:rPr>
                  <m:t>Y=</m:t>
                </m:r>
                <m:r>
                  <w:rPr>
                    <w:rFonts w:ascii="Cambria Math" w:hAnsi="Cambria Math" w:hint="eastAsia"/>
                    <w:szCs w:val="20"/>
                  </w:rPr>
                  <m:t>1.5</m:t>
                </m:r>
              </m:oMath>
            </m:oMathPara>
          </w:p>
        </w:tc>
        <w:tc>
          <w:tcPr>
            <w:tcW w:w="1754" w:type="dxa"/>
            <w:vAlign w:val="center"/>
          </w:tcPr>
          <w:p w14:paraId="0A13524E" w14:textId="77777777" w:rsidR="00342321" w:rsidRPr="00BC31E0" w:rsidRDefault="00342321" w:rsidP="004736F2">
            <w:pPr>
              <w:snapToGrid w:val="0"/>
              <w:spacing w:line="300" w:lineRule="atLeast"/>
              <w:jc w:val="center"/>
              <w:rPr>
                <w:i/>
                <w:szCs w:val="20"/>
              </w:rPr>
            </w:pPr>
            <m:oMathPara>
              <m:oMath>
                <m:r>
                  <w:rPr>
                    <w:rFonts w:ascii="Cambria Math" w:hAnsi="Cambria Math"/>
                    <w:szCs w:val="20"/>
                  </w:rPr>
                  <m:t>Y=</m:t>
                </m:r>
                <m:r>
                  <w:rPr>
                    <w:rFonts w:ascii="Cambria Math" w:hAnsi="Cambria Math" w:hint="eastAsia"/>
                    <w:szCs w:val="20"/>
                  </w:rPr>
                  <m:t>2.0</m:t>
                </m:r>
              </m:oMath>
            </m:oMathPara>
          </w:p>
        </w:tc>
        <w:tc>
          <w:tcPr>
            <w:tcW w:w="1754" w:type="dxa"/>
            <w:vAlign w:val="center"/>
          </w:tcPr>
          <w:p w14:paraId="224932C3" w14:textId="77777777" w:rsidR="00342321" w:rsidRPr="00BC31E0" w:rsidRDefault="00342321" w:rsidP="004736F2">
            <w:pPr>
              <w:snapToGrid w:val="0"/>
              <w:spacing w:line="300" w:lineRule="atLeast"/>
              <w:jc w:val="center"/>
              <w:rPr>
                <w:i/>
                <w:szCs w:val="20"/>
              </w:rPr>
            </w:pPr>
            <m:oMathPara>
              <m:oMath>
                <m:r>
                  <w:rPr>
                    <w:rFonts w:ascii="Cambria Math" w:hAnsi="Cambria Math"/>
                    <w:szCs w:val="20"/>
                  </w:rPr>
                  <m:t>Y=</m:t>
                </m:r>
                <m:r>
                  <w:rPr>
                    <w:rFonts w:ascii="Cambria Math" w:hAnsi="Cambria Math" w:hint="eastAsia"/>
                    <w:szCs w:val="20"/>
                  </w:rPr>
                  <m:t>2.5</m:t>
                </m:r>
              </m:oMath>
            </m:oMathPara>
          </w:p>
        </w:tc>
      </w:tr>
      <w:tr w:rsidR="00342321" w:rsidRPr="00BC31E0" w14:paraId="51E8E77C" w14:textId="77777777" w:rsidTr="004736F2">
        <w:trPr>
          <w:jc w:val="center"/>
        </w:trPr>
        <w:tc>
          <w:tcPr>
            <w:tcW w:w="993" w:type="dxa"/>
            <w:vMerge/>
            <w:vAlign w:val="center"/>
          </w:tcPr>
          <w:p w14:paraId="77E57E4A" w14:textId="77777777" w:rsidR="00342321" w:rsidRPr="00BC31E0" w:rsidRDefault="00342321" w:rsidP="004736F2">
            <w:pPr>
              <w:snapToGrid w:val="0"/>
              <w:spacing w:line="300" w:lineRule="atLeast"/>
              <w:jc w:val="center"/>
              <w:rPr>
                <w:szCs w:val="20"/>
              </w:rPr>
            </w:pPr>
          </w:p>
        </w:tc>
        <w:tc>
          <w:tcPr>
            <w:tcW w:w="1753" w:type="dxa"/>
            <w:vAlign w:val="center"/>
          </w:tcPr>
          <w:p w14:paraId="3A2AD957" w14:textId="77777777" w:rsidR="00342321" w:rsidRPr="00BC31E0" w:rsidRDefault="00A51873" w:rsidP="004736F2">
            <w:pPr>
              <w:snapToGrid w:val="0"/>
              <w:spacing w:line="300" w:lineRule="atLeast"/>
              <w:jc w:val="center"/>
              <w:rPr>
                <w:rFonts w:ascii="Times New Roman" w:hAnsi="Times New Roman"/>
                <w:i/>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t</m:t>
                    </m:r>
                  </m:den>
                </m:f>
              </m:oMath>
            </m:oMathPara>
          </w:p>
        </w:tc>
        <w:tc>
          <w:tcPr>
            <w:tcW w:w="1754" w:type="dxa"/>
            <w:vAlign w:val="center"/>
          </w:tcPr>
          <w:p w14:paraId="18E0AD35" w14:textId="77777777" w:rsidR="00342321" w:rsidRPr="00BC31E0" w:rsidRDefault="00A51873" w:rsidP="004736F2">
            <w:pPr>
              <w:snapToGrid w:val="0"/>
              <w:spacing w:line="300" w:lineRule="atLeast"/>
              <w:jc w:val="center"/>
              <w:rPr>
                <w:rFonts w:ascii="Times New Roman" w:hAnsi="Times New Roman"/>
                <w:i/>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t</m:t>
                    </m:r>
                  </m:den>
                </m:f>
              </m:oMath>
            </m:oMathPara>
          </w:p>
        </w:tc>
        <w:tc>
          <w:tcPr>
            <w:tcW w:w="1754" w:type="dxa"/>
            <w:vAlign w:val="center"/>
          </w:tcPr>
          <w:p w14:paraId="7E61927B" w14:textId="77777777" w:rsidR="00342321" w:rsidRPr="00BC31E0" w:rsidRDefault="00A51873" w:rsidP="004736F2">
            <w:pPr>
              <w:snapToGrid w:val="0"/>
              <w:spacing w:line="300" w:lineRule="atLeast"/>
              <w:jc w:val="center"/>
              <w:rPr>
                <w:rFonts w:ascii="Times New Roman" w:hAnsi="Times New Roman"/>
                <w:i/>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t</m:t>
                    </m:r>
                  </m:den>
                </m:f>
              </m:oMath>
            </m:oMathPara>
          </w:p>
        </w:tc>
        <w:tc>
          <w:tcPr>
            <w:tcW w:w="1754" w:type="dxa"/>
            <w:vAlign w:val="center"/>
          </w:tcPr>
          <w:p w14:paraId="003D7CC9" w14:textId="77777777" w:rsidR="00342321" w:rsidRPr="00BC31E0" w:rsidRDefault="00A51873" w:rsidP="004736F2">
            <w:pPr>
              <w:snapToGrid w:val="0"/>
              <w:spacing w:line="300" w:lineRule="atLeast"/>
              <w:jc w:val="center"/>
              <w:rPr>
                <w:rFonts w:ascii="Times New Roman" w:hAnsi="Times New Roman"/>
                <w:i/>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t</m:t>
                    </m:r>
                  </m:den>
                </m:f>
              </m:oMath>
            </m:oMathPara>
          </w:p>
        </w:tc>
      </w:tr>
      <w:tr w:rsidR="00342321" w:rsidRPr="00BC31E0" w14:paraId="59FADC4E" w14:textId="77777777" w:rsidTr="004736F2">
        <w:trPr>
          <w:jc w:val="center"/>
        </w:trPr>
        <w:tc>
          <w:tcPr>
            <w:tcW w:w="993" w:type="dxa"/>
            <w:vAlign w:val="center"/>
          </w:tcPr>
          <w:p w14:paraId="6F05704A"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0.0</w:t>
            </w:r>
          </w:p>
        </w:tc>
        <w:tc>
          <w:tcPr>
            <w:tcW w:w="1753" w:type="dxa"/>
            <w:vAlign w:val="center"/>
          </w:tcPr>
          <w:p w14:paraId="3EB1B2DB"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2.81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-0.947</m:t>
                    </m:r>
                  </m:sup>
                </m:sSup>
              </m:oMath>
            </m:oMathPara>
          </w:p>
        </w:tc>
        <w:tc>
          <w:tcPr>
            <w:tcW w:w="1754" w:type="dxa"/>
            <w:vAlign w:val="center"/>
          </w:tcPr>
          <w:p w14:paraId="42274BA8"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2.36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-0.997</m:t>
                    </m:r>
                  </m:sup>
                </m:sSup>
              </m:oMath>
            </m:oMathPara>
          </w:p>
        </w:tc>
        <w:tc>
          <w:tcPr>
            <w:tcW w:w="1754" w:type="dxa"/>
            <w:vAlign w:val="center"/>
          </w:tcPr>
          <w:p w14:paraId="788E4C89"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1.54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-1.04</m:t>
                    </m:r>
                  </m:sup>
                </m:sSup>
              </m:oMath>
            </m:oMathPara>
          </w:p>
        </w:tc>
        <w:tc>
          <w:tcPr>
            <w:tcW w:w="1754" w:type="dxa"/>
            <w:vAlign w:val="center"/>
          </w:tcPr>
          <w:p w14:paraId="061B222D"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0.915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-1.07</m:t>
                    </m:r>
                  </m:sup>
                </m:sSup>
              </m:oMath>
            </m:oMathPara>
          </w:p>
        </w:tc>
      </w:tr>
      <w:tr w:rsidR="00342321" w:rsidRPr="00BC31E0" w14:paraId="096081D6" w14:textId="77777777" w:rsidTr="004736F2">
        <w:trPr>
          <w:jc w:val="center"/>
        </w:trPr>
        <w:tc>
          <w:tcPr>
            <w:tcW w:w="993" w:type="dxa"/>
            <w:vAlign w:val="center"/>
          </w:tcPr>
          <w:p w14:paraId="07E292E0"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0.1</w:t>
            </w:r>
          </w:p>
        </w:tc>
        <w:tc>
          <w:tcPr>
            <w:tcW w:w="1753" w:type="dxa"/>
            <w:vAlign w:val="center"/>
          </w:tcPr>
          <w:p w14:paraId="1A295C7E"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2.97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-0.934</m:t>
                    </m:r>
                  </m:sup>
                </m:sSup>
              </m:oMath>
            </m:oMathPara>
          </w:p>
        </w:tc>
        <w:tc>
          <w:tcPr>
            <w:tcW w:w="1754" w:type="dxa"/>
            <w:vAlign w:val="center"/>
          </w:tcPr>
          <w:p w14:paraId="3FCDFB55"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2.54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-0.985</m:t>
                    </m:r>
                  </m:sup>
                </m:sSup>
              </m:oMath>
            </m:oMathPara>
          </w:p>
        </w:tc>
        <w:tc>
          <w:tcPr>
            <w:tcW w:w="1754" w:type="dxa"/>
            <w:vAlign w:val="center"/>
          </w:tcPr>
          <w:p w14:paraId="5C2FB023"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1.77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-1.03</m:t>
                    </m:r>
                  </m:sup>
                </m:sSup>
              </m:oMath>
            </m:oMathPara>
          </w:p>
        </w:tc>
        <w:tc>
          <w:tcPr>
            <w:tcW w:w="1754" w:type="dxa"/>
            <w:vAlign w:val="center"/>
          </w:tcPr>
          <w:p w14:paraId="2C851AC3"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1.13 </m:t>
                </m:r>
                <m:sSup>
                  <m:sSupPr>
                    <m:ctrlPr>
                      <w:rPr>
                        <w:rFonts w:ascii="Cambria Math" w:hAnsi="Cambria Math"/>
                        <w:i/>
                        <w:sz w:val="22"/>
                        <w:szCs w:val="22"/>
                      </w:rPr>
                    </m:ctrlPr>
                  </m:sSupPr>
                  <m:e>
                    <m:r>
                      <w:rPr>
                        <w:rFonts w:ascii="Cambria Math" w:hAnsi="Cambria Math"/>
                        <w:sz w:val="22"/>
                        <w:szCs w:val="22"/>
                      </w:rPr>
                      <m:t>t</m:t>
                    </m:r>
                  </m:e>
                  <m:sup>
                    <m:r>
                      <w:rPr>
                        <w:rFonts w:ascii="Cambria Math" w:hAnsi="Cambria Math"/>
                        <w:sz w:val="22"/>
                        <w:szCs w:val="22"/>
                        <w:vertAlign w:val="superscript"/>
                      </w:rPr>
                      <m:t>-1.06</m:t>
                    </m:r>
                  </m:sup>
                </m:sSup>
                <m:r>
                  <w:rPr>
                    <w:rFonts w:ascii="Cambria Math" w:hAnsi="Cambria Math"/>
                    <w:sz w:val="22"/>
                    <w:szCs w:val="22"/>
                  </w:rPr>
                  <m:t xml:space="preserve"> </m:t>
                </m:r>
              </m:oMath>
            </m:oMathPara>
          </w:p>
        </w:tc>
      </w:tr>
      <w:tr w:rsidR="00342321" w:rsidRPr="00BC31E0" w14:paraId="2FEE8B06" w14:textId="77777777" w:rsidTr="004736F2">
        <w:trPr>
          <w:jc w:val="center"/>
        </w:trPr>
        <w:tc>
          <w:tcPr>
            <w:tcW w:w="993" w:type="dxa"/>
            <w:vAlign w:val="center"/>
          </w:tcPr>
          <w:p w14:paraId="56619DCC"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0.2</w:t>
            </w:r>
          </w:p>
        </w:tc>
        <w:tc>
          <w:tcPr>
            <w:tcW w:w="1753" w:type="dxa"/>
            <w:vAlign w:val="center"/>
          </w:tcPr>
          <w:p w14:paraId="79EF77A5"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4.35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-0.959</m:t>
                    </m:r>
                  </m:sup>
                </m:sSup>
              </m:oMath>
            </m:oMathPara>
          </w:p>
        </w:tc>
        <w:tc>
          <w:tcPr>
            <w:tcW w:w="1754" w:type="dxa"/>
            <w:vAlign w:val="center"/>
          </w:tcPr>
          <w:p w14:paraId="72CDDB4A"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3.75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-1.01</m:t>
                    </m:r>
                  </m:sup>
                </m:sSup>
              </m:oMath>
            </m:oMathPara>
          </w:p>
        </w:tc>
        <w:tc>
          <w:tcPr>
            <w:tcW w:w="1754" w:type="dxa"/>
            <w:vAlign w:val="center"/>
          </w:tcPr>
          <w:p w14:paraId="5E62AAE1"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2.65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-1.05</m:t>
                    </m:r>
                  </m:sup>
                </m:sSup>
              </m:oMath>
            </m:oMathPara>
          </w:p>
        </w:tc>
        <w:tc>
          <w:tcPr>
            <w:tcW w:w="1754" w:type="dxa"/>
            <w:vAlign w:val="center"/>
          </w:tcPr>
          <w:p w14:paraId="0A426377"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1.83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-1.08</m:t>
                    </m:r>
                  </m:sup>
                </m:sSup>
              </m:oMath>
            </m:oMathPara>
          </w:p>
        </w:tc>
      </w:tr>
      <w:tr w:rsidR="00342321" w:rsidRPr="00BC31E0" w14:paraId="5026E83E" w14:textId="77777777" w:rsidTr="004736F2">
        <w:trPr>
          <w:jc w:val="center"/>
        </w:trPr>
        <w:tc>
          <w:tcPr>
            <w:tcW w:w="993" w:type="dxa"/>
            <w:vAlign w:val="center"/>
          </w:tcPr>
          <w:p w14:paraId="6D5820E5"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0.3</w:t>
            </w:r>
          </w:p>
        </w:tc>
        <w:tc>
          <w:tcPr>
            <w:tcW w:w="1753" w:type="dxa"/>
            <w:vAlign w:val="center"/>
          </w:tcPr>
          <w:p w14:paraId="68F2E87A"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6.15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-0.972</m:t>
                    </m:r>
                  </m:sup>
                </m:sSup>
              </m:oMath>
            </m:oMathPara>
          </w:p>
        </w:tc>
        <w:tc>
          <w:tcPr>
            <w:tcW w:w="1754" w:type="dxa"/>
            <w:vAlign w:val="center"/>
          </w:tcPr>
          <w:p w14:paraId="49CD70C1"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5.45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-1.02</m:t>
                    </m:r>
                  </m:sup>
                </m:sSup>
              </m:oMath>
            </m:oMathPara>
          </w:p>
        </w:tc>
        <w:tc>
          <w:tcPr>
            <w:tcW w:w="1754" w:type="dxa"/>
            <w:vAlign w:val="center"/>
          </w:tcPr>
          <w:p w14:paraId="696B6D2F"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4.07 </m:t>
                </m:r>
                <m:sSup>
                  <m:sSupPr>
                    <m:ctrlPr>
                      <w:rPr>
                        <w:rFonts w:ascii="Cambria Math" w:hAnsi="Cambria Math"/>
                        <w:i/>
                        <w:sz w:val="22"/>
                        <w:szCs w:val="22"/>
                      </w:rPr>
                    </m:ctrlPr>
                  </m:sSupPr>
                  <m:e>
                    <m:r>
                      <w:rPr>
                        <w:rFonts w:ascii="Cambria Math" w:hAnsi="Cambria Math"/>
                        <w:sz w:val="22"/>
                        <w:szCs w:val="22"/>
                      </w:rPr>
                      <m:t>t</m:t>
                    </m:r>
                  </m:e>
                  <m:sup>
                    <m:r>
                      <w:rPr>
                        <w:rFonts w:ascii="Cambria Math" w:hAnsi="Cambria Math"/>
                        <w:sz w:val="22"/>
                        <w:szCs w:val="22"/>
                        <w:vertAlign w:val="superscript"/>
                      </w:rPr>
                      <m:t>-1.07</m:t>
                    </m:r>
                  </m:sup>
                </m:sSup>
                <m:r>
                  <w:rPr>
                    <w:rFonts w:ascii="Cambria Math" w:hAnsi="Cambria Math"/>
                    <w:sz w:val="22"/>
                    <w:szCs w:val="22"/>
                  </w:rPr>
                  <m:t xml:space="preserve"> </m:t>
                </m:r>
              </m:oMath>
            </m:oMathPara>
          </w:p>
        </w:tc>
        <w:tc>
          <w:tcPr>
            <w:tcW w:w="1754" w:type="dxa"/>
            <w:vAlign w:val="center"/>
          </w:tcPr>
          <w:p w14:paraId="59489271"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3.04</m:t>
                </m:r>
                <m:sSup>
                  <m:sSupPr>
                    <m:ctrlPr>
                      <w:rPr>
                        <w:rFonts w:ascii="Cambria Math" w:hAnsi="Cambria Math"/>
                        <w:i/>
                        <w:sz w:val="22"/>
                        <w:szCs w:val="22"/>
                      </w:rPr>
                    </m:ctrlPr>
                  </m:sSupPr>
                  <m:e>
                    <m:r>
                      <w:rPr>
                        <w:rFonts w:ascii="Cambria Math" w:hAnsi="Cambria Math"/>
                        <w:sz w:val="22"/>
                        <w:szCs w:val="22"/>
                      </w:rPr>
                      <m:t xml:space="preserve"> t </m:t>
                    </m:r>
                  </m:e>
                  <m:sup>
                    <m:r>
                      <w:rPr>
                        <w:rFonts w:ascii="Cambria Math" w:hAnsi="Cambria Math"/>
                        <w:sz w:val="22"/>
                        <w:szCs w:val="22"/>
                        <w:vertAlign w:val="superscript"/>
                      </w:rPr>
                      <m:t>-1.10</m:t>
                    </m:r>
                  </m:sup>
                </m:sSup>
              </m:oMath>
            </m:oMathPara>
          </w:p>
        </w:tc>
      </w:tr>
      <w:tr w:rsidR="00342321" w:rsidRPr="00BC31E0" w14:paraId="4663D6D4" w14:textId="77777777" w:rsidTr="004736F2">
        <w:trPr>
          <w:jc w:val="center"/>
        </w:trPr>
        <w:tc>
          <w:tcPr>
            <w:tcW w:w="993" w:type="dxa"/>
            <w:vAlign w:val="center"/>
          </w:tcPr>
          <w:p w14:paraId="7FA881A3"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0.4</w:t>
            </w:r>
          </w:p>
        </w:tc>
        <w:tc>
          <w:tcPr>
            <w:tcW w:w="1753" w:type="dxa"/>
            <w:vAlign w:val="center"/>
          </w:tcPr>
          <w:p w14:paraId="7E8258BA"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5.89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-0.917</m:t>
                    </m:r>
                  </m:sup>
                </m:sSup>
              </m:oMath>
            </m:oMathPara>
          </w:p>
        </w:tc>
        <w:tc>
          <w:tcPr>
            <w:tcW w:w="1754" w:type="dxa"/>
            <w:vAlign w:val="center"/>
          </w:tcPr>
          <w:p w14:paraId="6992C3FD"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5.21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-0.963</m:t>
                    </m:r>
                  </m:sup>
                </m:sSup>
              </m:oMath>
            </m:oMathPara>
          </w:p>
        </w:tc>
        <w:tc>
          <w:tcPr>
            <w:tcW w:w="1754" w:type="dxa"/>
            <w:vAlign w:val="center"/>
          </w:tcPr>
          <w:p w14:paraId="3E75BAD2"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4.02</m:t>
                </m:r>
                <m:sSup>
                  <m:sSupPr>
                    <m:ctrlPr>
                      <w:rPr>
                        <w:rFonts w:ascii="Cambria Math" w:hAnsi="Cambria Math"/>
                        <w:i/>
                        <w:sz w:val="22"/>
                        <w:szCs w:val="22"/>
                      </w:rPr>
                    </m:ctrlPr>
                  </m:sSupPr>
                  <m:e>
                    <m:r>
                      <w:rPr>
                        <w:rFonts w:ascii="Cambria Math" w:hAnsi="Cambria Math"/>
                        <w:sz w:val="22"/>
                        <w:szCs w:val="22"/>
                      </w:rPr>
                      <m:t xml:space="preserve"> t </m:t>
                    </m:r>
                  </m:e>
                  <m:sup>
                    <m:r>
                      <w:rPr>
                        <w:rFonts w:ascii="Cambria Math" w:hAnsi="Cambria Math"/>
                        <w:sz w:val="22"/>
                        <w:szCs w:val="22"/>
                        <w:vertAlign w:val="superscript"/>
                      </w:rPr>
                      <m:t>-1.00</m:t>
                    </m:r>
                  </m:sup>
                </m:sSup>
              </m:oMath>
            </m:oMathPara>
          </w:p>
        </w:tc>
        <w:tc>
          <w:tcPr>
            <w:tcW w:w="1754" w:type="dxa"/>
            <w:vAlign w:val="center"/>
          </w:tcPr>
          <w:p w14:paraId="458CD212"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3.07 </m:t>
                </m:r>
                <m:sSup>
                  <m:sSupPr>
                    <m:ctrlPr>
                      <w:rPr>
                        <w:rFonts w:ascii="Cambria Math" w:hAnsi="Cambria Math"/>
                        <w:i/>
                        <w:sz w:val="22"/>
                        <w:szCs w:val="22"/>
                      </w:rPr>
                    </m:ctrlPr>
                  </m:sSupPr>
                  <m:e>
                    <m:r>
                      <w:rPr>
                        <w:rFonts w:ascii="Cambria Math" w:hAnsi="Cambria Math"/>
                        <w:sz w:val="22"/>
                        <w:szCs w:val="22"/>
                      </w:rPr>
                      <m:t>t</m:t>
                    </m:r>
                  </m:e>
                  <m:sup>
                    <m:r>
                      <w:rPr>
                        <w:rFonts w:ascii="Cambria Math" w:hAnsi="Cambria Math"/>
                        <w:sz w:val="22"/>
                        <w:szCs w:val="22"/>
                        <w:vertAlign w:val="superscript"/>
                      </w:rPr>
                      <m:t>-1.03</m:t>
                    </m:r>
                  </m:sup>
                </m:sSup>
                <m:r>
                  <w:rPr>
                    <w:rFonts w:ascii="Cambria Math" w:hAnsi="Cambria Math"/>
                    <w:sz w:val="22"/>
                    <w:szCs w:val="22"/>
                  </w:rPr>
                  <m:t xml:space="preserve"> </m:t>
                </m:r>
              </m:oMath>
            </m:oMathPara>
          </w:p>
        </w:tc>
      </w:tr>
      <w:tr w:rsidR="00342321" w:rsidRPr="00BC31E0" w14:paraId="3BEF98EC" w14:textId="77777777" w:rsidTr="004736F2">
        <w:trPr>
          <w:jc w:val="center"/>
        </w:trPr>
        <w:tc>
          <w:tcPr>
            <w:tcW w:w="993" w:type="dxa"/>
            <w:vAlign w:val="center"/>
          </w:tcPr>
          <w:p w14:paraId="7F355821"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0.5</w:t>
            </w:r>
          </w:p>
        </w:tc>
        <w:tc>
          <w:tcPr>
            <w:tcW w:w="1753" w:type="dxa"/>
            <w:vAlign w:val="center"/>
          </w:tcPr>
          <w:p w14:paraId="3C82F761"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6.22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-0.918</m:t>
                    </m:r>
                  </m:sup>
                </m:sSup>
              </m:oMath>
            </m:oMathPara>
          </w:p>
        </w:tc>
        <w:tc>
          <w:tcPr>
            <w:tcW w:w="1754" w:type="dxa"/>
            <w:vAlign w:val="center"/>
          </w:tcPr>
          <w:p w14:paraId="075914CA"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5.41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-0.962</m:t>
                    </m:r>
                  </m:sup>
                </m:sSup>
              </m:oMath>
            </m:oMathPara>
          </w:p>
        </w:tc>
        <w:tc>
          <w:tcPr>
            <w:tcW w:w="1754" w:type="dxa"/>
            <w:vAlign w:val="center"/>
          </w:tcPr>
          <w:p w14:paraId="7F7F46F8"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4.08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-0.999</m:t>
                    </m:r>
                  </m:sup>
                </m:sSup>
              </m:oMath>
            </m:oMathPara>
          </w:p>
        </w:tc>
        <w:tc>
          <w:tcPr>
            <w:tcW w:w="1754" w:type="dxa"/>
            <w:vAlign w:val="center"/>
          </w:tcPr>
          <w:p w14:paraId="50D2A422"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3.03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-1.02</m:t>
                    </m:r>
                  </m:sup>
                </m:sSup>
              </m:oMath>
            </m:oMathPara>
          </w:p>
        </w:tc>
      </w:tr>
    </w:tbl>
    <w:p w14:paraId="71CA7723" w14:textId="77777777" w:rsidR="00342321" w:rsidRPr="00BC31E0" w:rsidRDefault="00342321" w:rsidP="00342321">
      <w:pPr>
        <w:snapToGrid w:val="0"/>
        <w:spacing w:before="60" w:after="60" w:line="320" w:lineRule="atLeast"/>
        <w:ind w:left="1474" w:hanging="794"/>
        <w:jc w:val="left"/>
        <w:rPr>
          <w:rFonts w:hAnsi="ＭＳ 明朝"/>
          <w:kern w:val="0"/>
          <w:szCs w:val="20"/>
        </w:rPr>
      </w:pPr>
      <w:r w:rsidRPr="00BC31E0">
        <w:rPr>
          <w:rFonts w:ascii="ＭＳ ゴシック" w:eastAsia="ＭＳ ゴシック" w:hAnsi="ＭＳ ゴシック" w:hint="eastAsia"/>
          <w:b/>
          <w:szCs w:val="20"/>
        </w:rPr>
        <w:t>注記</w:t>
      </w:r>
      <w:r w:rsidRPr="00BC31E0">
        <w:rPr>
          <w:rFonts w:ascii="ＭＳ ゴシック" w:eastAsia="ＭＳ ゴシック" w:hAnsi="ＭＳ ゴシック" w:cs="Tahoma"/>
          <w:b/>
          <w:szCs w:val="20"/>
        </w:rPr>
        <w:t>1</w:t>
      </w:r>
      <w:r w:rsidRPr="00BC31E0">
        <w:rPr>
          <w:rFonts w:ascii="ＭＳ 明朝" w:hAnsi="ＭＳ 明朝" w:cs="Tahoma" w:hint="eastAsia"/>
          <w:b/>
          <w:szCs w:val="20"/>
        </w:rPr>
        <w:t xml:space="preserve">　</w:t>
      </w:r>
      <m:oMath>
        <m:f>
          <m:fPr>
            <m:type m:val="lin"/>
            <m:ctrlPr>
              <w:rPr>
                <w:rFonts w:ascii="Cambria Math" w:hAnsi="Cambria Math"/>
                <w:i/>
                <w:kern w:val="0"/>
                <w:szCs w:val="20"/>
              </w:rPr>
            </m:ctrlPr>
          </m:fPr>
          <m:num>
            <m:r>
              <w:rPr>
                <w:rFonts w:ascii="Cambria Math" w:hAnsi="Cambria Math"/>
                <w:kern w:val="0"/>
                <w:szCs w:val="20"/>
              </w:rPr>
              <m:t>a</m:t>
            </m:r>
          </m:num>
          <m:den>
            <m:r>
              <w:rPr>
                <w:rFonts w:ascii="Cambria Math" w:hAnsi="Cambria Math"/>
                <w:kern w:val="0"/>
                <w:szCs w:val="20"/>
              </w:rPr>
              <m:t>t</m:t>
            </m:r>
          </m:den>
        </m:f>
        <m:r>
          <m:rPr>
            <m:sty m:val="p"/>
          </m:rPr>
          <w:rPr>
            <w:rFonts w:ascii="Cambria Math" w:hAnsi="Cambria Math"/>
            <w:kern w:val="0"/>
            <w:szCs w:val="20"/>
          </w:rPr>
          <m:t xml:space="preserve"> </m:t>
        </m:r>
      </m:oMath>
      <w:r w:rsidRPr="00BC31E0">
        <w:rPr>
          <w:rFonts w:hAnsi="ＭＳ 明朝"/>
          <w:kern w:val="0"/>
          <w:szCs w:val="20"/>
        </w:rPr>
        <w:t>の値</w:t>
      </w:r>
      <w:r w:rsidRPr="00BC31E0">
        <w:rPr>
          <w:rFonts w:hAnsi="ＭＳ 明朝" w:hint="eastAsia"/>
          <w:kern w:val="0"/>
          <w:szCs w:val="20"/>
        </w:rPr>
        <w:t>は次の表の値を最大とする</w:t>
      </w:r>
      <w:r w:rsidRPr="00BC31E0">
        <w:rPr>
          <w:rFonts w:hAnsi="ＭＳ 明朝"/>
          <w:kern w:val="0"/>
          <w:szCs w:val="20"/>
        </w:rPr>
        <w:t>。</w:t>
      </w:r>
      <w:r w:rsidRPr="00BC31E0">
        <w:rPr>
          <w:rFonts w:hAnsi="ＭＳ 明朝" w:hint="eastAsia"/>
          <w:kern w:val="0"/>
          <w:szCs w:val="20"/>
        </w:rPr>
        <w:t>なお，中間の</w:t>
      </w:r>
      <m:oMath>
        <m:r>
          <w:rPr>
            <w:rFonts w:ascii="Cambria Math" w:hAnsi="Cambria Math"/>
            <w:kern w:val="0"/>
            <w:szCs w:val="20"/>
          </w:rPr>
          <m:t xml:space="preserve"> </m:t>
        </m:r>
        <m:f>
          <m:fPr>
            <m:type m:val="lin"/>
            <m:ctrlPr>
              <w:rPr>
                <w:rFonts w:ascii="Cambria Math" w:hAnsi="Cambria Math"/>
                <w:i/>
                <w:kern w:val="0"/>
                <w:szCs w:val="20"/>
              </w:rPr>
            </m:ctrlPr>
          </m:fPr>
          <m:num>
            <m:r>
              <w:rPr>
                <w:rFonts w:ascii="Cambria Math" w:hAnsi="Cambria Math"/>
                <w:kern w:val="0"/>
                <w:szCs w:val="20"/>
              </w:rPr>
              <m:t>a</m:t>
            </m:r>
          </m:num>
          <m:den>
            <m:r>
              <w:rPr>
                <w:rFonts w:ascii="Cambria Math" w:hAnsi="Cambria Math"/>
                <w:kern w:val="0"/>
                <w:szCs w:val="20"/>
              </w:rPr>
              <m:t>l</m:t>
            </m:r>
          </m:den>
        </m:f>
        <m:r>
          <w:rPr>
            <w:rFonts w:ascii="Cambria Math" w:hAnsi="Cambria Math"/>
            <w:kern w:val="0"/>
            <w:szCs w:val="20"/>
          </w:rPr>
          <m:t xml:space="preserve"> </m:t>
        </m:r>
      </m:oMath>
      <w:r w:rsidRPr="00BC31E0">
        <w:rPr>
          <w:rFonts w:hAnsi="ＭＳ 明朝" w:hint="eastAsia"/>
          <w:kern w:val="0"/>
          <w:szCs w:val="20"/>
        </w:rPr>
        <w:t>の値に対して，及び</w:t>
      </w:r>
      <m:oMath>
        <m:r>
          <w:rPr>
            <w:rFonts w:ascii="Cambria Math" w:hAnsi="Cambria Math"/>
            <w:kern w:val="0"/>
            <w:szCs w:val="20"/>
          </w:rPr>
          <m:t>6</m:t>
        </m:r>
        <m:r>
          <w:rPr>
            <w:rFonts w:ascii="Cambria Math" w:hAnsi="Cambria Math" w:hint="eastAsia"/>
            <w:kern w:val="0"/>
            <w:szCs w:val="20"/>
          </w:rPr>
          <m:t>4</m:t>
        </m:r>
        <m:r>
          <w:rPr>
            <w:rFonts w:ascii="Cambria Math" w:hAnsi="Cambria Math"/>
            <w:kern w:val="0"/>
            <w:szCs w:val="20"/>
          </w:rPr>
          <m:t>&lt;t&lt;10</m:t>
        </m:r>
        <m:r>
          <w:rPr>
            <w:rFonts w:ascii="Cambria Math" w:hAnsi="Cambria Math" w:hint="eastAsia"/>
            <w:kern w:val="0"/>
            <w:szCs w:val="20"/>
          </w:rPr>
          <m:t>0</m:t>
        </m:r>
        <m:r>
          <m:rPr>
            <m:sty m:val="p"/>
          </m:rPr>
          <w:rPr>
            <w:rFonts w:ascii="Cambria Math" w:hAnsi="Cambria Math" w:hint="eastAsia"/>
            <w:kern w:val="0"/>
            <w:szCs w:val="20"/>
          </w:rPr>
          <m:t xml:space="preserve"> </m:t>
        </m:r>
        <m:r>
          <m:rPr>
            <m:sty m:val="p"/>
          </m:rPr>
          <w:rPr>
            <w:rFonts w:ascii="Cambria Math" w:hAnsi="Cambria Math"/>
            <w:kern w:val="0"/>
            <w:szCs w:val="20"/>
          </w:rPr>
          <m:t xml:space="preserve">mm </m:t>
        </m:r>
      </m:oMath>
      <w:r w:rsidRPr="00BC31E0">
        <w:rPr>
          <w:rFonts w:hint="eastAsia"/>
          <w:kern w:val="0"/>
          <w:szCs w:val="20"/>
        </w:rPr>
        <w:t>の場合には，線形補間により</w:t>
      </w:r>
      <m:oMath>
        <m:r>
          <w:rPr>
            <w:rFonts w:ascii="Cambria Math" w:hAnsi="Cambria Math"/>
            <w:kern w:val="0"/>
            <w:szCs w:val="20"/>
          </w:rPr>
          <m:t xml:space="preserve"> </m:t>
        </m:r>
        <m:f>
          <m:fPr>
            <m:type m:val="lin"/>
            <m:ctrlPr>
              <w:rPr>
                <w:rFonts w:ascii="Cambria Math" w:hAnsi="Cambria Math"/>
                <w:i/>
                <w:kern w:val="0"/>
                <w:szCs w:val="20"/>
              </w:rPr>
            </m:ctrlPr>
          </m:fPr>
          <m:num>
            <m:r>
              <w:rPr>
                <w:rFonts w:ascii="Cambria Math" w:hAnsi="Cambria Math"/>
                <w:kern w:val="0"/>
                <w:szCs w:val="20"/>
              </w:rPr>
              <m:t>a</m:t>
            </m:r>
          </m:num>
          <m:den>
            <m:r>
              <w:rPr>
                <w:rFonts w:ascii="Cambria Math" w:hAnsi="Cambria Math"/>
                <w:kern w:val="0"/>
                <w:szCs w:val="20"/>
              </w:rPr>
              <m:t xml:space="preserve">t </m:t>
            </m:r>
          </m:den>
        </m:f>
      </m:oMath>
      <w:r w:rsidRPr="00BC31E0">
        <w:rPr>
          <w:rFonts w:hint="eastAsia"/>
          <w:kern w:val="0"/>
          <w:szCs w:val="20"/>
        </w:rPr>
        <w:t>を求める。</w:t>
      </w:r>
    </w:p>
    <w:tbl>
      <w:tblPr>
        <w:tblW w:w="0" w:type="auto"/>
        <w:tblInd w:w="1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3"/>
        <w:gridCol w:w="1313"/>
        <w:gridCol w:w="1313"/>
        <w:gridCol w:w="1314"/>
      </w:tblGrid>
      <w:tr w:rsidR="00342321" w:rsidRPr="00BC31E0" w14:paraId="5D93C5E5" w14:textId="77777777" w:rsidTr="004736F2">
        <w:tc>
          <w:tcPr>
            <w:tcW w:w="2626" w:type="dxa"/>
            <w:gridSpan w:val="2"/>
          </w:tcPr>
          <w:p w14:paraId="7F497F02" w14:textId="77777777" w:rsidR="00342321" w:rsidRPr="00BC31E0" w:rsidRDefault="00342321" w:rsidP="004736F2">
            <w:pPr>
              <w:snapToGrid w:val="0"/>
              <w:spacing w:line="300" w:lineRule="atLeast"/>
              <w:jc w:val="center"/>
              <w:rPr>
                <w:i/>
                <w:kern w:val="0"/>
                <w:szCs w:val="20"/>
              </w:rPr>
            </w:pPr>
            <m:oMathPara>
              <m:oMath>
                <m:r>
                  <w:rPr>
                    <w:rFonts w:ascii="Cambria Math" w:hAnsi="Cambria Math"/>
                    <w:kern w:val="0"/>
                    <w:szCs w:val="20"/>
                  </w:rPr>
                  <m:t>25</m:t>
                </m:r>
                <m:r>
                  <w:rPr>
                    <w:rFonts w:ascii="Cambria Math" w:hAnsi="Cambria Math" w:hint="eastAsia"/>
                    <w:kern w:val="0"/>
                    <w:szCs w:val="20"/>
                  </w:rPr>
                  <m:t>≦</m:t>
                </m:r>
                <m:r>
                  <w:rPr>
                    <w:rFonts w:ascii="Cambria Math" w:hAnsi="Cambria Math"/>
                    <w:kern w:val="0"/>
                    <w:szCs w:val="20"/>
                  </w:rPr>
                  <m:t>t</m:t>
                </m:r>
                <m:r>
                  <w:rPr>
                    <w:rFonts w:ascii="Cambria Math" w:hAnsi="Cambria Math" w:hint="eastAsia"/>
                    <w:kern w:val="0"/>
                    <w:szCs w:val="20"/>
                  </w:rPr>
                  <m:t>≦</m:t>
                </m:r>
                <m:r>
                  <w:rPr>
                    <w:rFonts w:ascii="Cambria Math" w:hAnsi="Cambria Math"/>
                    <w:kern w:val="0"/>
                    <w:szCs w:val="20"/>
                  </w:rPr>
                  <m:t>6</m:t>
                </m:r>
                <m:r>
                  <w:rPr>
                    <w:rFonts w:ascii="Cambria Math" w:hAnsi="Cambria Math" w:hint="eastAsia"/>
                    <w:kern w:val="0"/>
                    <w:szCs w:val="20"/>
                  </w:rPr>
                  <m:t xml:space="preserve">4 </m:t>
                </m:r>
                <m:r>
                  <m:rPr>
                    <m:sty m:val="p"/>
                  </m:rPr>
                  <w:rPr>
                    <w:rFonts w:ascii="Cambria Math" w:hAnsi="Cambria Math"/>
                    <w:kern w:val="0"/>
                    <w:szCs w:val="20"/>
                  </w:rPr>
                  <m:t>mm</m:t>
                </m:r>
              </m:oMath>
            </m:oMathPara>
          </w:p>
        </w:tc>
        <w:tc>
          <w:tcPr>
            <w:tcW w:w="2627" w:type="dxa"/>
            <w:gridSpan w:val="2"/>
          </w:tcPr>
          <w:p w14:paraId="419A7553" w14:textId="77777777" w:rsidR="00342321" w:rsidRPr="00BC31E0" w:rsidRDefault="00342321" w:rsidP="004736F2">
            <w:pPr>
              <w:snapToGrid w:val="0"/>
              <w:spacing w:line="300" w:lineRule="atLeast"/>
              <w:jc w:val="center"/>
              <w:rPr>
                <w:i/>
                <w:kern w:val="0"/>
                <w:szCs w:val="20"/>
              </w:rPr>
            </w:pPr>
            <m:oMathPara>
              <m:oMath>
                <m:r>
                  <w:rPr>
                    <w:rFonts w:ascii="Cambria Math" w:hAnsi="Cambria Math"/>
                    <w:kern w:val="0"/>
                    <w:szCs w:val="20"/>
                  </w:rPr>
                  <m:t>10</m:t>
                </m:r>
                <m:r>
                  <w:rPr>
                    <w:rFonts w:ascii="Cambria Math" w:hAnsi="Cambria Math" w:hint="eastAsia"/>
                    <w:kern w:val="0"/>
                    <w:szCs w:val="20"/>
                  </w:rPr>
                  <m:t>0</m:t>
                </m:r>
                <m:r>
                  <w:rPr>
                    <w:rFonts w:ascii="Cambria Math" w:hAnsi="Cambria Math" w:hint="eastAsia"/>
                    <w:kern w:val="0"/>
                    <w:szCs w:val="20"/>
                  </w:rPr>
                  <m:t>≦</m:t>
                </m:r>
                <m:r>
                  <w:rPr>
                    <w:rFonts w:ascii="Cambria Math" w:hAnsi="Cambria Math"/>
                    <w:kern w:val="0"/>
                    <w:szCs w:val="20"/>
                  </w:rPr>
                  <m:t>t</m:t>
                </m:r>
                <m:r>
                  <w:rPr>
                    <w:rFonts w:ascii="Cambria Math" w:hAnsi="Cambria Math" w:hint="eastAsia"/>
                    <w:kern w:val="0"/>
                    <w:szCs w:val="20"/>
                  </w:rPr>
                  <m:t>≦</m:t>
                </m:r>
                <m:r>
                  <w:rPr>
                    <w:rFonts w:ascii="Cambria Math" w:hAnsi="Cambria Math"/>
                    <w:kern w:val="0"/>
                    <w:szCs w:val="20"/>
                  </w:rPr>
                  <m:t>30</m:t>
                </m:r>
                <m:r>
                  <w:rPr>
                    <w:rFonts w:ascii="Cambria Math" w:hAnsi="Cambria Math" w:hint="eastAsia"/>
                    <w:kern w:val="0"/>
                    <w:szCs w:val="20"/>
                  </w:rPr>
                  <m:t>0</m:t>
                </m:r>
                <m:r>
                  <m:rPr>
                    <m:sty m:val="p"/>
                  </m:rPr>
                  <w:rPr>
                    <w:rFonts w:ascii="Cambria Math" w:hAnsi="Cambria Math" w:hint="eastAsia"/>
                    <w:kern w:val="0"/>
                    <w:szCs w:val="20"/>
                  </w:rPr>
                  <m:t xml:space="preserve"> </m:t>
                </m:r>
                <m:r>
                  <m:rPr>
                    <m:sty m:val="p"/>
                  </m:rPr>
                  <w:rPr>
                    <w:rFonts w:ascii="Cambria Math" w:hAnsi="Cambria Math"/>
                    <w:kern w:val="0"/>
                    <w:szCs w:val="20"/>
                  </w:rPr>
                  <m:t>mm</m:t>
                </m:r>
              </m:oMath>
            </m:oMathPara>
          </w:p>
        </w:tc>
      </w:tr>
      <w:tr w:rsidR="00342321" w:rsidRPr="00BC31E0" w14:paraId="43BBA497" w14:textId="77777777" w:rsidTr="004736F2">
        <w:tc>
          <w:tcPr>
            <w:tcW w:w="1313" w:type="dxa"/>
          </w:tcPr>
          <w:p w14:paraId="091BCCBE" w14:textId="77777777" w:rsidR="00342321" w:rsidRPr="00BC31E0" w:rsidRDefault="00A51873" w:rsidP="004736F2">
            <w:pPr>
              <w:snapToGrid w:val="0"/>
              <w:spacing w:line="300" w:lineRule="atLeast"/>
              <w:jc w:val="center"/>
              <w:rPr>
                <w:rFonts w:ascii="Times New Roman" w:hAnsi="Times New Roman"/>
                <w:i/>
                <w:kern w:val="0"/>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l</m:t>
                    </m:r>
                  </m:den>
                </m:f>
              </m:oMath>
            </m:oMathPara>
          </w:p>
        </w:tc>
        <w:tc>
          <w:tcPr>
            <w:tcW w:w="1313" w:type="dxa"/>
          </w:tcPr>
          <w:p w14:paraId="0A8A53BE" w14:textId="77777777" w:rsidR="00342321" w:rsidRPr="00BC31E0" w:rsidRDefault="00A51873" w:rsidP="004736F2">
            <w:pPr>
              <w:snapToGrid w:val="0"/>
              <w:spacing w:line="300" w:lineRule="atLeast"/>
              <w:jc w:val="center"/>
              <w:rPr>
                <w:rFonts w:ascii="Times New Roman" w:hAnsi="Times New Roman"/>
                <w:i/>
                <w:kern w:val="0"/>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t</m:t>
                    </m:r>
                  </m:den>
                </m:f>
              </m:oMath>
            </m:oMathPara>
          </w:p>
        </w:tc>
        <w:tc>
          <w:tcPr>
            <w:tcW w:w="1313" w:type="dxa"/>
          </w:tcPr>
          <w:p w14:paraId="77BB54C5" w14:textId="77777777" w:rsidR="00342321" w:rsidRPr="00BC31E0" w:rsidRDefault="00A51873" w:rsidP="004736F2">
            <w:pPr>
              <w:snapToGrid w:val="0"/>
              <w:spacing w:line="300" w:lineRule="atLeast"/>
              <w:jc w:val="center"/>
              <w:rPr>
                <w:rFonts w:ascii="Times New Roman" w:hAnsi="Times New Roman"/>
                <w:i/>
                <w:kern w:val="0"/>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l</m:t>
                    </m:r>
                  </m:den>
                </m:f>
              </m:oMath>
            </m:oMathPara>
          </w:p>
        </w:tc>
        <w:tc>
          <w:tcPr>
            <w:tcW w:w="1314" w:type="dxa"/>
          </w:tcPr>
          <w:p w14:paraId="68B004F9" w14:textId="77777777" w:rsidR="00342321" w:rsidRPr="00BC31E0" w:rsidRDefault="00A51873" w:rsidP="004736F2">
            <w:pPr>
              <w:snapToGrid w:val="0"/>
              <w:spacing w:line="300" w:lineRule="atLeast"/>
              <w:jc w:val="center"/>
              <w:rPr>
                <w:rFonts w:ascii="Times New Roman" w:hAnsi="Times New Roman"/>
                <w:i/>
                <w:kern w:val="0"/>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t</m:t>
                    </m:r>
                  </m:den>
                </m:f>
              </m:oMath>
            </m:oMathPara>
          </w:p>
        </w:tc>
      </w:tr>
      <w:tr w:rsidR="00342321" w:rsidRPr="00BC31E0" w14:paraId="7F834580" w14:textId="77777777" w:rsidTr="004736F2">
        <w:tc>
          <w:tcPr>
            <w:tcW w:w="1313" w:type="dxa"/>
          </w:tcPr>
          <w:p w14:paraId="10A6106C"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0.0</w:t>
            </w:r>
          </w:p>
        </w:tc>
        <w:tc>
          <w:tcPr>
            <w:tcW w:w="1313" w:type="dxa"/>
          </w:tcPr>
          <w:p w14:paraId="4DD0B15C"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0.031</w:t>
            </w:r>
          </w:p>
        </w:tc>
        <w:tc>
          <w:tcPr>
            <w:tcW w:w="1313" w:type="dxa"/>
          </w:tcPr>
          <w:p w14:paraId="5A31041E"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0.0</w:t>
            </w:r>
          </w:p>
        </w:tc>
        <w:tc>
          <w:tcPr>
            <w:tcW w:w="1314" w:type="dxa"/>
          </w:tcPr>
          <w:p w14:paraId="2577C9BE"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0.019</w:t>
            </w:r>
          </w:p>
        </w:tc>
      </w:tr>
      <w:tr w:rsidR="00342321" w:rsidRPr="00BC31E0" w14:paraId="6D1EE0BA" w14:textId="77777777" w:rsidTr="004736F2">
        <w:tc>
          <w:tcPr>
            <w:tcW w:w="1313" w:type="dxa"/>
          </w:tcPr>
          <w:p w14:paraId="6A0E4AA4"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0.1</w:t>
            </w:r>
          </w:p>
        </w:tc>
        <w:tc>
          <w:tcPr>
            <w:tcW w:w="1313" w:type="dxa"/>
          </w:tcPr>
          <w:p w14:paraId="41525B42"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0.036</w:t>
            </w:r>
          </w:p>
        </w:tc>
        <w:tc>
          <w:tcPr>
            <w:tcW w:w="1313" w:type="dxa"/>
          </w:tcPr>
          <w:p w14:paraId="0F83B91D"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0.1</w:t>
            </w:r>
          </w:p>
        </w:tc>
        <w:tc>
          <w:tcPr>
            <w:tcW w:w="1314" w:type="dxa"/>
          </w:tcPr>
          <w:p w14:paraId="4B61419C"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0.022</w:t>
            </w:r>
          </w:p>
        </w:tc>
      </w:tr>
      <w:tr w:rsidR="00342321" w:rsidRPr="00BC31E0" w14:paraId="13A6230E" w14:textId="77777777" w:rsidTr="004736F2">
        <w:tc>
          <w:tcPr>
            <w:tcW w:w="1313" w:type="dxa"/>
          </w:tcPr>
          <w:p w14:paraId="54A01E5B"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0.2</w:t>
            </w:r>
          </w:p>
        </w:tc>
        <w:tc>
          <w:tcPr>
            <w:tcW w:w="1313" w:type="dxa"/>
          </w:tcPr>
          <w:p w14:paraId="1DB95A5C"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0.047</w:t>
            </w:r>
          </w:p>
        </w:tc>
        <w:tc>
          <w:tcPr>
            <w:tcW w:w="1313" w:type="dxa"/>
          </w:tcPr>
          <w:p w14:paraId="6ACC31F8"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0.2</w:t>
            </w:r>
          </w:p>
        </w:tc>
        <w:tc>
          <w:tcPr>
            <w:tcW w:w="1314" w:type="dxa"/>
          </w:tcPr>
          <w:p w14:paraId="36A5D9ED"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0.028</w:t>
            </w:r>
          </w:p>
        </w:tc>
      </w:tr>
      <w:tr w:rsidR="00342321" w:rsidRPr="00BC31E0" w14:paraId="3611F507" w14:textId="77777777" w:rsidTr="004736F2">
        <w:tc>
          <w:tcPr>
            <w:tcW w:w="1313" w:type="dxa"/>
          </w:tcPr>
          <w:p w14:paraId="679B8E46"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0.3</w:t>
            </w:r>
          </w:p>
        </w:tc>
        <w:tc>
          <w:tcPr>
            <w:tcW w:w="1313" w:type="dxa"/>
          </w:tcPr>
          <w:p w14:paraId="55AE0A7D"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0.064</w:t>
            </w:r>
          </w:p>
        </w:tc>
        <w:tc>
          <w:tcPr>
            <w:tcW w:w="1313" w:type="dxa"/>
          </w:tcPr>
          <w:p w14:paraId="10D54F4E"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0.3</w:t>
            </w:r>
          </w:p>
        </w:tc>
        <w:tc>
          <w:tcPr>
            <w:tcW w:w="1314" w:type="dxa"/>
          </w:tcPr>
          <w:p w14:paraId="62501A68"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0.038</w:t>
            </w:r>
          </w:p>
        </w:tc>
      </w:tr>
      <w:tr w:rsidR="00342321" w:rsidRPr="00BC31E0" w14:paraId="062529D9" w14:textId="77777777" w:rsidTr="004736F2">
        <w:tc>
          <w:tcPr>
            <w:tcW w:w="1313" w:type="dxa"/>
          </w:tcPr>
          <w:p w14:paraId="69F1E0F0"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0.4</w:t>
            </w:r>
          </w:p>
        </w:tc>
        <w:tc>
          <w:tcPr>
            <w:tcW w:w="1313" w:type="dxa"/>
          </w:tcPr>
          <w:p w14:paraId="7F4F3764"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0.083</w:t>
            </w:r>
          </w:p>
        </w:tc>
        <w:tc>
          <w:tcPr>
            <w:tcW w:w="1313" w:type="dxa"/>
          </w:tcPr>
          <w:p w14:paraId="1D0D0039"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0.4</w:t>
            </w:r>
          </w:p>
        </w:tc>
        <w:tc>
          <w:tcPr>
            <w:tcW w:w="1314" w:type="dxa"/>
          </w:tcPr>
          <w:p w14:paraId="16CE5F27"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0.050</w:t>
            </w:r>
          </w:p>
        </w:tc>
      </w:tr>
      <w:tr w:rsidR="00342321" w:rsidRPr="00BC31E0" w14:paraId="46928ECC" w14:textId="77777777" w:rsidTr="004736F2">
        <w:tc>
          <w:tcPr>
            <w:tcW w:w="1313" w:type="dxa"/>
          </w:tcPr>
          <w:p w14:paraId="5AC312AB"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0.5</w:t>
            </w:r>
          </w:p>
        </w:tc>
        <w:tc>
          <w:tcPr>
            <w:tcW w:w="1313" w:type="dxa"/>
          </w:tcPr>
          <w:p w14:paraId="08B003BD"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0.087</w:t>
            </w:r>
          </w:p>
        </w:tc>
        <w:tc>
          <w:tcPr>
            <w:tcW w:w="1313" w:type="dxa"/>
          </w:tcPr>
          <w:p w14:paraId="638C266D"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0.5</w:t>
            </w:r>
          </w:p>
        </w:tc>
        <w:tc>
          <w:tcPr>
            <w:tcW w:w="1314" w:type="dxa"/>
          </w:tcPr>
          <w:p w14:paraId="12AB095A"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0.052</w:t>
            </w:r>
          </w:p>
        </w:tc>
      </w:tr>
    </w:tbl>
    <w:p w14:paraId="7F7CFE6C" w14:textId="77777777" w:rsidR="00342321" w:rsidRPr="00BC31E0" w:rsidRDefault="00342321" w:rsidP="00342321">
      <w:pPr>
        <w:snapToGrid w:val="0"/>
        <w:spacing w:before="60" w:line="320" w:lineRule="atLeast"/>
        <w:ind w:left="1474" w:hanging="794"/>
        <w:jc w:val="left"/>
        <w:rPr>
          <w:szCs w:val="20"/>
        </w:rPr>
      </w:pPr>
      <w:r w:rsidRPr="00BC31E0">
        <w:rPr>
          <w:rFonts w:ascii="ＭＳ ゴシック" w:eastAsia="ＭＳ ゴシック" w:hAnsi="ＭＳ ゴシック" w:hint="eastAsia"/>
          <w:b/>
          <w:szCs w:val="20"/>
        </w:rPr>
        <w:t>注記</w:t>
      </w:r>
      <w:r w:rsidRPr="00BC31E0">
        <w:rPr>
          <w:rFonts w:ascii="ＭＳ ゴシック" w:eastAsia="ＭＳ ゴシック" w:hAnsi="ＭＳ ゴシック" w:cs="Tahoma"/>
          <w:b/>
          <w:szCs w:val="20"/>
        </w:rPr>
        <w:t>2</w:t>
      </w:r>
      <w:r w:rsidRPr="00BC31E0">
        <w:rPr>
          <w:rFonts w:ascii="ＭＳ 明朝" w:hAnsi="ＭＳ 明朝" w:cs="Tahoma" w:hint="eastAsia"/>
          <w:b/>
          <w:szCs w:val="20"/>
        </w:rPr>
        <w:t xml:space="preserve">　</w:t>
      </w:r>
      <w:r w:rsidRPr="00BC31E0">
        <w:rPr>
          <w:szCs w:val="20"/>
        </w:rPr>
        <w:t>き</w:t>
      </w:r>
      <w:r w:rsidRPr="00BC31E0">
        <w:rPr>
          <w:rFonts w:hint="eastAsia"/>
          <w:szCs w:val="20"/>
        </w:rPr>
        <w:t>ず</w:t>
      </w:r>
      <w:r w:rsidRPr="00BC31E0">
        <w:rPr>
          <w:szCs w:val="20"/>
        </w:rPr>
        <w:t>高さ</w:t>
      </w:r>
      <m:oMath>
        <m:r>
          <m:rPr>
            <m:sty m:val="p"/>
          </m:rPr>
          <w:rPr>
            <w:rFonts w:ascii="Cambria Math" w:hAnsi="Cambria Math"/>
            <w:szCs w:val="20"/>
          </w:rPr>
          <m:t xml:space="preserve"> </m:t>
        </m:r>
        <m:r>
          <w:rPr>
            <w:rFonts w:ascii="Cambria Math" w:hAnsi="Cambria Math"/>
            <w:szCs w:val="20"/>
          </w:rPr>
          <m:t xml:space="preserve">a </m:t>
        </m:r>
      </m:oMath>
      <w:r w:rsidRPr="00BC31E0">
        <w:rPr>
          <w:szCs w:val="20"/>
        </w:rPr>
        <w:t>が</w:t>
      </w:r>
      <m:oMath>
        <m:r>
          <m:rPr>
            <m:sty m:val="p"/>
          </m:rPr>
          <w:rPr>
            <w:rFonts w:ascii="Cambria Math" w:hAnsi="Cambria Math"/>
            <w:szCs w:val="20"/>
          </w:rPr>
          <m:t xml:space="preserve"> 1 mm </m:t>
        </m:r>
      </m:oMath>
      <w:r w:rsidRPr="00BC31E0">
        <w:rPr>
          <w:szCs w:val="20"/>
        </w:rPr>
        <w:t>未満になる場合</w:t>
      </w:r>
      <w:r w:rsidRPr="00BC31E0">
        <w:rPr>
          <w:rFonts w:hint="eastAsia"/>
          <w:szCs w:val="20"/>
        </w:rPr>
        <w:t>で</w:t>
      </w:r>
      <w:r w:rsidRPr="00BC31E0">
        <w:rPr>
          <w:szCs w:val="20"/>
        </w:rPr>
        <w:t>，使用者設計仕様書</w:t>
      </w:r>
      <w:r w:rsidRPr="00BC31E0">
        <w:rPr>
          <w:rFonts w:hint="eastAsia"/>
          <w:szCs w:val="20"/>
        </w:rPr>
        <w:t>に</w:t>
      </w:r>
      <w:r w:rsidRPr="00BC31E0">
        <w:rPr>
          <w:rFonts w:ascii="ＭＳ ゴシック" w:eastAsia="ＭＳ ゴシック" w:hAnsi="ＭＳ ゴシック" w:hint="eastAsia"/>
          <w:b/>
          <w:szCs w:val="20"/>
        </w:rPr>
        <w:t>表5.2.2</w:t>
      </w:r>
      <w:r w:rsidRPr="00BC31E0">
        <w:rPr>
          <w:rFonts w:hint="eastAsia"/>
          <w:szCs w:val="20"/>
        </w:rPr>
        <w:t>よりも高い</w:t>
      </w:r>
      <w:r w:rsidRPr="00BC31E0">
        <w:rPr>
          <w:szCs w:val="20"/>
        </w:rPr>
        <w:t>要求シャルピー</w:t>
      </w:r>
      <w:r w:rsidRPr="00BC31E0">
        <w:rPr>
          <w:rFonts w:hint="eastAsia"/>
          <w:szCs w:val="20"/>
        </w:rPr>
        <w:t>衝撃</w:t>
      </w:r>
      <w:r w:rsidRPr="00BC31E0">
        <w:rPr>
          <w:szCs w:val="20"/>
        </w:rPr>
        <w:t>吸収エネルギー</w:t>
      </w:r>
      <w:r w:rsidRPr="00BC31E0">
        <w:rPr>
          <w:rFonts w:hint="eastAsia"/>
          <w:szCs w:val="20"/>
        </w:rPr>
        <w:t>が規定されている場合には，</w:t>
      </w:r>
      <w:r w:rsidRPr="00BC31E0">
        <w:rPr>
          <w:rFonts w:ascii="ＭＳ ゴシック" w:eastAsia="ＭＳ ゴシック" w:hAnsi="ＭＳ ゴシック" w:hint="eastAsia"/>
          <w:b/>
          <w:szCs w:val="20"/>
        </w:rPr>
        <w:t>9.3.6 c) 2) 2.3)</w:t>
      </w:r>
      <w:r w:rsidRPr="00BC31E0">
        <w:rPr>
          <w:rFonts w:hint="eastAsia"/>
          <w:szCs w:val="20"/>
        </w:rPr>
        <w:t>に</w:t>
      </w:r>
      <w:r w:rsidRPr="00BC31E0">
        <w:rPr>
          <w:szCs w:val="20"/>
        </w:rPr>
        <w:t>より</w:t>
      </w:r>
      <w:r w:rsidRPr="00BC31E0">
        <w:rPr>
          <w:rFonts w:hint="eastAsia"/>
          <w:szCs w:val="20"/>
        </w:rPr>
        <w:t>製作者が許容きず寸法を算出</w:t>
      </w:r>
      <w:r w:rsidR="00B9660C" w:rsidRPr="00BC31E0">
        <w:rPr>
          <w:rFonts w:hint="eastAsia"/>
          <w:szCs w:val="20"/>
        </w:rPr>
        <w:t>してもよい</w:t>
      </w:r>
      <w:r w:rsidRPr="00BC31E0">
        <w:rPr>
          <w:rFonts w:hint="eastAsia"/>
          <w:szCs w:val="20"/>
        </w:rPr>
        <w:t>。</w:t>
      </w:r>
    </w:p>
    <w:p w14:paraId="79397F06" w14:textId="77777777" w:rsidR="00342321" w:rsidRPr="00BC31E0" w:rsidRDefault="00342321" w:rsidP="00342321">
      <w:pPr>
        <w:snapToGrid w:val="0"/>
        <w:spacing w:line="320" w:lineRule="atLeast"/>
        <w:ind w:left="1474" w:hanging="794"/>
        <w:jc w:val="left"/>
        <w:rPr>
          <w:rFonts w:hAnsi="ＭＳ 明朝"/>
          <w:szCs w:val="20"/>
        </w:rPr>
      </w:pPr>
      <w:r w:rsidRPr="00BC31E0">
        <w:rPr>
          <w:rFonts w:ascii="ＭＳ ゴシック" w:eastAsia="ＭＳ ゴシック" w:hAnsi="ＭＳ ゴシック" w:hint="eastAsia"/>
          <w:b/>
          <w:szCs w:val="20"/>
        </w:rPr>
        <w:t>注記</w:t>
      </w:r>
      <w:r w:rsidRPr="00BC31E0">
        <w:rPr>
          <w:rFonts w:ascii="ＭＳ ゴシック" w:eastAsia="ＭＳ ゴシック" w:hAnsi="ＭＳ ゴシック" w:cs="Tahoma"/>
          <w:b/>
          <w:szCs w:val="20"/>
        </w:rPr>
        <w:t>3</w:t>
      </w:r>
      <w:r w:rsidRPr="00BC31E0">
        <w:rPr>
          <w:rFonts w:ascii="ＭＳ 明朝" w:hAnsi="ＭＳ 明朝" w:cs="Tahoma" w:hint="eastAsia"/>
          <w:b/>
          <w:szCs w:val="20"/>
        </w:rPr>
        <w:t xml:space="preserve">　</w:t>
      </w:r>
      <w:r w:rsidRPr="00BC31E0">
        <w:rPr>
          <w:rFonts w:hAnsi="ＭＳ 明朝"/>
          <w:szCs w:val="20"/>
        </w:rPr>
        <w:t>中間の</w:t>
      </w:r>
      <w:r w:rsidRPr="00BC31E0">
        <w:rPr>
          <w:rFonts w:hAnsi="ＭＳ 明朝" w:hint="eastAsia"/>
          <w:szCs w:val="20"/>
        </w:rPr>
        <w:t>内外径比</w:t>
      </w:r>
      <m:oMath>
        <m:r>
          <m:rPr>
            <m:sty m:val="p"/>
          </m:rPr>
          <w:rPr>
            <w:rFonts w:ascii="Cambria Math" w:hAnsi="Cambria Math"/>
            <w:szCs w:val="20"/>
          </w:rPr>
          <m:t xml:space="preserve"> </m:t>
        </m:r>
        <m:r>
          <w:rPr>
            <w:rFonts w:ascii="Cambria Math" w:hAnsi="Cambria Math"/>
            <w:szCs w:val="20"/>
          </w:rPr>
          <m:t xml:space="preserve">Y </m:t>
        </m:r>
      </m:oMath>
      <w:r w:rsidRPr="00BC31E0">
        <w:rPr>
          <w:rFonts w:hAnsi="ＭＳ 明朝"/>
          <w:szCs w:val="20"/>
        </w:rPr>
        <w:t>の値及び</w:t>
      </w:r>
      <m:oMath>
        <m:f>
          <m:fPr>
            <m:type m:val="lin"/>
            <m:ctrlPr>
              <w:rPr>
                <w:rFonts w:ascii="Cambria Math" w:hAnsi="Cambria Math"/>
                <w:i/>
                <w:szCs w:val="20"/>
              </w:rPr>
            </m:ctrlPr>
          </m:fPr>
          <m:num>
            <m:r>
              <w:rPr>
                <w:rFonts w:ascii="Cambria Math" w:hAnsi="Cambria Math"/>
                <w:szCs w:val="20"/>
              </w:rPr>
              <m:t xml:space="preserve"> a</m:t>
            </m:r>
          </m:num>
          <m:den>
            <m:r>
              <w:rPr>
                <w:rFonts w:ascii="Cambria Math" w:hAnsi="Cambria Math"/>
                <w:szCs w:val="20"/>
              </w:rPr>
              <m:t xml:space="preserve">l </m:t>
            </m:r>
          </m:den>
        </m:f>
      </m:oMath>
      <w:r w:rsidRPr="00BC31E0">
        <w:rPr>
          <w:rFonts w:hAnsi="ＭＳ 明朝"/>
          <w:szCs w:val="20"/>
        </w:rPr>
        <w:t>の値に対しては，線形補間</w:t>
      </w:r>
      <w:r w:rsidRPr="00BC31E0">
        <w:rPr>
          <w:rFonts w:hAnsi="ＭＳ 明朝" w:hint="eastAsia"/>
          <w:szCs w:val="20"/>
        </w:rPr>
        <w:t>により</w:t>
      </w:r>
      <m:oMath>
        <m:f>
          <m:fPr>
            <m:type m:val="lin"/>
            <m:ctrlPr>
              <w:rPr>
                <w:rFonts w:ascii="Cambria Math" w:hAnsi="Cambria Math"/>
                <w:i/>
                <w:szCs w:val="20"/>
              </w:rPr>
            </m:ctrlPr>
          </m:fPr>
          <m:num>
            <m:r>
              <w:rPr>
                <w:rFonts w:ascii="Cambria Math" w:hAnsi="Cambria Math"/>
                <w:szCs w:val="20"/>
              </w:rPr>
              <m:t xml:space="preserve"> a</m:t>
            </m:r>
          </m:num>
          <m:den>
            <m:r>
              <w:rPr>
                <w:rFonts w:ascii="Cambria Math" w:hAnsi="Cambria Math"/>
                <w:szCs w:val="20"/>
              </w:rPr>
              <m:t xml:space="preserve">t </m:t>
            </m:r>
          </m:den>
        </m:f>
      </m:oMath>
      <w:r w:rsidRPr="00BC31E0">
        <w:rPr>
          <w:rFonts w:hAnsi="ＭＳ 明朝"/>
          <w:szCs w:val="20"/>
        </w:rPr>
        <w:t>を求める。</w:t>
      </w:r>
    </w:p>
    <w:p w14:paraId="2DCB0AE2" w14:textId="77777777" w:rsidR="000E2012" w:rsidRPr="00BC31E0" w:rsidRDefault="000E2012" w:rsidP="00E071EE">
      <w:pPr>
        <w:snapToGrid w:val="0"/>
        <w:spacing w:line="200" w:lineRule="exact"/>
        <w:jc w:val="left"/>
        <w:rPr>
          <w:szCs w:val="20"/>
        </w:rPr>
      </w:pPr>
    </w:p>
    <w:p w14:paraId="616D43C3" w14:textId="77777777" w:rsidR="00342321" w:rsidRPr="00BC31E0" w:rsidRDefault="00342321" w:rsidP="000E2012">
      <w:pPr>
        <w:pStyle w:val="af4"/>
      </w:pPr>
      <w:r w:rsidRPr="00BC31E0">
        <w:rPr>
          <w:rFonts w:hint="eastAsia"/>
        </w:rPr>
        <w:t>表9.3.4　表面きずの許容きず寸法 (</w:t>
      </w:r>
      <m:oMath>
        <m:r>
          <m:rPr>
            <m:sty m:val="bi"/>
          </m:rPr>
          <w:rPr>
            <w:rFonts w:ascii="Cambria Math" w:hAnsi="Cambria Math"/>
            <w:sz w:val="22"/>
            <w:szCs w:val="22"/>
          </w:rPr>
          <m:t>570&lt;</m:t>
        </m:r>
        <m:sSub>
          <m:sSubPr>
            <m:ctrlPr>
              <w:rPr>
                <w:rFonts w:ascii="Cambria Math" w:hAnsi="Cambria Math"/>
                <w:i/>
                <w:sz w:val="22"/>
                <w:szCs w:val="22"/>
              </w:rPr>
            </m:ctrlPr>
          </m:sSubPr>
          <m:e>
            <m:r>
              <m:rPr>
                <m:sty m:val="bi"/>
              </m:rPr>
              <w:rPr>
                <w:rFonts w:ascii="Cambria Math" w:hAnsi="Cambria Math"/>
                <w:sz w:val="22"/>
                <w:szCs w:val="22"/>
              </w:rPr>
              <m:t>S</m:t>
            </m:r>
          </m:e>
          <m:sub>
            <m:r>
              <m:rPr>
                <m:sty m:val="bi"/>
              </m:rPr>
              <w:rPr>
                <w:rFonts w:ascii="Cambria Math" w:hAnsi="Cambria Math"/>
                <w:sz w:val="22"/>
                <w:szCs w:val="22"/>
                <w:vertAlign w:val="subscript"/>
              </w:rPr>
              <m:t>y</m:t>
            </m:r>
          </m:sub>
        </m:sSub>
        <m:r>
          <m:rPr>
            <m:sty m:val="bi"/>
          </m:rPr>
          <w:rPr>
            <w:rFonts w:ascii="Cambria Math" w:hAnsi="Cambria Math"/>
            <w:sz w:val="22"/>
            <w:szCs w:val="22"/>
          </w:rPr>
          <m:t xml:space="preserve">≦690 </m:t>
        </m:r>
        <m:r>
          <m:rPr>
            <m:sty m:val="b"/>
          </m:rPr>
          <w:rPr>
            <w:rFonts w:ascii="Cambria Math" w:hAnsi="Cambria Math"/>
            <w:sz w:val="22"/>
            <w:szCs w:val="22"/>
          </w:rPr>
          <m:t>MPa</m:t>
        </m:r>
      </m:oMath>
      <w:r w:rsidRPr="00BC31E0">
        <w:rPr>
          <w:rFonts w:hint="eastAsia"/>
        </w:rPr>
        <w:t>，溶接後熱処理</w:t>
      </w:r>
      <w:r w:rsidRPr="00BC31E0">
        <w:t>あり</w:t>
      </w:r>
      <w:r w:rsidRPr="00BC31E0">
        <w:rPr>
          <w:rFonts w:hint="eastAsi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594"/>
        <w:gridCol w:w="1595"/>
        <w:gridCol w:w="1595"/>
        <w:gridCol w:w="1595"/>
      </w:tblGrid>
      <w:tr w:rsidR="00342321" w:rsidRPr="00BC31E0" w14:paraId="48FA894A" w14:textId="77777777" w:rsidTr="004736F2">
        <w:trPr>
          <w:jc w:val="center"/>
        </w:trPr>
        <w:tc>
          <w:tcPr>
            <w:tcW w:w="992" w:type="dxa"/>
            <w:vMerge w:val="restart"/>
            <w:vAlign w:val="center"/>
          </w:tcPr>
          <w:p w14:paraId="37CD6A81" w14:textId="77777777" w:rsidR="00342321" w:rsidRPr="00BC31E0" w:rsidRDefault="00A51873" w:rsidP="004736F2">
            <w:pPr>
              <w:snapToGrid w:val="0"/>
              <w:spacing w:line="300" w:lineRule="atLeast"/>
              <w:jc w:val="center"/>
              <w:rPr>
                <w:rFonts w:ascii="Times New Roman" w:hAnsi="Times New Roman"/>
                <w:i/>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l</m:t>
                    </m:r>
                  </m:den>
                </m:f>
              </m:oMath>
            </m:oMathPara>
          </w:p>
        </w:tc>
        <w:tc>
          <w:tcPr>
            <w:tcW w:w="6379" w:type="dxa"/>
            <w:gridSpan w:val="4"/>
            <w:vAlign w:val="center"/>
          </w:tcPr>
          <w:p w14:paraId="5E7BA875" w14:textId="77777777" w:rsidR="00342321" w:rsidRPr="00BC31E0" w:rsidRDefault="00342321" w:rsidP="004736F2">
            <w:pPr>
              <w:snapToGrid w:val="0"/>
              <w:spacing w:line="300" w:lineRule="atLeast"/>
              <w:jc w:val="center"/>
              <w:rPr>
                <w:rFonts w:ascii="Times New Roman" w:hAnsi="Times New Roman"/>
                <w:i/>
                <w:szCs w:val="20"/>
              </w:rPr>
            </w:pPr>
            <m:oMathPara>
              <m:oMath>
                <m:r>
                  <w:rPr>
                    <w:rFonts w:ascii="Cambria Math" w:hAnsi="Cambria Math"/>
                    <w:szCs w:val="20"/>
                  </w:rPr>
                  <m:t>t&gt;</m:t>
                </m:r>
                <m:r>
                  <w:rPr>
                    <w:rFonts w:ascii="Cambria Math" w:hAnsi="Cambria Math" w:hint="eastAsia"/>
                    <w:szCs w:val="20"/>
                  </w:rPr>
                  <m:t>300</m:t>
                </m:r>
                <m:r>
                  <m:rPr>
                    <m:sty m:val="p"/>
                  </m:rPr>
                  <w:rPr>
                    <w:rFonts w:ascii="Cambria Math" w:hAnsi="Cambria Math" w:hint="eastAsia"/>
                    <w:szCs w:val="20"/>
                  </w:rPr>
                  <m:t xml:space="preserve"> mm</m:t>
                </m:r>
              </m:oMath>
            </m:oMathPara>
          </w:p>
        </w:tc>
      </w:tr>
      <w:tr w:rsidR="00342321" w:rsidRPr="00BC31E0" w14:paraId="212A3465" w14:textId="77777777" w:rsidTr="004736F2">
        <w:trPr>
          <w:jc w:val="center"/>
        </w:trPr>
        <w:tc>
          <w:tcPr>
            <w:tcW w:w="992" w:type="dxa"/>
            <w:vMerge/>
            <w:vAlign w:val="center"/>
          </w:tcPr>
          <w:p w14:paraId="4E71AE3A" w14:textId="77777777" w:rsidR="00342321" w:rsidRPr="00BC31E0" w:rsidRDefault="00342321" w:rsidP="004736F2">
            <w:pPr>
              <w:snapToGrid w:val="0"/>
              <w:spacing w:line="300" w:lineRule="atLeast"/>
              <w:jc w:val="center"/>
              <w:rPr>
                <w:rFonts w:ascii="Times New Roman" w:hAnsi="Times New Roman"/>
                <w:i/>
                <w:szCs w:val="20"/>
              </w:rPr>
            </w:pPr>
          </w:p>
        </w:tc>
        <w:tc>
          <w:tcPr>
            <w:tcW w:w="1594" w:type="dxa"/>
            <w:vAlign w:val="center"/>
          </w:tcPr>
          <w:p w14:paraId="7A35D8CF" w14:textId="77777777" w:rsidR="00342321" w:rsidRPr="00BC31E0" w:rsidRDefault="00342321" w:rsidP="004736F2">
            <w:pPr>
              <w:snapToGrid w:val="0"/>
              <w:spacing w:line="300" w:lineRule="atLeast"/>
              <w:jc w:val="center"/>
              <w:rPr>
                <w:szCs w:val="20"/>
              </w:rPr>
            </w:pPr>
            <m:oMathPara>
              <m:oMath>
                <m:r>
                  <w:rPr>
                    <w:rFonts w:ascii="Cambria Math" w:hAnsi="Cambria Math"/>
                    <w:szCs w:val="20"/>
                  </w:rPr>
                  <m:t>Y=</m:t>
                </m:r>
                <m:r>
                  <w:rPr>
                    <w:rFonts w:ascii="Cambria Math" w:hAnsi="Cambria Math" w:hint="eastAsia"/>
                    <w:szCs w:val="20"/>
                  </w:rPr>
                  <m:t>1.2</m:t>
                </m:r>
              </m:oMath>
            </m:oMathPara>
          </w:p>
        </w:tc>
        <w:tc>
          <w:tcPr>
            <w:tcW w:w="1595" w:type="dxa"/>
            <w:vAlign w:val="center"/>
          </w:tcPr>
          <w:p w14:paraId="7ECB730F" w14:textId="77777777" w:rsidR="00342321" w:rsidRPr="00BC31E0" w:rsidRDefault="00342321" w:rsidP="004736F2">
            <w:pPr>
              <w:snapToGrid w:val="0"/>
              <w:spacing w:line="300" w:lineRule="atLeast"/>
              <w:jc w:val="center"/>
              <w:rPr>
                <w:szCs w:val="20"/>
              </w:rPr>
            </w:pPr>
            <m:oMathPara>
              <m:oMath>
                <m:r>
                  <w:rPr>
                    <w:rFonts w:ascii="Cambria Math" w:hAnsi="Cambria Math"/>
                    <w:szCs w:val="20"/>
                  </w:rPr>
                  <m:t>Y=</m:t>
                </m:r>
                <m:r>
                  <w:rPr>
                    <w:rFonts w:ascii="Cambria Math" w:hAnsi="Cambria Math" w:hint="eastAsia"/>
                    <w:szCs w:val="20"/>
                  </w:rPr>
                  <m:t>1.5</m:t>
                </m:r>
              </m:oMath>
            </m:oMathPara>
          </w:p>
        </w:tc>
        <w:tc>
          <w:tcPr>
            <w:tcW w:w="1595" w:type="dxa"/>
            <w:vAlign w:val="center"/>
          </w:tcPr>
          <w:p w14:paraId="5E09FC03" w14:textId="77777777" w:rsidR="00342321" w:rsidRPr="00BC31E0" w:rsidRDefault="00342321" w:rsidP="004736F2">
            <w:pPr>
              <w:snapToGrid w:val="0"/>
              <w:spacing w:line="300" w:lineRule="atLeast"/>
              <w:jc w:val="center"/>
              <w:rPr>
                <w:szCs w:val="20"/>
              </w:rPr>
            </w:pPr>
            <m:oMathPara>
              <m:oMath>
                <m:r>
                  <w:rPr>
                    <w:rFonts w:ascii="Cambria Math" w:hAnsi="Cambria Math"/>
                    <w:szCs w:val="20"/>
                  </w:rPr>
                  <m:t>Y=</m:t>
                </m:r>
                <m:r>
                  <w:rPr>
                    <w:rFonts w:ascii="Cambria Math" w:hAnsi="Cambria Math" w:hint="eastAsia"/>
                    <w:szCs w:val="20"/>
                  </w:rPr>
                  <m:t>2.0</m:t>
                </m:r>
              </m:oMath>
            </m:oMathPara>
          </w:p>
        </w:tc>
        <w:tc>
          <w:tcPr>
            <w:tcW w:w="1595" w:type="dxa"/>
            <w:vAlign w:val="center"/>
          </w:tcPr>
          <w:p w14:paraId="4015D8C8" w14:textId="77777777" w:rsidR="00342321" w:rsidRPr="00BC31E0" w:rsidRDefault="00342321" w:rsidP="004736F2">
            <w:pPr>
              <w:snapToGrid w:val="0"/>
              <w:spacing w:line="300" w:lineRule="atLeast"/>
              <w:jc w:val="center"/>
              <w:rPr>
                <w:szCs w:val="20"/>
              </w:rPr>
            </w:pPr>
            <m:oMathPara>
              <m:oMath>
                <m:r>
                  <w:rPr>
                    <w:rFonts w:ascii="Cambria Math" w:hAnsi="Cambria Math"/>
                    <w:szCs w:val="20"/>
                  </w:rPr>
                  <m:t>Y=</m:t>
                </m:r>
                <m:r>
                  <w:rPr>
                    <w:rFonts w:ascii="Cambria Math" w:hAnsi="Cambria Math" w:hint="eastAsia"/>
                    <w:szCs w:val="20"/>
                  </w:rPr>
                  <m:t>2.5</m:t>
                </m:r>
              </m:oMath>
            </m:oMathPara>
          </w:p>
        </w:tc>
      </w:tr>
      <w:tr w:rsidR="00342321" w:rsidRPr="00BC31E0" w14:paraId="5F25B17D" w14:textId="77777777" w:rsidTr="004736F2">
        <w:trPr>
          <w:jc w:val="center"/>
        </w:trPr>
        <w:tc>
          <w:tcPr>
            <w:tcW w:w="992" w:type="dxa"/>
            <w:vMerge/>
            <w:vAlign w:val="center"/>
          </w:tcPr>
          <w:p w14:paraId="6B28C1F5" w14:textId="77777777" w:rsidR="00342321" w:rsidRPr="00BC31E0" w:rsidRDefault="00342321" w:rsidP="004736F2">
            <w:pPr>
              <w:snapToGrid w:val="0"/>
              <w:spacing w:line="300" w:lineRule="atLeast"/>
              <w:jc w:val="center"/>
              <w:rPr>
                <w:szCs w:val="20"/>
              </w:rPr>
            </w:pPr>
          </w:p>
        </w:tc>
        <w:tc>
          <w:tcPr>
            <w:tcW w:w="1594" w:type="dxa"/>
            <w:vAlign w:val="center"/>
          </w:tcPr>
          <w:p w14:paraId="15A5C7D9" w14:textId="77777777" w:rsidR="00342321" w:rsidRPr="00BC31E0" w:rsidRDefault="00342321" w:rsidP="004736F2">
            <w:pPr>
              <w:snapToGrid w:val="0"/>
              <w:spacing w:line="300" w:lineRule="atLeast"/>
              <w:jc w:val="center"/>
              <w:rPr>
                <w:szCs w:val="20"/>
              </w:rPr>
            </w:pPr>
            <m:oMath>
              <m:r>
                <w:rPr>
                  <w:rFonts w:ascii="Cambria Math" w:hAnsi="Cambria Math"/>
                  <w:szCs w:val="20"/>
                </w:rPr>
                <m:t xml:space="preserve">a </m:t>
              </m:r>
            </m:oMath>
            <w:r w:rsidRPr="00BC31E0">
              <w:rPr>
                <w:rFonts w:asciiTheme="minorHAnsi" w:hAnsiTheme="minorHAnsi"/>
                <w:szCs w:val="20"/>
              </w:rPr>
              <w:t>(</w:t>
            </w:r>
            <m:oMath>
              <m:r>
                <m:rPr>
                  <m:sty m:val="p"/>
                </m:rPr>
                <w:rPr>
                  <w:rFonts w:ascii="Cambria Math" w:hAnsi="Cambria Math"/>
                  <w:szCs w:val="20"/>
                </w:rPr>
                <m:t>mm</m:t>
              </m:r>
            </m:oMath>
            <w:r w:rsidRPr="00BC31E0">
              <w:rPr>
                <w:rFonts w:asciiTheme="minorHAnsi" w:hAnsiTheme="minorHAnsi"/>
                <w:szCs w:val="20"/>
              </w:rPr>
              <w:t>)</w:t>
            </w:r>
          </w:p>
        </w:tc>
        <w:tc>
          <w:tcPr>
            <w:tcW w:w="1595" w:type="dxa"/>
            <w:vAlign w:val="center"/>
          </w:tcPr>
          <w:p w14:paraId="13F07C6B" w14:textId="77777777" w:rsidR="00342321" w:rsidRPr="00BC31E0" w:rsidRDefault="00342321" w:rsidP="004736F2">
            <w:pPr>
              <w:snapToGrid w:val="0"/>
              <w:spacing w:line="300" w:lineRule="atLeast"/>
              <w:jc w:val="center"/>
              <w:rPr>
                <w:szCs w:val="20"/>
              </w:rPr>
            </w:pPr>
            <m:oMath>
              <m:r>
                <w:rPr>
                  <w:rFonts w:ascii="Cambria Math" w:hAnsi="Cambria Math"/>
                  <w:szCs w:val="20"/>
                </w:rPr>
                <m:t xml:space="preserve">a </m:t>
              </m:r>
            </m:oMath>
            <w:r w:rsidRPr="00BC31E0">
              <w:rPr>
                <w:rFonts w:asciiTheme="minorHAnsi" w:hAnsiTheme="minorHAnsi"/>
                <w:szCs w:val="20"/>
              </w:rPr>
              <w:t>(</w:t>
            </w:r>
            <m:oMath>
              <m:r>
                <m:rPr>
                  <m:sty m:val="p"/>
                </m:rPr>
                <w:rPr>
                  <w:rFonts w:ascii="Cambria Math" w:hAnsi="Cambria Math"/>
                  <w:szCs w:val="20"/>
                </w:rPr>
                <m:t>mm</m:t>
              </m:r>
            </m:oMath>
            <w:r w:rsidRPr="00BC31E0">
              <w:rPr>
                <w:rFonts w:asciiTheme="minorHAnsi" w:hAnsiTheme="minorHAnsi"/>
                <w:szCs w:val="20"/>
              </w:rPr>
              <w:t>)</w:t>
            </w:r>
          </w:p>
        </w:tc>
        <w:tc>
          <w:tcPr>
            <w:tcW w:w="1595" w:type="dxa"/>
            <w:vAlign w:val="center"/>
          </w:tcPr>
          <w:p w14:paraId="0BE1CB46" w14:textId="77777777" w:rsidR="00342321" w:rsidRPr="00BC31E0" w:rsidRDefault="00342321" w:rsidP="004736F2">
            <w:pPr>
              <w:snapToGrid w:val="0"/>
              <w:spacing w:line="300" w:lineRule="atLeast"/>
              <w:jc w:val="center"/>
              <w:rPr>
                <w:szCs w:val="20"/>
              </w:rPr>
            </w:pPr>
            <m:oMath>
              <m:r>
                <w:rPr>
                  <w:rFonts w:ascii="Cambria Math" w:hAnsi="Cambria Math"/>
                  <w:szCs w:val="20"/>
                </w:rPr>
                <m:t xml:space="preserve">a </m:t>
              </m:r>
            </m:oMath>
            <w:r w:rsidRPr="00BC31E0">
              <w:rPr>
                <w:rFonts w:asciiTheme="minorHAnsi" w:hAnsiTheme="minorHAnsi"/>
                <w:szCs w:val="20"/>
              </w:rPr>
              <w:t>(</w:t>
            </w:r>
            <m:oMath>
              <m:r>
                <m:rPr>
                  <m:sty m:val="p"/>
                </m:rPr>
                <w:rPr>
                  <w:rFonts w:ascii="Cambria Math" w:hAnsi="Cambria Math"/>
                  <w:szCs w:val="20"/>
                </w:rPr>
                <m:t>mm</m:t>
              </m:r>
            </m:oMath>
            <w:r w:rsidRPr="00BC31E0">
              <w:rPr>
                <w:rFonts w:asciiTheme="minorHAnsi" w:hAnsiTheme="minorHAnsi"/>
                <w:szCs w:val="20"/>
              </w:rPr>
              <w:t>)</w:t>
            </w:r>
          </w:p>
        </w:tc>
        <w:tc>
          <w:tcPr>
            <w:tcW w:w="1595" w:type="dxa"/>
            <w:vAlign w:val="center"/>
          </w:tcPr>
          <w:p w14:paraId="703FEAF5" w14:textId="77777777" w:rsidR="00342321" w:rsidRPr="00BC31E0" w:rsidRDefault="00342321" w:rsidP="004736F2">
            <w:pPr>
              <w:snapToGrid w:val="0"/>
              <w:spacing w:line="300" w:lineRule="atLeast"/>
              <w:jc w:val="center"/>
              <w:rPr>
                <w:szCs w:val="20"/>
              </w:rPr>
            </w:pPr>
            <m:oMath>
              <m:r>
                <w:rPr>
                  <w:rFonts w:ascii="Cambria Math" w:hAnsi="Cambria Math"/>
                  <w:szCs w:val="20"/>
                </w:rPr>
                <m:t xml:space="preserve">a </m:t>
              </m:r>
            </m:oMath>
            <w:r w:rsidRPr="00BC31E0">
              <w:rPr>
                <w:rFonts w:asciiTheme="minorHAnsi" w:hAnsiTheme="minorHAnsi"/>
                <w:szCs w:val="20"/>
              </w:rPr>
              <w:t>(</w:t>
            </w:r>
            <m:oMath>
              <m:r>
                <m:rPr>
                  <m:sty m:val="p"/>
                </m:rPr>
                <w:rPr>
                  <w:rFonts w:ascii="Cambria Math" w:hAnsi="Cambria Math"/>
                  <w:szCs w:val="20"/>
                </w:rPr>
                <m:t>mm</m:t>
              </m:r>
            </m:oMath>
            <w:r w:rsidRPr="00BC31E0">
              <w:rPr>
                <w:rFonts w:asciiTheme="minorHAnsi" w:hAnsiTheme="minorHAnsi"/>
                <w:szCs w:val="20"/>
              </w:rPr>
              <w:t>)</w:t>
            </w:r>
          </w:p>
        </w:tc>
      </w:tr>
      <w:tr w:rsidR="00342321" w:rsidRPr="00BC31E0" w14:paraId="0C2CDE84" w14:textId="77777777" w:rsidTr="004736F2">
        <w:trPr>
          <w:jc w:val="center"/>
        </w:trPr>
        <w:tc>
          <w:tcPr>
            <w:tcW w:w="992" w:type="dxa"/>
            <w:vAlign w:val="center"/>
          </w:tcPr>
          <w:p w14:paraId="4416E53F"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0.0</w:t>
            </w:r>
          </w:p>
        </w:tc>
        <w:tc>
          <w:tcPr>
            <w:tcW w:w="1594" w:type="dxa"/>
            <w:vAlign w:val="center"/>
          </w:tcPr>
          <w:p w14:paraId="3D657DC0"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3.81</w:t>
            </w:r>
          </w:p>
        </w:tc>
        <w:tc>
          <w:tcPr>
            <w:tcW w:w="1595" w:type="dxa"/>
            <w:vAlign w:val="center"/>
          </w:tcPr>
          <w:p w14:paraId="7995FCBF"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2.40</w:t>
            </w:r>
          </w:p>
        </w:tc>
        <w:tc>
          <w:tcPr>
            <w:tcW w:w="1595" w:type="dxa"/>
            <w:vAlign w:val="center"/>
          </w:tcPr>
          <w:p w14:paraId="0A0E2EF7" w14:textId="77777777" w:rsidR="00342321" w:rsidRPr="00BC31E0" w:rsidRDefault="00342321" w:rsidP="004736F2">
            <w:pPr>
              <w:snapToGrid w:val="0"/>
              <w:spacing w:line="300" w:lineRule="atLeast"/>
              <w:jc w:val="center"/>
              <w:rPr>
                <w:rFonts w:ascii="Cambria Math" w:eastAsia="ＭＳ ゴシック" w:hAnsi="Cambria Math" w:cs="Tahoma"/>
                <w:sz w:val="22"/>
                <w:szCs w:val="22"/>
              </w:rPr>
            </w:pPr>
            <w:r w:rsidRPr="00BC31E0">
              <w:rPr>
                <w:rFonts w:ascii="Cambria Math" w:eastAsia="ＭＳ ゴシック" w:hAnsi="Cambria Math" w:cs="Tahoma"/>
                <w:sz w:val="22"/>
                <w:szCs w:val="22"/>
              </w:rPr>
              <w:t>1.21</w:t>
            </w:r>
          </w:p>
        </w:tc>
        <w:tc>
          <w:tcPr>
            <w:tcW w:w="1595" w:type="dxa"/>
            <w:vAlign w:val="center"/>
          </w:tcPr>
          <w:p w14:paraId="5D2C6BB5" w14:textId="77777777" w:rsidR="00342321" w:rsidRPr="00BC31E0" w:rsidRDefault="00342321" w:rsidP="004736F2">
            <w:pPr>
              <w:snapToGrid w:val="0"/>
              <w:spacing w:line="300" w:lineRule="atLeast"/>
              <w:jc w:val="center"/>
              <w:rPr>
                <w:rFonts w:ascii="ＭＳ ゴシック" w:eastAsia="ＭＳ ゴシック" w:hAnsi="ＭＳ ゴシック" w:cs="Tahoma"/>
                <w:b/>
                <w:szCs w:val="20"/>
              </w:rPr>
            </w:pPr>
            <w:r w:rsidRPr="00BC31E0">
              <w:rPr>
                <w:rFonts w:ascii="ＭＳ ゴシック" w:eastAsia="ＭＳ ゴシック" w:hAnsi="ＭＳ ゴシック" w:cs="Tahoma"/>
                <w:b/>
                <w:szCs w:val="20"/>
                <w:vertAlign w:val="superscript"/>
              </w:rPr>
              <w:t>a)</w:t>
            </w:r>
          </w:p>
        </w:tc>
      </w:tr>
      <w:tr w:rsidR="00342321" w:rsidRPr="00BC31E0" w14:paraId="6E8EFB4A" w14:textId="77777777" w:rsidTr="004736F2">
        <w:trPr>
          <w:jc w:val="center"/>
        </w:trPr>
        <w:tc>
          <w:tcPr>
            <w:tcW w:w="992" w:type="dxa"/>
            <w:vAlign w:val="center"/>
          </w:tcPr>
          <w:p w14:paraId="306126AD"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0.1</w:t>
            </w:r>
          </w:p>
        </w:tc>
        <w:tc>
          <w:tcPr>
            <w:tcW w:w="1594" w:type="dxa"/>
            <w:vAlign w:val="center"/>
          </w:tcPr>
          <w:p w14:paraId="1A158195"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4.32</w:t>
            </w:r>
          </w:p>
        </w:tc>
        <w:tc>
          <w:tcPr>
            <w:tcW w:w="1595" w:type="dxa"/>
            <w:vAlign w:val="center"/>
          </w:tcPr>
          <w:p w14:paraId="4618F696"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2.78</w:t>
            </w:r>
          </w:p>
        </w:tc>
        <w:tc>
          <w:tcPr>
            <w:tcW w:w="1595" w:type="dxa"/>
            <w:vAlign w:val="center"/>
          </w:tcPr>
          <w:p w14:paraId="46B8C0F1"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1.47</w:t>
            </w:r>
          </w:p>
        </w:tc>
        <w:tc>
          <w:tcPr>
            <w:tcW w:w="1595" w:type="dxa"/>
            <w:vAlign w:val="center"/>
          </w:tcPr>
          <w:p w14:paraId="38CEBF55" w14:textId="77777777" w:rsidR="00342321" w:rsidRPr="00BC31E0" w:rsidRDefault="00342321" w:rsidP="004736F2">
            <w:pPr>
              <w:snapToGrid w:val="0"/>
              <w:spacing w:line="300" w:lineRule="atLeast"/>
              <w:jc w:val="center"/>
              <w:rPr>
                <w:rFonts w:ascii="ＭＳ ゴシック" w:eastAsia="ＭＳ ゴシック" w:hAnsi="ＭＳ ゴシック"/>
                <w:b/>
                <w:szCs w:val="20"/>
              </w:rPr>
            </w:pPr>
            <w:r w:rsidRPr="00BC31E0">
              <w:rPr>
                <w:rFonts w:ascii="ＭＳ ゴシック" w:eastAsia="ＭＳ ゴシック" w:hAnsi="ＭＳ ゴシック" w:hint="eastAsia"/>
                <w:b/>
                <w:szCs w:val="20"/>
                <w:vertAlign w:val="superscript"/>
              </w:rPr>
              <w:t>a)</w:t>
            </w:r>
          </w:p>
        </w:tc>
      </w:tr>
      <w:tr w:rsidR="00342321" w:rsidRPr="00BC31E0" w14:paraId="21E7D608" w14:textId="77777777" w:rsidTr="004736F2">
        <w:trPr>
          <w:jc w:val="center"/>
        </w:trPr>
        <w:tc>
          <w:tcPr>
            <w:tcW w:w="992" w:type="dxa"/>
            <w:vAlign w:val="center"/>
          </w:tcPr>
          <w:p w14:paraId="7E4B36CC"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0.2</w:t>
            </w:r>
          </w:p>
        </w:tc>
        <w:tc>
          <w:tcPr>
            <w:tcW w:w="1594" w:type="dxa"/>
            <w:vAlign w:val="center"/>
          </w:tcPr>
          <w:p w14:paraId="26822620"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5.51</w:t>
            </w:r>
          </w:p>
        </w:tc>
        <w:tc>
          <w:tcPr>
            <w:tcW w:w="1595" w:type="dxa"/>
            <w:vAlign w:val="center"/>
          </w:tcPr>
          <w:p w14:paraId="69FD5065"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3.62</w:t>
            </w:r>
          </w:p>
        </w:tc>
        <w:tc>
          <w:tcPr>
            <w:tcW w:w="1595" w:type="dxa"/>
            <w:vAlign w:val="center"/>
          </w:tcPr>
          <w:p w14:paraId="36022A6E"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1.97</w:t>
            </w:r>
          </w:p>
        </w:tc>
        <w:tc>
          <w:tcPr>
            <w:tcW w:w="1595" w:type="dxa"/>
            <w:vAlign w:val="center"/>
          </w:tcPr>
          <w:p w14:paraId="0C227B7B" w14:textId="77777777" w:rsidR="00342321" w:rsidRPr="00BC31E0" w:rsidRDefault="00342321" w:rsidP="004736F2">
            <w:pPr>
              <w:snapToGrid w:val="0"/>
              <w:spacing w:line="300" w:lineRule="atLeast"/>
              <w:jc w:val="center"/>
              <w:rPr>
                <w:rFonts w:ascii="Cambria Math" w:eastAsia="ＭＳ ゴシック" w:hAnsi="Cambria Math"/>
                <w:sz w:val="22"/>
                <w:szCs w:val="22"/>
              </w:rPr>
            </w:pPr>
            <w:r w:rsidRPr="00BC31E0">
              <w:rPr>
                <w:rFonts w:ascii="Cambria Math" w:eastAsia="ＭＳ ゴシック" w:hAnsi="Cambria Math"/>
                <w:sz w:val="22"/>
                <w:szCs w:val="22"/>
              </w:rPr>
              <w:t>1.18</w:t>
            </w:r>
          </w:p>
        </w:tc>
      </w:tr>
      <w:tr w:rsidR="00342321" w:rsidRPr="00BC31E0" w14:paraId="5A3FF92E" w14:textId="77777777" w:rsidTr="004736F2">
        <w:trPr>
          <w:jc w:val="center"/>
        </w:trPr>
        <w:tc>
          <w:tcPr>
            <w:tcW w:w="992" w:type="dxa"/>
            <w:vAlign w:val="center"/>
          </w:tcPr>
          <w:p w14:paraId="560ABB29"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0.3</w:t>
            </w:r>
          </w:p>
        </w:tc>
        <w:tc>
          <w:tcPr>
            <w:tcW w:w="1594" w:type="dxa"/>
            <w:vAlign w:val="center"/>
          </w:tcPr>
          <w:p w14:paraId="74BAEDF5"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7.22</w:t>
            </w:r>
          </w:p>
        </w:tc>
        <w:tc>
          <w:tcPr>
            <w:tcW w:w="1595" w:type="dxa"/>
            <w:vAlign w:val="center"/>
          </w:tcPr>
          <w:p w14:paraId="4247B695"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4.82</w:t>
            </w:r>
          </w:p>
        </w:tc>
        <w:tc>
          <w:tcPr>
            <w:tcW w:w="1595" w:type="dxa"/>
            <w:vAlign w:val="center"/>
          </w:tcPr>
          <w:p w14:paraId="54343F3B"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2.69</w:t>
            </w:r>
          </w:p>
        </w:tc>
        <w:tc>
          <w:tcPr>
            <w:tcW w:w="1595" w:type="dxa"/>
            <w:vAlign w:val="center"/>
          </w:tcPr>
          <w:p w14:paraId="736A90C0"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1.69</w:t>
            </w:r>
          </w:p>
        </w:tc>
      </w:tr>
      <w:tr w:rsidR="00342321" w:rsidRPr="00BC31E0" w14:paraId="0EF574AC" w14:textId="77777777" w:rsidTr="004736F2">
        <w:trPr>
          <w:jc w:val="center"/>
        </w:trPr>
        <w:tc>
          <w:tcPr>
            <w:tcW w:w="992" w:type="dxa"/>
            <w:vAlign w:val="center"/>
          </w:tcPr>
          <w:p w14:paraId="6347350C"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0.4</w:t>
            </w:r>
          </w:p>
        </w:tc>
        <w:tc>
          <w:tcPr>
            <w:tcW w:w="1594" w:type="dxa"/>
            <w:vAlign w:val="center"/>
          </w:tcPr>
          <w:p w14:paraId="3DCAF74F"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9.48</w:t>
            </w:r>
          </w:p>
        </w:tc>
        <w:tc>
          <w:tcPr>
            <w:tcW w:w="1595" w:type="dxa"/>
            <w:vAlign w:val="center"/>
          </w:tcPr>
          <w:p w14:paraId="2E7E6565"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6.45</w:t>
            </w:r>
          </w:p>
        </w:tc>
        <w:tc>
          <w:tcPr>
            <w:tcW w:w="1595" w:type="dxa"/>
            <w:vAlign w:val="center"/>
          </w:tcPr>
          <w:p w14:paraId="4204A969"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3.93</w:t>
            </w:r>
          </w:p>
        </w:tc>
        <w:tc>
          <w:tcPr>
            <w:tcW w:w="1595" w:type="dxa"/>
            <w:vAlign w:val="center"/>
          </w:tcPr>
          <w:p w14:paraId="47E3F331"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2.66</w:t>
            </w:r>
          </w:p>
        </w:tc>
      </w:tr>
      <w:tr w:rsidR="00342321" w:rsidRPr="00BC31E0" w14:paraId="75B94813" w14:textId="77777777" w:rsidTr="004736F2">
        <w:trPr>
          <w:jc w:val="center"/>
        </w:trPr>
        <w:tc>
          <w:tcPr>
            <w:tcW w:w="992" w:type="dxa"/>
            <w:vAlign w:val="center"/>
          </w:tcPr>
          <w:p w14:paraId="7989A41A"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0.5</w:t>
            </w:r>
          </w:p>
        </w:tc>
        <w:tc>
          <w:tcPr>
            <w:tcW w:w="1594" w:type="dxa"/>
            <w:vAlign w:val="center"/>
          </w:tcPr>
          <w:p w14:paraId="30696D70"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9.93</w:t>
            </w:r>
          </w:p>
        </w:tc>
        <w:tc>
          <w:tcPr>
            <w:tcW w:w="1595" w:type="dxa"/>
            <w:vAlign w:val="center"/>
          </w:tcPr>
          <w:p w14:paraId="57981C0E"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6.74</w:t>
            </w:r>
          </w:p>
        </w:tc>
        <w:tc>
          <w:tcPr>
            <w:tcW w:w="1595" w:type="dxa"/>
            <w:vAlign w:val="center"/>
          </w:tcPr>
          <w:p w14:paraId="01793209"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4.11</w:t>
            </w:r>
          </w:p>
        </w:tc>
        <w:tc>
          <w:tcPr>
            <w:tcW w:w="1595" w:type="dxa"/>
            <w:vAlign w:val="center"/>
          </w:tcPr>
          <w:p w14:paraId="21813ACB"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2.76</w:t>
            </w:r>
          </w:p>
        </w:tc>
      </w:tr>
    </w:tbl>
    <w:p w14:paraId="600EED6F" w14:textId="77777777" w:rsidR="00342321" w:rsidRPr="00BC31E0" w:rsidRDefault="00342321" w:rsidP="00342321">
      <w:pPr>
        <w:snapToGrid w:val="0"/>
        <w:spacing w:before="60" w:line="320" w:lineRule="atLeast"/>
        <w:ind w:left="1474" w:hanging="794"/>
        <w:jc w:val="left"/>
        <w:rPr>
          <w:szCs w:val="20"/>
        </w:rPr>
      </w:pPr>
      <w:r w:rsidRPr="00BC31E0">
        <w:rPr>
          <w:rFonts w:ascii="ＭＳ ゴシック" w:eastAsia="ＭＳ ゴシック" w:hAnsi="ＭＳ ゴシック" w:hint="eastAsia"/>
          <w:b/>
          <w:szCs w:val="20"/>
        </w:rPr>
        <w:t>注記</w:t>
      </w:r>
      <w:r w:rsidRPr="00BC31E0">
        <w:rPr>
          <w:rFonts w:ascii="ＭＳ 明朝" w:hAnsi="ＭＳ 明朝" w:hint="eastAsia"/>
          <w:szCs w:val="20"/>
        </w:rPr>
        <w:t xml:space="preserve">　</w:t>
      </w:r>
      <w:r w:rsidRPr="00BC31E0">
        <w:rPr>
          <w:rFonts w:hAnsi="ＭＳ 明朝"/>
          <w:szCs w:val="20"/>
        </w:rPr>
        <w:t>中間の</w:t>
      </w:r>
      <w:r w:rsidRPr="00BC31E0">
        <w:rPr>
          <w:rFonts w:hAnsi="ＭＳ 明朝" w:hint="eastAsia"/>
          <w:szCs w:val="20"/>
        </w:rPr>
        <w:t>内外径比</w:t>
      </w:r>
      <m:oMath>
        <m:r>
          <m:rPr>
            <m:sty m:val="p"/>
          </m:rPr>
          <w:rPr>
            <w:rFonts w:ascii="Cambria Math" w:hAnsi="Cambria Math"/>
            <w:szCs w:val="20"/>
          </w:rPr>
          <m:t xml:space="preserve"> </m:t>
        </m:r>
        <m:r>
          <w:rPr>
            <w:rFonts w:ascii="Cambria Math" w:hAnsi="Cambria Math"/>
            <w:szCs w:val="20"/>
          </w:rPr>
          <m:t>Y</m:t>
        </m:r>
        <m:r>
          <m:rPr>
            <m:sty m:val="p"/>
          </m:rPr>
          <w:rPr>
            <w:rFonts w:ascii="Cambria Math" w:hAnsi="Cambria Math"/>
            <w:szCs w:val="20"/>
          </w:rPr>
          <m:t xml:space="preserve"> </m:t>
        </m:r>
      </m:oMath>
      <w:r w:rsidRPr="00BC31E0">
        <w:rPr>
          <w:rFonts w:hAnsi="ＭＳ 明朝"/>
          <w:szCs w:val="20"/>
        </w:rPr>
        <w:t>の値及び</w:t>
      </w:r>
      <m:oMath>
        <m:f>
          <m:fPr>
            <m:type m:val="lin"/>
            <m:ctrlPr>
              <w:rPr>
                <w:rFonts w:ascii="Cambria Math" w:hAnsi="Cambria Math"/>
                <w:i/>
                <w:szCs w:val="20"/>
              </w:rPr>
            </m:ctrlPr>
          </m:fPr>
          <m:num>
            <m:r>
              <w:rPr>
                <w:rFonts w:ascii="Cambria Math" w:hAnsi="Cambria Math"/>
                <w:szCs w:val="20"/>
              </w:rPr>
              <m:t xml:space="preserve"> a</m:t>
            </m:r>
          </m:num>
          <m:den>
            <m:r>
              <w:rPr>
                <w:rFonts w:ascii="Cambria Math" w:hAnsi="Cambria Math"/>
                <w:szCs w:val="20"/>
              </w:rPr>
              <m:t xml:space="preserve">l </m:t>
            </m:r>
          </m:den>
        </m:f>
      </m:oMath>
      <w:r w:rsidRPr="00BC31E0">
        <w:rPr>
          <w:rFonts w:hAnsi="ＭＳ 明朝"/>
          <w:szCs w:val="20"/>
        </w:rPr>
        <w:t>の値に対しては，線形補間</w:t>
      </w:r>
      <w:r w:rsidRPr="00BC31E0">
        <w:rPr>
          <w:rFonts w:hAnsi="ＭＳ 明朝" w:hint="eastAsia"/>
          <w:szCs w:val="20"/>
        </w:rPr>
        <w:t>により</w:t>
      </w:r>
      <m:oMath>
        <m:r>
          <w:rPr>
            <w:rFonts w:ascii="Cambria Math" w:hAnsi="Cambria Math"/>
            <w:szCs w:val="20"/>
          </w:rPr>
          <m:t xml:space="preserve">a </m:t>
        </m:r>
      </m:oMath>
      <w:r w:rsidRPr="00BC31E0">
        <w:rPr>
          <w:rFonts w:hAnsi="ＭＳ 明朝"/>
          <w:szCs w:val="20"/>
        </w:rPr>
        <w:t>を求める。</w:t>
      </w:r>
    </w:p>
    <w:p w14:paraId="37B7AC8B" w14:textId="77777777" w:rsidR="00342321" w:rsidRPr="00BC31E0" w:rsidRDefault="00342321" w:rsidP="00342321">
      <w:pPr>
        <w:snapToGrid w:val="0"/>
        <w:spacing w:line="320" w:lineRule="atLeast"/>
        <w:ind w:left="1275" w:hanging="595"/>
        <w:jc w:val="left"/>
        <w:rPr>
          <w:szCs w:val="20"/>
        </w:rPr>
      </w:pPr>
      <w:r w:rsidRPr="00BC31E0">
        <w:rPr>
          <w:rFonts w:ascii="ＭＳ ゴシック" w:eastAsia="ＭＳ ゴシック" w:hAnsi="ＭＳ ゴシック" w:hint="eastAsia"/>
          <w:b/>
          <w:szCs w:val="20"/>
        </w:rPr>
        <w:t>注</w:t>
      </w:r>
      <w:r w:rsidRPr="00BC31E0">
        <w:rPr>
          <w:rFonts w:ascii="ＭＳ ゴシック" w:eastAsia="ＭＳ ゴシック" w:hAnsi="ＭＳ ゴシック" w:hint="eastAsia"/>
          <w:b/>
          <w:szCs w:val="20"/>
          <w:vertAlign w:val="superscript"/>
        </w:rPr>
        <w:t>a)</w:t>
      </w:r>
      <w:r w:rsidRPr="00BC31E0">
        <w:rPr>
          <w:rFonts w:ascii="ＭＳ 明朝" w:hAnsi="ＭＳ 明朝" w:hint="eastAsia"/>
          <w:szCs w:val="20"/>
        </w:rPr>
        <w:t xml:space="preserve">　</w:t>
      </w:r>
      <w:r w:rsidRPr="00BC31E0">
        <w:rPr>
          <w:szCs w:val="20"/>
        </w:rPr>
        <w:t>使用者設計仕様書</w:t>
      </w:r>
      <w:r w:rsidRPr="00BC31E0">
        <w:rPr>
          <w:rFonts w:hint="eastAsia"/>
          <w:szCs w:val="20"/>
        </w:rPr>
        <w:t>に</w:t>
      </w:r>
      <w:r w:rsidRPr="00BC31E0">
        <w:rPr>
          <w:rFonts w:ascii="ＭＳ ゴシック" w:eastAsia="ＭＳ ゴシック" w:hAnsi="ＭＳ ゴシック" w:hint="eastAsia"/>
          <w:b/>
          <w:szCs w:val="20"/>
        </w:rPr>
        <w:t>表5.2.2</w:t>
      </w:r>
      <w:r w:rsidRPr="00BC31E0">
        <w:rPr>
          <w:rFonts w:hint="eastAsia"/>
          <w:szCs w:val="20"/>
        </w:rPr>
        <w:t>よりも高い</w:t>
      </w:r>
      <w:r w:rsidRPr="00BC31E0">
        <w:rPr>
          <w:szCs w:val="20"/>
        </w:rPr>
        <w:t>要求シャルピー</w:t>
      </w:r>
      <w:r w:rsidRPr="00BC31E0">
        <w:rPr>
          <w:rFonts w:hint="eastAsia"/>
          <w:szCs w:val="20"/>
        </w:rPr>
        <w:t>衝撃</w:t>
      </w:r>
      <w:r w:rsidRPr="00BC31E0">
        <w:rPr>
          <w:szCs w:val="20"/>
        </w:rPr>
        <w:t>吸収エネルギー</w:t>
      </w:r>
      <w:r w:rsidRPr="00BC31E0">
        <w:rPr>
          <w:rFonts w:hint="eastAsia"/>
          <w:szCs w:val="20"/>
        </w:rPr>
        <w:t>が規定されている場合には，</w:t>
      </w:r>
      <w:r w:rsidRPr="00BC31E0">
        <w:rPr>
          <w:rFonts w:ascii="ＭＳ ゴシック" w:eastAsia="ＭＳ ゴシック" w:hAnsi="ＭＳ ゴシック" w:hint="eastAsia"/>
          <w:b/>
          <w:szCs w:val="20"/>
        </w:rPr>
        <w:t>9.3.6 c) 2) 2.3)</w:t>
      </w:r>
      <w:r w:rsidRPr="00BC31E0">
        <w:rPr>
          <w:rFonts w:hint="eastAsia"/>
          <w:szCs w:val="20"/>
        </w:rPr>
        <w:t>に</w:t>
      </w:r>
      <w:r w:rsidRPr="00BC31E0">
        <w:rPr>
          <w:szCs w:val="20"/>
        </w:rPr>
        <w:t>より</w:t>
      </w:r>
      <w:r w:rsidRPr="00BC31E0">
        <w:rPr>
          <w:rFonts w:hint="eastAsia"/>
          <w:szCs w:val="20"/>
        </w:rPr>
        <w:t>製作者が許容きず寸法を算出</w:t>
      </w:r>
      <w:r w:rsidR="00B9660C" w:rsidRPr="00BC31E0">
        <w:rPr>
          <w:rFonts w:hint="eastAsia"/>
          <w:szCs w:val="20"/>
        </w:rPr>
        <w:t>してもよい</w:t>
      </w:r>
      <w:r w:rsidRPr="00BC31E0">
        <w:rPr>
          <w:rFonts w:hint="eastAsia"/>
          <w:szCs w:val="20"/>
        </w:rPr>
        <w:t>。</w:t>
      </w:r>
    </w:p>
    <w:p w14:paraId="1C631595" w14:textId="77777777" w:rsidR="00342321" w:rsidRPr="00BC31E0" w:rsidRDefault="00342321" w:rsidP="005E6280">
      <w:pPr>
        <w:pStyle w:val="af4"/>
      </w:pPr>
      <w:r w:rsidRPr="00BC31E0">
        <w:rPr>
          <w:rFonts w:hint="eastAsia"/>
        </w:rPr>
        <w:lastRenderedPageBreak/>
        <w:t>表9.3.5　表面きずの許容きず寸法 (</w:t>
      </w:r>
      <m:oMath>
        <m:r>
          <m:rPr>
            <m:sty m:val="bi"/>
          </m:rPr>
          <w:rPr>
            <w:rFonts w:ascii="Cambria Math" w:hAnsi="Cambria Math"/>
            <w:sz w:val="22"/>
            <w:szCs w:val="22"/>
          </w:rPr>
          <m:t>415&lt;</m:t>
        </m:r>
        <m:sSub>
          <m:sSubPr>
            <m:ctrlPr>
              <w:rPr>
                <w:rFonts w:ascii="Cambria Math" w:hAnsi="Cambria Math"/>
                <w:i/>
                <w:sz w:val="22"/>
                <w:szCs w:val="22"/>
              </w:rPr>
            </m:ctrlPr>
          </m:sSubPr>
          <m:e>
            <m:r>
              <m:rPr>
                <m:sty m:val="bi"/>
              </m:rPr>
              <w:rPr>
                <w:rFonts w:ascii="Cambria Math" w:hAnsi="Cambria Math"/>
                <w:sz w:val="22"/>
                <w:szCs w:val="22"/>
              </w:rPr>
              <m:t>S</m:t>
            </m:r>
          </m:e>
          <m:sub>
            <m:r>
              <m:rPr>
                <m:sty m:val="bi"/>
              </m:rPr>
              <w:rPr>
                <w:rFonts w:ascii="Cambria Math" w:hAnsi="Cambria Math"/>
                <w:sz w:val="22"/>
                <w:szCs w:val="22"/>
              </w:rPr>
              <m:t>y</m:t>
            </m:r>
          </m:sub>
        </m:sSub>
        <m:r>
          <m:rPr>
            <m:sty m:val="bi"/>
          </m:rPr>
          <w:rPr>
            <w:rFonts w:ascii="Cambria Math" w:hAnsi="Cambria Math"/>
            <w:sz w:val="22"/>
            <w:szCs w:val="22"/>
          </w:rPr>
          <m:t>≦570</m:t>
        </m:r>
        <m:r>
          <m:rPr>
            <m:sty m:val="b"/>
          </m:rPr>
          <w:rPr>
            <w:rFonts w:ascii="Cambria Math" w:hAnsi="Cambria Math"/>
            <w:sz w:val="22"/>
            <w:szCs w:val="22"/>
          </w:rPr>
          <m:t xml:space="preserve"> MPa</m:t>
        </m:r>
      </m:oMath>
      <w:r w:rsidRPr="00BC31E0">
        <w:rPr>
          <w:rFonts w:hint="eastAsia"/>
        </w:rPr>
        <w:t>，溶接後熱処理</w:t>
      </w:r>
      <w:r w:rsidRPr="00BC31E0">
        <w:t>あり</w:t>
      </w:r>
      <w:r w:rsidRPr="00BC31E0">
        <w:rPr>
          <w:rFonts w:hint="eastAsia"/>
        </w:rPr>
        <w:t>)</w:t>
      </w:r>
    </w:p>
    <w:tbl>
      <w:tblPr>
        <w:tblW w:w="0" w:type="auto"/>
        <w:tblInd w:w="1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6"/>
      </w:tblGrid>
      <w:tr w:rsidR="00342321" w:rsidRPr="00BC31E0" w14:paraId="47EBB4AF" w14:textId="77777777" w:rsidTr="004736F2">
        <w:tc>
          <w:tcPr>
            <w:tcW w:w="5296" w:type="dxa"/>
          </w:tcPr>
          <w:p w14:paraId="203FBABD" w14:textId="77777777" w:rsidR="00342321" w:rsidRPr="00BC31E0" w:rsidRDefault="00342321" w:rsidP="004736F2">
            <w:pPr>
              <w:snapToGrid w:val="0"/>
              <w:spacing w:line="320" w:lineRule="atLeast"/>
              <w:jc w:val="center"/>
              <w:rPr>
                <w:i/>
                <w:szCs w:val="20"/>
              </w:rPr>
            </w:pPr>
            <m:oMathPara>
              <m:oMath>
                <m:r>
                  <w:rPr>
                    <w:rFonts w:ascii="Cambria Math" w:hAnsi="Cambria Math" w:hint="eastAsia"/>
                    <w:szCs w:val="20"/>
                  </w:rPr>
                  <m:t>13</m:t>
                </m:r>
                <m:r>
                  <w:rPr>
                    <w:rFonts w:ascii="Cambria Math" w:hAnsi="Cambria Math"/>
                    <w:szCs w:val="20"/>
                  </w:rPr>
                  <m:t>≦t&lt;</m:t>
                </m:r>
                <m:r>
                  <w:rPr>
                    <w:rFonts w:ascii="Cambria Math" w:hAnsi="Cambria Math" w:hint="eastAsia"/>
                    <w:szCs w:val="20"/>
                  </w:rPr>
                  <m:t>25</m:t>
                </m:r>
                <m:r>
                  <m:rPr>
                    <m:sty m:val="p"/>
                  </m:rPr>
                  <w:rPr>
                    <w:rFonts w:ascii="Cambria Math" w:hAnsi="Cambria Math" w:hint="eastAsia"/>
                    <w:szCs w:val="20"/>
                  </w:rPr>
                  <m:t xml:space="preserve"> mm</m:t>
                </m:r>
              </m:oMath>
            </m:oMathPara>
          </w:p>
        </w:tc>
      </w:tr>
      <w:tr w:rsidR="00342321" w:rsidRPr="00BC31E0" w14:paraId="0D096FB3" w14:textId="77777777" w:rsidTr="004736F2">
        <w:tc>
          <w:tcPr>
            <w:tcW w:w="5296" w:type="dxa"/>
          </w:tcPr>
          <w:p w14:paraId="387F771D" w14:textId="77777777" w:rsidR="00342321" w:rsidRPr="00BC31E0" w:rsidRDefault="00A51873" w:rsidP="004736F2">
            <w:pPr>
              <w:snapToGrid w:val="0"/>
              <w:spacing w:line="320" w:lineRule="atLeast"/>
              <w:jc w:val="center"/>
            </w:pPr>
            <m:oMath>
              <m:f>
                <m:fPr>
                  <m:type m:val="lin"/>
                  <m:ctrlPr>
                    <w:rPr>
                      <w:rFonts w:ascii="Cambria Math" w:hAnsi="Cambria Math"/>
                      <w:i/>
                      <w:kern w:val="0"/>
                    </w:rPr>
                  </m:ctrlPr>
                </m:fPr>
                <m:num>
                  <m:r>
                    <w:rPr>
                      <w:rFonts w:ascii="Cambria Math" w:hAnsi="Cambria Math"/>
                      <w:kern w:val="0"/>
                    </w:rPr>
                    <m:t>a</m:t>
                  </m:r>
                </m:num>
                <m:den>
                  <m:r>
                    <w:rPr>
                      <w:rFonts w:ascii="Cambria Math" w:hAnsi="Cambria Math"/>
                      <w:kern w:val="0"/>
                    </w:rPr>
                    <m:t>t</m:t>
                  </m:r>
                </m:den>
              </m:f>
              <m:r>
                <m:rPr>
                  <m:sty m:val="p"/>
                </m:rPr>
                <w:rPr>
                  <w:rFonts w:ascii="Cambria Math" w:hAnsi="Cambria Math"/>
                </w:rPr>
                <m:t>≦0.087</m:t>
              </m:r>
            </m:oMath>
            <w:r w:rsidR="00342321" w:rsidRPr="00BC31E0">
              <w:rPr>
                <w:rFonts w:hAnsi="ＭＳ 明朝"/>
              </w:rPr>
              <w:t xml:space="preserve">　</w:t>
            </w:r>
            <w:r w:rsidR="00342321" w:rsidRPr="00BC31E0">
              <w:rPr>
                <w:rFonts w:hAnsi="ＭＳ 明朝" w:hint="eastAsia"/>
              </w:rPr>
              <w:t>及</w:t>
            </w:r>
            <w:r w:rsidR="00342321" w:rsidRPr="00BC31E0">
              <w:rPr>
                <w:rFonts w:hAnsi="ＭＳ 明朝"/>
              </w:rPr>
              <w:t xml:space="preserve">び　</w:t>
            </w:r>
            <m:oMath>
              <m:r>
                <w:rPr>
                  <w:rFonts w:ascii="Cambria Math" w:hAnsi="Cambria Math"/>
                </w:rPr>
                <m:t>l</m:t>
              </m:r>
              <m:r>
                <w:rPr>
                  <w:rFonts w:ascii="Cambria Math" w:hAnsi="Cambria Math" w:hint="eastAsia"/>
                </w:rPr>
                <m:t xml:space="preserve"> </m:t>
              </m:r>
              <m:r>
                <w:rPr>
                  <w:rFonts w:ascii="Cambria Math" w:hAnsi="Cambria Math"/>
                </w:rPr>
                <m:t>≦</m:t>
              </m:r>
              <m:r>
                <w:rPr>
                  <w:rFonts w:ascii="Cambria Math" w:hAnsi="Cambria Math" w:hint="eastAsia"/>
                </w:rPr>
                <m:t>6.4</m:t>
              </m:r>
              <m:r>
                <m:rPr>
                  <m:sty m:val="p"/>
                </m:rPr>
                <w:rPr>
                  <w:rFonts w:ascii="Cambria Math" w:hAnsi="Cambria Math"/>
                </w:rPr>
                <m:t xml:space="preserve"> mm</m:t>
              </m:r>
            </m:oMath>
          </w:p>
        </w:tc>
      </w:tr>
    </w:tbl>
    <w:p w14:paraId="3E0EE98A" w14:textId="77777777" w:rsidR="00CA187B" w:rsidRPr="00BC31E0" w:rsidRDefault="00CA187B" w:rsidP="00E071EE">
      <w:pPr>
        <w:pStyle w:val="af4"/>
        <w:spacing w:line="200" w:lineRule="exact"/>
        <w:jc w:val="left"/>
      </w:pPr>
    </w:p>
    <w:p w14:paraId="5D221FDC" w14:textId="77777777" w:rsidR="00342321" w:rsidRPr="00BC31E0" w:rsidRDefault="00342321" w:rsidP="005E6280">
      <w:pPr>
        <w:pStyle w:val="af4"/>
      </w:pPr>
      <w:r w:rsidRPr="00BC31E0">
        <w:rPr>
          <w:rFonts w:hint="eastAsia"/>
        </w:rPr>
        <w:t>表9.3.6　表面きずの許容きず寸法 (</w:t>
      </w:r>
      <m:oMath>
        <m:r>
          <m:rPr>
            <m:sty m:val="bi"/>
          </m:rPr>
          <w:rPr>
            <w:rFonts w:ascii="Cambria Math" w:hAnsi="Cambria Math"/>
            <w:sz w:val="22"/>
            <w:szCs w:val="22"/>
          </w:rPr>
          <m:t>415&lt;</m:t>
        </m:r>
        <m:sSub>
          <m:sSubPr>
            <m:ctrlPr>
              <w:rPr>
                <w:rFonts w:ascii="Cambria Math" w:hAnsi="Cambria Math"/>
                <w:i/>
                <w:sz w:val="22"/>
                <w:szCs w:val="22"/>
              </w:rPr>
            </m:ctrlPr>
          </m:sSubPr>
          <m:e>
            <m:r>
              <m:rPr>
                <m:sty m:val="bi"/>
              </m:rPr>
              <w:rPr>
                <w:rFonts w:ascii="Cambria Math" w:hAnsi="Cambria Math"/>
                <w:sz w:val="22"/>
                <w:szCs w:val="22"/>
              </w:rPr>
              <m:t>S</m:t>
            </m:r>
          </m:e>
          <m:sub>
            <m:r>
              <m:rPr>
                <m:sty m:val="bi"/>
              </m:rPr>
              <w:rPr>
                <w:rFonts w:ascii="Cambria Math" w:hAnsi="Cambria Math"/>
                <w:sz w:val="22"/>
                <w:szCs w:val="22"/>
              </w:rPr>
              <m:t>y</m:t>
            </m:r>
          </m:sub>
        </m:sSub>
        <m:r>
          <m:rPr>
            <m:sty m:val="bi"/>
          </m:rPr>
          <w:rPr>
            <w:rFonts w:ascii="Cambria Math" w:hAnsi="Cambria Math"/>
            <w:sz w:val="22"/>
            <w:szCs w:val="22"/>
          </w:rPr>
          <m:t>≦570</m:t>
        </m:r>
        <m:r>
          <m:rPr>
            <m:sty m:val="b"/>
          </m:rPr>
          <w:rPr>
            <w:rFonts w:ascii="Cambria Math" w:hAnsi="Cambria Math"/>
            <w:sz w:val="22"/>
            <w:szCs w:val="22"/>
          </w:rPr>
          <m:t xml:space="preserve"> MPa</m:t>
        </m:r>
      </m:oMath>
      <w:r w:rsidRPr="00BC31E0">
        <w:rPr>
          <w:rFonts w:hint="eastAsia"/>
        </w:rPr>
        <w:t>，溶接後熱処理</w:t>
      </w:r>
      <w:r w:rsidRPr="00BC31E0">
        <w:t>あり</w:t>
      </w:r>
      <w:r w:rsidRPr="00BC31E0">
        <w:rPr>
          <w:rFonts w:hint="eastAsi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753"/>
        <w:gridCol w:w="1754"/>
        <w:gridCol w:w="1754"/>
        <w:gridCol w:w="1754"/>
      </w:tblGrid>
      <w:tr w:rsidR="00342321" w:rsidRPr="00BC31E0" w14:paraId="570AD0FB" w14:textId="77777777" w:rsidTr="004736F2">
        <w:trPr>
          <w:jc w:val="center"/>
        </w:trPr>
        <w:tc>
          <w:tcPr>
            <w:tcW w:w="992" w:type="dxa"/>
            <w:vMerge w:val="restart"/>
            <w:vAlign w:val="center"/>
          </w:tcPr>
          <w:p w14:paraId="012D14C4" w14:textId="77777777" w:rsidR="00342321" w:rsidRPr="00BC31E0" w:rsidRDefault="00A51873" w:rsidP="004736F2">
            <w:pPr>
              <w:snapToGrid w:val="0"/>
              <w:spacing w:line="300" w:lineRule="atLeast"/>
              <w:jc w:val="center"/>
              <w:rPr>
                <w:rFonts w:ascii="Times New Roman" w:hAnsi="Times New Roman"/>
                <w:i/>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l</m:t>
                    </m:r>
                  </m:den>
                </m:f>
              </m:oMath>
            </m:oMathPara>
          </w:p>
        </w:tc>
        <w:tc>
          <w:tcPr>
            <w:tcW w:w="7015" w:type="dxa"/>
            <w:gridSpan w:val="4"/>
            <w:vAlign w:val="center"/>
          </w:tcPr>
          <w:p w14:paraId="39824E83" w14:textId="77777777" w:rsidR="00342321" w:rsidRPr="00BC31E0" w:rsidRDefault="00342321" w:rsidP="004736F2">
            <w:pPr>
              <w:snapToGrid w:val="0"/>
              <w:spacing w:line="300" w:lineRule="atLeast"/>
              <w:jc w:val="center"/>
              <w:rPr>
                <w:rFonts w:ascii="Times New Roman" w:hAnsi="Times New Roman"/>
                <w:szCs w:val="20"/>
              </w:rPr>
            </w:pPr>
            <m:oMathPara>
              <m:oMath>
                <m:r>
                  <w:rPr>
                    <w:rFonts w:ascii="Cambria Math" w:hAnsi="Cambria Math" w:hint="eastAsia"/>
                    <w:szCs w:val="20"/>
                  </w:rPr>
                  <m:t>25</m:t>
                </m:r>
                <m:r>
                  <w:rPr>
                    <w:rFonts w:ascii="Cambria Math" w:hAnsi="Cambria Math"/>
                    <w:szCs w:val="20"/>
                  </w:rPr>
                  <m:t>≦t≦</m:t>
                </m:r>
                <m:r>
                  <w:rPr>
                    <w:rFonts w:ascii="Cambria Math" w:hAnsi="Cambria Math" w:hint="eastAsia"/>
                    <w:szCs w:val="20"/>
                  </w:rPr>
                  <m:t xml:space="preserve">300 </m:t>
                </m:r>
                <m:r>
                  <m:rPr>
                    <m:sty m:val="p"/>
                  </m:rPr>
                  <w:rPr>
                    <w:rFonts w:ascii="Cambria Math" w:hAnsi="Cambria Math" w:hint="eastAsia"/>
                    <w:szCs w:val="20"/>
                  </w:rPr>
                  <m:t>mm</m:t>
                </m:r>
              </m:oMath>
            </m:oMathPara>
          </w:p>
        </w:tc>
      </w:tr>
      <w:tr w:rsidR="00342321" w:rsidRPr="00BC31E0" w14:paraId="3D18C1A3" w14:textId="77777777" w:rsidTr="004736F2">
        <w:trPr>
          <w:jc w:val="center"/>
        </w:trPr>
        <w:tc>
          <w:tcPr>
            <w:tcW w:w="992" w:type="dxa"/>
            <w:vMerge/>
            <w:vAlign w:val="center"/>
          </w:tcPr>
          <w:p w14:paraId="550006DF" w14:textId="77777777" w:rsidR="00342321" w:rsidRPr="00BC31E0" w:rsidRDefault="00342321" w:rsidP="004736F2">
            <w:pPr>
              <w:snapToGrid w:val="0"/>
              <w:spacing w:line="300" w:lineRule="atLeast"/>
              <w:jc w:val="center"/>
              <w:rPr>
                <w:rFonts w:ascii="Times New Roman" w:hAnsi="Times New Roman"/>
                <w:i/>
                <w:szCs w:val="20"/>
              </w:rPr>
            </w:pPr>
          </w:p>
        </w:tc>
        <w:tc>
          <w:tcPr>
            <w:tcW w:w="1753" w:type="dxa"/>
            <w:vAlign w:val="center"/>
          </w:tcPr>
          <w:p w14:paraId="7D14831B" w14:textId="77777777" w:rsidR="00342321" w:rsidRPr="00BC31E0" w:rsidRDefault="00342321" w:rsidP="004736F2">
            <w:pPr>
              <w:snapToGrid w:val="0"/>
              <w:spacing w:line="300" w:lineRule="atLeast"/>
              <w:jc w:val="center"/>
              <w:rPr>
                <w:i/>
                <w:szCs w:val="20"/>
              </w:rPr>
            </w:pPr>
            <m:oMathPara>
              <m:oMath>
                <m:r>
                  <w:rPr>
                    <w:rFonts w:ascii="Cambria Math" w:hAnsi="Cambria Math"/>
                    <w:szCs w:val="20"/>
                  </w:rPr>
                  <m:t>Y=</m:t>
                </m:r>
                <m:r>
                  <w:rPr>
                    <w:rFonts w:ascii="Cambria Math" w:hAnsi="Cambria Math" w:hint="eastAsia"/>
                    <w:szCs w:val="20"/>
                  </w:rPr>
                  <m:t>1.2</m:t>
                </m:r>
              </m:oMath>
            </m:oMathPara>
          </w:p>
        </w:tc>
        <w:tc>
          <w:tcPr>
            <w:tcW w:w="1754" w:type="dxa"/>
            <w:vAlign w:val="center"/>
          </w:tcPr>
          <w:p w14:paraId="16F6AACE" w14:textId="77777777" w:rsidR="00342321" w:rsidRPr="00BC31E0" w:rsidRDefault="00342321" w:rsidP="004736F2">
            <w:pPr>
              <w:snapToGrid w:val="0"/>
              <w:spacing w:line="300" w:lineRule="atLeast"/>
              <w:jc w:val="center"/>
              <w:rPr>
                <w:i/>
                <w:szCs w:val="20"/>
              </w:rPr>
            </w:pPr>
            <m:oMathPara>
              <m:oMath>
                <m:r>
                  <w:rPr>
                    <w:rFonts w:ascii="Cambria Math" w:hAnsi="Cambria Math"/>
                    <w:szCs w:val="20"/>
                  </w:rPr>
                  <m:t>Y=</m:t>
                </m:r>
                <m:r>
                  <w:rPr>
                    <w:rFonts w:ascii="Cambria Math" w:hAnsi="Cambria Math" w:hint="eastAsia"/>
                    <w:szCs w:val="20"/>
                  </w:rPr>
                  <m:t>1.5</m:t>
                </m:r>
              </m:oMath>
            </m:oMathPara>
          </w:p>
        </w:tc>
        <w:tc>
          <w:tcPr>
            <w:tcW w:w="1754" w:type="dxa"/>
            <w:vAlign w:val="center"/>
          </w:tcPr>
          <w:p w14:paraId="10036E64" w14:textId="77777777" w:rsidR="00342321" w:rsidRPr="00BC31E0" w:rsidRDefault="00342321" w:rsidP="004736F2">
            <w:pPr>
              <w:snapToGrid w:val="0"/>
              <w:spacing w:line="300" w:lineRule="atLeast"/>
              <w:jc w:val="center"/>
              <w:rPr>
                <w:i/>
                <w:szCs w:val="20"/>
              </w:rPr>
            </w:pPr>
            <m:oMathPara>
              <m:oMath>
                <m:r>
                  <w:rPr>
                    <w:rFonts w:ascii="Cambria Math" w:hAnsi="Cambria Math"/>
                    <w:szCs w:val="20"/>
                  </w:rPr>
                  <m:t>Y=</m:t>
                </m:r>
                <m:r>
                  <w:rPr>
                    <w:rFonts w:ascii="Cambria Math" w:hAnsi="Cambria Math" w:hint="eastAsia"/>
                    <w:szCs w:val="20"/>
                  </w:rPr>
                  <m:t>2.0</m:t>
                </m:r>
              </m:oMath>
            </m:oMathPara>
          </w:p>
        </w:tc>
        <w:tc>
          <w:tcPr>
            <w:tcW w:w="1754" w:type="dxa"/>
            <w:vAlign w:val="center"/>
          </w:tcPr>
          <w:p w14:paraId="6EAEA5BA" w14:textId="77777777" w:rsidR="00342321" w:rsidRPr="00BC31E0" w:rsidRDefault="00342321" w:rsidP="004736F2">
            <w:pPr>
              <w:snapToGrid w:val="0"/>
              <w:spacing w:line="300" w:lineRule="atLeast"/>
              <w:jc w:val="center"/>
              <w:rPr>
                <w:i/>
                <w:szCs w:val="20"/>
              </w:rPr>
            </w:pPr>
            <m:oMathPara>
              <m:oMath>
                <m:r>
                  <w:rPr>
                    <w:rFonts w:ascii="Cambria Math" w:hAnsi="Cambria Math"/>
                    <w:szCs w:val="20"/>
                  </w:rPr>
                  <m:t>Y=</m:t>
                </m:r>
                <m:r>
                  <w:rPr>
                    <w:rFonts w:ascii="Cambria Math" w:hAnsi="Cambria Math" w:hint="eastAsia"/>
                    <w:szCs w:val="20"/>
                  </w:rPr>
                  <m:t>2.5</m:t>
                </m:r>
              </m:oMath>
            </m:oMathPara>
          </w:p>
        </w:tc>
      </w:tr>
      <w:tr w:rsidR="00342321" w:rsidRPr="00BC31E0" w14:paraId="35C4EF4A" w14:textId="77777777" w:rsidTr="004736F2">
        <w:trPr>
          <w:jc w:val="center"/>
        </w:trPr>
        <w:tc>
          <w:tcPr>
            <w:tcW w:w="992" w:type="dxa"/>
            <w:vMerge/>
            <w:vAlign w:val="center"/>
          </w:tcPr>
          <w:p w14:paraId="79C967CC" w14:textId="77777777" w:rsidR="00342321" w:rsidRPr="00BC31E0" w:rsidRDefault="00342321" w:rsidP="004736F2">
            <w:pPr>
              <w:snapToGrid w:val="0"/>
              <w:spacing w:line="300" w:lineRule="atLeast"/>
              <w:jc w:val="center"/>
              <w:rPr>
                <w:szCs w:val="20"/>
              </w:rPr>
            </w:pPr>
          </w:p>
        </w:tc>
        <w:tc>
          <w:tcPr>
            <w:tcW w:w="1753" w:type="dxa"/>
            <w:vAlign w:val="center"/>
          </w:tcPr>
          <w:p w14:paraId="3E9FF84B" w14:textId="77777777" w:rsidR="00342321" w:rsidRPr="00BC31E0" w:rsidRDefault="00A51873" w:rsidP="004736F2">
            <w:pPr>
              <w:snapToGrid w:val="0"/>
              <w:spacing w:line="300" w:lineRule="atLeast"/>
              <w:jc w:val="center"/>
              <w:rPr>
                <w:rFonts w:ascii="Times New Roman" w:hAnsi="Times New Roman"/>
                <w:i/>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t</m:t>
                    </m:r>
                  </m:den>
                </m:f>
              </m:oMath>
            </m:oMathPara>
          </w:p>
        </w:tc>
        <w:tc>
          <w:tcPr>
            <w:tcW w:w="1754" w:type="dxa"/>
            <w:vAlign w:val="center"/>
          </w:tcPr>
          <w:p w14:paraId="1A052067" w14:textId="77777777" w:rsidR="00342321" w:rsidRPr="00BC31E0" w:rsidRDefault="00A51873" w:rsidP="004736F2">
            <w:pPr>
              <w:snapToGrid w:val="0"/>
              <w:spacing w:line="300" w:lineRule="atLeast"/>
              <w:jc w:val="center"/>
              <w:rPr>
                <w:rFonts w:ascii="Times New Roman" w:hAnsi="Times New Roman"/>
                <w:i/>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t</m:t>
                    </m:r>
                  </m:den>
                </m:f>
              </m:oMath>
            </m:oMathPara>
          </w:p>
        </w:tc>
        <w:tc>
          <w:tcPr>
            <w:tcW w:w="1754" w:type="dxa"/>
            <w:vAlign w:val="center"/>
          </w:tcPr>
          <w:p w14:paraId="51B8CA03" w14:textId="77777777" w:rsidR="00342321" w:rsidRPr="00BC31E0" w:rsidRDefault="00A51873" w:rsidP="004736F2">
            <w:pPr>
              <w:snapToGrid w:val="0"/>
              <w:spacing w:line="300" w:lineRule="atLeast"/>
              <w:jc w:val="center"/>
              <w:rPr>
                <w:rFonts w:ascii="Times New Roman" w:hAnsi="Times New Roman"/>
                <w:i/>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t</m:t>
                    </m:r>
                  </m:den>
                </m:f>
              </m:oMath>
            </m:oMathPara>
          </w:p>
        </w:tc>
        <w:tc>
          <w:tcPr>
            <w:tcW w:w="1754" w:type="dxa"/>
            <w:vAlign w:val="center"/>
          </w:tcPr>
          <w:p w14:paraId="392AB094" w14:textId="77777777" w:rsidR="00342321" w:rsidRPr="00BC31E0" w:rsidRDefault="00A51873" w:rsidP="004736F2">
            <w:pPr>
              <w:snapToGrid w:val="0"/>
              <w:spacing w:line="300" w:lineRule="atLeast"/>
              <w:jc w:val="center"/>
              <w:rPr>
                <w:rFonts w:ascii="Times New Roman" w:hAnsi="Times New Roman"/>
                <w:i/>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t</m:t>
                    </m:r>
                  </m:den>
                </m:f>
              </m:oMath>
            </m:oMathPara>
          </w:p>
        </w:tc>
      </w:tr>
      <w:tr w:rsidR="00342321" w:rsidRPr="00BC31E0" w14:paraId="2D0B3F21" w14:textId="77777777" w:rsidTr="004736F2">
        <w:trPr>
          <w:jc w:val="center"/>
        </w:trPr>
        <w:tc>
          <w:tcPr>
            <w:tcW w:w="992" w:type="dxa"/>
            <w:vAlign w:val="center"/>
          </w:tcPr>
          <w:p w14:paraId="5F1CB556"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0.0</w:t>
            </w:r>
          </w:p>
        </w:tc>
        <w:tc>
          <w:tcPr>
            <w:tcW w:w="1753" w:type="dxa"/>
            <w:vAlign w:val="center"/>
          </w:tcPr>
          <w:p w14:paraId="6B657AB5"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3.01 </m:t>
                </m:r>
                <m:sSup>
                  <m:sSupPr>
                    <m:ctrlPr>
                      <w:rPr>
                        <w:rFonts w:ascii="Cambria Math" w:hAnsi="Cambria Math"/>
                        <w:i/>
                        <w:sz w:val="22"/>
                        <w:szCs w:val="22"/>
                      </w:rPr>
                    </m:ctrlPr>
                  </m:sSupPr>
                  <m:e>
                    <m:r>
                      <w:rPr>
                        <w:rFonts w:ascii="Cambria Math" w:hAnsi="Cambria Math"/>
                        <w:sz w:val="22"/>
                        <w:szCs w:val="22"/>
                      </w:rPr>
                      <m:t>t</m:t>
                    </m:r>
                  </m:e>
                  <m:sup>
                    <m:r>
                      <w:rPr>
                        <w:rFonts w:ascii="Cambria Math" w:hAnsi="Cambria Math"/>
                        <w:sz w:val="22"/>
                        <w:szCs w:val="22"/>
                        <w:vertAlign w:val="superscript"/>
                      </w:rPr>
                      <m:t>-0.929</m:t>
                    </m:r>
                  </m:sup>
                </m:sSup>
              </m:oMath>
            </m:oMathPara>
          </w:p>
        </w:tc>
        <w:tc>
          <w:tcPr>
            <w:tcW w:w="1754" w:type="dxa"/>
            <w:vAlign w:val="center"/>
          </w:tcPr>
          <w:p w14:paraId="2F21631F"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2.63 </m:t>
                </m:r>
                <m:sSup>
                  <m:sSupPr>
                    <m:ctrlPr>
                      <w:rPr>
                        <w:rFonts w:ascii="Cambria Math" w:hAnsi="Cambria Math"/>
                        <w:i/>
                        <w:sz w:val="22"/>
                        <w:szCs w:val="22"/>
                      </w:rPr>
                    </m:ctrlPr>
                  </m:sSupPr>
                  <m:e>
                    <m:r>
                      <w:rPr>
                        <w:rFonts w:ascii="Cambria Math" w:hAnsi="Cambria Math"/>
                        <w:sz w:val="22"/>
                        <w:szCs w:val="22"/>
                      </w:rPr>
                      <m:t>t</m:t>
                    </m:r>
                  </m:e>
                  <m:sup>
                    <m:r>
                      <w:rPr>
                        <w:rFonts w:ascii="Cambria Math" w:hAnsi="Cambria Math"/>
                        <w:sz w:val="22"/>
                        <w:szCs w:val="22"/>
                        <w:vertAlign w:val="superscript"/>
                      </w:rPr>
                      <m:t>-0.987</m:t>
                    </m:r>
                  </m:sup>
                </m:sSup>
              </m:oMath>
            </m:oMathPara>
          </w:p>
        </w:tc>
        <w:tc>
          <w:tcPr>
            <w:tcW w:w="1754" w:type="dxa"/>
            <w:vAlign w:val="center"/>
          </w:tcPr>
          <w:p w14:paraId="2EE46F5C"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1.81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-1.05</m:t>
                    </m:r>
                  </m:sup>
                </m:sSup>
              </m:oMath>
            </m:oMathPara>
          </w:p>
        </w:tc>
        <w:tc>
          <w:tcPr>
            <w:tcW w:w="1754" w:type="dxa"/>
            <w:vAlign w:val="center"/>
          </w:tcPr>
          <w:p w14:paraId="0C90E0C3"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1.07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-1.08</m:t>
                    </m:r>
                  </m:sup>
                </m:sSup>
              </m:oMath>
            </m:oMathPara>
          </w:p>
        </w:tc>
      </w:tr>
      <w:tr w:rsidR="00342321" w:rsidRPr="00BC31E0" w14:paraId="53C310D7" w14:textId="77777777" w:rsidTr="004736F2">
        <w:trPr>
          <w:jc w:val="center"/>
        </w:trPr>
        <w:tc>
          <w:tcPr>
            <w:tcW w:w="992" w:type="dxa"/>
            <w:vAlign w:val="center"/>
          </w:tcPr>
          <w:p w14:paraId="2381A7DC"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0.1</w:t>
            </w:r>
          </w:p>
        </w:tc>
        <w:tc>
          <w:tcPr>
            <w:tcW w:w="1753" w:type="dxa"/>
            <w:vAlign w:val="center"/>
          </w:tcPr>
          <w:p w14:paraId="401178B7"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3.16 </m:t>
                </m:r>
                <m:sSup>
                  <m:sSupPr>
                    <m:ctrlPr>
                      <w:rPr>
                        <w:rFonts w:ascii="Cambria Math" w:hAnsi="Cambria Math"/>
                        <w:i/>
                        <w:sz w:val="22"/>
                        <w:szCs w:val="22"/>
                      </w:rPr>
                    </m:ctrlPr>
                  </m:sSupPr>
                  <m:e>
                    <m:r>
                      <w:rPr>
                        <w:rFonts w:ascii="Cambria Math" w:hAnsi="Cambria Math"/>
                        <w:sz w:val="22"/>
                        <w:szCs w:val="22"/>
                      </w:rPr>
                      <m:t>t</m:t>
                    </m:r>
                  </m:e>
                  <m:sup>
                    <m:r>
                      <w:rPr>
                        <w:rFonts w:ascii="Cambria Math" w:hAnsi="Cambria Math"/>
                        <w:sz w:val="22"/>
                        <w:szCs w:val="22"/>
                        <w:vertAlign w:val="superscript"/>
                      </w:rPr>
                      <m:t>-0.915</m:t>
                    </m:r>
                  </m:sup>
                </m:sSup>
              </m:oMath>
            </m:oMathPara>
          </w:p>
        </w:tc>
        <w:tc>
          <w:tcPr>
            <w:tcW w:w="1754" w:type="dxa"/>
            <w:vAlign w:val="center"/>
          </w:tcPr>
          <w:p w14:paraId="7950DD7E"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2.81 </m:t>
                </m:r>
                <m:sSup>
                  <m:sSupPr>
                    <m:ctrlPr>
                      <w:rPr>
                        <w:rFonts w:ascii="Cambria Math" w:hAnsi="Cambria Math"/>
                        <w:i/>
                        <w:sz w:val="22"/>
                        <w:szCs w:val="22"/>
                      </w:rPr>
                    </m:ctrlPr>
                  </m:sSupPr>
                  <m:e>
                    <m:r>
                      <w:rPr>
                        <w:rFonts w:ascii="Cambria Math" w:hAnsi="Cambria Math"/>
                        <w:sz w:val="22"/>
                        <w:szCs w:val="22"/>
                      </w:rPr>
                      <m:t>t</m:t>
                    </m:r>
                  </m:e>
                  <m:sup>
                    <m:r>
                      <w:rPr>
                        <w:rFonts w:ascii="Cambria Math" w:hAnsi="Cambria Math"/>
                        <w:sz w:val="22"/>
                        <w:szCs w:val="22"/>
                        <w:vertAlign w:val="superscript"/>
                      </w:rPr>
                      <m:t>-0.974</m:t>
                    </m:r>
                  </m:sup>
                </m:sSup>
              </m:oMath>
            </m:oMathPara>
          </w:p>
        </w:tc>
        <w:tc>
          <w:tcPr>
            <w:tcW w:w="1754" w:type="dxa"/>
            <w:vAlign w:val="center"/>
          </w:tcPr>
          <w:p w14:paraId="2E4E22E3"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2.06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-1.03</m:t>
                    </m:r>
                  </m:sup>
                </m:sSup>
              </m:oMath>
            </m:oMathPara>
          </w:p>
        </w:tc>
        <w:tc>
          <w:tcPr>
            <w:tcW w:w="1754" w:type="dxa"/>
            <w:vAlign w:val="center"/>
          </w:tcPr>
          <w:p w14:paraId="069D188A"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1.34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-1.07</m:t>
                    </m:r>
                  </m:sup>
                </m:sSup>
              </m:oMath>
            </m:oMathPara>
          </w:p>
        </w:tc>
      </w:tr>
      <w:tr w:rsidR="00342321" w:rsidRPr="00BC31E0" w14:paraId="3C3F7669" w14:textId="77777777" w:rsidTr="004736F2">
        <w:trPr>
          <w:jc w:val="center"/>
        </w:trPr>
        <w:tc>
          <w:tcPr>
            <w:tcW w:w="992" w:type="dxa"/>
            <w:vAlign w:val="center"/>
          </w:tcPr>
          <w:p w14:paraId="7D69F679"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0.2</w:t>
            </w:r>
          </w:p>
        </w:tc>
        <w:tc>
          <w:tcPr>
            <w:tcW w:w="1753" w:type="dxa"/>
            <w:vAlign w:val="center"/>
          </w:tcPr>
          <w:p w14:paraId="65216F26"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4.78 </m:t>
                </m:r>
                <m:sSup>
                  <m:sSupPr>
                    <m:ctrlPr>
                      <w:rPr>
                        <w:rFonts w:ascii="Cambria Math" w:hAnsi="Cambria Math"/>
                        <w:i/>
                        <w:sz w:val="22"/>
                        <w:szCs w:val="22"/>
                      </w:rPr>
                    </m:ctrlPr>
                  </m:sSupPr>
                  <m:e>
                    <m:r>
                      <w:rPr>
                        <w:rFonts w:ascii="Cambria Math" w:hAnsi="Cambria Math"/>
                        <w:sz w:val="22"/>
                        <w:szCs w:val="22"/>
                      </w:rPr>
                      <m:t>t</m:t>
                    </m:r>
                  </m:e>
                  <m:sup>
                    <m:r>
                      <w:rPr>
                        <w:rFonts w:ascii="Cambria Math" w:hAnsi="Cambria Math"/>
                        <w:sz w:val="22"/>
                        <w:szCs w:val="22"/>
                        <w:vertAlign w:val="superscript"/>
                      </w:rPr>
                      <m:t>-0.945</m:t>
                    </m:r>
                  </m:sup>
                </m:sSup>
              </m:oMath>
            </m:oMathPara>
          </w:p>
        </w:tc>
        <w:tc>
          <w:tcPr>
            <w:tcW w:w="1754" w:type="dxa"/>
            <w:vAlign w:val="center"/>
          </w:tcPr>
          <w:p w14:paraId="4EB1F3EC"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4.28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-1.00</m:t>
                    </m:r>
                  </m:sup>
                </m:sSup>
              </m:oMath>
            </m:oMathPara>
          </w:p>
        </w:tc>
        <w:tc>
          <w:tcPr>
            <w:tcW w:w="1754" w:type="dxa"/>
            <w:vAlign w:val="center"/>
          </w:tcPr>
          <w:p w14:paraId="1BE78CE3"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3.18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-1.06</m:t>
                    </m:r>
                  </m:sup>
                </m:sSup>
              </m:oMath>
            </m:oMathPara>
          </w:p>
        </w:tc>
        <w:tc>
          <w:tcPr>
            <w:tcW w:w="1754" w:type="dxa"/>
            <w:vAlign w:val="center"/>
          </w:tcPr>
          <w:p w14:paraId="1D14A660"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2.24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-1.09</m:t>
                    </m:r>
                  </m:sup>
                </m:sSup>
              </m:oMath>
            </m:oMathPara>
          </w:p>
        </w:tc>
      </w:tr>
      <w:tr w:rsidR="00342321" w:rsidRPr="00BC31E0" w14:paraId="48D7DA42" w14:textId="77777777" w:rsidTr="004736F2">
        <w:trPr>
          <w:jc w:val="center"/>
        </w:trPr>
        <w:tc>
          <w:tcPr>
            <w:tcW w:w="992" w:type="dxa"/>
            <w:vAlign w:val="center"/>
          </w:tcPr>
          <w:p w14:paraId="69AE6333"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0.3</w:t>
            </w:r>
          </w:p>
        </w:tc>
        <w:tc>
          <w:tcPr>
            <w:tcW w:w="1753" w:type="dxa"/>
            <w:vAlign w:val="center"/>
          </w:tcPr>
          <w:p w14:paraId="62207930"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6.89 </m:t>
                </m:r>
                <m:sSup>
                  <m:sSupPr>
                    <m:ctrlPr>
                      <w:rPr>
                        <w:rFonts w:ascii="Cambria Math" w:hAnsi="Cambria Math"/>
                        <w:i/>
                        <w:sz w:val="22"/>
                        <w:szCs w:val="22"/>
                      </w:rPr>
                    </m:ctrlPr>
                  </m:sSupPr>
                  <m:e>
                    <m:r>
                      <w:rPr>
                        <w:rFonts w:ascii="Cambria Math" w:hAnsi="Cambria Math"/>
                        <w:sz w:val="22"/>
                        <w:szCs w:val="22"/>
                      </w:rPr>
                      <m:t>t</m:t>
                    </m:r>
                  </m:e>
                  <m:sup>
                    <m:r>
                      <w:rPr>
                        <w:rFonts w:ascii="Cambria Math" w:hAnsi="Cambria Math"/>
                        <w:sz w:val="22"/>
                        <w:szCs w:val="22"/>
                        <w:vertAlign w:val="superscript"/>
                      </w:rPr>
                      <m:t>-0.961</m:t>
                    </m:r>
                  </m:sup>
                </m:sSup>
              </m:oMath>
            </m:oMathPara>
          </w:p>
        </w:tc>
        <w:tc>
          <w:tcPr>
            <w:tcW w:w="1754" w:type="dxa"/>
            <w:vAlign w:val="center"/>
          </w:tcPr>
          <w:p w14:paraId="12D6023A"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6.37</m:t>
                </m:r>
                <m:sSup>
                  <m:sSupPr>
                    <m:ctrlPr>
                      <w:rPr>
                        <w:rFonts w:ascii="Cambria Math" w:hAnsi="Cambria Math"/>
                        <w:i/>
                        <w:sz w:val="22"/>
                        <w:szCs w:val="22"/>
                      </w:rPr>
                    </m:ctrlPr>
                  </m:sSupPr>
                  <m:e>
                    <m:r>
                      <w:rPr>
                        <w:rFonts w:ascii="Cambria Math" w:hAnsi="Cambria Math"/>
                        <w:sz w:val="22"/>
                        <w:szCs w:val="22"/>
                      </w:rPr>
                      <m:t xml:space="preserve"> t</m:t>
                    </m:r>
                  </m:e>
                  <m:sup>
                    <m:r>
                      <w:rPr>
                        <w:rFonts w:ascii="Cambria Math" w:hAnsi="Cambria Math"/>
                        <w:sz w:val="22"/>
                        <w:szCs w:val="22"/>
                        <w:vertAlign w:val="superscript"/>
                      </w:rPr>
                      <m:t>-1.02</m:t>
                    </m:r>
                  </m:sup>
                </m:sSup>
              </m:oMath>
            </m:oMathPara>
          </w:p>
        </w:tc>
        <w:tc>
          <w:tcPr>
            <w:tcW w:w="1754" w:type="dxa"/>
            <w:vAlign w:val="center"/>
          </w:tcPr>
          <w:p w14:paraId="3720321A"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4.97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-1.08</m:t>
                    </m:r>
                  </m:sup>
                </m:sSup>
              </m:oMath>
            </m:oMathPara>
          </w:p>
        </w:tc>
        <w:tc>
          <w:tcPr>
            <w:tcW w:w="1754" w:type="dxa"/>
            <w:vAlign w:val="center"/>
          </w:tcPr>
          <w:p w14:paraId="692EF0C6"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3.81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-1.12</m:t>
                    </m:r>
                  </m:sup>
                </m:sSup>
              </m:oMath>
            </m:oMathPara>
          </w:p>
        </w:tc>
      </w:tr>
      <w:tr w:rsidR="00342321" w:rsidRPr="00BC31E0" w14:paraId="1C6663B5" w14:textId="77777777" w:rsidTr="004736F2">
        <w:trPr>
          <w:jc w:val="center"/>
        </w:trPr>
        <w:tc>
          <w:tcPr>
            <w:tcW w:w="992" w:type="dxa"/>
            <w:vAlign w:val="center"/>
          </w:tcPr>
          <w:p w14:paraId="1BDCF942"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0.4</w:t>
            </w:r>
          </w:p>
        </w:tc>
        <w:tc>
          <w:tcPr>
            <w:tcW w:w="1753" w:type="dxa"/>
            <w:vAlign w:val="center"/>
          </w:tcPr>
          <w:p w14:paraId="0753264E"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6.14 </m:t>
                </m:r>
                <m:sSup>
                  <m:sSupPr>
                    <m:ctrlPr>
                      <w:rPr>
                        <w:rFonts w:ascii="Cambria Math" w:hAnsi="Cambria Math"/>
                        <w:i/>
                        <w:sz w:val="22"/>
                        <w:szCs w:val="22"/>
                      </w:rPr>
                    </m:ctrlPr>
                  </m:sSupPr>
                  <m:e>
                    <m:r>
                      <w:rPr>
                        <w:rFonts w:ascii="Cambria Math" w:hAnsi="Cambria Math"/>
                        <w:sz w:val="22"/>
                        <w:szCs w:val="22"/>
                      </w:rPr>
                      <m:t>t</m:t>
                    </m:r>
                  </m:e>
                  <m:sup>
                    <m:r>
                      <w:rPr>
                        <w:rFonts w:ascii="Cambria Math" w:hAnsi="Cambria Math"/>
                        <w:sz w:val="22"/>
                        <w:szCs w:val="22"/>
                        <w:vertAlign w:val="superscript"/>
                      </w:rPr>
                      <m:t>-0.893</m:t>
                    </m:r>
                  </m:sup>
                </m:sSup>
                <m:r>
                  <w:rPr>
                    <w:rFonts w:ascii="Cambria Math" w:hAnsi="Cambria Math"/>
                    <w:sz w:val="22"/>
                    <w:szCs w:val="22"/>
                  </w:rPr>
                  <m:t xml:space="preserve"> </m:t>
                </m:r>
              </m:oMath>
            </m:oMathPara>
          </w:p>
        </w:tc>
        <w:tc>
          <w:tcPr>
            <w:tcW w:w="1754" w:type="dxa"/>
            <w:vAlign w:val="center"/>
          </w:tcPr>
          <w:p w14:paraId="1BF14333"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5.61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-0.945</m:t>
                    </m:r>
                  </m:sup>
                </m:sSup>
              </m:oMath>
            </m:oMathPara>
          </w:p>
        </w:tc>
        <w:tc>
          <w:tcPr>
            <w:tcW w:w="1754" w:type="dxa"/>
            <w:vAlign w:val="center"/>
          </w:tcPr>
          <w:p w14:paraId="11ABAC3C"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4.52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-0.995</m:t>
                    </m:r>
                  </m:sup>
                </m:sSup>
              </m:oMath>
            </m:oMathPara>
          </w:p>
        </w:tc>
        <w:tc>
          <w:tcPr>
            <w:tcW w:w="1754" w:type="dxa"/>
            <w:vAlign w:val="center"/>
          </w:tcPr>
          <w:p w14:paraId="01FB2FD3"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3.54</m:t>
                </m:r>
                <m:sSup>
                  <m:sSupPr>
                    <m:ctrlPr>
                      <w:rPr>
                        <w:rFonts w:ascii="Cambria Math" w:hAnsi="Cambria Math"/>
                        <w:i/>
                        <w:sz w:val="22"/>
                        <w:szCs w:val="22"/>
                      </w:rPr>
                    </m:ctrlPr>
                  </m:sSupPr>
                  <m:e>
                    <m:r>
                      <w:rPr>
                        <w:rFonts w:ascii="Cambria Math" w:hAnsi="Cambria Math"/>
                        <w:sz w:val="22"/>
                        <w:szCs w:val="22"/>
                      </w:rPr>
                      <m:t xml:space="preserve"> t </m:t>
                    </m:r>
                  </m:e>
                  <m:sup>
                    <m:r>
                      <w:rPr>
                        <w:rFonts w:ascii="Cambria Math" w:hAnsi="Cambria Math"/>
                        <w:sz w:val="22"/>
                        <w:szCs w:val="22"/>
                        <w:vertAlign w:val="superscript"/>
                      </w:rPr>
                      <m:t>-1.02</m:t>
                    </m:r>
                  </m:sup>
                </m:sSup>
              </m:oMath>
            </m:oMathPara>
          </w:p>
        </w:tc>
      </w:tr>
      <w:tr w:rsidR="00342321" w:rsidRPr="00BC31E0" w14:paraId="4A7ABBD1" w14:textId="77777777" w:rsidTr="004736F2">
        <w:trPr>
          <w:jc w:val="center"/>
        </w:trPr>
        <w:tc>
          <w:tcPr>
            <w:tcW w:w="992" w:type="dxa"/>
            <w:vAlign w:val="center"/>
          </w:tcPr>
          <w:p w14:paraId="1F0BD71F"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0.5</w:t>
            </w:r>
          </w:p>
        </w:tc>
        <w:tc>
          <w:tcPr>
            <w:tcW w:w="1753" w:type="dxa"/>
            <w:vAlign w:val="center"/>
          </w:tcPr>
          <w:p w14:paraId="24488BDE"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6.59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-0.898</m:t>
                    </m:r>
                  </m:sup>
                </m:sSup>
              </m:oMath>
            </m:oMathPara>
          </w:p>
        </w:tc>
        <w:tc>
          <w:tcPr>
            <w:tcW w:w="1754" w:type="dxa"/>
            <w:vAlign w:val="center"/>
          </w:tcPr>
          <w:p w14:paraId="0E2A81B1"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5.94 </m:t>
                </m:r>
                <m:sSup>
                  <m:sSupPr>
                    <m:ctrlPr>
                      <w:rPr>
                        <w:rFonts w:ascii="Cambria Math" w:hAnsi="Cambria Math"/>
                        <w:i/>
                        <w:sz w:val="22"/>
                        <w:szCs w:val="22"/>
                      </w:rPr>
                    </m:ctrlPr>
                  </m:sSupPr>
                  <m:e>
                    <m:r>
                      <w:rPr>
                        <w:rFonts w:ascii="Cambria Math" w:hAnsi="Cambria Math"/>
                        <w:sz w:val="22"/>
                        <w:szCs w:val="22"/>
                      </w:rPr>
                      <m:t>t</m:t>
                    </m:r>
                  </m:e>
                  <m:sup>
                    <m:r>
                      <w:rPr>
                        <w:rFonts w:ascii="Cambria Math" w:hAnsi="Cambria Math"/>
                        <w:sz w:val="22"/>
                        <w:szCs w:val="22"/>
                        <w:vertAlign w:val="superscript"/>
                      </w:rPr>
                      <m:t>-0.948</m:t>
                    </m:r>
                  </m:sup>
                </m:sSup>
              </m:oMath>
            </m:oMathPara>
          </w:p>
        </w:tc>
        <w:tc>
          <w:tcPr>
            <w:tcW w:w="1754" w:type="dxa"/>
            <w:vAlign w:val="center"/>
          </w:tcPr>
          <w:p w14:paraId="0FBE2611"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4.68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-0.994</m:t>
                    </m:r>
                  </m:sup>
                </m:sSup>
              </m:oMath>
            </m:oMathPara>
          </w:p>
        </w:tc>
        <w:tc>
          <w:tcPr>
            <w:tcW w:w="1754" w:type="dxa"/>
            <w:vAlign w:val="center"/>
          </w:tcPr>
          <w:p w14:paraId="0CC70796"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3.56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-1.02</m:t>
                    </m:r>
                  </m:sup>
                </m:sSup>
              </m:oMath>
            </m:oMathPara>
          </w:p>
        </w:tc>
      </w:tr>
    </w:tbl>
    <w:p w14:paraId="61840ED9" w14:textId="77777777" w:rsidR="00342321" w:rsidRPr="00BC31E0" w:rsidRDefault="00342321" w:rsidP="00342321">
      <w:pPr>
        <w:snapToGrid w:val="0"/>
        <w:spacing w:before="60" w:after="60" w:line="300" w:lineRule="atLeast"/>
        <w:ind w:left="1474" w:hanging="794"/>
        <w:jc w:val="left"/>
        <w:rPr>
          <w:kern w:val="0"/>
          <w:szCs w:val="20"/>
        </w:rPr>
      </w:pPr>
      <w:r w:rsidRPr="00BC31E0">
        <w:rPr>
          <w:rFonts w:ascii="ＭＳ ゴシック" w:eastAsia="ＭＳ ゴシック" w:hAnsi="ＭＳ ゴシック" w:hint="eastAsia"/>
          <w:b/>
          <w:szCs w:val="20"/>
        </w:rPr>
        <w:t>注記</w:t>
      </w:r>
      <w:r w:rsidRPr="00BC31E0">
        <w:rPr>
          <w:rFonts w:ascii="ＭＳ ゴシック" w:eastAsia="ＭＳ ゴシック" w:hAnsi="ＭＳ ゴシック" w:cs="Tahoma"/>
          <w:b/>
          <w:szCs w:val="20"/>
        </w:rPr>
        <w:t>1</w:t>
      </w:r>
      <w:r w:rsidRPr="00BC31E0">
        <w:rPr>
          <w:rFonts w:ascii="ＭＳ 明朝" w:hAnsi="ＭＳ 明朝" w:cs="Tahoma" w:hint="eastAsia"/>
          <w:b/>
          <w:szCs w:val="20"/>
        </w:rPr>
        <w:t xml:space="preserve">　</w:t>
      </w:r>
      <m:oMath>
        <m:f>
          <m:fPr>
            <m:type m:val="lin"/>
            <m:ctrlPr>
              <w:rPr>
                <w:rFonts w:ascii="Cambria Math" w:hAnsi="Cambria Math"/>
                <w:i/>
                <w:kern w:val="0"/>
                <w:szCs w:val="20"/>
              </w:rPr>
            </m:ctrlPr>
          </m:fPr>
          <m:num>
            <m:r>
              <w:rPr>
                <w:rFonts w:ascii="Cambria Math" w:hAnsi="Cambria Math"/>
                <w:kern w:val="0"/>
                <w:szCs w:val="20"/>
              </w:rPr>
              <m:t>a</m:t>
            </m:r>
          </m:num>
          <m:den>
            <m:r>
              <w:rPr>
                <w:rFonts w:ascii="Cambria Math" w:hAnsi="Cambria Math"/>
                <w:kern w:val="0"/>
                <w:szCs w:val="20"/>
              </w:rPr>
              <m:t xml:space="preserve">t </m:t>
            </m:r>
          </m:den>
        </m:f>
      </m:oMath>
      <w:r w:rsidRPr="00BC31E0">
        <w:rPr>
          <w:rFonts w:hAnsi="ＭＳ 明朝"/>
          <w:kern w:val="0"/>
          <w:szCs w:val="20"/>
        </w:rPr>
        <w:t>の値</w:t>
      </w:r>
      <w:r w:rsidRPr="00BC31E0">
        <w:rPr>
          <w:rFonts w:hAnsi="ＭＳ 明朝" w:hint="eastAsia"/>
          <w:kern w:val="0"/>
          <w:szCs w:val="20"/>
        </w:rPr>
        <w:t>は次の表の値を最大とする</w:t>
      </w:r>
      <w:r w:rsidRPr="00BC31E0">
        <w:rPr>
          <w:rFonts w:hAnsi="ＭＳ 明朝"/>
          <w:kern w:val="0"/>
          <w:szCs w:val="20"/>
        </w:rPr>
        <w:t>。</w:t>
      </w:r>
      <w:r w:rsidRPr="00BC31E0">
        <w:rPr>
          <w:rFonts w:hAnsi="ＭＳ 明朝" w:hint="eastAsia"/>
          <w:kern w:val="0"/>
          <w:szCs w:val="20"/>
        </w:rPr>
        <w:t>なお，中間の</w:t>
      </w:r>
      <m:oMath>
        <m:f>
          <m:fPr>
            <m:type m:val="lin"/>
            <m:ctrlPr>
              <w:rPr>
                <w:rFonts w:ascii="Cambria Math" w:hAnsi="Cambria Math"/>
                <w:i/>
                <w:kern w:val="0"/>
                <w:szCs w:val="20"/>
              </w:rPr>
            </m:ctrlPr>
          </m:fPr>
          <m:num>
            <m:r>
              <w:rPr>
                <w:rFonts w:ascii="Cambria Math" w:hAnsi="Cambria Math"/>
                <w:kern w:val="0"/>
                <w:szCs w:val="20"/>
              </w:rPr>
              <m:t xml:space="preserve"> a</m:t>
            </m:r>
          </m:num>
          <m:den>
            <m:r>
              <w:rPr>
                <w:rFonts w:ascii="Cambria Math" w:hAnsi="Cambria Math"/>
                <w:kern w:val="0"/>
                <w:szCs w:val="20"/>
              </w:rPr>
              <m:t>l</m:t>
            </m:r>
          </m:den>
        </m:f>
        <m:r>
          <w:rPr>
            <w:rFonts w:ascii="Cambria Math" w:hAnsi="Cambria Math"/>
            <w:kern w:val="0"/>
            <w:szCs w:val="20"/>
          </w:rPr>
          <m:t xml:space="preserve"> </m:t>
        </m:r>
      </m:oMath>
      <w:r w:rsidRPr="00BC31E0">
        <w:rPr>
          <w:rFonts w:hAnsi="ＭＳ 明朝" w:hint="eastAsia"/>
          <w:kern w:val="0"/>
          <w:szCs w:val="20"/>
        </w:rPr>
        <w:t>の値に対して，及び</w:t>
      </w:r>
      <m:oMath>
        <m:r>
          <w:rPr>
            <w:rFonts w:ascii="Cambria Math" w:hAnsi="Cambria Math"/>
            <w:kern w:val="0"/>
            <w:szCs w:val="20"/>
          </w:rPr>
          <m:t>6</m:t>
        </m:r>
        <m:r>
          <w:rPr>
            <w:rFonts w:ascii="Cambria Math" w:hAnsi="Cambria Math" w:hint="eastAsia"/>
            <w:kern w:val="0"/>
            <w:szCs w:val="20"/>
          </w:rPr>
          <m:t>4</m:t>
        </m:r>
        <m:r>
          <w:rPr>
            <w:rFonts w:ascii="Cambria Math" w:hAnsi="Cambria Math"/>
            <w:kern w:val="0"/>
            <w:szCs w:val="20"/>
          </w:rPr>
          <m:t>&lt;t&lt;10</m:t>
        </m:r>
        <m:r>
          <w:rPr>
            <w:rFonts w:ascii="Cambria Math" w:hAnsi="Cambria Math" w:hint="eastAsia"/>
            <w:kern w:val="0"/>
            <w:szCs w:val="20"/>
          </w:rPr>
          <m:t>0</m:t>
        </m:r>
        <m:r>
          <m:rPr>
            <m:sty m:val="p"/>
          </m:rPr>
          <w:rPr>
            <w:rFonts w:ascii="Cambria Math" w:hAnsi="Cambria Math" w:hint="eastAsia"/>
            <w:kern w:val="0"/>
            <w:szCs w:val="20"/>
          </w:rPr>
          <m:t xml:space="preserve"> </m:t>
        </m:r>
        <m:r>
          <m:rPr>
            <m:sty m:val="p"/>
          </m:rPr>
          <w:rPr>
            <w:rFonts w:ascii="Cambria Math" w:hAnsi="Cambria Math"/>
            <w:kern w:val="0"/>
            <w:szCs w:val="20"/>
          </w:rPr>
          <m:t xml:space="preserve">mm </m:t>
        </m:r>
      </m:oMath>
      <w:r w:rsidRPr="00BC31E0">
        <w:rPr>
          <w:rFonts w:hint="eastAsia"/>
          <w:kern w:val="0"/>
          <w:szCs w:val="20"/>
        </w:rPr>
        <w:t>の場合には，線形補間により</w:t>
      </w:r>
      <m:oMath>
        <m:f>
          <m:fPr>
            <m:type m:val="lin"/>
            <m:ctrlPr>
              <w:rPr>
                <w:rFonts w:ascii="Cambria Math" w:hAnsi="Cambria Math"/>
                <w:i/>
                <w:kern w:val="0"/>
                <w:szCs w:val="20"/>
              </w:rPr>
            </m:ctrlPr>
          </m:fPr>
          <m:num>
            <m:r>
              <w:rPr>
                <w:rFonts w:ascii="Cambria Math" w:hAnsi="Cambria Math"/>
                <w:kern w:val="0"/>
                <w:szCs w:val="20"/>
              </w:rPr>
              <m:t xml:space="preserve"> a</m:t>
            </m:r>
          </m:num>
          <m:den>
            <m:r>
              <w:rPr>
                <w:rFonts w:ascii="Cambria Math" w:hAnsi="Cambria Math"/>
                <w:kern w:val="0"/>
                <w:szCs w:val="20"/>
              </w:rPr>
              <m:t xml:space="preserve">t </m:t>
            </m:r>
          </m:den>
        </m:f>
      </m:oMath>
      <w:r w:rsidRPr="00BC31E0">
        <w:rPr>
          <w:rFonts w:hint="eastAsia"/>
          <w:kern w:val="0"/>
          <w:szCs w:val="20"/>
        </w:rPr>
        <w:t>を求める。</w:t>
      </w:r>
    </w:p>
    <w:tbl>
      <w:tblPr>
        <w:tblW w:w="0" w:type="auto"/>
        <w:tblInd w:w="1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1315"/>
        <w:gridCol w:w="1314"/>
        <w:gridCol w:w="1315"/>
      </w:tblGrid>
      <w:tr w:rsidR="00342321" w:rsidRPr="00BC31E0" w14:paraId="25D11131" w14:textId="77777777" w:rsidTr="004736F2">
        <w:tc>
          <w:tcPr>
            <w:tcW w:w="2629" w:type="dxa"/>
            <w:gridSpan w:val="2"/>
          </w:tcPr>
          <w:p w14:paraId="223A9771" w14:textId="77777777" w:rsidR="00342321" w:rsidRPr="00BC31E0" w:rsidRDefault="00342321" w:rsidP="004736F2">
            <w:pPr>
              <w:snapToGrid w:val="0"/>
              <w:spacing w:line="300" w:lineRule="atLeast"/>
              <w:jc w:val="center"/>
              <w:rPr>
                <w:i/>
                <w:kern w:val="0"/>
                <w:szCs w:val="20"/>
              </w:rPr>
            </w:pPr>
            <m:oMathPara>
              <m:oMath>
                <m:r>
                  <w:rPr>
                    <w:rFonts w:ascii="Cambria Math" w:hAnsi="Cambria Math"/>
                    <w:kern w:val="0"/>
                    <w:szCs w:val="20"/>
                  </w:rPr>
                  <m:t>25</m:t>
                </m:r>
                <m:r>
                  <w:rPr>
                    <w:rFonts w:ascii="Cambria Math" w:hAnsi="Cambria Math" w:hint="eastAsia"/>
                    <w:kern w:val="0"/>
                    <w:szCs w:val="20"/>
                  </w:rPr>
                  <m:t>≦</m:t>
                </m:r>
                <m:r>
                  <w:rPr>
                    <w:rFonts w:ascii="Cambria Math" w:hAnsi="Cambria Math"/>
                    <w:kern w:val="0"/>
                    <w:szCs w:val="20"/>
                  </w:rPr>
                  <m:t>t</m:t>
                </m:r>
                <m:r>
                  <w:rPr>
                    <w:rFonts w:ascii="Cambria Math" w:hAnsi="Cambria Math" w:hint="eastAsia"/>
                    <w:kern w:val="0"/>
                    <w:szCs w:val="20"/>
                  </w:rPr>
                  <m:t>≦</m:t>
                </m:r>
                <m:r>
                  <w:rPr>
                    <w:rFonts w:ascii="Cambria Math" w:hAnsi="Cambria Math"/>
                    <w:kern w:val="0"/>
                    <w:szCs w:val="20"/>
                  </w:rPr>
                  <m:t>6</m:t>
                </m:r>
                <m:r>
                  <w:rPr>
                    <w:rFonts w:ascii="Cambria Math" w:hAnsi="Cambria Math" w:hint="eastAsia"/>
                    <w:kern w:val="0"/>
                    <w:szCs w:val="20"/>
                  </w:rPr>
                  <m:t xml:space="preserve">4 </m:t>
                </m:r>
                <m:r>
                  <m:rPr>
                    <m:sty m:val="p"/>
                  </m:rPr>
                  <w:rPr>
                    <w:rFonts w:ascii="Cambria Math" w:hAnsi="Cambria Math"/>
                    <w:kern w:val="0"/>
                    <w:szCs w:val="20"/>
                  </w:rPr>
                  <m:t>mm</m:t>
                </m:r>
              </m:oMath>
            </m:oMathPara>
          </w:p>
        </w:tc>
        <w:tc>
          <w:tcPr>
            <w:tcW w:w="2629" w:type="dxa"/>
            <w:gridSpan w:val="2"/>
          </w:tcPr>
          <w:p w14:paraId="3CD08026" w14:textId="77777777" w:rsidR="00342321" w:rsidRPr="00BC31E0" w:rsidRDefault="00342321" w:rsidP="004736F2">
            <w:pPr>
              <w:snapToGrid w:val="0"/>
              <w:spacing w:line="300" w:lineRule="atLeast"/>
              <w:jc w:val="center"/>
              <w:rPr>
                <w:i/>
                <w:kern w:val="0"/>
                <w:szCs w:val="20"/>
              </w:rPr>
            </w:pPr>
            <m:oMathPara>
              <m:oMath>
                <m:r>
                  <w:rPr>
                    <w:rFonts w:ascii="Cambria Math" w:hAnsi="Cambria Math"/>
                    <w:kern w:val="0"/>
                    <w:szCs w:val="20"/>
                  </w:rPr>
                  <m:t>10</m:t>
                </m:r>
                <m:r>
                  <w:rPr>
                    <w:rFonts w:ascii="Cambria Math" w:hAnsi="Cambria Math" w:hint="eastAsia"/>
                    <w:kern w:val="0"/>
                    <w:szCs w:val="20"/>
                  </w:rPr>
                  <m:t>0</m:t>
                </m:r>
                <m:r>
                  <w:rPr>
                    <w:rFonts w:ascii="Cambria Math" w:hAnsi="Cambria Math" w:hint="eastAsia"/>
                    <w:kern w:val="0"/>
                    <w:szCs w:val="20"/>
                  </w:rPr>
                  <m:t>≦</m:t>
                </m:r>
                <m:r>
                  <w:rPr>
                    <w:rFonts w:ascii="Cambria Math" w:hAnsi="Cambria Math"/>
                    <w:kern w:val="0"/>
                    <w:szCs w:val="20"/>
                  </w:rPr>
                  <m:t>t</m:t>
                </m:r>
                <m:r>
                  <w:rPr>
                    <w:rFonts w:ascii="Cambria Math" w:hAnsi="Cambria Math" w:hint="eastAsia"/>
                    <w:kern w:val="0"/>
                    <w:szCs w:val="20"/>
                  </w:rPr>
                  <m:t>≦</m:t>
                </m:r>
                <m:r>
                  <w:rPr>
                    <w:rFonts w:ascii="Cambria Math" w:hAnsi="Cambria Math"/>
                    <w:kern w:val="0"/>
                    <w:szCs w:val="20"/>
                  </w:rPr>
                  <m:t>30</m:t>
                </m:r>
                <m:r>
                  <w:rPr>
                    <w:rFonts w:ascii="Cambria Math" w:hAnsi="Cambria Math" w:hint="eastAsia"/>
                    <w:kern w:val="0"/>
                    <w:szCs w:val="20"/>
                  </w:rPr>
                  <m:t>0</m:t>
                </m:r>
                <m:r>
                  <m:rPr>
                    <m:sty m:val="p"/>
                  </m:rPr>
                  <w:rPr>
                    <w:rFonts w:ascii="Cambria Math" w:hAnsi="Cambria Math" w:hint="eastAsia"/>
                    <w:kern w:val="0"/>
                    <w:szCs w:val="20"/>
                  </w:rPr>
                  <m:t xml:space="preserve"> </m:t>
                </m:r>
                <m:r>
                  <m:rPr>
                    <m:sty m:val="p"/>
                  </m:rPr>
                  <w:rPr>
                    <w:rFonts w:ascii="Cambria Math" w:hAnsi="Cambria Math"/>
                    <w:kern w:val="0"/>
                    <w:szCs w:val="20"/>
                  </w:rPr>
                  <m:t>mm</m:t>
                </m:r>
              </m:oMath>
            </m:oMathPara>
          </w:p>
        </w:tc>
      </w:tr>
      <w:tr w:rsidR="00342321" w:rsidRPr="00BC31E0" w14:paraId="21263FD6" w14:textId="77777777" w:rsidTr="004736F2">
        <w:tc>
          <w:tcPr>
            <w:tcW w:w="1314" w:type="dxa"/>
          </w:tcPr>
          <w:p w14:paraId="608D410B" w14:textId="77777777" w:rsidR="00342321" w:rsidRPr="00BC31E0" w:rsidRDefault="00A51873" w:rsidP="004736F2">
            <w:pPr>
              <w:snapToGrid w:val="0"/>
              <w:spacing w:line="300" w:lineRule="atLeast"/>
              <w:jc w:val="center"/>
              <w:rPr>
                <w:rFonts w:ascii="Times New Roman" w:hAnsi="Times New Roman"/>
                <w:i/>
                <w:kern w:val="0"/>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l</m:t>
                    </m:r>
                  </m:den>
                </m:f>
              </m:oMath>
            </m:oMathPara>
          </w:p>
        </w:tc>
        <w:tc>
          <w:tcPr>
            <w:tcW w:w="1315" w:type="dxa"/>
          </w:tcPr>
          <w:p w14:paraId="26051E56" w14:textId="77777777" w:rsidR="00342321" w:rsidRPr="00BC31E0" w:rsidRDefault="00A51873" w:rsidP="004736F2">
            <w:pPr>
              <w:snapToGrid w:val="0"/>
              <w:spacing w:line="300" w:lineRule="atLeast"/>
              <w:jc w:val="center"/>
              <w:rPr>
                <w:rFonts w:ascii="Times New Roman" w:hAnsi="Times New Roman"/>
                <w:i/>
                <w:kern w:val="0"/>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t</m:t>
                    </m:r>
                  </m:den>
                </m:f>
              </m:oMath>
            </m:oMathPara>
          </w:p>
        </w:tc>
        <w:tc>
          <w:tcPr>
            <w:tcW w:w="1314" w:type="dxa"/>
          </w:tcPr>
          <w:p w14:paraId="2D698CD4" w14:textId="77777777" w:rsidR="00342321" w:rsidRPr="00BC31E0" w:rsidRDefault="00A51873" w:rsidP="004736F2">
            <w:pPr>
              <w:snapToGrid w:val="0"/>
              <w:spacing w:line="300" w:lineRule="atLeast"/>
              <w:jc w:val="center"/>
              <w:rPr>
                <w:rFonts w:ascii="Times New Roman" w:hAnsi="Times New Roman"/>
                <w:i/>
                <w:kern w:val="0"/>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l</m:t>
                    </m:r>
                  </m:den>
                </m:f>
              </m:oMath>
            </m:oMathPara>
          </w:p>
        </w:tc>
        <w:tc>
          <w:tcPr>
            <w:tcW w:w="1315" w:type="dxa"/>
          </w:tcPr>
          <w:p w14:paraId="454C74B6" w14:textId="77777777" w:rsidR="00342321" w:rsidRPr="00BC31E0" w:rsidRDefault="00A51873" w:rsidP="004736F2">
            <w:pPr>
              <w:snapToGrid w:val="0"/>
              <w:spacing w:line="300" w:lineRule="atLeast"/>
              <w:jc w:val="center"/>
              <w:rPr>
                <w:rFonts w:ascii="Times New Roman" w:hAnsi="Times New Roman"/>
                <w:i/>
                <w:kern w:val="0"/>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t</m:t>
                    </m:r>
                  </m:den>
                </m:f>
              </m:oMath>
            </m:oMathPara>
          </w:p>
        </w:tc>
      </w:tr>
      <w:tr w:rsidR="00342321" w:rsidRPr="00BC31E0" w14:paraId="7F3E6AF7" w14:textId="77777777" w:rsidTr="004736F2">
        <w:tc>
          <w:tcPr>
            <w:tcW w:w="1314" w:type="dxa"/>
          </w:tcPr>
          <w:p w14:paraId="536BC6CA"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0.0</w:t>
            </w:r>
          </w:p>
        </w:tc>
        <w:tc>
          <w:tcPr>
            <w:tcW w:w="1315" w:type="dxa"/>
          </w:tcPr>
          <w:p w14:paraId="68B60940"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0.031</w:t>
            </w:r>
          </w:p>
        </w:tc>
        <w:tc>
          <w:tcPr>
            <w:tcW w:w="1314" w:type="dxa"/>
          </w:tcPr>
          <w:p w14:paraId="2A8DBC3C"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0.0</w:t>
            </w:r>
          </w:p>
        </w:tc>
        <w:tc>
          <w:tcPr>
            <w:tcW w:w="1315" w:type="dxa"/>
          </w:tcPr>
          <w:p w14:paraId="1A7B176D"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0.019</w:t>
            </w:r>
          </w:p>
        </w:tc>
      </w:tr>
      <w:tr w:rsidR="00342321" w:rsidRPr="00BC31E0" w14:paraId="5EE4FA22" w14:textId="77777777" w:rsidTr="004736F2">
        <w:tc>
          <w:tcPr>
            <w:tcW w:w="1314" w:type="dxa"/>
          </w:tcPr>
          <w:p w14:paraId="189A72AE"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0.1</w:t>
            </w:r>
          </w:p>
        </w:tc>
        <w:tc>
          <w:tcPr>
            <w:tcW w:w="1315" w:type="dxa"/>
          </w:tcPr>
          <w:p w14:paraId="782E34E1"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0.036</w:t>
            </w:r>
          </w:p>
        </w:tc>
        <w:tc>
          <w:tcPr>
            <w:tcW w:w="1314" w:type="dxa"/>
          </w:tcPr>
          <w:p w14:paraId="1FAF9A5F"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0.1</w:t>
            </w:r>
          </w:p>
        </w:tc>
        <w:tc>
          <w:tcPr>
            <w:tcW w:w="1315" w:type="dxa"/>
          </w:tcPr>
          <w:p w14:paraId="2EC1E117"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0.022</w:t>
            </w:r>
          </w:p>
        </w:tc>
      </w:tr>
      <w:tr w:rsidR="00342321" w:rsidRPr="00BC31E0" w14:paraId="03D7A841" w14:textId="77777777" w:rsidTr="004736F2">
        <w:tc>
          <w:tcPr>
            <w:tcW w:w="1314" w:type="dxa"/>
          </w:tcPr>
          <w:p w14:paraId="115CCED5"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0.2</w:t>
            </w:r>
          </w:p>
        </w:tc>
        <w:tc>
          <w:tcPr>
            <w:tcW w:w="1315" w:type="dxa"/>
          </w:tcPr>
          <w:p w14:paraId="30778B1C"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0.047</w:t>
            </w:r>
          </w:p>
        </w:tc>
        <w:tc>
          <w:tcPr>
            <w:tcW w:w="1314" w:type="dxa"/>
          </w:tcPr>
          <w:p w14:paraId="752080D1"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0.2</w:t>
            </w:r>
          </w:p>
        </w:tc>
        <w:tc>
          <w:tcPr>
            <w:tcW w:w="1315" w:type="dxa"/>
          </w:tcPr>
          <w:p w14:paraId="7AFAD559"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0.028</w:t>
            </w:r>
          </w:p>
        </w:tc>
      </w:tr>
      <w:tr w:rsidR="00342321" w:rsidRPr="00BC31E0" w14:paraId="341B014B" w14:textId="77777777" w:rsidTr="004736F2">
        <w:tc>
          <w:tcPr>
            <w:tcW w:w="1314" w:type="dxa"/>
          </w:tcPr>
          <w:p w14:paraId="035E6EE7"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0.3</w:t>
            </w:r>
          </w:p>
        </w:tc>
        <w:tc>
          <w:tcPr>
            <w:tcW w:w="1315" w:type="dxa"/>
          </w:tcPr>
          <w:p w14:paraId="58D14A9D"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0.064</w:t>
            </w:r>
          </w:p>
        </w:tc>
        <w:tc>
          <w:tcPr>
            <w:tcW w:w="1314" w:type="dxa"/>
          </w:tcPr>
          <w:p w14:paraId="702859CD"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0.3</w:t>
            </w:r>
          </w:p>
        </w:tc>
        <w:tc>
          <w:tcPr>
            <w:tcW w:w="1315" w:type="dxa"/>
          </w:tcPr>
          <w:p w14:paraId="5709F579"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0.038</w:t>
            </w:r>
          </w:p>
        </w:tc>
      </w:tr>
      <w:tr w:rsidR="00342321" w:rsidRPr="00BC31E0" w14:paraId="029D7C41" w14:textId="77777777" w:rsidTr="004736F2">
        <w:tc>
          <w:tcPr>
            <w:tcW w:w="1314" w:type="dxa"/>
          </w:tcPr>
          <w:p w14:paraId="0B0D6806"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0.4</w:t>
            </w:r>
          </w:p>
        </w:tc>
        <w:tc>
          <w:tcPr>
            <w:tcW w:w="1315" w:type="dxa"/>
          </w:tcPr>
          <w:p w14:paraId="1C5C767D"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0.083</w:t>
            </w:r>
          </w:p>
        </w:tc>
        <w:tc>
          <w:tcPr>
            <w:tcW w:w="1314" w:type="dxa"/>
          </w:tcPr>
          <w:p w14:paraId="223A57C1"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0.4</w:t>
            </w:r>
          </w:p>
        </w:tc>
        <w:tc>
          <w:tcPr>
            <w:tcW w:w="1315" w:type="dxa"/>
          </w:tcPr>
          <w:p w14:paraId="33453F63"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0.050</w:t>
            </w:r>
          </w:p>
        </w:tc>
      </w:tr>
      <w:tr w:rsidR="00342321" w:rsidRPr="00BC31E0" w14:paraId="238AE134" w14:textId="77777777" w:rsidTr="004736F2">
        <w:tc>
          <w:tcPr>
            <w:tcW w:w="1314" w:type="dxa"/>
          </w:tcPr>
          <w:p w14:paraId="6EB4816F"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0.5</w:t>
            </w:r>
          </w:p>
        </w:tc>
        <w:tc>
          <w:tcPr>
            <w:tcW w:w="1315" w:type="dxa"/>
          </w:tcPr>
          <w:p w14:paraId="1DD66588"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0.087</w:t>
            </w:r>
          </w:p>
        </w:tc>
        <w:tc>
          <w:tcPr>
            <w:tcW w:w="1314" w:type="dxa"/>
          </w:tcPr>
          <w:p w14:paraId="4501D3AB"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0.5</w:t>
            </w:r>
          </w:p>
        </w:tc>
        <w:tc>
          <w:tcPr>
            <w:tcW w:w="1315" w:type="dxa"/>
          </w:tcPr>
          <w:p w14:paraId="722228FA"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0.052</w:t>
            </w:r>
          </w:p>
        </w:tc>
      </w:tr>
    </w:tbl>
    <w:p w14:paraId="21EE4E66" w14:textId="77777777" w:rsidR="00342321" w:rsidRPr="00BC31E0" w:rsidRDefault="00342321" w:rsidP="00342321">
      <w:pPr>
        <w:snapToGrid w:val="0"/>
        <w:spacing w:before="60" w:line="320" w:lineRule="atLeast"/>
        <w:ind w:left="1474" w:hanging="794"/>
        <w:jc w:val="left"/>
        <w:rPr>
          <w:szCs w:val="20"/>
        </w:rPr>
      </w:pPr>
      <w:r w:rsidRPr="00BC31E0">
        <w:rPr>
          <w:rFonts w:ascii="ＭＳ ゴシック" w:eastAsia="ＭＳ ゴシック" w:hAnsi="ＭＳ Ｐゴシック" w:hint="eastAsia"/>
          <w:b/>
          <w:szCs w:val="20"/>
        </w:rPr>
        <w:t>注記</w:t>
      </w:r>
      <w:r w:rsidRPr="00BC31E0">
        <w:rPr>
          <w:rFonts w:ascii="ＭＳ ゴシック" w:eastAsia="ＭＳ ゴシック" w:hAnsi="Tahoma" w:cs="Tahoma"/>
          <w:b/>
          <w:szCs w:val="20"/>
        </w:rPr>
        <w:t>2</w:t>
      </w:r>
      <w:r w:rsidRPr="00BC31E0">
        <w:rPr>
          <w:rFonts w:ascii="ＭＳ 明朝" w:hAnsi="ＭＳ 明朝" w:hint="eastAsia"/>
          <w:szCs w:val="20"/>
        </w:rPr>
        <w:t xml:space="preserve">　</w:t>
      </w:r>
      <w:r w:rsidRPr="00BC31E0">
        <w:rPr>
          <w:szCs w:val="20"/>
        </w:rPr>
        <w:t>き</w:t>
      </w:r>
      <w:r w:rsidRPr="00BC31E0">
        <w:rPr>
          <w:rFonts w:hint="eastAsia"/>
          <w:szCs w:val="20"/>
        </w:rPr>
        <w:t>ず</w:t>
      </w:r>
      <w:r w:rsidRPr="00BC31E0">
        <w:rPr>
          <w:szCs w:val="20"/>
        </w:rPr>
        <w:t>高さ</w:t>
      </w:r>
      <m:oMath>
        <m:r>
          <m:rPr>
            <m:sty m:val="p"/>
          </m:rPr>
          <w:rPr>
            <w:rFonts w:ascii="Cambria Math" w:hAnsi="Cambria Math"/>
            <w:szCs w:val="20"/>
          </w:rPr>
          <m:t xml:space="preserve"> </m:t>
        </m:r>
        <m:r>
          <w:rPr>
            <w:rFonts w:ascii="Cambria Math" w:hAnsi="Cambria Math"/>
            <w:szCs w:val="20"/>
          </w:rPr>
          <m:t>a</m:t>
        </m:r>
        <m:r>
          <w:rPr>
            <w:rFonts w:ascii="Cambria Math" w:hAnsi="Cambria Math" w:hint="eastAsia"/>
            <w:szCs w:val="20"/>
          </w:rPr>
          <m:t xml:space="preserve"> </m:t>
        </m:r>
      </m:oMath>
      <w:r w:rsidRPr="00BC31E0">
        <w:rPr>
          <w:szCs w:val="20"/>
        </w:rPr>
        <w:t>が</w:t>
      </w:r>
      <m:oMath>
        <m:r>
          <m:rPr>
            <m:sty m:val="p"/>
          </m:rPr>
          <w:rPr>
            <w:rFonts w:ascii="Cambria Math" w:hAnsi="Cambria Math"/>
            <w:szCs w:val="20"/>
          </w:rPr>
          <m:t xml:space="preserve"> 1 mm</m:t>
        </m:r>
        <m:r>
          <m:rPr>
            <m:sty m:val="p"/>
          </m:rPr>
          <w:rPr>
            <w:rFonts w:ascii="Cambria Math" w:hAnsi="Cambria Math" w:hint="eastAsia"/>
            <w:szCs w:val="20"/>
          </w:rPr>
          <m:t xml:space="preserve"> </m:t>
        </m:r>
      </m:oMath>
      <w:r w:rsidRPr="00BC31E0">
        <w:rPr>
          <w:szCs w:val="20"/>
        </w:rPr>
        <w:t>未満になる場合</w:t>
      </w:r>
      <w:r w:rsidRPr="00BC31E0">
        <w:rPr>
          <w:rFonts w:hint="eastAsia"/>
          <w:szCs w:val="20"/>
        </w:rPr>
        <w:t>で</w:t>
      </w:r>
      <w:r w:rsidRPr="00BC31E0">
        <w:rPr>
          <w:szCs w:val="20"/>
        </w:rPr>
        <w:t>，使用者設計仕様書</w:t>
      </w:r>
      <w:r w:rsidRPr="00BC31E0">
        <w:rPr>
          <w:rFonts w:hint="eastAsia"/>
          <w:szCs w:val="20"/>
        </w:rPr>
        <w:t>に</w:t>
      </w:r>
      <w:r w:rsidRPr="00BC31E0">
        <w:rPr>
          <w:rFonts w:ascii="ＭＳ ゴシック" w:eastAsia="ＭＳ ゴシック" w:hAnsi="ＭＳ ゴシック" w:hint="eastAsia"/>
          <w:b/>
          <w:szCs w:val="20"/>
        </w:rPr>
        <w:t>表5.2.2</w:t>
      </w:r>
      <w:r w:rsidRPr="00BC31E0">
        <w:rPr>
          <w:rFonts w:hint="eastAsia"/>
          <w:szCs w:val="20"/>
        </w:rPr>
        <w:t>よりも高い</w:t>
      </w:r>
      <w:r w:rsidRPr="00BC31E0">
        <w:rPr>
          <w:szCs w:val="20"/>
        </w:rPr>
        <w:t>要求シャルピー</w:t>
      </w:r>
      <w:r w:rsidRPr="00BC31E0">
        <w:rPr>
          <w:rFonts w:hint="eastAsia"/>
          <w:szCs w:val="20"/>
        </w:rPr>
        <w:t>衝撃</w:t>
      </w:r>
      <w:r w:rsidRPr="00BC31E0">
        <w:rPr>
          <w:szCs w:val="20"/>
        </w:rPr>
        <w:t>吸収エネルギー</w:t>
      </w:r>
      <w:r w:rsidRPr="00BC31E0">
        <w:rPr>
          <w:rFonts w:hint="eastAsia"/>
          <w:szCs w:val="20"/>
        </w:rPr>
        <w:t>が規定されている場合には，</w:t>
      </w:r>
      <w:r w:rsidRPr="00BC31E0">
        <w:rPr>
          <w:rFonts w:ascii="ＭＳ ゴシック" w:eastAsia="ＭＳ ゴシック" w:hAnsi="ＭＳ ゴシック" w:hint="eastAsia"/>
          <w:b/>
          <w:szCs w:val="20"/>
        </w:rPr>
        <w:t>9.3.6 c) 2) 2.3)</w:t>
      </w:r>
      <w:r w:rsidRPr="00BC31E0">
        <w:rPr>
          <w:rFonts w:hint="eastAsia"/>
          <w:szCs w:val="20"/>
        </w:rPr>
        <w:t>に</w:t>
      </w:r>
      <w:r w:rsidRPr="00BC31E0">
        <w:rPr>
          <w:szCs w:val="20"/>
        </w:rPr>
        <w:t>より</w:t>
      </w:r>
      <w:r w:rsidRPr="00BC31E0">
        <w:rPr>
          <w:rFonts w:hint="eastAsia"/>
          <w:szCs w:val="20"/>
        </w:rPr>
        <w:t>製作者が許容きず寸法を算出</w:t>
      </w:r>
      <w:r w:rsidR="006F747C" w:rsidRPr="00BC31E0">
        <w:rPr>
          <w:rFonts w:hint="eastAsia"/>
          <w:szCs w:val="20"/>
        </w:rPr>
        <w:t>してもよい</w:t>
      </w:r>
      <w:r w:rsidRPr="00BC31E0">
        <w:rPr>
          <w:rFonts w:hint="eastAsia"/>
          <w:szCs w:val="20"/>
        </w:rPr>
        <w:t>。</w:t>
      </w:r>
    </w:p>
    <w:p w14:paraId="4E4275F9" w14:textId="77777777" w:rsidR="00342321" w:rsidRPr="00BC31E0" w:rsidRDefault="00342321" w:rsidP="00342321">
      <w:pPr>
        <w:snapToGrid w:val="0"/>
        <w:spacing w:line="320" w:lineRule="atLeast"/>
        <w:ind w:left="1474" w:hanging="794"/>
        <w:jc w:val="left"/>
        <w:rPr>
          <w:szCs w:val="20"/>
        </w:rPr>
      </w:pPr>
      <w:r w:rsidRPr="00BC31E0">
        <w:rPr>
          <w:rFonts w:ascii="ＭＳ ゴシック" w:eastAsia="ＭＳ ゴシック" w:hAnsi="ＭＳ Ｐゴシック" w:hint="eastAsia"/>
          <w:b/>
          <w:szCs w:val="20"/>
        </w:rPr>
        <w:t>注記</w:t>
      </w:r>
      <w:r w:rsidRPr="00BC31E0">
        <w:rPr>
          <w:rFonts w:ascii="ＭＳ ゴシック" w:eastAsia="ＭＳ ゴシック" w:hAnsi="Tahoma" w:cs="Tahoma"/>
          <w:b/>
          <w:szCs w:val="20"/>
        </w:rPr>
        <w:t>3</w:t>
      </w:r>
      <w:r w:rsidRPr="00BC31E0">
        <w:rPr>
          <w:rFonts w:ascii="ＭＳ 明朝" w:hAnsi="ＭＳ 明朝" w:hint="eastAsia"/>
          <w:szCs w:val="20"/>
        </w:rPr>
        <w:t xml:space="preserve">　</w:t>
      </w:r>
      <w:r w:rsidRPr="00BC31E0">
        <w:rPr>
          <w:rFonts w:hAnsi="ＭＳ 明朝"/>
          <w:szCs w:val="20"/>
        </w:rPr>
        <w:t>中間の</w:t>
      </w:r>
      <w:r w:rsidRPr="00BC31E0">
        <w:rPr>
          <w:rFonts w:hAnsi="ＭＳ 明朝" w:hint="eastAsia"/>
          <w:szCs w:val="20"/>
        </w:rPr>
        <w:t>内外径比</w:t>
      </w:r>
      <m:oMath>
        <m:r>
          <m:rPr>
            <m:sty m:val="p"/>
          </m:rPr>
          <w:rPr>
            <w:rFonts w:ascii="Cambria Math" w:hAnsi="Cambria Math"/>
            <w:szCs w:val="20"/>
          </w:rPr>
          <m:t xml:space="preserve"> </m:t>
        </m:r>
        <m:r>
          <w:rPr>
            <w:rFonts w:ascii="Cambria Math" w:hAnsi="Cambria Math"/>
            <w:szCs w:val="20"/>
          </w:rPr>
          <m:t>Y</m:t>
        </m:r>
        <m:r>
          <m:rPr>
            <m:sty m:val="p"/>
          </m:rPr>
          <w:rPr>
            <w:rFonts w:ascii="Cambria Math" w:hAnsi="Cambria Math" w:hint="eastAsia"/>
            <w:szCs w:val="20"/>
          </w:rPr>
          <m:t xml:space="preserve"> </m:t>
        </m:r>
      </m:oMath>
      <w:r w:rsidRPr="00BC31E0">
        <w:rPr>
          <w:rFonts w:hAnsi="ＭＳ 明朝"/>
          <w:szCs w:val="20"/>
        </w:rPr>
        <w:t>の値及び</w:t>
      </w:r>
      <m:oMath>
        <m:r>
          <m:rPr>
            <m:sty m:val="p"/>
          </m:rPr>
          <w:rPr>
            <w:rFonts w:ascii="Cambria Math" w:hAnsi="Cambria Math" w:hint="eastAsia"/>
            <w:szCs w:val="20"/>
          </w:rPr>
          <m:t xml:space="preserve"> </m:t>
        </m:r>
        <m:r>
          <w:rPr>
            <w:rFonts w:ascii="Cambria Math" w:hAnsi="Cambria Math"/>
            <w:szCs w:val="20"/>
          </w:rPr>
          <m:t>a/</m:t>
        </m:r>
        <m:r>
          <w:rPr>
            <w:rFonts w:ascii="Cambria Math" w:hAnsi="Cambria Math" w:hint="eastAsia"/>
            <w:szCs w:val="20"/>
          </w:rPr>
          <m:t>l</m:t>
        </m:r>
        <m:r>
          <m:rPr>
            <m:sty m:val="p"/>
          </m:rPr>
          <w:rPr>
            <w:rFonts w:ascii="Cambria Math" w:hAnsi="Cambria Math" w:hint="eastAsia"/>
            <w:szCs w:val="20"/>
          </w:rPr>
          <m:t xml:space="preserve"> </m:t>
        </m:r>
      </m:oMath>
      <w:r w:rsidRPr="00BC31E0">
        <w:rPr>
          <w:rFonts w:hAnsi="ＭＳ 明朝"/>
          <w:szCs w:val="20"/>
        </w:rPr>
        <w:t>の値に対しては，線形補間</w:t>
      </w:r>
      <w:r w:rsidRPr="00BC31E0">
        <w:rPr>
          <w:rFonts w:hAnsi="ＭＳ 明朝" w:hint="eastAsia"/>
          <w:szCs w:val="20"/>
        </w:rPr>
        <w:t>により</w:t>
      </w:r>
      <m:oMath>
        <m:r>
          <m:rPr>
            <m:sty m:val="p"/>
          </m:rPr>
          <w:rPr>
            <w:rFonts w:ascii="Cambria Math" w:hAnsi="Cambria Math" w:hint="eastAsia"/>
            <w:szCs w:val="20"/>
          </w:rPr>
          <m:t xml:space="preserve"> </m:t>
        </m:r>
        <m:r>
          <w:rPr>
            <w:rFonts w:ascii="Cambria Math" w:hAnsi="Cambria Math"/>
            <w:szCs w:val="20"/>
          </w:rPr>
          <m:t>a/t</m:t>
        </m:r>
        <m:r>
          <w:rPr>
            <w:rFonts w:ascii="Cambria Math" w:hAnsi="Cambria Math" w:hint="eastAsia"/>
            <w:szCs w:val="20"/>
          </w:rPr>
          <m:t xml:space="preserve"> </m:t>
        </m:r>
      </m:oMath>
      <w:r w:rsidRPr="00BC31E0">
        <w:rPr>
          <w:rFonts w:hAnsi="ＭＳ 明朝"/>
          <w:szCs w:val="20"/>
        </w:rPr>
        <w:t>を求める。</w:t>
      </w:r>
    </w:p>
    <w:p w14:paraId="66B49FE8" w14:textId="77777777" w:rsidR="00CA187B" w:rsidRPr="00BC31E0" w:rsidRDefault="00CA187B" w:rsidP="00E071EE">
      <w:pPr>
        <w:spacing w:line="200" w:lineRule="exact"/>
        <w:jc w:val="left"/>
        <w:rPr>
          <w:rFonts w:ascii="ＭＳ ゴシック" w:eastAsia="ＭＳ ゴシック" w:hAnsi="ＭＳ ゴシック"/>
          <w:b/>
          <w:szCs w:val="20"/>
        </w:rPr>
      </w:pPr>
    </w:p>
    <w:p w14:paraId="3A6767F0" w14:textId="77777777" w:rsidR="00342321" w:rsidRPr="00BC31E0" w:rsidRDefault="00342321" w:rsidP="00CA187B">
      <w:pPr>
        <w:jc w:val="center"/>
        <w:rPr>
          <w:szCs w:val="20"/>
        </w:rPr>
      </w:pPr>
      <w:r w:rsidRPr="00BC31E0">
        <w:rPr>
          <w:rFonts w:ascii="ＭＳ ゴシック" w:eastAsia="ＭＳ ゴシック" w:hAnsi="ＭＳ ゴシック" w:hint="eastAsia"/>
          <w:b/>
          <w:szCs w:val="20"/>
        </w:rPr>
        <w:t>表9.3.7　表面きずの許容きず寸法 (</w:t>
      </w:r>
      <m:oMath>
        <m:r>
          <m:rPr>
            <m:sty m:val="bi"/>
          </m:rPr>
          <w:rPr>
            <w:rFonts w:ascii="Cambria Math" w:eastAsia="ＭＳ ゴシック" w:hAnsi="Cambria Math"/>
            <w:sz w:val="22"/>
            <w:szCs w:val="22"/>
          </w:rPr>
          <m:t>415</m:t>
        </m:r>
        <m:r>
          <w:rPr>
            <w:rFonts w:ascii="Cambria Math" w:eastAsia="ＭＳ ゴシック" w:hAnsi="Cambria Math"/>
            <w:sz w:val="22"/>
            <w:szCs w:val="22"/>
          </w:rPr>
          <m:t>&lt;</m:t>
        </m:r>
        <m:sSub>
          <m:sSubPr>
            <m:ctrlPr>
              <w:rPr>
                <w:rFonts w:ascii="Cambria Math" w:eastAsia="ＭＳ ゴシック" w:hAnsi="Cambria Math"/>
                <w:b/>
                <w:i/>
                <w:sz w:val="22"/>
                <w:szCs w:val="22"/>
              </w:rPr>
            </m:ctrlPr>
          </m:sSubPr>
          <m:e>
            <m:r>
              <m:rPr>
                <m:sty m:val="bi"/>
              </m:rPr>
              <w:rPr>
                <w:rFonts w:ascii="Cambria Math" w:eastAsia="ＭＳ ゴシック" w:hAnsi="Cambria Math"/>
                <w:sz w:val="22"/>
                <w:szCs w:val="22"/>
              </w:rPr>
              <m:t>S</m:t>
            </m:r>
          </m:e>
          <m:sub>
            <m:r>
              <m:rPr>
                <m:sty m:val="bi"/>
              </m:rPr>
              <w:rPr>
                <w:rFonts w:ascii="Cambria Math" w:eastAsia="ＭＳ ゴシック" w:hAnsi="Cambria Math"/>
                <w:sz w:val="22"/>
                <w:szCs w:val="22"/>
              </w:rPr>
              <m:t>y</m:t>
            </m:r>
          </m:sub>
        </m:sSub>
        <m:r>
          <m:rPr>
            <m:sty m:val="bi"/>
          </m:rPr>
          <w:rPr>
            <w:rFonts w:ascii="Cambria Math" w:eastAsia="ＭＳ ゴシック" w:hAnsi="Cambria Math"/>
            <w:sz w:val="22"/>
            <w:szCs w:val="22"/>
          </w:rPr>
          <m:t>≦570</m:t>
        </m:r>
        <m:r>
          <m:rPr>
            <m:sty m:val="b"/>
          </m:rPr>
          <w:rPr>
            <w:rFonts w:ascii="Cambria Math" w:eastAsia="ＭＳ ゴシック" w:hAnsi="Cambria Math"/>
            <w:sz w:val="22"/>
            <w:szCs w:val="22"/>
          </w:rPr>
          <m:t xml:space="preserve"> MPa</m:t>
        </m:r>
      </m:oMath>
      <w:r w:rsidRPr="00BC31E0">
        <w:rPr>
          <w:rFonts w:ascii="ＭＳ ゴシック" w:eastAsia="ＭＳ ゴシック" w:hAnsi="ＭＳ ゴシック" w:hint="eastAsia"/>
          <w:b/>
          <w:szCs w:val="20"/>
        </w:rPr>
        <w:t>，溶接後熱処理</w:t>
      </w:r>
      <w:r w:rsidRPr="00BC31E0">
        <w:rPr>
          <w:rFonts w:ascii="ＭＳ ゴシック" w:eastAsia="ＭＳ ゴシック" w:hAnsi="ＭＳ ゴシック"/>
          <w:b/>
          <w:szCs w:val="20"/>
        </w:rPr>
        <w:t>あり</w:t>
      </w:r>
      <w:r w:rsidRPr="00BC31E0">
        <w:rPr>
          <w:rFonts w:ascii="ＭＳ ゴシック" w:eastAsia="ＭＳ ゴシック" w:hAnsi="ＭＳ ゴシック" w:hint="eastAsia"/>
          <w:b/>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594"/>
        <w:gridCol w:w="1595"/>
        <w:gridCol w:w="1595"/>
        <w:gridCol w:w="1595"/>
      </w:tblGrid>
      <w:tr w:rsidR="00342321" w:rsidRPr="00BC31E0" w14:paraId="6ABFDBA8" w14:textId="77777777" w:rsidTr="004736F2">
        <w:trPr>
          <w:jc w:val="center"/>
        </w:trPr>
        <w:tc>
          <w:tcPr>
            <w:tcW w:w="992" w:type="dxa"/>
            <w:vMerge w:val="restart"/>
            <w:vAlign w:val="center"/>
          </w:tcPr>
          <w:p w14:paraId="2C0B482B" w14:textId="77777777" w:rsidR="00342321" w:rsidRPr="00BC31E0" w:rsidRDefault="00A51873" w:rsidP="004736F2">
            <w:pPr>
              <w:snapToGrid w:val="0"/>
              <w:spacing w:line="300" w:lineRule="atLeast"/>
              <w:jc w:val="center"/>
              <w:rPr>
                <w:rFonts w:ascii="Times New Roman" w:hAnsi="Times New Roman"/>
                <w:i/>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l</m:t>
                    </m:r>
                  </m:den>
                </m:f>
              </m:oMath>
            </m:oMathPara>
          </w:p>
        </w:tc>
        <w:tc>
          <w:tcPr>
            <w:tcW w:w="6379" w:type="dxa"/>
            <w:gridSpan w:val="4"/>
            <w:vAlign w:val="center"/>
          </w:tcPr>
          <w:p w14:paraId="47DC5544" w14:textId="77777777" w:rsidR="00342321" w:rsidRPr="00BC31E0" w:rsidRDefault="00342321" w:rsidP="004736F2">
            <w:pPr>
              <w:snapToGrid w:val="0"/>
              <w:spacing w:line="300" w:lineRule="atLeast"/>
              <w:jc w:val="center"/>
              <w:rPr>
                <w:rFonts w:ascii="Times New Roman" w:hAnsi="Times New Roman"/>
                <w:i/>
                <w:szCs w:val="20"/>
              </w:rPr>
            </w:pPr>
            <m:oMathPara>
              <m:oMath>
                <m:r>
                  <w:rPr>
                    <w:rFonts w:ascii="Cambria Math" w:hAnsi="Cambria Math"/>
                    <w:szCs w:val="20"/>
                  </w:rPr>
                  <m:t>t&gt;</m:t>
                </m:r>
                <m:r>
                  <w:rPr>
                    <w:rFonts w:ascii="Cambria Math" w:hAnsi="Cambria Math" w:hint="eastAsia"/>
                    <w:szCs w:val="20"/>
                  </w:rPr>
                  <m:t>300</m:t>
                </m:r>
                <m:r>
                  <m:rPr>
                    <m:sty m:val="p"/>
                  </m:rPr>
                  <w:rPr>
                    <w:rFonts w:ascii="Cambria Math" w:hAnsi="Cambria Math" w:hint="eastAsia"/>
                    <w:szCs w:val="20"/>
                  </w:rPr>
                  <m:t xml:space="preserve"> mm</m:t>
                </m:r>
              </m:oMath>
            </m:oMathPara>
          </w:p>
        </w:tc>
      </w:tr>
      <w:tr w:rsidR="00342321" w:rsidRPr="00BC31E0" w14:paraId="3DF9D813" w14:textId="77777777" w:rsidTr="004736F2">
        <w:trPr>
          <w:jc w:val="center"/>
        </w:trPr>
        <w:tc>
          <w:tcPr>
            <w:tcW w:w="992" w:type="dxa"/>
            <w:vMerge/>
            <w:vAlign w:val="center"/>
          </w:tcPr>
          <w:p w14:paraId="5D5AA095" w14:textId="77777777" w:rsidR="00342321" w:rsidRPr="00BC31E0" w:rsidRDefault="00342321" w:rsidP="004736F2">
            <w:pPr>
              <w:snapToGrid w:val="0"/>
              <w:spacing w:line="300" w:lineRule="atLeast"/>
              <w:jc w:val="center"/>
              <w:rPr>
                <w:i/>
                <w:szCs w:val="20"/>
              </w:rPr>
            </w:pPr>
          </w:p>
        </w:tc>
        <w:tc>
          <w:tcPr>
            <w:tcW w:w="1594" w:type="dxa"/>
            <w:vAlign w:val="center"/>
          </w:tcPr>
          <w:p w14:paraId="78CF6B30" w14:textId="77777777" w:rsidR="00342321" w:rsidRPr="00BC31E0" w:rsidRDefault="00342321" w:rsidP="004736F2">
            <w:pPr>
              <w:snapToGrid w:val="0"/>
              <w:spacing w:line="300" w:lineRule="atLeast"/>
              <w:jc w:val="center"/>
              <w:rPr>
                <w:szCs w:val="20"/>
              </w:rPr>
            </w:pPr>
            <m:oMathPara>
              <m:oMath>
                <m:r>
                  <w:rPr>
                    <w:rFonts w:ascii="Cambria Math" w:hAnsi="Cambria Math"/>
                    <w:szCs w:val="20"/>
                  </w:rPr>
                  <m:t>Y=</m:t>
                </m:r>
                <m:r>
                  <w:rPr>
                    <w:rFonts w:ascii="Cambria Math" w:hAnsi="Cambria Math" w:hint="eastAsia"/>
                    <w:szCs w:val="20"/>
                  </w:rPr>
                  <m:t>1.2</m:t>
                </m:r>
              </m:oMath>
            </m:oMathPara>
          </w:p>
        </w:tc>
        <w:tc>
          <w:tcPr>
            <w:tcW w:w="1595" w:type="dxa"/>
            <w:vAlign w:val="center"/>
          </w:tcPr>
          <w:p w14:paraId="48500254" w14:textId="77777777" w:rsidR="00342321" w:rsidRPr="00BC31E0" w:rsidRDefault="00342321" w:rsidP="004736F2">
            <w:pPr>
              <w:snapToGrid w:val="0"/>
              <w:spacing w:line="300" w:lineRule="atLeast"/>
              <w:jc w:val="center"/>
              <w:rPr>
                <w:szCs w:val="20"/>
              </w:rPr>
            </w:pPr>
            <m:oMathPara>
              <m:oMath>
                <m:r>
                  <w:rPr>
                    <w:rFonts w:ascii="Cambria Math" w:hAnsi="Cambria Math"/>
                    <w:szCs w:val="20"/>
                  </w:rPr>
                  <m:t>Y=</m:t>
                </m:r>
                <m:r>
                  <w:rPr>
                    <w:rFonts w:ascii="Cambria Math" w:hAnsi="Cambria Math" w:hint="eastAsia"/>
                    <w:szCs w:val="20"/>
                  </w:rPr>
                  <m:t>1.5</m:t>
                </m:r>
              </m:oMath>
            </m:oMathPara>
          </w:p>
        </w:tc>
        <w:tc>
          <w:tcPr>
            <w:tcW w:w="1595" w:type="dxa"/>
            <w:vAlign w:val="center"/>
          </w:tcPr>
          <w:p w14:paraId="40762DF4" w14:textId="77777777" w:rsidR="00342321" w:rsidRPr="00BC31E0" w:rsidRDefault="00342321" w:rsidP="004736F2">
            <w:pPr>
              <w:snapToGrid w:val="0"/>
              <w:spacing w:line="300" w:lineRule="atLeast"/>
              <w:jc w:val="center"/>
              <w:rPr>
                <w:szCs w:val="20"/>
              </w:rPr>
            </w:pPr>
            <m:oMathPara>
              <m:oMath>
                <m:r>
                  <w:rPr>
                    <w:rFonts w:ascii="Cambria Math" w:hAnsi="Cambria Math"/>
                    <w:szCs w:val="20"/>
                  </w:rPr>
                  <m:t>Y=</m:t>
                </m:r>
                <m:r>
                  <w:rPr>
                    <w:rFonts w:ascii="Cambria Math" w:hAnsi="Cambria Math" w:hint="eastAsia"/>
                    <w:szCs w:val="20"/>
                  </w:rPr>
                  <m:t>2.0</m:t>
                </m:r>
              </m:oMath>
            </m:oMathPara>
          </w:p>
        </w:tc>
        <w:tc>
          <w:tcPr>
            <w:tcW w:w="1595" w:type="dxa"/>
            <w:vAlign w:val="center"/>
          </w:tcPr>
          <w:p w14:paraId="10CDB087" w14:textId="77777777" w:rsidR="00342321" w:rsidRPr="00BC31E0" w:rsidRDefault="00342321" w:rsidP="004736F2">
            <w:pPr>
              <w:snapToGrid w:val="0"/>
              <w:spacing w:line="300" w:lineRule="atLeast"/>
              <w:jc w:val="center"/>
              <w:rPr>
                <w:szCs w:val="20"/>
              </w:rPr>
            </w:pPr>
            <m:oMathPara>
              <m:oMath>
                <m:r>
                  <w:rPr>
                    <w:rFonts w:ascii="Cambria Math" w:hAnsi="Cambria Math"/>
                    <w:szCs w:val="20"/>
                  </w:rPr>
                  <m:t>Y=</m:t>
                </m:r>
                <m:r>
                  <w:rPr>
                    <w:rFonts w:ascii="Cambria Math" w:hAnsi="Cambria Math" w:hint="eastAsia"/>
                    <w:szCs w:val="20"/>
                  </w:rPr>
                  <m:t>2.5</m:t>
                </m:r>
              </m:oMath>
            </m:oMathPara>
          </w:p>
        </w:tc>
      </w:tr>
      <w:tr w:rsidR="00342321" w:rsidRPr="00BC31E0" w14:paraId="7C2645F2" w14:textId="77777777" w:rsidTr="004736F2">
        <w:trPr>
          <w:jc w:val="center"/>
        </w:trPr>
        <w:tc>
          <w:tcPr>
            <w:tcW w:w="992" w:type="dxa"/>
            <w:vMerge/>
            <w:vAlign w:val="center"/>
          </w:tcPr>
          <w:p w14:paraId="34E3311C" w14:textId="77777777" w:rsidR="00342321" w:rsidRPr="00BC31E0" w:rsidRDefault="00342321" w:rsidP="004736F2">
            <w:pPr>
              <w:snapToGrid w:val="0"/>
              <w:spacing w:line="300" w:lineRule="atLeast"/>
              <w:jc w:val="center"/>
              <w:rPr>
                <w:szCs w:val="20"/>
              </w:rPr>
            </w:pPr>
          </w:p>
        </w:tc>
        <w:tc>
          <w:tcPr>
            <w:tcW w:w="1594" w:type="dxa"/>
            <w:vAlign w:val="center"/>
          </w:tcPr>
          <w:p w14:paraId="0ADFE1B5" w14:textId="77777777" w:rsidR="00342321" w:rsidRPr="00BC31E0" w:rsidRDefault="00342321" w:rsidP="004736F2">
            <w:pPr>
              <w:snapToGrid w:val="0"/>
              <w:spacing w:line="300" w:lineRule="atLeast"/>
              <w:jc w:val="center"/>
              <w:rPr>
                <w:szCs w:val="20"/>
              </w:rPr>
            </w:pPr>
            <m:oMath>
              <m:r>
                <w:rPr>
                  <w:rFonts w:ascii="Cambria Math" w:hAnsi="Cambria Math"/>
                  <w:szCs w:val="20"/>
                </w:rPr>
                <m:t xml:space="preserve">a </m:t>
              </m:r>
            </m:oMath>
            <w:r w:rsidRPr="00BC31E0">
              <w:rPr>
                <w:rFonts w:asciiTheme="minorHAnsi" w:hAnsiTheme="minorHAnsi"/>
                <w:szCs w:val="20"/>
              </w:rPr>
              <w:t>(</w:t>
            </w:r>
            <m:oMath>
              <m:r>
                <m:rPr>
                  <m:sty m:val="p"/>
                </m:rPr>
                <w:rPr>
                  <w:rFonts w:ascii="Cambria Math" w:hAnsi="Cambria Math"/>
                  <w:szCs w:val="20"/>
                </w:rPr>
                <m:t>mm</m:t>
              </m:r>
            </m:oMath>
            <w:r w:rsidRPr="00BC31E0">
              <w:rPr>
                <w:rFonts w:asciiTheme="minorHAnsi" w:hAnsiTheme="minorHAnsi"/>
                <w:szCs w:val="20"/>
              </w:rPr>
              <w:t>)</w:t>
            </w:r>
          </w:p>
        </w:tc>
        <w:tc>
          <w:tcPr>
            <w:tcW w:w="1595" w:type="dxa"/>
            <w:vAlign w:val="center"/>
          </w:tcPr>
          <w:p w14:paraId="49E28AC2" w14:textId="77777777" w:rsidR="00342321" w:rsidRPr="00BC31E0" w:rsidRDefault="00342321" w:rsidP="004736F2">
            <w:pPr>
              <w:snapToGrid w:val="0"/>
              <w:spacing w:line="300" w:lineRule="atLeast"/>
              <w:jc w:val="center"/>
              <w:rPr>
                <w:szCs w:val="20"/>
              </w:rPr>
            </w:pPr>
            <m:oMath>
              <m:r>
                <w:rPr>
                  <w:rFonts w:ascii="Cambria Math" w:hAnsi="Cambria Math"/>
                  <w:szCs w:val="20"/>
                </w:rPr>
                <m:t xml:space="preserve">a </m:t>
              </m:r>
            </m:oMath>
            <w:r w:rsidRPr="00BC31E0">
              <w:rPr>
                <w:rFonts w:asciiTheme="minorHAnsi" w:hAnsiTheme="minorHAnsi"/>
                <w:szCs w:val="20"/>
              </w:rPr>
              <w:t>(</w:t>
            </w:r>
            <m:oMath>
              <m:r>
                <m:rPr>
                  <m:sty m:val="p"/>
                </m:rPr>
                <w:rPr>
                  <w:rFonts w:ascii="Cambria Math" w:hAnsi="Cambria Math"/>
                  <w:szCs w:val="20"/>
                </w:rPr>
                <m:t>mm</m:t>
              </m:r>
            </m:oMath>
            <w:r w:rsidRPr="00BC31E0">
              <w:rPr>
                <w:rFonts w:asciiTheme="minorHAnsi" w:hAnsiTheme="minorHAnsi"/>
                <w:szCs w:val="20"/>
              </w:rPr>
              <w:t>)</w:t>
            </w:r>
          </w:p>
        </w:tc>
        <w:tc>
          <w:tcPr>
            <w:tcW w:w="1595" w:type="dxa"/>
            <w:vAlign w:val="center"/>
          </w:tcPr>
          <w:p w14:paraId="12F2228D" w14:textId="77777777" w:rsidR="00342321" w:rsidRPr="00BC31E0" w:rsidRDefault="00342321" w:rsidP="004736F2">
            <w:pPr>
              <w:snapToGrid w:val="0"/>
              <w:spacing w:line="300" w:lineRule="atLeast"/>
              <w:jc w:val="center"/>
              <w:rPr>
                <w:szCs w:val="20"/>
              </w:rPr>
            </w:pPr>
            <m:oMath>
              <m:r>
                <w:rPr>
                  <w:rFonts w:ascii="Cambria Math" w:hAnsi="Cambria Math"/>
                  <w:szCs w:val="20"/>
                </w:rPr>
                <m:t xml:space="preserve">a </m:t>
              </m:r>
            </m:oMath>
            <w:r w:rsidRPr="00BC31E0">
              <w:rPr>
                <w:rFonts w:asciiTheme="minorHAnsi" w:hAnsiTheme="minorHAnsi"/>
                <w:szCs w:val="20"/>
              </w:rPr>
              <w:t>(</w:t>
            </w:r>
            <m:oMath>
              <m:r>
                <m:rPr>
                  <m:sty m:val="p"/>
                </m:rPr>
                <w:rPr>
                  <w:rFonts w:ascii="Cambria Math" w:hAnsi="Cambria Math"/>
                  <w:szCs w:val="20"/>
                </w:rPr>
                <m:t>mm</m:t>
              </m:r>
            </m:oMath>
            <w:r w:rsidRPr="00BC31E0">
              <w:rPr>
                <w:rFonts w:asciiTheme="minorHAnsi" w:hAnsiTheme="minorHAnsi"/>
                <w:szCs w:val="20"/>
              </w:rPr>
              <w:t>)</w:t>
            </w:r>
          </w:p>
        </w:tc>
        <w:tc>
          <w:tcPr>
            <w:tcW w:w="1595" w:type="dxa"/>
            <w:vAlign w:val="center"/>
          </w:tcPr>
          <w:p w14:paraId="6E24282D" w14:textId="77777777" w:rsidR="00342321" w:rsidRPr="00BC31E0" w:rsidRDefault="00342321" w:rsidP="004736F2">
            <w:pPr>
              <w:snapToGrid w:val="0"/>
              <w:spacing w:line="300" w:lineRule="atLeast"/>
              <w:jc w:val="center"/>
              <w:rPr>
                <w:szCs w:val="20"/>
              </w:rPr>
            </w:pPr>
            <m:oMath>
              <m:r>
                <w:rPr>
                  <w:rFonts w:ascii="Cambria Math" w:hAnsi="Cambria Math"/>
                  <w:szCs w:val="20"/>
                </w:rPr>
                <m:t xml:space="preserve">a </m:t>
              </m:r>
            </m:oMath>
            <w:r w:rsidRPr="00BC31E0">
              <w:rPr>
                <w:rFonts w:asciiTheme="minorHAnsi" w:hAnsiTheme="minorHAnsi"/>
                <w:szCs w:val="20"/>
              </w:rPr>
              <w:t>(</w:t>
            </w:r>
            <m:oMath>
              <m:r>
                <m:rPr>
                  <m:sty m:val="p"/>
                </m:rPr>
                <w:rPr>
                  <w:rFonts w:ascii="Cambria Math" w:hAnsi="Cambria Math"/>
                  <w:szCs w:val="20"/>
                </w:rPr>
                <m:t>mm</m:t>
              </m:r>
            </m:oMath>
            <w:r w:rsidRPr="00BC31E0">
              <w:rPr>
                <w:rFonts w:asciiTheme="minorHAnsi" w:hAnsiTheme="minorHAnsi"/>
                <w:szCs w:val="20"/>
              </w:rPr>
              <w:t>)</w:t>
            </w:r>
          </w:p>
        </w:tc>
      </w:tr>
      <w:tr w:rsidR="00342321" w:rsidRPr="00BC31E0" w14:paraId="5E84950E" w14:textId="77777777" w:rsidTr="004736F2">
        <w:trPr>
          <w:jc w:val="center"/>
        </w:trPr>
        <w:tc>
          <w:tcPr>
            <w:tcW w:w="992" w:type="dxa"/>
            <w:vAlign w:val="center"/>
          </w:tcPr>
          <w:p w14:paraId="63566201"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0.0</w:t>
            </w:r>
          </w:p>
        </w:tc>
        <w:tc>
          <w:tcPr>
            <w:tcW w:w="1594" w:type="dxa"/>
            <w:vAlign w:val="center"/>
          </w:tcPr>
          <w:p w14:paraId="03FA9B68"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4.51</w:t>
            </w:r>
          </w:p>
        </w:tc>
        <w:tc>
          <w:tcPr>
            <w:tcW w:w="1595" w:type="dxa"/>
            <w:vAlign w:val="center"/>
          </w:tcPr>
          <w:p w14:paraId="40288C7E"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2.82</w:t>
            </w:r>
          </w:p>
        </w:tc>
        <w:tc>
          <w:tcPr>
            <w:tcW w:w="1595" w:type="dxa"/>
            <w:vAlign w:val="center"/>
          </w:tcPr>
          <w:p w14:paraId="6EA2A1F3" w14:textId="77777777" w:rsidR="00342321" w:rsidRPr="00BC31E0" w:rsidRDefault="00342321" w:rsidP="004736F2">
            <w:pPr>
              <w:snapToGrid w:val="0"/>
              <w:spacing w:line="300" w:lineRule="atLeast"/>
              <w:jc w:val="center"/>
              <w:rPr>
                <w:rFonts w:ascii="Cambria Math" w:eastAsia="ＭＳ ゴシック" w:hAnsi="Cambria Math" w:cs="Tahoma"/>
                <w:sz w:val="22"/>
                <w:szCs w:val="22"/>
              </w:rPr>
            </w:pPr>
            <w:r w:rsidRPr="00BC31E0">
              <w:rPr>
                <w:rFonts w:ascii="Cambria Math" w:eastAsia="ＭＳ ゴシック" w:hAnsi="Cambria Math" w:cs="Tahoma"/>
                <w:sz w:val="22"/>
                <w:szCs w:val="22"/>
              </w:rPr>
              <w:t>1.40</w:t>
            </w:r>
          </w:p>
        </w:tc>
        <w:tc>
          <w:tcPr>
            <w:tcW w:w="1595" w:type="dxa"/>
            <w:vAlign w:val="center"/>
          </w:tcPr>
          <w:p w14:paraId="702BE1DB" w14:textId="77777777" w:rsidR="00342321" w:rsidRPr="00BC31E0" w:rsidRDefault="00342321" w:rsidP="004736F2">
            <w:pPr>
              <w:snapToGrid w:val="0"/>
              <w:spacing w:line="300" w:lineRule="atLeast"/>
              <w:jc w:val="center"/>
              <w:rPr>
                <w:rFonts w:ascii="ＭＳ ゴシック" w:eastAsia="ＭＳ ゴシック" w:hAnsi="ＭＳ ゴシック"/>
                <w:b/>
                <w:szCs w:val="20"/>
              </w:rPr>
            </w:pPr>
            <w:r w:rsidRPr="00BC31E0">
              <w:rPr>
                <w:rFonts w:ascii="ＭＳ ゴシック" w:eastAsia="ＭＳ ゴシック" w:hAnsi="ＭＳ ゴシック" w:hint="eastAsia"/>
                <w:b/>
                <w:szCs w:val="20"/>
                <w:vertAlign w:val="superscript"/>
              </w:rPr>
              <w:t>a)</w:t>
            </w:r>
          </w:p>
        </w:tc>
      </w:tr>
      <w:tr w:rsidR="00342321" w:rsidRPr="00BC31E0" w14:paraId="438E230F" w14:textId="77777777" w:rsidTr="004736F2">
        <w:trPr>
          <w:jc w:val="center"/>
        </w:trPr>
        <w:tc>
          <w:tcPr>
            <w:tcW w:w="992" w:type="dxa"/>
            <w:vAlign w:val="center"/>
          </w:tcPr>
          <w:p w14:paraId="1F5715BA"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0.1</w:t>
            </w:r>
          </w:p>
        </w:tc>
        <w:tc>
          <w:tcPr>
            <w:tcW w:w="1594" w:type="dxa"/>
            <w:vAlign w:val="center"/>
          </w:tcPr>
          <w:p w14:paraId="6AE939AA"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5.12</w:t>
            </w:r>
          </w:p>
        </w:tc>
        <w:tc>
          <w:tcPr>
            <w:tcW w:w="1595" w:type="dxa"/>
            <w:vAlign w:val="center"/>
          </w:tcPr>
          <w:p w14:paraId="10561856"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3.27</w:t>
            </w:r>
          </w:p>
        </w:tc>
        <w:tc>
          <w:tcPr>
            <w:tcW w:w="1595" w:type="dxa"/>
            <w:vAlign w:val="center"/>
          </w:tcPr>
          <w:p w14:paraId="51F04C2B"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1.70</w:t>
            </w:r>
          </w:p>
        </w:tc>
        <w:tc>
          <w:tcPr>
            <w:tcW w:w="1595" w:type="dxa"/>
            <w:vAlign w:val="center"/>
          </w:tcPr>
          <w:p w14:paraId="0AA6FEEB" w14:textId="77777777" w:rsidR="00342321" w:rsidRPr="00BC31E0" w:rsidRDefault="00342321" w:rsidP="004736F2">
            <w:pPr>
              <w:snapToGrid w:val="0"/>
              <w:spacing w:line="300" w:lineRule="atLeast"/>
              <w:jc w:val="center"/>
              <w:rPr>
                <w:rFonts w:ascii="ＭＳ ゴシック" w:eastAsia="ＭＳ ゴシック" w:hAnsi="ＭＳ ゴシック"/>
                <w:b/>
                <w:szCs w:val="20"/>
              </w:rPr>
            </w:pPr>
            <w:r w:rsidRPr="00BC31E0">
              <w:rPr>
                <w:rFonts w:ascii="ＭＳ ゴシック" w:eastAsia="ＭＳ ゴシック" w:hAnsi="ＭＳ ゴシック" w:hint="eastAsia"/>
                <w:b/>
                <w:szCs w:val="20"/>
                <w:vertAlign w:val="superscript"/>
              </w:rPr>
              <w:t>a)</w:t>
            </w:r>
          </w:p>
        </w:tc>
      </w:tr>
      <w:tr w:rsidR="00342321" w:rsidRPr="00BC31E0" w14:paraId="22390105" w14:textId="77777777" w:rsidTr="004736F2">
        <w:trPr>
          <w:jc w:val="center"/>
        </w:trPr>
        <w:tc>
          <w:tcPr>
            <w:tcW w:w="992" w:type="dxa"/>
            <w:vAlign w:val="center"/>
          </w:tcPr>
          <w:p w14:paraId="3EE3DE4D"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0.2</w:t>
            </w:r>
          </w:p>
        </w:tc>
        <w:tc>
          <w:tcPr>
            <w:tcW w:w="1594" w:type="dxa"/>
            <w:vAlign w:val="center"/>
          </w:tcPr>
          <w:p w14:paraId="46D4005F"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6.55</w:t>
            </w:r>
          </w:p>
        </w:tc>
        <w:tc>
          <w:tcPr>
            <w:tcW w:w="1595" w:type="dxa"/>
            <w:vAlign w:val="center"/>
          </w:tcPr>
          <w:p w14:paraId="4E1F1287"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4.28</w:t>
            </w:r>
          </w:p>
        </w:tc>
        <w:tc>
          <w:tcPr>
            <w:tcW w:w="1595" w:type="dxa"/>
            <w:vAlign w:val="center"/>
          </w:tcPr>
          <w:p w14:paraId="1916B2F7"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2.30</w:t>
            </w:r>
          </w:p>
        </w:tc>
        <w:tc>
          <w:tcPr>
            <w:tcW w:w="1595" w:type="dxa"/>
            <w:vAlign w:val="center"/>
          </w:tcPr>
          <w:p w14:paraId="16DC731E" w14:textId="77777777" w:rsidR="00342321" w:rsidRPr="00BC31E0" w:rsidRDefault="00342321" w:rsidP="004736F2">
            <w:pPr>
              <w:snapToGrid w:val="0"/>
              <w:spacing w:line="300" w:lineRule="atLeast"/>
              <w:jc w:val="center"/>
              <w:rPr>
                <w:rFonts w:ascii="Cambria Math" w:eastAsia="ＭＳ ゴシック" w:hAnsi="Cambria Math"/>
                <w:sz w:val="22"/>
                <w:szCs w:val="22"/>
              </w:rPr>
            </w:pPr>
            <w:r w:rsidRPr="00BC31E0">
              <w:rPr>
                <w:rFonts w:ascii="Cambria Math" w:eastAsia="ＭＳ ゴシック" w:hAnsi="Cambria Math"/>
                <w:sz w:val="22"/>
                <w:szCs w:val="22"/>
              </w:rPr>
              <w:t>1.34</w:t>
            </w:r>
          </w:p>
        </w:tc>
      </w:tr>
      <w:tr w:rsidR="00342321" w:rsidRPr="00BC31E0" w14:paraId="6A7242A7" w14:textId="77777777" w:rsidTr="004736F2">
        <w:trPr>
          <w:jc w:val="center"/>
        </w:trPr>
        <w:tc>
          <w:tcPr>
            <w:tcW w:w="992" w:type="dxa"/>
            <w:vAlign w:val="center"/>
          </w:tcPr>
          <w:p w14:paraId="7FE8DC5A"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0.3</w:t>
            </w:r>
          </w:p>
        </w:tc>
        <w:tc>
          <w:tcPr>
            <w:tcW w:w="1594" w:type="dxa"/>
            <w:vAlign w:val="center"/>
          </w:tcPr>
          <w:p w14:paraId="235A6A19"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8.60</w:t>
            </w:r>
          </w:p>
        </w:tc>
        <w:tc>
          <w:tcPr>
            <w:tcW w:w="1595" w:type="dxa"/>
            <w:vAlign w:val="center"/>
          </w:tcPr>
          <w:p w14:paraId="5EA50F3B"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5.74</w:t>
            </w:r>
          </w:p>
        </w:tc>
        <w:tc>
          <w:tcPr>
            <w:tcW w:w="1595" w:type="dxa"/>
            <w:vAlign w:val="center"/>
          </w:tcPr>
          <w:p w14:paraId="7D463594"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3.17</w:t>
            </w:r>
          </w:p>
        </w:tc>
        <w:tc>
          <w:tcPr>
            <w:tcW w:w="1595" w:type="dxa"/>
            <w:vAlign w:val="center"/>
          </w:tcPr>
          <w:p w14:paraId="0982653B"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1.95</w:t>
            </w:r>
          </w:p>
        </w:tc>
      </w:tr>
      <w:tr w:rsidR="00342321" w:rsidRPr="00BC31E0" w14:paraId="7300BFE6" w14:textId="77777777" w:rsidTr="004736F2">
        <w:trPr>
          <w:jc w:val="center"/>
        </w:trPr>
        <w:tc>
          <w:tcPr>
            <w:tcW w:w="992" w:type="dxa"/>
            <w:vAlign w:val="center"/>
          </w:tcPr>
          <w:p w14:paraId="3C73DFAD"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0.4</w:t>
            </w:r>
          </w:p>
        </w:tc>
        <w:tc>
          <w:tcPr>
            <w:tcW w:w="1594" w:type="dxa"/>
            <w:vAlign w:val="center"/>
          </w:tcPr>
          <w:p w14:paraId="4458D5FA"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11.3</w:t>
            </w:r>
          </w:p>
        </w:tc>
        <w:tc>
          <w:tcPr>
            <w:tcW w:w="1595" w:type="dxa"/>
            <w:vAlign w:val="center"/>
          </w:tcPr>
          <w:p w14:paraId="1F15A167"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7.68</w:t>
            </w:r>
          </w:p>
        </w:tc>
        <w:tc>
          <w:tcPr>
            <w:tcW w:w="1595" w:type="dxa"/>
            <w:vAlign w:val="center"/>
          </w:tcPr>
          <w:p w14:paraId="1BDDAE22"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4.65</w:t>
            </w:r>
          </w:p>
        </w:tc>
        <w:tc>
          <w:tcPr>
            <w:tcW w:w="1595" w:type="dxa"/>
            <w:vAlign w:val="center"/>
          </w:tcPr>
          <w:p w14:paraId="226E0D4B"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3.13</w:t>
            </w:r>
          </w:p>
        </w:tc>
      </w:tr>
      <w:tr w:rsidR="00342321" w:rsidRPr="00BC31E0" w14:paraId="6A78D7B6" w14:textId="77777777" w:rsidTr="004736F2">
        <w:trPr>
          <w:jc w:val="center"/>
        </w:trPr>
        <w:tc>
          <w:tcPr>
            <w:tcW w:w="992" w:type="dxa"/>
            <w:vAlign w:val="center"/>
          </w:tcPr>
          <w:p w14:paraId="7ECEC998"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0.5</w:t>
            </w:r>
          </w:p>
        </w:tc>
        <w:tc>
          <w:tcPr>
            <w:tcW w:w="1594" w:type="dxa"/>
            <w:vAlign w:val="center"/>
          </w:tcPr>
          <w:p w14:paraId="5E18D3EA"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11.8</w:t>
            </w:r>
          </w:p>
        </w:tc>
        <w:tc>
          <w:tcPr>
            <w:tcW w:w="1595" w:type="dxa"/>
            <w:vAlign w:val="center"/>
          </w:tcPr>
          <w:p w14:paraId="7986900C"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8.01</w:t>
            </w:r>
          </w:p>
        </w:tc>
        <w:tc>
          <w:tcPr>
            <w:tcW w:w="1595" w:type="dxa"/>
            <w:vAlign w:val="center"/>
          </w:tcPr>
          <w:p w14:paraId="3A51069C"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4.85</w:t>
            </w:r>
          </w:p>
        </w:tc>
        <w:tc>
          <w:tcPr>
            <w:tcW w:w="1595" w:type="dxa"/>
            <w:vAlign w:val="center"/>
          </w:tcPr>
          <w:p w14:paraId="51775807"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3.25</w:t>
            </w:r>
          </w:p>
        </w:tc>
      </w:tr>
    </w:tbl>
    <w:p w14:paraId="38F852C9" w14:textId="77777777" w:rsidR="00342321" w:rsidRPr="00BC31E0" w:rsidRDefault="00342321" w:rsidP="00342321">
      <w:pPr>
        <w:snapToGrid w:val="0"/>
        <w:spacing w:before="60" w:line="320" w:lineRule="atLeast"/>
        <w:ind w:left="1474" w:hanging="794"/>
        <w:jc w:val="left"/>
        <w:rPr>
          <w:szCs w:val="20"/>
        </w:rPr>
      </w:pPr>
      <w:r w:rsidRPr="00BC31E0">
        <w:rPr>
          <w:rFonts w:ascii="ＭＳ ゴシック" w:eastAsia="ＭＳ ゴシック" w:hAnsi="ＭＳ ゴシック" w:hint="eastAsia"/>
          <w:b/>
          <w:szCs w:val="20"/>
        </w:rPr>
        <w:t>注記</w:t>
      </w:r>
      <w:r w:rsidRPr="00BC31E0">
        <w:rPr>
          <w:rFonts w:ascii="ＭＳ 明朝" w:hAnsi="ＭＳ 明朝" w:hint="eastAsia"/>
          <w:szCs w:val="20"/>
        </w:rPr>
        <w:t xml:space="preserve">　</w:t>
      </w:r>
      <w:r w:rsidRPr="00BC31E0">
        <w:rPr>
          <w:rFonts w:hAnsi="ＭＳ 明朝"/>
          <w:szCs w:val="20"/>
        </w:rPr>
        <w:t>中間の</w:t>
      </w:r>
      <w:r w:rsidRPr="00BC31E0">
        <w:rPr>
          <w:rFonts w:hAnsi="ＭＳ 明朝" w:hint="eastAsia"/>
          <w:szCs w:val="20"/>
        </w:rPr>
        <w:t>内外径比</w:t>
      </w:r>
      <m:oMath>
        <m:r>
          <m:rPr>
            <m:sty m:val="p"/>
          </m:rPr>
          <w:rPr>
            <w:rFonts w:ascii="Cambria Math" w:hAnsi="Cambria Math"/>
            <w:szCs w:val="20"/>
          </w:rPr>
          <m:t xml:space="preserve"> </m:t>
        </m:r>
        <m:r>
          <w:rPr>
            <w:rFonts w:ascii="Cambria Math" w:hAnsi="Cambria Math"/>
            <w:szCs w:val="20"/>
          </w:rPr>
          <m:t xml:space="preserve">Y </m:t>
        </m:r>
      </m:oMath>
      <w:r w:rsidRPr="00BC31E0">
        <w:rPr>
          <w:rFonts w:hAnsi="ＭＳ 明朝"/>
          <w:szCs w:val="20"/>
        </w:rPr>
        <w:t>の値及び</w:t>
      </w:r>
      <m:oMath>
        <m:f>
          <m:fPr>
            <m:type m:val="lin"/>
            <m:ctrlPr>
              <w:rPr>
                <w:rFonts w:ascii="Cambria Math" w:hAnsi="Cambria Math"/>
                <w:i/>
                <w:szCs w:val="20"/>
              </w:rPr>
            </m:ctrlPr>
          </m:fPr>
          <m:num>
            <m:r>
              <w:rPr>
                <w:rFonts w:ascii="Cambria Math" w:hAnsi="Cambria Math"/>
                <w:szCs w:val="20"/>
              </w:rPr>
              <m:t xml:space="preserve"> a</m:t>
            </m:r>
          </m:num>
          <m:den>
            <m:r>
              <w:rPr>
                <w:rFonts w:ascii="Cambria Math" w:hAnsi="Cambria Math"/>
                <w:szCs w:val="20"/>
              </w:rPr>
              <m:t>l</m:t>
            </m:r>
          </m:den>
        </m:f>
        <m:r>
          <w:rPr>
            <w:rFonts w:ascii="Cambria Math" w:hAnsi="Cambria Math"/>
            <w:szCs w:val="20"/>
          </w:rPr>
          <m:t xml:space="preserve"> </m:t>
        </m:r>
      </m:oMath>
      <w:r w:rsidRPr="00BC31E0">
        <w:rPr>
          <w:rFonts w:hAnsi="ＭＳ 明朝"/>
          <w:szCs w:val="20"/>
        </w:rPr>
        <w:t>の値に対しては，線形補間</w:t>
      </w:r>
      <w:r w:rsidRPr="00BC31E0">
        <w:rPr>
          <w:rFonts w:hAnsi="ＭＳ 明朝" w:hint="eastAsia"/>
          <w:szCs w:val="20"/>
        </w:rPr>
        <w:t>により</w:t>
      </w:r>
      <m:oMath>
        <m:r>
          <m:rPr>
            <m:sty m:val="p"/>
          </m:rPr>
          <w:rPr>
            <w:rFonts w:ascii="Cambria Math" w:hAnsi="Cambria Math"/>
            <w:szCs w:val="20"/>
          </w:rPr>
          <m:t xml:space="preserve"> </m:t>
        </m:r>
        <m:r>
          <w:rPr>
            <w:rFonts w:ascii="Cambria Math" w:hAnsi="Cambria Math"/>
            <w:szCs w:val="20"/>
          </w:rPr>
          <m:t xml:space="preserve">a </m:t>
        </m:r>
      </m:oMath>
      <w:r w:rsidRPr="00BC31E0">
        <w:rPr>
          <w:rFonts w:hAnsi="ＭＳ 明朝"/>
          <w:szCs w:val="20"/>
        </w:rPr>
        <w:t>を求める。</w:t>
      </w:r>
    </w:p>
    <w:p w14:paraId="298CB18D" w14:textId="77777777" w:rsidR="00342321" w:rsidRPr="00BC31E0" w:rsidRDefault="00342321" w:rsidP="00342321">
      <w:pPr>
        <w:snapToGrid w:val="0"/>
        <w:spacing w:line="320" w:lineRule="atLeast"/>
        <w:ind w:left="1275" w:hanging="595"/>
        <w:jc w:val="left"/>
        <w:rPr>
          <w:szCs w:val="20"/>
        </w:rPr>
      </w:pPr>
      <w:r w:rsidRPr="00BC31E0">
        <w:rPr>
          <w:rFonts w:ascii="ＭＳ ゴシック" w:eastAsia="ＭＳ ゴシック" w:hAnsi="ＭＳ ゴシック" w:hint="eastAsia"/>
          <w:b/>
          <w:szCs w:val="20"/>
        </w:rPr>
        <w:t>注</w:t>
      </w:r>
      <w:r w:rsidRPr="00BC31E0">
        <w:rPr>
          <w:rFonts w:ascii="ＭＳ ゴシック" w:eastAsia="ＭＳ ゴシック" w:hAnsi="ＭＳ ゴシック" w:hint="eastAsia"/>
          <w:b/>
          <w:szCs w:val="20"/>
          <w:vertAlign w:val="superscript"/>
        </w:rPr>
        <w:t>a)</w:t>
      </w:r>
      <w:r w:rsidRPr="00BC31E0">
        <w:rPr>
          <w:rFonts w:ascii="ＭＳ 明朝" w:hAnsi="ＭＳ 明朝" w:hint="eastAsia"/>
          <w:szCs w:val="20"/>
        </w:rPr>
        <w:t xml:space="preserve">　</w:t>
      </w:r>
      <w:r w:rsidRPr="00BC31E0">
        <w:rPr>
          <w:szCs w:val="20"/>
        </w:rPr>
        <w:t>使用者設計仕様書</w:t>
      </w:r>
      <w:r w:rsidRPr="00BC31E0">
        <w:rPr>
          <w:rFonts w:hint="eastAsia"/>
          <w:szCs w:val="20"/>
        </w:rPr>
        <w:t>に</w:t>
      </w:r>
      <w:r w:rsidRPr="00BC31E0">
        <w:rPr>
          <w:rFonts w:ascii="ＭＳ ゴシック" w:eastAsia="ＭＳ ゴシック" w:hAnsi="ＭＳ ゴシック" w:hint="eastAsia"/>
          <w:b/>
          <w:szCs w:val="20"/>
        </w:rPr>
        <w:t>表5.2.2</w:t>
      </w:r>
      <w:r w:rsidRPr="00BC31E0">
        <w:rPr>
          <w:rFonts w:hint="eastAsia"/>
          <w:szCs w:val="20"/>
        </w:rPr>
        <w:t>よりも高い</w:t>
      </w:r>
      <w:r w:rsidRPr="00BC31E0">
        <w:rPr>
          <w:szCs w:val="20"/>
        </w:rPr>
        <w:t>要求シャルピー</w:t>
      </w:r>
      <w:r w:rsidRPr="00BC31E0">
        <w:rPr>
          <w:rFonts w:hint="eastAsia"/>
          <w:szCs w:val="20"/>
        </w:rPr>
        <w:t>衝撃</w:t>
      </w:r>
      <w:r w:rsidRPr="00BC31E0">
        <w:rPr>
          <w:szCs w:val="20"/>
        </w:rPr>
        <w:t>吸収エネルギー</w:t>
      </w:r>
      <w:r w:rsidRPr="00BC31E0">
        <w:rPr>
          <w:rFonts w:hint="eastAsia"/>
          <w:szCs w:val="20"/>
        </w:rPr>
        <w:t>が規定されている場合には，</w:t>
      </w:r>
      <w:r w:rsidRPr="00BC31E0">
        <w:rPr>
          <w:rFonts w:ascii="ＭＳ ゴシック" w:eastAsia="ＭＳ ゴシック" w:hAnsi="ＭＳ ゴシック" w:hint="eastAsia"/>
          <w:b/>
          <w:szCs w:val="20"/>
        </w:rPr>
        <w:t>9.3.6 c) 2) 2.3)</w:t>
      </w:r>
      <w:r w:rsidRPr="00BC31E0">
        <w:rPr>
          <w:rFonts w:hint="eastAsia"/>
          <w:szCs w:val="20"/>
        </w:rPr>
        <w:t>に</w:t>
      </w:r>
      <w:r w:rsidRPr="00BC31E0">
        <w:rPr>
          <w:szCs w:val="20"/>
        </w:rPr>
        <w:t>より</w:t>
      </w:r>
      <w:r w:rsidRPr="00BC31E0">
        <w:rPr>
          <w:rFonts w:hint="eastAsia"/>
          <w:szCs w:val="20"/>
        </w:rPr>
        <w:t>製作者が許容きず寸法を算出</w:t>
      </w:r>
      <w:r w:rsidR="006F747C" w:rsidRPr="00BC31E0">
        <w:rPr>
          <w:rFonts w:hint="eastAsia"/>
          <w:szCs w:val="20"/>
        </w:rPr>
        <w:t>してもよい</w:t>
      </w:r>
      <w:r w:rsidRPr="00BC31E0">
        <w:rPr>
          <w:rFonts w:hint="eastAsia"/>
          <w:szCs w:val="20"/>
        </w:rPr>
        <w:t>。</w:t>
      </w:r>
    </w:p>
    <w:p w14:paraId="15844179" w14:textId="77777777" w:rsidR="00342321" w:rsidRPr="00BC31E0" w:rsidRDefault="00342321" w:rsidP="00342321">
      <w:pPr>
        <w:jc w:val="center"/>
        <w:rPr>
          <w:szCs w:val="20"/>
        </w:rPr>
      </w:pPr>
      <w:r w:rsidRPr="00BC31E0">
        <w:rPr>
          <w:rFonts w:ascii="ＭＳ ゴシック" w:eastAsia="ＭＳ ゴシック" w:hAnsi="ＭＳ ゴシック" w:hint="eastAsia"/>
          <w:b/>
          <w:szCs w:val="20"/>
        </w:rPr>
        <w:lastRenderedPageBreak/>
        <w:t>表9.3.8　表面きずの許容きず寸法 (</w:t>
      </w:r>
      <m:oMath>
        <m:r>
          <m:rPr>
            <m:sty m:val="bi"/>
          </m:rPr>
          <w:rPr>
            <w:rFonts w:ascii="Cambria Math" w:eastAsia="ＭＳ ゴシック" w:hAnsi="Cambria Math"/>
            <w:sz w:val="22"/>
            <w:szCs w:val="22"/>
          </w:rPr>
          <m:t>260</m:t>
        </m:r>
        <m:r>
          <w:rPr>
            <w:rFonts w:ascii="Cambria Math" w:eastAsia="ＭＳ ゴシック" w:hAnsi="Cambria Math"/>
            <w:sz w:val="22"/>
            <w:szCs w:val="22"/>
          </w:rPr>
          <m:t>&lt;</m:t>
        </m:r>
        <m:sSub>
          <m:sSubPr>
            <m:ctrlPr>
              <w:rPr>
                <w:rFonts w:ascii="Cambria Math" w:eastAsia="ＭＳ ゴシック" w:hAnsi="Cambria Math"/>
                <w:b/>
                <w:i/>
                <w:sz w:val="22"/>
                <w:szCs w:val="22"/>
              </w:rPr>
            </m:ctrlPr>
          </m:sSubPr>
          <m:e>
            <m:r>
              <m:rPr>
                <m:sty m:val="bi"/>
              </m:rPr>
              <w:rPr>
                <w:rFonts w:ascii="Cambria Math" w:eastAsia="ＭＳ ゴシック" w:hAnsi="Cambria Math"/>
                <w:sz w:val="22"/>
                <w:szCs w:val="22"/>
              </w:rPr>
              <m:t>S</m:t>
            </m:r>
          </m:e>
          <m:sub>
            <m:r>
              <m:rPr>
                <m:sty m:val="bi"/>
              </m:rPr>
              <w:rPr>
                <w:rFonts w:ascii="Cambria Math" w:eastAsia="ＭＳ ゴシック" w:hAnsi="Cambria Math"/>
                <w:sz w:val="22"/>
                <w:szCs w:val="22"/>
                <w:vertAlign w:val="subscript"/>
              </w:rPr>
              <m:t>y</m:t>
            </m:r>
          </m:sub>
        </m:sSub>
        <m:r>
          <m:rPr>
            <m:sty m:val="bi"/>
          </m:rPr>
          <w:rPr>
            <w:rFonts w:ascii="Cambria Math" w:eastAsia="ＭＳ ゴシック" w:hAnsi="Cambria Math"/>
            <w:sz w:val="22"/>
            <w:szCs w:val="22"/>
          </w:rPr>
          <m:t>≦415</m:t>
        </m:r>
        <m:r>
          <m:rPr>
            <m:sty m:val="b"/>
          </m:rPr>
          <w:rPr>
            <w:rFonts w:ascii="Cambria Math" w:eastAsia="ＭＳ ゴシック" w:hAnsi="Cambria Math"/>
            <w:sz w:val="22"/>
            <w:szCs w:val="22"/>
          </w:rPr>
          <m:t xml:space="preserve"> MPa</m:t>
        </m:r>
      </m:oMath>
      <w:r w:rsidRPr="00BC31E0">
        <w:rPr>
          <w:rFonts w:ascii="ＭＳ ゴシック" w:eastAsia="ＭＳ ゴシック" w:hAnsi="ＭＳ ゴシック" w:hint="eastAsia"/>
          <w:b/>
          <w:szCs w:val="20"/>
        </w:rPr>
        <w:t>，溶接後熱処理</w:t>
      </w:r>
      <w:r w:rsidRPr="00BC31E0">
        <w:rPr>
          <w:rFonts w:ascii="ＭＳ ゴシック" w:eastAsia="ＭＳ ゴシック" w:hAnsi="ＭＳ ゴシック"/>
          <w:b/>
          <w:szCs w:val="20"/>
        </w:rPr>
        <w:t>あり</w:t>
      </w:r>
      <w:r w:rsidRPr="00BC31E0">
        <w:rPr>
          <w:rFonts w:ascii="ＭＳ ゴシック" w:eastAsia="ＭＳ ゴシック" w:hAnsi="ＭＳ ゴシック" w:hint="eastAsia"/>
          <w:b/>
          <w:szCs w:val="20"/>
        </w:rPr>
        <w:t>)</w:t>
      </w:r>
    </w:p>
    <w:tbl>
      <w:tblPr>
        <w:tblW w:w="0" w:type="auto"/>
        <w:tblInd w:w="1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4"/>
      </w:tblGrid>
      <w:tr w:rsidR="00342321" w:rsidRPr="00BC31E0" w14:paraId="0FA08B10" w14:textId="77777777" w:rsidTr="004736F2">
        <w:tc>
          <w:tcPr>
            <w:tcW w:w="5324" w:type="dxa"/>
          </w:tcPr>
          <w:p w14:paraId="0DD06ADE" w14:textId="77777777" w:rsidR="00342321" w:rsidRPr="00BC31E0" w:rsidRDefault="00342321" w:rsidP="004736F2">
            <w:pPr>
              <w:snapToGrid w:val="0"/>
              <w:spacing w:line="320" w:lineRule="atLeast"/>
              <w:jc w:val="center"/>
              <w:rPr>
                <w:i/>
                <w:szCs w:val="20"/>
              </w:rPr>
            </w:pPr>
            <m:oMathPara>
              <m:oMath>
                <m:r>
                  <w:rPr>
                    <w:rFonts w:ascii="Cambria Math" w:hAnsi="Cambria Math" w:hint="eastAsia"/>
                    <w:szCs w:val="20"/>
                  </w:rPr>
                  <m:t>13</m:t>
                </m:r>
                <m:r>
                  <w:rPr>
                    <w:rFonts w:ascii="Cambria Math" w:hAnsi="Cambria Math"/>
                    <w:szCs w:val="20"/>
                  </w:rPr>
                  <m:t>≦t&lt;</m:t>
                </m:r>
                <m:r>
                  <w:rPr>
                    <w:rFonts w:ascii="Cambria Math" w:hAnsi="Cambria Math" w:hint="eastAsia"/>
                    <w:szCs w:val="20"/>
                  </w:rPr>
                  <m:t>25</m:t>
                </m:r>
                <m:r>
                  <m:rPr>
                    <m:sty m:val="p"/>
                  </m:rPr>
                  <w:rPr>
                    <w:rFonts w:ascii="Cambria Math" w:hAnsi="Cambria Math" w:hint="eastAsia"/>
                    <w:szCs w:val="20"/>
                  </w:rPr>
                  <m:t xml:space="preserve"> mm</m:t>
                </m:r>
              </m:oMath>
            </m:oMathPara>
          </w:p>
        </w:tc>
      </w:tr>
      <w:tr w:rsidR="00342321" w:rsidRPr="00BC31E0" w14:paraId="2D078B4A" w14:textId="77777777" w:rsidTr="004736F2">
        <w:tc>
          <w:tcPr>
            <w:tcW w:w="5324" w:type="dxa"/>
          </w:tcPr>
          <w:p w14:paraId="1D039212" w14:textId="77777777" w:rsidR="00342321" w:rsidRPr="00BC31E0" w:rsidRDefault="00A51873" w:rsidP="004736F2">
            <w:pPr>
              <w:snapToGrid w:val="0"/>
              <w:spacing w:line="320" w:lineRule="atLeast"/>
              <w:jc w:val="center"/>
            </w:pPr>
            <m:oMath>
              <m:f>
                <m:fPr>
                  <m:type m:val="lin"/>
                  <m:ctrlPr>
                    <w:rPr>
                      <w:rFonts w:ascii="Cambria Math" w:hAnsi="Cambria Math"/>
                      <w:i/>
                      <w:kern w:val="0"/>
                    </w:rPr>
                  </m:ctrlPr>
                </m:fPr>
                <m:num>
                  <m:r>
                    <w:rPr>
                      <w:rFonts w:ascii="Cambria Math" w:hAnsi="Cambria Math"/>
                      <w:kern w:val="0"/>
                    </w:rPr>
                    <m:t>a</m:t>
                  </m:r>
                </m:num>
                <m:den>
                  <m:r>
                    <w:rPr>
                      <w:rFonts w:ascii="Cambria Math" w:hAnsi="Cambria Math"/>
                      <w:kern w:val="0"/>
                    </w:rPr>
                    <m:t>t</m:t>
                  </m:r>
                </m:den>
              </m:f>
              <m:r>
                <m:rPr>
                  <m:sty m:val="p"/>
                </m:rPr>
                <w:rPr>
                  <w:rFonts w:ascii="Cambria Math" w:hAnsi="Cambria Math"/>
                </w:rPr>
                <m:t>≦0.087</m:t>
              </m:r>
            </m:oMath>
            <w:r w:rsidR="00342321" w:rsidRPr="00BC31E0">
              <w:rPr>
                <w:rFonts w:hAnsi="ＭＳ 明朝"/>
              </w:rPr>
              <w:t xml:space="preserve">　</w:t>
            </w:r>
            <w:r w:rsidR="00342321" w:rsidRPr="00BC31E0">
              <w:rPr>
                <w:rFonts w:hAnsi="ＭＳ 明朝" w:hint="eastAsia"/>
              </w:rPr>
              <w:t>及</w:t>
            </w:r>
            <w:r w:rsidR="00342321" w:rsidRPr="00BC31E0">
              <w:rPr>
                <w:rFonts w:hAnsi="ＭＳ 明朝"/>
              </w:rPr>
              <w:t xml:space="preserve">び　</w:t>
            </w:r>
            <m:oMath>
              <m:r>
                <w:rPr>
                  <w:rFonts w:ascii="Cambria Math" w:hAnsi="Cambria Math"/>
                </w:rPr>
                <m:t>l</m:t>
              </m:r>
              <m:r>
                <w:rPr>
                  <w:rFonts w:ascii="Cambria Math" w:hAnsi="Cambria Math" w:hint="eastAsia"/>
                </w:rPr>
                <m:t xml:space="preserve"> </m:t>
              </m:r>
              <m:r>
                <w:rPr>
                  <w:rFonts w:ascii="Cambria Math" w:hAnsi="Cambria Math"/>
                </w:rPr>
                <m:t>≦</m:t>
              </m:r>
              <m:r>
                <w:rPr>
                  <w:rFonts w:ascii="Cambria Math" w:hAnsi="Cambria Math" w:hint="eastAsia"/>
                </w:rPr>
                <m:t>6.4</m:t>
              </m:r>
              <m:r>
                <m:rPr>
                  <m:sty m:val="p"/>
                </m:rPr>
                <w:rPr>
                  <w:rFonts w:ascii="Cambria Math" w:hAnsi="Cambria Math"/>
                </w:rPr>
                <m:t xml:space="preserve"> mm</m:t>
              </m:r>
            </m:oMath>
          </w:p>
        </w:tc>
      </w:tr>
    </w:tbl>
    <w:p w14:paraId="15776C0E" w14:textId="77777777" w:rsidR="00CA187B" w:rsidRPr="00BC31E0" w:rsidRDefault="00CA187B" w:rsidP="00E071EE">
      <w:pPr>
        <w:spacing w:line="200" w:lineRule="exact"/>
        <w:rPr>
          <w:rFonts w:ascii="ＭＳ ゴシック" w:eastAsia="ＭＳ ゴシック" w:hAnsi="ＭＳ ゴシック"/>
          <w:b/>
          <w:szCs w:val="20"/>
        </w:rPr>
      </w:pPr>
    </w:p>
    <w:p w14:paraId="21790438" w14:textId="77777777" w:rsidR="00342321" w:rsidRPr="00BC31E0" w:rsidRDefault="00342321" w:rsidP="00CA187B">
      <w:pPr>
        <w:jc w:val="center"/>
        <w:rPr>
          <w:szCs w:val="20"/>
        </w:rPr>
      </w:pPr>
      <w:r w:rsidRPr="00BC31E0">
        <w:rPr>
          <w:rFonts w:ascii="ＭＳ ゴシック" w:eastAsia="ＭＳ ゴシック" w:hAnsi="ＭＳ ゴシック" w:hint="eastAsia"/>
          <w:b/>
          <w:szCs w:val="20"/>
        </w:rPr>
        <w:t>表9.3.9　表面きずの許容きず寸法 (</w:t>
      </w:r>
      <m:oMath>
        <m:r>
          <m:rPr>
            <m:sty m:val="bi"/>
          </m:rPr>
          <w:rPr>
            <w:rFonts w:ascii="Cambria Math" w:eastAsia="ＭＳ ゴシック" w:hAnsi="Cambria Math"/>
            <w:sz w:val="22"/>
            <w:szCs w:val="22"/>
          </w:rPr>
          <m:t>260</m:t>
        </m:r>
        <m:r>
          <w:rPr>
            <w:rFonts w:ascii="Cambria Math" w:eastAsia="ＭＳ ゴシック" w:hAnsi="Cambria Math"/>
            <w:sz w:val="22"/>
            <w:szCs w:val="22"/>
          </w:rPr>
          <m:t>&lt;</m:t>
        </m:r>
        <m:sSub>
          <m:sSubPr>
            <m:ctrlPr>
              <w:rPr>
                <w:rFonts w:ascii="Cambria Math" w:eastAsia="ＭＳ ゴシック" w:hAnsi="Cambria Math"/>
                <w:b/>
                <w:i/>
                <w:sz w:val="22"/>
                <w:szCs w:val="22"/>
              </w:rPr>
            </m:ctrlPr>
          </m:sSubPr>
          <m:e>
            <m:r>
              <m:rPr>
                <m:sty m:val="bi"/>
              </m:rPr>
              <w:rPr>
                <w:rFonts w:ascii="Cambria Math" w:eastAsia="ＭＳ ゴシック" w:hAnsi="Cambria Math"/>
                <w:sz w:val="22"/>
                <w:szCs w:val="22"/>
              </w:rPr>
              <m:t>S</m:t>
            </m:r>
          </m:e>
          <m:sub>
            <m:r>
              <m:rPr>
                <m:sty m:val="bi"/>
              </m:rPr>
              <w:rPr>
                <w:rFonts w:ascii="Cambria Math" w:eastAsia="ＭＳ ゴシック" w:hAnsi="Cambria Math"/>
                <w:sz w:val="22"/>
                <w:szCs w:val="22"/>
                <w:vertAlign w:val="subscript"/>
              </w:rPr>
              <m:t>y</m:t>
            </m:r>
          </m:sub>
        </m:sSub>
        <m:r>
          <m:rPr>
            <m:sty m:val="bi"/>
          </m:rPr>
          <w:rPr>
            <w:rFonts w:ascii="Cambria Math" w:eastAsia="ＭＳ ゴシック" w:hAnsi="Cambria Math"/>
            <w:sz w:val="22"/>
            <w:szCs w:val="22"/>
          </w:rPr>
          <m:t>≦415</m:t>
        </m:r>
        <m:r>
          <m:rPr>
            <m:sty m:val="b"/>
          </m:rPr>
          <w:rPr>
            <w:rFonts w:ascii="Cambria Math" w:eastAsia="ＭＳ ゴシック" w:hAnsi="Cambria Math"/>
            <w:sz w:val="22"/>
            <w:szCs w:val="22"/>
          </w:rPr>
          <m:t xml:space="preserve"> MPa</m:t>
        </m:r>
      </m:oMath>
      <w:r w:rsidRPr="00BC31E0">
        <w:rPr>
          <w:rFonts w:ascii="ＭＳ ゴシック" w:eastAsia="ＭＳ ゴシック" w:hAnsi="ＭＳ ゴシック" w:hint="eastAsia"/>
          <w:b/>
          <w:szCs w:val="20"/>
        </w:rPr>
        <w:t>，溶接後熱処理</w:t>
      </w:r>
      <w:r w:rsidRPr="00BC31E0">
        <w:rPr>
          <w:rFonts w:ascii="ＭＳ ゴシック" w:eastAsia="ＭＳ ゴシック" w:hAnsi="ＭＳ ゴシック"/>
          <w:b/>
          <w:szCs w:val="20"/>
        </w:rPr>
        <w:t>あり</w:t>
      </w:r>
      <w:r w:rsidRPr="00BC31E0">
        <w:rPr>
          <w:rFonts w:ascii="ＭＳ ゴシック" w:eastAsia="ＭＳ ゴシック" w:hAnsi="ＭＳ ゴシック" w:hint="eastAsia"/>
          <w:b/>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772"/>
        <w:gridCol w:w="1772"/>
        <w:gridCol w:w="1772"/>
        <w:gridCol w:w="1772"/>
      </w:tblGrid>
      <w:tr w:rsidR="00342321" w:rsidRPr="00BC31E0" w14:paraId="1BA0BAA8" w14:textId="77777777" w:rsidTr="004736F2">
        <w:trPr>
          <w:jc w:val="center"/>
        </w:trPr>
        <w:tc>
          <w:tcPr>
            <w:tcW w:w="992" w:type="dxa"/>
            <w:vMerge w:val="restart"/>
            <w:vAlign w:val="center"/>
          </w:tcPr>
          <w:p w14:paraId="3AA3957C" w14:textId="77777777" w:rsidR="00342321" w:rsidRPr="00BC31E0" w:rsidRDefault="00A51873" w:rsidP="004736F2">
            <w:pPr>
              <w:snapToGrid w:val="0"/>
              <w:spacing w:line="300" w:lineRule="atLeast"/>
              <w:jc w:val="center"/>
              <w:rPr>
                <w:rFonts w:ascii="Times New Roman" w:hAnsi="Times New Roman"/>
                <w:i/>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l</m:t>
                    </m:r>
                  </m:den>
                </m:f>
              </m:oMath>
            </m:oMathPara>
          </w:p>
        </w:tc>
        <w:tc>
          <w:tcPr>
            <w:tcW w:w="7088" w:type="dxa"/>
            <w:gridSpan w:val="4"/>
            <w:vAlign w:val="center"/>
          </w:tcPr>
          <w:p w14:paraId="30AA9847" w14:textId="77777777" w:rsidR="00342321" w:rsidRPr="00BC31E0" w:rsidRDefault="00342321" w:rsidP="004736F2">
            <w:pPr>
              <w:snapToGrid w:val="0"/>
              <w:spacing w:line="300" w:lineRule="atLeast"/>
              <w:jc w:val="center"/>
              <w:rPr>
                <w:rFonts w:ascii="Times New Roman" w:hAnsi="Times New Roman"/>
                <w:szCs w:val="20"/>
              </w:rPr>
            </w:pPr>
            <m:oMathPara>
              <m:oMath>
                <m:r>
                  <w:rPr>
                    <w:rFonts w:ascii="Cambria Math" w:hAnsi="Cambria Math" w:hint="eastAsia"/>
                    <w:szCs w:val="20"/>
                  </w:rPr>
                  <m:t>25</m:t>
                </m:r>
                <m:r>
                  <w:rPr>
                    <w:rFonts w:ascii="Cambria Math" w:hAnsi="Cambria Math"/>
                    <w:szCs w:val="20"/>
                  </w:rPr>
                  <m:t>≦t≦</m:t>
                </m:r>
                <m:r>
                  <w:rPr>
                    <w:rFonts w:ascii="Cambria Math" w:hAnsi="Cambria Math" w:hint="eastAsia"/>
                    <w:szCs w:val="20"/>
                  </w:rPr>
                  <m:t xml:space="preserve">300 </m:t>
                </m:r>
                <m:r>
                  <m:rPr>
                    <m:sty m:val="p"/>
                  </m:rPr>
                  <w:rPr>
                    <w:rFonts w:ascii="Cambria Math" w:hAnsi="Cambria Math" w:hint="eastAsia"/>
                    <w:szCs w:val="20"/>
                  </w:rPr>
                  <m:t>mm</m:t>
                </m:r>
              </m:oMath>
            </m:oMathPara>
          </w:p>
        </w:tc>
      </w:tr>
      <w:tr w:rsidR="00342321" w:rsidRPr="00BC31E0" w14:paraId="52801A6C" w14:textId="77777777" w:rsidTr="004736F2">
        <w:trPr>
          <w:jc w:val="center"/>
        </w:trPr>
        <w:tc>
          <w:tcPr>
            <w:tcW w:w="992" w:type="dxa"/>
            <w:vMerge/>
            <w:vAlign w:val="center"/>
          </w:tcPr>
          <w:p w14:paraId="002570DD" w14:textId="77777777" w:rsidR="00342321" w:rsidRPr="00BC31E0" w:rsidRDefault="00342321" w:rsidP="004736F2">
            <w:pPr>
              <w:snapToGrid w:val="0"/>
              <w:spacing w:line="300" w:lineRule="atLeast"/>
              <w:jc w:val="center"/>
              <w:rPr>
                <w:rFonts w:ascii="Times New Roman" w:hAnsi="Times New Roman"/>
                <w:i/>
                <w:szCs w:val="20"/>
              </w:rPr>
            </w:pPr>
          </w:p>
        </w:tc>
        <w:tc>
          <w:tcPr>
            <w:tcW w:w="1772" w:type="dxa"/>
            <w:vAlign w:val="center"/>
          </w:tcPr>
          <w:p w14:paraId="376779BF" w14:textId="77777777" w:rsidR="00342321" w:rsidRPr="00BC31E0" w:rsidRDefault="00342321" w:rsidP="004736F2">
            <w:pPr>
              <w:snapToGrid w:val="0"/>
              <w:spacing w:line="300" w:lineRule="atLeast"/>
              <w:jc w:val="center"/>
              <w:rPr>
                <w:szCs w:val="20"/>
              </w:rPr>
            </w:pPr>
            <m:oMathPara>
              <m:oMath>
                <m:r>
                  <w:rPr>
                    <w:rFonts w:ascii="Cambria Math" w:hAnsi="Cambria Math"/>
                    <w:szCs w:val="20"/>
                  </w:rPr>
                  <m:t>Y=</m:t>
                </m:r>
                <m:r>
                  <w:rPr>
                    <w:rFonts w:ascii="Cambria Math" w:hAnsi="Cambria Math" w:hint="eastAsia"/>
                    <w:szCs w:val="20"/>
                  </w:rPr>
                  <m:t>1.2</m:t>
                </m:r>
              </m:oMath>
            </m:oMathPara>
          </w:p>
        </w:tc>
        <w:tc>
          <w:tcPr>
            <w:tcW w:w="1772" w:type="dxa"/>
            <w:vAlign w:val="center"/>
          </w:tcPr>
          <w:p w14:paraId="17B6555B" w14:textId="77777777" w:rsidR="00342321" w:rsidRPr="00BC31E0" w:rsidRDefault="00342321" w:rsidP="004736F2">
            <w:pPr>
              <w:snapToGrid w:val="0"/>
              <w:spacing w:line="300" w:lineRule="atLeast"/>
              <w:jc w:val="center"/>
              <w:rPr>
                <w:szCs w:val="20"/>
              </w:rPr>
            </w:pPr>
            <m:oMathPara>
              <m:oMath>
                <m:r>
                  <w:rPr>
                    <w:rFonts w:ascii="Cambria Math" w:hAnsi="Cambria Math"/>
                    <w:szCs w:val="20"/>
                  </w:rPr>
                  <m:t>Y=</m:t>
                </m:r>
                <m:r>
                  <w:rPr>
                    <w:rFonts w:ascii="Cambria Math" w:hAnsi="Cambria Math" w:hint="eastAsia"/>
                    <w:szCs w:val="20"/>
                  </w:rPr>
                  <m:t>1.5</m:t>
                </m:r>
              </m:oMath>
            </m:oMathPara>
          </w:p>
        </w:tc>
        <w:tc>
          <w:tcPr>
            <w:tcW w:w="1772" w:type="dxa"/>
            <w:vAlign w:val="center"/>
          </w:tcPr>
          <w:p w14:paraId="48F53210" w14:textId="77777777" w:rsidR="00342321" w:rsidRPr="00BC31E0" w:rsidRDefault="00342321" w:rsidP="004736F2">
            <w:pPr>
              <w:snapToGrid w:val="0"/>
              <w:spacing w:line="300" w:lineRule="atLeast"/>
              <w:jc w:val="center"/>
              <w:rPr>
                <w:szCs w:val="20"/>
              </w:rPr>
            </w:pPr>
            <m:oMathPara>
              <m:oMath>
                <m:r>
                  <w:rPr>
                    <w:rFonts w:ascii="Cambria Math" w:hAnsi="Cambria Math"/>
                    <w:szCs w:val="20"/>
                  </w:rPr>
                  <m:t>Y=</m:t>
                </m:r>
                <m:r>
                  <w:rPr>
                    <w:rFonts w:ascii="Cambria Math" w:hAnsi="Cambria Math" w:hint="eastAsia"/>
                    <w:szCs w:val="20"/>
                  </w:rPr>
                  <m:t>2.0</m:t>
                </m:r>
              </m:oMath>
            </m:oMathPara>
          </w:p>
        </w:tc>
        <w:tc>
          <w:tcPr>
            <w:tcW w:w="1772" w:type="dxa"/>
            <w:vAlign w:val="center"/>
          </w:tcPr>
          <w:p w14:paraId="018E7DE3" w14:textId="77777777" w:rsidR="00342321" w:rsidRPr="00BC31E0" w:rsidRDefault="00342321" w:rsidP="004736F2">
            <w:pPr>
              <w:snapToGrid w:val="0"/>
              <w:spacing w:line="300" w:lineRule="atLeast"/>
              <w:jc w:val="center"/>
              <w:rPr>
                <w:szCs w:val="20"/>
              </w:rPr>
            </w:pPr>
            <m:oMathPara>
              <m:oMath>
                <m:r>
                  <w:rPr>
                    <w:rFonts w:ascii="Cambria Math" w:hAnsi="Cambria Math"/>
                    <w:szCs w:val="20"/>
                  </w:rPr>
                  <m:t>Y=</m:t>
                </m:r>
                <m:r>
                  <w:rPr>
                    <w:rFonts w:ascii="Cambria Math" w:hAnsi="Cambria Math" w:hint="eastAsia"/>
                    <w:szCs w:val="20"/>
                  </w:rPr>
                  <m:t>2.5</m:t>
                </m:r>
              </m:oMath>
            </m:oMathPara>
          </w:p>
        </w:tc>
      </w:tr>
      <w:tr w:rsidR="00342321" w:rsidRPr="00BC31E0" w14:paraId="206279CD" w14:textId="77777777" w:rsidTr="004736F2">
        <w:trPr>
          <w:jc w:val="center"/>
        </w:trPr>
        <w:tc>
          <w:tcPr>
            <w:tcW w:w="992" w:type="dxa"/>
            <w:vMerge/>
            <w:vAlign w:val="center"/>
          </w:tcPr>
          <w:p w14:paraId="17827A7A" w14:textId="77777777" w:rsidR="00342321" w:rsidRPr="00BC31E0" w:rsidRDefault="00342321" w:rsidP="004736F2">
            <w:pPr>
              <w:snapToGrid w:val="0"/>
              <w:spacing w:line="300" w:lineRule="atLeast"/>
              <w:jc w:val="center"/>
              <w:rPr>
                <w:szCs w:val="20"/>
              </w:rPr>
            </w:pPr>
          </w:p>
        </w:tc>
        <w:tc>
          <w:tcPr>
            <w:tcW w:w="1772" w:type="dxa"/>
            <w:vAlign w:val="center"/>
          </w:tcPr>
          <w:p w14:paraId="03A16614" w14:textId="77777777" w:rsidR="00342321" w:rsidRPr="00BC31E0" w:rsidRDefault="00A51873" w:rsidP="004736F2">
            <w:pPr>
              <w:snapToGrid w:val="0"/>
              <w:spacing w:line="300" w:lineRule="atLeast"/>
              <w:jc w:val="center"/>
              <w:rPr>
                <w:rFonts w:ascii="Times New Roman" w:hAnsi="Times New Roman"/>
                <w:i/>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t</m:t>
                    </m:r>
                  </m:den>
                </m:f>
              </m:oMath>
            </m:oMathPara>
          </w:p>
        </w:tc>
        <w:tc>
          <w:tcPr>
            <w:tcW w:w="1772" w:type="dxa"/>
            <w:vAlign w:val="center"/>
          </w:tcPr>
          <w:p w14:paraId="61D5B2E1" w14:textId="77777777" w:rsidR="00342321" w:rsidRPr="00BC31E0" w:rsidRDefault="00A51873" w:rsidP="004736F2">
            <w:pPr>
              <w:snapToGrid w:val="0"/>
              <w:spacing w:line="300" w:lineRule="atLeast"/>
              <w:jc w:val="center"/>
              <w:rPr>
                <w:rFonts w:ascii="Times New Roman" w:hAnsi="Times New Roman"/>
                <w:i/>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t</m:t>
                    </m:r>
                  </m:den>
                </m:f>
              </m:oMath>
            </m:oMathPara>
          </w:p>
        </w:tc>
        <w:tc>
          <w:tcPr>
            <w:tcW w:w="1772" w:type="dxa"/>
            <w:vAlign w:val="center"/>
          </w:tcPr>
          <w:p w14:paraId="5E3C429E" w14:textId="77777777" w:rsidR="00342321" w:rsidRPr="00BC31E0" w:rsidRDefault="00A51873" w:rsidP="004736F2">
            <w:pPr>
              <w:snapToGrid w:val="0"/>
              <w:spacing w:line="300" w:lineRule="atLeast"/>
              <w:jc w:val="center"/>
              <w:rPr>
                <w:rFonts w:ascii="Times New Roman" w:hAnsi="Times New Roman"/>
                <w:i/>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t</m:t>
                    </m:r>
                  </m:den>
                </m:f>
              </m:oMath>
            </m:oMathPara>
          </w:p>
        </w:tc>
        <w:tc>
          <w:tcPr>
            <w:tcW w:w="1772" w:type="dxa"/>
            <w:vAlign w:val="center"/>
          </w:tcPr>
          <w:p w14:paraId="48D4A248" w14:textId="77777777" w:rsidR="00342321" w:rsidRPr="00BC31E0" w:rsidRDefault="00A51873" w:rsidP="004736F2">
            <w:pPr>
              <w:snapToGrid w:val="0"/>
              <w:spacing w:line="300" w:lineRule="atLeast"/>
              <w:jc w:val="center"/>
              <w:rPr>
                <w:rFonts w:ascii="Times New Roman" w:hAnsi="Times New Roman"/>
                <w:i/>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t</m:t>
                    </m:r>
                  </m:den>
                </m:f>
              </m:oMath>
            </m:oMathPara>
          </w:p>
        </w:tc>
      </w:tr>
      <w:tr w:rsidR="00342321" w:rsidRPr="00BC31E0" w14:paraId="1C0DCDB4" w14:textId="77777777" w:rsidTr="004736F2">
        <w:trPr>
          <w:jc w:val="center"/>
        </w:trPr>
        <w:tc>
          <w:tcPr>
            <w:tcW w:w="992" w:type="dxa"/>
            <w:vAlign w:val="center"/>
          </w:tcPr>
          <w:p w14:paraId="7CE7788C"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0.0</w:t>
            </w:r>
          </w:p>
        </w:tc>
        <w:tc>
          <w:tcPr>
            <w:tcW w:w="1772" w:type="dxa"/>
            <w:vAlign w:val="center"/>
          </w:tcPr>
          <w:p w14:paraId="57089336"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3.14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-0.905</m:t>
                    </m:r>
                  </m:sup>
                </m:sSup>
              </m:oMath>
            </m:oMathPara>
          </w:p>
        </w:tc>
        <w:tc>
          <w:tcPr>
            <w:tcW w:w="1772" w:type="dxa"/>
            <w:vAlign w:val="center"/>
          </w:tcPr>
          <w:p w14:paraId="7F045E4C"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2.84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-0.975</m:t>
                    </m:r>
                  </m:sup>
                </m:sSup>
              </m:oMath>
            </m:oMathPara>
          </w:p>
        </w:tc>
        <w:tc>
          <w:tcPr>
            <w:tcW w:w="1772" w:type="dxa"/>
            <w:vAlign w:val="center"/>
          </w:tcPr>
          <w:p w14:paraId="65A28816"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2.01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-1.05</m:t>
                    </m:r>
                  </m:sup>
                </m:sSup>
              </m:oMath>
            </m:oMathPara>
          </w:p>
        </w:tc>
        <w:tc>
          <w:tcPr>
            <w:tcW w:w="1772" w:type="dxa"/>
            <w:vAlign w:val="center"/>
          </w:tcPr>
          <w:p w14:paraId="274BA536"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1.08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-1.10</m:t>
                    </m:r>
                  </m:sup>
                </m:sSup>
              </m:oMath>
            </m:oMathPara>
          </w:p>
        </w:tc>
      </w:tr>
      <w:tr w:rsidR="00342321" w:rsidRPr="00BC31E0" w14:paraId="66824AF6" w14:textId="77777777" w:rsidTr="004736F2">
        <w:trPr>
          <w:jc w:val="center"/>
        </w:trPr>
        <w:tc>
          <w:tcPr>
            <w:tcW w:w="992" w:type="dxa"/>
            <w:vAlign w:val="center"/>
          </w:tcPr>
          <w:p w14:paraId="589937FF"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0.1</w:t>
            </w:r>
          </w:p>
        </w:tc>
        <w:tc>
          <w:tcPr>
            <w:tcW w:w="1772" w:type="dxa"/>
            <w:vAlign w:val="center"/>
          </w:tcPr>
          <w:p w14:paraId="09062807"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3.28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-0.890</m:t>
                    </m:r>
                  </m:sup>
                </m:sSup>
              </m:oMath>
            </m:oMathPara>
          </w:p>
        </w:tc>
        <w:tc>
          <w:tcPr>
            <w:tcW w:w="1772" w:type="dxa"/>
            <w:vAlign w:val="center"/>
          </w:tcPr>
          <w:p w14:paraId="4C3A47B8"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3.04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-0.960</m:t>
                    </m:r>
                  </m:sup>
                </m:sSup>
              </m:oMath>
            </m:oMathPara>
          </w:p>
        </w:tc>
        <w:tc>
          <w:tcPr>
            <w:tcW w:w="1772" w:type="dxa"/>
            <w:vAlign w:val="center"/>
          </w:tcPr>
          <w:p w14:paraId="72DE3A01"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2.31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-1.04</m:t>
                    </m:r>
                  </m:sup>
                </m:sSup>
              </m:oMath>
            </m:oMathPara>
          </w:p>
        </w:tc>
        <w:tc>
          <w:tcPr>
            <w:tcW w:w="1772" w:type="dxa"/>
            <w:vAlign w:val="center"/>
          </w:tcPr>
          <w:p w14:paraId="5264223C"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1.43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-1.09</m:t>
                    </m:r>
                  </m:sup>
                </m:sSup>
              </m:oMath>
            </m:oMathPara>
          </w:p>
        </w:tc>
      </w:tr>
      <w:tr w:rsidR="00342321" w:rsidRPr="00BC31E0" w14:paraId="25F5E53E" w14:textId="77777777" w:rsidTr="004736F2">
        <w:trPr>
          <w:jc w:val="center"/>
        </w:trPr>
        <w:tc>
          <w:tcPr>
            <w:tcW w:w="992" w:type="dxa"/>
            <w:vAlign w:val="center"/>
          </w:tcPr>
          <w:p w14:paraId="2F82A02D"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0.2</w:t>
            </w:r>
          </w:p>
        </w:tc>
        <w:tc>
          <w:tcPr>
            <w:tcW w:w="1772" w:type="dxa"/>
            <w:vAlign w:val="center"/>
          </w:tcPr>
          <w:p w14:paraId="4147ABE6"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5.20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-0.926</m:t>
                    </m:r>
                  </m:sup>
                </m:sSup>
              </m:oMath>
            </m:oMathPara>
          </w:p>
        </w:tc>
        <w:tc>
          <w:tcPr>
            <w:tcW w:w="1772" w:type="dxa"/>
            <w:vAlign w:val="center"/>
          </w:tcPr>
          <w:p w14:paraId="759A7051"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4.83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-0.991</m:t>
                    </m:r>
                  </m:sup>
                </m:sSup>
              </m:oMath>
            </m:oMathPara>
          </w:p>
        </w:tc>
        <w:tc>
          <w:tcPr>
            <w:tcW w:w="1772" w:type="dxa"/>
            <w:vAlign w:val="center"/>
          </w:tcPr>
          <w:p w14:paraId="40D3C47E"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3.76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-1.06</m:t>
                    </m:r>
                  </m:sup>
                </m:sSup>
              </m:oMath>
            </m:oMathPara>
          </w:p>
        </w:tc>
        <w:tc>
          <w:tcPr>
            <w:tcW w:w="1772" w:type="dxa"/>
            <w:vAlign w:val="center"/>
          </w:tcPr>
          <w:p w14:paraId="1725F35D"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2.63</m:t>
                </m:r>
                <m:sSup>
                  <m:sSupPr>
                    <m:ctrlPr>
                      <w:rPr>
                        <w:rFonts w:ascii="Cambria Math" w:hAnsi="Cambria Math"/>
                        <w:i/>
                        <w:sz w:val="22"/>
                        <w:szCs w:val="22"/>
                      </w:rPr>
                    </m:ctrlPr>
                  </m:sSupPr>
                  <m:e>
                    <m:r>
                      <w:rPr>
                        <w:rFonts w:ascii="Cambria Math" w:hAnsi="Cambria Math"/>
                        <w:sz w:val="22"/>
                        <w:szCs w:val="22"/>
                      </w:rPr>
                      <m:t xml:space="preserve"> t </m:t>
                    </m:r>
                  </m:e>
                  <m:sup>
                    <m:r>
                      <w:rPr>
                        <w:rFonts w:ascii="Cambria Math" w:hAnsi="Cambria Math"/>
                        <w:sz w:val="22"/>
                        <w:szCs w:val="22"/>
                        <w:vertAlign w:val="superscript"/>
                      </w:rPr>
                      <m:t>-1.11</m:t>
                    </m:r>
                  </m:sup>
                </m:sSup>
              </m:oMath>
            </m:oMathPara>
          </w:p>
        </w:tc>
      </w:tr>
      <w:tr w:rsidR="00342321" w:rsidRPr="00BC31E0" w14:paraId="7FD47854" w14:textId="77777777" w:rsidTr="004736F2">
        <w:trPr>
          <w:jc w:val="center"/>
        </w:trPr>
        <w:tc>
          <w:tcPr>
            <w:tcW w:w="992" w:type="dxa"/>
            <w:vAlign w:val="center"/>
          </w:tcPr>
          <w:p w14:paraId="656846AD"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0.3</w:t>
            </w:r>
          </w:p>
        </w:tc>
        <w:tc>
          <w:tcPr>
            <w:tcW w:w="1772" w:type="dxa"/>
            <w:vAlign w:val="center"/>
          </w:tcPr>
          <w:p w14:paraId="6C6C3BCD"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7.15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-0.933</m:t>
                    </m:r>
                  </m:sup>
                </m:sSup>
              </m:oMath>
            </m:oMathPara>
          </w:p>
        </w:tc>
        <w:tc>
          <w:tcPr>
            <w:tcW w:w="1772" w:type="dxa"/>
            <w:vAlign w:val="center"/>
          </w:tcPr>
          <w:p w14:paraId="0F3F2954"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7.09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-1.00</m:t>
                    </m:r>
                  </m:sup>
                </m:sSup>
              </m:oMath>
            </m:oMathPara>
          </w:p>
        </w:tc>
        <w:tc>
          <w:tcPr>
            <w:tcW w:w="1772" w:type="dxa"/>
            <w:vAlign w:val="center"/>
          </w:tcPr>
          <w:p w14:paraId="052126C1"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6.06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-1.09</m:t>
                    </m:r>
                  </m:sup>
                </m:sSup>
              </m:oMath>
            </m:oMathPara>
          </w:p>
        </w:tc>
        <w:tc>
          <w:tcPr>
            <w:tcW w:w="1772" w:type="dxa"/>
            <w:vAlign w:val="center"/>
          </w:tcPr>
          <w:p w14:paraId="63D8662B"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4.78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-1.14</m:t>
                    </m:r>
                  </m:sup>
                </m:sSup>
              </m:oMath>
            </m:oMathPara>
          </w:p>
        </w:tc>
      </w:tr>
      <w:tr w:rsidR="00342321" w:rsidRPr="00BC31E0" w14:paraId="31C16713" w14:textId="77777777" w:rsidTr="004736F2">
        <w:trPr>
          <w:jc w:val="center"/>
        </w:trPr>
        <w:tc>
          <w:tcPr>
            <w:tcW w:w="992" w:type="dxa"/>
            <w:vAlign w:val="center"/>
          </w:tcPr>
          <w:p w14:paraId="15192042"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0.4</w:t>
            </w:r>
          </w:p>
        </w:tc>
        <w:tc>
          <w:tcPr>
            <w:tcW w:w="1772" w:type="dxa"/>
            <w:vAlign w:val="center"/>
          </w:tcPr>
          <w:p w14:paraId="7FF7539F"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6.25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-0.861</m:t>
                    </m:r>
                  </m:sup>
                </m:sSup>
              </m:oMath>
            </m:oMathPara>
          </w:p>
        </w:tc>
        <w:tc>
          <w:tcPr>
            <w:tcW w:w="1772" w:type="dxa"/>
            <w:vAlign w:val="center"/>
          </w:tcPr>
          <w:p w14:paraId="4E4FFE2F"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5.94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-0.921</m:t>
                    </m:r>
                  </m:sup>
                </m:sSup>
              </m:oMath>
            </m:oMathPara>
          </w:p>
        </w:tc>
        <w:tc>
          <w:tcPr>
            <w:tcW w:w="1772" w:type="dxa"/>
            <w:vAlign w:val="center"/>
          </w:tcPr>
          <w:p w14:paraId="6DD741FD"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5.01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-0.983</m:t>
                    </m:r>
                  </m:sup>
                </m:sSup>
              </m:oMath>
            </m:oMathPara>
          </w:p>
        </w:tc>
        <w:tc>
          <w:tcPr>
            <w:tcW w:w="1772" w:type="dxa"/>
            <w:vAlign w:val="center"/>
          </w:tcPr>
          <w:p w14:paraId="760B7CD8"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4.02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-1.02</m:t>
                    </m:r>
                  </m:sup>
                </m:sSup>
              </m:oMath>
            </m:oMathPara>
          </w:p>
        </w:tc>
      </w:tr>
      <w:tr w:rsidR="00342321" w:rsidRPr="00BC31E0" w14:paraId="4C86D86D" w14:textId="77777777" w:rsidTr="004736F2">
        <w:trPr>
          <w:jc w:val="center"/>
        </w:trPr>
        <w:tc>
          <w:tcPr>
            <w:tcW w:w="992" w:type="dxa"/>
            <w:vAlign w:val="center"/>
          </w:tcPr>
          <w:p w14:paraId="639C2070"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0.5</w:t>
            </w:r>
          </w:p>
        </w:tc>
        <w:tc>
          <w:tcPr>
            <w:tcW w:w="1772" w:type="dxa"/>
            <w:vAlign w:val="center"/>
          </w:tcPr>
          <w:p w14:paraId="77954F09"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6.86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-0.869</m:t>
                    </m:r>
                  </m:sup>
                </m:sSup>
              </m:oMath>
            </m:oMathPara>
          </w:p>
        </w:tc>
        <w:tc>
          <w:tcPr>
            <w:tcW w:w="1772" w:type="dxa"/>
            <w:vAlign w:val="center"/>
          </w:tcPr>
          <w:p w14:paraId="3606111E"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6.45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-0.929</m:t>
                    </m:r>
                  </m:sup>
                </m:sSup>
              </m:oMath>
            </m:oMathPara>
          </w:p>
        </w:tc>
        <w:tc>
          <w:tcPr>
            <w:tcW w:w="1772" w:type="dxa"/>
            <w:vAlign w:val="center"/>
          </w:tcPr>
          <w:p w14:paraId="21CB87B0"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5.30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-0.986</m:t>
                    </m:r>
                  </m:sup>
                </m:sSup>
              </m:oMath>
            </m:oMathPara>
          </w:p>
        </w:tc>
        <w:tc>
          <w:tcPr>
            <w:tcW w:w="1772" w:type="dxa"/>
            <w:vAlign w:val="center"/>
          </w:tcPr>
          <w:p w14:paraId="182131F9"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4.13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-1.02</m:t>
                    </m:r>
                  </m:sup>
                </m:sSup>
              </m:oMath>
            </m:oMathPara>
          </w:p>
        </w:tc>
      </w:tr>
    </w:tbl>
    <w:p w14:paraId="6C29A590" w14:textId="77777777" w:rsidR="00342321" w:rsidRPr="00BC31E0" w:rsidRDefault="00342321" w:rsidP="00342321">
      <w:pPr>
        <w:snapToGrid w:val="0"/>
        <w:spacing w:before="60" w:after="60" w:line="320" w:lineRule="atLeast"/>
        <w:ind w:left="1474" w:hanging="794"/>
        <w:jc w:val="left"/>
        <w:rPr>
          <w:kern w:val="0"/>
          <w:szCs w:val="20"/>
        </w:rPr>
      </w:pPr>
      <w:r w:rsidRPr="00BC31E0">
        <w:rPr>
          <w:rFonts w:ascii="ＭＳ ゴシック" w:eastAsia="ＭＳ ゴシック" w:hAnsi="ＭＳ ゴシック" w:hint="eastAsia"/>
          <w:b/>
          <w:szCs w:val="20"/>
        </w:rPr>
        <w:t>注記</w:t>
      </w:r>
      <w:r w:rsidRPr="00BC31E0">
        <w:rPr>
          <w:rFonts w:ascii="ＭＳ ゴシック" w:eastAsia="ＭＳ ゴシック" w:hAnsi="ＭＳ ゴシック" w:cs="Tahoma"/>
          <w:b/>
          <w:szCs w:val="20"/>
        </w:rPr>
        <w:t>1</w:t>
      </w:r>
      <w:r w:rsidRPr="00BC31E0">
        <w:rPr>
          <w:rFonts w:ascii="ＭＳ 明朝" w:hAnsi="ＭＳ 明朝" w:cs="Tahoma" w:hint="eastAsia"/>
          <w:b/>
          <w:szCs w:val="20"/>
        </w:rPr>
        <w:t xml:space="preserve">　</w:t>
      </w:r>
      <m:oMath>
        <m:f>
          <m:fPr>
            <m:type m:val="lin"/>
            <m:ctrlPr>
              <w:rPr>
                <w:rFonts w:ascii="Cambria Math" w:hAnsi="Cambria Math"/>
                <w:i/>
                <w:kern w:val="0"/>
                <w:szCs w:val="20"/>
              </w:rPr>
            </m:ctrlPr>
          </m:fPr>
          <m:num>
            <m:r>
              <w:rPr>
                <w:rFonts w:ascii="Cambria Math" w:hAnsi="Cambria Math"/>
                <w:kern w:val="0"/>
                <w:szCs w:val="20"/>
              </w:rPr>
              <m:t>a</m:t>
            </m:r>
          </m:num>
          <m:den>
            <m:r>
              <w:rPr>
                <w:rFonts w:ascii="Cambria Math" w:hAnsi="Cambria Math"/>
                <w:kern w:val="0"/>
                <w:szCs w:val="20"/>
              </w:rPr>
              <m:t xml:space="preserve">t </m:t>
            </m:r>
          </m:den>
        </m:f>
      </m:oMath>
      <w:r w:rsidRPr="00BC31E0">
        <w:rPr>
          <w:rFonts w:hAnsi="ＭＳ 明朝"/>
          <w:kern w:val="0"/>
          <w:szCs w:val="20"/>
        </w:rPr>
        <w:t>の値</w:t>
      </w:r>
      <w:r w:rsidRPr="00BC31E0">
        <w:rPr>
          <w:rFonts w:hAnsi="ＭＳ 明朝" w:hint="eastAsia"/>
          <w:kern w:val="0"/>
          <w:szCs w:val="20"/>
        </w:rPr>
        <w:t>は次の表の値を最大とする</w:t>
      </w:r>
      <w:r w:rsidRPr="00BC31E0">
        <w:rPr>
          <w:rFonts w:hAnsi="ＭＳ 明朝"/>
          <w:kern w:val="0"/>
          <w:szCs w:val="20"/>
        </w:rPr>
        <w:t>。</w:t>
      </w:r>
      <w:r w:rsidRPr="00BC31E0">
        <w:rPr>
          <w:rFonts w:hAnsi="ＭＳ 明朝" w:hint="eastAsia"/>
          <w:kern w:val="0"/>
          <w:szCs w:val="20"/>
        </w:rPr>
        <w:t>なお，中間の</w:t>
      </w:r>
      <m:oMath>
        <m:f>
          <m:fPr>
            <m:type m:val="lin"/>
            <m:ctrlPr>
              <w:rPr>
                <w:rFonts w:ascii="Cambria Math" w:hAnsi="Cambria Math"/>
                <w:i/>
                <w:kern w:val="0"/>
                <w:szCs w:val="20"/>
              </w:rPr>
            </m:ctrlPr>
          </m:fPr>
          <m:num>
            <m:r>
              <w:rPr>
                <w:rFonts w:ascii="Cambria Math" w:hAnsi="Cambria Math"/>
                <w:kern w:val="0"/>
                <w:szCs w:val="20"/>
              </w:rPr>
              <m:t xml:space="preserve"> a</m:t>
            </m:r>
          </m:num>
          <m:den>
            <m:r>
              <w:rPr>
                <w:rFonts w:ascii="Cambria Math" w:hAnsi="Cambria Math"/>
                <w:kern w:val="0"/>
                <w:szCs w:val="20"/>
              </w:rPr>
              <m:t xml:space="preserve">l </m:t>
            </m:r>
          </m:den>
        </m:f>
      </m:oMath>
      <w:r w:rsidRPr="00BC31E0">
        <w:rPr>
          <w:rFonts w:hAnsi="ＭＳ 明朝" w:hint="eastAsia"/>
          <w:kern w:val="0"/>
          <w:szCs w:val="20"/>
        </w:rPr>
        <w:t>の値に対して，及び</w:t>
      </w:r>
      <m:oMath>
        <m:r>
          <w:rPr>
            <w:rFonts w:ascii="Cambria Math" w:hAnsi="Cambria Math"/>
            <w:kern w:val="0"/>
            <w:szCs w:val="20"/>
          </w:rPr>
          <m:t>6</m:t>
        </m:r>
        <m:r>
          <w:rPr>
            <w:rFonts w:ascii="Cambria Math" w:hAnsi="Cambria Math" w:hint="eastAsia"/>
            <w:kern w:val="0"/>
            <w:szCs w:val="20"/>
          </w:rPr>
          <m:t>4</m:t>
        </m:r>
        <m:r>
          <w:rPr>
            <w:rFonts w:ascii="Cambria Math" w:hAnsi="Cambria Math"/>
            <w:kern w:val="0"/>
            <w:szCs w:val="20"/>
          </w:rPr>
          <m:t>&lt;t&lt;10</m:t>
        </m:r>
        <m:r>
          <w:rPr>
            <w:rFonts w:ascii="Cambria Math" w:hAnsi="Cambria Math" w:hint="eastAsia"/>
            <w:kern w:val="0"/>
            <w:szCs w:val="20"/>
          </w:rPr>
          <m:t xml:space="preserve">0 </m:t>
        </m:r>
        <m:r>
          <m:rPr>
            <m:sty m:val="p"/>
          </m:rPr>
          <w:rPr>
            <w:rFonts w:ascii="Cambria Math" w:hAnsi="Cambria Math"/>
            <w:kern w:val="0"/>
            <w:szCs w:val="20"/>
          </w:rPr>
          <m:t xml:space="preserve">mm </m:t>
        </m:r>
      </m:oMath>
      <w:r w:rsidRPr="00BC31E0">
        <w:rPr>
          <w:rFonts w:hint="eastAsia"/>
          <w:kern w:val="0"/>
          <w:szCs w:val="20"/>
        </w:rPr>
        <w:t>の場合には，線形補間により</w:t>
      </w:r>
      <m:oMath>
        <m:r>
          <w:rPr>
            <w:rFonts w:ascii="Cambria Math" w:hAnsi="Cambria Math"/>
            <w:kern w:val="0"/>
            <w:szCs w:val="20"/>
          </w:rPr>
          <m:t xml:space="preserve"> </m:t>
        </m:r>
        <m:f>
          <m:fPr>
            <m:type m:val="lin"/>
            <m:ctrlPr>
              <w:rPr>
                <w:rFonts w:ascii="Cambria Math" w:hAnsi="Cambria Math"/>
                <w:i/>
                <w:kern w:val="0"/>
                <w:szCs w:val="20"/>
              </w:rPr>
            </m:ctrlPr>
          </m:fPr>
          <m:num>
            <m:r>
              <w:rPr>
                <w:rFonts w:ascii="Cambria Math" w:hAnsi="Cambria Math"/>
                <w:kern w:val="0"/>
                <w:szCs w:val="20"/>
              </w:rPr>
              <m:t>a</m:t>
            </m:r>
          </m:num>
          <m:den>
            <m:r>
              <w:rPr>
                <w:rFonts w:ascii="Cambria Math" w:hAnsi="Cambria Math"/>
                <w:kern w:val="0"/>
                <w:szCs w:val="20"/>
              </w:rPr>
              <m:t xml:space="preserve">t </m:t>
            </m:r>
          </m:den>
        </m:f>
      </m:oMath>
      <w:r w:rsidRPr="00BC31E0">
        <w:rPr>
          <w:rFonts w:hint="eastAsia"/>
          <w:kern w:val="0"/>
          <w:szCs w:val="20"/>
        </w:rPr>
        <w:t>を求める。</w:t>
      </w:r>
    </w:p>
    <w:tbl>
      <w:tblPr>
        <w:tblW w:w="0" w:type="auto"/>
        <w:tblInd w:w="1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1"/>
        <w:gridCol w:w="1331"/>
        <w:gridCol w:w="1331"/>
        <w:gridCol w:w="1331"/>
      </w:tblGrid>
      <w:tr w:rsidR="00342321" w:rsidRPr="00BC31E0" w14:paraId="6CAC0B96" w14:textId="77777777" w:rsidTr="004736F2">
        <w:tc>
          <w:tcPr>
            <w:tcW w:w="2662" w:type="dxa"/>
            <w:gridSpan w:val="2"/>
          </w:tcPr>
          <w:p w14:paraId="14C16898" w14:textId="77777777" w:rsidR="00342321" w:rsidRPr="00BC31E0" w:rsidRDefault="00342321" w:rsidP="004736F2">
            <w:pPr>
              <w:snapToGrid w:val="0"/>
              <w:spacing w:line="300" w:lineRule="atLeast"/>
              <w:jc w:val="center"/>
              <w:rPr>
                <w:i/>
                <w:kern w:val="0"/>
                <w:szCs w:val="20"/>
              </w:rPr>
            </w:pPr>
            <m:oMathPara>
              <m:oMath>
                <m:r>
                  <w:rPr>
                    <w:rFonts w:ascii="Cambria Math" w:hAnsi="Cambria Math"/>
                    <w:kern w:val="0"/>
                    <w:szCs w:val="20"/>
                  </w:rPr>
                  <m:t>25</m:t>
                </m:r>
                <m:r>
                  <w:rPr>
                    <w:rFonts w:ascii="Cambria Math" w:hAnsi="Cambria Math" w:hint="eastAsia"/>
                    <w:kern w:val="0"/>
                    <w:szCs w:val="20"/>
                  </w:rPr>
                  <m:t>≦</m:t>
                </m:r>
                <m:r>
                  <w:rPr>
                    <w:rFonts w:ascii="Cambria Math" w:hAnsi="Cambria Math"/>
                    <w:kern w:val="0"/>
                    <w:szCs w:val="20"/>
                  </w:rPr>
                  <m:t>t</m:t>
                </m:r>
                <m:r>
                  <w:rPr>
                    <w:rFonts w:ascii="Cambria Math" w:hAnsi="Cambria Math" w:hint="eastAsia"/>
                    <w:kern w:val="0"/>
                    <w:szCs w:val="20"/>
                  </w:rPr>
                  <m:t>≦</m:t>
                </m:r>
                <m:r>
                  <w:rPr>
                    <w:rFonts w:ascii="Cambria Math" w:hAnsi="Cambria Math"/>
                    <w:kern w:val="0"/>
                    <w:szCs w:val="20"/>
                  </w:rPr>
                  <m:t>6</m:t>
                </m:r>
                <m:r>
                  <w:rPr>
                    <w:rFonts w:ascii="Cambria Math" w:hAnsi="Cambria Math" w:hint="eastAsia"/>
                    <w:kern w:val="0"/>
                    <w:szCs w:val="20"/>
                  </w:rPr>
                  <m:t xml:space="preserve">4 </m:t>
                </m:r>
                <m:r>
                  <m:rPr>
                    <m:sty m:val="p"/>
                  </m:rPr>
                  <w:rPr>
                    <w:rFonts w:ascii="Cambria Math" w:hAnsi="Cambria Math"/>
                    <w:kern w:val="0"/>
                    <w:szCs w:val="20"/>
                  </w:rPr>
                  <m:t>mm</m:t>
                </m:r>
              </m:oMath>
            </m:oMathPara>
          </w:p>
        </w:tc>
        <w:tc>
          <w:tcPr>
            <w:tcW w:w="2662" w:type="dxa"/>
            <w:gridSpan w:val="2"/>
          </w:tcPr>
          <w:p w14:paraId="5AD65C9E" w14:textId="77777777" w:rsidR="00342321" w:rsidRPr="00BC31E0" w:rsidRDefault="00342321" w:rsidP="004736F2">
            <w:pPr>
              <w:snapToGrid w:val="0"/>
              <w:spacing w:line="300" w:lineRule="atLeast"/>
              <w:jc w:val="center"/>
              <w:rPr>
                <w:i/>
                <w:kern w:val="0"/>
                <w:szCs w:val="20"/>
              </w:rPr>
            </w:pPr>
            <m:oMathPara>
              <m:oMath>
                <m:r>
                  <w:rPr>
                    <w:rFonts w:ascii="Cambria Math" w:hAnsi="Cambria Math"/>
                    <w:kern w:val="0"/>
                    <w:szCs w:val="20"/>
                  </w:rPr>
                  <m:t>10</m:t>
                </m:r>
                <m:r>
                  <w:rPr>
                    <w:rFonts w:ascii="Cambria Math" w:hAnsi="Cambria Math" w:hint="eastAsia"/>
                    <w:kern w:val="0"/>
                    <w:szCs w:val="20"/>
                  </w:rPr>
                  <m:t>0</m:t>
                </m:r>
                <m:r>
                  <w:rPr>
                    <w:rFonts w:ascii="Cambria Math" w:hAnsi="Cambria Math" w:hint="eastAsia"/>
                    <w:kern w:val="0"/>
                    <w:szCs w:val="20"/>
                  </w:rPr>
                  <m:t>≦</m:t>
                </m:r>
                <m:r>
                  <w:rPr>
                    <w:rFonts w:ascii="Cambria Math" w:hAnsi="Cambria Math"/>
                    <w:kern w:val="0"/>
                    <w:szCs w:val="20"/>
                  </w:rPr>
                  <m:t>t</m:t>
                </m:r>
                <m:r>
                  <w:rPr>
                    <w:rFonts w:ascii="Cambria Math" w:hAnsi="Cambria Math" w:hint="eastAsia"/>
                    <w:kern w:val="0"/>
                    <w:szCs w:val="20"/>
                  </w:rPr>
                  <m:t>≦</m:t>
                </m:r>
                <m:r>
                  <w:rPr>
                    <w:rFonts w:ascii="Cambria Math" w:hAnsi="Cambria Math"/>
                    <w:kern w:val="0"/>
                    <w:szCs w:val="20"/>
                  </w:rPr>
                  <m:t>30</m:t>
                </m:r>
                <m:r>
                  <w:rPr>
                    <w:rFonts w:ascii="Cambria Math" w:hAnsi="Cambria Math" w:hint="eastAsia"/>
                    <w:kern w:val="0"/>
                    <w:szCs w:val="20"/>
                  </w:rPr>
                  <m:t>0</m:t>
                </m:r>
                <m:r>
                  <m:rPr>
                    <m:sty m:val="p"/>
                  </m:rPr>
                  <w:rPr>
                    <w:rFonts w:ascii="Cambria Math" w:hAnsi="Cambria Math" w:hint="eastAsia"/>
                    <w:kern w:val="0"/>
                    <w:szCs w:val="20"/>
                  </w:rPr>
                  <m:t xml:space="preserve"> </m:t>
                </m:r>
                <m:r>
                  <m:rPr>
                    <m:sty m:val="p"/>
                  </m:rPr>
                  <w:rPr>
                    <w:rFonts w:ascii="Cambria Math" w:hAnsi="Cambria Math"/>
                    <w:kern w:val="0"/>
                    <w:szCs w:val="20"/>
                  </w:rPr>
                  <m:t>mm</m:t>
                </m:r>
              </m:oMath>
            </m:oMathPara>
          </w:p>
        </w:tc>
      </w:tr>
      <w:tr w:rsidR="00342321" w:rsidRPr="00BC31E0" w14:paraId="7CC23145" w14:textId="77777777" w:rsidTr="004736F2">
        <w:tc>
          <w:tcPr>
            <w:tcW w:w="1331" w:type="dxa"/>
          </w:tcPr>
          <w:p w14:paraId="1F4572CE" w14:textId="77777777" w:rsidR="00342321" w:rsidRPr="00BC31E0" w:rsidRDefault="00A51873" w:rsidP="004736F2">
            <w:pPr>
              <w:snapToGrid w:val="0"/>
              <w:spacing w:line="300" w:lineRule="atLeast"/>
              <w:jc w:val="center"/>
              <w:rPr>
                <w:rFonts w:ascii="Times New Roman" w:hAnsi="Times New Roman"/>
                <w:i/>
                <w:kern w:val="0"/>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l</m:t>
                    </m:r>
                  </m:den>
                </m:f>
              </m:oMath>
            </m:oMathPara>
          </w:p>
        </w:tc>
        <w:tc>
          <w:tcPr>
            <w:tcW w:w="1331" w:type="dxa"/>
          </w:tcPr>
          <w:p w14:paraId="4651FF4F" w14:textId="77777777" w:rsidR="00342321" w:rsidRPr="00BC31E0" w:rsidRDefault="00A51873" w:rsidP="004736F2">
            <w:pPr>
              <w:snapToGrid w:val="0"/>
              <w:spacing w:line="300" w:lineRule="atLeast"/>
              <w:jc w:val="center"/>
              <w:rPr>
                <w:rFonts w:ascii="Times New Roman" w:hAnsi="Times New Roman"/>
                <w:i/>
                <w:kern w:val="0"/>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t</m:t>
                    </m:r>
                  </m:den>
                </m:f>
              </m:oMath>
            </m:oMathPara>
          </w:p>
        </w:tc>
        <w:tc>
          <w:tcPr>
            <w:tcW w:w="1331" w:type="dxa"/>
          </w:tcPr>
          <w:p w14:paraId="52BC558F" w14:textId="77777777" w:rsidR="00342321" w:rsidRPr="00BC31E0" w:rsidRDefault="00A51873" w:rsidP="004736F2">
            <w:pPr>
              <w:snapToGrid w:val="0"/>
              <w:spacing w:line="300" w:lineRule="atLeast"/>
              <w:jc w:val="center"/>
              <w:rPr>
                <w:rFonts w:ascii="Times New Roman" w:hAnsi="Times New Roman"/>
                <w:i/>
                <w:kern w:val="0"/>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l</m:t>
                    </m:r>
                  </m:den>
                </m:f>
              </m:oMath>
            </m:oMathPara>
          </w:p>
        </w:tc>
        <w:tc>
          <w:tcPr>
            <w:tcW w:w="1331" w:type="dxa"/>
          </w:tcPr>
          <w:p w14:paraId="1E2B4351" w14:textId="77777777" w:rsidR="00342321" w:rsidRPr="00BC31E0" w:rsidRDefault="00A51873" w:rsidP="004736F2">
            <w:pPr>
              <w:snapToGrid w:val="0"/>
              <w:spacing w:line="300" w:lineRule="atLeast"/>
              <w:jc w:val="center"/>
              <w:rPr>
                <w:rFonts w:ascii="Times New Roman" w:hAnsi="Times New Roman"/>
                <w:i/>
                <w:kern w:val="0"/>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t</m:t>
                    </m:r>
                  </m:den>
                </m:f>
              </m:oMath>
            </m:oMathPara>
          </w:p>
        </w:tc>
      </w:tr>
      <w:tr w:rsidR="00342321" w:rsidRPr="00BC31E0" w14:paraId="0E1E2ADB" w14:textId="77777777" w:rsidTr="004736F2">
        <w:tc>
          <w:tcPr>
            <w:tcW w:w="1331" w:type="dxa"/>
          </w:tcPr>
          <w:p w14:paraId="40E922C5"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0.0</w:t>
            </w:r>
          </w:p>
        </w:tc>
        <w:tc>
          <w:tcPr>
            <w:tcW w:w="1331" w:type="dxa"/>
          </w:tcPr>
          <w:p w14:paraId="4AE7BF66"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0.031</w:t>
            </w:r>
          </w:p>
        </w:tc>
        <w:tc>
          <w:tcPr>
            <w:tcW w:w="1331" w:type="dxa"/>
          </w:tcPr>
          <w:p w14:paraId="37A6921C"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0.0</w:t>
            </w:r>
          </w:p>
        </w:tc>
        <w:tc>
          <w:tcPr>
            <w:tcW w:w="1331" w:type="dxa"/>
          </w:tcPr>
          <w:p w14:paraId="0C3FFEC9"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0.019</w:t>
            </w:r>
          </w:p>
        </w:tc>
      </w:tr>
      <w:tr w:rsidR="00342321" w:rsidRPr="00BC31E0" w14:paraId="3868CE9A" w14:textId="77777777" w:rsidTr="004736F2">
        <w:tc>
          <w:tcPr>
            <w:tcW w:w="1331" w:type="dxa"/>
          </w:tcPr>
          <w:p w14:paraId="365ED220"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0.1</w:t>
            </w:r>
          </w:p>
        </w:tc>
        <w:tc>
          <w:tcPr>
            <w:tcW w:w="1331" w:type="dxa"/>
          </w:tcPr>
          <w:p w14:paraId="6EAFE2CC"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0.036</w:t>
            </w:r>
          </w:p>
        </w:tc>
        <w:tc>
          <w:tcPr>
            <w:tcW w:w="1331" w:type="dxa"/>
          </w:tcPr>
          <w:p w14:paraId="6C9CAFC2"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0.1</w:t>
            </w:r>
          </w:p>
        </w:tc>
        <w:tc>
          <w:tcPr>
            <w:tcW w:w="1331" w:type="dxa"/>
          </w:tcPr>
          <w:p w14:paraId="520F84DC"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0.022</w:t>
            </w:r>
          </w:p>
        </w:tc>
      </w:tr>
      <w:tr w:rsidR="00342321" w:rsidRPr="00BC31E0" w14:paraId="54431591" w14:textId="77777777" w:rsidTr="004736F2">
        <w:tc>
          <w:tcPr>
            <w:tcW w:w="1331" w:type="dxa"/>
          </w:tcPr>
          <w:p w14:paraId="27CACC41"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0.2</w:t>
            </w:r>
          </w:p>
        </w:tc>
        <w:tc>
          <w:tcPr>
            <w:tcW w:w="1331" w:type="dxa"/>
          </w:tcPr>
          <w:p w14:paraId="2A0A9914"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0.047</w:t>
            </w:r>
          </w:p>
        </w:tc>
        <w:tc>
          <w:tcPr>
            <w:tcW w:w="1331" w:type="dxa"/>
          </w:tcPr>
          <w:p w14:paraId="739F6855"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0.2</w:t>
            </w:r>
          </w:p>
        </w:tc>
        <w:tc>
          <w:tcPr>
            <w:tcW w:w="1331" w:type="dxa"/>
          </w:tcPr>
          <w:p w14:paraId="45727D70"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0.028</w:t>
            </w:r>
          </w:p>
        </w:tc>
      </w:tr>
      <w:tr w:rsidR="00342321" w:rsidRPr="00BC31E0" w14:paraId="1E338A31" w14:textId="77777777" w:rsidTr="004736F2">
        <w:tc>
          <w:tcPr>
            <w:tcW w:w="1331" w:type="dxa"/>
          </w:tcPr>
          <w:p w14:paraId="2C9F3A63"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0.3</w:t>
            </w:r>
          </w:p>
        </w:tc>
        <w:tc>
          <w:tcPr>
            <w:tcW w:w="1331" w:type="dxa"/>
          </w:tcPr>
          <w:p w14:paraId="738FB237"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0.064</w:t>
            </w:r>
          </w:p>
        </w:tc>
        <w:tc>
          <w:tcPr>
            <w:tcW w:w="1331" w:type="dxa"/>
          </w:tcPr>
          <w:p w14:paraId="6AB4E868"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0.3</w:t>
            </w:r>
          </w:p>
        </w:tc>
        <w:tc>
          <w:tcPr>
            <w:tcW w:w="1331" w:type="dxa"/>
          </w:tcPr>
          <w:p w14:paraId="3944C482"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0.038</w:t>
            </w:r>
          </w:p>
        </w:tc>
      </w:tr>
      <w:tr w:rsidR="00342321" w:rsidRPr="00BC31E0" w14:paraId="64464156" w14:textId="77777777" w:rsidTr="004736F2">
        <w:tc>
          <w:tcPr>
            <w:tcW w:w="1331" w:type="dxa"/>
          </w:tcPr>
          <w:p w14:paraId="3A4940E9"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0.4</w:t>
            </w:r>
          </w:p>
        </w:tc>
        <w:tc>
          <w:tcPr>
            <w:tcW w:w="1331" w:type="dxa"/>
          </w:tcPr>
          <w:p w14:paraId="274BEC95"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0.083</w:t>
            </w:r>
          </w:p>
        </w:tc>
        <w:tc>
          <w:tcPr>
            <w:tcW w:w="1331" w:type="dxa"/>
          </w:tcPr>
          <w:p w14:paraId="26BFE3FA"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0.4</w:t>
            </w:r>
          </w:p>
        </w:tc>
        <w:tc>
          <w:tcPr>
            <w:tcW w:w="1331" w:type="dxa"/>
          </w:tcPr>
          <w:p w14:paraId="2A99AB1D"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0.050</w:t>
            </w:r>
          </w:p>
        </w:tc>
      </w:tr>
      <w:tr w:rsidR="00342321" w:rsidRPr="00BC31E0" w14:paraId="6E4246CA" w14:textId="77777777" w:rsidTr="004736F2">
        <w:tc>
          <w:tcPr>
            <w:tcW w:w="1331" w:type="dxa"/>
          </w:tcPr>
          <w:p w14:paraId="76457D38"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0.5</w:t>
            </w:r>
          </w:p>
        </w:tc>
        <w:tc>
          <w:tcPr>
            <w:tcW w:w="1331" w:type="dxa"/>
          </w:tcPr>
          <w:p w14:paraId="62E1CCA5"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0.087</w:t>
            </w:r>
          </w:p>
        </w:tc>
        <w:tc>
          <w:tcPr>
            <w:tcW w:w="1331" w:type="dxa"/>
          </w:tcPr>
          <w:p w14:paraId="0B74C729"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0.5</w:t>
            </w:r>
          </w:p>
        </w:tc>
        <w:tc>
          <w:tcPr>
            <w:tcW w:w="1331" w:type="dxa"/>
          </w:tcPr>
          <w:p w14:paraId="1A0934FB"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0.052</w:t>
            </w:r>
          </w:p>
        </w:tc>
      </w:tr>
    </w:tbl>
    <w:p w14:paraId="7FA2A9C4" w14:textId="77777777" w:rsidR="00342321" w:rsidRPr="00BC31E0" w:rsidRDefault="00342321" w:rsidP="00342321">
      <w:pPr>
        <w:snapToGrid w:val="0"/>
        <w:spacing w:before="60" w:line="320" w:lineRule="atLeast"/>
        <w:ind w:left="1474" w:hanging="794"/>
        <w:jc w:val="left"/>
        <w:rPr>
          <w:szCs w:val="20"/>
        </w:rPr>
      </w:pPr>
      <w:r w:rsidRPr="00BC31E0">
        <w:rPr>
          <w:rFonts w:ascii="ＭＳ ゴシック" w:eastAsia="ＭＳ ゴシック" w:hAnsi="ＭＳ ゴシック" w:hint="eastAsia"/>
          <w:b/>
          <w:szCs w:val="20"/>
        </w:rPr>
        <w:t>注記2</w:t>
      </w:r>
      <w:r w:rsidRPr="00BC31E0">
        <w:rPr>
          <w:rFonts w:ascii="ＭＳ 明朝" w:hAnsi="ＭＳ 明朝" w:hint="eastAsia"/>
          <w:szCs w:val="20"/>
        </w:rPr>
        <w:t xml:space="preserve">　</w:t>
      </w:r>
      <w:r w:rsidRPr="00BC31E0">
        <w:rPr>
          <w:szCs w:val="20"/>
        </w:rPr>
        <w:t>き</w:t>
      </w:r>
      <w:r w:rsidRPr="00BC31E0">
        <w:rPr>
          <w:rFonts w:hint="eastAsia"/>
          <w:szCs w:val="20"/>
        </w:rPr>
        <w:t>ず</w:t>
      </w:r>
      <w:r w:rsidRPr="00BC31E0">
        <w:rPr>
          <w:szCs w:val="20"/>
        </w:rPr>
        <w:t>高さ</w:t>
      </w:r>
      <m:oMath>
        <m:r>
          <m:rPr>
            <m:sty m:val="p"/>
          </m:rPr>
          <w:rPr>
            <w:rFonts w:ascii="Cambria Math" w:hAnsi="Cambria Math"/>
            <w:szCs w:val="20"/>
          </w:rPr>
          <m:t xml:space="preserve"> </m:t>
        </m:r>
        <m:r>
          <w:rPr>
            <w:rFonts w:ascii="Cambria Math" w:hAnsi="Cambria Math"/>
            <w:szCs w:val="20"/>
          </w:rPr>
          <m:t>a</m:t>
        </m:r>
        <m:r>
          <m:rPr>
            <m:sty m:val="p"/>
          </m:rPr>
          <w:rPr>
            <w:rFonts w:ascii="Cambria Math" w:hAnsi="Cambria Math"/>
            <w:szCs w:val="20"/>
          </w:rPr>
          <m:t xml:space="preserve"> </m:t>
        </m:r>
      </m:oMath>
      <w:r w:rsidRPr="00BC31E0">
        <w:rPr>
          <w:szCs w:val="20"/>
        </w:rPr>
        <w:t>が</w:t>
      </w:r>
      <m:oMath>
        <m:r>
          <m:rPr>
            <m:sty m:val="p"/>
          </m:rPr>
          <w:rPr>
            <w:rFonts w:ascii="Cambria Math" w:hAnsi="Cambria Math"/>
            <w:szCs w:val="20"/>
          </w:rPr>
          <m:t xml:space="preserve"> 1 mm </m:t>
        </m:r>
      </m:oMath>
      <w:r w:rsidRPr="00BC31E0">
        <w:rPr>
          <w:szCs w:val="20"/>
        </w:rPr>
        <w:t>未満になる場合</w:t>
      </w:r>
      <w:r w:rsidRPr="00BC31E0">
        <w:rPr>
          <w:rFonts w:hint="eastAsia"/>
          <w:szCs w:val="20"/>
        </w:rPr>
        <w:t>で</w:t>
      </w:r>
      <w:r w:rsidRPr="00BC31E0">
        <w:rPr>
          <w:szCs w:val="20"/>
        </w:rPr>
        <w:t>，使用者設計仕様書</w:t>
      </w:r>
      <w:r w:rsidRPr="00BC31E0">
        <w:rPr>
          <w:rFonts w:hint="eastAsia"/>
          <w:szCs w:val="20"/>
        </w:rPr>
        <w:t>に</w:t>
      </w:r>
      <w:r w:rsidRPr="00BC31E0">
        <w:rPr>
          <w:rFonts w:ascii="ＭＳ ゴシック" w:eastAsia="ＭＳ ゴシック" w:hAnsi="ＭＳ ゴシック" w:hint="eastAsia"/>
          <w:b/>
          <w:szCs w:val="20"/>
        </w:rPr>
        <w:t>表5.2.2</w:t>
      </w:r>
      <w:r w:rsidRPr="00BC31E0">
        <w:rPr>
          <w:rFonts w:hint="eastAsia"/>
          <w:szCs w:val="20"/>
        </w:rPr>
        <w:t>よりも高い</w:t>
      </w:r>
      <w:r w:rsidRPr="00BC31E0">
        <w:rPr>
          <w:szCs w:val="20"/>
        </w:rPr>
        <w:t>要求シャルピー</w:t>
      </w:r>
      <w:r w:rsidRPr="00BC31E0">
        <w:rPr>
          <w:rFonts w:hint="eastAsia"/>
          <w:szCs w:val="20"/>
        </w:rPr>
        <w:t>衝撃</w:t>
      </w:r>
      <w:r w:rsidRPr="00BC31E0">
        <w:rPr>
          <w:szCs w:val="20"/>
        </w:rPr>
        <w:t>吸収エネルギー</w:t>
      </w:r>
      <w:r w:rsidRPr="00BC31E0">
        <w:rPr>
          <w:rFonts w:hint="eastAsia"/>
          <w:szCs w:val="20"/>
        </w:rPr>
        <w:t>が規定されている場合には，</w:t>
      </w:r>
      <w:r w:rsidRPr="00BC31E0">
        <w:rPr>
          <w:rFonts w:ascii="ＭＳ ゴシック" w:eastAsia="ＭＳ ゴシック" w:hAnsi="ＭＳ ゴシック" w:hint="eastAsia"/>
          <w:b/>
          <w:szCs w:val="20"/>
        </w:rPr>
        <w:t>9.3.6 c) 2) 2.3)</w:t>
      </w:r>
      <w:r w:rsidRPr="00BC31E0">
        <w:rPr>
          <w:rFonts w:hint="eastAsia"/>
          <w:szCs w:val="20"/>
        </w:rPr>
        <w:t>に</w:t>
      </w:r>
      <w:r w:rsidRPr="00BC31E0">
        <w:rPr>
          <w:szCs w:val="20"/>
        </w:rPr>
        <w:t>より</w:t>
      </w:r>
      <w:r w:rsidRPr="00BC31E0">
        <w:rPr>
          <w:rFonts w:hint="eastAsia"/>
          <w:szCs w:val="20"/>
        </w:rPr>
        <w:t>製作者が許容きず寸法を算出</w:t>
      </w:r>
      <w:r w:rsidR="000A37AD" w:rsidRPr="00BC31E0">
        <w:rPr>
          <w:rFonts w:hint="eastAsia"/>
          <w:szCs w:val="20"/>
        </w:rPr>
        <w:t>してもよい</w:t>
      </w:r>
      <w:r w:rsidRPr="00BC31E0">
        <w:rPr>
          <w:rFonts w:hint="eastAsia"/>
          <w:szCs w:val="20"/>
        </w:rPr>
        <w:t>。</w:t>
      </w:r>
    </w:p>
    <w:p w14:paraId="1E57C41C" w14:textId="77777777" w:rsidR="00342321" w:rsidRPr="00BC31E0" w:rsidRDefault="00342321" w:rsidP="00342321">
      <w:pPr>
        <w:snapToGrid w:val="0"/>
        <w:spacing w:line="320" w:lineRule="atLeast"/>
        <w:ind w:left="1474" w:hanging="794"/>
        <w:jc w:val="left"/>
        <w:rPr>
          <w:szCs w:val="20"/>
        </w:rPr>
      </w:pPr>
      <w:r w:rsidRPr="00BC31E0">
        <w:rPr>
          <w:rFonts w:ascii="ＭＳ ゴシック" w:eastAsia="ＭＳ ゴシック" w:hAnsi="ＭＳ ゴシック" w:hint="eastAsia"/>
          <w:b/>
          <w:szCs w:val="20"/>
        </w:rPr>
        <w:t>注記3</w:t>
      </w:r>
      <w:r w:rsidRPr="00BC31E0">
        <w:rPr>
          <w:rFonts w:ascii="ＭＳ 明朝" w:hAnsi="ＭＳ 明朝" w:hint="eastAsia"/>
          <w:szCs w:val="20"/>
        </w:rPr>
        <w:t xml:space="preserve">　</w:t>
      </w:r>
      <w:r w:rsidRPr="00BC31E0">
        <w:rPr>
          <w:rFonts w:hAnsi="ＭＳ 明朝"/>
          <w:szCs w:val="20"/>
        </w:rPr>
        <w:t>中間の</w:t>
      </w:r>
      <w:r w:rsidRPr="00BC31E0">
        <w:rPr>
          <w:rFonts w:hAnsi="ＭＳ 明朝" w:hint="eastAsia"/>
          <w:szCs w:val="20"/>
        </w:rPr>
        <w:t>内外径比</w:t>
      </w:r>
      <m:oMath>
        <m:r>
          <m:rPr>
            <m:sty m:val="p"/>
          </m:rPr>
          <w:rPr>
            <w:rFonts w:ascii="Cambria Math" w:hAnsi="Cambria Math"/>
            <w:szCs w:val="20"/>
          </w:rPr>
          <m:t xml:space="preserve"> </m:t>
        </m:r>
        <m:r>
          <w:rPr>
            <w:rFonts w:ascii="Cambria Math" w:hAnsi="Cambria Math"/>
            <w:szCs w:val="20"/>
          </w:rPr>
          <m:t>Y</m:t>
        </m:r>
        <m:r>
          <m:rPr>
            <m:sty m:val="p"/>
          </m:rPr>
          <w:rPr>
            <w:rFonts w:ascii="Cambria Math" w:hAnsi="Cambria Math"/>
            <w:szCs w:val="20"/>
          </w:rPr>
          <m:t xml:space="preserve"> </m:t>
        </m:r>
      </m:oMath>
      <w:r w:rsidRPr="00BC31E0">
        <w:rPr>
          <w:rFonts w:hAnsi="ＭＳ 明朝"/>
          <w:szCs w:val="20"/>
        </w:rPr>
        <w:t>の値及び</w:t>
      </w:r>
      <m:oMath>
        <m:f>
          <m:fPr>
            <m:type m:val="lin"/>
            <m:ctrlPr>
              <w:rPr>
                <w:rFonts w:ascii="Cambria Math" w:hAnsi="Cambria Math"/>
                <w:i/>
                <w:szCs w:val="20"/>
              </w:rPr>
            </m:ctrlPr>
          </m:fPr>
          <m:num>
            <m:r>
              <w:rPr>
                <w:rFonts w:ascii="Cambria Math" w:hAnsi="Cambria Math"/>
                <w:szCs w:val="20"/>
              </w:rPr>
              <m:t xml:space="preserve"> a</m:t>
            </m:r>
          </m:num>
          <m:den>
            <m:r>
              <w:rPr>
                <w:rFonts w:ascii="Cambria Math" w:hAnsi="Cambria Math"/>
                <w:szCs w:val="20"/>
              </w:rPr>
              <m:t xml:space="preserve">l </m:t>
            </m:r>
          </m:den>
        </m:f>
      </m:oMath>
      <w:r w:rsidRPr="00BC31E0">
        <w:rPr>
          <w:rFonts w:hAnsi="ＭＳ 明朝"/>
          <w:szCs w:val="20"/>
        </w:rPr>
        <w:t>の値に対しては，線形補間</w:t>
      </w:r>
      <w:r w:rsidRPr="00BC31E0">
        <w:rPr>
          <w:rFonts w:hAnsi="ＭＳ 明朝" w:hint="eastAsia"/>
          <w:szCs w:val="20"/>
        </w:rPr>
        <w:t>により</w:t>
      </w:r>
      <m:oMath>
        <m:f>
          <m:fPr>
            <m:type m:val="lin"/>
            <m:ctrlPr>
              <w:rPr>
                <w:rFonts w:ascii="Cambria Math" w:hAnsi="Cambria Math"/>
                <w:i/>
                <w:szCs w:val="20"/>
              </w:rPr>
            </m:ctrlPr>
          </m:fPr>
          <m:num>
            <m:r>
              <w:rPr>
                <w:rFonts w:ascii="Cambria Math" w:hAnsi="Cambria Math"/>
                <w:szCs w:val="20"/>
              </w:rPr>
              <m:t xml:space="preserve"> a</m:t>
            </m:r>
          </m:num>
          <m:den>
            <m:r>
              <w:rPr>
                <w:rFonts w:ascii="Cambria Math" w:hAnsi="Cambria Math"/>
                <w:szCs w:val="20"/>
              </w:rPr>
              <m:t>t</m:t>
            </m:r>
          </m:den>
        </m:f>
        <m:r>
          <w:rPr>
            <w:rFonts w:ascii="Cambria Math" w:hAnsi="Cambria Math"/>
            <w:szCs w:val="20"/>
          </w:rPr>
          <m:t xml:space="preserve"> </m:t>
        </m:r>
      </m:oMath>
      <w:r w:rsidRPr="00BC31E0">
        <w:rPr>
          <w:rFonts w:hAnsi="ＭＳ 明朝"/>
          <w:szCs w:val="20"/>
        </w:rPr>
        <w:t>を求める。</w:t>
      </w:r>
    </w:p>
    <w:p w14:paraId="280B1C0C" w14:textId="77777777" w:rsidR="00CA187B" w:rsidRPr="00BC31E0" w:rsidRDefault="00CA187B" w:rsidP="00E071EE">
      <w:pPr>
        <w:spacing w:line="200" w:lineRule="exact"/>
        <w:jc w:val="left"/>
        <w:rPr>
          <w:rFonts w:ascii="ＭＳ ゴシック" w:eastAsia="ＭＳ ゴシック" w:hAnsi="ＭＳ ゴシック"/>
          <w:b/>
          <w:szCs w:val="20"/>
        </w:rPr>
      </w:pPr>
    </w:p>
    <w:p w14:paraId="4D3FC2D6" w14:textId="77777777" w:rsidR="00342321" w:rsidRPr="00BC31E0" w:rsidRDefault="00342321" w:rsidP="00CA187B">
      <w:pPr>
        <w:jc w:val="center"/>
        <w:rPr>
          <w:szCs w:val="20"/>
        </w:rPr>
      </w:pPr>
      <w:r w:rsidRPr="00BC31E0">
        <w:rPr>
          <w:rFonts w:ascii="ＭＳ ゴシック" w:eastAsia="ＭＳ ゴシック" w:hAnsi="ＭＳ ゴシック" w:hint="eastAsia"/>
          <w:b/>
          <w:szCs w:val="20"/>
        </w:rPr>
        <w:t>表9.3.10　表面きずの許容きず寸法 (</w:t>
      </w:r>
      <m:oMath>
        <m:r>
          <m:rPr>
            <m:sty m:val="bi"/>
          </m:rPr>
          <w:rPr>
            <w:rFonts w:ascii="Cambria Math" w:eastAsia="ＭＳ ゴシック" w:hAnsi="Cambria Math"/>
            <w:sz w:val="22"/>
            <w:szCs w:val="22"/>
          </w:rPr>
          <m:t>260</m:t>
        </m:r>
        <m:r>
          <w:rPr>
            <w:rFonts w:ascii="Cambria Math" w:eastAsia="ＭＳ ゴシック" w:hAnsi="Cambria Math"/>
            <w:sz w:val="22"/>
            <w:szCs w:val="22"/>
          </w:rPr>
          <m:t>&lt;</m:t>
        </m:r>
        <m:sSub>
          <m:sSubPr>
            <m:ctrlPr>
              <w:rPr>
                <w:rFonts w:ascii="Cambria Math" w:eastAsia="ＭＳ ゴシック" w:hAnsi="Cambria Math"/>
                <w:b/>
                <w:i/>
                <w:sz w:val="22"/>
                <w:szCs w:val="22"/>
              </w:rPr>
            </m:ctrlPr>
          </m:sSubPr>
          <m:e>
            <m:r>
              <m:rPr>
                <m:sty m:val="bi"/>
              </m:rPr>
              <w:rPr>
                <w:rFonts w:ascii="Cambria Math" w:eastAsia="ＭＳ ゴシック" w:hAnsi="Cambria Math"/>
                <w:sz w:val="22"/>
                <w:szCs w:val="22"/>
              </w:rPr>
              <m:t>S</m:t>
            </m:r>
          </m:e>
          <m:sub>
            <m:r>
              <m:rPr>
                <m:sty m:val="bi"/>
              </m:rPr>
              <w:rPr>
                <w:rFonts w:ascii="Cambria Math" w:eastAsia="ＭＳ ゴシック" w:hAnsi="Cambria Math"/>
                <w:sz w:val="22"/>
                <w:szCs w:val="22"/>
                <w:vertAlign w:val="subscript"/>
              </w:rPr>
              <m:t>y</m:t>
            </m:r>
          </m:sub>
        </m:sSub>
        <m:r>
          <m:rPr>
            <m:sty m:val="bi"/>
          </m:rPr>
          <w:rPr>
            <w:rFonts w:ascii="Cambria Math" w:eastAsia="ＭＳ ゴシック" w:hAnsi="Cambria Math"/>
            <w:sz w:val="22"/>
            <w:szCs w:val="22"/>
          </w:rPr>
          <m:t>≦415</m:t>
        </m:r>
        <m:r>
          <m:rPr>
            <m:sty m:val="b"/>
          </m:rPr>
          <w:rPr>
            <w:rFonts w:ascii="Cambria Math" w:eastAsia="ＭＳ ゴシック" w:hAnsi="Cambria Math"/>
            <w:sz w:val="22"/>
            <w:szCs w:val="22"/>
          </w:rPr>
          <m:t xml:space="preserve"> MPa</m:t>
        </m:r>
      </m:oMath>
      <w:r w:rsidRPr="00BC31E0">
        <w:rPr>
          <w:rFonts w:ascii="ＭＳ ゴシック" w:eastAsia="ＭＳ ゴシック" w:hAnsi="ＭＳ ゴシック" w:hint="eastAsia"/>
          <w:b/>
          <w:szCs w:val="20"/>
        </w:rPr>
        <w:t>，溶接後熱処理</w:t>
      </w:r>
      <w:r w:rsidRPr="00BC31E0">
        <w:rPr>
          <w:rFonts w:ascii="ＭＳ ゴシック" w:eastAsia="ＭＳ ゴシック" w:hAnsi="ＭＳ ゴシック"/>
          <w:b/>
          <w:szCs w:val="20"/>
        </w:rPr>
        <w:t>あり</w:t>
      </w:r>
      <w:r w:rsidRPr="00BC31E0">
        <w:rPr>
          <w:rFonts w:ascii="ＭＳ ゴシック" w:eastAsia="ＭＳ ゴシック" w:hAnsi="ＭＳ ゴシック" w:hint="eastAsia"/>
          <w:b/>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594"/>
        <w:gridCol w:w="1595"/>
        <w:gridCol w:w="1595"/>
        <w:gridCol w:w="1595"/>
      </w:tblGrid>
      <w:tr w:rsidR="00342321" w:rsidRPr="00BC31E0" w14:paraId="3490F508" w14:textId="77777777" w:rsidTr="004736F2">
        <w:trPr>
          <w:jc w:val="center"/>
        </w:trPr>
        <w:tc>
          <w:tcPr>
            <w:tcW w:w="992" w:type="dxa"/>
            <w:vMerge w:val="restart"/>
            <w:vAlign w:val="center"/>
          </w:tcPr>
          <w:p w14:paraId="22227AB7" w14:textId="77777777" w:rsidR="00342321" w:rsidRPr="00BC31E0" w:rsidRDefault="00A51873" w:rsidP="004736F2">
            <w:pPr>
              <w:snapToGrid w:val="0"/>
              <w:spacing w:line="300" w:lineRule="atLeast"/>
              <w:jc w:val="center"/>
              <w:rPr>
                <w:rFonts w:ascii="Times New Roman" w:hAnsi="Times New Roman"/>
                <w:i/>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l</m:t>
                    </m:r>
                  </m:den>
                </m:f>
              </m:oMath>
            </m:oMathPara>
          </w:p>
        </w:tc>
        <w:tc>
          <w:tcPr>
            <w:tcW w:w="6379" w:type="dxa"/>
            <w:gridSpan w:val="4"/>
            <w:vAlign w:val="center"/>
          </w:tcPr>
          <w:p w14:paraId="1FCA7255" w14:textId="77777777" w:rsidR="00342321" w:rsidRPr="00BC31E0" w:rsidRDefault="00342321" w:rsidP="004736F2">
            <w:pPr>
              <w:snapToGrid w:val="0"/>
              <w:spacing w:line="300" w:lineRule="atLeast"/>
              <w:jc w:val="center"/>
              <w:rPr>
                <w:rFonts w:ascii="Times New Roman" w:hAnsi="Times New Roman"/>
                <w:i/>
                <w:szCs w:val="20"/>
              </w:rPr>
            </w:pPr>
            <m:oMathPara>
              <m:oMath>
                <m:r>
                  <w:rPr>
                    <w:rFonts w:ascii="Cambria Math" w:hAnsi="Cambria Math"/>
                    <w:szCs w:val="20"/>
                  </w:rPr>
                  <m:t>t&gt;</m:t>
                </m:r>
                <m:r>
                  <w:rPr>
                    <w:rFonts w:ascii="Cambria Math" w:hAnsi="Cambria Math" w:hint="eastAsia"/>
                    <w:szCs w:val="20"/>
                  </w:rPr>
                  <m:t>300</m:t>
                </m:r>
                <m:r>
                  <m:rPr>
                    <m:sty m:val="p"/>
                  </m:rPr>
                  <w:rPr>
                    <w:rFonts w:ascii="Cambria Math" w:hAnsi="Cambria Math" w:hint="eastAsia"/>
                    <w:szCs w:val="20"/>
                  </w:rPr>
                  <m:t xml:space="preserve"> mm</m:t>
                </m:r>
              </m:oMath>
            </m:oMathPara>
          </w:p>
        </w:tc>
      </w:tr>
      <w:tr w:rsidR="00342321" w:rsidRPr="00BC31E0" w14:paraId="1D84821F" w14:textId="77777777" w:rsidTr="004736F2">
        <w:trPr>
          <w:jc w:val="center"/>
        </w:trPr>
        <w:tc>
          <w:tcPr>
            <w:tcW w:w="992" w:type="dxa"/>
            <w:vMerge/>
            <w:vAlign w:val="center"/>
          </w:tcPr>
          <w:p w14:paraId="3814F8B1" w14:textId="77777777" w:rsidR="00342321" w:rsidRPr="00BC31E0" w:rsidRDefault="00342321" w:rsidP="004736F2">
            <w:pPr>
              <w:snapToGrid w:val="0"/>
              <w:spacing w:line="300" w:lineRule="atLeast"/>
              <w:jc w:val="center"/>
              <w:rPr>
                <w:rFonts w:ascii="Times New Roman" w:hAnsi="Times New Roman"/>
                <w:i/>
                <w:szCs w:val="20"/>
              </w:rPr>
            </w:pPr>
          </w:p>
        </w:tc>
        <w:tc>
          <w:tcPr>
            <w:tcW w:w="1594" w:type="dxa"/>
            <w:vAlign w:val="center"/>
          </w:tcPr>
          <w:p w14:paraId="17956E67" w14:textId="77777777" w:rsidR="00342321" w:rsidRPr="00BC31E0" w:rsidRDefault="00342321" w:rsidP="004736F2">
            <w:pPr>
              <w:snapToGrid w:val="0"/>
              <w:spacing w:line="300" w:lineRule="atLeast"/>
              <w:jc w:val="center"/>
              <w:rPr>
                <w:i/>
                <w:szCs w:val="20"/>
              </w:rPr>
            </w:pPr>
            <m:oMathPara>
              <m:oMath>
                <m:r>
                  <w:rPr>
                    <w:rFonts w:ascii="Cambria Math" w:hAnsi="Cambria Math"/>
                    <w:szCs w:val="20"/>
                  </w:rPr>
                  <m:t>Y=</m:t>
                </m:r>
                <m:r>
                  <w:rPr>
                    <w:rFonts w:ascii="Cambria Math" w:hAnsi="Cambria Math" w:hint="eastAsia"/>
                    <w:szCs w:val="20"/>
                  </w:rPr>
                  <m:t>1.2</m:t>
                </m:r>
              </m:oMath>
            </m:oMathPara>
          </w:p>
        </w:tc>
        <w:tc>
          <w:tcPr>
            <w:tcW w:w="1595" w:type="dxa"/>
            <w:vAlign w:val="center"/>
          </w:tcPr>
          <w:p w14:paraId="5AB91F90" w14:textId="77777777" w:rsidR="00342321" w:rsidRPr="00BC31E0" w:rsidRDefault="00342321" w:rsidP="004736F2">
            <w:pPr>
              <w:snapToGrid w:val="0"/>
              <w:spacing w:line="300" w:lineRule="atLeast"/>
              <w:jc w:val="center"/>
              <w:rPr>
                <w:i/>
                <w:szCs w:val="20"/>
              </w:rPr>
            </w:pPr>
            <m:oMathPara>
              <m:oMath>
                <m:r>
                  <w:rPr>
                    <w:rFonts w:ascii="Cambria Math" w:hAnsi="Cambria Math"/>
                    <w:szCs w:val="20"/>
                  </w:rPr>
                  <m:t>Y=</m:t>
                </m:r>
                <m:r>
                  <w:rPr>
                    <w:rFonts w:ascii="Cambria Math" w:hAnsi="Cambria Math" w:hint="eastAsia"/>
                    <w:szCs w:val="20"/>
                  </w:rPr>
                  <m:t>1.5</m:t>
                </m:r>
              </m:oMath>
            </m:oMathPara>
          </w:p>
        </w:tc>
        <w:tc>
          <w:tcPr>
            <w:tcW w:w="1595" w:type="dxa"/>
            <w:vAlign w:val="center"/>
          </w:tcPr>
          <w:p w14:paraId="0AFCAF5B" w14:textId="77777777" w:rsidR="00342321" w:rsidRPr="00BC31E0" w:rsidRDefault="00342321" w:rsidP="004736F2">
            <w:pPr>
              <w:snapToGrid w:val="0"/>
              <w:spacing w:line="300" w:lineRule="atLeast"/>
              <w:jc w:val="center"/>
              <w:rPr>
                <w:i/>
                <w:szCs w:val="20"/>
              </w:rPr>
            </w:pPr>
            <m:oMathPara>
              <m:oMath>
                <m:r>
                  <w:rPr>
                    <w:rFonts w:ascii="Cambria Math" w:hAnsi="Cambria Math"/>
                    <w:szCs w:val="20"/>
                  </w:rPr>
                  <m:t>Y=</m:t>
                </m:r>
                <m:r>
                  <w:rPr>
                    <w:rFonts w:ascii="Cambria Math" w:hAnsi="Cambria Math" w:hint="eastAsia"/>
                    <w:szCs w:val="20"/>
                  </w:rPr>
                  <m:t>2.0</m:t>
                </m:r>
              </m:oMath>
            </m:oMathPara>
          </w:p>
        </w:tc>
        <w:tc>
          <w:tcPr>
            <w:tcW w:w="1595" w:type="dxa"/>
            <w:vAlign w:val="center"/>
          </w:tcPr>
          <w:p w14:paraId="1ADFF9F2" w14:textId="77777777" w:rsidR="00342321" w:rsidRPr="00BC31E0" w:rsidRDefault="00342321" w:rsidP="004736F2">
            <w:pPr>
              <w:snapToGrid w:val="0"/>
              <w:spacing w:line="300" w:lineRule="atLeast"/>
              <w:jc w:val="center"/>
              <w:rPr>
                <w:i/>
                <w:szCs w:val="20"/>
              </w:rPr>
            </w:pPr>
            <m:oMathPara>
              <m:oMath>
                <m:r>
                  <w:rPr>
                    <w:rFonts w:ascii="Cambria Math" w:hAnsi="Cambria Math"/>
                    <w:szCs w:val="20"/>
                  </w:rPr>
                  <m:t>Y=</m:t>
                </m:r>
                <m:r>
                  <w:rPr>
                    <w:rFonts w:ascii="Cambria Math" w:hAnsi="Cambria Math" w:hint="eastAsia"/>
                    <w:szCs w:val="20"/>
                  </w:rPr>
                  <m:t>2.5</m:t>
                </m:r>
              </m:oMath>
            </m:oMathPara>
          </w:p>
        </w:tc>
      </w:tr>
      <w:tr w:rsidR="00342321" w:rsidRPr="00BC31E0" w14:paraId="1694DB02" w14:textId="77777777" w:rsidTr="004736F2">
        <w:trPr>
          <w:jc w:val="center"/>
        </w:trPr>
        <w:tc>
          <w:tcPr>
            <w:tcW w:w="992" w:type="dxa"/>
            <w:vMerge/>
            <w:vAlign w:val="center"/>
          </w:tcPr>
          <w:p w14:paraId="7F80A47E" w14:textId="77777777" w:rsidR="00342321" w:rsidRPr="00BC31E0" w:rsidRDefault="00342321" w:rsidP="004736F2">
            <w:pPr>
              <w:snapToGrid w:val="0"/>
              <w:spacing w:line="300" w:lineRule="atLeast"/>
              <w:jc w:val="center"/>
              <w:rPr>
                <w:szCs w:val="20"/>
              </w:rPr>
            </w:pPr>
          </w:p>
        </w:tc>
        <w:tc>
          <w:tcPr>
            <w:tcW w:w="1594" w:type="dxa"/>
            <w:vAlign w:val="center"/>
          </w:tcPr>
          <w:p w14:paraId="05336FB0" w14:textId="77777777" w:rsidR="00342321" w:rsidRPr="00BC31E0" w:rsidRDefault="00342321" w:rsidP="004736F2">
            <w:pPr>
              <w:snapToGrid w:val="0"/>
              <w:spacing w:line="300" w:lineRule="atLeast"/>
              <w:jc w:val="center"/>
              <w:rPr>
                <w:szCs w:val="20"/>
              </w:rPr>
            </w:pPr>
            <m:oMath>
              <m:r>
                <w:rPr>
                  <w:rFonts w:ascii="Cambria Math" w:hAnsi="Cambria Math"/>
                  <w:szCs w:val="20"/>
                </w:rPr>
                <m:t xml:space="preserve">a </m:t>
              </m:r>
            </m:oMath>
            <w:r w:rsidRPr="00BC31E0">
              <w:rPr>
                <w:rFonts w:asciiTheme="minorHAnsi" w:hAnsiTheme="minorHAnsi"/>
                <w:szCs w:val="20"/>
              </w:rPr>
              <w:t>(</w:t>
            </w:r>
            <m:oMath>
              <m:r>
                <m:rPr>
                  <m:sty m:val="p"/>
                </m:rPr>
                <w:rPr>
                  <w:rFonts w:ascii="Cambria Math" w:hAnsi="Cambria Math"/>
                  <w:szCs w:val="20"/>
                </w:rPr>
                <m:t>mm</m:t>
              </m:r>
            </m:oMath>
            <w:r w:rsidRPr="00BC31E0">
              <w:rPr>
                <w:rFonts w:asciiTheme="minorHAnsi" w:hAnsiTheme="minorHAnsi"/>
                <w:szCs w:val="20"/>
              </w:rPr>
              <w:t>)</w:t>
            </w:r>
          </w:p>
        </w:tc>
        <w:tc>
          <w:tcPr>
            <w:tcW w:w="1595" w:type="dxa"/>
            <w:vAlign w:val="center"/>
          </w:tcPr>
          <w:p w14:paraId="2150546F" w14:textId="77777777" w:rsidR="00342321" w:rsidRPr="00BC31E0" w:rsidRDefault="00342321" w:rsidP="004736F2">
            <w:pPr>
              <w:snapToGrid w:val="0"/>
              <w:spacing w:line="300" w:lineRule="atLeast"/>
              <w:jc w:val="center"/>
              <w:rPr>
                <w:szCs w:val="20"/>
              </w:rPr>
            </w:pPr>
            <m:oMath>
              <m:r>
                <w:rPr>
                  <w:rFonts w:ascii="Cambria Math" w:hAnsi="Cambria Math"/>
                  <w:szCs w:val="20"/>
                </w:rPr>
                <m:t xml:space="preserve">a </m:t>
              </m:r>
            </m:oMath>
            <w:r w:rsidRPr="00BC31E0">
              <w:rPr>
                <w:rFonts w:asciiTheme="minorHAnsi" w:hAnsiTheme="minorHAnsi"/>
                <w:szCs w:val="20"/>
              </w:rPr>
              <w:t>(</w:t>
            </w:r>
            <m:oMath>
              <m:r>
                <m:rPr>
                  <m:sty m:val="p"/>
                </m:rPr>
                <w:rPr>
                  <w:rFonts w:ascii="Cambria Math" w:hAnsi="Cambria Math"/>
                  <w:szCs w:val="20"/>
                </w:rPr>
                <m:t>mm</m:t>
              </m:r>
            </m:oMath>
            <w:r w:rsidRPr="00BC31E0">
              <w:rPr>
                <w:rFonts w:asciiTheme="minorHAnsi" w:hAnsiTheme="minorHAnsi"/>
                <w:szCs w:val="20"/>
              </w:rPr>
              <w:t>)</w:t>
            </w:r>
          </w:p>
        </w:tc>
        <w:tc>
          <w:tcPr>
            <w:tcW w:w="1595" w:type="dxa"/>
            <w:vAlign w:val="center"/>
          </w:tcPr>
          <w:p w14:paraId="21C3E138" w14:textId="77777777" w:rsidR="00342321" w:rsidRPr="00BC31E0" w:rsidRDefault="00342321" w:rsidP="004736F2">
            <w:pPr>
              <w:snapToGrid w:val="0"/>
              <w:spacing w:line="300" w:lineRule="atLeast"/>
              <w:jc w:val="center"/>
              <w:rPr>
                <w:szCs w:val="20"/>
              </w:rPr>
            </w:pPr>
            <m:oMath>
              <m:r>
                <w:rPr>
                  <w:rFonts w:ascii="Cambria Math" w:hAnsi="Cambria Math"/>
                  <w:szCs w:val="20"/>
                </w:rPr>
                <m:t xml:space="preserve">a </m:t>
              </m:r>
            </m:oMath>
            <w:r w:rsidRPr="00BC31E0">
              <w:rPr>
                <w:rFonts w:asciiTheme="minorHAnsi" w:hAnsiTheme="minorHAnsi"/>
                <w:szCs w:val="20"/>
              </w:rPr>
              <w:t>(</w:t>
            </w:r>
            <m:oMath>
              <m:r>
                <m:rPr>
                  <m:sty m:val="p"/>
                </m:rPr>
                <w:rPr>
                  <w:rFonts w:ascii="Cambria Math" w:hAnsi="Cambria Math"/>
                  <w:szCs w:val="20"/>
                </w:rPr>
                <m:t>mm</m:t>
              </m:r>
            </m:oMath>
            <w:r w:rsidRPr="00BC31E0">
              <w:rPr>
                <w:rFonts w:asciiTheme="minorHAnsi" w:hAnsiTheme="minorHAnsi"/>
                <w:szCs w:val="20"/>
              </w:rPr>
              <w:t>)</w:t>
            </w:r>
          </w:p>
        </w:tc>
        <w:tc>
          <w:tcPr>
            <w:tcW w:w="1595" w:type="dxa"/>
            <w:vAlign w:val="center"/>
          </w:tcPr>
          <w:p w14:paraId="72A3F257" w14:textId="77777777" w:rsidR="00342321" w:rsidRPr="00BC31E0" w:rsidRDefault="00342321" w:rsidP="004736F2">
            <w:pPr>
              <w:snapToGrid w:val="0"/>
              <w:spacing w:line="300" w:lineRule="atLeast"/>
              <w:jc w:val="center"/>
              <w:rPr>
                <w:szCs w:val="20"/>
              </w:rPr>
            </w:pPr>
            <m:oMath>
              <m:r>
                <w:rPr>
                  <w:rFonts w:ascii="Cambria Math" w:hAnsi="Cambria Math"/>
                  <w:szCs w:val="20"/>
                </w:rPr>
                <m:t xml:space="preserve">a </m:t>
              </m:r>
            </m:oMath>
            <w:r w:rsidRPr="00BC31E0">
              <w:rPr>
                <w:rFonts w:asciiTheme="minorHAnsi" w:hAnsiTheme="minorHAnsi"/>
                <w:szCs w:val="20"/>
              </w:rPr>
              <w:t>(</w:t>
            </w:r>
            <m:oMath>
              <m:r>
                <m:rPr>
                  <m:sty m:val="p"/>
                </m:rPr>
                <w:rPr>
                  <w:rFonts w:ascii="Cambria Math" w:hAnsi="Cambria Math"/>
                  <w:szCs w:val="20"/>
                </w:rPr>
                <m:t>mm</m:t>
              </m:r>
            </m:oMath>
            <w:r w:rsidRPr="00BC31E0">
              <w:rPr>
                <w:rFonts w:asciiTheme="minorHAnsi" w:hAnsiTheme="minorHAnsi"/>
                <w:szCs w:val="20"/>
              </w:rPr>
              <w:t>)</w:t>
            </w:r>
          </w:p>
        </w:tc>
      </w:tr>
      <w:tr w:rsidR="00342321" w:rsidRPr="00BC31E0" w14:paraId="612D9455" w14:textId="77777777" w:rsidTr="004736F2">
        <w:trPr>
          <w:jc w:val="center"/>
        </w:trPr>
        <w:tc>
          <w:tcPr>
            <w:tcW w:w="992" w:type="dxa"/>
            <w:vAlign w:val="center"/>
          </w:tcPr>
          <w:p w14:paraId="67A2A8AD"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0.0</w:t>
            </w:r>
          </w:p>
        </w:tc>
        <w:tc>
          <w:tcPr>
            <w:tcW w:w="1594" w:type="dxa"/>
            <w:vAlign w:val="center"/>
          </w:tcPr>
          <w:p w14:paraId="662DE397"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5.39</w:t>
            </w:r>
          </w:p>
        </w:tc>
        <w:tc>
          <w:tcPr>
            <w:tcW w:w="1595" w:type="dxa"/>
            <w:vAlign w:val="center"/>
          </w:tcPr>
          <w:p w14:paraId="09810388"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3.27</w:t>
            </w:r>
          </w:p>
        </w:tc>
        <w:tc>
          <w:tcPr>
            <w:tcW w:w="1595" w:type="dxa"/>
            <w:vAlign w:val="center"/>
          </w:tcPr>
          <w:p w14:paraId="35712C8F"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1.49</w:t>
            </w:r>
          </w:p>
        </w:tc>
        <w:tc>
          <w:tcPr>
            <w:tcW w:w="1595" w:type="dxa"/>
            <w:vAlign w:val="center"/>
          </w:tcPr>
          <w:p w14:paraId="51C72D9C" w14:textId="77777777" w:rsidR="00342321" w:rsidRPr="00BC31E0" w:rsidRDefault="00342321" w:rsidP="004736F2">
            <w:pPr>
              <w:snapToGrid w:val="0"/>
              <w:spacing w:line="300" w:lineRule="atLeast"/>
              <w:jc w:val="center"/>
              <w:rPr>
                <w:rFonts w:ascii="Cambria Math" w:eastAsia="ＭＳ ゴシック" w:hAnsi="Cambria Math"/>
                <w:b/>
                <w:sz w:val="22"/>
                <w:szCs w:val="22"/>
              </w:rPr>
            </w:pPr>
            <w:r w:rsidRPr="00BC31E0">
              <w:rPr>
                <w:rFonts w:ascii="Cambria Math" w:eastAsia="ＭＳ ゴシック" w:hAnsi="Cambria Math"/>
                <w:b/>
                <w:sz w:val="22"/>
                <w:szCs w:val="22"/>
                <w:vertAlign w:val="superscript"/>
              </w:rPr>
              <w:t>a)</w:t>
            </w:r>
          </w:p>
        </w:tc>
      </w:tr>
      <w:tr w:rsidR="00342321" w:rsidRPr="00BC31E0" w14:paraId="021421BE" w14:textId="77777777" w:rsidTr="004736F2">
        <w:trPr>
          <w:jc w:val="center"/>
        </w:trPr>
        <w:tc>
          <w:tcPr>
            <w:tcW w:w="992" w:type="dxa"/>
            <w:vAlign w:val="center"/>
          </w:tcPr>
          <w:p w14:paraId="2CA078D7"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0.1</w:t>
            </w:r>
          </w:p>
        </w:tc>
        <w:tc>
          <w:tcPr>
            <w:tcW w:w="1594" w:type="dxa"/>
            <w:vAlign w:val="center"/>
          </w:tcPr>
          <w:p w14:paraId="2348A287"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6.15</w:t>
            </w:r>
          </w:p>
        </w:tc>
        <w:tc>
          <w:tcPr>
            <w:tcW w:w="1595" w:type="dxa"/>
            <w:vAlign w:val="center"/>
          </w:tcPr>
          <w:p w14:paraId="348FE764"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3.82</w:t>
            </w:r>
          </w:p>
        </w:tc>
        <w:tc>
          <w:tcPr>
            <w:tcW w:w="1595" w:type="dxa"/>
            <w:vAlign w:val="center"/>
          </w:tcPr>
          <w:p w14:paraId="0FACB2B6"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1.87</w:t>
            </w:r>
          </w:p>
        </w:tc>
        <w:tc>
          <w:tcPr>
            <w:tcW w:w="1595" w:type="dxa"/>
            <w:vAlign w:val="center"/>
          </w:tcPr>
          <w:p w14:paraId="6F509940" w14:textId="77777777" w:rsidR="00342321" w:rsidRPr="00BC31E0" w:rsidRDefault="00342321" w:rsidP="004736F2">
            <w:pPr>
              <w:snapToGrid w:val="0"/>
              <w:spacing w:line="300" w:lineRule="atLeast"/>
              <w:jc w:val="center"/>
              <w:rPr>
                <w:rFonts w:ascii="Cambria Math" w:eastAsia="ＭＳ ゴシック" w:hAnsi="Cambria Math"/>
                <w:b/>
                <w:sz w:val="22"/>
                <w:szCs w:val="22"/>
              </w:rPr>
            </w:pPr>
            <w:r w:rsidRPr="00BC31E0">
              <w:rPr>
                <w:rFonts w:ascii="Cambria Math" w:eastAsia="ＭＳ ゴシック" w:hAnsi="Cambria Math"/>
                <w:b/>
                <w:sz w:val="22"/>
                <w:szCs w:val="22"/>
                <w:vertAlign w:val="superscript"/>
              </w:rPr>
              <w:t>a)</w:t>
            </w:r>
          </w:p>
        </w:tc>
      </w:tr>
      <w:tr w:rsidR="00342321" w:rsidRPr="00BC31E0" w14:paraId="001A77BD" w14:textId="77777777" w:rsidTr="004736F2">
        <w:trPr>
          <w:jc w:val="center"/>
        </w:trPr>
        <w:tc>
          <w:tcPr>
            <w:tcW w:w="992" w:type="dxa"/>
            <w:vAlign w:val="center"/>
          </w:tcPr>
          <w:p w14:paraId="595F224E"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0.2</w:t>
            </w:r>
          </w:p>
        </w:tc>
        <w:tc>
          <w:tcPr>
            <w:tcW w:w="1594" w:type="dxa"/>
            <w:vAlign w:val="center"/>
          </w:tcPr>
          <w:p w14:paraId="31B3F197"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7.93</w:t>
            </w:r>
          </w:p>
        </w:tc>
        <w:tc>
          <w:tcPr>
            <w:tcW w:w="1595" w:type="dxa"/>
            <w:vAlign w:val="center"/>
          </w:tcPr>
          <w:p w14:paraId="5F4803DF"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5.08</w:t>
            </w:r>
          </w:p>
        </w:tc>
        <w:tc>
          <w:tcPr>
            <w:tcW w:w="1595" w:type="dxa"/>
            <w:vAlign w:val="center"/>
          </w:tcPr>
          <w:p w14:paraId="68C96FEE"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2.62</w:t>
            </w:r>
          </w:p>
        </w:tc>
        <w:tc>
          <w:tcPr>
            <w:tcW w:w="1595" w:type="dxa"/>
            <w:vAlign w:val="center"/>
          </w:tcPr>
          <w:p w14:paraId="12D7E936"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1.41</w:t>
            </w:r>
          </w:p>
        </w:tc>
      </w:tr>
      <w:tr w:rsidR="00342321" w:rsidRPr="00BC31E0" w14:paraId="72792196" w14:textId="77777777" w:rsidTr="004736F2">
        <w:trPr>
          <w:jc w:val="center"/>
        </w:trPr>
        <w:tc>
          <w:tcPr>
            <w:tcW w:w="992" w:type="dxa"/>
            <w:vAlign w:val="center"/>
          </w:tcPr>
          <w:p w14:paraId="12704D34"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0.3</w:t>
            </w:r>
          </w:p>
        </w:tc>
        <w:tc>
          <w:tcPr>
            <w:tcW w:w="1594" w:type="dxa"/>
            <w:vAlign w:val="center"/>
          </w:tcPr>
          <w:p w14:paraId="794E7890"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10.5</w:t>
            </w:r>
          </w:p>
        </w:tc>
        <w:tc>
          <w:tcPr>
            <w:tcW w:w="1595" w:type="dxa"/>
            <w:vAlign w:val="center"/>
          </w:tcPr>
          <w:p w14:paraId="52742F1E"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6.90</w:t>
            </w:r>
          </w:p>
        </w:tc>
        <w:tc>
          <w:tcPr>
            <w:tcW w:w="1595" w:type="dxa"/>
            <w:vAlign w:val="center"/>
          </w:tcPr>
          <w:p w14:paraId="4E407939"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3.72</w:t>
            </w:r>
          </w:p>
        </w:tc>
        <w:tc>
          <w:tcPr>
            <w:tcW w:w="1595" w:type="dxa"/>
            <w:vAlign w:val="center"/>
          </w:tcPr>
          <w:p w14:paraId="1A776C0E"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2.16</w:t>
            </w:r>
          </w:p>
        </w:tc>
      </w:tr>
      <w:tr w:rsidR="00342321" w:rsidRPr="00BC31E0" w14:paraId="787C91E5" w14:textId="77777777" w:rsidTr="004736F2">
        <w:trPr>
          <w:jc w:val="center"/>
        </w:trPr>
        <w:tc>
          <w:tcPr>
            <w:tcW w:w="992" w:type="dxa"/>
            <w:vAlign w:val="center"/>
          </w:tcPr>
          <w:p w14:paraId="2C0A62CB"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0.4</w:t>
            </w:r>
          </w:p>
        </w:tc>
        <w:tc>
          <w:tcPr>
            <w:tcW w:w="1594" w:type="dxa"/>
            <w:vAlign w:val="center"/>
          </w:tcPr>
          <w:p w14:paraId="257CBD6B"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13.9</w:t>
            </w:r>
          </w:p>
        </w:tc>
        <w:tc>
          <w:tcPr>
            <w:tcW w:w="1595" w:type="dxa"/>
            <w:vAlign w:val="center"/>
          </w:tcPr>
          <w:p w14:paraId="3D7B8A23"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9.32</w:t>
            </w:r>
          </w:p>
        </w:tc>
        <w:tc>
          <w:tcPr>
            <w:tcW w:w="1595" w:type="dxa"/>
            <w:vAlign w:val="center"/>
          </w:tcPr>
          <w:p w14:paraId="476F3981"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5.53</w:t>
            </w:r>
          </w:p>
        </w:tc>
        <w:tc>
          <w:tcPr>
            <w:tcW w:w="1595" w:type="dxa"/>
            <w:vAlign w:val="center"/>
          </w:tcPr>
          <w:p w14:paraId="10FDED12"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3.63</w:t>
            </w:r>
          </w:p>
        </w:tc>
      </w:tr>
      <w:tr w:rsidR="00342321" w:rsidRPr="00BC31E0" w14:paraId="79F1854B" w14:textId="77777777" w:rsidTr="004736F2">
        <w:trPr>
          <w:jc w:val="center"/>
        </w:trPr>
        <w:tc>
          <w:tcPr>
            <w:tcW w:w="992" w:type="dxa"/>
            <w:vAlign w:val="center"/>
          </w:tcPr>
          <w:p w14:paraId="5DF5ED89"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0.5</w:t>
            </w:r>
          </w:p>
        </w:tc>
        <w:tc>
          <w:tcPr>
            <w:tcW w:w="1594" w:type="dxa"/>
            <w:vAlign w:val="center"/>
          </w:tcPr>
          <w:p w14:paraId="3EA6779D"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14.5</w:t>
            </w:r>
          </w:p>
        </w:tc>
        <w:tc>
          <w:tcPr>
            <w:tcW w:w="1595" w:type="dxa"/>
            <w:vAlign w:val="center"/>
          </w:tcPr>
          <w:p w14:paraId="13478985"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9.70</w:t>
            </w:r>
          </w:p>
        </w:tc>
        <w:tc>
          <w:tcPr>
            <w:tcW w:w="1595" w:type="dxa"/>
            <w:vAlign w:val="center"/>
          </w:tcPr>
          <w:p w14:paraId="3A7371BB"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5.76</w:t>
            </w:r>
          </w:p>
        </w:tc>
        <w:tc>
          <w:tcPr>
            <w:tcW w:w="1595" w:type="dxa"/>
            <w:vAlign w:val="center"/>
          </w:tcPr>
          <w:p w14:paraId="79DEF888"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3.78</w:t>
            </w:r>
          </w:p>
        </w:tc>
      </w:tr>
    </w:tbl>
    <w:p w14:paraId="4193933E" w14:textId="77777777" w:rsidR="00342321" w:rsidRPr="00BC31E0" w:rsidRDefault="00342321" w:rsidP="00342321">
      <w:pPr>
        <w:snapToGrid w:val="0"/>
        <w:spacing w:before="60" w:line="320" w:lineRule="atLeast"/>
        <w:ind w:left="1474" w:hanging="794"/>
        <w:jc w:val="left"/>
        <w:rPr>
          <w:szCs w:val="20"/>
        </w:rPr>
      </w:pPr>
      <w:r w:rsidRPr="00BC31E0">
        <w:rPr>
          <w:rFonts w:ascii="ＭＳ ゴシック" w:eastAsia="ＭＳ ゴシック" w:hAnsi="ＭＳ ゴシック" w:hint="eastAsia"/>
          <w:b/>
          <w:szCs w:val="20"/>
        </w:rPr>
        <w:t>注記</w:t>
      </w:r>
      <w:r w:rsidRPr="00BC31E0">
        <w:rPr>
          <w:rFonts w:ascii="ＭＳ 明朝" w:hAnsi="ＭＳ 明朝" w:hint="eastAsia"/>
          <w:szCs w:val="20"/>
        </w:rPr>
        <w:t xml:space="preserve">　</w:t>
      </w:r>
      <w:r w:rsidRPr="00BC31E0">
        <w:rPr>
          <w:rFonts w:hAnsi="ＭＳ 明朝"/>
          <w:szCs w:val="20"/>
        </w:rPr>
        <w:t>中間の</w:t>
      </w:r>
      <w:r w:rsidRPr="00BC31E0">
        <w:rPr>
          <w:rFonts w:hAnsi="ＭＳ 明朝" w:hint="eastAsia"/>
          <w:szCs w:val="20"/>
        </w:rPr>
        <w:t>内外径比</w:t>
      </w:r>
      <m:oMath>
        <m:r>
          <m:rPr>
            <m:sty m:val="p"/>
          </m:rPr>
          <w:rPr>
            <w:rFonts w:ascii="Cambria Math" w:hAnsi="Cambria Math"/>
            <w:szCs w:val="20"/>
          </w:rPr>
          <m:t xml:space="preserve"> </m:t>
        </m:r>
        <m:r>
          <w:rPr>
            <w:rFonts w:ascii="Cambria Math" w:hAnsi="Cambria Math"/>
            <w:szCs w:val="20"/>
          </w:rPr>
          <m:t>Y</m:t>
        </m:r>
        <m:r>
          <m:rPr>
            <m:sty m:val="p"/>
          </m:rPr>
          <w:rPr>
            <w:rFonts w:ascii="Cambria Math" w:hAnsi="Cambria Math"/>
            <w:szCs w:val="20"/>
          </w:rPr>
          <m:t xml:space="preserve"> </m:t>
        </m:r>
      </m:oMath>
      <w:r w:rsidRPr="00BC31E0">
        <w:rPr>
          <w:rFonts w:hAnsi="ＭＳ 明朝"/>
          <w:szCs w:val="20"/>
        </w:rPr>
        <w:t>の値及び</w:t>
      </w:r>
      <m:oMath>
        <m:r>
          <w:rPr>
            <w:rFonts w:ascii="Cambria Math" w:hAnsi="Cambria Math"/>
            <w:szCs w:val="20"/>
          </w:rPr>
          <m:t xml:space="preserve"> </m:t>
        </m:r>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 xml:space="preserve">l </m:t>
            </m:r>
          </m:den>
        </m:f>
      </m:oMath>
      <w:r w:rsidRPr="00BC31E0">
        <w:rPr>
          <w:rFonts w:hAnsi="ＭＳ 明朝"/>
          <w:szCs w:val="20"/>
        </w:rPr>
        <w:t>の値に対しては，線形補間</w:t>
      </w:r>
      <w:r w:rsidRPr="00BC31E0">
        <w:rPr>
          <w:rFonts w:hAnsi="ＭＳ 明朝" w:hint="eastAsia"/>
          <w:szCs w:val="20"/>
        </w:rPr>
        <w:t>により</w:t>
      </w:r>
      <m:oMath>
        <m:r>
          <w:rPr>
            <w:rFonts w:ascii="Cambria Math" w:hAnsi="Cambria Math"/>
            <w:szCs w:val="20"/>
          </w:rPr>
          <m:t>a</m:t>
        </m:r>
        <m:r>
          <m:rPr>
            <m:sty m:val="p"/>
          </m:rPr>
          <w:rPr>
            <w:rFonts w:ascii="Cambria Math" w:hAnsi="Cambria Math"/>
            <w:szCs w:val="20"/>
          </w:rPr>
          <m:t xml:space="preserve"> </m:t>
        </m:r>
      </m:oMath>
      <w:r w:rsidRPr="00BC31E0">
        <w:rPr>
          <w:rFonts w:hAnsi="ＭＳ 明朝"/>
          <w:szCs w:val="20"/>
        </w:rPr>
        <w:t>を求める。</w:t>
      </w:r>
    </w:p>
    <w:p w14:paraId="55849B3F" w14:textId="77777777" w:rsidR="00342321" w:rsidRPr="00BC31E0" w:rsidRDefault="00342321" w:rsidP="00342321">
      <w:pPr>
        <w:snapToGrid w:val="0"/>
        <w:spacing w:line="320" w:lineRule="atLeast"/>
        <w:ind w:left="1275" w:hanging="595"/>
        <w:jc w:val="left"/>
        <w:rPr>
          <w:szCs w:val="20"/>
        </w:rPr>
      </w:pPr>
      <w:r w:rsidRPr="00BC31E0">
        <w:rPr>
          <w:rFonts w:ascii="ＭＳ ゴシック" w:eastAsia="ＭＳ ゴシック" w:hAnsi="ＭＳ ゴシック" w:hint="eastAsia"/>
          <w:b/>
          <w:szCs w:val="20"/>
        </w:rPr>
        <w:t>注</w:t>
      </w:r>
      <w:r w:rsidRPr="00BC31E0">
        <w:rPr>
          <w:rFonts w:ascii="ＭＳ ゴシック" w:eastAsia="ＭＳ ゴシック" w:hAnsi="ＭＳ ゴシック" w:hint="eastAsia"/>
          <w:b/>
          <w:szCs w:val="20"/>
          <w:vertAlign w:val="superscript"/>
        </w:rPr>
        <w:t>a)</w:t>
      </w:r>
      <w:r w:rsidRPr="00BC31E0">
        <w:rPr>
          <w:rFonts w:ascii="ＭＳ 明朝" w:hAnsi="ＭＳ 明朝" w:hint="eastAsia"/>
          <w:szCs w:val="20"/>
        </w:rPr>
        <w:t xml:space="preserve">　</w:t>
      </w:r>
      <w:r w:rsidRPr="00BC31E0">
        <w:rPr>
          <w:szCs w:val="20"/>
        </w:rPr>
        <w:t>使用者設計仕様書</w:t>
      </w:r>
      <w:r w:rsidRPr="00BC31E0">
        <w:rPr>
          <w:rFonts w:hint="eastAsia"/>
          <w:szCs w:val="20"/>
        </w:rPr>
        <w:t>に</w:t>
      </w:r>
      <w:r w:rsidRPr="00BC31E0">
        <w:rPr>
          <w:rFonts w:ascii="ＭＳ ゴシック" w:eastAsia="ＭＳ ゴシック" w:hAnsi="ＭＳ ゴシック" w:hint="eastAsia"/>
          <w:b/>
          <w:szCs w:val="20"/>
        </w:rPr>
        <w:t>表5.2.2</w:t>
      </w:r>
      <w:r w:rsidRPr="00BC31E0">
        <w:rPr>
          <w:rFonts w:hint="eastAsia"/>
          <w:szCs w:val="20"/>
        </w:rPr>
        <w:t>よりも高い</w:t>
      </w:r>
      <w:r w:rsidRPr="00BC31E0">
        <w:rPr>
          <w:szCs w:val="20"/>
        </w:rPr>
        <w:t>要求シャルピー</w:t>
      </w:r>
      <w:r w:rsidRPr="00BC31E0">
        <w:rPr>
          <w:rFonts w:hint="eastAsia"/>
          <w:szCs w:val="20"/>
        </w:rPr>
        <w:t>衝撃</w:t>
      </w:r>
      <w:r w:rsidRPr="00BC31E0">
        <w:rPr>
          <w:szCs w:val="20"/>
        </w:rPr>
        <w:t>吸収エネルギー</w:t>
      </w:r>
      <w:r w:rsidRPr="00BC31E0">
        <w:rPr>
          <w:rFonts w:hint="eastAsia"/>
          <w:szCs w:val="20"/>
        </w:rPr>
        <w:t>が規定されている場合には，</w:t>
      </w:r>
      <w:r w:rsidRPr="00BC31E0">
        <w:rPr>
          <w:rFonts w:ascii="ＭＳ ゴシック" w:eastAsia="ＭＳ ゴシック" w:hAnsi="ＭＳ ゴシック" w:hint="eastAsia"/>
          <w:b/>
          <w:szCs w:val="20"/>
        </w:rPr>
        <w:t>9.3.6 c) 2) 2.3)</w:t>
      </w:r>
      <w:r w:rsidRPr="00BC31E0">
        <w:rPr>
          <w:rFonts w:hint="eastAsia"/>
          <w:szCs w:val="20"/>
        </w:rPr>
        <w:t>に</w:t>
      </w:r>
      <w:r w:rsidRPr="00BC31E0">
        <w:rPr>
          <w:szCs w:val="20"/>
        </w:rPr>
        <w:t>より</w:t>
      </w:r>
      <w:r w:rsidRPr="00BC31E0">
        <w:rPr>
          <w:rFonts w:hint="eastAsia"/>
          <w:szCs w:val="20"/>
        </w:rPr>
        <w:t>製作者が許容きず寸法を算出</w:t>
      </w:r>
      <w:r w:rsidR="000A37AD" w:rsidRPr="00BC31E0">
        <w:rPr>
          <w:rFonts w:hint="eastAsia"/>
          <w:szCs w:val="20"/>
        </w:rPr>
        <w:t>してもよい</w:t>
      </w:r>
      <w:r w:rsidRPr="00BC31E0">
        <w:rPr>
          <w:rFonts w:hint="eastAsia"/>
          <w:szCs w:val="20"/>
        </w:rPr>
        <w:t>。</w:t>
      </w:r>
    </w:p>
    <w:p w14:paraId="5B44A50A" w14:textId="77777777" w:rsidR="00342321" w:rsidRPr="00BC31E0" w:rsidRDefault="00342321" w:rsidP="00342321">
      <w:pPr>
        <w:jc w:val="center"/>
        <w:rPr>
          <w:szCs w:val="20"/>
        </w:rPr>
      </w:pPr>
      <w:r w:rsidRPr="00BC31E0">
        <w:rPr>
          <w:rFonts w:ascii="ＭＳ ゴシック" w:eastAsia="ＭＳ ゴシック" w:hAnsi="ＭＳ ゴシック" w:hint="eastAsia"/>
          <w:b/>
          <w:szCs w:val="20"/>
        </w:rPr>
        <w:lastRenderedPageBreak/>
        <w:t>表9.3.11　表面きずの許容きず寸法 (</w:t>
      </w:r>
      <m:oMath>
        <m:sSub>
          <m:sSubPr>
            <m:ctrlPr>
              <w:rPr>
                <w:rFonts w:ascii="Cambria Math" w:eastAsia="ＭＳ ゴシック" w:hAnsi="Cambria Math"/>
                <w:b/>
                <w:i/>
                <w:sz w:val="22"/>
                <w:szCs w:val="22"/>
              </w:rPr>
            </m:ctrlPr>
          </m:sSubPr>
          <m:e>
            <m:r>
              <m:rPr>
                <m:sty m:val="bi"/>
              </m:rPr>
              <w:rPr>
                <w:rFonts w:ascii="Cambria Math" w:eastAsia="ＭＳ ゴシック" w:hAnsi="Cambria Math"/>
                <w:sz w:val="22"/>
                <w:szCs w:val="22"/>
              </w:rPr>
              <m:t>S</m:t>
            </m:r>
          </m:e>
          <m:sub>
            <m:r>
              <m:rPr>
                <m:sty m:val="bi"/>
              </m:rPr>
              <w:rPr>
                <w:rFonts w:ascii="Cambria Math" w:eastAsia="ＭＳ ゴシック" w:hAnsi="Cambria Math"/>
                <w:sz w:val="22"/>
                <w:szCs w:val="22"/>
                <w:vertAlign w:val="subscript"/>
              </w:rPr>
              <m:t>y</m:t>
            </m:r>
          </m:sub>
        </m:sSub>
        <m:r>
          <m:rPr>
            <m:sty m:val="bi"/>
          </m:rPr>
          <w:rPr>
            <w:rFonts w:ascii="Cambria Math" w:eastAsia="ＭＳ ゴシック" w:hAnsi="Cambria Math"/>
            <w:sz w:val="22"/>
            <w:szCs w:val="22"/>
          </w:rPr>
          <m:t>≦260</m:t>
        </m:r>
        <m:r>
          <m:rPr>
            <m:sty m:val="b"/>
          </m:rPr>
          <w:rPr>
            <w:rFonts w:ascii="Cambria Math" w:eastAsia="ＭＳ ゴシック" w:hAnsi="Cambria Math"/>
            <w:sz w:val="22"/>
            <w:szCs w:val="22"/>
          </w:rPr>
          <m:t xml:space="preserve"> MPa</m:t>
        </m:r>
      </m:oMath>
      <w:r w:rsidRPr="00BC31E0">
        <w:rPr>
          <w:rFonts w:ascii="ＭＳ ゴシック" w:eastAsia="ＭＳ ゴシック" w:hAnsi="ＭＳ ゴシック" w:hint="eastAsia"/>
          <w:b/>
          <w:szCs w:val="20"/>
        </w:rPr>
        <w:t>，溶接後熱処理</w:t>
      </w:r>
      <w:r w:rsidRPr="00BC31E0">
        <w:rPr>
          <w:rFonts w:ascii="ＭＳ ゴシック" w:eastAsia="ＭＳ ゴシック" w:hAnsi="ＭＳ ゴシック"/>
          <w:b/>
          <w:szCs w:val="20"/>
        </w:rPr>
        <w:t>あり</w:t>
      </w:r>
      <w:r w:rsidRPr="00BC31E0">
        <w:rPr>
          <w:rFonts w:ascii="ＭＳ ゴシック" w:eastAsia="ＭＳ ゴシック" w:hAnsi="ＭＳ ゴシック" w:hint="eastAsia"/>
          <w:b/>
          <w:szCs w:val="20"/>
        </w:rPr>
        <w:t>)</w:t>
      </w:r>
    </w:p>
    <w:tbl>
      <w:tblPr>
        <w:tblW w:w="0" w:type="auto"/>
        <w:tblInd w:w="1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4"/>
      </w:tblGrid>
      <w:tr w:rsidR="00342321" w:rsidRPr="00BC31E0" w14:paraId="037E0768" w14:textId="77777777" w:rsidTr="004736F2">
        <w:tc>
          <w:tcPr>
            <w:tcW w:w="5324" w:type="dxa"/>
          </w:tcPr>
          <w:p w14:paraId="737C52B6" w14:textId="77777777" w:rsidR="00342321" w:rsidRPr="00BC31E0" w:rsidRDefault="00342321" w:rsidP="004736F2">
            <w:pPr>
              <w:snapToGrid w:val="0"/>
              <w:spacing w:line="320" w:lineRule="atLeast"/>
              <w:jc w:val="center"/>
              <w:rPr>
                <w:rFonts w:cs="Tahoma"/>
                <w:i/>
                <w:szCs w:val="20"/>
              </w:rPr>
            </w:pPr>
            <m:oMathPara>
              <m:oMath>
                <m:r>
                  <w:rPr>
                    <w:rFonts w:ascii="Cambria Math" w:hAnsi="Cambria Math" w:hint="eastAsia"/>
                    <w:szCs w:val="20"/>
                  </w:rPr>
                  <m:t>13</m:t>
                </m:r>
                <m:r>
                  <w:rPr>
                    <w:rFonts w:ascii="Cambria Math" w:hAnsi="Cambria Math"/>
                    <w:szCs w:val="20"/>
                  </w:rPr>
                  <m:t>≦t&lt;</m:t>
                </m:r>
                <m:r>
                  <w:rPr>
                    <w:rFonts w:ascii="Cambria Math" w:hAnsi="Cambria Math" w:hint="eastAsia"/>
                    <w:szCs w:val="20"/>
                  </w:rPr>
                  <m:t>25</m:t>
                </m:r>
                <m:r>
                  <m:rPr>
                    <m:sty m:val="p"/>
                  </m:rPr>
                  <w:rPr>
                    <w:rFonts w:ascii="Cambria Math" w:hAnsi="Cambria Math" w:hint="eastAsia"/>
                    <w:szCs w:val="20"/>
                  </w:rPr>
                  <m:t xml:space="preserve"> mm</m:t>
                </m:r>
              </m:oMath>
            </m:oMathPara>
          </w:p>
        </w:tc>
      </w:tr>
      <w:tr w:rsidR="00342321" w:rsidRPr="00BC31E0" w14:paraId="2A4EAE45" w14:textId="77777777" w:rsidTr="004736F2">
        <w:tc>
          <w:tcPr>
            <w:tcW w:w="5324" w:type="dxa"/>
          </w:tcPr>
          <w:p w14:paraId="14EEDADB" w14:textId="77777777" w:rsidR="00342321" w:rsidRPr="00BC31E0" w:rsidRDefault="00A51873" w:rsidP="004736F2">
            <w:pPr>
              <w:snapToGrid w:val="0"/>
              <w:spacing w:line="320" w:lineRule="atLeast"/>
              <w:jc w:val="center"/>
              <w:rPr>
                <w:rFonts w:cs="Tahoma"/>
              </w:rPr>
            </w:pPr>
            <m:oMath>
              <m:f>
                <m:fPr>
                  <m:type m:val="lin"/>
                  <m:ctrlPr>
                    <w:rPr>
                      <w:rFonts w:ascii="Cambria Math" w:hAnsi="Cambria Math"/>
                      <w:i/>
                    </w:rPr>
                  </m:ctrlPr>
                </m:fPr>
                <m:num>
                  <m:r>
                    <w:rPr>
                      <w:rFonts w:ascii="Cambria Math" w:hAnsi="Cambria Math"/>
                    </w:rPr>
                    <m:t>a</m:t>
                  </m:r>
                </m:num>
                <m:den>
                  <m:r>
                    <w:rPr>
                      <w:rFonts w:ascii="Cambria Math" w:hAnsi="Cambria Math"/>
                    </w:rPr>
                    <m:t>t</m:t>
                  </m:r>
                </m:den>
              </m:f>
              <m:r>
                <w:rPr>
                  <w:rFonts w:ascii="Cambria Math" w:hAnsi="Cambria Math"/>
                </w:rPr>
                <m:t>≦0.087</m:t>
              </m:r>
            </m:oMath>
            <w:r w:rsidR="00342321" w:rsidRPr="00BC31E0">
              <w:rPr>
                <w:rFonts w:hAnsi="ＭＳ 明朝"/>
              </w:rPr>
              <w:t xml:space="preserve">　</w:t>
            </w:r>
            <w:r w:rsidR="00342321" w:rsidRPr="00BC31E0">
              <w:rPr>
                <w:rFonts w:hAnsi="ＭＳ 明朝" w:hint="eastAsia"/>
              </w:rPr>
              <w:t>及</w:t>
            </w:r>
            <w:r w:rsidR="00342321" w:rsidRPr="00BC31E0">
              <w:rPr>
                <w:rFonts w:hAnsi="ＭＳ 明朝"/>
              </w:rPr>
              <w:t xml:space="preserve">び　</w:t>
            </w:r>
            <m:oMath>
              <m:r>
                <w:rPr>
                  <w:rFonts w:ascii="Cambria Math" w:hAnsi="Cambria Math"/>
                </w:rPr>
                <m:t>l</m:t>
              </m:r>
              <m:r>
                <w:rPr>
                  <w:rFonts w:ascii="Cambria Math" w:hAnsi="Cambria Math" w:hint="eastAsia"/>
                </w:rPr>
                <m:t xml:space="preserve"> </m:t>
              </m:r>
              <m:r>
                <w:rPr>
                  <w:rFonts w:ascii="Cambria Math" w:hAnsi="Cambria Math"/>
                </w:rPr>
                <m:t>≦</m:t>
              </m:r>
              <m:r>
                <w:rPr>
                  <w:rFonts w:ascii="Cambria Math" w:hAnsi="Cambria Math" w:hint="eastAsia"/>
                </w:rPr>
                <m:t>6.4</m:t>
              </m:r>
              <m:r>
                <m:rPr>
                  <m:sty m:val="p"/>
                </m:rPr>
                <w:rPr>
                  <w:rFonts w:ascii="Cambria Math" w:hAnsi="Cambria Math"/>
                </w:rPr>
                <m:t xml:space="preserve"> mm</m:t>
              </m:r>
            </m:oMath>
          </w:p>
        </w:tc>
      </w:tr>
    </w:tbl>
    <w:p w14:paraId="27805513" w14:textId="77777777" w:rsidR="00CA187B" w:rsidRPr="00BC31E0" w:rsidRDefault="00CA187B" w:rsidP="00E071EE">
      <w:pPr>
        <w:spacing w:line="200" w:lineRule="exact"/>
        <w:rPr>
          <w:rFonts w:ascii="ＭＳ ゴシック" w:eastAsia="ＭＳ ゴシック" w:hAnsi="ＭＳ ゴシック"/>
          <w:b/>
          <w:szCs w:val="20"/>
        </w:rPr>
      </w:pPr>
    </w:p>
    <w:p w14:paraId="014C82BD" w14:textId="77777777" w:rsidR="00342321" w:rsidRPr="00BC31E0" w:rsidRDefault="00342321" w:rsidP="00CA187B">
      <w:pPr>
        <w:jc w:val="center"/>
        <w:rPr>
          <w:szCs w:val="20"/>
        </w:rPr>
      </w:pPr>
      <w:r w:rsidRPr="00BC31E0">
        <w:rPr>
          <w:rFonts w:ascii="ＭＳ ゴシック" w:eastAsia="ＭＳ ゴシック" w:hAnsi="ＭＳ ゴシック" w:hint="eastAsia"/>
          <w:b/>
          <w:szCs w:val="20"/>
        </w:rPr>
        <w:t>表9.3.12　表面きずの許容きず寸法 (</w:t>
      </w:r>
      <m:oMath>
        <m:sSub>
          <m:sSubPr>
            <m:ctrlPr>
              <w:rPr>
                <w:rFonts w:ascii="Cambria Math" w:eastAsia="ＭＳ ゴシック" w:hAnsi="Cambria Math"/>
                <w:b/>
                <w:i/>
                <w:sz w:val="22"/>
                <w:szCs w:val="22"/>
              </w:rPr>
            </m:ctrlPr>
          </m:sSubPr>
          <m:e>
            <m:r>
              <m:rPr>
                <m:sty m:val="bi"/>
              </m:rPr>
              <w:rPr>
                <w:rFonts w:ascii="Cambria Math" w:eastAsia="ＭＳ ゴシック" w:hAnsi="Cambria Math"/>
                <w:sz w:val="22"/>
                <w:szCs w:val="22"/>
              </w:rPr>
              <m:t>S</m:t>
            </m:r>
          </m:e>
          <m:sub>
            <m:r>
              <m:rPr>
                <m:sty m:val="bi"/>
              </m:rPr>
              <w:rPr>
                <w:rFonts w:ascii="Cambria Math" w:eastAsia="ＭＳ ゴシック" w:hAnsi="Cambria Math"/>
                <w:sz w:val="22"/>
                <w:szCs w:val="22"/>
                <w:vertAlign w:val="subscript"/>
              </w:rPr>
              <m:t>y</m:t>
            </m:r>
          </m:sub>
        </m:sSub>
        <m:r>
          <m:rPr>
            <m:sty m:val="bi"/>
          </m:rPr>
          <w:rPr>
            <w:rFonts w:ascii="Cambria Math" w:eastAsia="ＭＳ ゴシック" w:hAnsi="Cambria Math"/>
            <w:sz w:val="22"/>
            <w:szCs w:val="22"/>
          </w:rPr>
          <m:t>≦260</m:t>
        </m:r>
        <m:r>
          <m:rPr>
            <m:sty m:val="b"/>
          </m:rPr>
          <w:rPr>
            <w:rFonts w:ascii="Cambria Math" w:eastAsia="ＭＳ ゴシック" w:hAnsi="Cambria Math"/>
            <w:sz w:val="22"/>
            <w:szCs w:val="22"/>
          </w:rPr>
          <m:t xml:space="preserve"> MPa</m:t>
        </m:r>
      </m:oMath>
      <w:r w:rsidRPr="00BC31E0">
        <w:rPr>
          <w:rFonts w:ascii="ＭＳ ゴシック" w:eastAsia="ＭＳ ゴシック" w:hAnsi="ＭＳ ゴシック" w:hint="eastAsia"/>
          <w:b/>
          <w:szCs w:val="20"/>
        </w:rPr>
        <w:t>，溶接後熱処理</w:t>
      </w:r>
      <w:r w:rsidRPr="00BC31E0">
        <w:rPr>
          <w:rFonts w:ascii="ＭＳ ゴシック" w:eastAsia="ＭＳ ゴシック" w:hAnsi="ＭＳ ゴシック"/>
          <w:b/>
          <w:szCs w:val="20"/>
        </w:rPr>
        <w:t>あり</w:t>
      </w:r>
      <w:r w:rsidRPr="00BC31E0">
        <w:rPr>
          <w:rFonts w:ascii="ＭＳ ゴシック" w:eastAsia="ＭＳ ゴシック" w:hAnsi="ＭＳ ゴシック" w:hint="eastAsia"/>
          <w:b/>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772"/>
        <w:gridCol w:w="1772"/>
        <w:gridCol w:w="1772"/>
        <w:gridCol w:w="1772"/>
      </w:tblGrid>
      <w:tr w:rsidR="00342321" w:rsidRPr="00BC31E0" w14:paraId="71077BD2" w14:textId="77777777" w:rsidTr="004736F2">
        <w:trPr>
          <w:jc w:val="center"/>
        </w:trPr>
        <w:tc>
          <w:tcPr>
            <w:tcW w:w="992" w:type="dxa"/>
            <w:vMerge w:val="restart"/>
            <w:vAlign w:val="center"/>
          </w:tcPr>
          <w:p w14:paraId="6F402F0D" w14:textId="77777777" w:rsidR="00342321" w:rsidRPr="00BC31E0" w:rsidRDefault="00A51873" w:rsidP="004736F2">
            <w:pPr>
              <w:snapToGrid w:val="0"/>
              <w:spacing w:line="300" w:lineRule="atLeast"/>
              <w:jc w:val="center"/>
              <w:rPr>
                <w:rFonts w:ascii="Times New Roman" w:hAnsi="Times New Roman"/>
                <w:i/>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l</m:t>
                    </m:r>
                  </m:den>
                </m:f>
              </m:oMath>
            </m:oMathPara>
          </w:p>
        </w:tc>
        <w:tc>
          <w:tcPr>
            <w:tcW w:w="7088" w:type="dxa"/>
            <w:gridSpan w:val="4"/>
            <w:vAlign w:val="center"/>
          </w:tcPr>
          <w:p w14:paraId="0C59EDE1" w14:textId="77777777" w:rsidR="00342321" w:rsidRPr="00BC31E0" w:rsidRDefault="00342321" w:rsidP="004736F2">
            <w:pPr>
              <w:snapToGrid w:val="0"/>
              <w:spacing w:line="300" w:lineRule="atLeast"/>
              <w:jc w:val="center"/>
              <w:rPr>
                <w:rFonts w:ascii="Times New Roman" w:hAnsi="Times New Roman"/>
                <w:szCs w:val="20"/>
              </w:rPr>
            </w:pPr>
            <m:oMathPara>
              <m:oMath>
                <m:r>
                  <w:rPr>
                    <w:rFonts w:ascii="Cambria Math" w:hAnsi="Cambria Math" w:hint="eastAsia"/>
                    <w:szCs w:val="20"/>
                  </w:rPr>
                  <m:t>25</m:t>
                </m:r>
                <m:r>
                  <w:rPr>
                    <w:rFonts w:ascii="Cambria Math" w:hAnsi="Cambria Math"/>
                    <w:szCs w:val="20"/>
                  </w:rPr>
                  <m:t>≦t≦</m:t>
                </m:r>
                <m:r>
                  <w:rPr>
                    <w:rFonts w:ascii="Cambria Math" w:hAnsi="Cambria Math" w:hint="eastAsia"/>
                    <w:szCs w:val="20"/>
                  </w:rPr>
                  <m:t xml:space="preserve">300 </m:t>
                </m:r>
                <m:r>
                  <m:rPr>
                    <m:sty m:val="p"/>
                  </m:rPr>
                  <w:rPr>
                    <w:rFonts w:ascii="Cambria Math" w:hAnsi="Cambria Math" w:hint="eastAsia"/>
                    <w:szCs w:val="20"/>
                  </w:rPr>
                  <m:t>mm</m:t>
                </m:r>
              </m:oMath>
            </m:oMathPara>
          </w:p>
        </w:tc>
      </w:tr>
      <w:tr w:rsidR="00342321" w:rsidRPr="00BC31E0" w14:paraId="09BC3F0F" w14:textId="77777777" w:rsidTr="004736F2">
        <w:trPr>
          <w:jc w:val="center"/>
        </w:trPr>
        <w:tc>
          <w:tcPr>
            <w:tcW w:w="992" w:type="dxa"/>
            <w:vMerge/>
            <w:vAlign w:val="center"/>
          </w:tcPr>
          <w:p w14:paraId="47261223" w14:textId="77777777" w:rsidR="00342321" w:rsidRPr="00BC31E0" w:rsidRDefault="00342321" w:rsidP="004736F2">
            <w:pPr>
              <w:snapToGrid w:val="0"/>
              <w:spacing w:line="300" w:lineRule="atLeast"/>
              <w:jc w:val="center"/>
              <w:rPr>
                <w:rFonts w:ascii="Times New Roman" w:hAnsi="Times New Roman"/>
                <w:i/>
                <w:szCs w:val="20"/>
              </w:rPr>
            </w:pPr>
          </w:p>
        </w:tc>
        <w:tc>
          <w:tcPr>
            <w:tcW w:w="1772" w:type="dxa"/>
            <w:vAlign w:val="center"/>
          </w:tcPr>
          <w:p w14:paraId="1A92A375" w14:textId="77777777" w:rsidR="00342321" w:rsidRPr="00BC31E0" w:rsidRDefault="00342321" w:rsidP="004736F2">
            <w:pPr>
              <w:snapToGrid w:val="0"/>
              <w:spacing w:line="300" w:lineRule="atLeast"/>
              <w:jc w:val="center"/>
              <w:rPr>
                <w:i/>
                <w:szCs w:val="20"/>
              </w:rPr>
            </w:pPr>
            <m:oMathPara>
              <m:oMath>
                <m:r>
                  <w:rPr>
                    <w:rFonts w:ascii="Cambria Math" w:hAnsi="Cambria Math"/>
                    <w:szCs w:val="20"/>
                  </w:rPr>
                  <m:t>Y=</m:t>
                </m:r>
                <m:r>
                  <w:rPr>
                    <w:rFonts w:ascii="Cambria Math" w:hAnsi="Cambria Math" w:hint="eastAsia"/>
                    <w:szCs w:val="20"/>
                  </w:rPr>
                  <m:t>1.2</m:t>
                </m:r>
              </m:oMath>
            </m:oMathPara>
          </w:p>
        </w:tc>
        <w:tc>
          <w:tcPr>
            <w:tcW w:w="1772" w:type="dxa"/>
            <w:vAlign w:val="center"/>
          </w:tcPr>
          <w:p w14:paraId="069571B6" w14:textId="77777777" w:rsidR="00342321" w:rsidRPr="00BC31E0" w:rsidRDefault="00342321" w:rsidP="004736F2">
            <w:pPr>
              <w:snapToGrid w:val="0"/>
              <w:spacing w:line="300" w:lineRule="atLeast"/>
              <w:jc w:val="center"/>
              <w:rPr>
                <w:i/>
                <w:szCs w:val="20"/>
              </w:rPr>
            </w:pPr>
            <m:oMathPara>
              <m:oMath>
                <m:r>
                  <w:rPr>
                    <w:rFonts w:ascii="Cambria Math" w:hAnsi="Cambria Math"/>
                    <w:szCs w:val="20"/>
                  </w:rPr>
                  <m:t>Y=</m:t>
                </m:r>
                <m:r>
                  <w:rPr>
                    <w:rFonts w:ascii="Cambria Math" w:hAnsi="Cambria Math" w:hint="eastAsia"/>
                    <w:szCs w:val="20"/>
                  </w:rPr>
                  <m:t>1.5</m:t>
                </m:r>
              </m:oMath>
            </m:oMathPara>
          </w:p>
        </w:tc>
        <w:tc>
          <w:tcPr>
            <w:tcW w:w="1772" w:type="dxa"/>
            <w:vAlign w:val="center"/>
          </w:tcPr>
          <w:p w14:paraId="2E37FB0E" w14:textId="77777777" w:rsidR="00342321" w:rsidRPr="00BC31E0" w:rsidRDefault="00342321" w:rsidP="004736F2">
            <w:pPr>
              <w:snapToGrid w:val="0"/>
              <w:spacing w:line="300" w:lineRule="atLeast"/>
              <w:jc w:val="center"/>
              <w:rPr>
                <w:i/>
                <w:szCs w:val="20"/>
              </w:rPr>
            </w:pPr>
            <m:oMathPara>
              <m:oMath>
                <m:r>
                  <w:rPr>
                    <w:rFonts w:ascii="Cambria Math" w:hAnsi="Cambria Math"/>
                    <w:szCs w:val="20"/>
                  </w:rPr>
                  <m:t>Y=</m:t>
                </m:r>
                <m:r>
                  <w:rPr>
                    <w:rFonts w:ascii="Cambria Math" w:hAnsi="Cambria Math" w:hint="eastAsia"/>
                    <w:szCs w:val="20"/>
                  </w:rPr>
                  <m:t>2.0</m:t>
                </m:r>
              </m:oMath>
            </m:oMathPara>
          </w:p>
        </w:tc>
        <w:tc>
          <w:tcPr>
            <w:tcW w:w="1772" w:type="dxa"/>
            <w:vAlign w:val="center"/>
          </w:tcPr>
          <w:p w14:paraId="34A71ACF" w14:textId="77777777" w:rsidR="00342321" w:rsidRPr="00BC31E0" w:rsidRDefault="00342321" w:rsidP="004736F2">
            <w:pPr>
              <w:snapToGrid w:val="0"/>
              <w:spacing w:line="300" w:lineRule="atLeast"/>
              <w:jc w:val="center"/>
              <w:rPr>
                <w:i/>
                <w:szCs w:val="20"/>
              </w:rPr>
            </w:pPr>
            <m:oMathPara>
              <m:oMath>
                <m:r>
                  <w:rPr>
                    <w:rFonts w:ascii="Cambria Math" w:hAnsi="Cambria Math"/>
                    <w:szCs w:val="20"/>
                  </w:rPr>
                  <m:t>Y=</m:t>
                </m:r>
                <m:r>
                  <w:rPr>
                    <w:rFonts w:ascii="Cambria Math" w:hAnsi="Cambria Math" w:hint="eastAsia"/>
                    <w:szCs w:val="20"/>
                  </w:rPr>
                  <m:t>2.5</m:t>
                </m:r>
              </m:oMath>
            </m:oMathPara>
          </w:p>
        </w:tc>
      </w:tr>
      <w:tr w:rsidR="00342321" w:rsidRPr="00BC31E0" w14:paraId="4FCCED27" w14:textId="77777777" w:rsidTr="004736F2">
        <w:trPr>
          <w:jc w:val="center"/>
        </w:trPr>
        <w:tc>
          <w:tcPr>
            <w:tcW w:w="992" w:type="dxa"/>
            <w:vMerge/>
            <w:vAlign w:val="center"/>
          </w:tcPr>
          <w:p w14:paraId="15CBDD59" w14:textId="77777777" w:rsidR="00342321" w:rsidRPr="00BC31E0" w:rsidRDefault="00342321" w:rsidP="004736F2">
            <w:pPr>
              <w:snapToGrid w:val="0"/>
              <w:spacing w:line="300" w:lineRule="atLeast"/>
              <w:jc w:val="center"/>
              <w:rPr>
                <w:szCs w:val="20"/>
              </w:rPr>
            </w:pPr>
          </w:p>
        </w:tc>
        <w:tc>
          <w:tcPr>
            <w:tcW w:w="1772" w:type="dxa"/>
            <w:vAlign w:val="center"/>
          </w:tcPr>
          <w:p w14:paraId="48F749F7" w14:textId="77777777" w:rsidR="00342321" w:rsidRPr="00BC31E0" w:rsidRDefault="00A51873" w:rsidP="004736F2">
            <w:pPr>
              <w:snapToGrid w:val="0"/>
              <w:spacing w:line="300" w:lineRule="atLeast"/>
              <w:jc w:val="center"/>
              <w:rPr>
                <w:rFonts w:ascii="Times New Roman" w:hAnsi="Times New Roman"/>
                <w:i/>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t</m:t>
                    </m:r>
                  </m:den>
                </m:f>
              </m:oMath>
            </m:oMathPara>
          </w:p>
        </w:tc>
        <w:tc>
          <w:tcPr>
            <w:tcW w:w="1772" w:type="dxa"/>
            <w:vAlign w:val="center"/>
          </w:tcPr>
          <w:p w14:paraId="51DD7021" w14:textId="77777777" w:rsidR="00342321" w:rsidRPr="00BC31E0" w:rsidRDefault="00A51873" w:rsidP="004736F2">
            <w:pPr>
              <w:snapToGrid w:val="0"/>
              <w:spacing w:line="300" w:lineRule="atLeast"/>
              <w:jc w:val="center"/>
              <w:rPr>
                <w:rFonts w:ascii="Times New Roman" w:hAnsi="Times New Roman"/>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t</m:t>
                    </m:r>
                  </m:den>
                </m:f>
              </m:oMath>
            </m:oMathPara>
          </w:p>
        </w:tc>
        <w:tc>
          <w:tcPr>
            <w:tcW w:w="1772" w:type="dxa"/>
            <w:vAlign w:val="center"/>
          </w:tcPr>
          <w:p w14:paraId="3723954E" w14:textId="77777777" w:rsidR="00342321" w:rsidRPr="00BC31E0" w:rsidRDefault="00A51873" w:rsidP="004736F2">
            <w:pPr>
              <w:snapToGrid w:val="0"/>
              <w:spacing w:line="300" w:lineRule="atLeast"/>
              <w:jc w:val="center"/>
              <w:rPr>
                <w:rFonts w:ascii="Times New Roman" w:hAnsi="Times New Roman"/>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t</m:t>
                    </m:r>
                  </m:den>
                </m:f>
              </m:oMath>
            </m:oMathPara>
          </w:p>
        </w:tc>
        <w:tc>
          <w:tcPr>
            <w:tcW w:w="1772" w:type="dxa"/>
            <w:vAlign w:val="center"/>
          </w:tcPr>
          <w:p w14:paraId="6B2399B7" w14:textId="77777777" w:rsidR="00342321" w:rsidRPr="00BC31E0" w:rsidRDefault="00A51873" w:rsidP="004736F2">
            <w:pPr>
              <w:snapToGrid w:val="0"/>
              <w:spacing w:line="300" w:lineRule="atLeast"/>
              <w:jc w:val="center"/>
              <w:rPr>
                <w:rFonts w:ascii="Times New Roman" w:hAnsi="Times New Roman"/>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t</m:t>
                    </m:r>
                  </m:den>
                </m:f>
              </m:oMath>
            </m:oMathPara>
          </w:p>
        </w:tc>
      </w:tr>
      <w:tr w:rsidR="00342321" w:rsidRPr="00BC31E0" w14:paraId="569864CF" w14:textId="77777777" w:rsidTr="004736F2">
        <w:trPr>
          <w:jc w:val="center"/>
        </w:trPr>
        <w:tc>
          <w:tcPr>
            <w:tcW w:w="992" w:type="dxa"/>
            <w:vAlign w:val="center"/>
          </w:tcPr>
          <w:p w14:paraId="03B2CBC3"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0.0</w:t>
            </w:r>
          </w:p>
        </w:tc>
        <w:tc>
          <w:tcPr>
            <w:tcW w:w="1772" w:type="dxa"/>
            <w:vAlign w:val="center"/>
          </w:tcPr>
          <w:p w14:paraId="7D3F9C1A"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3.21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-0.858</m:t>
                    </m:r>
                  </m:sup>
                </m:sSup>
              </m:oMath>
            </m:oMathPara>
          </w:p>
        </w:tc>
        <w:tc>
          <w:tcPr>
            <w:tcW w:w="1772" w:type="dxa"/>
            <w:vAlign w:val="center"/>
          </w:tcPr>
          <w:p w14:paraId="0C548E5B"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3.10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-0.948</m:t>
                    </m:r>
                  </m:sup>
                </m:sSup>
              </m:oMath>
            </m:oMathPara>
          </w:p>
        </w:tc>
        <w:tc>
          <w:tcPr>
            <w:tcW w:w="1772" w:type="dxa"/>
            <w:vAlign w:val="center"/>
          </w:tcPr>
          <w:p w14:paraId="22E5E4BE"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2.38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-1.06</m:t>
                    </m:r>
                  </m:sup>
                </m:sSup>
              </m:oMath>
            </m:oMathPara>
          </w:p>
        </w:tc>
        <w:tc>
          <w:tcPr>
            <w:tcW w:w="1772" w:type="dxa"/>
            <w:vAlign w:val="center"/>
          </w:tcPr>
          <w:p w14:paraId="688522E4"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1.01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-1.16</m:t>
                    </m:r>
                  </m:sup>
                </m:sSup>
              </m:oMath>
            </m:oMathPara>
          </w:p>
        </w:tc>
      </w:tr>
      <w:tr w:rsidR="00342321" w:rsidRPr="00BC31E0" w14:paraId="4D1BC39C" w14:textId="77777777" w:rsidTr="004736F2">
        <w:trPr>
          <w:jc w:val="center"/>
        </w:trPr>
        <w:tc>
          <w:tcPr>
            <w:tcW w:w="992" w:type="dxa"/>
            <w:vAlign w:val="center"/>
          </w:tcPr>
          <w:p w14:paraId="2F604D31"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0.1</w:t>
            </w:r>
          </w:p>
        </w:tc>
        <w:tc>
          <w:tcPr>
            <w:tcW w:w="1772" w:type="dxa"/>
            <w:vAlign w:val="center"/>
          </w:tcPr>
          <w:p w14:paraId="1C7E0B2C"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3.34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-0.841</m:t>
                    </m:r>
                  </m:sup>
                </m:sSup>
              </m:oMath>
            </m:oMathPara>
          </w:p>
        </w:tc>
        <w:tc>
          <w:tcPr>
            <w:tcW w:w="1772" w:type="dxa"/>
            <w:vAlign w:val="center"/>
          </w:tcPr>
          <w:p w14:paraId="2A7F5D92"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3.29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-0.928</m:t>
                    </m:r>
                  </m:sup>
                </m:sSup>
              </m:oMath>
            </m:oMathPara>
          </w:p>
        </w:tc>
        <w:tc>
          <w:tcPr>
            <w:tcW w:w="1772" w:type="dxa"/>
            <w:vAlign w:val="center"/>
          </w:tcPr>
          <w:p w14:paraId="7335618F"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2.75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-1.04</m:t>
                    </m:r>
                  </m:sup>
                </m:sSup>
              </m:oMath>
            </m:oMathPara>
          </w:p>
        </w:tc>
        <w:tc>
          <w:tcPr>
            <w:tcW w:w="1772" w:type="dxa"/>
            <w:vAlign w:val="center"/>
          </w:tcPr>
          <w:p w14:paraId="61EC9BA4"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1.59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-1.13</m:t>
                    </m:r>
                  </m:sup>
                </m:sSup>
              </m:oMath>
            </m:oMathPara>
          </w:p>
        </w:tc>
      </w:tr>
      <w:tr w:rsidR="00342321" w:rsidRPr="00BC31E0" w14:paraId="0BFE6D87" w14:textId="77777777" w:rsidTr="004736F2">
        <w:trPr>
          <w:jc w:val="center"/>
        </w:trPr>
        <w:tc>
          <w:tcPr>
            <w:tcW w:w="992" w:type="dxa"/>
            <w:vAlign w:val="center"/>
          </w:tcPr>
          <w:p w14:paraId="3D2C1A21"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0.2</w:t>
            </w:r>
          </w:p>
        </w:tc>
        <w:tc>
          <w:tcPr>
            <w:tcW w:w="1772" w:type="dxa"/>
            <w:vAlign w:val="center"/>
          </w:tcPr>
          <w:p w14:paraId="5FF33163"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5.78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-0.891</m:t>
                    </m:r>
                  </m:sup>
                </m:sSup>
              </m:oMath>
            </m:oMathPara>
          </w:p>
        </w:tc>
        <w:tc>
          <w:tcPr>
            <w:tcW w:w="1772" w:type="dxa"/>
            <w:vAlign w:val="center"/>
          </w:tcPr>
          <w:p w14:paraId="0FBA9529"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5.67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-0.970</m:t>
                    </m:r>
                  </m:sup>
                </m:sSup>
              </m:oMath>
            </m:oMathPara>
          </w:p>
        </w:tc>
        <w:tc>
          <w:tcPr>
            <w:tcW w:w="1772" w:type="dxa"/>
            <w:vAlign w:val="center"/>
          </w:tcPr>
          <w:p w14:paraId="03F8F27B"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4.90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-1.07</m:t>
                    </m:r>
                  </m:sup>
                </m:sSup>
              </m:oMath>
            </m:oMathPara>
          </w:p>
        </w:tc>
        <w:tc>
          <w:tcPr>
            <w:tcW w:w="1772" w:type="dxa"/>
            <w:vAlign w:val="center"/>
          </w:tcPr>
          <w:p w14:paraId="007B0F16"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3.54</m:t>
                </m:r>
                <m:sSup>
                  <m:sSupPr>
                    <m:ctrlPr>
                      <w:rPr>
                        <w:rFonts w:ascii="Cambria Math" w:hAnsi="Cambria Math"/>
                        <w:i/>
                        <w:sz w:val="22"/>
                        <w:szCs w:val="22"/>
                      </w:rPr>
                    </m:ctrlPr>
                  </m:sSupPr>
                  <m:e>
                    <m:r>
                      <w:rPr>
                        <w:rFonts w:ascii="Cambria Math" w:hAnsi="Cambria Math"/>
                        <w:sz w:val="22"/>
                        <w:szCs w:val="22"/>
                      </w:rPr>
                      <m:t xml:space="preserve"> t </m:t>
                    </m:r>
                  </m:e>
                  <m:sup>
                    <m:r>
                      <w:rPr>
                        <w:rFonts w:ascii="Cambria Math" w:hAnsi="Cambria Math"/>
                        <w:sz w:val="22"/>
                        <w:szCs w:val="22"/>
                        <w:vertAlign w:val="superscript"/>
                      </w:rPr>
                      <m:t>-1.15</m:t>
                    </m:r>
                  </m:sup>
                </m:sSup>
              </m:oMath>
            </m:oMathPara>
          </w:p>
        </w:tc>
      </w:tr>
      <w:tr w:rsidR="00342321" w:rsidRPr="00BC31E0" w14:paraId="09532ABE" w14:textId="77777777" w:rsidTr="004736F2">
        <w:trPr>
          <w:jc w:val="center"/>
        </w:trPr>
        <w:tc>
          <w:tcPr>
            <w:tcW w:w="992" w:type="dxa"/>
            <w:vAlign w:val="center"/>
          </w:tcPr>
          <w:p w14:paraId="3ABC7FCE"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0.3</w:t>
            </w:r>
          </w:p>
        </w:tc>
        <w:tc>
          <w:tcPr>
            <w:tcW w:w="1772" w:type="dxa"/>
            <w:vAlign w:val="center"/>
          </w:tcPr>
          <w:p w14:paraId="6C7FC3CF"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7.3</m:t>
                </m:r>
                <m:r>
                  <w:rPr>
                    <w:rFonts w:ascii="Cambria Math" w:hAnsi="Cambria Math" w:hint="eastAsia"/>
                    <w:sz w:val="22"/>
                    <w:szCs w:val="22"/>
                  </w:rPr>
                  <m:t>0</m:t>
                </m:r>
                <m:r>
                  <w:rPr>
                    <w:rFonts w:ascii="Cambria Math" w:hAnsi="Cambria Math"/>
                    <w:sz w:val="22"/>
                    <w:szCs w:val="22"/>
                  </w:rPr>
                  <m:t xml:space="preserve">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-0.88</m:t>
                    </m:r>
                    <m:r>
                      <w:rPr>
                        <w:rFonts w:ascii="Cambria Math" w:hAnsi="Cambria Math" w:hint="eastAsia"/>
                        <w:sz w:val="22"/>
                        <w:szCs w:val="22"/>
                        <w:vertAlign w:val="superscript"/>
                      </w:rPr>
                      <m:t>1</m:t>
                    </m:r>
                  </m:sup>
                </m:sSup>
              </m:oMath>
            </m:oMathPara>
          </w:p>
        </w:tc>
        <w:tc>
          <w:tcPr>
            <w:tcW w:w="1772" w:type="dxa"/>
            <w:vAlign w:val="center"/>
          </w:tcPr>
          <w:p w14:paraId="7C87C6BE"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7.70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-0.966</m:t>
                    </m:r>
                  </m:sup>
                </m:sSup>
              </m:oMath>
            </m:oMathPara>
          </w:p>
        </w:tc>
        <w:tc>
          <w:tcPr>
            <w:tcW w:w="1772" w:type="dxa"/>
            <w:vAlign w:val="center"/>
          </w:tcPr>
          <w:p w14:paraId="7FE0729C"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7.53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-1.07</m:t>
                    </m:r>
                  </m:sup>
                </m:sSup>
              </m:oMath>
            </m:oMathPara>
          </w:p>
        </w:tc>
        <w:tc>
          <w:tcPr>
            <w:tcW w:w="1772" w:type="dxa"/>
            <w:vAlign w:val="center"/>
          </w:tcPr>
          <w:p w14:paraId="6099DA28"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6.42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-1.15</m:t>
                    </m:r>
                  </m:sup>
                </m:sSup>
              </m:oMath>
            </m:oMathPara>
          </w:p>
        </w:tc>
      </w:tr>
      <w:tr w:rsidR="00342321" w:rsidRPr="00BC31E0" w14:paraId="57BE5E1E" w14:textId="77777777" w:rsidTr="004736F2">
        <w:trPr>
          <w:jc w:val="center"/>
        </w:trPr>
        <w:tc>
          <w:tcPr>
            <w:tcW w:w="992" w:type="dxa"/>
            <w:vAlign w:val="center"/>
          </w:tcPr>
          <w:p w14:paraId="569B7850"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0.4</w:t>
            </w:r>
          </w:p>
        </w:tc>
        <w:tc>
          <w:tcPr>
            <w:tcW w:w="1772" w:type="dxa"/>
            <w:vAlign w:val="center"/>
          </w:tcPr>
          <w:p w14:paraId="2563853B"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6.12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-0.800</m:t>
                    </m:r>
                  </m:sup>
                </m:sSup>
              </m:oMath>
            </m:oMathPara>
          </w:p>
        </w:tc>
        <w:tc>
          <w:tcPr>
            <w:tcW w:w="1772" w:type="dxa"/>
            <w:vAlign w:val="center"/>
          </w:tcPr>
          <w:p w14:paraId="75FAFF0C"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6.20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-0.873</m:t>
                    </m:r>
                  </m:sup>
                </m:sSup>
              </m:oMath>
            </m:oMathPara>
          </w:p>
        </w:tc>
        <w:tc>
          <w:tcPr>
            <w:tcW w:w="1772" w:type="dxa"/>
            <w:vAlign w:val="center"/>
          </w:tcPr>
          <w:p w14:paraId="39176EAA"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5.69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-0.954</m:t>
                    </m:r>
                  </m:sup>
                </m:sSup>
              </m:oMath>
            </m:oMathPara>
          </w:p>
        </w:tc>
        <w:tc>
          <w:tcPr>
            <w:tcW w:w="1772" w:type="dxa"/>
            <w:vAlign w:val="center"/>
          </w:tcPr>
          <w:p w14:paraId="52FD3A9C"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4.83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-1.01</m:t>
                    </m:r>
                  </m:sup>
                </m:sSup>
              </m:oMath>
            </m:oMathPara>
          </w:p>
        </w:tc>
      </w:tr>
      <w:tr w:rsidR="00342321" w:rsidRPr="00BC31E0" w14:paraId="7BB41514" w14:textId="77777777" w:rsidTr="004736F2">
        <w:trPr>
          <w:jc w:val="center"/>
        </w:trPr>
        <w:tc>
          <w:tcPr>
            <w:tcW w:w="992" w:type="dxa"/>
            <w:vAlign w:val="center"/>
          </w:tcPr>
          <w:p w14:paraId="3D2D90DF"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0.5</w:t>
            </w:r>
          </w:p>
        </w:tc>
        <w:tc>
          <w:tcPr>
            <w:tcW w:w="1772" w:type="dxa"/>
            <w:vAlign w:val="center"/>
          </w:tcPr>
          <w:p w14:paraId="181B8B0A"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6.97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-0.815</m:t>
                    </m:r>
                  </m:sup>
                </m:sSup>
              </m:oMath>
            </m:oMathPara>
          </w:p>
        </w:tc>
        <w:tc>
          <w:tcPr>
            <w:tcW w:w="1772" w:type="dxa"/>
            <w:vAlign w:val="center"/>
          </w:tcPr>
          <w:p w14:paraId="73B1B1CE"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6.98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-0.888</m:t>
                    </m:r>
                  </m:sup>
                </m:sSup>
              </m:oMath>
            </m:oMathPara>
          </w:p>
        </w:tc>
        <w:tc>
          <w:tcPr>
            <w:tcW w:w="1772" w:type="dxa"/>
            <w:vAlign w:val="center"/>
          </w:tcPr>
          <w:p w14:paraId="02FF2E5D"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6.26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-0.965</m:t>
                    </m:r>
                  </m:sup>
                </m:sSup>
              </m:oMath>
            </m:oMathPara>
          </w:p>
        </w:tc>
        <w:tc>
          <w:tcPr>
            <w:tcW w:w="1772" w:type="dxa"/>
            <w:vAlign w:val="center"/>
          </w:tcPr>
          <w:p w14:paraId="12A26973"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5.17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-1.01</m:t>
                    </m:r>
                  </m:sup>
                </m:sSup>
              </m:oMath>
            </m:oMathPara>
          </w:p>
        </w:tc>
      </w:tr>
    </w:tbl>
    <w:p w14:paraId="469988DE" w14:textId="77777777" w:rsidR="00342321" w:rsidRPr="00BC31E0" w:rsidRDefault="00342321" w:rsidP="00342321">
      <w:pPr>
        <w:snapToGrid w:val="0"/>
        <w:spacing w:before="60" w:after="60" w:line="320" w:lineRule="atLeast"/>
        <w:ind w:left="1474" w:hanging="794"/>
        <w:jc w:val="left"/>
        <w:rPr>
          <w:kern w:val="0"/>
          <w:szCs w:val="20"/>
        </w:rPr>
      </w:pPr>
      <w:r w:rsidRPr="00BC31E0">
        <w:rPr>
          <w:rFonts w:ascii="ＭＳ ゴシック" w:eastAsia="ＭＳ ゴシック" w:hAnsi="ＭＳ ゴシック" w:hint="eastAsia"/>
          <w:b/>
          <w:szCs w:val="20"/>
        </w:rPr>
        <w:t>注記</w:t>
      </w:r>
      <w:r w:rsidRPr="00BC31E0">
        <w:rPr>
          <w:rFonts w:ascii="ＭＳ ゴシック" w:eastAsia="ＭＳ ゴシック" w:hAnsi="ＭＳ ゴシック" w:cs="Tahoma"/>
          <w:b/>
          <w:szCs w:val="20"/>
        </w:rPr>
        <w:t>1</w:t>
      </w:r>
      <w:r w:rsidRPr="00BC31E0">
        <w:rPr>
          <w:rFonts w:ascii="ＭＳ 明朝" w:hAnsi="ＭＳ 明朝" w:cs="Tahoma" w:hint="eastAsia"/>
          <w:b/>
          <w:szCs w:val="20"/>
        </w:rPr>
        <w:t xml:space="preserve">　</w:t>
      </w:r>
      <m:oMath>
        <m:f>
          <m:fPr>
            <m:type m:val="lin"/>
            <m:ctrlPr>
              <w:rPr>
                <w:rFonts w:ascii="Cambria Math" w:hAnsi="Cambria Math"/>
                <w:i/>
                <w:kern w:val="0"/>
                <w:szCs w:val="20"/>
              </w:rPr>
            </m:ctrlPr>
          </m:fPr>
          <m:num>
            <m:r>
              <w:rPr>
                <w:rFonts w:ascii="Cambria Math" w:hAnsi="Cambria Math"/>
                <w:kern w:val="0"/>
                <w:szCs w:val="20"/>
              </w:rPr>
              <m:t>a</m:t>
            </m:r>
          </m:num>
          <m:den>
            <m:r>
              <w:rPr>
                <w:rFonts w:ascii="Cambria Math" w:hAnsi="Cambria Math"/>
                <w:kern w:val="0"/>
                <w:szCs w:val="20"/>
              </w:rPr>
              <m:t>t</m:t>
            </m:r>
          </m:den>
        </m:f>
        <m:r>
          <w:rPr>
            <w:rFonts w:ascii="Cambria Math" w:hAnsi="Cambria Math"/>
            <w:kern w:val="0"/>
            <w:szCs w:val="20"/>
          </w:rPr>
          <m:t xml:space="preserve"> </m:t>
        </m:r>
      </m:oMath>
      <w:r w:rsidRPr="00BC31E0">
        <w:rPr>
          <w:rFonts w:hAnsi="ＭＳ 明朝"/>
          <w:kern w:val="0"/>
          <w:szCs w:val="20"/>
        </w:rPr>
        <w:t>の値</w:t>
      </w:r>
      <w:r w:rsidRPr="00BC31E0">
        <w:rPr>
          <w:rFonts w:hAnsi="ＭＳ 明朝" w:hint="eastAsia"/>
          <w:kern w:val="0"/>
          <w:szCs w:val="20"/>
        </w:rPr>
        <w:t>は次の表の値を最大とする</w:t>
      </w:r>
      <w:r w:rsidRPr="00BC31E0">
        <w:rPr>
          <w:rFonts w:hAnsi="ＭＳ 明朝"/>
          <w:kern w:val="0"/>
          <w:szCs w:val="20"/>
        </w:rPr>
        <w:t>。</w:t>
      </w:r>
      <w:r w:rsidRPr="00BC31E0">
        <w:rPr>
          <w:rFonts w:hAnsi="ＭＳ 明朝" w:hint="eastAsia"/>
          <w:kern w:val="0"/>
          <w:szCs w:val="20"/>
        </w:rPr>
        <w:t>なお，中間の</w:t>
      </w:r>
      <m:oMath>
        <m:r>
          <m:rPr>
            <m:sty m:val="p"/>
          </m:rPr>
          <w:rPr>
            <w:rFonts w:ascii="Cambria Math" w:hAnsi="Cambria Math"/>
            <w:kern w:val="0"/>
            <w:szCs w:val="20"/>
          </w:rPr>
          <m:t xml:space="preserve"> </m:t>
        </m:r>
        <m:f>
          <m:fPr>
            <m:type m:val="lin"/>
            <m:ctrlPr>
              <w:rPr>
                <w:rFonts w:ascii="Cambria Math" w:hAnsi="Cambria Math"/>
                <w:i/>
                <w:kern w:val="0"/>
                <w:szCs w:val="20"/>
              </w:rPr>
            </m:ctrlPr>
          </m:fPr>
          <m:num>
            <m:r>
              <w:rPr>
                <w:rFonts w:ascii="Cambria Math" w:hAnsi="Cambria Math"/>
                <w:kern w:val="0"/>
                <w:szCs w:val="20"/>
              </w:rPr>
              <m:t>a</m:t>
            </m:r>
          </m:num>
          <m:den>
            <m:r>
              <w:rPr>
                <w:rFonts w:ascii="Cambria Math" w:hAnsi="Cambria Math"/>
                <w:kern w:val="0"/>
                <w:szCs w:val="20"/>
              </w:rPr>
              <m:t>l</m:t>
            </m:r>
          </m:den>
        </m:f>
        <m:r>
          <w:rPr>
            <w:rFonts w:ascii="Cambria Math" w:hAnsi="Cambria Math"/>
            <w:kern w:val="0"/>
            <w:szCs w:val="20"/>
          </w:rPr>
          <m:t xml:space="preserve"> </m:t>
        </m:r>
      </m:oMath>
      <w:r w:rsidRPr="00BC31E0">
        <w:rPr>
          <w:rFonts w:hAnsi="ＭＳ 明朝" w:hint="eastAsia"/>
          <w:kern w:val="0"/>
          <w:szCs w:val="20"/>
        </w:rPr>
        <w:t>の値に対して，及び</w:t>
      </w:r>
      <m:oMath>
        <m:r>
          <w:rPr>
            <w:rFonts w:ascii="Cambria Math" w:hAnsi="Cambria Math"/>
            <w:kern w:val="0"/>
            <w:szCs w:val="20"/>
          </w:rPr>
          <m:t>6</m:t>
        </m:r>
        <m:r>
          <w:rPr>
            <w:rFonts w:ascii="Cambria Math" w:hAnsi="Cambria Math" w:hint="eastAsia"/>
            <w:kern w:val="0"/>
            <w:szCs w:val="20"/>
          </w:rPr>
          <m:t>4</m:t>
        </m:r>
        <m:r>
          <w:rPr>
            <w:rFonts w:ascii="Cambria Math" w:hAnsi="Cambria Math"/>
            <w:kern w:val="0"/>
            <w:szCs w:val="20"/>
          </w:rPr>
          <m:t>&lt;t&lt;10</m:t>
        </m:r>
        <m:r>
          <w:rPr>
            <w:rFonts w:ascii="Cambria Math" w:hAnsi="Cambria Math" w:hint="eastAsia"/>
            <w:kern w:val="0"/>
            <w:szCs w:val="20"/>
          </w:rPr>
          <m:t>0</m:t>
        </m:r>
        <m:r>
          <m:rPr>
            <m:sty m:val="p"/>
          </m:rPr>
          <w:rPr>
            <w:rFonts w:ascii="Cambria Math" w:hAnsi="Cambria Math" w:hint="eastAsia"/>
            <w:kern w:val="0"/>
            <w:szCs w:val="20"/>
          </w:rPr>
          <m:t xml:space="preserve"> </m:t>
        </m:r>
        <m:r>
          <m:rPr>
            <m:sty m:val="p"/>
          </m:rPr>
          <w:rPr>
            <w:rFonts w:ascii="Cambria Math" w:hAnsi="Cambria Math"/>
            <w:kern w:val="0"/>
            <w:szCs w:val="20"/>
          </w:rPr>
          <m:t xml:space="preserve">mm </m:t>
        </m:r>
      </m:oMath>
      <w:r w:rsidRPr="00BC31E0">
        <w:rPr>
          <w:rFonts w:hint="eastAsia"/>
          <w:kern w:val="0"/>
          <w:szCs w:val="20"/>
        </w:rPr>
        <w:t>の場合には，線形補間により</w:t>
      </w:r>
      <m:oMath>
        <m:f>
          <m:fPr>
            <m:type m:val="lin"/>
            <m:ctrlPr>
              <w:rPr>
                <w:rFonts w:ascii="Cambria Math" w:hAnsi="Cambria Math"/>
                <w:i/>
                <w:kern w:val="0"/>
                <w:szCs w:val="20"/>
              </w:rPr>
            </m:ctrlPr>
          </m:fPr>
          <m:num>
            <m:r>
              <w:rPr>
                <w:rFonts w:ascii="Cambria Math" w:hAnsi="Cambria Math"/>
                <w:kern w:val="0"/>
                <w:szCs w:val="20"/>
              </w:rPr>
              <m:t>a</m:t>
            </m:r>
          </m:num>
          <m:den>
            <m:r>
              <w:rPr>
                <w:rFonts w:ascii="Cambria Math" w:hAnsi="Cambria Math"/>
                <w:kern w:val="0"/>
                <w:szCs w:val="20"/>
              </w:rPr>
              <m:t xml:space="preserve">t </m:t>
            </m:r>
          </m:den>
        </m:f>
      </m:oMath>
      <w:r w:rsidRPr="00BC31E0">
        <w:rPr>
          <w:rFonts w:hint="eastAsia"/>
          <w:kern w:val="0"/>
          <w:szCs w:val="20"/>
        </w:rPr>
        <w:t>を求める。</w:t>
      </w:r>
    </w:p>
    <w:tbl>
      <w:tblPr>
        <w:tblW w:w="0" w:type="auto"/>
        <w:tblInd w:w="1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1"/>
        <w:gridCol w:w="1331"/>
        <w:gridCol w:w="1331"/>
        <w:gridCol w:w="1331"/>
      </w:tblGrid>
      <w:tr w:rsidR="00342321" w:rsidRPr="00BC31E0" w14:paraId="108C6E13" w14:textId="77777777" w:rsidTr="004736F2">
        <w:tc>
          <w:tcPr>
            <w:tcW w:w="2662" w:type="dxa"/>
            <w:gridSpan w:val="2"/>
          </w:tcPr>
          <w:p w14:paraId="0B247602" w14:textId="77777777" w:rsidR="00342321" w:rsidRPr="00BC31E0" w:rsidRDefault="00342321" w:rsidP="004736F2">
            <w:pPr>
              <w:snapToGrid w:val="0"/>
              <w:spacing w:line="300" w:lineRule="atLeast"/>
              <w:jc w:val="center"/>
              <w:rPr>
                <w:i/>
                <w:kern w:val="0"/>
                <w:szCs w:val="20"/>
              </w:rPr>
            </w:pPr>
            <m:oMathPara>
              <m:oMath>
                <m:r>
                  <w:rPr>
                    <w:rFonts w:ascii="Cambria Math" w:hAnsi="Cambria Math"/>
                    <w:kern w:val="0"/>
                    <w:szCs w:val="20"/>
                  </w:rPr>
                  <m:t>25</m:t>
                </m:r>
                <m:r>
                  <w:rPr>
                    <w:rFonts w:ascii="Cambria Math" w:hAnsi="Cambria Math" w:hint="eastAsia"/>
                    <w:kern w:val="0"/>
                    <w:szCs w:val="20"/>
                  </w:rPr>
                  <m:t>≦</m:t>
                </m:r>
                <m:r>
                  <w:rPr>
                    <w:rFonts w:ascii="Cambria Math" w:hAnsi="Cambria Math"/>
                    <w:kern w:val="0"/>
                    <w:szCs w:val="20"/>
                  </w:rPr>
                  <m:t>t</m:t>
                </m:r>
                <m:r>
                  <w:rPr>
                    <w:rFonts w:ascii="Cambria Math" w:hAnsi="Cambria Math" w:hint="eastAsia"/>
                    <w:kern w:val="0"/>
                    <w:szCs w:val="20"/>
                  </w:rPr>
                  <m:t>≦</m:t>
                </m:r>
                <m:r>
                  <w:rPr>
                    <w:rFonts w:ascii="Cambria Math" w:hAnsi="Cambria Math"/>
                    <w:kern w:val="0"/>
                    <w:szCs w:val="20"/>
                  </w:rPr>
                  <m:t>6</m:t>
                </m:r>
                <m:r>
                  <w:rPr>
                    <w:rFonts w:ascii="Cambria Math" w:hAnsi="Cambria Math" w:hint="eastAsia"/>
                    <w:kern w:val="0"/>
                    <w:szCs w:val="20"/>
                  </w:rPr>
                  <m:t xml:space="preserve">4 </m:t>
                </m:r>
                <m:r>
                  <m:rPr>
                    <m:sty m:val="p"/>
                  </m:rPr>
                  <w:rPr>
                    <w:rFonts w:ascii="Cambria Math" w:hAnsi="Cambria Math"/>
                    <w:kern w:val="0"/>
                    <w:szCs w:val="20"/>
                  </w:rPr>
                  <m:t>mm</m:t>
                </m:r>
              </m:oMath>
            </m:oMathPara>
          </w:p>
        </w:tc>
        <w:tc>
          <w:tcPr>
            <w:tcW w:w="2662" w:type="dxa"/>
            <w:gridSpan w:val="2"/>
          </w:tcPr>
          <w:p w14:paraId="10CFD789" w14:textId="77777777" w:rsidR="00342321" w:rsidRPr="00BC31E0" w:rsidRDefault="00342321" w:rsidP="004736F2">
            <w:pPr>
              <w:snapToGrid w:val="0"/>
              <w:spacing w:line="300" w:lineRule="atLeast"/>
              <w:jc w:val="center"/>
              <w:rPr>
                <w:i/>
                <w:kern w:val="0"/>
                <w:szCs w:val="20"/>
              </w:rPr>
            </w:pPr>
            <m:oMathPara>
              <m:oMath>
                <m:r>
                  <w:rPr>
                    <w:rFonts w:ascii="Cambria Math" w:hAnsi="Cambria Math"/>
                    <w:kern w:val="0"/>
                    <w:szCs w:val="20"/>
                  </w:rPr>
                  <m:t>10</m:t>
                </m:r>
                <m:r>
                  <w:rPr>
                    <w:rFonts w:ascii="Cambria Math" w:hAnsi="Cambria Math" w:hint="eastAsia"/>
                    <w:kern w:val="0"/>
                    <w:szCs w:val="20"/>
                  </w:rPr>
                  <m:t>0</m:t>
                </m:r>
                <m:r>
                  <w:rPr>
                    <w:rFonts w:ascii="Cambria Math" w:hAnsi="Cambria Math" w:hint="eastAsia"/>
                    <w:kern w:val="0"/>
                    <w:szCs w:val="20"/>
                  </w:rPr>
                  <m:t>≦</m:t>
                </m:r>
                <m:r>
                  <w:rPr>
                    <w:rFonts w:ascii="Cambria Math" w:hAnsi="Cambria Math"/>
                    <w:kern w:val="0"/>
                    <w:szCs w:val="20"/>
                  </w:rPr>
                  <m:t>t</m:t>
                </m:r>
                <m:r>
                  <w:rPr>
                    <w:rFonts w:ascii="Cambria Math" w:hAnsi="Cambria Math" w:hint="eastAsia"/>
                    <w:kern w:val="0"/>
                    <w:szCs w:val="20"/>
                  </w:rPr>
                  <m:t>≦</m:t>
                </m:r>
                <m:r>
                  <w:rPr>
                    <w:rFonts w:ascii="Cambria Math" w:hAnsi="Cambria Math"/>
                    <w:kern w:val="0"/>
                    <w:szCs w:val="20"/>
                  </w:rPr>
                  <m:t>30</m:t>
                </m:r>
                <m:r>
                  <w:rPr>
                    <w:rFonts w:ascii="Cambria Math" w:hAnsi="Cambria Math" w:hint="eastAsia"/>
                    <w:kern w:val="0"/>
                    <w:szCs w:val="20"/>
                  </w:rPr>
                  <m:t>0</m:t>
                </m:r>
                <m:r>
                  <m:rPr>
                    <m:sty m:val="p"/>
                  </m:rPr>
                  <w:rPr>
                    <w:rFonts w:ascii="Cambria Math" w:hAnsi="Cambria Math" w:hint="eastAsia"/>
                    <w:kern w:val="0"/>
                    <w:szCs w:val="20"/>
                  </w:rPr>
                  <m:t xml:space="preserve"> </m:t>
                </m:r>
                <m:r>
                  <m:rPr>
                    <m:sty m:val="p"/>
                  </m:rPr>
                  <w:rPr>
                    <w:rFonts w:ascii="Cambria Math" w:hAnsi="Cambria Math"/>
                    <w:kern w:val="0"/>
                    <w:szCs w:val="20"/>
                  </w:rPr>
                  <m:t>mm</m:t>
                </m:r>
              </m:oMath>
            </m:oMathPara>
          </w:p>
        </w:tc>
      </w:tr>
      <w:tr w:rsidR="00342321" w:rsidRPr="00BC31E0" w14:paraId="39C0776A" w14:textId="77777777" w:rsidTr="004736F2">
        <w:tc>
          <w:tcPr>
            <w:tcW w:w="1331" w:type="dxa"/>
          </w:tcPr>
          <w:p w14:paraId="7667976E" w14:textId="77777777" w:rsidR="00342321" w:rsidRPr="00BC31E0" w:rsidRDefault="00A51873" w:rsidP="004736F2">
            <w:pPr>
              <w:snapToGrid w:val="0"/>
              <w:spacing w:line="300" w:lineRule="atLeast"/>
              <w:jc w:val="center"/>
              <w:rPr>
                <w:rFonts w:ascii="Times New Roman" w:hAnsi="Times New Roman"/>
                <w:i/>
                <w:kern w:val="0"/>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l</m:t>
                    </m:r>
                  </m:den>
                </m:f>
              </m:oMath>
            </m:oMathPara>
          </w:p>
        </w:tc>
        <w:tc>
          <w:tcPr>
            <w:tcW w:w="1331" w:type="dxa"/>
          </w:tcPr>
          <w:p w14:paraId="7F295091" w14:textId="77777777" w:rsidR="00342321" w:rsidRPr="00BC31E0" w:rsidRDefault="00A51873" w:rsidP="004736F2">
            <w:pPr>
              <w:snapToGrid w:val="0"/>
              <w:spacing w:line="300" w:lineRule="atLeast"/>
              <w:jc w:val="center"/>
              <w:rPr>
                <w:rFonts w:ascii="Times New Roman" w:hAnsi="Times New Roman"/>
                <w:i/>
                <w:kern w:val="0"/>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t</m:t>
                    </m:r>
                  </m:den>
                </m:f>
              </m:oMath>
            </m:oMathPara>
          </w:p>
        </w:tc>
        <w:tc>
          <w:tcPr>
            <w:tcW w:w="1331" w:type="dxa"/>
          </w:tcPr>
          <w:p w14:paraId="6F04C362" w14:textId="77777777" w:rsidR="00342321" w:rsidRPr="00BC31E0" w:rsidRDefault="00A51873" w:rsidP="004736F2">
            <w:pPr>
              <w:snapToGrid w:val="0"/>
              <w:spacing w:line="300" w:lineRule="atLeast"/>
              <w:jc w:val="center"/>
              <w:rPr>
                <w:rFonts w:ascii="Times New Roman" w:hAnsi="Times New Roman"/>
                <w:i/>
                <w:kern w:val="0"/>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l</m:t>
                    </m:r>
                  </m:den>
                </m:f>
              </m:oMath>
            </m:oMathPara>
          </w:p>
        </w:tc>
        <w:tc>
          <w:tcPr>
            <w:tcW w:w="1331" w:type="dxa"/>
          </w:tcPr>
          <w:p w14:paraId="24C8786B" w14:textId="77777777" w:rsidR="00342321" w:rsidRPr="00BC31E0" w:rsidRDefault="00A51873" w:rsidP="004736F2">
            <w:pPr>
              <w:snapToGrid w:val="0"/>
              <w:spacing w:line="300" w:lineRule="atLeast"/>
              <w:jc w:val="center"/>
              <w:rPr>
                <w:rFonts w:ascii="Times New Roman" w:hAnsi="Times New Roman"/>
                <w:i/>
                <w:kern w:val="0"/>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t</m:t>
                    </m:r>
                  </m:den>
                </m:f>
              </m:oMath>
            </m:oMathPara>
          </w:p>
        </w:tc>
      </w:tr>
      <w:tr w:rsidR="00342321" w:rsidRPr="00BC31E0" w14:paraId="5ACBB7B0" w14:textId="77777777" w:rsidTr="004736F2">
        <w:tc>
          <w:tcPr>
            <w:tcW w:w="1331" w:type="dxa"/>
          </w:tcPr>
          <w:p w14:paraId="27B1EF7B"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0.0</w:t>
            </w:r>
          </w:p>
        </w:tc>
        <w:tc>
          <w:tcPr>
            <w:tcW w:w="1331" w:type="dxa"/>
          </w:tcPr>
          <w:p w14:paraId="703D1095"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0.031</w:t>
            </w:r>
          </w:p>
        </w:tc>
        <w:tc>
          <w:tcPr>
            <w:tcW w:w="1331" w:type="dxa"/>
          </w:tcPr>
          <w:p w14:paraId="71B2083B"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0.0</w:t>
            </w:r>
          </w:p>
        </w:tc>
        <w:tc>
          <w:tcPr>
            <w:tcW w:w="1331" w:type="dxa"/>
          </w:tcPr>
          <w:p w14:paraId="55F2B30C"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0.019</w:t>
            </w:r>
          </w:p>
        </w:tc>
      </w:tr>
      <w:tr w:rsidR="00342321" w:rsidRPr="00BC31E0" w14:paraId="42B3581F" w14:textId="77777777" w:rsidTr="004736F2">
        <w:tc>
          <w:tcPr>
            <w:tcW w:w="1331" w:type="dxa"/>
          </w:tcPr>
          <w:p w14:paraId="5452BD18"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0.1</w:t>
            </w:r>
          </w:p>
        </w:tc>
        <w:tc>
          <w:tcPr>
            <w:tcW w:w="1331" w:type="dxa"/>
          </w:tcPr>
          <w:p w14:paraId="052D199D"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0.036</w:t>
            </w:r>
          </w:p>
        </w:tc>
        <w:tc>
          <w:tcPr>
            <w:tcW w:w="1331" w:type="dxa"/>
          </w:tcPr>
          <w:p w14:paraId="2E3C51FC"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0.1</w:t>
            </w:r>
          </w:p>
        </w:tc>
        <w:tc>
          <w:tcPr>
            <w:tcW w:w="1331" w:type="dxa"/>
          </w:tcPr>
          <w:p w14:paraId="5B2201FE"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0.022</w:t>
            </w:r>
          </w:p>
        </w:tc>
      </w:tr>
      <w:tr w:rsidR="00342321" w:rsidRPr="00BC31E0" w14:paraId="2AF44A7D" w14:textId="77777777" w:rsidTr="004736F2">
        <w:tc>
          <w:tcPr>
            <w:tcW w:w="1331" w:type="dxa"/>
          </w:tcPr>
          <w:p w14:paraId="754877D9"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0.2</w:t>
            </w:r>
          </w:p>
        </w:tc>
        <w:tc>
          <w:tcPr>
            <w:tcW w:w="1331" w:type="dxa"/>
          </w:tcPr>
          <w:p w14:paraId="782AB0D2"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0.047</w:t>
            </w:r>
          </w:p>
        </w:tc>
        <w:tc>
          <w:tcPr>
            <w:tcW w:w="1331" w:type="dxa"/>
          </w:tcPr>
          <w:p w14:paraId="18CE6532"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0.2</w:t>
            </w:r>
          </w:p>
        </w:tc>
        <w:tc>
          <w:tcPr>
            <w:tcW w:w="1331" w:type="dxa"/>
          </w:tcPr>
          <w:p w14:paraId="410D0136"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0.028</w:t>
            </w:r>
          </w:p>
        </w:tc>
      </w:tr>
      <w:tr w:rsidR="00342321" w:rsidRPr="00BC31E0" w14:paraId="16838928" w14:textId="77777777" w:rsidTr="004736F2">
        <w:tc>
          <w:tcPr>
            <w:tcW w:w="1331" w:type="dxa"/>
          </w:tcPr>
          <w:p w14:paraId="78DA5707"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0.3</w:t>
            </w:r>
          </w:p>
        </w:tc>
        <w:tc>
          <w:tcPr>
            <w:tcW w:w="1331" w:type="dxa"/>
          </w:tcPr>
          <w:p w14:paraId="6B499B88"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0.064</w:t>
            </w:r>
          </w:p>
        </w:tc>
        <w:tc>
          <w:tcPr>
            <w:tcW w:w="1331" w:type="dxa"/>
          </w:tcPr>
          <w:p w14:paraId="01E09125"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0.3</w:t>
            </w:r>
          </w:p>
        </w:tc>
        <w:tc>
          <w:tcPr>
            <w:tcW w:w="1331" w:type="dxa"/>
          </w:tcPr>
          <w:p w14:paraId="1F2CD8BD"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0.038</w:t>
            </w:r>
          </w:p>
        </w:tc>
      </w:tr>
      <w:tr w:rsidR="00342321" w:rsidRPr="00BC31E0" w14:paraId="6A1E20EF" w14:textId="77777777" w:rsidTr="004736F2">
        <w:tc>
          <w:tcPr>
            <w:tcW w:w="1331" w:type="dxa"/>
          </w:tcPr>
          <w:p w14:paraId="4F317A61"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0.4</w:t>
            </w:r>
          </w:p>
        </w:tc>
        <w:tc>
          <w:tcPr>
            <w:tcW w:w="1331" w:type="dxa"/>
          </w:tcPr>
          <w:p w14:paraId="3830B394"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0.083</w:t>
            </w:r>
          </w:p>
        </w:tc>
        <w:tc>
          <w:tcPr>
            <w:tcW w:w="1331" w:type="dxa"/>
          </w:tcPr>
          <w:p w14:paraId="3F661486"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0.4</w:t>
            </w:r>
          </w:p>
        </w:tc>
        <w:tc>
          <w:tcPr>
            <w:tcW w:w="1331" w:type="dxa"/>
          </w:tcPr>
          <w:p w14:paraId="4A2E37C3"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0.050</w:t>
            </w:r>
          </w:p>
        </w:tc>
      </w:tr>
      <w:tr w:rsidR="00342321" w:rsidRPr="00BC31E0" w14:paraId="5627920B" w14:textId="77777777" w:rsidTr="004736F2">
        <w:tc>
          <w:tcPr>
            <w:tcW w:w="1331" w:type="dxa"/>
          </w:tcPr>
          <w:p w14:paraId="20E25CA6"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0.5</w:t>
            </w:r>
          </w:p>
        </w:tc>
        <w:tc>
          <w:tcPr>
            <w:tcW w:w="1331" w:type="dxa"/>
          </w:tcPr>
          <w:p w14:paraId="27090E65"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0.087</w:t>
            </w:r>
          </w:p>
        </w:tc>
        <w:tc>
          <w:tcPr>
            <w:tcW w:w="1331" w:type="dxa"/>
          </w:tcPr>
          <w:p w14:paraId="2179F41D"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0.5</w:t>
            </w:r>
          </w:p>
        </w:tc>
        <w:tc>
          <w:tcPr>
            <w:tcW w:w="1331" w:type="dxa"/>
          </w:tcPr>
          <w:p w14:paraId="5E96B195"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0.052</w:t>
            </w:r>
          </w:p>
        </w:tc>
      </w:tr>
    </w:tbl>
    <w:p w14:paraId="471AA5EF" w14:textId="77777777" w:rsidR="00342321" w:rsidRPr="00BC31E0" w:rsidRDefault="00342321" w:rsidP="00342321">
      <w:pPr>
        <w:snapToGrid w:val="0"/>
        <w:spacing w:before="60" w:line="320" w:lineRule="atLeast"/>
        <w:ind w:left="1474" w:hanging="794"/>
        <w:jc w:val="left"/>
        <w:rPr>
          <w:szCs w:val="20"/>
        </w:rPr>
      </w:pPr>
      <w:r w:rsidRPr="00BC31E0">
        <w:rPr>
          <w:rFonts w:ascii="ＭＳ ゴシック" w:eastAsia="ＭＳ ゴシック" w:hAnsi="ＭＳ ゴシック"/>
          <w:b/>
          <w:szCs w:val="20"/>
        </w:rPr>
        <w:t>注記2</w:t>
      </w:r>
      <w:r w:rsidRPr="00BC31E0">
        <w:rPr>
          <w:rFonts w:ascii="ＭＳ 明朝" w:hAnsi="ＭＳ 明朝" w:hint="eastAsia"/>
          <w:szCs w:val="20"/>
        </w:rPr>
        <w:t xml:space="preserve">　</w:t>
      </w:r>
      <w:r w:rsidRPr="00BC31E0">
        <w:rPr>
          <w:szCs w:val="20"/>
        </w:rPr>
        <w:t>き</w:t>
      </w:r>
      <w:r w:rsidRPr="00BC31E0">
        <w:rPr>
          <w:rFonts w:hint="eastAsia"/>
          <w:szCs w:val="20"/>
        </w:rPr>
        <w:t>ず</w:t>
      </w:r>
      <w:r w:rsidRPr="00BC31E0">
        <w:rPr>
          <w:szCs w:val="20"/>
        </w:rPr>
        <w:t>高さ</w:t>
      </w:r>
      <m:oMath>
        <m:r>
          <w:rPr>
            <w:rFonts w:ascii="Cambria Math" w:hAnsi="Cambria Math"/>
            <w:szCs w:val="20"/>
          </w:rPr>
          <m:t>a</m:t>
        </m:r>
        <m:r>
          <m:rPr>
            <m:sty m:val="p"/>
          </m:rPr>
          <w:rPr>
            <w:rFonts w:ascii="Cambria Math" w:hAnsi="Cambria Math"/>
            <w:szCs w:val="20"/>
          </w:rPr>
          <m:t xml:space="preserve"> </m:t>
        </m:r>
      </m:oMath>
      <w:r w:rsidRPr="00BC31E0">
        <w:rPr>
          <w:szCs w:val="20"/>
        </w:rPr>
        <w:t>が</w:t>
      </w:r>
      <m:oMath>
        <m:r>
          <m:rPr>
            <m:sty m:val="p"/>
          </m:rPr>
          <w:rPr>
            <w:rFonts w:ascii="Cambria Math" w:hAnsi="Cambria Math"/>
            <w:szCs w:val="20"/>
          </w:rPr>
          <m:t xml:space="preserve"> 1 mm</m:t>
        </m:r>
      </m:oMath>
      <w:r w:rsidRPr="00BC31E0">
        <w:rPr>
          <w:szCs w:val="20"/>
        </w:rPr>
        <w:t>未満になる場合</w:t>
      </w:r>
      <w:r w:rsidRPr="00BC31E0">
        <w:rPr>
          <w:rFonts w:hint="eastAsia"/>
          <w:szCs w:val="20"/>
        </w:rPr>
        <w:t>で</w:t>
      </w:r>
      <w:r w:rsidRPr="00BC31E0">
        <w:rPr>
          <w:szCs w:val="20"/>
        </w:rPr>
        <w:t>，使用者設計仕様書</w:t>
      </w:r>
      <w:r w:rsidRPr="00BC31E0">
        <w:rPr>
          <w:rFonts w:hint="eastAsia"/>
          <w:szCs w:val="20"/>
        </w:rPr>
        <w:t>に</w:t>
      </w:r>
      <w:r w:rsidRPr="00BC31E0">
        <w:rPr>
          <w:rFonts w:ascii="ＭＳ ゴシック" w:eastAsia="ＭＳ ゴシック" w:hAnsi="ＭＳ ゴシック" w:hint="eastAsia"/>
          <w:b/>
          <w:szCs w:val="20"/>
        </w:rPr>
        <w:t>表5.2.2</w:t>
      </w:r>
      <w:r w:rsidRPr="00BC31E0">
        <w:rPr>
          <w:rFonts w:hint="eastAsia"/>
          <w:szCs w:val="20"/>
        </w:rPr>
        <w:t>よりも高い</w:t>
      </w:r>
      <w:r w:rsidRPr="00BC31E0">
        <w:rPr>
          <w:szCs w:val="20"/>
        </w:rPr>
        <w:t>要求シャルピー</w:t>
      </w:r>
      <w:r w:rsidRPr="00BC31E0">
        <w:rPr>
          <w:rFonts w:hint="eastAsia"/>
          <w:szCs w:val="20"/>
        </w:rPr>
        <w:t>衝撃</w:t>
      </w:r>
      <w:r w:rsidRPr="00BC31E0">
        <w:rPr>
          <w:szCs w:val="20"/>
        </w:rPr>
        <w:t>吸収エネルギー</w:t>
      </w:r>
      <w:r w:rsidRPr="00BC31E0">
        <w:rPr>
          <w:rFonts w:hint="eastAsia"/>
          <w:szCs w:val="20"/>
        </w:rPr>
        <w:t>が規定されている場合には，</w:t>
      </w:r>
      <w:r w:rsidRPr="00BC31E0">
        <w:rPr>
          <w:rFonts w:ascii="ＭＳ ゴシック" w:eastAsia="ＭＳ ゴシック" w:hAnsi="ＭＳ ゴシック" w:hint="eastAsia"/>
          <w:b/>
          <w:szCs w:val="20"/>
        </w:rPr>
        <w:t>9.3.6 c) 2) 2.3)</w:t>
      </w:r>
      <w:r w:rsidRPr="00BC31E0">
        <w:rPr>
          <w:rFonts w:hint="eastAsia"/>
          <w:szCs w:val="20"/>
        </w:rPr>
        <w:t>に</w:t>
      </w:r>
      <w:r w:rsidRPr="00BC31E0">
        <w:rPr>
          <w:szCs w:val="20"/>
        </w:rPr>
        <w:t>より</w:t>
      </w:r>
      <w:r w:rsidRPr="00BC31E0">
        <w:rPr>
          <w:rFonts w:hint="eastAsia"/>
          <w:szCs w:val="20"/>
        </w:rPr>
        <w:t>製作者が許容きず寸法を算出</w:t>
      </w:r>
      <w:r w:rsidR="00AC344B" w:rsidRPr="00BC31E0">
        <w:rPr>
          <w:rFonts w:hint="eastAsia"/>
          <w:szCs w:val="20"/>
        </w:rPr>
        <w:t>してもよい</w:t>
      </w:r>
      <w:r w:rsidRPr="00BC31E0">
        <w:rPr>
          <w:rFonts w:hint="eastAsia"/>
          <w:szCs w:val="20"/>
        </w:rPr>
        <w:t>。</w:t>
      </w:r>
    </w:p>
    <w:p w14:paraId="645C97EA" w14:textId="77777777" w:rsidR="00342321" w:rsidRPr="00BC31E0" w:rsidRDefault="00342321" w:rsidP="00342321">
      <w:pPr>
        <w:snapToGrid w:val="0"/>
        <w:spacing w:line="320" w:lineRule="atLeast"/>
        <w:ind w:left="1474" w:hanging="794"/>
        <w:jc w:val="left"/>
        <w:rPr>
          <w:szCs w:val="20"/>
        </w:rPr>
      </w:pPr>
      <w:r w:rsidRPr="00BC31E0">
        <w:rPr>
          <w:rFonts w:ascii="ＭＳ ゴシック" w:eastAsia="ＭＳ ゴシック" w:hAnsi="ＭＳ ゴシック" w:hint="eastAsia"/>
          <w:b/>
          <w:szCs w:val="20"/>
        </w:rPr>
        <w:t>注記3</w:t>
      </w:r>
      <w:r w:rsidRPr="00BC31E0">
        <w:rPr>
          <w:rFonts w:ascii="ＭＳ 明朝" w:hAnsi="ＭＳ 明朝" w:hint="eastAsia"/>
          <w:szCs w:val="20"/>
        </w:rPr>
        <w:t xml:space="preserve">　</w:t>
      </w:r>
      <w:r w:rsidRPr="00BC31E0">
        <w:rPr>
          <w:rFonts w:hint="eastAsia"/>
          <w:szCs w:val="20"/>
        </w:rPr>
        <w:t>中間の</w:t>
      </w:r>
      <w:r w:rsidRPr="00BC31E0">
        <w:rPr>
          <w:rFonts w:hAnsi="ＭＳ 明朝" w:hint="eastAsia"/>
          <w:szCs w:val="20"/>
        </w:rPr>
        <w:t>内外径比</w:t>
      </w:r>
      <m:oMath>
        <m:r>
          <w:rPr>
            <w:rFonts w:ascii="Cambria Math" w:hAnsi="Cambria Math"/>
            <w:szCs w:val="20"/>
          </w:rPr>
          <m:t xml:space="preserve"> Y </m:t>
        </m:r>
      </m:oMath>
      <w:r w:rsidRPr="00BC31E0">
        <w:rPr>
          <w:rFonts w:hint="eastAsia"/>
          <w:szCs w:val="20"/>
        </w:rPr>
        <w:t>の値及び</w:t>
      </w:r>
      <m:oMath>
        <m:f>
          <m:fPr>
            <m:type m:val="lin"/>
            <m:ctrlPr>
              <w:rPr>
                <w:rFonts w:ascii="Cambria Math" w:hAnsi="Cambria Math"/>
                <w:i/>
                <w:kern w:val="0"/>
                <w:szCs w:val="20"/>
              </w:rPr>
            </m:ctrlPr>
          </m:fPr>
          <m:num>
            <m:r>
              <w:rPr>
                <w:rFonts w:ascii="Cambria Math" w:hAnsi="Cambria Math"/>
                <w:kern w:val="0"/>
                <w:szCs w:val="20"/>
              </w:rPr>
              <m:t xml:space="preserve"> a</m:t>
            </m:r>
          </m:num>
          <m:den>
            <m:r>
              <w:rPr>
                <w:rFonts w:ascii="Cambria Math" w:hAnsi="Cambria Math"/>
                <w:kern w:val="0"/>
                <w:szCs w:val="20"/>
              </w:rPr>
              <m:t>l</m:t>
            </m:r>
          </m:den>
        </m:f>
        <m:r>
          <w:rPr>
            <w:rFonts w:ascii="Cambria Math" w:hAnsi="Cambria Math"/>
            <w:kern w:val="0"/>
            <w:szCs w:val="20"/>
          </w:rPr>
          <m:t xml:space="preserve"> </m:t>
        </m:r>
      </m:oMath>
      <w:r w:rsidRPr="00BC31E0">
        <w:rPr>
          <w:rFonts w:hint="eastAsia"/>
          <w:szCs w:val="20"/>
        </w:rPr>
        <w:t>の値に対しては，線形補間により</w:t>
      </w:r>
      <m:oMath>
        <m:f>
          <m:fPr>
            <m:type m:val="lin"/>
            <m:ctrlPr>
              <w:rPr>
                <w:rFonts w:ascii="Cambria Math" w:hAnsi="Cambria Math"/>
                <w:i/>
                <w:kern w:val="0"/>
                <w:szCs w:val="20"/>
              </w:rPr>
            </m:ctrlPr>
          </m:fPr>
          <m:num>
            <m:r>
              <w:rPr>
                <w:rFonts w:ascii="Cambria Math" w:hAnsi="Cambria Math"/>
                <w:kern w:val="0"/>
                <w:szCs w:val="20"/>
              </w:rPr>
              <m:t>a</m:t>
            </m:r>
          </m:num>
          <m:den>
            <m:r>
              <w:rPr>
                <w:rFonts w:ascii="Cambria Math" w:hAnsi="Cambria Math"/>
                <w:kern w:val="0"/>
                <w:szCs w:val="20"/>
              </w:rPr>
              <m:t xml:space="preserve">t </m:t>
            </m:r>
          </m:den>
        </m:f>
      </m:oMath>
      <w:r w:rsidRPr="00BC31E0">
        <w:rPr>
          <w:rFonts w:hint="eastAsia"/>
          <w:szCs w:val="20"/>
        </w:rPr>
        <w:t>を求める。</w:t>
      </w:r>
    </w:p>
    <w:p w14:paraId="4F3CE0E5" w14:textId="77777777" w:rsidR="00CA187B" w:rsidRPr="00BC31E0" w:rsidRDefault="00CA187B" w:rsidP="00E071EE">
      <w:pPr>
        <w:spacing w:line="200" w:lineRule="exact"/>
        <w:rPr>
          <w:rFonts w:ascii="ＭＳ ゴシック" w:eastAsia="ＭＳ ゴシック" w:hAnsi="ＭＳ ゴシック"/>
          <w:b/>
          <w:szCs w:val="20"/>
        </w:rPr>
      </w:pPr>
    </w:p>
    <w:p w14:paraId="6D8C98D1" w14:textId="77777777" w:rsidR="00342321" w:rsidRPr="00BC31E0" w:rsidRDefault="00342321" w:rsidP="00CA187B">
      <w:pPr>
        <w:jc w:val="center"/>
        <w:rPr>
          <w:szCs w:val="20"/>
        </w:rPr>
      </w:pPr>
      <w:r w:rsidRPr="00BC31E0">
        <w:rPr>
          <w:rFonts w:ascii="ＭＳ ゴシック" w:eastAsia="ＭＳ ゴシック" w:hAnsi="ＭＳ ゴシック" w:hint="eastAsia"/>
          <w:b/>
          <w:szCs w:val="20"/>
        </w:rPr>
        <w:t>表9.3.13　表面きずの許容きず寸法 (</w:t>
      </w:r>
      <m:oMath>
        <m:sSub>
          <m:sSubPr>
            <m:ctrlPr>
              <w:rPr>
                <w:rFonts w:ascii="Cambria Math" w:eastAsia="ＭＳ ゴシック" w:hAnsi="Cambria Math"/>
                <w:b/>
                <w:i/>
                <w:sz w:val="22"/>
                <w:szCs w:val="22"/>
              </w:rPr>
            </m:ctrlPr>
          </m:sSubPr>
          <m:e>
            <m:r>
              <m:rPr>
                <m:sty m:val="bi"/>
              </m:rPr>
              <w:rPr>
                <w:rFonts w:ascii="Cambria Math" w:eastAsia="ＭＳ ゴシック" w:hAnsi="Cambria Math"/>
                <w:sz w:val="22"/>
                <w:szCs w:val="22"/>
              </w:rPr>
              <m:t>S</m:t>
            </m:r>
          </m:e>
          <m:sub>
            <m:r>
              <m:rPr>
                <m:sty m:val="bi"/>
              </m:rPr>
              <w:rPr>
                <w:rFonts w:ascii="Cambria Math" w:eastAsia="ＭＳ ゴシック" w:hAnsi="Cambria Math"/>
                <w:sz w:val="22"/>
                <w:szCs w:val="22"/>
                <w:vertAlign w:val="subscript"/>
              </w:rPr>
              <m:t>y</m:t>
            </m:r>
          </m:sub>
        </m:sSub>
        <m:r>
          <m:rPr>
            <m:sty m:val="bi"/>
          </m:rPr>
          <w:rPr>
            <w:rFonts w:ascii="Cambria Math" w:eastAsia="ＭＳ ゴシック" w:hAnsi="Cambria Math"/>
            <w:sz w:val="22"/>
            <w:szCs w:val="22"/>
          </w:rPr>
          <m:t>≦260</m:t>
        </m:r>
        <m:r>
          <m:rPr>
            <m:sty m:val="b"/>
          </m:rPr>
          <w:rPr>
            <w:rFonts w:ascii="Cambria Math" w:eastAsia="ＭＳ ゴシック" w:hAnsi="Cambria Math"/>
            <w:sz w:val="22"/>
            <w:szCs w:val="22"/>
          </w:rPr>
          <m:t xml:space="preserve"> MPa</m:t>
        </m:r>
      </m:oMath>
      <w:r w:rsidRPr="00BC31E0">
        <w:rPr>
          <w:rFonts w:ascii="ＭＳ ゴシック" w:eastAsia="ＭＳ ゴシック" w:hAnsi="ＭＳ ゴシック" w:hint="eastAsia"/>
          <w:b/>
          <w:szCs w:val="20"/>
        </w:rPr>
        <w:t>，溶接後熱処理</w:t>
      </w:r>
      <w:r w:rsidRPr="00BC31E0">
        <w:rPr>
          <w:rFonts w:ascii="ＭＳ ゴシック" w:eastAsia="ＭＳ ゴシック" w:hAnsi="ＭＳ ゴシック"/>
          <w:b/>
          <w:szCs w:val="20"/>
        </w:rPr>
        <w:t>あり</w:t>
      </w:r>
      <w:r w:rsidRPr="00BC31E0">
        <w:rPr>
          <w:rFonts w:ascii="ＭＳ ゴシック" w:eastAsia="ＭＳ ゴシック" w:hAnsi="ＭＳ ゴシック" w:hint="eastAsia"/>
          <w:b/>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594"/>
        <w:gridCol w:w="1595"/>
        <w:gridCol w:w="1595"/>
        <w:gridCol w:w="1595"/>
      </w:tblGrid>
      <w:tr w:rsidR="00342321" w:rsidRPr="00BC31E0" w14:paraId="1D0197CF" w14:textId="77777777" w:rsidTr="004736F2">
        <w:trPr>
          <w:jc w:val="center"/>
        </w:trPr>
        <w:tc>
          <w:tcPr>
            <w:tcW w:w="992" w:type="dxa"/>
            <w:vMerge w:val="restart"/>
            <w:vAlign w:val="center"/>
          </w:tcPr>
          <w:p w14:paraId="45CF6BC8" w14:textId="77777777" w:rsidR="00342321" w:rsidRPr="00BC31E0" w:rsidRDefault="00A51873" w:rsidP="004736F2">
            <w:pPr>
              <w:snapToGrid w:val="0"/>
              <w:spacing w:line="300" w:lineRule="atLeast"/>
              <w:jc w:val="center"/>
              <w:rPr>
                <w:rFonts w:ascii="Times New Roman" w:hAnsi="Times New Roman"/>
                <w:i/>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l</m:t>
                    </m:r>
                  </m:den>
                </m:f>
              </m:oMath>
            </m:oMathPara>
          </w:p>
        </w:tc>
        <w:tc>
          <w:tcPr>
            <w:tcW w:w="6379" w:type="dxa"/>
            <w:gridSpan w:val="4"/>
            <w:vAlign w:val="center"/>
          </w:tcPr>
          <w:p w14:paraId="4166BA30" w14:textId="77777777" w:rsidR="00342321" w:rsidRPr="00BC31E0" w:rsidRDefault="00342321" w:rsidP="004736F2">
            <w:pPr>
              <w:snapToGrid w:val="0"/>
              <w:spacing w:line="300" w:lineRule="atLeast"/>
              <w:jc w:val="center"/>
              <w:rPr>
                <w:rFonts w:ascii="Times New Roman" w:hAnsi="Times New Roman"/>
                <w:i/>
                <w:szCs w:val="20"/>
              </w:rPr>
            </w:pPr>
            <m:oMathPara>
              <m:oMath>
                <m:r>
                  <w:rPr>
                    <w:rFonts w:ascii="Cambria Math" w:hAnsi="Cambria Math"/>
                    <w:szCs w:val="20"/>
                  </w:rPr>
                  <m:t>t&gt;</m:t>
                </m:r>
                <m:r>
                  <w:rPr>
                    <w:rFonts w:ascii="Cambria Math" w:hAnsi="Cambria Math" w:hint="eastAsia"/>
                    <w:szCs w:val="20"/>
                  </w:rPr>
                  <m:t>300</m:t>
                </m:r>
                <m:r>
                  <m:rPr>
                    <m:sty m:val="p"/>
                  </m:rPr>
                  <w:rPr>
                    <w:rFonts w:ascii="Cambria Math" w:hAnsi="Cambria Math" w:hint="eastAsia"/>
                    <w:szCs w:val="20"/>
                  </w:rPr>
                  <m:t xml:space="preserve"> mm</m:t>
                </m:r>
              </m:oMath>
            </m:oMathPara>
          </w:p>
        </w:tc>
      </w:tr>
      <w:tr w:rsidR="00342321" w:rsidRPr="00BC31E0" w14:paraId="01BD48E8" w14:textId="77777777" w:rsidTr="004736F2">
        <w:trPr>
          <w:jc w:val="center"/>
        </w:trPr>
        <w:tc>
          <w:tcPr>
            <w:tcW w:w="992" w:type="dxa"/>
            <w:vMerge/>
            <w:vAlign w:val="center"/>
          </w:tcPr>
          <w:p w14:paraId="6129A7E7" w14:textId="77777777" w:rsidR="00342321" w:rsidRPr="00BC31E0" w:rsidRDefault="00342321" w:rsidP="004736F2">
            <w:pPr>
              <w:snapToGrid w:val="0"/>
              <w:spacing w:line="300" w:lineRule="atLeast"/>
              <w:jc w:val="center"/>
              <w:rPr>
                <w:rFonts w:ascii="Times New Roman" w:hAnsi="Times New Roman"/>
                <w:i/>
                <w:szCs w:val="20"/>
              </w:rPr>
            </w:pPr>
          </w:p>
        </w:tc>
        <w:tc>
          <w:tcPr>
            <w:tcW w:w="1594" w:type="dxa"/>
            <w:vAlign w:val="center"/>
          </w:tcPr>
          <w:p w14:paraId="161B429B" w14:textId="77777777" w:rsidR="00342321" w:rsidRPr="00BC31E0" w:rsidRDefault="00342321" w:rsidP="004736F2">
            <w:pPr>
              <w:snapToGrid w:val="0"/>
              <w:spacing w:line="300" w:lineRule="atLeast"/>
              <w:jc w:val="center"/>
              <w:rPr>
                <w:i/>
                <w:szCs w:val="20"/>
              </w:rPr>
            </w:pPr>
            <m:oMathPara>
              <m:oMath>
                <m:r>
                  <w:rPr>
                    <w:rFonts w:ascii="Cambria Math" w:hAnsi="Cambria Math"/>
                    <w:szCs w:val="20"/>
                  </w:rPr>
                  <m:t>Y=</m:t>
                </m:r>
                <m:r>
                  <w:rPr>
                    <w:rFonts w:ascii="Cambria Math" w:hAnsi="Cambria Math" w:hint="eastAsia"/>
                    <w:szCs w:val="20"/>
                  </w:rPr>
                  <m:t>1.2</m:t>
                </m:r>
              </m:oMath>
            </m:oMathPara>
          </w:p>
        </w:tc>
        <w:tc>
          <w:tcPr>
            <w:tcW w:w="1595" w:type="dxa"/>
            <w:vAlign w:val="center"/>
          </w:tcPr>
          <w:p w14:paraId="2ED6E730" w14:textId="77777777" w:rsidR="00342321" w:rsidRPr="00BC31E0" w:rsidRDefault="00342321" w:rsidP="004736F2">
            <w:pPr>
              <w:snapToGrid w:val="0"/>
              <w:spacing w:line="300" w:lineRule="atLeast"/>
              <w:jc w:val="center"/>
              <w:rPr>
                <w:i/>
                <w:szCs w:val="20"/>
              </w:rPr>
            </w:pPr>
            <m:oMathPara>
              <m:oMath>
                <m:r>
                  <w:rPr>
                    <w:rFonts w:ascii="Cambria Math" w:hAnsi="Cambria Math"/>
                    <w:szCs w:val="20"/>
                  </w:rPr>
                  <m:t>Y=</m:t>
                </m:r>
                <m:r>
                  <w:rPr>
                    <w:rFonts w:ascii="Cambria Math" w:hAnsi="Cambria Math" w:hint="eastAsia"/>
                    <w:szCs w:val="20"/>
                  </w:rPr>
                  <m:t>1.5</m:t>
                </m:r>
              </m:oMath>
            </m:oMathPara>
          </w:p>
        </w:tc>
        <w:tc>
          <w:tcPr>
            <w:tcW w:w="1595" w:type="dxa"/>
            <w:vAlign w:val="center"/>
          </w:tcPr>
          <w:p w14:paraId="056FDCBB" w14:textId="77777777" w:rsidR="00342321" w:rsidRPr="00BC31E0" w:rsidRDefault="00342321" w:rsidP="004736F2">
            <w:pPr>
              <w:snapToGrid w:val="0"/>
              <w:spacing w:line="300" w:lineRule="atLeast"/>
              <w:jc w:val="center"/>
              <w:rPr>
                <w:i/>
                <w:szCs w:val="20"/>
              </w:rPr>
            </w:pPr>
            <m:oMathPara>
              <m:oMath>
                <m:r>
                  <w:rPr>
                    <w:rFonts w:ascii="Cambria Math" w:hAnsi="Cambria Math"/>
                    <w:szCs w:val="20"/>
                  </w:rPr>
                  <m:t>Y=</m:t>
                </m:r>
                <m:r>
                  <w:rPr>
                    <w:rFonts w:ascii="Cambria Math" w:hAnsi="Cambria Math" w:hint="eastAsia"/>
                    <w:szCs w:val="20"/>
                  </w:rPr>
                  <m:t>2.0</m:t>
                </m:r>
              </m:oMath>
            </m:oMathPara>
          </w:p>
        </w:tc>
        <w:tc>
          <w:tcPr>
            <w:tcW w:w="1595" w:type="dxa"/>
            <w:vAlign w:val="center"/>
          </w:tcPr>
          <w:p w14:paraId="2F739F91" w14:textId="77777777" w:rsidR="00342321" w:rsidRPr="00BC31E0" w:rsidRDefault="00342321" w:rsidP="004736F2">
            <w:pPr>
              <w:snapToGrid w:val="0"/>
              <w:spacing w:line="300" w:lineRule="atLeast"/>
              <w:jc w:val="center"/>
              <w:rPr>
                <w:i/>
                <w:szCs w:val="20"/>
              </w:rPr>
            </w:pPr>
            <m:oMathPara>
              <m:oMath>
                <m:r>
                  <w:rPr>
                    <w:rFonts w:ascii="Cambria Math" w:hAnsi="Cambria Math"/>
                    <w:szCs w:val="20"/>
                  </w:rPr>
                  <m:t>Y=</m:t>
                </m:r>
                <m:r>
                  <w:rPr>
                    <w:rFonts w:ascii="Cambria Math" w:hAnsi="Cambria Math" w:hint="eastAsia"/>
                    <w:szCs w:val="20"/>
                  </w:rPr>
                  <m:t>2.5</m:t>
                </m:r>
              </m:oMath>
            </m:oMathPara>
          </w:p>
        </w:tc>
      </w:tr>
      <w:tr w:rsidR="00342321" w:rsidRPr="00BC31E0" w14:paraId="09B5A445" w14:textId="77777777" w:rsidTr="004736F2">
        <w:trPr>
          <w:jc w:val="center"/>
        </w:trPr>
        <w:tc>
          <w:tcPr>
            <w:tcW w:w="992" w:type="dxa"/>
            <w:vMerge/>
            <w:vAlign w:val="center"/>
          </w:tcPr>
          <w:p w14:paraId="55A2ADD8" w14:textId="77777777" w:rsidR="00342321" w:rsidRPr="00BC31E0" w:rsidRDefault="00342321" w:rsidP="004736F2">
            <w:pPr>
              <w:snapToGrid w:val="0"/>
              <w:spacing w:line="300" w:lineRule="atLeast"/>
              <w:jc w:val="center"/>
              <w:rPr>
                <w:szCs w:val="20"/>
              </w:rPr>
            </w:pPr>
          </w:p>
        </w:tc>
        <w:tc>
          <w:tcPr>
            <w:tcW w:w="1594" w:type="dxa"/>
            <w:vAlign w:val="center"/>
          </w:tcPr>
          <w:p w14:paraId="5CF40ED6" w14:textId="77777777" w:rsidR="00342321" w:rsidRPr="00BC31E0" w:rsidRDefault="00342321" w:rsidP="004736F2">
            <w:pPr>
              <w:snapToGrid w:val="0"/>
              <w:spacing w:line="300" w:lineRule="atLeast"/>
              <w:jc w:val="center"/>
              <w:rPr>
                <w:szCs w:val="20"/>
              </w:rPr>
            </w:pPr>
            <m:oMath>
              <m:r>
                <w:rPr>
                  <w:rFonts w:ascii="Cambria Math" w:hAnsi="Cambria Math"/>
                  <w:szCs w:val="20"/>
                </w:rPr>
                <m:t xml:space="preserve">a </m:t>
              </m:r>
            </m:oMath>
            <w:r w:rsidRPr="00BC31E0">
              <w:rPr>
                <w:rFonts w:asciiTheme="minorHAnsi" w:hAnsiTheme="minorHAnsi"/>
                <w:szCs w:val="20"/>
              </w:rPr>
              <w:t>(</w:t>
            </w:r>
            <m:oMath>
              <m:r>
                <m:rPr>
                  <m:sty m:val="p"/>
                </m:rPr>
                <w:rPr>
                  <w:rFonts w:ascii="Cambria Math" w:hAnsi="Cambria Math"/>
                  <w:szCs w:val="20"/>
                </w:rPr>
                <m:t>mm</m:t>
              </m:r>
            </m:oMath>
            <w:r w:rsidRPr="00BC31E0">
              <w:rPr>
                <w:rFonts w:asciiTheme="minorHAnsi" w:hAnsiTheme="minorHAnsi"/>
                <w:szCs w:val="20"/>
              </w:rPr>
              <w:t>)</w:t>
            </w:r>
          </w:p>
        </w:tc>
        <w:tc>
          <w:tcPr>
            <w:tcW w:w="1595" w:type="dxa"/>
            <w:vAlign w:val="center"/>
          </w:tcPr>
          <w:p w14:paraId="19EA10A5" w14:textId="77777777" w:rsidR="00342321" w:rsidRPr="00BC31E0" w:rsidRDefault="00342321" w:rsidP="004736F2">
            <w:pPr>
              <w:snapToGrid w:val="0"/>
              <w:spacing w:line="300" w:lineRule="atLeast"/>
              <w:jc w:val="center"/>
              <w:rPr>
                <w:szCs w:val="20"/>
              </w:rPr>
            </w:pPr>
            <m:oMath>
              <m:r>
                <w:rPr>
                  <w:rFonts w:ascii="Cambria Math" w:hAnsi="Cambria Math"/>
                  <w:szCs w:val="20"/>
                </w:rPr>
                <m:t xml:space="preserve">a </m:t>
              </m:r>
            </m:oMath>
            <w:r w:rsidRPr="00BC31E0">
              <w:rPr>
                <w:rFonts w:asciiTheme="minorHAnsi" w:hAnsiTheme="minorHAnsi"/>
                <w:szCs w:val="20"/>
              </w:rPr>
              <w:t>(</w:t>
            </w:r>
            <m:oMath>
              <m:r>
                <m:rPr>
                  <m:sty m:val="p"/>
                </m:rPr>
                <w:rPr>
                  <w:rFonts w:ascii="Cambria Math" w:hAnsi="Cambria Math"/>
                  <w:szCs w:val="20"/>
                </w:rPr>
                <m:t>mm</m:t>
              </m:r>
            </m:oMath>
            <w:r w:rsidRPr="00BC31E0">
              <w:rPr>
                <w:rFonts w:asciiTheme="minorHAnsi" w:hAnsiTheme="minorHAnsi"/>
                <w:szCs w:val="20"/>
              </w:rPr>
              <w:t>)</w:t>
            </w:r>
          </w:p>
        </w:tc>
        <w:tc>
          <w:tcPr>
            <w:tcW w:w="1595" w:type="dxa"/>
            <w:vAlign w:val="center"/>
          </w:tcPr>
          <w:p w14:paraId="438D48CE" w14:textId="77777777" w:rsidR="00342321" w:rsidRPr="00BC31E0" w:rsidRDefault="00342321" w:rsidP="004736F2">
            <w:pPr>
              <w:snapToGrid w:val="0"/>
              <w:spacing w:line="300" w:lineRule="atLeast"/>
              <w:jc w:val="center"/>
              <w:rPr>
                <w:szCs w:val="20"/>
              </w:rPr>
            </w:pPr>
            <m:oMath>
              <m:r>
                <w:rPr>
                  <w:rFonts w:ascii="Cambria Math" w:hAnsi="Cambria Math"/>
                  <w:szCs w:val="20"/>
                </w:rPr>
                <m:t xml:space="preserve">a </m:t>
              </m:r>
            </m:oMath>
            <w:r w:rsidRPr="00BC31E0">
              <w:rPr>
                <w:rFonts w:asciiTheme="minorHAnsi" w:hAnsiTheme="minorHAnsi"/>
                <w:szCs w:val="20"/>
              </w:rPr>
              <w:t>(</w:t>
            </w:r>
            <m:oMath>
              <m:r>
                <m:rPr>
                  <m:sty m:val="p"/>
                </m:rPr>
                <w:rPr>
                  <w:rFonts w:ascii="Cambria Math" w:hAnsi="Cambria Math"/>
                  <w:szCs w:val="20"/>
                </w:rPr>
                <m:t>mm</m:t>
              </m:r>
            </m:oMath>
            <w:r w:rsidRPr="00BC31E0">
              <w:rPr>
                <w:rFonts w:asciiTheme="minorHAnsi" w:hAnsiTheme="minorHAnsi"/>
                <w:szCs w:val="20"/>
              </w:rPr>
              <w:t>)</w:t>
            </w:r>
          </w:p>
        </w:tc>
        <w:tc>
          <w:tcPr>
            <w:tcW w:w="1595" w:type="dxa"/>
            <w:vAlign w:val="center"/>
          </w:tcPr>
          <w:p w14:paraId="1E2EEFE3" w14:textId="77777777" w:rsidR="00342321" w:rsidRPr="00BC31E0" w:rsidRDefault="00342321" w:rsidP="004736F2">
            <w:pPr>
              <w:snapToGrid w:val="0"/>
              <w:spacing w:line="300" w:lineRule="atLeast"/>
              <w:jc w:val="center"/>
              <w:rPr>
                <w:szCs w:val="20"/>
              </w:rPr>
            </w:pPr>
            <m:oMath>
              <m:r>
                <w:rPr>
                  <w:rFonts w:ascii="Cambria Math" w:hAnsi="Cambria Math"/>
                  <w:szCs w:val="20"/>
                </w:rPr>
                <m:t xml:space="preserve">a </m:t>
              </m:r>
            </m:oMath>
            <w:r w:rsidRPr="00BC31E0">
              <w:rPr>
                <w:rFonts w:asciiTheme="minorHAnsi" w:hAnsiTheme="minorHAnsi"/>
                <w:szCs w:val="20"/>
              </w:rPr>
              <w:t>(</w:t>
            </w:r>
            <m:oMath>
              <m:r>
                <m:rPr>
                  <m:sty m:val="p"/>
                </m:rPr>
                <w:rPr>
                  <w:rFonts w:ascii="Cambria Math" w:hAnsi="Cambria Math"/>
                  <w:szCs w:val="20"/>
                </w:rPr>
                <m:t>mm</m:t>
              </m:r>
            </m:oMath>
            <w:r w:rsidRPr="00BC31E0">
              <w:rPr>
                <w:rFonts w:asciiTheme="minorHAnsi" w:hAnsiTheme="minorHAnsi"/>
                <w:szCs w:val="20"/>
              </w:rPr>
              <w:t>)</w:t>
            </w:r>
          </w:p>
        </w:tc>
      </w:tr>
      <w:tr w:rsidR="00342321" w:rsidRPr="00BC31E0" w14:paraId="3898F1C5" w14:textId="77777777" w:rsidTr="004736F2">
        <w:trPr>
          <w:jc w:val="center"/>
        </w:trPr>
        <w:tc>
          <w:tcPr>
            <w:tcW w:w="992" w:type="dxa"/>
            <w:vAlign w:val="center"/>
          </w:tcPr>
          <w:p w14:paraId="186BA583"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0.0</w:t>
            </w:r>
          </w:p>
        </w:tc>
        <w:tc>
          <w:tcPr>
            <w:tcW w:w="1594" w:type="dxa"/>
            <w:vAlign w:val="center"/>
          </w:tcPr>
          <w:p w14:paraId="74B96023"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7.21</w:t>
            </w:r>
          </w:p>
        </w:tc>
        <w:tc>
          <w:tcPr>
            <w:tcW w:w="1595" w:type="dxa"/>
            <w:vAlign w:val="center"/>
          </w:tcPr>
          <w:p w14:paraId="06AA1ED9"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4.19</w:t>
            </w:r>
          </w:p>
        </w:tc>
        <w:tc>
          <w:tcPr>
            <w:tcW w:w="1595" w:type="dxa"/>
            <w:vAlign w:val="center"/>
          </w:tcPr>
          <w:p w14:paraId="476E0F52"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1.66</w:t>
            </w:r>
          </w:p>
        </w:tc>
        <w:tc>
          <w:tcPr>
            <w:tcW w:w="1595" w:type="dxa"/>
            <w:vAlign w:val="center"/>
          </w:tcPr>
          <w:p w14:paraId="644EA83C" w14:textId="77777777" w:rsidR="00342321" w:rsidRPr="00BC31E0" w:rsidRDefault="00342321" w:rsidP="004736F2">
            <w:pPr>
              <w:snapToGrid w:val="0"/>
              <w:spacing w:line="300" w:lineRule="atLeast"/>
              <w:jc w:val="center"/>
              <w:rPr>
                <w:rFonts w:ascii="ＭＳ ゴシック" w:eastAsia="ＭＳ ゴシック" w:hAnsi="ＭＳ ゴシック"/>
                <w:b/>
                <w:szCs w:val="20"/>
              </w:rPr>
            </w:pPr>
            <w:r w:rsidRPr="00BC31E0">
              <w:rPr>
                <w:rFonts w:ascii="ＭＳ ゴシック" w:eastAsia="ＭＳ ゴシック" w:hAnsi="ＭＳ ゴシック" w:hint="eastAsia"/>
                <w:b/>
                <w:szCs w:val="20"/>
                <w:vertAlign w:val="superscript"/>
              </w:rPr>
              <w:t>a)</w:t>
            </w:r>
          </w:p>
        </w:tc>
      </w:tr>
      <w:tr w:rsidR="00342321" w:rsidRPr="00BC31E0" w14:paraId="3251A832" w14:textId="77777777" w:rsidTr="004736F2">
        <w:trPr>
          <w:jc w:val="center"/>
        </w:trPr>
        <w:tc>
          <w:tcPr>
            <w:tcW w:w="992" w:type="dxa"/>
            <w:vAlign w:val="center"/>
          </w:tcPr>
          <w:p w14:paraId="5E7FE297"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0.1</w:t>
            </w:r>
          </w:p>
        </w:tc>
        <w:tc>
          <w:tcPr>
            <w:tcW w:w="1594" w:type="dxa"/>
            <w:vAlign w:val="center"/>
          </w:tcPr>
          <w:p w14:paraId="6B249464"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8.28</w:t>
            </w:r>
          </w:p>
        </w:tc>
        <w:tc>
          <w:tcPr>
            <w:tcW w:w="1595" w:type="dxa"/>
            <w:vAlign w:val="center"/>
          </w:tcPr>
          <w:p w14:paraId="755DC2DA"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4.96</w:t>
            </w:r>
          </w:p>
        </w:tc>
        <w:tc>
          <w:tcPr>
            <w:tcW w:w="1595" w:type="dxa"/>
            <w:vAlign w:val="center"/>
          </w:tcPr>
          <w:p w14:paraId="29090F38"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2.21</w:t>
            </w:r>
          </w:p>
        </w:tc>
        <w:tc>
          <w:tcPr>
            <w:tcW w:w="1595" w:type="dxa"/>
            <w:vAlign w:val="center"/>
          </w:tcPr>
          <w:p w14:paraId="5B99B215" w14:textId="77777777" w:rsidR="00342321" w:rsidRPr="00BC31E0" w:rsidRDefault="00342321" w:rsidP="004736F2">
            <w:pPr>
              <w:snapToGrid w:val="0"/>
              <w:spacing w:line="300" w:lineRule="atLeast"/>
              <w:jc w:val="center"/>
              <w:rPr>
                <w:rFonts w:ascii="ＭＳ ゴシック" w:eastAsia="ＭＳ ゴシック" w:hAnsi="ＭＳ ゴシック"/>
                <w:b/>
                <w:szCs w:val="20"/>
              </w:rPr>
            </w:pPr>
            <w:r w:rsidRPr="00BC31E0">
              <w:rPr>
                <w:rFonts w:ascii="ＭＳ ゴシック" w:eastAsia="ＭＳ ゴシック" w:hAnsi="ＭＳ ゴシック" w:hint="eastAsia"/>
                <w:b/>
                <w:szCs w:val="20"/>
                <w:vertAlign w:val="superscript"/>
              </w:rPr>
              <w:t>a)</w:t>
            </w:r>
          </w:p>
        </w:tc>
      </w:tr>
      <w:tr w:rsidR="00342321" w:rsidRPr="00BC31E0" w14:paraId="2CE64EC6" w14:textId="77777777" w:rsidTr="004736F2">
        <w:trPr>
          <w:jc w:val="center"/>
        </w:trPr>
        <w:tc>
          <w:tcPr>
            <w:tcW w:w="992" w:type="dxa"/>
            <w:vAlign w:val="center"/>
          </w:tcPr>
          <w:p w14:paraId="01AE5478"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0.2</w:t>
            </w:r>
          </w:p>
        </w:tc>
        <w:tc>
          <w:tcPr>
            <w:tcW w:w="1594" w:type="dxa"/>
            <w:vAlign w:val="center"/>
          </w:tcPr>
          <w:p w14:paraId="17EB2BF4"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10.8</w:t>
            </w:r>
          </w:p>
        </w:tc>
        <w:tc>
          <w:tcPr>
            <w:tcW w:w="1595" w:type="dxa"/>
            <w:vAlign w:val="center"/>
          </w:tcPr>
          <w:p w14:paraId="3401F780"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6.75</w:t>
            </w:r>
          </w:p>
        </w:tc>
        <w:tc>
          <w:tcPr>
            <w:tcW w:w="1595" w:type="dxa"/>
            <w:vAlign w:val="center"/>
          </w:tcPr>
          <w:p w14:paraId="4A80BB65"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3.29</w:t>
            </w:r>
          </w:p>
        </w:tc>
        <w:tc>
          <w:tcPr>
            <w:tcW w:w="1595" w:type="dxa"/>
            <w:vAlign w:val="center"/>
          </w:tcPr>
          <w:p w14:paraId="47A1FFFC"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1.51</w:t>
            </w:r>
          </w:p>
        </w:tc>
      </w:tr>
      <w:tr w:rsidR="00342321" w:rsidRPr="00BC31E0" w14:paraId="499EDF92" w14:textId="77777777" w:rsidTr="004736F2">
        <w:trPr>
          <w:jc w:val="center"/>
        </w:trPr>
        <w:tc>
          <w:tcPr>
            <w:tcW w:w="992" w:type="dxa"/>
            <w:vAlign w:val="center"/>
          </w:tcPr>
          <w:p w14:paraId="1A68CECF"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0.3</w:t>
            </w:r>
          </w:p>
        </w:tc>
        <w:tc>
          <w:tcPr>
            <w:tcW w:w="1594" w:type="dxa"/>
            <w:vAlign w:val="center"/>
          </w:tcPr>
          <w:p w14:paraId="41D29C9D"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14.4</w:t>
            </w:r>
          </w:p>
        </w:tc>
        <w:tc>
          <w:tcPr>
            <w:tcW w:w="1595" w:type="dxa"/>
            <w:vAlign w:val="center"/>
          </w:tcPr>
          <w:p w14:paraId="47CEFC77"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9.34</w:t>
            </w:r>
          </w:p>
        </w:tc>
        <w:tc>
          <w:tcPr>
            <w:tcW w:w="1595" w:type="dxa"/>
            <w:vAlign w:val="center"/>
          </w:tcPr>
          <w:p w14:paraId="6AB83B5E"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5.01</w:t>
            </w:r>
          </w:p>
        </w:tc>
        <w:tc>
          <w:tcPr>
            <w:tcW w:w="1595" w:type="dxa"/>
            <w:vAlign w:val="center"/>
          </w:tcPr>
          <w:p w14:paraId="38CA72B2"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2.69</w:t>
            </w:r>
          </w:p>
        </w:tc>
      </w:tr>
      <w:tr w:rsidR="00342321" w:rsidRPr="00BC31E0" w14:paraId="19C10224" w14:textId="77777777" w:rsidTr="004736F2">
        <w:trPr>
          <w:jc w:val="center"/>
        </w:trPr>
        <w:tc>
          <w:tcPr>
            <w:tcW w:w="992" w:type="dxa"/>
            <w:vAlign w:val="center"/>
          </w:tcPr>
          <w:p w14:paraId="6EF3B3C3"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0.4</w:t>
            </w:r>
          </w:p>
        </w:tc>
        <w:tc>
          <w:tcPr>
            <w:tcW w:w="1594" w:type="dxa"/>
            <w:vAlign w:val="center"/>
          </w:tcPr>
          <w:p w14:paraId="164423DF"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19.3</w:t>
            </w:r>
          </w:p>
        </w:tc>
        <w:tc>
          <w:tcPr>
            <w:tcW w:w="1595" w:type="dxa"/>
            <w:vAlign w:val="center"/>
          </w:tcPr>
          <w:p w14:paraId="4F20E85E"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12.8</w:t>
            </w:r>
          </w:p>
        </w:tc>
        <w:tc>
          <w:tcPr>
            <w:tcW w:w="1595" w:type="dxa"/>
            <w:vAlign w:val="center"/>
          </w:tcPr>
          <w:p w14:paraId="3C7F4D7E"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7.39</w:t>
            </w:r>
          </w:p>
        </w:tc>
        <w:tc>
          <w:tcPr>
            <w:tcW w:w="1595" w:type="dxa"/>
            <w:vAlign w:val="center"/>
          </w:tcPr>
          <w:p w14:paraId="7ACCB176"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4.67</w:t>
            </w:r>
          </w:p>
        </w:tc>
      </w:tr>
      <w:tr w:rsidR="00342321" w:rsidRPr="00BC31E0" w14:paraId="3B651284" w14:textId="77777777" w:rsidTr="004736F2">
        <w:trPr>
          <w:jc w:val="center"/>
        </w:trPr>
        <w:tc>
          <w:tcPr>
            <w:tcW w:w="992" w:type="dxa"/>
            <w:vAlign w:val="center"/>
          </w:tcPr>
          <w:p w14:paraId="1C7BE5BD"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0.5</w:t>
            </w:r>
          </w:p>
        </w:tc>
        <w:tc>
          <w:tcPr>
            <w:tcW w:w="1594" w:type="dxa"/>
            <w:vAlign w:val="center"/>
          </w:tcPr>
          <w:p w14:paraId="58294226"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20.0</w:t>
            </w:r>
          </w:p>
        </w:tc>
        <w:tc>
          <w:tcPr>
            <w:tcW w:w="1595" w:type="dxa"/>
            <w:vAlign w:val="center"/>
          </w:tcPr>
          <w:p w14:paraId="41DB9860"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13.2</w:t>
            </w:r>
          </w:p>
        </w:tc>
        <w:tc>
          <w:tcPr>
            <w:tcW w:w="1595" w:type="dxa"/>
            <w:vAlign w:val="center"/>
          </w:tcPr>
          <w:p w14:paraId="20717C49"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7.65</w:t>
            </w:r>
          </w:p>
        </w:tc>
        <w:tc>
          <w:tcPr>
            <w:tcW w:w="1595" w:type="dxa"/>
            <w:vAlign w:val="center"/>
          </w:tcPr>
          <w:p w14:paraId="3CB9B517"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4.87</w:t>
            </w:r>
          </w:p>
        </w:tc>
      </w:tr>
    </w:tbl>
    <w:p w14:paraId="2F841FA8" w14:textId="77777777" w:rsidR="00342321" w:rsidRPr="00BC31E0" w:rsidRDefault="00342321" w:rsidP="00342321">
      <w:pPr>
        <w:snapToGrid w:val="0"/>
        <w:spacing w:before="60" w:line="320" w:lineRule="atLeast"/>
        <w:ind w:left="1275" w:hanging="595"/>
        <w:jc w:val="left"/>
        <w:rPr>
          <w:rFonts w:hAnsi="ＭＳ 明朝"/>
          <w:szCs w:val="20"/>
        </w:rPr>
      </w:pPr>
      <w:r w:rsidRPr="00BC31E0">
        <w:rPr>
          <w:rFonts w:ascii="ＭＳ ゴシック" w:eastAsia="ＭＳ ゴシック" w:hAnsi="ＭＳ ゴシック" w:hint="eastAsia"/>
          <w:b/>
          <w:szCs w:val="20"/>
        </w:rPr>
        <w:t>注記</w:t>
      </w:r>
      <w:r w:rsidRPr="00BC31E0">
        <w:rPr>
          <w:rFonts w:ascii="ＭＳ 明朝" w:hAnsi="ＭＳ 明朝" w:hint="eastAsia"/>
          <w:szCs w:val="20"/>
        </w:rPr>
        <w:t xml:space="preserve">　</w:t>
      </w:r>
      <w:r w:rsidRPr="00BC31E0">
        <w:rPr>
          <w:rFonts w:hAnsi="ＭＳ 明朝"/>
          <w:szCs w:val="20"/>
        </w:rPr>
        <w:t>中間の</w:t>
      </w:r>
      <w:r w:rsidRPr="00BC31E0">
        <w:rPr>
          <w:rFonts w:hAnsi="ＭＳ 明朝" w:hint="eastAsia"/>
          <w:szCs w:val="20"/>
        </w:rPr>
        <w:t>内外径比</w:t>
      </w:r>
      <m:oMath>
        <m:r>
          <m:rPr>
            <m:sty m:val="p"/>
          </m:rPr>
          <w:rPr>
            <w:rFonts w:ascii="Cambria Math" w:hAnsi="Cambria Math"/>
            <w:szCs w:val="20"/>
          </w:rPr>
          <m:t xml:space="preserve"> </m:t>
        </m:r>
        <m:r>
          <w:rPr>
            <w:rFonts w:ascii="Cambria Math" w:hAnsi="Cambria Math"/>
            <w:szCs w:val="20"/>
          </w:rPr>
          <m:t>Y</m:t>
        </m:r>
        <m:r>
          <m:rPr>
            <m:sty m:val="p"/>
          </m:rPr>
          <w:rPr>
            <w:rFonts w:ascii="Cambria Math" w:hAnsi="Cambria Math"/>
            <w:szCs w:val="20"/>
          </w:rPr>
          <m:t xml:space="preserve"> </m:t>
        </m:r>
      </m:oMath>
      <w:r w:rsidRPr="00BC31E0">
        <w:rPr>
          <w:rFonts w:hAnsi="ＭＳ 明朝"/>
          <w:szCs w:val="20"/>
        </w:rPr>
        <w:t>の値及び</w:t>
      </w:r>
      <m:oMath>
        <m:f>
          <m:fPr>
            <m:type m:val="lin"/>
            <m:ctrlPr>
              <w:rPr>
                <w:rFonts w:ascii="Cambria Math" w:hAnsi="Cambria Math"/>
                <w:i/>
                <w:szCs w:val="20"/>
              </w:rPr>
            </m:ctrlPr>
          </m:fPr>
          <m:num>
            <m:r>
              <w:rPr>
                <w:rFonts w:ascii="Cambria Math" w:hAnsi="Cambria Math"/>
                <w:szCs w:val="20"/>
              </w:rPr>
              <m:t xml:space="preserve"> a</m:t>
            </m:r>
          </m:num>
          <m:den>
            <m:r>
              <w:rPr>
                <w:rFonts w:ascii="Cambria Math" w:hAnsi="Cambria Math"/>
                <w:szCs w:val="20"/>
              </w:rPr>
              <m:t xml:space="preserve">l </m:t>
            </m:r>
          </m:den>
        </m:f>
      </m:oMath>
      <w:r w:rsidRPr="00BC31E0">
        <w:rPr>
          <w:rFonts w:hAnsi="ＭＳ 明朝"/>
          <w:szCs w:val="20"/>
        </w:rPr>
        <w:t>の値に対しては，線形補間</w:t>
      </w:r>
      <w:r w:rsidRPr="00BC31E0">
        <w:rPr>
          <w:rFonts w:hAnsi="ＭＳ 明朝" w:hint="eastAsia"/>
          <w:szCs w:val="20"/>
        </w:rPr>
        <w:t>により</w:t>
      </w:r>
      <w:r w:rsidRPr="00BC31E0">
        <w:rPr>
          <w:rFonts w:ascii="Times New Roman" w:hAnsi="Times New Roman"/>
          <w:i/>
          <w:szCs w:val="20"/>
        </w:rPr>
        <w:t>a</w:t>
      </w:r>
      <w:r w:rsidRPr="00BC31E0">
        <w:rPr>
          <w:rFonts w:hAnsi="ＭＳ 明朝"/>
          <w:szCs w:val="20"/>
        </w:rPr>
        <w:t>を求める。</w:t>
      </w:r>
    </w:p>
    <w:p w14:paraId="7ABF315E" w14:textId="77777777" w:rsidR="00342321" w:rsidRPr="00BC31E0" w:rsidRDefault="00342321" w:rsidP="00342321">
      <w:pPr>
        <w:snapToGrid w:val="0"/>
        <w:spacing w:line="320" w:lineRule="atLeast"/>
        <w:ind w:left="1275" w:hanging="595"/>
        <w:jc w:val="left"/>
        <w:rPr>
          <w:rFonts w:ascii="ＭＳ ゴシック" w:eastAsia="ＭＳ ゴシック" w:hAnsi="ＭＳ ゴシック"/>
          <w:b/>
          <w:szCs w:val="20"/>
        </w:rPr>
      </w:pPr>
      <w:r w:rsidRPr="00BC31E0">
        <w:rPr>
          <w:rFonts w:ascii="ＭＳ ゴシック" w:eastAsia="ＭＳ ゴシック" w:hAnsi="ＭＳ ゴシック" w:hint="eastAsia"/>
          <w:b/>
          <w:szCs w:val="20"/>
        </w:rPr>
        <w:t>注</w:t>
      </w:r>
      <w:r w:rsidRPr="00BC31E0">
        <w:rPr>
          <w:rFonts w:ascii="ＭＳ ゴシック" w:eastAsia="ＭＳ ゴシック" w:hAnsi="ＭＳ ゴシック" w:hint="eastAsia"/>
          <w:b/>
          <w:szCs w:val="20"/>
          <w:vertAlign w:val="superscript"/>
        </w:rPr>
        <w:t>a)</w:t>
      </w:r>
      <w:r w:rsidRPr="00BC31E0">
        <w:rPr>
          <w:rFonts w:ascii="ＭＳ 明朝" w:hAnsi="ＭＳ 明朝" w:hint="eastAsia"/>
          <w:szCs w:val="20"/>
        </w:rPr>
        <w:t xml:space="preserve">　</w:t>
      </w:r>
      <w:r w:rsidRPr="00BC31E0">
        <w:rPr>
          <w:szCs w:val="20"/>
        </w:rPr>
        <w:t>使用者設計仕様書</w:t>
      </w:r>
      <w:r w:rsidRPr="00BC31E0">
        <w:rPr>
          <w:rFonts w:hint="eastAsia"/>
          <w:szCs w:val="20"/>
        </w:rPr>
        <w:t>に</w:t>
      </w:r>
      <w:r w:rsidRPr="00BC31E0">
        <w:rPr>
          <w:rFonts w:ascii="ＭＳ ゴシック" w:eastAsia="ＭＳ ゴシック" w:hAnsi="ＭＳ ゴシック" w:hint="eastAsia"/>
          <w:b/>
          <w:szCs w:val="20"/>
        </w:rPr>
        <w:t>表5.2.2</w:t>
      </w:r>
      <w:r w:rsidRPr="00BC31E0">
        <w:rPr>
          <w:rFonts w:hint="eastAsia"/>
          <w:szCs w:val="20"/>
        </w:rPr>
        <w:t>よりも高い</w:t>
      </w:r>
      <w:r w:rsidRPr="00BC31E0">
        <w:rPr>
          <w:szCs w:val="20"/>
        </w:rPr>
        <w:t>要求シャルピー</w:t>
      </w:r>
      <w:r w:rsidRPr="00BC31E0">
        <w:rPr>
          <w:rFonts w:hint="eastAsia"/>
          <w:szCs w:val="20"/>
        </w:rPr>
        <w:t>衝撃</w:t>
      </w:r>
      <w:r w:rsidRPr="00BC31E0">
        <w:rPr>
          <w:szCs w:val="20"/>
        </w:rPr>
        <w:t>吸収エネルギー</w:t>
      </w:r>
      <w:r w:rsidRPr="00BC31E0">
        <w:rPr>
          <w:rFonts w:hint="eastAsia"/>
          <w:szCs w:val="20"/>
        </w:rPr>
        <w:t>が規定されている場合には，</w:t>
      </w:r>
      <w:r w:rsidRPr="00BC31E0">
        <w:rPr>
          <w:rFonts w:ascii="ＭＳ ゴシック" w:eastAsia="ＭＳ ゴシック" w:hAnsi="ＭＳ ゴシック" w:hint="eastAsia"/>
          <w:b/>
          <w:szCs w:val="20"/>
        </w:rPr>
        <w:t>9.3.6 c) 2) 2.3)</w:t>
      </w:r>
      <w:r w:rsidRPr="00BC31E0">
        <w:rPr>
          <w:rFonts w:hint="eastAsia"/>
          <w:szCs w:val="20"/>
        </w:rPr>
        <w:t>に</w:t>
      </w:r>
      <w:r w:rsidRPr="00BC31E0">
        <w:rPr>
          <w:szCs w:val="20"/>
        </w:rPr>
        <w:t>より</w:t>
      </w:r>
      <w:r w:rsidRPr="00BC31E0">
        <w:rPr>
          <w:rFonts w:hint="eastAsia"/>
          <w:szCs w:val="20"/>
        </w:rPr>
        <w:t>製作者が許容きず寸法を算出</w:t>
      </w:r>
      <w:r w:rsidR="00AC344B" w:rsidRPr="00BC31E0">
        <w:rPr>
          <w:rFonts w:hint="eastAsia"/>
          <w:szCs w:val="20"/>
        </w:rPr>
        <w:t>してもよい</w:t>
      </w:r>
      <w:r w:rsidRPr="00BC31E0">
        <w:rPr>
          <w:rFonts w:hint="eastAsia"/>
          <w:szCs w:val="20"/>
        </w:rPr>
        <w:t>。</w:t>
      </w:r>
    </w:p>
    <w:p w14:paraId="13D5CBFA" w14:textId="77777777" w:rsidR="00342321" w:rsidRPr="00BC31E0" w:rsidRDefault="00342321" w:rsidP="00342321">
      <w:pPr>
        <w:jc w:val="center"/>
        <w:rPr>
          <w:rFonts w:ascii="ＭＳ ゴシック" w:eastAsia="ＭＳ ゴシック" w:hAnsi="ＭＳ ゴシック"/>
          <w:b/>
          <w:szCs w:val="20"/>
        </w:rPr>
      </w:pPr>
      <w:r w:rsidRPr="00BC31E0">
        <w:rPr>
          <w:rFonts w:ascii="ＭＳ ゴシック" w:eastAsia="ＭＳ ゴシック" w:hAnsi="ＭＳ ゴシック" w:hint="eastAsia"/>
          <w:b/>
          <w:szCs w:val="20"/>
        </w:rPr>
        <w:lastRenderedPageBreak/>
        <w:t>表9.3.14　内部きずの許容きず寸法 (</w:t>
      </w:r>
      <m:oMath>
        <m:r>
          <m:rPr>
            <m:sty m:val="bi"/>
          </m:rPr>
          <w:rPr>
            <w:rFonts w:ascii="Cambria Math" w:eastAsia="ＭＳ ゴシック" w:hAnsi="Cambria Math"/>
            <w:sz w:val="22"/>
            <w:szCs w:val="22"/>
          </w:rPr>
          <m:t>570</m:t>
        </m:r>
        <m:r>
          <w:rPr>
            <w:rFonts w:ascii="Cambria Math" w:eastAsia="ＭＳ ゴシック" w:hAnsi="Cambria Math"/>
            <w:sz w:val="22"/>
            <w:szCs w:val="22"/>
          </w:rPr>
          <m:t>&lt;</m:t>
        </m:r>
        <m:sSub>
          <m:sSubPr>
            <m:ctrlPr>
              <w:rPr>
                <w:rFonts w:ascii="Cambria Math" w:eastAsia="ＭＳ ゴシック" w:hAnsi="Cambria Math"/>
                <w:b/>
                <w:i/>
                <w:sz w:val="22"/>
                <w:szCs w:val="22"/>
              </w:rPr>
            </m:ctrlPr>
          </m:sSubPr>
          <m:e>
            <m:r>
              <m:rPr>
                <m:sty m:val="bi"/>
              </m:rPr>
              <w:rPr>
                <w:rFonts w:ascii="Cambria Math" w:eastAsia="ＭＳ ゴシック" w:hAnsi="Cambria Math"/>
                <w:sz w:val="22"/>
                <w:szCs w:val="22"/>
              </w:rPr>
              <m:t>S</m:t>
            </m:r>
          </m:e>
          <m:sub>
            <m:r>
              <m:rPr>
                <m:sty m:val="bi"/>
              </m:rPr>
              <w:rPr>
                <w:rFonts w:ascii="Cambria Math" w:eastAsia="ＭＳ ゴシック" w:hAnsi="Cambria Math"/>
                <w:sz w:val="22"/>
                <w:szCs w:val="22"/>
                <w:vertAlign w:val="subscript"/>
              </w:rPr>
              <m:t>y</m:t>
            </m:r>
          </m:sub>
        </m:sSub>
        <m:r>
          <m:rPr>
            <m:sty m:val="bi"/>
          </m:rPr>
          <w:rPr>
            <w:rFonts w:ascii="Cambria Math" w:eastAsia="ＭＳ ゴシック" w:hAnsi="Cambria Math"/>
            <w:sz w:val="22"/>
            <w:szCs w:val="22"/>
          </w:rPr>
          <m:t>≦690</m:t>
        </m:r>
        <m:r>
          <m:rPr>
            <m:sty m:val="b"/>
          </m:rPr>
          <w:rPr>
            <w:rFonts w:ascii="Cambria Math" w:eastAsia="ＭＳ ゴシック" w:hAnsi="Cambria Math"/>
            <w:sz w:val="22"/>
            <w:szCs w:val="22"/>
          </w:rPr>
          <m:t xml:space="preserve"> MPa</m:t>
        </m:r>
      </m:oMath>
      <w:r w:rsidRPr="00BC31E0">
        <w:rPr>
          <w:rFonts w:ascii="ＭＳ ゴシック" w:eastAsia="ＭＳ ゴシック" w:hAnsi="ＭＳ ゴシック" w:hint="eastAsia"/>
          <w:b/>
          <w:szCs w:val="20"/>
        </w:rPr>
        <w:t>，溶接後熱処理あり)</w:t>
      </w:r>
    </w:p>
    <w:tbl>
      <w:tblPr>
        <w:tblW w:w="0" w:type="auto"/>
        <w:tblInd w:w="1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4"/>
      </w:tblGrid>
      <w:tr w:rsidR="00342321" w:rsidRPr="00BC31E0" w14:paraId="4DF55285" w14:textId="77777777" w:rsidTr="004736F2">
        <w:tc>
          <w:tcPr>
            <w:tcW w:w="5324" w:type="dxa"/>
          </w:tcPr>
          <w:p w14:paraId="0BFEEDCC" w14:textId="77777777" w:rsidR="00342321" w:rsidRPr="00BC31E0" w:rsidRDefault="00342321" w:rsidP="004736F2">
            <w:pPr>
              <w:snapToGrid w:val="0"/>
              <w:spacing w:line="320" w:lineRule="atLeast"/>
              <w:jc w:val="center"/>
              <w:rPr>
                <w:rFonts w:cs="Tahoma"/>
                <w:i/>
                <w:szCs w:val="20"/>
              </w:rPr>
            </w:pPr>
            <m:oMathPara>
              <m:oMath>
                <m:r>
                  <w:rPr>
                    <w:rFonts w:ascii="Cambria Math" w:hAnsi="Cambria Math" w:hint="eastAsia"/>
                    <w:szCs w:val="20"/>
                  </w:rPr>
                  <m:t>13</m:t>
                </m:r>
                <m:r>
                  <w:rPr>
                    <w:rFonts w:ascii="Cambria Math" w:hAnsi="Cambria Math"/>
                    <w:szCs w:val="20"/>
                  </w:rPr>
                  <m:t>≦t&lt;</m:t>
                </m:r>
                <m:r>
                  <w:rPr>
                    <w:rFonts w:ascii="Cambria Math" w:hAnsi="Cambria Math" w:hint="eastAsia"/>
                    <w:szCs w:val="20"/>
                  </w:rPr>
                  <m:t>25</m:t>
                </m:r>
                <m:r>
                  <m:rPr>
                    <m:sty m:val="p"/>
                  </m:rPr>
                  <w:rPr>
                    <w:rFonts w:ascii="Cambria Math" w:hAnsi="Cambria Math" w:hint="eastAsia"/>
                    <w:szCs w:val="20"/>
                  </w:rPr>
                  <m:t xml:space="preserve"> mm</m:t>
                </m:r>
              </m:oMath>
            </m:oMathPara>
          </w:p>
        </w:tc>
      </w:tr>
      <w:tr w:rsidR="00342321" w:rsidRPr="00BC31E0" w14:paraId="57F1F640" w14:textId="77777777" w:rsidTr="004736F2">
        <w:tc>
          <w:tcPr>
            <w:tcW w:w="5324" w:type="dxa"/>
          </w:tcPr>
          <w:p w14:paraId="576BA6FC" w14:textId="77777777" w:rsidR="00342321" w:rsidRPr="00BC31E0" w:rsidRDefault="00A51873" w:rsidP="004736F2">
            <w:pPr>
              <w:snapToGrid w:val="0"/>
              <w:spacing w:line="320" w:lineRule="atLeast"/>
              <w:jc w:val="center"/>
            </w:pPr>
            <m:oMath>
              <m:f>
                <m:fPr>
                  <m:type m:val="lin"/>
                  <m:ctrlPr>
                    <w:rPr>
                      <w:rFonts w:ascii="Cambria Math" w:hAnsi="Cambria Math"/>
                      <w:i/>
                    </w:rPr>
                  </m:ctrlPr>
                </m:fPr>
                <m:num>
                  <m:r>
                    <w:rPr>
                      <w:rFonts w:ascii="Cambria Math" w:hAnsi="Cambria Math"/>
                    </w:rPr>
                    <m:t>a</m:t>
                  </m:r>
                </m:num>
                <m:den>
                  <m:r>
                    <w:rPr>
                      <w:rFonts w:ascii="Cambria Math" w:hAnsi="Cambria Math"/>
                    </w:rPr>
                    <m:t>t</m:t>
                  </m:r>
                </m:den>
              </m:f>
              <m:r>
                <w:rPr>
                  <w:rFonts w:ascii="Cambria Math" w:hAnsi="Cambria Math"/>
                </w:rPr>
                <m:t xml:space="preserve"> ≦</m:t>
              </m:r>
              <m:r>
                <w:rPr>
                  <w:rFonts w:ascii="Cambria Math" w:hAnsi="Cambria Math" w:hint="eastAsia"/>
                </w:rPr>
                <m:t>0.109</m:t>
              </m:r>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vertAlign w:val="subscript"/>
                    </w:rPr>
                    <m:t>a</m:t>
                  </m:r>
                </m:sub>
              </m:sSub>
            </m:oMath>
            <w:r w:rsidR="00342321" w:rsidRPr="00BC31E0">
              <w:rPr>
                <w:rFonts w:hAnsi="ＭＳ 明朝"/>
              </w:rPr>
              <w:t xml:space="preserve">　</w:t>
            </w:r>
            <w:r w:rsidR="00342321" w:rsidRPr="00BC31E0">
              <w:rPr>
                <w:rFonts w:hAnsi="ＭＳ 明朝" w:hint="eastAsia"/>
              </w:rPr>
              <w:t>及</w:t>
            </w:r>
            <w:r w:rsidR="00342321" w:rsidRPr="00BC31E0">
              <w:rPr>
                <w:rFonts w:hAnsi="ＭＳ 明朝"/>
              </w:rPr>
              <w:t xml:space="preserve">び　</w:t>
            </w:r>
            <m:oMath>
              <m:r>
                <w:rPr>
                  <w:rFonts w:ascii="Cambria Math" w:hAnsi="Cambria Math"/>
                </w:rPr>
                <m:t>l</m:t>
              </m:r>
              <m:r>
                <w:rPr>
                  <w:rFonts w:ascii="Cambria Math" w:hAnsi="Cambria Math" w:hint="eastAsia"/>
                </w:rPr>
                <m:t xml:space="preserve"> </m:t>
              </m:r>
              <m:r>
                <w:rPr>
                  <w:rFonts w:ascii="Cambria Math" w:hAnsi="Cambria Math"/>
                </w:rPr>
                <m:t>≦</m:t>
              </m:r>
              <m:r>
                <w:rPr>
                  <w:rFonts w:ascii="Cambria Math" w:hAnsi="Cambria Math" w:hint="eastAsia"/>
                </w:rPr>
                <m:t>6.4</m:t>
              </m:r>
              <m:r>
                <m:rPr>
                  <m:sty m:val="p"/>
                </m:rPr>
                <w:rPr>
                  <w:rFonts w:ascii="Cambria Math" w:hAnsi="Cambria Math"/>
                </w:rPr>
                <m:t xml:space="preserve"> mm</m:t>
              </m:r>
            </m:oMath>
          </w:p>
        </w:tc>
      </w:tr>
    </w:tbl>
    <w:p w14:paraId="7880D3E2" w14:textId="77777777" w:rsidR="00CA187B" w:rsidRPr="00BC31E0" w:rsidRDefault="00CA187B" w:rsidP="00CA187B">
      <w:pPr>
        <w:spacing w:line="180" w:lineRule="exact"/>
        <w:rPr>
          <w:rFonts w:ascii="ＭＳ ゴシック" w:eastAsia="ＭＳ ゴシック" w:hAnsi="ＭＳ ゴシック"/>
          <w:b/>
          <w:szCs w:val="20"/>
        </w:rPr>
      </w:pPr>
    </w:p>
    <w:p w14:paraId="014D6EC1" w14:textId="77777777" w:rsidR="00342321" w:rsidRPr="00BC31E0" w:rsidRDefault="00342321" w:rsidP="00CA187B">
      <w:pPr>
        <w:jc w:val="center"/>
        <w:rPr>
          <w:szCs w:val="20"/>
        </w:rPr>
      </w:pPr>
      <w:r w:rsidRPr="00BC31E0">
        <w:rPr>
          <w:rFonts w:ascii="ＭＳ ゴシック" w:eastAsia="ＭＳ ゴシック" w:hAnsi="ＭＳ ゴシック" w:hint="eastAsia"/>
          <w:b/>
          <w:szCs w:val="20"/>
        </w:rPr>
        <w:t>表9.3.15　内部きずの許容きず寸法 (</w:t>
      </w:r>
      <m:oMath>
        <m:r>
          <m:rPr>
            <m:sty m:val="bi"/>
          </m:rPr>
          <w:rPr>
            <w:rFonts w:ascii="Cambria Math" w:eastAsia="ＭＳ ゴシック" w:hAnsi="Cambria Math"/>
            <w:sz w:val="22"/>
            <w:szCs w:val="22"/>
          </w:rPr>
          <m:t>570</m:t>
        </m:r>
        <m:r>
          <w:rPr>
            <w:rFonts w:ascii="Cambria Math" w:eastAsia="ＭＳ ゴシック" w:hAnsi="Cambria Math"/>
            <w:sz w:val="22"/>
            <w:szCs w:val="22"/>
          </w:rPr>
          <m:t>&lt;</m:t>
        </m:r>
        <m:sSub>
          <m:sSubPr>
            <m:ctrlPr>
              <w:rPr>
                <w:rFonts w:ascii="Cambria Math" w:eastAsia="ＭＳ ゴシック" w:hAnsi="Cambria Math"/>
                <w:b/>
                <w:i/>
                <w:sz w:val="22"/>
                <w:szCs w:val="22"/>
              </w:rPr>
            </m:ctrlPr>
          </m:sSubPr>
          <m:e>
            <m:r>
              <m:rPr>
                <m:sty m:val="bi"/>
              </m:rPr>
              <w:rPr>
                <w:rFonts w:ascii="Cambria Math" w:eastAsia="ＭＳ ゴシック" w:hAnsi="Cambria Math"/>
                <w:sz w:val="22"/>
                <w:szCs w:val="22"/>
              </w:rPr>
              <m:t>S</m:t>
            </m:r>
          </m:e>
          <m:sub>
            <m:r>
              <m:rPr>
                <m:sty m:val="bi"/>
              </m:rPr>
              <w:rPr>
                <w:rFonts w:ascii="Cambria Math" w:eastAsia="ＭＳ ゴシック" w:hAnsi="Cambria Math"/>
                <w:sz w:val="22"/>
                <w:szCs w:val="22"/>
                <w:vertAlign w:val="subscript"/>
              </w:rPr>
              <m:t>y</m:t>
            </m:r>
          </m:sub>
        </m:sSub>
        <m:r>
          <m:rPr>
            <m:sty m:val="bi"/>
          </m:rPr>
          <w:rPr>
            <w:rFonts w:ascii="Cambria Math" w:eastAsia="ＭＳ ゴシック" w:hAnsi="Cambria Math"/>
            <w:sz w:val="22"/>
            <w:szCs w:val="22"/>
          </w:rPr>
          <m:t>≦690</m:t>
        </m:r>
        <m:r>
          <m:rPr>
            <m:sty m:val="b"/>
          </m:rPr>
          <w:rPr>
            <w:rFonts w:ascii="Cambria Math" w:eastAsia="ＭＳ ゴシック" w:hAnsi="Cambria Math"/>
            <w:sz w:val="22"/>
            <w:szCs w:val="22"/>
          </w:rPr>
          <m:t xml:space="preserve"> MPa</m:t>
        </m:r>
      </m:oMath>
      <w:r w:rsidRPr="00BC31E0">
        <w:rPr>
          <w:rFonts w:ascii="ＭＳ ゴシック" w:eastAsia="ＭＳ ゴシック" w:hAnsi="ＭＳ ゴシック" w:hint="eastAsia"/>
          <w:b/>
          <w:szCs w:val="20"/>
        </w:rPr>
        <w:t>，溶接後熱処理あり)</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772"/>
        <w:gridCol w:w="1772"/>
        <w:gridCol w:w="1772"/>
        <w:gridCol w:w="1772"/>
      </w:tblGrid>
      <w:tr w:rsidR="00342321" w:rsidRPr="00BC31E0" w14:paraId="6FF2585F" w14:textId="77777777" w:rsidTr="004736F2">
        <w:trPr>
          <w:jc w:val="center"/>
        </w:trPr>
        <w:tc>
          <w:tcPr>
            <w:tcW w:w="992" w:type="dxa"/>
            <w:vMerge w:val="restart"/>
            <w:vAlign w:val="center"/>
          </w:tcPr>
          <w:p w14:paraId="129E9A16" w14:textId="77777777" w:rsidR="00342321" w:rsidRPr="00BC31E0" w:rsidRDefault="00A51873" w:rsidP="004736F2">
            <w:pPr>
              <w:snapToGrid w:val="0"/>
              <w:spacing w:line="300" w:lineRule="atLeast"/>
              <w:jc w:val="center"/>
              <w:rPr>
                <w:rFonts w:ascii="Times New Roman" w:hAnsi="Times New Roman"/>
                <w:i/>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l</m:t>
                    </m:r>
                  </m:den>
                </m:f>
              </m:oMath>
            </m:oMathPara>
          </w:p>
        </w:tc>
        <w:tc>
          <w:tcPr>
            <w:tcW w:w="7088" w:type="dxa"/>
            <w:gridSpan w:val="4"/>
            <w:vAlign w:val="center"/>
          </w:tcPr>
          <w:p w14:paraId="698A0BC4" w14:textId="77777777" w:rsidR="00342321" w:rsidRPr="00BC31E0" w:rsidRDefault="00342321" w:rsidP="004736F2">
            <w:pPr>
              <w:snapToGrid w:val="0"/>
              <w:spacing w:line="300" w:lineRule="atLeast"/>
              <w:jc w:val="center"/>
              <w:rPr>
                <w:rFonts w:ascii="Times New Roman" w:hAnsi="Times New Roman"/>
                <w:szCs w:val="20"/>
              </w:rPr>
            </w:pPr>
            <m:oMathPara>
              <m:oMath>
                <m:r>
                  <w:rPr>
                    <w:rFonts w:ascii="Cambria Math" w:hAnsi="Cambria Math" w:hint="eastAsia"/>
                    <w:szCs w:val="20"/>
                  </w:rPr>
                  <m:t>25</m:t>
                </m:r>
                <m:r>
                  <w:rPr>
                    <w:rFonts w:ascii="Cambria Math" w:hAnsi="Cambria Math"/>
                    <w:szCs w:val="20"/>
                  </w:rPr>
                  <m:t>≦t≦</m:t>
                </m:r>
                <m:r>
                  <w:rPr>
                    <w:rFonts w:ascii="Cambria Math" w:hAnsi="Cambria Math" w:hint="eastAsia"/>
                    <w:szCs w:val="20"/>
                  </w:rPr>
                  <m:t xml:space="preserve">300 </m:t>
                </m:r>
                <m:r>
                  <m:rPr>
                    <m:sty m:val="p"/>
                  </m:rPr>
                  <w:rPr>
                    <w:rFonts w:ascii="Cambria Math" w:hAnsi="Cambria Math" w:hint="eastAsia"/>
                    <w:szCs w:val="20"/>
                  </w:rPr>
                  <m:t>mm</m:t>
                </m:r>
              </m:oMath>
            </m:oMathPara>
          </w:p>
        </w:tc>
      </w:tr>
      <w:tr w:rsidR="00342321" w:rsidRPr="00BC31E0" w14:paraId="3FF72926" w14:textId="77777777" w:rsidTr="004736F2">
        <w:trPr>
          <w:jc w:val="center"/>
        </w:trPr>
        <w:tc>
          <w:tcPr>
            <w:tcW w:w="992" w:type="dxa"/>
            <w:vMerge/>
            <w:vAlign w:val="center"/>
          </w:tcPr>
          <w:p w14:paraId="3F3527E7" w14:textId="77777777" w:rsidR="00342321" w:rsidRPr="00BC31E0" w:rsidRDefault="00342321" w:rsidP="004736F2">
            <w:pPr>
              <w:snapToGrid w:val="0"/>
              <w:spacing w:line="300" w:lineRule="atLeast"/>
              <w:jc w:val="center"/>
              <w:rPr>
                <w:rFonts w:ascii="Times New Roman" w:hAnsi="Times New Roman"/>
                <w:i/>
                <w:szCs w:val="20"/>
              </w:rPr>
            </w:pPr>
          </w:p>
        </w:tc>
        <w:tc>
          <w:tcPr>
            <w:tcW w:w="1772" w:type="dxa"/>
            <w:vAlign w:val="center"/>
          </w:tcPr>
          <w:p w14:paraId="75489844" w14:textId="77777777" w:rsidR="00342321" w:rsidRPr="00BC31E0" w:rsidRDefault="00342321" w:rsidP="004736F2">
            <w:pPr>
              <w:snapToGrid w:val="0"/>
              <w:spacing w:line="300" w:lineRule="atLeast"/>
              <w:jc w:val="center"/>
              <w:rPr>
                <w:szCs w:val="20"/>
              </w:rPr>
            </w:pPr>
            <m:oMathPara>
              <m:oMath>
                <m:r>
                  <w:rPr>
                    <w:rFonts w:ascii="Cambria Math" w:hAnsi="Cambria Math"/>
                    <w:szCs w:val="20"/>
                  </w:rPr>
                  <m:t>Y=</m:t>
                </m:r>
                <m:r>
                  <w:rPr>
                    <w:rFonts w:ascii="Cambria Math" w:hAnsi="Cambria Math" w:hint="eastAsia"/>
                    <w:szCs w:val="20"/>
                  </w:rPr>
                  <m:t>1.2</m:t>
                </m:r>
              </m:oMath>
            </m:oMathPara>
          </w:p>
        </w:tc>
        <w:tc>
          <w:tcPr>
            <w:tcW w:w="1772" w:type="dxa"/>
            <w:vAlign w:val="center"/>
          </w:tcPr>
          <w:p w14:paraId="7D065040" w14:textId="77777777" w:rsidR="00342321" w:rsidRPr="00BC31E0" w:rsidRDefault="00342321" w:rsidP="004736F2">
            <w:pPr>
              <w:snapToGrid w:val="0"/>
              <w:spacing w:line="300" w:lineRule="atLeast"/>
              <w:jc w:val="center"/>
              <w:rPr>
                <w:szCs w:val="20"/>
              </w:rPr>
            </w:pPr>
            <m:oMathPara>
              <m:oMath>
                <m:r>
                  <w:rPr>
                    <w:rFonts w:ascii="Cambria Math" w:hAnsi="Cambria Math"/>
                    <w:szCs w:val="20"/>
                  </w:rPr>
                  <m:t>Y=</m:t>
                </m:r>
                <m:r>
                  <w:rPr>
                    <w:rFonts w:ascii="Cambria Math" w:hAnsi="Cambria Math" w:hint="eastAsia"/>
                    <w:szCs w:val="20"/>
                  </w:rPr>
                  <m:t>1.5</m:t>
                </m:r>
              </m:oMath>
            </m:oMathPara>
          </w:p>
        </w:tc>
        <w:tc>
          <w:tcPr>
            <w:tcW w:w="1772" w:type="dxa"/>
            <w:vAlign w:val="center"/>
          </w:tcPr>
          <w:p w14:paraId="7641A8A6" w14:textId="77777777" w:rsidR="00342321" w:rsidRPr="00BC31E0" w:rsidRDefault="00342321" w:rsidP="004736F2">
            <w:pPr>
              <w:snapToGrid w:val="0"/>
              <w:spacing w:line="300" w:lineRule="atLeast"/>
              <w:jc w:val="center"/>
              <w:rPr>
                <w:szCs w:val="20"/>
              </w:rPr>
            </w:pPr>
            <m:oMathPara>
              <m:oMath>
                <m:r>
                  <w:rPr>
                    <w:rFonts w:ascii="Cambria Math" w:hAnsi="Cambria Math"/>
                    <w:szCs w:val="20"/>
                  </w:rPr>
                  <m:t>Y=</m:t>
                </m:r>
                <m:r>
                  <w:rPr>
                    <w:rFonts w:ascii="Cambria Math" w:hAnsi="Cambria Math" w:hint="eastAsia"/>
                    <w:szCs w:val="20"/>
                  </w:rPr>
                  <m:t>2.0</m:t>
                </m:r>
              </m:oMath>
            </m:oMathPara>
          </w:p>
        </w:tc>
        <w:tc>
          <w:tcPr>
            <w:tcW w:w="1772" w:type="dxa"/>
            <w:vAlign w:val="center"/>
          </w:tcPr>
          <w:p w14:paraId="4FEFDCD1" w14:textId="77777777" w:rsidR="00342321" w:rsidRPr="00BC31E0" w:rsidRDefault="00342321" w:rsidP="004736F2">
            <w:pPr>
              <w:snapToGrid w:val="0"/>
              <w:spacing w:line="300" w:lineRule="atLeast"/>
              <w:jc w:val="center"/>
              <w:rPr>
                <w:szCs w:val="20"/>
              </w:rPr>
            </w:pPr>
            <m:oMathPara>
              <m:oMath>
                <m:r>
                  <w:rPr>
                    <w:rFonts w:ascii="Cambria Math" w:hAnsi="Cambria Math"/>
                    <w:szCs w:val="20"/>
                  </w:rPr>
                  <m:t>Y=</m:t>
                </m:r>
                <m:r>
                  <w:rPr>
                    <w:rFonts w:ascii="Cambria Math" w:hAnsi="Cambria Math" w:hint="eastAsia"/>
                    <w:szCs w:val="20"/>
                  </w:rPr>
                  <m:t>2.5</m:t>
                </m:r>
              </m:oMath>
            </m:oMathPara>
          </w:p>
        </w:tc>
      </w:tr>
      <w:tr w:rsidR="00342321" w:rsidRPr="00BC31E0" w14:paraId="41E5BE5F" w14:textId="77777777" w:rsidTr="004736F2">
        <w:trPr>
          <w:jc w:val="center"/>
        </w:trPr>
        <w:tc>
          <w:tcPr>
            <w:tcW w:w="992" w:type="dxa"/>
            <w:vMerge/>
            <w:vAlign w:val="center"/>
          </w:tcPr>
          <w:p w14:paraId="07F26DE0" w14:textId="77777777" w:rsidR="00342321" w:rsidRPr="00BC31E0" w:rsidRDefault="00342321" w:rsidP="004736F2">
            <w:pPr>
              <w:snapToGrid w:val="0"/>
              <w:spacing w:line="300" w:lineRule="atLeast"/>
              <w:jc w:val="center"/>
              <w:rPr>
                <w:szCs w:val="20"/>
              </w:rPr>
            </w:pPr>
          </w:p>
        </w:tc>
        <w:tc>
          <w:tcPr>
            <w:tcW w:w="1772" w:type="dxa"/>
            <w:vAlign w:val="center"/>
          </w:tcPr>
          <w:p w14:paraId="7A6DE065" w14:textId="77777777" w:rsidR="00342321" w:rsidRPr="00BC31E0" w:rsidRDefault="00A51873" w:rsidP="004736F2">
            <w:pPr>
              <w:snapToGrid w:val="0"/>
              <w:spacing w:line="300" w:lineRule="atLeast"/>
              <w:jc w:val="center"/>
              <w:rPr>
                <w:rFonts w:ascii="Times New Roman" w:hAnsi="Times New Roman"/>
                <w:i/>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t</m:t>
                    </m:r>
                  </m:den>
                </m:f>
              </m:oMath>
            </m:oMathPara>
          </w:p>
        </w:tc>
        <w:tc>
          <w:tcPr>
            <w:tcW w:w="1772" w:type="dxa"/>
            <w:vAlign w:val="center"/>
          </w:tcPr>
          <w:p w14:paraId="64468178" w14:textId="77777777" w:rsidR="00342321" w:rsidRPr="00BC31E0" w:rsidRDefault="00A51873" w:rsidP="004736F2">
            <w:pPr>
              <w:snapToGrid w:val="0"/>
              <w:spacing w:line="300" w:lineRule="atLeast"/>
              <w:jc w:val="center"/>
              <w:rPr>
                <w:rFonts w:ascii="Times New Roman" w:hAnsi="Times New Roman"/>
                <w:i/>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t</m:t>
                    </m:r>
                  </m:den>
                </m:f>
              </m:oMath>
            </m:oMathPara>
          </w:p>
        </w:tc>
        <w:tc>
          <w:tcPr>
            <w:tcW w:w="1772" w:type="dxa"/>
            <w:vAlign w:val="center"/>
          </w:tcPr>
          <w:p w14:paraId="7FE1BF51" w14:textId="77777777" w:rsidR="00342321" w:rsidRPr="00BC31E0" w:rsidRDefault="00A51873" w:rsidP="004736F2">
            <w:pPr>
              <w:snapToGrid w:val="0"/>
              <w:spacing w:line="300" w:lineRule="atLeast"/>
              <w:jc w:val="center"/>
              <w:rPr>
                <w:rFonts w:ascii="Times New Roman" w:hAnsi="Times New Roman"/>
                <w:i/>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t</m:t>
                    </m:r>
                  </m:den>
                </m:f>
              </m:oMath>
            </m:oMathPara>
          </w:p>
        </w:tc>
        <w:tc>
          <w:tcPr>
            <w:tcW w:w="1772" w:type="dxa"/>
            <w:vAlign w:val="center"/>
          </w:tcPr>
          <w:p w14:paraId="127587C1" w14:textId="77777777" w:rsidR="00342321" w:rsidRPr="00BC31E0" w:rsidRDefault="00A51873" w:rsidP="004736F2">
            <w:pPr>
              <w:snapToGrid w:val="0"/>
              <w:spacing w:line="300" w:lineRule="atLeast"/>
              <w:jc w:val="center"/>
              <w:rPr>
                <w:rFonts w:ascii="Times New Roman" w:hAnsi="Times New Roman"/>
                <w:i/>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t</m:t>
                    </m:r>
                  </m:den>
                </m:f>
              </m:oMath>
            </m:oMathPara>
          </w:p>
        </w:tc>
      </w:tr>
      <w:tr w:rsidR="00342321" w:rsidRPr="00BC31E0" w14:paraId="17B489EC" w14:textId="77777777" w:rsidTr="004736F2">
        <w:trPr>
          <w:jc w:val="center"/>
        </w:trPr>
        <w:tc>
          <w:tcPr>
            <w:tcW w:w="992" w:type="dxa"/>
            <w:vAlign w:val="center"/>
          </w:tcPr>
          <w:p w14:paraId="25C51263"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0.0</w:t>
            </w:r>
          </w:p>
        </w:tc>
        <w:tc>
          <w:tcPr>
            <w:tcW w:w="1772" w:type="dxa"/>
            <w:vAlign w:val="center"/>
          </w:tcPr>
          <w:p w14:paraId="145F2B92"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3.53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 xml:space="preserve">-0.947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772" w:type="dxa"/>
            <w:vAlign w:val="center"/>
          </w:tcPr>
          <w:p w14:paraId="22173E15"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2.96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 xml:space="preserve">-0.997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772" w:type="dxa"/>
            <w:vAlign w:val="center"/>
          </w:tcPr>
          <w:p w14:paraId="70B56E63"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1.94</m:t>
                </m:r>
                <m:sSup>
                  <m:sSupPr>
                    <m:ctrlPr>
                      <w:rPr>
                        <w:rFonts w:ascii="Cambria Math" w:hAnsi="Cambria Math"/>
                        <w:i/>
                        <w:sz w:val="22"/>
                        <w:szCs w:val="22"/>
                      </w:rPr>
                    </m:ctrlPr>
                  </m:sSupPr>
                  <m:e>
                    <m:r>
                      <w:rPr>
                        <w:rFonts w:ascii="Cambria Math" w:hAnsi="Cambria Math"/>
                        <w:sz w:val="22"/>
                        <w:szCs w:val="22"/>
                      </w:rPr>
                      <m:t xml:space="preserve"> t </m:t>
                    </m:r>
                  </m:e>
                  <m:sup>
                    <m:r>
                      <w:rPr>
                        <w:rFonts w:ascii="Cambria Math" w:hAnsi="Cambria Math"/>
                        <w:sz w:val="22"/>
                        <w:szCs w:val="22"/>
                        <w:vertAlign w:val="superscript"/>
                      </w:rPr>
                      <m:t xml:space="preserve">-1.04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772" w:type="dxa"/>
            <w:vAlign w:val="center"/>
          </w:tcPr>
          <w:p w14:paraId="7B58C618"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1.15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 xml:space="preserve">-1.07 </m:t>
                    </m:r>
                  </m:sup>
                </m:sSup>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r>
      <w:tr w:rsidR="00342321" w:rsidRPr="00BC31E0" w14:paraId="56543E60" w14:textId="77777777" w:rsidTr="004736F2">
        <w:trPr>
          <w:jc w:val="center"/>
        </w:trPr>
        <w:tc>
          <w:tcPr>
            <w:tcW w:w="992" w:type="dxa"/>
            <w:vAlign w:val="center"/>
          </w:tcPr>
          <w:p w14:paraId="041BD850"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0.1</w:t>
            </w:r>
          </w:p>
        </w:tc>
        <w:tc>
          <w:tcPr>
            <w:tcW w:w="1772" w:type="dxa"/>
            <w:vAlign w:val="center"/>
          </w:tcPr>
          <w:p w14:paraId="3B4623AB"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3.72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 xml:space="preserve">-0.934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772" w:type="dxa"/>
            <w:vAlign w:val="center"/>
          </w:tcPr>
          <w:p w14:paraId="0CD33037"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3.19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 xml:space="preserve">-0.985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772" w:type="dxa"/>
            <w:vAlign w:val="center"/>
          </w:tcPr>
          <w:p w14:paraId="1CED6056"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2.22</m:t>
                </m:r>
                <m:sSup>
                  <m:sSupPr>
                    <m:ctrlPr>
                      <w:rPr>
                        <w:rFonts w:ascii="Cambria Math" w:hAnsi="Cambria Math"/>
                        <w:i/>
                        <w:sz w:val="22"/>
                        <w:szCs w:val="22"/>
                      </w:rPr>
                    </m:ctrlPr>
                  </m:sSupPr>
                  <m:e>
                    <m:r>
                      <w:rPr>
                        <w:rFonts w:ascii="Cambria Math" w:hAnsi="Cambria Math"/>
                        <w:sz w:val="22"/>
                        <w:szCs w:val="22"/>
                      </w:rPr>
                      <m:t xml:space="preserve"> t </m:t>
                    </m:r>
                  </m:e>
                  <m:sup>
                    <m:r>
                      <w:rPr>
                        <w:rFonts w:ascii="Cambria Math" w:hAnsi="Cambria Math"/>
                        <w:sz w:val="22"/>
                        <w:szCs w:val="22"/>
                        <w:vertAlign w:val="superscript"/>
                      </w:rPr>
                      <m:t xml:space="preserve">-1.03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772" w:type="dxa"/>
            <w:vAlign w:val="center"/>
          </w:tcPr>
          <w:p w14:paraId="5995791D"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1.42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 xml:space="preserve">-1.06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r>
      <w:tr w:rsidR="00342321" w:rsidRPr="00BC31E0" w14:paraId="08CB500B" w14:textId="77777777" w:rsidTr="004736F2">
        <w:trPr>
          <w:jc w:val="center"/>
        </w:trPr>
        <w:tc>
          <w:tcPr>
            <w:tcW w:w="992" w:type="dxa"/>
            <w:vAlign w:val="center"/>
          </w:tcPr>
          <w:p w14:paraId="78E9D7D7"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0.2</w:t>
            </w:r>
          </w:p>
        </w:tc>
        <w:tc>
          <w:tcPr>
            <w:tcW w:w="1772" w:type="dxa"/>
            <w:vAlign w:val="center"/>
          </w:tcPr>
          <w:p w14:paraId="3E0A53AF"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5.46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 xml:space="preserve">-0.959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772" w:type="dxa"/>
            <w:vAlign w:val="center"/>
          </w:tcPr>
          <w:p w14:paraId="2D392EBA"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4.71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 xml:space="preserve">-1.01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772" w:type="dxa"/>
            <w:vAlign w:val="center"/>
          </w:tcPr>
          <w:p w14:paraId="05C25A5C"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3.33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 xml:space="preserve">-1.05 </m:t>
                    </m:r>
                  </m:sup>
                </m:sSup>
                <m:r>
                  <w:rPr>
                    <w:rFonts w:ascii="Cambria Math" w:hAnsi="Cambria Math"/>
                    <w:sz w:val="22"/>
                    <w:szCs w:val="22"/>
                  </w:rPr>
                  <m:t>X</m:t>
                </m:r>
                <m:r>
                  <w:rPr>
                    <w:rFonts w:ascii="Cambria Math" w:hAnsi="Cambria Math"/>
                    <w:sz w:val="22"/>
                    <w:szCs w:val="22"/>
                    <w:vertAlign w:val="subscript"/>
                  </w:rPr>
                  <m:t>a</m:t>
                </m:r>
              </m:oMath>
            </m:oMathPara>
          </w:p>
        </w:tc>
        <w:tc>
          <w:tcPr>
            <w:tcW w:w="1772" w:type="dxa"/>
            <w:vAlign w:val="center"/>
          </w:tcPr>
          <w:p w14:paraId="0C112529"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2.30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 xml:space="preserve">-1.08 </m:t>
                    </m:r>
                  </m:sup>
                </m:sSup>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r>
      <w:tr w:rsidR="00342321" w:rsidRPr="00BC31E0" w14:paraId="5674D0AD" w14:textId="77777777" w:rsidTr="004736F2">
        <w:trPr>
          <w:jc w:val="center"/>
        </w:trPr>
        <w:tc>
          <w:tcPr>
            <w:tcW w:w="992" w:type="dxa"/>
            <w:vAlign w:val="center"/>
          </w:tcPr>
          <w:p w14:paraId="7ACA67AC"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0.3</w:t>
            </w:r>
          </w:p>
        </w:tc>
        <w:tc>
          <w:tcPr>
            <w:tcW w:w="1772" w:type="dxa"/>
            <w:vAlign w:val="center"/>
          </w:tcPr>
          <w:p w14:paraId="41F81BBC"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7.71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 xml:space="preserve">-0.972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772" w:type="dxa"/>
            <w:vAlign w:val="center"/>
          </w:tcPr>
          <w:p w14:paraId="664CC4A6"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6.84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 xml:space="preserve">-1.02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772" w:type="dxa"/>
            <w:vAlign w:val="center"/>
          </w:tcPr>
          <w:p w14:paraId="2A210DD7"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5.11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 xml:space="preserve">-1.07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772" w:type="dxa"/>
            <w:vAlign w:val="center"/>
          </w:tcPr>
          <w:p w14:paraId="511CBC68"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3.81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 xml:space="preserve">-1.10 </m:t>
                    </m:r>
                  </m:sup>
                </m:sSup>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r>
      <w:tr w:rsidR="00342321" w:rsidRPr="00BC31E0" w14:paraId="3D0C762D" w14:textId="77777777" w:rsidTr="004736F2">
        <w:trPr>
          <w:jc w:val="center"/>
        </w:trPr>
        <w:tc>
          <w:tcPr>
            <w:tcW w:w="992" w:type="dxa"/>
            <w:vAlign w:val="center"/>
          </w:tcPr>
          <w:p w14:paraId="5A765017"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0.4</w:t>
            </w:r>
          </w:p>
        </w:tc>
        <w:tc>
          <w:tcPr>
            <w:tcW w:w="1772" w:type="dxa"/>
            <w:vAlign w:val="center"/>
          </w:tcPr>
          <w:p w14:paraId="07EB7AFE"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7.39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 xml:space="preserve">-0.917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772" w:type="dxa"/>
            <w:vAlign w:val="center"/>
          </w:tcPr>
          <w:p w14:paraId="6FDA26AE"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6.53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 xml:space="preserve">-0.963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772" w:type="dxa"/>
            <w:vAlign w:val="center"/>
          </w:tcPr>
          <w:p w14:paraId="1F0ADB32"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5.04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 xml:space="preserve">-1.00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772" w:type="dxa"/>
            <w:vAlign w:val="center"/>
          </w:tcPr>
          <w:p w14:paraId="7E87DBE9"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3.85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 xml:space="preserve">-1.03 </m:t>
                    </m:r>
                  </m:sup>
                </m:sSup>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r>
      <w:tr w:rsidR="00342321" w:rsidRPr="00BC31E0" w14:paraId="009BFCB0" w14:textId="77777777" w:rsidTr="004736F2">
        <w:trPr>
          <w:jc w:val="center"/>
        </w:trPr>
        <w:tc>
          <w:tcPr>
            <w:tcW w:w="992" w:type="dxa"/>
            <w:vAlign w:val="center"/>
          </w:tcPr>
          <w:p w14:paraId="221E71FE"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0.5</w:t>
            </w:r>
          </w:p>
        </w:tc>
        <w:tc>
          <w:tcPr>
            <w:tcW w:w="1772" w:type="dxa"/>
            <w:vAlign w:val="center"/>
          </w:tcPr>
          <w:p w14:paraId="0507E85B"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7.80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 xml:space="preserve">-0.918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772" w:type="dxa"/>
            <w:vAlign w:val="center"/>
          </w:tcPr>
          <w:p w14:paraId="1B699EB0"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6.79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 xml:space="preserve">-0.962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772" w:type="dxa"/>
            <w:vAlign w:val="center"/>
          </w:tcPr>
          <w:p w14:paraId="3DF97F2F"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5.12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 xml:space="preserve">-0.999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772" w:type="dxa"/>
            <w:vAlign w:val="center"/>
          </w:tcPr>
          <w:p w14:paraId="2790FF39"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3.80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 xml:space="preserve">-1.02 </m:t>
                    </m:r>
                  </m:sup>
                </m:sSup>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r>
    </w:tbl>
    <w:p w14:paraId="7B398A48" w14:textId="77777777" w:rsidR="00342321" w:rsidRPr="00BC31E0" w:rsidRDefault="00342321" w:rsidP="00342321">
      <w:pPr>
        <w:snapToGrid w:val="0"/>
        <w:spacing w:before="60" w:after="60" w:line="320" w:lineRule="atLeast"/>
        <w:ind w:left="1474" w:hanging="794"/>
        <w:jc w:val="left"/>
        <w:rPr>
          <w:rFonts w:hAnsi="ＭＳ 明朝"/>
          <w:kern w:val="0"/>
          <w:szCs w:val="20"/>
        </w:rPr>
      </w:pPr>
      <w:r w:rsidRPr="00BC31E0">
        <w:rPr>
          <w:rFonts w:ascii="ＭＳ ゴシック" w:eastAsia="ＭＳ ゴシック" w:hAnsi="ＭＳ ゴシック" w:hint="eastAsia"/>
          <w:b/>
          <w:szCs w:val="20"/>
        </w:rPr>
        <w:t>注記</w:t>
      </w:r>
      <w:r w:rsidRPr="00BC31E0">
        <w:rPr>
          <w:rFonts w:ascii="ＭＳ ゴシック" w:eastAsia="ＭＳ ゴシック" w:hAnsi="ＭＳ ゴシック" w:cs="Tahoma"/>
          <w:b/>
          <w:szCs w:val="20"/>
        </w:rPr>
        <w:t>1</w:t>
      </w:r>
      <w:r w:rsidRPr="00BC31E0">
        <w:rPr>
          <w:rFonts w:ascii="ＭＳ 明朝" w:hAnsi="ＭＳ 明朝" w:cs="Tahoma" w:hint="eastAsia"/>
          <w:b/>
          <w:szCs w:val="20"/>
        </w:rPr>
        <w:t xml:space="preserve">　</w:t>
      </w:r>
      <m:oMath>
        <m:f>
          <m:fPr>
            <m:type m:val="lin"/>
            <m:ctrlPr>
              <w:rPr>
                <w:rFonts w:ascii="Cambria Math" w:hAnsi="Cambria Math"/>
                <w:i/>
                <w:kern w:val="0"/>
                <w:szCs w:val="20"/>
              </w:rPr>
            </m:ctrlPr>
          </m:fPr>
          <m:num>
            <m:r>
              <w:rPr>
                <w:rFonts w:ascii="Cambria Math" w:hAnsi="Cambria Math"/>
                <w:kern w:val="0"/>
                <w:szCs w:val="20"/>
              </w:rPr>
              <m:t>a</m:t>
            </m:r>
          </m:num>
          <m:den>
            <m:r>
              <w:rPr>
                <w:rFonts w:ascii="Cambria Math" w:hAnsi="Cambria Math"/>
                <w:kern w:val="0"/>
                <w:szCs w:val="20"/>
              </w:rPr>
              <m:t xml:space="preserve">t </m:t>
            </m:r>
          </m:den>
        </m:f>
      </m:oMath>
      <w:r w:rsidRPr="00BC31E0">
        <w:rPr>
          <w:rFonts w:hAnsi="ＭＳ 明朝"/>
          <w:kern w:val="0"/>
          <w:szCs w:val="20"/>
        </w:rPr>
        <w:t>の値</w:t>
      </w:r>
      <w:r w:rsidRPr="00BC31E0">
        <w:rPr>
          <w:rFonts w:hAnsi="ＭＳ 明朝" w:hint="eastAsia"/>
          <w:kern w:val="0"/>
          <w:szCs w:val="20"/>
        </w:rPr>
        <w:t>は次の表の値を最大とする</w:t>
      </w:r>
      <w:r w:rsidRPr="00BC31E0">
        <w:rPr>
          <w:rFonts w:hAnsi="ＭＳ 明朝"/>
          <w:kern w:val="0"/>
          <w:szCs w:val="20"/>
        </w:rPr>
        <w:t>。</w:t>
      </w:r>
      <w:r w:rsidRPr="00BC31E0">
        <w:rPr>
          <w:rFonts w:hAnsi="ＭＳ 明朝" w:hint="eastAsia"/>
          <w:kern w:val="0"/>
          <w:szCs w:val="20"/>
        </w:rPr>
        <w:t>なお，中間の</w:t>
      </w:r>
      <m:oMath>
        <m:f>
          <m:fPr>
            <m:type m:val="lin"/>
            <m:ctrlPr>
              <w:rPr>
                <w:rFonts w:ascii="Cambria Math" w:hAnsi="Cambria Math"/>
                <w:i/>
                <w:kern w:val="0"/>
                <w:szCs w:val="20"/>
              </w:rPr>
            </m:ctrlPr>
          </m:fPr>
          <m:num>
            <m:r>
              <w:rPr>
                <w:rFonts w:ascii="Cambria Math" w:hAnsi="Cambria Math"/>
                <w:kern w:val="0"/>
                <w:szCs w:val="20"/>
              </w:rPr>
              <m:t xml:space="preserve"> a</m:t>
            </m:r>
          </m:num>
          <m:den>
            <m:r>
              <w:rPr>
                <w:rFonts w:ascii="Cambria Math" w:hAnsi="Cambria Math"/>
                <w:kern w:val="0"/>
                <w:szCs w:val="20"/>
              </w:rPr>
              <m:t xml:space="preserve">l </m:t>
            </m:r>
          </m:den>
        </m:f>
      </m:oMath>
      <w:r w:rsidRPr="00BC31E0">
        <w:rPr>
          <w:rFonts w:hAnsi="ＭＳ 明朝" w:hint="eastAsia"/>
          <w:kern w:val="0"/>
          <w:szCs w:val="20"/>
        </w:rPr>
        <w:t>の値に対して，及び</w:t>
      </w:r>
      <m:oMath>
        <m:r>
          <w:rPr>
            <w:rFonts w:ascii="Cambria Math" w:hAnsi="Cambria Math"/>
            <w:kern w:val="0"/>
            <w:szCs w:val="20"/>
          </w:rPr>
          <m:t>6</m:t>
        </m:r>
        <m:r>
          <w:rPr>
            <w:rFonts w:ascii="Cambria Math" w:hAnsi="Cambria Math" w:hint="eastAsia"/>
            <w:kern w:val="0"/>
            <w:szCs w:val="20"/>
          </w:rPr>
          <m:t>4</m:t>
        </m:r>
        <m:r>
          <w:rPr>
            <w:rFonts w:ascii="Cambria Math" w:hAnsi="Cambria Math"/>
            <w:kern w:val="0"/>
            <w:szCs w:val="20"/>
          </w:rPr>
          <m:t>&lt;t&lt;10</m:t>
        </m:r>
        <m:r>
          <w:rPr>
            <w:rFonts w:ascii="Cambria Math" w:hAnsi="Cambria Math" w:hint="eastAsia"/>
            <w:kern w:val="0"/>
            <w:szCs w:val="20"/>
          </w:rPr>
          <m:t>0</m:t>
        </m:r>
        <m:r>
          <m:rPr>
            <m:sty m:val="p"/>
          </m:rPr>
          <w:rPr>
            <w:rFonts w:ascii="Cambria Math" w:hAnsi="Cambria Math" w:hint="eastAsia"/>
            <w:kern w:val="0"/>
            <w:szCs w:val="20"/>
          </w:rPr>
          <m:t xml:space="preserve"> </m:t>
        </m:r>
        <m:r>
          <m:rPr>
            <m:sty m:val="p"/>
          </m:rPr>
          <w:rPr>
            <w:rFonts w:ascii="Cambria Math" w:hAnsi="Cambria Math"/>
            <w:kern w:val="0"/>
            <w:szCs w:val="20"/>
          </w:rPr>
          <m:t xml:space="preserve">mm </m:t>
        </m:r>
      </m:oMath>
      <w:r w:rsidRPr="00BC31E0">
        <w:rPr>
          <w:rFonts w:hint="eastAsia"/>
          <w:kern w:val="0"/>
          <w:szCs w:val="20"/>
        </w:rPr>
        <w:t>の場合には，線形補間により</w:t>
      </w:r>
      <m:oMath>
        <m:f>
          <m:fPr>
            <m:type m:val="lin"/>
            <m:ctrlPr>
              <w:rPr>
                <w:rFonts w:ascii="Cambria Math" w:hAnsi="Cambria Math"/>
                <w:i/>
                <w:kern w:val="0"/>
                <w:szCs w:val="20"/>
              </w:rPr>
            </m:ctrlPr>
          </m:fPr>
          <m:num>
            <m:r>
              <w:rPr>
                <w:rFonts w:ascii="Cambria Math" w:hAnsi="Cambria Math"/>
                <w:kern w:val="0"/>
                <w:szCs w:val="20"/>
              </w:rPr>
              <m:t xml:space="preserve"> a</m:t>
            </m:r>
          </m:num>
          <m:den>
            <m:r>
              <w:rPr>
                <w:rFonts w:ascii="Cambria Math" w:hAnsi="Cambria Math"/>
                <w:kern w:val="0"/>
                <w:szCs w:val="20"/>
              </w:rPr>
              <m:t xml:space="preserve">t </m:t>
            </m:r>
          </m:den>
        </m:f>
      </m:oMath>
      <w:r w:rsidRPr="00BC31E0">
        <w:rPr>
          <w:rFonts w:hint="eastAsia"/>
          <w:kern w:val="0"/>
          <w:szCs w:val="20"/>
        </w:rPr>
        <w:t>を求める。</w:t>
      </w:r>
    </w:p>
    <w:tbl>
      <w:tblPr>
        <w:tblW w:w="0" w:type="auto"/>
        <w:tblInd w:w="1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1"/>
        <w:gridCol w:w="1331"/>
        <w:gridCol w:w="1331"/>
        <w:gridCol w:w="1331"/>
      </w:tblGrid>
      <w:tr w:rsidR="00342321" w:rsidRPr="00BC31E0" w14:paraId="7EE07B92" w14:textId="77777777" w:rsidTr="004736F2">
        <w:tc>
          <w:tcPr>
            <w:tcW w:w="2662" w:type="dxa"/>
            <w:gridSpan w:val="2"/>
          </w:tcPr>
          <w:p w14:paraId="697ADBA6" w14:textId="77777777" w:rsidR="00342321" w:rsidRPr="00BC31E0" w:rsidRDefault="00342321" w:rsidP="004736F2">
            <w:pPr>
              <w:snapToGrid w:val="0"/>
              <w:spacing w:line="300" w:lineRule="atLeast"/>
              <w:jc w:val="center"/>
              <w:rPr>
                <w:i/>
                <w:kern w:val="0"/>
                <w:szCs w:val="20"/>
              </w:rPr>
            </w:pPr>
            <m:oMathPara>
              <m:oMath>
                <m:r>
                  <w:rPr>
                    <w:rFonts w:ascii="Cambria Math" w:hAnsi="Cambria Math"/>
                    <w:kern w:val="0"/>
                    <w:szCs w:val="20"/>
                  </w:rPr>
                  <m:t>25</m:t>
                </m:r>
                <m:r>
                  <w:rPr>
                    <w:rFonts w:ascii="Cambria Math" w:hAnsi="Cambria Math" w:hint="eastAsia"/>
                    <w:kern w:val="0"/>
                    <w:szCs w:val="20"/>
                  </w:rPr>
                  <m:t>≦</m:t>
                </m:r>
                <m:r>
                  <w:rPr>
                    <w:rFonts w:ascii="Cambria Math" w:hAnsi="Cambria Math"/>
                    <w:kern w:val="0"/>
                    <w:szCs w:val="20"/>
                  </w:rPr>
                  <m:t>t</m:t>
                </m:r>
                <m:r>
                  <w:rPr>
                    <w:rFonts w:ascii="Cambria Math" w:hAnsi="Cambria Math" w:hint="eastAsia"/>
                    <w:kern w:val="0"/>
                    <w:szCs w:val="20"/>
                  </w:rPr>
                  <m:t>≦</m:t>
                </m:r>
                <m:r>
                  <w:rPr>
                    <w:rFonts w:ascii="Cambria Math" w:hAnsi="Cambria Math"/>
                    <w:kern w:val="0"/>
                    <w:szCs w:val="20"/>
                  </w:rPr>
                  <m:t>6</m:t>
                </m:r>
                <m:r>
                  <w:rPr>
                    <w:rFonts w:ascii="Cambria Math" w:hAnsi="Cambria Math" w:hint="eastAsia"/>
                    <w:kern w:val="0"/>
                    <w:szCs w:val="20"/>
                  </w:rPr>
                  <m:t xml:space="preserve">4 </m:t>
                </m:r>
                <m:r>
                  <m:rPr>
                    <m:sty m:val="p"/>
                  </m:rPr>
                  <w:rPr>
                    <w:rFonts w:ascii="Cambria Math" w:hAnsi="Cambria Math"/>
                    <w:kern w:val="0"/>
                    <w:szCs w:val="20"/>
                  </w:rPr>
                  <m:t>mm</m:t>
                </m:r>
              </m:oMath>
            </m:oMathPara>
          </w:p>
        </w:tc>
        <w:tc>
          <w:tcPr>
            <w:tcW w:w="2662" w:type="dxa"/>
            <w:gridSpan w:val="2"/>
          </w:tcPr>
          <w:p w14:paraId="29495F79" w14:textId="77777777" w:rsidR="00342321" w:rsidRPr="00BC31E0" w:rsidRDefault="00342321" w:rsidP="004736F2">
            <w:pPr>
              <w:snapToGrid w:val="0"/>
              <w:spacing w:line="300" w:lineRule="atLeast"/>
              <w:jc w:val="center"/>
              <w:rPr>
                <w:i/>
                <w:kern w:val="0"/>
                <w:szCs w:val="20"/>
              </w:rPr>
            </w:pPr>
            <m:oMathPara>
              <m:oMath>
                <m:r>
                  <w:rPr>
                    <w:rFonts w:ascii="Cambria Math" w:hAnsi="Cambria Math"/>
                    <w:kern w:val="0"/>
                    <w:szCs w:val="20"/>
                  </w:rPr>
                  <m:t>10</m:t>
                </m:r>
                <m:r>
                  <w:rPr>
                    <w:rFonts w:ascii="Cambria Math" w:hAnsi="Cambria Math" w:hint="eastAsia"/>
                    <w:kern w:val="0"/>
                    <w:szCs w:val="20"/>
                  </w:rPr>
                  <m:t>0</m:t>
                </m:r>
                <m:r>
                  <w:rPr>
                    <w:rFonts w:ascii="Cambria Math" w:hAnsi="Cambria Math" w:hint="eastAsia"/>
                    <w:kern w:val="0"/>
                    <w:szCs w:val="20"/>
                  </w:rPr>
                  <m:t>≦</m:t>
                </m:r>
                <m:r>
                  <w:rPr>
                    <w:rFonts w:ascii="Cambria Math" w:hAnsi="Cambria Math"/>
                    <w:kern w:val="0"/>
                    <w:szCs w:val="20"/>
                  </w:rPr>
                  <m:t>t</m:t>
                </m:r>
                <m:r>
                  <w:rPr>
                    <w:rFonts w:ascii="Cambria Math" w:hAnsi="Cambria Math" w:hint="eastAsia"/>
                    <w:kern w:val="0"/>
                    <w:szCs w:val="20"/>
                  </w:rPr>
                  <m:t>≦</m:t>
                </m:r>
                <m:r>
                  <w:rPr>
                    <w:rFonts w:ascii="Cambria Math" w:hAnsi="Cambria Math"/>
                    <w:kern w:val="0"/>
                    <w:szCs w:val="20"/>
                  </w:rPr>
                  <m:t>30</m:t>
                </m:r>
                <m:r>
                  <w:rPr>
                    <w:rFonts w:ascii="Cambria Math" w:hAnsi="Cambria Math" w:hint="eastAsia"/>
                    <w:kern w:val="0"/>
                    <w:szCs w:val="20"/>
                  </w:rPr>
                  <m:t>0</m:t>
                </m:r>
                <m:r>
                  <m:rPr>
                    <m:sty m:val="p"/>
                  </m:rPr>
                  <w:rPr>
                    <w:rFonts w:ascii="Cambria Math" w:hAnsi="Cambria Math" w:hint="eastAsia"/>
                    <w:kern w:val="0"/>
                    <w:szCs w:val="20"/>
                  </w:rPr>
                  <m:t xml:space="preserve"> </m:t>
                </m:r>
                <m:r>
                  <m:rPr>
                    <m:sty m:val="p"/>
                  </m:rPr>
                  <w:rPr>
                    <w:rFonts w:ascii="Cambria Math" w:hAnsi="Cambria Math"/>
                    <w:kern w:val="0"/>
                    <w:szCs w:val="20"/>
                  </w:rPr>
                  <m:t>mm</m:t>
                </m:r>
              </m:oMath>
            </m:oMathPara>
          </w:p>
        </w:tc>
      </w:tr>
      <w:tr w:rsidR="00342321" w:rsidRPr="00BC31E0" w14:paraId="05163B18" w14:textId="77777777" w:rsidTr="004736F2">
        <w:tc>
          <w:tcPr>
            <w:tcW w:w="1331" w:type="dxa"/>
          </w:tcPr>
          <w:p w14:paraId="04F18F59" w14:textId="77777777" w:rsidR="00342321" w:rsidRPr="00BC31E0" w:rsidRDefault="00A51873" w:rsidP="004736F2">
            <w:pPr>
              <w:snapToGrid w:val="0"/>
              <w:spacing w:line="300" w:lineRule="atLeast"/>
              <w:jc w:val="center"/>
              <w:rPr>
                <w:rFonts w:ascii="Times New Roman" w:hAnsi="Times New Roman"/>
                <w:i/>
                <w:kern w:val="0"/>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l</m:t>
                    </m:r>
                  </m:den>
                </m:f>
              </m:oMath>
            </m:oMathPara>
          </w:p>
        </w:tc>
        <w:tc>
          <w:tcPr>
            <w:tcW w:w="1331" w:type="dxa"/>
          </w:tcPr>
          <w:p w14:paraId="4214EDD3" w14:textId="77777777" w:rsidR="00342321" w:rsidRPr="00BC31E0" w:rsidRDefault="00A51873" w:rsidP="004736F2">
            <w:pPr>
              <w:snapToGrid w:val="0"/>
              <w:spacing w:line="300" w:lineRule="atLeast"/>
              <w:jc w:val="center"/>
              <w:rPr>
                <w:rFonts w:ascii="Times New Roman" w:hAnsi="Times New Roman"/>
                <w:i/>
                <w:kern w:val="0"/>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t</m:t>
                    </m:r>
                  </m:den>
                </m:f>
              </m:oMath>
            </m:oMathPara>
          </w:p>
        </w:tc>
        <w:tc>
          <w:tcPr>
            <w:tcW w:w="1331" w:type="dxa"/>
          </w:tcPr>
          <w:p w14:paraId="37F47CBD" w14:textId="77777777" w:rsidR="00342321" w:rsidRPr="00BC31E0" w:rsidRDefault="00A51873" w:rsidP="004736F2">
            <w:pPr>
              <w:snapToGrid w:val="0"/>
              <w:spacing w:line="300" w:lineRule="atLeast"/>
              <w:jc w:val="center"/>
              <w:rPr>
                <w:rFonts w:ascii="Times New Roman" w:hAnsi="Times New Roman"/>
                <w:i/>
                <w:kern w:val="0"/>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l</m:t>
                    </m:r>
                  </m:den>
                </m:f>
              </m:oMath>
            </m:oMathPara>
          </w:p>
        </w:tc>
        <w:tc>
          <w:tcPr>
            <w:tcW w:w="1331" w:type="dxa"/>
          </w:tcPr>
          <w:p w14:paraId="39622445" w14:textId="77777777" w:rsidR="00342321" w:rsidRPr="00BC31E0" w:rsidRDefault="00A51873" w:rsidP="004736F2">
            <w:pPr>
              <w:snapToGrid w:val="0"/>
              <w:spacing w:line="300" w:lineRule="atLeast"/>
              <w:jc w:val="center"/>
              <w:rPr>
                <w:rFonts w:ascii="Times New Roman" w:hAnsi="Times New Roman"/>
                <w:i/>
                <w:kern w:val="0"/>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t</m:t>
                    </m:r>
                  </m:den>
                </m:f>
              </m:oMath>
            </m:oMathPara>
          </w:p>
        </w:tc>
      </w:tr>
      <w:tr w:rsidR="00342321" w:rsidRPr="00BC31E0" w14:paraId="1EEFE30B" w14:textId="77777777" w:rsidTr="004736F2">
        <w:tc>
          <w:tcPr>
            <w:tcW w:w="1331" w:type="dxa"/>
          </w:tcPr>
          <w:p w14:paraId="40E5BAE5"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0.0</w:t>
            </w:r>
          </w:p>
        </w:tc>
        <w:tc>
          <w:tcPr>
            <w:tcW w:w="1331" w:type="dxa"/>
          </w:tcPr>
          <w:p w14:paraId="483FBF5A" w14:textId="77777777" w:rsidR="00342321" w:rsidRPr="00BC31E0" w:rsidRDefault="00342321" w:rsidP="004736F2">
            <w:pPr>
              <w:snapToGrid w:val="0"/>
              <w:spacing w:line="300" w:lineRule="atLeast"/>
              <w:jc w:val="center"/>
              <w:rPr>
                <w:rFonts w:ascii="Cambria Math" w:hAnsi="Cambria Math"/>
                <w:i/>
                <w:kern w:val="0"/>
                <w:sz w:val="22"/>
                <w:szCs w:val="22"/>
              </w:rPr>
            </w:pPr>
            <m:oMathPara>
              <m:oMath>
                <m:r>
                  <w:rPr>
                    <w:rFonts w:ascii="Cambria Math" w:hAnsi="Cambria Math"/>
                    <w:kern w:val="0"/>
                    <w:sz w:val="22"/>
                    <w:szCs w:val="22"/>
                  </w:rPr>
                  <m:t>0.039</m:t>
                </m:r>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331" w:type="dxa"/>
          </w:tcPr>
          <w:p w14:paraId="509CC991"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0.0</w:t>
            </w:r>
          </w:p>
        </w:tc>
        <w:tc>
          <w:tcPr>
            <w:tcW w:w="1331" w:type="dxa"/>
          </w:tcPr>
          <w:p w14:paraId="29EDB2C4" w14:textId="77777777" w:rsidR="00342321" w:rsidRPr="00BC31E0" w:rsidRDefault="00342321" w:rsidP="004736F2">
            <w:pPr>
              <w:snapToGrid w:val="0"/>
              <w:spacing w:line="300" w:lineRule="atLeast"/>
              <w:jc w:val="center"/>
              <w:rPr>
                <w:rFonts w:ascii="Cambria Math" w:hAnsi="Cambria Math"/>
                <w:i/>
                <w:kern w:val="0"/>
                <w:sz w:val="22"/>
                <w:szCs w:val="22"/>
              </w:rPr>
            </w:pPr>
            <m:oMathPara>
              <m:oMath>
                <m:r>
                  <w:rPr>
                    <w:rFonts w:ascii="Cambria Math" w:hAnsi="Cambria Math"/>
                    <w:kern w:val="0"/>
                    <w:sz w:val="22"/>
                    <w:szCs w:val="22"/>
                  </w:rPr>
                  <m:t>0.024</m:t>
                </m:r>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r>
      <w:tr w:rsidR="00342321" w:rsidRPr="00BC31E0" w14:paraId="36EDA415" w14:textId="77777777" w:rsidTr="004736F2">
        <w:tc>
          <w:tcPr>
            <w:tcW w:w="1331" w:type="dxa"/>
          </w:tcPr>
          <w:p w14:paraId="73E5EEAA"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0.1</w:t>
            </w:r>
          </w:p>
        </w:tc>
        <w:tc>
          <w:tcPr>
            <w:tcW w:w="1331" w:type="dxa"/>
          </w:tcPr>
          <w:p w14:paraId="5701EF82" w14:textId="77777777" w:rsidR="00342321" w:rsidRPr="00BC31E0" w:rsidRDefault="00342321" w:rsidP="004736F2">
            <w:pPr>
              <w:snapToGrid w:val="0"/>
              <w:spacing w:line="300" w:lineRule="atLeast"/>
              <w:jc w:val="center"/>
              <w:rPr>
                <w:rFonts w:ascii="Cambria Math" w:hAnsi="Cambria Math"/>
                <w:i/>
                <w:kern w:val="0"/>
                <w:sz w:val="22"/>
                <w:szCs w:val="22"/>
              </w:rPr>
            </w:pPr>
            <m:oMathPara>
              <m:oMath>
                <m:r>
                  <w:rPr>
                    <w:rFonts w:ascii="Cambria Math" w:hAnsi="Cambria Math"/>
                    <w:kern w:val="0"/>
                    <w:sz w:val="22"/>
                    <w:szCs w:val="22"/>
                  </w:rPr>
                  <m:t>0.045</m:t>
                </m:r>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331" w:type="dxa"/>
          </w:tcPr>
          <w:p w14:paraId="004E42E5"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0.1</w:t>
            </w:r>
          </w:p>
        </w:tc>
        <w:tc>
          <w:tcPr>
            <w:tcW w:w="1331" w:type="dxa"/>
          </w:tcPr>
          <w:p w14:paraId="5568F78C" w14:textId="77777777" w:rsidR="00342321" w:rsidRPr="00BC31E0" w:rsidRDefault="00342321" w:rsidP="004736F2">
            <w:pPr>
              <w:snapToGrid w:val="0"/>
              <w:spacing w:line="300" w:lineRule="atLeast"/>
              <w:jc w:val="center"/>
              <w:rPr>
                <w:rFonts w:ascii="Cambria Math" w:hAnsi="Cambria Math"/>
                <w:i/>
                <w:kern w:val="0"/>
                <w:sz w:val="22"/>
                <w:szCs w:val="22"/>
              </w:rPr>
            </w:pPr>
            <m:oMathPara>
              <m:oMath>
                <m:r>
                  <w:rPr>
                    <w:rFonts w:ascii="Cambria Math" w:hAnsi="Cambria Math"/>
                    <w:kern w:val="0"/>
                    <w:sz w:val="22"/>
                    <w:szCs w:val="22"/>
                  </w:rPr>
                  <m:t>0.028</m:t>
                </m:r>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r>
      <w:tr w:rsidR="00342321" w:rsidRPr="00BC31E0" w14:paraId="30C40F1F" w14:textId="77777777" w:rsidTr="004736F2">
        <w:tc>
          <w:tcPr>
            <w:tcW w:w="1331" w:type="dxa"/>
          </w:tcPr>
          <w:p w14:paraId="55BC82E8"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0.2</w:t>
            </w:r>
          </w:p>
        </w:tc>
        <w:tc>
          <w:tcPr>
            <w:tcW w:w="1331" w:type="dxa"/>
          </w:tcPr>
          <w:p w14:paraId="3BF6F0D9" w14:textId="77777777" w:rsidR="00342321" w:rsidRPr="00BC31E0" w:rsidRDefault="00342321" w:rsidP="004736F2">
            <w:pPr>
              <w:snapToGrid w:val="0"/>
              <w:spacing w:line="300" w:lineRule="atLeast"/>
              <w:jc w:val="center"/>
              <w:rPr>
                <w:rFonts w:ascii="Cambria Math" w:hAnsi="Cambria Math"/>
                <w:i/>
                <w:kern w:val="0"/>
                <w:sz w:val="22"/>
                <w:szCs w:val="22"/>
              </w:rPr>
            </w:pPr>
            <m:oMathPara>
              <m:oMath>
                <m:r>
                  <w:rPr>
                    <w:rFonts w:ascii="Cambria Math" w:hAnsi="Cambria Math"/>
                    <w:kern w:val="0"/>
                    <w:sz w:val="22"/>
                    <w:szCs w:val="22"/>
                  </w:rPr>
                  <m:t>0.059</m:t>
                </m:r>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331" w:type="dxa"/>
          </w:tcPr>
          <w:p w14:paraId="0B828442"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0.2</w:t>
            </w:r>
          </w:p>
        </w:tc>
        <w:tc>
          <w:tcPr>
            <w:tcW w:w="1331" w:type="dxa"/>
          </w:tcPr>
          <w:p w14:paraId="2918A022" w14:textId="77777777" w:rsidR="00342321" w:rsidRPr="00BC31E0" w:rsidRDefault="00342321" w:rsidP="004736F2">
            <w:pPr>
              <w:snapToGrid w:val="0"/>
              <w:spacing w:line="300" w:lineRule="atLeast"/>
              <w:jc w:val="center"/>
              <w:rPr>
                <w:rFonts w:ascii="Cambria Math" w:hAnsi="Cambria Math"/>
                <w:i/>
                <w:kern w:val="0"/>
                <w:sz w:val="22"/>
                <w:szCs w:val="22"/>
              </w:rPr>
            </w:pPr>
            <m:oMathPara>
              <m:oMath>
                <m:r>
                  <w:rPr>
                    <w:rFonts w:ascii="Cambria Math" w:hAnsi="Cambria Math"/>
                    <w:kern w:val="0"/>
                    <w:sz w:val="22"/>
                    <w:szCs w:val="22"/>
                  </w:rPr>
                  <m:t>0.035</m:t>
                </m:r>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r>
      <w:tr w:rsidR="00342321" w:rsidRPr="00BC31E0" w14:paraId="362A1134" w14:textId="77777777" w:rsidTr="004736F2">
        <w:tc>
          <w:tcPr>
            <w:tcW w:w="1331" w:type="dxa"/>
          </w:tcPr>
          <w:p w14:paraId="6C84D8C6"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0.3</w:t>
            </w:r>
          </w:p>
        </w:tc>
        <w:tc>
          <w:tcPr>
            <w:tcW w:w="1331" w:type="dxa"/>
          </w:tcPr>
          <w:p w14:paraId="3F7D0CD4" w14:textId="77777777" w:rsidR="00342321" w:rsidRPr="00BC31E0" w:rsidRDefault="00342321" w:rsidP="004736F2">
            <w:pPr>
              <w:snapToGrid w:val="0"/>
              <w:spacing w:line="300" w:lineRule="atLeast"/>
              <w:jc w:val="center"/>
              <w:rPr>
                <w:rFonts w:ascii="Cambria Math" w:hAnsi="Cambria Math"/>
                <w:i/>
                <w:kern w:val="0"/>
                <w:sz w:val="22"/>
                <w:szCs w:val="22"/>
              </w:rPr>
            </w:pPr>
            <m:oMathPara>
              <m:oMath>
                <m:r>
                  <w:rPr>
                    <w:rFonts w:ascii="Cambria Math" w:hAnsi="Cambria Math"/>
                    <w:kern w:val="0"/>
                    <w:sz w:val="22"/>
                    <w:szCs w:val="22"/>
                  </w:rPr>
                  <m:t>0.080</m:t>
                </m:r>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331" w:type="dxa"/>
          </w:tcPr>
          <w:p w14:paraId="3B62063F"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0.3</w:t>
            </w:r>
          </w:p>
        </w:tc>
        <w:tc>
          <w:tcPr>
            <w:tcW w:w="1331" w:type="dxa"/>
          </w:tcPr>
          <w:p w14:paraId="3A966193" w14:textId="77777777" w:rsidR="00342321" w:rsidRPr="00BC31E0" w:rsidRDefault="00342321" w:rsidP="004736F2">
            <w:pPr>
              <w:snapToGrid w:val="0"/>
              <w:spacing w:line="300" w:lineRule="atLeast"/>
              <w:jc w:val="center"/>
              <w:rPr>
                <w:rFonts w:ascii="Cambria Math" w:hAnsi="Cambria Math"/>
                <w:i/>
                <w:kern w:val="0"/>
                <w:sz w:val="22"/>
                <w:szCs w:val="22"/>
              </w:rPr>
            </w:pPr>
            <m:oMathPara>
              <m:oMath>
                <m:r>
                  <w:rPr>
                    <w:rFonts w:ascii="Cambria Math" w:hAnsi="Cambria Math"/>
                    <w:kern w:val="0"/>
                    <w:sz w:val="22"/>
                    <w:szCs w:val="22"/>
                  </w:rPr>
                  <m:t>0.048</m:t>
                </m:r>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r>
      <w:tr w:rsidR="00342321" w:rsidRPr="00BC31E0" w14:paraId="073202B0" w14:textId="77777777" w:rsidTr="004736F2">
        <w:tc>
          <w:tcPr>
            <w:tcW w:w="1331" w:type="dxa"/>
          </w:tcPr>
          <w:p w14:paraId="06E2D8B4"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0.4</w:t>
            </w:r>
          </w:p>
        </w:tc>
        <w:tc>
          <w:tcPr>
            <w:tcW w:w="1331" w:type="dxa"/>
          </w:tcPr>
          <w:p w14:paraId="47A01894" w14:textId="77777777" w:rsidR="00342321" w:rsidRPr="00BC31E0" w:rsidRDefault="00342321" w:rsidP="004736F2">
            <w:pPr>
              <w:snapToGrid w:val="0"/>
              <w:spacing w:line="300" w:lineRule="atLeast"/>
              <w:jc w:val="center"/>
              <w:rPr>
                <w:rFonts w:ascii="Cambria Math" w:hAnsi="Cambria Math"/>
                <w:i/>
                <w:kern w:val="0"/>
                <w:sz w:val="22"/>
                <w:szCs w:val="22"/>
              </w:rPr>
            </w:pPr>
            <m:oMathPara>
              <m:oMath>
                <m:r>
                  <w:rPr>
                    <w:rFonts w:ascii="Cambria Math" w:hAnsi="Cambria Math"/>
                    <w:kern w:val="0"/>
                    <w:sz w:val="22"/>
                    <w:szCs w:val="22"/>
                  </w:rPr>
                  <m:t>0.104</m:t>
                </m:r>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331" w:type="dxa"/>
          </w:tcPr>
          <w:p w14:paraId="63DBBF87"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0.4</w:t>
            </w:r>
          </w:p>
        </w:tc>
        <w:tc>
          <w:tcPr>
            <w:tcW w:w="1331" w:type="dxa"/>
          </w:tcPr>
          <w:p w14:paraId="004F8F1D" w14:textId="77777777" w:rsidR="00342321" w:rsidRPr="00BC31E0" w:rsidRDefault="00342321" w:rsidP="004736F2">
            <w:pPr>
              <w:snapToGrid w:val="0"/>
              <w:spacing w:line="300" w:lineRule="atLeast"/>
              <w:jc w:val="center"/>
              <w:rPr>
                <w:rFonts w:ascii="Cambria Math" w:hAnsi="Cambria Math"/>
                <w:i/>
                <w:kern w:val="0"/>
                <w:sz w:val="22"/>
                <w:szCs w:val="22"/>
              </w:rPr>
            </w:pPr>
            <m:oMathPara>
              <m:oMath>
                <m:r>
                  <w:rPr>
                    <w:rFonts w:ascii="Cambria Math" w:hAnsi="Cambria Math"/>
                    <w:kern w:val="0"/>
                    <w:sz w:val="22"/>
                    <w:szCs w:val="22"/>
                  </w:rPr>
                  <m:t xml:space="preserve">0.063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r>
      <w:tr w:rsidR="00342321" w:rsidRPr="00BC31E0" w14:paraId="67220767" w14:textId="77777777" w:rsidTr="004736F2">
        <w:tc>
          <w:tcPr>
            <w:tcW w:w="1331" w:type="dxa"/>
          </w:tcPr>
          <w:p w14:paraId="249DC16E"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0.5</w:t>
            </w:r>
          </w:p>
        </w:tc>
        <w:tc>
          <w:tcPr>
            <w:tcW w:w="1331" w:type="dxa"/>
          </w:tcPr>
          <w:p w14:paraId="5312503F" w14:textId="77777777" w:rsidR="00342321" w:rsidRPr="00BC31E0" w:rsidRDefault="00342321" w:rsidP="004736F2">
            <w:pPr>
              <w:snapToGrid w:val="0"/>
              <w:spacing w:line="300" w:lineRule="atLeast"/>
              <w:jc w:val="center"/>
              <w:rPr>
                <w:rFonts w:ascii="Cambria Math" w:hAnsi="Cambria Math"/>
                <w:i/>
                <w:kern w:val="0"/>
                <w:sz w:val="22"/>
                <w:szCs w:val="22"/>
              </w:rPr>
            </w:pPr>
            <m:oMathPara>
              <m:oMath>
                <m:r>
                  <w:rPr>
                    <w:rFonts w:ascii="Cambria Math" w:hAnsi="Cambria Math"/>
                    <w:kern w:val="0"/>
                    <w:sz w:val="22"/>
                    <w:szCs w:val="22"/>
                  </w:rPr>
                  <m:t>0.109</m:t>
                </m:r>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331" w:type="dxa"/>
          </w:tcPr>
          <w:p w14:paraId="009D73CB"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0.5</w:t>
            </w:r>
          </w:p>
        </w:tc>
        <w:tc>
          <w:tcPr>
            <w:tcW w:w="1331" w:type="dxa"/>
          </w:tcPr>
          <w:p w14:paraId="336FE7F2" w14:textId="77777777" w:rsidR="00342321" w:rsidRPr="00BC31E0" w:rsidRDefault="00342321" w:rsidP="004736F2">
            <w:pPr>
              <w:snapToGrid w:val="0"/>
              <w:spacing w:line="300" w:lineRule="atLeast"/>
              <w:jc w:val="center"/>
              <w:rPr>
                <w:rFonts w:ascii="Cambria Math" w:hAnsi="Cambria Math"/>
                <w:i/>
                <w:kern w:val="0"/>
                <w:sz w:val="22"/>
                <w:szCs w:val="22"/>
              </w:rPr>
            </w:pPr>
            <m:oMathPara>
              <m:oMath>
                <m:r>
                  <w:rPr>
                    <w:rFonts w:ascii="Cambria Math" w:hAnsi="Cambria Math"/>
                    <w:kern w:val="0"/>
                    <w:sz w:val="22"/>
                    <w:szCs w:val="22"/>
                  </w:rPr>
                  <m:t>0.065</m:t>
                </m:r>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r>
    </w:tbl>
    <w:p w14:paraId="1F82F39E" w14:textId="77777777" w:rsidR="00342321" w:rsidRPr="00BC31E0" w:rsidRDefault="00342321" w:rsidP="00342321">
      <w:pPr>
        <w:snapToGrid w:val="0"/>
        <w:spacing w:before="60" w:line="320" w:lineRule="atLeast"/>
        <w:ind w:left="1474" w:hanging="794"/>
        <w:jc w:val="left"/>
        <w:rPr>
          <w:szCs w:val="20"/>
        </w:rPr>
      </w:pPr>
      <w:r w:rsidRPr="00BC31E0">
        <w:rPr>
          <w:rFonts w:ascii="ＭＳ ゴシック" w:eastAsia="ＭＳ ゴシック" w:hAnsi="ＭＳ ゴシック" w:hint="eastAsia"/>
          <w:b/>
          <w:szCs w:val="20"/>
        </w:rPr>
        <w:t>注記</w:t>
      </w:r>
      <w:r w:rsidRPr="00BC31E0">
        <w:rPr>
          <w:rFonts w:ascii="ＭＳ ゴシック" w:eastAsia="ＭＳ ゴシック" w:hAnsi="ＭＳ ゴシック" w:cs="Tahoma"/>
          <w:b/>
          <w:szCs w:val="20"/>
        </w:rPr>
        <w:t>2</w:t>
      </w:r>
      <w:r w:rsidRPr="00BC31E0">
        <w:rPr>
          <w:rFonts w:ascii="ＭＳ 明朝" w:hAnsi="ＭＳ 明朝" w:cs="Tahoma" w:hint="eastAsia"/>
          <w:b/>
          <w:szCs w:val="20"/>
        </w:rPr>
        <w:t xml:space="preserve">　</w:t>
      </w:r>
      <w:r w:rsidRPr="00BC31E0">
        <w:rPr>
          <w:szCs w:val="20"/>
        </w:rPr>
        <w:t>き</w:t>
      </w:r>
      <w:r w:rsidRPr="00BC31E0">
        <w:rPr>
          <w:rFonts w:hint="eastAsia"/>
          <w:szCs w:val="20"/>
        </w:rPr>
        <w:t>ず</w:t>
      </w:r>
      <w:r w:rsidRPr="00BC31E0">
        <w:rPr>
          <w:szCs w:val="20"/>
        </w:rPr>
        <w:t>高さ</w:t>
      </w:r>
      <m:oMath>
        <m:r>
          <w:rPr>
            <w:rFonts w:ascii="Cambria Math" w:hAnsi="Cambria Math" w:hint="eastAsia"/>
            <w:szCs w:val="20"/>
          </w:rPr>
          <m:t>2</m:t>
        </m:r>
        <m:r>
          <w:rPr>
            <w:rFonts w:ascii="Cambria Math" w:hAnsi="Cambria Math"/>
            <w:szCs w:val="20"/>
          </w:rPr>
          <m:t>a</m:t>
        </m:r>
        <m:r>
          <m:rPr>
            <m:sty m:val="p"/>
          </m:rPr>
          <w:rPr>
            <w:rFonts w:ascii="Cambria Math" w:hAnsi="Cambria Math"/>
            <w:szCs w:val="20"/>
          </w:rPr>
          <m:t xml:space="preserve"> </m:t>
        </m:r>
      </m:oMath>
      <w:r w:rsidRPr="00BC31E0">
        <w:rPr>
          <w:szCs w:val="20"/>
        </w:rPr>
        <w:t>が</w:t>
      </w:r>
      <m:oMath>
        <m:r>
          <m:rPr>
            <m:sty m:val="p"/>
          </m:rPr>
          <w:rPr>
            <w:rFonts w:ascii="Cambria Math" w:hAnsi="Cambria Math"/>
            <w:szCs w:val="20"/>
          </w:rPr>
          <m:t xml:space="preserve"> 1 mm </m:t>
        </m:r>
      </m:oMath>
      <w:r w:rsidRPr="00BC31E0">
        <w:rPr>
          <w:szCs w:val="20"/>
        </w:rPr>
        <w:t>未満になる場合</w:t>
      </w:r>
      <w:r w:rsidRPr="00BC31E0">
        <w:rPr>
          <w:rFonts w:hint="eastAsia"/>
          <w:szCs w:val="20"/>
        </w:rPr>
        <w:t>で</w:t>
      </w:r>
      <w:r w:rsidRPr="00BC31E0">
        <w:rPr>
          <w:szCs w:val="20"/>
        </w:rPr>
        <w:t>，使用者設計仕様書</w:t>
      </w:r>
      <w:r w:rsidRPr="00BC31E0">
        <w:rPr>
          <w:rFonts w:hint="eastAsia"/>
          <w:szCs w:val="20"/>
        </w:rPr>
        <w:t>に</w:t>
      </w:r>
      <w:r w:rsidRPr="00BC31E0">
        <w:rPr>
          <w:rFonts w:ascii="ＭＳ ゴシック" w:eastAsia="ＭＳ ゴシック" w:hAnsi="ＭＳ ゴシック" w:hint="eastAsia"/>
          <w:b/>
          <w:szCs w:val="20"/>
        </w:rPr>
        <w:t>表5.2.2</w:t>
      </w:r>
      <w:r w:rsidRPr="00BC31E0">
        <w:rPr>
          <w:rFonts w:hint="eastAsia"/>
          <w:szCs w:val="20"/>
        </w:rPr>
        <w:t>よりも高い</w:t>
      </w:r>
      <w:r w:rsidRPr="00BC31E0">
        <w:rPr>
          <w:szCs w:val="20"/>
        </w:rPr>
        <w:t>要求シャルピー</w:t>
      </w:r>
      <w:r w:rsidRPr="00BC31E0">
        <w:rPr>
          <w:rFonts w:hint="eastAsia"/>
          <w:szCs w:val="20"/>
        </w:rPr>
        <w:t>衝撃</w:t>
      </w:r>
      <w:r w:rsidRPr="00BC31E0">
        <w:rPr>
          <w:szCs w:val="20"/>
        </w:rPr>
        <w:t>吸収エネルギー</w:t>
      </w:r>
      <w:r w:rsidRPr="00BC31E0">
        <w:rPr>
          <w:rFonts w:hint="eastAsia"/>
          <w:szCs w:val="20"/>
        </w:rPr>
        <w:t>が規定されている場合には，</w:t>
      </w:r>
      <w:r w:rsidRPr="00BC31E0">
        <w:rPr>
          <w:rFonts w:ascii="ＭＳ ゴシック" w:eastAsia="ＭＳ ゴシック" w:hAnsi="ＭＳ ゴシック" w:hint="eastAsia"/>
          <w:b/>
          <w:szCs w:val="20"/>
        </w:rPr>
        <w:t>9.3.6 c) 2) 2.3)</w:t>
      </w:r>
      <w:r w:rsidRPr="00BC31E0">
        <w:rPr>
          <w:rFonts w:hint="eastAsia"/>
          <w:szCs w:val="20"/>
        </w:rPr>
        <w:t>に</w:t>
      </w:r>
      <w:r w:rsidRPr="00BC31E0">
        <w:rPr>
          <w:szCs w:val="20"/>
        </w:rPr>
        <w:t>より</w:t>
      </w:r>
      <w:r w:rsidRPr="00BC31E0">
        <w:rPr>
          <w:rFonts w:hint="eastAsia"/>
          <w:szCs w:val="20"/>
        </w:rPr>
        <w:t>製作者が許容きず寸法を算出</w:t>
      </w:r>
      <w:r w:rsidR="00FA55A3" w:rsidRPr="00BC31E0">
        <w:rPr>
          <w:rFonts w:hint="eastAsia"/>
          <w:szCs w:val="20"/>
        </w:rPr>
        <w:t>してもよい</w:t>
      </w:r>
      <w:r w:rsidRPr="00BC31E0">
        <w:rPr>
          <w:rFonts w:hint="eastAsia"/>
          <w:szCs w:val="20"/>
        </w:rPr>
        <w:t>。</w:t>
      </w:r>
    </w:p>
    <w:p w14:paraId="7DC8B37C" w14:textId="77777777" w:rsidR="00342321" w:rsidRPr="00BC31E0" w:rsidRDefault="00342321" w:rsidP="00342321">
      <w:pPr>
        <w:snapToGrid w:val="0"/>
        <w:spacing w:line="320" w:lineRule="atLeast"/>
        <w:ind w:left="1474" w:hanging="794"/>
        <w:jc w:val="left"/>
        <w:rPr>
          <w:szCs w:val="20"/>
        </w:rPr>
      </w:pPr>
      <w:r w:rsidRPr="00BC31E0">
        <w:rPr>
          <w:rFonts w:ascii="ＭＳ ゴシック" w:eastAsia="ＭＳ ゴシック" w:hAnsi="ＭＳ ゴシック" w:hint="eastAsia"/>
          <w:b/>
          <w:szCs w:val="20"/>
        </w:rPr>
        <w:t>注記</w:t>
      </w:r>
      <w:r w:rsidRPr="00BC31E0">
        <w:rPr>
          <w:rFonts w:ascii="ＭＳ ゴシック" w:eastAsia="ＭＳ ゴシック" w:hAnsi="ＭＳ ゴシック" w:cs="Tahoma"/>
          <w:b/>
          <w:szCs w:val="20"/>
        </w:rPr>
        <w:t>3</w:t>
      </w:r>
      <w:r w:rsidRPr="00BC31E0">
        <w:rPr>
          <w:rFonts w:ascii="ＭＳ 明朝" w:hAnsi="ＭＳ 明朝" w:cs="Tahoma" w:hint="eastAsia"/>
          <w:b/>
          <w:szCs w:val="20"/>
        </w:rPr>
        <w:t xml:space="preserve">　</w:t>
      </w:r>
      <w:r w:rsidRPr="00BC31E0">
        <w:rPr>
          <w:rFonts w:hAnsi="ＭＳ 明朝"/>
          <w:szCs w:val="20"/>
        </w:rPr>
        <w:t>中間の</w:t>
      </w:r>
      <w:r w:rsidRPr="00BC31E0">
        <w:rPr>
          <w:rFonts w:hAnsi="ＭＳ 明朝" w:hint="eastAsia"/>
          <w:szCs w:val="20"/>
        </w:rPr>
        <w:t>内外径比</w:t>
      </w:r>
      <m:oMath>
        <m:r>
          <m:rPr>
            <m:sty m:val="p"/>
          </m:rPr>
          <w:rPr>
            <w:rFonts w:ascii="Cambria Math" w:hAnsi="Cambria Math"/>
            <w:szCs w:val="20"/>
          </w:rPr>
          <m:t xml:space="preserve"> </m:t>
        </m:r>
        <m:r>
          <w:rPr>
            <w:rFonts w:ascii="Cambria Math" w:hAnsi="Cambria Math"/>
            <w:szCs w:val="20"/>
          </w:rPr>
          <m:t xml:space="preserve">Y </m:t>
        </m:r>
      </m:oMath>
      <w:r w:rsidRPr="00BC31E0">
        <w:rPr>
          <w:rFonts w:hAnsi="ＭＳ 明朝"/>
          <w:szCs w:val="20"/>
        </w:rPr>
        <w:t>の値及び</w:t>
      </w:r>
      <m:oMath>
        <m:f>
          <m:fPr>
            <m:type m:val="lin"/>
            <m:ctrlPr>
              <w:rPr>
                <w:rFonts w:ascii="Cambria Math" w:hAnsi="Cambria Math"/>
                <w:i/>
                <w:szCs w:val="20"/>
              </w:rPr>
            </m:ctrlPr>
          </m:fPr>
          <m:num>
            <m:r>
              <w:rPr>
                <w:rFonts w:ascii="Cambria Math" w:hAnsi="Cambria Math"/>
                <w:szCs w:val="20"/>
              </w:rPr>
              <m:t xml:space="preserve"> a</m:t>
            </m:r>
          </m:num>
          <m:den>
            <m:r>
              <w:rPr>
                <w:rFonts w:ascii="Cambria Math" w:hAnsi="Cambria Math"/>
                <w:szCs w:val="20"/>
              </w:rPr>
              <m:t xml:space="preserve">l </m:t>
            </m:r>
          </m:den>
        </m:f>
      </m:oMath>
      <w:r w:rsidRPr="00BC31E0">
        <w:rPr>
          <w:rFonts w:hAnsi="ＭＳ 明朝"/>
          <w:szCs w:val="20"/>
        </w:rPr>
        <w:t>の値に対しては，線形補間</w:t>
      </w:r>
      <w:r w:rsidRPr="00BC31E0">
        <w:rPr>
          <w:rFonts w:hAnsi="ＭＳ 明朝" w:hint="eastAsia"/>
          <w:szCs w:val="20"/>
        </w:rPr>
        <w:t>により</w:t>
      </w:r>
      <m:oMath>
        <m:f>
          <m:fPr>
            <m:type m:val="lin"/>
            <m:ctrlPr>
              <w:rPr>
                <w:rFonts w:ascii="Cambria Math" w:hAnsi="Cambria Math"/>
                <w:i/>
                <w:szCs w:val="20"/>
              </w:rPr>
            </m:ctrlPr>
          </m:fPr>
          <m:num>
            <m:r>
              <w:rPr>
                <w:rFonts w:ascii="Cambria Math" w:hAnsi="Cambria Math"/>
                <w:szCs w:val="20"/>
              </w:rPr>
              <m:t xml:space="preserve"> a</m:t>
            </m:r>
          </m:num>
          <m:den>
            <m:r>
              <w:rPr>
                <w:rFonts w:ascii="Cambria Math" w:hAnsi="Cambria Math"/>
                <w:szCs w:val="20"/>
              </w:rPr>
              <m:t xml:space="preserve">t </m:t>
            </m:r>
          </m:den>
        </m:f>
      </m:oMath>
      <w:r w:rsidRPr="00BC31E0">
        <w:rPr>
          <w:rFonts w:hAnsi="ＭＳ 明朝"/>
          <w:szCs w:val="20"/>
        </w:rPr>
        <w:t>を求める。</w:t>
      </w:r>
    </w:p>
    <w:p w14:paraId="179A9A01" w14:textId="77777777" w:rsidR="00CA187B" w:rsidRPr="00BC31E0" w:rsidRDefault="00CA187B" w:rsidP="00CA187B">
      <w:pPr>
        <w:spacing w:line="180" w:lineRule="exact"/>
        <w:rPr>
          <w:rFonts w:ascii="ＭＳ ゴシック" w:eastAsia="ＭＳ ゴシック" w:hAnsi="ＭＳ ゴシック"/>
          <w:b/>
          <w:szCs w:val="20"/>
        </w:rPr>
      </w:pPr>
    </w:p>
    <w:p w14:paraId="2112D8E1" w14:textId="77777777" w:rsidR="00342321" w:rsidRPr="00BC31E0" w:rsidRDefault="00342321" w:rsidP="00CA187B">
      <w:pPr>
        <w:jc w:val="center"/>
        <w:rPr>
          <w:szCs w:val="20"/>
        </w:rPr>
      </w:pPr>
      <w:r w:rsidRPr="00BC31E0">
        <w:rPr>
          <w:rFonts w:ascii="ＭＳ ゴシック" w:eastAsia="ＭＳ ゴシック" w:hAnsi="ＭＳ ゴシック" w:hint="eastAsia"/>
          <w:b/>
          <w:szCs w:val="20"/>
        </w:rPr>
        <w:t>表9.3.16　内部きずの許容きず寸法 (</w:t>
      </w:r>
      <m:oMath>
        <m:r>
          <m:rPr>
            <m:sty m:val="bi"/>
          </m:rPr>
          <w:rPr>
            <w:rFonts w:ascii="Cambria Math" w:eastAsia="ＭＳ ゴシック" w:hAnsi="Cambria Math"/>
            <w:sz w:val="22"/>
            <w:szCs w:val="22"/>
          </w:rPr>
          <m:t>570</m:t>
        </m:r>
        <m:r>
          <w:rPr>
            <w:rFonts w:ascii="Cambria Math" w:eastAsia="ＭＳ ゴシック" w:hAnsi="Cambria Math"/>
            <w:sz w:val="22"/>
            <w:szCs w:val="22"/>
          </w:rPr>
          <m:t>&lt;</m:t>
        </m:r>
        <m:sSub>
          <m:sSubPr>
            <m:ctrlPr>
              <w:rPr>
                <w:rFonts w:ascii="Cambria Math" w:eastAsia="ＭＳ ゴシック" w:hAnsi="Cambria Math"/>
                <w:b/>
                <w:i/>
                <w:sz w:val="22"/>
                <w:szCs w:val="22"/>
              </w:rPr>
            </m:ctrlPr>
          </m:sSubPr>
          <m:e>
            <m:r>
              <m:rPr>
                <m:sty m:val="bi"/>
              </m:rPr>
              <w:rPr>
                <w:rFonts w:ascii="Cambria Math" w:eastAsia="ＭＳ ゴシック" w:hAnsi="Cambria Math"/>
                <w:sz w:val="22"/>
                <w:szCs w:val="22"/>
              </w:rPr>
              <m:t>S</m:t>
            </m:r>
          </m:e>
          <m:sub>
            <m:r>
              <m:rPr>
                <m:sty m:val="bi"/>
              </m:rPr>
              <w:rPr>
                <w:rFonts w:ascii="Cambria Math" w:eastAsia="ＭＳ ゴシック" w:hAnsi="Cambria Math"/>
                <w:sz w:val="22"/>
                <w:szCs w:val="22"/>
                <w:vertAlign w:val="subscript"/>
              </w:rPr>
              <m:t>y</m:t>
            </m:r>
          </m:sub>
        </m:sSub>
        <m:r>
          <m:rPr>
            <m:sty m:val="bi"/>
          </m:rPr>
          <w:rPr>
            <w:rFonts w:ascii="Cambria Math" w:eastAsia="ＭＳ ゴシック" w:hAnsi="Cambria Math"/>
            <w:sz w:val="22"/>
            <w:szCs w:val="22"/>
          </w:rPr>
          <m:t>≦690</m:t>
        </m:r>
        <m:r>
          <m:rPr>
            <m:sty m:val="b"/>
          </m:rPr>
          <w:rPr>
            <w:rFonts w:ascii="Cambria Math" w:eastAsia="ＭＳ ゴシック" w:hAnsi="Cambria Math"/>
            <w:sz w:val="22"/>
            <w:szCs w:val="22"/>
          </w:rPr>
          <m:t xml:space="preserve"> MPa</m:t>
        </m:r>
      </m:oMath>
      <w:r w:rsidRPr="00BC31E0">
        <w:rPr>
          <w:rFonts w:ascii="ＭＳ ゴシック" w:eastAsia="ＭＳ ゴシック" w:hAnsi="ＭＳ ゴシック" w:hint="eastAsia"/>
          <w:b/>
          <w:szCs w:val="20"/>
        </w:rPr>
        <w:t>，溶接後熱処理あり)</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594"/>
        <w:gridCol w:w="1595"/>
        <w:gridCol w:w="1595"/>
        <w:gridCol w:w="1595"/>
      </w:tblGrid>
      <w:tr w:rsidR="00342321" w:rsidRPr="00BC31E0" w14:paraId="7EDEB227" w14:textId="77777777" w:rsidTr="004736F2">
        <w:trPr>
          <w:jc w:val="center"/>
        </w:trPr>
        <w:tc>
          <w:tcPr>
            <w:tcW w:w="992" w:type="dxa"/>
            <w:vMerge w:val="restart"/>
            <w:vAlign w:val="center"/>
          </w:tcPr>
          <w:p w14:paraId="6B16F246" w14:textId="77777777" w:rsidR="00342321" w:rsidRPr="00BC31E0" w:rsidRDefault="00A51873" w:rsidP="004736F2">
            <w:pPr>
              <w:snapToGrid w:val="0"/>
              <w:spacing w:line="300" w:lineRule="atLeast"/>
              <w:jc w:val="center"/>
              <w:rPr>
                <w:rFonts w:ascii="Times New Roman" w:hAnsi="Times New Roman"/>
                <w:i/>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l</m:t>
                    </m:r>
                  </m:den>
                </m:f>
              </m:oMath>
            </m:oMathPara>
          </w:p>
        </w:tc>
        <w:tc>
          <w:tcPr>
            <w:tcW w:w="6379" w:type="dxa"/>
            <w:gridSpan w:val="4"/>
            <w:vAlign w:val="center"/>
          </w:tcPr>
          <w:p w14:paraId="6A594CA8" w14:textId="77777777" w:rsidR="00342321" w:rsidRPr="00BC31E0" w:rsidRDefault="00342321" w:rsidP="004736F2">
            <w:pPr>
              <w:snapToGrid w:val="0"/>
              <w:spacing w:line="300" w:lineRule="atLeast"/>
              <w:jc w:val="center"/>
              <w:rPr>
                <w:rFonts w:ascii="Times New Roman" w:hAnsi="Times New Roman"/>
                <w:i/>
                <w:szCs w:val="20"/>
              </w:rPr>
            </w:pPr>
            <m:oMathPara>
              <m:oMath>
                <m:r>
                  <w:rPr>
                    <w:rFonts w:ascii="Cambria Math" w:hAnsi="Cambria Math"/>
                    <w:szCs w:val="20"/>
                  </w:rPr>
                  <m:t>t&gt;</m:t>
                </m:r>
                <m:r>
                  <w:rPr>
                    <w:rFonts w:ascii="Cambria Math" w:hAnsi="Cambria Math" w:hint="eastAsia"/>
                    <w:szCs w:val="20"/>
                  </w:rPr>
                  <m:t>300</m:t>
                </m:r>
                <m:r>
                  <m:rPr>
                    <m:sty m:val="p"/>
                  </m:rPr>
                  <w:rPr>
                    <w:rFonts w:ascii="Cambria Math" w:hAnsi="Cambria Math" w:hint="eastAsia"/>
                    <w:szCs w:val="20"/>
                  </w:rPr>
                  <m:t xml:space="preserve"> mm</m:t>
                </m:r>
              </m:oMath>
            </m:oMathPara>
          </w:p>
        </w:tc>
      </w:tr>
      <w:tr w:rsidR="00342321" w:rsidRPr="00BC31E0" w14:paraId="678BEE45" w14:textId="77777777" w:rsidTr="004736F2">
        <w:trPr>
          <w:jc w:val="center"/>
        </w:trPr>
        <w:tc>
          <w:tcPr>
            <w:tcW w:w="992" w:type="dxa"/>
            <w:vMerge/>
            <w:vAlign w:val="center"/>
          </w:tcPr>
          <w:p w14:paraId="40657C4D" w14:textId="77777777" w:rsidR="00342321" w:rsidRPr="00BC31E0" w:rsidRDefault="00342321" w:rsidP="004736F2">
            <w:pPr>
              <w:snapToGrid w:val="0"/>
              <w:spacing w:line="300" w:lineRule="atLeast"/>
              <w:jc w:val="center"/>
              <w:rPr>
                <w:rFonts w:ascii="Times New Roman" w:hAnsi="Times New Roman"/>
                <w:i/>
                <w:szCs w:val="20"/>
              </w:rPr>
            </w:pPr>
          </w:p>
        </w:tc>
        <w:tc>
          <w:tcPr>
            <w:tcW w:w="1594" w:type="dxa"/>
            <w:vAlign w:val="center"/>
          </w:tcPr>
          <w:p w14:paraId="105E72D0" w14:textId="77777777" w:rsidR="00342321" w:rsidRPr="00BC31E0" w:rsidRDefault="00342321" w:rsidP="004736F2">
            <w:pPr>
              <w:snapToGrid w:val="0"/>
              <w:spacing w:line="300" w:lineRule="atLeast"/>
              <w:jc w:val="center"/>
              <w:rPr>
                <w:szCs w:val="20"/>
              </w:rPr>
            </w:pPr>
            <m:oMathPara>
              <m:oMath>
                <m:r>
                  <w:rPr>
                    <w:rFonts w:ascii="Cambria Math" w:hAnsi="Cambria Math"/>
                    <w:szCs w:val="20"/>
                  </w:rPr>
                  <m:t>Y=</m:t>
                </m:r>
                <m:r>
                  <w:rPr>
                    <w:rFonts w:ascii="Cambria Math" w:hAnsi="Cambria Math" w:hint="eastAsia"/>
                    <w:szCs w:val="20"/>
                  </w:rPr>
                  <m:t>1.2</m:t>
                </m:r>
              </m:oMath>
            </m:oMathPara>
          </w:p>
        </w:tc>
        <w:tc>
          <w:tcPr>
            <w:tcW w:w="1595" w:type="dxa"/>
            <w:vAlign w:val="center"/>
          </w:tcPr>
          <w:p w14:paraId="12674B10" w14:textId="77777777" w:rsidR="00342321" w:rsidRPr="00BC31E0" w:rsidRDefault="00342321" w:rsidP="004736F2">
            <w:pPr>
              <w:snapToGrid w:val="0"/>
              <w:spacing w:line="300" w:lineRule="atLeast"/>
              <w:jc w:val="center"/>
              <w:rPr>
                <w:szCs w:val="20"/>
              </w:rPr>
            </w:pPr>
            <m:oMathPara>
              <m:oMath>
                <m:r>
                  <w:rPr>
                    <w:rFonts w:ascii="Cambria Math" w:hAnsi="Cambria Math"/>
                    <w:szCs w:val="20"/>
                  </w:rPr>
                  <m:t>Y=</m:t>
                </m:r>
                <m:r>
                  <w:rPr>
                    <w:rFonts w:ascii="Cambria Math" w:hAnsi="Cambria Math" w:hint="eastAsia"/>
                    <w:szCs w:val="20"/>
                  </w:rPr>
                  <m:t>1.5</m:t>
                </m:r>
              </m:oMath>
            </m:oMathPara>
          </w:p>
        </w:tc>
        <w:tc>
          <w:tcPr>
            <w:tcW w:w="1595" w:type="dxa"/>
            <w:vAlign w:val="center"/>
          </w:tcPr>
          <w:p w14:paraId="1FB772D1" w14:textId="77777777" w:rsidR="00342321" w:rsidRPr="00BC31E0" w:rsidRDefault="00342321" w:rsidP="004736F2">
            <w:pPr>
              <w:snapToGrid w:val="0"/>
              <w:spacing w:line="300" w:lineRule="atLeast"/>
              <w:jc w:val="center"/>
              <w:rPr>
                <w:szCs w:val="20"/>
              </w:rPr>
            </w:pPr>
            <m:oMathPara>
              <m:oMath>
                <m:r>
                  <w:rPr>
                    <w:rFonts w:ascii="Cambria Math" w:hAnsi="Cambria Math"/>
                    <w:szCs w:val="20"/>
                  </w:rPr>
                  <m:t>Y=</m:t>
                </m:r>
                <m:r>
                  <w:rPr>
                    <w:rFonts w:ascii="Cambria Math" w:hAnsi="Cambria Math" w:hint="eastAsia"/>
                    <w:szCs w:val="20"/>
                  </w:rPr>
                  <m:t>2.0</m:t>
                </m:r>
              </m:oMath>
            </m:oMathPara>
          </w:p>
        </w:tc>
        <w:tc>
          <w:tcPr>
            <w:tcW w:w="1595" w:type="dxa"/>
            <w:vAlign w:val="center"/>
          </w:tcPr>
          <w:p w14:paraId="5BBC72C6" w14:textId="77777777" w:rsidR="00342321" w:rsidRPr="00BC31E0" w:rsidRDefault="00342321" w:rsidP="004736F2">
            <w:pPr>
              <w:snapToGrid w:val="0"/>
              <w:spacing w:line="300" w:lineRule="atLeast"/>
              <w:jc w:val="center"/>
              <w:rPr>
                <w:szCs w:val="20"/>
              </w:rPr>
            </w:pPr>
            <m:oMathPara>
              <m:oMath>
                <m:r>
                  <w:rPr>
                    <w:rFonts w:ascii="Cambria Math" w:hAnsi="Cambria Math"/>
                    <w:szCs w:val="20"/>
                  </w:rPr>
                  <m:t>Y=</m:t>
                </m:r>
                <m:r>
                  <w:rPr>
                    <w:rFonts w:ascii="Cambria Math" w:hAnsi="Cambria Math" w:hint="eastAsia"/>
                    <w:szCs w:val="20"/>
                  </w:rPr>
                  <m:t>2.5</m:t>
                </m:r>
              </m:oMath>
            </m:oMathPara>
          </w:p>
        </w:tc>
      </w:tr>
      <w:tr w:rsidR="00342321" w:rsidRPr="00BC31E0" w14:paraId="6E53CF98" w14:textId="77777777" w:rsidTr="004736F2">
        <w:trPr>
          <w:jc w:val="center"/>
        </w:trPr>
        <w:tc>
          <w:tcPr>
            <w:tcW w:w="992" w:type="dxa"/>
            <w:vMerge/>
            <w:vAlign w:val="center"/>
          </w:tcPr>
          <w:p w14:paraId="7E40ACD2" w14:textId="77777777" w:rsidR="00342321" w:rsidRPr="00BC31E0" w:rsidRDefault="00342321" w:rsidP="004736F2">
            <w:pPr>
              <w:snapToGrid w:val="0"/>
              <w:spacing w:line="300" w:lineRule="atLeast"/>
              <w:jc w:val="center"/>
              <w:rPr>
                <w:szCs w:val="20"/>
              </w:rPr>
            </w:pPr>
          </w:p>
        </w:tc>
        <w:tc>
          <w:tcPr>
            <w:tcW w:w="1594" w:type="dxa"/>
            <w:vAlign w:val="center"/>
          </w:tcPr>
          <w:p w14:paraId="1232F9BD" w14:textId="77777777" w:rsidR="00342321" w:rsidRPr="00BC31E0" w:rsidRDefault="00342321" w:rsidP="004736F2">
            <w:pPr>
              <w:snapToGrid w:val="0"/>
              <w:spacing w:line="300" w:lineRule="atLeast"/>
              <w:jc w:val="center"/>
              <w:rPr>
                <w:szCs w:val="20"/>
              </w:rPr>
            </w:pPr>
            <m:oMath>
              <m:r>
                <w:rPr>
                  <w:rFonts w:ascii="Cambria Math" w:hAnsi="Cambria Math"/>
                  <w:szCs w:val="20"/>
                </w:rPr>
                <m:t xml:space="preserve">a </m:t>
              </m:r>
            </m:oMath>
            <w:r w:rsidRPr="00BC31E0">
              <w:rPr>
                <w:rFonts w:asciiTheme="minorHAnsi" w:hAnsiTheme="minorHAnsi"/>
                <w:szCs w:val="20"/>
              </w:rPr>
              <w:t>(</w:t>
            </w:r>
            <m:oMath>
              <m:r>
                <m:rPr>
                  <m:sty m:val="p"/>
                </m:rPr>
                <w:rPr>
                  <w:rFonts w:ascii="Cambria Math" w:hAnsi="Cambria Math"/>
                  <w:szCs w:val="20"/>
                </w:rPr>
                <m:t>mm</m:t>
              </m:r>
            </m:oMath>
            <w:r w:rsidRPr="00BC31E0">
              <w:rPr>
                <w:rFonts w:asciiTheme="minorHAnsi" w:hAnsiTheme="minorHAnsi"/>
                <w:szCs w:val="20"/>
              </w:rPr>
              <w:t>)</w:t>
            </w:r>
          </w:p>
        </w:tc>
        <w:tc>
          <w:tcPr>
            <w:tcW w:w="1595" w:type="dxa"/>
            <w:vAlign w:val="center"/>
          </w:tcPr>
          <w:p w14:paraId="48A38E78" w14:textId="77777777" w:rsidR="00342321" w:rsidRPr="00BC31E0" w:rsidRDefault="00342321" w:rsidP="004736F2">
            <w:pPr>
              <w:snapToGrid w:val="0"/>
              <w:spacing w:line="300" w:lineRule="atLeast"/>
              <w:jc w:val="center"/>
              <w:rPr>
                <w:szCs w:val="20"/>
              </w:rPr>
            </w:pPr>
            <m:oMath>
              <m:r>
                <w:rPr>
                  <w:rFonts w:ascii="Cambria Math" w:hAnsi="Cambria Math"/>
                  <w:szCs w:val="20"/>
                </w:rPr>
                <m:t xml:space="preserve">a </m:t>
              </m:r>
            </m:oMath>
            <w:r w:rsidRPr="00BC31E0">
              <w:rPr>
                <w:rFonts w:asciiTheme="minorHAnsi" w:hAnsiTheme="minorHAnsi"/>
                <w:szCs w:val="20"/>
              </w:rPr>
              <w:t>(</w:t>
            </w:r>
            <m:oMath>
              <m:r>
                <m:rPr>
                  <m:sty m:val="p"/>
                </m:rPr>
                <w:rPr>
                  <w:rFonts w:ascii="Cambria Math" w:hAnsi="Cambria Math"/>
                  <w:szCs w:val="20"/>
                </w:rPr>
                <m:t>mm</m:t>
              </m:r>
            </m:oMath>
            <w:r w:rsidRPr="00BC31E0">
              <w:rPr>
                <w:rFonts w:asciiTheme="minorHAnsi" w:hAnsiTheme="minorHAnsi"/>
                <w:szCs w:val="20"/>
              </w:rPr>
              <w:t>)</w:t>
            </w:r>
          </w:p>
        </w:tc>
        <w:tc>
          <w:tcPr>
            <w:tcW w:w="1595" w:type="dxa"/>
            <w:vAlign w:val="center"/>
          </w:tcPr>
          <w:p w14:paraId="459D5E05" w14:textId="77777777" w:rsidR="00342321" w:rsidRPr="00BC31E0" w:rsidRDefault="00342321" w:rsidP="004736F2">
            <w:pPr>
              <w:snapToGrid w:val="0"/>
              <w:spacing w:line="300" w:lineRule="atLeast"/>
              <w:jc w:val="center"/>
              <w:rPr>
                <w:szCs w:val="20"/>
              </w:rPr>
            </w:pPr>
            <m:oMath>
              <m:r>
                <w:rPr>
                  <w:rFonts w:ascii="Cambria Math" w:hAnsi="Cambria Math"/>
                  <w:szCs w:val="20"/>
                </w:rPr>
                <m:t xml:space="preserve">a </m:t>
              </m:r>
            </m:oMath>
            <w:r w:rsidRPr="00BC31E0">
              <w:rPr>
                <w:rFonts w:asciiTheme="minorHAnsi" w:hAnsiTheme="minorHAnsi"/>
                <w:szCs w:val="20"/>
              </w:rPr>
              <w:t>(</w:t>
            </w:r>
            <m:oMath>
              <m:r>
                <m:rPr>
                  <m:sty m:val="p"/>
                </m:rPr>
                <w:rPr>
                  <w:rFonts w:ascii="Cambria Math" w:hAnsi="Cambria Math"/>
                  <w:szCs w:val="20"/>
                </w:rPr>
                <m:t>mm</m:t>
              </m:r>
            </m:oMath>
            <w:r w:rsidRPr="00BC31E0">
              <w:rPr>
                <w:rFonts w:asciiTheme="minorHAnsi" w:hAnsiTheme="minorHAnsi"/>
                <w:szCs w:val="20"/>
              </w:rPr>
              <w:t>)</w:t>
            </w:r>
          </w:p>
        </w:tc>
        <w:tc>
          <w:tcPr>
            <w:tcW w:w="1595" w:type="dxa"/>
            <w:vAlign w:val="center"/>
          </w:tcPr>
          <w:p w14:paraId="412CCA25" w14:textId="77777777" w:rsidR="00342321" w:rsidRPr="00BC31E0" w:rsidRDefault="00342321" w:rsidP="004736F2">
            <w:pPr>
              <w:snapToGrid w:val="0"/>
              <w:spacing w:line="300" w:lineRule="atLeast"/>
              <w:jc w:val="center"/>
              <w:rPr>
                <w:szCs w:val="20"/>
              </w:rPr>
            </w:pPr>
            <m:oMath>
              <m:r>
                <w:rPr>
                  <w:rFonts w:ascii="Cambria Math" w:hAnsi="Cambria Math"/>
                  <w:szCs w:val="20"/>
                </w:rPr>
                <m:t xml:space="preserve">a </m:t>
              </m:r>
            </m:oMath>
            <w:r w:rsidRPr="00BC31E0">
              <w:rPr>
                <w:rFonts w:asciiTheme="minorHAnsi" w:hAnsiTheme="minorHAnsi"/>
                <w:szCs w:val="20"/>
              </w:rPr>
              <w:t>(</w:t>
            </w:r>
            <m:oMath>
              <m:r>
                <m:rPr>
                  <m:sty m:val="p"/>
                </m:rPr>
                <w:rPr>
                  <w:rFonts w:ascii="Cambria Math" w:hAnsi="Cambria Math"/>
                  <w:szCs w:val="20"/>
                </w:rPr>
                <m:t>mm</m:t>
              </m:r>
            </m:oMath>
            <w:r w:rsidRPr="00BC31E0">
              <w:rPr>
                <w:rFonts w:asciiTheme="minorHAnsi" w:hAnsiTheme="minorHAnsi"/>
                <w:szCs w:val="20"/>
              </w:rPr>
              <w:t>)</w:t>
            </w:r>
          </w:p>
        </w:tc>
      </w:tr>
      <w:tr w:rsidR="00342321" w:rsidRPr="00BC31E0" w14:paraId="50F706AA" w14:textId="77777777" w:rsidTr="004736F2">
        <w:trPr>
          <w:jc w:val="center"/>
        </w:trPr>
        <w:tc>
          <w:tcPr>
            <w:tcW w:w="992" w:type="dxa"/>
            <w:vAlign w:val="center"/>
          </w:tcPr>
          <w:p w14:paraId="204FF87A"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0.0</w:t>
            </w:r>
          </w:p>
        </w:tc>
        <w:tc>
          <w:tcPr>
            <w:tcW w:w="1594" w:type="dxa"/>
            <w:vAlign w:val="center"/>
          </w:tcPr>
          <w:p w14:paraId="36FC1658" w14:textId="77777777" w:rsidR="00342321" w:rsidRPr="00BC31E0" w:rsidRDefault="00342321" w:rsidP="004736F2">
            <w:pPr>
              <w:snapToGrid w:val="0"/>
              <w:spacing w:line="300" w:lineRule="atLeast"/>
              <w:jc w:val="center"/>
              <w:rPr>
                <w:rFonts w:ascii="Cambria Math" w:hAnsi="Cambria Math"/>
                <w:sz w:val="22"/>
                <w:szCs w:val="22"/>
              </w:rPr>
            </w:pPr>
            <m:oMathPara>
              <m:oMath>
                <m:r>
                  <m:rPr>
                    <m:sty m:val="p"/>
                  </m:rPr>
                  <w:rPr>
                    <w:rFonts w:ascii="Cambria Math" w:hAnsi="Cambria Math"/>
                    <w:sz w:val="22"/>
                    <w:szCs w:val="22"/>
                  </w:rPr>
                  <m:t xml:space="preserve">4.77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595" w:type="dxa"/>
            <w:vAlign w:val="center"/>
          </w:tcPr>
          <w:p w14:paraId="7FF20661" w14:textId="77777777" w:rsidR="00342321" w:rsidRPr="00BC31E0" w:rsidRDefault="00342321" w:rsidP="004736F2">
            <w:pPr>
              <w:snapToGrid w:val="0"/>
              <w:spacing w:line="300" w:lineRule="atLeast"/>
              <w:jc w:val="center"/>
              <w:rPr>
                <w:rFonts w:ascii="Cambria Math" w:hAnsi="Cambria Math"/>
                <w:sz w:val="22"/>
                <w:szCs w:val="22"/>
              </w:rPr>
            </w:pPr>
            <m:oMathPara>
              <m:oMath>
                <m:r>
                  <m:rPr>
                    <m:sty m:val="p"/>
                  </m:rPr>
                  <w:rPr>
                    <w:rFonts w:ascii="Cambria Math" w:hAnsi="Cambria Math"/>
                    <w:sz w:val="22"/>
                    <w:szCs w:val="22"/>
                  </w:rPr>
                  <m:t xml:space="preserve">3.02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595" w:type="dxa"/>
            <w:vAlign w:val="center"/>
          </w:tcPr>
          <w:p w14:paraId="02EBC455" w14:textId="77777777" w:rsidR="00342321" w:rsidRPr="00BC31E0" w:rsidRDefault="00342321" w:rsidP="004736F2">
            <w:pPr>
              <w:snapToGrid w:val="0"/>
              <w:spacing w:line="300" w:lineRule="atLeast"/>
              <w:jc w:val="center"/>
              <w:rPr>
                <w:rFonts w:ascii="Cambria Math" w:eastAsia="ＭＳ ゴシック" w:hAnsi="Cambria Math" w:cs="Tahoma"/>
                <w:b/>
                <w:sz w:val="22"/>
                <w:szCs w:val="22"/>
              </w:rPr>
            </w:pPr>
            <m:oMathPara>
              <m:oMath>
                <m:r>
                  <m:rPr>
                    <m:sty m:val="p"/>
                  </m:rPr>
                  <w:rPr>
                    <w:rFonts w:ascii="Cambria Math" w:hAnsi="Cambria Math"/>
                    <w:sz w:val="22"/>
                    <w:szCs w:val="22"/>
                  </w:rPr>
                  <m:t xml:space="preserve">1.52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595" w:type="dxa"/>
            <w:vAlign w:val="center"/>
          </w:tcPr>
          <w:p w14:paraId="29D7A58E" w14:textId="77777777" w:rsidR="00342321" w:rsidRPr="00BC31E0" w:rsidRDefault="00342321" w:rsidP="004736F2">
            <w:pPr>
              <w:snapToGrid w:val="0"/>
              <w:spacing w:line="300" w:lineRule="atLeast"/>
              <w:jc w:val="center"/>
              <w:rPr>
                <w:rFonts w:ascii="Cambria Math" w:eastAsia="ＭＳ ゴシック" w:hAnsi="Cambria Math" w:cs="Tahoma"/>
                <w:sz w:val="22"/>
                <w:szCs w:val="22"/>
              </w:rPr>
            </w:pPr>
            <m:oMathPara>
              <m:oMath>
                <m:r>
                  <m:rPr>
                    <m:sty m:val="p"/>
                  </m:rPr>
                  <w:rPr>
                    <w:rFonts w:ascii="Cambria Math" w:hAnsi="Cambria Math"/>
                    <w:sz w:val="22"/>
                    <w:szCs w:val="22"/>
                  </w:rPr>
                  <m:t xml:space="preserve">0.789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r>
      <w:tr w:rsidR="00342321" w:rsidRPr="00BC31E0" w14:paraId="1878A8CB" w14:textId="77777777" w:rsidTr="004736F2">
        <w:trPr>
          <w:jc w:val="center"/>
        </w:trPr>
        <w:tc>
          <w:tcPr>
            <w:tcW w:w="992" w:type="dxa"/>
            <w:vAlign w:val="center"/>
          </w:tcPr>
          <w:p w14:paraId="2FC77C94"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0.1</w:t>
            </w:r>
          </w:p>
        </w:tc>
        <w:tc>
          <w:tcPr>
            <w:tcW w:w="1594" w:type="dxa"/>
            <w:vAlign w:val="center"/>
          </w:tcPr>
          <w:p w14:paraId="130304EC" w14:textId="77777777" w:rsidR="00342321" w:rsidRPr="00BC31E0" w:rsidRDefault="00342321" w:rsidP="004736F2">
            <w:pPr>
              <w:snapToGrid w:val="0"/>
              <w:spacing w:line="300" w:lineRule="atLeast"/>
              <w:jc w:val="center"/>
              <w:rPr>
                <w:rFonts w:ascii="Cambria Math" w:hAnsi="Cambria Math"/>
                <w:sz w:val="22"/>
                <w:szCs w:val="22"/>
              </w:rPr>
            </w:pPr>
            <m:oMathPara>
              <m:oMath>
                <m:r>
                  <m:rPr>
                    <m:sty m:val="p"/>
                  </m:rPr>
                  <w:rPr>
                    <w:rFonts w:ascii="Cambria Math" w:hAnsi="Cambria Math"/>
                    <w:sz w:val="22"/>
                    <w:szCs w:val="22"/>
                  </w:rPr>
                  <m:t xml:space="preserve">5.42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595" w:type="dxa"/>
            <w:vAlign w:val="center"/>
          </w:tcPr>
          <w:p w14:paraId="75E08C53" w14:textId="77777777" w:rsidR="00342321" w:rsidRPr="00BC31E0" w:rsidRDefault="00342321" w:rsidP="004736F2">
            <w:pPr>
              <w:snapToGrid w:val="0"/>
              <w:spacing w:line="300" w:lineRule="atLeast"/>
              <w:jc w:val="center"/>
              <w:rPr>
                <w:rFonts w:ascii="Cambria Math" w:hAnsi="Cambria Math"/>
                <w:sz w:val="22"/>
                <w:szCs w:val="22"/>
              </w:rPr>
            </w:pPr>
            <m:oMathPara>
              <m:oMath>
                <m:r>
                  <m:rPr>
                    <m:sty m:val="p"/>
                  </m:rPr>
                  <w:rPr>
                    <w:rFonts w:ascii="Cambria Math" w:hAnsi="Cambria Math"/>
                    <w:sz w:val="22"/>
                    <w:szCs w:val="22"/>
                  </w:rPr>
                  <m:t xml:space="preserve">3.48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595" w:type="dxa"/>
            <w:vAlign w:val="center"/>
          </w:tcPr>
          <w:p w14:paraId="42744E01" w14:textId="77777777" w:rsidR="00342321" w:rsidRPr="00BC31E0" w:rsidRDefault="00342321" w:rsidP="004736F2">
            <w:pPr>
              <w:snapToGrid w:val="0"/>
              <w:spacing w:line="300" w:lineRule="atLeast"/>
              <w:jc w:val="center"/>
              <w:rPr>
                <w:rFonts w:ascii="Cambria Math" w:hAnsi="Cambria Math"/>
                <w:sz w:val="22"/>
                <w:szCs w:val="22"/>
              </w:rPr>
            </w:pPr>
            <m:oMathPara>
              <m:oMath>
                <m:r>
                  <m:rPr>
                    <m:sty m:val="p"/>
                  </m:rPr>
                  <w:rPr>
                    <w:rFonts w:ascii="Cambria Math" w:hAnsi="Cambria Math"/>
                    <w:sz w:val="22"/>
                    <w:szCs w:val="22"/>
                  </w:rPr>
                  <m:t xml:space="preserve">1.84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595" w:type="dxa"/>
            <w:vAlign w:val="center"/>
          </w:tcPr>
          <w:p w14:paraId="02E14DF7" w14:textId="77777777" w:rsidR="00342321" w:rsidRPr="00BC31E0" w:rsidRDefault="00342321" w:rsidP="004736F2">
            <w:pPr>
              <w:snapToGrid w:val="0"/>
              <w:spacing w:line="300" w:lineRule="atLeast"/>
              <w:jc w:val="center"/>
              <w:rPr>
                <w:rFonts w:ascii="Cambria Math" w:eastAsia="ＭＳ ゴシック" w:hAnsi="Cambria Math"/>
                <w:b/>
                <w:sz w:val="22"/>
                <w:szCs w:val="22"/>
              </w:rPr>
            </w:pPr>
            <m:oMathPara>
              <m:oMath>
                <m:r>
                  <m:rPr>
                    <m:sty m:val="p"/>
                  </m:rPr>
                  <w:rPr>
                    <w:rFonts w:ascii="Cambria Math" w:hAnsi="Cambria Math"/>
                    <w:sz w:val="22"/>
                    <w:szCs w:val="22"/>
                  </w:rPr>
                  <m:t xml:space="preserve">1.01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r>
      <w:tr w:rsidR="00342321" w:rsidRPr="00BC31E0" w14:paraId="439EBCC9" w14:textId="77777777" w:rsidTr="004736F2">
        <w:trPr>
          <w:jc w:val="center"/>
        </w:trPr>
        <w:tc>
          <w:tcPr>
            <w:tcW w:w="992" w:type="dxa"/>
            <w:vAlign w:val="center"/>
          </w:tcPr>
          <w:p w14:paraId="67F01FBB"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0.2</w:t>
            </w:r>
          </w:p>
        </w:tc>
        <w:tc>
          <w:tcPr>
            <w:tcW w:w="1594" w:type="dxa"/>
            <w:vAlign w:val="center"/>
          </w:tcPr>
          <w:p w14:paraId="01FE2B52" w14:textId="77777777" w:rsidR="00342321" w:rsidRPr="00BC31E0" w:rsidRDefault="00342321" w:rsidP="004736F2">
            <w:pPr>
              <w:snapToGrid w:val="0"/>
              <w:spacing w:line="300" w:lineRule="atLeast"/>
              <w:jc w:val="center"/>
              <w:rPr>
                <w:rFonts w:ascii="Cambria Math" w:hAnsi="Cambria Math"/>
                <w:sz w:val="22"/>
                <w:szCs w:val="22"/>
              </w:rPr>
            </w:pPr>
            <m:oMathPara>
              <m:oMath>
                <m:r>
                  <m:rPr>
                    <m:sty m:val="p"/>
                  </m:rPr>
                  <w:rPr>
                    <w:rFonts w:ascii="Cambria Math" w:hAnsi="Cambria Math"/>
                    <w:sz w:val="22"/>
                    <w:szCs w:val="22"/>
                  </w:rPr>
                  <m:t xml:space="preserve">6.91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595" w:type="dxa"/>
            <w:vAlign w:val="center"/>
          </w:tcPr>
          <w:p w14:paraId="0ED088DD" w14:textId="77777777" w:rsidR="00342321" w:rsidRPr="00BC31E0" w:rsidRDefault="00342321" w:rsidP="004736F2">
            <w:pPr>
              <w:snapToGrid w:val="0"/>
              <w:spacing w:line="300" w:lineRule="atLeast"/>
              <w:jc w:val="center"/>
              <w:rPr>
                <w:rFonts w:ascii="Cambria Math" w:hAnsi="Cambria Math"/>
                <w:sz w:val="22"/>
                <w:szCs w:val="22"/>
              </w:rPr>
            </w:pPr>
            <m:oMathPara>
              <m:oMath>
                <m:r>
                  <m:rPr>
                    <m:sty m:val="p"/>
                  </m:rPr>
                  <w:rPr>
                    <w:rFonts w:ascii="Cambria Math" w:hAnsi="Cambria Math"/>
                    <w:sz w:val="22"/>
                    <w:szCs w:val="22"/>
                  </w:rPr>
                  <m:t xml:space="preserve">4.54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595" w:type="dxa"/>
            <w:vAlign w:val="center"/>
          </w:tcPr>
          <w:p w14:paraId="711F2FDF" w14:textId="77777777" w:rsidR="00342321" w:rsidRPr="00BC31E0" w:rsidRDefault="00342321" w:rsidP="004736F2">
            <w:pPr>
              <w:snapToGrid w:val="0"/>
              <w:spacing w:line="300" w:lineRule="atLeast"/>
              <w:jc w:val="center"/>
              <w:rPr>
                <w:rFonts w:ascii="Cambria Math" w:hAnsi="Cambria Math"/>
                <w:sz w:val="22"/>
                <w:szCs w:val="22"/>
              </w:rPr>
            </w:pPr>
            <m:oMathPara>
              <m:oMath>
                <m:r>
                  <m:rPr>
                    <m:sty m:val="p"/>
                  </m:rPr>
                  <w:rPr>
                    <w:rFonts w:ascii="Cambria Math" w:hAnsi="Cambria Math"/>
                    <w:sz w:val="22"/>
                    <w:szCs w:val="22"/>
                  </w:rPr>
                  <m:t xml:space="preserve">2.47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595" w:type="dxa"/>
            <w:vAlign w:val="center"/>
          </w:tcPr>
          <w:p w14:paraId="547C6796" w14:textId="77777777" w:rsidR="00342321" w:rsidRPr="00BC31E0" w:rsidRDefault="00342321" w:rsidP="004736F2">
            <w:pPr>
              <w:snapToGrid w:val="0"/>
              <w:spacing w:line="300" w:lineRule="atLeast"/>
              <w:jc w:val="center"/>
              <w:rPr>
                <w:rFonts w:ascii="Cambria Math" w:eastAsia="ＭＳ ゴシック" w:hAnsi="Cambria Math"/>
                <w:b/>
                <w:sz w:val="22"/>
                <w:szCs w:val="22"/>
              </w:rPr>
            </w:pPr>
            <m:oMathPara>
              <m:oMath>
                <m:r>
                  <m:rPr>
                    <m:sty m:val="p"/>
                  </m:rPr>
                  <w:rPr>
                    <w:rFonts w:ascii="Cambria Math" w:hAnsi="Cambria Math"/>
                    <w:sz w:val="22"/>
                    <w:szCs w:val="22"/>
                  </w:rPr>
                  <m:t xml:space="preserve">1.48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r>
      <w:tr w:rsidR="00342321" w:rsidRPr="00BC31E0" w14:paraId="0C33222B" w14:textId="77777777" w:rsidTr="004736F2">
        <w:trPr>
          <w:jc w:val="center"/>
        </w:trPr>
        <w:tc>
          <w:tcPr>
            <w:tcW w:w="992" w:type="dxa"/>
            <w:vAlign w:val="center"/>
          </w:tcPr>
          <w:p w14:paraId="3BBD35F3"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0.3</w:t>
            </w:r>
          </w:p>
        </w:tc>
        <w:tc>
          <w:tcPr>
            <w:tcW w:w="1594" w:type="dxa"/>
            <w:vAlign w:val="center"/>
          </w:tcPr>
          <w:p w14:paraId="64CB7754" w14:textId="77777777" w:rsidR="00342321" w:rsidRPr="00BC31E0" w:rsidRDefault="00342321" w:rsidP="004736F2">
            <w:pPr>
              <w:snapToGrid w:val="0"/>
              <w:spacing w:line="300" w:lineRule="atLeast"/>
              <w:jc w:val="center"/>
              <w:rPr>
                <w:rFonts w:ascii="Cambria Math" w:hAnsi="Cambria Math"/>
                <w:sz w:val="22"/>
                <w:szCs w:val="22"/>
              </w:rPr>
            </w:pPr>
            <m:oMathPara>
              <m:oMath>
                <m:r>
                  <m:rPr>
                    <m:sty m:val="p"/>
                  </m:rPr>
                  <w:rPr>
                    <w:rFonts w:ascii="Cambria Math" w:hAnsi="Cambria Math"/>
                    <w:sz w:val="22"/>
                    <w:szCs w:val="22"/>
                  </w:rPr>
                  <m:t xml:space="preserve">9.06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595" w:type="dxa"/>
            <w:vAlign w:val="center"/>
          </w:tcPr>
          <w:p w14:paraId="6CADB95D" w14:textId="77777777" w:rsidR="00342321" w:rsidRPr="00BC31E0" w:rsidRDefault="00342321" w:rsidP="004736F2">
            <w:pPr>
              <w:snapToGrid w:val="0"/>
              <w:spacing w:line="300" w:lineRule="atLeast"/>
              <w:jc w:val="center"/>
              <w:rPr>
                <w:rFonts w:ascii="Cambria Math" w:hAnsi="Cambria Math"/>
                <w:sz w:val="22"/>
                <w:szCs w:val="22"/>
              </w:rPr>
            </w:pPr>
            <m:oMathPara>
              <m:oMath>
                <m:r>
                  <m:rPr>
                    <m:sty m:val="p"/>
                  </m:rPr>
                  <w:rPr>
                    <w:rFonts w:ascii="Cambria Math" w:hAnsi="Cambria Math"/>
                    <w:sz w:val="22"/>
                    <w:szCs w:val="22"/>
                  </w:rPr>
                  <m:t xml:space="preserve">6.04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595" w:type="dxa"/>
            <w:vAlign w:val="center"/>
          </w:tcPr>
          <w:p w14:paraId="5FAD1B8B" w14:textId="77777777" w:rsidR="00342321" w:rsidRPr="00BC31E0" w:rsidRDefault="00342321" w:rsidP="004736F2">
            <w:pPr>
              <w:snapToGrid w:val="0"/>
              <w:spacing w:line="300" w:lineRule="atLeast"/>
              <w:jc w:val="center"/>
              <w:rPr>
                <w:rFonts w:ascii="Cambria Math" w:hAnsi="Cambria Math"/>
                <w:sz w:val="22"/>
                <w:szCs w:val="22"/>
              </w:rPr>
            </w:pPr>
            <m:oMathPara>
              <m:oMath>
                <m:r>
                  <m:rPr>
                    <m:sty m:val="p"/>
                  </m:rPr>
                  <w:rPr>
                    <w:rFonts w:ascii="Cambria Math" w:hAnsi="Cambria Math"/>
                    <w:sz w:val="22"/>
                    <w:szCs w:val="22"/>
                  </w:rPr>
                  <m:t xml:space="preserve">3.38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595" w:type="dxa"/>
            <w:vAlign w:val="center"/>
          </w:tcPr>
          <w:p w14:paraId="0F069FF5" w14:textId="77777777" w:rsidR="00342321" w:rsidRPr="00BC31E0" w:rsidRDefault="00342321" w:rsidP="004736F2">
            <w:pPr>
              <w:snapToGrid w:val="0"/>
              <w:spacing w:line="300" w:lineRule="atLeast"/>
              <w:jc w:val="center"/>
              <w:rPr>
                <w:rFonts w:ascii="Cambria Math" w:hAnsi="Cambria Math"/>
                <w:sz w:val="22"/>
                <w:szCs w:val="22"/>
              </w:rPr>
            </w:pPr>
            <m:oMathPara>
              <m:oMath>
                <m:r>
                  <m:rPr>
                    <m:sty m:val="p"/>
                  </m:rPr>
                  <w:rPr>
                    <w:rFonts w:ascii="Cambria Math" w:hAnsi="Cambria Math"/>
                    <w:sz w:val="22"/>
                    <w:szCs w:val="22"/>
                  </w:rPr>
                  <m:t xml:space="preserve">2.12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r>
      <w:tr w:rsidR="00342321" w:rsidRPr="00BC31E0" w14:paraId="6BB67BD3" w14:textId="77777777" w:rsidTr="004736F2">
        <w:trPr>
          <w:jc w:val="center"/>
        </w:trPr>
        <w:tc>
          <w:tcPr>
            <w:tcW w:w="992" w:type="dxa"/>
            <w:vAlign w:val="center"/>
          </w:tcPr>
          <w:p w14:paraId="20B28CE3"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0.4</w:t>
            </w:r>
          </w:p>
        </w:tc>
        <w:tc>
          <w:tcPr>
            <w:tcW w:w="1594" w:type="dxa"/>
            <w:vAlign w:val="center"/>
          </w:tcPr>
          <w:p w14:paraId="7CD39BF4" w14:textId="77777777" w:rsidR="00342321" w:rsidRPr="00BC31E0" w:rsidRDefault="00342321" w:rsidP="004736F2">
            <w:pPr>
              <w:snapToGrid w:val="0"/>
              <w:spacing w:line="300" w:lineRule="atLeast"/>
              <w:jc w:val="center"/>
              <w:rPr>
                <w:rFonts w:ascii="Cambria Math" w:hAnsi="Cambria Math"/>
                <w:sz w:val="22"/>
                <w:szCs w:val="22"/>
              </w:rPr>
            </w:pPr>
            <m:oMathPara>
              <m:oMath>
                <m:r>
                  <m:rPr>
                    <m:sty m:val="p"/>
                  </m:rPr>
                  <w:rPr>
                    <w:rFonts w:ascii="Cambria Math" w:hAnsi="Cambria Math"/>
                    <w:sz w:val="22"/>
                    <w:szCs w:val="22"/>
                  </w:rPr>
                  <m:t xml:space="preserve">11.9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595" w:type="dxa"/>
            <w:vAlign w:val="center"/>
          </w:tcPr>
          <w:p w14:paraId="5D12E862" w14:textId="77777777" w:rsidR="00342321" w:rsidRPr="00BC31E0" w:rsidRDefault="00342321" w:rsidP="004736F2">
            <w:pPr>
              <w:snapToGrid w:val="0"/>
              <w:spacing w:line="300" w:lineRule="atLeast"/>
              <w:jc w:val="center"/>
              <w:rPr>
                <w:rFonts w:ascii="Cambria Math" w:hAnsi="Cambria Math"/>
                <w:sz w:val="22"/>
                <w:szCs w:val="22"/>
              </w:rPr>
            </w:pPr>
            <m:oMathPara>
              <m:oMath>
                <m:r>
                  <m:rPr>
                    <m:sty m:val="p"/>
                  </m:rPr>
                  <w:rPr>
                    <w:rFonts w:ascii="Cambria Math" w:hAnsi="Cambria Math"/>
                    <w:sz w:val="22"/>
                    <w:szCs w:val="22"/>
                  </w:rPr>
                  <m:t xml:space="preserve">8.09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595" w:type="dxa"/>
            <w:vAlign w:val="center"/>
          </w:tcPr>
          <w:p w14:paraId="3969E479" w14:textId="77777777" w:rsidR="00342321" w:rsidRPr="00BC31E0" w:rsidRDefault="00342321" w:rsidP="004736F2">
            <w:pPr>
              <w:snapToGrid w:val="0"/>
              <w:spacing w:line="300" w:lineRule="atLeast"/>
              <w:jc w:val="center"/>
              <w:rPr>
                <w:rFonts w:ascii="Cambria Math" w:hAnsi="Cambria Math"/>
                <w:sz w:val="22"/>
                <w:szCs w:val="22"/>
              </w:rPr>
            </w:pPr>
            <m:oMathPara>
              <m:oMath>
                <m:r>
                  <m:rPr>
                    <m:sty m:val="p"/>
                  </m:rPr>
                  <w:rPr>
                    <w:rFonts w:ascii="Cambria Math" w:hAnsi="Cambria Math"/>
                    <w:sz w:val="22"/>
                    <w:szCs w:val="22"/>
                  </w:rPr>
                  <m:t xml:space="preserve">4.93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595" w:type="dxa"/>
            <w:vAlign w:val="center"/>
          </w:tcPr>
          <w:p w14:paraId="2E6ECCE0" w14:textId="77777777" w:rsidR="00342321" w:rsidRPr="00BC31E0" w:rsidRDefault="00342321" w:rsidP="004736F2">
            <w:pPr>
              <w:snapToGrid w:val="0"/>
              <w:spacing w:line="300" w:lineRule="atLeast"/>
              <w:jc w:val="center"/>
              <w:rPr>
                <w:rFonts w:ascii="Cambria Math" w:hAnsi="Cambria Math"/>
                <w:sz w:val="22"/>
                <w:szCs w:val="22"/>
              </w:rPr>
            </w:pPr>
            <m:oMathPara>
              <m:oMath>
                <m:r>
                  <m:rPr>
                    <m:sty m:val="p"/>
                  </m:rPr>
                  <w:rPr>
                    <w:rFonts w:ascii="Cambria Math" w:hAnsi="Cambria Math"/>
                    <w:sz w:val="22"/>
                    <w:szCs w:val="22"/>
                  </w:rPr>
                  <m:t xml:space="preserve">3.34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r>
      <w:tr w:rsidR="00342321" w:rsidRPr="00BC31E0" w14:paraId="0B0583E1" w14:textId="77777777" w:rsidTr="004736F2">
        <w:trPr>
          <w:jc w:val="center"/>
        </w:trPr>
        <w:tc>
          <w:tcPr>
            <w:tcW w:w="992" w:type="dxa"/>
            <w:vAlign w:val="center"/>
          </w:tcPr>
          <w:p w14:paraId="52B92E4F"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0.5</w:t>
            </w:r>
          </w:p>
        </w:tc>
        <w:tc>
          <w:tcPr>
            <w:tcW w:w="1594" w:type="dxa"/>
            <w:vAlign w:val="center"/>
          </w:tcPr>
          <w:p w14:paraId="253272D4" w14:textId="77777777" w:rsidR="00342321" w:rsidRPr="00BC31E0" w:rsidRDefault="00342321" w:rsidP="004736F2">
            <w:pPr>
              <w:snapToGrid w:val="0"/>
              <w:spacing w:line="300" w:lineRule="atLeast"/>
              <w:jc w:val="center"/>
              <w:rPr>
                <w:rFonts w:ascii="Cambria Math" w:hAnsi="Cambria Math"/>
                <w:sz w:val="22"/>
                <w:szCs w:val="22"/>
              </w:rPr>
            </w:pPr>
            <m:oMathPara>
              <m:oMath>
                <m:r>
                  <m:rPr>
                    <m:sty m:val="p"/>
                  </m:rPr>
                  <w:rPr>
                    <w:rFonts w:ascii="Cambria Math" w:hAnsi="Cambria Math"/>
                    <w:sz w:val="22"/>
                    <w:szCs w:val="22"/>
                  </w:rPr>
                  <m:t xml:space="preserve">12.5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595" w:type="dxa"/>
            <w:vAlign w:val="center"/>
          </w:tcPr>
          <w:p w14:paraId="1B6BF899" w14:textId="77777777" w:rsidR="00342321" w:rsidRPr="00BC31E0" w:rsidRDefault="00342321" w:rsidP="004736F2">
            <w:pPr>
              <w:snapToGrid w:val="0"/>
              <w:spacing w:line="300" w:lineRule="atLeast"/>
              <w:jc w:val="center"/>
              <w:rPr>
                <w:rFonts w:ascii="Cambria Math" w:hAnsi="Cambria Math"/>
                <w:sz w:val="22"/>
                <w:szCs w:val="22"/>
              </w:rPr>
            </w:pPr>
            <m:oMathPara>
              <m:oMath>
                <m:r>
                  <m:rPr>
                    <m:sty m:val="p"/>
                  </m:rPr>
                  <w:rPr>
                    <w:rFonts w:ascii="Cambria Math" w:hAnsi="Cambria Math"/>
                    <w:sz w:val="22"/>
                    <w:szCs w:val="22"/>
                  </w:rPr>
                  <m:t xml:space="preserve">8.46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595" w:type="dxa"/>
            <w:vAlign w:val="center"/>
          </w:tcPr>
          <w:p w14:paraId="182CC74C" w14:textId="77777777" w:rsidR="00342321" w:rsidRPr="00BC31E0" w:rsidRDefault="00342321" w:rsidP="004736F2">
            <w:pPr>
              <w:snapToGrid w:val="0"/>
              <w:spacing w:line="300" w:lineRule="atLeast"/>
              <w:jc w:val="center"/>
              <w:rPr>
                <w:rFonts w:ascii="Cambria Math" w:hAnsi="Cambria Math"/>
                <w:sz w:val="22"/>
                <w:szCs w:val="22"/>
              </w:rPr>
            </w:pPr>
            <m:oMathPara>
              <m:oMath>
                <m:r>
                  <m:rPr>
                    <m:sty m:val="p"/>
                  </m:rPr>
                  <w:rPr>
                    <w:rFonts w:ascii="Cambria Math" w:hAnsi="Cambria Math"/>
                    <w:sz w:val="22"/>
                    <w:szCs w:val="22"/>
                  </w:rPr>
                  <m:t xml:space="preserve">5.15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595" w:type="dxa"/>
            <w:vAlign w:val="center"/>
          </w:tcPr>
          <w:p w14:paraId="08E66D8E" w14:textId="77777777" w:rsidR="00342321" w:rsidRPr="00BC31E0" w:rsidRDefault="00342321" w:rsidP="004736F2">
            <w:pPr>
              <w:snapToGrid w:val="0"/>
              <w:spacing w:line="300" w:lineRule="atLeast"/>
              <w:jc w:val="center"/>
              <w:rPr>
                <w:rFonts w:ascii="Cambria Math" w:hAnsi="Cambria Math"/>
                <w:sz w:val="22"/>
                <w:szCs w:val="22"/>
              </w:rPr>
            </w:pPr>
            <m:oMathPara>
              <m:oMath>
                <m:r>
                  <m:rPr>
                    <m:sty m:val="p"/>
                  </m:rPr>
                  <w:rPr>
                    <w:rFonts w:ascii="Cambria Math" w:hAnsi="Cambria Math"/>
                    <w:sz w:val="22"/>
                    <w:szCs w:val="22"/>
                  </w:rPr>
                  <m:t xml:space="preserve">3.47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r>
    </w:tbl>
    <w:p w14:paraId="6DA1176B" w14:textId="77777777" w:rsidR="00342321" w:rsidRPr="00BC31E0" w:rsidRDefault="00342321" w:rsidP="00342321">
      <w:pPr>
        <w:snapToGrid w:val="0"/>
        <w:spacing w:before="60" w:line="320" w:lineRule="atLeast"/>
        <w:ind w:left="1474" w:hanging="794"/>
        <w:jc w:val="left"/>
        <w:rPr>
          <w:rFonts w:hAnsi="ＭＳ 明朝"/>
          <w:szCs w:val="20"/>
        </w:rPr>
      </w:pPr>
      <w:r w:rsidRPr="00BC31E0">
        <w:rPr>
          <w:rFonts w:ascii="ＭＳ ゴシック" w:eastAsia="ＭＳ ゴシック" w:hAnsi="ＭＳ ゴシック" w:hint="eastAsia"/>
          <w:b/>
          <w:szCs w:val="20"/>
        </w:rPr>
        <w:t>注記1</w:t>
      </w:r>
      <w:r w:rsidRPr="00BC31E0">
        <w:rPr>
          <w:rFonts w:ascii="ＭＳ 明朝" w:hAnsi="ＭＳ 明朝" w:hint="eastAsia"/>
          <w:szCs w:val="20"/>
        </w:rPr>
        <w:t xml:space="preserve">　</w:t>
      </w:r>
      <w:r w:rsidRPr="00BC31E0">
        <w:rPr>
          <w:szCs w:val="20"/>
        </w:rPr>
        <w:t>き</w:t>
      </w:r>
      <w:r w:rsidRPr="00BC31E0">
        <w:rPr>
          <w:rFonts w:hint="eastAsia"/>
          <w:szCs w:val="20"/>
        </w:rPr>
        <w:t>ず</w:t>
      </w:r>
      <w:r w:rsidRPr="00BC31E0">
        <w:rPr>
          <w:szCs w:val="20"/>
        </w:rPr>
        <w:t>高さ</w:t>
      </w:r>
      <m:oMath>
        <m:r>
          <w:rPr>
            <w:rFonts w:ascii="Cambria Math" w:hAnsi="Cambria Math" w:hint="eastAsia"/>
            <w:szCs w:val="20"/>
          </w:rPr>
          <m:t>2</m:t>
        </m:r>
        <m:r>
          <w:rPr>
            <w:rFonts w:ascii="Cambria Math" w:hAnsi="Cambria Math"/>
            <w:szCs w:val="20"/>
          </w:rPr>
          <m:t xml:space="preserve">a </m:t>
        </m:r>
      </m:oMath>
      <w:r w:rsidRPr="00BC31E0">
        <w:rPr>
          <w:szCs w:val="20"/>
        </w:rPr>
        <w:t>が</w:t>
      </w:r>
      <m:oMath>
        <m:r>
          <m:rPr>
            <m:sty m:val="p"/>
          </m:rPr>
          <w:rPr>
            <w:rFonts w:ascii="Cambria Math" w:hAnsi="Cambria Math"/>
            <w:szCs w:val="20"/>
          </w:rPr>
          <m:t xml:space="preserve"> 1 mm </m:t>
        </m:r>
      </m:oMath>
      <w:r w:rsidRPr="00BC31E0">
        <w:rPr>
          <w:szCs w:val="20"/>
        </w:rPr>
        <w:t>未満になる場合</w:t>
      </w:r>
      <w:r w:rsidRPr="00BC31E0">
        <w:rPr>
          <w:rFonts w:hint="eastAsia"/>
          <w:szCs w:val="20"/>
        </w:rPr>
        <w:t>で</w:t>
      </w:r>
      <w:r w:rsidRPr="00BC31E0">
        <w:rPr>
          <w:szCs w:val="20"/>
        </w:rPr>
        <w:t>，使用者設計仕様書</w:t>
      </w:r>
      <w:r w:rsidRPr="00BC31E0">
        <w:rPr>
          <w:rFonts w:hint="eastAsia"/>
          <w:szCs w:val="20"/>
        </w:rPr>
        <w:t>に</w:t>
      </w:r>
      <w:r w:rsidRPr="00BC31E0">
        <w:rPr>
          <w:rFonts w:ascii="ＭＳ ゴシック" w:eastAsia="ＭＳ ゴシック" w:hAnsi="ＭＳ ゴシック" w:hint="eastAsia"/>
          <w:b/>
          <w:szCs w:val="20"/>
        </w:rPr>
        <w:t>表5.2.2</w:t>
      </w:r>
      <w:r w:rsidRPr="00BC31E0">
        <w:rPr>
          <w:rFonts w:hint="eastAsia"/>
          <w:szCs w:val="20"/>
        </w:rPr>
        <w:t>よりも高い</w:t>
      </w:r>
      <w:r w:rsidRPr="00BC31E0">
        <w:rPr>
          <w:szCs w:val="20"/>
        </w:rPr>
        <w:t>要求シャルピー</w:t>
      </w:r>
      <w:r w:rsidRPr="00BC31E0">
        <w:rPr>
          <w:rFonts w:hint="eastAsia"/>
          <w:szCs w:val="20"/>
        </w:rPr>
        <w:t>衝撃</w:t>
      </w:r>
      <w:r w:rsidRPr="00BC31E0">
        <w:rPr>
          <w:szCs w:val="20"/>
        </w:rPr>
        <w:t>吸収エネルギー</w:t>
      </w:r>
      <w:r w:rsidRPr="00BC31E0">
        <w:rPr>
          <w:rFonts w:hint="eastAsia"/>
          <w:szCs w:val="20"/>
        </w:rPr>
        <w:t>が規定されている場合には，</w:t>
      </w:r>
      <w:r w:rsidRPr="00BC31E0">
        <w:rPr>
          <w:rFonts w:ascii="ＭＳ ゴシック" w:eastAsia="ＭＳ ゴシック" w:hAnsi="ＭＳ ゴシック" w:hint="eastAsia"/>
          <w:b/>
          <w:szCs w:val="20"/>
        </w:rPr>
        <w:t>9.3.6 c) 2) 2.3)</w:t>
      </w:r>
      <w:r w:rsidRPr="00BC31E0">
        <w:rPr>
          <w:rFonts w:hint="eastAsia"/>
          <w:szCs w:val="20"/>
        </w:rPr>
        <w:t>に</w:t>
      </w:r>
      <w:r w:rsidRPr="00BC31E0">
        <w:rPr>
          <w:szCs w:val="20"/>
        </w:rPr>
        <w:t>より</w:t>
      </w:r>
      <w:r w:rsidRPr="00BC31E0">
        <w:rPr>
          <w:rFonts w:hint="eastAsia"/>
          <w:szCs w:val="20"/>
        </w:rPr>
        <w:t>製作者が許容きず寸法を算出</w:t>
      </w:r>
      <w:r w:rsidR="00FA55A3" w:rsidRPr="00BC31E0">
        <w:rPr>
          <w:rFonts w:hint="eastAsia"/>
          <w:szCs w:val="20"/>
        </w:rPr>
        <w:t>してもよい</w:t>
      </w:r>
      <w:r w:rsidRPr="00BC31E0">
        <w:rPr>
          <w:rFonts w:hint="eastAsia"/>
          <w:szCs w:val="20"/>
        </w:rPr>
        <w:t>。</w:t>
      </w:r>
    </w:p>
    <w:p w14:paraId="580C450D" w14:textId="77777777" w:rsidR="00342321" w:rsidRPr="00BC31E0" w:rsidRDefault="00342321" w:rsidP="00342321">
      <w:pPr>
        <w:snapToGrid w:val="0"/>
        <w:spacing w:line="320" w:lineRule="atLeast"/>
        <w:ind w:left="1474" w:hanging="794"/>
        <w:jc w:val="left"/>
        <w:rPr>
          <w:rFonts w:hAnsi="ＭＳ 明朝"/>
          <w:szCs w:val="20"/>
        </w:rPr>
      </w:pPr>
      <w:r w:rsidRPr="00BC31E0">
        <w:rPr>
          <w:rFonts w:ascii="ＭＳ ゴシック" w:eastAsia="ＭＳ ゴシック" w:hAnsi="ＭＳ ゴシック" w:hint="eastAsia"/>
          <w:b/>
          <w:szCs w:val="20"/>
        </w:rPr>
        <w:t>注記2</w:t>
      </w:r>
      <w:r w:rsidRPr="00BC31E0">
        <w:rPr>
          <w:rFonts w:ascii="ＭＳ 明朝" w:hAnsi="ＭＳ 明朝" w:hint="eastAsia"/>
          <w:szCs w:val="20"/>
        </w:rPr>
        <w:t xml:space="preserve">　</w:t>
      </w:r>
      <w:r w:rsidRPr="00BC31E0">
        <w:rPr>
          <w:rFonts w:hAnsi="ＭＳ 明朝"/>
          <w:szCs w:val="20"/>
        </w:rPr>
        <w:t>中間の</w:t>
      </w:r>
      <w:r w:rsidRPr="00BC31E0">
        <w:rPr>
          <w:rFonts w:hAnsi="ＭＳ 明朝" w:hint="eastAsia"/>
          <w:szCs w:val="20"/>
        </w:rPr>
        <w:t>内外径比</w:t>
      </w:r>
      <m:oMath>
        <m:r>
          <m:rPr>
            <m:sty m:val="p"/>
          </m:rPr>
          <w:rPr>
            <w:rFonts w:ascii="Cambria Math" w:hAnsi="Cambria Math"/>
            <w:szCs w:val="20"/>
          </w:rPr>
          <m:t xml:space="preserve"> </m:t>
        </m:r>
        <m:r>
          <w:rPr>
            <w:rFonts w:ascii="Cambria Math" w:hAnsi="Cambria Math"/>
            <w:szCs w:val="20"/>
          </w:rPr>
          <m:t>Y</m:t>
        </m:r>
        <m:r>
          <m:rPr>
            <m:sty m:val="p"/>
          </m:rPr>
          <w:rPr>
            <w:rFonts w:ascii="Cambria Math" w:hAnsi="Cambria Math"/>
            <w:szCs w:val="20"/>
          </w:rPr>
          <m:t xml:space="preserve"> </m:t>
        </m:r>
      </m:oMath>
      <w:r w:rsidRPr="00BC31E0">
        <w:rPr>
          <w:rFonts w:hAnsi="ＭＳ 明朝"/>
          <w:szCs w:val="20"/>
        </w:rPr>
        <w:t>の値及び</w:t>
      </w:r>
      <m:oMath>
        <m:f>
          <m:fPr>
            <m:type m:val="lin"/>
            <m:ctrlPr>
              <w:rPr>
                <w:rFonts w:ascii="Cambria Math" w:hAnsi="Cambria Math"/>
                <w:i/>
                <w:szCs w:val="20"/>
              </w:rPr>
            </m:ctrlPr>
          </m:fPr>
          <m:num>
            <m:r>
              <w:rPr>
                <w:rFonts w:ascii="Cambria Math" w:hAnsi="Cambria Math"/>
                <w:szCs w:val="20"/>
              </w:rPr>
              <m:t xml:space="preserve"> a</m:t>
            </m:r>
          </m:num>
          <m:den>
            <m:r>
              <w:rPr>
                <w:rFonts w:ascii="Cambria Math" w:hAnsi="Cambria Math"/>
                <w:szCs w:val="20"/>
              </w:rPr>
              <m:t xml:space="preserve">l </m:t>
            </m:r>
          </m:den>
        </m:f>
      </m:oMath>
      <w:r w:rsidRPr="00BC31E0">
        <w:rPr>
          <w:rFonts w:hAnsi="ＭＳ 明朝"/>
          <w:szCs w:val="20"/>
        </w:rPr>
        <w:t>の値に対しては，線形補間</w:t>
      </w:r>
      <w:r w:rsidRPr="00BC31E0">
        <w:rPr>
          <w:rFonts w:hAnsi="ＭＳ 明朝" w:hint="eastAsia"/>
          <w:szCs w:val="20"/>
        </w:rPr>
        <w:t>により</w:t>
      </w:r>
      <m:oMath>
        <m:r>
          <m:rPr>
            <m:sty m:val="p"/>
          </m:rPr>
          <w:rPr>
            <w:rFonts w:ascii="Cambria Math" w:hAnsi="Cambria Math"/>
            <w:szCs w:val="20"/>
          </w:rPr>
          <m:t xml:space="preserve"> </m:t>
        </m:r>
        <m:r>
          <w:rPr>
            <w:rFonts w:ascii="Cambria Math" w:hAnsi="Cambria Math"/>
            <w:szCs w:val="20"/>
          </w:rPr>
          <m:t>a</m:t>
        </m:r>
        <m:r>
          <m:rPr>
            <m:sty m:val="p"/>
          </m:rPr>
          <w:rPr>
            <w:rFonts w:ascii="Cambria Math" w:hAnsi="Cambria Math"/>
            <w:szCs w:val="20"/>
          </w:rPr>
          <m:t xml:space="preserve"> </m:t>
        </m:r>
      </m:oMath>
      <w:r w:rsidRPr="00BC31E0">
        <w:rPr>
          <w:rFonts w:hAnsi="ＭＳ 明朝"/>
          <w:szCs w:val="20"/>
        </w:rPr>
        <w:t>を求める。</w:t>
      </w:r>
    </w:p>
    <w:p w14:paraId="69C1F430" w14:textId="77777777" w:rsidR="00342321" w:rsidRPr="00BC31E0" w:rsidRDefault="00342321" w:rsidP="00342321">
      <w:pPr>
        <w:jc w:val="center"/>
        <w:rPr>
          <w:szCs w:val="20"/>
        </w:rPr>
      </w:pPr>
      <w:r w:rsidRPr="00BC31E0">
        <w:rPr>
          <w:rFonts w:ascii="ＭＳ ゴシック" w:eastAsia="ＭＳ ゴシック" w:hAnsi="ＭＳ ゴシック" w:hint="eastAsia"/>
          <w:b/>
          <w:szCs w:val="20"/>
        </w:rPr>
        <w:lastRenderedPageBreak/>
        <w:t>表9.3.17　内部きずの許容きず寸法 (</w:t>
      </w:r>
      <m:oMath>
        <m:r>
          <m:rPr>
            <m:sty m:val="bi"/>
          </m:rPr>
          <w:rPr>
            <w:rFonts w:ascii="Cambria Math" w:eastAsia="ＭＳ ゴシック" w:hAnsi="Cambria Math"/>
            <w:sz w:val="22"/>
            <w:szCs w:val="22"/>
          </w:rPr>
          <m:t>415</m:t>
        </m:r>
        <m:r>
          <w:rPr>
            <w:rFonts w:ascii="Cambria Math" w:eastAsia="ＭＳ ゴシック" w:hAnsi="Cambria Math"/>
            <w:sz w:val="22"/>
            <w:szCs w:val="22"/>
          </w:rPr>
          <m:t>&lt;S</m:t>
        </m:r>
        <m:r>
          <m:rPr>
            <m:sty m:val="bi"/>
          </m:rPr>
          <w:rPr>
            <w:rFonts w:ascii="Cambria Math" w:eastAsia="ＭＳ ゴシック" w:hAnsi="Cambria Math"/>
            <w:sz w:val="22"/>
            <w:szCs w:val="22"/>
            <w:vertAlign w:val="subscript"/>
          </w:rPr>
          <m:t>y</m:t>
        </m:r>
        <m:r>
          <m:rPr>
            <m:sty m:val="bi"/>
          </m:rPr>
          <w:rPr>
            <w:rFonts w:ascii="Cambria Math" w:eastAsia="ＭＳ ゴシック" w:hAnsi="Cambria Math"/>
            <w:sz w:val="22"/>
            <w:szCs w:val="22"/>
          </w:rPr>
          <m:t>≦570</m:t>
        </m:r>
        <m:r>
          <m:rPr>
            <m:sty m:val="b"/>
          </m:rPr>
          <w:rPr>
            <w:rFonts w:ascii="Cambria Math" w:eastAsia="ＭＳ ゴシック" w:hAnsi="Cambria Math"/>
            <w:sz w:val="22"/>
            <w:szCs w:val="22"/>
          </w:rPr>
          <m:t xml:space="preserve"> MPa</m:t>
        </m:r>
      </m:oMath>
      <w:r w:rsidRPr="00BC31E0">
        <w:rPr>
          <w:rFonts w:ascii="ＭＳ ゴシック" w:eastAsia="ＭＳ ゴシック" w:hAnsi="ＭＳ ゴシック" w:hint="eastAsia"/>
          <w:b/>
          <w:szCs w:val="20"/>
        </w:rPr>
        <w:t>，溶接後熱処理</w:t>
      </w:r>
      <w:r w:rsidRPr="00BC31E0">
        <w:rPr>
          <w:rFonts w:ascii="ＭＳ ゴシック" w:eastAsia="ＭＳ ゴシック" w:hAnsi="ＭＳ ゴシック"/>
          <w:b/>
          <w:szCs w:val="20"/>
        </w:rPr>
        <w:t>あり</w:t>
      </w:r>
      <w:r w:rsidRPr="00BC31E0">
        <w:rPr>
          <w:rFonts w:ascii="ＭＳ ゴシック" w:eastAsia="ＭＳ ゴシック" w:hAnsi="ＭＳ ゴシック" w:hint="eastAsia"/>
          <w:b/>
          <w:szCs w:val="20"/>
        </w:rPr>
        <w:t>)</w:t>
      </w:r>
    </w:p>
    <w:tbl>
      <w:tblPr>
        <w:tblW w:w="0" w:type="auto"/>
        <w:tblInd w:w="1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4"/>
      </w:tblGrid>
      <w:tr w:rsidR="00342321" w:rsidRPr="00BC31E0" w14:paraId="351FBDEB" w14:textId="77777777" w:rsidTr="004736F2">
        <w:tc>
          <w:tcPr>
            <w:tcW w:w="5324" w:type="dxa"/>
          </w:tcPr>
          <w:p w14:paraId="50C1C7ED" w14:textId="77777777" w:rsidR="00342321" w:rsidRPr="00BC31E0" w:rsidRDefault="00342321" w:rsidP="004736F2">
            <w:pPr>
              <w:snapToGrid w:val="0"/>
              <w:spacing w:line="320" w:lineRule="atLeast"/>
              <w:jc w:val="center"/>
              <w:rPr>
                <w:rFonts w:cs="Tahoma"/>
                <w:i/>
                <w:szCs w:val="20"/>
              </w:rPr>
            </w:pPr>
            <m:oMathPara>
              <m:oMath>
                <m:r>
                  <w:rPr>
                    <w:rFonts w:ascii="Cambria Math" w:hAnsi="Cambria Math" w:hint="eastAsia"/>
                    <w:szCs w:val="20"/>
                  </w:rPr>
                  <m:t>13</m:t>
                </m:r>
                <m:r>
                  <w:rPr>
                    <w:rFonts w:ascii="Cambria Math" w:hAnsi="Cambria Math"/>
                    <w:szCs w:val="20"/>
                  </w:rPr>
                  <m:t>≦t&lt;</m:t>
                </m:r>
                <m:r>
                  <w:rPr>
                    <w:rFonts w:ascii="Cambria Math" w:hAnsi="Cambria Math" w:hint="eastAsia"/>
                    <w:szCs w:val="20"/>
                  </w:rPr>
                  <m:t>25</m:t>
                </m:r>
                <m:r>
                  <m:rPr>
                    <m:sty m:val="p"/>
                  </m:rPr>
                  <w:rPr>
                    <w:rFonts w:ascii="Cambria Math" w:hAnsi="Cambria Math" w:hint="eastAsia"/>
                    <w:szCs w:val="20"/>
                  </w:rPr>
                  <m:t xml:space="preserve"> mm</m:t>
                </m:r>
              </m:oMath>
            </m:oMathPara>
          </w:p>
        </w:tc>
      </w:tr>
      <w:tr w:rsidR="00342321" w:rsidRPr="00BC31E0" w14:paraId="437D32B2" w14:textId="77777777" w:rsidTr="004736F2">
        <w:tc>
          <w:tcPr>
            <w:tcW w:w="5324" w:type="dxa"/>
          </w:tcPr>
          <w:p w14:paraId="1DC5ACA7" w14:textId="77777777" w:rsidR="00342321" w:rsidRPr="00BC31E0" w:rsidRDefault="00A51873" w:rsidP="004736F2">
            <w:pPr>
              <w:snapToGrid w:val="0"/>
              <w:spacing w:line="320" w:lineRule="atLeast"/>
              <w:jc w:val="center"/>
            </w:pPr>
            <m:oMath>
              <m:f>
                <m:fPr>
                  <m:type m:val="lin"/>
                  <m:ctrlPr>
                    <w:rPr>
                      <w:rFonts w:ascii="Cambria Math" w:hAnsi="Cambria Math"/>
                      <w:i/>
                    </w:rPr>
                  </m:ctrlPr>
                </m:fPr>
                <m:num>
                  <m:r>
                    <w:rPr>
                      <w:rFonts w:ascii="Cambria Math" w:hAnsi="Cambria Math"/>
                    </w:rPr>
                    <m:t>a</m:t>
                  </m:r>
                </m:num>
                <m:den>
                  <m:r>
                    <w:rPr>
                      <w:rFonts w:ascii="Cambria Math" w:hAnsi="Cambria Math"/>
                    </w:rPr>
                    <m:t>t</m:t>
                  </m:r>
                </m:den>
              </m:f>
              <m:r>
                <w:rPr>
                  <w:rFonts w:ascii="Cambria Math" w:hAnsi="Cambria Math"/>
                </w:rPr>
                <m:t xml:space="preserve"> ≦</m:t>
              </m:r>
              <m:r>
                <w:rPr>
                  <w:rFonts w:ascii="Cambria Math" w:hAnsi="Cambria Math" w:hint="eastAsia"/>
                </w:rPr>
                <m:t>0.109</m:t>
              </m:r>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vertAlign w:val="subscript"/>
                    </w:rPr>
                    <m:t>a</m:t>
                  </m:r>
                </m:sub>
              </m:sSub>
            </m:oMath>
            <w:r w:rsidR="00342321" w:rsidRPr="00BC31E0">
              <w:rPr>
                <w:rFonts w:hAnsi="ＭＳ 明朝"/>
              </w:rPr>
              <w:t xml:space="preserve">　</w:t>
            </w:r>
            <w:r w:rsidR="00342321" w:rsidRPr="00BC31E0">
              <w:rPr>
                <w:rFonts w:hAnsi="ＭＳ 明朝" w:hint="eastAsia"/>
              </w:rPr>
              <w:t>及</w:t>
            </w:r>
            <w:r w:rsidR="00342321" w:rsidRPr="00BC31E0">
              <w:rPr>
                <w:rFonts w:hAnsi="ＭＳ 明朝"/>
              </w:rPr>
              <w:t xml:space="preserve">び　</w:t>
            </w:r>
            <m:oMath>
              <m:r>
                <w:rPr>
                  <w:rFonts w:ascii="Cambria Math" w:hAnsi="Cambria Math"/>
                </w:rPr>
                <m:t>l</m:t>
              </m:r>
              <m:r>
                <w:rPr>
                  <w:rFonts w:ascii="Cambria Math" w:hAnsi="Cambria Math" w:hint="eastAsia"/>
                </w:rPr>
                <m:t xml:space="preserve"> </m:t>
              </m:r>
              <m:r>
                <w:rPr>
                  <w:rFonts w:ascii="Cambria Math" w:hAnsi="Cambria Math"/>
                </w:rPr>
                <m:t>≦</m:t>
              </m:r>
              <m:r>
                <w:rPr>
                  <w:rFonts w:ascii="Cambria Math" w:hAnsi="Cambria Math" w:hint="eastAsia"/>
                </w:rPr>
                <m:t>6.4</m:t>
              </m:r>
              <m:r>
                <m:rPr>
                  <m:sty m:val="p"/>
                </m:rPr>
                <w:rPr>
                  <w:rFonts w:ascii="Cambria Math" w:hAnsi="Cambria Math"/>
                </w:rPr>
                <m:t xml:space="preserve"> mm</m:t>
              </m:r>
            </m:oMath>
          </w:p>
        </w:tc>
      </w:tr>
    </w:tbl>
    <w:p w14:paraId="350EC110" w14:textId="77777777" w:rsidR="00CA187B" w:rsidRPr="00BC31E0" w:rsidRDefault="00CA187B" w:rsidP="00CA187B">
      <w:pPr>
        <w:spacing w:line="180" w:lineRule="exact"/>
        <w:rPr>
          <w:rFonts w:ascii="ＭＳ ゴシック" w:eastAsia="ＭＳ ゴシック" w:hAnsi="ＭＳ ゴシック"/>
          <w:b/>
          <w:szCs w:val="20"/>
        </w:rPr>
      </w:pPr>
    </w:p>
    <w:p w14:paraId="121159F5" w14:textId="77777777" w:rsidR="00342321" w:rsidRPr="00BC31E0" w:rsidRDefault="00342321" w:rsidP="00CA187B">
      <w:pPr>
        <w:jc w:val="center"/>
        <w:rPr>
          <w:szCs w:val="20"/>
        </w:rPr>
      </w:pPr>
      <w:r w:rsidRPr="00BC31E0">
        <w:rPr>
          <w:rFonts w:ascii="ＭＳ ゴシック" w:eastAsia="ＭＳ ゴシック" w:hAnsi="ＭＳ ゴシック" w:hint="eastAsia"/>
          <w:b/>
          <w:szCs w:val="20"/>
        </w:rPr>
        <w:t>表9.3.18　内部きずの許容きず寸法 (</w:t>
      </w:r>
      <m:oMath>
        <m:r>
          <m:rPr>
            <m:sty m:val="bi"/>
          </m:rPr>
          <w:rPr>
            <w:rFonts w:ascii="Cambria Math" w:eastAsia="ＭＳ ゴシック" w:hAnsi="Cambria Math"/>
            <w:sz w:val="22"/>
            <w:szCs w:val="22"/>
          </w:rPr>
          <m:t>415</m:t>
        </m:r>
        <m:r>
          <w:rPr>
            <w:rFonts w:ascii="Cambria Math" w:eastAsia="ＭＳ ゴシック" w:hAnsi="Cambria Math"/>
            <w:sz w:val="22"/>
            <w:szCs w:val="22"/>
          </w:rPr>
          <m:t>&lt;S</m:t>
        </m:r>
        <m:r>
          <m:rPr>
            <m:sty m:val="bi"/>
          </m:rPr>
          <w:rPr>
            <w:rFonts w:ascii="Cambria Math" w:eastAsia="ＭＳ ゴシック" w:hAnsi="Cambria Math"/>
            <w:sz w:val="22"/>
            <w:szCs w:val="22"/>
            <w:vertAlign w:val="subscript"/>
          </w:rPr>
          <m:t>y</m:t>
        </m:r>
        <m:r>
          <m:rPr>
            <m:sty m:val="bi"/>
          </m:rPr>
          <w:rPr>
            <w:rFonts w:ascii="Cambria Math" w:eastAsia="ＭＳ ゴシック" w:hAnsi="Cambria Math"/>
            <w:sz w:val="22"/>
            <w:szCs w:val="22"/>
          </w:rPr>
          <m:t>≦570</m:t>
        </m:r>
        <m:r>
          <m:rPr>
            <m:sty m:val="b"/>
          </m:rPr>
          <w:rPr>
            <w:rFonts w:ascii="Cambria Math" w:eastAsia="ＭＳ ゴシック" w:hAnsi="Cambria Math"/>
            <w:sz w:val="22"/>
            <w:szCs w:val="22"/>
          </w:rPr>
          <m:t xml:space="preserve"> MPa</m:t>
        </m:r>
      </m:oMath>
      <w:r w:rsidRPr="00BC31E0">
        <w:rPr>
          <w:rFonts w:ascii="ＭＳ ゴシック" w:eastAsia="ＭＳ ゴシック" w:hAnsi="ＭＳ ゴシック" w:hint="eastAsia"/>
          <w:b/>
          <w:szCs w:val="20"/>
        </w:rPr>
        <w:t>，溶接後熱処理</w:t>
      </w:r>
      <w:r w:rsidRPr="00BC31E0">
        <w:rPr>
          <w:rFonts w:ascii="ＭＳ ゴシック" w:eastAsia="ＭＳ ゴシック" w:hAnsi="ＭＳ ゴシック"/>
          <w:b/>
          <w:szCs w:val="20"/>
        </w:rPr>
        <w:t>あり</w:t>
      </w:r>
      <w:r w:rsidRPr="00BC31E0">
        <w:rPr>
          <w:rFonts w:ascii="ＭＳ ゴシック" w:eastAsia="ＭＳ ゴシック" w:hAnsi="ＭＳ ゴシック" w:hint="eastAsia"/>
          <w:b/>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772"/>
        <w:gridCol w:w="1772"/>
        <w:gridCol w:w="1772"/>
        <w:gridCol w:w="1772"/>
      </w:tblGrid>
      <w:tr w:rsidR="00342321" w:rsidRPr="00BC31E0" w14:paraId="7BD03B8F" w14:textId="77777777" w:rsidTr="004736F2">
        <w:trPr>
          <w:jc w:val="center"/>
        </w:trPr>
        <w:tc>
          <w:tcPr>
            <w:tcW w:w="992" w:type="dxa"/>
            <w:vMerge w:val="restart"/>
            <w:vAlign w:val="center"/>
          </w:tcPr>
          <w:p w14:paraId="3EB4C8FF" w14:textId="77777777" w:rsidR="00342321" w:rsidRPr="00BC31E0" w:rsidRDefault="00A51873" w:rsidP="004736F2">
            <w:pPr>
              <w:snapToGrid w:val="0"/>
              <w:spacing w:line="300" w:lineRule="atLeast"/>
              <w:jc w:val="center"/>
              <w:rPr>
                <w:rFonts w:ascii="Times New Roman" w:hAnsi="Times New Roman"/>
                <w:i/>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l</m:t>
                    </m:r>
                  </m:den>
                </m:f>
              </m:oMath>
            </m:oMathPara>
          </w:p>
        </w:tc>
        <w:tc>
          <w:tcPr>
            <w:tcW w:w="7088" w:type="dxa"/>
            <w:gridSpan w:val="4"/>
            <w:vAlign w:val="center"/>
          </w:tcPr>
          <w:p w14:paraId="388FB2EF" w14:textId="77777777" w:rsidR="00342321" w:rsidRPr="00BC31E0" w:rsidRDefault="00342321" w:rsidP="004736F2">
            <w:pPr>
              <w:snapToGrid w:val="0"/>
              <w:spacing w:line="300" w:lineRule="atLeast"/>
              <w:jc w:val="center"/>
              <w:rPr>
                <w:rFonts w:ascii="Times New Roman" w:hAnsi="Times New Roman"/>
                <w:szCs w:val="20"/>
              </w:rPr>
            </w:pPr>
            <m:oMathPara>
              <m:oMath>
                <m:r>
                  <w:rPr>
                    <w:rFonts w:ascii="Cambria Math" w:hAnsi="Cambria Math" w:hint="eastAsia"/>
                    <w:szCs w:val="20"/>
                  </w:rPr>
                  <m:t>25</m:t>
                </m:r>
                <m:r>
                  <w:rPr>
                    <w:rFonts w:ascii="Cambria Math" w:hAnsi="Cambria Math"/>
                    <w:szCs w:val="20"/>
                  </w:rPr>
                  <m:t>≦t≦</m:t>
                </m:r>
                <m:r>
                  <w:rPr>
                    <w:rFonts w:ascii="Cambria Math" w:hAnsi="Cambria Math" w:hint="eastAsia"/>
                    <w:szCs w:val="20"/>
                  </w:rPr>
                  <m:t xml:space="preserve">300 </m:t>
                </m:r>
                <m:r>
                  <m:rPr>
                    <m:sty m:val="p"/>
                  </m:rPr>
                  <w:rPr>
                    <w:rFonts w:ascii="Cambria Math" w:hAnsi="Cambria Math" w:hint="eastAsia"/>
                    <w:szCs w:val="20"/>
                  </w:rPr>
                  <m:t>mm</m:t>
                </m:r>
              </m:oMath>
            </m:oMathPara>
          </w:p>
        </w:tc>
      </w:tr>
      <w:tr w:rsidR="00342321" w:rsidRPr="00BC31E0" w14:paraId="7612E06A" w14:textId="77777777" w:rsidTr="004736F2">
        <w:trPr>
          <w:jc w:val="center"/>
        </w:trPr>
        <w:tc>
          <w:tcPr>
            <w:tcW w:w="992" w:type="dxa"/>
            <w:vMerge/>
            <w:vAlign w:val="center"/>
          </w:tcPr>
          <w:p w14:paraId="7E89DAC0" w14:textId="77777777" w:rsidR="00342321" w:rsidRPr="00BC31E0" w:rsidRDefault="00342321" w:rsidP="004736F2">
            <w:pPr>
              <w:snapToGrid w:val="0"/>
              <w:spacing w:line="300" w:lineRule="atLeast"/>
              <w:jc w:val="center"/>
              <w:rPr>
                <w:rFonts w:ascii="Times New Roman" w:hAnsi="Times New Roman"/>
                <w:i/>
                <w:szCs w:val="20"/>
              </w:rPr>
            </w:pPr>
          </w:p>
        </w:tc>
        <w:tc>
          <w:tcPr>
            <w:tcW w:w="1772" w:type="dxa"/>
            <w:vAlign w:val="center"/>
          </w:tcPr>
          <w:p w14:paraId="0999F70F" w14:textId="77777777" w:rsidR="00342321" w:rsidRPr="00BC31E0" w:rsidRDefault="00342321" w:rsidP="004736F2">
            <w:pPr>
              <w:snapToGrid w:val="0"/>
              <w:spacing w:line="300" w:lineRule="atLeast"/>
              <w:jc w:val="center"/>
              <w:rPr>
                <w:szCs w:val="20"/>
              </w:rPr>
            </w:pPr>
            <m:oMathPara>
              <m:oMath>
                <m:r>
                  <w:rPr>
                    <w:rFonts w:ascii="Cambria Math" w:hAnsi="Cambria Math"/>
                    <w:szCs w:val="20"/>
                  </w:rPr>
                  <m:t>Y=</m:t>
                </m:r>
                <m:r>
                  <w:rPr>
                    <w:rFonts w:ascii="Cambria Math" w:hAnsi="Cambria Math" w:hint="eastAsia"/>
                    <w:szCs w:val="20"/>
                  </w:rPr>
                  <m:t>1.2</m:t>
                </m:r>
              </m:oMath>
            </m:oMathPara>
          </w:p>
        </w:tc>
        <w:tc>
          <w:tcPr>
            <w:tcW w:w="1772" w:type="dxa"/>
            <w:vAlign w:val="center"/>
          </w:tcPr>
          <w:p w14:paraId="72A79EF0" w14:textId="77777777" w:rsidR="00342321" w:rsidRPr="00BC31E0" w:rsidRDefault="00342321" w:rsidP="004736F2">
            <w:pPr>
              <w:snapToGrid w:val="0"/>
              <w:spacing w:line="300" w:lineRule="atLeast"/>
              <w:jc w:val="center"/>
              <w:rPr>
                <w:szCs w:val="20"/>
              </w:rPr>
            </w:pPr>
            <m:oMathPara>
              <m:oMath>
                <m:r>
                  <w:rPr>
                    <w:rFonts w:ascii="Cambria Math" w:hAnsi="Cambria Math"/>
                    <w:szCs w:val="20"/>
                  </w:rPr>
                  <m:t>Y=</m:t>
                </m:r>
                <m:r>
                  <w:rPr>
                    <w:rFonts w:ascii="Cambria Math" w:hAnsi="Cambria Math" w:hint="eastAsia"/>
                    <w:szCs w:val="20"/>
                  </w:rPr>
                  <m:t>1.5</m:t>
                </m:r>
              </m:oMath>
            </m:oMathPara>
          </w:p>
        </w:tc>
        <w:tc>
          <w:tcPr>
            <w:tcW w:w="1772" w:type="dxa"/>
            <w:vAlign w:val="center"/>
          </w:tcPr>
          <w:p w14:paraId="238948A3" w14:textId="77777777" w:rsidR="00342321" w:rsidRPr="00BC31E0" w:rsidRDefault="00342321" w:rsidP="004736F2">
            <w:pPr>
              <w:snapToGrid w:val="0"/>
              <w:spacing w:line="300" w:lineRule="atLeast"/>
              <w:jc w:val="center"/>
              <w:rPr>
                <w:szCs w:val="20"/>
              </w:rPr>
            </w:pPr>
            <m:oMathPara>
              <m:oMath>
                <m:r>
                  <w:rPr>
                    <w:rFonts w:ascii="Cambria Math" w:hAnsi="Cambria Math"/>
                    <w:szCs w:val="20"/>
                  </w:rPr>
                  <m:t>Y=</m:t>
                </m:r>
                <m:r>
                  <w:rPr>
                    <w:rFonts w:ascii="Cambria Math" w:hAnsi="Cambria Math" w:hint="eastAsia"/>
                    <w:szCs w:val="20"/>
                  </w:rPr>
                  <m:t>2.0</m:t>
                </m:r>
              </m:oMath>
            </m:oMathPara>
          </w:p>
        </w:tc>
        <w:tc>
          <w:tcPr>
            <w:tcW w:w="1772" w:type="dxa"/>
            <w:vAlign w:val="center"/>
          </w:tcPr>
          <w:p w14:paraId="64B45AF9" w14:textId="77777777" w:rsidR="00342321" w:rsidRPr="00BC31E0" w:rsidRDefault="00342321" w:rsidP="004736F2">
            <w:pPr>
              <w:snapToGrid w:val="0"/>
              <w:spacing w:line="300" w:lineRule="atLeast"/>
              <w:jc w:val="center"/>
              <w:rPr>
                <w:szCs w:val="20"/>
              </w:rPr>
            </w:pPr>
            <m:oMathPara>
              <m:oMath>
                <m:r>
                  <w:rPr>
                    <w:rFonts w:ascii="Cambria Math" w:hAnsi="Cambria Math"/>
                    <w:szCs w:val="20"/>
                  </w:rPr>
                  <m:t>Y=</m:t>
                </m:r>
                <m:r>
                  <w:rPr>
                    <w:rFonts w:ascii="Cambria Math" w:hAnsi="Cambria Math" w:hint="eastAsia"/>
                    <w:szCs w:val="20"/>
                  </w:rPr>
                  <m:t>2.5</m:t>
                </m:r>
              </m:oMath>
            </m:oMathPara>
          </w:p>
        </w:tc>
      </w:tr>
      <w:tr w:rsidR="00342321" w:rsidRPr="00BC31E0" w14:paraId="03F237C0" w14:textId="77777777" w:rsidTr="004736F2">
        <w:trPr>
          <w:jc w:val="center"/>
        </w:trPr>
        <w:tc>
          <w:tcPr>
            <w:tcW w:w="992" w:type="dxa"/>
            <w:vMerge/>
            <w:vAlign w:val="center"/>
          </w:tcPr>
          <w:p w14:paraId="4D383A2B" w14:textId="77777777" w:rsidR="00342321" w:rsidRPr="00BC31E0" w:rsidRDefault="00342321" w:rsidP="004736F2">
            <w:pPr>
              <w:snapToGrid w:val="0"/>
              <w:spacing w:line="300" w:lineRule="atLeast"/>
              <w:jc w:val="center"/>
              <w:rPr>
                <w:szCs w:val="20"/>
              </w:rPr>
            </w:pPr>
          </w:p>
        </w:tc>
        <w:tc>
          <w:tcPr>
            <w:tcW w:w="1772" w:type="dxa"/>
            <w:vAlign w:val="center"/>
          </w:tcPr>
          <w:p w14:paraId="011C609C" w14:textId="77777777" w:rsidR="00342321" w:rsidRPr="00BC31E0" w:rsidRDefault="00A51873" w:rsidP="004736F2">
            <w:pPr>
              <w:snapToGrid w:val="0"/>
              <w:spacing w:line="300" w:lineRule="atLeast"/>
              <w:jc w:val="center"/>
              <w:rPr>
                <w:rFonts w:ascii="Times New Roman" w:hAnsi="Times New Roman"/>
                <w:i/>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t</m:t>
                    </m:r>
                  </m:den>
                </m:f>
              </m:oMath>
            </m:oMathPara>
          </w:p>
        </w:tc>
        <w:tc>
          <w:tcPr>
            <w:tcW w:w="1772" w:type="dxa"/>
            <w:vAlign w:val="center"/>
          </w:tcPr>
          <w:p w14:paraId="38B3041C" w14:textId="77777777" w:rsidR="00342321" w:rsidRPr="00BC31E0" w:rsidRDefault="00A51873" w:rsidP="004736F2">
            <w:pPr>
              <w:snapToGrid w:val="0"/>
              <w:spacing w:line="300" w:lineRule="atLeast"/>
              <w:jc w:val="center"/>
              <w:rPr>
                <w:rFonts w:ascii="Times New Roman" w:hAnsi="Times New Roman"/>
                <w:i/>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t</m:t>
                    </m:r>
                  </m:den>
                </m:f>
              </m:oMath>
            </m:oMathPara>
          </w:p>
        </w:tc>
        <w:tc>
          <w:tcPr>
            <w:tcW w:w="1772" w:type="dxa"/>
            <w:vAlign w:val="center"/>
          </w:tcPr>
          <w:p w14:paraId="46B16BEE" w14:textId="77777777" w:rsidR="00342321" w:rsidRPr="00BC31E0" w:rsidRDefault="00A51873" w:rsidP="004736F2">
            <w:pPr>
              <w:snapToGrid w:val="0"/>
              <w:spacing w:line="300" w:lineRule="atLeast"/>
              <w:jc w:val="center"/>
              <w:rPr>
                <w:rFonts w:ascii="Times New Roman" w:hAnsi="Times New Roman"/>
                <w:i/>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t</m:t>
                    </m:r>
                  </m:den>
                </m:f>
              </m:oMath>
            </m:oMathPara>
          </w:p>
        </w:tc>
        <w:tc>
          <w:tcPr>
            <w:tcW w:w="1772" w:type="dxa"/>
            <w:vAlign w:val="center"/>
          </w:tcPr>
          <w:p w14:paraId="1F8672E3" w14:textId="77777777" w:rsidR="00342321" w:rsidRPr="00BC31E0" w:rsidRDefault="00A51873" w:rsidP="004736F2">
            <w:pPr>
              <w:snapToGrid w:val="0"/>
              <w:spacing w:line="300" w:lineRule="atLeast"/>
              <w:jc w:val="center"/>
              <w:rPr>
                <w:rFonts w:ascii="Times New Roman" w:hAnsi="Times New Roman"/>
                <w:i/>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t</m:t>
                    </m:r>
                  </m:den>
                </m:f>
              </m:oMath>
            </m:oMathPara>
          </w:p>
        </w:tc>
      </w:tr>
      <w:tr w:rsidR="00342321" w:rsidRPr="00BC31E0" w14:paraId="60D795BA" w14:textId="77777777" w:rsidTr="004736F2">
        <w:trPr>
          <w:jc w:val="center"/>
        </w:trPr>
        <w:tc>
          <w:tcPr>
            <w:tcW w:w="992" w:type="dxa"/>
            <w:vAlign w:val="center"/>
          </w:tcPr>
          <w:p w14:paraId="7E516696"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0.0</w:t>
            </w:r>
          </w:p>
        </w:tc>
        <w:tc>
          <w:tcPr>
            <w:tcW w:w="1772" w:type="dxa"/>
            <w:vAlign w:val="center"/>
          </w:tcPr>
          <w:p w14:paraId="13D97E48" w14:textId="77777777" w:rsidR="00342321" w:rsidRPr="00BC31E0" w:rsidRDefault="00342321" w:rsidP="004736F2">
            <w:pPr>
              <w:snapToGrid w:val="0"/>
              <w:spacing w:line="300" w:lineRule="atLeast"/>
              <w:jc w:val="center"/>
              <w:rPr>
                <w:i/>
                <w:sz w:val="22"/>
                <w:szCs w:val="22"/>
              </w:rPr>
            </w:pPr>
            <m:oMathPara>
              <m:oMath>
                <m:r>
                  <w:rPr>
                    <w:rFonts w:ascii="Cambria Math" w:hAnsi="Cambria Math" w:hint="eastAsia"/>
                    <w:sz w:val="22"/>
                    <w:szCs w:val="22"/>
                  </w:rPr>
                  <m:t xml:space="preserve">3.77 </m:t>
                </m:r>
                <m:sSup>
                  <m:sSupPr>
                    <m:ctrlPr>
                      <w:rPr>
                        <w:rFonts w:ascii="Cambria Math" w:hAnsi="Cambria Math"/>
                        <w:i/>
                        <w:sz w:val="22"/>
                        <w:szCs w:val="22"/>
                      </w:rPr>
                    </m:ctrlPr>
                  </m:sSupPr>
                  <m:e>
                    <m:r>
                      <w:rPr>
                        <w:rFonts w:ascii="Cambria Math" w:hAnsi="Cambria Math" w:hint="eastAsia"/>
                        <w:sz w:val="22"/>
                        <w:szCs w:val="22"/>
                      </w:rPr>
                      <m:t xml:space="preserve">t </m:t>
                    </m:r>
                  </m:e>
                  <m:sup>
                    <m:r>
                      <w:rPr>
                        <w:rFonts w:ascii="Cambria Math" w:hAnsi="Cambria Math" w:hint="eastAsia"/>
                        <w:sz w:val="22"/>
                        <w:szCs w:val="22"/>
                        <w:vertAlign w:val="superscript"/>
                      </w:rPr>
                      <m:t>-</m:t>
                    </m:r>
                    <m:r>
                      <w:rPr>
                        <w:rFonts w:ascii="Cambria Math" w:hAnsi="Cambria Math" w:hint="eastAsia"/>
                        <w:sz w:val="22"/>
                        <w:szCs w:val="22"/>
                        <w:vertAlign w:val="superscript"/>
                      </w:rPr>
                      <m:t>0.929</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772" w:type="dxa"/>
            <w:vAlign w:val="center"/>
          </w:tcPr>
          <w:p w14:paraId="19CE5851" w14:textId="77777777" w:rsidR="00342321" w:rsidRPr="00BC31E0" w:rsidRDefault="00342321" w:rsidP="004736F2">
            <w:pPr>
              <w:snapToGrid w:val="0"/>
              <w:spacing w:line="300" w:lineRule="atLeast"/>
              <w:jc w:val="center"/>
              <w:rPr>
                <w:i/>
                <w:sz w:val="22"/>
                <w:szCs w:val="22"/>
              </w:rPr>
            </w:pPr>
            <m:oMathPara>
              <m:oMath>
                <m:r>
                  <w:rPr>
                    <w:rFonts w:ascii="Cambria Math" w:hAnsi="Cambria Math" w:hint="eastAsia"/>
                    <w:sz w:val="22"/>
                    <w:szCs w:val="22"/>
                  </w:rPr>
                  <m:t xml:space="preserve">3.29 </m:t>
                </m:r>
                <m:sSup>
                  <m:sSupPr>
                    <m:ctrlPr>
                      <w:rPr>
                        <w:rFonts w:ascii="Cambria Math" w:hAnsi="Cambria Math"/>
                        <w:i/>
                        <w:sz w:val="22"/>
                        <w:szCs w:val="22"/>
                      </w:rPr>
                    </m:ctrlPr>
                  </m:sSupPr>
                  <m:e>
                    <m:r>
                      <w:rPr>
                        <w:rFonts w:ascii="Cambria Math" w:hAnsi="Cambria Math" w:hint="eastAsia"/>
                        <w:sz w:val="22"/>
                        <w:szCs w:val="22"/>
                      </w:rPr>
                      <m:t xml:space="preserve">t </m:t>
                    </m:r>
                  </m:e>
                  <m:sup>
                    <m:r>
                      <w:rPr>
                        <w:rFonts w:ascii="Cambria Math" w:hAnsi="Cambria Math" w:hint="eastAsia"/>
                        <w:sz w:val="22"/>
                        <w:szCs w:val="22"/>
                        <w:vertAlign w:val="superscript"/>
                      </w:rPr>
                      <m:t>-</m:t>
                    </m:r>
                    <m:r>
                      <w:rPr>
                        <w:rFonts w:ascii="Cambria Math" w:hAnsi="Cambria Math" w:hint="eastAsia"/>
                        <w:sz w:val="22"/>
                        <w:szCs w:val="22"/>
                        <w:vertAlign w:val="superscript"/>
                      </w:rPr>
                      <m:t>0.987</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772" w:type="dxa"/>
            <w:vAlign w:val="center"/>
          </w:tcPr>
          <w:p w14:paraId="1C1ECBD5" w14:textId="77777777" w:rsidR="00342321" w:rsidRPr="00BC31E0" w:rsidRDefault="00342321" w:rsidP="004736F2">
            <w:pPr>
              <w:snapToGrid w:val="0"/>
              <w:spacing w:line="300" w:lineRule="atLeast"/>
              <w:jc w:val="center"/>
              <w:rPr>
                <w:i/>
                <w:sz w:val="22"/>
                <w:szCs w:val="22"/>
              </w:rPr>
            </w:pPr>
            <m:oMathPara>
              <m:oMath>
                <m:r>
                  <w:rPr>
                    <w:rFonts w:ascii="Cambria Math" w:hAnsi="Cambria Math" w:hint="eastAsia"/>
                    <w:sz w:val="22"/>
                    <w:szCs w:val="22"/>
                  </w:rPr>
                  <m:t xml:space="preserve">2.27 </m:t>
                </m:r>
                <m:sSup>
                  <m:sSupPr>
                    <m:ctrlPr>
                      <w:rPr>
                        <w:rFonts w:ascii="Cambria Math" w:hAnsi="Cambria Math"/>
                        <w:i/>
                        <w:sz w:val="22"/>
                        <w:szCs w:val="22"/>
                      </w:rPr>
                    </m:ctrlPr>
                  </m:sSupPr>
                  <m:e>
                    <m:r>
                      <w:rPr>
                        <w:rFonts w:ascii="Cambria Math" w:hAnsi="Cambria Math" w:hint="eastAsia"/>
                        <w:sz w:val="22"/>
                        <w:szCs w:val="22"/>
                      </w:rPr>
                      <m:t xml:space="preserve">t </m:t>
                    </m:r>
                  </m:e>
                  <m:sup>
                    <m:r>
                      <w:rPr>
                        <w:rFonts w:ascii="Cambria Math" w:hAnsi="Cambria Math" w:hint="eastAsia"/>
                        <w:sz w:val="22"/>
                        <w:szCs w:val="22"/>
                        <w:vertAlign w:val="superscript"/>
                      </w:rPr>
                      <m:t>-</m:t>
                    </m:r>
                    <m:r>
                      <w:rPr>
                        <w:rFonts w:ascii="Cambria Math" w:hAnsi="Cambria Math" w:hint="eastAsia"/>
                        <w:sz w:val="22"/>
                        <w:szCs w:val="22"/>
                        <w:vertAlign w:val="superscript"/>
                      </w:rPr>
                      <m:t>1.05</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772" w:type="dxa"/>
            <w:vAlign w:val="center"/>
          </w:tcPr>
          <w:p w14:paraId="647E6AE4" w14:textId="77777777" w:rsidR="00342321" w:rsidRPr="00BC31E0" w:rsidRDefault="00342321" w:rsidP="004736F2">
            <w:pPr>
              <w:snapToGrid w:val="0"/>
              <w:spacing w:line="300" w:lineRule="atLeast"/>
              <w:jc w:val="center"/>
              <w:rPr>
                <w:i/>
                <w:sz w:val="22"/>
                <w:szCs w:val="22"/>
              </w:rPr>
            </w:pPr>
            <m:oMathPara>
              <m:oMath>
                <m:r>
                  <w:rPr>
                    <w:rFonts w:ascii="Cambria Math" w:hAnsi="Cambria Math" w:hint="eastAsia"/>
                    <w:sz w:val="22"/>
                    <w:szCs w:val="22"/>
                  </w:rPr>
                  <m:t xml:space="preserve">1.34 </m:t>
                </m:r>
                <m:sSup>
                  <m:sSupPr>
                    <m:ctrlPr>
                      <w:rPr>
                        <w:rFonts w:ascii="Cambria Math" w:hAnsi="Cambria Math"/>
                        <w:i/>
                        <w:sz w:val="22"/>
                        <w:szCs w:val="22"/>
                      </w:rPr>
                    </m:ctrlPr>
                  </m:sSupPr>
                  <m:e>
                    <m:r>
                      <w:rPr>
                        <w:rFonts w:ascii="Cambria Math" w:hAnsi="Cambria Math" w:hint="eastAsia"/>
                        <w:sz w:val="22"/>
                        <w:szCs w:val="22"/>
                      </w:rPr>
                      <m:t xml:space="preserve">t </m:t>
                    </m:r>
                  </m:e>
                  <m:sup>
                    <m:r>
                      <w:rPr>
                        <w:rFonts w:ascii="Cambria Math" w:hAnsi="Cambria Math" w:hint="eastAsia"/>
                        <w:sz w:val="22"/>
                        <w:szCs w:val="22"/>
                        <w:vertAlign w:val="superscript"/>
                      </w:rPr>
                      <m:t>-</m:t>
                    </m:r>
                    <m:r>
                      <w:rPr>
                        <w:rFonts w:ascii="Cambria Math" w:hAnsi="Cambria Math" w:hint="eastAsia"/>
                        <w:sz w:val="22"/>
                        <w:szCs w:val="22"/>
                        <w:vertAlign w:val="superscript"/>
                      </w:rPr>
                      <m:t xml:space="preserve">1.08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r>
      <w:tr w:rsidR="00342321" w:rsidRPr="00BC31E0" w14:paraId="1C6BFDFE" w14:textId="77777777" w:rsidTr="004736F2">
        <w:trPr>
          <w:jc w:val="center"/>
        </w:trPr>
        <w:tc>
          <w:tcPr>
            <w:tcW w:w="992" w:type="dxa"/>
            <w:vAlign w:val="center"/>
          </w:tcPr>
          <w:p w14:paraId="4997E5CC"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0.1</w:t>
            </w:r>
          </w:p>
        </w:tc>
        <w:tc>
          <w:tcPr>
            <w:tcW w:w="1772" w:type="dxa"/>
            <w:vAlign w:val="center"/>
          </w:tcPr>
          <w:p w14:paraId="6357AC28" w14:textId="77777777" w:rsidR="00342321" w:rsidRPr="00BC31E0" w:rsidRDefault="00342321" w:rsidP="004736F2">
            <w:pPr>
              <w:snapToGrid w:val="0"/>
              <w:spacing w:line="300" w:lineRule="atLeast"/>
              <w:jc w:val="center"/>
              <w:rPr>
                <w:i/>
                <w:sz w:val="22"/>
                <w:szCs w:val="22"/>
              </w:rPr>
            </w:pPr>
            <m:oMathPara>
              <m:oMath>
                <m:r>
                  <w:rPr>
                    <w:rFonts w:ascii="Cambria Math" w:hAnsi="Cambria Math" w:hint="eastAsia"/>
                    <w:sz w:val="22"/>
                    <w:szCs w:val="22"/>
                  </w:rPr>
                  <m:t xml:space="preserve">3.96 </m:t>
                </m:r>
                <m:sSup>
                  <m:sSupPr>
                    <m:ctrlPr>
                      <w:rPr>
                        <w:rFonts w:ascii="Cambria Math" w:hAnsi="Cambria Math"/>
                        <w:i/>
                        <w:sz w:val="22"/>
                        <w:szCs w:val="22"/>
                      </w:rPr>
                    </m:ctrlPr>
                  </m:sSupPr>
                  <m:e>
                    <m:r>
                      <w:rPr>
                        <w:rFonts w:ascii="Cambria Math" w:hAnsi="Cambria Math" w:hint="eastAsia"/>
                        <w:sz w:val="22"/>
                        <w:szCs w:val="22"/>
                      </w:rPr>
                      <m:t xml:space="preserve">t </m:t>
                    </m:r>
                  </m:e>
                  <m:sup>
                    <m:r>
                      <w:rPr>
                        <w:rFonts w:ascii="Cambria Math" w:hAnsi="Cambria Math" w:hint="eastAsia"/>
                        <w:sz w:val="22"/>
                        <w:szCs w:val="22"/>
                        <w:vertAlign w:val="superscript"/>
                      </w:rPr>
                      <m:t>-</m:t>
                    </m:r>
                    <m:r>
                      <w:rPr>
                        <w:rFonts w:ascii="Cambria Math" w:hAnsi="Cambria Math" w:hint="eastAsia"/>
                        <w:sz w:val="22"/>
                        <w:szCs w:val="22"/>
                        <w:vertAlign w:val="superscript"/>
                      </w:rPr>
                      <m:t>0.915</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772" w:type="dxa"/>
            <w:vAlign w:val="center"/>
          </w:tcPr>
          <w:p w14:paraId="35746DB2" w14:textId="77777777" w:rsidR="00342321" w:rsidRPr="00BC31E0" w:rsidRDefault="00342321" w:rsidP="004736F2">
            <w:pPr>
              <w:snapToGrid w:val="0"/>
              <w:spacing w:line="300" w:lineRule="atLeast"/>
              <w:jc w:val="center"/>
              <w:rPr>
                <w:i/>
                <w:sz w:val="22"/>
                <w:szCs w:val="22"/>
              </w:rPr>
            </w:pPr>
            <m:oMathPara>
              <m:oMath>
                <m:r>
                  <w:rPr>
                    <w:rFonts w:ascii="Cambria Math" w:hAnsi="Cambria Math" w:hint="eastAsia"/>
                    <w:sz w:val="22"/>
                    <w:szCs w:val="22"/>
                  </w:rPr>
                  <m:t xml:space="preserve">3.53 </m:t>
                </m:r>
                <m:sSup>
                  <m:sSupPr>
                    <m:ctrlPr>
                      <w:rPr>
                        <w:rFonts w:ascii="Cambria Math" w:hAnsi="Cambria Math"/>
                        <w:i/>
                        <w:sz w:val="22"/>
                        <w:szCs w:val="22"/>
                      </w:rPr>
                    </m:ctrlPr>
                  </m:sSupPr>
                  <m:e>
                    <m:r>
                      <w:rPr>
                        <w:rFonts w:ascii="Cambria Math" w:hAnsi="Cambria Math" w:hint="eastAsia"/>
                        <w:sz w:val="22"/>
                        <w:szCs w:val="22"/>
                      </w:rPr>
                      <m:t xml:space="preserve">t </m:t>
                    </m:r>
                  </m:e>
                  <m:sup>
                    <m:r>
                      <w:rPr>
                        <w:rFonts w:ascii="Cambria Math" w:hAnsi="Cambria Math" w:hint="eastAsia"/>
                        <w:sz w:val="22"/>
                        <w:szCs w:val="22"/>
                        <w:vertAlign w:val="superscript"/>
                      </w:rPr>
                      <m:t>-</m:t>
                    </m:r>
                    <m:r>
                      <w:rPr>
                        <w:rFonts w:ascii="Cambria Math" w:hAnsi="Cambria Math" w:hint="eastAsia"/>
                        <w:sz w:val="22"/>
                        <w:szCs w:val="22"/>
                        <w:vertAlign w:val="superscript"/>
                      </w:rPr>
                      <m:t>0.974</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772" w:type="dxa"/>
            <w:vAlign w:val="center"/>
          </w:tcPr>
          <w:p w14:paraId="4EA12679" w14:textId="77777777" w:rsidR="00342321" w:rsidRPr="00BC31E0" w:rsidRDefault="00342321" w:rsidP="004736F2">
            <w:pPr>
              <w:snapToGrid w:val="0"/>
              <w:spacing w:line="300" w:lineRule="atLeast"/>
              <w:jc w:val="center"/>
              <w:rPr>
                <w:i/>
                <w:sz w:val="22"/>
                <w:szCs w:val="22"/>
              </w:rPr>
            </w:pPr>
            <m:oMathPara>
              <m:oMath>
                <m:r>
                  <w:rPr>
                    <w:rFonts w:ascii="Cambria Math" w:hAnsi="Cambria Math" w:hint="eastAsia"/>
                    <w:sz w:val="22"/>
                    <w:szCs w:val="22"/>
                  </w:rPr>
                  <m:t xml:space="preserve">2.59 </m:t>
                </m:r>
                <m:sSup>
                  <m:sSupPr>
                    <m:ctrlPr>
                      <w:rPr>
                        <w:rFonts w:ascii="Cambria Math" w:hAnsi="Cambria Math"/>
                        <w:i/>
                        <w:sz w:val="22"/>
                        <w:szCs w:val="22"/>
                      </w:rPr>
                    </m:ctrlPr>
                  </m:sSupPr>
                  <m:e>
                    <m:r>
                      <w:rPr>
                        <w:rFonts w:ascii="Cambria Math" w:hAnsi="Cambria Math" w:hint="eastAsia"/>
                        <w:sz w:val="22"/>
                        <w:szCs w:val="22"/>
                      </w:rPr>
                      <m:t xml:space="preserve">t </m:t>
                    </m:r>
                  </m:e>
                  <m:sup>
                    <m:r>
                      <w:rPr>
                        <w:rFonts w:ascii="Cambria Math" w:hAnsi="Cambria Math" w:hint="eastAsia"/>
                        <w:sz w:val="22"/>
                        <w:szCs w:val="22"/>
                        <w:vertAlign w:val="superscript"/>
                      </w:rPr>
                      <m:t>-</m:t>
                    </m:r>
                    <m:r>
                      <w:rPr>
                        <w:rFonts w:ascii="Cambria Math" w:hAnsi="Cambria Math" w:hint="eastAsia"/>
                        <w:sz w:val="22"/>
                        <w:szCs w:val="22"/>
                        <w:vertAlign w:val="superscript"/>
                      </w:rPr>
                      <m:t>1.03</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772" w:type="dxa"/>
            <w:vAlign w:val="center"/>
          </w:tcPr>
          <w:p w14:paraId="174DBD83" w14:textId="77777777" w:rsidR="00342321" w:rsidRPr="00BC31E0" w:rsidRDefault="00342321" w:rsidP="004736F2">
            <w:pPr>
              <w:snapToGrid w:val="0"/>
              <w:spacing w:line="300" w:lineRule="atLeast"/>
              <w:jc w:val="center"/>
              <w:rPr>
                <w:i/>
                <w:sz w:val="22"/>
                <w:szCs w:val="22"/>
              </w:rPr>
            </w:pPr>
            <m:oMathPara>
              <m:oMath>
                <m:r>
                  <w:rPr>
                    <w:rFonts w:ascii="Cambria Math" w:hAnsi="Cambria Math" w:hint="eastAsia"/>
                    <w:sz w:val="22"/>
                    <w:szCs w:val="22"/>
                  </w:rPr>
                  <m:t xml:space="preserve">1.68 </m:t>
                </m:r>
                <m:sSup>
                  <m:sSupPr>
                    <m:ctrlPr>
                      <w:rPr>
                        <w:rFonts w:ascii="Cambria Math" w:hAnsi="Cambria Math"/>
                        <w:i/>
                        <w:sz w:val="22"/>
                        <w:szCs w:val="22"/>
                      </w:rPr>
                    </m:ctrlPr>
                  </m:sSupPr>
                  <m:e>
                    <m:r>
                      <w:rPr>
                        <w:rFonts w:ascii="Cambria Math" w:hAnsi="Cambria Math" w:hint="eastAsia"/>
                        <w:sz w:val="22"/>
                        <w:szCs w:val="22"/>
                      </w:rPr>
                      <m:t xml:space="preserve">t </m:t>
                    </m:r>
                  </m:e>
                  <m:sup>
                    <m:r>
                      <w:rPr>
                        <w:rFonts w:ascii="Cambria Math" w:hAnsi="Cambria Math" w:hint="eastAsia"/>
                        <w:sz w:val="22"/>
                        <w:szCs w:val="22"/>
                        <w:vertAlign w:val="superscript"/>
                      </w:rPr>
                      <m:t>-</m:t>
                    </m:r>
                    <m:r>
                      <w:rPr>
                        <w:rFonts w:ascii="Cambria Math" w:hAnsi="Cambria Math" w:hint="eastAsia"/>
                        <w:sz w:val="22"/>
                        <w:szCs w:val="22"/>
                        <w:vertAlign w:val="superscript"/>
                      </w:rPr>
                      <m:t xml:space="preserve">1.07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r>
      <w:tr w:rsidR="00342321" w:rsidRPr="00BC31E0" w14:paraId="4092A77E" w14:textId="77777777" w:rsidTr="004736F2">
        <w:trPr>
          <w:jc w:val="center"/>
        </w:trPr>
        <w:tc>
          <w:tcPr>
            <w:tcW w:w="992" w:type="dxa"/>
            <w:vAlign w:val="center"/>
          </w:tcPr>
          <w:p w14:paraId="75FBC3F9"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0.2</w:t>
            </w:r>
          </w:p>
        </w:tc>
        <w:tc>
          <w:tcPr>
            <w:tcW w:w="1772" w:type="dxa"/>
            <w:vAlign w:val="center"/>
          </w:tcPr>
          <w:p w14:paraId="569A2B54" w14:textId="77777777" w:rsidR="00342321" w:rsidRPr="00BC31E0" w:rsidRDefault="00342321" w:rsidP="004736F2">
            <w:pPr>
              <w:snapToGrid w:val="0"/>
              <w:spacing w:line="300" w:lineRule="atLeast"/>
              <w:jc w:val="center"/>
              <w:rPr>
                <w:i/>
                <w:sz w:val="22"/>
                <w:szCs w:val="22"/>
              </w:rPr>
            </w:pPr>
            <m:oMathPara>
              <m:oMath>
                <m:r>
                  <w:rPr>
                    <w:rFonts w:ascii="Cambria Math" w:hAnsi="Cambria Math" w:hint="eastAsia"/>
                    <w:sz w:val="22"/>
                    <w:szCs w:val="22"/>
                  </w:rPr>
                  <m:t xml:space="preserve">5.99 </m:t>
                </m:r>
                <m:sSup>
                  <m:sSupPr>
                    <m:ctrlPr>
                      <w:rPr>
                        <w:rFonts w:ascii="Cambria Math" w:hAnsi="Cambria Math"/>
                        <w:i/>
                        <w:sz w:val="22"/>
                        <w:szCs w:val="22"/>
                      </w:rPr>
                    </m:ctrlPr>
                  </m:sSupPr>
                  <m:e>
                    <m:r>
                      <w:rPr>
                        <w:rFonts w:ascii="Cambria Math" w:hAnsi="Cambria Math" w:hint="eastAsia"/>
                        <w:sz w:val="22"/>
                        <w:szCs w:val="22"/>
                      </w:rPr>
                      <m:t xml:space="preserve">t </m:t>
                    </m:r>
                  </m:e>
                  <m:sup>
                    <m:r>
                      <w:rPr>
                        <w:rFonts w:ascii="Cambria Math" w:hAnsi="Cambria Math" w:hint="eastAsia"/>
                        <w:sz w:val="22"/>
                        <w:szCs w:val="22"/>
                        <w:vertAlign w:val="superscript"/>
                      </w:rPr>
                      <m:t>-</m:t>
                    </m:r>
                    <m:r>
                      <w:rPr>
                        <w:rFonts w:ascii="Cambria Math" w:hAnsi="Cambria Math" w:hint="eastAsia"/>
                        <w:sz w:val="22"/>
                        <w:szCs w:val="22"/>
                        <w:vertAlign w:val="superscript"/>
                      </w:rPr>
                      <m:t>0.945</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772" w:type="dxa"/>
            <w:vAlign w:val="center"/>
          </w:tcPr>
          <w:p w14:paraId="737D29BA" w14:textId="77777777" w:rsidR="00342321" w:rsidRPr="00BC31E0" w:rsidRDefault="00342321" w:rsidP="004736F2">
            <w:pPr>
              <w:snapToGrid w:val="0"/>
              <w:spacing w:line="300" w:lineRule="atLeast"/>
              <w:jc w:val="center"/>
              <w:rPr>
                <w:i/>
                <w:sz w:val="22"/>
                <w:szCs w:val="22"/>
              </w:rPr>
            </w:pPr>
            <m:oMathPara>
              <m:oMath>
                <m:r>
                  <w:rPr>
                    <w:rFonts w:ascii="Cambria Math" w:hAnsi="Cambria Math" w:hint="eastAsia"/>
                    <w:sz w:val="22"/>
                    <w:szCs w:val="22"/>
                  </w:rPr>
                  <m:t xml:space="preserve">5.36 </m:t>
                </m:r>
                <m:sSup>
                  <m:sSupPr>
                    <m:ctrlPr>
                      <w:rPr>
                        <w:rFonts w:ascii="Cambria Math" w:hAnsi="Cambria Math"/>
                        <w:i/>
                        <w:sz w:val="22"/>
                        <w:szCs w:val="22"/>
                      </w:rPr>
                    </m:ctrlPr>
                  </m:sSupPr>
                  <m:e>
                    <m:r>
                      <w:rPr>
                        <w:rFonts w:ascii="Cambria Math" w:hAnsi="Cambria Math" w:hint="eastAsia"/>
                        <w:sz w:val="22"/>
                        <w:szCs w:val="22"/>
                      </w:rPr>
                      <m:t xml:space="preserve">t </m:t>
                    </m:r>
                  </m:e>
                  <m:sup>
                    <m:r>
                      <w:rPr>
                        <w:rFonts w:ascii="Cambria Math" w:hAnsi="Cambria Math" w:hint="eastAsia"/>
                        <w:sz w:val="22"/>
                        <w:szCs w:val="22"/>
                        <w:vertAlign w:val="superscript"/>
                      </w:rPr>
                      <m:t>-</m:t>
                    </m:r>
                    <m:r>
                      <w:rPr>
                        <w:rFonts w:ascii="Cambria Math" w:hAnsi="Cambria Math" w:hint="eastAsia"/>
                        <w:sz w:val="22"/>
                        <w:szCs w:val="22"/>
                        <w:vertAlign w:val="superscript"/>
                      </w:rPr>
                      <m:t>1.00</m:t>
                    </m:r>
                    <m:r>
                      <w:rPr>
                        <w:rFonts w:ascii="Cambria Math" w:hAnsi="Cambria Math"/>
                        <w:sz w:val="22"/>
                        <w:szCs w:val="22"/>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772" w:type="dxa"/>
            <w:vAlign w:val="center"/>
          </w:tcPr>
          <w:p w14:paraId="23B6BA36" w14:textId="77777777" w:rsidR="00342321" w:rsidRPr="00BC31E0" w:rsidRDefault="00342321" w:rsidP="004736F2">
            <w:pPr>
              <w:snapToGrid w:val="0"/>
              <w:spacing w:line="300" w:lineRule="atLeast"/>
              <w:jc w:val="center"/>
              <w:rPr>
                <w:i/>
                <w:sz w:val="22"/>
                <w:szCs w:val="22"/>
              </w:rPr>
            </w:pPr>
            <m:oMathPara>
              <m:oMath>
                <m:r>
                  <w:rPr>
                    <w:rFonts w:ascii="Cambria Math" w:hAnsi="Cambria Math" w:hint="eastAsia"/>
                    <w:sz w:val="22"/>
                    <w:szCs w:val="22"/>
                  </w:rPr>
                  <m:t xml:space="preserve">3.99 </m:t>
                </m:r>
                <m:sSup>
                  <m:sSupPr>
                    <m:ctrlPr>
                      <w:rPr>
                        <w:rFonts w:ascii="Cambria Math" w:hAnsi="Cambria Math"/>
                        <w:i/>
                        <w:sz w:val="22"/>
                        <w:szCs w:val="22"/>
                      </w:rPr>
                    </m:ctrlPr>
                  </m:sSupPr>
                  <m:e>
                    <m:r>
                      <w:rPr>
                        <w:rFonts w:ascii="Cambria Math" w:hAnsi="Cambria Math" w:hint="eastAsia"/>
                        <w:sz w:val="22"/>
                        <w:szCs w:val="22"/>
                      </w:rPr>
                      <m:t xml:space="preserve">t </m:t>
                    </m:r>
                  </m:e>
                  <m:sup>
                    <m:r>
                      <w:rPr>
                        <w:rFonts w:ascii="Cambria Math" w:hAnsi="Cambria Math" w:hint="eastAsia"/>
                        <w:sz w:val="22"/>
                        <w:szCs w:val="22"/>
                        <w:vertAlign w:val="superscript"/>
                      </w:rPr>
                      <m:t>-</m:t>
                    </m:r>
                    <m:r>
                      <w:rPr>
                        <w:rFonts w:ascii="Cambria Math" w:hAnsi="Cambria Math" w:hint="eastAsia"/>
                        <w:sz w:val="22"/>
                        <w:szCs w:val="22"/>
                        <w:vertAlign w:val="superscript"/>
                      </w:rPr>
                      <m:t>1.06</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772" w:type="dxa"/>
            <w:vAlign w:val="center"/>
          </w:tcPr>
          <w:p w14:paraId="341263FD" w14:textId="77777777" w:rsidR="00342321" w:rsidRPr="00BC31E0" w:rsidRDefault="00342321" w:rsidP="004736F2">
            <w:pPr>
              <w:snapToGrid w:val="0"/>
              <w:spacing w:line="300" w:lineRule="atLeast"/>
              <w:jc w:val="center"/>
              <w:rPr>
                <w:i/>
                <w:sz w:val="22"/>
                <w:szCs w:val="22"/>
              </w:rPr>
            </w:pPr>
            <m:oMathPara>
              <m:oMath>
                <m:r>
                  <w:rPr>
                    <w:rFonts w:ascii="Cambria Math" w:hAnsi="Cambria Math" w:hint="eastAsia"/>
                    <w:sz w:val="22"/>
                    <w:szCs w:val="22"/>
                  </w:rPr>
                  <m:t xml:space="preserve">2.81 </m:t>
                </m:r>
                <m:sSup>
                  <m:sSupPr>
                    <m:ctrlPr>
                      <w:rPr>
                        <w:rFonts w:ascii="Cambria Math" w:hAnsi="Cambria Math"/>
                        <w:i/>
                        <w:sz w:val="22"/>
                        <w:szCs w:val="22"/>
                      </w:rPr>
                    </m:ctrlPr>
                  </m:sSupPr>
                  <m:e>
                    <m:r>
                      <w:rPr>
                        <w:rFonts w:ascii="Cambria Math" w:hAnsi="Cambria Math" w:hint="eastAsia"/>
                        <w:sz w:val="22"/>
                        <w:szCs w:val="22"/>
                      </w:rPr>
                      <m:t xml:space="preserve">t </m:t>
                    </m:r>
                  </m:e>
                  <m:sup>
                    <m:r>
                      <w:rPr>
                        <w:rFonts w:ascii="Cambria Math" w:hAnsi="Cambria Math" w:hint="eastAsia"/>
                        <w:sz w:val="22"/>
                        <w:szCs w:val="22"/>
                        <w:vertAlign w:val="superscript"/>
                      </w:rPr>
                      <m:t>-</m:t>
                    </m:r>
                    <m:r>
                      <w:rPr>
                        <w:rFonts w:ascii="Cambria Math" w:hAnsi="Cambria Math" w:hint="eastAsia"/>
                        <w:sz w:val="22"/>
                        <w:szCs w:val="22"/>
                        <w:vertAlign w:val="superscript"/>
                      </w:rPr>
                      <m:t xml:space="preserve">1.09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r>
      <w:tr w:rsidR="00342321" w:rsidRPr="00BC31E0" w14:paraId="27CE5D60" w14:textId="77777777" w:rsidTr="004736F2">
        <w:trPr>
          <w:jc w:val="center"/>
        </w:trPr>
        <w:tc>
          <w:tcPr>
            <w:tcW w:w="992" w:type="dxa"/>
            <w:vAlign w:val="center"/>
          </w:tcPr>
          <w:p w14:paraId="55306AA8"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0.3</w:t>
            </w:r>
          </w:p>
        </w:tc>
        <w:tc>
          <w:tcPr>
            <w:tcW w:w="1772" w:type="dxa"/>
            <w:vAlign w:val="center"/>
          </w:tcPr>
          <w:p w14:paraId="3D789FB9" w14:textId="77777777" w:rsidR="00342321" w:rsidRPr="00BC31E0" w:rsidRDefault="00342321" w:rsidP="004736F2">
            <w:pPr>
              <w:snapToGrid w:val="0"/>
              <w:spacing w:line="300" w:lineRule="atLeast"/>
              <w:jc w:val="center"/>
              <w:rPr>
                <w:i/>
                <w:sz w:val="22"/>
                <w:szCs w:val="22"/>
              </w:rPr>
            </w:pPr>
            <m:oMathPara>
              <m:oMath>
                <m:r>
                  <w:rPr>
                    <w:rFonts w:ascii="Cambria Math" w:hAnsi="Cambria Math" w:hint="eastAsia"/>
                    <w:sz w:val="22"/>
                    <w:szCs w:val="22"/>
                  </w:rPr>
                  <m:t xml:space="preserve">8.65 </m:t>
                </m:r>
                <m:sSup>
                  <m:sSupPr>
                    <m:ctrlPr>
                      <w:rPr>
                        <w:rFonts w:ascii="Cambria Math" w:hAnsi="Cambria Math"/>
                        <w:i/>
                        <w:sz w:val="22"/>
                        <w:szCs w:val="22"/>
                      </w:rPr>
                    </m:ctrlPr>
                  </m:sSupPr>
                  <m:e>
                    <m:r>
                      <w:rPr>
                        <w:rFonts w:ascii="Cambria Math" w:hAnsi="Cambria Math" w:hint="eastAsia"/>
                        <w:sz w:val="22"/>
                        <w:szCs w:val="22"/>
                      </w:rPr>
                      <m:t xml:space="preserve">t </m:t>
                    </m:r>
                  </m:e>
                  <m:sup>
                    <m:r>
                      <w:rPr>
                        <w:rFonts w:ascii="Cambria Math" w:hAnsi="Cambria Math" w:hint="eastAsia"/>
                        <w:sz w:val="22"/>
                        <w:szCs w:val="22"/>
                        <w:vertAlign w:val="superscript"/>
                      </w:rPr>
                      <m:t>-</m:t>
                    </m:r>
                    <m:r>
                      <w:rPr>
                        <w:rFonts w:ascii="Cambria Math" w:hAnsi="Cambria Math" w:hint="eastAsia"/>
                        <w:sz w:val="22"/>
                        <w:szCs w:val="22"/>
                        <w:vertAlign w:val="superscript"/>
                      </w:rPr>
                      <m:t>0.961</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772" w:type="dxa"/>
            <w:vAlign w:val="center"/>
          </w:tcPr>
          <w:p w14:paraId="57945D3D" w14:textId="77777777" w:rsidR="00342321" w:rsidRPr="00BC31E0" w:rsidRDefault="00342321" w:rsidP="004736F2">
            <w:pPr>
              <w:snapToGrid w:val="0"/>
              <w:spacing w:line="300" w:lineRule="atLeast"/>
              <w:jc w:val="center"/>
              <w:rPr>
                <w:i/>
                <w:sz w:val="22"/>
                <w:szCs w:val="22"/>
              </w:rPr>
            </w:pPr>
            <m:oMathPara>
              <m:oMath>
                <m:r>
                  <w:rPr>
                    <w:rFonts w:ascii="Cambria Math" w:hAnsi="Cambria Math" w:hint="eastAsia"/>
                    <w:sz w:val="22"/>
                    <w:szCs w:val="22"/>
                  </w:rPr>
                  <m:t>7.99</m:t>
                </m:r>
                <m:sSup>
                  <m:sSupPr>
                    <m:ctrlPr>
                      <w:rPr>
                        <w:rFonts w:ascii="Cambria Math" w:hAnsi="Cambria Math"/>
                        <w:i/>
                        <w:sz w:val="22"/>
                        <w:szCs w:val="22"/>
                      </w:rPr>
                    </m:ctrlPr>
                  </m:sSupPr>
                  <m:e>
                    <m:r>
                      <w:rPr>
                        <w:rFonts w:ascii="Cambria Math" w:hAnsi="Cambria Math" w:hint="eastAsia"/>
                        <w:sz w:val="22"/>
                        <w:szCs w:val="22"/>
                      </w:rPr>
                      <m:t xml:space="preserve"> t </m:t>
                    </m:r>
                  </m:e>
                  <m:sup>
                    <m:r>
                      <w:rPr>
                        <w:rFonts w:ascii="Cambria Math" w:hAnsi="Cambria Math" w:hint="eastAsia"/>
                        <w:sz w:val="22"/>
                        <w:szCs w:val="22"/>
                        <w:vertAlign w:val="superscript"/>
                      </w:rPr>
                      <m:t>-</m:t>
                    </m:r>
                    <m:r>
                      <w:rPr>
                        <w:rFonts w:ascii="Cambria Math" w:hAnsi="Cambria Math" w:hint="eastAsia"/>
                        <w:sz w:val="22"/>
                        <w:szCs w:val="22"/>
                        <w:vertAlign w:val="superscript"/>
                      </w:rPr>
                      <m:t>1.02</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772" w:type="dxa"/>
            <w:vAlign w:val="center"/>
          </w:tcPr>
          <w:p w14:paraId="71C9CF9D" w14:textId="77777777" w:rsidR="00342321" w:rsidRPr="00BC31E0" w:rsidRDefault="00342321" w:rsidP="004736F2">
            <w:pPr>
              <w:snapToGrid w:val="0"/>
              <w:spacing w:line="300" w:lineRule="atLeast"/>
              <w:jc w:val="center"/>
              <w:rPr>
                <w:i/>
                <w:sz w:val="22"/>
                <w:szCs w:val="22"/>
              </w:rPr>
            </w:pPr>
            <m:oMathPara>
              <m:oMath>
                <m:r>
                  <w:rPr>
                    <w:rFonts w:ascii="Cambria Math" w:hAnsi="Cambria Math" w:hint="eastAsia"/>
                    <w:sz w:val="22"/>
                    <w:szCs w:val="22"/>
                  </w:rPr>
                  <m:t xml:space="preserve">6.24 </m:t>
                </m:r>
                <m:sSup>
                  <m:sSupPr>
                    <m:ctrlPr>
                      <w:rPr>
                        <w:rFonts w:ascii="Cambria Math" w:hAnsi="Cambria Math"/>
                        <w:i/>
                        <w:sz w:val="22"/>
                        <w:szCs w:val="22"/>
                      </w:rPr>
                    </m:ctrlPr>
                  </m:sSupPr>
                  <m:e>
                    <m:r>
                      <w:rPr>
                        <w:rFonts w:ascii="Cambria Math" w:hAnsi="Cambria Math" w:hint="eastAsia"/>
                        <w:sz w:val="22"/>
                        <w:szCs w:val="22"/>
                      </w:rPr>
                      <m:t xml:space="preserve">t </m:t>
                    </m:r>
                  </m:e>
                  <m:sup>
                    <m:r>
                      <w:rPr>
                        <w:rFonts w:ascii="Cambria Math" w:hAnsi="Cambria Math" w:hint="eastAsia"/>
                        <w:sz w:val="22"/>
                        <w:szCs w:val="22"/>
                        <w:vertAlign w:val="superscript"/>
                      </w:rPr>
                      <m:t>-</m:t>
                    </m:r>
                    <m:r>
                      <w:rPr>
                        <w:rFonts w:ascii="Cambria Math" w:hAnsi="Cambria Math" w:hint="eastAsia"/>
                        <w:sz w:val="22"/>
                        <w:szCs w:val="22"/>
                        <w:vertAlign w:val="superscript"/>
                      </w:rPr>
                      <m:t xml:space="preserve">1.08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772" w:type="dxa"/>
            <w:vAlign w:val="center"/>
          </w:tcPr>
          <w:p w14:paraId="662EADCC" w14:textId="77777777" w:rsidR="00342321" w:rsidRPr="00BC31E0" w:rsidRDefault="00342321" w:rsidP="004736F2">
            <w:pPr>
              <w:snapToGrid w:val="0"/>
              <w:spacing w:line="300" w:lineRule="atLeast"/>
              <w:jc w:val="center"/>
              <w:rPr>
                <w:sz w:val="22"/>
                <w:szCs w:val="22"/>
              </w:rPr>
            </w:pPr>
            <m:oMathPara>
              <m:oMath>
                <m:r>
                  <m:rPr>
                    <m:sty m:val="p"/>
                  </m:rPr>
                  <w:rPr>
                    <w:rFonts w:ascii="Cambria Math" w:hAnsi="Cambria Math" w:hint="eastAsia"/>
                    <w:sz w:val="22"/>
                    <w:szCs w:val="22"/>
                  </w:rPr>
                  <m:t xml:space="preserve">4.78 </m:t>
                </m:r>
                <m:sSup>
                  <m:sSupPr>
                    <m:ctrlPr>
                      <w:rPr>
                        <w:rFonts w:ascii="Cambria Math" w:hAnsi="Cambria Math"/>
                        <w:sz w:val="22"/>
                        <w:szCs w:val="22"/>
                      </w:rPr>
                    </m:ctrlPr>
                  </m:sSupPr>
                  <m:e>
                    <m:r>
                      <m:rPr>
                        <m:sty m:val="p"/>
                      </m:rPr>
                      <w:rPr>
                        <w:rFonts w:ascii="Cambria Math" w:hAnsi="Cambria Math" w:hint="eastAsia"/>
                        <w:sz w:val="22"/>
                        <w:szCs w:val="22"/>
                      </w:rPr>
                      <m:t xml:space="preserve">t </m:t>
                    </m:r>
                  </m:e>
                  <m:sup>
                    <m:r>
                      <m:rPr>
                        <m:sty m:val="p"/>
                      </m:rPr>
                      <w:rPr>
                        <w:rFonts w:ascii="Cambria Math" w:hAnsi="Cambria Math" w:hint="eastAsia"/>
                        <w:sz w:val="22"/>
                        <w:szCs w:val="22"/>
                        <w:vertAlign w:val="superscript"/>
                      </w:rPr>
                      <m:t>-</m:t>
                    </m:r>
                    <m:r>
                      <m:rPr>
                        <m:sty m:val="p"/>
                      </m:rPr>
                      <w:rPr>
                        <w:rFonts w:ascii="Cambria Math" w:hAnsi="Cambria Math" w:hint="eastAsia"/>
                        <w:sz w:val="22"/>
                        <w:szCs w:val="22"/>
                        <w:vertAlign w:val="superscript"/>
                      </w:rPr>
                      <m:t>1.12</m:t>
                    </m:r>
                  </m:sup>
                </m:sSup>
                <m:sSub>
                  <m:sSubPr>
                    <m:ctrlPr>
                      <w:rPr>
                        <w:rFonts w:ascii="Cambria Math" w:hAnsi="Cambria Math"/>
                        <w:sz w:val="22"/>
                        <w:szCs w:val="22"/>
                      </w:rPr>
                    </m:ctrlPr>
                  </m:sSubPr>
                  <m:e>
                    <m:r>
                      <m:rPr>
                        <m:sty m:val="p"/>
                      </m:rPr>
                      <w:rPr>
                        <w:rFonts w:ascii="Cambria Math" w:hAnsi="Cambria Math"/>
                        <w:sz w:val="22"/>
                        <w:szCs w:val="22"/>
                      </w:rPr>
                      <m:t>X</m:t>
                    </m:r>
                  </m:e>
                  <m:sub>
                    <m:r>
                      <m:rPr>
                        <m:sty m:val="p"/>
                      </m:rPr>
                      <w:rPr>
                        <w:rFonts w:ascii="Cambria Math" w:hAnsi="Cambria Math"/>
                        <w:sz w:val="22"/>
                        <w:szCs w:val="22"/>
                      </w:rPr>
                      <m:t>a</m:t>
                    </m:r>
                  </m:sub>
                </m:sSub>
              </m:oMath>
            </m:oMathPara>
          </w:p>
        </w:tc>
      </w:tr>
      <w:tr w:rsidR="00342321" w:rsidRPr="00BC31E0" w14:paraId="3635BA43" w14:textId="77777777" w:rsidTr="004736F2">
        <w:trPr>
          <w:jc w:val="center"/>
        </w:trPr>
        <w:tc>
          <w:tcPr>
            <w:tcW w:w="992" w:type="dxa"/>
            <w:vAlign w:val="center"/>
          </w:tcPr>
          <w:p w14:paraId="32E105CA"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0.4</w:t>
            </w:r>
          </w:p>
        </w:tc>
        <w:tc>
          <w:tcPr>
            <w:tcW w:w="1772" w:type="dxa"/>
            <w:vAlign w:val="center"/>
          </w:tcPr>
          <w:p w14:paraId="7DA7EF05" w14:textId="77777777" w:rsidR="00342321" w:rsidRPr="00BC31E0" w:rsidRDefault="00342321" w:rsidP="004736F2">
            <w:pPr>
              <w:snapToGrid w:val="0"/>
              <w:spacing w:line="300" w:lineRule="atLeast"/>
              <w:jc w:val="center"/>
              <w:rPr>
                <w:i/>
                <w:sz w:val="22"/>
                <w:szCs w:val="22"/>
              </w:rPr>
            </w:pPr>
            <m:oMathPara>
              <m:oMath>
                <m:r>
                  <w:rPr>
                    <w:rFonts w:ascii="Cambria Math" w:hAnsi="Cambria Math" w:hint="eastAsia"/>
                    <w:sz w:val="22"/>
                    <w:szCs w:val="22"/>
                  </w:rPr>
                  <m:t>7.70</m:t>
                </m:r>
                <m:sSup>
                  <m:sSupPr>
                    <m:ctrlPr>
                      <w:rPr>
                        <w:rFonts w:ascii="Cambria Math" w:hAnsi="Cambria Math"/>
                        <w:i/>
                        <w:sz w:val="22"/>
                        <w:szCs w:val="22"/>
                      </w:rPr>
                    </m:ctrlPr>
                  </m:sSupPr>
                  <m:e>
                    <m:r>
                      <w:rPr>
                        <w:rFonts w:ascii="Cambria Math" w:hAnsi="Cambria Math" w:hint="eastAsia"/>
                        <w:sz w:val="22"/>
                        <w:szCs w:val="22"/>
                      </w:rPr>
                      <m:t xml:space="preserve"> t </m:t>
                    </m:r>
                  </m:e>
                  <m:sup>
                    <m:r>
                      <w:rPr>
                        <w:rFonts w:ascii="Cambria Math" w:hAnsi="Cambria Math" w:hint="eastAsia"/>
                        <w:sz w:val="22"/>
                        <w:szCs w:val="22"/>
                        <w:vertAlign w:val="superscript"/>
                      </w:rPr>
                      <m:t>-</m:t>
                    </m:r>
                    <m:r>
                      <w:rPr>
                        <w:rFonts w:ascii="Cambria Math" w:hAnsi="Cambria Math" w:hint="eastAsia"/>
                        <w:sz w:val="22"/>
                        <w:szCs w:val="22"/>
                        <w:vertAlign w:val="superscript"/>
                      </w:rPr>
                      <m:t>0.893</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772" w:type="dxa"/>
            <w:vAlign w:val="center"/>
          </w:tcPr>
          <w:p w14:paraId="2E898E73" w14:textId="77777777" w:rsidR="00342321" w:rsidRPr="00BC31E0" w:rsidRDefault="00342321" w:rsidP="004736F2">
            <w:pPr>
              <w:snapToGrid w:val="0"/>
              <w:spacing w:line="300" w:lineRule="atLeast"/>
              <w:jc w:val="center"/>
              <w:rPr>
                <w:i/>
                <w:sz w:val="22"/>
                <w:szCs w:val="22"/>
              </w:rPr>
            </w:pPr>
            <m:oMathPara>
              <m:oMath>
                <m:r>
                  <w:rPr>
                    <w:rFonts w:ascii="Cambria Math" w:hAnsi="Cambria Math" w:hint="eastAsia"/>
                    <w:sz w:val="22"/>
                    <w:szCs w:val="22"/>
                  </w:rPr>
                  <m:t xml:space="preserve">7.04 </m:t>
                </m:r>
                <m:sSup>
                  <m:sSupPr>
                    <m:ctrlPr>
                      <w:rPr>
                        <w:rFonts w:ascii="Cambria Math" w:hAnsi="Cambria Math"/>
                        <w:i/>
                        <w:sz w:val="22"/>
                        <w:szCs w:val="22"/>
                      </w:rPr>
                    </m:ctrlPr>
                  </m:sSupPr>
                  <m:e>
                    <m:r>
                      <w:rPr>
                        <w:rFonts w:ascii="Cambria Math" w:hAnsi="Cambria Math" w:hint="eastAsia"/>
                        <w:sz w:val="22"/>
                        <w:szCs w:val="22"/>
                      </w:rPr>
                      <m:t xml:space="preserve">t </m:t>
                    </m:r>
                  </m:e>
                  <m:sup>
                    <m:r>
                      <w:rPr>
                        <w:rFonts w:ascii="Cambria Math" w:hAnsi="Cambria Math" w:hint="eastAsia"/>
                        <w:sz w:val="22"/>
                        <w:szCs w:val="22"/>
                        <w:vertAlign w:val="superscript"/>
                      </w:rPr>
                      <m:t>-</m:t>
                    </m:r>
                    <m:r>
                      <w:rPr>
                        <w:rFonts w:ascii="Cambria Math" w:hAnsi="Cambria Math" w:hint="eastAsia"/>
                        <w:sz w:val="22"/>
                        <w:szCs w:val="22"/>
                        <w:vertAlign w:val="superscript"/>
                      </w:rPr>
                      <m:t>0.945</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772" w:type="dxa"/>
            <w:vAlign w:val="center"/>
          </w:tcPr>
          <w:p w14:paraId="6E2AA086" w14:textId="77777777" w:rsidR="00342321" w:rsidRPr="00BC31E0" w:rsidRDefault="00342321" w:rsidP="004736F2">
            <w:pPr>
              <w:snapToGrid w:val="0"/>
              <w:spacing w:line="300" w:lineRule="atLeast"/>
              <w:jc w:val="center"/>
              <w:rPr>
                <w:i/>
                <w:sz w:val="22"/>
                <w:szCs w:val="22"/>
              </w:rPr>
            </w:pPr>
            <m:oMathPara>
              <m:oMath>
                <m:r>
                  <w:rPr>
                    <w:rFonts w:ascii="Cambria Math" w:hAnsi="Cambria Math" w:hint="eastAsia"/>
                    <w:sz w:val="22"/>
                    <w:szCs w:val="22"/>
                  </w:rPr>
                  <m:t xml:space="preserve">5.66 </m:t>
                </m:r>
                <m:sSup>
                  <m:sSupPr>
                    <m:ctrlPr>
                      <w:rPr>
                        <w:rFonts w:ascii="Cambria Math" w:hAnsi="Cambria Math"/>
                        <w:i/>
                        <w:sz w:val="22"/>
                        <w:szCs w:val="22"/>
                      </w:rPr>
                    </m:ctrlPr>
                  </m:sSupPr>
                  <m:e>
                    <m:r>
                      <w:rPr>
                        <w:rFonts w:ascii="Cambria Math" w:hAnsi="Cambria Math" w:hint="eastAsia"/>
                        <w:sz w:val="22"/>
                        <w:szCs w:val="22"/>
                      </w:rPr>
                      <m:t xml:space="preserve">t </m:t>
                    </m:r>
                  </m:e>
                  <m:sup>
                    <m:r>
                      <w:rPr>
                        <w:rFonts w:ascii="Cambria Math" w:hAnsi="Cambria Math" w:hint="eastAsia"/>
                        <w:sz w:val="22"/>
                        <w:szCs w:val="22"/>
                        <w:vertAlign w:val="superscript"/>
                      </w:rPr>
                      <m:t>-</m:t>
                    </m:r>
                    <m:r>
                      <w:rPr>
                        <w:rFonts w:ascii="Cambria Math" w:hAnsi="Cambria Math" w:hint="eastAsia"/>
                        <w:sz w:val="22"/>
                        <w:szCs w:val="22"/>
                        <w:vertAlign w:val="superscript"/>
                      </w:rPr>
                      <m:t xml:space="preserve">0.995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772" w:type="dxa"/>
            <w:vAlign w:val="center"/>
          </w:tcPr>
          <w:p w14:paraId="745D3135" w14:textId="77777777" w:rsidR="00342321" w:rsidRPr="00BC31E0" w:rsidRDefault="00342321" w:rsidP="004736F2">
            <w:pPr>
              <w:snapToGrid w:val="0"/>
              <w:spacing w:line="300" w:lineRule="atLeast"/>
              <w:jc w:val="center"/>
              <w:rPr>
                <w:i/>
                <w:sz w:val="22"/>
                <w:szCs w:val="22"/>
              </w:rPr>
            </w:pPr>
            <m:oMathPara>
              <m:oMath>
                <m:r>
                  <w:rPr>
                    <w:rFonts w:ascii="Cambria Math" w:hAnsi="Cambria Math" w:hint="eastAsia"/>
                    <w:sz w:val="22"/>
                    <w:szCs w:val="22"/>
                  </w:rPr>
                  <m:t xml:space="preserve">4.44 </m:t>
                </m:r>
                <m:sSup>
                  <m:sSupPr>
                    <m:ctrlPr>
                      <w:rPr>
                        <w:rFonts w:ascii="Cambria Math" w:hAnsi="Cambria Math"/>
                        <w:i/>
                        <w:sz w:val="22"/>
                        <w:szCs w:val="22"/>
                      </w:rPr>
                    </m:ctrlPr>
                  </m:sSupPr>
                  <m:e>
                    <m:r>
                      <w:rPr>
                        <w:rFonts w:ascii="Cambria Math" w:hAnsi="Cambria Math" w:hint="eastAsia"/>
                        <w:sz w:val="22"/>
                        <w:szCs w:val="22"/>
                      </w:rPr>
                      <m:t xml:space="preserve">t </m:t>
                    </m:r>
                  </m:e>
                  <m:sup>
                    <m:r>
                      <w:rPr>
                        <w:rFonts w:ascii="Cambria Math" w:hAnsi="Cambria Math" w:hint="eastAsia"/>
                        <w:sz w:val="22"/>
                        <w:szCs w:val="22"/>
                        <w:vertAlign w:val="superscript"/>
                      </w:rPr>
                      <m:t>-</m:t>
                    </m:r>
                    <m:r>
                      <w:rPr>
                        <w:rFonts w:ascii="Cambria Math" w:hAnsi="Cambria Math" w:hint="eastAsia"/>
                        <w:sz w:val="22"/>
                        <w:szCs w:val="22"/>
                        <w:vertAlign w:val="superscript"/>
                      </w:rPr>
                      <m:t xml:space="preserve">1.02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r>
      <w:tr w:rsidR="00342321" w:rsidRPr="00BC31E0" w14:paraId="2C76EBEE" w14:textId="77777777" w:rsidTr="004736F2">
        <w:trPr>
          <w:jc w:val="center"/>
        </w:trPr>
        <w:tc>
          <w:tcPr>
            <w:tcW w:w="992" w:type="dxa"/>
            <w:vAlign w:val="center"/>
          </w:tcPr>
          <w:p w14:paraId="4637677E"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0.5</w:t>
            </w:r>
          </w:p>
        </w:tc>
        <w:tc>
          <w:tcPr>
            <w:tcW w:w="1772" w:type="dxa"/>
            <w:vAlign w:val="center"/>
          </w:tcPr>
          <w:p w14:paraId="568A2DBB" w14:textId="77777777" w:rsidR="00342321" w:rsidRPr="00BC31E0" w:rsidRDefault="00342321" w:rsidP="004736F2">
            <w:pPr>
              <w:snapToGrid w:val="0"/>
              <w:spacing w:line="300" w:lineRule="atLeast"/>
              <w:jc w:val="center"/>
              <w:rPr>
                <w:i/>
                <w:sz w:val="22"/>
                <w:szCs w:val="22"/>
              </w:rPr>
            </w:pPr>
            <m:oMathPara>
              <m:oMath>
                <m:r>
                  <w:rPr>
                    <w:rFonts w:ascii="Cambria Math" w:hAnsi="Cambria Math" w:hint="eastAsia"/>
                    <w:sz w:val="22"/>
                    <w:szCs w:val="22"/>
                  </w:rPr>
                  <m:t xml:space="preserve">8.26 </m:t>
                </m:r>
                <m:sSup>
                  <m:sSupPr>
                    <m:ctrlPr>
                      <w:rPr>
                        <w:rFonts w:ascii="Cambria Math" w:hAnsi="Cambria Math"/>
                        <w:i/>
                        <w:sz w:val="22"/>
                        <w:szCs w:val="22"/>
                      </w:rPr>
                    </m:ctrlPr>
                  </m:sSupPr>
                  <m:e>
                    <m:r>
                      <w:rPr>
                        <w:rFonts w:ascii="Cambria Math" w:hAnsi="Cambria Math" w:hint="eastAsia"/>
                        <w:sz w:val="22"/>
                        <w:szCs w:val="22"/>
                      </w:rPr>
                      <m:t xml:space="preserve">t </m:t>
                    </m:r>
                  </m:e>
                  <m:sup>
                    <m:r>
                      <w:rPr>
                        <w:rFonts w:ascii="Cambria Math" w:hAnsi="Cambria Math" w:hint="eastAsia"/>
                        <w:sz w:val="22"/>
                        <w:szCs w:val="22"/>
                        <w:vertAlign w:val="superscript"/>
                      </w:rPr>
                      <m:t>-</m:t>
                    </m:r>
                    <m:r>
                      <w:rPr>
                        <w:rFonts w:ascii="Cambria Math" w:hAnsi="Cambria Math" w:hint="eastAsia"/>
                        <w:sz w:val="22"/>
                        <w:szCs w:val="22"/>
                        <w:vertAlign w:val="superscript"/>
                      </w:rPr>
                      <m:t>0.898</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772" w:type="dxa"/>
            <w:vAlign w:val="center"/>
          </w:tcPr>
          <w:p w14:paraId="0E093A6D" w14:textId="77777777" w:rsidR="00342321" w:rsidRPr="00BC31E0" w:rsidRDefault="00342321" w:rsidP="004736F2">
            <w:pPr>
              <w:snapToGrid w:val="0"/>
              <w:spacing w:line="300" w:lineRule="atLeast"/>
              <w:jc w:val="center"/>
              <w:rPr>
                <w:i/>
                <w:sz w:val="22"/>
                <w:szCs w:val="22"/>
              </w:rPr>
            </w:pPr>
            <m:oMathPara>
              <m:oMath>
                <m:r>
                  <w:rPr>
                    <w:rFonts w:ascii="Cambria Math" w:hAnsi="Cambria Math" w:hint="eastAsia"/>
                    <w:sz w:val="22"/>
                    <w:szCs w:val="22"/>
                  </w:rPr>
                  <m:t xml:space="preserve">7.46 </m:t>
                </m:r>
                <m:sSup>
                  <m:sSupPr>
                    <m:ctrlPr>
                      <w:rPr>
                        <w:rFonts w:ascii="Cambria Math" w:hAnsi="Cambria Math"/>
                        <w:i/>
                        <w:sz w:val="22"/>
                        <w:szCs w:val="22"/>
                      </w:rPr>
                    </m:ctrlPr>
                  </m:sSupPr>
                  <m:e>
                    <m:r>
                      <w:rPr>
                        <w:rFonts w:ascii="Cambria Math" w:hAnsi="Cambria Math" w:hint="eastAsia"/>
                        <w:sz w:val="22"/>
                        <w:szCs w:val="22"/>
                      </w:rPr>
                      <m:t xml:space="preserve">t </m:t>
                    </m:r>
                  </m:e>
                  <m:sup>
                    <m:r>
                      <w:rPr>
                        <w:rFonts w:ascii="Cambria Math" w:hAnsi="Cambria Math" w:hint="eastAsia"/>
                        <w:sz w:val="22"/>
                        <w:szCs w:val="22"/>
                        <w:vertAlign w:val="superscript"/>
                      </w:rPr>
                      <m:t>-</m:t>
                    </m:r>
                    <m:r>
                      <w:rPr>
                        <w:rFonts w:ascii="Cambria Math" w:hAnsi="Cambria Math" w:hint="eastAsia"/>
                        <w:sz w:val="22"/>
                        <w:szCs w:val="22"/>
                        <w:vertAlign w:val="superscript"/>
                      </w:rPr>
                      <m:t>0.948</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772" w:type="dxa"/>
            <w:vAlign w:val="center"/>
          </w:tcPr>
          <w:p w14:paraId="131312C2" w14:textId="77777777" w:rsidR="00342321" w:rsidRPr="00BC31E0" w:rsidRDefault="00342321" w:rsidP="004736F2">
            <w:pPr>
              <w:snapToGrid w:val="0"/>
              <w:spacing w:line="300" w:lineRule="atLeast"/>
              <w:jc w:val="center"/>
              <w:rPr>
                <w:i/>
                <w:sz w:val="22"/>
                <w:szCs w:val="22"/>
              </w:rPr>
            </w:pPr>
            <m:oMathPara>
              <m:oMath>
                <m:r>
                  <w:rPr>
                    <w:rFonts w:ascii="Cambria Math" w:hAnsi="Cambria Math" w:hint="eastAsia"/>
                    <w:sz w:val="22"/>
                    <w:szCs w:val="22"/>
                  </w:rPr>
                  <m:t xml:space="preserve">5.87 </m:t>
                </m:r>
                <m:sSup>
                  <m:sSupPr>
                    <m:ctrlPr>
                      <w:rPr>
                        <w:rFonts w:ascii="Cambria Math" w:hAnsi="Cambria Math"/>
                        <w:i/>
                        <w:sz w:val="22"/>
                        <w:szCs w:val="22"/>
                      </w:rPr>
                    </m:ctrlPr>
                  </m:sSupPr>
                  <m:e>
                    <m:r>
                      <w:rPr>
                        <w:rFonts w:ascii="Cambria Math" w:hAnsi="Cambria Math" w:hint="eastAsia"/>
                        <w:sz w:val="22"/>
                        <w:szCs w:val="22"/>
                      </w:rPr>
                      <m:t xml:space="preserve">t </m:t>
                    </m:r>
                  </m:e>
                  <m:sup>
                    <m:r>
                      <w:rPr>
                        <w:rFonts w:ascii="Cambria Math" w:hAnsi="Cambria Math" w:hint="eastAsia"/>
                        <w:sz w:val="22"/>
                        <w:szCs w:val="22"/>
                        <w:vertAlign w:val="superscript"/>
                      </w:rPr>
                      <m:t>-</m:t>
                    </m:r>
                    <m:r>
                      <w:rPr>
                        <w:rFonts w:ascii="Cambria Math" w:hAnsi="Cambria Math" w:hint="eastAsia"/>
                        <w:sz w:val="22"/>
                        <w:szCs w:val="22"/>
                        <w:vertAlign w:val="superscript"/>
                      </w:rPr>
                      <m:t xml:space="preserve">0.994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772" w:type="dxa"/>
            <w:vAlign w:val="center"/>
          </w:tcPr>
          <w:p w14:paraId="5DC367EE" w14:textId="77777777" w:rsidR="00342321" w:rsidRPr="00BC31E0" w:rsidRDefault="00342321" w:rsidP="004736F2">
            <w:pPr>
              <w:snapToGrid w:val="0"/>
              <w:spacing w:line="300" w:lineRule="atLeast"/>
              <w:jc w:val="center"/>
              <w:rPr>
                <w:i/>
                <w:sz w:val="22"/>
                <w:szCs w:val="22"/>
              </w:rPr>
            </w:pPr>
            <m:oMathPara>
              <m:oMath>
                <m:r>
                  <w:rPr>
                    <w:rFonts w:ascii="Cambria Math" w:hAnsi="Cambria Math" w:hint="eastAsia"/>
                    <w:sz w:val="22"/>
                    <w:szCs w:val="22"/>
                  </w:rPr>
                  <m:t xml:space="preserve">4.47 </m:t>
                </m:r>
                <m:sSup>
                  <m:sSupPr>
                    <m:ctrlPr>
                      <w:rPr>
                        <w:rFonts w:ascii="Cambria Math" w:hAnsi="Cambria Math"/>
                        <w:i/>
                        <w:sz w:val="22"/>
                        <w:szCs w:val="22"/>
                      </w:rPr>
                    </m:ctrlPr>
                  </m:sSupPr>
                  <m:e>
                    <m:r>
                      <w:rPr>
                        <w:rFonts w:ascii="Cambria Math" w:hAnsi="Cambria Math" w:hint="eastAsia"/>
                        <w:sz w:val="22"/>
                        <w:szCs w:val="22"/>
                      </w:rPr>
                      <m:t xml:space="preserve">t </m:t>
                    </m:r>
                  </m:e>
                  <m:sup>
                    <m:r>
                      <w:rPr>
                        <w:rFonts w:ascii="Cambria Math" w:hAnsi="Cambria Math" w:hint="eastAsia"/>
                        <w:sz w:val="22"/>
                        <w:szCs w:val="22"/>
                        <w:vertAlign w:val="superscript"/>
                      </w:rPr>
                      <m:t>-</m:t>
                    </m:r>
                    <m:r>
                      <w:rPr>
                        <w:rFonts w:ascii="Cambria Math" w:hAnsi="Cambria Math" w:hint="eastAsia"/>
                        <w:sz w:val="22"/>
                        <w:szCs w:val="22"/>
                        <w:vertAlign w:val="superscript"/>
                      </w:rPr>
                      <m:t xml:space="preserve">1.02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r>
    </w:tbl>
    <w:p w14:paraId="6945D476" w14:textId="77777777" w:rsidR="00342321" w:rsidRPr="00BC31E0" w:rsidRDefault="00342321" w:rsidP="00342321">
      <w:pPr>
        <w:snapToGrid w:val="0"/>
        <w:spacing w:before="60" w:after="60" w:line="320" w:lineRule="atLeast"/>
        <w:ind w:left="1474" w:hanging="794"/>
        <w:jc w:val="left"/>
        <w:rPr>
          <w:kern w:val="0"/>
          <w:szCs w:val="20"/>
        </w:rPr>
      </w:pPr>
      <w:r w:rsidRPr="00BC31E0">
        <w:rPr>
          <w:rFonts w:ascii="ＭＳ ゴシック" w:eastAsia="ＭＳ ゴシック" w:hAnsi="ＭＳ ゴシック" w:hint="eastAsia"/>
          <w:b/>
          <w:szCs w:val="20"/>
        </w:rPr>
        <w:t>注記</w:t>
      </w:r>
      <w:r w:rsidRPr="00BC31E0">
        <w:rPr>
          <w:rFonts w:ascii="ＭＳ ゴシック" w:eastAsia="ＭＳ ゴシック" w:hAnsi="ＭＳ ゴシック" w:cs="Tahoma"/>
          <w:b/>
          <w:szCs w:val="20"/>
        </w:rPr>
        <w:t>1</w:t>
      </w:r>
      <w:r w:rsidRPr="00BC31E0">
        <w:rPr>
          <w:rFonts w:ascii="ＭＳ 明朝" w:hAnsi="ＭＳ 明朝" w:cs="Tahoma" w:hint="eastAsia"/>
          <w:b/>
          <w:szCs w:val="20"/>
        </w:rPr>
        <w:t xml:space="preserve">　</w:t>
      </w:r>
      <m:oMath>
        <m:f>
          <m:fPr>
            <m:type m:val="lin"/>
            <m:ctrlPr>
              <w:rPr>
                <w:rFonts w:ascii="Cambria Math" w:hAnsi="Cambria Math"/>
                <w:i/>
                <w:kern w:val="0"/>
                <w:szCs w:val="20"/>
              </w:rPr>
            </m:ctrlPr>
          </m:fPr>
          <m:num>
            <m:r>
              <w:rPr>
                <w:rFonts w:ascii="Cambria Math" w:hAnsi="Cambria Math"/>
                <w:kern w:val="0"/>
                <w:szCs w:val="20"/>
              </w:rPr>
              <m:t>a</m:t>
            </m:r>
          </m:num>
          <m:den>
            <m:r>
              <w:rPr>
                <w:rFonts w:ascii="Cambria Math" w:hAnsi="Cambria Math"/>
                <w:kern w:val="0"/>
                <w:szCs w:val="20"/>
              </w:rPr>
              <m:t xml:space="preserve">t </m:t>
            </m:r>
          </m:den>
        </m:f>
      </m:oMath>
      <w:r w:rsidRPr="00BC31E0">
        <w:rPr>
          <w:rFonts w:hAnsi="ＭＳ 明朝"/>
          <w:kern w:val="0"/>
          <w:szCs w:val="20"/>
        </w:rPr>
        <w:t>の値</w:t>
      </w:r>
      <w:r w:rsidRPr="00BC31E0">
        <w:rPr>
          <w:rFonts w:hAnsi="ＭＳ 明朝" w:hint="eastAsia"/>
          <w:kern w:val="0"/>
          <w:szCs w:val="20"/>
        </w:rPr>
        <w:t>は次の表の値を最大とする</w:t>
      </w:r>
      <w:r w:rsidRPr="00BC31E0">
        <w:rPr>
          <w:rFonts w:hAnsi="ＭＳ 明朝"/>
          <w:kern w:val="0"/>
          <w:szCs w:val="20"/>
        </w:rPr>
        <w:t>。</w:t>
      </w:r>
      <w:r w:rsidRPr="00BC31E0">
        <w:rPr>
          <w:rFonts w:hAnsi="ＭＳ 明朝" w:hint="eastAsia"/>
          <w:kern w:val="0"/>
          <w:szCs w:val="20"/>
        </w:rPr>
        <w:t>なお，中間の</w:t>
      </w:r>
      <m:oMath>
        <m:f>
          <m:fPr>
            <m:type m:val="lin"/>
            <m:ctrlPr>
              <w:rPr>
                <w:rFonts w:ascii="Cambria Math" w:hAnsi="Cambria Math"/>
                <w:i/>
                <w:kern w:val="0"/>
                <w:szCs w:val="20"/>
              </w:rPr>
            </m:ctrlPr>
          </m:fPr>
          <m:num>
            <m:r>
              <w:rPr>
                <w:rFonts w:ascii="Cambria Math" w:hAnsi="Cambria Math"/>
                <w:kern w:val="0"/>
                <w:szCs w:val="20"/>
              </w:rPr>
              <m:t xml:space="preserve"> a</m:t>
            </m:r>
          </m:num>
          <m:den>
            <m:r>
              <w:rPr>
                <w:rFonts w:ascii="Cambria Math" w:hAnsi="Cambria Math"/>
                <w:kern w:val="0"/>
                <w:szCs w:val="20"/>
              </w:rPr>
              <m:t xml:space="preserve">l </m:t>
            </m:r>
          </m:den>
        </m:f>
      </m:oMath>
      <w:r w:rsidRPr="00BC31E0">
        <w:rPr>
          <w:rFonts w:hAnsi="ＭＳ 明朝" w:hint="eastAsia"/>
          <w:kern w:val="0"/>
          <w:szCs w:val="20"/>
        </w:rPr>
        <w:t>の値に対して，及び</w:t>
      </w:r>
      <m:oMath>
        <m:r>
          <w:rPr>
            <w:rFonts w:ascii="Cambria Math" w:hAnsi="Cambria Math"/>
            <w:kern w:val="0"/>
            <w:szCs w:val="20"/>
          </w:rPr>
          <m:t>6</m:t>
        </m:r>
        <m:r>
          <w:rPr>
            <w:rFonts w:ascii="Cambria Math" w:hAnsi="Cambria Math" w:hint="eastAsia"/>
            <w:kern w:val="0"/>
            <w:szCs w:val="20"/>
          </w:rPr>
          <m:t>4</m:t>
        </m:r>
        <m:r>
          <w:rPr>
            <w:rFonts w:ascii="Cambria Math" w:hAnsi="Cambria Math"/>
            <w:kern w:val="0"/>
            <w:szCs w:val="20"/>
          </w:rPr>
          <m:t>&lt;t&lt;10</m:t>
        </m:r>
        <m:r>
          <w:rPr>
            <w:rFonts w:ascii="Cambria Math" w:hAnsi="Cambria Math" w:hint="eastAsia"/>
            <w:kern w:val="0"/>
            <w:szCs w:val="20"/>
          </w:rPr>
          <m:t>0</m:t>
        </m:r>
        <m:r>
          <m:rPr>
            <m:sty m:val="p"/>
          </m:rPr>
          <w:rPr>
            <w:rFonts w:ascii="Cambria Math" w:hAnsi="Cambria Math"/>
            <w:kern w:val="0"/>
            <w:szCs w:val="20"/>
          </w:rPr>
          <m:t xml:space="preserve"> mm </m:t>
        </m:r>
      </m:oMath>
      <w:r w:rsidRPr="00BC31E0">
        <w:rPr>
          <w:rFonts w:hint="eastAsia"/>
          <w:kern w:val="0"/>
          <w:szCs w:val="20"/>
        </w:rPr>
        <w:t>の場合には，線形補間により</w:t>
      </w:r>
      <m:oMath>
        <m:r>
          <w:rPr>
            <w:rFonts w:ascii="Cambria Math" w:hAnsi="Cambria Math"/>
            <w:kern w:val="0"/>
            <w:szCs w:val="20"/>
          </w:rPr>
          <m:t xml:space="preserve"> </m:t>
        </m:r>
        <m:f>
          <m:fPr>
            <m:type m:val="lin"/>
            <m:ctrlPr>
              <w:rPr>
                <w:rFonts w:ascii="Cambria Math" w:hAnsi="Cambria Math"/>
                <w:i/>
                <w:kern w:val="0"/>
                <w:szCs w:val="20"/>
              </w:rPr>
            </m:ctrlPr>
          </m:fPr>
          <m:num>
            <m:r>
              <w:rPr>
                <w:rFonts w:ascii="Cambria Math" w:hAnsi="Cambria Math"/>
                <w:kern w:val="0"/>
                <w:szCs w:val="20"/>
              </w:rPr>
              <m:t>a</m:t>
            </m:r>
          </m:num>
          <m:den>
            <m:r>
              <w:rPr>
                <w:rFonts w:ascii="Cambria Math" w:hAnsi="Cambria Math"/>
                <w:kern w:val="0"/>
                <w:szCs w:val="20"/>
              </w:rPr>
              <m:t xml:space="preserve">t </m:t>
            </m:r>
          </m:den>
        </m:f>
      </m:oMath>
      <w:r w:rsidRPr="00BC31E0">
        <w:rPr>
          <w:rFonts w:hint="eastAsia"/>
          <w:kern w:val="0"/>
          <w:szCs w:val="20"/>
        </w:rPr>
        <w:t>を求める。</w:t>
      </w:r>
    </w:p>
    <w:tbl>
      <w:tblPr>
        <w:tblW w:w="0" w:type="auto"/>
        <w:tblInd w:w="1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1"/>
        <w:gridCol w:w="1331"/>
        <w:gridCol w:w="1331"/>
        <w:gridCol w:w="1331"/>
      </w:tblGrid>
      <w:tr w:rsidR="00342321" w:rsidRPr="00BC31E0" w14:paraId="658FCBF4" w14:textId="77777777" w:rsidTr="004736F2">
        <w:tc>
          <w:tcPr>
            <w:tcW w:w="2662" w:type="dxa"/>
            <w:gridSpan w:val="2"/>
          </w:tcPr>
          <w:p w14:paraId="36F4AC40" w14:textId="77777777" w:rsidR="00342321" w:rsidRPr="00BC31E0" w:rsidRDefault="00342321" w:rsidP="004736F2">
            <w:pPr>
              <w:snapToGrid w:val="0"/>
              <w:spacing w:line="300" w:lineRule="atLeast"/>
              <w:jc w:val="center"/>
              <w:rPr>
                <w:i/>
                <w:kern w:val="0"/>
                <w:szCs w:val="20"/>
              </w:rPr>
            </w:pPr>
            <m:oMathPara>
              <m:oMath>
                <m:r>
                  <w:rPr>
                    <w:rFonts w:ascii="Cambria Math" w:hAnsi="Cambria Math"/>
                    <w:kern w:val="0"/>
                    <w:szCs w:val="20"/>
                  </w:rPr>
                  <m:t>25</m:t>
                </m:r>
                <m:r>
                  <w:rPr>
                    <w:rFonts w:ascii="Cambria Math" w:hAnsi="Cambria Math" w:hint="eastAsia"/>
                    <w:kern w:val="0"/>
                    <w:szCs w:val="20"/>
                  </w:rPr>
                  <m:t>≦</m:t>
                </m:r>
                <m:r>
                  <w:rPr>
                    <w:rFonts w:ascii="Cambria Math" w:hAnsi="Cambria Math"/>
                    <w:kern w:val="0"/>
                    <w:szCs w:val="20"/>
                  </w:rPr>
                  <m:t>t</m:t>
                </m:r>
                <m:r>
                  <w:rPr>
                    <w:rFonts w:ascii="Cambria Math" w:hAnsi="Cambria Math" w:hint="eastAsia"/>
                    <w:kern w:val="0"/>
                    <w:szCs w:val="20"/>
                  </w:rPr>
                  <m:t>≦</m:t>
                </m:r>
                <m:r>
                  <w:rPr>
                    <w:rFonts w:ascii="Cambria Math" w:hAnsi="Cambria Math"/>
                    <w:kern w:val="0"/>
                    <w:szCs w:val="20"/>
                  </w:rPr>
                  <m:t>6</m:t>
                </m:r>
                <m:r>
                  <w:rPr>
                    <w:rFonts w:ascii="Cambria Math" w:hAnsi="Cambria Math" w:hint="eastAsia"/>
                    <w:kern w:val="0"/>
                    <w:szCs w:val="20"/>
                  </w:rPr>
                  <m:t xml:space="preserve">4 </m:t>
                </m:r>
                <m:r>
                  <m:rPr>
                    <m:sty m:val="p"/>
                  </m:rPr>
                  <w:rPr>
                    <w:rFonts w:ascii="Cambria Math" w:hAnsi="Cambria Math"/>
                    <w:kern w:val="0"/>
                    <w:szCs w:val="20"/>
                  </w:rPr>
                  <m:t>mm</m:t>
                </m:r>
              </m:oMath>
            </m:oMathPara>
          </w:p>
        </w:tc>
        <w:tc>
          <w:tcPr>
            <w:tcW w:w="2662" w:type="dxa"/>
            <w:gridSpan w:val="2"/>
          </w:tcPr>
          <w:p w14:paraId="6380F6FA" w14:textId="77777777" w:rsidR="00342321" w:rsidRPr="00BC31E0" w:rsidRDefault="00342321" w:rsidP="004736F2">
            <w:pPr>
              <w:snapToGrid w:val="0"/>
              <w:spacing w:line="300" w:lineRule="atLeast"/>
              <w:jc w:val="center"/>
              <w:rPr>
                <w:i/>
                <w:kern w:val="0"/>
                <w:szCs w:val="20"/>
              </w:rPr>
            </w:pPr>
            <m:oMathPara>
              <m:oMath>
                <m:r>
                  <w:rPr>
                    <w:rFonts w:ascii="Cambria Math" w:hAnsi="Cambria Math"/>
                    <w:kern w:val="0"/>
                    <w:szCs w:val="20"/>
                  </w:rPr>
                  <m:t>10</m:t>
                </m:r>
                <m:r>
                  <w:rPr>
                    <w:rFonts w:ascii="Cambria Math" w:hAnsi="Cambria Math" w:hint="eastAsia"/>
                    <w:kern w:val="0"/>
                    <w:szCs w:val="20"/>
                  </w:rPr>
                  <m:t>0</m:t>
                </m:r>
                <m:r>
                  <w:rPr>
                    <w:rFonts w:ascii="Cambria Math" w:hAnsi="Cambria Math" w:hint="eastAsia"/>
                    <w:kern w:val="0"/>
                    <w:szCs w:val="20"/>
                  </w:rPr>
                  <m:t>≦</m:t>
                </m:r>
                <m:r>
                  <w:rPr>
                    <w:rFonts w:ascii="Cambria Math" w:hAnsi="Cambria Math"/>
                    <w:kern w:val="0"/>
                    <w:szCs w:val="20"/>
                  </w:rPr>
                  <m:t>t</m:t>
                </m:r>
                <m:r>
                  <w:rPr>
                    <w:rFonts w:ascii="Cambria Math" w:hAnsi="Cambria Math" w:hint="eastAsia"/>
                    <w:kern w:val="0"/>
                    <w:szCs w:val="20"/>
                  </w:rPr>
                  <m:t>≦</m:t>
                </m:r>
                <m:r>
                  <w:rPr>
                    <w:rFonts w:ascii="Cambria Math" w:hAnsi="Cambria Math"/>
                    <w:kern w:val="0"/>
                    <w:szCs w:val="20"/>
                  </w:rPr>
                  <m:t>30</m:t>
                </m:r>
                <m:r>
                  <w:rPr>
                    <w:rFonts w:ascii="Cambria Math" w:hAnsi="Cambria Math" w:hint="eastAsia"/>
                    <w:kern w:val="0"/>
                    <w:szCs w:val="20"/>
                  </w:rPr>
                  <m:t>0</m:t>
                </m:r>
                <m:r>
                  <m:rPr>
                    <m:sty m:val="p"/>
                  </m:rPr>
                  <w:rPr>
                    <w:rFonts w:ascii="Cambria Math" w:hAnsi="Cambria Math" w:hint="eastAsia"/>
                    <w:kern w:val="0"/>
                    <w:szCs w:val="20"/>
                  </w:rPr>
                  <m:t xml:space="preserve"> </m:t>
                </m:r>
                <m:r>
                  <m:rPr>
                    <m:sty m:val="p"/>
                  </m:rPr>
                  <w:rPr>
                    <w:rFonts w:ascii="Cambria Math" w:hAnsi="Cambria Math"/>
                    <w:kern w:val="0"/>
                    <w:szCs w:val="20"/>
                  </w:rPr>
                  <m:t>mm</m:t>
                </m:r>
              </m:oMath>
            </m:oMathPara>
          </w:p>
        </w:tc>
      </w:tr>
      <w:tr w:rsidR="00342321" w:rsidRPr="00BC31E0" w14:paraId="1BB2F408" w14:textId="77777777" w:rsidTr="004736F2">
        <w:tc>
          <w:tcPr>
            <w:tcW w:w="1331" w:type="dxa"/>
          </w:tcPr>
          <w:p w14:paraId="58904880" w14:textId="77777777" w:rsidR="00342321" w:rsidRPr="00BC31E0" w:rsidRDefault="00A51873" w:rsidP="004736F2">
            <w:pPr>
              <w:snapToGrid w:val="0"/>
              <w:spacing w:line="300" w:lineRule="atLeast"/>
              <w:jc w:val="center"/>
              <w:rPr>
                <w:rFonts w:ascii="Times New Roman" w:hAnsi="Times New Roman"/>
                <w:i/>
                <w:kern w:val="0"/>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l</m:t>
                    </m:r>
                  </m:den>
                </m:f>
              </m:oMath>
            </m:oMathPara>
          </w:p>
        </w:tc>
        <w:tc>
          <w:tcPr>
            <w:tcW w:w="1331" w:type="dxa"/>
          </w:tcPr>
          <w:p w14:paraId="323A2FD1" w14:textId="77777777" w:rsidR="00342321" w:rsidRPr="00BC31E0" w:rsidRDefault="00A51873" w:rsidP="004736F2">
            <w:pPr>
              <w:snapToGrid w:val="0"/>
              <w:spacing w:line="300" w:lineRule="atLeast"/>
              <w:jc w:val="center"/>
              <w:rPr>
                <w:rFonts w:ascii="Times New Roman" w:hAnsi="Times New Roman"/>
                <w:i/>
                <w:kern w:val="0"/>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t</m:t>
                    </m:r>
                  </m:den>
                </m:f>
              </m:oMath>
            </m:oMathPara>
          </w:p>
        </w:tc>
        <w:tc>
          <w:tcPr>
            <w:tcW w:w="1331" w:type="dxa"/>
          </w:tcPr>
          <w:p w14:paraId="7D492C2E" w14:textId="77777777" w:rsidR="00342321" w:rsidRPr="00BC31E0" w:rsidRDefault="00A51873" w:rsidP="004736F2">
            <w:pPr>
              <w:snapToGrid w:val="0"/>
              <w:spacing w:line="300" w:lineRule="atLeast"/>
              <w:jc w:val="center"/>
              <w:rPr>
                <w:rFonts w:ascii="Times New Roman" w:hAnsi="Times New Roman"/>
                <w:i/>
                <w:kern w:val="0"/>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l</m:t>
                    </m:r>
                  </m:den>
                </m:f>
              </m:oMath>
            </m:oMathPara>
          </w:p>
        </w:tc>
        <w:tc>
          <w:tcPr>
            <w:tcW w:w="1331" w:type="dxa"/>
          </w:tcPr>
          <w:p w14:paraId="7B30D6F2" w14:textId="77777777" w:rsidR="00342321" w:rsidRPr="00BC31E0" w:rsidRDefault="00A51873" w:rsidP="004736F2">
            <w:pPr>
              <w:snapToGrid w:val="0"/>
              <w:spacing w:line="300" w:lineRule="atLeast"/>
              <w:jc w:val="center"/>
              <w:rPr>
                <w:rFonts w:ascii="Times New Roman" w:hAnsi="Times New Roman"/>
                <w:i/>
                <w:kern w:val="0"/>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t</m:t>
                    </m:r>
                  </m:den>
                </m:f>
              </m:oMath>
            </m:oMathPara>
          </w:p>
        </w:tc>
      </w:tr>
      <w:tr w:rsidR="00342321" w:rsidRPr="00BC31E0" w14:paraId="6191879B" w14:textId="77777777" w:rsidTr="004736F2">
        <w:tc>
          <w:tcPr>
            <w:tcW w:w="1331" w:type="dxa"/>
          </w:tcPr>
          <w:p w14:paraId="3B48A2F6"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0.0</w:t>
            </w:r>
          </w:p>
        </w:tc>
        <w:tc>
          <w:tcPr>
            <w:tcW w:w="1331" w:type="dxa"/>
          </w:tcPr>
          <w:p w14:paraId="6CA078DA" w14:textId="77777777" w:rsidR="00342321" w:rsidRPr="00BC31E0" w:rsidRDefault="00342321" w:rsidP="004736F2">
            <w:pPr>
              <w:snapToGrid w:val="0"/>
              <w:spacing w:line="300" w:lineRule="atLeast"/>
              <w:rPr>
                <w:rFonts w:ascii="Cambria Math" w:hAnsi="Cambria Math"/>
                <w:i/>
                <w:kern w:val="0"/>
                <w:sz w:val="22"/>
                <w:szCs w:val="22"/>
              </w:rPr>
            </w:pPr>
            <m:oMathPara>
              <m:oMath>
                <m:r>
                  <w:rPr>
                    <w:rFonts w:ascii="Cambria Math" w:hAnsi="Cambria Math"/>
                    <w:kern w:val="0"/>
                    <w:sz w:val="22"/>
                    <w:szCs w:val="22"/>
                  </w:rPr>
                  <m:t>0.039</m:t>
                </m:r>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331" w:type="dxa"/>
          </w:tcPr>
          <w:p w14:paraId="634939F4"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0.0</w:t>
            </w:r>
          </w:p>
        </w:tc>
        <w:tc>
          <w:tcPr>
            <w:tcW w:w="1331" w:type="dxa"/>
          </w:tcPr>
          <w:p w14:paraId="0B41421A" w14:textId="77777777" w:rsidR="00342321" w:rsidRPr="00BC31E0" w:rsidRDefault="00342321" w:rsidP="004736F2">
            <w:pPr>
              <w:snapToGrid w:val="0"/>
              <w:spacing w:line="300" w:lineRule="atLeast"/>
              <w:jc w:val="center"/>
              <w:rPr>
                <w:rFonts w:ascii="Cambria Math" w:hAnsi="Cambria Math"/>
                <w:i/>
                <w:kern w:val="0"/>
                <w:sz w:val="22"/>
                <w:szCs w:val="22"/>
              </w:rPr>
            </w:pPr>
            <m:oMathPara>
              <m:oMath>
                <m:r>
                  <w:rPr>
                    <w:rFonts w:ascii="Cambria Math" w:hAnsi="Cambria Math"/>
                    <w:kern w:val="0"/>
                    <w:sz w:val="22"/>
                    <w:szCs w:val="22"/>
                  </w:rPr>
                  <m:t>0.024</m:t>
                </m:r>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r>
      <w:tr w:rsidR="00342321" w:rsidRPr="00BC31E0" w14:paraId="2D1CD29E" w14:textId="77777777" w:rsidTr="004736F2">
        <w:tc>
          <w:tcPr>
            <w:tcW w:w="1331" w:type="dxa"/>
          </w:tcPr>
          <w:p w14:paraId="270C2CF0"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0.1</w:t>
            </w:r>
          </w:p>
        </w:tc>
        <w:tc>
          <w:tcPr>
            <w:tcW w:w="1331" w:type="dxa"/>
          </w:tcPr>
          <w:p w14:paraId="1924AEAF" w14:textId="77777777" w:rsidR="00342321" w:rsidRPr="00BC31E0" w:rsidRDefault="00342321" w:rsidP="004736F2">
            <w:pPr>
              <w:snapToGrid w:val="0"/>
              <w:spacing w:line="300" w:lineRule="atLeast"/>
              <w:rPr>
                <w:rFonts w:ascii="Cambria Math" w:hAnsi="Cambria Math"/>
                <w:i/>
                <w:kern w:val="0"/>
                <w:sz w:val="22"/>
                <w:szCs w:val="22"/>
              </w:rPr>
            </w:pPr>
            <m:oMathPara>
              <m:oMath>
                <m:r>
                  <w:rPr>
                    <w:rFonts w:ascii="Cambria Math" w:hAnsi="Cambria Math"/>
                    <w:kern w:val="0"/>
                    <w:sz w:val="22"/>
                    <w:szCs w:val="22"/>
                  </w:rPr>
                  <m:t>0.045</m:t>
                </m:r>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331" w:type="dxa"/>
          </w:tcPr>
          <w:p w14:paraId="2F4E2B98"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0.1</w:t>
            </w:r>
          </w:p>
        </w:tc>
        <w:tc>
          <w:tcPr>
            <w:tcW w:w="1331" w:type="dxa"/>
          </w:tcPr>
          <w:p w14:paraId="64EB2CA6" w14:textId="77777777" w:rsidR="00342321" w:rsidRPr="00BC31E0" w:rsidRDefault="00342321" w:rsidP="004736F2">
            <w:pPr>
              <w:snapToGrid w:val="0"/>
              <w:spacing w:line="300" w:lineRule="atLeast"/>
              <w:jc w:val="center"/>
              <w:rPr>
                <w:rFonts w:ascii="Cambria Math" w:hAnsi="Cambria Math"/>
                <w:i/>
                <w:kern w:val="0"/>
                <w:sz w:val="22"/>
                <w:szCs w:val="22"/>
              </w:rPr>
            </w:pPr>
            <m:oMathPara>
              <m:oMath>
                <m:r>
                  <w:rPr>
                    <w:rFonts w:ascii="Cambria Math" w:hAnsi="Cambria Math"/>
                    <w:kern w:val="0"/>
                    <w:sz w:val="22"/>
                    <w:szCs w:val="22"/>
                  </w:rPr>
                  <m:t>0.028</m:t>
                </m:r>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r>
      <w:tr w:rsidR="00342321" w:rsidRPr="00BC31E0" w14:paraId="60A511B4" w14:textId="77777777" w:rsidTr="004736F2">
        <w:tc>
          <w:tcPr>
            <w:tcW w:w="1331" w:type="dxa"/>
          </w:tcPr>
          <w:p w14:paraId="45C8C9F8"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0.2</w:t>
            </w:r>
          </w:p>
        </w:tc>
        <w:tc>
          <w:tcPr>
            <w:tcW w:w="1331" w:type="dxa"/>
          </w:tcPr>
          <w:p w14:paraId="42F90F60" w14:textId="77777777" w:rsidR="00342321" w:rsidRPr="00BC31E0" w:rsidRDefault="00342321" w:rsidP="004736F2">
            <w:pPr>
              <w:snapToGrid w:val="0"/>
              <w:spacing w:line="300" w:lineRule="atLeast"/>
              <w:rPr>
                <w:rFonts w:ascii="Cambria Math" w:hAnsi="Cambria Math"/>
                <w:i/>
                <w:kern w:val="0"/>
                <w:sz w:val="22"/>
                <w:szCs w:val="22"/>
              </w:rPr>
            </w:pPr>
            <m:oMathPara>
              <m:oMath>
                <m:r>
                  <w:rPr>
                    <w:rFonts w:ascii="Cambria Math" w:hAnsi="Cambria Math"/>
                    <w:kern w:val="0"/>
                    <w:sz w:val="22"/>
                    <w:szCs w:val="22"/>
                  </w:rPr>
                  <m:t>0.059</m:t>
                </m:r>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331" w:type="dxa"/>
          </w:tcPr>
          <w:p w14:paraId="67CFBF5F"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0.2</w:t>
            </w:r>
          </w:p>
        </w:tc>
        <w:tc>
          <w:tcPr>
            <w:tcW w:w="1331" w:type="dxa"/>
          </w:tcPr>
          <w:p w14:paraId="27ED9620" w14:textId="77777777" w:rsidR="00342321" w:rsidRPr="00BC31E0" w:rsidRDefault="00342321" w:rsidP="004736F2">
            <w:pPr>
              <w:snapToGrid w:val="0"/>
              <w:spacing w:line="300" w:lineRule="atLeast"/>
              <w:jc w:val="center"/>
              <w:rPr>
                <w:rFonts w:ascii="Cambria Math" w:hAnsi="Cambria Math"/>
                <w:i/>
                <w:kern w:val="0"/>
                <w:sz w:val="22"/>
                <w:szCs w:val="22"/>
              </w:rPr>
            </w:pPr>
            <m:oMathPara>
              <m:oMath>
                <m:r>
                  <w:rPr>
                    <w:rFonts w:ascii="Cambria Math" w:hAnsi="Cambria Math"/>
                    <w:kern w:val="0"/>
                    <w:sz w:val="22"/>
                    <w:szCs w:val="22"/>
                  </w:rPr>
                  <m:t>0.035</m:t>
                </m:r>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r>
      <w:tr w:rsidR="00342321" w:rsidRPr="00BC31E0" w14:paraId="677F3D7E" w14:textId="77777777" w:rsidTr="004736F2">
        <w:tc>
          <w:tcPr>
            <w:tcW w:w="1331" w:type="dxa"/>
          </w:tcPr>
          <w:p w14:paraId="37A51C8E"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0.3</w:t>
            </w:r>
          </w:p>
        </w:tc>
        <w:tc>
          <w:tcPr>
            <w:tcW w:w="1331" w:type="dxa"/>
          </w:tcPr>
          <w:p w14:paraId="54453838" w14:textId="77777777" w:rsidR="00342321" w:rsidRPr="00BC31E0" w:rsidRDefault="00342321" w:rsidP="004736F2">
            <w:pPr>
              <w:snapToGrid w:val="0"/>
              <w:spacing w:line="300" w:lineRule="atLeast"/>
              <w:rPr>
                <w:rFonts w:ascii="Cambria Math" w:hAnsi="Cambria Math"/>
                <w:i/>
                <w:kern w:val="0"/>
                <w:sz w:val="22"/>
                <w:szCs w:val="22"/>
              </w:rPr>
            </w:pPr>
            <m:oMathPara>
              <m:oMath>
                <m:r>
                  <w:rPr>
                    <w:rFonts w:ascii="Cambria Math" w:hAnsi="Cambria Math"/>
                    <w:kern w:val="0"/>
                    <w:sz w:val="22"/>
                    <w:szCs w:val="22"/>
                  </w:rPr>
                  <m:t>0.080</m:t>
                </m:r>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331" w:type="dxa"/>
          </w:tcPr>
          <w:p w14:paraId="7E8AA4DD"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0.3</w:t>
            </w:r>
          </w:p>
        </w:tc>
        <w:tc>
          <w:tcPr>
            <w:tcW w:w="1331" w:type="dxa"/>
          </w:tcPr>
          <w:p w14:paraId="27E3C166" w14:textId="77777777" w:rsidR="00342321" w:rsidRPr="00BC31E0" w:rsidRDefault="00342321" w:rsidP="004736F2">
            <w:pPr>
              <w:snapToGrid w:val="0"/>
              <w:spacing w:line="300" w:lineRule="atLeast"/>
              <w:jc w:val="center"/>
              <w:rPr>
                <w:rFonts w:ascii="Cambria Math" w:hAnsi="Cambria Math"/>
                <w:i/>
                <w:kern w:val="0"/>
                <w:sz w:val="22"/>
                <w:szCs w:val="22"/>
              </w:rPr>
            </w:pPr>
            <m:oMathPara>
              <m:oMath>
                <m:r>
                  <w:rPr>
                    <w:rFonts w:ascii="Cambria Math" w:hAnsi="Cambria Math"/>
                    <w:kern w:val="0"/>
                    <w:sz w:val="22"/>
                    <w:szCs w:val="22"/>
                  </w:rPr>
                  <m:t>0.048</m:t>
                </m:r>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r>
      <w:tr w:rsidR="00342321" w:rsidRPr="00BC31E0" w14:paraId="26F3EB01" w14:textId="77777777" w:rsidTr="004736F2">
        <w:tc>
          <w:tcPr>
            <w:tcW w:w="1331" w:type="dxa"/>
          </w:tcPr>
          <w:p w14:paraId="17670A01"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0.4</w:t>
            </w:r>
          </w:p>
        </w:tc>
        <w:tc>
          <w:tcPr>
            <w:tcW w:w="1331" w:type="dxa"/>
          </w:tcPr>
          <w:p w14:paraId="66F78C2C" w14:textId="77777777" w:rsidR="00342321" w:rsidRPr="00BC31E0" w:rsidRDefault="00342321" w:rsidP="004736F2">
            <w:pPr>
              <w:snapToGrid w:val="0"/>
              <w:spacing w:line="300" w:lineRule="atLeast"/>
              <w:rPr>
                <w:rFonts w:ascii="Cambria Math" w:hAnsi="Cambria Math"/>
                <w:i/>
                <w:kern w:val="0"/>
                <w:sz w:val="22"/>
                <w:szCs w:val="22"/>
              </w:rPr>
            </w:pPr>
            <m:oMathPara>
              <m:oMath>
                <m:r>
                  <w:rPr>
                    <w:rFonts w:ascii="Cambria Math" w:hAnsi="Cambria Math"/>
                    <w:kern w:val="0"/>
                    <w:sz w:val="22"/>
                    <w:szCs w:val="22"/>
                  </w:rPr>
                  <m:t>0.104</m:t>
                </m:r>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331" w:type="dxa"/>
          </w:tcPr>
          <w:p w14:paraId="41C95C96"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0.4</w:t>
            </w:r>
          </w:p>
        </w:tc>
        <w:tc>
          <w:tcPr>
            <w:tcW w:w="1331" w:type="dxa"/>
          </w:tcPr>
          <w:p w14:paraId="64F1AFD8" w14:textId="77777777" w:rsidR="00342321" w:rsidRPr="00BC31E0" w:rsidRDefault="00342321" w:rsidP="004736F2">
            <w:pPr>
              <w:snapToGrid w:val="0"/>
              <w:spacing w:line="300" w:lineRule="atLeast"/>
              <w:jc w:val="center"/>
              <w:rPr>
                <w:rFonts w:ascii="Cambria Math" w:hAnsi="Cambria Math"/>
                <w:i/>
                <w:kern w:val="0"/>
                <w:sz w:val="22"/>
                <w:szCs w:val="22"/>
              </w:rPr>
            </w:pPr>
            <m:oMathPara>
              <m:oMath>
                <m:r>
                  <w:rPr>
                    <w:rFonts w:ascii="Cambria Math" w:hAnsi="Cambria Math"/>
                    <w:kern w:val="0"/>
                    <w:sz w:val="22"/>
                    <w:szCs w:val="22"/>
                  </w:rPr>
                  <m:t xml:space="preserve">0.063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r>
      <w:tr w:rsidR="00342321" w:rsidRPr="00BC31E0" w14:paraId="5607BE91" w14:textId="77777777" w:rsidTr="004736F2">
        <w:tc>
          <w:tcPr>
            <w:tcW w:w="1331" w:type="dxa"/>
          </w:tcPr>
          <w:p w14:paraId="768B50AA"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0.5</w:t>
            </w:r>
          </w:p>
        </w:tc>
        <w:tc>
          <w:tcPr>
            <w:tcW w:w="1331" w:type="dxa"/>
          </w:tcPr>
          <w:p w14:paraId="59A278A7" w14:textId="77777777" w:rsidR="00342321" w:rsidRPr="00BC31E0" w:rsidRDefault="00342321" w:rsidP="004736F2">
            <w:pPr>
              <w:snapToGrid w:val="0"/>
              <w:spacing w:line="300" w:lineRule="atLeast"/>
              <w:rPr>
                <w:rFonts w:ascii="Cambria Math" w:hAnsi="Cambria Math"/>
                <w:i/>
                <w:kern w:val="0"/>
                <w:sz w:val="22"/>
                <w:szCs w:val="22"/>
              </w:rPr>
            </w:pPr>
            <m:oMathPara>
              <m:oMath>
                <m:r>
                  <w:rPr>
                    <w:rFonts w:ascii="Cambria Math" w:hAnsi="Cambria Math"/>
                    <w:kern w:val="0"/>
                    <w:sz w:val="22"/>
                    <w:szCs w:val="22"/>
                  </w:rPr>
                  <m:t>0.109</m:t>
                </m:r>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331" w:type="dxa"/>
          </w:tcPr>
          <w:p w14:paraId="48FB71EA"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0.5</w:t>
            </w:r>
          </w:p>
        </w:tc>
        <w:tc>
          <w:tcPr>
            <w:tcW w:w="1331" w:type="dxa"/>
          </w:tcPr>
          <w:p w14:paraId="714DF047" w14:textId="77777777" w:rsidR="00342321" w:rsidRPr="00BC31E0" w:rsidRDefault="00342321" w:rsidP="004736F2">
            <w:pPr>
              <w:snapToGrid w:val="0"/>
              <w:spacing w:line="300" w:lineRule="atLeast"/>
              <w:jc w:val="center"/>
              <w:rPr>
                <w:rFonts w:ascii="Cambria Math" w:hAnsi="Cambria Math"/>
                <w:i/>
                <w:kern w:val="0"/>
                <w:sz w:val="22"/>
                <w:szCs w:val="22"/>
              </w:rPr>
            </w:pPr>
            <m:oMathPara>
              <m:oMath>
                <m:r>
                  <w:rPr>
                    <w:rFonts w:ascii="Cambria Math" w:hAnsi="Cambria Math"/>
                    <w:kern w:val="0"/>
                    <w:sz w:val="22"/>
                    <w:szCs w:val="22"/>
                  </w:rPr>
                  <m:t>0.065</m:t>
                </m:r>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r>
    </w:tbl>
    <w:p w14:paraId="02269460" w14:textId="77777777" w:rsidR="00342321" w:rsidRPr="00BC31E0" w:rsidRDefault="00342321" w:rsidP="00342321">
      <w:pPr>
        <w:snapToGrid w:val="0"/>
        <w:spacing w:before="120" w:line="320" w:lineRule="atLeast"/>
        <w:ind w:left="1474" w:hanging="794"/>
        <w:jc w:val="left"/>
        <w:rPr>
          <w:szCs w:val="20"/>
        </w:rPr>
      </w:pPr>
      <w:r w:rsidRPr="00BC31E0">
        <w:rPr>
          <w:rFonts w:ascii="ＭＳ Ｐゴシック" w:eastAsia="ＭＳ Ｐゴシック" w:hAnsi="ＭＳ Ｐゴシック" w:hint="eastAsia"/>
          <w:b/>
          <w:szCs w:val="20"/>
        </w:rPr>
        <w:t>注記</w:t>
      </w:r>
      <w:r w:rsidRPr="00BC31E0">
        <w:rPr>
          <w:rFonts w:ascii="ＭＳ ゴシック" w:eastAsia="ＭＳ ゴシック" w:hAnsi="ＭＳ ゴシック" w:cs="Tahoma" w:hint="eastAsia"/>
          <w:b/>
          <w:szCs w:val="20"/>
        </w:rPr>
        <w:t>2</w:t>
      </w:r>
      <w:r w:rsidRPr="00BC31E0">
        <w:rPr>
          <w:rFonts w:ascii="ＭＳ 明朝" w:hAnsi="ＭＳ 明朝" w:hint="eastAsia"/>
          <w:szCs w:val="20"/>
        </w:rPr>
        <w:t xml:space="preserve">　</w:t>
      </w:r>
      <w:r w:rsidRPr="00BC31E0">
        <w:rPr>
          <w:szCs w:val="20"/>
        </w:rPr>
        <w:t>き</w:t>
      </w:r>
      <w:r w:rsidRPr="00BC31E0">
        <w:rPr>
          <w:rFonts w:hint="eastAsia"/>
          <w:szCs w:val="20"/>
        </w:rPr>
        <w:t>ず</w:t>
      </w:r>
      <w:r w:rsidRPr="00BC31E0">
        <w:rPr>
          <w:szCs w:val="20"/>
        </w:rPr>
        <w:t>高さ</w:t>
      </w:r>
      <m:oMath>
        <m:r>
          <w:rPr>
            <w:rFonts w:ascii="Cambria Math" w:hAnsi="Cambria Math" w:hint="eastAsia"/>
            <w:szCs w:val="20"/>
          </w:rPr>
          <m:t>2</m:t>
        </m:r>
        <m:r>
          <w:rPr>
            <w:rFonts w:ascii="Cambria Math" w:hAnsi="Cambria Math"/>
            <w:szCs w:val="20"/>
          </w:rPr>
          <m:t>a</m:t>
        </m:r>
        <m:r>
          <m:rPr>
            <m:sty m:val="p"/>
          </m:rPr>
          <w:rPr>
            <w:rFonts w:ascii="Cambria Math" w:hAnsi="Cambria Math"/>
            <w:szCs w:val="20"/>
          </w:rPr>
          <m:t xml:space="preserve"> </m:t>
        </m:r>
      </m:oMath>
      <w:r w:rsidRPr="00BC31E0">
        <w:rPr>
          <w:szCs w:val="20"/>
        </w:rPr>
        <w:t>が</w:t>
      </w:r>
      <m:oMath>
        <m:r>
          <m:rPr>
            <m:sty m:val="p"/>
          </m:rPr>
          <w:rPr>
            <w:rFonts w:ascii="Cambria Math" w:hAnsi="Cambria Math"/>
            <w:szCs w:val="20"/>
          </w:rPr>
          <m:t xml:space="preserve"> 1 mm </m:t>
        </m:r>
      </m:oMath>
      <w:r w:rsidRPr="00BC31E0">
        <w:rPr>
          <w:szCs w:val="20"/>
        </w:rPr>
        <w:t>未満になる場合</w:t>
      </w:r>
      <w:r w:rsidRPr="00BC31E0">
        <w:rPr>
          <w:rFonts w:hint="eastAsia"/>
          <w:szCs w:val="20"/>
        </w:rPr>
        <w:t>で</w:t>
      </w:r>
      <w:r w:rsidRPr="00BC31E0">
        <w:rPr>
          <w:szCs w:val="20"/>
        </w:rPr>
        <w:t>，使用者設計仕様書</w:t>
      </w:r>
      <w:r w:rsidRPr="00BC31E0">
        <w:rPr>
          <w:rFonts w:hint="eastAsia"/>
          <w:szCs w:val="20"/>
        </w:rPr>
        <w:t>に</w:t>
      </w:r>
      <w:r w:rsidRPr="00BC31E0">
        <w:rPr>
          <w:rFonts w:ascii="ＭＳ ゴシック" w:eastAsia="ＭＳ ゴシック" w:hAnsi="ＭＳ ゴシック" w:hint="eastAsia"/>
          <w:b/>
          <w:szCs w:val="20"/>
        </w:rPr>
        <w:t>表5.2.2</w:t>
      </w:r>
      <w:r w:rsidRPr="00BC31E0">
        <w:rPr>
          <w:rFonts w:hint="eastAsia"/>
          <w:szCs w:val="20"/>
        </w:rPr>
        <w:t>よりも高い</w:t>
      </w:r>
      <w:r w:rsidRPr="00BC31E0">
        <w:rPr>
          <w:szCs w:val="20"/>
        </w:rPr>
        <w:t>要求シャルピー</w:t>
      </w:r>
      <w:r w:rsidRPr="00BC31E0">
        <w:rPr>
          <w:rFonts w:hint="eastAsia"/>
          <w:szCs w:val="20"/>
        </w:rPr>
        <w:t>衝撃</w:t>
      </w:r>
      <w:r w:rsidRPr="00BC31E0">
        <w:rPr>
          <w:szCs w:val="20"/>
        </w:rPr>
        <w:t>吸収エネルギー</w:t>
      </w:r>
      <w:r w:rsidRPr="00BC31E0">
        <w:rPr>
          <w:rFonts w:hint="eastAsia"/>
          <w:szCs w:val="20"/>
        </w:rPr>
        <w:t>が規定されている場合には，</w:t>
      </w:r>
      <w:r w:rsidRPr="00BC31E0">
        <w:rPr>
          <w:rFonts w:ascii="ＭＳ ゴシック" w:eastAsia="ＭＳ ゴシック" w:hAnsi="ＭＳ ゴシック" w:hint="eastAsia"/>
          <w:b/>
          <w:szCs w:val="20"/>
        </w:rPr>
        <w:t>9.3.6 c) 2) 2.3)</w:t>
      </w:r>
      <w:r w:rsidRPr="00BC31E0">
        <w:rPr>
          <w:rFonts w:hint="eastAsia"/>
          <w:szCs w:val="20"/>
        </w:rPr>
        <w:t>に</w:t>
      </w:r>
      <w:r w:rsidRPr="00BC31E0">
        <w:rPr>
          <w:szCs w:val="20"/>
        </w:rPr>
        <w:t>より</w:t>
      </w:r>
      <w:r w:rsidRPr="00BC31E0">
        <w:rPr>
          <w:rFonts w:hint="eastAsia"/>
          <w:szCs w:val="20"/>
        </w:rPr>
        <w:t>製作者が許容きず寸法を算出</w:t>
      </w:r>
      <w:r w:rsidR="00A5584A" w:rsidRPr="00BC31E0">
        <w:rPr>
          <w:rFonts w:hint="eastAsia"/>
          <w:szCs w:val="20"/>
        </w:rPr>
        <w:t>してもよい</w:t>
      </w:r>
      <w:r w:rsidRPr="00BC31E0">
        <w:rPr>
          <w:rFonts w:hint="eastAsia"/>
          <w:szCs w:val="20"/>
        </w:rPr>
        <w:t>。</w:t>
      </w:r>
    </w:p>
    <w:p w14:paraId="1D16D63B" w14:textId="77777777" w:rsidR="00342321" w:rsidRPr="00BC31E0" w:rsidRDefault="00342321" w:rsidP="00342321">
      <w:pPr>
        <w:snapToGrid w:val="0"/>
        <w:spacing w:line="320" w:lineRule="atLeast"/>
        <w:ind w:left="1474" w:hanging="794"/>
        <w:jc w:val="left"/>
        <w:rPr>
          <w:szCs w:val="20"/>
        </w:rPr>
      </w:pPr>
      <w:r w:rsidRPr="00BC31E0">
        <w:rPr>
          <w:rFonts w:ascii="ＭＳ Ｐゴシック" w:eastAsia="ＭＳ Ｐゴシック" w:hAnsi="ＭＳ Ｐゴシック" w:hint="eastAsia"/>
          <w:b/>
          <w:szCs w:val="20"/>
        </w:rPr>
        <w:t>注記</w:t>
      </w:r>
      <w:r w:rsidRPr="00BC31E0">
        <w:rPr>
          <w:rFonts w:ascii="ＭＳ ゴシック" w:eastAsia="ＭＳ ゴシック" w:hAnsi="ＭＳ ゴシック" w:cs="Tahoma"/>
          <w:b/>
          <w:szCs w:val="20"/>
        </w:rPr>
        <w:t>3</w:t>
      </w:r>
      <w:r w:rsidRPr="00BC31E0">
        <w:rPr>
          <w:rFonts w:ascii="ＭＳ 明朝" w:hAnsi="ＭＳ 明朝" w:hint="eastAsia"/>
          <w:szCs w:val="20"/>
        </w:rPr>
        <w:t xml:space="preserve">　</w:t>
      </w:r>
      <w:r w:rsidRPr="00BC31E0">
        <w:rPr>
          <w:rFonts w:hAnsi="ＭＳ 明朝"/>
          <w:szCs w:val="20"/>
        </w:rPr>
        <w:t>中間の</w:t>
      </w:r>
      <w:r w:rsidRPr="00BC31E0">
        <w:rPr>
          <w:rFonts w:hAnsi="ＭＳ 明朝" w:hint="eastAsia"/>
          <w:szCs w:val="20"/>
        </w:rPr>
        <w:t>内外径比</w:t>
      </w:r>
      <m:oMath>
        <m:r>
          <m:rPr>
            <m:sty m:val="p"/>
          </m:rPr>
          <w:rPr>
            <w:rFonts w:ascii="Cambria Math" w:hAnsi="Cambria Math"/>
            <w:szCs w:val="20"/>
          </w:rPr>
          <m:t xml:space="preserve"> </m:t>
        </m:r>
        <m:r>
          <w:rPr>
            <w:rFonts w:ascii="Cambria Math" w:hAnsi="Cambria Math"/>
            <w:szCs w:val="20"/>
          </w:rPr>
          <m:t>Y</m:t>
        </m:r>
        <m:r>
          <m:rPr>
            <m:sty m:val="p"/>
          </m:rPr>
          <w:rPr>
            <w:rFonts w:ascii="Cambria Math" w:hAnsi="Cambria Math"/>
            <w:szCs w:val="20"/>
          </w:rPr>
          <m:t xml:space="preserve"> </m:t>
        </m:r>
      </m:oMath>
      <w:r w:rsidRPr="00BC31E0">
        <w:rPr>
          <w:rFonts w:hAnsi="ＭＳ 明朝"/>
          <w:szCs w:val="20"/>
        </w:rPr>
        <w:t>の値及び</w:t>
      </w:r>
      <m:oMath>
        <m:f>
          <m:fPr>
            <m:type m:val="lin"/>
            <m:ctrlPr>
              <w:rPr>
                <w:rFonts w:ascii="Cambria Math" w:hAnsi="Cambria Math"/>
                <w:i/>
                <w:szCs w:val="20"/>
              </w:rPr>
            </m:ctrlPr>
          </m:fPr>
          <m:num>
            <m:r>
              <w:rPr>
                <w:rFonts w:ascii="Cambria Math" w:hAnsi="Cambria Math"/>
                <w:szCs w:val="20"/>
              </w:rPr>
              <m:t xml:space="preserve"> a</m:t>
            </m:r>
          </m:num>
          <m:den>
            <m:r>
              <w:rPr>
                <w:rFonts w:ascii="Cambria Math" w:hAnsi="Cambria Math" w:hint="eastAsia"/>
                <w:szCs w:val="20"/>
              </w:rPr>
              <m:t>l</m:t>
            </m:r>
            <m:r>
              <w:rPr>
                <w:rFonts w:ascii="Cambria Math" w:hAnsi="Cambria Math"/>
                <w:szCs w:val="20"/>
              </w:rPr>
              <m:t xml:space="preserve"> </m:t>
            </m:r>
          </m:den>
        </m:f>
      </m:oMath>
      <w:r w:rsidRPr="00BC31E0">
        <w:rPr>
          <w:rFonts w:hAnsi="ＭＳ 明朝"/>
          <w:szCs w:val="20"/>
        </w:rPr>
        <w:t>の値に対しては，線形補間</w:t>
      </w:r>
      <w:r w:rsidRPr="00BC31E0">
        <w:rPr>
          <w:rFonts w:hAnsi="ＭＳ 明朝" w:hint="eastAsia"/>
          <w:szCs w:val="20"/>
        </w:rPr>
        <w:t>により</w:t>
      </w:r>
      <m:oMath>
        <m:f>
          <m:fPr>
            <m:type m:val="lin"/>
            <m:ctrlPr>
              <w:rPr>
                <w:rFonts w:ascii="Cambria Math" w:hAnsi="Cambria Math"/>
                <w:i/>
                <w:szCs w:val="20"/>
              </w:rPr>
            </m:ctrlPr>
          </m:fPr>
          <m:num>
            <m:r>
              <w:rPr>
                <w:rFonts w:ascii="Cambria Math" w:hAnsi="Cambria Math"/>
                <w:szCs w:val="20"/>
              </w:rPr>
              <m:t xml:space="preserve"> a</m:t>
            </m:r>
          </m:num>
          <m:den>
            <m:r>
              <w:rPr>
                <w:rFonts w:ascii="Cambria Math" w:hAnsi="Cambria Math"/>
                <w:szCs w:val="20"/>
              </w:rPr>
              <m:t xml:space="preserve">t </m:t>
            </m:r>
          </m:den>
        </m:f>
      </m:oMath>
      <w:r w:rsidRPr="00BC31E0">
        <w:rPr>
          <w:rFonts w:hAnsi="ＭＳ 明朝"/>
          <w:szCs w:val="20"/>
        </w:rPr>
        <w:t>を求める。</w:t>
      </w:r>
    </w:p>
    <w:p w14:paraId="1025677C" w14:textId="77777777" w:rsidR="00CA187B" w:rsidRPr="00BC31E0" w:rsidRDefault="00CA187B" w:rsidP="00CA187B">
      <w:pPr>
        <w:spacing w:line="180" w:lineRule="exact"/>
        <w:rPr>
          <w:rFonts w:ascii="ＭＳ ゴシック" w:eastAsia="ＭＳ ゴシック" w:hAnsi="ＭＳ ゴシック"/>
          <w:b/>
          <w:szCs w:val="20"/>
        </w:rPr>
      </w:pPr>
    </w:p>
    <w:p w14:paraId="05FFC68F" w14:textId="77777777" w:rsidR="00342321" w:rsidRPr="00BC31E0" w:rsidRDefault="00342321" w:rsidP="00CA187B">
      <w:pPr>
        <w:jc w:val="center"/>
        <w:rPr>
          <w:szCs w:val="20"/>
        </w:rPr>
      </w:pPr>
      <w:r w:rsidRPr="00BC31E0">
        <w:rPr>
          <w:rFonts w:ascii="ＭＳ ゴシック" w:eastAsia="ＭＳ ゴシック" w:hAnsi="ＭＳ ゴシック" w:hint="eastAsia"/>
          <w:b/>
          <w:szCs w:val="20"/>
        </w:rPr>
        <w:t>表9.3.19　内部きずの許容きず寸法 (</w:t>
      </w:r>
      <m:oMath>
        <m:r>
          <m:rPr>
            <m:sty m:val="bi"/>
          </m:rPr>
          <w:rPr>
            <w:rFonts w:ascii="Cambria Math" w:eastAsia="ＭＳ ゴシック" w:hAnsi="Cambria Math"/>
            <w:sz w:val="22"/>
            <w:szCs w:val="22"/>
          </w:rPr>
          <m:t>415</m:t>
        </m:r>
        <m:r>
          <w:rPr>
            <w:rFonts w:ascii="Cambria Math" w:eastAsia="ＭＳ ゴシック" w:hAnsi="Cambria Math"/>
            <w:sz w:val="22"/>
            <w:szCs w:val="22"/>
          </w:rPr>
          <m:t>&lt;S</m:t>
        </m:r>
        <m:r>
          <m:rPr>
            <m:sty m:val="bi"/>
          </m:rPr>
          <w:rPr>
            <w:rFonts w:ascii="Cambria Math" w:eastAsia="ＭＳ ゴシック" w:hAnsi="Cambria Math"/>
            <w:sz w:val="22"/>
            <w:szCs w:val="22"/>
            <w:vertAlign w:val="subscript"/>
          </w:rPr>
          <m:t>y</m:t>
        </m:r>
        <m:r>
          <m:rPr>
            <m:sty m:val="bi"/>
          </m:rPr>
          <w:rPr>
            <w:rFonts w:ascii="Cambria Math" w:eastAsia="ＭＳ ゴシック" w:hAnsi="Cambria Math"/>
            <w:sz w:val="22"/>
            <w:szCs w:val="22"/>
          </w:rPr>
          <m:t>≦570</m:t>
        </m:r>
        <m:r>
          <m:rPr>
            <m:sty m:val="b"/>
          </m:rPr>
          <w:rPr>
            <w:rFonts w:ascii="Cambria Math" w:eastAsia="ＭＳ ゴシック" w:hAnsi="Cambria Math"/>
            <w:sz w:val="22"/>
            <w:szCs w:val="22"/>
          </w:rPr>
          <m:t xml:space="preserve"> MPa</m:t>
        </m:r>
      </m:oMath>
      <w:r w:rsidRPr="00BC31E0">
        <w:rPr>
          <w:rFonts w:ascii="ＭＳ ゴシック" w:eastAsia="ＭＳ ゴシック" w:hAnsi="ＭＳ ゴシック" w:hint="eastAsia"/>
          <w:b/>
          <w:szCs w:val="20"/>
        </w:rPr>
        <w:t>，溶接後熱処理</w:t>
      </w:r>
      <w:r w:rsidRPr="00BC31E0">
        <w:rPr>
          <w:rFonts w:ascii="ＭＳ ゴシック" w:eastAsia="ＭＳ ゴシック" w:hAnsi="ＭＳ ゴシック"/>
          <w:b/>
          <w:szCs w:val="20"/>
        </w:rPr>
        <w:t>あり</w:t>
      </w:r>
      <w:r w:rsidRPr="00BC31E0">
        <w:rPr>
          <w:rFonts w:ascii="ＭＳ ゴシック" w:eastAsia="ＭＳ ゴシック" w:hAnsi="ＭＳ ゴシック" w:hint="eastAsia"/>
          <w:b/>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594"/>
        <w:gridCol w:w="1595"/>
        <w:gridCol w:w="1595"/>
        <w:gridCol w:w="1595"/>
      </w:tblGrid>
      <w:tr w:rsidR="00342321" w:rsidRPr="00BC31E0" w14:paraId="3D9600B8" w14:textId="77777777" w:rsidTr="004736F2">
        <w:trPr>
          <w:jc w:val="center"/>
        </w:trPr>
        <w:tc>
          <w:tcPr>
            <w:tcW w:w="992" w:type="dxa"/>
            <w:vMerge w:val="restart"/>
            <w:vAlign w:val="center"/>
          </w:tcPr>
          <w:p w14:paraId="40710C81" w14:textId="77777777" w:rsidR="00342321" w:rsidRPr="00BC31E0" w:rsidRDefault="00A51873" w:rsidP="004736F2">
            <w:pPr>
              <w:snapToGrid w:val="0"/>
              <w:spacing w:line="300" w:lineRule="atLeast"/>
              <w:jc w:val="center"/>
              <w:rPr>
                <w:rFonts w:ascii="Times New Roman" w:hAnsi="Times New Roman"/>
                <w:i/>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l</m:t>
                    </m:r>
                  </m:den>
                </m:f>
              </m:oMath>
            </m:oMathPara>
          </w:p>
        </w:tc>
        <w:tc>
          <w:tcPr>
            <w:tcW w:w="6379" w:type="dxa"/>
            <w:gridSpan w:val="4"/>
            <w:vAlign w:val="center"/>
          </w:tcPr>
          <w:p w14:paraId="4BF97F50" w14:textId="77777777" w:rsidR="00342321" w:rsidRPr="00BC31E0" w:rsidRDefault="00342321" w:rsidP="004736F2">
            <w:pPr>
              <w:snapToGrid w:val="0"/>
              <w:spacing w:line="300" w:lineRule="atLeast"/>
              <w:jc w:val="center"/>
              <w:rPr>
                <w:rFonts w:ascii="Times New Roman" w:hAnsi="Times New Roman"/>
                <w:i/>
                <w:szCs w:val="20"/>
              </w:rPr>
            </w:pPr>
            <m:oMathPara>
              <m:oMath>
                <m:r>
                  <w:rPr>
                    <w:rFonts w:ascii="Cambria Math" w:hAnsi="Cambria Math"/>
                    <w:szCs w:val="20"/>
                  </w:rPr>
                  <m:t>t&gt;</m:t>
                </m:r>
                <m:r>
                  <w:rPr>
                    <w:rFonts w:ascii="Cambria Math" w:hAnsi="Cambria Math" w:hint="eastAsia"/>
                    <w:szCs w:val="20"/>
                  </w:rPr>
                  <m:t>300</m:t>
                </m:r>
                <m:r>
                  <m:rPr>
                    <m:sty m:val="p"/>
                  </m:rPr>
                  <w:rPr>
                    <w:rFonts w:ascii="Cambria Math" w:hAnsi="Cambria Math" w:hint="eastAsia"/>
                    <w:szCs w:val="20"/>
                  </w:rPr>
                  <m:t xml:space="preserve"> mm</m:t>
                </m:r>
              </m:oMath>
            </m:oMathPara>
          </w:p>
        </w:tc>
      </w:tr>
      <w:tr w:rsidR="00342321" w:rsidRPr="00BC31E0" w14:paraId="33E76DF0" w14:textId="77777777" w:rsidTr="004736F2">
        <w:trPr>
          <w:jc w:val="center"/>
        </w:trPr>
        <w:tc>
          <w:tcPr>
            <w:tcW w:w="992" w:type="dxa"/>
            <w:vMerge/>
            <w:vAlign w:val="center"/>
          </w:tcPr>
          <w:p w14:paraId="3EA678D2" w14:textId="77777777" w:rsidR="00342321" w:rsidRPr="00BC31E0" w:rsidRDefault="00342321" w:rsidP="004736F2">
            <w:pPr>
              <w:snapToGrid w:val="0"/>
              <w:spacing w:line="300" w:lineRule="atLeast"/>
              <w:jc w:val="center"/>
              <w:rPr>
                <w:i/>
                <w:szCs w:val="20"/>
              </w:rPr>
            </w:pPr>
          </w:p>
        </w:tc>
        <w:tc>
          <w:tcPr>
            <w:tcW w:w="1594" w:type="dxa"/>
            <w:vAlign w:val="center"/>
          </w:tcPr>
          <w:p w14:paraId="1375F24C" w14:textId="77777777" w:rsidR="00342321" w:rsidRPr="00BC31E0" w:rsidRDefault="00342321" w:rsidP="004736F2">
            <w:pPr>
              <w:snapToGrid w:val="0"/>
              <w:spacing w:line="300" w:lineRule="atLeast"/>
              <w:jc w:val="center"/>
              <w:rPr>
                <w:szCs w:val="20"/>
              </w:rPr>
            </w:pPr>
            <m:oMathPara>
              <m:oMath>
                <m:r>
                  <w:rPr>
                    <w:rFonts w:ascii="Cambria Math" w:hAnsi="Cambria Math"/>
                    <w:szCs w:val="20"/>
                  </w:rPr>
                  <m:t>Y=</m:t>
                </m:r>
                <m:r>
                  <w:rPr>
                    <w:rFonts w:ascii="Cambria Math" w:hAnsi="Cambria Math" w:hint="eastAsia"/>
                    <w:szCs w:val="20"/>
                  </w:rPr>
                  <m:t>1.2</m:t>
                </m:r>
              </m:oMath>
            </m:oMathPara>
          </w:p>
        </w:tc>
        <w:tc>
          <w:tcPr>
            <w:tcW w:w="1595" w:type="dxa"/>
            <w:vAlign w:val="center"/>
          </w:tcPr>
          <w:p w14:paraId="2EDD1791" w14:textId="77777777" w:rsidR="00342321" w:rsidRPr="00BC31E0" w:rsidRDefault="00342321" w:rsidP="004736F2">
            <w:pPr>
              <w:snapToGrid w:val="0"/>
              <w:spacing w:line="300" w:lineRule="atLeast"/>
              <w:jc w:val="center"/>
              <w:rPr>
                <w:szCs w:val="20"/>
              </w:rPr>
            </w:pPr>
            <m:oMathPara>
              <m:oMath>
                <m:r>
                  <w:rPr>
                    <w:rFonts w:ascii="Cambria Math" w:hAnsi="Cambria Math"/>
                    <w:szCs w:val="20"/>
                  </w:rPr>
                  <m:t>Y=</m:t>
                </m:r>
                <m:r>
                  <w:rPr>
                    <w:rFonts w:ascii="Cambria Math" w:hAnsi="Cambria Math" w:hint="eastAsia"/>
                    <w:szCs w:val="20"/>
                  </w:rPr>
                  <m:t>1.5</m:t>
                </m:r>
              </m:oMath>
            </m:oMathPara>
          </w:p>
        </w:tc>
        <w:tc>
          <w:tcPr>
            <w:tcW w:w="1595" w:type="dxa"/>
            <w:vAlign w:val="center"/>
          </w:tcPr>
          <w:p w14:paraId="72DDD3DD" w14:textId="77777777" w:rsidR="00342321" w:rsidRPr="00BC31E0" w:rsidRDefault="00342321" w:rsidP="004736F2">
            <w:pPr>
              <w:snapToGrid w:val="0"/>
              <w:spacing w:line="300" w:lineRule="atLeast"/>
              <w:jc w:val="center"/>
              <w:rPr>
                <w:szCs w:val="20"/>
              </w:rPr>
            </w:pPr>
            <m:oMathPara>
              <m:oMath>
                <m:r>
                  <w:rPr>
                    <w:rFonts w:ascii="Cambria Math" w:hAnsi="Cambria Math"/>
                    <w:szCs w:val="20"/>
                  </w:rPr>
                  <m:t>Y=</m:t>
                </m:r>
                <m:r>
                  <w:rPr>
                    <w:rFonts w:ascii="Cambria Math" w:hAnsi="Cambria Math" w:hint="eastAsia"/>
                    <w:szCs w:val="20"/>
                  </w:rPr>
                  <m:t>2.0</m:t>
                </m:r>
              </m:oMath>
            </m:oMathPara>
          </w:p>
        </w:tc>
        <w:tc>
          <w:tcPr>
            <w:tcW w:w="1595" w:type="dxa"/>
            <w:vAlign w:val="center"/>
          </w:tcPr>
          <w:p w14:paraId="4315BC59" w14:textId="77777777" w:rsidR="00342321" w:rsidRPr="00BC31E0" w:rsidRDefault="00342321" w:rsidP="004736F2">
            <w:pPr>
              <w:snapToGrid w:val="0"/>
              <w:spacing w:line="300" w:lineRule="atLeast"/>
              <w:jc w:val="center"/>
              <w:rPr>
                <w:szCs w:val="20"/>
              </w:rPr>
            </w:pPr>
            <m:oMathPara>
              <m:oMath>
                <m:r>
                  <w:rPr>
                    <w:rFonts w:ascii="Cambria Math" w:hAnsi="Cambria Math"/>
                    <w:szCs w:val="20"/>
                  </w:rPr>
                  <m:t>Y=</m:t>
                </m:r>
                <m:r>
                  <w:rPr>
                    <w:rFonts w:ascii="Cambria Math" w:hAnsi="Cambria Math" w:hint="eastAsia"/>
                    <w:szCs w:val="20"/>
                  </w:rPr>
                  <m:t>2.5</m:t>
                </m:r>
              </m:oMath>
            </m:oMathPara>
          </w:p>
        </w:tc>
      </w:tr>
      <w:tr w:rsidR="00342321" w:rsidRPr="00BC31E0" w14:paraId="0BC74B33" w14:textId="77777777" w:rsidTr="004736F2">
        <w:trPr>
          <w:jc w:val="center"/>
        </w:trPr>
        <w:tc>
          <w:tcPr>
            <w:tcW w:w="992" w:type="dxa"/>
            <w:vMerge/>
            <w:vAlign w:val="center"/>
          </w:tcPr>
          <w:p w14:paraId="50714E3A" w14:textId="77777777" w:rsidR="00342321" w:rsidRPr="00BC31E0" w:rsidRDefault="00342321" w:rsidP="004736F2">
            <w:pPr>
              <w:snapToGrid w:val="0"/>
              <w:spacing w:line="300" w:lineRule="atLeast"/>
              <w:jc w:val="center"/>
              <w:rPr>
                <w:szCs w:val="20"/>
              </w:rPr>
            </w:pPr>
          </w:p>
        </w:tc>
        <w:tc>
          <w:tcPr>
            <w:tcW w:w="1594" w:type="dxa"/>
            <w:vAlign w:val="center"/>
          </w:tcPr>
          <w:p w14:paraId="25D2F032" w14:textId="77777777" w:rsidR="00342321" w:rsidRPr="00BC31E0" w:rsidRDefault="00342321" w:rsidP="004736F2">
            <w:pPr>
              <w:snapToGrid w:val="0"/>
              <w:spacing w:line="300" w:lineRule="atLeast"/>
              <w:jc w:val="center"/>
              <w:rPr>
                <w:szCs w:val="20"/>
              </w:rPr>
            </w:pPr>
            <m:oMath>
              <m:r>
                <w:rPr>
                  <w:rFonts w:ascii="Cambria Math" w:hAnsi="Cambria Math"/>
                  <w:szCs w:val="20"/>
                </w:rPr>
                <m:t xml:space="preserve">a </m:t>
              </m:r>
            </m:oMath>
            <w:r w:rsidRPr="00BC31E0">
              <w:rPr>
                <w:rFonts w:asciiTheme="minorHAnsi" w:hAnsiTheme="minorHAnsi"/>
                <w:szCs w:val="20"/>
              </w:rPr>
              <w:t>(</w:t>
            </w:r>
            <m:oMath>
              <m:r>
                <m:rPr>
                  <m:sty m:val="p"/>
                </m:rPr>
                <w:rPr>
                  <w:rFonts w:ascii="Cambria Math" w:hAnsi="Cambria Math"/>
                  <w:szCs w:val="20"/>
                </w:rPr>
                <m:t>mm</m:t>
              </m:r>
            </m:oMath>
            <w:r w:rsidRPr="00BC31E0">
              <w:rPr>
                <w:rFonts w:asciiTheme="minorHAnsi" w:hAnsiTheme="minorHAnsi"/>
                <w:szCs w:val="20"/>
              </w:rPr>
              <w:t>)</w:t>
            </w:r>
          </w:p>
        </w:tc>
        <w:tc>
          <w:tcPr>
            <w:tcW w:w="1595" w:type="dxa"/>
            <w:vAlign w:val="center"/>
          </w:tcPr>
          <w:p w14:paraId="285581F0" w14:textId="77777777" w:rsidR="00342321" w:rsidRPr="00BC31E0" w:rsidRDefault="00342321" w:rsidP="004736F2">
            <w:pPr>
              <w:snapToGrid w:val="0"/>
              <w:spacing w:line="300" w:lineRule="atLeast"/>
              <w:jc w:val="center"/>
              <w:rPr>
                <w:szCs w:val="20"/>
              </w:rPr>
            </w:pPr>
            <m:oMath>
              <m:r>
                <w:rPr>
                  <w:rFonts w:ascii="Cambria Math" w:hAnsi="Cambria Math"/>
                  <w:szCs w:val="20"/>
                </w:rPr>
                <m:t xml:space="preserve">a </m:t>
              </m:r>
            </m:oMath>
            <w:r w:rsidRPr="00BC31E0">
              <w:rPr>
                <w:rFonts w:asciiTheme="minorHAnsi" w:hAnsiTheme="minorHAnsi"/>
                <w:szCs w:val="20"/>
              </w:rPr>
              <w:t>(</w:t>
            </w:r>
            <m:oMath>
              <m:r>
                <m:rPr>
                  <m:sty m:val="p"/>
                </m:rPr>
                <w:rPr>
                  <w:rFonts w:ascii="Cambria Math" w:hAnsi="Cambria Math"/>
                  <w:szCs w:val="20"/>
                </w:rPr>
                <m:t>mm</m:t>
              </m:r>
            </m:oMath>
            <w:r w:rsidRPr="00BC31E0">
              <w:rPr>
                <w:rFonts w:asciiTheme="minorHAnsi" w:hAnsiTheme="minorHAnsi"/>
                <w:szCs w:val="20"/>
              </w:rPr>
              <w:t>)</w:t>
            </w:r>
          </w:p>
        </w:tc>
        <w:tc>
          <w:tcPr>
            <w:tcW w:w="1595" w:type="dxa"/>
            <w:vAlign w:val="center"/>
          </w:tcPr>
          <w:p w14:paraId="73668A82" w14:textId="77777777" w:rsidR="00342321" w:rsidRPr="00BC31E0" w:rsidRDefault="00342321" w:rsidP="004736F2">
            <w:pPr>
              <w:snapToGrid w:val="0"/>
              <w:spacing w:line="300" w:lineRule="atLeast"/>
              <w:jc w:val="center"/>
              <w:rPr>
                <w:szCs w:val="20"/>
              </w:rPr>
            </w:pPr>
            <m:oMath>
              <m:r>
                <w:rPr>
                  <w:rFonts w:ascii="Cambria Math" w:hAnsi="Cambria Math"/>
                  <w:szCs w:val="20"/>
                </w:rPr>
                <m:t xml:space="preserve">a </m:t>
              </m:r>
            </m:oMath>
            <w:r w:rsidRPr="00BC31E0">
              <w:rPr>
                <w:rFonts w:asciiTheme="minorHAnsi" w:hAnsiTheme="minorHAnsi"/>
                <w:szCs w:val="20"/>
              </w:rPr>
              <w:t>(</w:t>
            </w:r>
            <m:oMath>
              <m:r>
                <m:rPr>
                  <m:sty m:val="p"/>
                </m:rPr>
                <w:rPr>
                  <w:rFonts w:ascii="Cambria Math" w:hAnsi="Cambria Math"/>
                  <w:szCs w:val="20"/>
                </w:rPr>
                <m:t>mm</m:t>
              </m:r>
            </m:oMath>
            <w:r w:rsidRPr="00BC31E0">
              <w:rPr>
                <w:rFonts w:asciiTheme="minorHAnsi" w:hAnsiTheme="minorHAnsi"/>
                <w:szCs w:val="20"/>
              </w:rPr>
              <w:t>)</w:t>
            </w:r>
          </w:p>
        </w:tc>
        <w:tc>
          <w:tcPr>
            <w:tcW w:w="1595" w:type="dxa"/>
            <w:vAlign w:val="center"/>
          </w:tcPr>
          <w:p w14:paraId="3FDC9184" w14:textId="77777777" w:rsidR="00342321" w:rsidRPr="00BC31E0" w:rsidRDefault="00342321" w:rsidP="004736F2">
            <w:pPr>
              <w:snapToGrid w:val="0"/>
              <w:spacing w:line="300" w:lineRule="atLeast"/>
              <w:jc w:val="center"/>
              <w:rPr>
                <w:szCs w:val="20"/>
              </w:rPr>
            </w:pPr>
            <m:oMath>
              <m:r>
                <w:rPr>
                  <w:rFonts w:ascii="Cambria Math" w:hAnsi="Cambria Math"/>
                  <w:szCs w:val="20"/>
                </w:rPr>
                <m:t xml:space="preserve">a </m:t>
              </m:r>
            </m:oMath>
            <w:r w:rsidRPr="00BC31E0">
              <w:rPr>
                <w:rFonts w:asciiTheme="minorHAnsi" w:hAnsiTheme="minorHAnsi"/>
                <w:szCs w:val="20"/>
              </w:rPr>
              <w:t>(</w:t>
            </w:r>
            <m:oMath>
              <m:r>
                <m:rPr>
                  <m:sty m:val="p"/>
                </m:rPr>
                <w:rPr>
                  <w:rFonts w:ascii="Cambria Math" w:hAnsi="Cambria Math"/>
                  <w:szCs w:val="20"/>
                </w:rPr>
                <m:t>mm</m:t>
              </m:r>
            </m:oMath>
            <w:r w:rsidRPr="00BC31E0">
              <w:rPr>
                <w:rFonts w:asciiTheme="minorHAnsi" w:hAnsiTheme="minorHAnsi"/>
                <w:szCs w:val="20"/>
              </w:rPr>
              <w:t>)</w:t>
            </w:r>
          </w:p>
        </w:tc>
      </w:tr>
      <w:tr w:rsidR="00342321" w:rsidRPr="00BC31E0" w14:paraId="652DF2EE" w14:textId="77777777" w:rsidTr="004736F2">
        <w:trPr>
          <w:jc w:val="center"/>
        </w:trPr>
        <w:tc>
          <w:tcPr>
            <w:tcW w:w="992" w:type="dxa"/>
            <w:vAlign w:val="center"/>
          </w:tcPr>
          <w:p w14:paraId="779C999F"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0.0</w:t>
            </w:r>
          </w:p>
        </w:tc>
        <w:tc>
          <w:tcPr>
            <w:tcW w:w="1594" w:type="dxa"/>
            <w:vAlign w:val="center"/>
          </w:tcPr>
          <w:p w14:paraId="4DBE6E82" w14:textId="77777777" w:rsidR="00342321" w:rsidRPr="00BC31E0" w:rsidRDefault="00342321" w:rsidP="004736F2">
            <w:pPr>
              <w:snapToGrid w:val="0"/>
              <w:spacing w:line="300" w:lineRule="atLeast"/>
              <w:jc w:val="center"/>
              <w:rPr>
                <w:rFonts w:ascii="Cambria Math" w:hAnsi="Cambria Math"/>
                <w:sz w:val="22"/>
                <w:szCs w:val="22"/>
              </w:rPr>
            </w:pPr>
            <m:oMathPara>
              <m:oMath>
                <m:r>
                  <m:rPr>
                    <m:sty m:val="p"/>
                  </m:rPr>
                  <w:rPr>
                    <w:rFonts w:ascii="Cambria Math" w:hAnsi="Cambria Math"/>
                    <w:sz w:val="22"/>
                    <w:szCs w:val="22"/>
                  </w:rPr>
                  <m:t xml:space="preserve">5.65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595" w:type="dxa"/>
            <w:vAlign w:val="center"/>
          </w:tcPr>
          <w:p w14:paraId="1DA253E9" w14:textId="77777777" w:rsidR="00342321" w:rsidRPr="00BC31E0" w:rsidRDefault="00342321" w:rsidP="004736F2">
            <w:pPr>
              <w:snapToGrid w:val="0"/>
              <w:spacing w:line="300" w:lineRule="atLeast"/>
              <w:jc w:val="center"/>
              <w:rPr>
                <w:rFonts w:ascii="Cambria Math" w:hAnsi="Cambria Math"/>
                <w:sz w:val="22"/>
                <w:szCs w:val="22"/>
              </w:rPr>
            </w:pPr>
            <m:oMathPara>
              <m:oMath>
                <m:r>
                  <m:rPr>
                    <m:sty m:val="p"/>
                  </m:rPr>
                  <w:rPr>
                    <w:rFonts w:ascii="Cambria Math" w:hAnsi="Cambria Math"/>
                    <w:sz w:val="22"/>
                    <w:szCs w:val="22"/>
                  </w:rPr>
                  <m:t xml:space="preserve">3.54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595" w:type="dxa"/>
            <w:vAlign w:val="center"/>
          </w:tcPr>
          <w:p w14:paraId="7779CD96" w14:textId="77777777" w:rsidR="00342321" w:rsidRPr="00BC31E0" w:rsidRDefault="00342321" w:rsidP="004736F2">
            <w:pPr>
              <w:snapToGrid w:val="0"/>
              <w:spacing w:line="300" w:lineRule="atLeast"/>
              <w:jc w:val="center"/>
              <w:rPr>
                <w:rFonts w:ascii="Cambria Math" w:eastAsia="ＭＳ ゴシック" w:hAnsi="Cambria Math"/>
                <w:b/>
                <w:sz w:val="22"/>
                <w:szCs w:val="22"/>
                <w:vertAlign w:val="superscript"/>
              </w:rPr>
            </w:pPr>
            <m:oMathPara>
              <m:oMath>
                <m:r>
                  <m:rPr>
                    <m:sty m:val="p"/>
                  </m:rPr>
                  <w:rPr>
                    <w:rFonts w:ascii="Cambria Math" w:hAnsi="Cambria Math"/>
                    <w:sz w:val="22"/>
                    <w:szCs w:val="22"/>
                  </w:rPr>
                  <m:t xml:space="preserve">1.75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595" w:type="dxa"/>
            <w:vAlign w:val="center"/>
          </w:tcPr>
          <w:p w14:paraId="16D0D953" w14:textId="77777777" w:rsidR="00342321" w:rsidRPr="00BC31E0" w:rsidRDefault="00342321" w:rsidP="004736F2">
            <w:pPr>
              <w:snapToGrid w:val="0"/>
              <w:spacing w:line="300" w:lineRule="atLeast"/>
              <w:jc w:val="center"/>
              <w:rPr>
                <w:rFonts w:ascii="Cambria Math" w:eastAsia="ＭＳ ゴシック" w:hAnsi="Cambria Math"/>
                <w:b/>
                <w:sz w:val="22"/>
                <w:szCs w:val="22"/>
              </w:rPr>
            </w:pPr>
            <m:oMathPara>
              <m:oMath>
                <m:r>
                  <m:rPr>
                    <m:sty m:val="p"/>
                  </m:rPr>
                  <w:rPr>
                    <w:rFonts w:ascii="Cambria Math" w:hAnsi="Cambria Math"/>
                    <w:sz w:val="22"/>
                    <w:szCs w:val="22"/>
                  </w:rPr>
                  <m:t xml:space="preserve">0.866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r>
      <w:tr w:rsidR="00342321" w:rsidRPr="00BC31E0" w14:paraId="54CF143B" w14:textId="77777777" w:rsidTr="004736F2">
        <w:trPr>
          <w:jc w:val="center"/>
        </w:trPr>
        <w:tc>
          <w:tcPr>
            <w:tcW w:w="992" w:type="dxa"/>
            <w:vAlign w:val="center"/>
          </w:tcPr>
          <w:p w14:paraId="2ECD93FE"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0.1</w:t>
            </w:r>
          </w:p>
        </w:tc>
        <w:tc>
          <w:tcPr>
            <w:tcW w:w="1594" w:type="dxa"/>
            <w:vAlign w:val="center"/>
          </w:tcPr>
          <w:p w14:paraId="1FB33099" w14:textId="77777777" w:rsidR="00342321" w:rsidRPr="00BC31E0" w:rsidRDefault="00342321" w:rsidP="004736F2">
            <w:pPr>
              <w:snapToGrid w:val="0"/>
              <w:spacing w:line="300" w:lineRule="atLeast"/>
              <w:jc w:val="center"/>
              <w:rPr>
                <w:rFonts w:ascii="Cambria Math" w:hAnsi="Cambria Math"/>
                <w:sz w:val="22"/>
                <w:szCs w:val="22"/>
              </w:rPr>
            </w:pPr>
            <m:oMathPara>
              <m:oMath>
                <m:r>
                  <m:rPr>
                    <m:sty m:val="p"/>
                  </m:rPr>
                  <w:rPr>
                    <w:rFonts w:ascii="Cambria Math" w:hAnsi="Cambria Math"/>
                    <w:sz w:val="22"/>
                    <w:szCs w:val="22"/>
                  </w:rPr>
                  <m:t xml:space="preserve">6.43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595" w:type="dxa"/>
            <w:vAlign w:val="center"/>
          </w:tcPr>
          <w:p w14:paraId="385C0F56" w14:textId="77777777" w:rsidR="00342321" w:rsidRPr="00BC31E0" w:rsidRDefault="00342321" w:rsidP="004736F2">
            <w:pPr>
              <w:snapToGrid w:val="0"/>
              <w:spacing w:line="300" w:lineRule="atLeast"/>
              <w:jc w:val="center"/>
              <w:rPr>
                <w:rFonts w:ascii="Cambria Math" w:hAnsi="Cambria Math"/>
                <w:sz w:val="22"/>
                <w:szCs w:val="22"/>
              </w:rPr>
            </w:pPr>
            <m:oMathPara>
              <m:oMath>
                <m:r>
                  <m:rPr>
                    <m:sty m:val="p"/>
                  </m:rPr>
                  <w:rPr>
                    <w:rFonts w:ascii="Cambria Math" w:hAnsi="Cambria Math"/>
                    <w:sz w:val="22"/>
                    <w:szCs w:val="22"/>
                  </w:rPr>
                  <m:t xml:space="preserve">4.10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595" w:type="dxa"/>
            <w:vAlign w:val="center"/>
          </w:tcPr>
          <w:p w14:paraId="3EC52119" w14:textId="77777777" w:rsidR="00342321" w:rsidRPr="00BC31E0" w:rsidRDefault="00342321" w:rsidP="004736F2">
            <w:pPr>
              <w:snapToGrid w:val="0"/>
              <w:spacing w:line="300" w:lineRule="atLeast"/>
              <w:jc w:val="center"/>
              <w:rPr>
                <w:rFonts w:ascii="Cambria Math" w:hAnsi="Cambria Math"/>
                <w:sz w:val="22"/>
                <w:szCs w:val="22"/>
              </w:rPr>
            </w:pPr>
            <m:oMathPara>
              <m:oMath>
                <m:r>
                  <m:rPr>
                    <m:sty m:val="p"/>
                  </m:rPr>
                  <w:rPr>
                    <w:rFonts w:ascii="Cambria Math" w:hAnsi="Cambria Math"/>
                    <w:sz w:val="22"/>
                    <w:szCs w:val="22"/>
                  </w:rPr>
                  <m:t xml:space="preserve">2.14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595" w:type="dxa"/>
            <w:vAlign w:val="center"/>
          </w:tcPr>
          <w:p w14:paraId="2B93812B" w14:textId="77777777" w:rsidR="00342321" w:rsidRPr="00BC31E0" w:rsidRDefault="00342321" w:rsidP="004736F2">
            <w:pPr>
              <w:snapToGrid w:val="0"/>
              <w:spacing w:line="300" w:lineRule="atLeast"/>
              <w:jc w:val="center"/>
              <w:rPr>
                <w:rFonts w:ascii="Cambria Math" w:eastAsia="ＭＳ ゴシック" w:hAnsi="Cambria Math"/>
                <w:b/>
                <w:sz w:val="22"/>
                <w:szCs w:val="22"/>
              </w:rPr>
            </w:pPr>
            <m:oMathPara>
              <m:oMath>
                <m:r>
                  <m:rPr>
                    <m:sty m:val="p"/>
                  </m:rPr>
                  <w:rPr>
                    <w:rFonts w:ascii="Cambria Math" w:hAnsi="Cambria Math"/>
                    <w:sz w:val="22"/>
                    <w:szCs w:val="22"/>
                  </w:rPr>
                  <m:t xml:space="preserve">1.14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r>
      <w:tr w:rsidR="00342321" w:rsidRPr="00BC31E0" w14:paraId="02593212" w14:textId="77777777" w:rsidTr="004736F2">
        <w:trPr>
          <w:jc w:val="center"/>
        </w:trPr>
        <w:tc>
          <w:tcPr>
            <w:tcW w:w="992" w:type="dxa"/>
            <w:vAlign w:val="center"/>
          </w:tcPr>
          <w:p w14:paraId="2747EB75"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0.2</w:t>
            </w:r>
          </w:p>
        </w:tc>
        <w:tc>
          <w:tcPr>
            <w:tcW w:w="1594" w:type="dxa"/>
            <w:vAlign w:val="center"/>
          </w:tcPr>
          <w:p w14:paraId="0D20C10C" w14:textId="77777777" w:rsidR="00342321" w:rsidRPr="00BC31E0" w:rsidRDefault="00342321" w:rsidP="004736F2">
            <w:pPr>
              <w:snapToGrid w:val="0"/>
              <w:spacing w:line="300" w:lineRule="atLeast"/>
              <w:jc w:val="center"/>
              <w:rPr>
                <w:rFonts w:ascii="Cambria Math" w:hAnsi="Cambria Math"/>
                <w:sz w:val="22"/>
                <w:szCs w:val="22"/>
              </w:rPr>
            </w:pPr>
            <m:oMathPara>
              <m:oMath>
                <m:r>
                  <m:rPr>
                    <m:sty m:val="p"/>
                  </m:rPr>
                  <w:rPr>
                    <w:rFonts w:ascii="Cambria Math" w:hAnsi="Cambria Math"/>
                    <w:sz w:val="22"/>
                    <w:szCs w:val="22"/>
                  </w:rPr>
                  <m:t xml:space="preserve">8.21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595" w:type="dxa"/>
            <w:vAlign w:val="center"/>
          </w:tcPr>
          <w:p w14:paraId="3C9A9F29" w14:textId="77777777" w:rsidR="00342321" w:rsidRPr="00BC31E0" w:rsidRDefault="00342321" w:rsidP="004736F2">
            <w:pPr>
              <w:snapToGrid w:val="0"/>
              <w:spacing w:line="300" w:lineRule="atLeast"/>
              <w:jc w:val="center"/>
              <w:rPr>
                <w:rFonts w:ascii="Cambria Math" w:hAnsi="Cambria Math"/>
                <w:sz w:val="22"/>
                <w:szCs w:val="22"/>
              </w:rPr>
            </w:pPr>
            <m:oMathPara>
              <m:oMath>
                <m:r>
                  <m:rPr>
                    <m:sty m:val="p"/>
                  </m:rPr>
                  <w:rPr>
                    <w:rFonts w:ascii="Cambria Math" w:hAnsi="Cambria Math"/>
                    <w:sz w:val="22"/>
                    <w:szCs w:val="22"/>
                  </w:rPr>
                  <m:t xml:space="preserve">5.37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595" w:type="dxa"/>
            <w:vAlign w:val="center"/>
          </w:tcPr>
          <w:p w14:paraId="12D8AB68" w14:textId="77777777" w:rsidR="00342321" w:rsidRPr="00BC31E0" w:rsidRDefault="00342321" w:rsidP="004736F2">
            <w:pPr>
              <w:snapToGrid w:val="0"/>
              <w:spacing w:line="300" w:lineRule="atLeast"/>
              <w:jc w:val="center"/>
              <w:rPr>
                <w:rFonts w:ascii="Cambria Math" w:hAnsi="Cambria Math"/>
                <w:sz w:val="22"/>
                <w:szCs w:val="22"/>
              </w:rPr>
            </w:pPr>
            <m:oMathPara>
              <m:oMath>
                <m:r>
                  <m:rPr>
                    <m:sty m:val="p"/>
                  </m:rPr>
                  <w:rPr>
                    <w:rFonts w:ascii="Cambria Math" w:hAnsi="Cambria Math"/>
                    <w:sz w:val="22"/>
                    <w:szCs w:val="22"/>
                  </w:rPr>
                  <m:t xml:space="preserve">2.89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595" w:type="dxa"/>
            <w:vAlign w:val="center"/>
          </w:tcPr>
          <w:p w14:paraId="1D348183" w14:textId="77777777" w:rsidR="00342321" w:rsidRPr="00BC31E0" w:rsidRDefault="00342321" w:rsidP="004736F2">
            <w:pPr>
              <w:snapToGrid w:val="0"/>
              <w:spacing w:line="300" w:lineRule="atLeast"/>
              <w:jc w:val="center"/>
              <w:rPr>
                <w:rFonts w:ascii="Cambria Math" w:eastAsia="ＭＳ ゴシック" w:hAnsi="Cambria Math"/>
                <w:b/>
                <w:sz w:val="22"/>
                <w:szCs w:val="22"/>
              </w:rPr>
            </w:pPr>
            <m:oMathPara>
              <m:oMath>
                <m:r>
                  <m:rPr>
                    <m:sty m:val="p"/>
                  </m:rPr>
                  <w:rPr>
                    <w:rFonts w:ascii="Cambria Math" w:hAnsi="Cambria Math"/>
                    <w:sz w:val="22"/>
                    <w:szCs w:val="22"/>
                  </w:rPr>
                  <m:t xml:space="preserve">1.68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r>
      <w:tr w:rsidR="00342321" w:rsidRPr="00BC31E0" w14:paraId="628FEA27" w14:textId="77777777" w:rsidTr="004736F2">
        <w:trPr>
          <w:jc w:val="center"/>
        </w:trPr>
        <w:tc>
          <w:tcPr>
            <w:tcW w:w="992" w:type="dxa"/>
            <w:vAlign w:val="center"/>
          </w:tcPr>
          <w:p w14:paraId="32E287D9"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0.3</w:t>
            </w:r>
          </w:p>
        </w:tc>
        <w:tc>
          <w:tcPr>
            <w:tcW w:w="1594" w:type="dxa"/>
            <w:vAlign w:val="center"/>
          </w:tcPr>
          <w:p w14:paraId="3782693A" w14:textId="77777777" w:rsidR="00342321" w:rsidRPr="00BC31E0" w:rsidRDefault="00342321" w:rsidP="004736F2">
            <w:pPr>
              <w:snapToGrid w:val="0"/>
              <w:spacing w:line="300" w:lineRule="atLeast"/>
              <w:jc w:val="center"/>
              <w:rPr>
                <w:rFonts w:ascii="Cambria Math" w:hAnsi="Cambria Math"/>
                <w:sz w:val="22"/>
                <w:szCs w:val="22"/>
              </w:rPr>
            </w:pPr>
            <m:oMathPara>
              <m:oMath>
                <m:r>
                  <m:rPr>
                    <m:sty m:val="p"/>
                  </m:rPr>
                  <w:rPr>
                    <w:rFonts w:ascii="Cambria Math" w:hAnsi="Cambria Math"/>
                    <w:sz w:val="22"/>
                    <w:szCs w:val="22"/>
                  </w:rPr>
                  <m:t xml:space="preserve">10.8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595" w:type="dxa"/>
            <w:vAlign w:val="center"/>
          </w:tcPr>
          <w:p w14:paraId="210B94F0" w14:textId="77777777" w:rsidR="00342321" w:rsidRPr="00BC31E0" w:rsidRDefault="00342321" w:rsidP="004736F2">
            <w:pPr>
              <w:snapToGrid w:val="0"/>
              <w:spacing w:line="300" w:lineRule="atLeast"/>
              <w:jc w:val="center"/>
              <w:rPr>
                <w:rFonts w:ascii="Cambria Math" w:hAnsi="Cambria Math"/>
                <w:sz w:val="22"/>
                <w:szCs w:val="22"/>
              </w:rPr>
            </w:pPr>
            <m:oMathPara>
              <m:oMath>
                <m:r>
                  <m:rPr>
                    <m:sty m:val="p"/>
                  </m:rPr>
                  <w:rPr>
                    <w:rFonts w:ascii="Cambria Math" w:hAnsi="Cambria Math"/>
                    <w:sz w:val="22"/>
                    <w:szCs w:val="22"/>
                  </w:rPr>
                  <m:t xml:space="preserve">7.19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595" w:type="dxa"/>
            <w:vAlign w:val="center"/>
          </w:tcPr>
          <w:p w14:paraId="545D7DDF" w14:textId="77777777" w:rsidR="00342321" w:rsidRPr="00BC31E0" w:rsidRDefault="00342321" w:rsidP="004736F2">
            <w:pPr>
              <w:snapToGrid w:val="0"/>
              <w:spacing w:line="300" w:lineRule="atLeast"/>
              <w:jc w:val="center"/>
              <w:rPr>
                <w:rFonts w:ascii="Cambria Math" w:hAnsi="Cambria Math"/>
                <w:sz w:val="22"/>
                <w:szCs w:val="22"/>
              </w:rPr>
            </w:pPr>
            <m:oMathPara>
              <m:oMath>
                <m:r>
                  <m:rPr>
                    <m:sty m:val="p"/>
                  </m:rPr>
                  <w:rPr>
                    <w:rFonts w:ascii="Cambria Math" w:hAnsi="Cambria Math"/>
                    <w:sz w:val="22"/>
                    <w:szCs w:val="22"/>
                  </w:rPr>
                  <m:t xml:space="preserve">3.98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595" w:type="dxa"/>
            <w:vAlign w:val="center"/>
          </w:tcPr>
          <w:p w14:paraId="21B2C72E" w14:textId="77777777" w:rsidR="00342321" w:rsidRPr="00BC31E0" w:rsidRDefault="00342321" w:rsidP="004736F2">
            <w:pPr>
              <w:snapToGrid w:val="0"/>
              <w:spacing w:line="300" w:lineRule="atLeast"/>
              <w:jc w:val="center"/>
              <w:rPr>
                <w:rFonts w:ascii="Cambria Math" w:hAnsi="Cambria Math"/>
                <w:sz w:val="22"/>
                <w:szCs w:val="22"/>
              </w:rPr>
            </w:pPr>
            <m:oMathPara>
              <m:oMath>
                <m:r>
                  <m:rPr>
                    <m:sty m:val="p"/>
                  </m:rPr>
                  <w:rPr>
                    <w:rFonts w:ascii="Cambria Math" w:hAnsi="Cambria Math"/>
                    <w:sz w:val="22"/>
                    <w:szCs w:val="22"/>
                  </w:rPr>
                  <m:t xml:space="preserve">2.45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r>
      <w:tr w:rsidR="00342321" w:rsidRPr="00BC31E0" w14:paraId="21377031" w14:textId="77777777" w:rsidTr="004736F2">
        <w:trPr>
          <w:jc w:val="center"/>
        </w:trPr>
        <w:tc>
          <w:tcPr>
            <w:tcW w:w="992" w:type="dxa"/>
            <w:vAlign w:val="center"/>
          </w:tcPr>
          <w:p w14:paraId="4616CE15"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0.4</w:t>
            </w:r>
          </w:p>
        </w:tc>
        <w:tc>
          <w:tcPr>
            <w:tcW w:w="1594" w:type="dxa"/>
            <w:vAlign w:val="center"/>
          </w:tcPr>
          <w:p w14:paraId="73ECD564" w14:textId="77777777" w:rsidR="00342321" w:rsidRPr="00BC31E0" w:rsidRDefault="00342321" w:rsidP="004736F2">
            <w:pPr>
              <w:snapToGrid w:val="0"/>
              <w:spacing w:line="300" w:lineRule="atLeast"/>
              <w:jc w:val="center"/>
              <w:rPr>
                <w:rFonts w:ascii="Cambria Math" w:hAnsi="Cambria Math"/>
                <w:sz w:val="22"/>
                <w:szCs w:val="22"/>
              </w:rPr>
            </w:pPr>
            <m:oMathPara>
              <m:oMath>
                <m:r>
                  <m:rPr>
                    <m:sty m:val="p"/>
                  </m:rPr>
                  <w:rPr>
                    <w:rFonts w:ascii="Cambria Math" w:hAnsi="Cambria Math"/>
                    <w:sz w:val="22"/>
                    <w:szCs w:val="22"/>
                  </w:rPr>
                  <m:t xml:space="preserve">14.2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595" w:type="dxa"/>
            <w:vAlign w:val="center"/>
          </w:tcPr>
          <w:p w14:paraId="5FC34E65" w14:textId="77777777" w:rsidR="00342321" w:rsidRPr="00BC31E0" w:rsidRDefault="00342321" w:rsidP="004736F2">
            <w:pPr>
              <w:snapToGrid w:val="0"/>
              <w:spacing w:line="300" w:lineRule="atLeast"/>
              <w:jc w:val="center"/>
              <w:rPr>
                <w:rFonts w:ascii="Cambria Math" w:hAnsi="Cambria Math"/>
                <w:sz w:val="22"/>
                <w:szCs w:val="22"/>
              </w:rPr>
            </w:pPr>
            <m:oMathPara>
              <m:oMath>
                <m:r>
                  <m:rPr>
                    <m:sty m:val="p"/>
                  </m:rPr>
                  <w:rPr>
                    <w:rFonts w:ascii="Cambria Math" w:hAnsi="Cambria Math"/>
                    <w:sz w:val="22"/>
                    <w:szCs w:val="22"/>
                  </w:rPr>
                  <m:t xml:space="preserve">9.63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595" w:type="dxa"/>
            <w:vAlign w:val="center"/>
          </w:tcPr>
          <w:p w14:paraId="62A35646" w14:textId="77777777" w:rsidR="00342321" w:rsidRPr="00BC31E0" w:rsidRDefault="00342321" w:rsidP="004736F2">
            <w:pPr>
              <w:snapToGrid w:val="0"/>
              <w:spacing w:line="300" w:lineRule="atLeast"/>
              <w:jc w:val="center"/>
              <w:rPr>
                <w:rFonts w:ascii="Cambria Math" w:hAnsi="Cambria Math"/>
                <w:sz w:val="22"/>
                <w:szCs w:val="22"/>
              </w:rPr>
            </w:pPr>
            <m:oMathPara>
              <m:oMath>
                <m:r>
                  <m:rPr>
                    <m:sty m:val="p"/>
                  </m:rPr>
                  <w:rPr>
                    <w:rFonts w:ascii="Cambria Math" w:hAnsi="Cambria Math"/>
                    <w:sz w:val="22"/>
                    <w:szCs w:val="22"/>
                  </w:rPr>
                  <m:t xml:space="preserve">5.83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595" w:type="dxa"/>
            <w:vAlign w:val="center"/>
          </w:tcPr>
          <w:p w14:paraId="2F31B69D" w14:textId="77777777" w:rsidR="00342321" w:rsidRPr="00BC31E0" w:rsidRDefault="00342321" w:rsidP="004736F2">
            <w:pPr>
              <w:snapToGrid w:val="0"/>
              <w:spacing w:line="300" w:lineRule="atLeast"/>
              <w:jc w:val="center"/>
              <w:rPr>
                <w:rFonts w:ascii="Cambria Math" w:hAnsi="Cambria Math"/>
                <w:sz w:val="22"/>
                <w:szCs w:val="22"/>
              </w:rPr>
            </w:pPr>
            <m:oMathPara>
              <m:oMath>
                <m:r>
                  <m:rPr>
                    <m:sty m:val="p"/>
                  </m:rPr>
                  <w:rPr>
                    <w:rFonts w:ascii="Cambria Math" w:hAnsi="Cambria Math"/>
                    <w:sz w:val="22"/>
                    <w:szCs w:val="22"/>
                  </w:rPr>
                  <m:t xml:space="preserve">3.92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r>
      <w:tr w:rsidR="00342321" w:rsidRPr="00BC31E0" w14:paraId="2FD14DD9" w14:textId="77777777" w:rsidTr="004736F2">
        <w:trPr>
          <w:jc w:val="center"/>
        </w:trPr>
        <w:tc>
          <w:tcPr>
            <w:tcW w:w="992" w:type="dxa"/>
            <w:vAlign w:val="center"/>
          </w:tcPr>
          <w:p w14:paraId="66D7C265"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0.5</w:t>
            </w:r>
          </w:p>
        </w:tc>
        <w:tc>
          <w:tcPr>
            <w:tcW w:w="1594" w:type="dxa"/>
            <w:vAlign w:val="center"/>
          </w:tcPr>
          <w:p w14:paraId="7E49782D" w14:textId="77777777" w:rsidR="00342321" w:rsidRPr="00BC31E0" w:rsidRDefault="00342321" w:rsidP="004736F2">
            <w:pPr>
              <w:snapToGrid w:val="0"/>
              <w:spacing w:line="300" w:lineRule="atLeast"/>
              <w:jc w:val="center"/>
              <w:rPr>
                <w:rFonts w:ascii="Cambria Math" w:hAnsi="Cambria Math"/>
                <w:sz w:val="22"/>
                <w:szCs w:val="22"/>
              </w:rPr>
            </w:pPr>
            <m:oMathPara>
              <m:oMath>
                <m:r>
                  <m:rPr>
                    <m:sty m:val="p"/>
                  </m:rPr>
                  <w:rPr>
                    <w:rFonts w:ascii="Cambria Math" w:hAnsi="Cambria Math"/>
                    <w:sz w:val="22"/>
                    <w:szCs w:val="22"/>
                  </w:rPr>
                  <m:t xml:space="preserve">14.8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595" w:type="dxa"/>
            <w:vAlign w:val="center"/>
          </w:tcPr>
          <w:p w14:paraId="63944E3B" w14:textId="77777777" w:rsidR="00342321" w:rsidRPr="00BC31E0" w:rsidRDefault="00342321" w:rsidP="004736F2">
            <w:pPr>
              <w:snapToGrid w:val="0"/>
              <w:spacing w:line="300" w:lineRule="atLeast"/>
              <w:jc w:val="center"/>
              <w:rPr>
                <w:rFonts w:ascii="Cambria Math" w:hAnsi="Cambria Math"/>
                <w:sz w:val="22"/>
                <w:szCs w:val="22"/>
              </w:rPr>
            </w:pPr>
            <m:oMathPara>
              <m:oMath>
                <m:r>
                  <m:rPr>
                    <m:sty m:val="p"/>
                  </m:rPr>
                  <w:rPr>
                    <w:rFonts w:ascii="Cambria Math" w:hAnsi="Cambria Math"/>
                    <w:sz w:val="22"/>
                    <w:szCs w:val="22"/>
                  </w:rPr>
                  <m:t xml:space="preserve">10.0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595" w:type="dxa"/>
            <w:vAlign w:val="center"/>
          </w:tcPr>
          <w:p w14:paraId="4B8A1F40" w14:textId="77777777" w:rsidR="00342321" w:rsidRPr="00BC31E0" w:rsidRDefault="00342321" w:rsidP="004736F2">
            <w:pPr>
              <w:snapToGrid w:val="0"/>
              <w:spacing w:line="300" w:lineRule="atLeast"/>
              <w:jc w:val="center"/>
              <w:rPr>
                <w:rFonts w:ascii="Cambria Math" w:hAnsi="Cambria Math"/>
                <w:sz w:val="22"/>
                <w:szCs w:val="22"/>
              </w:rPr>
            </w:pPr>
            <m:oMathPara>
              <m:oMath>
                <m:r>
                  <m:rPr>
                    <m:sty m:val="p"/>
                  </m:rPr>
                  <w:rPr>
                    <w:rFonts w:ascii="Cambria Math" w:hAnsi="Cambria Math"/>
                    <w:sz w:val="22"/>
                    <w:szCs w:val="22"/>
                  </w:rPr>
                  <m:t xml:space="preserve">6.09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595" w:type="dxa"/>
            <w:vAlign w:val="center"/>
          </w:tcPr>
          <w:p w14:paraId="0CDDB0B8" w14:textId="77777777" w:rsidR="00342321" w:rsidRPr="00BC31E0" w:rsidRDefault="00342321" w:rsidP="004736F2">
            <w:pPr>
              <w:snapToGrid w:val="0"/>
              <w:spacing w:line="300" w:lineRule="atLeast"/>
              <w:jc w:val="center"/>
              <w:rPr>
                <w:rFonts w:ascii="Cambria Math" w:hAnsi="Cambria Math"/>
                <w:sz w:val="22"/>
                <w:szCs w:val="22"/>
              </w:rPr>
            </w:pPr>
            <m:oMathPara>
              <m:oMath>
                <m:r>
                  <m:rPr>
                    <m:sty m:val="p"/>
                  </m:rPr>
                  <w:rPr>
                    <w:rFonts w:ascii="Cambria Math" w:hAnsi="Cambria Math"/>
                    <w:sz w:val="22"/>
                    <w:szCs w:val="22"/>
                  </w:rPr>
                  <m:t xml:space="preserve">4.08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r>
    </w:tbl>
    <w:p w14:paraId="0BA450DB" w14:textId="77777777" w:rsidR="00342321" w:rsidRPr="00BC31E0" w:rsidRDefault="00342321" w:rsidP="00342321">
      <w:pPr>
        <w:snapToGrid w:val="0"/>
        <w:spacing w:before="60" w:line="320" w:lineRule="atLeast"/>
        <w:ind w:left="1474" w:hanging="794"/>
        <w:jc w:val="left"/>
        <w:rPr>
          <w:szCs w:val="20"/>
        </w:rPr>
      </w:pPr>
      <w:r w:rsidRPr="00BC31E0">
        <w:rPr>
          <w:rFonts w:ascii="ＭＳ ゴシック" w:eastAsia="ＭＳ ゴシック" w:hAnsi="ＭＳ ゴシック" w:hint="eastAsia"/>
          <w:b/>
          <w:szCs w:val="20"/>
        </w:rPr>
        <w:t>注記1</w:t>
      </w:r>
      <w:r w:rsidRPr="00BC31E0">
        <w:rPr>
          <w:rFonts w:ascii="ＭＳ 明朝" w:hAnsi="ＭＳ 明朝" w:hint="eastAsia"/>
          <w:szCs w:val="20"/>
        </w:rPr>
        <w:t xml:space="preserve">　</w:t>
      </w:r>
      <w:r w:rsidRPr="00BC31E0">
        <w:rPr>
          <w:szCs w:val="20"/>
        </w:rPr>
        <w:t>き</w:t>
      </w:r>
      <w:r w:rsidRPr="00BC31E0">
        <w:rPr>
          <w:rFonts w:hint="eastAsia"/>
          <w:szCs w:val="20"/>
        </w:rPr>
        <w:t>ず</w:t>
      </w:r>
      <w:r w:rsidRPr="00BC31E0">
        <w:rPr>
          <w:szCs w:val="20"/>
        </w:rPr>
        <w:t>高さ</w:t>
      </w:r>
      <m:oMath>
        <m:r>
          <w:rPr>
            <w:rFonts w:ascii="Cambria Math" w:hAnsi="Cambria Math" w:hint="eastAsia"/>
            <w:szCs w:val="20"/>
          </w:rPr>
          <m:t>2</m:t>
        </m:r>
        <m:r>
          <w:rPr>
            <w:rFonts w:ascii="Cambria Math" w:hAnsi="Cambria Math"/>
            <w:szCs w:val="20"/>
          </w:rPr>
          <m:t xml:space="preserve">a </m:t>
        </m:r>
      </m:oMath>
      <w:r w:rsidRPr="00BC31E0">
        <w:rPr>
          <w:szCs w:val="20"/>
        </w:rPr>
        <w:t>が</w:t>
      </w:r>
      <m:oMath>
        <m:r>
          <m:rPr>
            <m:sty m:val="p"/>
          </m:rPr>
          <w:rPr>
            <w:rFonts w:ascii="Cambria Math" w:hAnsi="Cambria Math"/>
            <w:szCs w:val="20"/>
          </w:rPr>
          <m:t xml:space="preserve">1 mm </m:t>
        </m:r>
      </m:oMath>
      <w:r w:rsidRPr="00BC31E0">
        <w:rPr>
          <w:szCs w:val="20"/>
        </w:rPr>
        <w:t>未満になる場合</w:t>
      </w:r>
      <w:r w:rsidRPr="00BC31E0">
        <w:rPr>
          <w:rFonts w:hint="eastAsia"/>
          <w:szCs w:val="20"/>
        </w:rPr>
        <w:t>で</w:t>
      </w:r>
      <w:r w:rsidRPr="00BC31E0">
        <w:rPr>
          <w:szCs w:val="20"/>
        </w:rPr>
        <w:t>，使用者設計仕様書</w:t>
      </w:r>
      <w:r w:rsidRPr="00BC31E0">
        <w:rPr>
          <w:rFonts w:hint="eastAsia"/>
          <w:szCs w:val="20"/>
        </w:rPr>
        <w:t>に</w:t>
      </w:r>
      <w:r w:rsidRPr="00BC31E0">
        <w:rPr>
          <w:rFonts w:ascii="ＭＳ ゴシック" w:eastAsia="ＭＳ ゴシック" w:hAnsi="ＭＳ ゴシック" w:hint="eastAsia"/>
          <w:b/>
          <w:szCs w:val="20"/>
        </w:rPr>
        <w:t>表5.2.2</w:t>
      </w:r>
      <w:r w:rsidRPr="00BC31E0">
        <w:rPr>
          <w:rFonts w:hint="eastAsia"/>
          <w:szCs w:val="20"/>
        </w:rPr>
        <w:t>よりも高い</w:t>
      </w:r>
      <w:r w:rsidRPr="00BC31E0">
        <w:rPr>
          <w:szCs w:val="20"/>
        </w:rPr>
        <w:t>要求シャルピー</w:t>
      </w:r>
      <w:r w:rsidRPr="00BC31E0">
        <w:rPr>
          <w:rFonts w:hint="eastAsia"/>
          <w:szCs w:val="20"/>
        </w:rPr>
        <w:t>衝撃</w:t>
      </w:r>
      <w:r w:rsidRPr="00BC31E0">
        <w:rPr>
          <w:szCs w:val="20"/>
        </w:rPr>
        <w:t>吸収エネルギー</w:t>
      </w:r>
      <w:r w:rsidRPr="00BC31E0">
        <w:rPr>
          <w:rFonts w:hint="eastAsia"/>
          <w:szCs w:val="20"/>
        </w:rPr>
        <w:t>が規定されている場合には，</w:t>
      </w:r>
      <w:r w:rsidRPr="00BC31E0">
        <w:rPr>
          <w:rFonts w:ascii="ＭＳ ゴシック" w:eastAsia="ＭＳ ゴシック" w:hAnsi="ＭＳ ゴシック" w:hint="eastAsia"/>
          <w:b/>
          <w:szCs w:val="20"/>
        </w:rPr>
        <w:t>9.3.6 c) 2) 2.3)</w:t>
      </w:r>
      <w:r w:rsidRPr="00BC31E0">
        <w:rPr>
          <w:rFonts w:hint="eastAsia"/>
          <w:szCs w:val="20"/>
        </w:rPr>
        <w:t>に</w:t>
      </w:r>
      <w:r w:rsidRPr="00BC31E0">
        <w:rPr>
          <w:szCs w:val="20"/>
        </w:rPr>
        <w:t>より</w:t>
      </w:r>
      <w:r w:rsidRPr="00BC31E0">
        <w:rPr>
          <w:rFonts w:hint="eastAsia"/>
          <w:szCs w:val="20"/>
        </w:rPr>
        <w:t>製作者が許容きず寸法を算出</w:t>
      </w:r>
      <w:r w:rsidR="00A5584A" w:rsidRPr="00BC31E0">
        <w:rPr>
          <w:rFonts w:hint="eastAsia"/>
          <w:szCs w:val="20"/>
        </w:rPr>
        <w:t>してもよい</w:t>
      </w:r>
      <w:r w:rsidRPr="00BC31E0">
        <w:rPr>
          <w:rFonts w:hint="eastAsia"/>
          <w:szCs w:val="20"/>
        </w:rPr>
        <w:t>。</w:t>
      </w:r>
    </w:p>
    <w:p w14:paraId="39BE9EED" w14:textId="77777777" w:rsidR="00342321" w:rsidRPr="00BC31E0" w:rsidRDefault="00342321" w:rsidP="00342321">
      <w:pPr>
        <w:autoSpaceDE w:val="0"/>
        <w:autoSpaceDN w:val="0"/>
        <w:snapToGrid w:val="0"/>
        <w:spacing w:line="320" w:lineRule="atLeast"/>
        <w:ind w:left="1531" w:hanging="851"/>
        <w:jc w:val="left"/>
        <w:rPr>
          <w:rFonts w:hAnsi="ＭＳ 明朝"/>
          <w:szCs w:val="20"/>
        </w:rPr>
      </w:pPr>
      <w:r w:rsidRPr="00BC31E0">
        <w:rPr>
          <w:rFonts w:ascii="ＭＳ ゴシック" w:eastAsia="ＭＳ ゴシック" w:hAnsi="ＭＳ ゴシック" w:hint="eastAsia"/>
          <w:b/>
          <w:szCs w:val="20"/>
        </w:rPr>
        <w:t>注記2</w:t>
      </w:r>
      <w:r w:rsidRPr="00BC31E0">
        <w:rPr>
          <w:rFonts w:ascii="ＭＳ 明朝" w:hAnsi="ＭＳ 明朝" w:hint="eastAsia"/>
          <w:szCs w:val="20"/>
        </w:rPr>
        <w:t xml:space="preserve">　</w:t>
      </w:r>
      <w:r w:rsidRPr="00BC31E0">
        <w:rPr>
          <w:rFonts w:hAnsi="ＭＳ 明朝"/>
          <w:szCs w:val="20"/>
        </w:rPr>
        <w:t>中間の</w:t>
      </w:r>
      <w:r w:rsidRPr="00BC31E0">
        <w:rPr>
          <w:rFonts w:hAnsi="ＭＳ 明朝" w:hint="eastAsia"/>
          <w:szCs w:val="20"/>
        </w:rPr>
        <w:t>内外径比</w:t>
      </w:r>
      <m:oMath>
        <m:r>
          <m:rPr>
            <m:sty m:val="p"/>
          </m:rPr>
          <w:rPr>
            <w:rFonts w:ascii="Cambria Math" w:hAnsi="Cambria Math"/>
            <w:szCs w:val="20"/>
          </w:rPr>
          <m:t xml:space="preserve"> </m:t>
        </m:r>
        <m:r>
          <w:rPr>
            <w:rFonts w:ascii="Cambria Math" w:hAnsi="Cambria Math"/>
            <w:szCs w:val="20"/>
          </w:rPr>
          <m:t xml:space="preserve">Y </m:t>
        </m:r>
      </m:oMath>
      <w:r w:rsidRPr="00BC31E0">
        <w:rPr>
          <w:rFonts w:hAnsi="ＭＳ 明朝"/>
          <w:szCs w:val="20"/>
        </w:rPr>
        <w:t>の値及び</w:t>
      </w:r>
      <m:oMath>
        <m:f>
          <m:fPr>
            <m:type m:val="lin"/>
            <m:ctrlPr>
              <w:rPr>
                <w:rFonts w:ascii="Cambria Math" w:hAnsi="Cambria Math"/>
                <w:i/>
                <w:szCs w:val="20"/>
              </w:rPr>
            </m:ctrlPr>
          </m:fPr>
          <m:num>
            <m:r>
              <w:rPr>
                <w:rFonts w:ascii="Cambria Math" w:hAnsi="Cambria Math"/>
                <w:szCs w:val="20"/>
              </w:rPr>
              <m:t xml:space="preserve"> a</m:t>
            </m:r>
          </m:num>
          <m:den>
            <m:r>
              <w:rPr>
                <w:rFonts w:ascii="Cambria Math" w:hAnsi="Cambria Math"/>
                <w:szCs w:val="20"/>
              </w:rPr>
              <m:t xml:space="preserve">l </m:t>
            </m:r>
          </m:den>
        </m:f>
      </m:oMath>
      <w:r w:rsidRPr="00BC31E0">
        <w:rPr>
          <w:rFonts w:hAnsi="ＭＳ 明朝"/>
          <w:szCs w:val="20"/>
        </w:rPr>
        <w:t>の値に対しては，線形補間</w:t>
      </w:r>
      <w:r w:rsidRPr="00BC31E0">
        <w:rPr>
          <w:rFonts w:hAnsi="ＭＳ 明朝" w:hint="eastAsia"/>
          <w:szCs w:val="20"/>
        </w:rPr>
        <w:t>により</w:t>
      </w:r>
      <m:oMath>
        <m:r>
          <w:rPr>
            <w:rFonts w:ascii="Cambria Math" w:hAnsi="Cambria Math"/>
            <w:szCs w:val="20"/>
          </w:rPr>
          <m:t>a</m:t>
        </m:r>
        <m:r>
          <m:rPr>
            <m:sty m:val="p"/>
          </m:rPr>
          <w:rPr>
            <w:rFonts w:ascii="Cambria Math" w:hAnsi="Cambria Math"/>
            <w:szCs w:val="20"/>
          </w:rPr>
          <m:t xml:space="preserve"> </m:t>
        </m:r>
      </m:oMath>
      <w:r w:rsidRPr="00BC31E0">
        <w:rPr>
          <w:rFonts w:hAnsi="ＭＳ 明朝"/>
          <w:szCs w:val="20"/>
        </w:rPr>
        <w:t>を求める。</w:t>
      </w:r>
    </w:p>
    <w:p w14:paraId="60E3BADE" w14:textId="77777777" w:rsidR="00342321" w:rsidRPr="00BC31E0" w:rsidRDefault="00342321" w:rsidP="00342321">
      <w:pPr>
        <w:jc w:val="center"/>
        <w:rPr>
          <w:szCs w:val="20"/>
        </w:rPr>
      </w:pPr>
      <w:r w:rsidRPr="00BC31E0">
        <w:rPr>
          <w:rFonts w:ascii="ＭＳ ゴシック" w:eastAsia="ＭＳ ゴシック" w:hAnsi="ＭＳ ゴシック" w:hint="eastAsia"/>
          <w:b/>
          <w:szCs w:val="20"/>
        </w:rPr>
        <w:lastRenderedPageBreak/>
        <w:t>表9.3.20　内部きずの許容きず寸法 (</w:t>
      </w:r>
      <m:oMath>
        <m:r>
          <m:rPr>
            <m:sty m:val="bi"/>
          </m:rPr>
          <w:rPr>
            <w:rFonts w:ascii="Cambria Math" w:eastAsia="ＭＳ ゴシック" w:hAnsi="Cambria Math"/>
            <w:sz w:val="22"/>
            <w:szCs w:val="22"/>
          </w:rPr>
          <m:t>260</m:t>
        </m:r>
        <m:r>
          <w:rPr>
            <w:rFonts w:ascii="Cambria Math" w:eastAsia="ＭＳ ゴシック" w:hAnsi="Cambria Math"/>
            <w:sz w:val="22"/>
            <w:szCs w:val="22"/>
          </w:rPr>
          <m:t>&lt;</m:t>
        </m:r>
        <m:sSub>
          <m:sSubPr>
            <m:ctrlPr>
              <w:rPr>
                <w:rFonts w:ascii="Cambria Math" w:eastAsia="ＭＳ ゴシック" w:hAnsi="Cambria Math"/>
                <w:b/>
                <w:i/>
                <w:sz w:val="22"/>
                <w:szCs w:val="22"/>
              </w:rPr>
            </m:ctrlPr>
          </m:sSubPr>
          <m:e>
            <m:r>
              <m:rPr>
                <m:sty m:val="bi"/>
              </m:rPr>
              <w:rPr>
                <w:rFonts w:ascii="Cambria Math" w:eastAsia="ＭＳ ゴシック" w:hAnsi="Cambria Math"/>
                <w:sz w:val="22"/>
                <w:szCs w:val="22"/>
              </w:rPr>
              <m:t>S</m:t>
            </m:r>
          </m:e>
          <m:sub>
            <m:r>
              <m:rPr>
                <m:sty m:val="bi"/>
              </m:rPr>
              <w:rPr>
                <w:rFonts w:ascii="Cambria Math" w:eastAsia="ＭＳ ゴシック" w:hAnsi="Cambria Math"/>
                <w:sz w:val="22"/>
                <w:szCs w:val="22"/>
              </w:rPr>
              <m:t>y</m:t>
            </m:r>
          </m:sub>
        </m:sSub>
        <m:r>
          <m:rPr>
            <m:sty m:val="bi"/>
          </m:rPr>
          <w:rPr>
            <w:rFonts w:ascii="Cambria Math" w:eastAsia="ＭＳ ゴシック" w:hAnsi="Cambria Math"/>
            <w:sz w:val="22"/>
            <w:szCs w:val="22"/>
          </w:rPr>
          <m:t>≦415</m:t>
        </m:r>
        <m:r>
          <m:rPr>
            <m:sty m:val="b"/>
          </m:rPr>
          <w:rPr>
            <w:rFonts w:ascii="Cambria Math" w:eastAsia="ＭＳ ゴシック" w:hAnsi="Cambria Math"/>
            <w:sz w:val="22"/>
            <w:szCs w:val="22"/>
          </w:rPr>
          <m:t xml:space="preserve"> MPa</m:t>
        </m:r>
      </m:oMath>
      <w:r w:rsidRPr="00BC31E0">
        <w:rPr>
          <w:rFonts w:ascii="ＭＳ ゴシック" w:eastAsia="ＭＳ ゴシック" w:hAnsi="ＭＳ ゴシック" w:hint="eastAsia"/>
          <w:b/>
          <w:szCs w:val="20"/>
        </w:rPr>
        <w:t>，溶接後熱処理</w:t>
      </w:r>
      <w:r w:rsidRPr="00BC31E0">
        <w:rPr>
          <w:rFonts w:ascii="ＭＳ ゴシック" w:eastAsia="ＭＳ ゴシック" w:hAnsi="ＭＳ ゴシック"/>
          <w:b/>
          <w:szCs w:val="20"/>
        </w:rPr>
        <w:t>あり</w:t>
      </w:r>
      <w:r w:rsidRPr="00BC31E0">
        <w:rPr>
          <w:rFonts w:ascii="ＭＳ ゴシック" w:eastAsia="ＭＳ ゴシック" w:hAnsi="ＭＳ ゴシック" w:hint="eastAsia"/>
          <w:b/>
          <w:szCs w:val="20"/>
        </w:rPr>
        <w:t>)</w:t>
      </w:r>
    </w:p>
    <w:tbl>
      <w:tblPr>
        <w:tblW w:w="0" w:type="auto"/>
        <w:tblInd w:w="1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4"/>
      </w:tblGrid>
      <w:tr w:rsidR="00342321" w:rsidRPr="00BC31E0" w14:paraId="5119878A" w14:textId="77777777" w:rsidTr="004736F2">
        <w:tc>
          <w:tcPr>
            <w:tcW w:w="5244" w:type="dxa"/>
          </w:tcPr>
          <w:p w14:paraId="1B84CF83" w14:textId="77777777" w:rsidR="00342321" w:rsidRPr="00BC31E0" w:rsidRDefault="00342321" w:rsidP="004736F2">
            <w:pPr>
              <w:snapToGrid w:val="0"/>
              <w:spacing w:line="320" w:lineRule="atLeast"/>
              <w:jc w:val="center"/>
              <w:rPr>
                <w:rFonts w:cs="Tahoma"/>
                <w:i/>
                <w:szCs w:val="20"/>
              </w:rPr>
            </w:pPr>
            <m:oMathPara>
              <m:oMath>
                <m:r>
                  <w:rPr>
                    <w:rFonts w:ascii="Cambria Math" w:hAnsi="Cambria Math" w:hint="eastAsia"/>
                    <w:szCs w:val="20"/>
                  </w:rPr>
                  <m:t>13</m:t>
                </m:r>
                <m:r>
                  <w:rPr>
                    <w:rFonts w:ascii="Cambria Math" w:hAnsi="Cambria Math"/>
                    <w:szCs w:val="20"/>
                  </w:rPr>
                  <m:t>≦t&lt;</m:t>
                </m:r>
                <m:r>
                  <w:rPr>
                    <w:rFonts w:ascii="Cambria Math" w:hAnsi="Cambria Math" w:hint="eastAsia"/>
                    <w:szCs w:val="20"/>
                  </w:rPr>
                  <m:t>25</m:t>
                </m:r>
                <m:r>
                  <m:rPr>
                    <m:sty m:val="p"/>
                  </m:rPr>
                  <w:rPr>
                    <w:rFonts w:ascii="Cambria Math" w:hAnsi="Cambria Math" w:hint="eastAsia"/>
                    <w:szCs w:val="20"/>
                  </w:rPr>
                  <m:t xml:space="preserve"> mm</m:t>
                </m:r>
              </m:oMath>
            </m:oMathPara>
          </w:p>
        </w:tc>
      </w:tr>
      <w:tr w:rsidR="00342321" w:rsidRPr="00BC31E0" w14:paraId="321709FD" w14:textId="77777777" w:rsidTr="004736F2">
        <w:tc>
          <w:tcPr>
            <w:tcW w:w="5244" w:type="dxa"/>
          </w:tcPr>
          <w:p w14:paraId="5B71A6C0" w14:textId="77777777" w:rsidR="00342321" w:rsidRPr="00BC31E0" w:rsidRDefault="00A51873" w:rsidP="004736F2">
            <w:pPr>
              <w:snapToGrid w:val="0"/>
              <w:spacing w:line="320" w:lineRule="atLeast"/>
              <w:jc w:val="center"/>
            </w:pPr>
            <m:oMath>
              <m:f>
                <m:fPr>
                  <m:type m:val="lin"/>
                  <m:ctrlPr>
                    <w:rPr>
                      <w:rFonts w:ascii="Cambria Math" w:hAnsi="Cambria Math"/>
                      <w:i/>
                    </w:rPr>
                  </m:ctrlPr>
                </m:fPr>
                <m:num>
                  <m:r>
                    <w:rPr>
                      <w:rFonts w:ascii="Cambria Math" w:hAnsi="Cambria Math"/>
                    </w:rPr>
                    <m:t>a</m:t>
                  </m:r>
                </m:num>
                <m:den>
                  <m:r>
                    <w:rPr>
                      <w:rFonts w:ascii="Cambria Math" w:hAnsi="Cambria Math"/>
                    </w:rPr>
                    <m:t>t</m:t>
                  </m:r>
                </m:den>
              </m:f>
              <m:r>
                <w:rPr>
                  <w:rFonts w:ascii="Cambria Math" w:hAnsi="Cambria Math"/>
                </w:rPr>
                <m:t xml:space="preserve"> ≦</m:t>
              </m:r>
              <m:r>
                <w:rPr>
                  <w:rFonts w:ascii="Cambria Math" w:hAnsi="Cambria Math" w:hint="eastAsia"/>
                </w:rPr>
                <m:t>0.109</m:t>
              </m:r>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vertAlign w:val="subscript"/>
                    </w:rPr>
                    <m:t>a</m:t>
                  </m:r>
                </m:sub>
              </m:sSub>
            </m:oMath>
            <w:r w:rsidR="00342321" w:rsidRPr="00BC31E0">
              <w:rPr>
                <w:rFonts w:hAnsi="ＭＳ 明朝"/>
              </w:rPr>
              <w:t xml:space="preserve">　</w:t>
            </w:r>
            <w:r w:rsidR="00342321" w:rsidRPr="00BC31E0">
              <w:rPr>
                <w:rFonts w:hAnsi="ＭＳ 明朝" w:hint="eastAsia"/>
              </w:rPr>
              <w:t>及</w:t>
            </w:r>
            <w:r w:rsidR="00342321" w:rsidRPr="00BC31E0">
              <w:rPr>
                <w:rFonts w:hAnsi="ＭＳ 明朝"/>
              </w:rPr>
              <w:t xml:space="preserve">び　</w:t>
            </w:r>
            <m:oMath>
              <m:r>
                <w:rPr>
                  <w:rFonts w:ascii="Cambria Math" w:hAnsi="Cambria Math"/>
                </w:rPr>
                <m:t>l</m:t>
              </m:r>
              <m:r>
                <w:rPr>
                  <w:rFonts w:ascii="Cambria Math" w:hAnsi="Cambria Math" w:hint="eastAsia"/>
                </w:rPr>
                <m:t xml:space="preserve"> </m:t>
              </m:r>
              <m:r>
                <w:rPr>
                  <w:rFonts w:ascii="Cambria Math" w:hAnsi="Cambria Math"/>
                </w:rPr>
                <m:t>≦</m:t>
              </m:r>
              <m:r>
                <w:rPr>
                  <w:rFonts w:ascii="Cambria Math" w:hAnsi="Cambria Math" w:hint="eastAsia"/>
                </w:rPr>
                <m:t>6.4</m:t>
              </m:r>
              <m:r>
                <m:rPr>
                  <m:sty m:val="p"/>
                </m:rPr>
                <w:rPr>
                  <w:rFonts w:ascii="Cambria Math" w:hAnsi="Cambria Math"/>
                </w:rPr>
                <m:t xml:space="preserve"> mm</m:t>
              </m:r>
            </m:oMath>
          </w:p>
        </w:tc>
      </w:tr>
    </w:tbl>
    <w:p w14:paraId="38E6FA83" w14:textId="77777777" w:rsidR="00CA187B" w:rsidRPr="00BC31E0" w:rsidRDefault="00CA187B" w:rsidP="00CA187B">
      <w:pPr>
        <w:spacing w:line="180" w:lineRule="exact"/>
        <w:rPr>
          <w:rFonts w:ascii="ＭＳ ゴシック" w:eastAsia="ＭＳ ゴシック" w:hAnsi="ＭＳ ゴシック"/>
          <w:b/>
          <w:szCs w:val="20"/>
        </w:rPr>
      </w:pPr>
    </w:p>
    <w:p w14:paraId="102557FF" w14:textId="77777777" w:rsidR="00342321" w:rsidRPr="00BC31E0" w:rsidRDefault="00342321" w:rsidP="00CA187B">
      <w:pPr>
        <w:jc w:val="center"/>
        <w:rPr>
          <w:szCs w:val="20"/>
        </w:rPr>
      </w:pPr>
      <w:r w:rsidRPr="00BC31E0">
        <w:rPr>
          <w:rFonts w:ascii="ＭＳ ゴシック" w:eastAsia="ＭＳ ゴシック" w:hAnsi="ＭＳ ゴシック" w:hint="eastAsia"/>
          <w:b/>
          <w:szCs w:val="20"/>
        </w:rPr>
        <w:t>表9.3.21　内部きずの許容きず寸法 (</w:t>
      </w:r>
      <m:oMath>
        <m:r>
          <m:rPr>
            <m:sty m:val="bi"/>
          </m:rPr>
          <w:rPr>
            <w:rFonts w:ascii="Cambria Math" w:eastAsia="ＭＳ ゴシック" w:hAnsi="Cambria Math"/>
            <w:sz w:val="22"/>
            <w:szCs w:val="22"/>
          </w:rPr>
          <m:t>260</m:t>
        </m:r>
        <m:r>
          <w:rPr>
            <w:rFonts w:ascii="Cambria Math" w:eastAsia="ＭＳ ゴシック" w:hAnsi="Cambria Math"/>
            <w:sz w:val="22"/>
            <w:szCs w:val="22"/>
          </w:rPr>
          <m:t>&lt;</m:t>
        </m:r>
        <m:sSub>
          <m:sSubPr>
            <m:ctrlPr>
              <w:rPr>
                <w:rFonts w:ascii="Cambria Math" w:eastAsia="ＭＳ ゴシック" w:hAnsi="Cambria Math"/>
                <w:b/>
                <w:i/>
                <w:sz w:val="22"/>
                <w:szCs w:val="22"/>
              </w:rPr>
            </m:ctrlPr>
          </m:sSubPr>
          <m:e>
            <m:r>
              <m:rPr>
                <m:sty m:val="bi"/>
              </m:rPr>
              <w:rPr>
                <w:rFonts w:ascii="Cambria Math" w:eastAsia="ＭＳ ゴシック" w:hAnsi="Cambria Math"/>
                <w:sz w:val="22"/>
                <w:szCs w:val="22"/>
              </w:rPr>
              <m:t>S</m:t>
            </m:r>
          </m:e>
          <m:sub>
            <m:r>
              <m:rPr>
                <m:sty m:val="bi"/>
              </m:rPr>
              <w:rPr>
                <w:rFonts w:ascii="Cambria Math" w:eastAsia="ＭＳ ゴシック" w:hAnsi="Cambria Math"/>
                <w:sz w:val="22"/>
                <w:szCs w:val="22"/>
              </w:rPr>
              <m:t>y</m:t>
            </m:r>
          </m:sub>
        </m:sSub>
        <m:r>
          <m:rPr>
            <m:sty m:val="bi"/>
          </m:rPr>
          <w:rPr>
            <w:rFonts w:ascii="Cambria Math" w:eastAsia="ＭＳ ゴシック" w:hAnsi="Cambria Math"/>
            <w:sz w:val="22"/>
            <w:szCs w:val="22"/>
          </w:rPr>
          <m:t>≦415</m:t>
        </m:r>
        <m:r>
          <m:rPr>
            <m:sty m:val="b"/>
          </m:rPr>
          <w:rPr>
            <w:rFonts w:ascii="Cambria Math" w:eastAsia="ＭＳ ゴシック" w:hAnsi="Cambria Math"/>
            <w:sz w:val="22"/>
            <w:szCs w:val="22"/>
          </w:rPr>
          <m:t xml:space="preserve"> MPa</m:t>
        </m:r>
      </m:oMath>
      <w:r w:rsidRPr="00BC31E0">
        <w:rPr>
          <w:rFonts w:ascii="ＭＳ ゴシック" w:eastAsia="ＭＳ ゴシック" w:hAnsi="ＭＳ ゴシック" w:hint="eastAsia"/>
          <w:b/>
          <w:szCs w:val="20"/>
        </w:rPr>
        <w:t>，溶接後熱処理</w:t>
      </w:r>
      <w:r w:rsidRPr="00BC31E0">
        <w:rPr>
          <w:rFonts w:ascii="ＭＳ ゴシック" w:eastAsia="ＭＳ ゴシック" w:hAnsi="ＭＳ ゴシック"/>
          <w:b/>
          <w:szCs w:val="20"/>
        </w:rPr>
        <w:t>あり</w:t>
      </w:r>
      <w:r w:rsidRPr="00BC31E0">
        <w:rPr>
          <w:rFonts w:ascii="ＭＳ ゴシック" w:eastAsia="ＭＳ ゴシック" w:hAnsi="ＭＳ ゴシック" w:hint="eastAsia"/>
          <w:b/>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772"/>
        <w:gridCol w:w="1772"/>
        <w:gridCol w:w="1772"/>
        <w:gridCol w:w="1772"/>
      </w:tblGrid>
      <w:tr w:rsidR="00342321" w:rsidRPr="00BC31E0" w14:paraId="1617DB57" w14:textId="77777777" w:rsidTr="004736F2">
        <w:trPr>
          <w:jc w:val="center"/>
        </w:trPr>
        <w:tc>
          <w:tcPr>
            <w:tcW w:w="992" w:type="dxa"/>
            <w:vMerge w:val="restart"/>
            <w:vAlign w:val="center"/>
          </w:tcPr>
          <w:p w14:paraId="03AD9467" w14:textId="77777777" w:rsidR="00342321" w:rsidRPr="00BC31E0" w:rsidRDefault="00A51873" w:rsidP="004736F2">
            <w:pPr>
              <w:snapToGrid w:val="0"/>
              <w:spacing w:line="300" w:lineRule="atLeast"/>
              <w:jc w:val="center"/>
              <w:rPr>
                <w:rFonts w:ascii="Times New Roman" w:hAnsi="Times New Roman"/>
                <w:i/>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l</m:t>
                    </m:r>
                  </m:den>
                </m:f>
              </m:oMath>
            </m:oMathPara>
          </w:p>
        </w:tc>
        <w:tc>
          <w:tcPr>
            <w:tcW w:w="7088" w:type="dxa"/>
            <w:gridSpan w:val="4"/>
            <w:vAlign w:val="center"/>
          </w:tcPr>
          <w:p w14:paraId="3522E0D3" w14:textId="77777777" w:rsidR="00342321" w:rsidRPr="00BC31E0" w:rsidRDefault="00342321" w:rsidP="004736F2">
            <w:pPr>
              <w:snapToGrid w:val="0"/>
              <w:spacing w:line="300" w:lineRule="atLeast"/>
              <w:jc w:val="center"/>
              <w:rPr>
                <w:rFonts w:ascii="Times New Roman" w:hAnsi="Times New Roman"/>
                <w:szCs w:val="20"/>
              </w:rPr>
            </w:pPr>
            <m:oMathPara>
              <m:oMath>
                <m:r>
                  <w:rPr>
                    <w:rFonts w:ascii="Cambria Math" w:hAnsi="Cambria Math" w:hint="eastAsia"/>
                    <w:szCs w:val="20"/>
                  </w:rPr>
                  <m:t>25</m:t>
                </m:r>
                <m:r>
                  <w:rPr>
                    <w:rFonts w:ascii="Cambria Math" w:hAnsi="Cambria Math"/>
                    <w:szCs w:val="20"/>
                  </w:rPr>
                  <m:t>≦t≦</m:t>
                </m:r>
                <m:r>
                  <w:rPr>
                    <w:rFonts w:ascii="Cambria Math" w:hAnsi="Cambria Math" w:hint="eastAsia"/>
                    <w:szCs w:val="20"/>
                  </w:rPr>
                  <m:t xml:space="preserve">300 </m:t>
                </m:r>
                <m:r>
                  <m:rPr>
                    <m:sty m:val="p"/>
                  </m:rPr>
                  <w:rPr>
                    <w:rFonts w:ascii="Cambria Math" w:hAnsi="Cambria Math" w:hint="eastAsia"/>
                    <w:szCs w:val="20"/>
                  </w:rPr>
                  <m:t>mm</m:t>
                </m:r>
              </m:oMath>
            </m:oMathPara>
          </w:p>
        </w:tc>
      </w:tr>
      <w:tr w:rsidR="00342321" w:rsidRPr="00BC31E0" w14:paraId="5A98126B" w14:textId="77777777" w:rsidTr="004736F2">
        <w:trPr>
          <w:jc w:val="center"/>
        </w:trPr>
        <w:tc>
          <w:tcPr>
            <w:tcW w:w="992" w:type="dxa"/>
            <w:vMerge/>
            <w:vAlign w:val="center"/>
          </w:tcPr>
          <w:p w14:paraId="2C466688" w14:textId="77777777" w:rsidR="00342321" w:rsidRPr="00BC31E0" w:rsidRDefault="00342321" w:rsidP="004736F2">
            <w:pPr>
              <w:snapToGrid w:val="0"/>
              <w:spacing w:line="300" w:lineRule="atLeast"/>
              <w:jc w:val="center"/>
              <w:rPr>
                <w:rFonts w:ascii="Times New Roman" w:hAnsi="Times New Roman"/>
                <w:i/>
                <w:szCs w:val="20"/>
              </w:rPr>
            </w:pPr>
          </w:p>
        </w:tc>
        <w:tc>
          <w:tcPr>
            <w:tcW w:w="1772" w:type="dxa"/>
            <w:vAlign w:val="center"/>
          </w:tcPr>
          <w:p w14:paraId="23D845A7" w14:textId="77777777" w:rsidR="00342321" w:rsidRPr="00BC31E0" w:rsidRDefault="00342321" w:rsidP="004736F2">
            <w:pPr>
              <w:snapToGrid w:val="0"/>
              <w:spacing w:line="300" w:lineRule="atLeast"/>
              <w:jc w:val="center"/>
              <w:rPr>
                <w:szCs w:val="20"/>
              </w:rPr>
            </w:pPr>
            <m:oMathPara>
              <m:oMath>
                <m:r>
                  <w:rPr>
                    <w:rFonts w:ascii="Cambria Math" w:hAnsi="Cambria Math"/>
                    <w:szCs w:val="20"/>
                  </w:rPr>
                  <m:t>Y=</m:t>
                </m:r>
                <m:r>
                  <w:rPr>
                    <w:rFonts w:ascii="Cambria Math" w:hAnsi="Cambria Math" w:hint="eastAsia"/>
                    <w:szCs w:val="20"/>
                  </w:rPr>
                  <m:t>1.2</m:t>
                </m:r>
              </m:oMath>
            </m:oMathPara>
          </w:p>
        </w:tc>
        <w:tc>
          <w:tcPr>
            <w:tcW w:w="1772" w:type="dxa"/>
            <w:vAlign w:val="center"/>
          </w:tcPr>
          <w:p w14:paraId="3AF4CDC4" w14:textId="77777777" w:rsidR="00342321" w:rsidRPr="00BC31E0" w:rsidRDefault="00342321" w:rsidP="004736F2">
            <w:pPr>
              <w:snapToGrid w:val="0"/>
              <w:spacing w:line="300" w:lineRule="atLeast"/>
              <w:jc w:val="center"/>
              <w:rPr>
                <w:szCs w:val="20"/>
              </w:rPr>
            </w:pPr>
            <m:oMathPara>
              <m:oMath>
                <m:r>
                  <w:rPr>
                    <w:rFonts w:ascii="Cambria Math" w:hAnsi="Cambria Math"/>
                    <w:szCs w:val="20"/>
                  </w:rPr>
                  <m:t>Y=</m:t>
                </m:r>
                <m:r>
                  <w:rPr>
                    <w:rFonts w:ascii="Cambria Math" w:hAnsi="Cambria Math" w:hint="eastAsia"/>
                    <w:szCs w:val="20"/>
                  </w:rPr>
                  <m:t>1.5</m:t>
                </m:r>
              </m:oMath>
            </m:oMathPara>
          </w:p>
        </w:tc>
        <w:tc>
          <w:tcPr>
            <w:tcW w:w="1772" w:type="dxa"/>
            <w:vAlign w:val="center"/>
          </w:tcPr>
          <w:p w14:paraId="5C86B796" w14:textId="77777777" w:rsidR="00342321" w:rsidRPr="00BC31E0" w:rsidRDefault="00342321" w:rsidP="004736F2">
            <w:pPr>
              <w:snapToGrid w:val="0"/>
              <w:spacing w:line="300" w:lineRule="atLeast"/>
              <w:jc w:val="center"/>
              <w:rPr>
                <w:szCs w:val="20"/>
              </w:rPr>
            </w:pPr>
            <m:oMathPara>
              <m:oMath>
                <m:r>
                  <w:rPr>
                    <w:rFonts w:ascii="Cambria Math" w:hAnsi="Cambria Math"/>
                    <w:szCs w:val="20"/>
                  </w:rPr>
                  <m:t>Y=</m:t>
                </m:r>
                <m:r>
                  <w:rPr>
                    <w:rFonts w:ascii="Cambria Math" w:hAnsi="Cambria Math" w:hint="eastAsia"/>
                    <w:szCs w:val="20"/>
                  </w:rPr>
                  <m:t>2.0</m:t>
                </m:r>
              </m:oMath>
            </m:oMathPara>
          </w:p>
        </w:tc>
        <w:tc>
          <w:tcPr>
            <w:tcW w:w="1772" w:type="dxa"/>
            <w:vAlign w:val="center"/>
          </w:tcPr>
          <w:p w14:paraId="373DD819" w14:textId="77777777" w:rsidR="00342321" w:rsidRPr="00BC31E0" w:rsidRDefault="00342321" w:rsidP="004736F2">
            <w:pPr>
              <w:snapToGrid w:val="0"/>
              <w:spacing w:line="300" w:lineRule="atLeast"/>
              <w:jc w:val="center"/>
              <w:rPr>
                <w:szCs w:val="20"/>
              </w:rPr>
            </w:pPr>
            <m:oMathPara>
              <m:oMath>
                <m:r>
                  <w:rPr>
                    <w:rFonts w:ascii="Cambria Math" w:hAnsi="Cambria Math"/>
                    <w:szCs w:val="20"/>
                  </w:rPr>
                  <m:t>Y=</m:t>
                </m:r>
                <m:r>
                  <w:rPr>
                    <w:rFonts w:ascii="Cambria Math" w:hAnsi="Cambria Math" w:hint="eastAsia"/>
                    <w:szCs w:val="20"/>
                  </w:rPr>
                  <m:t>2.5</m:t>
                </m:r>
              </m:oMath>
            </m:oMathPara>
          </w:p>
        </w:tc>
      </w:tr>
      <w:tr w:rsidR="00342321" w:rsidRPr="00BC31E0" w14:paraId="0AA77289" w14:textId="77777777" w:rsidTr="004736F2">
        <w:trPr>
          <w:jc w:val="center"/>
        </w:trPr>
        <w:tc>
          <w:tcPr>
            <w:tcW w:w="992" w:type="dxa"/>
            <w:vMerge/>
            <w:vAlign w:val="center"/>
          </w:tcPr>
          <w:p w14:paraId="17077CD3" w14:textId="77777777" w:rsidR="00342321" w:rsidRPr="00BC31E0" w:rsidRDefault="00342321" w:rsidP="004736F2">
            <w:pPr>
              <w:snapToGrid w:val="0"/>
              <w:spacing w:line="300" w:lineRule="atLeast"/>
              <w:jc w:val="center"/>
              <w:rPr>
                <w:szCs w:val="20"/>
              </w:rPr>
            </w:pPr>
          </w:p>
        </w:tc>
        <w:tc>
          <w:tcPr>
            <w:tcW w:w="1772" w:type="dxa"/>
            <w:vAlign w:val="center"/>
          </w:tcPr>
          <w:p w14:paraId="154C57FD" w14:textId="77777777" w:rsidR="00342321" w:rsidRPr="00BC31E0" w:rsidRDefault="00A51873" w:rsidP="004736F2">
            <w:pPr>
              <w:snapToGrid w:val="0"/>
              <w:spacing w:line="300" w:lineRule="atLeast"/>
              <w:jc w:val="center"/>
              <w:rPr>
                <w:rFonts w:ascii="Times New Roman" w:hAnsi="Times New Roman"/>
                <w:i/>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t</m:t>
                    </m:r>
                  </m:den>
                </m:f>
              </m:oMath>
            </m:oMathPara>
          </w:p>
        </w:tc>
        <w:tc>
          <w:tcPr>
            <w:tcW w:w="1772" w:type="dxa"/>
            <w:vAlign w:val="center"/>
          </w:tcPr>
          <w:p w14:paraId="2CD83444" w14:textId="77777777" w:rsidR="00342321" w:rsidRPr="00BC31E0" w:rsidRDefault="00A51873" w:rsidP="004736F2">
            <w:pPr>
              <w:snapToGrid w:val="0"/>
              <w:spacing w:line="300" w:lineRule="atLeast"/>
              <w:jc w:val="center"/>
              <w:rPr>
                <w:rFonts w:ascii="Times New Roman" w:hAnsi="Times New Roman"/>
                <w:i/>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t</m:t>
                    </m:r>
                  </m:den>
                </m:f>
              </m:oMath>
            </m:oMathPara>
          </w:p>
        </w:tc>
        <w:tc>
          <w:tcPr>
            <w:tcW w:w="1772" w:type="dxa"/>
            <w:vAlign w:val="center"/>
          </w:tcPr>
          <w:p w14:paraId="7D59E6BF" w14:textId="77777777" w:rsidR="00342321" w:rsidRPr="00BC31E0" w:rsidRDefault="00A51873" w:rsidP="004736F2">
            <w:pPr>
              <w:snapToGrid w:val="0"/>
              <w:spacing w:line="300" w:lineRule="atLeast"/>
              <w:jc w:val="center"/>
              <w:rPr>
                <w:rFonts w:ascii="Times New Roman" w:hAnsi="Times New Roman"/>
                <w:i/>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t</m:t>
                    </m:r>
                  </m:den>
                </m:f>
              </m:oMath>
            </m:oMathPara>
          </w:p>
        </w:tc>
        <w:tc>
          <w:tcPr>
            <w:tcW w:w="1772" w:type="dxa"/>
            <w:vAlign w:val="center"/>
          </w:tcPr>
          <w:p w14:paraId="7CF6299D" w14:textId="77777777" w:rsidR="00342321" w:rsidRPr="00BC31E0" w:rsidRDefault="00A51873" w:rsidP="004736F2">
            <w:pPr>
              <w:snapToGrid w:val="0"/>
              <w:spacing w:line="300" w:lineRule="atLeast"/>
              <w:jc w:val="center"/>
              <w:rPr>
                <w:rFonts w:ascii="Times New Roman" w:hAnsi="Times New Roman"/>
                <w:i/>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t</m:t>
                    </m:r>
                  </m:den>
                </m:f>
              </m:oMath>
            </m:oMathPara>
          </w:p>
        </w:tc>
      </w:tr>
      <w:tr w:rsidR="00342321" w:rsidRPr="00BC31E0" w14:paraId="2F4DC3D9" w14:textId="77777777" w:rsidTr="004736F2">
        <w:trPr>
          <w:jc w:val="center"/>
        </w:trPr>
        <w:tc>
          <w:tcPr>
            <w:tcW w:w="992" w:type="dxa"/>
            <w:vAlign w:val="center"/>
          </w:tcPr>
          <w:p w14:paraId="54E1A70B"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0.0</w:t>
            </w:r>
          </w:p>
        </w:tc>
        <w:tc>
          <w:tcPr>
            <w:tcW w:w="1772" w:type="dxa"/>
            <w:vAlign w:val="center"/>
          </w:tcPr>
          <w:p w14:paraId="6FD23074" w14:textId="77777777" w:rsidR="00342321" w:rsidRPr="00BC31E0" w:rsidRDefault="00342321" w:rsidP="004736F2">
            <w:pPr>
              <w:snapToGrid w:val="0"/>
              <w:spacing w:line="300" w:lineRule="atLeast"/>
              <w:jc w:val="center"/>
              <w:rPr>
                <w:i/>
                <w:sz w:val="22"/>
                <w:szCs w:val="22"/>
              </w:rPr>
            </w:pPr>
            <m:oMathPara>
              <m:oMath>
                <m:r>
                  <w:rPr>
                    <w:rFonts w:ascii="Cambria Math" w:hAnsi="Cambria Math" w:hint="eastAsia"/>
                    <w:sz w:val="22"/>
                    <w:szCs w:val="22"/>
                  </w:rPr>
                  <m:t xml:space="preserve">3.93 </m:t>
                </m:r>
                <m:sSup>
                  <m:sSupPr>
                    <m:ctrlPr>
                      <w:rPr>
                        <w:rFonts w:ascii="Cambria Math" w:hAnsi="Cambria Math"/>
                        <w:i/>
                        <w:sz w:val="22"/>
                        <w:szCs w:val="22"/>
                      </w:rPr>
                    </m:ctrlPr>
                  </m:sSupPr>
                  <m:e>
                    <m:r>
                      <w:rPr>
                        <w:rFonts w:ascii="Cambria Math" w:hAnsi="Cambria Math" w:hint="eastAsia"/>
                        <w:sz w:val="22"/>
                        <w:szCs w:val="22"/>
                      </w:rPr>
                      <m:t xml:space="preserve">t </m:t>
                    </m:r>
                  </m:e>
                  <m:sup>
                    <m:r>
                      <w:rPr>
                        <w:rFonts w:ascii="Cambria Math" w:hAnsi="Cambria Math" w:hint="eastAsia"/>
                        <w:sz w:val="22"/>
                        <w:szCs w:val="22"/>
                        <w:vertAlign w:val="superscript"/>
                      </w:rPr>
                      <m:t>-</m:t>
                    </m:r>
                    <m:r>
                      <w:rPr>
                        <w:rFonts w:ascii="Cambria Math" w:hAnsi="Cambria Math" w:hint="eastAsia"/>
                        <w:sz w:val="22"/>
                        <w:szCs w:val="22"/>
                        <w:vertAlign w:val="superscript"/>
                      </w:rPr>
                      <m:t>0.905</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772" w:type="dxa"/>
            <w:vAlign w:val="center"/>
          </w:tcPr>
          <w:p w14:paraId="6D99BBB6" w14:textId="77777777" w:rsidR="00342321" w:rsidRPr="00BC31E0" w:rsidRDefault="00342321" w:rsidP="004736F2">
            <w:pPr>
              <w:snapToGrid w:val="0"/>
              <w:spacing w:line="300" w:lineRule="atLeast"/>
              <w:jc w:val="center"/>
              <w:rPr>
                <w:i/>
                <w:sz w:val="22"/>
                <w:szCs w:val="22"/>
              </w:rPr>
            </w:pPr>
            <m:oMathPara>
              <m:oMath>
                <m:r>
                  <w:rPr>
                    <w:rFonts w:ascii="Cambria Math" w:hAnsi="Cambria Math" w:hint="eastAsia"/>
                    <w:sz w:val="22"/>
                    <w:szCs w:val="22"/>
                  </w:rPr>
                  <m:t xml:space="preserve">3.56 </m:t>
                </m:r>
                <m:sSup>
                  <m:sSupPr>
                    <m:ctrlPr>
                      <w:rPr>
                        <w:rFonts w:ascii="Cambria Math" w:hAnsi="Cambria Math"/>
                        <w:i/>
                        <w:sz w:val="22"/>
                        <w:szCs w:val="22"/>
                      </w:rPr>
                    </m:ctrlPr>
                  </m:sSupPr>
                  <m:e>
                    <m:r>
                      <w:rPr>
                        <w:rFonts w:ascii="Cambria Math" w:hAnsi="Cambria Math" w:hint="eastAsia"/>
                        <w:sz w:val="22"/>
                        <w:szCs w:val="22"/>
                      </w:rPr>
                      <m:t xml:space="preserve">t </m:t>
                    </m:r>
                  </m:e>
                  <m:sup>
                    <m:r>
                      <w:rPr>
                        <w:rFonts w:ascii="Cambria Math" w:hAnsi="Cambria Math" w:hint="eastAsia"/>
                        <w:sz w:val="22"/>
                        <w:szCs w:val="22"/>
                        <w:vertAlign w:val="superscript"/>
                      </w:rPr>
                      <m:t>-</m:t>
                    </m:r>
                    <m:r>
                      <w:rPr>
                        <w:rFonts w:ascii="Cambria Math" w:hAnsi="Cambria Math" w:hint="eastAsia"/>
                        <w:sz w:val="22"/>
                        <w:szCs w:val="22"/>
                        <w:vertAlign w:val="superscript"/>
                      </w:rPr>
                      <m:t>0.975</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772" w:type="dxa"/>
            <w:vAlign w:val="center"/>
          </w:tcPr>
          <w:p w14:paraId="3DC332C6" w14:textId="77777777" w:rsidR="00342321" w:rsidRPr="00BC31E0" w:rsidRDefault="00342321" w:rsidP="004736F2">
            <w:pPr>
              <w:snapToGrid w:val="0"/>
              <w:spacing w:line="300" w:lineRule="atLeast"/>
              <w:jc w:val="center"/>
              <w:rPr>
                <w:i/>
                <w:sz w:val="22"/>
                <w:szCs w:val="22"/>
              </w:rPr>
            </w:pPr>
            <m:oMathPara>
              <m:oMath>
                <m:r>
                  <w:rPr>
                    <w:rFonts w:ascii="Cambria Math" w:hAnsi="Cambria Math" w:hint="eastAsia"/>
                    <w:sz w:val="22"/>
                    <w:szCs w:val="22"/>
                  </w:rPr>
                  <m:t xml:space="preserve">2.52 </m:t>
                </m:r>
                <m:sSup>
                  <m:sSupPr>
                    <m:ctrlPr>
                      <w:rPr>
                        <w:rFonts w:ascii="Cambria Math" w:hAnsi="Cambria Math"/>
                        <w:i/>
                        <w:sz w:val="22"/>
                        <w:szCs w:val="22"/>
                      </w:rPr>
                    </m:ctrlPr>
                  </m:sSupPr>
                  <m:e>
                    <m:r>
                      <w:rPr>
                        <w:rFonts w:ascii="Cambria Math" w:hAnsi="Cambria Math" w:hint="eastAsia"/>
                        <w:sz w:val="22"/>
                        <w:szCs w:val="22"/>
                      </w:rPr>
                      <m:t xml:space="preserve">t </m:t>
                    </m:r>
                  </m:e>
                  <m:sup>
                    <m:r>
                      <w:rPr>
                        <w:rFonts w:ascii="Cambria Math" w:hAnsi="Cambria Math" w:hint="eastAsia"/>
                        <w:sz w:val="22"/>
                        <w:szCs w:val="22"/>
                        <w:vertAlign w:val="superscript"/>
                      </w:rPr>
                      <m:t>-</m:t>
                    </m:r>
                    <m:r>
                      <w:rPr>
                        <w:rFonts w:ascii="Cambria Math" w:hAnsi="Cambria Math" w:hint="eastAsia"/>
                        <w:sz w:val="22"/>
                        <w:szCs w:val="22"/>
                        <w:vertAlign w:val="superscript"/>
                      </w:rPr>
                      <m:t>1.05</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772" w:type="dxa"/>
            <w:vAlign w:val="center"/>
          </w:tcPr>
          <w:p w14:paraId="047FA0F0" w14:textId="77777777" w:rsidR="00342321" w:rsidRPr="00BC31E0" w:rsidRDefault="00342321" w:rsidP="004736F2">
            <w:pPr>
              <w:snapToGrid w:val="0"/>
              <w:spacing w:line="300" w:lineRule="atLeast"/>
              <w:jc w:val="center"/>
              <w:rPr>
                <w:i/>
                <w:sz w:val="22"/>
                <w:szCs w:val="22"/>
              </w:rPr>
            </w:pPr>
            <m:oMathPara>
              <m:oMath>
                <m:r>
                  <w:rPr>
                    <w:rFonts w:ascii="Cambria Math" w:hAnsi="Cambria Math" w:hint="eastAsia"/>
                    <w:sz w:val="22"/>
                    <w:szCs w:val="22"/>
                  </w:rPr>
                  <m:t xml:space="preserve">1.35 </m:t>
                </m:r>
                <m:sSup>
                  <m:sSupPr>
                    <m:ctrlPr>
                      <w:rPr>
                        <w:rFonts w:ascii="Cambria Math" w:hAnsi="Cambria Math"/>
                        <w:i/>
                        <w:sz w:val="22"/>
                        <w:szCs w:val="22"/>
                      </w:rPr>
                    </m:ctrlPr>
                  </m:sSupPr>
                  <m:e>
                    <m:r>
                      <w:rPr>
                        <w:rFonts w:ascii="Cambria Math" w:hAnsi="Cambria Math" w:hint="eastAsia"/>
                        <w:sz w:val="22"/>
                        <w:szCs w:val="22"/>
                      </w:rPr>
                      <m:t xml:space="preserve">t </m:t>
                    </m:r>
                  </m:e>
                  <m:sup>
                    <m:r>
                      <w:rPr>
                        <w:rFonts w:ascii="Cambria Math" w:hAnsi="Cambria Math" w:hint="eastAsia"/>
                        <w:sz w:val="22"/>
                        <w:szCs w:val="22"/>
                        <w:vertAlign w:val="superscript"/>
                      </w:rPr>
                      <m:t>-</m:t>
                    </m:r>
                    <m:r>
                      <w:rPr>
                        <w:rFonts w:ascii="Cambria Math" w:hAnsi="Cambria Math" w:hint="eastAsia"/>
                        <w:sz w:val="22"/>
                        <w:szCs w:val="22"/>
                        <w:vertAlign w:val="superscript"/>
                      </w:rPr>
                      <m:t>1.10</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r>
      <w:tr w:rsidR="00342321" w:rsidRPr="00BC31E0" w14:paraId="0107A4CC" w14:textId="77777777" w:rsidTr="004736F2">
        <w:trPr>
          <w:jc w:val="center"/>
        </w:trPr>
        <w:tc>
          <w:tcPr>
            <w:tcW w:w="992" w:type="dxa"/>
            <w:vAlign w:val="center"/>
          </w:tcPr>
          <w:p w14:paraId="555F1933"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0.1</w:t>
            </w:r>
          </w:p>
        </w:tc>
        <w:tc>
          <w:tcPr>
            <w:tcW w:w="1772" w:type="dxa"/>
            <w:vAlign w:val="center"/>
          </w:tcPr>
          <w:p w14:paraId="3C568A4D" w14:textId="77777777" w:rsidR="00342321" w:rsidRPr="00BC31E0" w:rsidRDefault="00342321" w:rsidP="004736F2">
            <w:pPr>
              <w:snapToGrid w:val="0"/>
              <w:spacing w:line="300" w:lineRule="atLeast"/>
              <w:jc w:val="center"/>
              <w:rPr>
                <w:i/>
                <w:sz w:val="22"/>
                <w:szCs w:val="22"/>
              </w:rPr>
            </w:pPr>
            <m:oMathPara>
              <m:oMath>
                <m:r>
                  <w:rPr>
                    <w:rFonts w:ascii="Cambria Math" w:hAnsi="Cambria Math" w:hint="eastAsia"/>
                    <w:sz w:val="22"/>
                    <w:szCs w:val="22"/>
                  </w:rPr>
                  <m:t xml:space="preserve">4.12 </m:t>
                </m:r>
                <m:sSup>
                  <m:sSupPr>
                    <m:ctrlPr>
                      <w:rPr>
                        <w:rFonts w:ascii="Cambria Math" w:hAnsi="Cambria Math"/>
                        <w:i/>
                        <w:sz w:val="22"/>
                        <w:szCs w:val="22"/>
                      </w:rPr>
                    </m:ctrlPr>
                  </m:sSupPr>
                  <m:e>
                    <m:r>
                      <w:rPr>
                        <w:rFonts w:ascii="Cambria Math" w:hAnsi="Cambria Math" w:hint="eastAsia"/>
                        <w:sz w:val="22"/>
                        <w:szCs w:val="22"/>
                      </w:rPr>
                      <m:t xml:space="preserve">t </m:t>
                    </m:r>
                  </m:e>
                  <m:sup>
                    <m:r>
                      <w:rPr>
                        <w:rFonts w:ascii="Cambria Math" w:hAnsi="Cambria Math" w:hint="eastAsia"/>
                        <w:sz w:val="22"/>
                        <w:szCs w:val="22"/>
                        <w:vertAlign w:val="superscript"/>
                      </w:rPr>
                      <m:t>-</m:t>
                    </m:r>
                    <m:r>
                      <w:rPr>
                        <w:rFonts w:ascii="Cambria Math" w:hAnsi="Cambria Math" w:hint="eastAsia"/>
                        <w:sz w:val="22"/>
                        <w:szCs w:val="22"/>
                        <w:vertAlign w:val="superscript"/>
                      </w:rPr>
                      <m:t>0.890</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772" w:type="dxa"/>
            <w:vAlign w:val="center"/>
          </w:tcPr>
          <w:p w14:paraId="5F047E78" w14:textId="77777777" w:rsidR="00342321" w:rsidRPr="00BC31E0" w:rsidRDefault="00342321" w:rsidP="004736F2">
            <w:pPr>
              <w:snapToGrid w:val="0"/>
              <w:spacing w:line="300" w:lineRule="atLeast"/>
              <w:jc w:val="center"/>
              <w:rPr>
                <w:i/>
                <w:sz w:val="22"/>
                <w:szCs w:val="22"/>
              </w:rPr>
            </w:pPr>
            <m:oMathPara>
              <m:oMath>
                <m:r>
                  <w:rPr>
                    <w:rFonts w:ascii="Cambria Math" w:hAnsi="Cambria Math" w:hint="eastAsia"/>
                    <w:sz w:val="22"/>
                    <w:szCs w:val="22"/>
                  </w:rPr>
                  <m:t xml:space="preserve">3.81 </m:t>
                </m:r>
                <m:sSup>
                  <m:sSupPr>
                    <m:ctrlPr>
                      <w:rPr>
                        <w:rFonts w:ascii="Cambria Math" w:hAnsi="Cambria Math"/>
                        <w:i/>
                        <w:sz w:val="22"/>
                        <w:szCs w:val="22"/>
                      </w:rPr>
                    </m:ctrlPr>
                  </m:sSupPr>
                  <m:e>
                    <m:r>
                      <w:rPr>
                        <w:rFonts w:ascii="Cambria Math" w:hAnsi="Cambria Math" w:hint="eastAsia"/>
                        <w:sz w:val="22"/>
                        <w:szCs w:val="22"/>
                      </w:rPr>
                      <m:t xml:space="preserve">t </m:t>
                    </m:r>
                  </m:e>
                  <m:sup>
                    <m:r>
                      <w:rPr>
                        <w:rFonts w:ascii="Cambria Math" w:hAnsi="Cambria Math" w:hint="eastAsia"/>
                        <w:sz w:val="22"/>
                        <w:szCs w:val="22"/>
                        <w:vertAlign w:val="superscript"/>
                      </w:rPr>
                      <m:t>-</m:t>
                    </m:r>
                    <m:r>
                      <w:rPr>
                        <w:rFonts w:ascii="Cambria Math" w:hAnsi="Cambria Math" w:hint="eastAsia"/>
                        <w:sz w:val="22"/>
                        <w:szCs w:val="22"/>
                        <w:vertAlign w:val="superscript"/>
                      </w:rPr>
                      <m:t>0.960</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772" w:type="dxa"/>
            <w:vAlign w:val="center"/>
          </w:tcPr>
          <w:p w14:paraId="4A749AE8" w14:textId="77777777" w:rsidR="00342321" w:rsidRPr="00BC31E0" w:rsidRDefault="00342321" w:rsidP="004736F2">
            <w:pPr>
              <w:snapToGrid w:val="0"/>
              <w:spacing w:line="300" w:lineRule="atLeast"/>
              <w:jc w:val="center"/>
              <w:rPr>
                <w:i/>
                <w:sz w:val="22"/>
                <w:szCs w:val="22"/>
              </w:rPr>
            </w:pPr>
            <m:oMathPara>
              <m:oMath>
                <m:r>
                  <w:rPr>
                    <w:rFonts w:ascii="Cambria Math" w:hAnsi="Cambria Math" w:hint="eastAsia"/>
                    <w:sz w:val="22"/>
                    <w:szCs w:val="22"/>
                  </w:rPr>
                  <m:t xml:space="preserve">2.90 </m:t>
                </m:r>
                <m:sSup>
                  <m:sSupPr>
                    <m:ctrlPr>
                      <w:rPr>
                        <w:rFonts w:ascii="Cambria Math" w:hAnsi="Cambria Math"/>
                        <w:i/>
                        <w:sz w:val="22"/>
                        <w:szCs w:val="22"/>
                      </w:rPr>
                    </m:ctrlPr>
                  </m:sSupPr>
                  <m:e>
                    <m:r>
                      <w:rPr>
                        <w:rFonts w:ascii="Cambria Math" w:hAnsi="Cambria Math" w:hint="eastAsia"/>
                        <w:sz w:val="22"/>
                        <w:szCs w:val="22"/>
                      </w:rPr>
                      <m:t xml:space="preserve">t </m:t>
                    </m:r>
                  </m:e>
                  <m:sup>
                    <m:r>
                      <w:rPr>
                        <w:rFonts w:ascii="Cambria Math" w:hAnsi="Cambria Math" w:hint="eastAsia"/>
                        <w:sz w:val="22"/>
                        <w:szCs w:val="22"/>
                        <w:vertAlign w:val="superscript"/>
                      </w:rPr>
                      <m:t>-</m:t>
                    </m:r>
                    <m:r>
                      <w:rPr>
                        <w:rFonts w:ascii="Cambria Math" w:hAnsi="Cambria Math" w:hint="eastAsia"/>
                        <w:sz w:val="22"/>
                        <w:szCs w:val="22"/>
                        <w:vertAlign w:val="superscript"/>
                      </w:rPr>
                      <m:t>1.04</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772" w:type="dxa"/>
            <w:vAlign w:val="center"/>
          </w:tcPr>
          <w:p w14:paraId="7667A3E6" w14:textId="77777777" w:rsidR="00342321" w:rsidRPr="00BC31E0" w:rsidRDefault="00342321" w:rsidP="004736F2">
            <w:pPr>
              <w:snapToGrid w:val="0"/>
              <w:spacing w:line="300" w:lineRule="atLeast"/>
              <w:jc w:val="center"/>
              <w:rPr>
                <w:i/>
                <w:sz w:val="22"/>
                <w:szCs w:val="22"/>
              </w:rPr>
            </w:pPr>
            <m:oMathPara>
              <m:oMath>
                <m:r>
                  <w:rPr>
                    <w:rFonts w:ascii="Cambria Math" w:hAnsi="Cambria Math" w:hint="eastAsia"/>
                    <w:sz w:val="22"/>
                    <w:szCs w:val="22"/>
                  </w:rPr>
                  <m:t>1.79</m:t>
                </m:r>
                <m:sSup>
                  <m:sSupPr>
                    <m:ctrlPr>
                      <w:rPr>
                        <w:rFonts w:ascii="Cambria Math" w:hAnsi="Cambria Math"/>
                        <w:i/>
                        <w:sz w:val="22"/>
                        <w:szCs w:val="22"/>
                      </w:rPr>
                    </m:ctrlPr>
                  </m:sSupPr>
                  <m:e>
                    <m:r>
                      <w:rPr>
                        <w:rFonts w:ascii="Cambria Math" w:hAnsi="Cambria Math" w:hint="eastAsia"/>
                        <w:sz w:val="22"/>
                        <w:szCs w:val="22"/>
                      </w:rPr>
                      <m:t xml:space="preserve"> t </m:t>
                    </m:r>
                  </m:e>
                  <m:sup>
                    <m:r>
                      <w:rPr>
                        <w:rFonts w:ascii="Cambria Math" w:hAnsi="Cambria Math"/>
                        <w:sz w:val="22"/>
                        <w:szCs w:val="22"/>
                        <w:vertAlign w:val="superscript"/>
                      </w:rPr>
                      <m:t>-</m:t>
                    </m:r>
                    <m:r>
                      <w:rPr>
                        <w:rFonts w:ascii="Cambria Math" w:hAnsi="Cambria Math" w:hint="eastAsia"/>
                        <w:sz w:val="22"/>
                        <w:szCs w:val="22"/>
                        <w:vertAlign w:val="superscript"/>
                      </w:rPr>
                      <m:t>1.09</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r>
      <w:tr w:rsidR="00342321" w:rsidRPr="00BC31E0" w14:paraId="3FA18196" w14:textId="77777777" w:rsidTr="004736F2">
        <w:trPr>
          <w:jc w:val="center"/>
        </w:trPr>
        <w:tc>
          <w:tcPr>
            <w:tcW w:w="992" w:type="dxa"/>
            <w:vAlign w:val="center"/>
          </w:tcPr>
          <w:p w14:paraId="1D49CB80"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0.2</w:t>
            </w:r>
          </w:p>
        </w:tc>
        <w:tc>
          <w:tcPr>
            <w:tcW w:w="1772" w:type="dxa"/>
            <w:vAlign w:val="center"/>
          </w:tcPr>
          <w:p w14:paraId="3310B97B" w14:textId="77777777" w:rsidR="00342321" w:rsidRPr="00BC31E0" w:rsidRDefault="00342321" w:rsidP="004736F2">
            <w:pPr>
              <w:snapToGrid w:val="0"/>
              <w:spacing w:line="300" w:lineRule="atLeast"/>
              <w:jc w:val="center"/>
              <w:rPr>
                <w:i/>
                <w:sz w:val="22"/>
                <w:szCs w:val="22"/>
              </w:rPr>
            </w:pPr>
            <m:oMathPara>
              <m:oMath>
                <m:r>
                  <w:rPr>
                    <w:rFonts w:ascii="Cambria Math" w:hAnsi="Cambria Math" w:hint="eastAsia"/>
                    <w:sz w:val="22"/>
                    <w:szCs w:val="22"/>
                  </w:rPr>
                  <m:t xml:space="preserve">6.52 </m:t>
                </m:r>
                <m:sSup>
                  <m:sSupPr>
                    <m:ctrlPr>
                      <w:rPr>
                        <w:rFonts w:ascii="Cambria Math" w:hAnsi="Cambria Math"/>
                        <w:i/>
                        <w:sz w:val="22"/>
                        <w:szCs w:val="22"/>
                      </w:rPr>
                    </m:ctrlPr>
                  </m:sSupPr>
                  <m:e>
                    <m:r>
                      <w:rPr>
                        <w:rFonts w:ascii="Cambria Math" w:hAnsi="Cambria Math" w:hint="eastAsia"/>
                        <w:sz w:val="22"/>
                        <w:szCs w:val="22"/>
                      </w:rPr>
                      <m:t xml:space="preserve">t </m:t>
                    </m:r>
                  </m:e>
                  <m:sup>
                    <m:r>
                      <w:rPr>
                        <w:rFonts w:ascii="Cambria Math" w:hAnsi="Cambria Math" w:hint="eastAsia"/>
                        <w:sz w:val="22"/>
                        <w:szCs w:val="22"/>
                        <w:vertAlign w:val="superscript"/>
                      </w:rPr>
                      <m:t>-</m:t>
                    </m:r>
                    <m:r>
                      <w:rPr>
                        <w:rFonts w:ascii="Cambria Math" w:hAnsi="Cambria Math" w:hint="eastAsia"/>
                        <w:sz w:val="22"/>
                        <w:szCs w:val="22"/>
                        <w:vertAlign w:val="superscript"/>
                      </w:rPr>
                      <m:t>0.926</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772" w:type="dxa"/>
            <w:vAlign w:val="center"/>
          </w:tcPr>
          <w:p w14:paraId="23A869B5" w14:textId="77777777" w:rsidR="00342321" w:rsidRPr="00BC31E0" w:rsidRDefault="00342321" w:rsidP="004736F2">
            <w:pPr>
              <w:snapToGrid w:val="0"/>
              <w:spacing w:line="300" w:lineRule="atLeast"/>
              <w:jc w:val="center"/>
              <w:rPr>
                <w:i/>
                <w:sz w:val="22"/>
                <w:szCs w:val="22"/>
              </w:rPr>
            </w:pPr>
            <m:oMathPara>
              <m:oMath>
                <m:r>
                  <w:rPr>
                    <w:rFonts w:ascii="Cambria Math" w:hAnsi="Cambria Math" w:hint="eastAsia"/>
                    <w:sz w:val="22"/>
                    <w:szCs w:val="22"/>
                  </w:rPr>
                  <m:t xml:space="preserve">6.06 </m:t>
                </m:r>
                <m:sSup>
                  <m:sSupPr>
                    <m:ctrlPr>
                      <w:rPr>
                        <w:rFonts w:ascii="Cambria Math" w:hAnsi="Cambria Math"/>
                        <w:i/>
                        <w:sz w:val="22"/>
                        <w:szCs w:val="22"/>
                      </w:rPr>
                    </m:ctrlPr>
                  </m:sSupPr>
                  <m:e>
                    <m:r>
                      <w:rPr>
                        <w:rFonts w:ascii="Cambria Math" w:hAnsi="Cambria Math" w:hint="eastAsia"/>
                        <w:sz w:val="22"/>
                        <w:szCs w:val="22"/>
                      </w:rPr>
                      <m:t xml:space="preserve">t </m:t>
                    </m:r>
                  </m:e>
                  <m:sup>
                    <m:r>
                      <w:rPr>
                        <w:rFonts w:ascii="Cambria Math" w:hAnsi="Cambria Math" w:hint="eastAsia"/>
                        <w:sz w:val="22"/>
                        <w:szCs w:val="22"/>
                        <w:vertAlign w:val="superscript"/>
                      </w:rPr>
                      <m:t>-</m:t>
                    </m:r>
                    <m:r>
                      <w:rPr>
                        <w:rFonts w:ascii="Cambria Math" w:hAnsi="Cambria Math" w:hint="eastAsia"/>
                        <w:sz w:val="22"/>
                        <w:szCs w:val="22"/>
                        <w:vertAlign w:val="superscript"/>
                      </w:rPr>
                      <m:t>0.991</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772" w:type="dxa"/>
            <w:vAlign w:val="center"/>
          </w:tcPr>
          <w:p w14:paraId="0EEC0190" w14:textId="77777777" w:rsidR="00342321" w:rsidRPr="00BC31E0" w:rsidRDefault="00342321" w:rsidP="004736F2">
            <w:pPr>
              <w:snapToGrid w:val="0"/>
              <w:spacing w:line="300" w:lineRule="atLeast"/>
              <w:jc w:val="center"/>
              <w:rPr>
                <w:i/>
                <w:sz w:val="22"/>
                <w:szCs w:val="22"/>
              </w:rPr>
            </w:pPr>
            <m:oMathPara>
              <m:oMath>
                <m:r>
                  <w:rPr>
                    <w:rFonts w:ascii="Cambria Math" w:hAnsi="Cambria Math" w:hint="eastAsia"/>
                    <w:sz w:val="22"/>
                    <w:szCs w:val="22"/>
                  </w:rPr>
                  <m:t xml:space="preserve">4.72 </m:t>
                </m:r>
                <m:sSup>
                  <m:sSupPr>
                    <m:ctrlPr>
                      <w:rPr>
                        <w:rFonts w:ascii="Cambria Math" w:hAnsi="Cambria Math"/>
                        <w:i/>
                        <w:sz w:val="22"/>
                        <w:szCs w:val="22"/>
                      </w:rPr>
                    </m:ctrlPr>
                  </m:sSupPr>
                  <m:e>
                    <m:r>
                      <w:rPr>
                        <w:rFonts w:ascii="Cambria Math" w:hAnsi="Cambria Math" w:hint="eastAsia"/>
                        <w:sz w:val="22"/>
                        <w:szCs w:val="22"/>
                      </w:rPr>
                      <m:t xml:space="preserve">t </m:t>
                    </m:r>
                  </m:e>
                  <m:sup>
                    <m:r>
                      <w:rPr>
                        <w:rFonts w:ascii="Cambria Math" w:hAnsi="Cambria Math" w:hint="eastAsia"/>
                        <w:sz w:val="22"/>
                        <w:szCs w:val="22"/>
                        <w:vertAlign w:val="superscript"/>
                      </w:rPr>
                      <m:t>-</m:t>
                    </m:r>
                    <m:r>
                      <w:rPr>
                        <w:rFonts w:ascii="Cambria Math" w:hAnsi="Cambria Math" w:hint="eastAsia"/>
                        <w:sz w:val="22"/>
                        <w:szCs w:val="22"/>
                        <w:vertAlign w:val="superscript"/>
                      </w:rPr>
                      <m:t>1.06</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772" w:type="dxa"/>
            <w:vAlign w:val="center"/>
          </w:tcPr>
          <w:p w14:paraId="0F04A102" w14:textId="77777777" w:rsidR="00342321" w:rsidRPr="00BC31E0" w:rsidRDefault="00342321" w:rsidP="004736F2">
            <w:pPr>
              <w:snapToGrid w:val="0"/>
              <w:spacing w:line="300" w:lineRule="atLeast"/>
              <w:jc w:val="center"/>
              <w:rPr>
                <w:i/>
                <w:sz w:val="22"/>
                <w:szCs w:val="22"/>
              </w:rPr>
            </w:pPr>
            <m:oMathPara>
              <m:oMath>
                <m:r>
                  <w:rPr>
                    <w:rFonts w:ascii="Cambria Math" w:hAnsi="Cambria Math" w:hint="eastAsia"/>
                    <w:sz w:val="22"/>
                    <w:szCs w:val="22"/>
                  </w:rPr>
                  <m:t xml:space="preserve">3.30 </m:t>
                </m:r>
                <m:sSup>
                  <m:sSupPr>
                    <m:ctrlPr>
                      <w:rPr>
                        <w:rFonts w:ascii="Cambria Math" w:hAnsi="Cambria Math"/>
                        <w:i/>
                        <w:sz w:val="22"/>
                        <w:szCs w:val="22"/>
                      </w:rPr>
                    </m:ctrlPr>
                  </m:sSupPr>
                  <m:e>
                    <m:r>
                      <w:rPr>
                        <w:rFonts w:ascii="Cambria Math" w:hAnsi="Cambria Math" w:hint="eastAsia"/>
                        <w:sz w:val="22"/>
                        <w:szCs w:val="22"/>
                      </w:rPr>
                      <m:t xml:space="preserve">t </m:t>
                    </m:r>
                  </m:e>
                  <m:sup>
                    <m:r>
                      <w:rPr>
                        <w:rFonts w:ascii="Cambria Math" w:hAnsi="Cambria Math" w:hint="eastAsia"/>
                        <w:sz w:val="22"/>
                        <w:szCs w:val="22"/>
                        <w:vertAlign w:val="superscript"/>
                      </w:rPr>
                      <m:t>-</m:t>
                    </m:r>
                    <m:r>
                      <w:rPr>
                        <w:rFonts w:ascii="Cambria Math" w:hAnsi="Cambria Math" w:hint="eastAsia"/>
                        <w:sz w:val="22"/>
                        <w:szCs w:val="22"/>
                        <w:vertAlign w:val="superscript"/>
                      </w:rPr>
                      <m:t>1.11</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r>
      <w:tr w:rsidR="00342321" w:rsidRPr="00BC31E0" w14:paraId="37E4D70B" w14:textId="77777777" w:rsidTr="004736F2">
        <w:trPr>
          <w:jc w:val="center"/>
        </w:trPr>
        <w:tc>
          <w:tcPr>
            <w:tcW w:w="992" w:type="dxa"/>
            <w:vAlign w:val="center"/>
          </w:tcPr>
          <w:p w14:paraId="31F52E00"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0.3</w:t>
            </w:r>
          </w:p>
        </w:tc>
        <w:tc>
          <w:tcPr>
            <w:tcW w:w="1772" w:type="dxa"/>
            <w:vAlign w:val="center"/>
          </w:tcPr>
          <w:p w14:paraId="25F27158" w14:textId="77777777" w:rsidR="00342321" w:rsidRPr="00BC31E0" w:rsidRDefault="00342321" w:rsidP="004736F2">
            <w:pPr>
              <w:snapToGrid w:val="0"/>
              <w:spacing w:line="300" w:lineRule="atLeast"/>
              <w:jc w:val="center"/>
              <w:rPr>
                <w:i/>
                <w:sz w:val="22"/>
                <w:szCs w:val="22"/>
              </w:rPr>
            </w:pPr>
            <m:oMathPara>
              <m:oMath>
                <m:r>
                  <w:rPr>
                    <w:rFonts w:ascii="Cambria Math" w:hAnsi="Cambria Math" w:hint="eastAsia"/>
                    <w:sz w:val="22"/>
                    <w:szCs w:val="22"/>
                  </w:rPr>
                  <m:t xml:space="preserve">8.97 </m:t>
                </m:r>
                <m:sSup>
                  <m:sSupPr>
                    <m:ctrlPr>
                      <w:rPr>
                        <w:rFonts w:ascii="Cambria Math" w:hAnsi="Cambria Math"/>
                        <w:i/>
                        <w:sz w:val="22"/>
                        <w:szCs w:val="22"/>
                      </w:rPr>
                    </m:ctrlPr>
                  </m:sSupPr>
                  <m:e>
                    <m:r>
                      <w:rPr>
                        <w:rFonts w:ascii="Cambria Math" w:hAnsi="Cambria Math" w:hint="eastAsia"/>
                        <w:sz w:val="22"/>
                        <w:szCs w:val="22"/>
                      </w:rPr>
                      <m:t xml:space="preserve">t </m:t>
                    </m:r>
                  </m:e>
                  <m:sup>
                    <m:r>
                      <w:rPr>
                        <w:rFonts w:ascii="Cambria Math" w:hAnsi="Cambria Math" w:hint="eastAsia"/>
                        <w:sz w:val="22"/>
                        <w:szCs w:val="22"/>
                        <w:vertAlign w:val="superscript"/>
                      </w:rPr>
                      <m:t>-</m:t>
                    </m:r>
                    <m:r>
                      <w:rPr>
                        <w:rFonts w:ascii="Cambria Math" w:hAnsi="Cambria Math" w:hint="eastAsia"/>
                        <w:sz w:val="22"/>
                        <w:szCs w:val="22"/>
                        <w:vertAlign w:val="superscript"/>
                      </w:rPr>
                      <m:t>0.933</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772" w:type="dxa"/>
            <w:vAlign w:val="center"/>
          </w:tcPr>
          <w:p w14:paraId="60F31169" w14:textId="77777777" w:rsidR="00342321" w:rsidRPr="00BC31E0" w:rsidRDefault="00342321" w:rsidP="004736F2">
            <w:pPr>
              <w:snapToGrid w:val="0"/>
              <w:spacing w:line="300" w:lineRule="atLeast"/>
              <w:jc w:val="center"/>
              <w:rPr>
                <w:i/>
                <w:sz w:val="22"/>
                <w:szCs w:val="22"/>
              </w:rPr>
            </w:pPr>
            <m:oMathPara>
              <m:oMath>
                <m:r>
                  <w:rPr>
                    <w:rFonts w:ascii="Cambria Math" w:hAnsi="Cambria Math" w:hint="eastAsia"/>
                    <w:sz w:val="22"/>
                    <w:szCs w:val="22"/>
                  </w:rPr>
                  <m:t xml:space="preserve">8.90 </m:t>
                </m:r>
                <m:sSup>
                  <m:sSupPr>
                    <m:ctrlPr>
                      <w:rPr>
                        <w:rFonts w:ascii="Cambria Math" w:hAnsi="Cambria Math"/>
                        <w:i/>
                        <w:sz w:val="22"/>
                        <w:szCs w:val="22"/>
                      </w:rPr>
                    </m:ctrlPr>
                  </m:sSupPr>
                  <m:e>
                    <m:r>
                      <w:rPr>
                        <w:rFonts w:ascii="Cambria Math" w:hAnsi="Cambria Math" w:hint="eastAsia"/>
                        <w:sz w:val="22"/>
                        <w:szCs w:val="22"/>
                      </w:rPr>
                      <m:t xml:space="preserve">t </m:t>
                    </m:r>
                  </m:e>
                  <m:sup>
                    <m:r>
                      <w:rPr>
                        <w:rFonts w:ascii="Cambria Math" w:hAnsi="Cambria Math" w:hint="eastAsia"/>
                        <w:sz w:val="22"/>
                        <w:szCs w:val="22"/>
                        <w:vertAlign w:val="superscript"/>
                      </w:rPr>
                      <m:t>-</m:t>
                    </m:r>
                    <m:r>
                      <w:rPr>
                        <w:rFonts w:ascii="Cambria Math" w:hAnsi="Cambria Math" w:hint="eastAsia"/>
                        <w:sz w:val="22"/>
                        <w:szCs w:val="22"/>
                        <w:vertAlign w:val="superscript"/>
                      </w:rPr>
                      <m:t>1.00</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772" w:type="dxa"/>
            <w:vAlign w:val="center"/>
          </w:tcPr>
          <w:p w14:paraId="67EFDE2E" w14:textId="77777777" w:rsidR="00342321" w:rsidRPr="00BC31E0" w:rsidRDefault="00342321" w:rsidP="004736F2">
            <w:pPr>
              <w:snapToGrid w:val="0"/>
              <w:spacing w:line="300" w:lineRule="atLeast"/>
              <w:jc w:val="center"/>
              <w:rPr>
                <w:i/>
                <w:sz w:val="22"/>
                <w:szCs w:val="22"/>
              </w:rPr>
            </w:pPr>
            <m:oMathPara>
              <m:oMath>
                <m:r>
                  <w:rPr>
                    <w:rFonts w:ascii="Cambria Math" w:hAnsi="Cambria Math" w:hint="eastAsia"/>
                    <w:sz w:val="22"/>
                    <w:szCs w:val="22"/>
                  </w:rPr>
                  <m:t xml:space="preserve">7.60 </m:t>
                </m:r>
                <m:sSup>
                  <m:sSupPr>
                    <m:ctrlPr>
                      <w:rPr>
                        <w:rFonts w:ascii="Cambria Math" w:hAnsi="Cambria Math"/>
                        <w:i/>
                        <w:sz w:val="22"/>
                        <w:szCs w:val="22"/>
                      </w:rPr>
                    </m:ctrlPr>
                  </m:sSupPr>
                  <m:e>
                    <m:r>
                      <w:rPr>
                        <w:rFonts w:ascii="Cambria Math" w:hAnsi="Cambria Math" w:hint="eastAsia"/>
                        <w:sz w:val="22"/>
                        <w:szCs w:val="22"/>
                      </w:rPr>
                      <m:t xml:space="preserve">t </m:t>
                    </m:r>
                  </m:e>
                  <m:sup>
                    <m:r>
                      <w:rPr>
                        <w:rFonts w:ascii="Cambria Math" w:hAnsi="Cambria Math" w:hint="eastAsia"/>
                        <w:sz w:val="22"/>
                        <w:szCs w:val="22"/>
                        <w:vertAlign w:val="superscript"/>
                      </w:rPr>
                      <m:t>-</m:t>
                    </m:r>
                    <m:r>
                      <w:rPr>
                        <w:rFonts w:ascii="Cambria Math" w:hAnsi="Cambria Math" w:hint="eastAsia"/>
                        <w:sz w:val="22"/>
                        <w:szCs w:val="22"/>
                        <w:vertAlign w:val="superscript"/>
                      </w:rPr>
                      <m:t>1.09</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772" w:type="dxa"/>
            <w:vAlign w:val="center"/>
          </w:tcPr>
          <w:p w14:paraId="782B8045" w14:textId="77777777" w:rsidR="00342321" w:rsidRPr="00BC31E0" w:rsidRDefault="00342321" w:rsidP="004736F2">
            <w:pPr>
              <w:snapToGrid w:val="0"/>
              <w:spacing w:line="300" w:lineRule="atLeast"/>
              <w:jc w:val="center"/>
              <w:rPr>
                <w:i/>
                <w:sz w:val="22"/>
                <w:szCs w:val="22"/>
              </w:rPr>
            </w:pPr>
            <m:oMathPara>
              <m:oMath>
                <m:r>
                  <w:rPr>
                    <w:rFonts w:ascii="Cambria Math" w:hAnsi="Cambria Math" w:hint="eastAsia"/>
                    <w:sz w:val="22"/>
                    <w:szCs w:val="22"/>
                  </w:rPr>
                  <m:t xml:space="preserve">5.99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hint="eastAsia"/>
                        <w:sz w:val="22"/>
                        <w:szCs w:val="22"/>
                        <w:vertAlign w:val="superscript"/>
                      </w:rPr>
                      <m:t>-</m:t>
                    </m:r>
                    <m:r>
                      <w:rPr>
                        <w:rFonts w:ascii="Cambria Math" w:hAnsi="Cambria Math" w:hint="eastAsia"/>
                        <w:sz w:val="22"/>
                        <w:szCs w:val="22"/>
                        <w:vertAlign w:val="superscript"/>
                      </w:rPr>
                      <m:t>1.14</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r>
      <w:tr w:rsidR="00342321" w:rsidRPr="00BC31E0" w14:paraId="71AEDD85" w14:textId="77777777" w:rsidTr="004736F2">
        <w:trPr>
          <w:jc w:val="center"/>
        </w:trPr>
        <w:tc>
          <w:tcPr>
            <w:tcW w:w="992" w:type="dxa"/>
            <w:vAlign w:val="center"/>
          </w:tcPr>
          <w:p w14:paraId="611AA420"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0.4</w:t>
            </w:r>
          </w:p>
        </w:tc>
        <w:tc>
          <w:tcPr>
            <w:tcW w:w="1772" w:type="dxa"/>
            <w:vAlign w:val="center"/>
          </w:tcPr>
          <w:p w14:paraId="56174560" w14:textId="77777777" w:rsidR="00342321" w:rsidRPr="00BC31E0" w:rsidRDefault="00342321" w:rsidP="004736F2">
            <w:pPr>
              <w:snapToGrid w:val="0"/>
              <w:spacing w:line="300" w:lineRule="atLeast"/>
              <w:jc w:val="center"/>
              <w:rPr>
                <w:i/>
                <w:sz w:val="22"/>
                <w:szCs w:val="22"/>
              </w:rPr>
            </w:pPr>
            <m:oMathPara>
              <m:oMath>
                <m:r>
                  <w:rPr>
                    <w:rFonts w:ascii="Cambria Math" w:hAnsi="Cambria Math" w:hint="eastAsia"/>
                    <w:sz w:val="22"/>
                    <w:szCs w:val="22"/>
                  </w:rPr>
                  <m:t xml:space="preserve">7.84 </m:t>
                </m:r>
                <m:sSup>
                  <m:sSupPr>
                    <m:ctrlPr>
                      <w:rPr>
                        <w:rFonts w:ascii="Cambria Math" w:hAnsi="Cambria Math"/>
                        <w:i/>
                        <w:sz w:val="22"/>
                        <w:szCs w:val="22"/>
                      </w:rPr>
                    </m:ctrlPr>
                  </m:sSupPr>
                  <m:e>
                    <m:r>
                      <w:rPr>
                        <w:rFonts w:ascii="Cambria Math" w:hAnsi="Cambria Math" w:hint="eastAsia"/>
                        <w:sz w:val="22"/>
                        <w:szCs w:val="22"/>
                      </w:rPr>
                      <m:t xml:space="preserve">t </m:t>
                    </m:r>
                  </m:e>
                  <m:sup>
                    <m:r>
                      <w:rPr>
                        <w:rFonts w:ascii="Cambria Math" w:hAnsi="Cambria Math" w:hint="eastAsia"/>
                        <w:sz w:val="22"/>
                        <w:szCs w:val="22"/>
                        <w:vertAlign w:val="superscript"/>
                      </w:rPr>
                      <m:t>-</m:t>
                    </m:r>
                    <m:r>
                      <w:rPr>
                        <w:rFonts w:ascii="Cambria Math" w:hAnsi="Cambria Math" w:hint="eastAsia"/>
                        <w:sz w:val="22"/>
                        <w:szCs w:val="22"/>
                        <w:vertAlign w:val="superscript"/>
                      </w:rPr>
                      <m:t>0.861</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772" w:type="dxa"/>
            <w:vAlign w:val="center"/>
          </w:tcPr>
          <w:p w14:paraId="55CD6757" w14:textId="77777777" w:rsidR="00342321" w:rsidRPr="00BC31E0" w:rsidRDefault="00342321" w:rsidP="004736F2">
            <w:pPr>
              <w:snapToGrid w:val="0"/>
              <w:spacing w:line="300" w:lineRule="atLeast"/>
              <w:jc w:val="center"/>
              <w:rPr>
                <w:i/>
                <w:sz w:val="22"/>
                <w:szCs w:val="22"/>
              </w:rPr>
            </w:pPr>
            <m:oMathPara>
              <m:oMath>
                <m:r>
                  <w:rPr>
                    <w:rFonts w:ascii="Cambria Math" w:hAnsi="Cambria Math" w:hint="eastAsia"/>
                    <w:sz w:val="22"/>
                    <w:szCs w:val="22"/>
                  </w:rPr>
                  <m:t xml:space="preserve">7.45 </m:t>
                </m:r>
                <m:sSup>
                  <m:sSupPr>
                    <m:ctrlPr>
                      <w:rPr>
                        <w:rFonts w:ascii="Cambria Math" w:hAnsi="Cambria Math"/>
                        <w:i/>
                        <w:sz w:val="22"/>
                        <w:szCs w:val="22"/>
                      </w:rPr>
                    </m:ctrlPr>
                  </m:sSupPr>
                  <m:e>
                    <m:r>
                      <w:rPr>
                        <w:rFonts w:ascii="Cambria Math" w:hAnsi="Cambria Math" w:hint="eastAsia"/>
                        <w:sz w:val="22"/>
                        <w:szCs w:val="22"/>
                      </w:rPr>
                      <m:t xml:space="preserve">t </m:t>
                    </m:r>
                  </m:e>
                  <m:sup>
                    <m:r>
                      <w:rPr>
                        <w:rFonts w:ascii="Cambria Math" w:hAnsi="Cambria Math" w:hint="eastAsia"/>
                        <w:sz w:val="22"/>
                        <w:szCs w:val="22"/>
                        <w:vertAlign w:val="superscript"/>
                      </w:rPr>
                      <m:t>-</m:t>
                    </m:r>
                    <m:r>
                      <w:rPr>
                        <w:rFonts w:ascii="Cambria Math" w:hAnsi="Cambria Math" w:hint="eastAsia"/>
                        <w:sz w:val="22"/>
                        <w:szCs w:val="22"/>
                        <w:vertAlign w:val="superscript"/>
                      </w:rPr>
                      <m:t>0.921</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772" w:type="dxa"/>
            <w:vAlign w:val="center"/>
          </w:tcPr>
          <w:p w14:paraId="44024AEC" w14:textId="77777777" w:rsidR="00342321" w:rsidRPr="00BC31E0" w:rsidRDefault="00342321" w:rsidP="004736F2">
            <w:pPr>
              <w:snapToGrid w:val="0"/>
              <w:spacing w:line="300" w:lineRule="atLeast"/>
              <w:jc w:val="center"/>
              <w:rPr>
                <w:i/>
                <w:sz w:val="22"/>
                <w:szCs w:val="22"/>
              </w:rPr>
            </w:pPr>
            <m:oMathPara>
              <m:oMath>
                <m:r>
                  <w:rPr>
                    <w:rFonts w:ascii="Cambria Math" w:hAnsi="Cambria Math" w:hint="eastAsia"/>
                    <w:sz w:val="22"/>
                    <w:szCs w:val="22"/>
                  </w:rPr>
                  <m:t xml:space="preserve">6.29 </m:t>
                </m:r>
                <m:sSup>
                  <m:sSupPr>
                    <m:ctrlPr>
                      <w:rPr>
                        <w:rFonts w:ascii="Cambria Math" w:hAnsi="Cambria Math"/>
                        <w:i/>
                        <w:sz w:val="22"/>
                        <w:szCs w:val="22"/>
                      </w:rPr>
                    </m:ctrlPr>
                  </m:sSupPr>
                  <m:e>
                    <m:r>
                      <w:rPr>
                        <w:rFonts w:ascii="Cambria Math" w:hAnsi="Cambria Math" w:hint="eastAsia"/>
                        <w:sz w:val="22"/>
                        <w:szCs w:val="22"/>
                      </w:rPr>
                      <m:t xml:space="preserve">t </m:t>
                    </m:r>
                  </m:e>
                  <m:sup>
                    <m:r>
                      <w:rPr>
                        <w:rFonts w:ascii="Cambria Math" w:hAnsi="Cambria Math" w:hint="eastAsia"/>
                        <w:sz w:val="22"/>
                        <w:szCs w:val="22"/>
                        <w:vertAlign w:val="superscript"/>
                      </w:rPr>
                      <m:t>-</m:t>
                    </m:r>
                    <m:r>
                      <w:rPr>
                        <w:rFonts w:ascii="Cambria Math" w:hAnsi="Cambria Math" w:hint="eastAsia"/>
                        <w:sz w:val="22"/>
                        <w:szCs w:val="22"/>
                        <w:vertAlign w:val="superscript"/>
                      </w:rPr>
                      <m:t>0.983</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772" w:type="dxa"/>
            <w:vAlign w:val="center"/>
          </w:tcPr>
          <w:p w14:paraId="2701232B" w14:textId="77777777" w:rsidR="00342321" w:rsidRPr="00BC31E0" w:rsidRDefault="00342321" w:rsidP="004736F2">
            <w:pPr>
              <w:snapToGrid w:val="0"/>
              <w:spacing w:line="300" w:lineRule="atLeast"/>
              <w:jc w:val="center"/>
              <w:rPr>
                <w:i/>
                <w:sz w:val="22"/>
                <w:szCs w:val="22"/>
              </w:rPr>
            </w:pPr>
            <m:oMathPara>
              <m:oMath>
                <m:r>
                  <w:rPr>
                    <w:rFonts w:ascii="Cambria Math" w:hAnsi="Cambria Math" w:hint="eastAsia"/>
                    <w:sz w:val="22"/>
                    <w:szCs w:val="22"/>
                  </w:rPr>
                  <m:t xml:space="preserve">5.04 </m:t>
                </m:r>
                <m:sSup>
                  <m:sSupPr>
                    <m:ctrlPr>
                      <w:rPr>
                        <w:rFonts w:ascii="Cambria Math" w:hAnsi="Cambria Math"/>
                        <w:i/>
                        <w:sz w:val="22"/>
                        <w:szCs w:val="22"/>
                      </w:rPr>
                    </m:ctrlPr>
                  </m:sSupPr>
                  <m:e>
                    <m:r>
                      <w:rPr>
                        <w:rFonts w:ascii="Cambria Math" w:hAnsi="Cambria Math" w:hint="eastAsia"/>
                        <w:sz w:val="22"/>
                        <w:szCs w:val="22"/>
                      </w:rPr>
                      <m:t xml:space="preserve">t </m:t>
                    </m:r>
                  </m:e>
                  <m:sup>
                    <m:r>
                      <w:rPr>
                        <w:rFonts w:ascii="Cambria Math" w:hAnsi="Cambria Math" w:hint="eastAsia"/>
                        <w:sz w:val="22"/>
                        <w:szCs w:val="22"/>
                        <w:vertAlign w:val="superscript"/>
                      </w:rPr>
                      <m:t>-</m:t>
                    </m:r>
                    <m:r>
                      <w:rPr>
                        <w:rFonts w:ascii="Cambria Math" w:hAnsi="Cambria Math" w:hint="eastAsia"/>
                        <w:sz w:val="22"/>
                        <w:szCs w:val="22"/>
                        <w:vertAlign w:val="superscript"/>
                      </w:rPr>
                      <m:t>1.02</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r>
      <w:tr w:rsidR="00342321" w:rsidRPr="00BC31E0" w14:paraId="46E5D0DC" w14:textId="77777777" w:rsidTr="004736F2">
        <w:trPr>
          <w:jc w:val="center"/>
        </w:trPr>
        <w:tc>
          <w:tcPr>
            <w:tcW w:w="992" w:type="dxa"/>
            <w:vAlign w:val="center"/>
          </w:tcPr>
          <w:p w14:paraId="5C751A4C"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0.5</w:t>
            </w:r>
          </w:p>
        </w:tc>
        <w:tc>
          <w:tcPr>
            <w:tcW w:w="1772" w:type="dxa"/>
            <w:vAlign w:val="center"/>
          </w:tcPr>
          <w:p w14:paraId="137EAD81" w14:textId="77777777" w:rsidR="00342321" w:rsidRPr="00BC31E0" w:rsidRDefault="00342321" w:rsidP="004736F2">
            <w:pPr>
              <w:snapToGrid w:val="0"/>
              <w:spacing w:line="300" w:lineRule="atLeast"/>
              <w:jc w:val="center"/>
              <w:rPr>
                <w:i/>
                <w:sz w:val="22"/>
                <w:szCs w:val="22"/>
              </w:rPr>
            </w:pPr>
            <m:oMathPara>
              <m:oMath>
                <m:r>
                  <w:rPr>
                    <w:rFonts w:ascii="Cambria Math" w:hAnsi="Cambria Math" w:hint="eastAsia"/>
                    <w:sz w:val="22"/>
                    <w:szCs w:val="22"/>
                  </w:rPr>
                  <m:t xml:space="preserve">8.60 </m:t>
                </m:r>
                <m:sSup>
                  <m:sSupPr>
                    <m:ctrlPr>
                      <w:rPr>
                        <w:rFonts w:ascii="Cambria Math" w:hAnsi="Cambria Math"/>
                        <w:i/>
                        <w:sz w:val="22"/>
                        <w:szCs w:val="22"/>
                      </w:rPr>
                    </m:ctrlPr>
                  </m:sSupPr>
                  <m:e>
                    <m:r>
                      <w:rPr>
                        <w:rFonts w:ascii="Cambria Math" w:hAnsi="Cambria Math" w:hint="eastAsia"/>
                        <w:sz w:val="22"/>
                        <w:szCs w:val="22"/>
                      </w:rPr>
                      <m:t xml:space="preserve">t </m:t>
                    </m:r>
                  </m:e>
                  <m:sup>
                    <m:r>
                      <w:rPr>
                        <w:rFonts w:ascii="Cambria Math" w:hAnsi="Cambria Math" w:hint="eastAsia"/>
                        <w:sz w:val="22"/>
                        <w:szCs w:val="22"/>
                        <w:vertAlign w:val="superscript"/>
                      </w:rPr>
                      <m:t>-</m:t>
                    </m:r>
                    <m:r>
                      <w:rPr>
                        <w:rFonts w:ascii="Cambria Math" w:hAnsi="Cambria Math" w:hint="eastAsia"/>
                        <w:sz w:val="22"/>
                        <w:szCs w:val="22"/>
                        <w:vertAlign w:val="superscript"/>
                      </w:rPr>
                      <m:t>0.869</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772" w:type="dxa"/>
            <w:vAlign w:val="center"/>
          </w:tcPr>
          <w:p w14:paraId="7DD2E3CF" w14:textId="77777777" w:rsidR="00342321" w:rsidRPr="00BC31E0" w:rsidRDefault="00342321" w:rsidP="004736F2">
            <w:pPr>
              <w:snapToGrid w:val="0"/>
              <w:spacing w:line="300" w:lineRule="atLeast"/>
              <w:jc w:val="center"/>
              <w:rPr>
                <w:i/>
                <w:sz w:val="22"/>
                <w:szCs w:val="22"/>
              </w:rPr>
            </w:pPr>
            <m:oMathPara>
              <m:oMath>
                <m:r>
                  <w:rPr>
                    <w:rFonts w:ascii="Cambria Math" w:hAnsi="Cambria Math" w:hint="eastAsia"/>
                    <w:sz w:val="22"/>
                    <w:szCs w:val="22"/>
                  </w:rPr>
                  <m:t xml:space="preserve">8.09 </m:t>
                </m:r>
                <m:sSup>
                  <m:sSupPr>
                    <m:ctrlPr>
                      <w:rPr>
                        <w:rFonts w:ascii="Cambria Math" w:hAnsi="Cambria Math"/>
                        <w:i/>
                        <w:sz w:val="22"/>
                        <w:szCs w:val="22"/>
                      </w:rPr>
                    </m:ctrlPr>
                  </m:sSupPr>
                  <m:e>
                    <m:r>
                      <w:rPr>
                        <w:rFonts w:ascii="Cambria Math" w:hAnsi="Cambria Math" w:hint="eastAsia"/>
                        <w:sz w:val="22"/>
                        <w:szCs w:val="22"/>
                      </w:rPr>
                      <m:t xml:space="preserve">t </m:t>
                    </m:r>
                  </m:e>
                  <m:sup>
                    <m:r>
                      <w:rPr>
                        <w:rFonts w:ascii="Cambria Math" w:hAnsi="Cambria Math" w:hint="eastAsia"/>
                        <w:sz w:val="22"/>
                        <w:szCs w:val="22"/>
                        <w:vertAlign w:val="superscript"/>
                      </w:rPr>
                      <m:t>-</m:t>
                    </m:r>
                    <m:r>
                      <w:rPr>
                        <w:rFonts w:ascii="Cambria Math" w:hAnsi="Cambria Math" w:hint="eastAsia"/>
                        <w:sz w:val="22"/>
                        <w:szCs w:val="22"/>
                        <w:vertAlign w:val="superscript"/>
                      </w:rPr>
                      <m:t>0.929</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772" w:type="dxa"/>
            <w:vAlign w:val="center"/>
          </w:tcPr>
          <w:p w14:paraId="1E7A7403" w14:textId="77777777" w:rsidR="00342321" w:rsidRPr="00BC31E0" w:rsidRDefault="00342321" w:rsidP="004736F2">
            <w:pPr>
              <w:snapToGrid w:val="0"/>
              <w:spacing w:line="300" w:lineRule="atLeast"/>
              <w:jc w:val="center"/>
              <w:rPr>
                <w:i/>
                <w:sz w:val="22"/>
                <w:szCs w:val="22"/>
              </w:rPr>
            </w:pPr>
            <m:oMathPara>
              <m:oMath>
                <m:r>
                  <w:rPr>
                    <w:rFonts w:ascii="Cambria Math" w:hAnsi="Cambria Math" w:hint="eastAsia"/>
                    <w:sz w:val="22"/>
                    <w:szCs w:val="22"/>
                  </w:rPr>
                  <m:t xml:space="preserve">6.65 </m:t>
                </m:r>
                <m:sSup>
                  <m:sSupPr>
                    <m:ctrlPr>
                      <w:rPr>
                        <w:rFonts w:ascii="Cambria Math" w:hAnsi="Cambria Math"/>
                        <w:i/>
                        <w:sz w:val="22"/>
                        <w:szCs w:val="22"/>
                      </w:rPr>
                    </m:ctrlPr>
                  </m:sSupPr>
                  <m:e>
                    <m:r>
                      <w:rPr>
                        <w:rFonts w:ascii="Cambria Math" w:hAnsi="Cambria Math" w:hint="eastAsia"/>
                        <w:sz w:val="22"/>
                        <w:szCs w:val="22"/>
                      </w:rPr>
                      <m:t xml:space="preserve">t </m:t>
                    </m:r>
                  </m:e>
                  <m:sup>
                    <m:r>
                      <w:rPr>
                        <w:rFonts w:ascii="Cambria Math" w:hAnsi="Cambria Math" w:hint="eastAsia"/>
                        <w:sz w:val="22"/>
                        <w:szCs w:val="22"/>
                        <w:vertAlign w:val="superscript"/>
                      </w:rPr>
                      <m:t>-</m:t>
                    </m:r>
                    <m:r>
                      <w:rPr>
                        <w:rFonts w:ascii="Cambria Math" w:hAnsi="Cambria Math" w:hint="eastAsia"/>
                        <w:sz w:val="22"/>
                        <w:szCs w:val="22"/>
                        <w:vertAlign w:val="superscript"/>
                      </w:rPr>
                      <m:t>0.986</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772" w:type="dxa"/>
            <w:vAlign w:val="center"/>
          </w:tcPr>
          <w:p w14:paraId="5AC15BA6" w14:textId="77777777" w:rsidR="00342321" w:rsidRPr="00BC31E0" w:rsidRDefault="00342321" w:rsidP="004736F2">
            <w:pPr>
              <w:snapToGrid w:val="0"/>
              <w:spacing w:line="300" w:lineRule="atLeast"/>
              <w:jc w:val="center"/>
              <w:rPr>
                <w:i/>
                <w:sz w:val="22"/>
                <w:szCs w:val="22"/>
              </w:rPr>
            </w:pPr>
            <m:oMathPara>
              <m:oMath>
                <m:r>
                  <w:rPr>
                    <w:rFonts w:ascii="Cambria Math" w:hAnsi="Cambria Math" w:hint="eastAsia"/>
                    <w:sz w:val="22"/>
                    <w:szCs w:val="22"/>
                  </w:rPr>
                  <m:t xml:space="preserve">5.18 </m:t>
                </m:r>
                <m:sSup>
                  <m:sSupPr>
                    <m:ctrlPr>
                      <w:rPr>
                        <w:rFonts w:ascii="Cambria Math" w:hAnsi="Cambria Math"/>
                        <w:i/>
                        <w:sz w:val="22"/>
                        <w:szCs w:val="22"/>
                      </w:rPr>
                    </m:ctrlPr>
                  </m:sSupPr>
                  <m:e>
                    <m:r>
                      <w:rPr>
                        <w:rFonts w:ascii="Cambria Math" w:hAnsi="Cambria Math" w:hint="eastAsia"/>
                        <w:sz w:val="22"/>
                        <w:szCs w:val="22"/>
                      </w:rPr>
                      <m:t>t</m:t>
                    </m:r>
                    <m:r>
                      <w:rPr>
                        <w:rFonts w:ascii="Cambria Math" w:hAnsi="Cambria Math" w:hint="eastAsia"/>
                        <w:sz w:val="22"/>
                        <w:szCs w:val="22"/>
                        <w:vertAlign w:val="superscript"/>
                      </w:rPr>
                      <m:t xml:space="preserve"> </m:t>
                    </m:r>
                  </m:e>
                  <m:sup>
                    <m:r>
                      <w:rPr>
                        <w:rFonts w:ascii="Cambria Math" w:hAnsi="Cambria Math" w:hint="eastAsia"/>
                        <w:sz w:val="22"/>
                        <w:szCs w:val="22"/>
                        <w:vertAlign w:val="superscript"/>
                      </w:rPr>
                      <m:t>-</m:t>
                    </m:r>
                    <m:r>
                      <w:rPr>
                        <w:rFonts w:ascii="Cambria Math" w:hAnsi="Cambria Math" w:hint="eastAsia"/>
                        <w:sz w:val="22"/>
                        <w:szCs w:val="22"/>
                        <w:vertAlign w:val="superscript"/>
                      </w:rPr>
                      <m:t>1.02</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r>
    </w:tbl>
    <w:p w14:paraId="798A74CA" w14:textId="77777777" w:rsidR="00342321" w:rsidRPr="00BC31E0" w:rsidRDefault="00342321" w:rsidP="00342321">
      <w:pPr>
        <w:snapToGrid w:val="0"/>
        <w:spacing w:before="60" w:after="60" w:line="320" w:lineRule="atLeast"/>
        <w:ind w:left="1474" w:hanging="794"/>
        <w:jc w:val="left"/>
        <w:rPr>
          <w:kern w:val="0"/>
          <w:szCs w:val="20"/>
        </w:rPr>
      </w:pPr>
      <w:r w:rsidRPr="00BC31E0">
        <w:rPr>
          <w:rFonts w:ascii="ＭＳ ゴシック" w:eastAsia="ＭＳ ゴシック" w:hAnsi="ＭＳ ゴシック" w:hint="eastAsia"/>
          <w:b/>
          <w:szCs w:val="20"/>
        </w:rPr>
        <w:t>注記</w:t>
      </w:r>
      <w:r w:rsidRPr="00BC31E0">
        <w:rPr>
          <w:rFonts w:ascii="ＭＳ ゴシック" w:eastAsia="ＭＳ ゴシック" w:hAnsi="ＭＳ ゴシック" w:cs="Tahoma"/>
          <w:b/>
          <w:szCs w:val="20"/>
        </w:rPr>
        <w:t>1</w:t>
      </w:r>
      <w:r w:rsidRPr="00BC31E0">
        <w:rPr>
          <w:rFonts w:ascii="ＭＳ 明朝" w:hAnsi="ＭＳ 明朝" w:cs="Tahoma" w:hint="eastAsia"/>
          <w:b/>
          <w:szCs w:val="20"/>
        </w:rPr>
        <w:t xml:space="preserve">　</w:t>
      </w:r>
      <m:oMath>
        <m:f>
          <m:fPr>
            <m:type m:val="lin"/>
            <m:ctrlPr>
              <w:rPr>
                <w:rFonts w:ascii="Cambria Math" w:hAnsi="Cambria Math"/>
                <w:i/>
                <w:kern w:val="0"/>
                <w:szCs w:val="20"/>
              </w:rPr>
            </m:ctrlPr>
          </m:fPr>
          <m:num>
            <m:r>
              <w:rPr>
                <w:rFonts w:ascii="Cambria Math" w:hAnsi="Cambria Math"/>
                <w:kern w:val="0"/>
                <w:szCs w:val="20"/>
              </w:rPr>
              <m:t>a</m:t>
            </m:r>
          </m:num>
          <m:den>
            <m:r>
              <w:rPr>
                <w:rFonts w:ascii="Cambria Math" w:hAnsi="Cambria Math"/>
                <w:kern w:val="0"/>
                <w:szCs w:val="20"/>
              </w:rPr>
              <m:t>t</m:t>
            </m:r>
          </m:den>
        </m:f>
        <m:r>
          <w:rPr>
            <w:rFonts w:ascii="Cambria Math" w:hAnsi="Cambria Math"/>
            <w:kern w:val="0"/>
            <w:szCs w:val="20"/>
          </w:rPr>
          <m:t xml:space="preserve"> </m:t>
        </m:r>
      </m:oMath>
      <w:r w:rsidRPr="00BC31E0">
        <w:rPr>
          <w:rFonts w:hAnsi="ＭＳ 明朝"/>
          <w:kern w:val="0"/>
          <w:szCs w:val="20"/>
        </w:rPr>
        <w:t>の値</w:t>
      </w:r>
      <w:r w:rsidRPr="00BC31E0">
        <w:rPr>
          <w:rFonts w:hAnsi="ＭＳ 明朝" w:hint="eastAsia"/>
          <w:kern w:val="0"/>
          <w:szCs w:val="20"/>
        </w:rPr>
        <w:t>は次の表の値を最大とする</w:t>
      </w:r>
      <w:r w:rsidRPr="00BC31E0">
        <w:rPr>
          <w:rFonts w:hAnsi="ＭＳ 明朝"/>
          <w:kern w:val="0"/>
          <w:szCs w:val="20"/>
        </w:rPr>
        <w:t>。</w:t>
      </w:r>
      <w:r w:rsidRPr="00BC31E0">
        <w:rPr>
          <w:rFonts w:hAnsi="ＭＳ 明朝" w:hint="eastAsia"/>
          <w:kern w:val="0"/>
          <w:szCs w:val="20"/>
        </w:rPr>
        <w:t>なお，中間の</w:t>
      </w:r>
      <m:oMath>
        <m:f>
          <m:fPr>
            <m:type m:val="lin"/>
            <m:ctrlPr>
              <w:rPr>
                <w:rFonts w:ascii="Cambria Math" w:hAnsi="Cambria Math"/>
                <w:i/>
                <w:kern w:val="0"/>
                <w:szCs w:val="20"/>
              </w:rPr>
            </m:ctrlPr>
          </m:fPr>
          <m:num>
            <m:r>
              <w:rPr>
                <w:rFonts w:ascii="Cambria Math" w:hAnsi="Cambria Math"/>
                <w:kern w:val="0"/>
                <w:szCs w:val="20"/>
              </w:rPr>
              <m:t xml:space="preserve"> a</m:t>
            </m:r>
          </m:num>
          <m:den>
            <m:r>
              <w:rPr>
                <w:rFonts w:ascii="Cambria Math" w:hAnsi="Cambria Math"/>
                <w:kern w:val="0"/>
                <w:szCs w:val="20"/>
              </w:rPr>
              <m:t xml:space="preserve">l </m:t>
            </m:r>
          </m:den>
        </m:f>
      </m:oMath>
      <w:r w:rsidRPr="00BC31E0">
        <w:rPr>
          <w:rFonts w:hAnsi="ＭＳ 明朝" w:hint="eastAsia"/>
          <w:kern w:val="0"/>
          <w:szCs w:val="20"/>
        </w:rPr>
        <w:t>の値に対して，及び</w:t>
      </w:r>
      <m:oMath>
        <m:r>
          <w:rPr>
            <w:rFonts w:ascii="Cambria Math" w:hAnsi="Cambria Math"/>
            <w:kern w:val="0"/>
            <w:szCs w:val="20"/>
          </w:rPr>
          <m:t>6</m:t>
        </m:r>
        <m:r>
          <w:rPr>
            <w:rFonts w:ascii="Cambria Math" w:hAnsi="Cambria Math" w:hint="eastAsia"/>
            <w:kern w:val="0"/>
            <w:szCs w:val="20"/>
          </w:rPr>
          <m:t>4</m:t>
        </m:r>
        <m:r>
          <w:rPr>
            <w:rFonts w:ascii="Cambria Math" w:hAnsi="Cambria Math"/>
            <w:kern w:val="0"/>
            <w:szCs w:val="20"/>
          </w:rPr>
          <m:t>&lt;t&lt;10</m:t>
        </m:r>
        <m:r>
          <w:rPr>
            <w:rFonts w:ascii="Cambria Math" w:hAnsi="Cambria Math" w:hint="eastAsia"/>
            <w:kern w:val="0"/>
            <w:szCs w:val="20"/>
          </w:rPr>
          <m:t>0</m:t>
        </m:r>
        <m:r>
          <m:rPr>
            <m:sty m:val="p"/>
          </m:rPr>
          <w:rPr>
            <w:rFonts w:ascii="Cambria Math" w:hAnsi="Cambria Math" w:hint="eastAsia"/>
            <w:kern w:val="0"/>
            <w:szCs w:val="20"/>
          </w:rPr>
          <m:t xml:space="preserve"> </m:t>
        </m:r>
        <m:r>
          <m:rPr>
            <m:sty m:val="p"/>
          </m:rPr>
          <w:rPr>
            <w:rFonts w:ascii="Cambria Math" w:hAnsi="Cambria Math"/>
            <w:kern w:val="0"/>
            <w:szCs w:val="20"/>
          </w:rPr>
          <m:t xml:space="preserve">mm </m:t>
        </m:r>
      </m:oMath>
      <w:r w:rsidRPr="00BC31E0">
        <w:rPr>
          <w:rFonts w:hint="eastAsia"/>
          <w:kern w:val="0"/>
          <w:szCs w:val="20"/>
        </w:rPr>
        <w:t>の場合には，線形補間により</w:t>
      </w:r>
      <m:oMath>
        <m:f>
          <m:fPr>
            <m:type m:val="lin"/>
            <m:ctrlPr>
              <w:rPr>
                <w:rFonts w:ascii="Cambria Math" w:hAnsi="Cambria Math"/>
                <w:i/>
                <w:kern w:val="0"/>
                <w:szCs w:val="20"/>
              </w:rPr>
            </m:ctrlPr>
          </m:fPr>
          <m:num>
            <m:r>
              <w:rPr>
                <w:rFonts w:ascii="Cambria Math" w:hAnsi="Cambria Math"/>
                <w:kern w:val="0"/>
                <w:szCs w:val="20"/>
              </w:rPr>
              <m:t xml:space="preserve"> a</m:t>
            </m:r>
          </m:num>
          <m:den>
            <m:r>
              <w:rPr>
                <w:rFonts w:ascii="Cambria Math" w:hAnsi="Cambria Math"/>
                <w:kern w:val="0"/>
                <w:szCs w:val="20"/>
              </w:rPr>
              <m:t xml:space="preserve">t </m:t>
            </m:r>
          </m:den>
        </m:f>
      </m:oMath>
      <w:r w:rsidRPr="00BC31E0">
        <w:rPr>
          <w:rFonts w:hint="eastAsia"/>
          <w:kern w:val="0"/>
          <w:szCs w:val="20"/>
        </w:rPr>
        <w:t>を求める。</w:t>
      </w:r>
    </w:p>
    <w:tbl>
      <w:tblPr>
        <w:tblW w:w="0" w:type="auto"/>
        <w:tblInd w:w="1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1"/>
        <w:gridCol w:w="1331"/>
        <w:gridCol w:w="1331"/>
        <w:gridCol w:w="1331"/>
      </w:tblGrid>
      <w:tr w:rsidR="00342321" w:rsidRPr="00BC31E0" w14:paraId="4FB20FE9" w14:textId="77777777" w:rsidTr="004736F2">
        <w:tc>
          <w:tcPr>
            <w:tcW w:w="2662" w:type="dxa"/>
            <w:gridSpan w:val="2"/>
          </w:tcPr>
          <w:p w14:paraId="4FAF66AA" w14:textId="77777777" w:rsidR="00342321" w:rsidRPr="00BC31E0" w:rsidRDefault="00342321" w:rsidP="004736F2">
            <w:pPr>
              <w:snapToGrid w:val="0"/>
              <w:spacing w:line="300" w:lineRule="atLeast"/>
              <w:jc w:val="center"/>
              <w:rPr>
                <w:i/>
                <w:kern w:val="0"/>
                <w:szCs w:val="20"/>
              </w:rPr>
            </w:pPr>
            <m:oMathPara>
              <m:oMath>
                <m:r>
                  <w:rPr>
                    <w:rFonts w:ascii="Cambria Math" w:hAnsi="Cambria Math"/>
                    <w:kern w:val="0"/>
                    <w:szCs w:val="20"/>
                  </w:rPr>
                  <m:t>25</m:t>
                </m:r>
                <m:r>
                  <w:rPr>
                    <w:rFonts w:ascii="Cambria Math" w:hAnsi="Cambria Math" w:hint="eastAsia"/>
                    <w:kern w:val="0"/>
                    <w:szCs w:val="20"/>
                  </w:rPr>
                  <m:t>≦</m:t>
                </m:r>
                <m:r>
                  <w:rPr>
                    <w:rFonts w:ascii="Cambria Math" w:hAnsi="Cambria Math"/>
                    <w:kern w:val="0"/>
                    <w:szCs w:val="20"/>
                  </w:rPr>
                  <m:t>t</m:t>
                </m:r>
                <m:r>
                  <w:rPr>
                    <w:rFonts w:ascii="Cambria Math" w:hAnsi="Cambria Math" w:hint="eastAsia"/>
                    <w:kern w:val="0"/>
                    <w:szCs w:val="20"/>
                  </w:rPr>
                  <m:t>≦</m:t>
                </m:r>
                <m:r>
                  <w:rPr>
                    <w:rFonts w:ascii="Cambria Math" w:hAnsi="Cambria Math"/>
                    <w:kern w:val="0"/>
                    <w:szCs w:val="20"/>
                  </w:rPr>
                  <m:t>6</m:t>
                </m:r>
                <m:r>
                  <w:rPr>
                    <w:rFonts w:ascii="Cambria Math" w:hAnsi="Cambria Math" w:hint="eastAsia"/>
                    <w:kern w:val="0"/>
                    <w:szCs w:val="20"/>
                  </w:rPr>
                  <m:t xml:space="preserve">4 </m:t>
                </m:r>
                <m:r>
                  <m:rPr>
                    <m:sty m:val="p"/>
                  </m:rPr>
                  <w:rPr>
                    <w:rFonts w:ascii="Cambria Math" w:hAnsi="Cambria Math"/>
                    <w:kern w:val="0"/>
                    <w:szCs w:val="20"/>
                  </w:rPr>
                  <m:t>mm</m:t>
                </m:r>
              </m:oMath>
            </m:oMathPara>
          </w:p>
        </w:tc>
        <w:tc>
          <w:tcPr>
            <w:tcW w:w="2662" w:type="dxa"/>
            <w:gridSpan w:val="2"/>
          </w:tcPr>
          <w:p w14:paraId="17025636" w14:textId="77777777" w:rsidR="00342321" w:rsidRPr="00BC31E0" w:rsidRDefault="00342321" w:rsidP="004736F2">
            <w:pPr>
              <w:snapToGrid w:val="0"/>
              <w:spacing w:line="300" w:lineRule="atLeast"/>
              <w:jc w:val="center"/>
              <w:rPr>
                <w:i/>
                <w:kern w:val="0"/>
                <w:szCs w:val="20"/>
              </w:rPr>
            </w:pPr>
            <m:oMathPara>
              <m:oMath>
                <m:r>
                  <w:rPr>
                    <w:rFonts w:ascii="Cambria Math" w:hAnsi="Cambria Math"/>
                    <w:kern w:val="0"/>
                    <w:szCs w:val="20"/>
                  </w:rPr>
                  <m:t>10</m:t>
                </m:r>
                <m:r>
                  <w:rPr>
                    <w:rFonts w:ascii="Cambria Math" w:hAnsi="Cambria Math" w:hint="eastAsia"/>
                    <w:kern w:val="0"/>
                    <w:szCs w:val="20"/>
                  </w:rPr>
                  <m:t>0</m:t>
                </m:r>
                <m:r>
                  <w:rPr>
                    <w:rFonts w:ascii="Cambria Math" w:hAnsi="Cambria Math" w:hint="eastAsia"/>
                    <w:kern w:val="0"/>
                    <w:szCs w:val="20"/>
                  </w:rPr>
                  <m:t>≦</m:t>
                </m:r>
                <m:r>
                  <w:rPr>
                    <w:rFonts w:ascii="Cambria Math" w:hAnsi="Cambria Math"/>
                    <w:kern w:val="0"/>
                    <w:szCs w:val="20"/>
                  </w:rPr>
                  <m:t>t</m:t>
                </m:r>
                <m:r>
                  <w:rPr>
                    <w:rFonts w:ascii="Cambria Math" w:hAnsi="Cambria Math" w:hint="eastAsia"/>
                    <w:kern w:val="0"/>
                    <w:szCs w:val="20"/>
                  </w:rPr>
                  <m:t>≦</m:t>
                </m:r>
                <m:r>
                  <w:rPr>
                    <w:rFonts w:ascii="Cambria Math" w:hAnsi="Cambria Math"/>
                    <w:kern w:val="0"/>
                    <w:szCs w:val="20"/>
                  </w:rPr>
                  <m:t>30</m:t>
                </m:r>
                <m:r>
                  <w:rPr>
                    <w:rFonts w:ascii="Cambria Math" w:hAnsi="Cambria Math" w:hint="eastAsia"/>
                    <w:kern w:val="0"/>
                    <w:szCs w:val="20"/>
                  </w:rPr>
                  <m:t>0</m:t>
                </m:r>
                <m:r>
                  <m:rPr>
                    <m:sty m:val="p"/>
                  </m:rPr>
                  <w:rPr>
                    <w:rFonts w:ascii="Cambria Math" w:hAnsi="Cambria Math" w:hint="eastAsia"/>
                    <w:kern w:val="0"/>
                    <w:szCs w:val="20"/>
                  </w:rPr>
                  <m:t xml:space="preserve"> </m:t>
                </m:r>
                <m:r>
                  <m:rPr>
                    <m:sty m:val="p"/>
                  </m:rPr>
                  <w:rPr>
                    <w:rFonts w:ascii="Cambria Math" w:hAnsi="Cambria Math"/>
                    <w:kern w:val="0"/>
                    <w:szCs w:val="20"/>
                  </w:rPr>
                  <m:t>mm</m:t>
                </m:r>
              </m:oMath>
            </m:oMathPara>
          </w:p>
        </w:tc>
      </w:tr>
      <w:tr w:rsidR="00342321" w:rsidRPr="00BC31E0" w14:paraId="6685C8B5" w14:textId="77777777" w:rsidTr="004736F2">
        <w:tc>
          <w:tcPr>
            <w:tcW w:w="1331" w:type="dxa"/>
          </w:tcPr>
          <w:p w14:paraId="7D19439E" w14:textId="77777777" w:rsidR="00342321" w:rsidRPr="00BC31E0" w:rsidRDefault="00A51873" w:rsidP="004736F2">
            <w:pPr>
              <w:snapToGrid w:val="0"/>
              <w:spacing w:line="300" w:lineRule="atLeast"/>
              <w:jc w:val="center"/>
              <w:rPr>
                <w:rFonts w:ascii="Times New Roman" w:hAnsi="Times New Roman"/>
                <w:i/>
                <w:kern w:val="0"/>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l</m:t>
                    </m:r>
                  </m:den>
                </m:f>
              </m:oMath>
            </m:oMathPara>
          </w:p>
        </w:tc>
        <w:tc>
          <w:tcPr>
            <w:tcW w:w="1331" w:type="dxa"/>
          </w:tcPr>
          <w:p w14:paraId="4D440CC4" w14:textId="77777777" w:rsidR="00342321" w:rsidRPr="00BC31E0" w:rsidRDefault="00A51873" w:rsidP="004736F2">
            <w:pPr>
              <w:snapToGrid w:val="0"/>
              <w:spacing w:line="300" w:lineRule="atLeast"/>
              <w:jc w:val="center"/>
              <w:rPr>
                <w:rFonts w:ascii="Times New Roman" w:hAnsi="Times New Roman"/>
                <w:i/>
                <w:kern w:val="0"/>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t</m:t>
                    </m:r>
                  </m:den>
                </m:f>
              </m:oMath>
            </m:oMathPara>
          </w:p>
        </w:tc>
        <w:tc>
          <w:tcPr>
            <w:tcW w:w="1331" w:type="dxa"/>
          </w:tcPr>
          <w:p w14:paraId="46AAAB85" w14:textId="77777777" w:rsidR="00342321" w:rsidRPr="00BC31E0" w:rsidRDefault="00A51873" w:rsidP="004736F2">
            <w:pPr>
              <w:snapToGrid w:val="0"/>
              <w:spacing w:line="300" w:lineRule="atLeast"/>
              <w:jc w:val="center"/>
              <w:rPr>
                <w:rFonts w:ascii="Times New Roman" w:hAnsi="Times New Roman"/>
                <w:i/>
                <w:kern w:val="0"/>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l</m:t>
                    </m:r>
                  </m:den>
                </m:f>
              </m:oMath>
            </m:oMathPara>
          </w:p>
        </w:tc>
        <w:tc>
          <w:tcPr>
            <w:tcW w:w="1331" w:type="dxa"/>
          </w:tcPr>
          <w:p w14:paraId="1C82F1DF" w14:textId="77777777" w:rsidR="00342321" w:rsidRPr="00BC31E0" w:rsidRDefault="00A51873" w:rsidP="004736F2">
            <w:pPr>
              <w:snapToGrid w:val="0"/>
              <w:spacing w:line="300" w:lineRule="atLeast"/>
              <w:jc w:val="center"/>
              <w:rPr>
                <w:rFonts w:ascii="Times New Roman" w:hAnsi="Times New Roman"/>
                <w:i/>
                <w:kern w:val="0"/>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t</m:t>
                    </m:r>
                  </m:den>
                </m:f>
              </m:oMath>
            </m:oMathPara>
          </w:p>
        </w:tc>
      </w:tr>
      <w:tr w:rsidR="00342321" w:rsidRPr="00BC31E0" w14:paraId="08CB7151" w14:textId="77777777" w:rsidTr="004736F2">
        <w:tc>
          <w:tcPr>
            <w:tcW w:w="1331" w:type="dxa"/>
          </w:tcPr>
          <w:p w14:paraId="3571B9A5"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0.0</w:t>
            </w:r>
          </w:p>
        </w:tc>
        <w:tc>
          <w:tcPr>
            <w:tcW w:w="1331" w:type="dxa"/>
          </w:tcPr>
          <w:p w14:paraId="66EBCC60" w14:textId="77777777" w:rsidR="00342321" w:rsidRPr="00BC31E0" w:rsidRDefault="00342321" w:rsidP="004736F2">
            <w:pPr>
              <w:snapToGrid w:val="0"/>
              <w:spacing w:line="300" w:lineRule="atLeast"/>
              <w:jc w:val="center"/>
              <w:rPr>
                <w:rFonts w:ascii="Cambria Math" w:hAnsi="Cambria Math"/>
                <w:i/>
                <w:kern w:val="0"/>
                <w:sz w:val="22"/>
                <w:szCs w:val="22"/>
              </w:rPr>
            </w:pPr>
            <m:oMathPara>
              <m:oMath>
                <m:r>
                  <w:rPr>
                    <w:rFonts w:ascii="Cambria Math" w:hAnsi="Cambria Math"/>
                    <w:kern w:val="0"/>
                    <w:sz w:val="22"/>
                    <w:szCs w:val="22"/>
                  </w:rPr>
                  <m:t>0.039</m:t>
                </m:r>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331" w:type="dxa"/>
          </w:tcPr>
          <w:p w14:paraId="7F0C6C1E"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0.0</w:t>
            </w:r>
          </w:p>
        </w:tc>
        <w:tc>
          <w:tcPr>
            <w:tcW w:w="1331" w:type="dxa"/>
          </w:tcPr>
          <w:p w14:paraId="1A9CB4A9" w14:textId="77777777" w:rsidR="00342321" w:rsidRPr="00BC31E0" w:rsidRDefault="00342321" w:rsidP="004736F2">
            <w:pPr>
              <w:snapToGrid w:val="0"/>
              <w:spacing w:line="300" w:lineRule="atLeast"/>
              <w:jc w:val="center"/>
              <w:rPr>
                <w:rFonts w:ascii="Cambria Math" w:hAnsi="Cambria Math"/>
                <w:i/>
                <w:kern w:val="0"/>
                <w:sz w:val="22"/>
                <w:szCs w:val="22"/>
              </w:rPr>
            </w:pPr>
            <m:oMathPara>
              <m:oMath>
                <m:r>
                  <w:rPr>
                    <w:rFonts w:ascii="Cambria Math" w:hAnsi="Cambria Math"/>
                    <w:kern w:val="0"/>
                    <w:sz w:val="22"/>
                    <w:szCs w:val="22"/>
                  </w:rPr>
                  <m:t>0.024</m:t>
                </m:r>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r>
      <w:tr w:rsidR="00342321" w:rsidRPr="00BC31E0" w14:paraId="675C8D4C" w14:textId="77777777" w:rsidTr="004736F2">
        <w:tc>
          <w:tcPr>
            <w:tcW w:w="1331" w:type="dxa"/>
          </w:tcPr>
          <w:p w14:paraId="7FC6F38F"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0.1</w:t>
            </w:r>
          </w:p>
        </w:tc>
        <w:tc>
          <w:tcPr>
            <w:tcW w:w="1331" w:type="dxa"/>
          </w:tcPr>
          <w:p w14:paraId="0E7AAB90" w14:textId="77777777" w:rsidR="00342321" w:rsidRPr="00BC31E0" w:rsidRDefault="00342321" w:rsidP="004736F2">
            <w:pPr>
              <w:snapToGrid w:val="0"/>
              <w:spacing w:line="300" w:lineRule="atLeast"/>
              <w:jc w:val="center"/>
              <w:rPr>
                <w:rFonts w:ascii="Cambria Math" w:hAnsi="Cambria Math"/>
                <w:i/>
                <w:kern w:val="0"/>
                <w:sz w:val="22"/>
                <w:szCs w:val="22"/>
              </w:rPr>
            </w:pPr>
            <m:oMathPara>
              <m:oMath>
                <m:r>
                  <w:rPr>
                    <w:rFonts w:ascii="Cambria Math" w:hAnsi="Cambria Math"/>
                    <w:kern w:val="0"/>
                    <w:sz w:val="22"/>
                    <w:szCs w:val="22"/>
                  </w:rPr>
                  <m:t>0.045</m:t>
                </m:r>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331" w:type="dxa"/>
          </w:tcPr>
          <w:p w14:paraId="13147B79"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0.1</w:t>
            </w:r>
          </w:p>
        </w:tc>
        <w:tc>
          <w:tcPr>
            <w:tcW w:w="1331" w:type="dxa"/>
          </w:tcPr>
          <w:p w14:paraId="13D1815D" w14:textId="77777777" w:rsidR="00342321" w:rsidRPr="00BC31E0" w:rsidRDefault="00342321" w:rsidP="004736F2">
            <w:pPr>
              <w:snapToGrid w:val="0"/>
              <w:spacing w:line="300" w:lineRule="atLeast"/>
              <w:jc w:val="center"/>
              <w:rPr>
                <w:rFonts w:ascii="Cambria Math" w:hAnsi="Cambria Math"/>
                <w:i/>
                <w:kern w:val="0"/>
                <w:sz w:val="22"/>
                <w:szCs w:val="22"/>
              </w:rPr>
            </w:pPr>
            <m:oMathPara>
              <m:oMath>
                <m:r>
                  <w:rPr>
                    <w:rFonts w:ascii="Cambria Math" w:hAnsi="Cambria Math"/>
                    <w:kern w:val="0"/>
                    <w:sz w:val="22"/>
                    <w:szCs w:val="22"/>
                  </w:rPr>
                  <m:t>0.028</m:t>
                </m:r>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r>
      <w:tr w:rsidR="00342321" w:rsidRPr="00BC31E0" w14:paraId="623B60C0" w14:textId="77777777" w:rsidTr="004736F2">
        <w:tc>
          <w:tcPr>
            <w:tcW w:w="1331" w:type="dxa"/>
          </w:tcPr>
          <w:p w14:paraId="64A58582"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0.2</w:t>
            </w:r>
          </w:p>
        </w:tc>
        <w:tc>
          <w:tcPr>
            <w:tcW w:w="1331" w:type="dxa"/>
          </w:tcPr>
          <w:p w14:paraId="3CFFB175" w14:textId="77777777" w:rsidR="00342321" w:rsidRPr="00BC31E0" w:rsidRDefault="00342321" w:rsidP="004736F2">
            <w:pPr>
              <w:snapToGrid w:val="0"/>
              <w:spacing w:line="300" w:lineRule="atLeast"/>
              <w:jc w:val="center"/>
              <w:rPr>
                <w:rFonts w:ascii="Cambria Math" w:hAnsi="Cambria Math"/>
                <w:i/>
                <w:kern w:val="0"/>
                <w:sz w:val="22"/>
                <w:szCs w:val="22"/>
              </w:rPr>
            </w:pPr>
            <m:oMathPara>
              <m:oMath>
                <m:r>
                  <w:rPr>
                    <w:rFonts w:ascii="Cambria Math" w:hAnsi="Cambria Math"/>
                    <w:kern w:val="0"/>
                    <w:sz w:val="22"/>
                    <w:szCs w:val="22"/>
                  </w:rPr>
                  <m:t>0.059</m:t>
                </m:r>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331" w:type="dxa"/>
          </w:tcPr>
          <w:p w14:paraId="38479831"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0.2</w:t>
            </w:r>
          </w:p>
        </w:tc>
        <w:tc>
          <w:tcPr>
            <w:tcW w:w="1331" w:type="dxa"/>
          </w:tcPr>
          <w:p w14:paraId="2DA65C9B" w14:textId="77777777" w:rsidR="00342321" w:rsidRPr="00BC31E0" w:rsidRDefault="00342321" w:rsidP="004736F2">
            <w:pPr>
              <w:snapToGrid w:val="0"/>
              <w:spacing w:line="300" w:lineRule="atLeast"/>
              <w:jc w:val="center"/>
              <w:rPr>
                <w:rFonts w:ascii="Cambria Math" w:hAnsi="Cambria Math"/>
                <w:i/>
                <w:kern w:val="0"/>
                <w:sz w:val="22"/>
                <w:szCs w:val="22"/>
              </w:rPr>
            </w:pPr>
            <m:oMathPara>
              <m:oMath>
                <m:r>
                  <w:rPr>
                    <w:rFonts w:ascii="Cambria Math" w:hAnsi="Cambria Math"/>
                    <w:kern w:val="0"/>
                    <w:sz w:val="22"/>
                    <w:szCs w:val="22"/>
                  </w:rPr>
                  <m:t>0.035</m:t>
                </m:r>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r>
      <w:tr w:rsidR="00342321" w:rsidRPr="00BC31E0" w14:paraId="4101FE63" w14:textId="77777777" w:rsidTr="004736F2">
        <w:tc>
          <w:tcPr>
            <w:tcW w:w="1331" w:type="dxa"/>
          </w:tcPr>
          <w:p w14:paraId="1AFB99AB"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0.3</w:t>
            </w:r>
          </w:p>
        </w:tc>
        <w:tc>
          <w:tcPr>
            <w:tcW w:w="1331" w:type="dxa"/>
          </w:tcPr>
          <w:p w14:paraId="4142E886" w14:textId="77777777" w:rsidR="00342321" w:rsidRPr="00BC31E0" w:rsidRDefault="00342321" w:rsidP="004736F2">
            <w:pPr>
              <w:snapToGrid w:val="0"/>
              <w:spacing w:line="300" w:lineRule="atLeast"/>
              <w:jc w:val="center"/>
              <w:rPr>
                <w:rFonts w:ascii="Cambria Math" w:hAnsi="Cambria Math"/>
                <w:i/>
                <w:kern w:val="0"/>
                <w:sz w:val="22"/>
                <w:szCs w:val="22"/>
              </w:rPr>
            </w:pPr>
            <m:oMathPara>
              <m:oMath>
                <m:r>
                  <w:rPr>
                    <w:rFonts w:ascii="Cambria Math" w:hAnsi="Cambria Math"/>
                    <w:kern w:val="0"/>
                    <w:sz w:val="22"/>
                    <w:szCs w:val="22"/>
                  </w:rPr>
                  <m:t>0.080</m:t>
                </m:r>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331" w:type="dxa"/>
          </w:tcPr>
          <w:p w14:paraId="3EDF2762"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0.3</w:t>
            </w:r>
          </w:p>
        </w:tc>
        <w:tc>
          <w:tcPr>
            <w:tcW w:w="1331" w:type="dxa"/>
          </w:tcPr>
          <w:p w14:paraId="11F6B81D" w14:textId="77777777" w:rsidR="00342321" w:rsidRPr="00BC31E0" w:rsidRDefault="00342321" w:rsidP="004736F2">
            <w:pPr>
              <w:snapToGrid w:val="0"/>
              <w:spacing w:line="300" w:lineRule="atLeast"/>
              <w:jc w:val="center"/>
              <w:rPr>
                <w:rFonts w:ascii="Cambria Math" w:hAnsi="Cambria Math"/>
                <w:i/>
                <w:kern w:val="0"/>
                <w:sz w:val="22"/>
                <w:szCs w:val="22"/>
              </w:rPr>
            </w:pPr>
            <m:oMathPara>
              <m:oMath>
                <m:r>
                  <w:rPr>
                    <w:rFonts w:ascii="Cambria Math" w:hAnsi="Cambria Math"/>
                    <w:kern w:val="0"/>
                    <w:sz w:val="22"/>
                    <w:szCs w:val="22"/>
                  </w:rPr>
                  <m:t>0.048</m:t>
                </m:r>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r>
      <w:tr w:rsidR="00342321" w:rsidRPr="00BC31E0" w14:paraId="39343EDA" w14:textId="77777777" w:rsidTr="004736F2">
        <w:tc>
          <w:tcPr>
            <w:tcW w:w="1331" w:type="dxa"/>
          </w:tcPr>
          <w:p w14:paraId="0488EB3E"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0.4</w:t>
            </w:r>
          </w:p>
        </w:tc>
        <w:tc>
          <w:tcPr>
            <w:tcW w:w="1331" w:type="dxa"/>
          </w:tcPr>
          <w:p w14:paraId="13B563BF" w14:textId="77777777" w:rsidR="00342321" w:rsidRPr="00BC31E0" w:rsidRDefault="00342321" w:rsidP="004736F2">
            <w:pPr>
              <w:snapToGrid w:val="0"/>
              <w:spacing w:line="300" w:lineRule="atLeast"/>
              <w:jc w:val="center"/>
              <w:rPr>
                <w:rFonts w:ascii="Cambria Math" w:hAnsi="Cambria Math"/>
                <w:i/>
                <w:kern w:val="0"/>
                <w:sz w:val="22"/>
                <w:szCs w:val="22"/>
              </w:rPr>
            </w:pPr>
            <m:oMathPara>
              <m:oMath>
                <m:r>
                  <w:rPr>
                    <w:rFonts w:ascii="Cambria Math" w:hAnsi="Cambria Math"/>
                    <w:kern w:val="0"/>
                    <w:sz w:val="22"/>
                    <w:szCs w:val="22"/>
                  </w:rPr>
                  <m:t>0.104</m:t>
                </m:r>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331" w:type="dxa"/>
          </w:tcPr>
          <w:p w14:paraId="30C04F09"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0.4</w:t>
            </w:r>
          </w:p>
        </w:tc>
        <w:tc>
          <w:tcPr>
            <w:tcW w:w="1331" w:type="dxa"/>
          </w:tcPr>
          <w:p w14:paraId="5CA4CC08" w14:textId="77777777" w:rsidR="00342321" w:rsidRPr="00BC31E0" w:rsidRDefault="00342321" w:rsidP="004736F2">
            <w:pPr>
              <w:snapToGrid w:val="0"/>
              <w:spacing w:line="300" w:lineRule="atLeast"/>
              <w:jc w:val="center"/>
              <w:rPr>
                <w:rFonts w:ascii="Cambria Math" w:hAnsi="Cambria Math"/>
                <w:i/>
                <w:kern w:val="0"/>
                <w:sz w:val="22"/>
                <w:szCs w:val="22"/>
              </w:rPr>
            </w:pPr>
            <m:oMathPara>
              <m:oMath>
                <m:r>
                  <w:rPr>
                    <w:rFonts w:ascii="Cambria Math" w:hAnsi="Cambria Math"/>
                    <w:kern w:val="0"/>
                    <w:sz w:val="22"/>
                    <w:szCs w:val="22"/>
                  </w:rPr>
                  <m:t xml:space="preserve">0.063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r>
      <w:tr w:rsidR="00342321" w:rsidRPr="00BC31E0" w14:paraId="3F3DEB1A" w14:textId="77777777" w:rsidTr="004736F2">
        <w:tc>
          <w:tcPr>
            <w:tcW w:w="1331" w:type="dxa"/>
          </w:tcPr>
          <w:p w14:paraId="245BF2E9"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0.5</w:t>
            </w:r>
          </w:p>
        </w:tc>
        <w:tc>
          <w:tcPr>
            <w:tcW w:w="1331" w:type="dxa"/>
          </w:tcPr>
          <w:p w14:paraId="76829395" w14:textId="77777777" w:rsidR="00342321" w:rsidRPr="00BC31E0" w:rsidRDefault="00342321" w:rsidP="004736F2">
            <w:pPr>
              <w:snapToGrid w:val="0"/>
              <w:spacing w:line="300" w:lineRule="atLeast"/>
              <w:jc w:val="center"/>
              <w:rPr>
                <w:rFonts w:ascii="Cambria Math" w:hAnsi="Cambria Math"/>
                <w:i/>
                <w:kern w:val="0"/>
                <w:sz w:val="22"/>
                <w:szCs w:val="22"/>
              </w:rPr>
            </w:pPr>
            <m:oMathPara>
              <m:oMath>
                <m:r>
                  <w:rPr>
                    <w:rFonts w:ascii="Cambria Math" w:hAnsi="Cambria Math"/>
                    <w:kern w:val="0"/>
                    <w:sz w:val="22"/>
                    <w:szCs w:val="22"/>
                  </w:rPr>
                  <m:t>0.109</m:t>
                </m:r>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331" w:type="dxa"/>
          </w:tcPr>
          <w:p w14:paraId="0A64AB26"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0.5</w:t>
            </w:r>
          </w:p>
        </w:tc>
        <w:tc>
          <w:tcPr>
            <w:tcW w:w="1331" w:type="dxa"/>
          </w:tcPr>
          <w:p w14:paraId="5306998F" w14:textId="77777777" w:rsidR="00342321" w:rsidRPr="00BC31E0" w:rsidRDefault="00342321" w:rsidP="004736F2">
            <w:pPr>
              <w:snapToGrid w:val="0"/>
              <w:spacing w:line="300" w:lineRule="atLeast"/>
              <w:jc w:val="center"/>
              <w:rPr>
                <w:rFonts w:ascii="Cambria Math" w:hAnsi="Cambria Math"/>
                <w:i/>
                <w:kern w:val="0"/>
                <w:sz w:val="22"/>
                <w:szCs w:val="22"/>
              </w:rPr>
            </w:pPr>
            <m:oMathPara>
              <m:oMath>
                <m:r>
                  <w:rPr>
                    <w:rFonts w:ascii="Cambria Math" w:hAnsi="Cambria Math"/>
                    <w:kern w:val="0"/>
                    <w:sz w:val="22"/>
                    <w:szCs w:val="22"/>
                  </w:rPr>
                  <m:t>0.065</m:t>
                </m:r>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r>
    </w:tbl>
    <w:p w14:paraId="45710A5A" w14:textId="77777777" w:rsidR="00342321" w:rsidRPr="00BC31E0" w:rsidRDefault="00342321" w:rsidP="00342321">
      <w:pPr>
        <w:snapToGrid w:val="0"/>
        <w:spacing w:before="60" w:line="320" w:lineRule="atLeast"/>
        <w:ind w:left="1474" w:hanging="794"/>
        <w:jc w:val="left"/>
        <w:rPr>
          <w:szCs w:val="20"/>
        </w:rPr>
      </w:pPr>
      <w:r w:rsidRPr="00BC31E0">
        <w:rPr>
          <w:rFonts w:ascii="ＭＳ ゴシック" w:eastAsia="ＭＳ ゴシック" w:hAnsi="ＭＳ ゴシック" w:hint="eastAsia"/>
          <w:b/>
          <w:szCs w:val="20"/>
        </w:rPr>
        <w:t>注記2</w:t>
      </w:r>
      <w:r w:rsidRPr="00BC31E0">
        <w:rPr>
          <w:rFonts w:ascii="ＭＳ 明朝" w:hAnsi="ＭＳ 明朝" w:hint="eastAsia"/>
          <w:szCs w:val="20"/>
        </w:rPr>
        <w:t xml:space="preserve">　</w:t>
      </w:r>
      <w:r w:rsidRPr="00BC31E0">
        <w:rPr>
          <w:szCs w:val="20"/>
        </w:rPr>
        <w:t>き</w:t>
      </w:r>
      <w:r w:rsidRPr="00BC31E0">
        <w:rPr>
          <w:rFonts w:hint="eastAsia"/>
          <w:szCs w:val="20"/>
        </w:rPr>
        <w:t>ず</w:t>
      </w:r>
      <w:r w:rsidRPr="00BC31E0">
        <w:rPr>
          <w:szCs w:val="20"/>
        </w:rPr>
        <w:t>高さ</w:t>
      </w:r>
      <m:oMath>
        <m:r>
          <w:rPr>
            <w:rFonts w:ascii="Cambria Math" w:hAnsi="Cambria Math" w:hint="eastAsia"/>
            <w:szCs w:val="20"/>
          </w:rPr>
          <m:t>2</m:t>
        </m:r>
        <m:r>
          <w:rPr>
            <w:rFonts w:ascii="Cambria Math" w:hAnsi="Cambria Math"/>
            <w:szCs w:val="20"/>
          </w:rPr>
          <m:t>a</m:t>
        </m:r>
        <m:r>
          <m:rPr>
            <m:sty m:val="p"/>
          </m:rPr>
          <w:rPr>
            <w:rFonts w:ascii="Cambria Math" w:hAnsi="Cambria Math"/>
            <w:szCs w:val="20"/>
          </w:rPr>
          <m:t xml:space="preserve"> </m:t>
        </m:r>
      </m:oMath>
      <w:r w:rsidRPr="00BC31E0">
        <w:rPr>
          <w:szCs w:val="20"/>
        </w:rPr>
        <w:t>が</w:t>
      </w:r>
      <m:oMath>
        <m:r>
          <m:rPr>
            <m:sty m:val="p"/>
          </m:rPr>
          <w:rPr>
            <w:rFonts w:ascii="Cambria Math" w:hAnsi="Cambria Math"/>
            <w:szCs w:val="20"/>
          </w:rPr>
          <m:t xml:space="preserve"> 1 mm </m:t>
        </m:r>
      </m:oMath>
      <w:r w:rsidRPr="00BC31E0">
        <w:rPr>
          <w:szCs w:val="20"/>
        </w:rPr>
        <w:t>未満になる場合</w:t>
      </w:r>
      <w:r w:rsidRPr="00BC31E0">
        <w:rPr>
          <w:rFonts w:hint="eastAsia"/>
          <w:szCs w:val="20"/>
        </w:rPr>
        <w:t>で</w:t>
      </w:r>
      <w:r w:rsidRPr="00BC31E0">
        <w:rPr>
          <w:szCs w:val="20"/>
        </w:rPr>
        <w:t>，使用者設計仕様書</w:t>
      </w:r>
      <w:r w:rsidRPr="00BC31E0">
        <w:rPr>
          <w:rFonts w:hint="eastAsia"/>
          <w:szCs w:val="20"/>
        </w:rPr>
        <w:t>に</w:t>
      </w:r>
      <w:r w:rsidRPr="00BC31E0">
        <w:rPr>
          <w:rFonts w:ascii="ＭＳ ゴシック" w:eastAsia="ＭＳ ゴシック" w:hAnsi="ＭＳ ゴシック" w:hint="eastAsia"/>
          <w:b/>
          <w:szCs w:val="20"/>
        </w:rPr>
        <w:t>表5.2.2</w:t>
      </w:r>
      <w:r w:rsidRPr="00BC31E0">
        <w:rPr>
          <w:rFonts w:hint="eastAsia"/>
          <w:szCs w:val="20"/>
        </w:rPr>
        <w:t>よりも高い</w:t>
      </w:r>
      <w:r w:rsidRPr="00BC31E0">
        <w:rPr>
          <w:szCs w:val="20"/>
        </w:rPr>
        <w:t>要求シャルピー</w:t>
      </w:r>
      <w:r w:rsidRPr="00BC31E0">
        <w:rPr>
          <w:rFonts w:hint="eastAsia"/>
          <w:szCs w:val="20"/>
        </w:rPr>
        <w:t>衝撃</w:t>
      </w:r>
      <w:r w:rsidRPr="00BC31E0">
        <w:rPr>
          <w:szCs w:val="20"/>
        </w:rPr>
        <w:t>吸収エネルギー</w:t>
      </w:r>
      <w:r w:rsidRPr="00BC31E0">
        <w:rPr>
          <w:rFonts w:hint="eastAsia"/>
          <w:szCs w:val="20"/>
        </w:rPr>
        <w:t>が規定されている場合には，</w:t>
      </w:r>
      <w:r w:rsidRPr="00BC31E0">
        <w:rPr>
          <w:rFonts w:ascii="ＭＳ ゴシック" w:eastAsia="ＭＳ ゴシック" w:hAnsi="ＭＳ ゴシック" w:hint="eastAsia"/>
          <w:b/>
          <w:szCs w:val="20"/>
        </w:rPr>
        <w:t>9.3.6 c) 2) 2.3)</w:t>
      </w:r>
      <w:r w:rsidRPr="00BC31E0">
        <w:rPr>
          <w:rFonts w:hint="eastAsia"/>
          <w:szCs w:val="20"/>
        </w:rPr>
        <w:t>に</w:t>
      </w:r>
      <w:r w:rsidRPr="00BC31E0">
        <w:rPr>
          <w:szCs w:val="20"/>
        </w:rPr>
        <w:t>より</w:t>
      </w:r>
      <w:r w:rsidRPr="00BC31E0">
        <w:rPr>
          <w:rFonts w:hint="eastAsia"/>
          <w:szCs w:val="20"/>
        </w:rPr>
        <w:t>製作者が許容きず寸法を算出</w:t>
      </w:r>
      <w:r w:rsidR="00C95A93" w:rsidRPr="00BC31E0">
        <w:rPr>
          <w:rFonts w:hint="eastAsia"/>
          <w:szCs w:val="20"/>
        </w:rPr>
        <w:t>してもよい</w:t>
      </w:r>
      <w:r w:rsidRPr="00BC31E0">
        <w:rPr>
          <w:rFonts w:hint="eastAsia"/>
          <w:szCs w:val="20"/>
        </w:rPr>
        <w:t>。</w:t>
      </w:r>
    </w:p>
    <w:p w14:paraId="1CA70A98" w14:textId="77777777" w:rsidR="00342321" w:rsidRPr="00BC31E0" w:rsidRDefault="00342321" w:rsidP="00342321">
      <w:pPr>
        <w:snapToGrid w:val="0"/>
        <w:spacing w:line="320" w:lineRule="atLeast"/>
        <w:ind w:left="1474" w:hanging="794"/>
        <w:jc w:val="left"/>
        <w:rPr>
          <w:szCs w:val="20"/>
        </w:rPr>
      </w:pPr>
      <w:r w:rsidRPr="00BC31E0">
        <w:rPr>
          <w:rFonts w:ascii="ＭＳ ゴシック" w:eastAsia="ＭＳ ゴシック" w:hAnsi="ＭＳ ゴシック" w:hint="eastAsia"/>
          <w:b/>
          <w:szCs w:val="20"/>
        </w:rPr>
        <w:t>注記3</w:t>
      </w:r>
      <w:r w:rsidRPr="00BC31E0">
        <w:rPr>
          <w:rFonts w:ascii="ＭＳ 明朝" w:hAnsi="ＭＳ 明朝" w:hint="eastAsia"/>
          <w:szCs w:val="20"/>
        </w:rPr>
        <w:t xml:space="preserve">　</w:t>
      </w:r>
      <w:r w:rsidRPr="00BC31E0">
        <w:rPr>
          <w:rFonts w:hAnsi="ＭＳ 明朝"/>
          <w:szCs w:val="20"/>
        </w:rPr>
        <w:t>中間の</w:t>
      </w:r>
      <w:r w:rsidRPr="00BC31E0">
        <w:rPr>
          <w:rFonts w:hAnsi="ＭＳ 明朝" w:hint="eastAsia"/>
          <w:szCs w:val="20"/>
        </w:rPr>
        <w:t>内外径比</w:t>
      </w:r>
      <m:oMath>
        <m:r>
          <m:rPr>
            <m:sty m:val="p"/>
          </m:rPr>
          <w:rPr>
            <w:rFonts w:ascii="Cambria Math" w:hAnsi="Cambria Math"/>
            <w:szCs w:val="20"/>
          </w:rPr>
          <m:t xml:space="preserve"> </m:t>
        </m:r>
        <m:r>
          <w:rPr>
            <w:rFonts w:ascii="Cambria Math" w:hAnsi="Cambria Math"/>
            <w:szCs w:val="20"/>
          </w:rPr>
          <m:t xml:space="preserve">Y </m:t>
        </m:r>
      </m:oMath>
      <w:r w:rsidRPr="00BC31E0">
        <w:rPr>
          <w:rFonts w:hAnsi="ＭＳ 明朝"/>
          <w:szCs w:val="20"/>
        </w:rPr>
        <w:t>の値及び</w:t>
      </w:r>
      <m:oMath>
        <m:f>
          <m:fPr>
            <m:type m:val="lin"/>
            <m:ctrlPr>
              <w:rPr>
                <w:rFonts w:ascii="Cambria Math" w:hAnsi="Cambria Math"/>
                <w:i/>
                <w:szCs w:val="20"/>
              </w:rPr>
            </m:ctrlPr>
          </m:fPr>
          <m:num>
            <m:r>
              <w:rPr>
                <w:rFonts w:ascii="Cambria Math" w:hAnsi="Cambria Math"/>
                <w:szCs w:val="20"/>
              </w:rPr>
              <m:t xml:space="preserve"> a</m:t>
            </m:r>
          </m:num>
          <m:den>
            <m:r>
              <w:rPr>
                <w:rFonts w:ascii="Cambria Math" w:hAnsi="Cambria Math"/>
                <w:szCs w:val="20"/>
              </w:rPr>
              <m:t xml:space="preserve">l </m:t>
            </m:r>
          </m:den>
        </m:f>
      </m:oMath>
      <w:r w:rsidRPr="00BC31E0">
        <w:rPr>
          <w:rFonts w:hAnsi="ＭＳ 明朝"/>
          <w:szCs w:val="20"/>
        </w:rPr>
        <w:t>の値に対しては，線形補間</w:t>
      </w:r>
      <w:r w:rsidRPr="00BC31E0">
        <w:rPr>
          <w:rFonts w:hAnsi="ＭＳ 明朝" w:hint="eastAsia"/>
          <w:szCs w:val="20"/>
        </w:rPr>
        <w:t>により</w:t>
      </w:r>
      <m:oMath>
        <m:f>
          <m:fPr>
            <m:type m:val="lin"/>
            <m:ctrlPr>
              <w:rPr>
                <w:rFonts w:ascii="Cambria Math" w:hAnsi="Cambria Math"/>
                <w:i/>
                <w:szCs w:val="20"/>
              </w:rPr>
            </m:ctrlPr>
          </m:fPr>
          <m:num>
            <m:r>
              <w:rPr>
                <w:rFonts w:ascii="Cambria Math" w:hAnsi="Cambria Math"/>
                <w:szCs w:val="20"/>
              </w:rPr>
              <m:t xml:space="preserve"> a</m:t>
            </m:r>
          </m:num>
          <m:den>
            <m:r>
              <w:rPr>
                <w:rFonts w:ascii="Cambria Math" w:hAnsi="Cambria Math"/>
                <w:szCs w:val="20"/>
              </w:rPr>
              <m:t>t</m:t>
            </m:r>
          </m:den>
        </m:f>
        <m:r>
          <w:rPr>
            <w:rFonts w:ascii="Cambria Math" w:hAnsi="Cambria Math"/>
            <w:szCs w:val="20"/>
          </w:rPr>
          <m:t xml:space="preserve"> </m:t>
        </m:r>
      </m:oMath>
      <w:r w:rsidRPr="00BC31E0">
        <w:rPr>
          <w:rFonts w:hAnsi="ＭＳ 明朝"/>
          <w:szCs w:val="20"/>
        </w:rPr>
        <w:t>を求める。</w:t>
      </w:r>
    </w:p>
    <w:p w14:paraId="4F4E3246" w14:textId="77777777" w:rsidR="00CA187B" w:rsidRPr="00BC31E0" w:rsidRDefault="00CA187B" w:rsidP="00CA187B">
      <w:pPr>
        <w:spacing w:line="180" w:lineRule="exact"/>
        <w:rPr>
          <w:rFonts w:ascii="ＭＳ ゴシック" w:eastAsia="ＭＳ ゴシック" w:hAnsi="ＭＳ ゴシック"/>
          <w:b/>
          <w:szCs w:val="20"/>
        </w:rPr>
      </w:pPr>
    </w:p>
    <w:p w14:paraId="05EB8518" w14:textId="77777777" w:rsidR="00342321" w:rsidRPr="00BC31E0" w:rsidRDefault="00342321" w:rsidP="00CA187B">
      <w:pPr>
        <w:jc w:val="center"/>
        <w:rPr>
          <w:szCs w:val="20"/>
        </w:rPr>
      </w:pPr>
      <w:r w:rsidRPr="00BC31E0">
        <w:rPr>
          <w:rFonts w:ascii="ＭＳ ゴシック" w:eastAsia="ＭＳ ゴシック" w:hAnsi="ＭＳ ゴシック" w:hint="eastAsia"/>
          <w:b/>
          <w:szCs w:val="20"/>
        </w:rPr>
        <w:t>表9.3.22　内部きずの許容きず寸法 (</w:t>
      </w:r>
      <m:oMath>
        <m:r>
          <m:rPr>
            <m:sty m:val="bi"/>
          </m:rPr>
          <w:rPr>
            <w:rFonts w:ascii="Cambria Math" w:eastAsia="ＭＳ ゴシック" w:hAnsi="Cambria Math"/>
            <w:sz w:val="22"/>
            <w:szCs w:val="22"/>
          </w:rPr>
          <m:t>260</m:t>
        </m:r>
        <m:r>
          <w:rPr>
            <w:rFonts w:ascii="Cambria Math" w:eastAsia="ＭＳ ゴシック" w:hAnsi="Cambria Math"/>
            <w:sz w:val="22"/>
            <w:szCs w:val="22"/>
          </w:rPr>
          <m:t>&lt;</m:t>
        </m:r>
        <m:sSub>
          <m:sSubPr>
            <m:ctrlPr>
              <w:rPr>
                <w:rFonts w:ascii="Cambria Math" w:eastAsia="ＭＳ ゴシック" w:hAnsi="Cambria Math"/>
                <w:b/>
                <w:i/>
                <w:sz w:val="22"/>
                <w:szCs w:val="22"/>
              </w:rPr>
            </m:ctrlPr>
          </m:sSubPr>
          <m:e>
            <m:r>
              <m:rPr>
                <m:sty m:val="bi"/>
              </m:rPr>
              <w:rPr>
                <w:rFonts w:ascii="Cambria Math" w:eastAsia="ＭＳ ゴシック" w:hAnsi="Cambria Math"/>
                <w:sz w:val="22"/>
                <w:szCs w:val="22"/>
              </w:rPr>
              <m:t>S</m:t>
            </m:r>
          </m:e>
          <m:sub>
            <m:r>
              <m:rPr>
                <m:sty m:val="bi"/>
              </m:rPr>
              <w:rPr>
                <w:rFonts w:ascii="Cambria Math" w:eastAsia="ＭＳ ゴシック" w:hAnsi="Cambria Math"/>
                <w:sz w:val="22"/>
                <w:szCs w:val="22"/>
              </w:rPr>
              <m:t>y</m:t>
            </m:r>
          </m:sub>
        </m:sSub>
        <m:r>
          <m:rPr>
            <m:sty m:val="bi"/>
          </m:rPr>
          <w:rPr>
            <w:rFonts w:ascii="Cambria Math" w:eastAsia="ＭＳ ゴシック" w:hAnsi="Cambria Math"/>
            <w:sz w:val="22"/>
            <w:szCs w:val="22"/>
          </w:rPr>
          <m:t>≦415</m:t>
        </m:r>
        <m:r>
          <m:rPr>
            <m:sty m:val="b"/>
          </m:rPr>
          <w:rPr>
            <w:rFonts w:ascii="Cambria Math" w:eastAsia="ＭＳ ゴシック" w:hAnsi="Cambria Math"/>
            <w:sz w:val="22"/>
            <w:szCs w:val="22"/>
          </w:rPr>
          <m:t xml:space="preserve"> MPa</m:t>
        </m:r>
      </m:oMath>
      <w:r w:rsidRPr="00BC31E0">
        <w:rPr>
          <w:rFonts w:ascii="ＭＳ ゴシック" w:eastAsia="ＭＳ ゴシック" w:hAnsi="ＭＳ ゴシック" w:hint="eastAsia"/>
          <w:b/>
          <w:szCs w:val="20"/>
        </w:rPr>
        <w:t>，溶接後熱処理</w:t>
      </w:r>
      <w:r w:rsidRPr="00BC31E0">
        <w:rPr>
          <w:rFonts w:ascii="ＭＳ ゴシック" w:eastAsia="ＭＳ ゴシック" w:hAnsi="ＭＳ ゴシック"/>
          <w:b/>
          <w:szCs w:val="20"/>
        </w:rPr>
        <w:t>あり</w:t>
      </w:r>
      <w:r w:rsidRPr="00BC31E0">
        <w:rPr>
          <w:rFonts w:ascii="ＭＳ ゴシック" w:eastAsia="ＭＳ ゴシック" w:hAnsi="ＭＳ ゴシック" w:hint="eastAsia"/>
          <w:b/>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594"/>
        <w:gridCol w:w="1595"/>
        <w:gridCol w:w="1595"/>
        <w:gridCol w:w="1595"/>
      </w:tblGrid>
      <w:tr w:rsidR="00342321" w:rsidRPr="00BC31E0" w14:paraId="60D7A44A" w14:textId="77777777" w:rsidTr="004736F2">
        <w:trPr>
          <w:jc w:val="center"/>
        </w:trPr>
        <w:tc>
          <w:tcPr>
            <w:tcW w:w="992" w:type="dxa"/>
            <w:vMerge w:val="restart"/>
            <w:vAlign w:val="center"/>
          </w:tcPr>
          <w:p w14:paraId="375D9F25" w14:textId="77777777" w:rsidR="00342321" w:rsidRPr="00BC31E0" w:rsidRDefault="00A51873" w:rsidP="004736F2">
            <w:pPr>
              <w:snapToGrid w:val="0"/>
              <w:spacing w:line="300" w:lineRule="atLeast"/>
              <w:jc w:val="center"/>
              <w:rPr>
                <w:rFonts w:ascii="Times New Roman" w:hAnsi="Times New Roman"/>
                <w:i/>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l</m:t>
                    </m:r>
                  </m:den>
                </m:f>
              </m:oMath>
            </m:oMathPara>
          </w:p>
        </w:tc>
        <w:tc>
          <w:tcPr>
            <w:tcW w:w="6379" w:type="dxa"/>
            <w:gridSpan w:val="4"/>
            <w:vAlign w:val="center"/>
          </w:tcPr>
          <w:p w14:paraId="1DAF157A" w14:textId="77777777" w:rsidR="00342321" w:rsidRPr="00BC31E0" w:rsidRDefault="00342321" w:rsidP="004736F2">
            <w:pPr>
              <w:snapToGrid w:val="0"/>
              <w:spacing w:line="300" w:lineRule="atLeast"/>
              <w:jc w:val="center"/>
              <w:rPr>
                <w:rFonts w:ascii="Times New Roman" w:hAnsi="Times New Roman"/>
                <w:i/>
                <w:szCs w:val="20"/>
              </w:rPr>
            </w:pPr>
            <m:oMathPara>
              <m:oMath>
                <m:r>
                  <w:rPr>
                    <w:rFonts w:ascii="Cambria Math" w:hAnsi="Cambria Math"/>
                    <w:szCs w:val="20"/>
                  </w:rPr>
                  <m:t>t&gt;</m:t>
                </m:r>
                <m:r>
                  <w:rPr>
                    <w:rFonts w:ascii="Cambria Math" w:hAnsi="Cambria Math" w:hint="eastAsia"/>
                    <w:szCs w:val="20"/>
                  </w:rPr>
                  <m:t>300</m:t>
                </m:r>
                <m:r>
                  <m:rPr>
                    <m:sty m:val="p"/>
                  </m:rPr>
                  <w:rPr>
                    <w:rFonts w:ascii="Cambria Math" w:hAnsi="Cambria Math" w:hint="eastAsia"/>
                    <w:szCs w:val="20"/>
                  </w:rPr>
                  <m:t xml:space="preserve"> mm</m:t>
                </m:r>
              </m:oMath>
            </m:oMathPara>
          </w:p>
        </w:tc>
      </w:tr>
      <w:tr w:rsidR="00342321" w:rsidRPr="00BC31E0" w14:paraId="6A5E279C" w14:textId="77777777" w:rsidTr="004736F2">
        <w:trPr>
          <w:jc w:val="center"/>
        </w:trPr>
        <w:tc>
          <w:tcPr>
            <w:tcW w:w="992" w:type="dxa"/>
            <w:vMerge/>
            <w:vAlign w:val="center"/>
          </w:tcPr>
          <w:p w14:paraId="4BC682D9" w14:textId="77777777" w:rsidR="00342321" w:rsidRPr="00BC31E0" w:rsidRDefault="00342321" w:rsidP="004736F2">
            <w:pPr>
              <w:snapToGrid w:val="0"/>
              <w:spacing w:line="300" w:lineRule="atLeast"/>
              <w:jc w:val="center"/>
              <w:rPr>
                <w:rFonts w:ascii="Times New Roman" w:hAnsi="Times New Roman"/>
                <w:i/>
                <w:szCs w:val="20"/>
              </w:rPr>
            </w:pPr>
          </w:p>
        </w:tc>
        <w:tc>
          <w:tcPr>
            <w:tcW w:w="1594" w:type="dxa"/>
            <w:vAlign w:val="center"/>
          </w:tcPr>
          <w:p w14:paraId="1996A21D" w14:textId="77777777" w:rsidR="00342321" w:rsidRPr="00BC31E0" w:rsidRDefault="00342321" w:rsidP="004736F2">
            <w:pPr>
              <w:snapToGrid w:val="0"/>
              <w:spacing w:line="300" w:lineRule="atLeast"/>
              <w:jc w:val="center"/>
              <w:rPr>
                <w:szCs w:val="20"/>
              </w:rPr>
            </w:pPr>
            <m:oMathPara>
              <m:oMath>
                <m:r>
                  <w:rPr>
                    <w:rFonts w:ascii="Cambria Math" w:hAnsi="Cambria Math"/>
                    <w:szCs w:val="20"/>
                  </w:rPr>
                  <m:t>Y=</m:t>
                </m:r>
                <m:r>
                  <w:rPr>
                    <w:rFonts w:ascii="Cambria Math" w:hAnsi="Cambria Math" w:hint="eastAsia"/>
                    <w:szCs w:val="20"/>
                  </w:rPr>
                  <m:t>1.2</m:t>
                </m:r>
              </m:oMath>
            </m:oMathPara>
          </w:p>
        </w:tc>
        <w:tc>
          <w:tcPr>
            <w:tcW w:w="1595" w:type="dxa"/>
            <w:vAlign w:val="center"/>
          </w:tcPr>
          <w:p w14:paraId="42D5FFDC" w14:textId="77777777" w:rsidR="00342321" w:rsidRPr="00BC31E0" w:rsidRDefault="00342321" w:rsidP="004736F2">
            <w:pPr>
              <w:snapToGrid w:val="0"/>
              <w:spacing w:line="300" w:lineRule="atLeast"/>
              <w:jc w:val="center"/>
              <w:rPr>
                <w:szCs w:val="20"/>
              </w:rPr>
            </w:pPr>
            <m:oMathPara>
              <m:oMath>
                <m:r>
                  <w:rPr>
                    <w:rFonts w:ascii="Cambria Math" w:hAnsi="Cambria Math"/>
                    <w:szCs w:val="20"/>
                  </w:rPr>
                  <m:t>Y=</m:t>
                </m:r>
                <m:r>
                  <w:rPr>
                    <w:rFonts w:ascii="Cambria Math" w:hAnsi="Cambria Math" w:hint="eastAsia"/>
                    <w:szCs w:val="20"/>
                  </w:rPr>
                  <m:t>1.5</m:t>
                </m:r>
              </m:oMath>
            </m:oMathPara>
          </w:p>
        </w:tc>
        <w:tc>
          <w:tcPr>
            <w:tcW w:w="1595" w:type="dxa"/>
            <w:vAlign w:val="center"/>
          </w:tcPr>
          <w:p w14:paraId="26C58625" w14:textId="77777777" w:rsidR="00342321" w:rsidRPr="00BC31E0" w:rsidRDefault="00342321" w:rsidP="004736F2">
            <w:pPr>
              <w:snapToGrid w:val="0"/>
              <w:spacing w:line="300" w:lineRule="atLeast"/>
              <w:jc w:val="center"/>
              <w:rPr>
                <w:szCs w:val="20"/>
              </w:rPr>
            </w:pPr>
            <m:oMathPara>
              <m:oMath>
                <m:r>
                  <w:rPr>
                    <w:rFonts w:ascii="Cambria Math" w:hAnsi="Cambria Math"/>
                    <w:szCs w:val="20"/>
                  </w:rPr>
                  <m:t>Y=</m:t>
                </m:r>
                <m:r>
                  <w:rPr>
                    <w:rFonts w:ascii="Cambria Math" w:hAnsi="Cambria Math" w:hint="eastAsia"/>
                    <w:szCs w:val="20"/>
                  </w:rPr>
                  <m:t>2.0</m:t>
                </m:r>
              </m:oMath>
            </m:oMathPara>
          </w:p>
        </w:tc>
        <w:tc>
          <w:tcPr>
            <w:tcW w:w="1595" w:type="dxa"/>
            <w:vAlign w:val="center"/>
          </w:tcPr>
          <w:p w14:paraId="02B81083" w14:textId="77777777" w:rsidR="00342321" w:rsidRPr="00BC31E0" w:rsidRDefault="00342321" w:rsidP="004736F2">
            <w:pPr>
              <w:snapToGrid w:val="0"/>
              <w:spacing w:line="300" w:lineRule="atLeast"/>
              <w:jc w:val="center"/>
              <w:rPr>
                <w:szCs w:val="20"/>
              </w:rPr>
            </w:pPr>
            <m:oMathPara>
              <m:oMath>
                <m:r>
                  <w:rPr>
                    <w:rFonts w:ascii="Cambria Math" w:hAnsi="Cambria Math"/>
                    <w:szCs w:val="20"/>
                  </w:rPr>
                  <m:t>Y=</m:t>
                </m:r>
                <m:r>
                  <w:rPr>
                    <w:rFonts w:ascii="Cambria Math" w:hAnsi="Cambria Math" w:hint="eastAsia"/>
                    <w:szCs w:val="20"/>
                  </w:rPr>
                  <m:t>2.5</m:t>
                </m:r>
              </m:oMath>
            </m:oMathPara>
          </w:p>
        </w:tc>
      </w:tr>
      <w:tr w:rsidR="00342321" w:rsidRPr="00BC31E0" w14:paraId="14E1AC55" w14:textId="77777777" w:rsidTr="004736F2">
        <w:trPr>
          <w:jc w:val="center"/>
        </w:trPr>
        <w:tc>
          <w:tcPr>
            <w:tcW w:w="992" w:type="dxa"/>
            <w:vMerge/>
            <w:vAlign w:val="center"/>
          </w:tcPr>
          <w:p w14:paraId="39228A74" w14:textId="77777777" w:rsidR="00342321" w:rsidRPr="00BC31E0" w:rsidRDefault="00342321" w:rsidP="004736F2">
            <w:pPr>
              <w:snapToGrid w:val="0"/>
              <w:spacing w:line="300" w:lineRule="atLeast"/>
              <w:jc w:val="center"/>
              <w:rPr>
                <w:szCs w:val="20"/>
              </w:rPr>
            </w:pPr>
          </w:p>
        </w:tc>
        <w:tc>
          <w:tcPr>
            <w:tcW w:w="1594" w:type="dxa"/>
            <w:vAlign w:val="center"/>
          </w:tcPr>
          <w:p w14:paraId="7D265B81" w14:textId="77777777" w:rsidR="00342321" w:rsidRPr="00BC31E0" w:rsidRDefault="00342321" w:rsidP="004736F2">
            <w:pPr>
              <w:snapToGrid w:val="0"/>
              <w:spacing w:line="300" w:lineRule="atLeast"/>
              <w:jc w:val="center"/>
              <w:rPr>
                <w:szCs w:val="20"/>
              </w:rPr>
            </w:pPr>
            <m:oMath>
              <m:r>
                <w:rPr>
                  <w:rFonts w:ascii="Cambria Math" w:hAnsi="Cambria Math"/>
                  <w:szCs w:val="20"/>
                </w:rPr>
                <m:t xml:space="preserve">a </m:t>
              </m:r>
            </m:oMath>
            <w:r w:rsidRPr="00BC31E0">
              <w:rPr>
                <w:rFonts w:asciiTheme="minorHAnsi" w:hAnsiTheme="minorHAnsi"/>
                <w:szCs w:val="20"/>
              </w:rPr>
              <w:t>(</w:t>
            </w:r>
            <m:oMath>
              <m:r>
                <m:rPr>
                  <m:sty m:val="p"/>
                </m:rPr>
                <w:rPr>
                  <w:rFonts w:ascii="Cambria Math" w:hAnsi="Cambria Math"/>
                  <w:szCs w:val="20"/>
                </w:rPr>
                <m:t>mm</m:t>
              </m:r>
            </m:oMath>
            <w:r w:rsidRPr="00BC31E0">
              <w:rPr>
                <w:rFonts w:asciiTheme="minorHAnsi" w:hAnsiTheme="minorHAnsi"/>
                <w:szCs w:val="20"/>
              </w:rPr>
              <w:t>)</w:t>
            </w:r>
          </w:p>
        </w:tc>
        <w:tc>
          <w:tcPr>
            <w:tcW w:w="1595" w:type="dxa"/>
            <w:vAlign w:val="center"/>
          </w:tcPr>
          <w:p w14:paraId="43915C20" w14:textId="77777777" w:rsidR="00342321" w:rsidRPr="00BC31E0" w:rsidRDefault="00342321" w:rsidP="004736F2">
            <w:pPr>
              <w:snapToGrid w:val="0"/>
              <w:spacing w:line="300" w:lineRule="atLeast"/>
              <w:jc w:val="center"/>
              <w:rPr>
                <w:szCs w:val="20"/>
              </w:rPr>
            </w:pPr>
            <m:oMath>
              <m:r>
                <w:rPr>
                  <w:rFonts w:ascii="Cambria Math" w:hAnsi="Cambria Math"/>
                  <w:szCs w:val="20"/>
                </w:rPr>
                <m:t xml:space="preserve">a </m:t>
              </m:r>
            </m:oMath>
            <w:r w:rsidRPr="00BC31E0">
              <w:rPr>
                <w:rFonts w:asciiTheme="minorHAnsi" w:hAnsiTheme="minorHAnsi"/>
                <w:szCs w:val="20"/>
              </w:rPr>
              <w:t>(</w:t>
            </w:r>
            <m:oMath>
              <m:r>
                <m:rPr>
                  <m:sty m:val="p"/>
                </m:rPr>
                <w:rPr>
                  <w:rFonts w:ascii="Cambria Math" w:hAnsi="Cambria Math"/>
                  <w:szCs w:val="20"/>
                </w:rPr>
                <m:t>mm</m:t>
              </m:r>
            </m:oMath>
            <w:r w:rsidRPr="00BC31E0">
              <w:rPr>
                <w:rFonts w:asciiTheme="minorHAnsi" w:hAnsiTheme="minorHAnsi"/>
                <w:szCs w:val="20"/>
              </w:rPr>
              <w:t>)</w:t>
            </w:r>
          </w:p>
        </w:tc>
        <w:tc>
          <w:tcPr>
            <w:tcW w:w="1595" w:type="dxa"/>
            <w:vAlign w:val="center"/>
          </w:tcPr>
          <w:p w14:paraId="3A87FFA2" w14:textId="77777777" w:rsidR="00342321" w:rsidRPr="00BC31E0" w:rsidRDefault="00342321" w:rsidP="004736F2">
            <w:pPr>
              <w:snapToGrid w:val="0"/>
              <w:spacing w:line="300" w:lineRule="atLeast"/>
              <w:jc w:val="center"/>
              <w:rPr>
                <w:szCs w:val="20"/>
              </w:rPr>
            </w:pPr>
            <m:oMath>
              <m:r>
                <w:rPr>
                  <w:rFonts w:ascii="Cambria Math" w:hAnsi="Cambria Math"/>
                  <w:szCs w:val="20"/>
                </w:rPr>
                <m:t xml:space="preserve">a </m:t>
              </m:r>
            </m:oMath>
            <w:r w:rsidRPr="00BC31E0">
              <w:rPr>
                <w:rFonts w:asciiTheme="minorHAnsi" w:hAnsiTheme="minorHAnsi"/>
                <w:szCs w:val="20"/>
              </w:rPr>
              <w:t>(</w:t>
            </w:r>
            <m:oMath>
              <m:r>
                <m:rPr>
                  <m:sty m:val="p"/>
                </m:rPr>
                <w:rPr>
                  <w:rFonts w:ascii="Cambria Math" w:hAnsi="Cambria Math"/>
                  <w:szCs w:val="20"/>
                </w:rPr>
                <m:t>mm</m:t>
              </m:r>
            </m:oMath>
            <w:r w:rsidRPr="00BC31E0">
              <w:rPr>
                <w:rFonts w:asciiTheme="minorHAnsi" w:hAnsiTheme="minorHAnsi"/>
                <w:szCs w:val="20"/>
              </w:rPr>
              <w:t>)</w:t>
            </w:r>
          </w:p>
        </w:tc>
        <w:tc>
          <w:tcPr>
            <w:tcW w:w="1595" w:type="dxa"/>
            <w:vAlign w:val="center"/>
          </w:tcPr>
          <w:p w14:paraId="0E66B2AF" w14:textId="77777777" w:rsidR="00342321" w:rsidRPr="00BC31E0" w:rsidRDefault="00342321" w:rsidP="004736F2">
            <w:pPr>
              <w:snapToGrid w:val="0"/>
              <w:spacing w:line="300" w:lineRule="atLeast"/>
              <w:jc w:val="center"/>
              <w:rPr>
                <w:szCs w:val="20"/>
              </w:rPr>
            </w:pPr>
            <m:oMath>
              <m:r>
                <w:rPr>
                  <w:rFonts w:ascii="Cambria Math" w:hAnsi="Cambria Math"/>
                  <w:szCs w:val="20"/>
                </w:rPr>
                <m:t xml:space="preserve">a </m:t>
              </m:r>
            </m:oMath>
            <w:r w:rsidRPr="00BC31E0">
              <w:rPr>
                <w:rFonts w:asciiTheme="minorHAnsi" w:hAnsiTheme="minorHAnsi"/>
                <w:szCs w:val="20"/>
              </w:rPr>
              <w:t>(</w:t>
            </w:r>
            <m:oMath>
              <m:r>
                <m:rPr>
                  <m:sty m:val="p"/>
                </m:rPr>
                <w:rPr>
                  <w:rFonts w:ascii="Cambria Math" w:hAnsi="Cambria Math"/>
                  <w:szCs w:val="20"/>
                </w:rPr>
                <m:t>mm</m:t>
              </m:r>
            </m:oMath>
            <w:r w:rsidRPr="00BC31E0">
              <w:rPr>
                <w:rFonts w:asciiTheme="minorHAnsi" w:hAnsiTheme="minorHAnsi"/>
                <w:szCs w:val="20"/>
              </w:rPr>
              <w:t>)</w:t>
            </w:r>
          </w:p>
        </w:tc>
      </w:tr>
      <w:tr w:rsidR="00342321" w:rsidRPr="00BC31E0" w14:paraId="615B8487" w14:textId="77777777" w:rsidTr="004736F2">
        <w:trPr>
          <w:jc w:val="center"/>
        </w:trPr>
        <w:tc>
          <w:tcPr>
            <w:tcW w:w="992" w:type="dxa"/>
            <w:vAlign w:val="center"/>
          </w:tcPr>
          <w:p w14:paraId="309CFAAB" w14:textId="77777777" w:rsidR="00342321" w:rsidRPr="00BC31E0" w:rsidRDefault="00342321" w:rsidP="004736F2">
            <w:pPr>
              <w:snapToGrid w:val="0"/>
              <w:spacing w:line="300" w:lineRule="atLeast"/>
              <w:jc w:val="center"/>
              <w:rPr>
                <w:szCs w:val="20"/>
              </w:rPr>
            </w:pPr>
            <w:r w:rsidRPr="00BC31E0">
              <w:rPr>
                <w:rFonts w:hint="eastAsia"/>
                <w:szCs w:val="20"/>
              </w:rPr>
              <w:t>0.0</w:t>
            </w:r>
          </w:p>
        </w:tc>
        <w:tc>
          <w:tcPr>
            <w:tcW w:w="1594" w:type="dxa"/>
            <w:vAlign w:val="center"/>
          </w:tcPr>
          <w:p w14:paraId="11493808"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6.76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595" w:type="dxa"/>
            <w:vAlign w:val="center"/>
          </w:tcPr>
          <w:p w14:paraId="40F75071"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4.10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595" w:type="dxa"/>
            <w:vAlign w:val="center"/>
          </w:tcPr>
          <w:p w14:paraId="6AD5C81B"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1.87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595" w:type="dxa"/>
            <w:vAlign w:val="center"/>
          </w:tcPr>
          <w:p w14:paraId="266A9179" w14:textId="77777777" w:rsidR="00342321" w:rsidRPr="00BC31E0" w:rsidRDefault="00342321" w:rsidP="004736F2">
            <w:pPr>
              <w:snapToGrid w:val="0"/>
              <w:spacing w:line="300" w:lineRule="atLeast"/>
              <w:jc w:val="center"/>
              <w:rPr>
                <w:rFonts w:ascii="Cambria Math" w:eastAsia="ＭＳ ゴシック" w:hAnsi="Cambria Math"/>
                <w:b/>
                <w:i/>
                <w:sz w:val="22"/>
                <w:szCs w:val="22"/>
              </w:rPr>
            </w:pPr>
            <m:oMathPara>
              <m:oMath>
                <m:r>
                  <w:rPr>
                    <w:rFonts w:ascii="Cambria Math" w:hAnsi="Cambria Math"/>
                    <w:sz w:val="22"/>
                    <w:szCs w:val="22"/>
                  </w:rPr>
                  <m:t xml:space="preserve">0.763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r>
      <w:tr w:rsidR="00342321" w:rsidRPr="00BC31E0" w14:paraId="35ACF969" w14:textId="77777777" w:rsidTr="004736F2">
        <w:trPr>
          <w:jc w:val="center"/>
        </w:trPr>
        <w:tc>
          <w:tcPr>
            <w:tcW w:w="992" w:type="dxa"/>
            <w:vAlign w:val="center"/>
          </w:tcPr>
          <w:p w14:paraId="0EF82A61" w14:textId="77777777" w:rsidR="00342321" w:rsidRPr="00BC31E0" w:rsidRDefault="00342321" w:rsidP="004736F2">
            <w:pPr>
              <w:snapToGrid w:val="0"/>
              <w:spacing w:line="300" w:lineRule="atLeast"/>
              <w:jc w:val="center"/>
              <w:rPr>
                <w:szCs w:val="20"/>
              </w:rPr>
            </w:pPr>
            <w:r w:rsidRPr="00BC31E0">
              <w:rPr>
                <w:rFonts w:hint="eastAsia"/>
                <w:szCs w:val="20"/>
              </w:rPr>
              <w:t>0.1</w:t>
            </w:r>
          </w:p>
        </w:tc>
        <w:tc>
          <w:tcPr>
            <w:tcW w:w="1594" w:type="dxa"/>
            <w:vAlign w:val="center"/>
          </w:tcPr>
          <w:p w14:paraId="617E7DF7"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7.72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595" w:type="dxa"/>
            <w:vAlign w:val="center"/>
          </w:tcPr>
          <w:p w14:paraId="4CB34572"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4.79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595" w:type="dxa"/>
            <w:vAlign w:val="center"/>
          </w:tcPr>
          <w:p w14:paraId="147C02A7"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2.35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595" w:type="dxa"/>
            <w:vAlign w:val="center"/>
          </w:tcPr>
          <w:p w14:paraId="747E8B25" w14:textId="77777777" w:rsidR="00342321" w:rsidRPr="00BC31E0" w:rsidRDefault="00342321" w:rsidP="004736F2">
            <w:pPr>
              <w:snapToGrid w:val="0"/>
              <w:spacing w:line="300" w:lineRule="atLeast"/>
              <w:jc w:val="center"/>
              <w:rPr>
                <w:rFonts w:ascii="Cambria Math" w:eastAsia="ＭＳ ゴシック" w:hAnsi="Cambria Math"/>
                <w:b/>
                <w:i/>
                <w:sz w:val="22"/>
                <w:szCs w:val="22"/>
              </w:rPr>
            </w:pPr>
            <m:oMathPara>
              <m:oMath>
                <m:r>
                  <w:rPr>
                    <w:rFonts w:ascii="Cambria Math" w:hAnsi="Cambria Math"/>
                    <w:sz w:val="22"/>
                    <w:szCs w:val="22"/>
                  </w:rPr>
                  <m:t xml:space="preserve">1.09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r>
      <w:tr w:rsidR="00342321" w:rsidRPr="00BC31E0" w14:paraId="39D9C1BE" w14:textId="77777777" w:rsidTr="004736F2">
        <w:trPr>
          <w:jc w:val="center"/>
        </w:trPr>
        <w:tc>
          <w:tcPr>
            <w:tcW w:w="992" w:type="dxa"/>
            <w:vAlign w:val="center"/>
          </w:tcPr>
          <w:p w14:paraId="47E90B6F" w14:textId="77777777" w:rsidR="00342321" w:rsidRPr="00BC31E0" w:rsidRDefault="00342321" w:rsidP="004736F2">
            <w:pPr>
              <w:snapToGrid w:val="0"/>
              <w:spacing w:line="300" w:lineRule="atLeast"/>
              <w:jc w:val="center"/>
              <w:rPr>
                <w:szCs w:val="20"/>
              </w:rPr>
            </w:pPr>
            <w:r w:rsidRPr="00BC31E0">
              <w:rPr>
                <w:rFonts w:hint="eastAsia"/>
                <w:szCs w:val="20"/>
              </w:rPr>
              <w:t>0.2</w:t>
            </w:r>
          </w:p>
        </w:tc>
        <w:tc>
          <w:tcPr>
            <w:tcW w:w="1594" w:type="dxa"/>
            <w:vAlign w:val="center"/>
          </w:tcPr>
          <w:p w14:paraId="52687671"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9.94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595" w:type="dxa"/>
            <w:vAlign w:val="center"/>
          </w:tcPr>
          <w:p w14:paraId="0C94B415"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6.37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595" w:type="dxa"/>
            <w:vAlign w:val="center"/>
          </w:tcPr>
          <w:p w14:paraId="3FCD33BD"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3.29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595" w:type="dxa"/>
            <w:vAlign w:val="center"/>
          </w:tcPr>
          <w:p w14:paraId="3E46B6A6"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1.76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r>
      <w:tr w:rsidR="00342321" w:rsidRPr="00BC31E0" w14:paraId="5E4C6615" w14:textId="77777777" w:rsidTr="004736F2">
        <w:trPr>
          <w:jc w:val="center"/>
        </w:trPr>
        <w:tc>
          <w:tcPr>
            <w:tcW w:w="992" w:type="dxa"/>
            <w:vAlign w:val="center"/>
          </w:tcPr>
          <w:p w14:paraId="71EA5BC7" w14:textId="77777777" w:rsidR="00342321" w:rsidRPr="00BC31E0" w:rsidRDefault="00342321" w:rsidP="004736F2">
            <w:pPr>
              <w:snapToGrid w:val="0"/>
              <w:spacing w:line="300" w:lineRule="atLeast"/>
              <w:jc w:val="center"/>
              <w:rPr>
                <w:szCs w:val="20"/>
              </w:rPr>
            </w:pPr>
            <w:r w:rsidRPr="00BC31E0">
              <w:rPr>
                <w:rFonts w:hint="eastAsia"/>
                <w:szCs w:val="20"/>
              </w:rPr>
              <w:t>0.3</w:t>
            </w:r>
          </w:p>
        </w:tc>
        <w:tc>
          <w:tcPr>
            <w:tcW w:w="1594" w:type="dxa"/>
            <w:vAlign w:val="center"/>
          </w:tcPr>
          <w:p w14:paraId="46CFE59E"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13.2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595" w:type="dxa"/>
            <w:vAlign w:val="center"/>
          </w:tcPr>
          <w:p w14:paraId="30A8AFD9"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8.66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595" w:type="dxa"/>
            <w:vAlign w:val="center"/>
          </w:tcPr>
          <w:p w14:paraId="526EDC51"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4.67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595" w:type="dxa"/>
            <w:vAlign w:val="center"/>
          </w:tcPr>
          <w:p w14:paraId="0206EA05"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2.71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r>
      <w:tr w:rsidR="00342321" w:rsidRPr="00BC31E0" w14:paraId="0DFC6123" w14:textId="77777777" w:rsidTr="004736F2">
        <w:trPr>
          <w:jc w:val="center"/>
        </w:trPr>
        <w:tc>
          <w:tcPr>
            <w:tcW w:w="992" w:type="dxa"/>
            <w:vAlign w:val="center"/>
          </w:tcPr>
          <w:p w14:paraId="33F50A2D" w14:textId="77777777" w:rsidR="00342321" w:rsidRPr="00BC31E0" w:rsidRDefault="00342321" w:rsidP="004736F2">
            <w:pPr>
              <w:snapToGrid w:val="0"/>
              <w:spacing w:line="300" w:lineRule="atLeast"/>
              <w:jc w:val="center"/>
              <w:rPr>
                <w:szCs w:val="20"/>
              </w:rPr>
            </w:pPr>
            <w:r w:rsidRPr="00BC31E0">
              <w:rPr>
                <w:rFonts w:hint="eastAsia"/>
                <w:szCs w:val="20"/>
              </w:rPr>
              <w:t>0.4</w:t>
            </w:r>
          </w:p>
        </w:tc>
        <w:tc>
          <w:tcPr>
            <w:tcW w:w="1594" w:type="dxa"/>
            <w:vAlign w:val="center"/>
          </w:tcPr>
          <w:p w14:paraId="5A9422F5"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17.4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595" w:type="dxa"/>
            <w:vAlign w:val="center"/>
          </w:tcPr>
          <w:p w14:paraId="000DFD34"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11.7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595" w:type="dxa"/>
            <w:vAlign w:val="center"/>
          </w:tcPr>
          <w:p w14:paraId="33B77275"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6.94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595" w:type="dxa"/>
            <w:vAlign w:val="center"/>
          </w:tcPr>
          <w:p w14:paraId="1FAEBFAF"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4.55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r>
      <w:tr w:rsidR="00342321" w:rsidRPr="00BC31E0" w14:paraId="1BBD8CBC" w14:textId="77777777" w:rsidTr="004736F2">
        <w:trPr>
          <w:jc w:val="center"/>
        </w:trPr>
        <w:tc>
          <w:tcPr>
            <w:tcW w:w="992" w:type="dxa"/>
            <w:vAlign w:val="center"/>
          </w:tcPr>
          <w:p w14:paraId="262736E9" w14:textId="77777777" w:rsidR="00342321" w:rsidRPr="00BC31E0" w:rsidRDefault="00342321" w:rsidP="004736F2">
            <w:pPr>
              <w:snapToGrid w:val="0"/>
              <w:spacing w:line="300" w:lineRule="atLeast"/>
              <w:jc w:val="center"/>
              <w:rPr>
                <w:szCs w:val="20"/>
              </w:rPr>
            </w:pPr>
            <w:r w:rsidRPr="00BC31E0">
              <w:rPr>
                <w:rFonts w:hint="eastAsia"/>
                <w:szCs w:val="20"/>
              </w:rPr>
              <w:t>0.5</w:t>
            </w:r>
          </w:p>
        </w:tc>
        <w:tc>
          <w:tcPr>
            <w:tcW w:w="1594" w:type="dxa"/>
            <w:vAlign w:val="center"/>
          </w:tcPr>
          <w:p w14:paraId="49724F27"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18.2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595" w:type="dxa"/>
            <w:vAlign w:val="center"/>
          </w:tcPr>
          <w:p w14:paraId="41536216"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12.2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595" w:type="dxa"/>
            <w:vAlign w:val="center"/>
          </w:tcPr>
          <w:p w14:paraId="36E6B471"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7.22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595" w:type="dxa"/>
            <w:vAlign w:val="center"/>
          </w:tcPr>
          <w:p w14:paraId="4BA533B5"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 xml:space="preserve">4.74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r>
    </w:tbl>
    <w:p w14:paraId="51CCC3F0" w14:textId="77777777" w:rsidR="00342321" w:rsidRPr="00BC31E0" w:rsidRDefault="00342321" w:rsidP="00342321">
      <w:pPr>
        <w:snapToGrid w:val="0"/>
        <w:spacing w:before="60" w:line="320" w:lineRule="atLeast"/>
        <w:ind w:left="1474" w:hanging="794"/>
        <w:jc w:val="left"/>
        <w:rPr>
          <w:szCs w:val="20"/>
        </w:rPr>
      </w:pPr>
      <w:r w:rsidRPr="00BC31E0">
        <w:rPr>
          <w:rFonts w:ascii="ＭＳ ゴシック" w:eastAsia="ＭＳ ゴシック" w:hAnsi="ＭＳ ゴシック" w:hint="eastAsia"/>
          <w:b/>
          <w:szCs w:val="20"/>
        </w:rPr>
        <w:t>注記1</w:t>
      </w:r>
      <w:r w:rsidRPr="00BC31E0">
        <w:rPr>
          <w:rFonts w:ascii="ＭＳ 明朝" w:hAnsi="ＭＳ 明朝" w:hint="eastAsia"/>
          <w:szCs w:val="20"/>
        </w:rPr>
        <w:t xml:space="preserve">　</w:t>
      </w:r>
      <w:r w:rsidRPr="00BC31E0">
        <w:rPr>
          <w:szCs w:val="20"/>
        </w:rPr>
        <w:t>き</w:t>
      </w:r>
      <w:r w:rsidRPr="00BC31E0">
        <w:rPr>
          <w:rFonts w:hint="eastAsia"/>
          <w:szCs w:val="20"/>
        </w:rPr>
        <w:t>ず</w:t>
      </w:r>
      <w:r w:rsidRPr="00BC31E0">
        <w:rPr>
          <w:szCs w:val="20"/>
        </w:rPr>
        <w:t>高さ</w:t>
      </w:r>
      <m:oMath>
        <m:r>
          <w:rPr>
            <w:rFonts w:ascii="Cambria Math" w:hAnsi="Cambria Math" w:hint="eastAsia"/>
            <w:szCs w:val="20"/>
          </w:rPr>
          <m:t>2</m:t>
        </m:r>
        <m:r>
          <w:rPr>
            <w:rFonts w:ascii="Cambria Math" w:hAnsi="Cambria Math"/>
            <w:szCs w:val="20"/>
          </w:rPr>
          <m:t xml:space="preserve">a </m:t>
        </m:r>
      </m:oMath>
      <w:r w:rsidRPr="00BC31E0">
        <w:rPr>
          <w:szCs w:val="20"/>
        </w:rPr>
        <w:t>が</w:t>
      </w:r>
      <m:oMath>
        <m:r>
          <m:rPr>
            <m:sty m:val="p"/>
          </m:rPr>
          <w:rPr>
            <w:rFonts w:ascii="Cambria Math" w:hAnsi="Cambria Math"/>
            <w:szCs w:val="20"/>
          </w:rPr>
          <m:t xml:space="preserve"> 1 mm </m:t>
        </m:r>
      </m:oMath>
      <w:r w:rsidRPr="00BC31E0">
        <w:rPr>
          <w:szCs w:val="20"/>
        </w:rPr>
        <w:t>未満になる場合</w:t>
      </w:r>
      <w:r w:rsidRPr="00BC31E0">
        <w:rPr>
          <w:rFonts w:hint="eastAsia"/>
          <w:szCs w:val="20"/>
        </w:rPr>
        <w:t>で</w:t>
      </w:r>
      <w:r w:rsidRPr="00BC31E0">
        <w:rPr>
          <w:szCs w:val="20"/>
        </w:rPr>
        <w:t>，使用者設計仕様書</w:t>
      </w:r>
      <w:r w:rsidRPr="00BC31E0">
        <w:rPr>
          <w:rFonts w:hint="eastAsia"/>
          <w:szCs w:val="20"/>
        </w:rPr>
        <w:t>に</w:t>
      </w:r>
      <w:r w:rsidRPr="00BC31E0">
        <w:rPr>
          <w:rFonts w:ascii="ＭＳ ゴシック" w:eastAsia="ＭＳ ゴシック" w:hAnsi="ＭＳ ゴシック" w:hint="eastAsia"/>
          <w:b/>
          <w:szCs w:val="20"/>
        </w:rPr>
        <w:t>表5.2.2</w:t>
      </w:r>
      <w:r w:rsidRPr="00BC31E0">
        <w:rPr>
          <w:rFonts w:hint="eastAsia"/>
          <w:szCs w:val="20"/>
        </w:rPr>
        <w:t>よりも高い</w:t>
      </w:r>
      <w:r w:rsidRPr="00BC31E0">
        <w:rPr>
          <w:szCs w:val="20"/>
        </w:rPr>
        <w:t>要求シャルピー</w:t>
      </w:r>
      <w:r w:rsidRPr="00BC31E0">
        <w:rPr>
          <w:rFonts w:hint="eastAsia"/>
          <w:szCs w:val="20"/>
        </w:rPr>
        <w:t>衝撃</w:t>
      </w:r>
      <w:r w:rsidRPr="00BC31E0">
        <w:rPr>
          <w:szCs w:val="20"/>
        </w:rPr>
        <w:t>吸収エネルギー</w:t>
      </w:r>
      <w:r w:rsidRPr="00BC31E0">
        <w:rPr>
          <w:rFonts w:hint="eastAsia"/>
          <w:szCs w:val="20"/>
        </w:rPr>
        <w:t>が規定されている場合には，</w:t>
      </w:r>
      <w:r w:rsidRPr="00BC31E0">
        <w:rPr>
          <w:rFonts w:ascii="ＭＳ ゴシック" w:eastAsia="ＭＳ ゴシック" w:hAnsi="ＭＳ ゴシック" w:hint="eastAsia"/>
          <w:b/>
          <w:szCs w:val="20"/>
        </w:rPr>
        <w:t>9.3.6 c) 2) 2.3)</w:t>
      </w:r>
      <w:r w:rsidRPr="00BC31E0">
        <w:rPr>
          <w:rFonts w:hint="eastAsia"/>
          <w:szCs w:val="20"/>
        </w:rPr>
        <w:t>に</w:t>
      </w:r>
      <w:r w:rsidRPr="00BC31E0">
        <w:rPr>
          <w:szCs w:val="20"/>
        </w:rPr>
        <w:t>より</w:t>
      </w:r>
      <w:r w:rsidRPr="00BC31E0">
        <w:rPr>
          <w:rFonts w:hint="eastAsia"/>
          <w:szCs w:val="20"/>
        </w:rPr>
        <w:t>製作者が許容きず寸法を算出</w:t>
      </w:r>
      <w:r w:rsidR="00C95A93" w:rsidRPr="00BC31E0">
        <w:rPr>
          <w:rFonts w:hint="eastAsia"/>
          <w:szCs w:val="20"/>
        </w:rPr>
        <w:t>してもよい</w:t>
      </w:r>
      <w:r w:rsidRPr="00BC31E0">
        <w:rPr>
          <w:rFonts w:hint="eastAsia"/>
          <w:szCs w:val="20"/>
        </w:rPr>
        <w:t>。</w:t>
      </w:r>
    </w:p>
    <w:p w14:paraId="3785BE81" w14:textId="77777777" w:rsidR="00342321" w:rsidRPr="00BC31E0" w:rsidRDefault="00342321" w:rsidP="00342321">
      <w:pPr>
        <w:snapToGrid w:val="0"/>
        <w:spacing w:line="320" w:lineRule="atLeast"/>
        <w:ind w:left="1474" w:hanging="794"/>
        <w:jc w:val="left"/>
        <w:rPr>
          <w:rFonts w:hAnsi="ＭＳ 明朝"/>
          <w:szCs w:val="20"/>
        </w:rPr>
      </w:pPr>
      <w:r w:rsidRPr="00BC31E0">
        <w:rPr>
          <w:rFonts w:ascii="ＭＳ ゴシック" w:eastAsia="ＭＳ ゴシック" w:hAnsi="ＭＳ ゴシック" w:hint="eastAsia"/>
          <w:b/>
          <w:szCs w:val="20"/>
        </w:rPr>
        <w:t>注記2</w:t>
      </w:r>
      <w:r w:rsidRPr="00BC31E0">
        <w:rPr>
          <w:rFonts w:ascii="ＭＳ 明朝" w:hAnsi="ＭＳ 明朝" w:hint="eastAsia"/>
          <w:szCs w:val="20"/>
        </w:rPr>
        <w:t xml:space="preserve">　</w:t>
      </w:r>
      <w:r w:rsidRPr="00BC31E0">
        <w:rPr>
          <w:rFonts w:hAnsi="ＭＳ 明朝"/>
          <w:szCs w:val="20"/>
        </w:rPr>
        <w:t>中間の</w:t>
      </w:r>
      <w:r w:rsidRPr="00BC31E0">
        <w:rPr>
          <w:rFonts w:hAnsi="ＭＳ 明朝" w:hint="eastAsia"/>
          <w:szCs w:val="20"/>
        </w:rPr>
        <w:t>内外径比</w:t>
      </w:r>
      <m:oMath>
        <m:r>
          <m:rPr>
            <m:sty m:val="p"/>
          </m:rPr>
          <w:rPr>
            <w:rFonts w:ascii="Cambria Math" w:hAnsi="Cambria Math"/>
            <w:szCs w:val="20"/>
          </w:rPr>
          <m:t xml:space="preserve"> </m:t>
        </m:r>
        <m:r>
          <w:rPr>
            <w:rFonts w:ascii="Cambria Math" w:hAnsi="Cambria Math"/>
            <w:szCs w:val="20"/>
          </w:rPr>
          <m:t>Y</m:t>
        </m:r>
        <m:r>
          <m:rPr>
            <m:sty m:val="p"/>
          </m:rPr>
          <w:rPr>
            <w:rFonts w:ascii="Cambria Math" w:hAnsi="Cambria Math"/>
            <w:szCs w:val="20"/>
          </w:rPr>
          <m:t xml:space="preserve"> </m:t>
        </m:r>
      </m:oMath>
      <w:r w:rsidRPr="00BC31E0">
        <w:rPr>
          <w:rFonts w:hAnsi="ＭＳ 明朝"/>
          <w:szCs w:val="20"/>
        </w:rPr>
        <w:t>の値及び</w:t>
      </w:r>
      <m:oMath>
        <m:f>
          <m:fPr>
            <m:type m:val="lin"/>
            <m:ctrlPr>
              <w:rPr>
                <w:rFonts w:ascii="Cambria Math" w:hAnsi="Cambria Math"/>
                <w:i/>
                <w:szCs w:val="20"/>
              </w:rPr>
            </m:ctrlPr>
          </m:fPr>
          <m:num>
            <m:r>
              <w:rPr>
                <w:rFonts w:ascii="Cambria Math" w:hAnsi="Cambria Math"/>
                <w:szCs w:val="20"/>
              </w:rPr>
              <m:t xml:space="preserve"> a</m:t>
            </m:r>
          </m:num>
          <m:den>
            <m:r>
              <w:rPr>
                <w:rFonts w:ascii="Cambria Math" w:hAnsi="Cambria Math"/>
                <w:szCs w:val="20"/>
              </w:rPr>
              <m:t xml:space="preserve">l </m:t>
            </m:r>
          </m:den>
        </m:f>
      </m:oMath>
      <w:r w:rsidRPr="00BC31E0">
        <w:rPr>
          <w:rFonts w:hAnsi="ＭＳ 明朝"/>
          <w:szCs w:val="20"/>
        </w:rPr>
        <w:t>の値に対しては，線形補間</w:t>
      </w:r>
      <w:r w:rsidRPr="00BC31E0">
        <w:rPr>
          <w:rFonts w:hAnsi="ＭＳ 明朝" w:hint="eastAsia"/>
          <w:szCs w:val="20"/>
        </w:rPr>
        <w:t>により</w:t>
      </w:r>
      <m:oMath>
        <m:r>
          <w:rPr>
            <w:rFonts w:ascii="Cambria Math" w:hAnsi="Cambria Math"/>
            <w:szCs w:val="20"/>
          </w:rPr>
          <m:t>a</m:t>
        </m:r>
        <m:r>
          <m:rPr>
            <m:sty m:val="p"/>
          </m:rPr>
          <w:rPr>
            <w:rFonts w:ascii="Cambria Math" w:hAnsi="Cambria Math"/>
            <w:szCs w:val="20"/>
          </w:rPr>
          <m:t xml:space="preserve"> </m:t>
        </m:r>
      </m:oMath>
      <w:r w:rsidRPr="00BC31E0">
        <w:rPr>
          <w:rFonts w:hAnsi="ＭＳ 明朝"/>
          <w:szCs w:val="20"/>
        </w:rPr>
        <w:t>を求める。</w:t>
      </w:r>
    </w:p>
    <w:p w14:paraId="20EA3F6B" w14:textId="77777777" w:rsidR="00342321" w:rsidRPr="00BC31E0" w:rsidRDefault="00342321" w:rsidP="00342321">
      <w:pPr>
        <w:jc w:val="center"/>
        <w:rPr>
          <w:rFonts w:ascii="ＭＳ Ｐゴシック" w:eastAsia="ＭＳ Ｐゴシック" w:hAnsi="ＭＳ Ｐゴシック"/>
          <w:b/>
          <w:szCs w:val="20"/>
        </w:rPr>
      </w:pPr>
      <w:r w:rsidRPr="00BC31E0">
        <w:rPr>
          <w:rFonts w:ascii="ＭＳ ゴシック" w:eastAsia="ＭＳ ゴシック" w:hAnsi="ＭＳ ゴシック" w:hint="eastAsia"/>
          <w:b/>
          <w:szCs w:val="20"/>
        </w:rPr>
        <w:lastRenderedPageBreak/>
        <w:t>表9.3.23　内部きずの許容きず寸法 (</w:t>
      </w:r>
      <m:oMath>
        <m:sSub>
          <m:sSubPr>
            <m:ctrlPr>
              <w:rPr>
                <w:rFonts w:ascii="Cambria Math" w:eastAsia="ＭＳ ゴシック" w:hAnsi="Cambria Math"/>
                <w:b/>
                <w:i/>
                <w:sz w:val="22"/>
                <w:szCs w:val="22"/>
              </w:rPr>
            </m:ctrlPr>
          </m:sSubPr>
          <m:e>
            <m:r>
              <m:rPr>
                <m:sty m:val="bi"/>
              </m:rPr>
              <w:rPr>
                <w:rFonts w:ascii="Cambria Math" w:eastAsia="ＭＳ ゴシック" w:hAnsi="Cambria Math"/>
                <w:sz w:val="22"/>
                <w:szCs w:val="22"/>
              </w:rPr>
              <m:t>S</m:t>
            </m:r>
          </m:e>
          <m:sub>
            <m:r>
              <m:rPr>
                <m:sty m:val="bi"/>
              </m:rPr>
              <w:rPr>
                <w:rFonts w:ascii="Cambria Math" w:eastAsia="ＭＳ ゴシック" w:hAnsi="Cambria Math"/>
                <w:sz w:val="22"/>
                <w:szCs w:val="22"/>
              </w:rPr>
              <m:t>y</m:t>
            </m:r>
          </m:sub>
        </m:sSub>
        <m:r>
          <m:rPr>
            <m:sty m:val="bi"/>
          </m:rPr>
          <w:rPr>
            <w:rFonts w:ascii="Cambria Math" w:eastAsia="ＭＳ ゴシック" w:hAnsi="Cambria Math"/>
            <w:sz w:val="22"/>
            <w:szCs w:val="22"/>
          </w:rPr>
          <m:t>≦260</m:t>
        </m:r>
        <m:r>
          <m:rPr>
            <m:sty m:val="b"/>
          </m:rPr>
          <w:rPr>
            <w:rFonts w:ascii="Cambria Math" w:eastAsia="ＭＳ ゴシック" w:hAnsi="Cambria Math"/>
            <w:sz w:val="22"/>
            <w:szCs w:val="22"/>
          </w:rPr>
          <m:t xml:space="preserve"> MPa</m:t>
        </m:r>
      </m:oMath>
      <w:r w:rsidRPr="00BC31E0">
        <w:rPr>
          <w:rFonts w:ascii="ＭＳ ゴシック" w:eastAsia="ＭＳ ゴシック" w:hAnsi="ＭＳ ゴシック" w:hint="eastAsia"/>
          <w:b/>
          <w:szCs w:val="20"/>
        </w:rPr>
        <w:t>，溶接後熱処理</w:t>
      </w:r>
      <w:r w:rsidRPr="00BC31E0">
        <w:rPr>
          <w:rFonts w:ascii="ＭＳ ゴシック" w:eastAsia="ＭＳ ゴシック" w:hAnsi="ＭＳ ゴシック"/>
          <w:b/>
          <w:szCs w:val="20"/>
        </w:rPr>
        <w:t>あり</w:t>
      </w:r>
      <w:r w:rsidRPr="00BC31E0">
        <w:rPr>
          <w:rFonts w:ascii="ＭＳ ゴシック" w:eastAsia="ＭＳ ゴシック" w:hAnsi="ＭＳ ゴシック" w:hint="eastAsia"/>
          <w:b/>
          <w:szCs w:val="20"/>
        </w:rPr>
        <w:t>)</w:t>
      </w:r>
    </w:p>
    <w:tbl>
      <w:tblPr>
        <w:tblW w:w="0" w:type="auto"/>
        <w:tblInd w:w="1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4"/>
      </w:tblGrid>
      <w:tr w:rsidR="00342321" w:rsidRPr="00BC31E0" w14:paraId="0641F892" w14:textId="77777777" w:rsidTr="004736F2">
        <w:tc>
          <w:tcPr>
            <w:tcW w:w="5244" w:type="dxa"/>
          </w:tcPr>
          <w:p w14:paraId="558FBC91" w14:textId="77777777" w:rsidR="00342321" w:rsidRPr="00BC31E0" w:rsidRDefault="00342321" w:rsidP="004736F2">
            <w:pPr>
              <w:snapToGrid w:val="0"/>
              <w:spacing w:line="320" w:lineRule="atLeast"/>
              <w:jc w:val="center"/>
              <w:rPr>
                <w:rFonts w:cs="Tahoma"/>
                <w:i/>
                <w:szCs w:val="20"/>
              </w:rPr>
            </w:pPr>
            <m:oMathPara>
              <m:oMath>
                <m:r>
                  <w:rPr>
                    <w:rFonts w:ascii="Cambria Math" w:hAnsi="Cambria Math" w:hint="eastAsia"/>
                    <w:szCs w:val="20"/>
                  </w:rPr>
                  <m:t>13</m:t>
                </m:r>
                <m:r>
                  <w:rPr>
                    <w:rFonts w:ascii="Cambria Math" w:hAnsi="Cambria Math"/>
                    <w:szCs w:val="20"/>
                  </w:rPr>
                  <m:t>≦t&lt;</m:t>
                </m:r>
                <m:r>
                  <w:rPr>
                    <w:rFonts w:ascii="Cambria Math" w:hAnsi="Cambria Math" w:hint="eastAsia"/>
                    <w:szCs w:val="20"/>
                  </w:rPr>
                  <m:t>25</m:t>
                </m:r>
                <m:r>
                  <m:rPr>
                    <m:sty m:val="p"/>
                  </m:rPr>
                  <w:rPr>
                    <w:rFonts w:ascii="Cambria Math" w:hAnsi="Cambria Math" w:hint="eastAsia"/>
                    <w:szCs w:val="20"/>
                  </w:rPr>
                  <m:t xml:space="preserve"> mm</m:t>
                </m:r>
              </m:oMath>
            </m:oMathPara>
          </w:p>
        </w:tc>
      </w:tr>
      <w:tr w:rsidR="00342321" w:rsidRPr="00BC31E0" w14:paraId="3F160F6B" w14:textId="77777777" w:rsidTr="004736F2">
        <w:tc>
          <w:tcPr>
            <w:tcW w:w="5244" w:type="dxa"/>
          </w:tcPr>
          <w:p w14:paraId="2BE9B01D" w14:textId="77777777" w:rsidR="00342321" w:rsidRPr="00BC31E0" w:rsidRDefault="00A51873" w:rsidP="004736F2">
            <w:pPr>
              <w:snapToGrid w:val="0"/>
              <w:spacing w:line="320" w:lineRule="atLeast"/>
              <w:jc w:val="center"/>
            </w:pPr>
            <m:oMath>
              <m:f>
                <m:fPr>
                  <m:type m:val="lin"/>
                  <m:ctrlPr>
                    <w:rPr>
                      <w:rFonts w:ascii="Cambria Math" w:hAnsi="Cambria Math"/>
                      <w:i/>
                    </w:rPr>
                  </m:ctrlPr>
                </m:fPr>
                <m:num>
                  <m:r>
                    <w:rPr>
                      <w:rFonts w:ascii="Cambria Math" w:hAnsi="Cambria Math"/>
                    </w:rPr>
                    <m:t>a</m:t>
                  </m:r>
                </m:num>
                <m:den>
                  <m:r>
                    <w:rPr>
                      <w:rFonts w:ascii="Cambria Math" w:hAnsi="Cambria Math"/>
                    </w:rPr>
                    <m:t>t</m:t>
                  </m:r>
                </m:den>
              </m:f>
              <m:r>
                <w:rPr>
                  <w:rFonts w:ascii="Cambria Math" w:hAnsi="Cambria Math"/>
                </w:rPr>
                <m:t xml:space="preserve"> ≦</m:t>
              </m:r>
              <m:r>
                <w:rPr>
                  <w:rFonts w:ascii="Cambria Math" w:hAnsi="Cambria Math" w:hint="eastAsia"/>
                </w:rPr>
                <m:t>0.109</m:t>
              </m:r>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vertAlign w:val="subscript"/>
                    </w:rPr>
                    <m:t>a</m:t>
                  </m:r>
                </m:sub>
              </m:sSub>
            </m:oMath>
            <w:r w:rsidR="00342321" w:rsidRPr="00BC31E0">
              <w:rPr>
                <w:rFonts w:hAnsi="ＭＳ 明朝"/>
              </w:rPr>
              <w:t xml:space="preserve">　</w:t>
            </w:r>
            <w:r w:rsidR="00342321" w:rsidRPr="00BC31E0">
              <w:rPr>
                <w:rFonts w:hAnsi="ＭＳ 明朝" w:hint="eastAsia"/>
              </w:rPr>
              <w:t>及</w:t>
            </w:r>
            <w:r w:rsidR="00342321" w:rsidRPr="00BC31E0">
              <w:rPr>
                <w:rFonts w:hAnsi="ＭＳ 明朝"/>
              </w:rPr>
              <w:t xml:space="preserve">び　</w:t>
            </w:r>
            <m:oMath>
              <m:r>
                <w:rPr>
                  <w:rFonts w:ascii="Cambria Math" w:hAnsi="Cambria Math"/>
                </w:rPr>
                <m:t>l</m:t>
              </m:r>
              <m:r>
                <w:rPr>
                  <w:rFonts w:ascii="Cambria Math" w:hAnsi="Cambria Math" w:hint="eastAsia"/>
                </w:rPr>
                <m:t xml:space="preserve"> </m:t>
              </m:r>
              <m:r>
                <w:rPr>
                  <w:rFonts w:ascii="Cambria Math" w:hAnsi="Cambria Math"/>
                </w:rPr>
                <m:t>≦</m:t>
              </m:r>
              <m:r>
                <w:rPr>
                  <w:rFonts w:ascii="Cambria Math" w:hAnsi="Cambria Math" w:hint="eastAsia"/>
                </w:rPr>
                <m:t>6.4</m:t>
              </m:r>
              <m:r>
                <m:rPr>
                  <m:sty m:val="p"/>
                </m:rPr>
                <w:rPr>
                  <w:rFonts w:ascii="Cambria Math" w:hAnsi="Cambria Math"/>
                </w:rPr>
                <m:t xml:space="preserve"> mm</m:t>
              </m:r>
            </m:oMath>
          </w:p>
        </w:tc>
      </w:tr>
    </w:tbl>
    <w:p w14:paraId="4C5A4F44" w14:textId="77777777" w:rsidR="00CA187B" w:rsidRPr="00BC31E0" w:rsidRDefault="00CA187B" w:rsidP="00CA187B">
      <w:pPr>
        <w:spacing w:line="180" w:lineRule="exact"/>
        <w:rPr>
          <w:rFonts w:ascii="ＭＳ ゴシック" w:eastAsia="ＭＳ ゴシック" w:hAnsi="ＭＳ ゴシック"/>
          <w:b/>
          <w:szCs w:val="20"/>
        </w:rPr>
      </w:pPr>
    </w:p>
    <w:p w14:paraId="3F9FC3E9" w14:textId="77777777" w:rsidR="00342321" w:rsidRPr="00BC31E0" w:rsidRDefault="00342321" w:rsidP="00CA187B">
      <w:pPr>
        <w:jc w:val="center"/>
        <w:rPr>
          <w:rFonts w:ascii="ＭＳ Ｐゴシック" w:eastAsia="ＭＳ Ｐゴシック" w:hAnsi="ＭＳ Ｐゴシック"/>
          <w:b/>
          <w:szCs w:val="20"/>
        </w:rPr>
      </w:pPr>
      <w:r w:rsidRPr="00BC31E0">
        <w:rPr>
          <w:rFonts w:ascii="ＭＳ ゴシック" w:eastAsia="ＭＳ ゴシック" w:hAnsi="ＭＳ ゴシック" w:hint="eastAsia"/>
          <w:b/>
          <w:szCs w:val="20"/>
        </w:rPr>
        <w:t>表9.3.24　内部きずの許容きず寸法 (</w:t>
      </w:r>
      <m:oMath>
        <m:sSub>
          <m:sSubPr>
            <m:ctrlPr>
              <w:rPr>
                <w:rFonts w:ascii="Cambria Math" w:eastAsia="ＭＳ ゴシック" w:hAnsi="Cambria Math"/>
                <w:b/>
                <w:i/>
                <w:sz w:val="22"/>
                <w:szCs w:val="22"/>
              </w:rPr>
            </m:ctrlPr>
          </m:sSubPr>
          <m:e>
            <m:r>
              <m:rPr>
                <m:sty m:val="bi"/>
              </m:rPr>
              <w:rPr>
                <w:rFonts w:ascii="Cambria Math" w:eastAsia="ＭＳ ゴシック" w:hAnsi="Cambria Math"/>
                <w:sz w:val="22"/>
                <w:szCs w:val="22"/>
              </w:rPr>
              <m:t>S</m:t>
            </m:r>
          </m:e>
          <m:sub>
            <m:r>
              <m:rPr>
                <m:sty m:val="bi"/>
              </m:rPr>
              <w:rPr>
                <w:rFonts w:ascii="Cambria Math" w:eastAsia="ＭＳ ゴシック" w:hAnsi="Cambria Math"/>
                <w:sz w:val="22"/>
                <w:szCs w:val="22"/>
              </w:rPr>
              <m:t>y</m:t>
            </m:r>
          </m:sub>
        </m:sSub>
        <m:r>
          <m:rPr>
            <m:sty m:val="bi"/>
          </m:rPr>
          <w:rPr>
            <w:rFonts w:ascii="Cambria Math" w:eastAsia="ＭＳ ゴシック" w:hAnsi="Cambria Math"/>
            <w:sz w:val="22"/>
            <w:szCs w:val="22"/>
          </w:rPr>
          <m:t>≦260</m:t>
        </m:r>
        <m:r>
          <m:rPr>
            <m:sty m:val="b"/>
          </m:rPr>
          <w:rPr>
            <w:rFonts w:ascii="Cambria Math" w:eastAsia="ＭＳ ゴシック" w:hAnsi="Cambria Math"/>
            <w:sz w:val="22"/>
            <w:szCs w:val="22"/>
          </w:rPr>
          <m:t xml:space="preserve"> MPa</m:t>
        </m:r>
      </m:oMath>
      <w:r w:rsidRPr="00BC31E0">
        <w:rPr>
          <w:rFonts w:ascii="ＭＳ ゴシック" w:eastAsia="ＭＳ ゴシック" w:hAnsi="ＭＳ ゴシック" w:hint="eastAsia"/>
          <w:b/>
          <w:szCs w:val="20"/>
        </w:rPr>
        <w:t>，溶接後熱処理</w:t>
      </w:r>
      <w:r w:rsidRPr="00BC31E0">
        <w:rPr>
          <w:rFonts w:ascii="ＭＳ ゴシック" w:eastAsia="ＭＳ ゴシック" w:hAnsi="ＭＳ ゴシック"/>
          <w:b/>
          <w:szCs w:val="20"/>
        </w:rPr>
        <w:t>あり</w:t>
      </w:r>
      <w:r w:rsidRPr="00BC31E0">
        <w:rPr>
          <w:rFonts w:ascii="ＭＳ ゴシック" w:eastAsia="ＭＳ ゴシック" w:hAnsi="ＭＳ ゴシック" w:hint="eastAsia"/>
          <w:b/>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772"/>
        <w:gridCol w:w="1772"/>
        <w:gridCol w:w="1772"/>
        <w:gridCol w:w="1772"/>
      </w:tblGrid>
      <w:tr w:rsidR="00342321" w:rsidRPr="00BC31E0" w14:paraId="364828B3" w14:textId="77777777" w:rsidTr="004736F2">
        <w:trPr>
          <w:jc w:val="center"/>
        </w:trPr>
        <w:tc>
          <w:tcPr>
            <w:tcW w:w="992" w:type="dxa"/>
            <w:vMerge w:val="restart"/>
            <w:vAlign w:val="center"/>
          </w:tcPr>
          <w:p w14:paraId="6F2BA42C" w14:textId="77777777" w:rsidR="00342321" w:rsidRPr="00BC31E0" w:rsidRDefault="00A51873" w:rsidP="004736F2">
            <w:pPr>
              <w:snapToGrid w:val="0"/>
              <w:spacing w:line="300" w:lineRule="atLeast"/>
              <w:jc w:val="center"/>
              <w:rPr>
                <w:rFonts w:ascii="Times New Roman" w:hAnsi="Times New Roman"/>
                <w:i/>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l</m:t>
                    </m:r>
                  </m:den>
                </m:f>
              </m:oMath>
            </m:oMathPara>
          </w:p>
        </w:tc>
        <w:tc>
          <w:tcPr>
            <w:tcW w:w="7088" w:type="dxa"/>
            <w:gridSpan w:val="4"/>
            <w:vAlign w:val="center"/>
          </w:tcPr>
          <w:p w14:paraId="784626B7" w14:textId="77777777" w:rsidR="00342321" w:rsidRPr="00BC31E0" w:rsidRDefault="00342321" w:rsidP="004736F2">
            <w:pPr>
              <w:snapToGrid w:val="0"/>
              <w:spacing w:line="300" w:lineRule="atLeast"/>
              <w:jc w:val="center"/>
              <w:rPr>
                <w:rFonts w:ascii="Times New Roman" w:hAnsi="Times New Roman"/>
                <w:szCs w:val="20"/>
              </w:rPr>
            </w:pPr>
            <m:oMathPara>
              <m:oMath>
                <m:r>
                  <w:rPr>
                    <w:rFonts w:ascii="Cambria Math" w:hAnsi="Cambria Math" w:hint="eastAsia"/>
                    <w:szCs w:val="20"/>
                  </w:rPr>
                  <m:t>25</m:t>
                </m:r>
                <m:r>
                  <w:rPr>
                    <w:rFonts w:ascii="Cambria Math" w:hAnsi="Cambria Math"/>
                    <w:szCs w:val="20"/>
                  </w:rPr>
                  <m:t>≦t≦</m:t>
                </m:r>
                <m:r>
                  <w:rPr>
                    <w:rFonts w:ascii="Cambria Math" w:hAnsi="Cambria Math" w:hint="eastAsia"/>
                    <w:szCs w:val="20"/>
                  </w:rPr>
                  <m:t xml:space="preserve">300 </m:t>
                </m:r>
                <m:r>
                  <m:rPr>
                    <m:sty m:val="p"/>
                  </m:rPr>
                  <w:rPr>
                    <w:rFonts w:ascii="Cambria Math" w:hAnsi="Cambria Math" w:hint="eastAsia"/>
                    <w:szCs w:val="20"/>
                  </w:rPr>
                  <m:t>mm</m:t>
                </m:r>
              </m:oMath>
            </m:oMathPara>
          </w:p>
        </w:tc>
      </w:tr>
      <w:tr w:rsidR="00342321" w:rsidRPr="00BC31E0" w14:paraId="7E6C112B" w14:textId="77777777" w:rsidTr="004736F2">
        <w:trPr>
          <w:jc w:val="center"/>
        </w:trPr>
        <w:tc>
          <w:tcPr>
            <w:tcW w:w="992" w:type="dxa"/>
            <w:vMerge/>
            <w:vAlign w:val="center"/>
          </w:tcPr>
          <w:p w14:paraId="094E3C5D" w14:textId="77777777" w:rsidR="00342321" w:rsidRPr="00BC31E0" w:rsidRDefault="00342321" w:rsidP="004736F2">
            <w:pPr>
              <w:snapToGrid w:val="0"/>
              <w:spacing w:line="300" w:lineRule="atLeast"/>
              <w:jc w:val="center"/>
              <w:rPr>
                <w:rFonts w:ascii="Times New Roman" w:hAnsi="Times New Roman"/>
                <w:i/>
                <w:szCs w:val="20"/>
              </w:rPr>
            </w:pPr>
          </w:p>
        </w:tc>
        <w:tc>
          <w:tcPr>
            <w:tcW w:w="1772" w:type="dxa"/>
            <w:vAlign w:val="center"/>
          </w:tcPr>
          <w:p w14:paraId="196E6D64" w14:textId="77777777" w:rsidR="00342321" w:rsidRPr="00BC31E0" w:rsidRDefault="00342321" w:rsidP="004736F2">
            <w:pPr>
              <w:snapToGrid w:val="0"/>
              <w:spacing w:line="300" w:lineRule="atLeast"/>
              <w:jc w:val="center"/>
              <w:rPr>
                <w:szCs w:val="20"/>
              </w:rPr>
            </w:pPr>
            <m:oMathPara>
              <m:oMath>
                <m:r>
                  <w:rPr>
                    <w:rFonts w:ascii="Cambria Math" w:hAnsi="Cambria Math"/>
                    <w:szCs w:val="20"/>
                  </w:rPr>
                  <m:t>Y=</m:t>
                </m:r>
                <m:r>
                  <w:rPr>
                    <w:rFonts w:ascii="Cambria Math" w:hAnsi="Cambria Math" w:hint="eastAsia"/>
                    <w:szCs w:val="20"/>
                  </w:rPr>
                  <m:t>1.2</m:t>
                </m:r>
              </m:oMath>
            </m:oMathPara>
          </w:p>
        </w:tc>
        <w:tc>
          <w:tcPr>
            <w:tcW w:w="1772" w:type="dxa"/>
            <w:vAlign w:val="center"/>
          </w:tcPr>
          <w:p w14:paraId="3C67523F" w14:textId="77777777" w:rsidR="00342321" w:rsidRPr="00BC31E0" w:rsidRDefault="00342321" w:rsidP="004736F2">
            <w:pPr>
              <w:snapToGrid w:val="0"/>
              <w:spacing w:line="300" w:lineRule="atLeast"/>
              <w:jc w:val="center"/>
              <w:rPr>
                <w:szCs w:val="20"/>
              </w:rPr>
            </w:pPr>
            <m:oMathPara>
              <m:oMath>
                <m:r>
                  <w:rPr>
                    <w:rFonts w:ascii="Cambria Math" w:hAnsi="Cambria Math"/>
                    <w:szCs w:val="20"/>
                  </w:rPr>
                  <m:t>Y=</m:t>
                </m:r>
                <m:r>
                  <w:rPr>
                    <w:rFonts w:ascii="Cambria Math" w:hAnsi="Cambria Math" w:hint="eastAsia"/>
                    <w:szCs w:val="20"/>
                  </w:rPr>
                  <m:t>1.5</m:t>
                </m:r>
              </m:oMath>
            </m:oMathPara>
          </w:p>
        </w:tc>
        <w:tc>
          <w:tcPr>
            <w:tcW w:w="1772" w:type="dxa"/>
            <w:vAlign w:val="center"/>
          </w:tcPr>
          <w:p w14:paraId="62CB0836" w14:textId="77777777" w:rsidR="00342321" w:rsidRPr="00BC31E0" w:rsidRDefault="00342321" w:rsidP="004736F2">
            <w:pPr>
              <w:snapToGrid w:val="0"/>
              <w:spacing w:line="300" w:lineRule="atLeast"/>
              <w:jc w:val="center"/>
              <w:rPr>
                <w:szCs w:val="20"/>
              </w:rPr>
            </w:pPr>
            <m:oMathPara>
              <m:oMath>
                <m:r>
                  <w:rPr>
                    <w:rFonts w:ascii="Cambria Math" w:hAnsi="Cambria Math"/>
                    <w:szCs w:val="20"/>
                  </w:rPr>
                  <m:t>Y=</m:t>
                </m:r>
                <m:r>
                  <w:rPr>
                    <w:rFonts w:ascii="Cambria Math" w:hAnsi="Cambria Math" w:hint="eastAsia"/>
                    <w:szCs w:val="20"/>
                  </w:rPr>
                  <m:t>2.0</m:t>
                </m:r>
              </m:oMath>
            </m:oMathPara>
          </w:p>
        </w:tc>
        <w:tc>
          <w:tcPr>
            <w:tcW w:w="1772" w:type="dxa"/>
            <w:vAlign w:val="center"/>
          </w:tcPr>
          <w:p w14:paraId="2206EAD7" w14:textId="77777777" w:rsidR="00342321" w:rsidRPr="00BC31E0" w:rsidRDefault="00342321" w:rsidP="004736F2">
            <w:pPr>
              <w:snapToGrid w:val="0"/>
              <w:spacing w:line="300" w:lineRule="atLeast"/>
              <w:jc w:val="center"/>
              <w:rPr>
                <w:szCs w:val="20"/>
              </w:rPr>
            </w:pPr>
            <m:oMathPara>
              <m:oMath>
                <m:r>
                  <w:rPr>
                    <w:rFonts w:ascii="Cambria Math" w:hAnsi="Cambria Math"/>
                    <w:szCs w:val="20"/>
                  </w:rPr>
                  <m:t>Y=</m:t>
                </m:r>
                <m:r>
                  <w:rPr>
                    <w:rFonts w:ascii="Cambria Math" w:hAnsi="Cambria Math" w:hint="eastAsia"/>
                    <w:szCs w:val="20"/>
                  </w:rPr>
                  <m:t>2.5</m:t>
                </m:r>
              </m:oMath>
            </m:oMathPara>
          </w:p>
        </w:tc>
      </w:tr>
      <w:tr w:rsidR="00342321" w:rsidRPr="00BC31E0" w14:paraId="45F0ACAF" w14:textId="77777777" w:rsidTr="004736F2">
        <w:trPr>
          <w:jc w:val="center"/>
        </w:trPr>
        <w:tc>
          <w:tcPr>
            <w:tcW w:w="992" w:type="dxa"/>
            <w:vMerge/>
            <w:vAlign w:val="center"/>
          </w:tcPr>
          <w:p w14:paraId="12DBA160" w14:textId="77777777" w:rsidR="00342321" w:rsidRPr="00BC31E0" w:rsidRDefault="00342321" w:rsidP="004736F2">
            <w:pPr>
              <w:snapToGrid w:val="0"/>
              <w:spacing w:line="300" w:lineRule="atLeast"/>
              <w:jc w:val="center"/>
              <w:rPr>
                <w:szCs w:val="20"/>
              </w:rPr>
            </w:pPr>
          </w:p>
        </w:tc>
        <w:tc>
          <w:tcPr>
            <w:tcW w:w="1772" w:type="dxa"/>
            <w:vAlign w:val="center"/>
          </w:tcPr>
          <w:p w14:paraId="0ECA9201" w14:textId="77777777" w:rsidR="00342321" w:rsidRPr="00BC31E0" w:rsidRDefault="00A51873" w:rsidP="004736F2">
            <w:pPr>
              <w:snapToGrid w:val="0"/>
              <w:spacing w:line="300" w:lineRule="atLeast"/>
              <w:jc w:val="center"/>
              <w:rPr>
                <w:rFonts w:ascii="Times New Roman" w:hAnsi="Times New Roman"/>
                <w:i/>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t</m:t>
                    </m:r>
                  </m:den>
                </m:f>
              </m:oMath>
            </m:oMathPara>
          </w:p>
        </w:tc>
        <w:tc>
          <w:tcPr>
            <w:tcW w:w="1772" w:type="dxa"/>
            <w:vAlign w:val="center"/>
          </w:tcPr>
          <w:p w14:paraId="0C4FF7B3" w14:textId="77777777" w:rsidR="00342321" w:rsidRPr="00BC31E0" w:rsidRDefault="00A51873" w:rsidP="004736F2">
            <w:pPr>
              <w:snapToGrid w:val="0"/>
              <w:spacing w:line="300" w:lineRule="atLeast"/>
              <w:jc w:val="center"/>
              <w:rPr>
                <w:rFonts w:ascii="Times New Roman" w:hAnsi="Times New Roman"/>
                <w:i/>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t</m:t>
                    </m:r>
                  </m:den>
                </m:f>
              </m:oMath>
            </m:oMathPara>
          </w:p>
        </w:tc>
        <w:tc>
          <w:tcPr>
            <w:tcW w:w="1772" w:type="dxa"/>
            <w:vAlign w:val="center"/>
          </w:tcPr>
          <w:p w14:paraId="72DE3E81" w14:textId="77777777" w:rsidR="00342321" w:rsidRPr="00BC31E0" w:rsidRDefault="00A51873" w:rsidP="004736F2">
            <w:pPr>
              <w:snapToGrid w:val="0"/>
              <w:spacing w:line="300" w:lineRule="atLeast"/>
              <w:jc w:val="center"/>
              <w:rPr>
                <w:rFonts w:ascii="Times New Roman" w:hAnsi="Times New Roman"/>
                <w:i/>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t</m:t>
                    </m:r>
                  </m:den>
                </m:f>
              </m:oMath>
            </m:oMathPara>
          </w:p>
        </w:tc>
        <w:tc>
          <w:tcPr>
            <w:tcW w:w="1772" w:type="dxa"/>
            <w:vAlign w:val="center"/>
          </w:tcPr>
          <w:p w14:paraId="5310C8B5" w14:textId="77777777" w:rsidR="00342321" w:rsidRPr="00BC31E0" w:rsidRDefault="00A51873" w:rsidP="004736F2">
            <w:pPr>
              <w:snapToGrid w:val="0"/>
              <w:spacing w:line="300" w:lineRule="atLeast"/>
              <w:jc w:val="center"/>
              <w:rPr>
                <w:rFonts w:ascii="Times New Roman" w:hAnsi="Times New Roman"/>
                <w:i/>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t</m:t>
                    </m:r>
                  </m:den>
                </m:f>
              </m:oMath>
            </m:oMathPara>
          </w:p>
        </w:tc>
      </w:tr>
      <w:tr w:rsidR="00342321" w:rsidRPr="00BC31E0" w14:paraId="3F9566F3" w14:textId="77777777" w:rsidTr="004736F2">
        <w:trPr>
          <w:jc w:val="center"/>
        </w:trPr>
        <w:tc>
          <w:tcPr>
            <w:tcW w:w="992" w:type="dxa"/>
            <w:vAlign w:val="center"/>
          </w:tcPr>
          <w:p w14:paraId="3D1D82C0"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0.0</w:t>
            </w:r>
          </w:p>
        </w:tc>
        <w:tc>
          <w:tcPr>
            <w:tcW w:w="1772" w:type="dxa"/>
            <w:vAlign w:val="center"/>
          </w:tcPr>
          <w:p w14:paraId="302DDD09"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4.</m:t>
                </m:r>
                <m:r>
                  <w:rPr>
                    <w:rFonts w:ascii="Cambria Math" w:hAnsi="Cambria Math" w:hint="eastAsia"/>
                    <w:sz w:val="22"/>
                    <w:szCs w:val="22"/>
                  </w:rPr>
                  <m:t>0</m:t>
                </m:r>
                <m:r>
                  <w:rPr>
                    <w:rFonts w:ascii="Cambria Math" w:hAnsi="Cambria Math"/>
                    <w:sz w:val="22"/>
                    <w:szCs w:val="22"/>
                  </w:rPr>
                  <m:t xml:space="preserve">2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-0.8</m:t>
                    </m:r>
                    <m:r>
                      <w:rPr>
                        <w:rFonts w:ascii="Cambria Math" w:hAnsi="Cambria Math" w:hint="eastAsia"/>
                        <w:sz w:val="22"/>
                        <w:szCs w:val="22"/>
                        <w:vertAlign w:val="superscript"/>
                      </w:rPr>
                      <m:t>5</m:t>
                    </m:r>
                    <m:r>
                      <w:rPr>
                        <w:rFonts w:ascii="Cambria Math" w:hAnsi="Cambria Math"/>
                        <w:sz w:val="22"/>
                        <w:szCs w:val="22"/>
                        <w:vertAlign w:val="superscript"/>
                      </w:rPr>
                      <m:t xml:space="preserve">8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772" w:type="dxa"/>
            <w:vAlign w:val="center"/>
          </w:tcPr>
          <w:p w14:paraId="6A858193"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hint="eastAsia"/>
                    <w:sz w:val="22"/>
                    <w:szCs w:val="22"/>
                  </w:rPr>
                  <m:t>3.89</m:t>
                </m:r>
                <m:r>
                  <w:rPr>
                    <w:rFonts w:ascii="Cambria Math" w:hAnsi="Cambria Math"/>
                    <w:sz w:val="22"/>
                    <w:szCs w:val="22"/>
                  </w:rPr>
                  <m:t xml:space="preserve">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-0.9</m:t>
                    </m:r>
                    <m:r>
                      <w:rPr>
                        <w:rFonts w:ascii="Cambria Math" w:hAnsi="Cambria Math" w:hint="eastAsia"/>
                        <w:sz w:val="22"/>
                        <w:szCs w:val="22"/>
                        <w:vertAlign w:val="superscript"/>
                      </w:rPr>
                      <m:t>48</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772" w:type="dxa"/>
            <w:vAlign w:val="center"/>
          </w:tcPr>
          <w:p w14:paraId="1EC8E668"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hint="eastAsia"/>
                    <w:sz w:val="22"/>
                    <w:szCs w:val="22"/>
                  </w:rPr>
                  <m:t>2.99</m:t>
                </m:r>
                <m:r>
                  <w:rPr>
                    <w:rFonts w:ascii="Cambria Math" w:hAnsi="Cambria Math"/>
                    <w:sz w:val="22"/>
                    <w:szCs w:val="22"/>
                  </w:rPr>
                  <m:t xml:space="preserve">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-1.0</m:t>
                    </m:r>
                    <m:r>
                      <w:rPr>
                        <w:rFonts w:ascii="Cambria Math" w:hAnsi="Cambria Math" w:hint="eastAsia"/>
                        <w:sz w:val="22"/>
                        <w:szCs w:val="22"/>
                        <w:vertAlign w:val="superscript"/>
                      </w:rPr>
                      <m:t>6</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772" w:type="dxa"/>
            <w:vAlign w:val="center"/>
          </w:tcPr>
          <w:p w14:paraId="1C3BDCE1"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hint="eastAsia"/>
                    <w:sz w:val="22"/>
                    <w:szCs w:val="22"/>
                  </w:rPr>
                  <m:t>1.27</m:t>
                </m:r>
                <m:r>
                  <w:rPr>
                    <w:rFonts w:ascii="Cambria Math" w:hAnsi="Cambria Math"/>
                    <w:sz w:val="22"/>
                    <w:szCs w:val="22"/>
                  </w:rPr>
                  <m:t xml:space="preserve">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-1.1</m:t>
                    </m:r>
                    <m:r>
                      <w:rPr>
                        <w:rFonts w:ascii="Cambria Math" w:hAnsi="Cambria Math" w:hint="eastAsia"/>
                        <w:sz w:val="22"/>
                        <w:szCs w:val="22"/>
                        <w:vertAlign w:val="superscript"/>
                      </w:rPr>
                      <m:t>6</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r>
      <w:tr w:rsidR="00342321" w:rsidRPr="00BC31E0" w14:paraId="52E0BCEC" w14:textId="77777777" w:rsidTr="004736F2">
        <w:trPr>
          <w:jc w:val="center"/>
        </w:trPr>
        <w:tc>
          <w:tcPr>
            <w:tcW w:w="992" w:type="dxa"/>
            <w:vAlign w:val="center"/>
          </w:tcPr>
          <w:p w14:paraId="619B4F7E"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0.1</w:t>
            </w:r>
          </w:p>
        </w:tc>
        <w:tc>
          <w:tcPr>
            <w:tcW w:w="1772" w:type="dxa"/>
            <w:vAlign w:val="center"/>
          </w:tcPr>
          <w:p w14:paraId="1E457F19"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4.</m:t>
                </m:r>
                <m:r>
                  <w:rPr>
                    <w:rFonts w:ascii="Cambria Math" w:hAnsi="Cambria Math" w:hint="eastAsia"/>
                    <w:sz w:val="22"/>
                    <w:szCs w:val="22"/>
                  </w:rPr>
                  <m:t>19</m:t>
                </m:r>
                <m:r>
                  <w:rPr>
                    <w:rFonts w:ascii="Cambria Math" w:hAnsi="Cambria Math"/>
                    <w:sz w:val="22"/>
                    <w:szCs w:val="22"/>
                  </w:rPr>
                  <m:t xml:space="preserve">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-0.8</m:t>
                    </m:r>
                    <m:r>
                      <w:rPr>
                        <w:rFonts w:ascii="Cambria Math" w:hAnsi="Cambria Math" w:hint="eastAsia"/>
                        <w:sz w:val="22"/>
                        <w:szCs w:val="22"/>
                        <w:vertAlign w:val="superscript"/>
                      </w:rPr>
                      <m:t>4</m:t>
                    </m:r>
                    <m:r>
                      <w:rPr>
                        <w:rFonts w:ascii="Cambria Math" w:hAnsi="Cambria Math"/>
                        <w:sz w:val="22"/>
                        <w:szCs w:val="22"/>
                        <w:vertAlign w:val="superscript"/>
                      </w:rPr>
                      <m:t xml:space="preserve">1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772" w:type="dxa"/>
            <w:vAlign w:val="center"/>
          </w:tcPr>
          <w:p w14:paraId="6B29B241"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4.</m:t>
                </m:r>
                <m:r>
                  <w:rPr>
                    <w:rFonts w:ascii="Cambria Math" w:hAnsi="Cambria Math" w:hint="eastAsia"/>
                    <w:sz w:val="22"/>
                    <w:szCs w:val="22"/>
                  </w:rPr>
                  <m:t>12</m:t>
                </m:r>
                <m:r>
                  <w:rPr>
                    <w:rFonts w:ascii="Cambria Math" w:hAnsi="Cambria Math"/>
                    <w:sz w:val="22"/>
                    <w:szCs w:val="22"/>
                  </w:rPr>
                  <m:t xml:space="preserve">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-0.</m:t>
                    </m:r>
                    <m:r>
                      <w:rPr>
                        <w:rFonts w:ascii="Cambria Math" w:hAnsi="Cambria Math" w:hint="eastAsia"/>
                        <w:sz w:val="22"/>
                        <w:szCs w:val="22"/>
                        <w:vertAlign w:val="superscript"/>
                      </w:rPr>
                      <m:t>928</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772" w:type="dxa"/>
            <w:vAlign w:val="center"/>
          </w:tcPr>
          <w:p w14:paraId="39A84F17"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hint="eastAsia"/>
                    <w:sz w:val="22"/>
                    <w:szCs w:val="22"/>
                  </w:rPr>
                  <m:t>3.45</m:t>
                </m:r>
                <m:r>
                  <w:rPr>
                    <w:rFonts w:ascii="Cambria Math" w:hAnsi="Cambria Math"/>
                    <w:sz w:val="22"/>
                    <w:szCs w:val="22"/>
                  </w:rPr>
                  <m:t xml:space="preserve">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-1.0</m:t>
                    </m:r>
                    <m:r>
                      <w:rPr>
                        <w:rFonts w:ascii="Cambria Math" w:hAnsi="Cambria Math" w:hint="eastAsia"/>
                        <w:sz w:val="22"/>
                        <w:szCs w:val="22"/>
                        <w:vertAlign w:val="superscript"/>
                      </w:rPr>
                      <m:t>4</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772" w:type="dxa"/>
            <w:vAlign w:val="center"/>
          </w:tcPr>
          <w:p w14:paraId="08EEF95B"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hint="eastAsia"/>
                    <w:sz w:val="22"/>
                    <w:szCs w:val="22"/>
                  </w:rPr>
                  <m:t>1.99</m:t>
                </m:r>
                <m:r>
                  <w:rPr>
                    <w:rFonts w:ascii="Cambria Math" w:hAnsi="Cambria Math"/>
                    <w:sz w:val="22"/>
                    <w:szCs w:val="22"/>
                  </w:rPr>
                  <m:t xml:space="preserve">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-1.1</m:t>
                    </m:r>
                    <m:r>
                      <w:rPr>
                        <w:rFonts w:ascii="Cambria Math" w:hAnsi="Cambria Math" w:hint="eastAsia"/>
                        <w:sz w:val="22"/>
                        <w:szCs w:val="22"/>
                        <w:vertAlign w:val="superscript"/>
                      </w:rPr>
                      <m:t>3</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r>
      <w:tr w:rsidR="00342321" w:rsidRPr="00BC31E0" w14:paraId="1284DA82" w14:textId="77777777" w:rsidTr="004736F2">
        <w:trPr>
          <w:jc w:val="center"/>
        </w:trPr>
        <w:tc>
          <w:tcPr>
            <w:tcW w:w="992" w:type="dxa"/>
            <w:vAlign w:val="center"/>
          </w:tcPr>
          <w:p w14:paraId="12BC91AA"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0.2</w:t>
            </w:r>
          </w:p>
        </w:tc>
        <w:tc>
          <w:tcPr>
            <w:tcW w:w="1772" w:type="dxa"/>
            <w:vAlign w:val="center"/>
          </w:tcPr>
          <w:p w14:paraId="672CD7C2"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hint="eastAsia"/>
                    <w:sz w:val="22"/>
                    <w:szCs w:val="22"/>
                  </w:rPr>
                  <m:t>7.25</m:t>
                </m:r>
                <m:r>
                  <w:rPr>
                    <w:rFonts w:ascii="Cambria Math" w:hAnsi="Cambria Math"/>
                    <w:sz w:val="22"/>
                    <w:szCs w:val="22"/>
                  </w:rPr>
                  <m:t xml:space="preserve">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-0.8</m:t>
                    </m:r>
                    <m:r>
                      <w:rPr>
                        <w:rFonts w:ascii="Cambria Math" w:hAnsi="Cambria Math" w:hint="eastAsia"/>
                        <w:sz w:val="22"/>
                        <w:szCs w:val="22"/>
                        <w:vertAlign w:val="superscript"/>
                      </w:rPr>
                      <m:t>91</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772" w:type="dxa"/>
            <w:vAlign w:val="center"/>
          </w:tcPr>
          <w:p w14:paraId="3E5E25BD"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7.</m:t>
                </m:r>
                <m:r>
                  <w:rPr>
                    <w:rFonts w:ascii="Cambria Math" w:hAnsi="Cambria Math" w:hint="eastAsia"/>
                    <w:sz w:val="22"/>
                    <w:szCs w:val="22"/>
                  </w:rPr>
                  <m:t>11</m:t>
                </m:r>
                <m:r>
                  <w:rPr>
                    <w:rFonts w:ascii="Cambria Math" w:hAnsi="Cambria Math"/>
                    <w:sz w:val="22"/>
                    <w:szCs w:val="22"/>
                  </w:rPr>
                  <m:t xml:space="preserve">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-0.9</m:t>
                    </m:r>
                    <m:r>
                      <w:rPr>
                        <w:rFonts w:ascii="Cambria Math" w:hAnsi="Cambria Math" w:hint="eastAsia"/>
                        <w:sz w:val="22"/>
                        <w:szCs w:val="22"/>
                        <w:vertAlign w:val="superscript"/>
                      </w:rPr>
                      <m:t>70</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772" w:type="dxa"/>
            <w:vAlign w:val="center"/>
          </w:tcPr>
          <w:p w14:paraId="3CDA8B98"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hint="eastAsia"/>
                    <w:sz w:val="22"/>
                    <w:szCs w:val="22"/>
                  </w:rPr>
                  <m:t>6.15</m:t>
                </m:r>
                <m:r>
                  <w:rPr>
                    <w:rFonts w:ascii="Cambria Math" w:hAnsi="Cambria Math"/>
                    <w:sz w:val="22"/>
                    <w:szCs w:val="22"/>
                  </w:rPr>
                  <m:t xml:space="preserve">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-1.0</m:t>
                    </m:r>
                    <m:r>
                      <w:rPr>
                        <w:rFonts w:ascii="Cambria Math" w:hAnsi="Cambria Math" w:hint="eastAsia"/>
                        <w:sz w:val="22"/>
                        <w:szCs w:val="22"/>
                        <w:vertAlign w:val="superscript"/>
                      </w:rPr>
                      <m:t>7</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772" w:type="dxa"/>
            <w:vAlign w:val="center"/>
          </w:tcPr>
          <w:p w14:paraId="272A0815"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hint="eastAsia"/>
                    <w:sz w:val="22"/>
                    <w:szCs w:val="22"/>
                  </w:rPr>
                  <m:t xml:space="preserve">4.45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-1.1</m:t>
                    </m:r>
                    <m:r>
                      <w:rPr>
                        <w:rFonts w:ascii="Cambria Math" w:hAnsi="Cambria Math" w:hint="eastAsia"/>
                        <w:sz w:val="22"/>
                        <w:szCs w:val="22"/>
                        <w:vertAlign w:val="superscript"/>
                      </w:rPr>
                      <m:t>5</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r>
      <w:tr w:rsidR="00342321" w:rsidRPr="00BC31E0" w14:paraId="2B31483F" w14:textId="77777777" w:rsidTr="004736F2">
        <w:trPr>
          <w:jc w:val="center"/>
        </w:trPr>
        <w:tc>
          <w:tcPr>
            <w:tcW w:w="992" w:type="dxa"/>
            <w:vAlign w:val="center"/>
          </w:tcPr>
          <w:p w14:paraId="0DBF6EA4"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0.3</w:t>
            </w:r>
          </w:p>
        </w:tc>
        <w:tc>
          <w:tcPr>
            <w:tcW w:w="1772" w:type="dxa"/>
            <w:vAlign w:val="center"/>
          </w:tcPr>
          <w:p w14:paraId="04045303"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9.</m:t>
                </m:r>
                <m:r>
                  <w:rPr>
                    <w:rFonts w:ascii="Cambria Math" w:hAnsi="Cambria Math" w:hint="eastAsia"/>
                    <w:sz w:val="22"/>
                    <w:szCs w:val="22"/>
                  </w:rPr>
                  <m:t>16</m:t>
                </m:r>
                <m:r>
                  <w:rPr>
                    <w:rFonts w:ascii="Cambria Math" w:hAnsi="Cambria Math"/>
                    <w:sz w:val="22"/>
                    <w:szCs w:val="22"/>
                  </w:rPr>
                  <m:t xml:space="preserve">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-0.88</m:t>
                    </m:r>
                    <m:r>
                      <w:rPr>
                        <w:rFonts w:ascii="Cambria Math" w:hAnsi="Cambria Math" w:hint="eastAsia"/>
                        <w:sz w:val="22"/>
                        <w:szCs w:val="22"/>
                        <w:vertAlign w:val="superscript"/>
                      </w:rPr>
                      <m:t>1</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772" w:type="dxa"/>
            <w:vAlign w:val="center"/>
          </w:tcPr>
          <w:p w14:paraId="34F14DDE"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hint="eastAsia"/>
                    <w:sz w:val="22"/>
                    <w:szCs w:val="22"/>
                  </w:rPr>
                  <m:t>9.66</m:t>
                </m:r>
                <m:sSup>
                  <m:sSupPr>
                    <m:ctrlPr>
                      <w:rPr>
                        <w:rFonts w:ascii="Cambria Math" w:hAnsi="Cambria Math"/>
                        <w:i/>
                        <w:sz w:val="22"/>
                        <w:szCs w:val="22"/>
                      </w:rPr>
                    </m:ctrlPr>
                  </m:sSupPr>
                  <m:e>
                    <m:r>
                      <w:rPr>
                        <w:rFonts w:ascii="Cambria Math" w:hAnsi="Cambria Math"/>
                        <w:sz w:val="22"/>
                        <w:szCs w:val="22"/>
                      </w:rPr>
                      <m:t xml:space="preserve"> t </m:t>
                    </m:r>
                  </m:e>
                  <m:sup>
                    <m:r>
                      <w:rPr>
                        <w:rFonts w:ascii="Cambria Math" w:hAnsi="Cambria Math"/>
                        <w:sz w:val="22"/>
                        <w:szCs w:val="22"/>
                        <w:vertAlign w:val="superscript"/>
                      </w:rPr>
                      <m:t>-0.9</m:t>
                    </m:r>
                    <m:r>
                      <w:rPr>
                        <w:rFonts w:ascii="Cambria Math" w:hAnsi="Cambria Math" w:hint="eastAsia"/>
                        <w:sz w:val="22"/>
                        <w:szCs w:val="22"/>
                        <w:vertAlign w:val="superscript"/>
                      </w:rPr>
                      <m:t>66</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772" w:type="dxa"/>
            <w:vAlign w:val="center"/>
          </w:tcPr>
          <w:p w14:paraId="284504D5"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hint="eastAsia"/>
                    <w:sz w:val="22"/>
                    <w:szCs w:val="22"/>
                  </w:rPr>
                  <m:t>9.44</m:t>
                </m:r>
                <m:r>
                  <w:rPr>
                    <w:rFonts w:ascii="Cambria Math" w:hAnsi="Cambria Math"/>
                    <w:sz w:val="22"/>
                    <w:szCs w:val="22"/>
                  </w:rPr>
                  <m:t xml:space="preserve">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-1.0</m:t>
                    </m:r>
                    <m:r>
                      <w:rPr>
                        <w:rFonts w:ascii="Cambria Math" w:hAnsi="Cambria Math" w:hint="eastAsia"/>
                        <w:sz w:val="22"/>
                        <w:szCs w:val="22"/>
                        <w:vertAlign w:val="superscript"/>
                      </w:rPr>
                      <m:t>7</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772" w:type="dxa"/>
            <w:vAlign w:val="center"/>
          </w:tcPr>
          <w:p w14:paraId="7AD72848"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hint="eastAsia"/>
                    <w:sz w:val="22"/>
                    <w:szCs w:val="22"/>
                  </w:rPr>
                  <m:t>8.06</m:t>
                </m:r>
                <m:r>
                  <w:rPr>
                    <w:rFonts w:ascii="Cambria Math" w:hAnsi="Cambria Math"/>
                    <w:sz w:val="22"/>
                    <w:szCs w:val="22"/>
                  </w:rPr>
                  <m:t xml:space="preserve">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-1.1</m:t>
                    </m:r>
                    <m:r>
                      <w:rPr>
                        <w:rFonts w:ascii="Cambria Math" w:hAnsi="Cambria Math" w:hint="eastAsia"/>
                        <w:sz w:val="22"/>
                        <w:szCs w:val="22"/>
                        <w:vertAlign w:val="superscript"/>
                      </w:rPr>
                      <m:t>5</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r>
      <w:tr w:rsidR="00342321" w:rsidRPr="00BC31E0" w14:paraId="28697E61" w14:textId="77777777" w:rsidTr="004736F2">
        <w:trPr>
          <w:jc w:val="center"/>
        </w:trPr>
        <w:tc>
          <w:tcPr>
            <w:tcW w:w="992" w:type="dxa"/>
            <w:vAlign w:val="center"/>
          </w:tcPr>
          <w:p w14:paraId="1CAD568E"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0.4</w:t>
            </w:r>
          </w:p>
        </w:tc>
        <w:tc>
          <w:tcPr>
            <w:tcW w:w="1772" w:type="dxa"/>
            <w:vAlign w:val="center"/>
          </w:tcPr>
          <w:p w14:paraId="40DE4BDE"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7.6</m:t>
                </m:r>
                <m:r>
                  <w:rPr>
                    <w:rFonts w:ascii="Cambria Math" w:hAnsi="Cambria Math" w:hint="eastAsia"/>
                    <w:sz w:val="22"/>
                    <w:szCs w:val="22"/>
                  </w:rPr>
                  <m:t>8</m:t>
                </m:r>
                <m:r>
                  <w:rPr>
                    <w:rFonts w:ascii="Cambria Math" w:hAnsi="Cambria Math"/>
                    <w:sz w:val="22"/>
                    <w:szCs w:val="22"/>
                  </w:rPr>
                  <m:t xml:space="preserve">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-0.</m:t>
                    </m:r>
                    <m:r>
                      <w:rPr>
                        <w:rFonts w:ascii="Cambria Math" w:hAnsi="Cambria Math" w:hint="eastAsia"/>
                        <w:sz w:val="22"/>
                        <w:szCs w:val="22"/>
                        <w:vertAlign w:val="superscript"/>
                      </w:rPr>
                      <m:t>800</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772" w:type="dxa"/>
            <w:vAlign w:val="center"/>
          </w:tcPr>
          <w:p w14:paraId="2B116C06"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7.</m:t>
                </m:r>
                <m:r>
                  <w:rPr>
                    <w:rFonts w:ascii="Cambria Math" w:hAnsi="Cambria Math" w:hint="eastAsia"/>
                    <w:sz w:val="22"/>
                    <w:szCs w:val="22"/>
                  </w:rPr>
                  <m:t xml:space="preserve">78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-0.8</m:t>
                    </m:r>
                    <m:r>
                      <w:rPr>
                        <w:rFonts w:ascii="Cambria Math" w:hAnsi="Cambria Math" w:hint="eastAsia"/>
                        <w:sz w:val="22"/>
                        <w:szCs w:val="22"/>
                        <w:vertAlign w:val="superscript"/>
                      </w:rPr>
                      <m:t>73</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772" w:type="dxa"/>
            <w:vAlign w:val="center"/>
          </w:tcPr>
          <w:p w14:paraId="5669FCFE"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7.</m:t>
                </m:r>
                <m:r>
                  <w:rPr>
                    <w:rFonts w:ascii="Cambria Math" w:hAnsi="Cambria Math" w:hint="eastAsia"/>
                    <w:sz w:val="22"/>
                    <w:szCs w:val="22"/>
                  </w:rPr>
                  <m:t xml:space="preserve">14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-0.9</m:t>
                    </m:r>
                    <m:r>
                      <w:rPr>
                        <w:rFonts w:ascii="Cambria Math" w:hAnsi="Cambria Math" w:hint="eastAsia"/>
                        <w:sz w:val="22"/>
                        <w:szCs w:val="22"/>
                        <w:vertAlign w:val="superscript"/>
                      </w:rPr>
                      <m:t>54</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772" w:type="dxa"/>
            <w:vAlign w:val="center"/>
          </w:tcPr>
          <w:p w14:paraId="3B1B7BCF"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hint="eastAsia"/>
                    <w:sz w:val="22"/>
                    <w:szCs w:val="22"/>
                  </w:rPr>
                  <m:t>6.05</m:t>
                </m:r>
                <m:r>
                  <w:rPr>
                    <w:rFonts w:ascii="Cambria Math" w:hAnsi="Cambria Math"/>
                    <w:sz w:val="22"/>
                    <w:szCs w:val="22"/>
                  </w:rPr>
                  <m:t xml:space="preserve">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m:t>
                    </m:r>
                    <m:r>
                      <w:rPr>
                        <w:rFonts w:ascii="Cambria Math" w:hAnsi="Cambria Math" w:hint="eastAsia"/>
                        <w:sz w:val="22"/>
                        <w:szCs w:val="22"/>
                        <w:vertAlign w:val="superscript"/>
                      </w:rPr>
                      <m:t>1.01</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r>
      <w:tr w:rsidR="00342321" w:rsidRPr="00BC31E0" w14:paraId="28D0E6AF" w14:textId="77777777" w:rsidTr="004736F2">
        <w:trPr>
          <w:jc w:val="center"/>
        </w:trPr>
        <w:tc>
          <w:tcPr>
            <w:tcW w:w="992" w:type="dxa"/>
            <w:vAlign w:val="center"/>
          </w:tcPr>
          <w:p w14:paraId="72222255"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0.5</w:t>
            </w:r>
          </w:p>
        </w:tc>
        <w:tc>
          <w:tcPr>
            <w:tcW w:w="1772" w:type="dxa"/>
            <w:vAlign w:val="center"/>
          </w:tcPr>
          <w:p w14:paraId="228C0194"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sz w:val="22"/>
                    <w:szCs w:val="22"/>
                  </w:rPr>
                  <m:t>8.</m:t>
                </m:r>
                <m:r>
                  <w:rPr>
                    <w:rFonts w:ascii="Cambria Math" w:hAnsi="Cambria Math" w:hint="eastAsia"/>
                    <w:sz w:val="22"/>
                    <w:szCs w:val="22"/>
                  </w:rPr>
                  <m:t>74</m:t>
                </m:r>
                <m:r>
                  <w:rPr>
                    <w:rFonts w:ascii="Cambria Math" w:hAnsi="Cambria Math"/>
                    <w:sz w:val="22"/>
                    <w:szCs w:val="22"/>
                  </w:rPr>
                  <m:t xml:space="preserve">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-0.</m:t>
                    </m:r>
                    <m:r>
                      <w:rPr>
                        <w:rFonts w:ascii="Cambria Math" w:hAnsi="Cambria Math" w:hint="eastAsia"/>
                        <w:sz w:val="22"/>
                        <w:szCs w:val="22"/>
                        <w:vertAlign w:val="superscript"/>
                      </w:rPr>
                      <m:t>815</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772" w:type="dxa"/>
            <w:vAlign w:val="center"/>
          </w:tcPr>
          <w:p w14:paraId="7025576A"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hint="eastAsia"/>
                    <w:sz w:val="22"/>
                    <w:szCs w:val="22"/>
                  </w:rPr>
                  <m:t>8.76</m:t>
                </m:r>
                <m:r>
                  <w:rPr>
                    <w:rFonts w:ascii="Cambria Math" w:hAnsi="Cambria Math"/>
                    <w:sz w:val="22"/>
                    <w:szCs w:val="22"/>
                  </w:rPr>
                  <m:t xml:space="preserve">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-0.8</m:t>
                    </m:r>
                    <m:r>
                      <w:rPr>
                        <w:rFonts w:ascii="Cambria Math" w:hAnsi="Cambria Math" w:hint="eastAsia"/>
                        <w:sz w:val="22"/>
                        <w:szCs w:val="22"/>
                        <w:vertAlign w:val="superscript"/>
                      </w:rPr>
                      <m:t>88</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772" w:type="dxa"/>
            <w:vAlign w:val="center"/>
          </w:tcPr>
          <w:p w14:paraId="639776BD"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hint="eastAsia"/>
                    <w:sz w:val="22"/>
                    <w:szCs w:val="22"/>
                  </w:rPr>
                  <m:t>7.86</m:t>
                </m:r>
                <m:r>
                  <w:rPr>
                    <w:rFonts w:ascii="Cambria Math" w:hAnsi="Cambria Math"/>
                    <w:sz w:val="22"/>
                    <w:szCs w:val="22"/>
                  </w:rPr>
                  <m:t xml:space="preserve">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-0.9</m:t>
                    </m:r>
                    <m:r>
                      <w:rPr>
                        <w:rFonts w:ascii="Cambria Math" w:hAnsi="Cambria Math" w:hint="eastAsia"/>
                        <w:sz w:val="22"/>
                        <w:szCs w:val="22"/>
                        <w:vertAlign w:val="superscript"/>
                      </w:rPr>
                      <m:t>65</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772" w:type="dxa"/>
            <w:vAlign w:val="center"/>
          </w:tcPr>
          <w:p w14:paraId="44B32CF7" w14:textId="77777777" w:rsidR="00342321" w:rsidRPr="00BC31E0" w:rsidRDefault="00342321" w:rsidP="004736F2">
            <w:pPr>
              <w:snapToGrid w:val="0"/>
              <w:spacing w:line="300" w:lineRule="atLeast"/>
              <w:jc w:val="center"/>
              <w:rPr>
                <w:rFonts w:ascii="Cambria Math" w:hAnsi="Cambria Math"/>
                <w:i/>
                <w:sz w:val="22"/>
                <w:szCs w:val="22"/>
              </w:rPr>
            </w:pPr>
            <m:oMathPara>
              <m:oMath>
                <m:r>
                  <w:rPr>
                    <w:rFonts w:ascii="Cambria Math" w:hAnsi="Cambria Math" w:hint="eastAsia"/>
                    <w:sz w:val="22"/>
                    <w:szCs w:val="22"/>
                  </w:rPr>
                  <m:t>6.49</m:t>
                </m:r>
                <m:r>
                  <w:rPr>
                    <w:rFonts w:ascii="Cambria Math" w:hAnsi="Cambria Math"/>
                    <w:sz w:val="22"/>
                    <w:szCs w:val="22"/>
                  </w:rPr>
                  <m:t xml:space="preserve">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m:t>
                    </m:r>
                    <m:r>
                      <w:rPr>
                        <w:rFonts w:ascii="Cambria Math" w:hAnsi="Cambria Math" w:hint="eastAsia"/>
                        <w:sz w:val="22"/>
                        <w:szCs w:val="22"/>
                        <w:vertAlign w:val="superscript"/>
                      </w:rPr>
                      <m:t>1.01</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r>
    </w:tbl>
    <w:p w14:paraId="712E9114" w14:textId="77777777" w:rsidR="00342321" w:rsidRPr="00BC31E0" w:rsidRDefault="00342321" w:rsidP="00342321">
      <w:pPr>
        <w:snapToGrid w:val="0"/>
        <w:spacing w:before="60" w:after="60" w:line="320" w:lineRule="atLeast"/>
        <w:ind w:left="1474" w:hanging="794"/>
        <w:jc w:val="left"/>
        <w:rPr>
          <w:kern w:val="0"/>
          <w:szCs w:val="20"/>
        </w:rPr>
      </w:pPr>
      <w:r w:rsidRPr="00BC31E0">
        <w:rPr>
          <w:rFonts w:ascii="ＭＳ ゴシック" w:eastAsia="ＭＳ ゴシック" w:hAnsi="ＭＳ ゴシック" w:hint="eastAsia"/>
          <w:b/>
          <w:szCs w:val="20"/>
        </w:rPr>
        <w:t>注記</w:t>
      </w:r>
      <w:r w:rsidRPr="00BC31E0">
        <w:rPr>
          <w:rFonts w:ascii="ＭＳ ゴシック" w:eastAsia="ＭＳ ゴシック" w:hAnsi="ＭＳ ゴシック" w:cs="Tahoma"/>
          <w:b/>
          <w:szCs w:val="20"/>
        </w:rPr>
        <w:t>1</w:t>
      </w:r>
      <w:r w:rsidRPr="00BC31E0">
        <w:rPr>
          <w:rFonts w:ascii="ＭＳ 明朝" w:hAnsi="ＭＳ 明朝" w:cs="Tahoma" w:hint="eastAsia"/>
          <w:b/>
          <w:szCs w:val="20"/>
        </w:rPr>
        <w:t xml:space="preserve">　</w:t>
      </w:r>
      <m:oMath>
        <m:f>
          <m:fPr>
            <m:type m:val="lin"/>
            <m:ctrlPr>
              <w:rPr>
                <w:rFonts w:ascii="Cambria Math" w:hAnsi="Cambria Math"/>
                <w:i/>
                <w:kern w:val="0"/>
                <w:szCs w:val="20"/>
              </w:rPr>
            </m:ctrlPr>
          </m:fPr>
          <m:num>
            <m:r>
              <w:rPr>
                <w:rFonts w:ascii="Cambria Math" w:hAnsi="Cambria Math"/>
                <w:kern w:val="0"/>
                <w:szCs w:val="20"/>
              </w:rPr>
              <m:t>a</m:t>
            </m:r>
          </m:num>
          <m:den>
            <m:r>
              <w:rPr>
                <w:rFonts w:ascii="Cambria Math" w:hAnsi="Cambria Math"/>
                <w:kern w:val="0"/>
                <w:szCs w:val="20"/>
              </w:rPr>
              <m:t xml:space="preserve">t </m:t>
            </m:r>
          </m:den>
        </m:f>
      </m:oMath>
      <w:r w:rsidRPr="00BC31E0">
        <w:rPr>
          <w:rFonts w:hAnsi="ＭＳ 明朝"/>
          <w:kern w:val="0"/>
          <w:szCs w:val="20"/>
        </w:rPr>
        <w:t>の値</w:t>
      </w:r>
      <w:r w:rsidRPr="00BC31E0">
        <w:rPr>
          <w:rFonts w:hAnsi="ＭＳ 明朝" w:hint="eastAsia"/>
          <w:kern w:val="0"/>
          <w:szCs w:val="20"/>
        </w:rPr>
        <w:t>は次の表の値を最大とする</w:t>
      </w:r>
      <w:r w:rsidRPr="00BC31E0">
        <w:rPr>
          <w:rFonts w:hAnsi="ＭＳ 明朝"/>
          <w:kern w:val="0"/>
          <w:szCs w:val="20"/>
        </w:rPr>
        <w:t>。</w:t>
      </w:r>
      <w:r w:rsidRPr="00BC31E0">
        <w:rPr>
          <w:rFonts w:hAnsi="ＭＳ 明朝" w:hint="eastAsia"/>
          <w:kern w:val="0"/>
          <w:szCs w:val="20"/>
        </w:rPr>
        <w:t>なお，中間の</w:t>
      </w:r>
      <m:oMath>
        <m:f>
          <m:fPr>
            <m:type m:val="lin"/>
            <m:ctrlPr>
              <w:rPr>
                <w:rFonts w:ascii="Cambria Math" w:hAnsi="Cambria Math"/>
                <w:i/>
                <w:kern w:val="0"/>
                <w:szCs w:val="20"/>
              </w:rPr>
            </m:ctrlPr>
          </m:fPr>
          <m:num>
            <m:r>
              <w:rPr>
                <w:rFonts w:ascii="Cambria Math" w:hAnsi="Cambria Math"/>
                <w:kern w:val="0"/>
                <w:szCs w:val="20"/>
              </w:rPr>
              <m:t xml:space="preserve"> a</m:t>
            </m:r>
          </m:num>
          <m:den>
            <m:r>
              <w:rPr>
                <w:rFonts w:ascii="Cambria Math" w:hAnsi="Cambria Math"/>
                <w:kern w:val="0"/>
                <w:szCs w:val="20"/>
              </w:rPr>
              <m:t xml:space="preserve">l </m:t>
            </m:r>
          </m:den>
        </m:f>
      </m:oMath>
      <w:r w:rsidRPr="00BC31E0">
        <w:rPr>
          <w:rFonts w:hAnsi="ＭＳ 明朝" w:hint="eastAsia"/>
          <w:kern w:val="0"/>
          <w:szCs w:val="20"/>
        </w:rPr>
        <w:t>の値に対して，及び</w:t>
      </w:r>
      <m:oMath>
        <m:r>
          <w:rPr>
            <w:rFonts w:ascii="Cambria Math" w:hAnsi="Cambria Math"/>
            <w:kern w:val="0"/>
            <w:szCs w:val="20"/>
          </w:rPr>
          <m:t>6</m:t>
        </m:r>
        <m:r>
          <w:rPr>
            <w:rFonts w:ascii="Cambria Math" w:hAnsi="Cambria Math" w:hint="eastAsia"/>
            <w:kern w:val="0"/>
            <w:szCs w:val="20"/>
          </w:rPr>
          <m:t>4</m:t>
        </m:r>
        <m:r>
          <w:rPr>
            <w:rFonts w:ascii="Cambria Math" w:hAnsi="Cambria Math"/>
            <w:kern w:val="0"/>
            <w:szCs w:val="20"/>
          </w:rPr>
          <m:t>&lt;t&lt;10</m:t>
        </m:r>
        <m:r>
          <w:rPr>
            <w:rFonts w:ascii="Cambria Math" w:hAnsi="Cambria Math" w:hint="eastAsia"/>
            <w:kern w:val="0"/>
            <w:szCs w:val="20"/>
          </w:rPr>
          <m:t>0</m:t>
        </m:r>
        <m:r>
          <m:rPr>
            <m:sty m:val="p"/>
          </m:rPr>
          <w:rPr>
            <w:rFonts w:ascii="Cambria Math" w:hAnsi="Cambria Math" w:hint="eastAsia"/>
            <w:kern w:val="0"/>
            <w:szCs w:val="20"/>
          </w:rPr>
          <m:t xml:space="preserve"> </m:t>
        </m:r>
        <m:r>
          <m:rPr>
            <m:sty m:val="p"/>
          </m:rPr>
          <w:rPr>
            <w:rFonts w:ascii="Cambria Math" w:hAnsi="Cambria Math"/>
            <w:kern w:val="0"/>
            <w:szCs w:val="20"/>
          </w:rPr>
          <m:t xml:space="preserve">mm </m:t>
        </m:r>
      </m:oMath>
      <w:r w:rsidRPr="00BC31E0">
        <w:rPr>
          <w:rFonts w:hint="eastAsia"/>
          <w:kern w:val="0"/>
          <w:szCs w:val="20"/>
        </w:rPr>
        <w:t>の場合には，線形補間により</w:t>
      </w:r>
      <m:oMath>
        <m:f>
          <m:fPr>
            <m:type m:val="lin"/>
            <m:ctrlPr>
              <w:rPr>
                <w:rFonts w:ascii="Cambria Math" w:hAnsi="Cambria Math"/>
                <w:i/>
                <w:kern w:val="0"/>
                <w:szCs w:val="20"/>
              </w:rPr>
            </m:ctrlPr>
          </m:fPr>
          <m:num>
            <m:r>
              <w:rPr>
                <w:rFonts w:ascii="Cambria Math" w:hAnsi="Cambria Math"/>
                <w:kern w:val="0"/>
                <w:szCs w:val="20"/>
              </w:rPr>
              <m:t xml:space="preserve"> a</m:t>
            </m:r>
          </m:num>
          <m:den>
            <m:r>
              <w:rPr>
                <w:rFonts w:ascii="Cambria Math" w:hAnsi="Cambria Math"/>
                <w:kern w:val="0"/>
                <w:szCs w:val="20"/>
              </w:rPr>
              <m:t xml:space="preserve">t </m:t>
            </m:r>
          </m:den>
        </m:f>
      </m:oMath>
      <w:r w:rsidRPr="00BC31E0">
        <w:rPr>
          <w:rFonts w:hint="eastAsia"/>
          <w:kern w:val="0"/>
          <w:szCs w:val="20"/>
        </w:rPr>
        <w:t>を求める。</w:t>
      </w:r>
    </w:p>
    <w:tbl>
      <w:tblPr>
        <w:tblW w:w="0" w:type="auto"/>
        <w:tblInd w:w="1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1"/>
        <w:gridCol w:w="1331"/>
        <w:gridCol w:w="1331"/>
        <w:gridCol w:w="1331"/>
      </w:tblGrid>
      <w:tr w:rsidR="00342321" w:rsidRPr="00BC31E0" w14:paraId="2D92E678" w14:textId="77777777" w:rsidTr="004736F2">
        <w:tc>
          <w:tcPr>
            <w:tcW w:w="2662" w:type="dxa"/>
            <w:gridSpan w:val="2"/>
          </w:tcPr>
          <w:p w14:paraId="22808D60" w14:textId="77777777" w:rsidR="00342321" w:rsidRPr="00BC31E0" w:rsidRDefault="00342321" w:rsidP="004736F2">
            <w:pPr>
              <w:snapToGrid w:val="0"/>
              <w:spacing w:line="300" w:lineRule="atLeast"/>
              <w:jc w:val="center"/>
              <w:rPr>
                <w:i/>
                <w:kern w:val="0"/>
                <w:szCs w:val="20"/>
              </w:rPr>
            </w:pPr>
            <m:oMathPara>
              <m:oMath>
                <m:r>
                  <w:rPr>
                    <w:rFonts w:ascii="Cambria Math" w:hAnsi="Cambria Math"/>
                    <w:kern w:val="0"/>
                    <w:szCs w:val="20"/>
                  </w:rPr>
                  <m:t>25</m:t>
                </m:r>
                <m:r>
                  <w:rPr>
                    <w:rFonts w:ascii="Cambria Math" w:hAnsi="Cambria Math" w:hint="eastAsia"/>
                    <w:kern w:val="0"/>
                    <w:szCs w:val="20"/>
                  </w:rPr>
                  <m:t>≦</m:t>
                </m:r>
                <m:r>
                  <w:rPr>
                    <w:rFonts w:ascii="Cambria Math" w:hAnsi="Cambria Math"/>
                    <w:kern w:val="0"/>
                    <w:szCs w:val="20"/>
                  </w:rPr>
                  <m:t>t</m:t>
                </m:r>
                <m:r>
                  <w:rPr>
                    <w:rFonts w:ascii="Cambria Math" w:hAnsi="Cambria Math" w:hint="eastAsia"/>
                    <w:kern w:val="0"/>
                    <w:szCs w:val="20"/>
                  </w:rPr>
                  <m:t>≦</m:t>
                </m:r>
                <m:r>
                  <w:rPr>
                    <w:rFonts w:ascii="Cambria Math" w:hAnsi="Cambria Math"/>
                    <w:kern w:val="0"/>
                    <w:szCs w:val="20"/>
                  </w:rPr>
                  <m:t>6</m:t>
                </m:r>
                <m:r>
                  <w:rPr>
                    <w:rFonts w:ascii="Cambria Math" w:hAnsi="Cambria Math" w:hint="eastAsia"/>
                    <w:kern w:val="0"/>
                    <w:szCs w:val="20"/>
                  </w:rPr>
                  <m:t xml:space="preserve">4 </m:t>
                </m:r>
                <m:r>
                  <m:rPr>
                    <m:sty m:val="p"/>
                  </m:rPr>
                  <w:rPr>
                    <w:rFonts w:ascii="Cambria Math" w:hAnsi="Cambria Math"/>
                    <w:kern w:val="0"/>
                    <w:szCs w:val="20"/>
                  </w:rPr>
                  <m:t>mm</m:t>
                </m:r>
              </m:oMath>
            </m:oMathPara>
          </w:p>
        </w:tc>
        <w:tc>
          <w:tcPr>
            <w:tcW w:w="2662" w:type="dxa"/>
            <w:gridSpan w:val="2"/>
          </w:tcPr>
          <w:p w14:paraId="38BC5EF0" w14:textId="77777777" w:rsidR="00342321" w:rsidRPr="00BC31E0" w:rsidRDefault="00342321" w:rsidP="004736F2">
            <w:pPr>
              <w:snapToGrid w:val="0"/>
              <w:spacing w:line="300" w:lineRule="atLeast"/>
              <w:jc w:val="center"/>
              <w:rPr>
                <w:i/>
                <w:kern w:val="0"/>
                <w:szCs w:val="20"/>
              </w:rPr>
            </w:pPr>
            <m:oMathPara>
              <m:oMath>
                <m:r>
                  <w:rPr>
                    <w:rFonts w:ascii="Cambria Math" w:hAnsi="Cambria Math"/>
                    <w:kern w:val="0"/>
                    <w:szCs w:val="20"/>
                  </w:rPr>
                  <m:t>10</m:t>
                </m:r>
                <m:r>
                  <w:rPr>
                    <w:rFonts w:ascii="Cambria Math" w:hAnsi="Cambria Math" w:hint="eastAsia"/>
                    <w:kern w:val="0"/>
                    <w:szCs w:val="20"/>
                  </w:rPr>
                  <m:t>0</m:t>
                </m:r>
                <m:r>
                  <w:rPr>
                    <w:rFonts w:ascii="Cambria Math" w:hAnsi="Cambria Math" w:hint="eastAsia"/>
                    <w:kern w:val="0"/>
                    <w:szCs w:val="20"/>
                  </w:rPr>
                  <m:t>≦</m:t>
                </m:r>
                <m:r>
                  <w:rPr>
                    <w:rFonts w:ascii="Cambria Math" w:hAnsi="Cambria Math"/>
                    <w:kern w:val="0"/>
                    <w:szCs w:val="20"/>
                  </w:rPr>
                  <m:t>t</m:t>
                </m:r>
                <m:r>
                  <w:rPr>
                    <w:rFonts w:ascii="Cambria Math" w:hAnsi="Cambria Math" w:hint="eastAsia"/>
                    <w:kern w:val="0"/>
                    <w:szCs w:val="20"/>
                  </w:rPr>
                  <m:t>≦</m:t>
                </m:r>
                <m:r>
                  <w:rPr>
                    <w:rFonts w:ascii="Cambria Math" w:hAnsi="Cambria Math"/>
                    <w:kern w:val="0"/>
                    <w:szCs w:val="20"/>
                  </w:rPr>
                  <m:t>30</m:t>
                </m:r>
                <m:r>
                  <w:rPr>
                    <w:rFonts w:ascii="Cambria Math" w:hAnsi="Cambria Math" w:hint="eastAsia"/>
                    <w:kern w:val="0"/>
                    <w:szCs w:val="20"/>
                  </w:rPr>
                  <m:t>0</m:t>
                </m:r>
                <m:r>
                  <m:rPr>
                    <m:sty m:val="p"/>
                  </m:rPr>
                  <w:rPr>
                    <w:rFonts w:ascii="Cambria Math" w:hAnsi="Cambria Math" w:hint="eastAsia"/>
                    <w:kern w:val="0"/>
                    <w:szCs w:val="20"/>
                  </w:rPr>
                  <m:t xml:space="preserve"> </m:t>
                </m:r>
                <m:r>
                  <m:rPr>
                    <m:sty m:val="p"/>
                  </m:rPr>
                  <w:rPr>
                    <w:rFonts w:ascii="Cambria Math" w:hAnsi="Cambria Math"/>
                    <w:kern w:val="0"/>
                    <w:szCs w:val="20"/>
                  </w:rPr>
                  <m:t>mm</m:t>
                </m:r>
              </m:oMath>
            </m:oMathPara>
          </w:p>
        </w:tc>
      </w:tr>
      <w:tr w:rsidR="00342321" w:rsidRPr="00BC31E0" w14:paraId="294E082A" w14:textId="77777777" w:rsidTr="004736F2">
        <w:tc>
          <w:tcPr>
            <w:tcW w:w="1331" w:type="dxa"/>
          </w:tcPr>
          <w:p w14:paraId="77A055CB" w14:textId="77777777" w:rsidR="00342321" w:rsidRPr="00BC31E0" w:rsidRDefault="00A51873" w:rsidP="004736F2">
            <w:pPr>
              <w:snapToGrid w:val="0"/>
              <w:spacing w:line="300" w:lineRule="atLeast"/>
              <w:jc w:val="center"/>
              <w:rPr>
                <w:rFonts w:ascii="Times New Roman" w:hAnsi="Times New Roman"/>
                <w:i/>
                <w:kern w:val="0"/>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l</m:t>
                    </m:r>
                  </m:den>
                </m:f>
              </m:oMath>
            </m:oMathPara>
          </w:p>
        </w:tc>
        <w:tc>
          <w:tcPr>
            <w:tcW w:w="1331" w:type="dxa"/>
          </w:tcPr>
          <w:p w14:paraId="5D084288" w14:textId="77777777" w:rsidR="00342321" w:rsidRPr="00BC31E0" w:rsidRDefault="00A51873" w:rsidP="004736F2">
            <w:pPr>
              <w:snapToGrid w:val="0"/>
              <w:spacing w:line="300" w:lineRule="atLeast"/>
              <w:jc w:val="center"/>
              <w:rPr>
                <w:rFonts w:ascii="Times New Roman" w:hAnsi="Times New Roman"/>
                <w:i/>
                <w:kern w:val="0"/>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t</m:t>
                    </m:r>
                  </m:den>
                </m:f>
              </m:oMath>
            </m:oMathPara>
          </w:p>
        </w:tc>
        <w:tc>
          <w:tcPr>
            <w:tcW w:w="1331" w:type="dxa"/>
          </w:tcPr>
          <w:p w14:paraId="20ED49ED" w14:textId="77777777" w:rsidR="00342321" w:rsidRPr="00BC31E0" w:rsidRDefault="00A51873" w:rsidP="004736F2">
            <w:pPr>
              <w:snapToGrid w:val="0"/>
              <w:spacing w:line="300" w:lineRule="atLeast"/>
              <w:jc w:val="center"/>
              <w:rPr>
                <w:rFonts w:ascii="Times New Roman" w:hAnsi="Times New Roman"/>
                <w:i/>
                <w:kern w:val="0"/>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l</m:t>
                    </m:r>
                  </m:den>
                </m:f>
              </m:oMath>
            </m:oMathPara>
          </w:p>
        </w:tc>
        <w:tc>
          <w:tcPr>
            <w:tcW w:w="1331" w:type="dxa"/>
          </w:tcPr>
          <w:p w14:paraId="4A39DFDD" w14:textId="77777777" w:rsidR="00342321" w:rsidRPr="00BC31E0" w:rsidRDefault="00A51873" w:rsidP="004736F2">
            <w:pPr>
              <w:snapToGrid w:val="0"/>
              <w:spacing w:line="300" w:lineRule="atLeast"/>
              <w:jc w:val="center"/>
              <w:rPr>
                <w:rFonts w:ascii="Times New Roman" w:hAnsi="Times New Roman"/>
                <w:i/>
                <w:kern w:val="0"/>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t</m:t>
                    </m:r>
                  </m:den>
                </m:f>
              </m:oMath>
            </m:oMathPara>
          </w:p>
        </w:tc>
      </w:tr>
      <w:tr w:rsidR="00342321" w:rsidRPr="00BC31E0" w14:paraId="643A6B59" w14:textId="77777777" w:rsidTr="004736F2">
        <w:tc>
          <w:tcPr>
            <w:tcW w:w="1331" w:type="dxa"/>
          </w:tcPr>
          <w:p w14:paraId="319BF5CC"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0.0</w:t>
            </w:r>
          </w:p>
        </w:tc>
        <w:tc>
          <w:tcPr>
            <w:tcW w:w="1331" w:type="dxa"/>
          </w:tcPr>
          <w:p w14:paraId="473151F9" w14:textId="77777777" w:rsidR="00342321" w:rsidRPr="00BC31E0" w:rsidRDefault="00342321" w:rsidP="004736F2">
            <w:pPr>
              <w:snapToGrid w:val="0"/>
              <w:spacing w:line="300" w:lineRule="atLeast"/>
              <w:jc w:val="center"/>
              <w:rPr>
                <w:rFonts w:ascii="Cambria Math" w:hAnsi="Cambria Math"/>
                <w:i/>
                <w:kern w:val="0"/>
                <w:sz w:val="22"/>
                <w:szCs w:val="22"/>
              </w:rPr>
            </w:pPr>
            <m:oMathPara>
              <m:oMath>
                <m:r>
                  <w:rPr>
                    <w:rFonts w:ascii="Cambria Math" w:hAnsi="Cambria Math"/>
                    <w:kern w:val="0"/>
                    <w:sz w:val="22"/>
                    <w:szCs w:val="22"/>
                  </w:rPr>
                  <m:t>0.039</m:t>
                </m:r>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331" w:type="dxa"/>
          </w:tcPr>
          <w:p w14:paraId="4A22A682"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0.0</w:t>
            </w:r>
          </w:p>
        </w:tc>
        <w:tc>
          <w:tcPr>
            <w:tcW w:w="1331" w:type="dxa"/>
          </w:tcPr>
          <w:p w14:paraId="2E5A9608" w14:textId="77777777" w:rsidR="00342321" w:rsidRPr="00BC31E0" w:rsidRDefault="00342321" w:rsidP="004736F2">
            <w:pPr>
              <w:snapToGrid w:val="0"/>
              <w:spacing w:line="300" w:lineRule="atLeast"/>
              <w:jc w:val="center"/>
              <w:rPr>
                <w:rFonts w:ascii="Cambria Math" w:hAnsi="Cambria Math"/>
                <w:i/>
                <w:kern w:val="0"/>
                <w:sz w:val="22"/>
                <w:szCs w:val="22"/>
              </w:rPr>
            </w:pPr>
            <m:oMathPara>
              <m:oMath>
                <m:r>
                  <w:rPr>
                    <w:rFonts w:ascii="Cambria Math" w:hAnsi="Cambria Math"/>
                    <w:kern w:val="0"/>
                    <w:sz w:val="22"/>
                    <w:szCs w:val="22"/>
                  </w:rPr>
                  <m:t>0.024</m:t>
                </m:r>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r>
      <w:tr w:rsidR="00342321" w:rsidRPr="00BC31E0" w14:paraId="72E5411B" w14:textId="77777777" w:rsidTr="004736F2">
        <w:tc>
          <w:tcPr>
            <w:tcW w:w="1331" w:type="dxa"/>
          </w:tcPr>
          <w:p w14:paraId="3035293F"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0.1</w:t>
            </w:r>
          </w:p>
        </w:tc>
        <w:tc>
          <w:tcPr>
            <w:tcW w:w="1331" w:type="dxa"/>
          </w:tcPr>
          <w:p w14:paraId="027C2FA8" w14:textId="77777777" w:rsidR="00342321" w:rsidRPr="00BC31E0" w:rsidRDefault="00342321" w:rsidP="004736F2">
            <w:pPr>
              <w:snapToGrid w:val="0"/>
              <w:spacing w:line="300" w:lineRule="atLeast"/>
              <w:jc w:val="center"/>
              <w:rPr>
                <w:rFonts w:ascii="Cambria Math" w:hAnsi="Cambria Math"/>
                <w:i/>
                <w:kern w:val="0"/>
                <w:sz w:val="22"/>
                <w:szCs w:val="22"/>
              </w:rPr>
            </w:pPr>
            <m:oMathPara>
              <m:oMath>
                <m:r>
                  <w:rPr>
                    <w:rFonts w:ascii="Cambria Math" w:hAnsi="Cambria Math"/>
                    <w:kern w:val="0"/>
                    <w:sz w:val="22"/>
                    <w:szCs w:val="22"/>
                  </w:rPr>
                  <m:t>0.045</m:t>
                </m:r>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331" w:type="dxa"/>
          </w:tcPr>
          <w:p w14:paraId="713CE45E"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0.1</w:t>
            </w:r>
          </w:p>
        </w:tc>
        <w:tc>
          <w:tcPr>
            <w:tcW w:w="1331" w:type="dxa"/>
          </w:tcPr>
          <w:p w14:paraId="4811EE06" w14:textId="77777777" w:rsidR="00342321" w:rsidRPr="00BC31E0" w:rsidRDefault="00342321" w:rsidP="004736F2">
            <w:pPr>
              <w:snapToGrid w:val="0"/>
              <w:spacing w:line="300" w:lineRule="atLeast"/>
              <w:jc w:val="center"/>
              <w:rPr>
                <w:rFonts w:ascii="Cambria Math" w:hAnsi="Cambria Math"/>
                <w:i/>
                <w:kern w:val="0"/>
                <w:sz w:val="22"/>
                <w:szCs w:val="22"/>
              </w:rPr>
            </w:pPr>
            <m:oMathPara>
              <m:oMath>
                <m:r>
                  <w:rPr>
                    <w:rFonts w:ascii="Cambria Math" w:hAnsi="Cambria Math"/>
                    <w:kern w:val="0"/>
                    <w:sz w:val="22"/>
                    <w:szCs w:val="22"/>
                  </w:rPr>
                  <m:t>0.028</m:t>
                </m:r>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r>
      <w:tr w:rsidR="00342321" w:rsidRPr="00BC31E0" w14:paraId="6D5DB1EE" w14:textId="77777777" w:rsidTr="004736F2">
        <w:tc>
          <w:tcPr>
            <w:tcW w:w="1331" w:type="dxa"/>
          </w:tcPr>
          <w:p w14:paraId="5FFF9C59"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0.2</w:t>
            </w:r>
          </w:p>
        </w:tc>
        <w:tc>
          <w:tcPr>
            <w:tcW w:w="1331" w:type="dxa"/>
          </w:tcPr>
          <w:p w14:paraId="6C1DDFC4" w14:textId="77777777" w:rsidR="00342321" w:rsidRPr="00BC31E0" w:rsidRDefault="00342321" w:rsidP="004736F2">
            <w:pPr>
              <w:snapToGrid w:val="0"/>
              <w:spacing w:line="300" w:lineRule="atLeast"/>
              <w:jc w:val="center"/>
              <w:rPr>
                <w:rFonts w:ascii="Cambria Math" w:hAnsi="Cambria Math"/>
                <w:i/>
                <w:kern w:val="0"/>
                <w:sz w:val="22"/>
                <w:szCs w:val="22"/>
              </w:rPr>
            </w:pPr>
            <m:oMathPara>
              <m:oMath>
                <m:r>
                  <w:rPr>
                    <w:rFonts w:ascii="Cambria Math" w:hAnsi="Cambria Math"/>
                    <w:kern w:val="0"/>
                    <w:sz w:val="22"/>
                    <w:szCs w:val="22"/>
                  </w:rPr>
                  <m:t>0.059</m:t>
                </m:r>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331" w:type="dxa"/>
          </w:tcPr>
          <w:p w14:paraId="511E4F73"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0.2</w:t>
            </w:r>
          </w:p>
        </w:tc>
        <w:tc>
          <w:tcPr>
            <w:tcW w:w="1331" w:type="dxa"/>
          </w:tcPr>
          <w:p w14:paraId="12DAC253" w14:textId="77777777" w:rsidR="00342321" w:rsidRPr="00BC31E0" w:rsidRDefault="00342321" w:rsidP="004736F2">
            <w:pPr>
              <w:snapToGrid w:val="0"/>
              <w:spacing w:line="300" w:lineRule="atLeast"/>
              <w:jc w:val="center"/>
              <w:rPr>
                <w:rFonts w:ascii="Cambria Math" w:hAnsi="Cambria Math"/>
                <w:i/>
                <w:kern w:val="0"/>
                <w:sz w:val="22"/>
                <w:szCs w:val="22"/>
              </w:rPr>
            </w:pPr>
            <m:oMathPara>
              <m:oMath>
                <m:r>
                  <w:rPr>
                    <w:rFonts w:ascii="Cambria Math" w:hAnsi="Cambria Math"/>
                    <w:kern w:val="0"/>
                    <w:sz w:val="22"/>
                    <w:szCs w:val="22"/>
                  </w:rPr>
                  <m:t>0.035</m:t>
                </m:r>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r>
      <w:tr w:rsidR="00342321" w:rsidRPr="00BC31E0" w14:paraId="08C442E8" w14:textId="77777777" w:rsidTr="004736F2">
        <w:tc>
          <w:tcPr>
            <w:tcW w:w="1331" w:type="dxa"/>
          </w:tcPr>
          <w:p w14:paraId="3E7FF81D"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0.3</w:t>
            </w:r>
          </w:p>
        </w:tc>
        <w:tc>
          <w:tcPr>
            <w:tcW w:w="1331" w:type="dxa"/>
          </w:tcPr>
          <w:p w14:paraId="4E5E45BA" w14:textId="77777777" w:rsidR="00342321" w:rsidRPr="00BC31E0" w:rsidRDefault="00342321" w:rsidP="004736F2">
            <w:pPr>
              <w:snapToGrid w:val="0"/>
              <w:spacing w:line="300" w:lineRule="atLeast"/>
              <w:jc w:val="center"/>
              <w:rPr>
                <w:rFonts w:ascii="Cambria Math" w:hAnsi="Cambria Math"/>
                <w:i/>
                <w:kern w:val="0"/>
                <w:sz w:val="22"/>
                <w:szCs w:val="22"/>
              </w:rPr>
            </w:pPr>
            <m:oMathPara>
              <m:oMath>
                <m:r>
                  <w:rPr>
                    <w:rFonts w:ascii="Cambria Math" w:hAnsi="Cambria Math"/>
                    <w:kern w:val="0"/>
                    <w:sz w:val="22"/>
                    <w:szCs w:val="22"/>
                  </w:rPr>
                  <m:t>0.080</m:t>
                </m:r>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331" w:type="dxa"/>
          </w:tcPr>
          <w:p w14:paraId="11A5DE91"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0.3</w:t>
            </w:r>
          </w:p>
        </w:tc>
        <w:tc>
          <w:tcPr>
            <w:tcW w:w="1331" w:type="dxa"/>
          </w:tcPr>
          <w:p w14:paraId="23582D08" w14:textId="77777777" w:rsidR="00342321" w:rsidRPr="00BC31E0" w:rsidRDefault="00342321" w:rsidP="004736F2">
            <w:pPr>
              <w:snapToGrid w:val="0"/>
              <w:spacing w:line="300" w:lineRule="atLeast"/>
              <w:jc w:val="center"/>
              <w:rPr>
                <w:rFonts w:ascii="Cambria Math" w:hAnsi="Cambria Math"/>
                <w:i/>
                <w:kern w:val="0"/>
                <w:sz w:val="22"/>
                <w:szCs w:val="22"/>
              </w:rPr>
            </w:pPr>
            <m:oMathPara>
              <m:oMath>
                <m:r>
                  <w:rPr>
                    <w:rFonts w:ascii="Cambria Math" w:hAnsi="Cambria Math"/>
                    <w:kern w:val="0"/>
                    <w:sz w:val="22"/>
                    <w:szCs w:val="22"/>
                  </w:rPr>
                  <m:t>0.048</m:t>
                </m:r>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r>
      <w:tr w:rsidR="00342321" w:rsidRPr="00BC31E0" w14:paraId="5AF8E355" w14:textId="77777777" w:rsidTr="004736F2">
        <w:tc>
          <w:tcPr>
            <w:tcW w:w="1331" w:type="dxa"/>
          </w:tcPr>
          <w:p w14:paraId="6C477E31"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0.4</w:t>
            </w:r>
          </w:p>
        </w:tc>
        <w:tc>
          <w:tcPr>
            <w:tcW w:w="1331" w:type="dxa"/>
          </w:tcPr>
          <w:p w14:paraId="0DC11BAF" w14:textId="77777777" w:rsidR="00342321" w:rsidRPr="00BC31E0" w:rsidRDefault="00342321" w:rsidP="004736F2">
            <w:pPr>
              <w:snapToGrid w:val="0"/>
              <w:spacing w:line="300" w:lineRule="atLeast"/>
              <w:jc w:val="center"/>
              <w:rPr>
                <w:rFonts w:ascii="Cambria Math" w:hAnsi="Cambria Math"/>
                <w:i/>
                <w:kern w:val="0"/>
                <w:sz w:val="22"/>
                <w:szCs w:val="22"/>
              </w:rPr>
            </w:pPr>
            <m:oMathPara>
              <m:oMath>
                <m:r>
                  <w:rPr>
                    <w:rFonts w:ascii="Cambria Math" w:hAnsi="Cambria Math"/>
                    <w:kern w:val="0"/>
                    <w:sz w:val="22"/>
                    <w:szCs w:val="22"/>
                  </w:rPr>
                  <m:t>0.104</m:t>
                </m:r>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331" w:type="dxa"/>
          </w:tcPr>
          <w:p w14:paraId="444FC20B"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0.4</w:t>
            </w:r>
          </w:p>
        </w:tc>
        <w:tc>
          <w:tcPr>
            <w:tcW w:w="1331" w:type="dxa"/>
          </w:tcPr>
          <w:p w14:paraId="42D4060C" w14:textId="77777777" w:rsidR="00342321" w:rsidRPr="00BC31E0" w:rsidRDefault="00342321" w:rsidP="004736F2">
            <w:pPr>
              <w:snapToGrid w:val="0"/>
              <w:spacing w:line="300" w:lineRule="atLeast"/>
              <w:jc w:val="center"/>
              <w:rPr>
                <w:rFonts w:ascii="Cambria Math" w:hAnsi="Cambria Math"/>
                <w:i/>
                <w:kern w:val="0"/>
                <w:sz w:val="22"/>
                <w:szCs w:val="22"/>
              </w:rPr>
            </w:pPr>
            <m:oMathPara>
              <m:oMath>
                <m:r>
                  <w:rPr>
                    <w:rFonts w:ascii="Cambria Math" w:hAnsi="Cambria Math"/>
                    <w:kern w:val="0"/>
                    <w:sz w:val="22"/>
                    <w:szCs w:val="22"/>
                  </w:rPr>
                  <m:t xml:space="preserve">0.063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r>
      <w:tr w:rsidR="00342321" w:rsidRPr="00BC31E0" w14:paraId="1FE8A753" w14:textId="77777777" w:rsidTr="004736F2">
        <w:tc>
          <w:tcPr>
            <w:tcW w:w="1331" w:type="dxa"/>
          </w:tcPr>
          <w:p w14:paraId="19362014"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0.5</w:t>
            </w:r>
          </w:p>
        </w:tc>
        <w:tc>
          <w:tcPr>
            <w:tcW w:w="1331" w:type="dxa"/>
          </w:tcPr>
          <w:p w14:paraId="4C795DD5" w14:textId="77777777" w:rsidR="00342321" w:rsidRPr="00BC31E0" w:rsidRDefault="00342321" w:rsidP="004736F2">
            <w:pPr>
              <w:snapToGrid w:val="0"/>
              <w:spacing w:line="300" w:lineRule="atLeast"/>
              <w:jc w:val="center"/>
              <w:rPr>
                <w:rFonts w:ascii="Cambria Math" w:hAnsi="Cambria Math"/>
                <w:i/>
                <w:kern w:val="0"/>
                <w:sz w:val="22"/>
                <w:szCs w:val="22"/>
              </w:rPr>
            </w:pPr>
            <m:oMathPara>
              <m:oMath>
                <m:r>
                  <w:rPr>
                    <w:rFonts w:ascii="Cambria Math" w:hAnsi="Cambria Math"/>
                    <w:kern w:val="0"/>
                    <w:sz w:val="22"/>
                    <w:szCs w:val="22"/>
                  </w:rPr>
                  <m:t>0.109</m:t>
                </m:r>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c>
          <w:tcPr>
            <w:tcW w:w="1331" w:type="dxa"/>
          </w:tcPr>
          <w:p w14:paraId="6711818E" w14:textId="77777777" w:rsidR="00342321" w:rsidRPr="00BC31E0" w:rsidRDefault="00342321" w:rsidP="004736F2">
            <w:pPr>
              <w:snapToGrid w:val="0"/>
              <w:spacing w:line="300" w:lineRule="atLeast"/>
              <w:jc w:val="center"/>
              <w:rPr>
                <w:rFonts w:ascii="Cambria Math" w:hAnsi="Cambria Math"/>
                <w:kern w:val="0"/>
                <w:sz w:val="22"/>
                <w:szCs w:val="22"/>
              </w:rPr>
            </w:pPr>
            <w:r w:rsidRPr="00BC31E0">
              <w:rPr>
                <w:rFonts w:ascii="Cambria Math" w:hAnsi="Cambria Math"/>
                <w:kern w:val="0"/>
                <w:sz w:val="22"/>
                <w:szCs w:val="22"/>
              </w:rPr>
              <w:t>0.5</w:t>
            </w:r>
          </w:p>
        </w:tc>
        <w:tc>
          <w:tcPr>
            <w:tcW w:w="1331" w:type="dxa"/>
          </w:tcPr>
          <w:p w14:paraId="25A401E0" w14:textId="77777777" w:rsidR="00342321" w:rsidRPr="00BC31E0" w:rsidRDefault="00342321" w:rsidP="004736F2">
            <w:pPr>
              <w:snapToGrid w:val="0"/>
              <w:spacing w:line="300" w:lineRule="atLeast"/>
              <w:jc w:val="center"/>
              <w:rPr>
                <w:rFonts w:ascii="Cambria Math" w:hAnsi="Cambria Math"/>
                <w:i/>
                <w:kern w:val="0"/>
                <w:sz w:val="22"/>
                <w:szCs w:val="22"/>
              </w:rPr>
            </w:pPr>
            <m:oMathPara>
              <m:oMath>
                <m:r>
                  <w:rPr>
                    <w:rFonts w:ascii="Cambria Math" w:hAnsi="Cambria Math"/>
                    <w:kern w:val="0"/>
                    <w:sz w:val="22"/>
                    <w:szCs w:val="22"/>
                  </w:rPr>
                  <m:t>0.065</m:t>
                </m:r>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tc>
      </w:tr>
    </w:tbl>
    <w:p w14:paraId="3B67D06D" w14:textId="77777777" w:rsidR="00342321" w:rsidRPr="00BC31E0" w:rsidRDefault="00342321" w:rsidP="00342321">
      <w:pPr>
        <w:snapToGrid w:val="0"/>
        <w:spacing w:before="60" w:line="320" w:lineRule="atLeast"/>
        <w:ind w:left="1474" w:hanging="794"/>
        <w:jc w:val="left"/>
        <w:rPr>
          <w:szCs w:val="20"/>
        </w:rPr>
      </w:pPr>
      <w:r w:rsidRPr="00BC31E0">
        <w:rPr>
          <w:rFonts w:ascii="ＭＳ ゴシック" w:eastAsia="ＭＳ ゴシック" w:hAnsi="ＭＳ ゴシック"/>
          <w:b/>
          <w:szCs w:val="20"/>
        </w:rPr>
        <w:t>注記2</w:t>
      </w:r>
      <w:r w:rsidRPr="00BC31E0">
        <w:rPr>
          <w:rFonts w:ascii="ＭＳ 明朝" w:hAnsi="ＭＳ 明朝" w:hint="eastAsia"/>
          <w:szCs w:val="20"/>
        </w:rPr>
        <w:t xml:space="preserve">　</w:t>
      </w:r>
      <w:r w:rsidRPr="00BC31E0">
        <w:rPr>
          <w:szCs w:val="20"/>
        </w:rPr>
        <w:t>き</w:t>
      </w:r>
      <w:r w:rsidRPr="00BC31E0">
        <w:rPr>
          <w:rFonts w:hint="eastAsia"/>
          <w:szCs w:val="20"/>
        </w:rPr>
        <w:t>ず</w:t>
      </w:r>
      <w:r w:rsidRPr="00BC31E0">
        <w:rPr>
          <w:szCs w:val="20"/>
        </w:rPr>
        <w:t>高さ</w:t>
      </w:r>
      <m:oMath>
        <m:r>
          <m:rPr>
            <m:sty m:val="p"/>
          </m:rPr>
          <w:rPr>
            <w:rFonts w:ascii="Cambria Math" w:hAnsi="Cambria Math"/>
            <w:szCs w:val="20"/>
          </w:rPr>
          <m:t xml:space="preserve"> </m:t>
        </m:r>
        <m:r>
          <w:rPr>
            <w:rFonts w:ascii="Cambria Math" w:hAnsi="Cambria Math" w:hint="eastAsia"/>
            <w:szCs w:val="20"/>
          </w:rPr>
          <m:t>2</m:t>
        </m:r>
        <m:r>
          <w:rPr>
            <w:rFonts w:ascii="Cambria Math" w:hAnsi="Cambria Math"/>
            <w:szCs w:val="20"/>
          </w:rPr>
          <m:t>a</m:t>
        </m:r>
        <m:r>
          <m:rPr>
            <m:sty m:val="p"/>
          </m:rPr>
          <w:rPr>
            <w:rFonts w:ascii="Cambria Math" w:hAnsi="Cambria Math"/>
            <w:szCs w:val="20"/>
          </w:rPr>
          <m:t xml:space="preserve"> </m:t>
        </m:r>
      </m:oMath>
      <w:r w:rsidRPr="00BC31E0">
        <w:rPr>
          <w:szCs w:val="20"/>
        </w:rPr>
        <w:t>が</w:t>
      </w:r>
      <m:oMath>
        <m:r>
          <m:rPr>
            <m:sty m:val="p"/>
          </m:rPr>
          <w:rPr>
            <w:rFonts w:ascii="Cambria Math" w:hAnsi="Cambria Math"/>
            <w:szCs w:val="20"/>
          </w:rPr>
          <m:t xml:space="preserve"> 1 mm </m:t>
        </m:r>
      </m:oMath>
      <w:r w:rsidRPr="00BC31E0">
        <w:rPr>
          <w:szCs w:val="20"/>
        </w:rPr>
        <w:t>未満になる場合</w:t>
      </w:r>
      <w:r w:rsidRPr="00BC31E0">
        <w:rPr>
          <w:rFonts w:hint="eastAsia"/>
          <w:szCs w:val="20"/>
        </w:rPr>
        <w:t>で</w:t>
      </w:r>
      <w:r w:rsidRPr="00BC31E0">
        <w:rPr>
          <w:szCs w:val="20"/>
        </w:rPr>
        <w:t>，使用者設計仕様書</w:t>
      </w:r>
      <w:r w:rsidRPr="00BC31E0">
        <w:rPr>
          <w:rFonts w:hint="eastAsia"/>
          <w:szCs w:val="20"/>
        </w:rPr>
        <w:t>に</w:t>
      </w:r>
      <w:r w:rsidRPr="00BC31E0">
        <w:rPr>
          <w:rFonts w:ascii="ＭＳ ゴシック" w:eastAsia="ＭＳ ゴシック" w:hAnsi="ＭＳ ゴシック" w:hint="eastAsia"/>
          <w:b/>
          <w:szCs w:val="20"/>
        </w:rPr>
        <w:t>表5.2.2</w:t>
      </w:r>
      <w:r w:rsidRPr="00BC31E0">
        <w:rPr>
          <w:rFonts w:hint="eastAsia"/>
          <w:szCs w:val="20"/>
        </w:rPr>
        <w:t>よりも高い</w:t>
      </w:r>
      <w:r w:rsidRPr="00BC31E0">
        <w:rPr>
          <w:szCs w:val="20"/>
        </w:rPr>
        <w:t>要求シャルピー</w:t>
      </w:r>
      <w:r w:rsidRPr="00BC31E0">
        <w:rPr>
          <w:rFonts w:hint="eastAsia"/>
          <w:szCs w:val="20"/>
        </w:rPr>
        <w:t>衝撃</w:t>
      </w:r>
      <w:r w:rsidRPr="00BC31E0">
        <w:rPr>
          <w:szCs w:val="20"/>
        </w:rPr>
        <w:t>吸収エネルギー</w:t>
      </w:r>
      <w:r w:rsidRPr="00BC31E0">
        <w:rPr>
          <w:rFonts w:hint="eastAsia"/>
          <w:szCs w:val="20"/>
        </w:rPr>
        <w:t>が規定されている場合には，</w:t>
      </w:r>
      <w:r w:rsidRPr="00BC31E0">
        <w:rPr>
          <w:rFonts w:ascii="ＭＳ ゴシック" w:eastAsia="ＭＳ ゴシック" w:hAnsi="ＭＳ ゴシック" w:hint="eastAsia"/>
          <w:b/>
          <w:szCs w:val="20"/>
        </w:rPr>
        <w:t>9.3.6 c) 2) 2.3)</w:t>
      </w:r>
      <w:r w:rsidRPr="00BC31E0">
        <w:rPr>
          <w:rFonts w:hint="eastAsia"/>
          <w:szCs w:val="20"/>
        </w:rPr>
        <w:t>に</w:t>
      </w:r>
      <w:r w:rsidRPr="00BC31E0">
        <w:rPr>
          <w:szCs w:val="20"/>
        </w:rPr>
        <w:t>より</w:t>
      </w:r>
      <w:r w:rsidRPr="00BC31E0">
        <w:rPr>
          <w:rFonts w:hint="eastAsia"/>
          <w:szCs w:val="20"/>
        </w:rPr>
        <w:t>製作者が許容きず寸法を算出</w:t>
      </w:r>
      <w:r w:rsidR="002C6B4B" w:rsidRPr="00BC31E0">
        <w:rPr>
          <w:rFonts w:hint="eastAsia"/>
          <w:szCs w:val="20"/>
        </w:rPr>
        <w:t>してもよい</w:t>
      </w:r>
      <w:r w:rsidRPr="00BC31E0">
        <w:rPr>
          <w:rFonts w:hint="eastAsia"/>
          <w:szCs w:val="20"/>
        </w:rPr>
        <w:t>。</w:t>
      </w:r>
    </w:p>
    <w:p w14:paraId="18B3C50F" w14:textId="77777777" w:rsidR="00342321" w:rsidRPr="00BC31E0" w:rsidRDefault="00342321" w:rsidP="00342321">
      <w:pPr>
        <w:snapToGrid w:val="0"/>
        <w:spacing w:line="320" w:lineRule="atLeast"/>
        <w:ind w:left="1474" w:hanging="794"/>
        <w:jc w:val="left"/>
        <w:rPr>
          <w:szCs w:val="20"/>
        </w:rPr>
      </w:pPr>
      <w:r w:rsidRPr="00BC31E0">
        <w:rPr>
          <w:rFonts w:ascii="ＭＳ ゴシック" w:eastAsia="ＭＳ ゴシック" w:hAnsi="ＭＳ ゴシック" w:hint="eastAsia"/>
          <w:b/>
          <w:szCs w:val="20"/>
        </w:rPr>
        <w:t>注記3</w:t>
      </w:r>
      <w:r w:rsidRPr="00BC31E0">
        <w:rPr>
          <w:rFonts w:ascii="ＭＳ 明朝" w:hAnsi="ＭＳ 明朝" w:hint="eastAsia"/>
          <w:szCs w:val="20"/>
        </w:rPr>
        <w:t xml:space="preserve">　</w:t>
      </w:r>
      <w:r w:rsidRPr="00BC31E0">
        <w:rPr>
          <w:rFonts w:hint="eastAsia"/>
          <w:szCs w:val="20"/>
        </w:rPr>
        <w:t>中間の</w:t>
      </w:r>
      <w:r w:rsidRPr="00BC31E0">
        <w:rPr>
          <w:rFonts w:hAnsi="ＭＳ 明朝" w:hint="eastAsia"/>
          <w:szCs w:val="20"/>
        </w:rPr>
        <w:t>内外径比</w:t>
      </w:r>
      <m:oMath>
        <m:r>
          <m:rPr>
            <m:sty m:val="p"/>
          </m:rPr>
          <w:rPr>
            <w:rFonts w:ascii="Cambria Math" w:hAnsi="Cambria Math"/>
            <w:szCs w:val="20"/>
          </w:rPr>
          <m:t xml:space="preserve"> </m:t>
        </m:r>
        <m:r>
          <w:rPr>
            <w:rFonts w:ascii="Cambria Math" w:hAnsi="Cambria Math"/>
            <w:szCs w:val="20"/>
          </w:rPr>
          <m:t>Y</m:t>
        </m:r>
        <m:r>
          <m:rPr>
            <m:sty m:val="p"/>
          </m:rPr>
          <w:rPr>
            <w:rFonts w:ascii="Cambria Math" w:hAnsi="Cambria Math"/>
            <w:szCs w:val="20"/>
          </w:rPr>
          <m:t xml:space="preserve"> </m:t>
        </m:r>
      </m:oMath>
      <w:r w:rsidRPr="00BC31E0">
        <w:rPr>
          <w:rFonts w:hint="eastAsia"/>
          <w:szCs w:val="20"/>
        </w:rPr>
        <w:t>の値及び</w:t>
      </w:r>
      <m:oMath>
        <m:f>
          <m:fPr>
            <m:type m:val="lin"/>
            <m:ctrlPr>
              <w:rPr>
                <w:rFonts w:ascii="Cambria Math" w:hAnsi="Cambria Math"/>
                <w:i/>
                <w:szCs w:val="20"/>
              </w:rPr>
            </m:ctrlPr>
          </m:fPr>
          <m:num>
            <m:r>
              <w:rPr>
                <w:rFonts w:ascii="Cambria Math" w:hAnsi="Cambria Math"/>
                <w:szCs w:val="20"/>
              </w:rPr>
              <m:t xml:space="preserve"> a</m:t>
            </m:r>
          </m:num>
          <m:den>
            <m:r>
              <w:rPr>
                <w:rFonts w:ascii="Cambria Math" w:hAnsi="Cambria Math"/>
                <w:szCs w:val="20"/>
              </w:rPr>
              <m:t xml:space="preserve">l </m:t>
            </m:r>
          </m:den>
        </m:f>
      </m:oMath>
      <w:r w:rsidRPr="00BC31E0">
        <w:rPr>
          <w:rFonts w:hint="eastAsia"/>
          <w:szCs w:val="20"/>
        </w:rPr>
        <w:t>の値に対しては，線形補間により</w:t>
      </w:r>
      <m:oMath>
        <m:f>
          <m:fPr>
            <m:type m:val="lin"/>
            <m:ctrlPr>
              <w:rPr>
                <w:rFonts w:ascii="Cambria Math" w:hAnsi="Cambria Math"/>
                <w:i/>
                <w:szCs w:val="20"/>
              </w:rPr>
            </m:ctrlPr>
          </m:fPr>
          <m:num>
            <m:r>
              <w:rPr>
                <w:rFonts w:ascii="Cambria Math" w:hAnsi="Cambria Math"/>
                <w:szCs w:val="20"/>
              </w:rPr>
              <m:t xml:space="preserve"> a</m:t>
            </m:r>
          </m:num>
          <m:den>
            <m:r>
              <w:rPr>
                <w:rFonts w:ascii="Cambria Math" w:hAnsi="Cambria Math"/>
                <w:szCs w:val="20"/>
              </w:rPr>
              <m:t xml:space="preserve">t </m:t>
            </m:r>
          </m:den>
        </m:f>
      </m:oMath>
      <w:r w:rsidRPr="00BC31E0">
        <w:rPr>
          <w:rFonts w:hint="eastAsia"/>
          <w:szCs w:val="20"/>
        </w:rPr>
        <w:t>を求める。</w:t>
      </w:r>
    </w:p>
    <w:p w14:paraId="439B93A9" w14:textId="77777777" w:rsidR="00CA187B" w:rsidRPr="00BC31E0" w:rsidRDefault="00CA187B" w:rsidP="00CA187B">
      <w:pPr>
        <w:spacing w:line="180" w:lineRule="exact"/>
        <w:rPr>
          <w:rFonts w:ascii="ＭＳ ゴシック" w:eastAsia="ＭＳ ゴシック" w:hAnsi="ＭＳ ゴシック"/>
          <w:b/>
          <w:szCs w:val="20"/>
        </w:rPr>
      </w:pPr>
    </w:p>
    <w:p w14:paraId="427C919C" w14:textId="77777777" w:rsidR="00342321" w:rsidRPr="00BC31E0" w:rsidRDefault="00342321" w:rsidP="00CA187B">
      <w:pPr>
        <w:jc w:val="center"/>
        <w:rPr>
          <w:rFonts w:ascii="ＭＳ Ｐゴシック" w:eastAsia="ＭＳ Ｐゴシック" w:hAnsi="ＭＳ Ｐゴシック"/>
          <w:b/>
          <w:szCs w:val="20"/>
        </w:rPr>
      </w:pPr>
      <w:r w:rsidRPr="00BC31E0">
        <w:rPr>
          <w:rFonts w:ascii="ＭＳ ゴシック" w:eastAsia="ＭＳ ゴシック" w:hAnsi="ＭＳ ゴシック" w:hint="eastAsia"/>
          <w:b/>
          <w:szCs w:val="20"/>
        </w:rPr>
        <w:t>表9.3.25　内部きずの許容きず寸法(</w:t>
      </w:r>
      <m:oMath>
        <m:sSub>
          <m:sSubPr>
            <m:ctrlPr>
              <w:rPr>
                <w:rFonts w:ascii="Cambria Math" w:eastAsia="ＭＳ ゴシック" w:hAnsi="Cambria Math"/>
                <w:b/>
                <w:i/>
                <w:sz w:val="22"/>
                <w:szCs w:val="22"/>
              </w:rPr>
            </m:ctrlPr>
          </m:sSubPr>
          <m:e>
            <m:r>
              <m:rPr>
                <m:sty m:val="bi"/>
              </m:rPr>
              <w:rPr>
                <w:rFonts w:ascii="Cambria Math" w:eastAsia="ＭＳ ゴシック" w:hAnsi="Cambria Math"/>
                <w:sz w:val="22"/>
                <w:szCs w:val="22"/>
              </w:rPr>
              <m:t>S</m:t>
            </m:r>
          </m:e>
          <m:sub>
            <m:r>
              <m:rPr>
                <m:sty m:val="bi"/>
              </m:rPr>
              <w:rPr>
                <w:rFonts w:ascii="Cambria Math" w:eastAsia="ＭＳ ゴシック" w:hAnsi="Cambria Math"/>
                <w:sz w:val="22"/>
                <w:szCs w:val="22"/>
              </w:rPr>
              <m:t>y</m:t>
            </m:r>
          </m:sub>
        </m:sSub>
        <m:r>
          <m:rPr>
            <m:sty m:val="bi"/>
          </m:rPr>
          <w:rPr>
            <w:rFonts w:ascii="Cambria Math" w:eastAsia="ＭＳ ゴシック" w:hAnsi="Cambria Math"/>
            <w:sz w:val="22"/>
            <w:szCs w:val="22"/>
          </w:rPr>
          <m:t>≦260</m:t>
        </m:r>
        <m:r>
          <m:rPr>
            <m:sty m:val="b"/>
          </m:rPr>
          <w:rPr>
            <w:rFonts w:ascii="Cambria Math" w:eastAsia="ＭＳ ゴシック" w:hAnsi="Cambria Math"/>
            <w:sz w:val="22"/>
            <w:szCs w:val="22"/>
          </w:rPr>
          <m:t xml:space="preserve"> MPa</m:t>
        </m:r>
      </m:oMath>
      <w:r w:rsidRPr="00BC31E0">
        <w:rPr>
          <w:rFonts w:ascii="ＭＳ ゴシック" w:eastAsia="ＭＳ ゴシック" w:hAnsi="ＭＳ ゴシック" w:hint="eastAsia"/>
          <w:b/>
          <w:szCs w:val="20"/>
        </w:rPr>
        <w:t>，溶接後熱処理</w:t>
      </w:r>
      <w:r w:rsidRPr="00BC31E0">
        <w:rPr>
          <w:rFonts w:ascii="ＭＳ ゴシック" w:eastAsia="ＭＳ ゴシック" w:hAnsi="ＭＳ ゴシック"/>
          <w:b/>
          <w:szCs w:val="20"/>
        </w:rPr>
        <w:t>あり</w:t>
      </w:r>
      <w:r w:rsidRPr="00BC31E0">
        <w:rPr>
          <w:rFonts w:ascii="ＭＳ ゴシック" w:eastAsia="ＭＳ ゴシック" w:hAnsi="ＭＳ ゴシック" w:hint="eastAsia"/>
          <w:b/>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594"/>
        <w:gridCol w:w="1595"/>
        <w:gridCol w:w="1595"/>
        <w:gridCol w:w="1595"/>
      </w:tblGrid>
      <w:tr w:rsidR="00342321" w:rsidRPr="00BC31E0" w14:paraId="007009AE" w14:textId="77777777" w:rsidTr="004736F2">
        <w:trPr>
          <w:jc w:val="center"/>
        </w:trPr>
        <w:tc>
          <w:tcPr>
            <w:tcW w:w="992" w:type="dxa"/>
            <w:vMerge w:val="restart"/>
            <w:vAlign w:val="center"/>
          </w:tcPr>
          <w:p w14:paraId="3FEAF7FF" w14:textId="77777777" w:rsidR="00342321" w:rsidRPr="00BC31E0" w:rsidRDefault="00A51873" w:rsidP="004736F2">
            <w:pPr>
              <w:snapToGrid w:val="0"/>
              <w:spacing w:line="300" w:lineRule="atLeast"/>
              <w:jc w:val="center"/>
              <w:rPr>
                <w:rFonts w:ascii="Times New Roman" w:hAnsi="Times New Roman"/>
                <w:i/>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l</m:t>
                    </m:r>
                  </m:den>
                </m:f>
              </m:oMath>
            </m:oMathPara>
          </w:p>
        </w:tc>
        <w:tc>
          <w:tcPr>
            <w:tcW w:w="6379" w:type="dxa"/>
            <w:gridSpan w:val="4"/>
            <w:vAlign w:val="center"/>
          </w:tcPr>
          <w:p w14:paraId="3438C1D0" w14:textId="77777777" w:rsidR="00342321" w:rsidRPr="00BC31E0" w:rsidRDefault="00342321" w:rsidP="004736F2">
            <w:pPr>
              <w:snapToGrid w:val="0"/>
              <w:spacing w:line="300" w:lineRule="atLeast"/>
              <w:jc w:val="center"/>
              <w:rPr>
                <w:rFonts w:ascii="Times New Roman" w:hAnsi="Times New Roman"/>
                <w:i/>
                <w:szCs w:val="20"/>
              </w:rPr>
            </w:pPr>
            <m:oMathPara>
              <m:oMath>
                <m:r>
                  <w:rPr>
                    <w:rFonts w:ascii="Cambria Math" w:hAnsi="Cambria Math"/>
                    <w:szCs w:val="20"/>
                  </w:rPr>
                  <m:t>t&gt;</m:t>
                </m:r>
                <m:r>
                  <w:rPr>
                    <w:rFonts w:ascii="Cambria Math" w:hAnsi="Cambria Math" w:hint="eastAsia"/>
                    <w:szCs w:val="20"/>
                  </w:rPr>
                  <m:t>300</m:t>
                </m:r>
                <m:r>
                  <m:rPr>
                    <m:sty m:val="p"/>
                  </m:rPr>
                  <w:rPr>
                    <w:rFonts w:ascii="Cambria Math" w:hAnsi="Cambria Math" w:hint="eastAsia"/>
                    <w:szCs w:val="20"/>
                  </w:rPr>
                  <m:t xml:space="preserve"> mm</m:t>
                </m:r>
              </m:oMath>
            </m:oMathPara>
          </w:p>
        </w:tc>
      </w:tr>
      <w:tr w:rsidR="00342321" w:rsidRPr="00BC31E0" w14:paraId="045FBA40" w14:textId="77777777" w:rsidTr="004736F2">
        <w:trPr>
          <w:jc w:val="center"/>
        </w:trPr>
        <w:tc>
          <w:tcPr>
            <w:tcW w:w="992" w:type="dxa"/>
            <w:vMerge/>
            <w:vAlign w:val="center"/>
          </w:tcPr>
          <w:p w14:paraId="653005C4" w14:textId="77777777" w:rsidR="00342321" w:rsidRPr="00BC31E0" w:rsidRDefault="00342321" w:rsidP="004736F2">
            <w:pPr>
              <w:snapToGrid w:val="0"/>
              <w:spacing w:line="300" w:lineRule="atLeast"/>
              <w:jc w:val="center"/>
              <w:rPr>
                <w:rFonts w:ascii="Times New Roman" w:hAnsi="Times New Roman"/>
                <w:i/>
                <w:szCs w:val="20"/>
              </w:rPr>
            </w:pPr>
          </w:p>
        </w:tc>
        <w:tc>
          <w:tcPr>
            <w:tcW w:w="1594" w:type="dxa"/>
            <w:vAlign w:val="center"/>
          </w:tcPr>
          <w:p w14:paraId="7E5A1AD3" w14:textId="77777777" w:rsidR="00342321" w:rsidRPr="00BC31E0" w:rsidRDefault="00342321" w:rsidP="004736F2">
            <w:pPr>
              <w:snapToGrid w:val="0"/>
              <w:spacing w:line="300" w:lineRule="atLeast"/>
              <w:jc w:val="center"/>
              <w:rPr>
                <w:szCs w:val="20"/>
              </w:rPr>
            </w:pPr>
            <m:oMathPara>
              <m:oMath>
                <m:r>
                  <w:rPr>
                    <w:rFonts w:ascii="Cambria Math" w:hAnsi="Cambria Math"/>
                    <w:szCs w:val="20"/>
                  </w:rPr>
                  <m:t>Y=</m:t>
                </m:r>
                <m:r>
                  <w:rPr>
                    <w:rFonts w:ascii="Cambria Math" w:hAnsi="Cambria Math" w:hint="eastAsia"/>
                    <w:szCs w:val="20"/>
                  </w:rPr>
                  <m:t>1.2</m:t>
                </m:r>
              </m:oMath>
            </m:oMathPara>
          </w:p>
        </w:tc>
        <w:tc>
          <w:tcPr>
            <w:tcW w:w="1595" w:type="dxa"/>
            <w:vAlign w:val="center"/>
          </w:tcPr>
          <w:p w14:paraId="61C40829" w14:textId="77777777" w:rsidR="00342321" w:rsidRPr="00BC31E0" w:rsidRDefault="00342321" w:rsidP="004736F2">
            <w:pPr>
              <w:snapToGrid w:val="0"/>
              <w:spacing w:line="300" w:lineRule="atLeast"/>
              <w:jc w:val="center"/>
              <w:rPr>
                <w:szCs w:val="20"/>
              </w:rPr>
            </w:pPr>
            <m:oMathPara>
              <m:oMath>
                <m:r>
                  <w:rPr>
                    <w:rFonts w:ascii="Cambria Math" w:hAnsi="Cambria Math"/>
                    <w:szCs w:val="20"/>
                  </w:rPr>
                  <m:t>Y=</m:t>
                </m:r>
                <m:r>
                  <w:rPr>
                    <w:rFonts w:ascii="Cambria Math" w:hAnsi="Cambria Math" w:hint="eastAsia"/>
                    <w:szCs w:val="20"/>
                  </w:rPr>
                  <m:t>1.5</m:t>
                </m:r>
              </m:oMath>
            </m:oMathPara>
          </w:p>
        </w:tc>
        <w:tc>
          <w:tcPr>
            <w:tcW w:w="1595" w:type="dxa"/>
            <w:vAlign w:val="center"/>
          </w:tcPr>
          <w:p w14:paraId="387A024F" w14:textId="77777777" w:rsidR="00342321" w:rsidRPr="00BC31E0" w:rsidRDefault="00342321" w:rsidP="004736F2">
            <w:pPr>
              <w:snapToGrid w:val="0"/>
              <w:spacing w:line="300" w:lineRule="atLeast"/>
              <w:jc w:val="center"/>
              <w:rPr>
                <w:szCs w:val="20"/>
              </w:rPr>
            </w:pPr>
            <m:oMathPara>
              <m:oMath>
                <m:r>
                  <w:rPr>
                    <w:rFonts w:ascii="Cambria Math" w:hAnsi="Cambria Math"/>
                    <w:szCs w:val="20"/>
                  </w:rPr>
                  <m:t>Y=</m:t>
                </m:r>
                <m:r>
                  <w:rPr>
                    <w:rFonts w:ascii="Cambria Math" w:hAnsi="Cambria Math" w:hint="eastAsia"/>
                    <w:szCs w:val="20"/>
                  </w:rPr>
                  <m:t>2.0</m:t>
                </m:r>
              </m:oMath>
            </m:oMathPara>
          </w:p>
        </w:tc>
        <w:tc>
          <w:tcPr>
            <w:tcW w:w="1595" w:type="dxa"/>
            <w:vAlign w:val="center"/>
          </w:tcPr>
          <w:p w14:paraId="3BB75C61" w14:textId="77777777" w:rsidR="00342321" w:rsidRPr="00BC31E0" w:rsidRDefault="00342321" w:rsidP="004736F2">
            <w:pPr>
              <w:snapToGrid w:val="0"/>
              <w:spacing w:line="300" w:lineRule="atLeast"/>
              <w:jc w:val="center"/>
              <w:rPr>
                <w:szCs w:val="20"/>
              </w:rPr>
            </w:pPr>
            <m:oMathPara>
              <m:oMath>
                <m:r>
                  <w:rPr>
                    <w:rFonts w:ascii="Cambria Math" w:hAnsi="Cambria Math"/>
                    <w:szCs w:val="20"/>
                  </w:rPr>
                  <m:t>Y=</m:t>
                </m:r>
                <m:r>
                  <w:rPr>
                    <w:rFonts w:ascii="Cambria Math" w:hAnsi="Cambria Math" w:hint="eastAsia"/>
                    <w:szCs w:val="20"/>
                  </w:rPr>
                  <m:t>2.5</m:t>
                </m:r>
              </m:oMath>
            </m:oMathPara>
          </w:p>
        </w:tc>
      </w:tr>
      <w:tr w:rsidR="00342321" w:rsidRPr="00BC31E0" w14:paraId="4E49D642" w14:textId="77777777" w:rsidTr="004736F2">
        <w:trPr>
          <w:jc w:val="center"/>
        </w:trPr>
        <w:tc>
          <w:tcPr>
            <w:tcW w:w="992" w:type="dxa"/>
            <w:vMerge/>
            <w:vAlign w:val="center"/>
          </w:tcPr>
          <w:p w14:paraId="6778E7E3" w14:textId="77777777" w:rsidR="00342321" w:rsidRPr="00BC31E0" w:rsidRDefault="00342321" w:rsidP="004736F2">
            <w:pPr>
              <w:snapToGrid w:val="0"/>
              <w:spacing w:line="300" w:lineRule="atLeast"/>
              <w:jc w:val="center"/>
              <w:rPr>
                <w:szCs w:val="20"/>
              </w:rPr>
            </w:pPr>
          </w:p>
        </w:tc>
        <w:tc>
          <w:tcPr>
            <w:tcW w:w="1594" w:type="dxa"/>
            <w:vAlign w:val="center"/>
          </w:tcPr>
          <w:p w14:paraId="2464E9F9" w14:textId="77777777" w:rsidR="00342321" w:rsidRPr="00BC31E0" w:rsidRDefault="00342321" w:rsidP="004736F2">
            <w:pPr>
              <w:snapToGrid w:val="0"/>
              <w:spacing w:line="300" w:lineRule="atLeast"/>
              <w:jc w:val="center"/>
              <w:rPr>
                <w:szCs w:val="20"/>
              </w:rPr>
            </w:pPr>
            <m:oMath>
              <m:r>
                <w:rPr>
                  <w:rFonts w:ascii="Cambria Math" w:hAnsi="Cambria Math"/>
                  <w:szCs w:val="20"/>
                </w:rPr>
                <m:t xml:space="preserve">a </m:t>
              </m:r>
            </m:oMath>
            <w:r w:rsidRPr="00BC31E0">
              <w:rPr>
                <w:rFonts w:asciiTheme="minorHAnsi" w:hAnsiTheme="minorHAnsi"/>
                <w:szCs w:val="20"/>
              </w:rPr>
              <w:t>(</w:t>
            </w:r>
            <m:oMath>
              <m:r>
                <m:rPr>
                  <m:sty m:val="p"/>
                </m:rPr>
                <w:rPr>
                  <w:rFonts w:ascii="Cambria Math" w:hAnsi="Cambria Math"/>
                  <w:szCs w:val="20"/>
                </w:rPr>
                <m:t>mm</m:t>
              </m:r>
            </m:oMath>
            <w:r w:rsidRPr="00BC31E0">
              <w:rPr>
                <w:rFonts w:asciiTheme="minorHAnsi" w:hAnsiTheme="minorHAnsi"/>
                <w:szCs w:val="20"/>
              </w:rPr>
              <w:t>)</w:t>
            </w:r>
          </w:p>
        </w:tc>
        <w:tc>
          <w:tcPr>
            <w:tcW w:w="1595" w:type="dxa"/>
            <w:vAlign w:val="center"/>
          </w:tcPr>
          <w:p w14:paraId="4E70CE9F" w14:textId="77777777" w:rsidR="00342321" w:rsidRPr="00BC31E0" w:rsidRDefault="00342321" w:rsidP="004736F2">
            <w:pPr>
              <w:snapToGrid w:val="0"/>
              <w:spacing w:line="300" w:lineRule="atLeast"/>
              <w:jc w:val="center"/>
              <w:rPr>
                <w:szCs w:val="20"/>
              </w:rPr>
            </w:pPr>
            <m:oMath>
              <m:r>
                <w:rPr>
                  <w:rFonts w:ascii="Cambria Math" w:hAnsi="Cambria Math"/>
                  <w:szCs w:val="20"/>
                </w:rPr>
                <m:t xml:space="preserve">a </m:t>
              </m:r>
            </m:oMath>
            <w:r w:rsidRPr="00BC31E0">
              <w:rPr>
                <w:rFonts w:asciiTheme="minorHAnsi" w:hAnsiTheme="minorHAnsi"/>
                <w:szCs w:val="20"/>
              </w:rPr>
              <w:t>(</w:t>
            </w:r>
            <m:oMath>
              <m:r>
                <m:rPr>
                  <m:sty m:val="p"/>
                </m:rPr>
                <w:rPr>
                  <w:rFonts w:ascii="Cambria Math" w:hAnsi="Cambria Math"/>
                  <w:szCs w:val="20"/>
                </w:rPr>
                <m:t>mm</m:t>
              </m:r>
            </m:oMath>
            <w:r w:rsidRPr="00BC31E0">
              <w:rPr>
                <w:rFonts w:asciiTheme="minorHAnsi" w:hAnsiTheme="minorHAnsi"/>
                <w:szCs w:val="20"/>
              </w:rPr>
              <w:t>)</w:t>
            </w:r>
          </w:p>
        </w:tc>
        <w:tc>
          <w:tcPr>
            <w:tcW w:w="1595" w:type="dxa"/>
            <w:vAlign w:val="center"/>
          </w:tcPr>
          <w:p w14:paraId="58B38972" w14:textId="77777777" w:rsidR="00342321" w:rsidRPr="00BC31E0" w:rsidRDefault="00342321" w:rsidP="004736F2">
            <w:pPr>
              <w:snapToGrid w:val="0"/>
              <w:spacing w:line="300" w:lineRule="atLeast"/>
              <w:jc w:val="center"/>
              <w:rPr>
                <w:szCs w:val="20"/>
              </w:rPr>
            </w:pPr>
            <m:oMath>
              <m:r>
                <w:rPr>
                  <w:rFonts w:ascii="Cambria Math" w:hAnsi="Cambria Math"/>
                  <w:szCs w:val="20"/>
                </w:rPr>
                <m:t xml:space="preserve">a </m:t>
              </m:r>
            </m:oMath>
            <w:r w:rsidRPr="00BC31E0">
              <w:rPr>
                <w:rFonts w:asciiTheme="minorHAnsi" w:hAnsiTheme="minorHAnsi"/>
                <w:szCs w:val="20"/>
              </w:rPr>
              <w:t>(</w:t>
            </w:r>
            <m:oMath>
              <m:r>
                <m:rPr>
                  <m:sty m:val="p"/>
                </m:rPr>
                <w:rPr>
                  <w:rFonts w:ascii="Cambria Math" w:hAnsi="Cambria Math"/>
                  <w:szCs w:val="20"/>
                </w:rPr>
                <m:t>mm</m:t>
              </m:r>
            </m:oMath>
            <w:r w:rsidRPr="00BC31E0">
              <w:rPr>
                <w:rFonts w:asciiTheme="minorHAnsi" w:hAnsiTheme="minorHAnsi"/>
                <w:szCs w:val="20"/>
              </w:rPr>
              <w:t>)</w:t>
            </w:r>
          </w:p>
        </w:tc>
        <w:tc>
          <w:tcPr>
            <w:tcW w:w="1595" w:type="dxa"/>
            <w:vAlign w:val="center"/>
          </w:tcPr>
          <w:p w14:paraId="7AACB287" w14:textId="77777777" w:rsidR="00342321" w:rsidRPr="00BC31E0" w:rsidRDefault="00342321" w:rsidP="004736F2">
            <w:pPr>
              <w:snapToGrid w:val="0"/>
              <w:spacing w:line="300" w:lineRule="atLeast"/>
              <w:jc w:val="center"/>
              <w:rPr>
                <w:szCs w:val="20"/>
              </w:rPr>
            </w:pPr>
            <m:oMath>
              <m:r>
                <w:rPr>
                  <w:rFonts w:ascii="Cambria Math" w:hAnsi="Cambria Math"/>
                  <w:szCs w:val="20"/>
                </w:rPr>
                <m:t xml:space="preserve">a </m:t>
              </m:r>
            </m:oMath>
            <w:r w:rsidRPr="00BC31E0">
              <w:rPr>
                <w:rFonts w:asciiTheme="minorHAnsi" w:hAnsiTheme="minorHAnsi"/>
                <w:szCs w:val="20"/>
              </w:rPr>
              <w:t>(</w:t>
            </w:r>
            <m:oMath>
              <m:r>
                <m:rPr>
                  <m:sty m:val="p"/>
                </m:rPr>
                <w:rPr>
                  <w:rFonts w:ascii="Cambria Math" w:hAnsi="Cambria Math"/>
                  <w:szCs w:val="20"/>
                </w:rPr>
                <m:t>mm</m:t>
              </m:r>
            </m:oMath>
            <w:r w:rsidRPr="00BC31E0">
              <w:rPr>
                <w:rFonts w:asciiTheme="minorHAnsi" w:hAnsiTheme="minorHAnsi"/>
                <w:szCs w:val="20"/>
              </w:rPr>
              <w:t>)</w:t>
            </w:r>
          </w:p>
        </w:tc>
      </w:tr>
      <w:tr w:rsidR="00342321" w:rsidRPr="00BC31E0" w14:paraId="07A9BBDA" w14:textId="77777777" w:rsidTr="004736F2">
        <w:trPr>
          <w:jc w:val="center"/>
        </w:trPr>
        <w:tc>
          <w:tcPr>
            <w:tcW w:w="992" w:type="dxa"/>
            <w:vAlign w:val="center"/>
          </w:tcPr>
          <w:p w14:paraId="01AD8D81"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0.0</w:t>
            </w:r>
          </w:p>
        </w:tc>
        <w:tc>
          <w:tcPr>
            <w:tcW w:w="1594" w:type="dxa"/>
            <w:vAlign w:val="center"/>
          </w:tcPr>
          <w:p w14:paraId="7A1A3413" w14:textId="77777777" w:rsidR="00342321" w:rsidRPr="00BC31E0" w:rsidRDefault="00342321" w:rsidP="004736F2">
            <w:pPr>
              <w:snapToGrid w:val="0"/>
              <w:spacing w:line="300" w:lineRule="atLeast"/>
              <w:jc w:val="center"/>
              <w:rPr>
                <w:rFonts w:ascii="Cambria Math" w:hAnsi="Cambria Math"/>
                <w:sz w:val="22"/>
                <w:szCs w:val="22"/>
              </w:rPr>
            </w:pPr>
            <m:oMathPara>
              <m:oMath>
                <m:r>
                  <m:rPr>
                    <m:sty m:val="p"/>
                  </m:rPr>
                  <w:rPr>
                    <w:rFonts w:ascii="Cambria Math" w:hAnsi="Cambria Math" w:hint="eastAsia"/>
                    <w:sz w:val="22"/>
                    <w:szCs w:val="22"/>
                  </w:rPr>
                  <m:t>9.00</m:t>
                </m:r>
                <m:r>
                  <m:rPr>
                    <m:sty m:val="p"/>
                  </m:rP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595" w:type="dxa"/>
            <w:vAlign w:val="center"/>
          </w:tcPr>
          <w:p w14:paraId="5A4CAF2B" w14:textId="77777777" w:rsidR="00342321" w:rsidRPr="00BC31E0" w:rsidRDefault="00342321" w:rsidP="004736F2">
            <w:pPr>
              <w:snapToGrid w:val="0"/>
              <w:spacing w:line="300" w:lineRule="atLeast"/>
              <w:jc w:val="center"/>
              <w:rPr>
                <w:rFonts w:ascii="Cambria Math" w:hAnsi="Cambria Math"/>
                <w:sz w:val="22"/>
                <w:szCs w:val="22"/>
              </w:rPr>
            </w:pPr>
            <m:oMathPara>
              <m:oMath>
                <m:r>
                  <m:rPr>
                    <m:sty m:val="p"/>
                  </m:rPr>
                  <w:rPr>
                    <w:rFonts w:ascii="Cambria Math" w:hAnsi="Cambria Math" w:hint="eastAsia"/>
                    <w:sz w:val="22"/>
                    <w:szCs w:val="22"/>
                  </w:rPr>
                  <m:t>5.25</m:t>
                </m:r>
                <m:r>
                  <m:rPr>
                    <m:sty m:val="p"/>
                  </m:rP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595" w:type="dxa"/>
            <w:vAlign w:val="center"/>
          </w:tcPr>
          <w:p w14:paraId="4AE8F58A" w14:textId="77777777" w:rsidR="00342321" w:rsidRPr="00BC31E0" w:rsidRDefault="00342321" w:rsidP="004736F2">
            <w:pPr>
              <w:snapToGrid w:val="0"/>
              <w:spacing w:line="300" w:lineRule="atLeast"/>
              <w:jc w:val="center"/>
              <w:rPr>
                <w:rFonts w:ascii="Cambria Math" w:hAnsi="Cambria Math"/>
                <w:sz w:val="22"/>
                <w:szCs w:val="22"/>
              </w:rPr>
            </w:pPr>
            <m:oMathPara>
              <m:oMath>
                <m:r>
                  <m:rPr>
                    <m:sty m:val="p"/>
                  </m:rPr>
                  <w:rPr>
                    <w:rFonts w:ascii="Cambria Math" w:hAnsi="Cambria Math" w:hint="eastAsia"/>
                    <w:sz w:val="22"/>
                    <w:szCs w:val="22"/>
                  </w:rPr>
                  <m:t>2.08</m:t>
                </m:r>
                <m:r>
                  <m:rPr>
                    <m:sty m:val="p"/>
                  </m:rP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595" w:type="dxa"/>
            <w:vAlign w:val="center"/>
          </w:tcPr>
          <w:p w14:paraId="66207EB4" w14:textId="77777777" w:rsidR="00342321" w:rsidRPr="00BC31E0" w:rsidRDefault="00342321" w:rsidP="004736F2">
            <w:pPr>
              <w:snapToGrid w:val="0"/>
              <w:spacing w:line="300" w:lineRule="atLeast"/>
              <w:jc w:val="center"/>
              <w:rPr>
                <w:rFonts w:ascii="Cambria Math" w:eastAsia="ＭＳ ゴシック" w:hAnsi="Cambria Math"/>
                <w:b/>
                <w:sz w:val="22"/>
                <w:szCs w:val="22"/>
              </w:rPr>
            </w:pPr>
            <m:oMathPara>
              <m:oMath>
                <m:r>
                  <m:rPr>
                    <m:sty m:val="p"/>
                  </m:rPr>
                  <w:rPr>
                    <w:rFonts w:ascii="Cambria Math" w:hAnsi="Cambria Math" w:hint="eastAsia"/>
                    <w:sz w:val="22"/>
                    <w:szCs w:val="22"/>
                  </w:rPr>
                  <m:t>0.51</m:t>
                </m:r>
                <m:r>
                  <m:rPr>
                    <m:sty m:val="p"/>
                  </m:rP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r>
      <w:tr w:rsidR="00342321" w:rsidRPr="00BC31E0" w14:paraId="76FF963C" w14:textId="77777777" w:rsidTr="004736F2">
        <w:trPr>
          <w:jc w:val="center"/>
        </w:trPr>
        <w:tc>
          <w:tcPr>
            <w:tcW w:w="992" w:type="dxa"/>
            <w:vAlign w:val="center"/>
          </w:tcPr>
          <w:p w14:paraId="1598425C"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0.1</w:t>
            </w:r>
          </w:p>
        </w:tc>
        <w:tc>
          <w:tcPr>
            <w:tcW w:w="1594" w:type="dxa"/>
            <w:vAlign w:val="center"/>
          </w:tcPr>
          <w:p w14:paraId="0D3684B0" w14:textId="77777777" w:rsidR="00342321" w:rsidRPr="00BC31E0" w:rsidRDefault="00342321" w:rsidP="004736F2">
            <w:pPr>
              <w:snapToGrid w:val="0"/>
              <w:spacing w:line="300" w:lineRule="atLeast"/>
              <w:jc w:val="center"/>
              <w:rPr>
                <w:rFonts w:ascii="Cambria Math" w:hAnsi="Cambria Math"/>
                <w:sz w:val="22"/>
                <w:szCs w:val="22"/>
              </w:rPr>
            </w:pPr>
            <m:oMathPara>
              <m:oMath>
                <m:r>
                  <m:rPr>
                    <m:sty m:val="p"/>
                  </m:rPr>
                  <w:rPr>
                    <w:rFonts w:ascii="Cambria Math" w:hAnsi="Cambria Math" w:hint="eastAsia"/>
                    <w:sz w:val="22"/>
                    <w:szCs w:val="22"/>
                  </w:rPr>
                  <m:t>10.4</m:t>
                </m:r>
                <m:r>
                  <m:rPr>
                    <m:sty m:val="p"/>
                  </m:rP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595" w:type="dxa"/>
            <w:vAlign w:val="center"/>
          </w:tcPr>
          <w:p w14:paraId="7F8D0F6D" w14:textId="77777777" w:rsidR="00342321" w:rsidRPr="00BC31E0" w:rsidRDefault="00342321" w:rsidP="004736F2">
            <w:pPr>
              <w:snapToGrid w:val="0"/>
              <w:spacing w:line="300" w:lineRule="atLeast"/>
              <w:jc w:val="center"/>
              <w:rPr>
                <w:rFonts w:ascii="Cambria Math" w:hAnsi="Cambria Math"/>
                <w:sz w:val="22"/>
                <w:szCs w:val="22"/>
              </w:rPr>
            </w:pPr>
            <m:oMathPara>
              <m:oMath>
                <m:r>
                  <m:rPr>
                    <m:sty m:val="p"/>
                  </m:rPr>
                  <w:rPr>
                    <w:rFonts w:ascii="Cambria Math" w:hAnsi="Cambria Math" w:hint="eastAsia"/>
                    <w:sz w:val="22"/>
                    <w:szCs w:val="22"/>
                  </w:rPr>
                  <m:t>6.22</m:t>
                </m:r>
                <m:r>
                  <m:rPr>
                    <m:sty m:val="p"/>
                  </m:rP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595" w:type="dxa"/>
            <w:vAlign w:val="center"/>
          </w:tcPr>
          <w:p w14:paraId="6195D157" w14:textId="77777777" w:rsidR="00342321" w:rsidRPr="00BC31E0" w:rsidRDefault="00342321" w:rsidP="004736F2">
            <w:pPr>
              <w:snapToGrid w:val="0"/>
              <w:spacing w:line="300" w:lineRule="atLeast"/>
              <w:jc w:val="center"/>
              <w:rPr>
                <w:rFonts w:ascii="Cambria Math" w:hAnsi="Cambria Math"/>
                <w:sz w:val="22"/>
                <w:szCs w:val="22"/>
              </w:rPr>
            </w:pPr>
            <m:oMathPara>
              <m:oMath>
                <m:r>
                  <m:rPr>
                    <m:sty m:val="p"/>
                  </m:rPr>
                  <w:rPr>
                    <w:rFonts w:ascii="Cambria Math" w:hAnsi="Cambria Math" w:hint="eastAsia"/>
                    <w:sz w:val="22"/>
                    <w:szCs w:val="22"/>
                  </w:rPr>
                  <m:t>2.77</m:t>
                </m:r>
                <m:r>
                  <m:rPr>
                    <m:sty m:val="p"/>
                  </m:rP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595" w:type="dxa"/>
            <w:vAlign w:val="center"/>
          </w:tcPr>
          <w:p w14:paraId="4B8CE37A" w14:textId="77777777" w:rsidR="00342321" w:rsidRPr="00BC31E0" w:rsidRDefault="00342321" w:rsidP="004736F2">
            <w:pPr>
              <w:snapToGrid w:val="0"/>
              <w:spacing w:line="300" w:lineRule="atLeast"/>
              <w:jc w:val="center"/>
              <w:rPr>
                <w:rFonts w:ascii="Cambria Math" w:hAnsi="Cambria Math"/>
                <w:sz w:val="22"/>
                <w:szCs w:val="22"/>
              </w:rPr>
            </w:pPr>
            <m:oMathPara>
              <m:oMath>
                <m:r>
                  <m:rPr>
                    <m:sty m:val="p"/>
                  </m:rPr>
                  <w:rPr>
                    <w:rFonts w:ascii="Cambria Math" w:hAnsi="Cambria Math" w:hint="eastAsia"/>
                    <w:sz w:val="22"/>
                    <w:szCs w:val="22"/>
                  </w:rPr>
                  <m:t>0.96</m:t>
                </m:r>
                <m:r>
                  <m:rPr>
                    <m:sty m:val="p"/>
                  </m:rP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r>
      <w:tr w:rsidR="00342321" w:rsidRPr="00BC31E0" w14:paraId="7BFEEA18" w14:textId="77777777" w:rsidTr="004736F2">
        <w:trPr>
          <w:jc w:val="center"/>
        </w:trPr>
        <w:tc>
          <w:tcPr>
            <w:tcW w:w="992" w:type="dxa"/>
            <w:vAlign w:val="center"/>
          </w:tcPr>
          <w:p w14:paraId="4633709C"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0.2</w:t>
            </w:r>
          </w:p>
        </w:tc>
        <w:tc>
          <w:tcPr>
            <w:tcW w:w="1594" w:type="dxa"/>
            <w:vAlign w:val="center"/>
          </w:tcPr>
          <w:p w14:paraId="3E73F168" w14:textId="77777777" w:rsidR="00342321" w:rsidRPr="00BC31E0" w:rsidRDefault="00342321" w:rsidP="004736F2">
            <w:pPr>
              <w:snapToGrid w:val="0"/>
              <w:spacing w:line="300" w:lineRule="atLeast"/>
              <w:jc w:val="center"/>
              <w:rPr>
                <w:rFonts w:ascii="Cambria Math" w:hAnsi="Cambria Math"/>
                <w:sz w:val="22"/>
                <w:szCs w:val="22"/>
              </w:rPr>
            </w:pPr>
            <m:oMathPara>
              <m:oMath>
                <m:r>
                  <m:rPr>
                    <m:sty m:val="p"/>
                  </m:rPr>
                  <w:rPr>
                    <w:rFonts w:ascii="Cambria Math" w:hAnsi="Cambria Math" w:hint="eastAsia"/>
                    <w:sz w:val="22"/>
                    <w:szCs w:val="22"/>
                  </w:rPr>
                  <m:t>13.5</m:t>
                </m:r>
                <m:r>
                  <m:rPr>
                    <m:sty m:val="p"/>
                  </m:rP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595" w:type="dxa"/>
            <w:vAlign w:val="center"/>
          </w:tcPr>
          <w:p w14:paraId="0100E95E" w14:textId="77777777" w:rsidR="00342321" w:rsidRPr="00BC31E0" w:rsidRDefault="00342321" w:rsidP="004736F2">
            <w:pPr>
              <w:snapToGrid w:val="0"/>
              <w:spacing w:line="300" w:lineRule="atLeast"/>
              <w:jc w:val="center"/>
              <w:rPr>
                <w:rFonts w:ascii="Cambria Math" w:hAnsi="Cambria Math"/>
                <w:sz w:val="22"/>
                <w:szCs w:val="22"/>
              </w:rPr>
            </w:pPr>
            <m:oMathPara>
              <m:oMath>
                <m:r>
                  <m:rPr>
                    <m:sty m:val="p"/>
                  </m:rPr>
                  <w:rPr>
                    <w:rFonts w:ascii="Cambria Math" w:hAnsi="Cambria Math" w:hint="eastAsia"/>
                    <w:sz w:val="22"/>
                    <w:szCs w:val="22"/>
                  </w:rPr>
                  <m:t>8.50</m:t>
                </m:r>
                <m:r>
                  <m:rPr>
                    <m:sty m:val="p"/>
                  </m:rP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595" w:type="dxa"/>
            <w:vAlign w:val="center"/>
          </w:tcPr>
          <w:p w14:paraId="1B0572AC" w14:textId="77777777" w:rsidR="00342321" w:rsidRPr="00BC31E0" w:rsidRDefault="00342321" w:rsidP="004736F2">
            <w:pPr>
              <w:snapToGrid w:val="0"/>
              <w:spacing w:line="300" w:lineRule="atLeast"/>
              <w:jc w:val="center"/>
              <w:rPr>
                <w:rFonts w:ascii="Cambria Math" w:hAnsi="Cambria Math"/>
                <w:sz w:val="22"/>
                <w:szCs w:val="22"/>
              </w:rPr>
            </w:pPr>
            <m:oMathPara>
              <m:oMath>
                <m:r>
                  <m:rPr>
                    <m:sty m:val="p"/>
                  </m:rPr>
                  <w:rPr>
                    <w:rFonts w:ascii="Cambria Math" w:hAnsi="Cambria Math" w:hint="eastAsia"/>
                    <w:sz w:val="22"/>
                    <w:szCs w:val="22"/>
                  </w:rPr>
                  <m:t>4.13</m:t>
                </m:r>
                <m:r>
                  <m:rPr>
                    <m:sty m:val="p"/>
                  </m:rP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595" w:type="dxa"/>
            <w:vAlign w:val="center"/>
          </w:tcPr>
          <w:p w14:paraId="3B0CFAD1" w14:textId="77777777" w:rsidR="00342321" w:rsidRPr="00BC31E0" w:rsidRDefault="00342321" w:rsidP="004736F2">
            <w:pPr>
              <w:snapToGrid w:val="0"/>
              <w:spacing w:line="300" w:lineRule="atLeast"/>
              <w:jc w:val="center"/>
              <w:rPr>
                <w:rFonts w:ascii="Cambria Math" w:hAnsi="Cambria Math"/>
                <w:sz w:val="22"/>
                <w:szCs w:val="22"/>
              </w:rPr>
            </w:pPr>
            <m:oMathPara>
              <m:oMath>
                <m:r>
                  <m:rPr>
                    <m:sty m:val="p"/>
                  </m:rPr>
                  <w:rPr>
                    <w:rFonts w:ascii="Cambria Math" w:hAnsi="Cambria Math" w:hint="eastAsia"/>
                    <w:sz w:val="22"/>
                    <w:szCs w:val="22"/>
                  </w:rPr>
                  <m:t>1.90</m:t>
                </m:r>
                <m:r>
                  <m:rPr>
                    <m:sty m:val="p"/>
                  </m:rP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r>
      <w:tr w:rsidR="00342321" w:rsidRPr="00BC31E0" w14:paraId="7CB7283B" w14:textId="77777777" w:rsidTr="004736F2">
        <w:trPr>
          <w:jc w:val="center"/>
        </w:trPr>
        <w:tc>
          <w:tcPr>
            <w:tcW w:w="992" w:type="dxa"/>
            <w:vAlign w:val="center"/>
          </w:tcPr>
          <w:p w14:paraId="7D678BDB"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0.3</w:t>
            </w:r>
          </w:p>
        </w:tc>
        <w:tc>
          <w:tcPr>
            <w:tcW w:w="1594" w:type="dxa"/>
            <w:vAlign w:val="center"/>
          </w:tcPr>
          <w:p w14:paraId="086D5B8E" w14:textId="77777777" w:rsidR="00342321" w:rsidRPr="00BC31E0" w:rsidRDefault="00342321" w:rsidP="004736F2">
            <w:pPr>
              <w:snapToGrid w:val="0"/>
              <w:spacing w:line="300" w:lineRule="atLeast"/>
              <w:jc w:val="center"/>
              <w:rPr>
                <w:rFonts w:ascii="Cambria Math" w:hAnsi="Cambria Math"/>
                <w:sz w:val="22"/>
                <w:szCs w:val="22"/>
              </w:rPr>
            </w:pPr>
            <m:oMathPara>
              <m:oMath>
                <m:r>
                  <m:rPr>
                    <m:sty m:val="p"/>
                  </m:rPr>
                  <w:rPr>
                    <w:rFonts w:ascii="Cambria Math" w:hAnsi="Cambria Math" w:hint="eastAsia"/>
                    <w:sz w:val="22"/>
                    <w:szCs w:val="22"/>
                  </w:rPr>
                  <m:t>18.1</m:t>
                </m:r>
                <m:r>
                  <m:rPr>
                    <m:sty m:val="p"/>
                  </m:rP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595" w:type="dxa"/>
            <w:vAlign w:val="center"/>
          </w:tcPr>
          <w:p w14:paraId="665E07F6" w14:textId="77777777" w:rsidR="00342321" w:rsidRPr="00BC31E0" w:rsidRDefault="00342321" w:rsidP="004736F2">
            <w:pPr>
              <w:snapToGrid w:val="0"/>
              <w:spacing w:line="300" w:lineRule="atLeast"/>
              <w:jc w:val="center"/>
              <w:rPr>
                <w:rFonts w:ascii="Cambria Math" w:hAnsi="Cambria Math"/>
                <w:sz w:val="22"/>
                <w:szCs w:val="22"/>
              </w:rPr>
            </w:pPr>
            <m:oMathPara>
              <m:oMath>
                <m:r>
                  <m:rPr>
                    <m:sty m:val="p"/>
                  </m:rPr>
                  <w:rPr>
                    <w:rFonts w:ascii="Cambria Math" w:hAnsi="Cambria Math" w:hint="eastAsia"/>
                    <w:sz w:val="22"/>
                    <w:szCs w:val="22"/>
                  </w:rPr>
                  <m:t>11.7</m:t>
                </m:r>
                <m:r>
                  <m:rPr>
                    <m:sty m:val="p"/>
                  </m:rP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595" w:type="dxa"/>
            <w:vAlign w:val="center"/>
          </w:tcPr>
          <w:p w14:paraId="40645D1B" w14:textId="77777777" w:rsidR="00342321" w:rsidRPr="00BC31E0" w:rsidRDefault="00342321" w:rsidP="004736F2">
            <w:pPr>
              <w:snapToGrid w:val="0"/>
              <w:spacing w:line="300" w:lineRule="atLeast"/>
              <w:jc w:val="center"/>
              <w:rPr>
                <w:rFonts w:ascii="Cambria Math" w:hAnsi="Cambria Math"/>
                <w:sz w:val="22"/>
                <w:szCs w:val="22"/>
              </w:rPr>
            </w:pPr>
            <m:oMathPara>
              <m:oMath>
                <m:r>
                  <m:rPr>
                    <m:sty m:val="p"/>
                  </m:rPr>
                  <w:rPr>
                    <w:rFonts w:ascii="Cambria Math" w:hAnsi="Cambria Math" w:hint="eastAsia"/>
                    <w:sz w:val="22"/>
                    <w:szCs w:val="22"/>
                  </w:rPr>
                  <m:t>6.29</m:t>
                </m:r>
                <m:r>
                  <m:rPr>
                    <m:sty m:val="p"/>
                  </m:rP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595" w:type="dxa"/>
            <w:vAlign w:val="center"/>
          </w:tcPr>
          <w:p w14:paraId="6554AE7F" w14:textId="77777777" w:rsidR="00342321" w:rsidRPr="00BC31E0" w:rsidRDefault="00342321" w:rsidP="004736F2">
            <w:pPr>
              <w:snapToGrid w:val="0"/>
              <w:spacing w:line="300" w:lineRule="atLeast"/>
              <w:jc w:val="center"/>
              <w:rPr>
                <w:rFonts w:ascii="Cambria Math" w:hAnsi="Cambria Math"/>
                <w:sz w:val="22"/>
                <w:szCs w:val="22"/>
              </w:rPr>
            </w:pPr>
            <m:oMathPara>
              <m:oMath>
                <m:r>
                  <m:rPr>
                    <m:sty m:val="p"/>
                  </m:rPr>
                  <w:rPr>
                    <w:rFonts w:ascii="Cambria Math" w:hAnsi="Cambria Math" w:hint="eastAsia"/>
                    <w:sz w:val="22"/>
                    <w:szCs w:val="22"/>
                  </w:rPr>
                  <m:t>3.38</m:t>
                </m:r>
                <m:r>
                  <m:rPr>
                    <m:sty m:val="p"/>
                  </m:rP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r>
      <w:tr w:rsidR="00342321" w:rsidRPr="00BC31E0" w14:paraId="2549388C" w14:textId="77777777" w:rsidTr="004736F2">
        <w:trPr>
          <w:jc w:val="center"/>
        </w:trPr>
        <w:tc>
          <w:tcPr>
            <w:tcW w:w="992" w:type="dxa"/>
            <w:vAlign w:val="center"/>
          </w:tcPr>
          <w:p w14:paraId="198F676E"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0.4</w:t>
            </w:r>
          </w:p>
        </w:tc>
        <w:tc>
          <w:tcPr>
            <w:tcW w:w="1594" w:type="dxa"/>
            <w:vAlign w:val="center"/>
          </w:tcPr>
          <w:p w14:paraId="2D7FB483" w14:textId="77777777" w:rsidR="00342321" w:rsidRPr="00BC31E0" w:rsidRDefault="00342321" w:rsidP="004736F2">
            <w:pPr>
              <w:snapToGrid w:val="0"/>
              <w:spacing w:line="300" w:lineRule="atLeast"/>
              <w:jc w:val="center"/>
              <w:rPr>
                <w:rFonts w:ascii="Cambria Math" w:hAnsi="Cambria Math"/>
                <w:sz w:val="22"/>
                <w:szCs w:val="22"/>
              </w:rPr>
            </w:pPr>
            <m:oMathPara>
              <m:oMath>
                <m:r>
                  <m:rPr>
                    <m:sty m:val="p"/>
                  </m:rPr>
                  <w:rPr>
                    <w:rFonts w:ascii="Cambria Math" w:hAnsi="Cambria Math" w:hint="eastAsia"/>
                    <w:sz w:val="22"/>
                    <w:szCs w:val="22"/>
                  </w:rPr>
                  <m:t>24.2</m:t>
                </m:r>
                <m:r>
                  <m:rPr>
                    <m:sty m:val="p"/>
                  </m:rP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595" w:type="dxa"/>
            <w:vAlign w:val="center"/>
          </w:tcPr>
          <w:p w14:paraId="173CDF5B" w14:textId="77777777" w:rsidR="00342321" w:rsidRPr="00BC31E0" w:rsidRDefault="00342321" w:rsidP="004736F2">
            <w:pPr>
              <w:snapToGrid w:val="0"/>
              <w:spacing w:line="300" w:lineRule="atLeast"/>
              <w:jc w:val="center"/>
              <w:rPr>
                <w:rFonts w:ascii="Cambria Math" w:hAnsi="Cambria Math"/>
                <w:sz w:val="22"/>
                <w:szCs w:val="22"/>
              </w:rPr>
            </w:pPr>
            <m:oMathPara>
              <m:oMath>
                <m:r>
                  <m:rPr>
                    <m:sty m:val="p"/>
                  </m:rPr>
                  <w:rPr>
                    <w:rFonts w:ascii="Cambria Math" w:hAnsi="Cambria Math" w:hint="eastAsia"/>
                    <w:sz w:val="22"/>
                    <w:szCs w:val="22"/>
                  </w:rPr>
                  <m:t>16.1</m:t>
                </m:r>
                <m:r>
                  <m:rPr>
                    <m:sty m:val="p"/>
                  </m:rP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595" w:type="dxa"/>
            <w:vAlign w:val="center"/>
          </w:tcPr>
          <w:p w14:paraId="155170C4" w14:textId="77777777" w:rsidR="00342321" w:rsidRPr="00BC31E0" w:rsidRDefault="00342321" w:rsidP="004736F2">
            <w:pPr>
              <w:snapToGrid w:val="0"/>
              <w:spacing w:line="300" w:lineRule="atLeast"/>
              <w:jc w:val="center"/>
              <w:rPr>
                <w:rFonts w:ascii="Cambria Math" w:hAnsi="Cambria Math"/>
                <w:sz w:val="22"/>
                <w:szCs w:val="22"/>
              </w:rPr>
            </w:pPr>
            <m:oMathPara>
              <m:oMath>
                <m:r>
                  <m:rPr>
                    <m:sty m:val="p"/>
                  </m:rPr>
                  <w:rPr>
                    <w:rFonts w:ascii="Cambria Math" w:hAnsi="Cambria Math" w:hint="eastAsia"/>
                    <w:sz w:val="22"/>
                    <w:szCs w:val="22"/>
                  </w:rPr>
                  <m:t>9.30</m:t>
                </m:r>
                <m:r>
                  <m:rPr>
                    <m:sty m:val="p"/>
                  </m:rP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595" w:type="dxa"/>
            <w:vAlign w:val="center"/>
          </w:tcPr>
          <w:p w14:paraId="705FC659" w14:textId="77777777" w:rsidR="00342321" w:rsidRPr="00BC31E0" w:rsidRDefault="00342321" w:rsidP="004736F2">
            <w:pPr>
              <w:snapToGrid w:val="0"/>
              <w:spacing w:line="300" w:lineRule="atLeast"/>
              <w:jc w:val="center"/>
              <w:rPr>
                <w:rFonts w:ascii="Cambria Math" w:hAnsi="Cambria Math"/>
                <w:sz w:val="22"/>
                <w:szCs w:val="22"/>
              </w:rPr>
            </w:pPr>
            <m:oMathPara>
              <m:oMath>
                <m:r>
                  <m:rPr>
                    <m:sty m:val="p"/>
                  </m:rPr>
                  <w:rPr>
                    <w:rFonts w:ascii="Cambria Math" w:hAnsi="Cambria Math" w:hint="eastAsia"/>
                    <w:sz w:val="22"/>
                    <w:szCs w:val="22"/>
                  </w:rPr>
                  <m:t>5.86</m:t>
                </m:r>
                <m:r>
                  <m:rPr>
                    <m:sty m:val="p"/>
                  </m:rP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r>
      <w:tr w:rsidR="00342321" w:rsidRPr="00BC31E0" w14:paraId="7A4533D1" w14:textId="77777777" w:rsidTr="004736F2">
        <w:trPr>
          <w:jc w:val="center"/>
        </w:trPr>
        <w:tc>
          <w:tcPr>
            <w:tcW w:w="992" w:type="dxa"/>
            <w:vAlign w:val="center"/>
          </w:tcPr>
          <w:p w14:paraId="050B2236" w14:textId="77777777" w:rsidR="00342321" w:rsidRPr="00BC31E0" w:rsidRDefault="00342321" w:rsidP="004736F2">
            <w:pPr>
              <w:snapToGrid w:val="0"/>
              <w:spacing w:line="300" w:lineRule="atLeast"/>
              <w:jc w:val="center"/>
              <w:rPr>
                <w:rFonts w:ascii="Cambria Math" w:hAnsi="Cambria Math"/>
                <w:sz w:val="22"/>
                <w:szCs w:val="22"/>
              </w:rPr>
            </w:pPr>
            <w:r w:rsidRPr="00BC31E0">
              <w:rPr>
                <w:rFonts w:ascii="Cambria Math" w:hAnsi="Cambria Math"/>
                <w:sz w:val="22"/>
                <w:szCs w:val="22"/>
              </w:rPr>
              <w:t>0.5</w:t>
            </w:r>
          </w:p>
        </w:tc>
        <w:tc>
          <w:tcPr>
            <w:tcW w:w="1594" w:type="dxa"/>
            <w:vAlign w:val="center"/>
          </w:tcPr>
          <w:p w14:paraId="172C32CF" w14:textId="77777777" w:rsidR="00342321" w:rsidRPr="00BC31E0" w:rsidRDefault="00342321" w:rsidP="004736F2">
            <w:pPr>
              <w:snapToGrid w:val="0"/>
              <w:spacing w:line="300" w:lineRule="atLeast"/>
              <w:jc w:val="center"/>
              <w:rPr>
                <w:rFonts w:ascii="Cambria Math" w:hAnsi="Cambria Math"/>
                <w:sz w:val="22"/>
                <w:szCs w:val="22"/>
              </w:rPr>
            </w:pPr>
            <m:oMathPara>
              <m:oMath>
                <m:r>
                  <m:rPr>
                    <m:sty m:val="p"/>
                  </m:rPr>
                  <w:rPr>
                    <w:rFonts w:ascii="Cambria Math" w:hAnsi="Cambria Math" w:hint="eastAsia"/>
                    <w:sz w:val="22"/>
                    <w:szCs w:val="22"/>
                  </w:rPr>
                  <m:t>25.1</m:t>
                </m:r>
                <m:r>
                  <m:rPr>
                    <m:sty m:val="p"/>
                  </m:rP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595" w:type="dxa"/>
            <w:vAlign w:val="center"/>
          </w:tcPr>
          <w:p w14:paraId="15A5E3BA" w14:textId="77777777" w:rsidR="00342321" w:rsidRPr="00BC31E0" w:rsidRDefault="00342321" w:rsidP="004736F2">
            <w:pPr>
              <w:snapToGrid w:val="0"/>
              <w:spacing w:line="300" w:lineRule="atLeast"/>
              <w:jc w:val="center"/>
              <w:rPr>
                <w:rFonts w:ascii="Cambria Math" w:hAnsi="Cambria Math"/>
                <w:sz w:val="22"/>
                <w:szCs w:val="22"/>
              </w:rPr>
            </w:pPr>
            <m:oMathPara>
              <m:oMath>
                <m:r>
                  <m:rPr>
                    <m:sty m:val="p"/>
                  </m:rPr>
                  <w:rPr>
                    <w:rFonts w:ascii="Cambria Math" w:hAnsi="Cambria Math" w:hint="eastAsia"/>
                    <w:sz w:val="22"/>
                    <w:szCs w:val="22"/>
                  </w:rPr>
                  <m:t>16.6</m:t>
                </m:r>
                <m:r>
                  <m:rPr>
                    <m:sty m:val="p"/>
                  </m:rP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595" w:type="dxa"/>
            <w:vAlign w:val="center"/>
          </w:tcPr>
          <w:p w14:paraId="181E16B6" w14:textId="77777777" w:rsidR="00342321" w:rsidRPr="00BC31E0" w:rsidRDefault="00342321" w:rsidP="004736F2">
            <w:pPr>
              <w:snapToGrid w:val="0"/>
              <w:spacing w:line="300" w:lineRule="atLeast"/>
              <w:jc w:val="center"/>
              <w:rPr>
                <w:rFonts w:ascii="Cambria Math" w:hAnsi="Cambria Math"/>
                <w:sz w:val="22"/>
                <w:szCs w:val="22"/>
              </w:rPr>
            </w:pPr>
            <m:oMathPara>
              <m:oMath>
                <m:r>
                  <m:rPr>
                    <m:sty m:val="p"/>
                  </m:rPr>
                  <w:rPr>
                    <w:rFonts w:ascii="Cambria Math" w:hAnsi="Cambria Math" w:hint="eastAsia"/>
                    <w:sz w:val="22"/>
                    <w:szCs w:val="22"/>
                  </w:rPr>
                  <m:t>9.60</m:t>
                </m:r>
                <m:r>
                  <m:rPr>
                    <m:sty m:val="p"/>
                  </m:rP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595" w:type="dxa"/>
            <w:vAlign w:val="center"/>
          </w:tcPr>
          <w:p w14:paraId="555A0A2D" w14:textId="77777777" w:rsidR="00342321" w:rsidRPr="00BC31E0" w:rsidRDefault="00342321" w:rsidP="004736F2">
            <w:pPr>
              <w:snapToGrid w:val="0"/>
              <w:spacing w:line="300" w:lineRule="atLeast"/>
              <w:jc w:val="center"/>
              <w:rPr>
                <w:rFonts w:ascii="Cambria Math" w:hAnsi="Cambria Math"/>
                <w:sz w:val="22"/>
                <w:szCs w:val="22"/>
              </w:rPr>
            </w:pPr>
            <m:oMathPara>
              <m:oMath>
                <m:r>
                  <m:rPr>
                    <m:sty m:val="p"/>
                  </m:rPr>
                  <w:rPr>
                    <w:rFonts w:ascii="Cambria Math" w:hAnsi="Cambria Math" w:hint="eastAsia"/>
                    <w:sz w:val="22"/>
                    <w:szCs w:val="22"/>
                  </w:rPr>
                  <m:t>6.12</m:t>
                </m:r>
                <m:r>
                  <m:rPr>
                    <m:sty m:val="p"/>
                  </m:rP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r>
    </w:tbl>
    <w:p w14:paraId="4BE1C01A" w14:textId="77777777" w:rsidR="00342321" w:rsidRPr="00BC31E0" w:rsidRDefault="00342321" w:rsidP="00342321">
      <w:pPr>
        <w:snapToGrid w:val="0"/>
        <w:spacing w:before="60" w:line="320" w:lineRule="atLeast"/>
        <w:ind w:left="1474" w:hanging="794"/>
        <w:jc w:val="left"/>
        <w:rPr>
          <w:szCs w:val="20"/>
        </w:rPr>
      </w:pPr>
      <w:r w:rsidRPr="00BC31E0">
        <w:rPr>
          <w:rFonts w:ascii="ＭＳ ゴシック" w:eastAsia="ＭＳ ゴシック" w:hAnsi="ＭＳ ゴシック" w:hint="eastAsia"/>
          <w:b/>
          <w:szCs w:val="20"/>
        </w:rPr>
        <w:t>注記1</w:t>
      </w:r>
      <w:r w:rsidRPr="00BC31E0">
        <w:rPr>
          <w:rFonts w:ascii="ＭＳ 明朝" w:hAnsi="ＭＳ 明朝" w:hint="eastAsia"/>
          <w:szCs w:val="20"/>
        </w:rPr>
        <w:t xml:space="preserve">　</w:t>
      </w:r>
      <w:r w:rsidRPr="00BC31E0">
        <w:rPr>
          <w:szCs w:val="20"/>
        </w:rPr>
        <w:t>き</w:t>
      </w:r>
      <w:r w:rsidRPr="00BC31E0">
        <w:rPr>
          <w:rFonts w:hint="eastAsia"/>
          <w:szCs w:val="20"/>
        </w:rPr>
        <w:t>ず</w:t>
      </w:r>
      <w:r w:rsidRPr="00BC31E0">
        <w:rPr>
          <w:szCs w:val="20"/>
        </w:rPr>
        <w:t>高さ</w:t>
      </w:r>
      <m:oMath>
        <m:r>
          <w:rPr>
            <w:rFonts w:ascii="Cambria Math" w:hAnsi="Cambria Math" w:hint="eastAsia"/>
            <w:szCs w:val="20"/>
          </w:rPr>
          <m:t>2</m:t>
        </m:r>
        <m:r>
          <w:rPr>
            <w:rFonts w:ascii="Cambria Math" w:hAnsi="Cambria Math"/>
            <w:szCs w:val="20"/>
          </w:rPr>
          <m:t>a</m:t>
        </m:r>
        <m:r>
          <m:rPr>
            <m:sty m:val="p"/>
          </m:rPr>
          <w:rPr>
            <w:rFonts w:ascii="Cambria Math" w:hAnsi="Cambria Math"/>
            <w:szCs w:val="20"/>
          </w:rPr>
          <m:t xml:space="preserve"> </m:t>
        </m:r>
      </m:oMath>
      <w:r w:rsidRPr="00BC31E0">
        <w:rPr>
          <w:szCs w:val="20"/>
        </w:rPr>
        <w:t>が</w:t>
      </w:r>
      <m:oMath>
        <m:r>
          <m:rPr>
            <m:sty m:val="p"/>
          </m:rPr>
          <w:rPr>
            <w:rFonts w:ascii="Cambria Math" w:hAnsi="Cambria Math"/>
            <w:szCs w:val="20"/>
          </w:rPr>
          <m:t xml:space="preserve"> 1 mm </m:t>
        </m:r>
      </m:oMath>
      <w:r w:rsidRPr="00BC31E0">
        <w:rPr>
          <w:szCs w:val="20"/>
        </w:rPr>
        <w:t>未満になる場合</w:t>
      </w:r>
      <w:r w:rsidRPr="00BC31E0">
        <w:rPr>
          <w:rFonts w:hint="eastAsia"/>
          <w:szCs w:val="20"/>
        </w:rPr>
        <w:t>で</w:t>
      </w:r>
      <w:r w:rsidRPr="00BC31E0">
        <w:rPr>
          <w:szCs w:val="20"/>
        </w:rPr>
        <w:t>，使用者設計仕様書</w:t>
      </w:r>
      <w:r w:rsidRPr="00BC31E0">
        <w:rPr>
          <w:rFonts w:hint="eastAsia"/>
          <w:szCs w:val="20"/>
        </w:rPr>
        <w:t>に</w:t>
      </w:r>
      <w:r w:rsidRPr="00BC31E0">
        <w:rPr>
          <w:rFonts w:ascii="ＭＳ ゴシック" w:eastAsia="ＭＳ ゴシック" w:hAnsi="ＭＳ ゴシック" w:hint="eastAsia"/>
          <w:b/>
          <w:szCs w:val="20"/>
        </w:rPr>
        <w:t>表5.2.2</w:t>
      </w:r>
      <w:r w:rsidRPr="00BC31E0">
        <w:rPr>
          <w:rFonts w:hint="eastAsia"/>
          <w:szCs w:val="20"/>
        </w:rPr>
        <w:t>よりも高い</w:t>
      </w:r>
      <w:r w:rsidRPr="00BC31E0">
        <w:rPr>
          <w:szCs w:val="20"/>
        </w:rPr>
        <w:t>要求シャルピー</w:t>
      </w:r>
      <w:r w:rsidRPr="00BC31E0">
        <w:rPr>
          <w:rFonts w:hint="eastAsia"/>
          <w:szCs w:val="20"/>
        </w:rPr>
        <w:t>衝撃</w:t>
      </w:r>
      <w:r w:rsidRPr="00BC31E0">
        <w:rPr>
          <w:szCs w:val="20"/>
        </w:rPr>
        <w:t>吸収エネルギー</w:t>
      </w:r>
      <w:r w:rsidRPr="00BC31E0">
        <w:rPr>
          <w:rFonts w:hint="eastAsia"/>
          <w:szCs w:val="20"/>
        </w:rPr>
        <w:t>が規定されている場合には，</w:t>
      </w:r>
      <w:r w:rsidRPr="00BC31E0">
        <w:rPr>
          <w:rFonts w:ascii="ＭＳ ゴシック" w:eastAsia="ＭＳ ゴシック" w:hAnsi="ＭＳ ゴシック" w:hint="eastAsia"/>
          <w:b/>
          <w:szCs w:val="20"/>
        </w:rPr>
        <w:t>9.3.6 c) 2) 2.3)</w:t>
      </w:r>
      <w:r w:rsidRPr="00BC31E0">
        <w:rPr>
          <w:rFonts w:hint="eastAsia"/>
          <w:szCs w:val="20"/>
        </w:rPr>
        <w:t>に</w:t>
      </w:r>
      <w:r w:rsidRPr="00BC31E0">
        <w:rPr>
          <w:szCs w:val="20"/>
        </w:rPr>
        <w:t>より</w:t>
      </w:r>
      <w:r w:rsidRPr="00BC31E0">
        <w:rPr>
          <w:rFonts w:hint="eastAsia"/>
          <w:szCs w:val="20"/>
        </w:rPr>
        <w:t>製作者が許容きず寸法を算出</w:t>
      </w:r>
      <w:r w:rsidR="002C6B4B" w:rsidRPr="00BC31E0">
        <w:rPr>
          <w:rFonts w:hint="eastAsia"/>
          <w:szCs w:val="20"/>
        </w:rPr>
        <w:t>してもよい</w:t>
      </w:r>
      <w:r w:rsidRPr="00BC31E0">
        <w:rPr>
          <w:rFonts w:hint="eastAsia"/>
          <w:szCs w:val="20"/>
        </w:rPr>
        <w:t>。</w:t>
      </w:r>
    </w:p>
    <w:p w14:paraId="2E9383EE" w14:textId="77777777" w:rsidR="00342321" w:rsidRPr="00BC31E0" w:rsidRDefault="00342321" w:rsidP="00342321">
      <w:pPr>
        <w:snapToGrid w:val="0"/>
        <w:spacing w:line="320" w:lineRule="atLeast"/>
        <w:ind w:left="1474" w:hanging="794"/>
        <w:jc w:val="left"/>
        <w:rPr>
          <w:rFonts w:hAnsi="ＭＳ 明朝"/>
          <w:szCs w:val="20"/>
        </w:rPr>
      </w:pPr>
      <w:r w:rsidRPr="00BC31E0">
        <w:rPr>
          <w:rFonts w:ascii="ＭＳ ゴシック" w:eastAsia="ＭＳ ゴシック" w:hAnsi="ＭＳ ゴシック" w:hint="eastAsia"/>
          <w:b/>
          <w:szCs w:val="20"/>
        </w:rPr>
        <w:t>注記2</w:t>
      </w:r>
      <w:r w:rsidRPr="00BC31E0">
        <w:rPr>
          <w:rFonts w:ascii="ＭＳ 明朝" w:hAnsi="ＭＳ 明朝" w:hint="eastAsia"/>
          <w:szCs w:val="20"/>
        </w:rPr>
        <w:t xml:space="preserve">　</w:t>
      </w:r>
      <w:r w:rsidRPr="00BC31E0">
        <w:rPr>
          <w:rFonts w:hAnsi="ＭＳ 明朝"/>
          <w:szCs w:val="20"/>
        </w:rPr>
        <w:t>中間の</w:t>
      </w:r>
      <w:r w:rsidRPr="00BC31E0">
        <w:rPr>
          <w:rFonts w:hAnsi="ＭＳ 明朝" w:hint="eastAsia"/>
          <w:szCs w:val="20"/>
        </w:rPr>
        <w:t>内外径比</w:t>
      </w:r>
      <m:oMath>
        <m:r>
          <m:rPr>
            <m:sty m:val="p"/>
          </m:rPr>
          <w:rPr>
            <w:rFonts w:ascii="Cambria Math" w:hAnsi="Cambria Math"/>
            <w:szCs w:val="20"/>
          </w:rPr>
          <m:t xml:space="preserve"> </m:t>
        </m:r>
        <m:r>
          <w:rPr>
            <w:rFonts w:ascii="Cambria Math" w:hAnsi="Cambria Math"/>
            <w:szCs w:val="20"/>
          </w:rPr>
          <m:t xml:space="preserve">Y </m:t>
        </m:r>
      </m:oMath>
      <w:r w:rsidRPr="00BC31E0">
        <w:rPr>
          <w:rFonts w:hAnsi="ＭＳ 明朝"/>
          <w:szCs w:val="20"/>
        </w:rPr>
        <w:t>の値及び</w:t>
      </w:r>
      <m:oMath>
        <m:f>
          <m:fPr>
            <m:type m:val="lin"/>
            <m:ctrlPr>
              <w:rPr>
                <w:rFonts w:ascii="Cambria Math" w:hAnsi="Cambria Math"/>
                <w:i/>
                <w:szCs w:val="20"/>
              </w:rPr>
            </m:ctrlPr>
          </m:fPr>
          <m:num>
            <m:r>
              <w:rPr>
                <w:rFonts w:ascii="Cambria Math" w:hAnsi="Cambria Math"/>
                <w:szCs w:val="20"/>
              </w:rPr>
              <m:t xml:space="preserve"> a</m:t>
            </m:r>
          </m:num>
          <m:den>
            <m:r>
              <w:rPr>
                <w:rFonts w:ascii="Cambria Math" w:hAnsi="Cambria Math"/>
                <w:szCs w:val="20"/>
              </w:rPr>
              <m:t xml:space="preserve">l </m:t>
            </m:r>
          </m:den>
        </m:f>
      </m:oMath>
      <w:r w:rsidRPr="00BC31E0">
        <w:rPr>
          <w:rFonts w:hAnsi="ＭＳ 明朝"/>
          <w:szCs w:val="20"/>
        </w:rPr>
        <w:t>の値に対しては，線形補間</w:t>
      </w:r>
      <w:r w:rsidRPr="00BC31E0">
        <w:rPr>
          <w:rFonts w:hAnsi="ＭＳ 明朝" w:hint="eastAsia"/>
          <w:szCs w:val="20"/>
        </w:rPr>
        <w:t>により</w:t>
      </w:r>
      <m:oMath>
        <m:r>
          <w:rPr>
            <w:rFonts w:ascii="Cambria Math" w:hAnsi="Cambria Math"/>
            <w:szCs w:val="20"/>
          </w:rPr>
          <m:t>a</m:t>
        </m:r>
        <m:r>
          <m:rPr>
            <m:sty m:val="p"/>
          </m:rPr>
          <w:rPr>
            <w:rFonts w:ascii="Cambria Math" w:hAnsi="Cambria Math"/>
            <w:szCs w:val="20"/>
          </w:rPr>
          <m:t xml:space="preserve"> </m:t>
        </m:r>
      </m:oMath>
      <w:r w:rsidRPr="00BC31E0">
        <w:rPr>
          <w:rFonts w:hAnsi="ＭＳ 明朝"/>
          <w:szCs w:val="20"/>
        </w:rPr>
        <w:t>を求める。</w:t>
      </w:r>
    </w:p>
    <w:p w14:paraId="6C391D2C" w14:textId="77777777" w:rsidR="00342321" w:rsidRPr="00BC31E0" w:rsidRDefault="00342321" w:rsidP="00342321">
      <w:pPr>
        <w:jc w:val="center"/>
        <w:rPr>
          <w:rFonts w:eastAsia="ＭＳ Ｐゴシック" w:hAnsi="ＭＳ Ｐゴシック"/>
          <w:b/>
          <w:szCs w:val="20"/>
        </w:rPr>
      </w:pPr>
      <w:r w:rsidRPr="00BC31E0">
        <w:rPr>
          <w:rFonts w:ascii="ＭＳ ゴシック" w:eastAsia="ＭＳ ゴシック" w:hAnsi="ＭＳ ゴシック" w:hint="eastAsia"/>
          <w:b/>
          <w:szCs w:val="20"/>
        </w:rPr>
        <w:lastRenderedPageBreak/>
        <w:t>表9.3.26　表面きずの許容きず寸法 (</w:t>
      </w:r>
      <m:oMath>
        <m:sSub>
          <m:sSubPr>
            <m:ctrlPr>
              <w:rPr>
                <w:rFonts w:ascii="Cambria Math" w:eastAsia="ＭＳ ゴシック" w:hAnsi="Cambria Math"/>
                <w:b/>
                <w:i/>
                <w:sz w:val="22"/>
                <w:szCs w:val="22"/>
              </w:rPr>
            </m:ctrlPr>
          </m:sSubPr>
          <m:e>
            <m:r>
              <m:rPr>
                <m:sty m:val="bi"/>
              </m:rPr>
              <w:rPr>
                <w:rFonts w:ascii="Cambria Math" w:eastAsia="ＭＳ ゴシック" w:hAnsi="Cambria Math"/>
                <w:sz w:val="22"/>
                <w:szCs w:val="22"/>
              </w:rPr>
              <m:t>S</m:t>
            </m:r>
          </m:e>
          <m:sub>
            <m:r>
              <m:rPr>
                <m:sty m:val="bi"/>
              </m:rPr>
              <w:rPr>
                <w:rFonts w:ascii="Cambria Math" w:eastAsia="ＭＳ ゴシック" w:hAnsi="Cambria Math"/>
                <w:sz w:val="22"/>
                <w:szCs w:val="22"/>
              </w:rPr>
              <m:t>y</m:t>
            </m:r>
          </m:sub>
        </m:sSub>
        <m:r>
          <m:rPr>
            <m:sty m:val="bi"/>
          </m:rPr>
          <w:rPr>
            <w:rFonts w:ascii="Cambria Math" w:eastAsia="ＭＳ ゴシック" w:hAnsi="Cambria Math"/>
            <w:sz w:val="22"/>
            <w:szCs w:val="22"/>
          </w:rPr>
          <m:t>≦260</m:t>
        </m:r>
        <m:r>
          <m:rPr>
            <m:sty m:val="b"/>
          </m:rPr>
          <w:rPr>
            <w:rFonts w:ascii="Cambria Math" w:eastAsia="ＭＳ ゴシック" w:hAnsi="Cambria Math"/>
            <w:sz w:val="22"/>
            <w:szCs w:val="22"/>
          </w:rPr>
          <m:t xml:space="preserve"> MPa</m:t>
        </m:r>
      </m:oMath>
      <w:r w:rsidRPr="00BC31E0">
        <w:rPr>
          <w:rFonts w:ascii="ＭＳ ゴシック" w:eastAsia="ＭＳ ゴシック" w:hAnsi="ＭＳ ゴシック" w:hint="eastAsia"/>
          <w:b/>
          <w:szCs w:val="20"/>
        </w:rPr>
        <w:t>，溶接後熱処理なし)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772"/>
        <w:gridCol w:w="1772"/>
        <w:gridCol w:w="1772"/>
        <w:gridCol w:w="1772"/>
      </w:tblGrid>
      <w:tr w:rsidR="00342321" w:rsidRPr="00BC31E0" w14:paraId="7F8CA10A" w14:textId="77777777" w:rsidTr="004736F2">
        <w:trPr>
          <w:jc w:val="center"/>
        </w:trPr>
        <w:tc>
          <w:tcPr>
            <w:tcW w:w="992" w:type="dxa"/>
            <w:vMerge w:val="restart"/>
            <w:vAlign w:val="center"/>
          </w:tcPr>
          <w:p w14:paraId="66210769" w14:textId="77777777" w:rsidR="00342321" w:rsidRPr="00BC31E0" w:rsidRDefault="00A51873" w:rsidP="004736F2">
            <w:pPr>
              <w:snapToGrid w:val="0"/>
              <w:spacing w:line="320" w:lineRule="atLeast"/>
              <w:jc w:val="center"/>
              <w:rPr>
                <w:rFonts w:ascii="Times New Roman" w:hAnsi="Times New Roman"/>
                <w:i/>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l</m:t>
                    </m:r>
                  </m:den>
                </m:f>
              </m:oMath>
            </m:oMathPara>
          </w:p>
        </w:tc>
        <w:tc>
          <w:tcPr>
            <w:tcW w:w="7088" w:type="dxa"/>
            <w:gridSpan w:val="4"/>
            <w:vAlign w:val="center"/>
          </w:tcPr>
          <w:p w14:paraId="1C262CAD" w14:textId="77777777" w:rsidR="00342321" w:rsidRPr="00BC31E0" w:rsidRDefault="00342321" w:rsidP="004736F2">
            <w:pPr>
              <w:snapToGrid w:val="0"/>
              <w:spacing w:line="320" w:lineRule="atLeast"/>
              <w:jc w:val="center"/>
              <w:rPr>
                <w:rFonts w:ascii="Times New Roman" w:hAnsi="Times New Roman"/>
                <w:i/>
                <w:szCs w:val="20"/>
              </w:rPr>
            </w:pPr>
            <m:oMathPara>
              <m:oMath>
                <m:r>
                  <w:rPr>
                    <w:rFonts w:ascii="Cambria Math" w:hAnsi="Cambria Math" w:hint="eastAsia"/>
                    <w:szCs w:val="20"/>
                  </w:rPr>
                  <m:t>13</m:t>
                </m:r>
                <m:r>
                  <w:rPr>
                    <w:rFonts w:ascii="Cambria Math" w:hAnsi="Cambria Math"/>
                    <w:szCs w:val="20"/>
                  </w:rPr>
                  <m:t>≦t≦</m:t>
                </m:r>
                <m:r>
                  <w:rPr>
                    <w:rFonts w:ascii="Cambria Math" w:hAnsi="Cambria Math" w:hint="eastAsia"/>
                    <w:szCs w:val="20"/>
                  </w:rPr>
                  <m:t>30</m:t>
                </m:r>
                <m:r>
                  <m:rPr>
                    <m:sty m:val="p"/>
                  </m:rPr>
                  <w:rPr>
                    <w:rFonts w:ascii="Cambria Math" w:hAnsi="Cambria Math" w:hint="eastAsia"/>
                    <w:szCs w:val="20"/>
                  </w:rPr>
                  <m:t xml:space="preserve"> mm</m:t>
                </m:r>
              </m:oMath>
            </m:oMathPara>
          </w:p>
        </w:tc>
      </w:tr>
      <w:tr w:rsidR="00342321" w:rsidRPr="00BC31E0" w14:paraId="0B6CDD74" w14:textId="77777777" w:rsidTr="004736F2">
        <w:trPr>
          <w:jc w:val="center"/>
        </w:trPr>
        <w:tc>
          <w:tcPr>
            <w:tcW w:w="992" w:type="dxa"/>
            <w:vMerge/>
            <w:vAlign w:val="center"/>
          </w:tcPr>
          <w:p w14:paraId="510B05AD" w14:textId="77777777" w:rsidR="00342321" w:rsidRPr="00BC31E0" w:rsidRDefault="00342321" w:rsidP="004736F2">
            <w:pPr>
              <w:snapToGrid w:val="0"/>
              <w:spacing w:line="320" w:lineRule="atLeast"/>
              <w:jc w:val="center"/>
              <w:rPr>
                <w:rFonts w:ascii="Times New Roman" w:hAnsi="Times New Roman"/>
                <w:i/>
                <w:szCs w:val="20"/>
              </w:rPr>
            </w:pPr>
          </w:p>
        </w:tc>
        <w:tc>
          <w:tcPr>
            <w:tcW w:w="1772" w:type="dxa"/>
            <w:vAlign w:val="center"/>
          </w:tcPr>
          <w:p w14:paraId="2EE5A03B" w14:textId="77777777" w:rsidR="00342321" w:rsidRPr="00BC31E0" w:rsidRDefault="00342321" w:rsidP="004736F2">
            <w:pPr>
              <w:snapToGrid w:val="0"/>
              <w:spacing w:line="320" w:lineRule="atLeast"/>
              <w:jc w:val="center"/>
              <w:rPr>
                <w:i/>
                <w:szCs w:val="20"/>
              </w:rPr>
            </w:pPr>
            <m:oMathPara>
              <m:oMath>
                <m:r>
                  <w:rPr>
                    <w:rFonts w:ascii="Cambria Math" w:hAnsi="Cambria Math"/>
                    <w:szCs w:val="20"/>
                  </w:rPr>
                  <m:t>Y=</m:t>
                </m:r>
                <m:r>
                  <w:rPr>
                    <w:rFonts w:ascii="Cambria Math" w:hAnsi="Cambria Math" w:hint="eastAsia"/>
                    <w:szCs w:val="20"/>
                  </w:rPr>
                  <m:t>1.2</m:t>
                </m:r>
              </m:oMath>
            </m:oMathPara>
          </w:p>
        </w:tc>
        <w:tc>
          <w:tcPr>
            <w:tcW w:w="1772" w:type="dxa"/>
            <w:vAlign w:val="center"/>
          </w:tcPr>
          <w:p w14:paraId="3A40BDDE" w14:textId="77777777" w:rsidR="00342321" w:rsidRPr="00BC31E0" w:rsidRDefault="00342321" w:rsidP="004736F2">
            <w:pPr>
              <w:snapToGrid w:val="0"/>
              <w:spacing w:line="320" w:lineRule="atLeast"/>
              <w:jc w:val="center"/>
              <w:rPr>
                <w:i/>
                <w:szCs w:val="20"/>
              </w:rPr>
            </w:pPr>
            <m:oMathPara>
              <m:oMath>
                <m:r>
                  <w:rPr>
                    <w:rFonts w:ascii="Cambria Math" w:hAnsi="Cambria Math"/>
                    <w:szCs w:val="20"/>
                  </w:rPr>
                  <m:t>Y=</m:t>
                </m:r>
                <m:r>
                  <w:rPr>
                    <w:rFonts w:ascii="Cambria Math" w:hAnsi="Cambria Math" w:hint="eastAsia"/>
                    <w:szCs w:val="20"/>
                  </w:rPr>
                  <m:t>1.5</m:t>
                </m:r>
              </m:oMath>
            </m:oMathPara>
          </w:p>
        </w:tc>
        <w:tc>
          <w:tcPr>
            <w:tcW w:w="1772" w:type="dxa"/>
            <w:vAlign w:val="center"/>
          </w:tcPr>
          <w:p w14:paraId="60C0BD98" w14:textId="77777777" w:rsidR="00342321" w:rsidRPr="00BC31E0" w:rsidRDefault="00342321" w:rsidP="004736F2">
            <w:pPr>
              <w:snapToGrid w:val="0"/>
              <w:spacing w:line="320" w:lineRule="atLeast"/>
              <w:jc w:val="center"/>
              <w:rPr>
                <w:i/>
                <w:szCs w:val="20"/>
              </w:rPr>
            </w:pPr>
            <m:oMathPara>
              <m:oMath>
                <m:r>
                  <w:rPr>
                    <w:rFonts w:ascii="Cambria Math" w:hAnsi="Cambria Math"/>
                    <w:szCs w:val="20"/>
                  </w:rPr>
                  <m:t>Y=</m:t>
                </m:r>
                <m:r>
                  <w:rPr>
                    <w:rFonts w:ascii="Cambria Math" w:hAnsi="Cambria Math" w:hint="eastAsia"/>
                    <w:szCs w:val="20"/>
                  </w:rPr>
                  <m:t>2.0</m:t>
                </m:r>
              </m:oMath>
            </m:oMathPara>
          </w:p>
        </w:tc>
        <w:tc>
          <w:tcPr>
            <w:tcW w:w="1772" w:type="dxa"/>
            <w:vAlign w:val="center"/>
          </w:tcPr>
          <w:p w14:paraId="5D366927" w14:textId="77777777" w:rsidR="00342321" w:rsidRPr="00BC31E0" w:rsidRDefault="00342321" w:rsidP="004736F2">
            <w:pPr>
              <w:snapToGrid w:val="0"/>
              <w:spacing w:line="320" w:lineRule="atLeast"/>
              <w:jc w:val="center"/>
              <w:rPr>
                <w:i/>
                <w:szCs w:val="20"/>
              </w:rPr>
            </w:pPr>
            <m:oMathPara>
              <m:oMath>
                <m:r>
                  <w:rPr>
                    <w:rFonts w:ascii="Cambria Math" w:hAnsi="Cambria Math"/>
                    <w:szCs w:val="20"/>
                  </w:rPr>
                  <m:t>Y=</m:t>
                </m:r>
                <m:r>
                  <w:rPr>
                    <w:rFonts w:ascii="Cambria Math" w:hAnsi="Cambria Math" w:hint="eastAsia"/>
                    <w:szCs w:val="20"/>
                  </w:rPr>
                  <m:t>2.5</m:t>
                </m:r>
              </m:oMath>
            </m:oMathPara>
          </w:p>
        </w:tc>
      </w:tr>
      <w:tr w:rsidR="00342321" w:rsidRPr="00BC31E0" w14:paraId="5D284039" w14:textId="77777777" w:rsidTr="004736F2">
        <w:trPr>
          <w:jc w:val="center"/>
        </w:trPr>
        <w:tc>
          <w:tcPr>
            <w:tcW w:w="992" w:type="dxa"/>
            <w:vMerge/>
            <w:vAlign w:val="center"/>
          </w:tcPr>
          <w:p w14:paraId="6A786E46" w14:textId="77777777" w:rsidR="00342321" w:rsidRPr="00BC31E0" w:rsidRDefault="00342321" w:rsidP="004736F2">
            <w:pPr>
              <w:snapToGrid w:val="0"/>
              <w:spacing w:line="320" w:lineRule="atLeast"/>
              <w:jc w:val="center"/>
              <w:rPr>
                <w:szCs w:val="20"/>
              </w:rPr>
            </w:pPr>
          </w:p>
        </w:tc>
        <w:tc>
          <w:tcPr>
            <w:tcW w:w="1772" w:type="dxa"/>
            <w:vAlign w:val="center"/>
          </w:tcPr>
          <w:p w14:paraId="292B6A0B" w14:textId="77777777" w:rsidR="00342321" w:rsidRPr="00BC31E0" w:rsidRDefault="00A51873" w:rsidP="004736F2">
            <w:pPr>
              <w:snapToGrid w:val="0"/>
              <w:spacing w:line="320" w:lineRule="atLeast"/>
              <w:jc w:val="center"/>
              <w:rPr>
                <w:rFonts w:ascii="Times New Roman" w:hAnsi="Times New Roman"/>
                <w:i/>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t</m:t>
                    </m:r>
                  </m:den>
                </m:f>
              </m:oMath>
            </m:oMathPara>
          </w:p>
        </w:tc>
        <w:tc>
          <w:tcPr>
            <w:tcW w:w="1772" w:type="dxa"/>
            <w:vAlign w:val="center"/>
          </w:tcPr>
          <w:p w14:paraId="018FF015" w14:textId="77777777" w:rsidR="00342321" w:rsidRPr="00BC31E0" w:rsidRDefault="00A51873" w:rsidP="004736F2">
            <w:pPr>
              <w:snapToGrid w:val="0"/>
              <w:spacing w:line="320" w:lineRule="atLeast"/>
              <w:jc w:val="center"/>
              <w:rPr>
                <w:rFonts w:ascii="Times New Roman" w:hAnsi="Times New Roman"/>
                <w:i/>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t</m:t>
                    </m:r>
                  </m:den>
                </m:f>
              </m:oMath>
            </m:oMathPara>
          </w:p>
        </w:tc>
        <w:tc>
          <w:tcPr>
            <w:tcW w:w="1772" w:type="dxa"/>
            <w:vAlign w:val="center"/>
          </w:tcPr>
          <w:p w14:paraId="09F9FF11" w14:textId="77777777" w:rsidR="00342321" w:rsidRPr="00BC31E0" w:rsidRDefault="00A51873" w:rsidP="004736F2">
            <w:pPr>
              <w:snapToGrid w:val="0"/>
              <w:spacing w:line="320" w:lineRule="atLeast"/>
              <w:jc w:val="center"/>
              <w:rPr>
                <w:rFonts w:ascii="Times New Roman" w:hAnsi="Times New Roman"/>
                <w:i/>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t</m:t>
                    </m:r>
                  </m:den>
                </m:f>
              </m:oMath>
            </m:oMathPara>
          </w:p>
        </w:tc>
        <w:tc>
          <w:tcPr>
            <w:tcW w:w="1772" w:type="dxa"/>
            <w:vAlign w:val="center"/>
          </w:tcPr>
          <w:p w14:paraId="56BAF3CF" w14:textId="77777777" w:rsidR="00342321" w:rsidRPr="00BC31E0" w:rsidRDefault="00A51873" w:rsidP="004736F2">
            <w:pPr>
              <w:snapToGrid w:val="0"/>
              <w:spacing w:line="320" w:lineRule="atLeast"/>
              <w:jc w:val="center"/>
              <w:rPr>
                <w:rFonts w:ascii="Times New Roman" w:hAnsi="Times New Roman"/>
                <w:i/>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t</m:t>
                    </m:r>
                  </m:den>
                </m:f>
              </m:oMath>
            </m:oMathPara>
          </w:p>
        </w:tc>
      </w:tr>
      <w:tr w:rsidR="00342321" w:rsidRPr="00BC31E0" w14:paraId="4F2CA6DC" w14:textId="77777777" w:rsidTr="004736F2">
        <w:trPr>
          <w:jc w:val="center"/>
        </w:trPr>
        <w:tc>
          <w:tcPr>
            <w:tcW w:w="992" w:type="dxa"/>
            <w:vAlign w:val="center"/>
          </w:tcPr>
          <w:p w14:paraId="6C34C224" w14:textId="77777777" w:rsidR="00342321" w:rsidRPr="00BC31E0" w:rsidRDefault="00342321" w:rsidP="004736F2">
            <w:pPr>
              <w:snapToGrid w:val="0"/>
              <w:spacing w:line="320" w:lineRule="atLeast"/>
              <w:jc w:val="center"/>
              <w:rPr>
                <w:rFonts w:ascii="Cambria Math" w:hAnsi="Cambria Math"/>
                <w:sz w:val="22"/>
                <w:szCs w:val="22"/>
              </w:rPr>
            </w:pPr>
            <w:r w:rsidRPr="00BC31E0">
              <w:rPr>
                <w:rFonts w:ascii="Cambria Math" w:hAnsi="Cambria Math"/>
                <w:sz w:val="22"/>
                <w:szCs w:val="22"/>
              </w:rPr>
              <w:t>0.0</w:t>
            </w:r>
          </w:p>
        </w:tc>
        <w:tc>
          <w:tcPr>
            <w:tcW w:w="1772" w:type="dxa"/>
            <w:vAlign w:val="center"/>
          </w:tcPr>
          <w:p w14:paraId="3F08CD73" w14:textId="77777777" w:rsidR="00342321" w:rsidRPr="00BC31E0" w:rsidRDefault="00342321" w:rsidP="004736F2">
            <w:pPr>
              <w:snapToGrid w:val="0"/>
              <w:spacing w:line="320" w:lineRule="atLeast"/>
              <w:jc w:val="center"/>
              <w:rPr>
                <w:rFonts w:ascii="Cambria Math" w:hAnsi="Cambria Math"/>
                <w:i/>
                <w:sz w:val="22"/>
                <w:szCs w:val="22"/>
              </w:rPr>
            </w:pPr>
            <m:oMathPara>
              <m:oMath>
                <m:r>
                  <w:rPr>
                    <w:rFonts w:ascii="Cambria Math" w:hAnsi="Cambria Math"/>
                    <w:sz w:val="22"/>
                    <w:szCs w:val="22"/>
                  </w:rPr>
                  <m:t>0.</m:t>
                </m:r>
                <m:r>
                  <w:rPr>
                    <w:rFonts w:ascii="Cambria Math" w:hAnsi="Cambria Math" w:hint="eastAsia"/>
                    <w:sz w:val="22"/>
                    <w:szCs w:val="22"/>
                  </w:rPr>
                  <m:t>591</m:t>
                </m:r>
                <m:r>
                  <w:rPr>
                    <w:rFonts w:ascii="Cambria Math" w:hAnsi="Cambria Math"/>
                    <w:sz w:val="22"/>
                    <w:szCs w:val="22"/>
                  </w:rPr>
                  <m:t xml:space="preserve">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m:t>
                    </m:r>
                    <m:r>
                      <w:rPr>
                        <w:rFonts w:ascii="Cambria Math" w:hAnsi="Cambria Math" w:hint="eastAsia"/>
                        <w:sz w:val="22"/>
                        <w:szCs w:val="22"/>
                        <w:vertAlign w:val="superscript"/>
                      </w:rPr>
                      <m:t>1.02</m:t>
                    </m:r>
                  </m:sup>
                </m:sSup>
              </m:oMath>
            </m:oMathPara>
          </w:p>
        </w:tc>
        <w:tc>
          <w:tcPr>
            <w:tcW w:w="1772" w:type="dxa"/>
            <w:vAlign w:val="center"/>
          </w:tcPr>
          <w:p w14:paraId="4FBE7DAF" w14:textId="77777777" w:rsidR="00342321" w:rsidRPr="00BC31E0" w:rsidRDefault="00342321" w:rsidP="004736F2">
            <w:pPr>
              <w:snapToGrid w:val="0"/>
              <w:spacing w:line="320" w:lineRule="atLeast"/>
              <w:jc w:val="center"/>
              <w:rPr>
                <w:rFonts w:asciiTheme="majorEastAsia" w:eastAsiaTheme="majorEastAsia" w:hAnsiTheme="majorEastAsia"/>
                <w:b/>
                <w:vertAlign w:val="superscript"/>
              </w:rPr>
            </w:pPr>
            <w:r w:rsidRPr="00BC31E0">
              <w:rPr>
                <w:rFonts w:asciiTheme="majorEastAsia" w:eastAsiaTheme="majorEastAsia" w:hAnsiTheme="majorEastAsia"/>
                <w:b/>
                <w:vertAlign w:val="superscript"/>
              </w:rPr>
              <w:t>a)</w:t>
            </w:r>
          </w:p>
        </w:tc>
        <w:tc>
          <w:tcPr>
            <w:tcW w:w="1772" w:type="dxa"/>
            <w:vAlign w:val="center"/>
          </w:tcPr>
          <w:p w14:paraId="59E8724C" w14:textId="77777777" w:rsidR="00342321" w:rsidRPr="00BC31E0" w:rsidRDefault="00342321" w:rsidP="004736F2">
            <w:pPr>
              <w:snapToGrid w:val="0"/>
              <w:spacing w:line="320" w:lineRule="atLeast"/>
              <w:jc w:val="center"/>
              <w:rPr>
                <w:rFonts w:asciiTheme="majorEastAsia" w:eastAsiaTheme="majorEastAsia" w:hAnsiTheme="majorEastAsia"/>
                <w:b/>
                <w:vertAlign w:val="superscript"/>
              </w:rPr>
            </w:pPr>
            <w:r w:rsidRPr="00BC31E0">
              <w:rPr>
                <w:rFonts w:asciiTheme="majorEastAsia" w:eastAsiaTheme="majorEastAsia" w:hAnsiTheme="majorEastAsia"/>
                <w:b/>
                <w:vertAlign w:val="superscript"/>
              </w:rPr>
              <w:t>a)</w:t>
            </w:r>
          </w:p>
        </w:tc>
        <w:tc>
          <w:tcPr>
            <w:tcW w:w="1772" w:type="dxa"/>
            <w:vAlign w:val="center"/>
          </w:tcPr>
          <w:p w14:paraId="4575B1A3" w14:textId="77777777" w:rsidR="00342321" w:rsidRPr="00BC31E0" w:rsidRDefault="00342321" w:rsidP="004736F2">
            <w:pPr>
              <w:snapToGrid w:val="0"/>
              <w:spacing w:line="320" w:lineRule="atLeast"/>
              <w:jc w:val="center"/>
              <w:rPr>
                <w:rFonts w:asciiTheme="majorEastAsia" w:eastAsiaTheme="majorEastAsia" w:hAnsiTheme="majorEastAsia"/>
                <w:b/>
              </w:rPr>
            </w:pPr>
            <w:r w:rsidRPr="00BC31E0">
              <w:rPr>
                <w:rFonts w:asciiTheme="majorEastAsia" w:eastAsiaTheme="majorEastAsia" w:hAnsiTheme="majorEastAsia"/>
                <w:b/>
                <w:vertAlign w:val="superscript"/>
              </w:rPr>
              <w:t>a)</w:t>
            </w:r>
          </w:p>
        </w:tc>
      </w:tr>
      <w:tr w:rsidR="00342321" w:rsidRPr="00BC31E0" w14:paraId="60174461" w14:textId="77777777" w:rsidTr="004736F2">
        <w:trPr>
          <w:jc w:val="center"/>
        </w:trPr>
        <w:tc>
          <w:tcPr>
            <w:tcW w:w="992" w:type="dxa"/>
            <w:vAlign w:val="center"/>
          </w:tcPr>
          <w:p w14:paraId="7F0A2E4B" w14:textId="77777777" w:rsidR="00342321" w:rsidRPr="00BC31E0" w:rsidRDefault="00342321" w:rsidP="004736F2">
            <w:pPr>
              <w:snapToGrid w:val="0"/>
              <w:spacing w:line="320" w:lineRule="atLeast"/>
              <w:jc w:val="center"/>
              <w:rPr>
                <w:rFonts w:ascii="Cambria Math" w:hAnsi="Cambria Math"/>
                <w:sz w:val="22"/>
                <w:szCs w:val="22"/>
              </w:rPr>
            </w:pPr>
            <w:r w:rsidRPr="00BC31E0">
              <w:rPr>
                <w:rFonts w:ascii="Cambria Math" w:hAnsi="Cambria Math"/>
                <w:sz w:val="22"/>
                <w:szCs w:val="22"/>
              </w:rPr>
              <w:t>0.1</w:t>
            </w:r>
          </w:p>
        </w:tc>
        <w:tc>
          <w:tcPr>
            <w:tcW w:w="1772" w:type="dxa"/>
            <w:vAlign w:val="center"/>
          </w:tcPr>
          <w:p w14:paraId="449EF46C" w14:textId="77777777" w:rsidR="00342321" w:rsidRPr="00BC31E0" w:rsidRDefault="00342321" w:rsidP="004736F2">
            <w:pPr>
              <w:snapToGrid w:val="0"/>
              <w:spacing w:line="320" w:lineRule="atLeast"/>
              <w:jc w:val="center"/>
              <w:rPr>
                <w:rFonts w:ascii="Cambria Math" w:hAnsi="Cambria Math"/>
                <w:i/>
                <w:sz w:val="22"/>
                <w:szCs w:val="22"/>
              </w:rPr>
            </w:pPr>
            <m:oMathPara>
              <m:oMath>
                <m:r>
                  <w:rPr>
                    <w:rFonts w:ascii="Cambria Math" w:hAnsi="Cambria Math"/>
                    <w:sz w:val="22"/>
                    <w:szCs w:val="22"/>
                  </w:rPr>
                  <m:t>0.</m:t>
                </m:r>
                <m:r>
                  <w:rPr>
                    <w:rFonts w:ascii="Cambria Math" w:hAnsi="Cambria Math" w:hint="eastAsia"/>
                    <w:sz w:val="22"/>
                    <w:szCs w:val="22"/>
                  </w:rPr>
                  <m:t>793</m:t>
                </m:r>
                <m:r>
                  <w:rPr>
                    <w:rFonts w:ascii="Cambria Math" w:hAnsi="Cambria Math"/>
                    <w:sz w:val="22"/>
                    <w:szCs w:val="22"/>
                  </w:rPr>
                  <m:t xml:space="preserve">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-0.9</m:t>
                    </m:r>
                    <m:r>
                      <w:rPr>
                        <w:rFonts w:ascii="Cambria Math" w:hAnsi="Cambria Math" w:hint="eastAsia"/>
                        <w:sz w:val="22"/>
                        <w:szCs w:val="22"/>
                        <w:vertAlign w:val="superscript"/>
                      </w:rPr>
                      <m:t>58</m:t>
                    </m:r>
                  </m:sup>
                </m:sSup>
              </m:oMath>
            </m:oMathPara>
          </w:p>
        </w:tc>
        <w:tc>
          <w:tcPr>
            <w:tcW w:w="1772" w:type="dxa"/>
            <w:vAlign w:val="center"/>
          </w:tcPr>
          <w:p w14:paraId="2113B2C5" w14:textId="77777777" w:rsidR="00342321" w:rsidRPr="00BC31E0" w:rsidRDefault="00342321" w:rsidP="004736F2">
            <w:pPr>
              <w:snapToGrid w:val="0"/>
              <w:spacing w:line="320" w:lineRule="atLeast"/>
              <w:jc w:val="center"/>
              <w:rPr>
                <w:rFonts w:asciiTheme="majorEastAsia" w:eastAsiaTheme="majorEastAsia" w:hAnsiTheme="majorEastAsia"/>
                <w:b/>
                <w:vertAlign w:val="superscript"/>
              </w:rPr>
            </w:pPr>
            <w:r w:rsidRPr="00BC31E0">
              <w:rPr>
                <w:rFonts w:asciiTheme="majorEastAsia" w:eastAsiaTheme="majorEastAsia" w:hAnsiTheme="majorEastAsia"/>
                <w:b/>
                <w:vertAlign w:val="superscript"/>
              </w:rPr>
              <w:t>a)</w:t>
            </w:r>
          </w:p>
        </w:tc>
        <w:tc>
          <w:tcPr>
            <w:tcW w:w="1772" w:type="dxa"/>
            <w:vAlign w:val="center"/>
          </w:tcPr>
          <w:p w14:paraId="0BBDF9C0" w14:textId="77777777" w:rsidR="00342321" w:rsidRPr="00BC31E0" w:rsidRDefault="00342321" w:rsidP="004736F2">
            <w:pPr>
              <w:snapToGrid w:val="0"/>
              <w:spacing w:line="320" w:lineRule="atLeast"/>
              <w:jc w:val="center"/>
              <w:rPr>
                <w:rFonts w:asciiTheme="majorEastAsia" w:eastAsiaTheme="majorEastAsia" w:hAnsiTheme="majorEastAsia"/>
                <w:b/>
              </w:rPr>
            </w:pPr>
            <w:r w:rsidRPr="00BC31E0">
              <w:rPr>
                <w:rFonts w:asciiTheme="majorEastAsia" w:eastAsiaTheme="majorEastAsia" w:hAnsiTheme="majorEastAsia"/>
                <w:b/>
                <w:vertAlign w:val="superscript"/>
              </w:rPr>
              <w:t>a)</w:t>
            </w:r>
          </w:p>
        </w:tc>
        <w:tc>
          <w:tcPr>
            <w:tcW w:w="1772" w:type="dxa"/>
            <w:vAlign w:val="center"/>
          </w:tcPr>
          <w:p w14:paraId="1222E77C" w14:textId="77777777" w:rsidR="00342321" w:rsidRPr="00BC31E0" w:rsidRDefault="00342321" w:rsidP="004736F2">
            <w:pPr>
              <w:snapToGrid w:val="0"/>
              <w:spacing w:line="320" w:lineRule="atLeast"/>
              <w:jc w:val="center"/>
              <w:rPr>
                <w:rFonts w:asciiTheme="majorEastAsia" w:eastAsiaTheme="majorEastAsia" w:hAnsiTheme="majorEastAsia"/>
                <w:b/>
              </w:rPr>
            </w:pPr>
            <w:r w:rsidRPr="00BC31E0">
              <w:rPr>
                <w:rFonts w:asciiTheme="majorEastAsia" w:eastAsiaTheme="majorEastAsia" w:hAnsiTheme="majorEastAsia"/>
                <w:b/>
                <w:vertAlign w:val="superscript"/>
              </w:rPr>
              <w:t>a)</w:t>
            </w:r>
          </w:p>
        </w:tc>
      </w:tr>
      <w:tr w:rsidR="00342321" w:rsidRPr="00BC31E0" w14:paraId="286D333C" w14:textId="77777777" w:rsidTr="004736F2">
        <w:trPr>
          <w:jc w:val="center"/>
        </w:trPr>
        <w:tc>
          <w:tcPr>
            <w:tcW w:w="992" w:type="dxa"/>
            <w:vAlign w:val="center"/>
          </w:tcPr>
          <w:p w14:paraId="77A73040" w14:textId="77777777" w:rsidR="00342321" w:rsidRPr="00BC31E0" w:rsidRDefault="00342321" w:rsidP="004736F2">
            <w:pPr>
              <w:snapToGrid w:val="0"/>
              <w:spacing w:line="320" w:lineRule="atLeast"/>
              <w:jc w:val="center"/>
              <w:rPr>
                <w:rFonts w:ascii="Cambria Math" w:hAnsi="Cambria Math"/>
                <w:sz w:val="22"/>
                <w:szCs w:val="22"/>
              </w:rPr>
            </w:pPr>
            <w:r w:rsidRPr="00BC31E0">
              <w:rPr>
                <w:rFonts w:ascii="Cambria Math" w:hAnsi="Cambria Math"/>
                <w:sz w:val="22"/>
                <w:szCs w:val="22"/>
              </w:rPr>
              <w:t>0.2</w:t>
            </w:r>
          </w:p>
        </w:tc>
        <w:tc>
          <w:tcPr>
            <w:tcW w:w="1772" w:type="dxa"/>
            <w:vAlign w:val="center"/>
          </w:tcPr>
          <w:p w14:paraId="63F3007B" w14:textId="77777777" w:rsidR="00342321" w:rsidRPr="00BC31E0" w:rsidRDefault="00342321" w:rsidP="004736F2">
            <w:pPr>
              <w:snapToGrid w:val="0"/>
              <w:spacing w:line="320" w:lineRule="atLeast"/>
              <w:jc w:val="center"/>
              <w:rPr>
                <w:rFonts w:ascii="Cambria Math" w:hAnsi="Cambria Math"/>
                <w:i/>
                <w:sz w:val="22"/>
                <w:szCs w:val="22"/>
              </w:rPr>
            </w:pPr>
            <m:oMathPara>
              <m:oMath>
                <m:r>
                  <w:rPr>
                    <w:rFonts w:ascii="Cambria Math" w:hAnsi="Cambria Math"/>
                    <w:sz w:val="22"/>
                    <w:szCs w:val="22"/>
                  </w:rPr>
                  <m:t>1.</m:t>
                </m:r>
                <m:r>
                  <w:rPr>
                    <w:rFonts w:ascii="Cambria Math" w:hAnsi="Cambria Math" w:hint="eastAsia"/>
                    <w:sz w:val="22"/>
                    <w:szCs w:val="22"/>
                  </w:rPr>
                  <m:t>51</m:t>
                </m:r>
                <m:r>
                  <w:rPr>
                    <w:rFonts w:ascii="Cambria Math" w:hAnsi="Cambria Math"/>
                    <w:sz w:val="22"/>
                    <w:szCs w:val="22"/>
                  </w:rPr>
                  <m:t xml:space="preserve">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-0.9</m:t>
                    </m:r>
                    <m:r>
                      <w:rPr>
                        <w:rFonts w:ascii="Cambria Math" w:hAnsi="Cambria Math" w:hint="eastAsia"/>
                        <w:sz w:val="22"/>
                        <w:szCs w:val="22"/>
                        <w:vertAlign w:val="superscript"/>
                      </w:rPr>
                      <m:t>55</m:t>
                    </m:r>
                  </m:sup>
                </m:sSup>
              </m:oMath>
            </m:oMathPara>
          </w:p>
        </w:tc>
        <w:tc>
          <w:tcPr>
            <w:tcW w:w="1772" w:type="dxa"/>
            <w:vAlign w:val="center"/>
          </w:tcPr>
          <w:p w14:paraId="7C666AFC" w14:textId="77777777" w:rsidR="00342321" w:rsidRPr="00BC31E0" w:rsidRDefault="00342321" w:rsidP="004736F2">
            <w:pPr>
              <w:snapToGrid w:val="0"/>
              <w:spacing w:line="320" w:lineRule="atLeast"/>
              <w:jc w:val="center"/>
              <w:rPr>
                <w:rFonts w:ascii="Cambria Math" w:hAnsi="Cambria Math"/>
                <w:i/>
                <w:sz w:val="22"/>
                <w:szCs w:val="22"/>
              </w:rPr>
            </w:pPr>
            <m:oMathPara>
              <m:oMath>
                <m:r>
                  <w:rPr>
                    <w:rFonts w:ascii="Cambria Math" w:hAnsi="Cambria Math" w:hint="eastAsia"/>
                    <w:sz w:val="22"/>
                    <w:szCs w:val="22"/>
                  </w:rPr>
                  <m:t>0.995</m:t>
                </m:r>
                <m:r>
                  <w:rPr>
                    <w:rFonts w:ascii="Cambria Math" w:hAnsi="Cambria Math"/>
                    <w:sz w:val="22"/>
                    <w:szCs w:val="22"/>
                  </w:rPr>
                  <m:t xml:space="preserve">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-1.0</m:t>
                    </m:r>
                    <m:r>
                      <w:rPr>
                        <w:rFonts w:ascii="Cambria Math" w:hAnsi="Cambria Math" w:hint="eastAsia"/>
                        <w:sz w:val="22"/>
                        <w:szCs w:val="22"/>
                        <w:vertAlign w:val="superscript"/>
                      </w:rPr>
                      <m:t>3</m:t>
                    </m:r>
                  </m:sup>
                </m:sSup>
              </m:oMath>
            </m:oMathPara>
          </w:p>
        </w:tc>
        <w:tc>
          <w:tcPr>
            <w:tcW w:w="1772" w:type="dxa"/>
            <w:vAlign w:val="center"/>
          </w:tcPr>
          <w:p w14:paraId="002352DE" w14:textId="77777777" w:rsidR="00342321" w:rsidRPr="00BC31E0" w:rsidRDefault="00342321" w:rsidP="004736F2">
            <w:pPr>
              <w:snapToGrid w:val="0"/>
              <w:spacing w:line="320" w:lineRule="atLeast"/>
              <w:jc w:val="center"/>
              <w:rPr>
                <w:rFonts w:asciiTheme="majorEastAsia" w:eastAsiaTheme="majorEastAsia" w:hAnsiTheme="majorEastAsia"/>
                <w:b/>
              </w:rPr>
            </w:pPr>
            <w:r w:rsidRPr="00BC31E0">
              <w:rPr>
                <w:rFonts w:asciiTheme="majorEastAsia" w:eastAsiaTheme="majorEastAsia" w:hAnsiTheme="majorEastAsia"/>
                <w:b/>
                <w:vertAlign w:val="superscript"/>
              </w:rPr>
              <w:t>a)</w:t>
            </w:r>
          </w:p>
        </w:tc>
        <w:tc>
          <w:tcPr>
            <w:tcW w:w="1772" w:type="dxa"/>
            <w:vAlign w:val="center"/>
          </w:tcPr>
          <w:p w14:paraId="662EB1F0" w14:textId="77777777" w:rsidR="00342321" w:rsidRPr="00BC31E0" w:rsidRDefault="00342321" w:rsidP="004736F2">
            <w:pPr>
              <w:snapToGrid w:val="0"/>
              <w:spacing w:line="320" w:lineRule="atLeast"/>
              <w:jc w:val="center"/>
              <w:rPr>
                <w:rFonts w:asciiTheme="majorEastAsia" w:eastAsiaTheme="majorEastAsia" w:hAnsiTheme="majorEastAsia"/>
                <w:b/>
              </w:rPr>
            </w:pPr>
            <w:r w:rsidRPr="00BC31E0">
              <w:rPr>
                <w:rFonts w:asciiTheme="majorEastAsia" w:eastAsiaTheme="majorEastAsia" w:hAnsiTheme="majorEastAsia"/>
                <w:b/>
                <w:vertAlign w:val="superscript"/>
              </w:rPr>
              <w:t>a)</w:t>
            </w:r>
          </w:p>
        </w:tc>
      </w:tr>
      <w:tr w:rsidR="00342321" w:rsidRPr="00BC31E0" w14:paraId="6A64C92D" w14:textId="77777777" w:rsidTr="004736F2">
        <w:trPr>
          <w:jc w:val="center"/>
        </w:trPr>
        <w:tc>
          <w:tcPr>
            <w:tcW w:w="992" w:type="dxa"/>
            <w:vAlign w:val="center"/>
          </w:tcPr>
          <w:p w14:paraId="00534E02" w14:textId="77777777" w:rsidR="00342321" w:rsidRPr="00BC31E0" w:rsidRDefault="00342321" w:rsidP="004736F2">
            <w:pPr>
              <w:snapToGrid w:val="0"/>
              <w:spacing w:line="320" w:lineRule="atLeast"/>
              <w:jc w:val="center"/>
              <w:rPr>
                <w:rFonts w:ascii="Cambria Math" w:hAnsi="Cambria Math"/>
                <w:sz w:val="22"/>
                <w:szCs w:val="22"/>
              </w:rPr>
            </w:pPr>
            <w:r w:rsidRPr="00BC31E0">
              <w:rPr>
                <w:rFonts w:ascii="Cambria Math" w:hAnsi="Cambria Math"/>
                <w:sz w:val="22"/>
                <w:szCs w:val="22"/>
              </w:rPr>
              <w:t>0.3</w:t>
            </w:r>
          </w:p>
        </w:tc>
        <w:tc>
          <w:tcPr>
            <w:tcW w:w="1772" w:type="dxa"/>
            <w:vAlign w:val="center"/>
          </w:tcPr>
          <w:p w14:paraId="16E4419A" w14:textId="77777777" w:rsidR="00342321" w:rsidRPr="00BC31E0" w:rsidRDefault="00342321" w:rsidP="004736F2">
            <w:pPr>
              <w:snapToGrid w:val="0"/>
              <w:spacing w:line="320" w:lineRule="atLeast"/>
              <w:jc w:val="center"/>
              <w:rPr>
                <w:rFonts w:ascii="Cambria Math" w:hAnsi="Cambria Math"/>
                <w:i/>
                <w:sz w:val="22"/>
                <w:szCs w:val="22"/>
              </w:rPr>
            </w:pPr>
            <m:oMathPara>
              <m:oMath>
                <m:r>
                  <w:rPr>
                    <w:rFonts w:ascii="Cambria Math" w:hAnsi="Cambria Math"/>
                    <w:sz w:val="22"/>
                    <w:szCs w:val="22"/>
                  </w:rPr>
                  <m:t>2.</m:t>
                </m:r>
                <m:r>
                  <w:rPr>
                    <w:rFonts w:ascii="Cambria Math" w:hAnsi="Cambria Math" w:hint="eastAsia"/>
                    <w:sz w:val="22"/>
                    <w:szCs w:val="22"/>
                  </w:rPr>
                  <m:t>52</m:t>
                </m:r>
                <m:r>
                  <w:rPr>
                    <w:rFonts w:ascii="Cambria Math" w:hAnsi="Cambria Math"/>
                    <w:sz w:val="22"/>
                    <w:szCs w:val="22"/>
                  </w:rPr>
                  <m:t xml:space="preserve">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-0.9</m:t>
                    </m:r>
                    <m:r>
                      <w:rPr>
                        <w:rFonts w:ascii="Cambria Math" w:hAnsi="Cambria Math" w:hint="eastAsia"/>
                        <w:sz w:val="22"/>
                        <w:szCs w:val="22"/>
                        <w:vertAlign w:val="superscript"/>
                      </w:rPr>
                      <m:t>49</m:t>
                    </m:r>
                  </m:sup>
                </m:sSup>
              </m:oMath>
            </m:oMathPara>
          </w:p>
        </w:tc>
        <w:tc>
          <w:tcPr>
            <w:tcW w:w="1772" w:type="dxa"/>
            <w:vAlign w:val="center"/>
          </w:tcPr>
          <w:p w14:paraId="4DB55E21" w14:textId="77777777" w:rsidR="00342321" w:rsidRPr="00BC31E0" w:rsidRDefault="00342321" w:rsidP="004736F2">
            <w:pPr>
              <w:snapToGrid w:val="0"/>
              <w:spacing w:line="320" w:lineRule="atLeast"/>
              <w:jc w:val="center"/>
              <w:rPr>
                <w:rFonts w:ascii="Cambria Math" w:hAnsi="Cambria Math"/>
                <w:i/>
                <w:sz w:val="22"/>
                <w:szCs w:val="22"/>
              </w:rPr>
            </w:pPr>
            <m:oMathPara>
              <m:oMath>
                <m:r>
                  <w:rPr>
                    <w:rFonts w:ascii="Cambria Math" w:hAnsi="Cambria Math" w:hint="eastAsia"/>
                    <w:sz w:val="22"/>
                    <w:szCs w:val="22"/>
                  </w:rPr>
                  <m:t>2.14</m:t>
                </m:r>
                <m:r>
                  <w:rPr>
                    <w:rFonts w:ascii="Cambria Math" w:hAnsi="Cambria Math"/>
                    <w:sz w:val="22"/>
                    <w:szCs w:val="22"/>
                  </w:rPr>
                  <m:t xml:space="preserve">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-1.0</m:t>
                    </m:r>
                    <m:r>
                      <w:rPr>
                        <w:rFonts w:ascii="Cambria Math" w:hAnsi="Cambria Math" w:hint="eastAsia"/>
                        <w:sz w:val="22"/>
                        <w:szCs w:val="22"/>
                        <w:vertAlign w:val="superscript"/>
                      </w:rPr>
                      <m:t>3</m:t>
                    </m:r>
                  </m:sup>
                </m:sSup>
              </m:oMath>
            </m:oMathPara>
          </w:p>
        </w:tc>
        <w:tc>
          <w:tcPr>
            <w:tcW w:w="1772" w:type="dxa"/>
            <w:vAlign w:val="center"/>
          </w:tcPr>
          <w:p w14:paraId="41E8EE23" w14:textId="77777777" w:rsidR="00342321" w:rsidRPr="00BC31E0" w:rsidRDefault="00342321" w:rsidP="004736F2">
            <w:pPr>
              <w:snapToGrid w:val="0"/>
              <w:spacing w:line="320" w:lineRule="atLeast"/>
              <w:jc w:val="center"/>
              <w:rPr>
                <w:rFonts w:ascii="Cambria Math" w:hAnsi="Cambria Math"/>
                <w:i/>
                <w:sz w:val="22"/>
                <w:szCs w:val="22"/>
              </w:rPr>
            </w:pPr>
            <m:oMathPara>
              <m:oMath>
                <m:r>
                  <w:rPr>
                    <w:rFonts w:ascii="Cambria Math" w:hAnsi="Cambria Math"/>
                    <w:sz w:val="22"/>
                    <w:szCs w:val="22"/>
                  </w:rPr>
                  <m:t>1.</m:t>
                </m:r>
                <m:r>
                  <w:rPr>
                    <w:rFonts w:ascii="Cambria Math" w:hAnsi="Cambria Math" w:hint="eastAsia"/>
                    <w:sz w:val="22"/>
                    <w:szCs w:val="22"/>
                  </w:rPr>
                  <m:t>2</m:t>
                </m:r>
                <m:r>
                  <w:rPr>
                    <w:rFonts w:ascii="Cambria Math" w:hAnsi="Cambria Math"/>
                    <w:sz w:val="22"/>
                    <w:szCs w:val="22"/>
                  </w:rPr>
                  <m:t xml:space="preserve">3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-1.1</m:t>
                    </m:r>
                    <m:r>
                      <w:rPr>
                        <w:rFonts w:ascii="Cambria Math" w:hAnsi="Cambria Math" w:hint="eastAsia"/>
                        <w:sz w:val="22"/>
                        <w:szCs w:val="22"/>
                        <w:vertAlign w:val="superscript"/>
                      </w:rPr>
                      <m:t>5</m:t>
                    </m:r>
                  </m:sup>
                </m:sSup>
              </m:oMath>
            </m:oMathPara>
          </w:p>
        </w:tc>
        <w:tc>
          <w:tcPr>
            <w:tcW w:w="1772" w:type="dxa"/>
            <w:vAlign w:val="center"/>
          </w:tcPr>
          <w:p w14:paraId="20049214" w14:textId="77777777" w:rsidR="00342321" w:rsidRPr="00BC31E0" w:rsidRDefault="00342321" w:rsidP="004736F2">
            <w:pPr>
              <w:snapToGrid w:val="0"/>
              <w:spacing w:line="320" w:lineRule="atLeast"/>
              <w:jc w:val="center"/>
              <w:rPr>
                <w:rFonts w:asciiTheme="majorEastAsia" w:eastAsiaTheme="majorEastAsia" w:hAnsiTheme="majorEastAsia"/>
                <w:b/>
              </w:rPr>
            </w:pPr>
            <w:r w:rsidRPr="00BC31E0">
              <w:rPr>
                <w:rFonts w:asciiTheme="majorEastAsia" w:eastAsiaTheme="majorEastAsia" w:hAnsiTheme="majorEastAsia"/>
                <w:b/>
                <w:vertAlign w:val="superscript"/>
              </w:rPr>
              <w:t>a)</w:t>
            </w:r>
          </w:p>
        </w:tc>
      </w:tr>
      <w:tr w:rsidR="00342321" w:rsidRPr="00BC31E0" w14:paraId="2F2E7071" w14:textId="77777777" w:rsidTr="004736F2">
        <w:trPr>
          <w:jc w:val="center"/>
        </w:trPr>
        <w:tc>
          <w:tcPr>
            <w:tcW w:w="992" w:type="dxa"/>
            <w:vAlign w:val="center"/>
          </w:tcPr>
          <w:p w14:paraId="3786C13A" w14:textId="77777777" w:rsidR="00342321" w:rsidRPr="00BC31E0" w:rsidRDefault="00342321" w:rsidP="004736F2">
            <w:pPr>
              <w:snapToGrid w:val="0"/>
              <w:spacing w:line="320" w:lineRule="atLeast"/>
              <w:jc w:val="center"/>
              <w:rPr>
                <w:rFonts w:ascii="Cambria Math" w:hAnsi="Cambria Math"/>
                <w:sz w:val="22"/>
                <w:szCs w:val="22"/>
              </w:rPr>
            </w:pPr>
            <w:r w:rsidRPr="00BC31E0">
              <w:rPr>
                <w:rFonts w:ascii="Cambria Math" w:hAnsi="Cambria Math"/>
                <w:sz w:val="22"/>
                <w:szCs w:val="22"/>
              </w:rPr>
              <w:t>0.4</w:t>
            </w:r>
          </w:p>
        </w:tc>
        <w:tc>
          <w:tcPr>
            <w:tcW w:w="1772" w:type="dxa"/>
            <w:vAlign w:val="center"/>
          </w:tcPr>
          <w:p w14:paraId="47AFADE7" w14:textId="77777777" w:rsidR="00342321" w:rsidRPr="00BC31E0" w:rsidRDefault="00342321" w:rsidP="004736F2">
            <w:pPr>
              <w:snapToGrid w:val="0"/>
              <w:spacing w:line="320" w:lineRule="atLeast"/>
              <w:jc w:val="center"/>
              <w:rPr>
                <w:rFonts w:ascii="Cambria Math" w:hAnsi="Cambria Math"/>
                <w:i/>
                <w:sz w:val="22"/>
                <w:szCs w:val="22"/>
              </w:rPr>
            </w:pPr>
            <m:oMathPara>
              <m:oMath>
                <m:r>
                  <w:rPr>
                    <w:rFonts w:ascii="Cambria Math" w:hAnsi="Cambria Math"/>
                    <w:sz w:val="22"/>
                    <w:szCs w:val="22"/>
                  </w:rPr>
                  <m:t>2.</m:t>
                </m:r>
                <m:r>
                  <w:rPr>
                    <w:rFonts w:ascii="Cambria Math" w:hAnsi="Cambria Math" w:hint="eastAsia"/>
                    <w:sz w:val="22"/>
                    <w:szCs w:val="22"/>
                  </w:rPr>
                  <m:t>87</m:t>
                </m:r>
                <m:r>
                  <w:rPr>
                    <w:rFonts w:ascii="Cambria Math" w:hAnsi="Cambria Math"/>
                    <w:sz w:val="22"/>
                    <w:szCs w:val="22"/>
                  </w:rPr>
                  <m:t xml:space="preserve">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-0.8</m:t>
                    </m:r>
                    <m:r>
                      <w:rPr>
                        <w:rFonts w:ascii="Cambria Math" w:hAnsi="Cambria Math" w:hint="eastAsia"/>
                        <w:sz w:val="22"/>
                        <w:szCs w:val="22"/>
                        <w:vertAlign w:val="superscript"/>
                      </w:rPr>
                      <m:t>63</m:t>
                    </m:r>
                  </m:sup>
                </m:sSup>
              </m:oMath>
            </m:oMathPara>
          </w:p>
        </w:tc>
        <w:tc>
          <w:tcPr>
            <w:tcW w:w="1772" w:type="dxa"/>
            <w:vAlign w:val="center"/>
          </w:tcPr>
          <w:p w14:paraId="39AF5CF9" w14:textId="77777777" w:rsidR="00342321" w:rsidRPr="00BC31E0" w:rsidRDefault="00342321" w:rsidP="004736F2">
            <w:pPr>
              <w:snapToGrid w:val="0"/>
              <w:spacing w:line="320" w:lineRule="atLeast"/>
              <w:jc w:val="center"/>
              <w:rPr>
                <w:rFonts w:ascii="Cambria Math" w:hAnsi="Cambria Math"/>
                <w:i/>
                <w:sz w:val="22"/>
                <w:szCs w:val="22"/>
              </w:rPr>
            </w:pPr>
            <m:oMathPara>
              <m:oMath>
                <m:r>
                  <w:rPr>
                    <w:rFonts w:ascii="Cambria Math" w:hAnsi="Cambria Math" w:hint="eastAsia"/>
                    <w:sz w:val="22"/>
                    <w:szCs w:val="22"/>
                  </w:rPr>
                  <m:t>2.61</m:t>
                </m:r>
                <m:r>
                  <w:rPr>
                    <w:rFonts w:ascii="Cambria Math" w:hAnsi="Cambria Math"/>
                    <w:sz w:val="22"/>
                    <w:szCs w:val="22"/>
                  </w:rPr>
                  <m:t xml:space="preserve">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m:t>
                    </m:r>
                    <m:r>
                      <w:rPr>
                        <w:rFonts w:ascii="Cambria Math" w:hAnsi="Cambria Math" w:hint="eastAsia"/>
                        <w:sz w:val="22"/>
                        <w:szCs w:val="22"/>
                        <w:vertAlign w:val="superscript"/>
                      </w:rPr>
                      <m:t>0.999</m:t>
                    </m:r>
                  </m:sup>
                </m:sSup>
              </m:oMath>
            </m:oMathPara>
          </w:p>
        </w:tc>
        <w:tc>
          <w:tcPr>
            <w:tcW w:w="1772" w:type="dxa"/>
            <w:vAlign w:val="center"/>
          </w:tcPr>
          <w:p w14:paraId="178E7F12" w14:textId="77777777" w:rsidR="00342321" w:rsidRPr="00BC31E0" w:rsidRDefault="00342321" w:rsidP="004736F2">
            <w:pPr>
              <w:snapToGrid w:val="0"/>
              <w:spacing w:line="320" w:lineRule="atLeast"/>
              <w:jc w:val="center"/>
              <w:rPr>
                <w:rFonts w:ascii="Cambria Math" w:hAnsi="Cambria Math"/>
                <w:i/>
                <w:sz w:val="22"/>
                <w:szCs w:val="22"/>
              </w:rPr>
            </w:pPr>
            <m:oMathPara>
              <m:oMath>
                <m:r>
                  <w:rPr>
                    <w:rFonts w:ascii="Cambria Math" w:hAnsi="Cambria Math" w:hint="eastAsia"/>
                    <w:sz w:val="22"/>
                    <w:szCs w:val="22"/>
                  </w:rPr>
                  <m:t>1.74</m:t>
                </m:r>
                <m:r>
                  <w:rPr>
                    <w:rFonts w:ascii="Cambria Math" w:hAnsi="Cambria Math"/>
                    <w:sz w:val="22"/>
                    <w:szCs w:val="22"/>
                  </w:rPr>
                  <m:t xml:space="preserve">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-0.</m:t>
                    </m:r>
                    <m:r>
                      <w:rPr>
                        <w:rFonts w:ascii="Cambria Math" w:hAnsi="Cambria Math" w:hint="eastAsia"/>
                        <w:sz w:val="22"/>
                        <w:szCs w:val="22"/>
                        <w:vertAlign w:val="superscript"/>
                      </w:rPr>
                      <m:t>973</m:t>
                    </m:r>
                  </m:sup>
                </m:sSup>
              </m:oMath>
            </m:oMathPara>
          </w:p>
        </w:tc>
        <w:tc>
          <w:tcPr>
            <w:tcW w:w="1772" w:type="dxa"/>
            <w:vAlign w:val="center"/>
          </w:tcPr>
          <w:p w14:paraId="50AD9B5F" w14:textId="77777777" w:rsidR="00342321" w:rsidRPr="00BC31E0" w:rsidRDefault="00342321" w:rsidP="004736F2">
            <w:pPr>
              <w:snapToGrid w:val="0"/>
              <w:spacing w:line="320" w:lineRule="atLeast"/>
              <w:jc w:val="center"/>
              <w:rPr>
                <w:rFonts w:ascii="Cambria Math" w:hAnsi="Cambria Math"/>
                <w:i/>
                <w:sz w:val="22"/>
                <w:szCs w:val="22"/>
              </w:rPr>
            </w:pPr>
            <m:oMathPara>
              <m:oMath>
                <m:r>
                  <w:rPr>
                    <w:rFonts w:ascii="Cambria Math" w:hAnsi="Cambria Math"/>
                    <w:sz w:val="22"/>
                    <w:szCs w:val="22"/>
                  </w:rPr>
                  <m:t>1.</m:t>
                </m:r>
                <m:r>
                  <w:rPr>
                    <w:rFonts w:ascii="Cambria Math" w:hAnsi="Cambria Math" w:hint="eastAsia"/>
                    <w:sz w:val="22"/>
                    <w:szCs w:val="22"/>
                  </w:rPr>
                  <m:t>31</m:t>
                </m:r>
                <m:r>
                  <w:rPr>
                    <w:rFonts w:ascii="Cambria Math" w:hAnsi="Cambria Math"/>
                    <w:sz w:val="22"/>
                    <w:szCs w:val="22"/>
                  </w:rPr>
                  <m:t xml:space="preserve">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m:t>
                    </m:r>
                    <m:r>
                      <w:rPr>
                        <w:rFonts w:ascii="Cambria Math" w:hAnsi="Cambria Math" w:hint="eastAsia"/>
                        <w:sz w:val="22"/>
                        <w:szCs w:val="22"/>
                        <w:vertAlign w:val="superscript"/>
                      </w:rPr>
                      <m:t>1.10</m:t>
                    </m:r>
                  </m:sup>
                </m:sSup>
              </m:oMath>
            </m:oMathPara>
          </w:p>
        </w:tc>
      </w:tr>
      <w:tr w:rsidR="00342321" w:rsidRPr="00BC31E0" w14:paraId="0175250C" w14:textId="77777777" w:rsidTr="004736F2">
        <w:trPr>
          <w:jc w:val="center"/>
        </w:trPr>
        <w:tc>
          <w:tcPr>
            <w:tcW w:w="992" w:type="dxa"/>
            <w:vAlign w:val="center"/>
          </w:tcPr>
          <w:p w14:paraId="239C6C3B" w14:textId="77777777" w:rsidR="00342321" w:rsidRPr="00BC31E0" w:rsidRDefault="00342321" w:rsidP="004736F2">
            <w:pPr>
              <w:snapToGrid w:val="0"/>
              <w:spacing w:line="320" w:lineRule="atLeast"/>
              <w:jc w:val="center"/>
              <w:rPr>
                <w:rFonts w:ascii="Cambria Math" w:hAnsi="Cambria Math"/>
                <w:sz w:val="22"/>
                <w:szCs w:val="22"/>
              </w:rPr>
            </w:pPr>
            <w:r w:rsidRPr="00BC31E0">
              <w:rPr>
                <w:rFonts w:ascii="Cambria Math" w:hAnsi="Cambria Math"/>
                <w:sz w:val="22"/>
                <w:szCs w:val="22"/>
              </w:rPr>
              <w:t>0.5</w:t>
            </w:r>
          </w:p>
        </w:tc>
        <w:tc>
          <w:tcPr>
            <w:tcW w:w="1772" w:type="dxa"/>
            <w:vAlign w:val="center"/>
          </w:tcPr>
          <w:p w14:paraId="42F0CA5B" w14:textId="77777777" w:rsidR="00342321" w:rsidRPr="00BC31E0" w:rsidRDefault="00342321" w:rsidP="004736F2">
            <w:pPr>
              <w:snapToGrid w:val="0"/>
              <w:spacing w:line="320" w:lineRule="atLeast"/>
              <w:jc w:val="center"/>
              <w:rPr>
                <w:rFonts w:ascii="Cambria Math" w:hAnsi="Cambria Math"/>
                <w:i/>
                <w:sz w:val="22"/>
                <w:szCs w:val="22"/>
              </w:rPr>
            </w:pPr>
            <m:oMathPara>
              <m:oMath>
                <m:r>
                  <w:rPr>
                    <w:rFonts w:ascii="Cambria Math" w:hAnsi="Cambria Math" w:hint="eastAsia"/>
                    <w:sz w:val="22"/>
                    <w:szCs w:val="22"/>
                  </w:rPr>
                  <m:t>2.98</m:t>
                </m:r>
                <m:r>
                  <w:rPr>
                    <w:rFonts w:ascii="Cambria Math" w:hAnsi="Cambria Math"/>
                    <w:sz w:val="22"/>
                    <w:szCs w:val="22"/>
                  </w:rPr>
                  <m:t xml:space="preserve">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-0.8</m:t>
                    </m:r>
                    <m:r>
                      <w:rPr>
                        <w:rFonts w:ascii="Cambria Math" w:hAnsi="Cambria Math" w:hint="eastAsia"/>
                        <w:sz w:val="22"/>
                        <w:szCs w:val="22"/>
                        <w:vertAlign w:val="superscript"/>
                      </w:rPr>
                      <m:t>62</m:t>
                    </m:r>
                  </m:sup>
                </m:sSup>
              </m:oMath>
            </m:oMathPara>
          </w:p>
        </w:tc>
        <w:tc>
          <w:tcPr>
            <w:tcW w:w="1772" w:type="dxa"/>
            <w:vAlign w:val="center"/>
          </w:tcPr>
          <w:p w14:paraId="2A8FE45E" w14:textId="77777777" w:rsidR="00342321" w:rsidRPr="00BC31E0" w:rsidRDefault="00342321" w:rsidP="004736F2">
            <w:pPr>
              <w:snapToGrid w:val="0"/>
              <w:spacing w:line="320" w:lineRule="atLeast"/>
              <w:jc w:val="center"/>
              <w:rPr>
                <w:rFonts w:ascii="Cambria Math" w:hAnsi="Cambria Math"/>
                <w:i/>
                <w:sz w:val="22"/>
                <w:szCs w:val="22"/>
              </w:rPr>
            </w:pPr>
            <m:oMathPara>
              <m:oMath>
                <m:r>
                  <w:rPr>
                    <w:rFonts w:ascii="Cambria Math" w:hAnsi="Cambria Math"/>
                    <w:sz w:val="22"/>
                    <w:szCs w:val="22"/>
                  </w:rPr>
                  <m:t>2.</m:t>
                </m:r>
                <m:r>
                  <w:rPr>
                    <w:rFonts w:ascii="Cambria Math" w:hAnsi="Cambria Math" w:hint="eastAsia"/>
                    <w:sz w:val="22"/>
                    <w:szCs w:val="22"/>
                  </w:rPr>
                  <m:t>63</m:t>
                </m:r>
                <m:r>
                  <w:rPr>
                    <w:rFonts w:ascii="Cambria Math" w:hAnsi="Cambria Math"/>
                    <w:sz w:val="22"/>
                    <w:szCs w:val="22"/>
                  </w:rPr>
                  <m:t xml:space="preserve">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-0.9</m:t>
                    </m:r>
                    <m:r>
                      <w:rPr>
                        <w:rFonts w:ascii="Cambria Math" w:hAnsi="Cambria Math" w:hint="eastAsia"/>
                        <w:sz w:val="22"/>
                        <w:szCs w:val="22"/>
                        <w:vertAlign w:val="superscript"/>
                      </w:rPr>
                      <m:t>25</m:t>
                    </m:r>
                  </m:sup>
                </m:sSup>
              </m:oMath>
            </m:oMathPara>
          </w:p>
        </w:tc>
        <w:tc>
          <w:tcPr>
            <w:tcW w:w="1772" w:type="dxa"/>
            <w:vAlign w:val="center"/>
          </w:tcPr>
          <w:p w14:paraId="6D38C5C9" w14:textId="77777777" w:rsidR="00342321" w:rsidRPr="00BC31E0" w:rsidRDefault="00342321" w:rsidP="004736F2">
            <w:pPr>
              <w:snapToGrid w:val="0"/>
              <w:spacing w:line="320" w:lineRule="atLeast"/>
              <w:jc w:val="center"/>
              <w:rPr>
                <w:rFonts w:ascii="Cambria Math" w:hAnsi="Cambria Math"/>
                <w:i/>
                <w:sz w:val="22"/>
                <w:szCs w:val="22"/>
              </w:rPr>
            </w:pPr>
            <m:oMathPara>
              <m:oMath>
                <m:r>
                  <w:rPr>
                    <w:rFonts w:ascii="Cambria Math" w:hAnsi="Cambria Math" w:hint="eastAsia"/>
                    <w:sz w:val="22"/>
                    <w:szCs w:val="22"/>
                  </w:rPr>
                  <m:t>1.88</m:t>
                </m:r>
                <m:r>
                  <w:rPr>
                    <w:rFonts w:ascii="Cambria Math" w:hAnsi="Cambria Math"/>
                    <w:sz w:val="22"/>
                    <w:szCs w:val="22"/>
                  </w:rPr>
                  <m:t xml:space="preserve">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-0.9</m:t>
                    </m:r>
                    <m:r>
                      <w:rPr>
                        <w:rFonts w:ascii="Cambria Math" w:hAnsi="Cambria Math" w:hint="eastAsia"/>
                        <w:sz w:val="22"/>
                        <w:szCs w:val="22"/>
                        <w:vertAlign w:val="superscript"/>
                      </w:rPr>
                      <m:t>93</m:t>
                    </m:r>
                  </m:sup>
                </m:sSup>
              </m:oMath>
            </m:oMathPara>
          </w:p>
        </w:tc>
        <w:tc>
          <w:tcPr>
            <w:tcW w:w="1772" w:type="dxa"/>
            <w:vAlign w:val="center"/>
          </w:tcPr>
          <w:p w14:paraId="36088F7B" w14:textId="77777777" w:rsidR="00342321" w:rsidRPr="00BC31E0" w:rsidRDefault="00342321" w:rsidP="004736F2">
            <w:pPr>
              <w:snapToGrid w:val="0"/>
              <w:spacing w:line="320" w:lineRule="atLeast"/>
              <w:jc w:val="center"/>
              <w:rPr>
                <w:rFonts w:ascii="Cambria Math" w:hAnsi="Cambria Math"/>
                <w:i/>
                <w:sz w:val="22"/>
                <w:szCs w:val="22"/>
              </w:rPr>
            </w:pPr>
            <m:oMathPara>
              <m:oMath>
                <m:r>
                  <w:rPr>
                    <w:rFonts w:ascii="Cambria Math" w:hAnsi="Cambria Math"/>
                    <w:sz w:val="22"/>
                    <w:szCs w:val="22"/>
                  </w:rPr>
                  <m:t>1.</m:t>
                </m:r>
                <m:r>
                  <w:rPr>
                    <w:rFonts w:ascii="Cambria Math" w:hAnsi="Cambria Math" w:hint="eastAsia"/>
                    <w:sz w:val="22"/>
                    <w:szCs w:val="22"/>
                  </w:rPr>
                  <m:t>13</m:t>
                </m:r>
                <m:r>
                  <w:rPr>
                    <w:rFonts w:ascii="Cambria Math" w:hAnsi="Cambria Math"/>
                    <w:sz w:val="22"/>
                    <w:szCs w:val="22"/>
                  </w:rPr>
                  <m:t xml:space="preserve">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-1.0</m:t>
                    </m:r>
                    <m:r>
                      <w:rPr>
                        <w:rFonts w:ascii="Cambria Math" w:hAnsi="Cambria Math" w:hint="eastAsia"/>
                        <w:sz w:val="22"/>
                        <w:szCs w:val="22"/>
                        <w:vertAlign w:val="superscript"/>
                      </w:rPr>
                      <m:t>3</m:t>
                    </m:r>
                  </m:sup>
                </m:sSup>
              </m:oMath>
            </m:oMathPara>
          </w:p>
        </w:tc>
      </w:tr>
    </w:tbl>
    <w:p w14:paraId="061AFC27" w14:textId="77777777" w:rsidR="00342321" w:rsidRPr="00BC31E0" w:rsidRDefault="00342321" w:rsidP="00342321">
      <w:pPr>
        <w:spacing w:before="60" w:after="60"/>
        <w:ind w:left="1474" w:hanging="794"/>
        <w:jc w:val="left"/>
        <w:rPr>
          <w:kern w:val="0"/>
          <w:szCs w:val="20"/>
        </w:rPr>
      </w:pPr>
      <w:r w:rsidRPr="00BC31E0">
        <w:rPr>
          <w:rFonts w:ascii="ＭＳ ゴシック" w:eastAsia="ＭＳ ゴシック" w:hAnsi="ＭＳ ゴシック" w:hint="eastAsia"/>
          <w:b/>
          <w:szCs w:val="20"/>
        </w:rPr>
        <w:t>注記</w:t>
      </w:r>
      <w:r w:rsidRPr="00BC31E0">
        <w:rPr>
          <w:rFonts w:ascii="ＭＳ ゴシック" w:eastAsia="ＭＳ ゴシック" w:hAnsi="ＭＳ ゴシック" w:cs="Tahoma"/>
          <w:b/>
          <w:szCs w:val="20"/>
        </w:rPr>
        <w:t>1</w:t>
      </w:r>
      <w:r w:rsidRPr="00BC31E0">
        <w:rPr>
          <w:rFonts w:ascii="ＭＳ 明朝" w:hAnsi="ＭＳ 明朝" w:cs="Tahoma" w:hint="eastAsia"/>
          <w:b/>
          <w:szCs w:val="20"/>
        </w:rPr>
        <w:t xml:space="preserve">　</w:t>
      </w:r>
      <m:oMath>
        <m:f>
          <m:fPr>
            <m:type m:val="lin"/>
            <m:ctrlPr>
              <w:rPr>
                <w:rFonts w:ascii="Cambria Math" w:hAnsi="Cambria Math"/>
                <w:i/>
                <w:kern w:val="0"/>
                <w:szCs w:val="20"/>
              </w:rPr>
            </m:ctrlPr>
          </m:fPr>
          <m:num>
            <m:r>
              <w:rPr>
                <w:rFonts w:ascii="Cambria Math" w:hAnsi="Cambria Math"/>
                <w:kern w:val="0"/>
                <w:szCs w:val="20"/>
              </w:rPr>
              <m:t>a</m:t>
            </m:r>
          </m:num>
          <m:den>
            <m:r>
              <w:rPr>
                <w:rFonts w:ascii="Cambria Math" w:hAnsi="Cambria Math"/>
                <w:kern w:val="0"/>
                <w:szCs w:val="20"/>
              </w:rPr>
              <m:t xml:space="preserve">t </m:t>
            </m:r>
          </m:den>
        </m:f>
      </m:oMath>
      <w:r w:rsidRPr="00BC31E0">
        <w:rPr>
          <w:rFonts w:hAnsi="ＭＳ 明朝"/>
          <w:kern w:val="0"/>
          <w:szCs w:val="20"/>
        </w:rPr>
        <w:t>の値</w:t>
      </w:r>
      <w:r w:rsidRPr="00BC31E0">
        <w:rPr>
          <w:rFonts w:hAnsi="ＭＳ 明朝" w:hint="eastAsia"/>
          <w:kern w:val="0"/>
          <w:szCs w:val="20"/>
        </w:rPr>
        <w:t>は次の表の値を最大とする</w:t>
      </w:r>
      <w:r w:rsidRPr="00BC31E0">
        <w:rPr>
          <w:rFonts w:hAnsi="ＭＳ 明朝"/>
          <w:kern w:val="0"/>
          <w:szCs w:val="20"/>
        </w:rPr>
        <w:t>。</w:t>
      </w:r>
      <w:r w:rsidRPr="00BC31E0">
        <w:rPr>
          <w:rFonts w:hAnsi="ＭＳ 明朝" w:hint="eastAsia"/>
          <w:kern w:val="0"/>
          <w:szCs w:val="20"/>
        </w:rPr>
        <w:t>なお，</w:t>
      </w:r>
      <m:oMath>
        <m:r>
          <w:rPr>
            <w:rFonts w:ascii="Cambria Math" w:hAnsi="Cambria Math" w:hint="eastAsia"/>
            <w:kern w:val="0"/>
            <w:szCs w:val="20"/>
          </w:rPr>
          <m:t>25</m:t>
        </m:r>
        <m:r>
          <w:rPr>
            <w:rFonts w:ascii="Cambria Math" w:hAnsi="Cambria Math" w:hint="eastAsia"/>
            <w:kern w:val="0"/>
            <w:szCs w:val="20"/>
          </w:rPr>
          <m:t>≦</m:t>
        </m:r>
        <m:r>
          <w:rPr>
            <w:rFonts w:ascii="Cambria Math" w:hAnsi="Cambria Math"/>
            <w:kern w:val="0"/>
            <w:szCs w:val="20"/>
          </w:rPr>
          <m:t>t</m:t>
        </m:r>
        <m:r>
          <w:rPr>
            <w:rFonts w:ascii="Cambria Math" w:hAnsi="Cambria Math" w:hint="eastAsia"/>
            <w:kern w:val="0"/>
            <w:szCs w:val="20"/>
          </w:rPr>
          <m:t>≦</m:t>
        </m:r>
        <m:r>
          <w:rPr>
            <w:rFonts w:ascii="Cambria Math" w:hAnsi="Cambria Math" w:hint="eastAsia"/>
            <w:kern w:val="0"/>
            <w:szCs w:val="20"/>
          </w:rPr>
          <m:t>30</m:t>
        </m:r>
        <m:r>
          <m:rPr>
            <m:sty m:val="p"/>
          </m:rPr>
          <w:rPr>
            <w:rFonts w:ascii="Cambria Math" w:hAnsi="Cambria Math" w:hint="eastAsia"/>
            <w:kern w:val="0"/>
            <w:szCs w:val="20"/>
          </w:rPr>
          <m:t xml:space="preserve"> </m:t>
        </m:r>
        <m:r>
          <m:rPr>
            <m:sty m:val="p"/>
          </m:rPr>
          <w:rPr>
            <w:rFonts w:ascii="Cambria Math" w:hAnsi="Cambria Math"/>
            <w:kern w:val="0"/>
            <w:szCs w:val="20"/>
          </w:rPr>
          <m:t xml:space="preserve">mm </m:t>
        </m:r>
      </m:oMath>
      <w:r w:rsidRPr="00BC31E0">
        <w:rPr>
          <w:rFonts w:hint="eastAsia"/>
          <w:kern w:val="0"/>
          <w:szCs w:val="20"/>
        </w:rPr>
        <w:t>で，</w:t>
      </w:r>
      <w:r w:rsidRPr="00BC31E0">
        <w:rPr>
          <w:rFonts w:hAnsi="ＭＳ 明朝" w:hint="eastAsia"/>
          <w:kern w:val="0"/>
          <w:szCs w:val="20"/>
        </w:rPr>
        <w:t>中間の</w:t>
      </w:r>
      <m:oMath>
        <m:f>
          <m:fPr>
            <m:type m:val="lin"/>
            <m:ctrlPr>
              <w:rPr>
                <w:rFonts w:ascii="Cambria Math" w:hAnsi="Cambria Math"/>
                <w:i/>
                <w:kern w:val="0"/>
                <w:szCs w:val="20"/>
              </w:rPr>
            </m:ctrlPr>
          </m:fPr>
          <m:num>
            <m:r>
              <w:rPr>
                <w:rFonts w:ascii="Cambria Math" w:hAnsi="Cambria Math"/>
                <w:kern w:val="0"/>
                <w:szCs w:val="20"/>
              </w:rPr>
              <m:t xml:space="preserve"> a</m:t>
            </m:r>
          </m:num>
          <m:den>
            <m:r>
              <w:rPr>
                <w:rFonts w:ascii="Cambria Math" w:hAnsi="Cambria Math"/>
                <w:kern w:val="0"/>
                <w:szCs w:val="20"/>
              </w:rPr>
              <m:t xml:space="preserve">l </m:t>
            </m:r>
          </m:den>
        </m:f>
      </m:oMath>
      <w:r w:rsidRPr="00BC31E0">
        <w:rPr>
          <w:rFonts w:hAnsi="ＭＳ 明朝" w:hint="eastAsia"/>
          <w:kern w:val="0"/>
          <w:szCs w:val="20"/>
        </w:rPr>
        <w:t>の値に対して</w:t>
      </w:r>
      <w:r w:rsidRPr="00BC31E0">
        <w:rPr>
          <w:rFonts w:hint="eastAsia"/>
          <w:kern w:val="0"/>
          <w:szCs w:val="20"/>
        </w:rPr>
        <w:t>は線形補間により</w:t>
      </w:r>
      <m:oMath>
        <m:f>
          <m:fPr>
            <m:type m:val="lin"/>
            <m:ctrlPr>
              <w:rPr>
                <w:rFonts w:ascii="Cambria Math" w:hAnsi="Cambria Math"/>
                <w:i/>
                <w:kern w:val="0"/>
                <w:szCs w:val="20"/>
              </w:rPr>
            </m:ctrlPr>
          </m:fPr>
          <m:num>
            <m:r>
              <w:rPr>
                <w:rFonts w:ascii="Cambria Math" w:hAnsi="Cambria Math"/>
                <w:kern w:val="0"/>
                <w:szCs w:val="20"/>
              </w:rPr>
              <m:t xml:space="preserve"> a</m:t>
            </m:r>
          </m:num>
          <m:den>
            <m:r>
              <w:rPr>
                <w:rFonts w:ascii="Cambria Math" w:hAnsi="Cambria Math"/>
                <w:kern w:val="0"/>
                <w:szCs w:val="20"/>
              </w:rPr>
              <m:t xml:space="preserve">t </m:t>
            </m:r>
          </m:den>
        </m:f>
      </m:oMath>
      <w:r w:rsidRPr="00BC31E0">
        <w:rPr>
          <w:rFonts w:hint="eastAsia"/>
          <w:kern w:val="0"/>
          <w:szCs w:val="20"/>
        </w:rPr>
        <w:t>を求める。</w:t>
      </w:r>
    </w:p>
    <w:tbl>
      <w:tblPr>
        <w:tblW w:w="0" w:type="auto"/>
        <w:tblInd w:w="1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1584"/>
        <w:gridCol w:w="1585"/>
      </w:tblGrid>
      <w:tr w:rsidR="00342321" w:rsidRPr="00BC31E0" w14:paraId="7CF97C93" w14:textId="77777777" w:rsidTr="004736F2">
        <w:tc>
          <w:tcPr>
            <w:tcW w:w="2155" w:type="dxa"/>
          </w:tcPr>
          <w:p w14:paraId="54481FE3" w14:textId="77777777" w:rsidR="00342321" w:rsidRPr="00BC31E0" w:rsidRDefault="00342321" w:rsidP="004736F2">
            <w:pPr>
              <w:snapToGrid w:val="0"/>
              <w:spacing w:line="320" w:lineRule="atLeast"/>
              <w:jc w:val="center"/>
              <w:rPr>
                <w:i/>
                <w:kern w:val="0"/>
                <w:szCs w:val="20"/>
              </w:rPr>
            </w:pPr>
            <m:oMathPara>
              <m:oMath>
                <m:r>
                  <w:rPr>
                    <w:rFonts w:ascii="Cambria Math" w:hAnsi="Cambria Math" w:hint="eastAsia"/>
                    <w:kern w:val="0"/>
                    <w:szCs w:val="20"/>
                  </w:rPr>
                  <m:t>13</m:t>
                </m:r>
                <m:r>
                  <w:rPr>
                    <w:rFonts w:ascii="Cambria Math" w:hAnsi="Cambria Math" w:hint="eastAsia"/>
                    <w:kern w:val="0"/>
                    <w:szCs w:val="20"/>
                  </w:rPr>
                  <m:t>≦</m:t>
                </m:r>
                <m:r>
                  <w:rPr>
                    <w:rFonts w:ascii="Cambria Math" w:hAnsi="Cambria Math"/>
                    <w:kern w:val="0"/>
                    <w:szCs w:val="20"/>
                  </w:rPr>
                  <m:t>t&lt;</m:t>
                </m:r>
                <m:r>
                  <w:rPr>
                    <w:rFonts w:ascii="Cambria Math" w:hAnsi="Cambria Math" w:hint="eastAsia"/>
                    <w:kern w:val="0"/>
                    <w:szCs w:val="20"/>
                  </w:rPr>
                  <m:t>25</m:t>
                </m:r>
                <m:r>
                  <m:rPr>
                    <m:sty m:val="p"/>
                  </m:rPr>
                  <w:rPr>
                    <w:rFonts w:ascii="Cambria Math" w:hAnsi="Cambria Math" w:hint="eastAsia"/>
                    <w:kern w:val="0"/>
                    <w:szCs w:val="20"/>
                  </w:rPr>
                  <m:t xml:space="preserve"> </m:t>
                </m:r>
                <m:r>
                  <m:rPr>
                    <m:sty m:val="p"/>
                  </m:rPr>
                  <w:rPr>
                    <w:rFonts w:ascii="Cambria Math" w:hAnsi="Cambria Math"/>
                    <w:kern w:val="0"/>
                    <w:szCs w:val="20"/>
                  </w:rPr>
                  <m:t>mm</m:t>
                </m:r>
              </m:oMath>
            </m:oMathPara>
          </w:p>
        </w:tc>
        <w:tc>
          <w:tcPr>
            <w:tcW w:w="3169" w:type="dxa"/>
            <w:gridSpan w:val="2"/>
          </w:tcPr>
          <w:p w14:paraId="6DFC23E2" w14:textId="77777777" w:rsidR="00342321" w:rsidRPr="00BC31E0" w:rsidRDefault="00342321" w:rsidP="004736F2">
            <w:pPr>
              <w:snapToGrid w:val="0"/>
              <w:spacing w:line="320" w:lineRule="atLeast"/>
              <w:jc w:val="center"/>
              <w:rPr>
                <w:i/>
                <w:kern w:val="0"/>
                <w:szCs w:val="20"/>
              </w:rPr>
            </w:pPr>
            <m:oMathPara>
              <m:oMath>
                <m:r>
                  <w:rPr>
                    <w:rFonts w:ascii="Cambria Math" w:hAnsi="Cambria Math" w:hint="eastAsia"/>
                    <w:kern w:val="0"/>
                    <w:szCs w:val="20"/>
                  </w:rPr>
                  <m:t>25</m:t>
                </m:r>
                <m:r>
                  <w:rPr>
                    <w:rFonts w:ascii="Cambria Math" w:hAnsi="Cambria Math" w:hint="eastAsia"/>
                    <w:kern w:val="0"/>
                    <w:szCs w:val="20"/>
                  </w:rPr>
                  <m:t>≦</m:t>
                </m:r>
                <m:r>
                  <w:rPr>
                    <w:rFonts w:ascii="Cambria Math" w:hAnsi="Cambria Math"/>
                    <w:kern w:val="0"/>
                    <w:szCs w:val="20"/>
                  </w:rPr>
                  <m:t>t</m:t>
                </m:r>
                <m:r>
                  <w:rPr>
                    <w:rFonts w:ascii="Cambria Math" w:hAnsi="Cambria Math" w:hint="eastAsia"/>
                    <w:kern w:val="0"/>
                    <w:szCs w:val="20"/>
                  </w:rPr>
                  <m:t>≦</m:t>
                </m:r>
                <m:r>
                  <w:rPr>
                    <w:rFonts w:ascii="Cambria Math" w:hAnsi="Cambria Math" w:hint="eastAsia"/>
                    <w:kern w:val="0"/>
                    <w:szCs w:val="20"/>
                  </w:rPr>
                  <m:t>30</m:t>
                </m:r>
                <m:r>
                  <m:rPr>
                    <m:sty m:val="p"/>
                  </m:rPr>
                  <w:rPr>
                    <w:rFonts w:ascii="Cambria Math" w:hAnsi="Cambria Math" w:hint="eastAsia"/>
                    <w:kern w:val="0"/>
                    <w:szCs w:val="20"/>
                  </w:rPr>
                  <m:t xml:space="preserve"> </m:t>
                </m:r>
                <m:r>
                  <m:rPr>
                    <m:sty m:val="p"/>
                  </m:rPr>
                  <w:rPr>
                    <w:rFonts w:ascii="Cambria Math" w:hAnsi="Cambria Math"/>
                    <w:kern w:val="0"/>
                    <w:szCs w:val="20"/>
                  </w:rPr>
                  <m:t>mm</m:t>
                </m:r>
              </m:oMath>
            </m:oMathPara>
          </w:p>
        </w:tc>
      </w:tr>
      <w:tr w:rsidR="00342321" w:rsidRPr="00BC31E0" w14:paraId="45C2993E" w14:textId="77777777" w:rsidTr="004736F2">
        <w:tc>
          <w:tcPr>
            <w:tcW w:w="2155" w:type="dxa"/>
            <w:vMerge w:val="restart"/>
          </w:tcPr>
          <w:p w14:paraId="0A2D0DC4" w14:textId="77777777" w:rsidR="00342321" w:rsidRPr="00BC31E0" w:rsidRDefault="00342321" w:rsidP="004736F2">
            <w:pPr>
              <w:snapToGrid w:val="0"/>
              <w:spacing w:line="320" w:lineRule="atLeast"/>
              <w:jc w:val="center"/>
              <w:rPr>
                <w:kern w:val="0"/>
                <w:szCs w:val="20"/>
              </w:rPr>
            </w:pPr>
          </w:p>
          <w:p w14:paraId="7D75BD24" w14:textId="77777777" w:rsidR="00342321" w:rsidRPr="00BC31E0" w:rsidRDefault="00A51873" w:rsidP="004736F2">
            <w:pPr>
              <w:snapToGrid w:val="0"/>
              <w:spacing w:line="320" w:lineRule="atLeast"/>
              <w:jc w:val="center"/>
              <w:rPr>
                <w:rFonts w:ascii="Cambria Math" w:hAnsi="Cambria Math"/>
                <w:kern w:val="0"/>
                <w:sz w:val="22"/>
                <w:szCs w:val="22"/>
                <w:oMath/>
              </w:rPr>
            </w:pPr>
            <m:oMathPara>
              <m:oMath>
                <m:f>
                  <m:fPr>
                    <m:type m:val="lin"/>
                    <m:ctrlPr>
                      <w:rPr>
                        <w:rFonts w:ascii="Cambria Math" w:hAnsi="Cambria Math"/>
                        <w:i/>
                        <w:kern w:val="0"/>
                        <w:sz w:val="22"/>
                        <w:szCs w:val="22"/>
                      </w:rPr>
                    </m:ctrlPr>
                  </m:fPr>
                  <m:num>
                    <m:r>
                      <w:rPr>
                        <w:rFonts w:ascii="Cambria Math" w:hAnsi="Cambria Math"/>
                        <w:kern w:val="0"/>
                        <w:sz w:val="22"/>
                        <w:szCs w:val="22"/>
                      </w:rPr>
                      <m:t>a</m:t>
                    </m:r>
                  </m:num>
                  <m:den>
                    <m:r>
                      <w:rPr>
                        <w:rFonts w:ascii="Cambria Math" w:hAnsi="Cambria Math"/>
                        <w:kern w:val="0"/>
                        <w:sz w:val="22"/>
                        <w:szCs w:val="22"/>
                      </w:rPr>
                      <m:t>t</m:t>
                    </m:r>
                  </m:den>
                </m:f>
                <m:r>
                  <w:rPr>
                    <w:rFonts w:ascii="Cambria Math" w:hAnsi="Cambria Math" w:hint="eastAsia"/>
                    <w:kern w:val="0"/>
                    <w:sz w:val="22"/>
                    <w:szCs w:val="22"/>
                  </w:rPr>
                  <m:t>≦</m:t>
                </m:r>
                <m:r>
                  <w:rPr>
                    <w:rFonts w:ascii="Cambria Math" w:hAnsi="Cambria Math" w:hint="eastAsia"/>
                    <w:kern w:val="0"/>
                    <w:sz w:val="22"/>
                    <w:szCs w:val="22"/>
                  </w:rPr>
                  <m:t>0.087</m:t>
                </m:r>
              </m:oMath>
            </m:oMathPara>
          </w:p>
          <w:p w14:paraId="28E5FCF9" w14:textId="77777777" w:rsidR="00342321" w:rsidRPr="00BC31E0" w:rsidRDefault="00342321" w:rsidP="004736F2">
            <w:pPr>
              <w:snapToGrid w:val="0"/>
              <w:spacing w:line="320" w:lineRule="atLeast"/>
              <w:jc w:val="center"/>
              <w:rPr>
                <w:kern w:val="0"/>
                <w:szCs w:val="20"/>
              </w:rPr>
            </w:pPr>
            <w:r w:rsidRPr="00BC31E0">
              <w:rPr>
                <w:rFonts w:hint="eastAsia"/>
                <w:kern w:val="0"/>
                <w:szCs w:val="20"/>
              </w:rPr>
              <w:t>及び</w:t>
            </w:r>
          </w:p>
          <w:p w14:paraId="1A26AFB4" w14:textId="77777777" w:rsidR="00342321" w:rsidRPr="00BC31E0" w:rsidRDefault="00342321" w:rsidP="004736F2">
            <w:pPr>
              <w:snapToGrid w:val="0"/>
              <w:spacing w:line="320" w:lineRule="atLeast"/>
              <w:jc w:val="center"/>
              <w:rPr>
                <w:i/>
                <w:kern w:val="0"/>
                <w:sz w:val="22"/>
                <w:szCs w:val="22"/>
              </w:rPr>
            </w:pPr>
            <m:oMathPara>
              <m:oMath>
                <m:r>
                  <w:rPr>
                    <w:rFonts w:ascii="Cambria Math" w:hAnsi="Cambria Math"/>
                    <w:kern w:val="0"/>
                    <w:sz w:val="22"/>
                    <w:szCs w:val="22"/>
                  </w:rPr>
                  <m:t>l</m:t>
                </m:r>
                <m:r>
                  <w:rPr>
                    <w:rFonts w:ascii="Cambria Math" w:hAnsi="Cambria Math" w:hint="eastAsia"/>
                    <w:kern w:val="0"/>
                    <w:sz w:val="22"/>
                    <w:szCs w:val="22"/>
                  </w:rPr>
                  <m:t>≦</m:t>
                </m:r>
                <m:r>
                  <w:rPr>
                    <w:rFonts w:ascii="Cambria Math" w:hAnsi="Cambria Math" w:hint="eastAsia"/>
                    <w:kern w:val="0"/>
                    <w:sz w:val="22"/>
                    <w:szCs w:val="22"/>
                  </w:rPr>
                  <m:t>6.4</m:t>
                </m:r>
                <m:r>
                  <m:rPr>
                    <m:sty m:val="p"/>
                  </m:rPr>
                  <w:rPr>
                    <w:rFonts w:ascii="Cambria Math" w:hAnsi="Cambria Math" w:hint="eastAsia"/>
                    <w:kern w:val="0"/>
                    <w:sz w:val="22"/>
                    <w:szCs w:val="22"/>
                  </w:rPr>
                  <m:t xml:space="preserve"> mm</m:t>
                </m:r>
              </m:oMath>
            </m:oMathPara>
          </w:p>
        </w:tc>
        <w:tc>
          <w:tcPr>
            <w:tcW w:w="1584" w:type="dxa"/>
          </w:tcPr>
          <w:p w14:paraId="592F5EA9" w14:textId="77777777" w:rsidR="00342321" w:rsidRPr="00BC31E0" w:rsidRDefault="00A51873" w:rsidP="004736F2">
            <w:pPr>
              <w:snapToGrid w:val="0"/>
              <w:spacing w:line="320" w:lineRule="atLeast"/>
              <w:jc w:val="center"/>
              <w:rPr>
                <w:rFonts w:ascii="Times New Roman" w:hAnsi="Times New Roman"/>
                <w:kern w:val="0"/>
                <w:szCs w:val="20"/>
              </w:rPr>
            </w:pPr>
            <m:oMathPara>
              <m:oMath>
                <m:f>
                  <m:fPr>
                    <m:type m:val="lin"/>
                    <m:ctrlPr>
                      <w:rPr>
                        <w:rFonts w:ascii="Cambria Math" w:hAnsi="Cambria Math"/>
                        <w:i/>
                        <w:kern w:val="0"/>
                        <w:szCs w:val="20"/>
                      </w:rPr>
                    </m:ctrlPr>
                  </m:fPr>
                  <m:num>
                    <m:r>
                      <w:rPr>
                        <w:rFonts w:ascii="Cambria Math" w:hAnsi="Cambria Math"/>
                        <w:kern w:val="0"/>
                        <w:szCs w:val="20"/>
                      </w:rPr>
                      <m:t>a</m:t>
                    </m:r>
                  </m:num>
                  <m:den>
                    <m:r>
                      <w:rPr>
                        <w:rFonts w:ascii="Cambria Math" w:hAnsi="Cambria Math"/>
                        <w:kern w:val="0"/>
                        <w:szCs w:val="20"/>
                      </w:rPr>
                      <m:t>l</m:t>
                    </m:r>
                  </m:den>
                </m:f>
              </m:oMath>
            </m:oMathPara>
          </w:p>
        </w:tc>
        <w:tc>
          <w:tcPr>
            <w:tcW w:w="1585" w:type="dxa"/>
          </w:tcPr>
          <w:p w14:paraId="094F642C" w14:textId="77777777" w:rsidR="00342321" w:rsidRPr="00BC31E0" w:rsidRDefault="00A51873" w:rsidP="004736F2">
            <w:pPr>
              <w:snapToGrid w:val="0"/>
              <w:spacing w:line="320" w:lineRule="atLeast"/>
              <w:jc w:val="center"/>
              <w:rPr>
                <w:rFonts w:ascii="Times New Roman" w:hAnsi="Times New Roman"/>
                <w:kern w:val="0"/>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t</m:t>
                    </m:r>
                  </m:den>
                </m:f>
              </m:oMath>
            </m:oMathPara>
          </w:p>
        </w:tc>
      </w:tr>
      <w:tr w:rsidR="00342321" w:rsidRPr="00BC31E0" w14:paraId="75FB2467" w14:textId="77777777" w:rsidTr="004736F2">
        <w:tc>
          <w:tcPr>
            <w:tcW w:w="2155" w:type="dxa"/>
            <w:vMerge/>
          </w:tcPr>
          <w:p w14:paraId="557DAE46" w14:textId="77777777" w:rsidR="00342321" w:rsidRPr="00BC31E0" w:rsidRDefault="00342321" w:rsidP="004736F2">
            <w:pPr>
              <w:snapToGrid w:val="0"/>
              <w:spacing w:line="320" w:lineRule="atLeast"/>
              <w:jc w:val="center"/>
              <w:rPr>
                <w:kern w:val="0"/>
                <w:szCs w:val="20"/>
              </w:rPr>
            </w:pPr>
          </w:p>
        </w:tc>
        <w:tc>
          <w:tcPr>
            <w:tcW w:w="1584" w:type="dxa"/>
          </w:tcPr>
          <w:p w14:paraId="51938999" w14:textId="77777777" w:rsidR="00342321" w:rsidRPr="00BC31E0" w:rsidRDefault="00342321" w:rsidP="004736F2">
            <w:pPr>
              <w:snapToGrid w:val="0"/>
              <w:spacing w:line="320" w:lineRule="atLeast"/>
              <w:jc w:val="center"/>
              <w:rPr>
                <w:rFonts w:ascii="Cambria Math" w:hAnsi="Cambria Math"/>
                <w:kern w:val="0"/>
                <w:sz w:val="22"/>
                <w:szCs w:val="22"/>
              </w:rPr>
            </w:pPr>
            <w:r w:rsidRPr="00BC31E0">
              <w:rPr>
                <w:rFonts w:ascii="Cambria Math" w:hAnsi="Cambria Math"/>
                <w:kern w:val="0"/>
                <w:sz w:val="22"/>
                <w:szCs w:val="22"/>
              </w:rPr>
              <w:t>0.0</w:t>
            </w:r>
          </w:p>
        </w:tc>
        <w:tc>
          <w:tcPr>
            <w:tcW w:w="1585" w:type="dxa"/>
          </w:tcPr>
          <w:p w14:paraId="24128814" w14:textId="77777777" w:rsidR="00342321" w:rsidRPr="00BC31E0" w:rsidRDefault="00342321" w:rsidP="004736F2">
            <w:pPr>
              <w:snapToGrid w:val="0"/>
              <w:spacing w:line="320" w:lineRule="atLeast"/>
              <w:jc w:val="center"/>
              <w:rPr>
                <w:rFonts w:ascii="Cambria Math" w:hAnsi="Cambria Math"/>
                <w:kern w:val="0"/>
                <w:sz w:val="22"/>
                <w:szCs w:val="22"/>
              </w:rPr>
            </w:pPr>
            <w:r w:rsidRPr="00BC31E0">
              <w:rPr>
                <w:rFonts w:ascii="Cambria Math" w:hAnsi="Cambria Math"/>
                <w:kern w:val="0"/>
                <w:sz w:val="22"/>
                <w:szCs w:val="22"/>
              </w:rPr>
              <w:t>0.031</w:t>
            </w:r>
          </w:p>
        </w:tc>
      </w:tr>
      <w:tr w:rsidR="00342321" w:rsidRPr="00BC31E0" w14:paraId="462A864E" w14:textId="77777777" w:rsidTr="004736F2">
        <w:tc>
          <w:tcPr>
            <w:tcW w:w="2155" w:type="dxa"/>
            <w:vMerge/>
          </w:tcPr>
          <w:p w14:paraId="3EB08C03" w14:textId="77777777" w:rsidR="00342321" w:rsidRPr="00BC31E0" w:rsidRDefault="00342321" w:rsidP="004736F2">
            <w:pPr>
              <w:snapToGrid w:val="0"/>
              <w:spacing w:line="320" w:lineRule="atLeast"/>
              <w:jc w:val="center"/>
              <w:rPr>
                <w:kern w:val="0"/>
                <w:szCs w:val="20"/>
              </w:rPr>
            </w:pPr>
          </w:p>
        </w:tc>
        <w:tc>
          <w:tcPr>
            <w:tcW w:w="1584" w:type="dxa"/>
          </w:tcPr>
          <w:p w14:paraId="15F82E07" w14:textId="77777777" w:rsidR="00342321" w:rsidRPr="00BC31E0" w:rsidRDefault="00342321" w:rsidP="004736F2">
            <w:pPr>
              <w:snapToGrid w:val="0"/>
              <w:spacing w:line="320" w:lineRule="atLeast"/>
              <w:jc w:val="center"/>
              <w:rPr>
                <w:rFonts w:ascii="Cambria Math" w:hAnsi="Cambria Math"/>
                <w:kern w:val="0"/>
                <w:sz w:val="22"/>
                <w:szCs w:val="22"/>
              </w:rPr>
            </w:pPr>
            <w:r w:rsidRPr="00BC31E0">
              <w:rPr>
                <w:rFonts w:ascii="Cambria Math" w:hAnsi="Cambria Math"/>
                <w:kern w:val="0"/>
                <w:sz w:val="22"/>
                <w:szCs w:val="22"/>
              </w:rPr>
              <w:t>0.1</w:t>
            </w:r>
          </w:p>
        </w:tc>
        <w:tc>
          <w:tcPr>
            <w:tcW w:w="1585" w:type="dxa"/>
          </w:tcPr>
          <w:p w14:paraId="6D0A7B56" w14:textId="77777777" w:rsidR="00342321" w:rsidRPr="00BC31E0" w:rsidRDefault="00342321" w:rsidP="004736F2">
            <w:pPr>
              <w:snapToGrid w:val="0"/>
              <w:spacing w:line="320" w:lineRule="atLeast"/>
              <w:jc w:val="center"/>
              <w:rPr>
                <w:rFonts w:ascii="Cambria Math" w:hAnsi="Cambria Math"/>
                <w:kern w:val="0"/>
                <w:sz w:val="22"/>
                <w:szCs w:val="22"/>
              </w:rPr>
            </w:pPr>
            <w:r w:rsidRPr="00BC31E0">
              <w:rPr>
                <w:rFonts w:ascii="Cambria Math" w:hAnsi="Cambria Math"/>
                <w:kern w:val="0"/>
                <w:sz w:val="22"/>
                <w:szCs w:val="22"/>
              </w:rPr>
              <w:t>0.036</w:t>
            </w:r>
          </w:p>
        </w:tc>
      </w:tr>
      <w:tr w:rsidR="00342321" w:rsidRPr="00BC31E0" w14:paraId="12C5C232" w14:textId="77777777" w:rsidTr="004736F2">
        <w:tc>
          <w:tcPr>
            <w:tcW w:w="2155" w:type="dxa"/>
            <w:vMerge/>
          </w:tcPr>
          <w:p w14:paraId="686F461C" w14:textId="77777777" w:rsidR="00342321" w:rsidRPr="00BC31E0" w:rsidRDefault="00342321" w:rsidP="004736F2">
            <w:pPr>
              <w:snapToGrid w:val="0"/>
              <w:spacing w:line="320" w:lineRule="atLeast"/>
              <w:jc w:val="center"/>
              <w:rPr>
                <w:kern w:val="0"/>
                <w:szCs w:val="20"/>
              </w:rPr>
            </w:pPr>
          </w:p>
        </w:tc>
        <w:tc>
          <w:tcPr>
            <w:tcW w:w="1584" w:type="dxa"/>
          </w:tcPr>
          <w:p w14:paraId="0FE18FF8" w14:textId="77777777" w:rsidR="00342321" w:rsidRPr="00BC31E0" w:rsidRDefault="00342321" w:rsidP="004736F2">
            <w:pPr>
              <w:snapToGrid w:val="0"/>
              <w:spacing w:line="320" w:lineRule="atLeast"/>
              <w:jc w:val="center"/>
              <w:rPr>
                <w:rFonts w:ascii="Cambria Math" w:hAnsi="Cambria Math"/>
                <w:kern w:val="0"/>
                <w:sz w:val="22"/>
                <w:szCs w:val="22"/>
              </w:rPr>
            </w:pPr>
            <w:r w:rsidRPr="00BC31E0">
              <w:rPr>
                <w:rFonts w:ascii="Cambria Math" w:hAnsi="Cambria Math"/>
                <w:kern w:val="0"/>
                <w:sz w:val="22"/>
                <w:szCs w:val="22"/>
              </w:rPr>
              <w:t>0.2</w:t>
            </w:r>
          </w:p>
        </w:tc>
        <w:tc>
          <w:tcPr>
            <w:tcW w:w="1585" w:type="dxa"/>
          </w:tcPr>
          <w:p w14:paraId="5B5CD0DE" w14:textId="77777777" w:rsidR="00342321" w:rsidRPr="00BC31E0" w:rsidRDefault="00342321" w:rsidP="004736F2">
            <w:pPr>
              <w:snapToGrid w:val="0"/>
              <w:spacing w:line="320" w:lineRule="atLeast"/>
              <w:jc w:val="center"/>
              <w:rPr>
                <w:rFonts w:ascii="Cambria Math" w:hAnsi="Cambria Math"/>
                <w:kern w:val="0"/>
                <w:sz w:val="22"/>
                <w:szCs w:val="22"/>
              </w:rPr>
            </w:pPr>
            <w:r w:rsidRPr="00BC31E0">
              <w:rPr>
                <w:rFonts w:ascii="Cambria Math" w:hAnsi="Cambria Math"/>
                <w:kern w:val="0"/>
                <w:sz w:val="22"/>
                <w:szCs w:val="22"/>
              </w:rPr>
              <w:t>0.047</w:t>
            </w:r>
          </w:p>
        </w:tc>
      </w:tr>
      <w:tr w:rsidR="00342321" w:rsidRPr="00BC31E0" w14:paraId="12494FDF" w14:textId="77777777" w:rsidTr="004736F2">
        <w:tc>
          <w:tcPr>
            <w:tcW w:w="2155" w:type="dxa"/>
            <w:vMerge/>
          </w:tcPr>
          <w:p w14:paraId="47B7C112" w14:textId="77777777" w:rsidR="00342321" w:rsidRPr="00BC31E0" w:rsidRDefault="00342321" w:rsidP="004736F2">
            <w:pPr>
              <w:snapToGrid w:val="0"/>
              <w:spacing w:line="320" w:lineRule="atLeast"/>
              <w:jc w:val="center"/>
              <w:rPr>
                <w:kern w:val="0"/>
                <w:szCs w:val="20"/>
              </w:rPr>
            </w:pPr>
          </w:p>
        </w:tc>
        <w:tc>
          <w:tcPr>
            <w:tcW w:w="1584" w:type="dxa"/>
          </w:tcPr>
          <w:p w14:paraId="6F769F43" w14:textId="77777777" w:rsidR="00342321" w:rsidRPr="00BC31E0" w:rsidRDefault="00342321" w:rsidP="004736F2">
            <w:pPr>
              <w:snapToGrid w:val="0"/>
              <w:spacing w:line="320" w:lineRule="atLeast"/>
              <w:jc w:val="center"/>
              <w:rPr>
                <w:rFonts w:ascii="Cambria Math" w:hAnsi="Cambria Math"/>
                <w:kern w:val="0"/>
                <w:sz w:val="22"/>
                <w:szCs w:val="22"/>
              </w:rPr>
            </w:pPr>
            <w:r w:rsidRPr="00BC31E0">
              <w:rPr>
                <w:rFonts w:ascii="Cambria Math" w:hAnsi="Cambria Math"/>
                <w:kern w:val="0"/>
                <w:sz w:val="22"/>
                <w:szCs w:val="22"/>
              </w:rPr>
              <w:t>0.3</w:t>
            </w:r>
          </w:p>
        </w:tc>
        <w:tc>
          <w:tcPr>
            <w:tcW w:w="1585" w:type="dxa"/>
          </w:tcPr>
          <w:p w14:paraId="34C8B15F" w14:textId="77777777" w:rsidR="00342321" w:rsidRPr="00BC31E0" w:rsidRDefault="00342321" w:rsidP="004736F2">
            <w:pPr>
              <w:snapToGrid w:val="0"/>
              <w:spacing w:line="320" w:lineRule="atLeast"/>
              <w:jc w:val="center"/>
              <w:rPr>
                <w:rFonts w:ascii="Cambria Math" w:hAnsi="Cambria Math"/>
                <w:kern w:val="0"/>
                <w:sz w:val="22"/>
                <w:szCs w:val="22"/>
              </w:rPr>
            </w:pPr>
            <w:r w:rsidRPr="00BC31E0">
              <w:rPr>
                <w:rFonts w:ascii="Cambria Math" w:hAnsi="Cambria Math"/>
                <w:kern w:val="0"/>
                <w:sz w:val="22"/>
                <w:szCs w:val="22"/>
              </w:rPr>
              <w:t>0.064</w:t>
            </w:r>
          </w:p>
        </w:tc>
      </w:tr>
      <w:tr w:rsidR="00342321" w:rsidRPr="00BC31E0" w14:paraId="621CE53C" w14:textId="77777777" w:rsidTr="004736F2">
        <w:tc>
          <w:tcPr>
            <w:tcW w:w="2155" w:type="dxa"/>
            <w:vMerge/>
          </w:tcPr>
          <w:p w14:paraId="2189E6FE" w14:textId="77777777" w:rsidR="00342321" w:rsidRPr="00BC31E0" w:rsidRDefault="00342321" w:rsidP="004736F2">
            <w:pPr>
              <w:snapToGrid w:val="0"/>
              <w:spacing w:line="320" w:lineRule="atLeast"/>
              <w:jc w:val="center"/>
              <w:rPr>
                <w:kern w:val="0"/>
                <w:szCs w:val="20"/>
              </w:rPr>
            </w:pPr>
          </w:p>
        </w:tc>
        <w:tc>
          <w:tcPr>
            <w:tcW w:w="1584" w:type="dxa"/>
          </w:tcPr>
          <w:p w14:paraId="426F74F7" w14:textId="77777777" w:rsidR="00342321" w:rsidRPr="00BC31E0" w:rsidRDefault="00342321" w:rsidP="004736F2">
            <w:pPr>
              <w:snapToGrid w:val="0"/>
              <w:spacing w:line="320" w:lineRule="atLeast"/>
              <w:jc w:val="center"/>
              <w:rPr>
                <w:rFonts w:ascii="Cambria Math" w:hAnsi="Cambria Math"/>
                <w:kern w:val="0"/>
                <w:sz w:val="22"/>
                <w:szCs w:val="22"/>
              </w:rPr>
            </w:pPr>
            <w:r w:rsidRPr="00BC31E0">
              <w:rPr>
                <w:rFonts w:ascii="Cambria Math" w:hAnsi="Cambria Math"/>
                <w:kern w:val="0"/>
                <w:sz w:val="22"/>
                <w:szCs w:val="22"/>
              </w:rPr>
              <w:t>0.4</w:t>
            </w:r>
          </w:p>
        </w:tc>
        <w:tc>
          <w:tcPr>
            <w:tcW w:w="1585" w:type="dxa"/>
          </w:tcPr>
          <w:p w14:paraId="48E707A3" w14:textId="77777777" w:rsidR="00342321" w:rsidRPr="00BC31E0" w:rsidRDefault="00342321" w:rsidP="004736F2">
            <w:pPr>
              <w:snapToGrid w:val="0"/>
              <w:spacing w:line="320" w:lineRule="atLeast"/>
              <w:jc w:val="center"/>
              <w:rPr>
                <w:rFonts w:ascii="Cambria Math" w:hAnsi="Cambria Math"/>
                <w:kern w:val="0"/>
                <w:sz w:val="22"/>
                <w:szCs w:val="22"/>
              </w:rPr>
            </w:pPr>
            <w:r w:rsidRPr="00BC31E0">
              <w:rPr>
                <w:rFonts w:ascii="Cambria Math" w:hAnsi="Cambria Math"/>
                <w:kern w:val="0"/>
                <w:sz w:val="22"/>
                <w:szCs w:val="22"/>
              </w:rPr>
              <w:t>0.083</w:t>
            </w:r>
          </w:p>
        </w:tc>
      </w:tr>
      <w:tr w:rsidR="00342321" w:rsidRPr="00BC31E0" w14:paraId="0BF6CC98" w14:textId="77777777" w:rsidTr="004736F2">
        <w:tc>
          <w:tcPr>
            <w:tcW w:w="2155" w:type="dxa"/>
            <w:vMerge/>
          </w:tcPr>
          <w:p w14:paraId="099313A7" w14:textId="77777777" w:rsidR="00342321" w:rsidRPr="00BC31E0" w:rsidRDefault="00342321" w:rsidP="004736F2">
            <w:pPr>
              <w:snapToGrid w:val="0"/>
              <w:spacing w:line="320" w:lineRule="atLeast"/>
              <w:jc w:val="center"/>
              <w:rPr>
                <w:kern w:val="0"/>
                <w:szCs w:val="20"/>
              </w:rPr>
            </w:pPr>
          </w:p>
        </w:tc>
        <w:tc>
          <w:tcPr>
            <w:tcW w:w="1584" w:type="dxa"/>
          </w:tcPr>
          <w:p w14:paraId="6A65B3E0" w14:textId="77777777" w:rsidR="00342321" w:rsidRPr="00BC31E0" w:rsidRDefault="00342321" w:rsidP="004736F2">
            <w:pPr>
              <w:snapToGrid w:val="0"/>
              <w:spacing w:line="320" w:lineRule="atLeast"/>
              <w:jc w:val="center"/>
              <w:rPr>
                <w:rFonts w:ascii="Cambria Math" w:hAnsi="Cambria Math"/>
                <w:kern w:val="0"/>
                <w:sz w:val="22"/>
                <w:szCs w:val="22"/>
              </w:rPr>
            </w:pPr>
            <w:r w:rsidRPr="00BC31E0">
              <w:rPr>
                <w:rFonts w:ascii="Cambria Math" w:hAnsi="Cambria Math"/>
                <w:kern w:val="0"/>
                <w:sz w:val="22"/>
                <w:szCs w:val="22"/>
              </w:rPr>
              <w:t>0.5</w:t>
            </w:r>
          </w:p>
        </w:tc>
        <w:tc>
          <w:tcPr>
            <w:tcW w:w="1585" w:type="dxa"/>
          </w:tcPr>
          <w:p w14:paraId="5AB279C8" w14:textId="77777777" w:rsidR="00342321" w:rsidRPr="00BC31E0" w:rsidRDefault="00342321" w:rsidP="004736F2">
            <w:pPr>
              <w:snapToGrid w:val="0"/>
              <w:spacing w:line="320" w:lineRule="atLeast"/>
              <w:jc w:val="center"/>
              <w:rPr>
                <w:rFonts w:ascii="Cambria Math" w:hAnsi="Cambria Math"/>
                <w:kern w:val="0"/>
                <w:sz w:val="22"/>
                <w:szCs w:val="22"/>
              </w:rPr>
            </w:pPr>
            <w:r w:rsidRPr="00BC31E0">
              <w:rPr>
                <w:rFonts w:ascii="Cambria Math" w:hAnsi="Cambria Math"/>
                <w:kern w:val="0"/>
                <w:sz w:val="22"/>
                <w:szCs w:val="22"/>
              </w:rPr>
              <w:t>0.087</w:t>
            </w:r>
          </w:p>
        </w:tc>
      </w:tr>
    </w:tbl>
    <w:p w14:paraId="16139C04" w14:textId="77777777" w:rsidR="00342321" w:rsidRPr="00BC31E0" w:rsidRDefault="00342321" w:rsidP="00342321">
      <w:pPr>
        <w:spacing w:before="60"/>
        <w:ind w:left="1474" w:hanging="794"/>
        <w:jc w:val="left"/>
        <w:rPr>
          <w:szCs w:val="20"/>
        </w:rPr>
      </w:pPr>
      <w:r w:rsidRPr="00BC31E0">
        <w:rPr>
          <w:rFonts w:ascii="ＭＳ ゴシック" w:eastAsia="ＭＳ ゴシック" w:hAnsi="ＭＳ ゴシック" w:hint="eastAsia"/>
          <w:b/>
          <w:szCs w:val="20"/>
        </w:rPr>
        <w:t>注記2</w:t>
      </w:r>
      <w:r w:rsidRPr="00BC31E0">
        <w:rPr>
          <w:rFonts w:ascii="ＭＳ 明朝" w:hAnsi="ＭＳ 明朝"/>
          <w:szCs w:val="20"/>
        </w:rPr>
        <w:t xml:space="preserve">　</w:t>
      </w:r>
      <w:r w:rsidRPr="00BC31E0">
        <w:rPr>
          <w:szCs w:val="20"/>
        </w:rPr>
        <w:t>き</w:t>
      </w:r>
      <w:r w:rsidRPr="00BC31E0">
        <w:rPr>
          <w:rFonts w:hint="eastAsia"/>
          <w:szCs w:val="20"/>
        </w:rPr>
        <w:t>ず</w:t>
      </w:r>
      <w:r w:rsidRPr="00BC31E0">
        <w:rPr>
          <w:szCs w:val="20"/>
        </w:rPr>
        <w:t>高さ</w:t>
      </w:r>
      <m:oMath>
        <m:r>
          <w:rPr>
            <w:rFonts w:ascii="Cambria Math" w:hAnsi="Cambria Math"/>
            <w:szCs w:val="20"/>
          </w:rPr>
          <m:t>a</m:t>
        </m:r>
        <m:r>
          <m:rPr>
            <m:sty m:val="p"/>
          </m:rPr>
          <w:rPr>
            <w:rFonts w:ascii="Cambria Math" w:hAnsi="Cambria Math"/>
            <w:szCs w:val="20"/>
          </w:rPr>
          <m:t xml:space="preserve"> </m:t>
        </m:r>
      </m:oMath>
      <w:r w:rsidRPr="00BC31E0">
        <w:rPr>
          <w:szCs w:val="20"/>
        </w:rPr>
        <w:t>が</w:t>
      </w:r>
      <m:oMath>
        <m:r>
          <m:rPr>
            <m:sty m:val="p"/>
          </m:rPr>
          <w:rPr>
            <w:rFonts w:ascii="Cambria Math" w:hAnsi="Cambria Math"/>
            <w:szCs w:val="20"/>
          </w:rPr>
          <m:t xml:space="preserve"> 1 mm </m:t>
        </m:r>
      </m:oMath>
      <w:r w:rsidRPr="00BC31E0">
        <w:rPr>
          <w:szCs w:val="20"/>
        </w:rPr>
        <w:t>未満になる場合</w:t>
      </w:r>
      <w:r w:rsidRPr="00BC31E0">
        <w:rPr>
          <w:rFonts w:hint="eastAsia"/>
          <w:szCs w:val="20"/>
        </w:rPr>
        <w:t>で</w:t>
      </w:r>
      <w:r w:rsidRPr="00BC31E0">
        <w:rPr>
          <w:szCs w:val="20"/>
        </w:rPr>
        <w:t>，使用者設計仕様書</w:t>
      </w:r>
      <w:r w:rsidRPr="00BC31E0">
        <w:rPr>
          <w:rFonts w:hint="eastAsia"/>
          <w:szCs w:val="20"/>
        </w:rPr>
        <w:t>に</w:t>
      </w:r>
      <w:r w:rsidRPr="00BC31E0">
        <w:rPr>
          <w:rFonts w:ascii="ＭＳ ゴシック" w:eastAsia="ＭＳ ゴシック" w:hAnsi="ＭＳ ゴシック" w:hint="eastAsia"/>
          <w:b/>
          <w:szCs w:val="20"/>
        </w:rPr>
        <w:t>表5.2.2</w:t>
      </w:r>
      <w:r w:rsidRPr="00BC31E0">
        <w:rPr>
          <w:rFonts w:hint="eastAsia"/>
          <w:szCs w:val="20"/>
        </w:rPr>
        <w:t>よりも高い</w:t>
      </w:r>
      <w:r w:rsidRPr="00BC31E0">
        <w:rPr>
          <w:szCs w:val="20"/>
        </w:rPr>
        <w:t>要求シャルピー</w:t>
      </w:r>
      <w:r w:rsidRPr="00BC31E0">
        <w:rPr>
          <w:rFonts w:hint="eastAsia"/>
          <w:szCs w:val="20"/>
        </w:rPr>
        <w:t>衝撃</w:t>
      </w:r>
      <w:r w:rsidRPr="00BC31E0">
        <w:rPr>
          <w:szCs w:val="20"/>
        </w:rPr>
        <w:t>吸収エネルギー</w:t>
      </w:r>
      <w:r w:rsidRPr="00BC31E0">
        <w:rPr>
          <w:rFonts w:hint="eastAsia"/>
          <w:szCs w:val="20"/>
        </w:rPr>
        <w:t>が規定されている場合には，</w:t>
      </w:r>
      <w:r w:rsidRPr="00BC31E0">
        <w:rPr>
          <w:rFonts w:ascii="ＭＳ ゴシック" w:eastAsia="ＭＳ ゴシック" w:hAnsi="ＭＳ ゴシック" w:hint="eastAsia"/>
          <w:b/>
          <w:szCs w:val="20"/>
        </w:rPr>
        <w:t>9.3.6 c) 2) 2.3)</w:t>
      </w:r>
      <w:r w:rsidRPr="00BC31E0">
        <w:rPr>
          <w:rFonts w:hint="eastAsia"/>
          <w:szCs w:val="20"/>
        </w:rPr>
        <w:t>に</w:t>
      </w:r>
      <w:r w:rsidRPr="00BC31E0">
        <w:rPr>
          <w:szCs w:val="20"/>
        </w:rPr>
        <w:t>より</w:t>
      </w:r>
      <w:r w:rsidRPr="00BC31E0">
        <w:rPr>
          <w:rFonts w:hint="eastAsia"/>
          <w:szCs w:val="20"/>
        </w:rPr>
        <w:t>製作者が許容きず寸法を算出</w:t>
      </w:r>
      <w:r w:rsidR="003D6FE8" w:rsidRPr="00BC31E0">
        <w:rPr>
          <w:rFonts w:hint="eastAsia"/>
          <w:szCs w:val="20"/>
        </w:rPr>
        <w:t>してもよい</w:t>
      </w:r>
      <w:r w:rsidRPr="00BC31E0">
        <w:rPr>
          <w:rFonts w:hint="eastAsia"/>
          <w:szCs w:val="20"/>
        </w:rPr>
        <w:t>。</w:t>
      </w:r>
    </w:p>
    <w:p w14:paraId="09551328" w14:textId="77777777" w:rsidR="00342321" w:rsidRPr="00BC31E0" w:rsidRDefault="00342321" w:rsidP="00342321">
      <w:pPr>
        <w:ind w:left="1474" w:hanging="794"/>
        <w:jc w:val="left"/>
        <w:rPr>
          <w:rFonts w:hAnsi="ＭＳ 明朝"/>
          <w:szCs w:val="20"/>
        </w:rPr>
      </w:pPr>
      <w:r w:rsidRPr="00BC31E0">
        <w:rPr>
          <w:rFonts w:ascii="ＭＳ ゴシック" w:eastAsia="ＭＳ ゴシック" w:hAnsi="ＭＳ ゴシック" w:hint="eastAsia"/>
          <w:b/>
          <w:szCs w:val="20"/>
        </w:rPr>
        <w:t>注記3</w:t>
      </w:r>
      <w:r w:rsidRPr="00BC31E0">
        <w:rPr>
          <w:rFonts w:ascii="ＭＳ 明朝" w:hAnsi="ＭＳ 明朝" w:hint="eastAsia"/>
          <w:szCs w:val="20"/>
        </w:rPr>
        <w:t xml:space="preserve">　</w:t>
      </w:r>
      <w:r w:rsidRPr="00BC31E0">
        <w:rPr>
          <w:rFonts w:hAnsi="ＭＳ 明朝"/>
          <w:szCs w:val="20"/>
        </w:rPr>
        <w:t>中間の</w:t>
      </w:r>
      <w:r w:rsidRPr="00BC31E0">
        <w:rPr>
          <w:rFonts w:hAnsi="ＭＳ 明朝" w:hint="eastAsia"/>
          <w:szCs w:val="20"/>
        </w:rPr>
        <w:t>内外径比</w:t>
      </w:r>
      <m:oMath>
        <m:r>
          <m:rPr>
            <m:sty m:val="p"/>
          </m:rPr>
          <w:rPr>
            <w:rFonts w:ascii="Cambria Math" w:hAnsi="Cambria Math"/>
            <w:szCs w:val="20"/>
          </w:rPr>
          <m:t xml:space="preserve"> </m:t>
        </m:r>
        <m:r>
          <w:rPr>
            <w:rFonts w:ascii="Cambria Math" w:hAnsi="Cambria Math"/>
            <w:szCs w:val="20"/>
          </w:rPr>
          <m:t>Y</m:t>
        </m:r>
        <m:r>
          <m:rPr>
            <m:sty m:val="p"/>
          </m:rPr>
          <w:rPr>
            <w:rFonts w:ascii="Cambria Math" w:hAnsi="Cambria Math"/>
            <w:szCs w:val="20"/>
          </w:rPr>
          <m:t xml:space="preserve"> </m:t>
        </m:r>
      </m:oMath>
      <w:r w:rsidRPr="00BC31E0">
        <w:rPr>
          <w:rFonts w:hAnsi="ＭＳ 明朝"/>
          <w:szCs w:val="20"/>
        </w:rPr>
        <w:t>の値及び</w:t>
      </w:r>
      <m:oMath>
        <m:f>
          <m:fPr>
            <m:type m:val="lin"/>
            <m:ctrlPr>
              <w:rPr>
                <w:rFonts w:ascii="Cambria Math" w:hAnsi="Cambria Math"/>
                <w:i/>
                <w:szCs w:val="20"/>
              </w:rPr>
            </m:ctrlPr>
          </m:fPr>
          <m:num>
            <m:r>
              <w:rPr>
                <w:rFonts w:ascii="Cambria Math" w:hAnsi="Cambria Math"/>
                <w:szCs w:val="20"/>
              </w:rPr>
              <m:t xml:space="preserve"> a</m:t>
            </m:r>
          </m:num>
          <m:den>
            <m:r>
              <w:rPr>
                <w:rFonts w:ascii="Cambria Math" w:hAnsi="Cambria Math"/>
                <w:szCs w:val="20"/>
              </w:rPr>
              <m:t xml:space="preserve">l </m:t>
            </m:r>
          </m:den>
        </m:f>
      </m:oMath>
      <w:r w:rsidRPr="00BC31E0">
        <w:rPr>
          <w:rFonts w:hAnsi="ＭＳ 明朝"/>
          <w:szCs w:val="20"/>
        </w:rPr>
        <w:t>の値に対しては，線形補間</w:t>
      </w:r>
      <w:r w:rsidRPr="00BC31E0">
        <w:rPr>
          <w:rFonts w:hAnsi="ＭＳ 明朝" w:hint="eastAsia"/>
          <w:szCs w:val="20"/>
        </w:rPr>
        <w:t>により</w:t>
      </w:r>
      <m:oMath>
        <m:f>
          <m:fPr>
            <m:type m:val="lin"/>
            <m:ctrlPr>
              <w:rPr>
                <w:rFonts w:ascii="Cambria Math" w:hAnsi="Cambria Math"/>
                <w:i/>
                <w:szCs w:val="20"/>
              </w:rPr>
            </m:ctrlPr>
          </m:fPr>
          <m:num>
            <m:r>
              <w:rPr>
                <w:rFonts w:ascii="Cambria Math" w:hAnsi="Cambria Math"/>
                <w:szCs w:val="20"/>
              </w:rPr>
              <m:t xml:space="preserve"> a</m:t>
            </m:r>
          </m:num>
          <m:den>
            <m:r>
              <w:rPr>
                <w:rFonts w:ascii="Cambria Math" w:hAnsi="Cambria Math"/>
                <w:szCs w:val="20"/>
              </w:rPr>
              <m:t xml:space="preserve">t </m:t>
            </m:r>
          </m:den>
        </m:f>
      </m:oMath>
      <w:r w:rsidRPr="00BC31E0">
        <w:rPr>
          <w:rFonts w:hAnsi="ＭＳ 明朝"/>
          <w:szCs w:val="20"/>
        </w:rPr>
        <w:t>を求める。</w:t>
      </w:r>
    </w:p>
    <w:p w14:paraId="1FCCA6DF" w14:textId="77777777" w:rsidR="00342321" w:rsidRPr="00BC31E0" w:rsidRDefault="00342321" w:rsidP="00342321">
      <w:pPr>
        <w:ind w:left="1474" w:hanging="794"/>
        <w:jc w:val="left"/>
        <w:rPr>
          <w:szCs w:val="20"/>
        </w:rPr>
      </w:pPr>
      <w:r w:rsidRPr="00BC31E0">
        <w:rPr>
          <w:rFonts w:ascii="ＭＳ ゴシック" w:eastAsia="ＭＳ ゴシック" w:hAnsi="ＭＳ ゴシック" w:hint="eastAsia"/>
          <w:b/>
          <w:szCs w:val="20"/>
        </w:rPr>
        <w:t>注記4</w:t>
      </w:r>
      <w:r w:rsidRPr="00BC31E0">
        <w:rPr>
          <w:rFonts w:ascii="ＭＳ 明朝" w:hAnsi="ＭＳ 明朝" w:hint="eastAsia"/>
          <w:b/>
          <w:szCs w:val="20"/>
        </w:rPr>
        <w:t xml:space="preserve">　</w:t>
      </w:r>
      <m:oMath>
        <m:sSub>
          <m:sSubPr>
            <m:ctrlPr>
              <w:rPr>
                <w:rFonts w:ascii="Cambria Math" w:hAnsi="Cambria Math"/>
                <w:i/>
                <w:szCs w:val="20"/>
              </w:rPr>
            </m:ctrlPr>
          </m:sSubPr>
          <m:e>
            <m:r>
              <w:rPr>
                <w:rFonts w:ascii="Cambria Math" w:hAnsi="Cambria Math"/>
                <w:szCs w:val="20"/>
              </w:rPr>
              <m:t>S</m:t>
            </m:r>
          </m:e>
          <m:sub>
            <m:r>
              <w:rPr>
                <w:rFonts w:ascii="Cambria Math" w:hAnsi="Cambria Math"/>
                <w:szCs w:val="20"/>
              </w:rPr>
              <m:t>y</m:t>
            </m:r>
          </m:sub>
        </m:sSub>
        <m:r>
          <m:rPr>
            <m:sty m:val="p"/>
          </m:rPr>
          <w:rPr>
            <w:rFonts w:ascii="Cambria Math" w:hAnsi="Cambria Math"/>
            <w:szCs w:val="20"/>
          </w:rPr>
          <m:t>&gt;</m:t>
        </m:r>
        <m:r>
          <w:rPr>
            <w:rFonts w:ascii="Cambria Math" w:hAnsi="Cambria Math" w:hint="eastAsia"/>
            <w:szCs w:val="20"/>
          </w:rPr>
          <m:t>260</m:t>
        </m:r>
        <m:r>
          <m:rPr>
            <m:sty m:val="p"/>
          </m:rPr>
          <w:rPr>
            <w:rFonts w:ascii="Cambria Math" w:hAnsi="Cambria Math" w:hint="eastAsia"/>
            <w:szCs w:val="20"/>
          </w:rPr>
          <m:t xml:space="preserve"> MPa</m:t>
        </m:r>
        <m:r>
          <m:rPr>
            <m:sty m:val="p"/>
          </m:rPr>
          <w:rPr>
            <w:rFonts w:ascii="Cambria Math" w:hAnsi="Cambria Math"/>
            <w:szCs w:val="20"/>
          </w:rPr>
          <m:t xml:space="preserve"> </m:t>
        </m:r>
      </m:oMath>
      <w:r w:rsidRPr="00BC31E0">
        <w:rPr>
          <w:rFonts w:hint="eastAsia"/>
          <w:szCs w:val="20"/>
        </w:rPr>
        <w:t>又は</w:t>
      </w:r>
      <m:oMath>
        <m:r>
          <w:rPr>
            <w:rFonts w:ascii="Cambria Math" w:hAnsi="Cambria Math"/>
            <w:szCs w:val="20"/>
          </w:rPr>
          <m:t>t&gt;</m:t>
        </m:r>
        <m:r>
          <w:rPr>
            <w:rFonts w:ascii="Cambria Math" w:hAnsi="Cambria Math" w:hint="eastAsia"/>
            <w:szCs w:val="20"/>
          </w:rPr>
          <m:t>30</m:t>
        </m:r>
        <m:r>
          <m:rPr>
            <m:sty m:val="p"/>
          </m:rPr>
          <w:rPr>
            <w:rFonts w:ascii="Cambria Math" w:hAnsi="Cambria Math" w:hint="eastAsia"/>
            <w:szCs w:val="20"/>
          </w:rPr>
          <m:t xml:space="preserve"> mm</m:t>
        </m:r>
        <m:r>
          <m:rPr>
            <m:sty m:val="p"/>
          </m:rPr>
          <w:rPr>
            <w:rFonts w:ascii="Cambria Math" w:hAnsi="Cambria Math"/>
            <w:szCs w:val="20"/>
          </w:rPr>
          <m:t xml:space="preserve"> </m:t>
        </m:r>
      </m:oMath>
      <w:r w:rsidRPr="00BC31E0">
        <w:rPr>
          <w:rFonts w:hint="eastAsia"/>
          <w:szCs w:val="20"/>
        </w:rPr>
        <w:t>の場合には，</w:t>
      </w:r>
      <w:r w:rsidRPr="00BC31E0">
        <w:rPr>
          <w:rFonts w:ascii="ＭＳ ゴシック" w:eastAsia="ＭＳ ゴシック" w:hAnsi="ＭＳ ゴシック" w:hint="eastAsia"/>
          <w:b/>
          <w:szCs w:val="20"/>
        </w:rPr>
        <w:t>9.3.6 c) 2) 2.3)</w:t>
      </w:r>
      <w:r w:rsidRPr="00BC31E0">
        <w:rPr>
          <w:rFonts w:hint="eastAsia"/>
          <w:szCs w:val="20"/>
        </w:rPr>
        <w:t>により許容きず寸法を算出する。</w:t>
      </w:r>
    </w:p>
    <w:p w14:paraId="092A7B7A" w14:textId="77777777" w:rsidR="00342321" w:rsidRPr="00BC31E0" w:rsidRDefault="00342321" w:rsidP="00342321">
      <w:pPr>
        <w:ind w:left="1275" w:hanging="595"/>
        <w:jc w:val="left"/>
        <w:rPr>
          <w:rFonts w:hAnsi="ＭＳ 明朝"/>
          <w:szCs w:val="20"/>
        </w:rPr>
      </w:pPr>
      <w:r w:rsidRPr="00BC31E0">
        <w:rPr>
          <w:rFonts w:ascii="ＭＳ ゴシック" w:eastAsia="ＭＳ ゴシック" w:hAnsi="ＭＳ ゴシック" w:hint="eastAsia"/>
          <w:b/>
          <w:szCs w:val="20"/>
        </w:rPr>
        <w:t>注</w:t>
      </w:r>
      <w:r w:rsidRPr="00BC31E0">
        <w:rPr>
          <w:rFonts w:ascii="ＭＳ ゴシック" w:eastAsia="ＭＳ ゴシック" w:hAnsi="ＭＳ ゴシック" w:hint="eastAsia"/>
          <w:b/>
          <w:szCs w:val="20"/>
          <w:vertAlign w:val="superscript"/>
        </w:rPr>
        <w:t>a)</w:t>
      </w:r>
      <w:r w:rsidRPr="00BC31E0">
        <w:rPr>
          <w:rFonts w:ascii="ＭＳ 明朝" w:hAnsi="ＭＳ 明朝" w:hint="eastAsia"/>
          <w:szCs w:val="20"/>
        </w:rPr>
        <w:t xml:space="preserve">　</w:t>
      </w:r>
      <w:r w:rsidRPr="00BC31E0">
        <w:rPr>
          <w:szCs w:val="20"/>
        </w:rPr>
        <w:t>使用者設計仕様書</w:t>
      </w:r>
      <w:r w:rsidRPr="00BC31E0">
        <w:rPr>
          <w:rFonts w:hint="eastAsia"/>
          <w:szCs w:val="20"/>
        </w:rPr>
        <w:t>に</w:t>
      </w:r>
      <w:r w:rsidRPr="00BC31E0">
        <w:rPr>
          <w:rFonts w:ascii="ＭＳ ゴシック" w:eastAsia="ＭＳ ゴシック" w:hAnsi="ＭＳ ゴシック" w:hint="eastAsia"/>
          <w:b/>
          <w:szCs w:val="20"/>
        </w:rPr>
        <w:t>表5.2.2</w:t>
      </w:r>
      <w:r w:rsidRPr="00BC31E0">
        <w:rPr>
          <w:rFonts w:hint="eastAsia"/>
          <w:szCs w:val="20"/>
        </w:rPr>
        <w:t>よりも高い</w:t>
      </w:r>
      <w:r w:rsidRPr="00BC31E0">
        <w:rPr>
          <w:szCs w:val="20"/>
        </w:rPr>
        <w:t>要求シャルピー</w:t>
      </w:r>
      <w:r w:rsidRPr="00BC31E0">
        <w:rPr>
          <w:rFonts w:hint="eastAsia"/>
          <w:szCs w:val="20"/>
        </w:rPr>
        <w:t>衝撃</w:t>
      </w:r>
      <w:r w:rsidRPr="00BC31E0">
        <w:rPr>
          <w:szCs w:val="20"/>
        </w:rPr>
        <w:t>吸収エネルギー</w:t>
      </w:r>
      <w:r w:rsidRPr="00BC31E0">
        <w:rPr>
          <w:rFonts w:hint="eastAsia"/>
          <w:szCs w:val="20"/>
        </w:rPr>
        <w:t>が規定されている場合には，</w:t>
      </w:r>
      <w:r w:rsidRPr="00BC31E0">
        <w:rPr>
          <w:rFonts w:ascii="ＭＳ ゴシック" w:eastAsia="ＭＳ ゴシック" w:hAnsi="ＭＳ ゴシック" w:hint="eastAsia"/>
          <w:b/>
          <w:szCs w:val="20"/>
        </w:rPr>
        <w:t>9.3.6 c) 2) 2.3)</w:t>
      </w:r>
      <w:r w:rsidRPr="00BC31E0">
        <w:rPr>
          <w:rFonts w:hint="eastAsia"/>
          <w:szCs w:val="20"/>
        </w:rPr>
        <w:t>に</w:t>
      </w:r>
      <w:r w:rsidRPr="00BC31E0">
        <w:rPr>
          <w:szCs w:val="20"/>
        </w:rPr>
        <w:t>より</w:t>
      </w:r>
      <w:r w:rsidRPr="00BC31E0">
        <w:rPr>
          <w:rFonts w:hint="eastAsia"/>
          <w:szCs w:val="20"/>
        </w:rPr>
        <w:t>製作者が許容きず寸法を算出</w:t>
      </w:r>
      <w:r w:rsidR="0051460C" w:rsidRPr="00BC31E0">
        <w:rPr>
          <w:rFonts w:hint="eastAsia"/>
          <w:szCs w:val="20"/>
        </w:rPr>
        <w:t>してもよい</w:t>
      </w:r>
      <w:r w:rsidRPr="00BC31E0">
        <w:rPr>
          <w:rFonts w:hint="eastAsia"/>
          <w:szCs w:val="20"/>
        </w:rPr>
        <w:t>。</w:t>
      </w:r>
    </w:p>
    <w:p w14:paraId="3DCFAF38" w14:textId="77777777" w:rsidR="00342321" w:rsidRPr="00BC31E0" w:rsidRDefault="00342321" w:rsidP="00342321">
      <w:pPr>
        <w:autoSpaceDE w:val="0"/>
        <w:autoSpaceDN w:val="0"/>
        <w:snapToGrid w:val="0"/>
        <w:jc w:val="left"/>
        <w:rPr>
          <w:szCs w:val="20"/>
        </w:rPr>
      </w:pPr>
    </w:p>
    <w:p w14:paraId="6381BE26" w14:textId="77777777" w:rsidR="00342321" w:rsidRPr="00BC31E0" w:rsidRDefault="00342321" w:rsidP="00342321">
      <w:pPr>
        <w:widowControl/>
        <w:jc w:val="left"/>
        <w:rPr>
          <w:szCs w:val="20"/>
        </w:rPr>
      </w:pPr>
      <w:r w:rsidRPr="00BC31E0">
        <w:rPr>
          <w:szCs w:val="20"/>
        </w:rPr>
        <w:br w:type="page"/>
      </w:r>
    </w:p>
    <w:p w14:paraId="0368AA99" w14:textId="77777777" w:rsidR="00342321" w:rsidRPr="00BC31E0" w:rsidRDefault="00342321" w:rsidP="00342321">
      <w:pPr>
        <w:autoSpaceDE w:val="0"/>
        <w:autoSpaceDN w:val="0"/>
        <w:snapToGrid w:val="0"/>
        <w:jc w:val="center"/>
        <w:rPr>
          <w:rFonts w:eastAsia="ＭＳ Ｐゴシック" w:hAnsi="ＭＳ Ｐゴシック"/>
          <w:b/>
          <w:szCs w:val="20"/>
        </w:rPr>
      </w:pPr>
      <w:r w:rsidRPr="00BC31E0">
        <w:rPr>
          <w:rFonts w:ascii="ＭＳ ゴシック" w:eastAsia="ＭＳ ゴシック" w:hAnsi="ＭＳ ゴシック" w:hint="eastAsia"/>
          <w:b/>
          <w:szCs w:val="20"/>
        </w:rPr>
        <w:lastRenderedPageBreak/>
        <w:t>表9.3.27　内部きずの許容きず寸法 (</w:t>
      </w:r>
      <m:oMath>
        <m:sSub>
          <m:sSubPr>
            <m:ctrlPr>
              <w:rPr>
                <w:rFonts w:ascii="Cambria Math" w:eastAsia="ＭＳ ゴシック" w:hAnsi="Cambria Math"/>
                <w:b/>
                <w:i/>
                <w:sz w:val="22"/>
                <w:szCs w:val="22"/>
              </w:rPr>
            </m:ctrlPr>
          </m:sSubPr>
          <m:e>
            <m:r>
              <m:rPr>
                <m:sty m:val="bi"/>
              </m:rPr>
              <w:rPr>
                <w:rFonts w:ascii="Cambria Math" w:eastAsia="ＭＳ ゴシック" w:hAnsi="Cambria Math"/>
                <w:sz w:val="22"/>
                <w:szCs w:val="22"/>
              </w:rPr>
              <m:t>S</m:t>
            </m:r>
          </m:e>
          <m:sub>
            <m:r>
              <m:rPr>
                <m:sty m:val="bi"/>
              </m:rPr>
              <w:rPr>
                <w:rFonts w:ascii="Cambria Math" w:eastAsia="ＭＳ ゴシック" w:hAnsi="Cambria Math"/>
                <w:sz w:val="22"/>
                <w:szCs w:val="22"/>
              </w:rPr>
              <m:t>y</m:t>
            </m:r>
          </m:sub>
        </m:sSub>
        <m:r>
          <m:rPr>
            <m:sty m:val="bi"/>
          </m:rPr>
          <w:rPr>
            <w:rFonts w:ascii="Cambria Math" w:eastAsia="ＭＳ ゴシック" w:hAnsi="Cambria Math"/>
            <w:sz w:val="22"/>
            <w:szCs w:val="22"/>
          </w:rPr>
          <m:t>≦260</m:t>
        </m:r>
        <m:r>
          <m:rPr>
            <m:sty m:val="b"/>
          </m:rPr>
          <w:rPr>
            <w:rFonts w:ascii="Cambria Math" w:eastAsia="ＭＳ ゴシック" w:hAnsi="Cambria Math"/>
            <w:sz w:val="22"/>
            <w:szCs w:val="22"/>
          </w:rPr>
          <m:t xml:space="preserve"> MPa</m:t>
        </m:r>
      </m:oMath>
      <w:r w:rsidRPr="00BC31E0">
        <w:rPr>
          <w:rFonts w:ascii="ＭＳ ゴシック" w:eastAsia="ＭＳ ゴシック" w:hAnsi="ＭＳ ゴシック" w:hint="eastAsia"/>
          <w:b/>
          <w:szCs w:val="20"/>
        </w:rPr>
        <w:t>，溶接後熱処理なし)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772"/>
        <w:gridCol w:w="1772"/>
        <w:gridCol w:w="1772"/>
        <w:gridCol w:w="1772"/>
      </w:tblGrid>
      <w:tr w:rsidR="00342321" w:rsidRPr="00BC31E0" w14:paraId="2A444F58" w14:textId="77777777" w:rsidTr="004736F2">
        <w:trPr>
          <w:jc w:val="center"/>
        </w:trPr>
        <w:tc>
          <w:tcPr>
            <w:tcW w:w="992" w:type="dxa"/>
            <w:vMerge w:val="restart"/>
            <w:vAlign w:val="center"/>
          </w:tcPr>
          <w:p w14:paraId="61656D8C" w14:textId="77777777" w:rsidR="00342321" w:rsidRPr="00BC31E0" w:rsidRDefault="00A51873" w:rsidP="004736F2">
            <w:pPr>
              <w:snapToGrid w:val="0"/>
              <w:spacing w:line="320" w:lineRule="atLeast"/>
              <w:jc w:val="center"/>
              <w:rPr>
                <w:rFonts w:ascii="Times New Roman" w:hAnsi="Times New Roman"/>
                <w:i/>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l</m:t>
                    </m:r>
                  </m:den>
                </m:f>
              </m:oMath>
            </m:oMathPara>
          </w:p>
        </w:tc>
        <w:tc>
          <w:tcPr>
            <w:tcW w:w="7088" w:type="dxa"/>
            <w:gridSpan w:val="4"/>
            <w:vAlign w:val="center"/>
          </w:tcPr>
          <w:p w14:paraId="0B287605" w14:textId="77777777" w:rsidR="00342321" w:rsidRPr="00BC31E0" w:rsidRDefault="00342321" w:rsidP="004736F2">
            <w:pPr>
              <w:snapToGrid w:val="0"/>
              <w:spacing w:line="320" w:lineRule="atLeast"/>
              <w:jc w:val="center"/>
              <w:rPr>
                <w:rFonts w:ascii="Times New Roman" w:hAnsi="Times New Roman"/>
                <w:i/>
                <w:szCs w:val="20"/>
              </w:rPr>
            </w:pPr>
            <m:oMathPara>
              <m:oMath>
                <m:r>
                  <w:rPr>
                    <w:rFonts w:ascii="Cambria Math" w:hAnsi="Cambria Math" w:hint="eastAsia"/>
                    <w:szCs w:val="20"/>
                  </w:rPr>
                  <m:t>13</m:t>
                </m:r>
                <m:r>
                  <w:rPr>
                    <w:rFonts w:ascii="Cambria Math" w:hAnsi="Cambria Math"/>
                    <w:szCs w:val="20"/>
                  </w:rPr>
                  <m:t>≦t≦</m:t>
                </m:r>
                <m:r>
                  <w:rPr>
                    <w:rFonts w:ascii="Cambria Math" w:hAnsi="Cambria Math" w:hint="eastAsia"/>
                    <w:szCs w:val="20"/>
                  </w:rPr>
                  <m:t>30</m:t>
                </m:r>
                <m:r>
                  <m:rPr>
                    <m:sty m:val="p"/>
                  </m:rPr>
                  <w:rPr>
                    <w:rFonts w:ascii="Cambria Math" w:hAnsi="Cambria Math" w:hint="eastAsia"/>
                    <w:szCs w:val="20"/>
                  </w:rPr>
                  <m:t xml:space="preserve"> mm</m:t>
                </m:r>
              </m:oMath>
            </m:oMathPara>
          </w:p>
        </w:tc>
      </w:tr>
      <w:tr w:rsidR="00342321" w:rsidRPr="00BC31E0" w14:paraId="4E67648E" w14:textId="77777777" w:rsidTr="004736F2">
        <w:trPr>
          <w:jc w:val="center"/>
        </w:trPr>
        <w:tc>
          <w:tcPr>
            <w:tcW w:w="992" w:type="dxa"/>
            <w:vMerge/>
            <w:vAlign w:val="center"/>
          </w:tcPr>
          <w:p w14:paraId="19A4BF48" w14:textId="77777777" w:rsidR="00342321" w:rsidRPr="00BC31E0" w:rsidRDefault="00342321" w:rsidP="004736F2">
            <w:pPr>
              <w:snapToGrid w:val="0"/>
              <w:spacing w:line="320" w:lineRule="atLeast"/>
              <w:jc w:val="center"/>
              <w:rPr>
                <w:rFonts w:ascii="Times New Roman" w:hAnsi="Times New Roman"/>
                <w:i/>
                <w:szCs w:val="20"/>
              </w:rPr>
            </w:pPr>
          </w:p>
        </w:tc>
        <w:tc>
          <w:tcPr>
            <w:tcW w:w="1772" w:type="dxa"/>
            <w:vAlign w:val="center"/>
          </w:tcPr>
          <w:p w14:paraId="604AFE9A" w14:textId="77777777" w:rsidR="00342321" w:rsidRPr="00BC31E0" w:rsidRDefault="00342321" w:rsidP="004736F2">
            <w:pPr>
              <w:snapToGrid w:val="0"/>
              <w:spacing w:line="320" w:lineRule="atLeast"/>
              <w:jc w:val="center"/>
              <w:rPr>
                <w:szCs w:val="20"/>
              </w:rPr>
            </w:pPr>
            <m:oMathPara>
              <m:oMath>
                <m:r>
                  <w:rPr>
                    <w:rFonts w:ascii="Cambria Math" w:hAnsi="Cambria Math"/>
                    <w:szCs w:val="20"/>
                  </w:rPr>
                  <m:t>Y=</m:t>
                </m:r>
                <m:r>
                  <w:rPr>
                    <w:rFonts w:ascii="Cambria Math" w:hAnsi="Cambria Math" w:hint="eastAsia"/>
                    <w:szCs w:val="20"/>
                  </w:rPr>
                  <m:t>1.2</m:t>
                </m:r>
              </m:oMath>
            </m:oMathPara>
          </w:p>
        </w:tc>
        <w:tc>
          <w:tcPr>
            <w:tcW w:w="1772" w:type="dxa"/>
            <w:vAlign w:val="center"/>
          </w:tcPr>
          <w:p w14:paraId="381644CB" w14:textId="77777777" w:rsidR="00342321" w:rsidRPr="00BC31E0" w:rsidRDefault="00342321" w:rsidP="004736F2">
            <w:pPr>
              <w:snapToGrid w:val="0"/>
              <w:spacing w:line="320" w:lineRule="atLeast"/>
              <w:jc w:val="center"/>
              <w:rPr>
                <w:szCs w:val="20"/>
              </w:rPr>
            </w:pPr>
            <m:oMathPara>
              <m:oMath>
                <m:r>
                  <w:rPr>
                    <w:rFonts w:ascii="Cambria Math" w:hAnsi="Cambria Math"/>
                    <w:szCs w:val="20"/>
                  </w:rPr>
                  <m:t>Y=</m:t>
                </m:r>
                <m:r>
                  <w:rPr>
                    <w:rFonts w:ascii="Cambria Math" w:hAnsi="Cambria Math" w:hint="eastAsia"/>
                    <w:szCs w:val="20"/>
                  </w:rPr>
                  <m:t>1.5</m:t>
                </m:r>
              </m:oMath>
            </m:oMathPara>
          </w:p>
        </w:tc>
        <w:tc>
          <w:tcPr>
            <w:tcW w:w="1772" w:type="dxa"/>
            <w:vAlign w:val="center"/>
          </w:tcPr>
          <w:p w14:paraId="4959FA56" w14:textId="77777777" w:rsidR="00342321" w:rsidRPr="00BC31E0" w:rsidRDefault="00342321" w:rsidP="004736F2">
            <w:pPr>
              <w:snapToGrid w:val="0"/>
              <w:spacing w:line="320" w:lineRule="atLeast"/>
              <w:jc w:val="center"/>
              <w:rPr>
                <w:szCs w:val="20"/>
              </w:rPr>
            </w:pPr>
            <m:oMathPara>
              <m:oMath>
                <m:r>
                  <w:rPr>
                    <w:rFonts w:ascii="Cambria Math" w:hAnsi="Cambria Math"/>
                    <w:szCs w:val="20"/>
                  </w:rPr>
                  <m:t>Y=</m:t>
                </m:r>
                <m:r>
                  <w:rPr>
                    <w:rFonts w:ascii="Cambria Math" w:hAnsi="Cambria Math" w:hint="eastAsia"/>
                    <w:szCs w:val="20"/>
                  </w:rPr>
                  <m:t>2.0</m:t>
                </m:r>
              </m:oMath>
            </m:oMathPara>
          </w:p>
        </w:tc>
        <w:tc>
          <w:tcPr>
            <w:tcW w:w="1772" w:type="dxa"/>
            <w:vAlign w:val="center"/>
          </w:tcPr>
          <w:p w14:paraId="1BE57FE0" w14:textId="77777777" w:rsidR="00342321" w:rsidRPr="00BC31E0" w:rsidRDefault="00342321" w:rsidP="004736F2">
            <w:pPr>
              <w:snapToGrid w:val="0"/>
              <w:spacing w:line="320" w:lineRule="atLeast"/>
              <w:jc w:val="center"/>
              <w:rPr>
                <w:szCs w:val="20"/>
              </w:rPr>
            </w:pPr>
            <m:oMathPara>
              <m:oMath>
                <m:r>
                  <w:rPr>
                    <w:rFonts w:ascii="Cambria Math" w:hAnsi="Cambria Math"/>
                    <w:szCs w:val="20"/>
                  </w:rPr>
                  <m:t>Y=</m:t>
                </m:r>
                <m:r>
                  <w:rPr>
                    <w:rFonts w:ascii="Cambria Math" w:hAnsi="Cambria Math" w:hint="eastAsia"/>
                    <w:szCs w:val="20"/>
                  </w:rPr>
                  <m:t>2.5</m:t>
                </m:r>
              </m:oMath>
            </m:oMathPara>
          </w:p>
        </w:tc>
      </w:tr>
      <w:tr w:rsidR="00342321" w:rsidRPr="00BC31E0" w14:paraId="604A9604" w14:textId="77777777" w:rsidTr="004736F2">
        <w:trPr>
          <w:jc w:val="center"/>
        </w:trPr>
        <w:tc>
          <w:tcPr>
            <w:tcW w:w="992" w:type="dxa"/>
            <w:vMerge/>
            <w:vAlign w:val="center"/>
          </w:tcPr>
          <w:p w14:paraId="6F896D8E" w14:textId="77777777" w:rsidR="00342321" w:rsidRPr="00BC31E0" w:rsidRDefault="00342321" w:rsidP="004736F2">
            <w:pPr>
              <w:snapToGrid w:val="0"/>
              <w:spacing w:line="320" w:lineRule="atLeast"/>
              <w:jc w:val="center"/>
              <w:rPr>
                <w:szCs w:val="20"/>
              </w:rPr>
            </w:pPr>
          </w:p>
        </w:tc>
        <w:tc>
          <w:tcPr>
            <w:tcW w:w="1772" w:type="dxa"/>
            <w:vAlign w:val="center"/>
          </w:tcPr>
          <w:p w14:paraId="063CD5DA" w14:textId="77777777" w:rsidR="00342321" w:rsidRPr="00BC31E0" w:rsidRDefault="00A51873" w:rsidP="004736F2">
            <w:pPr>
              <w:snapToGrid w:val="0"/>
              <w:spacing w:line="320" w:lineRule="atLeast"/>
              <w:jc w:val="center"/>
              <w:rPr>
                <w:rFonts w:ascii="Times New Roman" w:hAnsi="Times New Roman"/>
                <w:i/>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t</m:t>
                    </m:r>
                  </m:den>
                </m:f>
              </m:oMath>
            </m:oMathPara>
          </w:p>
        </w:tc>
        <w:tc>
          <w:tcPr>
            <w:tcW w:w="1772" w:type="dxa"/>
            <w:vAlign w:val="center"/>
          </w:tcPr>
          <w:p w14:paraId="66E4CA02" w14:textId="77777777" w:rsidR="00342321" w:rsidRPr="00BC31E0" w:rsidRDefault="00A51873" w:rsidP="004736F2">
            <w:pPr>
              <w:snapToGrid w:val="0"/>
              <w:spacing w:line="320" w:lineRule="atLeast"/>
              <w:jc w:val="center"/>
              <w:rPr>
                <w:rFonts w:ascii="Times New Roman" w:hAnsi="Times New Roman"/>
                <w:i/>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t</m:t>
                    </m:r>
                  </m:den>
                </m:f>
              </m:oMath>
            </m:oMathPara>
          </w:p>
        </w:tc>
        <w:tc>
          <w:tcPr>
            <w:tcW w:w="1772" w:type="dxa"/>
            <w:vAlign w:val="center"/>
          </w:tcPr>
          <w:p w14:paraId="7226A94E" w14:textId="77777777" w:rsidR="00342321" w:rsidRPr="00BC31E0" w:rsidRDefault="00A51873" w:rsidP="004736F2">
            <w:pPr>
              <w:snapToGrid w:val="0"/>
              <w:spacing w:line="320" w:lineRule="atLeast"/>
              <w:jc w:val="center"/>
              <w:rPr>
                <w:rFonts w:ascii="Times New Roman" w:hAnsi="Times New Roman"/>
                <w:i/>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t</m:t>
                    </m:r>
                  </m:den>
                </m:f>
              </m:oMath>
            </m:oMathPara>
          </w:p>
        </w:tc>
        <w:tc>
          <w:tcPr>
            <w:tcW w:w="1772" w:type="dxa"/>
            <w:vAlign w:val="center"/>
          </w:tcPr>
          <w:p w14:paraId="503A1BD5" w14:textId="77777777" w:rsidR="00342321" w:rsidRPr="00BC31E0" w:rsidRDefault="00A51873" w:rsidP="004736F2">
            <w:pPr>
              <w:snapToGrid w:val="0"/>
              <w:spacing w:line="320" w:lineRule="atLeast"/>
              <w:jc w:val="center"/>
              <w:rPr>
                <w:rFonts w:ascii="Times New Roman" w:hAnsi="Times New Roman"/>
                <w:i/>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t</m:t>
                    </m:r>
                  </m:den>
                </m:f>
              </m:oMath>
            </m:oMathPara>
          </w:p>
        </w:tc>
      </w:tr>
      <w:tr w:rsidR="00342321" w:rsidRPr="00BC31E0" w14:paraId="5693056C" w14:textId="77777777" w:rsidTr="004736F2">
        <w:trPr>
          <w:jc w:val="center"/>
        </w:trPr>
        <w:tc>
          <w:tcPr>
            <w:tcW w:w="992" w:type="dxa"/>
            <w:vAlign w:val="center"/>
          </w:tcPr>
          <w:p w14:paraId="2869F6EA" w14:textId="77777777" w:rsidR="00342321" w:rsidRPr="00BC31E0" w:rsidRDefault="00342321" w:rsidP="004736F2">
            <w:pPr>
              <w:snapToGrid w:val="0"/>
              <w:spacing w:line="320" w:lineRule="atLeast"/>
              <w:jc w:val="center"/>
              <w:rPr>
                <w:rFonts w:ascii="Cambria Math" w:hAnsi="Cambria Math"/>
                <w:sz w:val="22"/>
                <w:szCs w:val="22"/>
              </w:rPr>
            </w:pPr>
            <w:r w:rsidRPr="00BC31E0">
              <w:rPr>
                <w:rFonts w:ascii="Cambria Math" w:hAnsi="Cambria Math"/>
                <w:sz w:val="22"/>
                <w:szCs w:val="22"/>
              </w:rPr>
              <w:t>0.0</w:t>
            </w:r>
          </w:p>
        </w:tc>
        <w:tc>
          <w:tcPr>
            <w:tcW w:w="1772" w:type="dxa"/>
            <w:vAlign w:val="center"/>
          </w:tcPr>
          <w:p w14:paraId="04323239" w14:textId="77777777" w:rsidR="00342321" w:rsidRPr="00BC31E0" w:rsidRDefault="00342321" w:rsidP="004736F2">
            <w:pPr>
              <w:snapToGrid w:val="0"/>
              <w:spacing w:line="320" w:lineRule="atLeast"/>
              <w:jc w:val="center"/>
              <w:rPr>
                <w:rFonts w:ascii="Cambria Math" w:hAnsi="Cambria Math"/>
                <w:i/>
                <w:sz w:val="22"/>
                <w:szCs w:val="22"/>
              </w:rPr>
            </w:pPr>
            <m:oMathPara>
              <m:oMath>
                <m:r>
                  <w:rPr>
                    <w:rFonts w:ascii="Cambria Math" w:hAnsi="Cambria Math"/>
                    <w:sz w:val="22"/>
                    <w:szCs w:val="22"/>
                  </w:rPr>
                  <m:t xml:space="preserve">0.741 </m:t>
                </m:r>
                <m:sSup>
                  <m:sSupPr>
                    <m:ctrlPr>
                      <w:rPr>
                        <w:rFonts w:ascii="Cambria Math" w:hAnsi="Cambria Math"/>
                        <w:i/>
                        <w:sz w:val="22"/>
                        <w:szCs w:val="22"/>
                      </w:rPr>
                    </m:ctrlPr>
                  </m:sSupPr>
                  <m:e>
                    <m:r>
                      <w:rPr>
                        <w:rFonts w:ascii="Cambria Math" w:hAnsi="Cambria Math"/>
                        <w:sz w:val="22"/>
                        <w:szCs w:val="22"/>
                      </w:rPr>
                      <m:t xml:space="preserve">t </m:t>
                    </m:r>
                  </m:e>
                  <m:sup>
                    <m:r>
                      <w:rPr>
                        <w:rFonts w:ascii="Cambria Math" w:hAnsi="Cambria Math"/>
                        <w:sz w:val="22"/>
                        <w:szCs w:val="22"/>
                        <w:vertAlign w:val="superscript"/>
                      </w:rPr>
                      <m:t>-</m:t>
                    </m:r>
                    <m:r>
                      <w:rPr>
                        <w:rFonts w:ascii="Cambria Math" w:hAnsi="Cambria Math" w:hint="eastAsia"/>
                        <w:sz w:val="22"/>
                        <w:szCs w:val="22"/>
                        <w:vertAlign w:val="superscript"/>
                      </w:rPr>
                      <m:t>1.02</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772" w:type="dxa"/>
            <w:vAlign w:val="center"/>
          </w:tcPr>
          <w:p w14:paraId="14BD6590" w14:textId="77777777" w:rsidR="00342321" w:rsidRPr="00BC31E0" w:rsidRDefault="00342321" w:rsidP="004736F2">
            <w:pPr>
              <w:snapToGrid w:val="0"/>
              <w:spacing w:line="320" w:lineRule="atLeast"/>
              <w:jc w:val="center"/>
              <w:rPr>
                <w:rFonts w:ascii="ＭＳ ゴシック" w:eastAsia="ＭＳ ゴシック" w:hAnsi="ＭＳ ゴシック"/>
                <w:b/>
                <w:szCs w:val="20"/>
                <w:vertAlign w:val="superscript"/>
              </w:rPr>
            </w:pPr>
            <w:r w:rsidRPr="00BC31E0">
              <w:rPr>
                <w:rFonts w:ascii="ＭＳ ゴシック" w:eastAsia="ＭＳ ゴシック" w:hAnsi="ＭＳ ゴシック" w:hint="eastAsia"/>
                <w:b/>
                <w:szCs w:val="20"/>
                <w:vertAlign w:val="superscript"/>
              </w:rPr>
              <w:t>a)</w:t>
            </w:r>
          </w:p>
        </w:tc>
        <w:tc>
          <w:tcPr>
            <w:tcW w:w="1772" w:type="dxa"/>
            <w:vAlign w:val="center"/>
          </w:tcPr>
          <w:p w14:paraId="40EE0946" w14:textId="77777777" w:rsidR="00342321" w:rsidRPr="00BC31E0" w:rsidRDefault="00342321" w:rsidP="004736F2">
            <w:pPr>
              <w:snapToGrid w:val="0"/>
              <w:spacing w:line="320" w:lineRule="atLeast"/>
              <w:jc w:val="center"/>
              <w:rPr>
                <w:rFonts w:ascii="ＭＳ ゴシック" w:eastAsia="ＭＳ ゴシック" w:hAnsi="ＭＳ ゴシック"/>
                <w:b/>
                <w:szCs w:val="20"/>
                <w:vertAlign w:val="superscript"/>
              </w:rPr>
            </w:pPr>
            <w:r w:rsidRPr="00BC31E0">
              <w:rPr>
                <w:rFonts w:ascii="ＭＳ ゴシック" w:eastAsia="ＭＳ ゴシック" w:hAnsi="ＭＳ ゴシック" w:hint="eastAsia"/>
                <w:b/>
                <w:szCs w:val="20"/>
                <w:vertAlign w:val="superscript"/>
              </w:rPr>
              <w:t>a)</w:t>
            </w:r>
          </w:p>
        </w:tc>
        <w:tc>
          <w:tcPr>
            <w:tcW w:w="1772" w:type="dxa"/>
            <w:vAlign w:val="center"/>
          </w:tcPr>
          <w:p w14:paraId="06E6929B" w14:textId="77777777" w:rsidR="00342321" w:rsidRPr="00BC31E0" w:rsidRDefault="00342321" w:rsidP="004736F2">
            <w:pPr>
              <w:snapToGrid w:val="0"/>
              <w:spacing w:line="320" w:lineRule="atLeast"/>
              <w:jc w:val="center"/>
              <w:rPr>
                <w:rFonts w:ascii="ＭＳ ゴシック" w:eastAsia="ＭＳ ゴシック" w:hAnsi="ＭＳ ゴシック"/>
                <w:b/>
                <w:szCs w:val="20"/>
              </w:rPr>
            </w:pPr>
            <w:r w:rsidRPr="00BC31E0">
              <w:rPr>
                <w:rFonts w:ascii="ＭＳ ゴシック" w:eastAsia="ＭＳ ゴシック" w:hAnsi="ＭＳ ゴシック" w:hint="eastAsia"/>
                <w:b/>
                <w:szCs w:val="20"/>
                <w:vertAlign w:val="superscript"/>
              </w:rPr>
              <w:t>a)</w:t>
            </w:r>
          </w:p>
        </w:tc>
      </w:tr>
      <w:tr w:rsidR="00342321" w:rsidRPr="00BC31E0" w14:paraId="75209F48" w14:textId="77777777" w:rsidTr="004736F2">
        <w:trPr>
          <w:jc w:val="center"/>
        </w:trPr>
        <w:tc>
          <w:tcPr>
            <w:tcW w:w="992" w:type="dxa"/>
            <w:vAlign w:val="center"/>
          </w:tcPr>
          <w:p w14:paraId="6143D427" w14:textId="77777777" w:rsidR="00342321" w:rsidRPr="00BC31E0" w:rsidRDefault="00342321" w:rsidP="004736F2">
            <w:pPr>
              <w:snapToGrid w:val="0"/>
              <w:spacing w:line="320" w:lineRule="atLeast"/>
              <w:jc w:val="center"/>
              <w:rPr>
                <w:rFonts w:ascii="Cambria Math" w:hAnsi="Cambria Math"/>
                <w:sz w:val="22"/>
                <w:szCs w:val="22"/>
              </w:rPr>
            </w:pPr>
            <w:r w:rsidRPr="00BC31E0">
              <w:rPr>
                <w:rFonts w:ascii="Cambria Math" w:hAnsi="Cambria Math"/>
                <w:sz w:val="22"/>
                <w:szCs w:val="22"/>
              </w:rPr>
              <w:t>0.1</w:t>
            </w:r>
          </w:p>
        </w:tc>
        <w:tc>
          <w:tcPr>
            <w:tcW w:w="1772" w:type="dxa"/>
            <w:vAlign w:val="center"/>
          </w:tcPr>
          <w:p w14:paraId="022EC6CC" w14:textId="77777777" w:rsidR="00342321" w:rsidRPr="00BC31E0" w:rsidRDefault="00342321" w:rsidP="004736F2">
            <w:pPr>
              <w:snapToGrid w:val="0"/>
              <w:spacing w:line="320" w:lineRule="atLeast"/>
              <w:jc w:val="center"/>
              <w:rPr>
                <w:rFonts w:ascii="Cambria Math" w:hAnsi="Cambria Math"/>
                <w:i/>
                <w:sz w:val="22"/>
                <w:szCs w:val="22"/>
              </w:rPr>
            </w:pPr>
            <m:oMathPara>
              <m:oMath>
                <m:r>
                  <w:rPr>
                    <w:rFonts w:ascii="Cambria Math" w:hAnsi="Cambria Math"/>
                    <w:sz w:val="22"/>
                    <w:szCs w:val="22"/>
                  </w:rPr>
                  <m:t xml:space="preserve">0.994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-0.9</m:t>
                    </m:r>
                    <m:r>
                      <w:rPr>
                        <w:rFonts w:ascii="Cambria Math" w:hAnsi="Cambria Math" w:hint="eastAsia"/>
                        <w:sz w:val="22"/>
                        <w:szCs w:val="22"/>
                        <w:vertAlign w:val="superscript"/>
                      </w:rPr>
                      <m:t>58</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772" w:type="dxa"/>
            <w:vAlign w:val="center"/>
          </w:tcPr>
          <w:p w14:paraId="578D1F6E" w14:textId="77777777" w:rsidR="00342321" w:rsidRPr="00BC31E0" w:rsidRDefault="00342321" w:rsidP="004736F2">
            <w:pPr>
              <w:snapToGrid w:val="0"/>
              <w:spacing w:line="320" w:lineRule="atLeast"/>
              <w:jc w:val="center"/>
              <w:rPr>
                <w:rFonts w:ascii="ＭＳ ゴシック" w:eastAsia="ＭＳ ゴシック" w:hAnsi="ＭＳ ゴシック"/>
                <w:b/>
                <w:szCs w:val="20"/>
              </w:rPr>
            </w:pPr>
            <w:r w:rsidRPr="00BC31E0">
              <w:rPr>
                <w:rFonts w:ascii="ＭＳ ゴシック" w:eastAsia="ＭＳ ゴシック" w:hAnsi="ＭＳ ゴシック" w:hint="eastAsia"/>
                <w:b/>
                <w:szCs w:val="20"/>
                <w:vertAlign w:val="superscript"/>
              </w:rPr>
              <w:t>a)</w:t>
            </w:r>
          </w:p>
        </w:tc>
        <w:tc>
          <w:tcPr>
            <w:tcW w:w="1772" w:type="dxa"/>
            <w:vAlign w:val="center"/>
          </w:tcPr>
          <w:p w14:paraId="5BFB95F4" w14:textId="77777777" w:rsidR="00342321" w:rsidRPr="00BC31E0" w:rsidRDefault="00342321" w:rsidP="004736F2">
            <w:pPr>
              <w:snapToGrid w:val="0"/>
              <w:spacing w:line="320" w:lineRule="atLeast"/>
              <w:jc w:val="center"/>
              <w:rPr>
                <w:rFonts w:ascii="ＭＳ ゴシック" w:eastAsia="ＭＳ ゴシック" w:hAnsi="ＭＳ ゴシック"/>
                <w:b/>
                <w:szCs w:val="20"/>
              </w:rPr>
            </w:pPr>
            <w:r w:rsidRPr="00BC31E0">
              <w:rPr>
                <w:rFonts w:ascii="ＭＳ ゴシック" w:eastAsia="ＭＳ ゴシック" w:hAnsi="ＭＳ ゴシック" w:hint="eastAsia"/>
                <w:b/>
                <w:szCs w:val="20"/>
                <w:vertAlign w:val="superscript"/>
              </w:rPr>
              <w:t>a)</w:t>
            </w:r>
          </w:p>
        </w:tc>
        <w:tc>
          <w:tcPr>
            <w:tcW w:w="1772" w:type="dxa"/>
            <w:vAlign w:val="center"/>
          </w:tcPr>
          <w:p w14:paraId="5DB49E0F" w14:textId="77777777" w:rsidR="00342321" w:rsidRPr="00BC31E0" w:rsidRDefault="00342321" w:rsidP="004736F2">
            <w:pPr>
              <w:snapToGrid w:val="0"/>
              <w:spacing w:line="320" w:lineRule="atLeast"/>
              <w:jc w:val="center"/>
              <w:rPr>
                <w:rFonts w:ascii="ＭＳ ゴシック" w:eastAsia="ＭＳ ゴシック" w:hAnsi="ＭＳ ゴシック"/>
                <w:b/>
                <w:szCs w:val="20"/>
              </w:rPr>
            </w:pPr>
            <w:r w:rsidRPr="00BC31E0">
              <w:rPr>
                <w:rFonts w:ascii="ＭＳ ゴシック" w:eastAsia="ＭＳ ゴシック" w:hAnsi="ＭＳ ゴシック" w:hint="eastAsia"/>
                <w:b/>
                <w:szCs w:val="20"/>
                <w:vertAlign w:val="superscript"/>
              </w:rPr>
              <w:t>a)</w:t>
            </w:r>
          </w:p>
        </w:tc>
      </w:tr>
      <w:tr w:rsidR="00342321" w:rsidRPr="00BC31E0" w14:paraId="72673FFF" w14:textId="77777777" w:rsidTr="004736F2">
        <w:trPr>
          <w:jc w:val="center"/>
        </w:trPr>
        <w:tc>
          <w:tcPr>
            <w:tcW w:w="992" w:type="dxa"/>
            <w:vAlign w:val="center"/>
          </w:tcPr>
          <w:p w14:paraId="7F8B7454" w14:textId="77777777" w:rsidR="00342321" w:rsidRPr="00BC31E0" w:rsidRDefault="00342321" w:rsidP="004736F2">
            <w:pPr>
              <w:snapToGrid w:val="0"/>
              <w:spacing w:line="320" w:lineRule="atLeast"/>
              <w:jc w:val="center"/>
              <w:rPr>
                <w:rFonts w:ascii="Cambria Math" w:hAnsi="Cambria Math"/>
                <w:sz w:val="22"/>
                <w:szCs w:val="22"/>
              </w:rPr>
            </w:pPr>
            <w:r w:rsidRPr="00BC31E0">
              <w:rPr>
                <w:rFonts w:ascii="Cambria Math" w:hAnsi="Cambria Math"/>
                <w:sz w:val="22"/>
                <w:szCs w:val="22"/>
              </w:rPr>
              <w:t>0.2</w:t>
            </w:r>
          </w:p>
        </w:tc>
        <w:tc>
          <w:tcPr>
            <w:tcW w:w="1772" w:type="dxa"/>
            <w:vAlign w:val="center"/>
          </w:tcPr>
          <w:p w14:paraId="23FABF5E" w14:textId="77777777" w:rsidR="00342321" w:rsidRPr="00BC31E0" w:rsidRDefault="00342321" w:rsidP="004736F2">
            <w:pPr>
              <w:snapToGrid w:val="0"/>
              <w:spacing w:line="320" w:lineRule="atLeast"/>
              <w:jc w:val="center"/>
              <w:rPr>
                <w:rFonts w:ascii="Cambria Math" w:hAnsi="Cambria Math"/>
                <w:i/>
                <w:sz w:val="22"/>
                <w:szCs w:val="22"/>
              </w:rPr>
            </w:pPr>
            <m:oMathPara>
              <m:oMath>
                <m:r>
                  <w:rPr>
                    <w:rFonts w:ascii="Cambria Math" w:hAnsi="Cambria Math"/>
                    <w:sz w:val="22"/>
                    <w:szCs w:val="22"/>
                  </w:rPr>
                  <m:t xml:space="preserve">1.90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-0.9</m:t>
                    </m:r>
                    <m:r>
                      <w:rPr>
                        <w:rFonts w:ascii="Cambria Math" w:hAnsi="Cambria Math" w:hint="eastAsia"/>
                        <w:sz w:val="22"/>
                        <w:szCs w:val="22"/>
                        <w:vertAlign w:val="superscript"/>
                      </w:rPr>
                      <m:t>55</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772" w:type="dxa"/>
            <w:vAlign w:val="center"/>
          </w:tcPr>
          <w:p w14:paraId="658C2E92" w14:textId="77777777" w:rsidR="00342321" w:rsidRPr="00BC31E0" w:rsidRDefault="00342321" w:rsidP="004736F2">
            <w:pPr>
              <w:snapToGrid w:val="0"/>
              <w:spacing w:line="320" w:lineRule="atLeast"/>
              <w:jc w:val="center"/>
              <w:rPr>
                <w:rFonts w:ascii="Cambria Math" w:hAnsi="Cambria Math"/>
                <w:i/>
                <w:sz w:val="22"/>
                <w:szCs w:val="22"/>
              </w:rPr>
            </w:pPr>
            <m:oMathPara>
              <m:oMath>
                <m:r>
                  <w:rPr>
                    <w:rFonts w:ascii="Cambria Math" w:hAnsi="Cambria Math"/>
                    <w:sz w:val="22"/>
                    <w:szCs w:val="22"/>
                  </w:rPr>
                  <m:t xml:space="preserve">1.25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-1.0</m:t>
                    </m:r>
                    <m:r>
                      <w:rPr>
                        <w:rFonts w:ascii="Cambria Math" w:hAnsi="Cambria Math" w:hint="eastAsia"/>
                        <w:sz w:val="22"/>
                        <w:szCs w:val="22"/>
                        <w:vertAlign w:val="superscript"/>
                      </w:rPr>
                      <m:t>3</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772" w:type="dxa"/>
            <w:vAlign w:val="center"/>
          </w:tcPr>
          <w:p w14:paraId="4DE3846F" w14:textId="77777777" w:rsidR="00342321" w:rsidRPr="00BC31E0" w:rsidRDefault="00342321" w:rsidP="004736F2">
            <w:pPr>
              <w:snapToGrid w:val="0"/>
              <w:spacing w:line="320" w:lineRule="atLeast"/>
              <w:jc w:val="center"/>
              <w:rPr>
                <w:rFonts w:ascii="ＭＳ ゴシック" w:eastAsia="ＭＳ ゴシック" w:hAnsi="ＭＳ ゴシック"/>
                <w:b/>
                <w:szCs w:val="20"/>
              </w:rPr>
            </w:pPr>
            <w:r w:rsidRPr="00BC31E0">
              <w:rPr>
                <w:rFonts w:ascii="ＭＳ ゴシック" w:eastAsia="ＭＳ ゴシック" w:hAnsi="ＭＳ ゴシック" w:hint="eastAsia"/>
                <w:b/>
                <w:szCs w:val="20"/>
                <w:vertAlign w:val="superscript"/>
              </w:rPr>
              <w:t>a)</w:t>
            </w:r>
          </w:p>
        </w:tc>
        <w:tc>
          <w:tcPr>
            <w:tcW w:w="1772" w:type="dxa"/>
            <w:vAlign w:val="center"/>
          </w:tcPr>
          <w:p w14:paraId="2C5C77A8" w14:textId="77777777" w:rsidR="00342321" w:rsidRPr="00BC31E0" w:rsidRDefault="00342321" w:rsidP="004736F2">
            <w:pPr>
              <w:snapToGrid w:val="0"/>
              <w:spacing w:line="320" w:lineRule="atLeast"/>
              <w:jc w:val="center"/>
              <w:rPr>
                <w:rFonts w:ascii="ＭＳ ゴシック" w:eastAsia="ＭＳ ゴシック" w:hAnsi="ＭＳ ゴシック"/>
                <w:b/>
                <w:szCs w:val="20"/>
              </w:rPr>
            </w:pPr>
            <w:r w:rsidRPr="00BC31E0">
              <w:rPr>
                <w:rFonts w:ascii="ＭＳ ゴシック" w:eastAsia="ＭＳ ゴシック" w:hAnsi="ＭＳ ゴシック" w:hint="eastAsia"/>
                <w:b/>
                <w:szCs w:val="20"/>
                <w:vertAlign w:val="superscript"/>
              </w:rPr>
              <w:t>a)</w:t>
            </w:r>
          </w:p>
        </w:tc>
      </w:tr>
      <w:tr w:rsidR="00342321" w:rsidRPr="00BC31E0" w14:paraId="2F2F0ACF" w14:textId="77777777" w:rsidTr="004736F2">
        <w:trPr>
          <w:jc w:val="center"/>
        </w:trPr>
        <w:tc>
          <w:tcPr>
            <w:tcW w:w="992" w:type="dxa"/>
            <w:vAlign w:val="center"/>
          </w:tcPr>
          <w:p w14:paraId="7E0EFCEA" w14:textId="77777777" w:rsidR="00342321" w:rsidRPr="00BC31E0" w:rsidRDefault="00342321" w:rsidP="004736F2">
            <w:pPr>
              <w:snapToGrid w:val="0"/>
              <w:spacing w:line="320" w:lineRule="atLeast"/>
              <w:jc w:val="center"/>
              <w:rPr>
                <w:rFonts w:ascii="Cambria Math" w:hAnsi="Cambria Math"/>
                <w:sz w:val="22"/>
                <w:szCs w:val="22"/>
              </w:rPr>
            </w:pPr>
            <w:r w:rsidRPr="00BC31E0">
              <w:rPr>
                <w:rFonts w:ascii="Cambria Math" w:hAnsi="Cambria Math"/>
                <w:sz w:val="22"/>
                <w:szCs w:val="22"/>
              </w:rPr>
              <w:t>0.3</w:t>
            </w:r>
          </w:p>
        </w:tc>
        <w:tc>
          <w:tcPr>
            <w:tcW w:w="1772" w:type="dxa"/>
            <w:vAlign w:val="center"/>
          </w:tcPr>
          <w:p w14:paraId="200990C6" w14:textId="77777777" w:rsidR="00342321" w:rsidRPr="00BC31E0" w:rsidRDefault="00342321" w:rsidP="004736F2">
            <w:pPr>
              <w:snapToGrid w:val="0"/>
              <w:spacing w:line="320" w:lineRule="atLeast"/>
              <w:jc w:val="center"/>
              <w:rPr>
                <w:rFonts w:ascii="Cambria Math" w:hAnsi="Cambria Math"/>
                <w:i/>
                <w:sz w:val="22"/>
                <w:szCs w:val="22"/>
              </w:rPr>
            </w:pPr>
            <m:oMathPara>
              <m:oMath>
                <m:r>
                  <w:rPr>
                    <w:rFonts w:ascii="Cambria Math" w:hAnsi="Cambria Math"/>
                    <w:sz w:val="22"/>
                    <w:szCs w:val="22"/>
                  </w:rPr>
                  <m:t xml:space="preserve">3.16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-0.9</m:t>
                    </m:r>
                    <m:r>
                      <w:rPr>
                        <w:rFonts w:ascii="Cambria Math" w:hAnsi="Cambria Math" w:hint="eastAsia"/>
                        <w:sz w:val="22"/>
                        <w:szCs w:val="22"/>
                        <w:vertAlign w:val="superscript"/>
                      </w:rPr>
                      <m:t>49</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772" w:type="dxa"/>
            <w:vAlign w:val="center"/>
          </w:tcPr>
          <w:p w14:paraId="2A03C7D5" w14:textId="77777777" w:rsidR="00342321" w:rsidRPr="00BC31E0" w:rsidRDefault="00342321" w:rsidP="004736F2">
            <w:pPr>
              <w:snapToGrid w:val="0"/>
              <w:spacing w:line="320" w:lineRule="atLeast"/>
              <w:jc w:val="center"/>
              <w:rPr>
                <w:rFonts w:ascii="Cambria Math" w:hAnsi="Cambria Math"/>
                <w:i/>
                <w:sz w:val="22"/>
                <w:szCs w:val="22"/>
              </w:rPr>
            </w:pPr>
            <m:oMathPara>
              <m:oMath>
                <m:r>
                  <w:rPr>
                    <w:rFonts w:ascii="Cambria Math" w:hAnsi="Cambria Math"/>
                    <w:sz w:val="22"/>
                    <w:szCs w:val="22"/>
                  </w:rPr>
                  <m:t xml:space="preserve">2.69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-1.0</m:t>
                    </m:r>
                    <m:r>
                      <w:rPr>
                        <w:rFonts w:ascii="Cambria Math" w:hAnsi="Cambria Math" w:hint="eastAsia"/>
                        <w:sz w:val="22"/>
                        <w:szCs w:val="22"/>
                        <w:vertAlign w:val="superscript"/>
                      </w:rPr>
                      <m:t>3</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772" w:type="dxa"/>
            <w:vAlign w:val="center"/>
          </w:tcPr>
          <w:p w14:paraId="6E16104A" w14:textId="77777777" w:rsidR="00342321" w:rsidRPr="00BC31E0" w:rsidRDefault="00342321" w:rsidP="004736F2">
            <w:pPr>
              <w:snapToGrid w:val="0"/>
              <w:spacing w:line="320" w:lineRule="atLeast"/>
              <w:jc w:val="center"/>
              <w:rPr>
                <w:rFonts w:ascii="Cambria Math" w:hAnsi="Cambria Math"/>
                <w:i/>
                <w:sz w:val="22"/>
                <w:szCs w:val="22"/>
              </w:rPr>
            </w:pPr>
            <m:oMathPara>
              <m:oMath>
                <m:r>
                  <w:rPr>
                    <w:rFonts w:ascii="Cambria Math" w:hAnsi="Cambria Math"/>
                    <w:sz w:val="22"/>
                    <w:szCs w:val="22"/>
                  </w:rPr>
                  <m:t xml:space="preserve">1.55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-1.1</m:t>
                    </m:r>
                    <m:r>
                      <w:rPr>
                        <w:rFonts w:ascii="Cambria Math" w:hAnsi="Cambria Math" w:hint="eastAsia"/>
                        <w:sz w:val="22"/>
                        <w:szCs w:val="22"/>
                        <w:vertAlign w:val="superscript"/>
                      </w:rPr>
                      <m:t>5</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772" w:type="dxa"/>
            <w:vAlign w:val="center"/>
          </w:tcPr>
          <w:p w14:paraId="5F7BE5E2" w14:textId="77777777" w:rsidR="00342321" w:rsidRPr="00BC31E0" w:rsidRDefault="00342321" w:rsidP="004736F2">
            <w:pPr>
              <w:snapToGrid w:val="0"/>
              <w:spacing w:line="320" w:lineRule="atLeast"/>
              <w:jc w:val="center"/>
              <w:rPr>
                <w:rFonts w:ascii="ＭＳ ゴシック" w:eastAsia="ＭＳ ゴシック" w:hAnsi="ＭＳ ゴシック"/>
                <w:b/>
                <w:szCs w:val="20"/>
              </w:rPr>
            </w:pPr>
            <w:r w:rsidRPr="00BC31E0">
              <w:rPr>
                <w:rFonts w:ascii="ＭＳ ゴシック" w:eastAsia="ＭＳ ゴシック" w:hAnsi="ＭＳ ゴシック" w:hint="eastAsia"/>
                <w:b/>
                <w:szCs w:val="20"/>
                <w:vertAlign w:val="superscript"/>
              </w:rPr>
              <w:t>a)</w:t>
            </w:r>
          </w:p>
        </w:tc>
      </w:tr>
      <w:tr w:rsidR="00342321" w:rsidRPr="00BC31E0" w14:paraId="4683DD98" w14:textId="77777777" w:rsidTr="004736F2">
        <w:trPr>
          <w:jc w:val="center"/>
        </w:trPr>
        <w:tc>
          <w:tcPr>
            <w:tcW w:w="992" w:type="dxa"/>
            <w:vAlign w:val="center"/>
          </w:tcPr>
          <w:p w14:paraId="3ABE7CC5" w14:textId="77777777" w:rsidR="00342321" w:rsidRPr="00BC31E0" w:rsidRDefault="00342321" w:rsidP="004736F2">
            <w:pPr>
              <w:snapToGrid w:val="0"/>
              <w:spacing w:line="320" w:lineRule="atLeast"/>
              <w:jc w:val="center"/>
              <w:rPr>
                <w:rFonts w:ascii="Cambria Math" w:hAnsi="Cambria Math"/>
                <w:sz w:val="22"/>
                <w:szCs w:val="22"/>
              </w:rPr>
            </w:pPr>
            <w:r w:rsidRPr="00BC31E0">
              <w:rPr>
                <w:rFonts w:ascii="Cambria Math" w:hAnsi="Cambria Math"/>
                <w:sz w:val="22"/>
                <w:szCs w:val="22"/>
              </w:rPr>
              <w:t>0.4</w:t>
            </w:r>
          </w:p>
        </w:tc>
        <w:tc>
          <w:tcPr>
            <w:tcW w:w="1772" w:type="dxa"/>
            <w:vAlign w:val="center"/>
          </w:tcPr>
          <w:p w14:paraId="38C555AD" w14:textId="77777777" w:rsidR="00342321" w:rsidRPr="00BC31E0" w:rsidRDefault="00342321" w:rsidP="004736F2">
            <w:pPr>
              <w:snapToGrid w:val="0"/>
              <w:spacing w:line="320" w:lineRule="atLeast"/>
              <w:jc w:val="center"/>
              <w:rPr>
                <w:rFonts w:ascii="Cambria Math" w:hAnsi="Cambria Math"/>
                <w:i/>
                <w:sz w:val="22"/>
                <w:szCs w:val="22"/>
              </w:rPr>
            </w:pPr>
            <m:oMathPara>
              <m:oMath>
                <m:r>
                  <w:rPr>
                    <w:rFonts w:ascii="Cambria Math" w:hAnsi="Cambria Math"/>
                    <w:sz w:val="22"/>
                    <w:szCs w:val="22"/>
                  </w:rPr>
                  <m:t xml:space="preserve">3.60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-0.8</m:t>
                    </m:r>
                    <m:r>
                      <w:rPr>
                        <w:rFonts w:ascii="Cambria Math" w:hAnsi="Cambria Math" w:hint="eastAsia"/>
                        <w:sz w:val="22"/>
                        <w:szCs w:val="22"/>
                        <w:vertAlign w:val="superscript"/>
                      </w:rPr>
                      <m:t>63</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772" w:type="dxa"/>
            <w:vAlign w:val="center"/>
          </w:tcPr>
          <w:p w14:paraId="0574ABF6" w14:textId="77777777" w:rsidR="00342321" w:rsidRPr="00BC31E0" w:rsidRDefault="00342321" w:rsidP="004736F2">
            <w:pPr>
              <w:snapToGrid w:val="0"/>
              <w:spacing w:line="320" w:lineRule="atLeast"/>
              <w:jc w:val="center"/>
              <w:rPr>
                <w:rFonts w:ascii="Cambria Math" w:hAnsi="Cambria Math"/>
                <w:i/>
                <w:sz w:val="22"/>
                <w:szCs w:val="22"/>
              </w:rPr>
            </w:pPr>
            <m:oMathPara>
              <m:oMath>
                <m:r>
                  <w:rPr>
                    <w:rFonts w:ascii="Cambria Math" w:hAnsi="Cambria Math"/>
                    <w:sz w:val="22"/>
                    <w:szCs w:val="22"/>
                  </w:rPr>
                  <m:t xml:space="preserve">3.28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-0.</m:t>
                    </m:r>
                    <m:r>
                      <w:rPr>
                        <w:rFonts w:ascii="Cambria Math" w:hAnsi="Cambria Math" w:hint="eastAsia"/>
                        <w:sz w:val="22"/>
                        <w:szCs w:val="22"/>
                        <w:vertAlign w:val="superscript"/>
                      </w:rPr>
                      <m:t>999</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772" w:type="dxa"/>
            <w:vAlign w:val="center"/>
          </w:tcPr>
          <w:p w14:paraId="67F5B53C" w14:textId="77777777" w:rsidR="00342321" w:rsidRPr="00BC31E0" w:rsidRDefault="00342321" w:rsidP="004736F2">
            <w:pPr>
              <w:snapToGrid w:val="0"/>
              <w:spacing w:line="320" w:lineRule="atLeast"/>
              <w:jc w:val="center"/>
              <w:rPr>
                <w:rFonts w:ascii="Cambria Math" w:hAnsi="Cambria Math"/>
                <w:i/>
                <w:sz w:val="22"/>
                <w:szCs w:val="22"/>
              </w:rPr>
            </w:pPr>
            <m:oMathPara>
              <m:oMath>
                <m:r>
                  <w:rPr>
                    <w:rFonts w:ascii="Cambria Math" w:hAnsi="Cambria Math"/>
                    <w:sz w:val="22"/>
                    <w:szCs w:val="22"/>
                  </w:rPr>
                  <m:t xml:space="preserve">2.19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-0.9</m:t>
                    </m:r>
                    <m:r>
                      <w:rPr>
                        <w:rFonts w:ascii="Cambria Math" w:hAnsi="Cambria Math" w:hint="eastAsia"/>
                        <w:sz w:val="22"/>
                        <w:szCs w:val="22"/>
                        <w:vertAlign w:val="superscript"/>
                      </w:rPr>
                      <m:t>73</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772" w:type="dxa"/>
            <w:vAlign w:val="center"/>
          </w:tcPr>
          <w:p w14:paraId="5836B9D4" w14:textId="77777777" w:rsidR="00342321" w:rsidRPr="00BC31E0" w:rsidRDefault="00342321" w:rsidP="004736F2">
            <w:pPr>
              <w:snapToGrid w:val="0"/>
              <w:spacing w:line="320" w:lineRule="atLeast"/>
              <w:jc w:val="center"/>
              <w:rPr>
                <w:rFonts w:ascii="Cambria Math" w:hAnsi="Cambria Math"/>
                <w:i/>
                <w:sz w:val="22"/>
                <w:szCs w:val="22"/>
              </w:rPr>
            </w:pPr>
            <m:oMathPara>
              <m:oMath>
                <m:r>
                  <w:rPr>
                    <w:rFonts w:ascii="Cambria Math" w:hAnsi="Cambria Math"/>
                    <w:sz w:val="22"/>
                    <w:szCs w:val="22"/>
                  </w:rPr>
                  <m:t xml:space="preserve">1.64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-1.</m:t>
                    </m:r>
                    <m:r>
                      <w:rPr>
                        <w:rFonts w:ascii="Cambria Math" w:hAnsi="Cambria Math" w:hint="eastAsia"/>
                        <w:sz w:val="22"/>
                        <w:szCs w:val="22"/>
                        <w:vertAlign w:val="superscript"/>
                      </w:rPr>
                      <m:t>10</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r>
      <w:tr w:rsidR="00342321" w:rsidRPr="00BC31E0" w14:paraId="40253CB6" w14:textId="77777777" w:rsidTr="004736F2">
        <w:trPr>
          <w:jc w:val="center"/>
        </w:trPr>
        <w:tc>
          <w:tcPr>
            <w:tcW w:w="992" w:type="dxa"/>
            <w:vAlign w:val="center"/>
          </w:tcPr>
          <w:p w14:paraId="4BD8F96B" w14:textId="77777777" w:rsidR="00342321" w:rsidRPr="00BC31E0" w:rsidRDefault="00342321" w:rsidP="004736F2">
            <w:pPr>
              <w:snapToGrid w:val="0"/>
              <w:spacing w:line="320" w:lineRule="atLeast"/>
              <w:jc w:val="center"/>
              <w:rPr>
                <w:rFonts w:ascii="Cambria Math" w:hAnsi="Cambria Math"/>
                <w:sz w:val="22"/>
                <w:szCs w:val="22"/>
              </w:rPr>
            </w:pPr>
            <w:r w:rsidRPr="00BC31E0">
              <w:rPr>
                <w:rFonts w:ascii="Cambria Math" w:hAnsi="Cambria Math"/>
                <w:sz w:val="22"/>
                <w:szCs w:val="22"/>
              </w:rPr>
              <w:t>0.5</w:t>
            </w:r>
          </w:p>
        </w:tc>
        <w:tc>
          <w:tcPr>
            <w:tcW w:w="1772" w:type="dxa"/>
            <w:vAlign w:val="center"/>
          </w:tcPr>
          <w:p w14:paraId="5DE5589C" w14:textId="77777777" w:rsidR="00342321" w:rsidRPr="00BC31E0" w:rsidRDefault="00342321" w:rsidP="004736F2">
            <w:pPr>
              <w:snapToGrid w:val="0"/>
              <w:spacing w:line="320" w:lineRule="atLeast"/>
              <w:jc w:val="center"/>
              <w:rPr>
                <w:rFonts w:ascii="Cambria Math" w:hAnsi="Cambria Math"/>
                <w:i/>
                <w:sz w:val="22"/>
                <w:szCs w:val="22"/>
              </w:rPr>
            </w:pPr>
            <m:oMathPara>
              <m:oMath>
                <m:r>
                  <w:rPr>
                    <w:rFonts w:ascii="Cambria Math" w:hAnsi="Cambria Math"/>
                    <w:sz w:val="22"/>
                    <w:szCs w:val="22"/>
                  </w:rPr>
                  <m:t xml:space="preserve">3.74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-0.8</m:t>
                    </m:r>
                    <m:r>
                      <w:rPr>
                        <w:rFonts w:ascii="Cambria Math" w:hAnsi="Cambria Math" w:hint="eastAsia"/>
                        <w:sz w:val="22"/>
                        <w:szCs w:val="22"/>
                        <w:vertAlign w:val="superscript"/>
                      </w:rPr>
                      <m:t>62</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772" w:type="dxa"/>
            <w:vAlign w:val="center"/>
          </w:tcPr>
          <w:p w14:paraId="4285313D" w14:textId="77777777" w:rsidR="00342321" w:rsidRPr="00BC31E0" w:rsidRDefault="00342321" w:rsidP="004736F2">
            <w:pPr>
              <w:snapToGrid w:val="0"/>
              <w:spacing w:line="320" w:lineRule="atLeast"/>
              <w:jc w:val="center"/>
              <w:rPr>
                <w:rFonts w:ascii="Cambria Math" w:hAnsi="Cambria Math"/>
                <w:i/>
                <w:sz w:val="22"/>
                <w:szCs w:val="22"/>
              </w:rPr>
            </w:pPr>
            <m:oMathPara>
              <m:oMath>
                <m:r>
                  <w:rPr>
                    <w:rFonts w:ascii="Cambria Math" w:hAnsi="Cambria Math"/>
                    <w:sz w:val="22"/>
                    <w:szCs w:val="22"/>
                  </w:rPr>
                  <m:t xml:space="preserve">3.30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-0.9</m:t>
                    </m:r>
                    <m:r>
                      <w:rPr>
                        <w:rFonts w:ascii="Cambria Math" w:hAnsi="Cambria Math" w:hint="eastAsia"/>
                        <w:sz w:val="22"/>
                        <w:szCs w:val="22"/>
                        <w:vertAlign w:val="superscript"/>
                      </w:rPr>
                      <m:t>25</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772" w:type="dxa"/>
            <w:vAlign w:val="center"/>
          </w:tcPr>
          <w:p w14:paraId="0ABEBF77" w14:textId="77777777" w:rsidR="00342321" w:rsidRPr="00BC31E0" w:rsidRDefault="00342321" w:rsidP="004736F2">
            <w:pPr>
              <w:snapToGrid w:val="0"/>
              <w:spacing w:line="320" w:lineRule="atLeast"/>
              <w:jc w:val="center"/>
              <w:rPr>
                <w:rFonts w:ascii="Cambria Math" w:hAnsi="Cambria Math"/>
                <w:i/>
                <w:sz w:val="22"/>
                <w:szCs w:val="22"/>
              </w:rPr>
            </w:pPr>
            <m:oMathPara>
              <m:oMath>
                <m:r>
                  <w:rPr>
                    <w:rFonts w:ascii="Cambria Math" w:hAnsi="Cambria Math"/>
                    <w:sz w:val="22"/>
                    <w:szCs w:val="22"/>
                  </w:rPr>
                  <m:t xml:space="preserve">2.36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-0.9</m:t>
                    </m:r>
                    <m:r>
                      <w:rPr>
                        <w:rFonts w:ascii="Cambria Math" w:hAnsi="Cambria Math" w:hint="eastAsia"/>
                        <w:sz w:val="22"/>
                        <w:szCs w:val="22"/>
                        <w:vertAlign w:val="superscript"/>
                      </w:rPr>
                      <m:t>93</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c>
          <w:tcPr>
            <w:tcW w:w="1772" w:type="dxa"/>
            <w:vAlign w:val="center"/>
          </w:tcPr>
          <w:p w14:paraId="52C3E496" w14:textId="77777777" w:rsidR="00342321" w:rsidRPr="00BC31E0" w:rsidRDefault="00342321" w:rsidP="004736F2">
            <w:pPr>
              <w:snapToGrid w:val="0"/>
              <w:spacing w:line="320" w:lineRule="atLeast"/>
              <w:jc w:val="center"/>
              <w:rPr>
                <w:rFonts w:ascii="Cambria Math" w:hAnsi="Cambria Math"/>
                <w:i/>
                <w:sz w:val="22"/>
                <w:szCs w:val="22"/>
              </w:rPr>
            </w:pPr>
            <m:oMathPara>
              <m:oMath>
                <m:r>
                  <w:rPr>
                    <w:rFonts w:ascii="Cambria Math" w:hAnsi="Cambria Math"/>
                    <w:sz w:val="22"/>
                    <w:szCs w:val="22"/>
                  </w:rPr>
                  <m:t xml:space="preserve">1.42 </m:t>
                </m:r>
                <m:sSup>
                  <m:sSupPr>
                    <m:ctrlPr>
                      <w:rPr>
                        <w:rFonts w:ascii="Cambria Math" w:hAnsi="Cambria Math"/>
                        <w:i/>
                        <w:sz w:val="22"/>
                        <w:szCs w:val="22"/>
                      </w:rPr>
                    </m:ctrlPr>
                  </m:sSupPr>
                  <m:e>
                    <m:r>
                      <w:rPr>
                        <w:rFonts w:ascii="Cambria Math" w:hAnsi="Cambria Math"/>
                        <w:sz w:val="22"/>
                        <w:szCs w:val="22"/>
                      </w:rPr>
                      <m:t>t</m:t>
                    </m:r>
                    <m:r>
                      <w:rPr>
                        <w:rFonts w:ascii="Cambria Math" w:hAnsi="Cambria Math"/>
                        <w:sz w:val="22"/>
                        <w:szCs w:val="22"/>
                        <w:vertAlign w:val="superscript"/>
                      </w:rPr>
                      <m:t xml:space="preserve"> </m:t>
                    </m:r>
                  </m:e>
                  <m:sup>
                    <m:r>
                      <w:rPr>
                        <w:rFonts w:ascii="Cambria Math" w:hAnsi="Cambria Math"/>
                        <w:sz w:val="22"/>
                        <w:szCs w:val="22"/>
                        <w:vertAlign w:val="superscript"/>
                      </w:rPr>
                      <m:t>-1.0</m:t>
                    </m:r>
                    <m:r>
                      <w:rPr>
                        <w:rFonts w:ascii="Cambria Math" w:hAnsi="Cambria Math" w:hint="eastAsia"/>
                        <w:sz w:val="22"/>
                        <w:szCs w:val="22"/>
                        <w:vertAlign w:val="superscript"/>
                      </w:rPr>
                      <m:t>3</m:t>
                    </m:r>
                    <m:r>
                      <w:rPr>
                        <w:rFonts w:ascii="Cambria Math" w:hAnsi="Cambria Math"/>
                        <w:sz w:val="22"/>
                        <w:szCs w:val="22"/>
                        <w:vertAlign w:val="superscript"/>
                      </w:rPr>
                      <m:t xml:space="preserve"> </m:t>
                    </m:r>
                  </m:sup>
                </m:s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r>
    </w:tbl>
    <w:p w14:paraId="6F96F35F" w14:textId="77777777" w:rsidR="00342321" w:rsidRPr="00BC31E0" w:rsidRDefault="00342321" w:rsidP="00342321">
      <w:pPr>
        <w:spacing w:before="60" w:after="60"/>
        <w:ind w:left="1474" w:hanging="794"/>
        <w:jc w:val="left"/>
        <w:rPr>
          <w:kern w:val="0"/>
          <w:szCs w:val="20"/>
        </w:rPr>
      </w:pPr>
      <w:r w:rsidRPr="00BC31E0">
        <w:rPr>
          <w:rFonts w:ascii="ＭＳ ゴシック" w:eastAsia="ＭＳ ゴシック" w:hAnsi="ＭＳ ゴシック" w:hint="eastAsia"/>
          <w:b/>
          <w:szCs w:val="20"/>
        </w:rPr>
        <w:t>注記</w:t>
      </w:r>
      <w:r w:rsidRPr="00BC31E0">
        <w:rPr>
          <w:rFonts w:ascii="ＭＳ ゴシック" w:eastAsia="ＭＳ ゴシック" w:hAnsi="ＭＳ ゴシック" w:cs="Tahoma"/>
          <w:b/>
          <w:szCs w:val="20"/>
        </w:rPr>
        <w:t>1</w:t>
      </w:r>
      <w:r w:rsidRPr="00BC31E0">
        <w:rPr>
          <w:rFonts w:ascii="ＭＳ 明朝" w:hAnsi="ＭＳ 明朝" w:cs="Tahoma" w:hint="eastAsia"/>
          <w:b/>
          <w:szCs w:val="20"/>
        </w:rPr>
        <w:t xml:space="preserve">　</w:t>
      </w:r>
      <m:oMath>
        <m:f>
          <m:fPr>
            <m:type m:val="lin"/>
            <m:ctrlPr>
              <w:rPr>
                <w:rFonts w:ascii="Cambria Math" w:hAnsi="Cambria Math"/>
                <w:i/>
                <w:kern w:val="0"/>
                <w:szCs w:val="20"/>
              </w:rPr>
            </m:ctrlPr>
          </m:fPr>
          <m:num>
            <m:r>
              <w:rPr>
                <w:rFonts w:ascii="Cambria Math" w:hAnsi="Cambria Math"/>
                <w:kern w:val="0"/>
                <w:szCs w:val="20"/>
              </w:rPr>
              <m:t>a</m:t>
            </m:r>
          </m:num>
          <m:den>
            <m:r>
              <w:rPr>
                <w:rFonts w:ascii="Cambria Math" w:hAnsi="Cambria Math"/>
                <w:kern w:val="0"/>
                <w:szCs w:val="20"/>
              </w:rPr>
              <m:t xml:space="preserve">t </m:t>
            </m:r>
          </m:den>
        </m:f>
      </m:oMath>
      <w:r w:rsidRPr="00BC31E0">
        <w:rPr>
          <w:rFonts w:hAnsi="ＭＳ 明朝"/>
          <w:kern w:val="0"/>
          <w:szCs w:val="20"/>
        </w:rPr>
        <w:t>の値</w:t>
      </w:r>
      <w:r w:rsidRPr="00BC31E0">
        <w:rPr>
          <w:rFonts w:hAnsi="ＭＳ 明朝" w:hint="eastAsia"/>
          <w:kern w:val="0"/>
          <w:szCs w:val="20"/>
        </w:rPr>
        <w:t>は次の表の値を最大とする</w:t>
      </w:r>
      <w:r w:rsidRPr="00BC31E0">
        <w:rPr>
          <w:rFonts w:hAnsi="ＭＳ 明朝"/>
          <w:kern w:val="0"/>
          <w:szCs w:val="20"/>
        </w:rPr>
        <w:t>。</w:t>
      </w:r>
      <w:r w:rsidRPr="00BC31E0">
        <w:rPr>
          <w:rFonts w:hAnsi="ＭＳ 明朝" w:hint="eastAsia"/>
          <w:kern w:val="0"/>
          <w:szCs w:val="20"/>
        </w:rPr>
        <w:t>なお，</w:t>
      </w:r>
      <m:oMath>
        <m:r>
          <w:rPr>
            <w:rFonts w:ascii="Cambria Math" w:hAnsi="Cambria Math" w:hint="eastAsia"/>
            <w:kern w:val="0"/>
            <w:szCs w:val="20"/>
          </w:rPr>
          <m:t>25</m:t>
        </m:r>
        <m:r>
          <w:rPr>
            <w:rFonts w:ascii="Cambria Math" w:hAnsi="Cambria Math" w:hint="eastAsia"/>
            <w:kern w:val="0"/>
            <w:szCs w:val="20"/>
          </w:rPr>
          <m:t>≦</m:t>
        </m:r>
        <m:r>
          <w:rPr>
            <w:rFonts w:ascii="Cambria Math" w:hAnsi="Cambria Math"/>
            <w:kern w:val="0"/>
            <w:szCs w:val="20"/>
          </w:rPr>
          <m:t>t</m:t>
        </m:r>
        <m:r>
          <w:rPr>
            <w:rFonts w:ascii="Cambria Math" w:hAnsi="Cambria Math" w:hint="eastAsia"/>
            <w:kern w:val="0"/>
            <w:szCs w:val="20"/>
          </w:rPr>
          <m:t>≦</m:t>
        </m:r>
        <m:r>
          <w:rPr>
            <w:rFonts w:ascii="Cambria Math" w:hAnsi="Cambria Math" w:hint="eastAsia"/>
            <w:kern w:val="0"/>
            <w:szCs w:val="20"/>
          </w:rPr>
          <m:t>30</m:t>
        </m:r>
        <m:r>
          <m:rPr>
            <m:sty m:val="p"/>
          </m:rPr>
          <w:rPr>
            <w:rFonts w:ascii="Cambria Math" w:hAnsi="Cambria Math" w:hint="eastAsia"/>
            <w:kern w:val="0"/>
            <w:szCs w:val="20"/>
          </w:rPr>
          <m:t xml:space="preserve"> </m:t>
        </m:r>
        <m:r>
          <m:rPr>
            <m:sty m:val="p"/>
          </m:rPr>
          <w:rPr>
            <w:rFonts w:ascii="Cambria Math" w:hAnsi="Cambria Math"/>
            <w:kern w:val="0"/>
            <w:szCs w:val="20"/>
          </w:rPr>
          <m:t>mm</m:t>
        </m:r>
      </m:oMath>
      <w:r w:rsidRPr="00BC31E0">
        <w:rPr>
          <w:rFonts w:hint="eastAsia"/>
          <w:kern w:val="0"/>
          <w:szCs w:val="20"/>
        </w:rPr>
        <w:t>で，</w:t>
      </w:r>
      <w:r w:rsidRPr="00BC31E0">
        <w:rPr>
          <w:rFonts w:hAnsi="ＭＳ 明朝" w:hint="eastAsia"/>
          <w:kern w:val="0"/>
          <w:szCs w:val="20"/>
        </w:rPr>
        <w:t>中間の</w:t>
      </w:r>
      <m:oMath>
        <m:f>
          <m:fPr>
            <m:type m:val="lin"/>
            <m:ctrlPr>
              <w:rPr>
                <w:rFonts w:ascii="Cambria Math" w:hAnsi="Cambria Math"/>
                <w:i/>
                <w:kern w:val="0"/>
                <w:szCs w:val="20"/>
              </w:rPr>
            </m:ctrlPr>
          </m:fPr>
          <m:num>
            <m:r>
              <w:rPr>
                <w:rFonts w:ascii="Cambria Math" w:hAnsi="Cambria Math"/>
                <w:kern w:val="0"/>
                <w:szCs w:val="20"/>
              </w:rPr>
              <m:t xml:space="preserve"> a</m:t>
            </m:r>
          </m:num>
          <m:den>
            <m:r>
              <w:rPr>
                <w:rFonts w:ascii="Cambria Math" w:hAnsi="Cambria Math"/>
                <w:kern w:val="0"/>
                <w:szCs w:val="20"/>
              </w:rPr>
              <m:t xml:space="preserve">l </m:t>
            </m:r>
          </m:den>
        </m:f>
      </m:oMath>
      <w:r w:rsidRPr="00BC31E0">
        <w:rPr>
          <w:rFonts w:hAnsi="ＭＳ 明朝" w:hint="eastAsia"/>
          <w:kern w:val="0"/>
          <w:szCs w:val="20"/>
        </w:rPr>
        <w:t>の値に対して</w:t>
      </w:r>
      <w:r w:rsidRPr="00BC31E0">
        <w:rPr>
          <w:rFonts w:hint="eastAsia"/>
          <w:kern w:val="0"/>
          <w:szCs w:val="20"/>
        </w:rPr>
        <w:t>は線形補間により</w:t>
      </w:r>
      <m:oMath>
        <m:f>
          <m:fPr>
            <m:type m:val="lin"/>
            <m:ctrlPr>
              <w:rPr>
                <w:rFonts w:ascii="Cambria Math" w:hAnsi="Cambria Math"/>
                <w:i/>
                <w:kern w:val="0"/>
                <w:szCs w:val="20"/>
              </w:rPr>
            </m:ctrlPr>
          </m:fPr>
          <m:num>
            <m:r>
              <w:rPr>
                <w:rFonts w:ascii="Cambria Math" w:hAnsi="Cambria Math"/>
                <w:kern w:val="0"/>
                <w:szCs w:val="20"/>
              </w:rPr>
              <m:t xml:space="preserve"> a</m:t>
            </m:r>
          </m:num>
          <m:den>
            <m:r>
              <w:rPr>
                <w:rFonts w:ascii="Cambria Math" w:hAnsi="Cambria Math"/>
                <w:kern w:val="0"/>
                <w:szCs w:val="20"/>
              </w:rPr>
              <m:t xml:space="preserve">t </m:t>
            </m:r>
          </m:den>
        </m:f>
      </m:oMath>
      <w:r w:rsidRPr="00BC31E0">
        <w:rPr>
          <w:rFonts w:hint="eastAsia"/>
          <w:kern w:val="0"/>
          <w:szCs w:val="20"/>
        </w:rPr>
        <w:t>を求める。</w:t>
      </w:r>
    </w:p>
    <w:tbl>
      <w:tblPr>
        <w:tblW w:w="0" w:type="auto"/>
        <w:tblInd w:w="1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1584"/>
        <w:gridCol w:w="1585"/>
      </w:tblGrid>
      <w:tr w:rsidR="00342321" w:rsidRPr="00BC31E0" w14:paraId="29EC2355" w14:textId="77777777" w:rsidTr="004736F2">
        <w:tc>
          <w:tcPr>
            <w:tcW w:w="2155" w:type="dxa"/>
          </w:tcPr>
          <w:p w14:paraId="0D037AE0" w14:textId="77777777" w:rsidR="00342321" w:rsidRPr="00BC31E0" w:rsidRDefault="00342321" w:rsidP="004736F2">
            <w:pPr>
              <w:snapToGrid w:val="0"/>
              <w:spacing w:line="320" w:lineRule="atLeast"/>
              <w:jc w:val="center"/>
              <w:rPr>
                <w:i/>
                <w:kern w:val="0"/>
                <w:szCs w:val="20"/>
              </w:rPr>
            </w:pPr>
            <m:oMathPara>
              <m:oMath>
                <m:r>
                  <w:rPr>
                    <w:rFonts w:ascii="Cambria Math" w:hAnsi="Cambria Math" w:hint="eastAsia"/>
                    <w:kern w:val="0"/>
                    <w:szCs w:val="20"/>
                  </w:rPr>
                  <m:t>13</m:t>
                </m:r>
                <m:r>
                  <w:rPr>
                    <w:rFonts w:ascii="Cambria Math" w:hAnsi="Cambria Math" w:hint="eastAsia"/>
                    <w:kern w:val="0"/>
                    <w:szCs w:val="20"/>
                  </w:rPr>
                  <m:t>≦</m:t>
                </m:r>
                <m:r>
                  <w:rPr>
                    <w:rFonts w:ascii="Cambria Math" w:hAnsi="Cambria Math"/>
                    <w:kern w:val="0"/>
                    <w:szCs w:val="20"/>
                  </w:rPr>
                  <m:t>t&lt;</m:t>
                </m:r>
                <m:r>
                  <w:rPr>
                    <w:rFonts w:ascii="Cambria Math" w:hAnsi="Cambria Math" w:hint="eastAsia"/>
                    <w:kern w:val="0"/>
                    <w:szCs w:val="20"/>
                  </w:rPr>
                  <m:t>25</m:t>
                </m:r>
                <m:r>
                  <m:rPr>
                    <m:sty m:val="p"/>
                  </m:rPr>
                  <w:rPr>
                    <w:rFonts w:ascii="Cambria Math" w:hAnsi="Cambria Math" w:hint="eastAsia"/>
                    <w:kern w:val="0"/>
                    <w:szCs w:val="20"/>
                  </w:rPr>
                  <m:t xml:space="preserve"> </m:t>
                </m:r>
                <m:r>
                  <m:rPr>
                    <m:sty m:val="p"/>
                  </m:rPr>
                  <w:rPr>
                    <w:rFonts w:ascii="Cambria Math" w:hAnsi="Cambria Math"/>
                    <w:kern w:val="0"/>
                    <w:szCs w:val="20"/>
                  </w:rPr>
                  <m:t>mm</m:t>
                </m:r>
              </m:oMath>
            </m:oMathPara>
          </w:p>
        </w:tc>
        <w:tc>
          <w:tcPr>
            <w:tcW w:w="3169" w:type="dxa"/>
            <w:gridSpan w:val="2"/>
          </w:tcPr>
          <w:p w14:paraId="598DA47D" w14:textId="77777777" w:rsidR="00342321" w:rsidRPr="00BC31E0" w:rsidRDefault="00342321" w:rsidP="004736F2">
            <w:pPr>
              <w:snapToGrid w:val="0"/>
              <w:spacing w:line="320" w:lineRule="atLeast"/>
              <w:jc w:val="center"/>
              <w:rPr>
                <w:i/>
                <w:kern w:val="0"/>
                <w:szCs w:val="20"/>
              </w:rPr>
            </w:pPr>
            <m:oMathPara>
              <m:oMath>
                <m:r>
                  <w:rPr>
                    <w:rFonts w:ascii="Cambria Math" w:hAnsi="Cambria Math" w:hint="eastAsia"/>
                    <w:kern w:val="0"/>
                    <w:szCs w:val="20"/>
                  </w:rPr>
                  <m:t>25</m:t>
                </m:r>
                <m:r>
                  <w:rPr>
                    <w:rFonts w:ascii="Cambria Math" w:hAnsi="Cambria Math" w:hint="eastAsia"/>
                    <w:kern w:val="0"/>
                    <w:szCs w:val="20"/>
                  </w:rPr>
                  <m:t>≦</m:t>
                </m:r>
                <m:r>
                  <w:rPr>
                    <w:rFonts w:ascii="Cambria Math" w:hAnsi="Cambria Math"/>
                    <w:kern w:val="0"/>
                    <w:szCs w:val="20"/>
                  </w:rPr>
                  <m:t>t</m:t>
                </m:r>
                <m:r>
                  <w:rPr>
                    <w:rFonts w:ascii="Cambria Math" w:hAnsi="Cambria Math" w:hint="eastAsia"/>
                    <w:kern w:val="0"/>
                    <w:szCs w:val="20"/>
                  </w:rPr>
                  <m:t>≦</m:t>
                </m:r>
                <m:r>
                  <w:rPr>
                    <w:rFonts w:ascii="Cambria Math" w:hAnsi="Cambria Math" w:hint="eastAsia"/>
                    <w:kern w:val="0"/>
                    <w:szCs w:val="20"/>
                  </w:rPr>
                  <m:t>30</m:t>
                </m:r>
                <m:r>
                  <m:rPr>
                    <m:sty m:val="p"/>
                  </m:rPr>
                  <w:rPr>
                    <w:rFonts w:ascii="Cambria Math" w:hAnsi="Cambria Math" w:hint="eastAsia"/>
                    <w:kern w:val="0"/>
                    <w:szCs w:val="20"/>
                  </w:rPr>
                  <m:t xml:space="preserve"> </m:t>
                </m:r>
                <m:r>
                  <m:rPr>
                    <m:sty m:val="p"/>
                  </m:rPr>
                  <w:rPr>
                    <w:rFonts w:ascii="Cambria Math" w:hAnsi="Cambria Math"/>
                    <w:kern w:val="0"/>
                    <w:szCs w:val="20"/>
                  </w:rPr>
                  <m:t>mm</m:t>
                </m:r>
              </m:oMath>
            </m:oMathPara>
          </w:p>
        </w:tc>
      </w:tr>
      <w:tr w:rsidR="00342321" w:rsidRPr="00BC31E0" w14:paraId="6133F2BB" w14:textId="77777777" w:rsidTr="004736F2">
        <w:tc>
          <w:tcPr>
            <w:tcW w:w="2155" w:type="dxa"/>
            <w:vMerge w:val="restart"/>
          </w:tcPr>
          <w:p w14:paraId="63143823" w14:textId="77777777" w:rsidR="00342321" w:rsidRPr="00BC31E0" w:rsidRDefault="00342321" w:rsidP="004736F2">
            <w:pPr>
              <w:snapToGrid w:val="0"/>
              <w:spacing w:line="320" w:lineRule="atLeast"/>
              <w:jc w:val="center"/>
              <w:rPr>
                <w:kern w:val="0"/>
                <w:szCs w:val="20"/>
              </w:rPr>
            </w:pPr>
          </w:p>
          <w:p w14:paraId="19BA82C4" w14:textId="77777777" w:rsidR="00342321" w:rsidRPr="00BC31E0" w:rsidRDefault="00A51873" w:rsidP="004736F2">
            <w:pPr>
              <w:snapToGrid w:val="0"/>
              <w:spacing w:line="320" w:lineRule="atLeast"/>
              <w:jc w:val="center"/>
              <w:rPr>
                <w:i/>
                <w:kern w:val="0"/>
                <w:sz w:val="22"/>
                <w:szCs w:val="22"/>
              </w:rPr>
            </w:pPr>
            <m:oMathPara>
              <m:oMath>
                <m:f>
                  <m:fPr>
                    <m:type m:val="lin"/>
                    <m:ctrlPr>
                      <w:rPr>
                        <w:rFonts w:ascii="Cambria Math" w:hAnsi="Cambria Math"/>
                        <w:i/>
                        <w:kern w:val="0"/>
                        <w:sz w:val="22"/>
                        <w:szCs w:val="22"/>
                      </w:rPr>
                    </m:ctrlPr>
                  </m:fPr>
                  <m:num>
                    <m:r>
                      <w:rPr>
                        <w:rFonts w:ascii="Cambria Math" w:hAnsi="Cambria Math"/>
                        <w:kern w:val="0"/>
                        <w:sz w:val="22"/>
                        <w:szCs w:val="22"/>
                      </w:rPr>
                      <m:t>a</m:t>
                    </m:r>
                  </m:num>
                  <m:den>
                    <m:r>
                      <w:rPr>
                        <w:rFonts w:ascii="Cambria Math" w:hAnsi="Cambria Math"/>
                        <w:kern w:val="0"/>
                        <w:sz w:val="22"/>
                        <w:szCs w:val="22"/>
                      </w:rPr>
                      <m:t>t</m:t>
                    </m:r>
                  </m:den>
                </m:f>
                <m:r>
                  <w:rPr>
                    <w:rFonts w:ascii="Cambria Math" w:hAnsi="Cambria Math" w:hint="eastAsia"/>
                    <w:kern w:val="0"/>
                    <w:sz w:val="22"/>
                    <w:szCs w:val="22"/>
                  </w:rPr>
                  <m:t xml:space="preserve"> </m:t>
                </m:r>
                <m:r>
                  <w:rPr>
                    <w:rFonts w:ascii="Cambria Math" w:hAnsi="Cambria Math" w:hint="eastAsia"/>
                    <w:kern w:val="0"/>
                    <w:sz w:val="22"/>
                    <w:szCs w:val="22"/>
                  </w:rPr>
                  <m:t>≦</m:t>
                </m:r>
                <m:r>
                  <w:rPr>
                    <w:rFonts w:ascii="Cambria Math" w:hAnsi="Cambria Math" w:hint="eastAsia"/>
                    <w:kern w:val="0"/>
                    <w:sz w:val="22"/>
                    <w:szCs w:val="22"/>
                  </w:rPr>
                  <m:t>0.109</m:t>
                </m:r>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a</m:t>
                    </m:r>
                  </m:sub>
                </m:sSub>
              </m:oMath>
            </m:oMathPara>
          </w:p>
          <w:p w14:paraId="233749D5" w14:textId="77777777" w:rsidR="00342321" w:rsidRPr="00BC31E0" w:rsidRDefault="00342321" w:rsidP="004736F2">
            <w:pPr>
              <w:snapToGrid w:val="0"/>
              <w:spacing w:line="320" w:lineRule="atLeast"/>
              <w:jc w:val="center"/>
              <w:rPr>
                <w:kern w:val="0"/>
                <w:szCs w:val="20"/>
              </w:rPr>
            </w:pPr>
            <w:r w:rsidRPr="00BC31E0">
              <w:rPr>
                <w:rFonts w:hint="eastAsia"/>
                <w:kern w:val="0"/>
                <w:szCs w:val="20"/>
              </w:rPr>
              <w:t>及び</w:t>
            </w:r>
          </w:p>
          <w:p w14:paraId="1B1845CD" w14:textId="77777777" w:rsidR="00342321" w:rsidRPr="00BC31E0" w:rsidRDefault="00342321" w:rsidP="004736F2">
            <w:pPr>
              <w:snapToGrid w:val="0"/>
              <w:spacing w:line="320" w:lineRule="atLeast"/>
              <w:jc w:val="center"/>
              <w:rPr>
                <w:i/>
                <w:kern w:val="0"/>
                <w:szCs w:val="20"/>
              </w:rPr>
            </w:pPr>
            <m:oMathPara>
              <m:oMath>
                <m:r>
                  <w:rPr>
                    <w:rFonts w:ascii="Cambria Math" w:hAnsi="Cambria Math"/>
                    <w:kern w:val="0"/>
                    <w:szCs w:val="20"/>
                  </w:rPr>
                  <m:t>l</m:t>
                </m:r>
                <m:r>
                  <w:rPr>
                    <w:rFonts w:ascii="Cambria Math" w:hAnsi="Cambria Math" w:hint="eastAsia"/>
                    <w:kern w:val="0"/>
                    <w:szCs w:val="20"/>
                  </w:rPr>
                  <m:t>≦</m:t>
                </m:r>
                <m:r>
                  <w:rPr>
                    <w:rFonts w:ascii="Cambria Math" w:hAnsi="Cambria Math" w:hint="eastAsia"/>
                    <w:kern w:val="0"/>
                    <w:szCs w:val="20"/>
                  </w:rPr>
                  <m:t>6.4</m:t>
                </m:r>
                <m:r>
                  <m:rPr>
                    <m:sty m:val="p"/>
                  </m:rPr>
                  <w:rPr>
                    <w:rFonts w:ascii="Cambria Math" w:hAnsi="Cambria Math" w:hint="eastAsia"/>
                    <w:kern w:val="0"/>
                    <w:szCs w:val="20"/>
                  </w:rPr>
                  <m:t xml:space="preserve"> mm</m:t>
                </m:r>
              </m:oMath>
            </m:oMathPara>
          </w:p>
        </w:tc>
        <w:tc>
          <w:tcPr>
            <w:tcW w:w="1584" w:type="dxa"/>
          </w:tcPr>
          <w:p w14:paraId="0D3A7FA6" w14:textId="77777777" w:rsidR="00342321" w:rsidRPr="00BC31E0" w:rsidRDefault="00A51873" w:rsidP="004736F2">
            <w:pPr>
              <w:snapToGrid w:val="0"/>
              <w:spacing w:line="320" w:lineRule="atLeast"/>
              <w:jc w:val="center"/>
              <w:rPr>
                <w:rFonts w:ascii="Times New Roman" w:hAnsi="Times New Roman"/>
                <w:kern w:val="0"/>
                <w:szCs w:val="20"/>
              </w:rPr>
            </w:pPr>
            <m:oMathPara>
              <m:oMath>
                <m:f>
                  <m:fPr>
                    <m:type m:val="lin"/>
                    <m:ctrlPr>
                      <w:rPr>
                        <w:rFonts w:ascii="Cambria Math" w:hAnsi="Cambria Math"/>
                        <w:i/>
                        <w:kern w:val="0"/>
                        <w:szCs w:val="20"/>
                      </w:rPr>
                    </m:ctrlPr>
                  </m:fPr>
                  <m:num>
                    <m:r>
                      <w:rPr>
                        <w:rFonts w:ascii="Cambria Math" w:hAnsi="Cambria Math"/>
                        <w:kern w:val="0"/>
                        <w:szCs w:val="20"/>
                      </w:rPr>
                      <m:t>a</m:t>
                    </m:r>
                  </m:num>
                  <m:den>
                    <m:r>
                      <w:rPr>
                        <w:rFonts w:ascii="Cambria Math" w:hAnsi="Cambria Math"/>
                        <w:kern w:val="0"/>
                        <w:szCs w:val="20"/>
                      </w:rPr>
                      <m:t>l</m:t>
                    </m:r>
                  </m:den>
                </m:f>
              </m:oMath>
            </m:oMathPara>
          </w:p>
        </w:tc>
        <w:tc>
          <w:tcPr>
            <w:tcW w:w="1585" w:type="dxa"/>
          </w:tcPr>
          <w:p w14:paraId="183FC34C" w14:textId="77777777" w:rsidR="00342321" w:rsidRPr="00BC31E0" w:rsidRDefault="00A51873" w:rsidP="004736F2">
            <w:pPr>
              <w:snapToGrid w:val="0"/>
              <w:spacing w:line="320" w:lineRule="atLeast"/>
              <w:jc w:val="center"/>
              <w:rPr>
                <w:rFonts w:ascii="Times New Roman" w:hAnsi="Times New Roman"/>
                <w:kern w:val="0"/>
                <w:szCs w:val="20"/>
              </w:rPr>
            </w:pPr>
            <m:oMathPara>
              <m:oMath>
                <m:f>
                  <m:fPr>
                    <m:type m:val="lin"/>
                    <m:ctrlPr>
                      <w:rPr>
                        <w:rFonts w:ascii="Cambria Math" w:hAnsi="Cambria Math"/>
                        <w:i/>
                        <w:szCs w:val="20"/>
                      </w:rPr>
                    </m:ctrlPr>
                  </m:fPr>
                  <m:num>
                    <m:r>
                      <w:rPr>
                        <w:rFonts w:ascii="Cambria Math" w:hAnsi="Cambria Math"/>
                        <w:szCs w:val="20"/>
                      </w:rPr>
                      <m:t>a</m:t>
                    </m:r>
                  </m:num>
                  <m:den>
                    <m:r>
                      <w:rPr>
                        <w:rFonts w:ascii="Cambria Math" w:hAnsi="Cambria Math"/>
                        <w:szCs w:val="20"/>
                      </w:rPr>
                      <m:t>t</m:t>
                    </m:r>
                  </m:den>
                </m:f>
              </m:oMath>
            </m:oMathPara>
          </w:p>
        </w:tc>
      </w:tr>
      <w:tr w:rsidR="00342321" w:rsidRPr="00BC31E0" w14:paraId="5938B189" w14:textId="77777777" w:rsidTr="004736F2">
        <w:tc>
          <w:tcPr>
            <w:tcW w:w="2155" w:type="dxa"/>
            <w:vMerge/>
          </w:tcPr>
          <w:p w14:paraId="20F3CBA6" w14:textId="77777777" w:rsidR="00342321" w:rsidRPr="00BC31E0" w:rsidRDefault="00342321" w:rsidP="004736F2">
            <w:pPr>
              <w:snapToGrid w:val="0"/>
              <w:spacing w:line="320" w:lineRule="atLeast"/>
              <w:jc w:val="center"/>
              <w:rPr>
                <w:kern w:val="0"/>
                <w:szCs w:val="20"/>
              </w:rPr>
            </w:pPr>
          </w:p>
        </w:tc>
        <w:tc>
          <w:tcPr>
            <w:tcW w:w="1584" w:type="dxa"/>
          </w:tcPr>
          <w:p w14:paraId="43D85F5E" w14:textId="77777777" w:rsidR="00342321" w:rsidRPr="00BC31E0" w:rsidRDefault="00342321" w:rsidP="004736F2">
            <w:pPr>
              <w:snapToGrid w:val="0"/>
              <w:spacing w:line="320" w:lineRule="atLeast"/>
              <w:jc w:val="center"/>
              <w:rPr>
                <w:rFonts w:ascii="Cambria Math" w:hAnsi="Cambria Math"/>
                <w:kern w:val="0"/>
                <w:sz w:val="22"/>
                <w:szCs w:val="22"/>
              </w:rPr>
            </w:pPr>
            <w:r w:rsidRPr="00BC31E0">
              <w:rPr>
                <w:rFonts w:ascii="Cambria Math" w:hAnsi="Cambria Math"/>
                <w:kern w:val="0"/>
                <w:sz w:val="22"/>
                <w:szCs w:val="22"/>
              </w:rPr>
              <w:t>0.0</w:t>
            </w:r>
          </w:p>
        </w:tc>
        <w:tc>
          <w:tcPr>
            <w:tcW w:w="1585" w:type="dxa"/>
          </w:tcPr>
          <w:p w14:paraId="5ECF7E9A" w14:textId="77777777" w:rsidR="00342321" w:rsidRPr="00BC31E0" w:rsidRDefault="00342321" w:rsidP="004736F2">
            <w:pPr>
              <w:snapToGrid w:val="0"/>
              <w:spacing w:line="320" w:lineRule="atLeast"/>
              <w:jc w:val="center"/>
              <w:rPr>
                <w:kern w:val="0"/>
                <w:sz w:val="22"/>
                <w:szCs w:val="22"/>
              </w:rPr>
            </w:pPr>
            <m:oMathPara>
              <m:oMath>
                <m:r>
                  <m:rPr>
                    <m:sty m:val="p"/>
                  </m:rPr>
                  <w:rPr>
                    <w:rFonts w:ascii="Cambria Math" w:hAnsi="Cambria Math" w:hint="eastAsia"/>
                    <w:kern w:val="0"/>
                    <w:sz w:val="22"/>
                    <w:szCs w:val="22"/>
                  </w:rPr>
                  <m:t>0.039</m:t>
                </m:r>
                <m:r>
                  <m:rPr>
                    <m:sty m:val="p"/>
                  </m:rP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r>
      <w:tr w:rsidR="00342321" w:rsidRPr="00BC31E0" w14:paraId="36BE9799" w14:textId="77777777" w:rsidTr="004736F2">
        <w:tc>
          <w:tcPr>
            <w:tcW w:w="2155" w:type="dxa"/>
            <w:vMerge/>
          </w:tcPr>
          <w:p w14:paraId="6EFFBB92" w14:textId="77777777" w:rsidR="00342321" w:rsidRPr="00BC31E0" w:rsidRDefault="00342321" w:rsidP="004736F2">
            <w:pPr>
              <w:snapToGrid w:val="0"/>
              <w:spacing w:line="320" w:lineRule="atLeast"/>
              <w:jc w:val="center"/>
              <w:rPr>
                <w:kern w:val="0"/>
                <w:szCs w:val="20"/>
              </w:rPr>
            </w:pPr>
          </w:p>
        </w:tc>
        <w:tc>
          <w:tcPr>
            <w:tcW w:w="1584" w:type="dxa"/>
          </w:tcPr>
          <w:p w14:paraId="63CBB1F8" w14:textId="77777777" w:rsidR="00342321" w:rsidRPr="00BC31E0" w:rsidRDefault="00342321" w:rsidP="004736F2">
            <w:pPr>
              <w:snapToGrid w:val="0"/>
              <w:spacing w:line="320" w:lineRule="atLeast"/>
              <w:jc w:val="center"/>
              <w:rPr>
                <w:rFonts w:ascii="Cambria Math" w:hAnsi="Cambria Math"/>
                <w:kern w:val="0"/>
                <w:sz w:val="22"/>
                <w:szCs w:val="22"/>
              </w:rPr>
            </w:pPr>
            <w:r w:rsidRPr="00BC31E0">
              <w:rPr>
                <w:rFonts w:ascii="Cambria Math" w:hAnsi="Cambria Math"/>
                <w:kern w:val="0"/>
                <w:sz w:val="22"/>
                <w:szCs w:val="22"/>
              </w:rPr>
              <w:t>0.1</w:t>
            </w:r>
          </w:p>
        </w:tc>
        <w:tc>
          <w:tcPr>
            <w:tcW w:w="1585" w:type="dxa"/>
          </w:tcPr>
          <w:p w14:paraId="18776085" w14:textId="77777777" w:rsidR="00342321" w:rsidRPr="00BC31E0" w:rsidRDefault="00342321" w:rsidP="004736F2">
            <w:pPr>
              <w:snapToGrid w:val="0"/>
              <w:spacing w:line="320" w:lineRule="atLeast"/>
              <w:jc w:val="center"/>
              <w:rPr>
                <w:kern w:val="0"/>
                <w:sz w:val="22"/>
                <w:szCs w:val="22"/>
              </w:rPr>
            </w:pPr>
            <m:oMathPara>
              <m:oMath>
                <m:r>
                  <m:rPr>
                    <m:sty m:val="p"/>
                  </m:rPr>
                  <w:rPr>
                    <w:rFonts w:ascii="Cambria Math" w:hAnsi="Cambria Math" w:hint="eastAsia"/>
                    <w:kern w:val="0"/>
                    <w:sz w:val="22"/>
                    <w:szCs w:val="22"/>
                  </w:rPr>
                  <m:t>0.045</m:t>
                </m:r>
                <m:r>
                  <m:rPr>
                    <m:sty m:val="p"/>
                  </m:rP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r>
      <w:tr w:rsidR="00342321" w:rsidRPr="00BC31E0" w14:paraId="27C9C2CF" w14:textId="77777777" w:rsidTr="004736F2">
        <w:tc>
          <w:tcPr>
            <w:tcW w:w="2155" w:type="dxa"/>
            <w:vMerge/>
          </w:tcPr>
          <w:p w14:paraId="48CA94C9" w14:textId="77777777" w:rsidR="00342321" w:rsidRPr="00BC31E0" w:rsidRDefault="00342321" w:rsidP="004736F2">
            <w:pPr>
              <w:snapToGrid w:val="0"/>
              <w:spacing w:line="320" w:lineRule="atLeast"/>
              <w:jc w:val="center"/>
              <w:rPr>
                <w:kern w:val="0"/>
                <w:szCs w:val="20"/>
              </w:rPr>
            </w:pPr>
          </w:p>
        </w:tc>
        <w:tc>
          <w:tcPr>
            <w:tcW w:w="1584" w:type="dxa"/>
          </w:tcPr>
          <w:p w14:paraId="1EBAB272" w14:textId="77777777" w:rsidR="00342321" w:rsidRPr="00BC31E0" w:rsidRDefault="00342321" w:rsidP="004736F2">
            <w:pPr>
              <w:snapToGrid w:val="0"/>
              <w:spacing w:line="320" w:lineRule="atLeast"/>
              <w:jc w:val="center"/>
              <w:rPr>
                <w:rFonts w:ascii="Cambria Math" w:hAnsi="Cambria Math"/>
                <w:kern w:val="0"/>
                <w:sz w:val="22"/>
                <w:szCs w:val="22"/>
              </w:rPr>
            </w:pPr>
            <w:r w:rsidRPr="00BC31E0">
              <w:rPr>
                <w:rFonts w:ascii="Cambria Math" w:hAnsi="Cambria Math"/>
                <w:kern w:val="0"/>
                <w:sz w:val="22"/>
                <w:szCs w:val="22"/>
              </w:rPr>
              <w:t>0.2</w:t>
            </w:r>
          </w:p>
        </w:tc>
        <w:tc>
          <w:tcPr>
            <w:tcW w:w="1585" w:type="dxa"/>
          </w:tcPr>
          <w:p w14:paraId="7B5C8791" w14:textId="77777777" w:rsidR="00342321" w:rsidRPr="00BC31E0" w:rsidRDefault="00342321" w:rsidP="004736F2">
            <w:pPr>
              <w:snapToGrid w:val="0"/>
              <w:spacing w:line="320" w:lineRule="atLeast"/>
              <w:jc w:val="center"/>
              <w:rPr>
                <w:kern w:val="0"/>
                <w:sz w:val="22"/>
                <w:szCs w:val="22"/>
              </w:rPr>
            </w:pPr>
            <m:oMathPara>
              <m:oMath>
                <m:r>
                  <m:rPr>
                    <m:sty m:val="p"/>
                  </m:rPr>
                  <w:rPr>
                    <w:rFonts w:ascii="Cambria Math" w:hAnsi="Cambria Math" w:hint="eastAsia"/>
                    <w:kern w:val="0"/>
                    <w:sz w:val="22"/>
                    <w:szCs w:val="22"/>
                  </w:rPr>
                  <m:t>0.059</m:t>
                </m:r>
                <m:r>
                  <m:rPr>
                    <m:sty m:val="p"/>
                  </m:rP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r>
      <w:tr w:rsidR="00342321" w:rsidRPr="00BC31E0" w14:paraId="06229BAC" w14:textId="77777777" w:rsidTr="004736F2">
        <w:tc>
          <w:tcPr>
            <w:tcW w:w="2155" w:type="dxa"/>
            <w:vMerge/>
          </w:tcPr>
          <w:p w14:paraId="02433FDE" w14:textId="77777777" w:rsidR="00342321" w:rsidRPr="00BC31E0" w:rsidRDefault="00342321" w:rsidP="004736F2">
            <w:pPr>
              <w:snapToGrid w:val="0"/>
              <w:spacing w:line="320" w:lineRule="atLeast"/>
              <w:jc w:val="center"/>
              <w:rPr>
                <w:kern w:val="0"/>
                <w:szCs w:val="20"/>
              </w:rPr>
            </w:pPr>
          </w:p>
        </w:tc>
        <w:tc>
          <w:tcPr>
            <w:tcW w:w="1584" w:type="dxa"/>
          </w:tcPr>
          <w:p w14:paraId="68F5D1C2" w14:textId="77777777" w:rsidR="00342321" w:rsidRPr="00BC31E0" w:rsidRDefault="00342321" w:rsidP="004736F2">
            <w:pPr>
              <w:snapToGrid w:val="0"/>
              <w:spacing w:line="320" w:lineRule="atLeast"/>
              <w:jc w:val="center"/>
              <w:rPr>
                <w:rFonts w:ascii="Cambria Math" w:hAnsi="Cambria Math"/>
                <w:kern w:val="0"/>
                <w:sz w:val="22"/>
                <w:szCs w:val="22"/>
              </w:rPr>
            </w:pPr>
            <w:r w:rsidRPr="00BC31E0">
              <w:rPr>
                <w:rFonts w:ascii="Cambria Math" w:hAnsi="Cambria Math"/>
                <w:kern w:val="0"/>
                <w:sz w:val="22"/>
                <w:szCs w:val="22"/>
              </w:rPr>
              <w:t>0.3</w:t>
            </w:r>
          </w:p>
        </w:tc>
        <w:tc>
          <w:tcPr>
            <w:tcW w:w="1585" w:type="dxa"/>
          </w:tcPr>
          <w:p w14:paraId="397CDC77" w14:textId="77777777" w:rsidR="00342321" w:rsidRPr="00BC31E0" w:rsidRDefault="00342321" w:rsidP="004736F2">
            <w:pPr>
              <w:snapToGrid w:val="0"/>
              <w:spacing w:line="320" w:lineRule="atLeast"/>
              <w:jc w:val="center"/>
              <w:rPr>
                <w:kern w:val="0"/>
                <w:sz w:val="22"/>
                <w:szCs w:val="22"/>
              </w:rPr>
            </w:pPr>
            <m:oMathPara>
              <m:oMath>
                <m:r>
                  <m:rPr>
                    <m:sty m:val="p"/>
                  </m:rPr>
                  <w:rPr>
                    <w:rFonts w:ascii="Cambria Math" w:hAnsi="Cambria Math" w:hint="eastAsia"/>
                    <w:kern w:val="0"/>
                    <w:sz w:val="22"/>
                    <w:szCs w:val="22"/>
                  </w:rPr>
                  <m:t>0.080</m:t>
                </m:r>
                <m:r>
                  <m:rPr>
                    <m:sty m:val="p"/>
                  </m:rP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r>
      <w:tr w:rsidR="00342321" w:rsidRPr="00BC31E0" w14:paraId="5F42C137" w14:textId="77777777" w:rsidTr="004736F2">
        <w:tc>
          <w:tcPr>
            <w:tcW w:w="2155" w:type="dxa"/>
            <w:vMerge/>
          </w:tcPr>
          <w:p w14:paraId="78BAD22C" w14:textId="77777777" w:rsidR="00342321" w:rsidRPr="00BC31E0" w:rsidRDefault="00342321" w:rsidP="004736F2">
            <w:pPr>
              <w:snapToGrid w:val="0"/>
              <w:spacing w:line="320" w:lineRule="atLeast"/>
              <w:jc w:val="center"/>
              <w:rPr>
                <w:kern w:val="0"/>
                <w:szCs w:val="20"/>
              </w:rPr>
            </w:pPr>
          </w:p>
        </w:tc>
        <w:tc>
          <w:tcPr>
            <w:tcW w:w="1584" w:type="dxa"/>
          </w:tcPr>
          <w:p w14:paraId="321DE722" w14:textId="77777777" w:rsidR="00342321" w:rsidRPr="00BC31E0" w:rsidRDefault="00342321" w:rsidP="004736F2">
            <w:pPr>
              <w:snapToGrid w:val="0"/>
              <w:spacing w:line="320" w:lineRule="atLeast"/>
              <w:jc w:val="center"/>
              <w:rPr>
                <w:rFonts w:ascii="Cambria Math" w:hAnsi="Cambria Math"/>
                <w:kern w:val="0"/>
                <w:sz w:val="22"/>
                <w:szCs w:val="22"/>
              </w:rPr>
            </w:pPr>
            <w:r w:rsidRPr="00BC31E0">
              <w:rPr>
                <w:rFonts w:ascii="Cambria Math" w:hAnsi="Cambria Math"/>
                <w:kern w:val="0"/>
                <w:sz w:val="22"/>
                <w:szCs w:val="22"/>
              </w:rPr>
              <w:t>0.4</w:t>
            </w:r>
          </w:p>
        </w:tc>
        <w:tc>
          <w:tcPr>
            <w:tcW w:w="1585" w:type="dxa"/>
          </w:tcPr>
          <w:p w14:paraId="4038D4A6" w14:textId="77777777" w:rsidR="00342321" w:rsidRPr="00BC31E0" w:rsidRDefault="00342321" w:rsidP="004736F2">
            <w:pPr>
              <w:snapToGrid w:val="0"/>
              <w:spacing w:line="320" w:lineRule="atLeast"/>
              <w:jc w:val="center"/>
              <w:rPr>
                <w:kern w:val="0"/>
                <w:sz w:val="22"/>
                <w:szCs w:val="22"/>
              </w:rPr>
            </w:pPr>
            <m:oMathPara>
              <m:oMath>
                <m:r>
                  <m:rPr>
                    <m:sty m:val="p"/>
                  </m:rPr>
                  <w:rPr>
                    <w:rFonts w:ascii="Cambria Math" w:hAnsi="Cambria Math" w:hint="eastAsia"/>
                    <w:kern w:val="0"/>
                    <w:sz w:val="22"/>
                    <w:szCs w:val="22"/>
                  </w:rPr>
                  <m:t>0.104</m:t>
                </m:r>
                <m:r>
                  <m:rPr>
                    <m:sty m:val="p"/>
                  </m:rP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r>
      <w:tr w:rsidR="00342321" w:rsidRPr="00BC31E0" w14:paraId="1F34EC09" w14:textId="77777777" w:rsidTr="004736F2">
        <w:tc>
          <w:tcPr>
            <w:tcW w:w="2155" w:type="dxa"/>
            <w:vMerge/>
          </w:tcPr>
          <w:p w14:paraId="1EFB3DD0" w14:textId="77777777" w:rsidR="00342321" w:rsidRPr="00BC31E0" w:rsidRDefault="00342321" w:rsidP="004736F2">
            <w:pPr>
              <w:snapToGrid w:val="0"/>
              <w:spacing w:line="320" w:lineRule="atLeast"/>
              <w:jc w:val="center"/>
              <w:rPr>
                <w:kern w:val="0"/>
                <w:szCs w:val="20"/>
              </w:rPr>
            </w:pPr>
          </w:p>
        </w:tc>
        <w:tc>
          <w:tcPr>
            <w:tcW w:w="1584" w:type="dxa"/>
          </w:tcPr>
          <w:p w14:paraId="277F1E72" w14:textId="77777777" w:rsidR="00342321" w:rsidRPr="00BC31E0" w:rsidRDefault="00342321" w:rsidP="004736F2">
            <w:pPr>
              <w:snapToGrid w:val="0"/>
              <w:spacing w:line="320" w:lineRule="atLeast"/>
              <w:jc w:val="center"/>
              <w:rPr>
                <w:rFonts w:ascii="Cambria Math" w:hAnsi="Cambria Math"/>
                <w:kern w:val="0"/>
                <w:sz w:val="22"/>
                <w:szCs w:val="22"/>
              </w:rPr>
            </w:pPr>
            <w:r w:rsidRPr="00BC31E0">
              <w:rPr>
                <w:rFonts w:ascii="Cambria Math" w:hAnsi="Cambria Math"/>
                <w:kern w:val="0"/>
                <w:sz w:val="22"/>
                <w:szCs w:val="22"/>
              </w:rPr>
              <w:t>0.5</w:t>
            </w:r>
          </w:p>
        </w:tc>
        <w:tc>
          <w:tcPr>
            <w:tcW w:w="1585" w:type="dxa"/>
          </w:tcPr>
          <w:p w14:paraId="52BFB2A3" w14:textId="77777777" w:rsidR="00342321" w:rsidRPr="00BC31E0" w:rsidRDefault="00342321" w:rsidP="004736F2">
            <w:pPr>
              <w:snapToGrid w:val="0"/>
              <w:spacing w:line="320" w:lineRule="atLeast"/>
              <w:jc w:val="center"/>
              <w:rPr>
                <w:kern w:val="0"/>
                <w:sz w:val="22"/>
                <w:szCs w:val="22"/>
              </w:rPr>
            </w:pPr>
            <m:oMathPara>
              <m:oMath>
                <m:r>
                  <m:rPr>
                    <m:sty m:val="p"/>
                  </m:rPr>
                  <w:rPr>
                    <w:rFonts w:ascii="Cambria Math" w:hAnsi="Cambria Math" w:hint="eastAsia"/>
                    <w:kern w:val="0"/>
                    <w:sz w:val="22"/>
                    <w:szCs w:val="22"/>
                  </w:rPr>
                  <m:t>0.109</m:t>
                </m:r>
                <m:r>
                  <m:rPr>
                    <m:sty m:val="p"/>
                  </m:rP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vertAlign w:val="subscript"/>
                      </w:rPr>
                      <m:t>a</m:t>
                    </m:r>
                  </m:sub>
                </m:sSub>
              </m:oMath>
            </m:oMathPara>
          </w:p>
        </w:tc>
      </w:tr>
    </w:tbl>
    <w:p w14:paraId="4C4FE06C" w14:textId="77777777" w:rsidR="00342321" w:rsidRPr="00BC31E0" w:rsidRDefault="00342321" w:rsidP="00342321">
      <w:pPr>
        <w:spacing w:before="60"/>
        <w:ind w:left="1474" w:hanging="794"/>
        <w:jc w:val="left"/>
        <w:rPr>
          <w:szCs w:val="20"/>
        </w:rPr>
      </w:pPr>
      <w:r w:rsidRPr="00BC31E0">
        <w:rPr>
          <w:rFonts w:ascii="ＭＳ ゴシック" w:eastAsia="ＭＳ ゴシック" w:hAnsi="ＭＳ ゴシック" w:hint="eastAsia"/>
          <w:b/>
          <w:szCs w:val="20"/>
        </w:rPr>
        <w:t>注記2</w:t>
      </w:r>
      <w:r w:rsidRPr="00BC31E0">
        <w:rPr>
          <w:rFonts w:ascii="ＭＳ 明朝" w:hAnsi="ＭＳ 明朝"/>
          <w:szCs w:val="20"/>
        </w:rPr>
        <w:t xml:space="preserve">　</w:t>
      </w:r>
      <w:r w:rsidRPr="00BC31E0">
        <w:rPr>
          <w:szCs w:val="20"/>
        </w:rPr>
        <w:t>き</w:t>
      </w:r>
      <w:r w:rsidRPr="00BC31E0">
        <w:rPr>
          <w:rFonts w:hint="eastAsia"/>
          <w:szCs w:val="20"/>
        </w:rPr>
        <w:t>ず</w:t>
      </w:r>
      <w:r w:rsidRPr="00BC31E0">
        <w:rPr>
          <w:szCs w:val="20"/>
        </w:rPr>
        <w:t>高さ</w:t>
      </w:r>
      <m:oMath>
        <m:r>
          <w:rPr>
            <w:rFonts w:ascii="Cambria Math" w:hAnsi="Cambria Math" w:hint="eastAsia"/>
            <w:szCs w:val="20"/>
          </w:rPr>
          <m:t>2</m:t>
        </m:r>
        <m:r>
          <w:rPr>
            <w:rFonts w:ascii="Cambria Math" w:hAnsi="Cambria Math"/>
            <w:szCs w:val="20"/>
          </w:rPr>
          <m:t>a</m:t>
        </m:r>
        <m:r>
          <m:rPr>
            <m:sty m:val="p"/>
          </m:rPr>
          <w:rPr>
            <w:rFonts w:ascii="Cambria Math" w:hAnsi="Cambria Math"/>
            <w:szCs w:val="20"/>
          </w:rPr>
          <m:t xml:space="preserve"> </m:t>
        </m:r>
      </m:oMath>
      <w:r w:rsidRPr="00BC31E0">
        <w:rPr>
          <w:szCs w:val="20"/>
        </w:rPr>
        <w:t>が</w:t>
      </w:r>
      <m:oMath>
        <m:r>
          <m:rPr>
            <m:sty m:val="p"/>
          </m:rPr>
          <w:rPr>
            <w:rFonts w:ascii="Cambria Math" w:hAnsi="Cambria Math"/>
            <w:szCs w:val="20"/>
          </w:rPr>
          <m:t xml:space="preserve"> 1 mm </m:t>
        </m:r>
      </m:oMath>
      <w:r w:rsidRPr="00BC31E0">
        <w:rPr>
          <w:szCs w:val="20"/>
        </w:rPr>
        <w:t>未満になる場合</w:t>
      </w:r>
      <w:r w:rsidRPr="00BC31E0">
        <w:rPr>
          <w:rFonts w:hint="eastAsia"/>
          <w:szCs w:val="20"/>
        </w:rPr>
        <w:t>で</w:t>
      </w:r>
      <w:r w:rsidRPr="00BC31E0">
        <w:rPr>
          <w:szCs w:val="20"/>
        </w:rPr>
        <w:t>，使用者設計仕様書</w:t>
      </w:r>
      <w:r w:rsidRPr="00BC31E0">
        <w:rPr>
          <w:rFonts w:hint="eastAsia"/>
          <w:szCs w:val="20"/>
        </w:rPr>
        <w:t>に</w:t>
      </w:r>
      <w:r w:rsidRPr="00BC31E0">
        <w:rPr>
          <w:rFonts w:ascii="ＭＳ ゴシック" w:eastAsia="ＭＳ ゴシック" w:hAnsi="ＭＳ ゴシック" w:hint="eastAsia"/>
          <w:b/>
          <w:szCs w:val="20"/>
        </w:rPr>
        <w:t>表5.2.2</w:t>
      </w:r>
      <w:r w:rsidRPr="00BC31E0">
        <w:rPr>
          <w:rFonts w:hint="eastAsia"/>
          <w:szCs w:val="20"/>
        </w:rPr>
        <w:t>よりも高い</w:t>
      </w:r>
      <w:r w:rsidRPr="00BC31E0">
        <w:rPr>
          <w:szCs w:val="20"/>
        </w:rPr>
        <w:t>要求シャルピー</w:t>
      </w:r>
      <w:r w:rsidRPr="00BC31E0">
        <w:rPr>
          <w:rFonts w:hint="eastAsia"/>
          <w:szCs w:val="20"/>
        </w:rPr>
        <w:t>衝撃</w:t>
      </w:r>
      <w:r w:rsidRPr="00BC31E0">
        <w:rPr>
          <w:szCs w:val="20"/>
        </w:rPr>
        <w:t>吸収エネルギー</w:t>
      </w:r>
      <w:r w:rsidRPr="00BC31E0">
        <w:rPr>
          <w:rFonts w:hint="eastAsia"/>
          <w:szCs w:val="20"/>
        </w:rPr>
        <w:t>が規定されている場合には，</w:t>
      </w:r>
      <w:r w:rsidRPr="00BC31E0">
        <w:rPr>
          <w:rFonts w:ascii="ＭＳ ゴシック" w:eastAsia="ＭＳ ゴシック" w:hAnsi="ＭＳ ゴシック" w:hint="eastAsia"/>
          <w:b/>
          <w:szCs w:val="20"/>
        </w:rPr>
        <w:t>9.3.6 c) 2) 2.3)</w:t>
      </w:r>
      <w:r w:rsidRPr="00BC31E0">
        <w:rPr>
          <w:rFonts w:hint="eastAsia"/>
          <w:szCs w:val="20"/>
        </w:rPr>
        <w:t>に</w:t>
      </w:r>
      <w:r w:rsidRPr="00BC31E0">
        <w:rPr>
          <w:szCs w:val="20"/>
        </w:rPr>
        <w:t>より</w:t>
      </w:r>
      <w:r w:rsidRPr="00BC31E0">
        <w:rPr>
          <w:rFonts w:hint="eastAsia"/>
          <w:szCs w:val="20"/>
        </w:rPr>
        <w:t>製作者が許容きず寸法を算出</w:t>
      </w:r>
      <w:r w:rsidR="007C6499" w:rsidRPr="00BC31E0">
        <w:rPr>
          <w:rFonts w:hint="eastAsia"/>
          <w:szCs w:val="20"/>
        </w:rPr>
        <w:t>してもよい</w:t>
      </w:r>
      <w:r w:rsidRPr="00BC31E0">
        <w:rPr>
          <w:rFonts w:hint="eastAsia"/>
          <w:szCs w:val="20"/>
        </w:rPr>
        <w:t>。</w:t>
      </w:r>
    </w:p>
    <w:p w14:paraId="2F617031" w14:textId="77777777" w:rsidR="00342321" w:rsidRPr="00BC31E0" w:rsidRDefault="00342321" w:rsidP="00342321">
      <w:pPr>
        <w:ind w:left="1474" w:hanging="794"/>
        <w:jc w:val="left"/>
        <w:rPr>
          <w:rFonts w:hAnsi="ＭＳ 明朝"/>
          <w:szCs w:val="20"/>
        </w:rPr>
      </w:pPr>
      <w:r w:rsidRPr="00BC31E0">
        <w:rPr>
          <w:rFonts w:ascii="ＭＳ ゴシック" w:eastAsia="ＭＳ ゴシック" w:hAnsi="ＭＳ ゴシック" w:hint="eastAsia"/>
          <w:b/>
          <w:szCs w:val="20"/>
        </w:rPr>
        <w:t>注記3</w:t>
      </w:r>
      <w:r w:rsidRPr="00BC31E0">
        <w:rPr>
          <w:rFonts w:ascii="ＭＳ 明朝" w:hAnsi="ＭＳ 明朝" w:hint="eastAsia"/>
          <w:szCs w:val="20"/>
        </w:rPr>
        <w:t xml:space="preserve">　</w:t>
      </w:r>
      <w:r w:rsidRPr="00BC31E0">
        <w:rPr>
          <w:rFonts w:hAnsi="ＭＳ 明朝"/>
          <w:szCs w:val="20"/>
        </w:rPr>
        <w:t>中間の</w:t>
      </w:r>
      <w:r w:rsidRPr="00BC31E0">
        <w:rPr>
          <w:rFonts w:hAnsi="ＭＳ 明朝" w:hint="eastAsia"/>
          <w:szCs w:val="20"/>
        </w:rPr>
        <w:t>内外径比</w:t>
      </w:r>
      <m:oMath>
        <m:r>
          <m:rPr>
            <m:sty m:val="p"/>
          </m:rPr>
          <w:rPr>
            <w:rFonts w:ascii="Cambria Math" w:hAnsi="Cambria Math"/>
            <w:szCs w:val="20"/>
          </w:rPr>
          <m:t xml:space="preserve"> </m:t>
        </m:r>
        <m:r>
          <w:rPr>
            <w:rFonts w:ascii="Cambria Math" w:hAnsi="Cambria Math"/>
            <w:szCs w:val="20"/>
          </w:rPr>
          <m:t xml:space="preserve">Y </m:t>
        </m:r>
      </m:oMath>
      <w:r w:rsidRPr="00BC31E0">
        <w:rPr>
          <w:rFonts w:hAnsi="ＭＳ 明朝"/>
          <w:szCs w:val="20"/>
        </w:rPr>
        <w:t>の値及び</w:t>
      </w:r>
      <m:oMath>
        <m:f>
          <m:fPr>
            <m:type m:val="lin"/>
            <m:ctrlPr>
              <w:rPr>
                <w:rFonts w:ascii="Cambria Math" w:hAnsi="Cambria Math"/>
                <w:i/>
                <w:szCs w:val="20"/>
              </w:rPr>
            </m:ctrlPr>
          </m:fPr>
          <m:num>
            <m:r>
              <w:rPr>
                <w:rFonts w:ascii="Cambria Math" w:hAnsi="Cambria Math"/>
                <w:szCs w:val="20"/>
              </w:rPr>
              <m:t xml:space="preserve"> a</m:t>
            </m:r>
          </m:num>
          <m:den>
            <m:r>
              <w:rPr>
                <w:rFonts w:ascii="Cambria Math" w:hAnsi="Cambria Math"/>
                <w:szCs w:val="20"/>
              </w:rPr>
              <m:t xml:space="preserve">l </m:t>
            </m:r>
          </m:den>
        </m:f>
      </m:oMath>
      <w:r w:rsidRPr="00BC31E0">
        <w:rPr>
          <w:rFonts w:hAnsi="ＭＳ 明朝"/>
          <w:szCs w:val="20"/>
        </w:rPr>
        <w:t>の値に対しては，線形補間</w:t>
      </w:r>
      <w:r w:rsidRPr="00BC31E0">
        <w:rPr>
          <w:rFonts w:hAnsi="ＭＳ 明朝" w:hint="eastAsia"/>
          <w:szCs w:val="20"/>
        </w:rPr>
        <w:t>により</w:t>
      </w:r>
      <m:oMath>
        <m:f>
          <m:fPr>
            <m:type m:val="lin"/>
            <m:ctrlPr>
              <w:rPr>
                <w:rFonts w:ascii="Cambria Math" w:hAnsi="Cambria Math"/>
                <w:i/>
                <w:szCs w:val="20"/>
              </w:rPr>
            </m:ctrlPr>
          </m:fPr>
          <m:num>
            <m:r>
              <w:rPr>
                <w:rFonts w:ascii="Cambria Math" w:hAnsi="Cambria Math"/>
                <w:szCs w:val="20"/>
              </w:rPr>
              <m:t xml:space="preserve"> a</m:t>
            </m:r>
          </m:num>
          <m:den>
            <m:r>
              <w:rPr>
                <w:rFonts w:ascii="Cambria Math" w:hAnsi="Cambria Math"/>
                <w:szCs w:val="20"/>
              </w:rPr>
              <m:t xml:space="preserve">t </m:t>
            </m:r>
          </m:den>
        </m:f>
      </m:oMath>
      <w:r w:rsidRPr="00BC31E0">
        <w:rPr>
          <w:rFonts w:hAnsi="ＭＳ 明朝"/>
          <w:szCs w:val="20"/>
        </w:rPr>
        <w:t>を求める。</w:t>
      </w:r>
    </w:p>
    <w:p w14:paraId="4819E34A" w14:textId="77777777" w:rsidR="00342321" w:rsidRPr="00BC31E0" w:rsidRDefault="00342321" w:rsidP="00342321">
      <w:pPr>
        <w:ind w:left="1474" w:hanging="794"/>
        <w:jc w:val="left"/>
        <w:rPr>
          <w:szCs w:val="20"/>
        </w:rPr>
      </w:pPr>
      <w:r w:rsidRPr="00BC31E0">
        <w:rPr>
          <w:rFonts w:ascii="ＭＳ ゴシック" w:eastAsia="ＭＳ ゴシック" w:hAnsi="ＭＳ ゴシック" w:hint="eastAsia"/>
          <w:b/>
          <w:szCs w:val="20"/>
        </w:rPr>
        <w:t>注記4</w:t>
      </w:r>
      <w:r w:rsidRPr="00BC31E0">
        <w:rPr>
          <w:rFonts w:ascii="ＭＳ 明朝" w:hAnsi="ＭＳ 明朝" w:hint="eastAsia"/>
          <w:b/>
          <w:szCs w:val="20"/>
        </w:rPr>
        <w:t xml:space="preserve">　</w:t>
      </w:r>
      <m:oMath>
        <m:sSub>
          <m:sSubPr>
            <m:ctrlPr>
              <w:rPr>
                <w:rFonts w:ascii="Cambria Math" w:hAnsi="Cambria Math"/>
                <w:i/>
                <w:szCs w:val="20"/>
              </w:rPr>
            </m:ctrlPr>
          </m:sSubPr>
          <m:e>
            <m:r>
              <w:rPr>
                <w:rFonts w:ascii="Cambria Math" w:hAnsi="Cambria Math"/>
                <w:szCs w:val="20"/>
              </w:rPr>
              <m:t>S</m:t>
            </m:r>
          </m:e>
          <m:sub>
            <m:r>
              <w:rPr>
                <w:rFonts w:ascii="Cambria Math" w:hAnsi="Cambria Math"/>
                <w:szCs w:val="20"/>
              </w:rPr>
              <m:t>y</m:t>
            </m:r>
          </m:sub>
        </m:sSub>
        <m:r>
          <w:rPr>
            <w:rFonts w:ascii="Cambria Math" w:hAnsi="Cambria Math"/>
            <w:szCs w:val="20"/>
          </w:rPr>
          <m:t>&gt;</m:t>
        </m:r>
        <m:r>
          <w:rPr>
            <w:rFonts w:ascii="Cambria Math" w:hAnsi="Cambria Math" w:hint="eastAsia"/>
            <w:szCs w:val="20"/>
          </w:rPr>
          <m:t>260</m:t>
        </m:r>
        <m:r>
          <m:rPr>
            <m:sty m:val="p"/>
          </m:rPr>
          <w:rPr>
            <w:rFonts w:ascii="Cambria Math" w:hAnsi="Cambria Math" w:hint="eastAsia"/>
            <w:szCs w:val="20"/>
          </w:rPr>
          <m:t xml:space="preserve"> MPa</m:t>
        </m:r>
        <m:r>
          <m:rPr>
            <m:sty m:val="p"/>
          </m:rPr>
          <w:rPr>
            <w:rFonts w:ascii="Cambria Math" w:hAnsi="Cambria Math"/>
            <w:szCs w:val="20"/>
          </w:rPr>
          <m:t xml:space="preserve"> </m:t>
        </m:r>
      </m:oMath>
      <w:r w:rsidRPr="00BC31E0">
        <w:rPr>
          <w:rFonts w:hint="eastAsia"/>
          <w:szCs w:val="20"/>
        </w:rPr>
        <w:t>又は</w:t>
      </w:r>
      <m:oMath>
        <m:r>
          <m:rPr>
            <m:sty m:val="p"/>
          </m:rPr>
          <w:rPr>
            <w:rFonts w:ascii="Cambria Math" w:hAnsi="Cambria Math"/>
            <w:szCs w:val="20"/>
          </w:rPr>
          <m:t xml:space="preserve"> </m:t>
        </m:r>
        <m:r>
          <w:rPr>
            <w:rFonts w:ascii="Cambria Math" w:hAnsi="Cambria Math"/>
            <w:szCs w:val="20"/>
          </w:rPr>
          <m:t>t&gt;</m:t>
        </m:r>
        <m:r>
          <w:rPr>
            <w:rFonts w:ascii="Cambria Math" w:hAnsi="Cambria Math" w:hint="eastAsia"/>
            <w:szCs w:val="20"/>
          </w:rPr>
          <m:t>30</m:t>
        </m:r>
        <m:r>
          <m:rPr>
            <m:sty m:val="p"/>
          </m:rPr>
          <w:rPr>
            <w:rFonts w:ascii="Cambria Math" w:hAnsi="Cambria Math" w:hint="eastAsia"/>
            <w:szCs w:val="20"/>
          </w:rPr>
          <m:t xml:space="preserve"> mm</m:t>
        </m:r>
        <m:r>
          <m:rPr>
            <m:sty m:val="p"/>
          </m:rPr>
          <w:rPr>
            <w:rFonts w:ascii="Cambria Math" w:hAnsi="Cambria Math"/>
            <w:szCs w:val="20"/>
          </w:rPr>
          <m:t xml:space="preserve"> </m:t>
        </m:r>
      </m:oMath>
      <w:r w:rsidRPr="00BC31E0">
        <w:rPr>
          <w:rFonts w:hint="eastAsia"/>
          <w:szCs w:val="20"/>
        </w:rPr>
        <w:t>の場合には，</w:t>
      </w:r>
      <w:r w:rsidRPr="00BC31E0">
        <w:rPr>
          <w:rFonts w:ascii="ＭＳ ゴシック" w:eastAsia="ＭＳ ゴシック" w:hAnsi="ＭＳ ゴシック" w:hint="eastAsia"/>
          <w:b/>
          <w:szCs w:val="20"/>
        </w:rPr>
        <w:t>9.3.6 c) 2) 2.3)</w:t>
      </w:r>
      <w:r w:rsidRPr="00BC31E0">
        <w:rPr>
          <w:rFonts w:hint="eastAsia"/>
          <w:szCs w:val="20"/>
        </w:rPr>
        <w:t>により許容きず寸法を算出する。</w:t>
      </w:r>
    </w:p>
    <w:p w14:paraId="24315F68" w14:textId="77777777" w:rsidR="00342321" w:rsidRPr="00BC31E0" w:rsidRDefault="00342321" w:rsidP="00342321">
      <w:pPr>
        <w:ind w:left="1275" w:hanging="595"/>
        <w:jc w:val="left"/>
        <w:rPr>
          <w:szCs w:val="20"/>
        </w:rPr>
      </w:pPr>
      <w:r w:rsidRPr="00BC31E0">
        <w:rPr>
          <w:rFonts w:ascii="ＭＳ ゴシック" w:eastAsia="ＭＳ ゴシック" w:hAnsi="ＭＳ ゴシック" w:hint="eastAsia"/>
          <w:b/>
          <w:szCs w:val="20"/>
        </w:rPr>
        <w:t>注</w:t>
      </w:r>
      <w:r w:rsidRPr="00BC31E0">
        <w:rPr>
          <w:rFonts w:ascii="ＭＳ ゴシック" w:eastAsia="ＭＳ ゴシック" w:hAnsi="ＭＳ ゴシック" w:hint="eastAsia"/>
          <w:b/>
          <w:szCs w:val="20"/>
          <w:vertAlign w:val="superscript"/>
        </w:rPr>
        <w:t>a)</w:t>
      </w:r>
      <w:r w:rsidRPr="00BC31E0">
        <w:rPr>
          <w:rFonts w:ascii="ＭＳ 明朝" w:hAnsi="ＭＳ 明朝" w:hint="eastAsia"/>
          <w:szCs w:val="20"/>
        </w:rPr>
        <w:t xml:space="preserve">　</w:t>
      </w:r>
      <w:r w:rsidRPr="00BC31E0">
        <w:rPr>
          <w:szCs w:val="20"/>
        </w:rPr>
        <w:t>使用者設計仕様書</w:t>
      </w:r>
      <w:r w:rsidRPr="00BC31E0">
        <w:rPr>
          <w:rFonts w:hint="eastAsia"/>
          <w:szCs w:val="20"/>
        </w:rPr>
        <w:t>に</w:t>
      </w:r>
      <w:r w:rsidRPr="00BC31E0">
        <w:rPr>
          <w:rFonts w:ascii="ＭＳ ゴシック" w:eastAsia="ＭＳ ゴシック" w:hAnsi="ＭＳ ゴシック" w:hint="eastAsia"/>
          <w:b/>
          <w:szCs w:val="20"/>
        </w:rPr>
        <w:t>表5.2.2</w:t>
      </w:r>
      <w:r w:rsidRPr="00BC31E0">
        <w:rPr>
          <w:rFonts w:hint="eastAsia"/>
          <w:szCs w:val="20"/>
        </w:rPr>
        <w:t>よりも高い</w:t>
      </w:r>
      <w:r w:rsidRPr="00BC31E0">
        <w:rPr>
          <w:szCs w:val="20"/>
        </w:rPr>
        <w:t>要求シャルピー</w:t>
      </w:r>
      <w:r w:rsidRPr="00BC31E0">
        <w:rPr>
          <w:rFonts w:hint="eastAsia"/>
          <w:szCs w:val="20"/>
        </w:rPr>
        <w:t>衝撃</w:t>
      </w:r>
      <w:r w:rsidRPr="00BC31E0">
        <w:rPr>
          <w:szCs w:val="20"/>
        </w:rPr>
        <w:t>吸収エネルギー</w:t>
      </w:r>
      <w:r w:rsidRPr="00BC31E0">
        <w:rPr>
          <w:rFonts w:hint="eastAsia"/>
          <w:szCs w:val="20"/>
        </w:rPr>
        <w:t>が規定されている場合には，</w:t>
      </w:r>
      <w:r w:rsidRPr="00BC31E0">
        <w:rPr>
          <w:rFonts w:ascii="ＭＳ ゴシック" w:eastAsia="ＭＳ ゴシック" w:hAnsi="ＭＳ ゴシック" w:hint="eastAsia"/>
          <w:b/>
          <w:szCs w:val="20"/>
        </w:rPr>
        <w:t>9.3.6 c) 2) 2.3)</w:t>
      </w:r>
      <w:r w:rsidRPr="00BC31E0">
        <w:rPr>
          <w:rFonts w:hint="eastAsia"/>
          <w:szCs w:val="20"/>
        </w:rPr>
        <w:t>に</w:t>
      </w:r>
      <w:r w:rsidRPr="00BC31E0">
        <w:rPr>
          <w:szCs w:val="20"/>
        </w:rPr>
        <w:t>より</w:t>
      </w:r>
      <w:r w:rsidRPr="00BC31E0">
        <w:rPr>
          <w:rFonts w:hint="eastAsia"/>
          <w:szCs w:val="20"/>
        </w:rPr>
        <w:t>製作者が許容きず寸法を算出</w:t>
      </w:r>
      <w:r w:rsidR="007C6499" w:rsidRPr="00BC31E0">
        <w:rPr>
          <w:rFonts w:hint="eastAsia"/>
          <w:szCs w:val="20"/>
        </w:rPr>
        <w:t>してもよい</w:t>
      </w:r>
      <w:r w:rsidRPr="00BC31E0">
        <w:rPr>
          <w:rFonts w:hint="eastAsia"/>
          <w:szCs w:val="20"/>
        </w:rPr>
        <w:t>。</w:t>
      </w:r>
    </w:p>
    <w:p w14:paraId="1525E43D" w14:textId="77777777" w:rsidR="00BE27B6" w:rsidRPr="00BC31E0" w:rsidRDefault="00BE27B6" w:rsidP="00BE27B6">
      <w:pPr>
        <w:jc w:val="left"/>
        <w:rPr>
          <w:szCs w:val="20"/>
        </w:rPr>
      </w:pPr>
    </w:p>
    <w:p w14:paraId="69B1A843" w14:textId="77777777" w:rsidR="00BE27B6" w:rsidRPr="00BC31E0" w:rsidRDefault="00BE27B6">
      <w:pPr>
        <w:widowControl/>
        <w:jc w:val="left"/>
        <w:rPr>
          <w:szCs w:val="20"/>
        </w:rPr>
      </w:pPr>
      <w:r w:rsidRPr="00BC31E0">
        <w:rPr>
          <w:szCs w:val="20"/>
        </w:rPr>
        <w:br w:type="page"/>
      </w:r>
    </w:p>
    <w:p w14:paraId="5F9103B4" w14:textId="77777777" w:rsidR="00BE7393" w:rsidRPr="00BC31E0" w:rsidRDefault="00BE7393" w:rsidP="00BD4B05">
      <w:pPr>
        <w:pStyle w:val="20"/>
        <w:tabs>
          <w:tab w:val="clear" w:pos="284"/>
        </w:tabs>
        <w:ind w:left="567" w:hanging="567"/>
      </w:pPr>
      <w:bookmarkStart w:id="107" w:name="_Toc357672119"/>
      <w:bookmarkStart w:id="108" w:name="_Toc120092555"/>
      <w:r w:rsidRPr="00BC31E0">
        <w:rPr>
          <w:rFonts w:hint="eastAsia"/>
        </w:rPr>
        <w:lastRenderedPageBreak/>
        <w:t>圧力容器の最終試験</w:t>
      </w:r>
      <w:bookmarkEnd w:id="107"/>
      <w:bookmarkEnd w:id="108"/>
    </w:p>
    <w:p w14:paraId="594809C6" w14:textId="77777777" w:rsidR="00BE7393" w:rsidRPr="00BC31E0" w:rsidRDefault="00BE7393" w:rsidP="00BD4B05">
      <w:pPr>
        <w:pStyle w:val="3"/>
        <w:tabs>
          <w:tab w:val="clear" w:pos="284"/>
        </w:tabs>
        <w:ind w:left="794" w:hanging="794"/>
      </w:pPr>
      <w:r w:rsidRPr="00BC31E0">
        <w:rPr>
          <w:rFonts w:hint="eastAsia"/>
        </w:rPr>
        <w:t>耐圧試験後の表面試験</w:t>
      </w:r>
    </w:p>
    <w:p w14:paraId="3BABD4A9" w14:textId="77777777" w:rsidR="00BE7393" w:rsidRPr="00BC31E0" w:rsidRDefault="00BE7393" w:rsidP="00A1240E">
      <w:pPr>
        <w:pStyle w:val="1110"/>
        <w:ind w:firstLine="210"/>
        <w:rPr>
          <w:u w:val="single"/>
        </w:rPr>
      </w:pPr>
      <w:r w:rsidRPr="00BC31E0">
        <w:rPr>
          <w:rFonts w:hint="eastAsia"/>
        </w:rPr>
        <w:t>耐圧試験又は自緊後，耐圧部材の全ての表面は内外面及び溶接部を含めて，</w:t>
      </w:r>
      <w:r w:rsidRPr="00BC31E0">
        <w:rPr>
          <w:rFonts w:ascii="ＭＳ ゴシック" w:eastAsia="ＭＳ ゴシック" w:hint="eastAsia"/>
          <w:b/>
        </w:rPr>
        <w:t>9.2.5</w:t>
      </w:r>
      <w:r w:rsidRPr="00BC31E0">
        <w:rPr>
          <w:rFonts w:ascii="ＭＳ ゴシック" w:eastAsia="ＭＳ ゴシック"/>
          <w:b/>
        </w:rPr>
        <w:t xml:space="preserve"> </w:t>
      </w:r>
      <w:r w:rsidRPr="00BC31E0">
        <w:rPr>
          <w:rFonts w:ascii="ＭＳ ゴシック" w:eastAsia="ＭＳ ゴシック" w:hint="eastAsia"/>
          <w:b/>
        </w:rPr>
        <w:t>d)</w:t>
      </w:r>
      <w:r w:rsidRPr="00BC31E0">
        <w:rPr>
          <w:rFonts w:asciiTheme="minorEastAsia" w:eastAsiaTheme="minorEastAsia" w:hAnsiTheme="minorEastAsia" w:hint="eastAsia"/>
        </w:rPr>
        <w:t>に従って</w:t>
      </w:r>
      <w:r w:rsidRPr="00BC31E0">
        <w:rPr>
          <w:rFonts w:hint="eastAsia"/>
        </w:rPr>
        <w:t>湿式磁粉探傷試験</w:t>
      </w:r>
      <w:r w:rsidRPr="00BC31E0">
        <w:t>(</w:t>
      </w:r>
      <w:r w:rsidRPr="00BC31E0">
        <w:rPr>
          <w:rFonts w:hint="eastAsia"/>
        </w:rPr>
        <w:t>磁性材</w:t>
      </w:r>
      <w:r w:rsidRPr="00BC31E0">
        <w:t>)</w:t>
      </w:r>
      <w:r w:rsidRPr="00BC31E0">
        <w:rPr>
          <w:rFonts w:hint="eastAsia"/>
        </w:rPr>
        <w:t>又は浸透探傷試験</w:t>
      </w:r>
      <w:r w:rsidRPr="00BC31E0">
        <w:t>(</w:t>
      </w:r>
      <w:r w:rsidRPr="00BC31E0">
        <w:rPr>
          <w:rFonts w:hint="eastAsia"/>
        </w:rPr>
        <w:t>非磁性材</w:t>
      </w:r>
      <w:r w:rsidRPr="00BC31E0">
        <w:t>)</w:t>
      </w:r>
      <w:r w:rsidRPr="00BC31E0">
        <w:rPr>
          <w:rFonts w:hint="eastAsia"/>
        </w:rPr>
        <w:t>を全表面にわたって行わなければならない。合格判定基準は</w:t>
      </w:r>
      <w:r w:rsidRPr="00BC31E0">
        <w:rPr>
          <w:rFonts w:ascii="ＭＳ ゴシック" w:eastAsia="ＭＳ ゴシック" w:hint="eastAsia"/>
          <w:b/>
        </w:rPr>
        <w:t>9.2.5</w:t>
      </w:r>
      <w:r w:rsidRPr="00BC31E0">
        <w:rPr>
          <w:rFonts w:ascii="ＭＳ ゴシック" w:eastAsia="ＭＳ ゴシック"/>
          <w:b/>
        </w:rPr>
        <w:t xml:space="preserve"> </w:t>
      </w:r>
      <w:r w:rsidRPr="00BC31E0">
        <w:rPr>
          <w:rFonts w:ascii="ＭＳ ゴシック" w:eastAsia="ＭＳ ゴシック" w:hint="eastAsia"/>
          <w:b/>
        </w:rPr>
        <w:t>d)</w:t>
      </w:r>
      <w:r w:rsidRPr="00BC31E0">
        <w:rPr>
          <w:rFonts w:ascii="ＭＳ ゴシック" w:eastAsia="ＭＳ ゴシック"/>
          <w:b/>
        </w:rPr>
        <w:t xml:space="preserve"> 2)</w:t>
      </w:r>
      <w:r w:rsidRPr="00BC31E0">
        <w:rPr>
          <w:rFonts w:hint="eastAsia"/>
        </w:rPr>
        <w:t>による。</w:t>
      </w:r>
    </w:p>
    <w:p w14:paraId="4A0A282B" w14:textId="77777777" w:rsidR="00BE7393" w:rsidRPr="00BC31E0" w:rsidRDefault="00BE7393" w:rsidP="00BD4B05">
      <w:pPr>
        <w:pStyle w:val="3"/>
        <w:tabs>
          <w:tab w:val="clear" w:pos="284"/>
        </w:tabs>
        <w:ind w:left="794" w:hanging="794"/>
      </w:pPr>
      <w:r w:rsidRPr="00BC31E0">
        <w:rPr>
          <w:rFonts w:hint="eastAsia"/>
        </w:rPr>
        <w:t>ライニングされた容器の耐圧試験後の検査</w:t>
      </w:r>
    </w:p>
    <w:p w14:paraId="02B3CC1F" w14:textId="77777777" w:rsidR="00BE7393" w:rsidRPr="00BC31E0" w:rsidRDefault="00BE7393" w:rsidP="00A1240E">
      <w:pPr>
        <w:pStyle w:val="1110"/>
        <w:ind w:firstLine="210"/>
      </w:pPr>
      <w:r w:rsidRPr="00BC31E0">
        <w:rPr>
          <w:rFonts w:hint="eastAsia"/>
        </w:rPr>
        <w:t>保護用ライニングの裏に試験流体が漏れた場合，流体をそのまま残して容器を供用することは危険である。容器の運転温度が試験流体の沸点以上の場合，容器はライニングが損傷しないように十分時間をかけて加熱して，保護ライニング裏から全ての試験流体を追い出さなければならない。この加熱作業は，容器製造工場又は容器が設置されるプラントで行わなければならない。試験流体を追い出した後に，ライニング</w:t>
      </w:r>
      <w:r w:rsidR="00932D62" w:rsidRPr="00BC31E0">
        <w:rPr>
          <w:rFonts w:hint="eastAsia"/>
        </w:rPr>
        <w:t>を</w:t>
      </w:r>
      <w:r w:rsidRPr="00BC31E0">
        <w:rPr>
          <w:rFonts w:hint="eastAsia"/>
        </w:rPr>
        <w:t>補修</w:t>
      </w:r>
      <w:r w:rsidR="00932D62" w:rsidRPr="00BC31E0">
        <w:rPr>
          <w:rFonts w:hint="eastAsia"/>
        </w:rPr>
        <w:t>しなければならない</w:t>
      </w:r>
      <w:r w:rsidRPr="00BC31E0">
        <w:rPr>
          <w:rFonts w:hint="eastAsia"/>
        </w:rPr>
        <w:t>。</w:t>
      </w:r>
    </w:p>
    <w:p w14:paraId="46AA7436" w14:textId="77777777" w:rsidR="00BE7393" w:rsidRPr="00BC31E0" w:rsidRDefault="00BE7393" w:rsidP="00A1240E">
      <w:pPr>
        <w:pStyle w:val="1110"/>
        <w:ind w:firstLine="210"/>
      </w:pPr>
      <w:r w:rsidRPr="00BC31E0">
        <w:rPr>
          <w:rFonts w:hint="eastAsia"/>
        </w:rPr>
        <w:t>ライニングの補修後容器の試験，熱処理，又は耐圧試験の繰返しは必要ない。ただし，母材に溶け込むような補修溶接の欠陥があることが懸念される場合を除く。このような場合は，どの段階から試験を繰返すかを決めるべきである。</w:t>
      </w:r>
    </w:p>
    <w:p w14:paraId="1439293E" w14:textId="77777777" w:rsidR="00F665E3" w:rsidRPr="00BC31E0" w:rsidRDefault="00F665E3" w:rsidP="00A1240E">
      <w:pPr>
        <w:pStyle w:val="1110"/>
        <w:ind w:firstLineChars="0" w:firstLine="0"/>
      </w:pPr>
    </w:p>
    <w:p w14:paraId="6FEFF009" w14:textId="77777777" w:rsidR="00F665E3" w:rsidRPr="00BC31E0" w:rsidRDefault="00525FD8" w:rsidP="00BD4B05">
      <w:pPr>
        <w:pStyle w:val="10"/>
        <w:ind w:left="340" w:hanging="340"/>
      </w:pPr>
      <w:r w:rsidRPr="00BC31E0">
        <w:rPr>
          <w:rFonts w:hint="eastAsia"/>
        </w:rPr>
        <w:t xml:space="preserve">　</w:t>
      </w:r>
      <w:bookmarkStart w:id="109" w:name="_Toc120092556"/>
      <w:r w:rsidRPr="00BC31E0">
        <w:rPr>
          <w:rFonts w:hint="eastAsia"/>
        </w:rPr>
        <w:t>試験</w:t>
      </w:r>
      <w:bookmarkEnd w:id="109"/>
    </w:p>
    <w:p w14:paraId="62D8722B" w14:textId="77777777" w:rsidR="00F665E3" w:rsidRPr="00BC31E0" w:rsidRDefault="00525FD8" w:rsidP="00BD4B05">
      <w:pPr>
        <w:pStyle w:val="20"/>
        <w:tabs>
          <w:tab w:val="clear" w:pos="284"/>
        </w:tabs>
        <w:ind w:left="567" w:hanging="567"/>
      </w:pPr>
      <w:bookmarkStart w:id="110" w:name="_Toc357672121"/>
      <w:r w:rsidRPr="00BC31E0">
        <w:rPr>
          <w:rFonts w:hint="eastAsia"/>
        </w:rPr>
        <w:t xml:space="preserve"> </w:t>
      </w:r>
      <w:bookmarkStart w:id="111" w:name="_Toc120092557"/>
      <w:r w:rsidRPr="00BC31E0">
        <w:rPr>
          <w:rFonts w:hint="eastAsia"/>
        </w:rPr>
        <w:t>試験一般</w:t>
      </w:r>
      <w:bookmarkEnd w:id="110"/>
      <w:bookmarkEnd w:id="111"/>
    </w:p>
    <w:p w14:paraId="24A0C0DA" w14:textId="77777777" w:rsidR="00F665E3" w:rsidRPr="00BC31E0" w:rsidRDefault="00525FD8" w:rsidP="00BD4B05">
      <w:pPr>
        <w:pStyle w:val="3"/>
        <w:ind w:left="794" w:hanging="794"/>
      </w:pPr>
      <w:r w:rsidRPr="00BC31E0">
        <w:rPr>
          <w:rFonts w:hint="eastAsia"/>
        </w:rPr>
        <w:t xml:space="preserve"> </w:t>
      </w:r>
      <w:r w:rsidR="00F665E3" w:rsidRPr="00BC31E0">
        <w:rPr>
          <w:rFonts w:hint="eastAsia"/>
        </w:rPr>
        <w:t>適用範囲</w:t>
      </w:r>
    </w:p>
    <w:p w14:paraId="46132DE2" w14:textId="77777777" w:rsidR="00F665E3" w:rsidRPr="00BC31E0" w:rsidRDefault="00F665E3" w:rsidP="00A1240E">
      <w:pPr>
        <w:pStyle w:val="1110"/>
        <w:ind w:firstLine="210"/>
      </w:pPr>
      <w:r w:rsidRPr="00BC31E0">
        <w:rPr>
          <w:rFonts w:hint="eastAsia"/>
        </w:rPr>
        <w:t>この規格の範囲で製作される容器は，この項の規定に従って試験を行う。</w:t>
      </w:r>
    </w:p>
    <w:p w14:paraId="68D403E7" w14:textId="77777777" w:rsidR="00F665E3" w:rsidRPr="00BC31E0" w:rsidRDefault="00525FD8" w:rsidP="00BD4B05">
      <w:pPr>
        <w:pStyle w:val="3"/>
        <w:ind w:left="794" w:hanging="794"/>
      </w:pPr>
      <w:r w:rsidRPr="00BC31E0">
        <w:rPr>
          <w:rFonts w:hint="eastAsia"/>
        </w:rPr>
        <w:t xml:space="preserve"> </w:t>
      </w:r>
      <w:r w:rsidR="00F665E3" w:rsidRPr="00BC31E0">
        <w:rPr>
          <w:rFonts w:hint="eastAsia"/>
        </w:rPr>
        <w:t>試験材に対する要求事項</w:t>
      </w:r>
    </w:p>
    <w:p w14:paraId="28A695BA" w14:textId="77777777" w:rsidR="00F665E3" w:rsidRPr="00BC31E0" w:rsidRDefault="00F665E3" w:rsidP="00A1240E">
      <w:pPr>
        <w:pStyle w:val="1110"/>
        <w:ind w:firstLine="210"/>
      </w:pPr>
      <w:r w:rsidRPr="00BC31E0">
        <w:rPr>
          <w:rFonts w:hint="eastAsia"/>
        </w:rPr>
        <w:t>試験材に対する要求事項は，次の</w:t>
      </w:r>
      <w:r w:rsidRPr="00BC31E0">
        <w:rPr>
          <w:rFonts w:ascii="ＭＳ ゴシック" w:hAnsi="ＭＳ ゴシック" w:hint="eastAsia"/>
          <w:b/>
        </w:rPr>
        <w:t>a)</w:t>
      </w:r>
      <w:r w:rsidRPr="00BC31E0">
        <w:rPr>
          <w:rFonts w:hint="eastAsia"/>
        </w:rPr>
        <w:t>～</w:t>
      </w:r>
      <w:r w:rsidRPr="00BC31E0">
        <w:rPr>
          <w:rFonts w:ascii="ＭＳ ゴシック" w:hAnsi="ＭＳ ゴシック" w:hint="eastAsia"/>
          <w:b/>
        </w:rPr>
        <w:t>e)</w:t>
      </w:r>
      <w:r w:rsidRPr="00BC31E0">
        <w:rPr>
          <w:rFonts w:hint="eastAsia"/>
        </w:rPr>
        <w:t>による。</w:t>
      </w:r>
    </w:p>
    <w:p w14:paraId="19CACE20" w14:textId="77777777" w:rsidR="00BD4B05" w:rsidRPr="00BC31E0" w:rsidRDefault="00F665E3" w:rsidP="00736130">
      <w:pPr>
        <w:pStyle w:val="a4"/>
        <w:numPr>
          <w:ilvl w:val="0"/>
          <w:numId w:val="599"/>
        </w:numPr>
        <w:ind w:leftChars="0" w:left="454" w:hanging="454"/>
      </w:pPr>
      <w:r w:rsidRPr="00BC31E0">
        <w:rPr>
          <w:rFonts w:asciiTheme="majorEastAsia" w:eastAsiaTheme="majorEastAsia" w:hAnsiTheme="majorEastAsia" w:hint="eastAsia"/>
          <w:b/>
          <w:bCs/>
        </w:rPr>
        <w:t>試験材の採取</w:t>
      </w:r>
      <w:r w:rsidRPr="00BC31E0">
        <w:rPr>
          <w:rFonts w:hint="eastAsia"/>
        </w:rPr>
        <w:t xml:space="preserve">　製作中に材料が熱処理を受ける場合には，材料メーカで行われる熱処理も含めて，製作で使用する材料と同じように熱処理した試験材から試験片を採取する。試験は，材料メーカ又は製作者のどちらかが行う</w:t>
      </w:r>
      <w:r w:rsidRPr="00BC31E0">
        <w:rPr>
          <w:rFonts w:hint="eastAsia"/>
        </w:rPr>
        <w:t>(</w:t>
      </w:r>
      <w:r w:rsidRPr="00BC31E0">
        <w:rPr>
          <w:rFonts w:asciiTheme="majorEastAsia" w:eastAsiaTheme="majorEastAsia" w:hAnsiTheme="majorEastAsia"/>
          <w:b/>
          <w:bCs/>
        </w:rPr>
        <w:t>5.2.</w:t>
      </w:r>
      <w:r w:rsidRPr="00BC31E0">
        <w:rPr>
          <w:rFonts w:asciiTheme="majorEastAsia" w:eastAsiaTheme="majorEastAsia" w:hAnsiTheme="majorEastAsia" w:hint="eastAsia"/>
          <w:b/>
          <w:bCs/>
        </w:rPr>
        <w:t>5</w:t>
      </w:r>
      <w:r w:rsidRPr="00BC31E0">
        <w:rPr>
          <w:rFonts w:hint="eastAsia"/>
        </w:rPr>
        <w:t>を参照</w:t>
      </w:r>
      <w:r w:rsidRPr="00BC31E0">
        <w:rPr>
          <w:rFonts w:hint="eastAsia"/>
        </w:rPr>
        <w:t>)</w:t>
      </w:r>
      <w:r w:rsidRPr="00BC31E0">
        <w:rPr>
          <w:rFonts w:hint="eastAsia"/>
        </w:rPr>
        <w:t>。</w:t>
      </w:r>
    </w:p>
    <w:p w14:paraId="14525507" w14:textId="77777777" w:rsidR="00BD4B05" w:rsidRPr="00BC31E0" w:rsidRDefault="00F665E3" w:rsidP="00736130">
      <w:pPr>
        <w:pStyle w:val="a4"/>
        <w:numPr>
          <w:ilvl w:val="0"/>
          <w:numId w:val="599"/>
        </w:numPr>
        <w:ind w:leftChars="0" w:left="454" w:hanging="454"/>
      </w:pPr>
      <w:r w:rsidRPr="00BC31E0">
        <w:rPr>
          <w:rFonts w:asciiTheme="majorEastAsia" w:eastAsiaTheme="majorEastAsia" w:hAnsiTheme="majorEastAsia" w:hint="eastAsia"/>
          <w:b/>
          <w:bCs/>
        </w:rPr>
        <w:t>試験材の熱処理</w:t>
      </w:r>
      <w:r w:rsidRPr="00BC31E0">
        <w:rPr>
          <w:rFonts w:hint="eastAsia"/>
        </w:rPr>
        <w:t xml:space="preserve">　溶接後熱処理を含め，容器と同じように熱処理をした試験片は，容器又は部材に使用される材料を代表するものでなければならない。材料仕様書には，試験の種類，数及び試験結果に関して規定しておく必要がある。製作者は，材料が製作中に受ける温度，時間及び冷却速度を規定する。試験片として準備する材料は，製作者による実際の製作における許容範囲内の規定温度で熱処理を行う。熱処理の全時間は，製品における実際の熱処理全時間の</w:t>
      </w:r>
      <w:r w:rsidRPr="00BC31E0">
        <w:t>80%</w:t>
      </w:r>
      <w:r w:rsidRPr="00BC31E0">
        <w:rPr>
          <w:rFonts w:hint="eastAsia"/>
        </w:rPr>
        <w:t>以上とし，単一の熱サイクルで行ってもよい。溶接後熱処理のシミュレーションは，試験板で行ってもよい。火炎切断，アーク切断，予熱又は溶接のような局所的な加熱は，熱処理の一部として考えない。</w:t>
      </w:r>
    </w:p>
    <w:p w14:paraId="3594B83F" w14:textId="77777777" w:rsidR="00F665E3" w:rsidRPr="00BC31E0" w:rsidRDefault="00F665E3" w:rsidP="00736130">
      <w:pPr>
        <w:pStyle w:val="a4"/>
        <w:numPr>
          <w:ilvl w:val="0"/>
          <w:numId w:val="599"/>
        </w:numPr>
        <w:ind w:leftChars="0" w:left="454" w:hanging="454"/>
      </w:pPr>
      <w:r w:rsidRPr="00BC31E0">
        <w:rPr>
          <w:rFonts w:asciiTheme="majorEastAsia" w:eastAsiaTheme="majorEastAsia" w:hAnsiTheme="majorEastAsia" w:hint="eastAsia"/>
          <w:b/>
          <w:bCs/>
        </w:rPr>
        <w:t>試験材の熱処理手順</w:t>
      </w:r>
      <w:r w:rsidRPr="00BC31E0">
        <w:rPr>
          <w:rFonts w:hint="eastAsia"/>
        </w:rPr>
        <w:t xml:space="preserve">　</w:t>
      </w:r>
      <w:r w:rsidRPr="00BC31E0">
        <w:t>フェライト鋼製品をオーステナイト化温度から焼ならし又は加速冷却</w:t>
      </w:r>
      <w:r w:rsidRPr="00BC31E0">
        <w:rPr>
          <w:rFonts w:hint="eastAsia"/>
        </w:rPr>
        <w:t>する</w:t>
      </w:r>
      <w:r w:rsidRPr="00BC31E0">
        <w:t>場合，製品を代表する試験片は，特定の鍛造品</w:t>
      </w:r>
      <w:r w:rsidRPr="00BC31E0">
        <w:rPr>
          <w:rFonts w:hint="eastAsia"/>
        </w:rPr>
        <w:t>の場合</w:t>
      </w:r>
      <w:r w:rsidRPr="00BC31E0">
        <w:t>を除いて，製品本体と同じかそれよりも</w:t>
      </w:r>
      <w:r w:rsidRPr="00BC31E0">
        <w:rPr>
          <w:rFonts w:hint="eastAsia"/>
        </w:rPr>
        <w:t>遅い</w:t>
      </w:r>
      <w:r w:rsidRPr="00BC31E0">
        <w:t>速度で冷却しなければならない</w:t>
      </w:r>
      <w:r w:rsidRPr="00BC31E0">
        <w:rPr>
          <w:rFonts w:hint="eastAsia"/>
        </w:rPr>
        <w:t>[</w:t>
      </w:r>
      <w:r w:rsidRPr="00BC31E0">
        <w:rPr>
          <w:rFonts w:asciiTheme="majorEastAsia" w:eastAsiaTheme="majorEastAsia" w:hAnsiTheme="majorEastAsia" w:hint="eastAsia"/>
          <w:b/>
          <w:bCs/>
        </w:rPr>
        <w:t>5</w:t>
      </w:r>
      <w:r w:rsidRPr="00BC31E0">
        <w:rPr>
          <w:rFonts w:asciiTheme="majorEastAsia" w:eastAsiaTheme="majorEastAsia" w:hAnsiTheme="majorEastAsia"/>
          <w:b/>
          <w:bCs/>
        </w:rPr>
        <w:t>.</w:t>
      </w:r>
      <w:r w:rsidRPr="00BC31E0">
        <w:rPr>
          <w:rFonts w:asciiTheme="majorEastAsia" w:eastAsiaTheme="majorEastAsia" w:hAnsiTheme="majorEastAsia" w:hint="eastAsia"/>
          <w:b/>
          <w:bCs/>
        </w:rPr>
        <w:t>2</w:t>
      </w:r>
      <w:r w:rsidRPr="00BC31E0">
        <w:rPr>
          <w:rFonts w:asciiTheme="majorEastAsia" w:eastAsiaTheme="majorEastAsia" w:hAnsiTheme="majorEastAsia"/>
          <w:b/>
          <w:bCs/>
        </w:rPr>
        <w:t xml:space="preserve">.2 </w:t>
      </w:r>
      <w:r w:rsidRPr="00BC31E0">
        <w:rPr>
          <w:rFonts w:asciiTheme="majorEastAsia" w:eastAsiaTheme="majorEastAsia" w:hAnsiTheme="majorEastAsia" w:hint="eastAsia"/>
          <w:b/>
          <w:bCs/>
        </w:rPr>
        <w:t>b</w:t>
      </w:r>
      <w:r w:rsidRPr="00BC31E0">
        <w:rPr>
          <w:rFonts w:asciiTheme="majorEastAsia" w:eastAsiaTheme="majorEastAsia" w:hAnsiTheme="majorEastAsia"/>
          <w:b/>
          <w:bCs/>
        </w:rPr>
        <w:t xml:space="preserve">) </w:t>
      </w:r>
      <w:r w:rsidRPr="00BC31E0">
        <w:rPr>
          <w:rFonts w:asciiTheme="majorEastAsia" w:eastAsiaTheme="majorEastAsia" w:hAnsiTheme="majorEastAsia" w:hint="eastAsia"/>
          <w:b/>
          <w:bCs/>
        </w:rPr>
        <w:t>3</w:t>
      </w:r>
      <w:r w:rsidRPr="00BC31E0">
        <w:rPr>
          <w:rFonts w:asciiTheme="majorEastAsia" w:eastAsiaTheme="majorEastAsia" w:hAnsiTheme="majorEastAsia"/>
          <w:b/>
          <w:bCs/>
        </w:rPr>
        <w:t>)</w:t>
      </w:r>
      <w:r w:rsidRPr="00BC31E0">
        <w:t>を参照</w:t>
      </w:r>
      <w:r w:rsidRPr="00BC31E0">
        <w:rPr>
          <w:rFonts w:hint="eastAsia"/>
        </w:rPr>
        <w:t>]</w:t>
      </w:r>
      <w:r w:rsidRPr="00BC31E0">
        <w:t>。この</w:t>
      </w:r>
      <w:r w:rsidRPr="00BC31E0">
        <w:rPr>
          <w:rFonts w:hint="eastAsia"/>
        </w:rPr>
        <w:t>規定</w:t>
      </w:r>
      <w:r w:rsidRPr="00BC31E0">
        <w:t>は，製品から直接採取した試験片及び製品を代表する試験材から採取した試験片に適用する。次</w:t>
      </w:r>
      <w:r w:rsidRPr="00BC31E0">
        <w:rPr>
          <w:rFonts w:hint="eastAsia"/>
        </w:rPr>
        <w:t>の</w:t>
      </w:r>
      <w:r w:rsidRPr="00BC31E0">
        <w:rPr>
          <w:rFonts w:asciiTheme="majorEastAsia" w:eastAsiaTheme="majorEastAsia" w:hAnsiTheme="majorEastAsia" w:hint="eastAsia"/>
          <w:b/>
          <w:bCs/>
        </w:rPr>
        <w:t>1)</w:t>
      </w:r>
      <w:r w:rsidRPr="00BC31E0">
        <w:rPr>
          <w:rFonts w:hint="eastAsia"/>
        </w:rPr>
        <w:t>～</w:t>
      </w:r>
      <w:r w:rsidRPr="00BC31E0">
        <w:rPr>
          <w:rFonts w:asciiTheme="majorEastAsia" w:eastAsiaTheme="majorEastAsia" w:hAnsiTheme="majorEastAsia" w:hint="eastAsia"/>
          <w:b/>
          <w:bCs/>
        </w:rPr>
        <w:t>4)</w:t>
      </w:r>
      <w:r w:rsidRPr="00BC31E0">
        <w:t>に示す一般的な</w:t>
      </w:r>
      <w:r w:rsidRPr="00BC31E0">
        <w:rPr>
          <w:rFonts w:hint="eastAsia"/>
        </w:rPr>
        <w:t>手法は，全ての製品形態又は</w:t>
      </w:r>
      <w:r w:rsidRPr="00BC31E0">
        <w:t>製品を代表する試験材に</w:t>
      </w:r>
      <w:r w:rsidRPr="00BC31E0">
        <w:rPr>
          <w:rFonts w:hint="eastAsia"/>
        </w:rPr>
        <w:t>対して</w:t>
      </w:r>
      <w:r w:rsidRPr="00BC31E0">
        <w:t>適用</w:t>
      </w:r>
      <w:r w:rsidR="00616163" w:rsidRPr="00BC31E0">
        <w:rPr>
          <w:rFonts w:hint="eastAsia"/>
        </w:rPr>
        <w:t>す</w:t>
      </w:r>
      <w:r w:rsidRPr="00BC31E0">
        <w:t>る。</w:t>
      </w:r>
    </w:p>
    <w:p w14:paraId="256D2666" w14:textId="77777777" w:rsidR="001C09B6" w:rsidRPr="00BC31E0" w:rsidRDefault="00F665E3" w:rsidP="00736130">
      <w:pPr>
        <w:pStyle w:val="a4"/>
        <w:numPr>
          <w:ilvl w:val="0"/>
          <w:numId w:val="352"/>
        </w:numPr>
        <w:ind w:leftChars="0" w:left="738" w:hanging="454"/>
      </w:pPr>
      <w:r w:rsidRPr="00BC31E0">
        <w:rPr>
          <w:rFonts w:hint="eastAsia"/>
        </w:rPr>
        <w:t>試験片をオーステナイト化温度から冷却した後，</w:t>
      </w:r>
      <w:r w:rsidR="00DC160D" w:rsidRPr="00BC31E0">
        <w:rPr>
          <w:rFonts w:hint="eastAsia"/>
        </w:rPr>
        <w:t>全</w:t>
      </w:r>
      <w:r w:rsidRPr="00BC31E0">
        <w:rPr>
          <w:rFonts w:hint="eastAsia"/>
        </w:rPr>
        <w:t>ての温度において</w:t>
      </w:r>
      <w:r w:rsidRPr="00BC31E0">
        <w:rPr>
          <w:sz w:val="22"/>
          <w:szCs w:val="22"/>
        </w:rPr>
        <w:t>20</w:t>
      </w:r>
      <w:r w:rsidRPr="00BC31E0">
        <w:rPr>
          <w:rFonts w:hint="eastAsia"/>
        </w:rPr>
        <w:t>秒間で</w:t>
      </w:r>
      <w:r w:rsidRPr="00BC31E0">
        <w:rPr>
          <w:rFonts w:hint="eastAsia"/>
        </w:rPr>
        <w:t>14</w:t>
      </w:r>
      <w:r w:rsidR="00F17F01" w:rsidRPr="00BC31E0">
        <w:rPr>
          <w:rFonts w:asciiTheme="minorEastAsia" w:eastAsiaTheme="minorEastAsia" w:hAnsiTheme="minorEastAsia" w:hint="eastAsia"/>
          <w:bCs/>
        </w:rPr>
        <w:t>℃</w:t>
      </w:r>
      <w:r w:rsidRPr="00BC31E0">
        <w:rPr>
          <w:rFonts w:hint="eastAsia"/>
        </w:rPr>
        <w:t>以</w:t>
      </w:r>
      <w:r w:rsidRPr="00BC31E0">
        <w:rPr>
          <w:rFonts w:hint="eastAsia"/>
        </w:rPr>
        <w:lastRenderedPageBreak/>
        <w:t>内の速度で冷却し，試験片の冷却速度が，厚さ中央と表面の中間領域</w:t>
      </w:r>
      <w:r w:rsidRPr="00BC31E0">
        <w:rPr>
          <w:rFonts w:hint="eastAsia"/>
        </w:rPr>
        <w:t>(</w:t>
      </w:r>
      <m:oMath>
        <m:f>
          <m:fPr>
            <m:type m:val="lin"/>
            <m:ctrlPr>
              <w:rPr>
                <w:rFonts w:ascii="Cambria Math" w:hAnsi="Cambria Math"/>
                <w:i/>
              </w:rPr>
            </m:ctrlPr>
          </m:fPr>
          <m:num>
            <m:r>
              <w:rPr>
                <w:rFonts w:ascii="Cambria Math" w:hAnsi="Cambria Math"/>
              </w:rPr>
              <m:t>t</m:t>
            </m:r>
          </m:num>
          <m:den>
            <m:r>
              <w:rPr>
                <w:rFonts w:ascii="Cambria Math" w:hAnsi="Cambria Math"/>
              </w:rPr>
              <m:t>4</m:t>
            </m:r>
          </m:den>
        </m:f>
      </m:oMath>
      <w:r w:rsidRPr="00BC31E0">
        <w:rPr>
          <w:rFonts w:hint="eastAsia"/>
        </w:rPr>
        <w:t>)</w:t>
      </w:r>
      <w:r w:rsidRPr="00BC31E0">
        <w:rPr>
          <w:rFonts w:hint="eastAsia"/>
        </w:rPr>
        <w:t>で，熱処理端から</w:t>
      </w:r>
      <m:oMath>
        <m:r>
          <m:rPr>
            <m:sty m:val="p"/>
          </m:rPr>
          <w:rPr>
            <w:rFonts w:ascii="Cambria Math" w:hAnsi="Cambria Math" w:hint="eastAsia"/>
            <w:sz w:val="22"/>
            <w:szCs w:val="22"/>
          </w:rPr>
          <m:t xml:space="preserve"> </m:t>
        </m:r>
        <m:r>
          <w:rPr>
            <w:rFonts w:ascii="Cambria Math" w:hAnsi="Cambria Math" w:hint="eastAsia"/>
            <w:sz w:val="22"/>
            <w:szCs w:val="22"/>
          </w:rPr>
          <m:t>t</m:t>
        </m:r>
        <m:r>
          <m:rPr>
            <m:sty m:val="p"/>
          </m:rPr>
          <w:rPr>
            <w:rFonts w:ascii="Cambria Math" w:hAnsi="Cambria Math" w:hint="eastAsia"/>
            <w:sz w:val="22"/>
            <w:szCs w:val="22"/>
          </w:rPr>
          <m:t xml:space="preserve"> </m:t>
        </m:r>
      </m:oMath>
      <w:r w:rsidRPr="00BC31E0">
        <w:rPr>
          <w:rFonts w:hint="eastAsia"/>
        </w:rPr>
        <w:t>以上離れた位置における製品本体の冷却速度と一致することを示すことができれば，どのような手順で試験片の熱処理を行ってもよい。ここで，</w:t>
      </w:r>
      <m:oMath>
        <m:r>
          <w:rPr>
            <w:rFonts w:ascii="Cambria Math" w:hAnsi="Cambria Math" w:hint="eastAsia"/>
            <w:sz w:val="22"/>
            <w:szCs w:val="22"/>
          </w:rPr>
          <m:t>t</m:t>
        </m:r>
        <m:r>
          <m:rPr>
            <m:sty m:val="p"/>
          </m:rPr>
          <w:rPr>
            <w:rFonts w:ascii="Cambria Math" w:hAnsi="Cambria Math"/>
            <w:sz w:val="22"/>
            <w:szCs w:val="22"/>
          </w:rPr>
          <m:t xml:space="preserve"> </m:t>
        </m:r>
      </m:oMath>
      <w:r w:rsidRPr="00BC31E0">
        <w:rPr>
          <w:rFonts w:hint="eastAsia"/>
        </w:rPr>
        <w:t>は製品の公称厚さである。</w:t>
      </w:r>
    </w:p>
    <w:p w14:paraId="6766E4E7" w14:textId="77777777" w:rsidR="00F665E3" w:rsidRPr="00BC31E0" w:rsidRDefault="00F665E3" w:rsidP="00736130">
      <w:pPr>
        <w:pStyle w:val="a4"/>
        <w:numPr>
          <w:ilvl w:val="0"/>
          <w:numId w:val="352"/>
        </w:numPr>
        <w:ind w:leftChars="0" w:left="738" w:hanging="454"/>
      </w:pPr>
      <w:r w:rsidRPr="00BC31E0">
        <w:rPr>
          <w:rFonts w:hint="eastAsia"/>
        </w:rPr>
        <w:t>次の</w:t>
      </w:r>
      <w:r w:rsidRPr="00BC31E0">
        <w:rPr>
          <w:rFonts w:asciiTheme="majorEastAsia" w:eastAsiaTheme="majorEastAsia" w:hAnsiTheme="majorEastAsia" w:hint="eastAsia"/>
          <w:b/>
        </w:rPr>
        <w:t>2.1)</w:t>
      </w:r>
      <w:r w:rsidRPr="00BC31E0">
        <w:rPr>
          <w:rFonts w:hint="eastAsia"/>
        </w:rPr>
        <w:t>～</w:t>
      </w:r>
      <w:r w:rsidRPr="00BC31E0">
        <w:rPr>
          <w:rFonts w:asciiTheme="majorEastAsia" w:eastAsiaTheme="majorEastAsia" w:hAnsiTheme="majorEastAsia" w:hint="eastAsia"/>
          <w:b/>
        </w:rPr>
        <w:t>2.3)</w:t>
      </w:r>
      <w:r w:rsidRPr="00BC31E0">
        <w:rPr>
          <w:rFonts w:hint="eastAsia"/>
        </w:rPr>
        <w:t>によって，製品端部における速い冷却速度を補償する。</w:t>
      </w:r>
    </w:p>
    <w:p w14:paraId="7168678D" w14:textId="77777777" w:rsidR="001C09B6" w:rsidRPr="00BC31E0" w:rsidRDefault="00F665E3" w:rsidP="00736130">
      <w:pPr>
        <w:pStyle w:val="a4"/>
        <w:numPr>
          <w:ilvl w:val="0"/>
          <w:numId w:val="353"/>
        </w:numPr>
        <w:ind w:leftChars="0" w:left="1134" w:hanging="567"/>
      </w:pPr>
      <w:r w:rsidRPr="00BC31E0">
        <w:rPr>
          <w:rFonts w:hint="eastAsia"/>
        </w:rPr>
        <w:t>熱処理</w:t>
      </w:r>
      <w:r w:rsidRPr="00BC31E0">
        <w:t>端から</w:t>
      </w:r>
      <m:oMath>
        <m:r>
          <m:rPr>
            <m:sty m:val="p"/>
          </m:rPr>
          <w:rPr>
            <w:rFonts w:ascii="Cambria Math" w:hAnsi="Cambria Math"/>
          </w:rPr>
          <m:t xml:space="preserve"> </m:t>
        </m:r>
        <m:r>
          <w:rPr>
            <w:rFonts w:ascii="Cambria Math" w:hAnsi="Cambria Math"/>
          </w:rPr>
          <m:t>t</m:t>
        </m:r>
        <m:r>
          <m:rPr>
            <m:sty m:val="p"/>
          </m:rPr>
          <w:rPr>
            <w:rFonts w:ascii="Cambria Math" w:hAnsi="Cambria Math"/>
          </w:rPr>
          <m:t xml:space="preserve"> </m:t>
        </m:r>
      </m:oMath>
      <w:r w:rsidRPr="00BC31E0">
        <w:t>以上離れた位置</w:t>
      </w:r>
      <w:r w:rsidRPr="00BC31E0">
        <w:rPr>
          <w:rFonts w:hint="eastAsia"/>
        </w:rPr>
        <w:t>で</w:t>
      </w:r>
      <w:r w:rsidRPr="00BC31E0">
        <w:t>，試験片を採取する。</w:t>
      </w:r>
      <w:r w:rsidRPr="00BC31E0">
        <w:rPr>
          <w:rFonts w:hint="eastAsia"/>
        </w:rPr>
        <w:t>ここで，</w:t>
      </w:r>
      <m:oMath>
        <m:r>
          <w:rPr>
            <w:rFonts w:ascii="Cambria Math" w:hAnsi="Cambria Math" w:hint="eastAsia"/>
          </w:rPr>
          <m:t>t</m:t>
        </m:r>
        <m:r>
          <m:rPr>
            <m:sty m:val="p"/>
          </m:rPr>
          <w:rPr>
            <w:rFonts w:ascii="Cambria Math" w:hAnsi="Cambria Math"/>
          </w:rPr>
          <m:t xml:space="preserve"> </m:t>
        </m:r>
      </m:oMath>
      <w:r w:rsidRPr="00BC31E0">
        <w:rPr>
          <w:rFonts w:hint="eastAsia"/>
        </w:rPr>
        <w:t>は製品の公称厚さである。</w:t>
      </w:r>
    </w:p>
    <w:p w14:paraId="4D59932B" w14:textId="77777777" w:rsidR="001C09B6" w:rsidRPr="00BC31E0" w:rsidRDefault="00F665E3" w:rsidP="00736130">
      <w:pPr>
        <w:pStyle w:val="a4"/>
        <w:numPr>
          <w:ilvl w:val="0"/>
          <w:numId w:val="353"/>
        </w:numPr>
        <w:ind w:leftChars="0" w:left="1134" w:hanging="567"/>
      </w:pPr>
      <w:r w:rsidRPr="00BC31E0">
        <w:t>試験片を採取する製品端</w:t>
      </w:r>
      <w:r w:rsidRPr="00BC31E0">
        <w:rPr>
          <w:rFonts w:hint="eastAsia"/>
        </w:rPr>
        <w:t>部に</w:t>
      </w:r>
      <w:r w:rsidRPr="00BC31E0">
        <w:t>，部分溶込み溶接により幅</w:t>
      </w:r>
      <m:oMath>
        <m:r>
          <m:rPr>
            <m:sty m:val="p"/>
          </m:rPr>
          <w:rPr>
            <w:rFonts w:ascii="Cambria Math" w:hAnsi="Cambria Math" w:hint="eastAsia"/>
          </w:rPr>
          <m:t xml:space="preserve"> </m:t>
        </m:r>
        <m:r>
          <w:rPr>
            <w:rFonts w:ascii="Cambria Math" w:hAnsi="Cambria Math"/>
          </w:rPr>
          <m:t>t</m:t>
        </m:r>
        <m:r>
          <m:rPr>
            <m:sty m:val="p"/>
          </m:rPr>
          <w:rPr>
            <w:rFonts w:ascii="Cambria Math" w:hAnsi="Cambria Math" w:hint="eastAsia"/>
          </w:rPr>
          <m:t xml:space="preserve"> </m:t>
        </m:r>
      </m:oMath>
      <w:r w:rsidRPr="00BC31E0">
        <w:t>以上の</w:t>
      </w:r>
      <w:r w:rsidRPr="00BC31E0">
        <w:rPr>
          <w:rFonts w:hint="eastAsia"/>
        </w:rPr>
        <w:t>スチール</w:t>
      </w:r>
      <w:r w:rsidRPr="00BC31E0">
        <w:t>パッドを取付ける。</w:t>
      </w:r>
    </w:p>
    <w:p w14:paraId="006FB7B6" w14:textId="77777777" w:rsidR="00F665E3" w:rsidRPr="00BC31E0" w:rsidRDefault="00F665E3" w:rsidP="00736130">
      <w:pPr>
        <w:pStyle w:val="a4"/>
        <w:numPr>
          <w:ilvl w:val="0"/>
          <w:numId w:val="353"/>
        </w:numPr>
        <w:ind w:leftChars="0" w:left="1134" w:hanging="567"/>
      </w:pPr>
      <w:r w:rsidRPr="00BC31E0">
        <w:t>試験片を採取する製品端</w:t>
      </w:r>
      <w:r w:rsidRPr="00BC31E0">
        <w:rPr>
          <w:rFonts w:hint="eastAsia"/>
        </w:rPr>
        <w:t>部に</w:t>
      </w:r>
      <w:r w:rsidRPr="00BC31E0">
        <w:t>，</w:t>
      </w:r>
      <w:r w:rsidRPr="00BC31E0">
        <w:rPr>
          <w:rFonts w:hint="eastAsia"/>
        </w:rPr>
        <w:t>サーマルバッファ</w:t>
      </w:r>
      <w:r w:rsidRPr="00BC31E0">
        <w:t>又は断熱材を使用する。</w:t>
      </w:r>
    </w:p>
    <w:p w14:paraId="58E7617C" w14:textId="77777777" w:rsidR="00BD4B05" w:rsidRPr="00BC31E0" w:rsidRDefault="00F665E3" w:rsidP="00736130">
      <w:pPr>
        <w:pStyle w:val="a4"/>
        <w:numPr>
          <w:ilvl w:val="0"/>
          <w:numId w:val="601"/>
        </w:numPr>
        <w:ind w:leftChars="0" w:left="738" w:hanging="454"/>
      </w:pPr>
      <w:r w:rsidRPr="00BC31E0">
        <w:t>製品の冷却速度データ及び試験片に</w:t>
      </w:r>
      <w:r w:rsidRPr="00BC31E0">
        <w:rPr>
          <w:rFonts w:hint="eastAsia"/>
        </w:rPr>
        <w:t>対する</w:t>
      </w:r>
      <w:r w:rsidRPr="00BC31E0">
        <w:t>冷却速度</w:t>
      </w:r>
      <w:r w:rsidRPr="00BC31E0">
        <w:rPr>
          <w:rFonts w:hint="eastAsia"/>
        </w:rPr>
        <w:t>デバイス</w:t>
      </w:r>
      <w:r w:rsidRPr="00BC31E0">
        <w:t>制御装置が利用可能であれば，</w:t>
      </w:r>
      <w:r w:rsidRPr="00BC31E0">
        <w:rPr>
          <w:rFonts w:asciiTheme="majorEastAsia" w:eastAsiaTheme="majorEastAsia" w:hAnsiTheme="majorEastAsia" w:hint="eastAsia"/>
          <w:b/>
        </w:rPr>
        <w:t>1)</w:t>
      </w:r>
      <w:r w:rsidRPr="00BC31E0">
        <w:t>を満足</w:t>
      </w:r>
      <w:r w:rsidRPr="00BC31E0">
        <w:rPr>
          <w:rFonts w:hint="eastAsia"/>
        </w:rPr>
        <w:t>すれば</w:t>
      </w:r>
      <w:r w:rsidRPr="00BC31E0">
        <w:t>，装置内で</w:t>
      </w:r>
      <w:r w:rsidRPr="00BC31E0">
        <w:rPr>
          <w:rFonts w:hint="eastAsia"/>
        </w:rPr>
        <w:t>試験片を</w:t>
      </w:r>
      <w:r w:rsidRPr="00BC31E0">
        <w:t>熱処理</w:t>
      </w:r>
      <w:r w:rsidRPr="00BC31E0">
        <w:rPr>
          <w:rFonts w:hint="eastAsia"/>
        </w:rPr>
        <w:t>することにより製品を代表</w:t>
      </w:r>
      <w:r w:rsidR="00466DAB" w:rsidRPr="00BC31E0">
        <w:rPr>
          <w:rFonts w:hint="eastAsia"/>
        </w:rPr>
        <w:t>す</w:t>
      </w:r>
      <w:r w:rsidRPr="00BC31E0">
        <w:rPr>
          <w:rFonts w:hint="eastAsia"/>
        </w:rPr>
        <w:t>る</w:t>
      </w:r>
      <w:r w:rsidRPr="00BC31E0">
        <w:t>。</w:t>
      </w:r>
    </w:p>
    <w:p w14:paraId="3F93BDDF" w14:textId="77777777" w:rsidR="00F665E3" w:rsidRPr="00BC31E0" w:rsidRDefault="00F665E3" w:rsidP="00736130">
      <w:pPr>
        <w:pStyle w:val="a4"/>
        <w:numPr>
          <w:ilvl w:val="0"/>
          <w:numId w:val="601"/>
        </w:numPr>
        <w:ind w:leftChars="0" w:left="738" w:hanging="454"/>
      </w:pPr>
      <w:r w:rsidRPr="00BC31E0">
        <w:rPr>
          <w:rFonts w:ascii="ＭＳ 明朝" w:hAnsi="ＭＳ 明朝"/>
        </w:rPr>
        <w:t>オーステナイト化温度からの焼な</w:t>
      </w:r>
      <w:r w:rsidRPr="00BC31E0">
        <w:rPr>
          <w:rFonts w:ascii="ＭＳ 明朝" w:hAnsi="ＭＳ 明朝" w:hint="eastAsia"/>
        </w:rPr>
        <w:t>ら</w:t>
      </w:r>
      <w:r w:rsidRPr="00BC31E0">
        <w:rPr>
          <w:rFonts w:ascii="ＭＳ 明朝" w:hAnsi="ＭＳ 明朝"/>
        </w:rPr>
        <w:t>し又は加速冷却</w:t>
      </w:r>
      <w:r w:rsidRPr="00BC31E0">
        <w:rPr>
          <w:rFonts w:ascii="ＭＳ 明朝" w:hAnsi="ＭＳ 明朝" w:hint="eastAsia"/>
        </w:rPr>
        <w:t>を行う前のクラッド</w:t>
      </w:r>
      <w:r w:rsidRPr="00BC31E0">
        <w:rPr>
          <w:rFonts w:ascii="ＭＳ 明朝" w:hAnsi="ＭＳ 明朝"/>
        </w:rPr>
        <w:t>又は</w:t>
      </w:r>
      <w:r w:rsidRPr="00BC31E0">
        <w:rPr>
          <w:rFonts w:ascii="ＭＳ 明朝" w:hAnsi="ＭＳ 明朝" w:hint="eastAsia"/>
        </w:rPr>
        <w:t>肉盛</w:t>
      </w:r>
      <w:r w:rsidRPr="00BC31E0">
        <w:rPr>
          <w:rFonts w:ascii="ＭＳ 明朝" w:hAnsi="ＭＳ 明朝"/>
        </w:rPr>
        <w:t>溶接</w:t>
      </w:r>
      <w:r w:rsidRPr="00BC31E0">
        <w:rPr>
          <w:rFonts w:ascii="ＭＳ 明朝" w:hAnsi="ＭＳ 明朝" w:hint="eastAsia"/>
        </w:rPr>
        <w:t>された製品の</w:t>
      </w:r>
      <w:r w:rsidRPr="00BC31E0">
        <w:rPr>
          <w:rFonts w:ascii="ＭＳ 明朝" w:hAnsi="ＭＳ 明朝"/>
        </w:rPr>
        <w:t>場合，</w:t>
      </w:r>
      <w:r w:rsidRPr="00BC31E0">
        <w:rPr>
          <w:rFonts w:ascii="ＭＳ 明朝" w:hAnsi="ＭＳ 明朝" w:hint="eastAsia"/>
        </w:rPr>
        <w:t>試験材もこのような</w:t>
      </w:r>
      <w:r w:rsidRPr="00BC31E0">
        <w:rPr>
          <w:rFonts w:ascii="ＭＳ 明朝" w:hAnsi="ＭＳ 明朝"/>
        </w:rPr>
        <w:t>熱処理</w:t>
      </w:r>
      <w:r w:rsidRPr="00BC31E0">
        <w:rPr>
          <w:rFonts w:ascii="ＭＳ 明朝" w:hAnsi="ＭＳ 明朝" w:hint="eastAsia"/>
        </w:rPr>
        <w:t>を行う前の</w:t>
      </w:r>
      <w:r w:rsidRPr="00BC31E0">
        <w:rPr>
          <w:rFonts w:ascii="ＭＳ 明朝" w:hAnsi="ＭＳ 明朝"/>
        </w:rPr>
        <w:t>全厚さの</w:t>
      </w:r>
      <w:r w:rsidRPr="00BC31E0">
        <w:rPr>
          <w:rFonts w:ascii="ＭＳ 明朝" w:hAnsi="ＭＳ 明朝" w:hint="eastAsia"/>
        </w:rPr>
        <w:t>クラッド又は肉盛溶接された試験材としなければならない</w:t>
      </w:r>
      <w:r w:rsidRPr="00BC31E0">
        <w:rPr>
          <w:rFonts w:ascii="ＭＳ 明朝" w:hAnsi="ＭＳ 明朝"/>
        </w:rPr>
        <w:t>。</w:t>
      </w:r>
    </w:p>
    <w:p w14:paraId="21E7E191" w14:textId="77777777" w:rsidR="00F665E3" w:rsidRPr="00BC31E0" w:rsidRDefault="00F665E3" w:rsidP="00736130">
      <w:pPr>
        <w:pStyle w:val="a4"/>
        <w:numPr>
          <w:ilvl w:val="0"/>
          <w:numId w:val="599"/>
        </w:numPr>
        <w:ind w:leftChars="0" w:left="454" w:hanging="454"/>
      </w:pPr>
      <w:r w:rsidRPr="00BC31E0">
        <w:rPr>
          <w:rFonts w:asciiTheme="majorEastAsia" w:eastAsiaTheme="majorEastAsia" w:hAnsiTheme="majorEastAsia" w:hint="eastAsia"/>
          <w:b/>
        </w:rPr>
        <w:t>クロムモリブデン鋼の熱処理に対する追加規定</w:t>
      </w:r>
      <w:r w:rsidRPr="00BC31E0">
        <w:rPr>
          <w:rFonts w:asciiTheme="minorEastAsia" w:eastAsiaTheme="minorEastAsia" w:hAnsiTheme="minorEastAsia" w:hint="eastAsia"/>
        </w:rPr>
        <w:t xml:space="preserve">　</w:t>
      </w:r>
      <w:r w:rsidRPr="00BC31E0">
        <w:rPr>
          <w:rFonts w:asciiTheme="majorEastAsia" w:eastAsiaTheme="majorEastAsia" w:hAnsiTheme="majorEastAsia"/>
          <w:b/>
        </w:rPr>
        <w:t>表</w:t>
      </w:r>
      <w:r w:rsidRPr="00BC31E0">
        <w:rPr>
          <w:rFonts w:asciiTheme="majorEastAsia" w:eastAsiaTheme="majorEastAsia" w:hAnsiTheme="majorEastAsia" w:hint="eastAsia"/>
          <w:b/>
        </w:rPr>
        <w:t>7.4.1</w:t>
      </w:r>
      <w:r w:rsidRPr="00BC31E0">
        <w:t>に</w:t>
      </w:r>
      <w:r w:rsidRPr="00BC31E0">
        <w:rPr>
          <w:rFonts w:ascii="ＭＳ 明朝" w:hAnsi="ＭＳ 明朝"/>
        </w:rPr>
        <w:t>示す</w:t>
      </w:r>
      <w:r w:rsidRPr="00BC31E0">
        <w:rPr>
          <w:rFonts w:ascii="ＭＳ 明朝" w:hAnsi="ＭＳ 明朝" w:hint="eastAsia"/>
        </w:rPr>
        <w:t>材料に適用し，この追加規定を</w:t>
      </w:r>
      <w:r w:rsidRPr="00BC31E0">
        <w:rPr>
          <w:rFonts w:ascii="ＭＳ 明朝" w:hAnsi="ＭＳ 明朝"/>
        </w:rPr>
        <w:t>満足することを製作者</w:t>
      </w:r>
      <w:r w:rsidRPr="00BC31E0">
        <w:rPr>
          <w:rFonts w:ascii="ＭＳ 明朝" w:hAnsi="ＭＳ 明朝" w:hint="eastAsia"/>
        </w:rPr>
        <w:t>製作記録</w:t>
      </w:r>
      <w:r w:rsidRPr="00BC31E0">
        <w:rPr>
          <w:rFonts w:ascii="ＭＳ 明朝" w:hAnsi="ＭＳ 明朝"/>
        </w:rPr>
        <w:t>に</w:t>
      </w:r>
      <w:r w:rsidRPr="00BC31E0">
        <w:rPr>
          <w:rFonts w:ascii="ＭＳ 明朝" w:hAnsi="ＭＳ 明朝" w:hint="eastAsia"/>
        </w:rPr>
        <w:t>含める</w:t>
      </w:r>
      <w:r w:rsidRPr="00BC31E0">
        <w:rPr>
          <w:rFonts w:ascii="ＭＳ 明朝" w:hAnsi="ＭＳ 明朝"/>
        </w:rPr>
        <w:t>。</w:t>
      </w:r>
      <w:r w:rsidRPr="00BC31E0">
        <w:rPr>
          <w:rFonts w:ascii="ＭＳ 明朝" w:hAnsi="ＭＳ 明朝" w:hint="eastAsia"/>
        </w:rPr>
        <w:t>引張試験片とシャルピー衝撃試験片の熱処理は，次の</w:t>
      </w:r>
      <w:r w:rsidRPr="00BC31E0">
        <w:rPr>
          <w:rFonts w:asciiTheme="majorEastAsia" w:eastAsiaTheme="majorEastAsia" w:hAnsiTheme="majorEastAsia" w:hint="eastAsia"/>
          <w:b/>
        </w:rPr>
        <w:t>1)</w:t>
      </w:r>
      <w:r w:rsidRPr="00BC31E0">
        <w:rPr>
          <w:rFonts w:ascii="ＭＳ 明朝" w:hAnsi="ＭＳ 明朝" w:hint="eastAsia"/>
        </w:rPr>
        <w:t>，</w:t>
      </w:r>
      <w:r w:rsidRPr="00BC31E0">
        <w:rPr>
          <w:rFonts w:asciiTheme="majorEastAsia" w:eastAsiaTheme="majorEastAsia" w:hAnsiTheme="majorEastAsia" w:hint="eastAsia"/>
          <w:b/>
        </w:rPr>
        <w:t>2)</w:t>
      </w:r>
      <w:r w:rsidRPr="00BC31E0">
        <w:rPr>
          <w:rFonts w:ascii="ＭＳ 明朝" w:hAnsi="ＭＳ 明朝" w:hint="eastAsia"/>
        </w:rPr>
        <w:t>による。</w:t>
      </w:r>
    </w:p>
    <w:p w14:paraId="57C52B13" w14:textId="77777777" w:rsidR="00F665E3" w:rsidRPr="00BC31E0" w:rsidRDefault="00F665E3" w:rsidP="00736130">
      <w:pPr>
        <w:pStyle w:val="a4"/>
        <w:numPr>
          <w:ilvl w:val="0"/>
          <w:numId w:val="602"/>
        </w:numPr>
        <w:ind w:leftChars="0" w:left="738" w:hanging="454"/>
      </w:pPr>
      <w:r w:rsidRPr="00BC31E0">
        <w:t>二組の引張試験片と一組のシャルピー衝撃試験片</w:t>
      </w:r>
      <w:r w:rsidRPr="00BC31E0">
        <w:rPr>
          <w:rFonts w:hint="eastAsia"/>
        </w:rPr>
        <w:t>の</w:t>
      </w:r>
      <w:r w:rsidRPr="00BC31E0">
        <w:t>試験を</w:t>
      </w:r>
      <w:r w:rsidRPr="00BC31E0">
        <w:rPr>
          <w:rFonts w:hint="eastAsia"/>
        </w:rPr>
        <w:t>行う。</w:t>
      </w:r>
      <w:r w:rsidRPr="00BC31E0">
        <w:t>一組の引張試験片</w:t>
      </w:r>
      <w:r w:rsidRPr="00BC31E0">
        <w:rPr>
          <w:rFonts w:hint="eastAsia"/>
        </w:rPr>
        <w:t>に</w:t>
      </w:r>
      <w:r w:rsidRPr="00BC31E0">
        <w:t>は</w:t>
      </w:r>
      <w:r w:rsidRPr="00BC31E0">
        <w:rPr>
          <w:rFonts w:hint="eastAsia"/>
        </w:rPr>
        <w:t>次の</w:t>
      </w:r>
      <w:r w:rsidRPr="00BC31E0">
        <w:t>熱処理条件</w:t>
      </w:r>
      <w:r w:rsidRPr="00BC31E0">
        <w:t>A</w:t>
      </w:r>
      <w:r w:rsidRPr="00BC31E0">
        <w:rPr>
          <w:rFonts w:hint="eastAsia"/>
        </w:rPr>
        <w:t>の</w:t>
      </w:r>
      <w:r w:rsidRPr="00BC31E0">
        <w:t>熱処理を</w:t>
      </w:r>
      <w:r w:rsidRPr="00BC31E0">
        <w:rPr>
          <w:rFonts w:hint="eastAsia"/>
        </w:rPr>
        <w:t>行い，</w:t>
      </w:r>
      <w:r w:rsidRPr="00BC31E0">
        <w:t>もう一組の引張試験片とシャルピー衝撃試験片</w:t>
      </w:r>
      <w:r w:rsidRPr="00BC31E0">
        <w:rPr>
          <w:rFonts w:hint="eastAsia"/>
        </w:rPr>
        <w:t>に</w:t>
      </w:r>
      <w:r w:rsidRPr="00BC31E0">
        <w:t>は熱処理条件</w:t>
      </w:r>
      <w:r w:rsidRPr="00BC31E0">
        <w:t>B</w:t>
      </w:r>
      <w:r w:rsidRPr="00BC31E0">
        <w:rPr>
          <w:rFonts w:hint="eastAsia"/>
        </w:rPr>
        <w:t>の</w:t>
      </w:r>
      <w:r w:rsidRPr="00BC31E0">
        <w:t>熱処理を行う。</w:t>
      </w:r>
    </w:p>
    <w:p w14:paraId="421268F8" w14:textId="77777777" w:rsidR="009D0A3A" w:rsidRPr="00BC31E0" w:rsidRDefault="00F665E3" w:rsidP="00736130">
      <w:pPr>
        <w:pStyle w:val="a4"/>
        <w:numPr>
          <w:ilvl w:val="0"/>
          <w:numId w:val="354"/>
        </w:numPr>
        <w:ind w:leftChars="0" w:left="1134" w:hanging="567"/>
      </w:pPr>
      <w:r w:rsidRPr="00BC31E0">
        <w:rPr>
          <w:rFonts w:asciiTheme="majorEastAsia" w:eastAsiaTheme="majorEastAsia" w:hAnsiTheme="majorEastAsia"/>
          <w:b/>
        </w:rPr>
        <w:t>熱処理条件A</w:t>
      </w:r>
      <w:r w:rsidRPr="00BC31E0">
        <w:t xml:space="preserve">　熱処理温度は，</w:t>
      </w:r>
      <w:r w:rsidRPr="00BC31E0">
        <w:rPr>
          <w:rFonts w:hint="eastAsia"/>
        </w:rPr>
        <w:t>実際に容器部分が曝される</w:t>
      </w:r>
      <w:r w:rsidRPr="00BC31E0">
        <w:t>最高温度</w:t>
      </w:r>
      <m:oMath>
        <m:r>
          <m:rPr>
            <m:sty m:val="p"/>
          </m:rPr>
          <w:rPr>
            <w:rFonts w:ascii="Cambria Math" w:eastAsiaTheme="minorEastAsia" w:hAnsi="Cambria Math" w:hint="eastAsia"/>
          </w:rPr>
          <m:t>-</m:t>
        </m:r>
      </m:oMath>
      <w:r w:rsidR="009D0A3A" w:rsidRPr="00BC31E0">
        <w:rPr>
          <w:rFonts w:asciiTheme="minorHAnsi" w:hAnsiTheme="minorHAnsi"/>
        </w:rPr>
        <w:t>14</w:t>
      </w:r>
      <w:r w:rsidR="00F17F01" w:rsidRPr="00BC31E0">
        <w:rPr>
          <w:rFonts w:asciiTheme="minorEastAsia" w:eastAsiaTheme="minorEastAsia" w:hAnsiTheme="minorEastAsia" w:hint="eastAsia"/>
          <w:bCs/>
        </w:rPr>
        <w:t>℃</w:t>
      </w:r>
      <w:r w:rsidRPr="00BC31E0">
        <w:rPr>
          <w:rFonts w:hint="eastAsia"/>
        </w:rPr>
        <w:t>以上とする</w:t>
      </w:r>
      <w:r w:rsidRPr="00BC31E0">
        <w:t>。保持時間は，</w:t>
      </w:r>
      <w:r w:rsidRPr="00BC31E0">
        <w:rPr>
          <w:rFonts w:hint="eastAsia"/>
        </w:rPr>
        <w:t>実際に容器部分が熱処理される最大合計保持時間</w:t>
      </w:r>
      <w:r w:rsidRPr="00BC31E0">
        <w:t>の</w:t>
      </w:r>
      <w:r w:rsidR="009D0A3A" w:rsidRPr="00BC31E0">
        <w:rPr>
          <w:rFonts w:hint="eastAsia"/>
        </w:rPr>
        <w:t>80%</w:t>
      </w:r>
      <w:r w:rsidRPr="00BC31E0">
        <w:t>以上とする。</w:t>
      </w:r>
    </w:p>
    <w:p w14:paraId="5751CF9A" w14:textId="77777777" w:rsidR="00F665E3" w:rsidRPr="00BC31E0" w:rsidRDefault="00F665E3" w:rsidP="00736130">
      <w:pPr>
        <w:pStyle w:val="a4"/>
        <w:numPr>
          <w:ilvl w:val="0"/>
          <w:numId w:val="354"/>
        </w:numPr>
        <w:ind w:leftChars="0" w:left="1134" w:hanging="567"/>
      </w:pPr>
      <w:r w:rsidRPr="00BC31E0">
        <w:rPr>
          <w:rFonts w:asciiTheme="majorEastAsia" w:eastAsiaTheme="majorEastAsia" w:hAnsiTheme="majorEastAsia"/>
          <w:b/>
        </w:rPr>
        <w:t>熱処理条件B</w:t>
      </w:r>
      <w:r w:rsidRPr="00BC31E0">
        <w:rPr>
          <w:rFonts w:asciiTheme="majorEastAsia" w:eastAsiaTheme="majorEastAsia" w:hAnsiTheme="majorEastAsia"/>
        </w:rPr>
        <w:t xml:space="preserve">　</w:t>
      </w:r>
      <w:r w:rsidRPr="00BC31E0">
        <w:t>熱処理温度は，</w:t>
      </w:r>
      <w:r w:rsidRPr="00BC31E0">
        <w:rPr>
          <w:rFonts w:hint="eastAsia"/>
        </w:rPr>
        <w:t>実際に</w:t>
      </w:r>
      <w:r w:rsidRPr="00BC31E0">
        <w:t>容器</w:t>
      </w:r>
      <w:r w:rsidRPr="00BC31E0">
        <w:rPr>
          <w:rFonts w:hint="eastAsia"/>
        </w:rPr>
        <w:t>部分が曝される</w:t>
      </w:r>
      <w:r w:rsidRPr="00BC31E0">
        <w:t>最低温度</w:t>
      </w:r>
      <m:oMath>
        <m:r>
          <m:rPr>
            <m:sty m:val="p"/>
          </m:rPr>
          <w:rPr>
            <w:rFonts w:ascii="Cambria Math" w:eastAsiaTheme="minorEastAsia" w:hAnsi="Cambria Math" w:hint="eastAsia"/>
          </w:rPr>
          <m:t>+</m:t>
        </m:r>
      </m:oMath>
      <w:r w:rsidR="009D0A3A" w:rsidRPr="00BC31E0">
        <w:rPr>
          <w:rFonts w:asciiTheme="minorHAnsi" w:hAnsiTheme="minorHAnsi"/>
        </w:rPr>
        <w:t>14</w:t>
      </w:r>
      <w:r w:rsidR="00F17F01" w:rsidRPr="00BC31E0">
        <w:rPr>
          <w:rFonts w:asciiTheme="minorEastAsia" w:eastAsiaTheme="minorEastAsia" w:hAnsiTheme="minorEastAsia" w:hint="eastAsia"/>
          <w:bCs/>
        </w:rPr>
        <w:t>℃</w:t>
      </w:r>
      <w:r w:rsidRPr="00BC31E0">
        <w:rPr>
          <w:rFonts w:hint="eastAsia"/>
        </w:rPr>
        <w:t>以下</w:t>
      </w:r>
      <w:r w:rsidRPr="00BC31E0">
        <w:t>とする。保持時間は，</w:t>
      </w:r>
      <w:r w:rsidRPr="00BC31E0">
        <w:rPr>
          <w:rFonts w:hint="eastAsia"/>
        </w:rPr>
        <w:t>実際に</w:t>
      </w:r>
      <w:r w:rsidRPr="00BC31E0">
        <w:t>容器</w:t>
      </w:r>
      <w:r w:rsidRPr="00BC31E0">
        <w:rPr>
          <w:rFonts w:hint="eastAsia"/>
        </w:rPr>
        <w:t>部分が熱処理される最小合計保持時間</w:t>
      </w:r>
      <w:r w:rsidRPr="00BC31E0">
        <w:t>の</w:t>
      </w:r>
      <w:r w:rsidR="009D0A3A" w:rsidRPr="00BC31E0">
        <w:rPr>
          <w:rFonts w:hint="eastAsia"/>
        </w:rPr>
        <w:t>120%</w:t>
      </w:r>
      <w:r w:rsidRPr="00BC31E0">
        <w:t>以下とする。</w:t>
      </w:r>
    </w:p>
    <w:p w14:paraId="78963B28" w14:textId="77777777" w:rsidR="00F665E3" w:rsidRPr="00BC31E0" w:rsidRDefault="00F665E3" w:rsidP="00736130">
      <w:pPr>
        <w:pStyle w:val="a4"/>
        <w:numPr>
          <w:ilvl w:val="0"/>
          <w:numId w:val="603"/>
        </w:numPr>
        <w:ind w:leftChars="0" w:left="738" w:hanging="454"/>
      </w:pPr>
      <w:r w:rsidRPr="00BC31E0">
        <w:rPr>
          <w:rFonts w:hint="eastAsia"/>
        </w:rPr>
        <w:t>試験片</w:t>
      </w:r>
      <w:r w:rsidRPr="00BC31E0">
        <w:t>の熱処理</w:t>
      </w:r>
      <w:r w:rsidRPr="00BC31E0">
        <w:rPr>
          <w:rFonts w:hint="eastAsia"/>
        </w:rPr>
        <w:t>条件</w:t>
      </w:r>
      <w:r w:rsidRPr="00BC31E0">
        <w:t>を設定するための推奨手順を，次の</w:t>
      </w:r>
      <w:r w:rsidRPr="00BC31E0">
        <w:rPr>
          <w:rFonts w:asciiTheme="majorEastAsia" w:eastAsiaTheme="majorEastAsia" w:hAnsiTheme="majorEastAsia" w:hint="eastAsia"/>
          <w:b/>
          <w:bCs/>
        </w:rPr>
        <w:t>2.1)</w:t>
      </w:r>
      <w:r w:rsidRPr="00BC31E0">
        <w:t>～</w:t>
      </w:r>
      <w:r w:rsidRPr="00BC31E0">
        <w:rPr>
          <w:rFonts w:asciiTheme="majorEastAsia" w:eastAsiaTheme="majorEastAsia" w:hAnsiTheme="majorEastAsia" w:hint="eastAsia"/>
          <w:b/>
          <w:bCs/>
        </w:rPr>
        <w:t>2.3</w:t>
      </w:r>
      <w:r w:rsidRPr="00BC31E0">
        <w:rPr>
          <w:rFonts w:asciiTheme="majorEastAsia" w:eastAsiaTheme="majorEastAsia" w:hAnsiTheme="majorEastAsia"/>
          <w:b/>
          <w:bCs/>
        </w:rPr>
        <w:t>)</w:t>
      </w:r>
      <w:r w:rsidRPr="00BC31E0">
        <w:t>に示す。</w:t>
      </w:r>
    </w:p>
    <w:p w14:paraId="3668632B" w14:textId="77777777" w:rsidR="006B782E" w:rsidRPr="00BC31E0" w:rsidRDefault="00F665E3" w:rsidP="00736130">
      <w:pPr>
        <w:pStyle w:val="a4"/>
        <w:numPr>
          <w:ilvl w:val="0"/>
          <w:numId w:val="355"/>
        </w:numPr>
        <w:ind w:leftChars="0" w:left="1134" w:hanging="567"/>
      </w:pPr>
      <w:r w:rsidRPr="00BC31E0">
        <w:t>経験又は</w:t>
      </w:r>
      <w:r w:rsidRPr="00BC31E0">
        <w:rPr>
          <w:rFonts w:hint="eastAsia"/>
        </w:rPr>
        <w:t>熱処理</w:t>
      </w:r>
      <w:r w:rsidRPr="00BC31E0">
        <w:t>設備に基づいて，容器</w:t>
      </w:r>
      <w:r w:rsidRPr="00BC31E0">
        <w:rPr>
          <w:rFonts w:hint="eastAsia"/>
        </w:rPr>
        <w:t>又は容器部分</w:t>
      </w:r>
      <w:r w:rsidRPr="00BC31E0">
        <w:t>の</w:t>
      </w:r>
      <w:r w:rsidRPr="00BC31E0">
        <w:rPr>
          <w:rFonts w:hint="eastAsia"/>
        </w:rPr>
        <w:t>熱処理に対する</w:t>
      </w:r>
      <w:r w:rsidRPr="00BC31E0">
        <w:t>最高及び最低温度と保持時間を設定する。</w:t>
      </w:r>
    </w:p>
    <w:p w14:paraId="5DB1495A" w14:textId="77777777" w:rsidR="006B782E" w:rsidRPr="00BC31E0" w:rsidRDefault="00F665E3" w:rsidP="00736130">
      <w:pPr>
        <w:pStyle w:val="a4"/>
        <w:numPr>
          <w:ilvl w:val="0"/>
          <w:numId w:val="355"/>
        </w:numPr>
        <w:ind w:leftChars="0" w:left="1134" w:hanging="567"/>
      </w:pPr>
      <w:r w:rsidRPr="00BC31E0">
        <w:t>試験片の熱処理条件</w:t>
      </w:r>
      <w:r w:rsidRPr="00BC31E0">
        <w:t>A</w:t>
      </w:r>
      <w:r w:rsidRPr="00BC31E0">
        <w:t>及び</w:t>
      </w:r>
      <w:r w:rsidRPr="00BC31E0">
        <w:t>B</w:t>
      </w:r>
      <w:r w:rsidRPr="00BC31E0">
        <w:t>を決定する。</w:t>
      </w:r>
    </w:p>
    <w:p w14:paraId="7557EEA3" w14:textId="77777777" w:rsidR="00F665E3" w:rsidRPr="00BC31E0" w:rsidRDefault="00F665E3" w:rsidP="00736130">
      <w:pPr>
        <w:pStyle w:val="a4"/>
        <w:numPr>
          <w:ilvl w:val="0"/>
          <w:numId w:val="355"/>
        </w:numPr>
        <w:ind w:leftChars="0" w:left="1134" w:hanging="567"/>
      </w:pPr>
      <w:r w:rsidRPr="00BC31E0">
        <w:t>容器</w:t>
      </w:r>
      <w:r w:rsidRPr="00BC31E0">
        <w:rPr>
          <w:rFonts w:hint="eastAsia"/>
        </w:rPr>
        <w:t>又は容器部分</w:t>
      </w:r>
      <w:r w:rsidRPr="00BC31E0">
        <w:t>の熱処理</w:t>
      </w:r>
      <w:r w:rsidRPr="00BC31E0">
        <w:rPr>
          <w:rFonts w:hint="eastAsia"/>
        </w:rPr>
        <w:t>条件</w:t>
      </w:r>
      <w:r w:rsidRPr="00BC31E0">
        <w:t>(</w:t>
      </w:r>
      <w:r w:rsidRPr="00BC31E0">
        <w:t>熱処理温度と保持時間</w:t>
      </w:r>
      <w:r w:rsidRPr="00BC31E0">
        <w:t>)</w:t>
      </w:r>
      <w:r w:rsidRPr="00BC31E0">
        <w:rPr>
          <w:rFonts w:hint="eastAsia"/>
        </w:rPr>
        <w:t>と</w:t>
      </w:r>
      <w:r w:rsidRPr="00BC31E0">
        <w:t>試験片の熱処理条件</w:t>
      </w:r>
      <w:r w:rsidRPr="00BC31E0">
        <w:t>A</w:t>
      </w:r>
      <w:r w:rsidRPr="00BC31E0">
        <w:t>及び</w:t>
      </w:r>
      <w:r w:rsidRPr="00BC31E0">
        <w:t>B</w:t>
      </w:r>
      <w:r w:rsidRPr="00BC31E0">
        <w:t>との関係を</w:t>
      </w:r>
      <w:r w:rsidRPr="00BC31E0">
        <w:rPr>
          <w:rFonts w:hint="eastAsia"/>
        </w:rPr>
        <w:t>，</w:t>
      </w:r>
      <w:r w:rsidRPr="00BC31E0">
        <w:rPr>
          <w:rFonts w:asciiTheme="majorEastAsia" w:eastAsiaTheme="majorEastAsia" w:hAnsiTheme="majorEastAsia"/>
          <w:b/>
          <w:bCs/>
        </w:rPr>
        <w:t>図</w:t>
      </w:r>
      <w:r w:rsidRPr="00BC31E0">
        <w:rPr>
          <w:rFonts w:asciiTheme="majorEastAsia" w:eastAsiaTheme="majorEastAsia" w:hAnsiTheme="majorEastAsia" w:hint="eastAsia"/>
          <w:b/>
          <w:bCs/>
        </w:rPr>
        <w:t>10.1.</w:t>
      </w:r>
      <w:r w:rsidRPr="00BC31E0">
        <w:rPr>
          <w:rFonts w:asciiTheme="majorEastAsia" w:eastAsiaTheme="majorEastAsia" w:hAnsiTheme="majorEastAsia" w:hint="eastAsia"/>
          <w:b/>
        </w:rPr>
        <w:t>1</w:t>
      </w:r>
      <w:r w:rsidRPr="00BC31E0">
        <w:t>に示す。</w:t>
      </w:r>
    </w:p>
    <w:p w14:paraId="496AE777" w14:textId="77777777" w:rsidR="00F665E3" w:rsidRPr="00BC31E0" w:rsidRDefault="00F665E3" w:rsidP="00736130">
      <w:pPr>
        <w:pStyle w:val="a4"/>
        <w:numPr>
          <w:ilvl w:val="0"/>
          <w:numId w:val="600"/>
        </w:numPr>
        <w:ind w:leftChars="0" w:left="454" w:hanging="454"/>
      </w:pPr>
      <w:r w:rsidRPr="00BC31E0">
        <w:rPr>
          <w:rFonts w:asciiTheme="majorEastAsia" w:eastAsiaTheme="majorEastAsia" w:hAnsiTheme="majorEastAsia" w:hint="eastAsia"/>
          <w:b/>
        </w:rPr>
        <w:t>試験材に対する要求の例外事項</w:t>
      </w:r>
      <w:r w:rsidRPr="00BC31E0">
        <w:rPr>
          <w:rFonts w:asciiTheme="minorEastAsia" w:eastAsiaTheme="minorEastAsia" w:hAnsiTheme="minorEastAsia" w:hint="eastAsia"/>
        </w:rPr>
        <w:t xml:space="preserve">　</w:t>
      </w:r>
      <w:r w:rsidRPr="00BC31E0">
        <w:rPr>
          <w:rFonts w:ascii="ＭＳ 明朝" w:hAnsi="ＭＳ 明朝" w:hint="eastAsia"/>
        </w:rPr>
        <w:t>試験材の要求事項に対する例外は，次の</w:t>
      </w:r>
      <w:r w:rsidRPr="00BC31E0">
        <w:rPr>
          <w:rFonts w:asciiTheme="majorEastAsia" w:eastAsiaTheme="majorEastAsia" w:hAnsiTheme="majorEastAsia" w:hint="eastAsia"/>
          <w:b/>
        </w:rPr>
        <w:t>1)</w:t>
      </w:r>
      <w:r w:rsidRPr="00BC31E0">
        <w:rPr>
          <w:rFonts w:ascii="ＭＳ 明朝" w:hAnsi="ＭＳ 明朝" w:hint="eastAsia"/>
        </w:rPr>
        <w:t>～</w:t>
      </w:r>
      <w:r w:rsidRPr="00BC31E0">
        <w:rPr>
          <w:rFonts w:asciiTheme="majorEastAsia" w:eastAsiaTheme="majorEastAsia" w:hAnsiTheme="majorEastAsia" w:hint="eastAsia"/>
          <w:b/>
        </w:rPr>
        <w:t>3)</w:t>
      </w:r>
      <w:r w:rsidRPr="00BC31E0">
        <w:rPr>
          <w:rFonts w:ascii="ＭＳ 明朝" w:hAnsi="ＭＳ 明朝" w:hint="eastAsia"/>
        </w:rPr>
        <w:t>による。</w:t>
      </w:r>
    </w:p>
    <w:p w14:paraId="253E8AA3" w14:textId="77777777" w:rsidR="00BD4B05" w:rsidRPr="00BC31E0" w:rsidRDefault="00F665E3" w:rsidP="00736130">
      <w:pPr>
        <w:pStyle w:val="a4"/>
        <w:numPr>
          <w:ilvl w:val="0"/>
          <w:numId w:val="604"/>
        </w:numPr>
        <w:ind w:leftChars="0" w:left="738" w:hanging="454"/>
      </w:pPr>
      <w:r w:rsidRPr="00BC31E0">
        <w:rPr>
          <w:rFonts w:asciiTheme="majorEastAsia" w:eastAsiaTheme="majorEastAsia" w:hAnsiTheme="majorEastAsia" w:hint="eastAsia"/>
          <w:b/>
        </w:rPr>
        <w:t>標準耐圧部品</w:t>
      </w:r>
      <w:r w:rsidRPr="00BC31E0">
        <w:rPr>
          <w:rFonts w:hint="eastAsia"/>
        </w:rPr>
        <w:t xml:space="preserve">　</w:t>
      </w:r>
      <w:r w:rsidRPr="00BC31E0">
        <w:rPr>
          <w:rFonts w:asciiTheme="majorEastAsia" w:eastAsiaTheme="majorEastAsia" w:hAnsiTheme="majorEastAsia"/>
          <w:b/>
        </w:rPr>
        <w:t>5.1.5</w:t>
      </w:r>
      <w:r w:rsidRPr="00BC31E0">
        <w:rPr>
          <w:rFonts w:hint="eastAsia"/>
        </w:rPr>
        <w:t>で規定される標準耐圧部品に対しては，</w:t>
      </w:r>
      <w:r w:rsidRPr="00BC31E0">
        <w:rPr>
          <w:rFonts w:asciiTheme="majorEastAsia" w:eastAsiaTheme="majorEastAsia" w:hAnsiTheme="majorEastAsia"/>
          <w:b/>
        </w:rPr>
        <w:t>10.1.2 a)</w:t>
      </w:r>
      <w:r w:rsidRPr="00BC31E0">
        <w:rPr>
          <w:rFonts w:hint="eastAsia"/>
        </w:rPr>
        <w:t>及び</w:t>
      </w:r>
      <w:r w:rsidRPr="00BC31E0">
        <w:rPr>
          <w:rFonts w:asciiTheme="majorEastAsia" w:eastAsiaTheme="majorEastAsia" w:hAnsiTheme="majorEastAsia"/>
          <w:b/>
        </w:rPr>
        <w:t>b)</w:t>
      </w:r>
      <w:r w:rsidRPr="00BC31E0">
        <w:rPr>
          <w:rFonts w:hint="eastAsia"/>
        </w:rPr>
        <w:t>の要求を</w:t>
      </w:r>
      <w:r w:rsidR="00E40471" w:rsidRPr="00BC31E0">
        <w:rPr>
          <w:rFonts w:hint="eastAsia"/>
        </w:rPr>
        <w:t>免除する</w:t>
      </w:r>
      <w:r w:rsidRPr="00BC31E0">
        <w:rPr>
          <w:rFonts w:hint="eastAsia"/>
        </w:rPr>
        <w:t>。これらの標準耐圧部品は，容器と同じ熱処理条件を施した試験片がなくても，容器又は容器部品と一緒に溶接後熱処理を受けてもよい。ただし，特別に設計された鍛造継手は除く。</w:t>
      </w:r>
    </w:p>
    <w:p w14:paraId="6B5950DA" w14:textId="77777777" w:rsidR="00BD4B05" w:rsidRPr="00BC31E0" w:rsidRDefault="00F665E3" w:rsidP="00736130">
      <w:pPr>
        <w:pStyle w:val="a4"/>
        <w:numPr>
          <w:ilvl w:val="0"/>
          <w:numId w:val="604"/>
        </w:numPr>
        <w:ind w:leftChars="0" w:left="738" w:hanging="454"/>
      </w:pPr>
      <w:r w:rsidRPr="00BC31E0">
        <w:rPr>
          <w:rFonts w:asciiTheme="majorEastAsia" w:eastAsiaTheme="majorEastAsia" w:hAnsiTheme="majorEastAsia" w:hint="eastAsia"/>
          <w:b/>
        </w:rPr>
        <w:t>表7.4.18による溶接後熱処理を行った材料</w:t>
      </w:r>
      <w:r w:rsidRPr="00BC31E0">
        <w:rPr>
          <w:rFonts w:asciiTheme="minorHAnsi" w:eastAsiaTheme="majorEastAsia" w:hAnsiTheme="majorEastAsia"/>
        </w:rPr>
        <w:t xml:space="preserve">　</w:t>
      </w:r>
      <w:r w:rsidRPr="00BC31E0">
        <w:rPr>
          <w:rFonts w:asciiTheme="majorEastAsia" w:eastAsiaTheme="majorEastAsia" w:hAnsiTheme="majorEastAsia" w:hint="eastAsia"/>
          <w:b/>
        </w:rPr>
        <w:t xml:space="preserve">表 7.4.2 </w:t>
      </w:r>
      <w:r w:rsidRPr="00BC31E0">
        <w:rPr>
          <w:rFonts w:hint="eastAsia"/>
        </w:rPr>
        <w:t>又は</w:t>
      </w:r>
      <w:r w:rsidRPr="00BC31E0">
        <w:rPr>
          <w:rFonts w:asciiTheme="majorEastAsia" w:eastAsiaTheme="majorEastAsia" w:hAnsiTheme="majorEastAsia" w:hint="eastAsia"/>
          <w:b/>
        </w:rPr>
        <w:t xml:space="preserve">表 7.4.3 </w:t>
      </w:r>
      <w:r w:rsidRPr="00BC31E0">
        <w:rPr>
          <w:rFonts w:hint="eastAsia"/>
        </w:rPr>
        <w:t>の溶接後熱処理が要求される試験片で，</w:t>
      </w:r>
      <w:r w:rsidRPr="00BC31E0">
        <w:rPr>
          <w:rFonts w:asciiTheme="majorEastAsia" w:eastAsiaTheme="majorEastAsia" w:hAnsiTheme="majorEastAsia"/>
          <w:b/>
        </w:rPr>
        <w:t xml:space="preserve">10.1.2 </w:t>
      </w:r>
      <w:r w:rsidRPr="00BC31E0">
        <w:rPr>
          <w:rFonts w:asciiTheme="majorEastAsia" w:eastAsiaTheme="majorEastAsia" w:hAnsiTheme="majorEastAsia" w:hint="eastAsia"/>
          <w:b/>
        </w:rPr>
        <w:t>a)</w:t>
      </w:r>
      <w:r w:rsidRPr="00BC31E0">
        <w:rPr>
          <w:rFonts w:hint="eastAsia"/>
        </w:rPr>
        <w:t>及び</w:t>
      </w:r>
      <w:r w:rsidRPr="00BC31E0">
        <w:rPr>
          <w:rFonts w:asciiTheme="majorEastAsia" w:eastAsiaTheme="majorEastAsia" w:hAnsiTheme="majorEastAsia" w:hint="eastAsia"/>
          <w:b/>
        </w:rPr>
        <w:t>b)</w:t>
      </w:r>
      <w:r w:rsidRPr="00BC31E0">
        <w:rPr>
          <w:rFonts w:hint="eastAsia"/>
        </w:rPr>
        <w:t>に従って認証された</w:t>
      </w:r>
      <w:r w:rsidRPr="00BC31E0">
        <w:t>P</w:t>
      </w:r>
      <w:r w:rsidRPr="00BC31E0">
        <w:t>番号</w:t>
      </w:r>
      <w:r w:rsidRPr="00BC31E0">
        <w:rPr>
          <w:rFonts w:hint="eastAsia"/>
        </w:rPr>
        <w:t>1</w:t>
      </w:r>
      <w:r w:rsidRPr="00BC31E0">
        <w:t>グループ</w:t>
      </w:r>
      <w:r w:rsidRPr="00BC31E0">
        <w:t>3</w:t>
      </w:r>
      <w:r w:rsidRPr="00BC31E0">
        <w:rPr>
          <w:rFonts w:hint="eastAsia"/>
        </w:rPr>
        <w:t>及び</w:t>
      </w:r>
      <w:r w:rsidRPr="00BC31E0">
        <w:rPr>
          <w:rFonts w:hint="eastAsia"/>
        </w:rPr>
        <w:t>P</w:t>
      </w:r>
      <w:r w:rsidRPr="00BC31E0">
        <w:rPr>
          <w:rFonts w:hint="eastAsia"/>
        </w:rPr>
        <w:lastRenderedPageBreak/>
        <w:t>番号</w:t>
      </w:r>
      <w:r w:rsidRPr="00BC31E0">
        <w:rPr>
          <w:rFonts w:hint="eastAsia"/>
        </w:rPr>
        <w:t>3</w:t>
      </w:r>
      <w:r w:rsidRPr="00BC31E0">
        <w:rPr>
          <w:rFonts w:hint="eastAsia"/>
        </w:rPr>
        <w:t>グループ</w:t>
      </w:r>
      <w:r w:rsidRPr="00BC31E0">
        <w:rPr>
          <w:rFonts w:hint="eastAsia"/>
        </w:rPr>
        <w:t>1</w:t>
      </w:r>
      <w:r w:rsidRPr="00BC31E0">
        <w:rPr>
          <w:rFonts w:hint="eastAsia"/>
        </w:rPr>
        <w:t>と</w:t>
      </w:r>
      <w:r w:rsidRPr="00BC31E0">
        <w:rPr>
          <w:rFonts w:hint="eastAsia"/>
        </w:rPr>
        <w:t>2</w:t>
      </w:r>
      <w:r w:rsidRPr="00BC31E0">
        <w:rPr>
          <w:rFonts w:hint="eastAsia"/>
        </w:rPr>
        <w:t>の材料は，</w:t>
      </w:r>
      <w:r w:rsidRPr="00BC31E0">
        <w:rPr>
          <w:rFonts w:asciiTheme="majorEastAsia" w:eastAsiaTheme="majorEastAsia" w:hAnsiTheme="majorEastAsia" w:hint="eastAsia"/>
          <w:b/>
        </w:rPr>
        <w:t>表 7.4.18</w:t>
      </w:r>
      <w:r w:rsidRPr="00BC31E0">
        <w:rPr>
          <w:rFonts w:hint="eastAsia"/>
        </w:rPr>
        <w:t xml:space="preserve"> </w:t>
      </w:r>
      <w:r w:rsidRPr="00BC31E0">
        <w:rPr>
          <w:rFonts w:hint="eastAsia"/>
        </w:rPr>
        <w:t>による代替の溶接後熱処理をする場合，再度，試験片で認証を行う必要はない。</w:t>
      </w:r>
    </w:p>
    <w:p w14:paraId="5C7F9987" w14:textId="77777777" w:rsidR="00F665E3" w:rsidRPr="00BC31E0" w:rsidRDefault="00F665E3" w:rsidP="00736130">
      <w:pPr>
        <w:pStyle w:val="a4"/>
        <w:numPr>
          <w:ilvl w:val="0"/>
          <w:numId w:val="604"/>
        </w:numPr>
        <w:ind w:leftChars="0" w:left="738" w:hanging="454"/>
      </w:pPr>
      <w:r w:rsidRPr="00BC31E0">
        <w:rPr>
          <w:rFonts w:asciiTheme="majorEastAsia" w:eastAsiaTheme="majorEastAsia" w:hAnsiTheme="majorEastAsia" w:hint="eastAsia"/>
          <w:b/>
        </w:rPr>
        <w:t>再オーステナイト化熱処理を行った材料</w:t>
      </w:r>
      <w:r w:rsidRPr="00BC31E0">
        <w:rPr>
          <w:rFonts w:asciiTheme="minorEastAsia" w:eastAsiaTheme="minorEastAsia" w:hAnsiTheme="minorEastAsia" w:hint="eastAsia"/>
        </w:rPr>
        <w:t xml:space="preserve">　</w:t>
      </w:r>
      <w:r w:rsidRPr="00BC31E0">
        <w:rPr>
          <w:rFonts w:hint="eastAsia"/>
        </w:rPr>
        <w:t>オーステナイト化熱処理温度が少なくとも先行する熱処理のいずれかと同程度の高い温度であれば，材料を完全にオーステナイト化する熱処理に先行する</w:t>
      </w:r>
      <w:r w:rsidR="00DC160D" w:rsidRPr="00BC31E0">
        <w:rPr>
          <w:rFonts w:hint="eastAsia"/>
        </w:rPr>
        <w:t>全</w:t>
      </w:r>
      <w:r w:rsidRPr="00BC31E0">
        <w:rPr>
          <w:rFonts w:hint="eastAsia"/>
        </w:rPr>
        <w:t>ての熱処理を，試験片の熱処理で実証する必要はない。</w:t>
      </w:r>
    </w:p>
    <w:p w14:paraId="2631C442" w14:textId="77777777" w:rsidR="00F665E3" w:rsidRPr="00BC31E0" w:rsidRDefault="00F665E3" w:rsidP="008F10C9">
      <w:pPr>
        <w:widowControl/>
        <w:jc w:val="left"/>
      </w:pPr>
    </w:p>
    <w:p w14:paraId="5E42E740" w14:textId="77777777" w:rsidR="00F665E3" w:rsidRPr="00BC31E0" w:rsidRDefault="00A51873" w:rsidP="008F10C9">
      <w:pPr>
        <w:widowControl/>
        <w:jc w:val="center"/>
        <w:rPr>
          <w:rFonts w:asciiTheme="majorEastAsia" w:eastAsiaTheme="majorEastAsia" w:hAnsiTheme="majorEastAsia"/>
          <w:b/>
        </w:rPr>
      </w:pPr>
      <w:r>
        <w:rPr>
          <w:rFonts w:asciiTheme="majorEastAsia" w:eastAsiaTheme="majorEastAsia" w:hAnsiTheme="majorEastAsia"/>
          <w:b/>
          <w:noProof/>
        </w:rPr>
      </w:r>
      <w:r>
        <w:rPr>
          <w:rFonts w:asciiTheme="majorEastAsia" w:eastAsiaTheme="majorEastAsia" w:hAnsiTheme="majorEastAsia"/>
          <w:b/>
          <w:noProof/>
        </w:rPr>
        <w:pict w14:anchorId="4199FE96">
          <v:group id="グループ化 203" o:spid="_x0000_s1646" style="width:418.6pt;height:300.6pt;mso-position-horizontal-relative:char;mso-position-vertical-relative:line" coordorigin="1748,1768" coordsize="8372,6012">
            <v:shape id="Text Box 174" o:spid="_x0000_s1647" type="#_x0000_t202" style="position:absolute;left:5731;top:7392;width:1075;height:3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" filled="f" stroked="f">
              <v:textbox style="mso-fit-shape-to-text:t" inset="5.85pt,.7pt,5.85pt,.7pt">
                <w:txbxContent>
                  <w:p w14:paraId="67CE540B" w14:textId="77777777" w:rsidR="003B0864" w:rsidRDefault="003B0864" w:rsidP="00F665E3">
                    <w:r>
                      <w:rPr>
                        <w:rFonts w:hint="eastAsia"/>
                      </w:rPr>
                      <w:t>保持時間</w:t>
                    </w:r>
                  </w:p>
                </w:txbxContent>
              </v:textbox>
            </v:shape>
            <v:shape id="Text Box 175" o:spid="_x0000_s1648" type="#_x0000_t202" style="position:absolute;left:1748;top:4058;width:594;height:107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" filled="f" stroked="f">
              <v:textbox style="layout-flow:vertical-ideographic;mso-fit-shape-to-text:t" inset="5.85pt,.7pt,5.85pt,.7pt">
                <w:txbxContent>
                  <w:p w14:paraId="178877D5" w14:textId="77777777" w:rsidR="003B0864" w:rsidRDefault="003B0864" w:rsidP="00F665E3">
                    <w:r>
                      <w:rPr>
                        <w:rFonts w:hint="eastAsia"/>
                      </w:rPr>
                      <w:t>熱処理温度</w:t>
                    </w:r>
                  </w:p>
                </w:txbxContent>
              </v:textbox>
            </v:shape>
            <v:shape id="AutoShape 176" o:spid="_x0000_s1649" type="#_x0000_t32" style="position:absolute;left:8816;top:1935;width:0;height:5102;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">
              <v:stroke dashstyle="dash"/>
            </v:shape>
            <v:shape id="Text Box 177" o:spid="_x0000_s1650" type="#_x0000_t202" style="position:absolute;left:3230;top:7095;width:1495;height:3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" filled="f" stroked="f">
              <v:textbox style="mso-fit-shape-to-text:t" inset="5.85pt,.7pt,5.85pt,.7pt">
                <w:txbxContent>
                  <w:p w14:paraId="1BF18294" w14:textId="77777777" w:rsidR="003B0864" w:rsidRPr="007519F1" w:rsidRDefault="003B0864" w:rsidP="00F665E3">
                    <w:pPr>
                      <w:jc w:val="center"/>
                    </w:pPr>
                    <w:r w:rsidRPr="007519F1">
                      <w:rPr>
                        <w:rFonts w:hint="eastAsia"/>
                      </w:rPr>
                      <w:t>最小保持時間</w:t>
                    </w:r>
                  </w:p>
                </w:txbxContent>
              </v:textbox>
            </v:shape>
            <v:shape id="Text Box 178" o:spid="_x0000_s1651" type="#_x0000_t202" style="position:absolute;left:8065;top:7095;width:1495;height:3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" filled="f" stroked="f">
              <v:textbox style="mso-fit-shape-to-text:t" inset="5.85pt,.7pt,5.85pt,.7pt">
                <w:txbxContent>
                  <w:p w14:paraId="631984A8" w14:textId="77777777" w:rsidR="003B0864" w:rsidRPr="007519F1" w:rsidRDefault="003B0864" w:rsidP="00F665E3">
                    <w:r w:rsidRPr="007519F1">
                      <w:rPr>
                        <w:rFonts w:hint="eastAsia"/>
                      </w:rPr>
                      <w:t>最大保持時間</w:t>
                    </w:r>
                  </w:p>
                </w:txbxContent>
              </v:textbox>
            </v:shape>
            <v:shape id="Text Box 179" o:spid="_x0000_s1652" type="#_x0000_t202" style="position:absolute;left:9045;top:6276;width:1075;height:30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" filled="f" stroked="f">
              <v:textbox style="mso-fit-shape-to-text:t" inset="5.85pt,.7pt,5.85pt,.7pt">
                <w:txbxContent>
                  <w:p w14:paraId="3E3C903C" w14:textId="77777777" w:rsidR="003B0864" w:rsidRPr="007519F1" w:rsidRDefault="003B0864" w:rsidP="00F665E3">
                    <w:pPr>
                      <w:snapToGrid w:val="0"/>
                      <w:jc w:val="center"/>
                    </w:pPr>
                    <w:r w:rsidRPr="007519F1">
                      <w:rPr>
                        <w:rFonts w:hint="eastAsia"/>
                      </w:rPr>
                      <w:t>最低温度</w:t>
                    </w:r>
                  </w:p>
                </w:txbxContent>
              </v:textbox>
            </v:shape>
            <v:shape id="Text Box 180" o:spid="_x0000_s1653" type="#_x0000_t202" style="position:absolute;left:9045;top:2008;width:1075;height:30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" filled="f" stroked="f">
              <v:textbox style="mso-fit-shape-to-text:t" inset="5.85pt,.7pt,5.85pt,.7pt">
                <w:txbxContent>
                  <w:p w14:paraId="35739786" w14:textId="77777777" w:rsidR="003B0864" w:rsidRPr="007519F1" w:rsidRDefault="003B0864" w:rsidP="00F665E3">
                    <w:pPr>
                      <w:snapToGrid w:val="0"/>
                    </w:pPr>
                    <w:r w:rsidRPr="007519F1">
                      <w:rPr>
                        <w:rFonts w:hint="eastAsia"/>
                      </w:rPr>
                      <w:t>最高温度</w:t>
                    </w:r>
                  </w:p>
                </w:txbxContent>
              </v:textbox>
            </v:shape>
            <v:shape id="Text Box 181" o:spid="_x0000_s1654" type="#_x0000_t202" style="position:absolute;left:6402;top:3116;width:1477;height:3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" filled="f" stroked="f">
              <v:textbox style="mso-fit-shape-to-text:t" inset="5.85pt,.7pt,5.85pt,.7pt">
                <w:txbxContent>
                  <w:p w14:paraId="4F20D693" w14:textId="77777777" w:rsidR="003B0864" w:rsidRPr="004A2744" w:rsidRDefault="003B0864" w:rsidP="00F665E3">
                    <w:pPr>
                      <w:rPr>
                        <w:rFonts w:asciiTheme="majorHAnsi" w:eastAsiaTheme="majorEastAsia" w:hAnsiTheme="majorHAnsi" w:cstheme="majorHAnsi"/>
                      </w:rPr>
                    </w:pPr>
                    <w:r w:rsidRPr="004A2744">
                      <w:rPr>
                        <w:rFonts w:asciiTheme="majorHAnsi" w:eastAsiaTheme="majorEastAsia" w:hAnsiTheme="majorEastAsia" w:cstheme="majorHAnsi"/>
                      </w:rPr>
                      <w:t>熱処理条件</w:t>
                    </w:r>
                    <w:r w:rsidRPr="004A2744">
                      <w:rPr>
                        <w:rFonts w:asciiTheme="majorHAnsi" w:eastAsiaTheme="majorEastAsia" w:hAnsiTheme="majorHAnsi" w:cstheme="majorHAnsi"/>
                      </w:rPr>
                      <w:t>A</w:t>
                    </w:r>
                  </w:p>
                </w:txbxContent>
              </v:textbox>
            </v:shape>
            <v:shape id="Text Box 182" o:spid="_x0000_s1655" type="#_x0000_t202" style="position:absolute;left:4869;top:5066;width:1477;height:3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" filled="f" stroked="f">
              <v:textbox style="mso-fit-shape-to-text:t" inset="5.85pt,.7pt,5.85pt,.7pt">
                <w:txbxContent>
                  <w:p w14:paraId="305D779F" w14:textId="77777777" w:rsidR="003B0864" w:rsidRPr="004A2744" w:rsidRDefault="003B0864" w:rsidP="00F665E3">
                    <w:pPr>
                      <w:rPr>
                        <w:rFonts w:asciiTheme="majorHAnsi" w:eastAsiaTheme="majorEastAsia" w:hAnsiTheme="majorHAnsi" w:cstheme="majorHAnsi"/>
                      </w:rPr>
                    </w:pPr>
                    <w:r w:rsidRPr="004A2744">
                      <w:rPr>
                        <w:rFonts w:asciiTheme="majorHAnsi" w:eastAsiaTheme="majorEastAsia" w:hAnsiTheme="majorEastAsia" w:cstheme="majorHAnsi"/>
                      </w:rPr>
                      <w:t>熱処理条件</w:t>
                    </w:r>
                    <w:r w:rsidRPr="004A2744">
                      <w:rPr>
                        <w:rFonts w:asciiTheme="majorHAnsi" w:eastAsiaTheme="majorEastAsia" w:hAnsiTheme="majorHAnsi" w:cstheme="majorHAnsi"/>
                      </w:rPr>
                      <w:t>B</w:t>
                    </w:r>
                  </w:p>
                </w:txbxContent>
              </v:textbox>
            </v:shape>
            <v:shape id="AutoShape 183" o:spid="_x0000_s1656" type="#_x0000_t32" style="position:absolute;left:8037;top:3736;width:779;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">
              <v:stroke startarrow="classic" endarrow="classic"/>
            </v:shape>
            <v:shape id="Text Box 184" o:spid="_x0000_s1657" type="#_x0000_t202" style="position:absolute;left:7174;top:3889;width:2480;height:3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" fillcolor="white [3212]" stroked="f">
              <v:textbox style="mso-fit-shape-to-text:t" inset="5.85pt,.7pt,5.85pt,.7pt">
                <w:txbxContent>
                  <w:p w14:paraId="2D0EA5DC" w14:textId="77777777" w:rsidR="003B0864" w:rsidRPr="001A4E78" w:rsidRDefault="003B0864" w:rsidP="00F665E3">
                    <m:oMath>
                      <m:r>
                        <m:rPr>
                          <m:sty m:val="p"/>
                        </m:rPr>
                        <w:rPr>
                          <w:rFonts w:ascii="Cambria Math" w:hAnsi="Cambria Math" w:hint="eastAsia"/>
                        </w:rPr>
                        <m:t>最大保持時間</m:t>
                      </m:r>
                      <m:r>
                        <m:rPr>
                          <m:sty m:val="p"/>
                        </m:rPr>
                        <w:rPr>
                          <w:rFonts w:ascii="Cambria Math" w:hAnsi="Cambria Math"/>
                        </w:rPr>
                        <m:t>×</m:t>
                      </m:r>
                      <m:r>
                        <m:rPr>
                          <m:sty m:val="p"/>
                        </m:rPr>
                        <w:rPr>
                          <w:rFonts w:ascii="Cambria Math" w:hAnsi="Cambria Math" w:hint="eastAsia"/>
                        </w:rPr>
                        <m:t xml:space="preserve">0.2 </m:t>
                      </m:r>
                      <m:r>
                        <m:rPr>
                          <m:sty m:val="p"/>
                        </m:rPr>
                        <w:rPr>
                          <w:rFonts w:ascii="Cambria Math" w:hAnsi="Cambria Math" w:hint="eastAsia"/>
                        </w:rPr>
                        <m:t>以下</m:t>
                      </m:r>
                    </m:oMath>
                    <w:r>
                      <w:t xml:space="preserve"> </w:t>
                    </w:r>
                  </w:p>
                </w:txbxContent>
              </v:textbox>
            </v:shape>
            <v:shape id="AutoShape 185" o:spid="_x0000_s1658" type="#_x0000_t32" style="position:absolute;left:6803;top:2506;width:680;height:0;rotation:9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">
              <v:stroke startarrow="classic" endarrow="classic"/>
            </v:shape>
            <v:shape id="Text Box 186" o:spid="_x0000_s1659" type="#_x0000_t202" style="position:absolute;left:5981;top:2307;width:1228;height:3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" filled="f" fillcolor="white [3212]" stroked="f">
              <v:textbox style="mso-fit-shape-to-text:t" inset="5.85pt,.7pt,5.85pt,.7pt">
                <w:txbxContent>
                  <w:p w14:paraId="1084E2C7" w14:textId="77777777" w:rsidR="003B0864" w:rsidRDefault="003B0864" w:rsidP="00F665E3">
                    <w:r w:rsidRPr="00954AAD">
                      <w:rPr>
                        <w:rFonts w:ascii="Cambria Math" w:hAnsi="Cambria Math"/>
                      </w:rPr>
                      <w:t>14</w:t>
                    </w:r>
                    <w:r w:rsidRPr="00397129">
                      <w:rPr>
                        <w:rFonts w:asciiTheme="minorHAnsi" w:eastAsiaTheme="minorEastAsia" w:hAnsiTheme="minorHAnsi"/>
                      </w:rPr>
                      <w:t>°C</w:t>
                    </w:r>
                    <w:r>
                      <w:rPr>
                        <w:rFonts w:hint="eastAsia"/>
                      </w:rPr>
                      <w:t xml:space="preserve"> </w:t>
                    </w:r>
                    <w:r>
                      <w:rPr>
                        <w:rFonts w:hint="eastAsia"/>
                      </w:rPr>
                      <w:t>以下</w:t>
                    </w:r>
                  </w:p>
                </w:txbxContent>
              </v:textbox>
            </v:shape>
            <v:shape id="AutoShape 187" o:spid="_x0000_s1660" type="#_x0000_t32" style="position:absolute;left:5279;top:6094;width:680;height:0;rotation:9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">
              <v:stroke startarrow="classic" endarrow="classic"/>
            </v:shape>
            <v:shape id="Text Box 188" o:spid="_x0000_s1661" type="#_x0000_t202" style="position:absolute;left:5605;top:5878;width:1228;height:3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" filled="f" fillcolor="white [3212]" stroked="f">
              <v:textbox style="mso-fit-shape-to-text:t" inset="5.85pt,.7pt,5.85pt,.7pt">
                <w:txbxContent>
                  <w:p w14:paraId="7B4211F5" w14:textId="77777777" w:rsidR="003B0864" w:rsidRDefault="003B0864" w:rsidP="00F665E3">
                    <w:r w:rsidRPr="00954AAD">
                      <w:rPr>
                        <w:rFonts w:ascii="Cambria Math" w:hAnsi="Cambria Math"/>
                      </w:rPr>
                      <w:t>14</w:t>
                    </w:r>
                    <w:r w:rsidRPr="00397129">
                      <w:rPr>
                        <w:rFonts w:asciiTheme="minorHAnsi" w:eastAsiaTheme="minorEastAsia" w:hAnsiTheme="minorHAnsi"/>
                      </w:rPr>
                      <w:t>°C</w:t>
                    </w:r>
                    <w:r>
                      <w:rPr>
                        <w:rFonts w:hint="eastAsia"/>
                      </w:rPr>
                      <w:t xml:space="preserve"> </w:t>
                    </w:r>
                    <w:r>
                      <w:rPr>
                        <w:rFonts w:hint="eastAsia"/>
                      </w:rPr>
                      <w:t>以下</w:t>
                    </w:r>
                  </w:p>
                </w:txbxContent>
              </v:textbox>
            </v:shape>
            <v:shape id="AutoShape 189" o:spid="_x0000_s1662" type="#_x0000_t32" style="position:absolute;left:3975;top:4820;width:779;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">
              <v:stroke startarrow="classic" endarrow="classic"/>
            </v:shape>
            <v:shape id="AutoShape 190" o:spid="_x0000_s1663" type="#_x0000_t32" style="position:absolute;left:2342;top:7041;width:7087;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">
              <v:stroke endarrow="block"/>
            </v:shape>
            <v:shape id="AutoShape 191" o:spid="_x0000_s1664" type="#_x0000_t32" style="position:absolute;left:2337;top:1768;width:0;height:527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">
              <v:stroke startarrow="block"/>
            </v:shape>
            <v:shape id="AutoShape 192" o:spid="_x0000_s1665" type="#_x0000_t32" style="position:absolute;left:2345;top:2166;width:669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">
              <v:stroke dashstyle="dash"/>
            </v:shape>
            <v:shape id="AutoShape 193" o:spid="_x0000_s1666" type="#_x0000_t32" style="position:absolute;left:2345;top:6427;width:669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">
              <v:stroke dashstyle="dash"/>
            </v:shape>
            <v:shape id="AutoShape 194" o:spid="_x0000_s1667" type="#_x0000_t32" style="position:absolute;left:3975;top:1943;width:0;height:5102;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">
              <v:stroke dashstyle="dash"/>
            </v:shape>
            <v:shape id="AutoShape 195" o:spid="_x0000_s1668" type="#_x0000_t32" style="position:absolute;left:6968;top:2847;width:1049;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">
              <v:stroke dashstyle="dash"/>
            </v:shape>
            <v:shape id="AutoShape 196" o:spid="_x0000_s1669" type="#_x0000_t32" style="position:absolute;left:4754;top:5740;width:1023;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">
              <v:stroke dashstyle="dash"/>
            </v:shape>
            <v:shape id="AutoShape 197" o:spid="_x0000_s1670" type="#_x0000_t32" style="position:absolute;left:8039;top:2846;width:0;height:106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">
              <v:stroke dashstyle="dash"/>
            </v:shape>
            <v:shape id="AutoShape 198" o:spid="_x0000_s1671" type="#_x0000_t32" style="position:absolute;left:4754;top:4659;width:0;height:109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">
              <v:stroke dashstyle="dash"/>
            </v:shape>
            <v:shape id="Text Box 199" o:spid="_x0000_s1672" type="#_x0000_t202" style="position:absolute;left:3126;top:4247;width:2480;height:3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" stroked="f">
              <v:textbox style="mso-fit-shape-to-text:t" inset="5.85pt,.7pt,5.85pt,.7pt">
                <w:txbxContent>
                  <w:p w14:paraId="1A614F81" w14:textId="77777777" w:rsidR="003B0864" w:rsidRPr="001A4E78" w:rsidRDefault="003B0864" w:rsidP="00F665E3">
                    <m:oMath>
                      <m:r>
                        <m:rPr>
                          <m:sty m:val="p"/>
                        </m:rPr>
                        <w:rPr>
                          <w:rFonts w:ascii="Cambria Math" w:hAnsi="Cambria Math" w:hint="eastAsia"/>
                        </w:rPr>
                        <m:t>最小保持時間</m:t>
                      </m:r>
                      <m:r>
                        <m:rPr>
                          <m:sty m:val="p"/>
                        </m:rPr>
                        <w:rPr>
                          <w:rFonts w:ascii="Cambria Math" w:hAnsi="Cambria Math"/>
                        </w:rPr>
                        <m:t>×</m:t>
                      </m:r>
                      <m:r>
                        <m:rPr>
                          <m:sty m:val="p"/>
                        </m:rPr>
                        <w:rPr>
                          <w:rFonts w:ascii="Cambria Math" w:hAnsi="Cambria Math" w:hint="eastAsia"/>
                        </w:rPr>
                        <m:t xml:space="preserve">0.2 </m:t>
                      </m:r>
                      <m:r>
                        <m:rPr>
                          <m:sty m:val="p"/>
                        </m:rPr>
                        <w:rPr>
                          <w:rFonts w:ascii="Cambria Math" w:hAnsi="Cambria Math" w:hint="eastAsia"/>
                        </w:rPr>
                        <m:t>以下</m:t>
                      </m:r>
                    </m:oMath>
                    <w:r>
                      <w:t xml:space="preserve"> </w:t>
                    </w:r>
                  </w:p>
                </w:txbxContent>
              </v:textbox>
            </v:shape>
            <v:shape id="Text Box 200" o:spid="_x0000_s1673" type="#_x0000_t202" style="position:absolute;left:4473;top:5379;width:556;height:7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" filled="f" stroked="f">
              <v:textbox style="mso-fit-shape-to-text:t" inset="5.85pt,.7pt,5.85pt,.7pt">
                <w:txbxContent>
                  <w:p w14:paraId="354DAE4A" w14:textId="77777777" w:rsidR="003B0864" w:rsidRPr="007A3B11" w:rsidRDefault="003B0864" w:rsidP="00F665E3">
                    <w:pPr>
                      <w:jc w:val="center"/>
                      <w:rPr>
                        <w:rFonts w:asciiTheme="majorEastAsia" w:eastAsiaTheme="majorEastAsia" w:hAnsiTheme="majorEastAsia"/>
                        <w:b/>
                        <w:sz w:val="32"/>
                        <w:szCs w:val="32"/>
                      </w:rPr>
                    </w:pPr>
                    <w:r w:rsidRPr="007A3B11">
                      <w:rPr>
                        <w:rFonts w:asciiTheme="majorEastAsia" w:eastAsiaTheme="majorEastAsia" w:hAnsiTheme="majorEastAsia" w:hint="eastAsia"/>
                        <w:b/>
                        <w:sz w:val="32"/>
                        <w:szCs w:val="32"/>
                      </w:rPr>
                      <w:t>Ｘ</w:t>
                    </w:r>
                  </w:p>
                </w:txbxContent>
              </v:textbox>
            </v:shape>
            <v:shape id="Text Box 201" o:spid="_x0000_s1674" type="#_x0000_t202" style="position:absolute;left:7762;top:2474;width:556;height:7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" filled="f" stroked="f">
              <v:textbox style="mso-fit-shape-to-text:t" inset="5.85pt,.7pt,5.85pt,.7pt">
                <w:txbxContent>
                  <w:p w14:paraId="02032605" w14:textId="77777777" w:rsidR="003B0864" w:rsidRPr="007A3B11" w:rsidRDefault="003B0864" w:rsidP="00F665E3">
                    <w:pPr>
                      <w:jc w:val="center"/>
                      <w:rPr>
                        <w:rFonts w:asciiTheme="majorEastAsia" w:eastAsiaTheme="majorEastAsia" w:hAnsiTheme="majorEastAsia"/>
                        <w:b/>
                        <w:sz w:val="32"/>
                        <w:szCs w:val="32"/>
                      </w:rPr>
                    </w:pPr>
                    <w:r w:rsidRPr="007A3B11">
                      <w:rPr>
                        <w:rFonts w:asciiTheme="majorEastAsia" w:eastAsiaTheme="majorEastAsia" w:hAnsiTheme="majorEastAsia" w:hint="eastAsia"/>
                        <w:b/>
                        <w:sz w:val="32"/>
                        <w:szCs w:val="32"/>
                      </w:rPr>
                      <w:t>Ｘ</w:t>
                    </w:r>
                  </w:p>
                </w:txbxContent>
              </v:textbox>
            </v:shape>
            <w10:anchorlock/>
          </v:group>
        </w:pict>
      </w:r>
    </w:p>
    <w:p w14:paraId="47AE62D5" w14:textId="77777777" w:rsidR="00F665E3" w:rsidRPr="00BC31E0" w:rsidRDefault="00F665E3" w:rsidP="008F10C9">
      <w:pPr>
        <w:pStyle w:val="af4"/>
      </w:pPr>
      <w:r w:rsidRPr="00BC31E0">
        <w:rPr>
          <w:rFonts w:hint="eastAsia"/>
        </w:rPr>
        <w:t>図10.1.1　クロムモリブデン鋼の試験片に対する熱処理条件</w:t>
      </w:r>
    </w:p>
    <w:p w14:paraId="08126464" w14:textId="77777777" w:rsidR="007E487E" w:rsidRPr="00BC31E0" w:rsidRDefault="007E487E" w:rsidP="00FC17B9">
      <w:pPr>
        <w:pStyle w:val="af4"/>
        <w:jc w:val="both"/>
      </w:pPr>
    </w:p>
    <w:p w14:paraId="44A21018" w14:textId="77777777" w:rsidR="007E487E" w:rsidRPr="00BC31E0" w:rsidRDefault="00495DD7" w:rsidP="00495DD7">
      <w:pPr>
        <w:pStyle w:val="20"/>
        <w:ind w:left="567" w:hanging="567"/>
      </w:pPr>
      <w:bookmarkStart w:id="112" w:name="_Toc357672122"/>
      <w:r w:rsidRPr="00BC31E0">
        <w:rPr>
          <w:rFonts w:hint="eastAsia"/>
        </w:rPr>
        <w:t xml:space="preserve"> </w:t>
      </w:r>
      <w:bookmarkStart w:id="113" w:name="_Toc120092558"/>
      <w:r w:rsidR="007E487E" w:rsidRPr="00BC31E0">
        <w:rPr>
          <w:rFonts w:hint="eastAsia"/>
        </w:rPr>
        <w:t>溶接された容器の衝撃試験</w:t>
      </w:r>
      <w:bookmarkEnd w:id="112"/>
      <w:bookmarkEnd w:id="113"/>
    </w:p>
    <w:p w14:paraId="1850324D" w14:textId="77777777" w:rsidR="007E487E" w:rsidRPr="00BC31E0" w:rsidRDefault="007A6434" w:rsidP="00495DD7">
      <w:pPr>
        <w:pStyle w:val="3"/>
        <w:ind w:left="794" w:hanging="794"/>
      </w:pPr>
      <w:r w:rsidRPr="00BC31E0">
        <w:rPr>
          <w:rFonts w:hint="eastAsia"/>
        </w:rPr>
        <w:t xml:space="preserve"> </w:t>
      </w:r>
      <w:r w:rsidR="007E487E" w:rsidRPr="00BC31E0">
        <w:rPr>
          <w:rFonts w:hint="eastAsia"/>
        </w:rPr>
        <w:t>衝撃試験</w:t>
      </w:r>
    </w:p>
    <w:p w14:paraId="57A675AF" w14:textId="77777777" w:rsidR="007E487E" w:rsidRPr="00BC31E0" w:rsidRDefault="007E487E" w:rsidP="00FC17B9">
      <w:pPr>
        <w:pStyle w:val="1110"/>
        <w:ind w:firstLine="210"/>
      </w:pPr>
      <w:r w:rsidRPr="00BC31E0">
        <w:rPr>
          <w:rFonts w:hint="eastAsia"/>
        </w:rPr>
        <w:t>衝撃試験は，次の</w:t>
      </w:r>
      <w:r w:rsidRPr="00BC31E0">
        <w:rPr>
          <w:rFonts w:ascii="ＭＳ ゴシック" w:hAnsi="ＭＳ ゴシック" w:hint="eastAsia"/>
          <w:b/>
        </w:rPr>
        <w:t>a)</w:t>
      </w:r>
      <w:r w:rsidRPr="00BC31E0">
        <w:rPr>
          <w:rFonts w:hint="eastAsia"/>
        </w:rPr>
        <w:t>～</w:t>
      </w:r>
      <w:r w:rsidRPr="00BC31E0">
        <w:rPr>
          <w:rFonts w:ascii="ＭＳ ゴシック" w:hAnsi="ＭＳ ゴシック" w:hint="eastAsia"/>
          <w:b/>
        </w:rPr>
        <w:t>d)</w:t>
      </w:r>
      <w:r w:rsidRPr="00BC31E0">
        <w:rPr>
          <w:rFonts w:hint="eastAsia"/>
        </w:rPr>
        <w:t>による。</w:t>
      </w:r>
    </w:p>
    <w:p w14:paraId="27FD9FE1" w14:textId="77777777" w:rsidR="00495DD7" w:rsidRPr="00BC31E0" w:rsidRDefault="007E487E" w:rsidP="00736130">
      <w:pPr>
        <w:pStyle w:val="a4"/>
        <w:numPr>
          <w:ilvl w:val="0"/>
          <w:numId w:val="605"/>
        </w:numPr>
        <w:ind w:leftChars="0" w:left="454" w:hanging="454"/>
      </w:pPr>
      <w:r w:rsidRPr="00BC31E0">
        <w:rPr>
          <w:rFonts w:hint="eastAsia"/>
        </w:rPr>
        <w:t>溶接で製作される容器に対しては，この項の要求事項により，溶接施工方法確認試験用試験板及び容器製作用試験板の溶接部と熱影響部の靭性を決定する。</w:t>
      </w:r>
    </w:p>
    <w:p w14:paraId="47EB4465" w14:textId="77777777" w:rsidR="00495DD7" w:rsidRPr="00BC31E0" w:rsidRDefault="007E487E" w:rsidP="00736130">
      <w:pPr>
        <w:pStyle w:val="a4"/>
        <w:numPr>
          <w:ilvl w:val="0"/>
          <w:numId w:val="605"/>
        </w:numPr>
        <w:ind w:leftChars="0" w:left="454" w:hanging="454"/>
      </w:pPr>
      <w:r w:rsidRPr="00BC31E0">
        <w:rPr>
          <w:rFonts w:hint="eastAsia"/>
        </w:rPr>
        <w:t>試験板には，冷却速度と熱処理温度の総時間を含め，実際の製作で使用されるものと本質的に同じような熱処理を行う。熱処理の全時間は，製品における実際の熱処理全時間の</w:t>
      </w:r>
      <w:r w:rsidR="007A6434" w:rsidRPr="00BC31E0">
        <w:rPr>
          <w:rFonts w:hint="eastAsia"/>
        </w:rPr>
        <w:t>80%</w:t>
      </w:r>
      <w:r w:rsidRPr="00BC31E0">
        <w:rPr>
          <w:rFonts w:hint="eastAsia"/>
        </w:rPr>
        <w:t>以上とし，単一の熱サイクルで行ってもよい。</w:t>
      </w:r>
    </w:p>
    <w:p w14:paraId="27AB9F60" w14:textId="77777777" w:rsidR="00495DD7" w:rsidRPr="00BC31E0" w:rsidRDefault="007E487E" w:rsidP="00736130">
      <w:pPr>
        <w:pStyle w:val="a4"/>
        <w:numPr>
          <w:ilvl w:val="0"/>
          <w:numId w:val="605"/>
        </w:numPr>
        <w:ind w:leftChars="0" w:left="454" w:hanging="454"/>
      </w:pPr>
      <w:r w:rsidRPr="00BC31E0">
        <w:rPr>
          <w:rFonts w:hint="eastAsia"/>
        </w:rPr>
        <w:t>溶接部と熱影響部の試験温度は，母材の試験温度より高くてはいけない。</w:t>
      </w:r>
    </w:p>
    <w:p w14:paraId="7E0DE0B1" w14:textId="77777777" w:rsidR="007E487E" w:rsidRPr="00BC31E0" w:rsidRDefault="007E487E" w:rsidP="00736130">
      <w:pPr>
        <w:pStyle w:val="a4"/>
        <w:numPr>
          <w:ilvl w:val="0"/>
          <w:numId w:val="605"/>
        </w:numPr>
        <w:ind w:leftChars="0" w:left="454" w:hanging="454"/>
      </w:pPr>
      <w:r w:rsidRPr="00BC31E0">
        <w:rPr>
          <w:rFonts w:hint="eastAsia"/>
        </w:rPr>
        <w:t>衝撃値は，母材に対して要求される値以上とする</w:t>
      </w:r>
      <w:r w:rsidRPr="00BC31E0">
        <w:rPr>
          <w:rFonts w:hint="eastAsia"/>
        </w:rPr>
        <w:t>(</w:t>
      </w:r>
      <w:r w:rsidRPr="00BC31E0">
        <w:rPr>
          <w:rFonts w:asciiTheme="majorEastAsia" w:eastAsiaTheme="majorEastAsia" w:hAnsiTheme="majorEastAsia" w:hint="eastAsia"/>
          <w:b/>
        </w:rPr>
        <w:t>表</w:t>
      </w:r>
      <w:r w:rsidRPr="00BC31E0">
        <w:rPr>
          <w:rFonts w:asciiTheme="majorEastAsia" w:eastAsiaTheme="majorEastAsia" w:hAnsiTheme="majorEastAsia"/>
          <w:b/>
        </w:rPr>
        <w:t>5.2.2</w:t>
      </w:r>
      <w:r w:rsidRPr="00BC31E0">
        <w:rPr>
          <w:rFonts w:hint="eastAsia"/>
        </w:rPr>
        <w:t>を参照</w:t>
      </w:r>
      <w:r w:rsidRPr="00BC31E0">
        <w:rPr>
          <w:rFonts w:hint="eastAsia"/>
        </w:rPr>
        <w:t>)</w:t>
      </w:r>
      <w:r w:rsidRPr="00BC31E0">
        <w:rPr>
          <w:rFonts w:hint="eastAsia"/>
        </w:rPr>
        <w:t>。</w:t>
      </w:r>
    </w:p>
    <w:p w14:paraId="7571D6B1" w14:textId="77777777" w:rsidR="007E487E" w:rsidRPr="00BC31E0" w:rsidRDefault="00FC17B9" w:rsidP="00282D7B">
      <w:pPr>
        <w:pStyle w:val="3"/>
        <w:tabs>
          <w:tab w:val="clear" w:pos="284"/>
        </w:tabs>
        <w:ind w:left="794" w:hanging="794"/>
      </w:pPr>
      <w:r w:rsidRPr="00BC31E0">
        <w:rPr>
          <w:rFonts w:hint="eastAsia"/>
        </w:rPr>
        <w:t xml:space="preserve"> </w:t>
      </w:r>
      <w:r w:rsidR="007E487E" w:rsidRPr="00BC31E0">
        <w:rPr>
          <w:rFonts w:hint="eastAsia"/>
        </w:rPr>
        <w:t>試験片の採取位置と方向</w:t>
      </w:r>
    </w:p>
    <w:p w14:paraId="2B462FD3" w14:textId="77777777" w:rsidR="007E487E" w:rsidRPr="00BC31E0" w:rsidRDefault="007E487E" w:rsidP="00FC17B9">
      <w:pPr>
        <w:pStyle w:val="1110"/>
        <w:ind w:firstLine="210"/>
      </w:pPr>
      <w:r w:rsidRPr="00BC31E0">
        <w:rPr>
          <w:rFonts w:hint="eastAsia"/>
        </w:rPr>
        <w:t>溶接施工方法と製作試験における全ての溶接衝撃試験片は，次の</w:t>
      </w:r>
      <w:r w:rsidRPr="00BC31E0">
        <w:rPr>
          <w:rFonts w:asciiTheme="majorEastAsia" w:eastAsiaTheme="majorEastAsia" w:hAnsiTheme="majorEastAsia" w:hint="eastAsia"/>
          <w:b/>
        </w:rPr>
        <w:t>a)</w:t>
      </w:r>
      <w:r w:rsidRPr="00BC31E0">
        <w:rPr>
          <w:rFonts w:hint="eastAsia"/>
        </w:rPr>
        <w:t>，</w:t>
      </w:r>
      <w:r w:rsidRPr="00BC31E0">
        <w:rPr>
          <w:rFonts w:asciiTheme="majorEastAsia" w:eastAsiaTheme="majorEastAsia" w:hAnsiTheme="majorEastAsia" w:hint="eastAsia"/>
          <w:b/>
        </w:rPr>
        <w:t>b)</w:t>
      </w:r>
      <w:r w:rsidRPr="00BC31E0">
        <w:rPr>
          <w:rFonts w:hint="eastAsia"/>
        </w:rPr>
        <w:t>の要求事項に従う。</w:t>
      </w:r>
    </w:p>
    <w:p w14:paraId="3EA57E4E" w14:textId="77777777" w:rsidR="00CE08A6" w:rsidRPr="00BC31E0" w:rsidRDefault="007E487E" w:rsidP="00736130">
      <w:pPr>
        <w:pStyle w:val="a4"/>
        <w:numPr>
          <w:ilvl w:val="0"/>
          <w:numId w:val="606"/>
        </w:numPr>
        <w:ind w:leftChars="0" w:left="454" w:hanging="454"/>
      </w:pPr>
      <w:r w:rsidRPr="00BC31E0">
        <w:rPr>
          <w:rFonts w:hint="eastAsia"/>
        </w:rPr>
        <w:t>3</w:t>
      </w:r>
      <w:r w:rsidRPr="00BC31E0">
        <w:rPr>
          <w:rFonts w:hint="eastAsia"/>
        </w:rPr>
        <w:t>個の試験片を</w:t>
      </w:r>
      <w:r w:rsidRPr="00BC31E0">
        <w:t>1</w:t>
      </w:r>
      <w:r w:rsidRPr="00BC31E0">
        <w:rPr>
          <w:rFonts w:hint="eastAsia"/>
        </w:rPr>
        <w:t>組とし，溶接金属の衝撃試験片の一組は，溶接金属にノッチが位置するよ</w:t>
      </w:r>
      <w:r w:rsidRPr="00BC31E0">
        <w:rPr>
          <w:rFonts w:hint="eastAsia"/>
        </w:rPr>
        <w:lastRenderedPageBreak/>
        <w:t>うに溶接部を横切って採取する。各試験片は，ノッチが材料の表面に対して垂直で，試験片の一方の面が表面から</w:t>
      </w:r>
      <w:r w:rsidRPr="00BC31E0">
        <w:rPr>
          <w:sz w:val="22"/>
          <w:szCs w:val="22"/>
        </w:rPr>
        <w:t>1.6 mm</w:t>
      </w:r>
      <w:r w:rsidRPr="00BC31E0">
        <w:rPr>
          <w:rFonts w:hint="eastAsia"/>
        </w:rPr>
        <w:t>以内となる位置で採取する。板厚が</w:t>
      </w:r>
      <w:r w:rsidRPr="00BC31E0">
        <w:rPr>
          <w:sz w:val="22"/>
          <w:szCs w:val="22"/>
        </w:rPr>
        <w:t>38 mm</w:t>
      </w:r>
      <w:r w:rsidRPr="00BC31E0">
        <w:rPr>
          <w:rFonts w:hint="eastAsia"/>
        </w:rPr>
        <w:t>を超える材料で試験を行う場合には，溶接部から二組の試験片を採取する。一組は材料の一方の表面から</w:t>
      </w:r>
      <w:r w:rsidRPr="00BC31E0">
        <w:rPr>
          <w:sz w:val="22"/>
          <w:szCs w:val="22"/>
        </w:rPr>
        <w:t>1.6 mm</w:t>
      </w:r>
      <w:r w:rsidRPr="00BC31E0">
        <w:rPr>
          <w:rFonts w:hint="eastAsia"/>
        </w:rPr>
        <w:t>以内で，もう一組は，反対側の材料表面と板厚中心の真中付近で採取する。</w:t>
      </w:r>
    </w:p>
    <w:p w14:paraId="6DEB4934" w14:textId="77777777" w:rsidR="007E487E" w:rsidRPr="00BC31E0" w:rsidRDefault="007E487E" w:rsidP="00736130">
      <w:pPr>
        <w:pStyle w:val="a4"/>
        <w:numPr>
          <w:ilvl w:val="0"/>
          <w:numId w:val="606"/>
        </w:numPr>
        <w:ind w:leftChars="0" w:left="454" w:hanging="454"/>
      </w:pPr>
      <w:r w:rsidRPr="00BC31E0">
        <w:t>3</w:t>
      </w:r>
      <w:r w:rsidRPr="00BC31E0">
        <w:rPr>
          <w:rFonts w:hint="eastAsia"/>
        </w:rPr>
        <w:t>個の試験片を</w:t>
      </w:r>
      <w:r w:rsidRPr="00BC31E0">
        <w:t>1</w:t>
      </w:r>
      <w:r w:rsidRPr="00BC31E0">
        <w:rPr>
          <w:rFonts w:hint="eastAsia"/>
        </w:rPr>
        <w:t>組とし，熱影響部の衝撃試験片の一組は，エッチングをした後，熱影響部にノッチが位置するように溶接部を横切って採取する。ノッチは，破壊の</w:t>
      </w:r>
      <w:r w:rsidR="00A84424" w:rsidRPr="00BC31E0">
        <w:rPr>
          <w:rFonts w:hint="eastAsia"/>
        </w:rPr>
        <w:t>とき</w:t>
      </w:r>
      <w:r w:rsidRPr="00BC31E0">
        <w:rPr>
          <w:rFonts w:hint="eastAsia"/>
        </w:rPr>
        <w:t>に熱影響部の材料ができるだけ含まれるように，材料の表面にほぼ垂直となるように付ける。</w:t>
      </w:r>
    </w:p>
    <w:p w14:paraId="76644C0B" w14:textId="77777777" w:rsidR="007E487E" w:rsidRPr="00BC31E0" w:rsidRDefault="00FF3277" w:rsidP="00811568">
      <w:pPr>
        <w:pStyle w:val="3"/>
        <w:tabs>
          <w:tab w:val="clear" w:pos="284"/>
        </w:tabs>
        <w:ind w:left="794" w:hanging="794"/>
      </w:pPr>
      <w:r w:rsidRPr="00BC31E0">
        <w:rPr>
          <w:rFonts w:hint="eastAsia"/>
        </w:rPr>
        <w:t xml:space="preserve"> </w:t>
      </w:r>
      <w:r w:rsidR="007E487E" w:rsidRPr="00BC31E0">
        <w:rPr>
          <w:rFonts w:hint="eastAsia"/>
        </w:rPr>
        <w:t>溶接施工方法確認試験のための衝撃試験</w:t>
      </w:r>
    </w:p>
    <w:p w14:paraId="00C64174" w14:textId="77777777" w:rsidR="007E487E" w:rsidRPr="00BC31E0" w:rsidRDefault="007E487E" w:rsidP="000916CE">
      <w:pPr>
        <w:pStyle w:val="1110"/>
        <w:ind w:firstLine="210"/>
      </w:pPr>
      <w:r w:rsidRPr="00BC31E0">
        <w:rPr>
          <w:rFonts w:hint="eastAsia"/>
        </w:rPr>
        <w:t>溶接施工方法確認試験のために，全ての溶接施工方法について，溶接部及び熱影響部において次の</w:t>
      </w:r>
      <w:r w:rsidRPr="00BC31E0">
        <w:rPr>
          <w:rFonts w:ascii="ＭＳ ゴシック" w:hAnsi="ＭＳ ゴシック" w:hint="eastAsia"/>
          <w:b/>
        </w:rPr>
        <w:t>a)</w:t>
      </w:r>
      <w:r w:rsidRPr="00BC31E0">
        <w:rPr>
          <w:rFonts w:ascii="ＭＳ ゴシック" w:hAnsi="ＭＳ ゴシック" w:hint="eastAsia"/>
        </w:rPr>
        <w:t>，</w:t>
      </w:r>
      <w:r w:rsidRPr="00BC31E0">
        <w:rPr>
          <w:rFonts w:ascii="ＭＳ ゴシック" w:hAnsi="ＭＳ ゴシック" w:hint="eastAsia"/>
          <w:b/>
        </w:rPr>
        <w:t>b)</w:t>
      </w:r>
      <w:r w:rsidRPr="00BC31E0">
        <w:rPr>
          <w:rFonts w:hint="eastAsia"/>
        </w:rPr>
        <w:t>により衝撃試験を行う。</w:t>
      </w:r>
    </w:p>
    <w:p w14:paraId="50C9B191" w14:textId="77777777" w:rsidR="00811568" w:rsidRPr="00BC31E0" w:rsidRDefault="007E487E" w:rsidP="00736130">
      <w:pPr>
        <w:pStyle w:val="a4"/>
        <w:numPr>
          <w:ilvl w:val="0"/>
          <w:numId w:val="607"/>
        </w:numPr>
        <w:ind w:leftChars="0" w:left="454" w:hanging="454"/>
        <w:rPr>
          <w:rFonts w:asciiTheme="minorHAnsi" w:eastAsiaTheme="minorEastAsia" w:hAnsiTheme="minorHAnsi"/>
        </w:rPr>
      </w:pPr>
      <w:r w:rsidRPr="00BC31E0">
        <w:rPr>
          <w:rFonts w:asciiTheme="majorEastAsia" w:eastAsiaTheme="majorEastAsia" w:hAnsiTheme="majorEastAsia"/>
          <w:b/>
        </w:rPr>
        <w:t>衝撃試験での要求区分</w:t>
      </w:r>
      <w:r w:rsidRPr="00BC31E0">
        <w:rPr>
          <w:rFonts w:asciiTheme="minorHAnsi" w:eastAsiaTheme="minorEastAsia" w:hAnsiTheme="minorEastAsia"/>
        </w:rPr>
        <w:t xml:space="preserve">　</w:t>
      </w:r>
      <w:r w:rsidRPr="00BC31E0">
        <w:rPr>
          <w:rFonts w:asciiTheme="majorEastAsia" w:eastAsiaTheme="majorEastAsia" w:hAnsiTheme="majorEastAsia"/>
          <w:b/>
          <w:bCs/>
        </w:rPr>
        <w:t>JIS B 8285</w:t>
      </w:r>
      <w:r w:rsidRPr="00BC31E0">
        <w:rPr>
          <w:rFonts w:asciiTheme="minorHAnsi" w:eastAsiaTheme="minorEastAsia" w:hAnsiTheme="minorEastAsia"/>
        </w:rPr>
        <w:t>を参照する。</w:t>
      </w:r>
    </w:p>
    <w:p w14:paraId="64ADEAE1" w14:textId="77777777" w:rsidR="007E487E" w:rsidRPr="00BC31E0" w:rsidRDefault="007E487E" w:rsidP="00736130">
      <w:pPr>
        <w:pStyle w:val="a4"/>
        <w:numPr>
          <w:ilvl w:val="0"/>
          <w:numId w:val="607"/>
        </w:numPr>
        <w:ind w:leftChars="0" w:left="454" w:hanging="454"/>
        <w:rPr>
          <w:rFonts w:asciiTheme="minorHAnsi" w:eastAsiaTheme="minorEastAsia" w:hAnsiTheme="minorHAnsi"/>
        </w:rPr>
      </w:pPr>
      <w:r w:rsidRPr="00BC31E0">
        <w:rPr>
          <w:rFonts w:asciiTheme="majorEastAsia" w:eastAsiaTheme="majorEastAsia" w:hAnsiTheme="majorEastAsia" w:hint="eastAsia"/>
          <w:b/>
          <w:bCs/>
        </w:rPr>
        <w:t>確認される母材の厚さ</w:t>
      </w:r>
      <w:r w:rsidRPr="00BC31E0">
        <w:rPr>
          <w:rFonts w:hint="eastAsia"/>
        </w:rPr>
        <w:t xml:space="preserve">　確認される母材の厚さの区分及び試験材の厚さは</w:t>
      </w:r>
      <w:r w:rsidRPr="00BC31E0">
        <w:rPr>
          <w:rFonts w:asciiTheme="majorEastAsia" w:eastAsiaTheme="majorEastAsia" w:hAnsiTheme="majorEastAsia" w:hint="eastAsia"/>
          <w:b/>
          <w:bCs/>
        </w:rPr>
        <w:t>JIS B 8285</w:t>
      </w:r>
      <w:r w:rsidRPr="00BC31E0">
        <w:rPr>
          <w:rFonts w:hint="eastAsia"/>
        </w:rPr>
        <w:t>による。ただし，</w:t>
      </w:r>
      <w:r w:rsidRPr="00BC31E0">
        <w:rPr>
          <w:rFonts w:hint="eastAsia"/>
        </w:rPr>
        <w:t>A1</w:t>
      </w:r>
      <w:r w:rsidRPr="00BC31E0">
        <w:rPr>
          <w:rFonts w:hint="eastAsia"/>
        </w:rPr>
        <w:t>変</w:t>
      </w:r>
      <w:r w:rsidR="00A84424" w:rsidRPr="00BC31E0">
        <w:rPr>
          <w:rFonts w:hint="eastAsia"/>
        </w:rPr>
        <w:t>態点温度を超える温度で溶接後熱処理される試験材に対しては，そのとき</w:t>
      </w:r>
      <w:r w:rsidRPr="00BC31E0">
        <w:rPr>
          <w:rFonts w:hint="eastAsia"/>
        </w:rPr>
        <w:t>の試験材の厚みを最大認定厚さとする。</w:t>
      </w:r>
    </w:p>
    <w:p w14:paraId="7F18B1EB" w14:textId="77777777" w:rsidR="007E487E" w:rsidRPr="00BC31E0" w:rsidRDefault="00FF3277" w:rsidP="00716FBD">
      <w:pPr>
        <w:pStyle w:val="3"/>
        <w:tabs>
          <w:tab w:val="clear" w:pos="284"/>
        </w:tabs>
        <w:ind w:left="794" w:hanging="794"/>
      </w:pPr>
      <w:r w:rsidRPr="00BC31E0">
        <w:rPr>
          <w:rFonts w:hint="eastAsia"/>
        </w:rPr>
        <w:t xml:space="preserve"> </w:t>
      </w:r>
      <w:r w:rsidR="007E487E" w:rsidRPr="00BC31E0">
        <w:rPr>
          <w:rFonts w:hint="eastAsia"/>
        </w:rPr>
        <w:t>製作用試験板の衝撃試験</w:t>
      </w:r>
    </w:p>
    <w:p w14:paraId="716E920F" w14:textId="77777777" w:rsidR="007E487E" w:rsidRPr="00BC31E0" w:rsidRDefault="007E487E" w:rsidP="000916CE">
      <w:pPr>
        <w:ind w:firstLineChars="100" w:firstLine="210"/>
      </w:pPr>
      <w:r w:rsidRPr="00BC31E0">
        <w:rPr>
          <w:rStyle w:val="1112"/>
          <w:rFonts w:hint="eastAsia"/>
        </w:rPr>
        <w:t>各容器で使用される各々の溶接施工方法に対して，</w:t>
      </w:r>
      <w:r w:rsidRPr="00BC31E0">
        <w:rPr>
          <w:rStyle w:val="1112"/>
          <w:rFonts w:ascii="ＭＳ ゴシック" w:eastAsia="ＭＳ ゴシック" w:hAnsi="ＭＳ ゴシック"/>
          <w:b/>
          <w:bCs/>
        </w:rPr>
        <w:t>10.2.2</w:t>
      </w:r>
      <w:r w:rsidRPr="00BC31E0">
        <w:rPr>
          <w:rStyle w:val="1112"/>
          <w:rFonts w:hint="eastAsia"/>
        </w:rPr>
        <w:t>に従って，溶接部及び熱影響部の衝撃試験を行う。製作用試験板の母材は，次の</w:t>
      </w:r>
      <w:r w:rsidRPr="00BC31E0">
        <w:rPr>
          <w:rStyle w:val="1112"/>
          <w:rFonts w:ascii="ＭＳ ゴシック" w:eastAsia="ＭＳ ゴシック" w:hAnsi="ＭＳ ゴシック" w:hint="eastAsia"/>
          <w:b/>
          <w:bCs/>
        </w:rPr>
        <w:t>a)</w:t>
      </w:r>
      <w:r w:rsidRPr="00BC31E0">
        <w:rPr>
          <w:rStyle w:val="1112"/>
          <w:rFonts w:hint="eastAsia"/>
        </w:rPr>
        <w:t>～</w:t>
      </w:r>
      <w:r w:rsidRPr="00BC31E0">
        <w:rPr>
          <w:rStyle w:val="1112"/>
          <w:rFonts w:ascii="ＭＳ ゴシック" w:eastAsia="ＭＳ ゴシック" w:hAnsi="ＭＳ ゴシック" w:hint="eastAsia"/>
          <w:b/>
          <w:bCs/>
        </w:rPr>
        <w:t>c)</w:t>
      </w:r>
      <w:r w:rsidRPr="00BC31E0">
        <w:rPr>
          <w:rStyle w:val="1112"/>
          <w:rFonts w:hint="eastAsia"/>
        </w:rPr>
        <w:t>に従って，分類</w:t>
      </w:r>
      <w:r w:rsidRPr="00BC31E0">
        <w:rPr>
          <w:rStyle w:val="1112"/>
          <w:rFonts w:hint="eastAsia"/>
        </w:rPr>
        <w:t>A</w:t>
      </w:r>
      <w:r w:rsidRPr="00BC31E0">
        <w:rPr>
          <w:rStyle w:val="1112"/>
          <w:rFonts w:hint="eastAsia"/>
        </w:rPr>
        <w:t>，</w:t>
      </w:r>
      <w:r w:rsidRPr="00BC31E0">
        <w:rPr>
          <w:rStyle w:val="1112"/>
          <w:rFonts w:hint="eastAsia"/>
        </w:rPr>
        <w:t>B</w:t>
      </w:r>
      <w:r w:rsidRPr="00BC31E0">
        <w:rPr>
          <w:rStyle w:val="1112"/>
          <w:rFonts w:hint="eastAsia"/>
        </w:rPr>
        <w:t>，</w:t>
      </w:r>
      <w:r w:rsidRPr="00BC31E0">
        <w:rPr>
          <w:rStyle w:val="1112"/>
          <w:rFonts w:hint="eastAsia"/>
        </w:rPr>
        <w:t>C</w:t>
      </w:r>
      <w:r w:rsidRPr="00BC31E0">
        <w:rPr>
          <w:rStyle w:val="1112"/>
          <w:rFonts w:hint="eastAsia"/>
        </w:rPr>
        <w:t>又は</w:t>
      </w:r>
      <w:r w:rsidRPr="00BC31E0">
        <w:rPr>
          <w:rStyle w:val="1112"/>
          <w:rFonts w:hint="eastAsia"/>
        </w:rPr>
        <w:t>D</w:t>
      </w:r>
      <w:r w:rsidRPr="00BC31E0">
        <w:rPr>
          <w:rStyle w:val="1112"/>
          <w:rFonts w:hint="eastAsia"/>
        </w:rPr>
        <w:t>の溶接継手</w:t>
      </w:r>
      <w:r w:rsidRPr="00BC31E0">
        <w:rPr>
          <w:rFonts w:hint="eastAsia"/>
        </w:rPr>
        <w:t>に対して容器製作で使用される材料の同一ヒート材から採取する。</w:t>
      </w:r>
    </w:p>
    <w:p w14:paraId="39E635DF" w14:textId="77777777" w:rsidR="00716FBD" w:rsidRPr="00BC31E0" w:rsidRDefault="007E487E" w:rsidP="00736130">
      <w:pPr>
        <w:pStyle w:val="a4"/>
        <w:numPr>
          <w:ilvl w:val="0"/>
          <w:numId w:val="608"/>
        </w:numPr>
        <w:ind w:leftChars="0" w:left="454" w:hanging="454"/>
      </w:pPr>
      <w:r w:rsidRPr="00BC31E0">
        <w:rPr>
          <w:rFonts w:hint="eastAsia"/>
        </w:rPr>
        <w:t>製作用試験板は，実用的には製作溶接継手の端部に延長して溶接する。</w:t>
      </w:r>
    </w:p>
    <w:p w14:paraId="4FAD7F8E" w14:textId="77777777" w:rsidR="007E487E" w:rsidRPr="00BC31E0" w:rsidRDefault="007E487E" w:rsidP="00736130">
      <w:pPr>
        <w:pStyle w:val="a4"/>
        <w:numPr>
          <w:ilvl w:val="0"/>
          <w:numId w:val="608"/>
        </w:numPr>
        <w:ind w:leftChars="0" w:left="454" w:hanging="454"/>
      </w:pPr>
      <w:r w:rsidRPr="00BC31E0">
        <w:rPr>
          <w:rFonts w:hint="eastAsia"/>
        </w:rPr>
        <w:t>又は，製作溶接と並行し，製作を開始する直前に製作用試験板の溶接を行う。ただし，次の</w:t>
      </w:r>
      <w:r w:rsidRPr="00BC31E0">
        <w:rPr>
          <w:rFonts w:asciiTheme="majorEastAsia" w:eastAsiaTheme="majorEastAsia" w:hAnsiTheme="majorEastAsia" w:hint="eastAsia"/>
          <w:b/>
          <w:bCs/>
        </w:rPr>
        <w:t>1)</w:t>
      </w:r>
      <w:r w:rsidRPr="00BC31E0">
        <w:rPr>
          <w:rFonts w:hint="eastAsia"/>
        </w:rPr>
        <w:t>～</w:t>
      </w:r>
      <w:r w:rsidRPr="00BC31E0">
        <w:rPr>
          <w:rFonts w:asciiTheme="majorEastAsia" w:eastAsiaTheme="majorEastAsia" w:hAnsiTheme="majorEastAsia" w:hint="eastAsia"/>
          <w:b/>
          <w:bCs/>
        </w:rPr>
        <w:t>3)</w:t>
      </w:r>
      <w:r w:rsidRPr="00BC31E0">
        <w:rPr>
          <w:rFonts w:hint="eastAsia"/>
        </w:rPr>
        <w:t>を満足しなければならない。</w:t>
      </w:r>
    </w:p>
    <w:p w14:paraId="4E0358BB" w14:textId="77777777" w:rsidR="00716FBD" w:rsidRPr="00BC31E0" w:rsidRDefault="007E487E" w:rsidP="00736130">
      <w:pPr>
        <w:pStyle w:val="a4"/>
        <w:numPr>
          <w:ilvl w:val="0"/>
          <w:numId w:val="609"/>
        </w:numPr>
        <w:ind w:leftChars="0" w:left="738" w:hanging="454"/>
      </w:pPr>
      <w:r w:rsidRPr="00BC31E0">
        <w:rPr>
          <w:rFonts w:hint="eastAsia"/>
        </w:rPr>
        <w:t>継手製作時に使用する溶接材料と溶接施工方法を用いる。</w:t>
      </w:r>
    </w:p>
    <w:p w14:paraId="716FD838" w14:textId="77777777" w:rsidR="00716FBD" w:rsidRPr="00BC31E0" w:rsidRDefault="007E487E" w:rsidP="00736130">
      <w:pPr>
        <w:pStyle w:val="a4"/>
        <w:numPr>
          <w:ilvl w:val="0"/>
          <w:numId w:val="609"/>
        </w:numPr>
        <w:ind w:leftChars="0" w:left="738" w:hanging="454"/>
      </w:pPr>
      <w:r w:rsidRPr="00BC31E0">
        <w:rPr>
          <w:rFonts w:ascii="ＭＳ 明朝" w:hAnsi="ＭＳ 明朝" w:hint="eastAsia"/>
        </w:rPr>
        <w:t>溶接装置は，実際の製作時と同じ型の装置を用いる。</w:t>
      </w:r>
    </w:p>
    <w:p w14:paraId="6AC6D7D3" w14:textId="77777777" w:rsidR="007E487E" w:rsidRPr="00BC31E0" w:rsidRDefault="007E487E" w:rsidP="00736130">
      <w:pPr>
        <w:pStyle w:val="a4"/>
        <w:numPr>
          <w:ilvl w:val="0"/>
          <w:numId w:val="609"/>
        </w:numPr>
        <w:ind w:leftChars="0" w:left="738" w:hanging="454"/>
      </w:pPr>
      <w:r w:rsidRPr="00BC31E0">
        <w:rPr>
          <w:rFonts w:ascii="ＭＳ 明朝" w:hAnsi="ＭＳ 明朝" w:hint="eastAsia"/>
        </w:rPr>
        <w:t>試験板溶接の位置は，製作溶接のすぐ隣とする。</w:t>
      </w:r>
    </w:p>
    <w:p w14:paraId="6952A0AD" w14:textId="77777777" w:rsidR="007E487E" w:rsidRPr="00BC31E0" w:rsidRDefault="007E487E" w:rsidP="00736130">
      <w:pPr>
        <w:pStyle w:val="a4"/>
        <w:numPr>
          <w:ilvl w:val="0"/>
          <w:numId w:val="608"/>
        </w:numPr>
        <w:ind w:leftChars="0" w:left="454" w:hanging="454"/>
      </w:pPr>
      <w:r w:rsidRPr="00BC31E0">
        <w:rPr>
          <w:rFonts w:hint="eastAsia"/>
        </w:rPr>
        <w:t>次の</w:t>
      </w:r>
      <w:r w:rsidRPr="00BC31E0">
        <w:rPr>
          <w:rFonts w:asciiTheme="majorEastAsia" w:eastAsiaTheme="majorEastAsia" w:hAnsiTheme="majorEastAsia" w:hint="eastAsia"/>
          <w:b/>
          <w:bCs/>
        </w:rPr>
        <w:t>1)</w:t>
      </w:r>
      <w:r w:rsidRPr="00BC31E0">
        <w:rPr>
          <w:rFonts w:hint="eastAsia"/>
        </w:rPr>
        <w:t>～</w:t>
      </w:r>
      <w:r w:rsidRPr="00BC31E0">
        <w:rPr>
          <w:rFonts w:asciiTheme="majorEastAsia" w:eastAsiaTheme="majorEastAsia" w:hAnsiTheme="majorEastAsia" w:hint="eastAsia"/>
          <w:b/>
          <w:bCs/>
        </w:rPr>
        <w:t>3)</w:t>
      </w:r>
      <w:r w:rsidRPr="00BC31E0">
        <w:rPr>
          <w:rFonts w:hint="eastAsia"/>
        </w:rPr>
        <w:t>の要求事項を満足しなければならない。</w:t>
      </w:r>
    </w:p>
    <w:p w14:paraId="21EB03C3" w14:textId="77777777" w:rsidR="00716FBD" w:rsidRPr="00BC31E0" w:rsidRDefault="007E487E" w:rsidP="00736130">
      <w:pPr>
        <w:pStyle w:val="a4"/>
        <w:numPr>
          <w:ilvl w:val="0"/>
          <w:numId w:val="610"/>
        </w:numPr>
        <w:ind w:leftChars="0" w:left="738" w:hanging="454"/>
        <w:rPr>
          <w:rFonts w:hAnsiTheme="minorHAnsi"/>
        </w:rPr>
      </w:pPr>
      <w:r w:rsidRPr="00BC31E0">
        <w:t>自動又は半自動溶接をする場合には，容器の溶接で使用される各々の姿勢で製作用試験板を作製する。</w:t>
      </w:r>
    </w:p>
    <w:p w14:paraId="4FFC0D6E" w14:textId="77777777" w:rsidR="00716FBD" w:rsidRPr="00BC31E0" w:rsidRDefault="007E487E" w:rsidP="00736130">
      <w:pPr>
        <w:pStyle w:val="a4"/>
        <w:numPr>
          <w:ilvl w:val="0"/>
          <w:numId w:val="610"/>
        </w:numPr>
        <w:ind w:leftChars="0" w:left="738" w:hanging="454"/>
        <w:rPr>
          <w:rFonts w:hAnsiTheme="minorHAnsi"/>
        </w:rPr>
      </w:pPr>
      <w:r w:rsidRPr="00BC31E0">
        <w:rPr>
          <w:rFonts w:asciiTheme="minorHAnsi" w:eastAsiaTheme="minorEastAsia" w:hAnsiTheme="minorEastAsia"/>
        </w:rPr>
        <w:t>水平下向き姿勢のみで手溶接をする場合には，製作用試験板は水平下向き姿勢で作製する。他の姿勢での溶接施工方法を確認するためには，溶接層の大部分が縦向き上進姿勢で盛られた試験板を使用する。縦向き上進姿勢で溶接する製作用試験板は，全ての姿勢における手溶接を認定することになる。</w:t>
      </w:r>
    </w:p>
    <w:p w14:paraId="139C1AA4" w14:textId="77777777" w:rsidR="007E487E" w:rsidRPr="00BC31E0" w:rsidRDefault="007E487E" w:rsidP="00736130">
      <w:pPr>
        <w:pStyle w:val="a4"/>
        <w:numPr>
          <w:ilvl w:val="0"/>
          <w:numId w:val="610"/>
        </w:numPr>
        <w:ind w:leftChars="0" w:left="738" w:hanging="454"/>
        <w:rPr>
          <w:rFonts w:hAnsiTheme="minorHAnsi"/>
        </w:rPr>
      </w:pPr>
      <w:r w:rsidRPr="00BC31E0">
        <w:rPr>
          <w:rFonts w:asciiTheme="minorHAnsi" w:eastAsiaTheme="minorEastAsia" w:hAnsiTheme="minorEastAsia"/>
        </w:rPr>
        <w:t>製作用試験板の厚さが</w:t>
      </w:r>
      <w:r w:rsidRPr="00BC31E0">
        <w:rPr>
          <w:rFonts w:asciiTheme="majorEastAsia" w:eastAsiaTheme="majorEastAsia" w:hAnsiTheme="majorEastAsia"/>
          <w:b/>
        </w:rPr>
        <w:t>JIS B 8285</w:t>
      </w:r>
      <w:r w:rsidRPr="00BC31E0">
        <w:rPr>
          <w:rFonts w:asciiTheme="minorHAnsi" w:eastAsiaTheme="minorEastAsia" w:hAnsiTheme="minorEastAsia"/>
        </w:rPr>
        <w:t>の要求事項を満足する場合にのみ，衝撃試験は有効となる。ただし，厚さが</w:t>
      </w:r>
      <w:r w:rsidRPr="00BC31E0">
        <w:rPr>
          <w:rFonts w:asciiTheme="minorHAnsi" w:eastAsiaTheme="minorEastAsia" w:hAnsiTheme="minorHAnsi"/>
        </w:rPr>
        <w:t>16 mm</w:t>
      </w:r>
      <w:r w:rsidRPr="00BC31E0">
        <w:rPr>
          <w:rFonts w:asciiTheme="minorHAnsi" w:eastAsiaTheme="minorEastAsia" w:hAnsiTheme="minorEastAsia"/>
        </w:rPr>
        <w:t>より薄い場合には，試験材料の厚さを最小認定厚さとする。</w:t>
      </w:r>
    </w:p>
    <w:p w14:paraId="66B6CBB5" w14:textId="77777777" w:rsidR="007E487E" w:rsidRPr="00BC31E0" w:rsidRDefault="00FF3277" w:rsidP="00D11556">
      <w:pPr>
        <w:pStyle w:val="3"/>
        <w:ind w:left="794" w:hanging="794"/>
      </w:pPr>
      <w:r w:rsidRPr="00BC31E0">
        <w:rPr>
          <w:rFonts w:hint="eastAsia"/>
        </w:rPr>
        <w:t xml:space="preserve"> </w:t>
      </w:r>
      <w:r w:rsidR="007E487E" w:rsidRPr="00BC31E0">
        <w:rPr>
          <w:rFonts w:hint="eastAsia"/>
        </w:rPr>
        <w:t>再試験</w:t>
      </w:r>
    </w:p>
    <w:p w14:paraId="0DB1DF8F" w14:textId="77777777" w:rsidR="007E487E" w:rsidRPr="00BC31E0" w:rsidRDefault="007E487E" w:rsidP="000916CE">
      <w:pPr>
        <w:pStyle w:val="1110"/>
        <w:ind w:firstLine="210"/>
      </w:pPr>
      <w:r w:rsidRPr="00BC31E0">
        <w:rPr>
          <w:rFonts w:hint="eastAsia"/>
        </w:rPr>
        <w:t>製作用試験板が衝撃値要求を満足しなかった場合には，その試験板で代表される溶接線は受け入れられない。なお，</w:t>
      </w:r>
      <w:r w:rsidRPr="00BC31E0">
        <w:rPr>
          <w:rFonts w:ascii="ＭＳ ゴシック" w:eastAsia="ＭＳ ゴシック" w:hAnsi="ＭＳ ゴシック"/>
          <w:b/>
          <w:bCs/>
        </w:rPr>
        <w:t>5</w:t>
      </w:r>
      <w:r w:rsidRPr="00BC31E0">
        <w:rPr>
          <w:rFonts w:hint="eastAsia"/>
        </w:rPr>
        <w:t>に従った再熱処理と再試験を行う。</w:t>
      </w:r>
    </w:p>
    <w:p w14:paraId="7BDA2DA3" w14:textId="77777777" w:rsidR="00185C78" w:rsidRPr="00BC31E0" w:rsidRDefault="00FF3277" w:rsidP="00D11556">
      <w:pPr>
        <w:pStyle w:val="20"/>
        <w:ind w:left="567" w:hanging="567"/>
      </w:pPr>
      <w:bookmarkStart w:id="114" w:name="_Toc357672123"/>
      <w:r w:rsidRPr="00BC31E0">
        <w:rPr>
          <w:rFonts w:hint="eastAsia"/>
        </w:rPr>
        <w:t xml:space="preserve"> </w:t>
      </w:r>
      <w:bookmarkStart w:id="115" w:name="_Toc120092559"/>
      <w:r w:rsidRPr="00BC31E0">
        <w:rPr>
          <w:rFonts w:hint="eastAsia"/>
        </w:rPr>
        <w:t>耐圧試験</w:t>
      </w:r>
      <w:bookmarkEnd w:id="114"/>
      <w:bookmarkEnd w:id="115"/>
    </w:p>
    <w:p w14:paraId="7C15CB5C" w14:textId="77777777" w:rsidR="00185C78" w:rsidRPr="00BC31E0" w:rsidRDefault="000916CE" w:rsidP="00D11556">
      <w:pPr>
        <w:pStyle w:val="3"/>
        <w:tabs>
          <w:tab w:val="clear" w:pos="284"/>
        </w:tabs>
        <w:ind w:left="794" w:hanging="794"/>
        <w:rPr>
          <w:rFonts w:asciiTheme="majorEastAsia" w:eastAsiaTheme="majorEastAsia" w:hAnsiTheme="majorEastAsia"/>
        </w:rPr>
      </w:pPr>
      <w:r w:rsidRPr="00BC31E0">
        <w:rPr>
          <w:rFonts w:asciiTheme="majorEastAsia" w:eastAsiaTheme="majorEastAsia" w:hAnsiTheme="majorEastAsia" w:hint="eastAsia"/>
        </w:rPr>
        <w:t xml:space="preserve"> </w:t>
      </w:r>
      <w:r w:rsidR="00185C78" w:rsidRPr="00BC31E0">
        <w:rPr>
          <w:rFonts w:asciiTheme="majorEastAsia" w:eastAsiaTheme="majorEastAsia" w:hAnsiTheme="majorEastAsia" w:hint="eastAsia"/>
        </w:rPr>
        <w:t>適用範囲</w:t>
      </w:r>
    </w:p>
    <w:p w14:paraId="6B278014" w14:textId="77777777" w:rsidR="00185C78" w:rsidRPr="00BC31E0" w:rsidRDefault="00185C78" w:rsidP="006945E6">
      <w:pPr>
        <w:pStyle w:val="1110"/>
        <w:ind w:firstLine="210"/>
      </w:pPr>
      <w:r w:rsidRPr="00BC31E0">
        <w:rPr>
          <w:rFonts w:hint="eastAsia"/>
        </w:rPr>
        <w:lastRenderedPageBreak/>
        <w:t>圧力容器は完成後，耐圧試験及びこれに引き続いて行う漏洩試験を受ける。この</w:t>
      </w:r>
      <w:r w:rsidR="00A84424" w:rsidRPr="00BC31E0">
        <w:rPr>
          <w:rFonts w:hint="eastAsia"/>
        </w:rPr>
        <w:t>とき</w:t>
      </w:r>
      <w:r w:rsidRPr="00BC31E0">
        <w:rPr>
          <w:rFonts w:hint="eastAsia"/>
        </w:rPr>
        <w:t>容器の各部位の圧力は</w:t>
      </w:r>
      <w:r w:rsidRPr="00BC31E0">
        <w:rPr>
          <w:rFonts w:ascii="ＭＳ ゴシック" w:eastAsia="ＭＳ ゴシック" w:hAnsi="ＭＳ ゴシック" w:hint="eastAsia"/>
          <w:b/>
          <w:bCs/>
        </w:rPr>
        <w:t>10.3.2</w:t>
      </w:r>
      <w:r w:rsidRPr="00BC31E0">
        <w:rPr>
          <w:rFonts w:hint="eastAsia"/>
        </w:rPr>
        <w:t>の規定範囲内に収めなければならない。真空用に設計された容器への，外圧による追加耐圧試験は要求しない。多層容器，非鉄ライニング付き容器及び自緊容器の耐圧試験は，次の</w:t>
      </w:r>
      <w:r w:rsidRPr="00BC31E0">
        <w:rPr>
          <w:rFonts w:ascii="ＭＳ ゴシック" w:hAnsi="ＭＳ ゴシック" w:hint="eastAsia"/>
          <w:b/>
          <w:bCs/>
        </w:rPr>
        <w:t>a)</w:t>
      </w:r>
      <w:r w:rsidRPr="00BC31E0">
        <w:rPr>
          <w:rFonts w:hint="eastAsia"/>
        </w:rPr>
        <w:t>～</w:t>
      </w:r>
      <w:r w:rsidRPr="00BC31E0">
        <w:rPr>
          <w:rFonts w:ascii="ＭＳ ゴシック" w:hAnsi="ＭＳ ゴシック" w:hint="eastAsia"/>
          <w:b/>
          <w:bCs/>
        </w:rPr>
        <w:t>c)</w:t>
      </w:r>
      <w:r w:rsidRPr="00BC31E0">
        <w:rPr>
          <w:rFonts w:hint="eastAsia"/>
        </w:rPr>
        <w:t>による。</w:t>
      </w:r>
    </w:p>
    <w:p w14:paraId="6569829D" w14:textId="77777777" w:rsidR="00D11556" w:rsidRPr="00BC31E0" w:rsidRDefault="00185C78" w:rsidP="00736130">
      <w:pPr>
        <w:pStyle w:val="a4"/>
        <w:numPr>
          <w:ilvl w:val="0"/>
          <w:numId w:val="611"/>
        </w:numPr>
        <w:ind w:leftChars="0" w:left="454" w:hanging="454"/>
      </w:pPr>
      <w:r w:rsidRPr="00BC31E0">
        <w:rPr>
          <w:rFonts w:asciiTheme="majorEastAsia" w:eastAsiaTheme="majorEastAsia" w:hAnsiTheme="majorEastAsia" w:hint="eastAsia"/>
          <w:b/>
          <w:bCs/>
        </w:rPr>
        <w:t>多層容器</w:t>
      </w:r>
      <w:r w:rsidRPr="00BC31E0">
        <w:rPr>
          <w:rFonts w:hint="eastAsia"/>
          <w:bCs/>
        </w:rPr>
        <w:t xml:space="preserve">　</w:t>
      </w:r>
      <w:r w:rsidRPr="00BC31E0">
        <w:rPr>
          <w:rFonts w:asciiTheme="majorEastAsia" w:eastAsiaTheme="majorEastAsia" w:hAnsiTheme="majorEastAsia" w:hint="eastAsia"/>
          <w:b/>
          <w:bCs/>
        </w:rPr>
        <w:t>7.8</w:t>
      </w:r>
      <w:r w:rsidRPr="00BC31E0">
        <w:rPr>
          <w:rFonts w:hint="eastAsia"/>
          <w:bCs/>
        </w:rPr>
        <w:t>，</w:t>
      </w:r>
      <w:r w:rsidRPr="00BC31E0">
        <w:rPr>
          <w:rFonts w:asciiTheme="majorEastAsia" w:eastAsiaTheme="majorEastAsia" w:hAnsiTheme="majorEastAsia" w:hint="eastAsia"/>
          <w:b/>
          <w:bCs/>
        </w:rPr>
        <w:t>7.9</w:t>
      </w:r>
      <w:r w:rsidR="003E461F" w:rsidRPr="00BC31E0">
        <w:rPr>
          <w:rFonts w:hint="eastAsia"/>
        </w:rPr>
        <w:t>で規定する</w:t>
      </w:r>
      <w:r w:rsidRPr="00BC31E0">
        <w:rPr>
          <w:rFonts w:hint="eastAsia"/>
        </w:rPr>
        <w:t>多層</w:t>
      </w:r>
      <w:r w:rsidR="003E461F" w:rsidRPr="00BC31E0">
        <w:rPr>
          <w:rFonts w:hint="eastAsia"/>
        </w:rPr>
        <w:t>容器</w:t>
      </w:r>
      <w:r w:rsidRPr="00BC31E0">
        <w:rPr>
          <w:rFonts w:hint="eastAsia"/>
        </w:rPr>
        <w:t>，線巻き容器の耐圧試験の耐圧試験及び漏洩試験への追加要求を参照する。</w:t>
      </w:r>
    </w:p>
    <w:p w14:paraId="1BC4AAE9" w14:textId="77777777" w:rsidR="00D11556" w:rsidRPr="00BC31E0" w:rsidRDefault="00185C78" w:rsidP="00736130">
      <w:pPr>
        <w:pStyle w:val="a4"/>
        <w:numPr>
          <w:ilvl w:val="0"/>
          <w:numId w:val="611"/>
        </w:numPr>
        <w:ind w:leftChars="0" w:left="454" w:hanging="454"/>
      </w:pPr>
      <w:r w:rsidRPr="00BC31E0">
        <w:rPr>
          <w:rFonts w:asciiTheme="majorEastAsia" w:eastAsiaTheme="majorEastAsia" w:hAnsiTheme="majorEastAsia" w:hint="eastAsia"/>
          <w:b/>
          <w:bCs/>
        </w:rPr>
        <w:t>非鉄ライニング付き容器</w:t>
      </w:r>
      <w:r w:rsidRPr="00BC31E0">
        <w:rPr>
          <w:rFonts w:hint="eastAsia"/>
          <w:bCs/>
        </w:rPr>
        <w:t xml:space="preserve">　</w:t>
      </w:r>
      <w:r w:rsidRPr="00BC31E0">
        <w:rPr>
          <w:rFonts w:hint="eastAsia"/>
        </w:rPr>
        <w:t>非鉄のライニング付き容器は，ライニング施工前に耐圧試験及び漏洩試験を行う。</w:t>
      </w:r>
    </w:p>
    <w:p w14:paraId="62DD795F" w14:textId="77777777" w:rsidR="00185C78" w:rsidRPr="00BC31E0" w:rsidRDefault="00185C78" w:rsidP="00736130">
      <w:pPr>
        <w:pStyle w:val="a4"/>
        <w:numPr>
          <w:ilvl w:val="0"/>
          <w:numId w:val="611"/>
        </w:numPr>
        <w:ind w:leftChars="0" w:left="454" w:hanging="454"/>
      </w:pPr>
      <w:r w:rsidRPr="00BC31E0">
        <w:rPr>
          <w:rFonts w:asciiTheme="majorEastAsia" w:eastAsiaTheme="majorEastAsia" w:hAnsiTheme="majorEastAsia" w:hint="eastAsia"/>
          <w:b/>
          <w:bCs/>
        </w:rPr>
        <w:t>自緊容器</w:t>
      </w:r>
      <w:r w:rsidRPr="00BC31E0">
        <w:rPr>
          <w:rFonts w:hint="eastAsia"/>
          <w:bCs/>
        </w:rPr>
        <w:t xml:space="preserve">　</w:t>
      </w:r>
      <w:r w:rsidRPr="00BC31E0">
        <w:rPr>
          <w:rFonts w:hint="eastAsia"/>
        </w:rPr>
        <w:t>自緊容器は，</w:t>
      </w:r>
      <w:r w:rsidRPr="00BC31E0">
        <w:rPr>
          <w:rFonts w:asciiTheme="majorEastAsia" w:eastAsiaTheme="majorEastAsia" w:hAnsiTheme="majorEastAsia" w:hint="eastAsia"/>
          <w:b/>
          <w:bCs/>
        </w:rPr>
        <w:t>10.3.5</w:t>
      </w:r>
      <w:r w:rsidRPr="00BC31E0">
        <w:rPr>
          <w:rFonts w:hint="eastAsia"/>
        </w:rPr>
        <w:t>を満足する場合には耐圧試験を行わなくてもよい。</w:t>
      </w:r>
    </w:p>
    <w:p w14:paraId="65860B59" w14:textId="77777777" w:rsidR="00185C78" w:rsidRPr="00BC31E0" w:rsidRDefault="000916CE" w:rsidP="00D06E2D">
      <w:pPr>
        <w:pStyle w:val="3"/>
        <w:tabs>
          <w:tab w:val="clear" w:pos="284"/>
        </w:tabs>
        <w:ind w:left="794" w:hanging="794"/>
      </w:pPr>
      <w:r w:rsidRPr="00BC31E0">
        <w:rPr>
          <w:rFonts w:hint="eastAsia"/>
        </w:rPr>
        <w:t xml:space="preserve"> </w:t>
      </w:r>
      <w:r w:rsidR="00185C78" w:rsidRPr="00BC31E0">
        <w:rPr>
          <w:rFonts w:hint="eastAsia"/>
        </w:rPr>
        <w:t>耐圧試験圧力</w:t>
      </w:r>
    </w:p>
    <w:p w14:paraId="626E4D5E" w14:textId="77777777" w:rsidR="00185C78" w:rsidRPr="00BC31E0" w:rsidRDefault="00185C78" w:rsidP="006945E6">
      <w:pPr>
        <w:pStyle w:val="1110"/>
        <w:ind w:firstLine="210"/>
      </w:pPr>
      <w:r w:rsidRPr="00BC31E0">
        <w:rPr>
          <w:rFonts w:hint="eastAsia"/>
        </w:rPr>
        <w:t>耐圧試験圧力は，次の</w:t>
      </w:r>
      <w:r w:rsidRPr="00BC31E0">
        <w:rPr>
          <w:rFonts w:ascii="ＭＳ ゴシック" w:hAnsi="ＭＳ ゴシック" w:hint="eastAsia"/>
          <w:b/>
        </w:rPr>
        <w:t>a)</w:t>
      </w:r>
      <w:r w:rsidRPr="00BC31E0">
        <w:rPr>
          <w:rFonts w:hint="eastAsia"/>
        </w:rPr>
        <w:t>，</w:t>
      </w:r>
      <w:r w:rsidRPr="00BC31E0">
        <w:rPr>
          <w:rFonts w:ascii="ＭＳ ゴシック" w:hAnsi="ＭＳ ゴシック" w:hint="eastAsia"/>
          <w:b/>
        </w:rPr>
        <w:t>b)</w:t>
      </w:r>
      <w:r w:rsidRPr="00BC31E0">
        <w:rPr>
          <w:rFonts w:hint="eastAsia"/>
        </w:rPr>
        <w:t>による。</w:t>
      </w:r>
    </w:p>
    <w:p w14:paraId="3C9AE88A" w14:textId="77777777" w:rsidR="00185C78" w:rsidRPr="00BC31E0" w:rsidRDefault="00185C78" w:rsidP="00736130">
      <w:pPr>
        <w:pStyle w:val="a4"/>
        <w:numPr>
          <w:ilvl w:val="0"/>
          <w:numId w:val="612"/>
        </w:numPr>
        <w:spacing w:after="120"/>
        <w:ind w:leftChars="0" w:left="454" w:hanging="454"/>
      </w:pPr>
      <w:r w:rsidRPr="00BC31E0">
        <w:rPr>
          <w:rFonts w:asciiTheme="majorEastAsia" w:eastAsiaTheme="majorEastAsia" w:hAnsiTheme="majorEastAsia" w:hint="eastAsia"/>
          <w:b/>
          <w:bCs/>
        </w:rPr>
        <w:t>耐圧試験圧力</w:t>
      </w:r>
      <w:r w:rsidRPr="00BC31E0">
        <w:rPr>
          <w:rFonts w:hint="eastAsia"/>
          <w:bCs/>
        </w:rPr>
        <w:t xml:space="preserve">　</w:t>
      </w:r>
      <w:r w:rsidRPr="00BC31E0">
        <w:rPr>
          <w:rFonts w:ascii="ＭＳ 明朝" w:hAnsi="ＭＳ 明朝" w:hint="eastAsia"/>
        </w:rPr>
        <w:t>耐圧試験圧力は，次の算式によって求める。</w:t>
      </w:r>
    </w:p>
    <w:tbl>
      <w:tblPr>
        <w:tblStyle w:val="180"/>
        <w:tblW w:w="5670" w:type="dxa"/>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4054"/>
      </w:tblGrid>
      <w:tr w:rsidR="00185C78" w:rsidRPr="00BC31E0" w14:paraId="5BF68F53" w14:textId="77777777" w:rsidTr="005D5EBF">
        <w:tc>
          <w:tcPr>
            <w:tcW w:w="0" w:type="auto"/>
            <w:tcMar>
              <w:left w:w="0" w:type="dxa"/>
              <w:right w:w="0" w:type="dxa"/>
            </w:tcMar>
            <w:vAlign w:val="center"/>
          </w:tcPr>
          <w:p w14:paraId="1DD7C45C" w14:textId="77777777" w:rsidR="00185C78" w:rsidRPr="00BC31E0" w:rsidRDefault="00A51873" w:rsidP="00185C78">
            <w:pPr>
              <w:tabs>
                <w:tab w:val="left" w:pos="2835"/>
                <w:tab w:val="left" w:leader="middleDot" w:pos="8080"/>
              </w:tabs>
              <w:autoSpaceDE w:val="0"/>
              <w:autoSpaceDN w:val="0"/>
              <w:jc w:val="left"/>
              <w:rPr>
                <w:rFonts w:asciiTheme="minorHAnsi" w:hAnsiTheme="minorHAnsi"/>
                <w:i/>
              </w:rPr>
            </w:pPr>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=1.25 P</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yt</m:t>
                            </m:r>
                          </m:sub>
                        </m:sSub>
                      </m:num>
                      <m:den>
                        <m:sSub>
                          <m:sSubPr>
                            <m:ctrlPr>
                              <w:rPr>
                                <w:rFonts w:ascii="Cambria Math" w:hAnsi="Cambria Math"/>
                                <w:i/>
                              </w:rPr>
                            </m:ctrlPr>
                          </m:sSubPr>
                          <m:e>
                            <m:r>
                              <w:rPr>
                                <w:rFonts w:ascii="Cambria Math" w:hAnsi="Cambria Math"/>
                              </w:rPr>
                              <m:t>S</m:t>
                            </m:r>
                          </m:e>
                          <m:sub>
                            <m:r>
                              <w:rPr>
                                <w:rFonts w:ascii="Cambria Math" w:hAnsi="Cambria Math"/>
                              </w:rPr>
                              <m:t>yd</m:t>
                            </m:r>
                          </m:sub>
                        </m:sSub>
                      </m:den>
                    </m:f>
                  </m:e>
                </m:d>
              </m:oMath>
            </m:oMathPara>
          </w:p>
        </w:tc>
        <w:tc>
          <w:tcPr>
            <w:tcW w:w="4054" w:type="dxa"/>
            <w:tcMar>
              <w:left w:w="0" w:type="dxa"/>
              <w:right w:w="0" w:type="dxa"/>
            </w:tcMar>
            <w:vAlign w:val="center"/>
          </w:tcPr>
          <w:p w14:paraId="7994C92C" w14:textId="77777777" w:rsidR="00185C78" w:rsidRPr="00BC31E0" w:rsidRDefault="00185C78" w:rsidP="00A71202">
            <w:pPr>
              <w:tabs>
                <w:tab w:val="left" w:leader="middleDot" w:pos="3204"/>
              </w:tabs>
              <w:autoSpaceDE w:val="0"/>
              <w:autoSpaceDN w:val="0"/>
              <w:jc w:val="left"/>
              <w:rPr>
                <w:rFonts w:asciiTheme="minorHAnsi" w:hAnsiTheme="minorHAnsi"/>
              </w:rPr>
            </w:pPr>
            <w:r w:rsidRPr="00BC31E0">
              <w:rPr>
                <w:rFonts w:asciiTheme="minorHAnsi" w:hAnsiTheme="minorHAnsi" w:hint="eastAsia"/>
              </w:rPr>
              <w:tab/>
              <w:t>(10.3.1)</w:t>
            </w:r>
          </w:p>
        </w:tc>
      </w:tr>
    </w:tbl>
    <w:p w14:paraId="1CE54430" w14:textId="77777777" w:rsidR="00185C78" w:rsidRPr="00BC31E0" w:rsidRDefault="00185C78" w:rsidP="00D06E2D">
      <w:pPr>
        <w:autoSpaceDE w:val="0"/>
        <w:autoSpaceDN w:val="0"/>
        <w:ind w:left="454" w:firstLine="227"/>
      </w:pPr>
      <w:r w:rsidRPr="00BC31E0">
        <w:rPr>
          <w:rFonts w:hint="eastAsia"/>
        </w:rPr>
        <w:t>ここで，</w:t>
      </w:r>
    </w:p>
    <w:p w14:paraId="2275A188" w14:textId="77777777" w:rsidR="00185C78" w:rsidRPr="00BC31E0" w:rsidRDefault="00185C78" w:rsidP="005D5EBF">
      <w:pPr>
        <w:tabs>
          <w:tab w:val="left" w:pos="1701"/>
        </w:tabs>
        <w:autoSpaceDE w:val="0"/>
        <w:autoSpaceDN w:val="0"/>
        <w:ind w:left="1247"/>
        <w:rPr>
          <w:rFonts w:asciiTheme="minorHAnsi" w:hAnsiTheme="minorHAnsi"/>
        </w:rPr>
      </w:pPr>
      <m:oMath>
        <m:r>
          <w:rPr>
            <w:rFonts w:ascii="Cambria Math" w:hAnsi="Cambria Math"/>
          </w:rPr>
          <m:t>P</m:t>
        </m:r>
      </m:oMath>
      <w:r w:rsidRPr="00BC31E0">
        <w:rPr>
          <w:rFonts w:hint="eastAsia"/>
          <w:i/>
          <w:iCs/>
        </w:rPr>
        <w:tab/>
      </w:r>
      <w:r w:rsidRPr="00BC31E0">
        <w:rPr>
          <w:rFonts w:hint="eastAsia"/>
        </w:rPr>
        <w:t>：</w:t>
      </w:r>
      <w:r w:rsidRPr="00BC31E0">
        <w:t xml:space="preserve"> </w:t>
      </w:r>
      <w:r w:rsidRPr="00BC31E0">
        <w:rPr>
          <w:rFonts w:hint="eastAsia"/>
        </w:rPr>
        <w:t>設計圧力</w:t>
      </w:r>
      <w:r w:rsidRPr="00BC31E0">
        <w:rPr>
          <w:rFonts w:asciiTheme="minorHAnsi" w:hAnsiTheme="minorHAnsi"/>
        </w:rPr>
        <w:t>(MPa)</w:t>
      </w:r>
    </w:p>
    <w:p w14:paraId="15C2ABCF" w14:textId="77777777" w:rsidR="00185C78" w:rsidRPr="00BC31E0" w:rsidRDefault="00A51873" w:rsidP="005D5EBF">
      <w:pPr>
        <w:tabs>
          <w:tab w:val="left" w:pos="1701"/>
        </w:tabs>
        <w:autoSpaceDE w:val="0"/>
        <w:autoSpaceDN w:val="0"/>
        <w:ind w:left="1247"/>
      </w:pPr>
      <m:oMath>
        <m:sSub>
          <m:sSubPr>
            <m:ctrlPr>
              <w:rPr>
                <w:rFonts w:ascii="Cambria Math" w:hAnsi="Cambria Math"/>
                <w:i/>
                <w:iCs/>
              </w:rPr>
            </m:ctrlPr>
          </m:sSubPr>
          <m:e>
            <m:r>
              <w:rPr>
                <w:rFonts w:ascii="Cambria Math" w:hAnsi="Cambria Math" w:hint="eastAsia"/>
              </w:rPr>
              <m:t>P</m:t>
            </m:r>
          </m:e>
          <m:sub>
            <m:r>
              <w:rPr>
                <w:rFonts w:ascii="Cambria Math" w:hAnsi="Cambria Math"/>
              </w:rPr>
              <m:t>t</m:t>
            </m:r>
          </m:sub>
        </m:sSub>
      </m:oMath>
      <w:r w:rsidR="00185C78" w:rsidRPr="00BC31E0">
        <w:rPr>
          <w:rFonts w:hint="eastAsia"/>
          <w:vertAlign w:val="subscript"/>
        </w:rPr>
        <w:tab/>
      </w:r>
      <w:r w:rsidR="00185C78" w:rsidRPr="00BC31E0">
        <w:rPr>
          <w:rFonts w:hint="eastAsia"/>
        </w:rPr>
        <w:t>：</w:t>
      </w:r>
      <w:r w:rsidR="00185C78" w:rsidRPr="00BC31E0">
        <w:rPr>
          <w:rFonts w:hint="eastAsia"/>
        </w:rPr>
        <w:t xml:space="preserve"> </w:t>
      </w:r>
      <w:r w:rsidR="00185C78" w:rsidRPr="00BC31E0">
        <w:rPr>
          <w:rFonts w:hint="eastAsia"/>
        </w:rPr>
        <w:t>耐圧試験圧力</w:t>
      </w:r>
      <w:r w:rsidR="00185C78" w:rsidRPr="00BC31E0">
        <w:rPr>
          <w:rFonts w:asciiTheme="minorHAnsi" w:hAnsiTheme="minorHAnsi"/>
        </w:rPr>
        <w:t>(MPa)</w:t>
      </w:r>
    </w:p>
    <w:p w14:paraId="6845F006" w14:textId="77777777" w:rsidR="00185C78" w:rsidRPr="00BC31E0" w:rsidRDefault="00A51873" w:rsidP="005D5EBF">
      <w:pPr>
        <w:tabs>
          <w:tab w:val="left" w:pos="1701"/>
        </w:tabs>
        <w:autoSpaceDE w:val="0"/>
        <w:autoSpaceDN w:val="0"/>
        <w:ind w:left="1247"/>
      </w:pPr>
      <m:oMath>
        <m:sSub>
          <m:sSubPr>
            <m:ctrlPr>
              <w:rPr>
                <w:rFonts w:ascii="Cambria Math" w:hAnsi="Cambria Math"/>
                <w:i/>
                <w:iCs/>
              </w:rPr>
            </m:ctrlPr>
          </m:sSubPr>
          <m:e>
            <m:r>
              <w:rPr>
                <w:rFonts w:ascii="Cambria Math" w:hAnsi="Cambria Math"/>
              </w:rPr>
              <m:t>S</m:t>
            </m:r>
          </m:e>
          <m:sub>
            <m:r>
              <w:rPr>
                <w:rFonts w:ascii="Cambria Math" w:hAnsi="Cambria Math"/>
              </w:rPr>
              <m:t>yd</m:t>
            </m:r>
          </m:sub>
        </m:sSub>
      </m:oMath>
      <w:r w:rsidR="00185C78" w:rsidRPr="00BC31E0">
        <w:rPr>
          <w:rFonts w:hint="eastAsia"/>
          <w:iCs/>
          <w:vertAlign w:val="subscript"/>
        </w:rPr>
        <w:tab/>
      </w:r>
      <w:r w:rsidR="00185C78" w:rsidRPr="00BC31E0">
        <w:rPr>
          <w:rFonts w:hint="eastAsia"/>
        </w:rPr>
        <w:t>：</w:t>
      </w:r>
      <w:r w:rsidR="00185C78" w:rsidRPr="00BC31E0">
        <w:t xml:space="preserve"> </w:t>
      </w:r>
      <w:r w:rsidR="00185C78" w:rsidRPr="00BC31E0">
        <w:rPr>
          <w:rFonts w:hint="eastAsia"/>
        </w:rPr>
        <w:t>設計温度における降伏強さ</w:t>
      </w:r>
      <w:r w:rsidR="00185C78" w:rsidRPr="00BC31E0">
        <w:rPr>
          <w:rFonts w:asciiTheme="minorHAnsi" w:hAnsiTheme="minorHAnsi"/>
        </w:rPr>
        <w:t>(MPa)</w:t>
      </w:r>
    </w:p>
    <w:p w14:paraId="5E160F7D" w14:textId="77777777" w:rsidR="00185C78" w:rsidRPr="00BC31E0" w:rsidRDefault="00A51873" w:rsidP="005D5EBF">
      <w:pPr>
        <w:tabs>
          <w:tab w:val="left" w:pos="1701"/>
        </w:tabs>
        <w:autoSpaceDE w:val="0"/>
        <w:autoSpaceDN w:val="0"/>
        <w:ind w:left="1247"/>
      </w:pPr>
      <m:oMath>
        <m:sSub>
          <m:sSubPr>
            <m:ctrlPr>
              <w:rPr>
                <w:rFonts w:ascii="Cambria Math" w:hAnsi="Cambria Math"/>
                <w:i/>
                <w:iCs/>
              </w:rPr>
            </m:ctrlPr>
          </m:sSubPr>
          <m:e>
            <m:r>
              <w:rPr>
                <w:rFonts w:ascii="Cambria Math" w:hAnsi="Cambria Math"/>
              </w:rPr>
              <m:t>S</m:t>
            </m:r>
          </m:e>
          <m:sub>
            <m:r>
              <w:rPr>
                <w:rFonts w:ascii="Cambria Math" w:hAnsi="Cambria Math"/>
              </w:rPr>
              <m:t>yt</m:t>
            </m:r>
          </m:sub>
        </m:sSub>
      </m:oMath>
      <w:r w:rsidR="00185C78" w:rsidRPr="00BC31E0">
        <w:rPr>
          <w:rFonts w:hint="eastAsia"/>
          <w:iCs/>
          <w:vertAlign w:val="subscript"/>
        </w:rPr>
        <w:tab/>
      </w:r>
      <w:r w:rsidR="00185C78" w:rsidRPr="00BC31E0">
        <w:rPr>
          <w:rFonts w:hint="eastAsia"/>
        </w:rPr>
        <w:t>：</w:t>
      </w:r>
      <w:r w:rsidR="00185C78" w:rsidRPr="00BC31E0">
        <w:t xml:space="preserve"> </w:t>
      </w:r>
      <w:r w:rsidR="00185C78" w:rsidRPr="00BC31E0">
        <w:rPr>
          <w:rFonts w:hint="eastAsia"/>
        </w:rPr>
        <w:t>耐圧試験温度における降伏強さ</w:t>
      </w:r>
      <w:r w:rsidR="00185C78" w:rsidRPr="00BC31E0">
        <w:rPr>
          <w:rFonts w:asciiTheme="minorHAnsi" w:hAnsiTheme="minorHAnsi"/>
        </w:rPr>
        <w:t>(MPa)</w:t>
      </w:r>
    </w:p>
    <w:p w14:paraId="0F5D0B2D" w14:textId="77777777" w:rsidR="00185C78" w:rsidRPr="00BC31E0" w:rsidRDefault="00A51873" w:rsidP="005D5EBF">
      <w:pPr>
        <w:ind w:left="1247"/>
      </w:pPr>
      <m:oMath>
        <m:f>
          <m:fPr>
            <m:type m:val="lin"/>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yt</m:t>
                </m:r>
              </m:sub>
            </m:sSub>
          </m:num>
          <m:den>
            <m:sSub>
              <m:sSubPr>
                <m:ctrlPr>
                  <w:rPr>
                    <w:rFonts w:ascii="Cambria Math" w:hAnsi="Cambria Math"/>
                    <w:i/>
                    <w:iCs/>
                  </w:rPr>
                </m:ctrlPr>
              </m:sSubPr>
              <m:e>
                <m:r>
                  <w:rPr>
                    <w:rFonts w:ascii="Cambria Math" w:hAnsi="Cambria Math"/>
                  </w:rPr>
                  <m:t>S</m:t>
                </m:r>
              </m:e>
              <m:sub>
                <m:r>
                  <w:rPr>
                    <w:rFonts w:ascii="Cambria Math" w:hAnsi="Cambria Math"/>
                  </w:rPr>
                  <m:t>yd</m:t>
                </m:r>
              </m:sub>
            </m:sSub>
          </m:den>
        </m:f>
      </m:oMath>
      <w:r w:rsidR="00D06E2D" w:rsidRPr="00BC31E0">
        <w:rPr>
          <w:rFonts w:hint="eastAsia"/>
          <w:iCs/>
        </w:rPr>
        <w:t xml:space="preserve"> </w:t>
      </w:r>
      <w:r w:rsidR="00185C78" w:rsidRPr="00BC31E0">
        <w:rPr>
          <w:rFonts w:hint="eastAsia"/>
        </w:rPr>
        <w:t>は，各材料間で比べて，最も小さい値を用いる。</w:t>
      </w:r>
    </w:p>
    <w:p w14:paraId="7F826BE0" w14:textId="77777777" w:rsidR="00185C78" w:rsidRPr="00BC31E0" w:rsidRDefault="00185C78" w:rsidP="00736130">
      <w:pPr>
        <w:pStyle w:val="a4"/>
        <w:numPr>
          <w:ilvl w:val="0"/>
          <w:numId w:val="612"/>
        </w:numPr>
        <w:spacing w:before="120"/>
        <w:ind w:leftChars="0" w:left="454" w:hanging="454"/>
        <w:rPr>
          <w:bCs/>
        </w:rPr>
      </w:pPr>
      <w:r w:rsidRPr="00BC31E0">
        <w:rPr>
          <w:rFonts w:asciiTheme="majorEastAsia" w:eastAsiaTheme="majorEastAsia" w:hAnsiTheme="majorEastAsia" w:hint="eastAsia"/>
          <w:b/>
          <w:bCs/>
        </w:rPr>
        <w:t>圧力の制限</w:t>
      </w:r>
      <w:r w:rsidRPr="00BC31E0">
        <w:rPr>
          <w:rFonts w:hint="eastAsia"/>
          <w:bCs/>
        </w:rPr>
        <w:t xml:space="preserve">　</w:t>
      </w:r>
      <w:r w:rsidRPr="00BC31E0">
        <w:rPr>
          <w:rFonts w:asciiTheme="majorEastAsia" w:eastAsiaTheme="majorEastAsia" w:hAnsiTheme="majorEastAsia" w:hint="eastAsia"/>
          <w:b/>
          <w:bCs/>
        </w:rPr>
        <w:t>4)</w:t>
      </w:r>
      <w:r w:rsidRPr="00BC31E0">
        <w:rPr>
          <w:rFonts w:hint="eastAsia"/>
        </w:rPr>
        <w:t>の規定を除き，耐圧試験圧力は</w:t>
      </w:r>
      <w:r w:rsidRPr="00BC31E0">
        <w:rPr>
          <w:rFonts w:asciiTheme="majorEastAsia" w:eastAsiaTheme="majorEastAsia" w:hAnsiTheme="majorEastAsia" w:hint="eastAsia"/>
          <w:b/>
          <w:bCs/>
        </w:rPr>
        <w:t>1)</w:t>
      </w:r>
      <w:r w:rsidRPr="00BC31E0">
        <w:rPr>
          <w:rFonts w:hint="eastAsia"/>
          <w:bCs/>
        </w:rPr>
        <w:t>～</w:t>
      </w:r>
      <w:r w:rsidRPr="00BC31E0">
        <w:rPr>
          <w:rFonts w:asciiTheme="majorEastAsia" w:eastAsiaTheme="majorEastAsia" w:hAnsiTheme="majorEastAsia" w:hint="eastAsia"/>
          <w:b/>
          <w:bCs/>
        </w:rPr>
        <w:t>3)</w:t>
      </w:r>
      <w:r w:rsidRPr="00BC31E0">
        <w:rPr>
          <w:rFonts w:hint="eastAsia"/>
        </w:rPr>
        <w:t>の制限値を越えない。</w:t>
      </w:r>
      <w:r w:rsidRPr="00BC31E0">
        <w:rPr>
          <w:rFonts w:asciiTheme="majorEastAsia" w:eastAsiaTheme="majorEastAsia" w:hAnsiTheme="majorEastAsia" w:hint="eastAsia"/>
          <w:b/>
          <w:bCs/>
        </w:rPr>
        <w:t>6.2.2 a</w:t>
      </w:r>
      <w:r w:rsidRPr="00BC31E0">
        <w:rPr>
          <w:rFonts w:hAnsi="ＭＳ ゴシック" w:hint="eastAsia"/>
          <w:bCs/>
        </w:rPr>
        <w:t>)</w:t>
      </w:r>
      <w:r w:rsidRPr="00BC31E0">
        <w:rPr>
          <w:rFonts w:hint="eastAsia"/>
        </w:rPr>
        <w:t>で設定した設計圧力と耐圧試験圧力の比が</w:t>
      </w:r>
      <w:r w:rsidRPr="00BC31E0">
        <w:rPr>
          <w:rFonts w:hint="eastAsia"/>
        </w:rPr>
        <w:t>1.25</w:t>
      </w:r>
      <w:r w:rsidRPr="00BC31E0">
        <w:rPr>
          <w:rFonts w:hint="eastAsia"/>
        </w:rPr>
        <w:t>を超える場合，耐圧試験により全断面降伏や過大な変形を生じる可能性があるので注意を払わなければならない。設計者は非円形胴及び閉止板，その他の耐圧部分に対して耐圧試験を実施することによって，その健全性が損なわれないように注意を払わなければならない。</w:t>
      </w:r>
    </w:p>
    <w:p w14:paraId="497168DC" w14:textId="77777777" w:rsidR="00185C78" w:rsidRPr="00BC31E0" w:rsidRDefault="00185C78" w:rsidP="00736130">
      <w:pPr>
        <w:pStyle w:val="a4"/>
        <w:numPr>
          <w:ilvl w:val="0"/>
          <w:numId w:val="613"/>
        </w:numPr>
        <w:ind w:leftChars="0" w:left="738" w:hanging="454"/>
        <w:rPr>
          <w:rFonts w:asciiTheme="majorEastAsia" w:eastAsiaTheme="majorEastAsia" w:hAnsiTheme="majorEastAsia"/>
          <w:b/>
        </w:rPr>
      </w:pPr>
      <w:r w:rsidRPr="00BC31E0">
        <w:rPr>
          <w:rFonts w:asciiTheme="majorEastAsia" w:eastAsiaTheme="majorEastAsia" w:hAnsiTheme="majorEastAsia" w:hint="eastAsia"/>
          <w:b/>
        </w:rPr>
        <w:t>単肉胴</w:t>
      </w:r>
    </w:p>
    <w:p w14:paraId="1ED09CC3" w14:textId="77777777" w:rsidR="00185C78" w:rsidRPr="00BC31E0" w:rsidRDefault="00185C78" w:rsidP="005D5EBF">
      <w:pPr>
        <w:ind w:left="737"/>
      </w:pPr>
      <w:r w:rsidRPr="00BC31E0">
        <w:rPr>
          <w:rFonts w:hint="eastAsia"/>
        </w:rPr>
        <w:t>開放端円筒胴</w:t>
      </w:r>
      <w:r w:rsidRPr="00BC31E0">
        <w:rPr>
          <w:rFonts w:hint="eastAsia"/>
        </w:rPr>
        <w:t>(</w:t>
      </w:r>
      <m:oMath>
        <m:r>
          <w:rPr>
            <w:rFonts w:ascii="Cambria Math" w:hAnsi="Cambria Math"/>
          </w:rPr>
          <m:t>Y</m:t>
        </m:r>
        <m:r>
          <m:rPr>
            <m:sty m:val="p"/>
          </m:rPr>
          <w:rPr>
            <w:rFonts w:ascii="Cambria Math" w:hAnsi="Cambria Math" w:hint="eastAsia"/>
          </w:rPr>
          <m:t>≦</m:t>
        </m:r>
        <m:r>
          <w:rPr>
            <w:rFonts w:ascii="Cambria Math" w:hAnsi="Cambria Math" w:hint="eastAsia"/>
          </w:rPr>
          <m:t>2.85</m:t>
        </m:r>
      </m:oMath>
      <w:r w:rsidRPr="00BC31E0">
        <w:rPr>
          <w:rFonts w:hint="eastAsia"/>
        </w:rPr>
        <w:t>)</w:t>
      </w:r>
    </w:p>
    <w:p w14:paraId="441A9A57" w14:textId="77777777" w:rsidR="00185C78" w:rsidRPr="00BC31E0" w:rsidRDefault="00185C78" w:rsidP="00A71202">
      <w:pPr>
        <w:tabs>
          <w:tab w:val="left" w:pos="3402"/>
          <w:tab w:val="left" w:leader="middleDot" w:pos="8222"/>
        </w:tabs>
      </w:pPr>
      <w:r w:rsidRPr="00BC31E0">
        <w:rPr>
          <w:rFonts w:hint="eastAsia"/>
        </w:rPr>
        <w:tab/>
      </w:r>
      <m:oMath>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=3.</m:t>
        </m:r>
        <m:r>
          <w:rPr>
            <w:rFonts w:ascii="Cambria Math" w:hAnsi="Cambria Math" w:hint="eastAsia"/>
          </w:rPr>
          <m:t>732</m:t>
        </m:r>
        <m:sSub>
          <m:sSubPr>
            <m:ctrlPr>
              <w:rPr>
                <w:rFonts w:ascii="Cambria Math" w:hAnsi="Cambria Math"/>
                <w:i/>
              </w:rPr>
            </m:ctrlPr>
          </m:sSubPr>
          <m:e>
            <m:r>
              <w:rPr>
                <w:rFonts w:ascii="Cambria Math" w:hAnsi="Cambria Math"/>
              </w:rPr>
              <m:t>K</m:t>
            </m:r>
          </m:e>
          <m:sub>
            <m:r>
              <w:rPr>
                <w:rFonts w:ascii="Cambria Math" w:hAnsi="Cambria Math"/>
              </w:rPr>
              <m:t>ut</m:t>
            </m:r>
          </m:sub>
        </m:sSub>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y</m:t>
            </m:r>
          </m:sub>
        </m:sSub>
        <m:r>
          <w:rPr>
            <w:rFonts w:ascii="Cambria Math" w:hAnsi="Cambria Math"/>
          </w:rPr>
          <m:t xml:space="preserve"> </m:t>
        </m:r>
        <m:d>
          <m:dPr>
            <m:ctrlPr>
              <w:rPr>
                <w:rFonts w:ascii="Cambria Math" w:hAnsi="Cambria Math"/>
                <w:i/>
              </w:rPr>
            </m:ctrlPr>
          </m:dPr>
          <m:e>
            <m:sSup>
              <m:sSupPr>
                <m:ctrlPr>
                  <w:rPr>
                    <w:rFonts w:ascii="Cambria Math" w:hAnsi="Cambria Math"/>
                    <w:i/>
                  </w:rPr>
                </m:ctrlPr>
              </m:sSupPr>
              <m:e>
                <m:r>
                  <w:rPr>
                    <w:rFonts w:ascii="Cambria Math" w:hAnsi="Cambria Math"/>
                  </w:rPr>
                  <m:t>Y</m:t>
                </m:r>
              </m:e>
              <m:sup>
                <m:r>
                  <w:rPr>
                    <w:rFonts w:ascii="Cambria Math" w:hAnsi="Cambria Math"/>
                  </w:rPr>
                  <m:t>0.268</m:t>
                </m:r>
              </m:sup>
            </m:sSup>
            <m:r>
              <w:rPr>
                <w:rFonts w:ascii="Cambria Math" w:hAnsi="Cambria Math"/>
              </w:rPr>
              <m:t>-1</m:t>
            </m:r>
          </m:e>
        </m:d>
      </m:oMath>
      <w:r w:rsidRPr="00BC31E0">
        <w:rPr>
          <w:rFonts w:hint="eastAsia"/>
        </w:rPr>
        <w:tab/>
        <w:t>(10.3.2)</w:t>
      </w:r>
    </w:p>
    <w:p w14:paraId="4B9FC99B" w14:textId="77777777" w:rsidR="00185C78" w:rsidRPr="00BC31E0" w:rsidRDefault="00185C78" w:rsidP="005D5EBF">
      <w:pPr>
        <w:spacing w:before="120" w:after="120"/>
        <w:ind w:left="737"/>
      </w:pPr>
      <w:r w:rsidRPr="00BC31E0">
        <w:rPr>
          <w:rFonts w:hint="eastAsia"/>
        </w:rPr>
        <w:t>開放端円筒胴</w:t>
      </w:r>
      <w:r w:rsidRPr="00BC31E0">
        <w:rPr>
          <w:rFonts w:hint="eastAsia"/>
        </w:rPr>
        <w:t>(</w:t>
      </w:r>
      <m:oMath>
        <m:r>
          <w:rPr>
            <w:rFonts w:ascii="Cambria Math" w:hAnsi="Cambria Math"/>
          </w:rPr>
          <m:t>Y&gt;2.85</m:t>
        </m:r>
      </m:oMath>
      <w:r w:rsidRPr="00BC31E0">
        <w:rPr>
          <w:rFonts w:hint="eastAsia"/>
        </w:rPr>
        <w:t>)</w:t>
      </w:r>
      <w:r w:rsidRPr="00BC31E0">
        <w:rPr>
          <w:rFonts w:hint="eastAsia"/>
        </w:rPr>
        <w:t>及び閉止端円筒胴</w:t>
      </w:r>
    </w:p>
    <w:p w14:paraId="4C061C85" w14:textId="77777777" w:rsidR="00185C78" w:rsidRPr="00BC31E0" w:rsidRDefault="00185C78" w:rsidP="00A71202">
      <w:pPr>
        <w:tabs>
          <w:tab w:val="left" w:pos="3402"/>
          <w:tab w:val="left" w:leader="middleDot" w:pos="8222"/>
        </w:tabs>
      </w:pPr>
      <w:r w:rsidRPr="00BC31E0">
        <w:rPr>
          <w:rFonts w:hint="eastAsia"/>
        </w:rPr>
        <w:tab/>
      </w:r>
      <m:oMath>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1.155</m:t>
            </m:r>
            <m:sSub>
              <m:sSubPr>
                <m:ctrlPr>
                  <w:rPr>
                    <w:rFonts w:ascii="Cambria Math" w:hAnsi="Cambria Math"/>
                    <w:i/>
                  </w:rPr>
                </m:ctrlPr>
              </m:sSubPr>
              <m:e>
                <m:r>
                  <w:rPr>
                    <w:rFonts w:ascii="Cambria Math" w:hAnsi="Cambria Math"/>
                  </w:rPr>
                  <m:t>K</m:t>
                </m:r>
              </m:e>
              <m:sub>
                <m:r>
                  <w:rPr>
                    <w:rFonts w:ascii="Cambria Math" w:hAnsi="Cambria Math"/>
                  </w:rPr>
                  <m:t>ut</m:t>
                </m:r>
              </m:sub>
            </m:sSub>
            <m:r>
              <w:rPr>
                <w:rFonts w:ascii="Cambria Math" w:hAnsi="Cambria Math"/>
              </w:rPr>
              <m:t>S</m:t>
            </m:r>
          </m:e>
          <m:sub>
            <m:r>
              <w:rPr>
                <w:rFonts w:ascii="Cambria Math" w:hAnsi="Cambria Math"/>
              </w:rPr>
              <m:t>y</m:t>
            </m:r>
          </m:sub>
        </m:sSub>
        <m:r>
          <w:rPr>
            <w:rFonts w:ascii="Cambria Math" w:hAnsi="Cambria Math"/>
          </w:rPr>
          <m:t xml:space="preserve"> </m:t>
        </m:r>
        <m:r>
          <m:rPr>
            <m:sty m:val="bi"/>
          </m:rPr>
          <w:rPr>
            <w:rFonts w:ascii="Cambria Math" w:hAnsi="Cambria Math"/>
          </w:rPr>
          <m:t>ln</m:t>
        </m:r>
        <m:d>
          <m:dPr>
            <m:ctrlPr>
              <w:rPr>
                <w:rFonts w:ascii="Cambria Math" w:hAnsi="Cambria Math"/>
                <w:i/>
              </w:rPr>
            </m:ctrlPr>
          </m:dPr>
          <m:e>
            <m:r>
              <w:rPr>
                <w:rFonts w:ascii="Cambria Math" w:hAnsi="Cambria Math"/>
              </w:rPr>
              <m:t>Y</m:t>
            </m:r>
          </m:e>
        </m:d>
      </m:oMath>
      <w:r w:rsidRPr="00BC31E0">
        <w:rPr>
          <w:rFonts w:hint="eastAsia"/>
        </w:rPr>
        <w:tab/>
        <w:t>(10.3.3)</w:t>
      </w:r>
    </w:p>
    <w:p w14:paraId="2180F2A9" w14:textId="77777777" w:rsidR="00185C78" w:rsidRPr="00BC31E0" w:rsidRDefault="00185C78" w:rsidP="005D5EBF">
      <w:pPr>
        <w:ind w:left="737"/>
      </w:pPr>
      <w:r w:rsidRPr="00BC31E0">
        <w:rPr>
          <w:rFonts w:hint="eastAsia"/>
        </w:rPr>
        <w:t>球形胴</w:t>
      </w:r>
    </w:p>
    <w:p w14:paraId="6AE9F6CA" w14:textId="77777777" w:rsidR="00185C78" w:rsidRPr="00BC31E0" w:rsidRDefault="00185C78" w:rsidP="00A71202">
      <w:pPr>
        <w:tabs>
          <w:tab w:val="left" w:pos="3402"/>
          <w:tab w:val="left" w:leader="middleDot" w:pos="8222"/>
        </w:tabs>
      </w:pPr>
      <w:r w:rsidRPr="00BC31E0">
        <w:rPr>
          <w:rFonts w:hint="eastAsia"/>
        </w:rPr>
        <w:tab/>
      </w:r>
      <m:oMath>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2</m:t>
            </m:r>
            <m:sSub>
              <m:sSubPr>
                <m:ctrlPr>
                  <w:rPr>
                    <w:rFonts w:ascii="Cambria Math" w:hAnsi="Cambria Math"/>
                    <w:i/>
                  </w:rPr>
                </m:ctrlPr>
              </m:sSubPr>
              <m:e>
                <m:r>
                  <w:rPr>
                    <w:rFonts w:ascii="Cambria Math" w:hAnsi="Cambria Math"/>
                  </w:rPr>
                  <m:t>K</m:t>
                </m:r>
              </m:e>
              <m:sub>
                <m:r>
                  <w:rPr>
                    <w:rFonts w:ascii="Cambria Math" w:hAnsi="Cambria Math"/>
                  </w:rPr>
                  <m:t>ut</m:t>
                </m:r>
              </m:sub>
            </m:sSub>
            <m:r>
              <w:rPr>
                <w:rFonts w:ascii="Cambria Math" w:hAnsi="Cambria Math"/>
              </w:rPr>
              <m:t xml:space="preserve"> S</m:t>
            </m:r>
          </m:e>
          <m:sub>
            <m:r>
              <w:rPr>
                <w:rFonts w:ascii="Cambria Math" w:hAnsi="Cambria Math"/>
              </w:rPr>
              <m:t>y</m:t>
            </m:r>
          </m:sub>
        </m:sSub>
        <m:r>
          <w:rPr>
            <w:rFonts w:ascii="Cambria Math" w:hAnsi="Cambria Math"/>
          </w:rPr>
          <m:t xml:space="preserve"> </m:t>
        </m:r>
        <m:r>
          <m:rPr>
            <m:sty m:val="bi"/>
          </m:rPr>
          <w:rPr>
            <w:rFonts w:ascii="Cambria Math" w:hAnsi="Cambria Math"/>
          </w:rPr>
          <m:t>ln</m:t>
        </m:r>
        <m:d>
          <m:dPr>
            <m:ctrlPr>
              <w:rPr>
                <w:rFonts w:ascii="Cambria Math" w:hAnsi="Cambria Math"/>
                <w:i/>
              </w:rPr>
            </m:ctrlPr>
          </m:dPr>
          <m:e>
            <m:r>
              <w:rPr>
                <w:rFonts w:ascii="Cambria Math" w:hAnsi="Cambria Math"/>
              </w:rPr>
              <m:t>Y</m:t>
            </m:r>
          </m:e>
        </m:d>
      </m:oMath>
      <w:r w:rsidRPr="00BC31E0">
        <w:rPr>
          <w:rFonts w:hint="eastAsia"/>
        </w:rPr>
        <w:tab/>
        <w:t>(10.3.4)</w:t>
      </w:r>
    </w:p>
    <w:p w14:paraId="2CAD8278" w14:textId="77777777" w:rsidR="00185C78" w:rsidRPr="00BC31E0" w:rsidRDefault="00185C78" w:rsidP="00EA563E">
      <w:pPr>
        <w:autoSpaceDE w:val="0"/>
        <w:autoSpaceDN w:val="0"/>
        <w:ind w:left="737" w:firstLine="227"/>
      </w:pPr>
      <w:r w:rsidRPr="00BC31E0">
        <w:rPr>
          <w:rFonts w:hint="eastAsia"/>
        </w:rPr>
        <w:t>ここで，</w:t>
      </w:r>
    </w:p>
    <w:p w14:paraId="1772FC67" w14:textId="77777777" w:rsidR="00185C78" w:rsidRPr="00BC31E0" w:rsidRDefault="00A51873" w:rsidP="00A43000">
      <w:pPr>
        <w:tabs>
          <w:tab w:val="left" w:pos="1843"/>
        </w:tabs>
        <w:autoSpaceDE w:val="0"/>
        <w:autoSpaceDN w:val="0"/>
        <w:ind w:left="1474"/>
      </w:pPr>
      <m:oMath>
        <m:sSub>
          <m:sSubPr>
            <m:ctrlPr>
              <w:rPr>
                <w:rFonts w:ascii="Cambria Math" w:hAnsi="Cambria Math"/>
                <w:i/>
                <w:iCs/>
              </w:rPr>
            </m:ctrlPr>
          </m:sSubPr>
          <m:e>
            <m:r>
              <w:rPr>
                <w:rFonts w:ascii="Cambria Math" w:hAnsi="Cambria Math"/>
              </w:rPr>
              <m:t>S</m:t>
            </m:r>
          </m:e>
          <m:sub>
            <m:r>
              <w:rPr>
                <w:rFonts w:ascii="Cambria Math" w:hAnsi="Cambria Math"/>
              </w:rPr>
              <m:t>y</m:t>
            </m:r>
          </m:sub>
        </m:sSub>
      </m:oMath>
      <w:r w:rsidR="00185C78" w:rsidRPr="00BC31E0">
        <w:rPr>
          <w:rFonts w:ascii="Cambria Math" w:eastAsiaTheme="minorEastAsia" w:hAnsi="Cambria Math" w:hint="eastAsia"/>
          <w:iCs/>
        </w:rPr>
        <w:tab/>
      </w:r>
      <w:r w:rsidR="00185C78" w:rsidRPr="00BC31E0">
        <w:rPr>
          <w:rFonts w:hint="eastAsia"/>
        </w:rPr>
        <w:t>：</w:t>
      </w:r>
      <w:r w:rsidR="00185C78" w:rsidRPr="00BC31E0">
        <w:t xml:space="preserve"> </w:t>
      </w:r>
      <w:r w:rsidR="00185C78" w:rsidRPr="00BC31E0">
        <w:rPr>
          <w:rFonts w:hint="eastAsia"/>
        </w:rPr>
        <w:t>試験温度における降伏強さ</w:t>
      </w:r>
      <w:r w:rsidR="00185C78" w:rsidRPr="00BC31E0">
        <w:rPr>
          <w:rFonts w:hint="eastAsia"/>
        </w:rPr>
        <w:t>(</w:t>
      </w:r>
      <w:r w:rsidR="00185C78" w:rsidRPr="00BC31E0">
        <w:rPr>
          <w:rFonts w:ascii="Cambria Math" w:hAnsi="Cambria Math"/>
        </w:rPr>
        <w:t>MPa</w:t>
      </w:r>
      <w:r w:rsidR="00185C78" w:rsidRPr="00BC31E0">
        <w:rPr>
          <w:rFonts w:hint="eastAsia"/>
        </w:rPr>
        <w:t>)</w:t>
      </w:r>
    </w:p>
    <w:p w14:paraId="3149C7D9" w14:textId="77777777" w:rsidR="00185C78" w:rsidRPr="00BC31E0" w:rsidRDefault="00A51873" w:rsidP="00A43000">
      <w:pPr>
        <w:tabs>
          <w:tab w:val="left" w:pos="1843"/>
        </w:tabs>
        <w:autoSpaceDE w:val="0"/>
        <w:autoSpaceDN w:val="0"/>
        <w:ind w:left="1474"/>
      </w:pPr>
      <m:oMath>
        <m:sSub>
          <m:sSubPr>
            <m:ctrlPr>
              <w:rPr>
                <w:rFonts w:ascii="Cambria Math" w:hAnsi="Cambria Math"/>
                <w:i/>
                <w:iCs/>
              </w:rPr>
            </m:ctrlPr>
          </m:sSubPr>
          <m:e>
            <m:r>
              <w:rPr>
                <w:rFonts w:ascii="Cambria Math" w:hAnsi="Cambria Math"/>
              </w:rPr>
              <m:t>S</m:t>
            </m:r>
          </m:e>
          <m:sub>
            <m:r>
              <w:rPr>
                <w:rFonts w:ascii="Cambria Math" w:hAnsi="Cambria Math"/>
              </w:rPr>
              <m:t>u</m:t>
            </m:r>
          </m:sub>
        </m:sSub>
      </m:oMath>
      <w:r w:rsidR="00185C78" w:rsidRPr="00BC31E0">
        <w:rPr>
          <w:rFonts w:ascii="Cambria Math" w:eastAsiaTheme="minorEastAsia" w:hAnsi="Cambria Math" w:hint="eastAsia"/>
          <w:iCs/>
        </w:rPr>
        <w:tab/>
      </w:r>
      <w:r w:rsidR="00185C78" w:rsidRPr="00BC31E0">
        <w:rPr>
          <w:rFonts w:hint="eastAsia"/>
        </w:rPr>
        <w:t>：</w:t>
      </w:r>
      <w:r w:rsidR="00185C78" w:rsidRPr="00BC31E0">
        <w:t xml:space="preserve"> </w:t>
      </w:r>
      <w:r w:rsidR="00185C78" w:rsidRPr="00BC31E0">
        <w:rPr>
          <w:rFonts w:hint="eastAsia"/>
        </w:rPr>
        <w:t>試験温度における引張強さ</w:t>
      </w:r>
      <w:r w:rsidR="00185C78" w:rsidRPr="00BC31E0">
        <w:rPr>
          <w:rFonts w:hint="eastAsia"/>
        </w:rPr>
        <w:t>(</w:t>
      </w:r>
      <w:r w:rsidR="00185C78" w:rsidRPr="00BC31E0">
        <w:rPr>
          <w:rFonts w:ascii="Cambria Math" w:hAnsi="Cambria Math"/>
        </w:rPr>
        <w:t>MPa</w:t>
      </w:r>
      <w:r w:rsidR="00185C78" w:rsidRPr="00BC31E0">
        <w:rPr>
          <w:rFonts w:hint="eastAsia"/>
        </w:rPr>
        <w:t>)</w:t>
      </w:r>
    </w:p>
    <w:p w14:paraId="76848DCB" w14:textId="77777777" w:rsidR="00185C78" w:rsidRPr="00BC31E0" w:rsidRDefault="00185C78" w:rsidP="00A43000">
      <w:pPr>
        <w:tabs>
          <w:tab w:val="left" w:pos="1843"/>
        </w:tabs>
        <w:autoSpaceDE w:val="0"/>
        <w:autoSpaceDN w:val="0"/>
        <w:ind w:left="1474"/>
        <w:rPr>
          <w:lang w:val="es-ES"/>
        </w:rPr>
      </w:pPr>
      <m:oMath>
        <m:r>
          <w:rPr>
            <w:rFonts w:ascii="Cambria Math" w:hAnsi="Cambria Math"/>
            <w:lang w:val="es-ES"/>
          </w:rPr>
          <m:t>Y</m:t>
        </m:r>
      </m:oMath>
      <w:r w:rsidRPr="00BC31E0">
        <w:rPr>
          <w:rFonts w:asciiTheme="minorEastAsia" w:eastAsiaTheme="minorEastAsia" w:hAnsiTheme="minorEastAsia" w:hint="eastAsia"/>
          <w:iCs/>
          <w:lang w:val="es-ES"/>
        </w:rPr>
        <w:tab/>
      </w:r>
      <w:r w:rsidRPr="00BC31E0">
        <w:rPr>
          <w:rFonts w:hint="eastAsia"/>
          <w:lang w:val="es-ES"/>
        </w:rPr>
        <w:t>：</w:t>
      </w:r>
      <w:r w:rsidRPr="00BC31E0">
        <w:rPr>
          <w:rFonts w:hint="eastAsia"/>
          <w:lang w:val="es-ES"/>
        </w:rPr>
        <w:t xml:space="preserve"> </w:t>
      </w:r>
      <w:r w:rsidRPr="00BC31E0">
        <w:rPr>
          <w:rFonts w:hint="eastAsia"/>
        </w:rPr>
        <w:t>内外径比</w:t>
      </w:r>
      <w:r w:rsidRPr="00BC31E0">
        <w:rPr>
          <w:rFonts w:hint="eastAsia"/>
          <w:lang w:val="es-ES"/>
        </w:rPr>
        <w:t xml:space="preserve"> (</w:t>
      </w:r>
      <m:oMath>
        <m:f>
          <m:fPr>
            <m:type m:val="lin"/>
            <m:ctrlPr>
              <w:rPr>
                <w:rFonts w:ascii="Cambria Math" w:hAnsi="Cambria Math"/>
                <w:i/>
                <w:lang w:val="es-ES"/>
              </w:rPr>
            </m:ctrlPr>
          </m:fPr>
          <m:num>
            <m:sSub>
              <m:sSubPr>
                <m:ctrlPr>
                  <w:rPr>
                    <w:rFonts w:ascii="Cambria Math" w:hAnsi="Cambria Math"/>
                    <w:i/>
                    <w:lang w:val="es-ES"/>
                  </w:rPr>
                </m:ctrlPr>
              </m:sSubPr>
              <m:e>
                <m:r>
                  <w:rPr>
                    <w:rFonts w:ascii="Cambria Math" w:hAnsi="Cambria Math"/>
                    <w:lang w:val="es-ES"/>
                  </w:rPr>
                  <m:t>D</m:t>
                </m:r>
              </m:e>
              <m:sub>
                <m:r>
                  <w:rPr>
                    <w:rFonts w:ascii="Cambria Math" w:hAnsi="Cambria Math"/>
                    <w:lang w:val="es-ES"/>
                  </w:rPr>
                  <m:t>O</m:t>
                </m:r>
              </m:sub>
            </m:sSub>
          </m:num>
          <m:den>
            <m:sSub>
              <m:sSubPr>
                <m:ctrlPr>
                  <w:rPr>
                    <w:rFonts w:ascii="Cambria Math" w:hAnsi="Cambria Math"/>
                    <w:i/>
                    <w:lang w:val="es-ES"/>
                  </w:rPr>
                </m:ctrlPr>
              </m:sSubPr>
              <m:e>
                <m:r>
                  <w:rPr>
                    <w:rFonts w:ascii="Cambria Math" w:hAnsi="Cambria Math"/>
                    <w:lang w:val="es-ES"/>
                  </w:rPr>
                  <m:t>D</m:t>
                </m:r>
              </m:e>
              <m:sub>
                <m:r>
                  <w:rPr>
                    <w:rFonts w:ascii="Cambria Math" w:hAnsi="Cambria Math"/>
                    <w:lang w:val="es-ES"/>
                  </w:rPr>
                  <m:t>I</m:t>
                </m:r>
              </m:sub>
            </m:sSub>
          </m:den>
        </m:f>
      </m:oMath>
      <w:r w:rsidRPr="00BC31E0">
        <w:rPr>
          <w:iCs/>
          <w:lang w:val="es-ES"/>
        </w:rPr>
        <w:t>)</w:t>
      </w:r>
      <w:r w:rsidRPr="00BC31E0">
        <w:rPr>
          <w:rFonts w:hint="eastAsia"/>
          <w:lang w:val="es-ES"/>
        </w:rPr>
        <w:t xml:space="preserve"> </w:t>
      </w:r>
    </w:p>
    <w:p w14:paraId="5640AD44" w14:textId="77777777" w:rsidR="00185C78" w:rsidRPr="00BC31E0" w:rsidRDefault="00A51873" w:rsidP="00A43000">
      <w:pPr>
        <w:tabs>
          <w:tab w:val="left" w:pos="1843"/>
        </w:tabs>
        <w:autoSpaceDE w:val="0"/>
        <w:autoSpaceDN w:val="0"/>
        <w:ind w:left="1474"/>
        <w:rPr>
          <w:lang w:val="es-ES"/>
        </w:rPr>
      </w:pPr>
      <m:oMath>
        <m:sSub>
          <m:sSubPr>
            <m:ctrlPr>
              <w:rPr>
                <w:rFonts w:ascii="Cambria Math" w:hAnsi="Cambria Math"/>
                <w:i/>
                <w:iCs/>
                <w:lang w:val="es-ES"/>
              </w:rPr>
            </m:ctrlPr>
          </m:sSubPr>
          <m:e>
            <m:r>
              <w:rPr>
                <w:rFonts w:ascii="Cambria Math" w:hAnsi="Cambria Math"/>
                <w:lang w:val="es-ES"/>
              </w:rPr>
              <m:t>D</m:t>
            </m:r>
          </m:e>
          <m:sub>
            <m:r>
              <w:rPr>
                <w:rFonts w:ascii="Cambria Math" w:hAnsi="Cambria Math"/>
                <w:lang w:val="es-ES"/>
              </w:rPr>
              <m:t>O</m:t>
            </m:r>
          </m:sub>
        </m:sSub>
      </m:oMath>
      <w:r w:rsidR="00185C78" w:rsidRPr="00BC31E0">
        <w:rPr>
          <w:rFonts w:asciiTheme="minorEastAsia" w:eastAsiaTheme="minorEastAsia" w:hAnsiTheme="minorEastAsia" w:hint="eastAsia"/>
          <w:iCs/>
          <w:lang w:val="es-ES"/>
        </w:rPr>
        <w:tab/>
      </w:r>
      <w:r w:rsidR="00185C78" w:rsidRPr="00BC31E0">
        <w:rPr>
          <w:rFonts w:hint="eastAsia"/>
          <w:lang w:val="es-ES"/>
        </w:rPr>
        <w:t>：</w:t>
      </w:r>
      <w:r w:rsidR="00185C78" w:rsidRPr="00BC31E0">
        <w:rPr>
          <w:lang w:val="es-ES"/>
        </w:rPr>
        <w:t xml:space="preserve"> </w:t>
      </w:r>
      <w:r w:rsidR="00185C78" w:rsidRPr="00BC31E0">
        <w:rPr>
          <w:rFonts w:hint="eastAsia"/>
        </w:rPr>
        <w:t>外径</w:t>
      </w:r>
      <w:r w:rsidR="00185C78" w:rsidRPr="00BC31E0">
        <w:rPr>
          <w:rFonts w:hint="eastAsia"/>
          <w:lang w:val="es-ES"/>
        </w:rPr>
        <w:t>(</w:t>
      </w:r>
      <w:r w:rsidR="00185C78" w:rsidRPr="00BC31E0">
        <w:rPr>
          <w:rFonts w:asciiTheme="minorHAnsi" w:hAnsiTheme="minorHAnsi"/>
          <w:lang w:val="es-ES"/>
        </w:rPr>
        <w:t>mm</w:t>
      </w:r>
      <w:r w:rsidR="00185C78" w:rsidRPr="00BC31E0">
        <w:rPr>
          <w:rFonts w:hint="eastAsia"/>
          <w:lang w:val="es-ES"/>
        </w:rPr>
        <w:t>)</w:t>
      </w:r>
    </w:p>
    <w:p w14:paraId="0A43E1BF" w14:textId="77777777" w:rsidR="00185C78" w:rsidRPr="00BC31E0" w:rsidRDefault="00A51873" w:rsidP="00A43000">
      <w:pPr>
        <w:tabs>
          <w:tab w:val="left" w:pos="1843"/>
        </w:tabs>
        <w:autoSpaceDE w:val="0"/>
        <w:autoSpaceDN w:val="0"/>
        <w:ind w:left="1474"/>
        <w:rPr>
          <w:lang w:val="es-ES"/>
        </w:rPr>
      </w:pPr>
      <m:oMath>
        <m:sSub>
          <m:sSubPr>
            <m:ctrlPr>
              <w:rPr>
                <w:rFonts w:ascii="Cambria Math" w:hAnsi="Cambria Math"/>
                <w:i/>
                <w:iCs/>
                <w:lang w:val="es-ES"/>
              </w:rPr>
            </m:ctrlPr>
          </m:sSubPr>
          <m:e>
            <m:r>
              <w:rPr>
                <w:rFonts w:ascii="Cambria Math" w:hAnsi="Cambria Math"/>
                <w:lang w:val="es-ES"/>
              </w:rPr>
              <m:t>D</m:t>
            </m:r>
          </m:e>
          <m:sub>
            <m:r>
              <w:rPr>
                <w:rFonts w:ascii="Cambria Math" w:hAnsi="Cambria Math"/>
                <w:lang w:val="es-ES"/>
              </w:rPr>
              <m:t>I</m:t>
            </m:r>
          </m:sub>
        </m:sSub>
      </m:oMath>
      <w:r w:rsidR="00185C78" w:rsidRPr="00BC31E0">
        <w:rPr>
          <w:rFonts w:asciiTheme="minorEastAsia" w:eastAsiaTheme="minorEastAsia" w:hAnsiTheme="minorEastAsia" w:hint="eastAsia"/>
          <w:iCs/>
          <w:lang w:val="es-ES"/>
        </w:rPr>
        <w:tab/>
      </w:r>
      <w:r w:rsidR="00185C78" w:rsidRPr="00BC31E0">
        <w:rPr>
          <w:rFonts w:hint="eastAsia"/>
          <w:lang w:val="es-ES"/>
        </w:rPr>
        <w:t>：</w:t>
      </w:r>
      <w:r w:rsidR="00185C78" w:rsidRPr="00BC31E0">
        <w:rPr>
          <w:lang w:val="es-ES"/>
        </w:rPr>
        <w:t xml:space="preserve"> </w:t>
      </w:r>
      <w:r w:rsidR="00185C78" w:rsidRPr="00BC31E0">
        <w:rPr>
          <w:rFonts w:hint="eastAsia"/>
        </w:rPr>
        <w:t>内径</w:t>
      </w:r>
      <w:r w:rsidR="00185C78" w:rsidRPr="00BC31E0">
        <w:rPr>
          <w:rFonts w:hint="eastAsia"/>
          <w:lang w:val="es-ES"/>
        </w:rPr>
        <w:t>(</w:t>
      </w:r>
      <w:r w:rsidR="00185C78" w:rsidRPr="00BC31E0">
        <w:rPr>
          <w:rFonts w:asciiTheme="minorHAnsi" w:hAnsiTheme="minorHAnsi"/>
          <w:lang w:val="es-ES"/>
        </w:rPr>
        <w:t>mm</w:t>
      </w:r>
      <w:r w:rsidR="00185C78" w:rsidRPr="00BC31E0">
        <w:rPr>
          <w:rFonts w:hint="eastAsia"/>
          <w:lang w:val="es-ES"/>
        </w:rPr>
        <w:t>)</w:t>
      </w:r>
    </w:p>
    <w:p w14:paraId="69382045" w14:textId="77777777" w:rsidR="00185C78" w:rsidRPr="00BC31E0" w:rsidRDefault="00A51873" w:rsidP="00A43000">
      <w:pPr>
        <w:tabs>
          <w:tab w:val="left" w:pos="1843"/>
        </w:tabs>
        <w:autoSpaceDE w:val="0"/>
        <w:autoSpaceDN w:val="0"/>
        <w:ind w:left="1474"/>
      </w:pPr>
      <m:oMath>
        <m:sSub>
          <m:sSubPr>
            <m:ctrlPr>
              <w:rPr>
                <w:rFonts w:ascii="Cambria Math" w:hAnsi="Cambria Math"/>
                <w:i/>
                <w:iCs/>
              </w:rPr>
            </m:ctrlPr>
          </m:sSubPr>
          <m:e>
            <m:r>
              <w:rPr>
                <w:rFonts w:ascii="Cambria Math" w:hAnsi="Cambria Math"/>
              </w:rPr>
              <m:t>K</m:t>
            </m:r>
          </m:e>
          <m:sub>
            <m:r>
              <w:rPr>
                <w:rFonts w:ascii="Cambria Math" w:hAnsi="Cambria Math"/>
              </w:rPr>
              <m:t>ut</m:t>
            </m:r>
          </m:sub>
        </m:sSub>
      </m:oMath>
      <w:r w:rsidR="00185C78" w:rsidRPr="00BC31E0">
        <w:rPr>
          <w:rFonts w:ascii="Cambria Math" w:eastAsiaTheme="minorEastAsia" w:hAnsi="Cambria Math" w:hint="eastAsia"/>
          <w:iCs/>
        </w:rPr>
        <w:tab/>
      </w:r>
      <w:r w:rsidR="00185C78" w:rsidRPr="00BC31E0">
        <w:rPr>
          <w:rFonts w:hint="eastAsia"/>
        </w:rPr>
        <w:t>：</w:t>
      </w:r>
      <w:r w:rsidR="00185C78" w:rsidRPr="00BC31E0">
        <w:t xml:space="preserve"> </w:t>
      </w:r>
      <w:r w:rsidR="00185C78" w:rsidRPr="00BC31E0">
        <w:rPr>
          <w:rFonts w:hint="eastAsia"/>
        </w:rPr>
        <w:t>耐圧試験の上限圧力に関する係数</w:t>
      </w:r>
    </w:p>
    <w:p w14:paraId="293AE6A3" w14:textId="77777777" w:rsidR="00185C78" w:rsidRPr="00BC31E0" w:rsidRDefault="00185C78" w:rsidP="00930C3E">
      <w:pPr>
        <w:tabs>
          <w:tab w:val="left" w:pos="2268"/>
          <w:tab w:val="left" w:pos="4962"/>
        </w:tabs>
        <w:autoSpaceDE w:val="0"/>
        <w:autoSpaceDN w:val="0"/>
        <w:rPr>
          <w:lang w:val="es-ES"/>
        </w:rPr>
      </w:pPr>
      <w:r w:rsidRPr="00BC31E0">
        <w:rPr>
          <w:rFonts w:hint="eastAsia"/>
          <w:lang w:val="es-ES"/>
        </w:rPr>
        <w:tab/>
      </w:r>
      <m:oMath>
        <m:f>
          <m:fPr>
            <m:type m:val="lin"/>
            <m:ctrlPr>
              <w:rPr>
                <w:rFonts w:ascii="Cambria Math" w:hAnsi="Cambria Math"/>
                <w:i/>
                <w:lang w:val="es-ES"/>
              </w:rPr>
            </m:ctrlPr>
          </m:fPr>
          <m:num>
            <m:sSub>
              <m:sSubPr>
                <m:ctrlPr>
                  <w:rPr>
                    <w:rFonts w:ascii="Cambria Math" w:hAnsi="Cambria Math"/>
                    <w:i/>
                    <w:lang w:val="es-ES"/>
                  </w:rPr>
                </m:ctrlPr>
              </m:sSubPr>
              <m:e>
                <m:r>
                  <w:rPr>
                    <w:rFonts w:ascii="Cambria Math" w:hAnsi="Cambria Math"/>
                    <w:lang w:val="es-ES"/>
                  </w:rPr>
                  <m:t>S</m:t>
                </m:r>
              </m:e>
              <m:sub>
                <m:r>
                  <w:rPr>
                    <w:rFonts w:ascii="Cambria Math" w:hAnsi="Cambria Math"/>
                    <w:lang w:val="es-ES"/>
                  </w:rPr>
                  <m:t>y</m:t>
                </m:r>
              </m:sub>
            </m:sSub>
          </m:num>
          <m:den>
            <m:sSub>
              <m:sSubPr>
                <m:ctrlPr>
                  <w:rPr>
                    <w:rFonts w:ascii="Cambria Math" w:hAnsi="Cambria Math"/>
                    <w:i/>
                    <w:lang w:val="es-ES"/>
                  </w:rPr>
                </m:ctrlPr>
              </m:sSubPr>
              <m:e>
                <m:r>
                  <w:rPr>
                    <w:rFonts w:ascii="Cambria Math" w:hAnsi="Cambria Math"/>
                    <w:lang w:val="es-ES"/>
                  </w:rPr>
                  <m:t>S</m:t>
                </m:r>
              </m:e>
              <m:sub>
                <m:r>
                  <w:rPr>
                    <w:rFonts w:ascii="Cambria Math" w:hAnsi="Cambria Math"/>
                    <w:lang w:val="es-ES"/>
                  </w:rPr>
                  <m:t>u</m:t>
                </m:r>
              </m:sub>
            </m:sSub>
            <m:r>
              <w:rPr>
                <w:rFonts w:ascii="Cambria Math" w:hAnsi="Cambria Math"/>
                <w:lang w:val="es-ES"/>
              </w:rPr>
              <m:t>≤0.7</m:t>
            </m:r>
          </m:den>
        </m:f>
      </m:oMath>
      <w:r w:rsidRPr="00BC31E0">
        <w:rPr>
          <w:rFonts w:hint="eastAsia"/>
          <w:lang w:val="es-ES"/>
        </w:rPr>
        <w:t xml:space="preserve"> </w:t>
      </w:r>
      <w:r w:rsidRPr="00BC31E0">
        <w:rPr>
          <w:rFonts w:hint="eastAsia"/>
          <w:lang w:val="es-ES"/>
        </w:rPr>
        <w:t>の</w:t>
      </w:r>
      <w:r w:rsidR="00A84424" w:rsidRPr="00BC31E0">
        <w:rPr>
          <w:rFonts w:hint="eastAsia"/>
          <w:lang w:val="es-ES"/>
        </w:rPr>
        <w:t>とき，</w:t>
      </w:r>
      <w:r w:rsidR="00A71202" w:rsidRPr="00BC31E0">
        <w:rPr>
          <w:rFonts w:hint="eastAsia"/>
          <w:lang w:val="es-ES"/>
        </w:rPr>
        <w:tab/>
      </w:r>
      <m:oMath>
        <m:sSub>
          <m:sSubPr>
            <m:ctrlPr>
              <w:rPr>
                <w:rFonts w:ascii="Cambria Math" w:hAnsi="Cambria Math"/>
                <w:lang w:val="es-ES"/>
              </w:rPr>
            </m:ctrlPr>
          </m:sSubPr>
          <m:e>
            <m:r>
              <w:rPr>
                <w:rFonts w:ascii="Cambria Math" w:hAnsi="Cambria Math"/>
                <w:lang w:val="es-ES"/>
              </w:rPr>
              <m:t>K</m:t>
            </m:r>
          </m:e>
          <m:sub>
            <m:r>
              <w:rPr>
                <w:rFonts w:ascii="Cambria Math" w:hAnsi="Cambria Math"/>
                <w:lang w:val="es-ES"/>
              </w:rPr>
              <m:t>ut</m:t>
            </m:r>
          </m:sub>
        </m:sSub>
        <m:r>
          <m:rPr>
            <m:sty m:val="p"/>
          </m:rPr>
          <w:rPr>
            <w:rFonts w:ascii="Cambria Math" w:hAnsi="Cambria Math"/>
            <w:lang w:val="es-ES"/>
          </w:rPr>
          <m:t>=0.95</m:t>
        </m:r>
      </m:oMath>
    </w:p>
    <w:p w14:paraId="53AEC073" w14:textId="77777777" w:rsidR="00185C78" w:rsidRPr="00BC31E0" w:rsidRDefault="00185C78" w:rsidP="00930C3E">
      <w:pPr>
        <w:tabs>
          <w:tab w:val="left" w:pos="2268"/>
          <w:tab w:val="left" w:pos="4962"/>
        </w:tabs>
        <w:autoSpaceDE w:val="0"/>
        <w:autoSpaceDN w:val="0"/>
        <w:rPr>
          <w:lang w:val="es-ES"/>
        </w:rPr>
      </w:pPr>
      <w:r w:rsidRPr="00BC31E0">
        <w:rPr>
          <w:rFonts w:hint="eastAsia"/>
          <w:lang w:val="es-ES"/>
        </w:rPr>
        <w:tab/>
      </w:r>
      <m:oMath>
        <m:r>
          <m:rPr>
            <m:sty m:val="p"/>
          </m:rPr>
          <w:rPr>
            <w:rFonts w:ascii="Cambria Math" w:hAnsi="Cambria Math"/>
            <w:lang w:val="es-ES"/>
          </w:rPr>
          <m:t>0.7</m:t>
        </m:r>
        <m:r>
          <w:rPr>
            <w:rFonts w:ascii="Cambria Math" w:hAnsi="Cambria Math"/>
            <w:lang w:val="es-ES"/>
          </w:rPr>
          <m:t>&lt;</m:t>
        </m:r>
        <m:f>
          <m:fPr>
            <m:type m:val="lin"/>
            <m:ctrlPr>
              <w:rPr>
                <w:rFonts w:ascii="Cambria Math" w:hAnsi="Cambria Math"/>
                <w:lang w:val="es-ES"/>
              </w:rPr>
            </m:ctrlPr>
          </m:fPr>
          <m:num>
            <m:sSub>
              <m:sSubPr>
                <m:ctrlPr>
                  <w:rPr>
                    <w:rFonts w:ascii="Cambria Math" w:hAnsi="Cambria Math"/>
                    <w:i/>
                    <w:lang w:val="es-ES"/>
                  </w:rPr>
                </m:ctrlPr>
              </m:sSubPr>
              <m:e>
                <m:r>
                  <w:rPr>
                    <w:rFonts w:ascii="Cambria Math" w:hAnsi="Cambria Math"/>
                    <w:lang w:val="es-ES"/>
                  </w:rPr>
                  <m:t>S</m:t>
                </m:r>
              </m:e>
              <m:sub>
                <m:r>
                  <w:rPr>
                    <w:rFonts w:ascii="Cambria Math" w:hAnsi="Cambria Math"/>
                    <w:lang w:val="es-ES"/>
                  </w:rPr>
                  <m:t>y</m:t>
                </m:r>
              </m:sub>
            </m:sSub>
          </m:num>
          <m:den>
            <m:sSub>
              <m:sSubPr>
                <m:ctrlPr>
                  <w:rPr>
                    <w:rFonts w:ascii="Cambria Math" w:hAnsi="Cambria Math"/>
                    <w:i/>
                    <w:lang w:val="es-ES"/>
                  </w:rPr>
                </m:ctrlPr>
              </m:sSubPr>
              <m:e>
                <m:r>
                  <w:rPr>
                    <w:rFonts w:ascii="Cambria Math" w:hAnsi="Cambria Math"/>
                    <w:lang w:val="es-ES"/>
                  </w:rPr>
                  <m:t>S</m:t>
                </m:r>
              </m:e>
              <m:sub>
                <m:r>
                  <w:rPr>
                    <w:rFonts w:ascii="Cambria Math" w:hAnsi="Cambria Math"/>
                    <w:lang w:val="es-ES"/>
                  </w:rPr>
                  <m:t>u</m:t>
                </m:r>
              </m:sub>
            </m:sSub>
            <m:r>
              <w:rPr>
                <w:rFonts w:ascii="Cambria Math" w:hAnsi="Cambria Math"/>
                <w:lang w:val="es-ES"/>
              </w:rPr>
              <m:t>≤0.9</m:t>
            </m:r>
          </m:den>
        </m:f>
      </m:oMath>
      <w:r w:rsidRPr="00BC31E0">
        <w:rPr>
          <w:rFonts w:hint="eastAsia"/>
          <w:lang w:val="es-ES"/>
        </w:rPr>
        <w:t xml:space="preserve"> </w:t>
      </w:r>
      <w:r w:rsidRPr="00BC31E0">
        <w:rPr>
          <w:rFonts w:hint="eastAsia"/>
          <w:lang w:val="es-ES"/>
        </w:rPr>
        <w:t>の</w:t>
      </w:r>
      <w:r w:rsidR="00A84424" w:rsidRPr="00BC31E0">
        <w:rPr>
          <w:rFonts w:hint="eastAsia"/>
          <w:lang w:val="es-ES"/>
        </w:rPr>
        <w:t>とき，</w:t>
      </w:r>
      <w:r w:rsidR="00A71202" w:rsidRPr="00BC31E0">
        <w:rPr>
          <w:rFonts w:hint="eastAsia"/>
          <w:lang w:val="es-ES"/>
        </w:rPr>
        <w:tab/>
      </w:r>
      <m:oMath>
        <m:sSub>
          <m:sSubPr>
            <m:ctrlPr>
              <w:rPr>
                <w:rFonts w:ascii="Cambria Math" w:hAnsi="Cambria Math"/>
                <w:lang w:val="es-ES"/>
              </w:rPr>
            </m:ctrlPr>
          </m:sSubPr>
          <m:e>
            <m:r>
              <w:rPr>
                <w:rFonts w:ascii="Cambria Math" w:hAnsi="Cambria Math"/>
                <w:lang w:val="es-ES"/>
              </w:rPr>
              <m:t>K</m:t>
            </m:r>
          </m:e>
          <m:sub>
            <m:r>
              <w:rPr>
                <w:rFonts w:ascii="Cambria Math" w:hAnsi="Cambria Math"/>
                <w:lang w:val="es-ES"/>
              </w:rPr>
              <m:t>ut</m:t>
            </m:r>
          </m:sub>
        </m:sSub>
        <m:r>
          <m:rPr>
            <m:sty m:val="p"/>
          </m:rPr>
          <w:rPr>
            <w:rFonts w:ascii="Cambria Math" w:hAnsi="Cambria Math"/>
            <w:lang w:val="es-ES"/>
          </w:rPr>
          <m:t>=1.244-0.42</m:t>
        </m:r>
        <m:d>
          <m:dPr>
            <m:ctrlPr>
              <w:rPr>
                <w:rFonts w:ascii="Cambria Math" w:hAnsi="Cambria Math"/>
                <w:lang w:val="es-ES"/>
              </w:rPr>
            </m:ctrlPr>
          </m:dPr>
          <m:e>
            <m:f>
              <m:fPr>
                <m:type m:val="lin"/>
                <m:ctrlPr>
                  <w:rPr>
                    <w:rFonts w:ascii="Cambria Math" w:hAnsi="Cambria Math"/>
                    <w:i/>
                    <w:lang w:val="es-ES"/>
                  </w:rPr>
                </m:ctrlPr>
              </m:fPr>
              <m:num>
                <m:sSub>
                  <m:sSubPr>
                    <m:ctrlPr>
                      <w:rPr>
                        <w:rFonts w:ascii="Cambria Math" w:hAnsi="Cambria Math"/>
                        <w:i/>
                        <w:lang w:val="es-ES"/>
                      </w:rPr>
                    </m:ctrlPr>
                  </m:sSubPr>
                  <m:e>
                    <m:r>
                      <w:rPr>
                        <w:rFonts w:ascii="Cambria Math" w:hAnsi="Cambria Math"/>
                        <w:lang w:val="es-ES"/>
                      </w:rPr>
                      <m:t>S</m:t>
                    </m:r>
                  </m:e>
                  <m:sub>
                    <m:r>
                      <w:rPr>
                        <w:rFonts w:ascii="Cambria Math" w:hAnsi="Cambria Math"/>
                        <w:lang w:val="es-ES"/>
                      </w:rPr>
                      <m:t>y</m:t>
                    </m:r>
                  </m:sub>
                </m:sSub>
              </m:num>
              <m:den>
                <m:sSub>
                  <m:sSubPr>
                    <m:ctrlPr>
                      <w:rPr>
                        <w:rFonts w:ascii="Cambria Math" w:hAnsi="Cambria Math"/>
                        <w:i/>
                        <w:lang w:val="es-ES"/>
                      </w:rPr>
                    </m:ctrlPr>
                  </m:sSubPr>
                  <m:e>
                    <m:r>
                      <w:rPr>
                        <w:rFonts w:ascii="Cambria Math" w:hAnsi="Cambria Math"/>
                        <w:lang w:val="es-ES"/>
                      </w:rPr>
                      <m:t>S</m:t>
                    </m:r>
                  </m:e>
                  <m:sub>
                    <m:r>
                      <w:rPr>
                        <w:rFonts w:ascii="Cambria Math" w:hAnsi="Cambria Math"/>
                        <w:lang w:val="es-ES"/>
                      </w:rPr>
                      <m:t>u</m:t>
                    </m:r>
                  </m:sub>
                </m:sSub>
              </m:den>
            </m:f>
          </m:e>
        </m:d>
      </m:oMath>
    </w:p>
    <w:p w14:paraId="7219CF52" w14:textId="77777777" w:rsidR="00185C78" w:rsidRPr="00BC31E0" w:rsidRDefault="00185C78" w:rsidP="00930C3E">
      <w:pPr>
        <w:tabs>
          <w:tab w:val="left" w:pos="2268"/>
          <w:tab w:val="left" w:pos="4962"/>
        </w:tabs>
        <w:autoSpaceDE w:val="0"/>
        <w:autoSpaceDN w:val="0"/>
        <w:rPr>
          <w:lang w:val="es-ES"/>
        </w:rPr>
      </w:pPr>
      <w:r w:rsidRPr="00BC31E0">
        <w:rPr>
          <w:rFonts w:hint="eastAsia"/>
          <w:lang w:val="es-ES"/>
        </w:rPr>
        <w:tab/>
      </w:r>
      <m:oMath>
        <m:f>
          <m:fPr>
            <m:type m:val="lin"/>
            <m:ctrlPr>
              <w:rPr>
                <w:rFonts w:ascii="Cambria Math" w:hAnsi="Cambria Math"/>
                <w:lang w:val="es-ES"/>
              </w:rPr>
            </m:ctrlPr>
          </m:fPr>
          <m:num>
            <m:sSub>
              <m:sSubPr>
                <m:ctrlPr>
                  <w:rPr>
                    <w:rFonts w:ascii="Cambria Math" w:hAnsi="Cambria Math"/>
                    <w:i/>
                    <w:lang w:val="es-ES"/>
                  </w:rPr>
                </m:ctrlPr>
              </m:sSubPr>
              <m:e>
                <m:r>
                  <w:rPr>
                    <w:rFonts w:ascii="Cambria Math" w:hAnsi="Cambria Math"/>
                    <w:lang w:val="es-ES"/>
                  </w:rPr>
                  <m:t>S</m:t>
                </m:r>
              </m:e>
              <m:sub>
                <m:r>
                  <w:rPr>
                    <w:rFonts w:ascii="Cambria Math" w:hAnsi="Cambria Math"/>
                    <w:lang w:val="es-ES"/>
                  </w:rPr>
                  <m:t>y</m:t>
                </m:r>
              </m:sub>
            </m:sSub>
          </m:num>
          <m:den>
            <m:sSub>
              <m:sSubPr>
                <m:ctrlPr>
                  <w:rPr>
                    <w:rFonts w:ascii="Cambria Math" w:hAnsi="Cambria Math"/>
                    <w:i/>
                    <w:lang w:val="es-ES"/>
                  </w:rPr>
                </m:ctrlPr>
              </m:sSubPr>
              <m:e>
                <m:r>
                  <w:rPr>
                    <w:rFonts w:ascii="Cambria Math" w:hAnsi="Cambria Math"/>
                    <w:lang w:val="es-ES"/>
                  </w:rPr>
                  <m:t>S</m:t>
                </m:r>
              </m:e>
              <m:sub>
                <m:r>
                  <w:rPr>
                    <w:rFonts w:ascii="Cambria Math" w:hAnsi="Cambria Math"/>
                    <w:lang w:val="es-ES"/>
                  </w:rPr>
                  <m:t>u</m:t>
                </m:r>
              </m:sub>
            </m:sSub>
            <m:r>
              <w:rPr>
                <w:rFonts w:ascii="Cambria Math" w:hAnsi="Cambria Math"/>
                <w:lang w:val="es-ES"/>
              </w:rPr>
              <m:t>&gt;0.9</m:t>
            </m:r>
          </m:den>
        </m:f>
      </m:oMath>
      <w:r w:rsidRPr="00BC31E0">
        <w:rPr>
          <w:rFonts w:hint="eastAsia"/>
          <w:lang w:val="es-ES"/>
        </w:rPr>
        <w:t xml:space="preserve"> </w:t>
      </w:r>
      <w:r w:rsidRPr="00BC31E0">
        <w:rPr>
          <w:rFonts w:hint="eastAsia"/>
          <w:lang w:val="es-ES"/>
        </w:rPr>
        <w:t>の</w:t>
      </w:r>
      <w:r w:rsidR="00A84424" w:rsidRPr="00BC31E0">
        <w:rPr>
          <w:rFonts w:hint="eastAsia"/>
          <w:lang w:val="es-ES"/>
        </w:rPr>
        <w:t>とき，</w:t>
      </w:r>
      <w:r w:rsidRPr="00BC31E0">
        <w:rPr>
          <w:rFonts w:hint="eastAsia"/>
          <w:lang w:val="es-ES"/>
        </w:rPr>
        <w:t xml:space="preserve">　　　</w:t>
      </w:r>
      <w:r w:rsidRPr="00BC31E0">
        <w:rPr>
          <w:rFonts w:hint="eastAsia"/>
          <w:lang w:val="es-ES"/>
        </w:rPr>
        <w:tab/>
      </w:r>
      <m:oMath>
        <m:sSub>
          <m:sSubPr>
            <m:ctrlPr>
              <w:rPr>
                <w:rFonts w:ascii="Cambria Math" w:hAnsi="Cambria Math"/>
                <w:sz w:val="22"/>
                <w:szCs w:val="22"/>
                <w:lang w:val="es-ES"/>
              </w:rPr>
            </m:ctrlPr>
          </m:sSubPr>
          <m:e>
            <m:r>
              <w:rPr>
                <w:rFonts w:ascii="Cambria Math" w:hAnsi="Cambria Math"/>
                <w:sz w:val="22"/>
                <w:szCs w:val="22"/>
                <w:lang w:val="es-ES"/>
              </w:rPr>
              <m:t>K</m:t>
            </m:r>
          </m:e>
          <m:sub>
            <m:r>
              <w:rPr>
                <w:rFonts w:ascii="Cambria Math" w:hAnsi="Cambria Math"/>
                <w:sz w:val="22"/>
                <w:szCs w:val="22"/>
                <w:lang w:val="es-ES"/>
              </w:rPr>
              <m:t>ut</m:t>
            </m:r>
          </m:sub>
        </m:sSub>
        <m:r>
          <m:rPr>
            <m:sty m:val="p"/>
          </m:rPr>
          <w:rPr>
            <w:rFonts w:ascii="Cambria Math" w:hAnsi="Cambria Math"/>
            <w:sz w:val="22"/>
            <w:szCs w:val="22"/>
            <w:lang w:val="es-ES"/>
          </w:rPr>
          <m:t>=0.866</m:t>
        </m:r>
      </m:oMath>
    </w:p>
    <w:p w14:paraId="63336AEF" w14:textId="77777777" w:rsidR="00185C78" w:rsidRPr="00BC31E0" w:rsidRDefault="00185C78" w:rsidP="00736130">
      <w:pPr>
        <w:pStyle w:val="a4"/>
        <w:numPr>
          <w:ilvl w:val="0"/>
          <w:numId w:val="614"/>
        </w:numPr>
        <w:ind w:leftChars="0" w:left="738" w:hanging="454"/>
        <w:rPr>
          <w:rFonts w:asciiTheme="majorEastAsia" w:eastAsiaTheme="majorEastAsia" w:hAnsiTheme="majorEastAsia"/>
          <w:b/>
          <w:lang w:val="es-ES"/>
        </w:rPr>
      </w:pPr>
      <w:r w:rsidRPr="00BC31E0">
        <w:rPr>
          <w:rFonts w:asciiTheme="majorEastAsia" w:eastAsiaTheme="majorEastAsia" w:hAnsiTheme="majorEastAsia" w:hint="eastAsia"/>
          <w:b/>
        </w:rPr>
        <w:t>多層胴</w:t>
      </w:r>
    </w:p>
    <w:p w14:paraId="469A2D43" w14:textId="77777777" w:rsidR="00185C78" w:rsidRPr="00BC31E0" w:rsidRDefault="00185C78" w:rsidP="00A71202">
      <w:pPr>
        <w:ind w:left="737"/>
        <w:rPr>
          <w:lang w:val="es-ES"/>
        </w:rPr>
      </w:pPr>
      <w:r w:rsidRPr="00BC31E0">
        <w:rPr>
          <w:rFonts w:hint="eastAsia"/>
        </w:rPr>
        <w:t>開放端円筒胴</w:t>
      </w:r>
      <w:r w:rsidRPr="00BC31E0">
        <w:rPr>
          <w:rFonts w:hint="eastAsia"/>
          <w:lang w:val="es-ES"/>
        </w:rPr>
        <w:t>(</w:t>
      </w:r>
      <m:oMath>
        <m:r>
          <w:rPr>
            <w:rFonts w:ascii="Cambria Math" w:hAnsi="Cambria Math"/>
          </w:rPr>
          <m:t>Y</m:t>
        </m:r>
        <m:r>
          <m:rPr>
            <m:sty m:val="p"/>
          </m:rPr>
          <w:rPr>
            <w:rFonts w:ascii="Cambria Math" w:hAnsi="Cambria Math" w:hint="eastAsia"/>
          </w:rPr>
          <m:t>≦</m:t>
        </m:r>
        <m:r>
          <w:rPr>
            <w:rFonts w:ascii="Cambria Math" w:hAnsi="Cambria Math" w:hint="eastAsia"/>
          </w:rPr>
          <m:t>2.85</m:t>
        </m:r>
      </m:oMath>
      <w:r w:rsidRPr="00BC31E0">
        <w:rPr>
          <w:rFonts w:hint="eastAsia"/>
          <w:lang w:val="es-ES"/>
        </w:rPr>
        <w:t>)</w:t>
      </w:r>
    </w:p>
    <w:tbl>
      <w:tblPr>
        <w:tblStyle w:val="180"/>
        <w:tblW w:w="6129" w:type="dxa"/>
        <w:tblInd w:w="29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6"/>
        <w:gridCol w:w="2693"/>
      </w:tblGrid>
      <w:tr w:rsidR="00185C78" w:rsidRPr="00BC31E0" w14:paraId="0C956C8C" w14:textId="77777777" w:rsidTr="004736F2">
        <w:tc>
          <w:tcPr>
            <w:tcW w:w="3436" w:type="dxa"/>
            <w:tcMar>
              <w:left w:w="0" w:type="dxa"/>
              <w:right w:w="0" w:type="dxa"/>
            </w:tcMar>
            <w:vAlign w:val="center"/>
          </w:tcPr>
          <w:p w14:paraId="23C74666" w14:textId="77777777" w:rsidR="00185C78" w:rsidRPr="00BC31E0" w:rsidRDefault="00A51873" w:rsidP="00185C78">
            <w:pPr>
              <w:tabs>
                <w:tab w:val="left" w:pos="2835"/>
                <w:tab w:val="left" w:leader="middleDot" w:pos="8080"/>
              </w:tabs>
              <w:autoSpaceDE w:val="0"/>
              <w:autoSpaceDN w:val="0"/>
              <w:jc w:val="left"/>
            </w:pPr>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m:t>
                </m:r>
                <m:nary>
                  <m:naryPr>
                    <m:chr m:val="∑"/>
                    <m:limLoc m:val="subSup"/>
                    <m:ctrlPr>
                      <w:rPr>
                        <w:rFonts w:ascii="Cambria Math" w:hAnsi="Cambria Math"/>
                        <w:i/>
                      </w:rPr>
                    </m:ctrlPr>
                  </m:naryPr>
                  <m:sub>
                    <m:r>
                      <w:rPr>
                        <w:rFonts w:ascii="Cambria Math" w:hAnsi="Cambria Math"/>
                      </w:rPr>
                      <m:t>j=1</m:t>
                    </m:r>
                  </m:sub>
                  <m:sup>
                    <m:r>
                      <w:rPr>
                        <w:rFonts w:ascii="Cambria Math" w:hAnsi="Cambria Math"/>
                      </w:rPr>
                      <m:t>n</m:t>
                    </m:r>
                  </m:sup>
                  <m:e>
                    <m:r>
                      <w:rPr>
                        <w:rFonts w:ascii="Cambria Math" w:hAnsi="Cambria Math"/>
                      </w:rPr>
                      <m:t xml:space="preserve">3.732 </m:t>
                    </m:r>
                    <m:sSub>
                      <m:sSubPr>
                        <m:ctrlPr>
                          <w:rPr>
                            <w:rFonts w:ascii="Cambria Math" w:hAnsi="Cambria Math"/>
                            <w:i/>
                          </w:rPr>
                        </m:ctrlPr>
                      </m:sSubPr>
                      <m:e>
                        <m:sSub>
                          <m:sSubPr>
                            <m:ctrlPr>
                              <w:rPr>
                                <w:rFonts w:ascii="Cambria Math" w:hAnsi="Cambria Math"/>
                                <w:i/>
                              </w:rPr>
                            </m:ctrlPr>
                          </m:sSubPr>
                          <m:e>
                            <m:r>
                              <w:rPr>
                                <w:rFonts w:ascii="Cambria Math" w:hAnsi="Cambria Math"/>
                              </w:rPr>
                              <m:t>K</m:t>
                            </m:r>
                          </m:e>
                          <m:sub>
                            <m:r>
                              <w:rPr>
                                <w:rFonts w:ascii="Cambria Math" w:hAnsi="Cambria Math"/>
                              </w:rPr>
                              <m:t>utj</m:t>
                            </m:r>
                          </m:sub>
                        </m:sSub>
                        <m:r>
                          <w:rPr>
                            <w:rFonts w:ascii="Cambria Math" w:hAnsi="Cambria Math"/>
                          </w:rPr>
                          <m:t>S</m:t>
                        </m:r>
                      </m:e>
                      <m:sub>
                        <m:r>
                          <w:rPr>
                            <w:rFonts w:ascii="Cambria Math" w:hAnsi="Cambria Math"/>
                          </w:rPr>
                          <m:t>yj</m:t>
                        </m:r>
                      </m:sub>
                    </m:sSub>
                    <m:r>
                      <w:rPr>
                        <w:rFonts w:ascii="Cambria Math" w:hAnsi="Cambria Math"/>
                      </w:rPr>
                      <m:t xml:space="preserve"> </m:t>
                    </m:r>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j</m:t>
                                </m:r>
                              </m:sub>
                            </m:sSub>
                          </m:e>
                          <m:sup>
                            <m:r>
                              <w:rPr>
                                <w:rFonts w:ascii="Cambria Math" w:hAnsi="Cambria Math"/>
                              </w:rPr>
                              <m:t>0.268</m:t>
                            </m:r>
                          </m:sup>
                        </m:sSup>
                        <m:r>
                          <w:rPr>
                            <w:rFonts w:ascii="Cambria Math" w:hAnsi="Cambria Math"/>
                          </w:rPr>
                          <m:t>-1</m:t>
                        </m:r>
                      </m:e>
                    </m:d>
                  </m:e>
                </m:nary>
              </m:oMath>
            </m:oMathPara>
          </w:p>
        </w:tc>
        <w:tc>
          <w:tcPr>
            <w:tcW w:w="2693" w:type="dxa"/>
            <w:tcMar>
              <w:left w:w="0" w:type="dxa"/>
              <w:right w:w="0" w:type="dxa"/>
            </w:tcMar>
            <w:vAlign w:val="center"/>
          </w:tcPr>
          <w:p w14:paraId="2EE46F7A" w14:textId="77777777" w:rsidR="00185C78" w:rsidRPr="00BC31E0" w:rsidRDefault="00185C78" w:rsidP="00A71202">
            <w:pPr>
              <w:tabs>
                <w:tab w:val="left" w:leader="middleDot" w:pos="1843"/>
              </w:tabs>
              <w:autoSpaceDE w:val="0"/>
              <w:autoSpaceDN w:val="0"/>
              <w:jc w:val="left"/>
            </w:pPr>
            <w:r w:rsidRPr="00BC31E0">
              <w:tab/>
            </w:r>
            <w:r w:rsidRPr="00BC31E0">
              <w:rPr>
                <w:rFonts w:hint="eastAsia"/>
              </w:rPr>
              <w:t>(10.3.5)</w:t>
            </w:r>
          </w:p>
        </w:tc>
      </w:tr>
    </w:tbl>
    <w:p w14:paraId="5B71E670" w14:textId="77777777" w:rsidR="00185C78" w:rsidRPr="00BC31E0" w:rsidRDefault="00185C78" w:rsidP="00185C78">
      <w:pPr>
        <w:spacing w:before="120" w:after="120"/>
        <w:ind w:left="737"/>
      </w:pPr>
      <w:r w:rsidRPr="00BC31E0">
        <w:rPr>
          <w:rFonts w:hint="eastAsia"/>
        </w:rPr>
        <w:t>開放端円筒胴</w:t>
      </w:r>
      <w:r w:rsidRPr="00BC31E0">
        <w:rPr>
          <w:rFonts w:hint="eastAsia"/>
        </w:rPr>
        <w:t>(</w:t>
      </w:r>
      <m:oMath>
        <m:r>
          <w:rPr>
            <w:rFonts w:ascii="Cambria Math" w:hAnsi="Cambria Math"/>
          </w:rPr>
          <m:t>Y&gt;2.85</m:t>
        </m:r>
      </m:oMath>
      <w:r w:rsidRPr="00BC31E0">
        <w:rPr>
          <w:rFonts w:hint="eastAsia"/>
        </w:rPr>
        <w:t>)</w:t>
      </w:r>
      <w:r w:rsidRPr="00BC31E0">
        <w:rPr>
          <w:rFonts w:hint="eastAsia"/>
        </w:rPr>
        <w:t>及び閉止端円筒胴</w:t>
      </w:r>
    </w:p>
    <w:tbl>
      <w:tblPr>
        <w:tblStyle w:val="180"/>
        <w:tblW w:w="6129" w:type="dxa"/>
        <w:tblInd w:w="29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11"/>
        <w:gridCol w:w="3118"/>
      </w:tblGrid>
      <w:tr w:rsidR="00185C78" w:rsidRPr="00BC31E0" w14:paraId="1FDBB4BD" w14:textId="77777777" w:rsidTr="004736F2">
        <w:tc>
          <w:tcPr>
            <w:tcW w:w="3011" w:type="dxa"/>
            <w:tcMar>
              <w:left w:w="0" w:type="dxa"/>
              <w:right w:w="0" w:type="dxa"/>
            </w:tcMar>
            <w:vAlign w:val="center"/>
          </w:tcPr>
          <w:p w14:paraId="3BA23DA4" w14:textId="77777777" w:rsidR="00185C78" w:rsidRPr="00BC31E0" w:rsidRDefault="00A51873" w:rsidP="00185C78">
            <w:pPr>
              <w:tabs>
                <w:tab w:val="left" w:pos="2835"/>
                <w:tab w:val="left" w:leader="middleDot" w:pos="8080"/>
              </w:tabs>
              <w:autoSpaceDE w:val="0"/>
              <w:autoSpaceDN w:val="0"/>
              <w:jc w:val="left"/>
            </w:pPr>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m:t>
                </m:r>
                <m:nary>
                  <m:naryPr>
                    <m:chr m:val="∑"/>
                    <m:limLoc m:val="subSup"/>
                    <m:ctrlPr>
                      <w:rPr>
                        <w:rFonts w:ascii="Cambria Math" w:hAnsi="Cambria Math"/>
                        <w:i/>
                      </w:rPr>
                    </m:ctrlPr>
                  </m:naryPr>
                  <m:sub>
                    <m:r>
                      <w:rPr>
                        <w:rFonts w:ascii="Cambria Math" w:hAnsi="Cambria Math"/>
                      </w:rPr>
                      <m:t>j=1</m:t>
                    </m:r>
                  </m:sub>
                  <m:sup>
                    <m:r>
                      <w:rPr>
                        <w:rFonts w:ascii="Cambria Math" w:hAnsi="Cambria Math"/>
                      </w:rPr>
                      <m:t>n</m:t>
                    </m:r>
                  </m:sup>
                  <m:e>
                    <m:r>
                      <w:rPr>
                        <w:rFonts w:ascii="Cambria Math" w:hAnsi="Cambria Math"/>
                      </w:rPr>
                      <m:t>1.155</m:t>
                    </m:r>
                    <m:sSub>
                      <m:sSubPr>
                        <m:ctrlPr>
                          <w:rPr>
                            <w:rFonts w:ascii="Cambria Math" w:hAnsi="Cambria Math"/>
                            <w:i/>
                          </w:rPr>
                        </m:ctrlPr>
                      </m:sSubPr>
                      <m:e>
                        <m:r>
                          <w:rPr>
                            <w:rFonts w:ascii="Cambria Math" w:hAnsi="Cambria Math"/>
                          </w:rPr>
                          <m:t>K</m:t>
                        </m:r>
                      </m:e>
                      <m:sub>
                        <m:r>
                          <w:rPr>
                            <w:rFonts w:ascii="Cambria Math" w:hAnsi="Cambria Math"/>
                          </w:rPr>
                          <m:t>utj</m:t>
                        </m:r>
                      </m:sub>
                    </m:sSub>
                    <m:sSub>
                      <m:sSubPr>
                        <m:ctrlPr>
                          <w:rPr>
                            <w:rFonts w:ascii="Cambria Math" w:hAnsi="Cambria Math"/>
                            <w:i/>
                          </w:rPr>
                        </m:ctrlPr>
                      </m:sSubPr>
                      <m:e>
                        <m:r>
                          <w:rPr>
                            <w:rFonts w:ascii="Cambria Math" w:hAnsi="Cambria Math"/>
                          </w:rPr>
                          <m:t>S</m:t>
                        </m:r>
                      </m:e>
                      <m:sub>
                        <m:r>
                          <w:rPr>
                            <w:rFonts w:ascii="Cambria Math" w:hAnsi="Cambria Math"/>
                          </w:rPr>
                          <m:t>yj</m:t>
                        </m:r>
                      </m:sub>
                    </m:sSub>
                    <m:r>
                      <w:rPr>
                        <w:rFonts w:ascii="Cambria Math" w:hAnsi="Cambria Math"/>
                      </w:rPr>
                      <m:t xml:space="preserve"> </m:t>
                    </m:r>
                    <m:r>
                      <m:rPr>
                        <m:sty m:val="bi"/>
                      </m:rPr>
                      <w:rPr>
                        <w:rFonts w:ascii="Cambria Math" w:hAnsi="Cambria Math"/>
                      </w:rPr>
                      <m:t>ln</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j</m:t>
                            </m:r>
                          </m:sub>
                        </m:sSub>
                      </m:e>
                    </m:d>
                  </m:e>
                </m:nary>
              </m:oMath>
            </m:oMathPara>
          </w:p>
        </w:tc>
        <w:tc>
          <w:tcPr>
            <w:tcW w:w="3118" w:type="dxa"/>
            <w:tcMar>
              <w:left w:w="0" w:type="dxa"/>
              <w:right w:w="0" w:type="dxa"/>
            </w:tcMar>
            <w:vAlign w:val="center"/>
          </w:tcPr>
          <w:p w14:paraId="5A238615" w14:textId="77777777" w:rsidR="00185C78" w:rsidRPr="00BC31E0" w:rsidRDefault="00185C78" w:rsidP="00A71202">
            <w:pPr>
              <w:tabs>
                <w:tab w:val="left" w:leader="middleDot" w:pos="2268"/>
              </w:tabs>
              <w:autoSpaceDE w:val="0"/>
              <w:autoSpaceDN w:val="0"/>
              <w:jc w:val="left"/>
            </w:pPr>
            <w:r w:rsidRPr="00BC31E0">
              <w:tab/>
            </w:r>
            <w:r w:rsidRPr="00BC31E0">
              <w:rPr>
                <w:rFonts w:hint="eastAsia"/>
              </w:rPr>
              <w:t>(10.3.6)</w:t>
            </w:r>
          </w:p>
        </w:tc>
      </w:tr>
    </w:tbl>
    <w:p w14:paraId="4AB179B8" w14:textId="77777777" w:rsidR="00185C78" w:rsidRPr="00BC31E0" w:rsidRDefault="00185C78" w:rsidP="00185C78">
      <w:pPr>
        <w:ind w:left="737"/>
      </w:pPr>
      <w:r w:rsidRPr="00BC31E0">
        <w:rPr>
          <w:rFonts w:hint="eastAsia"/>
        </w:rPr>
        <w:t>球形胴</w:t>
      </w:r>
    </w:p>
    <w:tbl>
      <w:tblPr>
        <w:tblStyle w:val="180"/>
        <w:tblW w:w="6129" w:type="dxa"/>
        <w:tblInd w:w="29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86"/>
        <w:gridCol w:w="3543"/>
      </w:tblGrid>
      <w:tr w:rsidR="00185C78" w:rsidRPr="00BC31E0" w14:paraId="3369D076" w14:textId="77777777" w:rsidTr="004736F2">
        <w:tc>
          <w:tcPr>
            <w:tcW w:w="2586" w:type="dxa"/>
            <w:tcMar>
              <w:left w:w="0" w:type="dxa"/>
              <w:right w:w="0" w:type="dxa"/>
            </w:tcMar>
            <w:vAlign w:val="center"/>
          </w:tcPr>
          <w:p w14:paraId="1597777D" w14:textId="77777777" w:rsidR="00185C78" w:rsidRPr="00BC31E0" w:rsidRDefault="00A51873" w:rsidP="00185C78">
            <w:pPr>
              <w:tabs>
                <w:tab w:val="left" w:pos="2835"/>
                <w:tab w:val="left" w:leader="middleDot" w:pos="8080"/>
              </w:tabs>
              <w:autoSpaceDE w:val="0"/>
              <w:autoSpaceDN w:val="0"/>
              <w:jc w:val="left"/>
            </w:pPr>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m:t>
                </m:r>
                <m:nary>
                  <m:naryPr>
                    <m:chr m:val="∑"/>
                    <m:limLoc m:val="subSup"/>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hAnsi="Cambria Math"/>
                          </w:rPr>
                          <m:t>2</m:t>
                        </m:r>
                        <m:sSub>
                          <m:sSubPr>
                            <m:ctrlPr>
                              <w:rPr>
                                <w:rFonts w:ascii="Cambria Math" w:hAnsi="Cambria Math"/>
                                <w:i/>
                              </w:rPr>
                            </m:ctrlPr>
                          </m:sSubPr>
                          <m:e>
                            <m:r>
                              <w:rPr>
                                <w:rFonts w:ascii="Cambria Math" w:hAnsi="Cambria Math"/>
                              </w:rPr>
                              <m:t>K</m:t>
                            </m:r>
                          </m:e>
                          <m:sub>
                            <m:r>
                              <w:rPr>
                                <w:rFonts w:ascii="Cambria Math" w:hAnsi="Cambria Math"/>
                              </w:rPr>
                              <m:t>utj</m:t>
                            </m:r>
                          </m:sub>
                        </m:sSub>
                        <m:r>
                          <w:rPr>
                            <w:rFonts w:ascii="Cambria Math" w:hAnsi="Cambria Math"/>
                          </w:rPr>
                          <m:t xml:space="preserve"> S</m:t>
                        </m:r>
                      </m:e>
                      <m:sub>
                        <m:r>
                          <w:rPr>
                            <w:rFonts w:ascii="Cambria Math" w:hAnsi="Cambria Math"/>
                          </w:rPr>
                          <m:t>yj</m:t>
                        </m:r>
                      </m:sub>
                    </m:sSub>
                    <m:r>
                      <w:rPr>
                        <w:rFonts w:ascii="Cambria Math" w:hAnsi="Cambria Math"/>
                      </w:rPr>
                      <m:t xml:space="preserve"> </m:t>
                    </m:r>
                    <m:r>
                      <m:rPr>
                        <m:sty m:val="bi"/>
                      </m:rPr>
                      <w:rPr>
                        <w:rFonts w:ascii="Cambria Math" w:hAnsi="Cambria Math"/>
                      </w:rPr>
                      <m:t>ln</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j</m:t>
                            </m:r>
                          </m:sub>
                        </m:sSub>
                      </m:e>
                    </m:d>
                  </m:e>
                </m:nary>
              </m:oMath>
            </m:oMathPara>
          </w:p>
        </w:tc>
        <w:tc>
          <w:tcPr>
            <w:tcW w:w="3543" w:type="dxa"/>
            <w:tcMar>
              <w:left w:w="0" w:type="dxa"/>
              <w:right w:w="0" w:type="dxa"/>
            </w:tcMar>
            <w:vAlign w:val="center"/>
          </w:tcPr>
          <w:p w14:paraId="6ECFC29C" w14:textId="77777777" w:rsidR="00185C78" w:rsidRPr="00BC31E0" w:rsidRDefault="00185C78" w:rsidP="00A71202">
            <w:pPr>
              <w:tabs>
                <w:tab w:val="left" w:leader="middleDot" w:pos="2693"/>
              </w:tabs>
              <w:autoSpaceDE w:val="0"/>
              <w:autoSpaceDN w:val="0"/>
              <w:jc w:val="left"/>
            </w:pPr>
            <w:r w:rsidRPr="00BC31E0">
              <w:tab/>
            </w:r>
            <w:r w:rsidRPr="00BC31E0">
              <w:rPr>
                <w:rFonts w:hint="eastAsia"/>
              </w:rPr>
              <w:t>(10.3.7)</w:t>
            </w:r>
          </w:p>
        </w:tc>
      </w:tr>
    </w:tbl>
    <w:p w14:paraId="7D6F0705" w14:textId="77777777" w:rsidR="00185C78" w:rsidRPr="00BC31E0" w:rsidRDefault="00185C78" w:rsidP="00A245C7">
      <w:pPr>
        <w:autoSpaceDE w:val="0"/>
        <w:autoSpaceDN w:val="0"/>
        <w:ind w:left="964"/>
      </w:pPr>
      <w:r w:rsidRPr="00BC31E0">
        <w:rPr>
          <w:rFonts w:hint="eastAsia"/>
        </w:rPr>
        <w:t>ここで，</w:t>
      </w:r>
    </w:p>
    <w:p w14:paraId="276D47F3" w14:textId="77777777" w:rsidR="00185C78" w:rsidRPr="00BC31E0" w:rsidRDefault="00A51873" w:rsidP="00B967BA">
      <w:pPr>
        <w:tabs>
          <w:tab w:val="left" w:pos="1843"/>
        </w:tabs>
        <w:ind w:left="1361"/>
      </w:pPr>
      <m:oMath>
        <m:sSub>
          <m:sSubPr>
            <m:ctrlPr>
              <w:rPr>
                <w:rFonts w:ascii="Cambria Math" w:hAnsi="Cambria Math"/>
                <w:i/>
              </w:rPr>
            </m:ctrlPr>
          </m:sSubPr>
          <m:e>
            <m:r>
              <w:rPr>
                <w:rFonts w:ascii="Cambria Math" w:hAnsi="Cambria Math"/>
              </w:rPr>
              <m:t>S</m:t>
            </m:r>
          </m:e>
          <m:sub>
            <m:r>
              <w:rPr>
                <w:rFonts w:ascii="Cambria Math" w:hAnsi="Cambria Math"/>
              </w:rPr>
              <m:t>yj</m:t>
            </m:r>
          </m:sub>
        </m:sSub>
      </m:oMath>
      <w:r w:rsidR="00185C78" w:rsidRPr="00BC31E0">
        <w:rPr>
          <w:rFonts w:hint="eastAsia"/>
        </w:rPr>
        <w:tab/>
      </w:r>
      <w:r w:rsidR="00185C78" w:rsidRPr="00BC31E0">
        <w:rPr>
          <w:rFonts w:hint="eastAsia"/>
        </w:rPr>
        <w:t>：</w:t>
      </w:r>
      <w:r w:rsidR="00185C78" w:rsidRPr="00BC31E0">
        <w:rPr>
          <w:rFonts w:hint="eastAsia"/>
        </w:rPr>
        <w:t xml:space="preserve"> </w:t>
      </w:r>
      <w:r w:rsidR="00185C78" w:rsidRPr="00BC31E0">
        <w:rPr>
          <w:rFonts w:hint="eastAsia"/>
        </w:rPr>
        <w:t>試験温度における各層の降伏強さ</w:t>
      </w:r>
      <w:r w:rsidR="00185C78" w:rsidRPr="00BC31E0">
        <w:rPr>
          <w:rFonts w:hint="eastAsia"/>
        </w:rPr>
        <w:t>(</w:t>
      </w:r>
      <w:r w:rsidR="00185C78" w:rsidRPr="00BC31E0">
        <w:rPr>
          <w:rFonts w:ascii="Cambria Math" w:hAnsi="Cambria Math"/>
        </w:rPr>
        <w:t>MPa</w:t>
      </w:r>
      <w:r w:rsidR="00185C78" w:rsidRPr="00BC31E0">
        <w:rPr>
          <w:rFonts w:hint="eastAsia"/>
        </w:rPr>
        <w:t>)</w:t>
      </w:r>
    </w:p>
    <w:p w14:paraId="266DF5F1" w14:textId="77777777" w:rsidR="00185C78" w:rsidRPr="00BC31E0" w:rsidRDefault="00A51873" w:rsidP="00B967BA">
      <w:pPr>
        <w:tabs>
          <w:tab w:val="left" w:pos="1843"/>
        </w:tabs>
        <w:ind w:left="1361"/>
        <w:rPr>
          <w:i/>
        </w:rPr>
      </w:pPr>
      <m:oMath>
        <m:sSub>
          <m:sSubPr>
            <m:ctrlPr>
              <w:rPr>
                <w:rFonts w:ascii="Cambria Math" w:hAnsi="Cambria Math"/>
                <w:i/>
              </w:rPr>
            </m:ctrlPr>
          </m:sSubPr>
          <m:e>
            <m:r>
              <w:rPr>
                <w:rFonts w:ascii="Cambria Math" w:hAnsi="Cambria Math"/>
              </w:rPr>
              <m:t>S</m:t>
            </m:r>
          </m:e>
          <m:sub>
            <m:r>
              <w:rPr>
                <w:rFonts w:ascii="Cambria Math" w:hAnsi="Cambria Math"/>
              </w:rPr>
              <m:t>uj</m:t>
            </m:r>
          </m:sub>
        </m:sSub>
      </m:oMath>
      <w:r w:rsidR="00185C78" w:rsidRPr="00BC31E0">
        <w:rPr>
          <w:rFonts w:hint="eastAsia"/>
        </w:rPr>
        <w:tab/>
      </w:r>
      <w:r w:rsidR="00185C78" w:rsidRPr="00BC31E0">
        <w:rPr>
          <w:rFonts w:hint="eastAsia"/>
        </w:rPr>
        <w:t>：</w:t>
      </w:r>
      <w:r w:rsidR="00185C78" w:rsidRPr="00BC31E0">
        <w:rPr>
          <w:rFonts w:hint="eastAsia"/>
        </w:rPr>
        <w:t xml:space="preserve"> </w:t>
      </w:r>
      <w:r w:rsidR="00185C78" w:rsidRPr="00BC31E0">
        <w:rPr>
          <w:rFonts w:hint="eastAsia"/>
        </w:rPr>
        <w:t>試験温度における各層の引張強さ</w:t>
      </w:r>
      <w:r w:rsidR="00185C78" w:rsidRPr="00BC31E0">
        <w:rPr>
          <w:rFonts w:hint="eastAsia"/>
        </w:rPr>
        <w:t>(</w:t>
      </w:r>
      <w:r w:rsidR="00185C78" w:rsidRPr="00BC31E0">
        <w:rPr>
          <w:rFonts w:ascii="Cambria Math" w:hAnsi="Cambria Math"/>
        </w:rPr>
        <w:t>MPa</w:t>
      </w:r>
      <w:r w:rsidR="00185C78" w:rsidRPr="00BC31E0">
        <w:rPr>
          <w:rFonts w:hint="eastAsia"/>
        </w:rPr>
        <w:t>)</w:t>
      </w:r>
    </w:p>
    <w:p w14:paraId="6380EF06" w14:textId="77777777" w:rsidR="00185C78" w:rsidRPr="00BC31E0" w:rsidRDefault="00A51873" w:rsidP="00B967BA">
      <w:pPr>
        <w:tabs>
          <w:tab w:val="left" w:pos="1843"/>
        </w:tabs>
        <w:ind w:left="1361"/>
      </w:pP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j</m:t>
            </m:r>
          </m:sub>
        </m:sSub>
      </m:oMath>
      <w:r w:rsidR="00185C78" w:rsidRPr="00BC31E0">
        <w:rPr>
          <w:rFonts w:hint="eastAsia"/>
          <w:lang w:val="es-ES"/>
        </w:rPr>
        <w:tab/>
      </w:r>
      <w:r w:rsidR="00185C78" w:rsidRPr="00BC31E0">
        <w:rPr>
          <w:rFonts w:hint="eastAsia"/>
          <w:lang w:val="es-ES"/>
        </w:rPr>
        <w:t>：</w:t>
      </w:r>
      <w:r w:rsidR="00185C78" w:rsidRPr="00BC31E0">
        <w:rPr>
          <w:rFonts w:hint="eastAsia"/>
          <w:lang w:val="es-ES"/>
        </w:rPr>
        <w:t xml:space="preserve"> </w:t>
      </w:r>
      <w:r w:rsidR="00185C78" w:rsidRPr="00BC31E0">
        <w:rPr>
          <w:rFonts w:hint="eastAsia"/>
        </w:rPr>
        <w:t>各層の内外径比</w:t>
      </w:r>
    </w:p>
    <w:p w14:paraId="645E962A" w14:textId="77777777" w:rsidR="00185C78" w:rsidRPr="00BC31E0" w:rsidRDefault="00A51873" w:rsidP="00B967BA">
      <w:pPr>
        <w:tabs>
          <w:tab w:val="left" w:pos="1843"/>
        </w:tabs>
        <w:ind w:left="1361"/>
      </w:pPr>
      <m:oMath>
        <m:sSub>
          <m:sSubPr>
            <m:ctrlPr>
              <w:rPr>
                <w:rFonts w:ascii="Cambria Math" w:hAnsi="Cambria Math"/>
                <w:i/>
                <w:lang w:val="es-ES"/>
              </w:rPr>
            </m:ctrlPr>
          </m:sSubPr>
          <m:e>
            <m:r>
              <w:rPr>
                <w:rFonts w:ascii="Cambria Math" w:hAnsi="Cambria Math"/>
                <w:lang w:val="es-ES"/>
              </w:rPr>
              <m:t>K</m:t>
            </m:r>
          </m:e>
          <m:sub>
            <m:r>
              <w:rPr>
                <w:rFonts w:ascii="Cambria Math" w:hAnsi="Cambria Math"/>
                <w:lang w:val="es-ES"/>
              </w:rPr>
              <m:t>utj</m:t>
            </m:r>
          </m:sub>
        </m:sSub>
      </m:oMath>
      <w:r w:rsidR="00B967BA" w:rsidRPr="00BC31E0">
        <w:rPr>
          <w:rFonts w:hint="eastAsia"/>
          <w:lang w:val="es-ES"/>
        </w:rPr>
        <w:tab/>
      </w:r>
      <w:r w:rsidR="00185C78" w:rsidRPr="00BC31E0">
        <w:rPr>
          <w:rFonts w:hint="eastAsia"/>
          <w:lang w:val="es-ES"/>
        </w:rPr>
        <w:t>：</w:t>
      </w:r>
      <w:r w:rsidR="00185C78" w:rsidRPr="00BC31E0">
        <w:rPr>
          <w:rFonts w:hint="eastAsia"/>
          <w:lang w:val="es-ES"/>
        </w:rPr>
        <w:t xml:space="preserve"> </w:t>
      </w:r>
      <w:r w:rsidR="00185C78" w:rsidRPr="00BC31E0">
        <w:rPr>
          <w:rFonts w:hint="eastAsia"/>
        </w:rPr>
        <w:t>各層の耐圧試験の上限圧力に関する係数</w:t>
      </w:r>
    </w:p>
    <w:p w14:paraId="1BB3B30F" w14:textId="77777777" w:rsidR="00185C78" w:rsidRPr="00BC31E0" w:rsidRDefault="00185C78" w:rsidP="00736130">
      <w:pPr>
        <w:pStyle w:val="a4"/>
        <w:numPr>
          <w:ilvl w:val="0"/>
          <w:numId w:val="615"/>
        </w:numPr>
        <w:spacing w:before="120"/>
        <w:ind w:leftChars="0" w:left="738" w:hanging="454"/>
      </w:pPr>
      <w:r w:rsidRPr="00BC31E0">
        <w:rPr>
          <w:rFonts w:asciiTheme="majorEastAsia" w:eastAsiaTheme="majorEastAsia" w:hAnsiTheme="majorEastAsia" w:hint="eastAsia"/>
          <w:b/>
        </w:rPr>
        <w:t>非円形胴，閉止板及びその他の耐圧部分</w:t>
      </w:r>
      <w:r w:rsidRPr="00BC31E0">
        <w:rPr>
          <w:rFonts w:hAnsi="ＭＳ ゴシック" w:hint="eastAsia"/>
        </w:rPr>
        <w:t xml:space="preserve">　</w:t>
      </w:r>
      <w:r w:rsidRPr="00BC31E0">
        <w:rPr>
          <w:rFonts w:hint="eastAsia"/>
        </w:rPr>
        <w:t>弾性解析又は弾塑性解析により</w:t>
      </w:r>
      <w:r w:rsidR="00A245C7" w:rsidRPr="00BC31E0">
        <w:rPr>
          <w:rFonts w:hint="eastAsia"/>
        </w:rPr>
        <w:t>，</w:t>
      </w:r>
      <w:r w:rsidRPr="00BC31E0">
        <w:rPr>
          <w:rFonts w:hint="eastAsia"/>
        </w:rPr>
        <w:t>耐圧試験の上限圧力を検証しなければならない。</w:t>
      </w:r>
    </w:p>
    <w:p w14:paraId="57E90C35" w14:textId="77777777" w:rsidR="00185C78" w:rsidRPr="00BC31E0" w:rsidRDefault="00185C78" w:rsidP="00736130">
      <w:pPr>
        <w:pStyle w:val="a4"/>
        <w:numPr>
          <w:ilvl w:val="0"/>
          <w:numId w:val="616"/>
        </w:numPr>
        <w:spacing w:after="120"/>
        <w:ind w:leftChars="0" w:left="1134" w:hanging="567"/>
        <w:rPr>
          <w:rFonts w:asciiTheme="majorEastAsia" w:eastAsiaTheme="majorEastAsia" w:hAnsiTheme="majorEastAsia"/>
          <w:b/>
        </w:rPr>
      </w:pPr>
      <w:r w:rsidRPr="00BC31E0">
        <w:rPr>
          <w:rFonts w:asciiTheme="majorEastAsia" w:eastAsiaTheme="majorEastAsia" w:hAnsiTheme="majorEastAsia" w:hint="eastAsia"/>
          <w:b/>
        </w:rPr>
        <w:t>弾性解析の場合</w:t>
      </w:r>
    </w:p>
    <w:p w14:paraId="22862B37" w14:textId="77777777" w:rsidR="00185C78" w:rsidRPr="00BC31E0" w:rsidRDefault="00185C78" w:rsidP="00A245C7">
      <w:pPr>
        <w:tabs>
          <w:tab w:val="left" w:pos="1985"/>
        </w:tabs>
        <w:ind w:firstLine="170"/>
      </w:pPr>
      <w:r w:rsidRPr="00BC31E0">
        <w:rPr>
          <w:rFonts w:hint="eastAsia"/>
          <w:szCs w:val="20"/>
        </w:rPr>
        <w:tab/>
      </w:r>
      <m:oMath>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m</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hint="eastAsia"/>
                <w:sz w:val="22"/>
                <w:szCs w:val="22"/>
              </w:rPr>
              <m:t>K</m:t>
            </m:r>
          </m:e>
          <m:sub>
            <m:r>
              <w:rPr>
                <w:rFonts w:ascii="Cambria Math" w:hAnsi="Cambria Math" w:hint="eastAsia"/>
                <w:sz w:val="22"/>
                <w:szCs w:val="22"/>
              </w:rPr>
              <m:t>ut</m:t>
            </m:r>
          </m:sub>
        </m:sSub>
        <m:sSub>
          <m:sSubPr>
            <m:ctrlPr>
              <w:rPr>
                <w:rFonts w:ascii="Cambria Math" w:hAnsi="Cambria Math"/>
                <w:sz w:val="22"/>
                <w:szCs w:val="22"/>
              </w:rPr>
            </m:ctrlPr>
          </m:sSubPr>
          <m:e>
            <m:r>
              <w:rPr>
                <w:rFonts w:ascii="Cambria Math" w:hAnsi="Cambria Math" w:hint="eastAsia"/>
                <w:sz w:val="22"/>
                <w:szCs w:val="22"/>
              </w:rPr>
              <m:t>S</m:t>
            </m:r>
          </m:e>
          <m:sub>
            <m:r>
              <w:rPr>
                <w:rFonts w:ascii="Cambria Math" w:hAnsi="Cambria Math" w:hint="eastAsia"/>
                <w:sz w:val="22"/>
                <w:szCs w:val="22"/>
              </w:rPr>
              <m:t>y</m:t>
            </m:r>
          </m:sub>
        </m:sSub>
      </m:oMath>
    </w:p>
    <w:p w14:paraId="1034AE48" w14:textId="77777777" w:rsidR="00185C78" w:rsidRPr="00BC31E0" w:rsidRDefault="00A51873" w:rsidP="00A245C7">
      <w:pPr>
        <w:tabs>
          <w:tab w:val="left" w:pos="2127"/>
          <w:tab w:val="left" w:pos="4962"/>
        </w:tabs>
        <w:ind w:firstLine="1985"/>
      </w:pPr>
      <m:oMath>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 xml:space="preserve">m </m:t>
            </m:r>
          </m:sub>
        </m:sSub>
        <m:r>
          <m:rPr>
            <m:sty m:val="p"/>
          </m:rPr>
          <w:rPr>
            <w:rFonts w:ascii="Cambria Math" w:hAnsi="Cambria Math"/>
            <w:sz w:val="22"/>
            <w:szCs w:val="22"/>
          </w:rPr>
          <m:t>≤0.67</m:t>
        </m:r>
        <m:sSub>
          <m:sSubPr>
            <m:ctrlPr>
              <w:rPr>
                <w:rFonts w:ascii="Cambria Math" w:hAnsi="Cambria Math"/>
                <w:sz w:val="22"/>
                <w:szCs w:val="22"/>
              </w:rPr>
            </m:ctrlPr>
          </m:sSubPr>
          <m:e>
            <m:r>
              <w:rPr>
                <w:rFonts w:ascii="Cambria Math" w:hAnsi="Cambria Math" w:hint="eastAsia"/>
                <w:sz w:val="22"/>
                <w:szCs w:val="22"/>
              </w:rPr>
              <m:t>S</m:t>
            </m:r>
          </m:e>
          <m:sub>
            <m:r>
              <w:rPr>
                <w:rFonts w:ascii="Cambria Math" w:hAnsi="Cambria Math"/>
                <w:sz w:val="22"/>
                <w:szCs w:val="22"/>
              </w:rPr>
              <m:t>y</m:t>
            </m:r>
            <m:r>
              <w:rPr>
                <w:rFonts w:ascii="Cambria Math" w:hAnsi="Cambria Math" w:hint="eastAsia"/>
                <w:sz w:val="22"/>
                <w:szCs w:val="22"/>
              </w:rPr>
              <m:t xml:space="preserve"> </m:t>
            </m:r>
          </m:sub>
        </m:sSub>
      </m:oMath>
      <w:r w:rsidR="00185C78" w:rsidRPr="00BC31E0">
        <w:rPr>
          <w:rFonts w:hint="eastAsia"/>
          <w:sz w:val="22"/>
          <w:szCs w:val="22"/>
        </w:rPr>
        <w:t>の</w:t>
      </w:r>
      <w:r w:rsidR="00A84424" w:rsidRPr="00BC31E0">
        <w:rPr>
          <w:rFonts w:hint="eastAsia"/>
          <w:sz w:val="22"/>
          <w:szCs w:val="22"/>
        </w:rPr>
        <w:t>とき，</w:t>
      </w:r>
      <w:r w:rsidR="00A71202" w:rsidRPr="00BC31E0">
        <w:rPr>
          <w:rFonts w:hint="eastAsia"/>
          <w:sz w:val="22"/>
          <w:szCs w:val="22"/>
        </w:rPr>
        <w:tab/>
      </w:r>
      <m:oMath>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m</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b</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1.5</m:t>
            </m:r>
            <m:r>
              <w:rPr>
                <w:rFonts w:ascii="Cambria Math" w:hAnsi="Cambria Math" w:hint="eastAsia"/>
                <w:sz w:val="22"/>
                <w:szCs w:val="22"/>
              </w:rPr>
              <m:t>K</m:t>
            </m:r>
          </m:e>
          <m:sub>
            <m:r>
              <w:rPr>
                <w:rFonts w:ascii="Cambria Math" w:hAnsi="Cambria Math" w:hint="eastAsia"/>
                <w:sz w:val="22"/>
                <w:szCs w:val="22"/>
              </w:rPr>
              <m:t>ut</m:t>
            </m:r>
          </m:sub>
        </m:sSub>
        <m:sSub>
          <m:sSubPr>
            <m:ctrlPr>
              <w:rPr>
                <w:rFonts w:ascii="Cambria Math" w:hAnsi="Cambria Math"/>
                <w:sz w:val="22"/>
                <w:szCs w:val="22"/>
              </w:rPr>
            </m:ctrlPr>
          </m:sSubPr>
          <m:e>
            <m:r>
              <w:rPr>
                <w:rFonts w:ascii="Cambria Math" w:hAnsi="Cambria Math" w:hint="eastAsia"/>
                <w:sz w:val="22"/>
                <w:szCs w:val="22"/>
              </w:rPr>
              <m:t>S</m:t>
            </m:r>
          </m:e>
          <m:sub>
            <m:r>
              <w:rPr>
                <w:rFonts w:ascii="Cambria Math" w:hAnsi="Cambria Math" w:hint="eastAsia"/>
                <w:sz w:val="22"/>
                <w:szCs w:val="22"/>
              </w:rPr>
              <m:t>y</m:t>
            </m:r>
            <m:r>
              <w:rPr>
                <w:rFonts w:ascii="Cambria Math" w:hAnsi="Cambria Math"/>
                <w:sz w:val="22"/>
                <w:szCs w:val="22"/>
              </w:rPr>
              <m:t xml:space="preserve"> </m:t>
            </m:r>
          </m:sub>
        </m:sSub>
      </m:oMath>
    </w:p>
    <w:p w14:paraId="500EB6B4" w14:textId="77777777" w:rsidR="00185C78" w:rsidRPr="00BC31E0" w:rsidRDefault="00185C78" w:rsidP="00A245C7">
      <w:pPr>
        <w:tabs>
          <w:tab w:val="left" w:pos="1946"/>
          <w:tab w:val="left" w:pos="4962"/>
        </w:tabs>
        <w:ind w:firstLine="170"/>
      </w:pPr>
      <w:r w:rsidRPr="00BC31E0">
        <w:rPr>
          <w:rFonts w:hint="eastAsia"/>
        </w:rPr>
        <w:tab/>
      </w:r>
      <m:oMath>
        <m:sSub>
          <m:sSubPr>
            <m:ctrlPr>
              <w:rPr>
                <w:rFonts w:ascii="Cambria Math" w:hAnsi="Cambria Math"/>
                <w:sz w:val="22"/>
                <w:szCs w:val="22"/>
              </w:rPr>
            </m:ctrlPr>
          </m:sSubPr>
          <m:e>
            <m:r>
              <w:rPr>
                <w:rFonts w:ascii="Cambria Math" w:hAnsi="Cambria Math"/>
                <w:sz w:val="22"/>
                <w:szCs w:val="22"/>
              </w:rPr>
              <m:t xml:space="preserve"> 0.67S</m:t>
            </m:r>
          </m:e>
          <m:sub>
            <m:r>
              <w:rPr>
                <w:rFonts w:ascii="Cambria Math" w:hAnsi="Cambria Math"/>
                <w:sz w:val="22"/>
                <w:szCs w:val="22"/>
              </w:rPr>
              <m:t>y</m:t>
            </m:r>
          </m:sub>
        </m:sSub>
        <m:r>
          <m:rPr>
            <m:sty m:val="p"/>
          </m:rPr>
          <w:rPr>
            <w:rFonts w:ascii="Cambria Math" w:hAnsi="Cambria Math"/>
            <w:sz w:val="22"/>
            <w:szCs w:val="22"/>
          </w:rPr>
          <m:t>&lt;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m</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hint="eastAsia"/>
                <w:sz w:val="22"/>
                <w:szCs w:val="22"/>
              </w:rPr>
              <m:t>K</m:t>
            </m:r>
          </m:e>
          <m:sub>
            <m:r>
              <w:rPr>
                <w:rFonts w:ascii="Cambria Math" w:hAnsi="Cambria Math" w:hint="eastAsia"/>
                <w:sz w:val="22"/>
                <w:szCs w:val="22"/>
              </w:rPr>
              <m:t>ut</m:t>
            </m:r>
          </m:sub>
        </m:sSub>
        <m:sSub>
          <m:sSubPr>
            <m:ctrlPr>
              <w:rPr>
                <w:rFonts w:ascii="Cambria Math" w:hAnsi="Cambria Math"/>
                <w:sz w:val="22"/>
                <w:szCs w:val="22"/>
              </w:rPr>
            </m:ctrlPr>
          </m:sSubPr>
          <m:e>
            <m:r>
              <w:rPr>
                <w:rFonts w:ascii="Cambria Math" w:hAnsi="Cambria Math" w:hint="eastAsia"/>
                <w:sz w:val="22"/>
                <w:szCs w:val="22"/>
              </w:rPr>
              <m:t>S</m:t>
            </m:r>
          </m:e>
          <m:sub>
            <m:r>
              <w:rPr>
                <w:rFonts w:ascii="Cambria Math" w:hAnsi="Cambria Math" w:hint="eastAsia"/>
                <w:sz w:val="22"/>
                <w:szCs w:val="22"/>
              </w:rPr>
              <m:t>y</m:t>
            </m:r>
          </m:sub>
        </m:sSub>
        <m:r>
          <m:rPr>
            <m:sty m:val="p"/>
          </m:rPr>
          <w:rPr>
            <w:rFonts w:ascii="Cambria Math" w:hAnsi="Cambria Math" w:hint="eastAsia"/>
            <w:sz w:val="22"/>
            <w:szCs w:val="22"/>
          </w:rPr>
          <m:t xml:space="preserve"> </m:t>
        </m:r>
      </m:oMath>
      <w:r w:rsidRPr="00BC31E0">
        <w:rPr>
          <w:rFonts w:hint="eastAsia"/>
          <w:sz w:val="22"/>
          <w:szCs w:val="22"/>
        </w:rPr>
        <w:t>の</w:t>
      </w:r>
      <w:r w:rsidR="00A84424" w:rsidRPr="00BC31E0">
        <w:rPr>
          <w:rFonts w:hint="eastAsia"/>
          <w:sz w:val="22"/>
          <w:szCs w:val="22"/>
        </w:rPr>
        <w:t>とき，</w:t>
      </w:r>
      <w:r w:rsidR="00A71202" w:rsidRPr="00BC31E0">
        <w:rPr>
          <w:rFonts w:hint="eastAsia"/>
          <w:sz w:val="22"/>
          <w:szCs w:val="22"/>
        </w:rPr>
        <w:tab/>
      </w:r>
      <m:oMath>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m</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b</m:t>
            </m:r>
          </m:sub>
        </m:sSub>
        <m:r>
          <m:rPr>
            <m:sty m:val="p"/>
          </m:rP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m:rPr>
                    <m:sty m:val="p"/>
                  </m:rPr>
                  <w:rPr>
                    <w:rFonts w:ascii="Cambria Math" w:hAnsi="Cambria Math"/>
                    <w:sz w:val="22"/>
                    <w:szCs w:val="22"/>
                  </w:rPr>
                  <m:t>1.5</m:t>
                </m:r>
                <m:r>
                  <w:rPr>
                    <w:rFonts w:ascii="Cambria Math" w:hAnsi="Cambria Math" w:hint="eastAsia"/>
                    <w:sz w:val="22"/>
                    <w:szCs w:val="22"/>
                  </w:rPr>
                  <m:t>K</m:t>
                </m:r>
              </m:e>
              <m:sub>
                <m:r>
                  <w:rPr>
                    <w:rFonts w:ascii="Cambria Math" w:hAnsi="Cambria Math" w:hint="eastAsia"/>
                    <w:sz w:val="22"/>
                    <w:szCs w:val="22"/>
                  </w:rPr>
                  <m:t>ut</m:t>
                </m:r>
              </m:sub>
            </m:sSub>
            <m:r>
              <m:rPr>
                <m:sty m:val="p"/>
              </m:rPr>
              <w:rPr>
                <w:rFonts w:ascii="Cambria Math" w:hAnsi="Cambria Math"/>
                <w:sz w:val="22"/>
                <w:szCs w:val="22"/>
              </w:rPr>
              <m:t>+1</m:t>
            </m:r>
          </m:e>
        </m:d>
        <m:sSub>
          <m:sSubPr>
            <m:ctrlPr>
              <w:rPr>
                <w:rFonts w:ascii="Cambria Math" w:hAnsi="Cambria Math"/>
                <w:i/>
                <w:sz w:val="22"/>
                <w:szCs w:val="22"/>
              </w:rPr>
            </m:ctrlPr>
          </m:sSubPr>
          <m:e>
            <m:r>
              <w:rPr>
                <w:rFonts w:ascii="Cambria Math" w:hAnsi="Cambria Math" w:hint="eastAsia"/>
                <w:sz w:val="22"/>
                <w:szCs w:val="22"/>
              </w:rPr>
              <m:t>S</m:t>
            </m:r>
          </m:e>
          <m:sub>
            <m:r>
              <w:rPr>
                <w:rFonts w:ascii="Cambria Math" w:hAnsi="Cambria Math"/>
                <w:sz w:val="22"/>
                <w:szCs w:val="22"/>
              </w:rPr>
              <m:t>y</m:t>
            </m:r>
          </m:sub>
        </m:sSub>
        <m:r>
          <m:rPr>
            <m:sty m:val="p"/>
          </m:rPr>
          <w:rPr>
            <w:rFonts w:ascii="Cambria Math" w:hAnsi="Cambria Math"/>
            <w:sz w:val="22"/>
            <w:szCs w:val="22"/>
          </w:rPr>
          <m:t>-</m:t>
        </m:r>
        <m:r>
          <w:rPr>
            <w:rFonts w:ascii="Cambria Math" w:hAnsi="Cambria Math" w:hint="eastAsia"/>
            <w:sz w:val="22"/>
            <w:szCs w:val="22"/>
          </w:rPr>
          <m:t>1.5</m:t>
        </m:r>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m</m:t>
            </m:r>
          </m:sub>
        </m:sSub>
      </m:oMath>
    </w:p>
    <w:p w14:paraId="5F83FA38" w14:textId="77777777" w:rsidR="00185C78" w:rsidRPr="00BC31E0" w:rsidRDefault="00185C78" w:rsidP="00736130">
      <w:pPr>
        <w:pStyle w:val="a4"/>
        <w:numPr>
          <w:ilvl w:val="0"/>
          <w:numId w:val="616"/>
        </w:numPr>
        <w:spacing w:before="120"/>
        <w:ind w:leftChars="0" w:left="1134" w:hanging="567"/>
        <w:rPr>
          <w:rFonts w:eastAsiaTheme="majorEastAsia"/>
        </w:rPr>
      </w:pPr>
      <w:r w:rsidRPr="00BC31E0">
        <w:rPr>
          <w:rFonts w:asciiTheme="majorEastAsia" w:eastAsiaTheme="majorEastAsia" w:hAnsiTheme="majorEastAsia" w:hint="eastAsia"/>
          <w:b/>
        </w:rPr>
        <w:t>弾塑性解析の場合</w:t>
      </w:r>
      <w:r w:rsidR="00EA563E" w:rsidRPr="00BC31E0">
        <w:rPr>
          <w:rFonts w:asciiTheme="minorEastAsia" w:eastAsiaTheme="minorEastAsia" w:hAnsiTheme="minorEastAsia"/>
        </w:rPr>
        <w:t xml:space="preserve">　</w:t>
      </w:r>
      <w:r w:rsidRPr="00BC31E0">
        <w:rPr>
          <w:rFonts w:asciiTheme="minorHAnsi" w:eastAsiaTheme="minorEastAsia" w:hAnsiTheme="minorEastAsia"/>
          <w:bCs/>
        </w:rPr>
        <w:t>弾塑性解析は</w:t>
      </w:r>
      <w:r w:rsidRPr="00BC31E0">
        <w:rPr>
          <w:rFonts w:asciiTheme="majorEastAsia" w:eastAsiaTheme="majorEastAsia" w:hAnsiTheme="majorEastAsia"/>
          <w:b/>
        </w:rPr>
        <w:t>6.2.3</w:t>
      </w:r>
      <w:r w:rsidRPr="00BC31E0">
        <w:rPr>
          <w:rFonts w:asciiTheme="minorHAnsi" w:eastAsiaTheme="minorEastAsia" w:hAnsiTheme="minorEastAsia"/>
          <w:bCs/>
        </w:rPr>
        <w:t>に従って実施する。</w:t>
      </w:r>
    </w:p>
    <w:p w14:paraId="65232696" w14:textId="77777777" w:rsidR="00185C78" w:rsidRPr="00BC31E0" w:rsidRDefault="00185C78" w:rsidP="00736130">
      <w:pPr>
        <w:pStyle w:val="a4"/>
        <w:numPr>
          <w:ilvl w:val="0"/>
          <w:numId w:val="587"/>
        </w:numPr>
        <w:ind w:leftChars="0" w:left="738" w:hanging="454"/>
        <w:rPr>
          <w:rFonts w:ascii="ＭＳ 明朝" w:hAnsi="ＭＳ 明朝"/>
        </w:rPr>
      </w:pPr>
      <w:r w:rsidRPr="00BC31E0">
        <w:rPr>
          <w:rFonts w:asciiTheme="majorEastAsia" w:eastAsiaTheme="majorEastAsia" w:hAnsiTheme="majorEastAsia" w:hint="eastAsia"/>
          <w:b/>
        </w:rPr>
        <w:t>規格の制限を越える圧力</w:t>
      </w:r>
      <w:r w:rsidRPr="00BC31E0">
        <w:rPr>
          <w:rFonts w:hint="eastAsia"/>
        </w:rPr>
        <w:t xml:space="preserve">　</w:t>
      </w:r>
      <w:r w:rsidRPr="00BC31E0">
        <w:rPr>
          <w:rFonts w:ascii="ＭＳ 明朝" w:hAnsi="ＭＳ 明朝" w:hint="eastAsia"/>
        </w:rPr>
        <w:t>耐圧試験圧力が</w:t>
      </w:r>
      <w:r w:rsidRPr="00BC31E0">
        <w:rPr>
          <w:rFonts w:asciiTheme="majorEastAsia" w:eastAsiaTheme="majorEastAsia" w:hAnsiTheme="majorEastAsia" w:hint="eastAsia"/>
          <w:b/>
        </w:rPr>
        <w:t>1)</w:t>
      </w:r>
      <w:r w:rsidRPr="00BC31E0">
        <w:rPr>
          <w:rFonts w:ascii="ＭＳ 明朝" w:hAnsi="ＭＳ 明朝" w:hint="eastAsia"/>
        </w:rPr>
        <w:t>～</w:t>
      </w:r>
      <w:r w:rsidRPr="00BC31E0">
        <w:rPr>
          <w:rFonts w:asciiTheme="majorEastAsia" w:eastAsiaTheme="majorEastAsia" w:hAnsiTheme="majorEastAsia" w:hint="eastAsia"/>
          <w:b/>
        </w:rPr>
        <w:t>3)</w:t>
      </w:r>
      <w:r w:rsidRPr="00BC31E0">
        <w:rPr>
          <w:rFonts w:ascii="ＭＳ 明朝" w:hAnsi="ＭＳ 明朝" w:hint="eastAsia"/>
        </w:rPr>
        <w:t>の値を超える場合は，設計者はその適合性や健全性を評価し，製作者設計報告書にその結果を含めなければならない。</w:t>
      </w:r>
    </w:p>
    <w:p w14:paraId="108C2615" w14:textId="77777777" w:rsidR="00185C78" w:rsidRPr="00BC31E0" w:rsidRDefault="00A245C7" w:rsidP="002168BE">
      <w:pPr>
        <w:pStyle w:val="3"/>
        <w:tabs>
          <w:tab w:val="clear" w:pos="284"/>
        </w:tabs>
        <w:ind w:left="794" w:hanging="794"/>
      </w:pPr>
      <w:r w:rsidRPr="00BC31E0">
        <w:rPr>
          <w:rFonts w:hint="eastAsia"/>
        </w:rPr>
        <w:t xml:space="preserve"> </w:t>
      </w:r>
      <w:r w:rsidR="00185C78" w:rsidRPr="00BC31E0">
        <w:rPr>
          <w:rFonts w:hint="eastAsia"/>
        </w:rPr>
        <w:t>試験媒体</w:t>
      </w:r>
    </w:p>
    <w:p w14:paraId="6B9DA215" w14:textId="77777777" w:rsidR="00185C78" w:rsidRPr="00BC31E0" w:rsidRDefault="00185C78" w:rsidP="00A245C7">
      <w:pPr>
        <w:pStyle w:val="1110"/>
        <w:ind w:firstLine="210"/>
      </w:pPr>
      <w:r w:rsidRPr="00BC31E0">
        <w:rPr>
          <w:rFonts w:hint="eastAsia"/>
        </w:rPr>
        <w:t>使用する流体は試験温度，圧力において液体であり，腐食性</w:t>
      </w:r>
      <w:r w:rsidR="00024704" w:rsidRPr="00BC31E0">
        <w:rPr>
          <w:rFonts w:hint="eastAsia"/>
        </w:rPr>
        <w:t>が</w:t>
      </w:r>
      <w:r w:rsidR="006B4007" w:rsidRPr="00BC31E0">
        <w:rPr>
          <w:rFonts w:hint="eastAsia"/>
        </w:rPr>
        <w:t>あってはならない</w:t>
      </w:r>
      <w:r w:rsidRPr="00BC31E0">
        <w:rPr>
          <w:rFonts w:hint="eastAsia"/>
        </w:rPr>
        <w:t>。また，製作者は圧力による流体粘度の上昇についても考慮しなければならない。</w:t>
      </w:r>
      <w:r w:rsidR="00A245C7" w:rsidRPr="00BC31E0">
        <w:rPr>
          <w:rFonts w:hint="eastAsia"/>
        </w:rPr>
        <w:t>脆性</w:t>
      </w:r>
      <w:r w:rsidRPr="00BC31E0">
        <w:rPr>
          <w:rFonts w:hint="eastAsia"/>
        </w:rPr>
        <w:t>破壊を防ぐために，耐圧試験は材料の衝撃試験温度より</w:t>
      </w:r>
      <w:r w:rsidRPr="00BC31E0">
        <w:rPr>
          <w:rFonts w:asciiTheme="minorHAnsi" w:hAnsiTheme="minorHAnsi"/>
        </w:rPr>
        <w:t>17</w:t>
      </w:r>
      <w:r w:rsidR="00F17F01" w:rsidRPr="00BC31E0">
        <w:rPr>
          <w:rFonts w:asciiTheme="minorEastAsia" w:eastAsiaTheme="minorEastAsia" w:hAnsiTheme="minorEastAsia" w:hint="eastAsia"/>
          <w:bCs/>
          <w:szCs w:val="21"/>
        </w:rPr>
        <w:t>℃</w:t>
      </w:r>
      <w:r w:rsidRPr="00BC31E0">
        <w:rPr>
          <w:rFonts w:hint="eastAsia"/>
        </w:rPr>
        <w:t>以上高い温度で行わなければならない。ただし，試験媒体の沸点未満とする。容器と試験媒体の温度差が</w:t>
      </w:r>
      <w:r w:rsidRPr="00BC31E0">
        <w:rPr>
          <w:rFonts w:asciiTheme="minorHAnsi" w:hAnsiTheme="minorHAnsi"/>
        </w:rPr>
        <w:t>5.6</w:t>
      </w:r>
      <w:r w:rsidR="00F17F01" w:rsidRPr="00BC31E0">
        <w:rPr>
          <w:rFonts w:asciiTheme="minorEastAsia" w:eastAsiaTheme="minorEastAsia" w:hAnsiTheme="minorEastAsia" w:hint="eastAsia"/>
          <w:bCs/>
          <w:szCs w:val="21"/>
        </w:rPr>
        <w:t>℃</w:t>
      </w:r>
      <w:r w:rsidRPr="00BC31E0">
        <w:rPr>
          <w:rFonts w:hint="eastAsia"/>
        </w:rPr>
        <w:t>以内になるまで加圧してはならない。</w:t>
      </w:r>
    </w:p>
    <w:p w14:paraId="195FF126" w14:textId="77777777" w:rsidR="00185C78" w:rsidRPr="00BC31E0" w:rsidRDefault="00185C78" w:rsidP="00A245C7">
      <w:pPr>
        <w:ind w:left="879" w:hanging="652"/>
      </w:pPr>
      <w:r w:rsidRPr="00BC31E0">
        <w:rPr>
          <w:rFonts w:ascii="ＭＳ ゴシック" w:eastAsia="ＭＳ ゴシック" w:hAnsi="ＭＳ ゴシック" w:hint="eastAsia"/>
          <w:b/>
          <w:bCs/>
        </w:rPr>
        <w:t>注記</w:t>
      </w:r>
      <w:r w:rsidRPr="00BC31E0">
        <w:rPr>
          <w:rFonts w:ascii="ＭＳ ゴシック" w:eastAsia="ＭＳ ゴシック" w:hAnsi="ＭＳ ゴシック" w:hint="eastAsia"/>
        </w:rPr>
        <w:t xml:space="preserve">　</w:t>
      </w:r>
      <w:r w:rsidRPr="00BC31E0">
        <w:rPr>
          <w:rFonts w:hint="eastAsia"/>
        </w:rPr>
        <w:t>耐圧試験時の容器の内容積を減少させるために，容器に入れ子を入れてもよい。試験場</w:t>
      </w:r>
      <w:r w:rsidRPr="00BC31E0">
        <w:rPr>
          <w:rFonts w:hint="eastAsia"/>
        </w:rPr>
        <w:t xml:space="preserve">        </w:t>
      </w:r>
      <w:r w:rsidRPr="00BC31E0">
        <w:rPr>
          <w:rFonts w:hint="eastAsia"/>
        </w:rPr>
        <w:lastRenderedPageBreak/>
        <w:t>所，流体特性，試験時の圧力エネルギーに従い，安全に注意する。</w:t>
      </w:r>
    </w:p>
    <w:p w14:paraId="10B2F97A" w14:textId="77777777" w:rsidR="00185C78" w:rsidRPr="00BC31E0" w:rsidRDefault="00A245C7" w:rsidP="002168BE">
      <w:pPr>
        <w:pStyle w:val="3"/>
        <w:tabs>
          <w:tab w:val="clear" w:pos="284"/>
        </w:tabs>
        <w:ind w:left="794" w:hanging="794"/>
      </w:pPr>
      <w:r w:rsidRPr="00BC31E0">
        <w:rPr>
          <w:rFonts w:hint="eastAsia"/>
        </w:rPr>
        <w:t xml:space="preserve"> </w:t>
      </w:r>
      <w:r w:rsidR="00185C78" w:rsidRPr="00BC31E0">
        <w:rPr>
          <w:rFonts w:hint="eastAsia"/>
        </w:rPr>
        <w:t>試験要領</w:t>
      </w:r>
    </w:p>
    <w:p w14:paraId="3D19796A" w14:textId="77777777" w:rsidR="00185C78" w:rsidRPr="00BC31E0" w:rsidRDefault="00185C78" w:rsidP="00A245C7">
      <w:pPr>
        <w:pStyle w:val="1110"/>
        <w:ind w:firstLine="210"/>
      </w:pPr>
      <w:r w:rsidRPr="00BC31E0">
        <w:rPr>
          <w:rFonts w:hint="eastAsia"/>
        </w:rPr>
        <w:t>試験要領は，次の</w:t>
      </w:r>
      <w:r w:rsidRPr="00BC31E0">
        <w:rPr>
          <w:rFonts w:ascii="ＭＳ ゴシック" w:hAnsi="ＭＳ ゴシック" w:hint="eastAsia"/>
          <w:b/>
        </w:rPr>
        <w:t>a)</w:t>
      </w:r>
      <w:r w:rsidRPr="00BC31E0">
        <w:rPr>
          <w:rFonts w:hint="eastAsia"/>
        </w:rPr>
        <w:t>，</w:t>
      </w:r>
      <w:r w:rsidRPr="00BC31E0">
        <w:rPr>
          <w:rFonts w:ascii="ＭＳ ゴシック" w:hAnsi="ＭＳ ゴシック" w:hint="eastAsia"/>
          <w:b/>
        </w:rPr>
        <w:t>b)</w:t>
      </w:r>
      <w:r w:rsidRPr="00BC31E0">
        <w:rPr>
          <w:rFonts w:hint="eastAsia"/>
        </w:rPr>
        <w:t>による。</w:t>
      </w:r>
    </w:p>
    <w:p w14:paraId="1553A4E9" w14:textId="77777777" w:rsidR="002168BE" w:rsidRPr="00BC31E0" w:rsidRDefault="00185C78" w:rsidP="00736130">
      <w:pPr>
        <w:pStyle w:val="a4"/>
        <w:numPr>
          <w:ilvl w:val="0"/>
          <w:numId w:val="617"/>
        </w:numPr>
        <w:ind w:leftChars="0" w:left="454" w:hanging="454"/>
      </w:pPr>
      <w:r w:rsidRPr="00BC31E0">
        <w:rPr>
          <w:rFonts w:asciiTheme="majorEastAsia" w:eastAsiaTheme="majorEastAsia" w:hAnsiTheme="majorEastAsia" w:hint="eastAsia"/>
          <w:b/>
        </w:rPr>
        <w:t>耐圧試験</w:t>
      </w:r>
      <w:r w:rsidRPr="00BC31E0">
        <w:rPr>
          <w:rFonts w:hint="eastAsia"/>
        </w:rPr>
        <w:t xml:space="preserve">　耐圧試験圧力の</w:t>
      </w:r>
      <w:r w:rsidRPr="00BC31E0">
        <w:t>20%</w:t>
      </w:r>
      <w:r w:rsidRPr="00BC31E0">
        <w:rPr>
          <w:rFonts w:hint="eastAsia"/>
        </w:rPr>
        <w:t>以内の増分ずつ昇圧する。その都度，ポンプの寄与なしで圧力を維持，安定させる。最低</w:t>
      </w:r>
      <w:r w:rsidRPr="00BC31E0">
        <w:t>5</w:t>
      </w:r>
      <w:r w:rsidRPr="00BC31E0">
        <w:rPr>
          <w:rFonts w:hint="eastAsia"/>
        </w:rPr>
        <w:t>分間ポンプの寄与なく試験圧力が維持され，圧力を</w:t>
      </w:r>
      <w:r w:rsidRPr="00BC31E0">
        <w:t>0</w:t>
      </w:r>
      <w:r w:rsidRPr="00BC31E0">
        <w:rPr>
          <w:rFonts w:hint="eastAsia"/>
        </w:rPr>
        <w:t>に除荷した時に耐圧試験によって圧力容器に局部的な膨らみ，伸びなどの異常が生じていないことが確認された場合，試験は合格とする。</w:t>
      </w:r>
      <w:r w:rsidRPr="00BC31E0">
        <w:t>5%</w:t>
      </w:r>
      <w:r w:rsidRPr="00BC31E0">
        <w:rPr>
          <w:rFonts w:hint="eastAsia"/>
        </w:rPr>
        <w:t>を越える圧力降下が生じた場合は，安全なレベルまで圧力を下げ，続けて漏洩検査を</w:t>
      </w:r>
      <w:r w:rsidRPr="00BC31E0">
        <w:rPr>
          <w:rFonts w:hAnsi="ＭＳ ゴシック" w:hint="eastAsia"/>
          <w:bCs/>
        </w:rPr>
        <w:t>b)</w:t>
      </w:r>
      <w:r w:rsidRPr="00BC31E0">
        <w:rPr>
          <w:rFonts w:hint="eastAsia"/>
        </w:rPr>
        <w:t>に示す部位に対して実施する。検査は安全なレベルまで圧力を下げた直後に行う。漏洩箇所の判定，修正後に，容器はこの要求事項に従って再試験を受ける。</w:t>
      </w:r>
    </w:p>
    <w:p w14:paraId="44EA4A79" w14:textId="77777777" w:rsidR="00185C78" w:rsidRPr="00BC31E0" w:rsidRDefault="00185C78" w:rsidP="00736130">
      <w:pPr>
        <w:pStyle w:val="a4"/>
        <w:numPr>
          <w:ilvl w:val="0"/>
          <w:numId w:val="617"/>
        </w:numPr>
        <w:ind w:leftChars="0" w:left="454" w:hanging="454"/>
      </w:pPr>
      <w:r w:rsidRPr="00BC31E0">
        <w:rPr>
          <w:rFonts w:asciiTheme="majorEastAsia" w:eastAsiaTheme="majorEastAsia" w:hAnsiTheme="majorEastAsia" w:hint="eastAsia"/>
          <w:b/>
        </w:rPr>
        <w:t>漏洩試験</w:t>
      </w:r>
      <w:r w:rsidRPr="00BC31E0">
        <w:rPr>
          <w:rFonts w:hint="eastAsia"/>
        </w:rPr>
        <w:t xml:space="preserve">　耐圧試験で最低</w:t>
      </w:r>
      <w:r w:rsidRPr="00BC31E0">
        <w:t>5</w:t>
      </w:r>
      <w:r w:rsidRPr="00BC31E0">
        <w:rPr>
          <w:rFonts w:hint="eastAsia"/>
        </w:rPr>
        <w:t>分間，ポンプの寄与なく試験圧力が維持された後，設計圧力まで降圧し，</w:t>
      </w:r>
      <w:r w:rsidR="00DC160D" w:rsidRPr="00BC31E0">
        <w:rPr>
          <w:rFonts w:hint="eastAsia"/>
        </w:rPr>
        <w:t>全</w:t>
      </w:r>
      <w:r w:rsidRPr="00BC31E0">
        <w:rPr>
          <w:rFonts w:hint="eastAsia"/>
        </w:rPr>
        <w:t>ての継手，接続部，鏡板のすみの丸み部，穴の周辺及び板厚が変化する部分など高応力が作用する領域に対して漏洩検査を行う。容器自体からの漏洩が無い場合，試験は合格とする。</w:t>
      </w:r>
    </w:p>
    <w:p w14:paraId="6B37D6E6" w14:textId="77777777" w:rsidR="00185C78" w:rsidRPr="00BC31E0" w:rsidRDefault="00185C78" w:rsidP="00A245C7">
      <w:pPr>
        <w:pStyle w:val="15"/>
        <w:ind w:left="1078" w:firstLineChars="0" w:hanging="624"/>
      </w:pPr>
      <w:r w:rsidRPr="00BC31E0">
        <w:rPr>
          <w:rFonts w:ascii="ＭＳ ゴシック" w:eastAsia="ＭＳ ゴシック" w:hAnsi="ＭＳ ゴシック" w:hint="eastAsia"/>
          <w:b/>
          <w:bCs/>
        </w:rPr>
        <w:t>注記</w:t>
      </w:r>
      <w:r w:rsidRPr="00BC31E0">
        <w:rPr>
          <w:rFonts w:ascii="ＭＳ ゴシック" w:eastAsia="ＭＳ ゴシック" w:hAnsi="ＭＳ ゴシック" w:hint="eastAsia"/>
        </w:rPr>
        <w:t xml:space="preserve">　</w:t>
      </w:r>
      <w:r w:rsidRPr="00BC31E0">
        <w:rPr>
          <w:rFonts w:hint="eastAsia"/>
        </w:rPr>
        <w:t>漏洩があっても，それが容器自体とは別の付着物やフィッティングからの場合は，試</w:t>
      </w:r>
      <w:r w:rsidR="00BF082A" w:rsidRPr="00BC31E0">
        <w:rPr>
          <w:rFonts w:hint="eastAsia"/>
        </w:rPr>
        <w:t xml:space="preserve">　　　</w:t>
      </w:r>
      <w:r w:rsidRPr="00BC31E0">
        <w:rPr>
          <w:rFonts w:hint="eastAsia"/>
        </w:rPr>
        <w:t>験は合格とする。</w:t>
      </w:r>
    </w:p>
    <w:p w14:paraId="583C38AE" w14:textId="77777777" w:rsidR="00185C78" w:rsidRPr="00BC31E0" w:rsidRDefault="00596F1B" w:rsidP="002168BE">
      <w:pPr>
        <w:pStyle w:val="3"/>
        <w:tabs>
          <w:tab w:val="clear" w:pos="284"/>
        </w:tabs>
        <w:ind w:left="794" w:hanging="794"/>
      </w:pPr>
      <w:r w:rsidRPr="00BC31E0">
        <w:rPr>
          <w:rFonts w:hint="eastAsia"/>
        </w:rPr>
        <w:t xml:space="preserve"> </w:t>
      </w:r>
      <w:r w:rsidR="00185C78" w:rsidRPr="00BC31E0">
        <w:rPr>
          <w:rFonts w:hint="eastAsia"/>
        </w:rPr>
        <w:t>自緊容器への除外規定</w:t>
      </w:r>
    </w:p>
    <w:p w14:paraId="19574042" w14:textId="77777777" w:rsidR="00185C78" w:rsidRPr="00BC31E0" w:rsidRDefault="00185C78" w:rsidP="002168BE">
      <w:pPr>
        <w:pStyle w:val="1110"/>
        <w:ind w:firstLine="210"/>
        <w:rPr>
          <w:bCs/>
        </w:rPr>
      </w:pPr>
      <w:r w:rsidRPr="00BC31E0">
        <w:rPr>
          <w:rFonts w:hint="eastAsia"/>
        </w:rPr>
        <w:t>次の</w:t>
      </w:r>
      <w:r w:rsidRPr="00BC31E0">
        <w:rPr>
          <w:rFonts w:ascii="ＭＳ ゴシック" w:hAnsi="ＭＳ ゴシック" w:hint="eastAsia"/>
          <w:b/>
        </w:rPr>
        <w:t>a)</w:t>
      </w:r>
      <w:r w:rsidRPr="00BC31E0">
        <w:rPr>
          <w:rFonts w:hint="eastAsia"/>
        </w:rPr>
        <w:t>～</w:t>
      </w:r>
      <w:r w:rsidRPr="00BC31E0">
        <w:rPr>
          <w:rFonts w:ascii="ＭＳ ゴシック" w:hAnsi="ＭＳ ゴシック" w:hint="eastAsia"/>
          <w:b/>
        </w:rPr>
        <w:t>d)</w:t>
      </w:r>
      <w:r w:rsidRPr="00BC31E0">
        <w:rPr>
          <w:rFonts w:hint="eastAsia"/>
        </w:rPr>
        <w:t>の</w:t>
      </w:r>
      <w:r w:rsidR="00DC160D" w:rsidRPr="00BC31E0">
        <w:rPr>
          <w:rFonts w:hint="eastAsia"/>
        </w:rPr>
        <w:t>全</w:t>
      </w:r>
      <w:r w:rsidRPr="00BC31E0">
        <w:rPr>
          <w:rFonts w:hint="eastAsia"/>
        </w:rPr>
        <w:t>てに合致するならば，自緊容器は耐圧試験を実施しなくてもよい。</w:t>
      </w:r>
    </w:p>
    <w:p w14:paraId="4348DDAC" w14:textId="77777777" w:rsidR="002168BE" w:rsidRPr="00BC31E0" w:rsidRDefault="00185C78" w:rsidP="00736130">
      <w:pPr>
        <w:pStyle w:val="a4"/>
        <w:numPr>
          <w:ilvl w:val="0"/>
          <w:numId w:val="618"/>
        </w:numPr>
        <w:ind w:leftChars="0" w:left="454" w:hanging="454"/>
      </w:pPr>
      <w:r w:rsidRPr="00BC31E0">
        <w:rPr>
          <w:rFonts w:hint="eastAsia"/>
        </w:rPr>
        <w:t>最終組立状態時に自緊された容器</w:t>
      </w:r>
    </w:p>
    <w:p w14:paraId="5D6CE414" w14:textId="77777777" w:rsidR="002168BE" w:rsidRPr="00BC31E0" w:rsidRDefault="00185C78" w:rsidP="00736130">
      <w:pPr>
        <w:pStyle w:val="a4"/>
        <w:numPr>
          <w:ilvl w:val="0"/>
          <w:numId w:val="618"/>
        </w:numPr>
        <w:ind w:leftChars="0" w:left="454" w:hanging="454"/>
      </w:pPr>
      <w:r w:rsidRPr="00BC31E0">
        <w:rPr>
          <w:rFonts w:ascii="ＭＳ 明朝" w:hAnsi="ＭＳ 明朝" w:hint="eastAsia"/>
          <w:bCs/>
        </w:rPr>
        <w:t>自緊後に，いかなるアクセスポート及びノズルを切断したり取付けたりしていない。</w:t>
      </w:r>
    </w:p>
    <w:p w14:paraId="3576AFE1" w14:textId="77777777" w:rsidR="002168BE" w:rsidRPr="00BC31E0" w:rsidRDefault="00185C78" w:rsidP="00736130">
      <w:pPr>
        <w:pStyle w:val="a4"/>
        <w:numPr>
          <w:ilvl w:val="0"/>
          <w:numId w:val="618"/>
        </w:numPr>
        <w:ind w:leftChars="0" w:left="454" w:hanging="454"/>
      </w:pPr>
      <w:r w:rsidRPr="00BC31E0">
        <w:rPr>
          <w:rFonts w:ascii="ＭＳ 明朝" w:hAnsi="ＭＳ 明朝" w:hint="eastAsia"/>
          <w:bCs/>
        </w:rPr>
        <w:t>鏡及び閉止蓋，シールキャリアー，その他のシール構成材</w:t>
      </w:r>
      <w:r w:rsidR="00554BAA" w:rsidRPr="00BC31E0">
        <w:rPr>
          <w:rFonts w:hint="eastAsia"/>
        </w:rPr>
        <w:t>など</w:t>
      </w:r>
      <w:r w:rsidRPr="00BC31E0">
        <w:rPr>
          <w:rFonts w:ascii="ＭＳ 明朝" w:hAnsi="ＭＳ 明朝" w:hint="eastAsia"/>
          <w:bCs/>
        </w:rPr>
        <w:t>の完成容器に必要でないものが，自緊中のシール構成材として用いられる。</w:t>
      </w:r>
    </w:p>
    <w:p w14:paraId="254611B3" w14:textId="77777777" w:rsidR="00185C78" w:rsidRPr="00BC31E0" w:rsidRDefault="00185C78" w:rsidP="00736130">
      <w:pPr>
        <w:pStyle w:val="a4"/>
        <w:numPr>
          <w:ilvl w:val="0"/>
          <w:numId w:val="618"/>
        </w:numPr>
        <w:ind w:leftChars="0" w:left="454" w:hanging="454"/>
      </w:pPr>
      <w:r w:rsidRPr="00BC31E0">
        <w:rPr>
          <w:rFonts w:ascii="ＭＳ 明朝" w:hAnsi="ＭＳ 明朝" w:hint="eastAsia"/>
          <w:bCs/>
        </w:rPr>
        <w:t>自緊圧力が</w:t>
      </w:r>
      <w:r w:rsidRPr="00BC31E0">
        <w:rPr>
          <w:rFonts w:asciiTheme="majorEastAsia" w:eastAsiaTheme="majorEastAsia" w:hAnsiTheme="majorEastAsia" w:hint="eastAsia"/>
          <w:b/>
        </w:rPr>
        <w:t>10.3.2 a)</w:t>
      </w:r>
      <w:r w:rsidRPr="00BC31E0">
        <w:rPr>
          <w:rFonts w:ascii="ＭＳ 明朝" w:hAnsi="ＭＳ 明朝" w:hint="eastAsia"/>
          <w:bCs/>
        </w:rPr>
        <w:t>の要求値以上，</w:t>
      </w:r>
      <w:r w:rsidRPr="00BC31E0">
        <w:rPr>
          <w:rFonts w:asciiTheme="majorEastAsia" w:eastAsiaTheme="majorEastAsia" w:hAnsiTheme="majorEastAsia" w:hint="eastAsia"/>
          <w:b/>
        </w:rPr>
        <w:t>10.3.2 b)</w:t>
      </w:r>
      <w:r w:rsidRPr="00BC31E0">
        <w:rPr>
          <w:rFonts w:ascii="ＭＳ 明朝" w:hAnsi="ＭＳ 明朝" w:hint="eastAsia"/>
          <w:bCs/>
        </w:rPr>
        <w:t>の要求値以下の場合</w:t>
      </w:r>
    </w:p>
    <w:p w14:paraId="0C21B408" w14:textId="77777777" w:rsidR="00185C78" w:rsidRPr="00BC31E0" w:rsidRDefault="00596F1B" w:rsidP="002168BE">
      <w:pPr>
        <w:pStyle w:val="3"/>
        <w:tabs>
          <w:tab w:val="clear" w:pos="284"/>
        </w:tabs>
        <w:ind w:left="794" w:hanging="794"/>
      </w:pPr>
      <w:r w:rsidRPr="00BC31E0">
        <w:rPr>
          <w:rFonts w:hint="eastAsia"/>
        </w:rPr>
        <w:t xml:space="preserve"> </w:t>
      </w:r>
      <w:r w:rsidR="00185C78" w:rsidRPr="00BC31E0">
        <w:rPr>
          <w:rFonts w:hint="eastAsia"/>
        </w:rPr>
        <w:t>圧力計とトランスデューサー</w:t>
      </w:r>
    </w:p>
    <w:p w14:paraId="04044CA2" w14:textId="77777777" w:rsidR="00185C78" w:rsidRPr="00BC31E0" w:rsidRDefault="00185C78" w:rsidP="006945E6">
      <w:pPr>
        <w:pStyle w:val="1110"/>
        <w:ind w:firstLine="210"/>
      </w:pPr>
      <w:r w:rsidRPr="00BC31E0">
        <w:rPr>
          <w:rFonts w:hint="eastAsia"/>
        </w:rPr>
        <w:t>圧力計とトランスデューサーは，次の</w:t>
      </w:r>
      <w:r w:rsidRPr="00BC31E0">
        <w:rPr>
          <w:rFonts w:ascii="ＭＳ ゴシック" w:hAnsi="ＭＳ ゴシック" w:hint="eastAsia"/>
          <w:b/>
        </w:rPr>
        <w:t>a)</w:t>
      </w:r>
      <w:r w:rsidRPr="00BC31E0">
        <w:rPr>
          <w:rFonts w:hint="eastAsia"/>
        </w:rPr>
        <w:t>～</w:t>
      </w:r>
      <w:r w:rsidRPr="00BC31E0">
        <w:rPr>
          <w:rFonts w:ascii="ＭＳ ゴシック" w:hAnsi="ＭＳ ゴシック" w:hint="eastAsia"/>
          <w:b/>
        </w:rPr>
        <w:t>c)</w:t>
      </w:r>
      <w:r w:rsidRPr="00BC31E0">
        <w:rPr>
          <w:rFonts w:hint="eastAsia"/>
        </w:rPr>
        <w:t>による。</w:t>
      </w:r>
    </w:p>
    <w:p w14:paraId="33FC9F65" w14:textId="77777777" w:rsidR="002168BE" w:rsidRPr="00BC31E0" w:rsidRDefault="00185C78" w:rsidP="00736130">
      <w:pPr>
        <w:pStyle w:val="a4"/>
        <w:numPr>
          <w:ilvl w:val="0"/>
          <w:numId w:val="619"/>
        </w:numPr>
        <w:ind w:leftChars="0" w:left="454" w:hanging="454"/>
      </w:pPr>
      <w:r w:rsidRPr="00BC31E0">
        <w:rPr>
          <w:rFonts w:asciiTheme="majorEastAsia" w:eastAsiaTheme="majorEastAsia" w:hAnsiTheme="majorEastAsia" w:hint="eastAsia"/>
          <w:b/>
          <w:bCs/>
        </w:rPr>
        <w:t>圧力計又はトランスデューサーの種類と数</w:t>
      </w:r>
      <w:r w:rsidRPr="00BC31E0">
        <w:rPr>
          <w:rFonts w:hint="eastAsia"/>
          <w:bCs/>
        </w:rPr>
        <w:t xml:space="preserve">　</w:t>
      </w:r>
      <w:r w:rsidRPr="00BC31E0">
        <w:rPr>
          <w:rFonts w:hint="eastAsia"/>
        </w:rPr>
        <w:t>少なくとも</w:t>
      </w:r>
      <w:r w:rsidRPr="00BC31E0">
        <w:t>2</w:t>
      </w:r>
      <w:r w:rsidRPr="00BC31E0">
        <w:rPr>
          <w:rFonts w:hint="eastAsia"/>
        </w:rPr>
        <w:t>個の圧力計又はトランスデューサーを用いる。圧力を制御する操作者が圧力計又はトランスデューサーの表示値を容易に見られるようにする。</w:t>
      </w:r>
    </w:p>
    <w:p w14:paraId="7D7BB689" w14:textId="77777777" w:rsidR="002168BE" w:rsidRPr="00BC31E0" w:rsidRDefault="00185C78" w:rsidP="00736130">
      <w:pPr>
        <w:pStyle w:val="a4"/>
        <w:numPr>
          <w:ilvl w:val="0"/>
          <w:numId w:val="619"/>
        </w:numPr>
        <w:ind w:leftChars="0" w:left="454" w:hanging="454"/>
      </w:pPr>
      <w:r w:rsidRPr="00BC31E0">
        <w:rPr>
          <w:rFonts w:asciiTheme="majorEastAsia" w:eastAsiaTheme="majorEastAsia" w:hAnsiTheme="majorEastAsia" w:hint="eastAsia"/>
          <w:b/>
          <w:bCs/>
        </w:rPr>
        <w:t>圧力計とトランスデューサーの圧力範囲</w:t>
      </w:r>
      <w:r w:rsidRPr="00BC31E0">
        <w:rPr>
          <w:rFonts w:hint="eastAsia"/>
          <w:bCs/>
        </w:rPr>
        <w:t xml:space="preserve">　</w:t>
      </w:r>
      <w:r w:rsidRPr="00BC31E0">
        <w:rPr>
          <w:rFonts w:hint="eastAsia"/>
        </w:rPr>
        <w:t>試験に使用するダイヤル指示型圧力計の最大目盛りは，試験圧力の</w:t>
      </w:r>
      <w:r w:rsidRPr="00BC31E0">
        <w:t>1.5</w:t>
      </w:r>
      <w:r w:rsidRPr="00BC31E0">
        <w:rPr>
          <w:rFonts w:hint="eastAsia"/>
        </w:rPr>
        <w:t>倍以上，</w:t>
      </w:r>
      <w:r w:rsidRPr="00BC31E0">
        <w:t>4</w:t>
      </w:r>
      <w:r w:rsidRPr="00BC31E0">
        <w:rPr>
          <w:rFonts w:hint="eastAsia"/>
        </w:rPr>
        <w:t>倍以下とする。試験に使用するトランスデューサーの最大圧力は，試験圧力の</w:t>
      </w:r>
      <w:r w:rsidRPr="00BC31E0">
        <w:t>1.5</w:t>
      </w:r>
      <w:r w:rsidRPr="00BC31E0">
        <w:rPr>
          <w:rFonts w:hint="eastAsia"/>
        </w:rPr>
        <w:t>倍以上，</w:t>
      </w:r>
      <w:r w:rsidRPr="00BC31E0">
        <w:t>4</w:t>
      </w:r>
      <w:r w:rsidRPr="00BC31E0">
        <w:rPr>
          <w:rFonts w:hint="eastAsia"/>
        </w:rPr>
        <w:t>倍以下とする。</w:t>
      </w:r>
    </w:p>
    <w:p w14:paraId="0E16A59A" w14:textId="77777777" w:rsidR="00185C78" w:rsidRPr="00BC31E0" w:rsidRDefault="00185C78" w:rsidP="00736130">
      <w:pPr>
        <w:pStyle w:val="a4"/>
        <w:numPr>
          <w:ilvl w:val="0"/>
          <w:numId w:val="619"/>
        </w:numPr>
        <w:ind w:leftChars="0" w:left="454" w:hanging="454"/>
      </w:pPr>
      <w:r w:rsidRPr="00BC31E0">
        <w:rPr>
          <w:rFonts w:asciiTheme="majorEastAsia" w:eastAsiaTheme="majorEastAsia" w:hAnsiTheme="majorEastAsia" w:hint="eastAsia"/>
          <w:b/>
          <w:bCs/>
        </w:rPr>
        <w:t>圧力計とトランスデューサーの校正</w:t>
      </w:r>
      <w:r w:rsidRPr="00BC31E0">
        <w:rPr>
          <w:rFonts w:hint="eastAsia"/>
          <w:bCs/>
        </w:rPr>
        <w:t xml:space="preserve">　</w:t>
      </w:r>
      <w:r w:rsidR="00596F1B" w:rsidRPr="00BC31E0">
        <w:rPr>
          <w:rFonts w:hint="eastAsia"/>
        </w:rPr>
        <w:t>全</w:t>
      </w:r>
      <w:r w:rsidRPr="00BC31E0">
        <w:rPr>
          <w:rFonts w:hint="eastAsia"/>
        </w:rPr>
        <w:t>ての圧力計及びトランスデューサーは，重錘式圧力基準器又は標準ゲージに対して少なくとも</w:t>
      </w:r>
      <w:r w:rsidRPr="00BC31E0">
        <w:t>6</w:t>
      </w:r>
      <w:r w:rsidRPr="00BC31E0">
        <w:rPr>
          <w:rFonts w:hint="eastAsia"/>
        </w:rPr>
        <w:t>ヶ月ごと，及び精度に疑問が生じた場合に校正する。</w:t>
      </w:r>
    </w:p>
    <w:p w14:paraId="15DBB3EE" w14:textId="77777777" w:rsidR="00437497" w:rsidRPr="00BC31E0" w:rsidRDefault="00437497" w:rsidP="00E21959"/>
    <w:p w14:paraId="289260AB" w14:textId="77777777" w:rsidR="00437497" w:rsidRPr="00BC31E0" w:rsidRDefault="00E21959" w:rsidP="00886DCA">
      <w:pPr>
        <w:pStyle w:val="10"/>
        <w:ind w:left="340" w:hanging="340"/>
      </w:pPr>
      <w:bookmarkStart w:id="116" w:name="_Toc357672124"/>
      <w:r w:rsidRPr="00BC31E0">
        <w:rPr>
          <w:rFonts w:hint="eastAsia"/>
        </w:rPr>
        <w:t xml:space="preserve">　</w:t>
      </w:r>
      <w:bookmarkStart w:id="117" w:name="_Toc120092560"/>
      <w:r w:rsidRPr="00BC31E0">
        <w:rPr>
          <w:rFonts w:hint="eastAsia"/>
        </w:rPr>
        <w:t>表示</w:t>
      </w:r>
      <w:bookmarkEnd w:id="116"/>
      <w:bookmarkEnd w:id="117"/>
    </w:p>
    <w:p w14:paraId="1293443C" w14:textId="77777777" w:rsidR="00437497" w:rsidRPr="00BC31E0" w:rsidRDefault="00437497" w:rsidP="00E21959">
      <w:pPr>
        <w:pStyle w:val="15"/>
        <w:ind w:firstLine="210"/>
      </w:pPr>
      <w:r w:rsidRPr="00BC31E0">
        <w:rPr>
          <w:rFonts w:hint="eastAsia"/>
        </w:rPr>
        <w:t>圧力容器には適切な箇所に，断熱措置を施した場合も見やすいようにして，次の事項を表示した銘板を取り付けなければならない。</w:t>
      </w:r>
    </w:p>
    <w:p w14:paraId="36AD698B" w14:textId="77777777" w:rsidR="00437497" w:rsidRPr="00BC31E0" w:rsidRDefault="00437497" w:rsidP="00736130">
      <w:pPr>
        <w:pStyle w:val="a4"/>
        <w:numPr>
          <w:ilvl w:val="0"/>
          <w:numId w:val="222"/>
        </w:numPr>
        <w:ind w:leftChars="0" w:left="454" w:hanging="454"/>
        <w:rPr>
          <w:rFonts w:asciiTheme="majorEastAsia" w:eastAsiaTheme="majorEastAsia" w:hAnsiTheme="majorEastAsia"/>
          <w:b/>
        </w:rPr>
      </w:pPr>
      <w:r w:rsidRPr="00BC31E0">
        <w:rPr>
          <w:rFonts w:asciiTheme="majorEastAsia" w:eastAsiaTheme="majorEastAsia" w:hAnsiTheme="majorEastAsia" w:hint="eastAsia"/>
          <w:b/>
        </w:rPr>
        <w:lastRenderedPageBreak/>
        <w:t>製作者名</w:t>
      </w:r>
    </w:p>
    <w:p w14:paraId="35B6D8BB" w14:textId="77777777" w:rsidR="00437497" w:rsidRPr="00BC31E0" w:rsidRDefault="00437497" w:rsidP="00736130">
      <w:pPr>
        <w:pStyle w:val="a4"/>
        <w:numPr>
          <w:ilvl w:val="0"/>
          <w:numId w:val="222"/>
        </w:numPr>
        <w:ind w:leftChars="0" w:left="454" w:hanging="454"/>
        <w:rPr>
          <w:rFonts w:asciiTheme="majorEastAsia" w:eastAsiaTheme="majorEastAsia" w:hAnsiTheme="majorEastAsia"/>
          <w:b/>
        </w:rPr>
      </w:pPr>
      <w:r w:rsidRPr="00BC31E0">
        <w:rPr>
          <w:rFonts w:asciiTheme="majorEastAsia" w:eastAsiaTheme="majorEastAsia" w:hAnsiTheme="majorEastAsia" w:hint="eastAsia"/>
          <w:b/>
        </w:rPr>
        <w:t>圧力容器名称又は機器番号</w:t>
      </w:r>
    </w:p>
    <w:p w14:paraId="42A5529A" w14:textId="77777777" w:rsidR="00437497" w:rsidRPr="00BC31E0" w:rsidRDefault="00437497" w:rsidP="00736130">
      <w:pPr>
        <w:pStyle w:val="a4"/>
        <w:numPr>
          <w:ilvl w:val="0"/>
          <w:numId w:val="222"/>
        </w:numPr>
        <w:ind w:leftChars="0" w:left="454" w:hanging="454"/>
        <w:rPr>
          <w:rFonts w:asciiTheme="majorEastAsia" w:eastAsiaTheme="majorEastAsia" w:hAnsiTheme="majorEastAsia"/>
          <w:b/>
        </w:rPr>
      </w:pPr>
      <w:r w:rsidRPr="00BC31E0">
        <w:rPr>
          <w:rFonts w:asciiTheme="majorEastAsia" w:eastAsiaTheme="majorEastAsia" w:hAnsiTheme="majorEastAsia" w:hint="eastAsia"/>
          <w:b/>
        </w:rPr>
        <w:t>規格</w:t>
      </w:r>
    </w:p>
    <w:p w14:paraId="5B5EC186" w14:textId="77777777" w:rsidR="00437497" w:rsidRPr="00BC31E0" w:rsidRDefault="00437497" w:rsidP="00736130">
      <w:pPr>
        <w:pStyle w:val="a4"/>
        <w:numPr>
          <w:ilvl w:val="0"/>
          <w:numId w:val="222"/>
        </w:numPr>
        <w:ind w:leftChars="0" w:left="454" w:hanging="454"/>
      </w:pPr>
      <w:r w:rsidRPr="00BC31E0">
        <w:rPr>
          <w:rFonts w:asciiTheme="majorEastAsia" w:eastAsiaTheme="majorEastAsia" w:hAnsiTheme="majorEastAsia" w:hint="eastAsia"/>
          <w:b/>
        </w:rPr>
        <w:t>設計圧力</w:t>
      </w:r>
      <w:r w:rsidRPr="00BC31E0">
        <w:rPr>
          <w:rFonts w:asciiTheme="majorEastAsia" w:eastAsiaTheme="majorEastAsia" w:hAnsiTheme="majorEastAsia"/>
          <w:b/>
        </w:rPr>
        <w:t>(MPa)</w:t>
      </w:r>
      <w:r w:rsidRPr="00BC31E0">
        <w:rPr>
          <w:rFonts w:hAnsi="ＭＳ ゴシック" w:hint="eastAsia"/>
        </w:rPr>
        <w:t xml:space="preserve">　</w:t>
      </w:r>
      <w:r w:rsidRPr="00BC31E0">
        <w:rPr>
          <w:rFonts w:ascii="ＭＳ 明朝" w:hAnsi="ＭＳ 明朝" w:hint="eastAsia"/>
        </w:rPr>
        <w:t>二つ</w:t>
      </w:r>
      <w:r w:rsidRPr="00BC31E0">
        <w:rPr>
          <w:rFonts w:hAnsi="ＭＳ 明朝"/>
        </w:rPr>
        <w:t>以上の室のあるものは，それぞれの室名とともに明示する。</w:t>
      </w:r>
    </w:p>
    <w:p w14:paraId="5D331AE1" w14:textId="77777777" w:rsidR="00437497" w:rsidRPr="00BC31E0" w:rsidRDefault="00437497" w:rsidP="00736130">
      <w:pPr>
        <w:pStyle w:val="a4"/>
        <w:numPr>
          <w:ilvl w:val="0"/>
          <w:numId w:val="222"/>
        </w:numPr>
        <w:ind w:leftChars="0" w:left="454" w:hanging="454"/>
      </w:pPr>
      <w:r w:rsidRPr="00BC31E0">
        <w:rPr>
          <w:rFonts w:asciiTheme="majorEastAsia" w:eastAsiaTheme="majorEastAsia" w:hAnsiTheme="majorEastAsia" w:hint="eastAsia"/>
          <w:b/>
        </w:rPr>
        <w:t>設計温度</w:t>
      </w:r>
      <w:r w:rsidRPr="00BC31E0">
        <w:rPr>
          <w:rFonts w:asciiTheme="majorEastAsia" w:eastAsiaTheme="majorEastAsia" w:hAnsiTheme="majorEastAsia"/>
          <w:b/>
        </w:rPr>
        <w:t>(℃)</w:t>
      </w:r>
      <w:r w:rsidRPr="00BC31E0">
        <w:rPr>
          <w:rFonts w:hAnsi="ＭＳ ゴシック" w:hint="eastAsia"/>
        </w:rPr>
        <w:t xml:space="preserve">　</w:t>
      </w:r>
      <w:r w:rsidRPr="00BC31E0">
        <w:rPr>
          <w:rFonts w:ascii="ＭＳ 明朝" w:hAnsi="ＭＳ 明朝" w:hint="eastAsia"/>
        </w:rPr>
        <w:t>二つ</w:t>
      </w:r>
      <w:r w:rsidRPr="00BC31E0">
        <w:rPr>
          <w:rFonts w:hAnsi="ＭＳ 明朝"/>
        </w:rPr>
        <w:t>以上の室があるものは，それぞれの室名とともに明示する。</w:t>
      </w:r>
    </w:p>
    <w:p w14:paraId="0C9B047B" w14:textId="77777777" w:rsidR="00437497" w:rsidRPr="00BC31E0" w:rsidRDefault="00437497" w:rsidP="00736130">
      <w:pPr>
        <w:pStyle w:val="a4"/>
        <w:numPr>
          <w:ilvl w:val="0"/>
          <w:numId w:val="222"/>
        </w:numPr>
        <w:ind w:leftChars="0" w:left="454" w:hanging="454"/>
      </w:pPr>
      <w:r w:rsidRPr="00BC31E0">
        <w:rPr>
          <w:rFonts w:asciiTheme="majorEastAsia" w:eastAsiaTheme="majorEastAsia" w:hAnsiTheme="majorEastAsia" w:hint="eastAsia"/>
          <w:b/>
        </w:rPr>
        <w:t>最低設計金属温度</w:t>
      </w:r>
      <w:r w:rsidRPr="00BC31E0">
        <w:rPr>
          <w:rFonts w:asciiTheme="majorEastAsia" w:eastAsiaTheme="majorEastAsia" w:hAnsiTheme="majorEastAsia"/>
          <w:b/>
        </w:rPr>
        <w:t>(℃)</w:t>
      </w:r>
      <w:r w:rsidRPr="00BC31E0">
        <w:rPr>
          <w:rFonts w:hAnsi="ＭＳ ゴシック" w:hint="eastAsia"/>
        </w:rPr>
        <w:t xml:space="preserve">　</w:t>
      </w:r>
      <w:r w:rsidRPr="00BC31E0">
        <w:rPr>
          <w:rFonts w:ascii="ＭＳ 明朝" w:hAnsi="ＭＳ 明朝" w:hint="eastAsia"/>
        </w:rPr>
        <w:t>二つ</w:t>
      </w:r>
      <w:r w:rsidRPr="00BC31E0">
        <w:rPr>
          <w:rFonts w:hAnsi="ＭＳ 明朝"/>
        </w:rPr>
        <w:t>以上の室があるものは，それぞれの室名とともに明示する。</w:t>
      </w:r>
    </w:p>
    <w:p w14:paraId="320794E3" w14:textId="77777777" w:rsidR="00437497" w:rsidRPr="00BC31E0" w:rsidRDefault="00437497" w:rsidP="00736130">
      <w:pPr>
        <w:pStyle w:val="a4"/>
        <w:numPr>
          <w:ilvl w:val="0"/>
          <w:numId w:val="222"/>
        </w:numPr>
        <w:ind w:leftChars="0" w:left="454" w:hanging="454"/>
      </w:pPr>
      <w:r w:rsidRPr="00BC31E0">
        <w:rPr>
          <w:rFonts w:asciiTheme="majorEastAsia" w:eastAsiaTheme="majorEastAsia" w:hAnsiTheme="majorEastAsia" w:hint="eastAsia"/>
          <w:b/>
        </w:rPr>
        <w:t>内容積</w:t>
      </w:r>
      <w:r w:rsidRPr="00BC31E0">
        <w:rPr>
          <w:rFonts w:asciiTheme="majorEastAsia" w:eastAsiaTheme="majorEastAsia" w:hAnsiTheme="majorEastAsia"/>
          <w:b/>
        </w:rPr>
        <w:t>(m</w:t>
      </w:r>
      <w:r w:rsidRPr="00BC31E0">
        <w:rPr>
          <w:rFonts w:asciiTheme="majorEastAsia" w:eastAsiaTheme="majorEastAsia" w:hAnsiTheme="majorEastAsia"/>
          <w:b/>
          <w:vertAlign w:val="superscript"/>
        </w:rPr>
        <w:t>3</w:t>
      </w:r>
      <w:r w:rsidRPr="00BC31E0">
        <w:rPr>
          <w:rFonts w:asciiTheme="majorEastAsia" w:eastAsiaTheme="majorEastAsia" w:hAnsiTheme="majorEastAsia"/>
          <w:b/>
        </w:rPr>
        <w:t>)</w:t>
      </w:r>
      <w:r w:rsidRPr="00BC31E0">
        <w:rPr>
          <w:rFonts w:hAnsi="ＭＳ ゴシック" w:hint="eastAsia"/>
        </w:rPr>
        <w:t xml:space="preserve">　</w:t>
      </w:r>
      <w:r w:rsidRPr="00BC31E0">
        <w:rPr>
          <w:rFonts w:ascii="ＭＳ 明朝" w:hAnsi="ＭＳ 明朝" w:hint="eastAsia"/>
        </w:rPr>
        <w:t>二つ</w:t>
      </w:r>
      <w:r w:rsidRPr="00BC31E0">
        <w:rPr>
          <w:rFonts w:hAnsi="ＭＳ 明朝"/>
        </w:rPr>
        <w:t>以上の室があるものは，それぞれの室名とともに明示する。</w:t>
      </w:r>
    </w:p>
    <w:p w14:paraId="67E796C3" w14:textId="77777777" w:rsidR="00437497" w:rsidRPr="00BC31E0" w:rsidRDefault="00437497" w:rsidP="00736130">
      <w:pPr>
        <w:pStyle w:val="a4"/>
        <w:numPr>
          <w:ilvl w:val="0"/>
          <w:numId w:val="222"/>
        </w:numPr>
        <w:ind w:leftChars="0" w:left="454" w:hanging="454"/>
      </w:pPr>
      <w:r w:rsidRPr="00BC31E0">
        <w:rPr>
          <w:rFonts w:asciiTheme="majorEastAsia" w:eastAsiaTheme="majorEastAsia" w:hAnsiTheme="majorEastAsia" w:hint="eastAsia"/>
          <w:b/>
        </w:rPr>
        <w:t>耐圧試験圧力</w:t>
      </w:r>
      <w:r w:rsidRPr="00BC31E0">
        <w:rPr>
          <w:rFonts w:asciiTheme="majorEastAsia" w:eastAsiaTheme="majorEastAsia" w:hAnsiTheme="majorEastAsia"/>
          <w:b/>
        </w:rPr>
        <w:t>(MPa</w:t>
      </w:r>
      <w:r w:rsidRPr="00BC31E0">
        <w:rPr>
          <w:rFonts w:ascii="Cambria Math" w:eastAsiaTheme="majorEastAsia" w:hAnsi="Cambria Math"/>
          <w:b/>
        </w:rPr>
        <w:t>)</w:t>
      </w:r>
      <w:r w:rsidRPr="00BC31E0">
        <w:rPr>
          <w:rFonts w:hAnsi="ＭＳ 明朝" w:hint="eastAsia"/>
        </w:rPr>
        <w:t xml:space="preserve">　</w:t>
      </w:r>
      <w:r w:rsidRPr="00BC31E0">
        <w:rPr>
          <w:rFonts w:ascii="ＭＳ 明朝" w:hAnsi="ＭＳ 明朝" w:hint="eastAsia"/>
        </w:rPr>
        <w:t>二つ</w:t>
      </w:r>
      <w:r w:rsidRPr="00BC31E0">
        <w:rPr>
          <w:rFonts w:hAnsi="ＭＳ 明朝"/>
        </w:rPr>
        <w:t>以上の室があるものは，それぞれの室名とともに明示する。</w:t>
      </w:r>
    </w:p>
    <w:p w14:paraId="3A8FAFED" w14:textId="77777777" w:rsidR="00437497" w:rsidRPr="00BC31E0" w:rsidRDefault="00437497" w:rsidP="00736130">
      <w:pPr>
        <w:pStyle w:val="a4"/>
        <w:numPr>
          <w:ilvl w:val="0"/>
          <w:numId w:val="222"/>
        </w:numPr>
        <w:ind w:leftChars="0" w:left="454" w:hanging="454"/>
        <w:rPr>
          <w:rFonts w:asciiTheme="majorEastAsia" w:eastAsiaTheme="majorEastAsia" w:hAnsiTheme="majorEastAsia"/>
          <w:b/>
        </w:rPr>
      </w:pPr>
      <w:r w:rsidRPr="00BC31E0">
        <w:rPr>
          <w:rFonts w:asciiTheme="majorEastAsia" w:eastAsiaTheme="majorEastAsia" w:hAnsiTheme="majorEastAsia" w:hint="eastAsia"/>
          <w:b/>
        </w:rPr>
        <w:t>放射線検査の有無</w:t>
      </w:r>
    </w:p>
    <w:p w14:paraId="355CDEF4" w14:textId="77777777" w:rsidR="00437497" w:rsidRPr="00BC31E0" w:rsidRDefault="00437497" w:rsidP="00736130">
      <w:pPr>
        <w:pStyle w:val="a4"/>
        <w:numPr>
          <w:ilvl w:val="0"/>
          <w:numId w:val="222"/>
        </w:numPr>
        <w:ind w:leftChars="0" w:left="454" w:hanging="454"/>
        <w:rPr>
          <w:rFonts w:asciiTheme="majorEastAsia" w:eastAsiaTheme="majorEastAsia" w:hAnsiTheme="majorEastAsia"/>
          <w:b/>
        </w:rPr>
      </w:pPr>
      <w:r w:rsidRPr="00BC31E0">
        <w:rPr>
          <w:rFonts w:asciiTheme="majorEastAsia" w:eastAsiaTheme="majorEastAsia" w:hAnsiTheme="majorEastAsia" w:hint="eastAsia"/>
          <w:b/>
        </w:rPr>
        <w:t>溶接後熱処理施工の有無</w:t>
      </w:r>
    </w:p>
    <w:p w14:paraId="46E217E6" w14:textId="77777777" w:rsidR="00437497" w:rsidRPr="00BC31E0" w:rsidRDefault="00437497" w:rsidP="00736130">
      <w:pPr>
        <w:pStyle w:val="a4"/>
        <w:numPr>
          <w:ilvl w:val="0"/>
          <w:numId w:val="222"/>
        </w:numPr>
        <w:ind w:leftChars="0" w:left="454" w:hanging="454"/>
        <w:rPr>
          <w:rFonts w:asciiTheme="majorEastAsia" w:eastAsiaTheme="majorEastAsia" w:hAnsiTheme="majorEastAsia"/>
          <w:b/>
        </w:rPr>
      </w:pPr>
      <w:r w:rsidRPr="00BC31E0">
        <w:rPr>
          <w:rFonts w:asciiTheme="majorEastAsia" w:eastAsiaTheme="majorEastAsia" w:hAnsiTheme="majorEastAsia" w:hint="eastAsia"/>
          <w:b/>
        </w:rPr>
        <w:t>完成質量</w:t>
      </w:r>
      <w:r w:rsidRPr="00BC31E0">
        <w:rPr>
          <w:rFonts w:asciiTheme="majorEastAsia" w:eastAsiaTheme="majorEastAsia" w:hAnsiTheme="majorEastAsia"/>
          <w:b/>
        </w:rPr>
        <w:t>(Kg)</w:t>
      </w:r>
    </w:p>
    <w:p w14:paraId="6ABBA38D" w14:textId="77777777" w:rsidR="00437497" w:rsidRPr="00BC31E0" w:rsidRDefault="00437497" w:rsidP="00736130">
      <w:pPr>
        <w:pStyle w:val="a4"/>
        <w:numPr>
          <w:ilvl w:val="0"/>
          <w:numId w:val="222"/>
        </w:numPr>
        <w:ind w:leftChars="0" w:left="454" w:hanging="454"/>
        <w:rPr>
          <w:rFonts w:asciiTheme="majorEastAsia" w:eastAsiaTheme="majorEastAsia" w:hAnsiTheme="majorEastAsia"/>
          <w:b/>
        </w:rPr>
      </w:pPr>
      <w:r w:rsidRPr="00BC31E0">
        <w:rPr>
          <w:rFonts w:asciiTheme="majorEastAsia" w:eastAsiaTheme="majorEastAsia" w:hAnsiTheme="majorEastAsia" w:hint="eastAsia"/>
          <w:b/>
        </w:rPr>
        <w:t xml:space="preserve">製作年月日　</w:t>
      </w:r>
      <w:r w:rsidRPr="00BC31E0">
        <w:rPr>
          <w:rFonts w:asciiTheme="minorEastAsia" w:eastAsiaTheme="minorEastAsia" w:hAnsiTheme="minorEastAsia"/>
        </w:rPr>
        <w:t>製造番号に含まれる場合には，省略</w:t>
      </w:r>
      <w:r w:rsidR="004D0499" w:rsidRPr="00BC31E0">
        <w:rPr>
          <w:rFonts w:asciiTheme="minorEastAsia" w:eastAsiaTheme="minorEastAsia" w:hAnsiTheme="minorEastAsia" w:hint="eastAsia"/>
        </w:rPr>
        <w:t>してもよい</w:t>
      </w:r>
      <w:r w:rsidRPr="00BC31E0">
        <w:rPr>
          <w:rFonts w:asciiTheme="minorEastAsia" w:eastAsiaTheme="minorEastAsia" w:hAnsiTheme="minorEastAsia" w:hint="eastAsia"/>
        </w:rPr>
        <w:t>。</w:t>
      </w:r>
    </w:p>
    <w:p w14:paraId="3B7E3FA0" w14:textId="77777777" w:rsidR="00437497" w:rsidRPr="00BC31E0" w:rsidRDefault="00437497" w:rsidP="00736130">
      <w:pPr>
        <w:pStyle w:val="a4"/>
        <w:numPr>
          <w:ilvl w:val="0"/>
          <w:numId w:val="222"/>
        </w:numPr>
        <w:ind w:leftChars="0" w:left="454" w:hanging="454"/>
        <w:rPr>
          <w:rFonts w:asciiTheme="majorEastAsia" w:eastAsiaTheme="majorEastAsia" w:hAnsiTheme="majorEastAsia"/>
          <w:b/>
        </w:rPr>
      </w:pPr>
      <w:r w:rsidRPr="00BC31E0">
        <w:rPr>
          <w:rFonts w:asciiTheme="majorEastAsia" w:eastAsiaTheme="majorEastAsia" w:hAnsiTheme="majorEastAsia" w:hint="eastAsia"/>
          <w:b/>
        </w:rPr>
        <w:t>製作番号又は製作記号</w:t>
      </w:r>
    </w:p>
    <w:p w14:paraId="755BAA13" w14:textId="77777777" w:rsidR="00437497" w:rsidRPr="00BC31E0" w:rsidRDefault="00437497" w:rsidP="00E21959">
      <w:pPr>
        <w:autoSpaceDE w:val="0"/>
        <w:autoSpaceDN w:val="0"/>
        <w:rPr>
          <w:rFonts w:ascii="ＭＳ 明朝" w:hAnsi="ＭＳ 明朝"/>
        </w:rPr>
      </w:pPr>
    </w:p>
    <w:p w14:paraId="589889A5" w14:textId="77777777" w:rsidR="00E21959" w:rsidRPr="00BC31E0" w:rsidRDefault="00E21959" w:rsidP="00E21959">
      <w:pPr>
        <w:widowControl/>
        <w:jc w:val="left"/>
        <w:rPr>
          <w:rFonts w:ascii="ＭＳ 明朝" w:hAnsi="ＭＳ 明朝"/>
        </w:rPr>
      </w:pPr>
      <w:r w:rsidRPr="00BC31E0">
        <w:rPr>
          <w:rFonts w:ascii="ＭＳ 明朝" w:hAnsi="ＭＳ 明朝"/>
        </w:rPr>
        <w:br w:type="page"/>
      </w:r>
    </w:p>
    <w:p w14:paraId="6EE56AC3" w14:textId="77777777" w:rsidR="00A431EC" w:rsidRPr="00BC31E0" w:rsidRDefault="00A431EC" w:rsidP="005465B5">
      <w:pPr>
        <w:pStyle w:val="afff3"/>
        <w:spacing w:line="240" w:lineRule="auto"/>
      </w:pPr>
      <w:bookmarkStart w:id="118" w:name="_Toc357672125"/>
      <w:bookmarkStart w:id="119" w:name="_Toc120092561"/>
      <w:r w:rsidRPr="00BC31E0">
        <w:rPr>
          <w:rFonts w:hint="eastAsia"/>
        </w:rPr>
        <w:lastRenderedPageBreak/>
        <w:t>附属書</w:t>
      </w:r>
      <w:r w:rsidRPr="00BC31E0">
        <w:t>A</w:t>
      </w:r>
      <w:r w:rsidRPr="00BC31E0">
        <w:rPr>
          <w:rFonts w:hint="eastAsia"/>
        </w:rPr>
        <w:t>(規定)　品質マネジメントシステム</w:t>
      </w:r>
      <w:bookmarkEnd w:id="118"/>
      <w:bookmarkEnd w:id="119"/>
    </w:p>
    <w:p w14:paraId="723DA34A" w14:textId="77777777" w:rsidR="00A431EC" w:rsidRPr="00BC31E0" w:rsidRDefault="00A431EC" w:rsidP="005465B5">
      <w:pPr>
        <w:pStyle w:val="afb"/>
        <w:spacing w:line="240" w:lineRule="auto"/>
      </w:pPr>
      <w:r w:rsidRPr="00BC31E0">
        <w:rPr>
          <w:rFonts w:hint="eastAsia"/>
        </w:rPr>
        <w:t>序文</w:t>
      </w:r>
    </w:p>
    <w:p w14:paraId="41AE2FD0" w14:textId="77777777" w:rsidR="00A431EC" w:rsidRPr="00BC31E0" w:rsidRDefault="00A431EC" w:rsidP="005465B5">
      <w:pPr>
        <w:pStyle w:val="15"/>
        <w:ind w:firstLine="210"/>
      </w:pPr>
      <w:r w:rsidRPr="00BC31E0">
        <w:rPr>
          <w:rFonts w:hint="eastAsia"/>
        </w:rPr>
        <w:t>この附属書は，製作者の品質マネジメントシステムについて規定する。</w:t>
      </w:r>
    </w:p>
    <w:p w14:paraId="526D27FC" w14:textId="77777777" w:rsidR="00A431EC" w:rsidRPr="00BC31E0" w:rsidRDefault="00A431EC" w:rsidP="005465B5">
      <w:pPr>
        <w:autoSpaceDE w:val="0"/>
        <w:autoSpaceDN w:val="0"/>
      </w:pPr>
    </w:p>
    <w:p w14:paraId="40A3DE31" w14:textId="77777777" w:rsidR="00A431EC" w:rsidRPr="00BC31E0" w:rsidRDefault="00A431EC" w:rsidP="005465B5">
      <w:pPr>
        <w:pStyle w:val="13"/>
        <w:spacing w:line="240" w:lineRule="auto"/>
        <w:ind w:left="340" w:hanging="340"/>
      </w:pPr>
      <w:r w:rsidRPr="00BC31E0">
        <w:rPr>
          <w:rFonts w:hint="eastAsia"/>
        </w:rPr>
        <w:t>一般要求</w:t>
      </w:r>
    </w:p>
    <w:p w14:paraId="698FCA00" w14:textId="77777777" w:rsidR="00A431EC" w:rsidRPr="00BC31E0" w:rsidRDefault="00A431EC" w:rsidP="005465B5">
      <w:pPr>
        <w:pStyle w:val="15"/>
        <w:ind w:firstLine="210"/>
      </w:pPr>
      <w:r w:rsidRPr="00BC31E0">
        <w:rPr>
          <w:rFonts w:hint="eastAsia"/>
        </w:rPr>
        <w:t>製作者は，材料，設計，製作，試験，及び検査を含む</w:t>
      </w:r>
      <w:r w:rsidR="00DC160D" w:rsidRPr="00BC31E0">
        <w:rPr>
          <w:rFonts w:hint="eastAsia"/>
        </w:rPr>
        <w:t>全</w:t>
      </w:r>
      <w:r w:rsidRPr="00BC31E0">
        <w:rPr>
          <w:rFonts w:hint="eastAsia"/>
        </w:rPr>
        <w:t>ての規格要求事項を満足するために，品質マネジメントシステムを確立し</w:t>
      </w:r>
      <w:r w:rsidRPr="00BC31E0">
        <w:rPr>
          <w:rFonts w:hint="eastAsia"/>
        </w:rPr>
        <w:t>,</w:t>
      </w:r>
      <w:r w:rsidRPr="00BC31E0">
        <w:rPr>
          <w:rFonts w:hint="eastAsia"/>
        </w:rPr>
        <w:t>文章化し</w:t>
      </w:r>
      <w:r w:rsidRPr="00BC31E0">
        <w:rPr>
          <w:rFonts w:hint="eastAsia"/>
        </w:rPr>
        <w:t>,</w:t>
      </w:r>
      <w:r w:rsidRPr="00BC31E0">
        <w:rPr>
          <w:rFonts w:hint="eastAsia"/>
        </w:rPr>
        <w:t>実施し，維持しなければならない。規格要求事項を適切に認識した上，次の事項を含め</w:t>
      </w:r>
      <w:r w:rsidR="00E67E22" w:rsidRPr="00BC31E0">
        <w:rPr>
          <w:rFonts w:hint="eastAsia"/>
        </w:rPr>
        <w:t>てもよい</w:t>
      </w:r>
      <w:r w:rsidRPr="00BC31E0">
        <w:rPr>
          <w:rFonts w:hint="eastAsia"/>
        </w:rPr>
        <w:t>。</w:t>
      </w:r>
    </w:p>
    <w:p w14:paraId="4C4557C9" w14:textId="77777777" w:rsidR="00A431EC" w:rsidRPr="00BC31E0" w:rsidRDefault="00A431EC" w:rsidP="005465B5">
      <w:pPr>
        <w:ind w:leftChars="100" w:left="420" w:hangingChars="100" w:hanging="210"/>
      </w:pPr>
      <w:r w:rsidRPr="00BC31E0">
        <w:rPr>
          <w:rFonts w:hint="eastAsia"/>
        </w:rPr>
        <w:t>・圧力容器の使用者の品質マネジメント要求事項</w:t>
      </w:r>
      <w:r w:rsidRPr="00BC31E0">
        <w:rPr>
          <w:rFonts w:hint="eastAsia"/>
        </w:rPr>
        <w:t>(</w:t>
      </w:r>
      <w:r w:rsidRPr="00BC31E0">
        <w:rPr>
          <w:rFonts w:hint="eastAsia"/>
        </w:rPr>
        <w:t>本体の</w:t>
      </w:r>
      <w:r w:rsidRPr="00BC31E0">
        <w:rPr>
          <w:rFonts w:ascii="ＭＳ ゴシック" w:eastAsia="ＭＳ ゴシック" w:hAnsi="ＭＳ ゴシック"/>
          <w:b/>
          <w:bCs/>
        </w:rPr>
        <w:t>1.2.1 b) 14)</w:t>
      </w:r>
      <w:r w:rsidRPr="00BC31E0">
        <w:rPr>
          <w:rFonts w:hint="eastAsia"/>
        </w:rPr>
        <w:t>を参照</w:t>
      </w:r>
      <w:r w:rsidRPr="00BC31E0">
        <w:rPr>
          <w:rFonts w:hint="eastAsia"/>
        </w:rPr>
        <w:t>)</w:t>
      </w:r>
    </w:p>
    <w:p w14:paraId="1B45A88B" w14:textId="77777777" w:rsidR="00A431EC" w:rsidRPr="00BC31E0" w:rsidRDefault="00A431EC" w:rsidP="005465B5">
      <w:pPr>
        <w:ind w:leftChars="100" w:left="420" w:hangingChars="100" w:hanging="210"/>
      </w:pPr>
      <w:r w:rsidRPr="00BC31E0">
        <w:rPr>
          <w:rFonts w:hint="eastAsia"/>
        </w:rPr>
        <w:t>・規格の最小要求事項を超えるような製作者の要求事項</w:t>
      </w:r>
    </w:p>
    <w:p w14:paraId="5A5F8CE6" w14:textId="77777777" w:rsidR="00A431EC" w:rsidRPr="00BC31E0" w:rsidRDefault="00A431EC" w:rsidP="005465B5">
      <w:pPr>
        <w:ind w:leftChars="100" w:left="420" w:hangingChars="100" w:hanging="210"/>
      </w:pPr>
      <w:r w:rsidRPr="00BC31E0">
        <w:rPr>
          <w:rFonts w:hint="eastAsia"/>
        </w:rPr>
        <w:t>・規格に関係のない作業の品質管理事項</w:t>
      </w:r>
    </w:p>
    <w:p w14:paraId="1EAD3A6F" w14:textId="77777777" w:rsidR="00A431EC" w:rsidRPr="00BC31E0" w:rsidRDefault="00A431EC" w:rsidP="005465B5">
      <w:pPr>
        <w:ind w:leftChars="100" w:left="420" w:hangingChars="100" w:hanging="210"/>
      </w:pPr>
      <w:r w:rsidRPr="00BC31E0">
        <w:rPr>
          <w:rFonts w:hint="eastAsia"/>
        </w:rPr>
        <w:t>・製作者の工程に関連した工業所有権類についての情報</w:t>
      </w:r>
    </w:p>
    <w:p w14:paraId="76A776DC" w14:textId="77777777" w:rsidR="00A431EC" w:rsidRPr="00BC31E0" w:rsidRDefault="00A431EC" w:rsidP="005465B5">
      <w:pPr>
        <w:ind w:left="210" w:hangingChars="100" w:hanging="210"/>
        <w:rPr>
          <w:szCs w:val="20"/>
        </w:rPr>
      </w:pPr>
    </w:p>
    <w:p w14:paraId="1187BB27" w14:textId="77777777" w:rsidR="00A431EC" w:rsidRPr="00BC31E0" w:rsidRDefault="00A431EC" w:rsidP="005465B5">
      <w:pPr>
        <w:pStyle w:val="13"/>
        <w:spacing w:line="240" w:lineRule="auto"/>
        <w:ind w:left="340" w:hanging="340"/>
      </w:pPr>
      <w:r w:rsidRPr="00BC31E0">
        <w:rPr>
          <w:rFonts w:hint="eastAsia"/>
        </w:rPr>
        <w:t>品質マネジメントシステムに含まれるべき要素の概要</w:t>
      </w:r>
    </w:p>
    <w:p w14:paraId="1F2389EE" w14:textId="77777777" w:rsidR="00A431EC" w:rsidRPr="00BC31E0" w:rsidRDefault="00A431EC" w:rsidP="00A37420">
      <w:pPr>
        <w:pStyle w:val="110"/>
        <w:spacing w:line="240" w:lineRule="auto"/>
        <w:ind w:left="567" w:hanging="567"/>
      </w:pPr>
      <w:r w:rsidRPr="00BC31E0">
        <w:rPr>
          <w:rFonts w:hint="eastAsia"/>
        </w:rPr>
        <w:t>権限と責任</w:t>
      </w:r>
    </w:p>
    <w:p w14:paraId="316F433B" w14:textId="77777777" w:rsidR="00A431EC" w:rsidRPr="00BC31E0" w:rsidRDefault="00A431EC" w:rsidP="005465B5">
      <w:pPr>
        <w:pStyle w:val="113"/>
        <w:ind w:firstLine="210"/>
      </w:pPr>
      <w:r w:rsidRPr="00BC31E0">
        <w:rPr>
          <w:rFonts w:hint="eastAsia"/>
        </w:rPr>
        <w:t>品質マネジメントシステムを担当する者の責任と権限を明確に規定しなければならない。品質管理機能を果たす者は，品質管理上の問題点を識別し，解決方法を立案，推奨し，かつ，解決を図るための十分かつ明確な責任，権限及び組織上の独立性を有していなければならない。</w:t>
      </w:r>
    </w:p>
    <w:p w14:paraId="14730B1F" w14:textId="77777777" w:rsidR="00A431EC" w:rsidRPr="00BC31E0" w:rsidRDefault="00A431EC" w:rsidP="005465B5">
      <w:pPr>
        <w:pStyle w:val="110"/>
        <w:spacing w:line="240" w:lineRule="auto"/>
        <w:ind w:left="567" w:hanging="567"/>
      </w:pPr>
      <w:r w:rsidRPr="00BC31E0">
        <w:rPr>
          <w:rFonts w:hint="eastAsia"/>
        </w:rPr>
        <w:t>組織</w:t>
      </w:r>
    </w:p>
    <w:p w14:paraId="1C7E7231" w14:textId="77777777" w:rsidR="00A431EC" w:rsidRPr="00BC31E0" w:rsidRDefault="00A431EC" w:rsidP="005465B5">
      <w:pPr>
        <w:pStyle w:val="113"/>
        <w:ind w:firstLine="210"/>
      </w:pPr>
      <w:r w:rsidRPr="00BC31E0">
        <w:rPr>
          <w:rFonts w:hint="eastAsia"/>
        </w:rPr>
        <w:t>経営陣と技術，調達，製作，現地での建造，検査及び品質管理の各部門との関係を示す組織図は，現実の組織を反映</w:t>
      </w:r>
      <w:r w:rsidR="00024704" w:rsidRPr="00BC31E0">
        <w:rPr>
          <w:rFonts w:hint="eastAsia"/>
        </w:rPr>
        <w:t>し</w:t>
      </w:r>
      <w:r w:rsidRPr="00BC31E0">
        <w:rPr>
          <w:rFonts w:hint="eastAsia"/>
        </w:rPr>
        <w:t>なければならない。</w:t>
      </w:r>
    </w:p>
    <w:p w14:paraId="39EF71AE" w14:textId="77777777" w:rsidR="00A431EC" w:rsidRPr="00BC31E0" w:rsidRDefault="00A431EC" w:rsidP="005465B5">
      <w:pPr>
        <w:pStyle w:val="110"/>
        <w:spacing w:line="240" w:lineRule="auto"/>
        <w:ind w:left="567" w:hanging="567"/>
      </w:pPr>
      <w:r w:rsidRPr="00BC31E0">
        <w:rPr>
          <w:rFonts w:hint="eastAsia"/>
        </w:rPr>
        <w:t>図面，設計計算書及び仕様書の管理</w:t>
      </w:r>
    </w:p>
    <w:p w14:paraId="31E8FCAC" w14:textId="77777777" w:rsidR="00A431EC" w:rsidRPr="00BC31E0" w:rsidRDefault="00A431EC" w:rsidP="005465B5">
      <w:pPr>
        <w:pStyle w:val="113"/>
        <w:ind w:firstLine="210"/>
      </w:pPr>
      <w:r w:rsidRPr="00BC31E0">
        <w:rPr>
          <w:rFonts w:hint="eastAsia"/>
        </w:rPr>
        <w:t>製作者の品質マネジメントシステムには，規格で要求される図面，設計計算書，仕様書及び指示書</w:t>
      </w:r>
      <w:r w:rsidR="00554BAA" w:rsidRPr="00BC31E0">
        <w:rPr>
          <w:rFonts w:hint="eastAsia"/>
        </w:rPr>
        <w:t>など</w:t>
      </w:r>
      <w:r w:rsidRPr="00BC31E0">
        <w:rPr>
          <w:rFonts w:hint="eastAsia"/>
        </w:rPr>
        <w:t>の最新の適用版がその承認済の変更も含めて正しく使用されていることを確証するための要領を規定しなければならない。</w:t>
      </w:r>
    </w:p>
    <w:p w14:paraId="523231DE" w14:textId="77777777" w:rsidR="00A431EC" w:rsidRPr="00BC31E0" w:rsidRDefault="00A431EC" w:rsidP="005465B5">
      <w:pPr>
        <w:pStyle w:val="110"/>
        <w:spacing w:line="240" w:lineRule="auto"/>
        <w:ind w:left="567" w:hanging="567"/>
      </w:pPr>
      <w:r w:rsidRPr="00BC31E0">
        <w:rPr>
          <w:rFonts w:hint="eastAsia"/>
        </w:rPr>
        <w:t>材料管理</w:t>
      </w:r>
    </w:p>
    <w:p w14:paraId="6AAFF440" w14:textId="77777777" w:rsidR="00A431EC" w:rsidRPr="00BC31E0" w:rsidRDefault="00A431EC" w:rsidP="005465B5">
      <w:pPr>
        <w:pStyle w:val="113"/>
        <w:ind w:firstLine="210"/>
      </w:pPr>
      <w:r w:rsidRPr="00BC31E0">
        <w:rPr>
          <w:rFonts w:hint="eastAsia"/>
        </w:rPr>
        <w:t>受領した材料が規格の要求事項を満足していることを材料証明書，試験成績書</w:t>
      </w:r>
      <w:r w:rsidR="00554BAA" w:rsidRPr="00BC31E0">
        <w:rPr>
          <w:rFonts w:hint="eastAsia"/>
        </w:rPr>
        <w:t>など</w:t>
      </w:r>
      <w:r w:rsidRPr="00BC31E0">
        <w:rPr>
          <w:rFonts w:hint="eastAsia"/>
        </w:rPr>
        <w:t>の文書によって確証できる受入れ管理システムを規定しなければならない。</w:t>
      </w:r>
    </w:p>
    <w:p w14:paraId="7B3A3CF3" w14:textId="77777777" w:rsidR="00A431EC" w:rsidRPr="00BC31E0" w:rsidRDefault="00A431EC" w:rsidP="005465B5">
      <w:pPr>
        <w:pStyle w:val="110"/>
        <w:spacing w:line="240" w:lineRule="auto"/>
        <w:ind w:left="567" w:hanging="567"/>
        <w:rPr>
          <w:szCs w:val="20"/>
        </w:rPr>
      </w:pPr>
      <w:r w:rsidRPr="00BC31E0">
        <w:rPr>
          <w:rFonts w:hint="eastAsia"/>
        </w:rPr>
        <w:t>製作工程管理</w:t>
      </w:r>
    </w:p>
    <w:p w14:paraId="0441203B" w14:textId="77777777" w:rsidR="00A431EC" w:rsidRPr="00BC31E0" w:rsidRDefault="00A431EC" w:rsidP="005465B5">
      <w:pPr>
        <w:pStyle w:val="113"/>
        <w:ind w:firstLine="210"/>
      </w:pPr>
      <w:r w:rsidRPr="00BC31E0">
        <w:rPr>
          <w:rFonts w:hint="eastAsia"/>
        </w:rPr>
        <w:t>試験，検査工程を含む製作工程を記述した製作手順指示書を作成，承認及び管理システムを規定しなければならない。</w:t>
      </w:r>
    </w:p>
    <w:p w14:paraId="517E24EA" w14:textId="77777777" w:rsidR="00A431EC" w:rsidRPr="00BC31E0" w:rsidRDefault="00A431EC" w:rsidP="005465B5">
      <w:pPr>
        <w:pStyle w:val="110"/>
        <w:spacing w:line="240" w:lineRule="auto"/>
        <w:ind w:left="567" w:hanging="567"/>
      </w:pPr>
      <w:r w:rsidRPr="00BC31E0">
        <w:rPr>
          <w:rFonts w:hint="eastAsia"/>
        </w:rPr>
        <w:t>不適合の是正処置</w:t>
      </w:r>
    </w:p>
    <w:p w14:paraId="6F5B08A9" w14:textId="77777777" w:rsidR="00A431EC" w:rsidRPr="00BC31E0" w:rsidRDefault="00A431EC" w:rsidP="005465B5">
      <w:pPr>
        <w:pStyle w:val="113"/>
        <w:ind w:firstLine="210"/>
      </w:pPr>
      <w:r w:rsidRPr="00BC31E0">
        <w:rPr>
          <w:rFonts w:hint="eastAsia"/>
        </w:rPr>
        <w:t>不適合の是正処置の手順を規定しなければならない。不適合とは，この規格の該当要求に適合していない状態をいう。不適合は，完成部品が規格要求を満足したものと見なされる以前に</w:t>
      </w:r>
      <w:r w:rsidR="00807F4D" w:rsidRPr="00BC31E0">
        <w:rPr>
          <w:rFonts w:hint="eastAsia"/>
        </w:rPr>
        <w:t>，</w:t>
      </w:r>
      <w:r w:rsidRPr="00BC31E0">
        <w:rPr>
          <w:rFonts w:hint="eastAsia"/>
        </w:rPr>
        <w:t>何らかの方法</w:t>
      </w:r>
      <w:r w:rsidR="00807F4D" w:rsidRPr="00BC31E0">
        <w:rPr>
          <w:rFonts w:hint="eastAsia"/>
        </w:rPr>
        <w:t>に</w:t>
      </w:r>
      <w:r w:rsidRPr="00BC31E0">
        <w:rPr>
          <w:rFonts w:hint="eastAsia"/>
        </w:rPr>
        <w:t>より是正されるか，除去されなければならない。</w:t>
      </w:r>
    </w:p>
    <w:p w14:paraId="12682B91" w14:textId="77777777" w:rsidR="00A431EC" w:rsidRPr="00BC31E0" w:rsidRDefault="00A431EC" w:rsidP="005465B5">
      <w:pPr>
        <w:pStyle w:val="110"/>
        <w:spacing w:line="240" w:lineRule="auto"/>
        <w:ind w:left="567" w:hanging="567"/>
      </w:pPr>
      <w:r w:rsidRPr="00BC31E0">
        <w:rPr>
          <w:rFonts w:hint="eastAsia"/>
        </w:rPr>
        <w:t>溶接管理</w:t>
      </w:r>
    </w:p>
    <w:p w14:paraId="415C0A01" w14:textId="77777777" w:rsidR="00A431EC" w:rsidRPr="00BC31E0" w:rsidRDefault="00A431EC" w:rsidP="005465B5">
      <w:pPr>
        <w:pStyle w:val="113"/>
        <w:ind w:firstLine="210"/>
      </w:pPr>
      <w:r w:rsidRPr="00BC31E0">
        <w:rPr>
          <w:rFonts w:hint="eastAsia"/>
        </w:rPr>
        <w:t>溶接が規格要求事項に適合してなされていることを検証できる方法を規定しなければならない。</w:t>
      </w:r>
    </w:p>
    <w:p w14:paraId="02F8A847" w14:textId="77777777" w:rsidR="00A431EC" w:rsidRPr="00BC31E0" w:rsidRDefault="00A431EC" w:rsidP="005465B5">
      <w:pPr>
        <w:pStyle w:val="110"/>
        <w:spacing w:line="240" w:lineRule="auto"/>
        <w:ind w:left="567" w:hanging="567"/>
      </w:pPr>
      <w:r w:rsidRPr="00BC31E0">
        <w:rPr>
          <w:rFonts w:hint="eastAsia"/>
        </w:rPr>
        <w:lastRenderedPageBreak/>
        <w:t>非破壊試験</w:t>
      </w:r>
    </w:p>
    <w:p w14:paraId="185C4C17" w14:textId="77777777" w:rsidR="00A431EC" w:rsidRPr="00BC31E0" w:rsidRDefault="00A431EC" w:rsidP="005465B5">
      <w:pPr>
        <w:pStyle w:val="113"/>
        <w:ind w:firstLine="210"/>
      </w:pPr>
      <w:r w:rsidRPr="00BC31E0">
        <w:rPr>
          <w:rFonts w:hint="eastAsia"/>
        </w:rPr>
        <w:t>規格要求事項を満足するために適用する非破壊試験の要領を規定しなければならない。</w:t>
      </w:r>
    </w:p>
    <w:p w14:paraId="27DFCCDA" w14:textId="77777777" w:rsidR="00A431EC" w:rsidRPr="00BC31E0" w:rsidRDefault="00A431EC" w:rsidP="005465B5">
      <w:pPr>
        <w:pStyle w:val="110"/>
        <w:spacing w:line="240" w:lineRule="auto"/>
        <w:ind w:left="567" w:hanging="567"/>
      </w:pPr>
      <w:r w:rsidRPr="00BC31E0">
        <w:rPr>
          <w:rFonts w:hint="eastAsia"/>
        </w:rPr>
        <w:t>熱処理</w:t>
      </w:r>
    </w:p>
    <w:p w14:paraId="4FC27E0B" w14:textId="77777777" w:rsidR="00A431EC" w:rsidRPr="00BC31E0" w:rsidRDefault="00A431EC" w:rsidP="005465B5">
      <w:pPr>
        <w:pStyle w:val="113"/>
        <w:ind w:firstLine="210"/>
      </w:pPr>
      <w:r w:rsidRPr="00BC31E0">
        <w:rPr>
          <w:rFonts w:hint="eastAsia"/>
        </w:rPr>
        <w:t>規格で要求される熱処理が正しく実施されていることを検証するための方法を規定しなければならない。その方法として，熱処理時間－温度記録の確認，又はその他の適切な方法を採用</w:t>
      </w:r>
      <w:r w:rsidR="004F543D" w:rsidRPr="00BC31E0">
        <w:rPr>
          <w:rFonts w:hint="eastAsia"/>
        </w:rPr>
        <w:t>してもよい</w:t>
      </w:r>
      <w:r w:rsidRPr="00BC31E0">
        <w:rPr>
          <w:rFonts w:hint="eastAsia"/>
        </w:rPr>
        <w:t>。</w:t>
      </w:r>
    </w:p>
    <w:p w14:paraId="736A4455" w14:textId="77777777" w:rsidR="00A431EC" w:rsidRPr="00BC31E0" w:rsidRDefault="00A431EC" w:rsidP="005465B5">
      <w:pPr>
        <w:pStyle w:val="110"/>
        <w:spacing w:line="240" w:lineRule="auto"/>
        <w:ind w:left="567" w:hanging="567"/>
      </w:pPr>
      <w:r w:rsidRPr="00BC31E0">
        <w:t xml:space="preserve"> </w:t>
      </w:r>
      <w:r w:rsidRPr="00BC31E0">
        <w:rPr>
          <w:rFonts w:hint="eastAsia"/>
        </w:rPr>
        <w:t>計測器及び試験機の校正</w:t>
      </w:r>
    </w:p>
    <w:p w14:paraId="4ECC7700" w14:textId="77777777" w:rsidR="00A431EC" w:rsidRPr="00BC31E0" w:rsidRDefault="00A431EC" w:rsidP="005465B5">
      <w:pPr>
        <w:pStyle w:val="113"/>
        <w:ind w:firstLine="210"/>
      </w:pPr>
      <w:r w:rsidRPr="00BC31E0">
        <w:rPr>
          <w:rFonts w:hint="eastAsia"/>
        </w:rPr>
        <w:t>規格要求事項を満足させるために使用する試験装置，測定器，検査装置を校正するための要領を規定しなければならない。</w:t>
      </w:r>
    </w:p>
    <w:p w14:paraId="14FE1A3D" w14:textId="77777777" w:rsidR="00A431EC" w:rsidRPr="00BC31E0" w:rsidRDefault="00A431EC" w:rsidP="005465B5">
      <w:pPr>
        <w:pStyle w:val="110"/>
        <w:spacing w:line="240" w:lineRule="auto"/>
        <w:ind w:left="567" w:hanging="567"/>
      </w:pPr>
      <w:r w:rsidRPr="00BC31E0">
        <w:t xml:space="preserve"> </w:t>
      </w:r>
      <w:r w:rsidRPr="00BC31E0">
        <w:rPr>
          <w:rFonts w:hint="eastAsia"/>
        </w:rPr>
        <w:t>製作者製作記録の保管</w:t>
      </w:r>
    </w:p>
    <w:p w14:paraId="73414477" w14:textId="77777777" w:rsidR="00A431EC" w:rsidRPr="00BC31E0" w:rsidRDefault="00A431EC" w:rsidP="005465B5">
      <w:pPr>
        <w:pStyle w:val="113"/>
        <w:ind w:firstLine="210"/>
      </w:pPr>
      <w:r w:rsidRPr="00BC31E0">
        <w:rPr>
          <w:rFonts w:hint="eastAsia"/>
        </w:rPr>
        <w:t>規格で要求される製作者製作記録を保管するための要領を規定しなければならない。製作者製作記録には，少なくとも次に掲げる項目を含める。</w:t>
      </w:r>
    </w:p>
    <w:p w14:paraId="29EC6CD0" w14:textId="77777777" w:rsidR="00A431EC" w:rsidRPr="00BC31E0" w:rsidRDefault="00A431EC" w:rsidP="005465B5">
      <w:pPr>
        <w:pStyle w:val="15"/>
        <w:ind w:firstLine="210"/>
      </w:pPr>
      <w:r w:rsidRPr="00BC31E0">
        <w:rPr>
          <w:rFonts w:hint="eastAsia"/>
        </w:rPr>
        <w:t>・容器に使用された材料の材料証明書</w:t>
      </w:r>
      <w:r w:rsidRPr="00BC31E0">
        <w:rPr>
          <w:rFonts w:hint="eastAsia"/>
        </w:rPr>
        <w:t>(</w:t>
      </w:r>
      <w:r w:rsidRPr="00BC31E0">
        <w:rPr>
          <w:rFonts w:hint="eastAsia"/>
        </w:rPr>
        <w:t>含</w:t>
      </w:r>
      <w:r w:rsidRPr="00BC31E0">
        <w:rPr>
          <w:rFonts w:hint="eastAsia"/>
        </w:rPr>
        <w:t xml:space="preserve"> </w:t>
      </w:r>
      <w:r w:rsidRPr="00BC31E0">
        <w:rPr>
          <w:rFonts w:hint="eastAsia"/>
        </w:rPr>
        <w:t>非破壊試験記録，寸法記録</w:t>
      </w:r>
      <w:r w:rsidRPr="00BC31E0">
        <w:rPr>
          <w:rFonts w:hint="eastAsia"/>
        </w:rPr>
        <w:t>)</w:t>
      </w:r>
    </w:p>
    <w:p w14:paraId="6E172A79" w14:textId="77777777" w:rsidR="00A431EC" w:rsidRPr="00BC31E0" w:rsidRDefault="00A431EC" w:rsidP="005465B5">
      <w:pPr>
        <w:pStyle w:val="15"/>
        <w:ind w:firstLine="210"/>
      </w:pPr>
      <w:r w:rsidRPr="00BC31E0">
        <w:rPr>
          <w:rFonts w:hint="eastAsia"/>
        </w:rPr>
        <w:t>・機械試験記録</w:t>
      </w:r>
    </w:p>
    <w:p w14:paraId="09C545AB" w14:textId="77777777" w:rsidR="00A431EC" w:rsidRPr="00BC31E0" w:rsidRDefault="00A431EC" w:rsidP="005465B5">
      <w:pPr>
        <w:pStyle w:val="15"/>
        <w:ind w:firstLine="210"/>
      </w:pPr>
      <w:r w:rsidRPr="00BC31E0">
        <w:rPr>
          <w:rFonts w:hint="eastAsia"/>
        </w:rPr>
        <w:t>・鏡板，胴板など部材の寸法測定記録</w:t>
      </w:r>
    </w:p>
    <w:p w14:paraId="700E5F33" w14:textId="77777777" w:rsidR="00A431EC" w:rsidRPr="00BC31E0" w:rsidRDefault="00A431EC" w:rsidP="005465B5">
      <w:pPr>
        <w:pStyle w:val="15"/>
        <w:ind w:firstLine="210"/>
      </w:pPr>
      <w:r w:rsidRPr="00BC31E0">
        <w:rPr>
          <w:rFonts w:hint="eastAsia"/>
        </w:rPr>
        <w:t>・溶接要領書</w:t>
      </w:r>
    </w:p>
    <w:p w14:paraId="72671C90" w14:textId="77777777" w:rsidR="00A431EC" w:rsidRPr="00BC31E0" w:rsidRDefault="00A431EC" w:rsidP="005465B5">
      <w:pPr>
        <w:pStyle w:val="15"/>
        <w:ind w:firstLine="210"/>
      </w:pPr>
      <w:r w:rsidRPr="00BC31E0">
        <w:rPr>
          <w:rFonts w:hint="eastAsia"/>
        </w:rPr>
        <w:t>・溶接施工方法確認試験記録</w:t>
      </w:r>
    </w:p>
    <w:p w14:paraId="78BFB606" w14:textId="77777777" w:rsidR="00A431EC" w:rsidRPr="00BC31E0" w:rsidRDefault="00A431EC" w:rsidP="005465B5">
      <w:pPr>
        <w:pStyle w:val="15"/>
        <w:ind w:firstLine="210"/>
      </w:pPr>
      <w:r w:rsidRPr="00BC31E0">
        <w:rPr>
          <w:rFonts w:hint="eastAsia"/>
        </w:rPr>
        <w:t>・溶接士リストと認定記録</w:t>
      </w:r>
    </w:p>
    <w:p w14:paraId="6DB6EBCE" w14:textId="77777777" w:rsidR="00A431EC" w:rsidRPr="00BC31E0" w:rsidRDefault="00A431EC" w:rsidP="005465B5">
      <w:pPr>
        <w:pStyle w:val="15"/>
        <w:ind w:firstLine="210"/>
      </w:pPr>
      <w:r w:rsidRPr="00BC31E0">
        <w:rPr>
          <w:rFonts w:hint="eastAsia"/>
        </w:rPr>
        <w:t>・開先合わせ記録</w:t>
      </w:r>
    </w:p>
    <w:p w14:paraId="1D811FC5" w14:textId="77777777" w:rsidR="00A431EC" w:rsidRPr="00BC31E0" w:rsidRDefault="00A431EC" w:rsidP="005465B5">
      <w:pPr>
        <w:pStyle w:val="15"/>
        <w:ind w:firstLine="210"/>
      </w:pPr>
      <w:r w:rsidRPr="00BC31E0">
        <w:rPr>
          <w:rFonts w:hint="eastAsia"/>
        </w:rPr>
        <w:t>・溶接記録</w:t>
      </w:r>
    </w:p>
    <w:p w14:paraId="7DAC8BA0" w14:textId="77777777" w:rsidR="00A431EC" w:rsidRPr="00BC31E0" w:rsidRDefault="00A431EC" w:rsidP="005465B5">
      <w:pPr>
        <w:pStyle w:val="15"/>
        <w:ind w:firstLine="210"/>
      </w:pPr>
      <w:r w:rsidRPr="00BC31E0">
        <w:rPr>
          <w:rFonts w:hint="eastAsia"/>
        </w:rPr>
        <w:t>・溶接補修記録</w:t>
      </w:r>
    </w:p>
    <w:p w14:paraId="5F7568C4" w14:textId="77777777" w:rsidR="00A431EC" w:rsidRPr="00BC31E0" w:rsidRDefault="00A431EC" w:rsidP="005465B5">
      <w:pPr>
        <w:pStyle w:val="15"/>
        <w:ind w:firstLine="210"/>
      </w:pPr>
      <w:r w:rsidRPr="00BC31E0">
        <w:rPr>
          <w:rFonts w:hint="eastAsia"/>
        </w:rPr>
        <w:t>・熱処理記録</w:t>
      </w:r>
    </w:p>
    <w:p w14:paraId="364119EB" w14:textId="77777777" w:rsidR="00A431EC" w:rsidRPr="00BC31E0" w:rsidRDefault="00A431EC" w:rsidP="005465B5">
      <w:pPr>
        <w:pStyle w:val="15"/>
        <w:ind w:firstLine="210"/>
      </w:pPr>
      <w:r w:rsidRPr="00BC31E0">
        <w:rPr>
          <w:rFonts w:hint="eastAsia"/>
        </w:rPr>
        <w:t>・線巻き手順書</w:t>
      </w:r>
    </w:p>
    <w:p w14:paraId="7A8C29BA" w14:textId="77777777" w:rsidR="00A431EC" w:rsidRPr="00BC31E0" w:rsidRDefault="00A431EC" w:rsidP="005465B5">
      <w:pPr>
        <w:pStyle w:val="15"/>
        <w:ind w:firstLine="210"/>
      </w:pPr>
      <w:r w:rsidRPr="00BC31E0">
        <w:rPr>
          <w:rFonts w:hint="eastAsia"/>
        </w:rPr>
        <w:t>・非破壊試験要領書</w:t>
      </w:r>
    </w:p>
    <w:p w14:paraId="6E29D135" w14:textId="77777777" w:rsidR="00A431EC" w:rsidRPr="00BC31E0" w:rsidRDefault="00A431EC" w:rsidP="005465B5">
      <w:pPr>
        <w:pStyle w:val="15"/>
        <w:ind w:firstLine="210"/>
      </w:pPr>
      <w:r w:rsidRPr="00BC31E0">
        <w:rPr>
          <w:rFonts w:hint="eastAsia"/>
        </w:rPr>
        <w:t>・非破壊試験検査員リストと認定記録</w:t>
      </w:r>
    </w:p>
    <w:p w14:paraId="554BDC35" w14:textId="77777777" w:rsidR="00A431EC" w:rsidRPr="00BC31E0" w:rsidRDefault="00A431EC" w:rsidP="005465B5">
      <w:pPr>
        <w:pStyle w:val="15"/>
        <w:ind w:firstLine="210"/>
      </w:pPr>
      <w:r w:rsidRPr="00BC31E0">
        <w:rPr>
          <w:rFonts w:hint="eastAsia"/>
        </w:rPr>
        <w:t>・非破壊試験記録</w:t>
      </w:r>
    </w:p>
    <w:p w14:paraId="5A4BC421" w14:textId="77777777" w:rsidR="00A431EC" w:rsidRPr="00BC31E0" w:rsidRDefault="00A431EC" w:rsidP="005465B5">
      <w:pPr>
        <w:pStyle w:val="15"/>
        <w:ind w:firstLine="210"/>
      </w:pPr>
      <w:r w:rsidRPr="00BC31E0">
        <w:rPr>
          <w:rFonts w:hint="eastAsia"/>
        </w:rPr>
        <w:t>・不適合記録</w:t>
      </w:r>
    </w:p>
    <w:p w14:paraId="27B00EE4" w14:textId="77777777" w:rsidR="00A431EC" w:rsidRPr="00BC31E0" w:rsidRDefault="00A431EC" w:rsidP="005465B5">
      <w:pPr>
        <w:ind w:leftChars="100" w:left="420" w:hangingChars="100" w:hanging="210"/>
      </w:pPr>
      <w:r w:rsidRPr="00BC31E0">
        <w:rPr>
          <w:rFonts w:hint="eastAsia"/>
        </w:rPr>
        <w:t>・耐圧試験記録</w:t>
      </w:r>
    </w:p>
    <w:p w14:paraId="2837FFB2" w14:textId="77777777" w:rsidR="008A494B" w:rsidRPr="00BC31E0" w:rsidRDefault="008A494B" w:rsidP="008A494B"/>
    <w:p w14:paraId="0759125B" w14:textId="77777777" w:rsidR="00A431EC" w:rsidRPr="00BC31E0" w:rsidRDefault="00A431EC" w:rsidP="005465B5">
      <w:pPr>
        <w:pStyle w:val="13"/>
        <w:spacing w:line="240" w:lineRule="auto"/>
        <w:ind w:left="340" w:hanging="340"/>
      </w:pPr>
      <w:r w:rsidRPr="00BC31E0">
        <w:rPr>
          <w:rFonts w:hint="eastAsia"/>
        </w:rPr>
        <w:t>完成図書の提出及び保管</w:t>
      </w:r>
    </w:p>
    <w:p w14:paraId="7F21D37E" w14:textId="77777777" w:rsidR="00A431EC" w:rsidRPr="00BC31E0" w:rsidRDefault="00A431EC" w:rsidP="005465B5">
      <w:pPr>
        <w:pStyle w:val="15"/>
        <w:ind w:firstLine="210"/>
      </w:pPr>
      <w:r w:rsidRPr="00BC31E0">
        <w:rPr>
          <w:rFonts w:hint="eastAsia"/>
        </w:rPr>
        <w:t>製作者は圧力容器の完成後次の</w:t>
      </w:r>
      <w:r w:rsidRPr="00BC31E0">
        <w:rPr>
          <w:rFonts w:asciiTheme="majorEastAsia" w:eastAsiaTheme="majorEastAsia" w:hAnsiTheme="majorEastAsia" w:hint="eastAsia"/>
          <w:b/>
        </w:rPr>
        <w:t>a)</w:t>
      </w:r>
      <w:r w:rsidRPr="00BC31E0">
        <w:rPr>
          <w:rFonts w:hint="eastAsia"/>
        </w:rPr>
        <w:t>～</w:t>
      </w:r>
      <w:r w:rsidRPr="00BC31E0">
        <w:rPr>
          <w:rFonts w:asciiTheme="majorEastAsia" w:eastAsiaTheme="majorEastAsia" w:hAnsiTheme="majorEastAsia" w:hint="eastAsia"/>
          <w:b/>
        </w:rPr>
        <w:t>c)</w:t>
      </w:r>
      <w:r w:rsidRPr="00BC31E0">
        <w:rPr>
          <w:rFonts w:hint="eastAsia"/>
        </w:rPr>
        <w:t>の完成図書を，圧力容器の使用者に提出するとともに保管しなければならない。</w:t>
      </w:r>
    </w:p>
    <w:p w14:paraId="4FBB8FF2" w14:textId="77777777" w:rsidR="00A37420" w:rsidRPr="00BC31E0" w:rsidRDefault="00A431EC" w:rsidP="00736130">
      <w:pPr>
        <w:pStyle w:val="a4"/>
        <w:numPr>
          <w:ilvl w:val="0"/>
          <w:numId w:val="620"/>
        </w:numPr>
        <w:ind w:leftChars="0" w:left="454" w:hanging="454"/>
        <w:rPr>
          <w:rFonts w:asciiTheme="minorHAnsi" w:eastAsiaTheme="minorEastAsia" w:hAnsiTheme="minorHAnsi"/>
        </w:rPr>
      </w:pPr>
      <w:r w:rsidRPr="00BC31E0">
        <w:rPr>
          <w:rFonts w:asciiTheme="majorEastAsia" w:eastAsiaTheme="majorEastAsia" w:hAnsiTheme="majorEastAsia"/>
          <w:b/>
        </w:rPr>
        <w:t>使用者設計仕様書</w:t>
      </w:r>
      <w:r w:rsidRPr="00BC31E0">
        <w:rPr>
          <w:rFonts w:asciiTheme="minorHAnsi" w:eastAsiaTheme="minorEastAsia" w:hAnsiTheme="minorHAnsi"/>
        </w:rPr>
        <w:t>(</w:t>
      </w:r>
      <w:r w:rsidRPr="00BC31E0">
        <w:rPr>
          <w:rFonts w:asciiTheme="minorHAnsi" w:eastAsiaTheme="minorEastAsia" w:hAnsiTheme="minorEastAsia"/>
        </w:rPr>
        <w:t>本体の</w:t>
      </w:r>
      <w:r w:rsidRPr="00BC31E0">
        <w:rPr>
          <w:rFonts w:asciiTheme="majorEastAsia" w:eastAsiaTheme="majorEastAsia" w:hAnsiTheme="majorEastAsia"/>
          <w:b/>
        </w:rPr>
        <w:t>1.2.1 b)</w:t>
      </w:r>
      <w:r w:rsidRPr="00BC31E0">
        <w:rPr>
          <w:rFonts w:asciiTheme="minorHAnsi" w:eastAsiaTheme="minorEastAsia" w:hAnsiTheme="minorEastAsia"/>
        </w:rPr>
        <w:t>を参照</w:t>
      </w:r>
      <w:r w:rsidRPr="00BC31E0">
        <w:rPr>
          <w:rFonts w:asciiTheme="minorHAnsi" w:eastAsiaTheme="minorEastAsia" w:hAnsiTheme="minorHAnsi"/>
        </w:rPr>
        <w:t>)</w:t>
      </w:r>
    </w:p>
    <w:p w14:paraId="698E0476" w14:textId="77777777" w:rsidR="00A37420" w:rsidRPr="00BC31E0" w:rsidRDefault="00A431EC" w:rsidP="00736130">
      <w:pPr>
        <w:pStyle w:val="a4"/>
        <w:numPr>
          <w:ilvl w:val="0"/>
          <w:numId w:val="620"/>
        </w:numPr>
        <w:ind w:leftChars="0" w:left="454" w:hanging="454"/>
        <w:rPr>
          <w:rFonts w:asciiTheme="minorHAnsi" w:eastAsiaTheme="minorEastAsia" w:hAnsiTheme="minorHAnsi"/>
        </w:rPr>
      </w:pPr>
      <w:r w:rsidRPr="00BC31E0">
        <w:rPr>
          <w:rFonts w:asciiTheme="majorEastAsia" w:eastAsiaTheme="majorEastAsia" w:hAnsiTheme="majorEastAsia" w:hint="eastAsia"/>
          <w:b/>
        </w:rPr>
        <w:t>製作者設計報告書</w:t>
      </w:r>
      <w:r w:rsidRPr="00BC31E0">
        <w:rPr>
          <w:rFonts w:asciiTheme="minorHAnsi" w:hAnsiTheme="minorHAnsi"/>
          <w:bCs/>
        </w:rPr>
        <w:t>(</w:t>
      </w:r>
      <w:r w:rsidRPr="00BC31E0">
        <w:rPr>
          <w:rFonts w:ascii="ＭＳ 明朝" w:hAnsi="ＭＳ 明朝" w:hint="eastAsia"/>
          <w:bCs/>
        </w:rPr>
        <w:t>本体の</w:t>
      </w:r>
      <w:r w:rsidRPr="00BC31E0">
        <w:rPr>
          <w:rFonts w:asciiTheme="majorEastAsia" w:eastAsiaTheme="majorEastAsia" w:hAnsiTheme="majorEastAsia"/>
          <w:b/>
          <w:bCs/>
        </w:rPr>
        <w:t>1.2.1 c)</w:t>
      </w:r>
      <w:r w:rsidRPr="00BC31E0">
        <w:rPr>
          <w:rFonts w:ascii="ＭＳ 明朝" w:hAnsi="ＭＳ 明朝" w:hint="eastAsia"/>
          <w:bCs/>
        </w:rPr>
        <w:t>を参照</w:t>
      </w:r>
      <w:r w:rsidRPr="00BC31E0">
        <w:rPr>
          <w:rFonts w:asciiTheme="minorHAnsi" w:hAnsiTheme="minorHAnsi"/>
          <w:bCs/>
        </w:rPr>
        <w:t>)</w:t>
      </w:r>
    </w:p>
    <w:p w14:paraId="084E2300" w14:textId="77777777" w:rsidR="00A431EC" w:rsidRPr="00BC31E0" w:rsidRDefault="00A431EC" w:rsidP="00736130">
      <w:pPr>
        <w:pStyle w:val="a4"/>
        <w:numPr>
          <w:ilvl w:val="0"/>
          <w:numId w:val="620"/>
        </w:numPr>
        <w:ind w:leftChars="0" w:left="454" w:hanging="454"/>
        <w:rPr>
          <w:rFonts w:asciiTheme="minorHAnsi" w:eastAsiaTheme="minorEastAsia" w:hAnsiTheme="minorHAnsi"/>
        </w:rPr>
      </w:pPr>
      <w:r w:rsidRPr="00BC31E0">
        <w:rPr>
          <w:rFonts w:asciiTheme="majorEastAsia" w:eastAsiaTheme="majorEastAsia" w:hAnsiTheme="majorEastAsia" w:hint="eastAsia"/>
          <w:b/>
        </w:rPr>
        <w:t>製作者製作記録</w:t>
      </w:r>
      <w:r w:rsidRPr="00BC31E0">
        <w:rPr>
          <w:rFonts w:asciiTheme="minorHAnsi" w:hAnsiTheme="minorHAnsi"/>
          <w:bCs/>
        </w:rPr>
        <w:t>(</w:t>
      </w:r>
      <w:r w:rsidRPr="00BC31E0">
        <w:rPr>
          <w:rFonts w:ascii="ＭＳ 明朝" w:hAnsi="ＭＳ 明朝" w:hint="eastAsia"/>
          <w:bCs/>
        </w:rPr>
        <w:t>本体の</w:t>
      </w:r>
      <w:r w:rsidRPr="00BC31E0">
        <w:rPr>
          <w:rFonts w:asciiTheme="majorEastAsia" w:eastAsiaTheme="majorEastAsia" w:hAnsiTheme="majorEastAsia"/>
          <w:b/>
          <w:bCs/>
        </w:rPr>
        <w:t>1.2.1 d)</w:t>
      </w:r>
      <w:r w:rsidRPr="00BC31E0">
        <w:rPr>
          <w:rFonts w:ascii="ＭＳ 明朝" w:hAnsi="ＭＳ 明朝" w:hint="eastAsia"/>
          <w:bCs/>
        </w:rPr>
        <w:t>を参照</w:t>
      </w:r>
      <w:r w:rsidRPr="00BC31E0">
        <w:rPr>
          <w:rFonts w:asciiTheme="minorHAnsi" w:hAnsiTheme="minorHAnsi"/>
          <w:bCs/>
        </w:rPr>
        <w:t>)</w:t>
      </w:r>
    </w:p>
    <w:p w14:paraId="38A15B57" w14:textId="77777777" w:rsidR="00A431EC" w:rsidRPr="00BC31E0" w:rsidRDefault="00A431EC" w:rsidP="005465B5"/>
    <w:p w14:paraId="2139F61E" w14:textId="77777777" w:rsidR="005465B5" w:rsidRPr="00BC31E0" w:rsidRDefault="005465B5">
      <w:pPr>
        <w:widowControl/>
        <w:jc w:val="left"/>
        <w:rPr>
          <w:rFonts w:ascii="ＭＳ 明朝" w:hAnsi="ＭＳ 明朝"/>
        </w:rPr>
      </w:pPr>
      <w:r w:rsidRPr="00BC31E0">
        <w:rPr>
          <w:rFonts w:ascii="ＭＳ 明朝" w:hAnsi="ＭＳ 明朝"/>
        </w:rPr>
        <w:br w:type="page"/>
      </w:r>
    </w:p>
    <w:p w14:paraId="47A3AAC0" w14:textId="77777777" w:rsidR="00C25C85" w:rsidRPr="00BC31E0" w:rsidRDefault="00C25C85" w:rsidP="008234D1">
      <w:pPr>
        <w:pStyle w:val="aff6"/>
      </w:pPr>
      <w:bookmarkStart w:id="120" w:name="_Toc284409061"/>
      <w:bookmarkStart w:id="121" w:name="_Toc357672126"/>
      <w:bookmarkStart w:id="122" w:name="_Toc120092562"/>
      <w:r w:rsidRPr="00BC31E0">
        <w:rPr>
          <w:rFonts w:hint="eastAsia"/>
        </w:rPr>
        <w:lastRenderedPageBreak/>
        <w:t>附属書</w:t>
      </w:r>
      <w:r w:rsidRPr="00BC31E0">
        <w:t>B</w:t>
      </w:r>
      <w:r w:rsidRPr="00BC31E0">
        <w:rPr>
          <w:rFonts w:hint="eastAsia"/>
        </w:rPr>
        <w:t>(</w:t>
      </w:r>
      <w:r w:rsidRPr="00BC31E0">
        <w:rPr>
          <w:rFonts w:hint="eastAsia"/>
        </w:rPr>
        <w:t>規定</w:t>
      </w:r>
      <w:r w:rsidRPr="00BC31E0">
        <w:rPr>
          <w:rFonts w:hint="eastAsia"/>
        </w:rPr>
        <w:t>)</w:t>
      </w:r>
      <w:r w:rsidRPr="00BC31E0">
        <w:rPr>
          <w:rFonts w:hint="eastAsia"/>
        </w:rPr>
        <w:t xml:space="preserve">　用語及び記号の定義</w:t>
      </w:r>
      <w:bookmarkEnd w:id="120"/>
      <w:bookmarkEnd w:id="121"/>
      <w:bookmarkEnd w:id="122"/>
    </w:p>
    <w:p w14:paraId="6CDA5706" w14:textId="77777777" w:rsidR="00C25C85" w:rsidRPr="00BC31E0" w:rsidRDefault="00C25C85" w:rsidP="008234D1">
      <w:pPr>
        <w:pStyle w:val="afb"/>
        <w:spacing w:line="240" w:lineRule="auto"/>
      </w:pPr>
      <w:r w:rsidRPr="00BC31E0">
        <w:rPr>
          <w:rFonts w:hint="eastAsia"/>
        </w:rPr>
        <w:t>序文</w:t>
      </w:r>
    </w:p>
    <w:p w14:paraId="0F4961C4" w14:textId="77777777" w:rsidR="00C25C85" w:rsidRPr="00BC31E0" w:rsidRDefault="00C25C85" w:rsidP="008234D1">
      <w:pPr>
        <w:pStyle w:val="15"/>
        <w:ind w:firstLine="210"/>
      </w:pPr>
      <w:r w:rsidRPr="00BC31E0">
        <w:rPr>
          <w:rFonts w:hint="eastAsia"/>
        </w:rPr>
        <w:t>この附属書は，この規格に使用する用語及び記号の定義で，</w:t>
      </w:r>
      <w:r w:rsidRPr="00BC31E0">
        <w:rPr>
          <w:rFonts w:ascii="ＭＳ ゴシック" w:hAnsi="ＭＳ ゴシック" w:hint="eastAsia"/>
          <w:b/>
        </w:rPr>
        <w:t>JIS B 0190</w:t>
      </w:r>
      <w:r w:rsidRPr="00BC31E0">
        <w:rPr>
          <w:rFonts w:hint="eastAsia"/>
        </w:rPr>
        <w:t>にない</w:t>
      </w:r>
      <w:r w:rsidR="00452376" w:rsidRPr="00BC31E0">
        <w:rPr>
          <w:rFonts w:hint="eastAsia"/>
        </w:rPr>
        <w:t>事項</w:t>
      </w:r>
      <w:r w:rsidRPr="00BC31E0">
        <w:rPr>
          <w:rFonts w:hint="eastAsia"/>
        </w:rPr>
        <w:t>を規定する。</w:t>
      </w:r>
    </w:p>
    <w:p w14:paraId="0D3854ED" w14:textId="77777777" w:rsidR="00C25C85" w:rsidRPr="00BC31E0" w:rsidRDefault="00C25C85" w:rsidP="008234D1">
      <w:pPr>
        <w:rPr>
          <w:b/>
        </w:rPr>
      </w:pPr>
    </w:p>
    <w:p w14:paraId="451ECED4" w14:textId="77777777" w:rsidR="00C25C85" w:rsidRPr="00BC31E0" w:rsidRDefault="00C25C85" w:rsidP="00736130">
      <w:pPr>
        <w:pStyle w:val="13"/>
        <w:numPr>
          <w:ilvl w:val="0"/>
          <w:numId w:val="243"/>
        </w:numPr>
        <w:adjustRightInd/>
        <w:snapToGrid/>
        <w:spacing w:line="240" w:lineRule="auto"/>
        <w:ind w:left="340" w:hanging="340"/>
      </w:pPr>
      <w:r w:rsidRPr="00BC31E0">
        <w:rPr>
          <w:rFonts w:hint="eastAsia"/>
        </w:rPr>
        <w:t>用語の定義</w:t>
      </w:r>
    </w:p>
    <w:p w14:paraId="49F186D6" w14:textId="77777777" w:rsidR="00896689" w:rsidRPr="00BC31E0" w:rsidRDefault="00C25C85" w:rsidP="00736130">
      <w:pPr>
        <w:pStyle w:val="a4"/>
        <w:numPr>
          <w:ilvl w:val="0"/>
          <w:numId w:val="359"/>
        </w:numPr>
        <w:ind w:leftChars="0" w:left="454" w:hanging="454"/>
      </w:pPr>
      <w:bookmarkStart w:id="123" w:name="_Hlk69888171"/>
      <w:r w:rsidRPr="00BC31E0">
        <w:rPr>
          <w:rFonts w:asciiTheme="majorEastAsia" w:eastAsiaTheme="majorEastAsia" w:hAnsiTheme="majorEastAsia" w:hint="eastAsia"/>
          <w:b/>
        </w:rPr>
        <w:t>きず</w:t>
      </w:r>
      <w:r w:rsidRPr="00BC31E0">
        <w:rPr>
          <w:rFonts w:hint="eastAsia"/>
        </w:rPr>
        <w:t xml:space="preserve">　非破壊</w:t>
      </w:r>
      <w:r w:rsidR="008C4BCB" w:rsidRPr="00BC31E0">
        <w:rPr>
          <w:rFonts w:hint="eastAsia"/>
        </w:rPr>
        <w:t>試験</w:t>
      </w:r>
      <w:r w:rsidRPr="00BC31E0">
        <w:rPr>
          <w:rFonts w:hint="eastAsia"/>
        </w:rPr>
        <w:t>の結果から判断される不完全部又は不連続部であって，合格になる</w:t>
      </w:r>
      <w:r w:rsidR="00493447" w:rsidRPr="00BC31E0">
        <w:rPr>
          <w:rFonts w:hint="eastAsia"/>
        </w:rPr>
        <w:t>きず</w:t>
      </w:r>
      <w:r w:rsidRPr="00BC31E0">
        <w:rPr>
          <w:rFonts w:hint="eastAsia"/>
        </w:rPr>
        <w:t>と不合格になる</w:t>
      </w:r>
      <w:r w:rsidR="00493447" w:rsidRPr="00BC31E0">
        <w:rPr>
          <w:rFonts w:hint="eastAsia"/>
        </w:rPr>
        <w:t>きず</w:t>
      </w:r>
      <w:r w:rsidRPr="00BC31E0">
        <w:rPr>
          <w:rFonts w:hint="eastAsia"/>
        </w:rPr>
        <w:t>がある。</w:t>
      </w:r>
      <w:bookmarkEnd w:id="123"/>
    </w:p>
    <w:p w14:paraId="51CEA831" w14:textId="77777777" w:rsidR="0070614A" w:rsidRPr="00BC31E0" w:rsidRDefault="00C25C85" w:rsidP="00736130">
      <w:pPr>
        <w:pStyle w:val="a4"/>
        <w:numPr>
          <w:ilvl w:val="0"/>
          <w:numId w:val="359"/>
        </w:numPr>
        <w:ind w:leftChars="0" w:left="454" w:hanging="454"/>
      </w:pPr>
      <w:r w:rsidRPr="00BC31E0">
        <w:rPr>
          <w:rFonts w:asciiTheme="majorEastAsia" w:eastAsiaTheme="majorEastAsia" w:hAnsiTheme="majorEastAsia" w:hint="eastAsia"/>
          <w:b/>
        </w:rPr>
        <w:t>亀裂又は割れ</w:t>
      </w:r>
      <w:r w:rsidRPr="00BC31E0">
        <w:rPr>
          <w:rFonts w:hint="eastAsia"/>
        </w:rPr>
        <w:t xml:space="preserve">　先端の曲率半径が鋭く，深さと長さで特徴付けられるきず</w:t>
      </w:r>
      <w:r w:rsidR="00896689" w:rsidRPr="00BC31E0">
        <w:rPr>
          <w:rFonts w:hint="eastAsia"/>
        </w:rPr>
        <w:t>である</w:t>
      </w:r>
      <w:r w:rsidRPr="00BC31E0">
        <w:rPr>
          <w:rFonts w:hint="eastAsia"/>
        </w:rPr>
        <w:t>。割れは，溶接割れのように，材料や溶接部の局部的な破断によって生ずる隙間又は不完全部</w:t>
      </w:r>
      <w:r w:rsidR="00896689" w:rsidRPr="00BC31E0">
        <w:rPr>
          <w:rFonts w:hint="eastAsia"/>
        </w:rPr>
        <w:t>である</w:t>
      </w:r>
      <w:r w:rsidRPr="00BC31E0">
        <w:rPr>
          <w:rFonts w:hint="eastAsia"/>
        </w:rPr>
        <w:t>。</w:t>
      </w:r>
      <w:bookmarkStart w:id="124" w:name="_Hlk69888545"/>
    </w:p>
    <w:p w14:paraId="00174196" w14:textId="77777777" w:rsidR="0070614A" w:rsidRPr="00BC31E0" w:rsidRDefault="00C25C85" w:rsidP="00736130">
      <w:pPr>
        <w:pStyle w:val="a4"/>
        <w:numPr>
          <w:ilvl w:val="0"/>
          <w:numId w:val="359"/>
        </w:numPr>
        <w:ind w:leftChars="0" w:left="454" w:hanging="454"/>
      </w:pPr>
      <w:r w:rsidRPr="00BC31E0">
        <w:rPr>
          <w:rFonts w:asciiTheme="majorEastAsia" w:eastAsiaTheme="majorEastAsia" w:hAnsiTheme="majorEastAsia" w:hint="eastAsia"/>
          <w:b/>
        </w:rPr>
        <w:t>欠陥</w:t>
      </w:r>
      <w:r w:rsidRPr="00BC31E0">
        <w:rPr>
          <w:rFonts w:hint="eastAsia"/>
        </w:rPr>
        <w:t xml:space="preserve">　集計された大きさ，形状，方向性，位置又は特性が，規定された合格基準を満足しない一つ以上のきずを指し，不合格とみなされる。</w:t>
      </w:r>
      <w:bookmarkEnd w:id="124"/>
    </w:p>
    <w:p w14:paraId="173BCC8B" w14:textId="77777777" w:rsidR="00A6633D" w:rsidRPr="00BC31E0" w:rsidRDefault="00C25C85" w:rsidP="00736130">
      <w:pPr>
        <w:pStyle w:val="a4"/>
        <w:numPr>
          <w:ilvl w:val="0"/>
          <w:numId w:val="359"/>
        </w:numPr>
        <w:ind w:leftChars="0" w:left="454" w:hanging="454"/>
      </w:pPr>
      <w:r w:rsidRPr="00BC31E0">
        <w:rPr>
          <w:rFonts w:asciiTheme="majorEastAsia" w:eastAsiaTheme="majorEastAsia" w:hAnsiTheme="majorEastAsia" w:hint="eastAsia"/>
          <w:b/>
        </w:rPr>
        <w:t>指示模様</w:t>
      </w:r>
      <w:r w:rsidRPr="00BC31E0">
        <w:rPr>
          <w:rFonts w:hint="eastAsia"/>
        </w:rPr>
        <w:t xml:space="preserve">　非破壊検査において，装置上に出現した画像，数値又は試験体上に出現された模様で，評価対象と疑似指示のような評価対象外に判別される。評価対象は判定され，合格か不合格が決定される。磁粉探傷試験の指示模様は，磁粉模様という。</w:t>
      </w:r>
    </w:p>
    <w:p w14:paraId="6C22BB0C" w14:textId="77777777" w:rsidR="00A6633D" w:rsidRPr="00BC31E0" w:rsidRDefault="00C25C85" w:rsidP="00736130">
      <w:pPr>
        <w:pStyle w:val="a4"/>
        <w:numPr>
          <w:ilvl w:val="0"/>
          <w:numId w:val="359"/>
        </w:numPr>
        <w:ind w:leftChars="0" w:left="454" w:hanging="454"/>
      </w:pPr>
      <w:r w:rsidRPr="00BC31E0">
        <w:rPr>
          <w:rFonts w:asciiTheme="majorEastAsia" w:eastAsiaTheme="majorEastAsia" w:hAnsiTheme="majorEastAsia" w:hint="eastAsia"/>
          <w:b/>
        </w:rPr>
        <w:t>円形状指示模様</w:t>
      </w:r>
      <w:r w:rsidRPr="00BC31E0">
        <w:rPr>
          <w:rFonts w:hint="eastAsia"/>
        </w:rPr>
        <w:t xml:space="preserve">　最大長さが幅の</w:t>
      </w:r>
      <w:r w:rsidRPr="00BC31E0">
        <w:t>3</w:t>
      </w:r>
      <w:r w:rsidRPr="00BC31E0">
        <w:rPr>
          <w:rFonts w:hint="eastAsia"/>
        </w:rPr>
        <w:t>倍以下の指示模様を円形状指示模様と定義する。この指示模様は，円形，だ円形，円すい形又は不規則な形状をしており，尾がある場合もある。指示模様の寸法を評価する場合は，尾も含めなければならない。この指示模様は，ポロシティー，スラグ巻込み，タングステン巻込み</w:t>
      </w:r>
      <w:r w:rsidR="004D7293" w:rsidRPr="00BC31E0">
        <w:rPr>
          <w:rFonts w:hint="eastAsia"/>
        </w:rPr>
        <w:t>など，</w:t>
      </w:r>
      <w:r w:rsidRPr="00BC31E0">
        <w:rPr>
          <w:rFonts w:hint="eastAsia"/>
        </w:rPr>
        <w:t>種々の原因から生じる。</w:t>
      </w:r>
    </w:p>
    <w:p w14:paraId="0B6EBEF5" w14:textId="77777777" w:rsidR="00A6633D" w:rsidRPr="00BC31E0" w:rsidRDefault="00C25C85" w:rsidP="00736130">
      <w:pPr>
        <w:pStyle w:val="a4"/>
        <w:numPr>
          <w:ilvl w:val="0"/>
          <w:numId w:val="359"/>
        </w:numPr>
        <w:ind w:leftChars="0" w:left="454" w:hanging="454"/>
      </w:pPr>
      <w:r w:rsidRPr="00BC31E0">
        <w:rPr>
          <w:rFonts w:asciiTheme="majorEastAsia" w:eastAsiaTheme="majorEastAsia" w:hAnsiTheme="majorEastAsia" w:hint="eastAsia"/>
          <w:b/>
        </w:rPr>
        <w:t>線状指示模様</w:t>
      </w:r>
      <w:r w:rsidRPr="00BC31E0">
        <w:rPr>
          <w:rFonts w:hint="eastAsia"/>
        </w:rPr>
        <w:t xml:space="preserve">　最大長さが幅の</w:t>
      </w:r>
      <w:r w:rsidRPr="00BC31E0">
        <w:t>3</w:t>
      </w:r>
      <w:r w:rsidRPr="00BC31E0">
        <w:rPr>
          <w:rFonts w:hint="eastAsia"/>
        </w:rPr>
        <w:t>倍を超える指示模様を線状指示模様と定義する。</w:t>
      </w:r>
    </w:p>
    <w:p w14:paraId="32A06731" w14:textId="77777777" w:rsidR="00A6633D" w:rsidRPr="00BC31E0" w:rsidRDefault="00C25C85" w:rsidP="00736130">
      <w:pPr>
        <w:pStyle w:val="a4"/>
        <w:numPr>
          <w:ilvl w:val="0"/>
          <w:numId w:val="359"/>
        </w:numPr>
        <w:ind w:leftChars="0" w:left="454" w:hanging="454"/>
      </w:pPr>
      <w:r w:rsidRPr="00BC31E0">
        <w:rPr>
          <w:rFonts w:asciiTheme="majorEastAsia" w:eastAsiaTheme="majorEastAsia" w:hAnsiTheme="majorEastAsia" w:hint="eastAsia"/>
          <w:b/>
        </w:rPr>
        <w:t>内外径比(</w:t>
      </w:r>
      <m:oMath>
        <m:f>
          <m:fPr>
            <m:type m:val="lin"/>
            <m:ctrlPr>
              <w:rPr>
                <w:rFonts w:ascii="Cambria Math" w:eastAsiaTheme="majorEastAsia" w:hAnsiTheme="majorEastAsia"/>
                <w:b/>
                <w:i/>
              </w:rPr>
            </m:ctrlPr>
          </m:fPr>
          <m:num>
            <m:sSub>
              <m:sSubPr>
                <m:ctrlPr>
                  <w:rPr>
                    <w:rFonts w:ascii="Cambria Math" w:eastAsiaTheme="majorEastAsia" w:hAnsiTheme="majorEastAsia"/>
                    <w:b/>
                    <w:i/>
                  </w:rPr>
                </m:ctrlPr>
              </m:sSubPr>
              <m:e>
                <m:r>
                  <m:rPr>
                    <m:sty m:val="bi"/>
                  </m:rPr>
                  <w:rPr>
                    <w:rFonts w:ascii="Cambria Math" w:eastAsiaTheme="majorEastAsia" w:hAnsi="Cambria Math"/>
                  </w:rPr>
                  <m:t>D</m:t>
                </m:r>
              </m:e>
              <m:sub>
                <m:r>
                  <m:rPr>
                    <m:sty m:val="bi"/>
                  </m:rPr>
                  <w:rPr>
                    <w:rFonts w:ascii="Cambria Math" w:eastAsiaTheme="majorEastAsia" w:hAnsi="Cambria Math"/>
                  </w:rPr>
                  <m:t>O</m:t>
                </m:r>
              </m:sub>
            </m:sSub>
          </m:num>
          <m:den>
            <m:sSub>
              <m:sSubPr>
                <m:ctrlPr>
                  <w:rPr>
                    <w:rFonts w:ascii="Cambria Math" w:eastAsiaTheme="majorEastAsia" w:hAnsiTheme="majorEastAsia"/>
                    <w:b/>
                    <w:i/>
                  </w:rPr>
                </m:ctrlPr>
              </m:sSubPr>
              <m:e>
                <m:r>
                  <m:rPr>
                    <m:sty m:val="bi"/>
                  </m:rPr>
                  <w:rPr>
                    <w:rFonts w:ascii="Cambria Math" w:eastAsiaTheme="majorEastAsia" w:hAnsi="Cambria Math"/>
                  </w:rPr>
                  <m:t>D</m:t>
                </m:r>
              </m:e>
              <m:sub>
                <m:r>
                  <m:rPr>
                    <m:sty m:val="bi"/>
                  </m:rPr>
                  <w:rPr>
                    <w:rFonts w:ascii="Cambria Math" w:eastAsiaTheme="majorEastAsia" w:hAnsi="Cambria Math"/>
                  </w:rPr>
                  <m:t>I</m:t>
                </m:r>
              </m:sub>
            </m:sSub>
          </m:den>
        </m:f>
      </m:oMath>
      <w:r w:rsidRPr="00BC31E0">
        <w:rPr>
          <w:rFonts w:asciiTheme="majorEastAsia" w:eastAsiaTheme="majorEastAsia" w:hAnsiTheme="majorEastAsia" w:hint="eastAsia"/>
          <w:b/>
        </w:rPr>
        <w:t>)</w:t>
      </w:r>
      <w:r w:rsidRPr="00BC31E0">
        <w:rPr>
          <w:rFonts w:ascii="ＭＳ 明朝" w:hAnsi="ＭＳ 明朝" w:hint="eastAsia"/>
        </w:rPr>
        <w:t xml:space="preserve">　</w:t>
      </w:r>
      <w:r w:rsidRPr="00BC31E0">
        <w:t xml:space="preserve"> </w:t>
      </w:r>
      <m:oMath>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 xml:space="preserve"> </m:t>
        </m:r>
      </m:oMath>
      <w:r w:rsidRPr="00BC31E0">
        <w:rPr>
          <w:rFonts w:hint="eastAsia"/>
        </w:rPr>
        <w:t>は円筒胴の内径</w:t>
      </w:r>
      <w:r w:rsidRPr="00BC31E0">
        <w:t>(</w:t>
      </w:r>
      <w:r w:rsidRPr="00BC31E0">
        <w:rPr>
          <w:rFonts w:hint="eastAsia"/>
        </w:rPr>
        <w:t>多層容器では，内筒の内径</w:t>
      </w:r>
      <w:r w:rsidRPr="00BC31E0">
        <w:t>)</w:t>
      </w:r>
      <w:r w:rsidRPr="00BC31E0">
        <w:rPr>
          <w:rFonts w:hint="eastAsia"/>
        </w:rPr>
        <w:t>，</w:t>
      </w:r>
      <m:oMath>
        <m:sSub>
          <m:sSubPr>
            <m:ctrlPr>
              <w:rPr>
                <w:rFonts w:ascii="Cambria Math" w:hAnsi="Cambria Math"/>
                <w:i/>
              </w:rPr>
            </m:ctrlPr>
          </m:sSubPr>
          <m:e>
            <m:r>
              <w:rPr>
                <w:rFonts w:ascii="Cambria Math" w:hAnsi="Cambria Math"/>
              </w:rPr>
              <m:t>D</m:t>
            </m:r>
          </m:e>
          <m:sub>
            <m:r>
              <w:rPr>
                <w:rFonts w:ascii="Cambria Math" w:hAnsi="Cambria Math"/>
              </w:rPr>
              <m:t>O</m:t>
            </m:r>
          </m:sub>
        </m:sSub>
        <m:r>
          <w:rPr>
            <w:rFonts w:ascii="Cambria Math" w:hAnsi="Cambria Math"/>
          </w:rPr>
          <m:t xml:space="preserve"> </m:t>
        </m:r>
      </m:oMath>
      <w:r w:rsidRPr="00BC31E0">
        <w:rPr>
          <w:rFonts w:hint="eastAsia"/>
        </w:rPr>
        <w:t>は円筒胴の外径</w:t>
      </w:r>
      <w:r w:rsidRPr="00BC31E0">
        <w:t>(</w:t>
      </w:r>
      <w:r w:rsidRPr="00BC31E0">
        <w:rPr>
          <w:rFonts w:hint="eastAsia"/>
        </w:rPr>
        <w:t>多層容器では，最外層の外径</w:t>
      </w:r>
      <w:r w:rsidRPr="00BC31E0">
        <w:t>)</w:t>
      </w:r>
      <w:r w:rsidR="000B560A" w:rsidRPr="00BC31E0">
        <w:rPr>
          <w:rFonts w:hint="eastAsia"/>
        </w:rPr>
        <w:t>である。</w:t>
      </w:r>
    </w:p>
    <w:p w14:paraId="4EA38064" w14:textId="77777777" w:rsidR="00A6633D" w:rsidRPr="00BC31E0" w:rsidRDefault="00C25C85" w:rsidP="00736130">
      <w:pPr>
        <w:pStyle w:val="a4"/>
        <w:numPr>
          <w:ilvl w:val="0"/>
          <w:numId w:val="359"/>
        </w:numPr>
        <w:ind w:leftChars="0" w:left="454" w:hanging="454"/>
      </w:pPr>
      <w:r w:rsidRPr="00BC31E0">
        <w:rPr>
          <w:rFonts w:asciiTheme="majorEastAsia" w:eastAsiaTheme="majorEastAsia" w:hAnsiTheme="majorEastAsia" w:hint="eastAsia"/>
          <w:b/>
        </w:rPr>
        <w:t>最低設計金属温度</w:t>
      </w:r>
      <w:r w:rsidRPr="00BC31E0">
        <w:rPr>
          <w:rFonts w:asciiTheme="majorEastAsia" w:eastAsiaTheme="majorEastAsia" w:hAnsiTheme="majorEastAsia"/>
          <w:b/>
        </w:rPr>
        <w:t>(MDMT)</w:t>
      </w:r>
      <w:r w:rsidRPr="00BC31E0">
        <w:rPr>
          <w:rFonts w:hint="eastAsia"/>
        </w:rPr>
        <w:t xml:space="preserve">　一次応力の合計が</w:t>
      </w:r>
      <w:r w:rsidRPr="00BC31E0">
        <w:t>40 MPa</w:t>
      </w:r>
      <w:r w:rsidRPr="00BC31E0">
        <w:rPr>
          <w:rFonts w:hint="eastAsia"/>
        </w:rPr>
        <w:t>を超える容器各部位の最低温度の最も低い温度で，環境条件や突発的な運転変化を含む運転時における最低運転温度を考慮して決定される。</w:t>
      </w:r>
    </w:p>
    <w:p w14:paraId="71816201" w14:textId="77777777" w:rsidR="00A6633D" w:rsidRPr="00BC31E0" w:rsidRDefault="00C25C85" w:rsidP="00736130">
      <w:pPr>
        <w:pStyle w:val="a4"/>
        <w:numPr>
          <w:ilvl w:val="0"/>
          <w:numId w:val="359"/>
        </w:numPr>
        <w:ind w:leftChars="0" w:left="454" w:hanging="454"/>
      </w:pPr>
      <w:r w:rsidRPr="00BC31E0">
        <w:rPr>
          <w:rFonts w:asciiTheme="majorEastAsia" w:eastAsiaTheme="majorEastAsia" w:hAnsiTheme="majorEastAsia" w:hint="eastAsia"/>
          <w:b/>
        </w:rPr>
        <w:t>自緊</w:t>
      </w:r>
      <w:r w:rsidRPr="00BC31E0">
        <w:rPr>
          <w:rFonts w:hint="eastAsia"/>
        </w:rPr>
        <w:t xml:space="preserve">　厚肉容器の胴の局所に塑性変形を生じさせる圧力を与え，内面に圧縮の残留応力を生じさせる方法</w:t>
      </w:r>
      <w:r w:rsidR="00A6633D" w:rsidRPr="00BC31E0">
        <w:rPr>
          <w:rFonts w:hint="eastAsia"/>
        </w:rPr>
        <w:t>である。</w:t>
      </w:r>
    </w:p>
    <w:p w14:paraId="0B99ACDD" w14:textId="77777777" w:rsidR="00A6633D" w:rsidRPr="00BC31E0" w:rsidRDefault="00C25C85" w:rsidP="00736130">
      <w:pPr>
        <w:pStyle w:val="a4"/>
        <w:numPr>
          <w:ilvl w:val="0"/>
          <w:numId w:val="359"/>
        </w:numPr>
        <w:ind w:leftChars="0" w:left="454" w:hanging="454"/>
      </w:pPr>
      <w:r w:rsidRPr="00BC31E0">
        <w:rPr>
          <w:rFonts w:asciiTheme="majorEastAsia" w:eastAsiaTheme="majorEastAsia" w:hAnsiTheme="majorEastAsia" w:hint="eastAsia"/>
          <w:b/>
        </w:rPr>
        <w:t>設計疲労曲線</w:t>
      </w:r>
      <w:r w:rsidRPr="00BC31E0">
        <w:t xml:space="preserve">　最適疲労曲線を基準に，応力振幅に対し</w:t>
      </w:r>
      <w:r w:rsidRPr="00BC31E0">
        <w:t>2</w:t>
      </w:r>
      <w:r w:rsidRPr="00BC31E0">
        <w:t>，繰返し数に対し</w:t>
      </w:r>
      <w:r w:rsidRPr="00BC31E0">
        <w:t>20(</w:t>
      </w:r>
      <w:r w:rsidRPr="00BC31E0">
        <w:t>高強度ボルト材にあっては，応力振幅に対して</w:t>
      </w:r>
      <w:r w:rsidRPr="00BC31E0">
        <w:t>1.5</w:t>
      </w:r>
      <w:r w:rsidRPr="00BC31E0">
        <w:t>，繰返し回数に対して</w:t>
      </w:r>
      <w:r w:rsidRPr="00BC31E0">
        <w:t>5.7)</w:t>
      </w:r>
      <w:r w:rsidRPr="00BC31E0">
        <w:t>の安全率を適用して定めた</w:t>
      </w:r>
      <w:r w:rsidRPr="00BC31E0">
        <w:t>S-N</w:t>
      </w:r>
      <w:r w:rsidRPr="00BC31E0">
        <w:t>曲線。なお，最適疲労曲線は，ひずみ制御</w:t>
      </w:r>
      <w:r w:rsidRPr="00BC31E0">
        <w:rPr>
          <w:rFonts w:hint="eastAsia"/>
        </w:rPr>
        <w:t>又は</w:t>
      </w:r>
      <w:r w:rsidRPr="00BC31E0">
        <w:t>荷重制御疲労試験の結果に最も適合するように最小二乗法などによって定めた</w:t>
      </w:r>
      <w:r w:rsidRPr="00BC31E0">
        <w:t>S-N</w:t>
      </w:r>
      <w:r w:rsidRPr="00BC31E0">
        <w:t>曲線で，縦軸はひずみ振幅に縦弾性係数を乗じた見掛けの応力振幅を示し，横軸は破断までの繰返し数を示す。</w:t>
      </w:r>
    </w:p>
    <w:p w14:paraId="21894E5D" w14:textId="77777777" w:rsidR="00A6633D" w:rsidRPr="00BC31E0" w:rsidRDefault="00C25C85" w:rsidP="00736130">
      <w:pPr>
        <w:pStyle w:val="a4"/>
        <w:numPr>
          <w:ilvl w:val="0"/>
          <w:numId w:val="359"/>
        </w:numPr>
        <w:ind w:leftChars="0" w:left="454" w:hanging="454"/>
      </w:pPr>
      <w:r w:rsidRPr="00BC31E0">
        <w:rPr>
          <w:rFonts w:asciiTheme="majorEastAsia" w:eastAsiaTheme="majorEastAsia" w:hAnsiTheme="majorEastAsia" w:hint="eastAsia"/>
          <w:b/>
        </w:rPr>
        <w:t>並んだ指示模様</w:t>
      </w:r>
      <w:r w:rsidRPr="00BC31E0">
        <w:rPr>
          <w:rFonts w:hint="eastAsia"/>
        </w:rPr>
        <w:t xml:space="preserve">　</w:t>
      </w:r>
      <w:r w:rsidRPr="00BC31E0">
        <w:t>4</w:t>
      </w:r>
      <w:r w:rsidRPr="00BC31E0">
        <w:rPr>
          <w:rFonts w:hint="eastAsia"/>
        </w:rPr>
        <w:t>個以上の連なった模様が，最も外側の</w:t>
      </w:r>
      <w:r w:rsidRPr="00BC31E0">
        <w:t>2</w:t>
      </w:r>
      <w:r w:rsidRPr="00BC31E0">
        <w:rPr>
          <w:rFonts w:hint="eastAsia"/>
        </w:rPr>
        <w:t>個の指示模様の中心を通り，溶接線に平行に引いた線に接する場合は，並んだ指示模様とする。</w:t>
      </w:r>
    </w:p>
    <w:p w14:paraId="2B90027B" w14:textId="77777777" w:rsidR="00A6633D" w:rsidRPr="00BC31E0" w:rsidRDefault="00C25C85" w:rsidP="00736130">
      <w:pPr>
        <w:pStyle w:val="a4"/>
        <w:numPr>
          <w:ilvl w:val="0"/>
          <w:numId w:val="359"/>
        </w:numPr>
        <w:ind w:leftChars="0" w:left="454" w:hanging="454"/>
      </w:pPr>
      <w:r w:rsidRPr="00BC31E0">
        <w:rPr>
          <w:rFonts w:asciiTheme="majorEastAsia" w:eastAsiaTheme="majorEastAsia" w:hAnsiTheme="majorEastAsia" w:hint="eastAsia"/>
          <w:b/>
        </w:rPr>
        <w:t>破裂前漏洩</w:t>
      </w:r>
      <w:r w:rsidRPr="00BC31E0">
        <w:rPr>
          <w:rFonts w:asciiTheme="majorEastAsia" w:eastAsiaTheme="majorEastAsia" w:hAnsiTheme="majorEastAsia"/>
          <w:b/>
        </w:rPr>
        <w:t>(LBB)</w:t>
      </w:r>
      <w:r w:rsidRPr="00BC31E0">
        <w:rPr>
          <w:rFonts w:hint="eastAsia"/>
        </w:rPr>
        <w:t xml:space="preserve">　亀裂が進展していく場合において，不安定破壊を生じる前に亀裂が耐圧壁を貫通し，内部流体が漏洩する。</w:t>
      </w:r>
    </w:p>
    <w:p w14:paraId="4EBBE11B" w14:textId="77777777" w:rsidR="00C25C85" w:rsidRPr="00BC31E0" w:rsidRDefault="00C25C85" w:rsidP="00736130">
      <w:pPr>
        <w:pStyle w:val="a4"/>
        <w:numPr>
          <w:ilvl w:val="0"/>
          <w:numId w:val="359"/>
        </w:numPr>
        <w:ind w:leftChars="0" w:left="454" w:hanging="454"/>
      </w:pPr>
      <w:r w:rsidRPr="00BC31E0">
        <w:rPr>
          <w:rFonts w:asciiTheme="majorEastAsia" w:eastAsiaTheme="majorEastAsia" w:hAnsiTheme="majorEastAsia" w:hint="eastAsia"/>
          <w:b/>
        </w:rPr>
        <w:t>線巻き容器</w:t>
      </w:r>
      <w:r w:rsidRPr="00BC31E0">
        <w:rPr>
          <w:rFonts w:hint="eastAsia"/>
        </w:rPr>
        <w:t xml:space="preserve">　単層又は多層の内筒の外面を</w:t>
      </w:r>
      <w:r w:rsidRPr="00BC31E0">
        <w:t>10</w:t>
      </w:r>
      <w:r w:rsidRPr="00BC31E0">
        <w:rPr>
          <w:rFonts w:hint="eastAsia"/>
        </w:rPr>
        <w:t>層以上の長方形断面のワイヤを巻き上げることによって製作され，端部力はフレームによって支えられ，内筒及び内筒に巻かれた線材に</w:t>
      </w:r>
      <w:r w:rsidRPr="00BC31E0">
        <w:rPr>
          <w:rFonts w:hint="eastAsia"/>
        </w:rPr>
        <w:lastRenderedPageBreak/>
        <w:t>よって受け持たない容器</w:t>
      </w:r>
      <w:r w:rsidR="00A6633D" w:rsidRPr="00BC31E0">
        <w:rPr>
          <w:rFonts w:hint="eastAsia"/>
        </w:rPr>
        <w:t>である</w:t>
      </w:r>
      <w:r w:rsidRPr="00BC31E0">
        <w:rPr>
          <w:rFonts w:hint="eastAsia"/>
        </w:rPr>
        <w:t>。フレームは強度部材である。</w:t>
      </w:r>
    </w:p>
    <w:p w14:paraId="18B79A09" w14:textId="77777777" w:rsidR="003A34FE" w:rsidRPr="00BC31E0" w:rsidRDefault="003A34FE" w:rsidP="003A34FE"/>
    <w:p w14:paraId="569CFAD9" w14:textId="77777777" w:rsidR="00C25C85" w:rsidRPr="00BC31E0" w:rsidRDefault="00C25C85" w:rsidP="008234D1">
      <w:pPr>
        <w:pStyle w:val="13"/>
        <w:adjustRightInd/>
        <w:snapToGrid/>
        <w:spacing w:line="240" w:lineRule="auto"/>
        <w:ind w:left="340" w:hanging="340"/>
      </w:pPr>
      <w:r w:rsidRPr="00BC31E0">
        <w:rPr>
          <w:rFonts w:hint="eastAsia"/>
        </w:rPr>
        <w:t>記号の定義</w:t>
      </w:r>
    </w:p>
    <w:p w14:paraId="5F503DC8" w14:textId="77777777" w:rsidR="00C25C85" w:rsidRPr="00BC31E0" w:rsidRDefault="00C25C85" w:rsidP="008234D1">
      <w:pPr>
        <w:pStyle w:val="15"/>
        <w:ind w:firstLine="210"/>
      </w:pPr>
      <w:r w:rsidRPr="00BC31E0">
        <w:rPr>
          <w:rFonts w:hint="eastAsia"/>
        </w:rPr>
        <w:t>容器又は容器部品の内径は，各項で特に規定されない限り，腐れ代考慮後の寸法である。</w:t>
      </w:r>
    </w:p>
    <w:p w14:paraId="245F1187" w14:textId="77777777" w:rsidR="00C25C85" w:rsidRPr="00BC31E0" w:rsidRDefault="00C25C85" w:rsidP="008234D1">
      <w:pPr>
        <w:tabs>
          <w:tab w:val="left" w:pos="1276"/>
        </w:tabs>
        <w:autoSpaceDE w:val="0"/>
        <w:autoSpaceDN w:val="0"/>
        <w:ind w:left="1588" w:hanging="1021"/>
      </w:pPr>
      <m:oMath>
        <m:r>
          <w:rPr>
            <w:rFonts w:ascii="Cambria Math" w:hAnsi="Cambria Math"/>
          </w:rPr>
          <m:t>A</m:t>
        </m:r>
      </m:oMath>
      <w:r w:rsidRPr="00BC31E0">
        <w:tab/>
      </w:r>
      <w:r w:rsidRPr="00BC31E0">
        <w:rPr>
          <w:rFonts w:hint="eastAsia"/>
        </w:rPr>
        <w:t>：</w:t>
      </w:r>
      <w:r w:rsidRPr="00BC31E0">
        <w:rPr>
          <w:rFonts w:hint="eastAsia"/>
        </w:rPr>
        <w:t xml:space="preserve"> </w:t>
      </w:r>
      <w:r w:rsidRPr="00BC31E0">
        <w:rPr>
          <w:rFonts w:hint="eastAsia"/>
        </w:rPr>
        <w:t>層間圧力係数</w:t>
      </w:r>
      <w:r w:rsidRPr="00BC31E0">
        <w:rPr>
          <w:rFonts w:hint="eastAsia"/>
        </w:rPr>
        <w:t>(</w:t>
      </w:r>
      <w:r w:rsidRPr="00BC31E0">
        <w:rPr>
          <w:rFonts w:ascii="Cambria Math" w:hAnsi="Cambria Math"/>
        </w:rPr>
        <w:t>mm</w:t>
      </w:r>
      <w:r w:rsidRPr="00BC31E0">
        <w:rPr>
          <w:rFonts w:ascii="Cambria Math" w:hAnsi="Cambria Math"/>
          <w:vertAlign w:val="superscript"/>
        </w:rPr>
        <w:t>2</w:t>
      </w:r>
      <w:r w:rsidRPr="00BC31E0">
        <w:rPr>
          <w:rFonts w:ascii="Cambria Math" w:hAnsi="Cambria Math"/>
        </w:rPr>
        <w:t>/N</w:t>
      </w:r>
      <w:r w:rsidRPr="00BC31E0">
        <w:rPr>
          <w:rFonts w:hint="eastAsia"/>
        </w:rPr>
        <w:t xml:space="preserve">) </w:t>
      </w:r>
      <w:r w:rsidRPr="00BC31E0">
        <w:t>(</w:t>
      </w:r>
      <w:r w:rsidRPr="00BC31E0">
        <w:rPr>
          <w:rFonts w:ascii="ＭＳ ゴシック" w:eastAsia="ＭＳ ゴシック"/>
          <w:b/>
        </w:rPr>
        <w:t>6.8.4</w:t>
      </w:r>
      <w:r w:rsidRPr="00BC31E0">
        <w:rPr>
          <w:rFonts w:eastAsia="ＭＳ ゴシック"/>
        </w:rPr>
        <w:t>)</w:t>
      </w:r>
    </w:p>
    <w:p w14:paraId="6E3022C9" w14:textId="77777777" w:rsidR="00C25C85" w:rsidRPr="00BC31E0" w:rsidRDefault="00C25C85" w:rsidP="008234D1">
      <w:pPr>
        <w:tabs>
          <w:tab w:val="left" w:pos="1276"/>
        </w:tabs>
        <w:autoSpaceDE w:val="0"/>
        <w:autoSpaceDN w:val="0"/>
        <w:ind w:left="1588" w:hanging="1021"/>
      </w:pPr>
      <w:r w:rsidRPr="00BC31E0">
        <w:tab/>
      </w:r>
      <w:r w:rsidRPr="00BC31E0">
        <w:rPr>
          <w:rFonts w:hint="eastAsia"/>
        </w:rPr>
        <w:t>：</w:t>
      </w:r>
      <w:r w:rsidRPr="00BC31E0">
        <w:rPr>
          <w:rFonts w:hint="eastAsia"/>
        </w:rPr>
        <w:t xml:space="preserve"> </w:t>
      </w:r>
      <w:r w:rsidRPr="00BC31E0">
        <w:rPr>
          <w:rFonts w:hint="eastAsia"/>
        </w:rPr>
        <w:t>外圧チャート横軸のひずみ</w:t>
      </w:r>
      <w:r w:rsidRPr="00BC31E0">
        <w:rPr>
          <w:rFonts w:hint="eastAsia"/>
        </w:rPr>
        <w:t xml:space="preserve"> (</w:t>
      </w:r>
      <w:r w:rsidRPr="00BC31E0">
        <w:rPr>
          <w:rFonts w:asciiTheme="majorEastAsia" w:eastAsiaTheme="majorEastAsia" w:hAnsiTheme="majorEastAsia" w:hint="eastAsia"/>
          <w:b/>
        </w:rPr>
        <w:t>附属書D 4.2</w:t>
      </w:r>
      <w:r w:rsidRPr="00BC31E0">
        <w:rPr>
          <w:rFonts w:hint="eastAsia"/>
        </w:rPr>
        <w:t>)</w:t>
      </w:r>
    </w:p>
    <w:p w14:paraId="47B36272" w14:textId="77777777" w:rsidR="00C25C85" w:rsidRPr="00BC31E0" w:rsidRDefault="00C25C85" w:rsidP="008234D1">
      <w:pPr>
        <w:tabs>
          <w:tab w:val="left" w:pos="1276"/>
        </w:tabs>
        <w:autoSpaceDE w:val="0"/>
        <w:autoSpaceDN w:val="0"/>
        <w:ind w:left="1588" w:hanging="1021"/>
      </w:pPr>
      <w:r w:rsidRPr="00BC31E0">
        <w:rPr>
          <w:rFonts w:hint="eastAsia"/>
        </w:rPr>
        <w:tab/>
      </w:r>
      <w:r w:rsidRPr="00BC31E0">
        <w:rPr>
          <w:rFonts w:hint="eastAsia"/>
        </w:rPr>
        <w:t>：</w:t>
      </w:r>
      <w:r w:rsidRPr="00BC31E0">
        <w:rPr>
          <w:rFonts w:hint="eastAsia"/>
        </w:rPr>
        <w:t xml:space="preserve"> </w:t>
      </w:r>
      <w:r w:rsidRPr="00BC31E0">
        <w:rPr>
          <w:rFonts w:hint="eastAsia"/>
        </w:rPr>
        <w:t>穴の補強に必要な最小断面積</w:t>
      </w:r>
      <w:r w:rsidRPr="00BC31E0">
        <w:rPr>
          <w:rFonts w:hint="eastAsia"/>
        </w:rPr>
        <w:t>(</w:t>
      </w:r>
      <w:r w:rsidRPr="00BC31E0">
        <w:rPr>
          <w:rFonts w:ascii="Cambria Math" w:hAnsi="Cambria Math"/>
        </w:rPr>
        <w:t>mm</w:t>
      </w:r>
      <w:r w:rsidRPr="00BC31E0">
        <w:rPr>
          <w:rFonts w:ascii="Cambria Math" w:hAnsi="Cambria Math"/>
          <w:vertAlign w:val="superscript"/>
        </w:rPr>
        <w:t>2</w:t>
      </w:r>
      <w:r w:rsidRPr="00BC31E0">
        <w:rPr>
          <w:rFonts w:hint="eastAsia"/>
        </w:rPr>
        <w:t xml:space="preserve">) </w:t>
      </w:r>
      <w:r w:rsidRPr="00BC31E0">
        <w:t>(</w:t>
      </w:r>
      <w:r w:rsidRPr="00BC31E0">
        <w:rPr>
          <w:rFonts w:ascii="ＭＳ ゴシック" w:eastAsia="ＭＳ ゴシック" w:hint="eastAsia"/>
          <w:b/>
        </w:rPr>
        <w:t>附属書</w:t>
      </w:r>
      <w:r w:rsidRPr="00BC31E0">
        <w:rPr>
          <w:rFonts w:ascii="ＭＳ ゴシック" w:eastAsia="ＭＳ ゴシック"/>
          <w:b/>
        </w:rPr>
        <w:t>E 4</w:t>
      </w:r>
      <w:r w:rsidRPr="00BC31E0">
        <w:rPr>
          <w:rFonts w:ascii="ＭＳ 明朝" w:hAnsi="ＭＳ 明朝" w:hint="eastAsia"/>
        </w:rPr>
        <w:t>，</w:t>
      </w:r>
      <w:r w:rsidRPr="00BC31E0">
        <w:rPr>
          <w:rFonts w:ascii="ＭＳ ゴシック" w:eastAsia="ＭＳ ゴシック" w:hint="eastAsia"/>
          <w:b/>
        </w:rPr>
        <w:t>附属書E 5</w:t>
      </w:r>
      <w:r w:rsidRPr="00BC31E0">
        <w:rPr>
          <w:rFonts w:eastAsia="ＭＳ ゴシック"/>
        </w:rPr>
        <w:t>)</w:t>
      </w:r>
      <w:r w:rsidRPr="00BC31E0">
        <w:t xml:space="preserve"> </w:t>
      </w:r>
    </w:p>
    <w:p w14:paraId="47D478C5"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rPr>
            </m:ctrlPr>
          </m:sSubPr>
          <m:e>
            <m:r>
              <w:rPr>
                <w:rFonts w:ascii="Cambria Math" w:hAnsi="Cambria Math"/>
              </w:rPr>
              <m:t>A</m:t>
            </m:r>
          </m:e>
          <m:sub>
            <m:r>
              <w:rPr>
                <w:rFonts w:ascii="Cambria Math" w:hAnsi="Cambria Math"/>
              </w:rPr>
              <m:t>B</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容器軸に沿っためねじ部材の横断面積</w:t>
      </w:r>
      <w:r w:rsidR="00C25C85" w:rsidRPr="00BC31E0">
        <w:rPr>
          <w:rFonts w:hint="eastAsia"/>
        </w:rPr>
        <w:t>(</w:t>
      </w:r>
      <w:r w:rsidR="00C25C85" w:rsidRPr="00BC31E0">
        <w:rPr>
          <w:rFonts w:ascii="Cambria Math" w:hAnsi="Cambria Math"/>
        </w:rPr>
        <w:t>mm</w:t>
      </w:r>
      <w:r w:rsidR="00C25C85" w:rsidRPr="00BC31E0">
        <w:rPr>
          <w:rFonts w:ascii="Cambria Math" w:hAnsi="Cambria Math"/>
          <w:vertAlign w:val="superscript"/>
        </w:rPr>
        <w:t>2</w:t>
      </w:r>
      <w:r w:rsidR="00C25C85" w:rsidRPr="00BC31E0">
        <w:rPr>
          <w:rFonts w:hint="eastAsia"/>
        </w:rPr>
        <w:t xml:space="preserve">) </w:t>
      </w:r>
      <w:r w:rsidR="00C25C85" w:rsidRPr="00BC31E0">
        <w:t>(</w:t>
      </w:r>
      <w:r w:rsidR="00C25C85" w:rsidRPr="00BC31E0">
        <w:rPr>
          <w:rFonts w:ascii="ＭＳ ゴシック" w:eastAsia="ＭＳ ゴシック" w:hint="eastAsia"/>
          <w:b/>
        </w:rPr>
        <w:t>附属書</w:t>
      </w:r>
      <w:r w:rsidR="00C25C85" w:rsidRPr="00BC31E0">
        <w:rPr>
          <w:rFonts w:ascii="ＭＳ ゴシック" w:eastAsia="ＭＳ ゴシック"/>
          <w:b/>
        </w:rPr>
        <w:t>G 5</w:t>
      </w:r>
      <w:r w:rsidR="00C25C85" w:rsidRPr="00BC31E0">
        <w:rPr>
          <w:rFonts w:hint="eastAsia"/>
        </w:rPr>
        <w:t>)</w:t>
      </w:r>
    </w:p>
    <w:p w14:paraId="3D29F0BD"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rPr>
            </m:ctrlPr>
          </m:sSubPr>
          <m:e>
            <m:r>
              <w:rPr>
                <w:rFonts w:ascii="Cambria Math" w:hAnsi="Cambria Math"/>
              </w:rPr>
              <m:t>A</m:t>
            </m:r>
          </m:e>
          <m:sub>
            <m:r>
              <w:rPr>
                <w:rFonts w:ascii="Cambria Math" w:hAnsi="Cambria Math"/>
              </w:rPr>
              <m:t>b</m:t>
            </m:r>
          </m:sub>
        </m:sSub>
      </m:oMath>
      <w:r w:rsidR="00C25C85" w:rsidRPr="00BC31E0">
        <w:rPr>
          <w:rFonts w:hint="eastAsia"/>
          <w:i/>
        </w:rPr>
        <w:tab/>
      </w:r>
      <w:r w:rsidR="00C25C85" w:rsidRPr="00BC31E0">
        <w:rPr>
          <w:rFonts w:hint="eastAsia"/>
        </w:rPr>
        <w:t>：</w:t>
      </w:r>
      <w:r w:rsidR="00C25C85" w:rsidRPr="00BC31E0">
        <w:rPr>
          <w:rFonts w:hint="eastAsia"/>
        </w:rPr>
        <w:t xml:space="preserve"> </w:t>
      </w:r>
      <w:r w:rsidR="00C25C85" w:rsidRPr="00BC31E0">
        <w:rPr>
          <w:rFonts w:hint="eastAsia"/>
        </w:rPr>
        <w:t>実際に使用されるクランプラグ毎のボルトの合計断面積</w:t>
      </w:r>
      <w:r w:rsidR="00C25C85" w:rsidRPr="00BC31E0">
        <w:rPr>
          <w:rFonts w:hint="eastAsia"/>
        </w:rPr>
        <w:t>(</w:t>
      </w:r>
      <w:r w:rsidR="00C25C85" w:rsidRPr="00BC31E0">
        <w:rPr>
          <w:rFonts w:ascii="Cambria Math" w:hAnsi="Cambria Math"/>
        </w:rPr>
        <w:t>mm</w:t>
      </w:r>
      <w:r w:rsidR="00C25C85" w:rsidRPr="00BC31E0">
        <w:rPr>
          <w:rFonts w:ascii="Cambria Math" w:hAnsi="Cambria Math"/>
          <w:vertAlign w:val="superscript"/>
        </w:rPr>
        <w:t>2</w:t>
      </w:r>
      <w:r w:rsidR="00C25C85" w:rsidRPr="00BC31E0">
        <w:rPr>
          <w:rFonts w:hint="eastAsia"/>
        </w:rPr>
        <w:t xml:space="preserve">) </w:t>
      </w:r>
      <w:r w:rsidR="00C25C85" w:rsidRPr="00BC31E0">
        <w:t>(</w:t>
      </w:r>
      <w:r w:rsidR="00C25C85" w:rsidRPr="00BC31E0">
        <w:rPr>
          <w:rFonts w:ascii="ＭＳ ゴシック" w:eastAsia="ＭＳ ゴシック" w:hAnsi="ＭＳ ゴシック" w:hint="eastAsia"/>
          <w:b/>
        </w:rPr>
        <w:t>附属書</w:t>
      </w:r>
      <w:r w:rsidR="00C25C85" w:rsidRPr="00BC31E0">
        <w:rPr>
          <w:rFonts w:ascii="ＭＳ ゴシック" w:eastAsia="ＭＳ ゴシック" w:hAnsi="ＭＳ ゴシック"/>
          <w:b/>
        </w:rPr>
        <w:t>H 3</w:t>
      </w:r>
      <w:r w:rsidR="00C25C85" w:rsidRPr="00BC31E0">
        <w:rPr>
          <w:rFonts w:hint="eastAsia"/>
        </w:rPr>
        <w:t>)</w:t>
      </w:r>
    </w:p>
    <w:p w14:paraId="0D054DF7"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rPr>
            </m:ctrlPr>
          </m:sSubPr>
          <m:e>
            <m:r>
              <w:rPr>
                <w:rFonts w:ascii="Cambria Math" w:hAnsi="Cambria Math"/>
              </w:rPr>
              <m:t>A</m:t>
            </m:r>
          </m:e>
          <m:sub>
            <m:r>
              <w:rPr>
                <w:rFonts w:ascii="Cambria Math" w:hAnsi="Cambria Math"/>
              </w:rPr>
              <m:t>C</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容器軸に沿ったおねじ部材の横断面積</w:t>
      </w:r>
      <w:r w:rsidR="00C25C85" w:rsidRPr="00BC31E0">
        <w:rPr>
          <w:rFonts w:hint="eastAsia"/>
        </w:rPr>
        <w:t>(</w:t>
      </w:r>
      <w:r w:rsidR="00C25C85" w:rsidRPr="00BC31E0">
        <w:rPr>
          <w:rFonts w:ascii="Cambria Math" w:hAnsi="Cambria Math"/>
        </w:rPr>
        <w:t>mm</w:t>
      </w:r>
      <w:r w:rsidR="00C25C85" w:rsidRPr="00BC31E0">
        <w:rPr>
          <w:rFonts w:ascii="Cambria Math" w:hAnsi="Cambria Math"/>
          <w:vertAlign w:val="superscript"/>
        </w:rPr>
        <w:t>2</w:t>
      </w:r>
      <w:r w:rsidR="00C25C85" w:rsidRPr="00BC31E0">
        <w:rPr>
          <w:rFonts w:hint="eastAsia"/>
        </w:rPr>
        <w:t xml:space="preserve">) </w:t>
      </w:r>
      <w:r w:rsidR="00C25C85" w:rsidRPr="00BC31E0">
        <w:t>(</w:t>
      </w:r>
      <w:r w:rsidR="00C25C85" w:rsidRPr="00BC31E0">
        <w:rPr>
          <w:rFonts w:ascii="ＭＳ ゴシック" w:eastAsia="ＭＳ ゴシック" w:hint="eastAsia"/>
          <w:b/>
        </w:rPr>
        <w:t>附属書</w:t>
      </w:r>
      <w:r w:rsidR="00C25C85" w:rsidRPr="00BC31E0">
        <w:rPr>
          <w:rFonts w:ascii="ＭＳ ゴシック" w:eastAsia="ＭＳ ゴシック"/>
          <w:b/>
        </w:rPr>
        <w:t>G 5</w:t>
      </w:r>
      <w:r w:rsidR="00C25C85" w:rsidRPr="00BC31E0">
        <w:rPr>
          <w:rFonts w:hint="eastAsia"/>
        </w:rPr>
        <w:t>)</w:t>
      </w:r>
    </w:p>
    <w:p w14:paraId="1F8CC543"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rPr>
            </m:ctrlPr>
          </m:sSubPr>
          <m:e>
            <m:r>
              <w:rPr>
                <w:rFonts w:ascii="Cambria Math" w:hAnsi="Cambria Math"/>
              </w:rPr>
              <m:t>A</m:t>
            </m:r>
          </m:e>
          <m:sub>
            <m:r>
              <w:rPr>
                <w:rFonts w:ascii="Cambria Math" w:hAnsi="Cambria Math"/>
              </w:rPr>
              <m:t>c</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クランプの合計断面積</w:t>
      </w:r>
      <w:r w:rsidR="00C25C85" w:rsidRPr="00BC31E0">
        <w:rPr>
          <w:rFonts w:hint="eastAsia"/>
        </w:rPr>
        <w:t>(</w:t>
      </w:r>
      <w:r w:rsidR="00C25C85" w:rsidRPr="00BC31E0">
        <w:rPr>
          <w:rFonts w:ascii="Cambria Math" w:hAnsi="Cambria Math"/>
        </w:rPr>
        <w:t>mm</w:t>
      </w:r>
      <w:r w:rsidR="00C25C85" w:rsidRPr="00BC31E0">
        <w:rPr>
          <w:rFonts w:ascii="Cambria Math" w:hAnsi="Cambria Math"/>
          <w:vertAlign w:val="superscript"/>
        </w:rPr>
        <w:t>2</w:t>
      </w:r>
      <w:r w:rsidR="00C25C85" w:rsidRPr="00BC31E0">
        <w:rPr>
          <w:rFonts w:hint="eastAsia"/>
        </w:rPr>
        <w:t xml:space="preserve">) </w:t>
      </w:r>
      <w:r w:rsidR="00C25C85" w:rsidRPr="00BC31E0">
        <w:t>(</w:t>
      </w:r>
      <w:r w:rsidR="00C25C85" w:rsidRPr="00BC31E0">
        <w:rPr>
          <w:rFonts w:ascii="ＭＳ ゴシック" w:eastAsia="ＭＳ ゴシック" w:hAnsi="ＭＳ ゴシック" w:hint="eastAsia"/>
          <w:b/>
        </w:rPr>
        <w:t>附属書</w:t>
      </w:r>
      <w:r w:rsidR="00C25C85" w:rsidRPr="00BC31E0">
        <w:rPr>
          <w:rFonts w:ascii="ＭＳ ゴシック" w:eastAsia="ＭＳ ゴシック" w:hAnsi="ＭＳ ゴシック"/>
          <w:b/>
        </w:rPr>
        <w:t>H 3</w:t>
      </w:r>
      <w:r w:rsidR="00C25C85" w:rsidRPr="00BC31E0">
        <w:rPr>
          <w:rFonts w:hint="eastAsia"/>
        </w:rPr>
        <w:t>)</w:t>
      </w:r>
    </w:p>
    <w:bookmarkStart w:id="125" w:name="_Hlk59520223"/>
    <w:p w14:paraId="76786E95" w14:textId="77777777" w:rsidR="00C25C85" w:rsidRPr="00BC31E0" w:rsidRDefault="00A51873" w:rsidP="008234D1">
      <w:pPr>
        <w:tabs>
          <w:tab w:val="left" w:pos="1985"/>
        </w:tabs>
        <w:autoSpaceDE w:val="0"/>
        <w:autoSpaceDN w:val="0"/>
        <w:ind w:left="567"/>
      </w:pPr>
      <m:oMath>
        <m:sSub>
          <m:sSubPr>
            <m:ctrlPr>
              <w:rPr>
                <w:rFonts w:ascii="Cambria Math" w:hAnsi="Cambria Math"/>
              </w:rPr>
            </m:ctrlPr>
          </m:sSubPr>
          <m:e>
            <m:r>
              <w:rPr>
                <w:rFonts w:ascii="Cambria Math" w:hAnsi="Cambria Math"/>
              </w:rPr>
              <m:t>A</m:t>
            </m:r>
          </m:e>
          <m:sub>
            <m:r>
              <w:rPr>
                <w:rFonts w:ascii="Cambria Math" w:hAnsi="Cambria Math"/>
              </w:rPr>
              <m:t>c1</m:t>
            </m:r>
          </m:sub>
        </m:sSub>
        <w:bookmarkEnd w:id="125"/>
        <m:r>
          <m:rPr>
            <m:sty m:val="p"/>
          </m:rPr>
          <w:rPr>
            <w:rFonts w:ascii="Cambria Math" w:hAnsi="Cambria Math" w:hint="eastAsia"/>
          </w:rPr>
          <m:t>，</m:t>
        </m:r>
        <m:sSub>
          <m:sSubPr>
            <m:ctrlPr>
              <w:rPr>
                <w:rFonts w:ascii="Cambria Math" w:hAnsi="Cambria Math"/>
              </w:rPr>
            </m:ctrlPr>
          </m:sSubPr>
          <m:e>
            <m:r>
              <w:rPr>
                <w:rFonts w:ascii="Cambria Math" w:hAnsi="Cambria Math"/>
              </w:rPr>
              <m:t>A</m:t>
            </m:r>
          </m:e>
          <m:sub>
            <m:r>
              <w:rPr>
                <w:rFonts w:ascii="Cambria Math" w:hAnsi="Cambria Math"/>
              </w:rPr>
              <m:t>c</m:t>
            </m:r>
            <m:r>
              <w:rPr>
                <w:rFonts w:ascii="Cambria Math" w:hAnsi="Cambria Math" w:hint="eastAsia"/>
              </w:rPr>
              <m:t>2</m:t>
            </m:r>
          </m:sub>
        </m:sSub>
        <m:sSub>
          <m:sSubPr>
            <m:ctrlPr>
              <w:rPr>
                <w:rFonts w:ascii="Cambria Math" w:hAnsi="Cambria Math"/>
              </w:rPr>
            </m:ctrlPr>
          </m:sSubPr>
          <m:e>
            <m:r>
              <m:rPr>
                <m:sty m:val="p"/>
              </m:rPr>
              <w:rPr>
                <w:rFonts w:ascii="Cambria Math" w:hAnsi="Cambria Math" w:hint="eastAsia"/>
              </w:rPr>
              <m:t>，</m:t>
            </m:r>
            <m:r>
              <w:rPr>
                <w:rFonts w:ascii="Cambria Math" w:hAnsi="Cambria Math"/>
              </w:rPr>
              <m:t>A</m:t>
            </m:r>
          </m:e>
          <m:sub>
            <m:r>
              <w:rPr>
                <w:rFonts w:ascii="Cambria Math" w:hAnsi="Cambria Math"/>
              </w:rPr>
              <m:t>c</m:t>
            </m:r>
            <m:r>
              <w:rPr>
                <w:rFonts w:ascii="Cambria Math" w:hAnsi="Cambria Math" w:hint="eastAsia"/>
              </w:rPr>
              <m:t>3</m:t>
            </m:r>
          </m:sub>
        </m:sSub>
      </m:oMath>
      <w:r w:rsidR="00C25C85" w:rsidRPr="00BC31E0">
        <w:rPr>
          <w:rFonts w:eastAsiaTheme="minorEastAsia" w:hint="eastAsia"/>
          <w:vertAlign w:val="subscript"/>
        </w:rPr>
        <w:tab/>
      </w:r>
      <w:r w:rsidR="00C25C85" w:rsidRPr="00BC31E0">
        <w:rPr>
          <w:rFonts w:hint="eastAsia"/>
        </w:rPr>
        <w:t>：</w:t>
      </w:r>
      <w:r w:rsidR="00C25C85" w:rsidRPr="00BC31E0">
        <w:rPr>
          <w:rFonts w:hint="eastAsia"/>
        </w:rPr>
        <w:t xml:space="preserve"> </w:t>
      </w:r>
      <w:r w:rsidR="00C25C85" w:rsidRPr="00BC31E0">
        <w:rPr>
          <w:rFonts w:hint="eastAsia"/>
        </w:rPr>
        <w:t>クランプの部分断面積</w:t>
      </w:r>
      <w:r w:rsidR="00C25C85" w:rsidRPr="00BC31E0">
        <w:rPr>
          <w:rFonts w:hint="eastAsia"/>
        </w:rPr>
        <w:t>(</w:t>
      </w:r>
      <w:r w:rsidR="00C25C85" w:rsidRPr="00BC31E0">
        <w:rPr>
          <w:rFonts w:ascii="Cambria Math" w:hAnsi="Cambria Math"/>
        </w:rPr>
        <w:t>mm</w:t>
      </w:r>
      <w:r w:rsidR="00C25C85" w:rsidRPr="00BC31E0">
        <w:rPr>
          <w:rFonts w:ascii="Cambria Math" w:hAnsi="Cambria Math"/>
          <w:vertAlign w:val="superscript"/>
        </w:rPr>
        <w:t>2</w:t>
      </w:r>
      <w:r w:rsidR="00C25C85" w:rsidRPr="00BC31E0">
        <w:rPr>
          <w:rFonts w:hint="eastAsia"/>
        </w:rPr>
        <w:t xml:space="preserve">) </w:t>
      </w:r>
      <w:r w:rsidR="00C25C85" w:rsidRPr="00BC31E0">
        <w:t>(</w:t>
      </w:r>
      <w:r w:rsidR="00C25C85" w:rsidRPr="00BC31E0">
        <w:rPr>
          <w:rFonts w:ascii="ＭＳ ゴシック" w:eastAsia="ＭＳ ゴシック" w:hAnsi="ＭＳ ゴシック" w:hint="eastAsia"/>
          <w:b/>
        </w:rPr>
        <w:t>附属書</w:t>
      </w:r>
      <w:r w:rsidR="00C25C85" w:rsidRPr="00BC31E0">
        <w:rPr>
          <w:rFonts w:ascii="ＭＳ ゴシック" w:eastAsia="ＭＳ ゴシック" w:hAnsi="ＭＳ ゴシック"/>
          <w:b/>
        </w:rPr>
        <w:t>H 3</w:t>
      </w:r>
      <w:r w:rsidR="00C25C85" w:rsidRPr="00BC31E0">
        <w:rPr>
          <w:rFonts w:hint="eastAsia"/>
        </w:rPr>
        <w:t>)</w:t>
      </w:r>
    </w:p>
    <w:p w14:paraId="053742C4" w14:textId="77777777" w:rsidR="00C25C85" w:rsidRPr="00BC31E0" w:rsidRDefault="00A51873" w:rsidP="008234D1">
      <w:pPr>
        <w:tabs>
          <w:tab w:val="left" w:pos="1276"/>
        </w:tabs>
        <w:autoSpaceDE w:val="0"/>
        <w:autoSpaceDN w:val="0"/>
        <w:ind w:left="1588" w:hanging="1021"/>
        <w:rPr>
          <w:i/>
        </w:rPr>
      </w:pPr>
      <m:oMath>
        <m:sSub>
          <m:sSubPr>
            <m:ctrlPr>
              <w:rPr>
                <w:rFonts w:ascii="Cambria Math" w:hAnsi="Cambria Math"/>
              </w:rPr>
            </m:ctrlPr>
          </m:sSubPr>
          <m:e>
            <m:r>
              <w:rPr>
                <w:rFonts w:ascii="Cambria Math" w:hAnsi="Cambria Math"/>
              </w:rPr>
              <m:t>A</m:t>
            </m:r>
          </m:e>
          <m:sub>
            <m:r>
              <w:rPr>
                <w:rFonts w:ascii="Cambria Math" w:hAnsi="Cambria Math"/>
              </w:rPr>
              <m:t>CS</m:t>
            </m:r>
          </m:sub>
        </m:sSub>
      </m:oMath>
      <w:r w:rsidR="00C25C85" w:rsidRPr="00BC31E0">
        <w:rPr>
          <w:rFonts w:hint="eastAsia"/>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長手方向に垂直な断面</w:t>
      </w:r>
      <w:r w:rsidR="00236919" w:rsidRPr="00BC31E0">
        <w:rPr>
          <w:rFonts w:hint="eastAsia"/>
        </w:rPr>
        <w:t>における</w:t>
      </w:r>
      <w:r w:rsidR="00C25C85" w:rsidRPr="00BC31E0">
        <w:rPr>
          <w:rFonts w:hint="eastAsia"/>
        </w:rPr>
        <w:t>容器部の断面積</w:t>
      </w:r>
      <w:r w:rsidR="00C25C85" w:rsidRPr="00BC31E0">
        <w:rPr>
          <w:rFonts w:hint="eastAsia"/>
        </w:rPr>
        <w:t>(</w:t>
      </w:r>
      <w:r w:rsidR="00C25C85" w:rsidRPr="00BC31E0">
        <w:rPr>
          <w:rFonts w:ascii="Cambria Math" w:hAnsi="Cambria Math"/>
        </w:rPr>
        <w:t>mm</w:t>
      </w:r>
      <w:r w:rsidR="00C25C85" w:rsidRPr="00BC31E0">
        <w:rPr>
          <w:rFonts w:ascii="Cambria Math" w:hAnsi="Cambria Math"/>
          <w:vertAlign w:val="superscript"/>
        </w:rPr>
        <w:t>2</w:t>
      </w:r>
      <w:r w:rsidR="00C25C85" w:rsidRPr="00BC31E0">
        <w:rPr>
          <w:rFonts w:hint="eastAsia"/>
        </w:rPr>
        <w:t xml:space="preserve">) </w:t>
      </w:r>
      <w:r w:rsidR="00C25C85" w:rsidRPr="00BC31E0">
        <w:t>(</w:t>
      </w:r>
      <w:r w:rsidR="00C25C85" w:rsidRPr="00BC31E0">
        <w:rPr>
          <w:rFonts w:ascii="ＭＳ ゴシック" w:eastAsia="ＭＳ ゴシック"/>
          <w:b/>
        </w:rPr>
        <w:t>6.5.3</w:t>
      </w:r>
      <w:r w:rsidR="00C25C85" w:rsidRPr="00BC31E0">
        <w:rPr>
          <w:rFonts w:hint="eastAsia"/>
        </w:rPr>
        <w:t>)</w:t>
      </w:r>
    </w:p>
    <w:p w14:paraId="34091DC3" w14:textId="77777777" w:rsidR="00C25C85" w:rsidRPr="00BC31E0" w:rsidRDefault="00A51873" w:rsidP="008234D1">
      <w:pPr>
        <w:tabs>
          <w:tab w:val="left" w:pos="1276"/>
        </w:tabs>
        <w:autoSpaceDE w:val="0"/>
        <w:autoSpaceDN w:val="0"/>
        <w:ind w:left="1588" w:hanging="1021"/>
        <w:rPr>
          <w:i/>
        </w:rPr>
      </w:pPr>
      <m:oMath>
        <m:sSub>
          <m:sSubPr>
            <m:ctrlPr>
              <w:rPr>
                <w:rFonts w:ascii="Cambria Math" w:hAnsi="Cambria Math"/>
              </w:rPr>
            </m:ctrlPr>
          </m:sSubPr>
          <m:e>
            <m:r>
              <w:rPr>
                <w:rFonts w:ascii="Cambria Math" w:hAnsi="Cambria Math"/>
              </w:rPr>
              <m:t>A</m:t>
            </m:r>
          </m:e>
          <m:sub>
            <m:r>
              <w:rPr>
                <w:rFonts w:ascii="Cambria Math" w:hAnsi="Cambria Math"/>
              </w:rPr>
              <m:t>g</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隙間面積</w:t>
      </w:r>
      <w:r w:rsidR="00C25C85" w:rsidRPr="00BC31E0">
        <w:rPr>
          <w:rFonts w:hint="eastAsia"/>
        </w:rPr>
        <w:t>(</w:t>
      </w:r>
      <w:r w:rsidR="00C25C85" w:rsidRPr="00BC31E0">
        <w:rPr>
          <w:rFonts w:ascii="Cambria Math" w:hAnsi="Cambria Math"/>
        </w:rPr>
        <w:t>mm</w:t>
      </w:r>
      <w:r w:rsidR="00C25C85" w:rsidRPr="00BC31E0">
        <w:rPr>
          <w:rFonts w:ascii="Cambria Math" w:hAnsi="Cambria Math"/>
          <w:vertAlign w:val="superscript"/>
        </w:rPr>
        <w:t>2</w:t>
      </w:r>
      <w:r w:rsidR="00C25C85" w:rsidRPr="00BC31E0">
        <w:rPr>
          <w:rFonts w:hint="eastAsia"/>
        </w:rPr>
        <w:t xml:space="preserve">) </w:t>
      </w:r>
      <w:r w:rsidR="00C25C85" w:rsidRPr="00BC31E0">
        <w:t>(</w:t>
      </w:r>
      <w:r w:rsidR="00C25C85" w:rsidRPr="00BC31E0">
        <w:rPr>
          <w:rFonts w:ascii="ＭＳ ゴシック" w:eastAsia="ＭＳ ゴシック" w:hAnsi="ＭＳ ゴシック" w:hint="eastAsia"/>
          <w:b/>
        </w:rPr>
        <w:t>図</w:t>
      </w:r>
      <w:r w:rsidR="00C25C85" w:rsidRPr="00BC31E0">
        <w:rPr>
          <w:rFonts w:ascii="ＭＳ ゴシック" w:eastAsia="ＭＳ ゴシック"/>
          <w:b/>
        </w:rPr>
        <w:t>7.8.5</w:t>
      </w:r>
      <w:r w:rsidR="00C25C85" w:rsidRPr="00BC31E0">
        <w:rPr>
          <w:rFonts w:hint="eastAsia"/>
        </w:rPr>
        <w:t>)</w:t>
      </w:r>
    </w:p>
    <w:p w14:paraId="5CC7A365"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rPr>
            </m:ctrlPr>
          </m:sSubPr>
          <m:e>
            <m:r>
              <w:rPr>
                <w:rFonts w:ascii="Cambria Math" w:hAnsi="Cambria Math"/>
              </w:rPr>
              <m:t>A</m:t>
            </m:r>
          </m:e>
          <m:sub>
            <m:r>
              <w:rPr>
                <w:rFonts w:ascii="Cambria Math" w:hAnsi="Cambria Math"/>
              </w:rPr>
              <m:t>m</m:t>
            </m:r>
          </m:sub>
        </m:sSub>
      </m:oMath>
      <w:r w:rsidR="00C25C85" w:rsidRPr="00BC31E0">
        <w:rPr>
          <w:rFonts w:hint="eastAsia"/>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クランプラグ毎のボルトの所要総有効断面積で，</w:t>
      </w:r>
      <m:oMath>
        <m:sSub>
          <m:sSubPr>
            <m:ctrlPr>
              <w:rPr>
                <w:rFonts w:ascii="Cambria Math" w:hAnsi="Cambria Math"/>
              </w:rPr>
            </m:ctrlPr>
          </m:sSubPr>
          <m:e>
            <m:r>
              <w:rPr>
                <w:rFonts w:ascii="Cambria Math" w:hAnsi="Cambria Math"/>
              </w:rPr>
              <m:t>A</m:t>
            </m:r>
          </m:e>
          <m:sub>
            <m:r>
              <w:rPr>
                <w:rFonts w:ascii="Cambria Math" w:hAnsi="Cambria Math"/>
              </w:rPr>
              <m:t>m1</m:t>
            </m:r>
          </m:sub>
        </m:sSub>
      </m:oMath>
      <w:r w:rsidR="00C25C85" w:rsidRPr="00BC31E0">
        <w:rPr>
          <w:rFonts w:hint="eastAsia"/>
        </w:rPr>
        <w:t>と</w:t>
      </w:r>
      <m:oMath>
        <m:sSub>
          <m:sSubPr>
            <m:ctrlPr>
              <w:rPr>
                <w:rFonts w:ascii="Cambria Math" w:hAnsi="Cambria Math"/>
              </w:rPr>
            </m:ctrlPr>
          </m:sSubPr>
          <m:e>
            <m:r>
              <w:rPr>
                <w:rFonts w:ascii="Cambria Math" w:hAnsi="Cambria Math"/>
              </w:rPr>
              <m:t>A</m:t>
            </m:r>
          </m:e>
          <m:sub>
            <m:r>
              <w:rPr>
                <w:rFonts w:ascii="Cambria Math" w:hAnsi="Cambria Math"/>
              </w:rPr>
              <m:t>m2</m:t>
            </m:r>
          </m:sub>
        </m:sSub>
      </m:oMath>
      <w:r w:rsidR="00C25C85" w:rsidRPr="00BC31E0">
        <w:rPr>
          <w:rFonts w:hint="eastAsia"/>
        </w:rPr>
        <w:t>のうち大きい方の値</w:t>
      </w:r>
      <w:r w:rsidR="00C25C85" w:rsidRPr="00BC31E0">
        <w:rPr>
          <w:rFonts w:hint="eastAsia"/>
        </w:rPr>
        <w:t>(</w:t>
      </w:r>
      <w:r w:rsidR="00C25C85" w:rsidRPr="00BC31E0">
        <w:rPr>
          <w:rFonts w:ascii="Cambria Math" w:hAnsi="Cambria Math"/>
        </w:rPr>
        <w:t>mm</w:t>
      </w:r>
      <w:r w:rsidR="00C25C85" w:rsidRPr="00BC31E0">
        <w:rPr>
          <w:rFonts w:ascii="Cambria Math" w:hAnsi="Cambria Math"/>
          <w:vertAlign w:val="superscript"/>
        </w:rPr>
        <w:t>2</w:t>
      </w:r>
      <w:r w:rsidR="00C25C85" w:rsidRPr="00BC31E0">
        <w:rPr>
          <w:rFonts w:hint="eastAsia"/>
        </w:rPr>
        <w:t xml:space="preserve">) </w:t>
      </w:r>
      <w:r w:rsidR="00C25C85" w:rsidRPr="00BC31E0">
        <w:t>(</w:t>
      </w:r>
      <w:r w:rsidR="00C25C85" w:rsidRPr="00BC31E0">
        <w:rPr>
          <w:rFonts w:ascii="ＭＳ ゴシック" w:eastAsia="ＭＳ ゴシック" w:hAnsi="ＭＳ ゴシック" w:hint="eastAsia"/>
          <w:b/>
        </w:rPr>
        <w:t>附属書</w:t>
      </w:r>
      <w:r w:rsidR="00C25C85" w:rsidRPr="00BC31E0">
        <w:rPr>
          <w:rFonts w:ascii="ＭＳ ゴシック" w:eastAsia="ＭＳ ゴシック" w:hAnsi="ＭＳ ゴシック"/>
          <w:b/>
        </w:rPr>
        <w:t>H 3</w:t>
      </w:r>
      <w:r w:rsidR="00C25C85" w:rsidRPr="00BC31E0">
        <w:rPr>
          <w:rFonts w:hint="eastAsia"/>
        </w:rPr>
        <w:t>)</w:t>
      </w:r>
    </w:p>
    <w:p w14:paraId="71D4468F"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rPr>
            </m:ctrlPr>
          </m:sSubPr>
          <m:e>
            <m:r>
              <w:rPr>
                <w:rFonts w:ascii="Cambria Math" w:hAnsi="Cambria Math"/>
              </w:rPr>
              <m:t>A</m:t>
            </m:r>
          </m:e>
          <m:sub>
            <m:r>
              <w:rPr>
                <w:rFonts w:ascii="Cambria Math" w:hAnsi="Cambria Math"/>
              </w:rPr>
              <m:t>m1</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運転条件でのクランプラグ毎のボルトの所要総有効断面積</w:t>
      </w:r>
      <w:r w:rsidR="00C25C85" w:rsidRPr="00BC31E0">
        <w:rPr>
          <w:rFonts w:hint="eastAsia"/>
        </w:rPr>
        <w:t>(</w:t>
      </w:r>
      <w:r w:rsidR="00C25C85" w:rsidRPr="00BC31E0">
        <w:rPr>
          <w:rFonts w:ascii="Cambria Math" w:hAnsi="Cambria Math"/>
        </w:rPr>
        <w:t>mm</w:t>
      </w:r>
      <w:r w:rsidR="00C25C85" w:rsidRPr="00BC31E0">
        <w:rPr>
          <w:rFonts w:ascii="Cambria Math" w:hAnsi="Cambria Math"/>
          <w:vertAlign w:val="superscript"/>
        </w:rPr>
        <w:t>2</w:t>
      </w:r>
      <w:r w:rsidR="00C25C85" w:rsidRPr="00BC31E0">
        <w:rPr>
          <w:rFonts w:hint="eastAsia"/>
        </w:rPr>
        <w:t xml:space="preserve">) </w:t>
      </w:r>
      <w:r w:rsidR="00C25C85" w:rsidRPr="00BC31E0">
        <w:t>(</w:t>
      </w:r>
      <w:r w:rsidR="00C25C85" w:rsidRPr="00BC31E0">
        <w:rPr>
          <w:rFonts w:ascii="ＭＳ ゴシック" w:eastAsia="ＭＳ ゴシック" w:hAnsi="ＭＳ ゴシック" w:hint="eastAsia"/>
          <w:b/>
        </w:rPr>
        <w:t>附属書</w:t>
      </w:r>
      <w:r w:rsidR="00C25C85" w:rsidRPr="00BC31E0">
        <w:rPr>
          <w:rFonts w:ascii="ＭＳ ゴシック" w:eastAsia="ＭＳ ゴシック" w:hAnsi="ＭＳ ゴシック"/>
          <w:b/>
        </w:rPr>
        <w:t>H 3</w:t>
      </w:r>
      <w:r w:rsidR="00C25C85" w:rsidRPr="00BC31E0">
        <w:rPr>
          <w:rFonts w:hint="eastAsia"/>
        </w:rPr>
        <w:t>)</w:t>
      </w:r>
    </w:p>
    <w:p w14:paraId="77A3D93A"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rPr>
            </m:ctrlPr>
          </m:sSubPr>
          <m:e>
            <m:r>
              <w:rPr>
                <w:rFonts w:ascii="Cambria Math" w:hAnsi="Cambria Math"/>
              </w:rPr>
              <m:t>A</m:t>
            </m:r>
          </m:e>
          <m:sub>
            <m:r>
              <w:rPr>
                <w:rFonts w:ascii="Cambria Math" w:hAnsi="Cambria Math"/>
              </w:rPr>
              <m:t>m2</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締付条件でのクランプラグ毎のボルトの所要総有効断面積</w:t>
      </w:r>
      <w:r w:rsidR="00C25C85" w:rsidRPr="00BC31E0">
        <w:rPr>
          <w:rFonts w:hint="eastAsia"/>
        </w:rPr>
        <w:t>(</w:t>
      </w:r>
      <w:r w:rsidR="00C25C85" w:rsidRPr="00BC31E0">
        <w:rPr>
          <w:rFonts w:ascii="Cambria Math" w:hAnsi="Cambria Math"/>
        </w:rPr>
        <w:t>mm</w:t>
      </w:r>
      <w:r w:rsidR="00C25C85" w:rsidRPr="00BC31E0">
        <w:rPr>
          <w:rFonts w:ascii="Cambria Math" w:hAnsi="Cambria Math"/>
          <w:vertAlign w:val="superscript"/>
        </w:rPr>
        <w:t>2</w:t>
      </w:r>
      <w:r w:rsidR="00C25C85" w:rsidRPr="00BC31E0">
        <w:rPr>
          <w:rFonts w:hint="eastAsia"/>
        </w:rPr>
        <w:t xml:space="preserve">) </w:t>
      </w:r>
      <w:r w:rsidR="00C25C85" w:rsidRPr="00BC31E0">
        <w:t>(</w:t>
      </w:r>
      <w:r w:rsidR="00C25C85" w:rsidRPr="00BC31E0">
        <w:rPr>
          <w:rFonts w:ascii="ＭＳ ゴシック" w:eastAsia="ＭＳ ゴシック" w:hAnsi="ＭＳ ゴシック" w:hint="eastAsia"/>
          <w:b/>
        </w:rPr>
        <w:t>附属書</w:t>
      </w:r>
      <w:r w:rsidR="00C25C85" w:rsidRPr="00BC31E0">
        <w:rPr>
          <w:rFonts w:ascii="ＭＳ ゴシック" w:eastAsia="ＭＳ ゴシック" w:hAnsi="ＭＳ ゴシック"/>
          <w:b/>
        </w:rPr>
        <w:t>H 3</w:t>
      </w:r>
      <w:r w:rsidR="00C25C85" w:rsidRPr="00BC31E0">
        <w:rPr>
          <w:rFonts w:hint="eastAsia"/>
        </w:rPr>
        <w:t>)</w:t>
      </w:r>
    </w:p>
    <w:p w14:paraId="63D17AE2"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rPr>
            </m:ctrlPr>
          </m:sSubPr>
          <m:e>
            <m:r>
              <w:rPr>
                <w:rFonts w:ascii="Cambria Math" w:hAnsi="Cambria Math"/>
              </w:rPr>
              <m:t>A</m:t>
            </m:r>
          </m:e>
          <m:sub>
            <m:r>
              <w:rPr>
                <w:rFonts w:ascii="Cambria Math" w:hAnsi="Cambria Math"/>
              </w:rPr>
              <m:t>o</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ハブリップの外径</w:t>
      </w:r>
      <w:r w:rsidR="00C25C85" w:rsidRPr="00BC31E0">
        <w:rPr>
          <w:rFonts w:hint="eastAsia"/>
        </w:rPr>
        <w:t>(</w:t>
      </w:r>
      <w:r w:rsidR="00C25C85" w:rsidRPr="00BC31E0">
        <w:rPr>
          <w:rFonts w:ascii="Cambria Math" w:hAnsi="Cambria Math"/>
        </w:rPr>
        <w:t>mm</w:t>
      </w:r>
      <w:r w:rsidR="00C25C85" w:rsidRPr="00BC31E0">
        <w:rPr>
          <w:rFonts w:hint="eastAsia"/>
        </w:rPr>
        <w:t xml:space="preserve">) </w:t>
      </w:r>
      <w:r w:rsidR="00C25C85" w:rsidRPr="00BC31E0">
        <w:t>(</w:t>
      </w:r>
      <w:r w:rsidR="00C25C85" w:rsidRPr="00BC31E0">
        <w:rPr>
          <w:rFonts w:ascii="ＭＳ ゴシック" w:eastAsia="ＭＳ ゴシック" w:hAnsi="ＭＳ ゴシック" w:hint="eastAsia"/>
          <w:b/>
        </w:rPr>
        <w:t>附属書</w:t>
      </w:r>
      <w:r w:rsidR="00C25C85" w:rsidRPr="00BC31E0">
        <w:rPr>
          <w:rFonts w:ascii="ＭＳ ゴシック" w:eastAsia="ＭＳ ゴシック" w:hAnsi="ＭＳ ゴシック"/>
          <w:b/>
        </w:rPr>
        <w:t>H 3</w:t>
      </w:r>
      <w:r w:rsidR="00C25C85" w:rsidRPr="00BC31E0">
        <w:rPr>
          <w:rFonts w:hint="eastAsia"/>
        </w:rPr>
        <w:t>)</w:t>
      </w:r>
    </w:p>
    <w:p w14:paraId="766410D5"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rPr>
            </m:ctrlPr>
          </m:sSubPr>
          <m:e>
            <m:r>
              <w:rPr>
                <w:rFonts w:ascii="Cambria Math" w:hAnsi="Cambria Math"/>
              </w:rPr>
              <m:t>A</m:t>
            </m:r>
          </m:e>
          <m:sub>
            <m:r>
              <w:rPr>
                <w:rFonts w:ascii="Cambria Math" w:hAnsi="Cambria Math"/>
              </w:rPr>
              <m:t>p</m:t>
            </m:r>
          </m:sub>
        </m:sSub>
      </m:oMath>
      <w:r w:rsidR="00C25C85" w:rsidRPr="00BC31E0">
        <w:rPr>
          <w:rFonts w:hint="eastAsia"/>
          <w:i/>
        </w:rPr>
        <w:tab/>
      </w:r>
      <w:r w:rsidR="00C25C85" w:rsidRPr="00BC31E0">
        <w:rPr>
          <w:rFonts w:hint="eastAsia"/>
          <w:szCs w:val="24"/>
        </w:rPr>
        <w:t>：</w:t>
      </w:r>
      <w:r w:rsidR="00C25C85" w:rsidRPr="00BC31E0">
        <w:rPr>
          <w:rFonts w:hint="eastAsia"/>
          <w:szCs w:val="24"/>
        </w:rPr>
        <w:t xml:space="preserve"> </w:t>
      </w:r>
      <w:r w:rsidR="00C25C85" w:rsidRPr="00BC31E0">
        <w:rPr>
          <w:rFonts w:hint="eastAsia"/>
          <w:szCs w:val="24"/>
        </w:rPr>
        <w:t>亀裂面に作用する容器の内圧力</w:t>
      </w:r>
      <w:r w:rsidR="00C25C85" w:rsidRPr="00BC31E0">
        <w:rPr>
          <w:rFonts w:hint="eastAsia"/>
          <w:szCs w:val="24"/>
        </w:rPr>
        <w:t>(</w:t>
      </w:r>
      <w:r w:rsidR="00C25C85" w:rsidRPr="00BC31E0">
        <w:rPr>
          <w:rFonts w:ascii="Cambria Math" w:hAnsi="Cambria Math"/>
          <w:szCs w:val="24"/>
        </w:rPr>
        <w:t>MPa</w:t>
      </w:r>
      <w:r w:rsidR="00C25C85" w:rsidRPr="00BC31E0">
        <w:rPr>
          <w:rFonts w:hint="eastAsia"/>
          <w:szCs w:val="24"/>
        </w:rPr>
        <w:t>)</w:t>
      </w:r>
      <w:r w:rsidR="00C25C85" w:rsidRPr="00BC31E0">
        <w:rPr>
          <w:rFonts w:hint="eastAsia"/>
        </w:rPr>
        <w:t xml:space="preserve"> </w:t>
      </w:r>
      <w:r w:rsidR="00C25C85" w:rsidRPr="00BC31E0">
        <w:t>(</w:t>
      </w:r>
      <w:r w:rsidR="00C25C85" w:rsidRPr="00BC31E0">
        <w:rPr>
          <w:rFonts w:ascii="ＭＳ ゴシック" w:eastAsia="ＭＳ ゴシック" w:hint="eastAsia"/>
          <w:b/>
          <w:szCs w:val="24"/>
        </w:rPr>
        <w:t>附属書C 4.1</w:t>
      </w:r>
      <w:r w:rsidR="00C25C85" w:rsidRPr="00BC31E0">
        <w:rPr>
          <w:rFonts w:hint="eastAsia"/>
          <w:szCs w:val="24"/>
        </w:rPr>
        <w:t>)</w:t>
      </w:r>
    </w:p>
    <w:p w14:paraId="77E6A852"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rPr>
            </m:ctrlPr>
          </m:sSubPr>
          <m:e>
            <m:r>
              <w:rPr>
                <w:rFonts w:ascii="Cambria Math" w:hAnsi="Cambria Math"/>
              </w:rPr>
              <m:t>A</m:t>
            </m:r>
          </m:e>
          <m:sub>
            <m:r>
              <w:rPr>
                <w:rFonts w:ascii="Cambria Math" w:hAnsi="Cambria Math"/>
              </w:rPr>
              <m:t>or</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クランプリップとハブ肩部との接触面の外径</w:t>
      </w:r>
      <w:r w:rsidR="00C25C85" w:rsidRPr="00BC31E0">
        <w:rPr>
          <w:rFonts w:hint="eastAsia"/>
        </w:rPr>
        <w:t>(</w:t>
      </w:r>
      <w:r w:rsidR="00C25C85" w:rsidRPr="00BC31E0">
        <w:rPr>
          <w:rFonts w:ascii="Cambria Math" w:hAnsi="Cambria Math"/>
        </w:rPr>
        <w:t>mm</w:t>
      </w:r>
      <w:r w:rsidR="00C25C85" w:rsidRPr="00BC31E0">
        <w:rPr>
          <w:rFonts w:hint="eastAsia"/>
        </w:rPr>
        <w:t xml:space="preserve">) </w:t>
      </w:r>
      <w:r w:rsidR="00C25C85" w:rsidRPr="00BC31E0">
        <w:t>(</w:t>
      </w:r>
      <w:r w:rsidR="00C25C85" w:rsidRPr="00BC31E0">
        <w:rPr>
          <w:rFonts w:ascii="ＭＳ ゴシック" w:eastAsia="ＭＳ ゴシック" w:hAnsi="ＭＳ ゴシック" w:hint="eastAsia"/>
          <w:b/>
        </w:rPr>
        <w:t>附属書</w:t>
      </w:r>
      <w:r w:rsidR="00C25C85" w:rsidRPr="00BC31E0">
        <w:rPr>
          <w:rFonts w:ascii="ＭＳ ゴシック" w:eastAsia="ＭＳ ゴシック" w:hAnsi="ＭＳ ゴシック"/>
          <w:b/>
        </w:rPr>
        <w:t>H 3</w:t>
      </w:r>
      <w:r w:rsidR="00C25C85" w:rsidRPr="00BC31E0">
        <w:rPr>
          <w:rFonts w:hint="eastAsia"/>
        </w:rPr>
        <w:t>)</w:t>
      </w:r>
    </w:p>
    <w:p w14:paraId="66D4562F" w14:textId="77777777" w:rsidR="00C25C85" w:rsidRPr="00BC31E0" w:rsidRDefault="00A51873" w:rsidP="008234D1">
      <w:pPr>
        <w:tabs>
          <w:tab w:val="left" w:pos="1418"/>
        </w:tabs>
        <w:autoSpaceDE w:val="0"/>
        <w:autoSpaceDN w:val="0"/>
        <w:ind w:left="1814" w:hanging="1247"/>
      </w:pPr>
      <m:oMath>
        <m:sSub>
          <m:sSubPr>
            <m:ctrlPr>
              <w:rPr>
                <w:rFonts w:ascii="Cambria Math" w:hAnsi="Cambria Math"/>
              </w:rPr>
            </m:ctrlPr>
          </m:sSubPr>
          <m:e>
            <m:r>
              <w:rPr>
                <w:rFonts w:ascii="Cambria Math" w:hAnsi="Cambria Math"/>
              </w:rPr>
              <m:t>A</m:t>
            </m:r>
          </m:e>
          <m:sub>
            <m:r>
              <w:rPr>
                <w:rFonts w:ascii="Cambria Math" w:hAnsi="Cambria Math"/>
              </w:rPr>
              <m:t>0</m:t>
            </m:r>
          </m:sub>
        </m:sSub>
      </m:oMath>
      <w:r w:rsidR="00C25C85" w:rsidRPr="00BC31E0">
        <w:rPr>
          <w:rFonts w:hint="eastAsia"/>
        </w:rPr>
        <w:t>～</w:t>
      </w:r>
      <m:oMath>
        <m:sSub>
          <m:sSubPr>
            <m:ctrlPr>
              <w:rPr>
                <w:rFonts w:ascii="Cambria Math" w:hAnsi="Cambria Math"/>
              </w:rPr>
            </m:ctrlPr>
          </m:sSubPr>
          <m:e>
            <m:r>
              <w:rPr>
                <w:rFonts w:ascii="Cambria Math" w:hAnsi="Cambria Math"/>
              </w:rPr>
              <m:t>A</m:t>
            </m:r>
          </m:e>
          <m:sub>
            <m:r>
              <w:rPr>
                <w:rFonts w:ascii="Cambria Math" w:hAnsi="Cambria Math" w:hint="eastAsia"/>
              </w:rPr>
              <m:t>5</m:t>
            </m:r>
          </m:sub>
        </m:sSub>
      </m:oMath>
      <w:r w:rsidR="00C25C85" w:rsidRPr="00BC31E0">
        <w:rPr>
          <w:rFonts w:hint="eastAsia"/>
        </w:rPr>
        <w:tab/>
      </w:r>
      <w:r w:rsidR="00C25C85" w:rsidRPr="00BC31E0">
        <w:rPr>
          <w:rFonts w:hint="eastAsia"/>
          <w:szCs w:val="24"/>
        </w:rPr>
        <w:t>：</w:t>
      </w:r>
      <w:r w:rsidR="00C25C85" w:rsidRPr="00BC31E0">
        <w:rPr>
          <w:rFonts w:hint="eastAsia"/>
        </w:rPr>
        <w:t xml:space="preserve"> </w:t>
      </w:r>
      <w:r w:rsidR="00C25C85" w:rsidRPr="00BC31E0">
        <w:rPr>
          <w:rFonts w:hint="eastAsia"/>
        </w:rPr>
        <w:t>亀裂面に対して垂直方向に作用する応力分布の多項式近似の係数</w:t>
      </w:r>
      <w:r w:rsidR="00C25C85" w:rsidRPr="00BC31E0">
        <w:rPr>
          <w:rFonts w:hint="eastAsia"/>
        </w:rPr>
        <w:t xml:space="preserve"> </w:t>
      </w:r>
      <w:r w:rsidR="00C25C85" w:rsidRPr="00BC31E0">
        <w:t>(</w:t>
      </w:r>
      <w:r w:rsidR="00C25C85" w:rsidRPr="00BC31E0">
        <w:rPr>
          <w:rFonts w:ascii="ＭＳ ゴシック" w:eastAsia="ＭＳ ゴシック" w:hint="eastAsia"/>
          <w:b/>
        </w:rPr>
        <w:t>附属書C 4.1</w:t>
      </w:r>
      <w:r w:rsidR="00C25C85" w:rsidRPr="00BC31E0">
        <w:rPr>
          <w:rFonts w:ascii="ＭＳ 明朝" w:hAnsi="ＭＳ 明朝" w:hint="eastAsia"/>
        </w:rPr>
        <w:t>，</w:t>
      </w:r>
      <w:r w:rsidR="00C25C85" w:rsidRPr="00BC31E0">
        <w:rPr>
          <w:rFonts w:ascii="ＭＳ ゴシック" w:eastAsia="ＭＳ ゴシック" w:hint="eastAsia"/>
          <w:b/>
        </w:rPr>
        <w:t>4.3</w:t>
      </w:r>
      <w:r w:rsidR="00C25C85" w:rsidRPr="00BC31E0">
        <w:rPr>
          <w:rFonts w:hint="eastAsia"/>
        </w:rPr>
        <w:t>，</w:t>
      </w:r>
      <w:r w:rsidR="00C25C85" w:rsidRPr="00BC31E0">
        <w:rPr>
          <w:rFonts w:asciiTheme="majorEastAsia" w:eastAsiaTheme="majorEastAsia" w:hAnsiTheme="majorEastAsia" w:hint="eastAsia"/>
          <w:b/>
          <w:bCs/>
        </w:rPr>
        <w:t>4.4</w:t>
      </w:r>
      <w:r w:rsidR="00C25C85" w:rsidRPr="00BC31E0">
        <w:rPr>
          <w:rFonts w:hint="eastAsia"/>
        </w:rPr>
        <w:t>)</w:t>
      </w:r>
    </w:p>
    <w:p w14:paraId="7AFB47C6" w14:textId="77777777" w:rsidR="00C25C85" w:rsidRPr="00BC31E0" w:rsidRDefault="00A51873" w:rsidP="008234D1">
      <w:pPr>
        <w:tabs>
          <w:tab w:val="left" w:pos="1418"/>
        </w:tabs>
        <w:autoSpaceDE w:val="0"/>
        <w:autoSpaceDN w:val="0"/>
        <w:ind w:left="567"/>
      </w:pPr>
      <m:oMath>
        <m:sSup>
          <m:sSupPr>
            <m:ctrlPr>
              <w:rPr>
                <w:rFonts w:ascii="Cambria Math" w:hAnsi="Cambria Math"/>
              </w:rPr>
            </m:ctrlPr>
          </m:sSupPr>
          <m:e>
            <m:sSub>
              <m:sSubPr>
                <m:ctrlPr>
                  <w:rPr>
                    <w:rFonts w:ascii="Cambria Math" w:hAnsi="Cambria Math"/>
                  </w:rPr>
                </m:ctrlPr>
              </m:sSubPr>
              <m:e>
                <m:r>
                  <w:rPr>
                    <w:rFonts w:ascii="Cambria Math" w:hAnsi="Cambria Math"/>
                  </w:rPr>
                  <m:t>A</m:t>
                </m:r>
              </m:e>
              <m:sub>
                <m:r>
                  <w:rPr>
                    <w:rFonts w:ascii="Cambria Math" w:hAnsi="Cambria Math"/>
                  </w:rPr>
                  <m:t>0</m:t>
                </m:r>
              </m:sub>
            </m:sSub>
          </m:e>
          <m:sup>
            <m:r>
              <m:rPr>
                <m:sty m:val="p"/>
              </m:rPr>
              <w:rPr>
                <w:rFonts w:ascii="Cambria Math" w:hAnsi="Cambria Math"/>
              </w:rPr>
              <m:t>'</m:t>
            </m:r>
          </m:sup>
        </m:sSup>
      </m:oMath>
      <w:r w:rsidR="00C25C85" w:rsidRPr="00BC31E0">
        <w:rPr>
          <w:rFonts w:hint="eastAsia"/>
        </w:rPr>
        <w:t>～</w:t>
      </w:r>
      <m:oMath>
        <m:sSup>
          <m:sSupPr>
            <m:ctrlPr>
              <w:rPr>
                <w:rFonts w:ascii="Cambria Math" w:hAnsi="Cambria Math"/>
              </w:rPr>
            </m:ctrlPr>
          </m:sSupPr>
          <m:e>
            <m:sSub>
              <m:sSubPr>
                <m:ctrlPr>
                  <w:rPr>
                    <w:rFonts w:ascii="Cambria Math" w:hAnsi="Cambria Math"/>
                  </w:rPr>
                </m:ctrlPr>
              </m:sSubPr>
              <m:e>
                <m:r>
                  <w:rPr>
                    <w:rFonts w:ascii="Cambria Math" w:hAnsi="Cambria Math"/>
                  </w:rPr>
                  <m:t>A</m:t>
                </m:r>
              </m:e>
              <m:sub>
                <m:r>
                  <w:rPr>
                    <w:rFonts w:ascii="Cambria Math" w:hAnsi="Cambria Math" w:hint="eastAsia"/>
                  </w:rPr>
                  <m:t>5</m:t>
                </m:r>
              </m:sub>
            </m:sSub>
          </m:e>
          <m:sup>
            <m:r>
              <m:rPr>
                <m:sty m:val="p"/>
              </m:rPr>
              <w:rPr>
                <w:rFonts w:ascii="Cambria Math" w:hAnsi="Cambria Math"/>
              </w:rPr>
              <m:t>'</m:t>
            </m:r>
          </m:sup>
        </m:sSup>
      </m:oMath>
      <w:r w:rsidR="00C25C85" w:rsidRPr="00BC31E0">
        <w:rPr>
          <w:rFonts w:hint="eastAsia"/>
        </w:rPr>
        <w:tab/>
      </w:r>
      <w:r w:rsidR="00C25C85" w:rsidRPr="00BC31E0">
        <w:rPr>
          <w:rFonts w:hint="eastAsia"/>
          <w:szCs w:val="24"/>
        </w:rPr>
        <w:t>：</w:t>
      </w:r>
      <w:r w:rsidR="00C25C85" w:rsidRPr="00BC31E0">
        <w:rPr>
          <w:rFonts w:hint="eastAsia"/>
          <w:szCs w:val="24"/>
        </w:rPr>
        <w:t xml:space="preserve"> </w:t>
      </w:r>
      <w:r w:rsidR="00C25C85" w:rsidRPr="00BC31E0">
        <w:rPr>
          <w:rFonts w:hint="eastAsia"/>
        </w:rPr>
        <w:t>亀裂面に対して垂直方向に作用する応力分布の多項式近似の係数</w:t>
      </w:r>
    </w:p>
    <w:p w14:paraId="14FD7D0E" w14:textId="77777777" w:rsidR="00C25C85" w:rsidRPr="00BC31E0" w:rsidRDefault="00C25C85" w:rsidP="008234D1">
      <w:pPr>
        <w:tabs>
          <w:tab w:val="left" w:pos="1418"/>
        </w:tabs>
        <w:autoSpaceDE w:val="0"/>
        <w:autoSpaceDN w:val="0"/>
        <w:ind w:left="1758"/>
      </w:pPr>
      <w:r w:rsidRPr="00BC31E0">
        <w:rPr>
          <w:rFonts w:hint="eastAsia"/>
        </w:rPr>
        <w:t>(</w:t>
      </w:r>
      <w:r w:rsidRPr="00BC31E0">
        <w:rPr>
          <w:rFonts w:ascii="ＭＳ ゴシック" w:eastAsia="ＭＳ ゴシック" w:hint="eastAsia"/>
          <w:b/>
        </w:rPr>
        <w:t>附属書C 4.1</w:t>
      </w:r>
      <w:r w:rsidRPr="00BC31E0">
        <w:rPr>
          <w:rFonts w:hint="eastAsia"/>
        </w:rPr>
        <w:t>)</w:t>
      </w:r>
    </w:p>
    <w:p w14:paraId="5BB33AF5"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rPr>
            </m:ctrlPr>
          </m:sSubPr>
          <m:e>
            <m:r>
              <w:rPr>
                <w:rFonts w:ascii="Cambria Math" w:hAnsi="Cambria Math"/>
              </w:rPr>
              <m:t>A</m:t>
            </m:r>
          </m:e>
          <m:sub>
            <m:r>
              <w:rPr>
                <w:rFonts w:ascii="Cambria Math" w:hAnsi="Cambria Math"/>
              </w:rPr>
              <m:t>1</m:t>
            </m:r>
          </m:sub>
        </m:sSub>
      </m:oMath>
      <w:r w:rsidR="00C25C85" w:rsidRPr="00BC31E0">
        <w:rPr>
          <w:rFonts w:hint="eastAsia"/>
          <w:i/>
        </w:rPr>
        <w:tab/>
      </w:r>
      <w:r w:rsidR="00C25C85" w:rsidRPr="00BC31E0">
        <w:rPr>
          <w:rFonts w:hint="eastAsia"/>
        </w:rPr>
        <w:t>：</w:t>
      </w:r>
      <w:r w:rsidR="00C25C85" w:rsidRPr="00BC31E0">
        <w:rPr>
          <w:rFonts w:hint="eastAsia"/>
        </w:rPr>
        <w:t xml:space="preserve"> </w:t>
      </w:r>
      <w:r w:rsidR="00C25C85" w:rsidRPr="00BC31E0">
        <w:rPr>
          <w:rFonts w:hint="eastAsia"/>
        </w:rPr>
        <w:t>応力－ひずみ曲線の弾性域における係数</w:t>
      </w:r>
      <w:r w:rsidR="00C25C85" w:rsidRPr="00BC31E0">
        <w:rPr>
          <w:rFonts w:hint="eastAsia"/>
        </w:rPr>
        <w:t>(</w:t>
      </w:r>
      <w:r w:rsidR="00C25C85" w:rsidRPr="00BC31E0">
        <w:rPr>
          <w:rFonts w:ascii="Cambria Math" w:hAnsi="Cambria Math"/>
        </w:rPr>
        <w:t>MPa</w:t>
      </w:r>
      <w:r w:rsidR="00C25C85" w:rsidRPr="00BC31E0">
        <w:rPr>
          <w:rFonts w:hint="eastAsia"/>
        </w:rPr>
        <w:t xml:space="preserve">) </w:t>
      </w:r>
      <w:r w:rsidR="00C25C85" w:rsidRPr="00BC31E0">
        <w:t>(</w:t>
      </w:r>
      <w:r w:rsidR="00C25C85" w:rsidRPr="00BC31E0">
        <w:rPr>
          <w:rFonts w:ascii="ＭＳ ゴシック" w:eastAsia="ＭＳ ゴシック" w:hAnsi="ＭＳ ゴシック" w:hint="eastAsia"/>
          <w:b/>
        </w:rPr>
        <w:t>附属書</w:t>
      </w:r>
      <w:r w:rsidR="00C25C85" w:rsidRPr="00BC31E0">
        <w:rPr>
          <w:rFonts w:ascii="ＭＳ ゴシック" w:eastAsia="ＭＳ ゴシック"/>
          <w:b/>
        </w:rPr>
        <w:t>D 2</w:t>
      </w:r>
      <w:r w:rsidR="00C25C85" w:rsidRPr="00BC31E0">
        <w:rPr>
          <w:rFonts w:hint="eastAsia"/>
        </w:rPr>
        <w:t>）</w:t>
      </w:r>
    </w:p>
    <w:p w14:paraId="05E99DAD"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rPr>
            </m:ctrlPr>
          </m:sSubPr>
          <m:e>
            <m:r>
              <w:rPr>
                <w:rFonts w:ascii="Cambria Math" w:hAnsi="Cambria Math"/>
              </w:rPr>
              <m:t>A</m:t>
            </m:r>
          </m:e>
          <m:sub>
            <m:r>
              <w:rPr>
                <w:rFonts w:ascii="Cambria Math" w:hAnsi="Cambria Math"/>
              </w:rPr>
              <m:t>2</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応力－ひずみ曲線の塑性域における係数</w:t>
      </w:r>
      <w:r w:rsidR="00C25C85" w:rsidRPr="00BC31E0">
        <w:rPr>
          <w:rFonts w:hint="eastAsia"/>
        </w:rPr>
        <w:t>(</w:t>
      </w:r>
      <w:r w:rsidR="00C25C85" w:rsidRPr="00BC31E0">
        <w:rPr>
          <w:rFonts w:ascii="Cambria Math" w:hAnsi="Cambria Math"/>
        </w:rPr>
        <w:t>MPa</w:t>
      </w:r>
      <w:r w:rsidR="00C25C85" w:rsidRPr="00BC31E0">
        <w:rPr>
          <w:rFonts w:hint="eastAsia"/>
        </w:rPr>
        <w:t xml:space="preserve">) </w:t>
      </w:r>
      <w:r w:rsidR="00C25C85" w:rsidRPr="00BC31E0">
        <w:t>(</w:t>
      </w:r>
      <w:r w:rsidR="00C25C85" w:rsidRPr="00BC31E0">
        <w:rPr>
          <w:rFonts w:ascii="ＭＳ ゴシック" w:eastAsia="ＭＳ ゴシック" w:hAnsi="ＭＳ ゴシック" w:hint="eastAsia"/>
          <w:b/>
        </w:rPr>
        <w:t>附属書</w:t>
      </w:r>
      <w:r w:rsidR="00C25C85" w:rsidRPr="00BC31E0">
        <w:rPr>
          <w:rFonts w:ascii="ＭＳ ゴシック" w:eastAsia="ＭＳ ゴシック"/>
          <w:b/>
        </w:rPr>
        <w:t>D 2</w:t>
      </w:r>
      <w:r w:rsidR="00C25C85" w:rsidRPr="00BC31E0">
        <w:rPr>
          <w:rFonts w:hint="eastAsia"/>
        </w:rPr>
        <w:t>）</w:t>
      </w:r>
    </w:p>
    <w:p w14:paraId="6E52B310"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rPr>
            </m:ctrlPr>
          </m:sSubPr>
          <m:e>
            <m:r>
              <w:rPr>
                <w:rFonts w:ascii="Cambria Math" w:hAnsi="Cambria Math"/>
              </w:rPr>
              <m:t>A</m:t>
            </m:r>
          </m:e>
          <m:sub>
            <m:r>
              <w:rPr>
                <w:rFonts w:ascii="Cambria Math" w:hAnsi="Cambria Math"/>
              </w:rPr>
              <m:t>3</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ハブの長手方向せん断断面積で，</w:t>
      </w:r>
      <m:oMath>
        <m:sSub>
          <m:sSubPr>
            <m:ctrlPr>
              <w:rPr>
                <w:rFonts w:ascii="Cambria Math" w:hAnsi="Cambria Math"/>
              </w:rPr>
            </m:ctrlPr>
          </m:sSubPr>
          <m:e>
            <m:r>
              <w:rPr>
                <w:rFonts w:ascii="Cambria Math" w:hAnsi="Cambria Math"/>
              </w:rPr>
              <m:t>A</m:t>
            </m:r>
          </m:e>
          <m:sub>
            <m:r>
              <w:rPr>
                <w:rFonts w:ascii="Cambria Math" w:hAnsi="Cambria Math"/>
              </w:rPr>
              <m:t>3a</m:t>
            </m:r>
          </m:sub>
        </m:sSub>
      </m:oMath>
      <w:r w:rsidR="00C25C85" w:rsidRPr="00BC31E0">
        <w:rPr>
          <w:rFonts w:hint="eastAsia"/>
        </w:rPr>
        <w:t>と</w:t>
      </w:r>
      <m:oMath>
        <m:sSub>
          <m:sSubPr>
            <m:ctrlPr>
              <w:rPr>
                <w:rFonts w:ascii="Cambria Math" w:hAnsi="Cambria Math"/>
              </w:rPr>
            </m:ctrlPr>
          </m:sSubPr>
          <m:e>
            <m:r>
              <w:rPr>
                <w:rFonts w:ascii="Cambria Math" w:hAnsi="Cambria Math"/>
              </w:rPr>
              <m:t>A</m:t>
            </m:r>
          </m:e>
          <m:sub>
            <m:r>
              <w:rPr>
                <w:rFonts w:ascii="Cambria Math" w:hAnsi="Cambria Math"/>
              </w:rPr>
              <m:t>3b</m:t>
            </m:r>
          </m:sub>
        </m:sSub>
      </m:oMath>
      <w:r w:rsidR="00C25C85" w:rsidRPr="00BC31E0">
        <w:rPr>
          <w:rFonts w:hint="eastAsia"/>
        </w:rPr>
        <w:t>の小さい方の値</w:t>
      </w:r>
      <w:r w:rsidR="00C25C85" w:rsidRPr="00BC31E0">
        <w:rPr>
          <w:rFonts w:hint="eastAsia"/>
        </w:rPr>
        <w:t>(</w:t>
      </w:r>
      <w:r w:rsidR="00C25C85" w:rsidRPr="00BC31E0">
        <w:rPr>
          <w:rFonts w:ascii="Cambria Math" w:hAnsi="Cambria Math"/>
        </w:rPr>
        <w:t>mm</w:t>
      </w:r>
      <w:r w:rsidR="00C25C85" w:rsidRPr="00BC31E0">
        <w:rPr>
          <w:rFonts w:ascii="Cambria Math" w:hAnsi="Cambria Math"/>
          <w:vertAlign w:val="superscript"/>
        </w:rPr>
        <w:t>2</w:t>
      </w:r>
      <w:r w:rsidR="00C25C85" w:rsidRPr="00BC31E0">
        <w:rPr>
          <w:rFonts w:hint="eastAsia"/>
        </w:rPr>
        <w:t xml:space="preserve">) </w:t>
      </w:r>
      <w:r w:rsidR="00C25C85" w:rsidRPr="00BC31E0">
        <w:t>(</w:t>
      </w:r>
      <w:r w:rsidR="00C25C85" w:rsidRPr="00BC31E0">
        <w:rPr>
          <w:rFonts w:ascii="ＭＳ ゴシック" w:eastAsia="ＭＳ ゴシック" w:hAnsi="ＭＳ ゴシック" w:hint="eastAsia"/>
          <w:b/>
        </w:rPr>
        <w:t>附属書</w:t>
      </w:r>
      <w:r w:rsidR="00C25C85" w:rsidRPr="00BC31E0">
        <w:rPr>
          <w:rFonts w:ascii="ＭＳ ゴシック" w:eastAsia="ＭＳ ゴシック" w:hAnsi="ＭＳ ゴシック"/>
          <w:b/>
        </w:rPr>
        <w:t>H 3</w:t>
      </w:r>
      <w:r w:rsidR="00C25C85" w:rsidRPr="00BC31E0">
        <w:rPr>
          <w:rFonts w:hint="eastAsia"/>
        </w:rPr>
        <w:t>)</w:t>
      </w:r>
    </w:p>
    <w:p w14:paraId="75AC5602" w14:textId="77777777" w:rsidR="00C25C85" w:rsidRPr="00BC31E0" w:rsidRDefault="00A51873" w:rsidP="008234D1">
      <w:pPr>
        <w:tabs>
          <w:tab w:val="left" w:pos="1276"/>
        </w:tabs>
        <w:autoSpaceDE w:val="0"/>
        <w:autoSpaceDN w:val="0"/>
        <w:ind w:left="1588" w:hanging="1021"/>
        <w:rPr>
          <w:i/>
        </w:rPr>
      </w:pPr>
      <m:oMath>
        <m:sSub>
          <m:sSubPr>
            <m:ctrlPr>
              <w:rPr>
                <w:rFonts w:ascii="Cambria Math" w:hAnsi="Cambria Math"/>
              </w:rPr>
            </m:ctrlPr>
          </m:sSubPr>
          <m:e>
            <m:r>
              <w:rPr>
                <w:rFonts w:ascii="Cambria Math" w:hAnsi="Cambria Math"/>
              </w:rPr>
              <m:t>A</m:t>
            </m:r>
          </m:e>
          <m:sub>
            <m:r>
              <w:rPr>
                <w:rFonts w:ascii="Cambria Math" w:hAnsi="Cambria Math"/>
              </w:rPr>
              <m:t>3a</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クランプとハブとの接触面におけるハブの長手方向せん断断面積</w:t>
      </w:r>
      <w:r w:rsidR="00C25C85" w:rsidRPr="00BC31E0">
        <w:rPr>
          <w:rFonts w:hint="eastAsia"/>
        </w:rPr>
        <w:t>(</w:t>
      </w:r>
      <w:r w:rsidR="00C25C85" w:rsidRPr="00BC31E0">
        <w:rPr>
          <w:rFonts w:ascii="Cambria Math" w:hAnsi="Cambria Math"/>
        </w:rPr>
        <w:t>mm</w:t>
      </w:r>
      <w:r w:rsidR="00C25C85" w:rsidRPr="00BC31E0">
        <w:rPr>
          <w:rFonts w:ascii="Cambria Math" w:hAnsi="Cambria Math"/>
          <w:vertAlign w:val="superscript"/>
        </w:rPr>
        <w:t>2</w:t>
      </w:r>
      <w:r w:rsidR="00C25C85" w:rsidRPr="00BC31E0">
        <w:rPr>
          <w:rFonts w:hint="eastAsia"/>
        </w:rPr>
        <w:t xml:space="preserve">) </w:t>
      </w:r>
      <w:r w:rsidR="00C25C85" w:rsidRPr="00BC31E0">
        <w:t>(</w:t>
      </w:r>
      <w:r w:rsidR="00C25C85" w:rsidRPr="00BC31E0">
        <w:rPr>
          <w:rFonts w:ascii="ＭＳ ゴシック" w:eastAsia="ＭＳ ゴシック" w:hAnsi="ＭＳ ゴシック" w:hint="eastAsia"/>
          <w:b/>
        </w:rPr>
        <w:t>附属書</w:t>
      </w:r>
      <w:r w:rsidR="00C25C85" w:rsidRPr="00BC31E0">
        <w:rPr>
          <w:rFonts w:ascii="ＭＳ ゴシック" w:eastAsia="ＭＳ ゴシック" w:hAnsi="ＭＳ ゴシック"/>
          <w:b/>
        </w:rPr>
        <w:t>H 3</w:t>
      </w:r>
      <w:r w:rsidR="00C25C85" w:rsidRPr="00BC31E0">
        <w:rPr>
          <w:rFonts w:hint="eastAsia"/>
        </w:rPr>
        <w:t>)</w:t>
      </w:r>
    </w:p>
    <w:p w14:paraId="6F6C8BD3"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rPr>
            </m:ctrlPr>
          </m:sSubPr>
          <m:e>
            <m:r>
              <w:rPr>
                <w:rFonts w:ascii="Cambria Math" w:hAnsi="Cambria Math"/>
              </w:rPr>
              <m:t>A</m:t>
            </m:r>
          </m:e>
          <m:sub>
            <m:r>
              <w:rPr>
                <w:rFonts w:ascii="Cambria Math" w:hAnsi="Cambria Math"/>
              </w:rPr>
              <m:t>3b</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ascii="Cambria Math" w:hAnsi="Cambria Math"/>
        </w:rPr>
        <w:t>45°</w:t>
      </w:r>
      <w:r w:rsidR="00C25C85" w:rsidRPr="00BC31E0">
        <w:rPr>
          <w:rFonts w:hint="eastAsia"/>
        </w:rPr>
        <w:t>円すい面におけるハブの長手方向せん断断面積</w:t>
      </w:r>
      <w:r w:rsidR="00C25C85" w:rsidRPr="00BC31E0">
        <w:rPr>
          <w:rFonts w:hint="eastAsia"/>
        </w:rPr>
        <w:t>(</w:t>
      </w:r>
      <w:r w:rsidR="00C25C85" w:rsidRPr="00BC31E0">
        <w:rPr>
          <w:rFonts w:ascii="Cambria Math" w:hAnsi="Cambria Math"/>
        </w:rPr>
        <w:t>mm</w:t>
      </w:r>
      <w:r w:rsidR="00C25C85" w:rsidRPr="00BC31E0">
        <w:rPr>
          <w:rFonts w:ascii="Cambria Math" w:hAnsi="Cambria Math"/>
          <w:vertAlign w:val="superscript"/>
        </w:rPr>
        <w:t>2</w:t>
      </w:r>
      <w:r w:rsidR="00C25C85" w:rsidRPr="00BC31E0">
        <w:rPr>
          <w:rFonts w:hint="eastAsia"/>
        </w:rPr>
        <w:t xml:space="preserve">) </w:t>
      </w:r>
      <w:r w:rsidR="00C25C85" w:rsidRPr="00BC31E0">
        <w:t>(</w:t>
      </w:r>
      <w:r w:rsidR="00C25C85" w:rsidRPr="00BC31E0">
        <w:rPr>
          <w:rFonts w:ascii="ＭＳ ゴシック" w:eastAsia="ＭＳ ゴシック" w:hAnsi="ＭＳ ゴシック" w:hint="eastAsia"/>
          <w:b/>
        </w:rPr>
        <w:t>附属書</w:t>
      </w:r>
      <w:r w:rsidR="00C25C85" w:rsidRPr="00BC31E0">
        <w:rPr>
          <w:rFonts w:ascii="ＭＳ ゴシック" w:eastAsia="ＭＳ ゴシック" w:hAnsi="ＭＳ ゴシック"/>
          <w:b/>
        </w:rPr>
        <w:t>H 3</w:t>
      </w:r>
      <w:r w:rsidR="00C25C85" w:rsidRPr="00BC31E0">
        <w:rPr>
          <w:rFonts w:hint="eastAsia"/>
        </w:rPr>
        <w:t>)</w:t>
      </w:r>
    </w:p>
    <w:p w14:paraId="323D1CA8" w14:textId="77777777" w:rsidR="00C25C85" w:rsidRPr="00BC31E0" w:rsidRDefault="00A51873" w:rsidP="008234D1">
      <w:pPr>
        <w:tabs>
          <w:tab w:val="left" w:pos="1276"/>
        </w:tabs>
        <w:autoSpaceDE w:val="0"/>
        <w:autoSpaceDN w:val="0"/>
        <w:ind w:left="1588" w:hanging="1021"/>
        <w:rPr>
          <w:i/>
        </w:rPr>
      </w:pPr>
      <m:oMath>
        <m:sSub>
          <m:sSubPr>
            <m:ctrlPr>
              <w:rPr>
                <w:rFonts w:ascii="Cambria Math" w:hAnsi="Cambria Math"/>
              </w:rPr>
            </m:ctrlPr>
          </m:sSubPr>
          <m:e>
            <m:r>
              <w:rPr>
                <w:rFonts w:ascii="Cambria Math" w:hAnsi="Cambria Math"/>
              </w:rPr>
              <m:t>A</m:t>
            </m:r>
          </m:e>
          <m:sub>
            <m:r>
              <w:rPr>
                <w:rFonts w:ascii="Cambria Math" w:hAnsi="Cambria Math"/>
              </w:rPr>
              <m:t>5</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半径－周方向面における最小クランプ断面積</w:t>
      </w:r>
      <w:r w:rsidR="00C25C85" w:rsidRPr="00BC31E0">
        <w:rPr>
          <w:rFonts w:hint="eastAsia"/>
        </w:rPr>
        <w:t>(</w:t>
      </w:r>
      <w:r w:rsidR="00C25C85" w:rsidRPr="00BC31E0">
        <w:rPr>
          <w:rFonts w:ascii="Cambria Math" w:hAnsi="Cambria Math"/>
        </w:rPr>
        <w:t>mm</w:t>
      </w:r>
      <w:r w:rsidR="00C25C85" w:rsidRPr="00BC31E0">
        <w:rPr>
          <w:rFonts w:ascii="Cambria Math" w:hAnsi="Cambria Math"/>
          <w:vertAlign w:val="superscript"/>
        </w:rPr>
        <w:t>2</w:t>
      </w:r>
      <w:r w:rsidR="00C25C85" w:rsidRPr="00BC31E0">
        <w:rPr>
          <w:rFonts w:hint="eastAsia"/>
        </w:rPr>
        <w:t xml:space="preserve">) </w:t>
      </w:r>
      <w:r w:rsidR="00C25C85" w:rsidRPr="00BC31E0">
        <w:t>(</w:t>
      </w:r>
      <w:r w:rsidR="00C25C85" w:rsidRPr="00BC31E0">
        <w:rPr>
          <w:rFonts w:ascii="ＭＳ ゴシック" w:eastAsia="ＭＳ ゴシック" w:hAnsi="ＭＳ ゴシック" w:hint="eastAsia"/>
          <w:b/>
        </w:rPr>
        <w:t>附属書</w:t>
      </w:r>
      <w:r w:rsidR="00C25C85" w:rsidRPr="00BC31E0">
        <w:rPr>
          <w:rFonts w:ascii="ＭＳ ゴシック" w:eastAsia="ＭＳ ゴシック" w:hAnsi="ＭＳ ゴシック"/>
          <w:b/>
        </w:rPr>
        <w:t>H 3</w:t>
      </w:r>
      <w:r w:rsidR="00C25C85" w:rsidRPr="00BC31E0">
        <w:rPr>
          <w:rFonts w:hint="eastAsia"/>
        </w:rPr>
        <w:t>)</w:t>
      </w:r>
    </w:p>
    <w:p w14:paraId="6D812E5F" w14:textId="77777777" w:rsidR="00C25C85" w:rsidRPr="00BC31E0" w:rsidRDefault="00A51873" w:rsidP="008234D1">
      <w:pPr>
        <w:tabs>
          <w:tab w:val="left" w:pos="1276"/>
        </w:tabs>
        <w:autoSpaceDE w:val="0"/>
        <w:autoSpaceDN w:val="0"/>
        <w:ind w:left="1588" w:hanging="1021"/>
        <w:rPr>
          <w:i/>
        </w:rPr>
      </w:pPr>
      <m:oMath>
        <m:sSub>
          <m:sSubPr>
            <m:ctrlPr>
              <w:rPr>
                <w:rFonts w:ascii="Cambria Math" w:hAnsi="Cambria Math"/>
              </w:rPr>
            </m:ctrlPr>
          </m:sSubPr>
          <m:e>
            <m:r>
              <w:rPr>
                <w:rFonts w:ascii="Cambria Math" w:hAnsi="Cambria Math"/>
              </w:rPr>
              <m:t>A</m:t>
            </m:r>
          </m:e>
          <m:sub>
            <m:r>
              <w:rPr>
                <w:rFonts w:ascii="Cambria Math" w:hAnsi="Cambria Math"/>
              </w:rPr>
              <m:t>5b</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半径－周方向面におけるクランプボルト穴の総断面積</w:t>
      </w:r>
      <w:r w:rsidR="00C25C85" w:rsidRPr="00BC31E0">
        <w:rPr>
          <w:rFonts w:hint="eastAsia"/>
        </w:rPr>
        <w:t>(</w:t>
      </w:r>
      <w:r w:rsidR="00C25C85" w:rsidRPr="00BC31E0">
        <w:rPr>
          <w:rFonts w:ascii="Cambria Math" w:hAnsi="Cambria Math"/>
        </w:rPr>
        <w:t>mm</w:t>
      </w:r>
      <w:r w:rsidR="00C25C85" w:rsidRPr="00BC31E0">
        <w:rPr>
          <w:rFonts w:ascii="Cambria Math" w:hAnsi="Cambria Math"/>
          <w:vertAlign w:val="superscript"/>
        </w:rPr>
        <w:t>2</w:t>
      </w:r>
      <w:r w:rsidR="00C25C85" w:rsidRPr="00BC31E0">
        <w:rPr>
          <w:rFonts w:hint="eastAsia"/>
        </w:rPr>
        <w:t xml:space="preserve">) </w:t>
      </w:r>
      <w:r w:rsidR="00C25C85" w:rsidRPr="00BC31E0">
        <w:t>(</w:t>
      </w:r>
      <w:r w:rsidR="00C25C85" w:rsidRPr="00BC31E0">
        <w:rPr>
          <w:rFonts w:ascii="ＭＳ ゴシック" w:eastAsia="ＭＳ ゴシック" w:hAnsi="ＭＳ ゴシック" w:hint="eastAsia"/>
          <w:b/>
        </w:rPr>
        <w:t>附属書</w:t>
      </w:r>
      <w:r w:rsidR="00C25C85" w:rsidRPr="00BC31E0">
        <w:rPr>
          <w:rFonts w:ascii="ＭＳ ゴシック" w:eastAsia="ＭＳ ゴシック" w:hAnsi="ＭＳ ゴシック"/>
          <w:b/>
        </w:rPr>
        <w:t>H 3</w:t>
      </w:r>
      <w:r w:rsidR="00C25C85" w:rsidRPr="00BC31E0">
        <w:rPr>
          <w:rFonts w:hint="eastAsia"/>
        </w:rPr>
        <w:t>)</w:t>
      </w:r>
    </w:p>
    <w:p w14:paraId="0FDCEE72" w14:textId="77777777" w:rsidR="00C25C85" w:rsidRPr="00BC31E0" w:rsidRDefault="00A51873" w:rsidP="008234D1">
      <w:pPr>
        <w:tabs>
          <w:tab w:val="left" w:pos="1276"/>
        </w:tabs>
        <w:autoSpaceDE w:val="0"/>
        <w:autoSpaceDN w:val="0"/>
        <w:ind w:left="1588" w:hanging="1021"/>
        <w:rPr>
          <w:i/>
        </w:rPr>
      </w:pPr>
      <m:oMath>
        <m:sSub>
          <m:sSubPr>
            <m:ctrlPr>
              <w:rPr>
                <w:rFonts w:ascii="Cambria Math" w:hAnsi="Cambria Math"/>
              </w:rPr>
            </m:ctrlPr>
          </m:sSubPr>
          <m:e>
            <m:r>
              <w:rPr>
                <w:rFonts w:ascii="Cambria Math" w:hAnsi="Cambria Math"/>
              </w:rPr>
              <m:t>A</m:t>
            </m:r>
          </m:e>
          <m:sub>
            <m:r>
              <w:rPr>
                <w:rFonts w:ascii="Cambria Math" w:hAnsi="Cambria Math"/>
              </w:rPr>
              <m:t>5i</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半径－周方向面における個々のボルト穴の断面積</w:t>
      </w:r>
      <w:r w:rsidR="00C25C85" w:rsidRPr="00BC31E0">
        <w:rPr>
          <w:rFonts w:hint="eastAsia"/>
        </w:rPr>
        <w:t>(</w:t>
      </w:r>
      <w:r w:rsidR="00C25C85" w:rsidRPr="00BC31E0">
        <w:rPr>
          <w:rFonts w:ascii="Cambria Math" w:hAnsi="Cambria Math"/>
        </w:rPr>
        <w:t>mm</w:t>
      </w:r>
      <w:r w:rsidR="00C25C85" w:rsidRPr="00BC31E0">
        <w:rPr>
          <w:rFonts w:ascii="Cambria Math" w:hAnsi="Cambria Math"/>
          <w:vertAlign w:val="superscript"/>
        </w:rPr>
        <w:t>2</w:t>
      </w:r>
      <w:r w:rsidR="00C25C85" w:rsidRPr="00BC31E0">
        <w:rPr>
          <w:rFonts w:hint="eastAsia"/>
        </w:rPr>
        <w:t xml:space="preserve">) </w:t>
      </w:r>
      <w:r w:rsidR="00C25C85" w:rsidRPr="00BC31E0">
        <w:t>(</w:t>
      </w:r>
      <w:r w:rsidR="00C25C85" w:rsidRPr="00BC31E0">
        <w:rPr>
          <w:rFonts w:ascii="ＭＳ ゴシック" w:eastAsia="ＭＳ ゴシック" w:hAnsi="ＭＳ ゴシック" w:hint="eastAsia"/>
          <w:b/>
        </w:rPr>
        <w:t>附属書</w:t>
      </w:r>
      <w:r w:rsidR="00C25C85" w:rsidRPr="00BC31E0">
        <w:rPr>
          <w:rFonts w:ascii="ＭＳ ゴシック" w:eastAsia="ＭＳ ゴシック" w:hAnsi="ＭＳ ゴシック"/>
          <w:b/>
        </w:rPr>
        <w:t>H 3</w:t>
      </w:r>
      <w:r w:rsidR="00C25C85" w:rsidRPr="00BC31E0">
        <w:rPr>
          <w:rFonts w:hint="eastAsia"/>
        </w:rPr>
        <w:t>)</w:t>
      </w:r>
    </w:p>
    <w:p w14:paraId="29B44FAD" w14:textId="77777777" w:rsidR="00C25C85" w:rsidRPr="00BC31E0" w:rsidRDefault="00A51873" w:rsidP="008234D1">
      <w:pPr>
        <w:tabs>
          <w:tab w:val="left" w:pos="1276"/>
        </w:tabs>
        <w:autoSpaceDE w:val="0"/>
        <w:autoSpaceDN w:val="0"/>
        <w:ind w:left="1588" w:hanging="1021"/>
        <w:rPr>
          <w:i/>
        </w:rPr>
      </w:pPr>
      <m:oMath>
        <m:sSub>
          <m:sSubPr>
            <m:ctrlPr>
              <w:rPr>
                <w:rFonts w:ascii="Cambria Math" w:hAnsi="Cambria Math"/>
              </w:rPr>
            </m:ctrlPr>
          </m:sSubPr>
          <m:e>
            <m:r>
              <w:rPr>
                <w:rFonts w:ascii="Cambria Math" w:hAnsi="Cambria Math"/>
              </w:rPr>
              <m:t>A</m:t>
            </m:r>
          </m:e>
          <m:sub>
            <m:r>
              <w:rPr>
                <w:rFonts w:ascii="Cambria Math" w:hAnsi="Cambria Math"/>
              </w:rPr>
              <m:t>6</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半径－長手方向面の最小クランプ断面積</w:t>
      </w:r>
      <w:r w:rsidR="00C25C85" w:rsidRPr="00BC31E0">
        <w:rPr>
          <w:rFonts w:hint="eastAsia"/>
        </w:rPr>
        <w:t>(</w:t>
      </w:r>
      <w:r w:rsidR="00C25C85" w:rsidRPr="00BC31E0">
        <w:rPr>
          <w:rFonts w:ascii="Cambria Math" w:hAnsi="Cambria Math"/>
        </w:rPr>
        <w:t>mm</w:t>
      </w:r>
      <w:r w:rsidR="00C25C85" w:rsidRPr="00BC31E0">
        <w:rPr>
          <w:rFonts w:ascii="Cambria Math" w:hAnsi="Cambria Math"/>
          <w:vertAlign w:val="superscript"/>
        </w:rPr>
        <w:t>2</w:t>
      </w:r>
      <w:r w:rsidR="00C25C85" w:rsidRPr="00BC31E0">
        <w:rPr>
          <w:rFonts w:hint="eastAsia"/>
        </w:rPr>
        <w:t xml:space="preserve">) </w:t>
      </w:r>
      <w:r w:rsidR="00C25C85" w:rsidRPr="00BC31E0">
        <w:t>(</w:t>
      </w:r>
      <w:r w:rsidR="00C25C85" w:rsidRPr="00BC31E0">
        <w:rPr>
          <w:rFonts w:ascii="ＭＳ ゴシック" w:eastAsia="ＭＳ ゴシック" w:hAnsi="ＭＳ ゴシック" w:hint="eastAsia"/>
          <w:b/>
        </w:rPr>
        <w:t>附属書</w:t>
      </w:r>
      <w:r w:rsidR="00C25C85" w:rsidRPr="00BC31E0">
        <w:rPr>
          <w:rFonts w:ascii="ＭＳ ゴシック" w:eastAsia="ＭＳ ゴシック" w:hAnsi="ＭＳ ゴシック"/>
          <w:b/>
        </w:rPr>
        <w:t>H 3</w:t>
      </w:r>
      <w:r w:rsidR="00C25C85" w:rsidRPr="00BC31E0">
        <w:rPr>
          <w:rFonts w:hint="eastAsia"/>
        </w:rPr>
        <w:t>)</w:t>
      </w:r>
    </w:p>
    <w:p w14:paraId="05616589"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rPr>
            </m:ctrlPr>
          </m:sSubPr>
          <m:e>
            <m:r>
              <w:rPr>
                <w:rFonts w:ascii="Cambria Math" w:hAnsi="Cambria Math"/>
              </w:rPr>
              <m:t>A</m:t>
            </m:r>
          </m:e>
          <m:sub>
            <m:r>
              <w:rPr>
                <w:rFonts w:ascii="Cambria Math" w:hAnsi="Cambria Math"/>
              </w:rPr>
              <m:t>6b</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半径－長手方向面におけるクランプボルト穴の総断面積</w:t>
      </w:r>
      <w:r w:rsidR="00C25C85" w:rsidRPr="00BC31E0">
        <w:rPr>
          <w:rFonts w:hint="eastAsia"/>
        </w:rPr>
        <w:t>(</w:t>
      </w:r>
      <w:r w:rsidR="00C25C85" w:rsidRPr="00BC31E0">
        <w:rPr>
          <w:rFonts w:ascii="Cambria Math" w:hAnsi="Cambria Math"/>
        </w:rPr>
        <w:t>mm</w:t>
      </w:r>
      <w:r w:rsidR="00C25C85" w:rsidRPr="00BC31E0">
        <w:rPr>
          <w:rFonts w:ascii="Cambria Math" w:hAnsi="Cambria Math"/>
          <w:vertAlign w:val="superscript"/>
        </w:rPr>
        <w:t>2</w:t>
      </w:r>
      <w:r w:rsidR="00C25C85" w:rsidRPr="00BC31E0">
        <w:rPr>
          <w:rFonts w:hint="eastAsia"/>
        </w:rPr>
        <w:t xml:space="preserve">) </w:t>
      </w:r>
      <w:r w:rsidR="00C25C85" w:rsidRPr="00BC31E0">
        <w:t>(</w:t>
      </w:r>
      <w:r w:rsidR="00C25C85" w:rsidRPr="00BC31E0">
        <w:rPr>
          <w:rFonts w:ascii="ＭＳ ゴシック" w:eastAsia="ＭＳ ゴシック" w:hAnsi="ＭＳ ゴシック" w:hint="eastAsia"/>
          <w:b/>
        </w:rPr>
        <w:t>附属書</w:t>
      </w:r>
      <w:r w:rsidR="00C25C85" w:rsidRPr="00BC31E0">
        <w:rPr>
          <w:rFonts w:ascii="ＭＳ ゴシック" w:eastAsia="ＭＳ ゴシック" w:hAnsi="ＭＳ ゴシック"/>
          <w:b/>
        </w:rPr>
        <w:t>H 3</w:t>
      </w:r>
      <w:r w:rsidR="00C25C85" w:rsidRPr="00BC31E0">
        <w:rPr>
          <w:rFonts w:hint="eastAsia"/>
        </w:rPr>
        <w:t>)</w:t>
      </w:r>
    </w:p>
    <w:p w14:paraId="0480E967"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rPr>
            </m:ctrlPr>
          </m:sSubPr>
          <m:e>
            <m:r>
              <w:rPr>
                <w:rFonts w:ascii="Cambria Math" w:hAnsi="Cambria Math"/>
              </w:rPr>
              <m:t>A</m:t>
            </m:r>
          </m:e>
          <m:sub>
            <m:r>
              <w:rPr>
                <w:rFonts w:ascii="Cambria Math" w:hAnsi="Cambria Math"/>
              </w:rPr>
              <m:t>6i</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半径－長手方向面における個々のボルト穴の断面積</w:t>
      </w:r>
      <w:r w:rsidR="00C25C85" w:rsidRPr="00BC31E0">
        <w:rPr>
          <w:rFonts w:hint="eastAsia"/>
        </w:rPr>
        <w:t>(</w:t>
      </w:r>
      <w:r w:rsidR="00C25C85" w:rsidRPr="00BC31E0">
        <w:rPr>
          <w:rFonts w:ascii="Cambria Math" w:hAnsi="Cambria Math"/>
        </w:rPr>
        <w:t>mm</w:t>
      </w:r>
      <w:r w:rsidR="00C25C85" w:rsidRPr="00BC31E0">
        <w:rPr>
          <w:rFonts w:ascii="Cambria Math" w:hAnsi="Cambria Math"/>
          <w:vertAlign w:val="superscript"/>
        </w:rPr>
        <w:t>2</w:t>
      </w:r>
      <w:r w:rsidR="00C25C85" w:rsidRPr="00BC31E0">
        <w:rPr>
          <w:rFonts w:hint="eastAsia"/>
        </w:rPr>
        <w:t xml:space="preserve">) </w:t>
      </w:r>
      <w:r w:rsidR="00C25C85" w:rsidRPr="00BC31E0">
        <w:t>(</w:t>
      </w:r>
      <w:r w:rsidR="00C25C85" w:rsidRPr="00BC31E0">
        <w:rPr>
          <w:rFonts w:ascii="ＭＳ ゴシック" w:eastAsia="ＭＳ ゴシック" w:hAnsi="ＭＳ ゴシック" w:hint="eastAsia"/>
          <w:b/>
        </w:rPr>
        <w:t>附属書</w:t>
      </w:r>
      <w:r w:rsidR="00C25C85" w:rsidRPr="00BC31E0">
        <w:rPr>
          <w:rFonts w:ascii="ＭＳ ゴシック" w:eastAsia="ＭＳ ゴシック" w:hAnsi="ＭＳ ゴシック"/>
          <w:b/>
        </w:rPr>
        <w:t>H 3</w:t>
      </w:r>
      <w:r w:rsidR="00C25C85" w:rsidRPr="00BC31E0">
        <w:rPr>
          <w:rFonts w:hint="eastAsia"/>
        </w:rPr>
        <w:t>)</w:t>
      </w:r>
    </w:p>
    <w:p w14:paraId="6086C379"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rPr>
            </m:ctrlPr>
          </m:sSubPr>
          <m:e>
            <m:r>
              <w:rPr>
                <w:rFonts w:ascii="Cambria Math" w:hAnsi="Cambria Math"/>
              </w:rPr>
              <m:t>A</m:t>
            </m:r>
          </m:e>
          <m:sub>
            <m:r>
              <w:rPr>
                <w:rFonts w:ascii="Cambria Math" w:hAnsi="Cambria Math"/>
              </w:rPr>
              <m:t>7</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クランプリップの長手方向せん断断面積で，</w:t>
      </w:r>
      <m:oMath>
        <m:sSub>
          <m:sSubPr>
            <m:ctrlPr>
              <w:rPr>
                <w:rFonts w:ascii="Cambria Math" w:hAnsi="Cambria Math"/>
              </w:rPr>
            </m:ctrlPr>
          </m:sSubPr>
          <m:e>
            <m:r>
              <w:rPr>
                <w:rFonts w:ascii="Cambria Math" w:hAnsi="Cambria Math"/>
              </w:rPr>
              <m:t>A</m:t>
            </m:r>
          </m:e>
          <m:sub>
            <m:r>
              <w:rPr>
                <w:rFonts w:ascii="Cambria Math" w:hAnsi="Cambria Math"/>
              </w:rPr>
              <m:t>7a</m:t>
            </m:r>
          </m:sub>
        </m:sSub>
      </m:oMath>
      <w:r w:rsidR="00C25C85" w:rsidRPr="00BC31E0">
        <w:rPr>
          <w:rFonts w:hint="eastAsia"/>
        </w:rPr>
        <w:t>と</w:t>
      </w:r>
      <m:oMath>
        <m:sSub>
          <m:sSubPr>
            <m:ctrlPr>
              <w:rPr>
                <w:rFonts w:ascii="Cambria Math" w:hAnsi="Cambria Math"/>
              </w:rPr>
            </m:ctrlPr>
          </m:sSubPr>
          <m:e>
            <m:r>
              <w:rPr>
                <w:rFonts w:ascii="Cambria Math" w:hAnsi="Cambria Math"/>
              </w:rPr>
              <m:t>A</m:t>
            </m:r>
          </m:e>
          <m:sub>
            <m:r>
              <w:rPr>
                <w:rFonts w:ascii="Cambria Math" w:hAnsi="Cambria Math"/>
              </w:rPr>
              <m:t>7b</m:t>
            </m:r>
          </m:sub>
        </m:sSub>
      </m:oMath>
      <w:r w:rsidR="00C25C85" w:rsidRPr="00BC31E0">
        <w:rPr>
          <w:rFonts w:hint="eastAsia"/>
        </w:rPr>
        <w:t>の小さい方の値</w:t>
      </w:r>
      <w:r w:rsidR="00C25C85" w:rsidRPr="00BC31E0">
        <w:rPr>
          <w:rFonts w:hint="eastAsia"/>
        </w:rPr>
        <w:t>(</w:t>
      </w:r>
      <w:r w:rsidR="00C25C85" w:rsidRPr="00BC31E0">
        <w:rPr>
          <w:rFonts w:ascii="Cambria Math" w:hAnsi="Cambria Math"/>
        </w:rPr>
        <w:t>mm</w:t>
      </w:r>
      <w:r w:rsidR="00C25C85" w:rsidRPr="00BC31E0">
        <w:rPr>
          <w:rFonts w:ascii="Cambria Math" w:hAnsi="Cambria Math"/>
          <w:vertAlign w:val="superscript"/>
        </w:rPr>
        <w:t>2</w:t>
      </w:r>
      <w:r w:rsidR="00C25C85" w:rsidRPr="00BC31E0">
        <w:rPr>
          <w:rFonts w:hint="eastAsia"/>
        </w:rPr>
        <w:t xml:space="preserve">) </w:t>
      </w:r>
      <w:r w:rsidR="00C25C85" w:rsidRPr="00BC31E0">
        <w:t>(</w:t>
      </w:r>
      <w:r w:rsidR="00C25C85" w:rsidRPr="00BC31E0">
        <w:rPr>
          <w:rFonts w:ascii="ＭＳ ゴシック" w:eastAsia="ＭＳ ゴシック" w:hAnsi="ＭＳ ゴシック" w:hint="eastAsia"/>
          <w:b/>
        </w:rPr>
        <w:t>附</w:t>
      </w:r>
      <w:r w:rsidR="00C25C85" w:rsidRPr="00BC31E0">
        <w:rPr>
          <w:rFonts w:ascii="ＭＳ ゴシック" w:eastAsia="ＭＳ ゴシック" w:hAnsi="ＭＳ ゴシック" w:hint="eastAsia"/>
          <w:b/>
        </w:rPr>
        <w:lastRenderedPageBreak/>
        <w:t>属書</w:t>
      </w:r>
      <w:r w:rsidR="00C25C85" w:rsidRPr="00BC31E0">
        <w:rPr>
          <w:rFonts w:ascii="ＭＳ ゴシック" w:eastAsia="ＭＳ ゴシック" w:hAnsi="ＭＳ ゴシック"/>
          <w:b/>
        </w:rPr>
        <w:t>H 3</w:t>
      </w:r>
      <w:r w:rsidR="00C25C85" w:rsidRPr="00BC31E0">
        <w:rPr>
          <w:rFonts w:hint="eastAsia"/>
        </w:rPr>
        <w:t>)</w:t>
      </w:r>
    </w:p>
    <w:p w14:paraId="2D05D57F"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rPr>
            </m:ctrlPr>
          </m:sSubPr>
          <m:e>
            <m:r>
              <w:rPr>
                <w:rFonts w:ascii="Cambria Math" w:hAnsi="Cambria Math"/>
              </w:rPr>
              <m:t>A</m:t>
            </m:r>
          </m:e>
          <m:sub>
            <m:r>
              <w:rPr>
                <w:rFonts w:ascii="Cambria Math" w:hAnsi="Cambria Math"/>
              </w:rPr>
              <m:t>7a</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周－長手方向面における直せん断面のクランプリップの長手方向せん断面積</w:t>
      </w:r>
      <w:r w:rsidR="00C25C85" w:rsidRPr="00BC31E0">
        <w:rPr>
          <w:rFonts w:hint="eastAsia"/>
        </w:rPr>
        <w:t>(</w:t>
      </w:r>
      <w:r w:rsidR="00C25C85" w:rsidRPr="00BC31E0">
        <w:rPr>
          <w:rFonts w:ascii="Cambria Math" w:hAnsi="Cambria Math"/>
        </w:rPr>
        <w:t>mm</w:t>
      </w:r>
      <w:r w:rsidR="00C25C85" w:rsidRPr="00BC31E0">
        <w:rPr>
          <w:rFonts w:ascii="Cambria Math" w:hAnsi="Cambria Math"/>
          <w:vertAlign w:val="superscript"/>
        </w:rPr>
        <w:t>2</w:t>
      </w:r>
      <w:r w:rsidR="00C25C85" w:rsidRPr="00BC31E0">
        <w:rPr>
          <w:rFonts w:hint="eastAsia"/>
        </w:rPr>
        <w:t xml:space="preserve">) </w:t>
      </w:r>
      <w:r w:rsidR="00C25C85" w:rsidRPr="00BC31E0">
        <w:t>(</w:t>
      </w:r>
      <w:r w:rsidR="00C25C85" w:rsidRPr="00BC31E0">
        <w:rPr>
          <w:rFonts w:ascii="ＭＳ ゴシック" w:eastAsia="ＭＳ ゴシック" w:hAnsi="ＭＳ ゴシック" w:hint="eastAsia"/>
          <w:b/>
        </w:rPr>
        <w:t>附属書</w:t>
      </w:r>
      <w:r w:rsidR="00C25C85" w:rsidRPr="00BC31E0">
        <w:rPr>
          <w:rFonts w:ascii="ＭＳ ゴシック" w:eastAsia="ＭＳ ゴシック" w:hAnsi="ＭＳ ゴシック"/>
          <w:b/>
        </w:rPr>
        <w:t>H 3</w:t>
      </w:r>
      <w:r w:rsidR="00C25C85" w:rsidRPr="00BC31E0">
        <w:rPr>
          <w:rFonts w:hint="eastAsia"/>
        </w:rPr>
        <w:t>)</w:t>
      </w:r>
    </w:p>
    <w:p w14:paraId="53DC2920"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rPr>
            </m:ctrlPr>
          </m:sSubPr>
          <m:e>
            <m:r>
              <w:rPr>
                <w:rFonts w:ascii="Cambria Math" w:hAnsi="Cambria Math"/>
              </w:rPr>
              <m:t>A</m:t>
            </m:r>
          </m:e>
          <m:sub>
            <m:r>
              <w:rPr>
                <w:rFonts w:ascii="Cambria Math" w:hAnsi="Cambria Math"/>
              </w:rPr>
              <m:t>7b</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ascii="Cambria Math" w:hAnsi="Cambria Math"/>
        </w:rPr>
        <w:t>45°</w:t>
      </w:r>
      <w:r w:rsidR="00C25C85" w:rsidRPr="00BC31E0">
        <w:rPr>
          <w:rFonts w:hint="eastAsia"/>
        </w:rPr>
        <w:t>円すい面におけるクランプリップの長手方向せん断面積</w:t>
      </w:r>
      <w:r w:rsidR="00C25C85" w:rsidRPr="00BC31E0">
        <w:rPr>
          <w:rFonts w:hint="eastAsia"/>
        </w:rPr>
        <w:t>(</w:t>
      </w:r>
      <w:r w:rsidR="00C25C85" w:rsidRPr="00BC31E0">
        <w:rPr>
          <w:rFonts w:ascii="Cambria Math" w:hAnsi="Cambria Math"/>
        </w:rPr>
        <w:t>mm</w:t>
      </w:r>
      <w:r w:rsidR="00C25C85" w:rsidRPr="00BC31E0">
        <w:rPr>
          <w:rFonts w:ascii="Cambria Math" w:hAnsi="Cambria Math"/>
          <w:vertAlign w:val="superscript"/>
        </w:rPr>
        <w:t>2</w:t>
      </w:r>
      <w:r w:rsidR="00C25C85" w:rsidRPr="00BC31E0">
        <w:rPr>
          <w:rFonts w:hint="eastAsia"/>
        </w:rPr>
        <w:t xml:space="preserve">) </w:t>
      </w:r>
      <w:r w:rsidR="00C25C85" w:rsidRPr="00BC31E0">
        <w:t>(</w:t>
      </w:r>
      <w:r w:rsidR="00C25C85" w:rsidRPr="00BC31E0">
        <w:rPr>
          <w:rFonts w:ascii="ＭＳ ゴシック" w:eastAsia="ＭＳ ゴシック" w:hAnsi="ＭＳ ゴシック" w:hint="eastAsia"/>
          <w:b/>
        </w:rPr>
        <w:t>附属書</w:t>
      </w:r>
      <w:r w:rsidR="00C25C85" w:rsidRPr="00BC31E0">
        <w:rPr>
          <w:rFonts w:ascii="ＭＳ ゴシック" w:eastAsia="ＭＳ ゴシック" w:hAnsi="ＭＳ ゴシック"/>
          <w:b/>
        </w:rPr>
        <w:t>H 3</w:t>
      </w:r>
      <w:r w:rsidR="00C25C85" w:rsidRPr="00BC31E0">
        <w:rPr>
          <w:rFonts w:hint="eastAsia"/>
        </w:rPr>
        <w:t>)</w:t>
      </w:r>
    </w:p>
    <w:p w14:paraId="40228F1C" w14:textId="77777777" w:rsidR="00C25C85" w:rsidRPr="00BC31E0" w:rsidRDefault="00C25C85" w:rsidP="008234D1">
      <w:pPr>
        <w:tabs>
          <w:tab w:val="left" w:pos="1276"/>
        </w:tabs>
        <w:autoSpaceDE w:val="0"/>
        <w:autoSpaceDN w:val="0"/>
        <w:ind w:left="1588" w:hanging="1021"/>
      </w:pPr>
      <m:oMath>
        <m:r>
          <w:rPr>
            <w:rFonts w:ascii="Cambria Math" w:hAnsi="Cambria Math"/>
            <w:szCs w:val="24"/>
          </w:rPr>
          <m:t>a</m:t>
        </m:r>
      </m:oMath>
      <w:r w:rsidRPr="00BC31E0">
        <w:tab/>
      </w:r>
      <w:r w:rsidRPr="00BC31E0">
        <w:rPr>
          <w:rFonts w:hint="eastAsia"/>
        </w:rPr>
        <w:t>：</w:t>
      </w:r>
      <w:r w:rsidRPr="00BC31E0">
        <w:rPr>
          <w:rFonts w:hint="eastAsia"/>
        </w:rPr>
        <w:t xml:space="preserve"> </w:t>
      </w:r>
      <w:r w:rsidRPr="00BC31E0">
        <w:rPr>
          <w:rFonts w:hint="eastAsia"/>
        </w:rPr>
        <w:t>亀裂深さ</w:t>
      </w:r>
      <w:r w:rsidRPr="00BC31E0">
        <w:rPr>
          <w:rFonts w:hint="eastAsia"/>
        </w:rPr>
        <w:t>(</w:t>
      </w:r>
      <w:r w:rsidRPr="00BC31E0">
        <w:rPr>
          <w:rFonts w:ascii="Cambria Math" w:hAnsi="Cambria Math"/>
        </w:rPr>
        <w:t>m</w:t>
      </w:r>
      <w:r w:rsidRPr="00BC31E0">
        <w:rPr>
          <w:rFonts w:hint="eastAsia"/>
        </w:rPr>
        <w:t xml:space="preserve">) </w:t>
      </w:r>
      <w:r w:rsidRPr="00BC31E0">
        <w:t>(</w:t>
      </w:r>
      <w:r w:rsidRPr="00BC31E0">
        <w:rPr>
          <w:rFonts w:ascii="ＭＳ ゴシック" w:eastAsia="ＭＳ ゴシック" w:hAnsi="ＭＳ ゴシック" w:hint="eastAsia"/>
          <w:b/>
        </w:rPr>
        <w:t>附属書</w:t>
      </w:r>
      <w:r w:rsidRPr="00BC31E0">
        <w:rPr>
          <w:rFonts w:ascii="ＭＳ ゴシック" w:eastAsia="ＭＳ ゴシック"/>
          <w:b/>
        </w:rPr>
        <w:t>C</w:t>
      </w:r>
      <w:r w:rsidRPr="00BC31E0">
        <w:rPr>
          <w:rFonts w:ascii="ＭＳ ゴシック" w:eastAsia="ＭＳ ゴシック" w:hint="eastAsia"/>
          <w:b/>
        </w:rPr>
        <w:t xml:space="preserve"> </w:t>
      </w:r>
      <w:r w:rsidRPr="00BC31E0">
        <w:rPr>
          <w:rFonts w:ascii="ＭＳ ゴシック" w:eastAsia="ＭＳ ゴシック"/>
          <w:b/>
        </w:rPr>
        <w:t>3</w:t>
      </w:r>
      <w:r w:rsidRPr="00BC31E0">
        <w:rPr>
          <w:rFonts w:ascii="ＭＳ ゴシック" w:hAnsi="ＭＳ ゴシック" w:hint="eastAsia"/>
        </w:rPr>
        <w:t>，</w:t>
      </w:r>
      <w:r w:rsidRPr="00BC31E0">
        <w:rPr>
          <w:rFonts w:ascii="ＭＳ ゴシック" w:eastAsia="ＭＳ ゴシック" w:hAnsi="ＭＳ ゴシック" w:hint="eastAsia"/>
          <w:b/>
        </w:rPr>
        <w:t>附属書</w:t>
      </w:r>
      <w:r w:rsidRPr="00BC31E0">
        <w:rPr>
          <w:rFonts w:ascii="ＭＳ ゴシック" w:eastAsia="ＭＳ ゴシック"/>
          <w:b/>
        </w:rPr>
        <w:t>C</w:t>
      </w:r>
      <w:r w:rsidRPr="00BC31E0">
        <w:rPr>
          <w:rFonts w:ascii="ＭＳ ゴシック" w:eastAsia="ＭＳ ゴシック" w:hint="eastAsia"/>
          <w:b/>
        </w:rPr>
        <w:t xml:space="preserve"> </w:t>
      </w:r>
      <w:r w:rsidRPr="00BC31E0">
        <w:rPr>
          <w:rFonts w:ascii="ＭＳ ゴシック" w:eastAsia="ＭＳ ゴシック"/>
          <w:b/>
        </w:rPr>
        <w:t>4</w:t>
      </w:r>
      <w:r w:rsidRPr="00BC31E0">
        <w:rPr>
          <w:rFonts w:ascii="ＭＳ ゴシック" w:eastAsia="ＭＳ ゴシック" w:hint="eastAsia"/>
          <w:b/>
        </w:rPr>
        <w:t>，6.13.3</w:t>
      </w:r>
      <w:r w:rsidRPr="00BC31E0">
        <w:rPr>
          <w:rFonts w:hint="eastAsia"/>
        </w:rPr>
        <w:t>)</w:t>
      </w:r>
    </w:p>
    <w:p w14:paraId="08D900E3" w14:textId="77777777" w:rsidR="00C25C85" w:rsidRPr="00BC31E0" w:rsidRDefault="00C25C85" w:rsidP="008234D1">
      <w:pPr>
        <w:tabs>
          <w:tab w:val="left" w:pos="1276"/>
        </w:tabs>
        <w:autoSpaceDE w:val="0"/>
        <w:autoSpaceDN w:val="0"/>
        <w:ind w:left="1588" w:hanging="1021"/>
      </w:pPr>
      <w:r w:rsidRPr="00BC31E0">
        <w:rPr>
          <w:rFonts w:hint="eastAsia"/>
        </w:rPr>
        <w:tab/>
      </w:r>
      <w:r w:rsidRPr="00BC31E0">
        <w:rPr>
          <w:rFonts w:hint="eastAsia"/>
        </w:rPr>
        <w:t>：</w:t>
      </w:r>
      <w:r w:rsidRPr="00BC31E0">
        <w:rPr>
          <w:rFonts w:hint="eastAsia"/>
        </w:rPr>
        <w:t xml:space="preserve"> </w:t>
      </w:r>
      <w:r w:rsidRPr="00BC31E0">
        <w:rPr>
          <w:rFonts w:hint="eastAsia"/>
        </w:rPr>
        <w:t>表面きずのきず高さ又は内部きずではきず高さの</w:t>
      </w:r>
      <m:oMath>
        <m:f>
          <m:fPr>
            <m:type m:val="lin"/>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BC31E0">
        <w:rPr>
          <w:rFonts w:hint="eastAsia"/>
        </w:rPr>
        <w:t>(</w:t>
      </w:r>
      <w:r w:rsidRPr="00BC31E0">
        <w:rPr>
          <w:rFonts w:ascii="Cambria Math" w:hAnsi="Cambria Math"/>
        </w:rPr>
        <w:t>mm</w:t>
      </w:r>
      <w:r w:rsidRPr="00BC31E0">
        <w:rPr>
          <w:rFonts w:hint="eastAsia"/>
        </w:rPr>
        <w:t>) (</w:t>
      </w:r>
      <w:r w:rsidRPr="00BC31E0">
        <w:rPr>
          <w:rFonts w:asciiTheme="majorEastAsia" w:eastAsiaTheme="majorEastAsia" w:hAnsiTheme="majorEastAsia" w:hint="eastAsia"/>
          <w:b/>
        </w:rPr>
        <w:t>9.3.6</w:t>
      </w:r>
      <w:r w:rsidRPr="00BC31E0">
        <w:rPr>
          <w:rFonts w:hint="eastAsia"/>
        </w:rPr>
        <w:t>)</w:t>
      </w:r>
    </w:p>
    <w:bookmarkStart w:id="126" w:name="_Hlk59795554"/>
    <w:p w14:paraId="0803C488"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a</m:t>
            </m:r>
          </m:e>
          <m:sub>
            <m:r>
              <w:rPr>
                <w:rFonts w:ascii="Cambria Math" w:hAnsi="Cambria Math" w:hint="eastAsia"/>
                <w:szCs w:val="24"/>
              </w:rPr>
              <m:t>e</m:t>
            </m:r>
          </m:sub>
        </m:sSub>
      </m:oMath>
      <w:r w:rsidR="00C25C85" w:rsidRPr="00BC31E0">
        <w:tab/>
      </w:r>
      <w:r w:rsidR="00C25C85" w:rsidRPr="00BC31E0">
        <w:rPr>
          <w:rFonts w:hint="eastAsia"/>
        </w:rPr>
        <w:t>：</w:t>
      </w:r>
      <w:r w:rsidR="00C25C85" w:rsidRPr="00BC31E0">
        <w:rPr>
          <w:rFonts w:hint="eastAsia"/>
        </w:rPr>
        <w:t xml:space="preserve"> </w:t>
      </w:r>
      <w:r w:rsidR="00C25C85" w:rsidRPr="00BC31E0">
        <w:rPr>
          <w:rFonts w:hint="eastAsia"/>
        </w:rPr>
        <w:t>内部きずの許容きず高さの</w:t>
      </w:r>
      <w:r w:rsidR="00C25C85" w:rsidRPr="00BC31E0">
        <w:rPr>
          <w:rFonts w:ascii="Cambria Math" w:eastAsia="ＭＳ ゴシック" w:hAnsi="Cambria Math"/>
        </w:rPr>
        <w:t>1/2</w:t>
      </w:r>
      <w:r w:rsidR="00C25C85" w:rsidRPr="00BC31E0">
        <w:rPr>
          <w:rFonts w:ascii="Cambria Math" w:eastAsia="ＭＳ ゴシック" w:hAnsi="Cambria Math" w:hint="eastAsia"/>
        </w:rPr>
        <w:t xml:space="preserve"> </w:t>
      </w:r>
      <w:r w:rsidR="00C25C85" w:rsidRPr="00BC31E0">
        <w:rPr>
          <w:rFonts w:hint="eastAsia"/>
        </w:rPr>
        <w:t>(</w:t>
      </w:r>
      <w:r w:rsidR="00C25C85" w:rsidRPr="00BC31E0">
        <w:rPr>
          <w:rFonts w:ascii="Cambria Math" w:hAnsi="Cambria Math"/>
        </w:rPr>
        <w:t>mm</w:t>
      </w:r>
      <w:r w:rsidR="00C25C85" w:rsidRPr="00BC31E0">
        <w:rPr>
          <w:rFonts w:hint="eastAsia"/>
        </w:rPr>
        <w:t xml:space="preserve">) </w:t>
      </w:r>
      <w:r w:rsidR="00C25C85" w:rsidRPr="00BC31E0">
        <w:t>(</w:t>
      </w:r>
      <w:r w:rsidR="00C25C85" w:rsidRPr="00BC31E0">
        <w:rPr>
          <w:rFonts w:ascii="ＭＳ ゴシック" w:eastAsia="ＭＳ ゴシック" w:hAnsi="ＭＳ ゴシック" w:hint="eastAsia"/>
          <w:b/>
        </w:rPr>
        <w:t>9.3.6</w:t>
      </w:r>
      <w:r w:rsidR="00C25C85" w:rsidRPr="00BC31E0">
        <w:rPr>
          <w:rFonts w:hint="eastAsia"/>
        </w:rPr>
        <w:t>)</w:t>
      </w:r>
    </w:p>
    <w:bookmarkEnd w:id="126"/>
    <w:p w14:paraId="13975480"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a</m:t>
            </m:r>
          </m:e>
          <m:sub>
            <m:r>
              <w:rPr>
                <w:rFonts w:ascii="Cambria Math" w:hAnsi="Cambria Math" w:hint="eastAsia"/>
                <w:szCs w:val="24"/>
              </w:rPr>
              <m:t>s</m:t>
            </m:r>
          </m:sub>
        </m:sSub>
      </m:oMath>
      <w:r w:rsidR="00C25C85" w:rsidRPr="00BC31E0">
        <w:tab/>
      </w:r>
      <w:r w:rsidR="00C25C85" w:rsidRPr="00BC31E0">
        <w:rPr>
          <w:rFonts w:hint="eastAsia"/>
        </w:rPr>
        <w:t>：</w:t>
      </w:r>
      <w:r w:rsidR="00C25C85" w:rsidRPr="00BC31E0">
        <w:rPr>
          <w:rFonts w:hint="eastAsia"/>
        </w:rPr>
        <w:t xml:space="preserve"> </w:t>
      </w:r>
      <w:r w:rsidR="00C25C85" w:rsidRPr="00BC31E0">
        <w:rPr>
          <w:rFonts w:hint="eastAsia"/>
        </w:rPr>
        <w:t>表面きずの許容きず高さ</w:t>
      </w:r>
      <w:r w:rsidR="00C25C85" w:rsidRPr="00BC31E0">
        <w:rPr>
          <w:rFonts w:hint="eastAsia"/>
        </w:rPr>
        <w:t>(</w:t>
      </w:r>
      <w:r w:rsidR="00C25C85" w:rsidRPr="00BC31E0">
        <w:rPr>
          <w:rFonts w:ascii="Cambria Math" w:hAnsi="Cambria Math"/>
        </w:rPr>
        <w:t>mm</w:t>
      </w:r>
      <w:r w:rsidR="00C25C85" w:rsidRPr="00BC31E0">
        <w:rPr>
          <w:rFonts w:hint="eastAsia"/>
        </w:rPr>
        <w:t xml:space="preserve">) </w:t>
      </w:r>
      <w:r w:rsidR="00C25C85" w:rsidRPr="00BC31E0">
        <w:t>(</w:t>
      </w:r>
      <w:r w:rsidR="00C25C85" w:rsidRPr="00BC31E0">
        <w:rPr>
          <w:rFonts w:ascii="ＭＳ ゴシック" w:eastAsia="ＭＳ ゴシック" w:hAnsi="ＭＳ ゴシック" w:hint="eastAsia"/>
          <w:b/>
        </w:rPr>
        <w:t>9.3.6</w:t>
      </w:r>
      <w:r w:rsidR="00C25C85" w:rsidRPr="00BC31E0">
        <w:rPr>
          <w:rFonts w:hint="eastAsia"/>
        </w:rPr>
        <w:t>)</w:t>
      </w:r>
    </w:p>
    <w:p w14:paraId="2F9163BB" w14:textId="77777777" w:rsidR="00C25C85" w:rsidRPr="00BC31E0" w:rsidRDefault="00C25C85" w:rsidP="008234D1">
      <w:pPr>
        <w:tabs>
          <w:tab w:val="left" w:pos="1276"/>
        </w:tabs>
        <w:autoSpaceDE w:val="0"/>
        <w:autoSpaceDN w:val="0"/>
        <w:ind w:left="1588" w:hanging="1021"/>
      </w:pPr>
      <w:bookmarkStart w:id="127" w:name="_Hlk59795398"/>
      <m:oMath>
        <m:r>
          <w:rPr>
            <w:rFonts w:ascii="Cambria Math" w:hAnsi="Cambria Math"/>
            <w:szCs w:val="24"/>
          </w:rPr>
          <m:t>B</m:t>
        </m:r>
      </m:oMath>
      <w:r w:rsidRPr="00BC31E0">
        <w:tab/>
      </w:r>
      <w:r w:rsidRPr="00BC31E0">
        <w:rPr>
          <w:rFonts w:hint="eastAsia"/>
        </w:rPr>
        <w:t>：</w:t>
      </w:r>
      <w:r w:rsidRPr="00BC31E0">
        <w:rPr>
          <w:rFonts w:hint="eastAsia"/>
        </w:rPr>
        <w:t xml:space="preserve"> </w:t>
      </w:r>
      <w:r w:rsidRPr="00BC31E0">
        <w:rPr>
          <w:rFonts w:hint="eastAsia"/>
        </w:rPr>
        <w:t>外圧チャート縦軸の応力</w:t>
      </w:r>
      <w:r w:rsidRPr="00BC31E0">
        <w:rPr>
          <w:rFonts w:hint="eastAsia"/>
        </w:rPr>
        <w:t>(</w:t>
      </w:r>
      <w:r w:rsidRPr="00BC31E0">
        <w:rPr>
          <w:rFonts w:ascii="Cambria Math" w:hAnsi="Cambria Math"/>
        </w:rPr>
        <w:t>MPa</w:t>
      </w:r>
      <w:r w:rsidRPr="00BC31E0">
        <w:rPr>
          <w:rFonts w:hint="eastAsia"/>
        </w:rPr>
        <w:t>) (</w:t>
      </w:r>
      <w:r w:rsidRPr="00BC31E0">
        <w:rPr>
          <w:rFonts w:asciiTheme="majorEastAsia" w:eastAsiaTheme="majorEastAsia" w:hAnsiTheme="majorEastAsia" w:hint="eastAsia"/>
          <w:b/>
        </w:rPr>
        <w:t>附属書D 4.2</w:t>
      </w:r>
      <w:r w:rsidRPr="00BC31E0">
        <w:rPr>
          <w:rFonts w:hint="eastAsia"/>
        </w:rPr>
        <w:t>)</w:t>
      </w:r>
    </w:p>
    <w:p w14:paraId="77ABBD5E" w14:textId="77777777" w:rsidR="00C25C85" w:rsidRPr="00BC31E0" w:rsidRDefault="00C25C85" w:rsidP="008234D1">
      <w:pPr>
        <w:tabs>
          <w:tab w:val="left" w:pos="1276"/>
        </w:tabs>
        <w:autoSpaceDE w:val="0"/>
        <w:autoSpaceDN w:val="0"/>
        <w:ind w:left="1588" w:hanging="1021"/>
      </w:pPr>
      <w:r w:rsidRPr="00BC31E0">
        <w:rPr>
          <w:rFonts w:hint="eastAsia"/>
        </w:rPr>
        <w:tab/>
      </w:r>
      <w:r w:rsidRPr="00BC31E0">
        <w:rPr>
          <w:rFonts w:hint="eastAsia"/>
        </w:rPr>
        <w:t>：</w:t>
      </w:r>
      <w:r w:rsidRPr="00BC31E0">
        <w:rPr>
          <w:rFonts w:hint="eastAsia"/>
        </w:rPr>
        <w:t xml:space="preserve"> </w:t>
      </w:r>
      <w:r w:rsidRPr="00BC31E0">
        <w:rPr>
          <w:rFonts w:hint="eastAsia"/>
        </w:rPr>
        <w:t>ハブの内径</w:t>
      </w:r>
      <w:r w:rsidRPr="00BC31E0">
        <w:rPr>
          <w:rFonts w:hint="eastAsia"/>
        </w:rPr>
        <w:t>(</w:t>
      </w:r>
      <w:r w:rsidRPr="00BC31E0">
        <w:rPr>
          <w:rFonts w:ascii="Cambria Math" w:hAnsi="Cambria Math"/>
        </w:rPr>
        <w:t>mm</w:t>
      </w:r>
      <w:r w:rsidRPr="00BC31E0">
        <w:rPr>
          <w:rFonts w:hint="eastAsia"/>
        </w:rPr>
        <w:t xml:space="preserve">) </w:t>
      </w:r>
      <w:r w:rsidRPr="00BC31E0">
        <w:t>(</w:t>
      </w:r>
      <w:r w:rsidRPr="00BC31E0">
        <w:rPr>
          <w:rFonts w:ascii="ＭＳ ゴシック" w:eastAsia="ＭＳ ゴシック" w:hAnsi="ＭＳ ゴシック" w:hint="eastAsia"/>
          <w:b/>
        </w:rPr>
        <w:t>附属書</w:t>
      </w:r>
      <w:r w:rsidRPr="00BC31E0">
        <w:rPr>
          <w:rFonts w:ascii="ＭＳ ゴシック" w:eastAsia="ＭＳ ゴシック" w:hAnsi="ＭＳ ゴシック"/>
          <w:b/>
        </w:rPr>
        <w:t>H 3</w:t>
      </w:r>
      <w:r w:rsidRPr="00BC31E0">
        <w:rPr>
          <w:rFonts w:hint="eastAsia"/>
        </w:rPr>
        <w:t>)</w:t>
      </w:r>
    </w:p>
    <w:bookmarkEnd w:id="127"/>
    <w:p w14:paraId="128CC772"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B</m:t>
            </m:r>
          </m:e>
          <m:sub>
            <m:r>
              <w:rPr>
                <w:rFonts w:ascii="Cambria Math" w:hAnsi="Cambria Math"/>
                <w:szCs w:val="24"/>
              </w:rPr>
              <m:t>c</m:t>
            </m:r>
          </m:sub>
        </m:sSub>
      </m:oMath>
      <w:r w:rsidR="00C25C85" w:rsidRPr="00BC31E0">
        <w:rPr>
          <w:rFonts w:hint="eastAsia"/>
          <w:i/>
          <w:szCs w:val="24"/>
        </w:rPr>
        <w:tab/>
      </w:r>
      <w:r w:rsidR="00C25C85" w:rsidRPr="00BC31E0">
        <w:rPr>
          <w:rFonts w:hint="eastAsia"/>
        </w:rPr>
        <w:t>：</w:t>
      </w:r>
      <w:r w:rsidR="00C25C85" w:rsidRPr="00BC31E0">
        <w:rPr>
          <w:rFonts w:hint="eastAsia"/>
        </w:rPr>
        <w:t xml:space="preserve"> </w:t>
      </w:r>
      <w:r w:rsidR="00C25C85" w:rsidRPr="00BC31E0">
        <w:rPr>
          <w:rFonts w:hint="eastAsia"/>
        </w:rPr>
        <w:t>軸中心からボルト中心までの距離</w:t>
      </w:r>
      <w:r w:rsidR="00C25C85" w:rsidRPr="00BC31E0">
        <w:rPr>
          <w:rFonts w:hint="eastAsia"/>
        </w:rPr>
        <w:t>(</w:t>
      </w:r>
      <w:r w:rsidR="00C25C85" w:rsidRPr="00BC31E0">
        <w:rPr>
          <w:rFonts w:ascii="Cambria Math" w:hAnsi="Cambria Math"/>
        </w:rPr>
        <w:t>mm</w:t>
      </w:r>
      <w:r w:rsidR="00C25C85" w:rsidRPr="00BC31E0">
        <w:rPr>
          <w:rFonts w:hint="eastAsia"/>
        </w:rPr>
        <w:t xml:space="preserve">) </w:t>
      </w:r>
      <w:r w:rsidR="00C25C85" w:rsidRPr="00BC31E0">
        <w:t>(</w:t>
      </w:r>
      <w:r w:rsidR="00C25C85" w:rsidRPr="00BC31E0">
        <w:rPr>
          <w:rFonts w:ascii="ＭＳ ゴシック" w:eastAsia="ＭＳ ゴシック" w:hAnsi="ＭＳ ゴシック" w:hint="eastAsia"/>
          <w:b/>
        </w:rPr>
        <w:t>附属書</w:t>
      </w:r>
      <w:r w:rsidR="00C25C85" w:rsidRPr="00BC31E0">
        <w:rPr>
          <w:rFonts w:ascii="ＭＳ ゴシック" w:eastAsia="ＭＳ ゴシック" w:hAnsi="ＭＳ ゴシック"/>
          <w:b/>
        </w:rPr>
        <w:t>H 3</w:t>
      </w:r>
      <w:r w:rsidR="00C25C85" w:rsidRPr="00BC31E0">
        <w:rPr>
          <w:rFonts w:hint="eastAsia"/>
        </w:rPr>
        <w:t>)</w:t>
      </w:r>
    </w:p>
    <w:p w14:paraId="3DCC237A" w14:textId="77777777" w:rsidR="00C25C85" w:rsidRPr="00BC31E0" w:rsidRDefault="00C25C85" w:rsidP="008234D1">
      <w:pPr>
        <w:tabs>
          <w:tab w:val="left" w:pos="1276"/>
        </w:tabs>
        <w:autoSpaceDE w:val="0"/>
        <w:autoSpaceDN w:val="0"/>
        <w:ind w:left="1588" w:hanging="1021"/>
        <w:rPr>
          <w:rFonts w:ascii="ＭＳ ゴシック" w:eastAsia="ＭＳ ゴシック"/>
          <w:b/>
        </w:rPr>
      </w:pPr>
      <m:oMath>
        <m:r>
          <w:rPr>
            <w:rFonts w:ascii="Cambria Math" w:hAnsi="Cambria Math"/>
            <w:szCs w:val="24"/>
          </w:rPr>
          <m:t>b</m:t>
        </m:r>
      </m:oMath>
      <w:r w:rsidRPr="00BC31E0">
        <w:tab/>
      </w:r>
      <w:r w:rsidRPr="00BC31E0">
        <w:rPr>
          <w:rFonts w:hint="eastAsia"/>
        </w:rPr>
        <w:t>：</w:t>
      </w:r>
      <w:r w:rsidRPr="00BC31E0">
        <w:rPr>
          <w:rFonts w:hint="eastAsia"/>
        </w:rPr>
        <w:t xml:space="preserve"> </w:t>
      </w:r>
      <w:r w:rsidRPr="00BC31E0">
        <w:rPr>
          <w:rFonts w:hint="eastAsia"/>
        </w:rPr>
        <w:t>層間の隙間長さ</w:t>
      </w:r>
      <w:r w:rsidRPr="00BC31E0">
        <w:rPr>
          <w:rFonts w:hint="eastAsia"/>
        </w:rPr>
        <w:t>(</w:t>
      </w:r>
      <w:r w:rsidRPr="00BC31E0">
        <w:rPr>
          <w:rFonts w:ascii="Cambria Math" w:hAnsi="Cambria Math"/>
        </w:rPr>
        <w:t>mm</w:t>
      </w:r>
      <w:r w:rsidRPr="00BC31E0">
        <w:rPr>
          <w:rFonts w:hint="eastAsia"/>
        </w:rPr>
        <w:t xml:space="preserve">) </w:t>
      </w:r>
      <w:r w:rsidRPr="00BC31E0">
        <w:t>(</w:t>
      </w:r>
      <w:r w:rsidRPr="00BC31E0">
        <w:rPr>
          <w:rFonts w:ascii="ＭＳ ゴシック" w:eastAsia="ＭＳ ゴシック"/>
          <w:b/>
        </w:rPr>
        <w:t>7.8.3</w:t>
      </w:r>
      <w:r w:rsidRPr="00BC31E0">
        <w:rPr>
          <w:rFonts w:ascii="ＭＳ 明朝" w:hAnsi="ＭＳ 明朝" w:hint="eastAsia"/>
        </w:rPr>
        <w:t>，</w:t>
      </w:r>
      <w:r w:rsidRPr="00BC31E0">
        <w:rPr>
          <w:rFonts w:ascii="ＭＳ ゴシック" w:eastAsia="ＭＳ ゴシック" w:hAnsi="ＭＳ ゴシック" w:hint="eastAsia"/>
          <w:b/>
        </w:rPr>
        <w:t>図</w:t>
      </w:r>
      <w:r w:rsidRPr="00BC31E0">
        <w:rPr>
          <w:rFonts w:ascii="ＭＳ ゴシック" w:eastAsia="ＭＳ ゴシック"/>
          <w:b/>
        </w:rPr>
        <w:t>7.8.5</w:t>
      </w:r>
      <w:r w:rsidRPr="00BC31E0">
        <w:rPr>
          <w:rFonts w:ascii="ＭＳ ゴシック" w:eastAsia="ＭＳ ゴシック" w:hint="eastAsia"/>
          <w:b/>
        </w:rPr>
        <w:t>)</w:t>
      </w:r>
    </w:p>
    <w:p w14:paraId="5B79C899" w14:textId="77777777" w:rsidR="00C25C85" w:rsidRPr="00BC31E0" w:rsidRDefault="00C25C85" w:rsidP="008234D1">
      <w:pPr>
        <w:tabs>
          <w:tab w:val="left" w:pos="1276"/>
        </w:tabs>
        <w:autoSpaceDE w:val="0"/>
        <w:autoSpaceDN w:val="0"/>
        <w:ind w:left="1588" w:hanging="1021"/>
      </w:pPr>
      <w:r w:rsidRPr="00BC31E0">
        <w:rPr>
          <w:rFonts w:hint="eastAsia"/>
        </w:rPr>
        <w:tab/>
      </w:r>
      <w:r w:rsidRPr="00BC31E0">
        <w:rPr>
          <w:rFonts w:hint="eastAsia"/>
        </w:rPr>
        <w:t>：</w:t>
      </w:r>
      <w:r w:rsidRPr="00BC31E0">
        <w:rPr>
          <w:rFonts w:hint="eastAsia"/>
        </w:rPr>
        <w:t xml:space="preserve"> </w:t>
      </w:r>
      <w:r w:rsidRPr="00BC31E0">
        <w:rPr>
          <w:rFonts w:hint="eastAsia"/>
        </w:rPr>
        <w:t>ガスケット座の有効幅</w:t>
      </w:r>
      <w:r w:rsidRPr="00BC31E0">
        <w:rPr>
          <w:rFonts w:hint="eastAsia"/>
        </w:rPr>
        <w:t>(</w:t>
      </w:r>
      <w:r w:rsidRPr="00BC31E0">
        <w:rPr>
          <w:rFonts w:ascii="Cambria Math" w:hAnsi="Cambria Math"/>
        </w:rPr>
        <w:t>mm</w:t>
      </w:r>
      <w:r w:rsidRPr="00BC31E0">
        <w:rPr>
          <w:rFonts w:hint="eastAsia"/>
        </w:rPr>
        <w:t xml:space="preserve">) </w:t>
      </w:r>
      <w:r w:rsidRPr="00BC31E0">
        <w:t>(</w:t>
      </w:r>
      <w:r w:rsidRPr="00BC31E0">
        <w:rPr>
          <w:rFonts w:ascii="ＭＳ ゴシック" w:eastAsia="ＭＳ ゴシック" w:hint="eastAsia"/>
          <w:b/>
        </w:rPr>
        <w:t>附属書H 3)</w:t>
      </w:r>
    </w:p>
    <w:p w14:paraId="6A118825" w14:textId="77777777" w:rsidR="00C25C85" w:rsidRPr="00BC31E0" w:rsidRDefault="00C25C85" w:rsidP="008234D1">
      <w:pPr>
        <w:tabs>
          <w:tab w:val="left" w:pos="1276"/>
        </w:tabs>
        <w:autoSpaceDE w:val="0"/>
        <w:autoSpaceDN w:val="0"/>
        <w:ind w:left="1588" w:hanging="1021"/>
      </w:pPr>
      <m:oMath>
        <m:r>
          <w:rPr>
            <w:rFonts w:ascii="Cambria Math" w:hAnsi="Cambria Math"/>
            <w:szCs w:val="24"/>
          </w:rPr>
          <m:t>C</m:t>
        </m:r>
      </m:oMath>
      <w:r w:rsidRPr="00BC31E0">
        <w:rPr>
          <w:szCs w:val="24"/>
        </w:rPr>
        <w:tab/>
      </w:r>
      <w:r w:rsidRPr="00BC31E0">
        <w:rPr>
          <w:rFonts w:hint="eastAsia"/>
        </w:rPr>
        <w:t>：</w:t>
      </w:r>
      <w:r w:rsidRPr="00BC31E0">
        <w:rPr>
          <w:rFonts w:hint="eastAsia"/>
        </w:rPr>
        <w:t xml:space="preserve"> </w:t>
      </w:r>
      <w:r w:rsidRPr="00BC31E0">
        <w:rPr>
          <w:rFonts w:hint="eastAsia"/>
        </w:rPr>
        <w:t>設計温度における疲労亀裂進展速度定数</w:t>
      </w:r>
      <w:r w:rsidRPr="00BC31E0">
        <w:rPr>
          <w:rFonts w:hint="eastAsia"/>
        </w:rPr>
        <w:t>[</w:t>
      </w:r>
      <m:oMath>
        <m:f>
          <m:fPr>
            <m:type m:val="lin"/>
            <m:ctrlPr>
              <w:rPr>
                <w:rFonts w:ascii="Cambria Math" w:hAnsi="Cambria Math"/>
              </w:rPr>
            </m:ctrlPr>
          </m:fPr>
          <m:num>
            <m:r>
              <m:rPr>
                <m:sty m:val="p"/>
              </m:rPr>
              <w:rPr>
                <w:rFonts w:ascii="Cambria Math" w:hAnsi="Cambria Math"/>
              </w:rPr>
              <m:t>mm</m:t>
            </m:r>
            <m:sSup>
              <m:sSupPr>
                <m:ctrlPr>
                  <w:rPr>
                    <w:rFonts w:ascii="Cambria Math" w:hAnsi="Cambria Math"/>
                  </w:rPr>
                </m:ctrlPr>
              </m:sSupPr>
              <m:e>
                <m:d>
                  <m:dPr>
                    <m:ctrlPr>
                      <w:rPr>
                        <w:rFonts w:ascii="Cambria Math" w:hAnsi="Cambria Math"/>
                      </w:rPr>
                    </m:ctrlPr>
                  </m:dPr>
                  <m:e>
                    <m:r>
                      <m:rPr>
                        <m:sty m:val="p"/>
                      </m:rPr>
                      <w:rPr>
                        <w:rFonts w:ascii="Cambria Math" w:hAnsi="Cambria Math"/>
                      </w:rPr>
                      <m:t>MPa</m:t>
                    </m:r>
                    <m:rad>
                      <m:radPr>
                        <m:degHide m:val="1"/>
                        <m:ctrlPr>
                          <w:rPr>
                            <w:rFonts w:ascii="Cambria Math" w:hAnsi="Cambria Math"/>
                          </w:rPr>
                        </m:ctrlPr>
                      </m:radPr>
                      <m:deg/>
                      <m:e>
                        <m:r>
                          <m:rPr>
                            <m:sty m:val="p"/>
                          </m:rPr>
                          <w:rPr>
                            <w:rFonts w:ascii="Cambria Math" w:hAnsi="Cambria Math"/>
                          </w:rPr>
                          <m:t>m</m:t>
                        </m:r>
                      </m:e>
                    </m:rad>
                  </m:e>
                </m:d>
              </m:e>
              <m:sup>
                <m:r>
                  <m:rPr>
                    <m:sty m:val="p"/>
                  </m:rPr>
                  <w:rPr>
                    <w:rFonts w:ascii="Cambria Math" w:hAnsi="Cambria Math"/>
                  </w:rPr>
                  <m:t>-</m:t>
                </m:r>
                <m:r>
                  <w:rPr>
                    <w:rFonts w:ascii="Cambria Math" w:hAnsi="Cambria Math"/>
                  </w:rPr>
                  <m:t>m</m:t>
                </m:r>
              </m:sup>
            </m:sSup>
          </m:num>
          <m:den>
            <m:r>
              <m:rPr>
                <m:sty m:val="p"/>
              </m:rPr>
              <w:rPr>
                <w:rFonts w:ascii="Cambria Math" w:hAnsi="Cambria Math"/>
              </w:rPr>
              <m:t>cycle</m:t>
            </m:r>
          </m:den>
        </m:f>
      </m:oMath>
      <w:r w:rsidRPr="00BC31E0">
        <w:rPr>
          <w:rFonts w:hint="eastAsia"/>
        </w:rPr>
        <w:t xml:space="preserve">] </w:t>
      </w:r>
      <w:r w:rsidRPr="00BC31E0">
        <w:t>(</w:t>
      </w:r>
      <w:r w:rsidRPr="00BC31E0">
        <w:rPr>
          <w:rFonts w:ascii="ＭＳ ゴシック" w:eastAsia="ＭＳ ゴシック"/>
          <w:b/>
        </w:rPr>
        <w:t>6.4.</w:t>
      </w:r>
      <w:r w:rsidRPr="00BC31E0">
        <w:rPr>
          <w:rFonts w:ascii="ＭＳ ゴシック" w:eastAsia="ＭＳ ゴシック" w:hint="eastAsia"/>
          <w:b/>
        </w:rPr>
        <w:t>6</w:t>
      </w:r>
      <w:r w:rsidRPr="00BC31E0">
        <w:rPr>
          <w:rFonts w:asciiTheme="minorEastAsia" w:eastAsiaTheme="minorEastAsia" w:hAnsiTheme="minorEastAsia" w:hint="eastAsia"/>
        </w:rPr>
        <w:t>，</w:t>
      </w:r>
      <w:r w:rsidRPr="00BC31E0">
        <w:rPr>
          <w:rFonts w:ascii="ＭＳ ゴシック" w:eastAsia="ＭＳ ゴシック" w:hint="eastAsia"/>
          <w:b/>
        </w:rPr>
        <w:t>附属書C 5</w:t>
      </w:r>
      <w:r w:rsidRPr="00BC31E0">
        <w:rPr>
          <w:rFonts w:hint="eastAsia"/>
        </w:rPr>
        <w:t>)</w:t>
      </w:r>
    </w:p>
    <w:p w14:paraId="3DA0E93B" w14:textId="77777777" w:rsidR="00C25C85" w:rsidRPr="00BC31E0" w:rsidRDefault="00C25C85" w:rsidP="008234D1">
      <w:pPr>
        <w:tabs>
          <w:tab w:val="left" w:pos="1276"/>
        </w:tabs>
        <w:autoSpaceDE w:val="0"/>
        <w:autoSpaceDN w:val="0"/>
        <w:ind w:left="1588" w:hanging="1021"/>
      </w:pPr>
      <w:r w:rsidRPr="00BC31E0">
        <w:rPr>
          <w:rFonts w:hint="eastAsia"/>
        </w:rPr>
        <w:tab/>
      </w:r>
      <w:r w:rsidRPr="00BC31E0">
        <w:rPr>
          <w:rFonts w:hint="eastAsia"/>
        </w:rPr>
        <w:t>：</w:t>
      </w:r>
      <w:r w:rsidRPr="00BC31E0">
        <w:rPr>
          <w:rFonts w:hint="eastAsia"/>
        </w:rPr>
        <w:t xml:space="preserve"> </w:t>
      </w:r>
      <w:r w:rsidRPr="00BC31E0">
        <w:rPr>
          <w:rFonts w:hint="eastAsia"/>
        </w:rPr>
        <w:t>一体型平鏡板の形状に基づく係数</w:t>
      </w:r>
      <w:r w:rsidRPr="00BC31E0">
        <w:rPr>
          <w:rFonts w:hint="eastAsia"/>
        </w:rPr>
        <w:t xml:space="preserve"> </w:t>
      </w:r>
      <w:r w:rsidRPr="00BC31E0">
        <w:t>(</w:t>
      </w:r>
      <w:r w:rsidRPr="00BC31E0">
        <w:rPr>
          <w:rFonts w:ascii="ＭＳ ゴシック" w:eastAsia="ＭＳ ゴシック" w:hAnsi="ＭＳ ゴシック" w:hint="eastAsia"/>
          <w:b/>
        </w:rPr>
        <w:t>附属書</w:t>
      </w:r>
      <w:r w:rsidRPr="00BC31E0">
        <w:rPr>
          <w:rFonts w:ascii="ＭＳ ゴシック" w:eastAsia="ＭＳ ゴシック"/>
          <w:b/>
        </w:rPr>
        <w:t xml:space="preserve">G </w:t>
      </w:r>
      <w:r w:rsidRPr="00BC31E0">
        <w:rPr>
          <w:rFonts w:ascii="ＭＳ ゴシック" w:eastAsia="ＭＳ ゴシック" w:hint="eastAsia"/>
          <w:b/>
        </w:rPr>
        <w:t>2</w:t>
      </w:r>
      <w:r w:rsidRPr="00BC31E0">
        <w:rPr>
          <w:rFonts w:eastAsia="ＭＳ ゴシック"/>
        </w:rPr>
        <w:t>)</w:t>
      </w:r>
    </w:p>
    <w:p w14:paraId="61204496" w14:textId="77777777" w:rsidR="00C25C85" w:rsidRPr="00BC31E0" w:rsidRDefault="00C25C85" w:rsidP="008234D1">
      <w:pPr>
        <w:tabs>
          <w:tab w:val="left" w:pos="1276"/>
        </w:tabs>
        <w:autoSpaceDE w:val="0"/>
        <w:autoSpaceDN w:val="0"/>
        <w:ind w:left="1588" w:hanging="1021"/>
      </w:pPr>
      <w:r w:rsidRPr="00BC31E0">
        <w:rPr>
          <w:rFonts w:hint="eastAsia"/>
        </w:rPr>
        <w:tab/>
      </w:r>
      <w:r w:rsidRPr="00BC31E0">
        <w:rPr>
          <w:rFonts w:hint="eastAsia"/>
        </w:rPr>
        <w:t>：</w:t>
      </w:r>
      <w:r w:rsidRPr="00BC31E0">
        <w:rPr>
          <w:rFonts w:hint="eastAsia"/>
        </w:rPr>
        <w:t xml:space="preserve"> </w:t>
      </w:r>
      <w:r w:rsidRPr="00BC31E0">
        <w:rPr>
          <w:rFonts w:hint="eastAsia"/>
        </w:rPr>
        <w:t>有効クランプ－ハブ接触円の直径</w:t>
      </w:r>
      <w:r w:rsidRPr="00BC31E0">
        <w:t>(</w:t>
      </w:r>
      <w:r w:rsidRPr="00BC31E0">
        <w:rPr>
          <w:rFonts w:ascii="Cambria Math" w:hAnsi="Cambria Math"/>
        </w:rPr>
        <w:t>mm</w:t>
      </w:r>
      <w:r w:rsidRPr="00BC31E0">
        <w:rPr>
          <w:rFonts w:hint="eastAsia"/>
        </w:rPr>
        <w:t xml:space="preserve">) </w:t>
      </w:r>
      <w:r w:rsidRPr="00BC31E0">
        <w:t>(</w:t>
      </w:r>
      <w:r w:rsidRPr="00BC31E0">
        <w:rPr>
          <w:rFonts w:ascii="ＭＳ ゴシック" w:eastAsia="ＭＳ ゴシック" w:hAnsi="ＭＳ ゴシック" w:hint="eastAsia"/>
          <w:b/>
        </w:rPr>
        <w:t>附属書</w:t>
      </w:r>
      <w:r w:rsidRPr="00BC31E0">
        <w:rPr>
          <w:rFonts w:ascii="ＭＳ ゴシック" w:eastAsia="ＭＳ ゴシック" w:hAnsi="ＭＳ ゴシック"/>
          <w:b/>
        </w:rPr>
        <w:t>H 3</w:t>
      </w:r>
      <w:r w:rsidRPr="00BC31E0">
        <w:rPr>
          <w:rFonts w:hint="eastAsia"/>
        </w:rPr>
        <w:t>)</w:t>
      </w:r>
    </w:p>
    <w:p w14:paraId="2DF42BA0"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C</m:t>
            </m:r>
          </m:e>
          <m:sub>
            <m:r>
              <w:rPr>
                <w:rFonts w:ascii="Cambria Math" w:hAnsi="Cambria Math" w:hint="eastAsia"/>
                <w:szCs w:val="24"/>
              </w:rPr>
              <m:t>o</m:t>
            </m:r>
          </m:sub>
        </m:sSub>
      </m:oMath>
      <w:r w:rsidR="00C25C85" w:rsidRPr="00BC31E0">
        <w:rPr>
          <w:szCs w:val="24"/>
        </w:rPr>
        <w:tab/>
      </w:r>
      <w:r w:rsidR="00C25C85" w:rsidRPr="00BC31E0">
        <w:rPr>
          <w:rFonts w:hint="eastAsia"/>
        </w:rPr>
        <w:t>：</w:t>
      </w:r>
      <w:r w:rsidR="00C25C85" w:rsidRPr="00BC31E0">
        <w:rPr>
          <w:rFonts w:hint="eastAsia"/>
        </w:rPr>
        <w:t xml:space="preserve"> </w:t>
      </w:r>
      <w:r w:rsidR="00C25C85" w:rsidRPr="00BC31E0">
        <w:rPr>
          <w:rFonts w:hint="eastAsia"/>
        </w:rPr>
        <w:t>室温における疲労亀裂進展速度定数</w:t>
      </w:r>
      <w:r w:rsidR="00C25C85" w:rsidRPr="00BC31E0">
        <w:rPr>
          <w:rFonts w:hint="eastAsia"/>
        </w:rPr>
        <w:t>[</w:t>
      </w:r>
      <m:oMath>
        <m:f>
          <m:fPr>
            <m:type m:val="lin"/>
            <m:ctrlPr>
              <w:rPr>
                <w:rFonts w:ascii="Cambria Math" w:hAnsi="Cambria Math"/>
              </w:rPr>
            </m:ctrlPr>
          </m:fPr>
          <m:num>
            <m:r>
              <m:rPr>
                <m:sty m:val="p"/>
              </m:rPr>
              <w:rPr>
                <w:rFonts w:ascii="Cambria Math" w:hAnsi="Cambria Math"/>
              </w:rPr>
              <m:t>mm</m:t>
            </m:r>
            <m:sSup>
              <m:sSupPr>
                <m:ctrlPr>
                  <w:rPr>
                    <w:rFonts w:ascii="Cambria Math" w:hAnsi="Cambria Math"/>
                  </w:rPr>
                </m:ctrlPr>
              </m:sSupPr>
              <m:e>
                <m:d>
                  <m:dPr>
                    <m:ctrlPr>
                      <w:rPr>
                        <w:rFonts w:ascii="Cambria Math" w:hAnsi="Cambria Math"/>
                      </w:rPr>
                    </m:ctrlPr>
                  </m:dPr>
                  <m:e>
                    <m:r>
                      <m:rPr>
                        <m:sty m:val="p"/>
                      </m:rPr>
                      <w:rPr>
                        <w:rFonts w:ascii="Cambria Math" w:hAnsi="Cambria Math"/>
                      </w:rPr>
                      <m:t>MPa</m:t>
                    </m:r>
                    <m:rad>
                      <m:radPr>
                        <m:degHide m:val="1"/>
                        <m:ctrlPr>
                          <w:rPr>
                            <w:rFonts w:ascii="Cambria Math" w:hAnsi="Cambria Math"/>
                          </w:rPr>
                        </m:ctrlPr>
                      </m:radPr>
                      <m:deg/>
                      <m:e>
                        <m:r>
                          <m:rPr>
                            <m:sty m:val="p"/>
                          </m:rPr>
                          <w:rPr>
                            <w:rFonts w:ascii="Cambria Math" w:hAnsi="Cambria Math"/>
                          </w:rPr>
                          <m:t>m</m:t>
                        </m:r>
                      </m:e>
                    </m:rad>
                  </m:e>
                </m:d>
              </m:e>
              <m:sup>
                <m:r>
                  <m:rPr>
                    <m:sty m:val="p"/>
                  </m:rPr>
                  <w:rPr>
                    <w:rFonts w:ascii="Cambria Math" w:hAnsi="Cambria Math"/>
                  </w:rPr>
                  <m:t>-</m:t>
                </m:r>
                <m:r>
                  <w:rPr>
                    <w:rFonts w:ascii="Cambria Math" w:hAnsi="Cambria Math"/>
                  </w:rPr>
                  <m:t>m</m:t>
                </m:r>
              </m:sup>
            </m:sSup>
          </m:num>
          <m:den>
            <m:r>
              <m:rPr>
                <m:sty m:val="p"/>
              </m:rPr>
              <w:rPr>
                <w:rFonts w:ascii="Cambria Math" w:hAnsi="Cambria Math"/>
              </w:rPr>
              <m:t>cycle</m:t>
            </m:r>
          </m:den>
        </m:f>
      </m:oMath>
      <w:r w:rsidR="00C25C85" w:rsidRPr="00BC31E0">
        <w:rPr>
          <w:rFonts w:hint="eastAsia"/>
        </w:rPr>
        <w:t xml:space="preserve">] </w:t>
      </w:r>
      <w:r w:rsidR="00C25C85" w:rsidRPr="00BC31E0">
        <w:t>(</w:t>
      </w:r>
      <w:r w:rsidR="00C25C85" w:rsidRPr="00BC31E0">
        <w:rPr>
          <w:rFonts w:asciiTheme="majorEastAsia" w:eastAsiaTheme="majorEastAsia" w:hAnsiTheme="majorEastAsia" w:hint="eastAsia"/>
          <w:b/>
        </w:rPr>
        <w:t>6.4.6</w:t>
      </w:r>
      <w:r w:rsidR="00C25C85" w:rsidRPr="00BC31E0">
        <w:rPr>
          <w:rFonts w:hint="eastAsia"/>
        </w:rPr>
        <w:t>，</w:t>
      </w:r>
      <w:r w:rsidR="00C25C85" w:rsidRPr="00BC31E0">
        <w:rPr>
          <w:rFonts w:ascii="ＭＳ ゴシック" w:eastAsia="ＭＳ ゴシック" w:hAnsi="ＭＳ ゴシック" w:hint="eastAsia"/>
          <w:b/>
        </w:rPr>
        <w:t>表</w:t>
      </w:r>
      <w:r w:rsidR="00C25C85" w:rsidRPr="00BC31E0">
        <w:rPr>
          <w:rFonts w:ascii="ＭＳ ゴシック" w:eastAsia="ＭＳ ゴシック"/>
          <w:b/>
        </w:rPr>
        <w:t>6.4.1</w:t>
      </w:r>
      <w:r w:rsidR="00C25C85" w:rsidRPr="00BC31E0">
        <w:rPr>
          <w:rFonts w:hint="eastAsia"/>
        </w:rPr>
        <w:t>)</w:t>
      </w:r>
      <m:oMath>
        <m:r>
          <m:rPr>
            <m:sty m:val="p"/>
          </m:rPr>
          <w:rPr>
            <w:rFonts w:ascii="Cambria Math" w:hAnsi="Times New Roman"/>
          </w:rPr>
          <m:t xml:space="preserve"> </m:t>
        </m:r>
      </m:oMath>
    </w:p>
    <w:p w14:paraId="0B3A59A4"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depth</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補修後のくぼみ深さ</w:t>
      </w:r>
      <w:r w:rsidR="00C25C85" w:rsidRPr="00BC31E0">
        <w:rPr>
          <w:rFonts w:hint="eastAsia"/>
        </w:rPr>
        <w:t>(</w:t>
      </w:r>
      <w:r w:rsidR="00C25C85" w:rsidRPr="00BC31E0">
        <w:rPr>
          <w:rFonts w:ascii="Cambria Math" w:hAnsi="Cambria Math"/>
        </w:rPr>
        <w:t>mm</w:t>
      </w:r>
      <w:r w:rsidR="00C25C85" w:rsidRPr="00BC31E0">
        <w:rPr>
          <w:rFonts w:hint="eastAsia"/>
        </w:rPr>
        <w:t xml:space="preserve">) </w:t>
      </w:r>
      <w:r w:rsidR="00C25C85" w:rsidRPr="00BC31E0">
        <w:t>(</w:t>
      </w:r>
      <w:r w:rsidR="00C25C85" w:rsidRPr="00BC31E0">
        <w:rPr>
          <w:rFonts w:ascii="ＭＳ ゴシック" w:eastAsia="ＭＳ ゴシック"/>
          <w:b/>
        </w:rPr>
        <w:t>9.2.</w:t>
      </w:r>
      <w:r w:rsidR="00C25C85" w:rsidRPr="00BC31E0">
        <w:rPr>
          <w:rFonts w:ascii="ＭＳ ゴシック" w:eastAsia="ＭＳ ゴシック" w:hint="eastAsia"/>
          <w:b/>
        </w:rPr>
        <w:t>3</w:t>
      </w:r>
      <w:r w:rsidR="00C25C85" w:rsidRPr="00BC31E0">
        <w:rPr>
          <w:rFonts w:hint="eastAsia"/>
        </w:rPr>
        <w:t>)</w:t>
      </w:r>
    </w:p>
    <w:p w14:paraId="588DAB1D"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g</m:t>
            </m:r>
          </m:sub>
        </m:sSub>
      </m:oMath>
      <w:r w:rsidR="00C25C85" w:rsidRPr="00BC31E0">
        <w:rPr>
          <w:rFonts w:hint="eastAsia"/>
          <w:szCs w:val="24"/>
        </w:rPr>
        <w:tab/>
      </w:r>
      <w:r w:rsidR="00C25C85" w:rsidRPr="00BC31E0">
        <w:rPr>
          <w:rFonts w:hint="eastAsia"/>
        </w:rPr>
        <w:t>：</w:t>
      </w:r>
      <w:r w:rsidR="00C25C85" w:rsidRPr="00BC31E0">
        <w:rPr>
          <w:rFonts w:hint="eastAsia"/>
        </w:rPr>
        <w:t xml:space="preserve"> </w:t>
      </w:r>
      <w:r w:rsidR="00C25C85" w:rsidRPr="00BC31E0">
        <w:rPr>
          <w:rFonts w:hint="eastAsia"/>
        </w:rPr>
        <w:t>有効クランプ間隙</w:t>
      </w:r>
      <w:r w:rsidR="00C25C85" w:rsidRPr="00BC31E0">
        <w:rPr>
          <w:rFonts w:hint="eastAsia"/>
        </w:rPr>
        <w:t>(</w:t>
      </w:r>
      <w:r w:rsidR="00C25C85" w:rsidRPr="00BC31E0">
        <w:rPr>
          <w:rFonts w:ascii="Cambria Math" w:hAnsi="Cambria Math"/>
        </w:rPr>
        <w:t>mm</w:t>
      </w:r>
      <w:r w:rsidR="00C25C85" w:rsidRPr="00BC31E0">
        <w:rPr>
          <w:rFonts w:hint="eastAsia"/>
        </w:rPr>
        <w:t xml:space="preserve">) </w:t>
      </w:r>
      <w:r w:rsidR="00C25C85" w:rsidRPr="00BC31E0">
        <w:t>(</w:t>
      </w:r>
      <w:r w:rsidR="00C25C85" w:rsidRPr="00BC31E0">
        <w:rPr>
          <w:rFonts w:ascii="ＭＳ ゴシック" w:eastAsia="ＭＳ ゴシック" w:hAnsi="ＭＳ ゴシック" w:hint="eastAsia"/>
          <w:b/>
        </w:rPr>
        <w:t>附属書</w:t>
      </w:r>
      <w:r w:rsidR="00C25C85" w:rsidRPr="00BC31E0">
        <w:rPr>
          <w:rFonts w:ascii="ＭＳ ゴシック" w:eastAsia="ＭＳ ゴシック" w:hAnsi="ＭＳ ゴシック"/>
          <w:b/>
        </w:rPr>
        <w:t>H 3</w:t>
      </w:r>
      <w:r w:rsidR="00C25C85" w:rsidRPr="00BC31E0">
        <w:rPr>
          <w:rFonts w:hint="eastAsia"/>
        </w:rPr>
        <w:t>)</w:t>
      </w:r>
    </w:p>
    <w:bookmarkStart w:id="128" w:name="_Hlk59532366"/>
    <w:p w14:paraId="4DEA5CC3"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i</m:t>
            </m:r>
          </m:sub>
        </m:sSub>
      </m:oMath>
      <w:bookmarkEnd w:id="128"/>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クランプの支圧部内径</w:t>
      </w:r>
      <w:r w:rsidR="00C25C85" w:rsidRPr="00BC31E0">
        <w:rPr>
          <w:rFonts w:hint="eastAsia"/>
        </w:rPr>
        <w:t>(</w:t>
      </w:r>
      <w:r w:rsidR="00C25C85" w:rsidRPr="00BC31E0">
        <w:rPr>
          <w:rFonts w:ascii="Cambria Math" w:hAnsi="Cambria Math"/>
        </w:rPr>
        <w:t>mm</w:t>
      </w:r>
      <w:r w:rsidR="00C25C85" w:rsidRPr="00BC31E0">
        <w:rPr>
          <w:rFonts w:hint="eastAsia"/>
        </w:rPr>
        <w:t xml:space="preserve">) </w:t>
      </w:r>
      <w:r w:rsidR="00C25C85" w:rsidRPr="00BC31E0">
        <w:t>(</w:t>
      </w:r>
      <w:r w:rsidR="00C25C85" w:rsidRPr="00BC31E0">
        <w:rPr>
          <w:rFonts w:ascii="ＭＳ ゴシック" w:eastAsia="ＭＳ ゴシック" w:hAnsi="ＭＳ ゴシック" w:hint="eastAsia"/>
          <w:b/>
        </w:rPr>
        <w:t>附属書</w:t>
      </w:r>
      <w:r w:rsidR="00C25C85" w:rsidRPr="00BC31E0">
        <w:rPr>
          <w:rFonts w:ascii="ＭＳ ゴシック" w:eastAsia="ＭＳ ゴシック" w:hAnsi="ＭＳ ゴシック"/>
          <w:b/>
        </w:rPr>
        <w:t>H 3</w:t>
      </w:r>
      <w:r w:rsidR="00C25C85" w:rsidRPr="00BC31E0">
        <w:rPr>
          <w:rFonts w:hint="eastAsia"/>
        </w:rPr>
        <w:t>)</w:t>
      </w:r>
    </w:p>
    <w:p w14:paraId="32F58DE4"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ir</m:t>
            </m:r>
          </m:sub>
        </m:sSub>
      </m:oMath>
      <w:r w:rsidR="00C25C85" w:rsidRPr="00BC31E0">
        <w:rPr>
          <w:rFonts w:hint="eastAsia"/>
          <w:i/>
          <w:szCs w:val="24"/>
        </w:rPr>
        <w:tab/>
      </w:r>
      <w:r w:rsidR="00C25C85" w:rsidRPr="00BC31E0">
        <w:rPr>
          <w:rFonts w:hint="eastAsia"/>
        </w:rPr>
        <w:t>：</w:t>
      </w:r>
      <w:r w:rsidR="00C25C85" w:rsidRPr="00BC31E0">
        <w:rPr>
          <w:rFonts w:hint="eastAsia"/>
        </w:rPr>
        <w:t xml:space="preserve"> </w:t>
      </w:r>
      <w:r w:rsidR="00C25C85" w:rsidRPr="00BC31E0">
        <w:rPr>
          <w:rFonts w:hint="eastAsia"/>
        </w:rPr>
        <w:t>クランプリップとハブ肩部との接触面の内径</w:t>
      </w:r>
      <w:r w:rsidR="00C25C85" w:rsidRPr="00BC31E0">
        <w:rPr>
          <w:rFonts w:hint="eastAsia"/>
        </w:rPr>
        <w:t>(</w:t>
      </w:r>
      <w:r w:rsidR="00C25C85" w:rsidRPr="00BC31E0">
        <w:rPr>
          <w:rFonts w:ascii="Cambria Math" w:hAnsi="Cambria Math"/>
        </w:rPr>
        <w:t>mm</w:t>
      </w:r>
      <w:r w:rsidR="00C25C85" w:rsidRPr="00BC31E0">
        <w:rPr>
          <w:rFonts w:hint="eastAsia"/>
        </w:rPr>
        <w:t xml:space="preserve">) </w:t>
      </w:r>
      <w:r w:rsidR="00C25C85" w:rsidRPr="00BC31E0">
        <w:t>(</w:t>
      </w:r>
      <w:r w:rsidR="00C25C85" w:rsidRPr="00BC31E0">
        <w:rPr>
          <w:rFonts w:ascii="ＭＳ ゴシック" w:eastAsia="ＭＳ ゴシック" w:hAnsi="ＭＳ ゴシック" w:hint="eastAsia"/>
          <w:b/>
        </w:rPr>
        <w:t>附属書</w:t>
      </w:r>
      <w:r w:rsidR="00C25C85" w:rsidRPr="00BC31E0">
        <w:rPr>
          <w:rFonts w:ascii="ＭＳ ゴシック" w:eastAsia="ＭＳ ゴシック" w:hAnsi="ＭＳ ゴシック"/>
          <w:b/>
        </w:rPr>
        <w:t>H 3</w:t>
      </w:r>
      <w:r w:rsidR="00C25C85" w:rsidRPr="00BC31E0">
        <w:rPr>
          <w:rFonts w:hint="eastAsia"/>
        </w:rPr>
        <w:t>)</w:t>
      </w:r>
    </w:p>
    <w:p w14:paraId="115130A2"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n</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クランプネックの内径</w:t>
      </w:r>
      <w:r w:rsidR="00C25C85" w:rsidRPr="00BC31E0">
        <w:rPr>
          <w:rFonts w:hint="eastAsia"/>
        </w:rPr>
        <w:t>(</w:t>
      </w:r>
      <w:r w:rsidR="00C25C85" w:rsidRPr="00BC31E0">
        <w:rPr>
          <w:rFonts w:ascii="Cambria Math" w:hAnsi="Cambria Math"/>
        </w:rPr>
        <w:t>mm</w:t>
      </w:r>
      <w:r w:rsidR="00C25C85" w:rsidRPr="00BC31E0">
        <w:rPr>
          <w:rFonts w:hint="eastAsia"/>
        </w:rPr>
        <w:t xml:space="preserve">) </w:t>
      </w:r>
      <w:r w:rsidR="00C25C85" w:rsidRPr="00BC31E0">
        <w:t>(</w:t>
      </w:r>
      <w:r w:rsidR="00C25C85" w:rsidRPr="00BC31E0">
        <w:rPr>
          <w:rFonts w:ascii="ＭＳ ゴシック" w:eastAsia="ＭＳ ゴシック" w:hAnsi="ＭＳ ゴシック" w:hint="eastAsia"/>
          <w:b/>
        </w:rPr>
        <w:t>附属書</w:t>
      </w:r>
      <w:r w:rsidR="00C25C85" w:rsidRPr="00BC31E0">
        <w:rPr>
          <w:rFonts w:ascii="ＭＳ ゴシック" w:eastAsia="ＭＳ ゴシック" w:hAnsi="ＭＳ ゴシック"/>
          <w:b/>
        </w:rPr>
        <w:t>H 3</w:t>
      </w:r>
      <w:r w:rsidR="00C25C85" w:rsidRPr="00BC31E0">
        <w:rPr>
          <w:rFonts w:hint="eastAsia"/>
        </w:rPr>
        <w:t>)</w:t>
      </w:r>
    </w:p>
    <w:p w14:paraId="72C3714B"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T</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ねじ部のたわみ係数</w:t>
      </w:r>
      <w:r w:rsidR="00C25C85" w:rsidRPr="00BC31E0">
        <w:rPr>
          <w:rFonts w:hint="eastAsia"/>
        </w:rPr>
        <w:t>(</w:t>
      </w:r>
      <w:r w:rsidR="00C25C85" w:rsidRPr="00BC31E0">
        <w:rPr>
          <w:rFonts w:ascii="Cambria Math" w:hAnsi="Cambria Math"/>
        </w:rPr>
        <w:t>1/mm</w:t>
      </w:r>
      <w:r w:rsidR="00C25C85" w:rsidRPr="00BC31E0">
        <w:rPr>
          <w:rFonts w:hint="eastAsia"/>
        </w:rPr>
        <w:t xml:space="preserve">) </w:t>
      </w:r>
      <w:r w:rsidR="00C25C85" w:rsidRPr="00BC31E0">
        <w:t>(</w:t>
      </w:r>
      <w:r w:rsidR="00C25C85" w:rsidRPr="00BC31E0">
        <w:rPr>
          <w:rFonts w:ascii="ＭＳ ゴシック" w:eastAsia="ＭＳ ゴシック" w:hAnsi="ＭＳ ゴシック" w:hint="eastAsia"/>
          <w:b/>
        </w:rPr>
        <w:t>附属書</w:t>
      </w:r>
      <w:r w:rsidR="00C25C85" w:rsidRPr="00BC31E0">
        <w:rPr>
          <w:rFonts w:ascii="ＭＳ ゴシック" w:eastAsia="ＭＳ ゴシック" w:hAnsi="ＭＳ ゴシック"/>
          <w:b/>
        </w:rPr>
        <w:t>G 5</w:t>
      </w:r>
      <w:r w:rsidR="00C25C85" w:rsidRPr="00BC31E0">
        <w:rPr>
          <w:rFonts w:hint="eastAsia"/>
        </w:rPr>
        <w:t>)</w:t>
      </w:r>
    </w:p>
    <w:p w14:paraId="4EDE3E29"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t</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有効クランプ厚さ</w:t>
      </w:r>
      <w:r w:rsidR="00C25C85" w:rsidRPr="00BC31E0">
        <w:rPr>
          <w:rFonts w:hint="eastAsia"/>
        </w:rPr>
        <w:t>(</w:t>
      </w:r>
      <w:r w:rsidR="00C25C85" w:rsidRPr="00BC31E0">
        <w:rPr>
          <w:rFonts w:ascii="Cambria Math" w:hAnsi="Cambria Math"/>
        </w:rPr>
        <w:t>mm</w:t>
      </w:r>
      <w:r w:rsidR="00C25C85" w:rsidRPr="00BC31E0">
        <w:rPr>
          <w:rFonts w:hint="eastAsia"/>
        </w:rPr>
        <w:t xml:space="preserve">) </w:t>
      </w:r>
      <w:r w:rsidR="00C25C85" w:rsidRPr="00BC31E0">
        <w:t>(</w:t>
      </w:r>
      <w:r w:rsidR="00C25C85" w:rsidRPr="00BC31E0">
        <w:rPr>
          <w:rFonts w:ascii="ＭＳ ゴシック" w:eastAsia="ＭＳ ゴシック" w:hAnsi="ＭＳ ゴシック" w:hint="eastAsia"/>
          <w:b/>
        </w:rPr>
        <w:t>附属書</w:t>
      </w:r>
      <w:r w:rsidR="00C25C85" w:rsidRPr="00BC31E0">
        <w:rPr>
          <w:rFonts w:ascii="ＭＳ ゴシック" w:eastAsia="ＭＳ ゴシック" w:hAnsi="ＭＳ ゴシック"/>
          <w:b/>
        </w:rPr>
        <w:t>H 3</w:t>
      </w:r>
      <w:r w:rsidR="00C25C85" w:rsidRPr="00BC31E0">
        <w:rPr>
          <w:rFonts w:hint="eastAsia"/>
        </w:rPr>
        <w:t>)</w:t>
      </w:r>
    </w:p>
    <w:p w14:paraId="3F0384BC"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w</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クランプ幅</w:t>
      </w:r>
      <w:r w:rsidR="00C25C85" w:rsidRPr="00BC31E0">
        <w:rPr>
          <w:rFonts w:hint="eastAsia"/>
        </w:rPr>
        <w:t>(</w:t>
      </w:r>
      <w:r w:rsidR="00C25C85" w:rsidRPr="00BC31E0">
        <w:rPr>
          <w:rFonts w:ascii="Cambria Math" w:hAnsi="Cambria Math"/>
        </w:rPr>
        <w:t>mm</w:t>
      </w:r>
      <w:r w:rsidR="00C25C85" w:rsidRPr="00BC31E0">
        <w:rPr>
          <w:rFonts w:hint="eastAsia"/>
        </w:rPr>
        <w:t xml:space="preserve">) </w:t>
      </w:r>
      <w:r w:rsidR="00C25C85" w:rsidRPr="00BC31E0">
        <w:t>(</w:t>
      </w:r>
      <w:r w:rsidR="00C25C85" w:rsidRPr="00BC31E0">
        <w:rPr>
          <w:rFonts w:ascii="ＭＳ ゴシック" w:eastAsia="ＭＳ ゴシック" w:hAnsi="ＭＳ ゴシック" w:hint="eastAsia"/>
          <w:b/>
        </w:rPr>
        <w:t>附属書</w:t>
      </w:r>
      <w:r w:rsidR="00C25C85" w:rsidRPr="00BC31E0">
        <w:rPr>
          <w:rFonts w:ascii="ＭＳ ゴシック" w:eastAsia="ＭＳ ゴシック" w:hAnsi="ＭＳ ゴシック"/>
          <w:b/>
        </w:rPr>
        <w:t>H 3</w:t>
      </w:r>
      <w:r w:rsidR="00C25C85" w:rsidRPr="00BC31E0">
        <w:rPr>
          <w:rFonts w:hint="eastAsia"/>
        </w:rPr>
        <w:t>)</w:t>
      </w:r>
    </w:p>
    <w:p w14:paraId="0507F1F9"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6</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周方向曲げ応力モーメントのアーム長さ</w:t>
      </w:r>
      <w:r w:rsidR="00C25C85" w:rsidRPr="00BC31E0">
        <w:rPr>
          <w:rFonts w:hint="eastAsia"/>
        </w:rPr>
        <w:t>(</w:t>
      </w:r>
      <w:r w:rsidR="00C25C85" w:rsidRPr="00BC31E0">
        <w:rPr>
          <w:rFonts w:ascii="Cambria Math" w:hAnsi="Cambria Math"/>
        </w:rPr>
        <w:t>mm</w:t>
      </w:r>
      <w:r w:rsidR="00C25C85" w:rsidRPr="00BC31E0">
        <w:rPr>
          <w:rFonts w:hint="eastAsia"/>
        </w:rPr>
        <w:t xml:space="preserve">) </w:t>
      </w:r>
      <w:r w:rsidR="00C25C85" w:rsidRPr="00BC31E0">
        <w:t>(</w:t>
      </w:r>
      <w:r w:rsidR="00C25C85" w:rsidRPr="00BC31E0">
        <w:rPr>
          <w:rFonts w:ascii="ＭＳ ゴシック" w:eastAsia="ＭＳ ゴシック" w:hAnsi="ＭＳ ゴシック" w:hint="eastAsia"/>
          <w:b/>
        </w:rPr>
        <w:t>附属書</w:t>
      </w:r>
      <w:r w:rsidR="00C25C85" w:rsidRPr="00BC31E0">
        <w:rPr>
          <w:rFonts w:ascii="ＭＳ ゴシック" w:eastAsia="ＭＳ ゴシック" w:hAnsi="ＭＳ ゴシック"/>
          <w:b/>
        </w:rPr>
        <w:t>H 3</w:t>
      </w:r>
      <w:r w:rsidR="00C25C85" w:rsidRPr="00BC31E0">
        <w:rPr>
          <w:rFonts w:hint="eastAsia"/>
        </w:rPr>
        <w:t>)</w:t>
      </w:r>
    </w:p>
    <w:p w14:paraId="1CDA907C"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M</m:t>
            </m:r>
          </m:sub>
        </m:sSub>
      </m:oMath>
      <w:r w:rsidR="00C25C85" w:rsidRPr="00BC31E0">
        <w:rPr>
          <w:rFonts w:hint="eastAsia"/>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ふた板と容器の相乗たわみ係数</w:t>
      </w:r>
      <w:r w:rsidR="00C25C85" w:rsidRPr="00BC31E0">
        <w:rPr>
          <w:rFonts w:hint="eastAsia"/>
        </w:rPr>
        <w:t>(</w:t>
      </w:r>
      <w:r w:rsidR="00C25C85" w:rsidRPr="00BC31E0">
        <w:rPr>
          <w:rFonts w:ascii="Cambria Math" w:hAnsi="Cambria Math"/>
        </w:rPr>
        <w:t>1/mm</w:t>
      </w:r>
      <w:r w:rsidR="00C25C85" w:rsidRPr="00BC31E0">
        <w:rPr>
          <w:rFonts w:hint="eastAsia"/>
        </w:rPr>
        <w:t xml:space="preserve">) </w:t>
      </w:r>
      <w:r w:rsidR="00C25C85" w:rsidRPr="00BC31E0">
        <w:t>(</w:t>
      </w:r>
      <w:r w:rsidR="00C25C85" w:rsidRPr="00BC31E0">
        <w:rPr>
          <w:rFonts w:ascii="ＭＳ ゴシック" w:eastAsia="ＭＳ ゴシック" w:hAnsi="ＭＳ ゴシック" w:hint="eastAsia"/>
          <w:b/>
        </w:rPr>
        <w:t>附属書</w:t>
      </w:r>
      <w:r w:rsidR="00C25C85" w:rsidRPr="00BC31E0">
        <w:rPr>
          <w:rFonts w:ascii="ＭＳ ゴシック" w:eastAsia="ＭＳ ゴシック" w:hAnsi="ＭＳ ゴシック"/>
          <w:b/>
        </w:rPr>
        <w:t>G 5</w:t>
      </w:r>
      <w:r w:rsidR="00C25C85" w:rsidRPr="00BC31E0">
        <w:rPr>
          <w:rFonts w:hint="eastAsia"/>
        </w:rPr>
        <w:t>)</w:t>
      </w:r>
    </w:p>
    <w:p w14:paraId="07E5B347"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OD</m:t>
            </m:r>
          </m:sub>
        </m:sSub>
      </m:oMath>
      <w:r w:rsidR="00C25C85" w:rsidRPr="00BC31E0">
        <w:rPr>
          <w:rFonts w:hint="eastAsia"/>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補修後のくぼみ径</w:t>
      </w:r>
      <w:r w:rsidR="00C25C85" w:rsidRPr="00BC31E0">
        <w:rPr>
          <w:rFonts w:hint="eastAsia"/>
        </w:rPr>
        <w:t>(</w:t>
      </w:r>
      <w:r w:rsidR="00C25C85" w:rsidRPr="00BC31E0">
        <w:rPr>
          <w:rFonts w:ascii="Cambria Math" w:hAnsi="Cambria Math"/>
        </w:rPr>
        <w:t>mm</w:t>
      </w:r>
      <w:r w:rsidR="00C25C85" w:rsidRPr="00BC31E0">
        <w:rPr>
          <w:rFonts w:hint="eastAsia"/>
        </w:rPr>
        <w:t xml:space="preserve">) </w:t>
      </w:r>
      <w:r w:rsidR="00C25C85" w:rsidRPr="00BC31E0">
        <w:t>(</w:t>
      </w:r>
      <w:r w:rsidR="00C25C85" w:rsidRPr="00BC31E0">
        <w:rPr>
          <w:rFonts w:ascii="ＭＳ ゴシック" w:eastAsia="ＭＳ ゴシック"/>
          <w:b/>
        </w:rPr>
        <w:t>9.2.3</w:t>
      </w:r>
      <w:r w:rsidR="00C25C85" w:rsidRPr="00BC31E0">
        <w:rPr>
          <w:rFonts w:hint="eastAsia"/>
        </w:rPr>
        <w:t>)</w:t>
      </w:r>
    </w:p>
    <w:p w14:paraId="121B502F" w14:textId="77777777" w:rsidR="00C25C85" w:rsidRPr="00BC31E0" w:rsidRDefault="00C25C85" w:rsidP="008234D1">
      <w:pPr>
        <w:tabs>
          <w:tab w:val="left" w:pos="1276"/>
        </w:tabs>
        <w:autoSpaceDE w:val="0"/>
        <w:autoSpaceDN w:val="0"/>
        <w:ind w:left="1588" w:hanging="1021"/>
      </w:pPr>
      <m:oMath>
        <m:r>
          <w:rPr>
            <w:rFonts w:ascii="Cambria Math" w:hAnsi="Cambria Math"/>
            <w:szCs w:val="24"/>
          </w:rPr>
          <m:t>CP</m:t>
        </m:r>
      </m:oMath>
      <w:r w:rsidRPr="00BC31E0">
        <w:rPr>
          <w:rFonts w:hint="eastAsia"/>
          <w:i/>
          <w:szCs w:val="24"/>
        </w:rPr>
        <w:tab/>
      </w:r>
      <w:r w:rsidRPr="00BC31E0">
        <w:rPr>
          <w:rFonts w:hint="eastAsia"/>
        </w:rPr>
        <w:t>：</w:t>
      </w:r>
      <w:r w:rsidRPr="00BC31E0">
        <w:rPr>
          <w:rFonts w:hint="eastAsia"/>
        </w:rPr>
        <w:t xml:space="preserve"> </w:t>
      </w:r>
      <w:r w:rsidRPr="00BC31E0">
        <w:rPr>
          <w:rFonts w:hint="eastAsia"/>
        </w:rPr>
        <w:t>崩壊荷重</w:t>
      </w:r>
      <w:r w:rsidRPr="00BC31E0">
        <w:rPr>
          <w:rFonts w:hint="eastAsia"/>
        </w:rPr>
        <w:t>(</w:t>
      </w:r>
      <w:r w:rsidRPr="00BC31E0">
        <w:rPr>
          <w:rFonts w:ascii="Cambria Math" w:hAnsi="Cambria Math"/>
        </w:rPr>
        <w:t>MPa</w:t>
      </w:r>
      <w:r w:rsidRPr="00BC31E0">
        <w:rPr>
          <w:rFonts w:hint="eastAsia"/>
        </w:rPr>
        <w:t xml:space="preserve">) </w:t>
      </w:r>
      <w:r w:rsidRPr="00BC31E0">
        <w:t>(</w:t>
      </w:r>
      <w:r w:rsidRPr="00BC31E0">
        <w:rPr>
          <w:rFonts w:ascii="ＭＳ ゴシック" w:eastAsia="ＭＳ ゴシック"/>
          <w:b/>
        </w:rPr>
        <w:t>6.11.6</w:t>
      </w:r>
      <w:r w:rsidRPr="00BC31E0">
        <w:rPr>
          <w:rFonts w:hint="eastAsia"/>
        </w:rPr>
        <w:t>)</w:t>
      </w:r>
    </w:p>
    <w:p w14:paraId="3CDFE70D" w14:textId="77777777" w:rsidR="00C25C85" w:rsidRPr="00BC31E0" w:rsidRDefault="00C25C85" w:rsidP="008234D1">
      <w:pPr>
        <w:tabs>
          <w:tab w:val="left" w:pos="1276"/>
        </w:tabs>
        <w:autoSpaceDE w:val="0"/>
        <w:autoSpaceDN w:val="0"/>
        <w:ind w:left="1588" w:hanging="1021"/>
      </w:pPr>
      <m:oMath>
        <m:r>
          <w:rPr>
            <w:rFonts w:ascii="Cambria Math" w:hAnsi="Cambria Math"/>
            <w:szCs w:val="24"/>
          </w:rPr>
          <m:t>CTOD</m:t>
        </m:r>
      </m:oMath>
      <w:r w:rsidRPr="00BC31E0">
        <w:rPr>
          <w:rFonts w:hint="eastAsia"/>
          <w:i/>
          <w:szCs w:val="24"/>
        </w:rPr>
        <w:tab/>
      </w:r>
      <w:r w:rsidRPr="00BC31E0">
        <w:rPr>
          <w:rFonts w:hint="eastAsia"/>
        </w:rPr>
        <w:t>：</w:t>
      </w:r>
      <w:r w:rsidRPr="00BC31E0">
        <w:rPr>
          <w:rFonts w:hint="eastAsia"/>
        </w:rPr>
        <w:t xml:space="preserve"> </w:t>
      </w:r>
      <w:r w:rsidRPr="00BC31E0">
        <w:rPr>
          <w:rFonts w:hint="eastAsia"/>
        </w:rPr>
        <w:t>亀裂先端開口変位</w:t>
      </w:r>
      <w:r w:rsidRPr="00BC31E0">
        <w:rPr>
          <w:rFonts w:hint="eastAsia"/>
        </w:rPr>
        <w:t>(</w:t>
      </w:r>
      <w:r w:rsidRPr="00BC31E0">
        <w:rPr>
          <w:rFonts w:ascii="Cambria Math" w:hAnsi="Cambria Math"/>
        </w:rPr>
        <w:t>m</w:t>
      </w:r>
      <w:r w:rsidRPr="00BC31E0">
        <w:rPr>
          <w:rFonts w:hint="eastAsia"/>
        </w:rPr>
        <w:t xml:space="preserve">) </w:t>
      </w:r>
      <w:r w:rsidRPr="00BC31E0">
        <w:t>(</w:t>
      </w:r>
      <w:r w:rsidRPr="00BC31E0">
        <w:rPr>
          <w:rFonts w:ascii="ＭＳ ゴシック" w:eastAsia="ＭＳ ゴシック"/>
          <w:b/>
        </w:rPr>
        <w:t>5.2.9</w:t>
      </w:r>
      <w:r w:rsidRPr="00BC31E0">
        <w:rPr>
          <w:rFonts w:hAnsi="ＭＳ ゴシック" w:hint="eastAsia"/>
        </w:rPr>
        <w:t>，</w:t>
      </w:r>
      <w:r w:rsidRPr="00BC31E0">
        <w:rPr>
          <w:rFonts w:ascii="ＭＳ ゴシック" w:eastAsia="ＭＳ ゴシック" w:hAnsi="ＭＳ ゴシック" w:hint="eastAsia"/>
          <w:b/>
        </w:rPr>
        <w:t>附属書</w:t>
      </w:r>
      <w:r w:rsidRPr="00BC31E0">
        <w:rPr>
          <w:rFonts w:ascii="ＭＳ ゴシック" w:eastAsia="ＭＳ ゴシック"/>
          <w:b/>
        </w:rPr>
        <w:t>C</w:t>
      </w:r>
      <w:r w:rsidRPr="00BC31E0">
        <w:rPr>
          <w:rFonts w:ascii="ＭＳ ゴシック" w:eastAsia="ＭＳ ゴシック" w:hint="eastAsia"/>
          <w:b/>
        </w:rPr>
        <w:t xml:space="preserve"> </w:t>
      </w:r>
      <w:r w:rsidRPr="00BC31E0">
        <w:rPr>
          <w:rFonts w:ascii="ＭＳ ゴシック" w:eastAsia="ＭＳ ゴシック"/>
          <w:b/>
        </w:rPr>
        <w:t>6</w:t>
      </w:r>
      <w:r w:rsidRPr="00BC31E0">
        <w:rPr>
          <w:rFonts w:hint="eastAsia"/>
        </w:rPr>
        <w:t>)</w:t>
      </w:r>
    </w:p>
    <w:p w14:paraId="74AFBE9A" w14:textId="77777777" w:rsidR="00C25C85" w:rsidRPr="00BC31E0" w:rsidRDefault="00C25C85" w:rsidP="008234D1">
      <w:pPr>
        <w:tabs>
          <w:tab w:val="left" w:pos="1276"/>
        </w:tabs>
        <w:autoSpaceDE w:val="0"/>
        <w:autoSpaceDN w:val="0"/>
        <w:ind w:left="1588" w:hanging="1021"/>
      </w:pPr>
      <m:oMath>
        <m:r>
          <w:rPr>
            <w:rFonts w:ascii="Cambria Math" w:hAnsi="Cambria Math"/>
            <w:szCs w:val="24"/>
          </w:rPr>
          <m:t>CVN</m:t>
        </m:r>
      </m:oMath>
      <w:r w:rsidRPr="00BC31E0">
        <w:tab/>
      </w:r>
      <w:r w:rsidRPr="00BC31E0">
        <w:rPr>
          <w:rFonts w:hint="eastAsia"/>
        </w:rPr>
        <w:t>：</w:t>
      </w:r>
      <w:r w:rsidRPr="00BC31E0">
        <w:rPr>
          <w:rFonts w:hint="eastAsia"/>
        </w:rPr>
        <w:t xml:space="preserve"> </w:t>
      </w:r>
      <w:r w:rsidRPr="00BC31E0">
        <w:rPr>
          <w:rFonts w:hint="eastAsia"/>
        </w:rPr>
        <w:t>シャルピー</w:t>
      </w:r>
      <w:r w:rsidRPr="00BC31E0">
        <w:t>V</w:t>
      </w:r>
      <w:r w:rsidRPr="00BC31E0">
        <w:rPr>
          <w:rFonts w:hint="eastAsia"/>
        </w:rPr>
        <w:t>ノッチ衝撃値</w:t>
      </w:r>
      <w:r w:rsidRPr="00BC31E0">
        <w:rPr>
          <w:rFonts w:hint="eastAsia"/>
        </w:rPr>
        <w:t>(</w:t>
      </w:r>
      <w:r w:rsidRPr="00BC31E0">
        <w:rPr>
          <w:rFonts w:ascii="Cambria Math" w:hAnsi="Cambria Math"/>
        </w:rPr>
        <w:t>J</w:t>
      </w:r>
      <w:r w:rsidRPr="00BC31E0">
        <w:rPr>
          <w:rFonts w:hint="eastAsia"/>
        </w:rPr>
        <w:t xml:space="preserve">) </w:t>
      </w:r>
      <w:r w:rsidRPr="00BC31E0">
        <w:t>(</w:t>
      </w:r>
      <w:r w:rsidRPr="00BC31E0">
        <w:rPr>
          <w:rFonts w:ascii="ＭＳ ゴシック" w:eastAsia="ＭＳ ゴシック"/>
          <w:b/>
          <w:bCs/>
        </w:rPr>
        <w:t>5.2.9</w:t>
      </w:r>
      <w:r w:rsidRPr="00BC31E0">
        <w:rPr>
          <w:rFonts w:hint="eastAsia"/>
        </w:rPr>
        <w:t>)</w:t>
      </w:r>
    </w:p>
    <w:p w14:paraId="153014D5" w14:textId="77777777" w:rsidR="00C25C85" w:rsidRPr="00BC31E0" w:rsidRDefault="00C25C85" w:rsidP="008234D1">
      <w:pPr>
        <w:tabs>
          <w:tab w:val="left" w:pos="1276"/>
        </w:tabs>
        <w:autoSpaceDE w:val="0"/>
        <w:autoSpaceDN w:val="0"/>
        <w:ind w:left="1588" w:hanging="1021"/>
      </w:pPr>
      <w:r w:rsidRPr="00BC31E0">
        <w:rPr>
          <w:rFonts w:hint="eastAsia"/>
        </w:rPr>
        <w:tab/>
      </w:r>
      <w:r w:rsidRPr="00BC31E0">
        <w:rPr>
          <w:rFonts w:hint="eastAsia"/>
        </w:rPr>
        <w:t>：</w:t>
      </w:r>
      <w:r w:rsidRPr="00BC31E0">
        <w:rPr>
          <w:rFonts w:hint="eastAsia"/>
        </w:rPr>
        <w:t xml:space="preserve"> </w:t>
      </w:r>
      <w:r w:rsidRPr="00BC31E0">
        <w:rPr>
          <w:rFonts w:hint="eastAsia"/>
        </w:rPr>
        <w:t>上部棚領域におけるシャルピー</w:t>
      </w:r>
      <w:r w:rsidRPr="00BC31E0">
        <w:t>V</w:t>
      </w:r>
      <w:r w:rsidRPr="00BC31E0">
        <w:rPr>
          <w:rFonts w:hint="eastAsia"/>
        </w:rPr>
        <w:t>ノッチ衝撃値</w:t>
      </w:r>
      <w:r w:rsidRPr="00BC31E0">
        <w:rPr>
          <w:rFonts w:hint="eastAsia"/>
        </w:rPr>
        <w:t>(</w:t>
      </w:r>
      <w:r w:rsidRPr="00BC31E0">
        <w:rPr>
          <w:rFonts w:ascii="Cambria Math" w:hAnsi="Cambria Math"/>
        </w:rPr>
        <w:t>J</w:t>
      </w:r>
      <w:r w:rsidRPr="00BC31E0">
        <w:rPr>
          <w:rFonts w:hint="eastAsia"/>
        </w:rPr>
        <w:t xml:space="preserve">) </w:t>
      </w:r>
      <w:r w:rsidRPr="00BC31E0">
        <w:t>(</w:t>
      </w:r>
      <w:r w:rsidRPr="00BC31E0">
        <w:rPr>
          <w:rFonts w:ascii="ＭＳ ゴシック" w:eastAsia="ＭＳ ゴシック" w:hAnsi="ＭＳ ゴシック" w:hint="eastAsia"/>
          <w:b/>
        </w:rPr>
        <w:t>附属書</w:t>
      </w:r>
      <w:r w:rsidRPr="00BC31E0">
        <w:rPr>
          <w:rFonts w:ascii="ＭＳ ゴシック" w:eastAsia="ＭＳ ゴシック"/>
          <w:b/>
        </w:rPr>
        <w:t>C 6</w:t>
      </w:r>
      <w:r w:rsidRPr="00BC31E0">
        <w:rPr>
          <w:rFonts w:hint="eastAsia"/>
        </w:rPr>
        <w:t>)</w:t>
      </w:r>
    </w:p>
    <w:p w14:paraId="709BDEA8" w14:textId="77777777" w:rsidR="00C25C85" w:rsidRPr="00BC31E0" w:rsidRDefault="00C25C85" w:rsidP="008234D1">
      <w:pPr>
        <w:tabs>
          <w:tab w:val="left" w:pos="1276"/>
        </w:tabs>
        <w:autoSpaceDE w:val="0"/>
        <w:autoSpaceDN w:val="0"/>
        <w:ind w:left="1588" w:hanging="1021"/>
      </w:pPr>
      <m:oMath>
        <m:r>
          <w:rPr>
            <w:rFonts w:ascii="Cambria Math" w:hAnsi="Cambria Math"/>
            <w:szCs w:val="24"/>
          </w:rPr>
          <m:t>D</m:t>
        </m:r>
      </m:oMath>
      <w:r w:rsidRPr="00BC31E0">
        <w:tab/>
      </w:r>
      <w:r w:rsidRPr="00BC31E0">
        <w:rPr>
          <w:rFonts w:hint="eastAsia"/>
        </w:rPr>
        <w:t>：</w:t>
      </w:r>
      <w:r w:rsidRPr="00BC31E0">
        <w:rPr>
          <w:rFonts w:hint="eastAsia"/>
        </w:rPr>
        <w:t xml:space="preserve"> </w:t>
      </w:r>
      <w:r w:rsidRPr="00BC31E0">
        <w:rPr>
          <w:rFonts w:hint="eastAsia"/>
        </w:rPr>
        <w:t>自重</w:t>
      </w:r>
      <w:r w:rsidRPr="00BC31E0">
        <w:rPr>
          <w:rFonts w:hint="eastAsia"/>
        </w:rPr>
        <w:t>(</w:t>
      </w:r>
      <w:r w:rsidRPr="00BC31E0">
        <w:rPr>
          <w:rFonts w:ascii="Cambria Math" w:hAnsi="Cambria Math"/>
        </w:rPr>
        <w:t>N</w:t>
      </w:r>
      <w:r w:rsidRPr="00BC31E0">
        <w:rPr>
          <w:rFonts w:hint="eastAsia"/>
        </w:rPr>
        <w:t>) (</w:t>
      </w:r>
      <w:r w:rsidRPr="00BC31E0">
        <w:rPr>
          <w:rFonts w:asciiTheme="majorEastAsia" w:eastAsiaTheme="majorEastAsia" w:hAnsiTheme="majorEastAsia" w:hint="eastAsia"/>
          <w:b/>
        </w:rPr>
        <w:t>表6.2.2</w:t>
      </w:r>
      <w:r w:rsidRPr="00BC31E0">
        <w:rPr>
          <w:rFonts w:asciiTheme="minorEastAsia" w:eastAsiaTheme="minorEastAsia" w:hAnsiTheme="minorEastAsia" w:hint="eastAsia"/>
        </w:rPr>
        <w:t>，</w:t>
      </w:r>
      <w:r w:rsidRPr="00BC31E0">
        <w:rPr>
          <w:rFonts w:asciiTheme="majorEastAsia" w:eastAsiaTheme="majorEastAsia" w:hAnsiTheme="majorEastAsia" w:hint="eastAsia"/>
          <w:b/>
        </w:rPr>
        <w:t>附属書J 表J.1</w:t>
      </w:r>
      <w:r w:rsidRPr="00BC31E0">
        <w:rPr>
          <w:rFonts w:hint="eastAsia"/>
        </w:rPr>
        <w:t>)</w:t>
      </w:r>
    </w:p>
    <w:p w14:paraId="26B9C479" w14:textId="77777777" w:rsidR="00C25C85" w:rsidRPr="00BC31E0" w:rsidRDefault="00C25C85" w:rsidP="008234D1">
      <w:pPr>
        <w:tabs>
          <w:tab w:val="left" w:pos="1276"/>
        </w:tabs>
        <w:autoSpaceDE w:val="0"/>
        <w:autoSpaceDN w:val="0"/>
        <w:ind w:left="1588" w:hanging="1021"/>
      </w:pPr>
      <w:r w:rsidRPr="00BC31E0">
        <w:rPr>
          <w:rFonts w:hint="eastAsia"/>
        </w:rPr>
        <w:tab/>
      </w:r>
      <w:r w:rsidRPr="00BC31E0">
        <w:rPr>
          <w:rFonts w:hint="eastAsia"/>
        </w:rPr>
        <w:t>：</w:t>
      </w:r>
      <w:r w:rsidRPr="00BC31E0">
        <w:rPr>
          <w:rFonts w:hint="eastAsia"/>
        </w:rPr>
        <w:t xml:space="preserve"> </w:t>
      </w:r>
      <w:r w:rsidRPr="00BC31E0">
        <w:rPr>
          <w:rFonts w:hint="eastAsia"/>
        </w:rPr>
        <w:t>任意の半径方向位置における円筒胴の直径</w:t>
      </w:r>
      <w:r w:rsidRPr="00BC31E0">
        <w:rPr>
          <w:rFonts w:hint="eastAsia"/>
        </w:rPr>
        <w:t>(</w:t>
      </w:r>
      <w:r w:rsidRPr="00BC31E0">
        <w:rPr>
          <w:rFonts w:ascii="Cambria Math" w:hAnsi="Cambria Math"/>
        </w:rPr>
        <w:t>mm</w:t>
      </w:r>
      <w:r w:rsidRPr="00BC31E0">
        <w:rPr>
          <w:rFonts w:hint="eastAsia"/>
        </w:rPr>
        <w:t xml:space="preserve">) </w:t>
      </w:r>
      <w:r w:rsidRPr="00BC31E0">
        <w:t>(</w:t>
      </w:r>
      <w:r w:rsidRPr="00BC31E0">
        <w:rPr>
          <w:rFonts w:ascii="ＭＳ ゴシック" w:eastAsia="ＭＳ ゴシック"/>
          <w:b/>
        </w:rPr>
        <w:t>6.5.3</w:t>
      </w:r>
      <w:r w:rsidRPr="00BC31E0">
        <w:rPr>
          <w:rFonts w:hAnsi="ＭＳ ゴシック" w:hint="eastAsia"/>
        </w:rPr>
        <w:t>，</w:t>
      </w:r>
      <w:r w:rsidRPr="00BC31E0">
        <w:rPr>
          <w:rFonts w:ascii="ＭＳ ゴシック" w:eastAsia="ＭＳ ゴシック"/>
          <w:b/>
        </w:rPr>
        <w:t>6.8.3</w:t>
      </w:r>
      <w:r w:rsidRPr="00BC31E0">
        <w:rPr>
          <w:rFonts w:asciiTheme="minorEastAsia" w:eastAsiaTheme="minorEastAsia" w:hAnsiTheme="minorEastAsia" w:hint="eastAsia"/>
          <w:bCs/>
        </w:rPr>
        <w:t>，</w:t>
      </w:r>
      <w:r w:rsidRPr="00BC31E0">
        <w:rPr>
          <w:rFonts w:asciiTheme="majorEastAsia" w:eastAsiaTheme="majorEastAsia" w:hAnsiTheme="majorEastAsia" w:hint="eastAsia"/>
          <w:b/>
        </w:rPr>
        <w:t>附属書J</w:t>
      </w:r>
      <w:r w:rsidRPr="00BC31E0">
        <w:rPr>
          <w:rFonts w:asciiTheme="majorEastAsia" w:eastAsiaTheme="majorEastAsia" w:hAnsiTheme="majorEastAsia"/>
          <w:b/>
        </w:rPr>
        <w:t xml:space="preserve"> 2</w:t>
      </w:r>
      <w:r w:rsidRPr="00BC31E0">
        <w:rPr>
          <w:rFonts w:hint="eastAsia"/>
        </w:rPr>
        <w:t>)</w:t>
      </w:r>
    </w:p>
    <w:p w14:paraId="3FB33019"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hint="eastAsia"/>
                <w:szCs w:val="24"/>
              </w:rPr>
              <m:t>D</m:t>
            </m:r>
          </m:e>
          <m:sub>
            <m:r>
              <w:rPr>
                <w:rFonts w:ascii="Cambria Math" w:hAnsi="Cambria Math" w:hint="eastAsia"/>
                <w:szCs w:val="24"/>
              </w:rPr>
              <m:t>C</m:t>
            </m:r>
          </m:sub>
        </m:sSub>
      </m:oMath>
      <w:r w:rsidR="00C25C85" w:rsidRPr="00BC31E0">
        <w:tab/>
      </w:r>
      <w:r w:rsidR="00C25C85" w:rsidRPr="00BC31E0">
        <w:rPr>
          <w:rFonts w:hint="eastAsia"/>
        </w:rPr>
        <w:t>：</w:t>
      </w:r>
      <w:r w:rsidR="00C25C85" w:rsidRPr="00BC31E0">
        <w:rPr>
          <w:rFonts w:hint="eastAsia"/>
        </w:rPr>
        <w:t xml:space="preserve"> </w:t>
      </w:r>
      <w:r w:rsidR="00C25C85" w:rsidRPr="00BC31E0">
        <w:rPr>
          <w:rFonts w:hint="eastAsia"/>
        </w:rPr>
        <w:t>コーナー部の直径</w:t>
      </w:r>
      <w:r w:rsidR="00C25C85" w:rsidRPr="00BC31E0">
        <w:rPr>
          <w:rFonts w:hint="eastAsia"/>
        </w:rPr>
        <w:t>(</w:t>
      </w:r>
      <w:r w:rsidR="00C25C85" w:rsidRPr="00BC31E0">
        <w:rPr>
          <w:rFonts w:ascii="Cambria Math" w:hAnsi="Cambria Math"/>
        </w:rPr>
        <w:t>mm</w:t>
      </w:r>
      <w:r w:rsidR="00C25C85" w:rsidRPr="00BC31E0">
        <w:rPr>
          <w:rFonts w:hint="eastAsia"/>
        </w:rPr>
        <w:t xml:space="preserve">) </w:t>
      </w:r>
      <w:r w:rsidR="00C25C85" w:rsidRPr="00BC31E0">
        <w:t>(</w:t>
      </w:r>
      <w:r w:rsidR="00C25C85" w:rsidRPr="00BC31E0">
        <w:rPr>
          <w:rFonts w:asciiTheme="majorEastAsia" w:eastAsiaTheme="majorEastAsia" w:hAnsiTheme="majorEastAsia" w:hint="eastAsia"/>
          <w:b/>
        </w:rPr>
        <w:t>附属書G</w:t>
      </w:r>
      <w:r w:rsidR="00C25C85" w:rsidRPr="00BC31E0">
        <w:rPr>
          <w:rFonts w:asciiTheme="majorEastAsia" w:eastAsiaTheme="majorEastAsia" w:hAnsiTheme="majorEastAsia"/>
          <w:b/>
        </w:rPr>
        <w:t xml:space="preserve"> </w:t>
      </w:r>
      <w:r w:rsidR="00C25C85" w:rsidRPr="00BC31E0">
        <w:rPr>
          <w:rFonts w:asciiTheme="majorEastAsia" w:eastAsiaTheme="majorEastAsia" w:hAnsiTheme="majorEastAsia" w:hint="eastAsia"/>
          <w:b/>
        </w:rPr>
        <w:t>図G.1</w:t>
      </w:r>
      <w:r w:rsidR="00C25C85" w:rsidRPr="00BC31E0">
        <w:rPr>
          <w:rFonts w:hint="eastAsia"/>
        </w:rPr>
        <w:t>)</w:t>
      </w:r>
    </w:p>
    <w:p w14:paraId="5848F643"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ε</m:t>
            </m:r>
            <m:r>
              <w:rPr>
                <w:rFonts w:ascii="Cambria Math" w:hAnsi="Cambria Math" w:hint="eastAsia"/>
                <w:szCs w:val="24"/>
              </w:rPr>
              <m:t>,</m:t>
            </m:r>
            <m:r>
              <w:rPr>
                <w:rFonts w:ascii="Cambria Math" w:hAnsi="Cambria Math"/>
                <w:szCs w:val="24"/>
              </w:rPr>
              <m:t>k</m:t>
            </m:r>
          </m:sub>
        </m:sSub>
      </m:oMath>
      <w:r w:rsidR="00C25C85" w:rsidRPr="00BC31E0">
        <w:rPr>
          <w:rFonts w:hint="eastAsia"/>
          <w:szCs w:val="24"/>
          <w:vertAlign w:val="subscript"/>
        </w:rPr>
        <w:tab/>
      </w:r>
      <w:r w:rsidR="00C25C85" w:rsidRPr="00BC31E0">
        <w:rPr>
          <w:rFonts w:hint="eastAsia"/>
        </w:rPr>
        <w:t>：</w:t>
      </w:r>
      <w:r w:rsidR="00C25C85" w:rsidRPr="00BC31E0">
        <w:rPr>
          <w:rFonts w:hint="eastAsia"/>
        </w:rPr>
        <w:t xml:space="preserve"> </w:t>
      </w:r>
      <m:oMath>
        <m:r>
          <w:rPr>
            <w:rFonts w:ascii="Cambria Math" w:hAnsi="Cambria Math"/>
          </w:rPr>
          <m:t>k</m:t>
        </m:r>
      </m:oMath>
      <w:r w:rsidR="00C25C85" w:rsidRPr="00BC31E0">
        <w:rPr>
          <w:rFonts w:hint="eastAsia"/>
        </w:rPr>
        <w:t>番目の荷重ステップで発生する局部ひずみ損傷</w:t>
      </w:r>
      <w:r w:rsidR="00C25C85" w:rsidRPr="00BC31E0">
        <w:rPr>
          <w:rFonts w:hint="eastAsia"/>
        </w:rPr>
        <w:t xml:space="preserve"> (</w:t>
      </w:r>
      <w:r w:rsidR="00C25C85" w:rsidRPr="00BC31E0">
        <w:rPr>
          <w:rFonts w:ascii="ＭＳ ゴシック" w:eastAsia="ＭＳ ゴシック"/>
          <w:b/>
        </w:rPr>
        <w:t>6.2.3</w:t>
      </w:r>
      <w:r w:rsidR="00C25C85" w:rsidRPr="00BC31E0">
        <w:rPr>
          <w:rFonts w:hint="eastAsia"/>
        </w:rPr>
        <w:t>)</w:t>
      </w:r>
    </w:p>
    <w:p w14:paraId="021C579D"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hint="eastAsia"/>
                <w:szCs w:val="24"/>
              </w:rPr>
              <m:t>D</m:t>
            </m:r>
          </m:e>
          <m:sub>
            <m:r>
              <w:rPr>
                <w:rFonts w:ascii="Cambria Math" w:hAnsi="Cambria Math"/>
                <w:szCs w:val="24"/>
              </w:rPr>
              <m:t>ε</m:t>
            </m:r>
          </m:sub>
        </m:sSub>
      </m:oMath>
      <w:r w:rsidR="00C25C85" w:rsidRPr="00BC31E0">
        <w:t xml:space="preserve"> </w:t>
      </w:r>
      <w:r w:rsidR="00C25C85" w:rsidRPr="00BC31E0">
        <w:rPr>
          <w:rFonts w:hint="eastAsia"/>
        </w:rPr>
        <w:tab/>
      </w:r>
      <w:r w:rsidR="00C25C85" w:rsidRPr="00BC31E0">
        <w:rPr>
          <w:rFonts w:hint="eastAsia"/>
        </w:rPr>
        <w:t>：</w:t>
      </w:r>
      <w:r w:rsidR="00C25C85" w:rsidRPr="00BC31E0">
        <w:rPr>
          <w:rFonts w:hint="eastAsia"/>
        </w:rPr>
        <w:t xml:space="preserve"> </w:t>
      </w:r>
      <w:r w:rsidR="00C25C85" w:rsidRPr="00BC31E0">
        <w:rPr>
          <w:rFonts w:hint="eastAsia"/>
        </w:rPr>
        <w:t>累積損傷</w:t>
      </w:r>
      <w:r w:rsidR="00C25C85" w:rsidRPr="00BC31E0">
        <w:rPr>
          <w:rFonts w:hint="eastAsia"/>
        </w:rPr>
        <w:t xml:space="preserve"> (</w:t>
      </w:r>
      <w:r w:rsidR="00C25C85" w:rsidRPr="00BC31E0">
        <w:rPr>
          <w:rFonts w:asciiTheme="majorEastAsia" w:eastAsiaTheme="majorEastAsia" w:hAnsiTheme="majorEastAsia" w:hint="eastAsia"/>
          <w:b/>
        </w:rPr>
        <w:t>6.2.3</w:t>
      </w:r>
      <w:r w:rsidR="00C25C85" w:rsidRPr="00BC31E0">
        <w:rPr>
          <w:rFonts w:hint="eastAsia"/>
        </w:rPr>
        <w:t>)</w:t>
      </w:r>
    </w:p>
    <w:p w14:paraId="1459CB66"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εform</m:t>
            </m:r>
          </m:sub>
        </m:sSub>
      </m:oMath>
      <w:r w:rsidR="00C25C85" w:rsidRPr="00BC31E0">
        <w:rPr>
          <w:rFonts w:hint="eastAsia"/>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加工による損傷</w:t>
      </w:r>
      <w:r w:rsidR="00C25C85" w:rsidRPr="00BC31E0">
        <w:rPr>
          <w:rFonts w:hint="eastAsia"/>
        </w:rPr>
        <w:t xml:space="preserve"> </w:t>
      </w:r>
      <w:r w:rsidR="00C25C85" w:rsidRPr="00BC31E0">
        <w:t>(</w:t>
      </w:r>
      <w:r w:rsidR="00C25C85" w:rsidRPr="00BC31E0">
        <w:rPr>
          <w:rFonts w:ascii="ＭＳ ゴシック" w:eastAsia="ＭＳ ゴシック"/>
          <w:b/>
        </w:rPr>
        <w:t>6.2.3</w:t>
      </w:r>
      <w:r w:rsidR="00C25C85" w:rsidRPr="00BC31E0">
        <w:rPr>
          <w:rFonts w:hint="eastAsia"/>
        </w:rPr>
        <w:t>)</w:t>
      </w:r>
    </w:p>
    <w:p w14:paraId="53DCC5B9"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εt</m:t>
            </m:r>
          </m:sub>
        </m:sSub>
      </m:oMath>
      <w:r w:rsidR="00C25C85" w:rsidRPr="00BC31E0">
        <w:rPr>
          <w:rFonts w:hint="eastAsia"/>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合計累積損傷</w:t>
      </w:r>
      <w:r w:rsidR="00C25C85" w:rsidRPr="00BC31E0">
        <w:rPr>
          <w:rFonts w:hint="eastAsia"/>
        </w:rPr>
        <w:t xml:space="preserve"> </w:t>
      </w:r>
      <w:r w:rsidR="00C25C85" w:rsidRPr="00BC31E0">
        <w:t>(</w:t>
      </w:r>
      <w:r w:rsidR="00C25C85" w:rsidRPr="00BC31E0">
        <w:rPr>
          <w:rFonts w:ascii="ＭＳ ゴシック" w:eastAsia="ＭＳ ゴシック"/>
          <w:b/>
        </w:rPr>
        <w:t>6.2.3</w:t>
      </w:r>
      <w:r w:rsidR="00C25C85" w:rsidRPr="00BC31E0">
        <w:rPr>
          <w:rFonts w:hint="eastAsia"/>
        </w:rPr>
        <w:t>)</w:t>
      </w:r>
    </w:p>
    <w:p w14:paraId="579A277E"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H</m:t>
            </m:r>
          </m:sub>
        </m:sSub>
      </m:oMath>
      <w:r w:rsidR="00C25C85" w:rsidRPr="00BC31E0">
        <w:rPr>
          <w:rFonts w:hint="eastAsia"/>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副穴の内径</w:t>
      </w:r>
      <w:r w:rsidR="00C25C85" w:rsidRPr="00BC31E0">
        <w:rPr>
          <w:rFonts w:hint="eastAsia"/>
        </w:rPr>
        <w:t>(</w:t>
      </w:r>
      <w:r w:rsidR="00C25C85" w:rsidRPr="00BC31E0">
        <w:rPr>
          <w:rFonts w:hint="eastAsia"/>
        </w:rPr>
        <w:t>容器の胴の穴の内径</w:t>
      </w:r>
      <w:r w:rsidR="00C25C85" w:rsidRPr="00BC31E0">
        <w:rPr>
          <w:rFonts w:hint="eastAsia"/>
        </w:rPr>
        <w:t>)(</w:t>
      </w:r>
      <w:r w:rsidR="00C25C85" w:rsidRPr="00BC31E0">
        <w:rPr>
          <w:rFonts w:ascii="Cambria Math" w:hAnsi="Cambria Math"/>
        </w:rPr>
        <w:t>mm</w:t>
      </w:r>
      <w:r w:rsidR="00C25C85" w:rsidRPr="00BC31E0">
        <w:rPr>
          <w:rFonts w:hint="eastAsia"/>
        </w:rPr>
        <w:t>) (</w:t>
      </w:r>
      <w:r w:rsidR="00C25C85" w:rsidRPr="00BC31E0">
        <w:rPr>
          <w:rFonts w:ascii="ＭＳ ゴシック" w:eastAsia="ＭＳ ゴシック" w:hAnsi="ＭＳ ゴシック" w:hint="eastAsia"/>
          <w:b/>
        </w:rPr>
        <w:t>附属書</w:t>
      </w:r>
      <w:r w:rsidR="00C25C85" w:rsidRPr="00BC31E0">
        <w:rPr>
          <w:rFonts w:ascii="ＭＳ ゴシック" w:eastAsia="ＭＳ ゴシック" w:hAnsi="ＭＳ ゴシック"/>
          <w:b/>
        </w:rPr>
        <w:t>F 2</w:t>
      </w:r>
      <w:r w:rsidR="00C25C85" w:rsidRPr="00BC31E0">
        <w:rPr>
          <w:rFonts w:ascii="ＭＳ ゴシック" w:eastAsia="ＭＳ ゴシック" w:hAnsi="ＭＳ ゴシック" w:hint="eastAsia"/>
          <w:b/>
        </w:rPr>
        <w:t>，図6.10.4</w:t>
      </w:r>
      <w:r w:rsidR="00C25C85" w:rsidRPr="00BC31E0">
        <w:rPr>
          <w:rFonts w:hint="eastAsia"/>
        </w:rPr>
        <w:t>)</w:t>
      </w:r>
    </w:p>
    <w:p w14:paraId="4FE9EC15"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I</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円筒の内径</w:t>
      </w:r>
      <w:r w:rsidR="00C25C85" w:rsidRPr="00BC31E0">
        <w:rPr>
          <w:rFonts w:hint="eastAsia"/>
        </w:rPr>
        <w:t>(</w:t>
      </w:r>
      <w:r w:rsidR="00C25C85" w:rsidRPr="00BC31E0">
        <w:rPr>
          <w:rFonts w:ascii="Cambria Math" w:hAnsi="Cambria Math"/>
        </w:rPr>
        <w:t>mm</w:t>
      </w:r>
      <w:r w:rsidR="00C25C85" w:rsidRPr="00BC31E0">
        <w:rPr>
          <w:rFonts w:hint="eastAsia"/>
        </w:rPr>
        <w:t>) (</w:t>
      </w:r>
      <w:r w:rsidR="00C25C85" w:rsidRPr="00BC31E0">
        <w:rPr>
          <w:rFonts w:ascii="ＭＳ ゴシック" w:eastAsia="ＭＳ ゴシック"/>
          <w:b/>
        </w:rPr>
        <w:t>6.5</w:t>
      </w:r>
      <w:r w:rsidR="00C25C85" w:rsidRPr="00BC31E0">
        <w:rPr>
          <w:rFonts w:hAnsi="ＭＳ ゴシック" w:hint="eastAsia"/>
        </w:rPr>
        <w:t>，</w:t>
      </w:r>
      <w:r w:rsidR="00C25C85" w:rsidRPr="00BC31E0">
        <w:rPr>
          <w:rFonts w:ascii="ＭＳ ゴシック" w:eastAsia="ＭＳ ゴシック"/>
          <w:b/>
        </w:rPr>
        <w:t>6.8.3</w:t>
      </w:r>
      <w:r w:rsidR="00C25C85" w:rsidRPr="00BC31E0">
        <w:rPr>
          <w:rFonts w:hAnsi="ＭＳ ゴシック" w:hint="eastAsia"/>
        </w:rPr>
        <w:t>，</w:t>
      </w:r>
      <w:r w:rsidR="00C25C85" w:rsidRPr="00BC31E0">
        <w:rPr>
          <w:rFonts w:ascii="ＭＳ ゴシック" w:eastAsia="ＭＳ ゴシック"/>
          <w:b/>
        </w:rPr>
        <w:t>6.8.4</w:t>
      </w:r>
      <w:r w:rsidR="00C25C85" w:rsidRPr="00BC31E0">
        <w:rPr>
          <w:rFonts w:hAnsi="ＭＳ ゴシック" w:hint="eastAsia"/>
        </w:rPr>
        <w:t>，</w:t>
      </w:r>
      <w:r w:rsidR="00C25C85" w:rsidRPr="00BC31E0">
        <w:rPr>
          <w:rFonts w:ascii="ＭＳ ゴシック" w:eastAsia="ＭＳ ゴシック"/>
          <w:b/>
        </w:rPr>
        <w:t>6.9.4</w:t>
      </w:r>
      <w:r w:rsidR="00C25C85" w:rsidRPr="00BC31E0">
        <w:rPr>
          <w:rFonts w:ascii="ＭＳ ゴシック" w:eastAsia="ＭＳ ゴシック" w:hint="eastAsia"/>
          <w:b/>
        </w:rPr>
        <w:t>，附属書</w:t>
      </w:r>
      <w:r w:rsidR="00C25C85" w:rsidRPr="00BC31E0">
        <w:rPr>
          <w:rFonts w:ascii="ＭＳ ゴシック" w:eastAsia="ＭＳ ゴシック"/>
          <w:b/>
        </w:rPr>
        <w:t>J 2</w:t>
      </w:r>
      <w:r w:rsidR="00C25C85" w:rsidRPr="00BC31E0">
        <w:rPr>
          <w:rFonts w:hint="eastAsia"/>
        </w:rPr>
        <w:t>)</w:t>
      </w:r>
    </w:p>
    <w:p w14:paraId="5C12BD44" w14:textId="77777777" w:rsidR="00C25C85" w:rsidRPr="00BC31E0" w:rsidRDefault="00C25C85" w:rsidP="008234D1">
      <w:pPr>
        <w:tabs>
          <w:tab w:val="left" w:pos="1276"/>
        </w:tabs>
        <w:autoSpaceDE w:val="0"/>
        <w:autoSpaceDN w:val="0"/>
        <w:ind w:left="1588" w:hanging="1021"/>
      </w:pPr>
      <w:r w:rsidRPr="00BC31E0">
        <w:rPr>
          <w:rFonts w:hint="eastAsia"/>
          <w:szCs w:val="24"/>
        </w:rPr>
        <w:tab/>
      </w:r>
      <w:r w:rsidRPr="00BC31E0">
        <w:rPr>
          <w:rFonts w:hint="eastAsia"/>
          <w:szCs w:val="24"/>
        </w:rPr>
        <w:t>：</w:t>
      </w:r>
      <w:r w:rsidRPr="00BC31E0">
        <w:rPr>
          <w:rFonts w:hint="eastAsia"/>
          <w:szCs w:val="24"/>
        </w:rPr>
        <w:t xml:space="preserve"> </w:t>
      </w:r>
      <w:r w:rsidRPr="00BC31E0">
        <w:rPr>
          <w:rFonts w:hint="eastAsia"/>
          <w:szCs w:val="24"/>
        </w:rPr>
        <w:t>主穴の内径</w:t>
      </w:r>
      <w:r w:rsidRPr="00BC31E0">
        <w:rPr>
          <w:rFonts w:hint="eastAsia"/>
          <w:szCs w:val="24"/>
        </w:rPr>
        <w:t>(</w:t>
      </w:r>
      <w:r w:rsidRPr="00BC31E0">
        <w:rPr>
          <w:rFonts w:hint="eastAsia"/>
          <w:szCs w:val="24"/>
        </w:rPr>
        <w:t>容器の胴の内径</w:t>
      </w:r>
      <w:r w:rsidRPr="00BC31E0">
        <w:rPr>
          <w:rFonts w:hint="eastAsia"/>
          <w:szCs w:val="24"/>
        </w:rPr>
        <w:t>)(</w:t>
      </w:r>
      <w:r w:rsidRPr="00BC31E0">
        <w:rPr>
          <w:rFonts w:ascii="Cambria Math" w:hAnsi="Cambria Math"/>
          <w:szCs w:val="24"/>
        </w:rPr>
        <w:t>mm</w:t>
      </w:r>
      <w:r w:rsidRPr="00BC31E0">
        <w:rPr>
          <w:rFonts w:hint="eastAsia"/>
          <w:szCs w:val="24"/>
        </w:rPr>
        <w:t>)</w:t>
      </w:r>
      <w:r w:rsidRPr="00BC31E0">
        <w:rPr>
          <w:rFonts w:hint="eastAsia"/>
        </w:rPr>
        <w:t xml:space="preserve"> (</w:t>
      </w:r>
      <w:r w:rsidRPr="00BC31E0">
        <w:rPr>
          <w:rFonts w:ascii="ＭＳ ゴシック" w:eastAsia="ＭＳ ゴシック" w:hint="eastAsia"/>
          <w:b/>
          <w:szCs w:val="24"/>
        </w:rPr>
        <w:t>附属書F 2</w:t>
      </w:r>
      <w:r w:rsidRPr="00BC31E0">
        <w:rPr>
          <w:rFonts w:hint="eastAsia"/>
          <w:szCs w:val="24"/>
        </w:rPr>
        <w:t>)</w:t>
      </w:r>
    </w:p>
    <w:p w14:paraId="55F3B929"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i</m:t>
            </m:r>
          </m:sub>
        </m:sSub>
      </m:oMath>
      <w:r w:rsidR="00C25C85" w:rsidRPr="00BC31E0">
        <w:rPr>
          <w:rFonts w:hint="eastAsia"/>
        </w:rPr>
        <w:tab/>
      </w:r>
      <w:r w:rsidR="00C25C85" w:rsidRPr="00BC31E0">
        <w:rPr>
          <w:rFonts w:hint="eastAsia"/>
        </w:rPr>
        <w:t>：</w:t>
      </w:r>
      <w:r w:rsidR="00C25C85" w:rsidRPr="00BC31E0">
        <w:rPr>
          <w:rFonts w:hint="eastAsia"/>
        </w:rPr>
        <w:t xml:space="preserve"> </w:t>
      </w:r>
      <w:r w:rsidR="00C25C85" w:rsidRPr="00BC31E0">
        <w:rPr>
          <w:rFonts w:hint="eastAsia"/>
        </w:rPr>
        <w:t>容器胴の内径</w:t>
      </w:r>
      <w:r w:rsidR="00C25C85" w:rsidRPr="00BC31E0">
        <w:rPr>
          <w:rFonts w:hint="eastAsia"/>
        </w:rPr>
        <w:t>(</w:t>
      </w:r>
      <w:r w:rsidR="00C25C85" w:rsidRPr="00BC31E0">
        <w:rPr>
          <w:rFonts w:ascii="Cambria Math" w:hAnsi="Cambria Math"/>
        </w:rPr>
        <w:t>mm</w:t>
      </w:r>
      <w:r w:rsidR="00C25C85" w:rsidRPr="00BC31E0">
        <w:rPr>
          <w:rFonts w:hint="eastAsia"/>
        </w:rPr>
        <w:t>) (</w:t>
      </w:r>
      <w:r w:rsidR="00C25C85" w:rsidRPr="00BC31E0">
        <w:rPr>
          <w:rFonts w:ascii="ＭＳ ゴシック" w:eastAsia="ＭＳ ゴシック" w:hint="eastAsia"/>
          <w:b/>
        </w:rPr>
        <w:t>附属書E 3</w:t>
      </w:r>
      <w:r w:rsidR="00C25C85" w:rsidRPr="00BC31E0">
        <w:rPr>
          <w:rFonts w:hint="eastAsia"/>
        </w:rPr>
        <w:t>)</w:t>
      </w:r>
    </w:p>
    <w:p w14:paraId="02134379"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if</m:t>
            </m:r>
          </m:sub>
        </m:sSub>
      </m:oMath>
      <w:r w:rsidR="00C25C85" w:rsidRPr="00BC31E0">
        <w:rPr>
          <w:rFonts w:hint="eastAsia"/>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層間直径</w:t>
      </w:r>
      <w:r w:rsidR="00C25C85" w:rsidRPr="00BC31E0">
        <w:rPr>
          <w:rFonts w:hint="eastAsia"/>
        </w:rPr>
        <w:t>(</w:t>
      </w:r>
      <w:r w:rsidR="00C25C85" w:rsidRPr="00BC31E0">
        <w:rPr>
          <w:rFonts w:ascii="Cambria Math" w:hAnsi="Cambria Math"/>
        </w:rPr>
        <w:t>mm</w:t>
      </w:r>
      <w:r w:rsidR="00C25C85" w:rsidRPr="00BC31E0">
        <w:rPr>
          <w:rFonts w:hint="eastAsia"/>
        </w:rPr>
        <w:t>) (</w:t>
      </w:r>
      <w:r w:rsidR="00C25C85" w:rsidRPr="00BC31E0">
        <w:rPr>
          <w:rFonts w:ascii="ＭＳ ゴシック" w:eastAsia="ＭＳ ゴシック"/>
          <w:b/>
        </w:rPr>
        <w:t>6.8.3</w:t>
      </w:r>
      <w:r w:rsidR="00C25C85" w:rsidRPr="00BC31E0">
        <w:rPr>
          <w:rFonts w:hAnsi="ＭＳ ゴシック" w:hint="eastAsia"/>
        </w:rPr>
        <w:t>，</w:t>
      </w:r>
      <w:r w:rsidR="00C25C85" w:rsidRPr="00BC31E0">
        <w:rPr>
          <w:rFonts w:ascii="ＭＳ ゴシック" w:eastAsia="ＭＳ ゴシック"/>
          <w:b/>
        </w:rPr>
        <w:t>6.9.4</w:t>
      </w:r>
      <w:r w:rsidR="00C25C85" w:rsidRPr="00BC31E0">
        <w:rPr>
          <w:rFonts w:hint="eastAsia"/>
        </w:rPr>
        <w:t>)</w:t>
      </w:r>
    </w:p>
    <w:p w14:paraId="381029D0"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n</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第</w:t>
      </w:r>
      <m:oMath>
        <m:r>
          <m:rPr>
            <m:sty m:val="p"/>
          </m:rPr>
          <w:rPr>
            <w:rFonts w:ascii="Cambria Math" w:hAnsi="Cambria Math"/>
          </w:rPr>
          <m:t xml:space="preserve"> </m:t>
        </m:r>
        <m:r>
          <w:rPr>
            <w:rFonts w:ascii="Cambria Math" w:hAnsi="Cambria Math"/>
          </w:rPr>
          <m:t xml:space="preserve">n </m:t>
        </m:r>
      </m:oMath>
      <w:r w:rsidR="00C25C85" w:rsidRPr="00BC31E0">
        <w:rPr>
          <w:rFonts w:hint="eastAsia"/>
        </w:rPr>
        <w:t>層の外径</w:t>
      </w:r>
      <w:r w:rsidR="00C25C85" w:rsidRPr="00BC31E0">
        <w:rPr>
          <w:rFonts w:hint="eastAsia"/>
        </w:rPr>
        <w:t>(</w:t>
      </w:r>
      <w:r w:rsidR="00C25C85" w:rsidRPr="00BC31E0">
        <w:rPr>
          <w:rFonts w:ascii="Cambria Math" w:hAnsi="Cambria Math"/>
        </w:rPr>
        <w:t>mm</w:t>
      </w:r>
      <w:r w:rsidR="00C25C85" w:rsidRPr="00BC31E0">
        <w:rPr>
          <w:rFonts w:hint="eastAsia"/>
        </w:rPr>
        <w:t>) (</w:t>
      </w:r>
      <w:r w:rsidR="00C25C85" w:rsidRPr="00BC31E0">
        <w:rPr>
          <w:rFonts w:ascii="ＭＳ ゴシック" w:eastAsia="ＭＳ ゴシック"/>
          <w:b/>
        </w:rPr>
        <w:t>6.8.4</w:t>
      </w:r>
      <w:r w:rsidR="00C25C85" w:rsidRPr="00BC31E0">
        <w:rPr>
          <w:rFonts w:hint="eastAsia"/>
        </w:rPr>
        <w:t>)</w:t>
      </w:r>
    </w:p>
    <w:p w14:paraId="5F20D486"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O</m:t>
            </m:r>
          </m:sub>
        </m:sSub>
      </m:oMath>
      <w:r w:rsidR="00C25C85" w:rsidRPr="00BC31E0">
        <w:rPr>
          <w:rFonts w:hint="eastAsia"/>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円筒の外径</w:t>
      </w:r>
      <w:r w:rsidR="00C25C85" w:rsidRPr="00BC31E0">
        <w:rPr>
          <w:rFonts w:hint="eastAsia"/>
        </w:rPr>
        <w:t>(</w:t>
      </w:r>
      <w:r w:rsidR="00C25C85" w:rsidRPr="00BC31E0">
        <w:rPr>
          <w:rFonts w:ascii="Cambria Math" w:hAnsi="Cambria Math"/>
        </w:rPr>
        <w:t>mm</w:t>
      </w:r>
      <w:r w:rsidR="00C25C85" w:rsidRPr="00BC31E0">
        <w:rPr>
          <w:rFonts w:hint="eastAsia"/>
        </w:rPr>
        <w:t>) (</w:t>
      </w:r>
      <w:r w:rsidR="00C25C85" w:rsidRPr="00BC31E0">
        <w:rPr>
          <w:rFonts w:ascii="ＭＳ ゴシック" w:eastAsia="ＭＳ ゴシック"/>
          <w:b/>
        </w:rPr>
        <w:t>6.5</w:t>
      </w:r>
      <w:r w:rsidR="00C25C85" w:rsidRPr="00BC31E0">
        <w:rPr>
          <w:rFonts w:hAnsi="ＭＳ ゴシック" w:hint="eastAsia"/>
        </w:rPr>
        <w:t>，</w:t>
      </w:r>
      <w:r w:rsidR="00C25C85" w:rsidRPr="00BC31E0">
        <w:rPr>
          <w:rFonts w:asciiTheme="majorEastAsia" w:eastAsiaTheme="majorEastAsia" w:hAnsiTheme="majorEastAsia" w:hint="eastAsia"/>
          <w:b/>
          <w:bCs/>
        </w:rPr>
        <w:t>附属書</w:t>
      </w:r>
      <w:r w:rsidR="00C25C85" w:rsidRPr="00BC31E0">
        <w:rPr>
          <w:rFonts w:asciiTheme="majorEastAsia" w:eastAsiaTheme="majorEastAsia" w:hAnsiTheme="majorEastAsia"/>
          <w:b/>
          <w:bCs/>
        </w:rPr>
        <w:t>G 4</w:t>
      </w:r>
      <w:r w:rsidR="00C25C85" w:rsidRPr="00BC31E0">
        <w:rPr>
          <w:rFonts w:asciiTheme="majorEastAsia" w:eastAsiaTheme="majorEastAsia" w:hAnsiTheme="majorEastAsia" w:hint="eastAsia"/>
          <w:b/>
          <w:bCs/>
        </w:rPr>
        <w:t>，附属書J</w:t>
      </w:r>
      <w:r w:rsidR="00C25C85" w:rsidRPr="00BC31E0">
        <w:rPr>
          <w:rFonts w:asciiTheme="majorEastAsia" w:eastAsiaTheme="majorEastAsia" w:hAnsiTheme="majorEastAsia"/>
          <w:b/>
          <w:bCs/>
        </w:rPr>
        <w:t xml:space="preserve"> 2</w:t>
      </w:r>
      <w:r w:rsidR="00C25C85" w:rsidRPr="00BC31E0">
        <w:rPr>
          <w:rFonts w:hAnsi="ＭＳ ゴシック" w:hint="eastAsia"/>
        </w:rPr>
        <w:t>，</w:t>
      </w:r>
      <w:r w:rsidR="00C25C85" w:rsidRPr="00BC31E0">
        <w:rPr>
          <w:rFonts w:ascii="ＭＳ ゴシック" w:eastAsia="ＭＳ ゴシック"/>
          <w:b/>
        </w:rPr>
        <w:t>6.9.4</w:t>
      </w:r>
      <w:r w:rsidR="00C25C85" w:rsidRPr="00BC31E0">
        <w:rPr>
          <w:rFonts w:hint="eastAsia"/>
        </w:rPr>
        <w:t>)</w:t>
      </w:r>
    </w:p>
    <w:p w14:paraId="0985FFDC" w14:textId="77777777" w:rsidR="00C25C85" w:rsidRPr="00BC31E0" w:rsidRDefault="00C25C85" w:rsidP="008234D1">
      <w:pPr>
        <w:tabs>
          <w:tab w:val="left" w:pos="1276"/>
        </w:tabs>
        <w:autoSpaceDE w:val="0"/>
        <w:autoSpaceDN w:val="0"/>
        <w:ind w:left="1588" w:hanging="1021"/>
      </w:pPr>
      <w:r w:rsidRPr="00BC31E0">
        <w:rPr>
          <w:rFonts w:hint="eastAsia"/>
        </w:rPr>
        <w:tab/>
      </w:r>
      <w:r w:rsidRPr="00BC31E0">
        <w:rPr>
          <w:rFonts w:hint="eastAsia"/>
        </w:rPr>
        <w:t>：</w:t>
      </w:r>
      <w:r w:rsidRPr="00BC31E0">
        <w:rPr>
          <w:rFonts w:hint="eastAsia"/>
        </w:rPr>
        <w:t xml:space="preserve"> </w:t>
      </w:r>
      <w:r w:rsidRPr="00BC31E0">
        <w:rPr>
          <w:rFonts w:hint="eastAsia"/>
        </w:rPr>
        <w:t>最外層の外径</w:t>
      </w:r>
      <w:r w:rsidRPr="00BC31E0">
        <w:rPr>
          <w:rFonts w:hint="eastAsia"/>
        </w:rPr>
        <w:t>(</w:t>
      </w:r>
      <w:r w:rsidRPr="00BC31E0">
        <w:rPr>
          <w:rFonts w:ascii="Cambria Math" w:hAnsi="Cambria Math"/>
        </w:rPr>
        <w:t>mm</w:t>
      </w:r>
      <w:r w:rsidRPr="00BC31E0">
        <w:rPr>
          <w:rFonts w:hint="eastAsia"/>
        </w:rPr>
        <w:t>) (</w:t>
      </w:r>
      <w:r w:rsidRPr="00BC31E0">
        <w:rPr>
          <w:rFonts w:ascii="ＭＳ ゴシック" w:eastAsia="ＭＳ ゴシック"/>
          <w:b/>
        </w:rPr>
        <w:t>6.8.3</w:t>
      </w:r>
      <w:r w:rsidRPr="00BC31E0">
        <w:rPr>
          <w:rFonts w:hAnsi="ＭＳ ゴシック" w:hint="eastAsia"/>
        </w:rPr>
        <w:t>，</w:t>
      </w:r>
      <w:r w:rsidRPr="00BC31E0">
        <w:rPr>
          <w:rFonts w:ascii="ＭＳ ゴシック" w:eastAsia="ＭＳ ゴシック"/>
          <w:b/>
        </w:rPr>
        <w:t>6.9.4</w:t>
      </w:r>
      <w:r w:rsidRPr="00BC31E0">
        <w:rPr>
          <w:rFonts w:hint="eastAsia"/>
        </w:rPr>
        <w:t>)</w:t>
      </w:r>
    </w:p>
    <w:p w14:paraId="74B552F7" w14:textId="77777777" w:rsidR="00C25C85" w:rsidRPr="00BC31E0" w:rsidRDefault="00C25C85" w:rsidP="008234D1">
      <w:pPr>
        <w:tabs>
          <w:tab w:val="left" w:pos="1276"/>
        </w:tabs>
        <w:autoSpaceDE w:val="0"/>
        <w:autoSpaceDN w:val="0"/>
        <w:ind w:left="1588" w:hanging="1021"/>
      </w:pPr>
      <w:r w:rsidRPr="00BC31E0">
        <w:rPr>
          <w:rFonts w:hint="eastAsia"/>
        </w:rPr>
        <w:tab/>
      </w:r>
      <w:r w:rsidRPr="00BC31E0">
        <w:rPr>
          <w:rFonts w:hint="eastAsia"/>
        </w:rPr>
        <w:t>：</w:t>
      </w:r>
      <w:r w:rsidRPr="00BC31E0">
        <w:rPr>
          <w:rFonts w:hint="eastAsia"/>
        </w:rPr>
        <w:t xml:space="preserve"> </w:t>
      </w:r>
      <w:r w:rsidRPr="00BC31E0">
        <w:rPr>
          <w:rFonts w:hint="eastAsia"/>
        </w:rPr>
        <w:t>円筒形状の場合は外形，長方形ブロックの場合は短い辺の幅</w:t>
      </w:r>
      <w:r w:rsidRPr="00BC31E0">
        <w:rPr>
          <w:rFonts w:hint="eastAsia"/>
        </w:rPr>
        <w:t>(</w:t>
      </w:r>
      <w:r w:rsidRPr="00BC31E0">
        <w:rPr>
          <w:rFonts w:ascii="Cambria Math" w:hAnsi="Cambria Math"/>
        </w:rPr>
        <w:t>mm</w:t>
      </w:r>
      <w:r w:rsidRPr="00BC31E0">
        <w:rPr>
          <w:rFonts w:hint="eastAsia"/>
        </w:rPr>
        <w:t>) (</w:t>
      </w:r>
      <w:r w:rsidRPr="00BC31E0">
        <w:rPr>
          <w:rFonts w:ascii="ＭＳ ゴシック" w:eastAsia="ＭＳ ゴシック" w:hAnsi="ＭＳ ゴシック" w:hint="eastAsia"/>
          <w:b/>
        </w:rPr>
        <w:t>附属書</w:t>
      </w:r>
      <w:r w:rsidRPr="00BC31E0">
        <w:rPr>
          <w:rFonts w:ascii="ＭＳ ゴシック" w:eastAsia="ＭＳ ゴシック" w:hAnsi="ＭＳ ゴシック"/>
          <w:b/>
        </w:rPr>
        <w:t>F 2</w:t>
      </w:r>
      <w:r w:rsidRPr="00BC31E0">
        <w:rPr>
          <w:rFonts w:hint="eastAsia"/>
        </w:rPr>
        <w:t>)</w:t>
      </w:r>
    </w:p>
    <w:p w14:paraId="6B3CC8D6"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op</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一体型平鏡板の穴の径</w:t>
      </w:r>
      <w:r w:rsidR="00C25C85" w:rsidRPr="00BC31E0">
        <w:rPr>
          <w:rFonts w:hint="eastAsia"/>
        </w:rPr>
        <w:t>(</w:t>
      </w:r>
      <w:r w:rsidR="00C25C85" w:rsidRPr="00BC31E0">
        <w:rPr>
          <w:rFonts w:ascii="Cambria Math" w:hAnsi="Cambria Math"/>
        </w:rPr>
        <w:t>mm</w:t>
      </w:r>
      <w:r w:rsidR="00C25C85" w:rsidRPr="00BC31E0">
        <w:rPr>
          <w:rFonts w:hint="eastAsia"/>
        </w:rPr>
        <w:t>) (</w:t>
      </w:r>
      <w:r w:rsidR="00C25C85" w:rsidRPr="00BC31E0">
        <w:rPr>
          <w:rFonts w:ascii="ＭＳ ゴシック" w:eastAsia="ＭＳ ゴシック" w:hint="eastAsia"/>
          <w:b/>
        </w:rPr>
        <w:t>附属書</w:t>
      </w:r>
      <w:r w:rsidR="00C25C85" w:rsidRPr="00BC31E0">
        <w:rPr>
          <w:rFonts w:ascii="ＭＳ ゴシック" w:eastAsia="ＭＳ ゴシック"/>
          <w:b/>
        </w:rPr>
        <w:t>G</w:t>
      </w:r>
      <w:r w:rsidR="00C25C85" w:rsidRPr="00BC31E0">
        <w:rPr>
          <w:rFonts w:ascii="ＭＳ ゴシック" w:eastAsia="ＭＳ ゴシック" w:hint="eastAsia"/>
          <w:b/>
        </w:rPr>
        <w:t xml:space="preserve"> 図</w:t>
      </w:r>
      <w:r w:rsidR="00C25C85" w:rsidRPr="00BC31E0">
        <w:rPr>
          <w:rFonts w:ascii="ＭＳ ゴシック" w:eastAsia="ＭＳ ゴシック"/>
          <w:b/>
        </w:rPr>
        <w:t>G.1</w:t>
      </w:r>
      <w:r w:rsidR="00C25C85" w:rsidRPr="00BC31E0">
        <w:rPr>
          <w:rFonts w:hint="eastAsia"/>
        </w:rPr>
        <w:t>)</w:t>
      </w:r>
    </w:p>
    <w:p w14:paraId="15F1A45E"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P</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自緊圧力開放前の弾塑性境界直径</w:t>
      </w:r>
      <w:r w:rsidR="00C25C85" w:rsidRPr="00BC31E0">
        <w:rPr>
          <w:rFonts w:hint="eastAsia"/>
        </w:rPr>
        <w:t>(</w:t>
      </w:r>
      <w:r w:rsidR="00C25C85" w:rsidRPr="00BC31E0">
        <w:rPr>
          <w:rFonts w:ascii="Cambria Math" w:hAnsi="Cambria Math"/>
        </w:rPr>
        <w:t>mm</w:t>
      </w:r>
      <w:r w:rsidR="00C25C85" w:rsidRPr="00BC31E0">
        <w:rPr>
          <w:rFonts w:hint="eastAsia"/>
        </w:rPr>
        <w:t>) (</w:t>
      </w:r>
      <w:r w:rsidR="00C25C85" w:rsidRPr="00BC31E0">
        <w:rPr>
          <w:rFonts w:ascii="ＭＳ ゴシック" w:eastAsia="ＭＳ ゴシック"/>
          <w:b/>
        </w:rPr>
        <w:t>6.5.3</w:t>
      </w:r>
      <w:r w:rsidR="00C25C85" w:rsidRPr="00BC31E0">
        <w:rPr>
          <w:rFonts w:hint="eastAsia"/>
        </w:rPr>
        <w:t>)</w:t>
      </w:r>
    </w:p>
    <w:p w14:paraId="723B6FE7"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p</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ねじ部のピッチ径</w:t>
      </w:r>
      <w:r w:rsidR="00C25C85" w:rsidRPr="00BC31E0">
        <w:rPr>
          <w:rFonts w:hint="eastAsia"/>
        </w:rPr>
        <w:t>(</w:t>
      </w:r>
      <w:r w:rsidR="00C25C85" w:rsidRPr="00BC31E0">
        <w:rPr>
          <w:rFonts w:ascii="Cambria Math" w:hAnsi="Cambria Math"/>
        </w:rPr>
        <w:t>mm</w:t>
      </w:r>
      <w:r w:rsidR="00C25C85" w:rsidRPr="00BC31E0">
        <w:rPr>
          <w:rFonts w:hint="eastAsia"/>
        </w:rPr>
        <w:t>) (</w:t>
      </w:r>
      <w:r w:rsidR="00C25C85" w:rsidRPr="00BC31E0">
        <w:rPr>
          <w:rFonts w:ascii="ＭＳ ゴシック" w:eastAsia="ＭＳ ゴシック" w:hint="eastAsia"/>
          <w:b/>
        </w:rPr>
        <w:t>附属書</w:t>
      </w:r>
      <w:r w:rsidR="00C25C85" w:rsidRPr="00BC31E0">
        <w:rPr>
          <w:rFonts w:ascii="ＭＳ ゴシック" w:eastAsia="ＭＳ ゴシック"/>
          <w:b/>
        </w:rPr>
        <w:t xml:space="preserve">G </w:t>
      </w:r>
      <w:r w:rsidR="00C25C85" w:rsidRPr="00BC31E0">
        <w:rPr>
          <w:rFonts w:ascii="ＭＳ ゴシック" w:eastAsia="ＭＳ ゴシック" w:hint="eastAsia"/>
          <w:b/>
        </w:rPr>
        <w:t>4</w:t>
      </w:r>
      <w:r w:rsidR="00C25C85" w:rsidRPr="00BC31E0">
        <w:rPr>
          <w:rFonts w:hint="eastAsia"/>
        </w:rPr>
        <w:t>)</w:t>
      </w:r>
    </w:p>
    <w:p w14:paraId="6D40F53D"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w</m:t>
            </m:r>
          </m:sub>
        </m:sSub>
      </m:oMath>
      <w:r w:rsidR="00C25C85" w:rsidRPr="00BC31E0">
        <w:rPr>
          <w:rFonts w:hint="eastAsia"/>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線巻き上げ部分の外径</w:t>
      </w:r>
      <w:r w:rsidR="00C25C85" w:rsidRPr="00BC31E0">
        <w:rPr>
          <w:rFonts w:hint="eastAsia"/>
        </w:rPr>
        <w:t>(</w:t>
      </w:r>
      <w:r w:rsidR="00C25C85" w:rsidRPr="00BC31E0">
        <w:rPr>
          <w:rFonts w:ascii="Cambria Math" w:hAnsi="Cambria Math"/>
        </w:rPr>
        <w:t>mm</w:t>
      </w:r>
      <w:r w:rsidR="00C25C85" w:rsidRPr="00BC31E0">
        <w:rPr>
          <w:rFonts w:hint="eastAsia"/>
        </w:rPr>
        <w:t>) ((</w:t>
      </w:r>
      <w:r w:rsidR="00C25C85" w:rsidRPr="00BC31E0">
        <w:rPr>
          <w:rFonts w:ascii="ＭＳ ゴシック" w:eastAsia="ＭＳ ゴシック"/>
          <w:b/>
        </w:rPr>
        <w:t>6.9.4</w:t>
      </w:r>
      <w:r w:rsidR="00C25C85" w:rsidRPr="00BC31E0">
        <w:rPr>
          <w:rFonts w:hint="eastAsia"/>
        </w:rPr>
        <w:t>)</w:t>
      </w:r>
    </w:p>
    <w:p w14:paraId="700D1CF8"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Z</m:t>
            </m:r>
          </m:sub>
        </m:sSub>
      </m:oMath>
      <w:r w:rsidR="00C25C85" w:rsidRPr="00BC31E0">
        <w:rPr>
          <w:vertAlign w:val="subscript"/>
        </w:rPr>
        <w:tab/>
      </w:r>
      <w:r w:rsidR="00C25C85" w:rsidRPr="00BC31E0">
        <w:rPr>
          <w:rFonts w:hint="eastAsia"/>
        </w:rPr>
        <w:t>：</w:t>
      </w:r>
      <w:r w:rsidR="00C25C85" w:rsidRPr="00BC31E0">
        <w:rPr>
          <w:rFonts w:hint="eastAsia"/>
        </w:rPr>
        <w:t xml:space="preserve"> </w:t>
      </w:r>
      <m:oMath>
        <m:sSub>
          <m:sSubPr>
            <m:ctrlPr>
              <w:rPr>
                <w:rFonts w:ascii="Cambria Math" w:hAnsi="Cambria Math"/>
                <w:i/>
                <w:szCs w:val="24"/>
              </w:rPr>
            </m:ctrlPr>
          </m:sSubPr>
          <m:e>
            <m:r>
              <w:rPr>
                <w:rFonts w:ascii="Cambria Math" w:hAnsi="Cambria Math"/>
                <w:szCs w:val="24"/>
              </w:rPr>
              <m:t>σ</m:t>
            </m:r>
          </m:e>
          <m:sub>
            <m:r>
              <w:rPr>
                <w:rFonts w:ascii="Cambria Math" w:hAnsi="Cambria Math"/>
                <w:szCs w:val="24"/>
              </w:rPr>
              <m:t>tRA</m:t>
            </m:r>
          </m:sub>
        </m:sSub>
        <m:r>
          <w:rPr>
            <w:rFonts w:ascii="Cambria Math" w:hAnsi="Cambria Math"/>
            <w:szCs w:val="24"/>
          </w:rPr>
          <m:t>=</m:t>
        </m:r>
        <m:sSub>
          <m:sSubPr>
            <m:ctrlPr>
              <w:rPr>
                <w:rFonts w:ascii="Cambria Math" w:hAnsi="Cambria Math"/>
                <w:szCs w:val="24"/>
              </w:rPr>
            </m:ctrlPr>
          </m:sSubPr>
          <m:e>
            <m:r>
              <w:rPr>
                <w:rFonts w:ascii="Cambria Math" w:hAnsi="Cambria Math"/>
                <w:szCs w:val="24"/>
              </w:rPr>
              <m:t>σ</m:t>
            </m:r>
          </m:e>
          <m:sub>
            <m:r>
              <w:rPr>
                <w:rFonts w:ascii="Cambria Math" w:hAnsi="Cambria Math"/>
                <w:szCs w:val="24"/>
              </w:rPr>
              <m:t>rRA</m:t>
            </m:r>
          </m:sub>
        </m:sSub>
      </m:oMath>
      <w:r w:rsidR="00C25C85" w:rsidRPr="00BC31E0">
        <w:rPr>
          <w:rFonts w:hint="eastAsia"/>
        </w:rPr>
        <w:t>となる直径</w:t>
      </w:r>
      <w:r w:rsidR="00C25C85" w:rsidRPr="00BC31E0">
        <w:rPr>
          <w:rFonts w:hint="eastAsia"/>
        </w:rPr>
        <w:t>(</w:t>
      </w:r>
      <w:r w:rsidR="00C25C85" w:rsidRPr="00BC31E0">
        <w:rPr>
          <w:rFonts w:ascii="Cambria Math" w:hAnsi="Cambria Math"/>
        </w:rPr>
        <w:t>mm</w:t>
      </w:r>
      <w:r w:rsidR="00C25C85" w:rsidRPr="00BC31E0">
        <w:rPr>
          <w:rFonts w:hint="eastAsia"/>
        </w:rPr>
        <w:t>) (</w:t>
      </w:r>
      <w:r w:rsidR="00C25C85" w:rsidRPr="00BC31E0">
        <w:rPr>
          <w:rFonts w:ascii="ＭＳ ゴシック" w:eastAsia="ＭＳ ゴシック"/>
          <w:b/>
        </w:rPr>
        <w:t>6.5.3</w:t>
      </w:r>
      <w:r w:rsidR="00C25C85" w:rsidRPr="00BC31E0">
        <w:rPr>
          <w:rFonts w:hint="eastAsia"/>
        </w:rPr>
        <w:t>，</w:t>
      </w:r>
      <w:r w:rsidR="00C25C85" w:rsidRPr="00BC31E0">
        <w:rPr>
          <w:rFonts w:ascii="ＭＳ ゴシック" w:eastAsia="ＭＳ ゴシック"/>
          <w:b/>
        </w:rPr>
        <w:t>6.5.5</w:t>
      </w:r>
      <w:r w:rsidR="00C25C85" w:rsidRPr="00BC31E0">
        <w:rPr>
          <w:rFonts w:hint="eastAsia"/>
        </w:rPr>
        <w:t>)</w:t>
      </w:r>
    </w:p>
    <w:p w14:paraId="421D4104" w14:textId="77777777" w:rsidR="00C25C85" w:rsidRPr="00BC31E0" w:rsidRDefault="00A51873" w:rsidP="008234D1">
      <w:pPr>
        <w:tabs>
          <w:tab w:val="left" w:pos="1276"/>
        </w:tabs>
        <w:autoSpaceDE w:val="0"/>
        <w:autoSpaceDN w:val="0"/>
        <w:ind w:left="1588" w:hanging="1021"/>
        <w:rPr>
          <w:i/>
          <w:szCs w:val="24"/>
        </w:rPr>
      </w:pPr>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1</m:t>
            </m:r>
          </m:sub>
        </m:sSub>
      </m:oMath>
      <w:r w:rsidR="00C25C85" w:rsidRPr="00BC31E0">
        <w:rPr>
          <w:rFonts w:hint="eastAsia"/>
        </w:rPr>
        <w:t>～</w:t>
      </w:r>
      <m:oMath>
        <m:sSub>
          <m:sSubPr>
            <m:ctrlPr>
              <w:rPr>
                <w:rFonts w:ascii="Cambria Math" w:hAnsi="Cambria Math"/>
                <w:i/>
                <w:szCs w:val="24"/>
              </w:rPr>
            </m:ctrlPr>
          </m:sSubPr>
          <m:e>
            <m:r>
              <w:rPr>
                <w:rFonts w:ascii="Cambria Math" w:hAnsi="Cambria Math"/>
                <w:szCs w:val="24"/>
              </w:rPr>
              <m:t>D</m:t>
            </m:r>
          </m:e>
          <m:sub>
            <m:r>
              <w:rPr>
                <w:rFonts w:ascii="Cambria Math" w:hAnsi="Cambria Math" w:hint="eastAsia"/>
                <w:szCs w:val="24"/>
              </w:rPr>
              <m:t>4</m:t>
            </m:r>
          </m:sub>
        </m:sSub>
      </m:oMath>
      <w:r w:rsidR="00C25C85" w:rsidRPr="00BC31E0">
        <w:rPr>
          <w:rFonts w:hint="eastAsia"/>
          <w:szCs w:val="24"/>
        </w:rPr>
        <w:tab/>
      </w:r>
      <w:r w:rsidR="00C25C85" w:rsidRPr="00BC31E0">
        <w:rPr>
          <w:rFonts w:hint="eastAsia"/>
        </w:rPr>
        <w:t>：</w:t>
      </w:r>
      <w:r w:rsidR="00C25C85" w:rsidRPr="00BC31E0">
        <w:rPr>
          <w:rFonts w:hint="eastAsia"/>
        </w:rPr>
        <w:t xml:space="preserve"> </w:t>
      </w:r>
      <w:r w:rsidR="00C25C85" w:rsidRPr="00BC31E0">
        <w:rPr>
          <w:rFonts w:hint="eastAsia"/>
        </w:rPr>
        <w:t>真応力－真ひずみ曲線の接線係数で使用する材料特性値</w:t>
      </w:r>
      <w:r w:rsidR="00C25C85" w:rsidRPr="00BC31E0">
        <w:rPr>
          <w:rFonts w:hint="eastAsia"/>
        </w:rPr>
        <w:t xml:space="preserve"> (</w:t>
      </w:r>
      <w:r w:rsidR="00C25C85" w:rsidRPr="00BC31E0">
        <w:rPr>
          <w:rFonts w:ascii="ＭＳ ゴシック" w:eastAsia="ＭＳ ゴシック" w:hAnsi="ＭＳ ゴシック" w:hint="eastAsia"/>
          <w:b/>
        </w:rPr>
        <w:t>附属書D 4.1</w:t>
      </w:r>
      <w:r w:rsidR="00C25C85" w:rsidRPr="00BC31E0">
        <w:rPr>
          <w:rFonts w:eastAsia="ＭＳ ゴシック"/>
        </w:rPr>
        <w:t>)</w:t>
      </w:r>
    </w:p>
    <w:p w14:paraId="77541815" w14:textId="77777777" w:rsidR="00C25C85" w:rsidRPr="00BC31E0" w:rsidRDefault="00C25C85" w:rsidP="008234D1">
      <w:pPr>
        <w:tabs>
          <w:tab w:val="left" w:pos="1276"/>
        </w:tabs>
        <w:autoSpaceDE w:val="0"/>
        <w:autoSpaceDN w:val="0"/>
        <w:ind w:left="1588" w:hanging="1021"/>
      </w:pPr>
      <m:oMath>
        <m:r>
          <w:rPr>
            <w:rFonts w:ascii="Cambria Math" w:hAnsi="Cambria Math"/>
            <w:szCs w:val="24"/>
          </w:rPr>
          <m:t>d</m:t>
        </m:r>
      </m:oMath>
      <w:r w:rsidRPr="00BC31E0">
        <w:rPr>
          <w:szCs w:val="24"/>
        </w:rPr>
        <w:tab/>
      </w:r>
      <w:r w:rsidRPr="00BC31E0">
        <w:rPr>
          <w:rFonts w:hint="eastAsia"/>
        </w:rPr>
        <w:t>：</w:t>
      </w:r>
      <w:r w:rsidRPr="00BC31E0">
        <w:rPr>
          <w:rFonts w:hint="eastAsia"/>
        </w:rPr>
        <w:t xml:space="preserve"> </w:t>
      </w:r>
      <w:r w:rsidRPr="00BC31E0">
        <w:rPr>
          <w:rFonts w:hint="eastAsia"/>
        </w:rPr>
        <w:t>補強が必要な穴の内径</w:t>
      </w:r>
      <w:r w:rsidRPr="00BC31E0">
        <w:rPr>
          <w:rFonts w:hint="eastAsia"/>
        </w:rPr>
        <w:t>(</w:t>
      </w:r>
      <w:r w:rsidRPr="00BC31E0">
        <w:rPr>
          <w:rFonts w:ascii="Cambria Math" w:hAnsi="Cambria Math"/>
        </w:rPr>
        <w:t>mm</w:t>
      </w:r>
      <w:r w:rsidRPr="00BC31E0">
        <w:rPr>
          <w:rFonts w:hint="eastAsia"/>
        </w:rPr>
        <w:t>) (</w:t>
      </w:r>
      <w:r w:rsidRPr="00BC31E0">
        <w:rPr>
          <w:rFonts w:ascii="ＭＳ ゴシック" w:eastAsia="ＭＳ ゴシック" w:hint="eastAsia"/>
          <w:b/>
        </w:rPr>
        <w:t>附属書</w:t>
      </w:r>
      <w:r w:rsidRPr="00BC31E0">
        <w:rPr>
          <w:rFonts w:ascii="ＭＳ ゴシック" w:eastAsia="ＭＳ ゴシック"/>
          <w:b/>
        </w:rPr>
        <w:t>E 4</w:t>
      </w:r>
      <w:r w:rsidRPr="00BC31E0">
        <w:rPr>
          <w:rFonts w:hint="eastAsia"/>
        </w:rPr>
        <w:t>)</w:t>
      </w:r>
    </w:p>
    <w:p w14:paraId="702CD177"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szCs w:val="24"/>
              </w:rPr>
            </m:ctrlPr>
          </m:sSubPr>
          <m:e>
            <m:r>
              <w:rPr>
                <w:rFonts w:ascii="Cambria Math" w:hAnsi="Cambria Math"/>
                <w:szCs w:val="24"/>
              </w:rPr>
              <m:t>d</m:t>
            </m:r>
          </m:e>
          <m:sub>
            <m:r>
              <w:rPr>
                <w:rFonts w:ascii="Cambria Math" w:hAnsi="Cambria Math"/>
                <w:szCs w:val="24"/>
              </w:rPr>
              <m:t>S</m:t>
            </m:r>
          </m:sub>
        </m:sSub>
      </m:oMath>
      <w:r w:rsidR="00C25C85" w:rsidRPr="00BC31E0">
        <w:rPr>
          <w:rFonts w:hint="eastAsia"/>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植込みボルトの谷径</w:t>
      </w:r>
      <w:r w:rsidR="00C25C85" w:rsidRPr="00BC31E0">
        <w:rPr>
          <w:rFonts w:hint="eastAsia"/>
        </w:rPr>
        <w:t>(</w:t>
      </w:r>
      <w:r w:rsidR="00C25C85" w:rsidRPr="00BC31E0">
        <w:rPr>
          <w:rFonts w:ascii="Cambria Math" w:hAnsi="Cambria Math"/>
        </w:rPr>
        <w:t>mm</w:t>
      </w:r>
      <w:r w:rsidR="00C25C85" w:rsidRPr="00BC31E0">
        <w:rPr>
          <w:rFonts w:hint="eastAsia"/>
        </w:rPr>
        <w:t>) (</w:t>
      </w:r>
      <w:r w:rsidR="00C25C85" w:rsidRPr="00BC31E0">
        <w:rPr>
          <w:rFonts w:ascii="ＭＳ ゴシック" w:eastAsia="ＭＳ ゴシック"/>
          <w:b/>
        </w:rPr>
        <w:t>6.6.3</w:t>
      </w:r>
      <w:r w:rsidR="00C25C85" w:rsidRPr="00BC31E0">
        <w:rPr>
          <w:rFonts w:hint="eastAsia"/>
        </w:rPr>
        <w:t>)</w:t>
      </w:r>
    </w:p>
    <w:p w14:paraId="026CBB8B" w14:textId="77777777" w:rsidR="00C25C85" w:rsidRPr="00BC31E0" w:rsidRDefault="00C25C85" w:rsidP="008234D1">
      <w:pPr>
        <w:tabs>
          <w:tab w:val="left" w:pos="1701"/>
        </w:tabs>
        <w:autoSpaceDE w:val="0"/>
        <w:autoSpaceDN w:val="0"/>
        <w:ind w:left="2098" w:hanging="1531"/>
      </w:pPr>
      <m:oMath>
        <m:r>
          <w:rPr>
            <w:rFonts w:ascii="Cambria Math" w:hAnsi="Cambria Math"/>
          </w:rPr>
          <m:t>d</m:t>
        </m:r>
      </m:oMath>
      <w:r w:rsidRPr="00BC31E0">
        <w:rPr>
          <w:rFonts w:hint="eastAsia"/>
        </w:rPr>
        <w:t>，</w:t>
      </w:r>
      <m:oMath>
        <m:sSub>
          <m:sSubPr>
            <m:ctrlPr>
              <w:rPr>
                <w:rFonts w:ascii="Cambria Math" w:hAnsi="Cambria Math"/>
                <w:i/>
              </w:rPr>
            </m:ctrlPr>
          </m:sSubPr>
          <m:e>
            <m:r>
              <w:rPr>
                <w:rFonts w:ascii="Cambria Math" w:hAnsi="Cambria Math"/>
              </w:rPr>
              <m:t>d</m:t>
            </m:r>
          </m:e>
          <m:sub>
            <m:r>
              <w:rPr>
                <w:rFonts w:ascii="Cambria Math" w:hAnsi="Cambria Math"/>
              </w:rPr>
              <m:t>1</m:t>
            </m:r>
          </m:sub>
        </m:sSub>
      </m:oMath>
      <w:r w:rsidRPr="00BC31E0">
        <w:rPr>
          <w:rFonts w:hint="eastAsia"/>
        </w:rPr>
        <w:t>～</w:t>
      </w:r>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4</m:t>
            </m:r>
          </m:sub>
        </m:sSub>
      </m:oMath>
      <w:r w:rsidRPr="00BC31E0">
        <w:rPr>
          <w:rFonts w:hint="eastAsia"/>
          <w:vertAlign w:val="subscript"/>
        </w:rPr>
        <w:tab/>
      </w:r>
      <w:r w:rsidRPr="00BC31E0">
        <w:rPr>
          <w:rFonts w:hint="eastAsia"/>
        </w:rPr>
        <w:t>：</w:t>
      </w:r>
      <w:r w:rsidRPr="00BC31E0">
        <w:rPr>
          <w:rFonts w:hint="eastAsia"/>
        </w:rPr>
        <w:t xml:space="preserve"> </w:t>
      </w:r>
      <w:r w:rsidRPr="00BC31E0">
        <w:rPr>
          <w:rFonts w:hint="eastAsia"/>
        </w:rPr>
        <w:t>表面きずのきず高さ又は内部きずではきず高さの</w:t>
      </w:r>
      <m:oMath>
        <m:f>
          <m:fPr>
            <m:type m:val="lin"/>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BC31E0">
        <w:rPr>
          <w:rFonts w:hint="eastAsia"/>
        </w:rPr>
        <w:t>(</w:t>
      </w:r>
      <w:r w:rsidRPr="00BC31E0">
        <w:rPr>
          <w:rFonts w:ascii="Cambria Math" w:hAnsi="Cambria Math"/>
        </w:rPr>
        <w:t>mm</w:t>
      </w:r>
      <w:r w:rsidRPr="00BC31E0">
        <w:rPr>
          <w:rFonts w:hint="eastAsia"/>
        </w:rPr>
        <w:t xml:space="preserve">) </w:t>
      </w:r>
      <w:r w:rsidRPr="00BC31E0">
        <w:t>(</w:t>
      </w:r>
      <w:r w:rsidRPr="00BC31E0">
        <w:rPr>
          <w:rFonts w:ascii="ＭＳ ゴシック" w:eastAsia="ＭＳ ゴシック" w:hAnsi="ＭＳ ゴシック" w:hint="eastAsia"/>
          <w:b/>
        </w:rPr>
        <w:t>図9.3.2</w:t>
      </w:r>
      <w:r w:rsidRPr="00BC31E0">
        <w:rPr>
          <w:rFonts w:ascii="ＭＳ 明朝" w:hAnsi="ＭＳ 明朝" w:hint="eastAsia"/>
        </w:rPr>
        <w:t>～</w:t>
      </w:r>
      <w:r w:rsidRPr="00BC31E0">
        <w:rPr>
          <w:rFonts w:ascii="ＭＳ ゴシック" w:eastAsia="ＭＳ ゴシック" w:hAnsi="ＭＳ ゴシック" w:hint="eastAsia"/>
          <w:b/>
        </w:rPr>
        <w:t>図</w:t>
      </w:r>
      <w:r w:rsidRPr="00BC31E0">
        <w:rPr>
          <w:rFonts w:ascii="ＭＳ ゴシック" w:hAnsi="ＭＳ ゴシック" w:hint="eastAsia"/>
          <w:b/>
        </w:rPr>
        <w:t>9.3.6</w:t>
      </w:r>
      <w:r w:rsidRPr="00BC31E0">
        <w:rPr>
          <w:rFonts w:hint="eastAsia"/>
        </w:rPr>
        <w:t>)</w:t>
      </w:r>
    </w:p>
    <w:p w14:paraId="206379F9" w14:textId="77777777" w:rsidR="00C25C85" w:rsidRPr="00BC31E0" w:rsidRDefault="00A51873" w:rsidP="008234D1">
      <w:pPr>
        <w:tabs>
          <w:tab w:val="left" w:pos="1276"/>
        </w:tabs>
        <w:autoSpaceDE w:val="0"/>
        <w:autoSpaceDN w:val="0"/>
        <w:ind w:left="1588" w:hanging="1021"/>
      </w:pPr>
      <m:oMath>
        <m:f>
          <m:fPr>
            <m:type m:val="lin"/>
            <m:ctrlPr>
              <w:rPr>
                <w:rFonts w:ascii="Cambria Math" w:hAnsi="Cambria Math"/>
                <w:i/>
                <w:szCs w:val="24"/>
              </w:rPr>
            </m:ctrlPr>
          </m:fPr>
          <m:num>
            <m:r>
              <w:rPr>
                <w:rFonts w:ascii="Cambria Math" w:hAnsi="Cambria Math"/>
                <w:szCs w:val="24"/>
              </w:rPr>
              <m:t>da</m:t>
            </m:r>
          </m:num>
          <m:den>
            <m:r>
              <w:rPr>
                <w:rFonts w:ascii="Cambria Math" w:hAnsi="Cambria Math"/>
                <w:szCs w:val="24"/>
              </w:rPr>
              <m:t>dN</m:t>
            </m:r>
          </m:den>
        </m:f>
      </m:oMath>
      <w:r w:rsidR="00C25C85" w:rsidRPr="00BC31E0">
        <w:rPr>
          <w:rFonts w:hint="eastAsia"/>
          <w:i/>
        </w:rPr>
        <w:tab/>
      </w:r>
      <w:r w:rsidR="00C25C85" w:rsidRPr="00BC31E0">
        <w:rPr>
          <w:rFonts w:hint="eastAsia"/>
        </w:rPr>
        <w:t>：</w:t>
      </w:r>
      <w:r w:rsidR="00C25C85" w:rsidRPr="00BC31E0">
        <w:rPr>
          <w:rFonts w:hint="eastAsia"/>
        </w:rPr>
        <w:t xml:space="preserve"> </w:t>
      </w:r>
      <w:r w:rsidR="00C25C85" w:rsidRPr="00BC31E0">
        <w:rPr>
          <w:rFonts w:hint="eastAsia"/>
        </w:rPr>
        <w:t>亀裂最深点の疲労亀裂進展速度</w:t>
      </w:r>
      <w:r w:rsidR="00C25C85" w:rsidRPr="00BC31E0">
        <w:rPr>
          <w:rFonts w:hint="eastAsia"/>
        </w:rPr>
        <w:t>(</w:t>
      </w:r>
      <w:r w:rsidR="00C25C85" w:rsidRPr="00BC31E0">
        <w:rPr>
          <w:rFonts w:ascii="Cambria Math" w:hAnsi="Cambria Math"/>
        </w:rPr>
        <w:t>m</w:t>
      </w:r>
      <w:r w:rsidR="00C25C85" w:rsidRPr="00BC31E0">
        <w:rPr>
          <w:rFonts w:ascii="Cambria Math" w:hAnsi="Cambria Math" w:hint="eastAsia"/>
        </w:rPr>
        <w:t>m</w:t>
      </w:r>
      <w:r w:rsidR="00C25C85" w:rsidRPr="00BC31E0">
        <w:rPr>
          <w:rFonts w:ascii="Cambria Math" w:eastAsiaTheme="minorEastAsia" w:hAnsi="Cambria Math"/>
        </w:rPr>
        <w:t>/</w:t>
      </w:r>
      <w:r w:rsidR="00C25C85" w:rsidRPr="00BC31E0">
        <w:rPr>
          <w:rFonts w:ascii="Cambria Math" w:eastAsiaTheme="minorEastAsia" w:hAnsi="Cambria Math" w:hint="eastAsia"/>
        </w:rPr>
        <w:t>cycle</w:t>
      </w:r>
      <w:r w:rsidR="00C25C85" w:rsidRPr="00BC31E0">
        <w:rPr>
          <w:rFonts w:hint="eastAsia"/>
        </w:rPr>
        <w:t>) (</w:t>
      </w:r>
      <w:r w:rsidR="00C25C85" w:rsidRPr="00BC31E0">
        <w:rPr>
          <w:rFonts w:ascii="ＭＳ ゴシック" w:eastAsia="ＭＳ ゴシック" w:hAnsi="ＭＳ ゴシック" w:hint="eastAsia"/>
          <w:b/>
        </w:rPr>
        <w:t>6.4.6</w:t>
      </w:r>
      <w:r w:rsidR="00C25C85" w:rsidRPr="00BC31E0">
        <w:rPr>
          <w:rFonts w:hint="eastAsia"/>
        </w:rPr>
        <w:t>，</w:t>
      </w:r>
      <w:r w:rsidR="00C25C85" w:rsidRPr="00BC31E0">
        <w:rPr>
          <w:rFonts w:ascii="ＭＳ ゴシック" w:eastAsia="ＭＳ ゴシック" w:hAnsi="ＭＳ ゴシック" w:hint="eastAsia"/>
          <w:b/>
        </w:rPr>
        <w:t>附属書C 5</w:t>
      </w:r>
      <w:r w:rsidR="00C25C85" w:rsidRPr="00BC31E0">
        <w:rPr>
          <w:rFonts w:hint="eastAsia"/>
        </w:rPr>
        <w:t>)</w:t>
      </w:r>
    </w:p>
    <w:p w14:paraId="234AFAF6" w14:textId="77777777" w:rsidR="00C25C85" w:rsidRPr="00BC31E0" w:rsidRDefault="00A51873" w:rsidP="008234D1">
      <w:pPr>
        <w:tabs>
          <w:tab w:val="left" w:pos="1276"/>
        </w:tabs>
        <w:autoSpaceDE w:val="0"/>
        <w:autoSpaceDN w:val="0"/>
        <w:ind w:left="1588" w:hanging="1021"/>
      </w:pPr>
      <m:oMath>
        <m:f>
          <m:fPr>
            <m:type m:val="lin"/>
            <m:ctrlPr>
              <w:rPr>
                <w:rFonts w:ascii="Cambria Math" w:hAnsi="Cambria Math"/>
                <w:i/>
                <w:szCs w:val="24"/>
              </w:rPr>
            </m:ctrlPr>
          </m:fPr>
          <m:num>
            <m:r>
              <w:rPr>
                <w:rFonts w:ascii="Cambria Math" w:hAnsi="Cambria Math"/>
                <w:szCs w:val="24"/>
              </w:rPr>
              <m:t>d</m:t>
            </m:r>
            <m:r>
              <w:rPr>
                <w:rFonts w:ascii="Cambria Math" w:hAnsi="Cambria Math" w:hint="eastAsia"/>
                <w:szCs w:val="24"/>
              </w:rPr>
              <m:t>l</m:t>
            </m:r>
          </m:num>
          <m:den>
            <m:r>
              <w:rPr>
                <w:rFonts w:ascii="Cambria Math" w:hAnsi="Cambria Math"/>
                <w:szCs w:val="24"/>
              </w:rPr>
              <m:t>dN</m:t>
            </m:r>
          </m:den>
        </m:f>
      </m:oMath>
      <w:r w:rsidR="00C25C85" w:rsidRPr="00BC31E0">
        <w:rPr>
          <w:rFonts w:hint="eastAsia"/>
          <w:i/>
        </w:rPr>
        <w:tab/>
      </w:r>
      <w:r w:rsidR="00C25C85" w:rsidRPr="00BC31E0">
        <w:rPr>
          <w:rFonts w:hint="eastAsia"/>
        </w:rPr>
        <w:t>：</w:t>
      </w:r>
      <w:r w:rsidR="00C25C85" w:rsidRPr="00BC31E0">
        <w:rPr>
          <w:rFonts w:hint="eastAsia"/>
        </w:rPr>
        <w:t xml:space="preserve"> </w:t>
      </w:r>
      <w:r w:rsidR="00C25C85" w:rsidRPr="00BC31E0">
        <w:rPr>
          <w:rFonts w:hint="eastAsia"/>
        </w:rPr>
        <w:t>亀裂表面の疲労亀裂進展速度</w:t>
      </w:r>
      <w:r w:rsidR="00C25C85" w:rsidRPr="00BC31E0">
        <w:rPr>
          <w:rFonts w:hint="eastAsia"/>
        </w:rPr>
        <w:t>(</w:t>
      </w:r>
      <w:r w:rsidR="00C25C85" w:rsidRPr="00BC31E0">
        <w:rPr>
          <w:rFonts w:ascii="Cambria Math" w:hAnsi="Cambria Math"/>
        </w:rPr>
        <w:t>m</w:t>
      </w:r>
      <w:r w:rsidR="00C25C85" w:rsidRPr="00BC31E0">
        <w:rPr>
          <w:rFonts w:ascii="Cambria Math" w:hAnsi="Cambria Math" w:hint="eastAsia"/>
        </w:rPr>
        <w:t>m</w:t>
      </w:r>
      <w:r w:rsidR="00C25C85" w:rsidRPr="00BC31E0">
        <w:rPr>
          <w:rFonts w:ascii="Cambria Math" w:eastAsiaTheme="minorEastAsia" w:hAnsi="Cambria Math"/>
        </w:rPr>
        <w:t>/</w:t>
      </w:r>
      <w:r w:rsidR="00C25C85" w:rsidRPr="00BC31E0">
        <w:rPr>
          <w:rFonts w:ascii="Cambria Math" w:eastAsiaTheme="minorEastAsia" w:hAnsi="Cambria Math" w:hint="eastAsia"/>
        </w:rPr>
        <w:t>cycle</w:t>
      </w:r>
      <w:r w:rsidR="00C25C85" w:rsidRPr="00BC31E0">
        <w:rPr>
          <w:rFonts w:hint="eastAsia"/>
        </w:rPr>
        <w:t>) (</w:t>
      </w:r>
      <w:r w:rsidR="00C25C85" w:rsidRPr="00BC31E0">
        <w:rPr>
          <w:rFonts w:ascii="ＭＳ ゴシック" w:eastAsia="ＭＳ ゴシック" w:hAnsi="ＭＳ ゴシック" w:hint="eastAsia"/>
          <w:b/>
        </w:rPr>
        <w:t>6.4.6</w:t>
      </w:r>
      <w:r w:rsidR="00C25C85" w:rsidRPr="00BC31E0">
        <w:rPr>
          <w:rFonts w:hint="eastAsia"/>
        </w:rPr>
        <w:t>)</w:t>
      </w:r>
    </w:p>
    <w:p w14:paraId="0E8A6E03" w14:textId="77777777" w:rsidR="00C25C85" w:rsidRPr="00BC31E0" w:rsidRDefault="00C25C85" w:rsidP="008234D1">
      <w:pPr>
        <w:tabs>
          <w:tab w:val="left" w:pos="1276"/>
        </w:tabs>
        <w:autoSpaceDE w:val="0"/>
        <w:autoSpaceDN w:val="0"/>
        <w:ind w:left="1588" w:hanging="1021"/>
      </w:pPr>
      <m:oMath>
        <m:r>
          <w:rPr>
            <w:rFonts w:ascii="Cambria Math" w:hAnsi="Cambria Math"/>
            <w:szCs w:val="24"/>
          </w:rPr>
          <m:t>E</m:t>
        </m:r>
      </m:oMath>
      <w:r w:rsidRPr="00BC31E0">
        <w:tab/>
      </w:r>
      <w:bookmarkStart w:id="129" w:name="_Hlk52268831"/>
      <w:r w:rsidRPr="00BC31E0">
        <w:rPr>
          <w:rFonts w:hint="eastAsia"/>
        </w:rPr>
        <w:t>：</w:t>
      </w:r>
      <w:r w:rsidRPr="00BC31E0">
        <w:rPr>
          <w:rFonts w:hint="eastAsia"/>
        </w:rPr>
        <w:t xml:space="preserve"> </w:t>
      </w:r>
      <w:r w:rsidRPr="00BC31E0">
        <w:rPr>
          <w:rFonts w:hint="eastAsia"/>
        </w:rPr>
        <w:t>設計温度における縦弾性係数</w:t>
      </w:r>
      <w:r w:rsidRPr="00BC31E0">
        <w:rPr>
          <w:rFonts w:hint="eastAsia"/>
        </w:rPr>
        <w:t>(</w:t>
      </w:r>
      <w:r w:rsidRPr="00BC31E0">
        <w:rPr>
          <w:rFonts w:ascii="Cambria Math" w:eastAsiaTheme="minorEastAsia" w:hAnsi="Cambria Math"/>
        </w:rPr>
        <w:t>MPa</w:t>
      </w:r>
      <w:r w:rsidRPr="00BC31E0">
        <w:rPr>
          <w:rFonts w:hint="eastAsia"/>
        </w:rPr>
        <w:t>) (</w:t>
      </w:r>
      <w:r w:rsidRPr="00BC31E0">
        <w:rPr>
          <w:rFonts w:asciiTheme="majorEastAsia" w:eastAsiaTheme="majorEastAsia" w:hAnsiTheme="majorEastAsia" w:hint="eastAsia"/>
          <w:b/>
        </w:rPr>
        <w:t>6.2.2</w:t>
      </w:r>
      <w:r w:rsidRPr="00BC31E0">
        <w:rPr>
          <w:rFonts w:hint="eastAsia"/>
        </w:rPr>
        <w:t>，</w:t>
      </w:r>
      <w:r w:rsidRPr="00BC31E0">
        <w:rPr>
          <w:rFonts w:ascii="ＭＳ ゴシック" w:eastAsia="ＭＳ ゴシック"/>
          <w:b/>
        </w:rPr>
        <w:t>6.</w:t>
      </w:r>
      <w:r w:rsidRPr="00BC31E0">
        <w:rPr>
          <w:rFonts w:ascii="ＭＳ ゴシック" w:eastAsia="ＭＳ ゴシック" w:hint="eastAsia"/>
          <w:b/>
        </w:rPr>
        <w:t>4</w:t>
      </w:r>
      <w:r w:rsidRPr="00BC31E0">
        <w:rPr>
          <w:rFonts w:ascii="ＭＳ ゴシック" w:eastAsia="ＭＳ ゴシック"/>
          <w:b/>
        </w:rPr>
        <w:t>.</w:t>
      </w:r>
      <w:r w:rsidRPr="00BC31E0">
        <w:rPr>
          <w:rFonts w:ascii="ＭＳ ゴシック" w:eastAsia="ＭＳ ゴシック" w:hint="eastAsia"/>
          <w:b/>
        </w:rPr>
        <w:t>6</w:t>
      </w:r>
      <w:r w:rsidRPr="00BC31E0">
        <w:rPr>
          <w:rFonts w:hint="eastAsia"/>
        </w:rPr>
        <w:t>)</w:t>
      </w:r>
    </w:p>
    <w:p w14:paraId="6FAB16DE" w14:textId="77777777" w:rsidR="00C25C85" w:rsidRPr="00BC31E0" w:rsidRDefault="00C25C85" w:rsidP="008234D1">
      <w:pPr>
        <w:tabs>
          <w:tab w:val="left" w:pos="1276"/>
        </w:tabs>
        <w:autoSpaceDE w:val="0"/>
        <w:autoSpaceDN w:val="0"/>
        <w:ind w:left="1588" w:hanging="1021"/>
      </w:pPr>
      <w:r w:rsidRPr="00BC31E0">
        <w:rPr>
          <w:rFonts w:hint="eastAsia"/>
        </w:rPr>
        <w:tab/>
      </w:r>
      <w:r w:rsidRPr="00BC31E0">
        <w:rPr>
          <w:rFonts w:hint="eastAsia"/>
        </w:rPr>
        <w:t>：</w:t>
      </w:r>
      <w:r w:rsidRPr="00BC31E0">
        <w:rPr>
          <w:rFonts w:hint="eastAsia"/>
        </w:rPr>
        <w:t xml:space="preserve"> </w:t>
      </w:r>
      <w:r w:rsidRPr="00BC31E0">
        <w:rPr>
          <w:rFonts w:hint="eastAsia"/>
        </w:rPr>
        <w:t>地震荷重</w:t>
      </w:r>
      <w:r w:rsidRPr="00BC31E0">
        <w:rPr>
          <w:rFonts w:hint="eastAsia"/>
        </w:rPr>
        <w:t>(</w:t>
      </w:r>
      <w:r w:rsidRPr="00BC31E0">
        <w:rPr>
          <w:rFonts w:ascii="Cambria Math" w:hAnsi="Cambria Math"/>
        </w:rPr>
        <w:t>N</w:t>
      </w:r>
      <w:r w:rsidRPr="00BC31E0">
        <w:rPr>
          <w:rFonts w:hint="eastAsia"/>
        </w:rPr>
        <w:t>) (</w:t>
      </w:r>
      <w:r w:rsidRPr="00BC31E0">
        <w:rPr>
          <w:rFonts w:asciiTheme="majorEastAsia" w:eastAsiaTheme="majorEastAsia" w:hAnsiTheme="majorEastAsia" w:hint="eastAsia"/>
          <w:b/>
        </w:rPr>
        <w:t>表6.2.2</w:t>
      </w:r>
      <w:r w:rsidRPr="00BC31E0">
        <w:rPr>
          <w:rFonts w:asciiTheme="minorEastAsia" w:eastAsiaTheme="minorEastAsia" w:hAnsiTheme="minorEastAsia" w:hint="eastAsia"/>
        </w:rPr>
        <w:t>，</w:t>
      </w:r>
      <w:r w:rsidRPr="00BC31E0">
        <w:rPr>
          <w:rFonts w:asciiTheme="majorEastAsia" w:eastAsiaTheme="majorEastAsia" w:hAnsiTheme="majorEastAsia" w:hint="eastAsia"/>
          <w:b/>
        </w:rPr>
        <w:t>附属書J 表J.1</w:t>
      </w:r>
      <w:r w:rsidRPr="00BC31E0">
        <w:rPr>
          <w:rFonts w:hint="eastAsia"/>
        </w:rPr>
        <w:t>)</w:t>
      </w:r>
    </w:p>
    <w:p w14:paraId="1199422E" w14:textId="77777777" w:rsidR="00C25C85" w:rsidRPr="00BC31E0" w:rsidRDefault="00C25C85" w:rsidP="008234D1">
      <w:pPr>
        <w:tabs>
          <w:tab w:val="left" w:pos="1276"/>
        </w:tabs>
        <w:autoSpaceDE w:val="0"/>
        <w:autoSpaceDN w:val="0"/>
        <w:ind w:left="1588" w:hanging="1021"/>
      </w:pPr>
      <w:r w:rsidRPr="00BC31E0">
        <w:rPr>
          <w:rFonts w:hint="eastAsia"/>
        </w:rPr>
        <w:tab/>
      </w:r>
      <w:r w:rsidRPr="00BC31E0">
        <w:rPr>
          <w:rFonts w:hint="eastAsia"/>
        </w:rPr>
        <w:t>：</w:t>
      </w:r>
      <w:r w:rsidRPr="00BC31E0">
        <w:rPr>
          <w:rFonts w:hint="eastAsia"/>
        </w:rPr>
        <w:t xml:space="preserve"> </w:t>
      </w:r>
      <w:r w:rsidRPr="00BC31E0">
        <w:rPr>
          <w:rFonts w:hint="eastAsia"/>
        </w:rPr>
        <w:t>縦弾性係数</w:t>
      </w:r>
      <w:r w:rsidRPr="00BC31E0">
        <w:rPr>
          <w:rFonts w:hint="eastAsia"/>
        </w:rPr>
        <w:t>(</w:t>
      </w:r>
      <w:r w:rsidRPr="00BC31E0">
        <w:rPr>
          <w:rFonts w:ascii="Cambria Math" w:hAnsi="Cambria Math"/>
        </w:rPr>
        <w:t>MPa</w:t>
      </w:r>
      <w:r w:rsidRPr="00BC31E0">
        <w:rPr>
          <w:rFonts w:hint="eastAsia"/>
        </w:rPr>
        <w:t>) (</w:t>
      </w:r>
      <w:r w:rsidRPr="00BC31E0">
        <w:rPr>
          <w:rFonts w:ascii="ＭＳ ゴシック" w:eastAsia="ＭＳ ゴシック" w:hAnsi="ＭＳ ゴシック" w:hint="eastAsia"/>
          <w:b/>
          <w:bCs/>
        </w:rPr>
        <w:t>6.3.5</w:t>
      </w:r>
      <w:r w:rsidRPr="00BC31E0">
        <w:rPr>
          <w:rFonts w:hint="eastAsia"/>
        </w:rPr>
        <w:t>，</w:t>
      </w:r>
      <w:r w:rsidRPr="00BC31E0">
        <w:rPr>
          <w:rFonts w:ascii="ＭＳ ゴシック" w:eastAsia="ＭＳ ゴシック"/>
          <w:b/>
        </w:rPr>
        <w:t>6.8.3</w:t>
      </w:r>
      <w:r w:rsidRPr="00BC31E0">
        <w:rPr>
          <w:rFonts w:hint="eastAsia"/>
        </w:rPr>
        <w:t>，</w:t>
      </w:r>
      <w:r w:rsidRPr="00BC31E0">
        <w:rPr>
          <w:rFonts w:ascii="ＭＳ ゴシック" w:eastAsia="ＭＳ ゴシック"/>
          <w:b/>
        </w:rPr>
        <w:t>6.</w:t>
      </w:r>
      <w:r w:rsidRPr="00BC31E0">
        <w:rPr>
          <w:rFonts w:ascii="ＭＳ ゴシック" w:eastAsia="ＭＳ ゴシック" w:hint="eastAsia"/>
          <w:b/>
        </w:rPr>
        <w:t>5</w:t>
      </w:r>
      <w:r w:rsidRPr="00BC31E0">
        <w:rPr>
          <w:rFonts w:hint="eastAsia"/>
        </w:rPr>
        <w:t>，</w:t>
      </w:r>
      <w:r w:rsidRPr="00BC31E0">
        <w:rPr>
          <w:rFonts w:ascii="ＭＳ ゴシック" w:eastAsia="ＭＳ ゴシック"/>
          <w:b/>
        </w:rPr>
        <w:t>7.8.3</w:t>
      </w:r>
      <w:r w:rsidRPr="00BC31E0">
        <w:rPr>
          <w:rFonts w:asciiTheme="minorEastAsia" w:eastAsiaTheme="minorEastAsia" w:hAnsiTheme="minorEastAsia" w:hint="eastAsia"/>
        </w:rPr>
        <w:t>，</w:t>
      </w:r>
      <w:r w:rsidRPr="00BC31E0">
        <w:rPr>
          <w:rFonts w:ascii="ＭＳ ゴシック" w:eastAsia="ＭＳ ゴシック" w:hint="eastAsia"/>
          <w:b/>
        </w:rPr>
        <w:t xml:space="preserve">附属書C </w:t>
      </w:r>
      <w:r w:rsidRPr="00BC31E0">
        <w:rPr>
          <w:rFonts w:ascii="ＭＳ ゴシック" w:eastAsia="ＭＳ ゴシック"/>
          <w:b/>
        </w:rPr>
        <w:t>6</w:t>
      </w:r>
      <w:r w:rsidRPr="00BC31E0">
        <w:rPr>
          <w:rFonts w:hint="eastAsia"/>
        </w:rPr>
        <w:t>)</w:t>
      </w:r>
      <w:bookmarkEnd w:id="129"/>
    </w:p>
    <w:p w14:paraId="3F8C982E" w14:textId="77777777" w:rsidR="00C25C85" w:rsidRPr="00BC31E0" w:rsidRDefault="00C25C85" w:rsidP="008234D1">
      <w:pPr>
        <w:tabs>
          <w:tab w:val="left" w:pos="1276"/>
        </w:tabs>
        <w:autoSpaceDE w:val="0"/>
        <w:autoSpaceDN w:val="0"/>
        <w:ind w:left="1588" w:hanging="1021"/>
      </w:pPr>
      <w:r w:rsidRPr="00BC31E0">
        <w:rPr>
          <w:rFonts w:hint="eastAsia"/>
        </w:rPr>
        <w:tab/>
      </w:r>
      <w:r w:rsidRPr="00BC31E0">
        <w:rPr>
          <w:rFonts w:hint="eastAsia"/>
        </w:rPr>
        <w:t>：</w:t>
      </w:r>
      <w:r w:rsidRPr="00BC31E0">
        <w:rPr>
          <w:rFonts w:hint="eastAsia"/>
        </w:rPr>
        <w:t xml:space="preserve"> </w:t>
      </w:r>
      <w:r w:rsidRPr="00BC31E0">
        <w:rPr>
          <w:rFonts w:hint="eastAsia"/>
        </w:rPr>
        <w:t>温度サイクル中の最高温度と最低温度の平均温度における縦弾性係数</w:t>
      </w:r>
      <w:r w:rsidRPr="00BC31E0">
        <w:rPr>
          <w:rFonts w:hint="eastAsia"/>
        </w:rPr>
        <w:t>(</w:t>
      </w:r>
      <w:r w:rsidRPr="00BC31E0">
        <w:rPr>
          <w:rFonts w:ascii="Cambria Math" w:hAnsi="Cambria Math"/>
        </w:rPr>
        <w:t>MPa</w:t>
      </w:r>
      <w:r w:rsidRPr="00BC31E0">
        <w:rPr>
          <w:rFonts w:hint="eastAsia"/>
        </w:rPr>
        <w:t>) (</w:t>
      </w:r>
      <w:r w:rsidRPr="00BC31E0">
        <w:rPr>
          <w:rFonts w:ascii="ＭＳ ゴシック" w:eastAsia="ＭＳ ゴシック" w:hint="eastAsia"/>
          <w:b/>
        </w:rPr>
        <w:t>附属書J</w:t>
      </w:r>
      <w:r w:rsidRPr="00BC31E0">
        <w:rPr>
          <w:rFonts w:ascii="ＭＳ ゴシック" w:eastAsia="ＭＳ ゴシック"/>
          <w:b/>
        </w:rPr>
        <w:t xml:space="preserve"> 1</w:t>
      </w:r>
      <w:r w:rsidRPr="00BC31E0">
        <w:rPr>
          <w:rFonts w:hint="eastAsia"/>
        </w:rPr>
        <w:t>)</w:t>
      </w:r>
    </w:p>
    <w:p w14:paraId="0FB702C4"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E</m:t>
            </m:r>
          </m:e>
          <m:sub>
            <m:r>
              <w:rPr>
                <w:rFonts w:ascii="Cambria Math" w:hAnsi="Cambria Math" w:hint="eastAsia"/>
                <w:szCs w:val="24"/>
              </w:rPr>
              <m:t>a</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運転温度における縦弾性係数</w:t>
      </w:r>
      <w:r w:rsidR="00C25C85" w:rsidRPr="00BC31E0">
        <w:rPr>
          <w:rFonts w:hint="eastAsia"/>
        </w:rPr>
        <w:t>(</w:t>
      </w:r>
      <w:r w:rsidR="00C25C85" w:rsidRPr="00BC31E0">
        <w:rPr>
          <w:rFonts w:ascii="Cambria Math" w:hAnsi="Cambria Math"/>
        </w:rPr>
        <w:t>MPa</w:t>
      </w:r>
      <w:r w:rsidR="00C25C85" w:rsidRPr="00BC31E0">
        <w:rPr>
          <w:rFonts w:hint="eastAsia"/>
        </w:rPr>
        <w:t>) (</w:t>
      </w:r>
      <w:r w:rsidR="00C25C85" w:rsidRPr="00BC31E0">
        <w:rPr>
          <w:rFonts w:ascii="ＭＳ ゴシック" w:eastAsia="ＭＳ ゴシック"/>
          <w:b/>
        </w:rPr>
        <w:t>6.</w:t>
      </w:r>
      <w:r w:rsidR="00C25C85" w:rsidRPr="00BC31E0">
        <w:rPr>
          <w:rFonts w:ascii="ＭＳ ゴシック" w:eastAsia="ＭＳ ゴシック" w:hint="eastAsia"/>
          <w:b/>
        </w:rPr>
        <w:t>3</w:t>
      </w:r>
      <w:r w:rsidR="00C25C85" w:rsidRPr="00BC31E0">
        <w:rPr>
          <w:rFonts w:ascii="ＭＳ ゴシック" w:eastAsia="ＭＳ ゴシック"/>
          <w:b/>
        </w:rPr>
        <w:t>.</w:t>
      </w:r>
      <w:r w:rsidR="00C25C85" w:rsidRPr="00BC31E0">
        <w:rPr>
          <w:rFonts w:ascii="ＭＳ ゴシック" w:eastAsia="ＭＳ ゴシック" w:hint="eastAsia"/>
          <w:b/>
        </w:rPr>
        <w:t>5</w:t>
      </w:r>
      <w:r w:rsidR="00C25C85" w:rsidRPr="00BC31E0">
        <w:rPr>
          <w:rFonts w:hint="eastAsia"/>
        </w:rPr>
        <w:t>)</w:t>
      </w:r>
    </w:p>
    <w:p w14:paraId="7AF1DBD0" w14:textId="77777777" w:rsidR="00C25C85" w:rsidRPr="00BC31E0" w:rsidRDefault="00C25C85" w:rsidP="008234D1">
      <w:pPr>
        <w:tabs>
          <w:tab w:val="left" w:pos="1276"/>
        </w:tabs>
        <w:autoSpaceDE w:val="0"/>
        <w:autoSpaceDN w:val="0"/>
        <w:ind w:left="1588" w:hanging="1021"/>
      </w:pPr>
      <w:bookmarkStart w:id="130" w:name="_Hlk52539852"/>
      <m:oMath>
        <m:r>
          <w:rPr>
            <w:rFonts w:ascii="Cambria Math" w:hAnsi="Cambria Math"/>
            <w:szCs w:val="24"/>
          </w:rPr>
          <m:t>El</m:t>
        </m:r>
      </m:oMath>
      <w:r w:rsidRPr="00BC31E0">
        <w:tab/>
      </w:r>
      <w:r w:rsidRPr="00BC31E0">
        <w:rPr>
          <w:rFonts w:hint="eastAsia"/>
        </w:rPr>
        <w:t>：</w:t>
      </w:r>
      <w:r w:rsidRPr="00BC31E0">
        <w:rPr>
          <w:rFonts w:hint="eastAsia"/>
        </w:rPr>
        <w:t xml:space="preserve"> </w:t>
      </w:r>
      <w:r w:rsidRPr="00BC31E0">
        <w:rPr>
          <w:rFonts w:hint="eastAsia"/>
        </w:rPr>
        <w:t>最小規定伸び</w:t>
      </w:r>
      <w:r w:rsidRPr="00BC31E0">
        <w:rPr>
          <w:rFonts w:hint="eastAsia"/>
        </w:rPr>
        <w:t>(</w:t>
      </w:r>
      <w:r w:rsidRPr="00BC31E0">
        <w:rPr>
          <w:rFonts w:ascii="Cambria Math" w:eastAsiaTheme="minorEastAsia" w:hAnsi="Cambria Math"/>
        </w:rPr>
        <w:t>%</w:t>
      </w:r>
      <w:r w:rsidRPr="00BC31E0">
        <w:rPr>
          <w:rFonts w:hint="eastAsia"/>
        </w:rPr>
        <w:t>) (</w:t>
      </w:r>
      <w:r w:rsidRPr="00BC31E0">
        <w:rPr>
          <w:rFonts w:ascii="ＭＳ ゴシック" w:eastAsia="ＭＳ ゴシック"/>
          <w:b/>
        </w:rPr>
        <w:t>6.</w:t>
      </w:r>
      <w:r w:rsidRPr="00BC31E0">
        <w:rPr>
          <w:rFonts w:ascii="ＭＳ ゴシック" w:eastAsia="ＭＳ ゴシック" w:hint="eastAsia"/>
          <w:b/>
        </w:rPr>
        <w:t>2</w:t>
      </w:r>
      <w:r w:rsidRPr="00BC31E0">
        <w:rPr>
          <w:rFonts w:ascii="ＭＳ ゴシック" w:eastAsia="ＭＳ ゴシック"/>
          <w:b/>
        </w:rPr>
        <w:t>.3</w:t>
      </w:r>
      <w:r w:rsidRPr="00BC31E0">
        <w:rPr>
          <w:rFonts w:asciiTheme="minorEastAsia" w:eastAsiaTheme="minorEastAsia" w:hAnsiTheme="minorEastAsia" w:hint="eastAsia"/>
        </w:rPr>
        <w:t>，</w:t>
      </w:r>
      <w:r w:rsidRPr="00BC31E0">
        <w:rPr>
          <w:rFonts w:ascii="ＭＳ ゴシック" w:eastAsia="ＭＳ ゴシック" w:hint="eastAsia"/>
          <w:b/>
        </w:rPr>
        <w:t>表6.2.4</w:t>
      </w:r>
      <w:r w:rsidRPr="00BC31E0">
        <w:rPr>
          <w:rFonts w:hint="eastAsia"/>
        </w:rPr>
        <w:t>)</w:t>
      </w:r>
    </w:p>
    <w:bookmarkEnd w:id="130"/>
    <w:p w14:paraId="2B8AA6C3"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E</m:t>
            </m:r>
          </m:e>
          <m:sub>
            <m:r>
              <w:rPr>
                <w:rFonts w:ascii="Cambria Math" w:hAnsi="Cambria Math"/>
                <w:szCs w:val="24"/>
              </w:rPr>
              <m:t>I</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最内層の縦弾性係数</w:t>
      </w:r>
      <w:r w:rsidR="00C25C85" w:rsidRPr="00BC31E0">
        <w:rPr>
          <w:rFonts w:hint="eastAsia"/>
        </w:rPr>
        <w:t>(</w:t>
      </w:r>
      <w:r w:rsidR="00C25C85" w:rsidRPr="00BC31E0">
        <w:rPr>
          <w:rFonts w:ascii="Cambria Math" w:hAnsi="Cambria Math"/>
        </w:rPr>
        <w:t>MPa</w:t>
      </w:r>
      <w:r w:rsidR="00C25C85" w:rsidRPr="00BC31E0">
        <w:rPr>
          <w:rFonts w:hint="eastAsia"/>
        </w:rPr>
        <w:t>) (</w:t>
      </w:r>
      <w:r w:rsidR="00C25C85" w:rsidRPr="00BC31E0">
        <w:rPr>
          <w:rFonts w:ascii="ＭＳ ゴシック" w:eastAsia="ＭＳ ゴシック"/>
          <w:b/>
        </w:rPr>
        <w:t>6.8.3</w:t>
      </w:r>
      <w:r w:rsidR="00C25C85" w:rsidRPr="00BC31E0">
        <w:rPr>
          <w:rFonts w:hint="eastAsia"/>
        </w:rPr>
        <w:t>)</w:t>
      </w:r>
    </w:p>
    <w:p w14:paraId="012C4569"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E</m:t>
            </m:r>
          </m:e>
          <m:sub>
            <m:r>
              <w:rPr>
                <w:rFonts w:ascii="Cambria Math" w:hAnsi="Cambria Math" w:hint="eastAsia"/>
                <w:szCs w:val="24"/>
              </w:rPr>
              <m:t>n</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第</w:t>
      </w:r>
      <w:r w:rsidR="00C25C85" w:rsidRPr="00BC31E0">
        <w:rPr>
          <w:rFonts w:hint="eastAsia"/>
        </w:rPr>
        <w:t>n</w:t>
      </w:r>
      <w:r w:rsidR="00C25C85" w:rsidRPr="00BC31E0">
        <w:rPr>
          <w:rFonts w:hint="eastAsia"/>
        </w:rPr>
        <w:t>層の縦弾性係数</w:t>
      </w:r>
      <w:r w:rsidR="00C25C85" w:rsidRPr="00BC31E0">
        <w:rPr>
          <w:rFonts w:hint="eastAsia"/>
        </w:rPr>
        <w:t>(</w:t>
      </w:r>
      <w:r w:rsidR="00C25C85" w:rsidRPr="00BC31E0">
        <w:rPr>
          <w:rFonts w:ascii="Cambria Math" w:hAnsi="Cambria Math"/>
        </w:rPr>
        <w:t>MPa</w:t>
      </w:r>
      <w:r w:rsidR="00C25C85" w:rsidRPr="00BC31E0">
        <w:rPr>
          <w:rFonts w:hint="eastAsia"/>
        </w:rPr>
        <w:t>) (</w:t>
      </w:r>
      <w:r w:rsidR="00C25C85" w:rsidRPr="00BC31E0">
        <w:rPr>
          <w:rFonts w:ascii="ＭＳ ゴシック" w:eastAsia="ＭＳ ゴシック"/>
          <w:b/>
        </w:rPr>
        <w:t>6.8.3</w:t>
      </w:r>
      <w:r w:rsidR="00C25C85" w:rsidRPr="00BC31E0">
        <w:rPr>
          <w:rFonts w:hint="eastAsia"/>
        </w:rPr>
        <w:t>)</w:t>
      </w:r>
    </w:p>
    <w:p w14:paraId="1A6F73F6"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E</m:t>
            </m:r>
          </m:e>
          <m:sub>
            <m:r>
              <w:rPr>
                <w:rFonts w:ascii="Cambria Math" w:hAnsi="Cambria Math"/>
                <w:szCs w:val="24"/>
              </w:rPr>
              <m:t>O</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最外層の縦弾性係数</w:t>
      </w:r>
      <w:r w:rsidR="00C25C85" w:rsidRPr="00BC31E0">
        <w:rPr>
          <w:rFonts w:hint="eastAsia"/>
        </w:rPr>
        <w:t>(</w:t>
      </w:r>
      <w:r w:rsidR="00C25C85" w:rsidRPr="00BC31E0">
        <w:rPr>
          <w:rFonts w:ascii="Cambria Math" w:hAnsi="Cambria Math"/>
        </w:rPr>
        <w:t>MPa</w:t>
      </w:r>
      <w:r w:rsidR="00C25C85" w:rsidRPr="00BC31E0">
        <w:rPr>
          <w:rFonts w:hint="eastAsia"/>
        </w:rPr>
        <w:t>) (</w:t>
      </w:r>
      <w:r w:rsidR="00C25C85" w:rsidRPr="00BC31E0">
        <w:rPr>
          <w:rFonts w:ascii="ＭＳ ゴシック" w:eastAsia="ＭＳ ゴシック"/>
          <w:b/>
        </w:rPr>
        <w:t>6.8.3</w:t>
      </w:r>
      <w:r w:rsidR="00C25C85" w:rsidRPr="00BC31E0">
        <w:rPr>
          <w:rFonts w:hint="eastAsia"/>
        </w:rPr>
        <w:t>)</w:t>
      </w:r>
    </w:p>
    <w:p w14:paraId="40C05B4B" w14:textId="77777777" w:rsidR="00C25C85" w:rsidRPr="00BC31E0" w:rsidRDefault="00C25C85" w:rsidP="008234D1">
      <w:pPr>
        <w:tabs>
          <w:tab w:val="left" w:pos="1276"/>
        </w:tabs>
        <w:autoSpaceDE w:val="0"/>
        <w:autoSpaceDN w:val="0"/>
        <w:ind w:left="1588" w:hanging="1021"/>
      </w:pPr>
      <w:r w:rsidRPr="00BC31E0">
        <w:rPr>
          <w:rFonts w:hint="eastAsia"/>
        </w:rPr>
        <w:tab/>
      </w:r>
      <w:r w:rsidRPr="00BC31E0">
        <w:rPr>
          <w:rFonts w:hint="eastAsia"/>
        </w:rPr>
        <w:t>：</w:t>
      </w:r>
      <w:r w:rsidRPr="00BC31E0">
        <w:rPr>
          <w:rFonts w:hint="eastAsia"/>
        </w:rPr>
        <w:t xml:space="preserve"> </w:t>
      </w:r>
      <w:r w:rsidRPr="00BC31E0">
        <w:rPr>
          <w:rFonts w:hint="eastAsia"/>
        </w:rPr>
        <w:t>室温における縦弾性係数</w:t>
      </w:r>
      <w:r w:rsidRPr="00BC31E0">
        <w:rPr>
          <w:rFonts w:hint="eastAsia"/>
        </w:rPr>
        <w:t>(</w:t>
      </w:r>
      <w:r w:rsidRPr="00BC31E0">
        <w:rPr>
          <w:rFonts w:ascii="Cambria Math" w:hAnsi="Cambria Math"/>
        </w:rPr>
        <w:t>MPa</w:t>
      </w:r>
      <w:r w:rsidRPr="00BC31E0">
        <w:rPr>
          <w:rFonts w:hint="eastAsia"/>
        </w:rPr>
        <w:t>) (</w:t>
      </w:r>
      <w:r w:rsidRPr="00BC31E0">
        <w:rPr>
          <w:rFonts w:ascii="ＭＳ ゴシック" w:eastAsia="ＭＳ ゴシック"/>
          <w:b/>
        </w:rPr>
        <w:t>6.</w:t>
      </w:r>
      <w:r w:rsidRPr="00BC31E0">
        <w:rPr>
          <w:rFonts w:ascii="ＭＳ ゴシック" w:eastAsia="ＭＳ ゴシック" w:hint="eastAsia"/>
          <w:b/>
        </w:rPr>
        <w:t>4</w:t>
      </w:r>
      <w:r w:rsidRPr="00BC31E0">
        <w:rPr>
          <w:rFonts w:ascii="ＭＳ ゴシック" w:eastAsia="ＭＳ ゴシック"/>
          <w:b/>
        </w:rPr>
        <w:t>.</w:t>
      </w:r>
      <w:r w:rsidRPr="00BC31E0">
        <w:rPr>
          <w:rFonts w:ascii="ＭＳ ゴシック" w:eastAsia="ＭＳ ゴシック" w:hint="eastAsia"/>
          <w:b/>
        </w:rPr>
        <w:t>6</w:t>
      </w:r>
      <w:r w:rsidRPr="00BC31E0">
        <w:rPr>
          <w:rFonts w:hint="eastAsia"/>
        </w:rPr>
        <w:t>)</w:t>
      </w:r>
    </w:p>
    <w:p w14:paraId="2E7B10B2" w14:textId="77777777" w:rsidR="00C25C85" w:rsidRPr="00BC31E0" w:rsidRDefault="00A51873" w:rsidP="008234D1">
      <w:pPr>
        <w:tabs>
          <w:tab w:val="left" w:pos="1276"/>
        </w:tabs>
        <w:autoSpaceDE w:val="0"/>
        <w:autoSpaceDN w:val="0"/>
        <w:ind w:left="1588" w:hanging="1021"/>
        <w:rPr>
          <w:szCs w:val="24"/>
        </w:rPr>
      </w:pPr>
      <m:oMath>
        <m:sSub>
          <m:sSubPr>
            <m:ctrlPr>
              <w:rPr>
                <w:rFonts w:ascii="Cambria Math" w:hAnsi="Cambria Math"/>
                <w:i/>
                <w:szCs w:val="24"/>
              </w:rPr>
            </m:ctrlPr>
          </m:sSubPr>
          <m:e>
            <m:r>
              <w:rPr>
                <w:rFonts w:ascii="Cambria Math" w:hAnsi="Cambria Math"/>
                <w:szCs w:val="24"/>
              </w:rPr>
              <m:t>E</m:t>
            </m:r>
          </m:e>
          <m:sub>
            <m:r>
              <w:rPr>
                <w:rFonts w:ascii="Cambria Math" w:hAnsi="Cambria Math"/>
                <w:szCs w:val="24"/>
              </w:rPr>
              <m:t>t</m:t>
            </m:r>
          </m:sub>
        </m:sSub>
      </m:oMath>
      <w:r w:rsidR="00C25C85" w:rsidRPr="00BC31E0">
        <w:rPr>
          <w:rFonts w:hint="eastAsia"/>
          <w:szCs w:val="24"/>
        </w:rPr>
        <w:t xml:space="preserve"> </w:t>
      </w:r>
      <w:r w:rsidR="00C25C85" w:rsidRPr="00BC31E0">
        <w:rPr>
          <w:rFonts w:hint="eastAsia"/>
          <w:szCs w:val="24"/>
        </w:rPr>
        <w:tab/>
      </w:r>
      <w:r w:rsidR="00C25C85" w:rsidRPr="00BC31E0">
        <w:rPr>
          <w:rFonts w:hint="eastAsia"/>
          <w:szCs w:val="24"/>
        </w:rPr>
        <w:t>：</w:t>
      </w:r>
      <w:r w:rsidR="00C25C85" w:rsidRPr="00BC31E0">
        <w:rPr>
          <w:rFonts w:hint="eastAsia"/>
          <w:szCs w:val="24"/>
        </w:rPr>
        <w:t xml:space="preserve"> </w:t>
      </w:r>
      <w:r w:rsidR="00C25C85" w:rsidRPr="00BC31E0">
        <w:rPr>
          <w:rFonts w:hint="eastAsia"/>
          <w:szCs w:val="24"/>
        </w:rPr>
        <w:t>真応力－真ひずみ曲線の接線係数</w:t>
      </w:r>
      <w:r w:rsidR="00C25C85" w:rsidRPr="00BC31E0">
        <w:rPr>
          <w:rFonts w:hint="eastAsia"/>
          <w:szCs w:val="24"/>
        </w:rPr>
        <w:t>(</w:t>
      </w:r>
      <w:r w:rsidR="00C25C85" w:rsidRPr="00BC31E0">
        <w:rPr>
          <w:rFonts w:ascii="Cambria Math" w:hAnsi="Cambria Math"/>
          <w:szCs w:val="24"/>
        </w:rPr>
        <w:t>MPa</w:t>
      </w:r>
      <w:r w:rsidR="00C25C85" w:rsidRPr="00BC31E0">
        <w:rPr>
          <w:rFonts w:hint="eastAsia"/>
          <w:szCs w:val="24"/>
        </w:rPr>
        <w:t>)</w:t>
      </w:r>
      <w:r w:rsidR="00C25C85" w:rsidRPr="00BC31E0">
        <w:rPr>
          <w:rFonts w:hint="eastAsia"/>
        </w:rPr>
        <w:t xml:space="preserve"> (</w:t>
      </w:r>
      <w:r w:rsidR="00C25C85" w:rsidRPr="00BC31E0">
        <w:rPr>
          <w:rFonts w:ascii="ＭＳ ゴシック" w:eastAsia="ＭＳ ゴシック" w:hAnsi="ＭＳ ゴシック" w:hint="eastAsia"/>
          <w:b/>
          <w:szCs w:val="24"/>
        </w:rPr>
        <w:t>附属書D 4.1</w:t>
      </w:r>
      <w:r w:rsidR="00C25C85" w:rsidRPr="00BC31E0">
        <w:rPr>
          <w:rFonts w:hint="eastAsia"/>
          <w:szCs w:val="24"/>
        </w:rPr>
        <w:t>)</w:t>
      </w:r>
    </w:p>
    <w:p w14:paraId="423C408D" w14:textId="77777777" w:rsidR="00C25C85" w:rsidRPr="00BC31E0" w:rsidRDefault="00A51873" w:rsidP="008234D1">
      <w:pPr>
        <w:tabs>
          <w:tab w:val="left" w:pos="1276"/>
        </w:tabs>
        <w:autoSpaceDE w:val="0"/>
        <w:autoSpaceDN w:val="0"/>
        <w:ind w:left="1588" w:hanging="1021"/>
        <w:rPr>
          <w:szCs w:val="24"/>
        </w:rPr>
      </w:pPr>
      <m:oMath>
        <m:sSub>
          <m:sSubPr>
            <m:ctrlPr>
              <w:rPr>
                <w:rFonts w:ascii="Cambria Math" w:hAnsi="Cambria Math"/>
                <w:i/>
                <w:szCs w:val="24"/>
              </w:rPr>
            </m:ctrlPr>
          </m:sSubPr>
          <m:e>
            <m:r>
              <w:rPr>
                <w:rFonts w:ascii="Cambria Math" w:hAnsi="Cambria Math"/>
                <w:szCs w:val="24"/>
              </w:rPr>
              <m:t>E</m:t>
            </m:r>
          </m:e>
          <m:sub>
            <m:r>
              <w:rPr>
                <w:rFonts w:ascii="Cambria Math" w:hAnsi="Cambria Math"/>
                <w:szCs w:val="24"/>
              </w:rPr>
              <m:t>y</m:t>
            </m:r>
          </m:sub>
        </m:sSub>
      </m:oMath>
      <w:r w:rsidR="00C25C85" w:rsidRPr="00BC31E0">
        <w:rPr>
          <w:rFonts w:hint="eastAsia"/>
          <w:szCs w:val="24"/>
        </w:rPr>
        <w:tab/>
      </w:r>
      <w:r w:rsidR="00C25C85" w:rsidRPr="00BC31E0">
        <w:rPr>
          <w:rFonts w:hint="eastAsia"/>
          <w:szCs w:val="24"/>
        </w:rPr>
        <w:t>：</w:t>
      </w:r>
      <w:r w:rsidR="00C25C85" w:rsidRPr="00BC31E0">
        <w:rPr>
          <w:rFonts w:hint="eastAsia"/>
          <w:szCs w:val="24"/>
        </w:rPr>
        <w:t xml:space="preserve"> </w:t>
      </w:r>
      <w:r w:rsidR="00C25C85" w:rsidRPr="00BC31E0">
        <w:rPr>
          <w:rFonts w:hint="eastAsia"/>
          <w:szCs w:val="24"/>
        </w:rPr>
        <w:t>当該温度における縦弾性係数</w:t>
      </w:r>
      <w:r w:rsidR="00C25C85" w:rsidRPr="00BC31E0">
        <w:rPr>
          <w:rFonts w:hint="eastAsia"/>
          <w:szCs w:val="24"/>
        </w:rPr>
        <w:t>(</w:t>
      </w:r>
      <w:r w:rsidR="00C25C85" w:rsidRPr="00BC31E0">
        <w:rPr>
          <w:rFonts w:ascii="Cambria Math" w:hAnsi="Cambria Math"/>
          <w:szCs w:val="24"/>
        </w:rPr>
        <w:t>MPa</w:t>
      </w:r>
      <w:r w:rsidR="00C25C85" w:rsidRPr="00BC31E0">
        <w:rPr>
          <w:rFonts w:hint="eastAsia"/>
          <w:szCs w:val="24"/>
        </w:rPr>
        <w:t>)</w:t>
      </w:r>
      <w:r w:rsidR="00C25C85" w:rsidRPr="00BC31E0">
        <w:rPr>
          <w:rFonts w:hint="eastAsia"/>
        </w:rPr>
        <w:t xml:space="preserve"> (</w:t>
      </w:r>
      <w:r w:rsidR="00C25C85" w:rsidRPr="00BC31E0">
        <w:rPr>
          <w:rFonts w:ascii="ＭＳ ゴシック" w:eastAsia="ＭＳ ゴシック" w:hAnsi="ＭＳ ゴシック" w:hint="eastAsia"/>
          <w:b/>
          <w:szCs w:val="24"/>
        </w:rPr>
        <w:t>附属書D 2</w:t>
      </w:r>
      <w:r w:rsidR="00C25C85" w:rsidRPr="00BC31E0">
        <w:rPr>
          <w:rFonts w:ascii="ＭＳ 明朝" w:hAnsi="ＭＳ 明朝" w:hint="eastAsia"/>
          <w:szCs w:val="24"/>
        </w:rPr>
        <w:t>，</w:t>
      </w:r>
      <w:r w:rsidR="00C25C85" w:rsidRPr="00BC31E0">
        <w:rPr>
          <w:rFonts w:ascii="ＭＳ ゴシック" w:eastAsia="ＭＳ ゴシック" w:hAnsi="ＭＳ ゴシック" w:hint="eastAsia"/>
          <w:b/>
          <w:szCs w:val="24"/>
        </w:rPr>
        <w:t>3</w:t>
      </w:r>
      <w:r w:rsidR="00C25C85" w:rsidRPr="00BC31E0">
        <w:rPr>
          <w:rFonts w:ascii="ＭＳ 明朝" w:hAnsi="ＭＳ 明朝" w:hint="eastAsia"/>
          <w:szCs w:val="24"/>
        </w:rPr>
        <w:t>，</w:t>
      </w:r>
      <w:r w:rsidR="00C25C85" w:rsidRPr="00BC31E0">
        <w:rPr>
          <w:rFonts w:ascii="ＭＳ ゴシック" w:eastAsia="ＭＳ ゴシック" w:hAnsi="ＭＳ ゴシック" w:hint="eastAsia"/>
          <w:b/>
          <w:szCs w:val="24"/>
        </w:rPr>
        <w:t>4</w:t>
      </w:r>
      <w:r w:rsidR="00C25C85" w:rsidRPr="00BC31E0">
        <w:rPr>
          <w:rFonts w:hint="eastAsia"/>
          <w:szCs w:val="24"/>
        </w:rPr>
        <w:t>)</w:t>
      </w:r>
    </w:p>
    <w:p w14:paraId="1C852A6E" w14:textId="77777777" w:rsidR="00C25C85" w:rsidRPr="00BC31E0" w:rsidRDefault="00C25C85" w:rsidP="008234D1">
      <w:pPr>
        <w:tabs>
          <w:tab w:val="left" w:pos="1276"/>
        </w:tabs>
        <w:autoSpaceDE w:val="0"/>
        <w:autoSpaceDN w:val="0"/>
        <w:ind w:left="1588" w:hanging="1021"/>
      </w:pPr>
      <m:oMath>
        <m:r>
          <w:rPr>
            <w:rFonts w:ascii="Cambria Math" w:hAnsi="Cambria Math"/>
            <w:szCs w:val="24"/>
          </w:rPr>
          <m:t>e</m:t>
        </m:r>
      </m:oMath>
      <w:r w:rsidRPr="00BC31E0">
        <w:tab/>
      </w:r>
      <w:r w:rsidRPr="00BC31E0">
        <w:rPr>
          <w:rFonts w:hint="eastAsia"/>
        </w:rPr>
        <w:t>：</w:t>
      </w:r>
      <w:r w:rsidRPr="00BC31E0">
        <w:rPr>
          <w:rFonts w:hint="eastAsia"/>
        </w:rPr>
        <w:t xml:space="preserve"> </w:t>
      </w:r>
      <w:r w:rsidRPr="00BC31E0">
        <w:rPr>
          <w:rFonts w:ascii="Cambria Math" w:hAnsi="Cambria Math"/>
        </w:rPr>
        <w:t>2.718</w:t>
      </w:r>
      <w:r w:rsidRPr="00BC31E0">
        <w:rPr>
          <w:rFonts w:hint="eastAsia"/>
        </w:rPr>
        <w:t>(</w:t>
      </w:r>
      <w:r w:rsidRPr="00BC31E0">
        <w:rPr>
          <w:rFonts w:hint="eastAsia"/>
        </w:rPr>
        <w:t>自然対数の底</w:t>
      </w:r>
      <w:r w:rsidRPr="00BC31E0">
        <w:rPr>
          <w:rFonts w:hint="eastAsia"/>
        </w:rPr>
        <w:t>) (</w:t>
      </w:r>
      <w:r w:rsidRPr="00BC31E0">
        <w:rPr>
          <w:rFonts w:asciiTheme="majorEastAsia" w:eastAsiaTheme="majorEastAsia" w:hAnsiTheme="majorEastAsia" w:hint="eastAsia"/>
          <w:b/>
        </w:rPr>
        <w:t>附属書D 2</w:t>
      </w:r>
      <w:r w:rsidRPr="00BC31E0">
        <w:rPr>
          <w:rFonts w:hint="eastAsia"/>
        </w:rPr>
        <w:t>)</w:t>
      </w:r>
    </w:p>
    <w:p w14:paraId="3BB98332"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e</m:t>
            </m:r>
          </m:e>
          <m:sub>
            <m:r>
              <w:rPr>
                <w:rFonts w:ascii="Cambria Math" w:hAnsi="Cambria Math"/>
                <w:szCs w:val="24"/>
              </w:rPr>
              <m:t>b</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ボルトからクランプ中心までの半径方向距離</w:t>
      </w:r>
      <w:r w:rsidR="00C25C85" w:rsidRPr="00BC31E0">
        <w:rPr>
          <w:rFonts w:hint="eastAsia"/>
        </w:rPr>
        <w:t>(</w:t>
      </w:r>
      <w:r w:rsidR="00C25C85" w:rsidRPr="00BC31E0">
        <w:rPr>
          <w:rFonts w:ascii="Cambria Math" w:hAnsi="Cambria Math"/>
        </w:rPr>
        <w:t>mm</w:t>
      </w:r>
      <w:r w:rsidR="00C25C85" w:rsidRPr="00BC31E0">
        <w:rPr>
          <w:rFonts w:hint="eastAsia"/>
        </w:rPr>
        <w:t>) (</w:t>
      </w:r>
      <w:r w:rsidR="00C25C85" w:rsidRPr="00BC31E0">
        <w:rPr>
          <w:rFonts w:ascii="ＭＳ ゴシック" w:eastAsia="ＭＳ ゴシック" w:hint="eastAsia"/>
          <w:b/>
        </w:rPr>
        <w:t>附属書</w:t>
      </w:r>
      <w:r w:rsidR="00C25C85" w:rsidRPr="00BC31E0">
        <w:rPr>
          <w:rFonts w:ascii="ＭＳ ゴシック" w:eastAsia="ＭＳ ゴシック"/>
          <w:b/>
        </w:rPr>
        <w:t>H</w:t>
      </w:r>
      <w:r w:rsidR="00C25C85" w:rsidRPr="00BC31E0">
        <w:rPr>
          <w:rFonts w:ascii="ＭＳ ゴシック" w:eastAsia="ＭＳ ゴシック" w:hint="eastAsia"/>
          <w:b/>
        </w:rPr>
        <w:t xml:space="preserve"> 3</w:t>
      </w:r>
      <w:r w:rsidR="00C25C85" w:rsidRPr="00BC31E0">
        <w:rPr>
          <w:rFonts w:hint="eastAsia"/>
        </w:rPr>
        <w:t>)</w:t>
      </w:r>
    </w:p>
    <w:p w14:paraId="56EAE8B5"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e</m:t>
            </m:r>
          </m:e>
          <m:sub>
            <m:r>
              <w:rPr>
                <w:rFonts w:ascii="Cambria Math" w:hAnsi="Cambria Math"/>
                <w:szCs w:val="24"/>
              </w:rPr>
              <m:t>m</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耐圧試験時に実測する周長伸び</w:t>
      </w:r>
      <w:r w:rsidR="00C25C85" w:rsidRPr="00BC31E0">
        <w:rPr>
          <w:rFonts w:hint="eastAsia"/>
        </w:rPr>
        <w:t>(</w:t>
      </w:r>
      <w:r w:rsidR="00C25C85" w:rsidRPr="00BC31E0">
        <w:rPr>
          <w:rFonts w:ascii="Cambria Math" w:hAnsi="Cambria Math"/>
        </w:rPr>
        <w:t>mm</w:t>
      </w:r>
      <w:r w:rsidR="00C25C85" w:rsidRPr="00BC31E0">
        <w:rPr>
          <w:rFonts w:hint="eastAsia"/>
        </w:rPr>
        <w:t>) (</w:t>
      </w:r>
      <w:r w:rsidR="00C25C85" w:rsidRPr="00BC31E0">
        <w:rPr>
          <w:rFonts w:ascii="ＭＳ ゴシック" w:eastAsia="ＭＳ ゴシック"/>
          <w:b/>
        </w:rPr>
        <w:t>6.8.3</w:t>
      </w:r>
      <w:r w:rsidR="00C25C85" w:rsidRPr="00BC31E0">
        <w:rPr>
          <w:rFonts w:hint="eastAsia"/>
        </w:rPr>
        <w:t>，</w:t>
      </w:r>
      <w:r w:rsidR="00C25C85" w:rsidRPr="00BC31E0">
        <w:rPr>
          <w:rFonts w:ascii="ＭＳ ゴシック" w:eastAsia="ＭＳ ゴシック"/>
          <w:b/>
        </w:rPr>
        <w:t>6.8.5</w:t>
      </w:r>
      <w:r w:rsidR="00C25C85" w:rsidRPr="00BC31E0">
        <w:rPr>
          <w:rFonts w:hint="eastAsia"/>
        </w:rPr>
        <w:t>，</w:t>
      </w:r>
      <w:r w:rsidR="00C25C85" w:rsidRPr="00BC31E0">
        <w:rPr>
          <w:rFonts w:ascii="ＭＳ ゴシック" w:eastAsia="ＭＳ ゴシック"/>
          <w:b/>
        </w:rPr>
        <w:t>7.8.3</w:t>
      </w:r>
      <w:r w:rsidR="00C25C85" w:rsidRPr="00BC31E0">
        <w:rPr>
          <w:rFonts w:hint="eastAsia"/>
        </w:rPr>
        <w:t>)</w:t>
      </w:r>
    </w:p>
    <w:p w14:paraId="0CEE55E7"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e</m:t>
            </m:r>
          </m:e>
          <m:sub>
            <m:r>
              <w:rPr>
                <w:rFonts w:ascii="Cambria Math" w:hAnsi="Cambria Math"/>
                <w:szCs w:val="24"/>
              </w:rPr>
              <m:t>th</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単胴と仮定した場合の耐圧試験圧力での理論周長伸び</w:t>
      </w:r>
      <w:r w:rsidR="00C25C85" w:rsidRPr="00BC31E0">
        <w:rPr>
          <w:rFonts w:hint="eastAsia"/>
        </w:rPr>
        <w:t>(</w:t>
      </w:r>
      <w:r w:rsidR="00C25C85" w:rsidRPr="00BC31E0">
        <w:rPr>
          <w:rFonts w:ascii="Cambria Math" w:hAnsi="Cambria Math"/>
        </w:rPr>
        <w:t>mm</w:t>
      </w:r>
      <w:r w:rsidR="00C25C85" w:rsidRPr="00BC31E0">
        <w:rPr>
          <w:rFonts w:hint="eastAsia"/>
        </w:rPr>
        <w:t>) (</w:t>
      </w:r>
      <w:r w:rsidR="00C25C85" w:rsidRPr="00BC31E0">
        <w:rPr>
          <w:rFonts w:ascii="ＭＳ ゴシック" w:eastAsia="ＭＳ ゴシック"/>
          <w:b/>
        </w:rPr>
        <w:t>6.8.3</w:t>
      </w:r>
      <w:r w:rsidR="00C25C85" w:rsidRPr="00BC31E0">
        <w:rPr>
          <w:rFonts w:hint="eastAsia"/>
        </w:rPr>
        <w:t>，</w:t>
      </w:r>
      <w:r w:rsidR="00C25C85" w:rsidRPr="00BC31E0">
        <w:rPr>
          <w:rFonts w:ascii="ＭＳ ゴシック" w:eastAsia="ＭＳ ゴシック"/>
          <w:b/>
        </w:rPr>
        <w:t>6.8.5</w:t>
      </w:r>
      <w:r w:rsidR="00C25C85" w:rsidRPr="00BC31E0">
        <w:rPr>
          <w:rFonts w:hint="eastAsia"/>
        </w:rPr>
        <w:t>，</w:t>
      </w:r>
      <w:r w:rsidR="00C25C85" w:rsidRPr="00BC31E0">
        <w:rPr>
          <w:rFonts w:ascii="ＭＳ ゴシック" w:eastAsia="ＭＳ ゴシック"/>
          <w:b/>
        </w:rPr>
        <w:t>7.8.3</w:t>
      </w:r>
      <w:r w:rsidR="00C25C85" w:rsidRPr="00BC31E0">
        <w:rPr>
          <w:rFonts w:hint="eastAsia"/>
        </w:rPr>
        <w:t>)</w:t>
      </w:r>
    </w:p>
    <w:p w14:paraId="2E6232D8" w14:textId="77777777" w:rsidR="00C25C85" w:rsidRPr="00BC31E0" w:rsidRDefault="00C25C85" w:rsidP="008234D1">
      <w:pPr>
        <w:tabs>
          <w:tab w:val="left" w:pos="1276"/>
        </w:tabs>
        <w:autoSpaceDE w:val="0"/>
        <w:autoSpaceDN w:val="0"/>
        <w:ind w:left="1588" w:hanging="1021"/>
      </w:pPr>
      <m:oMath>
        <m:r>
          <w:rPr>
            <w:rFonts w:ascii="Cambria Math" w:hAnsi="Cambria Math"/>
            <w:szCs w:val="24"/>
          </w:rPr>
          <m:t>F</m:t>
        </m:r>
      </m:oMath>
      <w:r w:rsidRPr="00BC31E0">
        <w:tab/>
      </w:r>
      <w:r w:rsidRPr="00BC31E0">
        <w:rPr>
          <w:rFonts w:hint="eastAsia"/>
        </w:rPr>
        <w:t>：</w:t>
      </w:r>
      <w:r w:rsidRPr="00BC31E0">
        <w:rPr>
          <w:rFonts w:hint="eastAsia"/>
        </w:rPr>
        <w:t xml:space="preserve"> </w:t>
      </w:r>
      <w:r w:rsidRPr="00BC31E0">
        <w:rPr>
          <w:rFonts w:hint="eastAsia"/>
        </w:rPr>
        <w:t>ピーク応力</w:t>
      </w:r>
      <w:r w:rsidRPr="00BC31E0">
        <w:rPr>
          <w:rFonts w:hint="eastAsia"/>
        </w:rPr>
        <w:t>(</w:t>
      </w:r>
      <w:r w:rsidRPr="00BC31E0">
        <w:rPr>
          <w:rFonts w:ascii="Cambria Math" w:hAnsi="Cambria Math"/>
        </w:rPr>
        <w:t>MPa</w:t>
      </w:r>
      <w:r w:rsidRPr="00BC31E0">
        <w:rPr>
          <w:rFonts w:hint="eastAsia"/>
        </w:rPr>
        <w:t>) (</w:t>
      </w:r>
      <w:r w:rsidRPr="00BC31E0">
        <w:rPr>
          <w:rFonts w:asciiTheme="majorEastAsia" w:eastAsiaTheme="majorEastAsia" w:hAnsiTheme="majorEastAsia" w:hint="eastAsia"/>
          <w:b/>
        </w:rPr>
        <w:t>附属書J</w:t>
      </w:r>
      <w:r w:rsidRPr="00BC31E0">
        <w:rPr>
          <w:rFonts w:asciiTheme="majorEastAsia" w:eastAsiaTheme="majorEastAsia" w:hAnsiTheme="majorEastAsia"/>
          <w:b/>
        </w:rPr>
        <w:t xml:space="preserve"> 1</w:t>
      </w:r>
      <w:r w:rsidRPr="00BC31E0">
        <w:rPr>
          <w:rFonts w:hint="eastAsia"/>
        </w:rPr>
        <w:t>)</w:t>
      </w:r>
    </w:p>
    <w:p w14:paraId="08455D97" w14:textId="77777777" w:rsidR="00C25C85" w:rsidRPr="00BC31E0" w:rsidRDefault="00C25C85" w:rsidP="008234D1">
      <w:pPr>
        <w:tabs>
          <w:tab w:val="left" w:pos="1276"/>
        </w:tabs>
        <w:autoSpaceDE w:val="0"/>
        <w:autoSpaceDN w:val="0"/>
        <w:ind w:left="1588" w:hanging="1021"/>
      </w:pPr>
      <w:r w:rsidRPr="00BC31E0">
        <w:rPr>
          <w:rFonts w:hint="eastAsia"/>
        </w:rPr>
        <w:tab/>
      </w:r>
      <w:r w:rsidRPr="00BC31E0">
        <w:rPr>
          <w:rFonts w:hint="eastAsia"/>
        </w:rPr>
        <w:t>：</w:t>
      </w:r>
      <w:r w:rsidRPr="00BC31E0">
        <w:rPr>
          <w:rFonts w:hint="eastAsia"/>
        </w:rPr>
        <w:t xml:space="preserve"> </w:t>
      </w:r>
      <w:r w:rsidRPr="00BC31E0">
        <w:rPr>
          <w:rFonts w:hint="eastAsia"/>
        </w:rPr>
        <w:t>各隙間の評価値</w:t>
      </w:r>
      <w:r w:rsidRPr="00BC31E0">
        <w:rPr>
          <w:rFonts w:hint="eastAsia"/>
        </w:rPr>
        <w:t>(</w:t>
      </w:r>
      <w:r w:rsidRPr="00BC31E0">
        <w:rPr>
          <w:rFonts w:ascii="Cambria Math" w:hAnsi="Cambria Math"/>
        </w:rPr>
        <w:t>mm</w:t>
      </w:r>
      <w:r w:rsidRPr="00BC31E0">
        <w:rPr>
          <w:rFonts w:hint="eastAsia"/>
        </w:rPr>
        <w:t>) (</w:t>
      </w:r>
      <w:r w:rsidRPr="00BC31E0">
        <w:rPr>
          <w:rFonts w:ascii="ＭＳ ゴシック" w:eastAsia="ＭＳ ゴシック"/>
          <w:b/>
        </w:rPr>
        <w:t>7.8.3</w:t>
      </w:r>
      <w:r w:rsidRPr="00BC31E0">
        <w:rPr>
          <w:rFonts w:hint="eastAsia"/>
        </w:rPr>
        <w:t>)</w:t>
      </w:r>
    </w:p>
    <w:p w14:paraId="68242A84" w14:textId="77777777" w:rsidR="00C25C85" w:rsidRPr="00BC31E0" w:rsidRDefault="00C25C85" w:rsidP="008234D1">
      <w:pPr>
        <w:tabs>
          <w:tab w:val="left" w:pos="1276"/>
        </w:tabs>
        <w:autoSpaceDE w:val="0"/>
        <w:autoSpaceDN w:val="0"/>
        <w:ind w:left="1588" w:hanging="1021"/>
      </w:pPr>
      <w:r w:rsidRPr="00BC31E0">
        <w:rPr>
          <w:rFonts w:hint="eastAsia"/>
        </w:rPr>
        <w:tab/>
      </w:r>
      <w:r w:rsidRPr="00BC31E0">
        <w:rPr>
          <w:rFonts w:hint="eastAsia"/>
        </w:rPr>
        <w:t>：</w:t>
      </w:r>
      <w:r w:rsidRPr="00BC31E0">
        <w:rPr>
          <w:rFonts w:hint="eastAsia"/>
        </w:rPr>
        <w:t xml:space="preserve"> </w:t>
      </w:r>
      <w:r w:rsidRPr="00BC31E0">
        <w:rPr>
          <w:rFonts w:hint="eastAsia"/>
        </w:rPr>
        <w:t>環状亀裂の補正係数</w:t>
      </w:r>
      <w:r w:rsidRPr="00BC31E0">
        <w:t xml:space="preserve"> </w:t>
      </w:r>
      <w:r w:rsidRPr="00BC31E0">
        <w:rPr>
          <w:rFonts w:hint="eastAsia"/>
        </w:rPr>
        <w:t>(</w:t>
      </w:r>
      <w:r w:rsidRPr="00BC31E0">
        <w:rPr>
          <w:rFonts w:ascii="ＭＳ ゴシック" w:eastAsia="ＭＳ ゴシック" w:hint="eastAsia"/>
          <w:b/>
        </w:rPr>
        <w:t>附属書C 4.3</w:t>
      </w:r>
      <w:r w:rsidRPr="00BC31E0">
        <w:rPr>
          <w:rFonts w:hint="eastAsia"/>
        </w:rPr>
        <w:t>)</w:t>
      </w:r>
    </w:p>
    <w:p w14:paraId="4E8000CA" w14:textId="77777777" w:rsidR="00C25C85" w:rsidRPr="00BC31E0" w:rsidRDefault="00C25C85" w:rsidP="008234D1">
      <w:pPr>
        <w:tabs>
          <w:tab w:val="left" w:pos="1276"/>
        </w:tabs>
        <w:autoSpaceDE w:val="0"/>
        <w:autoSpaceDN w:val="0"/>
        <w:ind w:left="1588" w:hanging="1021"/>
      </w:pPr>
      <w:r w:rsidRPr="00BC31E0">
        <w:rPr>
          <w:rFonts w:hint="eastAsia"/>
        </w:rPr>
        <w:tab/>
      </w:r>
      <w:r w:rsidRPr="00BC31E0">
        <w:rPr>
          <w:rFonts w:hint="eastAsia"/>
        </w:rPr>
        <w:t>：</w:t>
      </w:r>
      <w:r w:rsidRPr="00BC31E0">
        <w:rPr>
          <w:rFonts w:hint="eastAsia"/>
        </w:rPr>
        <w:t xml:space="preserve"> </w:t>
      </w:r>
      <w:r w:rsidRPr="00BC31E0">
        <w:rPr>
          <w:rFonts w:hint="eastAsia"/>
        </w:rPr>
        <w:t>軸の傾き角の補強面積減少係数</w:t>
      </w:r>
      <w:r w:rsidRPr="00BC31E0">
        <w:rPr>
          <w:rFonts w:hint="eastAsia"/>
        </w:rPr>
        <w:t xml:space="preserve"> (</w:t>
      </w:r>
      <w:r w:rsidRPr="00BC31E0">
        <w:rPr>
          <w:rFonts w:ascii="ＭＳ ゴシック" w:eastAsia="ＭＳ ゴシック" w:hint="eastAsia"/>
          <w:b/>
        </w:rPr>
        <w:t>附属書</w:t>
      </w:r>
      <w:r w:rsidRPr="00BC31E0">
        <w:rPr>
          <w:rFonts w:ascii="ＭＳ ゴシック" w:eastAsia="ＭＳ ゴシック"/>
          <w:b/>
        </w:rPr>
        <w:t>E</w:t>
      </w:r>
      <w:r w:rsidRPr="00BC31E0">
        <w:rPr>
          <w:rFonts w:ascii="ＭＳ ゴシック" w:eastAsia="ＭＳ ゴシック" w:hint="eastAsia"/>
          <w:b/>
        </w:rPr>
        <w:t xml:space="preserve"> 図</w:t>
      </w:r>
      <w:r w:rsidRPr="00BC31E0">
        <w:rPr>
          <w:rFonts w:ascii="ＭＳ ゴシック" w:eastAsia="ＭＳ ゴシック"/>
          <w:b/>
        </w:rPr>
        <w:t>E.1</w:t>
      </w:r>
      <w:r w:rsidRPr="00BC31E0">
        <w:rPr>
          <w:rFonts w:hint="eastAsia"/>
        </w:rPr>
        <w:t>)</w:t>
      </w:r>
    </w:p>
    <w:p w14:paraId="1FAB225F"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b</m:t>
            </m:r>
          </m:sub>
        </m:sSub>
      </m:oMath>
      <w:r w:rsidR="00C25C85" w:rsidRPr="00BC31E0">
        <w:rPr>
          <w:vertAlign w:val="subscript"/>
        </w:rPr>
        <w:tab/>
      </w:r>
      <w:r w:rsidR="00C25C85" w:rsidRPr="00BC31E0">
        <w:rPr>
          <w:rFonts w:hint="eastAsia"/>
        </w:rPr>
        <w:t>：</w:t>
      </w:r>
      <w:r w:rsidR="00C25C85" w:rsidRPr="00BC31E0">
        <w:rPr>
          <w:rFonts w:hint="eastAsia"/>
        </w:rPr>
        <w:t xml:space="preserve"> </w:t>
      </w:r>
      <m:oMath>
        <m:sSub>
          <m:sSubPr>
            <m:ctrlPr>
              <w:rPr>
                <w:rFonts w:ascii="Cambria Math" w:hAnsi="Cambria Math"/>
              </w:rPr>
            </m:ctrlPr>
          </m:sSubPr>
          <m:e>
            <m:r>
              <w:rPr>
                <w:rFonts w:ascii="Cambria Math" w:hAnsi="Cambria Math"/>
              </w:rPr>
              <m:t>D</m:t>
            </m:r>
          </m:e>
          <m:sub>
            <m:r>
              <w:rPr>
                <w:rFonts w:ascii="Cambria Math" w:hAnsi="Cambria Math"/>
              </w:rPr>
              <m:t>Z</m:t>
            </m:r>
          </m:sub>
        </m:sSub>
        <m:r>
          <m:rPr>
            <m:sty m:val="p"/>
          </m:rPr>
          <w:rPr>
            <w:rFonts w:ascii="Cambria Math" w:hAnsi="Cambria Math" w:hint="eastAsia"/>
          </w:rPr>
          <m:t>≦</m:t>
        </m:r>
        <m:r>
          <w:rPr>
            <w:rFonts w:ascii="Cambria Math" w:hAnsi="Cambria Math"/>
          </w:rPr>
          <m:t>D</m:t>
        </m:r>
        <m:r>
          <m:rPr>
            <m:sty m:val="p"/>
          </m:rPr>
          <w:rPr>
            <w:rFonts w:ascii="Cambria Math" w:hAnsi="Cambria Math" w:hint="eastAsia"/>
          </w:rPr>
          <m:t>≦</m:t>
        </m:r>
        <m:sSub>
          <m:sSubPr>
            <m:ctrlPr>
              <w:rPr>
                <w:rFonts w:ascii="Cambria Math" w:hAnsi="Cambria Math"/>
              </w:rPr>
            </m:ctrlPr>
          </m:sSubPr>
          <m:e>
            <m:r>
              <w:rPr>
                <w:rFonts w:ascii="Cambria Math" w:hAnsi="Cambria Math" w:hint="eastAsia"/>
              </w:rPr>
              <m:t>D</m:t>
            </m:r>
          </m:e>
          <m:sub>
            <m:r>
              <w:rPr>
                <w:rFonts w:ascii="Cambria Math" w:hAnsi="Cambria Math"/>
              </w:rPr>
              <m:t>P</m:t>
            </m:r>
          </m:sub>
        </m:sSub>
      </m:oMath>
      <w:r w:rsidR="00C25C85" w:rsidRPr="00BC31E0">
        <w:rPr>
          <w:rFonts w:hint="eastAsia"/>
        </w:rPr>
        <w:t>におけるバウシンガー効果の補正係数</w:t>
      </w:r>
      <w:r w:rsidR="00C25C85" w:rsidRPr="00BC31E0">
        <w:rPr>
          <w:rFonts w:hint="eastAsia"/>
        </w:rPr>
        <w:t xml:space="preserve"> (</w:t>
      </w:r>
      <w:r w:rsidR="00C25C85" w:rsidRPr="00BC31E0">
        <w:rPr>
          <w:rFonts w:ascii="ＭＳ ゴシック" w:eastAsia="ＭＳ ゴシック"/>
          <w:b/>
        </w:rPr>
        <w:t>6.5.3</w:t>
      </w:r>
      <w:r w:rsidR="00C25C85" w:rsidRPr="00BC31E0">
        <w:rPr>
          <w:rFonts w:hint="eastAsia"/>
        </w:rPr>
        <w:t>，</w:t>
      </w:r>
      <w:r w:rsidR="00C25C85" w:rsidRPr="00BC31E0">
        <w:rPr>
          <w:rFonts w:ascii="ＭＳ ゴシック" w:eastAsia="ＭＳ ゴシック"/>
          <w:b/>
        </w:rPr>
        <w:t>6.5.5</w:t>
      </w:r>
      <w:r w:rsidR="00C25C85" w:rsidRPr="00BC31E0">
        <w:rPr>
          <w:rFonts w:hint="eastAsia"/>
        </w:rPr>
        <w:t>)</w:t>
      </w:r>
    </w:p>
    <w:p w14:paraId="035259F4"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c</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許容層間ギャップでの円周方向の伸び係数</w:t>
      </w:r>
      <w:r w:rsidR="00C25C85" w:rsidRPr="00BC31E0">
        <w:rPr>
          <w:rFonts w:hint="eastAsia"/>
        </w:rPr>
        <w:t xml:space="preserve"> (</w:t>
      </w:r>
      <w:r w:rsidR="00C25C85" w:rsidRPr="00BC31E0">
        <w:rPr>
          <w:rFonts w:ascii="ＭＳ ゴシック" w:eastAsia="ＭＳ ゴシック"/>
          <w:b/>
        </w:rPr>
        <w:t>6.8.3</w:t>
      </w:r>
      <w:r w:rsidR="00C25C85" w:rsidRPr="00BC31E0">
        <w:rPr>
          <w:rFonts w:hint="eastAsia"/>
        </w:rPr>
        <w:t>)</w:t>
      </w:r>
    </w:p>
    <w:p w14:paraId="0951850A"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l</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自緊時の軸方向荷重</w:t>
      </w:r>
      <w:r w:rsidR="00C25C85" w:rsidRPr="00BC31E0">
        <w:rPr>
          <w:rFonts w:hint="eastAsia"/>
        </w:rPr>
        <w:t>(</w:t>
      </w:r>
      <w:r w:rsidR="00C25C85" w:rsidRPr="00BC31E0">
        <w:rPr>
          <w:rFonts w:ascii="Cambria Math" w:hAnsi="Cambria Math"/>
        </w:rPr>
        <w:t>N</w:t>
      </w:r>
      <w:r w:rsidR="00C25C85" w:rsidRPr="00BC31E0">
        <w:rPr>
          <w:rFonts w:hint="eastAsia"/>
        </w:rPr>
        <w:t>) (</w:t>
      </w:r>
      <w:r w:rsidR="00C25C85" w:rsidRPr="00BC31E0">
        <w:rPr>
          <w:rFonts w:ascii="ＭＳ ゴシック" w:eastAsia="ＭＳ ゴシック"/>
          <w:b/>
        </w:rPr>
        <w:t>6.5</w:t>
      </w:r>
      <w:r w:rsidR="00C25C85" w:rsidRPr="00BC31E0">
        <w:rPr>
          <w:rFonts w:ascii="ＭＳ ゴシック" w:eastAsia="ＭＳ ゴシック" w:hint="eastAsia"/>
          <w:b/>
        </w:rPr>
        <w:t>.3，6.5</w:t>
      </w:r>
      <w:r w:rsidR="00C25C85" w:rsidRPr="00BC31E0">
        <w:rPr>
          <w:rFonts w:ascii="ＭＳ ゴシック" w:eastAsia="ＭＳ ゴシック"/>
          <w:b/>
        </w:rPr>
        <w:t>.5</w:t>
      </w:r>
      <w:r w:rsidR="00C25C85" w:rsidRPr="00BC31E0">
        <w:rPr>
          <w:rFonts w:hint="eastAsia"/>
        </w:rPr>
        <w:t>)</w:t>
      </w:r>
    </w:p>
    <w:p w14:paraId="1769883C"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n</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最終ねじ山にかかる荷重</w:t>
      </w:r>
      <w:r w:rsidR="00C25C85" w:rsidRPr="00BC31E0">
        <w:rPr>
          <w:rFonts w:hint="eastAsia"/>
        </w:rPr>
        <w:t>(</w:t>
      </w:r>
      <w:r w:rsidR="00C25C85" w:rsidRPr="00BC31E0">
        <w:rPr>
          <w:rFonts w:ascii="Cambria Math" w:hAnsi="Cambria Math"/>
        </w:rPr>
        <w:t>N</w:t>
      </w:r>
      <w:r w:rsidR="00C25C85" w:rsidRPr="00BC31E0">
        <w:rPr>
          <w:rFonts w:hint="eastAsia"/>
        </w:rPr>
        <w:t>) (</w:t>
      </w:r>
      <w:r w:rsidR="00C25C85" w:rsidRPr="00BC31E0">
        <w:rPr>
          <w:rFonts w:ascii="ＭＳ ゴシック" w:eastAsia="ＭＳ ゴシック" w:hint="eastAsia"/>
          <w:b/>
        </w:rPr>
        <w:t>附属書</w:t>
      </w:r>
      <w:r w:rsidR="00C25C85" w:rsidRPr="00BC31E0">
        <w:rPr>
          <w:rFonts w:ascii="ＭＳ ゴシック" w:eastAsia="ＭＳ ゴシック"/>
          <w:b/>
        </w:rPr>
        <w:t>G 4</w:t>
      </w:r>
      <w:r w:rsidR="00C25C85" w:rsidRPr="00BC31E0">
        <w:rPr>
          <w:rFonts w:hint="eastAsia"/>
        </w:rPr>
        <w:t>)</w:t>
      </w:r>
    </w:p>
    <w:p w14:paraId="469C27B9"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全ねじ山の総荷重</w:t>
      </w:r>
      <w:r w:rsidR="00C25C85" w:rsidRPr="00BC31E0">
        <w:rPr>
          <w:rFonts w:hint="eastAsia"/>
        </w:rPr>
        <w:t>(</w:t>
      </w:r>
      <w:r w:rsidR="00C25C85" w:rsidRPr="00BC31E0">
        <w:rPr>
          <w:rFonts w:ascii="Cambria Math" w:hAnsi="Cambria Math"/>
        </w:rPr>
        <w:t>N</w:t>
      </w:r>
      <w:r w:rsidR="00C25C85" w:rsidRPr="00BC31E0">
        <w:rPr>
          <w:rFonts w:hint="eastAsia"/>
        </w:rPr>
        <w:t>) (</w:t>
      </w:r>
      <w:r w:rsidR="00C25C85" w:rsidRPr="00BC31E0">
        <w:rPr>
          <w:rFonts w:ascii="ＭＳ ゴシック" w:eastAsia="ＭＳ ゴシック" w:hint="eastAsia"/>
          <w:b/>
        </w:rPr>
        <w:t>附属書</w:t>
      </w:r>
      <w:r w:rsidR="00C25C85" w:rsidRPr="00BC31E0">
        <w:rPr>
          <w:rFonts w:ascii="ＭＳ ゴシック" w:eastAsia="ＭＳ ゴシック"/>
          <w:b/>
        </w:rPr>
        <w:t xml:space="preserve">G </w:t>
      </w:r>
      <w:r w:rsidR="00C25C85" w:rsidRPr="00BC31E0">
        <w:rPr>
          <w:rFonts w:ascii="ＭＳ ゴシック" w:eastAsia="ＭＳ ゴシック" w:hint="eastAsia"/>
          <w:b/>
        </w:rPr>
        <w:t>4</w:t>
      </w:r>
      <w:r w:rsidR="00C25C85" w:rsidRPr="00BC31E0">
        <w:rPr>
          <w:rFonts w:hint="eastAsia"/>
        </w:rPr>
        <w:t>)</w:t>
      </w:r>
    </w:p>
    <w:p w14:paraId="6FACCF2A" w14:textId="77777777" w:rsidR="00C25C85" w:rsidRPr="00BC31E0" w:rsidRDefault="00C25C85" w:rsidP="008234D1">
      <w:pPr>
        <w:tabs>
          <w:tab w:val="left" w:pos="1276"/>
        </w:tabs>
        <w:autoSpaceDE w:val="0"/>
        <w:autoSpaceDN w:val="0"/>
        <w:ind w:left="1588" w:hanging="1021"/>
      </w:pPr>
      <w:r w:rsidRPr="00BC31E0">
        <w:rPr>
          <w:rFonts w:hint="eastAsia"/>
        </w:rPr>
        <w:tab/>
      </w:r>
      <w:r w:rsidRPr="00BC31E0">
        <w:rPr>
          <w:rFonts w:hint="eastAsia"/>
        </w:rPr>
        <w:t>：</w:t>
      </w:r>
      <w:r w:rsidRPr="00BC31E0">
        <w:t xml:space="preserve"> </w:t>
      </w:r>
      <w:r w:rsidRPr="00BC31E0">
        <w:rPr>
          <w:rFonts w:hint="eastAsia"/>
        </w:rPr>
        <w:t>各隙間の評価値合計の許容値</w:t>
      </w:r>
      <w:r w:rsidRPr="00BC31E0">
        <w:rPr>
          <w:rFonts w:hint="eastAsia"/>
        </w:rPr>
        <w:t>(</w:t>
      </w:r>
      <w:r w:rsidRPr="00BC31E0">
        <w:rPr>
          <w:rFonts w:ascii="Cambria Math" w:hAnsi="Cambria Math"/>
        </w:rPr>
        <w:t>mm</w:t>
      </w:r>
      <w:r w:rsidRPr="00BC31E0">
        <w:rPr>
          <w:rFonts w:hint="eastAsia"/>
        </w:rPr>
        <w:t>) (</w:t>
      </w:r>
      <w:r w:rsidRPr="00BC31E0">
        <w:rPr>
          <w:rFonts w:ascii="ＭＳ ゴシック" w:eastAsia="ＭＳ ゴシック"/>
          <w:b/>
        </w:rPr>
        <w:t>7.8.3</w:t>
      </w:r>
      <w:r w:rsidRPr="00BC31E0">
        <w:rPr>
          <w:rFonts w:hint="eastAsia"/>
        </w:rPr>
        <w:t>)</w:t>
      </w:r>
    </w:p>
    <w:p w14:paraId="53947671" w14:textId="77777777" w:rsidR="00C25C85" w:rsidRPr="00BC31E0" w:rsidRDefault="00A51873" w:rsidP="008234D1">
      <w:pPr>
        <w:tabs>
          <w:tab w:val="left" w:pos="2127"/>
        </w:tabs>
        <w:autoSpaceDE w:val="0"/>
        <w:autoSpaceDN w:val="0"/>
        <w:ind w:left="2552" w:hanging="1985"/>
        <w:rPr>
          <w:szCs w:val="24"/>
        </w:rPr>
      </w:pP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1</m:t>
            </m:r>
          </m:sub>
        </m:sSub>
        <m:sSub>
          <m:sSubPr>
            <m:ctrlPr>
              <w:rPr>
                <w:rFonts w:ascii="Cambria Math" w:hAnsi="Cambria Math"/>
                <w:i/>
                <w:szCs w:val="24"/>
              </w:rPr>
            </m:ctrlPr>
          </m:sSubPr>
          <m:e>
            <m:r>
              <m:rPr>
                <m:sty m:val="p"/>
              </m:rPr>
              <w:rPr>
                <w:rFonts w:ascii="Cambria Math" w:hAnsi="Cambria Math" w:hint="eastAsia"/>
                <w:szCs w:val="24"/>
              </w:rPr>
              <m:t>，</m:t>
            </m:r>
            <m:r>
              <w:rPr>
                <w:rFonts w:ascii="Cambria Math" w:hAnsi="Cambria Math"/>
                <w:szCs w:val="24"/>
              </w:rPr>
              <m:t>F</m:t>
            </m:r>
          </m:e>
          <m:sub>
            <m:r>
              <w:rPr>
                <w:rFonts w:ascii="Cambria Math" w:hAnsi="Cambria Math"/>
                <w:szCs w:val="24"/>
              </w:rPr>
              <m:t>2</m:t>
            </m:r>
          </m:sub>
        </m:sSub>
        <m:r>
          <m:rPr>
            <m:sty m:val="p"/>
          </m:rPr>
          <w:rPr>
            <w:rFonts w:ascii="Cambria Math" w:hAnsi="Cambria Math" w:hint="eastAsia"/>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i</m:t>
            </m:r>
          </m:sub>
        </m:sSub>
      </m:oMath>
      <w:r w:rsidR="00C25C85" w:rsidRPr="00BC31E0">
        <w:rPr>
          <w:rFonts w:hint="eastAsia"/>
          <w:szCs w:val="24"/>
        </w:rPr>
        <w:tab/>
      </w:r>
      <w:r w:rsidR="00C25C85" w:rsidRPr="00BC31E0">
        <w:rPr>
          <w:rFonts w:hint="eastAsia"/>
          <w:szCs w:val="24"/>
        </w:rPr>
        <w:t>：</w:t>
      </w:r>
      <w:r w:rsidR="00C25C85" w:rsidRPr="00BC31E0">
        <w:rPr>
          <w:rFonts w:hint="eastAsia"/>
          <w:szCs w:val="24"/>
        </w:rPr>
        <w:t xml:space="preserve"> 1</w:t>
      </w:r>
      <w:r w:rsidR="00C25C85" w:rsidRPr="00BC31E0">
        <w:rPr>
          <w:rFonts w:hint="eastAsia"/>
          <w:szCs w:val="24"/>
        </w:rPr>
        <w:t>山目，</w:t>
      </w:r>
      <w:r w:rsidR="00C25C85" w:rsidRPr="00BC31E0">
        <w:rPr>
          <w:rFonts w:hint="eastAsia"/>
          <w:szCs w:val="24"/>
        </w:rPr>
        <w:t>2</w:t>
      </w:r>
      <w:r w:rsidR="00C25C85" w:rsidRPr="00BC31E0">
        <w:rPr>
          <w:rFonts w:hint="eastAsia"/>
          <w:szCs w:val="24"/>
        </w:rPr>
        <w:t>山目，</w:t>
      </w:r>
      <m:oMath>
        <m:r>
          <w:rPr>
            <w:rFonts w:ascii="Cambria Math" w:hAnsi="Cambria Math"/>
          </w:rPr>
          <m:t xml:space="preserve">i </m:t>
        </m:r>
      </m:oMath>
      <w:r w:rsidR="00C25C85" w:rsidRPr="00BC31E0">
        <w:rPr>
          <w:rFonts w:hint="eastAsia"/>
          <w:szCs w:val="24"/>
        </w:rPr>
        <w:t>山目のねじ山にかかる荷重</w:t>
      </w:r>
      <w:r w:rsidR="00C25C85" w:rsidRPr="00BC31E0">
        <w:rPr>
          <w:rFonts w:hint="eastAsia"/>
          <w:szCs w:val="24"/>
        </w:rPr>
        <w:t>(</w:t>
      </w:r>
      <w:r w:rsidR="00C25C85" w:rsidRPr="00BC31E0">
        <w:rPr>
          <w:rFonts w:ascii="Cambria Math" w:hAnsi="Cambria Math"/>
          <w:szCs w:val="24"/>
        </w:rPr>
        <w:t>N</w:t>
      </w:r>
      <w:r w:rsidR="00C25C85" w:rsidRPr="00BC31E0">
        <w:rPr>
          <w:rFonts w:hint="eastAsia"/>
          <w:szCs w:val="24"/>
        </w:rPr>
        <w:t>)</w:t>
      </w:r>
      <w:r w:rsidR="00C25C85" w:rsidRPr="00BC31E0">
        <w:rPr>
          <w:rFonts w:hint="eastAsia"/>
        </w:rPr>
        <w:t xml:space="preserve"> (</w:t>
      </w:r>
      <w:r w:rsidR="00C25C85" w:rsidRPr="00BC31E0">
        <w:rPr>
          <w:rFonts w:ascii="ＭＳ ゴシック" w:eastAsia="ＭＳ ゴシック" w:hint="eastAsia"/>
          <w:b/>
          <w:szCs w:val="24"/>
        </w:rPr>
        <w:t>附属書G 4</w:t>
      </w:r>
      <w:r w:rsidR="00C25C85" w:rsidRPr="00BC31E0">
        <w:rPr>
          <w:rFonts w:hint="eastAsia"/>
          <w:szCs w:val="24"/>
        </w:rPr>
        <w:t>)</w:t>
      </w:r>
    </w:p>
    <w:p w14:paraId="0190B462" w14:textId="77777777" w:rsidR="00C25C85" w:rsidRPr="00BC31E0" w:rsidRDefault="00A51873" w:rsidP="008234D1">
      <w:pPr>
        <w:tabs>
          <w:tab w:val="left" w:pos="2127"/>
        </w:tabs>
        <w:autoSpaceDE w:val="0"/>
        <w:autoSpaceDN w:val="0"/>
        <w:ind w:left="2552" w:hanging="1985"/>
        <w:rPr>
          <w:dstrike/>
        </w:rPr>
      </w:pP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1</m:t>
            </m:r>
          </m:sub>
        </m:sSub>
        <m:sSub>
          <m:sSubPr>
            <m:ctrlPr>
              <w:rPr>
                <w:rFonts w:ascii="Cambria Math" w:hAnsi="Cambria Math"/>
                <w:i/>
                <w:szCs w:val="24"/>
              </w:rPr>
            </m:ctrlPr>
          </m:sSubPr>
          <m:e>
            <m:r>
              <m:rPr>
                <m:sty m:val="p"/>
              </m:rPr>
              <w:rPr>
                <w:rFonts w:ascii="Cambria Math" w:hAnsi="Cambria Math" w:hint="eastAsia"/>
                <w:szCs w:val="24"/>
              </w:rPr>
              <m:t>，</m:t>
            </m:r>
            <m:r>
              <w:rPr>
                <w:rFonts w:ascii="Cambria Math" w:hAnsi="Cambria Math"/>
                <w:szCs w:val="24"/>
              </w:rPr>
              <m:t>F</m:t>
            </m:r>
          </m:e>
          <m:sub>
            <m:r>
              <w:rPr>
                <w:rFonts w:ascii="Cambria Math" w:hAnsi="Cambria Math" w:hint="eastAsia"/>
                <w:szCs w:val="24"/>
              </w:rPr>
              <m:t>2</m:t>
            </m:r>
          </m:sub>
        </m:sSub>
        <m:r>
          <m:rPr>
            <m:sty m:val="p"/>
          </m:rPr>
          <w:rPr>
            <w:rFonts w:ascii="Cambria Math" w:hAnsi="Cambria Math" w:hint="eastAsia"/>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hint="eastAsia"/>
                <w:szCs w:val="24"/>
              </w:rPr>
              <m:t>3</m:t>
            </m:r>
          </m:sub>
        </m:sSub>
        <m:r>
          <m:rPr>
            <m:sty m:val="p"/>
          </m:rPr>
          <w:rPr>
            <w:rFonts w:ascii="Cambria Math" w:hAnsi="Cambria Math" w:hint="eastAsia"/>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hint="eastAsia"/>
                <w:szCs w:val="24"/>
              </w:rPr>
              <m:t>4</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szCs w:val="24"/>
        </w:rPr>
        <w:t>環状亀裂の</w:t>
      </w:r>
      <w:r w:rsidR="00C25C85" w:rsidRPr="00BC31E0">
        <w:rPr>
          <w:rFonts w:hint="eastAsia"/>
        </w:rPr>
        <w:t>応力拡大係数に対する補正係数</w:t>
      </w:r>
      <w:r w:rsidR="00C25C85" w:rsidRPr="00BC31E0">
        <w:rPr>
          <w:rFonts w:hint="eastAsia"/>
        </w:rPr>
        <w:t xml:space="preserve"> (</w:t>
      </w:r>
      <w:r w:rsidR="00C25C85" w:rsidRPr="00BC31E0">
        <w:rPr>
          <w:rFonts w:ascii="ＭＳ ゴシック" w:eastAsia="ＭＳ ゴシック" w:hint="eastAsia"/>
          <w:b/>
        </w:rPr>
        <w:t>附属書</w:t>
      </w:r>
      <w:r w:rsidR="00C25C85" w:rsidRPr="00BC31E0">
        <w:rPr>
          <w:rFonts w:ascii="ＭＳ ゴシック" w:eastAsia="ＭＳ ゴシック"/>
          <w:b/>
        </w:rPr>
        <w:t>C 4.3</w:t>
      </w:r>
      <w:r w:rsidR="00C25C85" w:rsidRPr="00BC31E0">
        <w:rPr>
          <w:rFonts w:hint="eastAsia"/>
        </w:rPr>
        <w:t>)</w:t>
      </w:r>
    </w:p>
    <w:p w14:paraId="2764B339" w14:textId="77777777" w:rsidR="00C25C85" w:rsidRPr="00BC31E0" w:rsidRDefault="00C25C85" w:rsidP="008234D1">
      <w:pPr>
        <w:tabs>
          <w:tab w:val="left" w:pos="1276"/>
        </w:tabs>
        <w:autoSpaceDE w:val="0"/>
        <w:autoSpaceDN w:val="0"/>
        <w:ind w:left="1588" w:hanging="1021"/>
      </w:pPr>
      <m:oMath>
        <m:r>
          <w:rPr>
            <w:rFonts w:ascii="Cambria Math" w:hAnsi="Cambria Math"/>
            <w:szCs w:val="24"/>
          </w:rPr>
          <m:t>f</m:t>
        </m:r>
      </m:oMath>
      <w:r w:rsidRPr="00BC31E0">
        <w:tab/>
      </w:r>
      <w:r w:rsidRPr="00BC31E0">
        <w:rPr>
          <w:rFonts w:hint="eastAsia"/>
        </w:rPr>
        <w:t>：</w:t>
      </w:r>
      <w:r w:rsidRPr="00BC31E0">
        <w:rPr>
          <w:rFonts w:hint="eastAsia"/>
        </w:rPr>
        <w:t xml:space="preserve"> </w:t>
      </w:r>
      <w:r w:rsidRPr="00BC31E0">
        <w:rPr>
          <w:rFonts w:hint="eastAsia"/>
        </w:rPr>
        <w:t>ハブ応力修正係数</w:t>
      </w:r>
      <w:r w:rsidRPr="00BC31E0">
        <w:rPr>
          <w:rFonts w:hint="eastAsia"/>
        </w:rPr>
        <w:t xml:space="preserve"> (</w:t>
      </w:r>
      <w:r w:rsidRPr="00BC31E0">
        <w:rPr>
          <w:rFonts w:ascii="ＭＳ ゴシック" w:eastAsia="ＭＳ ゴシック" w:hint="eastAsia"/>
          <w:b/>
        </w:rPr>
        <w:t>附属書</w:t>
      </w:r>
      <w:r w:rsidRPr="00BC31E0">
        <w:rPr>
          <w:rFonts w:ascii="ＭＳ ゴシック" w:eastAsia="ＭＳ ゴシック"/>
          <w:b/>
        </w:rPr>
        <w:t>H 3</w:t>
      </w:r>
      <w:r w:rsidRPr="00BC31E0">
        <w:rPr>
          <w:rFonts w:hint="eastAsia"/>
        </w:rPr>
        <w:t>)</w:t>
      </w:r>
    </w:p>
    <w:p w14:paraId="5D3C5E35" w14:textId="77777777" w:rsidR="00C25C85" w:rsidRPr="00BC31E0" w:rsidRDefault="00C25C85" w:rsidP="008234D1">
      <w:pPr>
        <w:tabs>
          <w:tab w:val="left" w:pos="1276"/>
        </w:tabs>
        <w:autoSpaceDE w:val="0"/>
        <w:autoSpaceDN w:val="0"/>
        <w:ind w:left="1588" w:hanging="1021"/>
      </w:pPr>
      <m:oMath>
        <m:r>
          <w:rPr>
            <w:rFonts w:ascii="Cambria Math" w:hAnsi="Cambria Math"/>
            <w:szCs w:val="24"/>
          </w:rPr>
          <m:t>f</m:t>
        </m:r>
        <m:d>
          <m:dPr>
            <m:ctrlPr>
              <w:rPr>
                <w:rFonts w:ascii="Cambria Math" w:hAnsi="Cambria Math"/>
                <w:szCs w:val="24"/>
              </w:rPr>
            </m:ctrlPr>
          </m:dPr>
          <m:e>
            <m:sSub>
              <m:sSubPr>
                <m:ctrlPr>
                  <w:rPr>
                    <w:rFonts w:ascii="Cambria Math" w:hAnsi="Cambria Math"/>
                    <w:szCs w:val="24"/>
                  </w:rPr>
                </m:ctrlPr>
              </m:sSubPr>
              <m:e>
                <m:r>
                  <w:rPr>
                    <w:rFonts w:ascii="Cambria Math" w:hAnsi="Cambria Math"/>
                    <w:szCs w:val="24"/>
                  </w:rPr>
                  <m:t>R</m:t>
                </m:r>
              </m:e>
              <m:sub>
                <m:r>
                  <w:rPr>
                    <w:rFonts w:ascii="Cambria Math" w:hAnsi="Cambria Math"/>
                    <w:szCs w:val="24"/>
                  </w:rPr>
                  <m:t>K</m:t>
                </m:r>
              </m:sub>
            </m:sSub>
          </m:e>
        </m:d>
      </m:oMath>
      <w:r w:rsidRPr="00BC31E0">
        <w:rPr>
          <w:rFonts w:hint="eastAsia"/>
        </w:rPr>
        <w:tab/>
      </w:r>
      <w:r w:rsidRPr="00BC31E0">
        <w:rPr>
          <w:rFonts w:hint="eastAsia"/>
        </w:rPr>
        <w:t>：</w:t>
      </w:r>
      <w:r w:rsidRPr="00BC31E0">
        <w:rPr>
          <w:rFonts w:hint="eastAsia"/>
        </w:rPr>
        <w:t xml:space="preserve"> </w:t>
      </w:r>
      <w:r w:rsidRPr="00BC31E0">
        <w:rPr>
          <w:rFonts w:hint="eastAsia"/>
        </w:rPr>
        <w:t>応力拡大係数比が疲労亀裂進展速度に及ぼす影響関数</w:t>
      </w:r>
      <w:r w:rsidRPr="00BC31E0">
        <w:rPr>
          <w:rFonts w:hint="eastAsia"/>
        </w:rPr>
        <w:t xml:space="preserve"> (</w:t>
      </w:r>
      <w:r w:rsidRPr="00BC31E0">
        <w:rPr>
          <w:rFonts w:ascii="ＭＳ ゴシック" w:eastAsia="ＭＳ ゴシック" w:hint="eastAsia"/>
          <w:b/>
        </w:rPr>
        <w:t>6.4.6</w:t>
      </w:r>
      <w:r w:rsidRPr="00BC31E0">
        <w:rPr>
          <w:rFonts w:hint="eastAsia"/>
        </w:rPr>
        <w:t>，</w:t>
      </w:r>
      <w:r w:rsidRPr="00BC31E0">
        <w:rPr>
          <w:rFonts w:ascii="ＭＳ ゴシック" w:eastAsia="ＭＳ ゴシック" w:hint="eastAsia"/>
          <w:b/>
        </w:rPr>
        <w:t>附属書C 5</w:t>
      </w:r>
      <w:r w:rsidRPr="00BC31E0">
        <w:rPr>
          <w:rFonts w:hint="eastAsia"/>
        </w:rPr>
        <w:t>)</w:t>
      </w:r>
    </w:p>
    <w:p w14:paraId="6FF70E0D" w14:textId="77777777" w:rsidR="00C25C85" w:rsidRPr="00BC31E0" w:rsidRDefault="00C25C85" w:rsidP="008234D1">
      <w:pPr>
        <w:tabs>
          <w:tab w:val="left" w:pos="1276"/>
        </w:tabs>
        <w:autoSpaceDE w:val="0"/>
        <w:autoSpaceDN w:val="0"/>
        <w:ind w:left="1588" w:hanging="1021"/>
      </w:pPr>
      <m:oMath>
        <m:r>
          <w:rPr>
            <w:rFonts w:ascii="Cambria Math" w:hAnsi="Cambria Math"/>
            <w:szCs w:val="24"/>
          </w:rPr>
          <m:t>G</m:t>
        </m:r>
      </m:oMath>
      <w:r w:rsidRPr="00BC31E0">
        <w:rPr>
          <w:i/>
        </w:rPr>
        <w:tab/>
      </w:r>
      <w:r w:rsidRPr="00BC31E0">
        <w:rPr>
          <w:rFonts w:hint="eastAsia"/>
        </w:rPr>
        <w:t>：</w:t>
      </w:r>
      <w:r w:rsidRPr="00BC31E0">
        <w:rPr>
          <w:rFonts w:hint="eastAsia"/>
        </w:rPr>
        <w:t xml:space="preserve"> </w:t>
      </w:r>
      <w:r w:rsidRPr="00BC31E0">
        <w:rPr>
          <w:rFonts w:hint="eastAsia"/>
        </w:rPr>
        <w:t>下限界応力拡大係数範囲を決める材料定数</w:t>
      </w:r>
      <w:r w:rsidRPr="00BC31E0">
        <w:rPr>
          <w:rFonts w:hint="eastAsia"/>
        </w:rPr>
        <w:t>(</w:t>
      </w:r>
      <m:oMath>
        <m:r>
          <m:rPr>
            <m:nor/>
          </m:rPr>
          <w:rPr>
            <w:rFonts w:ascii="Cambria Math" w:hAnsi="Cambria Math"/>
          </w:rPr>
          <m:t>MPa</m:t>
        </m:r>
        <m:rad>
          <m:radPr>
            <m:degHide m:val="1"/>
            <m:ctrlPr>
              <w:rPr>
                <w:rFonts w:ascii="Cambria Math" w:hAnsi="Times New Roman"/>
              </w:rPr>
            </m:ctrlPr>
          </m:radPr>
          <m:deg/>
          <m:e>
            <m:r>
              <m:rPr>
                <m:nor/>
              </m:rPr>
              <w:rPr>
                <w:rFonts w:ascii="Cambria Math" w:hAnsi="Cambria Math"/>
              </w:rPr>
              <m:t>m</m:t>
            </m:r>
          </m:e>
        </m:rad>
      </m:oMath>
      <w:r w:rsidRPr="00BC31E0">
        <w:rPr>
          <w:rFonts w:hint="eastAsia"/>
        </w:rPr>
        <w:t>) (</w:t>
      </w:r>
      <w:r w:rsidRPr="00BC31E0">
        <w:rPr>
          <w:rFonts w:asciiTheme="majorEastAsia" w:eastAsiaTheme="majorEastAsia" w:hAnsiTheme="majorEastAsia" w:hint="eastAsia"/>
          <w:b/>
        </w:rPr>
        <w:t>6.4.6</w:t>
      </w:r>
      <w:r w:rsidRPr="00BC31E0">
        <w:rPr>
          <w:rFonts w:hint="eastAsia"/>
        </w:rPr>
        <w:t>，</w:t>
      </w:r>
      <w:r w:rsidRPr="00BC31E0">
        <w:rPr>
          <w:rFonts w:ascii="ＭＳ ゴシック" w:eastAsia="ＭＳ ゴシック" w:hint="eastAsia"/>
          <w:b/>
        </w:rPr>
        <w:t>表</w:t>
      </w:r>
      <w:r w:rsidRPr="00BC31E0">
        <w:rPr>
          <w:rFonts w:ascii="ＭＳ ゴシック" w:eastAsia="ＭＳ ゴシック"/>
          <w:b/>
        </w:rPr>
        <w:t>6.4.1</w:t>
      </w:r>
      <w:r w:rsidRPr="00BC31E0">
        <w:rPr>
          <w:rFonts w:hint="eastAsia"/>
        </w:rPr>
        <w:t>)</w:t>
      </w:r>
    </w:p>
    <w:p w14:paraId="73E2F55E" w14:textId="77777777" w:rsidR="00C25C85" w:rsidRPr="00BC31E0" w:rsidRDefault="00C25C85" w:rsidP="008234D1">
      <w:pPr>
        <w:tabs>
          <w:tab w:val="left" w:pos="1276"/>
        </w:tabs>
        <w:autoSpaceDE w:val="0"/>
        <w:autoSpaceDN w:val="0"/>
        <w:ind w:left="1588" w:hanging="1021"/>
      </w:pPr>
      <w:r w:rsidRPr="00BC31E0">
        <w:tab/>
      </w:r>
      <w:r w:rsidRPr="00BC31E0">
        <w:rPr>
          <w:rFonts w:hint="eastAsia"/>
        </w:rPr>
        <w:t>：</w:t>
      </w:r>
      <w:r w:rsidRPr="00BC31E0">
        <w:rPr>
          <w:rFonts w:hint="eastAsia"/>
        </w:rPr>
        <w:t xml:space="preserve"> </w:t>
      </w:r>
      <w:r w:rsidRPr="00BC31E0">
        <w:rPr>
          <w:rFonts w:hint="eastAsia"/>
        </w:rPr>
        <w:t>ガスケット反力円の直径</w:t>
      </w:r>
      <w:r w:rsidRPr="00BC31E0">
        <w:rPr>
          <w:rFonts w:hint="eastAsia"/>
        </w:rPr>
        <w:t>(</w:t>
      </w:r>
      <w:r w:rsidRPr="00BC31E0">
        <w:rPr>
          <w:rFonts w:ascii="Cambria Math" w:hAnsi="Cambria Math"/>
        </w:rPr>
        <w:t>mm</w:t>
      </w:r>
      <w:r w:rsidRPr="00BC31E0">
        <w:rPr>
          <w:rFonts w:hint="eastAsia"/>
        </w:rPr>
        <w:t>) (</w:t>
      </w:r>
      <w:r w:rsidRPr="00BC31E0">
        <w:rPr>
          <w:rFonts w:ascii="ＭＳ ゴシック" w:eastAsia="ＭＳ ゴシック" w:hint="eastAsia"/>
          <w:b/>
        </w:rPr>
        <w:t>附属書</w:t>
      </w:r>
      <w:r w:rsidRPr="00BC31E0">
        <w:rPr>
          <w:rFonts w:ascii="ＭＳ ゴシック" w:eastAsia="ＭＳ ゴシック"/>
          <w:b/>
        </w:rPr>
        <w:t>H 3</w:t>
      </w:r>
      <w:r w:rsidRPr="00BC31E0">
        <w:rPr>
          <w:rFonts w:hint="eastAsia"/>
        </w:rPr>
        <w:t>)</w:t>
      </w:r>
    </w:p>
    <w:p w14:paraId="64EBFFAC" w14:textId="77777777" w:rsidR="00C25C85" w:rsidRPr="00BC31E0" w:rsidRDefault="00A51873" w:rsidP="008234D1">
      <w:pPr>
        <w:tabs>
          <w:tab w:val="left" w:pos="1276"/>
        </w:tabs>
        <w:autoSpaceDE w:val="0"/>
        <w:autoSpaceDN w:val="0"/>
        <w:ind w:left="1588" w:hanging="1021"/>
      </w:pPr>
      <m:oMath>
        <m:bar>
          <m:barPr>
            <m:pos m:val="top"/>
            <m:ctrlPr>
              <w:rPr>
                <w:rFonts w:ascii="Cambria Math" w:hAnsi="Cambria Math"/>
                <w:i/>
                <w:szCs w:val="24"/>
              </w:rPr>
            </m:ctrlPr>
          </m:barPr>
          <m:e>
            <m:r>
              <w:rPr>
                <w:rFonts w:ascii="Cambria Math" w:hAnsi="Cambria Math"/>
                <w:szCs w:val="24"/>
              </w:rPr>
              <m:t>g</m:t>
            </m:r>
          </m:e>
        </m:bar>
      </m:oMath>
      <w:r w:rsidR="00C25C85" w:rsidRPr="00BC31E0">
        <w:tab/>
      </w:r>
      <w:r w:rsidR="00C25C85" w:rsidRPr="00BC31E0">
        <w:rPr>
          <w:rFonts w:hint="eastAsia"/>
        </w:rPr>
        <w:t>：</w:t>
      </w:r>
      <w:r w:rsidR="00C25C85" w:rsidRPr="00BC31E0">
        <w:rPr>
          <w:rFonts w:hint="eastAsia"/>
        </w:rPr>
        <w:t xml:space="preserve"> </w:t>
      </w:r>
      <w:r w:rsidR="00C25C85" w:rsidRPr="00BC31E0">
        <w:rPr>
          <w:rFonts w:hint="eastAsia"/>
        </w:rPr>
        <w:t>ハブ内径</w:t>
      </w:r>
      <w:r w:rsidR="00C25C85" w:rsidRPr="00BC31E0">
        <w:rPr>
          <w:rFonts w:ascii="Cambria Math" w:hAnsi="Cambria Math"/>
        </w:rPr>
        <w:t>𝐵</w:t>
      </w:r>
      <w:r w:rsidR="00C25C85" w:rsidRPr="00BC31E0">
        <w:rPr>
          <w:rFonts w:hint="eastAsia"/>
        </w:rPr>
        <w:t>からハブ肩部リングの中心までの半径方向距離</w:t>
      </w:r>
      <w:r w:rsidR="00C25C85" w:rsidRPr="00BC31E0">
        <w:rPr>
          <w:rFonts w:hint="eastAsia"/>
        </w:rPr>
        <w:t>(</w:t>
      </w:r>
      <w:r w:rsidR="00C25C85" w:rsidRPr="00BC31E0">
        <w:rPr>
          <w:rFonts w:ascii="Cambria Math" w:hAnsi="Cambria Math"/>
        </w:rPr>
        <w:t>mm</w:t>
      </w:r>
      <w:r w:rsidR="00C25C85" w:rsidRPr="00BC31E0">
        <w:rPr>
          <w:rFonts w:hint="eastAsia"/>
        </w:rPr>
        <w:t>) (</w:t>
      </w:r>
      <w:r w:rsidR="00C25C85" w:rsidRPr="00BC31E0">
        <w:rPr>
          <w:rFonts w:ascii="ＭＳ ゴシック" w:eastAsia="ＭＳ ゴシック" w:hint="eastAsia"/>
          <w:b/>
        </w:rPr>
        <w:t>附属書</w:t>
      </w:r>
      <w:r w:rsidR="00C25C85" w:rsidRPr="00BC31E0">
        <w:rPr>
          <w:rFonts w:ascii="ＭＳ ゴシック" w:eastAsia="ＭＳ ゴシック"/>
          <w:b/>
        </w:rPr>
        <w:t>H 3</w:t>
      </w:r>
      <w:r w:rsidR="00C25C85" w:rsidRPr="00BC31E0">
        <w:rPr>
          <w:rFonts w:hint="eastAsia"/>
        </w:rPr>
        <w:t>)</w:t>
      </w:r>
    </w:p>
    <w:p w14:paraId="4CBC524F"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0</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ハブ先端の厚さ</w:t>
      </w:r>
      <w:r w:rsidR="00C25C85" w:rsidRPr="00BC31E0">
        <w:rPr>
          <w:rFonts w:hint="eastAsia"/>
        </w:rPr>
        <w:t>(</w:t>
      </w:r>
      <w:r w:rsidR="00C25C85" w:rsidRPr="00BC31E0">
        <w:rPr>
          <w:rFonts w:ascii="Cambria Math" w:hAnsi="Cambria Math"/>
        </w:rPr>
        <w:t>mm</w:t>
      </w:r>
      <w:r w:rsidR="00C25C85" w:rsidRPr="00BC31E0">
        <w:rPr>
          <w:rFonts w:hint="eastAsia"/>
        </w:rPr>
        <w:t>) (</w:t>
      </w:r>
      <w:r w:rsidR="00C25C85" w:rsidRPr="00BC31E0">
        <w:rPr>
          <w:rFonts w:ascii="ＭＳ ゴシック" w:eastAsia="ＭＳ ゴシック" w:hint="eastAsia"/>
          <w:b/>
        </w:rPr>
        <w:t>図6.8.5</w:t>
      </w:r>
      <w:r w:rsidR="00C25C85" w:rsidRPr="00BC31E0">
        <w:rPr>
          <w:rFonts w:hint="eastAsia"/>
        </w:rPr>
        <w:t>)</w:t>
      </w:r>
    </w:p>
    <w:p w14:paraId="6FAE7EF5" w14:textId="77777777" w:rsidR="00C25C85" w:rsidRPr="00BC31E0" w:rsidRDefault="00C25C85" w:rsidP="008234D1">
      <w:pPr>
        <w:tabs>
          <w:tab w:val="left" w:pos="1276"/>
        </w:tabs>
        <w:autoSpaceDE w:val="0"/>
        <w:autoSpaceDN w:val="0"/>
        <w:ind w:left="1588" w:hanging="1021"/>
      </w:pPr>
      <w:r w:rsidRPr="00BC31E0">
        <w:rPr>
          <w:rFonts w:hint="eastAsia"/>
        </w:rPr>
        <w:tab/>
      </w:r>
      <w:r w:rsidRPr="00BC31E0">
        <w:rPr>
          <w:rFonts w:hint="eastAsia"/>
        </w:rPr>
        <w:t>：</w:t>
      </w:r>
      <w:r w:rsidRPr="00BC31E0">
        <w:rPr>
          <w:rFonts w:hint="eastAsia"/>
        </w:rPr>
        <w:t xml:space="preserve"> </w:t>
      </w:r>
      <w:r w:rsidRPr="00BC31E0">
        <w:rPr>
          <w:rFonts w:hint="eastAsia"/>
        </w:rPr>
        <w:t>小径でのハブの厚さ</w:t>
      </w:r>
      <w:r w:rsidRPr="00BC31E0">
        <w:rPr>
          <w:rFonts w:hint="eastAsia"/>
        </w:rPr>
        <w:t>(</w:t>
      </w:r>
      <w:r w:rsidRPr="00BC31E0">
        <w:rPr>
          <w:rFonts w:ascii="Cambria Math" w:hAnsi="Cambria Math"/>
        </w:rPr>
        <w:t>mm</w:t>
      </w:r>
      <w:r w:rsidRPr="00BC31E0">
        <w:rPr>
          <w:rFonts w:hint="eastAsia"/>
        </w:rPr>
        <w:t>) (</w:t>
      </w:r>
      <w:r w:rsidRPr="00BC31E0">
        <w:rPr>
          <w:rFonts w:ascii="ＭＳ ゴシック" w:eastAsia="ＭＳ ゴシック" w:hint="eastAsia"/>
          <w:b/>
        </w:rPr>
        <w:t>附属書</w:t>
      </w:r>
      <w:r w:rsidRPr="00BC31E0">
        <w:rPr>
          <w:rFonts w:ascii="ＭＳ ゴシック" w:eastAsia="ＭＳ ゴシック"/>
          <w:b/>
        </w:rPr>
        <w:t>H 3</w:t>
      </w:r>
      <w:r w:rsidRPr="00BC31E0">
        <w:rPr>
          <w:rFonts w:hint="eastAsia"/>
        </w:rPr>
        <w:t>)</w:t>
      </w:r>
    </w:p>
    <w:p w14:paraId="14496A2D"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1</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ネックでのハブの厚さ</w:t>
      </w:r>
      <w:r w:rsidR="00C25C85" w:rsidRPr="00BC31E0">
        <w:rPr>
          <w:rFonts w:hint="eastAsia"/>
        </w:rPr>
        <w:t>(</w:t>
      </w:r>
      <w:r w:rsidR="00C25C85" w:rsidRPr="00BC31E0">
        <w:rPr>
          <w:rFonts w:ascii="Cambria Math" w:hAnsi="Cambria Math"/>
        </w:rPr>
        <w:t>mm</w:t>
      </w:r>
      <w:r w:rsidR="00C25C85" w:rsidRPr="00BC31E0">
        <w:rPr>
          <w:rFonts w:hint="eastAsia"/>
        </w:rPr>
        <w:t>) (</w:t>
      </w:r>
      <w:r w:rsidR="00C25C85" w:rsidRPr="00BC31E0">
        <w:rPr>
          <w:rFonts w:ascii="ＭＳ ゴシック" w:eastAsia="ＭＳ ゴシック" w:hint="eastAsia"/>
          <w:b/>
        </w:rPr>
        <w:t>附属書</w:t>
      </w:r>
      <w:r w:rsidR="00C25C85" w:rsidRPr="00BC31E0">
        <w:rPr>
          <w:rFonts w:ascii="ＭＳ ゴシック" w:eastAsia="ＭＳ ゴシック"/>
          <w:b/>
        </w:rPr>
        <w:t>H 3</w:t>
      </w:r>
      <w:r w:rsidR="00C25C85" w:rsidRPr="00BC31E0">
        <w:rPr>
          <w:rFonts w:hint="eastAsia"/>
        </w:rPr>
        <w:t>)</w:t>
      </w:r>
    </w:p>
    <w:p w14:paraId="5F7B0CD9"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2</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ハブ肩部の高さ</w:t>
      </w:r>
      <w:r w:rsidR="00C25C85" w:rsidRPr="00BC31E0">
        <w:rPr>
          <w:rFonts w:hint="eastAsia"/>
        </w:rPr>
        <w:t>(</w:t>
      </w:r>
      <w:r w:rsidR="00C25C85" w:rsidRPr="00BC31E0">
        <w:rPr>
          <w:rFonts w:ascii="Cambria Math" w:hAnsi="Cambria Math"/>
        </w:rPr>
        <w:t>mm</w:t>
      </w:r>
      <w:r w:rsidR="00C25C85" w:rsidRPr="00BC31E0">
        <w:rPr>
          <w:rFonts w:hint="eastAsia"/>
        </w:rPr>
        <w:t>) (</w:t>
      </w:r>
      <w:r w:rsidR="00C25C85" w:rsidRPr="00BC31E0">
        <w:rPr>
          <w:rFonts w:ascii="ＭＳ ゴシック" w:eastAsia="ＭＳ ゴシック" w:hint="eastAsia"/>
          <w:b/>
        </w:rPr>
        <w:t>附属書</w:t>
      </w:r>
      <w:r w:rsidR="00C25C85" w:rsidRPr="00BC31E0">
        <w:rPr>
          <w:rFonts w:ascii="ＭＳ ゴシック" w:eastAsia="ＭＳ ゴシック"/>
          <w:b/>
        </w:rPr>
        <w:t>H 3</w:t>
      </w:r>
      <w:r w:rsidR="00C25C85" w:rsidRPr="00BC31E0">
        <w:rPr>
          <w:rFonts w:hint="eastAsia"/>
        </w:rPr>
        <w:t>)</w:t>
      </w:r>
    </w:p>
    <w:p w14:paraId="0EA8CC22" w14:textId="77777777" w:rsidR="00C25C85" w:rsidRPr="00BC31E0" w:rsidRDefault="00A51873" w:rsidP="008234D1">
      <w:pPr>
        <w:tabs>
          <w:tab w:val="left" w:pos="1277"/>
        </w:tabs>
        <w:autoSpaceDE w:val="0"/>
        <w:autoSpaceDN w:val="0"/>
        <w:ind w:left="1588" w:hanging="1021"/>
      </w:pPr>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0</m:t>
            </m:r>
          </m:sub>
        </m:sSub>
      </m:oMath>
      <w:r w:rsidR="00C25C85" w:rsidRPr="00BC31E0">
        <w:rPr>
          <w:rFonts w:hint="eastAsia"/>
        </w:rPr>
        <w:t>～</w:t>
      </w:r>
      <m:oMath>
        <m:sSub>
          <m:sSubPr>
            <m:ctrlPr>
              <w:rPr>
                <w:rFonts w:ascii="Cambria Math" w:hAnsi="Cambria Math"/>
                <w:i/>
                <w:szCs w:val="24"/>
              </w:rPr>
            </m:ctrlPr>
          </m:sSubPr>
          <m:e>
            <m:r>
              <w:rPr>
                <w:rFonts w:ascii="Cambria Math" w:hAnsi="Cambria Math"/>
                <w:szCs w:val="24"/>
              </w:rPr>
              <m:t>G</m:t>
            </m:r>
          </m:e>
          <m:sub>
            <m:r>
              <w:rPr>
                <w:rFonts w:ascii="Cambria Math" w:hAnsi="Cambria Math" w:hint="eastAsia"/>
                <w:szCs w:val="24"/>
              </w:rPr>
              <m:t>5</m:t>
            </m:r>
          </m:sub>
        </m:sSub>
      </m:oMath>
      <w:r w:rsidR="00C25C85" w:rsidRPr="00BC31E0">
        <w:rPr>
          <w:rFonts w:hint="eastAsia"/>
          <w:szCs w:val="24"/>
        </w:rPr>
        <w:tab/>
      </w:r>
      <w:r w:rsidR="00C25C85" w:rsidRPr="00BC31E0">
        <w:rPr>
          <w:rFonts w:hint="eastAsia"/>
        </w:rPr>
        <w:t>：</w:t>
      </w:r>
      <w:r w:rsidR="00C25C85" w:rsidRPr="00BC31E0">
        <w:rPr>
          <w:rFonts w:hint="eastAsia"/>
        </w:rPr>
        <w:t xml:space="preserve"> </w:t>
      </w:r>
      <w:r w:rsidR="00C25C85" w:rsidRPr="00BC31E0">
        <w:rPr>
          <w:rFonts w:hint="eastAsia"/>
        </w:rPr>
        <w:t>表面亀裂の自由表面補正係数</w:t>
      </w:r>
      <w:r w:rsidR="00C25C85" w:rsidRPr="00BC31E0">
        <w:rPr>
          <w:rFonts w:hint="eastAsia"/>
        </w:rPr>
        <w:t xml:space="preserve"> (</w:t>
      </w:r>
      <w:r w:rsidR="00C25C85" w:rsidRPr="00BC31E0">
        <w:rPr>
          <w:rFonts w:ascii="ＭＳ ゴシック" w:eastAsia="ＭＳ ゴシック" w:hint="eastAsia"/>
          <w:b/>
        </w:rPr>
        <w:t>附属書C 4.1</w:t>
      </w:r>
      <w:r w:rsidR="00C25C85" w:rsidRPr="00BC31E0">
        <w:rPr>
          <w:rFonts w:hint="eastAsia"/>
        </w:rPr>
        <w:t>)</w:t>
      </w:r>
    </w:p>
    <w:p w14:paraId="7CABEC05" w14:textId="77777777" w:rsidR="00C25C85" w:rsidRPr="00BC31E0" w:rsidRDefault="00C25C85" w:rsidP="008234D1">
      <w:pPr>
        <w:tabs>
          <w:tab w:val="left" w:pos="1276"/>
        </w:tabs>
        <w:autoSpaceDE w:val="0"/>
        <w:autoSpaceDN w:val="0"/>
        <w:ind w:left="1588" w:hanging="1021"/>
      </w:pPr>
      <w:bookmarkStart w:id="131" w:name="_Hlk52260549"/>
      <m:oMath>
        <m:r>
          <w:rPr>
            <w:rFonts w:ascii="Cambria Math" w:hAnsi="Cambria Math"/>
            <w:szCs w:val="24"/>
          </w:rPr>
          <m:t>H</m:t>
        </m:r>
      </m:oMath>
      <w:r w:rsidRPr="00BC31E0">
        <w:tab/>
      </w:r>
      <w:r w:rsidRPr="00BC31E0">
        <w:rPr>
          <w:rFonts w:hint="eastAsia"/>
        </w:rPr>
        <w:t>：</w:t>
      </w:r>
      <w:r w:rsidRPr="00BC31E0">
        <w:rPr>
          <w:rFonts w:hint="eastAsia"/>
        </w:rPr>
        <w:t xml:space="preserve"> </w:t>
      </w:r>
      <w:r w:rsidRPr="00BC31E0">
        <w:rPr>
          <w:rFonts w:hint="eastAsia"/>
        </w:rPr>
        <w:t>下限界応力拡大係数範囲を決める材料定数</w:t>
      </w:r>
      <w:r w:rsidRPr="00BC31E0">
        <w:rPr>
          <w:rFonts w:hint="eastAsia"/>
        </w:rPr>
        <w:t xml:space="preserve"> (</w:t>
      </w:r>
      <w:r w:rsidRPr="00BC31E0">
        <w:rPr>
          <w:rFonts w:asciiTheme="majorEastAsia" w:eastAsiaTheme="majorEastAsia" w:hAnsiTheme="majorEastAsia" w:hint="eastAsia"/>
          <w:b/>
        </w:rPr>
        <w:t>6.4.6</w:t>
      </w:r>
      <w:r w:rsidRPr="00BC31E0">
        <w:rPr>
          <w:rFonts w:hint="eastAsia"/>
        </w:rPr>
        <w:t>，</w:t>
      </w:r>
      <w:r w:rsidRPr="00BC31E0">
        <w:rPr>
          <w:rFonts w:ascii="ＭＳ ゴシック" w:eastAsia="ＭＳ ゴシック" w:hint="eastAsia"/>
          <w:b/>
        </w:rPr>
        <w:t>表</w:t>
      </w:r>
      <w:r w:rsidRPr="00BC31E0">
        <w:rPr>
          <w:rFonts w:ascii="ＭＳ ゴシック" w:eastAsia="ＭＳ ゴシック"/>
          <w:b/>
        </w:rPr>
        <w:t>6.4.1</w:t>
      </w:r>
      <w:r w:rsidRPr="00BC31E0">
        <w:rPr>
          <w:rFonts w:hint="eastAsia"/>
        </w:rPr>
        <w:t>)</w:t>
      </w:r>
    </w:p>
    <w:bookmarkEnd w:id="131"/>
    <w:p w14:paraId="6A8A7A71" w14:textId="77777777" w:rsidR="00C25C85" w:rsidRPr="00BC31E0" w:rsidRDefault="00C25C85" w:rsidP="008234D1">
      <w:pPr>
        <w:tabs>
          <w:tab w:val="left" w:pos="1276"/>
        </w:tabs>
        <w:autoSpaceDE w:val="0"/>
        <w:autoSpaceDN w:val="0"/>
        <w:ind w:left="1588" w:hanging="1021"/>
      </w:pPr>
      <w:r w:rsidRPr="00BC31E0">
        <w:rPr>
          <w:rFonts w:hint="eastAsia"/>
        </w:rPr>
        <w:tab/>
      </w:r>
      <w:r w:rsidRPr="00BC31E0">
        <w:rPr>
          <w:rFonts w:hint="eastAsia"/>
        </w:rPr>
        <w:t>：</w:t>
      </w:r>
      <w:r w:rsidRPr="00BC31E0">
        <w:rPr>
          <w:rFonts w:hint="eastAsia"/>
        </w:rPr>
        <w:t xml:space="preserve"> </w:t>
      </w:r>
      <w:r w:rsidRPr="00BC31E0">
        <w:rPr>
          <w:rFonts w:hint="eastAsia"/>
        </w:rPr>
        <w:t>真応力－真ひずみ曲線の回帰曲線における係数</w:t>
      </w:r>
      <w:r w:rsidRPr="00BC31E0">
        <w:rPr>
          <w:rFonts w:hint="eastAsia"/>
        </w:rPr>
        <w:t xml:space="preserve"> (</w:t>
      </w:r>
      <w:r w:rsidRPr="00BC31E0">
        <w:rPr>
          <w:rFonts w:ascii="ＭＳ ゴシック" w:eastAsia="ＭＳ ゴシック" w:hint="eastAsia"/>
          <w:b/>
        </w:rPr>
        <w:t>附属書D 2</w:t>
      </w:r>
      <w:r w:rsidRPr="00BC31E0">
        <w:rPr>
          <w:rFonts w:hint="eastAsia"/>
        </w:rPr>
        <w:t>)</w:t>
      </w:r>
    </w:p>
    <w:p w14:paraId="5D88405A" w14:textId="77777777" w:rsidR="00C25C85" w:rsidRPr="00BC31E0" w:rsidRDefault="00C25C85" w:rsidP="008234D1">
      <w:pPr>
        <w:tabs>
          <w:tab w:val="left" w:pos="1276"/>
        </w:tabs>
        <w:autoSpaceDE w:val="0"/>
        <w:autoSpaceDN w:val="0"/>
        <w:ind w:left="1588" w:hanging="1021"/>
      </w:pPr>
      <w:r w:rsidRPr="00BC31E0">
        <w:rPr>
          <w:rFonts w:hint="eastAsia"/>
        </w:rPr>
        <w:tab/>
      </w:r>
      <w:r w:rsidRPr="00BC31E0">
        <w:rPr>
          <w:rFonts w:hint="eastAsia"/>
        </w:rPr>
        <w:t>：</w:t>
      </w:r>
      <w:r w:rsidRPr="00BC31E0">
        <w:rPr>
          <w:rFonts w:hint="eastAsia"/>
        </w:rPr>
        <w:t xml:space="preserve"> </w:t>
      </w:r>
      <w:r w:rsidRPr="00BC31E0">
        <w:rPr>
          <w:rFonts w:hint="eastAsia"/>
        </w:rPr>
        <w:t>運転条件又は締付条件に必要な長手方向荷重</w:t>
      </w:r>
      <w:r w:rsidRPr="00BC31E0">
        <w:rPr>
          <w:rFonts w:hint="eastAsia"/>
        </w:rPr>
        <w:t>(</w:t>
      </w:r>
      <w:r w:rsidRPr="00BC31E0">
        <w:rPr>
          <w:rFonts w:ascii="Cambria Math" w:hAnsi="Cambria Math"/>
        </w:rPr>
        <w:t>N</w:t>
      </w:r>
      <w:r w:rsidRPr="00BC31E0">
        <w:rPr>
          <w:rFonts w:hint="eastAsia"/>
        </w:rPr>
        <w:t>) (</w:t>
      </w:r>
      <w:r w:rsidRPr="00BC31E0">
        <w:rPr>
          <w:rFonts w:ascii="ＭＳ ゴシック" w:eastAsia="ＭＳ ゴシック" w:hint="eastAsia"/>
          <w:b/>
        </w:rPr>
        <w:t>附属書</w:t>
      </w:r>
      <w:r w:rsidRPr="00BC31E0">
        <w:rPr>
          <w:rFonts w:ascii="ＭＳ ゴシック" w:eastAsia="ＭＳ ゴシック"/>
          <w:b/>
        </w:rPr>
        <w:t>H 3</w:t>
      </w:r>
      <w:r w:rsidRPr="00BC31E0">
        <w:rPr>
          <w:rFonts w:hint="eastAsia"/>
        </w:rPr>
        <w:t>)</w:t>
      </w:r>
    </w:p>
    <w:p w14:paraId="4F19ADD6" w14:textId="77777777" w:rsidR="00C25C85" w:rsidRPr="00BC31E0" w:rsidRDefault="00C25C85" w:rsidP="008234D1">
      <w:pPr>
        <w:tabs>
          <w:tab w:val="left" w:pos="1276"/>
        </w:tabs>
        <w:autoSpaceDE w:val="0"/>
        <w:autoSpaceDN w:val="0"/>
        <w:ind w:left="1588" w:hanging="1021"/>
      </w:pPr>
      <m:oMath>
        <m:r>
          <w:rPr>
            <w:rFonts w:ascii="Cambria Math" w:hAnsi="Cambria Math"/>
            <w:szCs w:val="24"/>
          </w:rPr>
          <m:t>H</m:t>
        </m:r>
        <m:r>
          <w:rPr>
            <w:rFonts w:ascii="Cambria Math" w:hAnsi="Cambria Math" w:hint="eastAsia"/>
            <w:szCs w:val="24"/>
          </w:rPr>
          <m:t>AC</m:t>
        </m:r>
      </m:oMath>
      <w:r w:rsidRPr="00BC31E0">
        <w:tab/>
      </w:r>
      <w:r w:rsidRPr="00BC31E0">
        <w:rPr>
          <w:rFonts w:hint="eastAsia"/>
        </w:rPr>
        <w:t>：</w:t>
      </w:r>
      <w:r w:rsidRPr="00BC31E0">
        <w:rPr>
          <w:rFonts w:hint="eastAsia"/>
        </w:rPr>
        <w:t xml:space="preserve"> </w:t>
      </w:r>
      <w:r w:rsidRPr="00BC31E0">
        <w:rPr>
          <w:rFonts w:hint="eastAsia"/>
        </w:rPr>
        <w:t>水素誘起割れ</w:t>
      </w:r>
      <w:r w:rsidRPr="00BC31E0">
        <w:rPr>
          <w:rFonts w:hint="eastAsia"/>
        </w:rPr>
        <w:t xml:space="preserve"> (</w:t>
      </w:r>
      <w:r w:rsidRPr="00BC31E0">
        <w:rPr>
          <w:rFonts w:ascii="ＭＳ ゴシック" w:eastAsia="ＭＳ ゴシック"/>
          <w:b/>
        </w:rPr>
        <w:t>6.</w:t>
      </w:r>
      <w:r w:rsidRPr="00BC31E0">
        <w:rPr>
          <w:rFonts w:ascii="ＭＳ ゴシック" w:eastAsia="ＭＳ ゴシック" w:hint="eastAsia"/>
          <w:b/>
        </w:rPr>
        <w:t>13</w:t>
      </w:r>
      <w:r w:rsidRPr="00BC31E0">
        <w:rPr>
          <w:rFonts w:ascii="ＭＳ ゴシック" w:eastAsia="ＭＳ ゴシック"/>
          <w:b/>
        </w:rPr>
        <w:t>.</w:t>
      </w:r>
      <w:r w:rsidRPr="00BC31E0">
        <w:rPr>
          <w:rFonts w:ascii="ＭＳ ゴシック" w:eastAsia="ＭＳ ゴシック" w:hint="eastAsia"/>
          <w:b/>
        </w:rPr>
        <w:t>3</w:t>
      </w:r>
      <w:r w:rsidRPr="00BC31E0">
        <w:rPr>
          <w:rFonts w:hint="eastAsia"/>
        </w:rPr>
        <w:t>)</w:t>
      </w:r>
    </w:p>
    <w:p w14:paraId="272ECF39"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D</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内圧によってハブ内径面に作用する荷重</w:t>
      </w:r>
      <w:r w:rsidR="00C25C85" w:rsidRPr="00BC31E0">
        <w:rPr>
          <w:rFonts w:hint="eastAsia"/>
        </w:rPr>
        <w:t>(</w:t>
      </w:r>
      <w:r w:rsidR="00C25C85" w:rsidRPr="00BC31E0">
        <w:rPr>
          <w:rFonts w:ascii="Cambria Math" w:hAnsi="Cambria Math"/>
        </w:rPr>
        <w:t>N</w:t>
      </w:r>
      <w:r w:rsidR="00C25C85" w:rsidRPr="00BC31E0">
        <w:rPr>
          <w:rFonts w:hint="eastAsia"/>
        </w:rPr>
        <w:t>) (</w:t>
      </w:r>
      <w:r w:rsidR="00C25C85" w:rsidRPr="00BC31E0">
        <w:rPr>
          <w:rFonts w:ascii="ＭＳ ゴシック" w:eastAsia="ＭＳ ゴシック" w:hint="eastAsia"/>
          <w:b/>
        </w:rPr>
        <w:t>附属書</w:t>
      </w:r>
      <w:r w:rsidR="00C25C85" w:rsidRPr="00BC31E0">
        <w:rPr>
          <w:rFonts w:ascii="ＭＳ ゴシック" w:eastAsia="ＭＳ ゴシック"/>
          <w:b/>
        </w:rPr>
        <w:t>H 3</w:t>
      </w:r>
      <w:r w:rsidR="00C25C85" w:rsidRPr="00BC31E0">
        <w:rPr>
          <w:rFonts w:hint="eastAsia"/>
        </w:rPr>
        <w:t>)</w:t>
      </w:r>
    </w:p>
    <w:p w14:paraId="49D08770"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e</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内圧によって作用する全荷重</w:t>
      </w:r>
      <w:r w:rsidR="00C25C85" w:rsidRPr="00BC31E0">
        <w:rPr>
          <w:rFonts w:hint="eastAsia"/>
        </w:rPr>
        <w:t>(</w:t>
      </w:r>
      <w:r w:rsidR="00C25C85" w:rsidRPr="00BC31E0">
        <w:rPr>
          <w:rFonts w:ascii="Cambria Math" w:hAnsi="Cambria Math"/>
        </w:rPr>
        <w:t>N</w:t>
      </w:r>
      <w:r w:rsidR="00C25C85" w:rsidRPr="00BC31E0">
        <w:rPr>
          <w:rFonts w:hint="eastAsia"/>
        </w:rPr>
        <w:t>) (</w:t>
      </w:r>
      <w:r w:rsidR="00C25C85" w:rsidRPr="00BC31E0">
        <w:rPr>
          <w:rFonts w:ascii="ＭＳ ゴシック" w:eastAsia="ＭＳ ゴシック" w:hint="eastAsia"/>
          <w:b/>
        </w:rPr>
        <w:t>附属書</w:t>
      </w:r>
      <w:r w:rsidR="00C25C85" w:rsidRPr="00BC31E0">
        <w:rPr>
          <w:rFonts w:ascii="ＭＳ ゴシック" w:eastAsia="ＭＳ ゴシック"/>
          <w:b/>
        </w:rPr>
        <w:t>H 3</w:t>
      </w:r>
      <w:r w:rsidR="00C25C85" w:rsidRPr="00BC31E0">
        <w:rPr>
          <w:rFonts w:hint="eastAsia"/>
        </w:rPr>
        <w:t>)</w:t>
      </w:r>
    </w:p>
    <w:p w14:paraId="5FE8A356"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G</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ガスケット荷重</w:t>
      </w:r>
      <w:r w:rsidR="00C25C85" w:rsidRPr="00BC31E0">
        <w:rPr>
          <w:rFonts w:hint="eastAsia"/>
        </w:rPr>
        <w:t>(</w:t>
      </w:r>
      <w:r w:rsidR="00C25C85" w:rsidRPr="00BC31E0">
        <w:rPr>
          <w:rFonts w:ascii="Cambria Math" w:hAnsi="Cambria Math"/>
        </w:rPr>
        <w:t>N</w:t>
      </w:r>
      <w:r w:rsidR="00C25C85" w:rsidRPr="00BC31E0">
        <w:rPr>
          <w:rFonts w:hint="eastAsia"/>
        </w:rPr>
        <w:t>) (</w:t>
      </w:r>
      <w:r w:rsidR="00C25C85" w:rsidRPr="00BC31E0">
        <w:rPr>
          <w:rFonts w:ascii="ＭＳ ゴシック" w:eastAsia="ＭＳ ゴシック" w:cs="Arial Unicode MS" w:hint="eastAsia"/>
          <w:b/>
        </w:rPr>
        <w:t>附属書</w:t>
      </w:r>
      <w:r w:rsidR="00C25C85" w:rsidRPr="00BC31E0">
        <w:rPr>
          <w:rFonts w:ascii="ＭＳ ゴシック" w:eastAsia="ＭＳ ゴシック" w:cs="Arial Unicode MS"/>
          <w:b/>
        </w:rPr>
        <w:t>H 3</w:t>
      </w:r>
      <w:r w:rsidR="00C25C85" w:rsidRPr="00BC31E0">
        <w:rPr>
          <w:rFonts w:hint="eastAsia"/>
        </w:rPr>
        <w:t>)</w:t>
      </w:r>
    </w:p>
    <w:p w14:paraId="7ACEF74D"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m</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ガスケット締付要求値</w:t>
      </w:r>
      <w:r w:rsidR="00C25C85" w:rsidRPr="00BC31E0">
        <w:rPr>
          <w:rFonts w:hint="eastAsia"/>
        </w:rPr>
        <w:t>(</w:t>
      </w:r>
      <w:r w:rsidR="00C25C85" w:rsidRPr="00BC31E0">
        <w:rPr>
          <w:rFonts w:ascii="Cambria Math" w:hAnsi="Cambria Math"/>
        </w:rPr>
        <w:t>N</w:t>
      </w:r>
      <w:r w:rsidR="00C25C85" w:rsidRPr="00BC31E0">
        <w:rPr>
          <w:rFonts w:hint="eastAsia"/>
        </w:rPr>
        <w:t>) (</w:t>
      </w:r>
      <w:r w:rsidR="00C25C85" w:rsidRPr="00BC31E0">
        <w:rPr>
          <w:rFonts w:ascii="ＭＳ ゴシック" w:eastAsia="ＭＳ ゴシック" w:hint="eastAsia"/>
          <w:b/>
        </w:rPr>
        <w:t>附属書</w:t>
      </w:r>
      <w:r w:rsidR="00C25C85" w:rsidRPr="00BC31E0">
        <w:rPr>
          <w:rFonts w:ascii="ＭＳ ゴシック" w:eastAsia="ＭＳ ゴシック"/>
          <w:b/>
        </w:rPr>
        <w:t>H 3</w:t>
      </w:r>
      <w:r w:rsidR="00C25C85" w:rsidRPr="00BC31E0">
        <w:rPr>
          <w:rFonts w:hint="eastAsia"/>
        </w:rPr>
        <w:t>)</w:t>
      </w:r>
    </w:p>
    <w:p w14:paraId="70F235BD"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p</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継手接触面圧荷重</w:t>
      </w:r>
      <w:r w:rsidR="00C25C85" w:rsidRPr="00BC31E0">
        <w:rPr>
          <w:rFonts w:hint="eastAsia"/>
        </w:rPr>
        <w:t>(</w:t>
      </w:r>
      <w:r w:rsidR="00C25C85" w:rsidRPr="00BC31E0">
        <w:rPr>
          <w:rFonts w:ascii="Cambria Math" w:hAnsi="Cambria Math"/>
        </w:rPr>
        <w:t>N</w:t>
      </w:r>
      <w:r w:rsidR="00C25C85" w:rsidRPr="00BC31E0">
        <w:rPr>
          <w:rFonts w:hint="eastAsia"/>
        </w:rPr>
        <w:t>) (</w:t>
      </w:r>
      <w:r w:rsidR="00C25C85" w:rsidRPr="00BC31E0">
        <w:rPr>
          <w:rFonts w:ascii="ＭＳ ゴシック" w:eastAsia="ＭＳ ゴシック" w:hint="eastAsia"/>
          <w:b/>
        </w:rPr>
        <w:t>附属書</w:t>
      </w:r>
      <w:r w:rsidR="00C25C85" w:rsidRPr="00BC31E0">
        <w:rPr>
          <w:rFonts w:ascii="ＭＳ ゴシック" w:eastAsia="ＭＳ ゴシック"/>
          <w:b/>
        </w:rPr>
        <w:t>H 3</w:t>
      </w:r>
      <w:r w:rsidR="00C25C85" w:rsidRPr="00BC31E0">
        <w:rPr>
          <w:rFonts w:hint="eastAsia"/>
        </w:rPr>
        <w:t>)</w:t>
      </w:r>
    </w:p>
    <w:p w14:paraId="17047BBD"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T</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長手方向荷重とハブ内径面に作用する荷重との差</w:t>
      </w:r>
      <w:r w:rsidR="00C25C85" w:rsidRPr="00BC31E0">
        <w:rPr>
          <w:rFonts w:hint="eastAsia"/>
        </w:rPr>
        <w:t>(</w:t>
      </w:r>
      <w:r w:rsidR="00C25C85" w:rsidRPr="00BC31E0">
        <w:rPr>
          <w:rFonts w:ascii="Cambria Math" w:hAnsi="Cambria Math"/>
        </w:rPr>
        <w:t>N</w:t>
      </w:r>
      <w:r w:rsidR="00C25C85" w:rsidRPr="00BC31E0">
        <w:rPr>
          <w:rFonts w:hint="eastAsia"/>
        </w:rPr>
        <w:t>) (</w:t>
      </w:r>
      <w:r w:rsidR="00C25C85" w:rsidRPr="00BC31E0">
        <w:rPr>
          <w:rFonts w:ascii="ＭＳ ゴシック" w:eastAsia="ＭＳ ゴシック" w:hint="eastAsia"/>
          <w:b/>
        </w:rPr>
        <w:t>附属書</w:t>
      </w:r>
      <w:r w:rsidR="00C25C85" w:rsidRPr="00BC31E0">
        <w:rPr>
          <w:rFonts w:ascii="ＭＳ ゴシック" w:eastAsia="ＭＳ ゴシック"/>
          <w:b/>
        </w:rPr>
        <w:t>H 3</w:t>
      </w:r>
      <w:r w:rsidR="00C25C85" w:rsidRPr="00BC31E0">
        <w:rPr>
          <w:rFonts w:hint="eastAsia"/>
        </w:rPr>
        <w:t>)</w:t>
      </w:r>
    </w:p>
    <w:p w14:paraId="220BC0AD" w14:textId="77777777" w:rsidR="00C25C85" w:rsidRPr="00BC31E0" w:rsidRDefault="00A51873" w:rsidP="008234D1">
      <w:pPr>
        <w:tabs>
          <w:tab w:val="left" w:pos="1276"/>
        </w:tabs>
        <w:autoSpaceDE w:val="0"/>
        <w:autoSpaceDN w:val="0"/>
        <w:ind w:left="1588" w:hanging="1021"/>
      </w:pPr>
      <m:oMath>
        <m:bar>
          <m:barPr>
            <m:pos m:val="top"/>
            <m:ctrlPr>
              <w:rPr>
                <w:rFonts w:ascii="Cambria Math" w:hAnsi="Cambria Math"/>
                <w:i/>
                <w:szCs w:val="24"/>
              </w:rPr>
            </m:ctrlPr>
          </m:barPr>
          <m:e>
            <m:r>
              <w:rPr>
                <w:rFonts w:ascii="Cambria Math" w:hAnsi="Cambria Math"/>
                <w:szCs w:val="24"/>
              </w:rPr>
              <m:t>h</m:t>
            </m:r>
          </m:e>
        </m:bar>
      </m:oMath>
      <w:r w:rsidR="00C25C85" w:rsidRPr="00BC31E0">
        <w:tab/>
      </w:r>
      <w:r w:rsidR="00C25C85" w:rsidRPr="00BC31E0">
        <w:rPr>
          <w:rFonts w:hint="eastAsia"/>
        </w:rPr>
        <w:t>：</w:t>
      </w:r>
      <w:r w:rsidR="00C25C85" w:rsidRPr="00BC31E0">
        <w:rPr>
          <w:rFonts w:hint="eastAsia"/>
        </w:rPr>
        <w:t xml:space="preserve"> </w:t>
      </w:r>
      <w:r w:rsidR="00C25C85" w:rsidRPr="00BC31E0">
        <w:rPr>
          <w:rFonts w:hint="eastAsia"/>
        </w:rPr>
        <w:t>ハブ面からハブ肩部リング中心までの長手方向距離</w:t>
      </w:r>
      <w:r w:rsidR="00C25C85" w:rsidRPr="00BC31E0">
        <w:rPr>
          <w:rFonts w:hint="eastAsia"/>
        </w:rPr>
        <w:t>(</w:t>
      </w:r>
      <w:r w:rsidR="00C25C85" w:rsidRPr="00BC31E0">
        <w:rPr>
          <w:rFonts w:ascii="Cambria Math" w:hAnsi="Cambria Math"/>
        </w:rPr>
        <w:t>mm</w:t>
      </w:r>
      <w:r w:rsidR="00C25C85" w:rsidRPr="00BC31E0">
        <w:rPr>
          <w:rFonts w:hint="eastAsia"/>
        </w:rPr>
        <w:t>) (</w:t>
      </w:r>
      <w:r w:rsidR="00C25C85" w:rsidRPr="00BC31E0">
        <w:rPr>
          <w:rFonts w:ascii="ＭＳ ゴシック" w:eastAsia="ＭＳ ゴシック" w:hint="eastAsia"/>
          <w:b/>
        </w:rPr>
        <w:t>附属書</w:t>
      </w:r>
      <w:r w:rsidR="00C25C85" w:rsidRPr="00BC31E0">
        <w:rPr>
          <w:rFonts w:ascii="ＭＳ ゴシック" w:eastAsia="ＭＳ ゴシック"/>
          <w:b/>
        </w:rPr>
        <w:t>H 3</w:t>
      </w:r>
      <w:r w:rsidR="00C25C85" w:rsidRPr="00BC31E0">
        <w:rPr>
          <w:rFonts w:hint="eastAsia"/>
        </w:rPr>
        <w:t>)</w:t>
      </w:r>
    </w:p>
    <w:p w14:paraId="37EB7D79" w14:textId="77777777" w:rsidR="00C25C85" w:rsidRPr="00BC31E0" w:rsidRDefault="00C25C85" w:rsidP="008234D1">
      <w:pPr>
        <w:tabs>
          <w:tab w:val="left" w:pos="1276"/>
        </w:tabs>
        <w:autoSpaceDE w:val="0"/>
        <w:autoSpaceDN w:val="0"/>
        <w:ind w:left="1588" w:hanging="1021"/>
      </w:pPr>
      <m:oMath>
        <m:r>
          <w:rPr>
            <w:rFonts w:ascii="Cambria Math" w:hAnsi="Cambria Math"/>
            <w:szCs w:val="24"/>
          </w:rPr>
          <m:t>h</m:t>
        </m:r>
      </m:oMath>
      <w:r w:rsidRPr="00BC31E0">
        <w:tab/>
      </w:r>
      <w:r w:rsidRPr="00BC31E0">
        <w:rPr>
          <w:rFonts w:hint="eastAsia"/>
        </w:rPr>
        <w:t>：</w:t>
      </w:r>
      <w:r w:rsidRPr="00BC31E0">
        <w:rPr>
          <w:rFonts w:hint="eastAsia"/>
        </w:rPr>
        <w:t xml:space="preserve"> </w:t>
      </w:r>
      <w:r w:rsidRPr="00BC31E0">
        <w:rPr>
          <w:rFonts w:hint="eastAsia"/>
        </w:rPr>
        <w:t>ハブのテーパ長さ</w:t>
      </w:r>
      <w:r w:rsidRPr="00BC31E0">
        <w:rPr>
          <w:rFonts w:hint="eastAsia"/>
        </w:rPr>
        <w:t>(</w:t>
      </w:r>
      <w:r w:rsidRPr="00BC31E0">
        <w:rPr>
          <w:rFonts w:ascii="Cambria Math" w:hAnsi="Cambria Math"/>
        </w:rPr>
        <w:t>mm</w:t>
      </w:r>
      <w:r w:rsidRPr="00BC31E0">
        <w:rPr>
          <w:rFonts w:hint="eastAsia"/>
        </w:rPr>
        <w:t>) (</w:t>
      </w:r>
      <w:r w:rsidRPr="00BC31E0">
        <w:rPr>
          <w:rFonts w:ascii="ＭＳ ゴシック" w:eastAsia="ＭＳ ゴシック" w:hint="eastAsia"/>
          <w:b/>
        </w:rPr>
        <w:t>附属書</w:t>
      </w:r>
      <w:r w:rsidRPr="00BC31E0">
        <w:rPr>
          <w:rFonts w:ascii="ＭＳ ゴシック" w:eastAsia="ＭＳ ゴシック"/>
          <w:b/>
        </w:rPr>
        <w:t>H 3</w:t>
      </w:r>
      <w:r w:rsidRPr="00BC31E0">
        <w:rPr>
          <w:rFonts w:hint="eastAsia"/>
        </w:rPr>
        <w:t>)</w:t>
      </w:r>
    </w:p>
    <w:p w14:paraId="60394F84" w14:textId="77777777" w:rsidR="00C25C85" w:rsidRPr="00BC31E0" w:rsidRDefault="00C25C85" w:rsidP="008234D1">
      <w:pPr>
        <w:tabs>
          <w:tab w:val="left" w:pos="1276"/>
        </w:tabs>
        <w:autoSpaceDE w:val="0"/>
        <w:autoSpaceDN w:val="0"/>
        <w:ind w:left="1588" w:hanging="1021"/>
      </w:pPr>
      <w:r w:rsidRPr="00BC31E0">
        <w:rPr>
          <w:rFonts w:hint="eastAsia"/>
        </w:rPr>
        <w:tab/>
      </w:r>
      <w:r w:rsidRPr="00BC31E0">
        <w:rPr>
          <w:rFonts w:hint="eastAsia"/>
        </w:rPr>
        <w:t>：</w:t>
      </w:r>
      <w:r w:rsidRPr="00BC31E0">
        <w:rPr>
          <w:rFonts w:hint="eastAsia"/>
        </w:rPr>
        <w:t xml:space="preserve"> </w:t>
      </w:r>
      <w:r w:rsidRPr="00BC31E0">
        <w:rPr>
          <w:rFonts w:hint="eastAsia"/>
        </w:rPr>
        <w:t>二つの層間の隙間，半径方向隙間幅</w:t>
      </w:r>
      <w:r w:rsidRPr="00BC31E0">
        <w:rPr>
          <w:rFonts w:hint="eastAsia"/>
        </w:rPr>
        <w:t>(</w:t>
      </w:r>
      <w:r w:rsidRPr="00BC31E0">
        <w:rPr>
          <w:rFonts w:ascii="Cambria Math" w:hAnsi="Cambria Math"/>
        </w:rPr>
        <w:t>mm</w:t>
      </w:r>
      <w:r w:rsidRPr="00BC31E0">
        <w:rPr>
          <w:rFonts w:hint="eastAsia"/>
        </w:rPr>
        <w:t>) (</w:t>
      </w:r>
      <w:r w:rsidRPr="00BC31E0">
        <w:rPr>
          <w:rFonts w:ascii="ＭＳ ゴシック" w:eastAsia="ＭＳ ゴシック"/>
          <w:b/>
        </w:rPr>
        <w:t>7.8.3</w:t>
      </w:r>
      <w:r w:rsidRPr="00BC31E0">
        <w:rPr>
          <w:rFonts w:ascii="ＭＳ ゴシック" w:eastAsia="ＭＳ ゴシック" w:hint="eastAsia"/>
          <w:b/>
        </w:rPr>
        <w:t>，図7.8.5</w:t>
      </w:r>
      <w:r w:rsidRPr="00BC31E0">
        <w:rPr>
          <w:rFonts w:hint="eastAsia"/>
        </w:rPr>
        <w:t>)</w:t>
      </w:r>
    </w:p>
    <w:p w14:paraId="11AC5C83"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D</m:t>
            </m:r>
          </m:sub>
        </m:sSub>
      </m:oMath>
      <w:r w:rsidR="00C25C85" w:rsidRPr="00BC31E0">
        <w:rPr>
          <w:vertAlign w:val="subscript"/>
        </w:rPr>
        <w:tab/>
      </w:r>
      <w:r w:rsidR="00C25C85" w:rsidRPr="00BC31E0">
        <w:rPr>
          <w:rFonts w:hint="eastAsia"/>
        </w:rPr>
        <w:t>：</w:t>
      </w:r>
      <w:r w:rsidR="00C25C85" w:rsidRPr="00BC31E0">
        <w:rPr>
          <w:rFonts w:hint="eastAsia"/>
        </w:rPr>
        <w:t xml:space="preserve"> </w:t>
      </w:r>
      <m:oMath>
        <m:r>
          <w:rPr>
            <w:rFonts w:ascii="Cambria Math" w:hAnsi="Cambria Math"/>
          </w:rPr>
          <m:t xml:space="preserve">C </m:t>
        </m:r>
        <m:r>
          <m:rPr>
            <m:sty m:val="p"/>
          </m:rPr>
          <w:rPr>
            <w:rFonts w:ascii="Cambria Math" w:hAnsi="Cambria Math" w:hint="eastAsia"/>
          </w:rPr>
          <m:t>と</m:t>
        </m:r>
        <m:sSub>
          <m:sSubPr>
            <m:ctrlPr>
              <w:rPr>
                <w:rFonts w:ascii="Cambria Math" w:hAnsi="Cambria Math"/>
                <w:i/>
              </w:rPr>
            </m:ctrlPr>
          </m:sSubPr>
          <m:e>
            <m:r>
              <w:rPr>
                <w:rFonts w:ascii="Cambria Math" w:hAnsi="Cambria Math"/>
              </w:rPr>
              <m:t xml:space="preserve"> H</m:t>
            </m:r>
          </m:e>
          <m:sub>
            <m:r>
              <w:rPr>
                <w:rFonts w:ascii="Cambria Math" w:hAnsi="Cambria Math"/>
              </w:rPr>
              <m:t>D</m:t>
            </m:r>
          </m:sub>
        </m:sSub>
        <m:r>
          <w:rPr>
            <w:rFonts w:ascii="Cambria Math" w:hAnsi="Cambria Math"/>
          </w:rPr>
          <m:t xml:space="preserve"> </m:t>
        </m:r>
      </m:oMath>
      <w:r w:rsidR="00C25C85" w:rsidRPr="00BC31E0">
        <w:rPr>
          <w:rFonts w:hint="eastAsia"/>
          <w:szCs w:val="24"/>
        </w:rPr>
        <w:t>が作用する位置</w:t>
      </w:r>
      <w:r w:rsidR="00C25C85" w:rsidRPr="00BC31E0">
        <w:rPr>
          <w:rFonts w:hint="eastAsia"/>
        </w:rPr>
        <w:t>の半径方向距離</w:t>
      </w:r>
      <w:r w:rsidR="00C25C85" w:rsidRPr="00BC31E0">
        <w:rPr>
          <w:rFonts w:hint="eastAsia"/>
        </w:rPr>
        <w:t>(</w:t>
      </w:r>
      <w:r w:rsidR="00C25C85" w:rsidRPr="00BC31E0">
        <w:rPr>
          <w:rFonts w:ascii="Cambria Math" w:hAnsi="Cambria Math"/>
        </w:rPr>
        <w:t>mm</w:t>
      </w:r>
      <w:r w:rsidR="00C25C85" w:rsidRPr="00BC31E0">
        <w:rPr>
          <w:rFonts w:hint="eastAsia"/>
        </w:rPr>
        <w:t>) (</w:t>
      </w:r>
      <w:r w:rsidR="00C25C85" w:rsidRPr="00BC31E0">
        <w:rPr>
          <w:rFonts w:ascii="ＭＳ ゴシック" w:eastAsia="ＭＳ ゴシック" w:hint="eastAsia"/>
          <w:b/>
        </w:rPr>
        <w:t>附属書</w:t>
      </w:r>
      <w:r w:rsidR="00C25C85" w:rsidRPr="00BC31E0">
        <w:rPr>
          <w:rFonts w:ascii="ＭＳ ゴシック" w:eastAsia="ＭＳ ゴシック"/>
          <w:b/>
        </w:rPr>
        <w:t>H 3</w:t>
      </w:r>
      <w:r w:rsidR="00C25C85" w:rsidRPr="00BC31E0">
        <w:rPr>
          <w:rFonts w:hint="eastAsia"/>
        </w:rPr>
        <w:t>)</w:t>
      </w:r>
    </w:p>
    <w:p w14:paraId="1C65D41A"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G</m:t>
            </m:r>
          </m:sub>
        </m:sSub>
      </m:oMath>
      <w:r w:rsidR="00C25C85" w:rsidRPr="00BC31E0">
        <w:rPr>
          <w:vertAlign w:val="subscript"/>
        </w:rPr>
        <w:tab/>
      </w:r>
      <w:r w:rsidR="00C25C85" w:rsidRPr="00BC31E0">
        <w:rPr>
          <w:rFonts w:hint="eastAsia"/>
        </w:rPr>
        <w:t>：</w:t>
      </w:r>
      <w:r w:rsidR="00C25C85" w:rsidRPr="00BC31E0">
        <w:rPr>
          <w:rFonts w:hint="eastAsia"/>
        </w:rPr>
        <w:t xml:space="preserve"> </w:t>
      </w:r>
      <m:oMath>
        <m:r>
          <w:rPr>
            <w:rFonts w:ascii="Cambria Math" w:hAnsi="Cambria Math"/>
          </w:rPr>
          <m:t xml:space="preserve">C </m:t>
        </m:r>
        <m:r>
          <m:rPr>
            <m:sty m:val="p"/>
          </m:rPr>
          <w:rPr>
            <w:rFonts w:ascii="Cambria Math" w:hAnsi="Cambria Math" w:hint="eastAsia"/>
          </w:rPr>
          <m:t>と</m:t>
        </m:r>
        <m:r>
          <m:rPr>
            <m:sty m:val="p"/>
          </m:rP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G</m:t>
            </m:r>
          </m:sub>
        </m:sSub>
        <m:r>
          <w:rPr>
            <w:rFonts w:ascii="Cambria Math" w:hAnsi="Cambria Math"/>
          </w:rPr>
          <m:t xml:space="preserve">  </m:t>
        </m:r>
      </m:oMath>
      <w:r w:rsidR="00C25C85" w:rsidRPr="00BC31E0">
        <w:rPr>
          <w:rFonts w:hint="eastAsia"/>
        </w:rPr>
        <w:t>が作用する位置の半径方向距離</w:t>
      </w:r>
      <w:r w:rsidR="00C25C85" w:rsidRPr="00BC31E0">
        <w:rPr>
          <w:rFonts w:hint="eastAsia"/>
        </w:rPr>
        <w:t>(</w:t>
      </w:r>
      <w:r w:rsidR="00C25C85" w:rsidRPr="00BC31E0">
        <w:rPr>
          <w:rFonts w:ascii="Cambria Math" w:hAnsi="Cambria Math"/>
        </w:rPr>
        <w:t>mm</w:t>
      </w:r>
      <w:r w:rsidR="00C25C85" w:rsidRPr="00BC31E0">
        <w:rPr>
          <w:rFonts w:hint="eastAsia"/>
        </w:rPr>
        <w:t>) (</w:t>
      </w:r>
      <w:r w:rsidR="00C25C85" w:rsidRPr="00BC31E0">
        <w:rPr>
          <w:rFonts w:ascii="ＭＳ ゴシック" w:eastAsia="ＭＳ ゴシック" w:hint="eastAsia"/>
          <w:b/>
        </w:rPr>
        <w:t>附属書</w:t>
      </w:r>
      <w:r w:rsidR="00C25C85" w:rsidRPr="00BC31E0">
        <w:rPr>
          <w:rFonts w:ascii="ＭＳ ゴシック" w:eastAsia="ＭＳ ゴシック"/>
          <w:b/>
        </w:rPr>
        <w:t>H 3</w:t>
      </w:r>
      <w:r w:rsidR="00C25C85" w:rsidRPr="00BC31E0">
        <w:rPr>
          <w:rFonts w:hint="eastAsia"/>
        </w:rPr>
        <w:t>)</w:t>
      </w:r>
    </w:p>
    <w:p w14:paraId="09869A01"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n</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ハブのネック長さ</w:t>
      </w:r>
      <w:r w:rsidR="00C25C85" w:rsidRPr="00BC31E0">
        <w:rPr>
          <w:rFonts w:hint="eastAsia"/>
        </w:rPr>
        <w:t>(</w:t>
      </w:r>
      <w:r w:rsidR="00C25C85" w:rsidRPr="00BC31E0">
        <w:rPr>
          <w:rFonts w:ascii="Cambria Math" w:hAnsi="Cambria Math"/>
        </w:rPr>
        <w:t>mm</w:t>
      </w:r>
      <w:r w:rsidR="00C25C85" w:rsidRPr="00BC31E0">
        <w:rPr>
          <w:rFonts w:hint="eastAsia"/>
        </w:rPr>
        <w:t>) (</w:t>
      </w:r>
      <w:r w:rsidR="00C25C85" w:rsidRPr="00BC31E0">
        <w:rPr>
          <w:rFonts w:ascii="ＭＳ ゴシック" w:eastAsia="ＭＳ ゴシック" w:hint="eastAsia"/>
          <w:b/>
        </w:rPr>
        <w:t>附属書</w:t>
      </w:r>
      <w:r w:rsidR="00C25C85" w:rsidRPr="00BC31E0">
        <w:rPr>
          <w:rFonts w:ascii="ＭＳ ゴシック" w:eastAsia="ＭＳ ゴシック"/>
          <w:b/>
        </w:rPr>
        <w:t>H 3</w:t>
      </w:r>
      <w:r w:rsidR="00C25C85" w:rsidRPr="00BC31E0">
        <w:rPr>
          <w:rFonts w:hint="eastAsia"/>
        </w:rPr>
        <w:t>)</w:t>
      </w:r>
    </w:p>
    <w:p w14:paraId="0BCEC074"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T</m:t>
            </m:r>
          </m:sub>
        </m:sSub>
      </m:oMath>
      <w:r w:rsidR="00C25C85" w:rsidRPr="00BC31E0">
        <w:rPr>
          <w:vertAlign w:val="subscript"/>
        </w:rPr>
        <w:tab/>
      </w:r>
      <w:r w:rsidR="00C25C85" w:rsidRPr="00BC31E0">
        <w:rPr>
          <w:rFonts w:hint="eastAsia"/>
        </w:rPr>
        <w:t>：</w:t>
      </w:r>
      <w:r w:rsidR="00C25C85" w:rsidRPr="00BC31E0">
        <w:rPr>
          <w:rFonts w:hint="eastAsia"/>
        </w:rPr>
        <w:t xml:space="preserve"> </w:t>
      </w:r>
      <m:oMath>
        <m:r>
          <w:rPr>
            <w:rFonts w:ascii="Cambria Math" w:hAnsi="Cambria Math"/>
          </w:rPr>
          <m:t xml:space="preserve">C </m:t>
        </m:r>
        <m:r>
          <m:rPr>
            <m:sty m:val="p"/>
          </m:rPr>
          <w:rPr>
            <w:rFonts w:ascii="Cambria Math" w:hAnsi="Cambria Math" w:hint="eastAsia"/>
          </w:rPr>
          <m:t>と</m:t>
        </m:r>
        <m:sSub>
          <m:sSubPr>
            <m:ctrlPr>
              <w:rPr>
                <w:rFonts w:ascii="Cambria Math" w:hAnsi="Cambria Math"/>
                <w:i/>
              </w:rPr>
            </m:ctrlPr>
          </m:sSubPr>
          <m:e>
            <m:r>
              <w:rPr>
                <w:rFonts w:ascii="Cambria Math" w:hAnsi="Cambria Math"/>
              </w:rPr>
              <m:t xml:space="preserve"> H</m:t>
            </m:r>
          </m:e>
          <m:sub>
            <m:r>
              <w:rPr>
                <w:rFonts w:ascii="Cambria Math" w:hAnsi="Cambria Math"/>
              </w:rPr>
              <m:t>T</m:t>
            </m:r>
          </m:sub>
        </m:sSub>
        <m:r>
          <w:rPr>
            <w:rFonts w:ascii="Cambria Math" w:hAnsi="Cambria Math"/>
          </w:rPr>
          <m:t xml:space="preserve">  </m:t>
        </m:r>
      </m:oMath>
      <w:r w:rsidR="00C25C85" w:rsidRPr="00BC31E0">
        <w:rPr>
          <w:rFonts w:hint="eastAsia"/>
        </w:rPr>
        <w:t>が作用する位置の半径方向距離</w:t>
      </w:r>
      <w:r w:rsidR="00C25C85" w:rsidRPr="00BC31E0">
        <w:rPr>
          <w:rFonts w:hint="eastAsia"/>
        </w:rPr>
        <w:t>(</w:t>
      </w:r>
      <w:r w:rsidR="00C25C85" w:rsidRPr="00BC31E0">
        <w:rPr>
          <w:rFonts w:ascii="Cambria Math" w:hAnsi="Cambria Math"/>
        </w:rPr>
        <w:t>mm</w:t>
      </w:r>
      <w:r w:rsidR="00C25C85" w:rsidRPr="00BC31E0">
        <w:rPr>
          <w:rFonts w:hint="eastAsia"/>
        </w:rPr>
        <w:t>) (</w:t>
      </w:r>
      <w:r w:rsidR="00C25C85" w:rsidRPr="00BC31E0">
        <w:rPr>
          <w:rFonts w:ascii="ＭＳ ゴシック" w:eastAsia="ＭＳ ゴシック" w:hint="eastAsia"/>
          <w:b/>
        </w:rPr>
        <w:t>附属書</w:t>
      </w:r>
      <w:r w:rsidR="00C25C85" w:rsidRPr="00BC31E0">
        <w:rPr>
          <w:rFonts w:ascii="ＭＳ ゴシック" w:eastAsia="ＭＳ ゴシック"/>
          <w:b/>
        </w:rPr>
        <w:t>H 3</w:t>
      </w:r>
      <w:r w:rsidR="00C25C85" w:rsidRPr="00BC31E0">
        <w:rPr>
          <w:rFonts w:hint="eastAsia"/>
        </w:rPr>
        <w:t>)</w:t>
      </w:r>
    </w:p>
    <w:bookmarkStart w:id="132" w:name="_Hlk52267141"/>
    <w:p w14:paraId="15B9DC70"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2</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ハブ肩部の平均厚さ</w:t>
      </w:r>
      <w:r w:rsidR="00C25C85" w:rsidRPr="00BC31E0">
        <w:rPr>
          <w:rFonts w:hint="eastAsia"/>
        </w:rPr>
        <w:t>(</w:t>
      </w:r>
      <w:r w:rsidR="00C25C85" w:rsidRPr="00BC31E0">
        <w:rPr>
          <w:rFonts w:ascii="Cambria Math" w:hAnsi="Cambria Math"/>
        </w:rPr>
        <w:t>mm</w:t>
      </w:r>
      <w:r w:rsidR="00C25C85" w:rsidRPr="00BC31E0">
        <w:rPr>
          <w:rFonts w:hint="eastAsia"/>
        </w:rPr>
        <w:t>) (</w:t>
      </w:r>
      <w:r w:rsidR="00C25C85" w:rsidRPr="00BC31E0">
        <w:rPr>
          <w:rFonts w:ascii="ＭＳ ゴシック" w:eastAsia="ＭＳ ゴシック" w:hint="eastAsia"/>
          <w:b/>
        </w:rPr>
        <w:t>附属書</w:t>
      </w:r>
      <w:r w:rsidR="00C25C85" w:rsidRPr="00BC31E0">
        <w:rPr>
          <w:rFonts w:ascii="ＭＳ ゴシック" w:eastAsia="ＭＳ ゴシック"/>
          <w:b/>
        </w:rPr>
        <w:t>H 3</w:t>
      </w:r>
      <w:r w:rsidR="00C25C85" w:rsidRPr="00BC31E0">
        <w:rPr>
          <w:rFonts w:hint="eastAsia"/>
        </w:rPr>
        <w:t>)</w:t>
      </w:r>
    </w:p>
    <w:bookmarkEnd w:id="132"/>
    <w:p w14:paraId="164A744E" w14:textId="77777777" w:rsidR="00C25C85" w:rsidRPr="00BC31E0" w:rsidRDefault="00C25C85" w:rsidP="008234D1">
      <w:pPr>
        <w:tabs>
          <w:tab w:val="left" w:pos="1276"/>
        </w:tabs>
        <w:autoSpaceDE w:val="0"/>
        <w:autoSpaceDN w:val="0"/>
        <w:ind w:left="1588" w:hanging="1021"/>
      </w:pPr>
      <m:oMath>
        <m:r>
          <w:rPr>
            <w:rFonts w:ascii="Cambria Math" w:hAnsi="Cambria Math"/>
            <w:szCs w:val="24"/>
          </w:rPr>
          <m:t>h(x,a)</m:t>
        </m:r>
      </m:oMath>
      <w:r w:rsidRPr="00BC31E0">
        <w:tab/>
      </w:r>
      <w:r w:rsidRPr="00BC31E0">
        <w:rPr>
          <w:rFonts w:hint="eastAsia"/>
        </w:rPr>
        <w:t>：</w:t>
      </w:r>
      <w:r w:rsidRPr="00BC31E0">
        <w:rPr>
          <w:rFonts w:hint="eastAsia"/>
        </w:rPr>
        <w:t xml:space="preserve"> </w:t>
      </w:r>
      <w:r w:rsidRPr="00BC31E0">
        <w:rPr>
          <w:rFonts w:hint="eastAsia"/>
        </w:rPr>
        <w:t>重み関数</w:t>
      </w:r>
      <w:r w:rsidRPr="00BC31E0">
        <w:rPr>
          <w:rFonts w:hint="eastAsia"/>
        </w:rPr>
        <w:t xml:space="preserve"> (</w:t>
      </w:r>
      <w:r w:rsidRPr="00BC31E0">
        <w:rPr>
          <w:rFonts w:ascii="ＭＳ ゴシック" w:eastAsia="ＭＳ ゴシック" w:hint="eastAsia"/>
          <w:b/>
        </w:rPr>
        <w:t>附属書C</w:t>
      </w:r>
      <w:r w:rsidRPr="00BC31E0">
        <w:rPr>
          <w:rFonts w:ascii="ＭＳ ゴシック" w:eastAsia="ＭＳ ゴシック"/>
          <w:b/>
        </w:rPr>
        <w:t xml:space="preserve"> </w:t>
      </w:r>
      <w:r w:rsidRPr="00BC31E0">
        <w:rPr>
          <w:rFonts w:ascii="ＭＳ ゴシック" w:eastAsia="ＭＳ ゴシック" w:hint="eastAsia"/>
          <w:b/>
        </w:rPr>
        <w:t>4</w:t>
      </w:r>
      <w:r w:rsidRPr="00BC31E0">
        <w:rPr>
          <w:rFonts w:ascii="ＭＳ ゴシック" w:eastAsia="ＭＳ ゴシック"/>
          <w:b/>
        </w:rPr>
        <w:t>.5</w:t>
      </w:r>
      <w:r w:rsidRPr="00BC31E0">
        <w:rPr>
          <w:rFonts w:hint="eastAsia"/>
        </w:rPr>
        <w:t>)</w:t>
      </w:r>
    </w:p>
    <w:p w14:paraId="415C8FFB" w14:textId="77777777" w:rsidR="00C25C85" w:rsidRPr="00BC31E0" w:rsidRDefault="00C25C85" w:rsidP="008234D1">
      <w:pPr>
        <w:tabs>
          <w:tab w:val="left" w:pos="1276"/>
        </w:tabs>
        <w:autoSpaceDE w:val="0"/>
        <w:autoSpaceDN w:val="0"/>
        <w:ind w:left="1588" w:hanging="1021"/>
      </w:pPr>
      <m:oMath>
        <m:r>
          <w:rPr>
            <w:rFonts w:ascii="Cambria Math" w:hAnsi="Cambria Math"/>
            <w:szCs w:val="24"/>
          </w:rPr>
          <m:t>I</m:t>
        </m:r>
      </m:oMath>
      <w:r w:rsidRPr="00BC31E0">
        <w:tab/>
      </w:r>
      <w:r w:rsidRPr="00BC31E0">
        <w:rPr>
          <w:rFonts w:hint="eastAsia"/>
        </w:rPr>
        <w:t>：下限界応力拡大係数範囲を決める材料定数</w:t>
      </w:r>
      <w:r w:rsidRPr="00BC31E0">
        <w:rPr>
          <w:rFonts w:hint="eastAsia"/>
        </w:rPr>
        <w:t>(</w:t>
      </w:r>
      <m:oMath>
        <m:r>
          <m:rPr>
            <m:nor/>
          </m:rPr>
          <w:rPr>
            <w:rFonts w:ascii="Cambria Math" w:hAnsi="Cambria Math"/>
          </w:rPr>
          <m:t>MPa</m:t>
        </m:r>
        <m:rad>
          <m:radPr>
            <m:degHide m:val="1"/>
            <m:ctrlPr>
              <w:rPr>
                <w:rFonts w:ascii="Cambria Math" w:hAnsi="Times New Roman"/>
              </w:rPr>
            </m:ctrlPr>
          </m:radPr>
          <m:deg/>
          <m:e>
            <m:r>
              <m:rPr>
                <m:nor/>
              </m:rPr>
              <w:rPr>
                <w:rFonts w:ascii="Cambria Math" w:hAnsi="Cambria Math"/>
              </w:rPr>
              <m:t>m</m:t>
            </m:r>
          </m:e>
        </m:rad>
      </m:oMath>
      <w:r w:rsidRPr="00BC31E0">
        <w:rPr>
          <w:rFonts w:hint="eastAsia"/>
        </w:rPr>
        <w:t>) (</w:t>
      </w:r>
      <w:r w:rsidRPr="00BC31E0">
        <w:rPr>
          <w:rFonts w:ascii="ＭＳ ゴシック" w:eastAsia="ＭＳ ゴシック"/>
          <w:b/>
        </w:rPr>
        <w:t>6.4.</w:t>
      </w:r>
      <w:r w:rsidRPr="00BC31E0">
        <w:rPr>
          <w:rFonts w:ascii="ＭＳ ゴシック" w:eastAsia="ＭＳ ゴシック" w:hint="eastAsia"/>
          <w:b/>
        </w:rPr>
        <w:t>6</w:t>
      </w:r>
      <w:r w:rsidRPr="00BC31E0">
        <w:rPr>
          <w:rFonts w:hint="eastAsia"/>
        </w:rPr>
        <w:t>，</w:t>
      </w:r>
      <w:r w:rsidRPr="00BC31E0">
        <w:rPr>
          <w:rFonts w:ascii="ＭＳ ゴシック" w:eastAsia="ＭＳ ゴシック" w:hint="eastAsia"/>
          <w:b/>
        </w:rPr>
        <w:t>表</w:t>
      </w:r>
      <w:r w:rsidRPr="00BC31E0">
        <w:rPr>
          <w:rFonts w:ascii="ＭＳ ゴシック" w:eastAsia="ＭＳ ゴシック"/>
          <w:b/>
        </w:rPr>
        <w:t>6.4.1</w:t>
      </w:r>
      <w:r w:rsidRPr="00BC31E0">
        <w:rPr>
          <w:rFonts w:hint="eastAsia"/>
        </w:rPr>
        <w:t>)</w:t>
      </w:r>
    </w:p>
    <w:p w14:paraId="170C5A24"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I</m:t>
            </m:r>
          </m:e>
          <m:sub>
            <m:r>
              <w:rPr>
                <w:rFonts w:ascii="Cambria Math" w:hAnsi="Cambria Math"/>
                <w:szCs w:val="24"/>
              </w:rPr>
              <m:t>c</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クランプ中立軸の断面二次モーメント</w:t>
      </w:r>
      <w:r w:rsidR="00C25C85" w:rsidRPr="00BC31E0">
        <w:rPr>
          <w:rFonts w:hint="eastAsia"/>
        </w:rPr>
        <w:t>(</w:t>
      </w:r>
      <w:r w:rsidR="00C25C85" w:rsidRPr="00BC31E0">
        <w:rPr>
          <w:rFonts w:ascii="Cambria Math" w:hAnsi="Cambria Math"/>
        </w:rPr>
        <w:t>mm</w:t>
      </w:r>
      <w:r w:rsidR="00C25C85" w:rsidRPr="00BC31E0">
        <w:rPr>
          <w:rFonts w:ascii="Cambria Math" w:hAnsi="Cambria Math"/>
          <w:vertAlign w:val="superscript"/>
        </w:rPr>
        <w:t>4</w:t>
      </w:r>
      <w:r w:rsidR="00C25C85" w:rsidRPr="00BC31E0">
        <w:rPr>
          <w:rFonts w:hint="eastAsia"/>
        </w:rPr>
        <w:t>) (</w:t>
      </w:r>
      <w:r w:rsidR="00C25C85" w:rsidRPr="00BC31E0">
        <w:rPr>
          <w:rFonts w:ascii="ＭＳ ゴシック" w:eastAsia="ＭＳ ゴシック" w:hint="eastAsia"/>
          <w:b/>
        </w:rPr>
        <w:t>附属書</w:t>
      </w:r>
      <w:r w:rsidR="00C25C85" w:rsidRPr="00BC31E0">
        <w:rPr>
          <w:rFonts w:ascii="ＭＳ ゴシック" w:eastAsia="ＭＳ ゴシック"/>
          <w:b/>
        </w:rPr>
        <w:t>H 3</w:t>
      </w:r>
      <w:r w:rsidR="00C25C85" w:rsidRPr="00BC31E0">
        <w:rPr>
          <w:rFonts w:hint="eastAsia"/>
        </w:rPr>
        <w:t>)</w:t>
      </w:r>
    </w:p>
    <w:p w14:paraId="4FEAD545"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I</m:t>
            </m:r>
          </m:e>
          <m:sub>
            <m:r>
              <w:rPr>
                <w:rFonts w:ascii="Cambria Math" w:hAnsi="Cambria Math"/>
                <w:szCs w:val="24"/>
              </w:rPr>
              <m:t>h</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ハブ肩部中立軸の断面二次モーメント</w:t>
      </w:r>
      <w:r w:rsidR="00C25C85" w:rsidRPr="00BC31E0">
        <w:rPr>
          <w:rFonts w:hint="eastAsia"/>
        </w:rPr>
        <w:t>(</w:t>
      </w:r>
      <w:r w:rsidR="00C25C85" w:rsidRPr="00BC31E0">
        <w:rPr>
          <w:rFonts w:ascii="Cambria Math" w:hAnsi="Cambria Math"/>
        </w:rPr>
        <w:t>mm</w:t>
      </w:r>
      <w:r w:rsidR="00C25C85" w:rsidRPr="00BC31E0">
        <w:rPr>
          <w:rFonts w:ascii="Cambria Math" w:hAnsi="Cambria Math"/>
          <w:vertAlign w:val="superscript"/>
        </w:rPr>
        <w:t>4</w:t>
      </w:r>
      <w:r w:rsidR="00C25C85" w:rsidRPr="00BC31E0">
        <w:rPr>
          <w:rFonts w:hint="eastAsia"/>
        </w:rPr>
        <w:t>) (</w:t>
      </w:r>
      <w:r w:rsidR="00C25C85" w:rsidRPr="00BC31E0">
        <w:rPr>
          <w:rFonts w:ascii="ＭＳ ゴシック" w:eastAsia="ＭＳ ゴシック" w:hint="eastAsia"/>
          <w:b/>
        </w:rPr>
        <w:t>附属書</w:t>
      </w:r>
      <w:r w:rsidR="00C25C85" w:rsidRPr="00BC31E0">
        <w:rPr>
          <w:rFonts w:ascii="ＭＳ ゴシック" w:eastAsia="ＭＳ ゴシック"/>
          <w:b/>
        </w:rPr>
        <w:t>H 3</w:t>
      </w:r>
      <w:r w:rsidR="00C25C85" w:rsidRPr="00BC31E0">
        <w:rPr>
          <w:rFonts w:hint="eastAsia"/>
        </w:rPr>
        <w:t>)</w:t>
      </w:r>
    </w:p>
    <w:p w14:paraId="7F0488C3"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I</m:t>
            </m:r>
          </m:e>
          <m:sub>
            <m:r>
              <w:rPr>
                <w:rFonts w:ascii="Cambria Math" w:hAnsi="Cambria Math"/>
                <w:szCs w:val="24"/>
              </w:rPr>
              <m:t>5</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任意の半径－周方向面におけるクランプ断面二次モーメントの最小値</w:t>
      </w:r>
      <w:r w:rsidR="00C25C85" w:rsidRPr="00BC31E0">
        <w:rPr>
          <w:rFonts w:hint="eastAsia"/>
        </w:rPr>
        <w:t>(</w:t>
      </w:r>
      <w:r w:rsidR="00C25C85" w:rsidRPr="00BC31E0">
        <w:rPr>
          <w:rFonts w:ascii="Cambria Math" w:hAnsi="Cambria Math"/>
        </w:rPr>
        <w:t>mm</w:t>
      </w:r>
      <w:r w:rsidR="00C25C85" w:rsidRPr="00BC31E0">
        <w:rPr>
          <w:rFonts w:ascii="Cambria Math" w:hAnsi="Cambria Math"/>
          <w:vertAlign w:val="superscript"/>
        </w:rPr>
        <w:t>4</w:t>
      </w:r>
      <w:r w:rsidR="00C25C85" w:rsidRPr="00BC31E0">
        <w:rPr>
          <w:rFonts w:hint="eastAsia"/>
        </w:rPr>
        <w:t>) (</w:t>
      </w:r>
      <w:r w:rsidR="00C25C85" w:rsidRPr="00BC31E0">
        <w:rPr>
          <w:rFonts w:ascii="ＭＳ ゴシック" w:eastAsia="ＭＳ ゴシック" w:hint="eastAsia"/>
          <w:b/>
        </w:rPr>
        <w:t>附属書</w:t>
      </w:r>
      <w:r w:rsidR="00C25C85" w:rsidRPr="00BC31E0">
        <w:rPr>
          <w:rFonts w:ascii="ＭＳ ゴシック" w:eastAsia="ＭＳ ゴシック"/>
          <w:b/>
        </w:rPr>
        <w:t>H 3</w:t>
      </w:r>
      <w:r w:rsidR="00C25C85" w:rsidRPr="00BC31E0">
        <w:rPr>
          <w:rFonts w:hint="eastAsia"/>
        </w:rPr>
        <w:t>)</w:t>
      </w:r>
    </w:p>
    <w:p w14:paraId="6BFF92BA"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I</m:t>
            </m:r>
          </m:e>
          <m:sub>
            <m:r>
              <w:rPr>
                <w:rFonts w:ascii="Cambria Math" w:hAnsi="Cambria Math"/>
                <w:szCs w:val="24"/>
              </w:rPr>
              <m:t>5b</m:t>
            </m:r>
          </m:sub>
        </m:sSub>
      </m:oMath>
      <w:r w:rsidR="00C25C85" w:rsidRPr="00BC31E0">
        <w:rPr>
          <w:szCs w:val="24"/>
          <w:vertAlign w:val="subscript"/>
        </w:rPr>
        <w:t xml:space="preserve"> </w:t>
      </w:r>
      <w:r w:rsidR="00C25C85" w:rsidRPr="00BC31E0">
        <w:rPr>
          <w:rFonts w:hint="eastAsia"/>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ボルト穴による任意の半径－周方向面におけるクランプの断面二次モーメントの最大値</w:t>
      </w:r>
      <w:r w:rsidR="00C25C85" w:rsidRPr="00BC31E0">
        <w:rPr>
          <w:rFonts w:hint="eastAsia"/>
        </w:rPr>
        <w:t>(</w:t>
      </w:r>
      <w:r w:rsidR="00C25C85" w:rsidRPr="00BC31E0">
        <w:rPr>
          <w:rFonts w:ascii="Cambria Math" w:hAnsi="Cambria Math"/>
        </w:rPr>
        <w:t>mm</w:t>
      </w:r>
      <w:r w:rsidR="00C25C85" w:rsidRPr="00BC31E0">
        <w:rPr>
          <w:rFonts w:ascii="Cambria Math" w:hAnsi="Cambria Math"/>
          <w:vertAlign w:val="superscript"/>
        </w:rPr>
        <w:t>4</w:t>
      </w:r>
      <w:r w:rsidR="00C25C85" w:rsidRPr="00BC31E0">
        <w:rPr>
          <w:rFonts w:hint="eastAsia"/>
        </w:rPr>
        <w:t>) (</w:t>
      </w:r>
      <w:r w:rsidR="00C25C85" w:rsidRPr="00BC31E0">
        <w:rPr>
          <w:rFonts w:ascii="ＭＳ ゴシック" w:eastAsia="ＭＳ ゴシック" w:hint="eastAsia"/>
          <w:b/>
        </w:rPr>
        <w:t>附属書</w:t>
      </w:r>
      <w:r w:rsidR="00C25C85" w:rsidRPr="00BC31E0">
        <w:rPr>
          <w:rFonts w:ascii="ＭＳ ゴシック" w:eastAsia="ＭＳ ゴシック"/>
          <w:b/>
        </w:rPr>
        <w:t>H 3</w:t>
      </w:r>
      <w:r w:rsidR="00C25C85" w:rsidRPr="00BC31E0">
        <w:rPr>
          <w:rFonts w:hint="eastAsia"/>
        </w:rPr>
        <w:t>)</w:t>
      </w:r>
    </w:p>
    <w:p w14:paraId="46ACED5E"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I</m:t>
            </m:r>
          </m:e>
          <m:sub>
            <m:r>
              <w:rPr>
                <w:rFonts w:ascii="Cambria Math" w:hAnsi="Cambria Math"/>
                <w:szCs w:val="24"/>
              </w:rPr>
              <m:t>6</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任意の周－長手方向面におけるクランプの断面二次モーメントの最小値</w:t>
      </w:r>
      <w:r w:rsidR="00C25C85" w:rsidRPr="00BC31E0">
        <w:rPr>
          <w:rFonts w:hint="eastAsia"/>
        </w:rPr>
        <w:t>(</w:t>
      </w:r>
      <w:r w:rsidR="00C25C85" w:rsidRPr="00BC31E0">
        <w:rPr>
          <w:rFonts w:ascii="Cambria Math" w:hAnsi="Cambria Math"/>
        </w:rPr>
        <w:t>mm</w:t>
      </w:r>
      <w:r w:rsidR="00C25C85" w:rsidRPr="00BC31E0">
        <w:rPr>
          <w:rFonts w:ascii="Cambria Math" w:hAnsi="Cambria Math"/>
          <w:vertAlign w:val="superscript"/>
        </w:rPr>
        <w:t>4</w:t>
      </w:r>
      <w:r w:rsidR="00C25C85" w:rsidRPr="00BC31E0">
        <w:rPr>
          <w:rFonts w:hint="eastAsia"/>
        </w:rPr>
        <w:t>)      (</w:t>
      </w:r>
      <w:r w:rsidR="00C25C85" w:rsidRPr="00BC31E0">
        <w:rPr>
          <w:rFonts w:ascii="ＭＳ ゴシック" w:eastAsia="ＭＳ ゴシック" w:hint="eastAsia"/>
          <w:b/>
        </w:rPr>
        <w:t>附属書</w:t>
      </w:r>
      <w:r w:rsidR="00C25C85" w:rsidRPr="00BC31E0">
        <w:rPr>
          <w:rFonts w:ascii="ＭＳ ゴシック" w:eastAsia="ＭＳ ゴシック"/>
          <w:b/>
        </w:rPr>
        <w:t>H 3</w:t>
      </w:r>
      <w:r w:rsidR="00C25C85" w:rsidRPr="00BC31E0">
        <w:rPr>
          <w:rFonts w:hint="eastAsia"/>
        </w:rPr>
        <w:t>)</w:t>
      </w:r>
    </w:p>
    <w:p w14:paraId="731B1C77"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I</m:t>
            </m:r>
          </m:e>
          <m:sub>
            <m:r>
              <w:rPr>
                <w:rFonts w:ascii="Cambria Math" w:hAnsi="Cambria Math"/>
                <w:szCs w:val="24"/>
              </w:rPr>
              <m:t>6b</m:t>
            </m:r>
          </m:sub>
        </m:sSub>
      </m:oMath>
      <w:r w:rsidR="00C25C85" w:rsidRPr="00BC31E0">
        <w:rPr>
          <w:szCs w:val="24"/>
        </w:rPr>
        <w:tab/>
      </w:r>
      <w:r w:rsidR="00C25C85" w:rsidRPr="00BC31E0">
        <w:rPr>
          <w:rFonts w:hint="eastAsia"/>
        </w:rPr>
        <w:t>：</w:t>
      </w:r>
      <w:r w:rsidR="00C25C85" w:rsidRPr="00BC31E0">
        <w:rPr>
          <w:rFonts w:hint="eastAsia"/>
        </w:rPr>
        <w:t xml:space="preserve"> </w:t>
      </w:r>
      <w:r w:rsidR="00C25C85" w:rsidRPr="00BC31E0">
        <w:rPr>
          <w:rFonts w:hint="eastAsia"/>
        </w:rPr>
        <w:t>任意の周－長手方向面におけるクランプの断面二次モーメントの最大値</w:t>
      </w:r>
      <w:r w:rsidR="00C25C85" w:rsidRPr="00BC31E0">
        <w:rPr>
          <w:rFonts w:hint="eastAsia"/>
        </w:rPr>
        <w:t>(</w:t>
      </w:r>
      <w:r w:rsidR="00C25C85" w:rsidRPr="00BC31E0">
        <w:rPr>
          <w:rFonts w:ascii="Cambria Math" w:hAnsi="Cambria Math"/>
        </w:rPr>
        <w:t>mm</w:t>
      </w:r>
      <w:r w:rsidR="00C25C85" w:rsidRPr="00BC31E0">
        <w:rPr>
          <w:rFonts w:ascii="Cambria Math" w:hAnsi="Cambria Math"/>
          <w:vertAlign w:val="superscript"/>
        </w:rPr>
        <w:t>4</w:t>
      </w:r>
      <w:r w:rsidR="00C25C85" w:rsidRPr="00BC31E0">
        <w:rPr>
          <w:rFonts w:hint="eastAsia"/>
        </w:rPr>
        <w:t>)      (</w:t>
      </w:r>
      <w:r w:rsidR="00C25C85" w:rsidRPr="00BC31E0">
        <w:rPr>
          <w:rFonts w:ascii="ＭＳ ゴシック" w:eastAsia="ＭＳ ゴシック" w:hint="eastAsia"/>
          <w:b/>
        </w:rPr>
        <w:t>附属書</w:t>
      </w:r>
      <w:r w:rsidR="00C25C85" w:rsidRPr="00BC31E0">
        <w:rPr>
          <w:rFonts w:ascii="ＭＳ ゴシック" w:eastAsia="ＭＳ ゴシック"/>
          <w:b/>
        </w:rPr>
        <w:t>H 3</w:t>
      </w:r>
      <w:r w:rsidR="00C25C85" w:rsidRPr="00BC31E0">
        <w:rPr>
          <w:rFonts w:hint="eastAsia"/>
        </w:rPr>
        <w:t>)</w:t>
      </w:r>
    </w:p>
    <w:p w14:paraId="722001F4"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J</m:t>
            </m:r>
          </m:e>
          <m:sub>
            <m:r>
              <m:rPr>
                <m:sty m:val="p"/>
              </m:rPr>
              <w:rPr>
                <w:rFonts w:ascii="Cambria Math" w:hAnsi="Cambria Math"/>
                <w:szCs w:val="24"/>
              </w:rPr>
              <m:t>I</m:t>
            </m:r>
            <m:r>
              <w:rPr>
                <w:rFonts w:ascii="Cambria Math" w:hAnsi="Cambria Math"/>
                <w:szCs w:val="24"/>
              </w:rPr>
              <m:t>C</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限界</w:t>
      </w:r>
      <w:r w:rsidR="00C25C85" w:rsidRPr="00BC31E0">
        <w:t>J</w:t>
      </w:r>
      <w:r w:rsidR="00C25C85" w:rsidRPr="00BC31E0">
        <w:rPr>
          <w:rFonts w:hint="eastAsia"/>
        </w:rPr>
        <w:t>積分値</w:t>
      </w:r>
      <w:r w:rsidR="00C25C85" w:rsidRPr="00BC31E0">
        <w:rPr>
          <w:rFonts w:hint="eastAsia"/>
        </w:rPr>
        <w:t>(</w:t>
      </w:r>
      <w:r w:rsidR="00C25C85" w:rsidRPr="00BC31E0">
        <w:rPr>
          <w:rFonts w:ascii="Cambria Math" w:hAnsi="Cambria Math"/>
        </w:rPr>
        <w:t>MJ/m</w:t>
      </w:r>
      <w:r w:rsidR="00C25C85" w:rsidRPr="00BC31E0">
        <w:rPr>
          <w:rFonts w:ascii="Cambria Math" w:hAnsi="Cambria Math"/>
          <w:vertAlign w:val="superscript"/>
        </w:rPr>
        <w:t>2</w:t>
      </w:r>
      <w:r w:rsidR="00C25C85" w:rsidRPr="00BC31E0">
        <w:rPr>
          <w:rFonts w:hint="eastAsia"/>
        </w:rPr>
        <w:t>) (</w:t>
      </w:r>
      <w:r w:rsidR="00C25C85" w:rsidRPr="00BC31E0">
        <w:rPr>
          <w:rFonts w:ascii="ＭＳ ゴシック" w:eastAsia="ＭＳ ゴシック"/>
          <w:b/>
        </w:rPr>
        <w:t>5.2.9</w:t>
      </w:r>
      <w:r w:rsidR="00C25C85" w:rsidRPr="00BC31E0">
        <w:rPr>
          <w:rFonts w:hint="eastAsia"/>
        </w:rPr>
        <w:t>，</w:t>
      </w:r>
      <w:r w:rsidR="00C25C85" w:rsidRPr="00BC31E0">
        <w:rPr>
          <w:rFonts w:ascii="ＭＳ ゴシック" w:eastAsia="ＭＳ ゴシック" w:hint="eastAsia"/>
          <w:b/>
        </w:rPr>
        <w:t>附属書</w:t>
      </w:r>
      <w:r w:rsidR="00C25C85" w:rsidRPr="00BC31E0">
        <w:rPr>
          <w:rFonts w:ascii="ＭＳ ゴシック" w:eastAsia="ＭＳ ゴシック"/>
          <w:b/>
        </w:rPr>
        <w:t>C 6</w:t>
      </w:r>
      <w:r w:rsidR="00C25C85" w:rsidRPr="00BC31E0">
        <w:rPr>
          <w:rFonts w:hint="eastAsia"/>
        </w:rPr>
        <w:t>)</w:t>
      </w:r>
    </w:p>
    <w:p w14:paraId="50F7F03D" w14:textId="77777777" w:rsidR="00C25C85" w:rsidRPr="00BC31E0" w:rsidRDefault="00C25C85" w:rsidP="008234D1">
      <w:pPr>
        <w:tabs>
          <w:tab w:val="left" w:pos="1276"/>
        </w:tabs>
        <w:autoSpaceDE w:val="0"/>
        <w:autoSpaceDN w:val="0"/>
        <w:ind w:left="1588" w:hanging="1021"/>
      </w:pPr>
      <m:oMath>
        <m:r>
          <w:rPr>
            <w:rFonts w:ascii="Cambria Math" w:hAnsi="Cambria Math"/>
            <w:szCs w:val="24"/>
          </w:rPr>
          <m:t>K</m:t>
        </m:r>
      </m:oMath>
      <w:r w:rsidRPr="00BC31E0">
        <w:rPr>
          <w:szCs w:val="24"/>
        </w:rPr>
        <w:t xml:space="preserve"> </w:t>
      </w:r>
      <w:r w:rsidRPr="00BC31E0">
        <w:rPr>
          <w:rFonts w:hint="eastAsia"/>
          <w:szCs w:val="24"/>
        </w:rPr>
        <w:tab/>
      </w:r>
      <w:r w:rsidRPr="00BC31E0">
        <w:rPr>
          <w:rFonts w:hint="eastAsia"/>
        </w:rPr>
        <w:t>：</w:t>
      </w:r>
      <w:r w:rsidRPr="00BC31E0">
        <w:rPr>
          <w:rFonts w:hint="eastAsia"/>
        </w:rPr>
        <w:t xml:space="preserve"> </w:t>
      </w:r>
      <w:r w:rsidRPr="00BC31E0">
        <w:rPr>
          <w:rFonts w:hint="eastAsia"/>
        </w:rPr>
        <w:t>コーナー半径</w:t>
      </w:r>
      <m:oMath>
        <m:sSub>
          <m:sSubPr>
            <m:ctrlPr>
              <w:rPr>
                <w:rFonts w:ascii="Cambria Math" w:hAnsi="Cambria Math"/>
                <w:i/>
              </w:rPr>
            </m:ctrlPr>
          </m:sSubPr>
          <m:e>
            <m:r>
              <w:rPr>
                <w:rFonts w:ascii="Cambria Math" w:hAnsi="Cambria Math"/>
              </w:rPr>
              <m:t xml:space="preserve"> r</m:t>
            </m:r>
          </m:e>
          <m:sub>
            <m:r>
              <w:rPr>
                <w:rFonts w:ascii="Cambria Math" w:hAnsi="Cambria Math"/>
              </w:rPr>
              <m:t>2</m:t>
            </m:r>
          </m:sub>
        </m:sSub>
        <m:r>
          <w:rPr>
            <w:rFonts w:ascii="Cambria Math" w:hAnsi="Cambria Math"/>
          </w:rPr>
          <m:t xml:space="preserve"> </m:t>
        </m:r>
      </m:oMath>
      <w:r w:rsidRPr="00BC31E0">
        <w:rPr>
          <w:rFonts w:hint="eastAsia"/>
        </w:rPr>
        <w:t>の</w:t>
      </w:r>
      <w:r w:rsidRPr="00BC31E0">
        <w:rPr>
          <w:rFonts w:ascii="Cambria Math" w:hAnsi="Cambria Math"/>
        </w:rPr>
        <w:t>0.73</w:t>
      </w:r>
      <w:r w:rsidRPr="00BC31E0">
        <w:rPr>
          <w:rFonts w:hint="eastAsia"/>
        </w:rPr>
        <w:t>倍</w:t>
      </w:r>
      <w:r w:rsidRPr="00BC31E0">
        <w:rPr>
          <w:rFonts w:hint="eastAsia"/>
        </w:rPr>
        <w:t>(</w:t>
      </w:r>
      <w:r w:rsidRPr="00BC31E0">
        <w:rPr>
          <w:rFonts w:ascii="Cambria Math" w:hAnsi="Cambria Math"/>
        </w:rPr>
        <w:t>mm</w:t>
      </w:r>
      <w:r w:rsidRPr="00BC31E0">
        <w:rPr>
          <w:rFonts w:hint="eastAsia"/>
        </w:rPr>
        <w:t>) (</w:t>
      </w:r>
      <w:r w:rsidRPr="00BC31E0">
        <w:rPr>
          <w:rFonts w:ascii="ＭＳ ゴシック" w:eastAsia="ＭＳ ゴシック" w:hint="eastAsia"/>
          <w:b/>
        </w:rPr>
        <w:t>附属書</w:t>
      </w:r>
      <w:r w:rsidRPr="00BC31E0">
        <w:rPr>
          <w:rFonts w:ascii="ＭＳ ゴシック" w:eastAsia="ＭＳ ゴシック"/>
          <w:b/>
        </w:rPr>
        <w:t>E</w:t>
      </w:r>
      <w:r w:rsidRPr="00BC31E0">
        <w:rPr>
          <w:rFonts w:ascii="ＭＳ ゴシック" w:eastAsia="ＭＳ ゴシック" w:hint="eastAsia"/>
          <w:b/>
        </w:rPr>
        <w:t xml:space="preserve"> </w:t>
      </w:r>
      <w:r w:rsidRPr="00BC31E0">
        <w:rPr>
          <w:rFonts w:ascii="ＭＳ ゴシック" w:eastAsia="ＭＳ ゴシック"/>
          <w:b/>
        </w:rPr>
        <w:t>6.2</w:t>
      </w:r>
      <w:r w:rsidRPr="00BC31E0">
        <w:rPr>
          <w:rFonts w:hint="eastAsia"/>
        </w:rPr>
        <w:t>)</w:t>
      </w:r>
    </w:p>
    <w:p w14:paraId="52C84514" w14:textId="77777777" w:rsidR="00C25C85" w:rsidRPr="00BC31E0" w:rsidRDefault="00C25C85" w:rsidP="008234D1">
      <w:pPr>
        <w:tabs>
          <w:tab w:val="left" w:pos="1276"/>
        </w:tabs>
        <w:autoSpaceDE w:val="0"/>
        <w:autoSpaceDN w:val="0"/>
        <w:ind w:left="1588" w:hanging="1021"/>
      </w:pPr>
      <w:r w:rsidRPr="00BC31E0">
        <w:rPr>
          <w:rFonts w:hint="eastAsia"/>
        </w:rPr>
        <w:tab/>
      </w:r>
      <w:r w:rsidRPr="00BC31E0">
        <w:rPr>
          <w:rFonts w:hint="eastAsia"/>
        </w:rPr>
        <w:t>：</w:t>
      </w:r>
      <w:r w:rsidRPr="00BC31E0">
        <w:rPr>
          <w:rFonts w:hint="eastAsia"/>
        </w:rPr>
        <w:t xml:space="preserve"> </w:t>
      </w:r>
      <w:r w:rsidRPr="00BC31E0">
        <w:rPr>
          <w:rFonts w:hint="eastAsia"/>
        </w:rPr>
        <w:t>真応力－真ひずみ曲線の回帰曲線における係数</w:t>
      </w:r>
      <w:r w:rsidRPr="00BC31E0">
        <w:rPr>
          <w:rFonts w:hint="eastAsia"/>
        </w:rPr>
        <w:t xml:space="preserve"> (</w:t>
      </w:r>
      <w:r w:rsidRPr="00BC31E0">
        <w:rPr>
          <w:rFonts w:ascii="ＭＳ ゴシック" w:eastAsia="ＭＳ ゴシック" w:hint="eastAsia"/>
          <w:b/>
        </w:rPr>
        <w:t>附属書D 2</w:t>
      </w:r>
      <w:r w:rsidRPr="00BC31E0">
        <w:rPr>
          <w:rFonts w:hint="eastAsia"/>
        </w:rPr>
        <w:t>)</w:t>
      </w:r>
    </w:p>
    <w:p w14:paraId="680EDFD6" w14:textId="77777777" w:rsidR="00C25C85" w:rsidRPr="00BC31E0" w:rsidRDefault="00C25C85" w:rsidP="008234D1">
      <w:pPr>
        <w:tabs>
          <w:tab w:val="left" w:pos="1276"/>
        </w:tabs>
        <w:autoSpaceDE w:val="0"/>
        <w:autoSpaceDN w:val="0"/>
        <w:ind w:left="1588" w:hanging="1021"/>
        <w:rPr>
          <w:rFonts w:asciiTheme="minorHAnsi" w:hAnsiTheme="minorHAnsi"/>
        </w:rPr>
      </w:pPr>
      <w:r w:rsidRPr="00BC31E0">
        <w:rPr>
          <w:rFonts w:hint="eastAsia"/>
        </w:rPr>
        <w:tab/>
      </w:r>
      <w:r w:rsidRPr="00BC31E0">
        <w:rPr>
          <w:rFonts w:asciiTheme="minorHAnsi"/>
        </w:rPr>
        <w:t>：</w:t>
      </w:r>
      <w:r w:rsidRPr="00BC31E0">
        <w:rPr>
          <w:rFonts w:asciiTheme="minorHAnsi" w:hint="eastAsia"/>
        </w:rPr>
        <w:t xml:space="preserve"> </w:t>
      </w:r>
      <w:r w:rsidRPr="00BC31E0">
        <w:rPr>
          <w:rFonts w:asciiTheme="minorHAnsi" w:eastAsiaTheme="minorEastAsia" w:hAnsiTheme="minorEastAsia"/>
        </w:rPr>
        <w:t>一次＋二次＋ピーク相当応力範囲と一次＋二次相当応力範囲の比</w:t>
      </w:r>
      <w:r w:rsidRPr="00BC31E0">
        <w:rPr>
          <w:rFonts w:asciiTheme="minorHAnsi" w:eastAsiaTheme="minorEastAsia" w:hAnsiTheme="minorHAnsi"/>
        </w:rPr>
        <w:t xml:space="preserve"> (</w:t>
      </w:r>
      <w:r w:rsidRPr="00BC31E0">
        <w:rPr>
          <w:rFonts w:asciiTheme="majorEastAsia" w:eastAsiaTheme="majorEastAsia" w:hAnsiTheme="majorEastAsia"/>
          <w:b/>
        </w:rPr>
        <w:t>附属書J 1</w:t>
      </w:r>
      <w:r w:rsidRPr="00BC31E0">
        <w:rPr>
          <w:rFonts w:asciiTheme="minorHAnsi" w:eastAsiaTheme="minorEastAsia" w:hAnsiTheme="minorHAnsi"/>
        </w:rPr>
        <w:t>)</w:t>
      </w:r>
    </w:p>
    <w:bookmarkStart w:id="133" w:name="_Hlk52197889"/>
    <w:p w14:paraId="1DAE1133"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CSS</m:t>
            </m:r>
          </m:sub>
        </m:sSub>
      </m:oMath>
      <w:r w:rsidR="00C25C85" w:rsidRPr="00BC31E0">
        <w:rPr>
          <w:rFonts w:hint="eastAsia"/>
          <w:szCs w:val="24"/>
        </w:rPr>
        <w:tab/>
      </w:r>
      <w:r w:rsidR="00C25C85" w:rsidRPr="00BC31E0">
        <w:rPr>
          <w:rFonts w:hint="eastAsia"/>
        </w:rPr>
        <w:t>：</w:t>
      </w:r>
      <w:r w:rsidR="00C25C85" w:rsidRPr="00BC31E0">
        <w:rPr>
          <w:rFonts w:hint="eastAsia"/>
        </w:rPr>
        <w:t xml:space="preserve"> </w:t>
      </w:r>
      <w:r w:rsidR="00C25C85" w:rsidRPr="00BC31E0">
        <w:rPr>
          <w:rFonts w:hint="eastAsia"/>
        </w:rPr>
        <w:t>繰返し応力－ひずみ曲線の材料特性値</w:t>
      </w:r>
      <w:r w:rsidR="00C25C85" w:rsidRPr="00BC31E0">
        <w:rPr>
          <w:rFonts w:hint="eastAsia"/>
        </w:rPr>
        <w:t>(</w:t>
      </w:r>
      <w:r w:rsidR="00C25C85" w:rsidRPr="00BC31E0">
        <w:rPr>
          <w:rFonts w:ascii="Cambria Math" w:hAnsi="Cambria Math"/>
        </w:rPr>
        <w:t>MPa</w:t>
      </w:r>
      <w:r w:rsidR="00C25C85" w:rsidRPr="00BC31E0">
        <w:rPr>
          <w:rFonts w:hint="eastAsia"/>
        </w:rPr>
        <w:t>) (</w:t>
      </w:r>
      <w:r w:rsidR="00C25C85" w:rsidRPr="00BC31E0">
        <w:rPr>
          <w:rFonts w:ascii="ＭＳ ゴシック" w:eastAsia="ＭＳ ゴシック" w:hAnsi="ＭＳ ゴシック" w:hint="eastAsia"/>
          <w:b/>
        </w:rPr>
        <w:t>附属書D 3</w:t>
      </w:r>
      <w:r w:rsidR="00C25C85" w:rsidRPr="00BC31E0">
        <w:rPr>
          <w:rFonts w:hint="eastAsia"/>
        </w:rPr>
        <w:t>)</w:t>
      </w:r>
    </w:p>
    <w:bookmarkEnd w:id="133"/>
    <w:p w14:paraId="39D6A00E"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K</m:t>
            </m:r>
          </m:e>
          <m:sub>
            <m:r>
              <w:rPr>
                <w:rFonts w:ascii="Cambria Math" w:hAnsi="Cambria Math" w:hint="eastAsia"/>
                <w:szCs w:val="24"/>
              </w:rPr>
              <m:t>e</m:t>
            </m:r>
          </m:sub>
        </m:sSub>
      </m:oMath>
      <w:r w:rsidR="00C25C85" w:rsidRPr="00BC31E0">
        <w:rPr>
          <w:rFonts w:hint="eastAsia"/>
          <w:szCs w:val="24"/>
        </w:rPr>
        <w:tab/>
      </w:r>
      <w:r w:rsidR="00C25C85" w:rsidRPr="00BC31E0">
        <w:rPr>
          <w:rFonts w:hint="eastAsia"/>
        </w:rPr>
        <w:t>：</w:t>
      </w:r>
      <w:r w:rsidR="00C25C85" w:rsidRPr="00BC31E0">
        <w:rPr>
          <w:rFonts w:hint="eastAsia"/>
        </w:rPr>
        <w:t xml:space="preserve"> </w:t>
      </w:r>
      <w:r w:rsidR="00C25C85" w:rsidRPr="00BC31E0">
        <w:rPr>
          <w:rFonts w:hint="eastAsia"/>
        </w:rPr>
        <w:t>簡易弾塑性解析に用いる係数</w:t>
      </w:r>
      <w:r w:rsidR="00C25C85" w:rsidRPr="00BC31E0">
        <w:rPr>
          <w:rFonts w:hint="eastAsia"/>
        </w:rPr>
        <w:t>(</w:t>
      </w:r>
      <w:r w:rsidR="00C25C85" w:rsidRPr="00BC31E0">
        <w:rPr>
          <w:rFonts w:asciiTheme="majorEastAsia" w:eastAsiaTheme="majorEastAsia" w:hAnsiTheme="majorEastAsia" w:hint="eastAsia"/>
          <w:b/>
          <w:bCs/>
        </w:rPr>
        <w:t>6.3.5</w:t>
      </w:r>
      <w:r w:rsidR="00C25C85" w:rsidRPr="00BC31E0">
        <w:rPr>
          <w:rFonts w:hint="eastAsia"/>
        </w:rPr>
        <w:t>，</w:t>
      </w:r>
      <w:r w:rsidR="00C25C85" w:rsidRPr="00BC31E0">
        <w:rPr>
          <w:rFonts w:ascii="ＭＳ ゴシック" w:eastAsia="ＭＳ ゴシック" w:hAnsi="ＭＳ ゴシック" w:hint="eastAsia"/>
          <w:b/>
          <w:bCs/>
        </w:rPr>
        <w:t>7.8.3</w:t>
      </w:r>
      <w:r w:rsidR="00C25C85" w:rsidRPr="00BC31E0">
        <w:rPr>
          <w:rFonts w:hint="eastAsia"/>
        </w:rPr>
        <w:t>，</w:t>
      </w:r>
      <w:r w:rsidR="00C25C85" w:rsidRPr="00BC31E0">
        <w:rPr>
          <w:rFonts w:ascii="ＭＳ ゴシック" w:eastAsia="ＭＳ ゴシック" w:hAnsi="ＭＳ ゴシック" w:hint="eastAsia"/>
          <w:b/>
        </w:rPr>
        <w:t xml:space="preserve">附属書J </w:t>
      </w:r>
      <w:r w:rsidR="00C25C85" w:rsidRPr="00BC31E0">
        <w:rPr>
          <w:rFonts w:ascii="ＭＳ ゴシック" w:eastAsia="ＭＳ ゴシック" w:hAnsi="ＭＳ ゴシック"/>
          <w:b/>
        </w:rPr>
        <w:t>1</w:t>
      </w:r>
      <w:r w:rsidR="00C25C85" w:rsidRPr="00BC31E0">
        <w:rPr>
          <w:rFonts w:hint="eastAsia"/>
        </w:rPr>
        <w:t>)</w:t>
      </w:r>
    </w:p>
    <w:p w14:paraId="79C6FA58"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K</m:t>
            </m:r>
          </m:e>
          <m:sub>
            <m:r>
              <w:rPr>
                <w:rFonts w:ascii="Cambria Math" w:hAnsi="Cambria Math"/>
              </w:rPr>
              <m:t>f</m:t>
            </m:r>
          </m:sub>
        </m:sSub>
      </m:oMath>
      <w:r w:rsidR="00C25C85" w:rsidRPr="00BC31E0">
        <w:t xml:space="preserve"> </w:t>
      </w:r>
      <w:r w:rsidR="00C25C85" w:rsidRPr="00BC31E0">
        <w:rPr>
          <w:rFonts w:hint="eastAsia"/>
        </w:rPr>
        <w:tab/>
      </w:r>
      <w:r w:rsidR="00C25C85" w:rsidRPr="00BC31E0">
        <w:rPr>
          <w:rFonts w:hint="eastAsia"/>
        </w:rPr>
        <w:t>：</w:t>
      </w:r>
      <w:r w:rsidR="00C25C85" w:rsidRPr="00BC31E0">
        <w:rPr>
          <w:rFonts w:hint="eastAsia"/>
        </w:rPr>
        <w:t xml:space="preserve"> </w:t>
      </w:r>
      <w:r w:rsidR="00C25C85" w:rsidRPr="00BC31E0">
        <w:rPr>
          <w:rFonts w:hint="eastAsia"/>
        </w:rPr>
        <w:t>疲労強度減少係数</w:t>
      </w:r>
      <w:r w:rsidR="00C25C85" w:rsidRPr="00BC31E0">
        <w:rPr>
          <w:rFonts w:hint="eastAsia"/>
        </w:rPr>
        <w:t xml:space="preserve"> (</w:t>
      </w:r>
      <w:r w:rsidR="00C25C85" w:rsidRPr="00BC31E0">
        <w:rPr>
          <w:rFonts w:asciiTheme="majorEastAsia" w:eastAsiaTheme="majorEastAsia" w:hAnsiTheme="majorEastAsia" w:hint="eastAsia"/>
          <w:b/>
        </w:rPr>
        <w:t>附属書L 3</w:t>
      </w:r>
      <w:r w:rsidR="00C25C85" w:rsidRPr="00BC31E0">
        <w:rPr>
          <w:rFonts w:hint="eastAsia"/>
        </w:rPr>
        <w:t>)</w:t>
      </w:r>
    </w:p>
    <w:p w14:paraId="617F0A30"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K</m:t>
            </m:r>
          </m:e>
          <m:sub>
            <m:r>
              <m:rPr>
                <m:sty m:val="p"/>
              </m:rPr>
              <w:rPr>
                <w:rFonts w:ascii="Cambria Math" w:hAnsi="Cambria Math"/>
                <w:szCs w:val="24"/>
              </w:rPr>
              <m:t>I</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亀裂の応力拡大係数</w:t>
      </w:r>
      <w:r w:rsidR="00C25C85" w:rsidRPr="00BC31E0">
        <w:rPr>
          <w:rFonts w:hint="eastAsia"/>
        </w:rPr>
        <w:t>(</w:t>
      </w:r>
      <m:oMath>
        <m:r>
          <m:rPr>
            <m:nor/>
          </m:rPr>
          <w:rPr>
            <w:rFonts w:ascii="Cambria Math" w:hAnsi="Cambria Math"/>
          </w:rPr>
          <m:t>MPa</m:t>
        </m:r>
        <m:rad>
          <m:radPr>
            <m:degHide m:val="1"/>
            <m:ctrlPr>
              <w:rPr>
                <w:rFonts w:ascii="Cambria Math" w:hAnsi="Times New Roman"/>
              </w:rPr>
            </m:ctrlPr>
          </m:radPr>
          <m:deg/>
          <m:e>
            <m:r>
              <m:rPr>
                <m:nor/>
              </m:rPr>
              <w:rPr>
                <w:rFonts w:ascii="Cambria Math" w:hAnsi="Cambria Math"/>
              </w:rPr>
              <m:t>m</m:t>
            </m:r>
          </m:e>
        </m:rad>
      </m:oMath>
      <w:r w:rsidR="00C25C85" w:rsidRPr="00BC31E0">
        <w:rPr>
          <w:rFonts w:hint="eastAsia"/>
        </w:rPr>
        <w:t>) (</w:t>
      </w:r>
      <w:r w:rsidR="00C25C85" w:rsidRPr="00BC31E0">
        <w:rPr>
          <w:rFonts w:ascii="ＭＳ ゴシック" w:eastAsia="ＭＳ ゴシック"/>
          <w:b/>
        </w:rPr>
        <w:t>6.4</w:t>
      </w:r>
      <w:r w:rsidR="00C25C85" w:rsidRPr="00BC31E0">
        <w:rPr>
          <w:rFonts w:ascii="ＭＳ ゴシック" w:eastAsia="ＭＳ ゴシック" w:hint="eastAsia"/>
          <w:b/>
        </w:rPr>
        <w:t>，附属書C</w:t>
      </w:r>
      <w:r w:rsidR="00C25C85" w:rsidRPr="00BC31E0">
        <w:rPr>
          <w:rFonts w:ascii="ＭＳ ゴシック" w:eastAsia="ＭＳ ゴシック"/>
          <w:b/>
        </w:rPr>
        <w:t xml:space="preserve"> 4.1</w:t>
      </w:r>
      <w:r w:rsidR="00C25C85" w:rsidRPr="00BC31E0">
        <w:rPr>
          <w:rFonts w:hint="eastAsia"/>
        </w:rPr>
        <w:t>)</w:t>
      </w:r>
    </w:p>
    <w:p w14:paraId="61B6B5F7"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K</m:t>
            </m:r>
          </m:e>
          <m:sub>
            <m:r>
              <m:rPr>
                <m:sty m:val="p"/>
              </m:rPr>
              <w:rPr>
                <w:rFonts w:ascii="Cambria Math" w:hAnsi="Cambria Math"/>
                <w:szCs w:val="24"/>
              </w:rPr>
              <m:t>I</m:t>
            </m:r>
            <m:r>
              <w:rPr>
                <w:rFonts w:ascii="Cambria Math" w:hAnsi="Cambria Math" w:hint="eastAsia"/>
                <w:szCs w:val="24"/>
              </w:rPr>
              <m:t>A</m:t>
            </m:r>
          </m:sub>
        </m:sSub>
      </m:oMath>
      <w:r w:rsidR="00C25C85" w:rsidRPr="00BC31E0">
        <w:rPr>
          <w:rFonts w:hint="eastAsia"/>
        </w:rPr>
        <w:tab/>
      </w:r>
      <w:r w:rsidR="00C25C85" w:rsidRPr="00BC31E0">
        <w:rPr>
          <w:rFonts w:hint="eastAsia"/>
        </w:rPr>
        <w:t>：</w:t>
      </w:r>
      <w:r w:rsidR="00C25C85" w:rsidRPr="00BC31E0">
        <w:rPr>
          <w:rFonts w:hint="eastAsia"/>
        </w:rPr>
        <w:t xml:space="preserve"> </w:t>
      </w:r>
      <w:r w:rsidR="00C25C85" w:rsidRPr="00BC31E0">
        <w:rPr>
          <w:rFonts w:hint="eastAsia"/>
        </w:rPr>
        <w:t>設計圧力による周方向応力に対する亀裂の応力拡大係数</w:t>
      </w:r>
      <w:r w:rsidR="00C25C85" w:rsidRPr="00BC31E0">
        <w:rPr>
          <w:rFonts w:hint="eastAsia"/>
        </w:rPr>
        <w:t>(</w:t>
      </w:r>
      <m:oMath>
        <m:r>
          <m:rPr>
            <m:nor/>
          </m:rPr>
          <w:rPr>
            <w:rFonts w:ascii="Cambria Math" w:hAnsi="Cambria Math"/>
          </w:rPr>
          <m:t>MPa</m:t>
        </m:r>
        <m:rad>
          <m:radPr>
            <m:degHide m:val="1"/>
            <m:ctrlPr>
              <w:rPr>
                <w:rFonts w:ascii="Cambria Math" w:hAnsi="Times New Roman"/>
              </w:rPr>
            </m:ctrlPr>
          </m:radPr>
          <m:deg/>
          <m:e>
            <m:r>
              <m:rPr>
                <m:nor/>
              </m:rPr>
              <w:rPr>
                <w:rFonts w:ascii="Cambria Math" w:hAnsi="Cambria Math"/>
              </w:rPr>
              <m:t>m</m:t>
            </m:r>
          </m:e>
        </m:rad>
      </m:oMath>
      <w:r w:rsidR="00C25C85" w:rsidRPr="00BC31E0">
        <w:rPr>
          <w:rFonts w:hint="eastAsia"/>
        </w:rPr>
        <w:t>) (</w:t>
      </w:r>
      <w:r w:rsidR="00C25C85" w:rsidRPr="00BC31E0">
        <w:rPr>
          <w:rFonts w:asciiTheme="majorEastAsia" w:eastAsiaTheme="majorEastAsia" w:hAnsiTheme="majorEastAsia" w:hint="eastAsia"/>
          <w:b/>
        </w:rPr>
        <w:t>9.3.6</w:t>
      </w:r>
      <w:r w:rsidR="00C25C85" w:rsidRPr="00BC31E0">
        <w:rPr>
          <w:rFonts w:hint="eastAsia"/>
        </w:rPr>
        <w:t>)</w:t>
      </w:r>
    </w:p>
    <w:p w14:paraId="396FBF77"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K</m:t>
            </m:r>
          </m:e>
          <m:sub>
            <m:r>
              <m:rPr>
                <m:sty m:val="p"/>
              </m:rPr>
              <w:rPr>
                <w:rFonts w:ascii="Cambria Math" w:hAnsi="Cambria Math" w:hint="eastAsia"/>
                <w:szCs w:val="24"/>
              </w:rPr>
              <m:t>I</m:t>
            </m:r>
            <m:r>
              <w:rPr>
                <w:rFonts w:ascii="Cambria Math" w:hAnsi="Cambria Math" w:hint="eastAsia"/>
                <w:szCs w:val="24"/>
              </w:rPr>
              <m:t>H</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水素誘起割れに対する下限界応力拡大係数</w:t>
      </w:r>
      <w:r w:rsidR="00C25C85" w:rsidRPr="00BC31E0">
        <w:rPr>
          <w:rFonts w:hint="eastAsia"/>
        </w:rPr>
        <w:t>(</w:t>
      </w:r>
      <m:oMath>
        <m:r>
          <m:rPr>
            <m:nor/>
          </m:rPr>
          <w:rPr>
            <w:rFonts w:ascii="Cambria Math" w:hAnsi="Cambria Math"/>
          </w:rPr>
          <m:t>MPa</m:t>
        </m:r>
        <m:rad>
          <m:radPr>
            <m:degHide m:val="1"/>
            <m:ctrlPr>
              <w:rPr>
                <w:rFonts w:ascii="Cambria Math" w:hAnsi="Times New Roman"/>
              </w:rPr>
            </m:ctrlPr>
          </m:radPr>
          <m:deg/>
          <m:e>
            <m:r>
              <m:rPr>
                <m:nor/>
              </m:rPr>
              <w:rPr>
                <w:rFonts w:ascii="Cambria Math" w:hAnsi="Cambria Math"/>
              </w:rPr>
              <m:t>m</m:t>
            </m:r>
          </m:e>
        </m:rad>
      </m:oMath>
      <w:r w:rsidR="00C25C85" w:rsidRPr="00BC31E0">
        <w:rPr>
          <w:rFonts w:hint="eastAsia"/>
        </w:rPr>
        <w:t>) (</w:t>
      </w:r>
      <w:r w:rsidR="00C25C85" w:rsidRPr="00BC31E0">
        <w:rPr>
          <w:rFonts w:ascii="ＭＳ ゴシック" w:eastAsia="ＭＳ ゴシック"/>
          <w:b/>
        </w:rPr>
        <w:t>6.</w:t>
      </w:r>
      <w:r w:rsidR="00C25C85" w:rsidRPr="00BC31E0">
        <w:rPr>
          <w:rFonts w:ascii="ＭＳ ゴシック" w:eastAsia="ＭＳ ゴシック" w:hint="eastAsia"/>
          <w:b/>
        </w:rPr>
        <w:t>13</w:t>
      </w:r>
      <w:r w:rsidR="00C25C85" w:rsidRPr="00BC31E0">
        <w:rPr>
          <w:rFonts w:ascii="ＭＳ ゴシック" w:eastAsia="ＭＳ ゴシック"/>
          <w:b/>
        </w:rPr>
        <w:t>.</w:t>
      </w:r>
      <w:r w:rsidR="00C25C85" w:rsidRPr="00BC31E0">
        <w:rPr>
          <w:rFonts w:ascii="ＭＳ ゴシック" w:eastAsia="ＭＳ ゴシック" w:hint="eastAsia"/>
          <w:b/>
        </w:rPr>
        <w:t>3</w:t>
      </w:r>
      <w:r w:rsidR="00C25C85" w:rsidRPr="00BC31E0">
        <w:rPr>
          <w:rFonts w:hint="eastAsia"/>
        </w:rPr>
        <w:t>)</w:t>
      </w:r>
    </w:p>
    <w:p w14:paraId="0F10FFF1"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K</m:t>
            </m:r>
          </m:e>
          <m:sub>
            <m:r>
              <m:rPr>
                <m:sty m:val="p"/>
              </m:rPr>
              <w:rPr>
                <w:rFonts w:ascii="Cambria Math" w:hAnsi="Cambria Math"/>
                <w:szCs w:val="24"/>
              </w:rPr>
              <m:t>I</m:t>
            </m:r>
            <m:r>
              <w:rPr>
                <w:rFonts w:ascii="Cambria Math" w:hAnsi="Cambria Math"/>
                <w:szCs w:val="24"/>
              </w:rPr>
              <m:t>corr,n</m:t>
            </m:r>
          </m:sub>
        </m:sSub>
      </m:oMath>
      <w:r w:rsidR="00C25C85" w:rsidRPr="00BC31E0">
        <w:rPr>
          <w:rFonts w:hint="eastAsia"/>
          <w:szCs w:val="24"/>
          <w:vertAlign w:val="subscript"/>
        </w:rPr>
        <w:tab/>
      </w:r>
      <w:r w:rsidR="00C25C85" w:rsidRPr="00BC31E0">
        <w:rPr>
          <w:rFonts w:hint="eastAsia"/>
          <w:szCs w:val="24"/>
        </w:rPr>
        <w:t>：</w:t>
      </w:r>
      <w:r w:rsidR="00C25C85" w:rsidRPr="00BC31E0">
        <w:rPr>
          <w:rFonts w:hint="eastAsia"/>
          <w:szCs w:val="24"/>
        </w:rPr>
        <w:t xml:space="preserve"> </w:t>
      </w:r>
      <w:r w:rsidR="00C25C85" w:rsidRPr="00BC31E0">
        <w:rPr>
          <w:rFonts w:hint="eastAsia"/>
          <w:szCs w:val="24"/>
        </w:rPr>
        <w:t>領域</w:t>
      </w:r>
      <m:oMath>
        <m:r>
          <w:rPr>
            <w:rFonts w:ascii="Cambria Math" w:hAnsi="Cambria Math" w:hint="eastAsia"/>
            <w:szCs w:val="24"/>
          </w:rPr>
          <m:t>n</m:t>
        </m:r>
      </m:oMath>
      <w:r w:rsidR="00C25C85" w:rsidRPr="00BC31E0">
        <w:rPr>
          <w:rFonts w:hint="eastAsia"/>
          <w:szCs w:val="24"/>
        </w:rPr>
        <w:t>における応力拡大係数</w:t>
      </w:r>
      <w:r w:rsidR="00C25C85" w:rsidRPr="00BC31E0">
        <w:rPr>
          <w:rFonts w:hint="eastAsia"/>
        </w:rPr>
        <w:t>(</w:t>
      </w:r>
      <m:oMath>
        <m:r>
          <m:rPr>
            <m:nor/>
          </m:rPr>
          <w:rPr>
            <w:rFonts w:ascii="Cambria Math" w:hAnsi="Cambria Math"/>
          </w:rPr>
          <m:t>MPa</m:t>
        </m:r>
        <m:rad>
          <m:radPr>
            <m:degHide m:val="1"/>
            <m:ctrlPr>
              <w:rPr>
                <w:rFonts w:ascii="Cambria Math" w:hAnsi="Times New Roman"/>
              </w:rPr>
            </m:ctrlPr>
          </m:radPr>
          <m:deg/>
          <m:e>
            <m:r>
              <m:rPr>
                <m:nor/>
              </m:rPr>
              <w:rPr>
                <w:rFonts w:ascii="Cambria Math" w:hAnsi="Cambria Math"/>
              </w:rPr>
              <m:t>m</m:t>
            </m:r>
          </m:e>
        </m:rad>
      </m:oMath>
      <w:r w:rsidR="00C25C85" w:rsidRPr="00BC31E0">
        <w:rPr>
          <w:rFonts w:hint="eastAsia"/>
        </w:rPr>
        <w:t>) (</w:t>
      </w:r>
      <w:r w:rsidR="00C25C85" w:rsidRPr="00BC31E0">
        <w:rPr>
          <w:rFonts w:ascii="ＭＳ ゴシック" w:eastAsia="ＭＳ ゴシック" w:hint="eastAsia"/>
          <w:b/>
        </w:rPr>
        <w:t>附属書C</w:t>
      </w:r>
      <w:r w:rsidR="00C25C85" w:rsidRPr="00BC31E0">
        <w:rPr>
          <w:rFonts w:ascii="ＭＳ ゴシック" w:eastAsia="ＭＳ ゴシック"/>
          <w:b/>
        </w:rPr>
        <w:t xml:space="preserve"> </w:t>
      </w:r>
      <w:r w:rsidR="00C25C85" w:rsidRPr="00BC31E0">
        <w:rPr>
          <w:rFonts w:ascii="ＭＳ ゴシック" w:eastAsia="ＭＳ ゴシック" w:hint="eastAsia"/>
          <w:b/>
        </w:rPr>
        <w:t>4.</w:t>
      </w:r>
      <w:r w:rsidR="00C25C85" w:rsidRPr="00BC31E0">
        <w:rPr>
          <w:rFonts w:ascii="ＭＳ ゴシック" w:eastAsia="ＭＳ ゴシック"/>
          <w:b/>
        </w:rPr>
        <w:t>3</w:t>
      </w:r>
      <w:r w:rsidR="00C25C85" w:rsidRPr="00BC31E0">
        <w:rPr>
          <w:rFonts w:eastAsia="ＭＳ ゴシック"/>
        </w:rPr>
        <w:t>)</w:t>
      </w:r>
    </w:p>
    <w:bookmarkStart w:id="134" w:name="_Hlk52182162"/>
    <w:p w14:paraId="1A376D83" w14:textId="77777777" w:rsidR="00C25C85" w:rsidRPr="00BC31E0" w:rsidRDefault="00A51873" w:rsidP="008234D1">
      <w:pPr>
        <w:tabs>
          <w:tab w:val="left" w:pos="1276"/>
        </w:tabs>
        <w:autoSpaceDE w:val="0"/>
        <w:autoSpaceDN w:val="0"/>
        <w:ind w:left="1588" w:hanging="1021"/>
      </w:pPr>
      <m:oMath>
        <m:sSubSup>
          <m:sSubSupPr>
            <m:ctrlPr>
              <w:rPr>
                <w:rFonts w:ascii="Cambria Math" w:hAnsi="Cambria Math"/>
                <w:i/>
                <w:szCs w:val="24"/>
              </w:rPr>
            </m:ctrlPr>
          </m:sSubSupPr>
          <m:e>
            <m:r>
              <w:rPr>
                <w:rFonts w:ascii="Cambria Math" w:hAnsi="Cambria Math"/>
                <w:szCs w:val="24"/>
              </w:rPr>
              <m:t>K</m:t>
            </m:r>
          </m:e>
          <m:sub>
            <m:r>
              <m:rPr>
                <m:sty m:val="p"/>
              </m:rPr>
              <w:rPr>
                <w:rFonts w:ascii="Cambria Math" w:hAnsi="Cambria Math"/>
                <w:szCs w:val="24"/>
              </w:rPr>
              <m:t>Imax</m:t>
            </m:r>
          </m:sub>
          <m:sup>
            <m:r>
              <w:rPr>
                <w:rFonts w:ascii="Cambria Math" w:hAnsi="Cambria Math"/>
                <w:szCs w:val="24"/>
              </w:rPr>
              <m:t>*</m:t>
            </m:r>
          </m:sup>
        </m:sSubSup>
      </m:oMath>
      <w:r w:rsidR="00C25C85" w:rsidRPr="00BC31E0">
        <w:rPr>
          <w:vertAlign w:val="subscript"/>
        </w:rPr>
        <w:tab/>
      </w:r>
      <w:bookmarkEnd w:id="134"/>
      <w:r w:rsidR="00C25C85" w:rsidRPr="00BC31E0">
        <w:rPr>
          <w:rFonts w:hint="eastAsia"/>
        </w:rPr>
        <w:t>：</w:t>
      </w:r>
      <w:r w:rsidR="00C25C85" w:rsidRPr="00BC31E0">
        <w:rPr>
          <w:rFonts w:hint="eastAsia"/>
        </w:rPr>
        <w:t xml:space="preserve"> </w:t>
      </w:r>
      <w:r w:rsidR="00C25C85" w:rsidRPr="00BC31E0">
        <w:rPr>
          <w:rFonts w:hint="eastAsia"/>
        </w:rPr>
        <w:t>残留応力を除く繰返し応力負荷による応力拡大係数の最大値</w:t>
      </w:r>
      <w:r w:rsidR="00C25C85" w:rsidRPr="00BC31E0">
        <w:rPr>
          <w:rFonts w:hint="eastAsia"/>
        </w:rPr>
        <w:t>(</w:t>
      </w:r>
      <m:oMath>
        <m:r>
          <m:rPr>
            <m:nor/>
          </m:rPr>
          <w:rPr>
            <w:rFonts w:ascii="Cambria Math" w:hAnsi="Cambria Math"/>
          </w:rPr>
          <m:t>MPa</m:t>
        </m:r>
        <m:rad>
          <m:radPr>
            <m:degHide m:val="1"/>
            <m:ctrlPr>
              <w:rPr>
                <w:rFonts w:ascii="Cambria Math" w:hAnsi="Times New Roman"/>
              </w:rPr>
            </m:ctrlPr>
          </m:radPr>
          <m:deg/>
          <m:e>
            <m:r>
              <m:rPr>
                <m:nor/>
              </m:rPr>
              <w:rPr>
                <w:rFonts w:ascii="Cambria Math" w:hAnsi="Cambria Math"/>
              </w:rPr>
              <m:t>m</m:t>
            </m:r>
          </m:e>
        </m:rad>
      </m:oMath>
      <w:r w:rsidR="00C25C85" w:rsidRPr="00BC31E0">
        <w:rPr>
          <w:rFonts w:hint="eastAsia"/>
        </w:rPr>
        <w:t>) (</w:t>
      </w:r>
      <w:r w:rsidR="00C25C85" w:rsidRPr="00BC31E0">
        <w:rPr>
          <w:rFonts w:ascii="ＭＳ ゴシック" w:eastAsia="ＭＳ ゴシック" w:hint="eastAsia"/>
          <w:b/>
        </w:rPr>
        <w:t>6.4.5</w:t>
      </w:r>
      <w:r w:rsidR="00C25C85" w:rsidRPr="00BC31E0">
        <w:rPr>
          <w:rFonts w:asciiTheme="minorEastAsia" w:eastAsiaTheme="minorEastAsia" w:hAnsiTheme="minorEastAsia" w:hint="eastAsia"/>
        </w:rPr>
        <w:t>，</w:t>
      </w:r>
      <w:r w:rsidR="00C25C85" w:rsidRPr="00BC31E0">
        <w:rPr>
          <w:rFonts w:ascii="ＭＳ ゴシック" w:eastAsia="ＭＳ ゴシック" w:hint="eastAsia"/>
          <w:b/>
        </w:rPr>
        <w:t>6.4.6</w:t>
      </w:r>
      <w:r w:rsidR="00C25C85" w:rsidRPr="00BC31E0">
        <w:rPr>
          <w:rFonts w:hint="eastAsia"/>
        </w:rPr>
        <w:t>)</w:t>
      </w:r>
    </w:p>
    <w:p w14:paraId="5B70ED77" w14:textId="77777777" w:rsidR="00C25C85" w:rsidRPr="00BC31E0" w:rsidRDefault="00A51873" w:rsidP="008234D1">
      <w:pPr>
        <w:tabs>
          <w:tab w:val="left" w:pos="1269"/>
        </w:tabs>
        <w:autoSpaceDE w:val="0"/>
        <w:autoSpaceDN w:val="0"/>
        <w:ind w:left="1588" w:hanging="1021"/>
      </w:pPr>
      <m:oMath>
        <m:sSubSup>
          <m:sSubSupPr>
            <m:ctrlPr>
              <w:rPr>
                <w:rFonts w:ascii="Cambria Math" w:hAnsi="Cambria Math"/>
                <w:i/>
                <w:szCs w:val="24"/>
              </w:rPr>
            </m:ctrlPr>
          </m:sSubSupPr>
          <m:e>
            <m:r>
              <w:rPr>
                <w:rFonts w:ascii="Cambria Math" w:hAnsi="Cambria Math"/>
                <w:szCs w:val="24"/>
              </w:rPr>
              <m:t>K</m:t>
            </m:r>
          </m:e>
          <m:sub>
            <m:r>
              <m:rPr>
                <m:sty m:val="p"/>
              </m:rPr>
              <w:rPr>
                <w:rFonts w:ascii="Cambria Math" w:hAnsi="Cambria Math"/>
                <w:szCs w:val="24"/>
              </w:rPr>
              <m:t>Imin</m:t>
            </m:r>
          </m:sub>
          <m:sup>
            <m:r>
              <w:rPr>
                <w:rFonts w:ascii="Cambria Math" w:hAnsi="Cambria Math"/>
                <w:szCs w:val="24"/>
              </w:rPr>
              <m:t>*</m:t>
            </m:r>
          </m:sup>
        </m:sSubSup>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残留応力を除く繰返し応力負荷による応力拡大係数の最小値</w:t>
      </w:r>
      <w:r w:rsidR="00C25C85" w:rsidRPr="00BC31E0">
        <w:rPr>
          <w:rFonts w:hint="eastAsia"/>
        </w:rPr>
        <w:t>(</w:t>
      </w:r>
      <m:oMath>
        <m:r>
          <m:rPr>
            <m:nor/>
          </m:rPr>
          <w:rPr>
            <w:rFonts w:ascii="Cambria Math" w:hAnsi="Cambria Math"/>
          </w:rPr>
          <m:t>MPa</m:t>
        </m:r>
        <m:rad>
          <m:radPr>
            <m:degHide m:val="1"/>
            <m:ctrlPr>
              <w:rPr>
                <w:rFonts w:ascii="Cambria Math" w:hAnsi="Times New Roman"/>
              </w:rPr>
            </m:ctrlPr>
          </m:radPr>
          <m:deg/>
          <m:e>
            <m:r>
              <m:rPr>
                <m:nor/>
              </m:rPr>
              <w:rPr>
                <w:rFonts w:ascii="Cambria Math" w:hAnsi="Cambria Math"/>
              </w:rPr>
              <m:t>m</m:t>
            </m:r>
          </m:e>
        </m:rad>
      </m:oMath>
      <w:r w:rsidR="00C25C85" w:rsidRPr="00BC31E0">
        <w:rPr>
          <w:rFonts w:hint="eastAsia"/>
        </w:rPr>
        <w:t>) (</w:t>
      </w:r>
      <w:r w:rsidR="00C25C85" w:rsidRPr="00BC31E0">
        <w:rPr>
          <w:rFonts w:ascii="ＭＳ ゴシック" w:eastAsia="ＭＳ ゴシック" w:hint="eastAsia"/>
          <w:b/>
        </w:rPr>
        <w:t>6.4.5</w:t>
      </w:r>
      <w:r w:rsidR="00C25C85" w:rsidRPr="00BC31E0">
        <w:rPr>
          <w:rFonts w:asciiTheme="minorEastAsia" w:eastAsiaTheme="minorEastAsia" w:hAnsiTheme="minorEastAsia" w:hint="eastAsia"/>
        </w:rPr>
        <w:t>，</w:t>
      </w:r>
      <w:r w:rsidR="00C25C85" w:rsidRPr="00BC31E0">
        <w:rPr>
          <w:rFonts w:ascii="ＭＳ ゴシック" w:eastAsia="ＭＳ ゴシック" w:hint="eastAsia"/>
          <w:b/>
        </w:rPr>
        <w:t>6.4.6</w:t>
      </w:r>
      <w:r w:rsidR="00C25C85" w:rsidRPr="00BC31E0">
        <w:rPr>
          <w:rFonts w:hint="eastAsia"/>
        </w:rPr>
        <w:t>)</w:t>
      </w:r>
    </w:p>
    <w:p w14:paraId="1652D4E3"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K</m:t>
            </m:r>
          </m:e>
          <m:sub>
            <m:r>
              <m:rPr>
                <m:sty m:val="p"/>
              </m:rPr>
              <w:rPr>
                <w:rFonts w:ascii="Cambria Math" w:hAnsi="Cambria Math"/>
                <w:szCs w:val="24"/>
              </w:rPr>
              <m:t>I</m:t>
            </m:r>
            <m:r>
              <w:rPr>
                <w:rFonts w:ascii="Cambria Math" w:hAnsi="Cambria Math"/>
                <w:szCs w:val="24"/>
              </w:rPr>
              <m:t>res</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残留応力による応力拡大係数</w:t>
      </w:r>
      <w:r w:rsidR="00C25C85" w:rsidRPr="00BC31E0">
        <w:rPr>
          <w:rFonts w:hint="eastAsia"/>
        </w:rPr>
        <w:t>(</w:t>
      </w:r>
      <m:oMath>
        <m:r>
          <m:rPr>
            <m:nor/>
          </m:rPr>
          <w:rPr>
            <w:rFonts w:ascii="Cambria Math" w:hAnsi="Cambria Math"/>
          </w:rPr>
          <m:t>MPa</m:t>
        </m:r>
        <m:rad>
          <m:radPr>
            <m:degHide m:val="1"/>
            <m:ctrlPr>
              <w:rPr>
                <w:rFonts w:ascii="Cambria Math" w:hAnsi="Times New Roman"/>
              </w:rPr>
            </m:ctrlPr>
          </m:radPr>
          <m:deg/>
          <m:e>
            <m:r>
              <m:rPr>
                <m:nor/>
              </m:rPr>
              <w:rPr>
                <w:rFonts w:ascii="Cambria Math" w:hAnsi="Cambria Math"/>
              </w:rPr>
              <m:t>m</m:t>
            </m:r>
          </m:e>
        </m:rad>
      </m:oMath>
      <w:r w:rsidR="00C25C85" w:rsidRPr="00BC31E0">
        <w:rPr>
          <w:rFonts w:hint="eastAsia"/>
        </w:rPr>
        <w:t>) (</w:t>
      </w:r>
      <w:r w:rsidR="00C25C85" w:rsidRPr="00BC31E0">
        <w:rPr>
          <w:rFonts w:ascii="ＭＳ ゴシック" w:eastAsia="ＭＳ ゴシック"/>
          <w:b/>
        </w:rPr>
        <w:t>6.4.5</w:t>
      </w:r>
      <w:r w:rsidR="00C25C85" w:rsidRPr="00BC31E0">
        <w:rPr>
          <w:rFonts w:hint="eastAsia"/>
        </w:rPr>
        <w:t>，</w:t>
      </w:r>
      <w:r w:rsidR="00C25C85" w:rsidRPr="00BC31E0">
        <w:rPr>
          <w:rFonts w:ascii="ＭＳ ゴシック" w:eastAsia="ＭＳ ゴシック"/>
          <w:b/>
        </w:rPr>
        <w:t>6.4.6</w:t>
      </w:r>
      <w:r w:rsidR="00C25C85" w:rsidRPr="00BC31E0">
        <w:rPr>
          <w:rFonts w:hint="eastAsia"/>
        </w:rPr>
        <w:t>)</w:t>
      </w:r>
    </w:p>
    <w:p w14:paraId="02BDB61A" w14:textId="77777777" w:rsidR="00C25C85" w:rsidRPr="00BC31E0" w:rsidRDefault="00A51873" w:rsidP="008234D1">
      <w:pPr>
        <w:tabs>
          <w:tab w:val="left" w:pos="1276"/>
        </w:tabs>
        <w:autoSpaceDE w:val="0"/>
        <w:autoSpaceDN w:val="0"/>
        <w:ind w:left="1588" w:hanging="1021"/>
        <w:rPr>
          <w:rFonts w:ascii="ＭＳ ゴシック" w:eastAsia="ＭＳ ゴシック"/>
        </w:rPr>
      </w:pPr>
      <m:oMath>
        <m:sSub>
          <m:sSubPr>
            <m:ctrlPr>
              <w:rPr>
                <w:rFonts w:ascii="Cambria Math" w:hAnsi="Cambria Math"/>
                <w:i/>
                <w:szCs w:val="24"/>
              </w:rPr>
            </m:ctrlPr>
          </m:sSubPr>
          <m:e>
            <m:r>
              <w:rPr>
                <w:rFonts w:ascii="Cambria Math" w:hAnsi="Cambria Math"/>
                <w:szCs w:val="24"/>
              </w:rPr>
              <m:t>K</m:t>
            </m:r>
          </m:e>
          <m:sub>
            <m:r>
              <m:rPr>
                <m:sty m:val="p"/>
              </m:rPr>
              <w:rPr>
                <w:rFonts w:ascii="Cambria Math" w:hAnsi="Cambria Math"/>
                <w:szCs w:val="24"/>
              </w:rPr>
              <m:t>I</m:t>
            </m:r>
            <m:r>
              <w:rPr>
                <w:rFonts w:ascii="Cambria Math" w:hAnsi="Cambria Math"/>
                <w:szCs w:val="24"/>
              </w:rPr>
              <m:t>C</m:t>
            </m:r>
          </m:sub>
        </m:sSub>
      </m:oMath>
      <w:r w:rsidR="00C25C85" w:rsidRPr="00BC31E0">
        <w:rPr>
          <w:rFonts w:hint="eastAsia"/>
          <w:i/>
          <w:szCs w:val="24"/>
        </w:rPr>
        <w:tab/>
      </w:r>
      <w:r w:rsidR="00C25C85" w:rsidRPr="00BC31E0">
        <w:rPr>
          <w:rFonts w:hint="eastAsia"/>
        </w:rPr>
        <w:t>：</w:t>
      </w:r>
      <w:r w:rsidR="00C25C85" w:rsidRPr="00BC31E0">
        <w:rPr>
          <w:rFonts w:hint="eastAsia"/>
        </w:rPr>
        <w:t xml:space="preserve"> </w:t>
      </w:r>
      <w:r w:rsidR="00C25C85" w:rsidRPr="00BC31E0">
        <w:rPr>
          <w:rFonts w:hint="eastAsia"/>
        </w:rPr>
        <w:t>平面ひずみ破壊靭性値</w:t>
      </w:r>
      <w:r w:rsidR="00C25C85" w:rsidRPr="00BC31E0">
        <w:rPr>
          <w:rFonts w:hint="eastAsia"/>
        </w:rPr>
        <w:t>(</w:t>
      </w:r>
      <m:oMath>
        <m:r>
          <m:rPr>
            <m:nor/>
          </m:rPr>
          <w:rPr>
            <w:rFonts w:ascii="Cambria Math" w:hAnsi="Cambria Math"/>
          </w:rPr>
          <m:t>MPa</m:t>
        </m:r>
        <m:rad>
          <m:radPr>
            <m:degHide m:val="1"/>
            <m:ctrlPr>
              <w:rPr>
                <w:rFonts w:ascii="Cambria Math" w:hAnsi="Times New Roman"/>
              </w:rPr>
            </m:ctrlPr>
          </m:radPr>
          <m:deg/>
          <m:e>
            <m:r>
              <m:rPr>
                <m:nor/>
              </m:rPr>
              <w:rPr>
                <w:rFonts w:ascii="Cambria Math" w:hAnsi="Cambria Math"/>
              </w:rPr>
              <m:t>m</m:t>
            </m:r>
          </m:e>
        </m:rad>
      </m:oMath>
      <w:r w:rsidR="00C25C85" w:rsidRPr="00BC31E0">
        <w:rPr>
          <w:rFonts w:hint="eastAsia"/>
        </w:rPr>
        <w:t>) (</w:t>
      </w:r>
      <w:r w:rsidR="00C25C85" w:rsidRPr="00BC31E0">
        <w:rPr>
          <w:rFonts w:ascii="ＭＳ ゴシック" w:eastAsia="ＭＳ ゴシック"/>
          <w:b/>
        </w:rPr>
        <w:t>5.2.9</w:t>
      </w:r>
      <w:r w:rsidR="00C25C85" w:rsidRPr="00BC31E0">
        <w:rPr>
          <w:rFonts w:hint="eastAsia"/>
        </w:rPr>
        <w:t>，</w:t>
      </w:r>
      <w:r w:rsidR="00C25C85" w:rsidRPr="00BC31E0">
        <w:rPr>
          <w:rFonts w:ascii="ＭＳ ゴシック" w:eastAsia="ＭＳ ゴシック"/>
          <w:b/>
        </w:rPr>
        <w:t>6.4.3</w:t>
      </w:r>
      <w:r w:rsidR="00C25C85" w:rsidRPr="00BC31E0">
        <w:rPr>
          <w:rFonts w:ascii="ＭＳ ゴシック" w:eastAsia="ＭＳ ゴシック" w:hint="eastAsia"/>
        </w:rPr>
        <w:t>，</w:t>
      </w:r>
      <w:r w:rsidR="00C25C85" w:rsidRPr="00BC31E0">
        <w:rPr>
          <w:rFonts w:ascii="ＭＳ ゴシック" w:eastAsia="ＭＳ ゴシック" w:hint="eastAsia"/>
          <w:b/>
          <w:bCs/>
        </w:rPr>
        <w:t>6.13.3</w:t>
      </w:r>
      <w:r w:rsidR="00C25C85" w:rsidRPr="00BC31E0">
        <w:rPr>
          <w:rFonts w:ascii="ＭＳ ゴシック" w:eastAsia="ＭＳ ゴシック" w:hint="eastAsia"/>
        </w:rPr>
        <w:t>，</w:t>
      </w:r>
      <w:r w:rsidR="00C25C85" w:rsidRPr="00BC31E0">
        <w:rPr>
          <w:rFonts w:ascii="ＭＳ ゴシック" w:eastAsia="ＭＳ ゴシック" w:hint="eastAsia"/>
          <w:b/>
        </w:rPr>
        <w:t>9.3.6</w:t>
      </w:r>
      <w:r w:rsidR="00C25C85" w:rsidRPr="00BC31E0">
        <w:rPr>
          <w:rFonts w:asciiTheme="minorEastAsia" w:eastAsiaTheme="minorEastAsia" w:hAnsiTheme="minorEastAsia" w:hint="eastAsia"/>
        </w:rPr>
        <w:t>，</w:t>
      </w:r>
      <w:r w:rsidR="00C25C85" w:rsidRPr="00BC31E0">
        <w:rPr>
          <w:rFonts w:ascii="ＭＳ ゴシック" w:eastAsia="ＭＳ ゴシック" w:hint="eastAsia"/>
          <w:b/>
        </w:rPr>
        <w:t>附属書C 6.4.3</w:t>
      </w:r>
      <w:r w:rsidR="00C25C85" w:rsidRPr="00BC31E0">
        <w:rPr>
          <w:rFonts w:hint="eastAsia"/>
        </w:rPr>
        <w:t>)</w:t>
      </w:r>
    </w:p>
    <w:p w14:paraId="42FFA84F"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N</m:t>
            </m:r>
          </m:sub>
        </m:sSub>
      </m:oMath>
      <w:r w:rsidR="00C25C85" w:rsidRPr="00BC31E0">
        <w:rPr>
          <w:rFonts w:hint="eastAsia"/>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ワイヤ疲労設計回数補正係数</w:t>
      </w:r>
      <w:r w:rsidR="00C25C85" w:rsidRPr="00BC31E0">
        <w:rPr>
          <w:rFonts w:hint="eastAsia"/>
        </w:rPr>
        <w:t xml:space="preserve"> (</w:t>
      </w:r>
      <w:r w:rsidR="00C25C85" w:rsidRPr="00BC31E0">
        <w:rPr>
          <w:rFonts w:ascii="ＭＳ ゴシック" w:eastAsia="ＭＳ ゴシック"/>
          <w:b/>
        </w:rPr>
        <w:t>6.9.1</w:t>
      </w:r>
      <w:r w:rsidR="00C25C85" w:rsidRPr="00BC31E0">
        <w:rPr>
          <w:rFonts w:ascii="ＭＳ ゴシック" w:eastAsia="ＭＳ ゴシック" w:hint="eastAsia"/>
          <w:b/>
        </w:rPr>
        <w:t>1</w:t>
      </w:r>
      <w:r w:rsidR="00C25C85" w:rsidRPr="00BC31E0">
        <w:rPr>
          <w:rFonts w:hint="eastAsia"/>
        </w:rPr>
        <w:t>)</w:t>
      </w:r>
    </w:p>
    <w:p w14:paraId="64E8C6A0"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n</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ascii="Cambria Math" w:hAnsi="Cambria Math"/>
        </w:rPr>
        <w:t>2.6</w:t>
      </w:r>
      <w:r w:rsidR="00C25C85" w:rsidRPr="00BC31E0">
        <w:rPr>
          <w:rFonts w:ascii="Cambria Math" w:hAnsi="Cambria Math" w:hint="eastAsia"/>
        </w:rPr>
        <w:t xml:space="preserve"> </w:t>
      </w:r>
      <w:r w:rsidR="00C25C85" w:rsidRPr="00BC31E0">
        <w:rPr>
          <w:rFonts w:hint="eastAsia"/>
        </w:rPr>
        <w:t>又は</w:t>
      </w:r>
      <w:r w:rsidR="00C25C85" w:rsidRPr="00BC31E0">
        <w:rPr>
          <w:rFonts w:hint="eastAsia"/>
        </w:rPr>
        <w:t xml:space="preserve"> </w:t>
      </w:r>
      <m:oMath>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s</m:t>
                    </m:r>
                  </m:sub>
                </m:sSub>
              </m:e>
            </m:d>
          </m:e>
          <m:sup>
            <m:r>
              <w:rPr>
                <w:rFonts w:ascii="Cambria Math" w:hAnsi="Cambria Math"/>
              </w:rPr>
              <m:t>4.3</m:t>
            </m:r>
          </m:sup>
        </m:sSup>
        <m:r>
          <m:rPr>
            <m:sty m:val="p"/>
          </m:rPr>
          <w:rPr>
            <w:rFonts w:ascii="Cambria Math" w:hAnsi="Cambria Math"/>
          </w:rPr>
          <m:t xml:space="preserve"> </m:t>
        </m:r>
      </m:oMath>
      <w:r w:rsidR="00C25C85" w:rsidRPr="00BC31E0">
        <w:rPr>
          <w:rFonts w:hint="eastAsia"/>
        </w:rPr>
        <w:t>のいずれか大きい方の値</w:t>
      </w:r>
      <w:r w:rsidR="00C25C85" w:rsidRPr="00BC31E0">
        <w:rPr>
          <w:rFonts w:hint="eastAsia"/>
        </w:rPr>
        <w:t xml:space="preserve"> (</w:t>
      </w:r>
      <w:r w:rsidR="00C25C85" w:rsidRPr="00BC31E0">
        <w:rPr>
          <w:rFonts w:ascii="ＭＳ ゴシック" w:eastAsia="ＭＳ ゴシック"/>
          <w:b/>
        </w:rPr>
        <w:t>6.11.7</w:t>
      </w:r>
      <w:r w:rsidR="00C25C85" w:rsidRPr="00BC31E0">
        <w:rPr>
          <w:rFonts w:hint="eastAsia"/>
        </w:rPr>
        <w:t>)</w:t>
      </w:r>
    </w:p>
    <w:p w14:paraId="5118D67E"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r</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表面粗さ影響係数</w:t>
      </w:r>
      <w:r w:rsidR="00C25C85" w:rsidRPr="00BC31E0">
        <w:rPr>
          <w:rFonts w:hint="eastAsia"/>
        </w:rPr>
        <w:t xml:space="preserve"> (</w:t>
      </w:r>
      <w:r w:rsidR="00C25C85" w:rsidRPr="00BC31E0">
        <w:rPr>
          <w:rFonts w:ascii="ＭＳ ゴシック" w:eastAsia="ＭＳ ゴシック"/>
          <w:b/>
        </w:rPr>
        <w:t>6.3.5</w:t>
      </w:r>
      <w:r w:rsidR="00C25C85" w:rsidRPr="00BC31E0">
        <w:rPr>
          <w:rFonts w:ascii="ＭＳ ゴシック" w:eastAsia="ＭＳ ゴシック" w:hint="eastAsia"/>
          <w:b/>
        </w:rPr>
        <w:t>，図6.3.10</w:t>
      </w:r>
      <w:r w:rsidR="00C25C85" w:rsidRPr="00BC31E0">
        <w:rPr>
          <w:rFonts w:hint="eastAsia"/>
        </w:rPr>
        <w:t>)</w:t>
      </w:r>
    </w:p>
    <w:p w14:paraId="40E98EF8"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K</m:t>
            </m:r>
          </m:e>
          <m:sub>
            <m:r>
              <w:rPr>
                <w:rFonts w:ascii="Cambria Math" w:hAnsi="Cambria Math" w:hint="eastAsia"/>
                <w:szCs w:val="24"/>
              </w:rPr>
              <m:t>r</m:t>
            </m:r>
          </m:sub>
        </m:sSub>
        <m:d>
          <m:dPr>
            <m:ctrlPr>
              <w:rPr>
                <w:rFonts w:ascii="Cambria Math" w:hAnsi="Cambria Math"/>
                <w:szCs w:val="24"/>
              </w:rPr>
            </m:ctrlPr>
          </m:dPr>
          <m:e>
            <m:r>
              <w:rPr>
                <w:rFonts w:ascii="Cambria Math" w:hAnsi="Cambria Math" w:hint="eastAsia"/>
                <w:szCs w:val="24"/>
              </w:rPr>
              <m:t>P</m:t>
            </m:r>
          </m:e>
        </m:d>
      </m:oMath>
      <w:r w:rsidR="00C25C85" w:rsidRPr="00BC31E0">
        <w:rPr>
          <w:rFonts w:hint="eastAsia"/>
          <w:szCs w:val="24"/>
          <w:vertAlign w:val="subscript"/>
        </w:rPr>
        <w:tab/>
      </w:r>
      <w:r w:rsidR="00C25C85" w:rsidRPr="00BC31E0">
        <w:rPr>
          <w:rFonts w:hint="eastAsia"/>
          <w:szCs w:val="24"/>
        </w:rPr>
        <w:t>：</w:t>
      </w:r>
      <w:r w:rsidR="00C25C85" w:rsidRPr="00BC31E0">
        <w:rPr>
          <w:rFonts w:hint="eastAsia"/>
          <w:szCs w:val="24"/>
        </w:rPr>
        <w:t xml:space="preserve"> </w:t>
      </w:r>
      <w:r w:rsidR="00C25C85" w:rsidRPr="00BC31E0">
        <w:rPr>
          <w:rFonts w:hint="eastAsia"/>
          <w:szCs w:val="24"/>
        </w:rPr>
        <w:t>図</w:t>
      </w:r>
      <w:r w:rsidR="00C25C85" w:rsidRPr="00BC31E0">
        <w:rPr>
          <w:rFonts w:asciiTheme="majorEastAsia" w:eastAsiaTheme="majorEastAsia" w:hAnsiTheme="majorEastAsia" w:hint="eastAsia"/>
          <w:b/>
          <w:bCs/>
          <w:szCs w:val="24"/>
        </w:rPr>
        <w:t>6.3.10</w:t>
      </w:r>
      <w:r w:rsidR="00C25C85" w:rsidRPr="00BC31E0">
        <w:rPr>
          <w:rFonts w:hint="eastAsia"/>
          <w:szCs w:val="24"/>
        </w:rPr>
        <w:t>から求まる実機の表面粗さ係数</w:t>
      </w:r>
      <w:r w:rsidR="00C25C85" w:rsidRPr="00BC31E0">
        <w:rPr>
          <w:rFonts w:hint="eastAsia"/>
          <w:szCs w:val="24"/>
        </w:rPr>
        <w:t xml:space="preserve"> (</w:t>
      </w:r>
      <w:r w:rsidR="00C25C85" w:rsidRPr="00BC31E0">
        <w:rPr>
          <w:rFonts w:ascii="ＭＳ ゴシック" w:eastAsia="ＭＳ ゴシック" w:hint="eastAsia"/>
          <w:b/>
          <w:szCs w:val="24"/>
        </w:rPr>
        <w:t>6.11.7</w:t>
      </w:r>
      <w:r w:rsidR="00C25C85" w:rsidRPr="00BC31E0">
        <w:rPr>
          <w:rFonts w:hint="eastAsia"/>
          <w:szCs w:val="24"/>
        </w:rPr>
        <w:t>)</w:t>
      </w:r>
    </w:p>
    <w:p w14:paraId="5B1E88D9"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K</m:t>
            </m:r>
          </m:e>
          <m:sub>
            <m:r>
              <w:rPr>
                <w:rFonts w:ascii="Cambria Math" w:hAnsi="Cambria Math" w:hint="eastAsia"/>
                <w:szCs w:val="24"/>
              </w:rPr>
              <m:t>r</m:t>
            </m:r>
          </m:sub>
        </m:sSub>
        <m:d>
          <m:dPr>
            <m:ctrlPr>
              <w:rPr>
                <w:rFonts w:ascii="Cambria Math" w:hAnsi="Cambria Math"/>
                <w:szCs w:val="24"/>
              </w:rPr>
            </m:ctrlPr>
          </m:dPr>
          <m:e>
            <m:r>
              <w:rPr>
                <w:rFonts w:ascii="Cambria Math" w:hAnsi="Cambria Math" w:hint="eastAsia"/>
                <w:szCs w:val="24"/>
              </w:rPr>
              <m:t>T</m:t>
            </m:r>
          </m:e>
        </m:d>
      </m:oMath>
      <w:r w:rsidR="00C25C85" w:rsidRPr="00BC31E0">
        <w:rPr>
          <w:rFonts w:hint="eastAsia"/>
          <w:szCs w:val="24"/>
          <w:vertAlign w:val="subscript"/>
        </w:rPr>
        <w:tab/>
      </w:r>
      <w:r w:rsidR="00C25C85" w:rsidRPr="00BC31E0">
        <w:rPr>
          <w:rFonts w:hint="eastAsia"/>
          <w:szCs w:val="24"/>
        </w:rPr>
        <w:t>：</w:t>
      </w:r>
      <w:r w:rsidR="00C25C85" w:rsidRPr="00BC31E0">
        <w:rPr>
          <w:rFonts w:hint="eastAsia"/>
          <w:szCs w:val="24"/>
        </w:rPr>
        <w:t xml:space="preserve"> </w:t>
      </w:r>
      <w:r w:rsidR="00C25C85" w:rsidRPr="00BC31E0">
        <w:rPr>
          <w:rFonts w:hint="eastAsia"/>
          <w:szCs w:val="24"/>
        </w:rPr>
        <w:t>図</w:t>
      </w:r>
      <w:r w:rsidR="00C25C85" w:rsidRPr="00BC31E0">
        <w:rPr>
          <w:rFonts w:asciiTheme="majorEastAsia" w:eastAsiaTheme="majorEastAsia" w:hAnsiTheme="majorEastAsia" w:hint="eastAsia"/>
          <w:b/>
          <w:bCs/>
          <w:szCs w:val="24"/>
        </w:rPr>
        <w:t>6.3.10</w:t>
      </w:r>
      <w:r w:rsidR="00C25C85" w:rsidRPr="00BC31E0">
        <w:rPr>
          <w:rFonts w:hint="eastAsia"/>
          <w:szCs w:val="24"/>
        </w:rPr>
        <w:t>から求まる模型の表面粗さ係数</w:t>
      </w:r>
      <w:r w:rsidR="00C25C85" w:rsidRPr="00BC31E0">
        <w:rPr>
          <w:rFonts w:hint="eastAsia"/>
          <w:szCs w:val="24"/>
        </w:rPr>
        <w:t xml:space="preserve"> (</w:t>
      </w:r>
      <w:r w:rsidR="00C25C85" w:rsidRPr="00BC31E0">
        <w:rPr>
          <w:rFonts w:ascii="ＭＳ ゴシック" w:eastAsia="ＭＳ ゴシック" w:hint="eastAsia"/>
          <w:b/>
          <w:szCs w:val="24"/>
        </w:rPr>
        <w:t>6.11.7</w:t>
      </w:r>
      <w:r w:rsidR="00C25C85" w:rsidRPr="00BC31E0">
        <w:rPr>
          <w:rFonts w:hint="eastAsia"/>
          <w:szCs w:val="24"/>
        </w:rPr>
        <w:t>)</w:t>
      </w:r>
    </w:p>
    <w:p w14:paraId="3D74D4FC"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S</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ワイヤ疲労設計応力補正係数</w:t>
      </w:r>
      <w:r w:rsidR="00C25C85" w:rsidRPr="00BC31E0">
        <w:rPr>
          <w:rFonts w:hint="eastAsia"/>
        </w:rPr>
        <w:t xml:space="preserve"> </w:t>
      </w:r>
      <m:oMath>
        <m:sSub>
          <m:sSubPr>
            <m:ctrlPr>
              <w:rPr>
                <w:rFonts w:ascii="Cambria Math" w:hAnsi="Cambria Math"/>
              </w:rPr>
            </m:ctrlPr>
          </m:sSubPr>
          <m:e>
            <m:r>
              <w:rPr>
                <w:rFonts w:ascii="Cambria Math" w:hAnsi="Cambria Math"/>
              </w:rPr>
              <m:t>K</m:t>
            </m:r>
          </m:e>
          <m:sub>
            <m:r>
              <w:rPr>
                <w:rFonts w:ascii="Cambria Math" w:hAnsi="Cambria Math"/>
              </w:rPr>
              <m:t>S</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SL</m:t>
            </m:r>
          </m:sub>
        </m:sSub>
        <m:r>
          <w:rPr>
            <w:rFonts w:ascii="Cambria Math" w:hAnsi="Cambria Math"/>
          </w:rPr>
          <m:t xml:space="preserve"> </m:t>
        </m:r>
        <m:sSub>
          <m:sSubPr>
            <m:ctrlPr>
              <w:rPr>
                <w:rFonts w:ascii="Cambria Math" w:hAnsi="Cambria Math"/>
              </w:rPr>
            </m:ctrlPr>
          </m:sSubPr>
          <m:e>
            <m:r>
              <w:rPr>
                <w:rFonts w:ascii="Cambria Math" w:hAnsi="Cambria Math"/>
              </w:rPr>
              <m:t>K</m:t>
            </m:r>
          </m:e>
          <m:sub>
            <m:r>
              <w:rPr>
                <w:rFonts w:ascii="Cambria Math" w:hAnsi="Cambria Math"/>
              </w:rPr>
              <m:t>SS</m:t>
            </m:r>
          </m:sub>
        </m:sSub>
      </m:oMath>
      <w:r w:rsidR="00C25C85" w:rsidRPr="00BC31E0">
        <w:t xml:space="preserve"> </w:t>
      </w:r>
      <w:r w:rsidR="00C25C85" w:rsidRPr="00BC31E0">
        <w:rPr>
          <w:rFonts w:hint="eastAsia"/>
        </w:rPr>
        <w:t>(</w:t>
      </w:r>
      <w:r w:rsidR="00C25C85" w:rsidRPr="00BC31E0">
        <w:rPr>
          <w:rFonts w:ascii="ＭＳ ゴシック" w:eastAsia="ＭＳ ゴシック"/>
          <w:b/>
        </w:rPr>
        <w:t>6.9.</w:t>
      </w:r>
      <w:r w:rsidR="00C25C85" w:rsidRPr="00BC31E0">
        <w:rPr>
          <w:rFonts w:ascii="ＭＳ ゴシック" w:eastAsia="ＭＳ ゴシック" w:hint="eastAsia"/>
          <w:b/>
        </w:rPr>
        <w:t>11</w:t>
      </w:r>
      <w:r w:rsidR="00C25C85" w:rsidRPr="00BC31E0">
        <w:rPr>
          <w:rFonts w:hint="eastAsia"/>
        </w:rPr>
        <w:t>)</w:t>
      </w:r>
    </w:p>
    <w:p w14:paraId="461B8D74"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rPr>
            </m:ctrlPr>
          </m:sSubPr>
          <m:e>
            <m:r>
              <w:rPr>
                <w:rFonts w:ascii="Cambria Math" w:hAnsi="Cambria Math"/>
              </w:rPr>
              <m:t>K</m:t>
            </m:r>
          </m:e>
          <m:sub>
            <m:r>
              <w:rPr>
                <w:rFonts w:ascii="Cambria Math" w:hAnsi="Cambria Math"/>
              </w:rPr>
              <m:t>SL</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負荷されたワイヤの長さに関する設計係数</w:t>
      </w:r>
      <w:r w:rsidR="00C25C85" w:rsidRPr="00BC31E0">
        <w:rPr>
          <w:rFonts w:hint="eastAsia"/>
        </w:rPr>
        <w:t xml:space="preserve"> (</w:t>
      </w:r>
      <w:r w:rsidR="00C25C85" w:rsidRPr="00BC31E0">
        <w:rPr>
          <w:rFonts w:ascii="ＭＳ ゴシック" w:eastAsia="ＭＳ ゴシック"/>
          <w:b/>
        </w:rPr>
        <w:t>6.9.1</w:t>
      </w:r>
      <w:r w:rsidR="00C25C85" w:rsidRPr="00BC31E0">
        <w:rPr>
          <w:rFonts w:ascii="ＭＳ ゴシック" w:eastAsia="ＭＳ ゴシック" w:hAnsi="ＭＳ ゴシック"/>
          <w:b/>
        </w:rPr>
        <w:t>1</w:t>
      </w:r>
      <w:r w:rsidR="00C25C85" w:rsidRPr="00BC31E0">
        <w:rPr>
          <w:rFonts w:hint="eastAsia"/>
        </w:rPr>
        <w:t>)</w:t>
      </w:r>
    </w:p>
    <w:p w14:paraId="2A0E870A"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rPr>
            </m:ctrlPr>
          </m:sSubPr>
          <m:e>
            <m:r>
              <w:rPr>
                <w:rFonts w:ascii="Cambria Math" w:hAnsi="Cambria Math"/>
              </w:rPr>
              <m:t>K</m:t>
            </m:r>
          </m:e>
          <m:sub>
            <m:r>
              <w:rPr>
                <w:rFonts w:ascii="Cambria Math" w:hAnsi="Cambria Math"/>
              </w:rPr>
              <m:t>SS</m:t>
            </m:r>
          </m:sub>
        </m:sSub>
      </m:oMath>
      <w:r w:rsidR="00C25C85" w:rsidRPr="00BC31E0">
        <w:rPr>
          <w:rFonts w:hint="eastAsia"/>
          <w:szCs w:val="24"/>
        </w:rPr>
        <w:tab/>
      </w:r>
      <w:r w:rsidR="00C25C85" w:rsidRPr="00BC31E0">
        <w:rPr>
          <w:rFonts w:hint="eastAsia"/>
        </w:rPr>
        <w:t>：</w:t>
      </w:r>
      <w:r w:rsidR="00C25C85" w:rsidRPr="00BC31E0">
        <w:rPr>
          <w:rFonts w:hint="eastAsia"/>
        </w:rPr>
        <w:t xml:space="preserve"> </w:t>
      </w:r>
      <w:r w:rsidR="00C25C85" w:rsidRPr="00BC31E0">
        <w:rPr>
          <w:rFonts w:hint="eastAsia"/>
        </w:rPr>
        <w:t>ワイヤの疲労強度の統計的偏差に関する設計係数</w:t>
      </w:r>
      <w:r w:rsidR="00C25C85" w:rsidRPr="00BC31E0">
        <w:rPr>
          <w:rFonts w:hint="eastAsia"/>
        </w:rPr>
        <w:t xml:space="preserve"> (</w:t>
      </w:r>
      <w:r w:rsidR="00C25C85" w:rsidRPr="00BC31E0">
        <w:rPr>
          <w:rFonts w:ascii="ＭＳ ゴシック" w:eastAsia="ＭＳ ゴシック"/>
          <w:b/>
        </w:rPr>
        <w:t>6.9.11</w:t>
      </w:r>
      <w:r w:rsidR="00C25C85" w:rsidRPr="00BC31E0">
        <w:rPr>
          <w:rFonts w:hint="eastAsia"/>
        </w:rPr>
        <w:t>)</w:t>
      </w:r>
    </w:p>
    <w:p w14:paraId="0A5F53B1"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s</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ascii="Cambria Math" w:hAnsi="Cambria Math"/>
        </w:rPr>
        <w:t>1.25</w:t>
      </w:r>
      <w:r w:rsidR="00C25C85" w:rsidRPr="00BC31E0">
        <w:rPr>
          <w:rFonts w:ascii="Cambria Math" w:hAnsi="Cambria Math" w:hint="eastAsia"/>
        </w:rPr>
        <w:t xml:space="preserve"> </w:t>
      </w:r>
      <w:r w:rsidR="00C25C85" w:rsidRPr="00BC31E0">
        <w:rPr>
          <w:rFonts w:hint="eastAsia"/>
        </w:rPr>
        <w:t>又は</w:t>
      </w:r>
      <w:r w:rsidR="00C25C85" w:rsidRPr="00BC31E0">
        <w:rPr>
          <w:rFonts w:hint="eastAsia"/>
        </w:rPr>
        <w:t xml:space="preserve"> </w:t>
      </w:r>
      <m:oMath>
        <m:sSub>
          <m:sSubPr>
            <m:ctrlPr>
              <w:rPr>
                <w:rFonts w:ascii="Cambria Math" w:hAnsi="Cambria Math"/>
              </w:rPr>
            </m:ctrlPr>
          </m:sSubPr>
          <m:e>
            <m:r>
              <w:rPr>
                <w:rFonts w:ascii="Cambria Math" w:hAnsi="Cambria Math"/>
              </w:rPr>
              <m:t>K</m:t>
            </m:r>
          </m:e>
          <m:sub>
            <m:r>
              <w:rPr>
                <w:rFonts w:ascii="Cambria Math" w:hAnsi="Cambria Math"/>
              </w:rPr>
              <m:t>sa</m:t>
            </m:r>
          </m:sub>
        </m:sSub>
        <m:r>
          <w:rPr>
            <w:rFonts w:ascii="Cambria Math" w:hAnsi="Cambria Math"/>
          </w:rPr>
          <m:t xml:space="preserve"> </m:t>
        </m:r>
        <m:sSub>
          <m:sSubPr>
            <m:ctrlPr>
              <w:rPr>
                <w:rFonts w:ascii="Cambria Math" w:hAnsi="Cambria Math"/>
              </w:rPr>
            </m:ctrlPr>
          </m:sSubPr>
          <m:e>
            <m:r>
              <w:rPr>
                <w:rFonts w:ascii="Cambria Math" w:hAnsi="Cambria Math"/>
              </w:rPr>
              <m:t>K</m:t>
            </m:r>
          </m:e>
          <m:sub>
            <m:r>
              <w:rPr>
                <w:rFonts w:ascii="Cambria Math" w:hAnsi="Cambria Math"/>
              </w:rPr>
              <m:t>sf</m:t>
            </m:r>
          </m:sub>
        </m:sSub>
        <m:r>
          <w:rPr>
            <w:rFonts w:ascii="Cambria Math" w:hAnsi="Cambria Math"/>
          </w:rPr>
          <m:t xml:space="preserve"> </m:t>
        </m:r>
        <m:sSub>
          <m:sSubPr>
            <m:ctrlPr>
              <w:rPr>
                <w:rFonts w:ascii="Cambria Math" w:hAnsi="Cambria Math"/>
              </w:rPr>
            </m:ctrlPr>
          </m:sSubPr>
          <m:e>
            <m:r>
              <w:rPr>
                <w:rFonts w:ascii="Cambria Math" w:hAnsi="Cambria Math"/>
              </w:rPr>
              <m:t>K</m:t>
            </m:r>
          </m:e>
          <m:sub>
            <m:r>
              <w:rPr>
                <w:rFonts w:ascii="Cambria Math" w:hAnsi="Cambria Math"/>
              </w:rPr>
              <m:t>sc</m:t>
            </m:r>
          </m:sub>
        </m:sSub>
        <m:r>
          <w:rPr>
            <w:rFonts w:ascii="Cambria Math" w:hAnsi="Cambria Math"/>
          </w:rPr>
          <m:t xml:space="preserve"> </m:t>
        </m:r>
        <m:sSub>
          <m:sSubPr>
            <m:ctrlPr>
              <w:rPr>
                <w:rFonts w:ascii="Cambria Math" w:hAnsi="Cambria Math"/>
              </w:rPr>
            </m:ctrlPr>
          </m:sSubPr>
          <m:e>
            <m:r>
              <w:rPr>
                <w:rFonts w:ascii="Cambria Math" w:hAnsi="Cambria Math"/>
              </w:rPr>
              <m:t>K</m:t>
            </m:r>
          </m:e>
          <m:sub>
            <m:r>
              <w:rPr>
                <w:rFonts w:ascii="Cambria Math" w:hAnsi="Cambria Math"/>
              </w:rPr>
              <m:t>st</m:t>
            </m:r>
          </m:sub>
        </m:sSub>
        <m:r>
          <w:rPr>
            <w:rFonts w:ascii="Cambria Math" w:hAnsi="Cambria Math"/>
          </w:rPr>
          <m:t xml:space="preserve"> </m:t>
        </m:r>
        <m:sSub>
          <m:sSubPr>
            <m:ctrlPr>
              <w:rPr>
                <w:rFonts w:ascii="Cambria Math" w:hAnsi="Cambria Math"/>
              </w:rPr>
            </m:ctrlPr>
          </m:sSubPr>
          <m:e>
            <m:r>
              <w:rPr>
                <w:rFonts w:ascii="Cambria Math" w:hAnsi="Cambria Math"/>
              </w:rPr>
              <m:t>K</m:t>
            </m:r>
          </m:e>
          <m:sub>
            <m:r>
              <w:rPr>
                <w:rFonts w:ascii="Cambria Math" w:hAnsi="Cambria Math"/>
              </w:rPr>
              <m:t>ss</m:t>
            </m:r>
          </m:sub>
        </m:sSub>
      </m:oMath>
      <w:r w:rsidR="00C25C85" w:rsidRPr="00BC31E0">
        <w:rPr>
          <w:szCs w:val="24"/>
          <w:vertAlign w:val="subscript"/>
        </w:rPr>
        <w:t xml:space="preserve"> </w:t>
      </w:r>
      <w:r w:rsidR="00C25C85" w:rsidRPr="00BC31E0">
        <w:rPr>
          <w:rFonts w:hint="eastAsia"/>
        </w:rPr>
        <w:t>のいずれか大きい方の値</w:t>
      </w:r>
      <w:r w:rsidR="00C25C85" w:rsidRPr="00BC31E0">
        <w:rPr>
          <w:rFonts w:hint="eastAsia"/>
        </w:rPr>
        <w:t xml:space="preserve"> (</w:t>
      </w:r>
      <w:r w:rsidR="00C25C85" w:rsidRPr="00BC31E0">
        <w:rPr>
          <w:rFonts w:ascii="ＭＳ ゴシック" w:eastAsia="ＭＳ ゴシック"/>
          <w:b/>
        </w:rPr>
        <w:t>6.11.7</w:t>
      </w:r>
      <w:r w:rsidR="00C25C85" w:rsidRPr="00BC31E0">
        <w:rPr>
          <w:rFonts w:hint="eastAsia"/>
        </w:rPr>
        <w:t>)</w:t>
      </w:r>
    </w:p>
    <w:p w14:paraId="061A649A"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sa</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疲労寿命に及ぼす高応力表面部の寸法効果の係数</w:t>
      </w:r>
      <w:r w:rsidR="00C25C85" w:rsidRPr="00BC31E0">
        <w:rPr>
          <w:rFonts w:hint="eastAsia"/>
        </w:rPr>
        <w:t xml:space="preserve"> (</w:t>
      </w:r>
      <w:r w:rsidR="00C25C85" w:rsidRPr="00BC31E0">
        <w:rPr>
          <w:rFonts w:ascii="ＭＳ ゴシック" w:eastAsia="ＭＳ ゴシック"/>
          <w:b/>
        </w:rPr>
        <w:t>6.11.7</w:t>
      </w:r>
      <w:r w:rsidR="00C25C85" w:rsidRPr="00BC31E0">
        <w:rPr>
          <w:rFonts w:hint="eastAsia"/>
        </w:rPr>
        <w:t>)</w:t>
      </w:r>
    </w:p>
    <w:p w14:paraId="3D921D5F"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sc</m:t>
            </m:r>
          </m:sub>
        </m:sSub>
      </m:oMath>
      <w:r w:rsidR="00C25C85" w:rsidRPr="00BC31E0">
        <w:rPr>
          <w:rFonts w:hint="eastAsia"/>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温度によって疲労曲線が異なることに対する修正係数</w:t>
      </w:r>
      <w:r w:rsidR="00C25C85" w:rsidRPr="00BC31E0">
        <w:rPr>
          <w:rFonts w:hint="eastAsia"/>
        </w:rPr>
        <w:t xml:space="preserve"> (</w:t>
      </w:r>
      <w:r w:rsidR="00C25C85" w:rsidRPr="00BC31E0">
        <w:rPr>
          <w:rFonts w:ascii="ＭＳ ゴシック" w:eastAsia="ＭＳ ゴシック"/>
          <w:b/>
        </w:rPr>
        <w:t>6.11.7</w:t>
      </w:r>
      <w:r w:rsidR="00C25C85" w:rsidRPr="00BC31E0">
        <w:rPr>
          <w:rFonts w:hint="eastAsia"/>
        </w:rPr>
        <w:t>)</w:t>
      </w:r>
    </w:p>
    <w:p w14:paraId="297D8C8C"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sf</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表面仕上げの影響係数</w:t>
      </w:r>
      <w:r w:rsidR="00C25C85" w:rsidRPr="00BC31E0">
        <w:rPr>
          <w:rFonts w:hint="eastAsia"/>
        </w:rPr>
        <w:t xml:space="preserve"> (</w:t>
      </w:r>
      <w:r w:rsidR="00C25C85" w:rsidRPr="00BC31E0">
        <w:rPr>
          <w:rFonts w:ascii="ＭＳ ゴシック" w:eastAsia="ＭＳ ゴシック"/>
          <w:b/>
        </w:rPr>
        <w:t>6.11.7</w:t>
      </w:r>
      <w:r w:rsidR="00C25C85" w:rsidRPr="00BC31E0">
        <w:rPr>
          <w:rFonts w:hint="eastAsia"/>
        </w:rPr>
        <w:t>)</w:t>
      </w:r>
    </w:p>
    <w:p w14:paraId="508591D4"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ss</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試験結果の統計的偏差に対する影響係数</w:t>
      </w:r>
      <w:r w:rsidR="00C25C85" w:rsidRPr="00BC31E0">
        <w:rPr>
          <w:rFonts w:hint="eastAsia"/>
        </w:rPr>
        <w:t xml:space="preserve"> (</w:t>
      </w:r>
      <w:r w:rsidR="00C25C85" w:rsidRPr="00BC31E0">
        <w:rPr>
          <w:rFonts w:ascii="ＭＳ ゴシック" w:eastAsia="ＭＳ ゴシック"/>
          <w:b/>
        </w:rPr>
        <w:t>6.11.7</w:t>
      </w:r>
      <w:r w:rsidR="00C25C85" w:rsidRPr="00BC31E0">
        <w:rPr>
          <w:rFonts w:hint="eastAsia"/>
        </w:rPr>
        <w:t>)</w:t>
      </w:r>
    </w:p>
    <w:p w14:paraId="2F3849FC"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st</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疲労試験温度の影響係数</w:t>
      </w:r>
      <w:r w:rsidR="00C25C85" w:rsidRPr="00BC31E0">
        <w:rPr>
          <w:rFonts w:hint="eastAsia"/>
        </w:rPr>
        <w:t xml:space="preserve"> (</w:t>
      </w:r>
      <w:r w:rsidR="00C25C85" w:rsidRPr="00BC31E0">
        <w:rPr>
          <w:rFonts w:ascii="ＭＳ ゴシック" w:eastAsia="ＭＳ ゴシック"/>
          <w:b/>
        </w:rPr>
        <w:t>6.11.7</w:t>
      </w:r>
      <w:r w:rsidR="00C25C85" w:rsidRPr="00BC31E0">
        <w:rPr>
          <w:rFonts w:hint="eastAsia"/>
        </w:rPr>
        <w:t>)</w:t>
      </w:r>
    </w:p>
    <w:p w14:paraId="1D7B0577" w14:textId="77777777" w:rsidR="00C25C85" w:rsidRPr="00BC31E0" w:rsidRDefault="00C25C85" w:rsidP="008234D1">
      <w:pPr>
        <w:tabs>
          <w:tab w:val="left" w:pos="1276"/>
        </w:tabs>
        <w:autoSpaceDE w:val="0"/>
        <w:autoSpaceDN w:val="0"/>
        <w:ind w:left="1588" w:hanging="1021"/>
      </w:pPr>
      <m:oMath>
        <m:r>
          <w:rPr>
            <w:rFonts w:ascii="Cambria Math" w:hAnsi="Cambria Math"/>
            <w:szCs w:val="24"/>
          </w:rPr>
          <m:t>∆</m:t>
        </m:r>
        <m:sSub>
          <m:sSubPr>
            <m:ctrlPr>
              <w:rPr>
                <w:rFonts w:ascii="Cambria Math" w:hAnsi="Cambria Math"/>
                <w:i/>
                <w:szCs w:val="24"/>
              </w:rPr>
            </m:ctrlPr>
          </m:sSubPr>
          <m:e>
            <m:r>
              <w:rPr>
                <w:rFonts w:ascii="Cambria Math" w:hAnsi="Cambria Math" w:hint="eastAsia"/>
                <w:szCs w:val="24"/>
              </w:rPr>
              <m:t>K</m:t>
            </m:r>
          </m:e>
          <m:sub>
            <m:r>
              <m:rPr>
                <m:sty m:val="p"/>
              </m:rPr>
              <w:rPr>
                <w:rFonts w:ascii="Cambria Math" w:hAnsi="Cambria Math"/>
                <w:szCs w:val="24"/>
              </w:rPr>
              <m:t>I</m:t>
            </m:r>
          </m:sub>
        </m:sSub>
      </m:oMath>
      <w:r w:rsidRPr="00BC31E0">
        <w:t xml:space="preserve"> </w:t>
      </w:r>
      <w:r w:rsidRPr="00BC31E0">
        <w:rPr>
          <w:rFonts w:hint="eastAsia"/>
        </w:rPr>
        <w:tab/>
      </w:r>
      <w:r w:rsidRPr="00BC31E0">
        <w:rPr>
          <w:rFonts w:hint="eastAsia"/>
        </w:rPr>
        <w:t>：</w:t>
      </w:r>
      <w:r w:rsidRPr="00BC31E0">
        <w:rPr>
          <w:rFonts w:hint="eastAsia"/>
        </w:rPr>
        <w:t xml:space="preserve"> </w:t>
      </w:r>
      <w:r w:rsidRPr="00BC31E0">
        <w:rPr>
          <w:rFonts w:hint="eastAsia"/>
        </w:rPr>
        <w:t>応力拡大係数範囲</w:t>
      </w:r>
      <w:r w:rsidRPr="00BC31E0">
        <w:rPr>
          <w:rFonts w:hint="eastAsia"/>
        </w:rPr>
        <w:t>(</w:t>
      </w:r>
      <m:oMath>
        <m:r>
          <m:rPr>
            <m:nor/>
          </m:rPr>
          <w:rPr>
            <w:rFonts w:ascii="Cambria Math" w:hAnsi="Cambria Math"/>
          </w:rPr>
          <m:t>MPa</m:t>
        </m:r>
        <m:rad>
          <m:radPr>
            <m:degHide m:val="1"/>
            <m:ctrlPr>
              <w:rPr>
                <w:rFonts w:ascii="Cambria Math" w:hAnsi="Times New Roman"/>
              </w:rPr>
            </m:ctrlPr>
          </m:radPr>
          <m:deg/>
          <m:e>
            <m:r>
              <m:rPr>
                <m:nor/>
              </m:rPr>
              <w:rPr>
                <w:rFonts w:ascii="Cambria Math" w:hAnsi="Cambria Math"/>
              </w:rPr>
              <m:t>m</m:t>
            </m:r>
          </m:e>
        </m:rad>
      </m:oMath>
      <w:r w:rsidRPr="00BC31E0">
        <w:rPr>
          <w:rFonts w:hint="eastAsia"/>
        </w:rPr>
        <w:t>) (</w:t>
      </w:r>
      <w:r w:rsidRPr="00BC31E0">
        <w:rPr>
          <w:rFonts w:ascii="ＭＳ ゴシック" w:eastAsia="ＭＳ ゴシック"/>
          <w:b/>
        </w:rPr>
        <w:t>6.4.6</w:t>
      </w:r>
      <w:r w:rsidRPr="00BC31E0">
        <w:rPr>
          <w:rFonts w:hint="eastAsia"/>
        </w:rPr>
        <w:t>)</w:t>
      </w:r>
    </w:p>
    <w:p w14:paraId="138D738F" w14:textId="77777777" w:rsidR="00C25C85" w:rsidRPr="00BC31E0" w:rsidRDefault="00C25C85" w:rsidP="008234D1">
      <w:pPr>
        <w:tabs>
          <w:tab w:val="left" w:pos="1276"/>
        </w:tabs>
        <w:autoSpaceDE w:val="0"/>
        <w:autoSpaceDN w:val="0"/>
        <w:ind w:left="1588" w:hanging="1021"/>
      </w:pPr>
      <m:oMath>
        <m:r>
          <w:rPr>
            <w:rFonts w:ascii="Cambria Math" w:hAnsi="Cambria Math"/>
            <w:szCs w:val="24"/>
          </w:rPr>
          <m:t>∆</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th</m:t>
            </m:r>
          </m:sub>
        </m:sSub>
      </m:oMath>
      <w:r w:rsidRPr="00BC31E0">
        <w:rPr>
          <w:rFonts w:hint="eastAsia"/>
          <w:szCs w:val="24"/>
          <w:vertAlign w:val="subscript"/>
        </w:rPr>
        <w:tab/>
      </w:r>
      <w:r w:rsidRPr="00BC31E0">
        <w:rPr>
          <w:rFonts w:hint="eastAsia"/>
        </w:rPr>
        <w:t>：</w:t>
      </w:r>
      <w:r w:rsidRPr="00BC31E0">
        <w:rPr>
          <w:rFonts w:hint="eastAsia"/>
        </w:rPr>
        <w:t xml:space="preserve"> </w:t>
      </w:r>
      <w:r w:rsidRPr="00BC31E0">
        <w:rPr>
          <w:rFonts w:hint="eastAsia"/>
        </w:rPr>
        <w:t>下限界応力拡大係数範囲</w:t>
      </w:r>
      <w:r w:rsidRPr="00BC31E0">
        <w:rPr>
          <w:rFonts w:hint="eastAsia"/>
        </w:rPr>
        <w:t>(</w:t>
      </w:r>
      <m:oMath>
        <m:r>
          <m:rPr>
            <m:nor/>
          </m:rPr>
          <w:rPr>
            <w:rFonts w:ascii="Cambria Math" w:hAnsi="Cambria Math"/>
          </w:rPr>
          <m:t>MPa</m:t>
        </m:r>
        <m:rad>
          <m:radPr>
            <m:degHide m:val="1"/>
            <m:ctrlPr>
              <w:rPr>
                <w:rFonts w:ascii="Cambria Math" w:hAnsi="Times New Roman"/>
              </w:rPr>
            </m:ctrlPr>
          </m:radPr>
          <m:deg/>
          <m:e>
            <m:r>
              <m:rPr>
                <m:nor/>
              </m:rPr>
              <w:rPr>
                <w:rFonts w:ascii="Cambria Math" w:hAnsi="Cambria Math"/>
              </w:rPr>
              <m:t>m</m:t>
            </m:r>
          </m:e>
        </m:rad>
      </m:oMath>
      <w:r w:rsidRPr="00BC31E0">
        <w:rPr>
          <w:rFonts w:hint="eastAsia"/>
        </w:rPr>
        <w:t>) (</w:t>
      </w:r>
      <w:r w:rsidRPr="00BC31E0">
        <w:rPr>
          <w:rFonts w:ascii="ＭＳ ゴシック" w:eastAsia="ＭＳ ゴシック"/>
          <w:b/>
        </w:rPr>
        <w:t>6.4.6</w:t>
      </w:r>
      <w:r w:rsidRPr="00BC31E0">
        <w:rPr>
          <w:rFonts w:hint="eastAsia"/>
        </w:rPr>
        <w:t>)</w:t>
      </w:r>
    </w:p>
    <w:p w14:paraId="3496F9CF"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t</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周方向応力集中係数</w:t>
      </w:r>
      <w:r w:rsidR="00C25C85" w:rsidRPr="00BC31E0">
        <w:rPr>
          <w:rFonts w:hint="eastAsia"/>
        </w:rPr>
        <w:t xml:space="preserve"> (</w:t>
      </w:r>
      <w:r w:rsidR="00C25C85" w:rsidRPr="00BC31E0">
        <w:rPr>
          <w:rFonts w:ascii="ＭＳ ゴシック" w:eastAsia="ＭＳ ゴシック" w:hint="eastAsia"/>
          <w:b/>
        </w:rPr>
        <w:t>附属書</w:t>
      </w:r>
      <w:r w:rsidR="00C25C85" w:rsidRPr="00BC31E0">
        <w:rPr>
          <w:rFonts w:ascii="ＭＳ ゴシック" w:eastAsia="ＭＳ ゴシック"/>
          <w:b/>
        </w:rPr>
        <w:t>F 2</w:t>
      </w:r>
      <w:r w:rsidR="00C25C85" w:rsidRPr="00BC31E0">
        <w:rPr>
          <w:rFonts w:hint="eastAsia"/>
        </w:rPr>
        <w:t>)</w:t>
      </w:r>
    </w:p>
    <w:p w14:paraId="1EFA5145"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t</m:t>
            </m:r>
          </m:sub>
        </m:sSub>
        <m:d>
          <m:dPr>
            <m:ctrlPr>
              <w:rPr>
                <w:rFonts w:ascii="Cambria Math" w:hAnsi="Cambria Math"/>
                <w:szCs w:val="24"/>
              </w:rPr>
            </m:ctrlPr>
          </m:dPr>
          <m:e>
            <m:r>
              <w:rPr>
                <w:rFonts w:ascii="Cambria Math" w:hAnsi="Cambria Math"/>
                <w:szCs w:val="24"/>
              </w:rPr>
              <m:t>r</m:t>
            </m:r>
          </m:e>
        </m:d>
      </m:oMath>
      <w:r w:rsidR="00C25C85" w:rsidRPr="00BC31E0">
        <w:rPr>
          <w:rFonts w:hint="eastAsia"/>
          <w:szCs w:val="24"/>
          <w:vertAlign w:val="subscript"/>
        </w:rPr>
        <w:tab/>
      </w:r>
      <w:r w:rsidR="00C25C85" w:rsidRPr="00BC31E0">
        <w:rPr>
          <w:rFonts w:hint="eastAsia"/>
          <w:szCs w:val="24"/>
        </w:rPr>
        <w:t>：</w:t>
      </w:r>
      <w:r w:rsidR="00C25C85" w:rsidRPr="00BC31E0">
        <w:rPr>
          <w:rFonts w:hint="eastAsia"/>
          <w:szCs w:val="24"/>
        </w:rPr>
        <w:t xml:space="preserve"> </w:t>
      </w:r>
      <w:r w:rsidR="00C25C85" w:rsidRPr="00BC31E0">
        <w:rPr>
          <w:rFonts w:hint="eastAsia"/>
          <w:szCs w:val="24"/>
        </w:rPr>
        <w:t>交差穴の応力集中係数</w:t>
      </w:r>
      <w:r w:rsidR="00C25C85" w:rsidRPr="00BC31E0">
        <w:rPr>
          <w:rFonts w:hint="eastAsia"/>
          <w:szCs w:val="24"/>
        </w:rPr>
        <w:t xml:space="preserve"> (</w:t>
      </w:r>
      <w:r w:rsidR="00C25C85" w:rsidRPr="00BC31E0">
        <w:rPr>
          <w:rFonts w:ascii="ＭＳ ゴシック" w:eastAsia="ＭＳ ゴシック" w:hint="eastAsia"/>
          <w:b/>
          <w:szCs w:val="24"/>
        </w:rPr>
        <w:t>附属書C 図C.1</w:t>
      </w:r>
      <w:r w:rsidR="00C25C85" w:rsidRPr="00BC31E0">
        <w:rPr>
          <w:rFonts w:hint="eastAsia"/>
          <w:szCs w:val="24"/>
        </w:rPr>
        <w:t>)</w:t>
      </w:r>
    </w:p>
    <w:p w14:paraId="040C7A18"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TN</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試験寿命比</w:t>
      </w:r>
      <w:r w:rsidR="00C25C85" w:rsidRPr="00BC31E0">
        <w:rPr>
          <w:rFonts w:hint="eastAsia"/>
        </w:rPr>
        <w:t xml:space="preserve"> (</w:t>
      </w:r>
      <w:r w:rsidR="00C25C85" w:rsidRPr="00BC31E0">
        <w:rPr>
          <w:rFonts w:ascii="ＭＳ ゴシック" w:eastAsia="ＭＳ ゴシック"/>
          <w:b/>
        </w:rPr>
        <w:t>6.11.7</w:t>
      </w:r>
      <w:r w:rsidR="00C25C85" w:rsidRPr="00BC31E0">
        <w:rPr>
          <w:rFonts w:hint="eastAsia"/>
        </w:rPr>
        <w:t>)</w:t>
      </w:r>
    </w:p>
    <w:bookmarkStart w:id="135" w:name="_Hlk52186046"/>
    <w:p w14:paraId="6DB49CC5"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TS</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試験応力比</w:t>
      </w:r>
      <w:r w:rsidR="00C25C85" w:rsidRPr="00BC31E0">
        <w:rPr>
          <w:rFonts w:hint="eastAsia"/>
        </w:rPr>
        <w:t xml:space="preserve"> (</w:t>
      </w:r>
      <w:r w:rsidR="00C25C85" w:rsidRPr="00BC31E0">
        <w:rPr>
          <w:rFonts w:ascii="ＭＳ ゴシック" w:eastAsia="ＭＳ ゴシック"/>
          <w:b/>
        </w:rPr>
        <w:t>6.11.7</w:t>
      </w:r>
      <w:r w:rsidR="00C25C85" w:rsidRPr="00BC31E0">
        <w:rPr>
          <w:rFonts w:hint="eastAsia"/>
        </w:rPr>
        <w:t>)</w:t>
      </w:r>
    </w:p>
    <w:p w14:paraId="44EF184B"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K</m:t>
            </m:r>
          </m:e>
          <m:sub>
            <m:r>
              <w:rPr>
                <w:rFonts w:ascii="Cambria Math" w:hAnsi="Cambria Math" w:hint="eastAsia"/>
                <w:szCs w:val="24"/>
              </w:rPr>
              <m:t>ut</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耐圧試験の上限圧力に関する係数</w:t>
      </w:r>
      <w:r w:rsidR="00C25C85" w:rsidRPr="00BC31E0">
        <w:rPr>
          <w:rFonts w:hint="eastAsia"/>
        </w:rPr>
        <w:t xml:space="preserve"> (</w:t>
      </w:r>
      <w:r w:rsidR="00C25C85" w:rsidRPr="00BC31E0">
        <w:rPr>
          <w:rFonts w:ascii="ＭＳ ゴシック" w:eastAsia="ＭＳ ゴシック"/>
          <w:b/>
        </w:rPr>
        <w:t>6.</w:t>
      </w:r>
      <w:r w:rsidR="00C25C85" w:rsidRPr="00BC31E0">
        <w:rPr>
          <w:rFonts w:ascii="ＭＳ ゴシック" w:eastAsia="ＭＳ ゴシック" w:hint="eastAsia"/>
          <w:b/>
        </w:rPr>
        <w:t>2</w:t>
      </w:r>
      <w:r w:rsidR="00C25C85" w:rsidRPr="00BC31E0">
        <w:rPr>
          <w:rFonts w:ascii="ＭＳ ゴシック" w:eastAsia="ＭＳ ゴシック"/>
          <w:b/>
        </w:rPr>
        <w:t>.</w:t>
      </w:r>
      <w:r w:rsidR="00C25C85" w:rsidRPr="00BC31E0">
        <w:rPr>
          <w:rFonts w:ascii="ＭＳ ゴシック" w:eastAsia="ＭＳ ゴシック" w:hint="eastAsia"/>
          <w:b/>
        </w:rPr>
        <w:t>2，表6.2.3，10.3.2</w:t>
      </w:r>
      <w:r w:rsidR="00C25C85" w:rsidRPr="00BC31E0">
        <w:rPr>
          <w:rFonts w:hint="eastAsia"/>
        </w:rPr>
        <w:t>)</w:t>
      </w:r>
    </w:p>
    <w:bookmarkStart w:id="136" w:name="_Hlk52192855"/>
    <w:p w14:paraId="2383D049"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K</m:t>
            </m:r>
          </m:e>
          <m:sub>
            <m:r>
              <w:rPr>
                <w:rFonts w:ascii="Cambria Math" w:hAnsi="Cambria Math" w:hint="eastAsia"/>
                <w:szCs w:val="24"/>
              </w:rPr>
              <m:t>utj</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多層容器各層の耐圧試験の上限圧力に関する係数</w:t>
      </w:r>
      <w:r w:rsidR="00C25C85" w:rsidRPr="00BC31E0">
        <w:rPr>
          <w:rFonts w:hint="eastAsia"/>
        </w:rPr>
        <w:t xml:space="preserve"> (</w:t>
      </w:r>
      <w:r w:rsidR="00C25C85" w:rsidRPr="00BC31E0">
        <w:rPr>
          <w:rFonts w:ascii="ＭＳ ゴシック" w:eastAsia="ＭＳ ゴシック"/>
          <w:b/>
        </w:rPr>
        <w:t>6.</w:t>
      </w:r>
      <w:r w:rsidR="00C25C85" w:rsidRPr="00BC31E0">
        <w:rPr>
          <w:rFonts w:ascii="ＭＳ ゴシック" w:eastAsia="ＭＳ ゴシック" w:hint="eastAsia"/>
          <w:b/>
        </w:rPr>
        <w:t>2</w:t>
      </w:r>
      <w:r w:rsidR="00C25C85" w:rsidRPr="00BC31E0">
        <w:rPr>
          <w:rFonts w:ascii="ＭＳ ゴシック" w:eastAsia="ＭＳ ゴシック"/>
          <w:b/>
        </w:rPr>
        <w:t>.</w:t>
      </w:r>
      <w:r w:rsidR="00C25C85" w:rsidRPr="00BC31E0">
        <w:rPr>
          <w:rFonts w:ascii="ＭＳ ゴシック" w:eastAsia="ＭＳ ゴシック" w:hint="eastAsia"/>
          <w:b/>
        </w:rPr>
        <w:t>2，表6.2.3，10.3.2</w:t>
      </w:r>
      <w:r w:rsidR="00C25C85" w:rsidRPr="00BC31E0">
        <w:rPr>
          <w:rFonts w:hint="eastAsia"/>
        </w:rPr>
        <w:t>)</w:t>
      </w:r>
    </w:p>
    <w:bookmarkEnd w:id="136"/>
    <w:p w14:paraId="12DA4E99"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K</m:t>
            </m:r>
          </m:e>
          <m:sub>
            <m:r>
              <w:rPr>
                <w:rFonts w:ascii="Cambria Math" w:hAnsi="Cambria Math" w:hint="eastAsia"/>
                <w:szCs w:val="24"/>
              </w:rPr>
              <m:t>uteq</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多層容器に対する耐圧試験の上限圧力に関する等価係数</w:t>
      </w:r>
      <w:r w:rsidR="00C25C85" w:rsidRPr="00BC31E0">
        <w:rPr>
          <w:rFonts w:hint="eastAsia"/>
        </w:rPr>
        <w:t xml:space="preserve"> (</w:t>
      </w:r>
      <w:r w:rsidR="00C25C85" w:rsidRPr="00BC31E0">
        <w:rPr>
          <w:rFonts w:hint="eastAsia"/>
        </w:rPr>
        <w:t>表</w:t>
      </w:r>
      <w:r w:rsidR="00C25C85" w:rsidRPr="00BC31E0">
        <w:rPr>
          <w:rFonts w:ascii="ＭＳ ゴシック" w:eastAsia="ＭＳ ゴシック" w:hint="eastAsia"/>
          <w:b/>
        </w:rPr>
        <w:t>6.2.3</w:t>
      </w:r>
      <w:r w:rsidR="00C25C85" w:rsidRPr="00BC31E0">
        <w:rPr>
          <w:rFonts w:hint="eastAsia"/>
        </w:rPr>
        <w:t>)</w:t>
      </w:r>
    </w:p>
    <w:bookmarkEnd w:id="135"/>
    <w:p w14:paraId="5C060166" w14:textId="77777777" w:rsidR="00C25C85" w:rsidRPr="00BC31E0" w:rsidRDefault="00C25C85" w:rsidP="008234D1">
      <w:pPr>
        <w:tabs>
          <w:tab w:val="left" w:pos="1276"/>
        </w:tabs>
        <w:autoSpaceDE w:val="0"/>
        <w:autoSpaceDN w:val="0"/>
        <w:ind w:left="1588" w:hanging="1021"/>
      </w:pPr>
      <m:oMath>
        <m:r>
          <w:rPr>
            <w:rFonts w:ascii="Cambria Math" w:hAnsi="Cambria Math" w:hint="eastAsia"/>
            <w:szCs w:val="24"/>
            <w:vertAlign w:val="subscript"/>
          </w:rPr>
          <m:t>k</m:t>
        </m:r>
      </m:oMath>
      <w:r w:rsidRPr="00BC31E0">
        <w:rPr>
          <w:szCs w:val="24"/>
          <w:vertAlign w:val="subscript"/>
        </w:rPr>
        <w:tab/>
      </w:r>
      <w:r w:rsidRPr="00BC31E0">
        <w:rPr>
          <w:rFonts w:hint="eastAsia"/>
        </w:rPr>
        <w:t>：</w:t>
      </w:r>
      <w:r w:rsidRPr="00BC31E0">
        <w:rPr>
          <w:rFonts w:hint="eastAsia"/>
        </w:rPr>
        <w:t xml:space="preserve"> </w:t>
      </w:r>
      <w:r w:rsidRPr="00BC31E0">
        <w:rPr>
          <w:rFonts w:hint="eastAsia"/>
        </w:rPr>
        <w:t>層の番号</w:t>
      </w:r>
      <w:r w:rsidRPr="00BC31E0">
        <w:rPr>
          <w:rFonts w:hint="eastAsia"/>
        </w:rPr>
        <w:t xml:space="preserve"> (</w:t>
      </w:r>
      <w:r w:rsidRPr="00BC31E0">
        <w:rPr>
          <w:rFonts w:ascii="ＭＳ ゴシック" w:eastAsia="ＭＳ ゴシック"/>
          <w:b/>
        </w:rPr>
        <w:t>6.</w:t>
      </w:r>
      <w:r w:rsidRPr="00BC31E0">
        <w:rPr>
          <w:rFonts w:ascii="ＭＳ ゴシック" w:eastAsia="ＭＳ ゴシック" w:hint="eastAsia"/>
          <w:b/>
        </w:rPr>
        <w:t>8</w:t>
      </w:r>
      <w:r w:rsidRPr="00BC31E0">
        <w:rPr>
          <w:rFonts w:ascii="ＭＳ ゴシック" w:eastAsia="ＭＳ ゴシック"/>
          <w:b/>
        </w:rPr>
        <w:t>.</w:t>
      </w:r>
      <w:r w:rsidRPr="00BC31E0">
        <w:rPr>
          <w:rFonts w:ascii="ＭＳ ゴシック" w:eastAsia="ＭＳ ゴシック" w:hint="eastAsia"/>
          <w:b/>
        </w:rPr>
        <w:t>3</w:t>
      </w:r>
      <w:r w:rsidRPr="00BC31E0">
        <w:rPr>
          <w:rFonts w:hint="eastAsia"/>
        </w:rPr>
        <w:t>)</w:t>
      </w:r>
    </w:p>
    <w:p w14:paraId="6D707A46"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vertAlign w:val="subscript"/>
              </w:rPr>
            </m:ctrlPr>
          </m:sSubPr>
          <m:e>
            <m:r>
              <w:rPr>
                <w:rFonts w:ascii="Cambria Math" w:hAnsi="Cambria Math" w:hint="eastAsia"/>
                <w:szCs w:val="24"/>
                <w:vertAlign w:val="subscript"/>
              </w:rPr>
              <m:t>k</m:t>
            </m:r>
          </m:e>
          <m:sub>
            <m:r>
              <w:rPr>
                <w:rFonts w:ascii="Cambria Math" w:hAnsi="Cambria Math" w:hint="eastAsia"/>
                <w:szCs w:val="24"/>
                <w:vertAlign w:val="subscript"/>
              </w:rPr>
              <m:t>c</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クリープ温度域の膜応力補正係数</w:t>
      </w:r>
      <w:r w:rsidR="00C25C85" w:rsidRPr="00BC31E0">
        <w:rPr>
          <w:rFonts w:hint="eastAsia"/>
        </w:rPr>
        <w:t xml:space="preserve"> (</w:t>
      </w:r>
      <w:r w:rsidR="00C25C85" w:rsidRPr="00BC31E0">
        <w:rPr>
          <w:rFonts w:asciiTheme="majorEastAsia" w:eastAsiaTheme="majorEastAsia" w:hAnsiTheme="majorEastAsia" w:hint="eastAsia"/>
          <w:b/>
          <w:bCs/>
        </w:rPr>
        <w:t>5.4</w:t>
      </w:r>
      <w:r w:rsidR="00C25C85" w:rsidRPr="00BC31E0">
        <w:rPr>
          <w:rFonts w:hint="eastAsia"/>
        </w:rPr>
        <w:t>，</w:t>
      </w:r>
      <w:r w:rsidR="00C25C85" w:rsidRPr="00BC31E0">
        <w:rPr>
          <w:rFonts w:asciiTheme="majorEastAsia" w:eastAsiaTheme="majorEastAsia" w:hAnsiTheme="majorEastAsia" w:hint="eastAsia"/>
          <w:b/>
        </w:rPr>
        <w:t>6.2.2</w:t>
      </w:r>
      <w:r w:rsidR="00C25C85" w:rsidRPr="00BC31E0">
        <w:rPr>
          <w:rFonts w:hint="eastAsia"/>
        </w:rPr>
        <w:t>，</w:t>
      </w:r>
      <w:r w:rsidR="00C25C85" w:rsidRPr="00BC31E0">
        <w:rPr>
          <w:rFonts w:ascii="ＭＳ ゴシック" w:eastAsia="ＭＳ ゴシック" w:hint="eastAsia"/>
          <w:b/>
        </w:rPr>
        <w:t xml:space="preserve">附属書J </w:t>
      </w:r>
      <w:r w:rsidR="00C25C85" w:rsidRPr="00BC31E0">
        <w:rPr>
          <w:rFonts w:ascii="ＭＳ ゴシック" w:eastAsia="ＭＳ ゴシック"/>
          <w:b/>
        </w:rPr>
        <w:t>1</w:t>
      </w:r>
      <w:r w:rsidR="00C25C85" w:rsidRPr="00BC31E0">
        <w:rPr>
          <w:rFonts w:hint="eastAsia"/>
        </w:rPr>
        <w:t>)</w:t>
      </w:r>
    </w:p>
    <w:p w14:paraId="0F0FAF91"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vertAlign w:val="subscript"/>
              </w:rPr>
            </m:ctrlPr>
          </m:sSubPr>
          <m:e>
            <m:r>
              <w:rPr>
                <w:rFonts w:ascii="Cambria Math" w:hAnsi="Cambria Math" w:hint="eastAsia"/>
                <w:szCs w:val="24"/>
                <w:vertAlign w:val="subscript"/>
              </w:rPr>
              <m:t>k</m:t>
            </m:r>
          </m:e>
          <m:sub>
            <m:r>
              <w:rPr>
                <w:rFonts w:ascii="Cambria Math" w:hAnsi="Cambria Math"/>
                <w:szCs w:val="24"/>
                <w:vertAlign w:val="subscript"/>
              </w:rPr>
              <m:t>C1</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一次応力の許容限界に対する設計補正係数</w:t>
      </w:r>
      <w:r w:rsidR="00C25C85" w:rsidRPr="00BC31E0">
        <w:rPr>
          <w:rFonts w:hint="eastAsia"/>
        </w:rPr>
        <w:t xml:space="preserve"> (</w:t>
      </w:r>
      <w:r w:rsidR="00C25C85" w:rsidRPr="00BC31E0">
        <w:rPr>
          <w:rFonts w:ascii="ＭＳ ゴシック" w:eastAsia="ＭＳ ゴシック" w:hint="eastAsia"/>
          <w:b/>
        </w:rPr>
        <w:t>附属書J</w:t>
      </w:r>
      <w:r w:rsidR="00C25C85" w:rsidRPr="00BC31E0">
        <w:rPr>
          <w:rFonts w:ascii="ＭＳ ゴシック" w:eastAsia="ＭＳ ゴシック"/>
          <w:b/>
        </w:rPr>
        <w:t xml:space="preserve"> 1</w:t>
      </w:r>
      <w:r w:rsidR="00C25C85" w:rsidRPr="00BC31E0">
        <w:rPr>
          <w:rFonts w:hint="eastAsia"/>
        </w:rPr>
        <w:t>)</w:t>
      </w:r>
    </w:p>
    <w:p w14:paraId="67CF02F3" w14:textId="77777777" w:rsidR="00C25C85" w:rsidRPr="00BC31E0" w:rsidRDefault="00C25C85" w:rsidP="008234D1">
      <w:pPr>
        <w:tabs>
          <w:tab w:val="left" w:pos="1276"/>
        </w:tabs>
        <w:autoSpaceDE w:val="0"/>
        <w:autoSpaceDN w:val="0"/>
        <w:ind w:left="1588" w:hanging="1021"/>
      </w:pPr>
      <w:bookmarkStart w:id="137" w:name="_Hlk52186135"/>
      <m:oMath>
        <m:r>
          <w:rPr>
            <w:rFonts w:ascii="Cambria Math" w:hAnsi="Cambria Math"/>
            <w:szCs w:val="24"/>
          </w:rPr>
          <m:t>L</m:t>
        </m:r>
      </m:oMath>
      <w:bookmarkEnd w:id="137"/>
      <w:r w:rsidRPr="00BC31E0">
        <w:rPr>
          <w:szCs w:val="24"/>
        </w:rPr>
        <w:tab/>
      </w:r>
      <w:r w:rsidRPr="00BC31E0">
        <w:rPr>
          <w:rFonts w:hint="eastAsia"/>
          <w:szCs w:val="24"/>
        </w:rPr>
        <w:t>：</w:t>
      </w:r>
      <w:r w:rsidRPr="00BC31E0">
        <w:rPr>
          <w:rFonts w:hint="eastAsia"/>
          <w:szCs w:val="24"/>
        </w:rPr>
        <w:t xml:space="preserve"> </w:t>
      </w:r>
      <w:r w:rsidRPr="00BC31E0">
        <w:rPr>
          <w:rFonts w:hint="eastAsia"/>
        </w:rPr>
        <w:t>活荷重</w:t>
      </w:r>
      <w:r w:rsidRPr="00BC31E0">
        <w:rPr>
          <w:rFonts w:hint="eastAsia"/>
        </w:rPr>
        <w:t>(</w:t>
      </w:r>
      <w:r w:rsidRPr="00BC31E0">
        <w:rPr>
          <w:rFonts w:hint="eastAsia"/>
        </w:rPr>
        <w:t>流体による慣性力含む</w:t>
      </w:r>
      <w:r w:rsidRPr="00BC31E0">
        <w:rPr>
          <w:rFonts w:hint="eastAsia"/>
        </w:rPr>
        <w:t>)(</w:t>
      </w:r>
      <w:r w:rsidRPr="00BC31E0">
        <w:rPr>
          <w:rFonts w:ascii="Cambria Math" w:hAnsi="Cambria Math"/>
        </w:rPr>
        <w:t>N</w:t>
      </w:r>
      <w:r w:rsidRPr="00BC31E0">
        <w:rPr>
          <w:rFonts w:hint="eastAsia"/>
        </w:rPr>
        <w:t>) (</w:t>
      </w:r>
      <w:r w:rsidRPr="00BC31E0">
        <w:rPr>
          <w:rFonts w:asciiTheme="majorEastAsia" w:eastAsiaTheme="majorEastAsia" w:hAnsiTheme="majorEastAsia" w:hint="eastAsia"/>
          <w:b/>
        </w:rPr>
        <w:t>表6.2.2</w:t>
      </w:r>
      <w:r w:rsidRPr="00BC31E0">
        <w:rPr>
          <w:rFonts w:asciiTheme="minorEastAsia" w:eastAsiaTheme="minorEastAsia" w:hAnsiTheme="minorEastAsia" w:hint="eastAsia"/>
        </w:rPr>
        <w:t>，</w:t>
      </w:r>
      <w:r w:rsidRPr="00BC31E0">
        <w:rPr>
          <w:rFonts w:asciiTheme="majorEastAsia" w:eastAsiaTheme="majorEastAsia" w:hAnsiTheme="majorEastAsia" w:hint="eastAsia"/>
          <w:b/>
        </w:rPr>
        <w:t>附属書J 表J.1</w:t>
      </w:r>
      <w:r w:rsidRPr="00BC31E0">
        <w:rPr>
          <w:rFonts w:hint="eastAsia"/>
        </w:rPr>
        <w:t>)</w:t>
      </w:r>
    </w:p>
    <w:p w14:paraId="0BB103BD" w14:textId="77777777" w:rsidR="00C25C85" w:rsidRPr="00BC31E0" w:rsidRDefault="00C25C85" w:rsidP="008234D1">
      <w:pPr>
        <w:tabs>
          <w:tab w:val="left" w:pos="1276"/>
        </w:tabs>
        <w:autoSpaceDE w:val="0"/>
        <w:autoSpaceDN w:val="0"/>
        <w:ind w:left="1588" w:hanging="1021"/>
        <w:rPr>
          <w:szCs w:val="24"/>
        </w:rPr>
      </w:pPr>
      <w:r w:rsidRPr="00BC31E0">
        <w:rPr>
          <w:rFonts w:hint="eastAsia"/>
          <w:szCs w:val="24"/>
        </w:rPr>
        <w:tab/>
      </w:r>
      <w:r w:rsidRPr="00BC31E0">
        <w:rPr>
          <w:rFonts w:hint="eastAsia"/>
          <w:szCs w:val="24"/>
        </w:rPr>
        <w:t>：</w:t>
      </w:r>
      <w:r w:rsidRPr="00BC31E0">
        <w:rPr>
          <w:rFonts w:hint="eastAsia"/>
          <w:szCs w:val="24"/>
        </w:rPr>
        <w:t xml:space="preserve"> </w:t>
      </w:r>
      <w:r w:rsidRPr="00BC31E0">
        <w:t>最大指示模様長さ</w:t>
      </w:r>
      <w:r w:rsidRPr="00BC31E0">
        <w:rPr>
          <w:rFonts w:hint="eastAsia"/>
        </w:rPr>
        <w:t>(</w:t>
      </w:r>
      <w:r w:rsidRPr="00BC31E0">
        <w:rPr>
          <w:rFonts w:ascii="Cambria Math" w:hAnsi="Cambria Math"/>
        </w:rPr>
        <w:t>mm</w:t>
      </w:r>
      <w:r w:rsidRPr="00BC31E0">
        <w:rPr>
          <w:rFonts w:hint="eastAsia"/>
        </w:rPr>
        <w:t>) (</w:t>
      </w:r>
      <w:r w:rsidRPr="00BC31E0">
        <w:rPr>
          <w:rFonts w:asciiTheme="majorEastAsia" w:eastAsiaTheme="majorEastAsia" w:hAnsiTheme="majorEastAsia" w:hint="eastAsia"/>
          <w:b/>
        </w:rPr>
        <w:t>9.3.6</w:t>
      </w:r>
      <w:r w:rsidRPr="00BC31E0">
        <w:rPr>
          <w:rFonts w:hint="eastAsia"/>
        </w:rPr>
        <w:t>)</w:t>
      </w:r>
    </w:p>
    <w:p w14:paraId="20E92CE0" w14:textId="77777777" w:rsidR="00C25C85" w:rsidRPr="00BC31E0" w:rsidRDefault="00C25C85" w:rsidP="008234D1">
      <w:pPr>
        <w:tabs>
          <w:tab w:val="left" w:pos="1276"/>
        </w:tabs>
        <w:autoSpaceDE w:val="0"/>
        <w:autoSpaceDN w:val="0"/>
        <w:ind w:left="1588" w:hanging="1021"/>
      </w:pPr>
      <w:r w:rsidRPr="00BC31E0">
        <w:rPr>
          <w:rFonts w:hint="eastAsia"/>
          <w:szCs w:val="24"/>
        </w:rPr>
        <w:tab/>
      </w:r>
      <w:r w:rsidRPr="00BC31E0">
        <w:rPr>
          <w:rFonts w:hint="eastAsia"/>
        </w:rPr>
        <w:t>：</w:t>
      </w:r>
      <w:r w:rsidRPr="00BC31E0">
        <w:rPr>
          <w:rFonts w:hint="eastAsia"/>
        </w:rPr>
        <w:t xml:space="preserve"> </w:t>
      </w: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n</m:t>
            </m:r>
          </m:sub>
        </m:sSub>
        <m:r>
          <w:rPr>
            <w:rFonts w:ascii="Cambria Math" w:hAnsi="Cambria Math"/>
            <w:szCs w:val="24"/>
          </w:rPr>
          <m:t xml:space="preserve"> </m:t>
        </m:r>
      </m:oMath>
      <w:r w:rsidRPr="00BC31E0">
        <w:rPr>
          <w:rFonts w:hint="eastAsia"/>
        </w:rPr>
        <w:t>の厚さの部分とテーパ－部の合計長さ</w:t>
      </w:r>
      <w:r w:rsidRPr="00BC31E0">
        <w:rPr>
          <w:rFonts w:hint="eastAsia"/>
        </w:rPr>
        <w:t>(</w:t>
      </w:r>
      <w:r w:rsidRPr="00BC31E0">
        <w:rPr>
          <w:rFonts w:ascii="Cambria Math" w:hAnsi="Cambria Math"/>
        </w:rPr>
        <w:t>mm</w:t>
      </w:r>
      <w:r w:rsidRPr="00BC31E0">
        <w:rPr>
          <w:rFonts w:hint="eastAsia"/>
        </w:rPr>
        <w:t>) (</w:t>
      </w:r>
      <w:r w:rsidRPr="00BC31E0">
        <w:rPr>
          <w:rFonts w:ascii="ＭＳ ゴシック" w:eastAsia="ＭＳ ゴシック" w:hint="eastAsia"/>
          <w:b/>
        </w:rPr>
        <w:t>附属書</w:t>
      </w:r>
      <w:r w:rsidRPr="00BC31E0">
        <w:rPr>
          <w:rFonts w:ascii="ＭＳ ゴシック" w:eastAsia="ＭＳ ゴシック"/>
          <w:b/>
        </w:rPr>
        <w:t>E 6.2</w:t>
      </w:r>
      <w:r w:rsidRPr="00BC31E0">
        <w:rPr>
          <w:rFonts w:hint="eastAsia"/>
        </w:rPr>
        <w:t>)</w:t>
      </w:r>
    </w:p>
    <w:p w14:paraId="2C6B3E3B" w14:textId="77777777" w:rsidR="00C25C85" w:rsidRPr="00BC31E0" w:rsidRDefault="00C25C85" w:rsidP="008234D1">
      <w:pPr>
        <w:tabs>
          <w:tab w:val="left" w:pos="1276"/>
        </w:tabs>
        <w:autoSpaceDE w:val="0"/>
        <w:autoSpaceDN w:val="0"/>
        <w:ind w:left="1588" w:hanging="1021"/>
      </w:pPr>
      <m:oMath>
        <m:r>
          <w:rPr>
            <w:rFonts w:ascii="Cambria Math" w:hAnsi="Cambria Math"/>
            <w:szCs w:val="24"/>
          </w:rPr>
          <m:t>L</m:t>
        </m:r>
        <m:r>
          <w:rPr>
            <w:rFonts w:ascii="Cambria Math" w:hAnsi="Cambria Math" w:hint="eastAsia"/>
            <w:szCs w:val="24"/>
          </w:rPr>
          <m:t>T</m:t>
        </m:r>
      </m:oMath>
      <w:r w:rsidRPr="00BC31E0">
        <w:rPr>
          <w:szCs w:val="24"/>
        </w:rPr>
        <w:tab/>
      </w:r>
      <w:r w:rsidRPr="00BC31E0">
        <w:rPr>
          <w:rFonts w:hint="eastAsia"/>
        </w:rPr>
        <w:t>：</w:t>
      </w:r>
      <w:r w:rsidRPr="00BC31E0">
        <w:rPr>
          <w:rFonts w:hint="eastAsia"/>
        </w:rPr>
        <w:t xml:space="preserve"> </w:t>
      </w:r>
      <w:r w:rsidRPr="00BC31E0">
        <w:rPr>
          <w:rFonts w:hint="eastAsia"/>
        </w:rPr>
        <w:t>板の場合には、長手方向に垂直な方向</w:t>
      </w:r>
      <w:r w:rsidRPr="00BC31E0">
        <w:rPr>
          <w:rFonts w:hint="eastAsia"/>
        </w:rPr>
        <w:t xml:space="preserve"> (</w:t>
      </w:r>
      <w:r w:rsidRPr="00BC31E0">
        <w:rPr>
          <w:rFonts w:ascii="ＭＳ ゴシック" w:eastAsia="ＭＳ ゴシック"/>
          <w:b/>
        </w:rPr>
        <w:t>6.</w:t>
      </w:r>
      <w:r w:rsidRPr="00BC31E0">
        <w:rPr>
          <w:rFonts w:ascii="ＭＳ ゴシック" w:eastAsia="ＭＳ ゴシック" w:hint="eastAsia"/>
          <w:b/>
        </w:rPr>
        <w:t>13.3</w:t>
      </w:r>
      <w:r w:rsidRPr="00BC31E0">
        <w:rPr>
          <w:rFonts w:hint="eastAsia"/>
        </w:rPr>
        <w:t>)</w:t>
      </w:r>
    </w:p>
    <w:p w14:paraId="293F2165"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L</m:t>
            </m:r>
          </m:e>
          <m:sub>
            <m:r>
              <w:rPr>
                <w:rFonts w:ascii="Cambria Math" w:hAnsi="Cambria Math" w:hint="eastAsia"/>
                <w:szCs w:val="24"/>
              </w:rPr>
              <m:t>A</m:t>
            </m:r>
          </m:sub>
        </m:sSub>
      </m:oMath>
      <w:r w:rsidR="00C25C85" w:rsidRPr="00BC31E0">
        <w:t xml:space="preserve"> </w:t>
      </w:r>
      <w:r w:rsidR="00C25C85" w:rsidRPr="00BC31E0">
        <w:rPr>
          <w:rFonts w:hint="eastAsia"/>
        </w:rPr>
        <w:tab/>
      </w:r>
      <w:r w:rsidR="00C25C85" w:rsidRPr="00BC31E0">
        <w:rPr>
          <w:rFonts w:hint="eastAsia"/>
        </w:rPr>
        <w:t>：</w:t>
      </w:r>
      <w:r w:rsidR="00C25C85" w:rsidRPr="00BC31E0">
        <w:rPr>
          <w:rFonts w:hint="eastAsia"/>
        </w:rPr>
        <w:t xml:space="preserve"> </w:t>
      </w:r>
      <w:r w:rsidR="00C25C85" w:rsidRPr="00BC31E0">
        <w:rPr>
          <w:rFonts w:hint="eastAsia"/>
        </w:rPr>
        <w:t>船体の揺動運動による加速度荷重</w:t>
      </w:r>
      <w:r w:rsidR="00C25C85" w:rsidRPr="00BC31E0">
        <w:rPr>
          <w:rFonts w:hint="eastAsia"/>
        </w:rPr>
        <w:t>(</w:t>
      </w:r>
      <w:r w:rsidR="00C25C85" w:rsidRPr="00BC31E0">
        <w:rPr>
          <w:rFonts w:ascii="Cambria Math" w:hAnsi="Cambria Math"/>
        </w:rPr>
        <w:t>N</w:t>
      </w:r>
      <w:r w:rsidR="00C25C85" w:rsidRPr="00BC31E0">
        <w:rPr>
          <w:rFonts w:hint="eastAsia"/>
        </w:rPr>
        <w:t>) (</w:t>
      </w:r>
      <w:r w:rsidR="00C25C85" w:rsidRPr="00BC31E0">
        <w:rPr>
          <w:rFonts w:asciiTheme="majorEastAsia" w:eastAsiaTheme="majorEastAsia" w:hAnsiTheme="majorEastAsia" w:hint="eastAsia"/>
          <w:b/>
        </w:rPr>
        <w:t>表6.2.2</w:t>
      </w:r>
      <w:r w:rsidR="00C25C85" w:rsidRPr="00BC31E0">
        <w:rPr>
          <w:rFonts w:asciiTheme="minorEastAsia" w:eastAsiaTheme="minorEastAsia" w:hAnsiTheme="minorEastAsia" w:hint="eastAsia"/>
        </w:rPr>
        <w:t>，</w:t>
      </w:r>
      <w:r w:rsidR="00C25C85" w:rsidRPr="00BC31E0">
        <w:rPr>
          <w:rFonts w:asciiTheme="majorEastAsia" w:eastAsiaTheme="majorEastAsia" w:hAnsiTheme="majorEastAsia" w:hint="eastAsia"/>
          <w:b/>
        </w:rPr>
        <w:t>附属書J 表J.1</w:t>
      </w:r>
      <w:r w:rsidR="00C25C85" w:rsidRPr="00BC31E0">
        <w:rPr>
          <w:rFonts w:hint="eastAsia"/>
        </w:rPr>
        <w:t>)</w:t>
      </w:r>
    </w:p>
    <w:p w14:paraId="75F0EFDD"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L</m:t>
            </m:r>
          </m:e>
          <m:sub>
            <m:r>
              <w:rPr>
                <w:rFonts w:ascii="Cambria Math" w:hAnsi="Cambria Math"/>
                <w:szCs w:val="24"/>
              </w:rPr>
              <m:t>a</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クランプボルト中心径からクランプラグジョイント体までの距離</w:t>
      </w:r>
      <w:r w:rsidR="00C25C85" w:rsidRPr="00BC31E0">
        <w:rPr>
          <w:rFonts w:hint="eastAsia"/>
        </w:rPr>
        <w:t>(</w:t>
      </w:r>
      <w:r w:rsidR="00C25C85" w:rsidRPr="00BC31E0">
        <w:rPr>
          <w:rFonts w:ascii="Cambria Math" w:hAnsi="Cambria Math"/>
        </w:rPr>
        <w:t>mm</w:t>
      </w:r>
      <w:r w:rsidR="00C25C85" w:rsidRPr="00BC31E0">
        <w:rPr>
          <w:rFonts w:hint="eastAsia"/>
        </w:rPr>
        <w:t>) (</w:t>
      </w:r>
      <w:r w:rsidR="00C25C85" w:rsidRPr="00BC31E0">
        <w:rPr>
          <w:rFonts w:ascii="ＭＳ ゴシック" w:eastAsia="ＭＳ ゴシック" w:hint="eastAsia"/>
          <w:b/>
        </w:rPr>
        <w:t>附属書</w:t>
      </w:r>
      <w:r w:rsidR="00C25C85" w:rsidRPr="00BC31E0">
        <w:rPr>
          <w:rFonts w:ascii="ＭＳ ゴシック" w:eastAsia="ＭＳ ゴシック"/>
          <w:b/>
        </w:rPr>
        <w:t>H 3</w:t>
      </w:r>
      <w:r w:rsidR="00C25C85" w:rsidRPr="00BC31E0">
        <w:rPr>
          <w:rFonts w:hint="eastAsia"/>
        </w:rPr>
        <w:t>)</w:t>
      </w:r>
    </w:p>
    <w:p w14:paraId="372ED8C3"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L</m:t>
            </m:r>
          </m:e>
          <m:sub>
            <m:r>
              <w:rPr>
                <w:rFonts w:ascii="Cambria Math" w:hAnsi="Cambria Math"/>
                <w:szCs w:val="24"/>
              </w:rPr>
              <m:t>h</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クランプラグの高さ</w:t>
      </w:r>
      <w:r w:rsidR="00C25C85" w:rsidRPr="00BC31E0">
        <w:rPr>
          <w:rFonts w:hint="eastAsia"/>
        </w:rPr>
        <w:t>(</w:t>
      </w:r>
      <w:r w:rsidR="00C25C85" w:rsidRPr="00BC31E0">
        <w:rPr>
          <w:rFonts w:ascii="Cambria Math" w:hAnsi="Cambria Math"/>
        </w:rPr>
        <w:t>mm</w:t>
      </w:r>
      <w:r w:rsidR="00C25C85" w:rsidRPr="00BC31E0">
        <w:rPr>
          <w:rFonts w:hint="eastAsia"/>
        </w:rPr>
        <w:t>) (</w:t>
      </w:r>
      <w:r w:rsidR="00C25C85" w:rsidRPr="00BC31E0">
        <w:rPr>
          <w:rFonts w:ascii="ＭＳ ゴシック" w:eastAsia="ＭＳ ゴシック" w:hint="eastAsia"/>
          <w:b/>
        </w:rPr>
        <w:t>附属書</w:t>
      </w:r>
      <w:r w:rsidR="00C25C85" w:rsidRPr="00BC31E0">
        <w:rPr>
          <w:rFonts w:ascii="ＭＳ ゴシック" w:eastAsia="ＭＳ ゴシック"/>
          <w:b/>
        </w:rPr>
        <w:t>H 3</w:t>
      </w:r>
      <w:r w:rsidR="00C25C85" w:rsidRPr="00BC31E0">
        <w:rPr>
          <w:rFonts w:hint="eastAsia"/>
        </w:rPr>
        <w:t>)</w:t>
      </w:r>
    </w:p>
    <w:p w14:paraId="1B3E84D6"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L</m:t>
            </m:r>
          </m:e>
          <m:sub>
            <m:r>
              <w:rPr>
                <w:rFonts w:ascii="Cambria Math" w:hAnsi="Cambria Math"/>
                <w:szCs w:val="24"/>
              </w:rPr>
              <m:t>T</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疲労試験におけるワイヤの長さ</w:t>
      </w:r>
      <w:r w:rsidR="00C25C85" w:rsidRPr="00BC31E0">
        <w:rPr>
          <w:rFonts w:hint="eastAsia"/>
        </w:rPr>
        <w:t>(</w:t>
      </w:r>
      <w:r w:rsidR="00C25C85" w:rsidRPr="00BC31E0">
        <w:rPr>
          <w:rFonts w:ascii="Cambria Math" w:hAnsi="Cambria Math"/>
        </w:rPr>
        <w:t>m</w:t>
      </w:r>
      <w:r w:rsidR="00C25C85" w:rsidRPr="00BC31E0">
        <w:rPr>
          <w:rFonts w:hint="eastAsia"/>
        </w:rPr>
        <w:t>) (</w:t>
      </w:r>
      <w:r w:rsidR="00C25C85" w:rsidRPr="00BC31E0">
        <w:rPr>
          <w:rFonts w:ascii="ＭＳ ゴシック" w:eastAsia="ＭＳ ゴシック"/>
          <w:b/>
        </w:rPr>
        <w:t>6.9.10</w:t>
      </w:r>
      <w:r w:rsidR="00C25C85" w:rsidRPr="00BC31E0">
        <w:rPr>
          <w:rFonts w:hint="eastAsia"/>
        </w:rPr>
        <w:t>)</w:t>
      </w:r>
    </w:p>
    <w:p w14:paraId="487AD0F8"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L</m:t>
            </m:r>
          </m:e>
          <m:sub>
            <m:r>
              <w:rPr>
                <w:rFonts w:ascii="Cambria Math" w:hAnsi="Cambria Math"/>
                <w:szCs w:val="24"/>
              </w:rPr>
              <m:t>W</m:t>
            </m:r>
          </m:sub>
        </m:sSub>
      </m:oMath>
      <w:r w:rsidR="00C25C85" w:rsidRPr="00BC31E0">
        <w:rPr>
          <w:rFonts w:hint="eastAsia"/>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継ぎ目無しワイヤの平均長さ</w:t>
      </w:r>
      <w:r w:rsidR="00C25C85" w:rsidRPr="00BC31E0">
        <w:rPr>
          <w:rFonts w:hint="eastAsia"/>
        </w:rPr>
        <w:t>(</w:t>
      </w:r>
      <w:r w:rsidR="00C25C85" w:rsidRPr="00BC31E0">
        <w:rPr>
          <w:rFonts w:ascii="Cambria Math" w:hAnsi="Cambria Math"/>
        </w:rPr>
        <w:t>m</w:t>
      </w:r>
      <w:r w:rsidR="00C25C85" w:rsidRPr="00BC31E0">
        <w:rPr>
          <w:rFonts w:hint="eastAsia"/>
        </w:rPr>
        <w:t>) (</w:t>
      </w:r>
      <w:r w:rsidR="00C25C85" w:rsidRPr="00BC31E0">
        <w:rPr>
          <w:rFonts w:ascii="ＭＳ ゴシック" w:eastAsia="ＭＳ ゴシック"/>
          <w:b/>
        </w:rPr>
        <w:t>6.9.11</w:t>
      </w:r>
      <w:r w:rsidR="00C25C85" w:rsidRPr="00BC31E0">
        <w:rPr>
          <w:rFonts w:hint="eastAsia"/>
        </w:rPr>
        <w:t>)</w:t>
      </w:r>
    </w:p>
    <w:p w14:paraId="2AAFA205"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L</m:t>
            </m:r>
          </m:e>
          <m:sub>
            <m:r>
              <w:rPr>
                <w:rFonts w:ascii="Cambria Math" w:hAnsi="Cambria Math"/>
                <w:szCs w:val="24"/>
              </w:rPr>
              <m:t>w</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クランプラグの幅</w:t>
      </w:r>
      <w:r w:rsidR="00C25C85" w:rsidRPr="00BC31E0">
        <w:rPr>
          <w:rFonts w:hint="eastAsia"/>
        </w:rPr>
        <w:t>(</w:t>
      </w:r>
      <w:r w:rsidR="00C25C85" w:rsidRPr="00BC31E0">
        <w:rPr>
          <w:rFonts w:ascii="Cambria Math" w:hAnsi="Cambria Math"/>
        </w:rPr>
        <w:t>mm</w:t>
      </w:r>
      <w:r w:rsidR="00C25C85" w:rsidRPr="00BC31E0">
        <w:rPr>
          <w:rFonts w:hint="eastAsia"/>
        </w:rPr>
        <w:t>) (</w:t>
      </w:r>
      <w:r w:rsidR="00C25C85" w:rsidRPr="00BC31E0">
        <w:rPr>
          <w:rFonts w:ascii="ＭＳ ゴシック" w:eastAsia="ＭＳ ゴシック" w:hint="eastAsia"/>
          <w:b/>
        </w:rPr>
        <w:t>附属書</w:t>
      </w:r>
      <w:r w:rsidR="00C25C85" w:rsidRPr="00BC31E0">
        <w:rPr>
          <w:rFonts w:ascii="ＭＳ ゴシック" w:eastAsia="ＭＳ ゴシック"/>
          <w:b/>
        </w:rPr>
        <w:t>H 3</w:t>
      </w:r>
      <w:r w:rsidR="00C25C85" w:rsidRPr="00BC31E0">
        <w:rPr>
          <w:rFonts w:hint="eastAsia"/>
        </w:rPr>
        <w:t>)</w:t>
      </w:r>
    </w:p>
    <w:p w14:paraId="2EE7712F" w14:textId="77777777" w:rsidR="00C25C85" w:rsidRPr="00BC31E0" w:rsidRDefault="00C25C85" w:rsidP="008234D1">
      <w:pPr>
        <w:tabs>
          <w:tab w:val="left" w:pos="1276"/>
        </w:tabs>
        <w:autoSpaceDE w:val="0"/>
        <w:autoSpaceDN w:val="0"/>
        <w:ind w:left="1588" w:hanging="1021"/>
      </w:pPr>
      <m:oMath>
        <m:r>
          <w:rPr>
            <w:rFonts w:ascii="Cambria Math" w:hAnsi="Cambria Math"/>
          </w:rPr>
          <m:t>l</m:t>
        </m:r>
      </m:oMath>
      <w:r w:rsidRPr="00BC31E0">
        <w:t xml:space="preserve"> </w:t>
      </w:r>
      <w:r w:rsidRPr="00BC31E0">
        <w:rPr>
          <w:rFonts w:hint="eastAsia"/>
        </w:rPr>
        <w:tab/>
      </w:r>
      <w:r w:rsidRPr="00BC31E0">
        <w:rPr>
          <w:rFonts w:hint="eastAsia"/>
        </w:rPr>
        <w:t>：</w:t>
      </w:r>
      <w:r w:rsidRPr="00BC31E0">
        <w:rPr>
          <w:rFonts w:hint="eastAsia"/>
        </w:rPr>
        <w:t xml:space="preserve"> </w:t>
      </w:r>
      <w:r w:rsidRPr="00BC31E0">
        <w:rPr>
          <w:rFonts w:hint="eastAsia"/>
        </w:rPr>
        <w:t>必要テーパの長さ</w:t>
      </w:r>
      <w:r w:rsidRPr="00BC31E0">
        <w:rPr>
          <w:rFonts w:hint="eastAsia"/>
        </w:rPr>
        <w:t>(</w:t>
      </w:r>
      <w:r w:rsidRPr="00BC31E0">
        <w:rPr>
          <w:rFonts w:ascii="Cambria Math" w:hAnsi="Cambria Math"/>
        </w:rPr>
        <w:t>mm</w:t>
      </w:r>
      <w:r w:rsidRPr="00BC31E0">
        <w:rPr>
          <w:rFonts w:hint="eastAsia"/>
        </w:rPr>
        <w:t>) (</w:t>
      </w:r>
      <w:r w:rsidRPr="00BC31E0">
        <w:rPr>
          <w:rFonts w:ascii="ＭＳ ゴシック" w:eastAsia="ＭＳ ゴシック" w:hint="eastAsia"/>
          <w:b/>
        </w:rPr>
        <w:t>図</w:t>
      </w:r>
      <w:r w:rsidRPr="00BC31E0">
        <w:rPr>
          <w:rFonts w:ascii="ＭＳ ゴシック" w:eastAsia="ＭＳ ゴシック"/>
          <w:b/>
        </w:rPr>
        <w:t>6.</w:t>
      </w:r>
      <w:r w:rsidRPr="00BC31E0">
        <w:rPr>
          <w:rFonts w:ascii="ＭＳ ゴシック" w:eastAsia="ＭＳ ゴシック" w:hint="eastAsia"/>
          <w:b/>
        </w:rPr>
        <w:t>8</w:t>
      </w:r>
      <w:r w:rsidRPr="00BC31E0">
        <w:rPr>
          <w:rFonts w:ascii="ＭＳ ゴシック" w:eastAsia="ＭＳ ゴシック"/>
          <w:b/>
        </w:rPr>
        <w:t>.2</w:t>
      </w:r>
      <w:r w:rsidRPr="00BC31E0">
        <w:rPr>
          <w:rFonts w:ascii="ＭＳ ゴシック" w:eastAsia="ＭＳ ゴシック" w:hint="eastAsia"/>
        </w:rPr>
        <w:t>，</w:t>
      </w:r>
      <w:r w:rsidRPr="00BC31E0">
        <w:rPr>
          <w:rFonts w:ascii="ＭＳ ゴシック" w:eastAsia="ＭＳ ゴシック" w:hint="eastAsia"/>
          <w:b/>
          <w:bCs/>
        </w:rPr>
        <w:t>6.8.3</w:t>
      </w:r>
      <w:r w:rsidRPr="00BC31E0">
        <w:rPr>
          <w:rFonts w:ascii="ＭＳ ゴシック" w:eastAsia="ＭＳ ゴシック" w:hint="eastAsia"/>
        </w:rPr>
        <w:t>，</w:t>
      </w:r>
      <w:r w:rsidRPr="00BC31E0">
        <w:rPr>
          <w:rFonts w:ascii="ＭＳ ゴシック" w:eastAsia="ＭＳ ゴシック" w:hint="eastAsia"/>
          <w:b/>
        </w:rPr>
        <w:t>図</w:t>
      </w:r>
      <w:r w:rsidRPr="00BC31E0">
        <w:rPr>
          <w:rFonts w:ascii="ＭＳ ゴシック" w:eastAsia="ＭＳ ゴシック"/>
          <w:b/>
        </w:rPr>
        <w:t>6.10.2</w:t>
      </w:r>
      <w:r w:rsidRPr="00BC31E0">
        <w:rPr>
          <w:rFonts w:hint="eastAsia"/>
        </w:rPr>
        <w:t>)</w:t>
      </w:r>
    </w:p>
    <w:p w14:paraId="7FEDE9F8" w14:textId="77777777" w:rsidR="00C25C85" w:rsidRPr="00BC31E0" w:rsidRDefault="00C25C85" w:rsidP="008234D1">
      <w:pPr>
        <w:tabs>
          <w:tab w:val="left" w:pos="1276"/>
        </w:tabs>
        <w:autoSpaceDE w:val="0"/>
        <w:autoSpaceDN w:val="0"/>
        <w:ind w:left="1588" w:hanging="1021"/>
        <w:rPr>
          <w:rFonts w:asciiTheme="majorEastAsia" w:eastAsiaTheme="majorEastAsia" w:hAnsiTheme="majorEastAsia"/>
          <w:b/>
        </w:rPr>
      </w:pPr>
      <w:r w:rsidRPr="00BC31E0">
        <w:rPr>
          <w:rFonts w:hint="eastAsia"/>
        </w:rPr>
        <w:tab/>
      </w:r>
      <w:r w:rsidRPr="00BC31E0">
        <w:rPr>
          <w:rFonts w:hint="eastAsia"/>
        </w:rPr>
        <w:t>：</w:t>
      </w:r>
      <w:r w:rsidRPr="00BC31E0">
        <w:rPr>
          <w:rFonts w:hint="eastAsia"/>
        </w:rPr>
        <w:t xml:space="preserve"> </w:t>
      </w:r>
      <w:r w:rsidRPr="00BC31E0">
        <w:rPr>
          <w:rFonts w:hint="eastAsia"/>
        </w:rPr>
        <w:t>きず長さ</w:t>
      </w:r>
      <w:r w:rsidRPr="00BC31E0">
        <w:rPr>
          <w:rFonts w:hint="eastAsia"/>
        </w:rPr>
        <w:t>(</w:t>
      </w:r>
      <w:r w:rsidRPr="00BC31E0">
        <w:rPr>
          <w:rFonts w:ascii="Cambria Math" w:hAnsi="Cambria Math"/>
        </w:rPr>
        <w:t>mm</w:t>
      </w:r>
      <w:r w:rsidRPr="00BC31E0">
        <w:rPr>
          <w:rFonts w:hint="eastAsia"/>
        </w:rPr>
        <w:t>) (</w:t>
      </w:r>
      <w:r w:rsidRPr="00BC31E0">
        <w:rPr>
          <w:rFonts w:asciiTheme="majorEastAsia" w:eastAsiaTheme="majorEastAsia" w:hAnsiTheme="majorEastAsia" w:hint="eastAsia"/>
          <w:b/>
        </w:rPr>
        <w:t>9.3.6)</w:t>
      </w:r>
    </w:p>
    <w:p w14:paraId="6535BD63" w14:textId="77777777" w:rsidR="00C25C85" w:rsidRPr="00BC31E0" w:rsidRDefault="00C25C85" w:rsidP="008234D1">
      <w:pPr>
        <w:tabs>
          <w:tab w:val="left" w:pos="1276"/>
        </w:tabs>
        <w:autoSpaceDE w:val="0"/>
        <w:autoSpaceDN w:val="0"/>
        <w:ind w:left="1588" w:hanging="1021"/>
      </w:pPr>
      <w:r w:rsidRPr="00BC31E0">
        <w:tab/>
      </w:r>
      <w:r w:rsidRPr="00BC31E0">
        <w:rPr>
          <w:rFonts w:hint="eastAsia"/>
        </w:rPr>
        <w:t>：</w:t>
      </w:r>
      <w:r w:rsidRPr="00BC31E0">
        <w:rPr>
          <w:rFonts w:hint="eastAsia"/>
        </w:rPr>
        <w:t xml:space="preserve"> </w:t>
      </w:r>
      <w:r w:rsidRPr="00BC31E0">
        <w:rPr>
          <w:rFonts w:hint="eastAsia"/>
        </w:rPr>
        <w:t>亀裂の表面長さ</w:t>
      </w:r>
      <w:r w:rsidRPr="00BC31E0">
        <w:rPr>
          <w:rFonts w:hint="eastAsia"/>
        </w:rPr>
        <w:t>(</w:t>
      </w:r>
      <w:r w:rsidRPr="00BC31E0">
        <w:rPr>
          <w:rFonts w:ascii="Cambria Math" w:hAnsi="Cambria Math"/>
        </w:rPr>
        <w:t>m</w:t>
      </w:r>
      <w:r w:rsidRPr="00BC31E0">
        <w:rPr>
          <w:rFonts w:hint="eastAsia"/>
        </w:rPr>
        <w:t>) (</w:t>
      </w:r>
      <w:r w:rsidRPr="00BC31E0">
        <w:rPr>
          <w:rFonts w:ascii="ＭＳ ゴシック" w:eastAsia="ＭＳ ゴシック" w:hint="eastAsia"/>
          <w:b/>
        </w:rPr>
        <w:t>附属書</w:t>
      </w:r>
      <w:r w:rsidRPr="00BC31E0">
        <w:rPr>
          <w:rFonts w:ascii="ＭＳ ゴシック" w:eastAsia="ＭＳ ゴシック"/>
          <w:b/>
        </w:rPr>
        <w:t>C</w:t>
      </w:r>
      <w:r w:rsidRPr="00BC31E0">
        <w:rPr>
          <w:rFonts w:ascii="ＭＳ ゴシック" w:eastAsia="ＭＳ ゴシック" w:hint="eastAsia"/>
          <w:b/>
        </w:rPr>
        <w:t xml:space="preserve"> 4</w:t>
      </w:r>
      <w:r w:rsidRPr="00BC31E0">
        <w:rPr>
          <w:rFonts w:asciiTheme="minorEastAsia" w:eastAsiaTheme="minorEastAsia" w:hAnsiTheme="minorEastAsia" w:hint="eastAsia"/>
        </w:rPr>
        <w:t>，</w:t>
      </w:r>
      <w:r w:rsidRPr="00BC31E0">
        <w:rPr>
          <w:rFonts w:ascii="ＭＳ ゴシック" w:eastAsia="ＭＳ ゴシック" w:hint="eastAsia"/>
          <w:b/>
        </w:rPr>
        <w:t>図</w:t>
      </w:r>
      <w:r w:rsidRPr="00BC31E0">
        <w:rPr>
          <w:rFonts w:ascii="ＭＳ ゴシック" w:eastAsia="ＭＳ ゴシック"/>
          <w:b/>
        </w:rPr>
        <w:t>C.1</w:t>
      </w:r>
      <w:r w:rsidRPr="00BC31E0">
        <w:rPr>
          <w:rFonts w:hint="eastAsia"/>
        </w:rPr>
        <w:t>)</w:t>
      </w:r>
    </w:p>
    <w:p w14:paraId="59AF6730"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l</m:t>
            </m:r>
          </m:e>
          <m:sub>
            <m:r>
              <w:rPr>
                <w:rFonts w:ascii="Cambria Math" w:hAnsi="Cambria Math"/>
              </w:rPr>
              <m:t>c</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有効クランプリップ長さ</w:t>
      </w:r>
      <w:r w:rsidR="00C25C85" w:rsidRPr="00BC31E0">
        <w:rPr>
          <w:rFonts w:hint="eastAsia"/>
        </w:rPr>
        <w:t>(</w:t>
      </w:r>
      <w:r w:rsidR="00C25C85" w:rsidRPr="00BC31E0">
        <w:rPr>
          <w:rFonts w:ascii="Cambria Math" w:hAnsi="Cambria Math"/>
        </w:rPr>
        <w:t>mm</w:t>
      </w:r>
      <w:r w:rsidR="00C25C85" w:rsidRPr="00BC31E0">
        <w:rPr>
          <w:rFonts w:hint="eastAsia"/>
        </w:rPr>
        <w:t>) (</w:t>
      </w:r>
      <w:r w:rsidR="00C25C85" w:rsidRPr="00BC31E0">
        <w:rPr>
          <w:rFonts w:ascii="ＭＳ ゴシック" w:eastAsia="ＭＳ ゴシック" w:hint="eastAsia"/>
          <w:b/>
        </w:rPr>
        <w:t>附属書</w:t>
      </w:r>
      <w:r w:rsidR="00C25C85" w:rsidRPr="00BC31E0">
        <w:rPr>
          <w:rFonts w:ascii="ＭＳ ゴシック" w:eastAsia="ＭＳ ゴシック"/>
          <w:b/>
        </w:rPr>
        <w:t>H 3</w:t>
      </w:r>
      <w:r w:rsidR="00C25C85" w:rsidRPr="00BC31E0">
        <w:rPr>
          <w:rFonts w:hint="eastAsia"/>
        </w:rPr>
        <w:t>)</w:t>
      </w:r>
    </w:p>
    <w:p w14:paraId="39168FAE" w14:textId="77777777" w:rsidR="00C25C85" w:rsidRPr="00BC31E0" w:rsidRDefault="00C25C85" w:rsidP="008234D1">
      <w:pPr>
        <w:tabs>
          <w:tab w:val="left" w:pos="1276"/>
        </w:tabs>
        <w:autoSpaceDE w:val="0"/>
        <w:autoSpaceDN w:val="0"/>
        <w:ind w:left="1588" w:hanging="1021"/>
      </w:pPr>
      <w:r w:rsidRPr="00BC31E0">
        <w:tab/>
      </w:r>
      <w:r w:rsidRPr="00BC31E0">
        <w:rPr>
          <w:rFonts w:hint="eastAsia"/>
        </w:rPr>
        <w:t>：</w:t>
      </w:r>
      <w:r w:rsidRPr="00BC31E0">
        <w:rPr>
          <w:rFonts w:hint="eastAsia"/>
        </w:rPr>
        <w:t xml:space="preserve"> </w:t>
      </w:r>
      <w:r w:rsidRPr="00BC31E0">
        <w:rPr>
          <w:rFonts w:hint="eastAsia"/>
        </w:rPr>
        <w:t>ノズル中心軸の周方向成分の内面側表面に沿ったノズル中心間距離</w:t>
      </w:r>
      <w:r w:rsidRPr="00BC31E0">
        <w:rPr>
          <w:rFonts w:hint="eastAsia"/>
        </w:rPr>
        <w:t>(</w:t>
      </w:r>
      <w:r w:rsidRPr="00BC31E0">
        <w:rPr>
          <w:rFonts w:ascii="Cambria Math" w:hAnsi="Cambria Math"/>
        </w:rPr>
        <w:t>mm</w:t>
      </w:r>
      <w:r w:rsidRPr="00BC31E0">
        <w:rPr>
          <w:rFonts w:hint="eastAsia"/>
        </w:rPr>
        <w:t>) (</w:t>
      </w:r>
      <w:r w:rsidRPr="00BC31E0">
        <w:rPr>
          <w:rFonts w:ascii="ＭＳ ゴシック" w:eastAsia="ＭＳ ゴシック" w:hint="eastAsia"/>
          <w:b/>
        </w:rPr>
        <w:t>附属書</w:t>
      </w:r>
      <w:r w:rsidRPr="00BC31E0">
        <w:rPr>
          <w:rFonts w:ascii="ＭＳ ゴシック" w:eastAsia="ＭＳ ゴシック"/>
          <w:b/>
        </w:rPr>
        <w:t>E 2</w:t>
      </w:r>
      <w:r w:rsidRPr="00BC31E0">
        <w:rPr>
          <w:rFonts w:hint="eastAsia"/>
        </w:rPr>
        <w:t>)</w:t>
      </w:r>
    </w:p>
    <w:p w14:paraId="3192C7A0"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l</m:t>
            </m:r>
          </m:e>
          <m:sub>
            <m:r>
              <w:rPr>
                <w:rFonts w:ascii="Cambria Math" w:hAnsi="Cambria Math"/>
              </w:rPr>
              <m:t>l</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ノズル中心軸の長手方向成分の内面側表面に沿ったノズル中心間距離</w:t>
      </w:r>
      <w:r w:rsidR="00C25C85" w:rsidRPr="00BC31E0">
        <w:rPr>
          <w:rFonts w:hint="eastAsia"/>
        </w:rPr>
        <w:t>(</w:t>
      </w:r>
      <w:r w:rsidR="00C25C85" w:rsidRPr="00BC31E0">
        <w:rPr>
          <w:rFonts w:ascii="Cambria Math" w:hAnsi="Cambria Math"/>
        </w:rPr>
        <w:t>mm</w:t>
      </w:r>
      <w:r w:rsidR="00C25C85" w:rsidRPr="00BC31E0">
        <w:rPr>
          <w:rFonts w:hint="eastAsia"/>
        </w:rPr>
        <w:t>) (</w:t>
      </w:r>
      <w:r w:rsidR="00C25C85" w:rsidRPr="00BC31E0">
        <w:rPr>
          <w:rFonts w:ascii="ＭＳ ゴシック" w:eastAsia="ＭＳ ゴシック" w:hint="eastAsia"/>
          <w:b/>
        </w:rPr>
        <w:t>附属書</w:t>
      </w:r>
      <w:r w:rsidR="00C25C85" w:rsidRPr="00BC31E0">
        <w:rPr>
          <w:rFonts w:ascii="ＭＳ ゴシック" w:eastAsia="ＭＳ ゴシック"/>
          <w:b/>
        </w:rPr>
        <w:t>E 2</w:t>
      </w:r>
      <w:r w:rsidR="00C25C85" w:rsidRPr="00BC31E0">
        <w:rPr>
          <w:rFonts w:hint="eastAsia"/>
        </w:rPr>
        <w:t>)</w:t>
      </w:r>
    </w:p>
    <w:p w14:paraId="67010E8D"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l</m:t>
            </m:r>
          </m:e>
          <m:sub>
            <m:r>
              <w:rPr>
                <w:rFonts w:ascii="Cambria Math" w:hAnsi="Cambria Math" w:hint="eastAsia"/>
              </w:rPr>
              <m:t>m</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有効クランプリップモーメントアーム</w:t>
      </w:r>
      <w:r w:rsidR="00C25C85" w:rsidRPr="00BC31E0">
        <w:rPr>
          <w:rFonts w:hint="eastAsia"/>
        </w:rPr>
        <w:t>(</w:t>
      </w:r>
      <w:r w:rsidR="00C25C85" w:rsidRPr="00BC31E0">
        <w:rPr>
          <w:rFonts w:ascii="Cambria Math" w:hAnsi="Cambria Math"/>
        </w:rPr>
        <w:t>mm</w:t>
      </w:r>
      <w:r w:rsidR="00C25C85" w:rsidRPr="00BC31E0">
        <w:rPr>
          <w:rFonts w:hint="eastAsia"/>
        </w:rPr>
        <w:t>) (</w:t>
      </w:r>
      <w:r w:rsidR="00C25C85" w:rsidRPr="00BC31E0">
        <w:rPr>
          <w:rFonts w:ascii="ＭＳ ゴシック" w:eastAsia="ＭＳ ゴシック" w:hint="eastAsia"/>
          <w:b/>
        </w:rPr>
        <w:t>附属書</w:t>
      </w:r>
      <w:r w:rsidR="00C25C85" w:rsidRPr="00BC31E0">
        <w:rPr>
          <w:rFonts w:ascii="ＭＳ ゴシック" w:eastAsia="ＭＳ ゴシック"/>
          <w:b/>
        </w:rPr>
        <w:t>H 3</w:t>
      </w:r>
      <w:r w:rsidR="00C25C85" w:rsidRPr="00BC31E0">
        <w:rPr>
          <w:rFonts w:hint="eastAsia"/>
        </w:rPr>
        <w:t>)</w:t>
      </w:r>
    </w:p>
    <w:p w14:paraId="2E9837BA" w14:textId="77777777" w:rsidR="00C25C85" w:rsidRPr="00BC31E0" w:rsidRDefault="00C25C85" w:rsidP="008234D1">
      <w:pPr>
        <w:tabs>
          <w:tab w:val="left" w:pos="1843"/>
        </w:tabs>
        <w:autoSpaceDE w:val="0"/>
        <w:autoSpaceDN w:val="0"/>
        <w:ind w:left="2211" w:hanging="1644"/>
        <w:rPr>
          <w:rFonts w:ascii="ＭＳ ゴシック" w:eastAsia="ＭＳ ゴシック"/>
        </w:rPr>
      </w:pPr>
      <m:oMath>
        <m:r>
          <w:rPr>
            <w:rFonts w:ascii="Cambria Math" w:hAnsi="Cambria Math"/>
          </w:rPr>
          <m:t>l</m:t>
        </m:r>
      </m:oMath>
      <w:r w:rsidRPr="00BC31E0">
        <w:rPr>
          <w:rFonts w:hint="eastAsia"/>
        </w:rPr>
        <w:t>，</w:t>
      </w:r>
      <m:oMath>
        <m:sSub>
          <m:sSubPr>
            <m:ctrlPr>
              <w:rPr>
                <w:rFonts w:ascii="Cambria Math" w:hAnsi="Cambria Math"/>
                <w:i/>
              </w:rPr>
            </m:ctrlPr>
          </m:sSubPr>
          <m:e>
            <m:r>
              <w:rPr>
                <w:rFonts w:ascii="Cambria Math" w:hAnsi="Cambria Math"/>
              </w:rPr>
              <m:t>l</m:t>
            </m:r>
          </m:e>
          <m:sub>
            <m:r>
              <w:rPr>
                <w:rFonts w:ascii="Cambria Math" w:hAnsi="Cambria Math"/>
              </w:rPr>
              <m:t>1</m:t>
            </m:r>
          </m:sub>
        </m:sSub>
      </m:oMath>
      <w:r w:rsidRPr="00BC31E0">
        <w:rPr>
          <w:rFonts w:hint="eastAsia"/>
        </w:rPr>
        <w:t>，</w:t>
      </w:r>
      <m:oMath>
        <m:sSub>
          <m:sSubPr>
            <m:ctrlPr>
              <w:rPr>
                <w:rFonts w:ascii="Cambria Math" w:hAnsi="Cambria Math"/>
                <w:i/>
              </w:rPr>
            </m:ctrlPr>
          </m:sSubPr>
          <m:e>
            <m:r>
              <w:rPr>
                <w:rFonts w:ascii="Cambria Math" w:hAnsi="Cambria Math"/>
              </w:rPr>
              <m:t>l</m:t>
            </m:r>
          </m:e>
          <m:sub>
            <m:r>
              <w:rPr>
                <w:rFonts w:ascii="Cambria Math" w:hAnsi="Cambria Math"/>
              </w:rPr>
              <m:t>2</m:t>
            </m:r>
          </m:sub>
        </m:sSub>
      </m:oMath>
      <w:r w:rsidRPr="00BC31E0">
        <w:rPr>
          <w:rFonts w:hint="eastAsia"/>
        </w:rPr>
        <w:t>，</w:t>
      </w:r>
      <m:oMath>
        <m:sSub>
          <m:sSubPr>
            <m:ctrlPr>
              <w:rPr>
                <w:rFonts w:ascii="Cambria Math" w:hAnsi="Cambria Math"/>
                <w:i/>
              </w:rPr>
            </m:ctrlPr>
          </m:sSubPr>
          <m:e>
            <m:r>
              <w:rPr>
                <w:rFonts w:ascii="Cambria Math" w:hAnsi="Cambria Math"/>
              </w:rPr>
              <m:t>l</m:t>
            </m:r>
          </m:e>
          <m:sub>
            <m:r>
              <w:rPr>
                <w:rFonts w:ascii="Cambria Math" w:hAnsi="Cambria Math"/>
              </w:rPr>
              <m:t>3</m:t>
            </m:r>
          </m:sub>
        </m:sSub>
      </m:oMath>
      <w:r w:rsidRPr="00BC31E0">
        <w:rPr>
          <w:rFonts w:hint="eastAsia"/>
        </w:rPr>
        <w:tab/>
      </w:r>
      <w:r w:rsidRPr="00BC31E0">
        <w:rPr>
          <w:rFonts w:hint="eastAsia"/>
        </w:rPr>
        <w:t>：</w:t>
      </w:r>
      <w:r w:rsidRPr="00BC31E0">
        <w:rPr>
          <w:rFonts w:hint="eastAsia"/>
        </w:rPr>
        <w:t xml:space="preserve"> </w:t>
      </w:r>
      <w:r w:rsidRPr="00BC31E0">
        <w:rPr>
          <w:rFonts w:hint="eastAsia"/>
        </w:rPr>
        <w:t>きずの長さ</w:t>
      </w:r>
      <w:r w:rsidRPr="00BC31E0">
        <w:rPr>
          <w:rFonts w:hint="eastAsia"/>
        </w:rPr>
        <w:t>(</w:t>
      </w:r>
      <w:r w:rsidRPr="00BC31E0">
        <w:rPr>
          <w:rFonts w:ascii="Cambria Math" w:hAnsi="Cambria Math"/>
        </w:rPr>
        <w:t>mm</w:t>
      </w:r>
      <w:r w:rsidRPr="00BC31E0">
        <w:rPr>
          <w:rFonts w:hint="eastAsia"/>
        </w:rPr>
        <w:t>) (</w:t>
      </w:r>
      <w:r w:rsidRPr="00BC31E0">
        <w:rPr>
          <w:rFonts w:ascii="ＭＳ ゴシック" w:eastAsia="ＭＳ ゴシック" w:hint="eastAsia"/>
          <w:b/>
        </w:rPr>
        <w:t>図9.3.2</w:t>
      </w:r>
      <w:r w:rsidRPr="00BC31E0">
        <w:rPr>
          <w:rFonts w:hint="eastAsia"/>
        </w:rPr>
        <w:t>～</w:t>
      </w:r>
      <w:r w:rsidRPr="00BC31E0">
        <w:rPr>
          <w:rFonts w:ascii="ＭＳ ゴシック" w:eastAsia="ＭＳ ゴシック" w:hint="eastAsia"/>
          <w:b/>
        </w:rPr>
        <w:t>図9.3.6</w:t>
      </w:r>
      <w:r w:rsidRPr="00BC31E0">
        <w:rPr>
          <w:rFonts w:ascii="ＭＳ ゴシック" w:eastAsia="ＭＳ ゴシック" w:hint="eastAsia"/>
        </w:rPr>
        <w:t>)</w:t>
      </w:r>
    </w:p>
    <w:p w14:paraId="209EA1C1" w14:textId="77777777" w:rsidR="00C25C85" w:rsidRPr="00BC31E0" w:rsidRDefault="00A51873" w:rsidP="008234D1">
      <w:pPr>
        <w:tabs>
          <w:tab w:val="left" w:pos="1276"/>
        </w:tabs>
        <w:autoSpaceDE w:val="0"/>
        <w:autoSpaceDN w:val="0"/>
        <w:ind w:left="1588" w:hanging="1021"/>
        <w:rPr>
          <w:rFonts w:asciiTheme="minorEastAsia" w:eastAsiaTheme="minorEastAsia" w:hAnsiTheme="minorEastAsia"/>
        </w:rPr>
      </w:pP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s</m:t>
            </m:r>
          </m:sub>
        </m:sSub>
      </m:oMath>
      <w:r w:rsidR="00C25C85" w:rsidRPr="00BC31E0">
        <w:rPr>
          <w:rFonts w:asciiTheme="minorEastAsia" w:eastAsiaTheme="minorEastAsia" w:hAnsiTheme="minorEastAsia"/>
        </w:rPr>
        <w:t xml:space="preserve"> </w:t>
      </w:r>
      <w:r w:rsidR="00C25C85" w:rsidRPr="00BC31E0">
        <w:rPr>
          <w:rFonts w:asciiTheme="minorEastAsia" w:eastAsiaTheme="minorEastAsia" w:hAnsiTheme="minorEastAsia" w:hint="eastAsia"/>
        </w:rPr>
        <w:tab/>
        <w:t xml:space="preserve">： </w:t>
      </w:r>
      <w:r w:rsidR="00C25C85" w:rsidRPr="00BC31E0">
        <w:rPr>
          <w:rFonts w:asciiTheme="minorHAnsi" w:eastAsiaTheme="minorEastAsia" w:hAnsiTheme="minorEastAsia"/>
        </w:rPr>
        <w:t>許容きず長さ</w:t>
      </w:r>
      <w:r w:rsidR="00C25C85" w:rsidRPr="00BC31E0">
        <w:rPr>
          <w:rFonts w:asciiTheme="minorHAnsi" w:eastAsiaTheme="minorEastAsia" w:hAnsiTheme="minorHAnsi"/>
        </w:rPr>
        <w:t>(</w:t>
      </w:r>
      <w:r w:rsidR="00C25C85" w:rsidRPr="00BC31E0">
        <w:rPr>
          <w:rFonts w:ascii="Cambria Math" w:eastAsiaTheme="minorEastAsia" w:hAnsi="Cambria Math"/>
        </w:rPr>
        <w:t>mm</w:t>
      </w:r>
      <w:r w:rsidR="00C25C85" w:rsidRPr="00BC31E0">
        <w:rPr>
          <w:rFonts w:asciiTheme="minorHAnsi" w:eastAsiaTheme="minorEastAsia" w:hAnsiTheme="minorHAnsi"/>
        </w:rPr>
        <w:t>) (</w:t>
      </w:r>
      <w:r w:rsidR="00C25C85" w:rsidRPr="00BC31E0">
        <w:rPr>
          <w:rFonts w:asciiTheme="majorEastAsia" w:eastAsiaTheme="majorEastAsia" w:hAnsiTheme="majorEastAsia"/>
          <w:b/>
        </w:rPr>
        <w:t>9.3.6</w:t>
      </w:r>
      <w:r w:rsidR="00C25C85" w:rsidRPr="00BC31E0">
        <w:rPr>
          <w:rFonts w:asciiTheme="minorHAnsi" w:eastAsiaTheme="minorEastAsia" w:hAnsiTheme="minorHAnsi"/>
        </w:rPr>
        <w:t>)</w:t>
      </w:r>
    </w:p>
    <w:p w14:paraId="00B03206" w14:textId="77777777" w:rsidR="00C25C85" w:rsidRPr="00BC31E0" w:rsidRDefault="00C25C85" w:rsidP="008234D1">
      <w:pPr>
        <w:tabs>
          <w:tab w:val="left" w:pos="1276"/>
        </w:tabs>
        <w:autoSpaceDE w:val="0"/>
        <w:autoSpaceDN w:val="0"/>
        <w:ind w:left="1588" w:hanging="1021"/>
      </w:pPr>
      <m:oMath>
        <m:r>
          <w:rPr>
            <w:rFonts w:ascii="Cambria Math" w:hAnsi="Cambria Math" w:hint="eastAsia"/>
          </w:rPr>
          <m:t>M</m:t>
        </m:r>
      </m:oMath>
      <w:r w:rsidRPr="00BC31E0">
        <w:rPr>
          <w:szCs w:val="24"/>
          <w:vertAlign w:val="subscript"/>
        </w:rPr>
        <w:tab/>
      </w:r>
      <w:r w:rsidRPr="00BC31E0">
        <w:rPr>
          <w:rFonts w:hint="eastAsia"/>
        </w:rPr>
        <w:t>：</w:t>
      </w:r>
      <w:r w:rsidRPr="00BC31E0">
        <w:rPr>
          <w:rFonts w:hint="eastAsia"/>
        </w:rPr>
        <w:t xml:space="preserve"> </w:t>
      </w:r>
      <w:r w:rsidRPr="00BC31E0">
        <w:rPr>
          <w:rFonts w:hint="eastAsia"/>
        </w:rPr>
        <w:t>塑性化率</w:t>
      </w:r>
      <w:r w:rsidRPr="00BC31E0">
        <w:rPr>
          <w:rFonts w:hint="eastAsia"/>
          <w:position w:val="-6"/>
        </w:rPr>
        <w:t xml:space="preserve"> </w:t>
      </w:r>
      <w:r w:rsidRPr="00BC31E0">
        <w:rPr>
          <w:rFonts w:hint="eastAsia"/>
        </w:rPr>
        <w:t>(</w:t>
      </w:r>
      <w:r w:rsidRPr="00BC31E0">
        <w:rPr>
          <w:rFonts w:asciiTheme="majorEastAsia" w:eastAsiaTheme="majorEastAsia" w:hAnsiTheme="majorEastAsia" w:hint="eastAsia"/>
          <w:b/>
          <w:bCs/>
        </w:rPr>
        <w:t>6.5</w:t>
      </w:r>
      <w:r w:rsidRPr="00BC31E0">
        <w:rPr>
          <w:rFonts w:hint="eastAsia"/>
        </w:rPr>
        <w:t>)</w:t>
      </w:r>
    </w:p>
    <w:p w14:paraId="027BB98B"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M</m:t>
            </m:r>
          </m:e>
          <m:sub>
            <m:r>
              <w:rPr>
                <w:rFonts w:ascii="Cambria Math" w:hAnsi="Cambria Math"/>
              </w:rPr>
              <m:t>D</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m:oMath>
        <m:sSub>
          <m:sSubPr>
            <m:ctrlPr>
              <w:rPr>
                <w:rFonts w:ascii="Cambria Math" w:hAnsi="Cambria Math"/>
                <w:i/>
              </w:rPr>
            </m:ctrlPr>
          </m:sSubPr>
          <m:e>
            <m:r>
              <w:rPr>
                <w:rFonts w:ascii="Cambria Math" w:hAnsi="Cambria Math"/>
              </w:rPr>
              <m:t>H</m:t>
            </m:r>
          </m:e>
          <m:sub>
            <m:r>
              <w:rPr>
                <w:rFonts w:ascii="Cambria Math" w:hAnsi="Cambria Math"/>
              </w:rPr>
              <m:t>D</m:t>
            </m:r>
          </m:sub>
        </m:sSub>
        <m:r>
          <w:rPr>
            <w:rFonts w:ascii="Cambria Math" w:hAnsi="Cambria Math"/>
          </w:rPr>
          <m:t xml:space="preserve"> </m:t>
        </m:r>
      </m:oMath>
      <w:r w:rsidR="00C25C85" w:rsidRPr="00BC31E0">
        <w:rPr>
          <w:rFonts w:hint="eastAsia"/>
        </w:rPr>
        <w:t>によるモーメント</w:t>
      </w:r>
      <w:r w:rsidR="00C25C85" w:rsidRPr="00BC31E0">
        <w:rPr>
          <w:rFonts w:hint="eastAsia"/>
        </w:rPr>
        <w:t>(</w:t>
      </w:r>
      <w:r w:rsidR="00C25C85" w:rsidRPr="00BC31E0">
        <w:rPr>
          <w:rFonts w:ascii="Cambria Math" w:hAnsi="Cambria Math"/>
        </w:rPr>
        <w:t>Nmm</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hint="eastAsia"/>
          <w:b/>
        </w:rPr>
        <w:t>附属書</w:t>
      </w:r>
      <w:r w:rsidR="00C25C85" w:rsidRPr="00BC31E0">
        <w:rPr>
          <w:rFonts w:ascii="ＭＳ ゴシック" w:eastAsia="ＭＳ ゴシック"/>
          <w:b/>
        </w:rPr>
        <w:t>H 3</w:t>
      </w:r>
      <w:r w:rsidR="00C25C85" w:rsidRPr="00BC31E0">
        <w:rPr>
          <w:rFonts w:hint="eastAsia"/>
        </w:rPr>
        <w:t>)</w:t>
      </w:r>
    </w:p>
    <w:p w14:paraId="5F89C729"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M</m:t>
            </m:r>
          </m:e>
          <m:sub>
            <m:r>
              <w:rPr>
                <w:rFonts w:ascii="Cambria Math" w:hAnsi="Cambria Math"/>
              </w:rPr>
              <m:t>F</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オフセットモーメント</w:t>
      </w:r>
      <w:r w:rsidR="00C25C85" w:rsidRPr="00BC31E0">
        <w:rPr>
          <w:rFonts w:hint="eastAsia"/>
        </w:rPr>
        <w:t>(</w:t>
      </w:r>
      <w:r w:rsidR="00C25C85" w:rsidRPr="00BC31E0">
        <w:rPr>
          <w:rFonts w:ascii="Cambria Math" w:hAnsi="Cambria Math"/>
        </w:rPr>
        <w:t>Nmm</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hint="eastAsia"/>
          <w:b/>
        </w:rPr>
        <w:t>附属書</w:t>
      </w:r>
      <w:r w:rsidR="00C25C85" w:rsidRPr="00BC31E0">
        <w:rPr>
          <w:rFonts w:ascii="ＭＳ ゴシック" w:eastAsia="ＭＳ ゴシック"/>
          <w:b/>
        </w:rPr>
        <w:t>H 3</w:t>
      </w:r>
      <w:r w:rsidR="00C25C85" w:rsidRPr="00BC31E0">
        <w:rPr>
          <w:rFonts w:hint="eastAsia"/>
        </w:rPr>
        <w:t>)</w:t>
      </w:r>
    </w:p>
    <w:p w14:paraId="43AA680A"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M</m:t>
            </m:r>
          </m:e>
          <m:sub>
            <m:r>
              <w:rPr>
                <w:rFonts w:ascii="Cambria Math" w:hAnsi="Cambria Math"/>
              </w:rPr>
              <m:t>G</m:t>
            </m:r>
          </m:sub>
        </m:sSub>
      </m:oMath>
      <w:r w:rsidR="00C25C85" w:rsidRPr="00BC31E0">
        <w:rPr>
          <w:rFonts w:hint="eastAsia"/>
          <w:i/>
          <w:szCs w:val="24"/>
        </w:rPr>
        <w:tab/>
      </w:r>
      <w:r w:rsidR="00C25C85" w:rsidRPr="00BC31E0">
        <w:rPr>
          <w:rFonts w:hint="eastAsia"/>
        </w:rPr>
        <w:t>：</w:t>
      </w:r>
      <w:r w:rsidR="00C25C85" w:rsidRPr="00BC31E0">
        <w:rPr>
          <w:rFonts w:hint="eastAsia"/>
        </w:rPr>
        <w:t xml:space="preserve"> </w:t>
      </w:r>
      <m:oMath>
        <m:sSub>
          <m:sSubPr>
            <m:ctrlPr>
              <w:rPr>
                <w:rFonts w:ascii="Cambria Math" w:hAnsi="Cambria Math"/>
                <w:i/>
              </w:rPr>
            </m:ctrlPr>
          </m:sSubPr>
          <m:e>
            <m:r>
              <w:rPr>
                <w:rFonts w:ascii="Cambria Math" w:hAnsi="Cambria Math"/>
              </w:rPr>
              <m:t>H</m:t>
            </m:r>
          </m:e>
          <m:sub>
            <m:r>
              <w:rPr>
                <w:rFonts w:ascii="Cambria Math" w:hAnsi="Cambria Math"/>
              </w:rPr>
              <m:t>G</m:t>
            </m:r>
          </m:sub>
        </m:sSub>
        <m:r>
          <w:rPr>
            <w:rFonts w:ascii="Cambria Math" w:hAnsi="Cambria Math"/>
          </w:rPr>
          <m:t xml:space="preserve"> </m:t>
        </m:r>
      </m:oMath>
      <w:r w:rsidR="00C25C85" w:rsidRPr="00BC31E0">
        <w:rPr>
          <w:rFonts w:hint="eastAsia"/>
        </w:rPr>
        <w:t>によるモーメント</w:t>
      </w:r>
      <w:r w:rsidR="00C25C85" w:rsidRPr="00BC31E0">
        <w:rPr>
          <w:rFonts w:hint="eastAsia"/>
        </w:rPr>
        <w:t>(</w:t>
      </w:r>
      <w:r w:rsidR="00C25C85" w:rsidRPr="00BC31E0">
        <w:rPr>
          <w:rFonts w:ascii="Cambria Math" w:hAnsi="Cambria Math"/>
        </w:rPr>
        <w:t>Nmm</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hint="eastAsia"/>
          <w:b/>
        </w:rPr>
        <w:t>附属書</w:t>
      </w:r>
      <w:r w:rsidR="00C25C85" w:rsidRPr="00BC31E0">
        <w:rPr>
          <w:rFonts w:ascii="ＭＳ ゴシック" w:eastAsia="ＭＳ ゴシック"/>
          <w:b/>
        </w:rPr>
        <w:t>H 3</w:t>
      </w:r>
      <w:r w:rsidR="00C25C85" w:rsidRPr="00BC31E0">
        <w:rPr>
          <w:rFonts w:hint="eastAsia"/>
        </w:rPr>
        <w:t>)</w:t>
      </w:r>
    </w:p>
    <w:p w14:paraId="7B6627B0"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M</m:t>
            </m:r>
          </m:e>
          <m:sub>
            <m:r>
              <w:rPr>
                <w:rFonts w:ascii="Cambria Math" w:hAnsi="Cambria Math"/>
              </w:rPr>
              <m:t>H</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ハブネックに作用するモーメント</w:t>
      </w:r>
      <w:r w:rsidR="00C25C85" w:rsidRPr="00BC31E0">
        <w:rPr>
          <w:rFonts w:hint="eastAsia"/>
        </w:rPr>
        <w:t>(</w:t>
      </w:r>
      <w:r w:rsidR="00C25C85" w:rsidRPr="00BC31E0">
        <w:rPr>
          <w:rFonts w:ascii="Cambria Math" w:hAnsi="Cambria Math"/>
        </w:rPr>
        <w:t>Nmm</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hint="eastAsia"/>
          <w:b/>
        </w:rPr>
        <w:t>附属書</w:t>
      </w:r>
      <w:r w:rsidR="00C25C85" w:rsidRPr="00BC31E0">
        <w:rPr>
          <w:rFonts w:ascii="ＭＳ ゴシック" w:eastAsia="ＭＳ ゴシック"/>
          <w:b/>
        </w:rPr>
        <w:t>H 3</w:t>
      </w:r>
      <w:r w:rsidR="00C25C85" w:rsidRPr="00BC31E0">
        <w:rPr>
          <w:rFonts w:eastAsia="ＭＳ ゴシック"/>
        </w:rPr>
        <w:t>)</w:t>
      </w:r>
    </w:p>
    <w:p w14:paraId="190D85E6"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M</m:t>
            </m:r>
          </m:e>
          <m:sub>
            <m:r>
              <w:rPr>
                <w:rFonts w:ascii="Cambria Math" w:hAnsi="Cambria Math"/>
              </w:rPr>
              <m:t>o</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ハブに対する合計回転モーメント</w:t>
      </w:r>
      <w:r w:rsidR="00C25C85" w:rsidRPr="00BC31E0">
        <w:rPr>
          <w:rFonts w:hint="eastAsia"/>
        </w:rPr>
        <w:t>(</w:t>
      </w:r>
      <w:r w:rsidR="00C25C85" w:rsidRPr="00BC31E0">
        <w:rPr>
          <w:rFonts w:ascii="Cambria Math" w:hAnsi="Cambria Math"/>
        </w:rPr>
        <w:t>Nmm</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hint="eastAsia"/>
          <w:b/>
        </w:rPr>
        <w:t>附属書</w:t>
      </w:r>
      <w:r w:rsidR="00C25C85" w:rsidRPr="00BC31E0">
        <w:rPr>
          <w:rFonts w:ascii="ＭＳ ゴシック" w:eastAsia="ＭＳ ゴシック"/>
          <w:b/>
        </w:rPr>
        <w:t>H 3</w:t>
      </w:r>
      <w:r w:rsidR="00C25C85" w:rsidRPr="00BC31E0">
        <w:rPr>
          <w:rFonts w:hint="eastAsia"/>
        </w:rPr>
        <w:t>)</w:t>
      </w:r>
    </w:p>
    <w:p w14:paraId="36D67EE1"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M</m:t>
            </m:r>
          </m:e>
          <m:sub>
            <m:r>
              <w:rPr>
                <w:rFonts w:ascii="Cambria Math" w:hAnsi="Cambria Math"/>
              </w:rPr>
              <m:t>p</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圧力モーメント</w:t>
      </w:r>
      <w:r w:rsidR="00C25C85" w:rsidRPr="00BC31E0">
        <w:rPr>
          <w:rFonts w:hint="eastAsia"/>
        </w:rPr>
        <w:t>(</w:t>
      </w:r>
      <w:r w:rsidR="00C25C85" w:rsidRPr="00BC31E0">
        <w:rPr>
          <w:rFonts w:ascii="Cambria Math" w:hAnsi="Cambria Math"/>
        </w:rPr>
        <w:t>Nmm</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hint="eastAsia"/>
          <w:b/>
        </w:rPr>
        <w:t>附属書</w:t>
      </w:r>
      <w:r w:rsidR="00C25C85" w:rsidRPr="00BC31E0">
        <w:rPr>
          <w:rFonts w:ascii="ＭＳ ゴシック" w:eastAsia="ＭＳ ゴシック"/>
          <w:b/>
        </w:rPr>
        <w:t>H 3</w:t>
      </w:r>
      <w:r w:rsidR="00C25C85" w:rsidRPr="00BC31E0">
        <w:rPr>
          <w:rFonts w:hint="eastAsia"/>
        </w:rPr>
        <w:t>)</w:t>
      </w:r>
    </w:p>
    <w:p w14:paraId="5DCE4BAA"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M</m:t>
            </m:r>
          </m:e>
          <m:sub>
            <m:r>
              <w:rPr>
                <w:rFonts w:ascii="Cambria Math" w:hAnsi="Cambria Math"/>
              </w:rPr>
              <m:t>R</m:t>
            </m:r>
          </m:sub>
        </m:sSub>
      </m:oMath>
      <w:r w:rsidR="00C25C85" w:rsidRPr="00BC31E0">
        <w:rPr>
          <w:rFonts w:hint="eastAsia"/>
          <w:i/>
          <w:szCs w:val="24"/>
        </w:rPr>
        <w:tab/>
      </w:r>
      <w:r w:rsidR="00C25C85" w:rsidRPr="00BC31E0">
        <w:rPr>
          <w:rFonts w:hint="eastAsia"/>
        </w:rPr>
        <w:t>：</w:t>
      </w:r>
      <w:r w:rsidR="00C25C85" w:rsidRPr="00BC31E0">
        <w:rPr>
          <w:rFonts w:hint="eastAsia"/>
        </w:rPr>
        <w:t xml:space="preserve"> </w:t>
      </w:r>
      <w:r w:rsidR="00C25C85" w:rsidRPr="00BC31E0">
        <w:rPr>
          <w:rFonts w:hint="eastAsia"/>
        </w:rPr>
        <w:t>半径方向クランプ平衡モーメント</w:t>
      </w:r>
      <w:r w:rsidR="00C25C85" w:rsidRPr="00BC31E0">
        <w:rPr>
          <w:rFonts w:hint="eastAsia"/>
        </w:rPr>
        <w:t>(</w:t>
      </w:r>
      <w:r w:rsidR="00C25C85" w:rsidRPr="00BC31E0">
        <w:rPr>
          <w:rFonts w:ascii="Cambria Math" w:hAnsi="Cambria Math"/>
        </w:rPr>
        <w:t>Nmm</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hint="eastAsia"/>
          <w:b/>
        </w:rPr>
        <w:t>附属書</w:t>
      </w:r>
      <w:r w:rsidR="00C25C85" w:rsidRPr="00BC31E0">
        <w:rPr>
          <w:rFonts w:ascii="ＭＳ ゴシック" w:eastAsia="ＭＳ ゴシック"/>
          <w:b/>
        </w:rPr>
        <w:t>H 3</w:t>
      </w:r>
      <w:r w:rsidR="00C25C85" w:rsidRPr="00BC31E0">
        <w:rPr>
          <w:rFonts w:hint="eastAsia"/>
        </w:rPr>
        <w:t>)</w:t>
      </w:r>
    </w:p>
    <w:p w14:paraId="4E398F00"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M</m:t>
            </m:r>
          </m:e>
          <m:sub>
            <m:r>
              <w:rPr>
                <w:rFonts w:ascii="Cambria Math" w:hAnsi="Cambria Math"/>
              </w:rPr>
              <m:t>T</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m:oMath>
        <m:sSub>
          <m:sSubPr>
            <m:ctrlPr>
              <w:rPr>
                <w:rFonts w:ascii="Cambria Math" w:hAnsi="Cambria Math"/>
                <w:i/>
              </w:rPr>
            </m:ctrlPr>
          </m:sSubPr>
          <m:e>
            <m:r>
              <w:rPr>
                <w:rFonts w:ascii="Cambria Math" w:hAnsi="Cambria Math"/>
              </w:rPr>
              <m:t>H</m:t>
            </m:r>
          </m:e>
          <m:sub>
            <m:r>
              <w:rPr>
                <w:rFonts w:ascii="Cambria Math" w:hAnsi="Cambria Math"/>
              </w:rPr>
              <m:t>T</m:t>
            </m:r>
          </m:sub>
        </m:sSub>
        <m:r>
          <w:rPr>
            <w:rFonts w:ascii="Cambria Math" w:hAnsi="Cambria Math"/>
          </w:rPr>
          <m:t xml:space="preserve"> </m:t>
        </m:r>
      </m:oMath>
      <w:r w:rsidR="00C25C85" w:rsidRPr="00BC31E0">
        <w:rPr>
          <w:rFonts w:hint="eastAsia"/>
        </w:rPr>
        <w:t>によるモーメント</w:t>
      </w:r>
      <w:r w:rsidR="00C25C85" w:rsidRPr="00BC31E0">
        <w:rPr>
          <w:rFonts w:hint="eastAsia"/>
        </w:rPr>
        <w:t>(</w:t>
      </w:r>
      <w:r w:rsidR="00C25C85" w:rsidRPr="00BC31E0">
        <w:rPr>
          <w:rFonts w:ascii="Cambria Math" w:hAnsi="Cambria Math"/>
        </w:rPr>
        <w:t>Nmm</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hint="eastAsia"/>
          <w:b/>
        </w:rPr>
        <w:t>附属書</w:t>
      </w:r>
      <w:r w:rsidR="00C25C85" w:rsidRPr="00BC31E0">
        <w:rPr>
          <w:rFonts w:ascii="ＭＳ ゴシック" w:eastAsia="ＭＳ ゴシック"/>
          <w:b/>
        </w:rPr>
        <w:t>H 3</w:t>
      </w:r>
      <w:r w:rsidR="00C25C85" w:rsidRPr="00BC31E0">
        <w:rPr>
          <w:rFonts w:hint="eastAsia"/>
        </w:rPr>
        <w:t>)</w:t>
      </w:r>
    </w:p>
    <w:p w14:paraId="112FCF77"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M</m:t>
            </m:r>
          </m:e>
          <m:sub>
            <m:r>
              <w:rPr>
                <w:rFonts w:ascii="Cambria Math" w:hAnsi="Cambria Math"/>
              </w:rPr>
              <m:t>5</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クランプ長手方向応力による曲げモーメント</w:t>
      </w:r>
      <w:r w:rsidR="00C25C85" w:rsidRPr="00BC31E0">
        <w:rPr>
          <w:rFonts w:hint="eastAsia"/>
        </w:rPr>
        <w:t>(</w:t>
      </w:r>
      <w:r w:rsidR="00C25C85" w:rsidRPr="00BC31E0">
        <w:rPr>
          <w:rFonts w:ascii="Cambria Math" w:hAnsi="Cambria Math"/>
        </w:rPr>
        <w:t>Nmm</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hint="eastAsia"/>
          <w:b/>
        </w:rPr>
        <w:t>附属書</w:t>
      </w:r>
      <w:r w:rsidR="00C25C85" w:rsidRPr="00BC31E0">
        <w:rPr>
          <w:rFonts w:ascii="ＭＳ ゴシック" w:eastAsia="ＭＳ ゴシック"/>
          <w:b/>
        </w:rPr>
        <w:t>H 3</w:t>
      </w:r>
      <w:r w:rsidR="00C25C85" w:rsidRPr="00BC31E0">
        <w:rPr>
          <w:rFonts w:hint="eastAsia"/>
        </w:rPr>
        <w:t>)</w:t>
      </w:r>
    </w:p>
    <w:p w14:paraId="7236C140"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M</m:t>
            </m:r>
          </m:e>
          <m:sub>
            <m:r>
              <w:rPr>
                <w:rFonts w:ascii="Cambria Math" w:hAnsi="Cambria Math"/>
              </w:rPr>
              <m:t>6</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クランプ周方向応力による曲げモーメント</w:t>
      </w:r>
      <w:r w:rsidR="00C25C85" w:rsidRPr="00BC31E0">
        <w:rPr>
          <w:rFonts w:hint="eastAsia"/>
        </w:rPr>
        <w:t>(</w:t>
      </w:r>
      <w:r w:rsidR="00C25C85" w:rsidRPr="00BC31E0">
        <w:rPr>
          <w:rFonts w:ascii="Cambria Math" w:hAnsi="Cambria Math"/>
        </w:rPr>
        <w:t>Nmm</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hint="eastAsia"/>
          <w:b/>
        </w:rPr>
        <w:t>附属書</w:t>
      </w:r>
      <w:r w:rsidR="00C25C85" w:rsidRPr="00BC31E0">
        <w:rPr>
          <w:rFonts w:ascii="ＭＳ ゴシック" w:eastAsia="ＭＳ ゴシック"/>
          <w:b/>
        </w:rPr>
        <w:t>H 3</w:t>
      </w:r>
      <w:r w:rsidR="00C25C85" w:rsidRPr="00BC31E0">
        <w:rPr>
          <w:rFonts w:hint="eastAsia"/>
        </w:rPr>
        <w:t>)</w:t>
      </w:r>
    </w:p>
    <w:p w14:paraId="39A096DB" w14:textId="77777777" w:rsidR="00C25C85" w:rsidRPr="00BC31E0" w:rsidRDefault="00C25C85" w:rsidP="008234D1">
      <w:pPr>
        <w:tabs>
          <w:tab w:val="left" w:pos="1276"/>
        </w:tabs>
        <w:autoSpaceDE w:val="0"/>
        <w:autoSpaceDN w:val="0"/>
        <w:ind w:left="1588" w:hanging="1021"/>
      </w:pPr>
      <m:oMath>
        <m:r>
          <w:rPr>
            <w:rFonts w:ascii="Cambria Math" w:hAnsi="Cambria Math"/>
            <w:szCs w:val="24"/>
          </w:rPr>
          <m:t>m</m:t>
        </m:r>
      </m:oMath>
      <w:r w:rsidRPr="00BC31E0">
        <w:tab/>
      </w:r>
      <w:r w:rsidRPr="00BC31E0">
        <w:rPr>
          <w:rFonts w:hint="eastAsia"/>
        </w:rPr>
        <w:t>：</w:t>
      </w:r>
      <w:r w:rsidRPr="00BC31E0">
        <w:rPr>
          <w:rFonts w:hint="eastAsia"/>
        </w:rPr>
        <w:t xml:space="preserve"> </w:t>
      </w:r>
      <w:r w:rsidRPr="00BC31E0">
        <w:rPr>
          <w:rFonts w:hint="eastAsia"/>
        </w:rPr>
        <w:t>亀裂進展速度指数</w:t>
      </w:r>
      <w:r w:rsidRPr="00BC31E0">
        <w:rPr>
          <w:rFonts w:hint="eastAsia"/>
        </w:rPr>
        <w:t xml:space="preserve"> (</w:t>
      </w:r>
      <w:r w:rsidRPr="00BC31E0">
        <w:rPr>
          <w:rFonts w:ascii="ＭＳ ゴシック" w:eastAsia="ＭＳ ゴシック"/>
          <w:b/>
        </w:rPr>
        <w:t>6.4.6</w:t>
      </w:r>
      <w:r w:rsidRPr="00BC31E0">
        <w:rPr>
          <w:rFonts w:hint="eastAsia"/>
        </w:rPr>
        <w:t>，</w:t>
      </w:r>
      <w:r w:rsidRPr="00BC31E0">
        <w:rPr>
          <w:rFonts w:ascii="ＭＳ ゴシック" w:eastAsia="ＭＳ ゴシック" w:hint="eastAsia"/>
          <w:b/>
        </w:rPr>
        <w:t>表</w:t>
      </w:r>
      <w:r w:rsidRPr="00BC31E0">
        <w:rPr>
          <w:rFonts w:ascii="ＭＳ ゴシック" w:eastAsia="ＭＳ ゴシック"/>
          <w:b/>
        </w:rPr>
        <w:t>6.4.1</w:t>
      </w:r>
      <w:r w:rsidRPr="00BC31E0">
        <w:rPr>
          <w:rFonts w:asciiTheme="minorEastAsia" w:eastAsiaTheme="minorEastAsia" w:hAnsiTheme="minorEastAsia" w:hint="eastAsia"/>
        </w:rPr>
        <w:t>，</w:t>
      </w:r>
      <w:r w:rsidRPr="00BC31E0">
        <w:rPr>
          <w:rFonts w:ascii="ＭＳ ゴシック" w:eastAsia="ＭＳ ゴシック" w:hint="eastAsia"/>
          <w:b/>
        </w:rPr>
        <w:t>附属書C 5</w:t>
      </w:r>
      <w:r w:rsidRPr="00BC31E0">
        <w:rPr>
          <w:rFonts w:hint="eastAsia"/>
        </w:rPr>
        <w:t>)</w:t>
      </w:r>
    </w:p>
    <w:p w14:paraId="60C82AE5" w14:textId="77777777" w:rsidR="00C25C85" w:rsidRPr="00BC31E0" w:rsidRDefault="00C25C85" w:rsidP="008234D1">
      <w:pPr>
        <w:tabs>
          <w:tab w:val="left" w:pos="1276"/>
        </w:tabs>
        <w:autoSpaceDE w:val="0"/>
        <w:autoSpaceDN w:val="0"/>
        <w:ind w:left="1588" w:hanging="1021"/>
      </w:pPr>
      <w:r w:rsidRPr="00BC31E0">
        <w:tab/>
      </w:r>
      <w:r w:rsidRPr="00BC31E0">
        <w:rPr>
          <w:rFonts w:hint="eastAsia"/>
        </w:rPr>
        <w:t>：</w:t>
      </w:r>
      <w:r w:rsidRPr="00BC31E0">
        <w:rPr>
          <w:rFonts w:hint="eastAsia"/>
        </w:rPr>
        <w:t xml:space="preserve"> </w:t>
      </w:r>
      <w:r w:rsidRPr="00BC31E0">
        <w:rPr>
          <w:rFonts w:hint="eastAsia"/>
        </w:rPr>
        <w:t>ガスケット係数</w:t>
      </w:r>
      <w:r w:rsidRPr="00BC31E0">
        <w:rPr>
          <w:rFonts w:hint="eastAsia"/>
        </w:rPr>
        <w:t xml:space="preserve"> (</w:t>
      </w:r>
      <w:r w:rsidRPr="00BC31E0">
        <w:rPr>
          <w:rFonts w:ascii="ＭＳ ゴシック" w:eastAsia="ＭＳ ゴシック" w:hint="eastAsia"/>
          <w:b/>
        </w:rPr>
        <w:t>附属書</w:t>
      </w:r>
      <w:r w:rsidRPr="00BC31E0">
        <w:rPr>
          <w:rFonts w:ascii="ＭＳ ゴシック" w:eastAsia="ＭＳ ゴシック"/>
          <w:b/>
        </w:rPr>
        <w:t>H 3</w:t>
      </w:r>
      <w:r w:rsidRPr="00BC31E0">
        <w:rPr>
          <w:rFonts w:hint="eastAsia"/>
        </w:rPr>
        <w:t>)</w:t>
      </w:r>
    </w:p>
    <w:p w14:paraId="7A227D23"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1</m:t>
            </m:r>
          </m:sub>
        </m:sSub>
      </m:oMath>
      <w:r w:rsidR="00C25C85" w:rsidRPr="00BC31E0">
        <w:rPr>
          <w:rFonts w:hint="eastAsia"/>
          <w:vertAlign w:val="subscript"/>
        </w:rPr>
        <w:tab/>
      </w:r>
      <w:r w:rsidR="00C25C85" w:rsidRPr="00BC31E0">
        <w:rPr>
          <w:rFonts w:hint="eastAsia"/>
        </w:rPr>
        <w:t>：</w:t>
      </w:r>
      <w:r w:rsidR="00C25C85" w:rsidRPr="00BC31E0">
        <w:rPr>
          <w:rFonts w:hint="eastAsia"/>
        </w:rPr>
        <w:t xml:space="preserve"> </w:t>
      </w:r>
      <w:r w:rsidR="00C25C85" w:rsidRPr="00BC31E0">
        <w:rPr>
          <w:rFonts w:hint="eastAsia"/>
        </w:rPr>
        <w:t>真応力－真ひずみ曲線における材料特性値</w:t>
      </w:r>
      <w:r w:rsidR="00C25C85" w:rsidRPr="00BC31E0">
        <w:rPr>
          <w:rFonts w:hint="eastAsia"/>
        </w:rPr>
        <w:t xml:space="preserve"> (</w:t>
      </w:r>
      <w:r w:rsidR="00C25C85" w:rsidRPr="00BC31E0">
        <w:rPr>
          <w:rFonts w:ascii="ＭＳ ゴシック" w:eastAsia="ＭＳ ゴシック" w:hint="eastAsia"/>
          <w:b/>
        </w:rPr>
        <w:t>附属書D 2</w:t>
      </w:r>
      <w:r w:rsidR="00C25C85" w:rsidRPr="00BC31E0">
        <w:rPr>
          <w:rFonts w:hint="eastAsia"/>
        </w:rPr>
        <w:t xml:space="preserve">) </w:t>
      </w:r>
    </w:p>
    <w:bookmarkStart w:id="138" w:name="_Hlk52194998"/>
    <w:p w14:paraId="1827A1C7"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2</m:t>
            </m:r>
          </m:sub>
        </m:sSub>
      </m:oMath>
      <w:r w:rsidR="00C25C85" w:rsidRPr="00BC31E0">
        <w:rPr>
          <w:rFonts w:hint="eastAsia"/>
          <w:vertAlign w:val="subscript"/>
        </w:rPr>
        <w:t xml:space="preserve"> </w:t>
      </w:r>
      <w:r w:rsidR="00C25C85" w:rsidRPr="00BC31E0">
        <w:rPr>
          <w:rFonts w:hint="eastAsia"/>
          <w:vertAlign w:val="subscript"/>
        </w:rPr>
        <w:tab/>
      </w:r>
      <w:r w:rsidR="00C25C85" w:rsidRPr="00BC31E0">
        <w:rPr>
          <w:rFonts w:hint="eastAsia"/>
        </w:rPr>
        <w:t>：</w:t>
      </w:r>
      <w:r w:rsidR="00C25C85" w:rsidRPr="00BC31E0">
        <w:rPr>
          <w:rFonts w:hint="eastAsia"/>
        </w:rPr>
        <w:t xml:space="preserve"> </w:t>
      </w:r>
      <w:r w:rsidR="00C25C85" w:rsidRPr="00BC31E0">
        <w:rPr>
          <w:rFonts w:hint="eastAsia"/>
        </w:rPr>
        <w:t>真応力－真ひずみ曲線における材料特性値</w:t>
      </w:r>
      <w:r w:rsidR="00C25C85" w:rsidRPr="00BC31E0">
        <w:rPr>
          <w:rFonts w:hint="eastAsia"/>
        </w:rPr>
        <w:t xml:space="preserve"> (</w:t>
      </w:r>
      <w:r w:rsidR="00C25C85" w:rsidRPr="00BC31E0">
        <w:rPr>
          <w:rFonts w:asciiTheme="majorEastAsia" w:eastAsiaTheme="majorEastAsia" w:hAnsiTheme="majorEastAsia" w:hint="eastAsia"/>
          <w:b/>
        </w:rPr>
        <w:t>6.2.3</w:t>
      </w:r>
      <w:r w:rsidR="00C25C85" w:rsidRPr="00BC31E0">
        <w:rPr>
          <w:rFonts w:hint="eastAsia"/>
        </w:rPr>
        <w:t>，</w:t>
      </w:r>
      <w:r w:rsidR="00C25C85" w:rsidRPr="00BC31E0">
        <w:rPr>
          <w:rFonts w:asciiTheme="majorEastAsia" w:eastAsiaTheme="majorEastAsia" w:hAnsiTheme="majorEastAsia" w:hint="eastAsia"/>
          <w:b/>
        </w:rPr>
        <w:t>表6.2.4</w:t>
      </w:r>
      <w:r w:rsidR="00C25C85" w:rsidRPr="00BC31E0">
        <w:rPr>
          <w:rFonts w:hint="eastAsia"/>
        </w:rPr>
        <w:t>，</w:t>
      </w:r>
      <w:r w:rsidR="00C25C85" w:rsidRPr="00BC31E0">
        <w:rPr>
          <w:rFonts w:ascii="ＭＳ ゴシック" w:eastAsia="ＭＳ ゴシック" w:hint="eastAsia"/>
          <w:b/>
        </w:rPr>
        <w:t>附属書D 2</w:t>
      </w:r>
      <w:r w:rsidR="00C25C85" w:rsidRPr="00BC31E0">
        <w:rPr>
          <w:rFonts w:hint="eastAsia"/>
        </w:rPr>
        <w:t>)</w:t>
      </w:r>
    </w:p>
    <w:bookmarkStart w:id="139" w:name="_Hlk52195048"/>
    <w:bookmarkEnd w:id="138"/>
    <w:p w14:paraId="4375FEB9" w14:textId="77777777" w:rsidR="00C25C85" w:rsidRPr="00BC31E0" w:rsidRDefault="00A51873" w:rsidP="008234D1">
      <w:pPr>
        <w:tabs>
          <w:tab w:val="left" w:pos="1985"/>
        </w:tabs>
        <w:autoSpaceDE w:val="0"/>
        <w:autoSpaceDN w:val="0"/>
        <w:ind w:left="567"/>
      </w:pPr>
      <m:oMath>
        <m:sSub>
          <m:sSubPr>
            <m:ctrlPr>
              <w:rPr>
                <w:rFonts w:ascii="Cambria Math" w:hAnsi="Cambria Math"/>
                <w:i/>
                <w:szCs w:val="24"/>
              </w:rPr>
            </m:ctrlPr>
          </m:sSubPr>
          <m:e>
            <m:r>
              <w:rPr>
                <w:rFonts w:ascii="Cambria Math" w:hAnsi="Cambria Math"/>
                <w:szCs w:val="24"/>
              </w:rPr>
              <m:t>m</m:t>
            </m:r>
          </m:e>
          <m:sub>
            <m:r>
              <w:rPr>
                <w:rFonts w:ascii="Cambria Math" w:hAnsi="Cambria Math" w:hint="eastAsia"/>
                <w:szCs w:val="24"/>
              </w:rPr>
              <m:t>3</m:t>
            </m:r>
          </m:sub>
        </m:sSub>
      </m:oMath>
      <w:bookmarkEnd w:id="139"/>
      <w:r w:rsidR="00C25C85" w:rsidRPr="00BC31E0">
        <w:rPr>
          <w:rFonts w:hint="eastAsia"/>
          <w:szCs w:val="24"/>
        </w:rPr>
        <w:t>，</w:t>
      </w:r>
      <m:oMath>
        <m:sSub>
          <m:sSubPr>
            <m:ctrlPr>
              <w:rPr>
                <w:rFonts w:ascii="Cambria Math" w:hAnsi="Cambria Math"/>
                <w:i/>
                <w:szCs w:val="24"/>
              </w:rPr>
            </m:ctrlPr>
          </m:sSubPr>
          <m:e>
            <m:r>
              <w:rPr>
                <w:rFonts w:ascii="Cambria Math" w:hAnsi="Cambria Math"/>
                <w:szCs w:val="24"/>
              </w:rPr>
              <m:t>m</m:t>
            </m:r>
          </m:e>
          <m:sub>
            <m:r>
              <w:rPr>
                <w:rFonts w:ascii="Cambria Math" w:hAnsi="Cambria Math" w:hint="eastAsia"/>
                <w:szCs w:val="24"/>
              </w:rPr>
              <m:t>4</m:t>
            </m:r>
          </m:sub>
        </m:sSub>
        <m:sSub>
          <m:sSubPr>
            <m:ctrlPr>
              <w:rPr>
                <w:rFonts w:ascii="Cambria Math" w:hAnsi="Cambria Math"/>
                <w:i/>
                <w:szCs w:val="24"/>
              </w:rPr>
            </m:ctrlPr>
          </m:sSubPr>
          <m:e>
            <m:r>
              <m:rPr>
                <m:sty m:val="p"/>
              </m:rPr>
              <w:rPr>
                <w:rFonts w:ascii="Cambria Math" w:hAnsi="Cambria Math" w:hint="eastAsia"/>
                <w:szCs w:val="24"/>
              </w:rPr>
              <m:t>，</m:t>
            </m:r>
            <m:r>
              <w:rPr>
                <w:rFonts w:ascii="Cambria Math" w:hAnsi="Cambria Math"/>
                <w:szCs w:val="24"/>
              </w:rPr>
              <m:t xml:space="preserve"> m</m:t>
            </m:r>
          </m:e>
          <m:sub>
            <m:r>
              <w:rPr>
                <w:rFonts w:ascii="Cambria Math" w:hAnsi="Cambria Math"/>
                <w:szCs w:val="24"/>
              </w:rPr>
              <m:t>5</m:t>
            </m:r>
          </m:sub>
        </m:sSub>
      </m:oMath>
      <w:r w:rsidR="00C25C85" w:rsidRPr="00BC31E0">
        <w:rPr>
          <w:rFonts w:hint="eastAsia"/>
          <w:szCs w:val="24"/>
        </w:rPr>
        <w:tab/>
      </w:r>
      <w:r w:rsidR="00C25C85" w:rsidRPr="00BC31E0">
        <w:rPr>
          <w:rFonts w:hint="eastAsia"/>
        </w:rPr>
        <w:t>：</w:t>
      </w:r>
      <w:r w:rsidR="00C25C85" w:rsidRPr="00BC31E0">
        <w:rPr>
          <w:rFonts w:hint="eastAsia"/>
        </w:rPr>
        <w:t xml:space="preserve"> </w:t>
      </w:r>
      <w:r w:rsidR="00C25C85" w:rsidRPr="00BC31E0">
        <w:rPr>
          <w:rFonts w:hint="eastAsia"/>
        </w:rPr>
        <w:t>弾塑性解析における材料特性値</w:t>
      </w:r>
      <w:r w:rsidR="00C25C85" w:rsidRPr="00BC31E0">
        <w:rPr>
          <w:rFonts w:hint="eastAsia"/>
        </w:rPr>
        <w:t xml:space="preserve"> (</w:t>
      </w:r>
      <w:r w:rsidR="00C25C85" w:rsidRPr="00BC31E0">
        <w:rPr>
          <w:rFonts w:ascii="ＭＳ ゴシック" w:eastAsia="ＭＳ ゴシック" w:hint="eastAsia"/>
          <w:b/>
        </w:rPr>
        <w:t>6.2.3</w:t>
      </w:r>
      <w:r w:rsidR="00C25C85" w:rsidRPr="00BC31E0">
        <w:rPr>
          <w:rFonts w:hint="eastAsia"/>
        </w:rPr>
        <w:t>，</w:t>
      </w:r>
      <w:r w:rsidR="00C25C85" w:rsidRPr="00BC31E0">
        <w:rPr>
          <w:rFonts w:asciiTheme="majorEastAsia" w:eastAsiaTheme="majorEastAsia" w:hAnsiTheme="majorEastAsia" w:hint="eastAsia"/>
          <w:b/>
        </w:rPr>
        <w:t>表6.2.4</w:t>
      </w:r>
      <w:r w:rsidR="00C25C85" w:rsidRPr="00BC31E0">
        <w:rPr>
          <w:rFonts w:hint="eastAsia"/>
        </w:rPr>
        <w:t>)</w:t>
      </w:r>
    </w:p>
    <w:p w14:paraId="20B9D839" w14:textId="77777777" w:rsidR="00C25C85" w:rsidRPr="00BC31E0" w:rsidRDefault="00C25C85" w:rsidP="008234D1">
      <w:pPr>
        <w:tabs>
          <w:tab w:val="left" w:pos="1276"/>
        </w:tabs>
        <w:autoSpaceDE w:val="0"/>
        <w:autoSpaceDN w:val="0"/>
        <w:ind w:left="1588" w:hanging="1021"/>
      </w:pPr>
      <m:oMath>
        <m:r>
          <w:rPr>
            <w:rFonts w:ascii="Cambria Math" w:hAnsi="Cambria Math"/>
            <w:szCs w:val="24"/>
          </w:rPr>
          <m:t>N</m:t>
        </m:r>
      </m:oMath>
      <w:r w:rsidRPr="00BC31E0">
        <w:rPr>
          <w:szCs w:val="24"/>
        </w:rPr>
        <w:tab/>
      </w:r>
      <w:r w:rsidRPr="00BC31E0">
        <w:rPr>
          <w:rFonts w:hint="eastAsia"/>
        </w:rPr>
        <w:t>：</w:t>
      </w:r>
      <w:r w:rsidRPr="00BC31E0">
        <w:rPr>
          <w:rFonts w:hint="eastAsia"/>
        </w:rPr>
        <w:t xml:space="preserve"> </w:t>
      </w:r>
      <w:r w:rsidRPr="00BC31E0">
        <w:rPr>
          <w:rFonts w:hint="eastAsia"/>
        </w:rPr>
        <w:t>全層数</w:t>
      </w:r>
      <w:r w:rsidRPr="00BC31E0">
        <w:rPr>
          <w:rFonts w:hint="eastAsia"/>
        </w:rPr>
        <w:t xml:space="preserve"> (</w:t>
      </w:r>
      <w:r w:rsidRPr="00BC31E0">
        <w:rPr>
          <w:rFonts w:ascii="ＭＳ ゴシック" w:eastAsia="ＭＳ ゴシック"/>
          <w:b/>
        </w:rPr>
        <w:t>6.8.3</w:t>
      </w:r>
      <w:r w:rsidRPr="00BC31E0">
        <w:rPr>
          <w:rFonts w:hint="eastAsia"/>
        </w:rPr>
        <w:t>)</w:t>
      </w:r>
    </w:p>
    <w:p w14:paraId="14A8D475"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D</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設計繰返し回数</w:t>
      </w:r>
      <w:r w:rsidR="00C25C85" w:rsidRPr="00BC31E0">
        <w:rPr>
          <w:rFonts w:hint="eastAsia"/>
        </w:rPr>
        <w:t xml:space="preserve"> (</w:t>
      </w:r>
      <w:r w:rsidR="00C25C85" w:rsidRPr="00BC31E0">
        <w:rPr>
          <w:rFonts w:ascii="ＭＳ ゴシック" w:eastAsia="ＭＳ ゴシック"/>
          <w:b/>
        </w:rPr>
        <w:t>6.9.10</w:t>
      </w:r>
      <w:r w:rsidR="00C25C85" w:rsidRPr="00BC31E0">
        <w:rPr>
          <w:rFonts w:hint="eastAsia"/>
        </w:rPr>
        <w:t>，</w:t>
      </w:r>
      <w:r w:rsidR="00C25C85" w:rsidRPr="00BC31E0">
        <w:rPr>
          <w:rFonts w:ascii="ＭＳ ゴシック" w:eastAsia="ＭＳ ゴシック"/>
          <w:b/>
        </w:rPr>
        <w:t>6.11.</w:t>
      </w:r>
      <w:r w:rsidR="00C25C85" w:rsidRPr="00BC31E0">
        <w:rPr>
          <w:rFonts w:ascii="ＭＳ ゴシック" w:eastAsia="ＭＳ ゴシック"/>
          <w:b/>
          <w:strike/>
        </w:rPr>
        <w:t>6</w:t>
      </w:r>
      <w:r w:rsidR="00C25C85" w:rsidRPr="00BC31E0">
        <w:rPr>
          <w:rFonts w:ascii="ＭＳ ゴシック" w:eastAsia="ＭＳ ゴシック" w:hint="eastAsia"/>
          <w:b/>
        </w:rPr>
        <w:t>7</w:t>
      </w:r>
      <w:r w:rsidR="00C25C85" w:rsidRPr="00BC31E0">
        <w:rPr>
          <w:rFonts w:hint="eastAsia"/>
        </w:rPr>
        <w:t>)</w:t>
      </w:r>
    </w:p>
    <w:p w14:paraId="2BEB4680"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f</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設計許容繰返し回数</w:t>
      </w:r>
      <w:r w:rsidR="00C25C85" w:rsidRPr="00BC31E0">
        <w:t xml:space="preserve"> </w:t>
      </w:r>
      <w:r w:rsidR="00C25C85" w:rsidRPr="00BC31E0">
        <w:rPr>
          <w:rFonts w:hint="eastAsia"/>
        </w:rPr>
        <w:t>(</w:t>
      </w:r>
      <w:r w:rsidR="00C25C85" w:rsidRPr="00BC31E0">
        <w:rPr>
          <w:rFonts w:ascii="ＭＳ ゴシック" w:eastAsia="ＭＳ ゴシック"/>
          <w:b/>
        </w:rPr>
        <w:t>6.3.5</w:t>
      </w:r>
      <w:r w:rsidR="00C25C85" w:rsidRPr="00BC31E0">
        <w:rPr>
          <w:rFonts w:hint="eastAsia"/>
        </w:rPr>
        <w:t>)</w:t>
      </w:r>
    </w:p>
    <w:p w14:paraId="7BFC669A"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H</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ハブネックの外径</w:t>
      </w:r>
      <w:r w:rsidR="00C25C85" w:rsidRPr="00BC31E0">
        <w:rPr>
          <w:rFonts w:hint="eastAsia"/>
        </w:rPr>
        <w:t>(</w:t>
      </w:r>
      <w:r w:rsidR="00C25C85" w:rsidRPr="00BC31E0">
        <w:rPr>
          <w:rFonts w:ascii="Cambria Math" w:hAnsi="Cambria Math"/>
        </w:rPr>
        <w:t>mm</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hint="eastAsia"/>
          <w:b/>
        </w:rPr>
        <w:t>附属書</w:t>
      </w:r>
      <w:r w:rsidR="00C25C85" w:rsidRPr="00BC31E0">
        <w:rPr>
          <w:rFonts w:ascii="ＭＳ ゴシック" w:eastAsia="ＭＳ ゴシック"/>
          <w:b/>
        </w:rPr>
        <w:t>H 3</w:t>
      </w:r>
      <w:r w:rsidR="00C25C85" w:rsidRPr="00BC31E0">
        <w:rPr>
          <w:rFonts w:hint="eastAsia"/>
        </w:rPr>
        <w:t>)</w:t>
      </w:r>
    </w:p>
    <w:p w14:paraId="1CF91470"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i</m:t>
            </m:r>
          </m:sub>
        </m:sSub>
      </m:oMath>
      <w:r w:rsidR="00C25C85" w:rsidRPr="00BC31E0">
        <w:rPr>
          <w:vertAlign w:val="subscript"/>
        </w:rPr>
        <w:tab/>
      </w:r>
      <w:r w:rsidR="00C25C85" w:rsidRPr="00BC31E0">
        <w:rPr>
          <w:rFonts w:hint="eastAsia"/>
        </w:rPr>
        <w:t>：</w:t>
      </w:r>
      <w:r w:rsidR="00C25C85" w:rsidRPr="00BC31E0">
        <w:rPr>
          <w:rFonts w:hint="eastAsia"/>
        </w:rPr>
        <w:t xml:space="preserve"> </w:t>
      </w:r>
      <m:oMath>
        <m:r>
          <w:rPr>
            <w:rFonts w:ascii="Cambria Math" w:hAnsi="Cambria Math"/>
          </w:rPr>
          <m:t xml:space="preserve">i </m:t>
        </m:r>
      </m:oMath>
      <w:r w:rsidR="00C25C85" w:rsidRPr="00BC31E0">
        <w:rPr>
          <w:rFonts w:hint="eastAsia"/>
        </w:rPr>
        <w:t>応力サイクルの設計許容繰返し回数</w:t>
      </w:r>
      <w:r w:rsidR="00C25C85" w:rsidRPr="00BC31E0">
        <w:rPr>
          <w:rFonts w:hint="eastAsia"/>
        </w:rPr>
        <w:t xml:space="preserve"> (</w:t>
      </w:r>
      <w:r w:rsidR="00C25C85" w:rsidRPr="00BC31E0">
        <w:rPr>
          <w:rFonts w:ascii="ＭＳ ゴシック" w:eastAsia="ＭＳ ゴシック"/>
          <w:b/>
        </w:rPr>
        <w:t>6.3.5</w:t>
      </w:r>
      <w:r w:rsidR="00C25C85" w:rsidRPr="00BC31E0">
        <w:rPr>
          <w:rFonts w:hint="eastAsia"/>
        </w:rPr>
        <w:t>)</w:t>
      </w:r>
    </w:p>
    <w:p w14:paraId="1A91D525"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N</m:t>
            </m:r>
          </m:e>
          <m:sub>
            <m:r>
              <w:rPr>
                <w:rFonts w:ascii="Cambria Math" w:hAnsi="Cambria Math" w:hint="eastAsia"/>
                <w:szCs w:val="24"/>
              </w:rPr>
              <m:t>ieq</m:t>
            </m:r>
          </m:sub>
        </m:sSub>
      </m:oMath>
      <w:r w:rsidR="00C25C85" w:rsidRPr="00BC31E0">
        <w:rPr>
          <w:vertAlign w:val="subscript"/>
        </w:rPr>
        <w:tab/>
      </w:r>
      <w:r w:rsidR="00C25C85" w:rsidRPr="00BC31E0">
        <w:rPr>
          <w:rFonts w:hint="eastAsia"/>
        </w:rPr>
        <w:t>：</w:t>
      </w:r>
      <w:r w:rsidR="00C25C85" w:rsidRPr="00BC31E0">
        <w:rPr>
          <w:rFonts w:hint="eastAsia"/>
        </w:rPr>
        <w:t xml:space="preserve"> N</w:t>
      </w:r>
      <w:r w:rsidR="00C25C85" w:rsidRPr="00BC31E0">
        <w:t>i</w:t>
      </w:r>
      <w:r w:rsidR="00C25C85" w:rsidRPr="00BC31E0">
        <w:rPr>
          <w:rFonts w:hint="eastAsia"/>
        </w:rPr>
        <w:t>当量</w:t>
      </w:r>
      <w:r w:rsidR="00C25C85" w:rsidRPr="00BC31E0">
        <w:rPr>
          <w:rFonts w:hint="eastAsia"/>
        </w:rPr>
        <w:t>(</w:t>
      </w:r>
      <w:r w:rsidR="00C25C85" w:rsidRPr="00BC31E0">
        <w:rPr>
          <w:rFonts w:hint="eastAsia"/>
        </w:rPr>
        <w:t>質量</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b/>
        </w:rPr>
        <w:t>6.</w:t>
      </w:r>
      <w:r w:rsidR="00C25C85" w:rsidRPr="00BC31E0">
        <w:rPr>
          <w:rFonts w:ascii="ＭＳ ゴシック" w:eastAsia="ＭＳ ゴシック" w:hint="eastAsia"/>
          <w:b/>
        </w:rPr>
        <w:t>13</w:t>
      </w:r>
      <w:r w:rsidR="00C25C85" w:rsidRPr="00BC31E0">
        <w:rPr>
          <w:rFonts w:ascii="ＭＳ ゴシック" w:eastAsia="ＭＳ ゴシック"/>
          <w:b/>
        </w:rPr>
        <w:t>.5</w:t>
      </w:r>
      <w:r w:rsidR="00C25C85" w:rsidRPr="00BC31E0">
        <w:rPr>
          <w:rFonts w:hint="eastAsia"/>
        </w:rPr>
        <w:t>)</w:t>
      </w:r>
    </w:p>
    <w:p w14:paraId="67AAB8B7"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設計許容繰返し回数</w:t>
      </w:r>
      <w:r w:rsidR="00C25C85" w:rsidRPr="00BC31E0">
        <w:rPr>
          <w:rFonts w:hint="eastAsia"/>
        </w:rPr>
        <w:t xml:space="preserve"> (</w:t>
      </w:r>
      <w:r w:rsidR="00C25C85" w:rsidRPr="00BC31E0">
        <w:rPr>
          <w:rFonts w:ascii="ＭＳ ゴシック" w:eastAsia="ＭＳ ゴシック"/>
          <w:b/>
        </w:rPr>
        <w:t>6.4</w:t>
      </w:r>
      <w:r w:rsidR="00C25C85" w:rsidRPr="00BC31E0">
        <w:rPr>
          <w:rFonts w:ascii="ＭＳ ゴシック" w:eastAsia="ＭＳ ゴシック" w:hint="eastAsia"/>
          <w:b/>
        </w:rPr>
        <w:t>.4</w:t>
      </w:r>
      <w:r w:rsidR="00C25C85" w:rsidRPr="00BC31E0">
        <w:rPr>
          <w:rFonts w:asciiTheme="minorEastAsia" w:eastAsiaTheme="minorEastAsia" w:hAnsiTheme="minorEastAsia" w:hint="eastAsia"/>
        </w:rPr>
        <w:t>，</w:t>
      </w:r>
      <w:r w:rsidR="00C25C85" w:rsidRPr="00BC31E0">
        <w:rPr>
          <w:rFonts w:ascii="ＭＳ ゴシック" w:eastAsia="ＭＳ ゴシック" w:hint="eastAsia"/>
          <w:b/>
        </w:rPr>
        <w:t>6.4.6</w:t>
      </w:r>
      <w:r w:rsidR="00C25C85" w:rsidRPr="00BC31E0">
        <w:rPr>
          <w:rFonts w:ascii="ＭＳ ゴシック" w:eastAsia="ＭＳ ゴシック" w:hint="eastAsia"/>
        </w:rPr>
        <w:t>)</w:t>
      </w:r>
    </w:p>
    <w:p w14:paraId="1B7D413D"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T</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試験の繰返し回数</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b/>
        </w:rPr>
        <w:t>6.11.</w:t>
      </w:r>
      <w:r w:rsidR="00C25C85" w:rsidRPr="00BC31E0">
        <w:rPr>
          <w:rFonts w:ascii="ＭＳ ゴシック" w:eastAsia="ＭＳ ゴシック"/>
          <w:b/>
          <w:strike/>
        </w:rPr>
        <w:t>6</w:t>
      </w:r>
      <w:r w:rsidR="00C25C85" w:rsidRPr="00BC31E0">
        <w:rPr>
          <w:rFonts w:ascii="ＭＳ ゴシック" w:eastAsia="ＭＳ ゴシック" w:hint="eastAsia"/>
          <w:b/>
        </w:rPr>
        <w:t>7</w:t>
      </w:r>
      <w:r w:rsidR="00C25C85" w:rsidRPr="00BC31E0">
        <w:rPr>
          <w:rFonts w:hint="eastAsia"/>
        </w:rPr>
        <w:t>)</w:t>
      </w:r>
    </w:p>
    <w:p w14:paraId="2F3C8532"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T</m:t>
            </m:r>
            <m:r>
              <m:rPr>
                <m:sty m:val="p"/>
              </m:rPr>
              <w:rPr>
                <w:rFonts w:ascii="Cambria Math" w:hAnsi="Cambria Math"/>
                <w:szCs w:val="24"/>
              </w:rPr>
              <m:t>min</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最小試験繰返し回数</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b/>
        </w:rPr>
        <w:t>6.11.</w:t>
      </w:r>
      <w:r w:rsidR="00C25C85" w:rsidRPr="00BC31E0">
        <w:rPr>
          <w:rFonts w:ascii="ＭＳ ゴシック" w:eastAsia="ＭＳ ゴシック"/>
          <w:b/>
          <w:strike/>
        </w:rPr>
        <w:t>6</w:t>
      </w:r>
      <w:r w:rsidR="00C25C85" w:rsidRPr="00BC31E0">
        <w:rPr>
          <w:rFonts w:ascii="ＭＳ ゴシック" w:eastAsia="ＭＳ ゴシック" w:hint="eastAsia"/>
          <w:b/>
        </w:rPr>
        <w:t>7</w:t>
      </w:r>
      <w:r w:rsidR="00C25C85" w:rsidRPr="00BC31E0">
        <w:rPr>
          <w:rFonts w:hint="eastAsia"/>
        </w:rPr>
        <w:t>)</w:t>
      </w:r>
    </w:p>
    <w:p w14:paraId="3FCEA64E" w14:textId="77777777" w:rsidR="00C25C85" w:rsidRPr="00BC31E0" w:rsidRDefault="00C25C85" w:rsidP="008234D1">
      <w:pPr>
        <w:tabs>
          <w:tab w:val="left" w:pos="1276"/>
        </w:tabs>
        <w:autoSpaceDE w:val="0"/>
        <w:autoSpaceDN w:val="0"/>
        <w:ind w:left="1588" w:hanging="1021"/>
      </w:pPr>
      <m:oMath>
        <m:r>
          <w:rPr>
            <w:rFonts w:ascii="Cambria Math" w:hAnsi="Cambria Math"/>
          </w:rPr>
          <m:t>n</m:t>
        </m:r>
      </m:oMath>
      <w:r w:rsidRPr="00BC31E0">
        <w:tab/>
      </w:r>
      <w:r w:rsidRPr="00BC31E0">
        <w:rPr>
          <w:rFonts w:hint="eastAsia"/>
        </w:rPr>
        <w:t>：</w:t>
      </w:r>
      <w:r w:rsidRPr="00BC31E0">
        <w:rPr>
          <w:rFonts w:hint="eastAsia"/>
        </w:rPr>
        <w:t xml:space="preserve"> </w:t>
      </w:r>
      <w:r w:rsidRPr="00BC31E0">
        <w:rPr>
          <w:rFonts w:hint="eastAsia"/>
        </w:rPr>
        <w:t>応力を計算すべき層数</w:t>
      </w:r>
      <w:r w:rsidRPr="00BC31E0">
        <w:rPr>
          <w:rFonts w:hint="eastAsia"/>
        </w:rPr>
        <w:t xml:space="preserve"> (</w:t>
      </w:r>
      <w:r w:rsidRPr="00BC31E0">
        <w:rPr>
          <w:rFonts w:ascii="ＭＳ ゴシック" w:eastAsia="ＭＳ ゴシック"/>
          <w:b/>
        </w:rPr>
        <w:t>6.8.3</w:t>
      </w:r>
      <w:r w:rsidRPr="00BC31E0">
        <w:rPr>
          <w:rFonts w:hint="eastAsia"/>
        </w:rPr>
        <w:t>)</w:t>
      </w:r>
    </w:p>
    <w:p w14:paraId="75CEE1B0" w14:textId="77777777" w:rsidR="00C25C85" w:rsidRPr="00BC31E0" w:rsidRDefault="00C25C85" w:rsidP="008234D1">
      <w:pPr>
        <w:tabs>
          <w:tab w:val="left" w:pos="1276"/>
        </w:tabs>
        <w:autoSpaceDE w:val="0"/>
        <w:autoSpaceDN w:val="0"/>
        <w:ind w:left="1588" w:hanging="1021"/>
      </w:pPr>
      <w:r w:rsidRPr="00BC31E0">
        <w:tab/>
      </w:r>
      <w:r w:rsidRPr="00BC31E0">
        <w:rPr>
          <w:rFonts w:hint="eastAsia"/>
        </w:rPr>
        <w:t>：</w:t>
      </w:r>
      <w:r w:rsidRPr="00BC31E0">
        <w:rPr>
          <w:rFonts w:hint="eastAsia"/>
        </w:rPr>
        <w:t xml:space="preserve"> </w:t>
      </w:r>
      <w:r w:rsidRPr="00BC31E0">
        <w:rPr>
          <w:rFonts w:hint="eastAsia"/>
        </w:rPr>
        <w:t>ねじ山の総数</w:t>
      </w:r>
      <w:r w:rsidRPr="00BC31E0">
        <w:rPr>
          <w:rFonts w:hint="eastAsia"/>
        </w:rPr>
        <w:t xml:space="preserve"> (</w:t>
      </w:r>
      <w:r w:rsidRPr="00BC31E0">
        <w:rPr>
          <w:rFonts w:ascii="ＭＳ ゴシック" w:eastAsia="ＭＳ ゴシック" w:hint="eastAsia"/>
          <w:b/>
        </w:rPr>
        <w:t>附属書</w:t>
      </w:r>
      <w:r w:rsidRPr="00BC31E0">
        <w:rPr>
          <w:rFonts w:ascii="ＭＳ ゴシック" w:eastAsia="ＭＳ ゴシック"/>
          <w:b/>
        </w:rPr>
        <w:t>G 5</w:t>
      </w:r>
      <w:r w:rsidRPr="00BC31E0">
        <w:rPr>
          <w:rFonts w:hint="eastAsia"/>
        </w:rPr>
        <w:t>)</w:t>
      </w:r>
    </w:p>
    <w:p w14:paraId="1CB51799"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n</m:t>
            </m:r>
          </m:e>
          <m:sub>
            <m:r>
              <w:rPr>
                <w:rFonts w:ascii="Cambria Math" w:hAnsi="Cambria Math"/>
              </w:rPr>
              <m:t>CSS</m:t>
            </m:r>
          </m:sub>
        </m:sSub>
      </m:oMath>
      <w:r w:rsidR="00C25C85" w:rsidRPr="00BC31E0">
        <w:rPr>
          <w:rFonts w:hint="eastAsia"/>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繰返し応力－ひずみ曲線の材料特性値</w:t>
      </w:r>
      <w:r w:rsidR="00C25C85" w:rsidRPr="00BC31E0">
        <w:rPr>
          <w:rFonts w:hint="eastAsia"/>
        </w:rPr>
        <w:t xml:space="preserve"> (</w:t>
      </w:r>
      <w:r w:rsidR="00C25C85" w:rsidRPr="00BC31E0">
        <w:rPr>
          <w:rFonts w:ascii="ＭＳ ゴシック" w:eastAsia="ＭＳ ゴシック" w:hint="eastAsia"/>
          <w:b/>
        </w:rPr>
        <w:t>附属書</w:t>
      </w:r>
      <w:r w:rsidR="00C25C85" w:rsidRPr="00BC31E0">
        <w:rPr>
          <w:rFonts w:ascii="ＭＳ ゴシック" w:eastAsia="ＭＳ ゴシック"/>
          <w:b/>
        </w:rPr>
        <w:t>D 3</w:t>
      </w:r>
      <w:r w:rsidR="00C25C85" w:rsidRPr="00BC31E0">
        <w:rPr>
          <w:rFonts w:hint="eastAsia"/>
        </w:rPr>
        <w:t>)</w:t>
      </w:r>
    </w:p>
    <w:p w14:paraId="6A570965"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n</m:t>
            </m:r>
          </m:e>
          <m:sub>
            <m:r>
              <w:rPr>
                <w:rFonts w:ascii="Cambria Math" w:hAnsi="Cambria Math"/>
              </w:rPr>
              <m:t>i</m:t>
            </m:r>
          </m:sub>
        </m:sSub>
      </m:oMath>
      <w:r w:rsidR="00C25C85" w:rsidRPr="00BC31E0">
        <w:rPr>
          <w:vertAlign w:val="subscript"/>
        </w:rPr>
        <w:tab/>
      </w:r>
      <w:r w:rsidR="00C25C85" w:rsidRPr="00BC31E0">
        <w:rPr>
          <w:rFonts w:hint="eastAsia"/>
        </w:rPr>
        <w:t>：</w:t>
      </w:r>
      <w:r w:rsidR="00C25C85" w:rsidRPr="00BC31E0">
        <w:rPr>
          <w:rFonts w:hint="eastAsia"/>
        </w:rPr>
        <w:t xml:space="preserve"> </w:t>
      </w:r>
      <m:oMath>
        <m:r>
          <w:rPr>
            <w:rFonts w:ascii="Cambria Math" w:hAnsi="Cambria Math"/>
          </w:rPr>
          <m:t xml:space="preserve">i </m:t>
        </m:r>
      </m:oMath>
      <w:r w:rsidR="00C25C85" w:rsidRPr="00BC31E0">
        <w:rPr>
          <w:rFonts w:hint="eastAsia"/>
        </w:rPr>
        <w:t>応力サイクルの数</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b/>
        </w:rPr>
        <w:t>6.3.5</w:t>
      </w:r>
      <w:r w:rsidR="00C25C85" w:rsidRPr="00BC31E0">
        <w:rPr>
          <w:rFonts w:hint="eastAsia"/>
        </w:rPr>
        <w:t>)</w:t>
      </w:r>
    </w:p>
    <w:p w14:paraId="2810461A" w14:textId="77777777" w:rsidR="00C25C85" w:rsidRPr="00BC31E0" w:rsidRDefault="00C25C85" w:rsidP="008234D1">
      <w:pPr>
        <w:tabs>
          <w:tab w:val="left" w:pos="1276"/>
        </w:tabs>
        <w:autoSpaceDE w:val="0"/>
        <w:autoSpaceDN w:val="0"/>
        <w:ind w:left="1588" w:hanging="1021"/>
      </w:pPr>
      <m:oMath>
        <m:r>
          <w:rPr>
            <w:rFonts w:ascii="Cambria Math" w:hAnsi="Cambria Math"/>
          </w:rPr>
          <m:t>P</m:t>
        </m:r>
      </m:oMath>
      <w:r w:rsidRPr="00BC31E0">
        <w:rPr>
          <w:szCs w:val="24"/>
        </w:rPr>
        <w:tab/>
      </w:r>
      <w:r w:rsidRPr="00BC31E0">
        <w:rPr>
          <w:rFonts w:hint="eastAsia"/>
        </w:rPr>
        <w:t>：</w:t>
      </w:r>
      <w:r w:rsidRPr="00BC31E0">
        <w:rPr>
          <w:rFonts w:hint="eastAsia"/>
        </w:rPr>
        <w:t xml:space="preserve"> </w:t>
      </w:r>
      <w:r w:rsidRPr="00BC31E0">
        <w:rPr>
          <w:rFonts w:hint="eastAsia"/>
        </w:rPr>
        <w:t>設計圧力</w:t>
      </w:r>
      <w:r w:rsidRPr="00BC31E0">
        <w:rPr>
          <w:rFonts w:hint="eastAsia"/>
        </w:rPr>
        <w:t>(</w:t>
      </w:r>
      <w:r w:rsidRPr="00BC31E0">
        <w:rPr>
          <w:rFonts w:ascii="Cambria Math" w:hAnsi="Cambria Math"/>
        </w:rPr>
        <w:t>MPa</w:t>
      </w:r>
      <w:r w:rsidRPr="00BC31E0">
        <w:rPr>
          <w:rFonts w:hint="eastAsia"/>
        </w:rPr>
        <w:t>)</w:t>
      </w:r>
      <w:r w:rsidRPr="00BC31E0">
        <w:rPr>
          <w:rFonts w:hint="eastAsia"/>
          <w:position w:val="-6"/>
        </w:rPr>
        <w:t xml:space="preserve"> </w:t>
      </w:r>
      <w:r w:rsidRPr="00BC31E0">
        <w:rPr>
          <w:rFonts w:hint="eastAsia"/>
        </w:rPr>
        <w:t>(</w:t>
      </w:r>
      <w:r w:rsidRPr="00BC31E0">
        <w:rPr>
          <w:rFonts w:ascii="ＭＳ ゴシック" w:eastAsia="ＭＳ ゴシック" w:hint="eastAsia"/>
          <w:b/>
        </w:rPr>
        <w:t>6.8.3</w:t>
      </w:r>
      <w:r w:rsidRPr="00BC31E0">
        <w:rPr>
          <w:rFonts w:hint="eastAsia"/>
        </w:rPr>
        <w:t>，</w:t>
      </w:r>
      <w:r w:rsidRPr="00BC31E0">
        <w:rPr>
          <w:rFonts w:asciiTheme="majorEastAsia" w:eastAsiaTheme="majorEastAsia" w:hAnsiTheme="majorEastAsia" w:hint="eastAsia"/>
          <w:b/>
        </w:rPr>
        <w:t>9.3.6</w:t>
      </w:r>
      <w:r w:rsidRPr="00BC31E0">
        <w:rPr>
          <w:rFonts w:hint="eastAsia"/>
        </w:rPr>
        <w:t>，</w:t>
      </w:r>
      <w:r w:rsidRPr="00BC31E0">
        <w:rPr>
          <w:rFonts w:ascii="ＭＳ ゴシック" w:eastAsia="ＭＳ ゴシック" w:hAnsi="ＭＳ ゴシック" w:hint="eastAsia"/>
          <w:b/>
          <w:bCs/>
        </w:rPr>
        <w:t>10.3.2</w:t>
      </w:r>
      <w:r w:rsidRPr="00BC31E0">
        <w:rPr>
          <w:rFonts w:hint="eastAsia"/>
        </w:rPr>
        <w:t>，</w:t>
      </w:r>
      <w:r w:rsidRPr="00BC31E0">
        <w:rPr>
          <w:rFonts w:ascii="ＭＳ ゴシック" w:eastAsia="ＭＳ ゴシック" w:hint="eastAsia"/>
          <w:b/>
        </w:rPr>
        <w:t>附属書C 4</w:t>
      </w:r>
      <w:r w:rsidRPr="00BC31E0">
        <w:rPr>
          <w:rFonts w:hint="eastAsia"/>
        </w:rPr>
        <w:t>，</w:t>
      </w:r>
      <w:r w:rsidRPr="00BC31E0">
        <w:rPr>
          <w:rFonts w:ascii="ＭＳ ゴシック" w:eastAsia="ＭＳ ゴシック" w:hint="eastAsia"/>
          <w:b/>
        </w:rPr>
        <w:t>附属書H 3</w:t>
      </w:r>
      <w:r w:rsidRPr="00BC31E0">
        <w:rPr>
          <w:rFonts w:hint="eastAsia"/>
        </w:rPr>
        <w:t>，</w:t>
      </w:r>
      <w:r w:rsidRPr="00BC31E0">
        <w:rPr>
          <w:rFonts w:ascii="ＭＳ ゴシック" w:eastAsia="ＭＳ ゴシック" w:hint="eastAsia"/>
          <w:b/>
        </w:rPr>
        <w:t>附属書</w:t>
      </w:r>
      <w:r w:rsidRPr="00BC31E0">
        <w:rPr>
          <w:rFonts w:ascii="ＭＳ ゴシック" w:eastAsia="ＭＳ ゴシック"/>
          <w:b/>
        </w:rPr>
        <w:t>G</w:t>
      </w:r>
      <w:r w:rsidRPr="00BC31E0">
        <w:rPr>
          <w:rFonts w:asciiTheme="minorEastAsia" w:eastAsiaTheme="minorEastAsia" w:hAnsiTheme="minorEastAsia" w:hint="eastAsia"/>
          <w:bCs/>
        </w:rPr>
        <w:t>，</w:t>
      </w:r>
      <w:r w:rsidRPr="00BC31E0">
        <w:rPr>
          <w:rFonts w:asciiTheme="majorEastAsia" w:eastAsiaTheme="majorEastAsia" w:hAnsiTheme="majorEastAsia" w:hint="eastAsia"/>
          <w:b/>
        </w:rPr>
        <w:t>附属書J</w:t>
      </w:r>
      <w:r w:rsidRPr="00BC31E0">
        <w:rPr>
          <w:rFonts w:asciiTheme="majorEastAsia" w:eastAsiaTheme="majorEastAsia" w:hAnsiTheme="majorEastAsia"/>
          <w:b/>
        </w:rPr>
        <w:t xml:space="preserve"> 2</w:t>
      </w:r>
      <w:r w:rsidRPr="00BC31E0">
        <w:rPr>
          <w:rFonts w:hint="eastAsia"/>
        </w:rPr>
        <w:t>)</w:t>
      </w:r>
    </w:p>
    <w:p w14:paraId="135E2831" w14:textId="77777777" w:rsidR="00C25C85" w:rsidRPr="00BC31E0" w:rsidRDefault="00C25C85" w:rsidP="008234D1">
      <w:pPr>
        <w:tabs>
          <w:tab w:val="left" w:pos="1276"/>
        </w:tabs>
        <w:autoSpaceDE w:val="0"/>
        <w:autoSpaceDN w:val="0"/>
        <w:ind w:left="1588" w:hanging="1021"/>
      </w:pPr>
      <m:oMath>
        <m:r>
          <w:rPr>
            <w:rFonts w:ascii="Cambria Math" w:hAnsi="Cambria Math"/>
          </w:rPr>
          <m:t>P</m:t>
        </m:r>
        <m:r>
          <w:rPr>
            <w:rFonts w:ascii="Cambria Math" w:hAnsi="Cambria Math" w:hint="eastAsia"/>
          </w:rPr>
          <m:t>BS</m:t>
        </m:r>
      </m:oMath>
      <w:r w:rsidRPr="00BC31E0">
        <w:rPr>
          <w:szCs w:val="24"/>
        </w:rPr>
        <w:tab/>
      </w:r>
      <w:r w:rsidRPr="00BC31E0">
        <w:rPr>
          <w:rFonts w:hint="eastAsia"/>
        </w:rPr>
        <w:t>：</w:t>
      </w:r>
      <w:r w:rsidRPr="00BC31E0">
        <w:rPr>
          <w:rFonts w:hint="eastAsia"/>
        </w:rPr>
        <w:t xml:space="preserve"> </w:t>
      </w:r>
      <w:r w:rsidRPr="00BC31E0">
        <w:rPr>
          <w:rFonts w:hint="eastAsia"/>
        </w:rPr>
        <w:t>曲げ応力率</w:t>
      </w:r>
      <w:r w:rsidRPr="00BC31E0">
        <w:rPr>
          <w:rFonts w:hint="eastAsia"/>
          <w:position w:val="-6"/>
        </w:rPr>
        <w:t xml:space="preserve"> </w:t>
      </w:r>
      <w:r w:rsidRPr="00BC31E0">
        <w:rPr>
          <w:rFonts w:hint="eastAsia"/>
        </w:rPr>
        <w:t>(</w:t>
      </w:r>
      <w:r w:rsidRPr="00BC31E0">
        <w:rPr>
          <w:rFonts w:asciiTheme="majorEastAsia" w:eastAsiaTheme="majorEastAsia" w:hAnsiTheme="majorEastAsia" w:hint="eastAsia"/>
          <w:b/>
        </w:rPr>
        <w:t>附属書K</w:t>
      </w:r>
      <w:r w:rsidRPr="00BC31E0">
        <w:rPr>
          <w:rFonts w:asciiTheme="majorEastAsia" w:eastAsiaTheme="majorEastAsia" w:hAnsiTheme="majorEastAsia"/>
          <w:b/>
        </w:rPr>
        <w:t xml:space="preserve"> 2.4</w:t>
      </w:r>
      <w:r w:rsidRPr="00BC31E0">
        <w:rPr>
          <w:rFonts w:hint="eastAsia"/>
        </w:rPr>
        <w:t>)</w:t>
      </w:r>
    </w:p>
    <w:p w14:paraId="1E38A3FD"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P</m:t>
            </m:r>
          </m:e>
          <m:sub>
            <m:r>
              <w:rPr>
                <w:rFonts w:ascii="Cambria Math" w:hAnsi="Cambria Math"/>
              </w:rPr>
              <m:t>A</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最大自緊圧力</w:t>
      </w:r>
      <w:r w:rsidR="00C25C85" w:rsidRPr="00BC31E0">
        <w:rPr>
          <w:rFonts w:hint="eastAsia"/>
        </w:rPr>
        <w:t>(</w:t>
      </w:r>
      <w:r w:rsidR="00C25C85" w:rsidRPr="00BC31E0">
        <w:rPr>
          <w:rFonts w:ascii="Cambria Math" w:hAnsi="Cambria Math"/>
        </w:rPr>
        <w:t>MPa</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b/>
        </w:rPr>
        <w:t>6.5</w:t>
      </w:r>
      <w:r w:rsidR="00C25C85" w:rsidRPr="00BC31E0">
        <w:rPr>
          <w:rFonts w:hint="eastAsia"/>
        </w:rPr>
        <w:t>)</w:t>
      </w:r>
    </w:p>
    <w:p w14:paraId="7DF7DF9F"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P</m:t>
            </m:r>
          </m:e>
          <m:sub>
            <m:r>
              <w:rPr>
                <w:rFonts w:ascii="Cambria Math" w:hAnsi="Cambria Math"/>
              </w:rPr>
              <m:t>b</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一次曲げ応力</w:t>
      </w:r>
      <w:r w:rsidR="00C25C85" w:rsidRPr="00BC31E0">
        <w:rPr>
          <w:rFonts w:hint="eastAsia"/>
        </w:rPr>
        <w:t>(</w:t>
      </w:r>
      <w:r w:rsidR="00C25C85" w:rsidRPr="00BC31E0">
        <w:rPr>
          <w:rFonts w:ascii="Cambria Math" w:hAnsi="Cambria Math"/>
        </w:rPr>
        <w:t>MPa</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Theme="majorEastAsia" w:eastAsiaTheme="majorEastAsia" w:hAnsiTheme="majorEastAsia" w:hint="eastAsia"/>
          <w:b/>
        </w:rPr>
        <w:t>附属書J</w:t>
      </w:r>
      <w:r w:rsidR="00C25C85" w:rsidRPr="00BC31E0">
        <w:rPr>
          <w:rFonts w:asciiTheme="majorEastAsia" w:eastAsiaTheme="majorEastAsia" w:hAnsiTheme="majorEastAsia"/>
          <w:b/>
        </w:rPr>
        <w:t xml:space="preserve"> 1</w:t>
      </w:r>
      <w:r w:rsidR="00C25C85" w:rsidRPr="00BC31E0">
        <w:rPr>
          <w:rFonts w:hint="eastAsia"/>
        </w:rPr>
        <w:t>)</w:t>
      </w:r>
    </w:p>
    <w:p w14:paraId="294AD83D"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P</m:t>
            </m:r>
          </m:e>
          <m:sub>
            <m:r>
              <w:rPr>
                <w:rFonts w:ascii="Cambria Math" w:hAnsi="Cambria Math"/>
              </w:rPr>
              <m:t>D</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許容される最大設計圧力</w:t>
      </w:r>
      <w:r w:rsidR="00C25C85" w:rsidRPr="00BC31E0">
        <w:rPr>
          <w:rFonts w:hint="eastAsia"/>
        </w:rPr>
        <w:t>(</w:t>
      </w:r>
      <w:r w:rsidR="00C25C85" w:rsidRPr="00BC31E0">
        <w:rPr>
          <w:rFonts w:ascii="Cambria Math" w:hAnsi="Cambria Math"/>
        </w:rPr>
        <w:t>MPa</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b/>
        </w:rPr>
        <w:t>6.2.</w:t>
      </w:r>
      <w:r w:rsidR="00C25C85" w:rsidRPr="00BC31E0">
        <w:rPr>
          <w:rFonts w:ascii="ＭＳ ゴシック" w:eastAsia="ＭＳ ゴシック" w:hint="eastAsia"/>
          <w:b/>
        </w:rPr>
        <w:t>2</w:t>
      </w:r>
      <w:r w:rsidR="00C25C85" w:rsidRPr="00BC31E0">
        <w:rPr>
          <w:rFonts w:asciiTheme="minorEastAsia" w:eastAsiaTheme="minorEastAsia" w:hAnsiTheme="minorEastAsia" w:hint="eastAsia"/>
          <w:bCs/>
        </w:rPr>
        <w:t>，</w:t>
      </w:r>
      <w:r w:rsidR="00C25C85" w:rsidRPr="00BC31E0">
        <w:rPr>
          <w:rFonts w:asciiTheme="majorEastAsia" w:eastAsiaTheme="majorEastAsia" w:hAnsiTheme="majorEastAsia" w:hint="eastAsia"/>
          <w:b/>
        </w:rPr>
        <w:t>附属書J</w:t>
      </w:r>
      <w:r w:rsidR="00C25C85" w:rsidRPr="00BC31E0">
        <w:rPr>
          <w:rFonts w:asciiTheme="majorEastAsia" w:eastAsiaTheme="majorEastAsia" w:hAnsiTheme="majorEastAsia"/>
          <w:b/>
        </w:rPr>
        <w:t xml:space="preserve"> 1</w:t>
      </w:r>
      <w:r w:rsidR="00C25C85" w:rsidRPr="00BC31E0">
        <w:rPr>
          <w:rFonts w:hint="eastAsia"/>
        </w:rPr>
        <w:t>)</w:t>
      </w:r>
    </w:p>
    <w:p w14:paraId="37567134" w14:textId="77777777" w:rsidR="00C25C85" w:rsidRPr="00BC31E0" w:rsidRDefault="00C25C85" w:rsidP="008234D1">
      <w:pPr>
        <w:tabs>
          <w:tab w:val="left" w:pos="1276"/>
        </w:tabs>
        <w:autoSpaceDE w:val="0"/>
        <w:autoSpaceDN w:val="0"/>
        <w:ind w:left="1588" w:hanging="1021"/>
      </w:pPr>
      <w:r w:rsidRPr="00BC31E0">
        <w:rPr>
          <w:rFonts w:hint="eastAsia"/>
        </w:rPr>
        <w:tab/>
      </w:r>
      <w:r w:rsidRPr="00BC31E0">
        <w:rPr>
          <w:rFonts w:hint="eastAsia"/>
        </w:rPr>
        <w:t>：</w:t>
      </w:r>
      <w:r w:rsidRPr="00BC31E0">
        <w:rPr>
          <w:rFonts w:hint="eastAsia"/>
        </w:rPr>
        <w:t xml:space="preserve"> </w:t>
      </w:r>
      <w:r w:rsidRPr="00BC31E0">
        <w:rPr>
          <w:rFonts w:hint="eastAsia"/>
        </w:rPr>
        <w:t>設計内圧力と外圧力</w:t>
      </w:r>
      <w:r w:rsidRPr="00BC31E0">
        <w:rPr>
          <w:rFonts w:hint="eastAsia"/>
        </w:rPr>
        <w:t>(</w:t>
      </w:r>
      <w:r w:rsidRPr="00BC31E0">
        <w:rPr>
          <w:rFonts w:ascii="Cambria Math" w:hAnsi="Cambria Math"/>
        </w:rPr>
        <w:t>MPa</w:t>
      </w:r>
      <w:r w:rsidRPr="00BC31E0">
        <w:rPr>
          <w:rFonts w:hint="eastAsia"/>
        </w:rPr>
        <w:t>) (</w:t>
      </w:r>
      <w:r w:rsidRPr="00BC31E0">
        <w:rPr>
          <w:rFonts w:asciiTheme="majorEastAsia" w:eastAsiaTheme="majorEastAsia" w:hAnsiTheme="majorEastAsia" w:hint="eastAsia"/>
          <w:b/>
        </w:rPr>
        <w:t>表6.2.2</w:t>
      </w:r>
      <w:r w:rsidRPr="00BC31E0">
        <w:rPr>
          <w:rFonts w:hint="eastAsia"/>
        </w:rPr>
        <w:t>)</w:t>
      </w:r>
    </w:p>
    <w:p w14:paraId="0A41B7F4" w14:textId="77777777" w:rsidR="00C25C85" w:rsidRPr="00BC31E0" w:rsidRDefault="00A51873" w:rsidP="008234D1">
      <w:pPr>
        <w:tabs>
          <w:tab w:val="left" w:pos="1276"/>
        </w:tabs>
        <w:autoSpaceDE w:val="0"/>
        <w:autoSpaceDN w:val="0"/>
        <w:ind w:left="1588" w:hanging="1021"/>
        <w:rPr>
          <w:rFonts w:asciiTheme="majorEastAsia" w:eastAsiaTheme="majorEastAsia" w:hAnsiTheme="majorEastAsia"/>
          <w:b/>
        </w:rPr>
      </w:pPr>
      <m:oMath>
        <m:sSub>
          <m:sSubPr>
            <m:ctrlPr>
              <w:rPr>
                <w:rFonts w:ascii="Cambria Math" w:hAnsi="Cambria Math"/>
                <w:i/>
              </w:rPr>
            </m:ctrlPr>
          </m:sSubPr>
          <m:e>
            <m:r>
              <w:rPr>
                <w:rFonts w:ascii="Cambria Math" w:hAnsi="Cambria Math"/>
              </w:rPr>
              <m:t>P</m:t>
            </m:r>
          </m:e>
          <m:sub>
            <m:r>
              <w:rPr>
                <w:rFonts w:ascii="Cambria Math" w:hAnsi="Cambria Math"/>
              </w:rPr>
              <m:t>Dt</m:t>
            </m:r>
          </m:sub>
        </m:sSub>
      </m:oMath>
      <w:r w:rsidR="00C25C85" w:rsidRPr="00BC31E0">
        <w:t xml:space="preserve"> </w:t>
      </w:r>
      <w:r w:rsidR="00C25C85" w:rsidRPr="00BC31E0">
        <w:rPr>
          <w:rFonts w:hint="eastAsia"/>
        </w:rPr>
        <w:tab/>
      </w:r>
      <w:r w:rsidR="00C25C85" w:rsidRPr="00BC31E0">
        <w:rPr>
          <w:rFonts w:hint="eastAsia"/>
        </w:rPr>
        <w:t>：</w:t>
      </w:r>
      <w:r w:rsidR="00C25C85" w:rsidRPr="00BC31E0">
        <w:rPr>
          <w:rFonts w:hint="eastAsia"/>
        </w:rPr>
        <w:t xml:space="preserve"> </w:t>
      </w:r>
      <w:r w:rsidR="00C25C85" w:rsidRPr="00BC31E0">
        <w:rPr>
          <w:rFonts w:hint="eastAsia"/>
        </w:rPr>
        <w:t>耐圧試験圧力基準に基づく設計圧力</w:t>
      </w:r>
      <w:r w:rsidR="00C25C85" w:rsidRPr="00BC31E0">
        <w:rPr>
          <w:rFonts w:hint="eastAsia"/>
        </w:rPr>
        <w:t>(</w:t>
      </w:r>
      <w:r w:rsidR="00C25C85" w:rsidRPr="00BC31E0">
        <w:rPr>
          <w:rFonts w:ascii="Cambria Math" w:hAnsi="Cambria Math"/>
        </w:rPr>
        <w:t>MPa</w:t>
      </w:r>
      <w:r w:rsidR="00C25C85" w:rsidRPr="00BC31E0">
        <w:rPr>
          <w:rFonts w:hint="eastAsia"/>
        </w:rPr>
        <w:t>) (</w:t>
      </w:r>
      <w:r w:rsidR="00C25C85" w:rsidRPr="00BC31E0">
        <w:rPr>
          <w:rFonts w:asciiTheme="majorEastAsia" w:eastAsiaTheme="majorEastAsia" w:hAnsiTheme="majorEastAsia" w:hint="eastAsia"/>
          <w:b/>
        </w:rPr>
        <w:t>表6.2.5</w:t>
      </w:r>
      <w:r w:rsidR="00C25C85" w:rsidRPr="00BC31E0">
        <w:rPr>
          <w:rFonts w:hint="eastAsia"/>
        </w:rPr>
        <w:t>)</w:t>
      </w:r>
    </w:p>
    <w:p w14:paraId="163AB9E0"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P</m:t>
            </m:r>
          </m:e>
          <m:sub>
            <m:r>
              <w:rPr>
                <w:rFonts w:ascii="Cambria Math" w:hAnsi="Cambria Math"/>
              </w:rPr>
              <m:t>if</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焼ばめ層の層間圧力</w:t>
      </w:r>
      <w:r w:rsidR="00C25C85" w:rsidRPr="00BC31E0">
        <w:rPr>
          <w:rFonts w:hint="eastAsia"/>
        </w:rPr>
        <w:t>(</w:t>
      </w:r>
      <w:r w:rsidR="00C25C85" w:rsidRPr="00BC31E0">
        <w:rPr>
          <w:rFonts w:ascii="Cambria Math" w:hAnsi="Cambria Math"/>
        </w:rPr>
        <w:t>MPa</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b/>
        </w:rPr>
        <w:t>6.8.3</w:t>
      </w:r>
      <w:r w:rsidR="00C25C85" w:rsidRPr="00BC31E0">
        <w:rPr>
          <w:rFonts w:hint="eastAsia"/>
        </w:rPr>
        <w:t>，</w:t>
      </w:r>
      <w:r w:rsidR="00C25C85" w:rsidRPr="00BC31E0">
        <w:rPr>
          <w:rFonts w:ascii="ＭＳ ゴシック" w:eastAsia="ＭＳ ゴシック"/>
          <w:b/>
        </w:rPr>
        <w:t>6.8.4</w:t>
      </w:r>
      <w:r w:rsidR="00C25C85" w:rsidRPr="00BC31E0">
        <w:rPr>
          <w:rFonts w:hint="eastAsia"/>
        </w:rPr>
        <w:t>)</w:t>
      </w:r>
    </w:p>
    <w:p w14:paraId="65F97C9F"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P</m:t>
            </m:r>
          </m:e>
          <m:sub>
            <m:r>
              <w:rPr>
                <w:rFonts w:ascii="Cambria Math" w:hAnsi="Cambria Math" w:hint="eastAsia"/>
              </w:rPr>
              <m:t>k</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第</w:t>
      </w:r>
      <m:oMath>
        <m:r>
          <m:rPr>
            <m:sty m:val="p"/>
          </m:rPr>
          <w:rPr>
            <w:rFonts w:ascii="Cambria Math" w:hAnsi="Cambria Math"/>
          </w:rPr>
          <m:t xml:space="preserve"> </m:t>
        </m:r>
        <m:r>
          <w:rPr>
            <w:rFonts w:ascii="Cambria Math" w:hAnsi="Cambria Math" w:hint="eastAsia"/>
          </w:rPr>
          <m:t>k</m:t>
        </m:r>
        <m:r>
          <w:rPr>
            <w:rFonts w:ascii="Cambria Math" w:hAnsi="Cambria Math"/>
          </w:rPr>
          <m:t xml:space="preserve"> </m:t>
        </m:r>
      </m:oMath>
      <w:r w:rsidR="00C25C85" w:rsidRPr="00BC31E0">
        <w:rPr>
          <w:rFonts w:hint="eastAsia"/>
        </w:rPr>
        <w:t>層の外側における層間圧力</w:t>
      </w:r>
      <w:r w:rsidR="00C25C85" w:rsidRPr="00BC31E0">
        <w:rPr>
          <w:rFonts w:hint="eastAsia"/>
        </w:rPr>
        <w:t>(</w:t>
      </w:r>
      <w:r w:rsidR="00C25C85" w:rsidRPr="00BC31E0">
        <w:rPr>
          <w:rFonts w:ascii="Cambria Math" w:hAnsi="Cambria Math"/>
        </w:rPr>
        <w:t>MPa</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b/>
        </w:rPr>
        <w:t>6.8.</w:t>
      </w:r>
      <w:r w:rsidR="00C25C85" w:rsidRPr="00BC31E0">
        <w:rPr>
          <w:rFonts w:ascii="ＭＳ ゴシック" w:eastAsia="ＭＳ ゴシック" w:hint="eastAsia"/>
          <w:b/>
        </w:rPr>
        <w:t>4</w:t>
      </w:r>
      <w:r w:rsidR="00C25C85" w:rsidRPr="00BC31E0">
        <w:rPr>
          <w:rFonts w:hint="eastAsia"/>
        </w:rPr>
        <w:t>)</w:t>
      </w:r>
    </w:p>
    <w:p w14:paraId="2F2ECD15"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P</m:t>
            </m:r>
          </m:e>
          <m:sub>
            <m:r>
              <w:rPr>
                <w:rFonts w:ascii="Cambria Math" w:hAnsi="Cambria Math"/>
              </w:rPr>
              <m:t>L</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一次局部膜応力</w:t>
      </w:r>
      <w:r w:rsidR="00C25C85" w:rsidRPr="00BC31E0">
        <w:rPr>
          <w:rFonts w:hint="eastAsia"/>
        </w:rPr>
        <w:t>(</w:t>
      </w:r>
      <w:r w:rsidR="00C25C85" w:rsidRPr="00BC31E0">
        <w:rPr>
          <w:rFonts w:ascii="Cambria Math" w:hAnsi="Cambria Math"/>
        </w:rPr>
        <w:t>MPa</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Theme="majorEastAsia" w:eastAsiaTheme="majorEastAsia" w:hAnsiTheme="majorEastAsia" w:hint="eastAsia"/>
          <w:b/>
        </w:rPr>
        <w:t>附属書J</w:t>
      </w:r>
      <w:r w:rsidR="00C25C85" w:rsidRPr="00BC31E0">
        <w:rPr>
          <w:rFonts w:asciiTheme="majorEastAsia" w:eastAsiaTheme="majorEastAsia" w:hAnsiTheme="majorEastAsia"/>
          <w:b/>
        </w:rPr>
        <w:t xml:space="preserve"> 1</w:t>
      </w:r>
      <w:r w:rsidR="00C25C85" w:rsidRPr="00BC31E0">
        <w:rPr>
          <w:rFonts w:hint="eastAsia"/>
        </w:rPr>
        <w:t>)</w:t>
      </w:r>
    </w:p>
    <w:p w14:paraId="317E78FE"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P</m:t>
            </m:r>
          </m:e>
          <m:sub>
            <m:r>
              <w:rPr>
                <w:rFonts w:ascii="Cambria Math" w:hAnsi="Cambria Math"/>
              </w:rPr>
              <m:t>m</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一次一般膜応力</w:t>
      </w:r>
      <w:r w:rsidR="00C25C85" w:rsidRPr="00BC31E0">
        <w:rPr>
          <w:rFonts w:hint="eastAsia"/>
        </w:rPr>
        <w:t>(</w:t>
      </w:r>
      <w:r w:rsidR="00C25C85" w:rsidRPr="00BC31E0">
        <w:rPr>
          <w:rFonts w:ascii="Cambria Math" w:hAnsi="Cambria Math"/>
        </w:rPr>
        <w:t>MPa</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Theme="majorEastAsia" w:eastAsiaTheme="majorEastAsia" w:hAnsiTheme="majorEastAsia" w:hint="eastAsia"/>
          <w:b/>
        </w:rPr>
        <w:t>附属書J</w:t>
      </w:r>
      <w:r w:rsidR="00C25C85" w:rsidRPr="00BC31E0">
        <w:rPr>
          <w:rFonts w:asciiTheme="majorEastAsia" w:eastAsiaTheme="majorEastAsia" w:hAnsiTheme="majorEastAsia"/>
          <w:b/>
        </w:rPr>
        <w:t xml:space="preserve"> 1</w:t>
      </w:r>
      <w:r w:rsidR="00C25C85" w:rsidRPr="00BC31E0">
        <w:rPr>
          <w:rFonts w:hint="eastAsia"/>
        </w:rPr>
        <w:t>)</w:t>
      </w:r>
    </w:p>
    <w:p w14:paraId="5BF4845C"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P</m:t>
            </m:r>
          </m:e>
          <m:sub>
            <m:r>
              <w:rPr>
                <w:rFonts w:ascii="Cambria Math" w:hAnsi="Cambria Math"/>
              </w:rPr>
              <m:t>n</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第</w:t>
      </w:r>
      <m:oMath>
        <m:r>
          <m:rPr>
            <m:sty m:val="p"/>
          </m:rPr>
          <w:rPr>
            <w:rFonts w:ascii="Cambria Math" w:hAnsi="Cambria Math"/>
          </w:rPr>
          <m:t xml:space="preserve"> </m:t>
        </m:r>
        <m:r>
          <w:rPr>
            <w:rFonts w:ascii="Cambria Math" w:hAnsi="Cambria Math" w:hint="eastAsia"/>
          </w:rPr>
          <m:t>k</m:t>
        </m:r>
        <m:r>
          <w:rPr>
            <w:rFonts w:ascii="Cambria Math" w:hAnsi="Cambria Math"/>
          </w:rPr>
          <m:t xml:space="preserve"> </m:t>
        </m:r>
      </m:oMath>
      <w:r w:rsidR="00C25C85" w:rsidRPr="00BC31E0">
        <w:rPr>
          <w:rFonts w:hint="eastAsia"/>
        </w:rPr>
        <w:t>層の外側における層間圧力</w:t>
      </w:r>
      <w:r w:rsidR="00C25C85" w:rsidRPr="00BC31E0">
        <w:rPr>
          <w:rFonts w:hint="eastAsia"/>
        </w:rPr>
        <w:t>(</w:t>
      </w:r>
      <w:r w:rsidR="00C25C85" w:rsidRPr="00BC31E0">
        <w:rPr>
          <w:rFonts w:ascii="Cambria Math" w:hAnsi="Cambria Math"/>
        </w:rPr>
        <w:t>MPa</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b/>
        </w:rPr>
        <w:t>6.8.</w:t>
      </w:r>
      <w:r w:rsidR="00C25C85" w:rsidRPr="00BC31E0">
        <w:rPr>
          <w:rFonts w:ascii="ＭＳ ゴシック" w:eastAsia="ＭＳ ゴシック" w:hint="eastAsia"/>
          <w:b/>
        </w:rPr>
        <w:t>4</w:t>
      </w:r>
      <w:r w:rsidR="00C25C85" w:rsidRPr="00BC31E0">
        <w:rPr>
          <w:rFonts w:hint="eastAsia"/>
        </w:rPr>
        <w:t>)</w:t>
      </w:r>
    </w:p>
    <w:p w14:paraId="4E86A054"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P</m:t>
            </m:r>
          </m:e>
          <m:sub>
            <m:r>
              <w:rPr>
                <w:rFonts w:ascii="Cambria Math" w:hAnsi="Cambria Math" w:hint="eastAsia"/>
              </w:rPr>
              <m:t>o</m:t>
            </m:r>
          </m:sub>
        </m:sSub>
      </m:oMath>
      <w:r w:rsidR="00C25C85" w:rsidRPr="00BC31E0">
        <w:t xml:space="preserve"> </w:t>
      </w:r>
      <w:r w:rsidR="00C25C85" w:rsidRPr="00BC31E0">
        <w:rPr>
          <w:rFonts w:hint="eastAsia"/>
        </w:rPr>
        <w:tab/>
      </w:r>
      <w:r w:rsidR="00C25C85" w:rsidRPr="00BC31E0">
        <w:rPr>
          <w:rFonts w:hint="eastAsia"/>
        </w:rPr>
        <w:t>：</w:t>
      </w:r>
      <w:r w:rsidR="00C25C85" w:rsidRPr="00BC31E0">
        <w:rPr>
          <w:rFonts w:hint="eastAsia"/>
        </w:rPr>
        <w:t xml:space="preserve"> </w:t>
      </w:r>
      <w:r w:rsidR="00C25C85" w:rsidRPr="00BC31E0">
        <w:rPr>
          <w:rFonts w:hint="eastAsia"/>
        </w:rPr>
        <w:t>運転内圧力と外圧力</w:t>
      </w:r>
      <w:r w:rsidR="00C25C85" w:rsidRPr="00BC31E0">
        <w:rPr>
          <w:rFonts w:hint="eastAsia"/>
        </w:rPr>
        <w:t>(</w:t>
      </w:r>
      <w:r w:rsidR="00C25C85" w:rsidRPr="00BC31E0">
        <w:rPr>
          <w:rFonts w:ascii="Cambria Math" w:hAnsi="Cambria Math"/>
        </w:rPr>
        <w:t>MPa</w:t>
      </w:r>
      <w:r w:rsidR="00C25C85" w:rsidRPr="00BC31E0">
        <w:rPr>
          <w:rFonts w:hint="eastAsia"/>
        </w:rPr>
        <w:t>) (</w:t>
      </w:r>
      <w:r w:rsidR="00C25C85" w:rsidRPr="00BC31E0">
        <w:rPr>
          <w:rFonts w:asciiTheme="majorEastAsia" w:eastAsiaTheme="majorEastAsia" w:hAnsiTheme="majorEastAsia" w:hint="eastAsia"/>
          <w:b/>
        </w:rPr>
        <w:t>表6.2.2</w:t>
      </w:r>
      <w:r w:rsidR="00C25C85" w:rsidRPr="00BC31E0">
        <w:rPr>
          <w:rFonts w:hint="eastAsia"/>
        </w:rPr>
        <w:t>)</w:t>
      </w:r>
    </w:p>
    <w:p w14:paraId="1DC1875E"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P</m:t>
            </m:r>
          </m:e>
          <m:sub>
            <m:r>
              <w:rPr>
                <w:rFonts w:ascii="Cambria Math" w:hAnsi="Cambria Math" w:hint="eastAsia"/>
              </w:rPr>
              <m:t>s</m:t>
            </m:r>
          </m:sub>
        </m:sSub>
      </m:oMath>
      <w:r w:rsidR="00C25C85" w:rsidRPr="00BC31E0">
        <w:t xml:space="preserve"> </w:t>
      </w:r>
      <w:r w:rsidR="00C25C85" w:rsidRPr="00BC31E0">
        <w:rPr>
          <w:rFonts w:hint="eastAsia"/>
        </w:rPr>
        <w:tab/>
      </w:r>
      <w:r w:rsidR="00C25C85" w:rsidRPr="00BC31E0">
        <w:rPr>
          <w:rFonts w:hint="eastAsia"/>
        </w:rPr>
        <w:t>：</w:t>
      </w:r>
      <w:r w:rsidR="00C25C85" w:rsidRPr="00BC31E0">
        <w:rPr>
          <w:rFonts w:hint="eastAsia"/>
        </w:rPr>
        <w:t xml:space="preserve"> </w:t>
      </w:r>
      <w:r w:rsidR="00C25C85" w:rsidRPr="00BC31E0">
        <w:rPr>
          <w:rFonts w:hint="eastAsia"/>
        </w:rPr>
        <w:t>液体又は粉体による静圧</w:t>
      </w:r>
      <w:r w:rsidR="00C25C85" w:rsidRPr="00BC31E0">
        <w:rPr>
          <w:rFonts w:hint="eastAsia"/>
        </w:rPr>
        <w:t>(</w:t>
      </w:r>
      <w:r w:rsidR="00C25C85" w:rsidRPr="00BC31E0">
        <w:rPr>
          <w:rFonts w:ascii="Cambria Math" w:hAnsi="Cambria Math"/>
        </w:rPr>
        <w:t>MPa</w:t>
      </w:r>
      <w:r w:rsidR="00C25C85" w:rsidRPr="00BC31E0">
        <w:rPr>
          <w:rFonts w:hint="eastAsia"/>
        </w:rPr>
        <w:t>) (</w:t>
      </w:r>
      <w:r w:rsidR="00C25C85" w:rsidRPr="00BC31E0">
        <w:rPr>
          <w:rFonts w:asciiTheme="majorEastAsia" w:eastAsiaTheme="majorEastAsia" w:hAnsiTheme="majorEastAsia" w:hint="eastAsia"/>
          <w:b/>
        </w:rPr>
        <w:t>表6.2.2</w:t>
      </w:r>
      <w:r w:rsidR="00C25C85" w:rsidRPr="00BC31E0">
        <w:rPr>
          <w:rFonts w:asciiTheme="minorEastAsia" w:eastAsiaTheme="minorEastAsia" w:hAnsiTheme="minorEastAsia" w:hint="eastAsia"/>
        </w:rPr>
        <w:t>，</w:t>
      </w:r>
      <w:r w:rsidR="00C25C85" w:rsidRPr="00BC31E0">
        <w:rPr>
          <w:rFonts w:asciiTheme="majorEastAsia" w:eastAsiaTheme="majorEastAsia" w:hAnsiTheme="majorEastAsia" w:hint="eastAsia"/>
          <w:b/>
        </w:rPr>
        <w:t>附属書J 表J.1</w:t>
      </w:r>
      <w:r w:rsidR="00C25C85" w:rsidRPr="00BC31E0">
        <w:rPr>
          <w:rFonts w:hint="eastAsia"/>
        </w:rPr>
        <w:t>)</w:t>
      </w:r>
    </w:p>
    <w:p w14:paraId="2472D440"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P</m:t>
            </m:r>
          </m:e>
          <m:sub>
            <m:r>
              <w:rPr>
                <w:rFonts w:ascii="Cambria Math" w:hAnsi="Cambria Math"/>
              </w:rPr>
              <m:t>T</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繰返し試験荷重</w:t>
      </w:r>
      <w:r w:rsidR="00C25C85" w:rsidRPr="00BC31E0">
        <w:rPr>
          <w:rFonts w:hint="eastAsia"/>
        </w:rPr>
        <w:t>(</w:t>
      </w:r>
      <w:r w:rsidR="00C25C85" w:rsidRPr="00BC31E0">
        <w:rPr>
          <w:rFonts w:ascii="Cambria Math" w:hAnsi="Cambria Math"/>
        </w:rPr>
        <w:t>MPa</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b/>
        </w:rPr>
        <w:t>6.11.</w:t>
      </w:r>
      <w:r w:rsidR="00C25C85" w:rsidRPr="00BC31E0">
        <w:rPr>
          <w:rFonts w:ascii="ＭＳ ゴシック" w:eastAsia="ＭＳ ゴシック" w:hint="eastAsia"/>
          <w:b/>
        </w:rPr>
        <w:t>7</w:t>
      </w:r>
      <w:r w:rsidR="00C25C85" w:rsidRPr="00BC31E0">
        <w:rPr>
          <w:rFonts w:hint="eastAsia"/>
        </w:rPr>
        <w:t>)</w:t>
      </w:r>
    </w:p>
    <w:p w14:paraId="64457071" w14:textId="77777777" w:rsidR="00C25C85" w:rsidRPr="00BC31E0" w:rsidRDefault="00C25C85" w:rsidP="008234D1">
      <w:pPr>
        <w:tabs>
          <w:tab w:val="left" w:pos="1276"/>
        </w:tabs>
        <w:autoSpaceDE w:val="0"/>
        <w:autoSpaceDN w:val="0"/>
        <w:ind w:left="1588" w:hanging="1021"/>
      </w:pPr>
      <w:r w:rsidRPr="00BC31E0">
        <w:rPr>
          <w:rFonts w:hint="eastAsia"/>
        </w:rPr>
        <w:tab/>
      </w:r>
      <w:r w:rsidRPr="00BC31E0">
        <w:rPr>
          <w:rFonts w:hint="eastAsia"/>
        </w:rPr>
        <w:t>：</w:t>
      </w:r>
      <w:r w:rsidRPr="00BC31E0">
        <w:rPr>
          <w:rFonts w:hint="eastAsia"/>
        </w:rPr>
        <w:t xml:space="preserve"> </w:t>
      </w:r>
      <w:r w:rsidRPr="00BC31E0">
        <w:rPr>
          <w:rFonts w:hint="eastAsia"/>
        </w:rPr>
        <w:t>ねじのピッチ</w:t>
      </w:r>
      <w:r w:rsidRPr="00BC31E0">
        <w:rPr>
          <w:rFonts w:hint="eastAsia"/>
        </w:rPr>
        <w:t>(</w:t>
      </w:r>
      <w:r w:rsidRPr="00BC31E0">
        <w:rPr>
          <w:rFonts w:ascii="Cambria Math" w:hAnsi="Cambria Math"/>
        </w:rPr>
        <w:t>mm</w:t>
      </w:r>
      <w:r w:rsidRPr="00BC31E0">
        <w:rPr>
          <w:rFonts w:hint="eastAsia"/>
        </w:rPr>
        <w:t>) (</w:t>
      </w:r>
      <w:r w:rsidRPr="00BC31E0">
        <w:rPr>
          <w:rFonts w:ascii="ＭＳ ゴシック" w:eastAsia="ＭＳ ゴシック" w:hint="eastAsia"/>
          <w:b/>
        </w:rPr>
        <w:t>附属書G 4</w:t>
      </w:r>
      <w:r w:rsidRPr="00BC31E0">
        <w:rPr>
          <w:rFonts w:hint="eastAsia"/>
        </w:rPr>
        <w:t xml:space="preserve">) </w:t>
      </w:r>
    </w:p>
    <w:p w14:paraId="56F78D0B"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P</m:t>
            </m:r>
          </m:e>
          <m:sub>
            <m:r>
              <w:rPr>
                <w:rFonts w:ascii="Cambria Math" w:hAnsi="Cambria Math"/>
              </w:rPr>
              <m:t>t</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耐圧試験圧力</w:t>
      </w:r>
      <w:r w:rsidR="00C25C85" w:rsidRPr="00BC31E0">
        <w:rPr>
          <w:rFonts w:hint="eastAsia"/>
        </w:rPr>
        <w:t>(</w:t>
      </w:r>
      <w:r w:rsidR="00C25C85" w:rsidRPr="00BC31E0">
        <w:rPr>
          <w:rFonts w:ascii="Cambria Math" w:hAnsi="Cambria Math"/>
        </w:rPr>
        <w:t>MPa</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Theme="majorEastAsia" w:eastAsiaTheme="majorEastAsia" w:hAnsiTheme="majorEastAsia" w:hint="eastAsia"/>
          <w:b/>
        </w:rPr>
        <w:t>表6.2.2</w:t>
      </w:r>
      <w:r w:rsidR="00C25C85" w:rsidRPr="00BC31E0">
        <w:rPr>
          <w:rFonts w:asciiTheme="minorEastAsia" w:eastAsiaTheme="minorEastAsia" w:hAnsiTheme="minorEastAsia" w:hint="eastAsia"/>
        </w:rPr>
        <w:t>，</w:t>
      </w:r>
      <w:r w:rsidR="00C25C85" w:rsidRPr="00BC31E0">
        <w:rPr>
          <w:rFonts w:asciiTheme="majorEastAsia" w:eastAsiaTheme="majorEastAsia" w:hAnsiTheme="majorEastAsia" w:hint="eastAsia"/>
          <w:b/>
        </w:rPr>
        <w:t>表6.2.5</w:t>
      </w:r>
      <w:r w:rsidR="00C25C85" w:rsidRPr="00BC31E0">
        <w:rPr>
          <w:rFonts w:asciiTheme="minorEastAsia" w:eastAsiaTheme="minorEastAsia" w:hAnsiTheme="minorEastAsia" w:hint="eastAsia"/>
        </w:rPr>
        <w:t>，</w:t>
      </w:r>
      <w:r w:rsidR="00C25C85" w:rsidRPr="00BC31E0">
        <w:rPr>
          <w:rFonts w:ascii="ＭＳ ゴシック" w:eastAsia="ＭＳ ゴシック"/>
          <w:b/>
        </w:rPr>
        <w:t>6.8.3</w:t>
      </w:r>
      <w:r w:rsidR="00C25C85" w:rsidRPr="00BC31E0">
        <w:rPr>
          <w:rFonts w:hint="eastAsia"/>
        </w:rPr>
        <w:t>，</w:t>
      </w:r>
      <w:r w:rsidR="00C25C85" w:rsidRPr="00BC31E0">
        <w:rPr>
          <w:rFonts w:ascii="ＭＳ ゴシック" w:eastAsia="ＭＳ ゴシック"/>
          <w:b/>
        </w:rPr>
        <w:t>10.3.</w:t>
      </w:r>
      <w:r w:rsidR="00C25C85" w:rsidRPr="00BC31E0">
        <w:rPr>
          <w:rFonts w:ascii="ＭＳ ゴシック" w:eastAsia="ＭＳ ゴシック" w:hint="eastAsia"/>
          <w:b/>
        </w:rPr>
        <w:t>1</w:t>
      </w:r>
      <w:r w:rsidR="00C25C85" w:rsidRPr="00BC31E0">
        <w:rPr>
          <w:rFonts w:hint="eastAsia"/>
        </w:rPr>
        <w:t>)</w:t>
      </w:r>
    </w:p>
    <w:p w14:paraId="71EAD1B5" w14:textId="77777777" w:rsidR="00C25C85" w:rsidRPr="00BC31E0" w:rsidRDefault="00C25C85" w:rsidP="008234D1">
      <w:pPr>
        <w:tabs>
          <w:tab w:val="left" w:pos="1276"/>
        </w:tabs>
        <w:autoSpaceDE w:val="0"/>
        <w:autoSpaceDN w:val="0"/>
        <w:ind w:left="1588" w:hanging="1021"/>
      </w:pPr>
      <m:oMath>
        <m:r>
          <w:rPr>
            <w:rFonts w:ascii="Cambria Math" w:hAnsi="Cambria Math"/>
          </w:rPr>
          <m:t>Q</m:t>
        </m:r>
      </m:oMath>
      <w:r w:rsidRPr="00BC31E0">
        <w:tab/>
      </w:r>
      <w:r w:rsidRPr="00BC31E0">
        <w:rPr>
          <w:rFonts w:hint="eastAsia"/>
        </w:rPr>
        <w:t>：</w:t>
      </w:r>
      <w:r w:rsidRPr="00BC31E0">
        <w:rPr>
          <w:rFonts w:hint="eastAsia"/>
        </w:rPr>
        <w:t xml:space="preserve"> </w:t>
      </w:r>
      <w:r w:rsidRPr="00BC31E0">
        <w:rPr>
          <w:rFonts w:hint="eastAsia"/>
        </w:rPr>
        <w:t>二次応力</w:t>
      </w:r>
      <w:r w:rsidRPr="00BC31E0">
        <w:rPr>
          <w:rFonts w:hint="eastAsia"/>
        </w:rPr>
        <w:t>(</w:t>
      </w:r>
      <w:r w:rsidRPr="00BC31E0">
        <w:rPr>
          <w:rFonts w:ascii="Cambria Math" w:hAnsi="Cambria Math"/>
        </w:rPr>
        <w:t>MPa</w:t>
      </w:r>
      <w:r w:rsidRPr="00BC31E0">
        <w:rPr>
          <w:rFonts w:hint="eastAsia"/>
        </w:rPr>
        <w:t>)</w:t>
      </w:r>
      <w:r w:rsidRPr="00BC31E0">
        <w:rPr>
          <w:rFonts w:hint="eastAsia"/>
          <w:position w:val="-6"/>
        </w:rPr>
        <w:t xml:space="preserve"> </w:t>
      </w:r>
      <w:r w:rsidRPr="00BC31E0">
        <w:rPr>
          <w:rFonts w:hint="eastAsia"/>
        </w:rPr>
        <w:t>(</w:t>
      </w:r>
      <w:r w:rsidRPr="00BC31E0">
        <w:rPr>
          <w:rFonts w:asciiTheme="majorEastAsia" w:eastAsiaTheme="majorEastAsia" w:hAnsiTheme="majorEastAsia" w:hint="eastAsia"/>
          <w:b/>
        </w:rPr>
        <w:t>附属書J</w:t>
      </w:r>
      <w:r w:rsidRPr="00BC31E0">
        <w:rPr>
          <w:rFonts w:asciiTheme="majorEastAsia" w:eastAsiaTheme="majorEastAsia" w:hAnsiTheme="majorEastAsia"/>
          <w:b/>
        </w:rPr>
        <w:t xml:space="preserve"> 1</w:t>
      </w:r>
      <w:r w:rsidRPr="00BC31E0">
        <w:rPr>
          <w:rFonts w:hint="eastAsia"/>
        </w:rPr>
        <w:t>)</w:t>
      </w:r>
    </w:p>
    <w:p w14:paraId="587C107A" w14:textId="77777777" w:rsidR="00C25C85" w:rsidRPr="00BC31E0" w:rsidRDefault="00C25C85" w:rsidP="008234D1">
      <w:pPr>
        <w:tabs>
          <w:tab w:val="left" w:pos="1276"/>
        </w:tabs>
        <w:autoSpaceDE w:val="0"/>
        <w:autoSpaceDN w:val="0"/>
        <w:ind w:left="1588" w:hanging="1021"/>
      </w:pPr>
      <w:r w:rsidRPr="00BC31E0">
        <w:rPr>
          <w:rFonts w:hint="eastAsia"/>
        </w:rPr>
        <w:tab/>
      </w:r>
      <w:r w:rsidRPr="00BC31E0">
        <w:rPr>
          <w:rFonts w:hint="eastAsia"/>
        </w:rPr>
        <w:t>：</w:t>
      </w:r>
      <w:r w:rsidRPr="00BC31E0">
        <w:rPr>
          <w:rFonts w:hint="eastAsia"/>
        </w:rPr>
        <w:t xml:space="preserve"> </w:t>
      </w:r>
      <w:r w:rsidRPr="00BC31E0">
        <w:rPr>
          <w:rFonts w:hint="eastAsia"/>
        </w:rPr>
        <w:t>塑性域補正を行った亀裂形状パラメータ</w:t>
      </w:r>
      <w:r w:rsidRPr="00BC31E0">
        <w:rPr>
          <w:rFonts w:hint="eastAsia"/>
        </w:rPr>
        <w:t xml:space="preserve"> (</w:t>
      </w:r>
      <w:r w:rsidRPr="00BC31E0">
        <w:rPr>
          <w:rFonts w:ascii="ＭＳ ゴシック" w:eastAsia="ＭＳ ゴシック" w:hint="eastAsia"/>
          <w:b/>
        </w:rPr>
        <w:t>附属書C 4.1</w:t>
      </w:r>
      <w:r w:rsidRPr="00BC31E0">
        <w:rPr>
          <w:rFonts w:hint="eastAsia"/>
        </w:rPr>
        <w:t xml:space="preserve">) </w:t>
      </w:r>
    </w:p>
    <w:p w14:paraId="2A90FEC0" w14:textId="77777777" w:rsidR="00C25C85" w:rsidRPr="00BC31E0" w:rsidRDefault="00C25C85" w:rsidP="008234D1">
      <w:pPr>
        <w:tabs>
          <w:tab w:val="left" w:pos="1276"/>
        </w:tabs>
        <w:autoSpaceDE w:val="0"/>
        <w:autoSpaceDN w:val="0"/>
        <w:ind w:left="1588" w:hanging="1021"/>
      </w:pPr>
      <w:r w:rsidRPr="00BC31E0">
        <w:rPr>
          <w:rFonts w:hint="eastAsia"/>
        </w:rPr>
        <w:tab/>
      </w:r>
      <w:r w:rsidRPr="00BC31E0">
        <w:rPr>
          <w:rFonts w:hint="eastAsia"/>
        </w:rPr>
        <w:t>：</w:t>
      </w:r>
      <w:r w:rsidRPr="00BC31E0">
        <w:rPr>
          <w:rFonts w:hint="eastAsia"/>
        </w:rPr>
        <w:t xml:space="preserve"> </w:t>
      </w:r>
      <w:r w:rsidRPr="00BC31E0">
        <w:rPr>
          <w:rFonts w:hint="eastAsia"/>
        </w:rPr>
        <w:t>ハブネックに作用するせん断力</w:t>
      </w:r>
      <w:r w:rsidRPr="00BC31E0">
        <w:rPr>
          <w:rFonts w:hint="eastAsia"/>
        </w:rPr>
        <w:t>(</w:t>
      </w:r>
      <w:r w:rsidRPr="00BC31E0">
        <w:rPr>
          <w:rFonts w:ascii="Cambria Math" w:hAnsi="Cambria Math"/>
        </w:rPr>
        <w:t>N</w:t>
      </w:r>
      <w:r w:rsidRPr="00BC31E0">
        <w:rPr>
          <w:rFonts w:hint="eastAsia"/>
        </w:rPr>
        <w:t>)</w:t>
      </w:r>
      <w:r w:rsidRPr="00BC31E0">
        <w:rPr>
          <w:rFonts w:hint="eastAsia"/>
          <w:position w:val="-6"/>
        </w:rPr>
        <w:t xml:space="preserve"> </w:t>
      </w:r>
      <w:r w:rsidRPr="00BC31E0">
        <w:rPr>
          <w:rFonts w:hint="eastAsia"/>
        </w:rPr>
        <w:t>(</w:t>
      </w:r>
      <w:r w:rsidRPr="00BC31E0">
        <w:rPr>
          <w:rFonts w:ascii="ＭＳ ゴシック" w:eastAsia="ＭＳ ゴシック" w:hint="eastAsia"/>
          <w:b/>
        </w:rPr>
        <w:t>附属書</w:t>
      </w:r>
      <w:r w:rsidRPr="00BC31E0">
        <w:rPr>
          <w:rFonts w:ascii="ＭＳ ゴシック" w:eastAsia="ＭＳ ゴシック"/>
          <w:b/>
        </w:rPr>
        <w:t>H 3</w:t>
      </w:r>
      <w:r w:rsidRPr="00BC31E0">
        <w:rPr>
          <w:rFonts w:hint="eastAsia"/>
        </w:rPr>
        <w:t>)</w:t>
      </w:r>
    </w:p>
    <w:p w14:paraId="1789CAD8" w14:textId="77777777" w:rsidR="00C25C85" w:rsidRPr="00BC31E0" w:rsidRDefault="00A51873" w:rsidP="008234D1">
      <w:pPr>
        <w:tabs>
          <w:tab w:val="left" w:pos="1276"/>
        </w:tabs>
        <w:autoSpaceDE w:val="0"/>
        <w:autoSpaceDN w:val="0"/>
        <w:ind w:left="1588" w:hanging="1021"/>
      </w:pPr>
      <m:oMath>
        <m:sSup>
          <m:sSupPr>
            <m:ctrlPr>
              <w:rPr>
                <w:rFonts w:ascii="Cambria Math" w:hAnsi="Cambria Math"/>
                <w:i/>
              </w:rPr>
            </m:ctrlPr>
          </m:sSupPr>
          <m:e>
            <m:r>
              <w:rPr>
                <w:rFonts w:ascii="Cambria Math" w:hAnsi="Cambria Math"/>
              </w:rPr>
              <m:t>Q</m:t>
            </m:r>
          </m:e>
          <m:sup>
            <m:r>
              <w:rPr>
                <w:rFonts w:ascii="Cambria Math" w:hAnsi="Cambria Math"/>
              </w:rPr>
              <m:t>'</m:t>
            </m:r>
          </m:sup>
        </m:sSup>
      </m:oMath>
      <w:r w:rsidR="00C25C85" w:rsidRPr="00BC31E0">
        <w:rPr>
          <w:rFonts w:ascii="Cambria Math" w:hAnsi="Cambria Math" w:hint="eastAsia"/>
        </w:rPr>
        <w:tab/>
      </w:r>
      <w:r w:rsidR="00C25C85" w:rsidRPr="00BC31E0">
        <w:rPr>
          <w:rFonts w:hint="eastAsia"/>
        </w:rPr>
        <w:t>：</w:t>
      </w:r>
      <w:r w:rsidR="00C25C85" w:rsidRPr="00BC31E0">
        <w:rPr>
          <w:rFonts w:hint="eastAsia"/>
        </w:rPr>
        <w:t xml:space="preserve"> </w:t>
      </w:r>
      <w:r w:rsidR="00C25C85" w:rsidRPr="00BC31E0">
        <w:rPr>
          <w:rFonts w:hint="eastAsia"/>
        </w:rPr>
        <w:t>塑性域補正を行わない亀裂形状パラメータ</w:t>
      </w:r>
      <w:r w:rsidR="00C25C85" w:rsidRPr="00BC31E0">
        <w:rPr>
          <w:rFonts w:hint="eastAsia"/>
        </w:rPr>
        <w:t xml:space="preserve"> (</w:t>
      </w:r>
      <w:r w:rsidR="00C25C85" w:rsidRPr="00BC31E0">
        <w:rPr>
          <w:rFonts w:ascii="ＭＳ ゴシック" w:eastAsia="ＭＳ ゴシック" w:hint="eastAsia"/>
          <w:b/>
        </w:rPr>
        <w:t>附属書C 4.1.2</w:t>
      </w:r>
      <w:r w:rsidR="00C25C85" w:rsidRPr="00BC31E0">
        <w:rPr>
          <w:rFonts w:hint="eastAsia"/>
        </w:rPr>
        <w:t>)</w:t>
      </w:r>
    </w:p>
    <w:p w14:paraId="1C3771B3"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Q</m:t>
            </m:r>
          </m:e>
          <m:sub>
            <m:r>
              <w:rPr>
                <w:rFonts w:ascii="Cambria Math" w:hAnsi="Cambria Math"/>
              </w:rPr>
              <m:t>c</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層間隙間係数</w:t>
      </w:r>
      <w:r w:rsidR="00C25C85" w:rsidRPr="00BC31E0">
        <w:rPr>
          <w:rFonts w:hint="eastAsia"/>
        </w:rPr>
        <w:t>(</w:t>
      </w:r>
      <w:r w:rsidR="00C25C85" w:rsidRPr="00BC31E0">
        <w:rPr>
          <w:rFonts w:hint="eastAsia"/>
        </w:rPr>
        <w:t>単胴と仮定したときの理論周長伸びに対する耐圧試験圧力での周長伸びの実測値との比</w:t>
      </w:r>
      <w:r w:rsidR="00C25C85" w:rsidRPr="00BC31E0">
        <w:rPr>
          <w:rFonts w:hint="eastAsia"/>
        </w:rPr>
        <w:t>) (</w:t>
      </w:r>
      <w:r w:rsidR="00C25C85" w:rsidRPr="00BC31E0">
        <w:rPr>
          <w:rFonts w:ascii="ＭＳ ゴシック" w:eastAsia="ＭＳ ゴシック"/>
          <w:b/>
        </w:rPr>
        <w:t>6.8.3</w:t>
      </w:r>
      <w:r w:rsidR="00C25C85" w:rsidRPr="00BC31E0">
        <w:rPr>
          <w:rFonts w:ascii="ＭＳ ゴシック" w:eastAsia="ＭＳ ゴシック" w:hint="eastAsia"/>
        </w:rPr>
        <w:t>，</w:t>
      </w:r>
      <w:r w:rsidR="00C25C85" w:rsidRPr="00BC31E0">
        <w:rPr>
          <w:rFonts w:ascii="ＭＳ ゴシック" w:eastAsia="ＭＳ ゴシック" w:hint="eastAsia"/>
          <w:b/>
        </w:rPr>
        <w:t>6.8.5</w:t>
      </w:r>
      <w:r w:rsidR="00C25C85" w:rsidRPr="00BC31E0">
        <w:rPr>
          <w:rFonts w:hint="eastAsia"/>
        </w:rPr>
        <w:t>)</w:t>
      </w:r>
    </w:p>
    <w:p w14:paraId="1611A078"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q</m:t>
            </m:r>
          </m:e>
          <m:sub>
            <m:r>
              <w:rPr>
                <w:rFonts w:ascii="Cambria Math" w:hAnsi="Cambria Math"/>
              </w:rPr>
              <m:t>y</m:t>
            </m:r>
          </m:sub>
        </m:sSub>
      </m:oMath>
      <w:r w:rsidR="00C25C85" w:rsidRPr="00BC31E0">
        <w:rPr>
          <w:rFonts w:hint="eastAsia"/>
          <w:vertAlign w:val="subscript"/>
        </w:rPr>
        <w:t xml:space="preserve"> </w:t>
      </w:r>
      <w:r w:rsidR="00C25C85" w:rsidRPr="00BC31E0">
        <w:rPr>
          <w:rFonts w:hint="eastAsia"/>
          <w:vertAlign w:val="subscript"/>
        </w:rPr>
        <w:tab/>
        <w:t xml:space="preserve"> </w:t>
      </w:r>
      <w:r w:rsidR="00C25C85" w:rsidRPr="00BC31E0">
        <w:rPr>
          <w:rFonts w:hint="eastAsia"/>
        </w:rPr>
        <w:t xml:space="preserve">:  </w:t>
      </w:r>
      <w:r w:rsidR="00C25C85" w:rsidRPr="00BC31E0">
        <w:rPr>
          <w:rFonts w:hint="eastAsia"/>
        </w:rPr>
        <w:t>塑性域補正項</w:t>
      </w:r>
      <w:r w:rsidR="00C25C85" w:rsidRPr="00BC31E0">
        <w:rPr>
          <w:rFonts w:hint="eastAsia"/>
        </w:rPr>
        <w:t xml:space="preserve"> (</w:t>
      </w:r>
      <w:r w:rsidR="00C25C85" w:rsidRPr="00BC31E0">
        <w:rPr>
          <w:rFonts w:ascii="ＭＳ ゴシック" w:eastAsia="ＭＳ ゴシック" w:hint="eastAsia"/>
          <w:b/>
        </w:rPr>
        <w:t>附属書C 4.1</w:t>
      </w:r>
      <w:r w:rsidR="00C25C85" w:rsidRPr="00BC31E0">
        <w:rPr>
          <w:rFonts w:hint="eastAsia"/>
        </w:rPr>
        <w:t xml:space="preserve">) </w:t>
      </w:r>
    </w:p>
    <w:p w14:paraId="3D45D72A" w14:textId="77777777" w:rsidR="00C25C85" w:rsidRPr="00BC31E0" w:rsidRDefault="00C25C85" w:rsidP="008234D1">
      <w:pPr>
        <w:tabs>
          <w:tab w:val="left" w:pos="1276"/>
        </w:tabs>
        <w:autoSpaceDE w:val="0"/>
        <w:autoSpaceDN w:val="0"/>
        <w:ind w:left="1588" w:hanging="1021"/>
      </w:pPr>
      <m:oMath>
        <m:r>
          <w:rPr>
            <w:rFonts w:ascii="Cambria Math" w:hAnsi="Cambria Math"/>
          </w:rPr>
          <m:t>R</m:t>
        </m:r>
      </m:oMath>
      <w:r w:rsidRPr="00BC31E0">
        <w:rPr>
          <w:rFonts w:hint="eastAsia"/>
          <w:i/>
        </w:rPr>
        <w:tab/>
      </w:r>
      <w:r w:rsidRPr="00BC31E0">
        <w:rPr>
          <w:rFonts w:hint="eastAsia"/>
        </w:rPr>
        <w:t>：</w:t>
      </w:r>
      <w:r w:rsidRPr="00BC31E0">
        <w:rPr>
          <w:rFonts w:hint="eastAsia"/>
        </w:rPr>
        <w:t xml:space="preserve"> </w:t>
      </w:r>
      <w:r w:rsidRPr="00BC31E0">
        <w:rPr>
          <w:rFonts w:hint="eastAsia"/>
        </w:rPr>
        <w:t>降伏比</w:t>
      </w:r>
      <w:r w:rsidRPr="00BC31E0">
        <w:rPr>
          <w:rFonts w:hint="eastAsia"/>
        </w:rPr>
        <w:t xml:space="preserve"> (</w:t>
      </w:r>
      <w:r w:rsidRPr="00BC31E0">
        <w:rPr>
          <w:rFonts w:asciiTheme="majorEastAsia" w:eastAsiaTheme="majorEastAsia" w:hAnsiTheme="majorEastAsia" w:hint="eastAsia"/>
          <w:b/>
        </w:rPr>
        <w:t>6.2.3</w:t>
      </w:r>
      <w:r w:rsidRPr="00BC31E0">
        <w:rPr>
          <w:rFonts w:hint="eastAsia"/>
        </w:rPr>
        <w:t>，</w:t>
      </w:r>
      <w:r w:rsidRPr="00BC31E0">
        <w:rPr>
          <w:rFonts w:asciiTheme="majorEastAsia" w:eastAsiaTheme="majorEastAsia" w:hAnsiTheme="majorEastAsia" w:hint="eastAsia"/>
          <w:b/>
        </w:rPr>
        <w:t>表6.2.4</w:t>
      </w:r>
      <w:r w:rsidRPr="00BC31E0">
        <w:rPr>
          <w:rFonts w:hint="eastAsia"/>
        </w:rPr>
        <w:t>，</w:t>
      </w:r>
      <w:r w:rsidRPr="00BC31E0">
        <w:rPr>
          <w:rFonts w:ascii="ＭＳ ゴシック" w:eastAsia="ＭＳ ゴシック" w:hint="eastAsia"/>
          <w:b/>
        </w:rPr>
        <w:t>附属書D 2</w:t>
      </w:r>
      <w:r w:rsidRPr="00BC31E0">
        <w:rPr>
          <w:rFonts w:hint="eastAsia"/>
        </w:rPr>
        <w:t xml:space="preserve">) </w:t>
      </w:r>
    </w:p>
    <w:p w14:paraId="3B5C293F" w14:textId="77777777" w:rsidR="00C25C85" w:rsidRPr="00BC31E0" w:rsidRDefault="00C25C85" w:rsidP="008234D1">
      <w:pPr>
        <w:tabs>
          <w:tab w:val="left" w:pos="1276"/>
        </w:tabs>
        <w:autoSpaceDE w:val="0"/>
        <w:autoSpaceDN w:val="0"/>
        <w:ind w:left="1588" w:hanging="1021"/>
      </w:pPr>
      <w:r w:rsidRPr="00BC31E0">
        <w:rPr>
          <w:rFonts w:hint="eastAsia"/>
        </w:rPr>
        <w:tab/>
      </w:r>
      <w:r w:rsidRPr="00BC31E0">
        <w:rPr>
          <w:rFonts w:hint="eastAsia"/>
        </w:rPr>
        <w:t>：</w:t>
      </w:r>
      <w:r w:rsidRPr="00BC31E0">
        <w:rPr>
          <w:rFonts w:hint="eastAsia"/>
        </w:rPr>
        <w:t xml:space="preserve"> </w:t>
      </w:r>
      <w:r w:rsidRPr="00BC31E0">
        <w:rPr>
          <w:rFonts w:hint="eastAsia"/>
        </w:rPr>
        <w:t>内半径</w:t>
      </w:r>
      <w:r w:rsidRPr="00BC31E0">
        <w:rPr>
          <w:rFonts w:hint="eastAsia"/>
        </w:rPr>
        <w:t>(mm) (</w:t>
      </w:r>
      <w:r w:rsidRPr="00BC31E0">
        <w:rPr>
          <w:rFonts w:ascii="ＭＳ ゴシック" w:eastAsia="ＭＳ ゴシック" w:hint="eastAsia"/>
          <w:b/>
        </w:rPr>
        <w:t>9.2.3)</w:t>
      </w:r>
    </w:p>
    <w:p w14:paraId="59A71832" w14:textId="77777777" w:rsidR="00C25C85" w:rsidRPr="00BC31E0" w:rsidRDefault="00C25C85" w:rsidP="008234D1">
      <w:pPr>
        <w:tabs>
          <w:tab w:val="left" w:pos="1276"/>
        </w:tabs>
        <w:autoSpaceDE w:val="0"/>
        <w:autoSpaceDN w:val="0"/>
        <w:ind w:left="1588" w:hanging="1021"/>
      </w:pPr>
      <m:oMath>
        <m:r>
          <w:rPr>
            <w:rFonts w:ascii="Cambria Math" w:hAnsi="Cambria Math"/>
          </w:rPr>
          <m:t>R</m:t>
        </m:r>
        <m:r>
          <w:rPr>
            <w:rFonts w:ascii="Cambria Math" w:hAnsi="Cambria Math" w:hint="eastAsia"/>
          </w:rPr>
          <m:t>A</m:t>
        </m:r>
      </m:oMath>
      <w:r w:rsidRPr="00BC31E0">
        <w:rPr>
          <w:rFonts w:hint="eastAsia"/>
          <w:i/>
        </w:rPr>
        <w:tab/>
      </w:r>
      <w:r w:rsidRPr="00BC31E0">
        <w:rPr>
          <w:rFonts w:hint="eastAsia"/>
        </w:rPr>
        <w:t>：</w:t>
      </w:r>
      <w:r w:rsidRPr="00BC31E0">
        <w:rPr>
          <w:rFonts w:hint="eastAsia"/>
        </w:rPr>
        <w:t xml:space="preserve"> </w:t>
      </w:r>
      <w:r w:rsidRPr="00BC31E0">
        <w:rPr>
          <w:rFonts w:hint="eastAsia"/>
        </w:rPr>
        <w:t>最小規定絞り</w:t>
      </w:r>
      <w:r w:rsidRPr="00BC31E0">
        <w:rPr>
          <w:rFonts w:hint="eastAsia"/>
        </w:rPr>
        <w:t>(</w:t>
      </w:r>
      <w:r w:rsidRPr="00BC31E0">
        <w:rPr>
          <w:rFonts w:ascii="Cambria Math" w:hAnsi="Cambria Math"/>
        </w:rPr>
        <w:t>%</w:t>
      </w:r>
      <w:r w:rsidRPr="00BC31E0">
        <w:rPr>
          <w:rFonts w:hint="eastAsia"/>
        </w:rPr>
        <w:t>) (</w:t>
      </w:r>
      <w:r w:rsidRPr="00BC31E0">
        <w:rPr>
          <w:rFonts w:ascii="ＭＳ ゴシック" w:eastAsia="ＭＳ ゴシック" w:hint="eastAsia"/>
          <w:b/>
        </w:rPr>
        <w:t>6.2.3</w:t>
      </w:r>
      <w:r w:rsidRPr="00BC31E0">
        <w:rPr>
          <w:rFonts w:hint="eastAsia"/>
        </w:rPr>
        <w:t>，</w:t>
      </w:r>
      <w:r w:rsidRPr="00BC31E0">
        <w:rPr>
          <w:rFonts w:asciiTheme="majorEastAsia" w:eastAsiaTheme="majorEastAsia" w:hAnsiTheme="majorEastAsia" w:hint="eastAsia"/>
          <w:b/>
        </w:rPr>
        <w:t>表6.2.4</w:t>
      </w:r>
      <w:r w:rsidRPr="00BC31E0">
        <w:rPr>
          <w:rFonts w:hint="eastAsia"/>
        </w:rPr>
        <w:t>)</w:t>
      </w:r>
    </w:p>
    <w:p w14:paraId="7A582CD9" w14:textId="77777777" w:rsidR="00C25C85" w:rsidRPr="00BC31E0" w:rsidRDefault="00C25C85" w:rsidP="008234D1">
      <w:pPr>
        <w:tabs>
          <w:tab w:val="left" w:pos="1276"/>
        </w:tabs>
        <w:autoSpaceDE w:val="0"/>
        <w:autoSpaceDN w:val="0"/>
        <w:ind w:left="1588" w:hanging="1021"/>
      </w:pPr>
      <m:oMath>
        <m:r>
          <w:rPr>
            <w:rFonts w:ascii="Cambria Math" w:hAnsi="Cambria Math"/>
          </w:rPr>
          <m:t>R</m:t>
        </m:r>
        <m:r>
          <w:rPr>
            <w:rFonts w:ascii="Cambria Math" w:hAnsi="Cambria Math" w:hint="eastAsia"/>
          </w:rPr>
          <m:t>EL</m:t>
        </m:r>
      </m:oMath>
      <w:r w:rsidRPr="00BC31E0">
        <w:rPr>
          <w:rFonts w:hint="eastAsia"/>
          <w:i/>
        </w:rPr>
        <w:tab/>
      </w:r>
      <w:r w:rsidRPr="00BC31E0">
        <w:rPr>
          <w:rFonts w:hint="eastAsia"/>
        </w:rPr>
        <w:t>：</w:t>
      </w:r>
      <w:r w:rsidRPr="00BC31E0">
        <w:rPr>
          <w:rFonts w:hint="eastAsia"/>
        </w:rPr>
        <w:t xml:space="preserve"> </w:t>
      </w:r>
      <w:r w:rsidRPr="00BC31E0">
        <w:rPr>
          <w:rFonts w:hint="eastAsia"/>
        </w:rPr>
        <w:t>相対伸び</w:t>
      </w:r>
      <w:r w:rsidRPr="00BC31E0">
        <w:t xml:space="preserve"> </w:t>
      </w:r>
      <w:r w:rsidRPr="00BC31E0">
        <w:rPr>
          <w:rFonts w:hint="eastAsia"/>
        </w:rPr>
        <w:t>(</w:t>
      </w:r>
      <w:r w:rsidRPr="00BC31E0">
        <w:rPr>
          <w:rFonts w:ascii="ＭＳ ゴシック" w:eastAsia="ＭＳ ゴシック" w:hint="eastAsia"/>
          <w:b/>
        </w:rPr>
        <w:t>6.13.</w:t>
      </w:r>
      <w:r w:rsidRPr="00BC31E0">
        <w:rPr>
          <w:rFonts w:ascii="ＭＳ ゴシック" w:eastAsia="ＭＳ ゴシック"/>
          <w:b/>
        </w:rPr>
        <w:t>5</w:t>
      </w:r>
      <w:r w:rsidRPr="00BC31E0">
        <w:rPr>
          <w:rFonts w:hint="eastAsia"/>
        </w:rPr>
        <w:t>)</w:t>
      </w:r>
    </w:p>
    <w:p w14:paraId="23BD763F" w14:textId="77777777" w:rsidR="00C25C85" w:rsidRPr="00BC31E0" w:rsidRDefault="00C25C85" w:rsidP="008234D1">
      <w:pPr>
        <w:tabs>
          <w:tab w:val="left" w:pos="1276"/>
        </w:tabs>
        <w:autoSpaceDE w:val="0"/>
        <w:autoSpaceDN w:val="0"/>
        <w:ind w:left="1588" w:hanging="1021"/>
      </w:pPr>
      <m:oMath>
        <m:r>
          <w:rPr>
            <w:rFonts w:ascii="Cambria Math" w:hAnsi="Cambria Math"/>
          </w:rPr>
          <m:t>R</m:t>
        </m:r>
        <m:r>
          <w:rPr>
            <w:rFonts w:ascii="Cambria Math" w:hAnsi="Cambria Math" w:hint="eastAsia"/>
          </w:rPr>
          <m:t>RA</m:t>
        </m:r>
      </m:oMath>
      <w:r w:rsidRPr="00BC31E0">
        <w:rPr>
          <w:rFonts w:hint="eastAsia"/>
          <w:i/>
        </w:rPr>
        <w:tab/>
      </w:r>
      <w:r w:rsidRPr="00BC31E0">
        <w:rPr>
          <w:rFonts w:hint="eastAsia"/>
        </w:rPr>
        <w:t>：</w:t>
      </w:r>
      <w:r w:rsidRPr="00BC31E0">
        <w:rPr>
          <w:rFonts w:hint="eastAsia"/>
        </w:rPr>
        <w:t xml:space="preserve"> </w:t>
      </w:r>
      <w:r w:rsidRPr="00BC31E0">
        <w:rPr>
          <w:rFonts w:hint="eastAsia"/>
        </w:rPr>
        <w:t>相対絞り</w:t>
      </w:r>
      <w:r w:rsidRPr="00BC31E0">
        <w:t xml:space="preserve"> </w:t>
      </w:r>
      <w:r w:rsidRPr="00BC31E0">
        <w:rPr>
          <w:rFonts w:hint="eastAsia"/>
        </w:rPr>
        <w:t>(</w:t>
      </w:r>
      <w:r w:rsidRPr="00BC31E0">
        <w:rPr>
          <w:rFonts w:ascii="ＭＳ ゴシック" w:eastAsia="ＭＳ ゴシック" w:hint="eastAsia"/>
          <w:b/>
        </w:rPr>
        <w:t>6.13.</w:t>
      </w:r>
      <w:r w:rsidRPr="00BC31E0">
        <w:rPr>
          <w:rFonts w:ascii="ＭＳ ゴシック" w:eastAsia="ＭＳ ゴシック"/>
          <w:b/>
        </w:rPr>
        <w:t>5</w:t>
      </w:r>
      <w:r w:rsidRPr="00BC31E0">
        <w:rPr>
          <w:rFonts w:hint="eastAsia"/>
        </w:rPr>
        <w:t>)</w:t>
      </w:r>
    </w:p>
    <w:p w14:paraId="366E1AA4" w14:textId="77777777" w:rsidR="00C25C85" w:rsidRPr="00BC31E0" w:rsidRDefault="00C25C85" w:rsidP="008234D1">
      <w:pPr>
        <w:tabs>
          <w:tab w:val="left" w:pos="1276"/>
        </w:tabs>
        <w:autoSpaceDE w:val="0"/>
        <w:autoSpaceDN w:val="0"/>
        <w:ind w:left="1588" w:hanging="1021"/>
      </w:pPr>
      <m:oMath>
        <m:r>
          <w:rPr>
            <w:rFonts w:ascii="Cambria Math" w:hAnsi="Cambria Math"/>
          </w:rPr>
          <m:t>R</m:t>
        </m:r>
        <m:r>
          <w:rPr>
            <w:rFonts w:ascii="Cambria Math" w:hAnsi="Cambria Math" w:hint="eastAsia"/>
          </w:rPr>
          <m:t>TS</m:t>
        </m:r>
      </m:oMath>
      <w:r w:rsidRPr="00BC31E0">
        <w:rPr>
          <w:rFonts w:hint="eastAsia"/>
          <w:i/>
        </w:rPr>
        <w:tab/>
      </w:r>
      <w:r w:rsidRPr="00BC31E0">
        <w:rPr>
          <w:rFonts w:hint="eastAsia"/>
        </w:rPr>
        <w:t>：</w:t>
      </w:r>
      <w:r w:rsidRPr="00BC31E0">
        <w:rPr>
          <w:rFonts w:hint="eastAsia"/>
        </w:rPr>
        <w:t xml:space="preserve"> </w:t>
      </w:r>
      <w:r w:rsidRPr="00BC31E0">
        <w:rPr>
          <w:rFonts w:hint="eastAsia"/>
        </w:rPr>
        <w:t>相対引張強さ</w:t>
      </w:r>
      <w:r w:rsidRPr="00BC31E0">
        <w:t xml:space="preserve"> </w:t>
      </w:r>
      <w:r w:rsidRPr="00BC31E0">
        <w:rPr>
          <w:rFonts w:hint="eastAsia"/>
        </w:rPr>
        <w:t>(</w:t>
      </w:r>
      <w:r w:rsidRPr="00BC31E0">
        <w:rPr>
          <w:rFonts w:ascii="ＭＳ ゴシック" w:eastAsia="ＭＳ ゴシック" w:hint="eastAsia"/>
          <w:b/>
        </w:rPr>
        <w:t>6.13.</w:t>
      </w:r>
      <w:r w:rsidRPr="00BC31E0">
        <w:rPr>
          <w:rFonts w:ascii="ＭＳ ゴシック" w:eastAsia="ＭＳ ゴシック"/>
          <w:b/>
        </w:rPr>
        <w:t>5</w:t>
      </w:r>
      <w:r w:rsidRPr="00BC31E0">
        <w:rPr>
          <w:rFonts w:hint="eastAsia"/>
        </w:rPr>
        <w:t>)</w:t>
      </w:r>
    </w:p>
    <w:p w14:paraId="3900D18E" w14:textId="77777777" w:rsidR="00C25C85" w:rsidRPr="00BC31E0" w:rsidRDefault="00C25C85" w:rsidP="008234D1">
      <w:pPr>
        <w:tabs>
          <w:tab w:val="left" w:pos="1276"/>
        </w:tabs>
        <w:autoSpaceDE w:val="0"/>
        <w:autoSpaceDN w:val="0"/>
        <w:ind w:left="1588" w:hanging="1021"/>
      </w:pPr>
      <m:oMath>
        <m:r>
          <w:rPr>
            <w:rFonts w:ascii="Cambria Math" w:hAnsi="Cambria Math"/>
          </w:rPr>
          <m:t>R</m:t>
        </m:r>
        <m:r>
          <w:rPr>
            <w:rFonts w:ascii="Cambria Math" w:hAnsi="Cambria Math" w:hint="eastAsia"/>
          </w:rPr>
          <m:t>YS</m:t>
        </m:r>
      </m:oMath>
      <w:r w:rsidRPr="00BC31E0">
        <w:rPr>
          <w:rFonts w:hint="eastAsia"/>
          <w:i/>
        </w:rPr>
        <w:tab/>
      </w:r>
      <w:r w:rsidRPr="00BC31E0">
        <w:rPr>
          <w:rFonts w:hint="eastAsia"/>
        </w:rPr>
        <w:t>：</w:t>
      </w:r>
      <w:r w:rsidRPr="00BC31E0">
        <w:rPr>
          <w:rFonts w:hint="eastAsia"/>
        </w:rPr>
        <w:t xml:space="preserve"> </w:t>
      </w:r>
      <w:r w:rsidRPr="00BC31E0">
        <w:rPr>
          <w:rFonts w:hint="eastAsia"/>
        </w:rPr>
        <w:t>相対降伏強度</w:t>
      </w:r>
      <w:r w:rsidRPr="00BC31E0">
        <w:t xml:space="preserve"> </w:t>
      </w:r>
      <w:r w:rsidRPr="00BC31E0">
        <w:rPr>
          <w:rFonts w:hint="eastAsia"/>
        </w:rPr>
        <w:t>(</w:t>
      </w:r>
      <w:r w:rsidRPr="00BC31E0">
        <w:rPr>
          <w:rFonts w:ascii="ＭＳ ゴシック" w:eastAsia="ＭＳ ゴシック" w:hint="eastAsia"/>
          <w:b/>
        </w:rPr>
        <w:t>6.13.</w:t>
      </w:r>
      <w:r w:rsidRPr="00BC31E0">
        <w:rPr>
          <w:rFonts w:ascii="ＭＳ ゴシック" w:eastAsia="ＭＳ ゴシック"/>
          <w:b/>
        </w:rPr>
        <w:t>5</w:t>
      </w:r>
      <w:r w:rsidRPr="00BC31E0">
        <w:rPr>
          <w:rFonts w:hint="eastAsia"/>
        </w:rPr>
        <w:t>)</w:t>
      </w:r>
    </w:p>
    <w:p w14:paraId="6F741577"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R</m:t>
            </m:r>
          </m:e>
          <m:sub>
            <m:r>
              <w:rPr>
                <w:rFonts w:ascii="Cambria Math" w:hAnsi="Cambria Math"/>
              </w:rPr>
              <m:t>c</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コーナー半径</w:t>
      </w:r>
      <w:r w:rsidR="00C25C85" w:rsidRPr="00BC31E0">
        <w:rPr>
          <w:rFonts w:hint="eastAsia"/>
        </w:rPr>
        <w:t>(</w:t>
      </w:r>
      <w:r w:rsidR="00C25C85" w:rsidRPr="00BC31E0">
        <w:rPr>
          <w:rFonts w:ascii="Cambria Math" w:hAnsi="Cambria Math"/>
        </w:rPr>
        <w:t>mm</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hint="eastAsia"/>
          <w:b/>
        </w:rPr>
        <w:t>附属書</w:t>
      </w:r>
      <w:r w:rsidR="00C25C85" w:rsidRPr="00BC31E0">
        <w:rPr>
          <w:rFonts w:ascii="ＭＳ ゴシック" w:eastAsia="ＭＳ ゴシック"/>
          <w:b/>
        </w:rPr>
        <w:t>G</w:t>
      </w:r>
      <w:r w:rsidR="00C25C85" w:rsidRPr="00BC31E0">
        <w:rPr>
          <w:rFonts w:ascii="ＭＳ ゴシック" w:eastAsia="ＭＳ ゴシック" w:hint="eastAsia"/>
          <w:b/>
        </w:rPr>
        <w:t xml:space="preserve"> 図</w:t>
      </w:r>
      <w:r w:rsidR="00C25C85" w:rsidRPr="00BC31E0">
        <w:rPr>
          <w:rFonts w:ascii="ＭＳ ゴシック" w:eastAsia="ＭＳ ゴシック"/>
          <w:b/>
        </w:rPr>
        <w:t>G.1</w:t>
      </w:r>
      <w:r w:rsidR="00C25C85" w:rsidRPr="00BC31E0">
        <w:rPr>
          <w:rFonts w:hint="eastAsia"/>
        </w:rPr>
        <w:t>)</w:t>
      </w:r>
    </w:p>
    <w:p w14:paraId="5368711D"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R</m:t>
            </m:r>
          </m:e>
          <m:sub>
            <m:r>
              <w:rPr>
                <w:rFonts w:ascii="Cambria Math" w:hAnsi="Cambria Math"/>
              </w:rPr>
              <m:t>f</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成形後の成形される板の中央面の半径</w:t>
      </w:r>
      <w:r w:rsidR="00C25C85" w:rsidRPr="00BC31E0">
        <w:rPr>
          <w:rFonts w:hint="eastAsia"/>
        </w:rPr>
        <w:t>(</w:t>
      </w:r>
      <w:r w:rsidR="00C25C85" w:rsidRPr="00BC31E0">
        <w:rPr>
          <w:rFonts w:ascii="Cambria Math" w:hAnsi="Cambria Math"/>
        </w:rPr>
        <w:t>mm</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b/>
        </w:rPr>
        <w:t>7.6.1</w:t>
      </w:r>
      <w:r w:rsidR="00C25C85" w:rsidRPr="00BC31E0">
        <w:rPr>
          <w:rFonts w:hint="eastAsia"/>
        </w:rPr>
        <w:t>)</w:t>
      </w:r>
    </w:p>
    <w:p w14:paraId="68C83B2D"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R</m:t>
            </m:r>
          </m:e>
          <m:sub>
            <m:r>
              <w:rPr>
                <w:rFonts w:ascii="Cambria Math" w:hAnsi="Cambria Math"/>
              </w:rPr>
              <m:t>g</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隙間を評価している層の外半径</w:t>
      </w:r>
      <w:r w:rsidR="00C25C85" w:rsidRPr="00BC31E0">
        <w:rPr>
          <w:rFonts w:hint="eastAsia"/>
        </w:rPr>
        <w:t>(</w:t>
      </w:r>
      <w:r w:rsidR="00C25C85" w:rsidRPr="00BC31E0">
        <w:rPr>
          <w:rFonts w:ascii="Cambria Math" w:hAnsi="Cambria Math"/>
        </w:rPr>
        <w:t>mm</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b/>
        </w:rPr>
        <w:t>7.8.3</w:t>
      </w:r>
      <w:r w:rsidR="00C25C85" w:rsidRPr="00BC31E0">
        <w:rPr>
          <w:rFonts w:hint="eastAsia"/>
        </w:rPr>
        <w:t>，</w:t>
      </w:r>
      <w:r w:rsidR="00C25C85" w:rsidRPr="00BC31E0">
        <w:rPr>
          <w:rFonts w:ascii="ＭＳ ゴシック" w:eastAsia="ＭＳ ゴシック" w:hint="eastAsia"/>
          <w:b/>
        </w:rPr>
        <w:t>図</w:t>
      </w:r>
      <w:r w:rsidR="00C25C85" w:rsidRPr="00BC31E0">
        <w:rPr>
          <w:rFonts w:ascii="ＭＳ ゴシック" w:eastAsia="ＭＳ ゴシック"/>
          <w:b/>
        </w:rPr>
        <w:t>7.8.5</w:t>
      </w:r>
      <w:r w:rsidR="00C25C85" w:rsidRPr="00BC31E0">
        <w:rPr>
          <w:rFonts w:hint="eastAsia"/>
        </w:rPr>
        <w:t>)</w:t>
      </w:r>
    </w:p>
    <w:p w14:paraId="64931ECA"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R</m:t>
            </m:r>
          </m:e>
          <m:sub>
            <m:r>
              <w:rPr>
                <w:rFonts w:ascii="Cambria Math" w:hAnsi="Cambria Math"/>
              </w:rPr>
              <m:t>I</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容器の内半径</w:t>
      </w:r>
      <w:r w:rsidR="00C25C85" w:rsidRPr="00BC31E0">
        <w:rPr>
          <w:rFonts w:hint="eastAsia"/>
        </w:rPr>
        <w:t>(</w:t>
      </w:r>
      <w:r w:rsidR="00C25C85" w:rsidRPr="00BC31E0">
        <w:rPr>
          <w:rFonts w:ascii="Cambria Math" w:hAnsi="Cambria Math"/>
        </w:rPr>
        <w:t>mm</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b/>
        </w:rPr>
        <w:t>7.8.3</w:t>
      </w:r>
      <w:r w:rsidR="00C25C85" w:rsidRPr="00BC31E0">
        <w:rPr>
          <w:rFonts w:hint="eastAsia"/>
        </w:rPr>
        <w:t>，</w:t>
      </w:r>
      <w:r w:rsidR="00C25C85" w:rsidRPr="00BC31E0">
        <w:rPr>
          <w:rFonts w:eastAsia="ＭＳ ゴシック" w:hint="eastAsia"/>
          <w:b/>
        </w:rPr>
        <w:t>附属書</w:t>
      </w:r>
      <w:r w:rsidR="00C25C85" w:rsidRPr="00BC31E0">
        <w:rPr>
          <w:rFonts w:ascii="ＭＳ ゴシック" w:eastAsia="ＭＳ ゴシック" w:hint="eastAsia"/>
          <w:b/>
        </w:rPr>
        <w:t xml:space="preserve">C 図 </w:t>
      </w:r>
      <w:r w:rsidR="00C25C85" w:rsidRPr="00BC31E0">
        <w:rPr>
          <w:rFonts w:ascii="ＭＳ ゴシック" w:eastAsia="ＭＳ ゴシック"/>
          <w:b/>
        </w:rPr>
        <w:t>C.1</w:t>
      </w:r>
      <w:r w:rsidR="00C25C85" w:rsidRPr="00BC31E0">
        <w:rPr>
          <w:rFonts w:hint="eastAsia"/>
        </w:rPr>
        <w:t>)</w:t>
      </w:r>
    </w:p>
    <w:p w14:paraId="7B11055E"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R</m:t>
            </m:r>
          </m:e>
          <m:sub>
            <m:r>
              <w:rPr>
                <w:rFonts w:ascii="Cambria Math" w:hAnsi="Cambria Math"/>
              </w:rPr>
              <m:t>K</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応力拡大係数比</w:t>
      </w:r>
      <w:r w:rsidR="00C25C85" w:rsidRPr="00BC31E0">
        <w:rPr>
          <w:rFonts w:hint="eastAsia"/>
        </w:rPr>
        <w:t xml:space="preserve"> (</w:t>
      </w:r>
      <w:r w:rsidR="00C25C85" w:rsidRPr="00BC31E0">
        <w:rPr>
          <w:rFonts w:ascii="ＭＳ ゴシック" w:eastAsia="ＭＳ ゴシック"/>
          <w:b/>
        </w:rPr>
        <w:t>6.4.</w:t>
      </w:r>
      <w:r w:rsidR="00C25C85" w:rsidRPr="00BC31E0">
        <w:rPr>
          <w:rFonts w:ascii="ＭＳ ゴシック" w:eastAsia="ＭＳ ゴシック" w:hint="eastAsia"/>
          <w:b/>
        </w:rPr>
        <w:t>6</w:t>
      </w:r>
      <w:r w:rsidR="00C25C85" w:rsidRPr="00BC31E0">
        <w:rPr>
          <w:rFonts w:asciiTheme="minorEastAsia" w:eastAsiaTheme="minorEastAsia" w:hAnsiTheme="minorEastAsia" w:hint="eastAsia"/>
        </w:rPr>
        <w:t>，</w:t>
      </w:r>
      <w:r w:rsidR="00C25C85" w:rsidRPr="00BC31E0">
        <w:rPr>
          <w:rFonts w:ascii="ＭＳ ゴシック" w:eastAsia="ＭＳ ゴシック" w:hint="eastAsia"/>
          <w:b/>
        </w:rPr>
        <w:t>附属書C 5</w:t>
      </w:r>
      <w:r w:rsidR="00C25C85" w:rsidRPr="00BC31E0">
        <w:rPr>
          <w:rFonts w:hint="eastAsia"/>
        </w:rPr>
        <w:t>)</w:t>
      </w:r>
    </w:p>
    <w:p w14:paraId="5707ED1E"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R</m:t>
            </m:r>
          </m:e>
          <m:sub>
            <m:r>
              <w:rPr>
                <w:rFonts w:ascii="Cambria Math" w:hAnsi="Cambria Math"/>
              </w:rPr>
              <m:t>m</m:t>
            </m:r>
          </m:sub>
        </m:sSub>
      </m:oMath>
      <w:r w:rsidR="00C25C85" w:rsidRPr="00BC31E0">
        <w:rPr>
          <w:rFonts w:hint="eastAsia"/>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鏡又は胴の厚さ中心部の半径</w:t>
      </w:r>
      <w:r w:rsidR="00C25C85" w:rsidRPr="00BC31E0">
        <w:rPr>
          <w:rFonts w:hint="eastAsia"/>
        </w:rPr>
        <w:t>(</w:t>
      </w:r>
      <w:r w:rsidR="00C25C85" w:rsidRPr="00BC31E0">
        <w:rPr>
          <w:rFonts w:ascii="Cambria Math" w:hAnsi="Cambria Math"/>
        </w:rPr>
        <w:t>mm</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b/>
        </w:rPr>
        <w:t>6.7.3</w:t>
      </w:r>
      <w:r w:rsidR="00C25C85" w:rsidRPr="00BC31E0">
        <w:rPr>
          <w:rFonts w:asciiTheme="minorEastAsia" w:eastAsiaTheme="minorEastAsia" w:hAnsiTheme="minorEastAsia" w:hint="eastAsia"/>
        </w:rPr>
        <w:t>，</w:t>
      </w:r>
      <w:r w:rsidR="00C25C85" w:rsidRPr="00BC31E0">
        <w:rPr>
          <w:rFonts w:ascii="ＭＳ ゴシック" w:eastAsia="ＭＳ ゴシック" w:hint="eastAsia"/>
          <w:b/>
        </w:rPr>
        <w:t>附属書J</w:t>
      </w:r>
      <w:r w:rsidR="00C25C85" w:rsidRPr="00BC31E0">
        <w:rPr>
          <w:rFonts w:ascii="ＭＳ ゴシック" w:eastAsia="ＭＳ ゴシック"/>
          <w:b/>
        </w:rPr>
        <w:t xml:space="preserve"> 1</w:t>
      </w:r>
      <w:r w:rsidR="00C25C85" w:rsidRPr="00BC31E0">
        <w:rPr>
          <w:rFonts w:hint="eastAsia"/>
        </w:rPr>
        <w:t>)</w:t>
      </w:r>
    </w:p>
    <w:p w14:paraId="66208F68" w14:textId="77777777" w:rsidR="00C25C85" w:rsidRPr="00BC31E0" w:rsidRDefault="00C25C85" w:rsidP="008234D1">
      <w:pPr>
        <w:tabs>
          <w:tab w:val="left" w:pos="1276"/>
        </w:tabs>
        <w:autoSpaceDE w:val="0"/>
        <w:autoSpaceDN w:val="0"/>
        <w:ind w:left="1588" w:hanging="1021"/>
      </w:pPr>
      <w:r w:rsidRPr="00BC31E0">
        <w:rPr>
          <w:rFonts w:hint="eastAsia"/>
        </w:rPr>
        <w:tab/>
      </w:r>
      <w:r w:rsidRPr="00BC31E0">
        <w:rPr>
          <w:rFonts w:hint="eastAsia"/>
        </w:rPr>
        <w:t>：</w:t>
      </w:r>
      <w:r w:rsidRPr="00BC31E0">
        <w:rPr>
          <w:rFonts w:hint="eastAsia"/>
        </w:rPr>
        <w:t xml:space="preserve"> </w:t>
      </w:r>
      <w:r w:rsidRPr="00BC31E0">
        <w:rPr>
          <w:rFonts w:hint="eastAsia"/>
        </w:rPr>
        <w:t>ノズルの厚さ中心部の半径</w:t>
      </w:r>
      <w:r w:rsidRPr="00BC31E0">
        <w:rPr>
          <w:rFonts w:hint="eastAsia"/>
        </w:rPr>
        <w:t>(</w:t>
      </w:r>
      <w:r w:rsidRPr="00BC31E0">
        <w:rPr>
          <w:rFonts w:ascii="Cambria Math" w:hAnsi="Cambria Math"/>
        </w:rPr>
        <w:t>mm</w:t>
      </w:r>
      <w:r w:rsidRPr="00BC31E0">
        <w:rPr>
          <w:rFonts w:hint="eastAsia"/>
        </w:rPr>
        <w:t>) (</w:t>
      </w:r>
      <w:r w:rsidRPr="00BC31E0">
        <w:rPr>
          <w:rFonts w:ascii="ＭＳ ゴシック" w:eastAsia="ＭＳ ゴシック" w:hint="eastAsia"/>
          <w:b/>
        </w:rPr>
        <w:t>附属書E 6</w:t>
      </w:r>
      <w:r w:rsidRPr="00BC31E0">
        <w:rPr>
          <w:rFonts w:hint="eastAsia"/>
        </w:rPr>
        <w:t>)</w:t>
      </w:r>
    </w:p>
    <w:p w14:paraId="0A2A7E1F" w14:textId="77777777" w:rsidR="00C25C85" w:rsidRPr="00BC31E0" w:rsidRDefault="00C25C85" w:rsidP="008234D1">
      <w:pPr>
        <w:tabs>
          <w:tab w:val="left" w:pos="1276"/>
        </w:tabs>
        <w:autoSpaceDE w:val="0"/>
        <w:autoSpaceDN w:val="0"/>
        <w:ind w:left="1588" w:hanging="1021"/>
      </w:pPr>
      <w:r w:rsidRPr="00BC31E0">
        <w:rPr>
          <w:rFonts w:hint="eastAsia"/>
        </w:rPr>
        <w:tab/>
      </w:r>
      <w:r w:rsidRPr="00BC31E0">
        <w:rPr>
          <w:rFonts w:hint="eastAsia"/>
        </w:rPr>
        <w:t>：</w:t>
      </w:r>
      <w:r w:rsidRPr="00BC31E0">
        <w:rPr>
          <w:rFonts w:hint="eastAsia"/>
        </w:rPr>
        <w:t xml:space="preserve"> </w:t>
      </w:r>
      <w:r w:rsidRPr="00BC31E0">
        <w:rPr>
          <w:rFonts w:hint="eastAsia"/>
        </w:rPr>
        <w:t>平均半径</w:t>
      </w:r>
      <w:r w:rsidRPr="00BC31E0">
        <w:rPr>
          <w:rFonts w:hint="eastAsia"/>
        </w:rPr>
        <w:t>(</w:t>
      </w:r>
      <w:r w:rsidRPr="00BC31E0">
        <w:rPr>
          <w:rFonts w:ascii="Cambria Math" w:hAnsi="Cambria Math"/>
        </w:rPr>
        <w:t>mm</w:t>
      </w:r>
      <w:r w:rsidRPr="00BC31E0">
        <w:rPr>
          <w:rFonts w:hint="eastAsia"/>
        </w:rPr>
        <w:t>) (</w:t>
      </w:r>
      <w:r w:rsidRPr="00BC31E0">
        <w:rPr>
          <w:rFonts w:ascii="ＭＳ ゴシック" w:eastAsia="ＭＳ ゴシック" w:hint="eastAsia"/>
          <w:b/>
        </w:rPr>
        <w:t>9.2.3</w:t>
      </w:r>
      <w:r w:rsidRPr="00BC31E0">
        <w:rPr>
          <w:rFonts w:hint="eastAsia"/>
        </w:rPr>
        <w:t>)</w:t>
      </w:r>
    </w:p>
    <w:p w14:paraId="1B352FF9"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R</m:t>
            </m:r>
          </m:e>
          <m:sub>
            <m:r>
              <w:rPr>
                <w:rFonts w:ascii="Cambria Math" w:hAnsi="Cambria Math"/>
              </w:rPr>
              <m:t>O</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容器の外半径</w:t>
      </w:r>
      <w:r w:rsidR="00C25C85" w:rsidRPr="00BC31E0">
        <w:rPr>
          <w:rFonts w:hint="eastAsia"/>
        </w:rPr>
        <w:t>(</w:t>
      </w:r>
      <w:r w:rsidR="00C25C85" w:rsidRPr="00BC31E0">
        <w:rPr>
          <w:rFonts w:ascii="Cambria Math" w:hAnsi="Cambria Math"/>
        </w:rPr>
        <w:t>mm</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b/>
        </w:rPr>
        <w:t>7.8.3</w:t>
      </w:r>
      <w:r w:rsidR="00C25C85" w:rsidRPr="00BC31E0">
        <w:rPr>
          <w:rFonts w:ascii="ＭＳ 明朝" w:hAnsi="ＭＳ 明朝" w:hint="eastAsia"/>
        </w:rPr>
        <w:t>，</w:t>
      </w:r>
      <w:r w:rsidR="00C25C85" w:rsidRPr="00BC31E0">
        <w:rPr>
          <w:rFonts w:ascii="ＭＳ ゴシック" w:eastAsia="ＭＳ ゴシック" w:hint="eastAsia"/>
          <w:b/>
        </w:rPr>
        <w:t xml:space="preserve">附属書C 図 </w:t>
      </w:r>
      <w:r w:rsidR="00C25C85" w:rsidRPr="00BC31E0">
        <w:rPr>
          <w:rFonts w:ascii="ＭＳ ゴシック" w:eastAsia="ＭＳ ゴシック"/>
          <w:b/>
        </w:rPr>
        <w:t>C.1</w:t>
      </w:r>
      <w:r w:rsidR="00C25C85" w:rsidRPr="00BC31E0">
        <w:rPr>
          <w:rFonts w:hint="eastAsia"/>
        </w:rPr>
        <w:t>)</w:t>
      </w:r>
    </w:p>
    <w:p w14:paraId="627E2C96"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R</m:t>
            </m:r>
          </m:e>
          <m:sub>
            <m:r>
              <w:rPr>
                <w:rFonts w:ascii="Cambria Math" w:hAnsi="Cambria Math"/>
              </w:rPr>
              <m:t>o</m:t>
            </m:r>
          </m:sub>
        </m:sSub>
      </m:oMath>
      <w:r w:rsidR="00C25C85" w:rsidRPr="00BC31E0">
        <w:rPr>
          <w:rFonts w:hint="eastAsia"/>
        </w:rPr>
        <w:tab/>
      </w:r>
      <w:r w:rsidR="00C25C85" w:rsidRPr="00BC31E0">
        <w:rPr>
          <w:rFonts w:hint="eastAsia"/>
        </w:rPr>
        <w:t>：</w:t>
      </w:r>
      <w:r w:rsidR="00C25C85" w:rsidRPr="00BC31E0">
        <w:rPr>
          <w:rFonts w:hint="eastAsia"/>
        </w:rPr>
        <w:t xml:space="preserve"> </w:t>
      </w:r>
      <w:r w:rsidR="00C25C85" w:rsidRPr="00BC31E0">
        <w:rPr>
          <w:rFonts w:hint="eastAsia"/>
        </w:rPr>
        <w:t>成形前の成形される板の中央面の半径</w:t>
      </w:r>
      <w:r w:rsidR="00C25C85" w:rsidRPr="00BC31E0">
        <w:rPr>
          <w:rFonts w:hint="eastAsia"/>
        </w:rPr>
        <w:t>(</w:t>
      </w:r>
      <w:r w:rsidR="00C25C85" w:rsidRPr="00BC31E0">
        <w:rPr>
          <w:rFonts w:ascii="Cambria Math" w:hAnsi="Cambria Math"/>
        </w:rPr>
        <w:t>mm</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b/>
        </w:rPr>
        <w:t>7.6.1</w:t>
      </w:r>
      <w:r w:rsidR="00C25C85" w:rsidRPr="00BC31E0">
        <w:rPr>
          <w:rFonts w:hint="eastAsia"/>
        </w:rPr>
        <w:t>)</w:t>
      </w:r>
    </w:p>
    <w:p w14:paraId="1D815B20" w14:textId="77777777" w:rsidR="00C25C85" w:rsidRPr="00BC31E0" w:rsidRDefault="00C25C85" w:rsidP="008234D1">
      <w:pPr>
        <w:tabs>
          <w:tab w:val="left" w:pos="1276"/>
        </w:tabs>
        <w:autoSpaceDE w:val="0"/>
        <w:autoSpaceDN w:val="0"/>
        <w:ind w:left="1588" w:hanging="1021"/>
      </w:pPr>
      <m:oMath>
        <m:r>
          <w:rPr>
            <w:rFonts w:ascii="Cambria Math" w:hAnsi="Cambria Math"/>
          </w:rPr>
          <w:lastRenderedPageBreak/>
          <m:t>r</m:t>
        </m:r>
      </m:oMath>
      <w:r w:rsidRPr="00BC31E0">
        <w:rPr>
          <w:i/>
          <w:szCs w:val="24"/>
        </w:rPr>
        <w:tab/>
      </w:r>
      <w:r w:rsidRPr="00BC31E0">
        <w:rPr>
          <w:rFonts w:hint="eastAsia"/>
        </w:rPr>
        <w:t>：</w:t>
      </w:r>
      <w:r w:rsidRPr="00BC31E0">
        <w:rPr>
          <w:rFonts w:hint="eastAsia"/>
        </w:rPr>
        <w:t xml:space="preserve"> </w:t>
      </w:r>
      <w:r w:rsidRPr="00BC31E0">
        <w:rPr>
          <w:rFonts w:hint="eastAsia"/>
        </w:rPr>
        <w:t>管板又は平鏡のすみの丸みの半径</w:t>
      </w:r>
      <w:r w:rsidRPr="00BC31E0">
        <w:rPr>
          <w:rFonts w:hint="eastAsia"/>
        </w:rPr>
        <w:t>(</w:t>
      </w:r>
      <w:r w:rsidRPr="00BC31E0">
        <w:rPr>
          <w:rFonts w:ascii="Cambria Math" w:hAnsi="Cambria Math"/>
        </w:rPr>
        <w:t>mm</w:t>
      </w:r>
      <w:r w:rsidRPr="00BC31E0">
        <w:rPr>
          <w:rFonts w:hint="eastAsia"/>
        </w:rPr>
        <w:t>)</w:t>
      </w:r>
      <w:r w:rsidRPr="00BC31E0">
        <w:rPr>
          <w:rFonts w:hint="eastAsia"/>
          <w:position w:val="-6"/>
        </w:rPr>
        <w:t xml:space="preserve"> </w:t>
      </w:r>
      <w:r w:rsidRPr="00BC31E0">
        <w:rPr>
          <w:rFonts w:hint="eastAsia"/>
        </w:rPr>
        <w:t>(</w:t>
      </w:r>
      <w:r w:rsidRPr="00BC31E0">
        <w:rPr>
          <w:rFonts w:ascii="ＭＳ ゴシック" w:eastAsia="ＭＳ ゴシック" w:hint="eastAsia"/>
          <w:b/>
        </w:rPr>
        <w:t>図</w:t>
      </w:r>
      <w:r w:rsidRPr="00BC31E0">
        <w:rPr>
          <w:rFonts w:ascii="ＭＳ ゴシック" w:eastAsia="ＭＳ ゴシック"/>
          <w:b/>
        </w:rPr>
        <w:t>6.8.3</w:t>
      </w:r>
      <w:r w:rsidRPr="00BC31E0">
        <w:rPr>
          <w:rFonts w:hint="eastAsia"/>
        </w:rPr>
        <w:t>，</w:t>
      </w:r>
      <w:r w:rsidRPr="00BC31E0">
        <w:rPr>
          <w:rFonts w:ascii="ＭＳ ゴシック" w:eastAsia="ＭＳ ゴシック" w:hint="eastAsia"/>
          <w:b/>
        </w:rPr>
        <w:t>図</w:t>
      </w:r>
      <w:r w:rsidRPr="00BC31E0">
        <w:rPr>
          <w:rFonts w:ascii="ＭＳ ゴシック" w:eastAsia="ＭＳ ゴシック"/>
          <w:b/>
        </w:rPr>
        <w:t>6.10.1</w:t>
      </w:r>
      <w:r w:rsidRPr="00BC31E0">
        <w:rPr>
          <w:rFonts w:hint="eastAsia"/>
        </w:rPr>
        <w:t>)</w:t>
      </w:r>
    </w:p>
    <w:p w14:paraId="06918BEF" w14:textId="77777777" w:rsidR="00C25C85" w:rsidRPr="00BC31E0" w:rsidRDefault="00C25C85" w:rsidP="008234D1">
      <w:pPr>
        <w:tabs>
          <w:tab w:val="left" w:pos="1276"/>
        </w:tabs>
        <w:autoSpaceDE w:val="0"/>
        <w:autoSpaceDN w:val="0"/>
        <w:ind w:left="1588" w:hanging="1021"/>
      </w:pPr>
      <w:r w:rsidRPr="00BC31E0">
        <w:tab/>
      </w:r>
      <w:r w:rsidRPr="00BC31E0">
        <w:rPr>
          <w:rFonts w:hint="eastAsia"/>
        </w:rPr>
        <w:t>：</w:t>
      </w:r>
      <w:r w:rsidRPr="00BC31E0">
        <w:rPr>
          <w:rFonts w:hint="eastAsia"/>
        </w:rPr>
        <w:t xml:space="preserve"> </w:t>
      </w:r>
      <w:r w:rsidRPr="00BC31E0">
        <w:rPr>
          <w:rFonts w:hint="eastAsia"/>
        </w:rPr>
        <w:t>クランプとハブ断面のコーナー半径</w:t>
      </w:r>
      <w:r w:rsidRPr="00BC31E0">
        <w:rPr>
          <w:rFonts w:hint="eastAsia"/>
        </w:rPr>
        <w:t>(</w:t>
      </w:r>
      <w:r w:rsidRPr="00BC31E0">
        <w:rPr>
          <w:rFonts w:ascii="Cambria Math" w:hAnsi="Cambria Math"/>
        </w:rPr>
        <w:t>mm</w:t>
      </w:r>
      <w:r w:rsidRPr="00BC31E0">
        <w:rPr>
          <w:rFonts w:hint="eastAsia"/>
        </w:rPr>
        <w:t>)</w:t>
      </w:r>
      <w:r w:rsidRPr="00BC31E0">
        <w:rPr>
          <w:rFonts w:hint="eastAsia"/>
          <w:position w:val="-6"/>
        </w:rPr>
        <w:t xml:space="preserve"> </w:t>
      </w:r>
      <w:r w:rsidRPr="00BC31E0">
        <w:rPr>
          <w:rFonts w:hint="eastAsia"/>
        </w:rPr>
        <w:t>(</w:t>
      </w:r>
      <w:r w:rsidRPr="00BC31E0">
        <w:rPr>
          <w:rFonts w:ascii="ＭＳ ゴシック" w:eastAsia="ＭＳ ゴシック" w:hint="eastAsia"/>
          <w:b/>
        </w:rPr>
        <w:t>附属書</w:t>
      </w:r>
      <w:r w:rsidRPr="00BC31E0">
        <w:rPr>
          <w:rFonts w:ascii="ＭＳ ゴシック" w:eastAsia="ＭＳ ゴシック"/>
          <w:b/>
        </w:rPr>
        <w:t>H 3</w:t>
      </w:r>
      <w:r w:rsidRPr="00BC31E0">
        <w:rPr>
          <w:rFonts w:hint="eastAsia"/>
        </w:rPr>
        <w:t>)</w:t>
      </w:r>
    </w:p>
    <w:p w14:paraId="18B1F0DF" w14:textId="77777777" w:rsidR="00C25C85" w:rsidRPr="00BC31E0" w:rsidRDefault="00C25C85" w:rsidP="008234D1">
      <w:pPr>
        <w:tabs>
          <w:tab w:val="left" w:pos="1276"/>
        </w:tabs>
        <w:autoSpaceDE w:val="0"/>
        <w:autoSpaceDN w:val="0"/>
        <w:ind w:left="1588" w:hanging="1021"/>
      </w:pPr>
      <w:r w:rsidRPr="00BC31E0">
        <w:tab/>
      </w:r>
      <w:r w:rsidRPr="00BC31E0">
        <w:rPr>
          <w:rFonts w:hint="eastAsia"/>
        </w:rPr>
        <w:t>：</w:t>
      </w:r>
      <w:r w:rsidRPr="00BC31E0">
        <w:rPr>
          <w:rFonts w:hint="eastAsia"/>
        </w:rPr>
        <w:t xml:space="preserve"> </w:t>
      </w:r>
      <w:r w:rsidRPr="00BC31E0">
        <w:rPr>
          <w:rFonts w:hint="eastAsia"/>
        </w:rPr>
        <w:t>ノズルの内半径</w:t>
      </w:r>
      <w:r w:rsidRPr="00BC31E0">
        <w:rPr>
          <w:rFonts w:hint="eastAsia"/>
        </w:rPr>
        <w:t>(</w:t>
      </w:r>
      <w:r w:rsidRPr="00BC31E0">
        <w:rPr>
          <w:rFonts w:ascii="Cambria Math" w:hAnsi="Cambria Math"/>
        </w:rPr>
        <w:t>mm</w:t>
      </w:r>
      <w:r w:rsidRPr="00BC31E0">
        <w:rPr>
          <w:rFonts w:hint="eastAsia"/>
        </w:rPr>
        <w:t>)</w:t>
      </w:r>
      <w:r w:rsidRPr="00BC31E0">
        <w:rPr>
          <w:rFonts w:hint="eastAsia"/>
          <w:position w:val="-6"/>
        </w:rPr>
        <w:t xml:space="preserve"> </w:t>
      </w:r>
      <w:r w:rsidRPr="00BC31E0">
        <w:rPr>
          <w:rFonts w:hint="eastAsia"/>
        </w:rPr>
        <w:t>(</w:t>
      </w:r>
      <w:r w:rsidRPr="00BC31E0">
        <w:rPr>
          <w:rFonts w:ascii="ＭＳ ゴシック" w:eastAsia="ＭＳ ゴシック" w:hint="eastAsia"/>
          <w:b/>
        </w:rPr>
        <w:t>附属書</w:t>
      </w:r>
      <w:r w:rsidRPr="00BC31E0">
        <w:rPr>
          <w:rFonts w:ascii="ＭＳ ゴシック" w:eastAsia="ＭＳ ゴシック"/>
          <w:b/>
        </w:rPr>
        <w:t>E</w:t>
      </w:r>
      <w:r w:rsidRPr="00BC31E0">
        <w:rPr>
          <w:rFonts w:ascii="ＭＳ ゴシック" w:eastAsia="ＭＳ ゴシック" w:hint="eastAsia"/>
          <w:b/>
        </w:rPr>
        <w:t xml:space="preserve"> 図</w:t>
      </w:r>
      <w:r w:rsidRPr="00BC31E0">
        <w:rPr>
          <w:rFonts w:ascii="ＭＳ ゴシック" w:eastAsia="ＭＳ ゴシック"/>
          <w:b/>
        </w:rPr>
        <w:t>E.2</w:t>
      </w:r>
      <w:r w:rsidRPr="00BC31E0">
        <w:rPr>
          <w:rFonts w:hint="eastAsia"/>
        </w:rPr>
        <w:t>)</w:t>
      </w:r>
    </w:p>
    <w:p w14:paraId="7D725275"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r</m:t>
            </m:r>
          </m:e>
          <m:sub>
            <m:r>
              <w:rPr>
                <w:rFonts w:ascii="Cambria Math" w:hAnsi="Cambria Math"/>
              </w:rPr>
              <m:t>c</m:t>
            </m:r>
          </m:sub>
        </m:sSub>
      </m:oMath>
      <w:r w:rsidR="00C25C85" w:rsidRPr="00BC31E0">
        <w:rPr>
          <w:i/>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クランプ内側コーナー半径</w:t>
      </w:r>
      <w:r w:rsidR="00C25C85" w:rsidRPr="00BC31E0">
        <w:rPr>
          <w:rFonts w:hint="eastAsia"/>
        </w:rPr>
        <w:t>(</w:t>
      </w:r>
      <w:r w:rsidR="00C25C85" w:rsidRPr="00BC31E0">
        <w:rPr>
          <w:rFonts w:ascii="Cambria Math" w:hAnsi="Cambria Math"/>
        </w:rPr>
        <w:t>mm</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hint="eastAsia"/>
          <w:b/>
        </w:rPr>
        <w:t>附属書</w:t>
      </w:r>
      <w:r w:rsidR="00C25C85" w:rsidRPr="00BC31E0">
        <w:rPr>
          <w:rFonts w:ascii="ＭＳ ゴシック" w:eastAsia="ＭＳ ゴシック"/>
          <w:b/>
        </w:rPr>
        <w:t>H 3</w:t>
      </w:r>
      <w:r w:rsidR="00C25C85" w:rsidRPr="00BC31E0">
        <w:rPr>
          <w:rFonts w:hint="eastAsia"/>
        </w:rPr>
        <w:t>)</w:t>
      </w:r>
    </w:p>
    <w:p w14:paraId="25D23C3B"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r</m:t>
            </m:r>
          </m:e>
          <m:sub>
            <m:r>
              <w:rPr>
                <w:rFonts w:ascii="Cambria Math" w:hAnsi="Cambria Math"/>
              </w:rPr>
              <m:t>h</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ハブ外側コーナー半径</w:t>
      </w:r>
      <w:r w:rsidR="00C25C85" w:rsidRPr="00BC31E0">
        <w:rPr>
          <w:rFonts w:hint="eastAsia"/>
        </w:rPr>
        <w:t>(</w:t>
      </w:r>
      <w:r w:rsidR="00C25C85" w:rsidRPr="00BC31E0">
        <w:rPr>
          <w:rFonts w:ascii="Cambria Math" w:hAnsi="Cambria Math"/>
        </w:rPr>
        <w:t>mm</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hint="eastAsia"/>
          <w:b/>
        </w:rPr>
        <w:t>附属書</w:t>
      </w:r>
      <w:r w:rsidR="00C25C85" w:rsidRPr="00BC31E0">
        <w:rPr>
          <w:rFonts w:ascii="ＭＳ ゴシック" w:eastAsia="ＭＳ ゴシック"/>
          <w:b/>
        </w:rPr>
        <w:t>H 3</w:t>
      </w:r>
      <w:r w:rsidR="00C25C85" w:rsidRPr="00BC31E0">
        <w:rPr>
          <w:rFonts w:hint="eastAsia"/>
        </w:rPr>
        <w:t>)</w:t>
      </w:r>
    </w:p>
    <w:p w14:paraId="0D5D624D"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r</m:t>
            </m:r>
          </m:e>
          <m:sub>
            <m:r>
              <w:rPr>
                <w:rFonts w:ascii="Cambria Math" w:hAnsi="Cambria Math"/>
              </w:rPr>
              <m:t>m</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ノズルの平均径</w:t>
      </w:r>
      <w:r w:rsidR="00C25C85" w:rsidRPr="00BC31E0">
        <w:rPr>
          <w:rFonts w:hint="eastAsia"/>
        </w:rPr>
        <w:t>(</w:t>
      </w:r>
      <w:r w:rsidR="00C25C85" w:rsidRPr="00BC31E0">
        <w:rPr>
          <w:rFonts w:ascii="Cambria Math" w:hAnsi="Cambria Math"/>
        </w:rPr>
        <w:t>mm</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hint="eastAsia"/>
          <w:b/>
        </w:rPr>
        <w:t>附属書</w:t>
      </w:r>
      <w:r w:rsidR="00C25C85" w:rsidRPr="00BC31E0">
        <w:rPr>
          <w:rFonts w:ascii="ＭＳ ゴシック" w:eastAsia="ＭＳ ゴシック"/>
          <w:b/>
        </w:rPr>
        <w:t>E</w:t>
      </w:r>
      <w:r w:rsidR="00C25C85" w:rsidRPr="00BC31E0">
        <w:rPr>
          <w:rFonts w:ascii="ＭＳ ゴシック" w:eastAsia="ＭＳ ゴシック" w:hint="eastAsia"/>
          <w:b/>
        </w:rPr>
        <w:t xml:space="preserve"> 図</w:t>
      </w:r>
      <w:r w:rsidR="00C25C85" w:rsidRPr="00BC31E0">
        <w:rPr>
          <w:rFonts w:ascii="ＭＳ ゴシック" w:eastAsia="ＭＳ ゴシック"/>
          <w:b/>
        </w:rPr>
        <w:t>E.2</w:t>
      </w:r>
      <w:r w:rsidR="00C25C85" w:rsidRPr="00BC31E0">
        <w:rPr>
          <w:rFonts w:hint="eastAsia"/>
        </w:rPr>
        <w:t>)</w:t>
      </w:r>
    </w:p>
    <w:p w14:paraId="5290E6A8"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r</m:t>
            </m:r>
          </m:e>
          <m:sub>
            <m:r>
              <w:rPr>
                <w:rFonts w:ascii="Cambria Math" w:hAnsi="Cambria Math"/>
              </w:rPr>
              <m:t>2</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ノズルと容器の外面との接続半径</w:t>
      </w:r>
      <w:r w:rsidR="00C25C85" w:rsidRPr="00BC31E0">
        <w:rPr>
          <w:rFonts w:hint="eastAsia"/>
        </w:rPr>
        <w:t>(</w:t>
      </w:r>
      <w:r w:rsidR="00C25C85" w:rsidRPr="00BC31E0">
        <w:rPr>
          <w:rFonts w:ascii="Cambria Math" w:hAnsi="Cambria Math"/>
        </w:rPr>
        <w:t>mm</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hint="eastAsia"/>
          <w:b/>
        </w:rPr>
        <w:t>附属書</w:t>
      </w:r>
      <w:r w:rsidR="00C25C85" w:rsidRPr="00BC31E0">
        <w:rPr>
          <w:rFonts w:ascii="ＭＳ ゴシック" w:eastAsia="ＭＳ ゴシック"/>
          <w:b/>
        </w:rPr>
        <w:t>E</w:t>
      </w:r>
      <w:r w:rsidR="00C25C85" w:rsidRPr="00BC31E0">
        <w:rPr>
          <w:rFonts w:ascii="ＭＳ ゴシック" w:eastAsia="ＭＳ ゴシック" w:hint="eastAsia"/>
          <w:b/>
        </w:rPr>
        <w:t xml:space="preserve"> 図</w:t>
      </w:r>
      <w:r w:rsidR="00C25C85" w:rsidRPr="00BC31E0">
        <w:rPr>
          <w:rFonts w:ascii="ＭＳ ゴシック" w:eastAsia="ＭＳ ゴシック"/>
          <w:b/>
        </w:rPr>
        <w:t>E.2</w:t>
      </w:r>
      <w:r w:rsidR="00C25C85" w:rsidRPr="00BC31E0">
        <w:rPr>
          <w:rFonts w:hint="eastAsia"/>
        </w:rPr>
        <w:t>)</w:t>
      </w:r>
    </w:p>
    <w:p w14:paraId="1BEDAE33" w14:textId="77777777" w:rsidR="00C25C85" w:rsidRPr="00BC31E0" w:rsidRDefault="00C25C85" w:rsidP="008234D1">
      <w:pPr>
        <w:tabs>
          <w:tab w:val="left" w:pos="1275"/>
        </w:tabs>
        <w:autoSpaceDE w:val="0"/>
        <w:autoSpaceDN w:val="0"/>
        <w:ind w:left="1588" w:hanging="1021"/>
      </w:pPr>
      <m:oMath>
        <m:r>
          <w:rPr>
            <w:rFonts w:ascii="Cambria Math" w:hAnsi="Cambria Math"/>
          </w:rPr>
          <m:t>S</m:t>
        </m:r>
      </m:oMath>
      <w:r w:rsidRPr="00BC31E0">
        <w:rPr>
          <w:szCs w:val="24"/>
        </w:rPr>
        <w:tab/>
      </w:r>
      <w:r w:rsidRPr="00BC31E0">
        <w:rPr>
          <w:rFonts w:hint="eastAsia"/>
        </w:rPr>
        <w:t>：</w:t>
      </w:r>
      <w:r w:rsidRPr="00BC31E0">
        <w:rPr>
          <w:rFonts w:hint="eastAsia"/>
        </w:rPr>
        <w:t xml:space="preserve"> </w:t>
      </w:r>
      <w:r w:rsidRPr="00BC31E0">
        <w:rPr>
          <w:rFonts w:hint="eastAsia"/>
        </w:rPr>
        <w:t>平均一次相当応力</w:t>
      </w:r>
      <w:r w:rsidRPr="00BC31E0">
        <w:rPr>
          <w:rFonts w:hint="eastAsia"/>
        </w:rPr>
        <w:t>(</w:t>
      </w:r>
      <w:r w:rsidRPr="00BC31E0">
        <w:rPr>
          <w:rFonts w:ascii="Cambria Math" w:hAnsi="Cambria Math"/>
        </w:rPr>
        <w:t>MPa</w:t>
      </w:r>
      <w:r w:rsidRPr="00BC31E0">
        <w:rPr>
          <w:rFonts w:hint="eastAsia"/>
        </w:rPr>
        <w:t>)</w:t>
      </w:r>
      <w:r w:rsidRPr="00BC31E0">
        <w:rPr>
          <w:rFonts w:hint="eastAsia"/>
          <w:position w:val="-6"/>
        </w:rPr>
        <w:t xml:space="preserve"> </w:t>
      </w:r>
      <w:r w:rsidRPr="00BC31E0">
        <w:rPr>
          <w:rFonts w:hint="eastAsia"/>
        </w:rPr>
        <w:t>(</w:t>
      </w:r>
      <w:r w:rsidRPr="00BC31E0">
        <w:rPr>
          <w:rFonts w:ascii="ＭＳ ゴシック" w:eastAsia="ＭＳ ゴシック" w:hint="eastAsia"/>
          <w:b/>
        </w:rPr>
        <w:t>6.6.3，附属書J</w:t>
      </w:r>
      <w:r w:rsidRPr="00BC31E0">
        <w:rPr>
          <w:rFonts w:ascii="ＭＳ ゴシック" w:eastAsia="ＭＳ ゴシック"/>
          <w:b/>
        </w:rPr>
        <w:t xml:space="preserve"> 2</w:t>
      </w:r>
      <w:r w:rsidRPr="00BC31E0">
        <w:rPr>
          <w:rFonts w:hint="eastAsia"/>
        </w:rPr>
        <w:t>)</w:t>
      </w:r>
    </w:p>
    <w:p w14:paraId="084094FA" w14:textId="77777777" w:rsidR="00C25C85" w:rsidRPr="00BC31E0" w:rsidRDefault="00C25C85" w:rsidP="008234D1">
      <w:pPr>
        <w:tabs>
          <w:tab w:val="left" w:pos="1275"/>
        </w:tabs>
        <w:autoSpaceDE w:val="0"/>
        <w:autoSpaceDN w:val="0"/>
        <w:ind w:left="1588" w:hanging="1021"/>
      </w:pPr>
      <w:r w:rsidRPr="00BC31E0">
        <w:rPr>
          <w:rFonts w:hint="eastAsia"/>
        </w:rPr>
        <w:tab/>
      </w:r>
      <w:r w:rsidRPr="00BC31E0">
        <w:rPr>
          <w:rFonts w:hint="eastAsia"/>
        </w:rPr>
        <w:t>：</w:t>
      </w:r>
      <w:r w:rsidRPr="00BC31E0">
        <w:rPr>
          <w:rFonts w:hint="eastAsia"/>
        </w:rPr>
        <w:t xml:space="preserve"> </w:t>
      </w:r>
      <w:r w:rsidRPr="00BC31E0">
        <w:rPr>
          <w:rFonts w:hint="eastAsia"/>
        </w:rPr>
        <w:t>ミーゼスの相当応力</w:t>
      </w:r>
      <w:r w:rsidRPr="00BC31E0">
        <w:rPr>
          <w:rFonts w:hint="eastAsia"/>
        </w:rPr>
        <w:t>(</w:t>
      </w:r>
      <w:r w:rsidRPr="00BC31E0">
        <w:rPr>
          <w:rFonts w:ascii="Cambria Math" w:hAnsi="Cambria Math"/>
        </w:rPr>
        <w:t>MPa</w:t>
      </w:r>
      <w:r w:rsidRPr="00BC31E0">
        <w:rPr>
          <w:rFonts w:hint="eastAsia"/>
        </w:rPr>
        <w:t>)</w:t>
      </w:r>
      <w:r w:rsidRPr="00BC31E0">
        <w:rPr>
          <w:rFonts w:hint="eastAsia"/>
          <w:position w:val="-6"/>
        </w:rPr>
        <w:t xml:space="preserve"> </w:t>
      </w:r>
      <w:r w:rsidRPr="00BC31E0">
        <w:rPr>
          <w:rFonts w:hint="eastAsia"/>
        </w:rPr>
        <w:t>(</w:t>
      </w:r>
      <w:r w:rsidRPr="00BC31E0">
        <w:rPr>
          <w:rFonts w:ascii="ＭＳ ゴシック" w:eastAsia="ＭＳ ゴシック" w:hint="eastAsia"/>
          <w:b/>
        </w:rPr>
        <w:t>附属書J</w:t>
      </w:r>
      <w:r w:rsidRPr="00BC31E0">
        <w:rPr>
          <w:rFonts w:ascii="ＭＳ ゴシック" w:eastAsia="ＭＳ ゴシック"/>
          <w:b/>
        </w:rPr>
        <w:t xml:space="preserve"> </w:t>
      </w:r>
      <w:r w:rsidRPr="00BC31E0">
        <w:rPr>
          <w:rFonts w:ascii="ＭＳ ゴシック" w:eastAsia="ＭＳ ゴシック" w:hint="eastAsia"/>
          <w:b/>
        </w:rPr>
        <w:t>1</w:t>
      </w:r>
      <w:r w:rsidRPr="00BC31E0">
        <w:rPr>
          <w:rFonts w:asciiTheme="minorEastAsia" w:eastAsiaTheme="minorEastAsia" w:hAnsiTheme="minorEastAsia" w:hint="eastAsia"/>
        </w:rPr>
        <w:t>，</w:t>
      </w:r>
      <w:r w:rsidRPr="00BC31E0">
        <w:rPr>
          <w:rFonts w:ascii="ＭＳ ゴシック" w:eastAsia="ＭＳ ゴシック" w:hint="eastAsia"/>
          <w:b/>
        </w:rPr>
        <w:t>附属書J 2</w:t>
      </w:r>
      <w:r w:rsidRPr="00BC31E0">
        <w:rPr>
          <w:rFonts w:hint="eastAsia"/>
        </w:rPr>
        <w:t>)</w:t>
      </w:r>
    </w:p>
    <w:p w14:paraId="309FE202" w14:textId="77777777" w:rsidR="00C25C85" w:rsidRPr="00BC31E0" w:rsidRDefault="00C25C85" w:rsidP="008234D1">
      <w:pPr>
        <w:tabs>
          <w:tab w:val="left" w:pos="1276"/>
        </w:tabs>
        <w:autoSpaceDE w:val="0"/>
        <w:autoSpaceDN w:val="0"/>
        <w:ind w:left="1588" w:hanging="1021"/>
      </w:pPr>
      <w:r w:rsidRPr="00BC31E0">
        <w:rPr>
          <w:rFonts w:hint="eastAsia"/>
        </w:rPr>
        <w:tab/>
      </w:r>
      <w:r w:rsidRPr="00BC31E0">
        <w:rPr>
          <w:rFonts w:hint="eastAsia"/>
        </w:rPr>
        <w:t>：</w:t>
      </w:r>
      <w:r w:rsidRPr="00BC31E0">
        <w:rPr>
          <w:rFonts w:hint="eastAsia"/>
        </w:rPr>
        <w:t xml:space="preserve"> </w:t>
      </w:r>
      <w:r w:rsidRPr="00BC31E0">
        <w:rPr>
          <w:rFonts w:hint="eastAsia"/>
        </w:rPr>
        <w:t>コーナー部の応力強さ</w:t>
      </w:r>
      <w:r w:rsidRPr="00BC31E0">
        <w:rPr>
          <w:rFonts w:hint="eastAsia"/>
        </w:rPr>
        <w:t>(</w:t>
      </w:r>
      <w:r w:rsidRPr="00BC31E0">
        <w:rPr>
          <w:rFonts w:ascii="Cambria Math" w:hAnsi="Cambria Math"/>
        </w:rPr>
        <w:t>MPa</w:t>
      </w:r>
      <w:r w:rsidRPr="00BC31E0">
        <w:rPr>
          <w:rFonts w:hint="eastAsia"/>
        </w:rPr>
        <w:t>) (</w:t>
      </w:r>
      <w:r w:rsidRPr="00BC31E0">
        <w:rPr>
          <w:rFonts w:ascii="ＭＳ ゴシック" w:eastAsia="ＭＳ ゴシック" w:hint="eastAsia"/>
          <w:b/>
        </w:rPr>
        <w:t>附属書G 2.1</w:t>
      </w:r>
      <w:r w:rsidRPr="00BC31E0">
        <w:rPr>
          <w:rFonts w:hint="eastAsia"/>
        </w:rPr>
        <w:t>)</w:t>
      </w:r>
    </w:p>
    <w:p w14:paraId="00AE407F" w14:textId="77777777" w:rsidR="00C25C85" w:rsidRPr="00BC31E0" w:rsidRDefault="00C25C85" w:rsidP="008234D1">
      <w:pPr>
        <w:tabs>
          <w:tab w:val="left" w:pos="1276"/>
        </w:tabs>
        <w:autoSpaceDE w:val="0"/>
        <w:autoSpaceDN w:val="0"/>
        <w:ind w:left="1588" w:hanging="1021"/>
      </w:pPr>
      <w:r w:rsidRPr="00BC31E0">
        <w:rPr>
          <w:rFonts w:hint="eastAsia"/>
        </w:rPr>
        <w:tab/>
      </w:r>
      <w:r w:rsidRPr="00BC31E0">
        <w:rPr>
          <w:rFonts w:hint="eastAsia"/>
        </w:rPr>
        <w:t>：</w:t>
      </w:r>
      <w:r w:rsidRPr="00BC31E0">
        <w:rPr>
          <w:rFonts w:hint="eastAsia"/>
        </w:rPr>
        <w:t xml:space="preserve"> 1</w:t>
      </w:r>
      <w:r w:rsidRPr="00BC31E0">
        <w:rPr>
          <w:rFonts w:hint="eastAsia"/>
        </w:rPr>
        <w:t>ピッチの荷重を受け持つ断続ねじの分割数</w:t>
      </w:r>
      <w:r w:rsidRPr="00BC31E0">
        <w:rPr>
          <w:rFonts w:hint="eastAsia"/>
        </w:rPr>
        <w:t xml:space="preserve"> (</w:t>
      </w:r>
      <w:r w:rsidRPr="00BC31E0">
        <w:rPr>
          <w:rFonts w:ascii="ＭＳ ゴシック" w:eastAsia="ＭＳ ゴシック" w:hint="eastAsia"/>
          <w:b/>
        </w:rPr>
        <w:t>附属書G 4</w:t>
      </w:r>
      <w:r w:rsidRPr="00BC31E0">
        <w:rPr>
          <w:rFonts w:hint="eastAsia"/>
        </w:rPr>
        <w:t xml:space="preserve">) </w:t>
      </w:r>
    </w:p>
    <w:p w14:paraId="37ECEC7A" w14:textId="77777777" w:rsidR="00C25C85" w:rsidRPr="00BC31E0" w:rsidRDefault="00C25C85" w:rsidP="008234D1">
      <w:pPr>
        <w:tabs>
          <w:tab w:val="left" w:pos="1276"/>
        </w:tabs>
        <w:autoSpaceDE w:val="0"/>
        <w:autoSpaceDN w:val="0"/>
        <w:ind w:left="1588" w:hanging="1021"/>
      </w:pPr>
      <w:r w:rsidRPr="00BC31E0">
        <w:rPr>
          <w:rFonts w:hint="eastAsia"/>
        </w:rPr>
        <w:tab/>
      </w:r>
      <w:r w:rsidRPr="00BC31E0">
        <w:rPr>
          <w:rFonts w:hint="eastAsia"/>
        </w:rPr>
        <w:t>：</w:t>
      </w:r>
      <w:r w:rsidRPr="00BC31E0">
        <w:rPr>
          <w:rFonts w:hint="eastAsia"/>
        </w:rPr>
        <w:t xml:space="preserve"> </w:t>
      </w:r>
      <w:r w:rsidRPr="00BC31E0">
        <w:rPr>
          <w:rFonts w:hint="eastAsia"/>
        </w:rPr>
        <w:t>部材表面から内部きずまでの距離</w:t>
      </w:r>
      <w:r w:rsidRPr="00BC31E0">
        <w:rPr>
          <w:rFonts w:hint="eastAsia"/>
        </w:rPr>
        <w:t>(</w:t>
      </w:r>
      <w:r w:rsidRPr="00BC31E0">
        <w:rPr>
          <w:rFonts w:ascii="Cambria Math" w:hAnsi="Cambria Math" w:hint="eastAsia"/>
        </w:rPr>
        <w:t>mm</w:t>
      </w:r>
      <w:r w:rsidRPr="00BC31E0">
        <w:rPr>
          <w:rFonts w:hint="eastAsia"/>
        </w:rPr>
        <w:t>)</w:t>
      </w:r>
      <w:r w:rsidRPr="00BC31E0">
        <w:rPr>
          <w:rFonts w:hint="eastAsia"/>
          <w:position w:val="-6"/>
        </w:rPr>
        <w:t xml:space="preserve"> </w:t>
      </w:r>
      <w:r w:rsidRPr="00BC31E0">
        <w:rPr>
          <w:rFonts w:hint="eastAsia"/>
        </w:rPr>
        <w:t>(</w:t>
      </w:r>
      <w:r w:rsidRPr="00BC31E0">
        <w:rPr>
          <w:rFonts w:ascii="ＭＳ ゴシック" w:eastAsia="ＭＳ ゴシック" w:hint="eastAsia"/>
          <w:b/>
        </w:rPr>
        <w:t>9.3.6</w:t>
      </w:r>
      <w:r w:rsidRPr="00BC31E0">
        <w:rPr>
          <w:rFonts w:asciiTheme="minorEastAsia" w:eastAsiaTheme="minorEastAsia" w:hAnsiTheme="minorEastAsia" w:hint="eastAsia"/>
        </w:rPr>
        <w:t>，</w:t>
      </w:r>
      <w:r w:rsidRPr="00BC31E0">
        <w:rPr>
          <w:rFonts w:ascii="ＭＳ ゴシック" w:eastAsia="ＭＳ ゴシック" w:hint="eastAsia"/>
          <w:b/>
        </w:rPr>
        <w:t>図9.3.2</w:t>
      </w:r>
      <w:r w:rsidRPr="00BC31E0">
        <w:rPr>
          <w:rFonts w:hint="eastAsia"/>
        </w:rPr>
        <w:t>，</w:t>
      </w:r>
      <w:r w:rsidRPr="00BC31E0">
        <w:rPr>
          <w:rFonts w:ascii="ＭＳ ゴシック" w:eastAsia="ＭＳ ゴシック" w:hint="eastAsia"/>
          <w:b/>
        </w:rPr>
        <w:t>図9.3.3</w:t>
      </w:r>
      <w:r w:rsidRPr="00BC31E0">
        <w:rPr>
          <w:rFonts w:hint="eastAsia"/>
        </w:rPr>
        <w:t>，</w:t>
      </w:r>
      <w:r w:rsidRPr="00BC31E0">
        <w:rPr>
          <w:rFonts w:asciiTheme="majorEastAsia" w:eastAsiaTheme="majorEastAsia" w:hAnsiTheme="majorEastAsia" w:hint="eastAsia"/>
          <w:b/>
        </w:rPr>
        <w:t>図9.3.5</w:t>
      </w:r>
      <w:r w:rsidRPr="00BC31E0">
        <w:rPr>
          <w:rFonts w:hint="eastAsia"/>
        </w:rPr>
        <w:t>)</w:t>
      </w:r>
    </w:p>
    <w:p w14:paraId="1738E1D6" w14:textId="77777777" w:rsidR="00C25C85" w:rsidRPr="00BC31E0" w:rsidRDefault="00C25C85" w:rsidP="008234D1">
      <w:pPr>
        <w:tabs>
          <w:tab w:val="left" w:pos="1276"/>
        </w:tabs>
        <w:autoSpaceDE w:val="0"/>
        <w:autoSpaceDN w:val="0"/>
        <w:ind w:left="1588" w:hanging="1021"/>
      </w:pPr>
      <w:r w:rsidRPr="00BC31E0">
        <w:rPr>
          <w:rFonts w:hint="eastAsia"/>
        </w:rPr>
        <w:tab/>
      </w:r>
      <w:r w:rsidRPr="00BC31E0">
        <w:rPr>
          <w:rFonts w:hint="eastAsia"/>
        </w:rPr>
        <w:t>：</w:t>
      </w:r>
      <w:r w:rsidRPr="00BC31E0">
        <w:rPr>
          <w:rFonts w:hint="eastAsia"/>
        </w:rPr>
        <w:t xml:space="preserve"> </w:t>
      </w:r>
      <w:r w:rsidRPr="00BC31E0">
        <w:rPr>
          <w:rFonts w:hint="eastAsia"/>
        </w:rPr>
        <w:t>同一平面上にある並列な複数指示模様の隣接間距離</w:t>
      </w:r>
      <w:r w:rsidRPr="00BC31E0">
        <w:rPr>
          <w:rFonts w:hint="eastAsia"/>
        </w:rPr>
        <w:t>(</w:t>
      </w:r>
      <w:r w:rsidRPr="00BC31E0">
        <w:rPr>
          <w:rFonts w:ascii="Cambria Math" w:hAnsi="Cambria Math"/>
        </w:rPr>
        <w:t>mm</w:t>
      </w:r>
      <w:r w:rsidRPr="00BC31E0">
        <w:rPr>
          <w:rFonts w:hint="eastAsia"/>
        </w:rPr>
        <w:t>) (</w:t>
      </w:r>
      <w:r w:rsidRPr="00BC31E0">
        <w:rPr>
          <w:rFonts w:asciiTheme="majorEastAsia" w:eastAsiaTheme="majorEastAsia" w:hAnsiTheme="majorEastAsia" w:hint="eastAsia"/>
          <w:b/>
        </w:rPr>
        <w:t>9.3.6</w:t>
      </w:r>
      <w:r w:rsidRPr="00BC31E0">
        <w:rPr>
          <w:rFonts w:hint="eastAsia"/>
        </w:rPr>
        <w:t>，</w:t>
      </w:r>
      <w:r w:rsidRPr="00BC31E0">
        <w:rPr>
          <w:rFonts w:ascii="ＭＳ ゴシック" w:eastAsia="ＭＳ ゴシック" w:hAnsi="ＭＳ ゴシック" w:hint="eastAsia"/>
          <w:b/>
        </w:rPr>
        <w:t>図9.3.3，9.3.4</w:t>
      </w:r>
      <w:r w:rsidRPr="00BC31E0">
        <w:rPr>
          <w:rFonts w:hint="eastAsia"/>
        </w:rPr>
        <w:t>)</w:t>
      </w:r>
    </w:p>
    <w:p w14:paraId="7C3C81B1"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S</m:t>
            </m:r>
          </m:e>
          <m:sub>
            <m:r>
              <w:rPr>
                <w:rFonts w:ascii="Cambria Math" w:hAnsi="Cambria Math"/>
              </w:rPr>
              <m:t>1</m:t>
            </m:r>
          </m:sub>
        </m:sSub>
      </m:oMath>
      <w:r w:rsidR="00C25C85" w:rsidRPr="00BC31E0">
        <w:rPr>
          <w:rFonts w:hint="eastAsia"/>
        </w:rPr>
        <w:t>～</w:t>
      </w:r>
      <m:oMath>
        <m:sSub>
          <m:sSubPr>
            <m:ctrlPr>
              <w:rPr>
                <w:rFonts w:ascii="Cambria Math" w:hAnsi="Cambria Math"/>
                <w:i/>
              </w:rPr>
            </m:ctrlPr>
          </m:sSubPr>
          <m:e>
            <m:r>
              <w:rPr>
                <w:rFonts w:ascii="Cambria Math" w:hAnsi="Cambria Math"/>
              </w:rPr>
              <m:t>S</m:t>
            </m:r>
          </m:e>
          <m:sub>
            <m:r>
              <w:rPr>
                <w:rFonts w:ascii="Cambria Math" w:hAnsi="Cambria Math" w:hint="eastAsia"/>
              </w:rPr>
              <m:t>4</m:t>
            </m:r>
          </m:sub>
        </m:sSub>
      </m:oMath>
      <w:r w:rsidR="00C25C85" w:rsidRPr="00BC31E0">
        <w:rPr>
          <w:rFonts w:hint="eastAsia"/>
        </w:rPr>
        <w:tab/>
      </w:r>
      <w:r w:rsidR="00C25C85" w:rsidRPr="00BC31E0">
        <w:rPr>
          <w:rFonts w:hint="eastAsia"/>
        </w:rPr>
        <w:t>：</w:t>
      </w:r>
      <w:r w:rsidR="00C25C85" w:rsidRPr="00BC31E0">
        <w:rPr>
          <w:rFonts w:hint="eastAsia"/>
        </w:rPr>
        <w:t xml:space="preserve"> </w:t>
      </w:r>
      <w:r w:rsidR="00C25C85" w:rsidRPr="00BC31E0">
        <w:rPr>
          <w:rFonts w:hint="eastAsia"/>
        </w:rPr>
        <w:t>同一平面上にある並列な複数指示模様の隣接間距離</w:t>
      </w:r>
      <w:r w:rsidR="00C25C85" w:rsidRPr="00BC31E0">
        <w:rPr>
          <w:rFonts w:hint="eastAsia"/>
        </w:rPr>
        <w:t>(</w:t>
      </w:r>
      <w:r w:rsidR="00C25C85" w:rsidRPr="00BC31E0">
        <w:rPr>
          <w:rFonts w:ascii="Cambria Math" w:hAnsi="Cambria Math"/>
        </w:rPr>
        <w:t>mm</w:t>
      </w:r>
      <w:r w:rsidR="00C25C85" w:rsidRPr="00BC31E0">
        <w:rPr>
          <w:rFonts w:hint="eastAsia"/>
        </w:rPr>
        <w:t>) (</w:t>
      </w:r>
      <w:r w:rsidR="00C25C85" w:rsidRPr="00BC31E0">
        <w:rPr>
          <w:rFonts w:asciiTheme="majorEastAsia" w:eastAsiaTheme="majorEastAsia" w:hAnsiTheme="majorEastAsia" w:hint="eastAsia"/>
          <w:b/>
        </w:rPr>
        <w:t>図9.3.5</w:t>
      </w:r>
      <w:r w:rsidR="00C25C85" w:rsidRPr="00BC31E0">
        <w:rPr>
          <w:rFonts w:hint="eastAsia"/>
        </w:rPr>
        <w:t>)</w:t>
      </w:r>
    </w:p>
    <w:p w14:paraId="384850EC" w14:textId="77777777" w:rsidR="00C25C85" w:rsidRPr="00BC31E0" w:rsidRDefault="00C25C85" w:rsidP="008234D1">
      <w:pPr>
        <w:tabs>
          <w:tab w:val="left" w:pos="1275"/>
        </w:tabs>
        <w:autoSpaceDE w:val="0"/>
        <w:autoSpaceDN w:val="0"/>
        <w:ind w:left="1588" w:hanging="1021"/>
      </w:pPr>
      <w:bookmarkStart w:id="140" w:name="_Hlk52272905"/>
      <m:oMath>
        <m:r>
          <w:rPr>
            <w:rFonts w:ascii="Cambria Math" w:hAnsi="Cambria Math"/>
          </w:rPr>
          <m:t>S</m:t>
        </m:r>
        <m:r>
          <w:rPr>
            <w:rFonts w:ascii="Cambria Math" w:hAnsi="Cambria Math" w:hint="eastAsia"/>
          </w:rPr>
          <m:t>CL</m:t>
        </m:r>
      </m:oMath>
      <w:r w:rsidRPr="00BC31E0">
        <w:rPr>
          <w:szCs w:val="24"/>
        </w:rPr>
        <w:tab/>
      </w:r>
      <w:r w:rsidRPr="00BC31E0">
        <w:rPr>
          <w:rFonts w:hint="eastAsia"/>
        </w:rPr>
        <w:t>：</w:t>
      </w:r>
      <w:r w:rsidRPr="00BC31E0">
        <w:rPr>
          <w:rFonts w:hint="eastAsia"/>
        </w:rPr>
        <w:t xml:space="preserve"> </w:t>
      </w:r>
      <w:r w:rsidRPr="00BC31E0">
        <w:rPr>
          <w:rFonts w:hint="eastAsia"/>
        </w:rPr>
        <w:t>応力評価ライン</w:t>
      </w:r>
      <w:r w:rsidRPr="00BC31E0">
        <w:rPr>
          <w:rFonts w:hint="eastAsia"/>
        </w:rPr>
        <w:t>(</w:t>
      </w:r>
      <w:r w:rsidRPr="00BC31E0">
        <w:rPr>
          <w:rFonts w:ascii="ＭＳ ゴシック" w:eastAsia="ＭＳ ゴシック" w:hint="eastAsia"/>
          <w:b/>
        </w:rPr>
        <w:t>附属書L</w:t>
      </w:r>
      <w:r w:rsidRPr="00BC31E0">
        <w:rPr>
          <w:rFonts w:ascii="ＭＳ ゴシック" w:eastAsia="ＭＳ ゴシック"/>
          <w:b/>
        </w:rPr>
        <w:t xml:space="preserve"> 1</w:t>
      </w:r>
      <w:r w:rsidRPr="00BC31E0">
        <w:rPr>
          <w:rFonts w:hint="eastAsia"/>
        </w:rPr>
        <w:t>)</w:t>
      </w:r>
    </w:p>
    <w:bookmarkEnd w:id="140"/>
    <w:p w14:paraId="49553DAF" w14:textId="77777777" w:rsidR="00C25C85" w:rsidRPr="00BC31E0" w:rsidRDefault="00C25C85" w:rsidP="008234D1">
      <w:pPr>
        <w:tabs>
          <w:tab w:val="left" w:pos="1276"/>
        </w:tabs>
        <w:autoSpaceDE w:val="0"/>
        <w:autoSpaceDN w:val="0"/>
        <w:ind w:left="1588" w:hanging="1021"/>
      </w:pPr>
      <m:oMath>
        <m:r>
          <w:rPr>
            <w:rFonts w:ascii="Cambria Math" w:hAnsi="Cambria Math"/>
          </w:rPr>
          <m:t>S</m:t>
        </m:r>
        <m:r>
          <w:rPr>
            <w:rFonts w:ascii="Cambria Math" w:hAnsi="Cambria Math" w:hint="eastAsia"/>
          </w:rPr>
          <m:t>CP</m:t>
        </m:r>
      </m:oMath>
      <w:r w:rsidRPr="00BC31E0">
        <w:rPr>
          <w:szCs w:val="24"/>
        </w:rPr>
        <w:tab/>
      </w:r>
      <w:r w:rsidRPr="00BC31E0">
        <w:rPr>
          <w:rFonts w:hint="eastAsia"/>
        </w:rPr>
        <w:t>：</w:t>
      </w:r>
      <w:r w:rsidRPr="00BC31E0">
        <w:rPr>
          <w:rFonts w:hint="eastAsia"/>
        </w:rPr>
        <w:t xml:space="preserve"> </w:t>
      </w:r>
      <w:r w:rsidRPr="00BC31E0">
        <w:rPr>
          <w:rFonts w:hint="eastAsia"/>
        </w:rPr>
        <w:t>応力評価断面</w:t>
      </w:r>
      <w:r w:rsidRPr="00BC31E0">
        <w:rPr>
          <w:rFonts w:hint="eastAsia"/>
        </w:rPr>
        <w:t>(</w:t>
      </w:r>
      <w:r w:rsidRPr="00BC31E0">
        <w:rPr>
          <w:rFonts w:ascii="ＭＳ ゴシック" w:eastAsia="ＭＳ ゴシック" w:hint="eastAsia"/>
          <w:b/>
        </w:rPr>
        <w:t xml:space="preserve">附属書L </w:t>
      </w:r>
      <w:r w:rsidRPr="00BC31E0">
        <w:rPr>
          <w:rFonts w:ascii="ＭＳ ゴシック" w:eastAsia="ＭＳ ゴシック"/>
          <w:b/>
        </w:rPr>
        <w:t>1</w:t>
      </w:r>
      <w:r w:rsidRPr="00BC31E0">
        <w:rPr>
          <w:rFonts w:hint="eastAsia"/>
        </w:rPr>
        <w:t>)</w:t>
      </w:r>
    </w:p>
    <w:p w14:paraId="662C3525"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S</m:t>
            </m:r>
          </m:e>
          <m:sub>
            <m:r>
              <w:rPr>
                <w:rFonts w:ascii="Cambria Math" w:hAnsi="Cambria Math"/>
              </w:rPr>
              <m:t>a</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平均応力補正，表面粗さ補正及び縦弾性係数補正を考慮した相当応力振幅</w:t>
      </w:r>
      <w:r w:rsidR="00C25C85" w:rsidRPr="00BC31E0">
        <w:rPr>
          <w:rFonts w:hint="eastAsia"/>
        </w:rPr>
        <w:t xml:space="preserve"> (</w:t>
      </w:r>
      <w:r w:rsidR="00C25C85" w:rsidRPr="00BC31E0">
        <w:rPr>
          <w:rFonts w:ascii="Cambria Math" w:hAnsi="Cambria Math"/>
        </w:rPr>
        <w:t>MPa</w:t>
      </w:r>
      <w:r w:rsidR="00C25C85" w:rsidRPr="00BC31E0">
        <w:rPr>
          <w:rFonts w:hint="eastAsia"/>
        </w:rPr>
        <w:t>) (</w:t>
      </w:r>
      <w:r w:rsidR="00C25C85" w:rsidRPr="00BC31E0">
        <w:rPr>
          <w:rFonts w:ascii="ＭＳ ゴシック" w:hAnsi="ＭＳ ゴシック" w:hint="eastAsia"/>
          <w:b/>
        </w:rPr>
        <w:t>6.3.5</w:t>
      </w:r>
      <w:r w:rsidR="00C25C85" w:rsidRPr="00BC31E0">
        <w:rPr>
          <w:rFonts w:hint="eastAsia"/>
        </w:rPr>
        <w:t xml:space="preserve">) </w:t>
      </w:r>
    </w:p>
    <w:p w14:paraId="48FFACB9" w14:textId="77777777" w:rsidR="00C25C85" w:rsidRPr="00BC31E0" w:rsidRDefault="00C25C85" w:rsidP="008234D1">
      <w:pPr>
        <w:tabs>
          <w:tab w:val="left" w:pos="1276"/>
        </w:tabs>
        <w:autoSpaceDE w:val="0"/>
        <w:autoSpaceDN w:val="0"/>
        <w:ind w:left="1588" w:hanging="1021"/>
      </w:pPr>
      <w:r w:rsidRPr="00BC31E0">
        <w:rPr>
          <w:rFonts w:hint="eastAsia"/>
        </w:rPr>
        <w:t xml:space="preserve">   </w:t>
      </w:r>
      <w:r w:rsidRPr="00BC31E0">
        <w:rPr>
          <w:rFonts w:hint="eastAsia"/>
        </w:rPr>
        <w:tab/>
      </w:r>
      <w:r w:rsidRPr="00BC31E0">
        <w:rPr>
          <w:rFonts w:hint="eastAsia"/>
        </w:rPr>
        <w:t>：</w:t>
      </w:r>
      <w:r w:rsidRPr="00BC31E0">
        <w:rPr>
          <w:rFonts w:hint="eastAsia"/>
        </w:rPr>
        <w:t xml:space="preserve"> </w:t>
      </w:r>
      <w:r w:rsidRPr="00BC31E0">
        <w:rPr>
          <w:rFonts w:hint="eastAsia"/>
        </w:rPr>
        <w:t>許容応力振幅</w:t>
      </w:r>
      <w:r w:rsidRPr="00BC31E0">
        <w:rPr>
          <w:rFonts w:hint="eastAsia"/>
        </w:rPr>
        <w:t>(</w:t>
      </w:r>
      <w:r w:rsidRPr="00BC31E0">
        <w:rPr>
          <w:rFonts w:ascii="Cambria Math" w:hAnsi="Cambria Math"/>
        </w:rPr>
        <w:t>MPa</w:t>
      </w:r>
      <w:r w:rsidRPr="00BC31E0">
        <w:rPr>
          <w:rFonts w:hint="eastAsia"/>
        </w:rPr>
        <w:t>) (</w:t>
      </w:r>
      <w:r w:rsidRPr="00BC31E0">
        <w:rPr>
          <w:rFonts w:ascii="ＭＳ ゴシック" w:eastAsia="ＭＳ ゴシック"/>
          <w:b/>
        </w:rPr>
        <w:t>6.3.6</w:t>
      </w:r>
      <w:r w:rsidRPr="00BC31E0">
        <w:rPr>
          <w:rFonts w:hint="eastAsia"/>
        </w:rPr>
        <w:t>)</w:t>
      </w:r>
    </w:p>
    <w:p w14:paraId="13921EB6" w14:textId="77777777" w:rsidR="00C25C85" w:rsidRPr="00BC31E0" w:rsidRDefault="00C25C85" w:rsidP="008234D1">
      <w:pPr>
        <w:tabs>
          <w:tab w:val="left" w:pos="1276"/>
        </w:tabs>
        <w:autoSpaceDE w:val="0"/>
        <w:autoSpaceDN w:val="0"/>
        <w:ind w:left="1588" w:hanging="1021"/>
      </w:pPr>
      <w:r w:rsidRPr="00BC31E0">
        <w:tab/>
      </w:r>
      <w:r w:rsidRPr="00BC31E0">
        <w:rPr>
          <w:rFonts w:hint="eastAsia"/>
        </w:rPr>
        <w:t>：</w:t>
      </w:r>
      <w:r w:rsidRPr="00BC31E0">
        <w:rPr>
          <w:rFonts w:hint="eastAsia"/>
        </w:rPr>
        <w:t xml:space="preserve"> </w:t>
      </w:r>
      <w:r w:rsidRPr="00BC31E0">
        <w:rPr>
          <w:rFonts w:hint="eastAsia"/>
        </w:rPr>
        <w:t>室温における許容ボルト応力</w:t>
      </w:r>
      <w:r w:rsidRPr="00BC31E0">
        <w:rPr>
          <w:rFonts w:hint="eastAsia"/>
        </w:rPr>
        <w:t>(</w:t>
      </w:r>
      <w:r w:rsidRPr="00BC31E0">
        <w:rPr>
          <w:rFonts w:ascii="Cambria Math" w:hAnsi="Cambria Math"/>
        </w:rPr>
        <w:t>MPa</w:t>
      </w:r>
      <w:r w:rsidRPr="00BC31E0">
        <w:rPr>
          <w:rFonts w:hint="eastAsia"/>
        </w:rPr>
        <w:t>)</w:t>
      </w:r>
      <w:r w:rsidRPr="00BC31E0">
        <w:rPr>
          <w:rFonts w:hint="eastAsia"/>
          <w:position w:val="-6"/>
        </w:rPr>
        <w:t xml:space="preserve"> </w:t>
      </w:r>
      <w:r w:rsidRPr="00BC31E0">
        <w:rPr>
          <w:rFonts w:hint="eastAsia"/>
        </w:rPr>
        <w:t>(</w:t>
      </w:r>
      <w:r w:rsidRPr="00BC31E0">
        <w:rPr>
          <w:rFonts w:ascii="ＭＳ ゴシック" w:eastAsia="ＭＳ ゴシック" w:hint="eastAsia"/>
          <w:b/>
        </w:rPr>
        <w:t>附属書</w:t>
      </w:r>
      <w:r w:rsidRPr="00BC31E0">
        <w:rPr>
          <w:rFonts w:ascii="ＭＳ ゴシック" w:eastAsia="ＭＳ ゴシック"/>
          <w:b/>
        </w:rPr>
        <w:t>H 3</w:t>
      </w:r>
      <w:r w:rsidRPr="00BC31E0">
        <w:rPr>
          <w:rFonts w:hint="eastAsia"/>
        </w:rPr>
        <w:t>)</w:t>
      </w:r>
    </w:p>
    <w:p w14:paraId="67B0D600"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S</m:t>
            </m:r>
          </m:e>
          <m:sub>
            <m:r>
              <w:rPr>
                <w:rFonts w:ascii="Cambria Math" w:hAnsi="Cambria Math" w:hint="eastAsia"/>
              </w:rPr>
              <m:t>aN</m:t>
            </m:r>
          </m:sub>
        </m:sSub>
        <m:r>
          <w:rPr>
            <w:rFonts w:ascii="Cambria Math" w:hAnsi="Cambria Math"/>
          </w:rPr>
          <m:t xml:space="preserve"> </m:t>
        </m:r>
      </m:oMath>
      <w:r w:rsidR="00C25C85" w:rsidRPr="00BC31E0">
        <w:rPr>
          <w:rFonts w:hint="eastAsia"/>
        </w:rPr>
        <w:t xml:space="preserve"> </w:t>
      </w:r>
      <w:r w:rsidR="00C25C85" w:rsidRPr="00BC31E0">
        <w:t xml:space="preserve">   </w:t>
      </w:r>
      <w:r w:rsidR="00C25C85" w:rsidRPr="00BC31E0">
        <w:rPr>
          <w:rFonts w:hint="eastAsia"/>
        </w:rPr>
        <w:t xml:space="preserve">: </w:t>
      </w:r>
      <w:r w:rsidR="00C25C85" w:rsidRPr="00BC31E0">
        <w:t xml:space="preserve"> </w:t>
      </w:r>
      <w:r w:rsidR="00C25C85" w:rsidRPr="00BC31E0">
        <w:rPr>
          <w:rFonts w:hint="eastAsia"/>
        </w:rPr>
        <w:t>設計疲労曲線上で繰返し回数</w:t>
      </w:r>
      <m:oMath>
        <m:r>
          <w:rPr>
            <w:rFonts w:ascii="Cambria Math" w:hAnsi="Cambria Math"/>
          </w:rPr>
          <m:t>N</m:t>
        </m:r>
      </m:oMath>
      <w:r w:rsidR="00C25C85" w:rsidRPr="00BC31E0">
        <w:rPr>
          <w:rFonts w:hint="eastAsia"/>
        </w:rPr>
        <w:t>の</w:t>
      </w:r>
      <w:r w:rsidR="00A84424" w:rsidRPr="00BC31E0">
        <w:rPr>
          <w:rFonts w:hint="eastAsia"/>
        </w:rPr>
        <w:t>とき</w:t>
      </w:r>
      <m:oMath>
        <m:r>
          <m:rPr>
            <m:sty m:val="p"/>
          </m:rPr>
          <w:rPr>
            <w:rFonts w:ascii="Cambria Math" w:hAnsi="Cambria Math" w:hint="eastAsia"/>
          </w:rPr>
          <m:t xml:space="preserve"> </m:t>
        </m:r>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hint="eastAsia"/>
          </w:rPr>
          <m:t xml:space="preserve"> </m:t>
        </m:r>
      </m:oMath>
      <w:r w:rsidR="00C25C85" w:rsidRPr="00BC31E0">
        <w:rPr>
          <w:rFonts w:hint="eastAsia"/>
        </w:rPr>
        <w:t>値</w:t>
      </w:r>
      <w:r w:rsidR="00C25C85" w:rsidRPr="00BC31E0">
        <w:rPr>
          <w:rFonts w:hint="eastAsia"/>
        </w:rPr>
        <w:t>(</w:t>
      </w:r>
      <w:r w:rsidR="00C25C85" w:rsidRPr="00BC31E0">
        <w:rPr>
          <w:rFonts w:ascii="Cambria Math" w:hAnsi="Cambria Math"/>
        </w:rPr>
        <w:t>MPa</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b/>
        </w:rPr>
        <w:t>6.11.7</w:t>
      </w:r>
      <w:r w:rsidR="00C25C85" w:rsidRPr="00BC31E0">
        <w:rPr>
          <w:rFonts w:hint="eastAsia"/>
        </w:rPr>
        <w:t>)</w:t>
      </w:r>
    </w:p>
    <w:p w14:paraId="060EAC73"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S</m:t>
            </m:r>
          </m:e>
          <m:sub>
            <m:r>
              <w:rPr>
                <w:rFonts w:ascii="Cambria Math" w:hAnsi="Cambria Math"/>
              </w:rPr>
              <m:t>aD</m:t>
            </m:r>
          </m:sub>
        </m:sSub>
      </m:oMath>
      <w:r w:rsidR="00C25C85" w:rsidRPr="00BC31E0">
        <w:rPr>
          <w:rFonts w:hint="eastAsia"/>
          <w:i/>
          <w:szCs w:val="24"/>
        </w:rPr>
        <w:tab/>
      </w:r>
      <w:r w:rsidR="00C25C85" w:rsidRPr="00BC31E0">
        <w:rPr>
          <w:rFonts w:hint="eastAsia"/>
        </w:rPr>
        <w:t>：</w:t>
      </w:r>
      <w:r w:rsidR="00C25C85" w:rsidRPr="00BC31E0">
        <w:rPr>
          <w:rFonts w:hint="eastAsia"/>
        </w:rPr>
        <w:t xml:space="preserve"> </w:t>
      </w:r>
      <w:r w:rsidR="00C25C85" w:rsidRPr="00BC31E0">
        <w:rPr>
          <w:rFonts w:hint="eastAsia"/>
        </w:rPr>
        <w:t>許容設計応力</w:t>
      </w:r>
      <w:r w:rsidR="00C25C85" w:rsidRPr="00BC31E0">
        <w:rPr>
          <w:rFonts w:hint="eastAsia"/>
        </w:rPr>
        <w:t>(</w:t>
      </w:r>
      <w:r w:rsidR="00C25C85" w:rsidRPr="00BC31E0">
        <w:rPr>
          <w:rFonts w:ascii="Cambria Math" w:hAnsi="Cambria Math"/>
        </w:rPr>
        <w:t>MPa</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hint="eastAsia"/>
          <w:b/>
        </w:rPr>
        <w:t>図</w:t>
      </w:r>
      <w:r w:rsidR="00C25C85" w:rsidRPr="00BC31E0">
        <w:rPr>
          <w:rFonts w:ascii="ＭＳ ゴシック" w:eastAsia="ＭＳ ゴシック"/>
          <w:b/>
        </w:rPr>
        <w:t>6.11.1</w:t>
      </w:r>
      <w:r w:rsidR="00C25C85" w:rsidRPr="00BC31E0">
        <w:rPr>
          <w:rFonts w:hint="eastAsia"/>
        </w:rPr>
        <w:t>)</w:t>
      </w:r>
    </w:p>
    <w:p w14:paraId="7BFA6136"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S</m:t>
            </m:r>
          </m:e>
          <m:sub>
            <m:r>
              <w:rPr>
                <w:rFonts w:ascii="Cambria Math" w:hAnsi="Cambria Math" w:hint="eastAsia"/>
              </w:rPr>
              <m:t>az</m:t>
            </m:r>
          </m:sub>
        </m:sSub>
      </m:oMath>
      <w:r w:rsidR="00C25C85" w:rsidRPr="00BC31E0">
        <w:rPr>
          <w:rFonts w:hint="eastAsia"/>
        </w:rPr>
        <w:t xml:space="preserve">　　：</w:t>
      </w:r>
      <w:r w:rsidR="00C25C85" w:rsidRPr="00BC31E0">
        <w:rPr>
          <w:rFonts w:hint="eastAsia"/>
        </w:rPr>
        <w:t xml:space="preserve"> </w:t>
      </w:r>
      <w:r w:rsidR="00C25C85" w:rsidRPr="00BC31E0">
        <w:rPr>
          <w:rFonts w:hint="eastAsia"/>
        </w:rPr>
        <w:t>設計疲労曲線上の右端における</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sidR="00C25C85" w:rsidRPr="00BC31E0">
        <w:rPr>
          <w:rFonts w:hint="eastAsia"/>
        </w:rPr>
        <w:t>値</w:t>
      </w:r>
      <w:r w:rsidR="00C25C85" w:rsidRPr="00BC31E0">
        <w:rPr>
          <w:rFonts w:hint="eastAsia"/>
        </w:rPr>
        <w:t>(</w:t>
      </w:r>
      <w:r w:rsidR="00C25C85" w:rsidRPr="00BC31E0">
        <w:rPr>
          <w:rFonts w:ascii="Cambria Math" w:hAnsi="Cambria Math"/>
        </w:rPr>
        <w:t>MPa</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b/>
        </w:rPr>
        <w:t>6.11.7</w:t>
      </w:r>
      <w:r w:rsidR="00C25C85" w:rsidRPr="00BC31E0">
        <w:rPr>
          <w:rFonts w:hint="eastAsia"/>
        </w:rPr>
        <w:t>)</w:t>
      </w:r>
    </w:p>
    <w:p w14:paraId="4F703F9D"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S</m:t>
            </m:r>
          </m:e>
          <m:sub>
            <m:r>
              <w:rPr>
                <w:rFonts w:ascii="Cambria Math" w:hAnsi="Cambria Math"/>
              </w:rPr>
              <m:t>ai</m:t>
            </m:r>
          </m:sub>
        </m:sSub>
      </m:oMath>
      <w:r w:rsidR="00C25C85" w:rsidRPr="00BC31E0">
        <w:rPr>
          <w:rFonts w:hint="eastAsia"/>
          <w:szCs w:val="24"/>
          <w:vertAlign w:val="subscript"/>
        </w:rPr>
        <w:t xml:space="preserve"> </w:t>
      </w:r>
      <w:r w:rsidR="00C25C85" w:rsidRPr="00BC31E0">
        <w:rPr>
          <w:rFonts w:hint="eastAsia"/>
          <w:szCs w:val="24"/>
          <w:vertAlign w:val="subscript"/>
        </w:rPr>
        <w:tab/>
      </w:r>
      <w:r w:rsidR="00C25C85" w:rsidRPr="00BC31E0">
        <w:rPr>
          <w:rFonts w:hint="eastAsia"/>
        </w:rPr>
        <w:t>：</w:t>
      </w:r>
      <w:r w:rsidR="00C25C85" w:rsidRPr="00BC31E0">
        <w:rPr>
          <w:rFonts w:hint="eastAsia"/>
        </w:rPr>
        <w:t xml:space="preserve"> </w:t>
      </w:r>
      <m:oMath>
        <m:r>
          <w:rPr>
            <w:rFonts w:ascii="Cambria Math" w:hAnsi="Cambria Math"/>
          </w:rPr>
          <m:t xml:space="preserve">i </m:t>
        </m:r>
      </m:oMath>
      <w:r w:rsidR="00C25C85" w:rsidRPr="00BC31E0">
        <w:rPr>
          <w:rFonts w:hint="eastAsia"/>
        </w:rPr>
        <w:t>応力サイクルの相当応力の振幅</w:t>
      </w:r>
      <w:r w:rsidR="00C25C85" w:rsidRPr="00BC31E0">
        <w:rPr>
          <w:rFonts w:hint="eastAsia"/>
        </w:rPr>
        <w:t>(</w:t>
      </w:r>
      <w:r w:rsidR="00C25C85" w:rsidRPr="00BC31E0">
        <w:rPr>
          <w:rFonts w:ascii="Cambria Math" w:hAnsi="Cambria Math"/>
        </w:rPr>
        <w:t>MPa</w:t>
      </w:r>
      <w:r w:rsidR="00C25C85" w:rsidRPr="00BC31E0">
        <w:rPr>
          <w:rFonts w:hint="eastAsia"/>
        </w:rPr>
        <w:t>) (</w:t>
      </w:r>
      <w:r w:rsidR="00C25C85" w:rsidRPr="00BC31E0">
        <w:rPr>
          <w:rFonts w:ascii="ＭＳ ゴシック" w:hAnsi="ＭＳ ゴシック" w:hint="eastAsia"/>
          <w:b/>
        </w:rPr>
        <w:t>6.3.5</w:t>
      </w:r>
      <w:r w:rsidR="00C25C85" w:rsidRPr="00BC31E0">
        <w:rPr>
          <w:rFonts w:hint="eastAsia"/>
        </w:rPr>
        <w:t>)</w:t>
      </w:r>
    </w:p>
    <w:bookmarkStart w:id="141" w:name="_Hlk59787229"/>
    <w:p w14:paraId="20455290"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S</m:t>
            </m:r>
          </m:e>
          <m:sub>
            <m:r>
              <w:rPr>
                <w:rFonts w:ascii="Cambria Math" w:hAnsi="Cambria Math"/>
              </w:rPr>
              <m:t>alt</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相当応力の振幅</w:t>
      </w:r>
      <w:r w:rsidR="00C25C85" w:rsidRPr="00BC31E0">
        <w:rPr>
          <w:rFonts w:hint="eastAsia"/>
        </w:rPr>
        <w:t>(</w:t>
      </w:r>
      <w:r w:rsidR="00C25C85" w:rsidRPr="00BC31E0">
        <w:rPr>
          <w:rFonts w:ascii="Cambria Math" w:hAnsi="Cambria Math"/>
        </w:rPr>
        <w:t>MPa</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hAnsi="ＭＳ ゴシック"/>
          <w:b/>
        </w:rPr>
        <w:t>6</w:t>
      </w:r>
      <w:r w:rsidR="00C25C85" w:rsidRPr="00BC31E0">
        <w:rPr>
          <w:rFonts w:ascii="ＭＳ ゴシック" w:eastAsia="ＭＳ ゴシック"/>
          <w:b/>
        </w:rPr>
        <w:t>.3.5</w:t>
      </w:r>
      <w:r w:rsidR="00C25C85" w:rsidRPr="00BC31E0">
        <w:rPr>
          <w:rFonts w:hint="eastAsia"/>
        </w:rPr>
        <w:t>)</w:t>
      </w:r>
    </w:p>
    <w:bookmarkStart w:id="142" w:name="_Hlk59787479"/>
    <w:bookmarkEnd w:id="141"/>
    <w:p w14:paraId="1E7D20B4"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S</m:t>
            </m:r>
          </m:e>
          <m:sub>
            <m:r>
              <w:rPr>
                <w:rFonts w:ascii="Cambria Math" w:hAnsi="Cambria Math"/>
              </w:rPr>
              <m:t xml:space="preserve">a </m:t>
            </m:r>
            <m:r>
              <w:rPr>
                <w:rFonts w:ascii="Cambria Math" w:hAnsi="Cambria Math" w:hint="eastAsia"/>
              </w:rPr>
              <m:t>al</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設計許容繰返し回数に相当する一次＋二次＋ピーク相当応力範囲</w:t>
      </w:r>
      <w:r w:rsidR="00C25C85" w:rsidRPr="00BC31E0">
        <w:rPr>
          <w:rFonts w:hint="eastAsia"/>
        </w:rPr>
        <w:t>(</w:t>
      </w:r>
      <w:r w:rsidR="00C25C85" w:rsidRPr="00BC31E0">
        <w:rPr>
          <w:rFonts w:ascii="Cambria Math" w:hAnsi="Cambria Math"/>
        </w:rPr>
        <w:t>MPa</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hAnsi="ＭＳ ゴシック" w:hint="eastAsia"/>
          <w:b/>
        </w:rPr>
        <w:t>7.8.3</w:t>
      </w:r>
      <w:r w:rsidR="00C25C85" w:rsidRPr="00BC31E0">
        <w:rPr>
          <w:rFonts w:hint="eastAsia"/>
        </w:rPr>
        <w:t>)</w:t>
      </w:r>
    </w:p>
    <w:bookmarkEnd w:id="142"/>
    <w:p w14:paraId="415C4A52"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S</m:t>
            </m:r>
          </m:e>
          <m:sub>
            <m:r>
              <w:rPr>
                <w:rFonts w:ascii="Cambria Math" w:hAnsi="Cambria Math"/>
              </w:rPr>
              <m:t>a</m:t>
            </m:r>
            <m:r>
              <w:rPr>
                <w:rFonts w:ascii="Cambria Math" w:hAnsi="Cambria Math" w:hint="eastAsia"/>
              </w:rPr>
              <m:t>g</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層間の最大隙間がある層の一次＋二次＋ピーク相当応力範囲</w:t>
      </w:r>
      <w:r w:rsidR="00C25C85" w:rsidRPr="00BC31E0">
        <w:rPr>
          <w:rFonts w:hint="eastAsia"/>
        </w:rPr>
        <w:t>(</w:t>
      </w:r>
      <w:r w:rsidR="00C25C85" w:rsidRPr="00BC31E0">
        <w:rPr>
          <w:rFonts w:ascii="Cambria Math" w:hAnsi="Cambria Math"/>
        </w:rPr>
        <w:t>MPa</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hAnsi="ＭＳ ゴシック" w:hint="eastAsia"/>
          <w:b/>
        </w:rPr>
        <w:t>7.8.3</w:t>
      </w:r>
      <w:r w:rsidR="00C25C85" w:rsidRPr="00BC31E0">
        <w:rPr>
          <w:rFonts w:hint="eastAsia"/>
        </w:rPr>
        <w:t>)</w:t>
      </w:r>
    </w:p>
    <w:p w14:paraId="0C9BF6B9"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S</m:t>
            </m:r>
          </m:e>
          <m:sub>
            <m:r>
              <w:rPr>
                <w:rFonts w:ascii="Cambria Math" w:hAnsi="Cambria Math"/>
              </w:rPr>
              <m:t>altij</m:t>
            </m:r>
          </m:sub>
        </m:sSub>
      </m:oMath>
      <w:r w:rsidR="00C25C85" w:rsidRPr="00BC31E0">
        <w:rPr>
          <w:rFonts w:hint="eastAsia"/>
        </w:rPr>
        <w:tab/>
      </w:r>
      <w:r w:rsidR="00C25C85" w:rsidRPr="00BC31E0">
        <w:rPr>
          <w:rFonts w:hint="eastAsia"/>
        </w:rPr>
        <w:t>：</w:t>
      </w:r>
      <w:r w:rsidR="00C25C85" w:rsidRPr="00BC31E0">
        <w:rPr>
          <w:rFonts w:hint="eastAsia"/>
        </w:rPr>
        <w:t xml:space="preserve"> </w:t>
      </w:r>
      <w:r w:rsidR="00C25C85" w:rsidRPr="00BC31E0">
        <w:rPr>
          <w:rFonts w:hint="eastAsia"/>
        </w:rPr>
        <w:t>三つの主応力差より求めた応力強さ振幅</w:t>
      </w:r>
      <w:r w:rsidR="00C25C85" w:rsidRPr="00BC31E0">
        <w:rPr>
          <w:rFonts w:hint="eastAsia"/>
        </w:rPr>
        <w:t>(</w:t>
      </w:r>
      <w:r w:rsidR="00C25C85" w:rsidRPr="00BC31E0">
        <w:rPr>
          <w:rFonts w:ascii="Cambria Math" w:hAnsi="Cambria Math"/>
        </w:rPr>
        <w:t>MPa</w:t>
      </w:r>
      <w:r w:rsidR="00C25C85" w:rsidRPr="00BC31E0">
        <w:rPr>
          <w:rFonts w:hint="eastAsia"/>
        </w:rPr>
        <w:t>) (</w:t>
      </w:r>
      <w:r w:rsidR="00C25C85" w:rsidRPr="00BC31E0">
        <w:rPr>
          <w:rFonts w:ascii="ＭＳ ゴシック" w:hAnsi="ＭＳ ゴシック"/>
          <w:b/>
        </w:rPr>
        <w:t>6</w:t>
      </w:r>
      <w:r w:rsidR="00C25C85" w:rsidRPr="00BC31E0">
        <w:rPr>
          <w:rFonts w:ascii="ＭＳ ゴシック" w:eastAsia="ＭＳ ゴシック"/>
          <w:b/>
        </w:rPr>
        <w:t>.3.5</w:t>
      </w:r>
      <w:r w:rsidR="00C25C85" w:rsidRPr="00BC31E0">
        <w:rPr>
          <w:rFonts w:hint="eastAsia"/>
        </w:rPr>
        <w:t>)</w:t>
      </w:r>
    </w:p>
    <w:p w14:paraId="5654BCE5" w14:textId="77777777" w:rsidR="00C25C85" w:rsidRPr="00BC31E0" w:rsidRDefault="00A51873" w:rsidP="008234D1">
      <w:pPr>
        <w:tabs>
          <w:tab w:val="left" w:pos="1276"/>
        </w:tabs>
        <w:autoSpaceDE w:val="0"/>
        <w:autoSpaceDN w:val="0"/>
        <w:ind w:left="1588" w:hanging="1021"/>
        <w:rPr>
          <w:rFonts w:ascii="ＭＳ ゴシック" w:eastAsia="ＭＳ ゴシック"/>
          <w:b/>
        </w:rPr>
      </w:pPr>
      <m:oMath>
        <m:sSub>
          <m:sSubPr>
            <m:ctrlPr>
              <w:rPr>
                <w:rFonts w:ascii="Cambria Math" w:hAnsi="Cambria Math"/>
                <w:i/>
              </w:rPr>
            </m:ctrlPr>
          </m:sSubPr>
          <m:e>
            <m:r>
              <w:rPr>
                <w:rFonts w:ascii="Cambria Math" w:hAnsi="Cambria Math"/>
              </w:rPr>
              <m:t>S</m:t>
            </m:r>
          </m:e>
          <m:sub>
            <m:r>
              <w:rPr>
                <w:rFonts w:ascii="Cambria Math" w:hAnsi="Cambria Math"/>
              </w:rPr>
              <m:t>i</m:t>
            </m:r>
          </m:sub>
        </m:sSub>
      </m:oMath>
      <w:r w:rsidR="00C25C85" w:rsidRPr="00BC31E0">
        <w:rPr>
          <w:rFonts w:hint="eastAsia"/>
          <w:szCs w:val="24"/>
        </w:rPr>
        <w:t xml:space="preserve"> </w:t>
      </w:r>
      <w:r w:rsidR="00C25C85" w:rsidRPr="00BC31E0">
        <w:rPr>
          <w:rFonts w:hint="eastAsia"/>
          <w:szCs w:val="24"/>
        </w:rPr>
        <w:tab/>
      </w:r>
      <w:r w:rsidR="00C25C85" w:rsidRPr="00BC31E0">
        <w:rPr>
          <w:rFonts w:hint="eastAsia"/>
          <w:szCs w:val="24"/>
        </w:rPr>
        <w:t>：</w:t>
      </w:r>
      <w:r w:rsidR="00C25C85" w:rsidRPr="00BC31E0">
        <w:rPr>
          <w:rFonts w:hint="eastAsia"/>
          <w:szCs w:val="24"/>
        </w:rPr>
        <w:t xml:space="preserve"> </w:t>
      </w:r>
      <w:r w:rsidR="00C25C85" w:rsidRPr="00BC31E0">
        <w:rPr>
          <w:rFonts w:hint="eastAsia"/>
          <w:szCs w:val="24"/>
        </w:rPr>
        <w:t>断続ねじ荷重</w:t>
      </w:r>
      <w:r w:rsidR="00C25C85" w:rsidRPr="00BC31E0">
        <w:rPr>
          <w:rFonts w:hint="eastAsia"/>
          <w:szCs w:val="24"/>
        </w:rPr>
        <w:t>(</w:t>
      </w:r>
      <w:r w:rsidR="00C25C85" w:rsidRPr="00BC31E0">
        <w:rPr>
          <w:rFonts w:ascii="Cambria Math" w:hAnsi="Cambria Math"/>
          <w:szCs w:val="24"/>
        </w:rPr>
        <w:t>N</w:t>
      </w:r>
      <w:r w:rsidR="00C25C85" w:rsidRPr="00BC31E0">
        <w:rPr>
          <w:rFonts w:hint="eastAsia"/>
          <w:szCs w:val="24"/>
        </w:rPr>
        <w:t>) (</w:t>
      </w:r>
      <w:r w:rsidR="00C25C85" w:rsidRPr="00BC31E0">
        <w:rPr>
          <w:rFonts w:ascii="ＭＳ ゴシック" w:eastAsia="ＭＳ ゴシック" w:hint="eastAsia"/>
          <w:b/>
          <w:szCs w:val="24"/>
        </w:rPr>
        <w:t>附属書G 4</w:t>
      </w:r>
      <w:r w:rsidR="00C25C85" w:rsidRPr="00BC31E0">
        <w:rPr>
          <w:rFonts w:hint="eastAsia"/>
          <w:szCs w:val="24"/>
        </w:rPr>
        <w:t>)</w:t>
      </w:r>
    </w:p>
    <w:p w14:paraId="0BDF850C"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S</m:t>
            </m:r>
          </m:e>
          <m:sub>
            <m:r>
              <w:rPr>
                <w:rFonts w:ascii="Cambria Math" w:hAnsi="Cambria Math"/>
              </w:rPr>
              <m:t>b</m:t>
            </m:r>
          </m:sub>
        </m:sSub>
      </m:oMath>
      <w:r w:rsidR="00C25C85" w:rsidRPr="00BC31E0">
        <w:rPr>
          <w:szCs w:val="24"/>
          <w:vertAlign w:val="subscript"/>
        </w:rPr>
        <w:tab/>
      </w:r>
      <w:r w:rsidR="00C25C85" w:rsidRPr="00BC31E0">
        <w:rPr>
          <w:rFonts w:hint="eastAsia"/>
          <w:szCs w:val="24"/>
        </w:rPr>
        <w:t>：</w:t>
      </w:r>
      <w:r w:rsidR="00C25C85" w:rsidRPr="00BC31E0">
        <w:rPr>
          <w:rFonts w:hint="eastAsia"/>
          <w:szCs w:val="24"/>
        </w:rPr>
        <w:t xml:space="preserve"> </w:t>
      </w:r>
      <w:r w:rsidR="00C25C85" w:rsidRPr="00BC31E0">
        <w:rPr>
          <w:rFonts w:hint="eastAsia"/>
        </w:rPr>
        <w:t>設計温度</w:t>
      </w:r>
      <w:r w:rsidR="00B719BE" w:rsidRPr="00BC31E0">
        <w:rPr>
          <w:rFonts w:hint="eastAsia"/>
        </w:rPr>
        <w:t>における</w:t>
      </w:r>
      <w:r w:rsidR="00C25C85" w:rsidRPr="00BC31E0">
        <w:rPr>
          <w:rFonts w:hint="eastAsia"/>
        </w:rPr>
        <w:t>許容ボルト応力</w:t>
      </w:r>
      <w:r w:rsidR="00C25C85" w:rsidRPr="00BC31E0">
        <w:rPr>
          <w:rFonts w:hint="eastAsia"/>
        </w:rPr>
        <w:t>(</w:t>
      </w:r>
      <w:r w:rsidR="00C25C85" w:rsidRPr="00BC31E0">
        <w:rPr>
          <w:rFonts w:ascii="Cambria Math" w:hAnsi="Cambria Math"/>
        </w:rPr>
        <w:t>MPa</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hint="eastAsia"/>
          <w:b/>
        </w:rPr>
        <w:t>附属書</w:t>
      </w:r>
      <w:r w:rsidR="00C25C85" w:rsidRPr="00BC31E0">
        <w:rPr>
          <w:rFonts w:ascii="ＭＳ ゴシック" w:eastAsia="ＭＳ ゴシック"/>
          <w:b/>
        </w:rPr>
        <w:t>H 3</w:t>
      </w:r>
      <w:r w:rsidR="00C25C85" w:rsidRPr="00BC31E0">
        <w:rPr>
          <w:rFonts w:hint="eastAsia"/>
        </w:rPr>
        <w:t>)</w:t>
      </w:r>
    </w:p>
    <w:p w14:paraId="18FFC766" w14:textId="77777777" w:rsidR="00C25C85" w:rsidRPr="00BC31E0" w:rsidRDefault="00A51873" w:rsidP="008234D1">
      <w:pPr>
        <w:tabs>
          <w:tab w:val="left" w:pos="1276"/>
        </w:tabs>
        <w:autoSpaceDE w:val="0"/>
        <w:autoSpaceDN w:val="0"/>
        <w:ind w:left="567"/>
      </w:pPr>
      <m:oMath>
        <m:sSub>
          <m:sSubPr>
            <m:ctrlPr>
              <w:rPr>
                <w:rFonts w:ascii="Cambria Math" w:hAnsi="Cambria Math"/>
                <w:i/>
              </w:rPr>
            </m:ctrlPr>
          </m:sSubPr>
          <m:e>
            <m:r>
              <w:rPr>
                <w:rFonts w:ascii="Cambria Math" w:hAnsi="Cambria Math"/>
              </w:rPr>
              <m:t>S</m:t>
            </m:r>
          </m:e>
          <m:sub>
            <m:r>
              <w:rPr>
                <w:rFonts w:ascii="Cambria Math" w:hAnsi="Cambria Math" w:hint="eastAsia"/>
              </w:rPr>
              <m:t>C</m:t>
            </m:r>
          </m:sub>
        </m:sSub>
      </m:oMath>
      <w:r w:rsidR="00C25C85" w:rsidRPr="00BC31E0">
        <w:rPr>
          <w:szCs w:val="24"/>
          <w:vertAlign w:val="subscript"/>
        </w:rPr>
        <w:tab/>
      </w:r>
      <w:r w:rsidR="00C25C85" w:rsidRPr="00BC31E0">
        <w:rPr>
          <w:rFonts w:hint="eastAsia"/>
          <w:szCs w:val="24"/>
        </w:rPr>
        <w:t>：</w:t>
      </w:r>
      <w:r w:rsidR="00C25C85" w:rsidRPr="00BC31E0">
        <w:rPr>
          <w:rFonts w:hint="eastAsia"/>
          <w:szCs w:val="24"/>
        </w:rPr>
        <w:t xml:space="preserve"> </w:t>
      </w:r>
      <w:r w:rsidR="00C25C85" w:rsidRPr="00BC31E0">
        <w:rPr>
          <w:rFonts w:hint="eastAsia"/>
        </w:rPr>
        <w:t>クリープ温度域の許容応力</w:t>
      </w:r>
      <w:r w:rsidR="00C25C85" w:rsidRPr="00BC31E0">
        <w:rPr>
          <w:rFonts w:hint="eastAsia"/>
        </w:rPr>
        <w:t>(</w:t>
      </w:r>
      <w:r w:rsidR="00C25C85" w:rsidRPr="00BC31E0">
        <w:rPr>
          <w:rFonts w:ascii="Cambria Math" w:hAnsi="Cambria Math"/>
        </w:rPr>
        <w:t>MPa</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hint="eastAsia"/>
          <w:b/>
        </w:rPr>
        <w:t>5.4</w:t>
      </w:r>
      <w:r w:rsidR="00C25C85" w:rsidRPr="00BC31E0">
        <w:rPr>
          <w:rFonts w:hint="eastAsia"/>
        </w:rPr>
        <w:t>)</w:t>
      </w:r>
    </w:p>
    <w:p w14:paraId="279143B6"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S</m:t>
            </m:r>
          </m:e>
          <m:sub>
            <m:r>
              <w:rPr>
                <w:rFonts w:ascii="Cambria Math" w:hAnsi="Cambria Math"/>
              </w:rPr>
              <m:t>eq</m:t>
            </m:r>
          </m:sub>
        </m:sSub>
      </m:oMath>
      <w:r w:rsidR="00C25C85" w:rsidRPr="00BC31E0">
        <w:rPr>
          <w:rFonts w:hint="eastAsia"/>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等価相当応力の振幅</w:t>
      </w:r>
      <w:r w:rsidR="00C25C85" w:rsidRPr="00BC31E0">
        <w:rPr>
          <w:rFonts w:hint="eastAsia"/>
        </w:rPr>
        <w:t>(</w:t>
      </w:r>
      <w:r w:rsidR="00C25C85" w:rsidRPr="00BC31E0">
        <w:rPr>
          <w:rFonts w:ascii="Cambria Math" w:hAnsi="Cambria Math"/>
        </w:rPr>
        <w:t>MPa</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b/>
        </w:rPr>
        <w:t>6.3.5</w:t>
      </w:r>
      <w:r w:rsidR="00C25C85" w:rsidRPr="00BC31E0">
        <w:rPr>
          <w:rFonts w:hint="eastAsia"/>
        </w:rPr>
        <w:t>)</w:t>
      </w:r>
    </w:p>
    <w:p w14:paraId="0ADF64AD"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S</m:t>
            </m:r>
          </m:e>
          <m:sub>
            <m:r>
              <w:rPr>
                <w:rFonts w:ascii="Cambria Math" w:hAnsi="Cambria Math"/>
              </w:rPr>
              <m:t>eqij</m:t>
            </m:r>
          </m:sub>
        </m:sSub>
      </m:oMath>
      <w:r w:rsidR="00C25C85" w:rsidRPr="00BC31E0">
        <w:rPr>
          <w:rFonts w:hint="eastAsia"/>
          <w:vertAlign w:val="subscript"/>
        </w:rPr>
        <w:tab/>
      </w:r>
      <w:r w:rsidR="00C25C85" w:rsidRPr="00BC31E0">
        <w:rPr>
          <w:rFonts w:hint="eastAsia"/>
        </w:rPr>
        <w:t>：</w:t>
      </w:r>
      <w:r w:rsidR="00C25C85" w:rsidRPr="00BC31E0">
        <w:rPr>
          <w:rFonts w:hint="eastAsia"/>
        </w:rPr>
        <w:t xml:space="preserve"> </w:t>
      </w:r>
      <w:r w:rsidR="00C25C85" w:rsidRPr="00BC31E0">
        <w:rPr>
          <w:rFonts w:hint="eastAsia"/>
        </w:rPr>
        <w:t>三つの主応力より求めた等価応力強さ振幅</w:t>
      </w:r>
      <w:r w:rsidR="00C25C85" w:rsidRPr="00BC31E0">
        <w:rPr>
          <w:rFonts w:hint="eastAsia"/>
        </w:rPr>
        <w:t>(</w:t>
      </w:r>
      <w:r w:rsidR="00C25C85" w:rsidRPr="00BC31E0">
        <w:rPr>
          <w:rFonts w:ascii="Cambria Math" w:hAnsi="Cambria Math"/>
        </w:rPr>
        <w:t>MPa</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hAnsi="ＭＳ ゴシック"/>
          <w:b/>
        </w:rPr>
        <w:t>6</w:t>
      </w:r>
      <w:r w:rsidR="00C25C85" w:rsidRPr="00BC31E0">
        <w:rPr>
          <w:rFonts w:ascii="ＭＳ ゴシック" w:eastAsia="ＭＳ ゴシック"/>
          <w:b/>
        </w:rPr>
        <w:t>.3.5</w:t>
      </w:r>
      <w:r w:rsidR="00C25C85" w:rsidRPr="00BC31E0">
        <w:rPr>
          <w:rFonts w:hint="eastAsia"/>
        </w:rPr>
        <w:t>)</w:t>
      </w:r>
    </w:p>
    <w:p w14:paraId="3726063B"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S</m:t>
            </m:r>
          </m:e>
          <m:sub>
            <m:r>
              <w:rPr>
                <w:rFonts w:ascii="Cambria Math" w:hAnsi="Cambria Math" w:hint="eastAsia"/>
              </w:rPr>
              <m:t>Qmb</m:t>
            </m:r>
          </m:sub>
        </m:sSub>
      </m:oMath>
      <w:r w:rsidR="00C25C85" w:rsidRPr="00BC31E0">
        <w:rPr>
          <w:szCs w:val="24"/>
          <w:vertAlign w:val="subscript"/>
        </w:rPr>
        <w:tab/>
      </w:r>
      <w:r w:rsidR="00C25C85" w:rsidRPr="00BC31E0">
        <w:rPr>
          <w:rFonts w:hint="eastAsia"/>
          <w:szCs w:val="24"/>
        </w:rPr>
        <w:t>：</w:t>
      </w:r>
      <w:r w:rsidR="00C25C85" w:rsidRPr="00BC31E0">
        <w:rPr>
          <w:rFonts w:hint="eastAsia"/>
          <w:szCs w:val="24"/>
        </w:rPr>
        <w:t xml:space="preserve"> </w:t>
      </w:r>
      <w:r w:rsidR="00C25C85" w:rsidRPr="00BC31E0">
        <w:rPr>
          <w:rFonts w:hint="eastAsia"/>
        </w:rPr>
        <w:t>熱応力による二次膜＋曲げ相当応力範囲の許容値</w:t>
      </w:r>
      <w:r w:rsidR="00C25C85" w:rsidRPr="00BC31E0">
        <w:rPr>
          <w:rFonts w:hint="eastAsia"/>
        </w:rPr>
        <w:t>(</w:t>
      </w:r>
      <w:r w:rsidR="00C25C85" w:rsidRPr="00BC31E0">
        <w:rPr>
          <w:rFonts w:ascii="Cambria Math" w:hAnsi="Cambria Math" w:hint="eastAsia"/>
        </w:rPr>
        <w:t>MPa</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hint="eastAsia"/>
          <w:b/>
        </w:rPr>
        <w:t>附属書J</w:t>
      </w:r>
      <w:r w:rsidR="00C25C85" w:rsidRPr="00BC31E0">
        <w:rPr>
          <w:rFonts w:ascii="ＭＳ ゴシック" w:eastAsia="ＭＳ ゴシック"/>
          <w:b/>
        </w:rPr>
        <w:t xml:space="preserve"> 1</w:t>
      </w:r>
      <w:r w:rsidR="00C25C85" w:rsidRPr="00BC31E0">
        <w:rPr>
          <w:rFonts w:hint="eastAsia"/>
        </w:rPr>
        <w:t>)</w:t>
      </w:r>
    </w:p>
    <w:p w14:paraId="48C9E6EA"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S</m:t>
            </m:r>
          </m:e>
          <m:sub>
            <m:r>
              <w:rPr>
                <w:rFonts w:ascii="Cambria Math" w:hAnsi="Cambria Math" w:hint="eastAsia"/>
              </w:rPr>
              <m:t>Qm</m:t>
            </m:r>
          </m:sub>
        </m:sSub>
      </m:oMath>
      <w:r w:rsidR="00C25C85" w:rsidRPr="00BC31E0">
        <w:rPr>
          <w:szCs w:val="24"/>
          <w:vertAlign w:val="subscript"/>
        </w:rPr>
        <w:tab/>
      </w:r>
      <w:r w:rsidR="00C25C85" w:rsidRPr="00BC31E0">
        <w:rPr>
          <w:rFonts w:hint="eastAsia"/>
          <w:szCs w:val="24"/>
        </w:rPr>
        <w:t>：</w:t>
      </w:r>
      <w:r w:rsidR="00C25C85" w:rsidRPr="00BC31E0">
        <w:rPr>
          <w:rFonts w:hint="eastAsia"/>
          <w:szCs w:val="24"/>
        </w:rPr>
        <w:t xml:space="preserve"> </w:t>
      </w:r>
      <w:r w:rsidR="00C25C85" w:rsidRPr="00BC31E0">
        <w:rPr>
          <w:rFonts w:hint="eastAsia"/>
        </w:rPr>
        <w:t>熱応力による二次膜相当応力範囲の許容値</w:t>
      </w:r>
      <w:r w:rsidR="00C25C85" w:rsidRPr="00BC31E0">
        <w:rPr>
          <w:rFonts w:hint="eastAsia"/>
        </w:rPr>
        <w:t>(</w:t>
      </w:r>
      <w:r w:rsidR="00C25C85" w:rsidRPr="00BC31E0">
        <w:rPr>
          <w:rFonts w:ascii="Cambria Math" w:hAnsi="Cambria Math" w:hint="eastAsia"/>
        </w:rPr>
        <w:t>MPa</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hint="eastAsia"/>
          <w:b/>
        </w:rPr>
        <w:t>附属書J</w:t>
      </w:r>
      <w:r w:rsidR="00C25C85" w:rsidRPr="00BC31E0">
        <w:rPr>
          <w:rFonts w:ascii="ＭＳ ゴシック" w:eastAsia="ＭＳ ゴシック"/>
          <w:b/>
        </w:rPr>
        <w:t xml:space="preserve"> 1</w:t>
      </w:r>
      <w:r w:rsidR="00C25C85" w:rsidRPr="00BC31E0">
        <w:rPr>
          <w:rFonts w:hint="eastAsia"/>
        </w:rPr>
        <w:t>)</w:t>
      </w:r>
    </w:p>
    <w:p w14:paraId="04AC84EA"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S</m:t>
            </m:r>
          </m:e>
          <m:sub>
            <m:r>
              <w:rPr>
                <w:rFonts w:ascii="Cambria Math" w:hAnsi="Cambria Math"/>
              </w:rPr>
              <m:t>s</m:t>
            </m:r>
          </m:sub>
        </m:sSub>
      </m:oMath>
      <w:r w:rsidR="00C25C85" w:rsidRPr="00BC31E0">
        <w:t xml:space="preserve"> </w:t>
      </w:r>
      <w:r w:rsidR="00C25C85" w:rsidRPr="00BC31E0">
        <w:rPr>
          <w:rFonts w:hint="eastAsia"/>
        </w:rPr>
        <w:tab/>
      </w:r>
      <w:r w:rsidR="00C25C85" w:rsidRPr="00BC31E0">
        <w:rPr>
          <w:rFonts w:hint="eastAsia"/>
        </w:rPr>
        <w:t>：</w:t>
      </w:r>
      <w:r w:rsidR="00C25C85" w:rsidRPr="00BC31E0">
        <w:rPr>
          <w:rFonts w:hint="eastAsia"/>
        </w:rPr>
        <w:t xml:space="preserve"> </w:t>
      </w:r>
      <w:r w:rsidR="00C25C85" w:rsidRPr="00BC31E0">
        <w:rPr>
          <w:rFonts w:hint="eastAsia"/>
        </w:rPr>
        <w:t>積雪荷重</w:t>
      </w:r>
      <w:r w:rsidR="00C25C85" w:rsidRPr="00BC31E0">
        <w:rPr>
          <w:rFonts w:hint="eastAsia"/>
        </w:rPr>
        <w:t>(</w:t>
      </w:r>
      <w:r w:rsidR="00C25C85" w:rsidRPr="00BC31E0">
        <w:rPr>
          <w:rFonts w:ascii="Cambria Math" w:hAnsi="Cambria Math"/>
        </w:rPr>
        <w:t>N</w:t>
      </w:r>
      <w:r w:rsidR="00C25C85" w:rsidRPr="00BC31E0">
        <w:rPr>
          <w:rFonts w:hint="eastAsia"/>
        </w:rPr>
        <w:t>) (</w:t>
      </w:r>
      <w:r w:rsidR="00C25C85" w:rsidRPr="00BC31E0">
        <w:rPr>
          <w:rFonts w:asciiTheme="majorEastAsia" w:eastAsiaTheme="majorEastAsia" w:hAnsiTheme="majorEastAsia" w:hint="eastAsia"/>
          <w:b/>
        </w:rPr>
        <w:t>表6.2.2</w:t>
      </w:r>
      <w:r w:rsidR="00C25C85" w:rsidRPr="00BC31E0">
        <w:rPr>
          <w:rFonts w:asciiTheme="minorEastAsia" w:eastAsiaTheme="minorEastAsia" w:hAnsiTheme="minorEastAsia" w:hint="eastAsia"/>
        </w:rPr>
        <w:t>，</w:t>
      </w:r>
      <w:r w:rsidR="00C25C85" w:rsidRPr="00BC31E0">
        <w:rPr>
          <w:rFonts w:asciiTheme="majorEastAsia" w:eastAsiaTheme="majorEastAsia" w:hAnsiTheme="majorEastAsia" w:hint="eastAsia"/>
          <w:b/>
        </w:rPr>
        <w:t>附属書J 表J.1</w:t>
      </w:r>
      <w:r w:rsidR="00C25C85" w:rsidRPr="00BC31E0">
        <w:rPr>
          <w:rFonts w:hint="eastAsia"/>
        </w:rPr>
        <w:t>)</w:t>
      </w:r>
    </w:p>
    <w:p w14:paraId="6973B9AE"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S</m:t>
            </m:r>
          </m:e>
          <m:sub>
            <m:r>
              <w:rPr>
                <w:rFonts w:ascii="Cambria Math" w:hAnsi="Cambria Math" w:hint="eastAsia"/>
              </w:rPr>
              <m:t>T</m:t>
            </m:r>
          </m:sub>
        </m:sSub>
      </m:oMath>
      <w:r w:rsidR="00C25C85" w:rsidRPr="00BC31E0">
        <w:rPr>
          <w:szCs w:val="24"/>
          <w:vertAlign w:val="subscript"/>
        </w:rPr>
        <w:tab/>
      </w:r>
      <w:r w:rsidR="00C25C85" w:rsidRPr="00BC31E0">
        <w:rPr>
          <w:rFonts w:hint="eastAsia"/>
          <w:szCs w:val="24"/>
        </w:rPr>
        <w:t>：</w:t>
      </w:r>
      <w:r w:rsidR="00C25C85" w:rsidRPr="00BC31E0">
        <w:rPr>
          <w:rFonts w:hint="eastAsia"/>
          <w:szCs w:val="24"/>
        </w:rPr>
        <w:t xml:space="preserve"> </w:t>
      </w:r>
      <w:r w:rsidR="00C25C85" w:rsidRPr="00BC31E0">
        <w:rPr>
          <w:rFonts w:hint="eastAsia"/>
        </w:rPr>
        <w:t>ねじのたわみ係数</w:t>
      </w:r>
      <w:r w:rsidR="00C25C85" w:rsidRPr="00BC31E0">
        <w:rPr>
          <w:rFonts w:hint="eastAsia"/>
        </w:rPr>
        <w:t>(</w:t>
      </w:r>
      <w:r w:rsidR="00C25C85" w:rsidRPr="00BC31E0">
        <w:rPr>
          <w:rFonts w:ascii="Cambria Math" w:hAnsi="Cambria Math" w:hint="eastAsia"/>
        </w:rPr>
        <w:t>1/mm</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hint="eastAsia"/>
          <w:b/>
        </w:rPr>
        <w:t>附属書G</w:t>
      </w:r>
      <w:r w:rsidR="00C25C85" w:rsidRPr="00BC31E0">
        <w:rPr>
          <w:rFonts w:ascii="ＭＳ ゴシック" w:eastAsia="ＭＳ ゴシック"/>
          <w:b/>
        </w:rPr>
        <w:t xml:space="preserve"> 4</w:t>
      </w:r>
      <w:r w:rsidR="00C25C85" w:rsidRPr="00BC31E0">
        <w:rPr>
          <w:rFonts w:hint="eastAsia"/>
        </w:rPr>
        <w:t>)</w:t>
      </w:r>
    </w:p>
    <w:bookmarkStart w:id="143" w:name="_Hlk52264479"/>
    <w:p w14:paraId="17A73CA7" w14:textId="77777777" w:rsidR="00C25C85" w:rsidRPr="00BC31E0" w:rsidRDefault="00A51873" w:rsidP="008234D1">
      <w:pPr>
        <w:tabs>
          <w:tab w:val="left" w:pos="1276"/>
        </w:tabs>
        <w:autoSpaceDE w:val="0"/>
        <w:autoSpaceDN w:val="0"/>
        <w:ind w:left="1644" w:hanging="1077"/>
      </w:pPr>
      <m:oMath>
        <m:sSub>
          <m:sSubPr>
            <m:ctrlPr>
              <w:rPr>
                <w:rFonts w:ascii="Cambria Math" w:hAnsi="Cambria Math"/>
                <w:i/>
              </w:rPr>
            </m:ctrlPr>
          </m:sSubPr>
          <m:e>
            <m:r>
              <w:rPr>
                <w:rFonts w:ascii="Cambria Math" w:hAnsi="Cambria Math"/>
              </w:rPr>
              <m:t>S</m:t>
            </m:r>
          </m:e>
          <m:sub>
            <m:r>
              <w:rPr>
                <w:rFonts w:ascii="Cambria Math" w:hAnsi="Cambria Math"/>
              </w:rPr>
              <m:t>u</m:t>
            </m:r>
          </m:sub>
        </m:sSub>
      </m:oMath>
      <w:bookmarkEnd w:id="143"/>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運転サイクル中の最高温度と最低温度の平均温度における引張強さ</w:t>
      </w:r>
      <w:r w:rsidR="00C25C85" w:rsidRPr="00BC31E0">
        <w:rPr>
          <w:rFonts w:hint="eastAsia"/>
        </w:rPr>
        <w:t>(</w:t>
      </w:r>
      <w:r w:rsidR="00C25C85" w:rsidRPr="00BC31E0">
        <w:rPr>
          <w:rFonts w:ascii="Cambria Math" w:hAnsi="Cambria Math"/>
        </w:rPr>
        <w:t>MPa</w:t>
      </w:r>
      <w:r w:rsidR="00C25C85" w:rsidRPr="00BC31E0">
        <w:rPr>
          <w:rFonts w:hint="eastAsia"/>
        </w:rPr>
        <w:t>)</w:t>
      </w:r>
      <w:r w:rsidR="00C25C85" w:rsidRPr="00BC31E0">
        <w:rPr>
          <w:rFonts w:hint="eastAsia"/>
          <w:position w:val="-6"/>
        </w:rPr>
        <w:t xml:space="preserve"> </w:t>
      </w:r>
      <w:r w:rsidR="00C25C85" w:rsidRPr="00BC31E0">
        <w:rPr>
          <w:rFonts w:hint="eastAsia"/>
        </w:rPr>
        <w:lastRenderedPageBreak/>
        <w:t>(</w:t>
      </w:r>
      <w:r w:rsidR="00C25C85" w:rsidRPr="00BC31E0">
        <w:rPr>
          <w:rFonts w:ascii="ＭＳ ゴシック" w:eastAsia="ＭＳ ゴシック"/>
          <w:b/>
        </w:rPr>
        <w:t>6.3.5</w:t>
      </w:r>
      <w:r w:rsidR="00C25C85" w:rsidRPr="00BC31E0">
        <w:rPr>
          <w:rFonts w:hint="eastAsia"/>
        </w:rPr>
        <w:t>)</w:t>
      </w:r>
    </w:p>
    <w:p w14:paraId="05CE907D" w14:textId="77777777" w:rsidR="00C25C85" w:rsidRPr="00BC31E0" w:rsidRDefault="00C25C85" w:rsidP="008234D1">
      <w:pPr>
        <w:tabs>
          <w:tab w:val="left" w:pos="1276"/>
        </w:tabs>
        <w:autoSpaceDE w:val="0"/>
        <w:autoSpaceDN w:val="0"/>
        <w:ind w:left="1588" w:hanging="1021"/>
      </w:pPr>
      <w:r w:rsidRPr="00BC31E0">
        <w:rPr>
          <w:rFonts w:hint="eastAsia"/>
        </w:rPr>
        <w:tab/>
      </w:r>
      <w:r w:rsidRPr="00BC31E0">
        <w:rPr>
          <w:rFonts w:hint="eastAsia"/>
        </w:rPr>
        <w:t>：</w:t>
      </w:r>
      <w:r w:rsidRPr="00BC31E0">
        <w:rPr>
          <w:rFonts w:hint="eastAsia"/>
        </w:rPr>
        <w:t xml:space="preserve"> </w:t>
      </w:r>
      <w:r w:rsidRPr="00BC31E0">
        <w:rPr>
          <w:rFonts w:hint="eastAsia"/>
        </w:rPr>
        <w:t>設計温度における引張強さ</w:t>
      </w:r>
      <w:r w:rsidRPr="00BC31E0">
        <w:rPr>
          <w:rFonts w:hint="eastAsia"/>
        </w:rPr>
        <w:t>(</w:t>
      </w:r>
      <w:r w:rsidRPr="00BC31E0">
        <w:rPr>
          <w:rFonts w:ascii="Cambria Math" w:hAnsi="Cambria Math"/>
        </w:rPr>
        <w:t>MPa</w:t>
      </w:r>
      <w:r w:rsidRPr="00BC31E0">
        <w:rPr>
          <w:rFonts w:hint="eastAsia"/>
        </w:rPr>
        <w:t>)</w:t>
      </w:r>
      <w:r w:rsidRPr="00BC31E0">
        <w:rPr>
          <w:rFonts w:hint="eastAsia"/>
          <w:position w:val="-6"/>
        </w:rPr>
        <w:t xml:space="preserve"> </w:t>
      </w:r>
      <w:r w:rsidRPr="00BC31E0">
        <w:rPr>
          <w:rFonts w:hint="eastAsia"/>
        </w:rPr>
        <w:t>(</w:t>
      </w:r>
      <w:r w:rsidRPr="00BC31E0">
        <w:rPr>
          <w:rFonts w:asciiTheme="majorEastAsia" w:eastAsiaTheme="majorEastAsia" w:hAnsiTheme="majorEastAsia" w:hint="eastAsia"/>
          <w:b/>
          <w:bCs/>
        </w:rPr>
        <w:t>5.4</w:t>
      </w:r>
      <w:r w:rsidRPr="00BC31E0">
        <w:rPr>
          <w:rFonts w:asciiTheme="minorEastAsia" w:eastAsiaTheme="minorEastAsia" w:hAnsiTheme="minorEastAsia" w:hint="eastAsia"/>
        </w:rPr>
        <w:t>，</w:t>
      </w:r>
      <w:r w:rsidRPr="00BC31E0">
        <w:rPr>
          <w:rFonts w:ascii="ＭＳ ゴシック" w:eastAsia="ＭＳ ゴシック"/>
          <w:b/>
        </w:rPr>
        <w:t>6.</w:t>
      </w:r>
      <w:r w:rsidRPr="00BC31E0">
        <w:rPr>
          <w:rFonts w:ascii="ＭＳ ゴシック" w:eastAsia="ＭＳ ゴシック" w:hint="eastAsia"/>
          <w:b/>
        </w:rPr>
        <w:t>2</w:t>
      </w:r>
      <w:r w:rsidRPr="00BC31E0">
        <w:rPr>
          <w:rFonts w:ascii="ＭＳ ゴシック" w:eastAsia="ＭＳ ゴシック"/>
          <w:b/>
        </w:rPr>
        <w:t>.</w:t>
      </w:r>
      <w:r w:rsidRPr="00BC31E0">
        <w:rPr>
          <w:rFonts w:ascii="ＭＳ ゴシック" w:eastAsia="ＭＳ ゴシック" w:hint="eastAsia"/>
          <w:b/>
        </w:rPr>
        <w:t>2</w:t>
      </w:r>
      <w:r w:rsidRPr="00BC31E0">
        <w:rPr>
          <w:rFonts w:asciiTheme="minorEastAsia" w:eastAsiaTheme="minorEastAsia" w:hAnsiTheme="minorEastAsia" w:hint="eastAsia"/>
        </w:rPr>
        <w:t>，</w:t>
      </w:r>
      <w:r w:rsidRPr="00BC31E0">
        <w:rPr>
          <w:rFonts w:ascii="ＭＳ ゴシック" w:eastAsia="ＭＳ ゴシック" w:hint="eastAsia"/>
          <w:b/>
        </w:rPr>
        <w:t>表6.2.5</w:t>
      </w:r>
      <w:r w:rsidRPr="00BC31E0">
        <w:rPr>
          <w:rFonts w:hint="eastAsia"/>
        </w:rPr>
        <w:t>)</w:t>
      </w:r>
    </w:p>
    <w:p w14:paraId="6089B944" w14:textId="77777777" w:rsidR="00C25C85" w:rsidRPr="00BC31E0" w:rsidRDefault="00C25C85" w:rsidP="008234D1">
      <w:pPr>
        <w:tabs>
          <w:tab w:val="left" w:pos="1276"/>
        </w:tabs>
        <w:autoSpaceDE w:val="0"/>
        <w:autoSpaceDN w:val="0"/>
        <w:ind w:left="1588" w:hanging="1021"/>
      </w:pPr>
      <w:r w:rsidRPr="00BC31E0">
        <w:rPr>
          <w:rFonts w:hint="eastAsia"/>
        </w:rPr>
        <w:tab/>
      </w:r>
      <w:r w:rsidRPr="00BC31E0">
        <w:rPr>
          <w:rFonts w:hint="eastAsia"/>
        </w:rPr>
        <w:t>：</w:t>
      </w:r>
      <w:r w:rsidRPr="00BC31E0">
        <w:rPr>
          <w:rFonts w:hint="eastAsia"/>
        </w:rPr>
        <w:t xml:space="preserve"> </w:t>
      </w:r>
      <w:r w:rsidRPr="00BC31E0">
        <w:rPr>
          <w:rFonts w:hint="eastAsia"/>
        </w:rPr>
        <w:t>解析温度における引張強さ</w:t>
      </w:r>
      <w:r w:rsidRPr="00BC31E0">
        <w:rPr>
          <w:rFonts w:hint="eastAsia"/>
        </w:rPr>
        <w:t>(</w:t>
      </w:r>
      <w:r w:rsidRPr="00BC31E0">
        <w:rPr>
          <w:rFonts w:ascii="Cambria Math" w:hAnsi="Cambria Math"/>
        </w:rPr>
        <w:t>MPa</w:t>
      </w:r>
      <w:r w:rsidRPr="00BC31E0">
        <w:rPr>
          <w:rFonts w:hint="eastAsia"/>
        </w:rPr>
        <w:t>)</w:t>
      </w:r>
      <w:r w:rsidRPr="00BC31E0">
        <w:rPr>
          <w:rFonts w:hint="eastAsia"/>
          <w:position w:val="-6"/>
        </w:rPr>
        <w:t xml:space="preserve"> </w:t>
      </w:r>
      <w:r w:rsidRPr="00BC31E0">
        <w:rPr>
          <w:rFonts w:hint="eastAsia"/>
        </w:rPr>
        <w:t>(</w:t>
      </w:r>
      <w:r w:rsidRPr="00BC31E0">
        <w:rPr>
          <w:rFonts w:asciiTheme="majorEastAsia" w:eastAsiaTheme="majorEastAsia" w:hAnsiTheme="majorEastAsia" w:hint="eastAsia"/>
          <w:b/>
        </w:rPr>
        <w:t>6</w:t>
      </w:r>
      <w:r w:rsidRPr="00BC31E0">
        <w:rPr>
          <w:rFonts w:asciiTheme="majorEastAsia" w:eastAsiaTheme="majorEastAsia" w:hAnsiTheme="majorEastAsia"/>
          <w:b/>
        </w:rPr>
        <w:t>.</w:t>
      </w:r>
      <w:r w:rsidRPr="00BC31E0">
        <w:rPr>
          <w:rFonts w:asciiTheme="majorEastAsia" w:eastAsiaTheme="majorEastAsia" w:hAnsiTheme="majorEastAsia" w:hint="eastAsia"/>
          <w:b/>
        </w:rPr>
        <w:t>2</w:t>
      </w:r>
      <w:r w:rsidRPr="00BC31E0">
        <w:rPr>
          <w:rFonts w:asciiTheme="majorEastAsia" w:eastAsiaTheme="majorEastAsia" w:hAnsiTheme="majorEastAsia"/>
          <w:b/>
        </w:rPr>
        <w:t>.</w:t>
      </w:r>
      <w:r w:rsidRPr="00BC31E0">
        <w:rPr>
          <w:rFonts w:asciiTheme="majorEastAsia" w:eastAsiaTheme="majorEastAsia" w:hAnsiTheme="majorEastAsia" w:hint="eastAsia"/>
          <w:b/>
        </w:rPr>
        <w:t>3</w:t>
      </w:r>
      <w:r w:rsidRPr="00BC31E0">
        <w:rPr>
          <w:rFonts w:hint="eastAsia"/>
        </w:rPr>
        <w:t>)</w:t>
      </w:r>
    </w:p>
    <w:p w14:paraId="1E9545D7" w14:textId="77777777" w:rsidR="00C25C85" w:rsidRPr="00BC31E0" w:rsidRDefault="00C25C85" w:rsidP="008234D1">
      <w:pPr>
        <w:tabs>
          <w:tab w:val="left" w:pos="1276"/>
        </w:tabs>
        <w:autoSpaceDE w:val="0"/>
        <w:autoSpaceDN w:val="0"/>
        <w:ind w:left="1588" w:hanging="1021"/>
      </w:pPr>
      <w:r w:rsidRPr="00BC31E0">
        <w:rPr>
          <w:rFonts w:hint="eastAsia"/>
        </w:rPr>
        <w:tab/>
      </w:r>
      <w:r w:rsidRPr="00BC31E0">
        <w:rPr>
          <w:rFonts w:hint="eastAsia"/>
        </w:rPr>
        <w:t>：</w:t>
      </w:r>
      <w:r w:rsidRPr="00BC31E0">
        <w:rPr>
          <w:rFonts w:hint="eastAsia"/>
        </w:rPr>
        <w:t xml:space="preserve"> </w:t>
      </w:r>
      <w:r w:rsidRPr="00BC31E0">
        <w:rPr>
          <w:rFonts w:hint="eastAsia"/>
        </w:rPr>
        <w:t>試験温度における引張強さ</w:t>
      </w:r>
      <w:r w:rsidRPr="00BC31E0">
        <w:rPr>
          <w:rFonts w:hint="eastAsia"/>
        </w:rPr>
        <w:t>(</w:t>
      </w:r>
      <w:r w:rsidRPr="00BC31E0">
        <w:rPr>
          <w:rFonts w:ascii="Cambria Math" w:hAnsi="Cambria Math"/>
        </w:rPr>
        <w:t>MPa</w:t>
      </w:r>
      <w:r w:rsidRPr="00BC31E0">
        <w:rPr>
          <w:rFonts w:hint="eastAsia"/>
        </w:rPr>
        <w:t>)</w:t>
      </w:r>
      <w:r w:rsidRPr="00BC31E0">
        <w:rPr>
          <w:rFonts w:hint="eastAsia"/>
          <w:position w:val="-6"/>
        </w:rPr>
        <w:t xml:space="preserve"> </w:t>
      </w:r>
      <w:r w:rsidRPr="00BC31E0">
        <w:rPr>
          <w:rFonts w:hint="eastAsia"/>
        </w:rPr>
        <w:t>(</w:t>
      </w:r>
      <w:r w:rsidRPr="00BC31E0">
        <w:rPr>
          <w:rFonts w:ascii="ＭＳ ゴシック" w:eastAsia="ＭＳ ゴシック" w:hint="eastAsia"/>
          <w:b/>
        </w:rPr>
        <w:t>10</w:t>
      </w:r>
      <w:r w:rsidRPr="00BC31E0">
        <w:rPr>
          <w:rFonts w:ascii="ＭＳ ゴシック" w:eastAsia="ＭＳ ゴシック"/>
          <w:b/>
        </w:rPr>
        <w:t>.</w:t>
      </w:r>
      <w:r w:rsidRPr="00BC31E0">
        <w:rPr>
          <w:rFonts w:ascii="ＭＳ ゴシック" w:eastAsia="ＭＳ ゴシック" w:hint="eastAsia"/>
          <w:b/>
        </w:rPr>
        <w:t>3</w:t>
      </w:r>
      <w:r w:rsidRPr="00BC31E0">
        <w:rPr>
          <w:rFonts w:ascii="ＭＳ ゴシック" w:eastAsia="ＭＳ ゴシック"/>
          <w:b/>
        </w:rPr>
        <w:t>.</w:t>
      </w:r>
      <w:r w:rsidRPr="00BC31E0">
        <w:rPr>
          <w:rFonts w:ascii="ＭＳ ゴシック" w:eastAsia="ＭＳ ゴシック" w:hint="eastAsia"/>
          <w:b/>
        </w:rPr>
        <w:t>2</w:t>
      </w:r>
      <w:r w:rsidRPr="00BC31E0">
        <w:rPr>
          <w:rFonts w:hint="eastAsia"/>
        </w:rPr>
        <w:t>)</w:t>
      </w:r>
    </w:p>
    <w:p w14:paraId="5FA4FE4E" w14:textId="77777777" w:rsidR="00C25C85" w:rsidRPr="00BC31E0" w:rsidRDefault="00C25C85" w:rsidP="008234D1">
      <w:pPr>
        <w:tabs>
          <w:tab w:val="left" w:pos="1276"/>
        </w:tabs>
        <w:autoSpaceDE w:val="0"/>
        <w:autoSpaceDN w:val="0"/>
        <w:ind w:left="1588" w:hanging="1021"/>
      </w:pPr>
      <w:r w:rsidRPr="00BC31E0">
        <w:rPr>
          <w:rFonts w:hint="eastAsia"/>
        </w:rPr>
        <w:tab/>
      </w:r>
      <w:r w:rsidRPr="00BC31E0">
        <w:rPr>
          <w:rFonts w:hint="eastAsia"/>
        </w:rPr>
        <w:t>：</w:t>
      </w:r>
      <w:r w:rsidRPr="00BC31E0">
        <w:rPr>
          <w:rFonts w:hint="eastAsia"/>
        </w:rPr>
        <w:t xml:space="preserve"> </w:t>
      </w:r>
      <w:r w:rsidRPr="00BC31E0">
        <w:rPr>
          <w:rFonts w:hint="eastAsia"/>
        </w:rPr>
        <w:t>室温における引張強さ</w:t>
      </w:r>
      <w:r w:rsidRPr="00BC31E0">
        <w:rPr>
          <w:rFonts w:hint="eastAsia"/>
        </w:rPr>
        <w:t>(</w:t>
      </w:r>
      <w:r w:rsidRPr="00BC31E0">
        <w:rPr>
          <w:rFonts w:ascii="Cambria Math" w:hAnsi="Cambria Math"/>
        </w:rPr>
        <w:t>MPa</w:t>
      </w:r>
      <w:r w:rsidRPr="00BC31E0">
        <w:rPr>
          <w:rFonts w:hint="eastAsia"/>
        </w:rPr>
        <w:t>)</w:t>
      </w:r>
      <w:r w:rsidRPr="00BC31E0">
        <w:rPr>
          <w:rFonts w:hint="eastAsia"/>
          <w:position w:val="-6"/>
        </w:rPr>
        <w:t xml:space="preserve"> </w:t>
      </w:r>
      <w:r w:rsidRPr="00BC31E0">
        <w:rPr>
          <w:rFonts w:hint="eastAsia"/>
        </w:rPr>
        <w:t>(</w:t>
      </w:r>
      <w:r w:rsidRPr="00BC31E0">
        <w:rPr>
          <w:rFonts w:ascii="ＭＳ ゴシック" w:eastAsia="ＭＳ ゴシック" w:hint="eastAsia"/>
          <w:b/>
        </w:rPr>
        <w:t>附属書J</w:t>
      </w:r>
      <w:r w:rsidRPr="00BC31E0">
        <w:rPr>
          <w:rFonts w:ascii="ＭＳ ゴシック" w:eastAsia="ＭＳ ゴシック"/>
          <w:b/>
        </w:rPr>
        <w:t xml:space="preserve"> 1</w:t>
      </w:r>
      <w:r w:rsidRPr="00BC31E0">
        <w:rPr>
          <w:rFonts w:hint="eastAsia"/>
        </w:rPr>
        <w:t>)</w:t>
      </w:r>
    </w:p>
    <w:p w14:paraId="57BCCED3"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S</m:t>
            </m:r>
          </m:e>
          <m:sub>
            <m:r>
              <w:rPr>
                <w:rFonts w:ascii="Cambria Math" w:hAnsi="Cambria Math"/>
              </w:rPr>
              <m:t>u</m:t>
            </m:r>
            <m:r>
              <w:rPr>
                <w:rFonts w:ascii="Cambria Math" w:hAnsi="Cambria Math" w:hint="eastAsia"/>
              </w:rPr>
              <m:t>j</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設計温度における多層容器各層の引張強さ</w:t>
      </w:r>
      <w:r w:rsidR="00C25C85" w:rsidRPr="00BC31E0">
        <w:rPr>
          <w:rFonts w:hint="eastAsia"/>
        </w:rPr>
        <w:t>(</w:t>
      </w:r>
      <w:r w:rsidR="00C25C85" w:rsidRPr="00BC31E0">
        <w:rPr>
          <w:rFonts w:ascii="Cambria Math" w:hAnsi="Cambria Math"/>
        </w:rPr>
        <w:t>MPa</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b/>
        </w:rPr>
        <w:t>6.</w:t>
      </w:r>
      <w:r w:rsidR="00C25C85" w:rsidRPr="00BC31E0">
        <w:rPr>
          <w:rFonts w:ascii="ＭＳ ゴシック" w:eastAsia="ＭＳ ゴシック" w:hint="eastAsia"/>
          <w:b/>
        </w:rPr>
        <w:t>2</w:t>
      </w:r>
      <w:r w:rsidR="00C25C85" w:rsidRPr="00BC31E0">
        <w:rPr>
          <w:rFonts w:ascii="ＭＳ ゴシック" w:eastAsia="ＭＳ ゴシック"/>
          <w:b/>
        </w:rPr>
        <w:t>.</w:t>
      </w:r>
      <w:r w:rsidR="00C25C85" w:rsidRPr="00BC31E0">
        <w:rPr>
          <w:rFonts w:ascii="ＭＳ ゴシック" w:eastAsia="ＭＳ ゴシック" w:hint="eastAsia"/>
          <w:b/>
        </w:rPr>
        <w:t>2</w:t>
      </w:r>
      <w:r w:rsidR="00C25C85" w:rsidRPr="00BC31E0">
        <w:rPr>
          <w:rFonts w:hint="eastAsia"/>
        </w:rPr>
        <w:t>)</w:t>
      </w:r>
    </w:p>
    <w:p w14:paraId="0157625A" w14:textId="77777777" w:rsidR="00C25C85" w:rsidRPr="00BC31E0" w:rsidRDefault="00C25C85" w:rsidP="008234D1">
      <w:pPr>
        <w:tabs>
          <w:tab w:val="left" w:pos="1276"/>
        </w:tabs>
        <w:autoSpaceDE w:val="0"/>
        <w:autoSpaceDN w:val="0"/>
        <w:ind w:left="1588" w:hanging="1021"/>
      </w:pPr>
      <w:r w:rsidRPr="00BC31E0">
        <w:rPr>
          <w:rFonts w:hint="eastAsia"/>
        </w:rPr>
        <w:tab/>
      </w:r>
      <w:r w:rsidRPr="00BC31E0">
        <w:rPr>
          <w:rFonts w:hint="eastAsia"/>
        </w:rPr>
        <w:t>：</w:t>
      </w:r>
      <w:r w:rsidRPr="00BC31E0">
        <w:rPr>
          <w:rFonts w:hint="eastAsia"/>
        </w:rPr>
        <w:t xml:space="preserve"> </w:t>
      </w:r>
      <w:r w:rsidRPr="00BC31E0">
        <w:rPr>
          <w:rFonts w:hint="eastAsia"/>
        </w:rPr>
        <w:t>試験温度における多層容器各層の引張強さ</w:t>
      </w:r>
      <w:r w:rsidRPr="00BC31E0">
        <w:rPr>
          <w:rFonts w:hint="eastAsia"/>
        </w:rPr>
        <w:t>(</w:t>
      </w:r>
      <w:r w:rsidRPr="00BC31E0">
        <w:rPr>
          <w:rFonts w:ascii="Cambria Math" w:hAnsi="Cambria Math"/>
        </w:rPr>
        <w:t>MPa</w:t>
      </w:r>
      <w:r w:rsidRPr="00BC31E0">
        <w:rPr>
          <w:rFonts w:hint="eastAsia"/>
        </w:rPr>
        <w:t>)</w:t>
      </w:r>
      <w:r w:rsidRPr="00BC31E0">
        <w:rPr>
          <w:rFonts w:hint="eastAsia"/>
          <w:position w:val="-6"/>
        </w:rPr>
        <w:t xml:space="preserve"> </w:t>
      </w:r>
      <w:r w:rsidRPr="00BC31E0">
        <w:rPr>
          <w:rFonts w:hint="eastAsia"/>
        </w:rPr>
        <w:t>(</w:t>
      </w:r>
      <w:r w:rsidRPr="00BC31E0">
        <w:rPr>
          <w:rFonts w:ascii="ＭＳ ゴシック" w:eastAsia="ＭＳ ゴシック" w:hint="eastAsia"/>
          <w:b/>
        </w:rPr>
        <w:t>10</w:t>
      </w:r>
      <w:r w:rsidRPr="00BC31E0">
        <w:rPr>
          <w:rFonts w:ascii="ＭＳ ゴシック" w:eastAsia="ＭＳ ゴシック"/>
          <w:b/>
        </w:rPr>
        <w:t>.</w:t>
      </w:r>
      <w:r w:rsidRPr="00BC31E0">
        <w:rPr>
          <w:rFonts w:ascii="ＭＳ ゴシック" w:eastAsia="ＭＳ ゴシック" w:hint="eastAsia"/>
          <w:b/>
        </w:rPr>
        <w:t>3</w:t>
      </w:r>
      <w:r w:rsidRPr="00BC31E0">
        <w:rPr>
          <w:rFonts w:ascii="ＭＳ ゴシック" w:eastAsia="ＭＳ ゴシック"/>
          <w:b/>
        </w:rPr>
        <w:t>.</w:t>
      </w:r>
      <w:r w:rsidRPr="00BC31E0">
        <w:rPr>
          <w:rFonts w:ascii="ＭＳ ゴシック" w:eastAsia="ＭＳ ゴシック" w:hint="eastAsia"/>
          <w:b/>
        </w:rPr>
        <w:t>2</w:t>
      </w:r>
      <w:r w:rsidRPr="00BC31E0">
        <w:rPr>
          <w:rFonts w:hint="eastAsia"/>
        </w:rPr>
        <w:t>)</w:t>
      </w:r>
    </w:p>
    <w:bookmarkStart w:id="144" w:name="_Hlk52798925"/>
    <w:p w14:paraId="1064C72D"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S</m:t>
            </m:r>
          </m:e>
          <m:sub>
            <m:r>
              <w:rPr>
                <w:rFonts w:ascii="Cambria Math" w:hAnsi="Cambria Math"/>
              </w:rPr>
              <m:t>u</m:t>
            </m:r>
            <m:r>
              <w:rPr>
                <w:rFonts w:ascii="Cambria Math" w:hAnsi="Cambria Math" w:hint="eastAsia"/>
              </w:rPr>
              <m:t>20</m:t>
            </m:r>
            <m:r>
              <w:rPr>
                <w:rFonts w:ascii="Cambria Math" w:hAnsi="Cambria Math"/>
              </w:rPr>
              <m:t>℃</m:t>
            </m:r>
          </m:sub>
        </m:sSub>
      </m:oMath>
      <w:r w:rsidR="00C25C85" w:rsidRPr="00BC31E0">
        <w:rPr>
          <w:szCs w:val="24"/>
          <w:vertAlign w:val="subscript"/>
        </w:rPr>
        <w:tab/>
      </w:r>
      <w:bookmarkEnd w:id="144"/>
      <w:r w:rsidR="00C25C85" w:rsidRPr="00BC31E0">
        <w:rPr>
          <w:rFonts w:hint="eastAsia"/>
        </w:rPr>
        <w:t>：</w:t>
      </w:r>
      <w:r w:rsidR="00C25C85" w:rsidRPr="00BC31E0">
        <w:rPr>
          <w:rFonts w:hint="eastAsia"/>
        </w:rPr>
        <w:t xml:space="preserve"> </w:t>
      </w:r>
      <w:r w:rsidR="008473E9" w:rsidRPr="00BC31E0">
        <w:rPr>
          <w:rFonts w:hint="eastAsia"/>
        </w:rPr>
        <w:t>規定</w:t>
      </w:r>
      <w:r w:rsidR="00C25C85" w:rsidRPr="00BC31E0">
        <w:rPr>
          <w:rFonts w:hint="eastAsia"/>
        </w:rPr>
        <w:t>最小引張強さ又は</w:t>
      </w:r>
      <m:oMath>
        <m:r>
          <m:rPr>
            <m:sty m:val="p"/>
          </m:rPr>
          <w:rPr>
            <w:rFonts w:ascii="Cambria Math" w:hAnsi="Cambria Math" w:hint="eastAsia"/>
          </w:rPr>
          <m:t xml:space="preserve"> 20 </m:t>
        </m:r>
        <m:r>
          <m:rPr>
            <m:sty m:val="p"/>
          </m:rPr>
          <w:rPr>
            <w:rFonts w:ascii="Cambria Math" w:hAnsi="Cambria Math"/>
          </w:rPr>
          <m:t>℃</m:t>
        </m:r>
        <m:r>
          <m:rPr>
            <m:sty m:val="p"/>
          </m:rPr>
          <w:rPr>
            <w:rFonts w:ascii="Cambria Math" w:hAnsi="Cambria Math" w:hint="eastAsia"/>
          </w:rPr>
          <m:t xml:space="preserve"> </m:t>
        </m:r>
      </m:oMath>
      <w:r w:rsidR="00C25C85" w:rsidRPr="00BC31E0">
        <w:rPr>
          <w:rFonts w:hint="eastAsia"/>
        </w:rPr>
        <w:t>における</w:t>
      </w:r>
      <m:oMath>
        <m:sSub>
          <m:sSubPr>
            <m:ctrlPr>
              <w:rPr>
                <w:rFonts w:ascii="Cambria Math" w:hAnsi="Cambria Math"/>
                <w:i/>
              </w:rPr>
            </m:ctrlPr>
          </m:sSubPr>
          <m:e>
            <m:r>
              <w:rPr>
                <w:rFonts w:ascii="Cambria Math" w:hAnsi="Cambria Math" w:hint="eastAsia"/>
              </w:rPr>
              <m:t xml:space="preserve"> </m:t>
            </m:r>
            <m:r>
              <w:rPr>
                <w:rFonts w:ascii="Cambria Math" w:hAnsi="Cambria Math"/>
              </w:rPr>
              <m:t>S</m:t>
            </m:r>
          </m:e>
          <m:sub>
            <m:r>
              <w:rPr>
                <w:rFonts w:ascii="Cambria Math" w:hAnsi="Cambria Math"/>
              </w:rPr>
              <m:t>u</m:t>
            </m:r>
          </m:sub>
        </m:sSub>
      </m:oMath>
      <w:r w:rsidR="00C25C85" w:rsidRPr="00BC31E0">
        <w:rPr>
          <w:rFonts w:hint="eastAsia"/>
        </w:rPr>
        <w:t>(</w:t>
      </w:r>
      <w:r w:rsidR="00C25C85" w:rsidRPr="00BC31E0">
        <w:rPr>
          <w:rFonts w:ascii="Cambria Math" w:hAnsi="Cambria Math"/>
        </w:rPr>
        <w:t>MPa</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hint="eastAsia"/>
          <w:b/>
        </w:rPr>
        <w:t>5.4</w:t>
      </w:r>
      <w:r w:rsidR="00C25C85" w:rsidRPr="00BC31E0">
        <w:rPr>
          <w:rFonts w:hint="eastAsia"/>
        </w:rPr>
        <w:t>)</w:t>
      </w:r>
    </w:p>
    <w:p w14:paraId="0539D0D6"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S</m:t>
            </m:r>
          </m:e>
          <m:sub>
            <m:r>
              <w:rPr>
                <w:rFonts w:ascii="Cambria Math" w:hAnsi="Cambria Math"/>
              </w:rPr>
              <m:t>w</m:t>
            </m:r>
          </m:sub>
        </m:sSub>
        <m:d>
          <m:dPr>
            <m:ctrlPr>
              <w:rPr>
                <w:rFonts w:ascii="Cambria Math" w:hAnsi="Cambria Math"/>
              </w:rPr>
            </m:ctrlPr>
          </m:dPr>
          <m:e>
            <m:r>
              <w:rPr>
                <w:rFonts w:ascii="Cambria Math" w:hAnsi="Cambria Math"/>
              </w:rPr>
              <m:t>x</m:t>
            </m:r>
          </m:e>
        </m:d>
      </m:oMath>
      <w:r w:rsidR="00C25C85" w:rsidRPr="00BC31E0">
        <w:rPr>
          <w:rFonts w:hint="eastAsia"/>
          <w:szCs w:val="24"/>
        </w:rPr>
        <w:tab/>
      </w:r>
      <w:r w:rsidR="00C25C85" w:rsidRPr="00BC31E0">
        <w:rPr>
          <w:rFonts w:hint="eastAsia"/>
        </w:rPr>
        <w:t>：</w:t>
      </w:r>
      <w:r w:rsidR="00C25C85" w:rsidRPr="00BC31E0">
        <w:rPr>
          <w:rFonts w:hint="eastAsia"/>
        </w:rPr>
        <w:t xml:space="preserve"> </w:t>
      </w:r>
      <w:r w:rsidR="00C25C85" w:rsidRPr="00BC31E0">
        <w:rPr>
          <w:rFonts w:hint="eastAsia"/>
        </w:rPr>
        <w:t>任意の径</w:t>
      </w:r>
      <w:r w:rsidR="00C25C85" w:rsidRPr="00BC31E0">
        <w:rPr>
          <w:rFonts w:hint="eastAsia"/>
        </w:rPr>
        <w:t>(</w:t>
      </w:r>
      <m:oMath>
        <m:r>
          <w:rPr>
            <w:rFonts w:ascii="Cambria Math" w:hAnsi="Cambria Math"/>
          </w:rPr>
          <m:t>x</m:t>
        </m:r>
      </m:oMath>
      <w:r w:rsidR="00C25C85" w:rsidRPr="00BC31E0">
        <w:rPr>
          <w:rFonts w:hint="eastAsia"/>
        </w:rPr>
        <w:t>)</w:t>
      </w:r>
      <m:oMath>
        <m:r>
          <m:rPr>
            <m:sty m:val="p"/>
          </m:rPr>
          <w:rPr>
            <w:rFonts w:ascii="Cambria Math" w:hAnsi="Cambria Math"/>
          </w:rPr>
          <m:t xml:space="preserve"> </m:t>
        </m:r>
      </m:oMath>
      <w:r w:rsidR="00C25C85" w:rsidRPr="00BC31E0">
        <w:rPr>
          <w:rFonts w:hint="eastAsia"/>
        </w:rPr>
        <w:t>におけるワイヤの張力</w:t>
      </w:r>
      <w:r w:rsidR="00C25C85" w:rsidRPr="00BC31E0">
        <w:rPr>
          <w:rFonts w:hint="eastAsia"/>
        </w:rPr>
        <w:t>(</w:t>
      </w:r>
      <w:r w:rsidR="00C25C85" w:rsidRPr="00BC31E0">
        <w:rPr>
          <w:rFonts w:ascii="Cambria Math" w:hAnsi="Cambria Math"/>
        </w:rPr>
        <w:t>N</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b/>
        </w:rPr>
        <w:t>6.9.4</w:t>
      </w:r>
      <w:r w:rsidR="00C25C85" w:rsidRPr="00BC31E0">
        <w:rPr>
          <w:rFonts w:hint="eastAsia"/>
        </w:rPr>
        <w:t>)</w:t>
      </w:r>
    </w:p>
    <w:p w14:paraId="160D454C"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S</m:t>
            </m:r>
          </m:e>
          <m:sub>
            <m:r>
              <w:rPr>
                <w:rFonts w:ascii="Cambria Math" w:hAnsi="Cambria Math"/>
              </w:rPr>
              <m:t>w</m:t>
            </m:r>
          </m:sub>
        </m:sSub>
        <m:d>
          <m:dPr>
            <m:ctrlPr>
              <w:rPr>
                <w:rFonts w:ascii="Cambria Math" w:hAnsi="Cambria Math"/>
              </w:rPr>
            </m:ctrlPr>
          </m:dPr>
          <m:e>
            <m:sSub>
              <m:sSubPr>
                <m:ctrlPr>
                  <w:rPr>
                    <w:rFonts w:ascii="Cambria Math" w:hAnsi="Cambria Math"/>
                    <w:i/>
                  </w:rPr>
                </m:ctrlPr>
              </m:sSubPr>
              <m:e>
                <m:r>
                  <w:rPr>
                    <w:rFonts w:ascii="Cambria Math" w:hAnsi="Cambria Math"/>
                  </w:rPr>
                  <m:t>x</m:t>
                </m:r>
              </m:e>
              <m:sub>
                <m:r>
                  <w:rPr>
                    <w:rFonts w:ascii="Cambria Math" w:hAnsi="Cambria Math"/>
                  </w:rPr>
                  <m:t>2</m:t>
                </m:r>
              </m:sub>
            </m:sSub>
          </m:e>
        </m:d>
      </m:oMath>
      <w:r w:rsidR="00C25C85" w:rsidRPr="00BC31E0">
        <w:rPr>
          <w:rFonts w:hint="eastAsia"/>
        </w:rPr>
        <w:tab/>
      </w:r>
      <w:r w:rsidR="00C25C85" w:rsidRPr="00BC31E0">
        <w:rPr>
          <w:rFonts w:hint="eastAsia"/>
        </w:rPr>
        <w:t>：</w:t>
      </w:r>
      <w:r w:rsidR="00C25C85" w:rsidRPr="00BC31E0">
        <w:rPr>
          <w:rFonts w:hint="eastAsia"/>
        </w:rPr>
        <w:t xml:space="preserve"> </w:t>
      </w:r>
      <w:r w:rsidR="00C25C85" w:rsidRPr="00BC31E0">
        <w:rPr>
          <w:rFonts w:hint="eastAsia"/>
        </w:rPr>
        <w:t>線巻き部の任意の径</w:t>
      </w:r>
      <w:r w:rsidR="00C25C85" w:rsidRPr="00BC31E0">
        <w:rPr>
          <w:rFonts w:hint="eastAsia"/>
        </w:rPr>
        <w:t>(</w:t>
      </w:r>
      <m:oMath>
        <m:sSub>
          <m:sSubPr>
            <m:ctrlPr>
              <w:rPr>
                <w:rFonts w:ascii="Cambria Math" w:hAnsi="Cambria Math"/>
                <w:i/>
              </w:rPr>
            </m:ctrlPr>
          </m:sSubPr>
          <m:e>
            <m:r>
              <w:rPr>
                <w:rFonts w:ascii="Cambria Math" w:hAnsi="Cambria Math"/>
              </w:rPr>
              <m:t>x</m:t>
            </m:r>
          </m:e>
          <m:sub>
            <m:r>
              <w:rPr>
                <w:rFonts w:ascii="Cambria Math" w:hAnsi="Cambria Math"/>
              </w:rPr>
              <m:t>2</m:t>
            </m:r>
          </m:sub>
        </m:sSub>
      </m:oMath>
      <w:r w:rsidR="00C25C85" w:rsidRPr="00BC31E0">
        <w:rPr>
          <w:rFonts w:hint="eastAsia"/>
        </w:rPr>
        <w:t>)</w:t>
      </w:r>
      <w:r w:rsidR="00C25C85" w:rsidRPr="00BC31E0">
        <w:rPr>
          <w:rFonts w:hint="eastAsia"/>
        </w:rPr>
        <w:t>におけるワイヤの張力</w:t>
      </w:r>
      <w:r w:rsidR="00C25C85" w:rsidRPr="00BC31E0">
        <w:rPr>
          <w:rFonts w:hint="eastAsia"/>
        </w:rPr>
        <w:t>(</w:t>
      </w:r>
      <w:r w:rsidR="00C25C85" w:rsidRPr="00BC31E0">
        <w:rPr>
          <w:rFonts w:ascii="Cambria Math" w:hAnsi="Cambria Math"/>
        </w:rPr>
        <w:t>N</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b/>
        </w:rPr>
        <w:t>6.9.4</w:t>
      </w:r>
      <w:r w:rsidR="00C25C85" w:rsidRPr="00BC31E0">
        <w:rPr>
          <w:rFonts w:hint="eastAsia"/>
        </w:rPr>
        <w:t>)</w:t>
      </w:r>
    </w:p>
    <w:p w14:paraId="16284280"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S</m:t>
            </m:r>
          </m:e>
          <m:sub>
            <m:r>
              <w:rPr>
                <w:rFonts w:ascii="Cambria Math" w:hAnsi="Cambria Math"/>
              </w:rPr>
              <m:t>y</m:t>
            </m:r>
          </m:sub>
        </m:sSub>
      </m:oMath>
      <w:r w:rsidR="00C25C85" w:rsidRPr="00BC31E0">
        <w:rPr>
          <w:szCs w:val="24"/>
          <w:vertAlign w:val="subscript"/>
        </w:rPr>
        <w:tab/>
      </w:r>
      <w:bookmarkStart w:id="145" w:name="_Hlk52193884"/>
      <w:r w:rsidR="00C25C85" w:rsidRPr="00BC31E0">
        <w:rPr>
          <w:rFonts w:hint="eastAsia"/>
        </w:rPr>
        <w:t>：</w:t>
      </w:r>
      <w:r w:rsidR="00C25C85" w:rsidRPr="00BC31E0">
        <w:rPr>
          <w:rFonts w:hint="eastAsia"/>
        </w:rPr>
        <w:t xml:space="preserve"> </w:t>
      </w:r>
      <w:r w:rsidR="00C25C85" w:rsidRPr="00BC31E0">
        <w:rPr>
          <w:rFonts w:hint="eastAsia"/>
        </w:rPr>
        <w:t>室温</w:t>
      </w:r>
      <w:r w:rsidR="00236919" w:rsidRPr="00BC31E0">
        <w:rPr>
          <w:rFonts w:hint="eastAsia"/>
        </w:rPr>
        <w:t>における</w:t>
      </w:r>
      <w:r w:rsidR="00C25C85" w:rsidRPr="00BC31E0">
        <w:rPr>
          <w:rFonts w:hint="eastAsia"/>
        </w:rPr>
        <w:t>規定最小降伏強さ</w:t>
      </w:r>
      <w:r w:rsidR="00C25C85" w:rsidRPr="00BC31E0">
        <w:rPr>
          <w:rFonts w:hint="eastAsia"/>
        </w:rPr>
        <w:t>(</w:t>
      </w:r>
      <w:r w:rsidR="00C25C85" w:rsidRPr="00BC31E0">
        <w:rPr>
          <w:rFonts w:ascii="Cambria Math" w:hAnsi="Cambria Math"/>
        </w:rPr>
        <w:t>MPa</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b/>
        </w:rPr>
        <w:t>6.11.6</w:t>
      </w:r>
      <w:r w:rsidR="00C25C85" w:rsidRPr="00BC31E0">
        <w:rPr>
          <w:rFonts w:asciiTheme="minorEastAsia" w:eastAsiaTheme="minorEastAsia" w:hAnsiTheme="minorEastAsia" w:hint="eastAsia"/>
        </w:rPr>
        <w:t>，</w:t>
      </w:r>
      <w:r w:rsidR="00C25C85" w:rsidRPr="00BC31E0">
        <w:rPr>
          <w:rFonts w:ascii="ＭＳ ゴシック" w:eastAsia="ＭＳ ゴシック" w:hint="eastAsia"/>
          <w:b/>
        </w:rPr>
        <w:t>9.3.6</w:t>
      </w:r>
      <w:r w:rsidR="00C25C85" w:rsidRPr="00BC31E0">
        <w:rPr>
          <w:rFonts w:asciiTheme="minorEastAsia" w:eastAsiaTheme="minorEastAsia" w:hAnsiTheme="minorEastAsia" w:hint="eastAsia"/>
        </w:rPr>
        <w:t>，</w:t>
      </w:r>
      <w:r w:rsidR="00C25C85" w:rsidRPr="00BC31E0">
        <w:rPr>
          <w:rFonts w:ascii="ＭＳ ゴシック" w:eastAsia="ＭＳ ゴシック" w:hint="eastAsia"/>
          <w:b/>
        </w:rPr>
        <w:t>附属書J 1</w:t>
      </w:r>
      <w:r w:rsidR="00C25C85" w:rsidRPr="00BC31E0">
        <w:rPr>
          <w:rFonts w:hint="eastAsia"/>
        </w:rPr>
        <w:t>)</w:t>
      </w:r>
      <w:bookmarkEnd w:id="145"/>
    </w:p>
    <w:p w14:paraId="218BE814" w14:textId="77777777" w:rsidR="00C25C85" w:rsidRPr="00BC31E0" w:rsidRDefault="00C25C85" w:rsidP="008234D1">
      <w:pPr>
        <w:tabs>
          <w:tab w:val="left" w:pos="1276"/>
        </w:tabs>
        <w:autoSpaceDE w:val="0"/>
        <w:autoSpaceDN w:val="0"/>
        <w:ind w:left="1588" w:hanging="1021"/>
      </w:pPr>
      <w:r w:rsidRPr="00BC31E0">
        <w:rPr>
          <w:rFonts w:hint="eastAsia"/>
        </w:rPr>
        <w:tab/>
      </w:r>
      <w:r w:rsidRPr="00BC31E0">
        <w:rPr>
          <w:rFonts w:hint="eastAsia"/>
        </w:rPr>
        <w:t>：</w:t>
      </w:r>
      <w:r w:rsidRPr="00BC31E0">
        <w:rPr>
          <w:rFonts w:hint="eastAsia"/>
        </w:rPr>
        <w:t xml:space="preserve"> </w:t>
      </w:r>
      <w:r w:rsidRPr="00BC31E0">
        <w:rPr>
          <w:rFonts w:hint="eastAsia"/>
        </w:rPr>
        <w:t>設計温度における降伏強さ</w:t>
      </w:r>
      <w:r w:rsidRPr="00BC31E0">
        <w:rPr>
          <w:rFonts w:hint="eastAsia"/>
        </w:rPr>
        <w:t>(</w:t>
      </w:r>
      <w:r w:rsidRPr="00BC31E0">
        <w:rPr>
          <w:rFonts w:ascii="Cambria Math" w:hAnsi="Cambria Math"/>
        </w:rPr>
        <w:t>MPa</w:t>
      </w:r>
      <w:r w:rsidRPr="00BC31E0">
        <w:rPr>
          <w:rFonts w:hint="eastAsia"/>
        </w:rPr>
        <w:t>)</w:t>
      </w:r>
      <w:r w:rsidRPr="00BC31E0">
        <w:rPr>
          <w:rFonts w:hint="eastAsia"/>
          <w:position w:val="-6"/>
        </w:rPr>
        <w:t xml:space="preserve"> </w:t>
      </w:r>
      <w:r w:rsidRPr="00BC31E0">
        <w:rPr>
          <w:rFonts w:hint="eastAsia"/>
        </w:rPr>
        <w:t>(</w:t>
      </w:r>
      <w:r w:rsidRPr="00BC31E0">
        <w:rPr>
          <w:rFonts w:ascii="ＭＳ ゴシック" w:eastAsia="ＭＳ ゴシック" w:hAnsi="ＭＳ ゴシック"/>
          <w:b/>
          <w:bCs/>
        </w:rPr>
        <w:t>5.4</w:t>
      </w:r>
      <w:r w:rsidRPr="00BC31E0">
        <w:rPr>
          <w:rFonts w:hint="eastAsia"/>
        </w:rPr>
        <w:t>，</w:t>
      </w:r>
      <w:r w:rsidRPr="00BC31E0">
        <w:rPr>
          <w:rFonts w:ascii="ＭＳ ゴシック" w:eastAsia="ＭＳ ゴシック"/>
          <w:b/>
        </w:rPr>
        <w:t>6.</w:t>
      </w:r>
      <w:r w:rsidRPr="00BC31E0">
        <w:rPr>
          <w:rFonts w:ascii="ＭＳ ゴシック" w:eastAsia="ＭＳ ゴシック" w:hint="eastAsia"/>
          <w:b/>
        </w:rPr>
        <w:t>2</w:t>
      </w:r>
      <w:r w:rsidRPr="00BC31E0">
        <w:rPr>
          <w:rFonts w:ascii="ＭＳ ゴシック" w:eastAsia="ＭＳ ゴシック"/>
          <w:b/>
        </w:rPr>
        <w:t>.</w:t>
      </w:r>
      <w:r w:rsidRPr="00BC31E0">
        <w:rPr>
          <w:rFonts w:ascii="ＭＳ ゴシック" w:eastAsia="ＭＳ ゴシック" w:hint="eastAsia"/>
          <w:b/>
        </w:rPr>
        <w:t>2</w:t>
      </w:r>
      <w:r w:rsidRPr="00BC31E0">
        <w:rPr>
          <w:rFonts w:asciiTheme="minorEastAsia" w:eastAsiaTheme="minorEastAsia" w:hAnsiTheme="minorEastAsia" w:hint="eastAsia"/>
        </w:rPr>
        <w:t>，</w:t>
      </w:r>
      <w:r w:rsidRPr="00BC31E0">
        <w:rPr>
          <w:rFonts w:ascii="ＭＳ ゴシック" w:eastAsia="ＭＳ ゴシック" w:hint="eastAsia"/>
          <w:b/>
        </w:rPr>
        <w:t>表6.2.5</w:t>
      </w:r>
      <w:r w:rsidRPr="00BC31E0">
        <w:rPr>
          <w:rFonts w:asciiTheme="minorEastAsia" w:eastAsiaTheme="minorEastAsia" w:hAnsiTheme="minorEastAsia" w:hint="eastAsia"/>
        </w:rPr>
        <w:t>，</w:t>
      </w:r>
      <w:r w:rsidRPr="00BC31E0">
        <w:rPr>
          <w:rFonts w:ascii="ＭＳ ゴシック" w:eastAsia="ＭＳ ゴシック" w:hint="eastAsia"/>
          <w:b/>
        </w:rPr>
        <w:t>7.8.3</w:t>
      </w:r>
      <w:r w:rsidRPr="00BC31E0">
        <w:rPr>
          <w:rFonts w:asciiTheme="minorEastAsia" w:eastAsiaTheme="minorEastAsia" w:hAnsiTheme="minorEastAsia" w:hint="eastAsia"/>
        </w:rPr>
        <w:t>，</w:t>
      </w:r>
      <w:r w:rsidRPr="00BC31E0">
        <w:rPr>
          <w:rFonts w:ascii="ＭＳ ゴシック" w:eastAsia="ＭＳ ゴシック" w:hint="eastAsia"/>
          <w:b/>
        </w:rPr>
        <w:t>附属書J 1</w:t>
      </w:r>
      <w:r w:rsidRPr="00BC31E0">
        <w:rPr>
          <w:rFonts w:hint="eastAsia"/>
        </w:rPr>
        <w:t>)</w:t>
      </w:r>
    </w:p>
    <w:p w14:paraId="0F53129C" w14:textId="77777777" w:rsidR="00C25C85" w:rsidRPr="00BC31E0" w:rsidRDefault="00C25C85" w:rsidP="008234D1">
      <w:pPr>
        <w:tabs>
          <w:tab w:val="left" w:pos="1276"/>
        </w:tabs>
        <w:autoSpaceDE w:val="0"/>
        <w:autoSpaceDN w:val="0"/>
        <w:ind w:left="1588" w:hanging="1021"/>
      </w:pPr>
      <w:r w:rsidRPr="00BC31E0">
        <w:rPr>
          <w:rFonts w:hint="eastAsia"/>
        </w:rPr>
        <w:tab/>
      </w:r>
      <w:r w:rsidRPr="00BC31E0">
        <w:rPr>
          <w:rFonts w:hint="eastAsia"/>
        </w:rPr>
        <w:t>：</w:t>
      </w:r>
      <w:r w:rsidRPr="00BC31E0">
        <w:rPr>
          <w:rFonts w:hint="eastAsia"/>
        </w:rPr>
        <w:t xml:space="preserve"> </w:t>
      </w:r>
      <w:r w:rsidRPr="00BC31E0">
        <w:rPr>
          <w:rFonts w:hint="eastAsia"/>
        </w:rPr>
        <w:t>解析温度における降伏強さ</w:t>
      </w:r>
      <w:r w:rsidRPr="00BC31E0">
        <w:rPr>
          <w:rFonts w:hint="eastAsia"/>
        </w:rPr>
        <w:t>(</w:t>
      </w:r>
      <w:r w:rsidRPr="00BC31E0">
        <w:rPr>
          <w:rFonts w:ascii="Cambria Math" w:hAnsi="Cambria Math"/>
        </w:rPr>
        <w:t>MPa</w:t>
      </w:r>
      <w:r w:rsidRPr="00BC31E0">
        <w:rPr>
          <w:rFonts w:hint="eastAsia"/>
        </w:rPr>
        <w:t>)</w:t>
      </w:r>
      <w:r w:rsidRPr="00BC31E0">
        <w:rPr>
          <w:rFonts w:hint="eastAsia"/>
          <w:position w:val="-6"/>
        </w:rPr>
        <w:t xml:space="preserve"> </w:t>
      </w:r>
      <w:r w:rsidRPr="00BC31E0">
        <w:rPr>
          <w:rFonts w:hint="eastAsia"/>
        </w:rPr>
        <w:t>(</w:t>
      </w:r>
      <w:r w:rsidRPr="00BC31E0">
        <w:rPr>
          <w:rFonts w:asciiTheme="majorEastAsia" w:eastAsiaTheme="majorEastAsia" w:hAnsiTheme="majorEastAsia" w:hint="eastAsia"/>
          <w:b/>
        </w:rPr>
        <w:t>6.2.3</w:t>
      </w:r>
      <w:r w:rsidRPr="00BC31E0">
        <w:rPr>
          <w:rFonts w:hint="eastAsia"/>
        </w:rPr>
        <w:t>)</w:t>
      </w:r>
    </w:p>
    <w:p w14:paraId="00FDA382" w14:textId="77777777" w:rsidR="00C25C85" w:rsidRPr="00BC31E0" w:rsidRDefault="00C25C85" w:rsidP="008234D1">
      <w:pPr>
        <w:tabs>
          <w:tab w:val="left" w:pos="1276"/>
        </w:tabs>
        <w:autoSpaceDE w:val="0"/>
        <w:autoSpaceDN w:val="0"/>
        <w:ind w:left="1588" w:hanging="1021"/>
      </w:pPr>
      <w:r w:rsidRPr="00BC31E0">
        <w:rPr>
          <w:rFonts w:hint="eastAsia"/>
        </w:rPr>
        <w:tab/>
      </w:r>
      <w:r w:rsidRPr="00BC31E0">
        <w:rPr>
          <w:rFonts w:hint="eastAsia"/>
        </w:rPr>
        <w:t>：</w:t>
      </w:r>
      <w:r w:rsidRPr="00BC31E0">
        <w:rPr>
          <w:rFonts w:hint="eastAsia"/>
        </w:rPr>
        <w:t xml:space="preserve"> </w:t>
      </w:r>
      <w:r w:rsidRPr="00BC31E0">
        <w:rPr>
          <w:rFonts w:hint="eastAsia"/>
        </w:rPr>
        <w:t>自緊温度における降伏強さの測定値</w:t>
      </w:r>
      <w:r w:rsidRPr="00BC31E0">
        <w:rPr>
          <w:rFonts w:hint="eastAsia"/>
        </w:rPr>
        <w:t>(</w:t>
      </w:r>
      <w:r w:rsidRPr="00BC31E0">
        <w:rPr>
          <w:rFonts w:ascii="Cambria Math" w:hAnsi="Cambria Math"/>
        </w:rPr>
        <w:t>MPa</w:t>
      </w:r>
      <w:r w:rsidRPr="00BC31E0">
        <w:rPr>
          <w:rFonts w:hint="eastAsia"/>
        </w:rPr>
        <w:t>)</w:t>
      </w:r>
      <w:r w:rsidRPr="00BC31E0">
        <w:rPr>
          <w:rFonts w:hint="eastAsia"/>
          <w:position w:val="-6"/>
        </w:rPr>
        <w:t xml:space="preserve"> </w:t>
      </w:r>
      <w:r w:rsidRPr="00BC31E0">
        <w:rPr>
          <w:rFonts w:hint="eastAsia"/>
        </w:rPr>
        <w:t>(</w:t>
      </w:r>
      <w:r w:rsidRPr="00BC31E0">
        <w:rPr>
          <w:rFonts w:ascii="ＭＳ ゴシック" w:eastAsia="ＭＳ ゴシック" w:hint="eastAsia"/>
          <w:b/>
        </w:rPr>
        <w:t>6</w:t>
      </w:r>
      <w:r w:rsidRPr="00BC31E0">
        <w:rPr>
          <w:rFonts w:ascii="ＭＳ ゴシック" w:eastAsia="ＭＳ ゴシック"/>
          <w:b/>
        </w:rPr>
        <w:t>.</w:t>
      </w:r>
      <w:r w:rsidRPr="00BC31E0">
        <w:rPr>
          <w:rFonts w:ascii="ＭＳ ゴシック" w:eastAsia="ＭＳ ゴシック" w:hint="eastAsia"/>
          <w:b/>
        </w:rPr>
        <w:t>5</w:t>
      </w:r>
      <w:r w:rsidRPr="00BC31E0">
        <w:rPr>
          <w:rFonts w:ascii="ＭＳ ゴシック" w:eastAsia="ＭＳ ゴシック"/>
          <w:b/>
        </w:rPr>
        <w:t>.</w:t>
      </w:r>
      <w:r w:rsidRPr="00BC31E0">
        <w:rPr>
          <w:rFonts w:ascii="ＭＳ ゴシック" w:eastAsia="ＭＳ ゴシック" w:hint="eastAsia"/>
          <w:b/>
        </w:rPr>
        <w:t>3</w:t>
      </w:r>
      <w:r w:rsidRPr="00BC31E0">
        <w:rPr>
          <w:rFonts w:hint="eastAsia"/>
        </w:rPr>
        <w:t>)</w:t>
      </w:r>
      <w:r w:rsidRPr="00BC31E0">
        <w:rPr>
          <w:rFonts w:hint="eastAsia"/>
        </w:rPr>
        <w:t xml:space="preserve">　</w:t>
      </w:r>
    </w:p>
    <w:p w14:paraId="1D76703B" w14:textId="77777777" w:rsidR="00C25C85" w:rsidRPr="00BC31E0" w:rsidRDefault="00C25C85" w:rsidP="008234D1">
      <w:pPr>
        <w:tabs>
          <w:tab w:val="left" w:pos="1276"/>
        </w:tabs>
        <w:autoSpaceDE w:val="0"/>
        <w:autoSpaceDN w:val="0"/>
        <w:ind w:left="1588" w:hanging="1021"/>
      </w:pPr>
      <w:r w:rsidRPr="00BC31E0">
        <w:rPr>
          <w:rFonts w:hint="eastAsia"/>
        </w:rPr>
        <w:tab/>
      </w:r>
      <w:r w:rsidRPr="00BC31E0">
        <w:rPr>
          <w:rFonts w:hint="eastAsia"/>
        </w:rPr>
        <w:t>：</w:t>
      </w:r>
      <w:r w:rsidRPr="00BC31E0">
        <w:rPr>
          <w:rFonts w:hint="eastAsia"/>
        </w:rPr>
        <w:t xml:space="preserve"> </w:t>
      </w:r>
      <w:r w:rsidRPr="00BC31E0">
        <w:rPr>
          <w:rFonts w:hint="eastAsia"/>
        </w:rPr>
        <w:t>試験温度における降伏強さ</w:t>
      </w:r>
      <w:r w:rsidRPr="00BC31E0">
        <w:rPr>
          <w:rFonts w:hint="eastAsia"/>
        </w:rPr>
        <w:t>(</w:t>
      </w:r>
      <w:r w:rsidRPr="00BC31E0">
        <w:rPr>
          <w:rFonts w:ascii="Cambria Math" w:hAnsi="Cambria Math"/>
        </w:rPr>
        <w:t>MPa</w:t>
      </w:r>
      <w:r w:rsidRPr="00BC31E0">
        <w:rPr>
          <w:rFonts w:hint="eastAsia"/>
        </w:rPr>
        <w:t>)</w:t>
      </w:r>
      <w:r w:rsidRPr="00BC31E0">
        <w:rPr>
          <w:rFonts w:hint="eastAsia"/>
          <w:position w:val="-6"/>
        </w:rPr>
        <w:t xml:space="preserve"> </w:t>
      </w:r>
      <w:r w:rsidRPr="00BC31E0">
        <w:rPr>
          <w:rFonts w:hint="eastAsia"/>
        </w:rPr>
        <w:t>(</w:t>
      </w:r>
      <w:r w:rsidRPr="00BC31E0">
        <w:rPr>
          <w:rFonts w:ascii="ＭＳ ゴシック" w:eastAsia="ＭＳ ゴシック" w:hint="eastAsia"/>
          <w:b/>
        </w:rPr>
        <w:t>10</w:t>
      </w:r>
      <w:r w:rsidRPr="00BC31E0">
        <w:rPr>
          <w:rFonts w:ascii="ＭＳ ゴシック" w:eastAsia="ＭＳ ゴシック"/>
          <w:b/>
        </w:rPr>
        <w:t>.</w:t>
      </w:r>
      <w:r w:rsidRPr="00BC31E0">
        <w:rPr>
          <w:rFonts w:ascii="ＭＳ ゴシック" w:eastAsia="ＭＳ ゴシック" w:hint="eastAsia"/>
          <w:b/>
        </w:rPr>
        <w:t>3</w:t>
      </w:r>
      <w:r w:rsidRPr="00BC31E0">
        <w:rPr>
          <w:rFonts w:ascii="ＭＳ ゴシック" w:eastAsia="ＭＳ ゴシック"/>
          <w:b/>
        </w:rPr>
        <w:t>.</w:t>
      </w:r>
      <w:r w:rsidRPr="00BC31E0">
        <w:rPr>
          <w:rFonts w:ascii="ＭＳ ゴシック" w:eastAsia="ＭＳ ゴシック" w:hint="eastAsia"/>
          <w:b/>
        </w:rPr>
        <w:t>1</w:t>
      </w:r>
      <w:r w:rsidRPr="00BC31E0">
        <w:rPr>
          <w:rFonts w:hint="eastAsia"/>
        </w:rPr>
        <w:t>)</w:t>
      </w:r>
    </w:p>
    <w:p w14:paraId="63BC59E4" w14:textId="77777777" w:rsidR="00C25C85" w:rsidRPr="00BC31E0" w:rsidRDefault="00C25C85" w:rsidP="008234D1">
      <w:pPr>
        <w:tabs>
          <w:tab w:val="left" w:pos="1276"/>
        </w:tabs>
        <w:autoSpaceDE w:val="0"/>
        <w:autoSpaceDN w:val="0"/>
        <w:ind w:left="1588" w:hanging="1021"/>
      </w:pPr>
      <w:r w:rsidRPr="00BC31E0">
        <w:rPr>
          <w:rFonts w:hint="eastAsia"/>
        </w:rPr>
        <w:tab/>
      </w:r>
      <w:r w:rsidRPr="00BC31E0">
        <w:rPr>
          <w:rFonts w:hint="eastAsia"/>
        </w:rPr>
        <w:t>：</w:t>
      </w:r>
      <w:r w:rsidRPr="00BC31E0">
        <w:rPr>
          <w:rFonts w:hint="eastAsia"/>
        </w:rPr>
        <w:t xml:space="preserve"> </w:t>
      </w:r>
      <w:r w:rsidRPr="00BC31E0">
        <w:rPr>
          <w:rFonts w:asciiTheme="majorEastAsia" w:eastAsiaTheme="majorEastAsia" w:hAnsiTheme="majorEastAsia" w:hint="eastAsia"/>
          <w:b/>
        </w:rPr>
        <w:t>5.2.7 a)</w:t>
      </w:r>
      <w:r w:rsidRPr="00BC31E0">
        <w:rPr>
          <w:rFonts w:hint="eastAsia"/>
        </w:rPr>
        <w:t>の衝撃試験温度における降伏強さ</w:t>
      </w:r>
      <w:r w:rsidRPr="00BC31E0">
        <w:rPr>
          <w:rFonts w:hint="eastAsia"/>
        </w:rPr>
        <w:t>(</w:t>
      </w:r>
      <w:r w:rsidRPr="00BC31E0">
        <w:rPr>
          <w:rFonts w:ascii="Cambria Math" w:hAnsi="Cambria Math"/>
        </w:rPr>
        <w:t>MPa</w:t>
      </w:r>
      <w:r w:rsidRPr="00BC31E0">
        <w:rPr>
          <w:rFonts w:hint="eastAsia"/>
        </w:rPr>
        <w:t>) (</w:t>
      </w:r>
      <w:r w:rsidRPr="00BC31E0">
        <w:rPr>
          <w:rFonts w:asciiTheme="majorEastAsia" w:eastAsiaTheme="majorEastAsia" w:hAnsiTheme="majorEastAsia" w:hint="eastAsia"/>
          <w:b/>
        </w:rPr>
        <w:t>附属書C 6</w:t>
      </w:r>
      <w:r w:rsidRPr="00BC31E0">
        <w:rPr>
          <w:rFonts w:hint="eastAsia"/>
        </w:rPr>
        <w:t>)</w:t>
      </w:r>
    </w:p>
    <w:p w14:paraId="4BD17457" w14:textId="77777777" w:rsidR="00C25C85" w:rsidRPr="00BC31E0" w:rsidRDefault="00C25C85" w:rsidP="008234D1">
      <w:pPr>
        <w:tabs>
          <w:tab w:val="left" w:pos="1276"/>
        </w:tabs>
        <w:autoSpaceDE w:val="0"/>
        <w:autoSpaceDN w:val="0"/>
        <w:ind w:left="1588" w:hanging="1021"/>
        <w:rPr>
          <w:rFonts w:ascii="ＭＳ ゴシック" w:eastAsia="ＭＳ ゴシック"/>
          <w:b/>
        </w:rPr>
      </w:pPr>
      <w:r w:rsidRPr="00BC31E0">
        <w:rPr>
          <w:rFonts w:hint="eastAsia"/>
        </w:rPr>
        <w:tab/>
      </w:r>
      <w:r w:rsidRPr="00BC31E0">
        <w:rPr>
          <w:rFonts w:hint="eastAsia"/>
        </w:rPr>
        <w:t>：</w:t>
      </w:r>
      <w:r w:rsidRPr="00BC31E0">
        <w:rPr>
          <w:rFonts w:hint="eastAsia"/>
        </w:rPr>
        <w:t xml:space="preserve"> </w:t>
      </w:r>
      <w:r w:rsidRPr="00BC31E0">
        <w:rPr>
          <w:rFonts w:hint="eastAsia"/>
        </w:rPr>
        <w:t>運転サイクル中の最高温度と最低温度の平均温度における降伏強さ</w:t>
      </w:r>
      <w:r w:rsidRPr="00BC31E0">
        <w:rPr>
          <w:rFonts w:hint="eastAsia"/>
        </w:rPr>
        <w:t>(</w:t>
      </w:r>
      <w:r w:rsidRPr="00BC31E0">
        <w:rPr>
          <w:rFonts w:ascii="Cambria Math" w:hAnsi="Cambria Math"/>
        </w:rPr>
        <w:t>MPa</w:t>
      </w:r>
      <w:r w:rsidRPr="00BC31E0">
        <w:rPr>
          <w:rFonts w:hint="eastAsia"/>
        </w:rPr>
        <w:t>) (</w:t>
      </w:r>
      <w:r w:rsidRPr="00BC31E0">
        <w:rPr>
          <w:rFonts w:ascii="ＭＳ ゴシック" w:eastAsia="ＭＳ ゴシック" w:hint="eastAsia"/>
          <w:b/>
        </w:rPr>
        <w:t>附属書J 1)</w:t>
      </w:r>
    </w:p>
    <w:p w14:paraId="3D6918C1"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S</m:t>
            </m:r>
          </m:e>
          <m:sub>
            <m:r>
              <w:rPr>
                <w:rFonts w:ascii="Cambria Math" w:hAnsi="Cambria Math"/>
              </w:rPr>
              <m:t>yd</m:t>
            </m:r>
          </m:sub>
        </m:sSub>
      </m:oMath>
      <w:r w:rsidR="00C25C85" w:rsidRPr="00BC31E0">
        <w:rPr>
          <w:rFonts w:hint="eastAsia"/>
        </w:rPr>
        <w:t xml:space="preserve"> </w:t>
      </w:r>
      <w:r w:rsidR="00C25C85" w:rsidRPr="00BC31E0">
        <w:rPr>
          <w:rFonts w:hint="eastAsia"/>
        </w:rPr>
        <w:tab/>
      </w:r>
      <w:r w:rsidR="00C25C85" w:rsidRPr="00BC31E0">
        <w:rPr>
          <w:rFonts w:hint="eastAsia"/>
        </w:rPr>
        <w:t>：</w:t>
      </w:r>
      <w:r w:rsidR="00C25C85" w:rsidRPr="00BC31E0">
        <w:rPr>
          <w:rFonts w:hint="eastAsia"/>
        </w:rPr>
        <w:t xml:space="preserve"> </w:t>
      </w:r>
      <w:r w:rsidR="00C25C85" w:rsidRPr="00BC31E0">
        <w:rPr>
          <w:rFonts w:hint="eastAsia"/>
        </w:rPr>
        <w:t>設計温度における降伏強さ</w:t>
      </w:r>
      <w:r w:rsidR="00C25C85" w:rsidRPr="00BC31E0">
        <w:rPr>
          <w:rFonts w:hint="eastAsia"/>
        </w:rPr>
        <w:t>(</w:t>
      </w:r>
      <w:r w:rsidR="00C25C85" w:rsidRPr="00BC31E0">
        <w:rPr>
          <w:rFonts w:ascii="Cambria Math" w:hAnsi="Cambria Math"/>
        </w:rPr>
        <w:t>MPa</w:t>
      </w:r>
      <w:r w:rsidR="00C25C85" w:rsidRPr="00BC31E0">
        <w:rPr>
          <w:rFonts w:hint="eastAsia"/>
        </w:rPr>
        <w:t>) (</w:t>
      </w:r>
      <w:r w:rsidR="00C25C85" w:rsidRPr="00BC31E0">
        <w:rPr>
          <w:rFonts w:ascii="ＭＳ ゴシック" w:hAnsi="ＭＳ ゴシック" w:hint="eastAsia"/>
          <w:b/>
        </w:rPr>
        <w:t>10.3.2</w:t>
      </w:r>
      <w:r w:rsidR="00C25C85" w:rsidRPr="00BC31E0">
        <w:rPr>
          <w:rFonts w:hint="eastAsia"/>
        </w:rPr>
        <w:t>)</w:t>
      </w:r>
    </w:p>
    <w:p w14:paraId="03E77437"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S</m:t>
            </m:r>
          </m:e>
          <m:sub>
            <m:r>
              <w:rPr>
                <w:rFonts w:ascii="Cambria Math" w:hAnsi="Cambria Math"/>
              </w:rPr>
              <m:t>y</m:t>
            </m:r>
            <m:r>
              <w:rPr>
                <w:rFonts w:ascii="Cambria Math" w:hAnsi="Cambria Math" w:hint="eastAsia"/>
              </w:rPr>
              <m:t>j</m:t>
            </m:r>
          </m:sub>
        </m:sSub>
      </m:oMath>
      <w:r w:rsidR="00C25C85" w:rsidRPr="00BC31E0">
        <w:rPr>
          <w:rFonts w:hint="eastAsia"/>
        </w:rPr>
        <w:t xml:space="preserve"> </w:t>
      </w:r>
      <w:r w:rsidR="00C25C85" w:rsidRPr="00BC31E0">
        <w:rPr>
          <w:rFonts w:hint="eastAsia"/>
        </w:rPr>
        <w:tab/>
      </w:r>
      <w:r w:rsidR="00C25C85" w:rsidRPr="00BC31E0">
        <w:rPr>
          <w:rFonts w:hint="eastAsia"/>
        </w:rPr>
        <w:t>：</w:t>
      </w:r>
      <w:r w:rsidR="00C25C85" w:rsidRPr="00BC31E0">
        <w:rPr>
          <w:rFonts w:hint="eastAsia"/>
        </w:rPr>
        <w:t xml:space="preserve"> </w:t>
      </w:r>
      <w:r w:rsidR="00C25C85" w:rsidRPr="00BC31E0">
        <w:rPr>
          <w:rFonts w:hint="eastAsia"/>
        </w:rPr>
        <w:t>設計温度における多層容器各層の降伏強さ</w:t>
      </w:r>
      <w:r w:rsidR="00C25C85" w:rsidRPr="00BC31E0">
        <w:rPr>
          <w:rFonts w:hint="eastAsia"/>
        </w:rPr>
        <w:t>(</w:t>
      </w:r>
      <w:r w:rsidR="00C25C85" w:rsidRPr="00BC31E0">
        <w:rPr>
          <w:rFonts w:ascii="Cambria Math" w:hAnsi="Cambria Math"/>
        </w:rPr>
        <w:t>MPa</w:t>
      </w:r>
      <w:r w:rsidR="00C25C85" w:rsidRPr="00BC31E0">
        <w:rPr>
          <w:rFonts w:hint="eastAsia"/>
        </w:rPr>
        <w:t>) (</w:t>
      </w:r>
      <w:r w:rsidR="00C25C85" w:rsidRPr="00BC31E0">
        <w:rPr>
          <w:rFonts w:ascii="ＭＳ ゴシック" w:hAnsi="ＭＳ ゴシック" w:hint="eastAsia"/>
          <w:b/>
        </w:rPr>
        <w:t>6.2.2</w:t>
      </w:r>
      <w:r w:rsidR="00C25C85" w:rsidRPr="00BC31E0">
        <w:rPr>
          <w:rFonts w:hint="eastAsia"/>
        </w:rPr>
        <w:t>)</w:t>
      </w:r>
    </w:p>
    <w:p w14:paraId="61621C20"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S</m:t>
            </m:r>
          </m:e>
          <m:sub>
            <m:r>
              <w:rPr>
                <w:rFonts w:ascii="Cambria Math" w:hAnsi="Cambria Math"/>
              </w:rPr>
              <m:t>y</m:t>
            </m:r>
            <m:r>
              <w:rPr>
                <w:rFonts w:ascii="Cambria Math" w:hAnsi="Cambria Math" w:hint="eastAsia"/>
              </w:rPr>
              <m:t>20</m:t>
            </m:r>
            <m:r>
              <m:rPr>
                <m:sty m:val="p"/>
              </m:rPr>
              <w:rPr>
                <w:rFonts w:ascii="Cambria Math" w:hAnsi="Cambria Math"/>
              </w:rPr>
              <m:t>℃</m:t>
            </m:r>
          </m:sub>
        </m:sSub>
      </m:oMath>
      <w:r w:rsidR="00C25C85" w:rsidRPr="00BC31E0">
        <w:rPr>
          <w:szCs w:val="24"/>
          <w:vertAlign w:val="subscript"/>
        </w:rPr>
        <w:tab/>
      </w:r>
      <w:r w:rsidR="00C25C85" w:rsidRPr="00BC31E0">
        <w:rPr>
          <w:rFonts w:hint="eastAsia"/>
        </w:rPr>
        <w:t>：</w:t>
      </w:r>
      <w:r w:rsidR="00F46642" w:rsidRPr="00BC31E0">
        <w:rPr>
          <w:rFonts w:hint="eastAsia"/>
        </w:rPr>
        <w:t xml:space="preserve"> </w:t>
      </w:r>
      <w:r w:rsidR="00287DF4" w:rsidRPr="00BC31E0">
        <w:rPr>
          <w:rFonts w:hint="eastAsia"/>
        </w:rPr>
        <w:t>規定</w:t>
      </w:r>
      <w:r w:rsidR="00C25C85" w:rsidRPr="00BC31E0">
        <w:rPr>
          <w:rFonts w:hint="eastAsia"/>
        </w:rPr>
        <w:t>最小降伏</w:t>
      </w:r>
      <w:r w:rsidR="00287DF4" w:rsidRPr="00BC31E0">
        <w:rPr>
          <w:rFonts w:hint="eastAsia"/>
        </w:rPr>
        <w:t>点</w:t>
      </w:r>
      <w:r w:rsidR="00C25C85" w:rsidRPr="00BC31E0">
        <w:rPr>
          <w:rFonts w:hint="eastAsia"/>
        </w:rPr>
        <w:t>又は</w:t>
      </w:r>
      <w:r w:rsidR="00C25C85" w:rsidRPr="00BC31E0">
        <w:rPr>
          <w:rFonts w:ascii="Cambria Math" w:hAnsi="Cambria Math"/>
        </w:rPr>
        <w:t>0.2</w:t>
      </w:r>
      <w:r w:rsidR="00C25C85" w:rsidRPr="00BC31E0">
        <w:rPr>
          <w:rFonts w:ascii="Cambria Math"/>
        </w:rPr>
        <w:t>％</w:t>
      </w:r>
      <w:r w:rsidR="00C25C85" w:rsidRPr="00BC31E0">
        <w:rPr>
          <w:rFonts w:hint="eastAsia"/>
        </w:rPr>
        <w:t>耐力</w:t>
      </w:r>
      <w:r w:rsidR="00F77146" w:rsidRPr="00BC31E0">
        <w:rPr>
          <w:rFonts w:hint="eastAsia"/>
        </w:rPr>
        <w:t>，</w:t>
      </w:r>
      <w:r w:rsidR="00F46642" w:rsidRPr="00BC31E0">
        <w:rPr>
          <w:rFonts w:hint="eastAsia"/>
        </w:rPr>
        <w:t>又は</w:t>
      </w:r>
      <w:r w:rsidR="00F46642" w:rsidRPr="00BC31E0">
        <w:rPr>
          <w:rFonts w:hint="eastAsia"/>
        </w:rPr>
        <w:t>20</w:t>
      </w:r>
      <w:r w:rsidR="00F46642" w:rsidRPr="00BC31E0">
        <w:rPr>
          <w:rFonts w:hint="eastAsia"/>
        </w:rPr>
        <w:t>℃における</w:t>
      </w:r>
      <m:oMath>
        <m:sSub>
          <m:sSubPr>
            <m:ctrlPr>
              <w:rPr>
                <w:rFonts w:ascii="Cambria Math" w:hAnsi="Cambria Math"/>
                <w:i/>
              </w:rPr>
            </m:ctrlPr>
          </m:sSubPr>
          <m:e>
            <m:r>
              <w:rPr>
                <w:rFonts w:ascii="Cambria Math" w:hAnsi="Cambria Math" w:hint="eastAsia"/>
              </w:rPr>
              <m:t xml:space="preserve"> </m:t>
            </m:r>
            <m:r>
              <w:rPr>
                <w:rFonts w:ascii="Cambria Math" w:hAnsi="Cambria Math"/>
              </w:rPr>
              <m:t>S</m:t>
            </m:r>
          </m:e>
          <m:sub>
            <m:r>
              <w:rPr>
                <w:rFonts w:ascii="Cambria Math" w:hAnsi="Cambria Math" w:hint="eastAsia"/>
              </w:rPr>
              <m:t>y</m:t>
            </m:r>
          </m:sub>
        </m:sSub>
      </m:oMath>
      <w:r w:rsidR="00C25C85" w:rsidRPr="00BC31E0">
        <w:rPr>
          <w:rFonts w:hint="eastAsia"/>
        </w:rPr>
        <w:t>(</w:t>
      </w:r>
      <w:r w:rsidR="00C25C85" w:rsidRPr="00BC31E0">
        <w:rPr>
          <w:rFonts w:ascii="Cambria Math" w:hAnsi="Cambria Math"/>
        </w:rPr>
        <w:t>MPa</w:t>
      </w:r>
      <w:r w:rsidR="00C25C85" w:rsidRPr="00BC31E0">
        <w:rPr>
          <w:rFonts w:hint="eastAsia"/>
        </w:rPr>
        <w:t>) (</w:t>
      </w:r>
      <w:r w:rsidR="00C25C85" w:rsidRPr="00BC31E0">
        <w:rPr>
          <w:rFonts w:ascii="ＭＳ ゴシック" w:hAnsi="ＭＳ ゴシック" w:hint="eastAsia"/>
          <w:b/>
        </w:rPr>
        <w:t>5.4</w:t>
      </w:r>
      <w:r w:rsidR="00C25C85" w:rsidRPr="00BC31E0">
        <w:rPr>
          <w:rFonts w:hint="eastAsia"/>
        </w:rPr>
        <w:t>)</w:t>
      </w:r>
    </w:p>
    <w:p w14:paraId="0BDDCFAB"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S</m:t>
            </m:r>
          </m:e>
          <m:sub>
            <m:r>
              <w:rPr>
                <w:rFonts w:ascii="Cambria Math" w:hAnsi="Cambria Math"/>
              </w:rPr>
              <m:t>yt</m:t>
            </m:r>
          </m:sub>
        </m:sSub>
      </m:oMath>
      <w:r w:rsidR="00C25C85" w:rsidRPr="00BC31E0">
        <w:rPr>
          <w:rFonts w:hint="eastAsia"/>
          <w:vertAlign w:val="subscript"/>
        </w:rPr>
        <w:tab/>
      </w:r>
      <w:r w:rsidR="00C25C85" w:rsidRPr="00BC31E0">
        <w:rPr>
          <w:rFonts w:hint="eastAsia"/>
        </w:rPr>
        <w:t>：</w:t>
      </w:r>
      <w:r w:rsidR="00C25C85" w:rsidRPr="00BC31E0">
        <w:rPr>
          <w:rFonts w:hint="eastAsia"/>
        </w:rPr>
        <w:t xml:space="preserve"> </w:t>
      </w:r>
      <w:r w:rsidR="00C25C85" w:rsidRPr="00BC31E0">
        <w:rPr>
          <w:rFonts w:hint="eastAsia"/>
        </w:rPr>
        <w:t>試験温度における降伏強さ</w:t>
      </w:r>
      <w:r w:rsidR="00C25C85" w:rsidRPr="00BC31E0">
        <w:rPr>
          <w:rFonts w:hint="eastAsia"/>
        </w:rPr>
        <w:t>(</w:t>
      </w:r>
      <w:r w:rsidR="00C25C85" w:rsidRPr="00BC31E0">
        <w:rPr>
          <w:rFonts w:ascii="Cambria Math" w:hAnsi="Cambria Math"/>
        </w:rPr>
        <w:t>MPa</w:t>
      </w:r>
      <w:r w:rsidR="00C25C85" w:rsidRPr="00BC31E0">
        <w:rPr>
          <w:rFonts w:hint="eastAsia"/>
        </w:rPr>
        <w:t>) (</w:t>
      </w:r>
      <w:r w:rsidR="00C25C85" w:rsidRPr="00BC31E0">
        <w:rPr>
          <w:rFonts w:ascii="ＭＳ ゴシック" w:hAnsi="ＭＳ ゴシック" w:hint="eastAsia"/>
          <w:b/>
        </w:rPr>
        <w:t>10.3.2</w:t>
      </w:r>
      <w:r w:rsidR="00C25C85" w:rsidRPr="00BC31E0">
        <w:rPr>
          <w:rFonts w:hint="eastAsia"/>
        </w:rPr>
        <w:t>)</w:t>
      </w:r>
    </w:p>
    <w:p w14:paraId="57749701"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S</m:t>
            </m:r>
          </m:e>
          <m:sub>
            <m:r>
              <w:rPr>
                <w:rFonts w:ascii="Cambria Math" w:hAnsi="Cambria Math"/>
              </w:rPr>
              <m:t>yact</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室温</w:t>
      </w:r>
      <w:r w:rsidR="00236919" w:rsidRPr="00BC31E0">
        <w:rPr>
          <w:rFonts w:hint="eastAsia"/>
        </w:rPr>
        <w:t>における</w:t>
      </w:r>
      <w:r w:rsidR="00C25C85" w:rsidRPr="00BC31E0">
        <w:rPr>
          <w:rFonts w:hint="eastAsia"/>
        </w:rPr>
        <w:t>実際の平均降伏強さ</w:t>
      </w:r>
      <w:r w:rsidR="00C25C85" w:rsidRPr="00BC31E0">
        <w:rPr>
          <w:rFonts w:hint="eastAsia"/>
        </w:rPr>
        <w:t>(</w:t>
      </w:r>
      <w:r w:rsidR="00C25C85" w:rsidRPr="00BC31E0">
        <w:rPr>
          <w:rFonts w:ascii="Cambria Math" w:hAnsi="Cambria Math"/>
        </w:rPr>
        <w:t>MPa</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b/>
        </w:rPr>
        <w:t>6.11.6</w:t>
      </w:r>
      <w:r w:rsidR="00C25C85" w:rsidRPr="00BC31E0">
        <w:rPr>
          <w:rFonts w:hint="eastAsia"/>
        </w:rPr>
        <w:t>)</w:t>
      </w:r>
    </w:p>
    <w:p w14:paraId="2ED1F0EF"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S</m:t>
            </m:r>
          </m:e>
          <m:sub>
            <m:r>
              <w:rPr>
                <w:rFonts w:ascii="Cambria Math" w:hAnsi="Cambria Math"/>
              </w:rPr>
              <m:t>yms</m:t>
            </m:r>
          </m:sub>
        </m:sSub>
      </m:oMath>
      <w:r w:rsidR="00C25C85" w:rsidRPr="00BC31E0">
        <w:rPr>
          <w:rFonts w:hint="eastAsia"/>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実際の降伏強さ</w:t>
      </w:r>
      <w:r w:rsidR="00C25C85" w:rsidRPr="00BC31E0">
        <w:rPr>
          <w:rFonts w:hint="eastAsia"/>
        </w:rPr>
        <w:t>(</w:t>
      </w:r>
      <w:r w:rsidR="00C25C85" w:rsidRPr="00BC31E0">
        <w:rPr>
          <w:rFonts w:ascii="Cambria Math" w:hAnsi="Cambria Math"/>
        </w:rPr>
        <w:t>MPa</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b/>
        </w:rPr>
        <w:t>6.11.6</w:t>
      </w:r>
      <w:r w:rsidR="00C25C85" w:rsidRPr="00BC31E0">
        <w:rPr>
          <w:rFonts w:hint="eastAsia"/>
        </w:rPr>
        <w:t>)</w:t>
      </w:r>
    </w:p>
    <w:p w14:paraId="4714C60F" w14:textId="77777777" w:rsidR="00C25C85" w:rsidRPr="00BC31E0" w:rsidRDefault="00A51873" w:rsidP="008234D1">
      <w:pPr>
        <w:tabs>
          <w:tab w:val="left" w:pos="1276"/>
        </w:tabs>
        <w:autoSpaceDE w:val="0"/>
        <w:autoSpaceDN w:val="0"/>
        <w:ind w:left="1588" w:hanging="1021"/>
        <w:rPr>
          <w:szCs w:val="24"/>
        </w:rPr>
      </w:pPr>
      <m:oMath>
        <m:sSub>
          <m:sSubPr>
            <m:ctrlPr>
              <w:rPr>
                <w:rFonts w:ascii="Cambria Math" w:hAnsi="Cambria Math"/>
                <w:i/>
              </w:rPr>
            </m:ctrlPr>
          </m:sSubPr>
          <m:e>
            <m:r>
              <w:rPr>
                <w:rFonts w:ascii="Cambria Math" w:hAnsi="Cambria Math"/>
              </w:rPr>
              <m:t>S</m:t>
            </m:r>
          </m:e>
          <m:sub>
            <m:r>
              <w:rPr>
                <w:rFonts w:ascii="Cambria Math" w:hAnsi="Cambria Math"/>
              </w:rPr>
              <m:t>M</m:t>
            </m:r>
          </m:sub>
        </m:sSub>
      </m:oMath>
      <w:r w:rsidR="00C25C85" w:rsidRPr="00BC31E0">
        <w:rPr>
          <w:rFonts w:hint="eastAsia"/>
          <w:vertAlign w:val="subscript"/>
        </w:rPr>
        <w:tab/>
      </w:r>
      <w:r w:rsidR="00C25C85" w:rsidRPr="00BC31E0">
        <w:rPr>
          <w:rFonts w:hint="eastAsia"/>
        </w:rPr>
        <w:t>：</w:t>
      </w:r>
      <w:r w:rsidR="00C25C85" w:rsidRPr="00BC31E0">
        <w:rPr>
          <w:rFonts w:hint="eastAsia"/>
        </w:rPr>
        <w:t xml:space="preserve"> </w:t>
      </w:r>
      <w:r w:rsidR="00C25C85" w:rsidRPr="00BC31E0">
        <w:rPr>
          <w:rFonts w:hint="eastAsia"/>
        </w:rPr>
        <w:t>ねじ込みふたとねじ加工を有する胴部の相乗たわみ係数</w:t>
      </w:r>
      <w:r w:rsidR="00C25C85" w:rsidRPr="00BC31E0">
        <w:rPr>
          <w:rFonts w:hint="eastAsia"/>
        </w:rPr>
        <w:t>(</w:t>
      </w:r>
      <w:r w:rsidR="00C25C85" w:rsidRPr="00BC31E0">
        <w:rPr>
          <w:rFonts w:ascii="Cambria Math" w:hAnsi="Cambria Math"/>
        </w:rPr>
        <w:t>1/mm</w:t>
      </w:r>
      <w:r w:rsidR="00C25C85" w:rsidRPr="00BC31E0">
        <w:rPr>
          <w:rFonts w:hint="eastAsia"/>
        </w:rPr>
        <w:t xml:space="preserve">) </w:t>
      </w:r>
      <w:r w:rsidR="00C25C85" w:rsidRPr="00BC31E0">
        <w:rPr>
          <w:rFonts w:hint="eastAsia"/>
          <w:szCs w:val="24"/>
        </w:rPr>
        <w:t>(</w:t>
      </w:r>
      <w:r w:rsidR="00C25C85" w:rsidRPr="00BC31E0">
        <w:rPr>
          <w:rFonts w:ascii="ＭＳ ゴシック" w:eastAsia="ＭＳ ゴシック" w:hint="eastAsia"/>
          <w:b/>
          <w:szCs w:val="24"/>
        </w:rPr>
        <w:t>附属書G 4</w:t>
      </w:r>
      <w:r w:rsidR="00C25C85" w:rsidRPr="00BC31E0">
        <w:rPr>
          <w:rFonts w:hint="eastAsia"/>
          <w:szCs w:val="24"/>
        </w:rPr>
        <w:t>)</w:t>
      </w:r>
    </w:p>
    <w:p w14:paraId="02FF0100"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S</m:t>
            </m:r>
          </m:e>
          <m:sub>
            <m:r>
              <w:rPr>
                <w:rFonts w:ascii="Cambria Math" w:hAnsi="Cambria Math" w:hint="eastAsia"/>
              </w:rPr>
              <m:t>m</m:t>
            </m:r>
          </m:sub>
        </m:sSub>
      </m:oMath>
      <w:r w:rsidR="00C25C85" w:rsidRPr="00BC31E0">
        <w:rPr>
          <w:rFonts w:hint="eastAsia"/>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設計応力強さ</w:t>
      </w:r>
      <w:r w:rsidR="00C25C85" w:rsidRPr="00BC31E0">
        <w:rPr>
          <w:rFonts w:hint="eastAsia"/>
        </w:rPr>
        <w:t>(</w:t>
      </w:r>
      <w:r w:rsidR="00C25C85" w:rsidRPr="00BC31E0">
        <w:rPr>
          <w:rFonts w:ascii="Cambria Math" w:hAnsi="Cambria Math"/>
        </w:rPr>
        <w:t>MPa</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b/>
        </w:rPr>
        <w:t>6.3.</w:t>
      </w:r>
      <w:r w:rsidR="00C25C85" w:rsidRPr="00BC31E0">
        <w:rPr>
          <w:rFonts w:ascii="ＭＳ ゴシック" w:eastAsia="ＭＳ ゴシック" w:hint="eastAsia"/>
          <w:b/>
        </w:rPr>
        <w:t>3</w:t>
      </w:r>
      <w:r w:rsidR="00C25C85" w:rsidRPr="00BC31E0">
        <w:rPr>
          <w:rFonts w:hint="eastAsia"/>
        </w:rPr>
        <w:t>)</w:t>
      </w:r>
    </w:p>
    <w:p w14:paraId="0BD5FE6C" w14:textId="77777777" w:rsidR="00C25C85" w:rsidRPr="00BC31E0" w:rsidRDefault="00A51873" w:rsidP="008234D1">
      <w:pPr>
        <w:tabs>
          <w:tab w:val="left" w:pos="1276"/>
        </w:tabs>
        <w:autoSpaceDE w:val="0"/>
        <w:autoSpaceDN w:val="0"/>
        <w:ind w:left="1588" w:hanging="1021"/>
        <w:rPr>
          <w:szCs w:val="24"/>
        </w:rPr>
      </w:pPr>
      <m:oMath>
        <m:sSub>
          <m:sSubPr>
            <m:ctrlPr>
              <w:rPr>
                <w:rFonts w:ascii="Cambria Math" w:hAnsi="Cambria Math"/>
                <w:i/>
              </w:rPr>
            </m:ctrlPr>
          </m:sSubPr>
          <m:e>
            <m:r>
              <w:rPr>
                <w:rFonts w:ascii="Cambria Math" w:hAnsi="Cambria Math"/>
              </w:rPr>
              <m:t>S</m:t>
            </m:r>
          </m:e>
          <m:sub>
            <m:r>
              <w:rPr>
                <w:rFonts w:ascii="Cambria Math" w:hAnsi="Cambria Math"/>
              </w:rPr>
              <m:t>mij</m:t>
            </m:r>
          </m:sub>
        </m:sSub>
      </m:oMath>
      <w:r w:rsidR="00C25C85" w:rsidRPr="00BC31E0">
        <w:rPr>
          <w:rFonts w:hint="eastAsia"/>
          <w:vertAlign w:val="subscript"/>
        </w:rPr>
        <w:tab/>
      </w:r>
      <w:r w:rsidR="00C25C85" w:rsidRPr="00BC31E0">
        <w:rPr>
          <w:rFonts w:hint="eastAsia"/>
        </w:rPr>
        <w:t>：</w:t>
      </w:r>
      <w:r w:rsidR="00C25C85" w:rsidRPr="00BC31E0">
        <w:rPr>
          <w:rFonts w:hint="eastAsia"/>
        </w:rPr>
        <w:t xml:space="preserve"> </w:t>
      </w:r>
      <m:oMath>
        <m:sSub>
          <m:sSubPr>
            <m:ctrlPr>
              <w:rPr>
                <w:rFonts w:ascii="Cambria Math" w:hAnsi="Cambria Math"/>
                <w:i/>
              </w:rPr>
            </m:ctrlPr>
          </m:sSubPr>
          <m:e>
            <m:r>
              <w:rPr>
                <w:rFonts w:ascii="Cambria Math" w:hAnsi="Cambria Math"/>
              </w:rPr>
              <m:t>S</m:t>
            </m:r>
          </m:e>
          <m:sub>
            <m:r>
              <w:rPr>
                <w:rFonts w:ascii="Cambria Math" w:hAnsi="Cambria Math"/>
              </w:rPr>
              <m:t>altij</m:t>
            </m:r>
          </m:sub>
        </m:sSub>
      </m:oMath>
      <w:r w:rsidR="00C25C85" w:rsidRPr="00BC31E0">
        <w:rPr>
          <w:rFonts w:hint="eastAsia"/>
        </w:rPr>
        <w:t>と関連する平均応力</w:t>
      </w:r>
      <w:r w:rsidR="00C25C85" w:rsidRPr="00BC31E0">
        <w:rPr>
          <w:rFonts w:hint="eastAsia"/>
        </w:rPr>
        <w:t>(</w:t>
      </w:r>
      <w:r w:rsidR="00C25C85" w:rsidRPr="00BC31E0">
        <w:rPr>
          <w:rFonts w:ascii="Cambria Math" w:hAnsi="Cambria Math" w:hint="eastAsia"/>
        </w:rPr>
        <w:t>MPa</w:t>
      </w:r>
      <w:r w:rsidR="00C25C85" w:rsidRPr="00BC31E0">
        <w:rPr>
          <w:rFonts w:hint="eastAsia"/>
        </w:rPr>
        <w:t xml:space="preserve">) </w:t>
      </w:r>
      <w:r w:rsidR="00C25C85" w:rsidRPr="00BC31E0">
        <w:rPr>
          <w:rFonts w:hint="eastAsia"/>
          <w:szCs w:val="24"/>
        </w:rPr>
        <w:t>(</w:t>
      </w:r>
      <w:r w:rsidR="00C25C85" w:rsidRPr="00BC31E0">
        <w:rPr>
          <w:rFonts w:ascii="ＭＳ ゴシック" w:eastAsia="ＭＳ ゴシック" w:hint="eastAsia"/>
          <w:b/>
          <w:szCs w:val="24"/>
        </w:rPr>
        <w:t>6.3.5</w:t>
      </w:r>
      <w:r w:rsidR="00C25C85" w:rsidRPr="00BC31E0">
        <w:rPr>
          <w:rFonts w:hint="eastAsia"/>
          <w:szCs w:val="24"/>
        </w:rPr>
        <w:t>)</w:t>
      </w:r>
    </w:p>
    <w:p w14:paraId="2B8E292A"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S</m:t>
            </m:r>
          </m:e>
          <m:sub>
            <m:r>
              <w:rPr>
                <w:rFonts w:ascii="Cambria Math" w:hAnsi="Cambria Math"/>
              </w:rPr>
              <m:t>YAC</m:t>
            </m:r>
          </m:sub>
        </m:sSub>
      </m:oMath>
      <w:r w:rsidR="00C25C85" w:rsidRPr="00BC31E0">
        <w:rPr>
          <w:rFonts w:hint="eastAsia"/>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室温</w:t>
      </w:r>
      <w:r w:rsidR="00C25C85" w:rsidRPr="00BC31E0">
        <w:rPr>
          <w:rFonts w:hint="eastAsia"/>
        </w:rPr>
        <w:t>(</w:t>
      </w:r>
      <w:r w:rsidR="00C25C85" w:rsidRPr="00BC31E0">
        <w:rPr>
          <w:rFonts w:hint="eastAsia"/>
        </w:rPr>
        <w:t>ガスケット締付条件</w:t>
      </w:r>
      <w:r w:rsidR="00C25C85" w:rsidRPr="00BC31E0">
        <w:rPr>
          <w:rFonts w:hint="eastAsia"/>
        </w:rPr>
        <w:t>)</w:t>
      </w:r>
      <w:r w:rsidR="00C25C85" w:rsidRPr="00BC31E0">
        <w:rPr>
          <w:rFonts w:hint="eastAsia"/>
        </w:rPr>
        <w:t>におけるクランプ材料の降伏強さ</w:t>
      </w:r>
      <w:r w:rsidR="00C25C85" w:rsidRPr="00BC31E0">
        <w:rPr>
          <w:rFonts w:hint="eastAsia"/>
        </w:rPr>
        <w:t>(</w:t>
      </w:r>
      <w:r w:rsidR="00C25C85" w:rsidRPr="00BC31E0">
        <w:rPr>
          <w:rFonts w:ascii="Cambria Math" w:hAnsi="Cambria Math"/>
        </w:rPr>
        <w:t>MPa</w:t>
      </w:r>
      <w:r w:rsidR="00C25C85" w:rsidRPr="00BC31E0">
        <w:rPr>
          <w:rFonts w:hint="eastAsia"/>
        </w:rPr>
        <w:t>) (</w:t>
      </w:r>
      <w:r w:rsidR="00C25C85" w:rsidRPr="00BC31E0">
        <w:rPr>
          <w:rFonts w:ascii="ＭＳ ゴシック" w:eastAsia="ＭＳ ゴシック" w:hint="eastAsia"/>
          <w:b/>
        </w:rPr>
        <w:t>附属書</w:t>
      </w:r>
      <w:r w:rsidR="00C25C85" w:rsidRPr="00BC31E0">
        <w:rPr>
          <w:rFonts w:ascii="ＭＳ ゴシック" w:eastAsia="ＭＳ ゴシック"/>
          <w:b/>
        </w:rPr>
        <w:t>H 3</w:t>
      </w:r>
      <w:r w:rsidR="00C25C85" w:rsidRPr="00BC31E0">
        <w:rPr>
          <w:rFonts w:hint="eastAsia"/>
        </w:rPr>
        <w:t>)</w:t>
      </w:r>
    </w:p>
    <w:p w14:paraId="07CDF603"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S</m:t>
            </m:r>
          </m:e>
          <m:sub>
            <m:r>
              <w:rPr>
                <w:rFonts w:ascii="Cambria Math" w:hAnsi="Cambria Math"/>
              </w:rPr>
              <m:t>YAH</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室温</w:t>
      </w:r>
      <w:r w:rsidR="00C25C85" w:rsidRPr="00BC31E0">
        <w:rPr>
          <w:rFonts w:hint="eastAsia"/>
        </w:rPr>
        <w:t>(</w:t>
      </w:r>
      <w:r w:rsidR="00C25C85" w:rsidRPr="00BC31E0">
        <w:rPr>
          <w:rFonts w:hint="eastAsia"/>
        </w:rPr>
        <w:t>ガスケット締付条件</w:t>
      </w:r>
      <w:r w:rsidR="00C25C85" w:rsidRPr="00BC31E0">
        <w:rPr>
          <w:rFonts w:hint="eastAsia"/>
        </w:rPr>
        <w:t>)</w:t>
      </w:r>
      <w:r w:rsidR="00C25C85" w:rsidRPr="00BC31E0">
        <w:rPr>
          <w:rFonts w:hint="eastAsia"/>
        </w:rPr>
        <w:t>におけるハブ材料の降伏強さ</w:t>
      </w:r>
      <w:r w:rsidR="00C25C85" w:rsidRPr="00BC31E0">
        <w:rPr>
          <w:rFonts w:hint="eastAsia"/>
        </w:rPr>
        <w:t>(</w:t>
      </w:r>
      <w:r w:rsidR="00C25C85" w:rsidRPr="00BC31E0">
        <w:rPr>
          <w:rFonts w:ascii="Cambria Math" w:hAnsi="Cambria Math"/>
        </w:rPr>
        <w:t>MPa</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hint="eastAsia"/>
          <w:b/>
        </w:rPr>
        <w:t>附属書</w:t>
      </w:r>
      <w:r w:rsidR="00C25C85" w:rsidRPr="00BC31E0">
        <w:rPr>
          <w:rFonts w:ascii="ＭＳ ゴシック" w:eastAsia="ＭＳ ゴシック"/>
          <w:b/>
        </w:rPr>
        <w:t>H 3</w:t>
      </w:r>
      <w:r w:rsidR="00C25C85" w:rsidRPr="00BC31E0">
        <w:rPr>
          <w:rFonts w:hint="eastAsia"/>
        </w:rPr>
        <w:t>)</w:t>
      </w:r>
    </w:p>
    <w:p w14:paraId="03637971"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S</m:t>
            </m:r>
          </m:e>
          <m:sub>
            <m:r>
              <w:rPr>
                <w:rFonts w:ascii="Cambria Math" w:hAnsi="Cambria Math"/>
              </w:rPr>
              <m:t>YOC</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設計温度</w:t>
      </w:r>
      <w:r w:rsidR="00C25C85" w:rsidRPr="00BC31E0">
        <w:rPr>
          <w:rFonts w:hint="eastAsia"/>
        </w:rPr>
        <w:t>(</w:t>
      </w:r>
      <w:r w:rsidR="00C25C85" w:rsidRPr="00BC31E0">
        <w:rPr>
          <w:rFonts w:hint="eastAsia"/>
        </w:rPr>
        <w:t>運転条件</w:t>
      </w:r>
      <w:r w:rsidR="00C25C85" w:rsidRPr="00BC31E0">
        <w:rPr>
          <w:rFonts w:hint="eastAsia"/>
        </w:rPr>
        <w:t>)</w:t>
      </w:r>
      <w:r w:rsidR="00C25C85" w:rsidRPr="00BC31E0">
        <w:rPr>
          <w:rFonts w:hint="eastAsia"/>
        </w:rPr>
        <w:t>におけるクランプ材料の降伏強さ</w:t>
      </w:r>
      <w:r w:rsidR="00C25C85" w:rsidRPr="00BC31E0">
        <w:rPr>
          <w:rFonts w:hint="eastAsia"/>
        </w:rPr>
        <w:t>(</w:t>
      </w:r>
      <w:r w:rsidR="00C25C85" w:rsidRPr="00BC31E0">
        <w:rPr>
          <w:rFonts w:ascii="Cambria Math" w:hAnsi="Cambria Math"/>
        </w:rPr>
        <w:t>MPa</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hint="eastAsia"/>
          <w:b/>
        </w:rPr>
        <w:t>附属書</w:t>
      </w:r>
      <w:r w:rsidR="00C25C85" w:rsidRPr="00BC31E0">
        <w:rPr>
          <w:rFonts w:ascii="ＭＳ ゴシック" w:eastAsia="ＭＳ ゴシック"/>
          <w:b/>
        </w:rPr>
        <w:t>H 3</w:t>
      </w:r>
      <w:r w:rsidR="00C25C85" w:rsidRPr="00BC31E0">
        <w:rPr>
          <w:rFonts w:hint="eastAsia"/>
        </w:rPr>
        <w:t>)</w:t>
      </w:r>
    </w:p>
    <w:p w14:paraId="1A36A38E"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S</m:t>
            </m:r>
          </m:e>
          <m:sub>
            <m:r>
              <w:rPr>
                <w:rFonts w:ascii="Cambria Math" w:hAnsi="Cambria Math"/>
              </w:rPr>
              <m:t>YOH</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設計温度</w:t>
      </w:r>
      <w:r w:rsidR="00C25C85" w:rsidRPr="00BC31E0">
        <w:rPr>
          <w:rFonts w:hint="eastAsia"/>
        </w:rPr>
        <w:t>(</w:t>
      </w:r>
      <w:r w:rsidR="00C25C85" w:rsidRPr="00BC31E0">
        <w:rPr>
          <w:rFonts w:hint="eastAsia"/>
        </w:rPr>
        <w:t>運転条件</w:t>
      </w:r>
      <w:r w:rsidR="00C25C85" w:rsidRPr="00BC31E0">
        <w:rPr>
          <w:rFonts w:hint="eastAsia"/>
        </w:rPr>
        <w:t>)</w:t>
      </w:r>
      <w:r w:rsidR="00C25C85" w:rsidRPr="00BC31E0">
        <w:rPr>
          <w:rFonts w:hint="eastAsia"/>
        </w:rPr>
        <w:t>におけるハブ材料の降伏強さ</w:t>
      </w:r>
      <w:r w:rsidR="00C25C85" w:rsidRPr="00BC31E0">
        <w:rPr>
          <w:rFonts w:hint="eastAsia"/>
        </w:rPr>
        <w:t>(</w:t>
      </w:r>
      <w:r w:rsidR="00C25C85" w:rsidRPr="00BC31E0">
        <w:rPr>
          <w:rFonts w:ascii="Cambria Math" w:hAnsi="Cambria Math"/>
        </w:rPr>
        <w:t>MPa</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hint="eastAsia"/>
          <w:b/>
        </w:rPr>
        <w:t>附属書</w:t>
      </w:r>
      <w:r w:rsidR="00C25C85" w:rsidRPr="00BC31E0">
        <w:rPr>
          <w:rFonts w:ascii="ＭＳ ゴシック" w:eastAsia="ＭＳ ゴシック"/>
          <w:b/>
        </w:rPr>
        <w:t>H 3</w:t>
      </w:r>
      <w:r w:rsidR="00C25C85" w:rsidRPr="00BC31E0">
        <w:rPr>
          <w:rFonts w:hint="eastAsia"/>
        </w:rPr>
        <w:t>)</w:t>
      </w:r>
    </w:p>
    <w:p w14:paraId="3D2D42F5"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S</m:t>
            </m:r>
          </m:e>
          <m:sub>
            <m:r>
              <w:rPr>
                <w:rFonts w:ascii="Cambria Math" w:hAnsi="Cambria Math"/>
              </w:rPr>
              <m:t>1</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ハブネック外側における長手方向応力</w:t>
      </w:r>
      <w:r w:rsidR="00C25C85" w:rsidRPr="00BC31E0">
        <w:rPr>
          <w:rFonts w:hint="eastAsia"/>
        </w:rPr>
        <w:t>(</w:t>
      </w:r>
      <w:r w:rsidR="00C25C85" w:rsidRPr="00BC31E0">
        <w:rPr>
          <w:rFonts w:ascii="Cambria Math" w:hAnsi="Cambria Math"/>
        </w:rPr>
        <w:t>MPa</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hint="eastAsia"/>
          <w:b/>
        </w:rPr>
        <w:t>附属書</w:t>
      </w:r>
      <w:r w:rsidR="00C25C85" w:rsidRPr="00BC31E0">
        <w:rPr>
          <w:rFonts w:ascii="ＭＳ ゴシック" w:eastAsia="ＭＳ ゴシック"/>
          <w:b/>
        </w:rPr>
        <w:t>H 3</w:t>
      </w:r>
      <w:r w:rsidR="00C25C85" w:rsidRPr="00BC31E0">
        <w:rPr>
          <w:rFonts w:hint="eastAsia"/>
        </w:rPr>
        <w:t>)</w:t>
      </w:r>
    </w:p>
    <w:p w14:paraId="0C6E9453"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S</m:t>
            </m:r>
          </m:e>
          <m:sub>
            <m:r>
              <w:rPr>
                <w:rFonts w:ascii="Cambria Math" w:hAnsi="Cambria Math"/>
              </w:rPr>
              <m:t>2</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ハブ内面における</w:t>
      </w:r>
      <w:r w:rsidR="00C25C85" w:rsidRPr="00BC31E0">
        <w:t>Láme</w:t>
      </w:r>
      <w:r w:rsidR="00C25C85" w:rsidRPr="00BC31E0">
        <w:rPr>
          <w:rFonts w:hint="eastAsia"/>
        </w:rPr>
        <w:t>の最大周方向応力</w:t>
      </w:r>
      <w:r w:rsidR="00C25C85" w:rsidRPr="00BC31E0">
        <w:rPr>
          <w:rFonts w:hint="eastAsia"/>
        </w:rPr>
        <w:t>(</w:t>
      </w:r>
      <w:r w:rsidR="00C25C85" w:rsidRPr="00BC31E0">
        <w:rPr>
          <w:rFonts w:ascii="Cambria Math" w:hAnsi="Cambria Math"/>
        </w:rPr>
        <w:t>MPa</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hint="eastAsia"/>
          <w:b/>
        </w:rPr>
        <w:t>附属書</w:t>
      </w:r>
      <w:r w:rsidR="00C25C85" w:rsidRPr="00BC31E0">
        <w:rPr>
          <w:rFonts w:ascii="ＭＳ ゴシック" w:eastAsia="ＭＳ ゴシック"/>
          <w:b/>
        </w:rPr>
        <w:t>H 3</w:t>
      </w:r>
      <w:r w:rsidR="00C25C85" w:rsidRPr="00BC31E0">
        <w:rPr>
          <w:rFonts w:hint="eastAsia"/>
        </w:rPr>
        <w:t>)</w:t>
      </w:r>
    </w:p>
    <w:p w14:paraId="093CF1BF"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S</m:t>
            </m:r>
          </m:e>
          <m:sub>
            <m:r>
              <w:rPr>
                <w:rFonts w:ascii="Cambria Math" w:hAnsi="Cambria Math" w:hint="eastAsia"/>
              </w:rPr>
              <m:t>3</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ハブ長手方向せん断応力</w:t>
      </w:r>
      <w:r w:rsidR="00C25C85" w:rsidRPr="00BC31E0">
        <w:rPr>
          <w:rFonts w:hint="eastAsia"/>
        </w:rPr>
        <w:t>(</w:t>
      </w:r>
      <w:r w:rsidR="00C25C85" w:rsidRPr="00BC31E0">
        <w:rPr>
          <w:rFonts w:ascii="Cambria Math" w:hAnsi="Cambria Math"/>
        </w:rPr>
        <w:t>MPa</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hint="eastAsia"/>
          <w:b/>
        </w:rPr>
        <w:t>附属書</w:t>
      </w:r>
      <w:r w:rsidR="00C25C85" w:rsidRPr="00BC31E0">
        <w:rPr>
          <w:rFonts w:ascii="ＭＳ ゴシック" w:eastAsia="ＭＳ ゴシック"/>
          <w:b/>
        </w:rPr>
        <w:t>H 3</w:t>
      </w:r>
      <w:r w:rsidR="00C25C85" w:rsidRPr="00BC31E0">
        <w:rPr>
          <w:rFonts w:hint="eastAsia"/>
        </w:rPr>
        <w:t>)</w:t>
      </w:r>
    </w:p>
    <w:p w14:paraId="0212EBB5"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S</m:t>
            </m:r>
          </m:e>
          <m:sub>
            <m:r>
              <w:rPr>
                <w:rFonts w:ascii="Cambria Math" w:hAnsi="Cambria Math"/>
              </w:rPr>
              <m:t>4</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ハブネックにおけるハブ半径方向せん断応力</w:t>
      </w:r>
      <w:r w:rsidR="00C25C85" w:rsidRPr="00BC31E0">
        <w:rPr>
          <w:rFonts w:hint="eastAsia"/>
        </w:rPr>
        <w:t>(</w:t>
      </w:r>
      <w:r w:rsidR="00C25C85" w:rsidRPr="00BC31E0">
        <w:rPr>
          <w:rFonts w:ascii="Cambria Math" w:hAnsi="Cambria Math"/>
        </w:rPr>
        <w:t>MPa</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hint="eastAsia"/>
          <w:b/>
        </w:rPr>
        <w:t>附属書</w:t>
      </w:r>
      <w:r w:rsidR="00C25C85" w:rsidRPr="00BC31E0">
        <w:rPr>
          <w:rFonts w:ascii="ＭＳ ゴシック" w:eastAsia="ＭＳ ゴシック"/>
          <w:b/>
        </w:rPr>
        <w:t>H 3</w:t>
      </w:r>
      <w:r w:rsidR="00C25C85" w:rsidRPr="00BC31E0">
        <w:rPr>
          <w:rFonts w:hint="eastAsia"/>
        </w:rPr>
        <w:t>)</w:t>
      </w:r>
    </w:p>
    <w:p w14:paraId="2AE91E86"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S</m:t>
            </m:r>
          </m:e>
          <m:sub>
            <m:r>
              <w:rPr>
                <w:rFonts w:ascii="Cambria Math" w:hAnsi="Cambria Math"/>
              </w:rPr>
              <m:t>5</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クランプボディ内径におけるクランプ長手方向応力</w:t>
      </w:r>
      <w:r w:rsidR="00C25C85" w:rsidRPr="00BC31E0">
        <w:rPr>
          <w:rFonts w:hint="eastAsia"/>
        </w:rPr>
        <w:t>(</w:t>
      </w:r>
      <w:r w:rsidR="00C25C85" w:rsidRPr="00BC31E0">
        <w:rPr>
          <w:rFonts w:ascii="Cambria Math" w:hAnsi="Cambria Math"/>
        </w:rPr>
        <w:t>MPa</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hint="eastAsia"/>
          <w:b/>
        </w:rPr>
        <w:t>附属書</w:t>
      </w:r>
      <w:r w:rsidR="00C25C85" w:rsidRPr="00BC31E0">
        <w:rPr>
          <w:rFonts w:ascii="ＭＳ ゴシック" w:eastAsia="ＭＳ ゴシック"/>
          <w:b/>
        </w:rPr>
        <w:t>H 3</w:t>
      </w:r>
      <w:r w:rsidR="00C25C85" w:rsidRPr="00BC31E0">
        <w:rPr>
          <w:rFonts w:hint="eastAsia"/>
        </w:rPr>
        <w:t>)</w:t>
      </w:r>
    </w:p>
    <w:p w14:paraId="4C44D51F"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S</m:t>
            </m:r>
          </m:e>
          <m:sub>
            <m:r>
              <w:rPr>
                <w:rFonts w:ascii="Cambria Math" w:hAnsi="Cambria Math"/>
              </w:rPr>
              <m:t>6</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クランプボディ外径におけるクランプ周方向応力</w:t>
      </w:r>
      <w:r w:rsidR="00C25C85" w:rsidRPr="00BC31E0">
        <w:rPr>
          <w:rFonts w:hint="eastAsia"/>
        </w:rPr>
        <w:t>(</w:t>
      </w:r>
      <w:r w:rsidR="00C25C85" w:rsidRPr="00BC31E0">
        <w:rPr>
          <w:rFonts w:ascii="Cambria Math" w:hAnsi="Cambria Math"/>
        </w:rPr>
        <w:t>MPa</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hint="eastAsia"/>
          <w:b/>
        </w:rPr>
        <w:t>附属書</w:t>
      </w:r>
      <w:r w:rsidR="00C25C85" w:rsidRPr="00BC31E0">
        <w:rPr>
          <w:rFonts w:ascii="ＭＳ ゴシック" w:eastAsia="ＭＳ ゴシック"/>
          <w:b/>
        </w:rPr>
        <w:t>H 3</w:t>
      </w:r>
      <w:r w:rsidR="00C25C85" w:rsidRPr="00BC31E0">
        <w:rPr>
          <w:rFonts w:hint="eastAsia"/>
        </w:rPr>
        <w:t>)</w:t>
      </w:r>
    </w:p>
    <w:p w14:paraId="07B0D9F6"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S</m:t>
            </m:r>
          </m:e>
          <m:sub>
            <m:r>
              <w:rPr>
                <w:rFonts w:ascii="Cambria Math" w:hAnsi="Cambria Math"/>
              </w:rPr>
              <m:t>7</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クランプリップにおける最大せん断応力</w:t>
      </w:r>
      <w:r w:rsidR="00C25C85" w:rsidRPr="00BC31E0">
        <w:rPr>
          <w:rFonts w:hint="eastAsia"/>
        </w:rPr>
        <w:t>(</w:t>
      </w:r>
      <w:r w:rsidR="00C25C85" w:rsidRPr="00BC31E0">
        <w:rPr>
          <w:rFonts w:ascii="Cambria Math" w:hAnsi="Cambria Math"/>
        </w:rPr>
        <w:t>MPa</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hint="eastAsia"/>
          <w:b/>
        </w:rPr>
        <w:t>附属書</w:t>
      </w:r>
      <w:r w:rsidR="00C25C85" w:rsidRPr="00BC31E0">
        <w:rPr>
          <w:rFonts w:ascii="ＭＳ ゴシック" w:eastAsia="ＭＳ ゴシック"/>
          <w:b/>
        </w:rPr>
        <w:t>H 3</w:t>
      </w:r>
      <w:r w:rsidR="00C25C85" w:rsidRPr="00BC31E0">
        <w:rPr>
          <w:rFonts w:hint="eastAsia"/>
        </w:rPr>
        <w:t>)</w:t>
      </w:r>
    </w:p>
    <w:p w14:paraId="26A661B9"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S</m:t>
            </m:r>
          </m:e>
          <m:sub>
            <m:r>
              <w:rPr>
                <w:rFonts w:ascii="Cambria Math" w:hAnsi="Cambria Math"/>
              </w:rPr>
              <m:t>8</m:t>
            </m:r>
          </m:sub>
        </m:sSub>
      </m:oMath>
      <w:r w:rsidR="00C25C85" w:rsidRPr="00BC31E0">
        <w:tab/>
      </w:r>
      <w:r w:rsidR="00C25C85" w:rsidRPr="00BC31E0">
        <w:rPr>
          <w:rFonts w:hint="eastAsia"/>
        </w:rPr>
        <w:t>：</w:t>
      </w:r>
      <w:r w:rsidR="00C25C85" w:rsidRPr="00BC31E0">
        <w:rPr>
          <w:rFonts w:hint="eastAsia"/>
        </w:rPr>
        <w:t xml:space="preserve"> </w:t>
      </w:r>
      <w:r w:rsidR="00C25C85" w:rsidRPr="00BC31E0">
        <w:rPr>
          <w:rFonts w:hint="eastAsia"/>
        </w:rPr>
        <w:t>クランプリップの曲げ応力</w:t>
      </w:r>
      <w:r w:rsidR="00C25C85" w:rsidRPr="00BC31E0">
        <w:rPr>
          <w:rFonts w:hint="eastAsia"/>
        </w:rPr>
        <w:t>(</w:t>
      </w:r>
      <w:r w:rsidR="00C25C85" w:rsidRPr="00BC31E0">
        <w:rPr>
          <w:rFonts w:ascii="Cambria Math" w:hAnsi="Cambria Math"/>
        </w:rPr>
        <w:t>MPa</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hint="eastAsia"/>
          <w:b/>
        </w:rPr>
        <w:t>附属書</w:t>
      </w:r>
      <w:r w:rsidR="00C25C85" w:rsidRPr="00BC31E0">
        <w:rPr>
          <w:rFonts w:ascii="ＭＳ ゴシック" w:eastAsia="ＭＳ ゴシック"/>
          <w:b/>
        </w:rPr>
        <w:t>H 3</w:t>
      </w:r>
      <w:r w:rsidR="00C25C85" w:rsidRPr="00BC31E0">
        <w:rPr>
          <w:rFonts w:hint="eastAsia"/>
        </w:rPr>
        <w:t>)</w:t>
      </w:r>
    </w:p>
    <w:p w14:paraId="57FFC841"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S</m:t>
            </m:r>
          </m:e>
          <m:sub>
            <m:r>
              <w:rPr>
                <w:rFonts w:ascii="Cambria Math" w:hAnsi="Cambria Math"/>
              </w:rPr>
              <m:t>9</m:t>
            </m:r>
          </m:sub>
        </m:sSub>
      </m:oMath>
      <w:r w:rsidR="00C25C85" w:rsidRPr="00BC31E0">
        <w:tab/>
      </w:r>
      <w:r w:rsidR="00C25C85" w:rsidRPr="00BC31E0">
        <w:rPr>
          <w:rFonts w:hint="eastAsia"/>
        </w:rPr>
        <w:t>：</w:t>
      </w:r>
      <w:r w:rsidR="00C25C85" w:rsidRPr="00BC31E0">
        <w:rPr>
          <w:rFonts w:hint="eastAsia"/>
        </w:rPr>
        <w:t xml:space="preserve"> </w:t>
      </w:r>
      <w:r w:rsidR="00C25C85" w:rsidRPr="00BC31E0">
        <w:rPr>
          <w:rFonts w:hint="eastAsia"/>
        </w:rPr>
        <w:t>クランプラグ曲げ応力</w:t>
      </w:r>
      <w:r w:rsidR="00C25C85" w:rsidRPr="00BC31E0">
        <w:rPr>
          <w:rFonts w:hint="eastAsia"/>
        </w:rPr>
        <w:t>(</w:t>
      </w:r>
      <w:r w:rsidR="00C25C85" w:rsidRPr="00BC31E0">
        <w:rPr>
          <w:rFonts w:ascii="Cambria Math" w:hAnsi="Cambria Math"/>
        </w:rPr>
        <w:t>MPa</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hint="eastAsia"/>
          <w:b/>
        </w:rPr>
        <w:t>附属書</w:t>
      </w:r>
      <w:r w:rsidR="00C25C85" w:rsidRPr="00BC31E0">
        <w:rPr>
          <w:rFonts w:ascii="ＭＳ ゴシック" w:eastAsia="ＭＳ ゴシック"/>
          <w:b/>
        </w:rPr>
        <w:t>H 3</w:t>
      </w:r>
      <w:r w:rsidR="00C25C85" w:rsidRPr="00BC31E0">
        <w:rPr>
          <w:rFonts w:hint="eastAsia"/>
        </w:rPr>
        <w:t>)</w:t>
      </w:r>
    </w:p>
    <w:p w14:paraId="0AB23B7C"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S</m:t>
            </m:r>
          </m:e>
          <m:sub>
            <m:r>
              <w:rPr>
                <w:rFonts w:ascii="Cambria Math" w:hAnsi="Cambria Math"/>
              </w:rPr>
              <m:t>10</m:t>
            </m:r>
          </m:sub>
        </m:sSub>
      </m:oMath>
      <w:r w:rsidR="00C25C85" w:rsidRPr="00BC31E0">
        <w:t xml:space="preserve"> </w:t>
      </w:r>
      <w:r w:rsidR="00C25C85" w:rsidRPr="00BC31E0">
        <w:rPr>
          <w:rFonts w:hint="eastAsia"/>
        </w:rPr>
        <w:tab/>
      </w:r>
      <w:r w:rsidR="00C25C85" w:rsidRPr="00BC31E0">
        <w:rPr>
          <w:rFonts w:hint="eastAsia"/>
        </w:rPr>
        <w:t>：</w:t>
      </w:r>
      <w:r w:rsidR="00C25C85" w:rsidRPr="00BC31E0">
        <w:rPr>
          <w:rFonts w:hint="eastAsia"/>
        </w:rPr>
        <w:t xml:space="preserve"> </w:t>
      </w:r>
      <w:r w:rsidR="00C25C85" w:rsidRPr="00BC31E0">
        <w:rPr>
          <w:rFonts w:hint="eastAsia"/>
        </w:rPr>
        <w:t>クランプラグの最大せん断応力</w:t>
      </w:r>
      <w:r w:rsidR="00C25C85" w:rsidRPr="00BC31E0">
        <w:rPr>
          <w:rFonts w:hint="eastAsia"/>
        </w:rPr>
        <w:t>(</w:t>
      </w:r>
      <w:r w:rsidR="00C25C85" w:rsidRPr="00BC31E0">
        <w:rPr>
          <w:rFonts w:ascii="Cambria Math" w:hAnsi="Cambria Math"/>
        </w:rPr>
        <w:t>MPa</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hint="eastAsia"/>
          <w:b/>
        </w:rPr>
        <w:t>附属書</w:t>
      </w:r>
      <w:r w:rsidR="00C25C85" w:rsidRPr="00BC31E0">
        <w:rPr>
          <w:rFonts w:ascii="ＭＳ ゴシック" w:eastAsia="ＭＳ ゴシック"/>
          <w:b/>
        </w:rPr>
        <w:t>H 3</w:t>
      </w:r>
      <w:r w:rsidR="00C25C85" w:rsidRPr="00BC31E0">
        <w:rPr>
          <w:rFonts w:hint="eastAsia"/>
        </w:rPr>
        <w:t>)</w:t>
      </w:r>
    </w:p>
    <w:p w14:paraId="72A0BDAA"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S</m:t>
            </m:r>
          </m:e>
          <m:sub>
            <m:r>
              <w:rPr>
                <w:rFonts w:ascii="Cambria Math" w:hAnsi="Cambria Math"/>
              </w:rPr>
              <m:t>11</m:t>
            </m:r>
          </m:sub>
        </m:sSub>
      </m:oMath>
      <w:r w:rsidR="00C25C85" w:rsidRPr="00BC31E0">
        <w:t xml:space="preserve"> </w:t>
      </w:r>
      <w:r w:rsidR="00C25C85" w:rsidRPr="00BC31E0">
        <w:rPr>
          <w:rFonts w:hint="eastAsia"/>
        </w:rPr>
        <w:tab/>
      </w:r>
      <w:r w:rsidR="00C25C85" w:rsidRPr="00BC31E0">
        <w:rPr>
          <w:rFonts w:hint="eastAsia"/>
        </w:rPr>
        <w:t>：</w:t>
      </w:r>
      <w:r w:rsidR="00C25C85" w:rsidRPr="00BC31E0">
        <w:rPr>
          <w:rFonts w:hint="eastAsia"/>
        </w:rPr>
        <w:t xml:space="preserve"> </w:t>
      </w:r>
      <w:r w:rsidR="00C25C85" w:rsidRPr="00BC31E0">
        <w:rPr>
          <w:rFonts w:hint="eastAsia"/>
        </w:rPr>
        <w:t>クランプとハブ間の有効支圧応力</w:t>
      </w:r>
      <w:r w:rsidR="00C25C85" w:rsidRPr="00BC31E0">
        <w:rPr>
          <w:rFonts w:hint="eastAsia"/>
        </w:rPr>
        <w:t>(</w:t>
      </w:r>
      <w:r w:rsidR="00C25C85" w:rsidRPr="00BC31E0">
        <w:rPr>
          <w:rFonts w:ascii="Cambria Math" w:hAnsi="Cambria Math"/>
        </w:rPr>
        <w:t>MPa</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hint="eastAsia"/>
          <w:b/>
        </w:rPr>
        <w:t>附属書</w:t>
      </w:r>
      <w:r w:rsidR="00C25C85" w:rsidRPr="00BC31E0">
        <w:rPr>
          <w:rFonts w:ascii="ＭＳ ゴシック" w:eastAsia="ＭＳ ゴシック"/>
          <w:b/>
        </w:rPr>
        <w:t>H 3</w:t>
      </w:r>
      <w:r w:rsidR="00C25C85" w:rsidRPr="00BC31E0">
        <w:rPr>
          <w:rFonts w:hint="eastAsia"/>
        </w:rPr>
        <w:t>)</w:t>
      </w:r>
    </w:p>
    <w:p w14:paraId="1B9916C0" w14:textId="77777777" w:rsidR="00C25C85" w:rsidRPr="00BC31E0" w:rsidRDefault="00C25C85" w:rsidP="008234D1">
      <w:pPr>
        <w:tabs>
          <w:tab w:val="left" w:pos="1276"/>
        </w:tabs>
        <w:autoSpaceDE w:val="0"/>
        <w:autoSpaceDN w:val="0"/>
        <w:ind w:left="1588" w:hanging="1021"/>
      </w:pPr>
      <m:oMath>
        <m:r>
          <w:rPr>
            <w:rFonts w:ascii="Cambria Math" w:hAnsi="Cambria Math"/>
          </w:rPr>
          <m:t>T</m:t>
        </m:r>
      </m:oMath>
      <w:r w:rsidRPr="00BC31E0">
        <w:tab/>
      </w:r>
      <w:r w:rsidRPr="00BC31E0">
        <w:rPr>
          <w:rFonts w:hint="eastAsia"/>
        </w:rPr>
        <w:t>：</w:t>
      </w:r>
      <w:r w:rsidRPr="00BC31E0">
        <w:rPr>
          <w:rFonts w:hint="eastAsia"/>
        </w:rPr>
        <w:t xml:space="preserve"> </w:t>
      </w:r>
      <w:r w:rsidRPr="00BC31E0">
        <w:rPr>
          <w:rFonts w:hint="eastAsia"/>
        </w:rPr>
        <w:t>材料の熱処理時の厚さ</w:t>
      </w:r>
      <w:r w:rsidRPr="00BC31E0">
        <w:rPr>
          <w:rFonts w:hint="eastAsia"/>
        </w:rPr>
        <w:t>(</w:t>
      </w:r>
      <w:r w:rsidRPr="00BC31E0">
        <w:rPr>
          <w:rFonts w:ascii="Cambria Math" w:hAnsi="Cambria Math"/>
        </w:rPr>
        <w:t>mm</w:t>
      </w:r>
      <w:r w:rsidRPr="00BC31E0">
        <w:rPr>
          <w:rFonts w:hint="eastAsia"/>
        </w:rPr>
        <w:t>)</w:t>
      </w:r>
      <w:r w:rsidRPr="00BC31E0">
        <w:rPr>
          <w:rFonts w:hint="eastAsia"/>
          <w:position w:val="-6"/>
        </w:rPr>
        <w:t xml:space="preserve"> </w:t>
      </w:r>
      <w:r w:rsidRPr="00BC31E0">
        <w:rPr>
          <w:rFonts w:hint="eastAsia"/>
        </w:rPr>
        <w:t>(</w:t>
      </w:r>
      <w:r w:rsidRPr="00BC31E0">
        <w:rPr>
          <w:rFonts w:ascii="ＭＳ ゴシック" w:eastAsia="ＭＳ ゴシック"/>
          <w:b/>
        </w:rPr>
        <w:t>5.2.1</w:t>
      </w:r>
      <w:r w:rsidRPr="00BC31E0">
        <w:rPr>
          <w:rFonts w:hint="eastAsia"/>
        </w:rPr>
        <w:t>，</w:t>
      </w:r>
      <w:r w:rsidRPr="00BC31E0">
        <w:rPr>
          <w:rFonts w:ascii="ＭＳ ゴシック" w:eastAsia="ＭＳ ゴシック"/>
          <w:b/>
        </w:rPr>
        <w:t>5.2.2</w:t>
      </w:r>
      <w:r w:rsidRPr="00BC31E0">
        <w:rPr>
          <w:rFonts w:ascii="ＭＳ ゴシック" w:eastAsia="ＭＳ ゴシック" w:hint="eastAsia"/>
        </w:rPr>
        <w:t xml:space="preserve">, </w:t>
      </w:r>
      <w:r w:rsidRPr="00BC31E0">
        <w:rPr>
          <w:rFonts w:ascii="ＭＳ ゴシック" w:eastAsia="ＭＳ ゴシック"/>
          <w:b/>
        </w:rPr>
        <w:t>5.2.5</w:t>
      </w:r>
      <w:r w:rsidRPr="00BC31E0">
        <w:rPr>
          <w:rFonts w:hint="eastAsia"/>
        </w:rPr>
        <w:t>)</w:t>
      </w:r>
    </w:p>
    <w:p w14:paraId="5B0A7E1E" w14:textId="77777777" w:rsidR="00C25C85" w:rsidRPr="00BC31E0" w:rsidRDefault="00C25C85" w:rsidP="008234D1">
      <w:pPr>
        <w:tabs>
          <w:tab w:val="left" w:pos="1276"/>
        </w:tabs>
        <w:autoSpaceDE w:val="0"/>
        <w:autoSpaceDN w:val="0"/>
        <w:ind w:left="1588" w:hanging="1021"/>
      </w:pPr>
      <w:r w:rsidRPr="00BC31E0">
        <w:tab/>
      </w:r>
      <w:r w:rsidRPr="00BC31E0">
        <w:rPr>
          <w:rFonts w:hint="eastAsia"/>
        </w:rPr>
        <w:t>：</w:t>
      </w:r>
      <w:r w:rsidRPr="00BC31E0">
        <w:rPr>
          <w:rFonts w:hint="eastAsia"/>
        </w:rPr>
        <w:t xml:space="preserve"> </w:t>
      </w:r>
      <w:r w:rsidRPr="00BC31E0">
        <w:rPr>
          <w:rFonts w:hint="eastAsia"/>
        </w:rPr>
        <w:t>鍛造材の熱処理時の最大厚さ</w:t>
      </w:r>
      <w:r w:rsidRPr="00BC31E0">
        <w:rPr>
          <w:rFonts w:hint="eastAsia"/>
        </w:rPr>
        <w:t>(</w:t>
      </w:r>
      <w:r w:rsidRPr="00BC31E0">
        <w:rPr>
          <w:rFonts w:ascii="Cambria Math" w:hAnsi="Cambria Math"/>
        </w:rPr>
        <w:t>mm</w:t>
      </w:r>
      <w:r w:rsidRPr="00BC31E0">
        <w:rPr>
          <w:rFonts w:hint="eastAsia"/>
        </w:rPr>
        <w:t>)</w:t>
      </w:r>
      <w:r w:rsidRPr="00BC31E0">
        <w:rPr>
          <w:rFonts w:hint="eastAsia"/>
          <w:position w:val="-6"/>
        </w:rPr>
        <w:t xml:space="preserve"> </w:t>
      </w:r>
      <w:r w:rsidRPr="00BC31E0">
        <w:rPr>
          <w:rFonts w:hint="eastAsia"/>
        </w:rPr>
        <w:t>(</w:t>
      </w:r>
      <w:r w:rsidRPr="00BC31E0">
        <w:rPr>
          <w:rFonts w:ascii="ＭＳ ゴシック" w:eastAsia="ＭＳ ゴシック"/>
          <w:b/>
        </w:rPr>
        <w:t>5.2.2</w:t>
      </w:r>
      <w:r w:rsidRPr="00BC31E0">
        <w:rPr>
          <w:rFonts w:hint="eastAsia"/>
        </w:rPr>
        <w:t>)</w:t>
      </w:r>
    </w:p>
    <w:p w14:paraId="3C9531D8" w14:textId="77777777" w:rsidR="00C25C85" w:rsidRPr="00BC31E0" w:rsidRDefault="00C25C85" w:rsidP="008234D1">
      <w:pPr>
        <w:tabs>
          <w:tab w:val="left" w:pos="1276"/>
        </w:tabs>
        <w:autoSpaceDE w:val="0"/>
        <w:autoSpaceDN w:val="0"/>
        <w:ind w:left="1588" w:hanging="1021"/>
      </w:pPr>
      <w:r w:rsidRPr="00BC31E0">
        <w:rPr>
          <w:rFonts w:hint="eastAsia"/>
        </w:rPr>
        <w:tab/>
      </w:r>
      <w:r w:rsidRPr="00BC31E0">
        <w:rPr>
          <w:rFonts w:hint="eastAsia"/>
        </w:rPr>
        <w:t>：</w:t>
      </w:r>
      <w:r w:rsidRPr="00BC31E0">
        <w:rPr>
          <w:rFonts w:hint="eastAsia"/>
        </w:rPr>
        <w:t xml:space="preserve"> </w:t>
      </w:r>
      <w:r w:rsidRPr="00BC31E0">
        <w:rPr>
          <w:rFonts w:hint="eastAsia"/>
        </w:rPr>
        <w:t>温度</w:t>
      </w:r>
      <w:r w:rsidRPr="00BC31E0">
        <w:rPr>
          <w:rFonts w:hint="eastAsia"/>
        </w:rPr>
        <w:t>(</w:t>
      </w:r>
      <w:r w:rsidRPr="00BC31E0">
        <w:rPr>
          <w:rFonts w:ascii="Cambria Math" w:hAnsi="Cambria Math"/>
        </w:rPr>
        <w:t>℃</w:t>
      </w:r>
      <w:r w:rsidRPr="00BC31E0">
        <w:rPr>
          <w:rFonts w:hint="eastAsia"/>
        </w:rPr>
        <w:t>)</w:t>
      </w:r>
      <w:r w:rsidRPr="00BC31E0">
        <w:rPr>
          <w:rFonts w:hint="eastAsia"/>
          <w:position w:val="-6"/>
        </w:rPr>
        <w:t xml:space="preserve"> </w:t>
      </w:r>
      <w:r w:rsidRPr="00BC31E0">
        <w:rPr>
          <w:rFonts w:hint="eastAsia"/>
        </w:rPr>
        <w:t>(</w:t>
      </w:r>
      <w:r w:rsidRPr="00BC31E0">
        <w:rPr>
          <w:rFonts w:asciiTheme="majorEastAsia" w:eastAsiaTheme="majorEastAsia" w:hAnsiTheme="majorEastAsia" w:hint="eastAsia"/>
          <w:b/>
          <w:bCs/>
        </w:rPr>
        <w:t>5.4</w:t>
      </w:r>
      <w:r w:rsidRPr="00BC31E0">
        <w:rPr>
          <w:rFonts w:hint="eastAsia"/>
        </w:rPr>
        <w:t>)</w:t>
      </w:r>
    </w:p>
    <w:p w14:paraId="42A6095B" w14:textId="77777777" w:rsidR="00C25C85" w:rsidRPr="00BC31E0" w:rsidRDefault="00C25C85" w:rsidP="008234D1">
      <w:pPr>
        <w:tabs>
          <w:tab w:val="left" w:pos="1276"/>
        </w:tabs>
        <w:autoSpaceDE w:val="0"/>
        <w:autoSpaceDN w:val="0"/>
        <w:ind w:left="1588" w:hanging="1021"/>
      </w:pPr>
      <w:r w:rsidRPr="00BC31E0">
        <w:rPr>
          <w:rFonts w:hint="eastAsia"/>
        </w:rPr>
        <w:tab/>
      </w:r>
      <w:r w:rsidRPr="00BC31E0">
        <w:rPr>
          <w:rFonts w:hint="eastAsia"/>
        </w:rPr>
        <w:t>：</w:t>
      </w:r>
      <w:r w:rsidRPr="00BC31E0">
        <w:rPr>
          <w:rFonts w:hint="eastAsia"/>
        </w:rPr>
        <w:t xml:space="preserve"> </w:t>
      </w:r>
      <w:r w:rsidRPr="00BC31E0">
        <w:rPr>
          <w:rFonts w:hint="eastAsia"/>
        </w:rPr>
        <w:t>自己制御型荷重</w:t>
      </w:r>
      <w:r w:rsidRPr="00BC31E0">
        <w:rPr>
          <w:rFonts w:hint="eastAsia"/>
        </w:rPr>
        <w:t>(</w:t>
      </w:r>
      <w:r w:rsidRPr="00BC31E0">
        <w:rPr>
          <w:rFonts w:hint="eastAsia"/>
        </w:rPr>
        <w:t>熱伸びによる荷重</w:t>
      </w:r>
      <w:r w:rsidRPr="00BC31E0">
        <w:rPr>
          <w:rFonts w:hint="eastAsia"/>
        </w:rPr>
        <w:t>)(</w:t>
      </w:r>
      <w:r w:rsidRPr="00BC31E0">
        <w:rPr>
          <w:rFonts w:ascii="Cambria Math" w:hAnsi="Cambria Math"/>
        </w:rPr>
        <w:t>N</w:t>
      </w:r>
      <w:r w:rsidRPr="00BC31E0">
        <w:rPr>
          <w:rFonts w:hint="eastAsia"/>
        </w:rPr>
        <w:t>) (</w:t>
      </w:r>
      <w:r w:rsidRPr="00BC31E0">
        <w:rPr>
          <w:rFonts w:asciiTheme="majorEastAsia" w:eastAsiaTheme="majorEastAsia" w:hAnsiTheme="majorEastAsia" w:hint="eastAsia"/>
          <w:b/>
        </w:rPr>
        <w:t>表6.2.2</w:t>
      </w:r>
      <w:r w:rsidRPr="00BC31E0">
        <w:rPr>
          <w:rFonts w:asciiTheme="minorEastAsia" w:eastAsiaTheme="minorEastAsia" w:hAnsiTheme="minorEastAsia" w:hint="eastAsia"/>
        </w:rPr>
        <w:t>，</w:t>
      </w:r>
      <w:r w:rsidRPr="00BC31E0">
        <w:rPr>
          <w:rFonts w:asciiTheme="majorEastAsia" w:eastAsiaTheme="majorEastAsia" w:hAnsiTheme="majorEastAsia" w:hint="eastAsia"/>
          <w:b/>
        </w:rPr>
        <w:t>附属書J 表J.1</w:t>
      </w:r>
      <w:r w:rsidRPr="00BC31E0">
        <w:rPr>
          <w:rFonts w:hint="eastAsia"/>
        </w:rPr>
        <w:t>)</w:t>
      </w:r>
    </w:p>
    <w:p w14:paraId="76C1B262" w14:textId="77777777" w:rsidR="00C25C85" w:rsidRPr="00BC31E0" w:rsidRDefault="00C25C85" w:rsidP="008234D1">
      <w:pPr>
        <w:tabs>
          <w:tab w:val="left" w:pos="1276"/>
        </w:tabs>
        <w:autoSpaceDE w:val="0"/>
        <w:autoSpaceDN w:val="0"/>
        <w:ind w:left="1588" w:hanging="1021"/>
      </w:pPr>
      <w:r w:rsidRPr="00BC31E0">
        <w:tab/>
      </w:r>
      <w:bookmarkStart w:id="146" w:name="_Hlk52876439"/>
      <w:r w:rsidRPr="00BC31E0">
        <w:rPr>
          <w:rFonts w:hint="eastAsia"/>
        </w:rPr>
        <w:t>：</w:t>
      </w:r>
      <w:r w:rsidRPr="00BC31E0">
        <w:rPr>
          <w:rFonts w:hint="eastAsia"/>
        </w:rPr>
        <w:t xml:space="preserve"> </w:t>
      </w:r>
      <w:r w:rsidRPr="00BC31E0">
        <w:rPr>
          <w:rFonts w:hint="eastAsia"/>
        </w:rPr>
        <w:t>ハブ肩部の厚さ</w:t>
      </w:r>
      <w:r w:rsidRPr="00BC31E0">
        <w:rPr>
          <w:rFonts w:hint="eastAsia"/>
        </w:rPr>
        <w:t>(</w:t>
      </w:r>
      <w:r w:rsidRPr="00BC31E0">
        <w:rPr>
          <w:rFonts w:ascii="Cambria Math" w:hAnsi="Cambria Math"/>
        </w:rPr>
        <w:t>mm</w:t>
      </w:r>
      <w:r w:rsidRPr="00BC31E0">
        <w:rPr>
          <w:rFonts w:hint="eastAsia"/>
        </w:rPr>
        <w:t>)</w:t>
      </w:r>
      <w:r w:rsidRPr="00BC31E0">
        <w:rPr>
          <w:rFonts w:hint="eastAsia"/>
          <w:position w:val="-6"/>
        </w:rPr>
        <w:t xml:space="preserve"> </w:t>
      </w:r>
      <w:r w:rsidRPr="00BC31E0">
        <w:rPr>
          <w:rFonts w:hint="eastAsia"/>
        </w:rPr>
        <w:t>(</w:t>
      </w:r>
      <w:r w:rsidRPr="00BC31E0">
        <w:rPr>
          <w:rFonts w:ascii="ＭＳ ゴシック" w:eastAsia="ＭＳ ゴシック" w:hint="eastAsia"/>
          <w:b/>
        </w:rPr>
        <w:t>附属書</w:t>
      </w:r>
      <w:r w:rsidRPr="00BC31E0">
        <w:rPr>
          <w:rFonts w:ascii="ＭＳ ゴシック" w:eastAsia="ＭＳ ゴシック"/>
          <w:b/>
        </w:rPr>
        <w:t>H 3</w:t>
      </w:r>
      <w:r w:rsidRPr="00BC31E0">
        <w:rPr>
          <w:rFonts w:hint="eastAsia"/>
        </w:rPr>
        <w:t>)</w:t>
      </w:r>
      <w:bookmarkEnd w:id="146"/>
    </w:p>
    <w:p w14:paraId="7FE560FE" w14:textId="77777777" w:rsidR="00C25C85" w:rsidRPr="00BC31E0" w:rsidRDefault="00C25C85" w:rsidP="008234D1">
      <w:pPr>
        <w:tabs>
          <w:tab w:val="left" w:pos="1276"/>
        </w:tabs>
        <w:autoSpaceDE w:val="0"/>
        <w:autoSpaceDN w:val="0"/>
        <w:ind w:left="1588" w:hanging="1021"/>
      </w:pPr>
      <m:oMath>
        <m:r>
          <w:rPr>
            <w:rFonts w:ascii="Cambria Math" w:hAnsi="Cambria Math"/>
          </w:rPr>
          <m:t>T</m:t>
        </m:r>
        <m:r>
          <w:rPr>
            <w:rFonts w:ascii="Cambria Math" w:hAnsi="Cambria Math" w:hint="eastAsia"/>
          </w:rPr>
          <m:t>L</m:t>
        </m:r>
      </m:oMath>
      <w:r w:rsidRPr="00BC31E0">
        <w:tab/>
      </w:r>
      <w:r w:rsidRPr="00BC31E0">
        <w:rPr>
          <w:rFonts w:hint="eastAsia"/>
        </w:rPr>
        <w:t>：</w:t>
      </w:r>
      <w:r w:rsidRPr="00BC31E0">
        <w:rPr>
          <w:rFonts w:hint="eastAsia"/>
        </w:rPr>
        <w:t xml:space="preserve"> </w:t>
      </w:r>
      <w:r w:rsidRPr="00BC31E0">
        <w:rPr>
          <w:rFonts w:hint="eastAsia"/>
        </w:rPr>
        <w:t>板の場合には、板幅に垂直な方向</w:t>
      </w:r>
      <w:r w:rsidRPr="00BC31E0">
        <w:rPr>
          <w:rFonts w:hint="eastAsia"/>
          <w:position w:val="-6"/>
        </w:rPr>
        <w:t xml:space="preserve"> </w:t>
      </w:r>
      <w:r w:rsidRPr="00BC31E0">
        <w:rPr>
          <w:rFonts w:hint="eastAsia"/>
        </w:rPr>
        <w:t>(</w:t>
      </w:r>
      <w:r w:rsidRPr="00BC31E0">
        <w:rPr>
          <w:rFonts w:ascii="ＭＳ ゴシック" w:eastAsia="ＭＳ ゴシック" w:hint="eastAsia"/>
          <w:b/>
        </w:rPr>
        <w:t>6</w:t>
      </w:r>
      <w:r w:rsidRPr="00BC31E0">
        <w:rPr>
          <w:rFonts w:ascii="ＭＳ ゴシック" w:eastAsia="ＭＳ ゴシック"/>
          <w:b/>
        </w:rPr>
        <w:t>.</w:t>
      </w:r>
      <w:r w:rsidRPr="00BC31E0">
        <w:rPr>
          <w:rFonts w:ascii="ＭＳ ゴシック" w:eastAsia="ＭＳ ゴシック" w:hint="eastAsia"/>
          <w:b/>
        </w:rPr>
        <w:t>13</w:t>
      </w:r>
      <w:r w:rsidRPr="00BC31E0">
        <w:rPr>
          <w:rFonts w:ascii="ＭＳ ゴシック" w:eastAsia="ＭＳ ゴシック"/>
          <w:b/>
        </w:rPr>
        <w:t>.</w:t>
      </w:r>
      <w:r w:rsidRPr="00BC31E0">
        <w:rPr>
          <w:rFonts w:ascii="ＭＳ ゴシック" w:eastAsia="ＭＳ ゴシック" w:hint="eastAsia"/>
          <w:b/>
        </w:rPr>
        <w:t>2</w:t>
      </w:r>
      <w:r w:rsidRPr="00BC31E0">
        <w:rPr>
          <w:rFonts w:hint="eastAsia"/>
        </w:rPr>
        <w:t>)</w:t>
      </w:r>
    </w:p>
    <w:p w14:paraId="1DC6F92B"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T</m:t>
            </m:r>
          </m:e>
          <m:sub>
            <m:r>
              <w:rPr>
                <w:rFonts w:ascii="Cambria Math" w:hAnsi="Cambria Math" w:hint="eastAsia"/>
              </w:rPr>
              <m:t>c</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設計疲労曲線の上限温度</w:t>
      </w:r>
      <w:r w:rsidR="00C25C85" w:rsidRPr="00BC31E0">
        <w:rPr>
          <w:rFonts w:hint="eastAsia"/>
        </w:rPr>
        <w:t>(</w:t>
      </w:r>
      <w:r w:rsidR="00C25C85" w:rsidRPr="00BC31E0">
        <w:rPr>
          <w:rFonts w:ascii="Cambria Math" w:eastAsiaTheme="minorEastAsia" w:hAnsi="Cambria Math"/>
        </w:rPr>
        <w:t>℃</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b/>
        </w:rPr>
        <w:t>6.11.7</w:t>
      </w:r>
      <w:r w:rsidR="00C25C85" w:rsidRPr="00BC31E0">
        <w:rPr>
          <w:rFonts w:hint="eastAsia"/>
        </w:rPr>
        <w:t>)</w:t>
      </w:r>
    </w:p>
    <w:p w14:paraId="7551BB10" w14:textId="77777777" w:rsidR="00C25C85" w:rsidRPr="00BC31E0" w:rsidRDefault="00C25C85" w:rsidP="008234D1">
      <w:pPr>
        <w:tabs>
          <w:tab w:val="left" w:pos="1276"/>
        </w:tabs>
        <w:autoSpaceDE w:val="0"/>
        <w:autoSpaceDN w:val="0"/>
        <w:ind w:left="1588" w:hanging="1021"/>
      </w:pPr>
      <w:r w:rsidRPr="00BC31E0">
        <w:tab/>
      </w:r>
      <w:r w:rsidRPr="00BC31E0">
        <w:rPr>
          <w:rFonts w:hint="eastAsia"/>
        </w:rPr>
        <w:t>：</w:t>
      </w:r>
      <w:r w:rsidRPr="00BC31E0">
        <w:rPr>
          <w:rFonts w:hint="eastAsia"/>
        </w:rPr>
        <w:t xml:space="preserve"> </w:t>
      </w:r>
      <w:r w:rsidRPr="00BC31E0">
        <w:rPr>
          <w:rFonts w:hint="eastAsia"/>
        </w:rPr>
        <w:t>ハブの外側角部下のクランプリップの厚さ</w:t>
      </w:r>
      <w:r w:rsidRPr="00BC31E0">
        <w:rPr>
          <w:rFonts w:hint="eastAsia"/>
        </w:rPr>
        <w:t>(</w:t>
      </w:r>
      <w:r w:rsidRPr="00BC31E0">
        <w:rPr>
          <w:rFonts w:ascii="Cambria Math" w:hAnsi="Cambria Math"/>
        </w:rPr>
        <w:t>mm</w:t>
      </w:r>
      <w:r w:rsidRPr="00BC31E0">
        <w:rPr>
          <w:rFonts w:hint="eastAsia"/>
        </w:rPr>
        <w:t>)</w:t>
      </w:r>
      <w:r w:rsidRPr="00BC31E0">
        <w:rPr>
          <w:rFonts w:hint="eastAsia"/>
          <w:position w:val="-6"/>
        </w:rPr>
        <w:t xml:space="preserve"> </w:t>
      </w:r>
      <w:r w:rsidRPr="00BC31E0">
        <w:rPr>
          <w:rFonts w:hint="eastAsia"/>
        </w:rPr>
        <w:t>(</w:t>
      </w:r>
      <w:r w:rsidRPr="00BC31E0">
        <w:rPr>
          <w:rFonts w:ascii="ＭＳ ゴシック" w:eastAsia="ＭＳ ゴシック" w:hint="eastAsia"/>
          <w:b/>
        </w:rPr>
        <w:t>附属書</w:t>
      </w:r>
      <w:r w:rsidRPr="00BC31E0">
        <w:rPr>
          <w:rFonts w:ascii="ＭＳ ゴシック" w:eastAsia="ＭＳ ゴシック"/>
          <w:b/>
        </w:rPr>
        <w:t>H 3</w:t>
      </w:r>
      <w:r w:rsidRPr="00BC31E0">
        <w:rPr>
          <w:rFonts w:hint="eastAsia"/>
        </w:rPr>
        <w:t>)</w:t>
      </w:r>
    </w:p>
    <w:p w14:paraId="5B8249D9"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T</m:t>
            </m:r>
          </m:e>
          <m:sub>
            <m:r>
              <w:rPr>
                <w:rFonts w:ascii="Cambria Math" w:hAnsi="Cambria Math"/>
              </w:rPr>
              <m:t>D</m:t>
            </m:r>
          </m:sub>
        </m:sSub>
      </m:oMath>
      <w:r w:rsidR="00C25C85" w:rsidRPr="00BC31E0">
        <w:rPr>
          <w:rFonts w:hint="eastAsia"/>
          <w:vertAlign w:val="subscript"/>
        </w:rPr>
        <w:tab/>
      </w:r>
      <w:r w:rsidR="00C25C85" w:rsidRPr="00BC31E0">
        <w:rPr>
          <w:rFonts w:hint="eastAsia"/>
        </w:rPr>
        <w:t>：</w:t>
      </w:r>
      <w:r w:rsidR="00C25C85" w:rsidRPr="00BC31E0">
        <w:rPr>
          <w:rFonts w:hint="eastAsia"/>
        </w:rPr>
        <w:t xml:space="preserve"> </w:t>
      </w:r>
      <w:r w:rsidR="00C25C85" w:rsidRPr="00BC31E0">
        <w:rPr>
          <w:rFonts w:hint="eastAsia"/>
        </w:rPr>
        <w:t>設計温度</w:t>
      </w:r>
      <w:r w:rsidR="00C25C85" w:rsidRPr="00BC31E0">
        <w:rPr>
          <w:rFonts w:hint="eastAsia"/>
        </w:rPr>
        <w:t>(</w:t>
      </w:r>
      <w:r w:rsidR="00C25C85" w:rsidRPr="00BC31E0">
        <w:rPr>
          <w:rFonts w:ascii="Cambria Math" w:eastAsiaTheme="minorEastAsia" w:hAnsi="Cambria Math"/>
        </w:rPr>
        <w:t>℃</w:t>
      </w:r>
      <w:r w:rsidR="00C25C85" w:rsidRPr="00BC31E0">
        <w:rPr>
          <w:rFonts w:hint="eastAsia"/>
        </w:rPr>
        <w:t>) (</w:t>
      </w:r>
      <w:r w:rsidR="00C25C85" w:rsidRPr="00BC31E0">
        <w:rPr>
          <w:rFonts w:ascii="ＭＳ ゴシック" w:hAnsi="ＭＳ ゴシック" w:hint="eastAsia"/>
          <w:b/>
        </w:rPr>
        <w:t>6.11.7</w:t>
      </w:r>
      <w:r w:rsidR="00C25C85" w:rsidRPr="00BC31E0">
        <w:rPr>
          <w:rFonts w:hint="eastAsia"/>
        </w:rPr>
        <w:t>)</w:t>
      </w:r>
    </w:p>
    <w:p w14:paraId="3057FF8C"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T</m:t>
            </m:r>
          </m:e>
          <m:sub>
            <m:r>
              <w:rPr>
                <w:rFonts w:ascii="Cambria Math" w:hAnsi="Cambria Math"/>
              </w:rPr>
              <m:t>h</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クランプの内側角部下のハブ肩部厚さ</w:t>
      </w:r>
      <w:r w:rsidR="00C25C85" w:rsidRPr="00BC31E0">
        <w:rPr>
          <w:rFonts w:hint="eastAsia"/>
        </w:rPr>
        <w:t>(</w:t>
      </w:r>
      <w:r w:rsidR="00C25C85" w:rsidRPr="00BC31E0">
        <w:rPr>
          <w:rFonts w:ascii="Cambria Math" w:hAnsi="Cambria Math"/>
        </w:rPr>
        <w:t>mm</w:t>
      </w:r>
      <w:r w:rsidR="00C25C85" w:rsidRPr="00BC31E0">
        <w:rPr>
          <w:rFonts w:hint="eastAsia"/>
        </w:rPr>
        <w:t>) (</w:t>
      </w:r>
      <w:r w:rsidR="00C25C85" w:rsidRPr="00BC31E0">
        <w:rPr>
          <w:rFonts w:ascii="ＭＳ ゴシック" w:eastAsia="ＭＳ ゴシック" w:hint="eastAsia"/>
          <w:b/>
        </w:rPr>
        <w:t>附属書</w:t>
      </w:r>
      <w:r w:rsidR="00C25C85" w:rsidRPr="00BC31E0">
        <w:rPr>
          <w:rFonts w:ascii="ＭＳ ゴシック" w:eastAsia="ＭＳ ゴシック"/>
          <w:b/>
        </w:rPr>
        <w:t>H 3</w:t>
      </w:r>
      <w:r w:rsidR="00C25C85" w:rsidRPr="00BC31E0">
        <w:rPr>
          <w:rFonts w:eastAsia="ＭＳ ゴシック"/>
        </w:rPr>
        <w:t>)</w:t>
      </w:r>
    </w:p>
    <w:p w14:paraId="3AF35F0C"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T</m:t>
            </m:r>
          </m:e>
          <m:sub>
            <m:r>
              <w:rPr>
                <w:rFonts w:ascii="Cambria Math" w:hAnsi="Cambria Math" w:hint="eastAsia"/>
              </w:rPr>
              <m:t>t</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試験温度</w:t>
      </w:r>
      <w:r w:rsidR="00C25C85" w:rsidRPr="00BC31E0">
        <w:rPr>
          <w:rFonts w:hint="eastAsia"/>
        </w:rPr>
        <w:t>(</w:t>
      </w:r>
      <w:r w:rsidR="00C25C85" w:rsidRPr="00BC31E0">
        <w:rPr>
          <w:rFonts w:ascii="Cambria Math" w:eastAsiaTheme="minorEastAsia" w:hAnsi="Cambria Math"/>
        </w:rPr>
        <w:t>℃</w:t>
      </w:r>
      <w:r w:rsidR="00C25C85" w:rsidRPr="00BC31E0">
        <w:rPr>
          <w:rFonts w:hint="eastAsia"/>
        </w:rPr>
        <w:t>) (</w:t>
      </w:r>
      <w:r w:rsidR="00C25C85" w:rsidRPr="00BC31E0">
        <w:rPr>
          <w:rFonts w:ascii="ＭＳ ゴシック" w:eastAsia="ＭＳ ゴシック"/>
          <w:b/>
        </w:rPr>
        <w:t>6.11.7</w:t>
      </w:r>
      <w:r w:rsidR="00C25C85" w:rsidRPr="00BC31E0">
        <w:rPr>
          <w:rFonts w:eastAsia="ＭＳ ゴシック"/>
        </w:rPr>
        <w:t>)</w:t>
      </w:r>
    </w:p>
    <w:p w14:paraId="25922A40" w14:textId="77777777" w:rsidR="00C25C85" w:rsidRPr="00BC31E0" w:rsidRDefault="00C25C85" w:rsidP="008234D1">
      <w:pPr>
        <w:tabs>
          <w:tab w:val="left" w:pos="1276"/>
        </w:tabs>
        <w:autoSpaceDE w:val="0"/>
        <w:autoSpaceDN w:val="0"/>
        <w:ind w:left="1588" w:hanging="1021"/>
      </w:pPr>
      <m:oMath>
        <m:r>
          <w:rPr>
            <w:rFonts w:ascii="Cambria Math" w:hAnsi="Cambria Math"/>
          </w:rPr>
          <m:t>t</m:t>
        </m:r>
      </m:oMath>
      <w:r w:rsidRPr="00BC31E0">
        <w:rPr>
          <w:rFonts w:hint="eastAsia"/>
          <w:i/>
          <w:szCs w:val="24"/>
        </w:rPr>
        <w:tab/>
      </w:r>
      <w:r w:rsidRPr="00BC31E0">
        <w:rPr>
          <w:rFonts w:hint="eastAsia"/>
        </w:rPr>
        <w:t>：</w:t>
      </w:r>
      <w:r w:rsidRPr="00BC31E0">
        <w:rPr>
          <w:rFonts w:hint="eastAsia"/>
        </w:rPr>
        <w:t xml:space="preserve"> </w:t>
      </w:r>
      <w:r w:rsidRPr="00BC31E0">
        <w:rPr>
          <w:rFonts w:hint="eastAsia"/>
        </w:rPr>
        <w:t>層成胴の合計厚さ，公称容器厚さ</w:t>
      </w:r>
      <w:r w:rsidRPr="00BC31E0">
        <w:rPr>
          <w:rFonts w:hint="eastAsia"/>
        </w:rPr>
        <w:t>(</w:t>
      </w:r>
      <w:r w:rsidRPr="00BC31E0">
        <w:rPr>
          <w:rFonts w:ascii="Cambria Math" w:hAnsi="Cambria Math"/>
        </w:rPr>
        <w:t>mm</w:t>
      </w:r>
      <w:r w:rsidRPr="00BC31E0">
        <w:rPr>
          <w:rFonts w:hint="eastAsia"/>
        </w:rPr>
        <w:t>)</w:t>
      </w:r>
      <w:r w:rsidRPr="00BC31E0">
        <w:rPr>
          <w:rFonts w:hint="eastAsia"/>
          <w:position w:val="-6"/>
        </w:rPr>
        <w:t xml:space="preserve"> </w:t>
      </w:r>
      <w:r w:rsidRPr="00BC31E0">
        <w:rPr>
          <w:rFonts w:hint="eastAsia"/>
        </w:rPr>
        <w:t>(</w:t>
      </w:r>
      <w:r w:rsidRPr="00BC31E0">
        <w:rPr>
          <w:rFonts w:ascii="ＭＳ ゴシック" w:eastAsia="ＭＳ ゴシック"/>
          <w:b/>
        </w:rPr>
        <w:t>6.8.3</w:t>
      </w:r>
      <w:r w:rsidRPr="00BC31E0">
        <w:rPr>
          <w:rFonts w:hint="eastAsia"/>
        </w:rPr>
        <w:t>，</w:t>
      </w:r>
      <w:r w:rsidRPr="00BC31E0">
        <w:rPr>
          <w:rFonts w:asciiTheme="majorEastAsia" w:eastAsiaTheme="majorEastAsia" w:hAnsiTheme="majorEastAsia" w:hint="eastAsia"/>
          <w:b/>
          <w:bCs/>
        </w:rPr>
        <w:t>7.6.1</w:t>
      </w:r>
      <w:r w:rsidRPr="00BC31E0">
        <w:rPr>
          <w:rFonts w:hint="eastAsia"/>
        </w:rPr>
        <w:t>，</w:t>
      </w:r>
      <w:r w:rsidRPr="00BC31E0">
        <w:rPr>
          <w:rFonts w:ascii="ＭＳ ゴシック" w:eastAsia="ＭＳ ゴシック" w:hint="eastAsia"/>
          <w:b/>
        </w:rPr>
        <w:t>附属書</w:t>
      </w:r>
      <w:r w:rsidRPr="00BC31E0">
        <w:rPr>
          <w:rFonts w:ascii="ＭＳ ゴシック" w:eastAsia="ＭＳ ゴシック"/>
          <w:b/>
        </w:rPr>
        <w:t>E</w:t>
      </w:r>
      <w:r w:rsidRPr="00BC31E0">
        <w:rPr>
          <w:rFonts w:ascii="ＭＳ ゴシック" w:eastAsia="ＭＳ ゴシック" w:hint="eastAsia"/>
          <w:b/>
        </w:rPr>
        <w:t xml:space="preserve"> 図</w:t>
      </w:r>
      <w:r w:rsidRPr="00BC31E0">
        <w:rPr>
          <w:rFonts w:ascii="ＭＳ ゴシック" w:eastAsia="ＭＳ ゴシック"/>
          <w:b/>
        </w:rPr>
        <w:t>E.2</w:t>
      </w:r>
      <w:r w:rsidRPr="00BC31E0">
        <w:rPr>
          <w:rFonts w:hint="eastAsia"/>
        </w:rPr>
        <w:t>)</w:t>
      </w:r>
    </w:p>
    <w:p w14:paraId="736B9963" w14:textId="77777777" w:rsidR="00C25C85" w:rsidRPr="00BC31E0" w:rsidRDefault="00C25C85" w:rsidP="008234D1">
      <w:pPr>
        <w:tabs>
          <w:tab w:val="left" w:pos="1276"/>
        </w:tabs>
        <w:autoSpaceDE w:val="0"/>
        <w:autoSpaceDN w:val="0"/>
        <w:ind w:left="1588" w:hanging="1021"/>
      </w:pPr>
      <w:r w:rsidRPr="00BC31E0">
        <w:rPr>
          <w:rFonts w:hint="eastAsia"/>
        </w:rPr>
        <w:tab/>
      </w:r>
      <w:r w:rsidRPr="00BC31E0">
        <w:rPr>
          <w:rFonts w:hint="eastAsia"/>
        </w:rPr>
        <w:t>：</w:t>
      </w:r>
      <w:r w:rsidRPr="00BC31E0">
        <w:rPr>
          <w:rFonts w:hint="eastAsia"/>
        </w:rPr>
        <w:t xml:space="preserve"> </w:t>
      </w:r>
      <w:r w:rsidRPr="00BC31E0">
        <w:rPr>
          <w:rFonts w:hint="eastAsia"/>
        </w:rPr>
        <w:t>公称厚さ</w:t>
      </w:r>
      <w:r w:rsidRPr="00BC31E0">
        <w:rPr>
          <w:rFonts w:hint="eastAsia"/>
        </w:rPr>
        <w:t>(</w:t>
      </w:r>
      <w:r w:rsidRPr="00BC31E0">
        <w:rPr>
          <w:rFonts w:ascii="Cambria Math" w:hAnsi="Cambria Math"/>
        </w:rPr>
        <w:t>mm</w:t>
      </w:r>
      <w:r w:rsidRPr="00BC31E0">
        <w:rPr>
          <w:rFonts w:hint="eastAsia"/>
        </w:rPr>
        <w:t>) (</w:t>
      </w:r>
      <w:r w:rsidRPr="00BC31E0">
        <w:rPr>
          <w:rFonts w:asciiTheme="majorEastAsia" w:eastAsiaTheme="majorEastAsia" w:hAnsiTheme="majorEastAsia"/>
          <w:b/>
        </w:rPr>
        <w:t>7.4</w:t>
      </w:r>
      <w:r w:rsidRPr="00BC31E0">
        <w:rPr>
          <w:rFonts w:asciiTheme="majorEastAsia" w:eastAsiaTheme="majorEastAsia" w:hAnsiTheme="majorEastAsia" w:hint="eastAsia"/>
          <w:b/>
        </w:rPr>
        <w:t>，10.1.2</w:t>
      </w:r>
      <w:r w:rsidRPr="00BC31E0">
        <w:rPr>
          <w:rFonts w:hint="eastAsia"/>
        </w:rPr>
        <w:t>)</w:t>
      </w:r>
    </w:p>
    <w:p w14:paraId="01E85764" w14:textId="77777777" w:rsidR="00C25C85" w:rsidRPr="00BC31E0" w:rsidRDefault="00C25C85" w:rsidP="008234D1">
      <w:pPr>
        <w:tabs>
          <w:tab w:val="left" w:pos="1276"/>
        </w:tabs>
        <w:autoSpaceDE w:val="0"/>
        <w:autoSpaceDN w:val="0"/>
        <w:ind w:left="1588" w:hanging="1021"/>
        <w:rPr>
          <w:rFonts w:eastAsia="ＭＳ ゴシック"/>
        </w:rPr>
      </w:pPr>
      <w:r w:rsidRPr="00BC31E0">
        <w:rPr>
          <w:rFonts w:hint="eastAsia"/>
        </w:rPr>
        <w:t xml:space="preserve">　　</w:t>
      </w:r>
      <w:r w:rsidRPr="00BC31E0">
        <w:rPr>
          <w:rFonts w:hint="eastAsia"/>
        </w:rPr>
        <w:t xml:space="preserve"> </w:t>
      </w:r>
      <w:r w:rsidRPr="00BC31E0">
        <w:rPr>
          <w:rFonts w:hint="eastAsia"/>
        </w:rPr>
        <w:tab/>
      </w:r>
      <w:r w:rsidRPr="00BC31E0">
        <w:rPr>
          <w:rFonts w:hint="eastAsia"/>
        </w:rPr>
        <w:t>：</w:t>
      </w:r>
      <w:r w:rsidRPr="00BC31E0">
        <w:rPr>
          <w:rFonts w:hint="eastAsia"/>
        </w:rPr>
        <w:t xml:space="preserve"> </w:t>
      </w:r>
      <w:r w:rsidRPr="00BC31E0">
        <w:rPr>
          <w:rFonts w:hint="eastAsia"/>
        </w:rPr>
        <w:t>部材の厚さ</w:t>
      </w:r>
      <w:r w:rsidRPr="00BC31E0">
        <w:rPr>
          <w:rFonts w:hint="eastAsia"/>
        </w:rPr>
        <w:t>(</w:t>
      </w:r>
      <w:r w:rsidRPr="00BC31E0">
        <w:rPr>
          <w:rFonts w:ascii="Cambria Math" w:hAnsi="Cambria Math"/>
        </w:rPr>
        <w:t>mm</w:t>
      </w:r>
      <w:r w:rsidRPr="00BC31E0">
        <w:rPr>
          <w:rFonts w:hint="eastAsia"/>
        </w:rPr>
        <w:t>) (</w:t>
      </w:r>
      <w:r w:rsidRPr="00BC31E0">
        <w:rPr>
          <w:rFonts w:asciiTheme="majorEastAsia" w:eastAsiaTheme="majorEastAsia" w:hAnsiTheme="majorEastAsia" w:hint="eastAsia"/>
          <w:b/>
          <w:bCs/>
        </w:rPr>
        <w:t>9.2.3</w:t>
      </w:r>
      <w:r w:rsidRPr="00BC31E0">
        <w:rPr>
          <w:rFonts w:hint="eastAsia"/>
        </w:rPr>
        <w:t>，</w:t>
      </w:r>
      <w:r w:rsidRPr="00BC31E0">
        <w:rPr>
          <w:rFonts w:ascii="ＭＳ ゴシック" w:eastAsia="ＭＳ ゴシック" w:hint="eastAsia"/>
          <w:b/>
        </w:rPr>
        <w:t>9.3.6</w:t>
      </w:r>
      <w:r w:rsidRPr="00BC31E0">
        <w:rPr>
          <w:rFonts w:ascii="ＭＳ ゴシック" w:eastAsia="ＭＳ ゴシック" w:hint="eastAsia"/>
          <w:b/>
          <w:dstrike/>
        </w:rPr>
        <w:t>5</w:t>
      </w:r>
      <w:r w:rsidRPr="00BC31E0">
        <w:rPr>
          <w:rFonts w:hint="eastAsia"/>
        </w:rPr>
        <w:t>，</w:t>
      </w:r>
      <w:r w:rsidRPr="00BC31E0">
        <w:rPr>
          <w:rFonts w:asciiTheme="majorEastAsia" w:eastAsiaTheme="majorEastAsia" w:hAnsiTheme="majorEastAsia" w:hint="eastAsia"/>
          <w:b/>
        </w:rPr>
        <w:t>表9.3.1</w:t>
      </w:r>
      <w:r w:rsidRPr="00BC31E0">
        <w:rPr>
          <w:rFonts w:hint="eastAsia"/>
        </w:rPr>
        <w:t>，</w:t>
      </w:r>
      <w:r w:rsidRPr="00BC31E0">
        <w:rPr>
          <w:rFonts w:ascii="ＭＳ ゴシック" w:eastAsia="ＭＳ ゴシック" w:hint="eastAsia"/>
          <w:b/>
        </w:rPr>
        <w:t>図9.3.2</w:t>
      </w:r>
      <w:r w:rsidRPr="00BC31E0">
        <w:rPr>
          <w:rFonts w:ascii="ＭＳ ゴシック" w:eastAsia="ＭＳ ゴシック" w:hint="eastAsia"/>
        </w:rPr>
        <w:t>～</w:t>
      </w:r>
      <w:r w:rsidRPr="00BC31E0">
        <w:rPr>
          <w:rFonts w:ascii="ＭＳ ゴシック" w:eastAsia="ＭＳ ゴシック" w:hint="eastAsia"/>
          <w:b/>
        </w:rPr>
        <w:t>図9.3.6，附属書C</w:t>
      </w:r>
      <w:r w:rsidRPr="00BC31E0">
        <w:rPr>
          <w:rFonts w:ascii="ＭＳ ゴシック" w:eastAsia="ＭＳ ゴシック"/>
          <w:b/>
        </w:rPr>
        <w:t xml:space="preserve"> 4.1</w:t>
      </w:r>
      <w:r w:rsidRPr="00BC31E0">
        <w:rPr>
          <w:rFonts w:asciiTheme="minorEastAsia" w:eastAsiaTheme="minorEastAsia" w:hAnsiTheme="minorEastAsia" w:hint="eastAsia"/>
        </w:rPr>
        <w:t>，</w:t>
      </w:r>
      <w:r w:rsidRPr="00BC31E0">
        <w:rPr>
          <w:rFonts w:ascii="ＭＳ ゴシック" w:eastAsia="ＭＳ ゴシック" w:hint="eastAsia"/>
          <w:b/>
        </w:rPr>
        <w:t>附属書L 3</w:t>
      </w:r>
      <w:r w:rsidRPr="00BC31E0">
        <w:rPr>
          <w:rFonts w:eastAsia="ＭＳ ゴシック"/>
        </w:rPr>
        <w:t>)</w:t>
      </w:r>
    </w:p>
    <w:p w14:paraId="496D4482" w14:textId="77777777" w:rsidR="00C25C85" w:rsidRPr="00BC31E0" w:rsidRDefault="00C25C85" w:rsidP="008234D1">
      <w:pPr>
        <w:tabs>
          <w:tab w:val="left" w:pos="1276"/>
        </w:tabs>
        <w:autoSpaceDE w:val="0"/>
        <w:autoSpaceDN w:val="0"/>
        <w:ind w:left="1588" w:hanging="1021"/>
        <w:rPr>
          <w:rFonts w:asciiTheme="minorEastAsia" w:eastAsiaTheme="minorEastAsia" w:hAnsiTheme="minorEastAsia"/>
        </w:rPr>
      </w:pPr>
      <w:r w:rsidRPr="00BC31E0">
        <w:rPr>
          <w:rFonts w:eastAsia="ＭＳ ゴシック" w:hint="eastAsia"/>
        </w:rPr>
        <w:tab/>
      </w:r>
      <w:r w:rsidRPr="00BC31E0">
        <w:rPr>
          <w:rFonts w:asciiTheme="minorEastAsia" w:eastAsiaTheme="minorEastAsia" w:hAnsiTheme="minorEastAsia" w:hint="eastAsia"/>
        </w:rPr>
        <w:t xml:space="preserve">： </w:t>
      </w:r>
      <w:r w:rsidRPr="00BC31E0">
        <w:rPr>
          <w:rFonts w:asciiTheme="minorHAnsi" w:eastAsiaTheme="minorEastAsia" w:hAnsiTheme="minorEastAsia"/>
        </w:rPr>
        <w:t>ねじ底部における容器暑さ</w:t>
      </w:r>
      <w:r w:rsidRPr="00BC31E0">
        <w:rPr>
          <w:rFonts w:asciiTheme="minorHAnsi" w:eastAsiaTheme="minorEastAsia" w:hAnsiTheme="minorHAnsi"/>
        </w:rPr>
        <w:t>(</w:t>
      </w:r>
      <w:r w:rsidRPr="00BC31E0">
        <w:rPr>
          <w:rFonts w:ascii="Cambria Math" w:eastAsiaTheme="minorEastAsia" w:hAnsi="Cambria Math"/>
        </w:rPr>
        <w:t>mm</w:t>
      </w:r>
      <w:r w:rsidRPr="00BC31E0">
        <w:rPr>
          <w:rFonts w:asciiTheme="minorHAnsi" w:eastAsiaTheme="minorEastAsia" w:hAnsiTheme="minorHAnsi"/>
        </w:rPr>
        <w:t>) (</w:t>
      </w:r>
      <w:r w:rsidRPr="00BC31E0">
        <w:rPr>
          <w:rFonts w:asciiTheme="majorEastAsia" w:eastAsiaTheme="majorEastAsia" w:hAnsiTheme="majorEastAsia"/>
          <w:b/>
        </w:rPr>
        <w:t>附属書C 4</w:t>
      </w:r>
      <w:r w:rsidRPr="00BC31E0">
        <w:rPr>
          <w:rFonts w:asciiTheme="majorEastAsia" w:eastAsiaTheme="majorEastAsia" w:hAnsiTheme="majorEastAsia" w:hint="eastAsia"/>
          <w:b/>
        </w:rPr>
        <w:t>.3</w:t>
      </w:r>
      <w:r w:rsidRPr="00BC31E0">
        <w:rPr>
          <w:rFonts w:asciiTheme="minorHAnsi" w:eastAsiaTheme="minorEastAsia" w:hAnsiTheme="minorHAnsi"/>
        </w:rPr>
        <w:t>)</w:t>
      </w:r>
    </w:p>
    <w:p w14:paraId="7FEA1D5F"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t</m:t>
            </m:r>
          </m:e>
          <m:sub>
            <m:r>
              <w:rPr>
                <w:rFonts w:ascii="Cambria Math" w:hAnsi="Cambria Math"/>
              </w:rPr>
              <m:t>b</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一体型平鏡板の厚さ</w:t>
      </w:r>
      <w:r w:rsidR="00C25C85" w:rsidRPr="00BC31E0">
        <w:rPr>
          <w:rFonts w:hint="eastAsia"/>
        </w:rPr>
        <w:t>(</w:t>
      </w:r>
      <w:r w:rsidR="00C25C85" w:rsidRPr="00BC31E0">
        <w:rPr>
          <w:rFonts w:ascii="Cambria Math" w:hAnsi="Cambria Math"/>
        </w:rPr>
        <w:t>mm</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hint="eastAsia"/>
          <w:b/>
        </w:rPr>
        <w:t>附属書</w:t>
      </w:r>
      <w:r w:rsidR="00C25C85" w:rsidRPr="00BC31E0">
        <w:rPr>
          <w:rFonts w:ascii="ＭＳ ゴシック" w:eastAsia="ＭＳ ゴシック"/>
          <w:b/>
        </w:rPr>
        <w:t>G</w:t>
      </w:r>
      <w:r w:rsidR="00C25C85" w:rsidRPr="00BC31E0">
        <w:rPr>
          <w:rFonts w:ascii="ＭＳ ゴシック" w:eastAsia="ＭＳ ゴシック" w:hint="eastAsia"/>
          <w:b/>
        </w:rPr>
        <w:t xml:space="preserve"> 図</w:t>
      </w:r>
      <w:r w:rsidR="00C25C85" w:rsidRPr="00BC31E0">
        <w:rPr>
          <w:rFonts w:ascii="ＭＳ ゴシック" w:eastAsia="ＭＳ ゴシック"/>
          <w:b/>
        </w:rPr>
        <w:t>G.2</w:t>
      </w:r>
      <w:r w:rsidR="00C25C85" w:rsidRPr="00BC31E0">
        <w:rPr>
          <w:rFonts w:hint="eastAsia"/>
        </w:rPr>
        <w:t>)</w:t>
      </w:r>
    </w:p>
    <w:p w14:paraId="5375B6CD"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t</m:t>
            </m:r>
          </m:e>
          <m:sub>
            <m:r>
              <w:rPr>
                <w:rFonts w:ascii="Cambria Math" w:hAnsi="Cambria Math" w:hint="eastAsia"/>
              </w:rPr>
              <m:t>c</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すみ肉溶接ののど厚さ</w:t>
      </w:r>
      <w:r w:rsidR="00C25C85" w:rsidRPr="00BC31E0">
        <w:rPr>
          <w:rFonts w:hint="eastAsia"/>
        </w:rPr>
        <w:t>(</w:t>
      </w:r>
      <w:r w:rsidR="00C25C85" w:rsidRPr="00BC31E0">
        <w:rPr>
          <w:rFonts w:ascii="Cambria Math" w:hAnsi="Cambria Math"/>
        </w:rPr>
        <w:t>mm</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hint="eastAsia"/>
          <w:b/>
        </w:rPr>
        <w:t>図6.10.5</w:t>
      </w:r>
      <w:r w:rsidR="00C25C85" w:rsidRPr="00BC31E0">
        <w:rPr>
          <w:rFonts w:hint="eastAsia"/>
        </w:rPr>
        <w:t>)</w:t>
      </w:r>
    </w:p>
    <w:p w14:paraId="65F2C8E3" w14:textId="77777777" w:rsidR="00C25C85" w:rsidRPr="00BC31E0" w:rsidRDefault="00C25C85" w:rsidP="008234D1">
      <w:pPr>
        <w:tabs>
          <w:tab w:val="left" w:pos="1276"/>
        </w:tabs>
        <w:autoSpaceDE w:val="0"/>
        <w:autoSpaceDN w:val="0"/>
        <w:ind w:left="1588" w:hanging="1021"/>
      </w:pPr>
      <w:r w:rsidRPr="00BC31E0">
        <w:rPr>
          <w:rFonts w:hint="eastAsia"/>
        </w:rPr>
        <w:tab/>
      </w:r>
      <w:r w:rsidRPr="00BC31E0">
        <w:rPr>
          <w:rFonts w:hint="eastAsia"/>
        </w:rPr>
        <w:t>：</w:t>
      </w:r>
      <w:r w:rsidRPr="00BC31E0">
        <w:rPr>
          <w:rFonts w:hint="eastAsia"/>
        </w:rPr>
        <w:t xml:space="preserve"> </w:t>
      </w:r>
      <w:r w:rsidRPr="00BC31E0">
        <w:rPr>
          <w:rFonts w:hint="eastAsia"/>
        </w:rPr>
        <w:t>コーナー部の板厚</w:t>
      </w:r>
      <w:r w:rsidRPr="00BC31E0">
        <w:rPr>
          <w:rFonts w:hint="eastAsia"/>
        </w:rPr>
        <w:t>(</w:t>
      </w:r>
      <w:r w:rsidRPr="00BC31E0">
        <w:rPr>
          <w:rFonts w:ascii="Cambria Math" w:hAnsi="Cambria Math"/>
        </w:rPr>
        <w:t>mm</w:t>
      </w:r>
      <w:r w:rsidRPr="00BC31E0">
        <w:rPr>
          <w:rFonts w:hint="eastAsia"/>
        </w:rPr>
        <w:t>)</w:t>
      </w:r>
      <w:r w:rsidRPr="00BC31E0">
        <w:rPr>
          <w:rFonts w:hint="eastAsia"/>
          <w:position w:val="-6"/>
        </w:rPr>
        <w:t xml:space="preserve"> </w:t>
      </w:r>
      <w:r w:rsidRPr="00BC31E0">
        <w:rPr>
          <w:rFonts w:hint="eastAsia"/>
        </w:rPr>
        <w:t>(</w:t>
      </w:r>
      <w:r w:rsidRPr="00BC31E0">
        <w:rPr>
          <w:rFonts w:ascii="ＭＳ ゴシック" w:eastAsia="ＭＳ ゴシック" w:hint="eastAsia"/>
          <w:b/>
        </w:rPr>
        <w:t>附属書G 図G.1</w:t>
      </w:r>
      <w:r w:rsidRPr="00BC31E0">
        <w:rPr>
          <w:rFonts w:hint="eastAsia"/>
        </w:rPr>
        <w:t>)</w:t>
      </w:r>
    </w:p>
    <w:p w14:paraId="2E119451"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t</m:t>
            </m:r>
          </m:e>
          <m:sub>
            <m:r>
              <w:rPr>
                <w:rFonts w:ascii="Cambria Math" w:hAnsi="Cambria Math" w:hint="eastAsia"/>
              </w:rPr>
              <m:t>H</m:t>
            </m:r>
          </m:sub>
        </m:sSub>
      </m:oMath>
      <w:r w:rsidR="00C25C85" w:rsidRPr="00BC31E0">
        <w:rPr>
          <w:rFonts w:hint="eastAsia"/>
          <w:vertAlign w:val="subscript"/>
        </w:rPr>
        <w:tab/>
      </w:r>
      <w:r w:rsidR="00C25C85" w:rsidRPr="00BC31E0">
        <w:rPr>
          <w:rFonts w:hint="eastAsia"/>
        </w:rPr>
        <w:t>：</w:t>
      </w:r>
      <w:r w:rsidR="00C25C85" w:rsidRPr="00BC31E0">
        <w:rPr>
          <w:rFonts w:hint="eastAsia"/>
        </w:rPr>
        <w:t xml:space="preserve"> </w:t>
      </w:r>
      <w:r w:rsidR="00C25C85" w:rsidRPr="00BC31E0">
        <w:rPr>
          <w:rFonts w:hint="eastAsia"/>
        </w:rPr>
        <w:t>継手での鏡の厚さ</w:t>
      </w:r>
      <w:r w:rsidR="00C25C85" w:rsidRPr="00BC31E0">
        <w:rPr>
          <w:rFonts w:hint="eastAsia"/>
        </w:rPr>
        <w:t>(</w:t>
      </w:r>
      <w:r w:rsidR="00C25C85" w:rsidRPr="00BC31E0">
        <w:rPr>
          <w:rFonts w:ascii="Cambria Math" w:hAnsi="Cambria Math"/>
        </w:rPr>
        <w:t>mm</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b/>
        </w:rPr>
        <w:t>6.8.6</w:t>
      </w:r>
      <w:r w:rsidR="00C25C85" w:rsidRPr="00BC31E0">
        <w:rPr>
          <w:rFonts w:ascii="ＭＳ ゴシック" w:eastAsia="ＭＳ ゴシック" w:hint="eastAsia"/>
          <w:b/>
        </w:rPr>
        <w:t xml:space="preserve"> 図</w:t>
      </w:r>
      <w:r w:rsidR="00C25C85" w:rsidRPr="00BC31E0">
        <w:rPr>
          <w:rFonts w:ascii="ＭＳ ゴシック" w:eastAsia="ＭＳ ゴシック"/>
          <w:b/>
        </w:rPr>
        <w:t>6.8.2</w:t>
      </w:r>
      <w:r w:rsidR="00C25C85" w:rsidRPr="00BC31E0">
        <w:rPr>
          <w:rFonts w:hint="eastAsia"/>
        </w:rPr>
        <w:t>)</w:t>
      </w:r>
    </w:p>
    <w:p w14:paraId="7373B7D2"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t</m:t>
            </m:r>
          </m:e>
          <m:sub>
            <m:r>
              <w:rPr>
                <w:rFonts w:ascii="Cambria Math" w:hAnsi="Cambria Math" w:hint="eastAsia"/>
              </w:rPr>
              <m:t>j</m:t>
            </m:r>
          </m:sub>
        </m:sSub>
      </m:oMath>
      <w:r w:rsidR="00C25C85" w:rsidRPr="00BC31E0">
        <w:rPr>
          <w:rFonts w:hint="eastAsia"/>
          <w:vertAlign w:val="subscript"/>
        </w:rPr>
        <w:tab/>
      </w:r>
      <w:r w:rsidR="00C25C85" w:rsidRPr="00BC31E0">
        <w:rPr>
          <w:rFonts w:hint="eastAsia"/>
        </w:rPr>
        <w:t>：</w:t>
      </w:r>
      <w:r w:rsidR="00C25C85" w:rsidRPr="00BC31E0">
        <w:rPr>
          <w:rFonts w:hint="eastAsia"/>
        </w:rPr>
        <w:t xml:space="preserve"> </w:t>
      </w:r>
      <w:r w:rsidR="00C25C85" w:rsidRPr="00BC31E0">
        <w:rPr>
          <w:rFonts w:hint="eastAsia"/>
        </w:rPr>
        <w:t>多層容器各層の厚さ</w:t>
      </w:r>
      <w:r w:rsidR="00C25C85" w:rsidRPr="00BC31E0">
        <w:rPr>
          <w:rFonts w:hint="eastAsia"/>
        </w:rPr>
        <w:t>(</w:t>
      </w:r>
      <w:r w:rsidR="00C25C85" w:rsidRPr="00BC31E0">
        <w:rPr>
          <w:rFonts w:ascii="Cambria Math" w:hAnsi="Cambria Math"/>
        </w:rPr>
        <w:t>mm</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Theme="majorEastAsia" w:eastAsiaTheme="majorEastAsia" w:hAnsiTheme="majorEastAsia" w:hint="eastAsia"/>
          <w:b/>
          <w:bCs/>
        </w:rPr>
        <w:t>表</w:t>
      </w:r>
      <w:r w:rsidR="00C25C85" w:rsidRPr="00BC31E0">
        <w:rPr>
          <w:rFonts w:ascii="ＭＳ ゴシック" w:eastAsia="ＭＳ ゴシック"/>
          <w:b/>
        </w:rPr>
        <w:t>6.</w:t>
      </w:r>
      <w:r w:rsidR="00C25C85" w:rsidRPr="00BC31E0">
        <w:rPr>
          <w:rFonts w:ascii="ＭＳ ゴシック" w:eastAsia="ＭＳ ゴシック" w:hint="eastAsia"/>
          <w:b/>
        </w:rPr>
        <w:t>2</w:t>
      </w:r>
      <w:r w:rsidR="00C25C85" w:rsidRPr="00BC31E0">
        <w:rPr>
          <w:rFonts w:ascii="ＭＳ ゴシック" w:eastAsia="ＭＳ ゴシック"/>
          <w:b/>
        </w:rPr>
        <w:t>.</w:t>
      </w:r>
      <w:r w:rsidR="00C25C85" w:rsidRPr="00BC31E0">
        <w:rPr>
          <w:rFonts w:ascii="ＭＳ ゴシック" w:eastAsia="ＭＳ ゴシック" w:hint="eastAsia"/>
          <w:b/>
        </w:rPr>
        <w:t>3</w:t>
      </w:r>
      <w:r w:rsidR="00C25C85" w:rsidRPr="00BC31E0">
        <w:rPr>
          <w:rFonts w:hint="eastAsia"/>
        </w:rPr>
        <w:t>)</w:t>
      </w:r>
    </w:p>
    <w:p w14:paraId="395FEFAC"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t</m:t>
            </m:r>
          </m:e>
          <m:sub>
            <m:r>
              <w:rPr>
                <w:rFonts w:ascii="Cambria Math" w:hAnsi="Cambria Math" w:hint="eastAsia"/>
              </w:rPr>
              <m:t>L</m:t>
            </m:r>
          </m:sub>
        </m:sSub>
      </m:oMath>
      <w:r w:rsidR="00C25C85" w:rsidRPr="00BC31E0">
        <w:rPr>
          <w:rFonts w:hint="eastAsia"/>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層成材</w:t>
      </w:r>
      <w:r w:rsidR="00C25C85" w:rsidRPr="00BC31E0">
        <w:rPr>
          <w:rFonts w:asciiTheme="minorHAnsi" w:hAnsiTheme="minorHAnsi"/>
        </w:rPr>
        <w:t>1</w:t>
      </w:r>
      <w:r w:rsidR="00C25C85" w:rsidRPr="00BC31E0">
        <w:rPr>
          <w:rFonts w:hint="eastAsia"/>
        </w:rPr>
        <w:t>枚の厚さ</w:t>
      </w:r>
      <w:r w:rsidR="00C25C85" w:rsidRPr="00BC31E0">
        <w:rPr>
          <w:rFonts w:hint="eastAsia"/>
        </w:rPr>
        <w:t>(</w:t>
      </w:r>
      <w:r w:rsidR="00C25C85" w:rsidRPr="00BC31E0">
        <w:rPr>
          <w:rFonts w:ascii="Cambria Math" w:hAnsi="Cambria Math"/>
        </w:rPr>
        <w:t>mm</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b/>
        </w:rPr>
        <w:t>6.8.6</w:t>
      </w:r>
      <w:r w:rsidR="00C25C85" w:rsidRPr="00BC31E0">
        <w:rPr>
          <w:rFonts w:ascii="ＭＳ ゴシック" w:eastAsia="ＭＳ ゴシック" w:hint="eastAsia"/>
          <w:b/>
        </w:rPr>
        <w:t xml:space="preserve"> 図</w:t>
      </w:r>
      <w:r w:rsidR="00C25C85" w:rsidRPr="00BC31E0">
        <w:rPr>
          <w:rFonts w:ascii="ＭＳ ゴシック" w:eastAsia="ＭＳ ゴシック"/>
          <w:b/>
        </w:rPr>
        <w:t>6.8.2</w:t>
      </w:r>
      <w:r w:rsidR="00C25C85" w:rsidRPr="00BC31E0">
        <w:rPr>
          <w:rFonts w:hint="eastAsia"/>
        </w:rPr>
        <w:t>)</w:t>
      </w:r>
    </w:p>
    <w:p w14:paraId="307A610B"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t</m:t>
            </m:r>
          </m:e>
          <m:sub>
            <m:r>
              <w:rPr>
                <w:rFonts w:ascii="Cambria Math" w:hAnsi="Cambria Math"/>
              </w:rPr>
              <m:t>n</m:t>
            </m:r>
          </m:sub>
        </m:sSub>
      </m:oMath>
      <w:r w:rsidR="00C25C85" w:rsidRPr="00BC31E0">
        <w:rPr>
          <w:rFonts w:hint="eastAsia"/>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層成胴の</w:t>
      </w:r>
      <m:oMath>
        <m:r>
          <w:rPr>
            <w:rFonts w:ascii="Cambria Math" w:hAnsi="Cambria Math"/>
          </w:rPr>
          <m:t>n</m:t>
        </m:r>
      </m:oMath>
      <w:r w:rsidR="00C25C85" w:rsidRPr="00BC31E0">
        <w:rPr>
          <w:rFonts w:hint="eastAsia"/>
        </w:rPr>
        <w:t>層目の厚さ</w:t>
      </w:r>
      <w:r w:rsidR="00C25C85" w:rsidRPr="00BC31E0">
        <w:rPr>
          <w:rFonts w:hint="eastAsia"/>
        </w:rPr>
        <w:t>(</w:t>
      </w:r>
      <w:r w:rsidR="00C25C85" w:rsidRPr="00BC31E0">
        <w:rPr>
          <w:rFonts w:ascii="Cambria Math" w:hAnsi="Cambria Math"/>
        </w:rPr>
        <w:t>mm</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b/>
        </w:rPr>
        <w:t>6.8.3</w:t>
      </w:r>
      <w:r w:rsidR="00C25C85" w:rsidRPr="00BC31E0">
        <w:rPr>
          <w:rFonts w:hint="eastAsia"/>
        </w:rPr>
        <w:t>)</w:t>
      </w:r>
    </w:p>
    <w:p w14:paraId="61E9A861" w14:textId="77777777" w:rsidR="00C25C85" w:rsidRPr="00BC31E0" w:rsidRDefault="00C25C85" w:rsidP="008234D1">
      <w:pPr>
        <w:tabs>
          <w:tab w:val="left" w:pos="1276"/>
        </w:tabs>
        <w:autoSpaceDE w:val="0"/>
        <w:autoSpaceDN w:val="0"/>
        <w:ind w:left="1588" w:hanging="1021"/>
      </w:pPr>
      <w:r w:rsidRPr="00BC31E0">
        <w:tab/>
      </w:r>
      <w:r w:rsidRPr="00BC31E0">
        <w:rPr>
          <w:rFonts w:hint="eastAsia"/>
        </w:rPr>
        <w:t>：</w:t>
      </w:r>
      <w:r w:rsidRPr="00BC31E0">
        <w:rPr>
          <w:rFonts w:hint="eastAsia"/>
        </w:rPr>
        <w:t xml:space="preserve"> </w:t>
      </w:r>
      <w:r w:rsidRPr="00BC31E0">
        <w:rPr>
          <w:rFonts w:hint="eastAsia"/>
        </w:rPr>
        <w:t>腐れ代を除くノズルの公称厚さ</w:t>
      </w:r>
      <w:r w:rsidRPr="00BC31E0">
        <w:rPr>
          <w:rFonts w:hint="eastAsia"/>
        </w:rPr>
        <w:t>(</w:t>
      </w:r>
      <w:r w:rsidRPr="00BC31E0">
        <w:rPr>
          <w:rFonts w:ascii="Cambria Math" w:hAnsi="Cambria Math"/>
        </w:rPr>
        <w:t>mm</w:t>
      </w:r>
      <w:r w:rsidRPr="00BC31E0">
        <w:rPr>
          <w:rFonts w:hint="eastAsia"/>
        </w:rPr>
        <w:t>)</w:t>
      </w:r>
      <w:r w:rsidRPr="00BC31E0">
        <w:rPr>
          <w:rFonts w:hint="eastAsia"/>
          <w:position w:val="-6"/>
        </w:rPr>
        <w:t xml:space="preserve"> </w:t>
      </w:r>
      <w:r w:rsidRPr="00BC31E0">
        <w:rPr>
          <w:rFonts w:hint="eastAsia"/>
        </w:rPr>
        <w:t>(</w:t>
      </w:r>
      <w:r w:rsidRPr="00BC31E0">
        <w:rPr>
          <w:rFonts w:ascii="ＭＳ ゴシック" w:eastAsia="ＭＳ ゴシック" w:hint="eastAsia"/>
          <w:b/>
        </w:rPr>
        <w:t>図</w:t>
      </w:r>
      <w:r w:rsidRPr="00BC31E0">
        <w:rPr>
          <w:rFonts w:ascii="ＭＳ ゴシック" w:eastAsia="ＭＳ ゴシック"/>
          <w:b/>
        </w:rPr>
        <w:t>6.8.</w:t>
      </w:r>
      <w:r w:rsidRPr="00BC31E0">
        <w:rPr>
          <w:rFonts w:ascii="ＭＳ ゴシック" w:eastAsia="ＭＳ ゴシック" w:hint="eastAsia"/>
          <w:b/>
        </w:rPr>
        <w:t>7</w:t>
      </w:r>
      <w:r w:rsidRPr="00BC31E0">
        <w:rPr>
          <w:rFonts w:hint="eastAsia"/>
        </w:rPr>
        <w:t>)</w:t>
      </w:r>
    </w:p>
    <w:p w14:paraId="5BED72B8" w14:textId="77777777" w:rsidR="00C25C85" w:rsidRPr="00BC31E0" w:rsidRDefault="00C25C85" w:rsidP="008234D1">
      <w:pPr>
        <w:tabs>
          <w:tab w:val="left" w:pos="1276"/>
        </w:tabs>
        <w:autoSpaceDE w:val="0"/>
        <w:autoSpaceDN w:val="0"/>
        <w:ind w:left="1588" w:hanging="1021"/>
      </w:pPr>
      <w:r w:rsidRPr="00BC31E0">
        <w:tab/>
      </w:r>
      <w:r w:rsidRPr="00BC31E0">
        <w:rPr>
          <w:rFonts w:hint="eastAsia"/>
        </w:rPr>
        <w:t>：</w:t>
      </w:r>
      <w:r w:rsidRPr="00BC31E0">
        <w:rPr>
          <w:rFonts w:hint="eastAsia"/>
        </w:rPr>
        <w:t xml:space="preserve"> </w:t>
      </w:r>
      <w:r w:rsidRPr="00BC31E0">
        <w:rPr>
          <w:rFonts w:hint="eastAsia"/>
        </w:rPr>
        <w:t>ノズルの厚さ</w:t>
      </w:r>
      <w:r w:rsidRPr="00BC31E0">
        <w:rPr>
          <w:rFonts w:hint="eastAsia"/>
        </w:rPr>
        <w:t>(</w:t>
      </w:r>
      <w:r w:rsidRPr="00BC31E0">
        <w:rPr>
          <w:rFonts w:ascii="Cambria Math" w:hAnsi="Cambria Math"/>
        </w:rPr>
        <w:t>mm</w:t>
      </w:r>
      <w:r w:rsidRPr="00BC31E0">
        <w:rPr>
          <w:rFonts w:hint="eastAsia"/>
        </w:rPr>
        <w:t>)</w:t>
      </w:r>
      <w:r w:rsidRPr="00BC31E0">
        <w:rPr>
          <w:rFonts w:hint="eastAsia"/>
          <w:position w:val="-6"/>
        </w:rPr>
        <w:t xml:space="preserve"> </w:t>
      </w:r>
      <w:r w:rsidRPr="00BC31E0">
        <w:rPr>
          <w:rFonts w:hint="eastAsia"/>
        </w:rPr>
        <w:t>(</w:t>
      </w:r>
      <w:r w:rsidRPr="00BC31E0">
        <w:rPr>
          <w:rFonts w:ascii="ＭＳ ゴシック" w:eastAsia="ＭＳ ゴシック" w:hint="eastAsia"/>
          <w:b/>
        </w:rPr>
        <w:t>図</w:t>
      </w:r>
      <w:r w:rsidRPr="00BC31E0">
        <w:rPr>
          <w:rFonts w:ascii="ＭＳ ゴシック" w:eastAsia="ＭＳ ゴシック"/>
          <w:b/>
        </w:rPr>
        <w:t>6.10.4</w:t>
      </w:r>
      <w:r w:rsidRPr="00BC31E0">
        <w:rPr>
          <w:rFonts w:hint="eastAsia"/>
        </w:rPr>
        <w:t>)</w:t>
      </w:r>
    </w:p>
    <w:p w14:paraId="3F56E2BF" w14:textId="77777777" w:rsidR="00C25C85" w:rsidRPr="00BC31E0" w:rsidRDefault="00C25C85" w:rsidP="008234D1">
      <w:pPr>
        <w:tabs>
          <w:tab w:val="left" w:pos="1276"/>
        </w:tabs>
        <w:autoSpaceDE w:val="0"/>
        <w:autoSpaceDN w:val="0"/>
        <w:ind w:left="1588" w:hanging="1021"/>
      </w:pPr>
      <w:r w:rsidRPr="00BC31E0">
        <w:rPr>
          <w:rFonts w:hint="eastAsia"/>
        </w:rPr>
        <w:tab/>
      </w:r>
      <w:r w:rsidRPr="00BC31E0">
        <w:rPr>
          <w:rFonts w:hint="eastAsia"/>
        </w:rPr>
        <w:t>：</w:t>
      </w:r>
      <w:r w:rsidRPr="00BC31E0">
        <w:rPr>
          <w:rFonts w:hint="eastAsia"/>
        </w:rPr>
        <w:t xml:space="preserve"> </w:t>
      </w:r>
      <w:r w:rsidRPr="00BC31E0">
        <w:rPr>
          <w:rFonts w:hint="eastAsia"/>
        </w:rPr>
        <w:t>公称厚さ</w:t>
      </w:r>
      <w:r w:rsidRPr="00BC31E0">
        <w:rPr>
          <w:rFonts w:hint="eastAsia"/>
        </w:rPr>
        <w:t>(</w:t>
      </w:r>
      <w:r w:rsidRPr="00BC31E0">
        <w:rPr>
          <w:rFonts w:ascii="Cambria Math" w:hAnsi="Cambria Math"/>
        </w:rPr>
        <w:t>mm</w:t>
      </w:r>
      <w:r w:rsidRPr="00BC31E0">
        <w:rPr>
          <w:rFonts w:hint="eastAsia"/>
        </w:rPr>
        <w:t>) (</w:t>
      </w:r>
      <w:r w:rsidRPr="00BC31E0">
        <w:rPr>
          <w:rFonts w:asciiTheme="majorEastAsia" w:eastAsiaTheme="majorEastAsia" w:hAnsiTheme="majorEastAsia" w:hint="eastAsia"/>
          <w:b/>
        </w:rPr>
        <w:t>7.4</w:t>
      </w:r>
      <w:r w:rsidRPr="00BC31E0">
        <w:rPr>
          <w:rFonts w:hint="eastAsia"/>
        </w:rPr>
        <w:t>)</w:t>
      </w:r>
    </w:p>
    <w:p w14:paraId="0345946E"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t</m:t>
            </m:r>
          </m:e>
          <m:sub>
            <m:r>
              <w:rPr>
                <w:rFonts w:ascii="Cambria Math" w:hAnsi="Cambria Math"/>
              </w:rPr>
              <m:t>p</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取付けパイプの厚さ</w:t>
      </w:r>
      <w:r w:rsidR="00C25C85" w:rsidRPr="00BC31E0">
        <w:rPr>
          <w:rFonts w:hint="eastAsia"/>
        </w:rPr>
        <w:t>(</w:t>
      </w:r>
      <w:r w:rsidR="00C25C85" w:rsidRPr="00BC31E0">
        <w:rPr>
          <w:rFonts w:ascii="Cambria Math" w:hAnsi="Cambria Math"/>
        </w:rPr>
        <w:t>mm</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hint="eastAsia"/>
          <w:b/>
        </w:rPr>
        <w:t>附属書</w:t>
      </w:r>
      <w:r w:rsidR="00C25C85" w:rsidRPr="00BC31E0">
        <w:rPr>
          <w:rFonts w:ascii="ＭＳ ゴシック" w:eastAsia="ＭＳ ゴシック"/>
          <w:b/>
        </w:rPr>
        <w:t>E</w:t>
      </w:r>
      <w:r w:rsidR="00C25C85" w:rsidRPr="00BC31E0">
        <w:rPr>
          <w:rFonts w:ascii="ＭＳ ゴシック" w:eastAsia="ＭＳ ゴシック" w:hint="eastAsia"/>
          <w:b/>
        </w:rPr>
        <w:t xml:space="preserve"> 図</w:t>
      </w:r>
      <w:r w:rsidR="00C25C85" w:rsidRPr="00BC31E0">
        <w:rPr>
          <w:rFonts w:ascii="ＭＳ ゴシック" w:eastAsia="ＭＳ ゴシック"/>
          <w:b/>
        </w:rPr>
        <w:t>E.2</w:t>
      </w:r>
      <w:r w:rsidR="00C25C85" w:rsidRPr="00BC31E0">
        <w:rPr>
          <w:rFonts w:hint="eastAsia"/>
        </w:rPr>
        <w:t>)</w:t>
      </w:r>
    </w:p>
    <w:p w14:paraId="1F5BE7AD"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t</m:t>
            </m:r>
          </m:e>
          <m:sub>
            <m:r>
              <w:rPr>
                <w:rFonts w:ascii="Cambria Math" w:hAnsi="Cambria Math" w:hint="eastAsia"/>
              </w:rPr>
              <m:t>R</m:t>
            </m:r>
          </m:sub>
        </m:sSub>
      </m:oMath>
      <w:r w:rsidR="00C25C85" w:rsidRPr="00BC31E0">
        <w:rPr>
          <w:rFonts w:hint="eastAsia"/>
          <w:vertAlign w:val="subscript"/>
        </w:rPr>
        <w:tab/>
      </w:r>
      <w:r w:rsidR="00C25C85" w:rsidRPr="00BC31E0">
        <w:rPr>
          <w:rFonts w:hint="eastAsia"/>
        </w:rPr>
        <w:t>：</w:t>
      </w:r>
      <w:r w:rsidR="00C25C85" w:rsidRPr="00BC31E0">
        <w:rPr>
          <w:rFonts w:hint="eastAsia"/>
        </w:rPr>
        <w:t xml:space="preserve"> </w:t>
      </w:r>
      <w:r w:rsidR="00C25C85" w:rsidRPr="00BC31E0">
        <w:rPr>
          <w:rFonts w:hint="eastAsia"/>
        </w:rPr>
        <w:t>補強巻きの層成材の厚さ</w:t>
      </w:r>
      <w:r w:rsidR="00C25C85" w:rsidRPr="00BC31E0">
        <w:rPr>
          <w:rFonts w:hint="eastAsia"/>
        </w:rPr>
        <w:t>(</w:t>
      </w:r>
      <w:r w:rsidR="00C25C85" w:rsidRPr="00BC31E0">
        <w:rPr>
          <w:rFonts w:ascii="Cambria Math" w:hAnsi="Cambria Math"/>
        </w:rPr>
        <w:t>mm</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hint="eastAsia"/>
          <w:b/>
        </w:rPr>
        <w:t>6.8.3</w:t>
      </w:r>
      <w:r w:rsidR="00C25C85" w:rsidRPr="00BC31E0">
        <w:rPr>
          <w:rFonts w:hint="eastAsia"/>
        </w:rPr>
        <w:t>)</w:t>
      </w:r>
    </w:p>
    <w:p w14:paraId="23D395AB"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t</m:t>
            </m:r>
          </m:e>
          <m:sub>
            <m:r>
              <w:rPr>
                <w:rFonts w:ascii="Cambria Math" w:hAnsi="Cambria Math"/>
              </w:rPr>
              <m:t>r</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穴がない場合の最小厚さ</w:t>
      </w:r>
      <w:r w:rsidR="00C25C85" w:rsidRPr="00BC31E0">
        <w:rPr>
          <w:rFonts w:hint="eastAsia"/>
        </w:rPr>
        <w:t>(</w:t>
      </w:r>
      <w:r w:rsidR="00C25C85" w:rsidRPr="00BC31E0">
        <w:rPr>
          <w:rFonts w:ascii="Cambria Math" w:hAnsi="Cambria Math"/>
        </w:rPr>
        <w:t>mm</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hint="eastAsia"/>
          <w:b/>
        </w:rPr>
        <w:t>附属書</w:t>
      </w:r>
      <w:r w:rsidR="00C25C85" w:rsidRPr="00BC31E0">
        <w:rPr>
          <w:rFonts w:ascii="ＭＳ ゴシック" w:eastAsia="ＭＳ ゴシック"/>
          <w:b/>
        </w:rPr>
        <w:t xml:space="preserve">E </w:t>
      </w:r>
      <w:r w:rsidR="00C25C85" w:rsidRPr="00BC31E0">
        <w:rPr>
          <w:rFonts w:ascii="ＭＳ ゴシック" w:eastAsia="ＭＳ ゴシック" w:hint="eastAsia"/>
          <w:b/>
        </w:rPr>
        <w:t>4</w:t>
      </w:r>
      <w:r w:rsidR="00C25C85" w:rsidRPr="00BC31E0">
        <w:rPr>
          <w:rFonts w:ascii="ＭＳ ゴシック" w:eastAsia="ＭＳ ゴシック" w:hint="eastAsia"/>
        </w:rPr>
        <w:t>,</w:t>
      </w:r>
      <w:r w:rsidR="00C25C85" w:rsidRPr="00BC31E0">
        <w:rPr>
          <w:rFonts w:ascii="ＭＳ ゴシック" w:eastAsia="ＭＳ ゴシック" w:hint="eastAsia"/>
          <w:b/>
        </w:rPr>
        <w:t>5</w:t>
      </w:r>
      <w:r w:rsidR="00C25C85" w:rsidRPr="00BC31E0">
        <w:rPr>
          <w:rFonts w:hint="eastAsia"/>
        </w:rPr>
        <w:t>)</w:t>
      </w:r>
    </w:p>
    <w:p w14:paraId="072185FC"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t</m:t>
            </m:r>
          </m:e>
          <m:sub>
            <m:r>
              <w:rPr>
                <w:rFonts w:ascii="Cambria Math" w:hAnsi="Cambria Math" w:hint="eastAsia"/>
              </w:rPr>
              <m:t>rn</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ノズルの設計厚さ</w:t>
      </w:r>
      <w:r w:rsidR="00C25C85" w:rsidRPr="00BC31E0">
        <w:rPr>
          <w:rFonts w:hint="eastAsia"/>
        </w:rPr>
        <w:t>(</w:t>
      </w:r>
      <w:r w:rsidR="00C25C85" w:rsidRPr="00BC31E0">
        <w:rPr>
          <w:rFonts w:ascii="Cambria Math" w:hAnsi="Cambria Math"/>
        </w:rPr>
        <w:t>mm</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hint="eastAsia"/>
          <w:b/>
        </w:rPr>
        <w:t>図</w:t>
      </w:r>
      <w:r w:rsidR="00C25C85" w:rsidRPr="00BC31E0">
        <w:rPr>
          <w:rFonts w:ascii="ＭＳ ゴシック" w:eastAsia="ＭＳ ゴシック"/>
          <w:b/>
        </w:rPr>
        <w:t>6.10.3</w:t>
      </w:r>
      <w:r w:rsidR="00C25C85" w:rsidRPr="00BC31E0">
        <w:rPr>
          <w:rFonts w:hint="eastAsia"/>
        </w:rPr>
        <w:t>)</w:t>
      </w:r>
    </w:p>
    <w:p w14:paraId="2C1DC540" w14:textId="77777777" w:rsidR="00C25C85" w:rsidRPr="00BC31E0" w:rsidRDefault="00A51873" w:rsidP="008234D1">
      <w:pPr>
        <w:tabs>
          <w:tab w:val="left" w:pos="1276"/>
        </w:tabs>
        <w:autoSpaceDE w:val="0"/>
        <w:autoSpaceDN w:val="0"/>
        <w:ind w:left="1588" w:hanging="1021"/>
        <w:rPr>
          <w:rFonts w:ascii="ＭＳ ゴシック" w:eastAsia="ＭＳ ゴシック"/>
          <w:b/>
        </w:rPr>
      </w:pP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層成胴の厚さ</w:t>
      </w:r>
      <w:r w:rsidR="00C25C85" w:rsidRPr="00BC31E0">
        <w:rPr>
          <w:rFonts w:hint="eastAsia"/>
        </w:rPr>
        <w:t>(</w:t>
      </w:r>
      <w:r w:rsidR="00C25C85" w:rsidRPr="00BC31E0">
        <w:rPr>
          <w:rFonts w:ascii="Cambria Math" w:hAnsi="Cambria Math"/>
        </w:rPr>
        <w:t>mm</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b/>
        </w:rPr>
        <w:t>6.8.6</w:t>
      </w:r>
      <w:r w:rsidR="00C25C85" w:rsidRPr="00BC31E0">
        <w:rPr>
          <w:rFonts w:ascii="ＭＳ ゴシック" w:eastAsia="ＭＳ ゴシック" w:hint="eastAsia"/>
          <w:b/>
        </w:rPr>
        <w:t xml:space="preserve">　図</w:t>
      </w:r>
      <w:r w:rsidR="00C25C85" w:rsidRPr="00BC31E0">
        <w:rPr>
          <w:rFonts w:ascii="ＭＳ ゴシック" w:eastAsia="ＭＳ ゴシック"/>
          <w:b/>
        </w:rPr>
        <w:t>6.8.2</w:t>
      </w:r>
      <w:r w:rsidR="00C25C85" w:rsidRPr="00BC31E0">
        <w:rPr>
          <w:rFonts w:ascii="ＭＳ 明朝" w:hAnsi="ＭＳ 明朝" w:hint="eastAsia"/>
        </w:rPr>
        <w:t>，</w:t>
      </w:r>
      <w:r w:rsidR="00C25C85" w:rsidRPr="00BC31E0">
        <w:rPr>
          <w:rFonts w:ascii="ＭＳ ゴシック" w:eastAsia="ＭＳ ゴシック" w:hint="eastAsia"/>
          <w:b/>
        </w:rPr>
        <w:t>図</w:t>
      </w:r>
      <w:r w:rsidR="00C25C85" w:rsidRPr="00BC31E0">
        <w:rPr>
          <w:rFonts w:ascii="ＭＳ ゴシック" w:eastAsia="ＭＳ ゴシック"/>
          <w:b/>
        </w:rPr>
        <w:t>6.8.</w:t>
      </w:r>
      <w:r w:rsidR="00C25C85" w:rsidRPr="00BC31E0">
        <w:rPr>
          <w:rFonts w:ascii="ＭＳ ゴシック" w:eastAsia="ＭＳ ゴシック" w:hint="eastAsia"/>
          <w:b/>
        </w:rPr>
        <w:t>3</w:t>
      </w:r>
      <w:r w:rsidR="00C25C85" w:rsidRPr="00BC31E0">
        <w:rPr>
          <w:rFonts w:hint="eastAsia"/>
        </w:rPr>
        <w:t>)</w:t>
      </w:r>
    </w:p>
    <w:p w14:paraId="0D2504A4"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t</m:t>
            </m:r>
          </m:e>
          <m:sub>
            <m:r>
              <w:rPr>
                <w:rFonts w:ascii="Cambria Math" w:hAnsi="Cambria Math"/>
              </w:rPr>
              <m:t>w</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胴の厚さ</w:t>
      </w:r>
      <w:r w:rsidR="00C25C85" w:rsidRPr="00BC31E0">
        <w:rPr>
          <w:rFonts w:hint="eastAsia"/>
        </w:rPr>
        <w:t>(</w:t>
      </w:r>
      <w:r w:rsidR="00C25C85" w:rsidRPr="00BC31E0">
        <w:rPr>
          <w:rFonts w:ascii="Cambria Math" w:hAnsi="Cambria Math"/>
        </w:rPr>
        <w:t>mm</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hint="eastAsia"/>
          <w:b/>
        </w:rPr>
        <w:t>附属書</w:t>
      </w:r>
      <w:r w:rsidR="00C25C85" w:rsidRPr="00BC31E0">
        <w:rPr>
          <w:rFonts w:ascii="ＭＳ ゴシック" w:eastAsia="ＭＳ ゴシック"/>
          <w:b/>
        </w:rPr>
        <w:t>G</w:t>
      </w:r>
      <w:r w:rsidR="00C25C85" w:rsidRPr="00BC31E0">
        <w:rPr>
          <w:rFonts w:ascii="ＭＳ ゴシック" w:eastAsia="ＭＳ ゴシック" w:hint="eastAsia"/>
          <w:b/>
        </w:rPr>
        <w:t xml:space="preserve"> 図</w:t>
      </w:r>
      <w:r w:rsidR="00C25C85" w:rsidRPr="00BC31E0">
        <w:rPr>
          <w:rFonts w:ascii="ＭＳ ゴシック" w:eastAsia="ＭＳ ゴシック"/>
          <w:b/>
        </w:rPr>
        <w:t>G.1</w:t>
      </w:r>
      <w:r w:rsidR="00C25C85" w:rsidRPr="00BC31E0">
        <w:rPr>
          <w:rFonts w:hint="eastAsia"/>
        </w:rPr>
        <w:t>)</w:t>
      </w:r>
    </w:p>
    <w:p w14:paraId="602FB9A1" w14:textId="77777777" w:rsidR="00C25C85" w:rsidRPr="00BC31E0" w:rsidRDefault="00C25C85" w:rsidP="008234D1">
      <w:pPr>
        <w:tabs>
          <w:tab w:val="left" w:pos="1276"/>
        </w:tabs>
        <w:autoSpaceDE w:val="0"/>
        <w:autoSpaceDN w:val="0"/>
        <w:ind w:left="1588" w:hanging="1021"/>
      </w:pPr>
      <m:oMath>
        <m:r>
          <w:rPr>
            <w:rFonts w:ascii="Cambria Math" w:hAnsi="Cambria Math"/>
          </w:rPr>
          <m:t>U</m:t>
        </m:r>
      </m:oMath>
      <w:r w:rsidRPr="00BC31E0">
        <w:tab/>
      </w:r>
      <w:r w:rsidRPr="00BC31E0">
        <w:rPr>
          <w:rFonts w:hint="eastAsia"/>
        </w:rPr>
        <w:t>：</w:t>
      </w:r>
      <w:r w:rsidRPr="00BC31E0">
        <w:rPr>
          <w:rFonts w:hint="eastAsia"/>
        </w:rPr>
        <w:t xml:space="preserve"> </w:t>
      </w:r>
      <w:r w:rsidRPr="00BC31E0">
        <w:rPr>
          <w:rFonts w:hint="eastAsia"/>
        </w:rPr>
        <w:t>累積使用係数</w:t>
      </w:r>
      <w:r w:rsidRPr="00BC31E0">
        <w:rPr>
          <w:rFonts w:hint="eastAsia"/>
        </w:rPr>
        <w:t xml:space="preserve"> (</w:t>
      </w:r>
      <w:r w:rsidRPr="00BC31E0">
        <w:rPr>
          <w:rFonts w:ascii="ＭＳ ゴシック" w:eastAsia="ＭＳ ゴシック"/>
          <w:b/>
        </w:rPr>
        <w:t>6.3.5</w:t>
      </w:r>
      <w:r w:rsidRPr="00BC31E0">
        <w:rPr>
          <w:rFonts w:hint="eastAsia"/>
        </w:rPr>
        <w:t>)</w:t>
      </w:r>
    </w:p>
    <w:p w14:paraId="21F13C38" w14:textId="77777777" w:rsidR="00C25C85" w:rsidRPr="00BC31E0" w:rsidRDefault="00C25C85" w:rsidP="008234D1">
      <w:pPr>
        <w:tabs>
          <w:tab w:val="left" w:pos="1276"/>
        </w:tabs>
        <w:autoSpaceDE w:val="0"/>
        <w:autoSpaceDN w:val="0"/>
        <w:ind w:left="1588" w:hanging="1021"/>
      </w:pPr>
      <m:oMath>
        <m:r>
          <w:rPr>
            <w:rFonts w:ascii="Cambria Math" w:hAnsi="Cambria Math"/>
          </w:rPr>
          <m:t>W</m:t>
        </m:r>
      </m:oMath>
      <w:r w:rsidRPr="00BC31E0">
        <w:tab/>
      </w:r>
      <w:r w:rsidRPr="00BC31E0">
        <w:rPr>
          <w:rFonts w:hint="eastAsia"/>
        </w:rPr>
        <w:t>：</w:t>
      </w:r>
      <w:r w:rsidRPr="00BC31E0">
        <w:rPr>
          <w:rFonts w:hint="eastAsia"/>
        </w:rPr>
        <w:t xml:space="preserve"> </w:t>
      </w:r>
      <w:r w:rsidRPr="00BC31E0">
        <w:rPr>
          <w:rFonts w:hint="eastAsia"/>
        </w:rPr>
        <w:t>風荷重</w:t>
      </w:r>
      <w:r w:rsidRPr="00BC31E0">
        <w:rPr>
          <w:rFonts w:hint="eastAsia"/>
        </w:rPr>
        <w:t>(</w:t>
      </w:r>
      <w:r w:rsidRPr="00BC31E0">
        <w:rPr>
          <w:rFonts w:ascii="Cambria Math" w:hAnsi="Cambria Math"/>
        </w:rPr>
        <w:t>N</w:t>
      </w:r>
      <w:r w:rsidRPr="00BC31E0">
        <w:rPr>
          <w:rFonts w:hint="eastAsia"/>
        </w:rPr>
        <w:t>) (</w:t>
      </w:r>
      <w:r w:rsidRPr="00BC31E0">
        <w:rPr>
          <w:rFonts w:asciiTheme="majorEastAsia" w:eastAsiaTheme="majorEastAsia" w:hAnsiTheme="majorEastAsia" w:hint="eastAsia"/>
          <w:b/>
        </w:rPr>
        <w:t>表6.2.2</w:t>
      </w:r>
      <w:r w:rsidRPr="00BC31E0">
        <w:rPr>
          <w:rFonts w:asciiTheme="minorEastAsia" w:eastAsiaTheme="minorEastAsia" w:hAnsiTheme="minorEastAsia" w:hint="eastAsia"/>
        </w:rPr>
        <w:t>，</w:t>
      </w:r>
      <w:r w:rsidRPr="00BC31E0">
        <w:rPr>
          <w:rFonts w:asciiTheme="majorEastAsia" w:eastAsiaTheme="majorEastAsia" w:hAnsiTheme="majorEastAsia" w:hint="eastAsia"/>
          <w:b/>
        </w:rPr>
        <w:t>附属書J 表J.1</w:t>
      </w:r>
      <w:r w:rsidRPr="00BC31E0">
        <w:rPr>
          <w:rFonts w:hint="eastAsia"/>
        </w:rPr>
        <w:t>)</w:t>
      </w:r>
    </w:p>
    <w:p w14:paraId="3E9FE4F2" w14:textId="77777777" w:rsidR="00C25C85" w:rsidRPr="00BC31E0" w:rsidRDefault="00C25C85" w:rsidP="008234D1">
      <w:pPr>
        <w:tabs>
          <w:tab w:val="left" w:pos="1276"/>
        </w:tabs>
        <w:autoSpaceDE w:val="0"/>
        <w:autoSpaceDN w:val="0"/>
        <w:ind w:left="1588" w:hanging="1021"/>
      </w:pPr>
      <w:r w:rsidRPr="00BC31E0">
        <w:rPr>
          <w:rFonts w:hint="eastAsia"/>
        </w:rPr>
        <w:lastRenderedPageBreak/>
        <w:tab/>
      </w:r>
      <w:r w:rsidRPr="00BC31E0">
        <w:rPr>
          <w:rFonts w:hint="eastAsia"/>
        </w:rPr>
        <w:t>：</w:t>
      </w:r>
      <w:r w:rsidRPr="00BC31E0">
        <w:rPr>
          <w:rFonts w:hint="eastAsia"/>
        </w:rPr>
        <w:t xml:space="preserve"> </w:t>
      </w:r>
      <w:r w:rsidRPr="00BC31E0">
        <w:rPr>
          <w:rFonts w:hint="eastAsia"/>
        </w:rPr>
        <w:t>適用する運転条件又はガスケット締付条件に必要な設計ボルト荷重</w:t>
      </w:r>
      <w:r w:rsidRPr="00BC31E0">
        <w:rPr>
          <w:rFonts w:hint="eastAsia"/>
        </w:rPr>
        <w:t>(</w:t>
      </w:r>
      <w:r w:rsidRPr="00BC31E0">
        <w:rPr>
          <w:rFonts w:ascii="Cambria Math" w:hAnsi="Cambria Math"/>
        </w:rPr>
        <w:t>N</w:t>
      </w:r>
      <w:r w:rsidRPr="00BC31E0">
        <w:rPr>
          <w:rFonts w:hint="eastAsia"/>
        </w:rPr>
        <w:t>) (</w:t>
      </w:r>
      <w:r w:rsidRPr="00BC31E0">
        <w:rPr>
          <w:rFonts w:ascii="ＭＳ ゴシック" w:eastAsia="ＭＳ ゴシック" w:hint="eastAsia"/>
          <w:b/>
        </w:rPr>
        <w:t>附属書</w:t>
      </w:r>
      <w:r w:rsidRPr="00BC31E0">
        <w:rPr>
          <w:rFonts w:ascii="ＭＳ ゴシック" w:eastAsia="ＭＳ ゴシック"/>
          <w:b/>
        </w:rPr>
        <w:t>H 3</w:t>
      </w:r>
      <w:r w:rsidRPr="00BC31E0">
        <w:rPr>
          <w:rFonts w:hint="eastAsia"/>
        </w:rPr>
        <w:t>)</w:t>
      </w:r>
    </w:p>
    <w:p w14:paraId="171EDF06"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W</m:t>
            </m:r>
          </m:e>
          <m:sub>
            <m:r>
              <w:rPr>
                <w:rFonts w:ascii="Cambria Math" w:hAnsi="Cambria Math" w:hint="eastAsia"/>
              </w:rPr>
              <m:t>A</m:t>
            </m:r>
          </m:sub>
        </m:sSub>
      </m:oMath>
      <w:r w:rsidR="00C25C85" w:rsidRPr="00BC31E0">
        <w:tab/>
      </w:r>
      <w:r w:rsidR="00C25C85" w:rsidRPr="00BC31E0">
        <w:rPr>
          <w:rFonts w:hint="eastAsia"/>
        </w:rPr>
        <w:t>：</w:t>
      </w:r>
      <w:r w:rsidR="00C25C85" w:rsidRPr="00BC31E0">
        <w:rPr>
          <w:rFonts w:hint="eastAsia"/>
        </w:rPr>
        <w:t xml:space="preserve"> </w:t>
      </w:r>
      <w:r w:rsidR="00C25C85" w:rsidRPr="00BC31E0">
        <w:rPr>
          <w:rFonts w:hint="eastAsia"/>
        </w:rPr>
        <w:t>組立時の風荷重</w:t>
      </w:r>
      <w:r w:rsidR="00C25C85" w:rsidRPr="00BC31E0">
        <w:rPr>
          <w:rFonts w:hint="eastAsia"/>
        </w:rPr>
        <w:t>(</w:t>
      </w:r>
      <w:r w:rsidR="00C25C85" w:rsidRPr="00BC31E0">
        <w:rPr>
          <w:rFonts w:ascii="Cambria Math" w:hAnsi="Cambria Math"/>
        </w:rPr>
        <w:t>N</w:t>
      </w:r>
      <w:r w:rsidR="00C25C85" w:rsidRPr="00BC31E0">
        <w:rPr>
          <w:rFonts w:hint="eastAsia"/>
        </w:rPr>
        <w:t>) (</w:t>
      </w:r>
      <w:r w:rsidR="00C25C85" w:rsidRPr="00BC31E0">
        <w:rPr>
          <w:rFonts w:asciiTheme="majorEastAsia" w:eastAsiaTheme="majorEastAsia" w:hAnsiTheme="majorEastAsia" w:hint="eastAsia"/>
          <w:b/>
        </w:rPr>
        <w:t>表6.2.2</w:t>
      </w:r>
      <w:r w:rsidR="00C25C85" w:rsidRPr="00BC31E0">
        <w:rPr>
          <w:rFonts w:hint="eastAsia"/>
        </w:rPr>
        <w:t>)</w:t>
      </w:r>
    </w:p>
    <w:p w14:paraId="165EAB1F"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W</m:t>
            </m:r>
          </m:e>
          <m:sub>
            <m:r>
              <w:rPr>
                <w:rFonts w:ascii="Cambria Math" w:hAnsi="Cambria Math"/>
              </w:rPr>
              <m:t>c</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一つのリップに対する合計有効クランプ締付荷重</w:t>
      </w:r>
      <w:r w:rsidR="00C25C85" w:rsidRPr="00BC31E0">
        <w:rPr>
          <w:rFonts w:hint="eastAsia"/>
        </w:rPr>
        <w:t>(</w:t>
      </w:r>
      <w:r w:rsidR="00C25C85" w:rsidRPr="00BC31E0">
        <w:rPr>
          <w:rFonts w:ascii="Cambria Math" w:hAnsi="Cambria Math"/>
        </w:rPr>
        <w:t>N</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hint="eastAsia"/>
          <w:b/>
        </w:rPr>
        <w:t>附属書</w:t>
      </w:r>
      <w:r w:rsidR="00C25C85" w:rsidRPr="00BC31E0">
        <w:rPr>
          <w:rFonts w:ascii="ＭＳ ゴシック" w:eastAsia="ＭＳ ゴシック"/>
          <w:b/>
        </w:rPr>
        <w:t>H 3</w:t>
      </w:r>
      <w:r w:rsidR="00C25C85" w:rsidRPr="00BC31E0">
        <w:rPr>
          <w:rFonts w:hint="eastAsia"/>
        </w:rPr>
        <w:t>)</w:t>
      </w:r>
    </w:p>
    <w:p w14:paraId="48D771BE"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W</m:t>
            </m:r>
          </m:e>
          <m:sub>
            <m:r>
              <w:rPr>
                <w:rFonts w:ascii="Cambria Math" w:hAnsi="Cambria Math"/>
              </w:rPr>
              <m:t>m1</m:t>
            </m:r>
          </m:sub>
        </m:sSub>
      </m:oMath>
      <w:r w:rsidR="00C25C85" w:rsidRPr="00BC31E0">
        <w:rPr>
          <w:rFonts w:hint="eastAsia"/>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運転条件で必要な最小ボルト荷重</w:t>
      </w:r>
      <w:r w:rsidR="00C25C85" w:rsidRPr="00BC31E0">
        <w:rPr>
          <w:rFonts w:hint="eastAsia"/>
        </w:rPr>
        <w:t>(</w:t>
      </w:r>
      <w:r w:rsidR="00C25C85" w:rsidRPr="00BC31E0">
        <w:rPr>
          <w:rFonts w:ascii="Cambria Math" w:hAnsi="Cambria Math"/>
        </w:rPr>
        <w:t>N</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hint="eastAsia"/>
          <w:b/>
        </w:rPr>
        <w:t>附属書</w:t>
      </w:r>
      <w:r w:rsidR="00C25C85" w:rsidRPr="00BC31E0">
        <w:rPr>
          <w:rFonts w:ascii="ＭＳ ゴシック" w:eastAsia="ＭＳ ゴシック"/>
          <w:b/>
        </w:rPr>
        <w:t>H 3</w:t>
      </w:r>
      <w:r w:rsidR="00C25C85" w:rsidRPr="00BC31E0">
        <w:rPr>
          <w:rFonts w:hint="eastAsia"/>
        </w:rPr>
        <w:t>)</w:t>
      </w:r>
    </w:p>
    <w:p w14:paraId="0C3369AE"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W</m:t>
            </m:r>
          </m:e>
          <m:sub>
            <m:r>
              <w:rPr>
                <w:rFonts w:ascii="Cambria Math" w:hAnsi="Cambria Math"/>
              </w:rPr>
              <m:t>m2</m:t>
            </m:r>
          </m:sub>
        </m:sSub>
      </m:oMath>
      <w:r w:rsidR="00C25C85" w:rsidRPr="00BC31E0">
        <w:rPr>
          <w:rFonts w:hint="eastAsia"/>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ガスケット締付条件で必要な最小ボルト荷重</w:t>
      </w:r>
      <w:r w:rsidR="00C25C85" w:rsidRPr="00BC31E0">
        <w:rPr>
          <w:rFonts w:hint="eastAsia"/>
        </w:rPr>
        <w:t>(</w:t>
      </w:r>
      <w:r w:rsidR="00C25C85" w:rsidRPr="00BC31E0">
        <w:rPr>
          <w:rFonts w:ascii="Cambria Math" w:hAnsi="Cambria Math"/>
        </w:rPr>
        <w:t>N</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hint="eastAsia"/>
          <w:b/>
        </w:rPr>
        <w:t>附属書</w:t>
      </w:r>
      <w:r w:rsidR="00C25C85" w:rsidRPr="00BC31E0">
        <w:rPr>
          <w:rFonts w:ascii="ＭＳ ゴシック" w:eastAsia="ＭＳ ゴシック"/>
          <w:b/>
        </w:rPr>
        <w:t>H 3</w:t>
      </w:r>
      <w:r w:rsidR="00C25C85" w:rsidRPr="00BC31E0">
        <w:rPr>
          <w:rFonts w:hint="eastAsia"/>
        </w:rPr>
        <w:t>)</w:t>
      </w:r>
    </w:p>
    <w:p w14:paraId="2B6A0204"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W</m:t>
            </m:r>
          </m:e>
          <m:sub>
            <m:r>
              <w:rPr>
                <w:rFonts w:ascii="Cambria Math" w:hAnsi="Cambria Math"/>
              </w:rPr>
              <m:t>pt</m:t>
            </m:r>
          </m:sub>
        </m:sSub>
      </m:oMath>
      <w:r w:rsidR="00C25C85" w:rsidRPr="00BC31E0">
        <w:tab/>
      </w:r>
      <w:r w:rsidR="00C25C85" w:rsidRPr="00BC31E0">
        <w:rPr>
          <w:rFonts w:hint="eastAsia"/>
        </w:rPr>
        <w:t>：</w:t>
      </w:r>
      <w:r w:rsidR="00C25C85" w:rsidRPr="00BC31E0">
        <w:rPr>
          <w:rFonts w:hint="eastAsia"/>
        </w:rPr>
        <w:t xml:space="preserve"> </w:t>
      </w:r>
      <w:r w:rsidR="00C25C85" w:rsidRPr="00BC31E0">
        <w:rPr>
          <w:rFonts w:hint="eastAsia"/>
        </w:rPr>
        <w:t>耐圧試験時の風荷重</w:t>
      </w:r>
      <w:r w:rsidR="00C25C85" w:rsidRPr="00BC31E0">
        <w:rPr>
          <w:rFonts w:hint="eastAsia"/>
        </w:rPr>
        <w:t>(</w:t>
      </w:r>
      <w:r w:rsidR="00C25C85" w:rsidRPr="00BC31E0">
        <w:rPr>
          <w:rFonts w:ascii="Cambria Math" w:hAnsi="Cambria Math"/>
        </w:rPr>
        <w:t>N</w:t>
      </w:r>
      <w:r w:rsidR="00C25C85" w:rsidRPr="00BC31E0">
        <w:rPr>
          <w:rFonts w:hint="eastAsia"/>
        </w:rPr>
        <w:t>) (</w:t>
      </w:r>
      <w:r w:rsidR="00C25C85" w:rsidRPr="00BC31E0">
        <w:rPr>
          <w:rFonts w:asciiTheme="majorEastAsia" w:eastAsiaTheme="majorEastAsia" w:hAnsiTheme="majorEastAsia" w:hint="eastAsia"/>
          <w:b/>
        </w:rPr>
        <w:t>表6.2.2</w:t>
      </w:r>
      <w:r w:rsidR="00C25C85" w:rsidRPr="00BC31E0">
        <w:rPr>
          <w:rFonts w:asciiTheme="minorEastAsia" w:eastAsiaTheme="minorEastAsia" w:hAnsiTheme="minorEastAsia" w:hint="eastAsia"/>
        </w:rPr>
        <w:t>，</w:t>
      </w:r>
      <w:r w:rsidR="00C25C85" w:rsidRPr="00BC31E0">
        <w:rPr>
          <w:rFonts w:asciiTheme="majorEastAsia" w:eastAsiaTheme="majorEastAsia" w:hAnsiTheme="majorEastAsia" w:hint="eastAsia"/>
          <w:b/>
        </w:rPr>
        <w:t>附属書J 表J.1</w:t>
      </w:r>
      <w:r w:rsidR="00C25C85" w:rsidRPr="00BC31E0">
        <w:rPr>
          <w:rFonts w:hint="eastAsia"/>
        </w:rPr>
        <w:t>)</w:t>
      </w:r>
    </w:p>
    <w:p w14:paraId="1CDC2A13" w14:textId="77777777" w:rsidR="00C25C85" w:rsidRPr="00BC31E0" w:rsidRDefault="00C25C85" w:rsidP="008234D1">
      <w:pPr>
        <w:tabs>
          <w:tab w:val="left" w:pos="1276"/>
        </w:tabs>
        <w:autoSpaceDE w:val="0"/>
        <w:autoSpaceDN w:val="0"/>
        <w:ind w:left="1588" w:hanging="1021"/>
      </w:pPr>
      <m:oMath>
        <m:r>
          <w:rPr>
            <w:rFonts w:ascii="Cambria Math" w:hAnsi="Cambria Math" w:hint="eastAsia"/>
          </w:rPr>
          <m:t>X</m:t>
        </m:r>
      </m:oMath>
      <w:r w:rsidRPr="00BC31E0">
        <w:tab/>
      </w:r>
      <w:r w:rsidRPr="00BC31E0">
        <w:rPr>
          <w:rFonts w:hint="eastAsia"/>
        </w:rPr>
        <w:t>：</w:t>
      </w:r>
      <w:r w:rsidRPr="00BC31E0">
        <w:rPr>
          <w:rFonts w:hint="eastAsia"/>
        </w:rPr>
        <w:t xml:space="preserve"> </w:t>
      </w:r>
      <w:r w:rsidRPr="00BC31E0">
        <w:rPr>
          <w:rFonts w:hint="eastAsia"/>
        </w:rPr>
        <w:t>一次膜相当応力と降伏強さとの比</w:t>
      </w:r>
      <w:r w:rsidRPr="00BC31E0">
        <w:rPr>
          <w:rFonts w:hint="eastAsia"/>
        </w:rPr>
        <w:t xml:space="preserve"> (</w:t>
      </w:r>
      <w:r w:rsidRPr="00BC31E0">
        <w:rPr>
          <w:rFonts w:ascii="ＭＳ ゴシック" w:eastAsia="ＭＳ ゴシック" w:hint="eastAsia"/>
          <w:b/>
        </w:rPr>
        <w:t xml:space="preserve">附属書J </w:t>
      </w:r>
      <w:r w:rsidRPr="00BC31E0">
        <w:rPr>
          <w:rFonts w:ascii="ＭＳ ゴシック" w:eastAsia="ＭＳ ゴシック"/>
          <w:b/>
        </w:rPr>
        <w:t>1</w:t>
      </w:r>
      <w:r w:rsidRPr="00BC31E0">
        <w:rPr>
          <w:rFonts w:hint="eastAsia"/>
        </w:rPr>
        <w:t>)</w:t>
      </w:r>
    </w:p>
    <w:p w14:paraId="4546CD7B" w14:textId="77777777" w:rsidR="00C25C85" w:rsidRPr="00BC31E0" w:rsidRDefault="00A51873" w:rsidP="008234D1">
      <w:pPr>
        <w:tabs>
          <w:tab w:val="left" w:pos="1276"/>
        </w:tabs>
        <w:autoSpaceDE w:val="0"/>
        <w:autoSpaceDN w:val="0"/>
        <w:ind w:left="1588" w:hanging="1021"/>
        <w:rPr>
          <w:rFonts w:ascii="ＭＳ ゴシック" w:eastAsia="ＭＳ ゴシック"/>
          <w:b/>
        </w:rPr>
      </w:pPr>
      <m:oMath>
        <m:sSub>
          <m:sSubPr>
            <m:ctrlPr>
              <w:rPr>
                <w:rFonts w:ascii="Cambria Math" w:hAnsi="Cambria Math"/>
                <w:i/>
              </w:rPr>
            </m:ctrlPr>
          </m:sSubPr>
          <m:e>
            <m:r>
              <w:rPr>
                <w:rFonts w:ascii="Cambria Math" w:hAnsi="Cambria Math"/>
              </w:rPr>
              <m:t>X</m:t>
            </m:r>
          </m:e>
          <m:sub>
            <m:r>
              <w:rPr>
                <w:rFonts w:ascii="Cambria Math" w:hAnsi="Cambria Math"/>
              </w:rPr>
              <m:t>a</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asciiTheme="majorEastAsia" w:eastAsiaTheme="majorEastAsia" w:hAnsiTheme="majorEastAsia" w:hint="eastAsia"/>
          <w:b/>
          <w:bCs/>
        </w:rPr>
        <w:t>式(9.3.1)</w:t>
      </w:r>
      <w:r w:rsidR="00C25C85" w:rsidRPr="00BC31E0">
        <w:rPr>
          <w:rFonts w:hint="eastAsia"/>
        </w:rPr>
        <w:t>に示す値</w:t>
      </w:r>
      <w:r w:rsidR="00C25C85" w:rsidRPr="00BC31E0">
        <w:rPr>
          <w:rFonts w:hint="eastAsia"/>
        </w:rPr>
        <w:t>(</w:t>
      </w:r>
      <w:r w:rsidR="00C25C85" w:rsidRPr="00BC31E0">
        <w:rPr>
          <w:rFonts w:ascii="Cambria Math" w:hAnsi="Cambria Math"/>
        </w:rPr>
        <w:t>mm</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hint="eastAsia"/>
          <w:b/>
        </w:rPr>
        <w:t>9.3.6</w:t>
      </w:r>
      <w:r w:rsidR="00C25C85" w:rsidRPr="00BC31E0">
        <w:rPr>
          <w:rFonts w:hint="eastAsia"/>
        </w:rPr>
        <w:t>)</w:t>
      </w:r>
    </w:p>
    <w:p w14:paraId="4845B276"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X</m:t>
            </m:r>
          </m:e>
          <m:sub>
            <m:r>
              <w:rPr>
                <w:rFonts w:ascii="Cambria Math" w:hAnsi="Cambria Math"/>
              </w:rPr>
              <m:t>b</m:t>
            </m:r>
          </m:sub>
        </m:sSub>
      </m:oMath>
      <w:r w:rsidR="00C25C85" w:rsidRPr="00BC31E0">
        <w:tab/>
      </w:r>
      <w:r w:rsidR="00C25C85" w:rsidRPr="00BC31E0">
        <w:rPr>
          <w:rFonts w:hint="eastAsia"/>
        </w:rPr>
        <w:t>：</w:t>
      </w:r>
      <w:r w:rsidR="00C25C85" w:rsidRPr="00BC31E0">
        <w:rPr>
          <w:rFonts w:hint="eastAsia"/>
        </w:rPr>
        <w:t xml:space="preserve"> </w:t>
      </w:r>
      <w:r w:rsidR="00C25C85" w:rsidRPr="00BC31E0">
        <w:rPr>
          <w:rFonts w:hint="eastAsia"/>
        </w:rPr>
        <w:t>クランプボディのボルト穴を除く長手－半径方向面における中立軸から</w:t>
      </w:r>
      <m:oMath>
        <m:sSub>
          <m:sSubPr>
            <m:ctrlPr>
              <w:rPr>
                <w:rFonts w:ascii="Cambria Math" w:hAnsi="Cambria Math"/>
                <w:i/>
              </w:rPr>
            </m:ctrlPr>
          </m:sSubPr>
          <m:e>
            <m:r>
              <w:rPr>
                <w:rFonts w:ascii="Cambria Math" w:hAnsi="Cambria Math"/>
              </w:rPr>
              <m:t>C</m:t>
            </m:r>
          </m:e>
          <m:sub>
            <m:r>
              <w:rPr>
                <w:rFonts w:ascii="Cambria Math" w:hAnsi="Cambria Math"/>
              </w:rPr>
              <m:t>n</m:t>
            </m:r>
          </m:sub>
        </m:sSub>
      </m:oMath>
      <w:r w:rsidR="00C25C85" w:rsidRPr="00BC31E0">
        <w:rPr>
          <w:rFonts w:hint="eastAsia"/>
        </w:rPr>
        <w:t>で示されるクランプネックの内径までの基本クランプ寸法</w:t>
      </w:r>
      <w:r w:rsidR="00C25C85" w:rsidRPr="00BC31E0">
        <w:rPr>
          <w:rFonts w:hint="eastAsia"/>
        </w:rPr>
        <w:t>(</w:t>
      </w:r>
      <w:r w:rsidR="00C25C85" w:rsidRPr="00BC31E0">
        <w:rPr>
          <w:rFonts w:ascii="Cambria Math" w:hAnsi="Cambria Math"/>
        </w:rPr>
        <w:t>mm</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hint="eastAsia"/>
          <w:b/>
        </w:rPr>
        <w:t>附属書</w:t>
      </w:r>
      <w:r w:rsidR="00C25C85" w:rsidRPr="00BC31E0">
        <w:rPr>
          <w:rFonts w:ascii="ＭＳ ゴシック" w:eastAsia="ＭＳ ゴシック"/>
          <w:b/>
        </w:rPr>
        <w:t>H 3</w:t>
      </w:r>
      <w:r w:rsidR="00C25C85" w:rsidRPr="00BC31E0">
        <w:rPr>
          <w:rFonts w:hint="eastAsia"/>
        </w:rPr>
        <w:t>)</w:t>
      </w:r>
    </w:p>
    <w:p w14:paraId="34DC3D59"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ボルト穴部からの半径方向平均距離</w:t>
      </w:r>
      <w:r w:rsidR="00C25C85" w:rsidRPr="00BC31E0">
        <w:rPr>
          <w:rFonts w:hint="eastAsia"/>
        </w:rPr>
        <w:t>(</w:t>
      </w:r>
      <w:r w:rsidR="00C25C85" w:rsidRPr="00BC31E0">
        <w:rPr>
          <w:rFonts w:ascii="Cambria Math" w:hAnsi="Cambria Math"/>
        </w:rPr>
        <w:t>mm</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hint="eastAsia"/>
          <w:b/>
        </w:rPr>
        <w:t>附属書</w:t>
      </w:r>
      <w:r w:rsidR="00C25C85" w:rsidRPr="00BC31E0">
        <w:rPr>
          <w:rFonts w:ascii="ＭＳ ゴシック" w:eastAsia="ＭＳ ゴシック"/>
          <w:b/>
        </w:rPr>
        <w:t>H 3</w:t>
      </w:r>
      <w:r w:rsidR="00C25C85" w:rsidRPr="00BC31E0">
        <w:rPr>
          <w:rFonts w:hint="eastAsia"/>
        </w:rPr>
        <w:t>)</w:t>
      </w:r>
    </w:p>
    <w:p w14:paraId="002A4911"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X</m:t>
            </m:r>
          </m:e>
          <m:sub>
            <m:r>
              <w:rPr>
                <w:rFonts w:ascii="Cambria Math" w:hAnsi="Cambria Math"/>
              </w:rPr>
              <m:t>5</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中立軸までの修正クランプ寸法</w:t>
      </w:r>
      <w:r w:rsidR="00C25C85" w:rsidRPr="00BC31E0">
        <w:rPr>
          <w:rFonts w:hint="eastAsia"/>
        </w:rPr>
        <w:t>(</w:t>
      </w:r>
      <w:r w:rsidR="00C25C85" w:rsidRPr="00BC31E0">
        <w:rPr>
          <w:rFonts w:ascii="Cambria Math" w:hAnsi="Cambria Math"/>
        </w:rPr>
        <w:t>mm</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hint="eastAsia"/>
          <w:b/>
        </w:rPr>
        <w:t>附属書</w:t>
      </w:r>
      <w:r w:rsidR="00C25C85" w:rsidRPr="00BC31E0">
        <w:rPr>
          <w:rFonts w:ascii="ＭＳ ゴシック" w:eastAsia="ＭＳ ゴシック"/>
          <w:b/>
        </w:rPr>
        <w:t>H 3</w:t>
      </w:r>
      <w:r w:rsidR="00C25C85" w:rsidRPr="00BC31E0">
        <w:rPr>
          <w:rFonts w:hint="eastAsia"/>
        </w:rPr>
        <w:t>)</w:t>
      </w:r>
    </w:p>
    <w:p w14:paraId="7141BA75"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X</m:t>
            </m:r>
          </m:e>
          <m:sub>
            <m:r>
              <w:rPr>
                <w:rFonts w:ascii="Cambria Math" w:hAnsi="Cambria Math"/>
              </w:rPr>
              <m:t>6</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中立軸までの修正クランプ寸法</w:t>
      </w:r>
      <w:r w:rsidR="00C25C85" w:rsidRPr="00BC31E0">
        <w:rPr>
          <w:rFonts w:hint="eastAsia"/>
        </w:rPr>
        <w:t>(</w:t>
      </w:r>
      <w:r w:rsidR="00C25C85" w:rsidRPr="00BC31E0">
        <w:rPr>
          <w:rFonts w:ascii="Cambria Math" w:hAnsi="Cambria Math"/>
        </w:rPr>
        <w:t>mm</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hint="eastAsia"/>
          <w:b/>
        </w:rPr>
        <w:t>附属書</w:t>
      </w:r>
      <w:r w:rsidR="00C25C85" w:rsidRPr="00BC31E0">
        <w:rPr>
          <w:rFonts w:ascii="ＭＳ ゴシック" w:eastAsia="ＭＳ ゴシック"/>
          <w:b/>
        </w:rPr>
        <w:t>H 3</w:t>
      </w:r>
      <w:r w:rsidR="00C25C85" w:rsidRPr="00BC31E0">
        <w:rPr>
          <w:rFonts w:hint="eastAsia"/>
        </w:rPr>
        <w:t>)</w:t>
      </w:r>
    </w:p>
    <w:p w14:paraId="019B1DEF" w14:textId="77777777" w:rsidR="00C25C85" w:rsidRPr="00BC31E0" w:rsidRDefault="00C25C85" w:rsidP="008234D1">
      <w:pPr>
        <w:tabs>
          <w:tab w:val="left" w:pos="1276"/>
        </w:tabs>
        <w:autoSpaceDE w:val="0"/>
        <w:autoSpaceDN w:val="0"/>
        <w:ind w:left="1588" w:hanging="1021"/>
      </w:pPr>
      <m:oMath>
        <m:r>
          <w:rPr>
            <w:rFonts w:ascii="Cambria Math" w:hAnsi="Cambria Math"/>
          </w:rPr>
          <m:t>x</m:t>
        </m:r>
      </m:oMath>
      <w:r w:rsidRPr="00BC31E0">
        <w:tab/>
      </w:r>
      <w:r w:rsidRPr="00BC31E0">
        <w:rPr>
          <w:rFonts w:hint="eastAsia"/>
        </w:rPr>
        <w:t>：</w:t>
      </w:r>
      <w:r w:rsidRPr="00BC31E0">
        <w:rPr>
          <w:rFonts w:hint="eastAsia"/>
        </w:rPr>
        <w:t xml:space="preserve"> </w:t>
      </w:r>
      <w:r w:rsidRPr="00BC31E0">
        <w:rPr>
          <w:rFonts w:hint="eastAsia"/>
        </w:rPr>
        <w:t>任意の点での径</w:t>
      </w:r>
      <w:r w:rsidRPr="00BC31E0">
        <w:rPr>
          <w:rFonts w:hint="eastAsia"/>
        </w:rPr>
        <w:t>(</w:t>
      </w:r>
      <w:r w:rsidRPr="00BC31E0">
        <w:rPr>
          <w:rFonts w:ascii="Cambria Math" w:hAnsi="Cambria Math"/>
        </w:rPr>
        <w:t>mm</w:t>
      </w:r>
      <w:r w:rsidRPr="00BC31E0">
        <w:rPr>
          <w:rFonts w:hint="eastAsia"/>
        </w:rPr>
        <w:t>)</w:t>
      </w:r>
      <w:r w:rsidRPr="00BC31E0">
        <w:rPr>
          <w:rFonts w:hint="eastAsia"/>
          <w:position w:val="-6"/>
        </w:rPr>
        <w:t xml:space="preserve"> </w:t>
      </w:r>
      <w:r w:rsidRPr="00BC31E0">
        <w:rPr>
          <w:rFonts w:hint="eastAsia"/>
        </w:rPr>
        <w:t>(</w:t>
      </w:r>
      <w:r w:rsidRPr="00BC31E0">
        <w:rPr>
          <w:rFonts w:ascii="ＭＳ ゴシック" w:eastAsia="ＭＳ ゴシック"/>
          <w:b/>
        </w:rPr>
        <w:t>6.9.4</w:t>
      </w:r>
      <w:r w:rsidRPr="00BC31E0">
        <w:rPr>
          <w:rFonts w:hint="eastAsia"/>
        </w:rPr>
        <w:t>)</w:t>
      </w:r>
    </w:p>
    <w:p w14:paraId="36D80C40" w14:textId="77777777" w:rsidR="00C25C85" w:rsidRPr="00BC31E0" w:rsidRDefault="00C25C85" w:rsidP="008234D1">
      <w:pPr>
        <w:tabs>
          <w:tab w:val="left" w:pos="1276"/>
        </w:tabs>
        <w:autoSpaceDE w:val="0"/>
        <w:autoSpaceDN w:val="0"/>
        <w:ind w:left="1588" w:hanging="1021"/>
      </w:pPr>
      <w:r w:rsidRPr="00BC31E0">
        <w:rPr>
          <w:rFonts w:hint="eastAsia"/>
        </w:rPr>
        <w:tab/>
      </w:r>
      <w:r w:rsidRPr="00BC31E0">
        <w:rPr>
          <w:rFonts w:hint="eastAsia"/>
        </w:rPr>
        <w:t>：</w:t>
      </w:r>
      <w:r w:rsidRPr="00BC31E0">
        <w:rPr>
          <w:rFonts w:hint="eastAsia"/>
        </w:rPr>
        <w:t xml:space="preserve"> </w:t>
      </w:r>
      <w:r w:rsidRPr="00BC31E0">
        <w:rPr>
          <w:rFonts w:hint="eastAsia"/>
        </w:rPr>
        <w:t>亀裂位置における表面からの厚さ方向距離</w:t>
      </w:r>
      <w:r w:rsidRPr="00BC31E0">
        <w:rPr>
          <w:rFonts w:hint="eastAsia"/>
        </w:rPr>
        <w:t>(</w:t>
      </w:r>
      <w:r w:rsidRPr="00BC31E0">
        <w:rPr>
          <w:rFonts w:ascii="Cambria Math" w:hAnsi="Cambria Math"/>
        </w:rPr>
        <w:t>m</w:t>
      </w:r>
      <w:r w:rsidRPr="00BC31E0">
        <w:rPr>
          <w:rFonts w:hint="eastAsia"/>
        </w:rPr>
        <w:t>)</w:t>
      </w:r>
      <w:r w:rsidRPr="00BC31E0">
        <w:rPr>
          <w:rFonts w:hint="eastAsia"/>
          <w:position w:val="-6"/>
        </w:rPr>
        <w:t xml:space="preserve"> </w:t>
      </w:r>
      <w:r w:rsidRPr="00BC31E0">
        <w:rPr>
          <w:rFonts w:hint="eastAsia"/>
        </w:rPr>
        <w:t>(</w:t>
      </w:r>
      <w:r w:rsidRPr="00BC31E0">
        <w:rPr>
          <w:rFonts w:ascii="ＭＳ ゴシック" w:eastAsia="ＭＳ ゴシック" w:hint="eastAsia"/>
          <w:b/>
        </w:rPr>
        <w:t>附属書</w:t>
      </w:r>
      <w:r w:rsidRPr="00BC31E0">
        <w:rPr>
          <w:rFonts w:ascii="ＭＳ ゴシック" w:eastAsia="ＭＳ ゴシック"/>
          <w:b/>
        </w:rPr>
        <w:t>C</w:t>
      </w:r>
      <w:r w:rsidRPr="00BC31E0">
        <w:rPr>
          <w:rFonts w:ascii="ＭＳ ゴシック" w:eastAsia="ＭＳ ゴシック" w:hint="eastAsia"/>
          <w:b/>
        </w:rPr>
        <w:t xml:space="preserve"> 4.1</w:t>
      </w:r>
      <w:r w:rsidRPr="00BC31E0">
        <w:rPr>
          <w:rFonts w:hint="eastAsia"/>
        </w:rPr>
        <w:t>)</w:t>
      </w:r>
    </w:p>
    <w:p w14:paraId="195AD675" w14:textId="77777777" w:rsidR="00C25C85" w:rsidRPr="00BC31E0" w:rsidRDefault="00C25C85" w:rsidP="008234D1">
      <w:pPr>
        <w:tabs>
          <w:tab w:val="left" w:pos="1276"/>
        </w:tabs>
        <w:autoSpaceDE w:val="0"/>
        <w:autoSpaceDN w:val="0"/>
        <w:ind w:left="1588" w:hanging="1021"/>
      </w:pPr>
      <w:r w:rsidRPr="00BC31E0">
        <w:rPr>
          <w:rFonts w:hint="eastAsia"/>
        </w:rPr>
        <w:tab/>
      </w:r>
      <w:r w:rsidRPr="00BC31E0">
        <w:rPr>
          <w:rFonts w:hint="eastAsia"/>
        </w:rPr>
        <w:t>：</w:t>
      </w:r>
      <w:r w:rsidRPr="00BC31E0">
        <w:rPr>
          <w:rFonts w:hint="eastAsia"/>
        </w:rPr>
        <w:t xml:space="preserve"> </w:t>
      </w:r>
      <w:r w:rsidRPr="00BC31E0">
        <w:rPr>
          <w:rFonts w:hint="eastAsia"/>
        </w:rPr>
        <w:t>交差穴コーナー亀裂における</w:t>
      </w:r>
      <w:r w:rsidRPr="00BC31E0">
        <w:rPr>
          <w:rFonts w:ascii="Cambria Math" w:hAnsi="Cambria Math"/>
        </w:rPr>
        <w:t>45°</w:t>
      </w:r>
      <w:r w:rsidRPr="00BC31E0">
        <w:rPr>
          <w:rFonts w:hint="eastAsia"/>
        </w:rPr>
        <w:t>方向と直行する座標軸</w:t>
      </w:r>
      <w:r w:rsidRPr="00BC31E0">
        <w:rPr>
          <w:rFonts w:hint="eastAsia"/>
        </w:rPr>
        <w:t xml:space="preserve"> (</w:t>
      </w:r>
      <w:r w:rsidRPr="00BC31E0">
        <w:rPr>
          <w:rFonts w:ascii="ＭＳ ゴシック" w:eastAsia="ＭＳ ゴシック" w:hint="eastAsia"/>
          <w:b/>
        </w:rPr>
        <w:t>附属書C</w:t>
      </w:r>
      <w:r w:rsidRPr="00BC31E0">
        <w:rPr>
          <w:rFonts w:ascii="ＭＳ ゴシック" w:eastAsia="ＭＳ ゴシック"/>
          <w:b/>
        </w:rPr>
        <w:t xml:space="preserve"> </w:t>
      </w:r>
      <w:r w:rsidRPr="00BC31E0">
        <w:rPr>
          <w:rFonts w:ascii="ＭＳ ゴシック" w:eastAsia="ＭＳ ゴシック" w:hint="eastAsia"/>
          <w:b/>
        </w:rPr>
        <w:t>図</w:t>
      </w:r>
      <w:r w:rsidRPr="00BC31E0">
        <w:rPr>
          <w:rFonts w:ascii="ＭＳ ゴシック" w:eastAsia="ＭＳ ゴシック"/>
          <w:b/>
        </w:rPr>
        <w:t>C</w:t>
      </w:r>
      <w:r w:rsidRPr="00BC31E0">
        <w:rPr>
          <w:rFonts w:ascii="ＭＳ ゴシック" w:eastAsia="ＭＳ ゴシック" w:hint="eastAsia"/>
          <w:b/>
        </w:rPr>
        <w:t>.2</w:t>
      </w:r>
      <w:r w:rsidRPr="00BC31E0">
        <w:rPr>
          <w:rFonts w:hint="eastAsia"/>
        </w:rPr>
        <w:t>)</w:t>
      </w:r>
    </w:p>
    <w:p w14:paraId="4CE21853"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内筒厚さ部の任意の位置での径</w:t>
      </w:r>
      <w:r w:rsidR="00C25C85" w:rsidRPr="00BC31E0">
        <w:rPr>
          <w:rFonts w:hint="eastAsia"/>
        </w:rPr>
        <w:t>(</w:t>
      </w:r>
      <w:r w:rsidR="00C25C85" w:rsidRPr="00BC31E0">
        <w:rPr>
          <w:rFonts w:ascii="Cambria Math" w:hAnsi="Cambria Math"/>
        </w:rPr>
        <w:t>mm</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b/>
        </w:rPr>
        <w:t>6.9.4</w:t>
      </w:r>
      <w:r w:rsidR="00C25C85" w:rsidRPr="00BC31E0">
        <w:rPr>
          <w:rFonts w:hint="eastAsia"/>
        </w:rPr>
        <w:t>)</w:t>
      </w:r>
    </w:p>
    <w:p w14:paraId="18CC0F7B"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x</m:t>
            </m:r>
          </m:e>
          <m:sub>
            <m:r>
              <w:rPr>
                <w:rFonts w:ascii="Cambria Math" w:hAnsi="Cambria Math"/>
              </w:rPr>
              <m:t>2</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線巻き部の任意の位置での径</w:t>
      </w:r>
      <w:r w:rsidR="00C25C85" w:rsidRPr="00BC31E0">
        <w:rPr>
          <w:rFonts w:hint="eastAsia"/>
        </w:rPr>
        <w:t>(</w:t>
      </w:r>
      <w:r w:rsidR="00C25C85" w:rsidRPr="00BC31E0">
        <w:rPr>
          <w:rFonts w:ascii="Cambria Math" w:hAnsi="Cambria Math"/>
        </w:rPr>
        <w:t>mm</w:t>
      </w:r>
      <w:r w:rsidR="00C25C85" w:rsidRPr="00BC31E0">
        <w:rPr>
          <w:rFonts w:hint="eastAsia"/>
        </w:rPr>
        <w:t>)</w:t>
      </w:r>
      <w:r w:rsidR="00C25C85" w:rsidRPr="00BC31E0">
        <w:rPr>
          <w:rFonts w:hint="eastAsia"/>
          <w:position w:val="-6"/>
        </w:rPr>
        <w:t xml:space="preserve"> </w:t>
      </w:r>
      <w:r w:rsidR="00C25C85" w:rsidRPr="00BC31E0">
        <w:rPr>
          <w:rFonts w:hint="eastAsia"/>
        </w:rPr>
        <w:t>(</w:t>
      </w:r>
      <w:r w:rsidR="00C25C85" w:rsidRPr="00BC31E0">
        <w:rPr>
          <w:rFonts w:ascii="ＭＳ ゴシック" w:eastAsia="ＭＳ ゴシック"/>
          <w:b/>
        </w:rPr>
        <w:t>6.9.4</w:t>
      </w:r>
      <w:r w:rsidR="00C25C85" w:rsidRPr="00BC31E0">
        <w:rPr>
          <w:rFonts w:hint="eastAsia"/>
        </w:rPr>
        <w:t>)</w:t>
      </w:r>
    </w:p>
    <w:p w14:paraId="677AA7AA" w14:textId="77777777" w:rsidR="00C25C85" w:rsidRPr="00BC31E0" w:rsidRDefault="00A51873" w:rsidP="008234D1">
      <w:pPr>
        <w:tabs>
          <w:tab w:val="left" w:pos="1276"/>
        </w:tabs>
        <w:autoSpaceDE w:val="0"/>
        <w:autoSpaceDN w:val="0"/>
        <w:ind w:left="1588" w:hanging="1021"/>
        <w:rPr>
          <w:rFonts w:asciiTheme="minorHAnsi" w:eastAsiaTheme="minorEastAsia" w:hAnsiTheme="minorHAnsi"/>
        </w:rPr>
      </w:pPr>
      <m:oMath>
        <m:sSub>
          <m:sSubPr>
            <m:ctrlPr>
              <w:rPr>
                <w:rFonts w:ascii="Cambria Math" w:eastAsiaTheme="minorEastAsia" w:hAnsiTheme="minorHAnsi"/>
                <w:i/>
              </w:rPr>
            </m:ctrlPr>
          </m:sSubPr>
          <m:e>
            <m:r>
              <w:rPr>
                <w:rFonts w:ascii="Cambria Math" w:eastAsiaTheme="minorEastAsia" w:hAnsi="Cambria Math"/>
              </w:rPr>
              <m:t>x</m:t>
            </m:r>
          </m:e>
          <m:sub>
            <m:r>
              <w:rPr>
                <w:rFonts w:ascii="Cambria Math" w:eastAsiaTheme="minorEastAsia" w:hAnsi="Cambria Math"/>
              </w:rPr>
              <m:t>L</m:t>
            </m:r>
          </m:sub>
        </m:sSub>
      </m:oMath>
      <w:r w:rsidR="00C25C85" w:rsidRPr="00BC31E0">
        <w:rPr>
          <w:rFonts w:asciiTheme="minorHAnsi" w:eastAsiaTheme="minorEastAsia" w:hAnsiTheme="minorHAnsi"/>
        </w:rPr>
        <w:t xml:space="preserve"> </w:t>
      </w:r>
      <w:r w:rsidR="00C25C85" w:rsidRPr="00BC31E0">
        <w:rPr>
          <w:rFonts w:asciiTheme="minorHAnsi" w:eastAsiaTheme="minorEastAsia" w:hAnsiTheme="minorHAnsi"/>
        </w:rPr>
        <w:tab/>
      </w:r>
      <w:r w:rsidR="00C25C85" w:rsidRPr="00BC31E0">
        <w:rPr>
          <w:rFonts w:asciiTheme="minorHAnsi" w:eastAsiaTheme="minorEastAsia" w:hAnsiTheme="minorEastAsia"/>
        </w:rPr>
        <w:t>：</w:t>
      </w:r>
      <w:r w:rsidR="00C25C85" w:rsidRPr="00BC31E0">
        <w:rPr>
          <w:rFonts w:asciiTheme="minorHAnsi" w:eastAsiaTheme="minorEastAsia" w:hAnsiTheme="minorHAnsi"/>
        </w:rPr>
        <w:t xml:space="preserve"> SCL</w:t>
      </w:r>
      <w:r w:rsidR="00C25C85" w:rsidRPr="00BC31E0">
        <w:rPr>
          <w:rFonts w:asciiTheme="minorHAnsi" w:eastAsiaTheme="minorEastAsia" w:hAnsiTheme="minorEastAsia"/>
        </w:rPr>
        <w:t>の局所座標系における</w:t>
      </w:r>
      <w:r w:rsidR="00C25C85" w:rsidRPr="00BC31E0">
        <w:rPr>
          <w:rFonts w:asciiTheme="minorHAnsi" w:eastAsiaTheme="minorEastAsia" w:hAnsiTheme="minorHAnsi"/>
        </w:rPr>
        <w:t>SCL</w:t>
      </w:r>
      <w:r w:rsidR="00C25C85" w:rsidRPr="00BC31E0">
        <w:rPr>
          <w:rFonts w:asciiTheme="minorHAnsi" w:eastAsiaTheme="minorEastAsia" w:hAnsiTheme="minorEastAsia"/>
        </w:rPr>
        <w:t>に沿った端部からの距離</w:t>
      </w:r>
      <w:r w:rsidR="00C25C85" w:rsidRPr="00BC31E0">
        <w:rPr>
          <w:rFonts w:asciiTheme="minorHAnsi" w:eastAsiaTheme="minorEastAsia" w:hAnsiTheme="minorHAnsi"/>
        </w:rPr>
        <w:t>(mm)</w:t>
      </w:r>
      <w:r w:rsidR="00C25C85" w:rsidRPr="00BC31E0">
        <w:rPr>
          <w:rFonts w:asciiTheme="minorHAnsi" w:eastAsiaTheme="minorEastAsia" w:hAnsiTheme="minorHAnsi" w:hint="eastAsia"/>
        </w:rPr>
        <w:t xml:space="preserve"> (</w:t>
      </w:r>
      <w:r w:rsidR="00C25C85" w:rsidRPr="00BC31E0">
        <w:rPr>
          <w:rFonts w:asciiTheme="majorEastAsia" w:eastAsiaTheme="majorEastAsia" w:hAnsiTheme="majorEastAsia" w:hint="eastAsia"/>
          <w:b/>
        </w:rPr>
        <w:t>附属書L 3</w:t>
      </w:r>
      <w:r w:rsidR="00C25C85" w:rsidRPr="00BC31E0">
        <w:rPr>
          <w:rFonts w:asciiTheme="minorHAnsi" w:eastAsiaTheme="minorEastAsia" w:hAnsiTheme="minorHAnsi" w:hint="eastAsia"/>
        </w:rPr>
        <w:t>)</w:t>
      </w:r>
    </w:p>
    <w:p w14:paraId="677F179F" w14:textId="77777777" w:rsidR="00C25C85" w:rsidRPr="00BC31E0" w:rsidRDefault="00C25C85" w:rsidP="008234D1">
      <w:pPr>
        <w:tabs>
          <w:tab w:val="left" w:pos="1276"/>
        </w:tabs>
        <w:autoSpaceDE w:val="0"/>
        <w:autoSpaceDN w:val="0"/>
        <w:ind w:left="1588" w:hanging="1021"/>
      </w:pPr>
      <m:oMath>
        <m:r>
          <w:rPr>
            <w:rFonts w:ascii="Cambria Math" w:hAnsi="Cambria Math"/>
          </w:rPr>
          <m:t>Y</m:t>
        </m:r>
      </m:oMath>
      <w:r w:rsidRPr="00BC31E0">
        <w:tab/>
      </w:r>
      <w:r w:rsidRPr="00BC31E0">
        <w:rPr>
          <w:rFonts w:hint="eastAsia"/>
        </w:rPr>
        <w:t>：</w:t>
      </w:r>
      <w:r w:rsidRPr="00BC31E0">
        <w:rPr>
          <w:rFonts w:hint="eastAsia"/>
        </w:rPr>
        <w:t xml:space="preserve"> </w:t>
      </w:r>
      <w:r w:rsidRPr="00BC31E0">
        <w:rPr>
          <w:rFonts w:hint="eastAsia"/>
        </w:rPr>
        <w:t>胴の内外径比</w:t>
      </w:r>
      <w:r w:rsidRPr="00BC31E0">
        <w:rPr>
          <w:rFonts w:hint="eastAsia"/>
        </w:rPr>
        <w:t>(</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O</m:t>
                </m:r>
              </m:sub>
            </m:sSub>
          </m:num>
          <m:den>
            <m:sSub>
              <m:sSubPr>
                <m:ctrlPr>
                  <w:rPr>
                    <w:rFonts w:ascii="Cambria Math" w:hAnsi="Cambria Math"/>
                  </w:rPr>
                </m:ctrlPr>
              </m:sSubPr>
              <m:e>
                <m:r>
                  <w:rPr>
                    <w:rFonts w:ascii="Cambria Math" w:hAnsi="Cambria Math"/>
                  </w:rPr>
                  <m:t>D</m:t>
                </m:r>
              </m:e>
              <m:sub>
                <m:r>
                  <w:rPr>
                    <w:rFonts w:ascii="Cambria Math" w:hAnsi="Cambria Math"/>
                  </w:rPr>
                  <m:t>I</m:t>
                </m:r>
              </m:sub>
            </m:sSub>
          </m:den>
        </m:f>
      </m:oMath>
      <w:r w:rsidRPr="00BC31E0">
        <w:rPr>
          <w:rFonts w:hint="eastAsia"/>
          <w:szCs w:val="24"/>
        </w:rPr>
        <w:t>)</w:t>
      </w:r>
      <w:r w:rsidRPr="00BC31E0">
        <w:rPr>
          <w:rFonts w:hint="eastAsia"/>
          <w:position w:val="-6"/>
        </w:rPr>
        <w:t xml:space="preserve"> </w:t>
      </w:r>
      <w:r w:rsidRPr="00BC31E0">
        <w:rPr>
          <w:rFonts w:hint="eastAsia"/>
        </w:rPr>
        <w:t>(</w:t>
      </w:r>
      <w:r w:rsidRPr="00BC31E0">
        <w:rPr>
          <w:rFonts w:ascii="ＭＳ ゴシック" w:eastAsia="ＭＳ ゴシック"/>
          <w:b/>
        </w:rPr>
        <w:t>6.2.</w:t>
      </w:r>
      <w:r w:rsidRPr="00BC31E0">
        <w:rPr>
          <w:rFonts w:ascii="ＭＳ ゴシック" w:eastAsia="ＭＳ ゴシック" w:hint="eastAsia"/>
          <w:b/>
        </w:rPr>
        <w:t>2</w:t>
      </w:r>
      <w:r w:rsidRPr="00BC31E0">
        <w:rPr>
          <w:rFonts w:hint="eastAsia"/>
        </w:rPr>
        <w:t>，</w:t>
      </w:r>
      <w:r w:rsidRPr="00BC31E0">
        <w:rPr>
          <w:rFonts w:ascii="ＭＳ ゴシック" w:eastAsia="ＭＳ ゴシック"/>
          <w:b/>
        </w:rPr>
        <w:t>6.5.3</w:t>
      </w:r>
      <w:r w:rsidRPr="00BC31E0">
        <w:rPr>
          <w:rFonts w:ascii="ＭＳ ゴシック" w:eastAsia="ＭＳ ゴシック" w:hint="eastAsia"/>
        </w:rPr>
        <w:t>，</w:t>
      </w:r>
      <w:r w:rsidRPr="00BC31E0">
        <w:rPr>
          <w:rFonts w:ascii="ＭＳ ゴシック" w:eastAsia="ＭＳ ゴシック" w:hint="eastAsia"/>
          <w:b/>
        </w:rPr>
        <w:t>6.8.3</w:t>
      </w:r>
      <w:r w:rsidRPr="00BC31E0">
        <w:rPr>
          <w:rFonts w:ascii="ＭＳ ゴシック" w:eastAsia="ＭＳ ゴシック" w:hint="eastAsia"/>
        </w:rPr>
        <w:t>，</w:t>
      </w:r>
      <w:r w:rsidRPr="00BC31E0">
        <w:rPr>
          <w:rFonts w:ascii="ＭＳ ゴシック" w:eastAsia="ＭＳ ゴシック" w:hint="eastAsia"/>
          <w:b/>
        </w:rPr>
        <w:t>9.3.6</w:t>
      </w:r>
      <w:r w:rsidRPr="00BC31E0">
        <w:rPr>
          <w:rFonts w:ascii="ＭＳ ゴシック" w:eastAsia="ＭＳ ゴシック" w:hint="eastAsia"/>
        </w:rPr>
        <w:t>，</w:t>
      </w:r>
      <w:r w:rsidRPr="00BC31E0">
        <w:rPr>
          <w:rFonts w:ascii="ＭＳ ゴシック" w:eastAsia="ＭＳ ゴシック" w:hint="eastAsia"/>
          <w:b/>
        </w:rPr>
        <w:t>附属書G 1</w:t>
      </w:r>
      <w:r w:rsidRPr="00BC31E0">
        <w:rPr>
          <w:rFonts w:ascii="ＭＳ ゴシック" w:eastAsia="ＭＳ ゴシック" w:hint="eastAsia"/>
          <w:bCs/>
        </w:rPr>
        <w:t>，</w:t>
      </w:r>
      <w:r w:rsidRPr="00BC31E0">
        <w:rPr>
          <w:rFonts w:asciiTheme="majorEastAsia" w:eastAsiaTheme="majorEastAsia" w:hAnsiTheme="majorEastAsia" w:hint="eastAsia"/>
          <w:b/>
          <w:bCs/>
        </w:rPr>
        <w:t xml:space="preserve">附属書J </w:t>
      </w:r>
      <w:r w:rsidRPr="00BC31E0">
        <w:rPr>
          <w:rFonts w:asciiTheme="majorEastAsia" w:eastAsiaTheme="majorEastAsia" w:hAnsiTheme="majorEastAsia"/>
          <w:b/>
          <w:bCs/>
        </w:rPr>
        <w:t>2</w:t>
      </w:r>
      <w:r w:rsidRPr="00BC31E0">
        <w:rPr>
          <w:rFonts w:hint="eastAsia"/>
        </w:rPr>
        <w:t>)</w:t>
      </w:r>
    </w:p>
    <w:p w14:paraId="11BA1A10" w14:textId="77777777" w:rsidR="00C25C85" w:rsidRPr="00BC31E0" w:rsidRDefault="00C25C85" w:rsidP="008234D1">
      <w:pPr>
        <w:tabs>
          <w:tab w:val="left" w:pos="1276"/>
        </w:tabs>
        <w:autoSpaceDE w:val="0"/>
        <w:autoSpaceDN w:val="0"/>
        <w:ind w:left="1588" w:hanging="1021"/>
      </w:pPr>
      <w:r w:rsidRPr="00BC31E0">
        <w:tab/>
      </w:r>
      <w:r w:rsidRPr="00BC31E0">
        <w:rPr>
          <w:rFonts w:hint="eastAsia"/>
        </w:rPr>
        <w:t>：</w:t>
      </w:r>
      <w:r w:rsidRPr="00BC31E0">
        <w:rPr>
          <w:rFonts w:hint="eastAsia"/>
        </w:rPr>
        <w:t xml:space="preserve"> </w:t>
      </w:r>
      <w:r w:rsidRPr="00BC31E0">
        <w:rPr>
          <w:rFonts w:hint="eastAsia"/>
        </w:rPr>
        <w:t>溶接オフセット</w:t>
      </w:r>
      <w:r w:rsidRPr="00BC31E0">
        <w:rPr>
          <w:rFonts w:hint="eastAsia"/>
        </w:rPr>
        <w:t>(</w:t>
      </w:r>
      <w:r w:rsidRPr="00BC31E0">
        <w:rPr>
          <w:rFonts w:ascii="Cambria Math" w:hAnsi="Cambria Math"/>
        </w:rPr>
        <w:t>mm</w:t>
      </w:r>
      <w:r w:rsidRPr="00BC31E0">
        <w:rPr>
          <w:rFonts w:hint="eastAsia"/>
        </w:rPr>
        <w:t>)</w:t>
      </w:r>
      <w:r w:rsidRPr="00BC31E0">
        <w:rPr>
          <w:rFonts w:hint="eastAsia"/>
          <w:position w:val="-6"/>
        </w:rPr>
        <w:t xml:space="preserve"> </w:t>
      </w:r>
      <w:r w:rsidRPr="00BC31E0">
        <w:rPr>
          <w:rFonts w:hint="eastAsia"/>
        </w:rPr>
        <w:t>(</w:t>
      </w:r>
      <w:r w:rsidRPr="00BC31E0">
        <w:rPr>
          <w:rFonts w:ascii="ＭＳ ゴシック" w:eastAsia="ＭＳ ゴシック" w:hint="eastAsia"/>
          <w:b/>
        </w:rPr>
        <w:t>図</w:t>
      </w:r>
      <w:r w:rsidRPr="00BC31E0">
        <w:rPr>
          <w:rFonts w:ascii="ＭＳ ゴシック" w:eastAsia="ＭＳ ゴシック"/>
          <w:b/>
        </w:rPr>
        <w:t>6.8.2</w:t>
      </w:r>
      <w:r w:rsidRPr="00BC31E0">
        <w:rPr>
          <w:rFonts w:hint="eastAsia"/>
        </w:rPr>
        <w:t>)</w:t>
      </w:r>
    </w:p>
    <w:p w14:paraId="2B868F7C" w14:textId="77777777" w:rsidR="00C25C85" w:rsidRPr="00BC31E0" w:rsidRDefault="00C25C85" w:rsidP="008234D1">
      <w:pPr>
        <w:tabs>
          <w:tab w:val="left" w:pos="1276"/>
        </w:tabs>
        <w:autoSpaceDE w:val="0"/>
        <w:autoSpaceDN w:val="0"/>
        <w:ind w:left="1588" w:hanging="1021"/>
      </w:pPr>
      <w:r w:rsidRPr="00BC31E0">
        <w:rPr>
          <w:rFonts w:hint="eastAsia"/>
        </w:rPr>
        <w:tab/>
      </w:r>
      <w:r w:rsidRPr="00BC31E0">
        <w:rPr>
          <w:rFonts w:hint="eastAsia"/>
        </w:rPr>
        <w:t>：</w:t>
      </w:r>
      <w:r w:rsidRPr="00BC31E0">
        <w:rPr>
          <w:rFonts w:hint="eastAsia"/>
        </w:rPr>
        <w:t xml:space="preserve"> </w:t>
      </w:r>
      <w:r w:rsidRPr="00BC31E0">
        <w:rPr>
          <w:rFonts w:hint="eastAsia"/>
        </w:rPr>
        <w:t>片面側における厚さの差</w:t>
      </w:r>
      <w:r w:rsidRPr="00BC31E0">
        <w:rPr>
          <w:rFonts w:hint="eastAsia"/>
        </w:rPr>
        <w:t>(</w:t>
      </w:r>
      <w:r w:rsidRPr="00BC31E0">
        <w:rPr>
          <w:rFonts w:ascii="Cambria Math" w:hAnsi="Cambria Math"/>
        </w:rPr>
        <w:t>mm</w:t>
      </w:r>
      <w:r w:rsidRPr="00BC31E0">
        <w:rPr>
          <w:rFonts w:hint="eastAsia"/>
        </w:rPr>
        <w:t>)</w:t>
      </w:r>
      <w:r w:rsidRPr="00BC31E0">
        <w:rPr>
          <w:rFonts w:hint="eastAsia"/>
          <w:position w:val="-6"/>
        </w:rPr>
        <w:t xml:space="preserve"> </w:t>
      </w:r>
      <w:r w:rsidRPr="00BC31E0">
        <w:rPr>
          <w:rFonts w:hint="eastAsia"/>
        </w:rPr>
        <w:t>(</w:t>
      </w:r>
      <w:r w:rsidRPr="00BC31E0">
        <w:rPr>
          <w:rFonts w:ascii="ＭＳ ゴシック" w:eastAsia="ＭＳ ゴシック"/>
          <w:b/>
        </w:rPr>
        <w:t>6.8.3</w:t>
      </w:r>
      <w:r w:rsidRPr="00BC31E0">
        <w:rPr>
          <w:rFonts w:ascii="ＭＳ ゴシック" w:eastAsia="ＭＳ ゴシック" w:hint="eastAsia"/>
          <w:b/>
        </w:rPr>
        <w:t>，図6.10.2</w:t>
      </w:r>
      <w:r w:rsidRPr="00BC31E0">
        <w:rPr>
          <w:rFonts w:hint="eastAsia"/>
        </w:rPr>
        <w:t>)</w:t>
      </w:r>
    </w:p>
    <w:p w14:paraId="643B604F"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Y</m:t>
            </m:r>
          </m:e>
          <m:sub>
            <m:r>
              <w:rPr>
                <w:rFonts w:ascii="Cambria Math" w:hAnsi="Cambria Math" w:hint="eastAsia"/>
              </w:rPr>
              <m:t>a</m:t>
            </m:r>
          </m:sub>
        </m:sSub>
      </m:oMath>
      <w:r w:rsidR="00C25C85" w:rsidRPr="00BC31E0">
        <w:rPr>
          <w:vertAlign w:val="subscript"/>
        </w:rPr>
        <w:tab/>
      </w:r>
      <w:r w:rsidR="00C25C85" w:rsidRPr="00BC31E0">
        <w:rPr>
          <w:rFonts w:hint="eastAsia"/>
        </w:rPr>
        <w:t>：</w:t>
      </w:r>
      <w:r w:rsidR="00C25C85" w:rsidRPr="00BC31E0">
        <w:rPr>
          <w:rFonts w:ascii="ＭＳ 明朝" w:hAnsi="ＭＳ 明朝" w:hint="eastAsia"/>
        </w:rPr>
        <w:t xml:space="preserve"> 内部きずまでの距離と内部きず高さ</w:t>
      </w:r>
      <w:r w:rsidR="00C25C85" w:rsidRPr="00BC31E0">
        <w:rPr>
          <w:rFonts w:hint="eastAsia"/>
        </w:rPr>
        <w:t>の比</w:t>
      </w:r>
      <w:r w:rsidR="00C25C85" w:rsidRPr="00BC31E0">
        <w:rPr>
          <w:rFonts w:hint="eastAsia"/>
        </w:rPr>
        <w:t xml:space="preserve"> (</w:t>
      </w:r>
      <w:r w:rsidR="00C25C85" w:rsidRPr="00BC31E0">
        <w:rPr>
          <w:rFonts w:ascii="ＭＳ ゴシック" w:eastAsia="ＭＳ ゴシック" w:hint="eastAsia"/>
          <w:b/>
        </w:rPr>
        <w:t>9.3.6</w:t>
      </w:r>
      <w:r w:rsidR="00C25C85" w:rsidRPr="00BC31E0">
        <w:rPr>
          <w:rFonts w:hint="eastAsia"/>
        </w:rPr>
        <w:t>)</w:t>
      </w:r>
    </w:p>
    <w:bookmarkStart w:id="147" w:name="_Hlk59790681"/>
    <w:p w14:paraId="54EAB5DA"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Y</m:t>
            </m:r>
          </m:e>
          <m:sub>
            <m:r>
              <w:rPr>
                <w:rFonts w:ascii="Cambria Math" w:hAnsi="Cambria Math"/>
              </w:rPr>
              <m:t>i</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焼ばめ方式</w:t>
      </w:r>
      <w:r w:rsidR="00C25C85" w:rsidRPr="00BC31E0">
        <w:rPr>
          <w:rFonts w:asciiTheme="minorHAnsi" w:hAnsiTheme="minorHAnsi"/>
        </w:rPr>
        <w:t>2</w:t>
      </w:r>
      <w:r w:rsidR="00C25C85" w:rsidRPr="00BC31E0">
        <w:rPr>
          <w:rFonts w:hint="eastAsia"/>
        </w:rPr>
        <w:t>層容器における内層の内外径比</w:t>
      </w:r>
      <w:r w:rsidR="00C25C85" w:rsidRPr="00BC31E0">
        <w:rPr>
          <w:rFonts w:hint="eastAsia"/>
        </w:rPr>
        <w:t xml:space="preserve"> (</w:t>
      </w:r>
      <w:r w:rsidR="00C25C85" w:rsidRPr="00BC31E0">
        <w:rPr>
          <w:rFonts w:ascii="ＭＳ ゴシック" w:eastAsia="ＭＳ ゴシック"/>
          <w:b/>
        </w:rPr>
        <w:t>6.8.3</w:t>
      </w:r>
      <w:r w:rsidR="00C25C85" w:rsidRPr="00BC31E0">
        <w:rPr>
          <w:rFonts w:hint="eastAsia"/>
        </w:rPr>
        <w:t>)</w:t>
      </w:r>
    </w:p>
    <w:bookmarkEnd w:id="147"/>
    <w:p w14:paraId="4B4F4F66"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Y</m:t>
            </m:r>
          </m:e>
          <m:sub>
            <m:r>
              <w:rPr>
                <w:rFonts w:ascii="Cambria Math" w:hAnsi="Cambria Math" w:hint="eastAsia"/>
              </w:rPr>
              <m:t>j</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多層容器各層の内外径比</w:t>
      </w:r>
      <w:r w:rsidR="00C25C85" w:rsidRPr="00BC31E0">
        <w:rPr>
          <w:rFonts w:hint="eastAsia"/>
        </w:rPr>
        <w:t xml:space="preserve"> (</w:t>
      </w:r>
      <w:r w:rsidR="00C25C85" w:rsidRPr="00BC31E0">
        <w:rPr>
          <w:rFonts w:ascii="ＭＳ ゴシック" w:eastAsia="ＭＳ ゴシック"/>
          <w:b/>
        </w:rPr>
        <w:t>6.</w:t>
      </w:r>
      <w:r w:rsidR="00C25C85" w:rsidRPr="00BC31E0">
        <w:rPr>
          <w:rFonts w:ascii="ＭＳ ゴシック" w:eastAsia="ＭＳ ゴシック" w:hint="eastAsia"/>
          <w:b/>
        </w:rPr>
        <w:t>2</w:t>
      </w:r>
      <w:r w:rsidR="00C25C85" w:rsidRPr="00BC31E0">
        <w:rPr>
          <w:rFonts w:ascii="ＭＳ ゴシック" w:eastAsia="ＭＳ ゴシック"/>
          <w:b/>
        </w:rPr>
        <w:t>.</w:t>
      </w:r>
      <w:r w:rsidR="00C25C85" w:rsidRPr="00BC31E0">
        <w:rPr>
          <w:rFonts w:ascii="ＭＳ ゴシック" w:eastAsia="ＭＳ ゴシック" w:hint="eastAsia"/>
          <w:b/>
        </w:rPr>
        <w:t>2，10.3.2</w:t>
      </w:r>
      <w:r w:rsidR="00C25C85" w:rsidRPr="00BC31E0">
        <w:rPr>
          <w:rFonts w:hint="eastAsia"/>
        </w:rPr>
        <w:t>)</w:t>
      </w:r>
    </w:p>
    <w:p w14:paraId="3CA5E8C7"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Y</m:t>
            </m:r>
          </m:e>
          <m:sub>
            <m:r>
              <w:rPr>
                <w:rFonts w:ascii="Cambria Math" w:hAnsi="Cambria Math"/>
              </w:rPr>
              <m:t>o</m:t>
            </m:r>
          </m:sub>
        </m:sSub>
      </m:oMath>
      <w:r w:rsidR="00C25C85" w:rsidRPr="00BC31E0">
        <w:rPr>
          <w:vertAlign w:val="subscript"/>
        </w:rPr>
        <w:tab/>
      </w:r>
      <w:r w:rsidR="00C25C85" w:rsidRPr="00BC31E0">
        <w:rPr>
          <w:rFonts w:hint="eastAsia"/>
        </w:rPr>
        <w:t>：</w:t>
      </w:r>
      <w:r w:rsidR="00C25C85" w:rsidRPr="00BC31E0">
        <w:rPr>
          <w:rFonts w:hint="eastAsia"/>
        </w:rPr>
        <w:t xml:space="preserve"> </w:t>
      </w:r>
      <w:r w:rsidR="00C25C85" w:rsidRPr="00BC31E0">
        <w:rPr>
          <w:rFonts w:hint="eastAsia"/>
        </w:rPr>
        <w:t>焼ばめ方式</w:t>
      </w:r>
      <w:r w:rsidR="00C25C85" w:rsidRPr="00BC31E0">
        <w:rPr>
          <w:rFonts w:asciiTheme="minorHAnsi" w:hAnsiTheme="minorHAnsi"/>
        </w:rPr>
        <w:t>2</w:t>
      </w:r>
      <w:r w:rsidR="00C25C85" w:rsidRPr="00BC31E0">
        <w:rPr>
          <w:rFonts w:hint="eastAsia"/>
        </w:rPr>
        <w:t>層容器における外層の内外径比</w:t>
      </w:r>
      <w:r w:rsidR="00C25C85" w:rsidRPr="00BC31E0">
        <w:rPr>
          <w:rFonts w:hint="eastAsia"/>
        </w:rPr>
        <w:t xml:space="preserve"> (</w:t>
      </w:r>
      <w:r w:rsidR="00C25C85" w:rsidRPr="00BC31E0">
        <w:rPr>
          <w:rFonts w:ascii="ＭＳ ゴシック" w:eastAsia="ＭＳ ゴシック"/>
          <w:b/>
        </w:rPr>
        <w:t>6.8.3</w:t>
      </w:r>
      <w:r w:rsidR="00C25C85" w:rsidRPr="00BC31E0">
        <w:rPr>
          <w:rFonts w:hint="eastAsia"/>
        </w:rPr>
        <w:t>)</w:t>
      </w:r>
    </w:p>
    <w:p w14:paraId="43DFE346" w14:textId="77777777" w:rsidR="00C25C85" w:rsidRPr="00BC31E0" w:rsidRDefault="00C25C85" w:rsidP="008234D1">
      <w:pPr>
        <w:tabs>
          <w:tab w:val="left" w:pos="1276"/>
        </w:tabs>
        <w:autoSpaceDE w:val="0"/>
        <w:autoSpaceDN w:val="0"/>
        <w:ind w:left="1588" w:hanging="1021"/>
      </w:pPr>
      <m:oMath>
        <m:r>
          <w:rPr>
            <w:rFonts w:ascii="Cambria Math" w:hAnsi="Cambria Math"/>
          </w:rPr>
          <m:t>y</m:t>
        </m:r>
      </m:oMath>
      <w:r w:rsidRPr="00BC31E0">
        <w:tab/>
      </w:r>
      <w:r w:rsidRPr="00BC31E0">
        <w:rPr>
          <w:rFonts w:hint="eastAsia"/>
        </w:rPr>
        <w:t>：</w:t>
      </w:r>
      <w:r w:rsidRPr="00BC31E0">
        <w:rPr>
          <w:rFonts w:hint="eastAsia"/>
        </w:rPr>
        <w:t xml:space="preserve"> </w:t>
      </w:r>
      <w:r w:rsidRPr="00BC31E0">
        <w:rPr>
          <w:rFonts w:hint="eastAsia"/>
        </w:rPr>
        <w:t>交差穴のコーナー亀裂における</w:t>
      </w:r>
      <w:r w:rsidRPr="00BC31E0">
        <w:rPr>
          <w:rFonts w:ascii="Cambria Math" w:hAnsi="Cambria Math"/>
        </w:rPr>
        <w:t>45°</w:t>
      </w:r>
      <w:r w:rsidRPr="00BC31E0">
        <w:rPr>
          <w:rFonts w:hint="eastAsia"/>
        </w:rPr>
        <w:t>方向の座標軸</w:t>
      </w:r>
      <w:r w:rsidRPr="00BC31E0">
        <w:rPr>
          <w:rFonts w:hint="eastAsia"/>
        </w:rPr>
        <w:t xml:space="preserve"> (</w:t>
      </w:r>
      <w:r w:rsidRPr="00BC31E0">
        <w:rPr>
          <w:rFonts w:ascii="ＭＳ ゴシック" w:eastAsia="ＭＳ ゴシック" w:hint="eastAsia"/>
          <w:b/>
        </w:rPr>
        <w:t>附属書</w:t>
      </w:r>
      <w:r w:rsidRPr="00BC31E0">
        <w:rPr>
          <w:rFonts w:ascii="ＭＳ ゴシック" w:eastAsia="ＭＳ ゴシック"/>
          <w:b/>
        </w:rPr>
        <w:t>C</w:t>
      </w:r>
      <w:r w:rsidRPr="00BC31E0">
        <w:rPr>
          <w:rFonts w:ascii="ＭＳ ゴシック" w:eastAsia="ＭＳ ゴシック" w:hint="eastAsia"/>
          <w:b/>
        </w:rPr>
        <w:t xml:space="preserve"> 図C</w:t>
      </w:r>
      <w:r w:rsidRPr="00BC31E0">
        <w:rPr>
          <w:rFonts w:ascii="ＭＳ ゴシック" w:eastAsia="ＭＳ ゴシック"/>
          <w:b/>
        </w:rPr>
        <w:t>.1</w:t>
      </w:r>
      <w:r w:rsidRPr="00BC31E0">
        <w:rPr>
          <w:rFonts w:hint="eastAsia"/>
        </w:rPr>
        <w:t>)</w:t>
      </w:r>
    </w:p>
    <w:p w14:paraId="7F1ECB1E" w14:textId="77777777" w:rsidR="00C25C85" w:rsidRPr="00BC31E0" w:rsidRDefault="00C25C85" w:rsidP="008234D1">
      <w:pPr>
        <w:tabs>
          <w:tab w:val="left" w:pos="1276"/>
        </w:tabs>
        <w:autoSpaceDE w:val="0"/>
        <w:autoSpaceDN w:val="0"/>
        <w:ind w:left="1588" w:hanging="1021"/>
        <w:rPr>
          <w:rFonts w:ascii="ＭＳ ゴシック" w:eastAsia="ＭＳ ゴシック"/>
          <w:b/>
        </w:rPr>
      </w:pPr>
      <m:oMath>
        <m:r>
          <w:rPr>
            <w:rFonts w:ascii="Cambria Math" w:hAnsi="Cambria Math"/>
          </w:rPr>
          <m:t>Z</m:t>
        </m:r>
      </m:oMath>
      <w:r w:rsidRPr="00BC31E0">
        <w:rPr>
          <w:i/>
          <w:szCs w:val="24"/>
        </w:rPr>
        <w:t xml:space="preserve">  </w:t>
      </w:r>
      <w:r w:rsidRPr="00BC31E0">
        <w:rPr>
          <w:rFonts w:hint="eastAsia"/>
          <w:i/>
          <w:szCs w:val="24"/>
        </w:rPr>
        <w:tab/>
      </w:r>
      <w:r w:rsidRPr="00BC31E0">
        <w:rPr>
          <w:rFonts w:hint="eastAsia"/>
        </w:rPr>
        <w:t>：</w:t>
      </w:r>
      <w:r w:rsidRPr="00BC31E0">
        <w:rPr>
          <w:rFonts w:hint="eastAsia"/>
        </w:rPr>
        <w:t xml:space="preserve">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O</m:t>
                </m:r>
              </m:sub>
            </m:sSub>
          </m:num>
          <m:den>
            <m:r>
              <w:rPr>
                <w:rFonts w:ascii="Cambria Math" w:hAnsi="Cambria Math"/>
              </w:rPr>
              <m:t>D</m:t>
            </m:r>
          </m:den>
        </m:f>
      </m:oMath>
      <w:r w:rsidRPr="00BC31E0">
        <w:rPr>
          <w:rFonts w:hint="eastAsia"/>
          <w:position w:val="-6"/>
        </w:rPr>
        <w:t xml:space="preserve"> </w:t>
      </w:r>
      <w:r w:rsidRPr="00BC31E0">
        <w:rPr>
          <w:rFonts w:hint="eastAsia"/>
        </w:rPr>
        <w:t>(</w:t>
      </w:r>
      <w:r w:rsidRPr="00BC31E0">
        <w:rPr>
          <w:rFonts w:ascii="ＭＳ ゴシック" w:eastAsia="ＭＳ ゴシック" w:hint="eastAsia"/>
          <w:b/>
        </w:rPr>
        <w:t>9.3.6</w:t>
      </w:r>
      <w:r w:rsidRPr="00BC31E0">
        <w:rPr>
          <w:rFonts w:asciiTheme="minorEastAsia" w:eastAsiaTheme="minorEastAsia" w:hAnsiTheme="minorEastAsia" w:hint="eastAsia"/>
        </w:rPr>
        <w:t>，</w:t>
      </w:r>
      <w:r w:rsidRPr="00BC31E0">
        <w:rPr>
          <w:rFonts w:ascii="ＭＳ ゴシック" w:eastAsia="ＭＳ ゴシック" w:hint="eastAsia"/>
          <w:b/>
        </w:rPr>
        <w:t>附属書J</w:t>
      </w:r>
      <w:r w:rsidRPr="00BC31E0">
        <w:rPr>
          <w:rFonts w:ascii="ＭＳ ゴシック" w:eastAsia="ＭＳ ゴシック"/>
          <w:b/>
        </w:rPr>
        <w:t xml:space="preserve"> 2</w:t>
      </w:r>
      <w:r w:rsidRPr="00BC31E0">
        <w:rPr>
          <w:rFonts w:hint="eastAsia"/>
        </w:rPr>
        <w:t>)</w:t>
      </w:r>
    </w:p>
    <w:p w14:paraId="5B63442B" w14:textId="77777777" w:rsidR="00C25C85" w:rsidRPr="00BC31E0" w:rsidRDefault="00C25C85" w:rsidP="008234D1">
      <w:pPr>
        <w:tabs>
          <w:tab w:val="left" w:pos="1276"/>
        </w:tabs>
        <w:autoSpaceDE w:val="0"/>
        <w:autoSpaceDN w:val="0"/>
        <w:ind w:left="1588" w:hanging="1021"/>
      </w:pPr>
      <w:r w:rsidRPr="00BC31E0">
        <w:tab/>
      </w:r>
      <w:r w:rsidRPr="00BC31E0">
        <w:rPr>
          <w:rFonts w:hint="eastAsia"/>
        </w:rPr>
        <w:t>：</w:t>
      </w:r>
      <w:r w:rsidRPr="00BC31E0">
        <w:rPr>
          <w:rFonts w:hint="eastAsia"/>
        </w:rPr>
        <w:t xml:space="preserve"> </w:t>
      </w:r>
      <w:r w:rsidRPr="00BC31E0">
        <w:rPr>
          <w:rFonts w:hint="eastAsia"/>
        </w:rPr>
        <w:t>クランプとハブのテーパ部の角度</w:t>
      </w:r>
      <w:r w:rsidRPr="00BC31E0">
        <w:rPr>
          <w:rFonts w:hint="eastAsia"/>
        </w:rPr>
        <w:t>(</w:t>
      </w:r>
      <w:r w:rsidRPr="00BC31E0">
        <w:rPr>
          <w:rFonts w:ascii="Cambria Math" w:hAnsi="Cambria Math" w:hint="eastAsia"/>
        </w:rPr>
        <w:t>度</w:t>
      </w:r>
      <w:r w:rsidRPr="00BC31E0">
        <w:rPr>
          <w:rFonts w:hint="eastAsia"/>
        </w:rPr>
        <w:t>)</w:t>
      </w:r>
      <w:r w:rsidRPr="00BC31E0">
        <w:rPr>
          <w:rFonts w:hint="eastAsia"/>
          <w:position w:val="-6"/>
        </w:rPr>
        <w:t xml:space="preserve"> </w:t>
      </w:r>
      <w:r w:rsidRPr="00BC31E0">
        <w:rPr>
          <w:rFonts w:hint="eastAsia"/>
        </w:rPr>
        <w:t>(</w:t>
      </w:r>
      <w:r w:rsidRPr="00BC31E0">
        <w:rPr>
          <w:rFonts w:ascii="ＭＳ ゴシック" w:eastAsia="ＭＳ ゴシック" w:hint="eastAsia"/>
          <w:b/>
        </w:rPr>
        <w:t>附属書</w:t>
      </w:r>
      <w:r w:rsidRPr="00BC31E0">
        <w:rPr>
          <w:rFonts w:ascii="ＭＳ ゴシック" w:eastAsia="ＭＳ ゴシック"/>
          <w:b/>
        </w:rPr>
        <w:t>H 3</w:t>
      </w:r>
      <w:r w:rsidRPr="00BC31E0">
        <w:rPr>
          <w:rFonts w:hint="eastAsia"/>
        </w:rPr>
        <w:t>)</w:t>
      </w:r>
    </w:p>
    <w:p w14:paraId="0A3B12A5" w14:textId="77777777" w:rsidR="00C25C85" w:rsidRPr="00BC31E0" w:rsidRDefault="00C25C85" w:rsidP="008234D1">
      <w:pPr>
        <w:tabs>
          <w:tab w:val="left" w:pos="1276"/>
        </w:tabs>
        <w:autoSpaceDE w:val="0"/>
        <w:autoSpaceDN w:val="0"/>
        <w:ind w:left="1588" w:hanging="1021"/>
      </w:pPr>
      <m:oMath>
        <m:r>
          <w:rPr>
            <w:rFonts w:ascii="Cambria Math" w:hAnsi="Cambria Math"/>
          </w:rPr>
          <m:t>α</m:t>
        </m:r>
      </m:oMath>
      <w:r w:rsidRPr="00BC31E0">
        <w:rPr>
          <w:rFonts w:hint="eastAsia"/>
          <w:position w:val="-6"/>
        </w:rPr>
        <w:tab/>
      </w:r>
      <w:r w:rsidRPr="00BC31E0">
        <w:rPr>
          <w:rFonts w:hint="eastAsia"/>
        </w:rPr>
        <w:t>：</w:t>
      </w:r>
      <w:r w:rsidRPr="00BC31E0">
        <w:rPr>
          <w:rFonts w:hint="eastAsia"/>
        </w:rPr>
        <w:t xml:space="preserve"> </w:t>
      </w:r>
      <w:r w:rsidRPr="00BC31E0">
        <w:rPr>
          <w:rFonts w:hint="eastAsia"/>
        </w:rPr>
        <w:t>形状係数</w:t>
      </w:r>
      <w:r w:rsidRPr="00BC31E0">
        <w:rPr>
          <w:rFonts w:hint="eastAsia"/>
        </w:rPr>
        <w:t xml:space="preserve"> (</w:t>
      </w:r>
      <w:r w:rsidRPr="00BC31E0">
        <w:rPr>
          <w:rFonts w:ascii="ＭＳ ゴシック" w:eastAsia="ＭＳ ゴシック" w:hint="eastAsia"/>
          <w:b/>
        </w:rPr>
        <w:t>附属書J</w:t>
      </w:r>
      <w:r w:rsidRPr="00BC31E0">
        <w:rPr>
          <w:rFonts w:ascii="ＭＳ ゴシック" w:eastAsia="ＭＳ ゴシック"/>
          <w:b/>
        </w:rPr>
        <w:t xml:space="preserve"> </w:t>
      </w:r>
      <w:r w:rsidRPr="00BC31E0">
        <w:rPr>
          <w:rFonts w:ascii="ＭＳ ゴシック" w:eastAsia="ＭＳ ゴシック" w:hint="eastAsia"/>
          <w:b/>
        </w:rPr>
        <w:t>表J.1</w:t>
      </w:r>
      <w:r w:rsidRPr="00BC31E0">
        <w:rPr>
          <w:rFonts w:hint="eastAsia"/>
        </w:rPr>
        <w:t>)</w:t>
      </w:r>
    </w:p>
    <w:p w14:paraId="1747026F" w14:textId="77777777" w:rsidR="00C25C85" w:rsidRPr="00BC31E0" w:rsidRDefault="00C25C85" w:rsidP="008234D1">
      <w:pPr>
        <w:tabs>
          <w:tab w:val="left" w:pos="1276"/>
        </w:tabs>
        <w:autoSpaceDE w:val="0"/>
        <w:autoSpaceDN w:val="0"/>
        <w:ind w:left="1588" w:hanging="1021"/>
      </w:pPr>
      <w:r w:rsidRPr="00BC31E0">
        <w:tab/>
      </w:r>
      <w:r w:rsidRPr="00BC31E0">
        <w:rPr>
          <w:rFonts w:hint="eastAsia"/>
        </w:rPr>
        <w:t>：</w:t>
      </w:r>
      <w:r w:rsidRPr="00BC31E0">
        <w:rPr>
          <w:rFonts w:hint="eastAsia"/>
        </w:rPr>
        <w:t xml:space="preserve"> </w:t>
      </w:r>
      <w:r w:rsidRPr="00BC31E0">
        <w:rPr>
          <w:rFonts w:hint="eastAsia"/>
        </w:rPr>
        <w:t>角度</w:t>
      </w:r>
      <w:r w:rsidRPr="00BC31E0">
        <w:rPr>
          <w:rFonts w:ascii="Cambria Math" w:hAnsi="Cambria Math" w:hint="eastAsia"/>
        </w:rPr>
        <w:t>(</w:t>
      </w:r>
      <w:r w:rsidRPr="00BC31E0">
        <w:rPr>
          <w:rFonts w:ascii="Cambria Math" w:hAnsi="Cambria Math" w:hint="eastAsia"/>
        </w:rPr>
        <w:t>度</w:t>
      </w:r>
      <w:r w:rsidRPr="00BC31E0">
        <w:rPr>
          <w:rFonts w:ascii="Cambria Math" w:hAnsi="Cambria Math" w:hint="eastAsia"/>
        </w:rPr>
        <w:t>)</w:t>
      </w:r>
      <w:r w:rsidRPr="00BC31E0">
        <w:rPr>
          <w:rFonts w:hint="eastAsia"/>
        </w:rPr>
        <w:t xml:space="preserve"> (</w:t>
      </w:r>
      <w:r w:rsidRPr="00BC31E0">
        <w:rPr>
          <w:rFonts w:ascii="ＭＳ ゴシック" w:eastAsia="ＭＳ ゴシック" w:hint="eastAsia"/>
          <w:b/>
        </w:rPr>
        <w:t>図</w:t>
      </w:r>
      <w:r w:rsidRPr="00BC31E0">
        <w:rPr>
          <w:rFonts w:ascii="ＭＳ ゴシック" w:eastAsia="ＭＳ ゴシック"/>
          <w:b/>
        </w:rPr>
        <w:t>9.3.1</w:t>
      </w:r>
      <w:r w:rsidRPr="00BC31E0">
        <w:rPr>
          <w:rFonts w:hint="eastAsia"/>
        </w:rPr>
        <w:t>)</w:t>
      </w:r>
    </w:p>
    <w:p w14:paraId="1A352289" w14:textId="77777777" w:rsidR="00C25C85" w:rsidRPr="00BC31E0" w:rsidRDefault="00C25C85" w:rsidP="008234D1">
      <w:pPr>
        <w:tabs>
          <w:tab w:val="left" w:pos="1276"/>
        </w:tabs>
        <w:autoSpaceDE w:val="0"/>
        <w:autoSpaceDN w:val="0"/>
        <w:ind w:left="1588" w:hanging="1021"/>
      </w:pPr>
      <w:r w:rsidRPr="00BC31E0">
        <w:tab/>
      </w:r>
      <w:r w:rsidRPr="00BC31E0">
        <w:rPr>
          <w:rFonts w:hint="eastAsia"/>
        </w:rPr>
        <w:t>：</w:t>
      </w:r>
      <w:r w:rsidRPr="00BC31E0">
        <w:rPr>
          <w:rFonts w:hint="eastAsia"/>
        </w:rPr>
        <w:t xml:space="preserve"> </w:t>
      </w:r>
      <w:r w:rsidRPr="00BC31E0">
        <w:rPr>
          <w:rFonts w:hint="eastAsia"/>
        </w:rPr>
        <w:t>傾斜角度</w:t>
      </w:r>
      <w:r w:rsidRPr="00BC31E0">
        <w:rPr>
          <w:rFonts w:ascii="Cambria Math" w:hAnsi="Cambria Math" w:hint="eastAsia"/>
        </w:rPr>
        <w:t>(</w:t>
      </w:r>
      <w:r w:rsidRPr="00BC31E0">
        <w:rPr>
          <w:rFonts w:ascii="Cambria Math" w:hAnsi="Cambria Math" w:hint="eastAsia"/>
        </w:rPr>
        <w:t>度</w:t>
      </w:r>
      <w:r w:rsidRPr="00BC31E0">
        <w:rPr>
          <w:rFonts w:ascii="Cambria Math" w:hAnsi="Cambria Math" w:hint="eastAsia"/>
        </w:rPr>
        <w:t>)</w:t>
      </w:r>
      <w:r w:rsidRPr="00BC31E0">
        <w:rPr>
          <w:rFonts w:hint="eastAsia"/>
        </w:rPr>
        <w:t xml:space="preserve"> (</w:t>
      </w:r>
      <w:r w:rsidRPr="00BC31E0">
        <w:rPr>
          <w:rFonts w:ascii="ＭＳ ゴシック" w:eastAsia="ＭＳ ゴシック" w:hint="eastAsia"/>
          <w:b/>
        </w:rPr>
        <w:t>附属書</w:t>
      </w:r>
      <w:r w:rsidRPr="00BC31E0">
        <w:rPr>
          <w:rFonts w:ascii="ＭＳ ゴシック" w:eastAsia="ＭＳ ゴシック"/>
          <w:b/>
        </w:rPr>
        <w:t>G</w:t>
      </w:r>
      <w:r w:rsidRPr="00BC31E0">
        <w:rPr>
          <w:rFonts w:ascii="ＭＳ ゴシック" w:eastAsia="ＭＳ ゴシック" w:hint="eastAsia"/>
          <w:b/>
        </w:rPr>
        <w:t xml:space="preserve"> 図</w:t>
      </w:r>
      <w:r w:rsidRPr="00BC31E0">
        <w:rPr>
          <w:rFonts w:ascii="ＭＳ ゴシック" w:eastAsia="ＭＳ ゴシック"/>
          <w:b/>
        </w:rPr>
        <w:t>G.1</w:t>
      </w:r>
      <w:r w:rsidRPr="00BC31E0">
        <w:rPr>
          <w:rFonts w:hint="eastAsia"/>
        </w:rPr>
        <w:t>)</w:t>
      </w:r>
    </w:p>
    <w:p w14:paraId="037A9CD1"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α</m:t>
            </m:r>
          </m:e>
          <m:sub>
            <m:r>
              <w:rPr>
                <w:rFonts w:ascii="Cambria Math" w:hAnsi="Cambria Math"/>
              </w:rPr>
              <m:t>r</m:t>
            </m:r>
          </m:sub>
        </m:sSub>
      </m:oMath>
      <w:r w:rsidR="00C25C85" w:rsidRPr="00BC31E0">
        <w:rPr>
          <w:rFonts w:hint="eastAsia"/>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補強金属の設計温度での平均線膨張係数</w:t>
      </w:r>
      <w:r w:rsidR="00C25C85" w:rsidRPr="00BC31E0">
        <w:rPr>
          <w:rFonts w:hint="eastAsia"/>
        </w:rPr>
        <w:t xml:space="preserve"> </w:t>
      </w:r>
      <w:bookmarkStart w:id="148" w:name="_Hlk60656125"/>
      <w:r w:rsidR="00C25C85" w:rsidRPr="00BC31E0">
        <w:rPr>
          <w:rFonts w:hint="eastAsia"/>
        </w:rPr>
        <w:t>(</w:t>
      </w:r>
      <w:r w:rsidR="00C25C85" w:rsidRPr="00BC31E0">
        <w:rPr>
          <w:rFonts w:ascii="Cambria Math" w:eastAsiaTheme="minorEastAsia" w:hAnsi="Cambria Math"/>
        </w:rPr>
        <w:t>mm/mm</w:t>
      </w:r>
      <w:r w:rsidR="00C25C85" w:rsidRPr="00BC31E0">
        <w:rPr>
          <w:rFonts w:ascii="Cambria Math" w:hAnsi="Cambria Math" w:cs="ＭＳ 明朝"/>
        </w:rPr>
        <w:t>℃</w:t>
      </w:r>
      <w:r w:rsidR="00C25C85" w:rsidRPr="00BC31E0">
        <w:rPr>
          <w:rFonts w:hint="eastAsia"/>
        </w:rPr>
        <w:t>)</w:t>
      </w:r>
      <w:bookmarkEnd w:id="148"/>
      <w:r w:rsidR="00C25C85" w:rsidRPr="00BC31E0">
        <w:t xml:space="preserve"> </w:t>
      </w:r>
      <w:r w:rsidR="00C25C85" w:rsidRPr="00BC31E0">
        <w:rPr>
          <w:rFonts w:hint="eastAsia"/>
        </w:rPr>
        <w:t>(</w:t>
      </w:r>
      <w:r w:rsidR="00C25C85" w:rsidRPr="00BC31E0">
        <w:rPr>
          <w:rFonts w:ascii="ＭＳ ゴシック" w:eastAsia="ＭＳ ゴシック" w:hint="eastAsia"/>
          <w:b/>
        </w:rPr>
        <w:t>附属書</w:t>
      </w:r>
      <w:r w:rsidR="00C25C85" w:rsidRPr="00BC31E0">
        <w:rPr>
          <w:rFonts w:ascii="ＭＳ ゴシック" w:eastAsia="ＭＳ ゴシック"/>
          <w:b/>
        </w:rPr>
        <w:t>E 7</w:t>
      </w:r>
      <w:r w:rsidR="00C25C85" w:rsidRPr="00BC31E0">
        <w:rPr>
          <w:rFonts w:hint="eastAsia"/>
        </w:rPr>
        <w:t>)</w:t>
      </w:r>
    </w:p>
    <w:p w14:paraId="11DEB680"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α</m:t>
            </m:r>
          </m:e>
          <m:sub>
            <m:r>
              <w:rPr>
                <w:rFonts w:ascii="Cambria Math" w:hAnsi="Cambria Math"/>
              </w:rPr>
              <m:t>v</m:t>
            </m:r>
          </m:sub>
        </m:sSub>
      </m:oMath>
      <w:r w:rsidR="00C25C85" w:rsidRPr="00BC31E0">
        <w:rPr>
          <w:rFonts w:hint="eastAsia"/>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容器金属の設計温度での平均線膨張係数</w:t>
      </w:r>
      <w:r w:rsidR="00C25C85" w:rsidRPr="00BC31E0">
        <w:rPr>
          <w:rFonts w:hint="eastAsia"/>
        </w:rPr>
        <w:t xml:space="preserve"> (</w:t>
      </w:r>
      <w:r w:rsidR="00C25C85" w:rsidRPr="00BC31E0">
        <w:rPr>
          <w:rFonts w:ascii="Cambria Math" w:eastAsiaTheme="minorEastAsia" w:hAnsi="Cambria Math"/>
        </w:rPr>
        <w:t>mm/mm</w:t>
      </w:r>
      <w:r w:rsidR="00C25C85" w:rsidRPr="00BC31E0">
        <w:rPr>
          <w:rFonts w:ascii="Cambria Math" w:hAnsi="Cambria Math" w:cs="ＭＳ 明朝"/>
        </w:rPr>
        <w:t>℃</w:t>
      </w:r>
      <w:r w:rsidR="00C25C85" w:rsidRPr="00BC31E0">
        <w:rPr>
          <w:rFonts w:hint="eastAsia"/>
        </w:rPr>
        <w:t>) (</w:t>
      </w:r>
      <w:r w:rsidR="00C25C85" w:rsidRPr="00BC31E0">
        <w:rPr>
          <w:rFonts w:eastAsia="ＭＳ ゴシック" w:hint="eastAsia"/>
          <w:b/>
        </w:rPr>
        <w:t>附</w:t>
      </w:r>
      <w:r w:rsidR="00C25C85" w:rsidRPr="00BC31E0">
        <w:rPr>
          <w:rFonts w:ascii="ＭＳ ゴシック" w:eastAsia="ＭＳ ゴシック" w:hint="eastAsia"/>
          <w:b/>
        </w:rPr>
        <w:t>属書</w:t>
      </w:r>
      <w:r w:rsidR="00C25C85" w:rsidRPr="00BC31E0">
        <w:rPr>
          <w:rFonts w:ascii="ＭＳ ゴシック" w:eastAsia="ＭＳ ゴシック"/>
          <w:b/>
        </w:rPr>
        <w:t>E 7</w:t>
      </w:r>
      <w:r w:rsidR="00C25C85" w:rsidRPr="00BC31E0">
        <w:rPr>
          <w:rFonts w:hint="eastAsia"/>
        </w:rPr>
        <w:t>)</w:t>
      </w:r>
    </w:p>
    <w:p w14:paraId="280C054C"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γ</m:t>
            </m:r>
          </m:e>
          <m:sub>
            <m:r>
              <w:rPr>
                <w:rFonts w:ascii="Cambria Math" w:hAnsi="Cambria Math"/>
              </w:rPr>
              <m:t>1</m:t>
            </m:r>
          </m:sub>
        </m:sSub>
      </m:oMath>
      <w:r w:rsidR="00C25C85" w:rsidRPr="00BC31E0">
        <w:rPr>
          <w:rFonts w:hint="eastAsia"/>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応力－ひずみ曲線の微小ひずみ領域の真ひずみ</w:t>
      </w:r>
      <w:r w:rsidR="00C25C85" w:rsidRPr="00BC31E0">
        <w:rPr>
          <w:rFonts w:hint="eastAsia"/>
        </w:rPr>
        <w:t xml:space="preserve"> (</w:t>
      </w:r>
      <w:r w:rsidR="00C25C85" w:rsidRPr="00BC31E0">
        <w:rPr>
          <w:rFonts w:ascii="ＭＳ ゴシック" w:eastAsia="ＭＳ ゴシック" w:hint="eastAsia"/>
          <w:b/>
        </w:rPr>
        <w:t>附属書</w:t>
      </w:r>
      <w:r w:rsidR="00C25C85" w:rsidRPr="00BC31E0">
        <w:rPr>
          <w:rFonts w:ascii="ＭＳ ゴシック" w:eastAsia="ＭＳ ゴシック"/>
          <w:b/>
        </w:rPr>
        <w:t>D 2</w:t>
      </w:r>
      <w:r w:rsidR="00C25C85" w:rsidRPr="00BC31E0">
        <w:rPr>
          <w:rFonts w:hint="eastAsia"/>
        </w:rPr>
        <w:t>)</w:t>
      </w:r>
    </w:p>
    <w:p w14:paraId="7034024F"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γ</m:t>
            </m:r>
          </m:e>
          <m:sub>
            <m:r>
              <w:rPr>
                <w:rFonts w:ascii="Cambria Math" w:hAnsi="Cambria Math"/>
              </w:rPr>
              <m:t>2</m:t>
            </m:r>
          </m:sub>
        </m:sSub>
      </m:oMath>
      <w:r w:rsidR="00C25C85" w:rsidRPr="00BC31E0">
        <w:rPr>
          <w:rFonts w:hint="eastAsia"/>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応力－ひずみ曲線のマクロひずみ領域の真ひずみ</w:t>
      </w:r>
      <w:r w:rsidR="00C25C85" w:rsidRPr="00BC31E0">
        <w:rPr>
          <w:rFonts w:hint="eastAsia"/>
        </w:rPr>
        <w:t xml:space="preserve"> (</w:t>
      </w:r>
      <w:r w:rsidR="00C25C85" w:rsidRPr="00BC31E0">
        <w:rPr>
          <w:rFonts w:ascii="ＭＳ ゴシック" w:eastAsia="ＭＳ ゴシック" w:hint="eastAsia"/>
          <w:b/>
        </w:rPr>
        <w:t>附属書</w:t>
      </w:r>
      <w:r w:rsidR="00C25C85" w:rsidRPr="00BC31E0">
        <w:rPr>
          <w:rFonts w:ascii="ＭＳ ゴシック" w:eastAsia="ＭＳ ゴシック"/>
          <w:b/>
        </w:rPr>
        <w:t>D 2</w:t>
      </w:r>
      <w:r w:rsidR="00C25C85" w:rsidRPr="00BC31E0">
        <w:rPr>
          <w:rFonts w:hint="eastAsia"/>
        </w:rPr>
        <w:t>)</w:t>
      </w:r>
    </w:p>
    <w:p w14:paraId="16497867" w14:textId="77777777" w:rsidR="00C25C85" w:rsidRPr="00BC31E0" w:rsidRDefault="00C25C85" w:rsidP="008234D1">
      <w:pPr>
        <w:tabs>
          <w:tab w:val="left" w:pos="1276"/>
        </w:tabs>
        <w:autoSpaceDE w:val="0"/>
        <w:autoSpaceDN w:val="0"/>
        <w:ind w:left="1588" w:hanging="1021"/>
      </w:pPr>
      <m:oMath>
        <m:r>
          <w:rPr>
            <w:rFonts w:ascii="Cambria Math" w:hAnsi="Cambria Math"/>
          </w:rPr>
          <m:t>∆</m:t>
        </m:r>
        <m:r>
          <w:rPr>
            <w:rFonts w:ascii="Cambria Math" w:hAnsi="Cambria Math" w:hint="eastAsia"/>
          </w:rPr>
          <m:t>a</m:t>
        </m:r>
      </m:oMath>
      <w:r w:rsidRPr="00BC31E0">
        <w:tab/>
      </w:r>
      <w:r w:rsidRPr="00BC31E0">
        <w:rPr>
          <w:rFonts w:hint="eastAsia"/>
        </w:rPr>
        <w:t>：</w:t>
      </w:r>
      <w:r w:rsidRPr="00BC31E0">
        <w:rPr>
          <w:rFonts w:hint="eastAsia"/>
        </w:rPr>
        <w:t xml:space="preserve"> </w:t>
      </w:r>
      <w:r w:rsidRPr="00BC31E0">
        <w:rPr>
          <w:rFonts w:hint="eastAsia"/>
        </w:rPr>
        <w:t>亀裂深さの微小進展量</w:t>
      </w:r>
      <w:r w:rsidRPr="00BC31E0">
        <w:rPr>
          <w:rFonts w:hint="eastAsia"/>
        </w:rPr>
        <w:t>(</w:t>
      </w:r>
      <w:r w:rsidRPr="00BC31E0">
        <w:rPr>
          <w:rFonts w:ascii="Cambria Math" w:hAnsi="Cambria Math"/>
        </w:rPr>
        <w:t>mm</w:t>
      </w:r>
      <w:r w:rsidRPr="00BC31E0">
        <w:rPr>
          <w:rFonts w:hint="eastAsia"/>
        </w:rPr>
        <w:t>) (</w:t>
      </w:r>
      <w:r w:rsidRPr="00BC31E0">
        <w:rPr>
          <w:rFonts w:asciiTheme="majorEastAsia" w:eastAsiaTheme="majorEastAsia" w:hAnsiTheme="majorEastAsia" w:hint="eastAsia"/>
          <w:b/>
        </w:rPr>
        <w:t>附属書C 5</w:t>
      </w:r>
      <w:r w:rsidRPr="00BC31E0">
        <w:rPr>
          <w:rFonts w:hint="eastAsia"/>
        </w:rPr>
        <w:t>)</w:t>
      </w:r>
    </w:p>
    <w:p w14:paraId="1B9CC9E2" w14:textId="77777777" w:rsidR="00C25C85" w:rsidRPr="00BC31E0" w:rsidRDefault="00C25C85" w:rsidP="008234D1">
      <w:pPr>
        <w:tabs>
          <w:tab w:val="left" w:pos="1276"/>
        </w:tabs>
        <w:autoSpaceDE w:val="0"/>
        <w:autoSpaceDN w:val="0"/>
        <w:ind w:left="1588" w:hanging="1021"/>
      </w:pPr>
      <m:oMath>
        <m:r>
          <w:rPr>
            <w:rFonts w:ascii="Cambria Math" w:hAnsi="Cambria Math"/>
          </w:rPr>
          <w:lastRenderedPageBreak/>
          <m:t>∆</m:t>
        </m:r>
        <m:sSub>
          <m:sSubPr>
            <m:ctrlPr>
              <w:rPr>
                <w:rFonts w:ascii="Cambria Math" w:hAnsi="Cambria Math"/>
                <w:i/>
              </w:rPr>
            </m:ctrlPr>
          </m:sSubPr>
          <m:e>
            <m:r>
              <w:rPr>
                <w:rFonts w:ascii="Cambria Math" w:hAnsi="Cambria Math"/>
              </w:rPr>
              <m:t>K</m:t>
            </m:r>
          </m:e>
          <m:sub>
            <m:r>
              <m:rPr>
                <m:sty m:val="p"/>
              </m:rPr>
              <w:rPr>
                <w:rFonts w:ascii="Cambria Math" w:hAnsi="Cambria Math"/>
              </w:rPr>
              <m:t>I</m:t>
            </m:r>
          </m:sub>
        </m:sSub>
      </m:oMath>
      <w:r w:rsidRPr="00BC31E0">
        <w:rPr>
          <w:szCs w:val="24"/>
        </w:rPr>
        <w:tab/>
      </w:r>
      <w:r w:rsidRPr="00BC31E0">
        <w:rPr>
          <w:rFonts w:hint="eastAsia"/>
        </w:rPr>
        <w:t>：</w:t>
      </w:r>
      <w:r w:rsidRPr="00BC31E0">
        <w:rPr>
          <w:rFonts w:hint="eastAsia"/>
        </w:rPr>
        <w:t xml:space="preserve"> </w:t>
      </w:r>
      <w:r w:rsidRPr="00BC31E0">
        <w:rPr>
          <w:rFonts w:hint="eastAsia"/>
        </w:rPr>
        <w:t>応力拡大係数範囲</w:t>
      </w:r>
      <w:r w:rsidRPr="00BC31E0">
        <w:rPr>
          <w:rFonts w:hint="eastAsia"/>
        </w:rPr>
        <w:t>(</w:t>
      </w:r>
      <m:oMath>
        <m:r>
          <m:rPr>
            <m:nor/>
          </m:rPr>
          <w:rPr>
            <w:rFonts w:ascii="Cambria Math" w:hAnsi="Cambria Math"/>
          </w:rPr>
          <m:t>MPa</m:t>
        </m:r>
        <m:rad>
          <m:radPr>
            <m:degHide m:val="1"/>
            <m:ctrlPr>
              <w:rPr>
                <w:rFonts w:ascii="Cambria Math" w:hAnsi="Times New Roman"/>
              </w:rPr>
            </m:ctrlPr>
          </m:radPr>
          <m:deg/>
          <m:e>
            <m:r>
              <m:rPr>
                <m:nor/>
              </m:rPr>
              <w:rPr>
                <w:rFonts w:ascii="Cambria Math" w:hAnsi="Cambria Math"/>
              </w:rPr>
              <m:t>m</m:t>
            </m:r>
          </m:e>
        </m:rad>
      </m:oMath>
      <w:r w:rsidRPr="00BC31E0">
        <w:rPr>
          <w:rFonts w:hint="eastAsia"/>
        </w:rPr>
        <w:t>) (</w:t>
      </w:r>
      <w:r w:rsidRPr="00BC31E0">
        <w:rPr>
          <w:rFonts w:ascii="ＭＳ ゴシック" w:eastAsia="ＭＳ ゴシック"/>
          <w:b/>
        </w:rPr>
        <w:t>6.4.</w:t>
      </w:r>
      <w:r w:rsidRPr="00BC31E0">
        <w:rPr>
          <w:rFonts w:ascii="ＭＳ ゴシック" w:eastAsia="ＭＳ ゴシック" w:hint="eastAsia"/>
          <w:b/>
        </w:rPr>
        <w:t>1</w:t>
      </w:r>
      <w:r w:rsidRPr="00BC31E0">
        <w:rPr>
          <w:rFonts w:asciiTheme="minorEastAsia" w:eastAsiaTheme="minorEastAsia" w:hAnsiTheme="minorEastAsia" w:hint="eastAsia"/>
        </w:rPr>
        <w:t>，</w:t>
      </w:r>
      <w:r w:rsidRPr="00BC31E0">
        <w:rPr>
          <w:rFonts w:ascii="ＭＳ ゴシック" w:eastAsia="ＭＳ ゴシック" w:hint="eastAsia"/>
          <w:b/>
        </w:rPr>
        <w:t>附属書C 5</w:t>
      </w:r>
      <w:r w:rsidRPr="00BC31E0">
        <w:rPr>
          <w:rFonts w:hint="eastAsia"/>
        </w:rPr>
        <w:t>)</w:t>
      </w:r>
    </w:p>
    <w:p w14:paraId="68F99AFF" w14:textId="77777777" w:rsidR="00C25C85" w:rsidRPr="00BC31E0" w:rsidRDefault="00C25C85" w:rsidP="008234D1">
      <w:pPr>
        <w:tabs>
          <w:tab w:val="left" w:pos="1276"/>
        </w:tabs>
        <w:autoSpaceDE w:val="0"/>
        <w:autoSpaceDN w:val="0"/>
        <w:ind w:left="1588" w:hanging="1021"/>
      </w:pPr>
      <m:oMath>
        <m:r>
          <w:rPr>
            <w:rFonts w:ascii="Cambria Math" w:hAnsi="Cambria Math"/>
          </w:rPr>
          <m:t>∆</m:t>
        </m:r>
        <m:sSub>
          <m:sSubPr>
            <m:ctrlPr>
              <w:rPr>
                <w:rFonts w:ascii="Cambria Math" w:hAnsi="Cambria Math"/>
                <w:i/>
              </w:rPr>
            </m:ctrlPr>
          </m:sSubPr>
          <m:e>
            <m:r>
              <w:rPr>
                <w:rFonts w:ascii="Cambria Math" w:hAnsi="Cambria Math"/>
              </w:rPr>
              <m:t>K</m:t>
            </m:r>
          </m:e>
          <m:sub>
            <m:r>
              <m:rPr>
                <m:sty m:val="p"/>
              </m:rPr>
              <w:rPr>
                <w:rFonts w:ascii="Cambria Math" w:hAnsi="Cambria Math" w:hint="eastAsia"/>
              </w:rPr>
              <m:t>th</m:t>
            </m:r>
          </m:sub>
        </m:sSub>
      </m:oMath>
      <w:r w:rsidRPr="00BC31E0">
        <w:rPr>
          <w:szCs w:val="24"/>
        </w:rPr>
        <w:tab/>
      </w:r>
      <w:r w:rsidRPr="00BC31E0">
        <w:rPr>
          <w:rFonts w:hint="eastAsia"/>
        </w:rPr>
        <w:t>：</w:t>
      </w:r>
      <w:r w:rsidRPr="00BC31E0">
        <w:rPr>
          <w:rFonts w:hint="eastAsia"/>
        </w:rPr>
        <w:t xml:space="preserve"> </w:t>
      </w:r>
      <w:r w:rsidRPr="00BC31E0">
        <w:rPr>
          <w:rFonts w:hint="eastAsia"/>
        </w:rPr>
        <w:t>疲労亀裂進展の下限界値</w:t>
      </w:r>
      <w:r w:rsidRPr="00BC31E0">
        <w:rPr>
          <w:rFonts w:hint="eastAsia"/>
        </w:rPr>
        <w:t>(</w:t>
      </w:r>
      <m:oMath>
        <m:r>
          <m:rPr>
            <m:nor/>
          </m:rPr>
          <w:rPr>
            <w:rFonts w:ascii="Cambria Math" w:hAnsi="Cambria Math"/>
          </w:rPr>
          <m:t>MPa</m:t>
        </m:r>
        <m:rad>
          <m:radPr>
            <m:degHide m:val="1"/>
            <m:ctrlPr>
              <w:rPr>
                <w:rFonts w:ascii="Cambria Math" w:hAnsi="Times New Roman"/>
              </w:rPr>
            </m:ctrlPr>
          </m:radPr>
          <m:deg/>
          <m:e>
            <m:r>
              <m:rPr>
                <m:nor/>
              </m:rPr>
              <w:rPr>
                <w:rFonts w:ascii="Cambria Math" w:hAnsi="Cambria Math"/>
              </w:rPr>
              <m:t>m</m:t>
            </m:r>
          </m:e>
        </m:rad>
      </m:oMath>
      <w:r w:rsidRPr="00BC31E0">
        <w:rPr>
          <w:rFonts w:hint="eastAsia"/>
        </w:rPr>
        <w:t>) (</w:t>
      </w:r>
      <w:r w:rsidRPr="00BC31E0">
        <w:rPr>
          <w:rFonts w:ascii="ＭＳ ゴシック" w:eastAsia="ＭＳ ゴシック"/>
          <w:b/>
        </w:rPr>
        <w:t>6.4.</w:t>
      </w:r>
      <w:r w:rsidRPr="00BC31E0">
        <w:rPr>
          <w:rFonts w:ascii="ＭＳ ゴシック" w:eastAsia="ＭＳ ゴシック" w:hint="eastAsia"/>
          <w:b/>
        </w:rPr>
        <w:t>1</w:t>
      </w:r>
      <w:r w:rsidRPr="00BC31E0">
        <w:rPr>
          <w:rFonts w:hint="eastAsia"/>
        </w:rPr>
        <w:t>)</w:t>
      </w:r>
    </w:p>
    <w:bookmarkStart w:id="149" w:name="_Hlk52271186"/>
    <w:p w14:paraId="4ABC15CF"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hint="eastAsia"/>
              </w:rPr>
              <m:t>ΔQ</m:t>
            </m:r>
          </m:e>
          <m:sub>
            <m:r>
              <w:rPr>
                <w:rFonts w:ascii="Cambria Math" w:hAnsi="Cambria Math" w:hint="eastAsia"/>
              </w:rPr>
              <m:t>m</m:t>
            </m:r>
          </m:sub>
        </m:sSub>
      </m:oMath>
      <w:r w:rsidR="00C25C85" w:rsidRPr="00BC31E0">
        <w:rPr>
          <w:szCs w:val="24"/>
        </w:rPr>
        <w:tab/>
      </w:r>
      <w:r w:rsidR="00C25C85" w:rsidRPr="00BC31E0">
        <w:rPr>
          <w:rFonts w:hint="eastAsia"/>
        </w:rPr>
        <w:t>：</w:t>
      </w:r>
      <w:r w:rsidR="00C25C85" w:rsidRPr="00BC31E0">
        <w:rPr>
          <w:rFonts w:hint="eastAsia"/>
        </w:rPr>
        <w:t xml:space="preserve"> </w:t>
      </w:r>
      <w:r w:rsidR="00C25C85" w:rsidRPr="00BC31E0">
        <w:rPr>
          <w:rFonts w:hint="eastAsia"/>
        </w:rPr>
        <w:t>弾性解析での熱応力による二次膜相当応力範囲</w:t>
      </w:r>
      <w:r w:rsidR="00C25C85" w:rsidRPr="00BC31E0">
        <w:rPr>
          <w:rFonts w:hint="eastAsia"/>
        </w:rPr>
        <w:t>(</w:t>
      </w:r>
      <w:r w:rsidR="00C25C85" w:rsidRPr="00BC31E0">
        <w:rPr>
          <w:rFonts w:ascii="Cambria Math" w:hAnsi="Cambria Math"/>
        </w:rPr>
        <w:t>MPa</w:t>
      </w:r>
      <w:r w:rsidR="00C25C85" w:rsidRPr="00BC31E0">
        <w:rPr>
          <w:rFonts w:hint="eastAsia"/>
        </w:rPr>
        <w:t>) (</w:t>
      </w:r>
      <w:r w:rsidR="00C25C85" w:rsidRPr="00BC31E0">
        <w:rPr>
          <w:rFonts w:ascii="ＭＳ ゴシック" w:eastAsia="ＭＳ ゴシック" w:hint="eastAsia"/>
          <w:b/>
        </w:rPr>
        <w:t>附属書J</w:t>
      </w:r>
      <w:r w:rsidR="00C25C85" w:rsidRPr="00BC31E0">
        <w:rPr>
          <w:rFonts w:ascii="ＭＳ ゴシック" w:eastAsia="ＭＳ ゴシック"/>
          <w:b/>
        </w:rPr>
        <w:t xml:space="preserve"> 1</w:t>
      </w:r>
      <w:r w:rsidR="00C25C85" w:rsidRPr="00BC31E0">
        <w:rPr>
          <w:rFonts w:hint="eastAsia"/>
        </w:rPr>
        <w:t>)</w:t>
      </w:r>
    </w:p>
    <w:bookmarkStart w:id="150" w:name="_Hlk60662212"/>
    <w:bookmarkEnd w:id="149"/>
    <w:p w14:paraId="2C9D72A1"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hint="eastAsia"/>
              </w:rPr>
              <m:t>ΔQ</m:t>
            </m:r>
          </m:e>
          <m:sub>
            <m:r>
              <w:rPr>
                <w:rFonts w:ascii="Cambria Math" w:hAnsi="Cambria Math" w:hint="eastAsia"/>
              </w:rPr>
              <m:t>mb</m:t>
            </m:r>
          </m:sub>
        </m:sSub>
      </m:oMath>
      <w:r w:rsidR="00C25C85" w:rsidRPr="00BC31E0">
        <w:rPr>
          <w:szCs w:val="24"/>
        </w:rPr>
        <w:tab/>
      </w:r>
      <w:r w:rsidR="00C25C85" w:rsidRPr="00BC31E0">
        <w:rPr>
          <w:rFonts w:hint="eastAsia"/>
        </w:rPr>
        <w:t>：</w:t>
      </w:r>
      <w:r w:rsidR="00C25C85" w:rsidRPr="00BC31E0">
        <w:rPr>
          <w:rFonts w:hint="eastAsia"/>
        </w:rPr>
        <w:t xml:space="preserve"> </w:t>
      </w:r>
      <w:r w:rsidR="00C25C85" w:rsidRPr="00BC31E0">
        <w:rPr>
          <w:rFonts w:hint="eastAsia"/>
        </w:rPr>
        <w:t>弾性解析での熱応力による二次膜＋曲げ相当応力範囲</w:t>
      </w:r>
      <w:r w:rsidR="00C25C85" w:rsidRPr="00BC31E0">
        <w:rPr>
          <w:rFonts w:hint="eastAsia"/>
        </w:rPr>
        <w:t>(</w:t>
      </w:r>
      <w:r w:rsidR="00C25C85" w:rsidRPr="00BC31E0">
        <w:rPr>
          <w:rFonts w:ascii="Cambria Math" w:hAnsi="Cambria Math"/>
        </w:rPr>
        <w:t>MPa</w:t>
      </w:r>
      <w:r w:rsidR="00C25C85" w:rsidRPr="00BC31E0">
        <w:rPr>
          <w:rFonts w:hint="eastAsia"/>
        </w:rPr>
        <w:t>) (</w:t>
      </w:r>
      <w:r w:rsidR="00C25C85" w:rsidRPr="00BC31E0">
        <w:rPr>
          <w:rFonts w:ascii="ＭＳ ゴシック" w:eastAsia="ＭＳ ゴシック" w:hint="eastAsia"/>
          <w:b/>
        </w:rPr>
        <w:t>附属書J</w:t>
      </w:r>
      <w:r w:rsidR="00C25C85" w:rsidRPr="00BC31E0">
        <w:rPr>
          <w:rFonts w:ascii="ＭＳ ゴシック" w:eastAsia="ＭＳ ゴシック"/>
          <w:b/>
        </w:rPr>
        <w:t xml:space="preserve"> 1</w:t>
      </w:r>
      <w:r w:rsidR="00C25C85" w:rsidRPr="00BC31E0">
        <w:rPr>
          <w:rFonts w:hint="eastAsia"/>
        </w:rPr>
        <w:t>)</w:t>
      </w:r>
    </w:p>
    <w:bookmarkEnd w:id="150"/>
    <w:p w14:paraId="2F434875"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hint="eastAsia"/>
              </w:rPr>
              <m:t>ΔS</m:t>
            </m:r>
          </m:e>
          <m:sub>
            <m:r>
              <w:rPr>
                <w:rFonts w:ascii="Cambria Math" w:hAnsi="Cambria Math" w:hint="eastAsia"/>
              </w:rPr>
              <m:t>p</m:t>
            </m:r>
          </m:sub>
        </m:sSub>
      </m:oMath>
      <w:r w:rsidR="00C25C85" w:rsidRPr="00BC31E0">
        <w:rPr>
          <w:szCs w:val="24"/>
        </w:rPr>
        <w:tab/>
      </w:r>
      <w:r w:rsidR="00C25C85" w:rsidRPr="00BC31E0">
        <w:rPr>
          <w:rFonts w:hint="eastAsia"/>
        </w:rPr>
        <w:t>：</w:t>
      </w:r>
      <w:r w:rsidR="00C25C85" w:rsidRPr="00BC31E0">
        <w:rPr>
          <w:rFonts w:hint="eastAsia"/>
        </w:rPr>
        <w:t xml:space="preserve"> </w:t>
      </w:r>
      <w:r w:rsidR="00C25C85" w:rsidRPr="00BC31E0">
        <w:rPr>
          <w:rFonts w:hint="eastAsia"/>
        </w:rPr>
        <w:t>一次＋二次＋ピーク相当応力範囲</w:t>
      </w:r>
      <w:r w:rsidR="00C25C85" w:rsidRPr="00BC31E0">
        <w:rPr>
          <w:rFonts w:hint="eastAsia"/>
        </w:rPr>
        <w:t>(</w:t>
      </w:r>
      <w:r w:rsidR="00C25C85" w:rsidRPr="00BC31E0">
        <w:rPr>
          <w:rFonts w:ascii="Cambria Math" w:hAnsi="Cambria Math"/>
        </w:rPr>
        <w:t>MPa</w:t>
      </w:r>
      <w:r w:rsidR="00C25C85" w:rsidRPr="00BC31E0">
        <w:rPr>
          <w:rFonts w:hint="eastAsia"/>
        </w:rPr>
        <w:t>) (</w:t>
      </w:r>
      <w:r w:rsidR="00C25C85" w:rsidRPr="00BC31E0">
        <w:rPr>
          <w:rFonts w:ascii="ＭＳ ゴシック" w:eastAsia="ＭＳ ゴシック" w:hint="eastAsia"/>
          <w:b/>
        </w:rPr>
        <w:t>附属書J</w:t>
      </w:r>
      <w:r w:rsidR="00C25C85" w:rsidRPr="00BC31E0">
        <w:rPr>
          <w:rFonts w:ascii="ＭＳ ゴシック" w:eastAsia="ＭＳ ゴシック"/>
          <w:b/>
        </w:rPr>
        <w:t xml:space="preserve"> 1</w:t>
      </w:r>
      <w:r w:rsidR="00C25C85" w:rsidRPr="00BC31E0">
        <w:rPr>
          <w:rFonts w:hint="eastAsia"/>
        </w:rPr>
        <w:t>)</w:t>
      </w:r>
    </w:p>
    <w:p w14:paraId="433F6C4C"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hint="eastAsia"/>
              </w:rPr>
              <m:t>ΔS</m:t>
            </m:r>
          </m:e>
          <m:sub>
            <m:r>
              <w:rPr>
                <w:rFonts w:ascii="Cambria Math" w:hAnsi="Cambria Math" w:hint="eastAsia"/>
              </w:rPr>
              <m:t>n</m:t>
            </m:r>
          </m:sub>
        </m:sSub>
      </m:oMath>
      <w:r w:rsidR="00C25C85" w:rsidRPr="00BC31E0">
        <w:rPr>
          <w:szCs w:val="24"/>
        </w:rPr>
        <w:tab/>
      </w:r>
      <w:r w:rsidR="00C25C85" w:rsidRPr="00BC31E0">
        <w:rPr>
          <w:rFonts w:hint="eastAsia"/>
        </w:rPr>
        <w:t>：</w:t>
      </w:r>
      <w:r w:rsidR="00C25C85" w:rsidRPr="00BC31E0">
        <w:rPr>
          <w:rFonts w:hint="eastAsia"/>
        </w:rPr>
        <w:t xml:space="preserve"> </w:t>
      </w:r>
      <w:r w:rsidR="00C25C85" w:rsidRPr="00BC31E0">
        <w:rPr>
          <w:rFonts w:hint="eastAsia"/>
        </w:rPr>
        <w:t>層間の最大隙間がある層の一次＋二次相当応力範囲</w:t>
      </w:r>
      <w:r w:rsidR="00C25C85" w:rsidRPr="00BC31E0">
        <w:rPr>
          <w:rFonts w:hint="eastAsia"/>
        </w:rPr>
        <w:t>(</w:t>
      </w:r>
      <w:r w:rsidR="00C25C85" w:rsidRPr="00BC31E0">
        <w:rPr>
          <w:rFonts w:ascii="Cambria Math" w:hAnsi="Cambria Math"/>
        </w:rPr>
        <w:t>MPa</w:t>
      </w:r>
      <w:r w:rsidR="00C25C85" w:rsidRPr="00BC31E0">
        <w:rPr>
          <w:rFonts w:hint="eastAsia"/>
        </w:rPr>
        <w:t>) (</w:t>
      </w:r>
      <w:r w:rsidR="00C25C85" w:rsidRPr="00BC31E0">
        <w:rPr>
          <w:rFonts w:asciiTheme="majorEastAsia" w:eastAsiaTheme="majorEastAsia" w:hAnsiTheme="majorEastAsia" w:hint="eastAsia"/>
          <w:b/>
          <w:bCs/>
        </w:rPr>
        <w:t>7.8.3</w:t>
      </w:r>
      <w:r w:rsidR="00C25C85" w:rsidRPr="00BC31E0">
        <w:rPr>
          <w:rFonts w:hint="eastAsia"/>
        </w:rPr>
        <w:t>)</w:t>
      </w:r>
    </w:p>
    <w:p w14:paraId="732A777F" w14:textId="77777777" w:rsidR="00C25C85" w:rsidRPr="00BC31E0" w:rsidRDefault="00C25C85" w:rsidP="008234D1">
      <w:pPr>
        <w:tabs>
          <w:tab w:val="left" w:pos="1276"/>
        </w:tabs>
        <w:autoSpaceDE w:val="0"/>
        <w:autoSpaceDN w:val="0"/>
        <w:ind w:left="1588" w:hanging="1021"/>
      </w:pPr>
      <w:r w:rsidRPr="00BC31E0">
        <w:rPr>
          <w:rFonts w:hint="eastAsia"/>
        </w:rPr>
        <w:tab/>
      </w:r>
      <w:r w:rsidRPr="00BC31E0">
        <w:rPr>
          <w:rFonts w:hint="eastAsia"/>
        </w:rPr>
        <w:t>：</w:t>
      </w:r>
      <w:r w:rsidRPr="00BC31E0">
        <w:rPr>
          <w:rFonts w:hint="eastAsia"/>
        </w:rPr>
        <w:t xml:space="preserve"> </w:t>
      </w:r>
      <w:r w:rsidRPr="00BC31E0">
        <w:rPr>
          <w:rFonts w:hint="eastAsia"/>
        </w:rPr>
        <w:t>一次＋二次相当応力範囲</w:t>
      </w:r>
      <w:r w:rsidRPr="00BC31E0">
        <w:rPr>
          <w:rFonts w:hint="eastAsia"/>
        </w:rPr>
        <w:t>(</w:t>
      </w:r>
      <w:r w:rsidRPr="00BC31E0">
        <w:rPr>
          <w:rFonts w:ascii="Cambria Math" w:hAnsi="Cambria Math"/>
        </w:rPr>
        <w:t>MPa</w:t>
      </w:r>
      <w:r w:rsidRPr="00BC31E0">
        <w:rPr>
          <w:rFonts w:hint="eastAsia"/>
        </w:rPr>
        <w:t>) (</w:t>
      </w:r>
      <w:r w:rsidRPr="00BC31E0">
        <w:rPr>
          <w:rFonts w:asciiTheme="majorEastAsia" w:eastAsiaTheme="majorEastAsia" w:hAnsiTheme="majorEastAsia" w:hint="eastAsia"/>
          <w:b/>
          <w:bCs/>
        </w:rPr>
        <w:t>附属書J 1</w:t>
      </w:r>
      <w:r w:rsidRPr="00BC31E0">
        <w:rPr>
          <w:rFonts w:hint="eastAsia"/>
        </w:rPr>
        <w:t>)</w:t>
      </w:r>
    </w:p>
    <w:p w14:paraId="3F3745D0" w14:textId="77777777" w:rsidR="00C25C85" w:rsidRPr="00BC31E0" w:rsidRDefault="00C25C85" w:rsidP="008234D1">
      <w:pPr>
        <w:tabs>
          <w:tab w:val="left" w:pos="1276"/>
        </w:tabs>
        <w:autoSpaceDE w:val="0"/>
        <w:autoSpaceDN w:val="0"/>
        <w:ind w:left="1588" w:hanging="1021"/>
      </w:pPr>
      <m:oMath>
        <m:r>
          <w:rPr>
            <w:rFonts w:ascii="Cambria Math" w:hAnsi="Cambria Math"/>
          </w:rPr>
          <m:t>∆s</m:t>
        </m:r>
      </m:oMath>
      <w:r w:rsidRPr="00BC31E0">
        <w:tab/>
      </w:r>
      <w:r w:rsidRPr="00BC31E0">
        <w:rPr>
          <w:rFonts w:hint="eastAsia"/>
        </w:rPr>
        <w:t>：</w:t>
      </w:r>
      <w:r w:rsidRPr="00BC31E0">
        <w:rPr>
          <w:rFonts w:hint="eastAsia"/>
        </w:rPr>
        <w:t xml:space="preserve"> </w:t>
      </w:r>
      <w:r w:rsidRPr="00BC31E0">
        <w:rPr>
          <w:rFonts w:hint="eastAsia"/>
        </w:rPr>
        <w:t>疲労寿命の平均相対標準偏差</w:t>
      </w:r>
      <w:r w:rsidRPr="00BC31E0">
        <w:rPr>
          <w:rFonts w:hint="eastAsia"/>
        </w:rPr>
        <w:t xml:space="preserve"> (</w:t>
      </w:r>
      <w:r w:rsidRPr="00BC31E0">
        <w:rPr>
          <w:rFonts w:ascii="ＭＳ ゴシック" w:eastAsia="ＭＳ ゴシック"/>
          <w:b/>
        </w:rPr>
        <w:t>6.9.11</w:t>
      </w:r>
      <w:r w:rsidRPr="00BC31E0">
        <w:rPr>
          <w:rFonts w:hint="eastAsia"/>
        </w:rPr>
        <w:t>)</w:t>
      </w:r>
    </w:p>
    <w:p w14:paraId="467E0E02" w14:textId="77777777" w:rsidR="00C25C85" w:rsidRPr="00BC31E0" w:rsidRDefault="00C25C85" w:rsidP="008234D1">
      <w:pPr>
        <w:tabs>
          <w:tab w:val="left" w:pos="1276"/>
        </w:tabs>
        <w:autoSpaceDE w:val="0"/>
        <w:autoSpaceDN w:val="0"/>
        <w:ind w:left="1588" w:hanging="1021"/>
        <w:rPr>
          <w:rFonts w:eastAsia="ＭＳ ゴシック"/>
        </w:rPr>
      </w:pPr>
      <m:oMath>
        <m:r>
          <w:rPr>
            <w:rFonts w:ascii="Cambria Math" w:hAnsi="Cambria Math"/>
          </w:rPr>
          <m:t>∆T</m:t>
        </m:r>
      </m:oMath>
      <w:r w:rsidRPr="00BC31E0">
        <w:tab/>
      </w:r>
      <w:r w:rsidRPr="00BC31E0">
        <w:rPr>
          <w:rFonts w:hint="eastAsia"/>
        </w:rPr>
        <w:t>：</w:t>
      </w:r>
      <w:r w:rsidRPr="00BC31E0">
        <w:rPr>
          <w:rFonts w:hint="eastAsia"/>
        </w:rPr>
        <w:t xml:space="preserve"> </w:t>
      </w:r>
      <m:oMath>
        <m:r>
          <m:rPr>
            <m:sty m:val="p"/>
          </m:rPr>
          <w:rPr>
            <w:rFonts w:ascii="Cambria Math" w:hAnsi="Cambria Math"/>
          </w:rPr>
          <m:t>21</m:t>
        </m:r>
        <m:r>
          <m:rPr>
            <m:sty m:val="p"/>
          </m:rPr>
          <w:rPr>
            <w:rFonts w:ascii="Cambria Math" w:eastAsiaTheme="minorEastAsia" w:hAnsi="Cambria Math"/>
          </w:rPr>
          <m:t>℃</m:t>
        </m:r>
        <m:r>
          <m:rPr>
            <m:sty m:val="p"/>
          </m:rPr>
          <w:rPr>
            <w:rFonts w:ascii="Cambria Math" w:hAnsi="Cambria Math" w:hint="eastAsia"/>
          </w:rPr>
          <m:t xml:space="preserve"> </m:t>
        </m:r>
      </m:oMath>
      <w:r w:rsidRPr="00BC31E0">
        <w:rPr>
          <w:rFonts w:hint="eastAsia"/>
        </w:rPr>
        <w:t>から運転温度までの温度差，又は最低運転温度と最高運転温度との温度差のいずれか大きい方の値</w:t>
      </w:r>
      <w:r w:rsidRPr="00BC31E0">
        <w:rPr>
          <w:rFonts w:hint="eastAsia"/>
        </w:rPr>
        <w:t>(</w:t>
      </w:r>
      <w:r w:rsidRPr="00BC31E0">
        <w:rPr>
          <w:rFonts w:ascii="Cambria Math" w:eastAsiaTheme="minorEastAsia" w:hAnsi="Cambria Math"/>
        </w:rPr>
        <w:t>℃</w:t>
      </w:r>
      <w:r w:rsidRPr="00BC31E0">
        <w:rPr>
          <w:rFonts w:hint="eastAsia"/>
        </w:rPr>
        <w:t>) (</w:t>
      </w:r>
      <w:r w:rsidRPr="00BC31E0">
        <w:rPr>
          <w:rFonts w:ascii="ＭＳ ゴシック" w:eastAsia="ＭＳ ゴシック" w:hint="eastAsia"/>
          <w:b/>
        </w:rPr>
        <w:t>附属書</w:t>
      </w:r>
      <w:r w:rsidRPr="00BC31E0">
        <w:rPr>
          <w:rFonts w:ascii="ＭＳ ゴシック" w:eastAsia="ＭＳ ゴシック"/>
          <w:b/>
        </w:rPr>
        <w:t>E 7</w:t>
      </w:r>
      <w:r w:rsidRPr="00BC31E0">
        <w:rPr>
          <w:rFonts w:eastAsia="ＭＳ ゴシック"/>
        </w:rPr>
        <w:t>)</w:t>
      </w:r>
    </w:p>
    <w:p w14:paraId="6CEC4D92"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hint="eastAsia"/>
              </w:rPr>
              <m:t>Δε</m:t>
            </m:r>
          </m:e>
          <m:sub>
            <m:r>
              <w:rPr>
                <w:rFonts w:ascii="Cambria Math" w:hAnsi="Cambria Math"/>
              </w:rPr>
              <m:t>peq,k</m:t>
            </m:r>
          </m:sub>
        </m:sSub>
      </m:oMath>
      <w:r w:rsidR="00C25C85" w:rsidRPr="00BC31E0">
        <w:tab/>
      </w:r>
      <w:r w:rsidR="00C25C85" w:rsidRPr="00BC31E0">
        <w:rPr>
          <w:rFonts w:hint="eastAsia"/>
        </w:rPr>
        <w:t>：</w:t>
      </w:r>
      <w:r w:rsidR="00C25C85" w:rsidRPr="00BC31E0">
        <w:rPr>
          <w:rFonts w:hint="eastAsia"/>
        </w:rPr>
        <w:t xml:space="preserve"> </w:t>
      </w:r>
      <w:bookmarkStart w:id="151" w:name="_Hlk52196174"/>
      <m:oMath>
        <m:r>
          <w:rPr>
            <w:rFonts w:ascii="Cambria Math" w:hAnsi="Cambria Math" w:hint="eastAsia"/>
            <w:szCs w:val="24"/>
            <w:vertAlign w:val="subscript"/>
          </w:rPr>
          <m:t>k</m:t>
        </m:r>
      </m:oMath>
      <w:bookmarkEnd w:id="151"/>
      <w:r w:rsidR="00C25C85" w:rsidRPr="00BC31E0">
        <w:rPr>
          <w:rFonts w:hint="eastAsia"/>
        </w:rPr>
        <w:t>番目の荷重増加での相当塑性ひずみ範囲</w:t>
      </w:r>
      <w:r w:rsidR="00C25C85" w:rsidRPr="00BC31E0">
        <w:rPr>
          <w:rFonts w:hint="eastAsia"/>
        </w:rPr>
        <w:t xml:space="preserve"> (</w:t>
      </w:r>
      <w:r w:rsidR="00C25C85" w:rsidRPr="00BC31E0">
        <w:rPr>
          <w:rFonts w:ascii="ＭＳ ゴシック" w:eastAsia="ＭＳ ゴシック"/>
          <w:b/>
        </w:rPr>
        <w:t>6.</w:t>
      </w:r>
      <w:r w:rsidR="00C25C85" w:rsidRPr="00BC31E0">
        <w:rPr>
          <w:rFonts w:ascii="ＭＳ ゴシック" w:eastAsia="ＭＳ ゴシック" w:hint="eastAsia"/>
          <w:b/>
        </w:rPr>
        <w:t>2</w:t>
      </w:r>
      <w:r w:rsidR="00C25C85" w:rsidRPr="00BC31E0">
        <w:rPr>
          <w:rFonts w:ascii="ＭＳ ゴシック" w:eastAsia="ＭＳ ゴシック"/>
          <w:b/>
        </w:rPr>
        <w:t>.3</w:t>
      </w:r>
      <w:r w:rsidR="00C25C85" w:rsidRPr="00BC31E0">
        <w:rPr>
          <w:rFonts w:hint="eastAsia"/>
        </w:rPr>
        <w:t>)</w:t>
      </w:r>
    </w:p>
    <w:p w14:paraId="4068DAFE" w14:textId="77777777" w:rsidR="00C25C85" w:rsidRPr="00BC31E0" w:rsidRDefault="00C25C85" w:rsidP="008234D1">
      <w:pPr>
        <w:tabs>
          <w:tab w:val="left" w:pos="1276"/>
        </w:tabs>
        <w:autoSpaceDE w:val="0"/>
        <w:autoSpaceDN w:val="0"/>
        <w:ind w:left="1588" w:hanging="1021"/>
      </w:pPr>
      <w:bookmarkStart w:id="152" w:name="_Hlk52195830"/>
      <m:oMath>
        <m:r>
          <w:rPr>
            <w:rFonts w:ascii="Cambria Math" w:hAnsi="Cambria Math"/>
          </w:rPr>
          <m:t>δ</m:t>
        </m:r>
      </m:oMath>
      <w:r w:rsidRPr="00BC31E0">
        <w:tab/>
      </w:r>
      <w:r w:rsidRPr="00BC31E0">
        <w:rPr>
          <w:rFonts w:hint="eastAsia"/>
        </w:rPr>
        <w:t>：</w:t>
      </w:r>
      <w:r w:rsidRPr="00BC31E0">
        <w:rPr>
          <w:rFonts w:hint="eastAsia"/>
        </w:rPr>
        <w:t xml:space="preserve"> </w:t>
      </w:r>
      <w:r w:rsidRPr="00BC31E0">
        <w:rPr>
          <w:rFonts w:hint="eastAsia"/>
        </w:rPr>
        <w:t>焼ばめ容器で</w:t>
      </w:r>
      <w:r w:rsidRPr="00BC31E0">
        <w:rPr>
          <w:rFonts w:asciiTheme="minorHAnsi" w:hAnsiTheme="minorHAnsi"/>
        </w:rPr>
        <w:t>2</w:t>
      </w:r>
      <w:r w:rsidRPr="00BC31E0">
        <w:rPr>
          <w:rFonts w:hint="eastAsia"/>
        </w:rPr>
        <w:t>層の場合の，焼ばめ前後での内層の外径変化</w:t>
      </w:r>
      <w:r w:rsidRPr="00BC31E0">
        <w:rPr>
          <w:rFonts w:hint="eastAsia"/>
        </w:rPr>
        <w:t>(</w:t>
      </w:r>
      <w:r w:rsidRPr="00BC31E0">
        <w:rPr>
          <w:rFonts w:ascii="Cambria Math" w:hAnsi="Cambria Math"/>
        </w:rPr>
        <w:t>mm</w:t>
      </w:r>
      <w:r w:rsidRPr="00BC31E0">
        <w:rPr>
          <w:rFonts w:hint="eastAsia"/>
        </w:rPr>
        <w:t>) (</w:t>
      </w:r>
      <w:r w:rsidRPr="00BC31E0">
        <w:rPr>
          <w:rFonts w:ascii="ＭＳ ゴシック" w:eastAsia="ＭＳ ゴシック"/>
          <w:b/>
        </w:rPr>
        <w:t>6.8.3</w:t>
      </w:r>
      <w:r w:rsidRPr="00BC31E0">
        <w:rPr>
          <w:rFonts w:hint="eastAsia"/>
        </w:rPr>
        <w:t>)</w:t>
      </w:r>
    </w:p>
    <w:bookmarkEnd w:id="152"/>
    <w:p w14:paraId="11A60CFB"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hint="eastAsia"/>
              </w:rPr>
              <m:t>δ</m:t>
            </m:r>
          </m:e>
          <m:sub>
            <m:r>
              <w:rPr>
                <w:rFonts w:ascii="Cambria Math" w:hAnsi="Cambria Math" w:hint="eastAsia"/>
              </w:rPr>
              <m:t>n</m:t>
            </m:r>
          </m:sub>
        </m:sSub>
      </m:oMath>
      <w:r w:rsidR="00C25C85" w:rsidRPr="00BC31E0">
        <w:tab/>
      </w:r>
      <w:r w:rsidR="00C25C85" w:rsidRPr="00BC31E0">
        <w:rPr>
          <w:rFonts w:hint="eastAsia"/>
        </w:rPr>
        <w:t>：</w:t>
      </w:r>
      <w:r w:rsidR="00C25C85" w:rsidRPr="00BC31E0">
        <w:rPr>
          <w:rFonts w:hint="eastAsia"/>
        </w:rPr>
        <w:t xml:space="preserve"> </w:t>
      </w:r>
      <w:r w:rsidR="00C25C85" w:rsidRPr="00BC31E0">
        <w:rPr>
          <w:rFonts w:hint="eastAsia"/>
        </w:rPr>
        <w:t>焼ばめ前後での</w:t>
      </w:r>
      <m:oMath>
        <m:r>
          <w:rPr>
            <w:rFonts w:ascii="Cambria Math" w:hAnsi="Cambria Math" w:hint="eastAsia"/>
          </w:rPr>
          <m:t>n</m:t>
        </m:r>
      </m:oMath>
      <w:r w:rsidR="00C25C85" w:rsidRPr="00BC31E0">
        <w:rPr>
          <w:rFonts w:hint="eastAsia"/>
        </w:rPr>
        <w:t>層の外径変化</w:t>
      </w:r>
      <w:r w:rsidR="00C25C85" w:rsidRPr="00BC31E0">
        <w:rPr>
          <w:rFonts w:hint="eastAsia"/>
        </w:rPr>
        <w:t>(</w:t>
      </w:r>
      <w:r w:rsidR="00C25C85" w:rsidRPr="00BC31E0">
        <w:rPr>
          <w:rFonts w:ascii="Cambria Math" w:hAnsi="Cambria Math"/>
        </w:rPr>
        <w:t>mm</w:t>
      </w:r>
      <w:r w:rsidR="00C25C85" w:rsidRPr="00BC31E0">
        <w:rPr>
          <w:rFonts w:hint="eastAsia"/>
        </w:rPr>
        <w:t>) (</w:t>
      </w:r>
      <w:r w:rsidR="00C25C85" w:rsidRPr="00BC31E0">
        <w:rPr>
          <w:rFonts w:ascii="ＭＳ ゴシック" w:eastAsia="ＭＳ ゴシック"/>
          <w:b/>
        </w:rPr>
        <w:t>6.8.3</w:t>
      </w:r>
      <w:r w:rsidR="00C25C85" w:rsidRPr="00BC31E0">
        <w:rPr>
          <w:rFonts w:hint="eastAsia"/>
        </w:rPr>
        <w:t>)</w:t>
      </w:r>
    </w:p>
    <w:p w14:paraId="2A4CB055"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hint="eastAsia"/>
              </w:rPr>
              <m:t>ε</m:t>
            </m:r>
          </m:e>
          <m:sub>
            <m:r>
              <w:rPr>
                <w:rFonts w:ascii="Cambria Math" w:hAnsi="Cambria Math" w:hint="eastAsia"/>
              </w:rPr>
              <m:t>cf</m:t>
            </m:r>
          </m:sub>
        </m:sSub>
      </m:oMath>
      <w:r w:rsidR="00C25C85" w:rsidRPr="00BC31E0">
        <w:tab/>
      </w:r>
      <w:r w:rsidR="00C25C85" w:rsidRPr="00BC31E0">
        <w:rPr>
          <w:rFonts w:hint="eastAsia"/>
        </w:rPr>
        <w:t>：</w:t>
      </w:r>
      <w:r w:rsidR="00C25C85" w:rsidRPr="00BC31E0">
        <w:rPr>
          <w:rFonts w:hint="eastAsia"/>
        </w:rPr>
        <w:t xml:space="preserve"> </w:t>
      </w:r>
      <w:r w:rsidR="00C25C85" w:rsidRPr="00BC31E0">
        <w:rPr>
          <w:rFonts w:hint="eastAsia"/>
        </w:rPr>
        <w:t>加工ひずみ</w:t>
      </w:r>
      <w:r w:rsidR="00C25C85" w:rsidRPr="00BC31E0">
        <w:rPr>
          <w:rFonts w:hint="eastAsia"/>
        </w:rPr>
        <w:t xml:space="preserve"> (</w:t>
      </w:r>
      <w:r w:rsidR="00C25C85" w:rsidRPr="00BC31E0">
        <w:rPr>
          <w:rFonts w:ascii="ＭＳ ゴシック" w:eastAsia="ＭＳ ゴシック"/>
          <w:b/>
        </w:rPr>
        <w:t>6.</w:t>
      </w:r>
      <w:r w:rsidR="00C25C85" w:rsidRPr="00BC31E0">
        <w:rPr>
          <w:rFonts w:ascii="ＭＳ ゴシック" w:eastAsia="ＭＳ ゴシック" w:hint="eastAsia"/>
          <w:b/>
        </w:rPr>
        <w:t>2</w:t>
      </w:r>
      <w:r w:rsidR="00C25C85" w:rsidRPr="00BC31E0">
        <w:rPr>
          <w:rFonts w:ascii="ＭＳ ゴシック" w:eastAsia="ＭＳ ゴシック"/>
          <w:b/>
        </w:rPr>
        <w:t>.3</w:t>
      </w:r>
      <w:r w:rsidR="00C25C85" w:rsidRPr="00BC31E0">
        <w:rPr>
          <w:rFonts w:hint="eastAsia"/>
        </w:rPr>
        <w:t>)</w:t>
      </w:r>
    </w:p>
    <w:p w14:paraId="5B157ABA"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hint="eastAsia"/>
              </w:rPr>
              <m:t>ε</m:t>
            </m:r>
          </m:e>
          <m:sub>
            <m:r>
              <w:rPr>
                <w:rFonts w:ascii="Cambria Math" w:hAnsi="Cambria Math" w:hint="eastAsia"/>
              </w:rPr>
              <m:t>e</m:t>
            </m:r>
          </m:sub>
        </m:sSub>
      </m:oMath>
      <w:r w:rsidR="00C25C85" w:rsidRPr="00BC31E0">
        <w:tab/>
      </w:r>
      <w:r w:rsidR="00C25C85" w:rsidRPr="00BC31E0">
        <w:rPr>
          <w:rFonts w:hint="eastAsia"/>
        </w:rPr>
        <w:t>：</w:t>
      </w:r>
      <w:r w:rsidR="00C25C85" w:rsidRPr="00BC31E0">
        <w:rPr>
          <w:rFonts w:hint="eastAsia"/>
        </w:rPr>
        <w:t xml:space="preserve"> </w:t>
      </w:r>
      <w:r w:rsidR="00C25C85" w:rsidRPr="00BC31E0">
        <w:rPr>
          <w:rFonts w:asciiTheme="minorEastAsia" w:eastAsiaTheme="minorEastAsia" w:hAnsiTheme="minorEastAsia" w:hint="eastAsia"/>
        </w:rPr>
        <w:t xml:space="preserve">弾性解析により求めたときのひずみ </w:t>
      </w:r>
      <w:r w:rsidR="00C25C85" w:rsidRPr="00BC31E0">
        <w:rPr>
          <w:rFonts w:hint="eastAsia"/>
        </w:rPr>
        <w:t>(</w:t>
      </w:r>
      <w:r w:rsidR="00C25C85" w:rsidRPr="00BC31E0">
        <w:rPr>
          <w:rFonts w:ascii="ＭＳ ゴシック" w:eastAsia="ＭＳ ゴシック" w:hint="eastAsia"/>
          <w:b/>
        </w:rPr>
        <w:t>附属書J</w:t>
      </w:r>
      <w:r w:rsidR="00C25C85" w:rsidRPr="00BC31E0">
        <w:rPr>
          <w:rFonts w:ascii="ＭＳ ゴシック" w:eastAsia="ＭＳ ゴシック"/>
          <w:b/>
        </w:rPr>
        <w:t xml:space="preserve"> 1</w:t>
      </w:r>
      <w:r w:rsidR="00C25C85" w:rsidRPr="00BC31E0">
        <w:rPr>
          <w:rFonts w:hint="eastAsia"/>
        </w:rPr>
        <w:t>)</w:t>
      </w:r>
    </w:p>
    <w:p w14:paraId="62122735"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hint="eastAsia"/>
              </w:rPr>
              <m:t>ε</m:t>
            </m:r>
          </m:e>
          <m:sub>
            <m:r>
              <w:rPr>
                <w:rFonts w:ascii="Cambria Math" w:hAnsi="Cambria Math" w:hint="eastAsia"/>
              </w:rPr>
              <m:t>ep</m:t>
            </m:r>
          </m:sub>
        </m:sSub>
      </m:oMath>
      <w:r w:rsidR="00C25C85" w:rsidRPr="00BC31E0">
        <w:tab/>
      </w:r>
      <w:r w:rsidR="00C25C85" w:rsidRPr="00BC31E0">
        <w:rPr>
          <w:rFonts w:hint="eastAsia"/>
        </w:rPr>
        <w:t>：</w:t>
      </w:r>
      <w:r w:rsidR="00C25C85" w:rsidRPr="00BC31E0">
        <w:rPr>
          <w:rFonts w:hint="eastAsia"/>
        </w:rPr>
        <w:t xml:space="preserve"> </w:t>
      </w:r>
      <w:r w:rsidR="00C25C85" w:rsidRPr="00BC31E0">
        <w:rPr>
          <w:rFonts w:asciiTheme="minorEastAsia" w:eastAsiaTheme="minorEastAsia" w:hAnsiTheme="minorEastAsia" w:hint="eastAsia"/>
        </w:rPr>
        <w:t xml:space="preserve">弾塑性解析により求めたときのひずみ </w:t>
      </w:r>
      <w:r w:rsidR="00C25C85" w:rsidRPr="00BC31E0">
        <w:rPr>
          <w:rFonts w:hint="eastAsia"/>
        </w:rPr>
        <w:t>(</w:t>
      </w:r>
      <w:r w:rsidR="00C25C85" w:rsidRPr="00BC31E0">
        <w:rPr>
          <w:rFonts w:ascii="ＭＳ ゴシック" w:eastAsia="ＭＳ ゴシック" w:hint="eastAsia"/>
          <w:b/>
        </w:rPr>
        <w:t>附属書J</w:t>
      </w:r>
      <w:r w:rsidR="00C25C85" w:rsidRPr="00BC31E0">
        <w:rPr>
          <w:rFonts w:ascii="ＭＳ ゴシック" w:eastAsia="ＭＳ ゴシック"/>
          <w:b/>
        </w:rPr>
        <w:t xml:space="preserve"> 1</w:t>
      </w:r>
      <w:r w:rsidR="00C25C85" w:rsidRPr="00BC31E0">
        <w:rPr>
          <w:rFonts w:hint="eastAsia"/>
        </w:rPr>
        <w:t>)</w:t>
      </w:r>
    </w:p>
    <w:p w14:paraId="6D76FCD6"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hint="eastAsia"/>
              </w:rPr>
              <m:t>ε</m:t>
            </m:r>
          </m:e>
          <m:sub>
            <m:r>
              <w:rPr>
                <w:rFonts w:ascii="Cambria Math" w:hAnsi="Cambria Math"/>
              </w:rPr>
              <m:t>L,k</m:t>
            </m:r>
          </m:sub>
        </m:sSub>
      </m:oMath>
      <w:r w:rsidR="00C25C85" w:rsidRPr="00BC31E0">
        <w:tab/>
      </w:r>
      <w:r w:rsidR="00C25C85" w:rsidRPr="00BC31E0">
        <w:rPr>
          <w:rFonts w:hint="eastAsia"/>
        </w:rPr>
        <w:t>：</w:t>
      </w:r>
      <w:r w:rsidR="00C25C85" w:rsidRPr="00BC31E0">
        <w:rPr>
          <w:rFonts w:hint="eastAsia"/>
        </w:rPr>
        <w:t xml:space="preserve"> </w:t>
      </w:r>
      <m:oMath>
        <m:r>
          <w:rPr>
            <w:rFonts w:ascii="Cambria Math" w:hAnsi="Cambria Math" w:hint="eastAsia"/>
            <w:szCs w:val="24"/>
            <w:vertAlign w:val="subscript"/>
          </w:rPr>
          <m:t>k</m:t>
        </m:r>
      </m:oMath>
      <w:r w:rsidR="00C25C85" w:rsidRPr="00BC31E0">
        <w:rPr>
          <w:rFonts w:hint="eastAsia"/>
        </w:rPr>
        <w:t>番目の荷重増加での最大許容相当塑性ひずみ</w:t>
      </w:r>
      <w:r w:rsidR="00C25C85" w:rsidRPr="00BC31E0">
        <w:rPr>
          <w:rFonts w:hint="eastAsia"/>
        </w:rPr>
        <w:t xml:space="preserve"> (</w:t>
      </w:r>
      <w:r w:rsidR="00C25C85" w:rsidRPr="00BC31E0">
        <w:rPr>
          <w:rFonts w:ascii="ＭＳ ゴシック" w:eastAsia="ＭＳ ゴシック"/>
          <w:b/>
        </w:rPr>
        <w:t>6.</w:t>
      </w:r>
      <w:r w:rsidR="00C25C85" w:rsidRPr="00BC31E0">
        <w:rPr>
          <w:rFonts w:ascii="ＭＳ ゴシック" w:eastAsia="ＭＳ ゴシック" w:hint="eastAsia"/>
          <w:b/>
        </w:rPr>
        <w:t>2</w:t>
      </w:r>
      <w:r w:rsidR="00C25C85" w:rsidRPr="00BC31E0">
        <w:rPr>
          <w:rFonts w:ascii="ＭＳ ゴシック" w:eastAsia="ＭＳ ゴシック"/>
          <w:b/>
        </w:rPr>
        <w:t>.3</w:t>
      </w:r>
      <w:r w:rsidR="00C25C85" w:rsidRPr="00BC31E0">
        <w:rPr>
          <w:rFonts w:hint="eastAsia"/>
        </w:rPr>
        <w:t>)</w:t>
      </w:r>
    </w:p>
    <w:p w14:paraId="08CE7CC1"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hint="eastAsia"/>
              </w:rPr>
              <m:t>ε</m:t>
            </m:r>
          </m:e>
          <m:sub>
            <m:r>
              <w:rPr>
                <w:rFonts w:ascii="Cambria Math" w:hAnsi="Cambria Math"/>
              </w:rPr>
              <m:t>L</m:t>
            </m:r>
            <m:r>
              <w:rPr>
                <w:rFonts w:ascii="Cambria Math" w:hAnsi="Cambria Math" w:hint="eastAsia"/>
              </w:rPr>
              <m:t>u</m:t>
            </m:r>
          </m:sub>
        </m:sSub>
      </m:oMath>
      <w:r w:rsidR="00C25C85" w:rsidRPr="00BC31E0">
        <w:tab/>
      </w:r>
      <w:r w:rsidR="00C25C85" w:rsidRPr="00BC31E0">
        <w:rPr>
          <w:rFonts w:hint="eastAsia"/>
        </w:rPr>
        <w:t>：</w:t>
      </w:r>
      <w:r w:rsidR="00C25C85" w:rsidRPr="00BC31E0">
        <w:rPr>
          <w:rFonts w:hint="eastAsia"/>
        </w:rPr>
        <w:t xml:space="preserve"> </w:t>
      </w:r>
      <m:oMath>
        <m:sSup>
          <m:sSupPr>
            <m:ctrlPr>
              <w:rPr>
                <w:rFonts w:ascii="Cambria Math" w:eastAsiaTheme="minorEastAsia" w:hAnsi="Cambria Math"/>
                <w:i/>
              </w:rPr>
            </m:ctrlPr>
          </m:sSupPr>
          <m:e>
            <m:r>
              <w:rPr>
                <w:rFonts w:ascii="Cambria Math" w:eastAsiaTheme="minorEastAsia" w:hAnsi="Cambria Math" w:hint="eastAsia"/>
              </w:rPr>
              <m:t>m</m:t>
            </m:r>
          </m:e>
          <m:sup>
            <m:r>
              <w:rPr>
                <w:rFonts w:ascii="Cambria Math" w:eastAsiaTheme="minorEastAsia" w:hAnsi="Cambria Math" w:hint="eastAsia"/>
              </w:rPr>
              <m:t>2</m:t>
            </m:r>
          </m:sup>
        </m:sSup>
      </m:oMath>
      <w:r w:rsidR="00C25C85" w:rsidRPr="00BC31E0">
        <w:rPr>
          <w:rFonts w:asciiTheme="minorEastAsia" w:eastAsiaTheme="minorEastAsia" w:hAnsiTheme="minorEastAsia" w:hint="eastAsia"/>
        </w:rPr>
        <w:t>，</w:t>
      </w:r>
      <m:oMath>
        <m:sSup>
          <m:sSupPr>
            <m:ctrlPr>
              <w:rPr>
                <w:rFonts w:ascii="Cambria Math" w:eastAsiaTheme="minorEastAsia" w:hAnsi="Cambria Math"/>
                <w:i/>
              </w:rPr>
            </m:ctrlPr>
          </m:sSupPr>
          <m:e>
            <m:r>
              <w:rPr>
                <w:rFonts w:ascii="Cambria Math" w:eastAsiaTheme="minorEastAsia" w:hAnsi="Cambria Math" w:hint="eastAsia"/>
              </w:rPr>
              <m:t>m</m:t>
            </m:r>
          </m:e>
          <m:sup>
            <m:r>
              <w:rPr>
                <w:rFonts w:ascii="Cambria Math" w:eastAsiaTheme="minorEastAsia" w:hAnsi="Cambria Math" w:hint="eastAsia"/>
              </w:rPr>
              <m:t>3</m:t>
            </m:r>
          </m:sup>
        </m:sSup>
      </m:oMath>
      <w:r w:rsidR="00C25C85" w:rsidRPr="00BC31E0">
        <w:rPr>
          <w:rFonts w:asciiTheme="minorEastAsia" w:eastAsiaTheme="minorEastAsia" w:hAnsiTheme="minorEastAsia" w:hint="eastAsia"/>
        </w:rPr>
        <w:t>，</w:t>
      </w:r>
      <m:oMath>
        <m:sSup>
          <m:sSupPr>
            <m:ctrlPr>
              <w:rPr>
                <w:rFonts w:ascii="Cambria Math" w:eastAsiaTheme="minorEastAsia" w:hAnsi="Cambria Math"/>
                <w:i/>
              </w:rPr>
            </m:ctrlPr>
          </m:sSupPr>
          <m:e>
            <m:r>
              <w:rPr>
                <w:rFonts w:ascii="Cambria Math" w:eastAsiaTheme="minorEastAsia" w:hAnsi="Cambria Math" w:hint="eastAsia"/>
              </w:rPr>
              <m:t>m</m:t>
            </m:r>
          </m:e>
          <m:sup>
            <m:r>
              <w:rPr>
                <w:rFonts w:ascii="Cambria Math" w:eastAsiaTheme="minorEastAsia" w:hAnsi="Cambria Math" w:hint="eastAsia"/>
              </w:rPr>
              <m:t>4</m:t>
            </m:r>
          </m:sup>
        </m:sSup>
        <m:r>
          <w:rPr>
            <w:rFonts w:ascii="Cambria Math" w:eastAsiaTheme="minorEastAsia" w:hAnsi="Cambria Math" w:hint="eastAsia"/>
          </w:rPr>
          <m:t xml:space="preserve"> </m:t>
        </m:r>
      </m:oMath>
      <w:r w:rsidR="00C25C85" w:rsidRPr="00BC31E0">
        <w:rPr>
          <w:rFonts w:asciiTheme="minorEastAsia" w:eastAsiaTheme="minorEastAsia" w:hAnsiTheme="minorEastAsia" w:hint="eastAsia"/>
        </w:rPr>
        <w:t xml:space="preserve">の最大値 </w:t>
      </w:r>
      <w:r w:rsidR="00C25C85" w:rsidRPr="00BC31E0">
        <w:rPr>
          <w:rFonts w:hint="eastAsia"/>
        </w:rPr>
        <w:t>(</w:t>
      </w:r>
      <w:r w:rsidR="00C25C85" w:rsidRPr="00BC31E0">
        <w:rPr>
          <w:rFonts w:ascii="ＭＳ ゴシック" w:eastAsia="ＭＳ ゴシック"/>
          <w:b/>
        </w:rPr>
        <w:t>6.</w:t>
      </w:r>
      <w:r w:rsidR="00C25C85" w:rsidRPr="00BC31E0">
        <w:rPr>
          <w:rFonts w:ascii="ＭＳ ゴシック" w:eastAsia="ＭＳ ゴシック" w:hint="eastAsia"/>
          <w:b/>
        </w:rPr>
        <w:t>2</w:t>
      </w:r>
      <w:r w:rsidR="00C25C85" w:rsidRPr="00BC31E0">
        <w:rPr>
          <w:rFonts w:ascii="ＭＳ ゴシック" w:eastAsia="ＭＳ ゴシック"/>
          <w:b/>
        </w:rPr>
        <w:t>.3</w:t>
      </w:r>
      <w:r w:rsidR="00C25C85" w:rsidRPr="00BC31E0">
        <w:rPr>
          <w:rFonts w:hint="eastAsia"/>
        </w:rPr>
        <w:t>)</w:t>
      </w:r>
    </w:p>
    <w:p w14:paraId="7494B7E0"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ε</m:t>
            </m:r>
          </m:e>
          <m:sub>
            <m:r>
              <w:rPr>
                <w:rFonts w:ascii="Cambria Math" w:hAnsi="Cambria Math"/>
              </w:rPr>
              <m:t>m</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最大自緊圧力</w:t>
      </w:r>
      <m:oMath>
        <m:sSub>
          <m:sSubPr>
            <m:ctrlPr>
              <w:rPr>
                <w:rFonts w:ascii="Cambria Math" w:hAnsi="Cambria Math"/>
                <w:i/>
              </w:rPr>
            </m:ctrlPr>
          </m:sSubPr>
          <m:e>
            <m:r>
              <w:rPr>
                <w:rFonts w:ascii="Cambria Math" w:hAnsi="Cambria Math"/>
              </w:rPr>
              <m:t xml:space="preserve"> P</m:t>
            </m:r>
          </m:e>
          <m:sub>
            <m:r>
              <w:rPr>
                <w:rFonts w:ascii="Cambria Math" w:hAnsi="Cambria Math"/>
              </w:rPr>
              <m:t>A</m:t>
            </m:r>
          </m:sub>
        </m:sSub>
        <m:r>
          <w:rPr>
            <w:rFonts w:ascii="Cambria Math" w:hAnsi="Cambria Math"/>
          </w:rPr>
          <m:t xml:space="preserve"> </m:t>
        </m:r>
      </m:oMath>
      <w:r w:rsidR="00C25C85" w:rsidRPr="00BC31E0">
        <w:rPr>
          <w:rFonts w:hint="eastAsia"/>
        </w:rPr>
        <w:t>時に，</w:t>
      </w:r>
      <w:r w:rsidR="00C25C85" w:rsidRPr="00BC31E0">
        <w:rPr>
          <w:rFonts w:asciiTheme="minorHAnsi" w:hAnsiTheme="minorHAnsi"/>
        </w:rPr>
        <w:t>3</w:t>
      </w:r>
      <w:r w:rsidR="00C25C85" w:rsidRPr="00BC31E0">
        <w:rPr>
          <w:rFonts w:hint="eastAsia"/>
        </w:rPr>
        <w:t>点以上の長手軸方向外面位置で計測した周方向最大ひずみの平均値</w:t>
      </w:r>
      <w:r w:rsidR="00C25C85" w:rsidRPr="00BC31E0">
        <w:rPr>
          <w:rFonts w:hint="eastAsia"/>
        </w:rPr>
        <w:t xml:space="preserve"> (</w:t>
      </w:r>
      <w:r w:rsidR="00C25C85" w:rsidRPr="00BC31E0">
        <w:rPr>
          <w:rFonts w:ascii="ＭＳ ゴシック" w:eastAsia="ＭＳ ゴシック"/>
          <w:b/>
        </w:rPr>
        <w:t>6.5.3</w:t>
      </w:r>
      <w:r w:rsidR="00C25C85" w:rsidRPr="00BC31E0">
        <w:rPr>
          <w:rFonts w:hint="eastAsia"/>
        </w:rPr>
        <w:t>)</w:t>
      </w:r>
    </w:p>
    <w:p w14:paraId="085EFC52"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ε</m:t>
            </m:r>
          </m:e>
          <m:sub>
            <m:r>
              <w:rPr>
                <w:rFonts w:ascii="Cambria Math" w:hAnsi="Cambria Math"/>
              </w:rPr>
              <m:t>p</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自緊圧力開放後に，</w:t>
      </w:r>
      <w:r w:rsidR="00C25C85" w:rsidRPr="00BC31E0">
        <w:rPr>
          <w:rFonts w:asciiTheme="minorHAnsi" w:hAnsiTheme="minorHAnsi"/>
        </w:rPr>
        <w:t>3</w:t>
      </w:r>
      <w:r w:rsidR="00C25C85" w:rsidRPr="00BC31E0">
        <w:rPr>
          <w:rFonts w:hint="eastAsia"/>
        </w:rPr>
        <w:t>点以上の長手軸方向内面位置で計測した周方向残留ひずみの平均値</w:t>
      </w:r>
      <w:r w:rsidR="00C25C85" w:rsidRPr="00BC31E0">
        <w:rPr>
          <w:rFonts w:hint="eastAsia"/>
        </w:rPr>
        <w:t xml:space="preserve"> (</w:t>
      </w:r>
      <w:r w:rsidR="00C25C85" w:rsidRPr="00BC31E0">
        <w:rPr>
          <w:rFonts w:ascii="ＭＳ ゴシック" w:eastAsia="ＭＳ ゴシック"/>
          <w:b/>
        </w:rPr>
        <w:t>6.5.3</w:t>
      </w:r>
      <w:r w:rsidR="00C25C85" w:rsidRPr="00BC31E0">
        <w:rPr>
          <w:rFonts w:hint="eastAsia"/>
        </w:rPr>
        <w:t>)</w:t>
      </w:r>
    </w:p>
    <w:p w14:paraId="3F0297A7" w14:textId="77777777" w:rsidR="00C25C85" w:rsidRPr="00BC31E0" w:rsidRDefault="00C25C85" w:rsidP="008234D1">
      <w:pPr>
        <w:tabs>
          <w:tab w:val="left" w:pos="1276"/>
        </w:tabs>
        <w:autoSpaceDE w:val="0"/>
        <w:autoSpaceDN w:val="0"/>
        <w:ind w:left="1588" w:hanging="1021"/>
      </w:pPr>
      <w:r w:rsidRPr="00BC31E0">
        <w:rPr>
          <w:rFonts w:hint="eastAsia"/>
        </w:rPr>
        <w:t xml:space="preserve">　　</w:t>
      </w:r>
      <w:r w:rsidRPr="00BC31E0">
        <w:rPr>
          <w:rFonts w:hint="eastAsia"/>
        </w:rPr>
        <w:t xml:space="preserve"> </w:t>
      </w:r>
      <w:r w:rsidRPr="00BC31E0">
        <w:rPr>
          <w:rFonts w:hint="eastAsia"/>
        </w:rPr>
        <w:tab/>
      </w:r>
      <w:r w:rsidRPr="00BC31E0">
        <w:rPr>
          <w:rFonts w:hint="eastAsia"/>
        </w:rPr>
        <w:t>：</w:t>
      </w:r>
      <w:r w:rsidRPr="00BC31E0">
        <w:rPr>
          <w:rFonts w:hint="eastAsia"/>
        </w:rPr>
        <w:t xml:space="preserve"> </w:t>
      </w:r>
      <w:r w:rsidRPr="00BC31E0">
        <w:rPr>
          <w:rFonts w:hint="eastAsia"/>
        </w:rPr>
        <w:t>真応力－真ひずみ曲線における材料特性値</w:t>
      </w:r>
      <w:r w:rsidRPr="00BC31E0">
        <w:rPr>
          <w:rFonts w:hint="eastAsia"/>
        </w:rPr>
        <w:t xml:space="preserve"> (</w:t>
      </w:r>
      <w:r w:rsidRPr="00BC31E0">
        <w:rPr>
          <w:rFonts w:ascii="ＭＳ ゴシック" w:eastAsia="ＭＳ ゴシック" w:hint="eastAsia"/>
          <w:b/>
        </w:rPr>
        <w:t>附属書D 2</w:t>
      </w:r>
      <w:r w:rsidRPr="00BC31E0">
        <w:rPr>
          <w:rFonts w:hint="eastAsia"/>
        </w:rPr>
        <w:t>)</w:t>
      </w:r>
    </w:p>
    <w:p w14:paraId="6180AE8B" w14:textId="77777777" w:rsidR="00C25C85" w:rsidRPr="00BC31E0" w:rsidRDefault="00A51873" w:rsidP="008234D1">
      <w:pPr>
        <w:tabs>
          <w:tab w:val="left" w:pos="1276"/>
        </w:tabs>
        <w:autoSpaceDE w:val="0"/>
        <w:autoSpaceDN w:val="0"/>
        <w:ind w:left="1588" w:hanging="1021"/>
        <w:rPr>
          <w:rFonts w:ascii="ＭＳ ゴシック" w:eastAsia="ＭＳ ゴシック"/>
          <w:b/>
        </w:rPr>
      </w:pPr>
      <m:oMath>
        <m:sSub>
          <m:sSubPr>
            <m:ctrlPr>
              <w:rPr>
                <w:rFonts w:ascii="Cambria Math" w:hAnsi="Cambria Math"/>
                <w:i/>
              </w:rPr>
            </m:ctrlPr>
          </m:sSubPr>
          <m:e>
            <m:acc>
              <m:accPr>
                <m:chr m:val="̅"/>
                <m:ctrlPr>
                  <w:rPr>
                    <w:rFonts w:ascii="Cambria Math" w:hAnsi="Cambria Math"/>
                    <w:i/>
                  </w:rPr>
                </m:ctrlPr>
              </m:accPr>
              <m:e>
                <m:r>
                  <w:rPr>
                    <w:rFonts w:ascii="Cambria Math" w:hAnsi="Cambria Math" w:hint="eastAsia"/>
                  </w:rPr>
                  <m:t>ε</m:t>
                </m:r>
              </m:e>
            </m:acc>
          </m:e>
          <m:sub>
            <m:r>
              <w:rPr>
                <w:rFonts w:ascii="Cambria Math" w:hAnsi="Cambria Math" w:hint="eastAsia"/>
              </w:rPr>
              <m:t>p</m:t>
            </m:r>
          </m:sub>
        </m:sSub>
        <m:r>
          <w:rPr>
            <w:rFonts w:ascii="Cambria Math" w:hAnsi="Cambria Math" w:hint="eastAsia"/>
          </w:rPr>
          <m:t xml:space="preserve">　</m:t>
        </m:r>
      </m:oMath>
      <w:r w:rsidR="00C25C85" w:rsidRPr="00BC31E0">
        <w:rPr>
          <w:rFonts w:hint="eastAsia"/>
          <w:vertAlign w:val="subscript"/>
        </w:rPr>
        <w:tab/>
        <w:t xml:space="preserve"> </w:t>
      </w:r>
      <w:r w:rsidR="00C25C85" w:rsidRPr="00BC31E0">
        <w:rPr>
          <w:rFonts w:hint="eastAsia"/>
        </w:rPr>
        <w:t xml:space="preserve">:  </w:t>
      </w:r>
      <w:r w:rsidR="00C25C85" w:rsidRPr="00BC31E0">
        <w:rPr>
          <w:rFonts w:hint="eastAsia"/>
        </w:rPr>
        <w:t>弾塑性解析によるミーゼスの相当塑性ひずみ</w:t>
      </w:r>
      <w:r w:rsidR="00C25C85" w:rsidRPr="00BC31E0">
        <w:rPr>
          <w:rFonts w:hint="eastAsia"/>
        </w:rPr>
        <w:t>(</w:t>
      </w:r>
      <w:r w:rsidR="00C25C85" w:rsidRPr="00BC31E0">
        <w:rPr>
          <w:rFonts w:ascii="ＭＳ ゴシック" w:eastAsia="ＭＳ ゴシック" w:hint="eastAsia"/>
          <w:b/>
        </w:rPr>
        <w:t>附属書J</w:t>
      </w:r>
      <w:r w:rsidR="00C25C85" w:rsidRPr="00BC31E0">
        <w:rPr>
          <w:rFonts w:ascii="ＭＳ ゴシック" w:eastAsia="ＭＳ ゴシック"/>
          <w:b/>
        </w:rPr>
        <w:t xml:space="preserve"> 1</w:t>
      </w:r>
      <w:r w:rsidR="00C25C85" w:rsidRPr="00BC31E0">
        <w:rPr>
          <w:rFonts w:hint="eastAsia"/>
        </w:rPr>
        <w:t>)</w:t>
      </w:r>
    </w:p>
    <w:p w14:paraId="20B4F246"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ε</m:t>
            </m:r>
          </m:e>
          <m:sub>
            <m:r>
              <w:rPr>
                <w:rFonts w:ascii="Cambria Math" w:hAnsi="Cambria Math"/>
              </w:rPr>
              <m:t>t</m:t>
            </m:r>
          </m:sub>
        </m:sSub>
      </m:oMath>
      <w:r w:rsidR="00C25C85" w:rsidRPr="00BC31E0">
        <w:rPr>
          <w:rFonts w:hint="eastAsia"/>
          <w:vertAlign w:val="subscript"/>
        </w:rPr>
        <w:tab/>
      </w:r>
      <w:r w:rsidR="00C25C85" w:rsidRPr="00BC31E0">
        <w:rPr>
          <w:rFonts w:hint="eastAsia"/>
        </w:rPr>
        <w:t>：</w:t>
      </w:r>
      <w:r w:rsidR="00C25C85" w:rsidRPr="00BC31E0">
        <w:rPr>
          <w:rFonts w:hint="eastAsia"/>
        </w:rPr>
        <w:t xml:space="preserve"> </w:t>
      </w:r>
      <w:r w:rsidR="00C25C85" w:rsidRPr="00BC31E0">
        <w:rPr>
          <w:rFonts w:hint="eastAsia"/>
        </w:rPr>
        <w:t>真ひずみ</w:t>
      </w:r>
      <w:r w:rsidR="00C25C85" w:rsidRPr="00BC31E0">
        <w:rPr>
          <w:rFonts w:hint="eastAsia"/>
        </w:rPr>
        <w:t xml:space="preserve"> (</w:t>
      </w:r>
      <w:r w:rsidR="00C25C85" w:rsidRPr="00BC31E0">
        <w:rPr>
          <w:rFonts w:ascii="ＭＳ ゴシック" w:eastAsia="ＭＳ ゴシック" w:hint="eastAsia"/>
          <w:b/>
        </w:rPr>
        <w:t>附属書D 2</w:t>
      </w:r>
      <w:r w:rsidR="00C25C85" w:rsidRPr="00BC31E0">
        <w:rPr>
          <w:rFonts w:hint="eastAsia"/>
        </w:rPr>
        <w:t>)</w:t>
      </w:r>
    </w:p>
    <w:p w14:paraId="58BF30DC"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ε</m:t>
            </m:r>
          </m:e>
          <m:sub>
            <m:r>
              <w:rPr>
                <w:rFonts w:ascii="Cambria Math" w:hAnsi="Cambria Math"/>
              </w:rPr>
              <m:t>ta</m:t>
            </m:r>
          </m:sub>
        </m:sSub>
      </m:oMath>
      <w:r w:rsidR="00C25C85" w:rsidRPr="00BC31E0">
        <w:rPr>
          <w:rFonts w:hint="eastAsia"/>
          <w:position w:val="-6"/>
          <w:szCs w:val="24"/>
        </w:rPr>
        <w:tab/>
      </w:r>
      <w:r w:rsidR="00C25C85" w:rsidRPr="00BC31E0">
        <w:rPr>
          <w:rFonts w:hint="eastAsia"/>
        </w:rPr>
        <w:t>：</w:t>
      </w:r>
      <w:r w:rsidR="00C25C85" w:rsidRPr="00BC31E0">
        <w:rPr>
          <w:rFonts w:hint="eastAsia"/>
        </w:rPr>
        <w:t xml:space="preserve"> </w:t>
      </w:r>
      <w:r w:rsidR="00C25C85" w:rsidRPr="00BC31E0">
        <w:rPr>
          <w:rFonts w:hint="eastAsia"/>
        </w:rPr>
        <w:t>全ひずみ振幅</w:t>
      </w:r>
      <w:r w:rsidR="00C25C85" w:rsidRPr="00BC31E0">
        <w:rPr>
          <w:rFonts w:hint="eastAsia"/>
        </w:rPr>
        <w:t xml:space="preserve"> (</w:t>
      </w:r>
      <w:r w:rsidR="00C25C85" w:rsidRPr="00BC31E0">
        <w:rPr>
          <w:rFonts w:ascii="ＭＳ ゴシック" w:eastAsia="ＭＳ ゴシック" w:hint="eastAsia"/>
          <w:b/>
        </w:rPr>
        <w:t>附属書</w:t>
      </w:r>
      <w:r w:rsidR="00C25C85" w:rsidRPr="00BC31E0">
        <w:rPr>
          <w:rFonts w:ascii="ＭＳ ゴシック" w:eastAsia="ＭＳ ゴシック"/>
          <w:b/>
        </w:rPr>
        <w:t>D 3</w:t>
      </w:r>
      <w:r w:rsidR="00C25C85" w:rsidRPr="00BC31E0">
        <w:rPr>
          <w:rFonts w:hint="eastAsia"/>
        </w:rPr>
        <w:t>)</w:t>
      </w:r>
    </w:p>
    <w:p w14:paraId="39C24210" w14:textId="77777777" w:rsidR="00C25C85" w:rsidRPr="00BC31E0" w:rsidRDefault="00A51873" w:rsidP="008234D1">
      <w:pPr>
        <w:tabs>
          <w:tab w:val="left" w:pos="1134"/>
          <w:tab w:val="left" w:pos="1276"/>
        </w:tabs>
        <w:autoSpaceDE w:val="0"/>
        <w:autoSpaceDN w:val="0"/>
        <w:ind w:left="1588" w:hanging="1021"/>
      </w:pPr>
      <m:oMath>
        <m:sSub>
          <m:sSubPr>
            <m:ctrlPr>
              <w:rPr>
                <w:rFonts w:ascii="Cambria Math" w:hAnsi="Cambria Math"/>
                <w:i/>
              </w:rPr>
            </m:ctrlPr>
          </m:sSubPr>
          <m:e>
            <m:r>
              <w:rPr>
                <w:rFonts w:ascii="Cambria Math" w:hAnsi="Cambria Math"/>
              </w:rPr>
              <m:t>ε</m:t>
            </m:r>
          </m:e>
          <m:sub>
            <m:r>
              <w:rPr>
                <w:rFonts w:ascii="Cambria Math" w:hAnsi="Cambria Math"/>
              </w:rPr>
              <m:t>tr</m:t>
            </m:r>
          </m:sub>
        </m:sSub>
      </m:oMath>
      <w:r w:rsidR="00C25C85" w:rsidRPr="00BC31E0">
        <w:rPr>
          <w:szCs w:val="24"/>
          <w:vertAlign w:val="subscript"/>
        </w:rPr>
        <w:tab/>
      </w:r>
      <w:r w:rsidR="00C25C85" w:rsidRPr="00BC31E0">
        <w:rPr>
          <w:rFonts w:hint="eastAsia"/>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全ひずみ範囲</w:t>
      </w:r>
      <w:r w:rsidR="00C25C85" w:rsidRPr="00BC31E0">
        <w:rPr>
          <w:rFonts w:hint="eastAsia"/>
        </w:rPr>
        <w:t xml:space="preserve"> (</w:t>
      </w:r>
      <w:r w:rsidR="00C25C85" w:rsidRPr="00BC31E0">
        <w:rPr>
          <w:rFonts w:ascii="ＭＳ ゴシック" w:eastAsia="ＭＳ ゴシック" w:hint="eastAsia"/>
          <w:b/>
        </w:rPr>
        <w:t>附属書</w:t>
      </w:r>
      <w:r w:rsidR="00C25C85" w:rsidRPr="00BC31E0">
        <w:rPr>
          <w:rFonts w:ascii="ＭＳ ゴシック" w:eastAsia="ＭＳ ゴシック"/>
          <w:b/>
        </w:rPr>
        <w:t>D 3</w:t>
      </w:r>
      <w:r w:rsidR="00C25C85" w:rsidRPr="00BC31E0">
        <w:rPr>
          <w:rFonts w:hint="eastAsia"/>
        </w:rPr>
        <w:t>)</w:t>
      </w:r>
    </w:p>
    <w:p w14:paraId="6C6D26FE"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ε</m:t>
            </m:r>
          </m:e>
          <m:sub>
            <m:r>
              <w:rPr>
                <w:rFonts w:ascii="Cambria Math" w:hAnsi="Cambria Math"/>
              </w:rPr>
              <m:t>ys</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当該温度における降伏ひずみ</w:t>
      </w:r>
      <w:r w:rsidR="00C25C85" w:rsidRPr="00BC31E0">
        <w:rPr>
          <w:rFonts w:hint="eastAsia"/>
        </w:rPr>
        <w:t xml:space="preserve"> (</w:t>
      </w:r>
      <w:r w:rsidR="00C25C85" w:rsidRPr="00BC31E0">
        <w:rPr>
          <w:rFonts w:ascii="ＭＳ ゴシック" w:eastAsia="ＭＳ ゴシック" w:hint="eastAsia"/>
          <w:b/>
        </w:rPr>
        <w:t>附属書</w:t>
      </w:r>
      <w:r w:rsidR="00C25C85" w:rsidRPr="00BC31E0">
        <w:rPr>
          <w:rFonts w:ascii="ＭＳ ゴシック" w:eastAsia="ＭＳ ゴシック"/>
          <w:b/>
        </w:rPr>
        <w:t>D 2</w:t>
      </w:r>
      <w:r w:rsidR="00C25C85" w:rsidRPr="00BC31E0">
        <w:rPr>
          <w:rFonts w:hint="eastAsia"/>
        </w:rPr>
        <w:t>)</w:t>
      </w:r>
    </w:p>
    <w:p w14:paraId="327DCD8B"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ε</m:t>
            </m:r>
          </m:e>
          <m:sub>
            <m:r>
              <w:rPr>
                <w:rFonts w:ascii="Cambria Math" w:hAnsi="Cambria Math"/>
              </w:rPr>
              <m:t>1</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応力－ひずみ曲線の微小ひずみ領域の真塑性ひずみ</w:t>
      </w:r>
      <w:r w:rsidR="00C25C85" w:rsidRPr="00BC31E0">
        <w:rPr>
          <w:rFonts w:hint="eastAsia"/>
        </w:rPr>
        <w:t xml:space="preserve"> (</w:t>
      </w:r>
      <w:r w:rsidR="00C25C85" w:rsidRPr="00BC31E0">
        <w:rPr>
          <w:rFonts w:ascii="ＭＳ ゴシック" w:eastAsia="ＭＳ ゴシック" w:hint="eastAsia"/>
          <w:b/>
        </w:rPr>
        <w:t>附属書</w:t>
      </w:r>
      <w:r w:rsidR="00C25C85" w:rsidRPr="00BC31E0">
        <w:rPr>
          <w:rFonts w:ascii="ＭＳ ゴシック" w:eastAsia="ＭＳ ゴシック"/>
          <w:b/>
        </w:rPr>
        <w:t>D 2</w:t>
      </w:r>
      <w:r w:rsidR="00C25C85" w:rsidRPr="00BC31E0">
        <w:rPr>
          <w:rFonts w:hint="eastAsia"/>
        </w:rPr>
        <w:t>)</w:t>
      </w:r>
    </w:p>
    <w:p w14:paraId="1F431D4C"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ε</m:t>
            </m:r>
          </m:e>
          <m:sub>
            <m:r>
              <w:rPr>
                <w:rFonts w:ascii="Cambria Math" w:hAnsi="Cambria Math"/>
              </w:rPr>
              <m:t>2</m:t>
            </m:r>
          </m:sub>
        </m:sSub>
      </m:oMath>
      <w:r w:rsidR="00C25C85" w:rsidRPr="00BC31E0">
        <w:rPr>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応力－ひずみ曲線のマクロひずみ領域の真塑性ひずみ</w:t>
      </w:r>
      <w:r w:rsidR="00C25C85" w:rsidRPr="00BC31E0">
        <w:rPr>
          <w:rFonts w:hint="eastAsia"/>
        </w:rPr>
        <w:t xml:space="preserve"> (</w:t>
      </w:r>
      <w:r w:rsidR="00C25C85" w:rsidRPr="00BC31E0">
        <w:rPr>
          <w:rFonts w:ascii="ＭＳ ゴシック" w:eastAsia="ＭＳ ゴシック" w:hint="eastAsia"/>
          <w:b/>
        </w:rPr>
        <w:t>附属書</w:t>
      </w:r>
      <w:r w:rsidR="00C25C85" w:rsidRPr="00BC31E0">
        <w:rPr>
          <w:rFonts w:ascii="ＭＳ ゴシック" w:eastAsia="ＭＳ ゴシック"/>
          <w:b/>
        </w:rPr>
        <w:t>D 2</w:t>
      </w:r>
      <w:r w:rsidR="00C25C85" w:rsidRPr="00BC31E0">
        <w:rPr>
          <w:rFonts w:hint="eastAsia"/>
        </w:rPr>
        <w:t>)</w:t>
      </w:r>
    </w:p>
    <w:p w14:paraId="6CC7B13E" w14:textId="77777777" w:rsidR="00C25C85" w:rsidRPr="00BC31E0" w:rsidRDefault="00C25C85" w:rsidP="008234D1">
      <w:pPr>
        <w:tabs>
          <w:tab w:val="left" w:pos="1276"/>
        </w:tabs>
        <w:autoSpaceDE w:val="0"/>
        <w:autoSpaceDN w:val="0"/>
        <w:ind w:left="1588" w:hanging="1021"/>
      </w:pPr>
      <m:oMath>
        <m:r>
          <w:rPr>
            <w:rFonts w:ascii="Cambria Math" w:hAnsi="Cambria Math"/>
          </w:rPr>
          <m:t>μ</m:t>
        </m:r>
      </m:oMath>
      <w:r w:rsidRPr="00BC31E0">
        <w:tab/>
      </w:r>
      <w:r w:rsidRPr="00BC31E0">
        <w:rPr>
          <w:rFonts w:hint="eastAsia"/>
        </w:rPr>
        <w:t>：</w:t>
      </w:r>
      <w:r w:rsidRPr="00BC31E0">
        <w:rPr>
          <w:rFonts w:hint="eastAsia"/>
        </w:rPr>
        <w:t xml:space="preserve"> </w:t>
      </w:r>
      <w:r w:rsidRPr="00BC31E0">
        <w:rPr>
          <w:rFonts w:hint="eastAsia"/>
        </w:rPr>
        <w:t>摩擦角</w:t>
      </w:r>
      <w:r w:rsidRPr="00BC31E0">
        <w:rPr>
          <w:rFonts w:hint="eastAsia"/>
        </w:rPr>
        <w:t>(</w:t>
      </w:r>
      <w:r w:rsidRPr="00BC31E0">
        <w:rPr>
          <w:rFonts w:hint="eastAsia"/>
        </w:rPr>
        <w:t>度</w:t>
      </w:r>
      <w:r w:rsidRPr="00BC31E0">
        <w:rPr>
          <w:rFonts w:hint="eastAsia"/>
        </w:rPr>
        <w:t>) (</w:t>
      </w:r>
      <w:r w:rsidRPr="00BC31E0">
        <w:rPr>
          <w:rFonts w:ascii="ＭＳ ゴシック" w:eastAsia="ＭＳ ゴシック" w:hint="eastAsia"/>
          <w:b/>
        </w:rPr>
        <w:t>附属書</w:t>
      </w:r>
      <w:r w:rsidRPr="00BC31E0">
        <w:rPr>
          <w:rFonts w:ascii="ＭＳ ゴシック" w:eastAsia="ＭＳ ゴシック"/>
          <w:b/>
        </w:rPr>
        <w:t>H 3</w:t>
      </w:r>
      <w:r w:rsidRPr="00BC31E0">
        <w:rPr>
          <w:rFonts w:hint="eastAsia"/>
        </w:rPr>
        <w:t>)</w:t>
      </w:r>
    </w:p>
    <w:p w14:paraId="43E7800C" w14:textId="77777777" w:rsidR="00C25C85" w:rsidRPr="00BC31E0" w:rsidRDefault="00C25C85" w:rsidP="008234D1">
      <w:pPr>
        <w:tabs>
          <w:tab w:val="left" w:pos="1276"/>
        </w:tabs>
        <w:autoSpaceDE w:val="0"/>
        <w:autoSpaceDN w:val="0"/>
        <w:ind w:left="1588" w:hanging="1021"/>
      </w:pPr>
      <m:oMath>
        <m:r>
          <w:rPr>
            <w:rFonts w:ascii="Cambria Math" w:hAnsi="Cambria Math" w:hint="eastAsia"/>
          </w:rPr>
          <m:t>ν</m:t>
        </m:r>
      </m:oMath>
      <w:r w:rsidRPr="00BC31E0">
        <w:tab/>
      </w:r>
      <w:r w:rsidRPr="00BC31E0">
        <w:rPr>
          <w:rFonts w:hint="eastAsia"/>
        </w:rPr>
        <w:t>：</w:t>
      </w:r>
      <w:r w:rsidRPr="00BC31E0">
        <w:rPr>
          <w:rFonts w:hint="eastAsia"/>
        </w:rPr>
        <w:t xml:space="preserve"> </w:t>
      </w:r>
      <w:r w:rsidRPr="00BC31E0">
        <w:rPr>
          <w:rFonts w:hint="eastAsia"/>
        </w:rPr>
        <w:t>ポアソン比</w:t>
      </w:r>
      <w:r w:rsidRPr="00BC31E0">
        <w:rPr>
          <w:rFonts w:hint="eastAsia"/>
        </w:rPr>
        <w:t xml:space="preserve"> (</w:t>
      </w:r>
      <w:r w:rsidRPr="00BC31E0">
        <w:rPr>
          <w:rFonts w:asciiTheme="majorEastAsia" w:eastAsiaTheme="majorEastAsia" w:hAnsiTheme="majorEastAsia"/>
          <w:b/>
        </w:rPr>
        <w:t>6.2.2</w:t>
      </w:r>
      <w:r w:rsidRPr="00BC31E0">
        <w:rPr>
          <w:rFonts w:hint="eastAsia"/>
        </w:rPr>
        <w:t>，</w:t>
      </w:r>
      <w:r w:rsidRPr="00BC31E0">
        <w:rPr>
          <w:rFonts w:asciiTheme="majorEastAsia" w:eastAsiaTheme="majorEastAsia" w:hAnsiTheme="majorEastAsia" w:hint="eastAsia"/>
          <w:b/>
          <w:bCs/>
        </w:rPr>
        <w:t>6.5.3</w:t>
      </w:r>
      <w:r w:rsidRPr="00BC31E0">
        <w:rPr>
          <w:rFonts w:asciiTheme="majorEastAsia" w:eastAsiaTheme="majorEastAsia" w:hAnsiTheme="majorEastAsia" w:hint="eastAsia"/>
        </w:rPr>
        <w:t>，</w:t>
      </w:r>
      <w:r w:rsidRPr="00BC31E0">
        <w:rPr>
          <w:rFonts w:ascii="ＭＳ ゴシック" w:eastAsia="ＭＳ ゴシック"/>
          <w:b/>
        </w:rPr>
        <w:t>6.8.3</w:t>
      </w:r>
      <w:r w:rsidRPr="00BC31E0">
        <w:rPr>
          <w:rFonts w:ascii="ＭＳ ゴシック" w:eastAsia="ＭＳ ゴシック" w:hint="eastAsia"/>
          <w:b/>
        </w:rPr>
        <w:t>，7.8.3</w:t>
      </w:r>
      <w:r w:rsidRPr="00BC31E0">
        <w:rPr>
          <w:rFonts w:asciiTheme="minorEastAsia" w:eastAsiaTheme="minorEastAsia" w:hAnsiTheme="minorEastAsia" w:hint="eastAsia"/>
        </w:rPr>
        <w:t>，</w:t>
      </w:r>
      <w:r w:rsidRPr="00BC31E0">
        <w:rPr>
          <w:rFonts w:ascii="ＭＳ ゴシック" w:eastAsia="ＭＳ ゴシック" w:hint="eastAsia"/>
          <w:b/>
        </w:rPr>
        <w:t>附属書C 6</w:t>
      </w:r>
      <w:r w:rsidRPr="00BC31E0">
        <w:rPr>
          <w:rFonts w:hint="eastAsia"/>
        </w:rPr>
        <w:t>)</w:t>
      </w:r>
    </w:p>
    <w:p w14:paraId="23283530"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hint="eastAsia"/>
              </w:rPr>
              <m:t>ν</m:t>
            </m:r>
          </m:e>
          <m:sub>
            <m:r>
              <w:rPr>
                <w:rFonts w:ascii="Cambria Math" w:hAnsi="Cambria Math" w:hint="eastAsia"/>
              </w:rPr>
              <m:t>1</m:t>
            </m:r>
          </m:sub>
        </m:sSub>
      </m:oMath>
      <w:r w:rsidR="00C25C85" w:rsidRPr="00BC31E0">
        <w:rPr>
          <w:rFonts w:hint="eastAsia"/>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内層材料のポアソン比</w:t>
      </w:r>
      <w:r w:rsidR="00C25C85" w:rsidRPr="00BC31E0">
        <w:rPr>
          <w:rFonts w:hint="eastAsia"/>
        </w:rPr>
        <w:t xml:space="preserve"> (</w:t>
      </w:r>
      <w:r w:rsidR="00C25C85" w:rsidRPr="00BC31E0">
        <w:rPr>
          <w:rFonts w:ascii="ＭＳ ゴシック" w:eastAsia="ＭＳ ゴシック"/>
          <w:b/>
        </w:rPr>
        <w:t>6.8.3</w:t>
      </w:r>
      <w:r w:rsidR="00C25C85" w:rsidRPr="00BC31E0">
        <w:rPr>
          <w:rFonts w:hint="eastAsia"/>
        </w:rPr>
        <w:t>)</w:t>
      </w:r>
    </w:p>
    <w:p w14:paraId="588D2A55"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hint="eastAsia"/>
              </w:rPr>
              <m:t>ν</m:t>
            </m:r>
          </m:e>
          <m:sub>
            <m:r>
              <w:rPr>
                <w:rFonts w:ascii="Cambria Math" w:hAnsi="Cambria Math"/>
              </w:rPr>
              <m:t>O</m:t>
            </m:r>
          </m:sub>
        </m:sSub>
      </m:oMath>
      <w:r w:rsidR="00C25C85" w:rsidRPr="00BC31E0">
        <w:rPr>
          <w:rFonts w:hint="eastAsia"/>
          <w:szCs w:val="24"/>
        </w:rPr>
        <w:tab/>
      </w:r>
      <w:r w:rsidR="00C25C85" w:rsidRPr="00BC31E0">
        <w:rPr>
          <w:rFonts w:hint="eastAsia"/>
        </w:rPr>
        <w:t>：</w:t>
      </w:r>
      <w:r w:rsidR="00C25C85" w:rsidRPr="00BC31E0">
        <w:rPr>
          <w:rFonts w:hint="eastAsia"/>
        </w:rPr>
        <w:t xml:space="preserve"> </w:t>
      </w:r>
      <w:r w:rsidR="00C25C85" w:rsidRPr="00BC31E0">
        <w:rPr>
          <w:rFonts w:hint="eastAsia"/>
        </w:rPr>
        <w:t>外層材料のポアソン比</w:t>
      </w:r>
      <w:r w:rsidR="00C25C85" w:rsidRPr="00BC31E0">
        <w:rPr>
          <w:rFonts w:hint="eastAsia"/>
        </w:rPr>
        <w:t xml:space="preserve"> (</w:t>
      </w:r>
      <w:r w:rsidR="00C25C85" w:rsidRPr="00BC31E0">
        <w:rPr>
          <w:rFonts w:ascii="ＭＳ ゴシック" w:eastAsia="ＭＳ ゴシック"/>
          <w:b/>
        </w:rPr>
        <w:t>6.8.3</w:t>
      </w:r>
      <w:r w:rsidR="00C25C85" w:rsidRPr="00BC31E0">
        <w:rPr>
          <w:rFonts w:hint="eastAsia"/>
        </w:rPr>
        <w:t>)</w:t>
      </w:r>
    </w:p>
    <w:p w14:paraId="3A9DEC0D" w14:textId="77777777" w:rsidR="00C25C85" w:rsidRPr="00BC31E0" w:rsidRDefault="00C25C85" w:rsidP="008234D1">
      <w:pPr>
        <w:tabs>
          <w:tab w:val="left" w:pos="1276"/>
        </w:tabs>
        <w:autoSpaceDE w:val="0"/>
        <w:autoSpaceDN w:val="0"/>
        <w:ind w:left="1588" w:hanging="1021"/>
      </w:pPr>
      <m:oMath>
        <m:r>
          <w:rPr>
            <w:rFonts w:ascii="Cambria Math" w:hAnsi="Cambria Math"/>
          </w:rPr>
          <m:t>σ</m:t>
        </m:r>
      </m:oMath>
      <w:r w:rsidRPr="00BC31E0">
        <w:rPr>
          <w:rFonts w:hint="eastAsia"/>
          <w:position w:val="-6"/>
        </w:rPr>
        <w:t xml:space="preserve"> </w:t>
      </w:r>
      <w:r w:rsidRPr="00BC31E0">
        <w:rPr>
          <w:rFonts w:hint="eastAsia"/>
          <w:position w:val="-6"/>
        </w:rPr>
        <w:tab/>
      </w:r>
      <w:r w:rsidRPr="00BC31E0">
        <w:rPr>
          <w:rFonts w:hint="eastAsia"/>
        </w:rPr>
        <w:t>：</w:t>
      </w:r>
      <w:r w:rsidRPr="00BC31E0">
        <w:rPr>
          <w:rFonts w:hint="eastAsia"/>
        </w:rPr>
        <w:t xml:space="preserve"> </w:t>
      </w:r>
      <w:r w:rsidRPr="00BC31E0">
        <w:rPr>
          <w:rFonts w:hint="eastAsia"/>
        </w:rPr>
        <w:t>亀裂面に対して垂直方向に作用する応力</w:t>
      </w:r>
      <w:r w:rsidRPr="00BC31E0">
        <w:rPr>
          <w:rFonts w:hint="eastAsia"/>
        </w:rPr>
        <w:t>(</w:t>
      </w:r>
      <w:r w:rsidRPr="00BC31E0">
        <w:rPr>
          <w:rFonts w:ascii="Cambria Math" w:hAnsi="Cambria Math"/>
        </w:rPr>
        <w:t>MPa</w:t>
      </w:r>
      <w:r w:rsidRPr="00BC31E0">
        <w:rPr>
          <w:rFonts w:hint="eastAsia"/>
        </w:rPr>
        <w:t>) (</w:t>
      </w:r>
      <w:r w:rsidRPr="00BC31E0">
        <w:rPr>
          <w:rFonts w:asciiTheme="majorEastAsia" w:eastAsiaTheme="majorEastAsia" w:hAnsiTheme="majorEastAsia" w:hint="eastAsia"/>
          <w:b/>
        </w:rPr>
        <w:t>附属書C 4.1</w:t>
      </w:r>
      <w:r w:rsidRPr="00BC31E0">
        <w:rPr>
          <w:rFonts w:hint="eastAsia"/>
        </w:rPr>
        <w:t>)</w:t>
      </w:r>
    </w:p>
    <w:p w14:paraId="57757B26" w14:textId="77777777" w:rsidR="00C25C85" w:rsidRPr="00BC31E0" w:rsidRDefault="00C25C85" w:rsidP="008234D1">
      <w:pPr>
        <w:tabs>
          <w:tab w:val="left" w:pos="1276"/>
        </w:tabs>
        <w:autoSpaceDE w:val="0"/>
        <w:autoSpaceDN w:val="0"/>
        <w:ind w:left="1588" w:hanging="1021"/>
        <w:rPr>
          <w:szCs w:val="24"/>
        </w:rPr>
      </w:pPr>
      <m:oMath>
        <m:r>
          <w:rPr>
            <w:rFonts w:ascii="Cambria Math" w:hAnsi="Cambria Math"/>
          </w:rPr>
          <m:t>σ</m:t>
        </m:r>
        <m:d>
          <m:dPr>
            <m:ctrlPr>
              <w:rPr>
                <w:rFonts w:ascii="Cambria Math" w:hAnsi="Cambria Math"/>
              </w:rPr>
            </m:ctrlPr>
          </m:dPr>
          <m:e>
            <m:r>
              <w:rPr>
                <w:rFonts w:ascii="Cambria Math" w:hAnsi="Cambria Math"/>
              </w:rPr>
              <m:t>x</m:t>
            </m:r>
          </m:e>
        </m:d>
      </m:oMath>
      <w:r w:rsidRPr="00BC31E0">
        <w:rPr>
          <w:rFonts w:hint="eastAsia"/>
          <w:szCs w:val="24"/>
          <w:vertAlign w:val="subscript"/>
        </w:rPr>
        <w:tab/>
      </w:r>
      <w:r w:rsidRPr="00BC31E0">
        <w:rPr>
          <w:rFonts w:hint="eastAsia"/>
          <w:szCs w:val="24"/>
        </w:rPr>
        <w:t>：</w:t>
      </w:r>
      <w:r w:rsidRPr="00BC31E0">
        <w:rPr>
          <w:rFonts w:hint="eastAsia"/>
          <w:szCs w:val="24"/>
        </w:rPr>
        <w:t xml:space="preserve"> </w:t>
      </w:r>
      <w:r w:rsidRPr="00BC31E0">
        <w:rPr>
          <w:rFonts w:hint="eastAsia"/>
          <w:szCs w:val="24"/>
        </w:rPr>
        <w:t>亀裂面に対して垂直方向に作用する厚さ方向の応力分布</w:t>
      </w:r>
      <w:r w:rsidRPr="00BC31E0">
        <w:rPr>
          <w:rFonts w:hint="eastAsia"/>
          <w:szCs w:val="24"/>
        </w:rPr>
        <w:t>(</w:t>
      </w:r>
      <w:r w:rsidRPr="00BC31E0">
        <w:rPr>
          <w:rFonts w:ascii="Cambria Math" w:hAnsi="Cambria Math"/>
          <w:szCs w:val="24"/>
        </w:rPr>
        <w:t>MPa</w:t>
      </w:r>
      <w:r w:rsidRPr="00BC31E0">
        <w:rPr>
          <w:rFonts w:hint="eastAsia"/>
          <w:szCs w:val="24"/>
        </w:rPr>
        <w:t>) (</w:t>
      </w:r>
      <w:r w:rsidRPr="00BC31E0">
        <w:rPr>
          <w:rFonts w:ascii="ＭＳ ゴシック" w:eastAsia="ＭＳ ゴシック" w:hint="eastAsia"/>
          <w:b/>
          <w:szCs w:val="24"/>
        </w:rPr>
        <w:t>附属書C 4.5</w:t>
      </w:r>
      <w:r w:rsidRPr="00BC31E0">
        <w:rPr>
          <w:rFonts w:hint="eastAsia"/>
          <w:szCs w:val="24"/>
        </w:rPr>
        <w:t>)</w:t>
      </w:r>
    </w:p>
    <w:bookmarkStart w:id="153" w:name="_Hlk52270432"/>
    <w:p w14:paraId="51024522" w14:textId="77777777" w:rsidR="00C25C85" w:rsidRPr="00BC31E0" w:rsidRDefault="00A51873" w:rsidP="008234D1">
      <w:pPr>
        <w:tabs>
          <w:tab w:val="left" w:pos="1276"/>
        </w:tabs>
        <w:autoSpaceDE w:val="0"/>
        <w:autoSpaceDN w:val="0"/>
        <w:ind w:left="1588" w:hanging="1021"/>
      </w:pPr>
      <m:oMath>
        <m:acc>
          <m:accPr>
            <m:chr m:val="̅"/>
            <m:ctrlPr>
              <w:rPr>
                <w:rFonts w:ascii="Cambria Math" w:hAnsi="Cambria Math"/>
                <w:i/>
              </w:rPr>
            </m:ctrlPr>
          </m:accPr>
          <m:e>
            <m:r>
              <w:rPr>
                <w:rFonts w:ascii="Cambria Math" w:hAnsi="Cambria Math" w:hint="eastAsia"/>
              </w:rPr>
              <m:t>σ</m:t>
            </m:r>
          </m:e>
        </m:acc>
      </m:oMath>
      <w:r w:rsidR="00C25C85" w:rsidRPr="00BC31E0">
        <w:rPr>
          <w:rFonts w:hint="eastAsia"/>
          <w:position w:val="-6"/>
        </w:rPr>
        <w:t xml:space="preserve"> </w:t>
      </w:r>
      <w:r w:rsidR="00C25C85" w:rsidRPr="00BC31E0">
        <w:rPr>
          <w:rFonts w:hint="eastAsia"/>
          <w:position w:val="-6"/>
        </w:rPr>
        <w:tab/>
      </w:r>
      <w:r w:rsidR="00C25C85" w:rsidRPr="00BC31E0">
        <w:rPr>
          <w:rFonts w:hint="eastAsia"/>
        </w:rPr>
        <w:t>：</w:t>
      </w:r>
      <w:r w:rsidR="00C25C85" w:rsidRPr="00BC31E0">
        <w:rPr>
          <w:rFonts w:hint="eastAsia"/>
        </w:rPr>
        <w:t xml:space="preserve"> </w:t>
      </w:r>
      <w:r w:rsidR="00C25C85" w:rsidRPr="00BC31E0">
        <w:rPr>
          <w:rFonts w:hint="eastAsia"/>
        </w:rPr>
        <w:t>弾塑性解析によるミーゼスの相当応力</w:t>
      </w:r>
      <w:r w:rsidR="00C25C85" w:rsidRPr="00BC31E0">
        <w:rPr>
          <w:rFonts w:hint="eastAsia"/>
        </w:rPr>
        <w:t>(</w:t>
      </w:r>
      <w:r w:rsidR="00C25C85" w:rsidRPr="00BC31E0">
        <w:rPr>
          <w:rFonts w:ascii="Cambria Math" w:hAnsi="Cambria Math"/>
        </w:rPr>
        <w:t>MPa</w:t>
      </w:r>
      <w:r w:rsidR="00C25C85" w:rsidRPr="00BC31E0">
        <w:rPr>
          <w:rFonts w:hint="eastAsia"/>
        </w:rPr>
        <w:t>)</w:t>
      </w:r>
      <w:r w:rsidR="00C25C85" w:rsidRPr="00BC31E0">
        <w:rPr>
          <w:rFonts w:hint="eastAsia"/>
        </w:rPr>
        <w:t>（</w:t>
      </w:r>
      <w:r w:rsidR="00C25C85" w:rsidRPr="00BC31E0">
        <w:rPr>
          <w:rFonts w:asciiTheme="majorEastAsia" w:eastAsiaTheme="majorEastAsia" w:hAnsiTheme="majorEastAsia" w:hint="eastAsia"/>
          <w:b/>
          <w:bCs/>
        </w:rPr>
        <w:t>附属書J</w:t>
      </w:r>
      <w:r w:rsidR="00C25C85" w:rsidRPr="00BC31E0">
        <w:rPr>
          <w:rFonts w:asciiTheme="majorEastAsia" w:eastAsiaTheme="majorEastAsia" w:hAnsiTheme="majorEastAsia"/>
          <w:b/>
          <w:bCs/>
        </w:rPr>
        <w:t xml:space="preserve"> 1</w:t>
      </w:r>
      <w:r w:rsidR="00C25C85" w:rsidRPr="00BC31E0">
        <w:rPr>
          <w:rFonts w:hint="eastAsia"/>
        </w:rPr>
        <w:t>）</w:t>
      </w:r>
      <w:r w:rsidR="00C25C85" w:rsidRPr="00BC31E0">
        <w:rPr>
          <w:rFonts w:hint="eastAsia"/>
        </w:rPr>
        <w:t xml:space="preserve"> </w:t>
      </w:r>
    </w:p>
    <w:bookmarkEnd w:id="153"/>
    <w:p w14:paraId="5F230B82" w14:textId="77777777" w:rsidR="00C25C85" w:rsidRPr="00BC31E0" w:rsidRDefault="00A51873" w:rsidP="008234D1">
      <w:pPr>
        <w:tabs>
          <w:tab w:val="left" w:pos="1276"/>
        </w:tabs>
        <w:autoSpaceDE w:val="0"/>
        <w:autoSpaceDN w:val="0"/>
        <w:ind w:left="1588" w:hanging="1021"/>
      </w:pPr>
      <m:oMath>
        <m:sSup>
          <m:sSupPr>
            <m:ctrlPr>
              <w:rPr>
                <w:rFonts w:ascii="Cambria Math" w:hAnsi="Cambria Math"/>
                <w:i/>
              </w:rPr>
            </m:ctrlPr>
          </m:sSupPr>
          <m:e>
            <m:acc>
              <m:accPr>
                <m:chr m:val="̅"/>
                <m:ctrlPr>
                  <w:rPr>
                    <w:rFonts w:ascii="Cambria Math" w:hAnsi="Cambria Math"/>
                    <w:i/>
                  </w:rPr>
                </m:ctrlPr>
              </m:accPr>
              <m:e>
                <m:r>
                  <w:rPr>
                    <w:rFonts w:ascii="Cambria Math" w:hAnsi="Cambria Math" w:hint="eastAsia"/>
                  </w:rPr>
                  <m:t>σ</m:t>
                </m:r>
              </m:e>
            </m:acc>
          </m:e>
          <m:sup>
            <m:r>
              <w:rPr>
                <w:rFonts w:ascii="Cambria Math" w:hAnsi="Cambria Math" w:hint="eastAsia"/>
              </w:rPr>
              <m:t>*</m:t>
            </m:r>
          </m:sup>
        </m:sSup>
        <m:r>
          <w:rPr>
            <w:rFonts w:ascii="Cambria Math" w:hAnsi="Cambria Math" w:hint="eastAsia"/>
          </w:rPr>
          <m:t xml:space="preserve">　</m:t>
        </m:r>
      </m:oMath>
      <w:r w:rsidR="00C25C85" w:rsidRPr="00BC31E0">
        <w:rPr>
          <w:rFonts w:hint="eastAsia"/>
          <w:position w:val="-6"/>
        </w:rPr>
        <w:t xml:space="preserve"> </w:t>
      </w:r>
      <w:r w:rsidR="00C25C85" w:rsidRPr="00BC31E0">
        <w:rPr>
          <w:rFonts w:hint="eastAsia"/>
          <w:position w:val="-6"/>
        </w:rPr>
        <w:tab/>
      </w:r>
      <w:r w:rsidR="00C25C85" w:rsidRPr="00BC31E0">
        <w:rPr>
          <w:rFonts w:hint="eastAsia"/>
        </w:rPr>
        <w:t>：</w:t>
      </w:r>
      <w:r w:rsidR="00C25C85" w:rsidRPr="00BC31E0">
        <w:rPr>
          <w:rFonts w:hint="eastAsia"/>
        </w:rPr>
        <w:t xml:space="preserve"> </w:t>
      </w:r>
      <w:r w:rsidR="00C25C85" w:rsidRPr="00BC31E0">
        <w:rPr>
          <w:rFonts w:hint="eastAsia"/>
        </w:rPr>
        <w:t>弾性解析によるミーゼスの相当応力</w:t>
      </w:r>
      <w:r w:rsidR="00C25C85" w:rsidRPr="00BC31E0">
        <w:rPr>
          <w:rFonts w:hint="eastAsia"/>
        </w:rPr>
        <w:t>(</w:t>
      </w:r>
      <w:r w:rsidR="00C25C85" w:rsidRPr="00BC31E0">
        <w:rPr>
          <w:rFonts w:ascii="Cambria Math" w:hAnsi="Cambria Math"/>
        </w:rPr>
        <w:t>MPa</w:t>
      </w:r>
      <w:r w:rsidR="00C25C85" w:rsidRPr="00BC31E0">
        <w:rPr>
          <w:rFonts w:hint="eastAsia"/>
        </w:rPr>
        <w:t>)</w:t>
      </w:r>
      <w:r w:rsidR="00C25C85" w:rsidRPr="00BC31E0">
        <w:rPr>
          <w:rFonts w:hint="eastAsia"/>
        </w:rPr>
        <w:t>（</w:t>
      </w:r>
      <w:r w:rsidR="00C25C85" w:rsidRPr="00BC31E0">
        <w:rPr>
          <w:rFonts w:asciiTheme="majorEastAsia" w:eastAsiaTheme="majorEastAsia" w:hAnsiTheme="majorEastAsia" w:hint="eastAsia"/>
          <w:b/>
          <w:bCs/>
        </w:rPr>
        <w:t>附属書J</w:t>
      </w:r>
      <w:r w:rsidR="00C25C85" w:rsidRPr="00BC31E0">
        <w:rPr>
          <w:rFonts w:asciiTheme="majorEastAsia" w:eastAsiaTheme="majorEastAsia" w:hAnsiTheme="majorEastAsia"/>
          <w:b/>
          <w:bCs/>
        </w:rPr>
        <w:t xml:space="preserve"> 1</w:t>
      </w:r>
      <w:r w:rsidR="00C25C85" w:rsidRPr="00BC31E0">
        <w:rPr>
          <w:rFonts w:hint="eastAsia"/>
        </w:rPr>
        <w:t>）</w:t>
      </w:r>
      <w:r w:rsidR="00C25C85" w:rsidRPr="00BC31E0">
        <w:rPr>
          <w:rFonts w:hint="eastAsia"/>
        </w:rPr>
        <w:t xml:space="preserve"> </w:t>
      </w:r>
    </w:p>
    <w:p w14:paraId="5E7D521E"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σ</m:t>
            </m:r>
          </m:e>
          <m:sub>
            <m:r>
              <w:rPr>
                <w:rFonts w:ascii="Cambria Math" w:hAnsi="Cambria Math"/>
              </w:rPr>
              <m:t>AD</m:t>
            </m:r>
          </m:sub>
        </m:sSub>
      </m:oMath>
      <w:r w:rsidR="00C25C85" w:rsidRPr="00BC31E0">
        <w:rPr>
          <w:rFonts w:hint="eastAsia"/>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内面</w:t>
      </w:r>
      <w:r w:rsidR="00C25C85" w:rsidRPr="00BC31E0">
        <w:rPr>
          <w:rFonts w:hint="eastAsia"/>
        </w:rPr>
        <w:t>(</w:t>
      </w:r>
      <m:oMath>
        <m:r>
          <w:rPr>
            <w:rFonts w:ascii="Cambria Math" w:hAnsi="Cambria Math"/>
          </w:rPr>
          <m:t>D=</m:t>
        </m:r>
        <m:sSub>
          <m:sSubPr>
            <m:ctrlPr>
              <w:rPr>
                <w:rFonts w:ascii="Cambria Math" w:hAnsi="Cambria Math"/>
              </w:rPr>
            </m:ctrlPr>
          </m:sSubPr>
          <m:e>
            <m:r>
              <w:rPr>
                <w:rFonts w:ascii="Cambria Math" w:hAnsi="Cambria Math"/>
              </w:rPr>
              <m:t>D</m:t>
            </m:r>
          </m:e>
          <m:sub>
            <m:r>
              <w:rPr>
                <w:rFonts w:ascii="Cambria Math" w:hAnsi="Cambria Math"/>
              </w:rPr>
              <m:t>I</m:t>
            </m:r>
          </m:sub>
        </m:sSub>
      </m:oMath>
      <w:r w:rsidR="00C25C85" w:rsidRPr="00BC31E0">
        <w:rPr>
          <w:rFonts w:hint="eastAsia"/>
          <w:szCs w:val="24"/>
        </w:rPr>
        <w:t>)</w:t>
      </w:r>
      <w:r w:rsidR="00C25C85" w:rsidRPr="00BC31E0">
        <w:rPr>
          <w:rFonts w:hint="eastAsia"/>
          <w:szCs w:val="24"/>
        </w:rPr>
        <w:t>における</w:t>
      </w:r>
      <w:r w:rsidR="00C25C85" w:rsidRPr="00BC31E0">
        <w:rPr>
          <w:rFonts w:hint="eastAsia"/>
          <w:szCs w:val="24"/>
        </w:rPr>
        <w:t xml:space="preserve"> </w:t>
      </w:r>
      <m:oMath>
        <m:sSub>
          <m:sSubPr>
            <m:ctrlPr>
              <w:rPr>
                <w:rFonts w:ascii="Cambria Math" w:hAnsi="Cambria Math"/>
                <w:i/>
              </w:rPr>
            </m:ctrlPr>
          </m:sSubPr>
          <m:e>
            <m:r>
              <w:rPr>
                <w:rFonts w:ascii="Cambria Math" w:hAnsi="Cambria Math"/>
              </w:rPr>
              <m:t xml:space="preserve"> σ</m:t>
            </m:r>
          </m:e>
          <m:sub>
            <m:r>
              <w:rPr>
                <w:rFonts w:ascii="Cambria Math" w:hAnsi="Cambria Math"/>
              </w:rPr>
              <m:t>tRA</m:t>
            </m:r>
          </m:sub>
        </m:sSub>
        <m:r>
          <w:rPr>
            <w:rFonts w:ascii="Cambria Math" w:hAnsi="Cambria Math"/>
          </w:rPr>
          <m:t xml:space="preserve"> </m:t>
        </m:r>
      </m:oMath>
      <w:r w:rsidR="00C25C85" w:rsidRPr="00BC31E0">
        <w:rPr>
          <w:rFonts w:hint="eastAsia"/>
        </w:rPr>
        <w:t>の値</w:t>
      </w:r>
      <w:r w:rsidR="00C25C85" w:rsidRPr="00BC31E0">
        <w:rPr>
          <w:rFonts w:hint="eastAsia"/>
        </w:rPr>
        <w:t>(</w:t>
      </w:r>
      <w:r w:rsidR="00C25C85" w:rsidRPr="00BC31E0">
        <w:rPr>
          <w:rFonts w:ascii="Cambria Math" w:hAnsi="Cambria Math"/>
        </w:rPr>
        <w:t>MPa</w:t>
      </w:r>
      <w:r w:rsidR="00C25C85" w:rsidRPr="00BC31E0">
        <w:rPr>
          <w:rFonts w:hint="eastAsia"/>
        </w:rPr>
        <w:t>) (</w:t>
      </w:r>
      <w:r w:rsidR="00C25C85" w:rsidRPr="00BC31E0">
        <w:rPr>
          <w:rFonts w:ascii="ＭＳ ゴシック" w:eastAsia="ＭＳ ゴシック"/>
          <w:b/>
        </w:rPr>
        <w:t>6.5.3</w:t>
      </w:r>
      <w:r w:rsidR="00C25C85" w:rsidRPr="00BC31E0">
        <w:rPr>
          <w:rFonts w:hint="eastAsia"/>
        </w:rPr>
        <w:t>)</w:t>
      </w:r>
    </w:p>
    <w:p w14:paraId="08C42537"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σ</m:t>
            </m:r>
          </m:e>
          <m:sub>
            <m:r>
              <w:rPr>
                <w:rFonts w:ascii="Cambria Math" w:hAnsi="Cambria Math"/>
              </w:rPr>
              <m:t>CD</m:t>
            </m:r>
          </m:sub>
        </m:sSub>
      </m:oMath>
      <w:r w:rsidR="00C25C85" w:rsidRPr="00BC31E0">
        <w:rPr>
          <w:rFonts w:hint="eastAsia"/>
          <w:szCs w:val="24"/>
          <w:vertAlign w:val="subscript"/>
        </w:rPr>
        <w:t xml:space="preserve"> </w:t>
      </w:r>
      <w:r w:rsidR="00C25C85" w:rsidRPr="00BC31E0">
        <w:rPr>
          <w:rFonts w:hint="eastAsia"/>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内面</w:t>
      </w:r>
      <w:r w:rsidR="00C25C85" w:rsidRPr="00BC31E0">
        <w:rPr>
          <w:rFonts w:hint="eastAsia"/>
        </w:rPr>
        <w:t>(</w:t>
      </w:r>
      <m:oMath>
        <m:r>
          <w:rPr>
            <w:rFonts w:ascii="Cambria Math" w:hAnsi="Cambria Math"/>
          </w:rPr>
          <m:t>D=</m:t>
        </m:r>
        <m:sSub>
          <m:sSubPr>
            <m:ctrlPr>
              <w:rPr>
                <w:rFonts w:ascii="Cambria Math" w:hAnsi="Cambria Math"/>
              </w:rPr>
            </m:ctrlPr>
          </m:sSubPr>
          <m:e>
            <m:r>
              <w:rPr>
                <w:rFonts w:ascii="Cambria Math" w:hAnsi="Cambria Math"/>
              </w:rPr>
              <m:t>D</m:t>
            </m:r>
          </m:e>
          <m:sub>
            <m:r>
              <w:rPr>
                <w:rFonts w:ascii="Cambria Math" w:hAnsi="Cambria Math"/>
              </w:rPr>
              <m:t>I</m:t>
            </m:r>
          </m:sub>
        </m:sSub>
      </m:oMath>
      <w:r w:rsidR="00C25C85" w:rsidRPr="00BC31E0">
        <w:rPr>
          <w:rFonts w:hint="eastAsia"/>
          <w:szCs w:val="24"/>
        </w:rPr>
        <w:t>)</w:t>
      </w:r>
      <w:r w:rsidR="00C25C85" w:rsidRPr="00BC31E0">
        <w:rPr>
          <w:rFonts w:hint="eastAsia"/>
        </w:rPr>
        <w:t>におけるバウシンガー効果に対して補正した周方向残留応力</w:t>
      </w:r>
      <w:r w:rsidR="00C25C85" w:rsidRPr="00BC31E0">
        <w:rPr>
          <w:rFonts w:hint="eastAsia"/>
        </w:rPr>
        <w:t xml:space="preserve"> (</w:t>
      </w:r>
      <w:r w:rsidR="00C25C85" w:rsidRPr="00BC31E0">
        <w:rPr>
          <w:rFonts w:ascii="Cambria Math" w:hAnsi="Cambria Math"/>
        </w:rPr>
        <w:t>MPa</w:t>
      </w:r>
      <w:r w:rsidR="00C25C85" w:rsidRPr="00BC31E0">
        <w:rPr>
          <w:rFonts w:hint="eastAsia"/>
        </w:rPr>
        <w:t>) (</w:t>
      </w:r>
      <w:r w:rsidR="00C25C85" w:rsidRPr="00BC31E0">
        <w:rPr>
          <w:rFonts w:ascii="ＭＳ ゴシック" w:eastAsia="ＭＳ ゴシック"/>
          <w:b/>
        </w:rPr>
        <w:t>6.5.3</w:t>
      </w:r>
      <w:r w:rsidR="00C25C85" w:rsidRPr="00BC31E0">
        <w:rPr>
          <w:rFonts w:hint="eastAsia"/>
        </w:rPr>
        <w:t>)</w:t>
      </w:r>
    </w:p>
    <w:p w14:paraId="67D45A10" w14:textId="77777777" w:rsidR="00C25C85" w:rsidRPr="00BC31E0" w:rsidRDefault="00A51873" w:rsidP="008234D1">
      <w:pPr>
        <w:tabs>
          <w:tab w:val="left" w:pos="1276"/>
        </w:tabs>
        <w:autoSpaceDE w:val="0"/>
        <w:autoSpaceDN w:val="0"/>
        <w:ind w:left="1588" w:hanging="1021"/>
        <w:rPr>
          <w:position w:val="-6"/>
          <w:szCs w:val="24"/>
        </w:rPr>
      </w:pPr>
      <m:oMath>
        <m:sSub>
          <m:sSubPr>
            <m:ctrlPr>
              <w:rPr>
                <w:rFonts w:ascii="Cambria Math" w:hAnsi="Cambria Math"/>
                <w:i/>
              </w:rPr>
            </m:ctrlPr>
          </m:sSubPr>
          <m:e>
            <m:r>
              <w:rPr>
                <w:rFonts w:ascii="Cambria Math" w:hAnsi="Cambria Math"/>
              </w:rPr>
              <m:t>σ</m:t>
            </m:r>
          </m:e>
          <m:sub>
            <m:r>
              <w:rPr>
                <w:rFonts w:ascii="Cambria Math" w:hAnsi="Cambria Math"/>
              </w:rPr>
              <m:t>a</m:t>
            </m:r>
          </m:sub>
        </m:sSub>
      </m:oMath>
      <w:r w:rsidR="00C25C85" w:rsidRPr="00BC31E0">
        <w:rPr>
          <w:rFonts w:hint="eastAsia"/>
          <w:position w:val="-6"/>
          <w:szCs w:val="24"/>
          <w:vertAlign w:val="subscript"/>
        </w:rPr>
        <w:t xml:space="preserve">   </w:t>
      </w:r>
      <w:r w:rsidR="00C25C85" w:rsidRPr="00BC31E0">
        <w:rPr>
          <w:rFonts w:hint="eastAsia"/>
          <w:position w:val="-6"/>
          <w:szCs w:val="24"/>
          <w:vertAlign w:val="subscript"/>
        </w:rPr>
        <w:tab/>
      </w:r>
      <w:r w:rsidR="00C25C85" w:rsidRPr="00BC31E0">
        <w:rPr>
          <w:rFonts w:hint="eastAsia"/>
          <w:position w:val="-6"/>
          <w:szCs w:val="24"/>
        </w:rPr>
        <w:t>：</w:t>
      </w:r>
      <w:r w:rsidR="00C25C85" w:rsidRPr="00BC31E0">
        <w:rPr>
          <w:rFonts w:hint="eastAsia"/>
          <w:position w:val="-6"/>
          <w:szCs w:val="24"/>
        </w:rPr>
        <w:t xml:space="preserve"> </w:t>
      </w:r>
      <w:r w:rsidR="00C25C85" w:rsidRPr="00BC31E0">
        <w:rPr>
          <w:rFonts w:hint="eastAsia"/>
          <w:position w:val="-6"/>
          <w:szCs w:val="24"/>
        </w:rPr>
        <w:t>応力振幅</w:t>
      </w:r>
      <w:r w:rsidR="00C25C85" w:rsidRPr="00BC31E0">
        <w:rPr>
          <w:rFonts w:hint="eastAsia"/>
          <w:position w:val="-6"/>
          <w:szCs w:val="24"/>
        </w:rPr>
        <w:t>(</w:t>
      </w:r>
      <w:r w:rsidR="00C25C85" w:rsidRPr="00BC31E0">
        <w:rPr>
          <w:rFonts w:ascii="Cambria Math" w:hAnsi="Cambria Math"/>
          <w:position w:val="-6"/>
          <w:szCs w:val="24"/>
        </w:rPr>
        <w:t>MPa</w:t>
      </w:r>
      <w:r w:rsidR="00C25C85" w:rsidRPr="00BC31E0">
        <w:rPr>
          <w:rFonts w:hint="eastAsia"/>
          <w:position w:val="-6"/>
          <w:szCs w:val="24"/>
        </w:rPr>
        <w:t>) (</w:t>
      </w:r>
      <w:r w:rsidR="00C25C85" w:rsidRPr="00BC31E0">
        <w:rPr>
          <w:rFonts w:ascii="ＭＳ ゴシック" w:eastAsia="ＭＳ ゴシック" w:hint="eastAsia"/>
          <w:b/>
          <w:position w:val="-6"/>
          <w:szCs w:val="24"/>
        </w:rPr>
        <w:t>附属書D 3</w:t>
      </w:r>
      <w:r w:rsidR="00C25C85" w:rsidRPr="00BC31E0">
        <w:rPr>
          <w:rFonts w:hint="eastAsia"/>
          <w:position w:val="-6"/>
          <w:szCs w:val="24"/>
        </w:rPr>
        <w:t>)</w:t>
      </w:r>
    </w:p>
    <w:p w14:paraId="589002A9"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σ</m:t>
            </m:r>
          </m:e>
          <m:sub>
            <m:r>
              <w:rPr>
                <w:rFonts w:ascii="Cambria Math" w:hAnsi="Cambria Math"/>
              </w:rPr>
              <m:t>e</m:t>
            </m:r>
          </m:sub>
        </m:sSub>
      </m:oMath>
      <w:r w:rsidR="00C25C85" w:rsidRPr="00BC31E0">
        <w:rPr>
          <w:rFonts w:hint="eastAsia"/>
        </w:rPr>
        <w:t xml:space="preserve"> </w:t>
      </w:r>
      <w:r w:rsidR="00C25C85" w:rsidRPr="00BC31E0">
        <w:rPr>
          <w:rFonts w:hint="eastAsia"/>
        </w:rPr>
        <w:tab/>
      </w:r>
      <w:r w:rsidR="00C25C85" w:rsidRPr="00BC31E0">
        <w:rPr>
          <w:rFonts w:hint="eastAsia"/>
        </w:rPr>
        <w:t>：</w:t>
      </w:r>
      <w:r w:rsidR="00C25C85" w:rsidRPr="00BC31E0">
        <w:rPr>
          <w:rFonts w:hint="eastAsia"/>
        </w:rPr>
        <w:t xml:space="preserve"> </w:t>
      </w:r>
      <w:r w:rsidR="00C25C85" w:rsidRPr="00BC31E0">
        <w:rPr>
          <w:rFonts w:hint="eastAsia"/>
        </w:rPr>
        <w:t>ミーゼスの相当応力</w:t>
      </w:r>
      <w:r w:rsidR="00C25C85" w:rsidRPr="00BC31E0">
        <w:rPr>
          <w:rFonts w:hint="eastAsia"/>
        </w:rPr>
        <w:t>(</w:t>
      </w:r>
      <w:r w:rsidR="00C25C85" w:rsidRPr="00BC31E0">
        <w:rPr>
          <w:rFonts w:ascii="Cambria Math" w:hAnsi="Cambria Math"/>
        </w:rPr>
        <w:t>MPa</w:t>
      </w:r>
      <w:r w:rsidR="00C25C85" w:rsidRPr="00BC31E0">
        <w:rPr>
          <w:rFonts w:hint="eastAsia"/>
        </w:rPr>
        <w:t>) (</w:t>
      </w:r>
      <w:r w:rsidR="00C25C85" w:rsidRPr="00BC31E0">
        <w:rPr>
          <w:rFonts w:ascii="ＭＳ ゴシック" w:eastAsia="ＭＳ ゴシック"/>
          <w:b/>
        </w:rPr>
        <w:t>6.2.3</w:t>
      </w:r>
      <w:r w:rsidR="00C25C85" w:rsidRPr="00BC31E0">
        <w:rPr>
          <w:rFonts w:hint="eastAsia"/>
        </w:rPr>
        <w:t>)</w:t>
      </w:r>
    </w:p>
    <w:p w14:paraId="27C2E7FC"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σ</m:t>
            </m:r>
          </m:e>
          <m:sub>
            <m:r>
              <w:rPr>
                <w:rFonts w:ascii="Cambria Math" w:hAnsi="Cambria Math"/>
              </w:rPr>
              <m:t>ek</m:t>
            </m:r>
          </m:sub>
        </m:sSub>
      </m:oMath>
      <w:r w:rsidR="00C25C85" w:rsidRPr="00BC31E0">
        <w:rPr>
          <w:rFonts w:hint="eastAsia"/>
        </w:rPr>
        <w:t xml:space="preserve"> </w:t>
      </w:r>
      <w:r w:rsidR="00C25C85" w:rsidRPr="00BC31E0">
        <w:rPr>
          <w:rFonts w:hint="eastAsia"/>
        </w:rPr>
        <w:tab/>
      </w:r>
      <w:r w:rsidR="00C25C85" w:rsidRPr="00BC31E0">
        <w:rPr>
          <w:rFonts w:hint="eastAsia"/>
        </w:rPr>
        <w:t>：</w:t>
      </w:r>
      <w:r w:rsidR="00C25C85" w:rsidRPr="00BC31E0">
        <w:rPr>
          <w:rFonts w:hint="eastAsia"/>
        </w:rPr>
        <w:t xml:space="preserve"> </w:t>
      </w:r>
      <m:oMath>
        <m:r>
          <w:rPr>
            <w:rFonts w:ascii="Cambria Math" w:hAnsi="Cambria Math" w:hint="eastAsia"/>
          </w:rPr>
          <m:t xml:space="preserve">k </m:t>
        </m:r>
      </m:oMath>
      <w:r w:rsidR="00C25C85" w:rsidRPr="00BC31E0">
        <w:rPr>
          <w:rFonts w:hint="eastAsia"/>
        </w:rPr>
        <w:t>番目の荷重増加でのミーゼスの相当応力</w:t>
      </w:r>
      <w:r w:rsidR="00C25C85" w:rsidRPr="00BC31E0">
        <w:rPr>
          <w:rFonts w:hint="eastAsia"/>
        </w:rPr>
        <w:t>(</w:t>
      </w:r>
      <w:r w:rsidR="00C25C85" w:rsidRPr="00BC31E0">
        <w:rPr>
          <w:rFonts w:ascii="Cambria Math" w:hAnsi="Cambria Math"/>
        </w:rPr>
        <w:t>MPa</w:t>
      </w:r>
      <w:r w:rsidR="00C25C85" w:rsidRPr="00BC31E0">
        <w:rPr>
          <w:rFonts w:hint="eastAsia"/>
        </w:rPr>
        <w:t>) (</w:t>
      </w:r>
      <w:r w:rsidR="00C25C85" w:rsidRPr="00BC31E0">
        <w:rPr>
          <w:rFonts w:ascii="ＭＳ ゴシック" w:eastAsia="ＭＳ ゴシック"/>
          <w:b/>
        </w:rPr>
        <w:t>6.2.3</w:t>
      </w:r>
      <w:r w:rsidR="00C25C85" w:rsidRPr="00BC31E0">
        <w:rPr>
          <w:rFonts w:hint="eastAsia"/>
        </w:rPr>
        <w:t>)</w:t>
      </w:r>
    </w:p>
    <w:p w14:paraId="7B4A792C" w14:textId="77777777" w:rsidR="00C25C85" w:rsidRPr="00BC31E0" w:rsidRDefault="00A51873" w:rsidP="008234D1">
      <w:pPr>
        <w:tabs>
          <w:tab w:val="left" w:pos="1276"/>
        </w:tabs>
        <w:autoSpaceDE w:val="0"/>
        <w:autoSpaceDN w:val="0"/>
        <w:ind w:left="1588" w:hanging="1021"/>
        <w:rPr>
          <w:rFonts w:ascii="ＭＳ 明朝" w:hAnsi="ＭＳ 明朝"/>
        </w:rPr>
      </w:pPr>
      <m:oMath>
        <m:sSub>
          <m:sSubPr>
            <m:ctrlPr>
              <w:rPr>
                <w:rFonts w:ascii="Cambria Math" w:hAnsi="Cambria Math"/>
                <w:i/>
              </w:rPr>
            </m:ctrlPr>
          </m:sSubPr>
          <m:e>
            <m:r>
              <w:rPr>
                <w:rFonts w:ascii="Cambria Math" w:hAnsi="Cambria Math"/>
              </w:rPr>
              <m:t>σ</m:t>
            </m:r>
          </m:e>
          <m:sub>
            <m:r>
              <w:rPr>
                <w:rFonts w:ascii="Cambria Math" w:hAnsi="Cambria Math"/>
              </w:rPr>
              <m:t>ij,b</m:t>
            </m:r>
          </m:sub>
        </m:sSub>
      </m:oMath>
      <w:r w:rsidR="00C25C85" w:rsidRPr="00BC31E0">
        <w:rPr>
          <w:rFonts w:ascii="ＭＳ 明朝" w:hAnsi="ＭＳ 明朝"/>
        </w:rPr>
        <w:t xml:space="preserve"> </w:t>
      </w:r>
      <w:r w:rsidR="00C25C85" w:rsidRPr="00BC31E0">
        <w:rPr>
          <w:rFonts w:ascii="ＭＳ 明朝" w:hAnsi="ＭＳ 明朝" w:hint="eastAsia"/>
        </w:rPr>
        <w:tab/>
        <w:t>： 曲げ応力テンソル</w:t>
      </w:r>
      <w:r w:rsidR="00C25C85" w:rsidRPr="00BC31E0">
        <w:rPr>
          <w:rFonts w:asciiTheme="minorHAnsi" w:hAnsiTheme="minorHAnsi"/>
        </w:rPr>
        <w:t>(</w:t>
      </w:r>
      <w:r w:rsidR="00C25C85" w:rsidRPr="00BC31E0">
        <w:rPr>
          <w:rFonts w:ascii="Cambria Math" w:hAnsi="Cambria Math"/>
        </w:rPr>
        <w:t>MPa</w:t>
      </w:r>
      <w:r w:rsidR="00C25C85" w:rsidRPr="00BC31E0">
        <w:rPr>
          <w:rFonts w:asciiTheme="minorHAnsi" w:hAnsiTheme="minorHAnsi"/>
        </w:rPr>
        <w:t>)</w:t>
      </w:r>
      <w:r w:rsidR="00C25C85" w:rsidRPr="00BC31E0">
        <w:rPr>
          <w:rFonts w:ascii="ＭＳ 明朝" w:hAnsi="ＭＳ 明朝" w:hint="eastAsia"/>
        </w:rPr>
        <w:t xml:space="preserve"> </w:t>
      </w:r>
      <w:r w:rsidR="00C25C85" w:rsidRPr="00BC31E0">
        <w:rPr>
          <w:rFonts w:asciiTheme="minorHAnsi" w:eastAsiaTheme="minorEastAsia" w:hAnsiTheme="minorHAnsi"/>
        </w:rPr>
        <w:t>(</w:t>
      </w:r>
      <w:r w:rsidR="00C25C85" w:rsidRPr="00BC31E0">
        <w:rPr>
          <w:rFonts w:asciiTheme="majorEastAsia" w:eastAsiaTheme="majorEastAsia" w:hAnsiTheme="majorEastAsia"/>
          <w:b/>
        </w:rPr>
        <w:t>附属書L 3</w:t>
      </w:r>
      <w:r w:rsidR="00C25C85" w:rsidRPr="00BC31E0">
        <w:rPr>
          <w:rFonts w:asciiTheme="minorHAnsi" w:eastAsiaTheme="minorEastAsia" w:hAnsiTheme="minorHAnsi"/>
        </w:rPr>
        <w:t>)</w:t>
      </w:r>
    </w:p>
    <w:p w14:paraId="731789E3" w14:textId="77777777" w:rsidR="00C25C85" w:rsidRPr="00BC31E0" w:rsidRDefault="00A51873" w:rsidP="008234D1">
      <w:pPr>
        <w:tabs>
          <w:tab w:val="left" w:pos="1276"/>
        </w:tabs>
        <w:autoSpaceDE w:val="0"/>
        <w:autoSpaceDN w:val="0"/>
        <w:ind w:left="1588" w:hanging="1021"/>
        <w:rPr>
          <w:rFonts w:asciiTheme="minorHAnsi" w:eastAsiaTheme="minorEastAsia" w:hAnsiTheme="minorHAnsi"/>
        </w:rPr>
      </w:pPr>
      <m:oMath>
        <m:sSub>
          <m:sSubPr>
            <m:ctrlPr>
              <w:rPr>
                <w:rFonts w:ascii="Cambria Math" w:hAnsi="Cambria Math"/>
                <w:i/>
              </w:rPr>
            </m:ctrlPr>
          </m:sSubPr>
          <m:e>
            <m:r>
              <w:rPr>
                <w:rFonts w:ascii="Cambria Math" w:hAnsi="Cambria Math"/>
              </w:rPr>
              <m:t>σ</m:t>
            </m:r>
          </m:e>
          <m:sub>
            <m:r>
              <w:rPr>
                <w:rFonts w:ascii="Cambria Math" w:hAnsi="Cambria Math"/>
              </w:rPr>
              <m:t>ij,m</m:t>
            </m:r>
          </m:sub>
        </m:sSub>
      </m:oMath>
      <w:r w:rsidR="00C25C85" w:rsidRPr="00BC31E0">
        <w:t xml:space="preserve"> </w:t>
      </w:r>
      <w:r w:rsidR="00C25C85" w:rsidRPr="00BC31E0">
        <w:rPr>
          <w:rFonts w:hint="eastAsia"/>
        </w:rPr>
        <w:tab/>
      </w:r>
      <w:r w:rsidR="00C25C85" w:rsidRPr="00BC31E0">
        <w:rPr>
          <w:rFonts w:hint="eastAsia"/>
        </w:rPr>
        <w:t>：</w:t>
      </w:r>
      <w:r w:rsidR="00C25C85" w:rsidRPr="00BC31E0">
        <w:rPr>
          <w:rFonts w:hint="eastAsia"/>
        </w:rPr>
        <w:t xml:space="preserve"> </w:t>
      </w:r>
      <w:r w:rsidR="00C25C85" w:rsidRPr="00BC31E0">
        <w:rPr>
          <w:rFonts w:asciiTheme="minorHAnsi" w:eastAsiaTheme="minorEastAsia" w:hAnsiTheme="minorEastAsia"/>
        </w:rPr>
        <w:t>膜応力テンソル</w:t>
      </w:r>
      <w:r w:rsidR="00C25C85" w:rsidRPr="00BC31E0">
        <w:rPr>
          <w:rFonts w:asciiTheme="minorHAnsi" w:hAnsiTheme="minorHAnsi"/>
        </w:rPr>
        <w:t>(</w:t>
      </w:r>
      <w:r w:rsidR="00C25C85" w:rsidRPr="00BC31E0">
        <w:rPr>
          <w:rFonts w:ascii="Cambria Math" w:hAnsi="Cambria Math"/>
        </w:rPr>
        <w:t>MPa</w:t>
      </w:r>
      <w:r w:rsidR="00C25C85" w:rsidRPr="00BC31E0">
        <w:rPr>
          <w:rFonts w:asciiTheme="minorHAnsi" w:hAnsiTheme="minorHAnsi"/>
        </w:rPr>
        <w:t>)</w:t>
      </w:r>
      <w:r w:rsidR="00C25C85" w:rsidRPr="00BC31E0">
        <w:rPr>
          <w:rFonts w:asciiTheme="minorHAnsi" w:eastAsiaTheme="minorEastAsia" w:hAnsiTheme="minorEastAsia" w:hint="eastAsia"/>
        </w:rPr>
        <w:t xml:space="preserve"> </w:t>
      </w:r>
      <w:r w:rsidR="00C25C85" w:rsidRPr="00BC31E0">
        <w:rPr>
          <w:rFonts w:asciiTheme="minorHAnsi" w:eastAsiaTheme="minorEastAsia" w:hAnsiTheme="minorHAnsi"/>
        </w:rPr>
        <w:t>(</w:t>
      </w:r>
      <w:r w:rsidR="00C25C85" w:rsidRPr="00BC31E0">
        <w:rPr>
          <w:rFonts w:asciiTheme="majorEastAsia" w:eastAsiaTheme="majorEastAsia" w:hAnsiTheme="majorEastAsia"/>
          <w:b/>
        </w:rPr>
        <w:t>附属書L 3</w:t>
      </w:r>
      <w:r w:rsidR="00C25C85" w:rsidRPr="00BC31E0">
        <w:rPr>
          <w:rFonts w:asciiTheme="minorHAnsi" w:eastAsiaTheme="minorEastAsia" w:hAnsiTheme="minorHAnsi"/>
        </w:rPr>
        <w:t>)</w:t>
      </w:r>
    </w:p>
    <w:p w14:paraId="6911C1DF" w14:textId="77777777" w:rsidR="00C25C85" w:rsidRPr="00BC31E0" w:rsidRDefault="00A51873" w:rsidP="008234D1">
      <w:pPr>
        <w:tabs>
          <w:tab w:val="left" w:pos="1276"/>
        </w:tabs>
        <w:autoSpaceDE w:val="0"/>
        <w:autoSpaceDN w:val="0"/>
        <w:ind w:left="1588" w:hanging="1021"/>
        <w:rPr>
          <w:rFonts w:asciiTheme="minorHAnsi" w:eastAsiaTheme="minorEastAsia" w:hAnsiTheme="minorHAnsi"/>
        </w:rPr>
      </w:pPr>
      <m:oMath>
        <m:sSub>
          <m:sSubPr>
            <m:ctrlPr>
              <w:rPr>
                <w:rFonts w:ascii="Cambria Math" w:hAnsi="Cambria Math"/>
                <w:i/>
              </w:rPr>
            </m:ctrlPr>
          </m:sSubPr>
          <m:e>
            <m:r>
              <w:rPr>
                <w:rFonts w:ascii="Cambria Math" w:hAnsi="Cambria Math"/>
              </w:rPr>
              <m:t>σ</m:t>
            </m:r>
          </m:e>
          <m:sub>
            <m:r>
              <w:rPr>
                <w:rFonts w:ascii="Cambria Math" w:hAnsi="Cambria Math"/>
              </w:rPr>
              <m:t>ij</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L</m:t>
                </m:r>
              </m:sub>
            </m:sSub>
          </m:e>
        </m:d>
      </m:oMath>
      <w:r w:rsidR="00C25C85" w:rsidRPr="00BC31E0">
        <w:t xml:space="preserve"> </w:t>
      </w:r>
      <w:r w:rsidR="00C25C85" w:rsidRPr="00BC31E0">
        <w:rPr>
          <w:rFonts w:hint="eastAsia"/>
        </w:rPr>
        <w:t>：</w:t>
      </w:r>
      <w:r w:rsidR="00C25C85" w:rsidRPr="00BC31E0">
        <w:rPr>
          <w:rFonts w:hint="eastAsia"/>
        </w:rPr>
        <w:t xml:space="preserve"> </w:t>
      </w:r>
      <w:r w:rsidR="00C25C85" w:rsidRPr="00BC31E0">
        <w:rPr>
          <w:rFonts w:asciiTheme="minorHAnsi" w:eastAsiaTheme="minorEastAsia" w:hAnsiTheme="minorHAnsi"/>
        </w:rPr>
        <w:t>SCL</w:t>
      </w:r>
      <w:r w:rsidR="00C25C85" w:rsidRPr="00BC31E0">
        <w:rPr>
          <w:rFonts w:asciiTheme="minorHAnsi" w:eastAsiaTheme="minorEastAsia" w:hAnsiTheme="minorEastAsia"/>
        </w:rPr>
        <w:t>上の評価点の応力テンソル</w:t>
      </w:r>
      <w:r w:rsidR="00C25C85" w:rsidRPr="00BC31E0">
        <w:rPr>
          <w:rFonts w:asciiTheme="minorHAnsi" w:hAnsiTheme="minorHAnsi"/>
        </w:rPr>
        <w:t>(</w:t>
      </w:r>
      <w:r w:rsidR="00C25C85" w:rsidRPr="00BC31E0">
        <w:rPr>
          <w:rFonts w:ascii="Cambria Math" w:hAnsi="Cambria Math"/>
        </w:rPr>
        <w:t>MPa</w:t>
      </w:r>
      <w:r w:rsidR="00C25C85" w:rsidRPr="00BC31E0">
        <w:rPr>
          <w:rFonts w:asciiTheme="minorHAnsi" w:hAnsiTheme="minorHAnsi"/>
        </w:rPr>
        <w:t>)</w:t>
      </w:r>
      <w:r w:rsidR="00C25C85" w:rsidRPr="00BC31E0">
        <w:rPr>
          <w:rFonts w:asciiTheme="minorHAnsi" w:eastAsiaTheme="minorEastAsia" w:hAnsiTheme="minorEastAsia" w:hint="eastAsia"/>
        </w:rPr>
        <w:t xml:space="preserve"> </w:t>
      </w:r>
      <w:r w:rsidR="00C25C85" w:rsidRPr="00BC31E0">
        <w:rPr>
          <w:rFonts w:asciiTheme="minorHAnsi" w:eastAsiaTheme="minorEastAsia" w:hAnsiTheme="minorHAnsi"/>
        </w:rPr>
        <w:t>(</w:t>
      </w:r>
      <w:r w:rsidR="00C25C85" w:rsidRPr="00BC31E0">
        <w:rPr>
          <w:rFonts w:asciiTheme="majorEastAsia" w:eastAsiaTheme="majorEastAsia" w:hAnsiTheme="majorEastAsia"/>
          <w:b/>
        </w:rPr>
        <w:t>附属書L 3</w:t>
      </w:r>
      <w:r w:rsidR="00C25C85" w:rsidRPr="00BC31E0">
        <w:rPr>
          <w:rFonts w:asciiTheme="minorHAnsi" w:eastAsiaTheme="minorEastAsia" w:hAnsiTheme="minorHAnsi"/>
        </w:rPr>
        <w:t>)</w:t>
      </w:r>
    </w:p>
    <w:p w14:paraId="69478451" w14:textId="77777777" w:rsidR="00C25C85" w:rsidRPr="00BC31E0" w:rsidRDefault="00A51873" w:rsidP="008234D1">
      <w:pPr>
        <w:tabs>
          <w:tab w:val="left" w:pos="1276"/>
        </w:tabs>
        <w:autoSpaceDE w:val="0"/>
        <w:autoSpaceDN w:val="0"/>
        <w:ind w:left="1588" w:hanging="1021"/>
        <w:rPr>
          <w:rFonts w:asciiTheme="minorHAnsi" w:eastAsiaTheme="minorEastAsia" w:hAnsiTheme="minorHAnsi"/>
        </w:rPr>
      </w:pPr>
      <m:oMath>
        <m:sSub>
          <m:sSubPr>
            <m:ctrlPr>
              <w:rPr>
                <w:rFonts w:ascii="Cambria Math" w:hAnsi="Cambria Math"/>
                <w:i/>
              </w:rPr>
            </m:ctrlPr>
          </m:sSubPr>
          <m:e>
            <m:r>
              <w:rPr>
                <w:rFonts w:ascii="Cambria Math" w:hAnsi="Cambria Math"/>
              </w:rPr>
              <m:t>σ</m:t>
            </m:r>
          </m:e>
          <m:sub>
            <m:r>
              <w:rPr>
                <w:rFonts w:ascii="Cambria Math" w:hAnsi="Cambria Math"/>
              </w:rPr>
              <m:t>ij,F</m:t>
            </m:r>
          </m:sub>
        </m:sSub>
      </m:oMath>
      <w:r w:rsidR="00C25C85" w:rsidRPr="00BC31E0">
        <w:rPr>
          <w:rFonts w:asciiTheme="minorHAnsi" w:eastAsiaTheme="minorEastAsia" w:hAnsiTheme="minorHAnsi"/>
        </w:rPr>
        <w:t xml:space="preserve"> </w:t>
      </w:r>
      <w:r w:rsidR="00C25C85" w:rsidRPr="00BC31E0">
        <w:rPr>
          <w:rFonts w:asciiTheme="minorHAnsi" w:eastAsiaTheme="minorEastAsia" w:hAnsiTheme="minorHAnsi" w:hint="eastAsia"/>
        </w:rPr>
        <w:tab/>
      </w:r>
      <w:r w:rsidR="00C25C85" w:rsidRPr="00BC31E0">
        <w:rPr>
          <w:rFonts w:asciiTheme="minorHAnsi" w:eastAsiaTheme="minorEastAsia" w:hAnsiTheme="minorHAnsi" w:hint="eastAsia"/>
        </w:rPr>
        <w:t>：</w:t>
      </w:r>
      <w:r w:rsidR="00C25C85" w:rsidRPr="00BC31E0">
        <w:rPr>
          <w:rFonts w:asciiTheme="minorHAnsi" w:eastAsiaTheme="minorEastAsia" w:hAnsiTheme="minorHAnsi" w:hint="eastAsia"/>
        </w:rPr>
        <w:t xml:space="preserve"> </w:t>
      </w:r>
      <w:r w:rsidR="00C25C85" w:rsidRPr="00BC31E0">
        <w:rPr>
          <w:rFonts w:hint="eastAsia"/>
        </w:rPr>
        <w:t>ピーク応力テンソル</w:t>
      </w:r>
      <w:r w:rsidR="00C25C85" w:rsidRPr="00BC31E0">
        <w:rPr>
          <w:rFonts w:hint="eastAsia"/>
        </w:rPr>
        <w:t>(</w:t>
      </w:r>
      <w:r w:rsidR="00C25C85" w:rsidRPr="00BC31E0">
        <w:rPr>
          <w:rFonts w:ascii="Cambria Math" w:hAnsi="Cambria Math"/>
        </w:rPr>
        <w:t>MPa</w:t>
      </w:r>
      <w:r w:rsidR="00C25C85" w:rsidRPr="00BC31E0">
        <w:rPr>
          <w:rFonts w:hint="eastAsia"/>
        </w:rPr>
        <w:t>)</w:t>
      </w:r>
      <w:r w:rsidR="00C25C85" w:rsidRPr="00BC31E0">
        <w:rPr>
          <w:rFonts w:asciiTheme="minorHAnsi" w:eastAsiaTheme="minorEastAsia" w:hAnsiTheme="minorEastAsia" w:hint="eastAsia"/>
        </w:rPr>
        <w:t xml:space="preserve"> </w:t>
      </w:r>
      <w:r w:rsidR="00C25C85" w:rsidRPr="00BC31E0">
        <w:rPr>
          <w:rFonts w:asciiTheme="minorHAnsi" w:eastAsiaTheme="minorEastAsia" w:hAnsiTheme="minorHAnsi"/>
        </w:rPr>
        <w:t>(</w:t>
      </w:r>
      <w:r w:rsidR="00C25C85" w:rsidRPr="00BC31E0">
        <w:rPr>
          <w:rFonts w:asciiTheme="majorEastAsia" w:eastAsiaTheme="majorEastAsia" w:hAnsiTheme="majorEastAsia"/>
          <w:b/>
        </w:rPr>
        <w:t>附属書L 3</w:t>
      </w:r>
      <w:r w:rsidR="00C25C85" w:rsidRPr="00BC31E0">
        <w:rPr>
          <w:rFonts w:asciiTheme="minorHAnsi" w:eastAsiaTheme="minorEastAsia" w:hAnsiTheme="minorHAnsi"/>
        </w:rPr>
        <w:t>)</w:t>
      </w:r>
    </w:p>
    <w:p w14:paraId="77ABFE60" w14:textId="77777777" w:rsidR="00C25C85" w:rsidRPr="00BC31E0" w:rsidRDefault="00A51873" w:rsidP="008234D1">
      <w:pPr>
        <w:tabs>
          <w:tab w:val="left" w:pos="1843"/>
        </w:tabs>
        <w:autoSpaceDE w:val="0"/>
        <w:autoSpaceDN w:val="0"/>
        <w:ind w:left="567"/>
        <w:rPr>
          <w:rFonts w:asciiTheme="minorHAnsi" w:eastAsiaTheme="minorEastAsia" w:hAnsiTheme="minorHAnsi"/>
        </w:rPr>
      </w:pP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ij,F</m:t>
            </m:r>
          </m:sub>
        </m:sSub>
        <m:sSub>
          <m:sSubPr>
            <m:ctrlPr>
              <w:rPr>
                <w:rFonts w:ascii="Cambria Math" w:eastAsiaTheme="minorEastAsia" w:hAnsi="Cambria Math"/>
                <w:i/>
              </w:rPr>
            </m:ctrlPr>
          </m:sSub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L</m:t>
                    </m:r>
                  </m:sub>
                </m:sSub>
              </m:e>
            </m:d>
            <m:r>
              <w:rPr>
                <w:rFonts w:ascii="Cambria Math" w:eastAsiaTheme="minorEastAsia" w:hAnsi="Cambria Math"/>
              </w:rPr>
              <m:t>|</m:t>
            </m:r>
          </m:e>
          <m: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L</m:t>
                </m:r>
              </m:sub>
            </m:sSub>
            <m:r>
              <w:rPr>
                <w:rFonts w:ascii="Cambria Math" w:eastAsiaTheme="minorEastAsia" w:hAnsi="Cambria Math"/>
              </w:rPr>
              <m:t>=0</m:t>
            </m:r>
          </m:sub>
        </m:sSub>
      </m:oMath>
      <w:r w:rsidR="00C25C85" w:rsidRPr="00BC31E0">
        <w:rPr>
          <w:rFonts w:hint="eastAsia"/>
        </w:rPr>
        <w:tab/>
      </w:r>
      <w:r w:rsidR="00C25C85" w:rsidRPr="00BC31E0">
        <w:rPr>
          <w:rFonts w:hint="eastAsia"/>
        </w:rPr>
        <w:t>：</w:t>
      </w:r>
      <w:r w:rsidR="00C25C85" w:rsidRPr="00BC31E0">
        <w:rPr>
          <w:rFonts w:hint="eastAsia"/>
        </w:rPr>
        <w:t xml:space="preserve"> </w:t>
      </w:r>
      <m:oMath>
        <m:sSub>
          <m:sSubPr>
            <m:ctrlPr>
              <w:rPr>
                <w:rFonts w:ascii="Cambria Math" w:hAnsi="Cambria Math"/>
                <w:i/>
              </w:rPr>
            </m:ctrlPr>
          </m:sSubPr>
          <m:e>
            <m:r>
              <w:rPr>
                <w:rFonts w:ascii="Cambria Math" w:hAnsi="Cambria Math"/>
              </w:rPr>
              <m:t>x</m:t>
            </m:r>
          </m:e>
          <m:sub>
            <m:r>
              <w:rPr>
                <w:rFonts w:ascii="Cambria Math" w:hAnsi="Cambria Math"/>
              </w:rPr>
              <m:t>L</m:t>
            </m:r>
          </m:sub>
        </m:sSub>
        <m:r>
          <w:rPr>
            <w:rFonts w:ascii="Cambria Math" w:hAnsi="Cambria Math"/>
          </w:rPr>
          <m:t xml:space="preserve">=0 </m:t>
        </m:r>
      </m:oMath>
      <w:r w:rsidR="00C25C85" w:rsidRPr="00BC31E0">
        <w:rPr>
          <w:rFonts w:asciiTheme="minorHAnsi" w:hAnsiTheme="minorHAnsi" w:hint="eastAsia"/>
        </w:rPr>
        <w:t>におけるピーク</w:t>
      </w:r>
      <w:r w:rsidR="00C25C85" w:rsidRPr="00BC31E0">
        <w:rPr>
          <w:rFonts w:ascii="ＭＳ 明朝" w:hAnsi="ＭＳ 明朝" w:hint="eastAsia"/>
        </w:rPr>
        <w:t>応力テンソル</w:t>
      </w:r>
      <w:r w:rsidR="00C25C85" w:rsidRPr="00BC31E0">
        <w:rPr>
          <w:rFonts w:asciiTheme="minorHAnsi" w:hAnsiTheme="minorHAnsi"/>
        </w:rPr>
        <w:t>(</w:t>
      </w:r>
      <w:r w:rsidR="00C25C85" w:rsidRPr="00BC31E0">
        <w:rPr>
          <w:rFonts w:ascii="Cambria Math" w:hAnsi="Cambria Math"/>
        </w:rPr>
        <w:t>MPa</w:t>
      </w:r>
      <w:r w:rsidR="00C25C85" w:rsidRPr="00BC31E0">
        <w:rPr>
          <w:rFonts w:asciiTheme="minorHAnsi" w:hAnsiTheme="minorHAnsi"/>
        </w:rPr>
        <w:t>)</w:t>
      </w:r>
      <w:r w:rsidR="00C25C85" w:rsidRPr="00BC31E0">
        <w:rPr>
          <w:rFonts w:asciiTheme="minorHAnsi" w:hAnsiTheme="minorHAnsi" w:hint="eastAsia"/>
        </w:rPr>
        <w:t xml:space="preserve"> </w:t>
      </w:r>
      <w:r w:rsidR="00C25C85" w:rsidRPr="00BC31E0">
        <w:rPr>
          <w:rFonts w:asciiTheme="minorHAnsi" w:eastAsiaTheme="minorEastAsia" w:hAnsiTheme="minorHAnsi"/>
        </w:rPr>
        <w:t>(</w:t>
      </w:r>
      <w:r w:rsidR="00C25C85" w:rsidRPr="00BC31E0">
        <w:rPr>
          <w:rFonts w:asciiTheme="majorEastAsia" w:eastAsiaTheme="majorEastAsia" w:hAnsiTheme="majorEastAsia"/>
          <w:b/>
        </w:rPr>
        <w:t>附属書L 3</w:t>
      </w:r>
      <w:r w:rsidR="00C25C85" w:rsidRPr="00BC31E0">
        <w:rPr>
          <w:rFonts w:asciiTheme="minorHAnsi" w:eastAsiaTheme="minorEastAsia" w:hAnsiTheme="minorHAnsi"/>
        </w:rPr>
        <w:t>)</w:t>
      </w:r>
    </w:p>
    <w:p w14:paraId="1C4A98BF" w14:textId="77777777" w:rsidR="00C25C85" w:rsidRPr="00BC31E0" w:rsidRDefault="00A51873" w:rsidP="008234D1">
      <w:pPr>
        <w:tabs>
          <w:tab w:val="left" w:pos="1843"/>
        </w:tabs>
        <w:autoSpaceDE w:val="0"/>
        <w:autoSpaceDN w:val="0"/>
        <w:ind w:left="567"/>
        <w:rPr>
          <w:rFonts w:asciiTheme="minorHAnsi" w:eastAsiaTheme="minorEastAsia" w:hAnsiTheme="minorHAnsi"/>
        </w:rPr>
      </w:pP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ij</m:t>
            </m:r>
          </m:sub>
        </m:sSub>
        <m:sSub>
          <m:sSubPr>
            <m:ctrlPr>
              <w:rPr>
                <w:rFonts w:ascii="Cambria Math" w:eastAsiaTheme="minorEastAsia" w:hAnsi="Cambria Math"/>
                <w:i/>
              </w:rPr>
            </m:ctrlPr>
          </m:sSub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L</m:t>
                    </m:r>
                  </m:sub>
                </m:sSub>
              </m:e>
            </m:d>
            <m:r>
              <w:rPr>
                <w:rFonts w:ascii="Cambria Math" w:eastAsiaTheme="minorEastAsia" w:hAnsi="Cambria Math"/>
              </w:rPr>
              <m:t>|</m:t>
            </m:r>
          </m:e>
          <m: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L</m:t>
                </m:r>
              </m:sub>
            </m:sSub>
            <m:r>
              <w:rPr>
                <w:rFonts w:ascii="Cambria Math" w:eastAsiaTheme="minorEastAsia" w:hAnsi="Cambria Math"/>
              </w:rPr>
              <m:t>=0</m:t>
            </m:r>
          </m:sub>
        </m:sSub>
      </m:oMath>
      <w:r w:rsidR="00C25C85" w:rsidRPr="00BC31E0">
        <w:t xml:space="preserve"> </w:t>
      </w:r>
      <w:r w:rsidR="00C25C85" w:rsidRPr="00BC31E0">
        <w:rPr>
          <w:rFonts w:hint="eastAsia"/>
        </w:rPr>
        <w:tab/>
      </w:r>
      <w:r w:rsidR="00C25C85" w:rsidRPr="00BC31E0">
        <w:rPr>
          <w:rFonts w:hint="eastAsia"/>
        </w:rPr>
        <w:t>：</w:t>
      </w:r>
      <w:r w:rsidR="00C25C85" w:rsidRPr="00BC31E0">
        <w:rPr>
          <w:rFonts w:hint="eastAsia"/>
        </w:rPr>
        <w:t xml:space="preserve"> </w:t>
      </w:r>
      <m:oMath>
        <m:sSub>
          <m:sSubPr>
            <m:ctrlPr>
              <w:rPr>
                <w:rFonts w:ascii="Cambria Math" w:hAnsi="Cambria Math"/>
                <w:i/>
              </w:rPr>
            </m:ctrlPr>
          </m:sSubPr>
          <m:e>
            <m:r>
              <w:rPr>
                <w:rFonts w:ascii="Cambria Math" w:hAnsi="Cambria Math"/>
              </w:rPr>
              <m:t>x</m:t>
            </m:r>
          </m:e>
          <m:sub>
            <m:r>
              <w:rPr>
                <w:rFonts w:ascii="Cambria Math" w:hAnsi="Cambria Math"/>
              </w:rPr>
              <m:t>L</m:t>
            </m:r>
          </m:sub>
        </m:sSub>
        <m:r>
          <w:rPr>
            <w:rFonts w:ascii="Cambria Math" w:hAnsi="Cambria Math"/>
          </w:rPr>
          <m:t xml:space="preserve">=0 </m:t>
        </m:r>
      </m:oMath>
      <w:r w:rsidR="00C25C85" w:rsidRPr="00BC31E0">
        <w:rPr>
          <w:rFonts w:asciiTheme="minorHAnsi" w:hAnsiTheme="minorHAnsi" w:hint="eastAsia"/>
        </w:rPr>
        <w:t>における応力テンソル</w:t>
      </w:r>
      <w:r w:rsidR="00C25C85" w:rsidRPr="00BC31E0">
        <w:rPr>
          <w:rFonts w:asciiTheme="minorHAnsi" w:hAnsiTheme="minorHAnsi"/>
        </w:rPr>
        <w:t>(</w:t>
      </w:r>
      <w:r w:rsidR="00C25C85" w:rsidRPr="00BC31E0">
        <w:rPr>
          <w:rFonts w:ascii="Cambria Math" w:hAnsi="Cambria Math"/>
        </w:rPr>
        <w:t>MPa</w:t>
      </w:r>
      <w:r w:rsidR="00C25C85" w:rsidRPr="00BC31E0">
        <w:rPr>
          <w:rFonts w:asciiTheme="minorHAnsi" w:hAnsiTheme="minorHAnsi"/>
        </w:rPr>
        <w:t>)</w:t>
      </w:r>
      <w:r w:rsidR="00C25C85" w:rsidRPr="00BC31E0">
        <w:rPr>
          <w:rFonts w:asciiTheme="minorHAnsi" w:hAnsiTheme="minorHAnsi" w:hint="eastAsia"/>
        </w:rPr>
        <w:t xml:space="preserve"> </w:t>
      </w:r>
      <w:r w:rsidR="00C25C85" w:rsidRPr="00BC31E0">
        <w:rPr>
          <w:rFonts w:asciiTheme="minorHAnsi" w:eastAsiaTheme="minorEastAsia" w:hAnsiTheme="minorHAnsi"/>
        </w:rPr>
        <w:t>(</w:t>
      </w:r>
      <w:r w:rsidR="00C25C85" w:rsidRPr="00BC31E0">
        <w:rPr>
          <w:rFonts w:asciiTheme="majorEastAsia" w:eastAsiaTheme="majorEastAsia" w:hAnsiTheme="majorEastAsia"/>
          <w:b/>
        </w:rPr>
        <w:t>附属書L 3</w:t>
      </w:r>
      <w:r w:rsidR="00C25C85" w:rsidRPr="00BC31E0">
        <w:rPr>
          <w:rFonts w:asciiTheme="minorHAnsi" w:eastAsiaTheme="minorEastAsia" w:hAnsiTheme="minorHAnsi"/>
        </w:rPr>
        <w:t>)</w:t>
      </w:r>
    </w:p>
    <w:p w14:paraId="74D29234" w14:textId="77777777" w:rsidR="00C25C85" w:rsidRPr="00BC31E0" w:rsidRDefault="00A51873" w:rsidP="008234D1">
      <w:pPr>
        <w:tabs>
          <w:tab w:val="left" w:pos="1843"/>
        </w:tabs>
        <w:autoSpaceDE w:val="0"/>
        <w:autoSpaceDN w:val="0"/>
        <w:ind w:left="567"/>
        <w:rPr>
          <w:rFonts w:asciiTheme="minorHAnsi" w:eastAsiaTheme="minorEastAsia" w:hAnsiTheme="minorHAnsi"/>
        </w:rPr>
      </w:pP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ij,F</m:t>
            </m:r>
          </m:sub>
        </m:sSub>
        <m:sSub>
          <m:sSubPr>
            <m:ctrlPr>
              <w:rPr>
                <w:rFonts w:ascii="Cambria Math" w:eastAsiaTheme="minorEastAsia" w:hAnsi="Cambria Math"/>
                <w:i/>
              </w:rPr>
            </m:ctrlPr>
          </m:sSub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L</m:t>
                    </m:r>
                  </m:sub>
                </m:sSub>
              </m:e>
            </m:d>
            <m:r>
              <w:rPr>
                <w:rFonts w:ascii="Cambria Math" w:eastAsiaTheme="minorEastAsia" w:hAnsi="Cambria Math"/>
              </w:rPr>
              <m:t>|</m:t>
            </m:r>
          </m:e>
          <m: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L</m:t>
                </m:r>
              </m:sub>
            </m:sSub>
            <m:r>
              <w:rPr>
                <w:rFonts w:ascii="Cambria Math" w:eastAsiaTheme="minorEastAsia" w:hAnsi="Cambria Math"/>
              </w:rPr>
              <m:t>=t</m:t>
            </m:r>
          </m:sub>
        </m:sSub>
      </m:oMath>
      <w:r w:rsidR="00C25C85" w:rsidRPr="00BC31E0">
        <w:t xml:space="preserve"> </w:t>
      </w:r>
      <w:r w:rsidR="00C25C85" w:rsidRPr="00BC31E0">
        <w:rPr>
          <w:rFonts w:hint="eastAsia"/>
        </w:rPr>
        <w:t>：</w:t>
      </w:r>
      <w:r w:rsidR="00C25C85" w:rsidRPr="00BC31E0">
        <w:rPr>
          <w:rFonts w:hint="eastAsia"/>
        </w:rPr>
        <w:t xml:space="preserve"> </w:t>
      </w:r>
      <m:oMath>
        <m:sSub>
          <m:sSubPr>
            <m:ctrlPr>
              <w:rPr>
                <w:rFonts w:ascii="Cambria Math" w:hAnsi="Cambria Math"/>
                <w:i/>
              </w:rPr>
            </m:ctrlPr>
          </m:sSubPr>
          <m:e>
            <m:r>
              <w:rPr>
                <w:rFonts w:ascii="Cambria Math" w:hAnsi="Cambria Math"/>
              </w:rPr>
              <m:t>x</m:t>
            </m:r>
          </m:e>
          <m:sub>
            <m:r>
              <w:rPr>
                <w:rFonts w:ascii="Cambria Math" w:hAnsi="Cambria Math"/>
              </w:rPr>
              <m:t>L</m:t>
            </m:r>
          </m:sub>
        </m:sSub>
        <m:r>
          <w:rPr>
            <w:rFonts w:ascii="Cambria Math" w:hAnsi="Cambria Math"/>
          </w:rPr>
          <m:t xml:space="preserve">=t </m:t>
        </m:r>
      </m:oMath>
      <w:r w:rsidR="00C25C85" w:rsidRPr="00BC31E0">
        <w:rPr>
          <w:rFonts w:asciiTheme="minorHAnsi" w:hAnsiTheme="minorHAnsi" w:hint="eastAsia"/>
        </w:rPr>
        <w:t>におけるピーク</w:t>
      </w:r>
      <w:r w:rsidR="00C25C85" w:rsidRPr="00BC31E0">
        <w:rPr>
          <w:rFonts w:ascii="ＭＳ 明朝" w:hAnsi="ＭＳ 明朝" w:hint="eastAsia"/>
        </w:rPr>
        <w:t>応力テンソル</w:t>
      </w:r>
      <w:r w:rsidR="00C25C85" w:rsidRPr="00BC31E0">
        <w:rPr>
          <w:rFonts w:asciiTheme="minorHAnsi" w:hAnsiTheme="minorHAnsi"/>
        </w:rPr>
        <w:t>(</w:t>
      </w:r>
      <w:r w:rsidR="00C25C85" w:rsidRPr="00BC31E0">
        <w:rPr>
          <w:rFonts w:ascii="Cambria Math" w:hAnsi="Cambria Math"/>
        </w:rPr>
        <w:t>MPa</w:t>
      </w:r>
      <w:r w:rsidR="00C25C85" w:rsidRPr="00BC31E0">
        <w:rPr>
          <w:rFonts w:asciiTheme="minorHAnsi" w:hAnsiTheme="minorHAnsi"/>
        </w:rPr>
        <w:t>)</w:t>
      </w:r>
      <w:r w:rsidR="00C25C85" w:rsidRPr="00BC31E0">
        <w:rPr>
          <w:rFonts w:asciiTheme="minorHAnsi" w:hAnsiTheme="minorHAnsi" w:hint="eastAsia"/>
        </w:rPr>
        <w:t xml:space="preserve"> </w:t>
      </w:r>
      <w:r w:rsidR="00C25C85" w:rsidRPr="00BC31E0">
        <w:rPr>
          <w:rFonts w:asciiTheme="minorHAnsi" w:eastAsiaTheme="minorEastAsia" w:hAnsiTheme="minorHAnsi"/>
        </w:rPr>
        <w:t>(</w:t>
      </w:r>
      <w:r w:rsidR="00C25C85" w:rsidRPr="00BC31E0">
        <w:rPr>
          <w:rFonts w:asciiTheme="majorEastAsia" w:eastAsiaTheme="majorEastAsia" w:hAnsiTheme="majorEastAsia"/>
          <w:b/>
        </w:rPr>
        <w:t>附属書L 3</w:t>
      </w:r>
      <w:r w:rsidR="00C25C85" w:rsidRPr="00BC31E0">
        <w:rPr>
          <w:rFonts w:asciiTheme="minorHAnsi" w:eastAsiaTheme="minorEastAsia" w:hAnsiTheme="minorHAnsi"/>
        </w:rPr>
        <w:t>)</w:t>
      </w:r>
    </w:p>
    <w:p w14:paraId="4D3FC548" w14:textId="77777777" w:rsidR="00C25C85" w:rsidRPr="00BC31E0" w:rsidRDefault="00A51873" w:rsidP="008234D1">
      <w:pPr>
        <w:tabs>
          <w:tab w:val="left" w:pos="1843"/>
        </w:tabs>
        <w:autoSpaceDE w:val="0"/>
        <w:autoSpaceDN w:val="0"/>
        <w:ind w:left="567"/>
        <w:rPr>
          <w:rFonts w:asciiTheme="minorHAnsi" w:eastAsiaTheme="minorEastAsia" w:hAnsiTheme="minorHAnsi"/>
        </w:rPr>
      </w:pP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ij</m:t>
            </m:r>
          </m:sub>
        </m:sSub>
        <m:sSub>
          <m:sSubPr>
            <m:ctrlPr>
              <w:rPr>
                <w:rFonts w:ascii="Cambria Math" w:eastAsiaTheme="minorEastAsia" w:hAnsi="Cambria Math"/>
                <w:i/>
              </w:rPr>
            </m:ctrlPr>
          </m:sSub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L</m:t>
                    </m:r>
                  </m:sub>
                </m:sSub>
              </m:e>
            </m:d>
            <m:r>
              <w:rPr>
                <w:rFonts w:ascii="Cambria Math" w:eastAsiaTheme="minorEastAsia" w:hAnsi="Cambria Math"/>
              </w:rPr>
              <m:t>|</m:t>
            </m:r>
          </m:e>
          <m: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L</m:t>
                </m:r>
              </m:sub>
            </m:sSub>
            <m:r>
              <w:rPr>
                <w:rFonts w:ascii="Cambria Math" w:eastAsiaTheme="minorEastAsia" w:hAnsi="Cambria Math"/>
              </w:rPr>
              <m:t>=t</m:t>
            </m:r>
          </m:sub>
        </m:sSub>
      </m:oMath>
      <w:r w:rsidR="00C25C85" w:rsidRPr="00BC31E0">
        <w:t xml:space="preserve"> </w:t>
      </w:r>
      <w:r w:rsidR="00C25C85" w:rsidRPr="00BC31E0">
        <w:rPr>
          <w:rFonts w:hint="eastAsia"/>
        </w:rPr>
        <w:tab/>
      </w:r>
      <w:r w:rsidR="00C25C85" w:rsidRPr="00BC31E0">
        <w:rPr>
          <w:rFonts w:hint="eastAsia"/>
        </w:rPr>
        <w:t>：</w:t>
      </w:r>
      <w:r w:rsidR="00C25C85" w:rsidRPr="00BC31E0">
        <w:rPr>
          <w:rFonts w:hint="eastAsia"/>
        </w:rPr>
        <w:t xml:space="preserve"> </w:t>
      </w:r>
      <m:oMath>
        <m:sSub>
          <m:sSubPr>
            <m:ctrlPr>
              <w:rPr>
                <w:rFonts w:ascii="Cambria Math" w:hAnsi="Cambria Math"/>
                <w:i/>
              </w:rPr>
            </m:ctrlPr>
          </m:sSubPr>
          <m:e>
            <m:r>
              <w:rPr>
                <w:rFonts w:ascii="Cambria Math" w:hAnsi="Cambria Math"/>
              </w:rPr>
              <m:t>x</m:t>
            </m:r>
          </m:e>
          <m:sub>
            <m:r>
              <w:rPr>
                <w:rFonts w:ascii="Cambria Math" w:hAnsi="Cambria Math"/>
              </w:rPr>
              <m:t>L</m:t>
            </m:r>
          </m:sub>
        </m:sSub>
        <m:r>
          <w:rPr>
            <w:rFonts w:ascii="Cambria Math" w:hAnsi="Cambria Math"/>
          </w:rPr>
          <m:t xml:space="preserve">=t </m:t>
        </m:r>
      </m:oMath>
      <w:r w:rsidR="00C25C85" w:rsidRPr="00BC31E0">
        <w:rPr>
          <w:rFonts w:asciiTheme="minorHAnsi" w:hAnsiTheme="minorHAnsi" w:hint="eastAsia"/>
        </w:rPr>
        <w:t>における応力テンソル</w:t>
      </w:r>
      <w:r w:rsidR="00C25C85" w:rsidRPr="00BC31E0">
        <w:rPr>
          <w:rFonts w:asciiTheme="minorHAnsi" w:hAnsiTheme="minorHAnsi"/>
        </w:rPr>
        <w:t>(</w:t>
      </w:r>
      <w:r w:rsidR="00C25C85" w:rsidRPr="00BC31E0">
        <w:rPr>
          <w:rFonts w:ascii="Cambria Math" w:hAnsi="Cambria Math"/>
        </w:rPr>
        <w:t>MPa</w:t>
      </w:r>
      <w:r w:rsidR="00C25C85" w:rsidRPr="00BC31E0">
        <w:rPr>
          <w:rFonts w:asciiTheme="minorHAnsi" w:hAnsiTheme="minorHAnsi"/>
        </w:rPr>
        <w:t>)</w:t>
      </w:r>
      <w:r w:rsidR="00C25C85" w:rsidRPr="00BC31E0">
        <w:rPr>
          <w:rFonts w:asciiTheme="minorHAnsi" w:hAnsiTheme="minorHAnsi" w:hint="eastAsia"/>
        </w:rPr>
        <w:t xml:space="preserve"> </w:t>
      </w:r>
      <w:r w:rsidR="00C25C85" w:rsidRPr="00BC31E0">
        <w:rPr>
          <w:rFonts w:asciiTheme="minorHAnsi" w:eastAsiaTheme="minorEastAsia" w:hAnsiTheme="minorHAnsi"/>
        </w:rPr>
        <w:t>(</w:t>
      </w:r>
      <w:r w:rsidR="00C25C85" w:rsidRPr="00BC31E0">
        <w:rPr>
          <w:rFonts w:asciiTheme="majorEastAsia" w:eastAsiaTheme="majorEastAsia" w:hAnsiTheme="majorEastAsia"/>
          <w:b/>
        </w:rPr>
        <w:t>附属書L 3</w:t>
      </w:r>
      <w:r w:rsidR="00C25C85" w:rsidRPr="00BC31E0">
        <w:rPr>
          <w:rFonts w:asciiTheme="minorHAnsi" w:eastAsiaTheme="minorEastAsia" w:hAnsiTheme="minorHAnsi"/>
        </w:rPr>
        <w:t>)</w:t>
      </w:r>
    </w:p>
    <w:p w14:paraId="228046AE" w14:textId="77777777" w:rsidR="00C25C85" w:rsidRPr="00BC31E0" w:rsidRDefault="00A51873" w:rsidP="008234D1">
      <w:pPr>
        <w:tabs>
          <w:tab w:val="left" w:pos="1276"/>
        </w:tabs>
        <w:autoSpaceDE w:val="0"/>
        <w:autoSpaceDN w:val="0"/>
        <w:ind w:left="1588" w:hanging="1021"/>
        <w:rPr>
          <w:rFonts w:asciiTheme="minorHAnsi" w:eastAsiaTheme="minorEastAsia" w:hAnsiTheme="minorHAnsi"/>
        </w:rPr>
      </w:pPr>
      <m:oMath>
        <m:sSub>
          <m:sSubPr>
            <m:ctrlPr>
              <w:rPr>
                <w:rFonts w:ascii="Cambria Math" w:hAnsi="Cambria Math"/>
                <w:i/>
              </w:rPr>
            </m:ctrlPr>
          </m:sSubPr>
          <m:e>
            <m:r>
              <w:rPr>
                <w:rFonts w:ascii="Cambria Math" w:hAnsi="Cambria Math"/>
              </w:rPr>
              <m:t>σ</m:t>
            </m:r>
          </m:e>
          <m:sub>
            <m:r>
              <w:rPr>
                <w:rFonts w:ascii="Cambria Math" w:hAnsi="Cambria Math"/>
              </w:rPr>
              <m:t>ij,in</m:t>
            </m:r>
          </m:sub>
        </m:sSub>
      </m:oMath>
      <w:r w:rsidR="00C25C85" w:rsidRPr="00BC31E0">
        <w:t xml:space="preserve"> </w:t>
      </w:r>
      <w:r w:rsidR="00C25C85" w:rsidRPr="00BC31E0">
        <w:rPr>
          <w:rFonts w:hint="eastAsia"/>
        </w:rPr>
        <w:tab/>
      </w:r>
      <w:r w:rsidR="00C25C85" w:rsidRPr="00BC31E0">
        <w:rPr>
          <w:rFonts w:hint="eastAsia"/>
        </w:rPr>
        <w:t>：</w:t>
      </w:r>
      <w:r w:rsidR="00C25C85" w:rsidRPr="00BC31E0">
        <w:rPr>
          <w:rFonts w:hint="eastAsia"/>
        </w:rPr>
        <w:t xml:space="preserve"> </w:t>
      </w:r>
      <w:r w:rsidR="00C25C85" w:rsidRPr="00BC31E0">
        <w:rPr>
          <w:rFonts w:asciiTheme="minorHAnsi" w:hAnsiTheme="minorHAnsi"/>
        </w:rPr>
        <w:t>SCL</w:t>
      </w:r>
      <w:r w:rsidR="00C25C85" w:rsidRPr="00BC31E0">
        <w:rPr>
          <w:rFonts w:asciiTheme="minorHAnsi" w:hAnsiTheme="minorHAnsi" w:hint="eastAsia"/>
        </w:rPr>
        <w:t>上</w:t>
      </w:r>
      <w:r w:rsidR="00C25C85" w:rsidRPr="00BC31E0">
        <w:rPr>
          <w:rFonts w:ascii="ＭＳ 明朝" w:hAnsi="ＭＳ 明朝" w:hint="eastAsia"/>
        </w:rPr>
        <w:t>の</w:t>
      </w:r>
      <w:r w:rsidR="00C25C85" w:rsidRPr="00BC31E0">
        <w:rPr>
          <w:rFonts w:hint="eastAsia"/>
        </w:rPr>
        <w:t>内面における応力テンソル</w:t>
      </w:r>
      <w:r w:rsidR="00C25C85" w:rsidRPr="00BC31E0">
        <w:rPr>
          <w:rFonts w:asciiTheme="minorHAnsi" w:hAnsiTheme="minorHAnsi"/>
        </w:rPr>
        <w:t>(</w:t>
      </w:r>
      <w:r w:rsidR="00C25C85" w:rsidRPr="00BC31E0">
        <w:rPr>
          <w:rFonts w:ascii="Cambria Math" w:hAnsi="Cambria Math"/>
        </w:rPr>
        <w:t>MPa</w:t>
      </w:r>
      <w:r w:rsidR="00C25C85" w:rsidRPr="00BC31E0">
        <w:rPr>
          <w:rFonts w:asciiTheme="minorHAnsi" w:hAnsiTheme="minorHAnsi"/>
        </w:rPr>
        <w:t>)</w:t>
      </w:r>
      <w:r w:rsidR="00C25C85" w:rsidRPr="00BC31E0">
        <w:rPr>
          <w:rFonts w:asciiTheme="minorHAnsi" w:hAnsiTheme="minorHAnsi" w:hint="eastAsia"/>
        </w:rPr>
        <w:t xml:space="preserve"> </w:t>
      </w:r>
      <w:r w:rsidR="00C25C85" w:rsidRPr="00BC31E0">
        <w:rPr>
          <w:rFonts w:asciiTheme="minorHAnsi" w:eastAsiaTheme="minorEastAsia" w:hAnsiTheme="minorHAnsi"/>
        </w:rPr>
        <w:t>(</w:t>
      </w:r>
      <w:r w:rsidR="00C25C85" w:rsidRPr="00BC31E0">
        <w:rPr>
          <w:rFonts w:asciiTheme="majorEastAsia" w:eastAsiaTheme="majorEastAsia" w:hAnsiTheme="majorEastAsia"/>
          <w:b/>
        </w:rPr>
        <w:t>附属書L 3</w:t>
      </w:r>
      <w:r w:rsidR="00C25C85" w:rsidRPr="00BC31E0">
        <w:rPr>
          <w:rFonts w:asciiTheme="minorHAnsi" w:eastAsiaTheme="minorEastAsia" w:hAnsiTheme="minorHAnsi"/>
        </w:rPr>
        <w:t>)</w:t>
      </w:r>
    </w:p>
    <w:p w14:paraId="2E244DCA"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σ</m:t>
            </m:r>
          </m:e>
          <m:sub>
            <m:r>
              <w:rPr>
                <w:rFonts w:ascii="Cambria Math" w:hAnsi="Cambria Math"/>
              </w:rPr>
              <m:t>ij,out</m:t>
            </m:r>
          </m:sub>
        </m:sSub>
      </m:oMath>
      <w:r w:rsidR="00C25C85" w:rsidRPr="00BC31E0">
        <w:t xml:space="preserve"> </w:t>
      </w:r>
      <w:r w:rsidR="00C25C85" w:rsidRPr="00BC31E0">
        <w:rPr>
          <w:rFonts w:hint="eastAsia"/>
        </w:rPr>
        <w:tab/>
      </w:r>
      <w:r w:rsidR="00C25C85" w:rsidRPr="00BC31E0">
        <w:rPr>
          <w:rFonts w:hint="eastAsia"/>
        </w:rPr>
        <w:t>：</w:t>
      </w:r>
      <w:r w:rsidR="00C25C85" w:rsidRPr="00BC31E0">
        <w:rPr>
          <w:rFonts w:hint="eastAsia"/>
        </w:rPr>
        <w:t xml:space="preserve"> </w:t>
      </w:r>
      <w:r w:rsidR="00C25C85" w:rsidRPr="00BC31E0">
        <w:rPr>
          <w:rFonts w:asciiTheme="minorHAnsi" w:hAnsiTheme="minorHAnsi"/>
        </w:rPr>
        <w:t>SCL</w:t>
      </w:r>
      <w:r w:rsidR="00C25C85" w:rsidRPr="00BC31E0">
        <w:rPr>
          <w:rFonts w:asciiTheme="minorHAnsi" w:hAnsiTheme="minorHAnsi" w:hint="eastAsia"/>
        </w:rPr>
        <w:t>上</w:t>
      </w:r>
      <w:r w:rsidR="00C25C85" w:rsidRPr="00BC31E0">
        <w:rPr>
          <w:rFonts w:ascii="ＭＳ 明朝" w:hAnsi="ＭＳ 明朝" w:hint="eastAsia"/>
        </w:rPr>
        <w:t>の</w:t>
      </w:r>
      <w:r w:rsidR="00C25C85" w:rsidRPr="00BC31E0">
        <w:rPr>
          <w:rFonts w:hint="eastAsia"/>
        </w:rPr>
        <w:t>外面における応力テンソル</w:t>
      </w:r>
      <w:r w:rsidR="00C25C85" w:rsidRPr="00BC31E0">
        <w:rPr>
          <w:rFonts w:asciiTheme="minorHAnsi" w:hAnsiTheme="minorHAnsi"/>
        </w:rPr>
        <w:t>(</w:t>
      </w:r>
      <w:r w:rsidR="00C25C85" w:rsidRPr="00BC31E0">
        <w:rPr>
          <w:rFonts w:ascii="Cambria Math" w:hAnsi="Cambria Math"/>
        </w:rPr>
        <w:t>MPa</w:t>
      </w:r>
      <w:r w:rsidR="00C25C85" w:rsidRPr="00BC31E0">
        <w:rPr>
          <w:rFonts w:asciiTheme="minorHAnsi" w:hAnsiTheme="minorHAnsi"/>
        </w:rPr>
        <w:t>)</w:t>
      </w:r>
      <w:r w:rsidR="00C25C85" w:rsidRPr="00BC31E0">
        <w:rPr>
          <w:rFonts w:asciiTheme="minorHAnsi" w:hAnsiTheme="minorHAnsi" w:hint="eastAsia"/>
        </w:rPr>
        <w:t xml:space="preserve"> </w:t>
      </w:r>
      <w:r w:rsidR="00C25C85" w:rsidRPr="00BC31E0">
        <w:rPr>
          <w:rFonts w:asciiTheme="minorHAnsi" w:eastAsiaTheme="minorEastAsia" w:hAnsiTheme="minorHAnsi"/>
        </w:rPr>
        <w:t>(</w:t>
      </w:r>
      <w:r w:rsidR="00C25C85" w:rsidRPr="00BC31E0">
        <w:rPr>
          <w:rFonts w:asciiTheme="majorEastAsia" w:eastAsiaTheme="majorEastAsia" w:hAnsiTheme="majorEastAsia"/>
          <w:b/>
        </w:rPr>
        <w:t>附属書L 3</w:t>
      </w:r>
      <w:r w:rsidR="00C25C85" w:rsidRPr="00BC31E0">
        <w:rPr>
          <w:rFonts w:asciiTheme="minorHAnsi" w:eastAsiaTheme="minorEastAsia" w:hAnsiTheme="minorHAnsi"/>
        </w:rPr>
        <w:t>)</w:t>
      </w:r>
    </w:p>
    <w:p w14:paraId="41C90A49" w14:textId="77777777" w:rsidR="00C25C85" w:rsidRPr="00BC31E0" w:rsidRDefault="00A51873" w:rsidP="008234D1">
      <w:pPr>
        <w:tabs>
          <w:tab w:val="left" w:pos="1276"/>
        </w:tabs>
        <w:autoSpaceDE w:val="0"/>
        <w:autoSpaceDN w:val="0"/>
        <w:ind w:left="1588" w:hanging="1021"/>
        <w:rPr>
          <w:szCs w:val="24"/>
        </w:rPr>
      </w:pPr>
      <m:oMath>
        <m:sSub>
          <m:sSubPr>
            <m:ctrlPr>
              <w:rPr>
                <w:rFonts w:ascii="Cambria Math" w:hAnsi="Cambria Math"/>
                <w:i/>
              </w:rPr>
            </m:ctrlPr>
          </m:sSubPr>
          <m:e>
            <m:r>
              <w:rPr>
                <w:rFonts w:ascii="Cambria Math" w:hAnsi="Cambria Math"/>
              </w:rPr>
              <m:t>σ</m:t>
            </m:r>
          </m:e>
          <m:sub>
            <m:r>
              <w:rPr>
                <w:rFonts w:ascii="Cambria Math" w:hAnsi="Cambria Math"/>
              </w:rPr>
              <m:t>l</m:t>
            </m:r>
          </m:sub>
        </m:sSub>
      </m:oMath>
      <w:r w:rsidR="00C25C85" w:rsidRPr="00BC31E0">
        <w:rPr>
          <w:rFonts w:hint="eastAsia"/>
          <w:position w:val="-6"/>
          <w:szCs w:val="24"/>
          <w:vertAlign w:val="subscript"/>
        </w:rPr>
        <w:t xml:space="preserve"> </w:t>
      </w:r>
      <w:r w:rsidR="00C25C85" w:rsidRPr="00BC31E0">
        <w:rPr>
          <w:rFonts w:hint="eastAsia"/>
          <w:position w:val="-6"/>
          <w:szCs w:val="24"/>
          <w:vertAlign w:val="subscript"/>
        </w:rPr>
        <w:tab/>
      </w:r>
      <w:r w:rsidR="00C25C85" w:rsidRPr="00BC31E0">
        <w:rPr>
          <w:rFonts w:hint="eastAsia"/>
        </w:rPr>
        <w:t>：</w:t>
      </w:r>
      <w:r w:rsidR="00C25C85" w:rsidRPr="00BC31E0">
        <w:rPr>
          <w:rFonts w:hint="eastAsia"/>
          <w:position w:val="-6"/>
          <w:szCs w:val="24"/>
        </w:rPr>
        <w:t xml:space="preserve"> </w:t>
      </w:r>
      <w:r w:rsidR="00C25C85" w:rsidRPr="00BC31E0">
        <w:rPr>
          <w:rFonts w:hint="eastAsia"/>
          <w:szCs w:val="24"/>
        </w:rPr>
        <w:t>軸方向応力</w:t>
      </w:r>
      <w:r w:rsidR="00C25C85" w:rsidRPr="00BC31E0">
        <w:rPr>
          <w:rFonts w:hint="eastAsia"/>
          <w:szCs w:val="24"/>
        </w:rPr>
        <w:t>(</w:t>
      </w:r>
      <w:r w:rsidR="00C25C85" w:rsidRPr="00BC31E0">
        <w:rPr>
          <w:rFonts w:ascii="Cambria Math" w:hAnsi="Cambria Math"/>
          <w:szCs w:val="24"/>
        </w:rPr>
        <w:t>MPa</w:t>
      </w:r>
      <w:r w:rsidR="00C25C85" w:rsidRPr="00BC31E0">
        <w:rPr>
          <w:rFonts w:hint="eastAsia"/>
          <w:szCs w:val="24"/>
        </w:rPr>
        <w:t>) (</w:t>
      </w:r>
      <w:r w:rsidR="00C25C85" w:rsidRPr="00BC31E0">
        <w:rPr>
          <w:rFonts w:asciiTheme="majorEastAsia" w:eastAsiaTheme="majorEastAsia" w:hAnsiTheme="majorEastAsia" w:hint="eastAsia"/>
          <w:b/>
          <w:bCs/>
          <w:szCs w:val="24"/>
        </w:rPr>
        <w:t>6.8.5</w:t>
      </w:r>
      <w:r w:rsidR="00C25C85" w:rsidRPr="00BC31E0">
        <w:rPr>
          <w:rFonts w:hint="eastAsia"/>
          <w:szCs w:val="24"/>
        </w:rPr>
        <w:t>，</w:t>
      </w:r>
      <w:r w:rsidR="00C25C85" w:rsidRPr="00BC31E0">
        <w:rPr>
          <w:rFonts w:ascii="ＭＳ ゴシック" w:eastAsia="ＭＳ ゴシック" w:hAnsi="ＭＳ ゴシック" w:hint="eastAsia"/>
          <w:b/>
          <w:bCs/>
          <w:szCs w:val="24"/>
        </w:rPr>
        <w:t>7.8.3</w:t>
      </w:r>
      <w:r w:rsidR="00C25C85" w:rsidRPr="00BC31E0">
        <w:rPr>
          <w:rFonts w:hint="eastAsia"/>
          <w:szCs w:val="24"/>
        </w:rPr>
        <w:t>，</w:t>
      </w:r>
      <w:r w:rsidR="00C25C85" w:rsidRPr="00BC31E0">
        <w:rPr>
          <w:rFonts w:ascii="ＭＳ ゴシック" w:eastAsia="ＭＳ ゴシック" w:hint="eastAsia"/>
          <w:b/>
          <w:szCs w:val="24"/>
        </w:rPr>
        <w:t>附属書C 図C.1，附属書J</w:t>
      </w:r>
      <w:r w:rsidR="00C25C85" w:rsidRPr="00BC31E0">
        <w:rPr>
          <w:rFonts w:ascii="ＭＳ ゴシック" w:eastAsia="ＭＳ ゴシック"/>
          <w:b/>
          <w:szCs w:val="24"/>
        </w:rPr>
        <w:t xml:space="preserve"> 2</w:t>
      </w:r>
      <w:r w:rsidR="00C25C85" w:rsidRPr="00BC31E0">
        <w:rPr>
          <w:rFonts w:hint="eastAsia"/>
          <w:szCs w:val="24"/>
        </w:rPr>
        <w:t>)</w:t>
      </w:r>
    </w:p>
    <w:p w14:paraId="589C6C6F" w14:textId="77777777" w:rsidR="00C25C85" w:rsidRPr="00BC31E0" w:rsidRDefault="00A51873" w:rsidP="008234D1">
      <w:pPr>
        <w:tabs>
          <w:tab w:val="left" w:pos="1276"/>
        </w:tabs>
        <w:autoSpaceDE w:val="0"/>
        <w:autoSpaceDN w:val="0"/>
        <w:ind w:left="1588" w:hanging="1021"/>
        <w:rPr>
          <w:rFonts w:ascii="ＭＳ ゴシック" w:eastAsia="ＭＳ ゴシック"/>
          <w:b/>
          <w:szCs w:val="24"/>
        </w:rPr>
      </w:pPr>
      <m:oMath>
        <m:sSub>
          <m:sSubPr>
            <m:ctrlPr>
              <w:rPr>
                <w:rFonts w:ascii="Cambria Math" w:hAnsi="Cambria Math"/>
                <w:i/>
              </w:rPr>
            </m:ctrlPr>
          </m:sSubPr>
          <m:e>
            <m:r>
              <w:rPr>
                <w:rFonts w:ascii="Cambria Math" w:hAnsi="Cambria Math"/>
              </w:rPr>
              <m:t>σ</m:t>
            </m:r>
          </m:e>
          <m:sub>
            <m:r>
              <w:rPr>
                <w:rFonts w:ascii="Cambria Math" w:hAnsi="Cambria Math"/>
              </w:rPr>
              <m:t>l</m:t>
            </m:r>
          </m:sub>
        </m:sSub>
        <m:d>
          <m:dPr>
            <m:ctrlPr>
              <w:rPr>
                <w:rFonts w:ascii="Cambria Math" w:hAnsi="Cambria Math"/>
              </w:rPr>
            </m:ctrlPr>
          </m:dPr>
          <m:e>
            <m:r>
              <w:rPr>
                <w:rFonts w:ascii="Cambria Math" w:hAnsi="Cambria Math"/>
              </w:rPr>
              <m:t>x</m:t>
            </m:r>
          </m:e>
        </m:d>
      </m:oMath>
      <w:r w:rsidR="00C25C85" w:rsidRPr="00BC31E0">
        <w:rPr>
          <w:rFonts w:hint="eastAsia"/>
          <w:szCs w:val="24"/>
          <w:vertAlign w:val="subscript"/>
        </w:rPr>
        <w:tab/>
      </w:r>
      <w:r w:rsidR="00C25C85" w:rsidRPr="00BC31E0">
        <w:rPr>
          <w:rFonts w:hint="eastAsia"/>
          <w:szCs w:val="24"/>
        </w:rPr>
        <w:t>：</w:t>
      </w:r>
      <w:r w:rsidR="00C25C85" w:rsidRPr="00BC31E0">
        <w:rPr>
          <w:rFonts w:hint="eastAsia"/>
          <w:szCs w:val="24"/>
        </w:rPr>
        <w:t xml:space="preserve"> </w:t>
      </w:r>
      <w:r w:rsidR="00C25C85" w:rsidRPr="00BC31E0">
        <w:rPr>
          <w:rFonts w:hint="eastAsia"/>
          <w:szCs w:val="24"/>
        </w:rPr>
        <w:t>環状亀裂を含む平面に垂直な応力分布</w:t>
      </w:r>
      <w:r w:rsidR="00C25C85" w:rsidRPr="00BC31E0">
        <w:rPr>
          <w:rFonts w:hint="eastAsia"/>
          <w:szCs w:val="24"/>
        </w:rPr>
        <w:t>(</w:t>
      </w:r>
      <w:r w:rsidR="00C25C85" w:rsidRPr="00BC31E0">
        <w:rPr>
          <w:rFonts w:ascii="Cambria Math" w:hAnsi="Cambria Math"/>
          <w:szCs w:val="24"/>
        </w:rPr>
        <w:t>MPa</w:t>
      </w:r>
      <w:r w:rsidR="00C25C85" w:rsidRPr="00BC31E0">
        <w:rPr>
          <w:rFonts w:hint="eastAsia"/>
          <w:szCs w:val="24"/>
        </w:rPr>
        <w:t>) (</w:t>
      </w:r>
      <w:r w:rsidR="00C25C85" w:rsidRPr="00BC31E0">
        <w:rPr>
          <w:rFonts w:ascii="ＭＳ ゴシック" w:eastAsia="ＭＳ ゴシック" w:hint="eastAsia"/>
          <w:b/>
          <w:szCs w:val="24"/>
        </w:rPr>
        <w:t>附属書C 4.3</w:t>
      </w:r>
      <w:r w:rsidR="00C25C85" w:rsidRPr="00BC31E0">
        <w:rPr>
          <w:rFonts w:hint="eastAsia"/>
          <w:szCs w:val="24"/>
        </w:rPr>
        <w:t>)</w:t>
      </w:r>
    </w:p>
    <w:p w14:paraId="03F8B6F8"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σ</m:t>
            </m:r>
          </m:e>
          <m:sub>
            <m:r>
              <w:rPr>
                <w:rFonts w:ascii="Cambria Math" w:hAnsi="Cambria Math"/>
              </w:rPr>
              <m:t>r</m:t>
            </m:r>
          </m:sub>
        </m:sSub>
      </m:oMath>
      <w:r w:rsidR="00C25C85" w:rsidRPr="00BC31E0">
        <w:rPr>
          <w:rFonts w:hint="eastAsia"/>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半径</w:t>
      </w:r>
      <m:oMath>
        <m:r>
          <m:rPr>
            <m:sty m:val="p"/>
          </m:rPr>
          <w:rPr>
            <w:rFonts w:ascii="Cambria Math" w:hAnsi="Cambria Math"/>
          </w:rPr>
          <m:t xml:space="preserve"> </m:t>
        </m:r>
        <m:r>
          <w:rPr>
            <w:rFonts w:ascii="Cambria Math" w:hAnsi="Cambria Math"/>
          </w:rPr>
          <m:t xml:space="preserve">r </m:t>
        </m:r>
      </m:oMath>
      <w:r w:rsidR="00C25C85" w:rsidRPr="00BC31E0">
        <w:rPr>
          <w:rFonts w:hint="eastAsia"/>
        </w:rPr>
        <w:t>における半径方向応力成分</w:t>
      </w:r>
      <w:r w:rsidR="00C25C85" w:rsidRPr="00BC31E0">
        <w:rPr>
          <w:rFonts w:hint="eastAsia"/>
        </w:rPr>
        <w:t>(</w:t>
      </w:r>
      <w:r w:rsidR="00C25C85" w:rsidRPr="00BC31E0">
        <w:rPr>
          <w:rFonts w:ascii="Cambria Math" w:hAnsi="Cambria Math"/>
        </w:rPr>
        <w:t>MPa</w:t>
      </w:r>
      <w:r w:rsidR="00C25C85" w:rsidRPr="00BC31E0">
        <w:rPr>
          <w:rFonts w:hint="eastAsia"/>
        </w:rPr>
        <w:t>) (</w:t>
      </w:r>
      <w:r w:rsidR="00C25C85" w:rsidRPr="00BC31E0">
        <w:rPr>
          <w:rFonts w:ascii="ＭＳ ゴシック" w:eastAsia="ＭＳ ゴシック"/>
          <w:b/>
        </w:rPr>
        <w:t>6.8.3</w:t>
      </w:r>
      <w:r w:rsidR="00C25C85" w:rsidRPr="00BC31E0">
        <w:rPr>
          <w:rFonts w:ascii="ＭＳ ゴシック" w:eastAsia="ＭＳ ゴシック" w:hint="eastAsia"/>
          <w:b/>
        </w:rPr>
        <w:t>，7.8.3，附属書J</w:t>
      </w:r>
      <w:r w:rsidR="00C25C85" w:rsidRPr="00BC31E0">
        <w:rPr>
          <w:rFonts w:ascii="ＭＳ ゴシック" w:eastAsia="ＭＳ ゴシック"/>
          <w:b/>
        </w:rPr>
        <w:t xml:space="preserve"> 2</w:t>
      </w:r>
      <w:r w:rsidR="00C25C85" w:rsidRPr="00BC31E0">
        <w:rPr>
          <w:rFonts w:hint="eastAsia"/>
        </w:rPr>
        <w:t>)</w:t>
      </w:r>
    </w:p>
    <w:p w14:paraId="778FF6FF" w14:textId="77777777" w:rsidR="00C25C85" w:rsidRPr="00BC31E0" w:rsidRDefault="00C25C85" w:rsidP="008234D1">
      <w:pPr>
        <w:tabs>
          <w:tab w:val="left" w:pos="1276"/>
        </w:tabs>
        <w:autoSpaceDE w:val="0"/>
        <w:autoSpaceDN w:val="0"/>
        <w:ind w:left="1588" w:hanging="1021"/>
      </w:pPr>
      <w:r w:rsidRPr="00BC31E0">
        <w:rPr>
          <w:rFonts w:hint="eastAsia"/>
        </w:rPr>
        <w:tab/>
      </w:r>
      <w:r w:rsidRPr="00BC31E0">
        <w:rPr>
          <w:rFonts w:hint="eastAsia"/>
        </w:rPr>
        <w:t>：</w:t>
      </w:r>
      <w:r w:rsidRPr="00BC31E0">
        <w:rPr>
          <w:rFonts w:hint="eastAsia"/>
        </w:rPr>
        <w:t xml:space="preserve"> </w:t>
      </w:r>
      <w:r w:rsidRPr="00BC31E0">
        <w:rPr>
          <w:rFonts w:hint="eastAsia"/>
        </w:rPr>
        <w:t>溶接残留応力</w:t>
      </w:r>
      <w:r w:rsidRPr="00BC31E0">
        <w:rPr>
          <w:rFonts w:hint="eastAsia"/>
        </w:rPr>
        <w:t>(</w:t>
      </w:r>
      <w:r w:rsidRPr="00BC31E0">
        <w:rPr>
          <w:rFonts w:ascii="Cambria Math" w:hAnsi="Cambria Math"/>
        </w:rPr>
        <w:t>MPa</w:t>
      </w:r>
      <w:r w:rsidRPr="00BC31E0">
        <w:rPr>
          <w:rFonts w:hint="eastAsia"/>
        </w:rPr>
        <w:t>) (</w:t>
      </w:r>
      <w:r w:rsidRPr="00BC31E0">
        <w:rPr>
          <w:rFonts w:asciiTheme="majorEastAsia" w:eastAsiaTheme="majorEastAsia" w:hAnsiTheme="majorEastAsia" w:hint="eastAsia"/>
          <w:b/>
        </w:rPr>
        <w:t>9.3.6</w:t>
      </w:r>
      <w:r w:rsidRPr="00BC31E0">
        <w:rPr>
          <w:rFonts w:hint="eastAsia"/>
        </w:rPr>
        <w:t>)</w:t>
      </w:r>
    </w:p>
    <w:p w14:paraId="69038999" w14:textId="77777777" w:rsidR="00C25C85" w:rsidRPr="00BC31E0" w:rsidRDefault="00C25C85" w:rsidP="008234D1">
      <w:pPr>
        <w:tabs>
          <w:tab w:val="left" w:pos="1276"/>
        </w:tabs>
        <w:autoSpaceDE w:val="0"/>
        <w:autoSpaceDN w:val="0"/>
        <w:ind w:left="1588" w:hanging="1021"/>
      </w:pPr>
      <w:r w:rsidRPr="00BC31E0">
        <w:rPr>
          <w:rFonts w:hint="eastAsia"/>
        </w:rPr>
        <w:tab/>
      </w:r>
      <w:r w:rsidRPr="00BC31E0">
        <w:rPr>
          <w:rFonts w:hint="eastAsia"/>
        </w:rPr>
        <w:t>：</w:t>
      </w:r>
      <w:r w:rsidRPr="00BC31E0">
        <w:rPr>
          <w:rFonts w:hint="eastAsia"/>
        </w:rPr>
        <w:t xml:space="preserve"> </w:t>
      </w:r>
      <w:r w:rsidRPr="00BC31E0">
        <w:rPr>
          <w:rFonts w:hint="eastAsia"/>
        </w:rPr>
        <w:t>応力範囲</w:t>
      </w:r>
      <w:r w:rsidRPr="00BC31E0">
        <w:rPr>
          <w:rFonts w:hint="eastAsia"/>
        </w:rPr>
        <w:t>(</w:t>
      </w:r>
      <w:r w:rsidRPr="00BC31E0">
        <w:rPr>
          <w:rFonts w:ascii="Cambria Math" w:hAnsi="Cambria Math"/>
        </w:rPr>
        <w:t>MPa</w:t>
      </w:r>
      <w:r w:rsidRPr="00BC31E0">
        <w:rPr>
          <w:rFonts w:hint="eastAsia"/>
        </w:rPr>
        <w:t>) (</w:t>
      </w:r>
      <w:r w:rsidRPr="00BC31E0">
        <w:rPr>
          <w:rFonts w:ascii="ＭＳ ゴシック" w:eastAsia="ＭＳ ゴシック" w:hint="eastAsia"/>
          <w:b/>
        </w:rPr>
        <w:t>附属書D 3</w:t>
      </w:r>
      <w:r w:rsidRPr="00BC31E0">
        <w:rPr>
          <w:rFonts w:hint="eastAsia"/>
        </w:rPr>
        <w:t xml:space="preserve">) </w:t>
      </w:r>
    </w:p>
    <w:p w14:paraId="47C2A140"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σ</m:t>
            </m:r>
          </m:e>
          <m:sub>
            <m:r>
              <w:rPr>
                <w:rFonts w:ascii="Cambria Math" w:hAnsi="Cambria Math"/>
              </w:rPr>
              <m:t>rR</m:t>
            </m:r>
          </m:sub>
        </m:sSub>
      </m:oMath>
      <w:r w:rsidR="00C25C85" w:rsidRPr="00BC31E0">
        <w:rPr>
          <w:rFonts w:hint="eastAsia"/>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バウシンガー効果に対して補正した半径方向残留応力</w:t>
      </w:r>
      <w:r w:rsidR="00C25C85" w:rsidRPr="00BC31E0">
        <w:rPr>
          <w:rFonts w:hint="eastAsia"/>
        </w:rPr>
        <w:t>(</w:t>
      </w:r>
      <w:r w:rsidR="00C25C85" w:rsidRPr="00BC31E0">
        <w:rPr>
          <w:rFonts w:ascii="Cambria Math" w:hAnsi="Cambria Math"/>
        </w:rPr>
        <w:t>MPa</w:t>
      </w:r>
      <w:r w:rsidR="00C25C85" w:rsidRPr="00BC31E0">
        <w:rPr>
          <w:rFonts w:hint="eastAsia"/>
        </w:rPr>
        <w:t>) (</w:t>
      </w:r>
      <w:r w:rsidR="00C25C85" w:rsidRPr="00BC31E0">
        <w:rPr>
          <w:rFonts w:ascii="ＭＳ ゴシック" w:eastAsia="ＭＳ ゴシック"/>
          <w:b/>
        </w:rPr>
        <w:t>6.5.3</w:t>
      </w:r>
      <w:r w:rsidR="00C25C85" w:rsidRPr="00BC31E0">
        <w:rPr>
          <w:rFonts w:hint="eastAsia"/>
        </w:rPr>
        <w:t>)</w:t>
      </w:r>
    </w:p>
    <w:p w14:paraId="10B0F8F5"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σ</m:t>
            </m:r>
          </m:e>
          <m:sub>
            <m:r>
              <w:rPr>
                <w:rFonts w:ascii="Cambria Math" w:hAnsi="Cambria Math"/>
              </w:rPr>
              <m:t>r</m:t>
            </m:r>
            <m:r>
              <w:rPr>
                <w:rFonts w:ascii="Cambria Math" w:hAnsi="Cambria Math" w:hint="eastAsia"/>
              </w:rPr>
              <m:t>r</m:t>
            </m:r>
          </m:sub>
        </m:sSub>
      </m:oMath>
      <w:r w:rsidR="00C25C85" w:rsidRPr="00BC31E0">
        <w:rPr>
          <w:rFonts w:hint="eastAsia"/>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半径</w:t>
      </w:r>
      <m:oMath>
        <m:r>
          <m:rPr>
            <m:sty m:val="p"/>
          </m:rPr>
          <w:rPr>
            <w:rFonts w:ascii="Cambria Math" w:hAnsi="Cambria Math"/>
          </w:rPr>
          <m:t xml:space="preserve"> </m:t>
        </m:r>
        <m:r>
          <w:rPr>
            <w:rFonts w:ascii="Cambria Math" w:hAnsi="Cambria Math"/>
          </w:rPr>
          <m:t>r</m:t>
        </m:r>
      </m:oMath>
      <w:r w:rsidR="00C25C85" w:rsidRPr="00BC31E0">
        <w:rPr>
          <w:rFonts w:hint="eastAsia"/>
        </w:rPr>
        <w:t>における、半径方向残留応力</w:t>
      </w:r>
      <w:r w:rsidR="00C25C85" w:rsidRPr="00BC31E0">
        <w:rPr>
          <w:rFonts w:hint="eastAsia"/>
        </w:rPr>
        <w:t>(</w:t>
      </w:r>
      <w:r w:rsidR="00C25C85" w:rsidRPr="00BC31E0">
        <w:rPr>
          <w:rFonts w:ascii="Cambria Math" w:hAnsi="Cambria Math"/>
        </w:rPr>
        <w:t>MPa</w:t>
      </w:r>
      <w:r w:rsidR="00C25C85" w:rsidRPr="00BC31E0">
        <w:rPr>
          <w:rFonts w:hint="eastAsia"/>
        </w:rPr>
        <w:t>) (</w:t>
      </w:r>
      <w:r w:rsidR="00C25C85" w:rsidRPr="00BC31E0">
        <w:rPr>
          <w:rFonts w:ascii="ＭＳ ゴシック" w:eastAsia="ＭＳ ゴシック"/>
          <w:b/>
        </w:rPr>
        <w:t>6.</w:t>
      </w:r>
      <w:r w:rsidR="00C25C85" w:rsidRPr="00BC31E0">
        <w:rPr>
          <w:rFonts w:ascii="ＭＳ ゴシック" w:eastAsia="ＭＳ ゴシック" w:hint="eastAsia"/>
          <w:b/>
        </w:rPr>
        <w:t>8</w:t>
      </w:r>
      <w:r w:rsidR="00C25C85" w:rsidRPr="00BC31E0">
        <w:rPr>
          <w:rFonts w:ascii="ＭＳ ゴシック" w:eastAsia="ＭＳ ゴシック"/>
          <w:b/>
        </w:rPr>
        <w:t>.3</w:t>
      </w:r>
      <w:r w:rsidR="00C25C85" w:rsidRPr="00BC31E0">
        <w:rPr>
          <w:rFonts w:hint="eastAsia"/>
        </w:rPr>
        <w:t>)</w:t>
      </w:r>
    </w:p>
    <w:p w14:paraId="704B8746"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σ</m:t>
            </m:r>
          </m:e>
          <m:sub>
            <m:r>
              <w:rPr>
                <w:rFonts w:ascii="Cambria Math" w:hAnsi="Cambria Math"/>
              </w:rPr>
              <m:t>rRA</m:t>
            </m:r>
          </m:sub>
        </m:sSub>
      </m:oMath>
      <w:r w:rsidR="00C25C85" w:rsidRPr="00BC31E0">
        <w:rPr>
          <w:rFonts w:hint="eastAsia"/>
          <w:szCs w:val="24"/>
          <w:vertAlign w:val="subscript"/>
        </w:rPr>
        <w:tab/>
      </w:r>
      <w:r w:rsidR="00C25C85" w:rsidRPr="00BC31E0">
        <w:rPr>
          <w:rFonts w:hint="eastAsia"/>
        </w:rPr>
        <w:t>：</w:t>
      </w:r>
      <w:r w:rsidR="00C25C85" w:rsidRPr="00BC31E0">
        <w:rPr>
          <w:rFonts w:hint="eastAsia"/>
        </w:rPr>
        <w:t xml:space="preserve"> </w:t>
      </w:r>
      <m:oMath>
        <m:sSub>
          <m:sSubPr>
            <m:ctrlPr>
              <w:rPr>
                <w:rFonts w:ascii="Cambria Math" w:hAnsi="Cambria Math"/>
                <w:i/>
              </w:rPr>
            </m:ctrlPr>
          </m:sSubPr>
          <m:e>
            <m:r>
              <w:rPr>
                <w:rFonts w:ascii="Cambria Math" w:hAnsi="Cambria Math"/>
              </w:rPr>
              <m:t>D</m:t>
            </m:r>
          </m:e>
          <m:sub>
            <m:r>
              <w:rPr>
                <w:rFonts w:ascii="Cambria Math" w:hAnsi="Cambria Math"/>
              </w:rPr>
              <m:t>I</m:t>
            </m:r>
          </m:sub>
        </m:sSub>
        <m:r>
          <m:rPr>
            <m:sty m:val="p"/>
          </m:rPr>
          <w:rPr>
            <w:rFonts w:ascii="Cambria Math" w:hAnsi="Cambria Math" w:hint="eastAsia"/>
          </w:rPr>
          <m:t>≦</m:t>
        </m:r>
        <m:r>
          <w:rPr>
            <w:rFonts w:ascii="Cambria Math" w:hAnsi="Cambria Math"/>
          </w:rPr>
          <m:t>D</m:t>
        </m:r>
        <m:r>
          <m:rPr>
            <m:sty m:val="p"/>
          </m:rPr>
          <w:rPr>
            <w:rFonts w:ascii="Cambria Math" w:hAnsi="Cambria Math" w:hint="eastAsia"/>
          </w:rPr>
          <m:t>≦</m:t>
        </m:r>
        <m:sSub>
          <m:sSubPr>
            <m:ctrlPr>
              <w:rPr>
                <w:rFonts w:ascii="Cambria Math" w:hAnsi="Cambria Math"/>
              </w:rPr>
            </m:ctrlPr>
          </m:sSubPr>
          <m:e>
            <m:r>
              <w:rPr>
                <w:rFonts w:ascii="Cambria Math" w:hAnsi="Cambria Math"/>
              </w:rPr>
              <m:t>D</m:t>
            </m:r>
          </m:e>
          <m:sub>
            <m:r>
              <w:rPr>
                <w:rFonts w:ascii="Cambria Math" w:hAnsi="Cambria Math"/>
              </w:rPr>
              <m:t>P</m:t>
            </m:r>
          </m:sub>
        </m:sSub>
        <m:r>
          <m:rPr>
            <m:sty m:val="p"/>
          </m:rPr>
          <w:rPr>
            <w:rFonts w:ascii="Cambria Math" w:hAnsi="Cambria Math"/>
          </w:rPr>
          <m:t xml:space="preserve"> </m:t>
        </m:r>
      </m:oMath>
      <w:r w:rsidR="00C25C85" w:rsidRPr="00BC31E0">
        <w:rPr>
          <w:rFonts w:hint="eastAsia"/>
        </w:rPr>
        <w:t>における自緊後の第</w:t>
      </w:r>
      <w:r w:rsidR="00C25C85" w:rsidRPr="00BC31E0">
        <w:rPr>
          <w:rFonts w:asciiTheme="minorHAnsi" w:hAnsiTheme="minorHAnsi"/>
        </w:rPr>
        <w:t>1</w:t>
      </w:r>
      <w:r w:rsidR="00C25C85" w:rsidRPr="00BC31E0">
        <w:rPr>
          <w:rFonts w:hint="eastAsia"/>
        </w:rPr>
        <w:t>近似半径方向残留応力</w:t>
      </w:r>
      <w:r w:rsidR="00C25C85" w:rsidRPr="00BC31E0">
        <w:rPr>
          <w:rFonts w:hint="eastAsia"/>
        </w:rPr>
        <w:t>(</w:t>
      </w:r>
      <w:r w:rsidR="00C25C85" w:rsidRPr="00BC31E0">
        <w:rPr>
          <w:rFonts w:ascii="Cambria Math" w:hAnsi="Cambria Math"/>
        </w:rPr>
        <w:t>MPa</w:t>
      </w:r>
      <w:r w:rsidR="00C25C85" w:rsidRPr="00BC31E0">
        <w:rPr>
          <w:rFonts w:hint="eastAsia"/>
        </w:rPr>
        <w:t>) (</w:t>
      </w:r>
      <w:r w:rsidR="00C25C85" w:rsidRPr="00BC31E0">
        <w:rPr>
          <w:rFonts w:ascii="ＭＳ ゴシック" w:eastAsia="ＭＳ ゴシック"/>
          <w:b/>
        </w:rPr>
        <w:t>6.5.3</w:t>
      </w:r>
      <w:r w:rsidR="00C25C85" w:rsidRPr="00BC31E0">
        <w:rPr>
          <w:rFonts w:hint="eastAsia"/>
        </w:rPr>
        <w:t>)</w:t>
      </w:r>
    </w:p>
    <w:p w14:paraId="1C917215"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σ</m:t>
            </m:r>
          </m:e>
          <m:sub>
            <m:r>
              <w:rPr>
                <w:rFonts w:ascii="Cambria Math" w:hAnsi="Cambria Math" w:hint="eastAsia"/>
              </w:rPr>
              <m:t>s</m:t>
            </m:r>
          </m:sub>
        </m:sSub>
      </m:oMath>
      <w:r w:rsidR="00C25C85" w:rsidRPr="00BC31E0">
        <w:rPr>
          <w:rFonts w:hint="eastAsia"/>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切欠き引張強度強さ</w:t>
      </w:r>
      <w:r w:rsidR="00C25C85" w:rsidRPr="00BC31E0">
        <w:rPr>
          <w:rFonts w:hint="eastAsia"/>
        </w:rPr>
        <w:t>(</w:t>
      </w:r>
      <w:r w:rsidR="00C25C85" w:rsidRPr="00BC31E0">
        <w:rPr>
          <w:rFonts w:ascii="Cambria Math" w:hAnsi="Cambria Math"/>
        </w:rPr>
        <w:t>MPa</w:t>
      </w:r>
      <w:r w:rsidR="00C25C85" w:rsidRPr="00BC31E0">
        <w:rPr>
          <w:rFonts w:hint="eastAsia"/>
        </w:rPr>
        <w:t>) (</w:t>
      </w:r>
      <w:r w:rsidR="00C25C85" w:rsidRPr="00BC31E0">
        <w:rPr>
          <w:rFonts w:ascii="ＭＳ ゴシック" w:eastAsia="ＭＳ ゴシック" w:hint="eastAsia"/>
          <w:b/>
        </w:rPr>
        <w:t>附属書K</w:t>
      </w:r>
      <w:r w:rsidR="00C25C85" w:rsidRPr="00BC31E0">
        <w:rPr>
          <w:rFonts w:ascii="ＭＳ ゴシック" w:eastAsia="ＭＳ ゴシック"/>
          <w:b/>
        </w:rPr>
        <w:t xml:space="preserve"> 2.6</w:t>
      </w:r>
      <w:r w:rsidR="00C25C85" w:rsidRPr="00BC31E0">
        <w:rPr>
          <w:rFonts w:hint="eastAsia"/>
        </w:rPr>
        <w:t>)</w:t>
      </w:r>
    </w:p>
    <w:p w14:paraId="12D2479A"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σ</m:t>
            </m:r>
          </m:e>
          <m:sub>
            <m:r>
              <w:rPr>
                <w:rFonts w:ascii="Cambria Math" w:hAnsi="Cambria Math"/>
              </w:rPr>
              <m:t>t</m:t>
            </m:r>
          </m:sub>
        </m:sSub>
      </m:oMath>
      <w:r w:rsidR="00C25C85" w:rsidRPr="00BC31E0">
        <w:rPr>
          <w:rFonts w:hint="eastAsia"/>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半径</w:t>
      </w:r>
      <m:oMath>
        <m:r>
          <w:rPr>
            <w:rFonts w:ascii="Cambria Math" w:hAnsi="Cambria Math"/>
          </w:rPr>
          <m:t xml:space="preserve"> r </m:t>
        </m:r>
      </m:oMath>
      <w:r w:rsidR="00C25C85" w:rsidRPr="00BC31E0">
        <w:rPr>
          <w:rFonts w:hint="eastAsia"/>
        </w:rPr>
        <w:t>における周方向応力成分</w:t>
      </w:r>
      <w:r w:rsidR="00C25C85" w:rsidRPr="00BC31E0">
        <w:rPr>
          <w:rFonts w:hint="eastAsia"/>
        </w:rPr>
        <w:t>(</w:t>
      </w:r>
      <w:r w:rsidR="00C25C85" w:rsidRPr="00BC31E0">
        <w:rPr>
          <w:rFonts w:ascii="Cambria Math" w:hAnsi="Cambria Math"/>
        </w:rPr>
        <w:t>MPa</w:t>
      </w:r>
      <w:r w:rsidR="00C25C85" w:rsidRPr="00BC31E0">
        <w:rPr>
          <w:rFonts w:hint="eastAsia"/>
        </w:rPr>
        <w:t>) (</w:t>
      </w:r>
      <w:r w:rsidR="00C25C85" w:rsidRPr="00BC31E0">
        <w:rPr>
          <w:rFonts w:ascii="ＭＳ ゴシック" w:eastAsia="ＭＳ ゴシック"/>
          <w:b/>
        </w:rPr>
        <w:t>6.8.3</w:t>
      </w:r>
      <w:r w:rsidR="00C25C85" w:rsidRPr="00BC31E0">
        <w:rPr>
          <w:rFonts w:ascii="ＭＳ ゴシック" w:eastAsia="ＭＳ ゴシック" w:hint="eastAsia"/>
          <w:b/>
        </w:rPr>
        <w:t>，7.8.3，附属書J</w:t>
      </w:r>
      <w:r w:rsidR="00C25C85" w:rsidRPr="00BC31E0">
        <w:rPr>
          <w:rFonts w:ascii="ＭＳ ゴシック" w:eastAsia="ＭＳ ゴシック"/>
          <w:b/>
        </w:rPr>
        <w:t xml:space="preserve"> 2</w:t>
      </w:r>
      <w:r w:rsidR="00C25C85" w:rsidRPr="00BC31E0">
        <w:rPr>
          <w:rFonts w:hint="eastAsia"/>
        </w:rPr>
        <w:t>)</w:t>
      </w:r>
    </w:p>
    <w:p w14:paraId="2811ACB9" w14:textId="77777777" w:rsidR="00C25C85" w:rsidRPr="00BC31E0" w:rsidRDefault="00C25C85" w:rsidP="008234D1">
      <w:pPr>
        <w:tabs>
          <w:tab w:val="left" w:pos="1276"/>
        </w:tabs>
        <w:autoSpaceDE w:val="0"/>
        <w:autoSpaceDN w:val="0"/>
        <w:ind w:left="1588" w:hanging="1021"/>
      </w:pPr>
      <w:r w:rsidRPr="00BC31E0">
        <w:rPr>
          <w:rFonts w:hint="eastAsia"/>
        </w:rPr>
        <w:tab/>
      </w:r>
      <w:r w:rsidRPr="00BC31E0">
        <w:rPr>
          <w:rFonts w:hint="eastAsia"/>
        </w:rPr>
        <w:t>：</w:t>
      </w:r>
      <w:r w:rsidRPr="00BC31E0">
        <w:rPr>
          <w:rFonts w:hint="eastAsia"/>
        </w:rPr>
        <w:t xml:space="preserve"> </w:t>
      </w:r>
      <w:r w:rsidRPr="00BC31E0">
        <w:rPr>
          <w:rFonts w:hint="eastAsia"/>
        </w:rPr>
        <w:t>真応力</w:t>
      </w:r>
      <w:r w:rsidRPr="00BC31E0">
        <w:rPr>
          <w:rFonts w:hint="eastAsia"/>
        </w:rPr>
        <w:t>(</w:t>
      </w:r>
      <w:r w:rsidRPr="00BC31E0">
        <w:rPr>
          <w:rFonts w:ascii="Cambria Math" w:hAnsi="Cambria Math"/>
        </w:rPr>
        <w:t>MPa</w:t>
      </w:r>
      <w:r w:rsidRPr="00BC31E0">
        <w:rPr>
          <w:rFonts w:hint="eastAsia"/>
        </w:rPr>
        <w:t>) (</w:t>
      </w:r>
      <w:r w:rsidRPr="00BC31E0">
        <w:rPr>
          <w:rFonts w:ascii="ＭＳ ゴシック" w:eastAsia="ＭＳ ゴシック" w:hAnsi="ＭＳ ゴシック" w:hint="eastAsia"/>
          <w:b/>
        </w:rPr>
        <w:t>附属書D 2</w:t>
      </w:r>
      <w:r w:rsidRPr="00BC31E0">
        <w:rPr>
          <w:rFonts w:hint="eastAsia"/>
        </w:rPr>
        <w:t xml:space="preserve">) </w:t>
      </w:r>
    </w:p>
    <w:p w14:paraId="491BFD83"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σ</m:t>
            </m:r>
          </m:e>
          <m:sub>
            <m:r>
              <w:rPr>
                <w:rFonts w:ascii="Cambria Math" w:hAnsi="Cambria Math"/>
              </w:rPr>
              <m:t>tR</m:t>
            </m:r>
          </m:sub>
        </m:sSub>
      </m:oMath>
      <w:r w:rsidR="00C25C85" w:rsidRPr="00BC31E0">
        <w:rPr>
          <w:rFonts w:hint="eastAsia"/>
          <w:szCs w:val="24"/>
          <w:vertAlign w:val="subscript"/>
        </w:rPr>
        <w:t xml:space="preserve"> </w:t>
      </w:r>
      <w:r w:rsidR="00C25C85" w:rsidRPr="00BC31E0">
        <w:rPr>
          <w:rFonts w:hint="eastAsia"/>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バウシンガー効果に対して補正した周方向残留応力</w:t>
      </w:r>
      <w:r w:rsidR="00C25C85" w:rsidRPr="00BC31E0">
        <w:rPr>
          <w:rFonts w:hint="eastAsia"/>
        </w:rPr>
        <w:t>(</w:t>
      </w:r>
      <w:r w:rsidR="00C25C85" w:rsidRPr="00BC31E0">
        <w:rPr>
          <w:rFonts w:ascii="Cambria Math" w:hAnsi="Cambria Math"/>
        </w:rPr>
        <w:t>MPa</w:t>
      </w:r>
      <w:r w:rsidR="00C25C85" w:rsidRPr="00BC31E0">
        <w:rPr>
          <w:rFonts w:hint="eastAsia"/>
        </w:rPr>
        <w:t>) (</w:t>
      </w:r>
      <w:r w:rsidR="00C25C85" w:rsidRPr="00BC31E0">
        <w:rPr>
          <w:rFonts w:ascii="ＭＳ ゴシック" w:eastAsia="ＭＳ ゴシック"/>
          <w:b/>
        </w:rPr>
        <w:t>6.5.3</w:t>
      </w:r>
      <w:r w:rsidR="00C25C85" w:rsidRPr="00BC31E0">
        <w:rPr>
          <w:rFonts w:hint="eastAsia"/>
        </w:rPr>
        <w:t>)</w:t>
      </w:r>
    </w:p>
    <w:p w14:paraId="51D96F4B"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σ</m:t>
            </m:r>
          </m:e>
          <m:sub>
            <m:r>
              <w:rPr>
                <w:rFonts w:ascii="Cambria Math" w:hAnsi="Cambria Math" w:hint="eastAsia"/>
              </w:rPr>
              <m:t>tr</m:t>
            </m:r>
          </m:sub>
        </m:sSub>
      </m:oMath>
      <w:r w:rsidR="00C25C85" w:rsidRPr="00BC31E0">
        <w:rPr>
          <w:rFonts w:hint="eastAsia"/>
          <w:szCs w:val="24"/>
          <w:vertAlign w:val="subscript"/>
        </w:rPr>
        <w:tab/>
      </w:r>
      <w:r w:rsidR="00C25C85" w:rsidRPr="00BC31E0">
        <w:rPr>
          <w:rFonts w:hint="eastAsia"/>
        </w:rPr>
        <w:t>：</w:t>
      </w:r>
      <w:r w:rsidR="00C25C85" w:rsidRPr="00BC31E0">
        <w:rPr>
          <w:rFonts w:hint="eastAsia"/>
        </w:rPr>
        <w:t xml:space="preserve"> </w:t>
      </w:r>
      <w:r w:rsidR="00C25C85" w:rsidRPr="00BC31E0">
        <w:rPr>
          <w:rFonts w:hint="eastAsia"/>
        </w:rPr>
        <w:t>半径</w:t>
      </w:r>
      <m:oMath>
        <m:r>
          <m:rPr>
            <m:sty m:val="p"/>
          </m:rPr>
          <w:rPr>
            <w:rFonts w:ascii="Cambria Math" w:hAnsi="Cambria Math"/>
          </w:rPr>
          <m:t xml:space="preserve"> </m:t>
        </m:r>
        <m:r>
          <w:rPr>
            <w:rFonts w:ascii="Cambria Math" w:hAnsi="Cambria Math"/>
          </w:rPr>
          <m:t>r</m:t>
        </m:r>
      </m:oMath>
      <w:r w:rsidR="00C25C85" w:rsidRPr="00BC31E0">
        <w:rPr>
          <w:rFonts w:hint="eastAsia"/>
        </w:rPr>
        <w:t>における、周方向残留応力</w:t>
      </w:r>
      <w:r w:rsidR="00C25C85" w:rsidRPr="00BC31E0">
        <w:rPr>
          <w:rFonts w:hint="eastAsia"/>
        </w:rPr>
        <w:t>(</w:t>
      </w:r>
      <w:r w:rsidR="00C25C85" w:rsidRPr="00BC31E0">
        <w:rPr>
          <w:rFonts w:ascii="Cambria Math" w:hAnsi="Cambria Math"/>
        </w:rPr>
        <w:t>MPa</w:t>
      </w:r>
      <w:r w:rsidR="00C25C85" w:rsidRPr="00BC31E0">
        <w:rPr>
          <w:rFonts w:hint="eastAsia"/>
        </w:rPr>
        <w:t>) (</w:t>
      </w:r>
      <w:r w:rsidR="00C25C85" w:rsidRPr="00BC31E0">
        <w:rPr>
          <w:rFonts w:ascii="ＭＳ ゴシック" w:eastAsia="ＭＳ ゴシック"/>
          <w:b/>
        </w:rPr>
        <w:t>6.</w:t>
      </w:r>
      <w:r w:rsidR="00C25C85" w:rsidRPr="00BC31E0">
        <w:rPr>
          <w:rFonts w:ascii="ＭＳ ゴシック" w:eastAsia="ＭＳ ゴシック" w:hint="eastAsia"/>
          <w:b/>
        </w:rPr>
        <w:t>8</w:t>
      </w:r>
      <w:r w:rsidR="00C25C85" w:rsidRPr="00BC31E0">
        <w:rPr>
          <w:rFonts w:ascii="ＭＳ ゴシック" w:eastAsia="ＭＳ ゴシック"/>
          <w:b/>
        </w:rPr>
        <w:t>.3</w:t>
      </w:r>
      <w:r w:rsidR="00C25C85" w:rsidRPr="00BC31E0">
        <w:rPr>
          <w:rFonts w:hint="eastAsia"/>
        </w:rPr>
        <w:t>)</w:t>
      </w:r>
    </w:p>
    <w:p w14:paraId="1D8F6EE2"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σ</m:t>
            </m:r>
          </m:e>
          <m:sub>
            <m:r>
              <w:rPr>
                <w:rFonts w:ascii="Cambria Math" w:hAnsi="Cambria Math"/>
              </w:rPr>
              <m:t>uts</m:t>
            </m:r>
          </m:sub>
        </m:sSub>
      </m:oMath>
      <w:r w:rsidR="00C25C85" w:rsidRPr="00BC31E0">
        <w:rPr>
          <w:rFonts w:hint="eastAsia"/>
          <w:vertAlign w:val="subscript"/>
        </w:rPr>
        <w:tab/>
      </w:r>
      <w:r w:rsidR="00C25C85" w:rsidRPr="00BC31E0">
        <w:rPr>
          <w:rFonts w:hint="eastAsia"/>
        </w:rPr>
        <w:t>：</w:t>
      </w:r>
      <w:r w:rsidR="00C25C85" w:rsidRPr="00BC31E0">
        <w:rPr>
          <w:rFonts w:hint="eastAsia"/>
        </w:rPr>
        <w:t xml:space="preserve"> </w:t>
      </w:r>
      <w:r w:rsidR="00C25C85" w:rsidRPr="00BC31E0">
        <w:rPr>
          <w:rFonts w:hint="eastAsia"/>
        </w:rPr>
        <w:t>当該温度における引張強さ</w:t>
      </w:r>
      <w:r w:rsidR="00C25C85" w:rsidRPr="00BC31E0">
        <w:rPr>
          <w:rFonts w:hint="eastAsia"/>
        </w:rPr>
        <w:t>(</w:t>
      </w:r>
      <w:r w:rsidR="00C25C85" w:rsidRPr="00BC31E0">
        <w:rPr>
          <w:rFonts w:ascii="Cambria Math" w:hAnsi="Cambria Math"/>
        </w:rPr>
        <w:t>MPa</w:t>
      </w:r>
      <w:r w:rsidR="00C25C85" w:rsidRPr="00BC31E0">
        <w:rPr>
          <w:rFonts w:hint="eastAsia"/>
        </w:rPr>
        <w:t>) (</w:t>
      </w:r>
      <w:r w:rsidR="00C25C85" w:rsidRPr="00BC31E0">
        <w:rPr>
          <w:rFonts w:ascii="ＭＳ ゴシック" w:eastAsia="ＭＳ ゴシック" w:hAnsi="ＭＳ ゴシック" w:hint="eastAsia"/>
          <w:b/>
        </w:rPr>
        <w:t>附属書D 2</w:t>
      </w:r>
      <w:r w:rsidR="00C25C85" w:rsidRPr="00BC31E0">
        <w:rPr>
          <w:rFonts w:hint="eastAsia"/>
        </w:rPr>
        <w:t>)</w:t>
      </w:r>
    </w:p>
    <w:p w14:paraId="229D9764"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σ</m:t>
            </m:r>
          </m:e>
          <m:sub>
            <m:r>
              <w:rPr>
                <w:rFonts w:ascii="Cambria Math" w:hAnsi="Cambria Math"/>
              </w:rPr>
              <m:t>uts,t</m:t>
            </m:r>
          </m:sub>
        </m:sSub>
      </m:oMath>
      <w:r w:rsidR="00C25C85" w:rsidRPr="00BC31E0">
        <w:rPr>
          <w:rFonts w:hint="eastAsia"/>
          <w:vertAlign w:val="subscript"/>
        </w:rPr>
        <w:tab/>
      </w:r>
      <w:r w:rsidR="00C25C85" w:rsidRPr="00BC31E0">
        <w:rPr>
          <w:rFonts w:hint="eastAsia"/>
        </w:rPr>
        <w:t>：</w:t>
      </w:r>
      <w:r w:rsidR="00C25C85" w:rsidRPr="00BC31E0">
        <w:rPr>
          <w:rFonts w:hint="eastAsia"/>
        </w:rPr>
        <w:t xml:space="preserve"> </w:t>
      </w:r>
      <w:r w:rsidR="00C25C85" w:rsidRPr="00BC31E0">
        <w:rPr>
          <w:rFonts w:hint="eastAsia"/>
        </w:rPr>
        <w:t>当該温度における真破断応力</w:t>
      </w:r>
      <w:r w:rsidR="00C25C85" w:rsidRPr="00BC31E0">
        <w:rPr>
          <w:rFonts w:hint="eastAsia"/>
        </w:rPr>
        <w:t>(</w:t>
      </w:r>
      <w:r w:rsidR="00C25C85" w:rsidRPr="00BC31E0">
        <w:rPr>
          <w:rFonts w:ascii="Cambria Math" w:hAnsi="Cambria Math"/>
        </w:rPr>
        <w:t>MPa</w:t>
      </w:r>
      <w:r w:rsidR="00C25C85" w:rsidRPr="00BC31E0">
        <w:rPr>
          <w:rFonts w:hint="eastAsia"/>
        </w:rPr>
        <w:t>) (</w:t>
      </w:r>
      <w:r w:rsidR="00C25C85" w:rsidRPr="00BC31E0">
        <w:rPr>
          <w:rFonts w:ascii="ＭＳ ゴシック" w:eastAsia="ＭＳ ゴシック" w:hAnsi="ＭＳ ゴシック" w:hint="eastAsia"/>
          <w:b/>
        </w:rPr>
        <w:t>附属書D 2</w:t>
      </w:r>
      <w:r w:rsidR="00C25C85" w:rsidRPr="00BC31E0">
        <w:rPr>
          <w:rFonts w:hint="eastAsia"/>
        </w:rPr>
        <w:t>)</w:t>
      </w:r>
    </w:p>
    <w:p w14:paraId="12C58F27" w14:textId="77777777" w:rsidR="00C25C85" w:rsidRPr="00BC31E0" w:rsidRDefault="00A51873" w:rsidP="008234D1">
      <w:pPr>
        <w:tabs>
          <w:tab w:val="left" w:pos="1276"/>
        </w:tabs>
        <w:autoSpaceDE w:val="0"/>
        <w:autoSpaceDN w:val="0"/>
        <w:spacing w:before="60"/>
        <w:ind w:left="1588" w:hanging="1021"/>
      </w:pPr>
      <m:oMath>
        <m:sSub>
          <m:sSubPr>
            <m:ctrlPr>
              <w:rPr>
                <w:rFonts w:ascii="Cambria Math" w:hAnsi="Cambria Math"/>
                <w:i/>
              </w:rPr>
            </m:ctrlPr>
          </m:sSubPr>
          <m:e>
            <m:r>
              <w:rPr>
                <w:rFonts w:ascii="Cambria Math" w:hAnsi="Cambria Math"/>
              </w:rPr>
              <m:t>σ</m:t>
            </m:r>
          </m:e>
          <m:sub>
            <m:r>
              <w:rPr>
                <w:rFonts w:ascii="Cambria Math" w:hAnsi="Cambria Math"/>
              </w:rPr>
              <m:t>ys</m:t>
            </m:r>
          </m:sub>
        </m:sSub>
      </m:oMath>
      <w:r w:rsidR="00C25C85" w:rsidRPr="00BC31E0">
        <w:rPr>
          <w:rFonts w:hint="eastAsia"/>
          <w:vertAlign w:val="subscript"/>
        </w:rPr>
        <w:tab/>
      </w:r>
      <w:r w:rsidR="00C25C85" w:rsidRPr="00BC31E0">
        <w:rPr>
          <w:rFonts w:hint="eastAsia"/>
        </w:rPr>
        <w:t>：</w:t>
      </w:r>
      <w:r w:rsidR="00C25C85" w:rsidRPr="00BC31E0">
        <w:rPr>
          <w:rFonts w:hint="eastAsia"/>
        </w:rPr>
        <w:t xml:space="preserve"> </w:t>
      </w:r>
      <w:r w:rsidR="00C25C85" w:rsidRPr="00BC31E0">
        <w:rPr>
          <w:rFonts w:hint="eastAsia"/>
        </w:rPr>
        <w:t>当該温度における降伏強さ</w:t>
      </w:r>
      <w:r w:rsidR="00C25C85" w:rsidRPr="00BC31E0">
        <w:rPr>
          <w:rFonts w:hint="eastAsia"/>
        </w:rPr>
        <w:t>(</w:t>
      </w:r>
      <w:r w:rsidR="00C25C85" w:rsidRPr="00BC31E0">
        <w:rPr>
          <w:rFonts w:ascii="Cambria Math" w:hAnsi="Cambria Math"/>
        </w:rPr>
        <w:t>MPa</w:t>
      </w:r>
      <w:r w:rsidR="00C25C85" w:rsidRPr="00BC31E0">
        <w:rPr>
          <w:rFonts w:hint="eastAsia"/>
        </w:rPr>
        <w:t>) (</w:t>
      </w:r>
      <w:r w:rsidR="00C25C85" w:rsidRPr="00BC31E0">
        <w:rPr>
          <w:rFonts w:ascii="ＭＳ ゴシック" w:eastAsia="ＭＳ ゴシック" w:hAnsi="ＭＳ ゴシック" w:hint="eastAsia"/>
          <w:b/>
        </w:rPr>
        <w:t>附属書D 2</w:t>
      </w:r>
      <w:r w:rsidR="00C25C85" w:rsidRPr="00BC31E0">
        <w:rPr>
          <w:rFonts w:hint="eastAsia"/>
        </w:rPr>
        <w:t>)</w:t>
      </w:r>
    </w:p>
    <w:p w14:paraId="40118B02"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σ</m:t>
            </m:r>
          </m:e>
          <m:sub>
            <m:r>
              <w:rPr>
                <w:rFonts w:ascii="Cambria Math" w:hAnsi="Cambria Math"/>
              </w:rPr>
              <m:t>tRA</m:t>
            </m:r>
          </m:sub>
        </m:sSub>
      </m:oMath>
      <w:r w:rsidR="00C25C85" w:rsidRPr="00BC31E0">
        <w:rPr>
          <w:rFonts w:hint="eastAsia"/>
          <w:szCs w:val="24"/>
          <w:vertAlign w:val="subscript"/>
        </w:rPr>
        <w:tab/>
      </w:r>
      <w:r w:rsidR="00C25C85" w:rsidRPr="00BC31E0">
        <w:rPr>
          <w:rFonts w:hint="eastAsia"/>
        </w:rPr>
        <w:t>：</w:t>
      </w:r>
      <w:r w:rsidR="00C25C85" w:rsidRPr="00BC31E0">
        <w:rPr>
          <w:rFonts w:hint="eastAsia"/>
          <w:szCs w:val="24"/>
        </w:rPr>
        <w:t xml:space="preserve"> </w:t>
      </w:r>
      <m:oMath>
        <m:sSub>
          <m:sSubPr>
            <m:ctrlPr>
              <w:rPr>
                <w:rFonts w:ascii="Cambria Math" w:hAnsi="Cambria Math"/>
                <w:i/>
              </w:rPr>
            </m:ctrlPr>
          </m:sSubPr>
          <m:e>
            <m:r>
              <w:rPr>
                <w:rFonts w:ascii="Cambria Math" w:hAnsi="Cambria Math"/>
              </w:rPr>
              <m:t>D</m:t>
            </m:r>
          </m:e>
          <m:sub>
            <m:r>
              <w:rPr>
                <w:rFonts w:ascii="Cambria Math" w:hAnsi="Cambria Math"/>
              </w:rPr>
              <m:t>I</m:t>
            </m:r>
          </m:sub>
        </m:sSub>
        <m:r>
          <m:rPr>
            <m:sty m:val="p"/>
          </m:rPr>
          <w:rPr>
            <w:rFonts w:ascii="Cambria Math" w:hAnsi="Cambria Math" w:hint="eastAsia"/>
          </w:rPr>
          <m:t>≦</m:t>
        </m:r>
        <m:r>
          <w:rPr>
            <w:rFonts w:ascii="Cambria Math" w:hAnsi="Cambria Math"/>
          </w:rPr>
          <m:t>D</m:t>
        </m:r>
        <m:r>
          <m:rPr>
            <m:sty m:val="p"/>
          </m:rPr>
          <w:rPr>
            <w:rFonts w:ascii="Cambria Math" w:hAnsi="Cambria Math" w:hint="eastAsia"/>
          </w:rPr>
          <m:t>≦</m:t>
        </m:r>
        <m:sSub>
          <m:sSubPr>
            <m:ctrlPr>
              <w:rPr>
                <w:rFonts w:ascii="Cambria Math" w:hAnsi="Cambria Math"/>
              </w:rPr>
            </m:ctrlPr>
          </m:sSubPr>
          <m:e>
            <m:r>
              <w:rPr>
                <w:rFonts w:ascii="Cambria Math" w:hAnsi="Cambria Math"/>
              </w:rPr>
              <m:t>D</m:t>
            </m:r>
          </m:e>
          <m:sub>
            <m:r>
              <w:rPr>
                <w:rFonts w:ascii="Cambria Math" w:hAnsi="Cambria Math"/>
              </w:rPr>
              <m:t>P</m:t>
            </m:r>
          </m:sub>
        </m:sSub>
        <m:r>
          <m:rPr>
            <m:sty m:val="p"/>
          </m:rPr>
          <w:rPr>
            <w:rFonts w:ascii="Cambria Math" w:hAnsi="Cambria Math"/>
          </w:rPr>
          <m:t xml:space="preserve"> </m:t>
        </m:r>
      </m:oMath>
      <w:r w:rsidR="00C25C85" w:rsidRPr="00BC31E0">
        <w:rPr>
          <w:rFonts w:hint="eastAsia"/>
        </w:rPr>
        <w:t>における自緊後の第</w:t>
      </w:r>
      <w:r w:rsidR="00C25C85" w:rsidRPr="00BC31E0">
        <w:rPr>
          <w:rFonts w:asciiTheme="minorHAnsi" w:hAnsiTheme="minorHAnsi"/>
        </w:rPr>
        <w:t>1</w:t>
      </w:r>
      <w:r w:rsidR="00C25C85" w:rsidRPr="00BC31E0">
        <w:rPr>
          <w:rFonts w:hint="eastAsia"/>
        </w:rPr>
        <w:t>近似周方向残留応力</w:t>
      </w:r>
      <w:r w:rsidR="00C25C85" w:rsidRPr="00BC31E0">
        <w:rPr>
          <w:rFonts w:hint="eastAsia"/>
        </w:rPr>
        <w:t>(</w:t>
      </w:r>
      <w:r w:rsidR="00C25C85" w:rsidRPr="00BC31E0">
        <w:rPr>
          <w:rFonts w:ascii="Cambria Math" w:hAnsi="Cambria Math"/>
        </w:rPr>
        <w:t>MPa</w:t>
      </w:r>
      <w:r w:rsidR="00C25C85" w:rsidRPr="00BC31E0">
        <w:rPr>
          <w:rFonts w:hint="eastAsia"/>
        </w:rPr>
        <w:t>) (</w:t>
      </w:r>
      <w:r w:rsidR="00C25C85" w:rsidRPr="00BC31E0">
        <w:rPr>
          <w:rFonts w:ascii="ＭＳ ゴシック" w:eastAsia="ＭＳ ゴシック"/>
          <w:b/>
        </w:rPr>
        <w:t>6.5.3</w:t>
      </w:r>
      <w:r w:rsidR="00C25C85" w:rsidRPr="00BC31E0">
        <w:rPr>
          <w:rFonts w:hint="eastAsia"/>
        </w:rPr>
        <w:t>)</w:t>
      </w:r>
    </w:p>
    <w:p w14:paraId="7C0E9C45" w14:textId="77777777" w:rsidR="00C25C85" w:rsidRPr="00BC31E0" w:rsidRDefault="00A51873" w:rsidP="008234D1">
      <w:pPr>
        <w:tabs>
          <w:tab w:val="left" w:pos="1276"/>
        </w:tabs>
        <w:autoSpaceDE w:val="0"/>
        <w:autoSpaceDN w:val="0"/>
        <w:ind w:left="1588" w:hanging="1021"/>
      </w:pPr>
      <m:oMath>
        <m:sSub>
          <m:sSubPr>
            <m:ctrlPr>
              <w:rPr>
                <w:rFonts w:ascii="Cambria Math" w:hAnsi="Cambria Math"/>
                <w:i/>
              </w:rPr>
            </m:ctrlPr>
          </m:sSubPr>
          <m:e>
            <m:r>
              <w:rPr>
                <w:rFonts w:ascii="Cambria Math" w:hAnsi="Cambria Math"/>
              </w:rPr>
              <m:t>σ</m:t>
            </m:r>
          </m:e>
          <m:sub>
            <m:r>
              <w:rPr>
                <w:rFonts w:ascii="Cambria Math" w:hAnsi="Cambria Math"/>
              </w:rPr>
              <m:t>θ</m:t>
            </m:r>
          </m:sub>
        </m:sSub>
      </m:oMath>
      <w:r w:rsidR="00C25C85" w:rsidRPr="00BC31E0">
        <w:rPr>
          <w:rFonts w:hint="eastAsia"/>
          <w:vertAlign w:val="subscript"/>
        </w:rPr>
        <w:tab/>
      </w:r>
      <w:r w:rsidR="00C25C85" w:rsidRPr="00BC31E0">
        <w:rPr>
          <w:rFonts w:hint="eastAsia"/>
        </w:rPr>
        <w:t>：</w:t>
      </w:r>
      <w:r w:rsidR="00C25C85" w:rsidRPr="00BC31E0">
        <w:rPr>
          <w:rFonts w:hint="eastAsia"/>
        </w:rPr>
        <w:t xml:space="preserve"> </w:t>
      </w:r>
      <w:r w:rsidR="00C25C85" w:rsidRPr="00BC31E0">
        <w:rPr>
          <w:rFonts w:hint="eastAsia"/>
        </w:rPr>
        <w:t>周方向応力</w:t>
      </w:r>
      <w:r w:rsidR="00C25C85" w:rsidRPr="00BC31E0">
        <w:rPr>
          <w:rFonts w:hint="eastAsia"/>
        </w:rPr>
        <w:t>(</w:t>
      </w:r>
      <w:r w:rsidR="00C25C85" w:rsidRPr="00BC31E0">
        <w:rPr>
          <w:rFonts w:ascii="Cambria Math" w:hAnsi="Cambria Math"/>
        </w:rPr>
        <w:t>MPa</w:t>
      </w:r>
      <w:r w:rsidR="00C25C85" w:rsidRPr="00BC31E0">
        <w:rPr>
          <w:rFonts w:hint="eastAsia"/>
        </w:rPr>
        <w:t>) (</w:t>
      </w:r>
      <w:r w:rsidR="00C25C85" w:rsidRPr="00BC31E0">
        <w:rPr>
          <w:rFonts w:ascii="ＭＳ ゴシック" w:eastAsia="ＭＳ ゴシック" w:hint="eastAsia"/>
          <w:b/>
        </w:rPr>
        <w:t>附属書C 図C.1</w:t>
      </w:r>
      <w:r w:rsidR="00C25C85" w:rsidRPr="00BC31E0">
        <w:rPr>
          <w:rFonts w:hint="eastAsia"/>
        </w:rPr>
        <w:t>)</w:t>
      </w:r>
    </w:p>
    <w:p w14:paraId="578E0D62" w14:textId="77777777" w:rsidR="00C25C85" w:rsidRPr="00BC31E0" w:rsidRDefault="00A51873" w:rsidP="008234D1">
      <w:pPr>
        <w:tabs>
          <w:tab w:val="left" w:pos="2127"/>
        </w:tabs>
        <w:autoSpaceDE w:val="0"/>
        <w:autoSpaceDN w:val="0"/>
        <w:ind w:left="567"/>
        <w:rPr>
          <w:rFonts w:asciiTheme="majorEastAsia" w:eastAsiaTheme="majorEastAsia" w:hAnsiTheme="majorEastAsia"/>
          <w:b/>
        </w:rPr>
      </w:pPr>
      <m:oMath>
        <m:sSub>
          <m:sSubPr>
            <m:ctrlPr>
              <w:rPr>
                <w:rFonts w:ascii="Cambria Math" w:hAnsi="Cambria Math"/>
                <w:i/>
              </w:rPr>
            </m:ctrlPr>
          </m:sSubPr>
          <m:e>
            <m:r>
              <w:rPr>
                <w:rFonts w:ascii="Cambria Math" w:hAnsi="Cambria Math"/>
              </w:rPr>
              <m:t>σ</m:t>
            </m:r>
          </m:e>
          <m:sub>
            <m:r>
              <w:rPr>
                <w:rFonts w:ascii="Cambria Math" w:hAnsi="Cambria Math" w:hint="eastAsia"/>
              </w:rPr>
              <m:t>1</m:t>
            </m:r>
          </m:sub>
        </m:sSub>
      </m:oMath>
      <w:r w:rsidR="00C25C85" w:rsidRPr="00BC31E0">
        <w:rPr>
          <w:rFonts w:hint="eastAsia"/>
        </w:rPr>
        <w:t>，</w:t>
      </w:r>
      <m:oMath>
        <m:sSub>
          <m:sSubPr>
            <m:ctrlPr>
              <w:rPr>
                <w:rFonts w:ascii="Cambria Math" w:hAnsi="Cambria Math"/>
                <w:i/>
              </w:rPr>
            </m:ctrlPr>
          </m:sSubPr>
          <m:e>
            <m:r>
              <w:rPr>
                <w:rFonts w:ascii="Cambria Math" w:hAnsi="Cambria Math"/>
              </w:rPr>
              <m:t>σ</m:t>
            </m:r>
          </m:e>
          <m:sub>
            <m:r>
              <w:rPr>
                <w:rFonts w:ascii="Cambria Math" w:hAnsi="Cambria Math" w:hint="eastAsia"/>
              </w:rPr>
              <m:t>2</m:t>
            </m:r>
          </m:sub>
        </m:sSub>
      </m:oMath>
      <w:r w:rsidR="00C25C85" w:rsidRPr="00BC31E0">
        <w:rPr>
          <w:rFonts w:hint="eastAsia"/>
        </w:rPr>
        <w:t>，</w:t>
      </w:r>
      <m:oMath>
        <m:sSub>
          <m:sSubPr>
            <m:ctrlPr>
              <w:rPr>
                <w:rFonts w:ascii="Cambria Math" w:hAnsi="Cambria Math"/>
                <w:i/>
              </w:rPr>
            </m:ctrlPr>
          </m:sSubPr>
          <m:e>
            <m:r>
              <w:rPr>
                <w:rFonts w:ascii="Cambria Math" w:hAnsi="Cambria Math"/>
              </w:rPr>
              <m:t>σ</m:t>
            </m:r>
          </m:e>
          <m:sub>
            <m:r>
              <w:rPr>
                <w:rFonts w:ascii="Cambria Math" w:hAnsi="Cambria Math"/>
              </w:rPr>
              <m:t>3</m:t>
            </m:r>
          </m:sub>
        </m:sSub>
      </m:oMath>
      <w:r w:rsidR="00C25C85" w:rsidRPr="00BC31E0">
        <w:rPr>
          <w:rFonts w:hint="eastAsia"/>
        </w:rPr>
        <w:tab/>
      </w:r>
      <w:r w:rsidR="00C25C85" w:rsidRPr="00BC31E0">
        <w:rPr>
          <w:rFonts w:hint="eastAsia"/>
        </w:rPr>
        <w:t>：</w:t>
      </w:r>
      <w:r w:rsidR="00C25C85" w:rsidRPr="00BC31E0">
        <w:rPr>
          <w:rFonts w:hint="eastAsia"/>
        </w:rPr>
        <w:t xml:space="preserve"> 1</w:t>
      </w:r>
      <w:r w:rsidR="00C25C85" w:rsidRPr="00BC31E0">
        <w:rPr>
          <w:rFonts w:hint="eastAsia"/>
        </w:rPr>
        <w:t>，</w:t>
      </w:r>
      <w:r w:rsidR="00C25C85" w:rsidRPr="00BC31E0">
        <w:rPr>
          <w:rFonts w:hint="eastAsia"/>
        </w:rPr>
        <w:t>2</w:t>
      </w:r>
      <w:r w:rsidR="00C25C85" w:rsidRPr="00BC31E0">
        <w:rPr>
          <w:rFonts w:hint="eastAsia"/>
        </w:rPr>
        <w:t>，</w:t>
      </w:r>
      <w:r w:rsidR="00C25C85" w:rsidRPr="00BC31E0">
        <w:rPr>
          <w:rFonts w:hint="eastAsia"/>
        </w:rPr>
        <w:t>3</w:t>
      </w:r>
      <w:r w:rsidR="00C25C85" w:rsidRPr="00BC31E0">
        <w:rPr>
          <w:rFonts w:hint="eastAsia"/>
        </w:rPr>
        <w:t>方向の主応力</w:t>
      </w:r>
      <w:r w:rsidR="00C25C85" w:rsidRPr="00BC31E0">
        <w:rPr>
          <w:rFonts w:hint="eastAsia"/>
        </w:rPr>
        <w:t>(</w:t>
      </w:r>
      <w:r w:rsidR="00C25C85" w:rsidRPr="00BC31E0">
        <w:rPr>
          <w:rFonts w:ascii="Cambria Math" w:hAnsi="Cambria Math"/>
        </w:rPr>
        <w:t>MPa</w:t>
      </w:r>
      <w:r w:rsidR="00C25C85" w:rsidRPr="00BC31E0">
        <w:rPr>
          <w:rFonts w:hint="eastAsia"/>
        </w:rPr>
        <w:t>) (</w:t>
      </w:r>
      <w:r w:rsidR="00C25C85" w:rsidRPr="00BC31E0">
        <w:rPr>
          <w:rFonts w:asciiTheme="majorEastAsia" w:eastAsiaTheme="majorEastAsia" w:hAnsiTheme="majorEastAsia" w:hint="eastAsia"/>
          <w:b/>
        </w:rPr>
        <w:t>6.2.3</w:t>
      </w:r>
      <w:r w:rsidR="00C25C85" w:rsidRPr="00BC31E0">
        <w:rPr>
          <w:rFonts w:asciiTheme="minorEastAsia" w:eastAsiaTheme="minorEastAsia" w:hAnsiTheme="minorEastAsia" w:hint="eastAsia"/>
        </w:rPr>
        <w:t>，</w:t>
      </w:r>
      <w:r w:rsidR="00C25C85" w:rsidRPr="00BC31E0">
        <w:rPr>
          <w:rFonts w:asciiTheme="majorEastAsia" w:eastAsiaTheme="majorEastAsia" w:hAnsiTheme="majorEastAsia" w:hint="eastAsia"/>
          <w:b/>
        </w:rPr>
        <w:t>附属書J 1</w:t>
      </w:r>
      <w:r w:rsidR="00C25C85" w:rsidRPr="00BC31E0">
        <w:rPr>
          <w:rFonts w:hint="eastAsia"/>
        </w:rPr>
        <w:t>)</w:t>
      </w:r>
    </w:p>
    <w:p w14:paraId="7FA44E6D" w14:textId="77777777" w:rsidR="00C25C85" w:rsidRPr="00BC31E0" w:rsidRDefault="00A51873" w:rsidP="008234D1">
      <w:pPr>
        <w:tabs>
          <w:tab w:val="left" w:pos="2127"/>
        </w:tabs>
        <w:autoSpaceDE w:val="0"/>
        <w:autoSpaceDN w:val="0"/>
        <w:ind w:left="567"/>
      </w:pPr>
      <m:oMath>
        <m:sSub>
          <m:sSubPr>
            <m:ctrlPr>
              <w:rPr>
                <w:rFonts w:ascii="Cambria Math" w:hAnsi="Cambria Math"/>
                <w:i/>
              </w:rPr>
            </m:ctrlPr>
          </m:sSubPr>
          <m:e>
            <m:r>
              <w:rPr>
                <w:rFonts w:ascii="Cambria Math" w:hAnsi="Cambria Math"/>
              </w:rPr>
              <m:t>σ</m:t>
            </m:r>
          </m:e>
          <m:sub>
            <m:r>
              <w:rPr>
                <w:rFonts w:ascii="Cambria Math" w:hAnsi="Cambria Math" w:hint="eastAsia"/>
              </w:rPr>
              <m:t>1,k</m:t>
            </m:r>
          </m:sub>
        </m:sSub>
        <m:r>
          <m:rPr>
            <m:sty m:val="p"/>
          </m:rPr>
          <w:rPr>
            <w:rFonts w:ascii="Cambria Math" w:hAnsi="Cambria Math" w:hint="eastAsia"/>
          </w:rPr>
          <m:t>，</m:t>
        </m:r>
        <m:sSub>
          <m:sSubPr>
            <m:ctrlPr>
              <w:rPr>
                <w:rFonts w:ascii="Cambria Math" w:hAnsi="Cambria Math"/>
                <w:i/>
              </w:rPr>
            </m:ctrlPr>
          </m:sSubPr>
          <m:e>
            <m:r>
              <w:rPr>
                <w:rFonts w:ascii="Cambria Math" w:hAnsi="Cambria Math"/>
              </w:rPr>
              <m:t>σ</m:t>
            </m:r>
          </m:e>
          <m:sub>
            <m:r>
              <w:rPr>
                <w:rFonts w:ascii="Cambria Math" w:hAnsi="Cambria Math" w:hint="eastAsia"/>
              </w:rPr>
              <m:t>2</m:t>
            </m:r>
            <m:r>
              <w:rPr>
                <w:rFonts w:ascii="Cambria Math" w:hAnsi="Cambria Math"/>
              </w:rPr>
              <m:t>,</m:t>
            </m:r>
            <m:r>
              <w:rPr>
                <w:rFonts w:ascii="Cambria Math" w:hAnsi="Cambria Math" w:hint="eastAsia"/>
              </w:rPr>
              <m:t>k</m:t>
            </m:r>
          </m:sub>
        </m:sSub>
        <m:r>
          <m:rPr>
            <m:sty m:val="p"/>
          </m:rPr>
          <w:rPr>
            <w:rFonts w:ascii="Cambria Math" w:hAnsi="Cambria Math" w:hint="eastAsia"/>
          </w:rPr>
          <m:t>，</m:t>
        </m:r>
        <m:sSub>
          <m:sSubPr>
            <m:ctrlPr>
              <w:rPr>
                <w:rFonts w:ascii="Cambria Math" w:hAnsi="Cambria Math"/>
                <w:i/>
              </w:rPr>
            </m:ctrlPr>
          </m:sSubPr>
          <m:e>
            <m:r>
              <w:rPr>
                <w:rFonts w:ascii="Cambria Math" w:hAnsi="Cambria Math"/>
              </w:rPr>
              <m:t>σ</m:t>
            </m:r>
          </m:e>
          <m:sub>
            <m:r>
              <w:rPr>
                <w:rFonts w:ascii="Cambria Math" w:hAnsi="Cambria Math" w:hint="eastAsia"/>
              </w:rPr>
              <m:t>3,k</m:t>
            </m:r>
          </m:sub>
        </m:sSub>
      </m:oMath>
      <w:r w:rsidR="00C25C85" w:rsidRPr="00BC31E0">
        <w:rPr>
          <w:rFonts w:hint="eastAsia"/>
        </w:rPr>
        <w:tab/>
      </w:r>
      <w:r w:rsidR="00C25C85" w:rsidRPr="00BC31E0">
        <w:rPr>
          <w:rFonts w:hint="eastAsia"/>
        </w:rPr>
        <w:t>：</w:t>
      </w:r>
      <w:r w:rsidR="00C25C85" w:rsidRPr="00BC31E0">
        <w:rPr>
          <w:rFonts w:hint="eastAsia"/>
        </w:rPr>
        <w:t xml:space="preserve"> </w:t>
      </w:r>
      <m:oMath>
        <m:r>
          <w:rPr>
            <w:rFonts w:ascii="Cambria Math" w:hAnsi="Cambria Math" w:hint="eastAsia"/>
            <w:szCs w:val="24"/>
            <w:vertAlign w:val="subscript"/>
          </w:rPr>
          <m:t>k</m:t>
        </m:r>
      </m:oMath>
      <w:r w:rsidR="00C25C85" w:rsidRPr="00BC31E0">
        <w:rPr>
          <w:rFonts w:hint="eastAsia"/>
        </w:rPr>
        <w:t>番目の荷重増加での</w:t>
      </w:r>
      <w:r w:rsidR="00C25C85" w:rsidRPr="00BC31E0">
        <w:rPr>
          <w:rFonts w:hint="eastAsia"/>
        </w:rPr>
        <w:t>1</w:t>
      </w:r>
      <w:r w:rsidR="00C25C85" w:rsidRPr="00BC31E0">
        <w:rPr>
          <w:rFonts w:hint="eastAsia"/>
        </w:rPr>
        <w:t>，</w:t>
      </w:r>
      <w:r w:rsidR="00C25C85" w:rsidRPr="00BC31E0">
        <w:rPr>
          <w:rFonts w:hint="eastAsia"/>
        </w:rPr>
        <w:t>2</w:t>
      </w:r>
      <w:r w:rsidR="00C25C85" w:rsidRPr="00BC31E0">
        <w:rPr>
          <w:rFonts w:hint="eastAsia"/>
        </w:rPr>
        <w:t>，</w:t>
      </w:r>
      <w:r w:rsidR="00C25C85" w:rsidRPr="00BC31E0">
        <w:rPr>
          <w:rFonts w:hint="eastAsia"/>
        </w:rPr>
        <w:t>3</w:t>
      </w:r>
      <w:r w:rsidR="00C25C85" w:rsidRPr="00BC31E0">
        <w:rPr>
          <w:rFonts w:hint="eastAsia"/>
        </w:rPr>
        <w:t>方向の主応力</w:t>
      </w:r>
      <w:r w:rsidR="00C25C85" w:rsidRPr="00BC31E0">
        <w:rPr>
          <w:rFonts w:hint="eastAsia"/>
        </w:rPr>
        <w:t>(</w:t>
      </w:r>
      <w:r w:rsidR="00C25C85" w:rsidRPr="00BC31E0">
        <w:rPr>
          <w:rFonts w:ascii="Cambria Math" w:hAnsi="Cambria Math"/>
        </w:rPr>
        <w:t>MPa</w:t>
      </w:r>
      <w:r w:rsidR="00C25C85" w:rsidRPr="00BC31E0">
        <w:rPr>
          <w:rFonts w:hint="eastAsia"/>
        </w:rPr>
        <w:t>) (</w:t>
      </w:r>
      <w:r w:rsidR="00C25C85" w:rsidRPr="00BC31E0">
        <w:rPr>
          <w:rFonts w:ascii="ＭＳ ゴシック" w:eastAsia="ＭＳ ゴシック" w:hint="eastAsia"/>
          <w:b/>
        </w:rPr>
        <w:t>6.2.3</w:t>
      </w:r>
      <w:r w:rsidR="00C25C85" w:rsidRPr="00BC31E0">
        <w:rPr>
          <w:rFonts w:hint="eastAsia"/>
        </w:rPr>
        <w:t>)</w:t>
      </w:r>
    </w:p>
    <w:p w14:paraId="5D61A607" w14:textId="77777777" w:rsidR="00C25C85" w:rsidRPr="00BC31E0" w:rsidRDefault="00C25C85" w:rsidP="008234D1">
      <w:pPr>
        <w:tabs>
          <w:tab w:val="left" w:pos="1276"/>
        </w:tabs>
        <w:autoSpaceDE w:val="0"/>
        <w:autoSpaceDN w:val="0"/>
        <w:ind w:left="1588" w:hanging="1021"/>
      </w:pPr>
      <m:oMath>
        <m:r>
          <w:rPr>
            <w:rFonts w:ascii="Cambria Math" w:hAnsi="Cambria Math"/>
          </w:rPr>
          <m:t>ϕ</m:t>
        </m:r>
      </m:oMath>
      <w:r w:rsidRPr="00BC31E0">
        <w:rPr>
          <w:szCs w:val="24"/>
        </w:rPr>
        <w:tab/>
      </w:r>
      <w:r w:rsidRPr="00BC31E0">
        <w:rPr>
          <w:rFonts w:hint="eastAsia"/>
        </w:rPr>
        <w:t>：</w:t>
      </w:r>
      <w:r w:rsidRPr="00BC31E0">
        <w:rPr>
          <w:rFonts w:hint="eastAsia"/>
        </w:rPr>
        <w:t xml:space="preserve"> </w:t>
      </w:r>
      <w:r w:rsidRPr="00BC31E0">
        <w:rPr>
          <w:rFonts w:hint="eastAsia"/>
        </w:rPr>
        <w:t>クランプ肩角度</w:t>
      </w:r>
      <w:r w:rsidRPr="00BC31E0">
        <w:rPr>
          <w:rFonts w:hint="eastAsia"/>
        </w:rPr>
        <w:t>(</w:t>
      </w:r>
      <w:r w:rsidRPr="00BC31E0">
        <w:rPr>
          <w:rFonts w:hint="eastAsia"/>
        </w:rPr>
        <w:t>度</w:t>
      </w:r>
      <w:r w:rsidRPr="00BC31E0">
        <w:rPr>
          <w:rFonts w:hint="eastAsia"/>
        </w:rPr>
        <w:t>) (</w:t>
      </w:r>
      <w:r w:rsidRPr="00BC31E0">
        <w:rPr>
          <w:rFonts w:ascii="ＭＳ ゴシック" w:eastAsia="ＭＳ ゴシック" w:hint="eastAsia"/>
          <w:b/>
        </w:rPr>
        <w:t>附属書</w:t>
      </w:r>
      <w:r w:rsidRPr="00BC31E0">
        <w:rPr>
          <w:rFonts w:ascii="ＭＳ ゴシック" w:eastAsia="ＭＳ ゴシック"/>
          <w:b/>
        </w:rPr>
        <w:t>H 3</w:t>
      </w:r>
      <w:r w:rsidRPr="00BC31E0">
        <w:rPr>
          <w:rFonts w:hint="eastAsia"/>
        </w:rPr>
        <w:t>)</w:t>
      </w:r>
    </w:p>
    <w:p w14:paraId="062B5342" w14:textId="77777777" w:rsidR="009F65CD" w:rsidRPr="00BC31E0" w:rsidRDefault="00C25C85" w:rsidP="008E1284">
      <w:pPr>
        <w:tabs>
          <w:tab w:val="left" w:pos="1276"/>
        </w:tabs>
        <w:autoSpaceDE w:val="0"/>
        <w:autoSpaceDN w:val="0"/>
        <w:ind w:left="1588" w:hanging="1021"/>
      </w:pPr>
      <m:oMath>
        <m:r>
          <w:rPr>
            <w:rFonts w:ascii="Cambria Math" w:hAnsi="Cambria Math"/>
          </w:rPr>
          <m:t>θ</m:t>
        </m:r>
      </m:oMath>
      <w:r w:rsidRPr="00BC31E0">
        <w:rPr>
          <w:rFonts w:hint="eastAsia"/>
        </w:rPr>
        <w:tab/>
      </w:r>
      <w:r w:rsidRPr="00BC31E0">
        <w:rPr>
          <w:rFonts w:hint="eastAsia"/>
        </w:rPr>
        <w:t>：</w:t>
      </w:r>
      <w:r w:rsidRPr="00BC31E0">
        <w:rPr>
          <w:rFonts w:hint="eastAsia"/>
        </w:rPr>
        <w:t xml:space="preserve"> </w:t>
      </w:r>
      <w:r w:rsidRPr="00BC31E0">
        <w:rPr>
          <w:rFonts w:hint="eastAsia"/>
        </w:rPr>
        <w:t>周方向角度</w:t>
      </w:r>
      <w:r w:rsidRPr="00BC31E0">
        <w:rPr>
          <w:rFonts w:hint="eastAsia"/>
        </w:rPr>
        <w:t>(</w:t>
      </w:r>
      <w:r w:rsidRPr="00BC31E0">
        <w:rPr>
          <w:rFonts w:ascii="Cambria Math" w:hAnsi="Cambria Math" w:hint="eastAsia"/>
        </w:rPr>
        <w:t>度</w:t>
      </w:r>
      <w:r w:rsidRPr="00BC31E0">
        <w:rPr>
          <w:rFonts w:hint="eastAsia"/>
        </w:rPr>
        <w:t>) (</w:t>
      </w:r>
      <w:r w:rsidRPr="00BC31E0">
        <w:rPr>
          <w:rFonts w:ascii="ＭＳ ゴシック" w:eastAsia="ＭＳ ゴシック" w:hint="eastAsia"/>
          <w:b/>
        </w:rPr>
        <w:t>附属書C 図C.1</w:t>
      </w:r>
      <w:r w:rsidRPr="00BC31E0">
        <w:rPr>
          <w:rFonts w:hint="eastAsia"/>
        </w:rPr>
        <w:t xml:space="preserve">) </w:t>
      </w:r>
    </w:p>
    <w:p w14:paraId="4725AFFE" w14:textId="77777777" w:rsidR="00F52111" w:rsidRPr="00BC31E0" w:rsidRDefault="00F52111" w:rsidP="002B6789">
      <w:pPr>
        <w:pStyle w:val="aff6"/>
      </w:pPr>
      <w:bookmarkStart w:id="154" w:name="_Toc357672127"/>
      <w:bookmarkStart w:id="155" w:name="_Toc120092563"/>
      <w:r w:rsidRPr="00BC31E0">
        <w:rPr>
          <w:rFonts w:hint="eastAsia"/>
        </w:rPr>
        <w:lastRenderedPageBreak/>
        <w:t>附属書</w:t>
      </w:r>
      <w:r w:rsidRPr="00BC31E0">
        <w:t>C</w:t>
      </w:r>
      <w:r w:rsidRPr="00BC31E0">
        <w:rPr>
          <w:rFonts w:hint="eastAsia"/>
        </w:rPr>
        <w:t>(</w:t>
      </w:r>
      <w:r w:rsidRPr="00BC31E0">
        <w:rPr>
          <w:rFonts w:hint="eastAsia"/>
        </w:rPr>
        <w:t>規定</w:t>
      </w:r>
      <w:r w:rsidRPr="00BC31E0">
        <w:rPr>
          <w:rFonts w:hint="eastAsia"/>
        </w:rPr>
        <w:t>)</w:t>
      </w:r>
      <w:r w:rsidRPr="00BC31E0">
        <w:rPr>
          <w:rFonts w:hint="eastAsia"/>
        </w:rPr>
        <w:t xml:space="preserve">　破壊力学計算</w:t>
      </w:r>
      <w:bookmarkEnd w:id="154"/>
      <w:bookmarkEnd w:id="155"/>
    </w:p>
    <w:p w14:paraId="0BDD72C7" w14:textId="77777777" w:rsidR="00F52111" w:rsidRPr="00BC31E0" w:rsidRDefault="00F52111" w:rsidP="002B6789">
      <w:pPr>
        <w:pStyle w:val="afb"/>
        <w:spacing w:line="240" w:lineRule="auto"/>
      </w:pPr>
      <w:r w:rsidRPr="00BC31E0">
        <w:rPr>
          <w:rFonts w:hint="eastAsia"/>
        </w:rPr>
        <w:t>序文</w:t>
      </w:r>
    </w:p>
    <w:p w14:paraId="4988E50E" w14:textId="77777777" w:rsidR="00F52111" w:rsidRPr="00BC31E0" w:rsidRDefault="00F52111" w:rsidP="002B6789">
      <w:pPr>
        <w:pStyle w:val="15"/>
        <w:ind w:firstLine="210"/>
      </w:pPr>
      <w:r w:rsidRPr="00BC31E0">
        <w:rPr>
          <w:rFonts w:hint="eastAsia"/>
        </w:rPr>
        <w:t>この附属書は，疲労亀裂進展に対する破壊力学による計算手法を規定する。</w:t>
      </w:r>
    </w:p>
    <w:p w14:paraId="23C81CBC" w14:textId="77777777" w:rsidR="00F52111" w:rsidRPr="00BC31E0" w:rsidRDefault="00F52111" w:rsidP="002408BC">
      <w:pPr>
        <w:pStyle w:val="15"/>
        <w:ind w:firstLineChars="0" w:firstLine="0"/>
      </w:pPr>
    </w:p>
    <w:p w14:paraId="4F03192F" w14:textId="77777777" w:rsidR="00F52111" w:rsidRPr="00BC31E0" w:rsidRDefault="00F52111" w:rsidP="00736130">
      <w:pPr>
        <w:pStyle w:val="1f9"/>
        <w:numPr>
          <w:ilvl w:val="0"/>
          <w:numId w:val="360"/>
        </w:numPr>
        <w:adjustRightInd/>
        <w:snapToGrid/>
        <w:spacing w:line="240" w:lineRule="auto"/>
        <w:ind w:left="340" w:hanging="340"/>
      </w:pPr>
      <w:r w:rsidRPr="00BC31E0">
        <w:rPr>
          <w:rFonts w:hint="eastAsia"/>
        </w:rPr>
        <w:t>適用範囲</w:t>
      </w:r>
    </w:p>
    <w:p w14:paraId="44EA0574" w14:textId="77777777" w:rsidR="00F52111" w:rsidRPr="00BC31E0" w:rsidRDefault="00F52111" w:rsidP="002B6789">
      <w:pPr>
        <w:pStyle w:val="15"/>
        <w:ind w:firstLine="210"/>
      </w:pPr>
      <w:r w:rsidRPr="00BC31E0">
        <w:rPr>
          <w:rFonts w:hint="eastAsia"/>
        </w:rPr>
        <w:t>この附属書では，厚肉容器において想定されるさまざまな形状の亀裂の応力拡大係数</w:t>
      </w:r>
      <m:oMath>
        <m:sSub>
          <m:sSubPr>
            <m:ctrlPr>
              <w:rPr>
                <w:rFonts w:ascii="Cambria Math" w:hAnsi="Cambria Math"/>
                <w:i/>
              </w:rPr>
            </m:ctrlPr>
          </m:sSubPr>
          <m:e>
            <m:r>
              <w:rPr>
                <w:rFonts w:ascii="Cambria Math" w:hAnsi="Cambria Math"/>
              </w:rPr>
              <m:t xml:space="preserve"> K</m:t>
            </m:r>
          </m:e>
          <m:sub>
            <m:r>
              <m:rPr>
                <m:sty m:val="p"/>
              </m:rPr>
              <w:rPr>
                <w:rFonts w:ascii="Cambria Math" w:hAnsi="Cambria Math"/>
              </w:rPr>
              <m:t xml:space="preserve">I </m:t>
            </m:r>
          </m:sub>
        </m:sSub>
      </m:oMath>
      <w:r w:rsidRPr="00BC31E0">
        <w:rPr>
          <w:rFonts w:hint="eastAsia"/>
        </w:rPr>
        <w:t>の計算方法を与える。</w:t>
      </w:r>
    </w:p>
    <w:p w14:paraId="60E003C3" w14:textId="77777777" w:rsidR="00F52111" w:rsidRPr="00BC31E0" w:rsidRDefault="00F52111" w:rsidP="002408BC">
      <w:pPr>
        <w:pStyle w:val="15"/>
        <w:ind w:firstLineChars="0" w:firstLine="0"/>
      </w:pPr>
    </w:p>
    <w:p w14:paraId="0CFD3AC4" w14:textId="77777777" w:rsidR="00F52111" w:rsidRPr="00BC31E0" w:rsidRDefault="00F52111" w:rsidP="00736130">
      <w:pPr>
        <w:pStyle w:val="1f9"/>
        <w:numPr>
          <w:ilvl w:val="0"/>
          <w:numId w:val="360"/>
        </w:numPr>
        <w:adjustRightInd/>
        <w:snapToGrid/>
        <w:spacing w:line="240" w:lineRule="auto"/>
        <w:ind w:left="340" w:hanging="340"/>
        <w:jc w:val="both"/>
      </w:pPr>
      <w:r w:rsidRPr="00BC31E0">
        <w:rPr>
          <w:rFonts w:hint="eastAsia"/>
        </w:rPr>
        <w:t>亀裂位置</w:t>
      </w:r>
    </w:p>
    <w:p w14:paraId="69C42C65" w14:textId="77777777" w:rsidR="00F52111" w:rsidRPr="00BC31E0" w:rsidRDefault="00F52111" w:rsidP="002B6789">
      <w:pPr>
        <w:pStyle w:val="15"/>
        <w:ind w:firstLine="211"/>
      </w:pPr>
      <w:r w:rsidRPr="00BC31E0">
        <w:rPr>
          <w:rFonts w:asciiTheme="majorEastAsia" w:eastAsiaTheme="majorEastAsia" w:hAnsiTheme="majorEastAsia" w:hint="eastAsia"/>
          <w:b/>
          <w:bCs/>
        </w:rPr>
        <w:t>図</w:t>
      </w:r>
      <w:r w:rsidRPr="00BC31E0">
        <w:rPr>
          <w:rFonts w:asciiTheme="majorEastAsia" w:eastAsiaTheme="majorEastAsia" w:hAnsiTheme="majorEastAsia"/>
          <w:b/>
          <w:bCs/>
        </w:rPr>
        <w:t>C.1</w:t>
      </w:r>
      <w:r w:rsidRPr="00BC31E0">
        <w:rPr>
          <w:rFonts w:ascii="ＭＳ 明朝" w:hAnsi="ＭＳ 明朝" w:hint="eastAsia"/>
          <w:bCs/>
        </w:rPr>
        <w:t>に</w:t>
      </w:r>
      <w:r w:rsidRPr="00BC31E0">
        <w:rPr>
          <w:rFonts w:hint="eastAsia"/>
        </w:rPr>
        <w:t>，疲労によって圧力容器のさまざまな位置で亀裂が進展する様子を示す。</w:t>
      </w:r>
    </w:p>
    <w:p w14:paraId="25E80B90" w14:textId="77777777" w:rsidR="00F52111" w:rsidRPr="00BC31E0" w:rsidRDefault="00F52111" w:rsidP="00736130">
      <w:pPr>
        <w:pStyle w:val="110"/>
        <w:numPr>
          <w:ilvl w:val="1"/>
          <w:numId w:val="223"/>
        </w:numPr>
        <w:tabs>
          <w:tab w:val="clear" w:pos="510"/>
        </w:tabs>
        <w:spacing w:line="240" w:lineRule="auto"/>
        <w:ind w:left="567" w:hanging="567"/>
        <w:jc w:val="both"/>
      </w:pPr>
      <w:r w:rsidRPr="00BC31E0">
        <w:rPr>
          <w:rFonts w:hint="eastAsia"/>
        </w:rPr>
        <w:t>円筒胴内面の軸方向亀裂</w:t>
      </w:r>
    </w:p>
    <w:p w14:paraId="52106A3B" w14:textId="77777777" w:rsidR="00F52111" w:rsidRPr="00BC31E0" w:rsidRDefault="00F52111" w:rsidP="002B6789">
      <w:pPr>
        <w:pStyle w:val="113"/>
        <w:ind w:firstLine="211"/>
      </w:pPr>
      <w:r w:rsidRPr="00BC31E0">
        <w:rPr>
          <w:rFonts w:ascii="ＭＳ ゴシック" w:eastAsia="ＭＳ ゴシック" w:hAnsi="ＭＳ ゴシック" w:hint="eastAsia"/>
          <w:b/>
          <w:bCs/>
        </w:rPr>
        <w:t>図</w:t>
      </w:r>
      <w:r w:rsidRPr="00BC31E0">
        <w:rPr>
          <w:rFonts w:ascii="ＭＳ ゴシック" w:eastAsia="ＭＳ ゴシック" w:hAnsi="ＭＳ ゴシック"/>
          <w:b/>
          <w:bCs/>
        </w:rPr>
        <w:t>C.1</w:t>
      </w:r>
      <w:r w:rsidRPr="00BC31E0">
        <w:rPr>
          <w:rFonts w:hint="eastAsia"/>
        </w:rPr>
        <w:t>の</w:t>
      </w:r>
      <w:r w:rsidRPr="00BC31E0">
        <w:t>A</w:t>
      </w:r>
      <w:r w:rsidRPr="00BC31E0">
        <w:rPr>
          <w:rFonts w:hint="eastAsia"/>
        </w:rPr>
        <w:t>タイプ亀裂は，円筒の軸方向に進展する。この亀裂に作用する応力は，周方向応力と亀裂面に作用する圧力である。この亀裂は，疲労によってアスペクト比</w:t>
      </w:r>
      <m:oMath>
        <m:r>
          <m:rPr>
            <m:sty m:val="p"/>
          </m:rPr>
          <w:rPr>
            <w:rFonts w:ascii="Cambria Math" w:hAnsi="Cambria Math"/>
            <w:sz w:val="22"/>
            <w:szCs w:val="22"/>
          </w:rPr>
          <m:t xml:space="preserve"> </m:t>
        </m:r>
        <m:f>
          <m:fPr>
            <m:type m:val="lin"/>
            <m:ctrlPr>
              <w:rPr>
                <w:rFonts w:ascii="Cambria Math" w:hAnsi="Cambria Math"/>
                <w:i/>
                <w:sz w:val="22"/>
                <w:szCs w:val="22"/>
              </w:rPr>
            </m:ctrlPr>
          </m:fPr>
          <m:num>
            <m:r>
              <w:rPr>
                <w:rFonts w:ascii="Cambria Math" w:hAnsi="Cambria Math"/>
                <w:sz w:val="22"/>
                <w:szCs w:val="22"/>
              </w:rPr>
              <m:t>a</m:t>
            </m:r>
          </m:num>
          <m:den>
            <m:r>
              <w:rPr>
                <w:rFonts w:ascii="Cambria Math" w:hAnsi="Cambria Math"/>
                <w:sz w:val="22"/>
                <w:szCs w:val="22"/>
              </w:rPr>
              <m:t>l</m:t>
            </m:r>
          </m:den>
        </m:f>
        <m:r>
          <m:rPr>
            <m:sty m:val="p"/>
          </m:rPr>
          <w:rPr>
            <w:rFonts w:ascii="Cambria Math" w:hAnsi="Cambria Math"/>
            <w:sz w:val="22"/>
            <w:szCs w:val="22"/>
          </w:rPr>
          <m:t xml:space="preserve"> </m:t>
        </m:r>
      </m:oMath>
      <w:r w:rsidRPr="00BC31E0">
        <w:t>(</w:t>
      </w:r>
      <m:oMath>
        <m:r>
          <w:rPr>
            <w:rFonts w:ascii="Cambria Math" w:hAnsi="Cambria Math"/>
            <w:sz w:val="22"/>
            <w:szCs w:val="22"/>
          </w:rPr>
          <m:t xml:space="preserve">a </m:t>
        </m:r>
      </m:oMath>
      <w:r w:rsidRPr="00BC31E0">
        <w:rPr>
          <w:rFonts w:hint="eastAsia"/>
        </w:rPr>
        <w:t>は亀裂深さ，</w:t>
      </w:r>
      <m:oMath>
        <m:r>
          <w:rPr>
            <w:rFonts w:ascii="Cambria Math" w:hAnsi="Cambria Math"/>
            <w:sz w:val="22"/>
            <w:szCs w:val="22"/>
          </w:rPr>
          <m:t xml:space="preserve">l </m:t>
        </m:r>
      </m:oMath>
      <w:r w:rsidRPr="00BC31E0">
        <w:rPr>
          <w:rFonts w:hint="eastAsia"/>
        </w:rPr>
        <w:t>は表面長さ</w:t>
      </w:r>
      <w:r w:rsidRPr="00BC31E0">
        <w:rPr>
          <w:rFonts w:hint="eastAsia"/>
        </w:rPr>
        <w:t>)</w:t>
      </w:r>
      <w:r w:rsidRPr="00BC31E0">
        <w:rPr>
          <w:rFonts w:hint="eastAsia"/>
        </w:rPr>
        <w:t>の半楕円形状で進展する傾向がある。</w:t>
      </w:r>
    </w:p>
    <w:p w14:paraId="5AC827E2" w14:textId="77777777" w:rsidR="00F52111" w:rsidRPr="00BC31E0" w:rsidRDefault="00F52111" w:rsidP="00736130">
      <w:pPr>
        <w:pStyle w:val="110"/>
        <w:numPr>
          <w:ilvl w:val="1"/>
          <w:numId w:val="223"/>
        </w:numPr>
        <w:tabs>
          <w:tab w:val="clear" w:pos="510"/>
        </w:tabs>
        <w:spacing w:line="240" w:lineRule="auto"/>
        <w:ind w:left="567" w:hanging="567"/>
        <w:jc w:val="both"/>
      </w:pPr>
      <w:r w:rsidRPr="00BC31E0">
        <w:rPr>
          <w:rFonts w:hint="eastAsia"/>
        </w:rPr>
        <w:t>円筒胴の交差穴内面の亀裂</w:t>
      </w:r>
    </w:p>
    <w:p w14:paraId="4BAEE9C2" w14:textId="77777777" w:rsidR="00F52111" w:rsidRPr="00BC31E0" w:rsidRDefault="00F52111" w:rsidP="002B6789">
      <w:pPr>
        <w:pStyle w:val="113"/>
        <w:ind w:firstLine="211"/>
      </w:pPr>
      <w:r w:rsidRPr="00BC31E0">
        <w:rPr>
          <w:rFonts w:ascii="ＭＳ ゴシック" w:eastAsia="ＭＳ ゴシック" w:hAnsi="ＭＳ ゴシック" w:hint="eastAsia"/>
          <w:b/>
          <w:bCs/>
        </w:rPr>
        <w:t>図</w:t>
      </w:r>
      <w:r w:rsidRPr="00BC31E0">
        <w:rPr>
          <w:rFonts w:ascii="ＭＳ ゴシック" w:eastAsia="ＭＳ ゴシック" w:hAnsi="ＭＳ ゴシック"/>
          <w:b/>
          <w:bCs/>
        </w:rPr>
        <w:t>C.1</w:t>
      </w:r>
      <w:r w:rsidRPr="00BC31E0">
        <w:rPr>
          <w:rFonts w:hint="eastAsia"/>
        </w:rPr>
        <w:t>の</w:t>
      </w:r>
      <w:r w:rsidRPr="00BC31E0">
        <w:t>B</w:t>
      </w:r>
      <w:r w:rsidRPr="00BC31E0">
        <w:rPr>
          <w:rFonts w:hint="eastAsia"/>
        </w:rPr>
        <w:t>タイプ亀裂は，容器と配管又は付属品との接合箇所における交差穴内面に生じる亀裂である。この亀裂は，疲労によって交差穴内面の両側から軸方向に進展する傾向があるが，これらの</w:t>
      </w:r>
      <w:r w:rsidRPr="00BC31E0">
        <w:rPr>
          <w:rFonts w:asciiTheme="minorEastAsia" w:eastAsiaTheme="minorEastAsia" w:hAnsiTheme="minorEastAsia" w:hint="eastAsia"/>
        </w:rPr>
        <w:t>亀</w:t>
      </w:r>
      <w:r w:rsidRPr="00BC31E0">
        <w:rPr>
          <w:rFonts w:hint="eastAsia"/>
        </w:rPr>
        <w:t>裂形状は対称でない場合が多い。開口部の応力計算は孔による応力集中のために複雑になり，亀裂面に作用する圧力を考慮する必要がある。</w:t>
      </w:r>
    </w:p>
    <w:p w14:paraId="104A9D75" w14:textId="77777777" w:rsidR="00F52111" w:rsidRPr="00BC31E0" w:rsidRDefault="00F52111" w:rsidP="00736130">
      <w:pPr>
        <w:pStyle w:val="110"/>
        <w:numPr>
          <w:ilvl w:val="1"/>
          <w:numId w:val="223"/>
        </w:numPr>
        <w:spacing w:line="240" w:lineRule="auto"/>
        <w:ind w:left="567" w:hanging="567"/>
        <w:jc w:val="both"/>
      </w:pPr>
      <w:r w:rsidRPr="00BC31E0">
        <w:rPr>
          <w:rFonts w:hint="eastAsia"/>
        </w:rPr>
        <w:t>ねじ込み部の周方向</w:t>
      </w:r>
      <w:r w:rsidRPr="00BC31E0">
        <w:rPr>
          <w:rFonts w:asciiTheme="majorEastAsia" w:eastAsiaTheme="majorEastAsia" w:hAnsiTheme="majorEastAsia" w:hint="eastAsia"/>
        </w:rPr>
        <w:t>亀</w:t>
      </w:r>
      <w:r w:rsidRPr="00BC31E0">
        <w:rPr>
          <w:rFonts w:hint="eastAsia"/>
        </w:rPr>
        <w:t>裂</w:t>
      </w:r>
    </w:p>
    <w:p w14:paraId="19874D26" w14:textId="77777777" w:rsidR="00F52111" w:rsidRPr="00BC31E0" w:rsidRDefault="00F52111" w:rsidP="002B6789">
      <w:pPr>
        <w:pStyle w:val="113"/>
        <w:ind w:firstLine="211"/>
      </w:pPr>
      <w:r w:rsidRPr="00BC31E0">
        <w:rPr>
          <w:rFonts w:ascii="ＭＳ ゴシック" w:eastAsia="ＭＳ ゴシック" w:hAnsi="ＭＳ ゴシック" w:hint="eastAsia"/>
          <w:b/>
          <w:bCs/>
        </w:rPr>
        <w:t>図</w:t>
      </w:r>
      <w:r w:rsidRPr="00BC31E0">
        <w:rPr>
          <w:rFonts w:ascii="ＭＳ ゴシック" w:eastAsia="ＭＳ ゴシック" w:hAnsi="ＭＳ ゴシック"/>
          <w:b/>
          <w:bCs/>
        </w:rPr>
        <w:t>C.1</w:t>
      </w:r>
      <w:r w:rsidRPr="00BC31E0">
        <w:rPr>
          <w:rFonts w:hint="eastAsia"/>
        </w:rPr>
        <w:t>の</w:t>
      </w:r>
      <w:r w:rsidRPr="00BC31E0">
        <w:t>C</w:t>
      </w:r>
      <w:r w:rsidRPr="00BC31E0">
        <w:rPr>
          <w:rFonts w:hint="eastAsia"/>
        </w:rPr>
        <w:t>タイプ亀裂は，高圧容器のねじ込み部のねじ底に生じる亀裂である。この亀裂は，ねじ込み部の長手に沿った不均一な荷重分布とねじ底での応力集中によって，通常は最初に荷重を負担するねじ込み部のねじ底で発生し，周方向平面上を進展する。通常，高圧流体はこの</w:t>
      </w:r>
      <w:r w:rsidRPr="00BC31E0">
        <w:rPr>
          <w:rFonts w:asciiTheme="minorEastAsia" w:eastAsiaTheme="minorEastAsia" w:hAnsiTheme="minorEastAsia" w:hint="eastAsia"/>
        </w:rPr>
        <w:t>亀</w:t>
      </w:r>
      <w:r w:rsidRPr="00BC31E0">
        <w:rPr>
          <w:rFonts w:hint="eastAsia"/>
        </w:rPr>
        <w:t>裂面に作用しない。長手</w:t>
      </w:r>
      <w:r w:rsidRPr="00BC31E0">
        <w:rPr>
          <w:rFonts w:hint="eastAsia"/>
        </w:rPr>
        <w:t>(</w:t>
      </w:r>
      <w:r w:rsidRPr="00BC31E0">
        <w:rPr>
          <w:rFonts w:hint="eastAsia"/>
        </w:rPr>
        <w:t>開口</w:t>
      </w:r>
      <w:r w:rsidRPr="00BC31E0">
        <w:rPr>
          <w:rFonts w:hint="eastAsia"/>
        </w:rPr>
        <w:t>)</w:t>
      </w:r>
      <w:r w:rsidRPr="00BC31E0">
        <w:rPr>
          <w:rFonts w:hint="eastAsia"/>
        </w:rPr>
        <w:t>方向の応力分布は，ねじ底における応力集中により非常に急勾配になる。</w:t>
      </w:r>
    </w:p>
    <w:p w14:paraId="76A774C2" w14:textId="77777777" w:rsidR="00F52111" w:rsidRPr="00BC31E0" w:rsidRDefault="00F52111" w:rsidP="00736130">
      <w:pPr>
        <w:pStyle w:val="110"/>
        <w:numPr>
          <w:ilvl w:val="1"/>
          <w:numId w:val="223"/>
        </w:numPr>
        <w:tabs>
          <w:tab w:val="clear" w:pos="510"/>
        </w:tabs>
        <w:spacing w:line="240" w:lineRule="auto"/>
        <w:ind w:left="567" w:hanging="567"/>
        <w:jc w:val="both"/>
      </w:pPr>
      <w:r w:rsidRPr="00BC31E0">
        <w:rPr>
          <w:rFonts w:hint="eastAsia"/>
        </w:rPr>
        <w:t>閉端部コーナー内面の亀裂</w:t>
      </w:r>
    </w:p>
    <w:p w14:paraId="11371B09" w14:textId="77777777" w:rsidR="00F52111" w:rsidRPr="00BC31E0" w:rsidRDefault="00F52111" w:rsidP="002B6789">
      <w:pPr>
        <w:pStyle w:val="113"/>
        <w:ind w:firstLine="211"/>
      </w:pPr>
      <w:r w:rsidRPr="00BC31E0">
        <w:rPr>
          <w:rFonts w:ascii="ＭＳ ゴシック" w:eastAsia="ＭＳ ゴシック" w:hAnsi="ＭＳ ゴシック" w:hint="eastAsia"/>
          <w:b/>
          <w:bCs/>
        </w:rPr>
        <w:t>図</w:t>
      </w:r>
      <w:r w:rsidRPr="00BC31E0">
        <w:rPr>
          <w:rFonts w:ascii="ＭＳ ゴシック" w:eastAsia="ＭＳ ゴシック" w:hAnsi="ＭＳ ゴシック"/>
          <w:b/>
          <w:bCs/>
        </w:rPr>
        <w:t>C.1</w:t>
      </w:r>
      <w:r w:rsidRPr="00BC31E0">
        <w:rPr>
          <w:rFonts w:hint="eastAsia"/>
        </w:rPr>
        <w:t>の</w:t>
      </w:r>
      <w:r w:rsidRPr="00BC31E0">
        <w:t>D</w:t>
      </w:r>
      <w:r w:rsidRPr="00BC31E0">
        <w:rPr>
          <w:rFonts w:hint="eastAsia"/>
        </w:rPr>
        <w:t>タイプ亀裂は，閉端部コーナー内面の応力集中部から進展する亀裂である。</w:t>
      </w:r>
    </w:p>
    <w:p w14:paraId="0A14D2C2" w14:textId="77777777" w:rsidR="00F52111" w:rsidRPr="00BC31E0" w:rsidRDefault="00F52111" w:rsidP="00736130">
      <w:pPr>
        <w:pStyle w:val="110"/>
        <w:numPr>
          <w:ilvl w:val="1"/>
          <w:numId w:val="223"/>
        </w:numPr>
        <w:tabs>
          <w:tab w:val="clear" w:pos="510"/>
        </w:tabs>
        <w:spacing w:line="240" w:lineRule="auto"/>
        <w:ind w:left="567" w:hanging="567"/>
        <w:jc w:val="both"/>
      </w:pPr>
      <w:r w:rsidRPr="00BC31E0">
        <w:rPr>
          <w:rFonts w:hint="eastAsia"/>
        </w:rPr>
        <w:t>円筒胴外面の亀裂</w:t>
      </w:r>
    </w:p>
    <w:p w14:paraId="5BE60F94" w14:textId="77777777" w:rsidR="00F52111" w:rsidRPr="00BC31E0" w:rsidRDefault="00F52111" w:rsidP="002B6789">
      <w:pPr>
        <w:pStyle w:val="113"/>
        <w:ind w:firstLine="211"/>
      </w:pPr>
      <w:r w:rsidRPr="00BC31E0">
        <w:rPr>
          <w:rFonts w:ascii="ＭＳ ゴシック" w:eastAsia="ＭＳ ゴシック" w:hAnsi="ＭＳ ゴシック" w:hint="eastAsia"/>
          <w:b/>
          <w:bCs/>
        </w:rPr>
        <w:t>図</w:t>
      </w:r>
      <w:r w:rsidRPr="00BC31E0">
        <w:rPr>
          <w:rFonts w:ascii="ＭＳ ゴシック" w:eastAsia="ＭＳ ゴシック" w:hAnsi="ＭＳ ゴシック"/>
          <w:b/>
          <w:bCs/>
        </w:rPr>
        <w:t>C.1</w:t>
      </w:r>
      <w:r w:rsidRPr="00BC31E0">
        <w:rPr>
          <w:rFonts w:hint="eastAsia"/>
        </w:rPr>
        <w:t>の</w:t>
      </w:r>
      <w:r w:rsidRPr="00BC31E0">
        <w:t>E</w:t>
      </w:r>
      <w:r w:rsidRPr="00BC31E0">
        <w:rPr>
          <w:rFonts w:hint="eastAsia"/>
        </w:rPr>
        <w:t>タイプ及び</w:t>
      </w:r>
      <w:r w:rsidRPr="00BC31E0">
        <w:t>F</w:t>
      </w:r>
      <w:r w:rsidRPr="00BC31E0">
        <w:rPr>
          <w:rFonts w:hint="eastAsia"/>
        </w:rPr>
        <w:t>タイプ亀裂は，円筒胴外面において，応力集中，引張残留応力又は環境の影響の組合せによって進展する亀裂である。</w:t>
      </w:r>
    </w:p>
    <w:p w14:paraId="23F075F6" w14:textId="77777777" w:rsidR="00F52111" w:rsidRPr="00BC31E0" w:rsidRDefault="00F52111" w:rsidP="002408BC">
      <w:pPr>
        <w:pStyle w:val="113"/>
        <w:ind w:firstLineChars="0" w:firstLine="0"/>
      </w:pPr>
    </w:p>
    <w:p w14:paraId="5AEA25FF" w14:textId="77777777" w:rsidR="00F52111" w:rsidRPr="00BC31E0" w:rsidRDefault="00F52111" w:rsidP="00736130">
      <w:pPr>
        <w:pStyle w:val="1f9"/>
        <w:numPr>
          <w:ilvl w:val="0"/>
          <w:numId w:val="223"/>
        </w:numPr>
        <w:tabs>
          <w:tab w:val="clear" w:pos="284"/>
        </w:tabs>
        <w:adjustRightInd/>
        <w:snapToGrid/>
        <w:spacing w:line="240" w:lineRule="auto"/>
        <w:ind w:left="340" w:hanging="340"/>
        <w:jc w:val="both"/>
      </w:pPr>
      <w:r w:rsidRPr="00BC31E0">
        <w:rPr>
          <w:rFonts w:hint="eastAsia"/>
        </w:rPr>
        <w:t>亀裂の方向と形状</w:t>
      </w:r>
    </w:p>
    <w:p w14:paraId="63C09A5A" w14:textId="77777777" w:rsidR="00F52111" w:rsidRPr="00BC31E0" w:rsidRDefault="00F52111" w:rsidP="002B6789">
      <w:pPr>
        <w:pStyle w:val="15"/>
        <w:ind w:firstLine="210"/>
      </w:pPr>
      <w:r w:rsidRPr="00BC31E0">
        <w:rPr>
          <w:rFonts w:hint="eastAsia"/>
        </w:rPr>
        <w:t>容器の高応力部において，平面状の亀裂が進展すると仮定する。この平面は，応力解析によって決定する。亀裂は，通常は引張応力の最大変動範囲の方向に垂直な平面上を進展する。</w:t>
      </w:r>
    </w:p>
    <w:p w14:paraId="6EEE4C0E" w14:textId="77777777" w:rsidR="00F52111" w:rsidRPr="00BC31E0" w:rsidRDefault="00F52111" w:rsidP="002B6789">
      <w:pPr>
        <w:pStyle w:val="15"/>
        <w:ind w:firstLine="210"/>
      </w:pPr>
      <w:r w:rsidRPr="00BC31E0">
        <w:rPr>
          <w:rFonts w:hint="eastAsia"/>
        </w:rPr>
        <w:t>半楕円形状の初期亀裂のアスペクト比</w:t>
      </w:r>
      <m:oMath>
        <m:r>
          <m:rPr>
            <m:sty m:val="p"/>
          </m:rPr>
          <w:rPr>
            <w:rFonts w:ascii="Cambria Math" w:hAnsi="Cambria Math"/>
          </w:rPr>
          <m:t xml:space="preserve"> </m:t>
        </m:r>
        <m:f>
          <m:fPr>
            <m:type m:val="lin"/>
            <m:ctrlPr>
              <w:rPr>
                <w:rFonts w:ascii="Cambria Math" w:hAnsi="Cambria Math"/>
                <w:i/>
                <w:sz w:val="22"/>
                <w:szCs w:val="22"/>
              </w:rPr>
            </m:ctrlPr>
          </m:fPr>
          <m:num>
            <m:r>
              <w:rPr>
                <w:rFonts w:ascii="Cambria Math" w:hAnsi="Cambria Math"/>
                <w:sz w:val="22"/>
                <w:szCs w:val="22"/>
              </w:rPr>
              <m:t xml:space="preserve">a </m:t>
            </m:r>
          </m:num>
          <m:den>
            <m:r>
              <w:rPr>
                <w:rFonts w:ascii="Cambria Math" w:hAnsi="Cambria Math"/>
                <w:sz w:val="22"/>
                <w:szCs w:val="22"/>
              </w:rPr>
              <m:t xml:space="preserve">l </m:t>
            </m:r>
          </m:den>
        </m:f>
      </m:oMath>
      <w:r w:rsidRPr="00BC31E0">
        <w:rPr>
          <w:rFonts w:hint="eastAsia"/>
        </w:rPr>
        <w:t>は，全て</w:t>
      </w:r>
      <m:oMath>
        <m:f>
          <m:fPr>
            <m:type m:val="lin"/>
            <m:ctrlPr>
              <w:rPr>
                <w:rFonts w:ascii="Cambria Math" w:hAnsi="Cambria Math"/>
                <w:sz w:val="22"/>
                <w:szCs w:val="22"/>
              </w:rPr>
            </m:ctrlPr>
          </m:fPr>
          <m:num>
            <m:r>
              <m:rPr>
                <m:sty m:val="p"/>
              </m:rPr>
              <w:rPr>
                <w:rFonts w:ascii="Cambria Math" w:hAnsi="Cambria Math"/>
                <w:sz w:val="22"/>
                <w:szCs w:val="22"/>
              </w:rPr>
              <m:t xml:space="preserve"> 1</m:t>
            </m:r>
          </m:num>
          <m:den>
            <m:r>
              <m:rPr>
                <m:sty m:val="p"/>
              </m:rPr>
              <w:rPr>
                <w:rFonts w:ascii="Cambria Math" w:hAnsi="Cambria Math"/>
                <w:sz w:val="22"/>
                <w:szCs w:val="22"/>
              </w:rPr>
              <m:t xml:space="preserve">3 </m:t>
            </m:r>
          </m:den>
        </m:f>
      </m:oMath>
      <w:r w:rsidRPr="00BC31E0">
        <w:rPr>
          <w:rFonts w:hint="eastAsia"/>
        </w:rPr>
        <w:t>とする。疲労亀裂進展計算では，亀裂進展中のアスペクト比の変化を考慮する。</w:t>
      </w:r>
    </w:p>
    <w:p w14:paraId="46E89B5D" w14:textId="77777777" w:rsidR="00F52111" w:rsidRPr="00BC31E0" w:rsidRDefault="00F52111" w:rsidP="002B6789">
      <w:pPr>
        <w:pStyle w:val="15"/>
        <w:ind w:firstLine="210"/>
      </w:pPr>
      <w:r w:rsidRPr="00BC31E0">
        <w:rPr>
          <w:rFonts w:hint="eastAsia"/>
        </w:rPr>
        <w:t>疲労亀裂進展計算で用いる初期亀裂の方向と形状は，次の</w:t>
      </w:r>
      <w:r w:rsidRPr="00BC31E0">
        <w:rPr>
          <w:rFonts w:asciiTheme="majorEastAsia" w:eastAsiaTheme="majorEastAsia" w:hAnsiTheme="majorEastAsia" w:hint="eastAsia"/>
          <w:b/>
        </w:rPr>
        <w:t>a)</w:t>
      </w:r>
      <w:r w:rsidRPr="00BC31E0">
        <w:rPr>
          <w:rFonts w:hint="eastAsia"/>
        </w:rPr>
        <w:t>～</w:t>
      </w:r>
      <w:r w:rsidRPr="00BC31E0">
        <w:rPr>
          <w:rFonts w:asciiTheme="majorEastAsia" w:eastAsiaTheme="majorEastAsia" w:hAnsiTheme="majorEastAsia" w:hint="eastAsia"/>
          <w:b/>
        </w:rPr>
        <w:t>g)</w:t>
      </w:r>
      <w:r w:rsidRPr="00BC31E0">
        <w:rPr>
          <w:rFonts w:hint="eastAsia"/>
        </w:rPr>
        <w:t>のように考える。ただし，溶</w:t>
      </w:r>
      <w:r w:rsidRPr="00BC31E0">
        <w:rPr>
          <w:rFonts w:hint="eastAsia"/>
        </w:rPr>
        <w:lastRenderedPageBreak/>
        <w:t>接部に発生した亀裂には適用</w:t>
      </w:r>
      <w:r w:rsidR="004538C9" w:rsidRPr="00BC31E0">
        <w:rPr>
          <w:rFonts w:hint="eastAsia"/>
        </w:rPr>
        <w:t>し</w:t>
      </w:r>
      <w:r w:rsidRPr="00BC31E0">
        <w:rPr>
          <w:rFonts w:hint="eastAsia"/>
        </w:rPr>
        <w:t>ない。</w:t>
      </w:r>
    </w:p>
    <w:p w14:paraId="649D1660" w14:textId="77777777" w:rsidR="00DD0CA9" w:rsidRPr="00BC31E0" w:rsidRDefault="00F52111" w:rsidP="00736130">
      <w:pPr>
        <w:pStyle w:val="a4"/>
        <w:numPr>
          <w:ilvl w:val="0"/>
          <w:numId w:val="621"/>
        </w:numPr>
        <w:ind w:leftChars="0" w:left="454" w:hanging="454"/>
      </w:pPr>
      <w:r w:rsidRPr="00BC31E0">
        <w:t>A</w:t>
      </w:r>
      <w:r w:rsidRPr="00BC31E0">
        <w:rPr>
          <w:rFonts w:hint="eastAsia"/>
        </w:rPr>
        <w:t>タイプの表面亀裂は，半楕円形状と仮定する。</w:t>
      </w:r>
    </w:p>
    <w:p w14:paraId="797047AC" w14:textId="77777777" w:rsidR="00DD0CA9" w:rsidRPr="00BC31E0" w:rsidRDefault="00F52111" w:rsidP="00736130">
      <w:pPr>
        <w:pStyle w:val="a4"/>
        <w:numPr>
          <w:ilvl w:val="0"/>
          <w:numId w:val="621"/>
        </w:numPr>
        <w:ind w:leftChars="0" w:left="454" w:hanging="454"/>
      </w:pPr>
      <w:r w:rsidRPr="00BC31E0">
        <w:t>B</w:t>
      </w:r>
      <w:r w:rsidRPr="00BC31E0">
        <w:rPr>
          <w:rFonts w:hint="eastAsia"/>
        </w:rPr>
        <w:t>タイプの交差穴内面における表面亀裂は，四半円又は半円形状と仮定する</w:t>
      </w:r>
      <w:r w:rsidRPr="00BC31E0">
        <w:rPr>
          <w:rFonts w:hint="eastAsia"/>
        </w:rPr>
        <w:t>(</w:t>
      </w:r>
      <w:r w:rsidRPr="00BC31E0">
        <w:rPr>
          <w:rFonts w:asciiTheme="majorEastAsia" w:eastAsiaTheme="majorEastAsia" w:hAnsiTheme="majorEastAsia" w:hint="eastAsia"/>
          <w:b/>
        </w:rPr>
        <w:t>図</w:t>
      </w:r>
      <w:r w:rsidRPr="00BC31E0">
        <w:rPr>
          <w:rFonts w:asciiTheme="majorEastAsia" w:eastAsiaTheme="majorEastAsia" w:hAnsiTheme="majorEastAsia"/>
          <w:b/>
        </w:rPr>
        <w:t>C.2</w:t>
      </w:r>
      <w:r w:rsidRPr="00BC31E0">
        <w:rPr>
          <w:rFonts w:hint="eastAsia"/>
          <w:bCs/>
        </w:rPr>
        <w:t>を参照</w:t>
      </w:r>
      <w:r w:rsidRPr="00BC31E0">
        <w:rPr>
          <w:rFonts w:hint="eastAsia"/>
          <w:bCs/>
        </w:rPr>
        <w:t>)</w:t>
      </w:r>
    </w:p>
    <w:p w14:paraId="637A99C7" w14:textId="77777777" w:rsidR="00DD0CA9" w:rsidRPr="00BC31E0" w:rsidRDefault="00F52111" w:rsidP="00736130">
      <w:pPr>
        <w:pStyle w:val="a4"/>
        <w:numPr>
          <w:ilvl w:val="0"/>
          <w:numId w:val="621"/>
        </w:numPr>
        <w:ind w:leftChars="0" w:left="454" w:hanging="454"/>
      </w:pPr>
      <w:r w:rsidRPr="00BC31E0">
        <w:t>C</w:t>
      </w:r>
      <w:r w:rsidRPr="00BC31E0">
        <w:rPr>
          <w:rFonts w:hint="eastAsia"/>
        </w:rPr>
        <w:t>タイプのねじ底における表面亀裂は，環状又は半楕円形状と仮定する。</w:t>
      </w:r>
    </w:p>
    <w:p w14:paraId="716A50B7" w14:textId="77777777" w:rsidR="00DD0CA9" w:rsidRPr="00BC31E0" w:rsidRDefault="00F52111" w:rsidP="00736130">
      <w:pPr>
        <w:pStyle w:val="a4"/>
        <w:numPr>
          <w:ilvl w:val="0"/>
          <w:numId w:val="621"/>
        </w:numPr>
        <w:ind w:leftChars="0" w:left="454" w:hanging="454"/>
      </w:pPr>
      <w:r w:rsidRPr="00BC31E0">
        <w:t>A</w:t>
      </w:r>
      <w:r w:rsidRPr="00BC31E0">
        <w:rPr>
          <w:rFonts w:hint="eastAsia"/>
        </w:rPr>
        <w:t>タイプ，</w:t>
      </w:r>
      <w:r w:rsidRPr="00BC31E0">
        <w:t>B</w:t>
      </w:r>
      <w:r w:rsidRPr="00BC31E0">
        <w:rPr>
          <w:rFonts w:hint="eastAsia"/>
        </w:rPr>
        <w:t>タイプ及び</w:t>
      </w:r>
      <w:r w:rsidRPr="00BC31E0">
        <w:t>C</w:t>
      </w:r>
      <w:r w:rsidRPr="00BC31E0">
        <w:rPr>
          <w:rFonts w:hint="eastAsia"/>
        </w:rPr>
        <w:t>タイプの表面亀裂は，</w:t>
      </w:r>
      <w:r w:rsidRPr="00BC31E0">
        <w:rPr>
          <w:rFonts w:asciiTheme="majorEastAsia" w:eastAsiaTheme="majorEastAsia" w:hAnsiTheme="majorEastAsia" w:hint="eastAsia"/>
          <w:b/>
        </w:rPr>
        <w:t>図</w:t>
      </w:r>
      <w:r w:rsidRPr="00BC31E0">
        <w:rPr>
          <w:rFonts w:asciiTheme="majorEastAsia" w:eastAsiaTheme="majorEastAsia" w:hAnsiTheme="majorEastAsia"/>
          <w:b/>
        </w:rPr>
        <w:t>C.1</w:t>
      </w:r>
      <w:r w:rsidRPr="00BC31E0">
        <w:rPr>
          <w:rFonts w:hint="eastAsia"/>
        </w:rPr>
        <w:t>に示す平面上を進展すると仮定する。</w:t>
      </w:r>
    </w:p>
    <w:p w14:paraId="16A76C20" w14:textId="77777777" w:rsidR="00DD0CA9" w:rsidRPr="00BC31E0" w:rsidRDefault="00F52111" w:rsidP="00736130">
      <w:pPr>
        <w:pStyle w:val="a4"/>
        <w:numPr>
          <w:ilvl w:val="0"/>
          <w:numId w:val="621"/>
        </w:numPr>
        <w:ind w:leftChars="0" w:left="454" w:hanging="454"/>
      </w:pPr>
      <w:r w:rsidRPr="00BC31E0">
        <w:t>D</w:t>
      </w:r>
      <w:r w:rsidRPr="00BC31E0">
        <w:rPr>
          <w:rFonts w:hint="eastAsia"/>
        </w:rPr>
        <w:t>タイプの表面亀裂は，半楕円形状と仮定する。</w:t>
      </w:r>
    </w:p>
    <w:p w14:paraId="2FEBD3FA" w14:textId="77777777" w:rsidR="00DD0CA9" w:rsidRPr="00BC31E0" w:rsidRDefault="00F52111" w:rsidP="00736130">
      <w:pPr>
        <w:pStyle w:val="a4"/>
        <w:numPr>
          <w:ilvl w:val="0"/>
          <w:numId w:val="621"/>
        </w:numPr>
        <w:ind w:leftChars="0" w:left="454" w:hanging="454"/>
      </w:pPr>
      <w:r w:rsidRPr="00BC31E0">
        <w:t>E</w:t>
      </w:r>
      <w:r w:rsidRPr="00BC31E0">
        <w:rPr>
          <w:rFonts w:hint="eastAsia"/>
        </w:rPr>
        <w:t>タイプの外表面亀裂は，半楕円形状と仮定する。</w:t>
      </w:r>
    </w:p>
    <w:p w14:paraId="052FFB2F" w14:textId="77777777" w:rsidR="00F52111" w:rsidRPr="00BC31E0" w:rsidRDefault="00F52111" w:rsidP="00736130">
      <w:pPr>
        <w:pStyle w:val="a4"/>
        <w:numPr>
          <w:ilvl w:val="0"/>
          <w:numId w:val="621"/>
        </w:numPr>
        <w:ind w:leftChars="0" w:left="454" w:hanging="454"/>
      </w:pPr>
      <w:r w:rsidRPr="00BC31E0">
        <w:rPr>
          <w:rFonts w:hint="eastAsia"/>
        </w:rPr>
        <w:t>F</w:t>
      </w:r>
      <w:r w:rsidRPr="00BC31E0">
        <w:rPr>
          <w:rFonts w:hint="eastAsia"/>
        </w:rPr>
        <w:t>タイプの外表面亀裂は，半楕円形状又は環状と仮定する。</w:t>
      </w:r>
    </w:p>
    <w:p w14:paraId="1CC3F9FE" w14:textId="77777777" w:rsidR="00F52111" w:rsidRPr="00BC31E0" w:rsidRDefault="00F52111" w:rsidP="00D414C9"/>
    <w:p w14:paraId="255A366E" w14:textId="77777777" w:rsidR="00F52111" w:rsidRPr="00BC31E0" w:rsidRDefault="00F52111" w:rsidP="002B6789">
      <w:pPr>
        <w:jc w:val="left"/>
      </w:pPr>
      <w:r w:rsidRPr="00BC31E0">
        <w:br w:type="page"/>
      </w:r>
    </w:p>
    <w:p w14:paraId="10E6D36F" w14:textId="77777777" w:rsidR="00F52111" w:rsidRPr="00BC31E0" w:rsidRDefault="00F52111" w:rsidP="00F52111">
      <w:pPr>
        <w:pStyle w:val="af4"/>
      </w:pPr>
      <w:r w:rsidRPr="00BC31E0">
        <w:rPr>
          <w:rFonts w:hint="eastAsia"/>
          <w:noProof/>
        </w:rPr>
        <w:lastRenderedPageBreak/>
        <w:drawing>
          <wp:inline distT="0" distB="0" distL="0" distR="0" wp14:anchorId="4BC88F3E" wp14:editId="682C13B0">
            <wp:extent cx="3921125" cy="6590030"/>
            <wp:effectExtent l="0" t="0" r="3175" b="0"/>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0" cstate="print"/>
                    <a:srcRect/>
                    <a:stretch>
                      <a:fillRect/>
                    </a:stretch>
                  </pic:blipFill>
                  <pic:spPr bwMode="auto">
                    <a:xfrm>
                      <a:off x="0" y="0"/>
                      <a:ext cx="3921125" cy="6590030"/>
                    </a:xfrm>
                    <a:prstGeom prst="rect">
                      <a:avLst/>
                    </a:prstGeom>
                    <a:noFill/>
                    <a:ln w="9525">
                      <a:noFill/>
                      <a:miter lim="800000"/>
                      <a:headEnd/>
                      <a:tailEnd/>
                    </a:ln>
                  </pic:spPr>
                </pic:pic>
              </a:graphicData>
            </a:graphic>
          </wp:inline>
        </w:drawing>
      </w:r>
    </w:p>
    <w:p w14:paraId="024A0904" w14:textId="77777777" w:rsidR="00F52111" w:rsidRPr="00BC31E0" w:rsidRDefault="00F52111" w:rsidP="00F52111">
      <w:pPr>
        <w:pStyle w:val="af4"/>
      </w:pPr>
    </w:p>
    <w:p w14:paraId="6D48A110" w14:textId="77777777" w:rsidR="00F52111" w:rsidRPr="00BC31E0" w:rsidRDefault="00F52111" w:rsidP="00F52111">
      <w:pPr>
        <w:pStyle w:val="af4"/>
      </w:pPr>
      <w:r w:rsidRPr="00BC31E0">
        <w:rPr>
          <w:rFonts w:hint="eastAsia"/>
        </w:rPr>
        <w:t>図</w:t>
      </w:r>
      <w:r w:rsidRPr="00BC31E0">
        <w:t>C.1</w:t>
      </w:r>
      <w:r w:rsidRPr="00BC31E0">
        <w:rPr>
          <w:rFonts w:hint="eastAsia"/>
        </w:rPr>
        <w:t xml:space="preserve">　典型的な亀裂形状</w:t>
      </w:r>
      <w:r w:rsidRPr="00BC31E0">
        <w:rPr>
          <w:rFonts w:hint="eastAsia"/>
          <w:vertAlign w:val="superscript"/>
        </w:rPr>
        <w:t>†</w:t>
      </w:r>
    </w:p>
    <w:p w14:paraId="1657CF04" w14:textId="77777777" w:rsidR="00F52111" w:rsidRPr="00BC31E0" w:rsidRDefault="00F52111" w:rsidP="00F52111">
      <w:pPr>
        <w:pStyle w:val="af4"/>
        <w:jc w:val="left"/>
      </w:pPr>
    </w:p>
    <w:p w14:paraId="41AD7BBC" w14:textId="77777777" w:rsidR="00F52111" w:rsidRPr="00BC31E0" w:rsidRDefault="00F52111" w:rsidP="00F52111">
      <w:pPr>
        <w:widowControl/>
        <w:jc w:val="left"/>
        <w:rPr>
          <w:rFonts w:ascii="ＭＳ ゴシック" w:eastAsia="ＭＳ ゴシック"/>
          <w:b/>
        </w:rPr>
      </w:pPr>
      <w:r w:rsidRPr="00BC31E0">
        <w:br w:type="page"/>
      </w:r>
    </w:p>
    <w:p w14:paraId="3770A660" w14:textId="77777777" w:rsidR="00F52111" w:rsidRPr="00BC31E0" w:rsidRDefault="00F52111" w:rsidP="00F52111">
      <w:pPr>
        <w:pStyle w:val="af4"/>
        <w:jc w:val="left"/>
      </w:pPr>
      <w:r w:rsidRPr="00BC31E0">
        <w:rPr>
          <w:rFonts w:hint="eastAsia"/>
          <w:noProof/>
        </w:rPr>
        <w:lastRenderedPageBreak/>
        <w:drawing>
          <wp:inline distT="0" distB="0" distL="0" distR="0" wp14:anchorId="7DFC42CA" wp14:editId="519B4940">
            <wp:extent cx="5247640" cy="3904615"/>
            <wp:effectExtent l="19050" t="0" r="0" b="0"/>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1" cstate="print"/>
                    <a:srcRect/>
                    <a:stretch>
                      <a:fillRect/>
                    </a:stretch>
                  </pic:blipFill>
                  <pic:spPr bwMode="auto">
                    <a:xfrm>
                      <a:off x="0" y="0"/>
                      <a:ext cx="5247640" cy="3904615"/>
                    </a:xfrm>
                    <a:prstGeom prst="rect">
                      <a:avLst/>
                    </a:prstGeom>
                    <a:noFill/>
                    <a:ln w="9525">
                      <a:noFill/>
                      <a:miter lim="800000"/>
                      <a:headEnd/>
                      <a:tailEnd/>
                    </a:ln>
                  </pic:spPr>
                </pic:pic>
              </a:graphicData>
            </a:graphic>
          </wp:inline>
        </w:drawing>
      </w:r>
    </w:p>
    <w:p w14:paraId="77AB8ADC" w14:textId="77777777" w:rsidR="00F52111" w:rsidRPr="00BC31E0" w:rsidRDefault="00F52111" w:rsidP="00F52111">
      <w:pPr>
        <w:autoSpaceDE w:val="0"/>
        <w:autoSpaceDN w:val="0"/>
        <w:jc w:val="center"/>
        <w:rPr>
          <w:rFonts w:ascii="ＭＳ ゴシック" w:eastAsia="ＭＳ ゴシック" w:hAnsi="ＭＳ ゴシック"/>
          <w:b/>
          <w:szCs w:val="20"/>
          <w:vertAlign w:val="superscript"/>
        </w:rPr>
      </w:pPr>
      <w:r w:rsidRPr="00BC31E0">
        <w:rPr>
          <w:rFonts w:ascii="ＭＳ ゴシック" w:eastAsia="ＭＳ ゴシック" w:hAnsi="ＭＳ ゴシック" w:hint="eastAsia"/>
          <w:b/>
          <w:szCs w:val="20"/>
        </w:rPr>
        <w:t>図</w:t>
      </w:r>
      <w:r w:rsidRPr="00BC31E0">
        <w:rPr>
          <w:rFonts w:ascii="ＭＳ ゴシック" w:eastAsia="ＭＳ ゴシック" w:hAnsi="ＭＳ ゴシック"/>
          <w:b/>
          <w:szCs w:val="20"/>
        </w:rPr>
        <w:t>C.2</w:t>
      </w:r>
      <w:r w:rsidRPr="00BC31E0">
        <w:rPr>
          <w:rFonts w:ascii="ＭＳ ゴシック" w:eastAsia="ＭＳ ゴシック" w:hAnsi="ＭＳ ゴシック" w:hint="eastAsia"/>
          <w:b/>
          <w:szCs w:val="20"/>
        </w:rPr>
        <w:t xml:space="preserve">　交差穴のコーナー部から進展する亀裂のモデル化</w:t>
      </w:r>
      <w:r w:rsidRPr="00BC31E0">
        <w:rPr>
          <w:rFonts w:ascii="ＭＳ ゴシック" w:eastAsia="ＭＳ ゴシック" w:hAnsi="ＭＳ ゴシック" w:hint="eastAsia"/>
          <w:b/>
          <w:szCs w:val="20"/>
          <w:vertAlign w:val="superscript"/>
        </w:rPr>
        <w:t>†</w:t>
      </w:r>
    </w:p>
    <w:p w14:paraId="0AFB1FE6" w14:textId="77777777" w:rsidR="00F52111" w:rsidRPr="00BC31E0" w:rsidRDefault="00F52111" w:rsidP="00F52111">
      <w:pPr>
        <w:autoSpaceDE w:val="0"/>
        <w:autoSpaceDN w:val="0"/>
        <w:rPr>
          <w:rFonts w:ascii="ＭＳ 明朝" w:hAnsi="ＭＳ 明朝"/>
          <w:szCs w:val="20"/>
        </w:rPr>
      </w:pPr>
    </w:p>
    <w:p w14:paraId="5F036556" w14:textId="77777777" w:rsidR="00F52111" w:rsidRPr="00BC31E0" w:rsidRDefault="00F52111" w:rsidP="00F52111">
      <w:pPr>
        <w:widowControl/>
        <w:jc w:val="left"/>
        <w:rPr>
          <w:rFonts w:ascii="ＭＳ 明朝" w:hAnsi="ＭＳ 明朝"/>
          <w:szCs w:val="20"/>
        </w:rPr>
      </w:pPr>
      <w:r w:rsidRPr="00BC31E0">
        <w:rPr>
          <w:rFonts w:ascii="ＭＳ 明朝" w:hAnsi="ＭＳ 明朝"/>
          <w:szCs w:val="20"/>
        </w:rPr>
        <w:br w:type="page"/>
      </w:r>
    </w:p>
    <w:p w14:paraId="20538995" w14:textId="77777777" w:rsidR="00F52111" w:rsidRPr="00BC31E0" w:rsidRDefault="00F52111" w:rsidP="00F52111">
      <w:pPr>
        <w:autoSpaceDE w:val="0"/>
        <w:autoSpaceDN w:val="0"/>
        <w:sectPr w:rsidR="00F52111" w:rsidRPr="00BC31E0" w:rsidSect="00DD0CA9">
          <w:headerReference w:type="even" r:id="rId122"/>
          <w:headerReference w:type="default" r:id="rId123"/>
          <w:footerReference w:type="default" r:id="rId124"/>
          <w:headerReference w:type="first" r:id="rId125"/>
          <w:pgSz w:w="11906" w:h="16838" w:code="9"/>
          <w:pgMar w:top="1701" w:right="1418" w:bottom="1418" w:left="1418" w:header="720" w:footer="720" w:gutter="0"/>
          <w:cols w:space="425"/>
          <w:docGrid w:type="linesAndChars" w:linePitch="360"/>
        </w:sectPr>
      </w:pPr>
    </w:p>
    <w:p w14:paraId="3FD1DDD7" w14:textId="77777777" w:rsidR="00F52111" w:rsidRPr="00BC31E0" w:rsidRDefault="00F52111" w:rsidP="00736130">
      <w:pPr>
        <w:pStyle w:val="1f9"/>
        <w:numPr>
          <w:ilvl w:val="0"/>
          <w:numId w:val="223"/>
        </w:numPr>
        <w:tabs>
          <w:tab w:val="clear" w:pos="284"/>
        </w:tabs>
        <w:adjustRightInd/>
        <w:snapToGrid/>
        <w:spacing w:line="240" w:lineRule="auto"/>
        <w:ind w:left="340" w:hanging="340"/>
        <w:jc w:val="both"/>
      </w:pPr>
      <w:r w:rsidRPr="00BC31E0">
        <w:rPr>
          <w:rFonts w:hint="eastAsia"/>
        </w:rPr>
        <w:lastRenderedPageBreak/>
        <w:t>応力拡大係数の決定方法</w:t>
      </w:r>
    </w:p>
    <w:p w14:paraId="71384A3C" w14:textId="77777777" w:rsidR="00F52111" w:rsidRPr="00BC31E0" w:rsidRDefault="00F52111" w:rsidP="002435BA">
      <w:pPr>
        <w:pStyle w:val="1f9"/>
        <w:tabs>
          <w:tab w:val="clear" w:pos="284"/>
        </w:tabs>
        <w:adjustRightInd/>
        <w:snapToGrid/>
        <w:spacing w:line="240" w:lineRule="auto"/>
        <w:ind w:left="0" w:firstLineChars="100" w:firstLine="210"/>
        <w:jc w:val="both"/>
        <w:rPr>
          <w:rFonts w:asciiTheme="minorEastAsia" w:eastAsiaTheme="minorEastAsia" w:hAnsiTheme="minorEastAsia"/>
          <w:b w:val="0"/>
        </w:rPr>
      </w:pPr>
      <w:r w:rsidRPr="00BC31E0">
        <w:rPr>
          <w:rFonts w:asciiTheme="minorEastAsia" w:eastAsiaTheme="minorEastAsia" w:hAnsiTheme="minorEastAsia" w:hint="eastAsia"/>
          <w:b w:val="0"/>
        </w:rPr>
        <w:t>応力拡大係数の決定方法は，次の</w:t>
      </w:r>
      <w:r w:rsidRPr="00BC31E0">
        <w:rPr>
          <w:rFonts w:asciiTheme="majorEastAsia" w:eastAsiaTheme="majorEastAsia" w:hAnsiTheme="majorEastAsia" w:hint="eastAsia"/>
        </w:rPr>
        <w:t>a)</w:t>
      </w:r>
      <w:r w:rsidRPr="00BC31E0">
        <w:rPr>
          <w:rFonts w:asciiTheme="minorEastAsia" w:eastAsiaTheme="minorEastAsia" w:hAnsiTheme="minorEastAsia" w:hint="eastAsia"/>
          <w:b w:val="0"/>
        </w:rPr>
        <w:t>～</w:t>
      </w:r>
      <w:r w:rsidRPr="00BC31E0">
        <w:rPr>
          <w:rFonts w:asciiTheme="majorEastAsia" w:eastAsiaTheme="majorEastAsia" w:hAnsiTheme="majorEastAsia" w:hint="eastAsia"/>
        </w:rPr>
        <w:t>f)</w:t>
      </w:r>
      <w:r w:rsidRPr="00BC31E0">
        <w:rPr>
          <w:rFonts w:asciiTheme="minorEastAsia" w:eastAsiaTheme="minorEastAsia" w:hAnsiTheme="minorEastAsia" w:hint="eastAsia"/>
          <w:b w:val="0"/>
        </w:rPr>
        <w:t>による。</w:t>
      </w:r>
    </w:p>
    <w:p w14:paraId="1784C46E" w14:textId="77777777" w:rsidR="00D414C9" w:rsidRPr="00BC31E0" w:rsidRDefault="00F52111" w:rsidP="00736130">
      <w:pPr>
        <w:pStyle w:val="a4"/>
        <w:numPr>
          <w:ilvl w:val="0"/>
          <w:numId w:val="622"/>
        </w:numPr>
        <w:ind w:leftChars="0" w:left="454" w:hanging="454"/>
      </w:pPr>
      <w:r w:rsidRPr="00BC31E0">
        <w:rPr>
          <w:rFonts w:asciiTheme="majorEastAsia" w:eastAsiaTheme="majorEastAsia" w:hAnsiTheme="majorEastAsia"/>
          <w:b/>
          <w:bCs/>
        </w:rPr>
        <w:t>ASME Sec. XI</w:t>
      </w:r>
      <w:r w:rsidRPr="00BC31E0">
        <w:rPr>
          <w:rFonts w:asciiTheme="majorEastAsia" w:eastAsiaTheme="majorEastAsia" w:hAnsiTheme="majorEastAsia" w:hint="eastAsia"/>
          <w:b/>
          <w:bCs/>
        </w:rPr>
        <w:t>，</w:t>
      </w:r>
      <w:r w:rsidRPr="00BC31E0">
        <w:rPr>
          <w:rFonts w:asciiTheme="majorEastAsia" w:eastAsiaTheme="majorEastAsia" w:hAnsiTheme="majorEastAsia"/>
          <w:b/>
          <w:bCs/>
        </w:rPr>
        <w:t>A-3000</w:t>
      </w:r>
      <w:r w:rsidRPr="00BC31E0">
        <w:rPr>
          <w:rFonts w:hint="eastAsia"/>
          <w:bCs/>
        </w:rPr>
        <w:t>に，</w:t>
      </w:r>
      <w:r w:rsidRPr="00BC31E0">
        <w:rPr>
          <w:rFonts w:hint="eastAsia"/>
        </w:rPr>
        <w:t>亀裂が存在しない容器の応力解析から求めた応力分布を多項式近似して，応力拡大係数を決定する方法が与えられる</w:t>
      </w:r>
      <w:r w:rsidRPr="00BC31E0">
        <w:rPr>
          <w:rFonts w:asciiTheme="majorEastAsia" w:eastAsiaTheme="majorEastAsia" w:hAnsiTheme="majorEastAsia"/>
          <w:b/>
          <w:vertAlign w:val="superscript"/>
        </w:rPr>
        <w:t>1)</w:t>
      </w:r>
      <w:r w:rsidRPr="00BC31E0">
        <w:rPr>
          <w:rFonts w:hint="eastAsia"/>
        </w:rPr>
        <w:t>。この方法は，応力勾配が急激なねじ底における</w:t>
      </w:r>
      <w:r w:rsidRPr="00BC31E0">
        <w:t>C</w:t>
      </w:r>
      <w:r w:rsidRPr="00BC31E0">
        <w:rPr>
          <w:rFonts w:hint="eastAsia"/>
        </w:rPr>
        <w:t>タイプ亀裂に対しては適していない。</w:t>
      </w:r>
      <w:r w:rsidRPr="00BC31E0">
        <w:t>B</w:t>
      </w:r>
      <w:r w:rsidRPr="00BC31E0">
        <w:rPr>
          <w:rFonts w:hint="eastAsia"/>
        </w:rPr>
        <w:t>タイプ，</w:t>
      </w:r>
      <w:r w:rsidRPr="00BC31E0">
        <w:t>D</w:t>
      </w:r>
      <w:r w:rsidRPr="00BC31E0">
        <w:rPr>
          <w:rFonts w:hint="eastAsia"/>
        </w:rPr>
        <w:t>タイプ，</w:t>
      </w:r>
      <w:r w:rsidRPr="00BC31E0">
        <w:t>E</w:t>
      </w:r>
      <w:r w:rsidRPr="00BC31E0">
        <w:rPr>
          <w:rFonts w:hint="eastAsia"/>
        </w:rPr>
        <w:t>タイプ及び</w:t>
      </w:r>
      <w:r w:rsidRPr="00BC31E0">
        <w:t>F</w:t>
      </w:r>
      <w:r w:rsidRPr="00BC31E0">
        <w:rPr>
          <w:rFonts w:hint="eastAsia"/>
        </w:rPr>
        <w:t>タイプ亀裂に対しては，局部応力集中による急激な応力勾配のために，亀裂深さ方向の応力分布の多項式近似を求めることが困難な場合には適していない。</w:t>
      </w:r>
      <w:r w:rsidRPr="00BC31E0">
        <w:t>A</w:t>
      </w:r>
      <w:r w:rsidRPr="00BC31E0">
        <w:rPr>
          <w:rFonts w:hint="eastAsia"/>
        </w:rPr>
        <w:t>タイプ亀裂に対しては，</w:t>
      </w:r>
      <w:r w:rsidRPr="00BC31E0">
        <w:rPr>
          <w:rFonts w:asciiTheme="majorEastAsia" w:eastAsiaTheme="majorEastAsia" w:hAnsiTheme="majorEastAsia" w:hint="eastAsia"/>
          <w:b/>
          <w:bCs/>
        </w:rPr>
        <w:t>4.1</w:t>
      </w:r>
      <w:r w:rsidRPr="00BC31E0">
        <w:rPr>
          <w:rFonts w:hint="eastAsia"/>
        </w:rPr>
        <w:t>の手順に従えば，この方法が適している。</w:t>
      </w:r>
      <w:r w:rsidRPr="00BC31E0">
        <w:rPr>
          <w:rFonts w:asciiTheme="majorEastAsia" w:eastAsiaTheme="majorEastAsia" w:hAnsiTheme="majorEastAsia" w:hint="eastAsia"/>
          <w:b/>
          <w:bCs/>
        </w:rPr>
        <w:t>4.1</w:t>
      </w:r>
      <w:r w:rsidR="00F22CA0" w:rsidRPr="00BC31E0">
        <w:rPr>
          <w:rFonts w:hint="eastAsia"/>
        </w:rPr>
        <w:t>の方法は，熱応力による応力拡大係数を決定する場合に</w:t>
      </w:r>
      <w:r w:rsidRPr="00BC31E0">
        <w:rPr>
          <w:rFonts w:hint="eastAsia"/>
        </w:rPr>
        <w:t>適用</w:t>
      </w:r>
      <w:r w:rsidR="007A25A3" w:rsidRPr="00BC31E0">
        <w:rPr>
          <w:rFonts w:hint="eastAsia"/>
        </w:rPr>
        <w:t>してもよい</w:t>
      </w:r>
      <w:r w:rsidRPr="00BC31E0">
        <w:rPr>
          <w:rFonts w:hint="eastAsia"/>
        </w:rPr>
        <w:t>。</w:t>
      </w:r>
    </w:p>
    <w:p w14:paraId="5B706156" w14:textId="77777777" w:rsidR="00D414C9" w:rsidRPr="00BC31E0" w:rsidRDefault="00F52111" w:rsidP="00736130">
      <w:pPr>
        <w:pStyle w:val="a4"/>
        <w:numPr>
          <w:ilvl w:val="0"/>
          <w:numId w:val="622"/>
        </w:numPr>
        <w:ind w:leftChars="0" w:left="454" w:hanging="454"/>
      </w:pPr>
      <w:r w:rsidRPr="00BC31E0">
        <w:rPr>
          <w:rFonts w:hint="eastAsia"/>
        </w:rPr>
        <w:t>交差穴内面における</w:t>
      </w:r>
      <w:r w:rsidRPr="00BC31E0">
        <w:t>B</w:t>
      </w:r>
      <w:r w:rsidRPr="00BC31E0">
        <w:rPr>
          <w:rFonts w:hint="eastAsia"/>
        </w:rPr>
        <w:t>タイプ亀裂に対する応力拡大係数の決定方法は，</w:t>
      </w:r>
      <w:r w:rsidRPr="00BC31E0">
        <w:rPr>
          <w:rFonts w:asciiTheme="majorEastAsia" w:eastAsiaTheme="majorEastAsia" w:hAnsiTheme="majorEastAsia" w:hint="eastAsia"/>
          <w:b/>
          <w:bCs/>
        </w:rPr>
        <w:t>4.2</w:t>
      </w:r>
      <w:r w:rsidRPr="00BC31E0">
        <w:rPr>
          <w:rFonts w:hint="eastAsia"/>
        </w:rPr>
        <w:t>による。</w:t>
      </w:r>
    </w:p>
    <w:p w14:paraId="015314FC" w14:textId="77777777" w:rsidR="00D414C9" w:rsidRPr="00BC31E0" w:rsidRDefault="00F52111" w:rsidP="00736130">
      <w:pPr>
        <w:pStyle w:val="a4"/>
        <w:numPr>
          <w:ilvl w:val="0"/>
          <w:numId w:val="622"/>
        </w:numPr>
        <w:ind w:leftChars="0" w:left="454" w:hanging="454"/>
      </w:pPr>
      <w:r w:rsidRPr="00BC31E0">
        <w:rPr>
          <w:rFonts w:hint="eastAsia"/>
        </w:rPr>
        <w:t>ねじ底における</w:t>
      </w:r>
      <w:r w:rsidRPr="00BC31E0">
        <w:t>C</w:t>
      </w:r>
      <w:r w:rsidRPr="00BC31E0">
        <w:rPr>
          <w:rFonts w:hint="eastAsia"/>
        </w:rPr>
        <w:t>タイプ亀裂に対する応力拡大係数の決定方法は，</w:t>
      </w:r>
      <w:r w:rsidRPr="00BC31E0">
        <w:rPr>
          <w:rFonts w:asciiTheme="majorEastAsia" w:eastAsiaTheme="majorEastAsia" w:hAnsiTheme="majorEastAsia" w:hint="eastAsia"/>
          <w:b/>
          <w:bCs/>
        </w:rPr>
        <w:t>4.3</w:t>
      </w:r>
      <w:r w:rsidRPr="00BC31E0">
        <w:rPr>
          <w:rFonts w:hint="eastAsia"/>
        </w:rPr>
        <w:t>による。</w:t>
      </w:r>
    </w:p>
    <w:p w14:paraId="6B58BADF" w14:textId="77777777" w:rsidR="00D414C9" w:rsidRPr="00BC31E0" w:rsidRDefault="00F52111" w:rsidP="00736130">
      <w:pPr>
        <w:pStyle w:val="a4"/>
        <w:numPr>
          <w:ilvl w:val="0"/>
          <w:numId w:val="622"/>
        </w:numPr>
        <w:ind w:leftChars="0" w:left="454" w:hanging="454"/>
      </w:pPr>
      <w:r w:rsidRPr="00BC31E0">
        <w:t>D</w:t>
      </w:r>
      <w:r w:rsidRPr="00BC31E0">
        <w:rPr>
          <w:rFonts w:hint="eastAsia"/>
        </w:rPr>
        <w:t>タイプ，</w:t>
      </w:r>
      <w:r w:rsidRPr="00BC31E0">
        <w:t>E</w:t>
      </w:r>
      <w:r w:rsidRPr="00BC31E0">
        <w:rPr>
          <w:rFonts w:hint="eastAsia"/>
        </w:rPr>
        <w:t>タイプ及び</w:t>
      </w:r>
      <w:r w:rsidRPr="00BC31E0">
        <w:t>F</w:t>
      </w:r>
      <w:r w:rsidRPr="00BC31E0">
        <w:rPr>
          <w:rFonts w:hint="eastAsia"/>
        </w:rPr>
        <w:t>タイプ亀裂に対する応力拡大係数の決定方法は，</w:t>
      </w:r>
      <w:r w:rsidRPr="00BC31E0">
        <w:rPr>
          <w:rFonts w:asciiTheme="majorEastAsia" w:eastAsiaTheme="majorEastAsia" w:hAnsiTheme="majorEastAsia" w:hint="eastAsia"/>
          <w:b/>
          <w:bCs/>
        </w:rPr>
        <w:t>4.4</w:t>
      </w:r>
      <w:r w:rsidRPr="00BC31E0">
        <w:rPr>
          <w:rFonts w:hint="eastAsia"/>
        </w:rPr>
        <w:t>による。</w:t>
      </w:r>
    </w:p>
    <w:p w14:paraId="4605E71C" w14:textId="77777777" w:rsidR="00D414C9" w:rsidRPr="00BC31E0" w:rsidRDefault="00F52111" w:rsidP="00736130">
      <w:pPr>
        <w:pStyle w:val="a4"/>
        <w:numPr>
          <w:ilvl w:val="0"/>
          <w:numId w:val="622"/>
        </w:numPr>
        <w:ind w:leftChars="0" w:left="454" w:hanging="454"/>
      </w:pPr>
      <w:r w:rsidRPr="00BC31E0">
        <w:rPr>
          <w:rFonts w:asciiTheme="majorEastAsia" w:eastAsiaTheme="majorEastAsia" w:hAnsiTheme="majorEastAsia" w:hint="eastAsia"/>
          <w:b/>
          <w:bCs/>
        </w:rPr>
        <w:t>4.5</w:t>
      </w:r>
      <w:r w:rsidRPr="00BC31E0">
        <w:rPr>
          <w:rFonts w:hint="eastAsia"/>
        </w:rPr>
        <w:t>の重み関数法による応力拡大係数の決定方法は，全てのタイプの亀裂に対して適用</w:t>
      </w:r>
      <w:r w:rsidR="00A93C0D" w:rsidRPr="00BC31E0">
        <w:rPr>
          <w:rFonts w:hint="eastAsia"/>
        </w:rPr>
        <w:t>してもよい</w:t>
      </w:r>
      <w:r w:rsidRPr="00BC31E0">
        <w:rPr>
          <w:rFonts w:hint="eastAsia"/>
        </w:rPr>
        <w:t>。</w:t>
      </w:r>
    </w:p>
    <w:p w14:paraId="6B800A57" w14:textId="77777777" w:rsidR="00F52111" w:rsidRPr="00BC31E0" w:rsidRDefault="00F52111" w:rsidP="00736130">
      <w:pPr>
        <w:pStyle w:val="a4"/>
        <w:numPr>
          <w:ilvl w:val="0"/>
          <w:numId w:val="622"/>
        </w:numPr>
        <w:ind w:leftChars="0" w:left="454" w:hanging="454"/>
      </w:pPr>
      <w:r w:rsidRPr="00BC31E0">
        <w:rPr>
          <w:rFonts w:hint="eastAsia"/>
        </w:rPr>
        <w:t>応力拡大係数の決定は，別途，</w:t>
      </w:r>
      <w:r w:rsidRPr="00BC31E0">
        <w:rPr>
          <w:rFonts w:asciiTheme="majorEastAsia" w:eastAsiaTheme="majorEastAsia" w:hAnsiTheme="majorEastAsia" w:hint="eastAsia"/>
          <w:b/>
          <w:bCs/>
        </w:rPr>
        <w:t>API 579-1/ASME FFS-1</w:t>
      </w:r>
      <w:r w:rsidRPr="00BC31E0">
        <w:rPr>
          <w:rFonts w:hint="eastAsia"/>
        </w:rPr>
        <w:t>により行ってもよい。</w:t>
      </w:r>
    </w:p>
    <w:p w14:paraId="2A199E66" w14:textId="77777777" w:rsidR="00F52111" w:rsidRPr="00BC31E0" w:rsidRDefault="00F52111" w:rsidP="009E34A5">
      <w:pPr>
        <w:pStyle w:val="110"/>
        <w:spacing w:line="240" w:lineRule="auto"/>
        <w:ind w:left="567" w:hanging="567"/>
      </w:pPr>
      <w:r w:rsidRPr="00BC31E0">
        <w:rPr>
          <w:rFonts w:hint="eastAsia"/>
        </w:rPr>
        <w:t>Aタイプ亀裂</w:t>
      </w:r>
    </w:p>
    <w:p w14:paraId="33DE6D05" w14:textId="77777777" w:rsidR="00F52111" w:rsidRPr="00BC31E0" w:rsidRDefault="00F52111" w:rsidP="002435BA">
      <w:pPr>
        <w:pStyle w:val="113"/>
        <w:ind w:firstLine="210"/>
      </w:pPr>
      <w:r w:rsidRPr="00BC31E0">
        <w:rPr>
          <w:rFonts w:hint="eastAsia"/>
        </w:rPr>
        <w:t>この方法は</w:t>
      </w:r>
      <w:r w:rsidRPr="00BC31E0">
        <w:t>A</w:t>
      </w:r>
      <w:r w:rsidRPr="00BC31E0">
        <w:rPr>
          <w:rFonts w:hint="eastAsia"/>
        </w:rPr>
        <w:t>タイプ亀裂の応力拡大係数を決定するのに適した方法であり，温度勾配や残留応力によって生じる応力拡大係数を決定する場合にも適している。</w:t>
      </w:r>
    </w:p>
    <w:p w14:paraId="77093AF8" w14:textId="77777777" w:rsidR="00F52111" w:rsidRPr="00BC31E0" w:rsidRDefault="00F52111" w:rsidP="009E34A5">
      <w:pPr>
        <w:pStyle w:val="111"/>
        <w:ind w:left="794" w:hanging="794"/>
      </w:pPr>
      <w:r w:rsidRPr="00BC31E0">
        <w:t>3</w:t>
      </w:r>
      <w:r w:rsidRPr="00BC31E0">
        <w:rPr>
          <w:rFonts w:hint="eastAsia"/>
        </w:rPr>
        <w:t>次多項式近似の応力分布を使用</w:t>
      </w:r>
    </w:p>
    <w:p w14:paraId="38283A59" w14:textId="77777777" w:rsidR="00F52111" w:rsidRPr="00BC31E0" w:rsidRDefault="00F52111" w:rsidP="002435BA">
      <w:pPr>
        <w:pStyle w:val="1110"/>
        <w:spacing w:after="120"/>
        <w:ind w:firstLine="210"/>
      </w:pPr>
      <w:r w:rsidRPr="00BC31E0">
        <w:rPr>
          <w:rFonts w:hint="eastAsia"/>
        </w:rPr>
        <w:t>この方法は</w:t>
      </w:r>
      <w:r w:rsidRPr="00BC31E0">
        <w:rPr>
          <w:rFonts w:ascii="ＭＳ ゴシック" w:eastAsia="ＭＳ ゴシック" w:hAnsi="ＭＳ ゴシック"/>
          <w:b/>
          <w:bCs/>
        </w:rPr>
        <w:t>ASME Sec. XI</w:t>
      </w:r>
      <w:r w:rsidRPr="00BC31E0">
        <w:rPr>
          <w:rFonts w:asciiTheme="minorEastAsia" w:eastAsiaTheme="minorEastAsia" w:hAnsiTheme="minorEastAsia" w:hint="eastAsia"/>
          <w:bCs/>
        </w:rPr>
        <w:t>，</w:t>
      </w:r>
      <w:r w:rsidRPr="00BC31E0">
        <w:rPr>
          <w:rFonts w:ascii="ＭＳ ゴシック" w:eastAsia="ＭＳ ゴシック" w:hAnsi="ＭＳ ゴシック"/>
          <w:b/>
          <w:bCs/>
        </w:rPr>
        <w:t>A-3000</w:t>
      </w:r>
      <w:r w:rsidRPr="00BC31E0">
        <w:rPr>
          <w:rFonts w:hint="eastAsia"/>
        </w:rPr>
        <w:t>に基づいており，亀裂最深点と表面点における応力拡大係数を決定</w:t>
      </w:r>
      <w:r w:rsidR="00D173D4" w:rsidRPr="00BC31E0">
        <w:rPr>
          <w:rFonts w:hint="eastAsia"/>
        </w:rPr>
        <w:t>す</w:t>
      </w:r>
      <w:r w:rsidRPr="00BC31E0">
        <w:rPr>
          <w:rFonts w:hint="eastAsia"/>
        </w:rPr>
        <w:t>る。表面亀裂に対しては，亀裂を想定する位置で，亀裂面に対して垂直方向に作用する応力</w:t>
      </w:r>
      <m:oMath>
        <m:r>
          <m:rPr>
            <m:sty m:val="p"/>
          </m:rPr>
          <w:rPr>
            <w:rFonts w:ascii="Cambria Math" w:hAnsi="Cambria Math"/>
            <w:sz w:val="22"/>
            <w:szCs w:val="22"/>
          </w:rPr>
          <m:t xml:space="preserve"> σ</m:t>
        </m:r>
        <m:r>
          <m:rPr>
            <m:sty m:val="p"/>
          </m:rPr>
          <w:rPr>
            <w:rFonts w:ascii="Cambria Math" w:hAnsi="Cambria Math" w:hint="eastAsia"/>
            <w:sz w:val="22"/>
            <w:szCs w:val="22"/>
          </w:rPr>
          <m:t xml:space="preserve"> </m:t>
        </m:r>
        <m:d>
          <m:dPr>
            <m:ctrlPr>
              <w:rPr>
                <w:rFonts w:ascii="Cambria Math" w:hAnsi="Cambria Math"/>
              </w:rPr>
            </m:ctrlPr>
          </m:dPr>
          <m:e>
            <m:r>
              <m:rPr>
                <m:sty m:val="p"/>
              </m:rPr>
              <w:rPr>
                <w:rFonts w:ascii="Cambria Math" w:hAnsi="Cambria Math" w:hint="eastAsia"/>
              </w:rPr>
              <m:t>MPa</m:t>
            </m:r>
          </m:e>
        </m:d>
        <m:r>
          <m:rPr>
            <m:sty m:val="p"/>
          </m:rPr>
          <w:rPr>
            <w:rFonts w:ascii="Cambria Math" w:hAnsi="Cambria Math" w:hint="eastAsia"/>
          </w:rPr>
          <m:t xml:space="preserve"> </m:t>
        </m:r>
      </m:oMath>
      <w:r w:rsidRPr="00BC31E0">
        <w:rPr>
          <w:rFonts w:hint="eastAsia"/>
        </w:rPr>
        <w:t>を，亀裂深さ方向に次式で</w:t>
      </w:r>
      <w:r w:rsidRPr="00BC31E0">
        <w:rPr>
          <w:rFonts w:hint="eastAsia"/>
        </w:rPr>
        <w:t>3</w:t>
      </w:r>
      <w:r w:rsidRPr="00BC31E0">
        <w:rPr>
          <w:rFonts w:hint="eastAsia"/>
        </w:rPr>
        <w:t>次多項式近似する。</w:t>
      </w:r>
    </w:p>
    <w:p w14:paraId="7A5344B7" w14:textId="77777777" w:rsidR="00F52111" w:rsidRPr="00BC31E0" w:rsidRDefault="00F52111" w:rsidP="00F52111">
      <w:pPr>
        <w:tabs>
          <w:tab w:val="left" w:pos="1843"/>
          <w:tab w:val="left" w:leader="middleDot" w:pos="8647"/>
        </w:tabs>
      </w:pPr>
      <w:r w:rsidRPr="00BC31E0">
        <w:rPr>
          <w:rFonts w:hint="eastAsia"/>
        </w:rPr>
        <w:tab/>
      </w:r>
      <m:oMath>
        <m:r>
          <w:rPr>
            <w:rFonts w:ascii="Cambria Math" w:hAnsi="Cambria Math"/>
          </w:rPr>
          <m:t>σ=</m:t>
        </m:r>
        <m:sSub>
          <m:sSubPr>
            <m:ctrlPr>
              <w:rPr>
                <w:rFonts w:ascii="Cambria Math" w:hAnsi="Cambria Math"/>
                <w:bCs/>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bCs/>
              </w:rPr>
            </m:ctrlPr>
          </m:sSubPr>
          <m:e>
            <m:r>
              <w:rPr>
                <w:rFonts w:ascii="Cambria Math" w:hAnsi="Cambria Math"/>
              </w:rPr>
              <m:t>A</m:t>
            </m:r>
          </m:e>
          <m:sub>
            <m:r>
              <w:rPr>
                <w:rFonts w:ascii="Cambria Math" w:hAnsi="Cambria Math"/>
              </w:rPr>
              <m:t>1</m:t>
            </m:r>
          </m:sub>
        </m:sSub>
        <m:d>
          <m:dPr>
            <m:ctrlPr>
              <w:rPr>
                <w:rFonts w:ascii="Cambria Math" w:hAnsi="Cambria Math"/>
                <w:bCs/>
              </w:rPr>
            </m:ctrlPr>
          </m:dPr>
          <m:e>
            <m:f>
              <m:fPr>
                <m:type m:val="lin"/>
                <m:ctrlPr>
                  <w:rPr>
                    <w:rFonts w:ascii="Cambria Math" w:hAnsi="Cambria Math"/>
                    <w:bCs/>
                  </w:rPr>
                </m:ctrlPr>
              </m:fPr>
              <m:num>
                <m:r>
                  <w:rPr>
                    <w:rFonts w:ascii="Cambria Math" w:hAnsi="Cambria Math"/>
                  </w:rPr>
                  <m:t>x</m:t>
                </m:r>
              </m:num>
              <m:den>
                <m:r>
                  <w:rPr>
                    <w:rFonts w:ascii="Cambria Math" w:hAnsi="Cambria Math"/>
                  </w:rPr>
                  <m:t>a</m:t>
                </m:r>
              </m:den>
            </m:f>
          </m:e>
        </m:d>
        <m:r>
          <w:rPr>
            <w:rFonts w:ascii="Cambria Math" w:hAnsi="Cambria Math"/>
          </w:rPr>
          <m:t>+</m:t>
        </m:r>
        <m:sSub>
          <m:sSubPr>
            <m:ctrlPr>
              <w:rPr>
                <w:rFonts w:ascii="Cambria Math" w:hAnsi="Cambria Math"/>
                <w:bCs/>
              </w:rPr>
            </m:ctrlPr>
          </m:sSubPr>
          <m:e>
            <m:r>
              <w:rPr>
                <w:rFonts w:ascii="Cambria Math" w:hAnsi="Cambria Math"/>
              </w:rPr>
              <m:t>A</m:t>
            </m:r>
          </m:e>
          <m:sub>
            <m:r>
              <w:rPr>
                <w:rFonts w:ascii="Cambria Math" w:hAnsi="Cambria Math"/>
              </w:rPr>
              <m:t>2</m:t>
            </m:r>
          </m:sub>
        </m:sSub>
        <m:sSup>
          <m:sSupPr>
            <m:ctrlPr>
              <w:rPr>
                <w:rFonts w:ascii="Cambria Math" w:hAnsi="Cambria Math"/>
                <w:bCs/>
              </w:rPr>
            </m:ctrlPr>
          </m:sSupPr>
          <m:e>
            <m:d>
              <m:dPr>
                <m:ctrlPr>
                  <w:rPr>
                    <w:rFonts w:ascii="Cambria Math" w:hAnsi="Cambria Math"/>
                    <w:bCs/>
                  </w:rPr>
                </m:ctrlPr>
              </m:dPr>
              <m:e>
                <m:f>
                  <m:fPr>
                    <m:type m:val="lin"/>
                    <m:ctrlPr>
                      <w:rPr>
                        <w:rFonts w:ascii="Cambria Math" w:hAnsi="Cambria Math"/>
                        <w:bCs/>
                      </w:rPr>
                    </m:ctrlPr>
                  </m:fPr>
                  <m:num>
                    <m:r>
                      <w:rPr>
                        <w:rFonts w:ascii="Cambria Math" w:hAnsi="Cambria Math"/>
                      </w:rPr>
                      <m:t>x</m:t>
                    </m:r>
                  </m:num>
                  <m:den>
                    <m:r>
                      <w:rPr>
                        <w:rFonts w:ascii="Cambria Math" w:hAnsi="Cambria Math"/>
                      </w:rPr>
                      <m:t>a</m:t>
                    </m:r>
                  </m:den>
                </m:f>
              </m:e>
            </m:d>
          </m:e>
          <m:sup>
            <m:r>
              <w:rPr>
                <w:rFonts w:ascii="Cambria Math" w:hAnsi="Cambria Math"/>
              </w:rPr>
              <m:t>2</m:t>
            </m:r>
          </m:sup>
        </m:sSup>
        <m:r>
          <w:rPr>
            <w:rFonts w:ascii="Cambria Math" w:hAnsi="Cambria Math"/>
          </w:rPr>
          <m:t>+</m:t>
        </m:r>
        <m:sSub>
          <m:sSubPr>
            <m:ctrlPr>
              <w:rPr>
                <w:rFonts w:ascii="Cambria Math" w:hAnsi="Cambria Math"/>
                <w:bCs/>
              </w:rPr>
            </m:ctrlPr>
          </m:sSubPr>
          <m:e>
            <m:r>
              <w:rPr>
                <w:rFonts w:ascii="Cambria Math" w:hAnsi="Cambria Math"/>
              </w:rPr>
              <m:t>A</m:t>
            </m:r>
          </m:e>
          <m:sub>
            <m:r>
              <w:rPr>
                <w:rFonts w:ascii="Cambria Math" w:hAnsi="Cambria Math"/>
              </w:rPr>
              <m:t>3</m:t>
            </m:r>
          </m:sub>
        </m:sSub>
        <m:sSup>
          <m:sSupPr>
            <m:ctrlPr>
              <w:rPr>
                <w:rFonts w:ascii="Cambria Math" w:hAnsi="Cambria Math"/>
                <w:bCs/>
              </w:rPr>
            </m:ctrlPr>
          </m:sSupPr>
          <m:e>
            <m:d>
              <m:dPr>
                <m:ctrlPr>
                  <w:rPr>
                    <w:rFonts w:ascii="Cambria Math" w:hAnsi="Cambria Math"/>
                    <w:bCs/>
                  </w:rPr>
                </m:ctrlPr>
              </m:dPr>
              <m:e>
                <m:f>
                  <m:fPr>
                    <m:type m:val="lin"/>
                    <m:ctrlPr>
                      <w:rPr>
                        <w:rFonts w:ascii="Cambria Math" w:hAnsi="Cambria Math"/>
                        <w:bCs/>
                      </w:rPr>
                    </m:ctrlPr>
                  </m:fPr>
                  <m:num>
                    <m:r>
                      <w:rPr>
                        <w:rFonts w:ascii="Cambria Math" w:hAnsi="Cambria Math"/>
                      </w:rPr>
                      <m:t>x</m:t>
                    </m:r>
                  </m:num>
                  <m:den>
                    <m:r>
                      <w:rPr>
                        <w:rFonts w:ascii="Cambria Math" w:hAnsi="Cambria Math"/>
                      </w:rPr>
                      <m:t>a</m:t>
                    </m:r>
                  </m:den>
                </m:f>
              </m:e>
            </m:d>
          </m:e>
          <m:sup>
            <m:r>
              <w:rPr>
                <w:rFonts w:ascii="Cambria Math" w:hAnsi="Cambria Math"/>
              </w:rPr>
              <m:t>3</m:t>
            </m:r>
          </m:sup>
        </m:sSup>
      </m:oMath>
      <w:r w:rsidRPr="00BC31E0">
        <w:rPr>
          <w:rFonts w:hint="eastAsia"/>
        </w:rPr>
        <w:tab/>
        <w:t>(1)</w:t>
      </w:r>
    </w:p>
    <w:p w14:paraId="67801F42" w14:textId="77777777" w:rsidR="00F52111" w:rsidRPr="00BC31E0" w:rsidRDefault="00F52111" w:rsidP="00AE0A51">
      <w:pPr>
        <w:ind w:firstLineChars="100" w:firstLine="210"/>
      </w:pPr>
      <w:r w:rsidRPr="00BC31E0">
        <w:rPr>
          <w:rFonts w:hint="eastAsia"/>
        </w:rPr>
        <w:t>ここで，</w:t>
      </w:r>
    </w:p>
    <w:p w14:paraId="393C0DB4" w14:textId="77777777" w:rsidR="00F52111" w:rsidRPr="00BC31E0" w:rsidRDefault="00F52111" w:rsidP="002435BA">
      <w:pPr>
        <w:tabs>
          <w:tab w:val="left" w:pos="709"/>
        </w:tabs>
        <w:ind w:firstLineChars="100" w:firstLine="210"/>
      </w:pPr>
      <w:r w:rsidRPr="00BC31E0">
        <w:tab/>
      </w:r>
      <m:oMath>
        <m:sSub>
          <m:sSubPr>
            <m:ctrlPr>
              <w:rPr>
                <w:rFonts w:ascii="Cambria Math" w:hAnsi="Cambria Math"/>
                <w:bCs/>
              </w:rPr>
            </m:ctrlPr>
          </m:sSubPr>
          <m:e>
            <m:r>
              <w:rPr>
                <w:rFonts w:ascii="Cambria Math" w:hAnsi="Cambria Math"/>
              </w:rPr>
              <m:t>A</m:t>
            </m:r>
          </m:e>
          <m:sub>
            <m:r>
              <w:rPr>
                <w:rFonts w:ascii="Cambria Math" w:hAnsi="Cambria Math"/>
              </w:rPr>
              <m:t>0</m:t>
            </m:r>
          </m:sub>
        </m:sSub>
      </m:oMath>
      <w:r w:rsidRPr="00BC31E0">
        <w:rPr>
          <w:rFonts w:hint="eastAsia"/>
        </w:rPr>
        <w:t>，</w:t>
      </w:r>
      <m:oMath>
        <m:sSub>
          <m:sSubPr>
            <m:ctrlPr>
              <w:rPr>
                <w:rFonts w:ascii="Cambria Math" w:hAnsi="Cambria Math"/>
                <w:bCs/>
              </w:rPr>
            </m:ctrlPr>
          </m:sSubPr>
          <m:e>
            <m:r>
              <w:rPr>
                <w:rFonts w:ascii="Cambria Math" w:hAnsi="Cambria Math"/>
              </w:rPr>
              <m:t>A</m:t>
            </m:r>
          </m:e>
          <m:sub>
            <m:r>
              <w:rPr>
                <w:rFonts w:ascii="Cambria Math" w:hAnsi="Cambria Math"/>
              </w:rPr>
              <m:t>1</m:t>
            </m:r>
          </m:sub>
        </m:sSub>
      </m:oMath>
      <w:r w:rsidRPr="00BC31E0">
        <w:rPr>
          <w:rFonts w:hint="eastAsia"/>
        </w:rPr>
        <w:t>，</w:t>
      </w:r>
      <m:oMath>
        <m:sSub>
          <m:sSubPr>
            <m:ctrlPr>
              <w:rPr>
                <w:rFonts w:ascii="Cambria Math" w:hAnsi="Cambria Math"/>
                <w:bCs/>
              </w:rPr>
            </m:ctrlPr>
          </m:sSubPr>
          <m:e>
            <m:r>
              <w:rPr>
                <w:rFonts w:ascii="Cambria Math" w:hAnsi="Cambria Math"/>
              </w:rPr>
              <m:t>A</m:t>
            </m:r>
          </m:e>
          <m:sub>
            <m:r>
              <w:rPr>
                <w:rFonts w:ascii="Cambria Math" w:hAnsi="Cambria Math"/>
              </w:rPr>
              <m:t>2</m:t>
            </m:r>
          </m:sub>
        </m:sSub>
      </m:oMath>
      <w:r w:rsidRPr="00BC31E0">
        <w:rPr>
          <w:rFonts w:hint="eastAsia"/>
        </w:rPr>
        <w:t>，</w:t>
      </w:r>
      <m:oMath>
        <m:sSub>
          <m:sSubPr>
            <m:ctrlPr>
              <w:rPr>
                <w:rFonts w:ascii="Cambria Math" w:hAnsi="Cambria Math"/>
                <w:bCs/>
              </w:rPr>
            </m:ctrlPr>
          </m:sSubPr>
          <m:e>
            <m:r>
              <w:rPr>
                <w:rFonts w:ascii="Cambria Math" w:hAnsi="Cambria Math"/>
              </w:rPr>
              <m:t>A</m:t>
            </m:r>
          </m:e>
          <m:sub>
            <m:r>
              <w:rPr>
                <w:rFonts w:ascii="Cambria Math" w:hAnsi="Cambria Math"/>
              </w:rPr>
              <m:t>3</m:t>
            </m:r>
          </m:sub>
        </m:sSub>
      </m:oMath>
      <w:r w:rsidRPr="00BC31E0">
        <w:rPr>
          <w:rFonts w:hint="eastAsia"/>
          <w:bCs/>
        </w:rPr>
        <w:t xml:space="preserve"> </w:t>
      </w:r>
      <w:r w:rsidRPr="00BC31E0">
        <w:rPr>
          <w:rFonts w:hint="eastAsia"/>
        </w:rPr>
        <w:t>：</w:t>
      </w:r>
      <w:r w:rsidRPr="00BC31E0">
        <w:rPr>
          <w:rFonts w:hint="eastAsia"/>
        </w:rPr>
        <w:t xml:space="preserve"> </w:t>
      </w:r>
      <w:r w:rsidRPr="00BC31E0">
        <w:rPr>
          <w:rFonts w:hint="eastAsia"/>
        </w:rPr>
        <w:t>定数</w:t>
      </w:r>
    </w:p>
    <w:p w14:paraId="4FE68D5A" w14:textId="77777777" w:rsidR="00F52111" w:rsidRPr="00BC31E0" w:rsidRDefault="00F52111" w:rsidP="006E0400">
      <w:pPr>
        <w:tabs>
          <w:tab w:val="left" w:pos="709"/>
        </w:tabs>
      </w:pPr>
      <w:r w:rsidRPr="00BC31E0">
        <w:tab/>
      </w:r>
      <m:oMath>
        <m:r>
          <w:rPr>
            <w:rFonts w:ascii="Cambria Math" w:hAnsi="Cambria Math"/>
          </w:rPr>
          <m:t>a</m:t>
        </m:r>
      </m:oMath>
      <w:r w:rsidRPr="00BC31E0">
        <w:rPr>
          <w:rFonts w:hint="eastAsia"/>
        </w:rPr>
        <w:t xml:space="preserve"> </w:t>
      </w:r>
      <w:r w:rsidRPr="00BC31E0">
        <w:rPr>
          <w:rFonts w:hint="eastAsia"/>
        </w:rPr>
        <w:t>：</w:t>
      </w:r>
      <w:r w:rsidRPr="00BC31E0">
        <w:rPr>
          <w:rFonts w:hint="eastAsia"/>
        </w:rPr>
        <w:t xml:space="preserve"> </w:t>
      </w:r>
      <w:r w:rsidRPr="00BC31E0">
        <w:rPr>
          <w:rFonts w:hint="eastAsia"/>
        </w:rPr>
        <w:t>亀裂深さ</w:t>
      </w:r>
      <w:r w:rsidRPr="00BC31E0">
        <w:rPr>
          <w:rFonts w:hint="eastAsia"/>
        </w:rPr>
        <w:t>(</w:t>
      </w:r>
      <w:r w:rsidRPr="00BC31E0">
        <w:rPr>
          <w:rFonts w:ascii="Cambria Math" w:hAnsi="Cambria Math"/>
        </w:rPr>
        <w:t>m</w:t>
      </w:r>
      <w:r w:rsidRPr="00BC31E0">
        <w:rPr>
          <w:rFonts w:hint="eastAsia"/>
        </w:rPr>
        <w:t>)</w:t>
      </w:r>
    </w:p>
    <w:p w14:paraId="5AC9A32A" w14:textId="77777777" w:rsidR="00F52111" w:rsidRPr="00BC31E0" w:rsidRDefault="00F52111" w:rsidP="006E0400">
      <w:pPr>
        <w:tabs>
          <w:tab w:val="left" w:pos="709"/>
        </w:tabs>
      </w:pPr>
      <w:r w:rsidRPr="00BC31E0">
        <w:tab/>
      </w:r>
      <m:oMath>
        <m:r>
          <w:rPr>
            <w:rFonts w:ascii="Cambria Math" w:hAnsi="Cambria Math"/>
          </w:rPr>
          <m:t>x</m:t>
        </m:r>
      </m:oMath>
      <w:r w:rsidRPr="00BC31E0">
        <w:rPr>
          <w:rFonts w:hint="eastAsia"/>
        </w:rPr>
        <w:t xml:space="preserve"> </w:t>
      </w:r>
      <w:r w:rsidRPr="00BC31E0">
        <w:rPr>
          <w:rFonts w:hint="eastAsia"/>
        </w:rPr>
        <w:t>：</w:t>
      </w:r>
      <w:r w:rsidRPr="00BC31E0">
        <w:rPr>
          <w:rFonts w:hint="eastAsia"/>
        </w:rPr>
        <w:t xml:space="preserve"> </w:t>
      </w:r>
      <w:r w:rsidRPr="00BC31E0">
        <w:rPr>
          <w:rFonts w:hint="eastAsia"/>
        </w:rPr>
        <w:t>亀裂位置における表面からの厚さ方向距離，</w:t>
      </w:r>
      <m:oMath>
        <m:r>
          <w:rPr>
            <w:rFonts w:ascii="Cambria Math" w:hAnsi="Cambria Math" w:hint="eastAsia"/>
          </w:rPr>
          <m:t>0</m:t>
        </m:r>
        <m:r>
          <w:rPr>
            <w:rFonts w:ascii="Cambria Math" w:hAnsi="Cambria Math" w:hint="eastAsia"/>
          </w:rPr>
          <m:t>≦</m:t>
        </m:r>
        <m:r>
          <w:rPr>
            <w:rFonts w:ascii="Cambria Math" w:hAnsi="Cambria Math"/>
          </w:rPr>
          <m:t>x</m:t>
        </m:r>
        <m:r>
          <w:rPr>
            <w:rFonts w:ascii="Cambria Math" w:hAnsi="Cambria Math" w:hint="eastAsia"/>
          </w:rPr>
          <m:t>≦</m:t>
        </m:r>
        <m:r>
          <w:rPr>
            <w:rFonts w:ascii="Cambria Math" w:hAnsi="Cambria Math"/>
          </w:rPr>
          <m:t xml:space="preserve">a </m:t>
        </m:r>
      </m:oMath>
      <w:r w:rsidRPr="00BC31E0">
        <w:rPr>
          <w:rFonts w:hint="eastAsia"/>
        </w:rPr>
        <w:t>(</w:t>
      </w:r>
      <w:r w:rsidRPr="00BC31E0">
        <w:rPr>
          <w:rFonts w:ascii="Cambria Math" w:hAnsi="Cambria Math"/>
        </w:rPr>
        <w:t>m</w:t>
      </w:r>
      <w:r w:rsidRPr="00BC31E0">
        <w:rPr>
          <w:rFonts w:hint="eastAsia"/>
        </w:rPr>
        <w:t>)</w:t>
      </w:r>
    </w:p>
    <w:p w14:paraId="04856A90" w14:textId="77777777" w:rsidR="00F52111" w:rsidRPr="00BC31E0" w:rsidRDefault="00F52111" w:rsidP="00AE0A51">
      <w:pPr>
        <w:spacing w:before="120"/>
        <w:ind w:firstLineChars="100" w:firstLine="210"/>
      </w:pPr>
      <w:r w:rsidRPr="00BC31E0">
        <w:rPr>
          <w:rFonts w:hint="eastAsia"/>
        </w:rPr>
        <w:t>亀裂の任意深さ</w:t>
      </w:r>
      <w:r w:rsidRPr="00BC31E0">
        <w:rPr>
          <w:rFonts w:hint="eastAsia"/>
        </w:rPr>
        <w:t xml:space="preserve"> (</w:t>
      </w:r>
      <m:oMath>
        <m:r>
          <w:rPr>
            <w:rFonts w:ascii="Cambria Math" w:hAnsi="Cambria Math"/>
          </w:rPr>
          <m:t>0</m:t>
        </m:r>
        <m:r>
          <m:rPr>
            <m:sty m:val="p"/>
          </m:rPr>
          <w:rPr>
            <w:rFonts w:ascii="Cambria Math" w:hAnsi="Cambria Math" w:hint="eastAsia"/>
          </w:rPr>
          <m:t>≦</m:t>
        </m:r>
        <m:f>
          <m:fPr>
            <m:type m:val="lin"/>
            <m:ctrlPr>
              <w:rPr>
                <w:rFonts w:ascii="Cambria Math" w:hAnsi="Cambria Math"/>
              </w:rPr>
            </m:ctrlPr>
          </m:fPr>
          <m:num>
            <m:r>
              <w:rPr>
                <w:rFonts w:ascii="Cambria Math" w:hAnsi="Cambria Math"/>
              </w:rPr>
              <m:t>x</m:t>
            </m:r>
          </m:num>
          <m:den>
            <m:r>
              <w:rPr>
                <w:rFonts w:ascii="Cambria Math" w:hAnsi="Cambria Math"/>
              </w:rPr>
              <m:t>a</m:t>
            </m:r>
            <m:r>
              <m:rPr>
                <m:sty m:val="p"/>
              </m:rPr>
              <w:rPr>
                <w:rFonts w:ascii="Cambria Math" w:hAnsi="Cambria Math" w:hint="eastAsia"/>
              </w:rPr>
              <m:t>≦</m:t>
            </m:r>
            <m:r>
              <w:rPr>
                <w:rFonts w:ascii="Cambria Math" w:hAnsi="Cambria Math"/>
              </w:rPr>
              <m:t>1</m:t>
            </m:r>
          </m:den>
        </m:f>
      </m:oMath>
      <w:r w:rsidRPr="00BC31E0">
        <w:rPr>
          <w:rFonts w:hint="eastAsia"/>
        </w:rPr>
        <w:t xml:space="preserve">) </w:t>
      </w:r>
      <w:r w:rsidRPr="00BC31E0">
        <w:rPr>
          <w:rFonts w:hint="eastAsia"/>
        </w:rPr>
        <w:t>における応力分布を正確に記述できるように，</w:t>
      </w:r>
      <m:oMath>
        <m:sSub>
          <m:sSubPr>
            <m:ctrlPr>
              <w:rPr>
                <w:rFonts w:ascii="Cambria Math" w:hAnsi="Cambria Math"/>
                <w:bCs/>
              </w:rPr>
            </m:ctrlPr>
          </m:sSubPr>
          <m:e>
            <m:r>
              <w:rPr>
                <w:rFonts w:ascii="Cambria Math" w:hAnsi="Cambria Math"/>
              </w:rPr>
              <m:t>A</m:t>
            </m:r>
          </m:e>
          <m:sub>
            <m:r>
              <w:rPr>
                <w:rFonts w:ascii="Cambria Math" w:hAnsi="Cambria Math"/>
              </w:rPr>
              <m:t>0</m:t>
            </m:r>
          </m:sub>
        </m:sSub>
      </m:oMath>
      <w:r w:rsidRPr="00BC31E0">
        <w:rPr>
          <w:rFonts w:hint="eastAsia"/>
        </w:rPr>
        <w:t>～</w:t>
      </w:r>
      <m:oMath>
        <m:sSub>
          <m:sSubPr>
            <m:ctrlPr>
              <w:rPr>
                <w:rFonts w:ascii="Cambria Math" w:hAnsi="Cambria Math"/>
                <w:bCs/>
              </w:rPr>
            </m:ctrlPr>
          </m:sSubPr>
          <m:e>
            <m:r>
              <w:rPr>
                <w:rFonts w:ascii="Cambria Math" w:hAnsi="Cambria Math"/>
              </w:rPr>
              <m:t>A</m:t>
            </m:r>
          </m:e>
          <m:sub>
            <m:r>
              <w:rPr>
                <w:rFonts w:ascii="Cambria Math" w:hAnsi="Cambria Math"/>
              </w:rPr>
              <m:t>3</m:t>
            </m:r>
          </m:sub>
        </m:sSub>
      </m:oMath>
      <w:r w:rsidRPr="00BC31E0">
        <w:rPr>
          <w:rFonts w:hint="eastAsia"/>
        </w:rPr>
        <w:t>の係数を決定する。この応力は，どのような種類の応力であれ，解析の対象とする。</w:t>
      </w:r>
    </w:p>
    <w:p w14:paraId="0D55C3CC" w14:textId="77777777" w:rsidR="00F52111" w:rsidRPr="00BC31E0" w:rsidRDefault="00F52111" w:rsidP="00AE0A51">
      <w:pPr>
        <w:spacing w:after="120"/>
        <w:ind w:firstLineChars="100" w:firstLine="210"/>
      </w:pPr>
      <w:r w:rsidRPr="00BC31E0">
        <w:rPr>
          <w:rFonts w:hint="eastAsia"/>
        </w:rPr>
        <w:t>3</w:t>
      </w:r>
      <w:r w:rsidRPr="00BC31E0">
        <w:rPr>
          <w:rFonts w:hint="eastAsia"/>
        </w:rPr>
        <w:t>次多項式近似した応力分布を用いて，次式で表面亀裂の応力拡大係数</w:t>
      </w:r>
      <m:oMath>
        <m:sSub>
          <m:sSubPr>
            <m:ctrlPr>
              <w:rPr>
                <w:rFonts w:ascii="Cambria Math" w:hAnsi="Cambria Math"/>
                <w:bCs/>
              </w:rPr>
            </m:ctrlPr>
          </m:sSubPr>
          <m:e>
            <m:r>
              <w:rPr>
                <w:rFonts w:ascii="Cambria Math" w:hAnsi="Cambria Math"/>
              </w:rPr>
              <m:t xml:space="preserve"> K</m:t>
            </m:r>
          </m:e>
          <m:sub>
            <m:r>
              <m:rPr>
                <m:sty m:val="p"/>
              </m:rPr>
              <w:rPr>
                <w:rFonts w:ascii="Cambria Math" w:hAnsi="Cambria Math"/>
              </w:rPr>
              <m:t>I</m:t>
            </m:r>
          </m:sub>
        </m:sSub>
        <m:r>
          <m:rPr>
            <m:sty m:val="p"/>
          </m:rPr>
          <w:rPr>
            <w:rFonts w:ascii="Cambria Math" w:hAnsi="Cambria Math"/>
          </w:rPr>
          <m:t xml:space="preserve"> </m:t>
        </m:r>
        <m:d>
          <m:dPr>
            <m:ctrlPr>
              <w:rPr>
                <w:rFonts w:ascii="Cambria Math" w:hAnsi="Cambria Math"/>
              </w:rPr>
            </m:ctrlPr>
          </m:dPr>
          <m:e>
            <m:r>
              <m:rPr>
                <m:sty m:val="p"/>
              </m:rPr>
              <w:rPr>
                <w:rFonts w:ascii="Cambria Math" w:hAnsi="Cambria Math"/>
              </w:rPr>
              <m:t>MPa</m:t>
            </m:r>
            <m:rad>
              <m:radPr>
                <m:degHide m:val="1"/>
                <m:ctrlPr>
                  <w:rPr>
                    <w:rFonts w:ascii="Cambria Math" w:hAnsi="Cambria Math"/>
                  </w:rPr>
                </m:ctrlPr>
              </m:radPr>
              <m:deg/>
              <m:e>
                <m:r>
                  <m:rPr>
                    <m:sty m:val="p"/>
                  </m:rPr>
                  <w:rPr>
                    <w:rFonts w:ascii="Cambria Math" w:hAnsi="Cambria Math"/>
                  </w:rPr>
                  <m:t>m</m:t>
                </m:r>
              </m:e>
            </m:rad>
          </m:e>
        </m:d>
      </m:oMath>
      <w:r w:rsidRPr="00BC31E0">
        <w:rPr>
          <w:rFonts w:hint="eastAsia"/>
        </w:rPr>
        <w:t>を決定する。</w:t>
      </w:r>
    </w:p>
    <w:p w14:paraId="2E452667" w14:textId="77777777" w:rsidR="00F52111" w:rsidRPr="00BC31E0" w:rsidRDefault="00F52111" w:rsidP="00F52111">
      <w:pPr>
        <w:tabs>
          <w:tab w:val="left" w:pos="1843"/>
          <w:tab w:val="left" w:leader="middleDot" w:pos="8647"/>
        </w:tabs>
      </w:pPr>
      <w:r w:rsidRPr="00BC31E0">
        <w:rPr>
          <w:rFonts w:hint="eastAsia"/>
          <w:bCs/>
        </w:rPr>
        <w:tab/>
      </w:r>
      <m:oMath>
        <m:sSub>
          <m:sSubPr>
            <m:ctrlPr>
              <w:rPr>
                <w:rFonts w:ascii="Cambria Math" w:hAnsi="Cambria Math"/>
                <w:bCs/>
              </w:rPr>
            </m:ctrlPr>
          </m:sSubPr>
          <m:e>
            <m:r>
              <w:rPr>
                <w:rFonts w:ascii="Cambria Math" w:hAnsi="Cambria Math"/>
              </w:rPr>
              <m:t>K</m:t>
            </m:r>
          </m:e>
          <m:sub>
            <m:r>
              <m:rPr>
                <m:sty m:val="p"/>
              </m:rPr>
              <w:rPr>
                <w:rFonts w:ascii="Cambria Math" w:hAnsi="Cambria Math"/>
              </w:rPr>
              <m:t>I</m:t>
            </m:r>
          </m:sub>
        </m:sSub>
        <m:r>
          <w:rPr>
            <w:rFonts w:ascii="Cambria Math" w:hAnsi="Cambria Math"/>
          </w:rPr>
          <m:t>=</m:t>
        </m:r>
        <m:d>
          <m:dPr>
            <m:begChr m:val="{"/>
            <m:endChr m:val="}"/>
            <m:ctrlPr>
              <w:rPr>
                <w:rFonts w:ascii="Cambria Math" w:hAnsi="Cambria Math"/>
                <w:bCs/>
              </w:rPr>
            </m:ctrlPr>
          </m:dPr>
          <m:e>
            <m:r>
              <m:rPr>
                <m:sty m:val="p"/>
              </m:rPr>
              <w:rPr>
                <w:rFonts w:ascii="Cambria Math" w:hAnsi="Cambria Math"/>
              </w:rPr>
              <m:t xml:space="preserve"> </m:t>
            </m:r>
            <m:d>
              <m:dPr>
                <m:ctrlPr>
                  <w:rPr>
                    <w:rFonts w:ascii="Cambria Math" w:hAnsi="Cambria Math"/>
                    <w:bCs/>
                  </w:rPr>
                </m:ctrlPr>
              </m:dPr>
              <m:e>
                <m:sSub>
                  <m:sSubPr>
                    <m:ctrlPr>
                      <w:rPr>
                        <w:rFonts w:ascii="Cambria Math" w:hAnsi="Cambria Math"/>
                        <w:bCs/>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bCs/>
                      </w:rPr>
                    </m:ctrlPr>
                  </m:sSubPr>
                  <m:e>
                    <m:r>
                      <w:rPr>
                        <w:rFonts w:ascii="Cambria Math" w:hAnsi="Cambria Math"/>
                      </w:rPr>
                      <m:t>A</m:t>
                    </m:r>
                  </m:e>
                  <m:sub>
                    <m:r>
                      <w:rPr>
                        <w:rFonts w:ascii="Cambria Math" w:hAnsi="Cambria Math"/>
                      </w:rPr>
                      <m:t>p</m:t>
                    </m:r>
                  </m:sub>
                </m:sSub>
              </m:e>
            </m:d>
            <m:sSub>
              <m:sSubPr>
                <m:ctrlPr>
                  <w:rPr>
                    <w:rFonts w:ascii="Cambria Math" w:hAnsi="Cambria Math"/>
                    <w:bCs/>
                  </w:rPr>
                </m:ctrlPr>
              </m:sSubPr>
              <m:e>
                <m:r>
                  <w:rPr>
                    <w:rFonts w:ascii="Cambria Math" w:hAnsi="Cambria Math"/>
                  </w:rPr>
                  <m:t xml:space="preserve"> G</m:t>
                </m:r>
              </m:e>
              <m:sub>
                <m:r>
                  <w:rPr>
                    <w:rFonts w:ascii="Cambria Math" w:hAnsi="Cambria Math"/>
                  </w:rPr>
                  <m:t>0</m:t>
                </m:r>
              </m:sub>
            </m:sSub>
            <m:sSub>
              <m:sSubPr>
                <m:ctrlPr>
                  <w:rPr>
                    <w:rFonts w:ascii="Cambria Math" w:hAnsi="Cambria Math"/>
                    <w:bCs/>
                  </w:rPr>
                </m:ctrlPr>
              </m:sSubPr>
              <m:e>
                <m:r>
                  <w:rPr>
                    <w:rFonts w:ascii="Cambria Math" w:hAnsi="Cambria Math"/>
                  </w:rPr>
                  <m:t>+A</m:t>
                </m:r>
              </m:e>
              <m:sub>
                <m:r>
                  <w:rPr>
                    <w:rFonts w:ascii="Cambria Math" w:hAnsi="Cambria Math"/>
                  </w:rPr>
                  <m:t>1</m:t>
                </m:r>
              </m:sub>
            </m:sSub>
            <m:sSub>
              <m:sSubPr>
                <m:ctrlPr>
                  <w:rPr>
                    <w:rFonts w:ascii="Cambria Math" w:hAnsi="Cambria Math"/>
                    <w:bCs/>
                  </w:rPr>
                </m:ctrlPr>
              </m:sSubPr>
              <m:e>
                <m:r>
                  <w:rPr>
                    <w:rFonts w:ascii="Cambria Math" w:hAnsi="Cambria Math"/>
                  </w:rPr>
                  <m:t>G</m:t>
                </m:r>
              </m:e>
              <m:sub>
                <m:r>
                  <w:rPr>
                    <w:rFonts w:ascii="Cambria Math" w:hAnsi="Cambria Math"/>
                  </w:rPr>
                  <m:t>1</m:t>
                </m:r>
              </m:sub>
            </m:sSub>
            <m:r>
              <w:rPr>
                <w:rFonts w:ascii="Cambria Math" w:hAnsi="Cambria Math"/>
              </w:rPr>
              <m:t>+</m:t>
            </m:r>
            <m:sSub>
              <m:sSubPr>
                <m:ctrlPr>
                  <w:rPr>
                    <w:rFonts w:ascii="Cambria Math" w:hAnsi="Cambria Math"/>
                    <w:bCs/>
                  </w:rPr>
                </m:ctrlPr>
              </m:sSubPr>
              <m:e>
                <m:r>
                  <w:rPr>
                    <w:rFonts w:ascii="Cambria Math" w:hAnsi="Cambria Math"/>
                  </w:rPr>
                  <m:t>A</m:t>
                </m:r>
              </m:e>
              <m:sub>
                <m:r>
                  <w:rPr>
                    <w:rFonts w:ascii="Cambria Math" w:hAnsi="Cambria Math"/>
                  </w:rPr>
                  <m:t>2</m:t>
                </m:r>
              </m:sub>
            </m:sSub>
            <m:sSub>
              <m:sSubPr>
                <m:ctrlPr>
                  <w:rPr>
                    <w:rFonts w:ascii="Cambria Math" w:hAnsi="Cambria Math"/>
                    <w:bCs/>
                  </w:rPr>
                </m:ctrlPr>
              </m:sSubPr>
              <m:e>
                <m:r>
                  <w:rPr>
                    <w:rFonts w:ascii="Cambria Math" w:hAnsi="Cambria Math"/>
                  </w:rPr>
                  <m:t>G</m:t>
                </m:r>
              </m:e>
              <m:sub>
                <m:r>
                  <w:rPr>
                    <w:rFonts w:ascii="Cambria Math" w:hAnsi="Cambria Math"/>
                  </w:rPr>
                  <m:t>2</m:t>
                </m:r>
              </m:sub>
            </m:sSub>
            <m:r>
              <w:rPr>
                <w:rFonts w:ascii="Cambria Math" w:hAnsi="Cambria Math"/>
              </w:rPr>
              <m:t>+</m:t>
            </m:r>
            <m:sSub>
              <m:sSubPr>
                <m:ctrlPr>
                  <w:rPr>
                    <w:rFonts w:ascii="Cambria Math" w:hAnsi="Cambria Math"/>
                    <w:bCs/>
                  </w:rPr>
                </m:ctrlPr>
              </m:sSubPr>
              <m:e>
                <m:r>
                  <w:rPr>
                    <w:rFonts w:ascii="Cambria Math" w:hAnsi="Cambria Math"/>
                  </w:rPr>
                  <m:t>A</m:t>
                </m:r>
              </m:e>
              <m:sub>
                <m:r>
                  <w:rPr>
                    <w:rFonts w:ascii="Cambria Math" w:hAnsi="Cambria Math"/>
                  </w:rPr>
                  <m:t>3</m:t>
                </m:r>
              </m:sub>
            </m:sSub>
            <m:sSub>
              <m:sSubPr>
                <m:ctrlPr>
                  <w:rPr>
                    <w:rFonts w:ascii="Cambria Math" w:hAnsi="Cambria Math"/>
                    <w:bCs/>
                  </w:rPr>
                </m:ctrlPr>
              </m:sSubPr>
              <m:e>
                <m:r>
                  <w:rPr>
                    <w:rFonts w:ascii="Cambria Math" w:hAnsi="Cambria Math"/>
                  </w:rPr>
                  <m:t>G</m:t>
                </m:r>
              </m:e>
              <m:sub>
                <m:r>
                  <w:rPr>
                    <w:rFonts w:ascii="Cambria Math" w:hAnsi="Cambria Math"/>
                  </w:rPr>
                  <m:t>3</m:t>
                </m:r>
              </m:sub>
            </m:sSub>
            <m:r>
              <m:rPr>
                <m:sty m:val="p"/>
              </m:rPr>
              <w:rPr>
                <w:rFonts w:ascii="Cambria Math" w:hAnsi="Cambria Math"/>
              </w:rPr>
              <m:t xml:space="preserve"> </m:t>
            </m:r>
          </m:e>
        </m:d>
        <m:r>
          <w:rPr>
            <w:rFonts w:ascii="Cambria Math" w:hAnsi="Cambria Math"/>
          </w:rPr>
          <m:t xml:space="preserve"> </m:t>
        </m:r>
        <m:rad>
          <m:radPr>
            <m:degHide m:val="1"/>
            <m:ctrlPr>
              <w:rPr>
                <w:rFonts w:ascii="Cambria Math" w:hAnsi="Cambria Math"/>
                <w:bCs/>
              </w:rPr>
            </m:ctrlPr>
          </m:radPr>
          <m:deg/>
          <m:e>
            <m:r>
              <w:rPr>
                <w:rFonts w:ascii="Cambria Math" w:hAnsi="Cambria Math"/>
              </w:rPr>
              <m:t>π</m:t>
            </m:r>
            <m:f>
              <m:fPr>
                <m:type m:val="lin"/>
                <m:ctrlPr>
                  <w:rPr>
                    <w:rFonts w:ascii="Cambria Math" w:hAnsi="Cambria Math"/>
                    <w:bCs/>
                  </w:rPr>
                </m:ctrlPr>
              </m:fPr>
              <m:num>
                <m:r>
                  <w:rPr>
                    <w:rFonts w:ascii="Cambria Math" w:hAnsi="Cambria Math"/>
                  </w:rPr>
                  <m:t>a</m:t>
                </m:r>
              </m:num>
              <m:den>
                <m:r>
                  <w:rPr>
                    <w:rFonts w:ascii="Cambria Math" w:hAnsi="Cambria Math"/>
                  </w:rPr>
                  <m:t>Q</m:t>
                </m:r>
              </m:den>
            </m:f>
          </m:e>
        </m:rad>
      </m:oMath>
      <w:r w:rsidRPr="00BC31E0">
        <w:rPr>
          <w:rFonts w:hint="eastAsia"/>
        </w:rPr>
        <w:tab/>
        <w:t>(2)</w:t>
      </w:r>
    </w:p>
    <w:p w14:paraId="2DDF0739" w14:textId="77777777" w:rsidR="00F52111" w:rsidRPr="00BC31E0" w:rsidRDefault="00F52111" w:rsidP="00AE0A51">
      <w:pPr>
        <w:ind w:leftChars="100" w:left="210" w:firstLineChars="100" w:firstLine="210"/>
      </w:pPr>
      <w:r w:rsidRPr="00BC31E0">
        <w:rPr>
          <w:rFonts w:hint="eastAsia"/>
        </w:rPr>
        <w:t>ここで，</w:t>
      </w:r>
    </w:p>
    <w:p w14:paraId="6024EC53" w14:textId="77777777" w:rsidR="00F52111" w:rsidRPr="00BC31E0" w:rsidRDefault="00F52111" w:rsidP="006F0761">
      <w:pPr>
        <w:tabs>
          <w:tab w:val="left" w:pos="709"/>
        </w:tabs>
        <w:ind w:left="1304" w:hanging="1304"/>
      </w:pPr>
      <w:r w:rsidRPr="00BC31E0">
        <w:rPr>
          <w:rFonts w:hint="eastAsia"/>
          <w:bCs/>
        </w:rPr>
        <w:tab/>
      </w:r>
      <m:oMath>
        <m:sSub>
          <m:sSubPr>
            <m:ctrlPr>
              <w:rPr>
                <w:rFonts w:ascii="Cambria Math" w:hAnsi="Cambria Math"/>
                <w:bCs/>
              </w:rPr>
            </m:ctrlPr>
          </m:sSubPr>
          <m:e>
            <m:r>
              <w:rPr>
                <w:rFonts w:ascii="Cambria Math" w:hAnsi="Cambria Math"/>
              </w:rPr>
              <m:t>A</m:t>
            </m:r>
          </m:e>
          <m:sub>
            <m:r>
              <w:rPr>
                <w:rFonts w:ascii="Cambria Math" w:hAnsi="Cambria Math"/>
              </w:rPr>
              <m:t>0</m:t>
            </m:r>
          </m:sub>
        </m:sSub>
      </m:oMath>
      <w:r w:rsidRPr="00BC31E0">
        <w:rPr>
          <w:rFonts w:hint="eastAsia"/>
        </w:rPr>
        <w:t>，</w:t>
      </w:r>
      <m:oMath>
        <m:sSub>
          <m:sSubPr>
            <m:ctrlPr>
              <w:rPr>
                <w:rFonts w:ascii="Cambria Math" w:hAnsi="Cambria Math"/>
                <w:bCs/>
              </w:rPr>
            </m:ctrlPr>
          </m:sSubPr>
          <m:e>
            <m:r>
              <w:rPr>
                <w:rFonts w:ascii="Cambria Math" w:hAnsi="Cambria Math"/>
              </w:rPr>
              <m:t>A</m:t>
            </m:r>
          </m:e>
          <m:sub>
            <m:r>
              <w:rPr>
                <w:rFonts w:ascii="Cambria Math" w:hAnsi="Cambria Math"/>
              </w:rPr>
              <m:t>1</m:t>
            </m:r>
          </m:sub>
        </m:sSub>
      </m:oMath>
      <w:r w:rsidRPr="00BC31E0">
        <w:rPr>
          <w:rFonts w:hint="eastAsia"/>
        </w:rPr>
        <w:t>，</w:t>
      </w:r>
      <m:oMath>
        <m:sSub>
          <m:sSubPr>
            <m:ctrlPr>
              <w:rPr>
                <w:rFonts w:ascii="Cambria Math" w:hAnsi="Cambria Math"/>
                <w:bCs/>
              </w:rPr>
            </m:ctrlPr>
          </m:sSubPr>
          <m:e>
            <m:r>
              <w:rPr>
                <w:rFonts w:ascii="Cambria Math" w:hAnsi="Cambria Math"/>
              </w:rPr>
              <m:t>A</m:t>
            </m:r>
          </m:e>
          <m:sub>
            <m:r>
              <w:rPr>
                <w:rFonts w:ascii="Cambria Math" w:hAnsi="Cambria Math"/>
              </w:rPr>
              <m:t>2</m:t>
            </m:r>
          </m:sub>
        </m:sSub>
        <m:r>
          <m:rPr>
            <m:sty m:val="p"/>
          </m:rPr>
          <w:rPr>
            <w:rFonts w:ascii="Cambria Math" w:hAnsi="Cambria Math"/>
          </w:rPr>
          <m:t xml:space="preserve"> </m:t>
        </m:r>
      </m:oMath>
      <w:r w:rsidRPr="00BC31E0">
        <w:rPr>
          <w:rFonts w:hint="eastAsia"/>
        </w:rPr>
        <w:t>，</w:t>
      </w:r>
      <m:oMath>
        <m:sSub>
          <m:sSubPr>
            <m:ctrlPr>
              <w:rPr>
                <w:rFonts w:ascii="Cambria Math" w:hAnsi="Cambria Math"/>
                <w:bCs/>
              </w:rPr>
            </m:ctrlPr>
          </m:sSubPr>
          <m:e>
            <m:r>
              <w:rPr>
                <w:rFonts w:ascii="Cambria Math" w:hAnsi="Cambria Math"/>
              </w:rPr>
              <m:t>A</m:t>
            </m:r>
          </m:e>
          <m:sub>
            <m:r>
              <w:rPr>
                <w:rFonts w:ascii="Cambria Math" w:hAnsi="Cambria Math"/>
              </w:rPr>
              <m:t>3</m:t>
            </m:r>
          </m:sub>
        </m:sSub>
        <m:r>
          <m:rPr>
            <m:sty m:val="p"/>
          </m:rPr>
          <w:rPr>
            <w:rFonts w:ascii="Cambria Math" w:hAnsi="Cambria Math"/>
          </w:rPr>
          <m:t xml:space="preserve"> </m:t>
        </m:r>
      </m:oMath>
      <w:r w:rsidRPr="00BC31E0">
        <w:rPr>
          <w:rFonts w:hint="eastAsia"/>
        </w:rPr>
        <w:t>：</w:t>
      </w:r>
      <w:r w:rsidRPr="00BC31E0">
        <w:rPr>
          <w:rFonts w:hint="eastAsia"/>
        </w:rPr>
        <w:t xml:space="preserve"> </w:t>
      </w:r>
      <w:r w:rsidRPr="00BC31E0">
        <w:rPr>
          <w:rFonts w:ascii="ＭＳ ゴシック" w:eastAsia="ＭＳ ゴシック" w:hAnsi="ＭＳ ゴシック" w:hint="eastAsia"/>
          <w:b/>
        </w:rPr>
        <w:t>式</w:t>
      </w:r>
      <w:r w:rsidRPr="00BC31E0">
        <w:rPr>
          <w:rFonts w:ascii="ＭＳ ゴシック" w:eastAsia="ＭＳ ゴシック" w:hAnsi="ＭＳ ゴシック"/>
          <w:b/>
        </w:rPr>
        <w:t>(1)</w:t>
      </w:r>
      <w:r w:rsidRPr="00BC31E0">
        <w:rPr>
          <w:rFonts w:hint="eastAsia"/>
        </w:rPr>
        <w:t>における定数であり，亀裂深さ方向の応力分布から決定される。</w:t>
      </w:r>
      <m:oMath>
        <m:sSub>
          <m:sSubPr>
            <m:ctrlPr>
              <w:rPr>
                <w:rFonts w:ascii="Cambria Math" w:hAnsi="Cambria Math"/>
                <w:bCs/>
              </w:rPr>
            </m:ctrlPr>
          </m:sSubPr>
          <m:e>
            <m:r>
              <w:rPr>
                <w:rFonts w:ascii="Cambria Math" w:hAnsi="Cambria Math"/>
              </w:rPr>
              <m:t>K</m:t>
            </m:r>
          </m:e>
          <m:sub>
            <m:r>
              <m:rPr>
                <m:sty m:val="p"/>
              </m:rPr>
              <w:rPr>
                <w:rFonts w:ascii="Cambria Math" w:hAnsi="Cambria Math"/>
              </w:rPr>
              <m:t>I</m:t>
            </m:r>
          </m:sub>
        </m:sSub>
        <m:r>
          <m:rPr>
            <m:sty m:val="p"/>
          </m:rPr>
          <w:rPr>
            <w:rFonts w:ascii="Cambria Math" w:hAnsi="Cambria Math" w:hint="eastAsia"/>
          </w:rPr>
          <m:t xml:space="preserve"> </m:t>
        </m:r>
      </m:oMath>
      <w:r w:rsidRPr="00BC31E0">
        <w:rPr>
          <w:rFonts w:hint="eastAsia"/>
        </w:rPr>
        <w:t>を亀裂深さの関数として計算する時には，各々の亀裂深さごとに定数</w:t>
      </w:r>
      <m:oMath>
        <m:sSub>
          <m:sSubPr>
            <m:ctrlPr>
              <w:rPr>
                <w:rFonts w:ascii="Cambria Math" w:hAnsi="Cambria Math"/>
                <w:bCs/>
              </w:rPr>
            </m:ctrlPr>
          </m:sSubPr>
          <m:e>
            <m:r>
              <w:rPr>
                <w:rFonts w:ascii="Cambria Math" w:hAnsi="Cambria Math"/>
              </w:rPr>
              <m:t xml:space="preserve"> A</m:t>
            </m:r>
          </m:e>
          <m:sub>
            <m:r>
              <w:rPr>
                <w:rFonts w:ascii="Cambria Math" w:hAnsi="Cambria Math"/>
              </w:rPr>
              <m:t>0</m:t>
            </m:r>
          </m:sub>
        </m:sSub>
      </m:oMath>
      <w:r w:rsidRPr="00BC31E0">
        <w:rPr>
          <w:rFonts w:hint="eastAsia"/>
        </w:rPr>
        <w:t>～</w:t>
      </w:r>
      <m:oMath>
        <m:sSub>
          <m:sSubPr>
            <m:ctrlPr>
              <w:rPr>
                <w:rFonts w:ascii="Cambria Math" w:hAnsi="Cambria Math"/>
                <w:bCs/>
              </w:rPr>
            </m:ctrlPr>
          </m:sSubPr>
          <m:e>
            <m:r>
              <w:rPr>
                <w:rFonts w:ascii="Cambria Math" w:hAnsi="Cambria Math"/>
              </w:rPr>
              <m:t>A</m:t>
            </m:r>
          </m:e>
          <m:sub>
            <m:r>
              <w:rPr>
                <w:rFonts w:ascii="Cambria Math" w:hAnsi="Cambria Math"/>
              </w:rPr>
              <m:t xml:space="preserve">3 </m:t>
            </m:r>
          </m:sub>
        </m:sSub>
      </m:oMath>
      <w:r w:rsidRPr="00BC31E0">
        <w:rPr>
          <w:rFonts w:hint="eastAsia"/>
        </w:rPr>
        <w:t>を決定し，それらの値を用いて計算する。</w:t>
      </w:r>
    </w:p>
    <w:p w14:paraId="038B0519" w14:textId="77777777" w:rsidR="00F52111" w:rsidRPr="00BC31E0" w:rsidRDefault="00F52111" w:rsidP="006F0761">
      <w:pPr>
        <w:tabs>
          <w:tab w:val="left" w:pos="709"/>
        </w:tabs>
        <w:ind w:left="1304" w:hanging="1304"/>
      </w:pPr>
      <w:r w:rsidRPr="00BC31E0">
        <w:rPr>
          <w:rFonts w:hint="eastAsia"/>
          <w:bCs/>
        </w:rPr>
        <w:tab/>
      </w:r>
      <m:oMath>
        <m:sSub>
          <m:sSubPr>
            <m:ctrlPr>
              <w:rPr>
                <w:rFonts w:ascii="Cambria Math" w:hAnsi="Cambria Math"/>
                <w:bCs/>
              </w:rPr>
            </m:ctrlPr>
          </m:sSubPr>
          <m:e>
            <m:r>
              <w:rPr>
                <w:rFonts w:ascii="Cambria Math" w:hAnsi="Cambria Math"/>
              </w:rPr>
              <m:t>A</m:t>
            </m:r>
          </m:e>
          <m:sub>
            <m:r>
              <w:rPr>
                <w:rFonts w:ascii="Cambria Math" w:hAnsi="Cambria Math"/>
              </w:rPr>
              <m:t>p</m:t>
            </m:r>
          </m:sub>
        </m:sSub>
        <m:r>
          <m:rPr>
            <m:sty m:val="p"/>
          </m:rPr>
          <w:rPr>
            <w:rFonts w:ascii="Cambria Math" w:hAnsi="Cambria Math"/>
          </w:rPr>
          <m:t xml:space="preserve"> </m:t>
        </m:r>
      </m:oMath>
      <w:r w:rsidRPr="00BC31E0">
        <w:rPr>
          <w:rFonts w:hint="eastAsia"/>
        </w:rPr>
        <w:t>：</w:t>
      </w:r>
      <w:r w:rsidRPr="00BC31E0">
        <w:rPr>
          <w:rFonts w:hint="eastAsia"/>
        </w:rPr>
        <w:t xml:space="preserve"> </w:t>
      </w:r>
      <w:r w:rsidRPr="00BC31E0">
        <w:rPr>
          <w:rFonts w:hint="eastAsia"/>
        </w:rPr>
        <w:t>亀裂面に圧力が作用する場合には容器の内圧</w:t>
      </w:r>
      <m:oMath>
        <m:r>
          <m:rPr>
            <m:sty m:val="p"/>
          </m:rPr>
          <w:rPr>
            <w:rFonts w:ascii="Cambria Math" w:hAnsi="Cambria Math"/>
          </w:rPr>
          <m:t xml:space="preserve"> </m:t>
        </m:r>
        <m:r>
          <w:rPr>
            <w:rFonts w:ascii="Cambria Math" w:hAnsi="Cambria Math"/>
          </w:rPr>
          <m:t xml:space="preserve">P </m:t>
        </m:r>
        <m:d>
          <m:dPr>
            <m:ctrlPr>
              <w:rPr>
                <w:rFonts w:ascii="Cambria Math" w:hAnsi="Cambria Math"/>
              </w:rPr>
            </m:ctrlPr>
          </m:dPr>
          <m:e>
            <m:r>
              <m:rPr>
                <m:sty m:val="p"/>
              </m:rPr>
              <w:rPr>
                <w:rFonts w:ascii="Cambria Math" w:hAnsi="Cambria Math" w:hint="eastAsia"/>
              </w:rPr>
              <m:t>MPa</m:t>
            </m:r>
          </m:e>
        </m:d>
        <m:r>
          <m:rPr>
            <m:sty m:val="p"/>
          </m:rPr>
          <w:rPr>
            <w:rFonts w:ascii="Cambria Math" w:hAnsi="Cambria Math"/>
          </w:rPr>
          <m:t xml:space="preserve"> </m:t>
        </m:r>
      </m:oMath>
      <w:r w:rsidRPr="00BC31E0">
        <w:rPr>
          <w:rFonts w:hint="eastAsia"/>
        </w:rPr>
        <w:t>に等しく，その他の場合には</w:t>
      </w:r>
      <m:oMath>
        <m:sSub>
          <m:sSubPr>
            <m:ctrlPr>
              <w:rPr>
                <w:rFonts w:ascii="Cambria Math" w:hAnsi="Cambria Math"/>
                <w:bCs/>
              </w:rPr>
            </m:ctrlPr>
          </m:sSubPr>
          <m:e>
            <m:r>
              <w:rPr>
                <w:rFonts w:ascii="Cambria Math" w:hAnsi="Cambria Math"/>
              </w:rPr>
              <m:t xml:space="preserve"> A</m:t>
            </m:r>
          </m:e>
          <m:sub>
            <m:r>
              <w:rPr>
                <w:rFonts w:ascii="Cambria Math" w:hAnsi="Cambria Math"/>
              </w:rPr>
              <m:t>p</m:t>
            </m:r>
          </m:sub>
        </m:sSub>
        <m:r>
          <m:rPr>
            <m:sty m:val="p"/>
          </m:rPr>
          <w:rPr>
            <w:rFonts w:ascii="Cambria Math" w:hAnsi="Cambria Math"/>
          </w:rPr>
          <m:t>=</m:t>
        </m:r>
        <m:r>
          <m:rPr>
            <m:sty m:val="p"/>
          </m:rPr>
          <w:rPr>
            <w:rFonts w:ascii="Cambria Math" w:hAnsi="Cambria Math" w:hint="eastAsia"/>
          </w:rPr>
          <m:t>0</m:t>
        </m:r>
        <m:r>
          <m:rPr>
            <m:sty m:val="p"/>
          </m:rPr>
          <w:rPr>
            <w:rFonts w:ascii="Cambria Math" w:hAnsi="Cambria Math"/>
          </w:rPr>
          <m:t xml:space="preserve"> </m:t>
        </m:r>
      </m:oMath>
      <w:r w:rsidRPr="00BC31E0">
        <w:rPr>
          <w:rFonts w:hint="eastAsia"/>
        </w:rPr>
        <w:t>である。</w:t>
      </w:r>
    </w:p>
    <w:p w14:paraId="074F3480" w14:textId="77777777" w:rsidR="00F52111" w:rsidRPr="00BC31E0" w:rsidRDefault="00F52111" w:rsidP="00E34B25">
      <w:pPr>
        <w:tabs>
          <w:tab w:val="left" w:pos="709"/>
        </w:tabs>
      </w:pPr>
      <w:r w:rsidRPr="00BC31E0">
        <w:rPr>
          <w:rFonts w:hint="eastAsia"/>
          <w:bCs/>
        </w:rPr>
        <w:lastRenderedPageBreak/>
        <w:tab/>
      </w:r>
      <m:oMath>
        <m:sSub>
          <m:sSubPr>
            <m:ctrlPr>
              <w:rPr>
                <w:rFonts w:ascii="Cambria Math" w:hAnsi="Cambria Math"/>
                <w:bCs/>
              </w:rPr>
            </m:ctrlPr>
          </m:sSubPr>
          <m:e>
            <m:r>
              <w:rPr>
                <w:rFonts w:ascii="Cambria Math" w:hAnsi="Cambria Math"/>
              </w:rPr>
              <m:t>G</m:t>
            </m:r>
          </m:e>
          <m:sub>
            <m:r>
              <w:rPr>
                <w:rFonts w:ascii="Cambria Math" w:hAnsi="Cambria Math"/>
              </w:rPr>
              <m:t>0</m:t>
            </m:r>
          </m:sub>
        </m:sSub>
      </m:oMath>
      <w:r w:rsidRPr="00BC31E0">
        <w:rPr>
          <w:rFonts w:hint="eastAsia"/>
        </w:rPr>
        <w:t>，</w:t>
      </w:r>
      <m:oMath>
        <m:sSub>
          <m:sSubPr>
            <m:ctrlPr>
              <w:rPr>
                <w:rFonts w:ascii="Cambria Math" w:hAnsi="Cambria Math"/>
                <w:bCs/>
              </w:rPr>
            </m:ctrlPr>
          </m:sSubPr>
          <m:e>
            <m:r>
              <w:rPr>
                <w:rFonts w:ascii="Cambria Math" w:hAnsi="Cambria Math"/>
              </w:rPr>
              <m:t>G</m:t>
            </m:r>
          </m:e>
          <m:sub>
            <m:r>
              <w:rPr>
                <w:rFonts w:ascii="Cambria Math" w:hAnsi="Cambria Math"/>
              </w:rPr>
              <m:t>1</m:t>
            </m:r>
          </m:sub>
        </m:sSub>
      </m:oMath>
      <w:r w:rsidRPr="00BC31E0">
        <w:rPr>
          <w:rFonts w:hint="eastAsia"/>
        </w:rPr>
        <w:t>，</w:t>
      </w:r>
      <m:oMath>
        <m:sSub>
          <m:sSubPr>
            <m:ctrlPr>
              <w:rPr>
                <w:rFonts w:ascii="Cambria Math" w:hAnsi="Cambria Math"/>
                <w:bCs/>
              </w:rPr>
            </m:ctrlPr>
          </m:sSubPr>
          <m:e>
            <m:r>
              <w:rPr>
                <w:rFonts w:ascii="Cambria Math" w:hAnsi="Cambria Math"/>
              </w:rPr>
              <m:t>G</m:t>
            </m:r>
          </m:e>
          <m:sub>
            <m:r>
              <w:rPr>
                <w:rFonts w:ascii="Cambria Math" w:hAnsi="Cambria Math"/>
              </w:rPr>
              <m:t xml:space="preserve">2 </m:t>
            </m:r>
          </m:sub>
        </m:sSub>
      </m:oMath>
      <w:r w:rsidRPr="00BC31E0">
        <w:rPr>
          <w:rFonts w:hint="eastAsia"/>
          <w:bCs/>
        </w:rPr>
        <w:t>，</w:t>
      </w:r>
      <m:oMath>
        <m:sSub>
          <m:sSubPr>
            <m:ctrlPr>
              <w:rPr>
                <w:rFonts w:ascii="Cambria Math" w:hAnsi="Cambria Math"/>
                <w:bCs/>
              </w:rPr>
            </m:ctrlPr>
          </m:sSubPr>
          <m:e>
            <m:r>
              <w:rPr>
                <w:rFonts w:ascii="Cambria Math" w:hAnsi="Cambria Math"/>
              </w:rPr>
              <m:t>G</m:t>
            </m:r>
          </m:e>
          <m:sub>
            <m:r>
              <w:rPr>
                <w:rFonts w:ascii="Cambria Math" w:hAnsi="Cambria Math"/>
              </w:rPr>
              <m:t>3</m:t>
            </m:r>
          </m:sub>
        </m:sSub>
        <m:r>
          <m:rPr>
            <m:sty m:val="p"/>
          </m:rPr>
          <w:rPr>
            <w:rFonts w:ascii="Cambria Math" w:hAnsi="Cambria Math"/>
          </w:rPr>
          <m:t xml:space="preserve"> </m:t>
        </m:r>
      </m:oMath>
      <w:r w:rsidRPr="00BC31E0">
        <w:rPr>
          <w:rFonts w:hint="eastAsia"/>
        </w:rPr>
        <w:t>：</w:t>
      </w:r>
      <w:r w:rsidRPr="00BC31E0">
        <w:rPr>
          <w:rFonts w:ascii="ＭＳ ゴシック" w:eastAsia="ＭＳ ゴシック" w:hAnsi="ＭＳ ゴシック" w:hint="eastAsia"/>
          <w:b/>
        </w:rPr>
        <w:t>表</w:t>
      </w:r>
      <w:r w:rsidRPr="00BC31E0">
        <w:rPr>
          <w:rFonts w:ascii="ＭＳ ゴシック" w:eastAsia="ＭＳ ゴシック" w:hAnsi="ＭＳ ゴシック"/>
          <w:b/>
          <w:bCs/>
        </w:rPr>
        <w:t>C.</w:t>
      </w:r>
      <w:r w:rsidRPr="00BC31E0">
        <w:rPr>
          <w:rFonts w:ascii="ＭＳ ゴシック" w:eastAsia="ＭＳ ゴシック" w:hAnsi="ＭＳ ゴシック"/>
          <w:b/>
        </w:rPr>
        <w:t>1</w:t>
      </w:r>
      <w:r w:rsidRPr="00BC31E0">
        <w:rPr>
          <w:rFonts w:asciiTheme="minorEastAsia" w:eastAsiaTheme="minorEastAsia" w:hAnsiTheme="minorEastAsia" w:hint="eastAsia"/>
        </w:rPr>
        <w:t>及び</w:t>
      </w:r>
      <w:r w:rsidRPr="00BC31E0">
        <w:rPr>
          <w:rFonts w:ascii="ＭＳ ゴシック" w:eastAsia="ＭＳ ゴシック" w:hAnsi="ＭＳ ゴシック" w:hint="eastAsia"/>
          <w:b/>
        </w:rPr>
        <w:t>表</w:t>
      </w:r>
      <w:r w:rsidRPr="00BC31E0">
        <w:rPr>
          <w:rFonts w:ascii="ＭＳ ゴシック" w:eastAsia="ＭＳ ゴシック" w:hAnsi="ＭＳ ゴシック"/>
          <w:b/>
          <w:bCs/>
        </w:rPr>
        <w:t>C.</w:t>
      </w:r>
      <w:r w:rsidRPr="00BC31E0">
        <w:rPr>
          <w:rFonts w:ascii="ＭＳ ゴシック" w:eastAsia="ＭＳ ゴシック" w:hAnsi="ＭＳ ゴシック"/>
          <w:b/>
        </w:rPr>
        <w:t>2</w:t>
      </w:r>
      <w:r w:rsidRPr="00BC31E0">
        <w:rPr>
          <w:rFonts w:hint="eastAsia"/>
        </w:rPr>
        <w:t>で与えられる自由表面補正係数</w:t>
      </w:r>
    </w:p>
    <w:p w14:paraId="049DD09F" w14:textId="77777777" w:rsidR="00F52111" w:rsidRPr="00BC31E0" w:rsidRDefault="00F52111" w:rsidP="00E34B25">
      <w:pPr>
        <w:tabs>
          <w:tab w:val="left" w:pos="709"/>
          <w:tab w:val="left" w:pos="993"/>
        </w:tabs>
      </w:pPr>
      <w:r w:rsidRPr="00BC31E0">
        <w:rPr>
          <w:rFonts w:hint="eastAsia"/>
        </w:rPr>
        <w:tab/>
      </w:r>
      <m:oMath>
        <m:r>
          <w:rPr>
            <w:rFonts w:ascii="Cambria Math" w:hAnsi="Cambria Math"/>
          </w:rPr>
          <m:t>a</m:t>
        </m:r>
      </m:oMath>
      <w:r w:rsidRPr="00BC31E0">
        <w:rPr>
          <w:rFonts w:hint="eastAsia"/>
        </w:rPr>
        <w:tab/>
      </w:r>
      <w:r w:rsidRPr="00BC31E0">
        <w:rPr>
          <w:rFonts w:hint="eastAsia"/>
        </w:rPr>
        <w:t>：</w:t>
      </w:r>
      <w:r w:rsidRPr="00BC31E0">
        <w:rPr>
          <w:rFonts w:hint="eastAsia"/>
        </w:rPr>
        <w:t xml:space="preserve"> </w:t>
      </w:r>
      <w:r w:rsidRPr="00BC31E0">
        <w:rPr>
          <w:rFonts w:hint="eastAsia"/>
        </w:rPr>
        <w:t>亀裂深さ</w:t>
      </w:r>
      <w:r w:rsidRPr="00BC31E0">
        <w:rPr>
          <w:rFonts w:hint="eastAsia"/>
        </w:rPr>
        <w:t>(</w:t>
      </w:r>
      <w:r w:rsidRPr="00BC31E0">
        <w:rPr>
          <w:rFonts w:ascii="Cambria Math" w:hAnsi="Cambria Math"/>
        </w:rPr>
        <w:t>m</w:t>
      </w:r>
      <w:r w:rsidRPr="00BC31E0">
        <w:rPr>
          <w:rFonts w:hint="eastAsia"/>
        </w:rPr>
        <w:t>)</w:t>
      </w:r>
    </w:p>
    <w:p w14:paraId="35590721" w14:textId="77777777" w:rsidR="00F52111" w:rsidRPr="00BC31E0" w:rsidRDefault="00F52111" w:rsidP="00E34B25">
      <w:pPr>
        <w:tabs>
          <w:tab w:val="left" w:pos="709"/>
          <w:tab w:val="left" w:pos="993"/>
        </w:tabs>
        <w:spacing w:after="120"/>
      </w:pPr>
      <w:r w:rsidRPr="00BC31E0">
        <w:rPr>
          <w:rFonts w:hint="eastAsia"/>
        </w:rPr>
        <w:tab/>
      </w:r>
      <m:oMath>
        <m:r>
          <w:rPr>
            <w:rFonts w:ascii="Cambria Math" w:hAnsi="Cambria Math"/>
          </w:rPr>
          <m:t>Q</m:t>
        </m:r>
      </m:oMath>
      <w:r w:rsidRPr="00BC31E0">
        <w:rPr>
          <w:rFonts w:hint="eastAsia"/>
        </w:rPr>
        <w:tab/>
      </w:r>
      <w:r w:rsidRPr="00BC31E0">
        <w:rPr>
          <w:rFonts w:hint="eastAsia"/>
        </w:rPr>
        <w:t>：</w:t>
      </w:r>
      <w:r w:rsidRPr="00BC31E0">
        <w:rPr>
          <w:rFonts w:hint="eastAsia"/>
        </w:rPr>
        <w:t xml:space="preserve"> </w:t>
      </w:r>
      <w:r w:rsidRPr="00BC31E0">
        <w:rPr>
          <w:rFonts w:hint="eastAsia"/>
        </w:rPr>
        <w:t>次式に示す塑性域補正を行った亀裂形状パラメータ</w:t>
      </w:r>
    </w:p>
    <w:p w14:paraId="33734CA3" w14:textId="77777777" w:rsidR="00F52111" w:rsidRPr="00BC31E0" w:rsidRDefault="00F52111" w:rsidP="00E34B25">
      <w:pPr>
        <w:tabs>
          <w:tab w:val="left" w:pos="2410"/>
          <w:tab w:val="left" w:leader="middleDot" w:pos="8647"/>
        </w:tabs>
      </w:pPr>
      <w:r w:rsidRPr="00BC31E0">
        <w:rPr>
          <w:rFonts w:hint="eastAsia"/>
        </w:rPr>
        <w:tab/>
      </w:r>
      <m:oMath>
        <m:r>
          <w:rPr>
            <w:rFonts w:ascii="Cambria Math" w:hAnsi="Cambria Math"/>
          </w:rPr>
          <m:t>Q=1+4.593</m:t>
        </m:r>
        <m:sSup>
          <m:sSupPr>
            <m:ctrlPr>
              <w:rPr>
                <w:rFonts w:ascii="Cambria Math" w:hAnsi="Cambria Math"/>
                <w:bCs/>
              </w:rPr>
            </m:ctrlPr>
          </m:sSupPr>
          <m:e>
            <m:r>
              <m:rPr>
                <m:sty m:val="p"/>
              </m:rPr>
              <w:rPr>
                <w:rFonts w:ascii="Cambria Math" w:hAnsi="Cambria Math"/>
              </w:rPr>
              <m:t xml:space="preserve"> </m:t>
            </m:r>
            <m:d>
              <m:dPr>
                <m:ctrlPr>
                  <w:rPr>
                    <w:rFonts w:ascii="Cambria Math" w:hAnsi="Cambria Math"/>
                    <w:bCs/>
                  </w:rPr>
                </m:ctrlPr>
              </m:dPr>
              <m:e>
                <m:f>
                  <m:fPr>
                    <m:type m:val="lin"/>
                    <m:ctrlPr>
                      <w:rPr>
                        <w:rFonts w:ascii="Cambria Math" w:hAnsi="Cambria Math"/>
                        <w:bCs/>
                      </w:rPr>
                    </m:ctrlPr>
                  </m:fPr>
                  <m:num>
                    <m:r>
                      <w:rPr>
                        <w:rFonts w:ascii="Cambria Math" w:hAnsi="Cambria Math"/>
                      </w:rPr>
                      <m:t>a</m:t>
                    </m:r>
                  </m:num>
                  <m:den>
                    <m:r>
                      <w:rPr>
                        <w:rFonts w:ascii="Cambria Math" w:hAnsi="Cambria Math"/>
                      </w:rPr>
                      <m:t>l</m:t>
                    </m:r>
                  </m:den>
                </m:f>
              </m:e>
            </m:d>
          </m:e>
          <m:sup>
            <m:r>
              <w:rPr>
                <w:rFonts w:ascii="Cambria Math" w:hAnsi="Cambria Math"/>
              </w:rPr>
              <m:t>1.65</m:t>
            </m:r>
          </m:sup>
        </m:sSup>
        <m:r>
          <w:rPr>
            <w:rFonts w:ascii="Cambria Math" w:hAnsi="Cambria Math"/>
          </w:rPr>
          <m:t>-</m:t>
        </m:r>
        <m:sSub>
          <m:sSubPr>
            <m:ctrlPr>
              <w:rPr>
                <w:rFonts w:ascii="Cambria Math" w:hAnsi="Cambria Math"/>
                <w:bCs/>
              </w:rPr>
            </m:ctrlPr>
          </m:sSubPr>
          <m:e>
            <m:r>
              <w:rPr>
                <w:rFonts w:ascii="Cambria Math" w:hAnsi="Cambria Math"/>
              </w:rPr>
              <m:t>q</m:t>
            </m:r>
          </m:e>
          <m:sub>
            <m:r>
              <w:rPr>
                <w:rFonts w:ascii="Cambria Math" w:hAnsi="Cambria Math"/>
              </w:rPr>
              <m:t>y</m:t>
            </m:r>
          </m:sub>
        </m:sSub>
      </m:oMath>
      <w:r w:rsidRPr="00BC31E0">
        <w:rPr>
          <w:rFonts w:hint="eastAsia"/>
        </w:rPr>
        <w:tab/>
        <w:t>(3)</w:t>
      </w:r>
    </w:p>
    <w:p w14:paraId="694FE646" w14:textId="77777777" w:rsidR="00F52111" w:rsidRPr="00BC31E0" w:rsidRDefault="00F52111" w:rsidP="00594233">
      <w:pPr>
        <w:ind w:leftChars="600" w:left="1260"/>
      </w:pPr>
      <w:r w:rsidRPr="00BC31E0">
        <w:rPr>
          <w:rFonts w:hint="eastAsia"/>
        </w:rPr>
        <w:t>ここで，</w:t>
      </w:r>
    </w:p>
    <w:p w14:paraId="3941FC33" w14:textId="77777777" w:rsidR="00F52111" w:rsidRPr="00BC31E0" w:rsidRDefault="00F52111" w:rsidP="002435BA">
      <w:pPr>
        <w:tabs>
          <w:tab w:val="left" w:pos="1701"/>
          <w:tab w:val="left" w:pos="2127"/>
        </w:tabs>
        <w:ind w:firstLineChars="100" w:firstLine="210"/>
      </w:pPr>
      <w:r w:rsidRPr="00BC31E0">
        <w:tab/>
      </w:r>
      <m:oMath>
        <m:r>
          <w:rPr>
            <w:rFonts w:ascii="Cambria Math" w:hAnsi="Cambria Math"/>
          </w:rPr>
          <m:t>l</m:t>
        </m:r>
      </m:oMath>
      <w:r w:rsidRPr="00BC31E0">
        <w:rPr>
          <w:rFonts w:hint="eastAsia"/>
          <w:position w:val="-6"/>
        </w:rPr>
        <w:tab/>
      </w:r>
      <w:r w:rsidRPr="00BC31E0">
        <w:rPr>
          <w:rFonts w:hint="eastAsia"/>
        </w:rPr>
        <w:t>：</w:t>
      </w:r>
      <w:r w:rsidRPr="00BC31E0">
        <w:rPr>
          <w:rFonts w:hint="eastAsia"/>
        </w:rPr>
        <w:t xml:space="preserve"> </w:t>
      </w:r>
      <w:r w:rsidRPr="00BC31E0">
        <w:rPr>
          <w:rFonts w:hint="eastAsia"/>
        </w:rPr>
        <w:t>亀裂の主軸長さ</w:t>
      </w:r>
      <w:r w:rsidRPr="00BC31E0">
        <w:rPr>
          <w:rFonts w:hint="eastAsia"/>
        </w:rPr>
        <w:t>(</w:t>
      </w:r>
      <w:r w:rsidRPr="00BC31E0">
        <w:rPr>
          <w:rFonts w:ascii="Cambria Math" w:hAnsi="Cambria Math"/>
        </w:rPr>
        <w:t>m</w:t>
      </w:r>
      <w:r w:rsidRPr="00BC31E0">
        <w:rPr>
          <w:rFonts w:hint="eastAsia"/>
        </w:rPr>
        <w:t>)</w:t>
      </w:r>
    </w:p>
    <w:p w14:paraId="3374F22A" w14:textId="77777777" w:rsidR="00F52111" w:rsidRPr="00BC31E0" w:rsidRDefault="00F52111" w:rsidP="00E34B25">
      <w:pPr>
        <w:tabs>
          <w:tab w:val="left" w:pos="1701"/>
          <w:tab w:val="left" w:pos="2127"/>
        </w:tabs>
        <w:rPr>
          <w:rFonts w:ascii="ＭＳ 明朝"/>
        </w:rPr>
      </w:pPr>
      <w:r w:rsidRPr="00BC31E0">
        <w:rPr>
          <w:rFonts w:ascii="ＭＳ 明朝"/>
        </w:rPr>
        <w:tab/>
      </w:r>
      <m:oMath>
        <m:f>
          <m:fPr>
            <m:type m:val="lin"/>
            <m:ctrlPr>
              <w:rPr>
                <w:rFonts w:ascii="Cambria Math" w:hAnsi="Cambria Math"/>
                <w:bCs/>
              </w:rPr>
            </m:ctrlPr>
          </m:fPr>
          <m:num>
            <m:r>
              <w:rPr>
                <w:rFonts w:ascii="Cambria Math" w:hAnsi="Cambria Math"/>
              </w:rPr>
              <m:t>a</m:t>
            </m:r>
          </m:num>
          <m:den>
            <m:r>
              <w:rPr>
                <w:rFonts w:ascii="Cambria Math" w:hAnsi="Cambria Math"/>
              </w:rPr>
              <m:t>l</m:t>
            </m:r>
          </m:den>
        </m:f>
      </m:oMath>
      <w:r w:rsidRPr="00BC31E0">
        <w:rPr>
          <w:rFonts w:ascii="ＭＳ 明朝" w:hAnsi="ＭＳ 明朝" w:hint="eastAsia"/>
          <w:position w:val="-10"/>
        </w:rPr>
        <w:tab/>
      </w:r>
      <w:r w:rsidRPr="00BC31E0">
        <w:rPr>
          <w:rFonts w:ascii="ＭＳ 明朝" w:hAnsi="ＭＳ 明朝" w:hint="eastAsia"/>
        </w:rPr>
        <w:t>： 亀裂のアスペクト比</w:t>
      </w:r>
      <w:r w:rsidRPr="00BC31E0">
        <w:t>(</w:t>
      </w:r>
      <m:oMath>
        <m:f>
          <m:fPr>
            <m:type m:val="lin"/>
            <m:ctrlPr>
              <w:rPr>
                <w:rFonts w:ascii="Cambria Math" w:hAnsi="Cambria Math"/>
                <w:bCs/>
              </w:rPr>
            </m:ctrlPr>
          </m:fPr>
          <m:num>
            <m:r>
              <w:rPr>
                <w:rFonts w:ascii="Cambria Math" w:hAnsi="Cambria Math"/>
              </w:rPr>
              <m:t>0</m:t>
            </m:r>
            <m:r>
              <m:rPr>
                <m:sty m:val="p"/>
              </m:rPr>
              <w:rPr>
                <w:rFonts w:ascii="Cambria Math" w:hAnsi="Cambria Math" w:hint="eastAsia"/>
              </w:rPr>
              <m:t>≦</m:t>
            </m:r>
            <m:r>
              <w:rPr>
                <w:rFonts w:ascii="Cambria Math" w:hAnsi="Cambria Math"/>
              </w:rPr>
              <m:t>a</m:t>
            </m:r>
          </m:num>
          <m:den>
            <m:r>
              <w:rPr>
                <w:rFonts w:ascii="Cambria Math" w:hAnsi="Cambria Math"/>
              </w:rPr>
              <m:t>l</m:t>
            </m:r>
            <m:r>
              <m:rPr>
                <m:sty m:val="p"/>
              </m:rPr>
              <w:rPr>
                <w:rFonts w:ascii="Cambria Math" w:hAnsi="Cambria Math" w:hint="eastAsia"/>
              </w:rPr>
              <m:t>≦</m:t>
            </m:r>
            <m:r>
              <w:rPr>
                <w:rFonts w:ascii="Cambria Math" w:hAnsi="Cambria Math"/>
              </w:rPr>
              <m:t>0.5</m:t>
            </m:r>
          </m:den>
        </m:f>
      </m:oMath>
      <w:r w:rsidRPr="00BC31E0">
        <w:t>)</w:t>
      </w:r>
    </w:p>
    <w:p w14:paraId="287B1398" w14:textId="77777777" w:rsidR="00F52111" w:rsidRPr="00BC31E0" w:rsidRDefault="00F52111" w:rsidP="00E34B25">
      <w:pPr>
        <w:tabs>
          <w:tab w:val="left" w:pos="1701"/>
          <w:tab w:val="left" w:pos="2127"/>
        </w:tabs>
        <w:spacing w:after="120"/>
        <w:rPr>
          <w:rFonts w:ascii="ＭＳ 明朝" w:hAnsi="ＭＳ 明朝"/>
        </w:rPr>
      </w:pPr>
      <w:r w:rsidRPr="00BC31E0">
        <w:rPr>
          <w:rFonts w:ascii="ＭＳ 明朝"/>
        </w:rPr>
        <w:tab/>
      </w:r>
      <m:oMath>
        <m:sSub>
          <m:sSubPr>
            <m:ctrlPr>
              <w:rPr>
                <w:rFonts w:ascii="Cambria Math" w:hAnsi="Cambria Math"/>
                <w:bCs/>
              </w:rPr>
            </m:ctrlPr>
          </m:sSubPr>
          <m:e>
            <m:r>
              <w:rPr>
                <w:rFonts w:ascii="Cambria Math" w:hAnsi="Cambria Math"/>
              </w:rPr>
              <m:t>q</m:t>
            </m:r>
          </m:e>
          <m:sub>
            <m:r>
              <w:rPr>
                <w:rFonts w:ascii="Cambria Math" w:hAnsi="Cambria Math"/>
              </w:rPr>
              <m:t>y</m:t>
            </m:r>
          </m:sub>
        </m:sSub>
      </m:oMath>
      <w:r w:rsidRPr="00BC31E0">
        <w:rPr>
          <w:rFonts w:ascii="ＭＳ 明朝" w:hAnsi="ＭＳ 明朝" w:hint="eastAsia"/>
          <w:position w:val="-14"/>
        </w:rPr>
        <w:tab/>
      </w:r>
      <w:r w:rsidRPr="00BC31E0">
        <w:rPr>
          <w:rFonts w:ascii="ＭＳ 明朝" w:hAnsi="ＭＳ 明朝" w:hint="eastAsia"/>
        </w:rPr>
        <w:t>： 次式に示す塑性域補正項で，疲労</w:t>
      </w:r>
      <w:r w:rsidRPr="00BC31E0">
        <w:rPr>
          <w:rFonts w:hint="eastAsia"/>
        </w:rPr>
        <w:t>亀裂進展計算では</w:t>
      </w:r>
      <m:oMath>
        <m:r>
          <m:rPr>
            <m:sty m:val="p"/>
          </m:rPr>
          <w:rPr>
            <w:rFonts w:ascii="Cambria Math" w:hAnsi="Cambria Math"/>
          </w:rPr>
          <m:t xml:space="preserve"> </m:t>
        </m:r>
        <m:sSub>
          <m:sSubPr>
            <m:ctrlPr>
              <w:rPr>
                <w:rFonts w:ascii="Cambria Math" w:hAnsi="Cambria Math"/>
                <w:bCs/>
              </w:rPr>
            </m:ctrlPr>
          </m:sSubPr>
          <m:e>
            <m:r>
              <w:rPr>
                <w:rFonts w:ascii="Cambria Math" w:hAnsi="Cambria Math"/>
              </w:rPr>
              <m:t>q</m:t>
            </m:r>
          </m:e>
          <m:sub>
            <m:r>
              <w:rPr>
                <w:rFonts w:ascii="Cambria Math" w:hAnsi="Cambria Math"/>
              </w:rPr>
              <m:t>y</m:t>
            </m:r>
          </m:sub>
        </m:sSub>
        <m:r>
          <m:rPr>
            <m:sty m:val="p"/>
          </m:rPr>
          <w:rPr>
            <w:rFonts w:ascii="Cambria Math" w:hAnsi="Cambria Math"/>
          </w:rPr>
          <m:t>=</m:t>
        </m:r>
        <m:r>
          <m:rPr>
            <m:sty m:val="p"/>
          </m:rPr>
          <w:rPr>
            <w:rFonts w:ascii="Cambria Math" w:hAnsi="Cambria Math" w:hint="eastAsia"/>
          </w:rPr>
          <m:t xml:space="preserve">0 </m:t>
        </m:r>
      </m:oMath>
      <w:r w:rsidRPr="00BC31E0">
        <w:rPr>
          <w:rFonts w:hint="eastAsia"/>
        </w:rPr>
        <w:t>とする。</w:t>
      </w:r>
    </w:p>
    <w:p w14:paraId="14AB7BFF" w14:textId="77777777" w:rsidR="00F52111" w:rsidRPr="00BC31E0" w:rsidRDefault="00F52111" w:rsidP="00E34B25">
      <w:pPr>
        <w:tabs>
          <w:tab w:val="left" w:pos="2410"/>
          <w:tab w:val="left" w:leader="middleDot" w:pos="8647"/>
        </w:tabs>
        <w:rPr>
          <w:rFonts w:ascii="ＭＳ 明朝"/>
        </w:rPr>
      </w:pPr>
      <w:r w:rsidRPr="00BC31E0">
        <w:rPr>
          <w:rFonts w:ascii="ＭＳ 明朝" w:hAnsi="ＭＳ 明朝" w:hint="eastAsia"/>
          <w:bCs/>
        </w:rPr>
        <w:tab/>
      </w:r>
      <m:oMath>
        <m:sSub>
          <m:sSubPr>
            <m:ctrlPr>
              <w:rPr>
                <w:rFonts w:ascii="Cambria Math" w:hAnsi="Cambria Math"/>
                <w:bCs/>
              </w:rPr>
            </m:ctrlPr>
          </m:sSubPr>
          <m:e>
            <m:r>
              <w:rPr>
                <w:rFonts w:ascii="Cambria Math" w:hAnsi="Cambria Math"/>
              </w:rPr>
              <m:t>q</m:t>
            </m:r>
          </m:e>
          <m:sub>
            <m:r>
              <w:rPr>
                <w:rFonts w:ascii="Cambria Math" w:hAnsi="Cambria Math"/>
              </w:rPr>
              <m:t>y</m:t>
            </m:r>
          </m:sub>
        </m:sSub>
        <m:r>
          <w:rPr>
            <w:rFonts w:ascii="Cambria Math" w:hAnsi="Cambria Math"/>
          </w:rPr>
          <m:t>=</m:t>
        </m:r>
        <m:f>
          <m:fPr>
            <m:type m:val="lin"/>
            <m:ctrlPr>
              <w:rPr>
                <w:rFonts w:ascii="Cambria Math" w:hAnsi="Cambria Math"/>
                <w:bCs/>
              </w:rPr>
            </m:ctrlPr>
          </m:fPr>
          <m:num>
            <m:sSup>
              <m:sSupPr>
                <m:ctrlPr>
                  <w:rPr>
                    <w:rFonts w:ascii="Cambria Math" w:hAnsi="Cambria Math"/>
                    <w:bCs/>
                  </w:rPr>
                </m:ctrlPr>
              </m:sSupPr>
              <m:e>
                <m:d>
                  <m:dPr>
                    <m:begChr m:val="["/>
                    <m:endChr m:val="]"/>
                    <m:ctrlPr>
                      <w:rPr>
                        <w:rFonts w:ascii="Cambria Math" w:hAnsi="Cambria Math"/>
                        <w:bCs/>
                      </w:rPr>
                    </m:ctrlPr>
                  </m:dPr>
                  <m:e>
                    <m:f>
                      <m:fPr>
                        <m:type m:val="lin"/>
                        <m:ctrlPr>
                          <w:rPr>
                            <w:rFonts w:ascii="Cambria Math" w:hAnsi="Cambria Math"/>
                            <w:bCs/>
                          </w:rPr>
                        </m:ctrlPr>
                      </m:fPr>
                      <m:num>
                        <m:r>
                          <w:rPr>
                            <w:rFonts w:ascii="Cambria Math" w:hAnsi="Cambria Math"/>
                          </w:rPr>
                          <m:t xml:space="preserve"> </m:t>
                        </m:r>
                        <m:d>
                          <m:dPr>
                            <m:begChr m:val="{"/>
                            <m:endChr m:val="}"/>
                            <m:ctrlPr>
                              <w:rPr>
                                <w:rFonts w:ascii="Cambria Math" w:hAnsi="Cambria Math"/>
                                <w:bCs/>
                              </w:rPr>
                            </m:ctrlPr>
                          </m:dPr>
                          <m:e>
                            <m:d>
                              <m:dPr>
                                <m:ctrlPr>
                                  <w:rPr>
                                    <w:rFonts w:ascii="Cambria Math" w:hAnsi="Cambria Math"/>
                                    <w:bCs/>
                                  </w:rPr>
                                </m:ctrlPr>
                              </m:dPr>
                              <m:e>
                                <m:sSub>
                                  <m:sSubPr>
                                    <m:ctrlPr>
                                      <w:rPr>
                                        <w:rFonts w:ascii="Cambria Math" w:hAnsi="Cambria Math"/>
                                        <w:bCs/>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bCs/>
                                      </w:rPr>
                                    </m:ctrlPr>
                                  </m:sSubPr>
                                  <m:e>
                                    <m:r>
                                      <w:rPr>
                                        <w:rFonts w:ascii="Cambria Math" w:hAnsi="Cambria Math"/>
                                      </w:rPr>
                                      <m:t>A</m:t>
                                    </m:r>
                                  </m:e>
                                  <m:sub>
                                    <m:r>
                                      <w:rPr>
                                        <w:rFonts w:ascii="Cambria Math" w:hAnsi="Cambria Math"/>
                                      </w:rPr>
                                      <m:t>p</m:t>
                                    </m:r>
                                  </m:sub>
                                </m:sSub>
                              </m:e>
                            </m:d>
                            <m:sSub>
                              <m:sSubPr>
                                <m:ctrlPr>
                                  <w:rPr>
                                    <w:rFonts w:ascii="Cambria Math" w:hAnsi="Cambria Math"/>
                                    <w:bCs/>
                                  </w:rPr>
                                </m:ctrlPr>
                              </m:sSubPr>
                              <m:e>
                                <m:r>
                                  <w:rPr>
                                    <w:rFonts w:ascii="Cambria Math" w:hAnsi="Cambria Math"/>
                                  </w:rPr>
                                  <m:t xml:space="preserve"> G</m:t>
                                </m:r>
                              </m:e>
                              <m:sub>
                                <m:r>
                                  <w:rPr>
                                    <w:rFonts w:ascii="Cambria Math" w:hAnsi="Cambria Math"/>
                                  </w:rPr>
                                  <m:t>0</m:t>
                                </m:r>
                              </m:sub>
                            </m:sSub>
                            <m:sSub>
                              <m:sSubPr>
                                <m:ctrlPr>
                                  <w:rPr>
                                    <w:rFonts w:ascii="Cambria Math" w:hAnsi="Cambria Math"/>
                                    <w:bCs/>
                                  </w:rPr>
                                </m:ctrlPr>
                              </m:sSubPr>
                              <m:e>
                                <m:r>
                                  <w:rPr>
                                    <w:rFonts w:ascii="Cambria Math" w:hAnsi="Cambria Math"/>
                                  </w:rPr>
                                  <m:t>+A</m:t>
                                </m:r>
                              </m:e>
                              <m:sub>
                                <m:r>
                                  <w:rPr>
                                    <w:rFonts w:ascii="Cambria Math" w:hAnsi="Cambria Math"/>
                                  </w:rPr>
                                  <m:t>1</m:t>
                                </m:r>
                              </m:sub>
                            </m:sSub>
                            <m:sSub>
                              <m:sSubPr>
                                <m:ctrlPr>
                                  <w:rPr>
                                    <w:rFonts w:ascii="Cambria Math" w:hAnsi="Cambria Math"/>
                                    <w:bCs/>
                                  </w:rPr>
                                </m:ctrlPr>
                              </m:sSubPr>
                              <m:e>
                                <m:r>
                                  <w:rPr>
                                    <w:rFonts w:ascii="Cambria Math" w:hAnsi="Cambria Math"/>
                                  </w:rPr>
                                  <m:t>G</m:t>
                                </m:r>
                              </m:e>
                              <m:sub>
                                <m:r>
                                  <w:rPr>
                                    <w:rFonts w:ascii="Cambria Math" w:hAnsi="Cambria Math"/>
                                  </w:rPr>
                                  <m:t>1</m:t>
                                </m:r>
                              </m:sub>
                            </m:sSub>
                            <m:r>
                              <w:rPr>
                                <w:rFonts w:ascii="Cambria Math" w:hAnsi="Cambria Math"/>
                              </w:rPr>
                              <m:t>+</m:t>
                            </m:r>
                            <m:sSub>
                              <m:sSubPr>
                                <m:ctrlPr>
                                  <w:rPr>
                                    <w:rFonts w:ascii="Cambria Math" w:hAnsi="Cambria Math"/>
                                    <w:bCs/>
                                  </w:rPr>
                                </m:ctrlPr>
                              </m:sSubPr>
                              <m:e>
                                <m:r>
                                  <w:rPr>
                                    <w:rFonts w:ascii="Cambria Math" w:hAnsi="Cambria Math"/>
                                  </w:rPr>
                                  <m:t>A</m:t>
                                </m:r>
                              </m:e>
                              <m:sub>
                                <m:r>
                                  <w:rPr>
                                    <w:rFonts w:ascii="Cambria Math" w:hAnsi="Cambria Math"/>
                                  </w:rPr>
                                  <m:t>2</m:t>
                                </m:r>
                              </m:sub>
                            </m:sSub>
                            <m:sSub>
                              <m:sSubPr>
                                <m:ctrlPr>
                                  <w:rPr>
                                    <w:rFonts w:ascii="Cambria Math" w:hAnsi="Cambria Math"/>
                                    <w:bCs/>
                                  </w:rPr>
                                </m:ctrlPr>
                              </m:sSubPr>
                              <m:e>
                                <m:r>
                                  <w:rPr>
                                    <w:rFonts w:ascii="Cambria Math" w:hAnsi="Cambria Math"/>
                                  </w:rPr>
                                  <m:t>G</m:t>
                                </m:r>
                              </m:e>
                              <m:sub>
                                <m:r>
                                  <w:rPr>
                                    <w:rFonts w:ascii="Cambria Math" w:hAnsi="Cambria Math"/>
                                  </w:rPr>
                                  <m:t>2</m:t>
                                </m:r>
                              </m:sub>
                            </m:sSub>
                            <m:r>
                              <w:rPr>
                                <w:rFonts w:ascii="Cambria Math" w:hAnsi="Cambria Math"/>
                              </w:rPr>
                              <m:t>+</m:t>
                            </m:r>
                            <m:sSub>
                              <m:sSubPr>
                                <m:ctrlPr>
                                  <w:rPr>
                                    <w:rFonts w:ascii="Cambria Math" w:hAnsi="Cambria Math"/>
                                    <w:bCs/>
                                  </w:rPr>
                                </m:ctrlPr>
                              </m:sSubPr>
                              <m:e>
                                <m:r>
                                  <w:rPr>
                                    <w:rFonts w:ascii="Cambria Math" w:hAnsi="Cambria Math"/>
                                  </w:rPr>
                                  <m:t>A</m:t>
                                </m:r>
                              </m:e>
                              <m:sub>
                                <m:r>
                                  <w:rPr>
                                    <w:rFonts w:ascii="Cambria Math" w:hAnsi="Cambria Math"/>
                                  </w:rPr>
                                  <m:t>3</m:t>
                                </m:r>
                              </m:sub>
                            </m:sSub>
                            <m:sSub>
                              <m:sSubPr>
                                <m:ctrlPr>
                                  <w:rPr>
                                    <w:rFonts w:ascii="Cambria Math" w:hAnsi="Cambria Math"/>
                                    <w:bCs/>
                                  </w:rPr>
                                </m:ctrlPr>
                              </m:sSubPr>
                              <m:e>
                                <m:r>
                                  <w:rPr>
                                    <w:rFonts w:ascii="Cambria Math" w:hAnsi="Cambria Math"/>
                                  </w:rPr>
                                  <m:t>G</m:t>
                                </m:r>
                              </m:e>
                              <m:sub>
                                <m:r>
                                  <w:rPr>
                                    <w:rFonts w:ascii="Cambria Math" w:hAnsi="Cambria Math"/>
                                  </w:rPr>
                                  <m:t>3</m:t>
                                </m:r>
                              </m:sub>
                            </m:sSub>
                          </m:e>
                        </m:d>
                        <m:r>
                          <w:rPr>
                            <w:rFonts w:ascii="Cambria Math" w:hAnsi="Cambria Math"/>
                          </w:rPr>
                          <m:t xml:space="preserve"> </m:t>
                        </m:r>
                      </m:num>
                      <m:den>
                        <m:sSub>
                          <m:sSubPr>
                            <m:ctrlPr>
                              <w:rPr>
                                <w:rFonts w:ascii="Cambria Math" w:hAnsi="Cambria Math"/>
                                <w:bCs/>
                              </w:rPr>
                            </m:ctrlPr>
                          </m:sSubPr>
                          <m:e>
                            <m:r>
                              <w:rPr>
                                <w:rFonts w:ascii="Cambria Math" w:hAnsi="Cambria Math"/>
                              </w:rPr>
                              <m:t>S</m:t>
                            </m:r>
                          </m:e>
                          <m:sub>
                            <m:r>
                              <w:rPr>
                                <w:rFonts w:ascii="Cambria Math" w:hAnsi="Cambria Math"/>
                              </w:rPr>
                              <m:t>y</m:t>
                            </m:r>
                          </m:sub>
                        </m:sSub>
                        <m:r>
                          <w:rPr>
                            <w:rFonts w:ascii="Cambria Math" w:hAnsi="Cambria Math"/>
                          </w:rPr>
                          <m:t xml:space="preserve"> </m:t>
                        </m:r>
                      </m:den>
                    </m:f>
                  </m:e>
                </m:d>
              </m:e>
              <m:sup>
                <m:r>
                  <w:rPr>
                    <w:rFonts w:ascii="Cambria Math" w:hAnsi="Cambria Math"/>
                  </w:rPr>
                  <m:t>2</m:t>
                </m:r>
              </m:sup>
            </m:sSup>
          </m:num>
          <m:den>
            <m:r>
              <w:rPr>
                <w:rFonts w:ascii="Cambria Math" w:hAnsi="Cambria Math"/>
              </w:rPr>
              <m:t>6</m:t>
            </m:r>
          </m:den>
        </m:f>
      </m:oMath>
      <w:r w:rsidRPr="00BC31E0">
        <w:rPr>
          <w:rFonts w:asciiTheme="minorHAnsi" w:hAnsiTheme="minorHAnsi"/>
        </w:rPr>
        <w:t xml:space="preserve"> </w:t>
      </w:r>
      <w:r w:rsidRPr="00BC31E0">
        <w:rPr>
          <w:rFonts w:asciiTheme="minorHAnsi" w:hAnsiTheme="minorHAnsi"/>
        </w:rPr>
        <w:tab/>
      </w:r>
      <w:r w:rsidRPr="00BC31E0">
        <w:rPr>
          <w:rFonts w:asciiTheme="minorHAnsi" w:hAnsiTheme="minorHAnsi" w:hint="eastAsia"/>
        </w:rPr>
        <w:t>(4)</w:t>
      </w:r>
    </w:p>
    <w:p w14:paraId="11C0ADF2" w14:textId="77777777" w:rsidR="00F52111" w:rsidRPr="00BC31E0" w:rsidRDefault="00F52111" w:rsidP="00736130">
      <w:pPr>
        <w:pStyle w:val="a4"/>
        <w:numPr>
          <w:ilvl w:val="0"/>
          <w:numId w:val="623"/>
        </w:numPr>
        <w:spacing w:before="120"/>
        <w:ind w:leftChars="0" w:left="454" w:hanging="454"/>
      </w:pPr>
      <w:r w:rsidRPr="00BC31E0">
        <w:rPr>
          <w:rFonts w:asciiTheme="majorEastAsia" w:eastAsiaTheme="majorEastAsia" w:hAnsiTheme="majorEastAsia" w:hint="eastAsia"/>
          <w:b/>
        </w:rPr>
        <w:t>別法</w:t>
      </w:r>
      <w:r w:rsidRPr="00BC31E0">
        <w:rPr>
          <w:rFonts w:asciiTheme="minorEastAsia" w:eastAsiaTheme="minorEastAsia" w:hAnsiTheme="minorEastAsia" w:hint="eastAsia"/>
        </w:rPr>
        <w:t xml:space="preserve">　</w:t>
      </w:r>
      <w:r w:rsidRPr="00BC31E0">
        <w:rPr>
          <w:rFonts w:ascii="ＭＳ 明朝" w:hint="eastAsia"/>
        </w:rPr>
        <w:t>次の</w:t>
      </w:r>
      <w:r w:rsidRPr="00BC31E0">
        <w:rPr>
          <w:rFonts w:asciiTheme="majorEastAsia" w:eastAsiaTheme="majorEastAsia" w:hAnsiTheme="majorEastAsia" w:hint="eastAsia"/>
          <w:b/>
        </w:rPr>
        <w:t>1)</w:t>
      </w:r>
      <w:r w:rsidRPr="00BC31E0">
        <w:rPr>
          <w:rFonts w:ascii="ＭＳ 明朝" w:hAnsi="ＭＳ ゴシック" w:hint="eastAsia"/>
        </w:rPr>
        <w:t>及び</w:t>
      </w:r>
      <w:r w:rsidRPr="00BC31E0">
        <w:rPr>
          <w:rFonts w:asciiTheme="majorEastAsia" w:eastAsiaTheme="majorEastAsia" w:hAnsiTheme="majorEastAsia" w:hint="eastAsia"/>
          <w:b/>
        </w:rPr>
        <w:t>2)</w:t>
      </w:r>
      <w:r w:rsidRPr="00BC31E0">
        <w:rPr>
          <w:rFonts w:ascii="ＭＳ 明朝" w:hint="eastAsia"/>
        </w:rPr>
        <w:t>の方法で，応力拡大係数を決定する。</w:t>
      </w:r>
    </w:p>
    <w:p w14:paraId="27DDDB42" w14:textId="77777777" w:rsidR="006F6CC9" w:rsidRPr="00BC31E0" w:rsidRDefault="00F52111" w:rsidP="00736130">
      <w:pPr>
        <w:pStyle w:val="a4"/>
        <w:numPr>
          <w:ilvl w:val="0"/>
          <w:numId w:val="361"/>
        </w:numPr>
        <w:ind w:leftChars="0" w:left="738" w:hanging="454"/>
      </w:pPr>
      <w:r w:rsidRPr="00BC31E0">
        <w:rPr>
          <w:rFonts w:hint="eastAsia"/>
        </w:rPr>
        <w:t>亀裂表面に垂直な応力分布が容器厚さの全領域にわたって正確に</w:t>
      </w:r>
      <w:r w:rsidRPr="00BC31E0">
        <w:t>3</w:t>
      </w:r>
      <w:r w:rsidRPr="00BC31E0">
        <w:rPr>
          <w:rFonts w:hint="eastAsia"/>
        </w:rPr>
        <w:t>次多項式近似できる場合には，</w:t>
      </w:r>
      <m:oMath>
        <m:sSub>
          <m:sSubPr>
            <m:ctrlPr>
              <w:rPr>
                <w:rFonts w:ascii="Cambria Math" w:hAnsi="Cambria Math"/>
              </w:rPr>
            </m:ctrlPr>
          </m:sSubPr>
          <m:e>
            <m:r>
              <w:rPr>
                <w:rFonts w:ascii="Cambria Math" w:hAnsi="Cambria Math"/>
              </w:rPr>
              <m:t>K</m:t>
            </m:r>
          </m:e>
          <m:sub>
            <m:r>
              <m:rPr>
                <m:sty m:val="p"/>
              </m:rPr>
              <w:rPr>
                <w:rFonts w:ascii="Cambria Math" w:hAnsi="Cambria Math"/>
              </w:rPr>
              <m:t>I</m:t>
            </m:r>
          </m:sub>
        </m:sSub>
        <m:r>
          <m:rPr>
            <m:sty m:val="p"/>
          </m:rPr>
          <w:rPr>
            <w:rFonts w:ascii="Cambria Math" w:hAnsi="Cambria Math"/>
          </w:rPr>
          <m:t xml:space="preserve"> </m:t>
        </m:r>
      </m:oMath>
      <w:r w:rsidRPr="00BC31E0">
        <w:rPr>
          <w:rFonts w:hint="eastAsia"/>
        </w:rPr>
        <w:t>を決定するのに次の方法を用い</w:t>
      </w:r>
      <w:r w:rsidR="007E3F73" w:rsidRPr="00BC31E0">
        <w:rPr>
          <w:rFonts w:hint="eastAsia"/>
        </w:rPr>
        <w:t>てもよい</w:t>
      </w:r>
      <w:r w:rsidRPr="00BC31E0">
        <w:rPr>
          <w:rFonts w:hint="eastAsia"/>
        </w:rPr>
        <w:t>。</w:t>
      </w:r>
    </w:p>
    <w:p w14:paraId="05312B40" w14:textId="77777777" w:rsidR="00F52111" w:rsidRPr="00BC31E0" w:rsidRDefault="00F52111" w:rsidP="002435BA">
      <w:pPr>
        <w:spacing w:after="120"/>
        <w:ind w:left="737" w:firstLineChars="100" w:firstLine="210"/>
      </w:pPr>
      <w:r w:rsidRPr="00BC31E0">
        <w:rPr>
          <w:rFonts w:hint="eastAsia"/>
        </w:rPr>
        <w:t>応力分布</w:t>
      </w:r>
      <w:r w:rsidR="00050B33" w:rsidRPr="00BC31E0">
        <w:rPr>
          <w:rFonts w:hint="eastAsia"/>
        </w:rPr>
        <w:t>を</w:t>
      </w:r>
      <w:r w:rsidRPr="00BC31E0">
        <w:rPr>
          <w:rFonts w:hint="eastAsia"/>
        </w:rPr>
        <w:t>次式の</w:t>
      </w:r>
      <w:r w:rsidRPr="00BC31E0">
        <w:t>3</w:t>
      </w:r>
      <w:r w:rsidRPr="00BC31E0">
        <w:rPr>
          <w:rFonts w:hint="eastAsia"/>
        </w:rPr>
        <w:t>次多項式で近似する。</w:t>
      </w:r>
    </w:p>
    <w:p w14:paraId="4A54F989" w14:textId="77777777" w:rsidR="00F52111" w:rsidRPr="00BC31E0" w:rsidRDefault="00F52111" w:rsidP="00E34B25">
      <w:pPr>
        <w:tabs>
          <w:tab w:val="left" w:pos="2410"/>
          <w:tab w:val="left" w:leader="middleDot" w:pos="8647"/>
        </w:tabs>
      </w:pPr>
      <w:r w:rsidRPr="00BC31E0">
        <w:rPr>
          <w:rFonts w:hint="eastAsia"/>
        </w:rPr>
        <w:tab/>
      </w:r>
      <m:oMath>
        <m:r>
          <w:rPr>
            <w:rFonts w:ascii="Cambria Math" w:hAnsi="Cambria Math"/>
          </w:rPr>
          <m:t>σ=</m:t>
        </m:r>
        <m:sSup>
          <m:sSupPr>
            <m:ctrlPr>
              <w:rPr>
                <w:rFonts w:ascii="Cambria Math" w:hAnsi="Cambria Math"/>
                <w:bCs/>
              </w:rPr>
            </m:ctrlPr>
          </m:sSupPr>
          <m:e>
            <m:sSub>
              <m:sSubPr>
                <m:ctrlPr>
                  <w:rPr>
                    <w:rFonts w:ascii="Cambria Math" w:hAnsi="Cambria Math"/>
                    <w:bCs/>
                  </w:rPr>
                </m:ctrlPr>
              </m:sSubPr>
              <m:e>
                <m:r>
                  <w:rPr>
                    <w:rFonts w:ascii="Cambria Math" w:hAnsi="Cambria Math"/>
                  </w:rPr>
                  <m:t>A</m:t>
                </m:r>
              </m:e>
              <m:sub>
                <m:r>
                  <w:rPr>
                    <w:rFonts w:ascii="Cambria Math" w:hAnsi="Cambria Math"/>
                  </w:rPr>
                  <m:t>0</m:t>
                </m:r>
              </m:sub>
            </m:sSub>
          </m:e>
          <m:sup>
            <m:r>
              <m:rPr>
                <m:sty m:val="p"/>
              </m:rPr>
              <w:rPr>
                <w:rFonts w:ascii="Cambria Math" w:hAnsi="Cambria Math"/>
              </w:rPr>
              <m:t>'</m:t>
            </m:r>
          </m:sup>
        </m:sSup>
        <m:r>
          <w:rPr>
            <w:rFonts w:ascii="Cambria Math" w:hAnsi="Cambria Math"/>
          </w:rPr>
          <m:t>+</m:t>
        </m:r>
        <m:sSup>
          <m:sSupPr>
            <m:ctrlPr>
              <w:rPr>
                <w:rFonts w:ascii="Cambria Math" w:hAnsi="Cambria Math"/>
                <w:bCs/>
              </w:rPr>
            </m:ctrlPr>
          </m:sSupPr>
          <m:e>
            <m:sSub>
              <m:sSubPr>
                <m:ctrlPr>
                  <w:rPr>
                    <w:rFonts w:ascii="Cambria Math" w:hAnsi="Cambria Math"/>
                    <w:bCs/>
                  </w:rPr>
                </m:ctrlPr>
              </m:sSubPr>
              <m:e>
                <m:r>
                  <w:rPr>
                    <w:rFonts w:ascii="Cambria Math" w:hAnsi="Cambria Math"/>
                  </w:rPr>
                  <m:t>A</m:t>
                </m:r>
              </m:e>
              <m:sub>
                <m:r>
                  <w:rPr>
                    <w:rFonts w:ascii="Cambria Math" w:hAnsi="Cambria Math"/>
                  </w:rPr>
                  <m:t>1</m:t>
                </m:r>
              </m:sub>
            </m:sSub>
          </m:e>
          <m:sup>
            <m:r>
              <m:rPr>
                <m:sty m:val="p"/>
              </m:rPr>
              <w:rPr>
                <w:rFonts w:ascii="Cambria Math" w:hAnsi="Cambria Math"/>
              </w:rPr>
              <m:t>'</m:t>
            </m:r>
          </m:sup>
        </m:sSup>
        <m:d>
          <m:dPr>
            <m:ctrlPr>
              <w:rPr>
                <w:rFonts w:ascii="Cambria Math" w:hAnsi="Cambria Math"/>
                <w:bCs/>
              </w:rPr>
            </m:ctrlPr>
          </m:dPr>
          <m:e>
            <m:f>
              <m:fPr>
                <m:type m:val="lin"/>
                <m:ctrlPr>
                  <w:rPr>
                    <w:rFonts w:ascii="Cambria Math" w:hAnsi="Cambria Math"/>
                    <w:bCs/>
                  </w:rPr>
                </m:ctrlPr>
              </m:fPr>
              <m:num>
                <m:r>
                  <w:rPr>
                    <w:rFonts w:ascii="Cambria Math" w:hAnsi="Cambria Math"/>
                  </w:rPr>
                  <m:t>x</m:t>
                </m:r>
              </m:num>
              <m:den>
                <m:r>
                  <w:rPr>
                    <w:rFonts w:ascii="Cambria Math" w:hAnsi="Cambria Math"/>
                  </w:rPr>
                  <m:t>t</m:t>
                </m:r>
              </m:den>
            </m:f>
          </m:e>
        </m:d>
        <m:r>
          <w:rPr>
            <w:rFonts w:ascii="Cambria Math" w:hAnsi="Cambria Math"/>
          </w:rPr>
          <m:t>+</m:t>
        </m:r>
        <m:sSup>
          <m:sSupPr>
            <m:ctrlPr>
              <w:rPr>
                <w:rFonts w:ascii="Cambria Math" w:hAnsi="Cambria Math"/>
                <w:bCs/>
              </w:rPr>
            </m:ctrlPr>
          </m:sSupPr>
          <m:e>
            <m:sSub>
              <m:sSubPr>
                <m:ctrlPr>
                  <w:rPr>
                    <w:rFonts w:ascii="Cambria Math" w:hAnsi="Cambria Math"/>
                    <w:bCs/>
                  </w:rPr>
                </m:ctrlPr>
              </m:sSubPr>
              <m:e>
                <m:r>
                  <w:rPr>
                    <w:rFonts w:ascii="Cambria Math" w:hAnsi="Cambria Math"/>
                  </w:rPr>
                  <m:t>A</m:t>
                </m:r>
              </m:e>
              <m:sub>
                <m:r>
                  <w:rPr>
                    <w:rFonts w:ascii="Cambria Math" w:hAnsi="Cambria Math"/>
                  </w:rPr>
                  <m:t>2</m:t>
                </m:r>
              </m:sub>
            </m:sSub>
          </m:e>
          <m:sup>
            <m:r>
              <m:rPr>
                <m:sty m:val="p"/>
              </m:rPr>
              <w:rPr>
                <w:rFonts w:ascii="Cambria Math" w:hAnsi="Cambria Math"/>
              </w:rPr>
              <m:t>'</m:t>
            </m:r>
          </m:sup>
        </m:sSup>
        <m:sSup>
          <m:sSupPr>
            <m:ctrlPr>
              <w:rPr>
                <w:rFonts w:ascii="Cambria Math" w:hAnsi="Cambria Math"/>
                <w:bCs/>
              </w:rPr>
            </m:ctrlPr>
          </m:sSupPr>
          <m:e>
            <m:d>
              <m:dPr>
                <m:ctrlPr>
                  <w:rPr>
                    <w:rFonts w:ascii="Cambria Math" w:hAnsi="Cambria Math"/>
                    <w:bCs/>
                  </w:rPr>
                </m:ctrlPr>
              </m:dPr>
              <m:e>
                <m:f>
                  <m:fPr>
                    <m:type m:val="lin"/>
                    <m:ctrlPr>
                      <w:rPr>
                        <w:rFonts w:ascii="Cambria Math" w:hAnsi="Cambria Math"/>
                        <w:bCs/>
                      </w:rPr>
                    </m:ctrlPr>
                  </m:fPr>
                  <m:num>
                    <m:r>
                      <w:rPr>
                        <w:rFonts w:ascii="Cambria Math" w:hAnsi="Cambria Math"/>
                      </w:rPr>
                      <m:t>x</m:t>
                    </m:r>
                  </m:num>
                  <m:den>
                    <m:r>
                      <w:rPr>
                        <w:rFonts w:ascii="Cambria Math" w:hAnsi="Cambria Math"/>
                      </w:rPr>
                      <m:t>t</m:t>
                    </m:r>
                  </m:den>
                </m:f>
              </m:e>
            </m:d>
          </m:e>
          <m:sup>
            <m:r>
              <w:rPr>
                <w:rFonts w:ascii="Cambria Math" w:hAnsi="Cambria Math"/>
              </w:rPr>
              <m:t>2</m:t>
            </m:r>
          </m:sup>
        </m:sSup>
        <m:r>
          <w:rPr>
            <w:rFonts w:ascii="Cambria Math" w:hAnsi="Cambria Math"/>
          </w:rPr>
          <m:t>+</m:t>
        </m:r>
        <m:sSup>
          <m:sSupPr>
            <m:ctrlPr>
              <w:rPr>
                <w:rFonts w:ascii="Cambria Math" w:hAnsi="Cambria Math"/>
                <w:bCs/>
              </w:rPr>
            </m:ctrlPr>
          </m:sSupPr>
          <m:e>
            <m:sSub>
              <m:sSubPr>
                <m:ctrlPr>
                  <w:rPr>
                    <w:rFonts w:ascii="Cambria Math" w:hAnsi="Cambria Math"/>
                    <w:bCs/>
                  </w:rPr>
                </m:ctrlPr>
              </m:sSubPr>
              <m:e>
                <m:r>
                  <w:rPr>
                    <w:rFonts w:ascii="Cambria Math" w:hAnsi="Cambria Math"/>
                  </w:rPr>
                  <m:t>A</m:t>
                </m:r>
              </m:e>
              <m:sub>
                <m:r>
                  <w:rPr>
                    <w:rFonts w:ascii="Cambria Math" w:hAnsi="Cambria Math"/>
                  </w:rPr>
                  <m:t>3</m:t>
                </m:r>
              </m:sub>
            </m:sSub>
          </m:e>
          <m:sup>
            <m:r>
              <m:rPr>
                <m:sty m:val="p"/>
              </m:rPr>
              <w:rPr>
                <w:rFonts w:ascii="Cambria Math" w:hAnsi="Cambria Math"/>
              </w:rPr>
              <m:t>'</m:t>
            </m:r>
          </m:sup>
        </m:sSup>
        <m:sSup>
          <m:sSupPr>
            <m:ctrlPr>
              <w:rPr>
                <w:rFonts w:ascii="Cambria Math" w:hAnsi="Cambria Math"/>
                <w:bCs/>
              </w:rPr>
            </m:ctrlPr>
          </m:sSupPr>
          <m:e>
            <m:d>
              <m:dPr>
                <m:ctrlPr>
                  <w:rPr>
                    <w:rFonts w:ascii="Cambria Math" w:hAnsi="Cambria Math"/>
                    <w:bCs/>
                  </w:rPr>
                </m:ctrlPr>
              </m:dPr>
              <m:e>
                <m:f>
                  <m:fPr>
                    <m:type m:val="lin"/>
                    <m:ctrlPr>
                      <w:rPr>
                        <w:rFonts w:ascii="Cambria Math" w:hAnsi="Cambria Math"/>
                        <w:bCs/>
                      </w:rPr>
                    </m:ctrlPr>
                  </m:fPr>
                  <m:num>
                    <m:r>
                      <w:rPr>
                        <w:rFonts w:ascii="Cambria Math" w:hAnsi="Cambria Math"/>
                      </w:rPr>
                      <m:t>x</m:t>
                    </m:r>
                  </m:num>
                  <m:den>
                    <m:r>
                      <w:rPr>
                        <w:rFonts w:ascii="Cambria Math" w:hAnsi="Cambria Math"/>
                      </w:rPr>
                      <m:t>t</m:t>
                    </m:r>
                  </m:den>
                </m:f>
              </m:e>
            </m:d>
          </m:e>
          <m:sup>
            <m:r>
              <w:rPr>
                <w:rFonts w:ascii="Cambria Math" w:hAnsi="Cambria Math"/>
              </w:rPr>
              <m:t>3</m:t>
            </m:r>
          </m:sup>
        </m:sSup>
      </m:oMath>
      <w:r w:rsidRPr="00BC31E0">
        <w:rPr>
          <w:rFonts w:hint="eastAsia"/>
        </w:rPr>
        <w:tab/>
        <w:t>(5)</w:t>
      </w:r>
    </w:p>
    <w:p w14:paraId="38F5DAF5" w14:textId="77777777" w:rsidR="00F52111" w:rsidRPr="00BC31E0" w:rsidRDefault="00F52111" w:rsidP="0049292D">
      <w:pPr>
        <w:ind w:left="737" w:firstLineChars="200" w:firstLine="420"/>
      </w:pPr>
      <w:r w:rsidRPr="00BC31E0">
        <w:rPr>
          <w:rStyle w:val="1Char"/>
          <w:rFonts w:hint="eastAsia"/>
        </w:rPr>
        <w:t>ここで</w:t>
      </w:r>
      <w:r w:rsidRPr="00BC31E0">
        <w:rPr>
          <w:rFonts w:hint="eastAsia"/>
        </w:rPr>
        <w:t>，</w:t>
      </w:r>
    </w:p>
    <w:p w14:paraId="4ADDA8D8" w14:textId="77777777" w:rsidR="00F52111" w:rsidRPr="00BC31E0" w:rsidRDefault="00F52111" w:rsidP="00271667">
      <w:pPr>
        <w:tabs>
          <w:tab w:val="left" w:pos="1701"/>
          <w:tab w:val="left" w:pos="1985"/>
        </w:tabs>
      </w:pPr>
      <w:r w:rsidRPr="00BC31E0">
        <w:rPr>
          <w:rFonts w:hint="eastAsia"/>
        </w:rPr>
        <w:tab/>
      </w:r>
      <m:oMath>
        <m:r>
          <w:rPr>
            <w:rFonts w:ascii="Cambria Math" w:hAnsi="Cambria Math" w:hint="eastAsia"/>
          </w:rPr>
          <m:t>t</m:t>
        </m:r>
      </m:oMath>
      <w:r w:rsidR="00271667" w:rsidRPr="00BC31E0">
        <w:rPr>
          <w:rFonts w:hint="eastAsia"/>
        </w:rPr>
        <w:tab/>
      </w:r>
      <w:r w:rsidRPr="00BC31E0">
        <w:rPr>
          <w:rFonts w:hint="eastAsia"/>
        </w:rPr>
        <w:t>：</w:t>
      </w:r>
      <w:r w:rsidRPr="00BC31E0">
        <w:rPr>
          <w:rFonts w:hint="eastAsia"/>
        </w:rPr>
        <w:t xml:space="preserve"> </w:t>
      </w:r>
      <w:r w:rsidRPr="00BC31E0">
        <w:rPr>
          <w:rFonts w:hint="eastAsia"/>
        </w:rPr>
        <w:t>容器の厚さ</w:t>
      </w:r>
      <w:r w:rsidRPr="00BC31E0">
        <w:rPr>
          <w:rFonts w:hint="eastAsia"/>
        </w:rPr>
        <w:t>(</w:t>
      </w:r>
      <w:r w:rsidRPr="00BC31E0">
        <w:rPr>
          <w:rFonts w:ascii="Times New Roman" w:hAnsi="Times New Roman"/>
        </w:rPr>
        <w:t>m</w:t>
      </w:r>
      <w:r w:rsidRPr="00BC31E0">
        <w:rPr>
          <w:rFonts w:hint="eastAsia"/>
        </w:rPr>
        <w:t>)</w:t>
      </w:r>
    </w:p>
    <w:p w14:paraId="34A33705" w14:textId="77777777" w:rsidR="00F52111" w:rsidRPr="00BC31E0" w:rsidRDefault="00663FD2" w:rsidP="00271667">
      <w:pPr>
        <w:tabs>
          <w:tab w:val="left" w:pos="1701"/>
          <w:tab w:val="left" w:pos="1985"/>
        </w:tabs>
        <w:rPr>
          <w:position w:val="-10"/>
          <w:szCs w:val="20"/>
        </w:rPr>
      </w:pPr>
      <w:r w:rsidRPr="00BC31E0">
        <w:rPr>
          <w:rFonts w:hint="eastAsia"/>
        </w:rPr>
        <w:tab/>
      </w:r>
      <m:oMath>
        <m:r>
          <w:rPr>
            <w:rFonts w:ascii="Cambria Math" w:hAnsi="Cambria Math"/>
          </w:rPr>
          <m:t>x</m:t>
        </m:r>
      </m:oMath>
      <w:r w:rsidR="00271667" w:rsidRPr="00BC31E0">
        <w:rPr>
          <w:rFonts w:hint="eastAsia"/>
        </w:rPr>
        <w:tab/>
      </w:r>
      <w:r w:rsidR="00F52111" w:rsidRPr="00BC31E0">
        <w:rPr>
          <w:rFonts w:hint="eastAsia"/>
        </w:rPr>
        <w:t>：</w:t>
      </w:r>
      <w:r w:rsidR="00F52111" w:rsidRPr="00BC31E0">
        <w:rPr>
          <w:rFonts w:hint="eastAsia"/>
        </w:rPr>
        <w:t xml:space="preserve"> </w:t>
      </w:r>
      <w:r w:rsidR="00F52111" w:rsidRPr="00BC31E0">
        <w:rPr>
          <w:rFonts w:ascii="ＭＳ 明朝" w:hAnsi="ＭＳ 明朝" w:hint="eastAsia"/>
        </w:rPr>
        <w:t>亀</w:t>
      </w:r>
      <w:r w:rsidR="00F52111" w:rsidRPr="00BC31E0">
        <w:rPr>
          <w:rFonts w:hint="eastAsia"/>
        </w:rPr>
        <w:t>裂位置における表面からの厚さ方向距離，</w:t>
      </w:r>
      <m:oMath>
        <m:r>
          <w:rPr>
            <w:rFonts w:ascii="Cambria Math" w:hAnsi="Cambria Math" w:hint="eastAsia"/>
          </w:rPr>
          <m:t>0</m:t>
        </m:r>
        <m:r>
          <w:rPr>
            <w:rFonts w:ascii="Cambria Math" w:hAnsi="Cambria Math" w:hint="eastAsia"/>
          </w:rPr>
          <m:t>≦</m:t>
        </m:r>
        <m:r>
          <w:rPr>
            <w:rFonts w:ascii="Cambria Math" w:hAnsi="Cambria Math"/>
          </w:rPr>
          <m:t>x</m:t>
        </m:r>
        <m:r>
          <w:rPr>
            <w:rFonts w:ascii="Cambria Math" w:hAnsi="Cambria Math" w:hint="eastAsia"/>
          </w:rPr>
          <m:t>≦</m:t>
        </m:r>
        <m:r>
          <w:rPr>
            <w:rFonts w:ascii="Cambria Math" w:hAnsi="Cambria Math"/>
          </w:rPr>
          <m:t xml:space="preserve">t </m:t>
        </m:r>
      </m:oMath>
      <w:r w:rsidR="00F52111" w:rsidRPr="00BC31E0">
        <w:rPr>
          <w:rFonts w:hint="eastAsia"/>
        </w:rPr>
        <w:t>(</w:t>
      </w:r>
      <w:r w:rsidR="00F52111" w:rsidRPr="00BC31E0">
        <w:rPr>
          <w:rFonts w:ascii="Times New Roman" w:hAnsi="Times New Roman"/>
        </w:rPr>
        <w:t>m</w:t>
      </w:r>
      <w:r w:rsidR="00F52111" w:rsidRPr="00BC31E0">
        <w:rPr>
          <w:rFonts w:hint="eastAsia"/>
        </w:rPr>
        <w:t>)</w:t>
      </w:r>
    </w:p>
    <w:p w14:paraId="74827868" w14:textId="77777777" w:rsidR="00F52111" w:rsidRPr="00BC31E0" w:rsidRDefault="00A51873" w:rsidP="00FC4359">
      <w:pPr>
        <w:spacing w:before="120" w:after="120"/>
        <w:ind w:left="737" w:firstLineChars="100" w:firstLine="210"/>
      </w:pPr>
      <m:oMath>
        <m:f>
          <m:fPr>
            <m:type m:val="lin"/>
            <m:ctrlPr>
              <w:rPr>
                <w:rFonts w:ascii="Cambria Math" w:hAnsi="Cambria Math"/>
                <w:bCs/>
              </w:rPr>
            </m:ctrlPr>
          </m:fPr>
          <m:num>
            <m:r>
              <w:rPr>
                <w:rFonts w:ascii="Cambria Math" w:hAnsi="Cambria Math"/>
              </w:rPr>
              <m:t>a</m:t>
            </m:r>
          </m:num>
          <m:den>
            <m:r>
              <w:rPr>
                <w:rFonts w:ascii="Cambria Math" w:hAnsi="Cambria Math"/>
              </w:rPr>
              <m:t>t</m:t>
            </m:r>
          </m:den>
        </m:f>
        <m:r>
          <m:rPr>
            <m:sty m:val="p"/>
          </m:rPr>
          <w:rPr>
            <w:rFonts w:ascii="Cambria Math" w:hAnsi="Cambria Math"/>
          </w:rPr>
          <m:t xml:space="preserve"> </m:t>
        </m:r>
      </m:oMath>
      <w:r w:rsidR="00F52111" w:rsidRPr="00BC31E0">
        <w:rPr>
          <w:rFonts w:hint="eastAsia"/>
        </w:rPr>
        <w:t>のそれぞれの値について，次式によって</w:t>
      </w:r>
      <m:oMath>
        <m:r>
          <m:rPr>
            <m:sty m:val="p"/>
          </m:rPr>
          <w:rPr>
            <w:rFonts w:ascii="Cambria Math" w:hAnsi="Cambria Math"/>
          </w:rPr>
          <m:t xml:space="preserve"> </m:t>
        </m:r>
        <m:sSup>
          <m:sSupPr>
            <m:ctrlPr>
              <w:rPr>
                <w:rFonts w:ascii="Cambria Math" w:hAnsi="Cambria Math"/>
                <w:bCs/>
              </w:rPr>
            </m:ctrlPr>
          </m:sSupPr>
          <m:e>
            <m:sSub>
              <m:sSubPr>
                <m:ctrlPr>
                  <w:rPr>
                    <w:rFonts w:ascii="Cambria Math" w:hAnsi="Cambria Math"/>
                    <w:bCs/>
                  </w:rPr>
                </m:ctrlPr>
              </m:sSubPr>
              <m:e>
                <m:r>
                  <w:rPr>
                    <w:rFonts w:ascii="Cambria Math" w:hAnsi="Cambria Math"/>
                  </w:rPr>
                  <m:t>A</m:t>
                </m:r>
              </m:e>
              <m:sub>
                <m:r>
                  <w:rPr>
                    <w:rFonts w:ascii="Cambria Math" w:hAnsi="Cambria Math"/>
                  </w:rPr>
                  <m:t>i</m:t>
                </m:r>
              </m:sub>
            </m:sSub>
          </m:e>
          <m:sup>
            <m:r>
              <m:rPr>
                <m:sty m:val="p"/>
              </m:rPr>
              <w:rPr>
                <w:rFonts w:ascii="Cambria Math" w:hAnsi="Cambria Math"/>
              </w:rPr>
              <m:t>'</m:t>
            </m:r>
          </m:sup>
        </m:sSup>
        <m:r>
          <m:rPr>
            <m:sty m:val="p"/>
          </m:rPr>
          <w:rPr>
            <w:rFonts w:ascii="Cambria Math" w:hAnsi="Cambria Math"/>
          </w:rPr>
          <m:t xml:space="preserve"> </m:t>
        </m:r>
      </m:oMath>
      <w:r w:rsidR="00F52111" w:rsidRPr="00BC31E0">
        <w:rPr>
          <w:rFonts w:hint="eastAsia"/>
        </w:rPr>
        <w:t>の値を</w:t>
      </w:r>
      <m:oMath>
        <m:sSub>
          <m:sSubPr>
            <m:ctrlPr>
              <w:rPr>
                <w:rFonts w:ascii="Cambria Math" w:hAnsi="Cambria Math"/>
                <w:bCs/>
                <w:i/>
              </w:rPr>
            </m:ctrlPr>
          </m:sSubPr>
          <m:e>
            <m:r>
              <w:rPr>
                <w:rFonts w:ascii="Cambria Math" w:hAnsi="Cambria Math"/>
              </w:rPr>
              <m:t xml:space="preserve"> A</m:t>
            </m:r>
          </m:e>
          <m:sub>
            <m:r>
              <w:rPr>
                <w:rFonts w:ascii="Cambria Math" w:hAnsi="Cambria Math"/>
              </w:rPr>
              <m:t>i</m:t>
            </m:r>
          </m:sub>
        </m:sSub>
        <m:r>
          <w:rPr>
            <w:rFonts w:ascii="Cambria Math" w:hAnsi="Cambria Math"/>
          </w:rPr>
          <m:t xml:space="preserve"> </m:t>
        </m:r>
      </m:oMath>
      <w:r w:rsidR="00F52111" w:rsidRPr="00BC31E0">
        <w:rPr>
          <w:rFonts w:hint="eastAsia"/>
        </w:rPr>
        <w:t>の値に変換する。</w:t>
      </w:r>
      <w:r w:rsidR="00F52111" w:rsidRPr="00BC31E0">
        <w:rPr>
          <w:rFonts w:ascii="ＭＳ 明朝" w:hAnsi="ＭＳ 明朝" w:hint="eastAsia"/>
        </w:rPr>
        <w:t>これらの</w:t>
      </w:r>
      <m:oMath>
        <m:sSub>
          <m:sSubPr>
            <m:ctrlPr>
              <w:rPr>
                <w:rFonts w:ascii="Cambria Math" w:hAnsi="Cambria Math"/>
                <w:bCs/>
                <w:i/>
              </w:rPr>
            </m:ctrlPr>
          </m:sSubPr>
          <m:e>
            <m:r>
              <w:rPr>
                <w:rFonts w:ascii="Cambria Math" w:hAnsi="Cambria Math"/>
              </w:rPr>
              <m:t xml:space="preserve"> A</m:t>
            </m:r>
          </m:e>
          <m:sub>
            <m:r>
              <w:rPr>
                <w:rFonts w:ascii="Cambria Math" w:hAnsi="Cambria Math"/>
              </w:rPr>
              <m:t>i</m:t>
            </m:r>
          </m:sub>
        </m:sSub>
        <m:r>
          <w:rPr>
            <w:rFonts w:ascii="Cambria Math" w:hAnsi="Cambria Math"/>
          </w:rPr>
          <m:t xml:space="preserve"> </m:t>
        </m:r>
      </m:oMath>
      <w:r w:rsidR="00F52111" w:rsidRPr="00BC31E0">
        <w:rPr>
          <w:rFonts w:hint="eastAsia"/>
        </w:rPr>
        <w:t>の</w:t>
      </w:r>
      <w:r w:rsidR="00F52111" w:rsidRPr="00BC31E0">
        <w:rPr>
          <w:rFonts w:ascii="ＭＳ 明朝" w:hAnsi="ＭＳ 明朝" w:hint="eastAsia"/>
        </w:rPr>
        <w:t>値は，</w:t>
      </w:r>
      <w:r w:rsidR="00F52111" w:rsidRPr="00BC31E0">
        <w:rPr>
          <w:rFonts w:ascii="ＭＳ ゴシック" w:eastAsia="ＭＳ ゴシック" w:hAnsi="ＭＳ ゴシック" w:hint="eastAsia"/>
          <w:b/>
        </w:rPr>
        <w:t>式</w:t>
      </w:r>
      <w:r w:rsidR="00F52111" w:rsidRPr="00BC31E0">
        <w:rPr>
          <w:rFonts w:ascii="ＭＳ ゴシック" w:eastAsia="ＭＳ ゴシック" w:hAnsi="ＭＳ ゴシック"/>
          <w:b/>
        </w:rPr>
        <w:t>(2)</w:t>
      </w:r>
      <w:r w:rsidR="00F52111" w:rsidRPr="00BC31E0">
        <w:rPr>
          <w:rFonts w:ascii="ＭＳ 明朝" w:hAnsi="ＭＳ 明朝" w:hint="eastAsia"/>
        </w:rPr>
        <w:t>により</w:t>
      </w:r>
      <m:oMath>
        <m:r>
          <m:rPr>
            <m:sty m:val="p"/>
          </m:rPr>
          <w:rPr>
            <w:rFonts w:ascii="Cambria Math" w:hAnsi="Cambria Math"/>
          </w:rPr>
          <m:t xml:space="preserve"> </m:t>
        </m:r>
        <m:sSub>
          <m:sSubPr>
            <m:ctrlPr>
              <w:rPr>
                <w:rFonts w:ascii="Cambria Math" w:hAnsi="Cambria Math"/>
                <w:bCs/>
              </w:rPr>
            </m:ctrlPr>
          </m:sSubPr>
          <m:e>
            <m:r>
              <w:rPr>
                <w:rFonts w:ascii="Cambria Math" w:hAnsi="Cambria Math"/>
              </w:rPr>
              <m:t>K</m:t>
            </m:r>
          </m:e>
          <m:sub>
            <m:r>
              <m:rPr>
                <m:sty m:val="p"/>
              </m:rPr>
              <w:rPr>
                <w:rFonts w:ascii="Cambria Math" w:hAnsi="Cambria Math"/>
              </w:rPr>
              <m:t>I</m:t>
            </m:r>
          </m:sub>
        </m:sSub>
        <m:r>
          <m:rPr>
            <m:sty m:val="p"/>
          </m:rPr>
          <w:rPr>
            <w:rFonts w:ascii="Cambria Math" w:hAnsi="Cambria Math"/>
          </w:rPr>
          <m:t xml:space="preserve"> </m:t>
        </m:r>
      </m:oMath>
      <w:r w:rsidR="00F52111" w:rsidRPr="00BC31E0">
        <w:rPr>
          <w:rFonts w:ascii="ＭＳ 明朝" w:hAnsi="ＭＳ 明朝" w:hint="eastAsia"/>
        </w:rPr>
        <w:t>を決定するために用いられる。</w:t>
      </w:r>
    </w:p>
    <w:tbl>
      <w:tblPr>
        <w:tblStyle w:val="afff2"/>
        <w:tblW w:w="5670" w:type="dxa"/>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4234"/>
      </w:tblGrid>
      <w:tr w:rsidR="00F52111" w:rsidRPr="00BC31E0" w14:paraId="2BF62650" w14:textId="77777777" w:rsidTr="00E34B25">
        <w:tc>
          <w:tcPr>
            <w:tcW w:w="0" w:type="auto"/>
            <w:tcMar>
              <w:left w:w="0" w:type="dxa"/>
              <w:right w:w="0" w:type="dxa"/>
            </w:tcMar>
            <w:vAlign w:val="center"/>
          </w:tcPr>
          <w:p w14:paraId="4C521375" w14:textId="77777777" w:rsidR="00F52111" w:rsidRPr="00BC31E0" w:rsidRDefault="00A51873" w:rsidP="00E34B25">
            <w:pPr>
              <w:tabs>
                <w:tab w:val="left" w:pos="1620"/>
                <w:tab w:val="left" w:leader="middleDot" w:pos="8505"/>
              </w:tabs>
              <w:jc w:val="left"/>
              <w:rPr>
                <w:bCs/>
              </w:rPr>
            </w:pPr>
            <m:oMathPara>
              <m:oMathParaPr>
                <m:jc m:val="left"/>
              </m:oMathParaPr>
              <m:oMath>
                <m:sSub>
                  <m:sSubPr>
                    <m:ctrlPr>
                      <w:rPr>
                        <w:rFonts w:ascii="Cambria Math" w:hAnsi="Cambria Math"/>
                        <w:bCs/>
                        <w:i/>
                      </w:rPr>
                    </m:ctrlPr>
                  </m:sSubPr>
                  <m:e>
                    <m:r>
                      <w:rPr>
                        <w:rFonts w:ascii="Cambria Math" w:hAnsi="Cambria Math"/>
                      </w:rPr>
                      <m:t>A</m:t>
                    </m:r>
                  </m:e>
                  <m:sub>
                    <m:r>
                      <w:rPr>
                        <w:rFonts w:ascii="Cambria Math" w:hAnsi="Cambria Math"/>
                      </w:rPr>
                      <m:t>0</m:t>
                    </m:r>
                  </m:sub>
                </m:sSub>
                <m:r>
                  <w:rPr>
                    <w:rFonts w:ascii="Cambria Math" w:hAnsi="Cambria Math"/>
                  </w:rPr>
                  <m:t>=</m:t>
                </m:r>
                <m:sSup>
                  <m:sSupPr>
                    <m:ctrlPr>
                      <w:rPr>
                        <w:rFonts w:ascii="Cambria Math" w:hAnsi="Cambria Math"/>
                        <w:bCs/>
                      </w:rPr>
                    </m:ctrlPr>
                  </m:sSupPr>
                  <m:e>
                    <m:sSub>
                      <m:sSubPr>
                        <m:ctrlPr>
                          <w:rPr>
                            <w:rFonts w:ascii="Cambria Math" w:hAnsi="Cambria Math"/>
                            <w:bCs/>
                          </w:rPr>
                        </m:ctrlPr>
                      </m:sSubPr>
                      <m:e>
                        <m:r>
                          <w:rPr>
                            <w:rFonts w:ascii="Cambria Math" w:hAnsi="Cambria Math"/>
                          </w:rPr>
                          <m:t>A</m:t>
                        </m:r>
                      </m:e>
                      <m:sub>
                        <m:r>
                          <w:rPr>
                            <w:rFonts w:ascii="Cambria Math" w:hAnsi="Cambria Math"/>
                          </w:rPr>
                          <m:t>0</m:t>
                        </m:r>
                      </m:sub>
                    </m:sSub>
                  </m:e>
                  <m:sup>
                    <m:r>
                      <m:rPr>
                        <m:sty m:val="p"/>
                      </m:rPr>
                      <w:rPr>
                        <w:rFonts w:ascii="Cambria Math" w:hAnsi="Cambria Math"/>
                      </w:rPr>
                      <m:t>'</m:t>
                    </m:r>
                  </m:sup>
                </m:sSup>
              </m:oMath>
            </m:oMathPara>
          </w:p>
        </w:tc>
        <w:tc>
          <w:tcPr>
            <w:tcW w:w="4234" w:type="dxa"/>
            <w:vMerge w:val="restart"/>
            <w:tcMar>
              <w:left w:w="0" w:type="dxa"/>
              <w:right w:w="0" w:type="dxa"/>
            </w:tcMar>
            <w:vAlign w:val="center"/>
          </w:tcPr>
          <w:p w14:paraId="03C15C14" w14:textId="77777777" w:rsidR="00F52111" w:rsidRPr="00BC31E0" w:rsidRDefault="00F52111" w:rsidP="00E34B25">
            <w:pPr>
              <w:tabs>
                <w:tab w:val="left" w:leader="middleDot" w:pos="3809"/>
              </w:tabs>
              <w:spacing w:before="120"/>
              <w:jc w:val="left"/>
              <w:rPr>
                <w:bCs/>
              </w:rPr>
            </w:pPr>
            <w:r w:rsidRPr="00BC31E0">
              <w:rPr>
                <w:bCs/>
              </w:rPr>
              <w:tab/>
            </w:r>
            <w:r w:rsidRPr="00BC31E0">
              <w:rPr>
                <w:rFonts w:hint="eastAsia"/>
                <w:bCs/>
              </w:rPr>
              <w:t>(6)</w:t>
            </w:r>
          </w:p>
        </w:tc>
      </w:tr>
      <w:tr w:rsidR="00F52111" w:rsidRPr="00BC31E0" w14:paraId="05B5E9CB" w14:textId="77777777" w:rsidTr="00E34B25">
        <w:tc>
          <w:tcPr>
            <w:tcW w:w="0" w:type="auto"/>
            <w:tcMar>
              <w:left w:w="0" w:type="dxa"/>
              <w:right w:w="0" w:type="dxa"/>
            </w:tcMar>
            <w:vAlign w:val="center"/>
          </w:tcPr>
          <w:p w14:paraId="1D2883A3" w14:textId="77777777" w:rsidR="00F52111" w:rsidRPr="00BC31E0" w:rsidRDefault="00A51873" w:rsidP="00E34B25">
            <w:pPr>
              <w:tabs>
                <w:tab w:val="left" w:pos="1843"/>
                <w:tab w:val="left" w:leader="middleDot" w:pos="8505"/>
              </w:tabs>
              <w:spacing w:before="120"/>
              <w:jc w:val="left"/>
              <w:rPr>
                <w:rFonts w:ascii="ＭＳ 明朝" w:hAnsi="ＭＳ 明朝"/>
                <w:bCs/>
              </w:rPr>
            </w:pPr>
            <m:oMathPara>
              <m:oMathParaPr>
                <m:jc m:val="left"/>
              </m:oMathParaPr>
              <m:oMath>
                <m:sSub>
                  <m:sSubPr>
                    <m:ctrlPr>
                      <w:rPr>
                        <w:rFonts w:ascii="Cambria Math" w:hAnsi="Cambria Math"/>
                        <w:bCs/>
                        <w:i/>
                      </w:rPr>
                    </m:ctrlPr>
                  </m:sSubPr>
                  <m:e>
                    <m:r>
                      <w:rPr>
                        <w:rFonts w:ascii="Cambria Math" w:hAnsi="Cambria Math"/>
                      </w:rPr>
                      <m:t>A</m:t>
                    </m:r>
                  </m:e>
                  <m:sub>
                    <m:r>
                      <w:rPr>
                        <w:rFonts w:ascii="Cambria Math" w:hAnsi="Cambria Math"/>
                      </w:rPr>
                      <m:t>1</m:t>
                    </m:r>
                  </m:sub>
                </m:sSub>
                <m:r>
                  <w:rPr>
                    <w:rFonts w:ascii="Cambria Math" w:hAnsi="Cambria Math"/>
                  </w:rPr>
                  <m:t>=</m:t>
                </m:r>
                <m:sSup>
                  <m:sSupPr>
                    <m:ctrlPr>
                      <w:rPr>
                        <w:rFonts w:ascii="Cambria Math" w:hAnsi="Cambria Math"/>
                        <w:bCs/>
                      </w:rPr>
                    </m:ctrlPr>
                  </m:sSupPr>
                  <m:e>
                    <m:sSub>
                      <m:sSubPr>
                        <m:ctrlPr>
                          <w:rPr>
                            <w:rFonts w:ascii="Cambria Math" w:hAnsi="Cambria Math"/>
                            <w:bCs/>
                          </w:rPr>
                        </m:ctrlPr>
                      </m:sSubPr>
                      <m:e>
                        <m:r>
                          <w:rPr>
                            <w:rFonts w:ascii="Cambria Math" w:hAnsi="Cambria Math"/>
                          </w:rPr>
                          <m:t>A</m:t>
                        </m:r>
                      </m:e>
                      <m:sub>
                        <m:r>
                          <w:rPr>
                            <w:rFonts w:ascii="Cambria Math" w:hAnsi="Cambria Math"/>
                          </w:rPr>
                          <m:t>1</m:t>
                        </m:r>
                      </m:sub>
                    </m:sSub>
                  </m:e>
                  <m:sup>
                    <m:r>
                      <m:rPr>
                        <m:sty m:val="p"/>
                      </m:rPr>
                      <w:rPr>
                        <w:rFonts w:ascii="Cambria Math" w:hAnsi="Cambria Math"/>
                      </w:rPr>
                      <m:t>'</m:t>
                    </m:r>
                  </m:sup>
                </m:sSup>
                <m:r>
                  <m:rPr>
                    <m:sty m:val="p"/>
                  </m:rPr>
                  <w:rPr>
                    <w:rFonts w:ascii="Cambria Math" w:hAnsi="Cambria Math"/>
                  </w:rPr>
                  <m:t xml:space="preserve"> </m:t>
                </m:r>
                <m:d>
                  <m:dPr>
                    <m:ctrlPr>
                      <w:rPr>
                        <w:rFonts w:ascii="Cambria Math" w:hAnsi="Cambria Math"/>
                        <w:bCs/>
                      </w:rPr>
                    </m:ctrlPr>
                  </m:dPr>
                  <m:e>
                    <m:f>
                      <m:fPr>
                        <m:type m:val="lin"/>
                        <m:ctrlPr>
                          <w:rPr>
                            <w:rFonts w:ascii="Cambria Math" w:hAnsi="Cambria Math"/>
                            <w:bCs/>
                          </w:rPr>
                        </m:ctrlPr>
                      </m:fPr>
                      <m:num>
                        <m:r>
                          <w:rPr>
                            <w:rFonts w:ascii="Cambria Math" w:hAnsi="Cambria Math"/>
                          </w:rPr>
                          <m:t>a</m:t>
                        </m:r>
                      </m:num>
                      <m:den>
                        <m:r>
                          <w:rPr>
                            <w:rFonts w:ascii="Cambria Math" w:hAnsi="Cambria Math"/>
                          </w:rPr>
                          <m:t>t</m:t>
                        </m:r>
                      </m:den>
                    </m:f>
                  </m:e>
                </m:d>
              </m:oMath>
            </m:oMathPara>
          </w:p>
        </w:tc>
        <w:tc>
          <w:tcPr>
            <w:tcW w:w="4234" w:type="dxa"/>
            <w:vMerge/>
            <w:tcMar>
              <w:left w:w="0" w:type="dxa"/>
              <w:right w:w="0" w:type="dxa"/>
            </w:tcMar>
            <w:vAlign w:val="center"/>
          </w:tcPr>
          <w:p w14:paraId="364EBD03" w14:textId="77777777" w:rsidR="00F52111" w:rsidRPr="00BC31E0" w:rsidRDefault="00F52111" w:rsidP="00E34B25">
            <w:pPr>
              <w:tabs>
                <w:tab w:val="left" w:leader="middleDot" w:pos="5415"/>
              </w:tabs>
              <w:spacing w:before="120"/>
              <w:jc w:val="left"/>
              <w:rPr>
                <w:bCs/>
              </w:rPr>
            </w:pPr>
          </w:p>
        </w:tc>
      </w:tr>
      <w:tr w:rsidR="00F52111" w:rsidRPr="00BC31E0" w14:paraId="5FBC3866" w14:textId="77777777" w:rsidTr="00E34B25">
        <w:tc>
          <w:tcPr>
            <w:tcW w:w="0" w:type="auto"/>
            <w:tcMar>
              <w:left w:w="0" w:type="dxa"/>
              <w:right w:w="0" w:type="dxa"/>
            </w:tcMar>
            <w:vAlign w:val="center"/>
          </w:tcPr>
          <w:p w14:paraId="2ED6D216" w14:textId="77777777" w:rsidR="00F52111" w:rsidRPr="00BC31E0" w:rsidRDefault="00A51873" w:rsidP="00E34B25">
            <w:pPr>
              <w:tabs>
                <w:tab w:val="left" w:pos="1843"/>
                <w:tab w:val="left" w:leader="middleDot" w:pos="8505"/>
              </w:tabs>
              <w:spacing w:before="120"/>
              <w:jc w:val="left"/>
              <w:rPr>
                <w:rFonts w:ascii="ＭＳ 明朝" w:hAnsi="ＭＳ 明朝"/>
                <w:bCs/>
              </w:rPr>
            </w:pPr>
            <m:oMathPara>
              <m:oMathParaPr>
                <m:jc m:val="left"/>
              </m:oMathParaPr>
              <m:oMath>
                <m:sSub>
                  <m:sSubPr>
                    <m:ctrlPr>
                      <w:rPr>
                        <w:rFonts w:ascii="Cambria Math" w:hAnsi="Cambria Math"/>
                        <w:bCs/>
                        <w:i/>
                      </w:rPr>
                    </m:ctrlPr>
                  </m:sSubPr>
                  <m:e>
                    <m:r>
                      <w:rPr>
                        <w:rFonts w:ascii="Cambria Math" w:hAnsi="Cambria Math"/>
                      </w:rPr>
                      <m:t>A</m:t>
                    </m:r>
                  </m:e>
                  <m:sub>
                    <m:r>
                      <w:rPr>
                        <w:rFonts w:ascii="Cambria Math" w:hAnsi="Cambria Math"/>
                      </w:rPr>
                      <m:t>2</m:t>
                    </m:r>
                  </m:sub>
                </m:sSub>
                <m:r>
                  <w:rPr>
                    <w:rFonts w:ascii="Cambria Math" w:hAnsi="Cambria Math"/>
                  </w:rPr>
                  <m:t>=</m:t>
                </m:r>
                <m:sSup>
                  <m:sSupPr>
                    <m:ctrlPr>
                      <w:rPr>
                        <w:rFonts w:ascii="Cambria Math" w:hAnsi="Cambria Math"/>
                        <w:bCs/>
                      </w:rPr>
                    </m:ctrlPr>
                  </m:sSupPr>
                  <m:e>
                    <m:sSub>
                      <m:sSubPr>
                        <m:ctrlPr>
                          <w:rPr>
                            <w:rFonts w:ascii="Cambria Math" w:hAnsi="Cambria Math"/>
                            <w:bCs/>
                          </w:rPr>
                        </m:ctrlPr>
                      </m:sSubPr>
                      <m:e>
                        <m:r>
                          <w:rPr>
                            <w:rFonts w:ascii="Cambria Math" w:hAnsi="Cambria Math"/>
                          </w:rPr>
                          <m:t>A</m:t>
                        </m:r>
                      </m:e>
                      <m:sub>
                        <m:r>
                          <w:rPr>
                            <w:rFonts w:ascii="Cambria Math" w:hAnsi="Cambria Math"/>
                          </w:rPr>
                          <m:t>2</m:t>
                        </m:r>
                      </m:sub>
                    </m:sSub>
                  </m:e>
                  <m:sup>
                    <m:r>
                      <m:rPr>
                        <m:sty m:val="p"/>
                      </m:rPr>
                      <w:rPr>
                        <w:rFonts w:ascii="Cambria Math" w:hAnsi="Cambria Math"/>
                      </w:rPr>
                      <m:t>'</m:t>
                    </m:r>
                  </m:sup>
                </m:sSup>
                <m:sSup>
                  <m:sSupPr>
                    <m:ctrlPr>
                      <w:rPr>
                        <w:rFonts w:ascii="Cambria Math" w:hAnsi="Cambria Math"/>
                        <w:bCs/>
                      </w:rPr>
                    </m:ctrlPr>
                  </m:sSupPr>
                  <m:e>
                    <m:r>
                      <m:rPr>
                        <m:sty m:val="p"/>
                      </m:rPr>
                      <w:rPr>
                        <w:rFonts w:ascii="Cambria Math" w:hAnsi="Cambria Math"/>
                      </w:rPr>
                      <m:t xml:space="preserve"> </m:t>
                    </m:r>
                    <m:d>
                      <m:dPr>
                        <m:ctrlPr>
                          <w:rPr>
                            <w:rFonts w:ascii="Cambria Math" w:hAnsi="Cambria Math"/>
                            <w:bCs/>
                          </w:rPr>
                        </m:ctrlPr>
                      </m:dPr>
                      <m:e>
                        <m:f>
                          <m:fPr>
                            <m:type m:val="lin"/>
                            <m:ctrlPr>
                              <w:rPr>
                                <w:rFonts w:ascii="Cambria Math" w:hAnsi="Cambria Math"/>
                                <w:bCs/>
                              </w:rPr>
                            </m:ctrlPr>
                          </m:fPr>
                          <m:num>
                            <m:r>
                              <w:rPr>
                                <w:rFonts w:ascii="Cambria Math" w:hAnsi="Cambria Math"/>
                              </w:rPr>
                              <m:t>a</m:t>
                            </m:r>
                          </m:num>
                          <m:den>
                            <m:r>
                              <w:rPr>
                                <w:rFonts w:ascii="Cambria Math" w:hAnsi="Cambria Math"/>
                              </w:rPr>
                              <m:t>t</m:t>
                            </m:r>
                          </m:den>
                        </m:f>
                      </m:e>
                    </m:d>
                  </m:e>
                  <m:sup>
                    <m:r>
                      <w:rPr>
                        <w:rFonts w:ascii="Cambria Math" w:hAnsi="Cambria Math"/>
                      </w:rPr>
                      <m:t>2</m:t>
                    </m:r>
                  </m:sup>
                </m:sSup>
              </m:oMath>
            </m:oMathPara>
          </w:p>
        </w:tc>
        <w:tc>
          <w:tcPr>
            <w:tcW w:w="4234" w:type="dxa"/>
            <w:vMerge/>
            <w:tcMar>
              <w:left w:w="0" w:type="dxa"/>
              <w:right w:w="0" w:type="dxa"/>
            </w:tcMar>
            <w:vAlign w:val="center"/>
          </w:tcPr>
          <w:p w14:paraId="02465875" w14:textId="77777777" w:rsidR="00F52111" w:rsidRPr="00BC31E0" w:rsidRDefault="00F52111" w:rsidP="00E34B25">
            <w:pPr>
              <w:tabs>
                <w:tab w:val="left" w:leader="middleDot" w:pos="5415"/>
              </w:tabs>
              <w:spacing w:before="120"/>
              <w:jc w:val="left"/>
              <w:rPr>
                <w:bCs/>
              </w:rPr>
            </w:pPr>
          </w:p>
        </w:tc>
      </w:tr>
      <w:tr w:rsidR="00F52111" w:rsidRPr="00BC31E0" w14:paraId="1F604BC4" w14:textId="77777777" w:rsidTr="00E34B25">
        <w:tc>
          <w:tcPr>
            <w:tcW w:w="0" w:type="auto"/>
            <w:tcMar>
              <w:left w:w="0" w:type="dxa"/>
              <w:right w:w="0" w:type="dxa"/>
            </w:tcMar>
            <w:vAlign w:val="center"/>
          </w:tcPr>
          <w:p w14:paraId="52CC8E3A" w14:textId="77777777" w:rsidR="00F52111" w:rsidRPr="00BC31E0" w:rsidRDefault="00A51873" w:rsidP="00E34B25">
            <w:pPr>
              <w:tabs>
                <w:tab w:val="left" w:pos="1843"/>
                <w:tab w:val="left" w:leader="middleDot" w:pos="8505"/>
              </w:tabs>
              <w:spacing w:before="120"/>
              <w:jc w:val="left"/>
              <w:rPr>
                <w:rFonts w:ascii="ＭＳ 明朝" w:hAnsi="ＭＳ 明朝"/>
                <w:bCs/>
              </w:rPr>
            </w:pPr>
            <m:oMathPara>
              <m:oMathParaPr>
                <m:jc m:val="left"/>
              </m:oMathParaPr>
              <m:oMath>
                <m:sSub>
                  <m:sSubPr>
                    <m:ctrlPr>
                      <w:rPr>
                        <w:rFonts w:ascii="Cambria Math" w:hAnsi="Cambria Math"/>
                        <w:bCs/>
                        <w:i/>
                      </w:rPr>
                    </m:ctrlPr>
                  </m:sSubPr>
                  <m:e>
                    <m:r>
                      <w:rPr>
                        <w:rFonts w:ascii="Cambria Math" w:hAnsi="Cambria Math"/>
                      </w:rPr>
                      <m:t>A</m:t>
                    </m:r>
                  </m:e>
                  <m:sub>
                    <m:r>
                      <w:rPr>
                        <w:rFonts w:ascii="Cambria Math" w:hAnsi="Cambria Math"/>
                      </w:rPr>
                      <m:t>3</m:t>
                    </m:r>
                  </m:sub>
                </m:sSub>
                <m:r>
                  <w:rPr>
                    <w:rFonts w:ascii="Cambria Math" w:hAnsi="Cambria Math"/>
                  </w:rPr>
                  <m:t>=</m:t>
                </m:r>
                <m:sSup>
                  <m:sSupPr>
                    <m:ctrlPr>
                      <w:rPr>
                        <w:rFonts w:ascii="Cambria Math" w:hAnsi="Cambria Math"/>
                        <w:bCs/>
                      </w:rPr>
                    </m:ctrlPr>
                  </m:sSupPr>
                  <m:e>
                    <m:sSub>
                      <m:sSubPr>
                        <m:ctrlPr>
                          <w:rPr>
                            <w:rFonts w:ascii="Cambria Math" w:hAnsi="Cambria Math"/>
                            <w:bCs/>
                          </w:rPr>
                        </m:ctrlPr>
                      </m:sSubPr>
                      <m:e>
                        <m:r>
                          <w:rPr>
                            <w:rFonts w:ascii="Cambria Math" w:hAnsi="Cambria Math"/>
                          </w:rPr>
                          <m:t>A</m:t>
                        </m:r>
                      </m:e>
                      <m:sub>
                        <m:r>
                          <w:rPr>
                            <w:rFonts w:ascii="Cambria Math" w:hAnsi="Cambria Math"/>
                          </w:rPr>
                          <m:t>3</m:t>
                        </m:r>
                      </m:sub>
                    </m:sSub>
                  </m:e>
                  <m:sup>
                    <m:r>
                      <m:rPr>
                        <m:sty m:val="p"/>
                      </m:rPr>
                      <w:rPr>
                        <w:rFonts w:ascii="Cambria Math" w:hAnsi="Cambria Math"/>
                      </w:rPr>
                      <m:t>'</m:t>
                    </m:r>
                  </m:sup>
                </m:sSup>
                <m:r>
                  <m:rPr>
                    <m:sty m:val="p"/>
                  </m:rPr>
                  <w:rPr>
                    <w:rFonts w:ascii="Cambria Math" w:hAnsi="Cambria Math"/>
                  </w:rPr>
                  <m:t xml:space="preserve"> </m:t>
                </m:r>
                <m:sSup>
                  <m:sSupPr>
                    <m:ctrlPr>
                      <w:rPr>
                        <w:rFonts w:ascii="Cambria Math" w:hAnsi="Cambria Math"/>
                        <w:bCs/>
                      </w:rPr>
                    </m:ctrlPr>
                  </m:sSupPr>
                  <m:e>
                    <m:d>
                      <m:dPr>
                        <m:ctrlPr>
                          <w:rPr>
                            <w:rFonts w:ascii="Cambria Math" w:hAnsi="Cambria Math"/>
                            <w:bCs/>
                          </w:rPr>
                        </m:ctrlPr>
                      </m:dPr>
                      <m:e>
                        <m:f>
                          <m:fPr>
                            <m:type m:val="lin"/>
                            <m:ctrlPr>
                              <w:rPr>
                                <w:rFonts w:ascii="Cambria Math" w:hAnsi="Cambria Math"/>
                                <w:bCs/>
                              </w:rPr>
                            </m:ctrlPr>
                          </m:fPr>
                          <m:num>
                            <m:r>
                              <w:rPr>
                                <w:rFonts w:ascii="Cambria Math" w:hAnsi="Cambria Math"/>
                              </w:rPr>
                              <m:t>a</m:t>
                            </m:r>
                          </m:num>
                          <m:den>
                            <m:r>
                              <w:rPr>
                                <w:rFonts w:ascii="Cambria Math" w:hAnsi="Cambria Math"/>
                              </w:rPr>
                              <m:t>t</m:t>
                            </m:r>
                          </m:den>
                        </m:f>
                      </m:e>
                    </m:d>
                  </m:e>
                  <m:sup>
                    <m:r>
                      <w:rPr>
                        <w:rFonts w:ascii="Cambria Math" w:hAnsi="Cambria Math"/>
                      </w:rPr>
                      <m:t>3</m:t>
                    </m:r>
                  </m:sup>
                </m:sSup>
              </m:oMath>
            </m:oMathPara>
          </w:p>
        </w:tc>
        <w:tc>
          <w:tcPr>
            <w:tcW w:w="4234" w:type="dxa"/>
            <w:vMerge/>
            <w:tcMar>
              <w:left w:w="0" w:type="dxa"/>
              <w:right w:w="0" w:type="dxa"/>
            </w:tcMar>
            <w:vAlign w:val="center"/>
          </w:tcPr>
          <w:p w14:paraId="0C792A81" w14:textId="77777777" w:rsidR="00F52111" w:rsidRPr="00BC31E0" w:rsidRDefault="00F52111" w:rsidP="00E34B25">
            <w:pPr>
              <w:tabs>
                <w:tab w:val="left" w:leader="middleDot" w:pos="1984"/>
              </w:tabs>
              <w:spacing w:before="120"/>
              <w:jc w:val="left"/>
              <w:rPr>
                <w:bCs/>
              </w:rPr>
            </w:pPr>
          </w:p>
        </w:tc>
      </w:tr>
    </w:tbl>
    <w:p w14:paraId="4C475AD2" w14:textId="77777777" w:rsidR="00F52111" w:rsidRPr="00BC31E0" w:rsidRDefault="00F52111" w:rsidP="00736130">
      <w:pPr>
        <w:pStyle w:val="a4"/>
        <w:numPr>
          <w:ilvl w:val="0"/>
          <w:numId w:val="362"/>
        </w:numPr>
        <w:spacing w:before="120" w:after="120"/>
        <w:ind w:leftChars="0" w:left="738" w:hanging="454"/>
      </w:pPr>
      <w:r w:rsidRPr="00BC31E0">
        <w:rPr>
          <w:rFonts w:hint="eastAsia"/>
        </w:rPr>
        <w:t>内外径比が</w:t>
      </w:r>
      <w:r w:rsidR="00530E37" w:rsidRPr="00BC31E0">
        <w:rPr>
          <w:rFonts w:hint="eastAsia"/>
          <w:sz w:val="22"/>
          <w:szCs w:val="22"/>
        </w:rPr>
        <w:t>1.2</w:t>
      </w:r>
      <w:r w:rsidR="00530E37" w:rsidRPr="00BC31E0">
        <w:rPr>
          <w:rFonts w:hint="eastAsia"/>
          <w:sz w:val="22"/>
          <w:szCs w:val="22"/>
        </w:rPr>
        <w:t>～</w:t>
      </w:r>
      <w:r w:rsidR="00530E37" w:rsidRPr="00BC31E0">
        <w:rPr>
          <w:rFonts w:hint="eastAsia"/>
          <w:sz w:val="22"/>
          <w:szCs w:val="22"/>
        </w:rPr>
        <w:t>3.0</w:t>
      </w:r>
      <w:r w:rsidRPr="00BC31E0">
        <w:rPr>
          <w:rFonts w:hint="eastAsia"/>
        </w:rPr>
        <w:t>の円筒では，不連続部の影響を受けない位置において，内圧</w:t>
      </w:r>
      <m:oMath>
        <m:r>
          <m:rPr>
            <m:sty m:val="p"/>
          </m:rPr>
          <w:rPr>
            <w:rFonts w:ascii="Cambria Math" w:hAnsi="Cambria Math"/>
          </w:rPr>
          <m:t xml:space="preserve"> </m:t>
        </m:r>
        <m:r>
          <w:rPr>
            <w:rFonts w:ascii="Cambria Math" w:hAnsi="Cambria Math"/>
          </w:rPr>
          <m:t>P</m:t>
        </m:r>
        <m:r>
          <m:rPr>
            <m:sty m:val="p"/>
          </m:rPr>
          <w:rPr>
            <w:rFonts w:ascii="Cambria Math" w:hAnsi="Cambria Math"/>
          </w:rPr>
          <m:t xml:space="preserve"> </m:t>
        </m:r>
      </m:oMath>
      <w:r w:rsidRPr="00BC31E0">
        <w:rPr>
          <w:rFonts w:hint="eastAsia"/>
        </w:rPr>
        <w:t>による</w:t>
      </w:r>
      <m:oMath>
        <m:sSup>
          <m:sSupPr>
            <m:ctrlPr>
              <w:rPr>
                <w:rFonts w:ascii="Cambria Math" w:hAnsi="Cambria Math"/>
                <w:i/>
              </w:rPr>
            </m:ctrlPr>
          </m:sSupPr>
          <m:e>
            <m:sSub>
              <m:sSubPr>
                <m:ctrlPr>
                  <w:rPr>
                    <w:rFonts w:ascii="Cambria Math" w:hAnsi="Cambria Math"/>
                    <w:i/>
                  </w:rPr>
                </m:ctrlPr>
              </m:sSubPr>
              <m:e>
                <m:r>
                  <w:rPr>
                    <w:rFonts w:ascii="Cambria Math" w:hAnsi="Cambria Math"/>
                  </w:rPr>
                  <m:t xml:space="preserve"> A</m:t>
                </m:r>
              </m:e>
              <m:sub>
                <m:r>
                  <w:rPr>
                    <w:rFonts w:ascii="Cambria Math" w:hAnsi="Cambria Math"/>
                  </w:rPr>
                  <m:t>i</m:t>
                </m:r>
              </m:sub>
            </m:sSub>
          </m:e>
          <m:sup>
            <m:r>
              <w:rPr>
                <w:rFonts w:ascii="Cambria Math" w:hAnsi="Cambria Math"/>
              </w:rPr>
              <m:t>'</m:t>
            </m:r>
          </m:sup>
        </m:sSup>
        <m:r>
          <w:rPr>
            <w:rFonts w:ascii="Cambria Math" w:hAnsi="Cambria Math"/>
          </w:rPr>
          <m:t xml:space="preserve"> </m:t>
        </m:r>
      </m:oMath>
      <w:r w:rsidRPr="00BC31E0">
        <w:rPr>
          <w:rFonts w:hint="eastAsia"/>
        </w:rPr>
        <w:t>の値は次式から求める</w:t>
      </w:r>
      <w:r w:rsidRPr="00BC31E0">
        <w:rPr>
          <w:rFonts w:asciiTheme="majorEastAsia" w:hAnsiTheme="majorEastAsia"/>
          <w:b/>
          <w:bCs/>
          <w:vertAlign w:val="superscript"/>
        </w:rPr>
        <w:t>2)</w:t>
      </w:r>
      <w:r w:rsidRPr="00BC31E0">
        <w:rPr>
          <w:rFonts w:hint="eastAsia"/>
        </w:rPr>
        <w:t>。</w:t>
      </w:r>
    </w:p>
    <w:tbl>
      <w:tblPr>
        <w:tblStyle w:val="afff2"/>
        <w:tblW w:w="7229"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4"/>
        <w:gridCol w:w="2275"/>
      </w:tblGrid>
      <w:tr w:rsidR="00F52111" w:rsidRPr="00BC31E0" w14:paraId="1829FCBD" w14:textId="77777777" w:rsidTr="004736F2">
        <w:tc>
          <w:tcPr>
            <w:tcW w:w="0" w:type="auto"/>
            <w:tcMar>
              <w:left w:w="0" w:type="dxa"/>
              <w:right w:w="0" w:type="dxa"/>
            </w:tcMar>
            <w:vAlign w:val="center"/>
          </w:tcPr>
          <w:p w14:paraId="6874021A" w14:textId="77777777" w:rsidR="00F52111" w:rsidRPr="00BC31E0" w:rsidRDefault="00A51873" w:rsidP="00E34B25">
            <w:pPr>
              <w:tabs>
                <w:tab w:val="left" w:pos="1620"/>
                <w:tab w:val="left" w:leader="middleDot" w:pos="8505"/>
              </w:tabs>
              <w:jc w:val="left"/>
              <w:rPr>
                <w:bCs/>
              </w:rPr>
            </w:pPr>
            <m:oMathPara>
              <m:oMathParaPr>
                <m:jc m:val="left"/>
              </m:oMathParaPr>
              <m:oMath>
                <m:f>
                  <m:fPr>
                    <m:type m:val="lin"/>
                    <m:ctrlPr>
                      <w:rPr>
                        <w:rFonts w:ascii="Cambria Math" w:hAnsi="Cambria Math"/>
                        <w:bCs/>
                      </w:rPr>
                    </m:ctrlPr>
                  </m:fPr>
                  <m:num>
                    <m:sSup>
                      <m:sSupPr>
                        <m:ctrlPr>
                          <w:rPr>
                            <w:rFonts w:ascii="Cambria Math" w:hAnsi="Cambria Math"/>
                            <w:bCs/>
                          </w:rPr>
                        </m:ctrlPr>
                      </m:sSupPr>
                      <m:e>
                        <m:sSub>
                          <m:sSubPr>
                            <m:ctrlPr>
                              <w:rPr>
                                <w:rFonts w:ascii="Cambria Math" w:hAnsi="Cambria Math"/>
                                <w:bCs/>
                              </w:rPr>
                            </m:ctrlPr>
                          </m:sSubPr>
                          <m:e>
                            <m:r>
                              <w:rPr>
                                <w:rFonts w:ascii="Cambria Math" w:hAnsi="Cambria Math"/>
                              </w:rPr>
                              <m:t>A</m:t>
                            </m:r>
                          </m:e>
                          <m:sub>
                            <m:r>
                              <w:rPr>
                                <w:rFonts w:ascii="Cambria Math" w:hAnsi="Cambria Math"/>
                              </w:rPr>
                              <m:t>0</m:t>
                            </m:r>
                          </m:sub>
                        </m:sSub>
                      </m:e>
                      <m:sup>
                        <m:r>
                          <w:rPr>
                            <w:rFonts w:ascii="Cambria Math" w:hAnsi="Cambria Math"/>
                          </w:rPr>
                          <m:t>'</m:t>
                        </m:r>
                      </m:sup>
                    </m:sSup>
                  </m:num>
                  <m:den>
                    <m:r>
                      <w:rPr>
                        <w:rFonts w:ascii="Cambria Math" w:hAnsi="Cambria Math"/>
                      </w:rPr>
                      <m:t>P</m:t>
                    </m:r>
                  </m:den>
                </m:f>
                <m:r>
                  <w:rPr>
                    <w:rFonts w:ascii="Cambria Math" w:hAnsi="Cambria Math"/>
                  </w:rPr>
                  <m:t>=</m:t>
                </m:r>
                <m:f>
                  <m:fPr>
                    <m:type m:val="lin"/>
                    <m:ctrlPr>
                      <w:rPr>
                        <w:rFonts w:ascii="Cambria Math" w:hAnsi="Cambria Math"/>
                        <w:bCs/>
                      </w:rPr>
                    </m:ctrlPr>
                  </m:fPr>
                  <m:num>
                    <m:d>
                      <m:dPr>
                        <m:ctrlPr>
                          <w:rPr>
                            <w:rFonts w:ascii="Cambria Math" w:hAnsi="Cambria Math"/>
                            <w:bCs/>
                          </w:rPr>
                        </m:ctrlPr>
                      </m:dPr>
                      <m:e>
                        <m:sSup>
                          <m:sSupPr>
                            <m:ctrlPr>
                              <w:rPr>
                                <w:rFonts w:ascii="Cambria Math" w:hAnsi="Cambria Math"/>
                                <w:bCs/>
                              </w:rPr>
                            </m:ctrlPr>
                          </m:sSupPr>
                          <m:e>
                            <m:r>
                              <w:rPr>
                                <w:rFonts w:ascii="Cambria Math" w:hAnsi="Cambria Math"/>
                              </w:rPr>
                              <m:t>Y</m:t>
                            </m:r>
                          </m:e>
                          <m:sup>
                            <m:r>
                              <w:rPr>
                                <w:rFonts w:ascii="Cambria Math" w:hAnsi="Cambria Math"/>
                              </w:rPr>
                              <m:t>2</m:t>
                            </m:r>
                          </m:sup>
                        </m:sSup>
                        <m:r>
                          <w:rPr>
                            <w:rFonts w:ascii="Cambria Math" w:hAnsi="Cambria Math"/>
                          </w:rPr>
                          <m:t>+1</m:t>
                        </m:r>
                      </m:e>
                    </m:d>
                  </m:num>
                  <m:den>
                    <m:d>
                      <m:dPr>
                        <m:ctrlPr>
                          <w:rPr>
                            <w:rFonts w:ascii="Cambria Math" w:hAnsi="Cambria Math"/>
                            <w:bCs/>
                          </w:rPr>
                        </m:ctrlPr>
                      </m:dPr>
                      <m:e>
                        <m:sSup>
                          <m:sSupPr>
                            <m:ctrlPr>
                              <w:rPr>
                                <w:rFonts w:ascii="Cambria Math" w:hAnsi="Cambria Math"/>
                                <w:bCs/>
                              </w:rPr>
                            </m:ctrlPr>
                          </m:sSupPr>
                          <m:e>
                            <m:r>
                              <w:rPr>
                                <w:rFonts w:ascii="Cambria Math" w:hAnsi="Cambria Math"/>
                              </w:rPr>
                              <m:t>Y</m:t>
                            </m:r>
                          </m:e>
                          <m:sup>
                            <m:r>
                              <w:rPr>
                                <w:rFonts w:ascii="Cambria Math" w:hAnsi="Cambria Math"/>
                              </w:rPr>
                              <m:t>2</m:t>
                            </m:r>
                          </m:sup>
                        </m:sSup>
                        <m:r>
                          <w:rPr>
                            <w:rFonts w:ascii="Cambria Math" w:hAnsi="Cambria Math"/>
                          </w:rPr>
                          <m:t>-1</m:t>
                        </m:r>
                      </m:e>
                    </m:d>
                  </m:den>
                </m:f>
              </m:oMath>
            </m:oMathPara>
          </w:p>
        </w:tc>
        <w:tc>
          <w:tcPr>
            <w:tcW w:w="2275" w:type="dxa"/>
            <w:vMerge w:val="restart"/>
            <w:tcMar>
              <w:left w:w="0" w:type="dxa"/>
              <w:right w:w="0" w:type="dxa"/>
            </w:tcMar>
            <w:vAlign w:val="center"/>
          </w:tcPr>
          <w:p w14:paraId="45819B27" w14:textId="77777777" w:rsidR="00F52111" w:rsidRPr="00BC31E0" w:rsidRDefault="00F52111" w:rsidP="00E34B25">
            <w:pPr>
              <w:tabs>
                <w:tab w:val="left" w:leader="middleDot" w:pos="1850"/>
              </w:tabs>
              <w:spacing w:before="120"/>
              <w:jc w:val="left"/>
              <w:rPr>
                <w:bCs/>
              </w:rPr>
            </w:pPr>
            <w:r w:rsidRPr="00BC31E0">
              <w:rPr>
                <w:bCs/>
              </w:rPr>
              <w:tab/>
            </w:r>
            <w:r w:rsidRPr="00BC31E0">
              <w:rPr>
                <w:rFonts w:hint="eastAsia"/>
                <w:bCs/>
              </w:rPr>
              <w:t>(7)</w:t>
            </w:r>
          </w:p>
        </w:tc>
      </w:tr>
      <w:tr w:rsidR="00F52111" w:rsidRPr="00BC31E0" w14:paraId="5070F515" w14:textId="77777777" w:rsidTr="004736F2">
        <w:tc>
          <w:tcPr>
            <w:tcW w:w="0" w:type="auto"/>
            <w:tcMar>
              <w:left w:w="0" w:type="dxa"/>
              <w:right w:w="0" w:type="dxa"/>
            </w:tcMar>
            <w:vAlign w:val="center"/>
          </w:tcPr>
          <w:p w14:paraId="1DD1A2C6" w14:textId="77777777" w:rsidR="00F52111" w:rsidRPr="00BC31E0" w:rsidRDefault="00A51873" w:rsidP="00E34B25">
            <w:pPr>
              <w:tabs>
                <w:tab w:val="left" w:pos="1843"/>
                <w:tab w:val="left" w:leader="middleDot" w:pos="8505"/>
              </w:tabs>
              <w:spacing w:before="120"/>
              <w:jc w:val="left"/>
              <w:rPr>
                <w:rFonts w:ascii="ＭＳ 明朝" w:hAnsi="ＭＳ 明朝"/>
                <w:bCs/>
              </w:rPr>
            </w:pPr>
            <m:oMathPara>
              <m:oMathParaPr>
                <m:jc m:val="left"/>
              </m:oMathParaPr>
              <m:oMath>
                <m:f>
                  <m:fPr>
                    <m:type m:val="lin"/>
                    <m:ctrlPr>
                      <w:rPr>
                        <w:rFonts w:ascii="Cambria Math" w:hAnsi="Cambria Math"/>
                        <w:bCs/>
                      </w:rPr>
                    </m:ctrlPr>
                  </m:fPr>
                  <m:num>
                    <m:sSup>
                      <m:sSupPr>
                        <m:ctrlPr>
                          <w:rPr>
                            <w:rFonts w:ascii="Cambria Math" w:hAnsi="Cambria Math"/>
                            <w:bCs/>
                          </w:rPr>
                        </m:ctrlPr>
                      </m:sSupPr>
                      <m:e>
                        <m:sSub>
                          <m:sSubPr>
                            <m:ctrlPr>
                              <w:rPr>
                                <w:rFonts w:ascii="Cambria Math" w:hAnsi="Cambria Math"/>
                                <w:bCs/>
                              </w:rPr>
                            </m:ctrlPr>
                          </m:sSubPr>
                          <m:e>
                            <m:r>
                              <w:rPr>
                                <w:rFonts w:ascii="Cambria Math" w:hAnsi="Cambria Math"/>
                              </w:rPr>
                              <m:t>A</m:t>
                            </m:r>
                          </m:e>
                          <m:sub>
                            <m:r>
                              <w:rPr>
                                <w:rFonts w:ascii="Cambria Math" w:hAnsi="Cambria Math"/>
                              </w:rPr>
                              <m:t>1</m:t>
                            </m:r>
                          </m:sub>
                        </m:sSub>
                      </m:e>
                      <m:sup>
                        <m:r>
                          <w:rPr>
                            <w:rFonts w:ascii="Cambria Math" w:hAnsi="Cambria Math"/>
                          </w:rPr>
                          <m:t>'</m:t>
                        </m:r>
                      </m:sup>
                    </m:sSup>
                  </m:num>
                  <m:den>
                    <m:r>
                      <w:rPr>
                        <w:rFonts w:ascii="Cambria Math" w:hAnsi="Cambria Math"/>
                      </w:rPr>
                      <m:t>P</m:t>
                    </m:r>
                  </m:den>
                </m:f>
                <m:r>
                  <w:rPr>
                    <w:rFonts w:ascii="Cambria Math" w:hAnsi="Cambria Math"/>
                  </w:rPr>
                  <m:t xml:space="preserve">=1.051-2.318 Y+0.3036 </m:t>
                </m:r>
                <m:sSup>
                  <m:sSupPr>
                    <m:ctrlPr>
                      <w:rPr>
                        <w:rFonts w:ascii="Cambria Math" w:hAnsi="Cambria Math"/>
                        <w:bCs/>
                      </w:rPr>
                    </m:ctrlPr>
                  </m:sSupPr>
                  <m:e>
                    <m:r>
                      <w:rPr>
                        <w:rFonts w:ascii="Cambria Math" w:hAnsi="Cambria Math"/>
                      </w:rPr>
                      <m:t>Y</m:t>
                    </m:r>
                  </m:e>
                  <m:sup>
                    <m:r>
                      <w:rPr>
                        <w:rFonts w:ascii="Cambria Math" w:hAnsi="Cambria Math"/>
                      </w:rPr>
                      <m:t>2</m:t>
                    </m:r>
                  </m:sup>
                </m:sSup>
                <m:r>
                  <w:rPr>
                    <w:rFonts w:ascii="Cambria Math" w:hAnsi="Cambria Math"/>
                  </w:rPr>
                  <m:t>-0.004417</m:t>
                </m:r>
                <m:sSup>
                  <m:sSupPr>
                    <m:ctrlPr>
                      <w:rPr>
                        <w:rFonts w:ascii="Cambria Math" w:hAnsi="Cambria Math"/>
                        <w:bCs/>
                      </w:rPr>
                    </m:ctrlPr>
                  </m:sSupPr>
                  <m:e>
                    <m:r>
                      <w:rPr>
                        <w:rFonts w:ascii="Cambria Math" w:hAnsi="Cambria Math"/>
                      </w:rPr>
                      <m:t xml:space="preserve"> Y</m:t>
                    </m:r>
                  </m:e>
                  <m:sup>
                    <m:r>
                      <w:rPr>
                        <w:rFonts w:ascii="Cambria Math" w:hAnsi="Cambria Math"/>
                      </w:rPr>
                      <m:t>3</m:t>
                    </m:r>
                  </m:sup>
                </m:sSup>
              </m:oMath>
            </m:oMathPara>
          </w:p>
        </w:tc>
        <w:tc>
          <w:tcPr>
            <w:tcW w:w="2275" w:type="dxa"/>
            <w:vMerge/>
            <w:tcMar>
              <w:left w:w="0" w:type="dxa"/>
              <w:right w:w="0" w:type="dxa"/>
            </w:tcMar>
            <w:vAlign w:val="center"/>
          </w:tcPr>
          <w:p w14:paraId="0E5E3DAE" w14:textId="77777777" w:rsidR="00F52111" w:rsidRPr="00BC31E0" w:rsidRDefault="00F52111" w:rsidP="00E34B25">
            <w:pPr>
              <w:tabs>
                <w:tab w:val="left" w:leader="middleDot" w:pos="1850"/>
              </w:tabs>
              <w:spacing w:before="120"/>
              <w:jc w:val="left"/>
              <w:rPr>
                <w:bCs/>
              </w:rPr>
            </w:pPr>
          </w:p>
        </w:tc>
      </w:tr>
      <w:tr w:rsidR="00F52111" w:rsidRPr="00BC31E0" w14:paraId="5F29F8A3" w14:textId="77777777" w:rsidTr="004736F2">
        <w:tc>
          <w:tcPr>
            <w:tcW w:w="0" w:type="auto"/>
            <w:tcMar>
              <w:left w:w="0" w:type="dxa"/>
              <w:right w:w="0" w:type="dxa"/>
            </w:tcMar>
            <w:vAlign w:val="center"/>
          </w:tcPr>
          <w:p w14:paraId="1876FB4D" w14:textId="77777777" w:rsidR="00F52111" w:rsidRPr="00BC31E0" w:rsidRDefault="00A51873" w:rsidP="00E34B25">
            <w:pPr>
              <w:tabs>
                <w:tab w:val="left" w:pos="1843"/>
                <w:tab w:val="left" w:leader="middleDot" w:pos="8505"/>
              </w:tabs>
              <w:spacing w:before="120"/>
              <w:jc w:val="left"/>
              <w:rPr>
                <w:rFonts w:ascii="ＭＳ 明朝" w:hAnsi="ＭＳ 明朝"/>
                <w:bCs/>
              </w:rPr>
            </w:pPr>
            <m:oMathPara>
              <m:oMathParaPr>
                <m:jc m:val="left"/>
              </m:oMathParaPr>
              <m:oMath>
                <m:f>
                  <m:fPr>
                    <m:type m:val="lin"/>
                    <m:ctrlPr>
                      <w:rPr>
                        <w:rFonts w:ascii="Cambria Math" w:hAnsi="Cambria Math"/>
                        <w:bCs/>
                      </w:rPr>
                    </m:ctrlPr>
                  </m:fPr>
                  <m:num>
                    <m:sSup>
                      <m:sSupPr>
                        <m:ctrlPr>
                          <w:rPr>
                            <w:rFonts w:ascii="Cambria Math" w:hAnsi="Cambria Math"/>
                            <w:bCs/>
                          </w:rPr>
                        </m:ctrlPr>
                      </m:sSupPr>
                      <m:e>
                        <m:sSub>
                          <m:sSubPr>
                            <m:ctrlPr>
                              <w:rPr>
                                <w:rFonts w:ascii="Cambria Math" w:hAnsi="Cambria Math"/>
                                <w:bCs/>
                              </w:rPr>
                            </m:ctrlPr>
                          </m:sSubPr>
                          <m:e>
                            <m:r>
                              <w:rPr>
                                <w:rFonts w:ascii="Cambria Math" w:hAnsi="Cambria Math"/>
                              </w:rPr>
                              <m:t>A</m:t>
                            </m:r>
                          </m:e>
                          <m:sub>
                            <m:r>
                              <w:rPr>
                                <w:rFonts w:ascii="Cambria Math" w:hAnsi="Cambria Math"/>
                              </w:rPr>
                              <m:t>2</m:t>
                            </m:r>
                          </m:sub>
                        </m:sSub>
                      </m:e>
                      <m:sup>
                        <m:r>
                          <w:rPr>
                            <w:rFonts w:ascii="Cambria Math" w:hAnsi="Cambria Math"/>
                          </w:rPr>
                          <m:t>'</m:t>
                        </m:r>
                      </m:sup>
                    </m:sSup>
                  </m:num>
                  <m:den>
                    <m:r>
                      <w:rPr>
                        <w:rFonts w:ascii="Cambria Math" w:hAnsi="Cambria Math"/>
                      </w:rPr>
                      <m:t>P</m:t>
                    </m:r>
                  </m:den>
                </m:f>
                <m:r>
                  <w:rPr>
                    <w:rFonts w:ascii="Cambria Math" w:hAnsi="Cambria Math"/>
                  </w:rPr>
                  <m:t xml:space="preserve">=-1.7678+0.9497 Y+0.9399 </m:t>
                </m:r>
                <m:sSup>
                  <m:sSupPr>
                    <m:ctrlPr>
                      <w:rPr>
                        <w:rFonts w:ascii="Cambria Math" w:hAnsi="Cambria Math"/>
                        <w:bCs/>
                      </w:rPr>
                    </m:ctrlPr>
                  </m:sSupPr>
                  <m:e>
                    <m:r>
                      <w:rPr>
                        <w:rFonts w:ascii="Cambria Math" w:hAnsi="Cambria Math"/>
                      </w:rPr>
                      <m:t>Y</m:t>
                    </m:r>
                  </m:e>
                  <m:sup>
                    <m:r>
                      <w:rPr>
                        <w:rFonts w:ascii="Cambria Math" w:hAnsi="Cambria Math"/>
                      </w:rPr>
                      <m:t>2</m:t>
                    </m:r>
                  </m:sup>
                </m:sSup>
                <m:r>
                  <w:rPr>
                    <w:rFonts w:ascii="Cambria Math" w:hAnsi="Cambria Math"/>
                  </w:rPr>
                  <m:t xml:space="preserve">-0.2056 </m:t>
                </m:r>
                <m:sSup>
                  <m:sSupPr>
                    <m:ctrlPr>
                      <w:rPr>
                        <w:rFonts w:ascii="Cambria Math" w:hAnsi="Cambria Math"/>
                        <w:bCs/>
                      </w:rPr>
                    </m:ctrlPr>
                  </m:sSupPr>
                  <m:e>
                    <m:r>
                      <w:rPr>
                        <w:rFonts w:ascii="Cambria Math" w:hAnsi="Cambria Math"/>
                      </w:rPr>
                      <m:t>Y</m:t>
                    </m:r>
                  </m:e>
                  <m:sup>
                    <m:r>
                      <w:rPr>
                        <w:rFonts w:ascii="Cambria Math" w:hAnsi="Cambria Math"/>
                      </w:rPr>
                      <m:t>3</m:t>
                    </m:r>
                  </m:sup>
                </m:sSup>
              </m:oMath>
            </m:oMathPara>
          </w:p>
        </w:tc>
        <w:tc>
          <w:tcPr>
            <w:tcW w:w="2275" w:type="dxa"/>
            <w:vMerge/>
            <w:tcMar>
              <w:left w:w="0" w:type="dxa"/>
              <w:right w:w="0" w:type="dxa"/>
            </w:tcMar>
            <w:vAlign w:val="center"/>
          </w:tcPr>
          <w:p w14:paraId="27937631" w14:textId="77777777" w:rsidR="00F52111" w:rsidRPr="00BC31E0" w:rsidRDefault="00F52111" w:rsidP="00E34B25">
            <w:pPr>
              <w:tabs>
                <w:tab w:val="left" w:leader="middleDot" w:pos="1850"/>
              </w:tabs>
              <w:spacing w:before="120"/>
              <w:jc w:val="left"/>
              <w:rPr>
                <w:bCs/>
              </w:rPr>
            </w:pPr>
          </w:p>
        </w:tc>
      </w:tr>
      <w:tr w:rsidR="00F52111" w:rsidRPr="00BC31E0" w14:paraId="2DDF7B8E" w14:textId="77777777" w:rsidTr="004736F2">
        <w:tc>
          <w:tcPr>
            <w:tcW w:w="0" w:type="auto"/>
            <w:tcMar>
              <w:left w:w="0" w:type="dxa"/>
              <w:right w:w="0" w:type="dxa"/>
            </w:tcMar>
            <w:vAlign w:val="center"/>
          </w:tcPr>
          <w:p w14:paraId="68345FF3" w14:textId="77777777" w:rsidR="00F52111" w:rsidRPr="00BC31E0" w:rsidRDefault="00A51873" w:rsidP="00E34B25">
            <w:pPr>
              <w:tabs>
                <w:tab w:val="left" w:pos="1843"/>
                <w:tab w:val="left" w:leader="middleDot" w:pos="8505"/>
              </w:tabs>
              <w:spacing w:before="120"/>
              <w:jc w:val="left"/>
              <w:rPr>
                <w:rFonts w:ascii="ＭＳ 明朝" w:hAnsi="ＭＳ 明朝"/>
                <w:bCs/>
              </w:rPr>
            </w:pPr>
            <m:oMathPara>
              <m:oMathParaPr>
                <m:jc m:val="left"/>
              </m:oMathParaPr>
              <m:oMath>
                <m:f>
                  <m:fPr>
                    <m:type m:val="lin"/>
                    <m:ctrlPr>
                      <w:rPr>
                        <w:rFonts w:ascii="Cambria Math" w:hAnsi="Cambria Math"/>
                        <w:bCs/>
                      </w:rPr>
                    </m:ctrlPr>
                  </m:fPr>
                  <m:num>
                    <m:sSup>
                      <m:sSupPr>
                        <m:ctrlPr>
                          <w:rPr>
                            <w:rFonts w:ascii="Cambria Math" w:hAnsi="Cambria Math"/>
                            <w:bCs/>
                          </w:rPr>
                        </m:ctrlPr>
                      </m:sSupPr>
                      <m:e>
                        <m:sSub>
                          <m:sSubPr>
                            <m:ctrlPr>
                              <w:rPr>
                                <w:rFonts w:ascii="Cambria Math" w:hAnsi="Cambria Math"/>
                                <w:bCs/>
                              </w:rPr>
                            </m:ctrlPr>
                          </m:sSubPr>
                          <m:e>
                            <m:r>
                              <w:rPr>
                                <w:rFonts w:ascii="Cambria Math" w:hAnsi="Cambria Math"/>
                              </w:rPr>
                              <m:t>A</m:t>
                            </m:r>
                          </m:e>
                          <m:sub>
                            <m:r>
                              <w:rPr>
                                <w:rFonts w:ascii="Cambria Math" w:hAnsi="Cambria Math"/>
                              </w:rPr>
                              <m:t>3</m:t>
                            </m:r>
                          </m:sub>
                        </m:sSub>
                      </m:e>
                      <m:sup>
                        <m:r>
                          <w:rPr>
                            <w:rFonts w:ascii="Cambria Math" w:hAnsi="Cambria Math"/>
                          </w:rPr>
                          <m:t>'</m:t>
                        </m:r>
                      </m:sup>
                    </m:sSup>
                  </m:num>
                  <m:den>
                    <m:r>
                      <w:rPr>
                        <w:rFonts w:ascii="Cambria Math" w:hAnsi="Cambria Math"/>
                      </w:rPr>
                      <m:t>P</m:t>
                    </m:r>
                  </m:den>
                </m:f>
                <m:r>
                  <w:rPr>
                    <w:rFonts w:ascii="Cambria Math" w:hAnsi="Cambria Math"/>
                  </w:rPr>
                  <m:t xml:space="preserve">=-0.2798+1.3831 Y-1.2603 </m:t>
                </m:r>
                <m:sSup>
                  <m:sSupPr>
                    <m:ctrlPr>
                      <w:rPr>
                        <w:rFonts w:ascii="Cambria Math" w:hAnsi="Cambria Math"/>
                        <w:bCs/>
                      </w:rPr>
                    </m:ctrlPr>
                  </m:sSupPr>
                  <m:e>
                    <m:r>
                      <w:rPr>
                        <w:rFonts w:ascii="Cambria Math" w:hAnsi="Cambria Math"/>
                      </w:rPr>
                      <m:t>Y</m:t>
                    </m:r>
                  </m:e>
                  <m:sup>
                    <m:r>
                      <w:rPr>
                        <w:rFonts w:ascii="Cambria Math" w:hAnsi="Cambria Math"/>
                      </w:rPr>
                      <m:t>2</m:t>
                    </m:r>
                  </m:sup>
                </m:sSup>
                <m:r>
                  <w:rPr>
                    <w:rFonts w:ascii="Cambria Math" w:hAnsi="Cambria Math"/>
                  </w:rPr>
                  <m:t xml:space="preserve">+0.2138 </m:t>
                </m:r>
                <m:sSup>
                  <m:sSupPr>
                    <m:ctrlPr>
                      <w:rPr>
                        <w:rFonts w:ascii="Cambria Math" w:hAnsi="Cambria Math"/>
                        <w:bCs/>
                      </w:rPr>
                    </m:ctrlPr>
                  </m:sSupPr>
                  <m:e>
                    <m:r>
                      <w:rPr>
                        <w:rFonts w:ascii="Cambria Math" w:hAnsi="Cambria Math"/>
                      </w:rPr>
                      <m:t>Y</m:t>
                    </m:r>
                  </m:e>
                  <m:sup>
                    <m:r>
                      <w:rPr>
                        <w:rFonts w:ascii="Cambria Math" w:hAnsi="Cambria Math"/>
                      </w:rPr>
                      <m:t>3</m:t>
                    </m:r>
                  </m:sup>
                </m:sSup>
              </m:oMath>
            </m:oMathPara>
          </w:p>
        </w:tc>
        <w:tc>
          <w:tcPr>
            <w:tcW w:w="2275" w:type="dxa"/>
            <w:vMerge/>
            <w:tcMar>
              <w:left w:w="0" w:type="dxa"/>
              <w:right w:w="0" w:type="dxa"/>
            </w:tcMar>
            <w:vAlign w:val="center"/>
          </w:tcPr>
          <w:p w14:paraId="3C51EC35" w14:textId="77777777" w:rsidR="00F52111" w:rsidRPr="00BC31E0" w:rsidRDefault="00F52111" w:rsidP="00E34B25">
            <w:pPr>
              <w:tabs>
                <w:tab w:val="left" w:leader="middleDot" w:pos="1984"/>
              </w:tabs>
              <w:spacing w:before="120"/>
              <w:jc w:val="left"/>
              <w:rPr>
                <w:bCs/>
              </w:rPr>
            </w:pPr>
          </w:p>
        </w:tc>
      </w:tr>
    </w:tbl>
    <w:p w14:paraId="7193C94E" w14:textId="77777777" w:rsidR="00F52111" w:rsidRPr="00BC31E0" w:rsidRDefault="00F52111" w:rsidP="00E34B25"/>
    <w:p w14:paraId="4D9EA38E" w14:textId="77777777" w:rsidR="00F52111" w:rsidRPr="00BC31E0" w:rsidRDefault="00F52111" w:rsidP="00E34B25">
      <w:pPr>
        <w:widowControl/>
        <w:jc w:val="left"/>
        <w:rPr>
          <w:rFonts w:ascii="ＭＳ ゴシック" w:eastAsia="ＭＳ ゴシック"/>
          <w:b/>
        </w:rPr>
      </w:pPr>
      <w:r w:rsidRPr="00BC31E0">
        <w:rPr>
          <w:rFonts w:ascii="ＭＳ ゴシック" w:eastAsia="ＭＳ ゴシック"/>
          <w:b/>
        </w:rPr>
        <w:br w:type="page"/>
      </w:r>
    </w:p>
    <w:p w14:paraId="59F55FEB" w14:textId="77777777" w:rsidR="00F52111" w:rsidRPr="00BC31E0" w:rsidRDefault="00F52111" w:rsidP="005C582E">
      <w:pPr>
        <w:pStyle w:val="af4"/>
        <w:rPr>
          <w:vertAlign w:val="superscript"/>
        </w:rPr>
      </w:pPr>
      <w:r w:rsidRPr="00BC31E0">
        <w:rPr>
          <w:rFonts w:asciiTheme="majorEastAsia" w:eastAsiaTheme="majorEastAsia" w:hAnsiTheme="majorEastAsia" w:hint="eastAsia"/>
        </w:rPr>
        <w:lastRenderedPageBreak/>
        <w:t>表</w:t>
      </w:r>
      <w:r w:rsidRPr="00BC31E0">
        <w:rPr>
          <w:rFonts w:asciiTheme="majorEastAsia" w:eastAsiaTheme="majorEastAsia" w:hAnsiTheme="majorEastAsia"/>
        </w:rPr>
        <w:t>C.</w:t>
      </w:r>
      <w:r w:rsidRPr="00BC31E0">
        <w:rPr>
          <w:rFonts w:asciiTheme="majorEastAsia" w:eastAsiaTheme="majorEastAsia" w:hAnsiTheme="majorEastAsia" w:hint="eastAsia"/>
        </w:rPr>
        <w:t>1　最深点(</w:t>
      </w:r>
      <m:oMath>
        <m:r>
          <m:rPr>
            <m:sty m:val="bi"/>
          </m:rPr>
          <w:rPr>
            <w:rFonts w:ascii="Cambria Math" w:hAnsi="Cambria Math"/>
          </w:rPr>
          <m:t>ϕ=</m:t>
        </m:r>
        <m:f>
          <m:fPr>
            <m:type m:val="lin"/>
            <m:ctrlPr>
              <w:rPr>
                <w:rFonts w:ascii="Cambria Math" w:hAnsi="Cambria Math"/>
                <w:i/>
              </w:rPr>
            </m:ctrlPr>
          </m:fPr>
          <m:num>
            <m:r>
              <m:rPr>
                <m:sty m:val="bi"/>
              </m:rPr>
              <w:rPr>
                <w:rFonts w:ascii="Cambria Math" w:hAnsi="Cambria Math"/>
              </w:rPr>
              <m:t>π</m:t>
            </m:r>
          </m:num>
          <m:den>
            <m:r>
              <m:rPr>
                <m:sty m:val="bi"/>
              </m:rPr>
              <w:rPr>
                <w:rFonts w:ascii="Cambria Math" w:hAnsi="Cambria Math" w:hint="eastAsia"/>
              </w:rPr>
              <m:t>2</m:t>
            </m:r>
          </m:den>
        </m:f>
      </m:oMath>
      <w:r w:rsidRPr="00BC31E0">
        <w:rPr>
          <w:rFonts w:asciiTheme="majorEastAsia" w:eastAsiaTheme="majorEastAsia" w:hAnsiTheme="majorEastAsia" w:hint="eastAsia"/>
        </w:rPr>
        <w:t>)における自由表面補正係数</w:t>
      </w:r>
      <m:oMath>
        <m:sSub>
          <m:sSubPr>
            <m:ctrlPr>
              <w:rPr>
                <w:rFonts w:ascii="Cambria Math" w:hAnsi="Cambria Math"/>
              </w:rPr>
            </m:ctrlPr>
          </m:sSubPr>
          <m:e>
            <m:r>
              <m:rPr>
                <m:sty m:val="bi"/>
              </m:rPr>
              <w:rPr>
                <w:rFonts w:ascii="Cambria Math" w:hAnsi="Cambria Math"/>
              </w:rPr>
              <m:t xml:space="preserve"> G</m:t>
            </m:r>
          </m:e>
          <m:sub>
            <m:r>
              <m:rPr>
                <m:sty m:val="bi"/>
              </m:rPr>
              <w:rPr>
                <w:rFonts w:ascii="Cambria Math" w:hAnsi="Cambria Math"/>
              </w:rPr>
              <m:t>0</m:t>
            </m:r>
          </m:sub>
        </m:sSub>
      </m:oMath>
      <w:r w:rsidRPr="00BC31E0">
        <w:rPr>
          <w:rFonts w:hint="eastAsia"/>
        </w:rPr>
        <w:t>～</w:t>
      </w:r>
      <m:oMath>
        <m:sSub>
          <m:sSubPr>
            <m:ctrlPr>
              <w:rPr>
                <w:rFonts w:ascii="Cambria Math" w:hAnsi="Cambria Math"/>
              </w:rPr>
            </m:ctrlPr>
          </m:sSubPr>
          <m:e>
            <m:r>
              <m:rPr>
                <m:sty m:val="bi"/>
              </m:rPr>
              <w:rPr>
                <w:rFonts w:ascii="Cambria Math" w:hAnsi="Cambria Math"/>
              </w:rPr>
              <m:t>G</m:t>
            </m:r>
          </m:e>
          <m:sub>
            <m:r>
              <m:rPr>
                <m:sty m:val="bi"/>
              </m:rPr>
              <w:rPr>
                <w:rFonts w:ascii="Cambria Math" w:hAnsi="Cambria Math"/>
              </w:rPr>
              <m:t>3</m:t>
            </m:r>
          </m:sub>
        </m:sSub>
        <m:r>
          <m:rPr>
            <m:sty m:val="b"/>
          </m:rPr>
          <w:rPr>
            <w:rFonts w:ascii="Cambria Math" w:hAnsi="Cambria Math"/>
          </w:rPr>
          <m:t xml:space="preserve"> </m:t>
        </m:r>
      </m:oMath>
      <w:r w:rsidRPr="00BC31E0">
        <w:rPr>
          <w:rFonts w:asciiTheme="majorEastAsia" w:eastAsiaTheme="majorEastAsia" w:hAnsiTheme="majorEastAsia" w:hint="eastAsia"/>
        </w:rPr>
        <w:t>の値</w:t>
      </w:r>
      <w:r w:rsidRPr="00BC31E0">
        <w:rPr>
          <w:rFonts w:asciiTheme="majorEastAsia" w:eastAsiaTheme="majorEastAsia" w:hAnsiTheme="majorEastAsia" w:hint="eastAsia"/>
          <w:vertAlign w:val="superscript"/>
        </w:rPr>
        <w:t>†</w:t>
      </w:r>
    </w:p>
    <w:tbl>
      <w:tblPr>
        <w:tblW w:w="9077" w:type="dxa"/>
        <w:jc w:val="center"/>
        <w:tblLayout w:type="fixed"/>
        <w:tblCellMar>
          <w:left w:w="0" w:type="dxa"/>
          <w:right w:w="0" w:type="dxa"/>
        </w:tblCellMar>
        <w:tblLook w:val="0000" w:firstRow="0" w:lastRow="0" w:firstColumn="0" w:lastColumn="0" w:noHBand="0" w:noVBand="0"/>
      </w:tblPr>
      <w:tblGrid>
        <w:gridCol w:w="856"/>
        <w:gridCol w:w="850"/>
        <w:gridCol w:w="1228"/>
        <w:gridCol w:w="1229"/>
        <w:gridCol w:w="1228"/>
        <w:gridCol w:w="1229"/>
        <w:gridCol w:w="1228"/>
        <w:gridCol w:w="1229"/>
      </w:tblGrid>
      <w:tr w:rsidR="00F52111" w:rsidRPr="00BC31E0" w14:paraId="5B297B96" w14:textId="77777777" w:rsidTr="004736F2">
        <w:trPr>
          <w:cantSplit/>
          <w:jc w:val="center"/>
        </w:trPr>
        <w:tc>
          <w:tcPr>
            <w:tcW w:w="856" w:type="dxa"/>
            <w:vMerge w:val="restart"/>
            <w:tcBorders>
              <w:top w:val="single" w:sz="4" w:space="0" w:color="auto"/>
              <w:left w:val="single" w:sz="4" w:space="0" w:color="auto"/>
              <w:right w:val="single" w:sz="4" w:space="0" w:color="auto"/>
            </w:tcBorders>
            <w:shd w:val="clear" w:color="auto" w:fill="auto"/>
            <w:vAlign w:val="center"/>
          </w:tcPr>
          <w:p w14:paraId="356D9256" w14:textId="77777777" w:rsidR="00F52111" w:rsidRPr="00BC31E0" w:rsidRDefault="00F52111" w:rsidP="004736F2">
            <w:pPr>
              <w:adjustRightInd w:val="0"/>
              <w:snapToGrid w:val="0"/>
              <w:spacing w:line="240" w:lineRule="atLeast"/>
              <w:jc w:val="center"/>
              <w:rPr>
                <w:rFonts w:ascii="ＭＳ 明朝" w:hAnsi="ＭＳ 明朝"/>
                <w:sz w:val="20"/>
                <w:szCs w:val="18"/>
              </w:rPr>
            </w:pPr>
            <w:r w:rsidRPr="00BC31E0">
              <w:rPr>
                <w:rFonts w:ascii="ＭＳ 明朝" w:hAnsi="ＭＳ 明朝" w:hint="eastAsia"/>
                <w:sz w:val="20"/>
                <w:szCs w:val="18"/>
              </w:rPr>
              <w:t>係数</w:t>
            </w:r>
          </w:p>
        </w:tc>
        <w:tc>
          <w:tcPr>
            <w:tcW w:w="850" w:type="dxa"/>
            <w:vMerge w:val="restart"/>
            <w:tcBorders>
              <w:top w:val="single" w:sz="4" w:space="0" w:color="auto"/>
              <w:left w:val="nil"/>
              <w:right w:val="single" w:sz="4" w:space="0" w:color="auto"/>
            </w:tcBorders>
            <w:shd w:val="clear" w:color="auto" w:fill="auto"/>
            <w:vAlign w:val="center"/>
          </w:tcPr>
          <w:p w14:paraId="4793D086" w14:textId="77777777" w:rsidR="00F52111" w:rsidRPr="00BC31E0" w:rsidRDefault="00A51873" w:rsidP="004736F2">
            <w:pPr>
              <w:adjustRightInd w:val="0"/>
              <w:snapToGrid w:val="0"/>
              <w:spacing w:line="240" w:lineRule="atLeast"/>
              <w:jc w:val="center"/>
              <w:rPr>
                <w:rFonts w:ascii="ＭＳ Ｐゴシック" w:eastAsia="ＭＳ Ｐゴシック" w:hAnsi="ＭＳ Ｐゴシック"/>
                <w:sz w:val="20"/>
                <w:szCs w:val="22"/>
              </w:rPr>
            </w:pPr>
            <m:oMathPara>
              <m:oMath>
                <m:f>
                  <m:fPr>
                    <m:type m:val="lin"/>
                    <m:ctrlPr>
                      <w:rPr>
                        <w:rFonts w:ascii="Cambria Math" w:hAnsi="Cambria Math"/>
                      </w:rPr>
                    </m:ctrlPr>
                  </m:fPr>
                  <m:num>
                    <m:r>
                      <w:rPr>
                        <w:rFonts w:ascii="Cambria Math" w:hAnsi="Cambria Math"/>
                      </w:rPr>
                      <m:t>a</m:t>
                    </m:r>
                  </m:num>
                  <m:den>
                    <m:r>
                      <w:rPr>
                        <w:rFonts w:ascii="Cambria Math" w:hAnsi="Cambria Math"/>
                      </w:rPr>
                      <m:t>t</m:t>
                    </m:r>
                  </m:den>
                </m:f>
              </m:oMath>
            </m:oMathPara>
          </w:p>
        </w:tc>
        <w:tc>
          <w:tcPr>
            <w:tcW w:w="7371" w:type="dxa"/>
            <w:gridSpan w:val="6"/>
            <w:tcBorders>
              <w:top w:val="single" w:sz="4" w:space="0" w:color="auto"/>
              <w:left w:val="nil"/>
              <w:bottom w:val="single" w:sz="4" w:space="0" w:color="auto"/>
              <w:right w:val="single" w:sz="4" w:space="0" w:color="auto"/>
            </w:tcBorders>
            <w:noWrap/>
            <w:vAlign w:val="center"/>
          </w:tcPr>
          <w:p w14:paraId="0CB37202" w14:textId="77777777" w:rsidR="00F52111" w:rsidRPr="00BC31E0" w:rsidRDefault="00F52111" w:rsidP="004736F2">
            <w:pPr>
              <w:adjustRightInd w:val="0"/>
              <w:snapToGrid w:val="0"/>
              <w:spacing w:line="240" w:lineRule="atLeast"/>
              <w:jc w:val="center"/>
              <w:rPr>
                <w:rFonts w:ascii="ＭＳ Ｐゴシック" w:eastAsia="ＭＳ Ｐゴシック" w:hAnsi="ＭＳ Ｐゴシック"/>
                <w:sz w:val="20"/>
                <w:szCs w:val="18"/>
              </w:rPr>
            </w:pPr>
            <w:r w:rsidRPr="00BC31E0">
              <w:rPr>
                <w:rFonts w:ascii="ＭＳ 明朝" w:hAnsi="ＭＳ 明朝" w:hint="eastAsia"/>
                <w:sz w:val="20"/>
              </w:rPr>
              <w:t>亀裂のアスペクト比</w:t>
            </w:r>
            <w:r w:rsidRPr="00BC31E0">
              <w:rPr>
                <w:rFonts w:ascii="ＭＳ 明朝" w:hAnsi="ＭＳ 明朝" w:hint="eastAsia"/>
                <w:sz w:val="20"/>
                <w:szCs w:val="18"/>
              </w:rPr>
              <w:t xml:space="preserve"> </w:t>
            </w:r>
            <m:oMath>
              <m:f>
                <m:fPr>
                  <m:type m:val="lin"/>
                  <m:ctrlPr>
                    <w:rPr>
                      <w:rFonts w:ascii="Cambria Math" w:hAnsi="Cambria Math"/>
                    </w:rPr>
                  </m:ctrlPr>
                </m:fPr>
                <m:num>
                  <m:r>
                    <w:rPr>
                      <w:rFonts w:ascii="Cambria Math" w:hAnsi="Cambria Math"/>
                    </w:rPr>
                    <m:t>a</m:t>
                  </m:r>
                </m:num>
                <m:den>
                  <m:r>
                    <w:rPr>
                      <w:rFonts w:ascii="Cambria Math" w:hAnsi="Cambria Math"/>
                    </w:rPr>
                    <m:t>l</m:t>
                  </m:r>
                </m:den>
              </m:f>
            </m:oMath>
          </w:p>
        </w:tc>
      </w:tr>
      <w:tr w:rsidR="00F52111" w:rsidRPr="00BC31E0" w14:paraId="1CC08603" w14:textId="77777777" w:rsidTr="004736F2">
        <w:trPr>
          <w:cantSplit/>
          <w:jc w:val="center"/>
        </w:trPr>
        <w:tc>
          <w:tcPr>
            <w:tcW w:w="856" w:type="dxa"/>
            <w:vMerge/>
            <w:tcBorders>
              <w:left w:val="single" w:sz="4" w:space="0" w:color="auto"/>
              <w:bottom w:val="single" w:sz="4" w:space="0" w:color="000000"/>
              <w:right w:val="single" w:sz="4" w:space="0" w:color="auto"/>
            </w:tcBorders>
            <w:shd w:val="clear" w:color="auto" w:fill="auto"/>
            <w:vAlign w:val="center"/>
          </w:tcPr>
          <w:p w14:paraId="6177008F" w14:textId="77777777" w:rsidR="00F52111" w:rsidRPr="00BC31E0" w:rsidRDefault="00F52111" w:rsidP="004736F2">
            <w:pPr>
              <w:adjustRightInd w:val="0"/>
              <w:snapToGrid w:val="0"/>
              <w:spacing w:line="240" w:lineRule="atLeast"/>
              <w:rPr>
                <w:rFonts w:ascii="ＭＳ Ｐ明朝" w:eastAsia="ＭＳ Ｐ明朝" w:hAnsi="ＭＳ Ｐ明朝"/>
                <w:sz w:val="20"/>
                <w:szCs w:val="18"/>
              </w:rPr>
            </w:pPr>
          </w:p>
        </w:tc>
        <w:tc>
          <w:tcPr>
            <w:tcW w:w="850" w:type="dxa"/>
            <w:vMerge/>
            <w:tcBorders>
              <w:left w:val="nil"/>
              <w:bottom w:val="single" w:sz="4" w:space="0" w:color="000000"/>
              <w:right w:val="single" w:sz="4" w:space="0" w:color="auto"/>
            </w:tcBorders>
            <w:shd w:val="clear" w:color="auto" w:fill="auto"/>
            <w:vAlign w:val="center"/>
          </w:tcPr>
          <w:p w14:paraId="2D5D4A56" w14:textId="77777777" w:rsidR="00F52111" w:rsidRPr="00BC31E0" w:rsidRDefault="00F52111" w:rsidP="004736F2">
            <w:pPr>
              <w:adjustRightInd w:val="0"/>
              <w:snapToGrid w:val="0"/>
              <w:spacing w:line="240" w:lineRule="atLeast"/>
              <w:rPr>
                <w:rFonts w:ascii="ＭＳ Ｐゴシック" w:eastAsia="ＭＳ Ｐゴシック" w:hAnsi="ＭＳ Ｐゴシック"/>
                <w:sz w:val="20"/>
                <w:szCs w:val="22"/>
              </w:rPr>
            </w:pPr>
          </w:p>
        </w:tc>
        <w:tc>
          <w:tcPr>
            <w:tcW w:w="1228" w:type="dxa"/>
            <w:tcBorders>
              <w:top w:val="single" w:sz="4" w:space="0" w:color="auto"/>
              <w:left w:val="nil"/>
              <w:bottom w:val="single" w:sz="4" w:space="0" w:color="auto"/>
              <w:right w:val="nil"/>
            </w:tcBorders>
            <w:noWrap/>
            <w:vAlign w:val="center"/>
          </w:tcPr>
          <w:p w14:paraId="6EF99DA8" w14:textId="77777777" w:rsidR="00F52111" w:rsidRPr="00BC31E0" w:rsidRDefault="00F52111" w:rsidP="004736F2">
            <w:pPr>
              <w:adjustRightInd w:val="0"/>
              <w:snapToGrid w:val="0"/>
              <w:spacing w:line="240" w:lineRule="atLeast"/>
              <w:jc w:val="center"/>
              <w:rPr>
                <w:rFonts w:eastAsia="ＭＳ ゴシック"/>
                <w:sz w:val="18"/>
                <w:szCs w:val="18"/>
              </w:rPr>
            </w:pPr>
            <w:r w:rsidRPr="00BC31E0">
              <w:rPr>
                <w:rFonts w:eastAsia="ＭＳ ゴシック"/>
                <w:sz w:val="18"/>
                <w:szCs w:val="18"/>
              </w:rPr>
              <w:t>0.0</w:t>
            </w:r>
          </w:p>
        </w:tc>
        <w:tc>
          <w:tcPr>
            <w:tcW w:w="1229" w:type="dxa"/>
            <w:tcBorders>
              <w:top w:val="single" w:sz="4" w:space="0" w:color="auto"/>
              <w:left w:val="nil"/>
              <w:bottom w:val="single" w:sz="4" w:space="0" w:color="auto"/>
              <w:right w:val="nil"/>
            </w:tcBorders>
            <w:noWrap/>
            <w:vAlign w:val="center"/>
          </w:tcPr>
          <w:p w14:paraId="79221CC1" w14:textId="77777777" w:rsidR="00F52111" w:rsidRPr="00BC31E0" w:rsidRDefault="00F52111" w:rsidP="004736F2">
            <w:pPr>
              <w:adjustRightInd w:val="0"/>
              <w:snapToGrid w:val="0"/>
              <w:spacing w:line="240" w:lineRule="atLeast"/>
              <w:jc w:val="center"/>
              <w:rPr>
                <w:rFonts w:eastAsia="ＭＳ ゴシック"/>
                <w:sz w:val="18"/>
                <w:szCs w:val="18"/>
              </w:rPr>
            </w:pPr>
            <w:r w:rsidRPr="00BC31E0">
              <w:rPr>
                <w:rFonts w:eastAsia="ＭＳ ゴシック"/>
                <w:sz w:val="18"/>
                <w:szCs w:val="18"/>
              </w:rPr>
              <w:t>0.1</w:t>
            </w:r>
          </w:p>
        </w:tc>
        <w:tc>
          <w:tcPr>
            <w:tcW w:w="1228" w:type="dxa"/>
            <w:tcBorders>
              <w:top w:val="single" w:sz="4" w:space="0" w:color="auto"/>
              <w:left w:val="nil"/>
              <w:bottom w:val="single" w:sz="4" w:space="0" w:color="auto"/>
              <w:right w:val="nil"/>
            </w:tcBorders>
            <w:noWrap/>
            <w:vAlign w:val="center"/>
          </w:tcPr>
          <w:p w14:paraId="2CB61984" w14:textId="77777777" w:rsidR="00F52111" w:rsidRPr="00BC31E0" w:rsidRDefault="00F52111" w:rsidP="004736F2">
            <w:pPr>
              <w:adjustRightInd w:val="0"/>
              <w:snapToGrid w:val="0"/>
              <w:spacing w:line="240" w:lineRule="atLeast"/>
              <w:jc w:val="center"/>
              <w:rPr>
                <w:rFonts w:eastAsia="ＭＳ ゴシック"/>
                <w:sz w:val="18"/>
                <w:szCs w:val="18"/>
              </w:rPr>
            </w:pPr>
            <w:r w:rsidRPr="00BC31E0">
              <w:rPr>
                <w:rFonts w:eastAsia="ＭＳ ゴシック"/>
                <w:sz w:val="18"/>
                <w:szCs w:val="18"/>
              </w:rPr>
              <w:t>0.2</w:t>
            </w:r>
          </w:p>
        </w:tc>
        <w:tc>
          <w:tcPr>
            <w:tcW w:w="1229" w:type="dxa"/>
            <w:tcBorders>
              <w:top w:val="single" w:sz="4" w:space="0" w:color="auto"/>
              <w:left w:val="nil"/>
              <w:bottom w:val="single" w:sz="4" w:space="0" w:color="auto"/>
              <w:right w:val="nil"/>
            </w:tcBorders>
            <w:noWrap/>
            <w:vAlign w:val="center"/>
          </w:tcPr>
          <w:p w14:paraId="60FDAB1A" w14:textId="77777777" w:rsidR="00F52111" w:rsidRPr="00BC31E0" w:rsidRDefault="00F52111" w:rsidP="004736F2">
            <w:pPr>
              <w:adjustRightInd w:val="0"/>
              <w:snapToGrid w:val="0"/>
              <w:spacing w:line="240" w:lineRule="atLeast"/>
              <w:jc w:val="center"/>
              <w:rPr>
                <w:rFonts w:eastAsia="ＭＳ ゴシック"/>
                <w:sz w:val="18"/>
                <w:szCs w:val="18"/>
              </w:rPr>
            </w:pPr>
            <w:r w:rsidRPr="00BC31E0">
              <w:rPr>
                <w:rFonts w:eastAsia="ＭＳ ゴシック"/>
                <w:sz w:val="18"/>
                <w:szCs w:val="18"/>
              </w:rPr>
              <w:t>0.3</w:t>
            </w:r>
          </w:p>
        </w:tc>
        <w:tc>
          <w:tcPr>
            <w:tcW w:w="1228" w:type="dxa"/>
            <w:tcBorders>
              <w:top w:val="single" w:sz="4" w:space="0" w:color="auto"/>
              <w:left w:val="nil"/>
              <w:bottom w:val="single" w:sz="4" w:space="0" w:color="auto"/>
              <w:right w:val="nil"/>
            </w:tcBorders>
            <w:noWrap/>
            <w:vAlign w:val="center"/>
          </w:tcPr>
          <w:p w14:paraId="7E99EF97" w14:textId="77777777" w:rsidR="00F52111" w:rsidRPr="00BC31E0" w:rsidRDefault="00F52111" w:rsidP="004736F2">
            <w:pPr>
              <w:adjustRightInd w:val="0"/>
              <w:snapToGrid w:val="0"/>
              <w:spacing w:line="240" w:lineRule="atLeast"/>
              <w:jc w:val="center"/>
              <w:rPr>
                <w:rFonts w:eastAsia="ＭＳ ゴシック"/>
                <w:sz w:val="18"/>
                <w:szCs w:val="18"/>
              </w:rPr>
            </w:pPr>
            <w:r w:rsidRPr="00BC31E0">
              <w:rPr>
                <w:rFonts w:eastAsia="ＭＳ ゴシック"/>
                <w:sz w:val="18"/>
                <w:szCs w:val="18"/>
              </w:rPr>
              <w:t>0.4</w:t>
            </w:r>
          </w:p>
        </w:tc>
        <w:tc>
          <w:tcPr>
            <w:tcW w:w="1229" w:type="dxa"/>
            <w:tcBorders>
              <w:top w:val="single" w:sz="4" w:space="0" w:color="auto"/>
              <w:left w:val="nil"/>
              <w:bottom w:val="single" w:sz="4" w:space="0" w:color="auto"/>
              <w:right w:val="single" w:sz="4" w:space="0" w:color="auto"/>
            </w:tcBorders>
            <w:noWrap/>
            <w:vAlign w:val="center"/>
          </w:tcPr>
          <w:p w14:paraId="72896A50" w14:textId="77777777" w:rsidR="00F52111" w:rsidRPr="00BC31E0" w:rsidRDefault="00F52111" w:rsidP="004736F2">
            <w:pPr>
              <w:adjustRightInd w:val="0"/>
              <w:snapToGrid w:val="0"/>
              <w:spacing w:line="240" w:lineRule="atLeast"/>
              <w:jc w:val="center"/>
              <w:rPr>
                <w:rFonts w:eastAsia="ＭＳ ゴシック"/>
                <w:sz w:val="18"/>
                <w:szCs w:val="18"/>
              </w:rPr>
            </w:pPr>
            <w:r w:rsidRPr="00BC31E0">
              <w:rPr>
                <w:rFonts w:eastAsia="ＭＳ ゴシック"/>
                <w:sz w:val="18"/>
                <w:szCs w:val="18"/>
              </w:rPr>
              <w:t>0.5</w:t>
            </w:r>
          </w:p>
        </w:tc>
      </w:tr>
      <w:tr w:rsidR="00F52111" w:rsidRPr="00BC31E0" w14:paraId="537D5033" w14:textId="77777777" w:rsidTr="004736F2">
        <w:trPr>
          <w:cantSplit/>
          <w:jc w:val="center"/>
        </w:trPr>
        <w:tc>
          <w:tcPr>
            <w:tcW w:w="856" w:type="dxa"/>
            <w:vMerge w:val="restart"/>
            <w:tcBorders>
              <w:top w:val="nil"/>
              <w:left w:val="single" w:sz="4" w:space="0" w:color="auto"/>
              <w:right w:val="nil"/>
            </w:tcBorders>
            <w:shd w:val="clear" w:color="auto" w:fill="auto"/>
            <w:noWrap/>
            <w:vAlign w:val="center"/>
          </w:tcPr>
          <w:p w14:paraId="20E1D9D0" w14:textId="77777777" w:rsidR="00F52111" w:rsidRPr="00BC31E0" w:rsidRDefault="00A51873" w:rsidP="004736F2">
            <w:pPr>
              <w:adjustRightInd w:val="0"/>
              <w:snapToGrid w:val="0"/>
              <w:jc w:val="center"/>
              <w:rPr>
                <w:rFonts w:ascii="ＭＳ 明朝" w:hAnsi="ＭＳ 明朝"/>
              </w:rPr>
            </w:pPr>
            <m:oMathPara>
              <m:oMath>
                <m:sSub>
                  <m:sSubPr>
                    <m:ctrlPr>
                      <w:rPr>
                        <w:rFonts w:ascii="Cambria Math" w:hAnsi="Cambria Math"/>
                      </w:rPr>
                    </m:ctrlPr>
                  </m:sSubPr>
                  <m:e>
                    <m:r>
                      <w:rPr>
                        <w:rFonts w:ascii="Cambria Math" w:hAnsi="Cambria Math"/>
                      </w:rPr>
                      <m:t>G</m:t>
                    </m:r>
                  </m:e>
                  <m:sub>
                    <m:r>
                      <w:rPr>
                        <w:rFonts w:ascii="Cambria Math" w:hAnsi="Cambria Math"/>
                      </w:rPr>
                      <m:t>0</m:t>
                    </m:r>
                  </m:sub>
                </m:sSub>
              </m:oMath>
            </m:oMathPara>
          </w:p>
        </w:tc>
        <w:tc>
          <w:tcPr>
            <w:tcW w:w="850" w:type="dxa"/>
            <w:tcBorders>
              <w:top w:val="nil"/>
              <w:left w:val="single" w:sz="4" w:space="0" w:color="auto"/>
              <w:bottom w:val="nil"/>
              <w:right w:val="single" w:sz="4" w:space="0" w:color="auto"/>
            </w:tcBorders>
            <w:noWrap/>
            <w:vAlign w:val="center"/>
          </w:tcPr>
          <w:p w14:paraId="136DC74C"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0.00</w:t>
            </w:r>
          </w:p>
        </w:tc>
        <w:tc>
          <w:tcPr>
            <w:tcW w:w="1228" w:type="dxa"/>
            <w:tcBorders>
              <w:top w:val="nil"/>
              <w:left w:val="nil"/>
              <w:bottom w:val="nil"/>
              <w:right w:val="nil"/>
            </w:tcBorders>
            <w:noWrap/>
            <w:vAlign w:val="center"/>
          </w:tcPr>
          <w:p w14:paraId="75837411"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1.1208</w:t>
            </w:r>
          </w:p>
        </w:tc>
        <w:tc>
          <w:tcPr>
            <w:tcW w:w="1229" w:type="dxa"/>
            <w:tcBorders>
              <w:top w:val="nil"/>
              <w:left w:val="nil"/>
              <w:bottom w:val="nil"/>
              <w:right w:val="nil"/>
            </w:tcBorders>
            <w:noWrap/>
            <w:vAlign w:val="center"/>
          </w:tcPr>
          <w:p w14:paraId="4F0898A0"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1.0969</w:t>
            </w:r>
          </w:p>
        </w:tc>
        <w:tc>
          <w:tcPr>
            <w:tcW w:w="1228" w:type="dxa"/>
            <w:tcBorders>
              <w:top w:val="nil"/>
              <w:left w:val="nil"/>
              <w:bottom w:val="nil"/>
              <w:right w:val="nil"/>
            </w:tcBorders>
            <w:noWrap/>
            <w:vAlign w:val="center"/>
          </w:tcPr>
          <w:p w14:paraId="17D4140F"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1.0856</w:t>
            </w:r>
          </w:p>
        </w:tc>
        <w:tc>
          <w:tcPr>
            <w:tcW w:w="1229" w:type="dxa"/>
            <w:tcBorders>
              <w:top w:val="nil"/>
              <w:left w:val="nil"/>
              <w:bottom w:val="nil"/>
              <w:right w:val="nil"/>
            </w:tcBorders>
            <w:noWrap/>
            <w:vAlign w:val="center"/>
          </w:tcPr>
          <w:p w14:paraId="3E124670"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1.0727</w:t>
            </w:r>
          </w:p>
        </w:tc>
        <w:tc>
          <w:tcPr>
            <w:tcW w:w="1228" w:type="dxa"/>
            <w:tcBorders>
              <w:top w:val="nil"/>
              <w:left w:val="nil"/>
              <w:bottom w:val="nil"/>
              <w:right w:val="nil"/>
            </w:tcBorders>
            <w:noWrap/>
            <w:vAlign w:val="center"/>
          </w:tcPr>
          <w:p w14:paraId="5E24F8FF"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1.0564</w:t>
            </w:r>
          </w:p>
        </w:tc>
        <w:tc>
          <w:tcPr>
            <w:tcW w:w="1229" w:type="dxa"/>
            <w:tcBorders>
              <w:top w:val="nil"/>
              <w:left w:val="nil"/>
              <w:bottom w:val="nil"/>
              <w:right w:val="single" w:sz="4" w:space="0" w:color="auto"/>
            </w:tcBorders>
            <w:noWrap/>
            <w:vAlign w:val="center"/>
          </w:tcPr>
          <w:p w14:paraId="4B714553"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1.0366</w:t>
            </w:r>
          </w:p>
        </w:tc>
      </w:tr>
      <w:tr w:rsidR="00F52111" w:rsidRPr="00BC31E0" w14:paraId="70C2659B" w14:textId="77777777" w:rsidTr="004736F2">
        <w:trPr>
          <w:cantSplit/>
          <w:jc w:val="center"/>
        </w:trPr>
        <w:tc>
          <w:tcPr>
            <w:tcW w:w="856" w:type="dxa"/>
            <w:vMerge/>
            <w:tcBorders>
              <w:left w:val="single" w:sz="4" w:space="0" w:color="auto"/>
              <w:right w:val="nil"/>
            </w:tcBorders>
            <w:shd w:val="clear" w:color="auto" w:fill="auto"/>
            <w:noWrap/>
            <w:vAlign w:val="center"/>
          </w:tcPr>
          <w:p w14:paraId="097AA692" w14:textId="77777777" w:rsidR="00F52111" w:rsidRPr="00BC31E0" w:rsidRDefault="00F52111" w:rsidP="004736F2">
            <w:pPr>
              <w:adjustRightInd w:val="0"/>
              <w:snapToGrid w:val="0"/>
              <w:spacing w:line="240" w:lineRule="atLeast"/>
              <w:jc w:val="center"/>
              <w:rPr>
                <w:rFonts w:ascii="ＭＳ Ｐゴシック" w:eastAsia="ＭＳ Ｐゴシック" w:hAnsi="ＭＳ Ｐゴシック"/>
                <w:sz w:val="20"/>
                <w:szCs w:val="18"/>
              </w:rPr>
            </w:pPr>
          </w:p>
        </w:tc>
        <w:tc>
          <w:tcPr>
            <w:tcW w:w="850" w:type="dxa"/>
            <w:tcBorders>
              <w:top w:val="nil"/>
              <w:left w:val="single" w:sz="4" w:space="0" w:color="auto"/>
              <w:bottom w:val="nil"/>
              <w:right w:val="single" w:sz="4" w:space="0" w:color="auto"/>
            </w:tcBorders>
            <w:noWrap/>
            <w:vAlign w:val="center"/>
          </w:tcPr>
          <w:p w14:paraId="4154F40C"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0.05</w:t>
            </w:r>
          </w:p>
        </w:tc>
        <w:tc>
          <w:tcPr>
            <w:tcW w:w="1228" w:type="dxa"/>
            <w:tcBorders>
              <w:top w:val="nil"/>
              <w:left w:val="nil"/>
              <w:bottom w:val="nil"/>
              <w:right w:val="nil"/>
            </w:tcBorders>
            <w:noWrap/>
            <w:vAlign w:val="center"/>
          </w:tcPr>
          <w:p w14:paraId="7323555C"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1.1461</w:t>
            </w:r>
          </w:p>
        </w:tc>
        <w:tc>
          <w:tcPr>
            <w:tcW w:w="1229" w:type="dxa"/>
            <w:tcBorders>
              <w:top w:val="nil"/>
              <w:left w:val="nil"/>
              <w:bottom w:val="nil"/>
              <w:right w:val="nil"/>
            </w:tcBorders>
            <w:noWrap/>
            <w:vAlign w:val="center"/>
          </w:tcPr>
          <w:p w14:paraId="2D8EA4EE"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1.1000</w:t>
            </w:r>
          </w:p>
        </w:tc>
        <w:tc>
          <w:tcPr>
            <w:tcW w:w="1228" w:type="dxa"/>
            <w:tcBorders>
              <w:top w:val="nil"/>
              <w:left w:val="nil"/>
              <w:bottom w:val="nil"/>
              <w:right w:val="nil"/>
            </w:tcBorders>
            <w:noWrap/>
            <w:vAlign w:val="center"/>
          </w:tcPr>
          <w:p w14:paraId="545A17B3"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1.0879</w:t>
            </w:r>
          </w:p>
        </w:tc>
        <w:tc>
          <w:tcPr>
            <w:tcW w:w="1229" w:type="dxa"/>
            <w:tcBorders>
              <w:top w:val="nil"/>
              <w:left w:val="nil"/>
              <w:bottom w:val="nil"/>
              <w:right w:val="nil"/>
            </w:tcBorders>
            <w:noWrap/>
            <w:vAlign w:val="center"/>
          </w:tcPr>
          <w:p w14:paraId="1F4C14AE"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1.0740</w:t>
            </w:r>
          </w:p>
        </w:tc>
        <w:tc>
          <w:tcPr>
            <w:tcW w:w="1228" w:type="dxa"/>
            <w:tcBorders>
              <w:top w:val="nil"/>
              <w:left w:val="nil"/>
              <w:bottom w:val="nil"/>
              <w:right w:val="nil"/>
            </w:tcBorders>
            <w:noWrap/>
            <w:vAlign w:val="center"/>
          </w:tcPr>
          <w:p w14:paraId="44C22B35"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1.0575</w:t>
            </w:r>
          </w:p>
        </w:tc>
        <w:tc>
          <w:tcPr>
            <w:tcW w:w="1229" w:type="dxa"/>
            <w:tcBorders>
              <w:top w:val="nil"/>
              <w:left w:val="nil"/>
              <w:bottom w:val="nil"/>
              <w:right w:val="single" w:sz="4" w:space="0" w:color="auto"/>
            </w:tcBorders>
            <w:noWrap/>
            <w:vAlign w:val="center"/>
          </w:tcPr>
          <w:p w14:paraId="68005B7B"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1.0373</w:t>
            </w:r>
          </w:p>
        </w:tc>
      </w:tr>
      <w:tr w:rsidR="00F52111" w:rsidRPr="00BC31E0" w14:paraId="44DAE47C" w14:textId="77777777" w:rsidTr="004736F2">
        <w:trPr>
          <w:cantSplit/>
          <w:jc w:val="center"/>
        </w:trPr>
        <w:tc>
          <w:tcPr>
            <w:tcW w:w="856" w:type="dxa"/>
            <w:vMerge/>
            <w:tcBorders>
              <w:left w:val="single" w:sz="4" w:space="0" w:color="auto"/>
              <w:right w:val="nil"/>
            </w:tcBorders>
            <w:shd w:val="clear" w:color="auto" w:fill="auto"/>
            <w:noWrap/>
            <w:vAlign w:val="center"/>
          </w:tcPr>
          <w:p w14:paraId="6CC0E909" w14:textId="77777777" w:rsidR="00F52111" w:rsidRPr="00BC31E0" w:rsidRDefault="00F52111" w:rsidP="004736F2">
            <w:pPr>
              <w:adjustRightInd w:val="0"/>
              <w:snapToGrid w:val="0"/>
              <w:spacing w:line="240" w:lineRule="atLeast"/>
              <w:jc w:val="center"/>
              <w:rPr>
                <w:rFonts w:ascii="ＭＳ Ｐゴシック" w:eastAsia="ＭＳ Ｐゴシック" w:hAnsi="ＭＳ Ｐゴシック"/>
                <w:sz w:val="20"/>
                <w:szCs w:val="18"/>
              </w:rPr>
            </w:pPr>
          </w:p>
        </w:tc>
        <w:tc>
          <w:tcPr>
            <w:tcW w:w="850" w:type="dxa"/>
            <w:tcBorders>
              <w:top w:val="nil"/>
              <w:left w:val="single" w:sz="4" w:space="0" w:color="auto"/>
              <w:bottom w:val="nil"/>
              <w:right w:val="single" w:sz="4" w:space="0" w:color="auto"/>
            </w:tcBorders>
            <w:noWrap/>
            <w:vAlign w:val="center"/>
          </w:tcPr>
          <w:p w14:paraId="3FB8F6AE"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0.10</w:t>
            </w:r>
          </w:p>
        </w:tc>
        <w:tc>
          <w:tcPr>
            <w:tcW w:w="1228" w:type="dxa"/>
            <w:tcBorders>
              <w:top w:val="nil"/>
              <w:left w:val="nil"/>
              <w:bottom w:val="nil"/>
              <w:right w:val="nil"/>
            </w:tcBorders>
            <w:noWrap/>
            <w:vAlign w:val="center"/>
          </w:tcPr>
          <w:p w14:paraId="35DC4728"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1.1945</w:t>
            </w:r>
          </w:p>
        </w:tc>
        <w:tc>
          <w:tcPr>
            <w:tcW w:w="1229" w:type="dxa"/>
            <w:tcBorders>
              <w:top w:val="nil"/>
              <w:left w:val="nil"/>
              <w:bottom w:val="nil"/>
              <w:right w:val="nil"/>
            </w:tcBorders>
            <w:noWrap/>
            <w:vAlign w:val="center"/>
          </w:tcPr>
          <w:p w14:paraId="5EA28A1E"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1.1152</w:t>
            </w:r>
          </w:p>
        </w:tc>
        <w:tc>
          <w:tcPr>
            <w:tcW w:w="1228" w:type="dxa"/>
            <w:tcBorders>
              <w:top w:val="nil"/>
              <w:left w:val="nil"/>
              <w:bottom w:val="nil"/>
              <w:right w:val="nil"/>
            </w:tcBorders>
            <w:noWrap/>
            <w:vAlign w:val="center"/>
          </w:tcPr>
          <w:p w14:paraId="1C9990C5"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1.0947</w:t>
            </w:r>
          </w:p>
        </w:tc>
        <w:tc>
          <w:tcPr>
            <w:tcW w:w="1229" w:type="dxa"/>
            <w:tcBorders>
              <w:top w:val="nil"/>
              <w:left w:val="nil"/>
              <w:bottom w:val="nil"/>
              <w:right w:val="nil"/>
            </w:tcBorders>
            <w:noWrap/>
            <w:vAlign w:val="center"/>
          </w:tcPr>
          <w:p w14:paraId="4A53904F"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1.0779</w:t>
            </w:r>
          </w:p>
        </w:tc>
        <w:tc>
          <w:tcPr>
            <w:tcW w:w="1228" w:type="dxa"/>
            <w:tcBorders>
              <w:top w:val="nil"/>
              <w:left w:val="nil"/>
              <w:bottom w:val="nil"/>
              <w:right w:val="nil"/>
            </w:tcBorders>
            <w:noWrap/>
            <w:vAlign w:val="center"/>
          </w:tcPr>
          <w:p w14:paraId="02D41021"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1.0609</w:t>
            </w:r>
          </w:p>
        </w:tc>
        <w:tc>
          <w:tcPr>
            <w:tcW w:w="1229" w:type="dxa"/>
            <w:tcBorders>
              <w:top w:val="nil"/>
              <w:left w:val="nil"/>
              <w:bottom w:val="nil"/>
              <w:right w:val="single" w:sz="4" w:space="0" w:color="auto"/>
            </w:tcBorders>
            <w:noWrap/>
            <w:vAlign w:val="center"/>
          </w:tcPr>
          <w:p w14:paraId="1C7B64E8"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1.0396</w:t>
            </w:r>
          </w:p>
        </w:tc>
      </w:tr>
      <w:tr w:rsidR="00F52111" w:rsidRPr="00BC31E0" w14:paraId="6B822B38" w14:textId="77777777" w:rsidTr="004736F2">
        <w:trPr>
          <w:cantSplit/>
          <w:jc w:val="center"/>
        </w:trPr>
        <w:tc>
          <w:tcPr>
            <w:tcW w:w="856" w:type="dxa"/>
            <w:vMerge/>
            <w:tcBorders>
              <w:left w:val="single" w:sz="4" w:space="0" w:color="auto"/>
              <w:right w:val="nil"/>
            </w:tcBorders>
            <w:shd w:val="clear" w:color="auto" w:fill="auto"/>
            <w:noWrap/>
            <w:vAlign w:val="center"/>
          </w:tcPr>
          <w:p w14:paraId="1C7C4F7A" w14:textId="77777777" w:rsidR="00F52111" w:rsidRPr="00BC31E0" w:rsidRDefault="00F52111" w:rsidP="004736F2">
            <w:pPr>
              <w:adjustRightInd w:val="0"/>
              <w:snapToGrid w:val="0"/>
              <w:spacing w:line="240" w:lineRule="atLeast"/>
              <w:jc w:val="center"/>
              <w:rPr>
                <w:rFonts w:ascii="ＭＳ Ｐゴシック" w:eastAsia="ＭＳ Ｐゴシック" w:hAnsi="ＭＳ Ｐゴシック"/>
                <w:sz w:val="20"/>
                <w:szCs w:val="18"/>
              </w:rPr>
            </w:pPr>
          </w:p>
        </w:tc>
        <w:tc>
          <w:tcPr>
            <w:tcW w:w="850" w:type="dxa"/>
            <w:tcBorders>
              <w:top w:val="nil"/>
              <w:left w:val="single" w:sz="4" w:space="0" w:color="auto"/>
              <w:bottom w:val="nil"/>
              <w:right w:val="single" w:sz="4" w:space="0" w:color="auto"/>
            </w:tcBorders>
            <w:noWrap/>
            <w:vAlign w:val="center"/>
          </w:tcPr>
          <w:p w14:paraId="6801BA68"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0.15</w:t>
            </w:r>
          </w:p>
        </w:tc>
        <w:tc>
          <w:tcPr>
            <w:tcW w:w="1228" w:type="dxa"/>
            <w:tcBorders>
              <w:top w:val="nil"/>
              <w:left w:val="nil"/>
              <w:bottom w:val="nil"/>
              <w:right w:val="nil"/>
            </w:tcBorders>
            <w:noWrap/>
            <w:vAlign w:val="center"/>
          </w:tcPr>
          <w:p w14:paraId="255925BD"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1.2670</w:t>
            </w:r>
          </w:p>
        </w:tc>
        <w:tc>
          <w:tcPr>
            <w:tcW w:w="1229" w:type="dxa"/>
            <w:tcBorders>
              <w:top w:val="nil"/>
              <w:left w:val="nil"/>
              <w:bottom w:val="nil"/>
              <w:right w:val="nil"/>
            </w:tcBorders>
            <w:noWrap/>
            <w:vAlign w:val="center"/>
          </w:tcPr>
          <w:p w14:paraId="68098419"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1.1402</w:t>
            </w:r>
          </w:p>
        </w:tc>
        <w:tc>
          <w:tcPr>
            <w:tcW w:w="1228" w:type="dxa"/>
            <w:tcBorders>
              <w:top w:val="nil"/>
              <w:left w:val="nil"/>
              <w:bottom w:val="nil"/>
              <w:right w:val="nil"/>
            </w:tcBorders>
            <w:noWrap/>
            <w:vAlign w:val="center"/>
          </w:tcPr>
          <w:p w14:paraId="501D9503"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1.1058</w:t>
            </w:r>
          </w:p>
        </w:tc>
        <w:tc>
          <w:tcPr>
            <w:tcW w:w="1229" w:type="dxa"/>
            <w:tcBorders>
              <w:top w:val="nil"/>
              <w:left w:val="nil"/>
              <w:bottom w:val="nil"/>
              <w:right w:val="nil"/>
            </w:tcBorders>
            <w:noWrap/>
            <w:vAlign w:val="center"/>
          </w:tcPr>
          <w:p w14:paraId="19EA7D71"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1.0842</w:t>
            </w:r>
          </w:p>
        </w:tc>
        <w:tc>
          <w:tcPr>
            <w:tcW w:w="1228" w:type="dxa"/>
            <w:tcBorders>
              <w:top w:val="nil"/>
              <w:left w:val="nil"/>
              <w:bottom w:val="nil"/>
              <w:right w:val="nil"/>
            </w:tcBorders>
            <w:noWrap/>
            <w:vAlign w:val="center"/>
          </w:tcPr>
          <w:p w14:paraId="53DB1A5D"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1.0664</w:t>
            </w:r>
          </w:p>
        </w:tc>
        <w:tc>
          <w:tcPr>
            <w:tcW w:w="1229" w:type="dxa"/>
            <w:tcBorders>
              <w:top w:val="nil"/>
              <w:left w:val="nil"/>
              <w:bottom w:val="nil"/>
              <w:right w:val="single" w:sz="4" w:space="0" w:color="auto"/>
            </w:tcBorders>
            <w:noWrap/>
            <w:vAlign w:val="center"/>
          </w:tcPr>
          <w:p w14:paraId="178F321C"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1.0432</w:t>
            </w:r>
          </w:p>
        </w:tc>
      </w:tr>
      <w:tr w:rsidR="00F52111" w:rsidRPr="00BC31E0" w14:paraId="7244909F" w14:textId="77777777" w:rsidTr="004736F2">
        <w:trPr>
          <w:cantSplit/>
          <w:jc w:val="center"/>
        </w:trPr>
        <w:tc>
          <w:tcPr>
            <w:tcW w:w="856" w:type="dxa"/>
            <w:vMerge/>
            <w:tcBorders>
              <w:left w:val="single" w:sz="4" w:space="0" w:color="auto"/>
              <w:right w:val="nil"/>
            </w:tcBorders>
            <w:shd w:val="clear" w:color="auto" w:fill="auto"/>
            <w:noWrap/>
            <w:vAlign w:val="center"/>
          </w:tcPr>
          <w:p w14:paraId="7BC0F562" w14:textId="77777777" w:rsidR="00F52111" w:rsidRPr="00BC31E0" w:rsidRDefault="00F52111" w:rsidP="004736F2">
            <w:pPr>
              <w:adjustRightInd w:val="0"/>
              <w:snapToGrid w:val="0"/>
              <w:spacing w:line="240" w:lineRule="atLeast"/>
              <w:jc w:val="center"/>
              <w:rPr>
                <w:rFonts w:ascii="ＭＳ Ｐゴシック" w:eastAsia="ＭＳ Ｐゴシック" w:hAnsi="ＭＳ Ｐゴシック"/>
                <w:sz w:val="20"/>
                <w:szCs w:val="18"/>
              </w:rPr>
            </w:pPr>
          </w:p>
        </w:tc>
        <w:tc>
          <w:tcPr>
            <w:tcW w:w="850" w:type="dxa"/>
            <w:tcBorders>
              <w:top w:val="nil"/>
              <w:left w:val="single" w:sz="4" w:space="0" w:color="auto"/>
              <w:bottom w:val="nil"/>
              <w:right w:val="single" w:sz="4" w:space="0" w:color="auto"/>
            </w:tcBorders>
            <w:noWrap/>
            <w:vAlign w:val="center"/>
          </w:tcPr>
          <w:p w14:paraId="34929C20"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0.20</w:t>
            </w:r>
          </w:p>
        </w:tc>
        <w:tc>
          <w:tcPr>
            <w:tcW w:w="1228" w:type="dxa"/>
            <w:tcBorders>
              <w:top w:val="nil"/>
              <w:left w:val="nil"/>
              <w:bottom w:val="nil"/>
              <w:right w:val="nil"/>
            </w:tcBorders>
            <w:noWrap/>
            <w:vAlign w:val="center"/>
          </w:tcPr>
          <w:p w14:paraId="777C4446"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1.3654</w:t>
            </w:r>
          </w:p>
        </w:tc>
        <w:tc>
          <w:tcPr>
            <w:tcW w:w="1229" w:type="dxa"/>
            <w:tcBorders>
              <w:top w:val="nil"/>
              <w:left w:val="nil"/>
              <w:bottom w:val="nil"/>
              <w:right w:val="nil"/>
            </w:tcBorders>
            <w:noWrap/>
            <w:vAlign w:val="center"/>
          </w:tcPr>
          <w:p w14:paraId="75542AA9"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1.1744</w:t>
            </w:r>
          </w:p>
        </w:tc>
        <w:tc>
          <w:tcPr>
            <w:tcW w:w="1228" w:type="dxa"/>
            <w:tcBorders>
              <w:top w:val="nil"/>
              <w:left w:val="nil"/>
              <w:bottom w:val="nil"/>
              <w:right w:val="nil"/>
            </w:tcBorders>
            <w:noWrap/>
            <w:vAlign w:val="center"/>
          </w:tcPr>
          <w:p w14:paraId="38F591B4"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1.1210</w:t>
            </w:r>
          </w:p>
        </w:tc>
        <w:tc>
          <w:tcPr>
            <w:tcW w:w="1229" w:type="dxa"/>
            <w:tcBorders>
              <w:top w:val="nil"/>
              <w:left w:val="nil"/>
              <w:bottom w:val="nil"/>
              <w:right w:val="nil"/>
            </w:tcBorders>
            <w:noWrap/>
            <w:vAlign w:val="center"/>
          </w:tcPr>
          <w:p w14:paraId="3FE3670E"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1.0928</w:t>
            </w:r>
          </w:p>
        </w:tc>
        <w:tc>
          <w:tcPr>
            <w:tcW w:w="1228" w:type="dxa"/>
            <w:tcBorders>
              <w:top w:val="nil"/>
              <w:left w:val="nil"/>
              <w:bottom w:val="nil"/>
              <w:right w:val="nil"/>
            </w:tcBorders>
            <w:noWrap/>
            <w:vAlign w:val="center"/>
          </w:tcPr>
          <w:p w14:paraId="11F55490"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1.0739</w:t>
            </w:r>
          </w:p>
        </w:tc>
        <w:tc>
          <w:tcPr>
            <w:tcW w:w="1229" w:type="dxa"/>
            <w:tcBorders>
              <w:top w:val="nil"/>
              <w:left w:val="nil"/>
              <w:bottom w:val="nil"/>
              <w:right w:val="single" w:sz="4" w:space="0" w:color="auto"/>
            </w:tcBorders>
            <w:noWrap/>
            <w:vAlign w:val="center"/>
          </w:tcPr>
          <w:p w14:paraId="0BB9CEF0"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1.0482</w:t>
            </w:r>
          </w:p>
        </w:tc>
      </w:tr>
      <w:tr w:rsidR="00F52111" w:rsidRPr="00BC31E0" w14:paraId="27B4E5DF" w14:textId="77777777" w:rsidTr="004736F2">
        <w:trPr>
          <w:cantSplit/>
          <w:jc w:val="center"/>
        </w:trPr>
        <w:tc>
          <w:tcPr>
            <w:tcW w:w="856" w:type="dxa"/>
            <w:vMerge/>
            <w:tcBorders>
              <w:left w:val="single" w:sz="4" w:space="0" w:color="auto"/>
              <w:right w:val="nil"/>
            </w:tcBorders>
            <w:shd w:val="clear" w:color="auto" w:fill="auto"/>
            <w:noWrap/>
            <w:vAlign w:val="center"/>
          </w:tcPr>
          <w:p w14:paraId="4B6D0FE2" w14:textId="77777777" w:rsidR="00F52111" w:rsidRPr="00BC31E0" w:rsidRDefault="00F52111" w:rsidP="004736F2">
            <w:pPr>
              <w:adjustRightInd w:val="0"/>
              <w:snapToGrid w:val="0"/>
              <w:spacing w:line="240" w:lineRule="atLeast"/>
              <w:jc w:val="center"/>
              <w:rPr>
                <w:rFonts w:ascii="ＭＳ Ｐゴシック" w:eastAsia="ＭＳ Ｐゴシック" w:hAnsi="ＭＳ Ｐゴシック"/>
                <w:sz w:val="20"/>
                <w:szCs w:val="22"/>
              </w:rPr>
            </w:pPr>
          </w:p>
        </w:tc>
        <w:tc>
          <w:tcPr>
            <w:tcW w:w="850" w:type="dxa"/>
            <w:tcBorders>
              <w:top w:val="nil"/>
              <w:left w:val="single" w:sz="4" w:space="0" w:color="auto"/>
              <w:bottom w:val="nil"/>
              <w:right w:val="single" w:sz="4" w:space="0" w:color="auto"/>
            </w:tcBorders>
            <w:noWrap/>
            <w:vAlign w:val="center"/>
          </w:tcPr>
          <w:p w14:paraId="32072F23"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0.25</w:t>
            </w:r>
          </w:p>
        </w:tc>
        <w:tc>
          <w:tcPr>
            <w:tcW w:w="1228" w:type="dxa"/>
            <w:tcBorders>
              <w:top w:val="nil"/>
              <w:left w:val="nil"/>
              <w:bottom w:val="nil"/>
              <w:right w:val="nil"/>
            </w:tcBorders>
            <w:noWrap/>
            <w:vAlign w:val="center"/>
          </w:tcPr>
          <w:p w14:paraId="58A829FB"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1.4929</w:t>
            </w:r>
          </w:p>
        </w:tc>
        <w:tc>
          <w:tcPr>
            <w:tcW w:w="1229" w:type="dxa"/>
            <w:tcBorders>
              <w:top w:val="nil"/>
              <w:left w:val="nil"/>
              <w:bottom w:val="nil"/>
              <w:right w:val="nil"/>
            </w:tcBorders>
            <w:noWrap/>
            <w:vAlign w:val="center"/>
          </w:tcPr>
          <w:p w14:paraId="465F5AF9"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1.2170</w:t>
            </w:r>
          </w:p>
        </w:tc>
        <w:tc>
          <w:tcPr>
            <w:tcW w:w="1228" w:type="dxa"/>
            <w:tcBorders>
              <w:top w:val="nil"/>
              <w:left w:val="nil"/>
              <w:bottom w:val="nil"/>
              <w:right w:val="nil"/>
            </w:tcBorders>
            <w:noWrap/>
            <w:vAlign w:val="center"/>
          </w:tcPr>
          <w:p w14:paraId="5331E5A9"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1.1399</w:t>
            </w:r>
          </w:p>
        </w:tc>
        <w:tc>
          <w:tcPr>
            <w:tcW w:w="1229" w:type="dxa"/>
            <w:tcBorders>
              <w:top w:val="nil"/>
              <w:left w:val="nil"/>
              <w:bottom w:val="nil"/>
              <w:right w:val="nil"/>
            </w:tcBorders>
            <w:noWrap/>
            <w:vAlign w:val="center"/>
          </w:tcPr>
          <w:p w14:paraId="3C44711E"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1.1035</w:t>
            </w:r>
          </w:p>
        </w:tc>
        <w:tc>
          <w:tcPr>
            <w:tcW w:w="1228" w:type="dxa"/>
            <w:tcBorders>
              <w:top w:val="nil"/>
              <w:left w:val="nil"/>
              <w:bottom w:val="nil"/>
              <w:right w:val="nil"/>
            </w:tcBorders>
            <w:noWrap/>
            <w:vAlign w:val="center"/>
          </w:tcPr>
          <w:p w14:paraId="28B454E1"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1.0832</w:t>
            </w:r>
          </w:p>
        </w:tc>
        <w:tc>
          <w:tcPr>
            <w:tcW w:w="1229" w:type="dxa"/>
            <w:tcBorders>
              <w:top w:val="nil"/>
              <w:left w:val="nil"/>
              <w:bottom w:val="nil"/>
              <w:right w:val="single" w:sz="4" w:space="0" w:color="auto"/>
            </w:tcBorders>
            <w:noWrap/>
            <w:vAlign w:val="center"/>
          </w:tcPr>
          <w:p w14:paraId="2929126F"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1.0543</w:t>
            </w:r>
          </w:p>
        </w:tc>
      </w:tr>
      <w:tr w:rsidR="00F52111" w:rsidRPr="00BC31E0" w14:paraId="647A7878" w14:textId="77777777" w:rsidTr="004736F2">
        <w:trPr>
          <w:cantSplit/>
          <w:jc w:val="center"/>
        </w:trPr>
        <w:tc>
          <w:tcPr>
            <w:tcW w:w="856" w:type="dxa"/>
            <w:vMerge/>
            <w:tcBorders>
              <w:left w:val="single" w:sz="4" w:space="0" w:color="auto"/>
              <w:right w:val="nil"/>
            </w:tcBorders>
            <w:shd w:val="clear" w:color="auto" w:fill="auto"/>
            <w:vAlign w:val="center"/>
          </w:tcPr>
          <w:p w14:paraId="61E362AB" w14:textId="77777777" w:rsidR="00F52111" w:rsidRPr="00BC31E0" w:rsidRDefault="00F52111" w:rsidP="004736F2">
            <w:pPr>
              <w:adjustRightInd w:val="0"/>
              <w:snapToGrid w:val="0"/>
              <w:spacing w:line="240" w:lineRule="atLeast"/>
              <w:jc w:val="center"/>
              <w:rPr>
                <w:rFonts w:ascii="ＭＳ Ｐゴシック" w:eastAsia="ＭＳ Ｐゴシック" w:hAnsi="ＭＳ Ｐゴシック"/>
                <w:sz w:val="20"/>
                <w:szCs w:val="22"/>
              </w:rPr>
            </w:pPr>
          </w:p>
        </w:tc>
        <w:tc>
          <w:tcPr>
            <w:tcW w:w="850" w:type="dxa"/>
            <w:tcBorders>
              <w:top w:val="nil"/>
              <w:left w:val="single" w:sz="4" w:space="0" w:color="auto"/>
              <w:bottom w:val="nil"/>
              <w:right w:val="single" w:sz="4" w:space="0" w:color="auto"/>
            </w:tcBorders>
            <w:noWrap/>
            <w:vAlign w:val="center"/>
          </w:tcPr>
          <w:p w14:paraId="6B4D1EF9"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0.30</w:t>
            </w:r>
          </w:p>
        </w:tc>
        <w:tc>
          <w:tcPr>
            <w:tcW w:w="1228" w:type="dxa"/>
            <w:tcBorders>
              <w:top w:val="nil"/>
              <w:left w:val="nil"/>
              <w:bottom w:val="nil"/>
              <w:right w:val="nil"/>
            </w:tcBorders>
            <w:noWrap/>
            <w:vAlign w:val="center"/>
          </w:tcPr>
          <w:p w14:paraId="08AA2308"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1.6539</w:t>
            </w:r>
          </w:p>
        </w:tc>
        <w:tc>
          <w:tcPr>
            <w:tcW w:w="1229" w:type="dxa"/>
            <w:tcBorders>
              <w:top w:val="nil"/>
              <w:left w:val="nil"/>
              <w:bottom w:val="nil"/>
              <w:right w:val="nil"/>
            </w:tcBorders>
            <w:noWrap/>
            <w:vAlign w:val="center"/>
          </w:tcPr>
          <w:p w14:paraId="020EA507"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1.2670</w:t>
            </w:r>
          </w:p>
        </w:tc>
        <w:tc>
          <w:tcPr>
            <w:tcW w:w="1228" w:type="dxa"/>
            <w:tcBorders>
              <w:top w:val="nil"/>
              <w:left w:val="nil"/>
              <w:bottom w:val="nil"/>
              <w:right w:val="nil"/>
            </w:tcBorders>
            <w:noWrap/>
            <w:vAlign w:val="center"/>
          </w:tcPr>
          <w:p w14:paraId="06DDBD16"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1.1621</w:t>
            </w:r>
          </w:p>
        </w:tc>
        <w:tc>
          <w:tcPr>
            <w:tcW w:w="1229" w:type="dxa"/>
            <w:tcBorders>
              <w:top w:val="nil"/>
              <w:left w:val="nil"/>
              <w:bottom w:val="nil"/>
              <w:right w:val="nil"/>
            </w:tcBorders>
            <w:noWrap/>
            <w:vAlign w:val="center"/>
          </w:tcPr>
          <w:p w14:paraId="03ABA9AC"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1.1160</w:t>
            </w:r>
          </w:p>
        </w:tc>
        <w:tc>
          <w:tcPr>
            <w:tcW w:w="1228" w:type="dxa"/>
            <w:tcBorders>
              <w:top w:val="nil"/>
              <w:left w:val="nil"/>
              <w:bottom w:val="nil"/>
              <w:right w:val="nil"/>
            </w:tcBorders>
            <w:noWrap/>
            <w:vAlign w:val="center"/>
          </w:tcPr>
          <w:p w14:paraId="6B98EA30"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1.0960</w:t>
            </w:r>
          </w:p>
        </w:tc>
        <w:tc>
          <w:tcPr>
            <w:tcW w:w="1229" w:type="dxa"/>
            <w:tcBorders>
              <w:top w:val="nil"/>
              <w:left w:val="nil"/>
              <w:bottom w:val="nil"/>
              <w:right w:val="single" w:sz="4" w:space="0" w:color="auto"/>
            </w:tcBorders>
            <w:noWrap/>
            <w:vAlign w:val="center"/>
          </w:tcPr>
          <w:p w14:paraId="645D25A8"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1.0614</w:t>
            </w:r>
          </w:p>
        </w:tc>
      </w:tr>
      <w:tr w:rsidR="00F52111" w:rsidRPr="00BC31E0" w14:paraId="4F6348C5" w14:textId="77777777" w:rsidTr="004736F2">
        <w:trPr>
          <w:cantSplit/>
          <w:jc w:val="center"/>
        </w:trPr>
        <w:tc>
          <w:tcPr>
            <w:tcW w:w="856" w:type="dxa"/>
            <w:vMerge/>
            <w:tcBorders>
              <w:left w:val="single" w:sz="4" w:space="0" w:color="auto"/>
              <w:right w:val="nil"/>
            </w:tcBorders>
            <w:shd w:val="clear" w:color="auto" w:fill="auto"/>
            <w:noWrap/>
            <w:vAlign w:val="center"/>
          </w:tcPr>
          <w:p w14:paraId="496C76A6" w14:textId="77777777" w:rsidR="00F52111" w:rsidRPr="00BC31E0" w:rsidRDefault="00F52111" w:rsidP="004736F2">
            <w:pPr>
              <w:adjustRightInd w:val="0"/>
              <w:snapToGrid w:val="0"/>
              <w:spacing w:line="240" w:lineRule="atLeast"/>
              <w:jc w:val="center"/>
              <w:rPr>
                <w:rFonts w:ascii="ＭＳ Ｐゴシック" w:eastAsia="ＭＳ Ｐゴシック" w:hAnsi="ＭＳ Ｐゴシック"/>
                <w:sz w:val="20"/>
                <w:szCs w:val="18"/>
              </w:rPr>
            </w:pPr>
          </w:p>
        </w:tc>
        <w:tc>
          <w:tcPr>
            <w:tcW w:w="850" w:type="dxa"/>
            <w:tcBorders>
              <w:top w:val="nil"/>
              <w:left w:val="single" w:sz="4" w:space="0" w:color="auto"/>
              <w:bottom w:val="nil"/>
              <w:right w:val="single" w:sz="4" w:space="0" w:color="auto"/>
            </w:tcBorders>
            <w:noWrap/>
            <w:vAlign w:val="center"/>
          </w:tcPr>
          <w:p w14:paraId="61109D16"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0.40</w:t>
            </w:r>
          </w:p>
        </w:tc>
        <w:tc>
          <w:tcPr>
            <w:tcW w:w="1228" w:type="dxa"/>
            <w:tcBorders>
              <w:top w:val="nil"/>
              <w:left w:val="nil"/>
              <w:bottom w:val="nil"/>
              <w:right w:val="nil"/>
            </w:tcBorders>
            <w:noWrap/>
            <w:vAlign w:val="center"/>
          </w:tcPr>
          <w:p w14:paraId="55674C94"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2.1068</w:t>
            </w:r>
          </w:p>
        </w:tc>
        <w:tc>
          <w:tcPr>
            <w:tcW w:w="1229" w:type="dxa"/>
            <w:tcBorders>
              <w:top w:val="nil"/>
              <w:left w:val="nil"/>
              <w:bottom w:val="nil"/>
              <w:right w:val="nil"/>
            </w:tcBorders>
            <w:noWrap/>
            <w:vAlign w:val="center"/>
          </w:tcPr>
          <w:p w14:paraId="76F19FB5"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1.3840</w:t>
            </w:r>
          </w:p>
        </w:tc>
        <w:tc>
          <w:tcPr>
            <w:tcW w:w="1228" w:type="dxa"/>
            <w:tcBorders>
              <w:top w:val="nil"/>
              <w:left w:val="nil"/>
              <w:bottom w:val="nil"/>
              <w:right w:val="nil"/>
            </w:tcBorders>
            <w:noWrap/>
            <w:vAlign w:val="center"/>
          </w:tcPr>
          <w:p w14:paraId="2E88C9B5"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1.2135</w:t>
            </w:r>
          </w:p>
        </w:tc>
        <w:tc>
          <w:tcPr>
            <w:tcW w:w="1229" w:type="dxa"/>
            <w:tcBorders>
              <w:top w:val="nil"/>
              <w:left w:val="nil"/>
              <w:bottom w:val="nil"/>
              <w:right w:val="nil"/>
            </w:tcBorders>
            <w:noWrap/>
            <w:vAlign w:val="center"/>
          </w:tcPr>
          <w:p w14:paraId="50AEEE68"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1.1448</w:t>
            </w:r>
          </w:p>
        </w:tc>
        <w:tc>
          <w:tcPr>
            <w:tcW w:w="1228" w:type="dxa"/>
            <w:tcBorders>
              <w:top w:val="nil"/>
              <w:left w:val="nil"/>
              <w:bottom w:val="nil"/>
              <w:right w:val="nil"/>
            </w:tcBorders>
            <w:noWrap/>
            <w:vAlign w:val="center"/>
          </w:tcPr>
          <w:p w14:paraId="61FCFAD3"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1.1190</w:t>
            </w:r>
          </w:p>
        </w:tc>
        <w:tc>
          <w:tcPr>
            <w:tcW w:w="1229" w:type="dxa"/>
            <w:tcBorders>
              <w:top w:val="nil"/>
              <w:left w:val="nil"/>
              <w:bottom w:val="nil"/>
              <w:right w:val="single" w:sz="4" w:space="0" w:color="auto"/>
            </w:tcBorders>
            <w:noWrap/>
            <w:vAlign w:val="center"/>
          </w:tcPr>
          <w:p w14:paraId="412F51D6"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1.0772</w:t>
            </w:r>
          </w:p>
        </w:tc>
      </w:tr>
      <w:tr w:rsidR="00F52111" w:rsidRPr="00BC31E0" w14:paraId="4B3964FD" w14:textId="77777777" w:rsidTr="004736F2">
        <w:trPr>
          <w:cantSplit/>
          <w:jc w:val="center"/>
        </w:trPr>
        <w:tc>
          <w:tcPr>
            <w:tcW w:w="856" w:type="dxa"/>
            <w:vMerge/>
            <w:tcBorders>
              <w:left w:val="single" w:sz="4" w:space="0" w:color="auto"/>
              <w:right w:val="nil"/>
            </w:tcBorders>
            <w:shd w:val="clear" w:color="auto" w:fill="auto"/>
            <w:noWrap/>
            <w:vAlign w:val="center"/>
          </w:tcPr>
          <w:p w14:paraId="2EEB9917" w14:textId="77777777" w:rsidR="00F52111" w:rsidRPr="00BC31E0" w:rsidRDefault="00F52111" w:rsidP="004736F2">
            <w:pPr>
              <w:adjustRightInd w:val="0"/>
              <w:snapToGrid w:val="0"/>
              <w:spacing w:line="240" w:lineRule="atLeast"/>
              <w:jc w:val="center"/>
              <w:rPr>
                <w:rFonts w:ascii="ＭＳ Ｐゴシック" w:eastAsia="ＭＳ Ｐゴシック" w:hAnsi="ＭＳ Ｐゴシック"/>
                <w:sz w:val="20"/>
                <w:szCs w:val="18"/>
              </w:rPr>
            </w:pPr>
          </w:p>
        </w:tc>
        <w:tc>
          <w:tcPr>
            <w:tcW w:w="850" w:type="dxa"/>
            <w:tcBorders>
              <w:top w:val="nil"/>
              <w:left w:val="single" w:sz="4" w:space="0" w:color="auto"/>
              <w:bottom w:val="nil"/>
              <w:right w:val="single" w:sz="4" w:space="0" w:color="auto"/>
            </w:tcBorders>
            <w:noWrap/>
            <w:vAlign w:val="center"/>
          </w:tcPr>
          <w:p w14:paraId="1F5CD3EF"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0.50</w:t>
            </w:r>
          </w:p>
        </w:tc>
        <w:tc>
          <w:tcPr>
            <w:tcW w:w="1228" w:type="dxa"/>
            <w:tcBorders>
              <w:top w:val="nil"/>
              <w:left w:val="nil"/>
              <w:bottom w:val="nil"/>
              <w:right w:val="nil"/>
            </w:tcBorders>
            <w:noWrap/>
            <w:vAlign w:val="center"/>
          </w:tcPr>
          <w:p w14:paraId="473B43BA"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2.8254</w:t>
            </w:r>
          </w:p>
        </w:tc>
        <w:tc>
          <w:tcPr>
            <w:tcW w:w="1229" w:type="dxa"/>
            <w:tcBorders>
              <w:top w:val="nil"/>
              <w:left w:val="nil"/>
              <w:bottom w:val="nil"/>
              <w:right w:val="nil"/>
            </w:tcBorders>
            <w:noWrap/>
            <w:vAlign w:val="center"/>
          </w:tcPr>
          <w:p w14:paraId="47A2107C"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1.5128</w:t>
            </w:r>
          </w:p>
        </w:tc>
        <w:tc>
          <w:tcPr>
            <w:tcW w:w="1228" w:type="dxa"/>
            <w:tcBorders>
              <w:top w:val="nil"/>
              <w:left w:val="nil"/>
              <w:bottom w:val="nil"/>
              <w:right w:val="nil"/>
            </w:tcBorders>
            <w:noWrap/>
            <w:vAlign w:val="center"/>
          </w:tcPr>
          <w:p w14:paraId="2F5F3DB0"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1.2693</w:t>
            </w:r>
          </w:p>
        </w:tc>
        <w:tc>
          <w:tcPr>
            <w:tcW w:w="1229" w:type="dxa"/>
            <w:tcBorders>
              <w:top w:val="nil"/>
              <w:left w:val="nil"/>
              <w:bottom w:val="nil"/>
              <w:right w:val="nil"/>
            </w:tcBorders>
            <w:noWrap/>
            <w:vAlign w:val="center"/>
          </w:tcPr>
          <w:p w14:paraId="73CE5E34"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1.1757</w:t>
            </w:r>
          </w:p>
        </w:tc>
        <w:tc>
          <w:tcPr>
            <w:tcW w:w="1228" w:type="dxa"/>
            <w:tcBorders>
              <w:top w:val="nil"/>
              <w:left w:val="nil"/>
              <w:bottom w:val="nil"/>
              <w:right w:val="nil"/>
            </w:tcBorders>
            <w:noWrap/>
            <w:vAlign w:val="center"/>
          </w:tcPr>
          <w:p w14:paraId="4F00E5DA"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1.1457</w:t>
            </w:r>
          </w:p>
        </w:tc>
        <w:tc>
          <w:tcPr>
            <w:tcW w:w="1229" w:type="dxa"/>
            <w:tcBorders>
              <w:top w:val="nil"/>
              <w:left w:val="nil"/>
              <w:bottom w:val="nil"/>
              <w:right w:val="single" w:sz="4" w:space="0" w:color="auto"/>
            </w:tcBorders>
            <w:noWrap/>
            <w:vAlign w:val="center"/>
          </w:tcPr>
          <w:p w14:paraId="707ECADD"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1.0931</w:t>
            </w:r>
          </w:p>
        </w:tc>
      </w:tr>
      <w:tr w:rsidR="00F52111" w:rsidRPr="00BC31E0" w14:paraId="53AAA7B1" w14:textId="77777777" w:rsidTr="004736F2">
        <w:trPr>
          <w:cantSplit/>
          <w:jc w:val="center"/>
        </w:trPr>
        <w:tc>
          <w:tcPr>
            <w:tcW w:w="856" w:type="dxa"/>
            <w:vMerge/>
            <w:tcBorders>
              <w:left w:val="single" w:sz="4" w:space="0" w:color="auto"/>
              <w:right w:val="nil"/>
            </w:tcBorders>
            <w:shd w:val="clear" w:color="auto" w:fill="auto"/>
            <w:noWrap/>
            <w:vAlign w:val="center"/>
          </w:tcPr>
          <w:p w14:paraId="73E41C8B" w14:textId="77777777" w:rsidR="00F52111" w:rsidRPr="00BC31E0" w:rsidRDefault="00F52111" w:rsidP="004736F2">
            <w:pPr>
              <w:adjustRightInd w:val="0"/>
              <w:snapToGrid w:val="0"/>
              <w:spacing w:line="240" w:lineRule="atLeast"/>
              <w:jc w:val="center"/>
              <w:rPr>
                <w:rFonts w:ascii="ＭＳ Ｐゴシック" w:eastAsia="ＭＳ Ｐゴシック" w:hAnsi="ＭＳ Ｐゴシック"/>
                <w:sz w:val="20"/>
                <w:szCs w:val="18"/>
              </w:rPr>
            </w:pPr>
          </w:p>
        </w:tc>
        <w:tc>
          <w:tcPr>
            <w:tcW w:w="850" w:type="dxa"/>
            <w:tcBorders>
              <w:top w:val="nil"/>
              <w:left w:val="single" w:sz="4" w:space="0" w:color="auto"/>
              <w:bottom w:val="nil"/>
              <w:right w:val="single" w:sz="4" w:space="0" w:color="auto"/>
            </w:tcBorders>
            <w:noWrap/>
            <w:vAlign w:val="center"/>
          </w:tcPr>
          <w:p w14:paraId="1127EA26"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0.60</w:t>
            </w:r>
          </w:p>
        </w:tc>
        <w:tc>
          <w:tcPr>
            <w:tcW w:w="1228" w:type="dxa"/>
            <w:tcBorders>
              <w:top w:val="nil"/>
              <w:left w:val="nil"/>
              <w:bottom w:val="nil"/>
              <w:right w:val="nil"/>
            </w:tcBorders>
            <w:noWrap/>
            <w:vAlign w:val="center"/>
          </w:tcPr>
          <w:p w14:paraId="434E6BC7"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4.0420</w:t>
            </w:r>
          </w:p>
        </w:tc>
        <w:tc>
          <w:tcPr>
            <w:tcW w:w="1229" w:type="dxa"/>
            <w:tcBorders>
              <w:top w:val="nil"/>
              <w:left w:val="nil"/>
              <w:bottom w:val="nil"/>
              <w:right w:val="nil"/>
            </w:tcBorders>
            <w:noWrap/>
            <w:vAlign w:val="center"/>
          </w:tcPr>
          <w:p w14:paraId="32897F12"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1.6372</w:t>
            </w:r>
          </w:p>
        </w:tc>
        <w:tc>
          <w:tcPr>
            <w:tcW w:w="1228" w:type="dxa"/>
            <w:tcBorders>
              <w:top w:val="nil"/>
              <w:left w:val="nil"/>
              <w:bottom w:val="nil"/>
              <w:right w:val="nil"/>
            </w:tcBorders>
            <w:noWrap/>
            <w:vAlign w:val="center"/>
          </w:tcPr>
          <w:p w14:paraId="5FDC9DD8"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1.3216</w:t>
            </w:r>
          </w:p>
        </w:tc>
        <w:tc>
          <w:tcPr>
            <w:tcW w:w="1229" w:type="dxa"/>
            <w:tcBorders>
              <w:top w:val="nil"/>
              <w:left w:val="nil"/>
              <w:bottom w:val="nil"/>
              <w:right w:val="nil"/>
            </w:tcBorders>
            <w:noWrap/>
            <w:vAlign w:val="center"/>
          </w:tcPr>
          <w:p w14:paraId="2DA04C2C"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1.2039</w:t>
            </w:r>
          </w:p>
        </w:tc>
        <w:tc>
          <w:tcPr>
            <w:tcW w:w="1228" w:type="dxa"/>
            <w:tcBorders>
              <w:top w:val="nil"/>
              <w:left w:val="nil"/>
              <w:bottom w:val="nil"/>
              <w:right w:val="nil"/>
            </w:tcBorders>
            <w:noWrap/>
            <w:vAlign w:val="center"/>
          </w:tcPr>
          <w:p w14:paraId="7997129E"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1.1699</w:t>
            </w:r>
          </w:p>
        </w:tc>
        <w:tc>
          <w:tcPr>
            <w:tcW w:w="1229" w:type="dxa"/>
            <w:tcBorders>
              <w:top w:val="nil"/>
              <w:left w:val="nil"/>
              <w:bottom w:val="nil"/>
              <w:right w:val="single" w:sz="4" w:space="0" w:color="auto"/>
            </w:tcBorders>
            <w:noWrap/>
            <w:vAlign w:val="center"/>
          </w:tcPr>
          <w:p w14:paraId="33B2210C"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1.1058</w:t>
            </w:r>
          </w:p>
        </w:tc>
      </w:tr>
      <w:tr w:rsidR="00F52111" w:rsidRPr="00BC31E0" w14:paraId="7D7ECA90" w14:textId="77777777" w:rsidTr="004736F2">
        <w:trPr>
          <w:cantSplit/>
          <w:jc w:val="center"/>
        </w:trPr>
        <w:tc>
          <w:tcPr>
            <w:tcW w:w="856" w:type="dxa"/>
            <w:vMerge/>
            <w:tcBorders>
              <w:left w:val="single" w:sz="4" w:space="0" w:color="auto"/>
              <w:right w:val="nil"/>
            </w:tcBorders>
            <w:shd w:val="clear" w:color="auto" w:fill="auto"/>
            <w:noWrap/>
            <w:vAlign w:val="center"/>
          </w:tcPr>
          <w:p w14:paraId="54F02570" w14:textId="77777777" w:rsidR="00F52111" w:rsidRPr="00BC31E0" w:rsidRDefault="00F52111" w:rsidP="004736F2">
            <w:pPr>
              <w:adjustRightInd w:val="0"/>
              <w:snapToGrid w:val="0"/>
              <w:spacing w:line="240" w:lineRule="atLeast"/>
              <w:jc w:val="center"/>
              <w:rPr>
                <w:rFonts w:ascii="ＭＳ Ｐゴシック" w:eastAsia="ＭＳ Ｐゴシック" w:hAnsi="ＭＳ Ｐゴシック"/>
                <w:sz w:val="20"/>
                <w:szCs w:val="18"/>
              </w:rPr>
            </w:pPr>
          </w:p>
        </w:tc>
        <w:tc>
          <w:tcPr>
            <w:tcW w:w="850" w:type="dxa"/>
            <w:tcBorders>
              <w:top w:val="nil"/>
              <w:left w:val="single" w:sz="4" w:space="0" w:color="auto"/>
              <w:bottom w:val="nil"/>
              <w:right w:val="single" w:sz="4" w:space="0" w:color="auto"/>
            </w:tcBorders>
            <w:noWrap/>
            <w:vAlign w:val="center"/>
          </w:tcPr>
          <w:p w14:paraId="1BD9285C"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0.70</w:t>
            </w:r>
          </w:p>
        </w:tc>
        <w:tc>
          <w:tcPr>
            <w:tcW w:w="1228" w:type="dxa"/>
            <w:tcBorders>
              <w:top w:val="nil"/>
              <w:left w:val="nil"/>
              <w:bottom w:val="nil"/>
              <w:right w:val="nil"/>
            </w:tcBorders>
            <w:noWrap/>
            <w:vAlign w:val="center"/>
          </w:tcPr>
          <w:p w14:paraId="74EE0FC2"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6.3743</w:t>
            </w:r>
          </w:p>
        </w:tc>
        <w:tc>
          <w:tcPr>
            <w:tcW w:w="1229" w:type="dxa"/>
            <w:tcBorders>
              <w:top w:val="nil"/>
              <w:left w:val="nil"/>
              <w:bottom w:val="nil"/>
              <w:right w:val="nil"/>
            </w:tcBorders>
            <w:noWrap/>
            <w:vAlign w:val="center"/>
          </w:tcPr>
          <w:p w14:paraId="6BDF8A79"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1.7373</w:t>
            </w:r>
          </w:p>
        </w:tc>
        <w:tc>
          <w:tcPr>
            <w:tcW w:w="1228" w:type="dxa"/>
            <w:tcBorders>
              <w:top w:val="nil"/>
              <w:left w:val="nil"/>
              <w:bottom w:val="nil"/>
              <w:right w:val="nil"/>
            </w:tcBorders>
            <w:noWrap/>
            <w:vAlign w:val="center"/>
          </w:tcPr>
          <w:p w14:paraId="79D02DAD"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1.3610</w:t>
            </w:r>
          </w:p>
        </w:tc>
        <w:tc>
          <w:tcPr>
            <w:tcW w:w="1229" w:type="dxa"/>
            <w:tcBorders>
              <w:top w:val="nil"/>
              <w:left w:val="nil"/>
              <w:bottom w:val="nil"/>
              <w:right w:val="nil"/>
            </w:tcBorders>
            <w:noWrap/>
            <w:vAlign w:val="center"/>
          </w:tcPr>
          <w:p w14:paraId="42755170"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1.2237</w:t>
            </w:r>
          </w:p>
        </w:tc>
        <w:tc>
          <w:tcPr>
            <w:tcW w:w="1228" w:type="dxa"/>
            <w:tcBorders>
              <w:top w:val="nil"/>
              <w:left w:val="nil"/>
              <w:bottom w:val="nil"/>
              <w:right w:val="nil"/>
            </w:tcBorders>
            <w:noWrap/>
            <w:vAlign w:val="center"/>
          </w:tcPr>
          <w:p w14:paraId="29C21ED0"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1.1868</w:t>
            </w:r>
          </w:p>
        </w:tc>
        <w:tc>
          <w:tcPr>
            <w:tcW w:w="1229" w:type="dxa"/>
            <w:tcBorders>
              <w:top w:val="nil"/>
              <w:left w:val="nil"/>
              <w:bottom w:val="nil"/>
              <w:right w:val="single" w:sz="4" w:space="0" w:color="auto"/>
            </w:tcBorders>
            <w:noWrap/>
            <w:vAlign w:val="center"/>
          </w:tcPr>
          <w:p w14:paraId="1724E556"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1.1112</w:t>
            </w:r>
          </w:p>
        </w:tc>
      </w:tr>
      <w:tr w:rsidR="00F52111" w:rsidRPr="00BC31E0" w14:paraId="75EFF965" w14:textId="77777777" w:rsidTr="004736F2">
        <w:trPr>
          <w:cantSplit/>
          <w:jc w:val="center"/>
        </w:trPr>
        <w:tc>
          <w:tcPr>
            <w:tcW w:w="856" w:type="dxa"/>
            <w:vMerge/>
            <w:tcBorders>
              <w:left w:val="single" w:sz="4" w:space="0" w:color="auto"/>
              <w:bottom w:val="double" w:sz="6" w:space="0" w:color="auto"/>
              <w:right w:val="nil"/>
            </w:tcBorders>
            <w:shd w:val="clear" w:color="auto" w:fill="auto"/>
            <w:noWrap/>
            <w:vAlign w:val="center"/>
          </w:tcPr>
          <w:p w14:paraId="042DEA9B" w14:textId="77777777" w:rsidR="00F52111" w:rsidRPr="00BC31E0" w:rsidRDefault="00F52111" w:rsidP="004736F2">
            <w:pPr>
              <w:adjustRightInd w:val="0"/>
              <w:snapToGrid w:val="0"/>
              <w:spacing w:line="240" w:lineRule="atLeast"/>
              <w:jc w:val="center"/>
              <w:rPr>
                <w:rFonts w:ascii="ＭＳ Ｐゴシック" w:eastAsia="ＭＳ Ｐゴシック" w:hAnsi="ＭＳ Ｐゴシック"/>
                <w:sz w:val="20"/>
                <w:szCs w:val="18"/>
              </w:rPr>
            </w:pPr>
          </w:p>
        </w:tc>
        <w:tc>
          <w:tcPr>
            <w:tcW w:w="850" w:type="dxa"/>
            <w:tcBorders>
              <w:top w:val="nil"/>
              <w:left w:val="single" w:sz="4" w:space="0" w:color="auto"/>
              <w:bottom w:val="double" w:sz="6" w:space="0" w:color="auto"/>
              <w:right w:val="single" w:sz="4" w:space="0" w:color="auto"/>
            </w:tcBorders>
            <w:noWrap/>
            <w:vAlign w:val="center"/>
          </w:tcPr>
          <w:p w14:paraId="708DEC2F"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0.80</w:t>
            </w:r>
          </w:p>
        </w:tc>
        <w:tc>
          <w:tcPr>
            <w:tcW w:w="1228" w:type="dxa"/>
            <w:tcBorders>
              <w:top w:val="nil"/>
              <w:left w:val="nil"/>
              <w:bottom w:val="double" w:sz="6" w:space="0" w:color="auto"/>
              <w:right w:val="nil"/>
            </w:tcBorders>
            <w:noWrap/>
            <w:vAlign w:val="center"/>
          </w:tcPr>
          <w:p w14:paraId="0FAAC9E7"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11.991</w:t>
            </w:r>
          </w:p>
        </w:tc>
        <w:tc>
          <w:tcPr>
            <w:tcW w:w="1229" w:type="dxa"/>
            <w:tcBorders>
              <w:top w:val="nil"/>
              <w:left w:val="nil"/>
              <w:bottom w:val="double" w:sz="6" w:space="0" w:color="auto"/>
              <w:right w:val="nil"/>
            </w:tcBorders>
            <w:noWrap/>
            <w:vAlign w:val="center"/>
          </w:tcPr>
          <w:p w14:paraId="26105C17"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1.7899</w:t>
            </w:r>
          </w:p>
        </w:tc>
        <w:tc>
          <w:tcPr>
            <w:tcW w:w="1228" w:type="dxa"/>
            <w:tcBorders>
              <w:top w:val="nil"/>
              <w:left w:val="nil"/>
              <w:bottom w:val="double" w:sz="6" w:space="0" w:color="auto"/>
              <w:right w:val="nil"/>
            </w:tcBorders>
            <w:noWrap/>
            <w:vAlign w:val="center"/>
          </w:tcPr>
          <w:p w14:paraId="5CA9A888"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1.3761</w:t>
            </w:r>
          </w:p>
        </w:tc>
        <w:tc>
          <w:tcPr>
            <w:tcW w:w="1229" w:type="dxa"/>
            <w:tcBorders>
              <w:top w:val="nil"/>
              <w:left w:val="nil"/>
              <w:bottom w:val="double" w:sz="6" w:space="0" w:color="auto"/>
              <w:right w:val="nil"/>
            </w:tcBorders>
            <w:noWrap/>
            <w:vAlign w:val="center"/>
          </w:tcPr>
          <w:p w14:paraId="73B362DD"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1.2285</w:t>
            </w:r>
          </w:p>
        </w:tc>
        <w:tc>
          <w:tcPr>
            <w:tcW w:w="1228" w:type="dxa"/>
            <w:tcBorders>
              <w:top w:val="nil"/>
              <w:left w:val="nil"/>
              <w:bottom w:val="double" w:sz="6" w:space="0" w:color="auto"/>
              <w:right w:val="nil"/>
            </w:tcBorders>
            <w:noWrap/>
            <w:vAlign w:val="center"/>
          </w:tcPr>
          <w:p w14:paraId="43E4A2FC"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1.1902</w:t>
            </w:r>
          </w:p>
        </w:tc>
        <w:tc>
          <w:tcPr>
            <w:tcW w:w="1229" w:type="dxa"/>
            <w:tcBorders>
              <w:top w:val="nil"/>
              <w:left w:val="nil"/>
              <w:bottom w:val="double" w:sz="6" w:space="0" w:color="auto"/>
              <w:right w:val="single" w:sz="4" w:space="0" w:color="auto"/>
            </w:tcBorders>
            <w:noWrap/>
            <w:vAlign w:val="center"/>
          </w:tcPr>
          <w:p w14:paraId="354D6A33"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1.1045</w:t>
            </w:r>
          </w:p>
        </w:tc>
      </w:tr>
      <w:tr w:rsidR="00F52111" w:rsidRPr="00BC31E0" w14:paraId="4146B749" w14:textId="77777777" w:rsidTr="004736F2">
        <w:trPr>
          <w:cantSplit/>
          <w:jc w:val="center"/>
        </w:trPr>
        <w:tc>
          <w:tcPr>
            <w:tcW w:w="856" w:type="dxa"/>
            <w:vMerge w:val="restart"/>
            <w:tcBorders>
              <w:top w:val="nil"/>
              <w:left w:val="single" w:sz="4" w:space="0" w:color="auto"/>
              <w:right w:val="nil"/>
            </w:tcBorders>
            <w:shd w:val="clear" w:color="auto" w:fill="auto"/>
            <w:noWrap/>
            <w:vAlign w:val="center"/>
          </w:tcPr>
          <w:p w14:paraId="123F93DA" w14:textId="77777777" w:rsidR="00F52111" w:rsidRPr="00BC31E0" w:rsidRDefault="00A51873" w:rsidP="004736F2">
            <w:pPr>
              <w:adjustRightInd w:val="0"/>
              <w:snapToGrid w:val="0"/>
              <w:jc w:val="center"/>
              <w:rPr>
                <w:rFonts w:ascii="ＭＳ 明朝" w:hAnsi="ＭＳ 明朝"/>
              </w:rPr>
            </w:pPr>
            <m:oMathPara>
              <m:oMath>
                <m:sSub>
                  <m:sSubPr>
                    <m:ctrlPr>
                      <w:rPr>
                        <w:rFonts w:ascii="Cambria Math" w:hAnsi="Cambria Math"/>
                      </w:rPr>
                    </m:ctrlPr>
                  </m:sSubPr>
                  <m:e>
                    <m:r>
                      <w:rPr>
                        <w:rFonts w:ascii="Cambria Math" w:hAnsi="Cambria Math"/>
                      </w:rPr>
                      <m:t>G</m:t>
                    </m:r>
                  </m:e>
                  <m:sub>
                    <m:r>
                      <w:rPr>
                        <w:rFonts w:ascii="Cambria Math" w:hAnsi="Cambria Math"/>
                      </w:rPr>
                      <m:t>1</m:t>
                    </m:r>
                  </m:sub>
                </m:sSub>
              </m:oMath>
            </m:oMathPara>
          </w:p>
        </w:tc>
        <w:tc>
          <w:tcPr>
            <w:tcW w:w="850" w:type="dxa"/>
            <w:tcBorders>
              <w:top w:val="nil"/>
              <w:left w:val="single" w:sz="4" w:space="0" w:color="auto"/>
              <w:bottom w:val="nil"/>
              <w:right w:val="single" w:sz="4" w:space="0" w:color="auto"/>
            </w:tcBorders>
            <w:noWrap/>
            <w:vAlign w:val="center"/>
          </w:tcPr>
          <w:p w14:paraId="2C17C4EC"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0.00</w:t>
            </w:r>
          </w:p>
        </w:tc>
        <w:tc>
          <w:tcPr>
            <w:tcW w:w="1228" w:type="dxa"/>
            <w:tcBorders>
              <w:top w:val="nil"/>
              <w:left w:val="nil"/>
              <w:bottom w:val="nil"/>
              <w:right w:val="nil"/>
            </w:tcBorders>
            <w:noWrap/>
            <w:vAlign w:val="center"/>
          </w:tcPr>
          <w:p w14:paraId="26EA6A74"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0.7622</w:t>
            </w:r>
          </w:p>
        </w:tc>
        <w:tc>
          <w:tcPr>
            <w:tcW w:w="1229" w:type="dxa"/>
            <w:tcBorders>
              <w:top w:val="nil"/>
              <w:left w:val="nil"/>
              <w:bottom w:val="nil"/>
              <w:right w:val="nil"/>
            </w:tcBorders>
            <w:noWrap/>
            <w:vAlign w:val="center"/>
          </w:tcPr>
          <w:p w14:paraId="0A029A05"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0.6635</w:t>
            </w:r>
          </w:p>
        </w:tc>
        <w:tc>
          <w:tcPr>
            <w:tcW w:w="1228" w:type="dxa"/>
            <w:tcBorders>
              <w:top w:val="nil"/>
              <w:left w:val="nil"/>
              <w:bottom w:val="nil"/>
              <w:right w:val="nil"/>
            </w:tcBorders>
            <w:noWrap/>
            <w:vAlign w:val="center"/>
          </w:tcPr>
          <w:p w14:paraId="20DB55EF"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0.6826</w:t>
            </w:r>
          </w:p>
        </w:tc>
        <w:tc>
          <w:tcPr>
            <w:tcW w:w="1229" w:type="dxa"/>
            <w:tcBorders>
              <w:top w:val="nil"/>
              <w:left w:val="nil"/>
              <w:bottom w:val="nil"/>
              <w:right w:val="nil"/>
            </w:tcBorders>
            <w:noWrap/>
            <w:vAlign w:val="center"/>
          </w:tcPr>
          <w:p w14:paraId="197C7A6F"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0.7019</w:t>
            </w:r>
          </w:p>
        </w:tc>
        <w:tc>
          <w:tcPr>
            <w:tcW w:w="1228" w:type="dxa"/>
            <w:tcBorders>
              <w:top w:val="nil"/>
              <w:left w:val="nil"/>
              <w:bottom w:val="nil"/>
              <w:right w:val="nil"/>
            </w:tcBorders>
            <w:noWrap/>
            <w:vAlign w:val="center"/>
          </w:tcPr>
          <w:p w14:paraId="5771A82C"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0.7214</w:t>
            </w:r>
          </w:p>
        </w:tc>
        <w:tc>
          <w:tcPr>
            <w:tcW w:w="1229" w:type="dxa"/>
            <w:tcBorders>
              <w:top w:val="nil"/>
              <w:left w:val="nil"/>
              <w:bottom w:val="nil"/>
              <w:right w:val="single" w:sz="4" w:space="0" w:color="auto"/>
            </w:tcBorders>
            <w:noWrap/>
            <w:vAlign w:val="center"/>
          </w:tcPr>
          <w:p w14:paraId="3E4D9480"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0.7411</w:t>
            </w:r>
          </w:p>
        </w:tc>
      </w:tr>
      <w:tr w:rsidR="00F52111" w:rsidRPr="00BC31E0" w14:paraId="71BC34E0" w14:textId="77777777" w:rsidTr="004736F2">
        <w:trPr>
          <w:cantSplit/>
          <w:jc w:val="center"/>
        </w:trPr>
        <w:tc>
          <w:tcPr>
            <w:tcW w:w="856" w:type="dxa"/>
            <w:vMerge/>
            <w:tcBorders>
              <w:left w:val="single" w:sz="4" w:space="0" w:color="auto"/>
              <w:right w:val="nil"/>
            </w:tcBorders>
            <w:shd w:val="clear" w:color="auto" w:fill="auto"/>
            <w:noWrap/>
            <w:vAlign w:val="center"/>
          </w:tcPr>
          <w:p w14:paraId="50F23B9E" w14:textId="77777777" w:rsidR="00F52111" w:rsidRPr="00BC31E0" w:rsidRDefault="00F52111" w:rsidP="004736F2">
            <w:pPr>
              <w:adjustRightInd w:val="0"/>
              <w:snapToGrid w:val="0"/>
              <w:spacing w:line="240" w:lineRule="atLeast"/>
              <w:jc w:val="center"/>
              <w:rPr>
                <w:rFonts w:ascii="ＭＳ Ｐゴシック" w:eastAsia="ＭＳ Ｐゴシック" w:hAnsi="ＭＳ Ｐゴシック"/>
                <w:sz w:val="20"/>
                <w:szCs w:val="18"/>
              </w:rPr>
            </w:pPr>
          </w:p>
        </w:tc>
        <w:tc>
          <w:tcPr>
            <w:tcW w:w="850" w:type="dxa"/>
            <w:tcBorders>
              <w:top w:val="nil"/>
              <w:left w:val="single" w:sz="4" w:space="0" w:color="auto"/>
              <w:bottom w:val="nil"/>
              <w:right w:val="single" w:sz="4" w:space="0" w:color="auto"/>
            </w:tcBorders>
            <w:noWrap/>
            <w:vAlign w:val="center"/>
          </w:tcPr>
          <w:p w14:paraId="77E5FCE7"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0.05</w:t>
            </w:r>
          </w:p>
        </w:tc>
        <w:tc>
          <w:tcPr>
            <w:tcW w:w="1228" w:type="dxa"/>
            <w:tcBorders>
              <w:top w:val="nil"/>
              <w:left w:val="nil"/>
              <w:bottom w:val="nil"/>
              <w:right w:val="nil"/>
            </w:tcBorders>
            <w:noWrap/>
            <w:vAlign w:val="center"/>
          </w:tcPr>
          <w:p w14:paraId="4D242852"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0.7624</w:t>
            </w:r>
          </w:p>
        </w:tc>
        <w:tc>
          <w:tcPr>
            <w:tcW w:w="1229" w:type="dxa"/>
            <w:tcBorders>
              <w:top w:val="nil"/>
              <w:left w:val="nil"/>
              <w:bottom w:val="nil"/>
              <w:right w:val="nil"/>
            </w:tcBorders>
            <w:noWrap/>
            <w:vAlign w:val="center"/>
          </w:tcPr>
          <w:p w14:paraId="7F2BBC1C"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0.6651</w:t>
            </w:r>
          </w:p>
        </w:tc>
        <w:tc>
          <w:tcPr>
            <w:tcW w:w="1228" w:type="dxa"/>
            <w:tcBorders>
              <w:top w:val="nil"/>
              <w:left w:val="nil"/>
              <w:bottom w:val="nil"/>
              <w:right w:val="nil"/>
            </w:tcBorders>
            <w:noWrap/>
            <w:vAlign w:val="center"/>
          </w:tcPr>
          <w:p w14:paraId="4BDC74B5"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0.6833</w:t>
            </w:r>
          </w:p>
        </w:tc>
        <w:tc>
          <w:tcPr>
            <w:tcW w:w="1229" w:type="dxa"/>
            <w:tcBorders>
              <w:top w:val="nil"/>
              <w:left w:val="nil"/>
              <w:bottom w:val="nil"/>
              <w:right w:val="nil"/>
            </w:tcBorders>
            <w:noWrap/>
            <w:vAlign w:val="center"/>
          </w:tcPr>
          <w:p w14:paraId="63762B61"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0.7022</w:t>
            </w:r>
          </w:p>
        </w:tc>
        <w:tc>
          <w:tcPr>
            <w:tcW w:w="1228" w:type="dxa"/>
            <w:tcBorders>
              <w:top w:val="nil"/>
              <w:left w:val="nil"/>
              <w:bottom w:val="nil"/>
              <w:right w:val="nil"/>
            </w:tcBorders>
            <w:noWrap/>
            <w:vAlign w:val="center"/>
          </w:tcPr>
          <w:p w14:paraId="476B0A18"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0.7216</w:t>
            </w:r>
          </w:p>
        </w:tc>
        <w:tc>
          <w:tcPr>
            <w:tcW w:w="1229" w:type="dxa"/>
            <w:tcBorders>
              <w:top w:val="nil"/>
              <w:left w:val="nil"/>
              <w:bottom w:val="nil"/>
              <w:right w:val="single" w:sz="4" w:space="0" w:color="auto"/>
            </w:tcBorders>
            <w:noWrap/>
            <w:vAlign w:val="center"/>
          </w:tcPr>
          <w:p w14:paraId="706F1D19"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0.7413</w:t>
            </w:r>
          </w:p>
        </w:tc>
      </w:tr>
      <w:tr w:rsidR="00F52111" w:rsidRPr="00BC31E0" w14:paraId="2FF0EC68" w14:textId="77777777" w:rsidTr="004736F2">
        <w:trPr>
          <w:cantSplit/>
          <w:jc w:val="center"/>
        </w:trPr>
        <w:tc>
          <w:tcPr>
            <w:tcW w:w="856" w:type="dxa"/>
            <w:vMerge/>
            <w:tcBorders>
              <w:left w:val="single" w:sz="4" w:space="0" w:color="auto"/>
              <w:right w:val="nil"/>
            </w:tcBorders>
            <w:shd w:val="clear" w:color="auto" w:fill="auto"/>
            <w:noWrap/>
            <w:vAlign w:val="center"/>
          </w:tcPr>
          <w:p w14:paraId="5C456BAF" w14:textId="77777777" w:rsidR="00F52111" w:rsidRPr="00BC31E0" w:rsidRDefault="00F52111" w:rsidP="004736F2">
            <w:pPr>
              <w:adjustRightInd w:val="0"/>
              <w:snapToGrid w:val="0"/>
              <w:spacing w:line="240" w:lineRule="atLeast"/>
              <w:jc w:val="center"/>
              <w:rPr>
                <w:rFonts w:ascii="ＭＳ Ｐゴシック" w:eastAsia="ＭＳ Ｐゴシック" w:hAnsi="ＭＳ Ｐゴシック"/>
                <w:sz w:val="20"/>
                <w:szCs w:val="18"/>
              </w:rPr>
            </w:pPr>
          </w:p>
        </w:tc>
        <w:tc>
          <w:tcPr>
            <w:tcW w:w="850" w:type="dxa"/>
            <w:tcBorders>
              <w:top w:val="nil"/>
              <w:left w:val="single" w:sz="4" w:space="0" w:color="auto"/>
              <w:bottom w:val="nil"/>
              <w:right w:val="single" w:sz="4" w:space="0" w:color="auto"/>
            </w:tcBorders>
            <w:noWrap/>
            <w:vAlign w:val="center"/>
          </w:tcPr>
          <w:p w14:paraId="6E411195"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0.10</w:t>
            </w:r>
          </w:p>
        </w:tc>
        <w:tc>
          <w:tcPr>
            <w:tcW w:w="1228" w:type="dxa"/>
            <w:tcBorders>
              <w:top w:val="nil"/>
              <w:left w:val="nil"/>
              <w:bottom w:val="nil"/>
              <w:right w:val="nil"/>
            </w:tcBorders>
            <w:noWrap/>
            <w:vAlign w:val="center"/>
          </w:tcPr>
          <w:p w14:paraId="514C6861"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0.7732</w:t>
            </w:r>
          </w:p>
        </w:tc>
        <w:tc>
          <w:tcPr>
            <w:tcW w:w="1229" w:type="dxa"/>
            <w:tcBorders>
              <w:top w:val="nil"/>
              <w:left w:val="nil"/>
              <w:bottom w:val="nil"/>
              <w:right w:val="nil"/>
            </w:tcBorders>
            <w:noWrap/>
            <w:vAlign w:val="center"/>
          </w:tcPr>
          <w:p w14:paraId="7B4D36C3"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0.6700</w:t>
            </w:r>
          </w:p>
        </w:tc>
        <w:tc>
          <w:tcPr>
            <w:tcW w:w="1228" w:type="dxa"/>
            <w:tcBorders>
              <w:top w:val="nil"/>
              <w:left w:val="nil"/>
              <w:bottom w:val="nil"/>
              <w:right w:val="nil"/>
            </w:tcBorders>
            <w:noWrap/>
            <w:vAlign w:val="center"/>
          </w:tcPr>
          <w:p w14:paraId="5C3ADBC3"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0.6855</w:t>
            </w:r>
          </w:p>
        </w:tc>
        <w:tc>
          <w:tcPr>
            <w:tcW w:w="1229" w:type="dxa"/>
            <w:tcBorders>
              <w:top w:val="nil"/>
              <w:left w:val="nil"/>
              <w:bottom w:val="nil"/>
              <w:right w:val="nil"/>
            </w:tcBorders>
            <w:noWrap/>
            <w:vAlign w:val="center"/>
          </w:tcPr>
          <w:p w14:paraId="590DAAAB"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0.7031</w:t>
            </w:r>
          </w:p>
        </w:tc>
        <w:tc>
          <w:tcPr>
            <w:tcW w:w="1228" w:type="dxa"/>
            <w:tcBorders>
              <w:top w:val="nil"/>
              <w:left w:val="nil"/>
              <w:bottom w:val="nil"/>
              <w:right w:val="nil"/>
            </w:tcBorders>
            <w:noWrap/>
            <w:vAlign w:val="center"/>
          </w:tcPr>
          <w:p w14:paraId="7C59525C"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0.7221</w:t>
            </w:r>
          </w:p>
        </w:tc>
        <w:tc>
          <w:tcPr>
            <w:tcW w:w="1229" w:type="dxa"/>
            <w:tcBorders>
              <w:top w:val="nil"/>
              <w:left w:val="nil"/>
              <w:bottom w:val="nil"/>
              <w:right w:val="single" w:sz="4" w:space="0" w:color="auto"/>
            </w:tcBorders>
            <w:noWrap/>
            <w:vAlign w:val="center"/>
          </w:tcPr>
          <w:p w14:paraId="09B99760"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0.7418</w:t>
            </w:r>
          </w:p>
        </w:tc>
      </w:tr>
      <w:tr w:rsidR="00F52111" w:rsidRPr="00BC31E0" w14:paraId="420E3001" w14:textId="77777777" w:rsidTr="004736F2">
        <w:trPr>
          <w:cantSplit/>
          <w:jc w:val="center"/>
        </w:trPr>
        <w:tc>
          <w:tcPr>
            <w:tcW w:w="856" w:type="dxa"/>
            <w:vMerge/>
            <w:tcBorders>
              <w:left w:val="single" w:sz="4" w:space="0" w:color="auto"/>
              <w:right w:val="nil"/>
            </w:tcBorders>
            <w:shd w:val="clear" w:color="auto" w:fill="auto"/>
            <w:noWrap/>
            <w:vAlign w:val="center"/>
          </w:tcPr>
          <w:p w14:paraId="48AA23E7" w14:textId="77777777" w:rsidR="00F52111" w:rsidRPr="00BC31E0" w:rsidRDefault="00F52111" w:rsidP="004736F2">
            <w:pPr>
              <w:adjustRightInd w:val="0"/>
              <w:snapToGrid w:val="0"/>
              <w:spacing w:line="240" w:lineRule="atLeast"/>
              <w:jc w:val="center"/>
              <w:rPr>
                <w:rFonts w:ascii="ＭＳ Ｐゴシック" w:eastAsia="ＭＳ Ｐゴシック" w:hAnsi="ＭＳ Ｐゴシック"/>
                <w:sz w:val="20"/>
                <w:szCs w:val="18"/>
              </w:rPr>
            </w:pPr>
          </w:p>
        </w:tc>
        <w:tc>
          <w:tcPr>
            <w:tcW w:w="850" w:type="dxa"/>
            <w:tcBorders>
              <w:top w:val="nil"/>
              <w:left w:val="single" w:sz="4" w:space="0" w:color="auto"/>
              <w:bottom w:val="nil"/>
              <w:right w:val="single" w:sz="4" w:space="0" w:color="auto"/>
            </w:tcBorders>
            <w:noWrap/>
            <w:vAlign w:val="center"/>
          </w:tcPr>
          <w:p w14:paraId="423031C1"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0.15</w:t>
            </w:r>
          </w:p>
        </w:tc>
        <w:tc>
          <w:tcPr>
            <w:tcW w:w="1228" w:type="dxa"/>
            <w:tcBorders>
              <w:top w:val="nil"/>
              <w:left w:val="nil"/>
              <w:bottom w:val="nil"/>
              <w:right w:val="nil"/>
            </w:tcBorders>
            <w:noWrap/>
            <w:vAlign w:val="center"/>
          </w:tcPr>
          <w:p w14:paraId="4DF194FA"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0.7945</w:t>
            </w:r>
          </w:p>
        </w:tc>
        <w:tc>
          <w:tcPr>
            <w:tcW w:w="1229" w:type="dxa"/>
            <w:tcBorders>
              <w:top w:val="nil"/>
              <w:left w:val="nil"/>
              <w:bottom w:val="nil"/>
              <w:right w:val="nil"/>
            </w:tcBorders>
            <w:noWrap/>
            <w:vAlign w:val="center"/>
          </w:tcPr>
          <w:p w14:paraId="47ED08D2"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0.6780</w:t>
            </w:r>
          </w:p>
        </w:tc>
        <w:tc>
          <w:tcPr>
            <w:tcW w:w="1228" w:type="dxa"/>
            <w:tcBorders>
              <w:top w:val="nil"/>
              <w:left w:val="nil"/>
              <w:bottom w:val="nil"/>
              <w:right w:val="nil"/>
            </w:tcBorders>
            <w:noWrap/>
            <w:vAlign w:val="center"/>
          </w:tcPr>
          <w:p w14:paraId="6B783D7F"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0.6890</w:t>
            </w:r>
          </w:p>
        </w:tc>
        <w:tc>
          <w:tcPr>
            <w:tcW w:w="1229" w:type="dxa"/>
            <w:tcBorders>
              <w:top w:val="nil"/>
              <w:left w:val="nil"/>
              <w:bottom w:val="nil"/>
              <w:right w:val="nil"/>
            </w:tcBorders>
            <w:noWrap/>
            <w:vAlign w:val="center"/>
          </w:tcPr>
          <w:p w14:paraId="7EDC2FD6"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0.7046</w:t>
            </w:r>
          </w:p>
        </w:tc>
        <w:tc>
          <w:tcPr>
            <w:tcW w:w="1228" w:type="dxa"/>
            <w:tcBorders>
              <w:top w:val="nil"/>
              <w:left w:val="nil"/>
              <w:bottom w:val="nil"/>
              <w:right w:val="nil"/>
            </w:tcBorders>
            <w:noWrap/>
            <w:vAlign w:val="center"/>
          </w:tcPr>
          <w:p w14:paraId="60242AF0"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0.7230</w:t>
            </w:r>
          </w:p>
        </w:tc>
        <w:tc>
          <w:tcPr>
            <w:tcW w:w="1229" w:type="dxa"/>
            <w:tcBorders>
              <w:top w:val="nil"/>
              <w:left w:val="nil"/>
              <w:bottom w:val="nil"/>
              <w:right w:val="single" w:sz="4" w:space="0" w:color="auto"/>
            </w:tcBorders>
            <w:noWrap/>
            <w:vAlign w:val="center"/>
          </w:tcPr>
          <w:p w14:paraId="66901F50"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0.7426</w:t>
            </w:r>
          </w:p>
        </w:tc>
      </w:tr>
      <w:tr w:rsidR="00F52111" w:rsidRPr="00BC31E0" w14:paraId="19DAA297" w14:textId="77777777" w:rsidTr="004736F2">
        <w:trPr>
          <w:cantSplit/>
          <w:jc w:val="center"/>
        </w:trPr>
        <w:tc>
          <w:tcPr>
            <w:tcW w:w="856" w:type="dxa"/>
            <w:vMerge/>
            <w:tcBorders>
              <w:left w:val="single" w:sz="4" w:space="0" w:color="auto"/>
              <w:right w:val="nil"/>
            </w:tcBorders>
            <w:shd w:val="clear" w:color="auto" w:fill="auto"/>
            <w:noWrap/>
            <w:vAlign w:val="center"/>
          </w:tcPr>
          <w:p w14:paraId="35547E71" w14:textId="77777777" w:rsidR="00F52111" w:rsidRPr="00BC31E0" w:rsidRDefault="00F52111" w:rsidP="004736F2">
            <w:pPr>
              <w:adjustRightInd w:val="0"/>
              <w:snapToGrid w:val="0"/>
              <w:spacing w:line="240" w:lineRule="atLeast"/>
              <w:jc w:val="center"/>
              <w:rPr>
                <w:rFonts w:ascii="ＭＳ Ｐゴシック" w:eastAsia="ＭＳ Ｐゴシック" w:hAnsi="ＭＳ Ｐゴシック"/>
                <w:sz w:val="20"/>
                <w:szCs w:val="18"/>
              </w:rPr>
            </w:pPr>
          </w:p>
        </w:tc>
        <w:tc>
          <w:tcPr>
            <w:tcW w:w="850" w:type="dxa"/>
            <w:tcBorders>
              <w:top w:val="nil"/>
              <w:left w:val="single" w:sz="4" w:space="0" w:color="auto"/>
              <w:bottom w:val="nil"/>
              <w:right w:val="single" w:sz="4" w:space="0" w:color="auto"/>
            </w:tcBorders>
            <w:noWrap/>
            <w:vAlign w:val="center"/>
          </w:tcPr>
          <w:p w14:paraId="058373FF"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0.20</w:t>
            </w:r>
          </w:p>
        </w:tc>
        <w:tc>
          <w:tcPr>
            <w:tcW w:w="1228" w:type="dxa"/>
            <w:tcBorders>
              <w:top w:val="nil"/>
              <w:left w:val="nil"/>
              <w:bottom w:val="nil"/>
              <w:right w:val="nil"/>
            </w:tcBorders>
            <w:noWrap/>
            <w:vAlign w:val="center"/>
          </w:tcPr>
          <w:p w14:paraId="1F05A0EE"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0.8267</w:t>
            </w:r>
          </w:p>
        </w:tc>
        <w:tc>
          <w:tcPr>
            <w:tcW w:w="1229" w:type="dxa"/>
            <w:tcBorders>
              <w:top w:val="nil"/>
              <w:left w:val="nil"/>
              <w:bottom w:val="nil"/>
              <w:right w:val="nil"/>
            </w:tcBorders>
            <w:noWrap/>
            <w:vAlign w:val="center"/>
          </w:tcPr>
          <w:p w14:paraId="35FB9324"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0.6891</w:t>
            </w:r>
          </w:p>
        </w:tc>
        <w:tc>
          <w:tcPr>
            <w:tcW w:w="1228" w:type="dxa"/>
            <w:tcBorders>
              <w:top w:val="nil"/>
              <w:left w:val="nil"/>
              <w:bottom w:val="nil"/>
              <w:right w:val="nil"/>
            </w:tcBorders>
            <w:noWrap/>
            <w:vAlign w:val="center"/>
          </w:tcPr>
          <w:p w14:paraId="0F48AD43"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0.6939</w:t>
            </w:r>
          </w:p>
        </w:tc>
        <w:tc>
          <w:tcPr>
            <w:tcW w:w="1229" w:type="dxa"/>
            <w:tcBorders>
              <w:top w:val="nil"/>
              <w:left w:val="nil"/>
              <w:bottom w:val="nil"/>
              <w:right w:val="nil"/>
            </w:tcBorders>
            <w:noWrap/>
            <w:vAlign w:val="center"/>
          </w:tcPr>
          <w:p w14:paraId="722BAD5E"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0.7067</w:t>
            </w:r>
          </w:p>
        </w:tc>
        <w:tc>
          <w:tcPr>
            <w:tcW w:w="1228" w:type="dxa"/>
            <w:tcBorders>
              <w:top w:val="nil"/>
              <w:left w:val="nil"/>
              <w:bottom w:val="nil"/>
              <w:right w:val="nil"/>
            </w:tcBorders>
            <w:noWrap/>
            <w:vAlign w:val="center"/>
          </w:tcPr>
          <w:p w14:paraId="10A6DAAC"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0.7243</w:t>
            </w:r>
          </w:p>
        </w:tc>
        <w:tc>
          <w:tcPr>
            <w:tcW w:w="1229" w:type="dxa"/>
            <w:tcBorders>
              <w:top w:val="nil"/>
              <w:left w:val="nil"/>
              <w:bottom w:val="nil"/>
              <w:right w:val="single" w:sz="4" w:space="0" w:color="auto"/>
            </w:tcBorders>
            <w:noWrap/>
            <w:vAlign w:val="center"/>
          </w:tcPr>
          <w:p w14:paraId="6C1FC522"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0.7420</w:t>
            </w:r>
          </w:p>
        </w:tc>
      </w:tr>
      <w:tr w:rsidR="00F52111" w:rsidRPr="00BC31E0" w14:paraId="54365293" w14:textId="77777777" w:rsidTr="004736F2">
        <w:trPr>
          <w:cantSplit/>
          <w:jc w:val="center"/>
        </w:trPr>
        <w:tc>
          <w:tcPr>
            <w:tcW w:w="856" w:type="dxa"/>
            <w:vMerge/>
            <w:tcBorders>
              <w:left w:val="single" w:sz="4" w:space="0" w:color="auto"/>
              <w:right w:val="nil"/>
            </w:tcBorders>
            <w:shd w:val="clear" w:color="auto" w:fill="auto"/>
            <w:noWrap/>
            <w:vAlign w:val="center"/>
          </w:tcPr>
          <w:p w14:paraId="739C2A6F" w14:textId="77777777" w:rsidR="00F52111" w:rsidRPr="00BC31E0" w:rsidRDefault="00F52111" w:rsidP="004736F2">
            <w:pPr>
              <w:adjustRightInd w:val="0"/>
              <w:snapToGrid w:val="0"/>
              <w:spacing w:line="240" w:lineRule="atLeast"/>
              <w:jc w:val="center"/>
              <w:rPr>
                <w:rFonts w:ascii="ＭＳ Ｐゴシック" w:eastAsia="ＭＳ Ｐゴシック" w:hAnsi="ＭＳ Ｐゴシック"/>
                <w:sz w:val="20"/>
                <w:szCs w:val="22"/>
              </w:rPr>
            </w:pPr>
          </w:p>
        </w:tc>
        <w:tc>
          <w:tcPr>
            <w:tcW w:w="850" w:type="dxa"/>
            <w:tcBorders>
              <w:top w:val="nil"/>
              <w:left w:val="single" w:sz="4" w:space="0" w:color="auto"/>
              <w:bottom w:val="nil"/>
              <w:right w:val="single" w:sz="4" w:space="0" w:color="auto"/>
            </w:tcBorders>
            <w:noWrap/>
            <w:vAlign w:val="center"/>
          </w:tcPr>
          <w:p w14:paraId="4914CB47"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0.25</w:t>
            </w:r>
          </w:p>
        </w:tc>
        <w:tc>
          <w:tcPr>
            <w:tcW w:w="1228" w:type="dxa"/>
            <w:tcBorders>
              <w:top w:val="nil"/>
              <w:left w:val="nil"/>
              <w:bottom w:val="nil"/>
              <w:right w:val="nil"/>
            </w:tcBorders>
            <w:noWrap/>
            <w:vAlign w:val="center"/>
          </w:tcPr>
          <w:p w14:paraId="3DC72C73"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0.8706</w:t>
            </w:r>
          </w:p>
        </w:tc>
        <w:tc>
          <w:tcPr>
            <w:tcW w:w="1229" w:type="dxa"/>
            <w:tcBorders>
              <w:top w:val="nil"/>
              <w:left w:val="nil"/>
              <w:bottom w:val="nil"/>
              <w:right w:val="nil"/>
            </w:tcBorders>
            <w:noWrap/>
            <w:vAlign w:val="center"/>
          </w:tcPr>
          <w:p w14:paraId="1D010076"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0.7029</w:t>
            </w:r>
          </w:p>
        </w:tc>
        <w:tc>
          <w:tcPr>
            <w:tcW w:w="1228" w:type="dxa"/>
            <w:tcBorders>
              <w:top w:val="nil"/>
              <w:left w:val="nil"/>
              <w:bottom w:val="nil"/>
              <w:right w:val="nil"/>
            </w:tcBorders>
            <w:noWrap/>
            <w:vAlign w:val="center"/>
          </w:tcPr>
          <w:p w14:paraId="4A7B69B0"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0.7000</w:t>
            </w:r>
          </w:p>
        </w:tc>
        <w:tc>
          <w:tcPr>
            <w:tcW w:w="1229" w:type="dxa"/>
            <w:tcBorders>
              <w:top w:val="nil"/>
              <w:left w:val="nil"/>
              <w:bottom w:val="nil"/>
              <w:right w:val="nil"/>
            </w:tcBorders>
            <w:noWrap/>
            <w:vAlign w:val="center"/>
          </w:tcPr>
          <w:p w14:paraId="7B924EF7"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0.7094</w:t>
            </w:r>
          </w:p>
        </w:tc>
        <w:tc>
          <w:tcPr>
            <w:tcW w:w="1228" w:type="dxa"/>
            <w:tcBorders>
              <w:top w:val="nil"/>
              <w:left w:val="nil"/>
              <w:bottom w:val="nil"/>
              <w:right w:val="nil"/>
            </w:tcBorders>
            <w:noWrap/>
            <w:vAlign w:val="center"/>
          </w:tcPr>
          <w:p w14:paraId="36EC4541"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0.7260</w:t>
            </w:r>
          </w:p>
        </w:tc>
        <w:tc>
          <w:tcPr>
            <w:tcW w:w="1229" w:type="dxa"/>
            <w:tcBorders>
              <w:top w:val="nil"/>
              <w:left w:val="nil"/>
              <w:bottom w:val="nil"/>
              <w:right w:val="single" w:sz="4" w:space="0" w:color="auto"/>
            </w:tcBorders>
            <w:noWrap/>
            <w:vAlign w:val="center"/>
          </w:tcPr>
          <w:p w14:paraId="21299B44"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0.7451</w:t>
            </w:r>
          </w:p>
        </w:tc>
      </w:tr>
      <w:tr w:rsidR="00F52111" w:rsidRPr="00BC31E0" w14:paraId="7F324D55" w14:textId="77777777" w:rsidTr="004736F2">
        <w:trPr>
          <w:cantSplit/>
          <w:jc w:val="center"/>
        </w:trPr>
        <w:tc>
          <w:tcPr>
            <w:tcW w:w="856" w:type="dxa"/>
            <w:vMerge/>
            <w:tcBorders>
              <w:left w:val="single" w:sz="4" w:space="0" w:color="auto"/>
              <w:right w:val="nil"/>
            </w:tcBorders>
            <w:shd w:val="clear" w:color="auto" w:fill="auto"/>
            <w:vAlign w:val="center"/>
          </w:tcPr>
          <w:p w14:paraId="430AA732" w14:textId="77777777" w:rsidR="00F52111" w:rsidRPr="00BC31E0" w:rsidRDefault="00F52111" w:rsidP="004736F2">
            <w:pPr>
              <w:adjustRightInd w:val="0"/>
              <w:snapToGrid w:val="0"/>
              <w:spacing w:line="240" w:lineRule="atLeast"/>
              <w:jc w:val="center"/>
              <w:rPr>
                <w:rFonts w:ascii="ＭＳ Ｐゴシック" w:eastAsia="ＭＳ Ｐゴシック" w:hAnsi="ＭＳ Ｐゴシック"/>
                <w:sz w:val="20"/>
                <w:szCs w:val="22"/>
              </w:rPr>
            </w:pPr>
          </w:p>
        </w:tc>
        <w:tc>
          <w:tcPr>
            <w:tcW w:w="850" w:type="dxa"/>
            <w:tcBorders>
              <w:top w:val="nil"/>
              <w:left w:val="single" w:sz="4" w:space="0" w:color="auto"/>
              <w:bottom w:val="nil"/>
              <w:right w:val="single" w:sz="4" w:space="0" w:color="auto"/>
            </w:tcBorders>
            <w:noWrap/>
            <w:vAlign w:val="center"/>
          </w:tcPr>
          <w:p w14:paraId="0ABD022F"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0.30</w:t>
            </w:r>
          </w:p>
        </w:tc>
        <w:tc>
          <w:tcPr>
            <w:tcW w:w="1228" w:type="dxa"/>
            <w:tcBorders>
              <w:top w:val="nil"/>
              <w:left w:val="nil"/>
              <w:bottom w:val="nil"/>
              <w:right w:val="nil"/>
            </w:tcBorders>
            <w:noWrap/>
            <w:vAlign w:val="center"/>
          </w:tcPr>
          <w:p w14:paraId="10097076"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0.9276</w:t>
            </w:r>
          </w:p>
        </w:tc>
        <w:tc>
          <w:tcPr>
            <w:tcW w:w="1229" w:type="dxa"/>
            <w:tcBorders>
              <w:top w:val="nil"/>
              <w:left w:val="nil"/>
              <w:bottom w:val="nil"/>
              <w:right w:val="nil"/>
            </w:tcBorders>
            <w:noWrap/>
            <w:vAlign w:val="center"/>
          </w:tcPr>
          <w:p w14:paraId="552C18DC"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0.7193</w:t>
            </w:r>
          </w:p>
        </w:tc>
        <w:tc>
          <w:tcPr>
            <w:tcW w:w="1228" w:type="dxa"/>
            <w:tcBorders>
              <w:top w:val="nil"/>
              <w:left w:val="nil"/>
              <w:bottom w:val="nil"/>
              <w:right w:val="nil"/>
            </w:tcBorders>
            <w:noWrap/>
            <w:vAlign w:val="center"/>
          </w:tcPr>
          <w:p w14:paraId="17C2A064"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0.7073</w:t>
            </w:r>
          </w:p>
        </w:tc>
        <w:tc>
          <w:tcPr>
            <w:tcW w:w="1229" w:type="dxa"/>
            <w:tcBorders>
              <w:top w:val="nil"/>
              <w:left w:val="nil"/>
              <w:bottom w:val="nil"/>
              <w:right w:val="nil"/>
            </w:tcBorders>
            <w:noWrap/>
            <w:vAlign w:val="center"/>
          </w:tcPr>
          <w:p w14:paraId="208FE875"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0.7126</w:t>
            </w:r>
          </w:p>
        </w:tc>
        <w:tc>
          <w:tcPr>
            <w:tcW w:w="1228" w:type="dxa"/>
            <w:tcBorders>
              <w:top w:val="nil"/>
              <w:left w:val="nil"/>
              <w:bottom w:val="nil"/>
              <w:right w:val="nil"/>
            </w:tcBorders>
            <w:noWrap/>
            <w:vAlign w:val="center"/>
          </w:tcPr>
          <w:p w14:paraId="4BD598F6"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0.7282</w:t>
            </w:r>
          </w:p>
        </w:tc>
        <w:tc>
          <w:tcPr>
            <w:tcW w:w="1229" w:type="dxa"/>
            <w:tcBorders>
              <w:top w:val="nil"/>
              <w:left w:val="nil"/>
              <w:bottom w:val="nil"/>
              <w:right w:val="single" w:sz="4" w:space="0" w:color="auto"/>
            </w:tcBorders>
            <w:noWrap/>
            <w:vAlign w:val="center"/>
          </w:tcPr>
          <w:p w14:paraId="5C59E1A5"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0.7468</w:t>
            </w:r>
          </w:p>
        </w:tc>
      </w:tr>
      <w:tr w:rsidR="00F52111" w:rsidRPr="00BC31E0" w14:paraId="55609FD5" w14:textId="77777777" w:rsidTr="004736F2">
        <w:trPr>
          <w:cantSplit/>
          <w:jc w:val="center"/>
        </w:trPr>
        <w:tc>
          <w:tcPr>
            <w:tcW w:w="856" w:type="dxa"/>
            <w:vMerge/>
            <w:tcBorders>
              <w:left w:val="single" w:sz="4" w:space="0" w:color="auto"/>
              <w:right w:val="nil"/>
            </w:tcBorders>
            <w:shd w:val="clear" w:color="auto" w:fill="auto"/>
            <w:noWrap/>
            <w:vAlign w:val="center"/>
          </w:tcPr>
          <w:p w14:paraId="47CDA047" w14:textId="77777777" w:rsidR="00F52111" w:rsidRPr="00BC31E0" w:rsidRDefault="00F52111" w:rsidP="004736F2">
            <w:pPr>
              <w:adjustRightInd w:val="0"/>
              <w:snapToGrid w:val="0"/>
              <w:spacing w:line="240" w:lineRule="atLeast"/>
              <w:jc w:val="center"/>
              <w:rPr>
                <w:rFonts w:ascii="ＭＳ Ｐゴシック" w:eastAsia="ＭＳ Ｐゴシック" w:hAnsi="ＭＳ Ｐゴシック"/>
                <w:sz w:val="20"/>
                <w:szCs w:val="18"/>
              </w:rPr>
            </w:pPr>
          </w:p>
        </w:tc>
        <w:tc>
          <w:tcPr>
            <w:tcW w:w="850" w:type="dxa"/>
            <w:tcBorders>
              <w:top w:val="nil"/>
              <w:left w:val="single" w:sz="4" w:space="0" w:color="auto"/>
              <w:bottom w:val="nil"/>
              <w:right w:val="single" w:sz="4" w:space="0" w:color="auto"/>
            </w:tcBorders>
            <w:noWrap/>
            <w:vAlign w:val="center"/>
          </w:tcPr>
          <w:p w14:paraId="368A9AEF"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0.40</w:t>
            </w:r>
          </w:p>
        </w:tc>
        <w:tc>
          <w:tcPr>
            <w:tcW w:w="1228" w:type="dxa"/>
            <w:tcBorders>
              <w:top w:val="nil"/>
              <w:left w:val="nil"/>
              <w:bottom w:val="nil"/>
              <w:right w:val="nil"/>
            </w:tcBorders>
            <w:noWrap/>
            <w:vAlign w:val="center"/>
          </w:tcPr>
          <w:p w14:paraId="7E66A62D"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1.0907</w:t>
            </w:r>
          </w:p>
        </w:tc>
        <w:tc>
          <w:tcPr>
            <w:tcW w:w="1229" w:type="dxa"/>
            <w:tcBorders>
              <w:top w:val="nil"/>
              <w:left w:val="nil"/>
              <w:bottom w:val="nil"/>
              <w:right w:val="nil"/>
            </w:tcBorders>
            <w:noWrap/>
            <w:vAlign w:val="center"/>
          </w:tcPr>
          <w:p w14:paraId="43020701"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0.7584</w:t>
            </w:r>
          </w:p>
        </w:tc>
        <w:tc>
          <w:tcPr>
            <w:tcW w:w="1228" w:type="dxa"/>
            <w:tcBorders>
              <w:top w:val="nil"/>
              <w:left w:val="nil"/>
              <w:bottom w:val="nil"/>
              <w:right w:val="nil"/>
            </w:tcBorders>
            <w:noWrap/>
            <w:vAlign w:val="center"/>
          </w:tcPr>
          <w:p w14:paraId="3FD3988A"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0.7249</w:t>
            </w:r>
          </w:p>
        </w:tc>
        <w:tc>
          <w:tcPr>
            <w:tcW w:w="1229" w:type="dxa"/>
            <w:tcBorders>
              <w:top w:val="nil"/>
              <w:left w:val="nil"/>
              <w:bottom w:val="nil"/>
              <w:right w:val="nil"/>
            </w:tcBorders>
            <w:noWrap/>
            <w:vAlign w:val="center"/>
          </w:tcPr>
          <w:p w14:paraId="338FC48B"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0.7209</w:t>
            </w:r>
          </w:p>
        </w:tc>
        <w:tc>
          <w:tcPr>
            <w:tcW w:w="1228" w:type="dxa"/>
            <w:tcBorders>
              <w:top w:val="nil"/>
              <w:left w:val="nil"/>
              <w:bottom w:val="nil"/>
              <w:right w:val="nil"/>
            </w:tcBorders>
            <w:noWrap/>
            <w:vAlign w:val="center"/>
          </w:tcPr>
          <w:p w14:paraId="2D73DD3E"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0.7338</w:t>
            </w:r>
          </w:p>
        </w:tc>
        <w:tc>
          <w:tcPr>
            <w:tcW w:w="1229" w:type="dxa"/>
            <w:tcBorders>
              <w:top w:val="nil"/>
              <w:left w:val="nil"/>
              <w:bottom w:val="nil"/>
              <w:right w:val="single" w:sz="4" w:space="0" w:color="auto"/>
            </w:tcBorders>
            <w:noWrap/>
            <w:vAlign w:val="center"/>
          </w:tcPr>
          <w:p w14:paraId="50FB57B5"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0.7511</w:t>
            </w:r>
          </w:p>
        </w:tc>
      </w:tr>
      <w:tr w:rsidR="00F52111" w:rsidRPr="00BC31E0" w14:paraId="6E2C40F7" w14:textId="77777777" w:rsidTr="004736F2">
        <w:trPr>
          <w:cantSplit/>
          <w:jc w:val="center"/>
        </w:trPr>
        <w:tc>
          <w:tcPr>
            <w:tcW w:w="856" w:type="dxa"/>
            <w:vMerge/>
            <w:tcBorders>
              <w:left w:val="single" w:sz="4" w:space="0" w:color="auto"/>
              <w:right w:val="nil"/>
            </w:tcBorders>
            <w:shd w:val="clear" w:color="auto" w:fill="auto"/>
            <w:noWrap/>
            <w:vAlign w:val="center"/>
          </w:tcPr>
          <w:p w14:paraId="76E0897D" w14:textId="77777777" w:rsidR="00F52111" w:rsidRPr="00BC31E0" w:rsidRDefault="00F52111" w:rsidP="004736F2">
            <w:pPr>
              <w:adjustRightInd w:val="0"/>
              <w:snapToGrid w:val="0"/>
              <w:spacing w:line="240" w:lineRule="atLeast"/>
              <w:jc w:val="center"/>
              <w:rPr>
                <w:rFonts w:ascii="ＭＳ Ｐゴシック" w:eastAsia="ＭＳ Ｐゴシック" w:hAnsi="ＭＳ Ｐゴシック"/>
                <w:sz w:val="20"/>
                <w:szCs w:val="18"/>
              </w:rPr>
            </w:pPr>
          </w:p>
        </w:tc>
        <w:tc>
          <w:tcPr>
            <w:tcW w:w="850" w:type="dxa"/>
            <w:tcBorders>
              <w:top w:val="nil"/>
              <w:left w:val="single" w:sz="4" w:space="0" w:color="auto"/>
              <w:bottom w:val="nil"/>
              <w:right w:val="single" w:sz="4" w:space="0" w:color="auto"/>
            </w:tcBorders>
            <w:noWrap/>
            <w:vAlign w:val="center"/>
          </w:tcPr>
          <w:p w14:paraId="1F077BD2"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0.50</w:t>
            </w:r>
          </w:p>
        </w:tc>
        <w:tc>
          <w:tcPr>
            <w:tcW w:w="1228" w:type="dxa"/>
            <w:tcBorders>
              <w:top w:val="nil"/>
              <w:left w:val="nil"/>
              <w:bottom w:val="nil"/>
              <w:right w:val="nil"/>
            </w:tcBorders>
            <w:noWrap/>
            <w:vAlign w:val="center"/>
          </w:tcPr>
          <w:p w14:paraId="7D25E10E"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1.3501</w:t>
            </w:r>
          </w:p>
        </w:tc>
        <w:tc>
          <w:tcPr>
            <w:tcW w:w="1229" w:type="dxa"/>
            <w:tcBorders>
              <w:top w:val="nil"/>
              <w:left w:val="nil"/>
              <w:bottom w:val="nil"/>
              <w:right w:val="nil"/>
            </w:tcBorders>
            <w:noWrap/>
            <w:vAlign w:val="center"/>
          </w:tcPr>
          <w:p w14:paraId="3137D803"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0.8029</w:t>
            </w:r>
          </w:p>
        </w:tc>
        <w:tc>
          <w:tcPr>
            <w:tcW w:w="1228" w:type="dxa"/>
            <w:tcBorders>
              <w:top w:val="nil"/>
              <w:left w:val="nil"/>
              <w:bottom w:val="nil"/>
              <w:right w:val="nil"/>
            </w:tcBorders>
            <w:noWrap/>
            <w:vAlign w:val="center"/>
          </w:tcPr>
          <w:p w14:paraId="4666C3BB"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0.7454</w:t>
            </w:r>
          </w:p>
        </w:tc>
        <w:tc>
          <w:tcPr>
            <w:tcW w:w="1229" w:type="dxa"/>
            <w:tcBorders>
              <w:top w:val="nil"/>
              <w:left w:val="nil"/>
              <w:bottom w:val="nil"/>
              <w:right w:val="nil"/>
            </w:tcBorders>
            <w:noWrap/>
            <w:vAlign w:val="center"/>
          </w:tcPr>
          <w:p w14:paraId="6F6FB233"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0.7314</w:t>
            </w:r>
          </w:p>
        </w:tc>
        <w:tc>
          <w:tcPr>
            <w:tcW w:w="1228" w:type="dxa"/>
            <w:tcBorders>
              <w:top w:val="nil"/>
              <w:left w:val="nil"/>
              <w:bottom w:val="nil"/>
              <w:right w:val="nil"/>
            </w:tcBorders>
            <w:noWrap/>
            <w:vAlign w:val="center"/>
          </w:tcPr>
          <w:p w14:paraId="2B14437E"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0.7417</w:t>
            </w:r>
          </w:p>
        </w:tc>
        <w:tc>
          <w:tcPr>
            <w:tcW w:w="1229" w:type="dxa"/>
            <w:tcBorders>
              <w:top w:val="nil"/>
              <w:left w:val="nil"/>
              <w:bottom w:val="nil"/>
              <w:right w:val="single" w:sz="4" w:space="0" w:color="auto"/>
            </w:tcBorders>
            <w:noWrap/>
            <w:vAlign w:val="center"/>
          </w:tcPr>
          <w:p w14:paraId="436E0114"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0.7566</w:t>
            </w:r>
          </w:p>
        </w:tc>
      </w:tr>
      <w:tr w:rsidR="00F52111" w:rsidRPr="00BC31E0" w14:paraId="2D12AF9C" w14:textId="77777777" w:rsidTr="004736F2">
        <w:trPr>
          <w:cantSplit/>
          <w:jc w:val="center"/>
        </w:trPr>
        <w:tc>
          <w:tcPr>
            <w:tcW w:w="856" w:type="dxa"/>
            <w:vMerge/>
            <w:tcBorders>
              <w:left w:val="single" w:sz="4" w:space="0" w:color="auto"/>
              <w:right w:val="nil"/>
            </w:tcBorders>
            <w:shd w:val="clear" w:color="auto" w:fill="auto"/>
            <w:noWrap/>
            <w:vAlign w:val="center"/>
          </w:tcPr>
          <w:p w14:paraId="32C548BB" w14:textId="77777777" w:rsidR="00F52111" w:rsidRPr="00BC31E0" w:rsidRDefault="00F52111" w:rsidP="004736F2">
            <w:pPr>
              <w:adjustRightInd w:val="0"/>
              <w:snapToGrid w:val="0"/>
              <w:spacing w:line="240" w:lineRule="atLeast"/>
              <w:jc w:val="center"/>
              <w:rPr>
                <w:rFonts w:ascii="ＭＳ Ｐゴシック" w:eastAsia="ＭＳ Ｐゴシック" w:hAnsi="ＭＳ Ｐゴシック"/>
                <w:sz w:val="20"/>
                <w:szCs w:val="18"/>
              </w:rPr>
            </w:pPr>
          </w:p>
        </w:tc>
        <w:tc>
          <w:tcPr>
            <w:tcW w:w="850" w:type="dxa"/>
            <w:tcBorders>
              <w:top w:val="nil"/>
              <w:left w:val="single" w:sz="4" w:space="0" w:color="auto"/>
              <w:bottom w:val="nil"/>
              <w:right w:val="single" w:sz="4" w:space="0" w:color="auto"/>
            </w:tcBorders>
            <w:noWrap/>
            <w:vAlign w:val="center"/>
          </w:tcPr>
          <w:p w14:paraId="5583F14B"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0.60</w:t>
            </w:r>
          </w:p>
        </w:tc>
        <w:tc>
          <w:tcPr>
            <w:tcW w:w="1228" w:type="dxa"/>
            <w:tcBorders>
              <w:top w:val="nil"/>
              <w:left w:val="nil"/>
              <w:bottom w:val="nil"/>
              <w:right w:val="nil"/>
            </w:tcBorders>
            <w:noWrap/>
            <w:vAlign w:val="center"/>
          </w:tcPr>
          <w:p w14:paraId="41CCAF66"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1.7863</w:t>
            </w:r>
          </w:p>
        </w:tc>
        <w:tc>
          <w:tcPr>
            <w:tcW w:w="1229" w:type="dxa"/>
            <w:tcBorders>
              <w:top w:val="nil"/>
              <w:left w:val="nil"/>
              <w:bottom w:val="nil"/>
              <w:right w:val="nil"/>
            </w:tcBorders>
            <w:noWrap/>
            <w:vAlign w:val="center"/>
          </w:tcPr>
          <w:p w14:paraId="6471BE22"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0.8488</w:t>
            </w:r>
          </w:p>
        </w:tc>
        <w:tc>
          <w:tcPr>
            <w:tcW w:w="1228" w:type="dxa"/>
            <w:tcBorders>
              <w:top w:val="nil"/>
              <w:left w:val="nil"/>
              <w:bottom w:val="nil"/>
              <w:right w:val="nil"/>
            </w:tcBorders>
            <w:noWrap/>
            <w:vAlign w:val="center"/>
          </w:tcPr>
          <w:p w14:paraId="7A9815A2"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0.7671</w:t>
            </w:r>
          </w:p>
        </w:tc>
        <w:tc>
          <w:tcPr>
            <w:tcW w:w="1229" w:type="dxa"/>
            <w:tcBorders>
              <w:top w:val="nil"/>
              <w:left w:val="nil"/>
              <w:bottom w:val="nil"/>
              <w:right w:val="nil"/>
            </w:tcBorders>
            <w:noWrap/>
            <w:vAlign w:val="center"/>
          </w:tcPr>
          <w:p w14:paraId="3782EEA6"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0.7441</w:t>
            </w:r>
          </w:p>
        </w:tc>
        <w:tc>
          <w:tcPr>
            <w:tcW w:w="1228" w:type="dxa"/>
            <w:tcBorders>
              <w:top w:val="nil"/>
              <w:left w:val="nil"/>
              <w:bottom w:val="nil"/>
              <w:right w:val="nil"/>
            </w:tcBorders>
            <w:noWrap/>
            <w:vAlign w:val="center"/>
          </w:tcPr>
          <w:p w14:paraId="350A2774"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0.7520</w:t>
            </w:r>
          </w:p>
        </w:tc>
        <w:tc>
          <w:tcPr>
            <w:tcW w:w="1229" w:type="dxa"/>
            <w:tcBorders>
              <w:top w:val="nil"/>
              <w:left w:val="nil"/>
              <w:bottom w:val="nil"/>
              <w:right w:val="single" w:sz="4" w:space="0" w:color="auto"/>
            </w:tcBorders>
            <w:noWrap/>
            <w:vAlign w:val="center"/>
          </w:tcPr>
          <w:p w14:paraId="61985C1D"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0.7631</w:t>
            </w:r>
          </w:p>
        </w:tc>
      </w:tr>
      <w:tr w:rsidR="00F52111" w:rsidRPr="00BC31E0" w14:paraId="6BD85EE5" w14:textId="77777777" w:rsidTr="004736F2">
        <w:trPr>
          <w:cantSplit/>
          <w:jc w:val="center"/>
        </w:trPr>
        <w:tc>
          <w:tcPr>
            <w:tcW w:w="856" w:type="dxa"/>
            <w:vMerge/>
            <w:tcBorders>
              <w:left w:val="single" w:sz="4" w:space="0" w:color="auto"/>
              <w:right w:val="nil"/>
            </w:tcBorders>
            <w:shd w:val="clear" w:color="auto" w:fill="auto"/>
            <w:noWrap/>
            <w:vAlign w:val="center"/>
          </w:tcPr>
          <w:p w14:paraId="40E7BCCD" w14:textId="77777777" w:rsidR="00F52111" w:rsidRPr="00BC31E0" w:rsidRDefault="00F52111" w:rsidP="004736F2">
            <w:pPr>
              <w:adjustRightInd w:val="0"/>
              <w:snapToGrid w:val="0"/>
              <w:spacing w:line="240" w:lineRule="atLeast"/>
              <w:jc w:val="center"/>
              <w:rPr>
                <w:rFonts w:ascii="ＭＳ Ｐゴシック" w:eastAsia="ＭＳ Ｐゴシック" w:hAnsi="ＭＳ Ｐゴシック"/>
                <w:sz w:val="20"/>
                <w:szCs w:val="18"/>
              </w:rPr>
            </w:pPr>
          </w:p>
        </w:tc>
        <w:tc>
          <w:tcPr>
            <w:tcW w:w="850" w:type="dxa"/>
            <w:tcBorders>
              <w:top w:val="nil"/>
              <w:left w:val="single" w:sz="4" w:space="0" w:color="auto"/>
              <w:bottom w:val="nil"/>
              <w:right w:val="single" w:sz="4" w:space="0" w:color="auto"/>
            </w:tcBorders>
            <w:noWrap/>
            <w:vAlign w:val="center"/>
          </w:tcPr>
          <w:p w14:paraId="1542E91B"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0.70</w:t>
            </w:r>
          </w:p>
        </w:tc>
        <w:tc>
          <w:tcPr>
            <w:tcW w:w="1228" w:type="dxa"/>
            <w:tcBorders>
              <w:top w:val="nil"/>
              <w:left w:val="nil"/>
              <w:bottom w:val="nil"/>
              <w:right w:val="nil"/>
            </w:tcBorders>
            <w:noWrap/>
            <w:vAlign w:val="center"/>
          </w:tcPr>
          <w:p w14:paraId="42F5621D"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2.6125</w:t>
            </w:r>
          </w:p>
        </w:tc>
        <w:tc>
          <w:tcPr>
            <w:tcW w:w="1229" w:type="dxa"/>
            <w:tcBorders>
              <w:top w:val="nil"/>
              <w:left w:val="nil"/>
              <w:bottom w:val="nil"/>
              <w:right w:val="nil"/>
            </w:tcBorders>
            <w:noWrap/>
            <w:vAlign w:val="center"/>
          </w:tcPr>
          <w:p w14:paraId="5AC1B9F1"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0.8908</w:t>
            </w:r>
          </w:p>
        </w:tc>
        <w:tc>
          <w:tcPr>
            <w:tcW w:w="1228" w:type="dxa"/>
            <w:tcBorders>
              <w:top w:val="nil"/>
              <w:left w:val="nil"/>
              <w:bottom w:val="nil"/>
              <w:right w:val="nil"/>
            </w:tcBorders>
            <w:noWrap/>
            <w:vAlign w:val="center"/>
          </w:tcPr>
          <w:p w14:paraId="5507305C"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0.7882</w:t>
            </w:r>
          </w:p>
        </w:tc>
        <w:tc>
          <w:tcPr>
            <w:tcW w:w="1229" w:type="dxa"/>
            <w:tcBorders>
              <w:top w:val="nil"/>
              <w:left w:val="nil"/>
              <w:bottom w:val="nil"/>
              <w:right w:val="nil"/>
            </w:tcBorders>
            <w:noWrap/>
            <w:vAlign w:val="center"/>
          </w:tcPr>
          <w:p w14:paraId="0FD72326"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0.7588</w:t>
            </w:r>
          </w:p>
        </w:tc>
        <w:tc>
          <w:tcPr>
            <w:tcW w:w="1228" w:type="dxa"/>
            <w:tcBorders>
              <w:top w:val="nil"/>
              <w:left w:val="nil"/>
              <w:bottom w:val="nil"/>
              <w:right w:val="nil"/>
            </w:tcBorders>
            <w:noWrap/>
            <w:vAlign w:val="center"/>
          </w:tcPr>
          <w:p w14:paraId="4B6C2798"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0.7653</w:t>
            </w:r>
          </w:p>
        </w:tc>
        <w:tc>
          <w:tcPr>
            <w:tcW w:w="1229" w:type="dxa"/>
            <w:tcBorders>
              <w:top w:val="nil"/>
              <w:left w:val="nil"/>
              <w:bottom w:val="nil"/>
              <w:right w:val="single" w:sz="4" w:space="0" w:color="auto"/>
            </w:tcBorders>
            <w:noWrap/>
            <w:vAlign w:val="center"/>
          </w:tcPr>
          <w:p w14:paraId="0F37D44E"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0.7707</w:t>
            </w:r>
          </w:p>
        </w:tc>
      </w:tr>
      <w:tr w:rsidR="00F52111" w:rsidRPr="00BC31E0" w14:paraId="16402597" w14:textId="77777777" w:rsidTr="004736F2">
        <w:trPr>
          <w:cantSplit/>
          <w:jc w:val="center"/>
        </w:trPr>
        <w:tc>
          <w:tcPr>
            <w:tcW w:w="856" w:type="dxa"/>
            <w:vMerge/>
            <w:tcBorders>
              <w:left w:val="single" w:sz="4" w:space="0" w:color="auto"/>
              <w:bottom w:val="double" w:sz="6" w:space="0" w:color="auto"/>
              <w:right w:val="nil"/>
            </w:tcBorders>
            <w:shd w:val="clear" w:color="auto" w:fill="auto"/>
            <w:noWrap/>
            <w:vAlign w:val="center"/>
          </w:tcPr>
          <w:p w14:paraId="66BD579F" w14:textId="77777777" w:rsidR="00F52111" w:rsidRPr="00BC31E0" w:rsidRDefault="00F52111" w:rsidP="004736F2">
            <w:pPr>
              <w:adjustRightInd w:val="0"/>
              <w:snapToGrid w:val="0"/>
              <w:spacing w:line="240" w:lineRule="atLeast"/>
              <w:jc w:val="center"/>
              <w:rPr>
                <w:rFonts w:ascii="ＭＳ Ｐゴシック" w:eastAsia="ＭＳ Ｐゴシック" w:hAnsi="ＭＳ Ｐゴシック"/>
                <w:sz w:val="20"/>
                <w:szCs w:val="18"/>
              </w:rPr>
            </w:pPr>
          </w:p>
        </w:tc>
        <w:tc>
          <w:tcPr>
            <w:tcW w:w="850" w:type="dxa"/>
            <w:tcBorders>
              <w:top w:val="nil"/>
              <w:left w:val="single" w:sz="4" w:space="0" w:color="auto"/>
              <w:bottom w:val="double" w:sz="6" w:space="0" w:color="auto"/>
              <w:right w:val="single" w:sz="4" w:space="0" w:color="auto"/>
            </w:tcBorders>
            <w:noWrap/>
            <w:vAlign w:val="center"/>
          </w:tcPr>
          <w:p w14:paraId="08D76647"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0.80</w:t>
            </w:r>
          </w:p>
        </w:tc>
        <w:tc>
          <w:tcPr>
            <w:tcW w:w="1228" w:type="dxa"/>
            <w:tcBorders>
              <w:top w:val="nil"/>
              <w:left w:val="nil"/>
              <w:bottom w:val="double" w:sz="6" w:space="0" w:color="auto"/>
              <w:right w:val="nil"/>
            </w:tcBorders>
            <w:noWrap/>
            <w:vAlign w:val="center"/>
          </w:tcPr>
          <w:p w14:paraId="4A7B5A67"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4.5727</w:t>
            </w:r>
          </w:p>
        </w:tc>
        <w:tc>
          <w:tcPr>
            <w:tcW w:w="1229" w:type="dxa"/>
            <w:tcBorders>
              <w:top w:val="nil"/>
              <w:left w:val="nil"/>
              <w:bottom w:val="double" w:sz="6" w:space="0" w:color="auto"/>
              <w:right w:val="nil"/>
            </w:tcBorders>
            <w:noWrap/>
            <w:vAlign w:val="center"/>
          </w:tcPr>
          <w:p w14:paraId="79480C7D"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0.9288</w:t>
            </w:r>
          </w:p>
        </w:tc>
        <w:tc>
          <w:tcPr>
            <w:tcW w:w="1228" w:type="dxa"/>
            <w:tcBorders>
              <w:top w:val="nil"/>
              <w:left w:val="nil"/>
              <w:bottom w:val="double" w:sz="6" w:space="0" w:color="auto"/>
              <w:right w:val="nil"/>
            </w:tcBorders>
            <w:noWrap/>
            <w:vAlign w:val="center"/>
          </w:tcPr>
          <w:p w14:paraId="5C1406E7"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0.8063</w:t>
            </w:r>
          </w:p>
        </w:tc>
        <w:tc>
          <w:tcPr>
            <w:tcW w:w="1229" w:type="dxa"/>
            <w:tcBorders>
              <w:top w:val="nil"/>
              <w:left w:val="nil"/>
              <w:bottom w:val="double" w:sz="6" w:space="0" w:color="auto"/>
              <w:right w:val="nil"/>
            </w:tcBorders>
            <w:noWrap/>
            <w:vAlign w:val="center"/>
          </w:tcPr>
          <w:p w14:paraId="0759B08D"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0.7753</w:t>
            </w:r>
          </w:p>
        </w:tc>
        <w:tc>
          <w:tcPr>
            <w:tcW w:w="1228" w:type="dxa"/>
            <w:tcBorders>
              <w:top w:val="nil"/>
              <w:left w:val="nil"/>
              <w:bottom w:val="double" w:sz="6" w:space="0" w:color="auto"/>
              <w:right w:val="nil"/>
            </w:tcBorders>
            <w:noWrap/>
            <w:vAlign w:val="center"/>
          </w:tcPr>
          <w:p w14:paraId="16D6C287"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0.7822</w:t>
            </w:r>
          </w:p>
        </w:tc>
        <w:tc>
          <w:tcPr>
            <w:tcW w:w="1229" w:type="dxa"/>
            <w:tcBorders>
              <w:top w:val="nil"/>
              <w:left w:val="nil"/>
              <w:bottom w:val="double" w:sz="6" w:space="0" w:color="auto"/>
              <w:right w:val="single" w:sz="4" w:space="0" w:color="auto"/>
            </w:tcBorders>
            <w:noWrap/>
            <w:vAlign w:val="center"/>
          </w:tcPr>
          <w:p w14:paraId="47F17C73"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0.7792</w:t>
            </w:r>
          </w:p>
        </w:tc>
      </w:tr>
      <w:tr w:rsidR="00F52111" w:rsidRPr="00BC31E0" w14:paraId="622FE405" w14:textId="77777777" w:rsidTr="004736F2">
        <w:trPr>
          <w:cantSplit/>
          <w:jc w:val="center"/>
        </w:trPr>
        <w:tc>
          <w:tcPr>
            <w:tcW w:w="856" w:type="dxa"/>
            <w:vMerge w:val="restart"/>
            <w:tcBorders>
              <w:top w:val="nil"/>
              <w:left w:val="single" w:sz="4" w:space="0" w:color="auto"/>
              <w:right w:val="nil"/>
            </w:tcBorders>
            <w:shd w:val="clear" w:color="auto" w:fill="auto"/>
            <w:noWrap/>
            <w:vAlign w:val="center"/>
          </w:tcPr>
          <w:p w14:paraId="35EED538" w14:textId="77777777" w:rsidR="00F52111" w:rsidRPr="00BC31E0" w:rsidRDefault="00A51873" w:rsidP="004736F2">
            <w:pPr>
              <w:adjustRightInd w:val="0"/>
              <w:snapToGrid w:val="0"/>
              <w:jc w:val="center"/>
              <w:rPr>
                <w:rFonts w:ascii="ＭＳ 明朝" w:hAnsi="ＭＳ 明朝"/>
              </w:rPr>
            </w:pPr>
            <m:oMathPara>
              <m:oMath>
                <m:sSub>
                  <m:sSubPr>
                    <m:ctrlPr>
                      <w:rPr>
                        <w:rFonts w:ascii="Cambria Math" w:hAnsi="Cambria Math"/>
                      </w:rPr>
                    </m:ctrlPr>
                  </m:sSubPr>
                  <m:e>
                    <m:r>
                      <w:rPr>
                        <w:rFonts w:ascii="Cambria Math" w:hAnsi="Cambria Math"/>
                      </w:rPr>
                      <m:t>G</m:t>
                    </m:r>
                  </m:e>
                  <m:sub>
                    <m:r>
                      <w:rPr>
                        <w:rFonts w:ascii="Cambria Math" w:hAnsi="Cambria Math"/>
                      </w:rPr>
                      <m:t>2</m:t>
                    </m:r>
                  </m:sub>
                </m:sSub>
              </m:oMath>
            </m:oMathPara>
          </w:p>
        </w:tc>
        <w:tc>
          <w:tcPr>
            <w:tcW w:w="850" w:type="dxa"/>
            <w:tcBorders>
              <w:top w:val="nil"/>
              <w:left w:val="single" w:sz="4" w:space="0" w:color="auto"/>
              <w:bottom w:val="nil"/>
              <w:right w:val="single" w:sz="4" w:space="0" w:color="auto"/>
            </w:tcBorders>
            <w:noWrap/>
            <w:vAlign w:val="center"/>
          </w:tcPr>
          <w:p w14:paraId="26768423"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0.00</w:t>
            </w:r>
          </w:p>
        </w:tc>
        <w:tc>
          <w:tcPr>
            <w:tcW w:w="1228" w:type="dxa"/>
            <w:tcBorders>
              <w:top w:val="nil"/>
              <w:left w:val="nil"/>
              <w:bottom w:val="nil"/>
              <w:right w:val="nil"/>
            </w:tcBorders>
            <w:noWrap/>
            <w:vAlign w:val="center"/>
          </w:tcPr>
          <w:p w14:paraId="2BB7EE6F"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0.6009</w:t>
            </w:r>
          </w:p>
        </w:tc>
        <w:tc>
          <w:tcPr>
            <w:tcW w:w="1229" w:type="dxa"/>
            <w:tcBorders>
              <w:top w:val="nil"/>
              <w:left w:val="nil"/>
              <w:bottom w:val="nil"/>
              <w:right w:val="nil"/>
            </w:tcBorders>
            <w:noWrap/>
            <w:vAlign w:val="center"/>
          </w:tcPr>
          <w:p w14:paraId="4A42E93F"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0.5078</w:t>
            </w:r>
          </w:p>
        </w:tc>
        <w:tc>
          <w:tcPr>
            <w:tcW w:w="1228" w:type="dxa"/>
            <w:tcBorders>
              <w:top w:val="nil"/>
              <w:left w:val="nil"/>
              <w:bottom w:val="nil"/>
              <w:right w:val="nil"/>
            </w:tcBorders>
            <w:noWrap/>
            <w:vAlign w:val="center"/>
          </w:tcPr>
          <w:p w14:paraId="03FAF653"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0.5310</w:t>
            </w:r>
          </w:p>
        </w:tc>
        <w:tc>
          <w:tcPr>
            <w:tcW w:w="1229" w:type="dxa"/>
            <w:tcBorders>
              <w:top w:val="nil"/>
              <w:left w:val="nil"/>
              <w:bottom w:val="nil"/>
              <w:right w:val="nil"/>
            </w:tcBorders>
            <w:noWrap/>
            <w:vAlign w:val="center"/>
          </w:tcPr>
          <w:p w14:paraId="4DC878DC"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0.5556</w:t>
            </w:r>
          </w:p>
        </w:tc>
        <w:tc>
          <w:tcPr>
            <w:tcW w:w="1228" w:type="dxa"/>
            <w:tcBorders>
              <w:top w:val="nil"/>
              <w:left w:val="nil"/>
              <w:bottom w:val="nil"/>
              <w:right w:val="nil"/>
            </w:tcBorders>
            <w:noWrap/>
            <w:vAlign w:val="center"/>
          </w:tcPr>
          <w:p w14:paraId="1ED17E4B"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0.5815</w:t>
            </w:r>
          </w:p>
        </w:tc>
        <w:tc>
          <w:tcPr>
            <w:tcW w:w="1229" w:type="dxa"/>
            <w:tcBorders>
              <w:top w:val="nil"/>
              <w:left w:val="nil"/>
              <w:bottom w:val="nil"/>
              <w:right w:val="single" w:sz="4" w:space="0" w:color="auto"/>
            </w:tcBorders>
            <w:noWrap/>
            <w:vAlign w:val="center"/>
          </w:tcPr>
          <w:p w14:paraId="65E6CC13"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0.6084</w:t>
            </w:r>
          </w:p>
        </w:tc>
      </w:tr>
      <w:tr w:rsidR="00F52111" w:rsidRPr="00BC31E0" w14:paraId="77013839" w14:textId="77777777" w:rsidTr="004736F2">
        <w:trPr>
          <w:cantSplit/>
          <w:jc w:val="center"/>
        </w:trPr>
        <w:tc>
          <w:tcPr>
            <w:tcW w:w="856" w:type="dxa"/>
            <w:vMerge/>
            <w:tcBorders>
              <w:left w:val="single" w:sz="4" w:space="0" w:color="auto"/>
              <w:right w:val="nil"/>
            </w:tcBorders>
            <w:shd w:val="clear" w:color="auto" w:fill="auto"/>
            <w:noWrap/>
            <w:vAlign w:val="center"/>
          </w:tcPr>
          <w:p w14:paraId="624B7BF7" w14:textId="77777777" w:rsidR="00F52111" w:rsidRPr="00BC31E0" w:rsidRDefault="00F52111" w:rsidP="004736F2">
            <w:pPr>
              <w:adjustRightInd w:val="0"/>
              <w:snapToGrid w:val="0"/>
              <w:spacing w:line="240" w:lineRule="atLeast"/>
              <w:jc w:val="center"/>
              <w:rPr>
                <w:rFonts w:ascii="ＭＳ Ｐゴシック" w:eastAsia="ＭＳ Ｐゴシック" w:hAnsi="ＭＳ Ｐゴシック"/>
                <w:sz w:val="20"/>
                <w:szCs w:val="18"/>
              </w:rPr>
            </w:pPr>
          </w:p>
        </w:tc>
        <w:tc>
          <w:tcPr>
            <w:tcW w:w="850" w:type="dxa"/>
            <w:tcBorders>
              <w:top w:val="nil"/>
              <w:left w:val="single" w:sz="4" w:space="0" w:color="auto"/>
              <w:bottom w:val="nil"/>
              <w:right w:val="single" w:sz="4" w:space="0" w:color="auto"/>
            </w:tcBorders>
            <w:noWrap/>
            <w:vAlign w:val="center"/>
          </w:tcPr>
          <w:p w14:paraId="04DF9F01"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0.05</w:t>
            </w:r>
          </w:p>
        </w:tc>
        <w:tc>
          <w:tcPr>
            <w:tcW w:w="1228" w:type="dxa"/>
            <w:tcBorders>
              <w:top w:val="nil"/>
              <w:left w:val="nil"/>
              <w:bottom w:val="nil"/>
              <w:right w:val="nil"/>
            </w:tcBorders>
            <w:noWrap/>
            <w:vAlign w:val="center"/>
          </w:tcPr>
          <w:p w14:paraId="11E3AEE6"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0.5969</w:t>
            </w:r>
          </w:p>
        </w:tc>
        <w:tc>
          <w:tcPr>
            <w:tcW w:w="1229" w:type="dxa"/>
            <w:tcBorders>
              <w:top w:val="nil"/>
              <w:left w:val="nil"/>
              <w:bottom w:val="nil"/>
              <w:right w:val="nil"/>
            </w:tcBorders>
            <w:noWrap/>
            <w:vAlign w:val="center"/>
          </w:tcPr>
          <w:p w14:paraId="66B9769C"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0.5086</w:t>
            </w:r>
          </w:p>
        </w:tc>
        <w:tc>
          <w:tcPr>
            <w:tcW w:w="1228" w:type="dxa"/>
            <w:tcBorders>
              <w:top w:val="nil"/>
              <w:left w:val="nil"/>
              <w:bottom w:val="nil"/>
              <w:right w:val="nil"/>
            </w:tcBorders>
            <w:noWrap/>
            <w:vAlign w:val="center"/>
          </w:tcPr>
          <w:p w14:paraId="74081C54"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0.5313</w:t>
            </w:r>
          </w:p>
        </w:tc>
        <w:tc>
          <w:tcPr>
            <w:tcW w:w="1229" w:type="dxa"/>
            <w:tcBorders>
              <w:top w:val="nil"/>
              <w:left w:val="nil"/>
              <w:bottom w:val="nil"/>
              <w:right w:val="nil"/>
            </w:tcBorders>
            <w:noWrap/>
            <w:vAlign w:val="center"/>
          </w:tcPr>
          <w:p w14:paraId="7633C4AA"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0.5557</w:t>
            </w:r>
          </w:p>
        </w:tc>
        <w:tc>
          <w:tcPr>
            <w:tcW w:w="1228" w:type="dxa"/>
            <w:tcBorders>
              <w:top w:val="nil"/>
              <w:left w:val="nil"/>
              <w:bottom w:val="nil"/>
              <w:right w:val="nil"/>
            </w:tcBorders>
            <w:noWrap/>
            <w:vAlign w:val="center"/>
          </w:tcPr>
          <w:p w14:paraId="3B0C9B3B"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0.5815</w:t>
            </w:r>
          </w:p>
        </w:tc>
        <w:tc>
          <w:tcPr>
            <w:tcW w:w="1229" w:type="dxa"/>
            <w:tcBorders>
              <w:top w:val="nil"/>
              <w:left w:val="nil"/>
              <w:bottom w:val="nil"/>
              <w:right w:val="single" w:sz="4" w:space="0" w:color="auto"/>
            </w:tcBorders>
            <w:noWrap/>
            <w:vAlign w:val="center"/>
          </w:tcPr>
          <w:p w14:paraId="6DABE871"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0.6084</w:t>
            </w:r>
          </w:p>
        </w:tc>
      </w:tr>
      <w:tr w:rsidR="00F52111" w:rsidRPr="00BC31E0" w14:paraId="6948F684" w14:textId="77777777" w:rsidTr="004736F2">
        <w:trPr>
          <w:cantSplit/>
          <w:jc w:val="center"/>
        </w:trPr>
        <w:tc>
          <w:tcPr>
            <w:tcW w:w="856" w:type="dxa"/>
            <w:vMerge/>
            <w:tcBorders>
              <w:left w:val="single" w:sz="4" w:space="0" w:color="auto"/>
              <w:right w:val="nil"/>
            </w:tcBorders>
            <w:shd w:val="clear" w:color="auto" w:fill="auto"/>
            <w:noWrap/>
            <w:vAlign w:val="center"/>
          </w:tcPr>
          <w:p w14:paraId="04D6E89C" w14:textId="77777777" w:rsidR="00F52111" w:rsidRPr="00BC31E0" w:rsidRDefault="00F52111" w:rsidP="004736F2">
            <w:pPr>
              <w:adjustRightInd w:val="0"/>
              <w:snapToGrid w:val="0"/>
              <w:spacing w:line="240" w:lineRule="atLeast"/>
              <w:jc w:val="center"/>
              <w:rPr>
                <w:rFonts w:ascii="ＭＳ Ｐゴシック" w:eastAsia="ＭＳ Ｐゴシック" w:hAnsi="ＭＳ Ｐゴシック"/>
                <w:sz w:val="20"/>
                <w:szCs w:val="18"/>
              </w:rPr>
            </w:pPr>
          </w:p>
        </w:tc>
        <w:tc>
          <w:tcPr>
            <w:tcW w:w="850" w:type="dxa"/>
            <w:tcBorders>
              <w:top w:val="nil"/>
              <w:left w:val="single" w:sz="4" w:space="0" w:color="auto"/>
              <w:bottom w:val="nil"/>
              <w:right w:val="single" w:sz="4" w:space="0" w:color="auto"/>
            </w:tcBorders>
            <w:noWrap/>
            <w:vAlign w:val="center"/>
          </w:tcPr>
          <w:p w14:paraId="43A64C90"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0.10</w:t>
            </w:r>
          </w:p>
        </w:tc>
        <w:tc>
          <w:tcPr>
            <w:tcW w:w="1228" w:type="dxa"/>
            <w:tcBorders>
              <w:top w:val="nil"/>
              <w:left w:val="nil"/>
              <w:bottom w:val="nil"/>
              <w:right w:val="nil"/>
            </w:tcBorders>
            <w:noWrap/>
            <w:vAlign w:val="center"/>
          </w:tcPr>
          <w:p w14:paraId="5DD40A60"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0.5996</w:t>
            </w:r>
          </w:p>
        </w:tc>
        <w:tc>
          <w:tcPr>
            <w:tcW w:w="1229" w:type="dxa"/>
            <w:tcBorders>
              <w:top w:val="nil"/>
              <w:left w:val="nil"/>
              <w:bottom w:val="nil"/>
              <w:right w:val="nil"/>
            </w:tcBorders>
            <w:noWrap/>
            <w:vAlign w:val="center"/>
          </w:tcPr>
          <w:p w14:paraId="2A9EEB74"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0.5109</w:t>
            </w:r>
          </w:p>
        </w:tc>
        <w:tc>
          <w:tcPr>
            <w:tcW w:w="1228" w:type="dxa"/>
            <w:tcBorders>
              <w:top w:val="nil"/>
              <w:left w:val="nil"/>
              <w:bottom w:val="nil"/>
              <w:right w:val="nil"/>
            </w:tcBorders>
            <w:noWrap/>
            <w:vAlign w:val="center"/>
          </w:tcPr>
          <w:p w14:paraId="2DBB8E2B"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0.5323</w:t>
            </w:r>
          </w:p>
        </w:tc>
        <w:tc>
          <w:tcPr>
            <w:tcW w:w="1229" w:type="dxa"/>
            <w:tcBorders>
              <w:top w:val="nil"/>
              <w:left w:val="nil"/>
              <w:bottom w:val="nil"/>
              <w:right w:val="nil"/>
            </w:tcBorders>
            <w:noWrap/>
            <w:vAlign w:val="center"/>
          </w:tcPr>
          <w:p w14:paraId="0F49D6F9"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0.5560</w:t>
            </w:r>
          </w:p>
        </w:tc>
        <w:tc>
          <w:tcPr>
            <w:tcW w:w="1228" w:type="dxa"/>
            <w:tcBorders>
              <w:top w:val="nil"/>
              <w:left w:val="nil"/>
              <w:bottom w:val="nil"/>
              <w:right w:val="nil"/>
            </w:tcBorders>
            <w:noWrap/>
            <w:vAlign w:val="center"/>
          </w:tcPr>
          <w:p w14:paraId="1EC8CFA6"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0.5815</w:t>
            </w:r>
          </w:p>
        </w:tc>
        <w:tc>
          <w:tcPr>
            <w:tcW w:w="1229" w:type="dxa"/>
            <w:tcBorders>
              <w:top w:val="nil"/>
              <w:left w:val="nil"/>
              <w:bottom w:val="nil"/>
              <w:right w:val="single" w:sz="4" w:space="0" w:color="auto"/>
            </w:tcBorders>
            <w:noWrap/>
            <w:vAlign w:val="center"/>
          </w:tcPr>
          <w:p w14:paraId="18D2C7D5"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0.6085</w:t>
            </w:r>
          </w:p>
        </w:tc>
      </w:tr>
      <w:tr w:rsidR="00F52111" w:rsidRPr="00BC31E0" w14:paraId="44A798E6" w14:textId="77777777" w:rsidTr="004736F2">
        <w:trPr>
          <w:cantSplit/>
          <w:jc w:val="center"/>
        </w:trPr>
        <w:tc>
          <w:tcPr>
            <w:tcW w:w="856" w:type="dxa"/>
            <w:vMerge/>
            <w:tcBorders>
              <w:left w:val="single" w:sz="4" w:space="0" w:color="auto"/>
              <w:right w:val="nil"/>
            </w:tcBorders>
            <w:shd w:val="clear" w:color="auto" w:fill="auto"/>
            <w:noWrap/>
            <w:vAlign w:val="center"/>
          </w:tcPr>
          <w:p w14:paraId="2F261260" w14:textId="77777777" w:rsidR="00F52111" w:rsidRPr="00BC31E0" w:rsidRDefault="00F52111" w:rsidP="004736F2">
            <w:pPr>
              <w:adjustRightInd w:val="0"/>
              <w:snapToGrid w:val="0"/>
              <w:spacing w:line="240" w:lineRule="atLeast"/>
              <w:jc w:val="center"/>
              <w:rPr>
                <w:rFonts w:ascii="ＭＳ Ｐゴシック" w:eastAsia="ＭＳ Ｐゴシック" w:hAnsi="ＭＳ Ｐゴシック"/>
                <w:sz w:val="20"/>
                <w:szCs w:val="18"/>
              </w:rPr>
            </w:pPr>
          </w:p>
        </w:tc>
        <w:tc>
          <w:tcPr>
            <w:tcW w:w="850" w:type="dxa"/>
            <w:tcBorders>
              <w:top w:val="nil"/>
              <w:left w:val="single" w:sz="4" w:space="0" w:color="auto"/>
              <w:bottom w:val="nil"/>
              <w:right w:val="single" w:sz="4" w:space="0" w:color="auto"/>
            </w:tcBorders>
            <w:noWrap/>
            <w:vAlign w:val="center"/>
          </w:tcPr>
          <w:p w14:paraId="629BC058"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0.15</w:t>
            </w:r>
          </w:p>
        </w:tc>
        <w:tc>
          <w:tcPr>
            <w:tcW w:w="1228" w:type="dxa"/>
            <w:tcBorders>
              <w:top w:val="nil"/>
              <w:left w:val="nil"/>
              <w:bottom w:val="nil"/>
              <w:right w:val="nil"/>
            </w:tcBorders>
            <w:noWrap/>
            <w:vAlign w:val="center"/>
          </w:tcPr>
          <w:p w14:paraId="0C2ED726"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0.6088</w:t>
            </w:r>
          </w:p>
        </w:tc>
        <w:tc>
          <w:tcPr>
            <w:tcW w:w="1229" w:type="dxa"/>
            <w:tcBorders>
              <w:top w:val="nil"/>
              <w:left w:val="nil"/>
              <w:bottom w:val="nil"/>
              <w:right w:val="nil"/>
            </w:tcBorders>
            <w:noWrap/>
            <w:vAlign w:val="center"/>
          </w:tcPr>
          <w:p w14:paraId="7C0084D9"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0.5148</w:t>
            </w:r>
          </w:p>
        </w:tc>
        <w:tc>
          <w:tcPr>
            <w:tcW w:w="1228" w:type="dxa"/>
            <w:tcBorders>
              <w:top w:val="nil"/>
              <w:left w:val="nil"/>
              <w:bottom w:val="nil"/>
              <w:right w:val="nil"/>
            </w:tcBorders>
            <w:noWrap/>
            <w:vAlign w:val="center"/>
          </w:tcPr>
          <w:p w14:paraId="3AF573F1"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0.5340</w:t>
            </w:r>
          </w:p>
        </w:tc>
        <w:tc>
          <w:tcPr>
            <w:tcW w:w="1229" w:type="dxa"/>
            <w:tcBorders>
              <w:top w:val="nil"/>
              <w:left w:val="nil"/>
              <w:bottom w:val="nil"/>
              <w:right w:val="nil"/>
            </w:tcBorders>
            <w:noWrap/>
            <w:vAlign w:val="center"/>
          </w:tcPr>
          <w:p w14:paraId="756DA8CF"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0.5564</w:t>
            </w:r>
          </w:p>
        </w:tc>
        <w:tc>
          <w:tcPr>
            <w:tcW w:w="1228" w:type="dxa"/>
            <w:tcBorders>
              <w:top w:val="nil"/>
              <w:left w:val="nil"/>
              <w:bottom w:val="nil"/>
              <w:right w:val="nil"/>
            </w:tcBorders>
            <w:noWrap/>
            <w:vAlign w:val="center"/>
          </w:tcPr>
          <w:p w14:paraId="0AF1F940"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0.5815</w:t>
            </w:r>
          </w:p>
        </w:tc>
        <w:tc>
          <w:tcPr>
            <w:tcW w:w="1229" w:type="dxa"/>
            <w:tcBorders>
              <w:top w:val="nil"/>
              <w:left w:val="nil"/>
              <w:bottom w:val="nil"/>
              <w:right w:val="single" w:sz="4" w:space="0" w:color="auto"/>
            </w:tcBorders>
            <w:noWrap/>
            <w:vAlign w:val="center"/>
          </w:tcPr>
          <w:p w14:paraId="7FF3BD06"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0.6087</w:t>
            </w:r>
          </w:p>
        </w:tc>
      </w:tr>
      <w:tr w:rsidR="00F52111" w:rsidRPr="00BC31E0" w14:paraId="26B543D0" w14:textId="77777777" w:rsidTr="004736F2">
        <w:trPr>
          <w:cantSplit/>
          <w:jc w:val="center"/>
        </w:trPr>
        <w:tc>
          <w:tcPr>
            <w:tcW w:w="856" w:type="dxa"/>
            <w:vMerge/>
            <w:tcBorders>
              <w:left w:val="single" w:sz="4" w:space="0" w:color="auto"/>
              <w:right w:val="nil"/>
            </w:tcBorders>
            <w:shd w:val="clear" w:color="auto" w:fill="auto"/>
            <w:noWrap/>
            <w:vAlign w:val="center"/>
          </w:tcPr>
          <w:p w14:paraId="6CA183FF" w14:textId="77777777" w:rsidR="00F52111" w:rsidRPr="00BC31E0" w:rsidRDefault="00F52111" w:rsidP="004736F2">
            <w:pPr>
              <w:adjustRightInd w:val="0"/>
              <w:snapToGrid w:val="0"/>
              <w:spacing w:line="240" w:lineRule="atLeast"/>
              <w:jc w:val="center"/>
              <w:rPr>
                <w:rFonts w:ascii="ＭＳ Ｐゴシック" w:eastAsia="ＭＳ Ｐゴシック" w:hAnsi="ＭＳ Ｐゴシック"/>
                <w:sz w:val="20"/>
                <w:szCs w:val="18"/>
              </w:rPr>
            </w:pPr>
          </w:p>
        </w:tc>
        <w:tc>
          <w:tcPr>
            <w:tcW w:w="850" w:type="dxa"/>
            <w:tcBorders>
              <w:top w:val="nil"/>
              <w:left w:val="single" w:sz="4" w:space="0" w:color="auto"/>
              <w:bottom w:val="nil"/>
              <w:right w:val="single" w:sz="4" w:space="0" w:color="auto"/>
            </w:tcBorders>
            <w:noWrap/>
            <w:vAlign w:val="center"/>
          </w:tcPr>
          <w:p w14:paraId="0B51C2AE"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0.20</w:t>
            </w:r>
          </w:p>
        </w:tc>
        <w:tc>
          <w:tcPr>
            <w:tcW w:w="1228" w:type="dxa"/>
            <w:tcBorders>
              <w:top w:val="nil"/>
              <w:left w:val="nil"/>
              <w:bottom w:val="nil"/>
              <w:right w:val="nil"/>
            </w:tcBorders>
            <w:noWrap/>
            <w:vAlign w:val="center"/>
          </w:tcPr>
          <w:p w14:paraId="5AA63632"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0.6247</w:t>
            </w:r>
          </w:p>
        </w:tc>
        <w:tc>
          <w:tcPr>
            <w:tcW w:w="1229" w:type="dxa"/>
            <w:tcBorders>
              <w:top w:val="nil"/>
              <w:left w:val="nil"/>
              <w:bottom w:val="nil"/>
              <w:right w:val="nil"/>
            </w:tcBorders>
            <w:noWrap/>
            <w:vAlign w:val="center"/>
          </w:tcPr>
          <w:p w14:paraId="357A03B7"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0.5202</w:t>
            </w:r>
          </w:p>
        </w:tc>
        <w:tc>
          <w:tcPr>
            <w:tcW w:w="1228" w:type="dxa"/>
            <w:tcBorders>
              <w:top w:val="nil"/>
              <w:left w:val="nil"/>
              <w:bottom w:val="nil"/>
              <w:right w:val="nil"/>
            </w:tcBorders>
            <w:noWrap/>
            <w:vAlign w:val="center"/>
          </w:tcPr>
          <w:p w14:paraId="24ED5E5F"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0.5364</w:t>
            </w:r>
          </w:p>
        </w:tc>
        <w:tc>
          <w:tcPr>
            <w:tcW w:w="1229" w:type="dxa"/>
            <w:tcBorders>
              <w:top w:val="nil"/>
              <w:left w:val="nil"/>
              <w:bottom w:val="nil"/>
              <w:right w:val="nil"/>
            </w:tcBorders>
            <w:noWrap/>
            <w:vAlign w:val="center"/>
          </w:tcPr>
          <w:p w14:paraId="414A22A7"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0.5571</w:t>
            </w:r>
          </w:p>
        </w:tc>
        <w:tc>
          <w:tcPr>
            <w:tcW w:w="1228" w:type="dxa"/>
            <w:tcBorders>
              <w:top w:val="nil"/>
              <w:left w:val="nil"/>
              <w:bottom w:val="nil"/>
              <w:right w:val="nil"/>
            </w:tcBorders>
            <w:noWrap/>
            <w:vAlign w:val="center"/>
          </w:tcPr>
          <w:p w14:paraId="542026BA"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0.5815</w:t>
            </w:r>
          </w:p>
        </w:tc>
        <w:tc>
          <w:tcPr>
            <w:tcW w:w="1229" w:type="dxa"/>
            <w:tcBorders>
              <w:top w:val="nil"/>
              <w:left w:val="nil"/>
              <w:bottom w:val="nil"/>
              <w:right w:val="single" w:sz="4" w:space="0" w:color="auto"/>
            </w:tcBorders>
            <w:noWrap/>
            <w:vAlign w:val="center"/>
          </w:tcPr>
          <w:p w14:paraId="707A810A"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0.6089</w:t>
            </w:r>
          </w:p>
        </w:tc>
      </w:tr>
      <w:tr w:rsidR="00F52111" w:rsidRPr="00BC31E0" w14:paraId="645786EA" w14:textId="77777777" w:rsidTr="004736F2">
        <w:trPr>
          <w:cantSplit/>
          <w:jc w:val="center"/>
        </w:trPr>
        <w:tc>
          <w:tcPr>
            <w:tcW w:w="856" w:type="dxa"/>
            <w:vMerge/>
            <w:tcBorders>
              <w:left w:val="single" w:sz="4" w:space="0" w:color="auto"/>
              <w:right w:val="nil"/>
            </w:tcBorders>
            <w:shd w:val="clear" w:color="auto" w:fill="auto"/>
            <w:noWrap/>
            <w:vAlign w:val="center"/>
          </w:tcPr>
          <w:p w14:paraId="12F73AB0" w14:textId="77777777" w:rsidR="00F52111" w:rsidRPr="00BC31E0" w:rsidRDefault="00F52111" w:rsidP="004736F2">
            <w:pPr>
              <w:adjustRightInd w:val="0"/>
              <w:snapToGrid w:val="0"/>
              <w:spacing w:line="240" w:lineRule="atLeast"/>
              <w:jc w:val="center"/>
              <w:rPr>
                <w:rFonts w:ascii="ＭＳ Ｐゴシック" w:eastAsia="ＭＳ Ｐゴシック" w:hAnsi="ＭＳ Ｐゴシック"/>
                <w:sz w:val="20"/>
                <w:szCs w:val="22"/>
              </w:rPr>
            </w:pPr>
          </w:p>
        </w:tc>
        <w:tc>
          <w:tcPr>
            <w:tcW w:w="850" w:type="dxa"/>
            <w:tcBorders>
              <w:top w:val="nil"/>
              <w:left w:val="single" w:sz="4" w:space="0" w:color="auto"/>
              <w:bottom w:val="nil"/>
              <w:right w:val="single" w:sz="4" w:space="0" w:color="auto"/>
            </w:tcBorders>
            <w:noWrap/>
            <w:vAlign w:val="center"/>
          </w:tcPr>
          <w:p w14:paraId="3193274A"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0.25</w:t>
            </w:r>
          </w:p>
        </w:tc>
        <w:tc>
          <w:tcPr>
            <w:tcW w:w="1228" w:type="dxa"/>
            <w:tcBorders>
              <w:top w:val="nil"/>
              <w:left w:val="nil"/>
              <w:bottom w:val="nil"/>
              <w:right w:val="nil"/>
            </w:tcBorders>
            <w:noWrap/>
            <w:vAlign w:val="center"/>
          </w:tcPr>
          <w:p w14:paraId="755701F2"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0.6475</w:t>
            </w:r>
          </w:p>
        </w:tc>
        <w:tc>
          <w:tcPr>
            <w:tcW w:w="1229" w:type="dxa"/>
            <w:tcBorders>
              <w:top w:val="nil"/>
              <w:left w:val="nil"/>
              <w:bottom w:val="nil"/>
              <w:right w:val="nil"/>
            </w:tcBorders>
            <w:noWrap/>
            <w:vAlign w:val="center"/>
          </w:tcPr>
          <w:p w14:paraId="25F2865E"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0.5269</w:t>
            </w:r>
          </w:p>
        </w:tc>
        <w:tc>
          <w:tcPr>
            <w:tcW w:w="1228" w:type="dxa"/>
            <w:tcBorders>
              <w:top w:val="nil"/>
              <w:left w:val="nil"/>
              <w:bottom w:val="nil"/>
              <w:right w:val="nil"/>
            </w:tcBorders>
            <w:noWrap/>
            <w:vAlign w:val="center"/>
          </w:tcPr>
          <w:p w14:paraId="64199BE3"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0.5394</w:t>
            </w:r>
          </w:p>
        </w:tc>
        <w:tc>
          <w:tcPr>
            <w:tcW w:w="1229" w:type="dxa"/>
            <w:tcBorders>
              <w:top w:val="nil"/>
              <w:left w:val="nil"/>
              <w:bottom w:val="nil"/>
              <w:right w:val="nil"/>
            </w:tcBorders>
            <w:noWrap/>
            <w:vAlign w:val="center"/>
          </w:tcPr>
          <w:p w14:paraId="457E4834"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0.5580</w:t>
            </w:r>
          </w:p>
        </w:tc>
        <w:tc>
          <w:tcPr>
            <w:tcW w:w="1228" w:type="dxa"/>
            <w:tcBorders>
              <w:top w:val="nil"/>
              <w:left w:val="nil"/>
              <w:bottom w:val="nil"/>
              <w:right w:val="nil"/>
            </w:tcBorders>
            <w:noWrap/>
            <w:vAlign w:val="center"/>
          </w:tcPr>
          <w:p w14:paraId="18A4CC95"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0.5817</w:t>
            </w:r>
          </w:p>
        </w:tc>
        <w:tc>
          <w:tcPr>
            <w:tcW w:w="1229" w:type="dxa"/>
            <w:tcBorders>
              <w:top w:val="nil"/>
              <w:left w:val="nil"/>
              <w:bottom w:val="nil"/>
              <w:right w:val="single" w:sz="4" w:space="0" w:color="auto"/>
            </w:tcBorders>
            <w:noWrap/>
            <w:vAlign w:val="center"/>
          </w:tcPr>
          <w:p w14:paraId="054933DE"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0.6093</w:t>
            </w:r>
          </w:p>
        </w:tc>
      </w:tr>
      <w:tr w:rsidR="00F52111" w:rsidRPr="00BC31E0" w14:paraId="0E43E2A3" w14:textId="77777777" w:rsidTr="004736F2">
        <w:trPr>
          <w:cantSplit/>
          <w:jc w:val="center"/>
        </w:trPr>
        <w:tc>
          <w:tcPr>
            <w:tcW w:w="856" w:type="dxa"/>
            <w:vMerge/>
            <w:tcBorders>
              <w:left w:val="single" w:sz="4" w:space="0" w:color="auto"/>
              <w:right w:val="nil"/>
            </w:tcBorders>
            <w:shd w:val="clear" w:color="auto" w:fill="auto"/>
            <w:vAlign w:val="center"/>
          </w:tcPr>
          <w:p w14:paraId="0CDFB2DA" w14:textId="77777777" w:rsidR="00F52111" w:rsidRPr="00BC31E0" w:rsidRDefault="00F52111" w:rsidP="004736F2">
            <w:pPr>
              <w:adjustRightInd w:val="0"/>
              <w:snapToGrid w:val="0"/>
              <w:spacing w:line="240" w:lineRule="atLeast"/>
              <w:jc w:val="center"/>
              <w:rPr>
                <w:rFonts w:ascii="ＭＳ Ｐゴシック" w:eastAsia="ＭＳ Ｐゴシック" w:hAnsi="ＭＳ Ｐゴシック"/>
                <w:sz w:val="20"/>
                <w:szCs w:val="22"/>
              </w:rPr>
            </w:pPr>
          </w:p>
        </w:tc>
        <w:tc>
          <w:tcPr>
            <w:tcW w:w="850" w:type="dxa"/>
            <w:tcBorders>
              <w:top w:val="nil"/>
              <w:left w:val="single" w:sz="4" w:space="0" w:color="auto"/>
              <w:bottom w:val="nil"/>
              <w:right w:val="single" w:sz="4" w:space="0" w:color="auto"/>
            </w:tcBorders>
            <w:noWrap/>
            <w:vAlign w:val="center"/>
          </w:tcPr>
          <w:p w14:paraId="7CDD01A0"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0.30</w:t>
            </w:r>
          </w:p>
        </w:tc>
        <w:tc>
          <w:tcPr>
            <w:tcW w:w="1228" w:type="dxa"/>
            <w:tcBorders>
              <w:top w:val="nil"/>
              <w:left w:val="nil"/>
              <w:bottom w:val="nil"/>
              <w:right w:val="nil"/>
            </w:tcBorders>
            <w:noWrap/>
            <w:vAlign w:val="center"/>
          </w:tcPr>
          <w:p w14:paraId="45944C50"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0.6775</w:t>
            </w:r>
          </w:p>
        </w:tc>
        <w:tc>
          <w:tcPr>
            <w:tcW w:w="1229" w:type="dxa"/>
            <w:tcBorders>
              <w:top w:val="nil"/>
              <w:left w:val="nil"/>
              <w:bottom w:val="nil"/>
              <w:right w:val="nil"/>
            </w:tcBorders>
            <w:noWrap/>
            <w:vAlign w:val="center"/>
          </w:tcPr>
          <w:p w14:paraId="65407632"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0.5350</w:t>
            </w:r>
          </w:p>
        </w:tc>
        <w:tc>
          <w:tcPr>
            <w:tcW w:w="1228" w:type="dxa"/>
            <w:tcBorders>
              <w:top w:val="nil"/>
              <w:left w:val="nil"/>
              <w:bottom w:val="nil"/>
              <w:right w:val="nil"/>
            </w:tcBorders>
            <w:noWrap/>
            <w:vAlign w:val="center"/>
          </w:tcPr>
          <w:p w14:paraId="750353E6"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0.5430</w:t>
            </w:r>
          </w:p>
        </w:tc>
        <w:tc>
          <w:tcPr>
            <w:tcW w:w="1229" w:type="dxa"/>
            <w:tcBorders>
              <w:top w:val="nil"/>
              <w:left w:val="nil"/>
              <w:bottom w:val="nil"/>
              <w:right w:val="nil"/>
            </w:tcBorders>
            <w:noWrap/>
            <w:vAlign w:val="center"/>
          </w:tcPr>
          <w:p w14:paraId="1BB68270"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0.5592</w:t>
            </w:r>
          </w:p>
        </w:tc>
        <w:tc>
          <w:tcPr>
            <w:tcW w:w="1228" w:type="dxa"/>
            <w:tcBorders>
              <w:top w:val="nil"/>
              <w:left w:val="nil"/>
              <w:bottom w:val="nil"/>
              <w:right w:val="nil"/>
            </w:tcBorders>
            <w:noWrap/>
            <w:vAlign w:val="center"/>
          </w:tcPr>
          <w:p w14:paraId="43B6BB1C"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0.5820</w:t>
            </w:r>
          </w:p>
        </w:tc>
        <w:tc>
          <w:tcPr>
            <w:tcW w:w="1229" w:type="dxa"/>
            <w:tcBorders>
              <w:top w:val="nil"/>
              <w:left w:val="nil"/>
              <w:bottom w:val="nil"/>
              <w:right w:val="single" w:sz="4" w:space="0" w:color="auto"/>
            </w:tcBorders>
            <w:noWrap/>
            <w:vAlign w:val="center"/>
          </w:tcPr>
          <w:p w14:paraId="5434F265"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0.6099</w:t>
            </w:r>
          </w:p>
        </w:tc>
      </w:tr>
      <w:tr w:rsidR="00F52111" w:rsidRPr="00BC31E0" w14:paraId="319F8641" w14:textId="77777777" w:rsidTr="004736F2">
        <w:trPr>
          <w:cantSplit/>
          <w:jc w:val="center"/>
        </w:trPr>
        <w:tc>
          <w:tcPr>
            <w:tcW w:w="856" w:type="dxa"/>
            <w:vMerge/>
            <w:tcBorders>
              <w:left w:val="single" w:sz="4" w:space="0" w:color="auto"/>
              <w:right w:val="nil"/>
            </w:tcBorders>
            <w:shd w:val="clear" w:color="auto" w:fill="auto"/>
            <w:noWrap/>
            <w:vAlign w:val="center"/>
          </w:tcPr>
          <w:p w14:paraId="5D5A47CD" w14:textId="77777777" w:rsidR="00F52111" w:rsidRPr="00BC31E0" w:rsidRDefault="00F52111" w:rsidP="004736F2">
            <w:pPr>
              <w:adjustRightInd w:val="0"/>
              <w:snapToGrid w:val="0"/>
              <w:spacing w:line="240" w:lineRule="atLeast"/>
              <w:jc w:val="center"/>
              <w:rPr>
                <w:rFonts w:ascii="ＭＳ Ｐゴシック" w:eastAsia="ＭＳ Ｐゴシック" w:hAnsi="ＭＳ Ｐゴシック"/>
                <w:sz w:val="20"/>
                <w:szCs w:val="18"/>
              </w:rPr>
            </w:pPr>
          </w:p>
        </w:tc>
        <w:tc>
          <w:tcPr>
            <w:tcW w:w="850" w:type="dxa"/>
            <w:tcBorders>
              <w:top w:val="nil"/>
              <w:left w:val="single" w:sz="4" w:space="0" w:color="auto"/>
              <w:bottom w:val="nil"/>
              <w:right w:val="single" w:sz="4" w:space="0" w:color="auto"/>
            </w:tcBorders>
            <w:noWrap/>
            <w:vAlign w:val="center"/>
          </w:tcPr>
          <w:p w14:paraId="6B817357"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0.40</w:t>
            </w:r>
          </w:p>
        </w:tc>
        <w:tc>
          <w:tcPr>
            <w:tcW w:w="1228" w:type="dxa"/>
            <w:tcBorders>
              <w:top w:val="nil"/>
              <w:left w:val="nil"/>
              <w:bottom w:val="nil"/>
              <w:right w:val="nil"/>
            </w:tcBorders>
            <w:noWrap/>
            <w:vAlign w:val="center"/>
          </w:tcPr>
          <w:p w14:paraId="6032B1B6"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0.7651</w:t>
            </w:r>
          </w:p>
        </w:tc>
        <w:tc>
          <w:tcPr>
            <w:tcW w:w="1229" w:type="dxa"/>
            <w:tcBorders>
              <w:top w:val="nil"/>
              <w:left w:val="nil"/>
              <w:bottom w:val="nil"/>
              <w:right w:val="nil"/>
            </w:tcBorders>
            <w:noWrap/>
            <w:vAlign w:val="center"/>
          </w:tcPr>
          <w:p w14:paraId="13D87C8B"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0.5545</w:t>
            </w:r>
          </w:p>
        </w:tc>
        <w:tc>
          <w:tcPr>
            <w:tcW w:w="1228" w:type="dxa"/>
            <w:tcBorders>
              <w:top w:val="nil"/>
              <w:left w:val="nil"/>
              <w:bottom w:val="nil"/>
              <w:right w:val="nil"/>
            </w:tcBorders>
            <w:noWrap/>
            <w:vAlign w:val="center"/>
          </w:tcPr>
          <w:p w14:paraId="732EA9C6"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0.5520</w:t>
            </w:r>
          </w:p>
        </w:tc>
        <w:tc>
          <w:tcPr>
            <w:tcW w:w="1229" w:type="dxa"/>
            <w:tcBorders>
              <w:top w:val="nil"/>
              <w:left w:val="nil"/>
              <w:bottom w:val="nil"/>
              <w:right w:val="nil"/>
            </w:tcBorders>
            <w:noWrap/>
            <w:vAlign w:val="center"/>
          </w:tcPr>
          <w:p w14:paraId="6034037E"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0.5627</w:t>
            </w:r>
          </w:p>
        </w:tc>
        <w:tc>
          <w:tcPr>
            <w:tcW w:w="1228" w:type="dxa"/>
            <w:tcBorders>
              <w:top w:val="nil"/>
              <w:left w:val="nil"/>
              <w:bottom w:val="nil"/>
              <w:right w:val="nil"/>
            </w:tcBorders>
            <w:noWrap/>
            <w:vAlign w:val="center"/>
          </w:tcPr>
          <w:p w14:paraId="4676EEA3"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0.5835</w:t>
            </w:r>
          </w:p>
        </w:tc>
        <w:tc>
          <w:tcPr>
            <w:tcW w:w="1229" w:type="dxa"/>
            <w:tcBorders>
              <w:top w:val="nil"/>
              <w:left w:val="nil"/>
              <w:bottom w:val="nil"/>
              <w:right w:val="single" w:sz="4" w:space="0" w:color="auto"/>
            </w:tcBorders>
            <w:noWrap/>
            <w:vAlign w:val="center"/>
          </w:tcPr>
          <w:p w14:paraId="5BADB256"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0.6115</w:t>
            </w:r>
          </w:p>
        </w:tc>
      </w:tr>
      <w:tr w:rsidR="00F52111" w:rsidRPr="00BC31E0" w14:paraId="4494082E" w14:textId="77777777" w:rsidTr="004736F2">
        <w:trPr>
          <w:cantSplit/>
          <w:jc w:val="center"/>
        </w:trPr>
        <w:tc>
          <w:tcPr>
            <w:tcW w:w="856" w:type="dxa"/>
            <w:vMerge/>
            <w:tcBorders>
              <w:left w:val="single" w:sz="4" w:space="0" w:color="auto"/>
              <w:right w:val="nil"/>
            </w:tcBorders>
            <w:shd w:val="clear" w:color="auto" w:fill="auto"/>
            <w:noWrap/>
            <w:vAlign w:val="center"/>
          </w:tcPr>
          <w:p w14:paraId="4FEE2C80" w14:textId="77777777" w:rsidR="00F52111" w:rsidRPr="00BC31E0" w:rsidRDefault="00F52111" w:rsidP="004736F2">
            <w:pPr>
              <w:adjustRightInd w:val="0"/>
              <w:snapToGrid w:val="0"/>
              <w:spacing w:line="240" w:lineRule="atLeast"/>
              <w:jc w:val="center"/>
              <w:rPr>
                <w:rFonts w:ascii="ＭＳ Ｐゴシック" w:eastAsia="ＭＳ Ｐゴシック" w:hAnsi="ＭＳ Ｐゴシック"/>
                <w:sz w:val="20"/>
                <w:szCs w:val="18"/>
              </w:rPr>
            </w:pPr>
          </w:p>
        </w:tc>
        <w:tc>
          <w:tcPr>
            <w:tcW w:w="850" w:type="dxa"/>
            <w:tcBorders>
              <w:top w:val="nil"/>
              <w:left w:val="single" w:sz="4" w:space="0" w:color="auto"/>
              <w:bottom w:val="nil"/>
              <w:right w:val="single" w:sz="4" w:space="0" w:color="auto"/>
            </w:tcBorders>
            <w:noWrap/>
            <w:vAlign w:val="center"/>
          </w:tcPr>
          <w:p w14:paraId="7F2E0FE0"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0.50</w:t>
            </w:r>
          </w:p>
        </w:tc>
        <w:tc>
          <w:tcPr>
            <w:tcW w:w="1228" w:type="dxa"/>
            <w:tcBorders>
              <w:top w:val="nil"/>
              <w:left w:val="nil"/>
              <w:bottom w:val="nil"/>
              <w:right w:val="nil"/>
            </w:tcBorders>
            <w:noWrap/>
            <w:vAlign w:val="center"/>
          </w:tcPr>
          <w:p w14:paraId="2523FB5D"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0.9048</w:t>
            </w:r>
          </w:p>
        </w:tc>
        <w:tc>
          <w:tcPr>
            <w:tcW w:w="1229" w:type="dxa"/>
            <w:tcBorders>
              <w:top w:val="nil"/>
              <w:left w:val="nil"/>
              <w:bottom w:val="nil"/>
              <w:right w:val="nil"/>
            </w:tcBorders>
            <w:noWrap/>
            <w:vAlign w:val="center"/>
          </w:tcPr>
          <w:p w14:paraId="706EE358"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0.5776</w:t>
            </w:r>
          </w:p>
        </w:tc>
        <w:tc>
          <w:tcPr>
            <w:tcW w:w="1228" w:type="dxa"/>
            <w:tcBorders>
              <w:top w:val="nil"/>
              <w:left w:val="nil"/>
              <w:bottom w:val="nil"/>
              <w:right w:val="nil"/>
            </w:tcBorders>
            <w:noWrap/>
            <w:vAlign w:val="center"/>
          </w:tcPr>
          <w:p w14:paraId="69148886"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0.5632</w:t>
            </w:r>
          </w:p>
        </w:tc>
        <w:tc>
          <w:tcPr>
            <w:tcW w:w="1229" w:type="dxa"/>
            <w:tcBorders>
              <w:top w:val="nil"/>
              <w:left w:val="nil"/>
              <w:bottom w:val="nil"/>
              <w:right w:val="nil"/>
            </w:tcBorders>
            <w:noWrap/>
            <w:vAlign w:val="center"/>
          </w:tcPr>
          <w:p w14:paraId="53C669B3"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0.5680</w:t>
            </w:r>
          </w:p>
        </w:tc>
        <w:tc>
          <w:tcPr>
            <w:tcW w:w="1228" w:type="dxa"/>
            <w:tcBorders>
              <w:top w:val="nil"/>
              <w:left w:val="nil"/>
              <w:bottom w:val="nil"/>
              <w:right w:val="nil"/>
            </w:tcBorders>
            <w:noWrap/>
            <w:vAlign w:val="center"/>
          </w:tcPr>
          <w:p w14:paraId="7DD1DCE1"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0.5869</w:t>
            </w:r>
          </w:p>
        </w:tc>
        <w:tc>
          <w:tcPr>
            <w:tcW w:w="1229" w:type="dxa"/>
            <w:tcBorders>
              <w:top w:val="nil"/>
              <w:left w:val="nil"/>
              <w:bottom w:val="nil"/>
              <w:right w:val="single" w:sz="4" w:space="0" w:color="auto"/>
            </w:tcBorders>
            <w:noWrap/>
            <w:vAlign w:val="center"/>
          </w:tcPr>
          <w:p w14:paraId="7713904E"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0.6144</w:t>
            </w:r>
          </w:p>
        </w:tc>
      </w:tr>
      <w:tr w:rsidR="00F52111" w:rsidRPr="00BC31E0" w14:paraId="631A009F" w14:textId="77777777" w:rsidTr="004736F2">
        <w:trPr>
          <w:cantSplit/>
          <w:jc w:val="center"/>
        </w:trPr>
        <w:tc>
          <w:tcPr>
            <w:tcW w:w="856" w:type="dxa"/>
            <w:vMerge/>
            <w:tcBorders>
              <w:left w:val="single" w:sz="4" w:space="0" w:color="auto"/>
              <w:right w:val="nil"/>
            </w:tcBorders>
            <w:shd w:val="clear" w:color="auto" w:fill="auto"/>
            <w:noWrap/>
            <w:vAlign w:val="center"/>
          </w:tcPr>
          <w:p w14:paraId="7E0AB2AF" w14:textId="77777777" w:rsidR="00F52111" w:rsidRPr="00BC31E0" w:rsidRDefault="00F52111" w:rsidP="004736F2">
            <w:pPr>
              <w:adjustRightInd w:val="0"/>
              <w:snapToGrid w:val="0"/>
              <w:spacing w:line="240" w:lineRule="atLeast"/>
              <w:jc w:val="center"/>
              <w:rPr>
                <w:rFonts w:ascii="ＭＳ Ｐゴシック" w:eastAsia="ＭＳ Ｐゴシック" w:hAnsi="ＭＳ Ｐゴシック"/>
                <w:sz w:val="20"/>
                <w:szCs w:val="18"/>
              </w:rPr>
            </w:pPr>
          </w:p>
        </w:tc>
        <w:tc>
          <w:tcPr>
            <w:tcW w:w="850" w:type="dxa"/>
            <w:tcBorders>
              <w:top w:val="nil"/>
              <w:left w:val="single" w:sz="4" w:space="0" w:color="auto"/>
              <w:bottom w:val="nil"/>
              <w:right w:val="single" w:sz="4" w:space="0" w:color="auto"/>
            </w:tcBorders>
            <w:noWrap/>
            <w:vAlign w:val="center"/>
          </w:tcPr>
          <w:p w14:paraId="7B75EBF1"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0.60</w:t>
            </w:r>
          </w:p>
        </w:tc>
        <w:tc>
          <w:tcPr>
            <w:tcW w:w="1228" w:type="dxa"/>
            <w:tcBorders>
              <w:top w:val="nil"/>
              <w:left w:val="nil"/>
              <w:bottom w:val="nil"/>
              <w:right w:val="nil"/>
            </w:tcBorders>
            <w:noWrap/>
            <w:vAlign w:val="center"/>
          </w:tcPr>
          <w:p w14:paraId="75E96CDE"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1.1382</w:t>
            </w:r>
          </w:p>
        </w:tc>
        <w:tc>
          <w:tcPr>
            <w:tcW w:w="1229" w:type="dxa"/>
            <w:tcBorders>
              <w:top w:val="nil"/>
              <w:left w:val="nil"/>
              <w:bottom w:val="nil"/>
              <w:right w:val="nil"/>
            </w:tcBorders>
            <w:noWrap/>
            <w:vAlign w:val="center"/>
          </w:tcPr>
          <w:p w14:paraId="17026548"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0.6027</w:t>
            </w:r>
          </w:p>
        </w:tc>
        <w:tc>
          <w:tcPr>
            <w:tcW w:w="1228" w:type="dxa"/>
            <w:tcBorders>
              <w:top w:val="nil"/>
              <w:left w:val="nil"/>
              <w:bottom w:val="nil"/>
              <w:right w:val="nil"/>
            </w:tcBorders>
            <w:noWrap/>
            <w:vAlign w:val="center"/>
          </w:tcPr>
          <w:p w14:paraId="51F42C89"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0.5762</w:t>
            </w:r>
          </w:p>
        </w:tc>
        <w:tc>
          <w:tcPr>
            <w:tcW w:w="1229" w:type="dxa"/>
            <w:tcBorders>
              <w:top w:val="nil"/>
              <w:left w:val="nil"/>
              <w:bottom w:val="nil"/>
              <w:right w:val="nil"/>
            </w:tcBorders>
            <w:noWrap/>
            <w:vAlign w:val="center"/>
          </w:tcPr>
          <w:p w14:paraId="1F5D5226"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0.5760</w:t>
            </w:r>
          </w:p>
        </w:tc>
        <w:tc>
          <w:tcPr>
            <w:tcW w:w="1228" w:type="dxa"/>
            <w:tcBorders>
              <w:top w:val="nil"/>
              <w:left w:val="nil"/>
              <w:bottom w:val="nil"/>
              <w:right w:val="nil"/>
            </w:tcBorders>
            <w:noWrap/>
            <w:vAlign w:val="center"/>
          </w:tcPr>
          <w:p w14:paraId="5A252F21"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0.5931</w:t>
            </w:r>
          </w:p>
        </w:tc>
        <w:tc>
          <w:tcPr>
            <w:tcW w:w="1229" w:type="dxa"/>
            <w:tcBorders>
              <w:top w:val="nil"/>
              <w:left w:val="nil"/>
              <w:bottom w:val="nil"/>
              <w:right w:val="single" w:sz="4" w:space="0" w:color="auto"/>
            </w:tcBorders>
            <w:noWrap/>
            <w:vAlign w:val="center"/>
          </w:tcPr>
          <w:p w14:paraId="5F8DEF16"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0.6188</w:t>
            </w:r>
          </w:p>
        </w:tc>
      </w:tr>
      <w:tr w:rsidR="00F52111" w:rsidRPr="00BC31E0" w14:paraId="16D938B4" w14:textId="77777777" w:rsidTr="004736F2">
        <w:trPr>
          <w:cantSplit/>
          <w:jc w:val="center"/>
        </w:trPr>
        <w:tc>
          <w:tcPr>
            <w:tcW w:w="856" w:type="dxa"/>
            <w:vMerge/>
            <w:tcBorders>
              <w:left w:val="single" w:sz="4" w:space="0" w:color="auto"/>
              <w:right w:val="nil"/>
            </w:tcBorders>
            <w:shd w:val="clear" w:color="auto" w:fill="auto"/>
            <w:noWrap/>
            <w:vAlign w:val="center"/>
          </w:tcPr>
          <w:p w14:paraId="7796C799" w14:textId="77777777" w:rsidR="00F52111" w:rsidRPr="00BC31E0" w:rsidRDefault="00F52111" w:rsidP="004736F2">
            <w:pPr>
              <w:adjustRightInd w:val="0"/>
              <w:snapToGrid w:val="0"/>
              <w:spacing w:line="240" w:lineRule="atLeast"/>
              <w:jc w:val="center"/>
              <w:rPr>
                <w:rFonts w:ascii="ＭＳ Ｐゴシック" w:eastAsia="ＭＳ Ｐゴシック" w:hAnsi="ＭＳ Ｐゴシック"/>
                <w:sz w:val="20"/>
                <w:szCs w:val="18"/>
              </w:rPr>
            </w:pPr>
          </w:p>
        </w:tc>
        <w:tc>
          <w:tcPr>
            <w:tcW w:w="850" w:type="dxa"/>
            <w:tcBorders>
              <w:top w:val="nil"/>
              <w:left w:val="single" w:sz="4" w:space="0" w:color="auto"/>
              <w:bottom w:val="nil"/>
              <w:right w:val="single" w:sz="4" w:space="0" w:color="auto"/>
            </w:tcBorders>
            <w:noWrap/>
            <w:vAlign w:val="center"/>
          </w:tcPr>
          <w:p w14:paraId="6E7431BD"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0.70</w:t>
            </w:r>
          </w:p>
        </w:tc>
        <w:tc>
          <w:tcPr>
            <w:tcW w:w="1228" w:type="dxa"/>
            <w:tcBorders>
              <w:top w:val="nil"/>
              <w:left w:val="nil"/>
              <w:bottom w:val="nil"/>
              <w:right w:val="nil"/>
            </w:tcBorders>
            <w:noWrap/>
            <w:vAlign w:val="center"/>
          </w:tcPr>
          <w:p w14:paraId="7AA514EB"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1.5757</w:t>
            </w:r>
          </w:p>
        </w:tc>
        <w:tc>
          <w:tcPr>
            <w:tcW w:w="1229" w:type="dxa"/>
            <w:tcBorders>
              <w:top w:val="nil"/>
              <w:left w:val="nil"/>
              <w:bottom w:val="nil"/>
              <w:right w:val="nil"/>
            </w:tcBorders>
            <w:noWrap/>
            <w:vAlign w:val="center"/>
          </w:tcPr>
          <w:p w14:paraId="2A2085EA"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0.6281</w:t>
            </w:r>
          </w:p>
        </w:tc>
        <w:tc>
          <w:tcPr>
            <w:tcW w:w="1228" w:type="dxa"/>
            <w:tcBorders>
              <w:top w:val="nil"/>
              <w:left w:val="nil"/>
              <w:bottom w:val="nil"/>
              <w:right w:val="nil"/>
            </w:tcBorders>
            <w:noWrap/>
            <w:vAlign w:val="center"/>
          </w:tcPr>
          <w:p w14:paraId="3CBE364D"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0.5907</w:t>
            </w:r>
          </w:p>
        </w:tc>
        <w:tc>
          <w:tcPr>
            <w:tcW w:w="1229" w:type="dxa"/>
            <w:tcBorders>
              <w:top w:val="nil"/>
              <w:left w:val="nil"/>
              <w:bottom w:val="nil"/>
              <w:right w:val="nil"/>
            </w:tcBorders>
            <w:noWrap/>
            <w:vAlign w:val="center"/>
          </w:tcPr>
          <w:p w14:paraId="68360F12"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0.5874</w:t>
            </w:r>
          </w:p>
        </w:tc>
        <w:tc>
          <w:tcPr>
            <w:tcW w:w="1228" w:type="dxa"/>
            <w:tcBorders>
              <w:top w:val="nil"/>
              <w:left w:val="nil"/>
              <w:bottom w:val="nil"/>
              <w:right w:val="nil"/>
            </w:tcBorders>
            <w:noWrap/>
            <w:vAlign w:val="center"/>
          </w:tcPr>
          <w:p w14:paraId="7CED2357"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0.6037</w:t>
            </w:r>
          </w:p>
        </w:tc>
        <w:tc>
          <w:tcPr>
            <w:tcW w:w="1229" w:type="dxa"/>
            <w:tcBorders>
              <w:top w:val="nil"/>
              <w:left w:val="nil"/>
              <w:bottom w:val="nil"/>
              <w:right w:val="single" w:sz="4" w:space="0" w:color="auto"/>
            </w:tcBorders>
            <w:noWrap/>
            <w:vAlign w:val="center"/>
          </w:tcPr>
          <w:p w14:paraId="3071BFD6"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0.6255</w:t>
            </w:r>
          </w:p>
        </w:tc>
      </w:tr>
      <w:tr w:rsidR="00F52111" w:rsidRPr="00BC31E0" w14:paraId="7353F09B" w14:textId="77777777" w:rsidTr="004736F2">
        <w:trPr>
          <w:cantSplit/>
          <w:jc w:val="center"/>
        </w:trPr>
        <w:tc>
          <w:tcPr>
            <w:tcW w:w="856" w:type="dxa"/>
            <w:vMerge/>
            <w:tcBorders>
              <w:left w:val="single" w:sz="4" w:space="0" w:color="auto"/>
              <w:bottom w:val="double" w:sz="6" w:space="0" w:color="auto"/>
              <w:right w:val="nil"/>
            </w:tcBorders>
            <w:shd w:val="clear" w:color="auto" w:fill="auto"/>
            <w:noWrap/>
            <w:vAlign w:val="center"/>
          </w:tcPr>
          <w:p w14:paraId="26612191" w14:textId="77777777" w:rsidR="00F52111" w:rsidRPr="00BC31E0" w:rsidRDefault="00F52111" w:rsidP="004736F2">
            <w:pPr>
              <w:adjustRightInd w:val="0"/>
              <w:snapToGrid w:val="0"/>
              <w:spacing w:line="240" w:lineRule="atLeast"/>
              <w:jc w:val="center"/>
              <w:rPr>
                <w:rFonts w:ascii="ＭＳ Ｐゴシック" w:eastAsia="ＭＳ Ｐゴシック" w:hAnsi="ＭＳ Ｐゴシック"/>
                <w:sz w:val="20"/>
                <w:szCs w:val="18"/>
              </w:rPr>
            </w:pPr>
          </w:p>
        </w:tc>
        <w:tc>
          <w:tcPr>
            <w:tcW w:w="850" w:type="dxa"/>
            <w:tcBorders>
              <w:top w:val="nil"/>
              <w:left w:val="single" w:sz="4" w:space="0" w:color="auto"/>
              <w:bottom w:val="double" w:sz="6" w:space="0" w:color="auto"/>
              <w:right w:val="single" w:sz="4" w:space="0" w:color="auto"/>
            </w:tcBorders>
            <w:noWrap/>
            <w:vAlign w:val="center"/>
          </w:tcPr>
          <w:p w14:paraId="775178C9"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0.80</w:t>
            </w:r>
          </w:p>
        </w:tc>
        <w:tc>
          <w:tcPr>
            <w:tcW w:w="1228" w:type="dxa"/>
            <w:tcBorders>
              <w:top w:val="nil"/>
              <w:left w:val="nil"/>
              <w:bottom w:val="double" w:sz="6" w:space="0" w:color="auto"/>
              <w:right w:val="nil"/>
            </w:tcBorders>
            <w:noWrap/>
            <w:vAlign w:val="center"/>
          </w:tcPr>
          <w:p w14:paraId="0B93B14E"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2.5997</w:t>
            </w:r>
          </w:p>
        </w:tc>
        <w:tc>
          <w:tcPr>
            <w:tcW w:w="1229" w:type="dxa"/>
            <w:tcBorders>
              <w:top w:val="nil"/>
              <w:left w:val="nil"/>
              <w:bottom w:val="double" w:sz="6" w:space="0" w:color="auto"/>
              <w:right w:val="nil"/>
            </w:tcBorders>
            <w:noWrap/>
            <w:vAlign w:val="center"/>
          </w:tcPr>
          <w:p w14:paraId="3C05C199"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0.6513</w:t>
            </w:r>
          </w:p>
        </w:tc>
        <w:tc>
          <w:tcPr>
            <w:tcW w:w="1228" w:type="dxa"/>
            <w:tcBorders>
              <w:top w:val="nil"/>
              <w:left w:val="nil"/>
              <w:bottom w:val="double" w:sz="6" w:space="0" w:color="auto"/>
              <w:right w:val="nil"/>
            </w:tcBorders>
            <w:noWrap/>
            <w:vAlign w:val="center"/>
          </w:tcPr>
          <w:p w14:paraId="43E0D044"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0.6063</w:t>
            </w:r>
          </w:p>
        </w:tc>
        <w:tc>
          <w:tcPr>
            <w:tcW w:w="1229" w:type="dxa"/>
            <w:tcBorders>
              <w:top w:val="nil"/>
              <w:left w:val="nil"/>
              <w:bottom w:val="double" w:sz="6" w:space="0" w:color="auto"/>
              <w:right w:val="nil"/>
            </w:tcBorders>
            <w:noWrap/>
            <w:vAlign w:val="center"/>
          </w:tcPr>
          <w:p w14:paraId="22A297B2"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0.6031</w:t>
            </w:r>
          </w:p>
        </w:tc>
        <w:tc>
          <w:tcPr>
            <w:tcW w:w="1228" w:type="dxa"/>
            <w:tcBorders>
              <w:top w:val="nil"/>
              <w:left w:val="nil"/>
              <w:bottom w:val="double" w:sz="6" w:space="0" w:color="auto"/>
              <w:right w:val="nil"/>
            </w:tcBorders>
            <w:noWrap/>
            <w:vAlign w:val="center"/>
          </w:tcPr>
          <w:p w14:paraId="52A25D15"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0.6200</w:t>
            </w:r>
          </w:p>
        </w:tc>
        <w:tc>
          <w:tcPr>
            <w:tcW w:w="1229" w:type="dxa"/>
            <w:tcBorders>
              <w:top w:val="nil"/>
              <w:left w:val="nil"/>
              <w:bottom w:val="double" w:sz="6" w:space="0" w:color="auto"/>
              <w:right w:val="single" w:sz="4" w:space="0" w:color="auto"/>
            </w:tcBorders>
            <w:noWrap/>
            <w:vAlign w:val="center"/>
          </w:tcPr>
          <w:p w14:paraId="39D9CB2B"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0.6351</w:t>
            </w:r>
          </w:p>
        </w:tc>
      </w:tr>
      <w:tr w:rsidR="00F52111" w:rsidRPr="00BC31E0" w14:paraId="37E477C8" w14:textId="77777777" w:rsidTr="004736F2">
        <w:trPr>
          <w:cantSplit/>
          <w:jc w:val="center"/>
        </w:trPr>
        <w:tc>
          <w:tcPr>
            <w:tcW w:w="856" w:type="dxa"/>
            <w:vMerge w:val="restart"/>
            <w:tcBorders>
              <w:top w:val="nil"/>
              <w:left w:val="single" w:sz="4" w:space="0" w:color="auto"/>
              <w:right w:val="nil"/>
            </w:tcBorders>
            <w:shd w:val="clear" w:color="auto" w:fill="auto"/>
            <w:noWrap/>
            <w:vAlign w:val="center"/>
          </w:tcPr>
          <w:p w14:paraId="76426F27" w14:textId="77777777" w:rsidR="00F52111" w:rsidRPr="00BC31E0" w:rsidRDefault="00A51873" w:rsidP="004736F2">
            <w:pPr>
              <w:adjustRightInd w:val="0"/>
              <w:snapToGrid w:val="0"/>
              <w:jc w:val="center"/>
              <w:rPr>
                <w:rFonts w:ascii="ＭＳ 明朝" w:hAnsi="ＭＳ 明朝"/>
              </w:rPr>
            </w:pPr>
            <m:oMathPara>
              <m:oMath>
                <m:sSub>
                  <m:sSubPr>
                    <m:ctrlPr>
                      <w:rPr>
                        <w:rFonts w:ascii="Cambria Math" w:hAnsi="Cambria Math"/>
                      </w:rPr>
                    </m:ctrlPr>
                  </m:sSubPr>
                  <m:e>
                    <m:r>
                      <w:rPr>
                        <w:rFonts w:ascii="Cambria Math" w:hAnsi="Cambria Math"/>
                      </w:rPr>
                      <m:t>G</m:t>
                    </m:r>
                  </m:e>
                  <m:sub>
                    <m:r>
                      <w:rPr>
                        <w:rFonts w:ascii="Cambria Math" w:hAnsi="Cambria Math"/>
                      </w:rPr>
                      <m:t>3</m:t>
                    </m:r>
                  </m:sub>
                </m:sSub>
              </m:oMath>
            </m:oMathPara>
          </w:p>
        </w:tc>
        <w:tc>
          <w:tcPr>
            <w:tcW w:w="850" w:type="dxa"/>
            <w:tcBorders>
              <w:top w:val="nil"/>
              <w:left w:val="single" w:sz="4" w:space="0" w:color="auto"/>
              <w:bottom w:val="nil"/>
              <w:right w:val="single" w:sz="4" w:space="0" w:color="auto"/>
            </w:tcBorders>
            <w:noWrap/>
            <w:vAlign w:val="center"/>
          </w:tcPr>
          <w:p w14:paraId="6DAF2D51"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0.00</w:t>
            </w:r>
          </w:p>
        </w:tc>
        <w:tc>
          <w:tcPr>
            <w:tcW w:w="1228" w:type="dxa"/>
            <w:tcBorders>
              <w:top w:val="nil"/>
              <w:left w:val="nil"/>
              <w:bottom w:val="nil"/>
              <w:right w:val="nil"/>
            </w:tcBorders>
            <w:noWrap/>
            <w:vAlign w:val="center"/>
          </w:tcPr>
          <w:p w14:paraId="746A69E5"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0.5060</w:t>
            </w:r>
          </w:p>
        </w:tc>
        <w:tc>
          <w:tcPr>
            <w:tcW w:w="1229" w:type="dxa"/>
            <w:tcBorders>
              <w:top w:val="nil"/>
              <w:left w:val="nil"/>
              <w:bottom w:val="nil"/>
              <w:right w:val="nil"/>
            </w:tcBorders>
            <w:noWrap/>
            <w:vAlign w:val="center"/>
          </w:tcPr>
          <w:p w14:paraId="316D5E91"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0.4246</w:t>
            </w:r>
          </w:p>
        </w:tc>
        <w:tc>
          <w:tcPr>
            <w:tcW w:w="1228" w:type="dxa"/>
            <w:tcBorders>
              <w:top w:val="nil"/>
              <w:left w:val="nil"/>
              <w:bottom w:val="nil"/>
              <w:right w:val="nil"/>
            </w:tcBorders>
            <w:noWrap/>
            <w:vAlign w:val="center"/>
          </w:tcPr>
          <w:p w14:paraId="4BD1BB90"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0.4480</w:t>
            </w:r>
          </w:p>
        </w:tc>
        <w:tc>
          <w:tcPr>
            <w:tcW w:w="1229" w:type="dxa"/>
            <w:tcBorders>
              <w:top w:val="nil"/>
              <w:left w:val="nil"/>
              <w:bottom w:val="nil"/>
              <w:right w:val="nil"/>
            </w:tcBorders>
            <w:noWrap/>
            <w:vAlign w:val="center"/>
          </w:tcPr>
          <w:p w14:paraId="481569D0"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0.4735</w:t>
            </w:r>
          </w:p>
        </w:tc>
        <w:tc>
          <w:tcPr>
            <w:tcW w:w="1228" w:type="dxa"/>
            <w:tcBorders>
              <w:top w:val="nil"/>
              <w:left w:val="nil"/>
              <w:bottom w:val="nil"/>
              <w:right w:val="nil"/>
            </w:tcBorders>
            <w:noWrap/>
            <w:vAlign w:val="center"/>
          </w:tcPr>
          <w:p w14:paraId="78893CFB"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0.5006</w:t>
            </w:r>
          </w:p>
        </w:tc>
        <w:tc>
          <w:tcPr>
            <w:tcW w:w="1229" w:type="dxa"/>
            <w:tcBorders>
              <w:top w:val="nil"/>
              <w:left w:val="nil"/>
              <w:bottom w:val="nil"/>
              <w:right w:val="single" w:sz="4" w:space="0" w:color="auto"/>
            </w:tcBorders>
            <w:noWrap/>
            <w:vAlign w:val="center"/>
          </w:tcPr>
          <w:p w14:paraId="43F56304"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0.5290</w:t>
            </w:r>
          </w:p>
        </w:tc>
      </w:tr>
      <w:tr w:rsidR="00F52111" w:rsidRPr="00BC31E0" w14:paraId="4AC788DF" w14:textId="77777777" w:rsidTr="004736F2">
        <w:trPr>
          <w:cantSplit/>
          <w:jc w:val="center"/>
        </w:trPr>
        <w:tc>
          <w:tcPr>
            <w:tcW w:w="856" w:type="dxa"/>
            <w:vMerge/>
            <w:tcBorders>
              <w:left w:val="single" w:sz="4" w:space="0" w:color="auto"/>
              <w:right w:val="nil"/>
            </w:tcBorders>
            <w:shd w:val="clear" w:color="auto" w:fill="auto"/>
            <w:noWrap/>
            <w:vAlign w:val="center"/>
          </w:tcPr>
          <w:p w14:paraId="52D3F9A3" w14:textId="77777777" w:rsidR="00F52111" w:rsidRPr="00BC31E0" w:rsidRDefault="00F52111" w:rsidP="004736F2">
            <w:pPr>
              <w:adjustRightInd w:val="0"/>
              <w:snapToGrid w:val="0"/>
              <w:spacing w:line="240" w:lineRule="atLeast"/>
              <w:rPr>
                <w:rFonts w:ascii="ＭＳ Ｐゴシック" w:eastAsia="ＭＳ Ｐゴシック" w:hAnsi="ＭＳ Ｐゴシック"/>
                <w:sz w:val="20"/>
                <w:szCs w:val="18"/>
              </w:rPr>
            </w:pPr>
          </w:p>
        </w:tc>
        <w:tc>
          <w:tcPr>
            <w:tcW w:w="850" w:type="dxa"/>
            <w:tcBorders>
              <w:top w:val="nil"/>
              <w:left w:val="single" w:sz="4" w:space="0" w:color="auto"/>
              <w:bottom w:val="nil"/>
              <w:right w:val="single" w:sz="4" w:space="0" w:color="auto"/>
            </w:tcBorders>
            <w:noWrap/>
            <w:vAlign w:val="center"/>
          </w:tcPr>
          <w:p w14:paraId="291CD515"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0.05</w:t>
            </w:r>
          </w:p>
        </w:tc>
        <w:tc>
          <w:tcPr>
            <w:tcW w:w="1228" w:type="dxa"/>
            <w:tcBorders>
              <w:top w:val="nil"/>
              <w:left w:val="nil"/>
              <w:bottom w:val="nil"/>
              <w:right w:val="nil"/>
            </w:tcBorders>
            <w:noWrap/>
            <w:vAlign w:val="center"/>
          </w:tcPr>
          <w:p w14:paraId="52274B90"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0.5012</w:t>
            </w:r>
          </w:p>
        </w:tc>
        <w:tc>
          <w:tcPr>
            <w:tcW w:w="1229" w:type="dxa"/>
            <w:tcBorders>
              <w:top w:val="nil"/>
              <w:left w:val="nil"/>
              <w:bottom w:val="nil"/>
              <w:right w:val="nil"/>
            </w:tcBorders>
            <w:noWrap/>
            <w:vAlign w:val="center"/>
          </w:tcPr>
          <w:p w14:paraId="488AB159"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0.4250</w:t>
            </w:r>
          </w:p>
        </w:tc>
        <w:tc>
          <w:tcPr>
            <w:tcW w:w="1228" w:type="dxa"/>
            <w:tcBorders>
              <w:top w:val="nil"/>
              <w:left w:val="nil"/>
              <w:bottom w:val="nil"/>
              <w:right w:val="nil"/>
            </w:tcBorders>
            <w:noWrap/>
            <w:vAlign w:val="center"/>
          </w:tcPr>
          <w:p w14:paraId="0BC27B9A"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0.4482</w:t>
            </w:r>
          </w:p>
        </w:tc>
        <w:tc>
          <w:tcPr>
            <w:tcW w:w="1229" w:type="dxa"/>
            <w:tcBorders>
              <w:top w:val="nil"/>
              <w:left w:val="nil"/>
              <w:bottom w:val="nil"/>
              <w:right w:val="nil"/>
            </w:tcBorders>
            <w:noWrap/>
            <w:vAlign w:val="center"/>
          </w:tcPr>
          <w:p w14:paraId="3F0C755F"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0.4736</w:t>
            </w:r>
          </w:p>
        </w:tc>
        <w:tc>
          <w:tcPr>
            <w:tcW w:w="1228" w:type="dxa"/>
            <w:tcBorders>
              <w:top w:val="nil"/>
              <w:left w:val="nil"/>
              <w:bottom w:val="nil"/>
              <w:right w:val="nil"/>
            </w:tcBorders>
            <w:noWrap/>
            <w:vAlign w:val="center"/>
          </w:tcPr>
          <w:p w14:paraId="5BFFA0B7"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0.5006</w:t>
            </w:r>
          </w:p>
        </w:tc>
        <w:tc>
          <w:tcPr>
            <w:tcW w:w="1229" w:type="dxa"/>
            <w:tcBorders>
              <w:top w:val="nil"/>
              <w:left w:val="nil"/>
              <w:bottom w:val="nil"/>
              <w:right w:val="single" w:sz="4" w:space="0" w:color="auto"/>
            </w:tcBorders>
            <w:noWrap/>
            <w:vAlign w:val="center"/>
          </w:tcPr>
          <w:p w14:paraId="78C57933"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0.5290</w:t>
            </w:r>
          </w:p>
        </w:tc>
      </w:tr>
      <w:tr w:rsidR="00F52111" w:rsidRPr="00BC31E0" w14:paraId="6BB2617B" w14:textId="77777777" w:rsidTr="004736F2">
        <w:trPr>
          <w:cantSplit/>
          <w:jc w:val="center"/>
        </w:trPr>
        <w:tc>
          <w:tcPr>
            <w:tcW w:w="856" w:type="dxa"/>
            <w:vMerge/>
            <w:tcBorders>
              <w:left w:val="single" w:sz="4" w:space="0" w:color="auto"/>
              <w:right w:val="nil"/>
            </w:tcBorders>
            <w:shd w:val="clear" w:color="auto" w:fill="auto"/>
            <w:noWrap/>
            <w:vAlign w:val="center"/>
          </w:tcPr>
          <w:p w14:paraId="63DAA9DA" w14:textId="77777777" w:rsidR="00F52111" w:rsidRPr="00BC31E0" w:rsidRDefault="00F52111" w:rsidP="004736F2">
            <w:pPr>
              <w:adjustRightInd w:val="0"/>
              <w:snapToGrid w:val="0"/>
              <w:spacing w:line="240" w:lineRule="atLeast"/>
              <w:rPr>
                <w:rFonts w:ascii="ＭＳ Ｐゴシック" w:eastAsia="ＭＳ Ｐゴシック" w:hAnsi="ＭＳ Ｐゴシック"/>
                <w:sz w:val="20"/>
                <w:szCs w:val="18"/>
              </w:rPr>
            </w:pPr>
          </w:p>
        </w:tc>
        <w:tc>
          <w:tcPr>
            <w:tcW w:w="850" w:type="dxa"/>
            <w:tcBorders>
              <w:top w:val="nil"/>
              <w:left w:val="single" w:sz="4" w:space="0" w:color="auto"/>
              <w:bottom w:val="nil"/>
              <w:right w:val="single" w:sz="4" w:space="0" w:color="auto"/>
            </w:tcBorders>
            <w:noWrap/>
            <w:vAlign w:val="center"/>
          </w:tcPr>
          <w:p w14:paraId="56B2FE0A"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0.10</w:t>
            </w:r>
          </w:p>
        </w:tc>
        <w:tc>
          <w:tcPr>
            <w:tcW w:w="1228" w:type="dxa"/>
            <w:tcBorders>
              <w:top w:val="nil"/>
              <w:left w:val="nil"/>
              <w:bottom w:val="nil"/>
              <w:right w:val="nil"/>
            </w:tcBorders>
            <w:noWrap/>
            <w:vAlign w:val="center"/>
          </w:tcPr>
          <w:p w14:paraId="2BC8AA6A"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0.5012</w:t>
            </w:r>
          </w:p>
        </w:tc>
        <w:tc>
          <w:tcPr>
            <w:tcW w:w="1229" w:type="dxa"/>
            <w:tcBorders>
              <w:top w:val="nil"/>
              <w:left w:val="nil"/>
              <w:bottom w:val="nil"/>
              <w:right w:val="nil"/>
            </w:tcBorders>
            <w:noWrap/>
            <w:vAlign w:val="center"/>
          </w:tcPr>
          <w:p w14:paraId="4C3E63BF"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0.4264</w:t>
            </w:r>
          </w:p>
        </w:tc>
        <w:tc>
          <w:tcPr>
            <w:tcW w:w="1228" w:type="dxa"/>
            <w:tcBorders>
              <w:top w:val="nil"/>
              <w:left w:val="nil"/>
              <w:bottom w:val="nil"/>
              <w:right w:val="nil"/>
            </w:tcBorders>
            <w:noWrap/>
            <w:vAlign w:val="center"/>
          </w:tcPr>
          <w:p w14:paraId="10857BEB"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0.4488</w:t>
            </w:r>
          </w:p>
        </w:tc>
        <w:tc>
          <w:tcPr>
            <w:tcW w:w="1229" w:type="dxa"/>
            <w:tcBorders>
              <w:top w:val="nil"/>
              <w:left w:val="nil"/>
              <w:bottom w:val="nil"/>
              <w:right w:val="nil"/>
            </w:tcBorders>
            <w:noWrap/>
            <w:vAlign w:val="center"/>
          </w:tcPr>
          <w:p w14:paraId="6BEF9E91"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0.4736</w:t>
            </w:r>
          </w:p>
        </w:tc>
        <w:tc>
          <w:tcPr>
            <w:tcW w:w="1228" w:type="dxa"/>
            <w:tcBorders>
              <w:top w:val="nil"/>
              <w:left w:val="nil"/>
              <w:bottom w:val="nil"/>
              <w:right w:val="nil"/>
            </w:tcBorders>
            <w:noWrap/>
            <w:vAlign w:val="center"/>
          </w:tcPr>
          <w:p w14:paraId="62A3035B"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0.5004</w:t>
            </w:r>
          </w:p>
        </w:tc>
        <w:tc>
          <w:tcPr>
            <w:tcW w:w="1229" w:type="dxa"/>
            <w:tcBorders>
              <w:top w:val="nil"/>
              <w:left w:val="nil"/>
              <w:bottom w:val="nil"/>
              <w:right w:val="single" w:sz="4" w:space="0" w:color="auto"/>
            </w:tcBorders>
            <w:noWrap/>
            <w:vAlign w:val="center"/>
          </w:tcPr>
          <w:p w14:paraId="22C49C71"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0.5290</w:t>
            </w:r>
          </w:p>
        </w:tc>
      </w:tr>
      <w:tr w:rsidR="00F52111" w:rsidRPr="00BC31E0" w14:paraId="7095923A" w14:textId="77777777" w:rsidTr="004736F2">
        <w:trPr>
          <w:cantSplit/>
          <w:jc w:val="center"/>
        </w:trPr>
        <w:tc>
          <w:tcPr>
            <w:tcW w:w="856" w:type="dxa"/>
            <w:vMerge/>
            <w:tcBorders>
              <w:left w:val="single" w:sz="4" w:space="0" w:color="auto"/>
              <w:right w:val="nil"/>
            </w:tcBorders>
            <w:shd w:val="clear" w:color="auto" w:fill="auto"/>
            <w:noWrap/>
            <w:vAlign w:val="center"/>
          </w:tcPr>
          <w:p w14:paraId="3552A1FF" w14:textId="77777777" w:rsidR="00F52111" w:rsidRPr="00BC31E0" w:rsidRDefault="00F52111" w:rsidP="004736F2">
            <w:pPr>
              <w:adjustRightInd w:val="0"/>
              <w:snapToGrid w:val="0"/>
              <w:spacing w:line="240" w:lineRule="atLeast"/>
              <w:rPr>
                <w:rFonts w:ascii="ＭＳ Ｐゴシック" w:eastAsia="ＭＳ Ｐゴシック" w:hAnsi="ＭＳ Ｐゴシック"/>
                <w:sz w:val="20"/>
                <w:szCs w:val="18"/>
              </w:rPr>
            </w:pPr>
          </w:p>
        </w:tc>
        <w:tc>
          <w:tcPr>
            <w:tcW w:w="850" w:type="dxa"/>
            <w:tcBorders>
              <w:top w:val="nil"/>
              <w:left w:val="single" w:sz="4" w:space="0" w:color="auto"/>
              <w:bottom w:val="nil"/>
              <w:right w:val="single" w:sz="4" w:space="0" w:color="auto"/>
            </w:tcBorders>
            <w:noWrap/>
            <w:vAlign w:val="center"/>
          </w:tcPr>
          <w:p w14:paraId="3E1D8648"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0.15</w:t>
            </w:r>
          </w:p>
        </w:tc>
        <w:tc>
          <w:tcPr>
            <w:tcW w:w="1228" w:type="dxa"/>
            <w:tcBorders>
              <w:top w:val="nil"/>
              <w:left w:val="nil"/>
              <w:bottom w:val="nil"/>
              <w:right w:val="nil"/>
            </w:tcBorders>
            <w:noWrap/>
            <w:vAlign w:val="center"/>
          </w:tcPr>
          <w:p w14:paraId="0DB55F69"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0.5059</w:t>
            </w:r>
          </w:p>
        </w:tc>
        <w:tc>
          <w:tcPr>
            <w:tcW w:w="1229" w:type="dxa"/>
            <w:tcBorders>
              <w:top w:val="nil"/>
              <w:left w:val="nil"/>
              <w:bottom w:val="nil"/>
              <w:right w:val="nil"/>
            </w:tcBorders>
            <w:noWrap/>
            <w:vAlign w:val="center"/>
          </w:tcPr>
          <w:p w14:paraId="0219FE2A"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0.4286</w:t>
            </w:r>
          </w:p>
        </w:tc>
        <w:tc>
          <w:tcPr>
            <w:tcW w:w="1228" w:type="dxa"/>
            <w:tcBorders>
              <w:top w:val="nil"/>
              <w:left w:val="nil"/>
              <w:bottom w:val="nil"/>
              <w:right w:val="nil"/>
            </w:tcBorders>
            <w:noWrap/>
            <w:vAlign w:val="center"/>
          </w:tcPr>
          <w:p w14:paraId="3A383B85"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0.4498</w:t>
            </w:r>
          </w:p>
        </w:tc>
        <w:tc>
          <w:tcPr>
            <w:tcW w:w="1229" w:type="dxa"/>
            <w:tcBorders>
              <w:top w:val="nil"/>
              <w:left w:val="nil"/>
              <w:bottom w:val="nil"/>
              <w:right w:val="nil"/>
            </w:tcBorders>
            <w:noWrap/>
            <w:vAlign w:val="center"/>
          </w:tcPr>
          <w:p w14:paraId="1A5021E1"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0.4737</w:t>
            </w:r>
          </w:p>
        </w:tc>
        <w:tc>
          <w:tcPr>
            <w:tcW w:w="1228" w:type="dxa"/>
            <w:tcBorders>
              <w:top w:val="nil"/>
              <w:left w:val="nil"/>
              <w:bottom w:val="nil"/>
              <w:right w:val="nil"/>
            </w:tcBorders>
            <w:noWrap/>
            <w:vAlign w:val="center"/>
          </w:tcPr>
          <w:p w14:paraId="0F3086F0"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0.5001</w:t>
            </w:r>
          </w:p>
        </w:tc>
        <w:tc>
          <w:tcPr>
            <w:tcW w:w="1229" w:type="dxa"/>
            <w:tcBorders>
              <w:top w:val="nil"/>
              <w:left w:val="nil"/>
              <w:bottom w:val="nil"/>
              <w:right w:val="single" w:sz="4" w:space="0" w:color="auto"/>
            </w:tcBorders>
            <w:noWrap/>
            <w:vAlign w:val="center"/>
          </w:tcPr>
          <w:p w14:paraId="53B562A1"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0.5289</w:t>
            </w:r>
          </w:p>
        </w:tc>
      </w:tr>
      <w:tr w:rsidR="00F52111" w:rsidRPr="00BC31E0" w14:paraId="73EA9E39" w14:textId="77777777" w:rsidTr="004736F2">
        <w:trPr>
          <w:cantSplit/>
          <w:jc w:val="center"/>
        </w:trPr>
        <w:tc>
          <w:tcPr>
            <w:tcW w:w="856" w:type="dxa"/>
            <w:vMerge/>
            <w:tcBorders>
              <w:left w:val="single" w:sz="4" w:space="0" w:color="auto"/>
              <w:right w:val="nil"/>
            </w:tcBorders>
            <w:shd w:val="clear" w:color="auto" w:fill="auto"/>
            <w:noWrap/>
            <w:vAlign w:val="center"/>
          </w:tcPr>
          <w:p w14:paraId="3517AFCF" w14:textId="77777777" w:rsidR="00F52111" w:rsidRPr="00BC31E0" w:rsidRDefault="00F52111" w:rsidP="004736F2">
            <w:pPr>
              <w:adjustRightInd w:val="0"/>
              <w:snapToGrid w:val="0"/>
              <w:spacing w:line="240" w:lineRule="atLeast"/>
              <w:rPr>
                <w:rFonts w:ascii="ＭＳ Ｐゴシック" w:eastAsia="ＭＳ Ｐゴシック" w:hAnsi="ＭＳ Ｐゴシック"/>
                <w:sz w:val="20"/>
                <w:szCs w:val="18"/>
              </w:rPr>
            </w:pPr>
          </w:p>
        </w:tc>
        <w:tc>
          <w:tcPr>
            <w:tcW w:w="850" w:type="dxa"/>
            <w:tcBorders>
              <w:top w:val="nil"/>
              <w:left w:val="single" w:sz="4" w:space="0" w:color="auto"/>
              <w:bottom w:val="nil"/>
              <w:right w:val="single" w:sz="4" w:space="0" w:color="auto"/>
            </w:tcBorders>
            <w:noWrap/>
            <w:vAlign w:val="center"/>
          </w:tcPr>
          <w:p w14:paraId="68C07209"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0.20</w:t>
            </w:r>
          </w:p>
        </w:tc>
        <w:tc>
          <w:tcPr>
            <w:tcW w:w="1228" w:type="dxa"/>
            <w:tcBorders>
              <w:top w:val="nil"/>
              <w:left w:val="nil"/>
              <w:bottom w:val="nil"/>
              <w:right w:val="nil"/>
            </w:tcBorders>
            <w:noWrap/>
            <w:vAlign w:val="center"/>
          </w:tcPr>
          <w:p w14:paraId="39E3BB4E"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0.5152</w:t>
            </w:r>
          </w:p>
        </w:tc>
        <w:tc>
          <w:tcPr>
            <w:tcW w:w="1229" w:type="dxa"/>
            <w:tcBorders>
              <w:top w:val="nil"/>
              <w:left w:val="nil"/>
              <w:bottom w:val="nil"/>
              <w:right w:val="nil"/>
            </w:tcBorders>
            <w:noWrap/>
            <w:vAlign w:val="center"/>
          </w:tcPr>
          <w:p w14:paraId="709578B9"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0.4317</w:t>
            </w:r>
          </w:p>
        </w:tc>
        <w:tc>
          <w:tcPr>
            <w:tcW w:w="1228" w:type="dxa"/>
            <w:tcBorders>
              <w:top w:val="nil"/>
              <w:left w:val="nil"/>
              <w:bottom w:val="nil"/>
              <w:right w:val="nil"/>
            </w:tcBorders>
            <w:noWrap/>
            <w:vAlign w:val="center"/>
          </w:tcPr>
          <w:p w14:paraId="314545CC"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0.4511</w:t>
            </w:r>
          </w:p>
        </w:tc>
        <w:tc>
          <w:tcPr>
            <w:tcW w:w="1229" w:type="dxa"/>
            <w:tcBorders>
              <w:top w:val="nil"/>
              <w:left w:val="nil"/>
              <w:bottom w:val="nil"/>
              <w:right w:val="nil"/>
            </w:tcBorders>
            <w:noWrap/>
            <w:vAlign w:val="center"/>
          </w:tcPr>
          <w:p w14:paraId="49936EDD"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0.4738</w:t>
            </w:r>
          </w:p>
        </w:tc>
        <w:tc>
          <w:tcPr>
            <w:tcW w:w="1228" w:type="dxa"/>
            <w:tcBorders>
              <w:top w:val="nil"/>
              <w:left w:val="nil"/>
              <w:bottom w:val="nil"/>
              <w:right w:val="nil"/>
            </w:tcBorders>
            <w:noWrap/>
            <w:vAlign w:val="center"/>
          </w:tcPr>
          <w:p w14:paraId="3810E043"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0.4998</w:t>
            </w:r>
          </w:p>
        </w:tc>
        <w:tc>
          <w:tcPr>
            <w:tcW w:w="1229" w:type="dxa"/>
            <w:tcBorders>
              <w:top w:val="nil"/>
              <w:left w:val="nil"/>
              <w:bottom w:val="nil"/>
              <w:right w:val="single" w:sz="4" w:space="0" w:color="auto"/>
            </w:tcBorders>
            <w:noWrap/>
            <w:vAlign w:val="center"/>
          </w:tcPr>
          <w:p w14:paraId="7A784B38"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0.5289</w:t>
            </w:r>
          </w:p>
        </w:tc>
      </w:tr>
      <w:tr w:rsidR="00F52111" w:rsidRPr="00BC31E0" w14:paraId="4DE94747" w14:textId="77777777" w:rsidTr="004736F2">
        <w:trPr>
          <w:cantSplit/>
          <w:jc w:val="center"/>
        </w:trPr>
        <w:tc>
          <w:tcPr>
            <w:tcW w:w="856" w:type="dxa"/>
            <w:vMerge/>
            <w:tcBorders>
              <w:left w:val="single" w:sz="4" w:space="0" w:color="auto"/>
              <w:right w:val="nil"/>
            </w:tcBorders>
            <w:shd w:val="clear" w:color="auto" w:fill="auto"/>
            <w:noWrap/>
            <w:vAlign w:val="center"/>
          </w:tcPr>
          <w:p w14:paraId="0AC4ECB8" w14:textId="77777777" w:rsidR="00F52111" w:rsidRPr="00BC31E0" w:rsidRDefault="00F52111" w:rsidP="004736F2">
            <w:pPr>
              <w:adjustRightInd w:val="0"/>
              <w:snapToGrid w:val="0"/>
              <w:spacing w:line="240" w:lineRule="atLeast"/>
              <w:rPr>
                <w:rFonts w:ascii="ＭＳ Ｐゴシック" w:eastAsia="ＭＳ Ｐゴシック" w:hAnsi="ＭＳ Ｐゴシック"/>
                <w:sz w:val="20"/>
                <w:szCs w:val="22"/>
              </w:rPr>
            </w:pPr>
          </w:p>
        </w:tc>
        <w:tc>
          <w:tcPr>
            <w:tcW w:w="850" w:type="dxa"/>
            <w:tcBorders>
              <w:top w:val="nil"/>
              <w:left w:val="single" w:sz="4" w:space="0" w:color="auto"/>
              <w:bottom w:val="nil"/>
              <w:right w:val="single" w:sz="4" w:space="0" w:color="auto"/>
            </w:tcBorders>
            <w:noWrap/>
            <w:vAlign w:val="center"/>
          </w:tcPr>
          <w:p w14:paraId="3FB9F3A2"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0.25</w:t>
            </w:r>
          </w:p>
        </w:tc>
        <w:tc>
          <w:tcPr>
            <w:tcW w:w="1228" w:type="dxa"/>
            <w:tcBorders>
              <w:top w:val="nil"/>
              <w:left w:val="nil"/>
              <w:bottom w:val="nil"/>
              <w:right w:val="nil"/>
            </w:tcBorders>
            <w:noWrap/>
            <w:vAlign w:val="center"/>
          </w:tcPr>
          <w:p w14:paraId="5BC46ECF"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0.5292</w:t>
            </w:r>
          </w:p>
        </w:tc>
        <w:tc>
          <w:tcPr>
            <w:tcW w:w="1229" w:type="dxa"/>
            <w:tcBorders>
              <w:top w:val="nil"/>
              <w:left w:val="nil"/>
              <w:bottom w:val="nil"/>
              <w:right w:val="nil"/>
            </w:tcBorders>
            <w:noWrap/>
            <w:vAlign w:val="center"/>
          </w:tcPr>
          <w:p w14:paraId="19DBD6B0"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0.4357</w:t>
            </w:r>
          </w:p>
        </w:tc>
        <w:tc>
          <w:tcPr>
            <w:tcW w:w="1228" w:type="dxa"/>
            <w:tcBorders>
              <w:top w:val="nil"/>
              <w:left w:val="nil"/>
              <w:bottom w:val="nil"/>
              <w:right w:val="nil"/>
            </w:tcBorders>
            <w:noWrap/>
            <w:vAlign w:val="center"/>
          </w:tcPr>
          <w:p w14:paraId="21C7EF76"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0.4528</w:t>
            </w:r>
          </w:p>
        </w:tc>
        <w:tc>
          <w:tcPr>
            <w:tcW w:w="1229" w:type="dxa"/>
            <w:tcBorders>
              <w:top w:val="nil"/>
              <w:left w:val="nil"/>
              <w:bottom w:val="nil"/>
              <w:right w:val="nil"/>
            </w:tcBorders>
            <w:noWrap/>
            <w:vAlign w:val="center"/>
          </w:tcPr>
          <w:p w14:paraId="0E3A4D53"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0.4741</w:t>
            </w:r>
          </w:p>
        </w:tc>
        <w:tc>
          <w:tcPr>
            <w:tcW w:w="1228" w:type="dxa"/>
            <w:tcBorders>
              <w:top w:val="nil"/>
              <w:left w:val="nil"/>
              <w:bottom w:val="nil"/>
              <w:right w:val="nil"/>
            </w:tcBorders>
            <w:noWrap/>
            <w:vAlign w:val="center"/>
          </w:tcPr>
          <w:p w14:paraId="6DB51941"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0.4994</w:t>
            </w:r>
          </w:p>
        </w:tc>
        <w:tc>
          <w:tcPr>
            <w:tcW w:w="1229" w:type="dxa"/>
            <w:tcBorders>
              <w:top w:val="nil"/>
              <w:left w:val="nil"/>
              <w:bottom w:val="nil"/>
              <w:right w:val="single" w:sz="4" w:space="0" w:color="auto"/>
            </w:tcBorders>
            <w:noWrap/>
            <w:vAlign w:val="center"/>
          </w:tcPr>
          <w:p w14:paraId="5796C3FB"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0.5289</w:t>
            </w:r>
          </w:p>
        </w:tc>
      </w:tr>
      <w:tr w:rsidR="00F52111" w:rsidRPr="00BC31E0" w14:paraId="471F84B6" w14:textId="77777777" w:rsidTr="004736F2">
        <w:trPr>
          <w:cantSplit/>
          <w:jc w:val="center"/>
        </w:trPr>
        <w:tc>
          <w:tcPr>
            <w:tcW w:w="856" w:type="dxa"/>
            <w:vMerge/>
            <w:tcBorders>
              <w:left w:val="single" w:sz="4" w:space="0" w:color="auto"/>
              <w:right w:val="nil"/>
            </w:tcBorders>
            <w:shd w:val="clear" w:color="auto" w:fill="auto"/>
            <w:vAlign w:val="center"/>
          </w:tcPr>
          <w:p w14:paraId="0960597F" w14:textId="77777777" w:rsidR="00F52111" w:rsidRPr="00BC31E0" w:rsidRDefault="00F52111" w:rsidP="004736F2">
            <w:pPr>
              <w:adjustRightInd w:val="0"/>
              <w:snapToGrid w:val="0"/>
              <w:spacing w:line="240" w:lineRule="atLeast"/>
              <w:rPr>
                <w:rFonts w:ascii="ＭＳ Ｐゴシック" w:eastAsia="ＭＳ Ｐゴシック" w:hAnsi="ＭＳ Ｐゴシック"/>
                <w:sz w:val="20"/>
                <w:szCs w:val="22"/>
              </w:rPr>
            </w:pPr>
          </w:p>
        </w:tc>
        <w:tc>
          <w:tcPr>
            <w:tcW w:w="850" w:type="dxa"/>
            <w:tcBorders>
              <w:top w:val="nil"/>
              <w:left w:val="single" w:sz="4" w:space="0" w:color="auto"/>
              <w:bottom w:val="nil"/>
              <w:right w:val="single" w:sz="4" w:space="0" w:color="auto"/>
            </w:tcBorders>
            <w:noWrap/>
            <w:vAlign w:val="center"/>
          </w:tcPr>
          <w:p w14:paraId="5056036D"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0.30</w:t>
            </w:r>
          </w:p>
        </w:tc>
        <w:tc>
          <w:tcPr>
            <w:tcW w:w="1228" w:type="dxa"/>
            <w:tcBorders>
              <w:top w:val="nil"/>
              <w:left w:val="nil"/>
              <w:bottom w:val="nil"/>
              <w:right w:val="nil"/>
            </w:tcBorders>
            <w:noWrap/>
            <w:vAlign w:val="center"/>
          </w:tcPr>
          <w:p w14:paraId="0ECE3F79"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0.5483</w:t>
            </w:r>
          </w:p>
        </w:tc>
        <w:tc>
          <w:tcPr>
            <w:tcW w:w="1229" w:type="dxa"/>
            <w:tcBorders>
              <w:top w:val="nil"/>
              <w:left w:val="nil"/>
              <w:bottom w:val="nil"/>
              <w:right w:val="nil"/>
            </w:tcBorders>
            <w:noWrap/>
            <w:vAlign w:val="center"/>
          </w:tcPr>
          <w:p w14:paraId="1965B464"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0.4404</w:t>
            </w:r>
          </w:p>
        </w:tc>
        <w:tc>
          <w:tcPr>
            <w:tcW w:w="1228" w:type="dxa"/>
            <w:tcBorders>
              <w:top w:val="nil"/>
              <w:left w:val="nil"/>
              <w:bottom w:val="nil"/>
              <w:right w:val="nil"/>
            </w:tcBorders>
            <w:noWrap/>
            <w:vAlign w:val="center"/>
          </w:tcPr>
          <w:p w14:paraId="6DC612FA"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0.4550</w:t>
            </w:r>
          </w:p>
        </w:tc>
        <w:tc>
          <w:tcPr>
            <w:tcW w:w="1229" w:type="dxa"/>
            <w:tcBorders>
              <w:top w:val="nil"/>
              <w:left w:val="nil"/>
              <w:bottom w:val="nil"/>
              <w:right w:val="nil"/>
            </w:tcBorders>
            <w:noWrap/>
            <w:vAlign w:val="center"/>
          </w:tcPr>
          <w:p w14:paraId="62D2F8EE"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0.4746</w:t>
            </w:r>
          </w:p>
        </w:tc>
        <w:tc>
          <w:tcPr>
            <w:tcW w:w="1228" w:type="dxa"/>
            <w:tcBorders>
              <w:top w:val="nil"/>
              <w:left w:val="nil"/>
              <w:bottom w:val="nil"/>
              <w:right w:val="nil"/>
            </w:tcBorders>
            <w:noWrap/>
            <w:vAlign w:val="center"/>
          </w:tcPr>
          <w:p w14:paraId="52A4A2E5"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0.4992</w:t>
            </w:r>
          </w:p>
        </w:tc>
        <w:tc>
          <w:tcPr>
            <w:tcW w:w="1229" w:type="dxa"/>
            <w:tcBorders>
              <w:top w:val="nil"/>
              <w:left w:val="nil"/>
              <w:bottom w:val="nil"/>
              <w:right w:val="single" w:sz="4" w:space="0" w:color="auto"/>
            </w:tcBorders>
            <w:noWrap/>
            <w:vAlign w:val="center"/>
          </w:tcPr>
          <w:p w14:paraId="1109FC44"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0.5291</w:t>
            </w:r>
          </w:p>
        </w:tc>
      </w:tr>
      <w:tr w:rsidR="00F52111" w:rsidRPr="00BC31E0" w14:paraId="19B08BAF" w14:textId="77777777" w:rsidTr="004736F2">
        <w:trPr>
          <w:cantSplit/>
          <w:jc w:val="center"/>
        </w:trPr>
        <w:tc>
          <w:tcPr>
            <w:tcW w:w="856" w:type="dxa"/>
            <w:vMerge/>
            <w:tcBorders>
              <w:left w:val="single" w:sz="4" w:space="0" w:color="auto"/>
              <w:right w:val="nil"/>
            </w:tcBorders>
            <w:shd w:val="clear" w:color="auto" w:fill="auto"/>
            <w:noWrap/>
            <w:vAlign w:val="center"/>
          </w:tcPr>
          <w:p w14:paraId="1F3302F3" w14:textId="77777777" w:rsidR="00F52111" w:rsidRPr="00BC31E0" w:rsidRDefault="00F52111" w:rsidP="004736F2">
            <w:pPr>
              <w:adjustRightInd w:val="0"/>
              <w:snapToGrid w:val="0"/>
              <w:spacing w:line="240" w:lineRule="atLeast"/>
              <w:rPr>
                <w:rFonts w:ascii="ＭＳ Ｐゴシック" w:eastAsia="ＭＳ Ｐゴシック" w:hAnsi="ＭＳ Ｐゴシック"/>
                <w:sz w:val="20"/>
                <w:szCs w:val="18"/>
              </w:rPr>
            </w:pPr>
          </w:p>
        </w:tc>
        <w:tc>
          <w:tcPr>
            <w:tcW w:w="850" w:type="dxa"/>
            <w:tcBorders>
              <w:top w:val="nil"/>
              <w:left w:val="single" w:sz="4" w:space="0" w:color="auto"/>
              <w:bottom w:val="nil"/>
              <w:right w:val="single" w:sz="4" w:space="0" w:color="auto"/>
            </w:tcBorders>
            <w:noWrap/>
            <w:vAlign w:val="center"/>
          </w:tcPr>
          <w:p w14:paraId="0304ED09"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0.40</w:t>
            </w:r>
          </w:p>
        </w:tc>
        <w:tc>
          <w:tcPr>
            <w:tcW w:w="1228" w:type="dxa"/>
            <w:tcBorders>
              <w:top w:val="nil"/>
              <w:left w:val="nil"/>
              <w:bottom w:val="nil"/>
              <w:right w:val="nil"/>
            </w:tcBorders>
            <w:noWrap/>
            <w:vAlign w:val="center"/>
          </w:tcPr>
          <w:p w14:paraId="6F06340E"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0.6045</w:t>
            </w:r>
          </w:p>
        </w:tc>
        <w:tc>
          <w:tcPr>
            <w:tcW w:w="1229" w:type="dxa"/>
            <w:tcBorders>
              <w:top w:val="nil"/>
              <w:left w:val="nil"/>
              <w:bottom w:val="nil"/>
              <w:right w:val="nil"/>
            </w:tcBorders>
            <w:noWrap/>
            <w:vAlign w:val="center"/>
          </w:tcPr>
          <w:p w14:paraId="5C07E95C"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0.4522</w:t>
            </w:r>
          </w:p>
        </w:tc>
        <w:tc>
          <w:tcPr>
            <w:tcW w:w="1228" w:type="dxa"/>
            <w:tcBorders>
              <w:top w:val="nil"/>
              <w:left w:val="nil"/>
              <w:bottom w:val="nil"/>
              <w:right w:val="nil"/>
            </w:tcBorders>
            <w:noWrap/>
            <w:vAlign w:val="center"/>
          </w:tcPr>
          <w:p w14:paraId="36904AF6"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0.4605</w:t>
            </w:r>
          </w:p>
        </w:tc>
        <w:tc>
          <w:tcPr>
            <w:tcW w:w="1229" w:type="dxa"/>
            <w:tcBorders>
              <w:top w:val="nil"/>
              <w:left w:val="nil"/>
              <w:bottom w:val="nil"/>
              <w:right w:val="nil"/>
            </w:tcBorders>
            <w:noWrap/>
            <w:vAlign w:val="center"/>
          </w:tcPr>
          <w:p w14:paraId="58987F5B"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0.4763</w:t>
            </w:r>
          </w:p>
        </w:tc>
        <w:tc>
          <w:tcPr>
            <w:tcW w:w="1228" w:type="dxa"/>
            <w:tcBorders>
              <w:top w:val="nil"/>
              <w:left w:val="nil"/>
              <w:bottom w:val="nil"/>
              <w:right w:val="nil"/>
            </w:tcBorders>
            <w:noWrap/>
            <w:vAlign w:val="center"/>
          </w:tcPr>
          <w:p w14:paraId="6D5AA48A"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0.4993</w:t>
            </w:r>
          </w:p>
        </w:tc>
        <w:tc>
          <w:tcPr>
            <w:tcW w:w="1229" w:type="dxa"/>
            <w:tcBorders>
              <w:top w:val="nil"/>
              <w:left w:val="nil"/>
              <w:bottom w:val="nil"/>
              <w:right w:val="single" w:sz="4" w:space="0" w:color="auto"/>
            </w:tcBorders>
            <w:noWrap/>
            <w:vAlign w:val="center"/>
          </w:tcPr>
          <w:p w14:paraId="49674435"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0.5298</w:t>
            </w:r>
          </w:p>
        </w:tc>
      </w:tr>
      <w:tr w:rsidR="00F52111" w:rsidRPr="00BC31E0" w14:paraId="2D08EA45" w14:textId="77777777" w:rsidTr="004736F2">
        <w:trPr>
          <w:cantSplit/>
          <w:jc w:val="center"/>
        </w:trPr>
        <w:tc>
          <w:tcPr>
            <w:tcW w:w="856" w:type="dxa"/>
            <w:vMerge/>
            <w:tcBorders>
              <w:left w:val="single" w:sz="4" w:space="0" w:color="auto"/>
              <w:right w:val="nil"/>
            </w:tcBorders>
            <w:shd w:val="clear" w:color="auto" w:fill="auto"/>
            <w:noWrap/>
            <w:vAlign w:val="center"/>
          </w:tcPr>
          <w:p w14:paraId="24EB77AA" w14:textId="77777777" w:rsidR="00F52111" w:rsidRPr="00BC31E0" w:rsidRDefault="00F52111" w:rsidP="004736F2">
            <w:pPr>
              <w:adjustRightInd w:val="0"/>
              <w:snapToGrid w:val="0"/>
              <w:spacing w:line="240" w:lineRule="atLeast"/>
              <w:rPr>
                <w:rFonts w:ascii="ＭＳ Ｐゴシック" w:eastAsia="ＭＳ Ｐゴシック" w:hAnsi="ＭＳ Ｐゴシック"/>
                <w:sz w:val="20"/>
                <w:szCs w:val="18"/>
              </w:rPr>
            </w:pPr>
          </w:p>
        </w:tc>
        <w:tc>
          <w:tcPr>
            <w:tcW w:w="850" w:type="dxa"/>
            <w:tcBorders>
              <w:top w:val="nil"/>
              <w:left w:val="single" w:sz="4" w:space="0" w:color="auto"/>
              <w:bottom w:val="nil"/>
              <w:right w:val="single" w:sz="4" w:space="0" w:color="auto"/>
            </w:tcBorders>
            <w:noWrap/>
            <w:vAlign w:val="center"/>
          </w:tcPr>
          <w:p w14:paraId="785A8C59"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0.50</w:t>
            </w:r>
          </w:p>
        </w:tc>
        <w:tc>
          <w:tcPr>
            <w:tcW w:w="1228" w:type="dxa"/>
            <w:tcBorders>
              <w:top w:val="nil"/>
              <w:left w:val="nil"/>
              <w:bottom w:val="nil"/>
              <w:right w:val="nil"/>
            </w:tcBorders>
            <w:noWrap/>
            <w:vAlign w:val="center"/>
          </w:tcPr>
          <w:p w14:paraId="44C71922"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0.6943</w:t>
            </w:r>
          </w:p>
        </w:tc>
        <w:tc>
          <w:tcPr>
            <w:tcW w:w="1229" w:type="dxa"/>
            <w:tcBorders>
              <w:top w:val="nil"/>
              <w:left w:val="nil"/>
              <w:bottom w:val="nil"/>
              <w:right w:val="nil"/>
            </w:tcBorders>
            <w:noWrap/>
            <w:vAlign w:val="center"/>
          </w:tcPr>
          <w:p w14:paraId="251C0F49"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0.4665</w:t>
            </w:r>
          </w:p>
        </w:tc>
        <w:tc>
          <w:tcPr>
            <w:tcW w:w="1228" w:type="dxa"/>
            <w:tcBorders>
              <w:top w:val="nil"/>
              <w:left w:val="nil"/>
              <w:bottom w:val="nil"/>
              <w:right w:val="nil"/>
            </w:tcBorders>
            <w:noWrap/>
            <w:vAlign w:val="center"/>
          </w:tcPr>
          <w:p w14:paraId="40832681"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0.4678</w:t>
            </w:r>
          </w:p>
        </w:tc>
        <w:tc>
          <w:tcPr>
            <w:tcW w:w="1229" w:type="dxa"/>
            <w:tcBorders>
              <w:top w:val="nil"/>
              <w:left w:val="nil"/>
              <w:bottom w:val="nil"/>
              <w:right w:val="nil"/>
            </w:tcBorders>
            <w:noWrap/>
            <w:vAlign w:val="center"/>
          </w:tcPr>
          <w:p w14:paraId="02690B8B"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0.4795</w:t>
            </w:r>
          </w:p>
        </w:tc>
        <w:tc>
          <w:tcPr>
            <w:tcW w:w="1228" w:type="dxa"/>
            <w:tcBorders>
              <w:top w:val="nil"/>
              <w:left w:val="nil"/>
              <w:bottom w:val="nil"/>
              <w:right w:val="nil"/>
            </w:tcBorders>
            <w:noWrap/>
            <w:vAlign w:val="center"/>
          </w:tcPr>
          <w:p w14:paraId="12EC7D76"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0.5010</w:t>
            </w:r>
          </w:p>
        </w:tc>
        <w:tc>
          <w:tcPr>
            <w:tcW w:w="1229" w:type="dxa"/>
            <w:tcBorders>
              <w:top w:val="nil"/>
              <w:left w:val="nil"/>
              <w:bottom w:val="nil"/>
              <w:right w:val="single" w:sz="4" w:space="0" w:color="auto"/>
            </w:tcBorders>
            <w:noWrap/>
            <w:vAlign w:val="center"/>
          </w:tcPr>
          <w:p w14:paraId="1595C08F"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0.5316</w:t>
            </w:r>
          </w:p>
        </w:tc>
      </w:tr>
      <w:tr w:rsidR="00F52111" w:rsidRPr="00BC31E0" w14:paraId="7F121EBC" w14:textId="77777777" w:rsidTr="004736F2">
        <w:trPr>
          <w:cantSplit/>
          <w:jc w:val="center"/>
        </w:trPr>
        <w:tc>
          <w:tcPr>
            <w:tcW w:w="856" w:type="dxa"/>
            <w:vMerge/>
            <w:tcBorders>
              <w:left w:val="single" w:sz="4" w:space="0" w:color="auto"/>
              <w:right w:val="nil"/>
            </w:tcBorders>
            <w:shd w:val="clear" w:color="auto" w:fill="auto"/>
            <w:noWrap/>
            <w:vAlign w:val="center"/>
          </w:tcPr>
          <w:p w14:paraId="4A101502" w14:textId="77777777" w:rsidR="00F52111" w:rsidRPr="00BC31E0" w:rsidRDefault="00F52111" w:rsidP="004736F2">
            <w:pPr>
              <w:adjustRightInd w:val="0"/>
              <w:snapToGrid w:val="0"/>
              <w:spacing w:line="240" w:lineRule="atLeast"/>
              <w:rPr>
                <w:rFonts w:ascii="ＭＳ Ｐゴシック" w:eastAsia="ＭＳ Ｐゴシック" w:hAnsi="ＭＳ Ｐゴシック"/>
                <w:sz w:val="20"/>
                <w:szCs w:val="18"/>
              </w:rPr>
            </w:pPr>
          </w:p>
        </w:tc>
        <w:tc>
          <w:tcPr>
            <w:tcW w:w="850" w:type="dxa"/>
            <w:tcBorders>
              <w:top w:val="nil"/>
              <w:left w:val="single" w:sz="4" w:space="0" w:color="auto"/>
              <w:bottom w:val="nil"/>
              <w:right w:val="single" w:sz="4" w:space="0" w:color="auto"/>
            </w:tcBorders>
            <w:noWrap/>
            <w:vAlign w:val="center"/>
          </w:tcPr>
          <w:p w14:paraId="6602D38D"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0.60</w:t>
            </w:r>
          </w:p>
        </w:tc>
        <w:tc>
          <w:tcPr>
            <w:tcW w:w="1228" w:type="dxa"/>
            <w:tcBorders>
              <w:top w:val="nil"/>
              <w:left w:val="nil"/>
              <w:bottom w:val="nil"/>
              <w:right w:val="nil"/>
            </w:tcBorders>
            <w:noWrap/>
            <w:vAlign w:val="center"/>
          </w:tcPr>
          <w:p w14:paraId="157AC2A9"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0.8435</w:t>
            </w:r>
          </w:p>
        </w:tc>
        <w:tc>
          <w:tcPr>
            <w:tcW w:w="1229" w:type="dxa"/>
            <w:tcBorders>
              <w:top w:val="nil"/>
              <w:left w:val="nil"/>
              <w:bottom w:val="nil"/>
              <w:right w:val="nil"/>
            </w:tcBorders>
            <w:noWrap/>
            <w:vAlign w:val="center"/>
          </w:tcPr>
          <w:p w14:paraId="218A793B"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0.4829</w:t>
            </w:r>
          </w:p>
        </w:tc>
        <w:tc>
          <w:tcPr>
            <w:tcW w:w="1228" w:type="dxa"/>
            <w:tcBorders>
              <w:top w:val="nil"/>
              <w:left w:val="nil"/>
              <w:bottom w:val="nil"/>
              <w:right w:val="nil"/>
            </w:tcBorders>
            <w:noWrap/>
            <w:vAlign w:val="center"/>
          </w:tcPr>
          <w:p w14:paraId="585989E0"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0.4769</w:t>
            </w:r>
          </w:p>
        </w:tc>
        <w:tc>
          <w:tcPr>
            <w:tcW w:w="1229" w:type="dxa"/>
            <w:tcBorders>
              <w:top w:val="nil"/>
              <w:left w:val="nil"/>
              <w:bottom w:val="nil"/>
              <w:right w:val="nil"/>
            </w:tcBorders>
            <w:noWrap/>
            <w:vAlign w:val="center"/>
          </w:tcPr>
          <w:p w14:paraId="7E0B2E1D"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0.4853</w:t>
            </w:r>
          </w:p>
        </w:tc>
        <w:tc>
          <w:tcPr>
            <w:tcW w:w="1228" w:type="dxa"/>
            <w:tcBorders>
              <w:top w:val="nil"/>
              <w:left w:val="nil"/>
              <w:bottom w:val="nil"/>
              <w:right w:val="nil"/>
            </w:tcBorders>
            <w:noWrap/>
            <w:vAlign w:val="center"/>
          </w:tcPr>
          <w:p w14:paraId="0DF50347"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0.5054</w:t>
            </w:r>
          </w:p>
        </w:tc>
        <w:tc>
          <w:tcPr>
            <w:tcW w:w="1229" w:type="dxa"/>
            <w:tcBorders>
              <w:top w:val="nil"/>
              <w:left w:val="nil"/>
              <w:bottom w:val="nil"/>
              <w:right w:val="single" w:sz="4" w:space="0" w:color="auto"/>
            </w:tcBorders>
            <w:noWrap/>
            <w:vAlign w:val="center"/>
          </w:tcPr>
          <w:p w14:paraId="0B8B6E46"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0.5349</w:t>
            </w:r>
          </w:p>
        </w:tc>
      </w:tr>
      <w:tr w:rsidR="00F52111" w:rsidRPr="00BC31E0" w14:paraId="049B7138" w14:textId="77777777" w:rsidTr="004736F2">
        <w:trPr>
          <w:cantSplit/>
          <w:jc w:val="center"/>
        </w:trPr>
        <w:tc>
          <w:tcPr>
            <w:tcW w:w="856" w:type="dxa"/>
            <w:vMerge/>
            <w:tcBorders>
              <w:left w:val="single" w:sz="4" w:space="0" w:color="auto"/>
              <w:right w:val="nil"/>
            </w:tcBorders>
            <w:shd w:val="clear" w:color="auto" w:fill="auto"/>
            <w:noWrap/>
            <w:vAlign w:val="center"/>
          </w:tcPr>
          <w:p w14:paraId="7532120C" w14:textId="77777777" w:rsidR="00F52111" w:rsidRPr="00BC31E0" w:rsidRDefault="00F52111" w:rsidP="004736F2">
            <w:pPr>
              <w:adjustRightInd w:val="0"/>
              <w:snapToGrid w:val="0"/>
              <w:spacing w:line="240" w:lineRule="atLeast"/>
              <w:rPr>
                <w:rFonts w:ascii="ＭＳ Ｐゴシック" w:eastAsia="ＭＳ Ｐゴシック" w:hAnsi="ＭＳ Ｐゴシック"/>
                <w:sz w:val="20"/>
                <w:szCs w:val="18"/>
              </w:rPr>
            </w:pPr>
          </w:p>
        </w:tc>
        <w:tc>
          <w:tcPr>
            <w:tcW w:w="850" w:type="dxa"/>
            <w:tcBorders>
              <w:top w:val="nil"/>
              <w:left w:val="single" w:sz="4" w:space="0" w:color="auto"/>
              <w:bottom w:val="nil"/>
              <w:right w:val="single" w:sz="4" w:space="0" w:color="auto"/>
            </w:tcBorders>
            <w:noWrap/>
            <w:vAlign w:val="center"/>
          </w:tcPr>
          <w:p w14:paraId="1CEB4B06"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0.70</w:t>
            </w:r>
          </w:p>
        </w:tc>
        <w:tc>
          <w:tcPr>
            <w:tcW w:w="1228" w:type="dxa"/>
            <w:tcBorders>
              <w:top w:val="nil"/>
              <w:left w:val="nil"/>
              <w:bottom w:val="nil"/>
              <w:right w:val="nil"/>
            </w:tcBorders>
            <w:noWrap/>
            <w:vAlign w:val="center"/>
          </w:tcPr>
          <w:p w14:paraId="09A9F7FB"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1.1207</w:t>
            </w:r>
          </w:p>
        </w:tc>
        <w:tc>
          <w:tcPr>
            <w:tcW w:w="1229" w:type="dxa"/>
            <w:tcBorders>
              <w:top w:val="nil"/>
              <w:left w:val="nil"/>
              <w:bottom w:val="nil"/>
              <w:right w:val="nil"/>
            </w:tcBorders>
            <w:noWrap/>
            <w:vAlign w:val="center"/>
          </w:tcPr>
          <w:p w14:paraId="589B00A5"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0.5007</w:t>
            </w:r>
          </w:p>
        </w:tc>
        <w:tc>
          <w:tcPr>
            <w:tcW w:w="1228" w:type="dxa"/>
            <w:tcBorders>
              <w:top w:val="nil"/>
              <w:left w:val="nil"/>
              <w:bottom w:val="nil"/>
              <w:right w:val="nil"/>
            </w:tcBorders>
            <w:noWrap/>
            <w:vAlign w:val="center"/>
          </w:tcPr>
          <w:p w14:paraId="4D749714"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0.4880</w:t>
            </w:r>
          </w:p>
        </w:tc>
        <w:tc>
          <w:tcPr>
            <w:tcW w:w="1229" w:type="dxa"/>
            <w:tcBorders>
              <w:top w:val="nil"/>
              <w:left w:val="nil"/>
              <w:bottom w:val="nil"/>
              <w:right w:val="nil"/>
            </w:tcBorders>
            <w:noWrap/>
            <w:vAlign w:val="center"/>
          </w:tcPr>
          <w:p w14:paraId="0CD4ABA4"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0.4945</w:t>
            </w:r>
          </w:p>
        </w:tc>
        <w:tc>
          <w:tcPr>
            <w:tcW w:w="1228" w:type="dxa"/>
            <w:tcBorders>
              <w:top w:val="nil"/>
              <w:left w:val="nil"/>
              <w:bottom w:val="nil"/>
              <w:right w:val="nil"/>
            </w:tcBorders>
            <w:noWrap/>
            <w:vAlign w:val="center"/>
          </w:tcPr>
          <w:p w14:paraId="55C97018"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0.5141</w:t>
            </w:r>
          </w:p>
        </w:tc>
        <w:tc>
          <w:tcPr>
            <w:tcW w:w="1229" w:type="dxa"/>
            <w:tcBorders>
              <w:top w:val="nil"/>
              <w:left w:val="nil"/>
              <w:bottom w:val="nil"/>
              <w:right w:val="single" w:sz="4" w:space="0" w:color="auto"/>
            </w:tcBorders>
            <w:noWrap/>
            <w:vAlign w:val="center"/>
          </w:tcPr>
          <w:p w14:paraId="2BDE276E"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0.5407</w:t>
            </w:r>
          </w:p>
        </w:tc>
      </w:tr>
      <w:tr w:rsidR="00F52111" w:rsidRPr="00BC31E0" w14:paraId="601ABCE9" w14:textId="77777777" w:rsidTr="004736F2">
        <w:trPr>
          <w:cantSplit/>
          <w:jc w:val="center"/>
        </w:trPr>
        <w:tc>
          <w:tcPr>
            <w:tcW w:w="856" w:type="dxa"/>
            <w:vMerge/>
            <w:tcBorders>
              <w:left w:val="single" w:sz="4" w:space="0" w:color="auto"/>
              <w:bottom w:val="single" w:sz="4" w:space="0" w:color="auto"/>
              <w:right w:val="nil"/>
            </w:tcBorders>
            <w:shd w:val="clear" w:color="auto" w:fill="auto"/>
            <w:noWrap/>
            <w:vAlign w:val="center"/>
          </w:tcPr>
          <w:p w14:paraId="5A53250B" w14:textId="77777777" w:rsidR="00F52111" w:rsidRPr="00BC31E0" w:rsidRDefault="00F52111" w:rsidP="004736F2">
            <w:pPr>
              <w:adjustRightInd w:val="0"/>
              <w:snapToGrid w:val="0"/>
              <w:spacing w:line="240" w:lineRule="atLeast"/>
              <w:rPr>
                <w:rFonts w:ascii="ＭＳ Ｐゴシック" w:eastAsia="ＭＳ Ｐゴシック" w:hAnsi="ＭＳ Ｐゴシック"/>
                <w:sz w:val="20"/>
                <w:szCs w:val="18"/>
              </w:rPr>
            </w:pPr>
          </w:p>
        </w:tc>
        <w:tc>
          <w:tcPr>
            <w:tcW w:w="850" w:type="dxa"/>
            <w:tcBorders>
              <w:top w:val="nil"/>
              <w:left w:val="single" w:sz="4" w:space="0" w:color="auto"/>
              <w:bottom w:val="single" w:sz="4" w:space="0" w:color="auto"/>
              <w:right w:val="single" w:sz="4" w:space="0" w:color="auto"/>
            </w:tcBorders>
            <w:noWrap/>
            <w:vAlign w:val="center"/>
          </w:tcPr>
          <w:p w14:paraId="42C0FD93"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0.80</w:t>
            </w:r>
          </w:p>
        </w:tc>
        <w:tc>
          <w:tcPr>
            <w:tcW w:w="1228" w:type="dxa"/>
            <w:tcBorders>
              <w:top w:val="nil"/>
              <w:left w:val="nil"/>
              <w:bottom w:val="single" w:sz="4" w:space="0" w:color="auto"/>
              <w:right w:val="nil"/>
            </w:tcBorders>
            <w:noWrap/>
            <w:vAlign w:val="center"/>
          </w:tcPr>
          <w:p w14:paraId="00CCBD6F"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1.7614</w:t>
            </w:r>
          </w:p>
        </w:tc>
        <w:tc>
          <w:tcPr>
            <w:tcW w:w="1229" w:type="dxa"/>
            <w:tcBorders>
              <w:top w:val="nil"/>
              <w:left w:val="nil"/>
              <w:bottom w:val="single" w:sz="4" w:space="0" w:color="auto"/>
              <w:right w:val="nil"/>
            </w:tcBorders>
            <w:noWrap/>
            <w:vAlign w:val="center"/>
          </w:tcPr>
          <w:p w14:paraId="498BF44F"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0.5190</w:t>
            </w:r>
          </w:p>
        </w:tc>
        <w:tc>
          <w:tcPr>
            <w:tcW w:w="1228" w:type="dxa"/>
            <w:tcBorders>
              <w:top w:val="nil"/>
              <w:left w:val="nil"/>
              <w:bottom w:val="single" w:sz="4" w:space="0" w:color="auto"/>
              <w:right w:val="nil"/>
            </w:tcBorders>
            <w:noWrap/>
            <w:vAlign w:val="center"/>
          </w:tcPr>
          <w:p w14:paraId="19286241"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0.5013</w:t>
            </w:r>
          </w:p>
        </w:tc>
        <w:tc>
          <w:tcPr>
            <w:tcW w:w="1229" w:type="dxa"/>
            <w:tcBorders>
              <w:top w:val="nil"/>
              <w:left w:val="nil"/>
              <w:bottom w:val="single" w:sz="4" w:space="0" w:color="auto"/>
              <w:right w:val="nil"/>
            </w:tcBorders>
            <w:noWrap/>
            <w:vAlign w:val="center"/>
          </w:tcPr>
          <w:p w14:paraId="3D4E179A"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0.5085</w:t>
            </w:r>
          </w:p>
        </w:tc>
        <w:tc>
          <w:tcPr>
            <w:tcW w:w="1228" w:type="dxa"/>
            <w:tcBorders>
              <w:top w:val="nil"/>
              <w:left w:val="nil"/>
              <w:bottom w:val="single" w:sz="4" w:space="0" w:color="auto"/>
              <w:right w:val="nil"/>
            </w:tcBorders>
            <w:noWrap/>
            <w:vAlign w:val="center"/>
          </w:tcPr>
          <w:p w14:paraId="77EC4D6D"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0.5286</w:t>
            </w:r>
          </w:p>
        </w:tc>
        <w:tc>
          <w:tcPr>
            <w:tcW w:w="1229" w:type="dxa"/>
            <w:tcBorders>
              <w:top w:val="nil"/>
              <w:left w:val="nil"/>
              <w:bottom w:val="single" w:sz="4" w:space="0" w:color="auto"/>
              <w:right w:val="single" w:sz="4" w:space="0" w:color="auto"/>
            </w:tcBorders>
            <w:noWrap/>
            <w:vAlign w:val="center"/>
          </w:tcPr>
          <w:p w14:paraId="3F6350AC" w14:textId="77777777" w:rsidR="00F52111" w:rsidRPr="00BC31E0" w:rsidRDefault="00F52111" w:rsidP="004736F2">
            <w:pPr>
              <w:adjustRightInd w:val="0"/>
              <w:snapToGrid w:val="0"/>
              <w:spacing w:line="240" w:lineRule="atLeast"/>
              <w:jc w:val="center"/>
              <w:rPr>
                <w:rFonts w:ascii="Cambria Math" w:eastAsia="ＭＳ Ｐゴシック" w:hAnsi="Cambria Math"/>
                <w:sz w:val="18"/>
                <w:szCs w:val="18"/>
              </w:rPr>
            </w:pPr>
            <w:r w:rsidRPr="00BC31E0">
              <w:rPr>
                <w:rFonts w:ascii="Cambria Math" w:eastAsia="ＭＳ Ｐゴシック" w:hAnsi="Cambria Math"/>
                <w:sz w:val="18"/>
                <w:szCs w:val="18"/>
              </w:rPr>
              <w:t>0.5487</w:t>
            </w:r>
          </w:p>
        </w:tc>
      </w:tr>
    </w:tbl>
    <w:p w14:paraId="7CCE1C18" w14:textId="77777777" w:rsidR="00F52111" w:rsidRPr="00BC31E0" w:rsidRDefault="00F52111" w:rsidP="00E34B25">
      <w:pPr>
        <w:spacing w:before="60"/>
      </w:pPr>
      <w:r w:rsidRPr="00BC31E0">
        <w:rPr>
          <w:rFonts w:asciiTheme="majorEastAsia" w:eastAsiaTheme="majorEastAsia" w:hAnsiTheme="majorEastAsia" w:hint="eastAsia"/>
          <w:b/>
        </w:rPr>
        <w:t>注記</w:t>
      </w:r>
      <w:r w:rsidRPr="00BC31E0">
        <w:rPr>
          <w:rFonts w:hint="eastAsia"/>
        </w:rPr>
        <w:t xml:space="preserve">　表に示す</w:t>
      </w:r>
      <m:oMath>
        <m:f>
          <m:fPr>
            <m:type m:val="lin"/>
            <m:ctrlPr>
              <w:rPr>
                <w:rFonts w:ascii="Cambria Math" w:hAnsi="Cambria Math"/>
              </w:rPr>
            </m:ctrlPr>
          </m:fPr>
          <m:num>
            <m:r>
              <w:rPr>
                <w:rFonts w:ascii="Cambria Math" w:hAnsi="Cambria Math"/>
              </w:rPr>
              <m:t xml:space="preserve"> a</m:t>
            </m:r>
          </m:num>
          <m:den>
            <m:r>
              <w:rPr>
                <w:rFonts w:ascii="Cambria Math" w:hAnsi="Cambria Math"/>
              </w:rPr>
              <m:t>t</m:t>
            </m:r>
          </m:den>
        </m:f>
      </m:oMath>
      <w:r w:rsidRPr="00BC31E0">
        <w:rPr>
          <w:rFonts w:hint="eastAsia"/>
        </w:rPr>
        <w:t>，</w:t>
      </w:r>
      <m:oMath>
        <m:f>
          <m:fPr>
            <m:type m:val="lin"/>
            <m:ctrlPr>
              <w:rPr>
                <w:rFonts w:ascii="Cambria Math" w:hAnsi="Cambria Math"/>
              </w:rPr>
            </m:ctrlPr>
          </m:fPr>
          <m:num>
            <m:r>
              <w:rPr>
                <w:rFonts w:ascii="Cambria Math" w:hAnsi="Cambria Math"/>
              </w:rPr>
              <m:t>a</m:t>
            </m:r>
          </m:num>
          <m:den>
            <m:r>
              <w:rPr>
                <w:rFonts w:ascii="Cambria Math" w:hAnsi="Cambria Math"/>
              </w:rPr>
              <m:t>l</m:t>
            </m:r>
          </m:den>
        </m:f>
        <m:r>
          <m:rPr>
            <m:sty m:val="p"/>
          </m:rPr>
          <w:rPr>
            <w:rFonts w:ascii="Cambria Math" w:hAnsi="Cambria Math"/>
          </w:rPr>
          <m:t xml:space="preserve"> </m:t>
        </m:r>
      </m:oMath>
      <w:r w:rsidRPr="00BC31E0">
        <w:rPr>
          <w:rFonts w:hint="eastAsia"/>
        </w:rPr>
        <w:t>の値の中間にある場合には内そうで求める。</w:t>
      </w:r>
    </w:p>
    <w:p w14:paraId="0A18C2AD" w14:textId="77777777" w:rsidR="00F52111" w:rsidRPr="00BC31E0" w:rsidRDefault="00F52111" w:rsidP="00E34B25">
      <w:pPr>
        <w:jc w:val="left"/>
        <w:rPr>
          <w:rFonts w:asciiTheme="majorEastAsia" w:eastAsiaTheme="majorEastAsia" w:hAnsiTheme="majorEastAsia"/>
          <w:b/>
        </w:rPr>
      </w:pPr>
    </w:p>
    <w:p w14:paraId="72F1275C" w14:textId="77777777" w:rsidR="005C582E" w:rsidRPr="00BC31E0" w:rsidRDefault="005C582E" w:rsidP="00E34B25">
      <w:pPr>
        <w:jc w:val="left"/>
        <w:rPr>
          <w:rFonts w:asciiTheme="majorEastAsia" w:eastAsiaTheme="majorEastAsia" w:hAnsiTheme="majorEastAsia"/>
          <w:b/>
        </w:rPr>
      </w:pPr>
    </w:p>
    <w:p w14:paraId="287FDD53" w14:textId="77777777" w:rsidR="00F52111" w:rsidRPr="00BC31E0" w:rsidRDefault="00F52111" w:rsidP="005C582E">
      <w:pPr>
        <w:pStyle w:val="af4"/>
        <w:rPr>
          <w:vertAlign w:val="superscript"/>
        </w:rPr>
      </w:pPr>
      <w:r w:rsidRPr="00BC31E0">
        <w:rPr>
          <w:rFonts w:hint="eastAsia"/>
        </w:rPr>
        <w:lastRenderedPageBreak/>
        <w:t>表</w:t>
      </w:r>
      <w:r w:rsidRPr="00BC31E0">
        <w:t>C.</w:t>
      </w:r>
      <w:r w:rsidRPr="00BC31E0">
        <w:rPr>
          <w:rFonts w:hint="eastAsia"/>
        </w:rPr>
        <w:t>2　表面点(</w:t>
      </w:r>
      <m:oMath>
        <m:r>
          <m:rPr>
            <m:sty m:val="bi"/>
          </m:rPr>
          <w:rPr>
            <w:rFonts w:ascii="Cambria Math" w:hAnsi="Cambria Math"/>
          </w:rPr>
          <m:t>ϕ=0</m:t>
        </m:r>
      </m:oMath>
      <w:r w:rsidRPr="00BC31E0">
        <w:rPr>
          <w:rFonts w:hint="eastAsia"/>
        </w:rPr>
        <w:t>)における自由表面補正係数</w:t>
      </w:r>
      <m:oMath>
        <m:sSub>
          <m:sSubPr>
            <m:ctrlPr>
              <w:rPr>
                <w:rFonts w:ascii="Cambria Math" w:hAnsi="Cambria Math"/>
              </w:rPr>
            </m:ctrlPr>
          </m:sSubPr>
          <m:e>
            <m:r>
              <m:rPr>
                <m:sty m:val="bi"/>
              </m:rPr>
              <w:rPr>
                <w:rFonts w:ascii="Cambria Math" w:hAnsi="Cambria Math"/>
              </w:rPr>
              <m:t xml:space="preserve"> G</m:t>
            </m:r>
          </m:e>
          <m:sub>
            <m:r>
              <m:rPr>
                <m:sty m:val="bi"/>
              </m:rPr>
              <w:rPr>
                <w:rFonts w:ascii="Cambria Math" w:hAnsi="Cambria Math"/>
              </w:rPr>
              <m:t>0</m:t>
            </m:r>
          </m:sub>
        </m:sSub>
      </m:oMath>
      <w:r w:rsidRPr="00BC31E0">
        <w:rPr>
          <w:rFonts w:hint="eastAsia"/>
        </w:rPr>
        <w:t>～</w:t>
      </w:r>
      <m:oMath>
        <m:sSub>
          <m:sSubPr>
            <m:ctrlPr>
              <w:rPr>
                <w:rFonts w:ascii="Cambria Math" w:hAnsi="Cambria Math"/>
              </w:rPr>
            </m:ctrlPr>
          </m:sSubPr>
          <m:e>
            <m:r>
              <m:rPr>
                <m:sty m:val="bi"/>
              </m:rPr>
              <w:rPr>
                <w:rFonts w:ascii="Cambria Math" w:hAnsi="Cambria Math"/>
              </w:rPr>
              <m:t>G</m:t>
            </m:r>
          </m:e>
          <m:sub>
            <m:r>
              <m:rPr>
                <m:sty m:val="bi"/>
              </m:rPr>
              <w:rPr>
                <w:rFonts w:ascii="Cambria Math" w:hAnsi="Cambria Math"/>
              </w:rPr>
              <m:t>3</m:t>
            </m:r>
          </m:sub>
        </m:sSub>
        <m:r>
          <m:rPr>
            <m:sty m:val="b"/>
          </m:rPr>
          <w:rPr>
            <w:rFonts w:ascii="Cambria Math" w:hAnsi="Cambria Math"/>
          </w:rPr>
          <m:t xml:space="preserve"> </m:t>
        </m:r>
      </m:oMath>
      <w:r w:rsidRPr="00BC31E0">
        <w:rPr>
          <w:rFonts w:hint="eastAsia"/>
        </w:rPr>
        <w:t>の値</w:t>
      </w:r>
      <w:r w:rsidRPr="00BC31E0">
        <w:rPr>
          <w:rFonts w:hint="eastAsia"/>
          <w:vertAlign w:val="superscript"/>
        </w:rPr>
        <w:t>†</w:t>
      </w:r>
    </w:p>
    <w:tbl>
      <w:tblPr>
        <w:tblW w:w="9072" w:type="dxa"/>
        <w:jc w:val="center"/>
        <w:tblLayout w:type="fixed"/>
        <w:tblCellMar>
          <w:left w:w="0" w:type="dxa"/>
          <w:right w:w="0" w:type="dxa"/>
        </w:tblCellMar>
        <w:tblLook w:val="0000" w:firstRow="0" w:lastRow="0" w:firstColumn="0" w:lastColumn="0" w:noHBand="0" w:noVBand="0"/>
      </w:tblPr>
      <w:tblGrid>
        <w:gridCol w:w="851"/>
        <w:gridCol w:w="850"/>
        <w:gridCol w:w="1228"/>
        <w:gridCol w:w="1229"/>
        <w:gridCol w:w="1228"/>
        <w:gridCol w:w="1229"/>
        <w:gridCol w:w="1228"/>
        <w:gridCol w:w="1229"/>
      </w:tblGrid>
      <w:tr w:rsidR="00F52111" w:rsidRPr="00BC31E0" w14:paraId="02D1C192" w14:textId="77777777" w:rsidTr="004736F2">
        <w:trPr>
          <w:cantSplit/>
          <w:jc w:val="center"/>
        </w:trPr>
        <w:tc>
          <w:tcPr>
            <w:tcW w:w="851" w:type="dxa"/>
            <w:vMerge w:val="restart"/>
            <w:tcBorders>
              <w:top w:val="single" w:sz="4" w:space="0" w:color="auto"/>
              <w:left w:val="single" w:sz="4" w:space="0" w:color="auto"/>
              <w:right w:val="single" w:sz="4" w:space="0" w:color="auto"/>
            </w:tcBorders>
            <w:vAlign w:val="center"/>
          </w:tcPr>
          <w:p w14:paraId="4C5A7804" w14:textId="77777777" w:rsidR="00F52111" w:rsidRPr="00BC31E0" w:rsidRDefault="00F52111" w:rsidP="004736F2">
            <w:pPr>
              <w:adjustRightInd w:val="0"/>
              <w:snapToGrid w:val="0"/>
              <w:jc w:val="center"/>
              <w:rPr>
                <w:rFonts w:ascii="ＭＳ 明朝" w:hAnsi="ＭＳ Ｐ明朝"/>
                <w:sz w:val="18"/>
                <w:szCs w:val="18"/>
              </w:rPr>
            </w:pPr>
            <w:r w:rsidRPr="00BC31E0">
              <w:rPr>
                <w:rFonts w:ascii="ＭＳ 明朝" w:hAnsi="ＭＳ Ｐ明朝" w:hint="eastAsia"/>
                <w:sz w:val="20"/>
                <w:szCs w:val="18"/>
              </w:rPr>
              <w:t>係数</w:t>
            </w:r>
          </w:p>
        </w:tc>
        <w:tc>
          <w:tcPr>
            <w:tcW w:w="850" w:type="dxa"/>
            <w:vMerge w:val="restart"/>
            <w:tcBorders>
              <w:top w:val="single" w:sz="4" w:space="0" w:color="auto"/>
              <w:left w:val="nil"/>
              <w:right w:val="single" w:sz="4" w:space="0" w:color="auto"/>
            </w:tcBorders>
            <w:vAlign w:val="center"/>
          </w:tcPr>
          <w:p w14:paraId="45BB1A81" w14:textId="77777777" w:rsidR="00F52111" w:rsidRPr="00BC31E0" w:rsidRDefault="00A51873" w:rsidP="004736F2">
            <w:pPr>
              <w:adjustRightInd w:val="0"/>
              <w:snapToGrid w:val="0"/>
              <w:jc w:val="center"/>
              <w:rPr>
                <w:rFonts w:ascii="ＭＳ Ｐゴシック" w:eastAsia="ＭＳ Ｐゴシック" w:hAnsi="ＭＳ Ｐゴシック"/>
                <w:sz w:val="22"/>
                <w:szCs w:val="22"/>
              </w:rPr>
            </w:pPr>
            <m:oMathPara>
              <m:oMath>
                <m:f>
                  <m:fPr>
                    <m:type m:val="lin"/>
                    <m:ctrlPr>
                      <w:rPr>
                        <w:rFonts w:ascii="Cambria Math" w:hAnsi="Cambria Math"/>
                      </w:rPr>
                    </m:ctrlPr>
                  </m:fPr>
                  <m:num>
                    <m:r>
                      <w:rPr>
                        <w:rFonts w:ascii="Cambria Math" w:hAnsi="Cambria Math"/>
                      </w:rPr>
                      <m:t>a</m:t>
                    </m:r>
                  </m:num>
                  <m:den>
                    <m:r>
                      <w:rPr>
                        <w:rFonts w:ascii="Cambria Math" w:hAnsi="Cambria Math"/>
                      </w:rPr>
                      <m:t>t</m:t>
                    </m:r>
                  </m:den>
                </m:f>
              </m:oMath>
            </m:oMathPara>
          </w:p>
        </w:tc>
        <w:tc>
          <w:tcPr>
            <w:tcW w:w="7371" w:type="dxa"/>
            <w:gridSpan w:val="6"/>
            <w:tcBorders>
              <w:top w:val="single" w:sz="4" w:space="0" w:color="auto"/>
              <w:left w:val="single" w:sz="4" w:space="0" w:color="auto"/>
              <w:bottom w:val="single" w:sz="4" w:space="0" w:color="auto"/>
              <w:right w:val="single" w:sz="4" w:space="0" w:color="auto"/>
            </w:tcBorders>
            <w:noWrap/>
            <w:vAlign w:val="center"/>
          </w:tcPr>
          <w:p w14:paraId="35F493AA" w14:textId="77777777" w:rsidR="00F52111" w:rsidRPr="00BC31E0" w:rsidRDefault="00F52111" w:rsidP="004736F2">
            <w:pPr>
              <w:adjustRightInd w:val="0"/>
              <w:snapToGrid w:val="0"/>
              <w:jc w:val="center"/>
              <w:rPr>
                <w:rFonts w:ascii="ＭＳ Ｐゴシック" w:eastAsia="ＭＳ Ｐゴシック" w:hAnsi="ＭＳ Ｐゴシック"/>
                <w:sz w:val="18"/>
                <w:szCs w:val="18"/>
              </w:rPr>
            </w:pPr>
            <w:r w:rsidRPr="00BC31E0">
              <w:rPr>
                <w:rFonts w:ascii="ＭＳ 明朝" w:hAnsi="ＭＳ Ｐゴシック" w:hint="eastAsia"/>
                <w:sz w:val="20"/>
                <w:szCs w:val="18"/>
              </w:rPr>
              <w:t xml:space="preserve">亀裂のアスペクト比 </w:t>
            </w:r>
            <m:oMath>
              <m:f>
                <m:fPr>
                  <m:type m:val="lin"/>
                  <m:ctrlPr>
                    <w:rPr>
                      <w:rFonts w:ascii="Cambria Math" w:hAnsi="Cambria Math"/>
                    </w:rPr>
                  </m:ctrlPr>
                </m:fPr>
                <m:num>
                  <m:r>
                    <w:rPr>
                      <w:rFonts w:ascii="Cambria Math" w:hAnsi="Cambria Math"/>
                    </w:rPr>
                    <m:t>a</m:t>
                  </m:r>
                </m:num>
                <m:den>
                  <m:r>
                    <w:rPr>
                      <w:rFonts w:ascii="Cambria Math" w:hAnsi="Cambria Math"/>
                    </w:rPr>
                    <m:t>l</m:t>
                  </m:r>
                </m:den>
              </m:f>
            </m:oMath>
          </w:p>
        </w:tc>
      </w:tr>
      <w:tr w:rsidR="00F52111" w:rsidRPr="00BC31E0" w14:paraId="3E600104" w14:textId="77777777" w:rsidTr="004736F2">
        <w:trPr>
          <w:cantSplit/>
          <w:jc w:val="center"/>
        </w:trPr>
        <w:tc>
          <w:tcPr>
            <w:tcW w:w="851" w:type="dxa"/>
            <w:vMerge/>
            <w:tcBorders>
              <w:left w:val="single" w:sz="4" w:space="0" w:color="auto"/>
              <w:bottom w:val="single" w:sz="4" w:space="0" w:color="000000"/>
              <w:right w:val="single" w:sz="4" w:space="0" w:color="auto"/>
            </w:tcBorders>
            <w:vAlign w:val="center"/>
          </w:tcPr>
          <w:p w14:paraId="43FBA53A" w14:textId="77777777" w:rsidR="00F52111" w:rsidRPr="00BC31E0" w:rsidRDefault="00F52111" w:rsidP="004736F2">
            <w:pPr>
              <w:adjustRightInd w:val="0"/>
              <w:snapToGrid w:val="0"/>
              <w:jc w:val="center"/>
              <w:rPr>
                <w:rFonts w:ascii="ＭＳ Ｐ明朝" w:eastAsia="ＭＳ Ｐ明朝" w:hAnsi="ＭＳ Ｐ明朝"/>
                <w:sz w:val="18"/>
                <w:szCs w:val="18"/>
              </w:rPr>
            </w:pPr>
          </w:p>
        </w:tc>
        <w:tc>
          <w:tcPr>
            <w:tcW w:w="850" w:type="dxa"/>
            <w:vMerge/>
            <w:tcBorders>
              <w:left w:val="nil"/>
              <w:bottom w:val="single" w:sz="4" w:space="0" w:color="000000"/>
              <w:right w:val="single" w:sz="4" w:space="0" w:color="auto"/>
            </w:tcBorders>
            <w:vAlign w:val="center"/>
          </w:tcPr>
          <w:p w14:paraId="27FE7BD7" w14:textId="77777777" w:rsidR="00F52111" w:rsidRPr="00BC31E0" w:rsidRDefault="00F52111" w:rsidP="004736F2">
            <w:pPr>
              <w:adjustRightInd w:val="0"/>
              <w:snapToGrid w:val="0"/>
              <w:jc w:val="center"/>
              <w:rPr>
                <w:rFonts w:ascii="ＭＳ Ｐゴシック" w:eastAsia="ＭＳ Ｐゴシック" w:hAnsi="ＭＳ Ｐゴシック"/>
                <w:sz w:val="22"/>
                <w:szCs w:val="22"/>
              </w:rPr>
            </w:pPr>
          </w:p>
        </w:tc>
        <w:tc>
          <w:tcPr>
            <w:tcW w:w="1228" w:type="dxa"/>
            <w:tcBorders>
              <w:top w:val="nil"/>
              <w:left w:val="single" w:sz="4" w:space="0" w:color="auto"/>
              <w:bottom w:val="single" w:sz="4" w:space="0" w:color="auto"/>
              <w:right w:val="nil"/>
            </w:tcBorders>
            <w:noWrap/>
            <w:vAlign w:val="center"/>
          </w:tcPr>
          <w:p w14:paraId="68E1A272"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w:t>
            </w:r>
          </w:p>
        </w:tc>
        <w:tc>
          <w:tcPr>
            <w:tcW w:w="1229" w:type="dxa"/>
            <w:tcBorders>
              <w:top w:val="nil"/>
              <w:left w:val="nil"/>
              <w:bottom w:val="single" w:sz="4" w:space="0" w:color="auto"/>
              <w:right w:val="nil"/>
            </w:tcBorders>
            <w:noWrap/>
            <w:vAlign w:val="center"/>
          </w:tcPr>
          <w:p w14:paraId="3321EA39"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0.1</w:t>
            </w:r>
          </w:p>
        </w:tc>
        <w:tc>
          <w:tcPr>
            <w:tcW w:w="1228" w:type="dxa"/>
            <w:tcBorders>
              <w:top w:val="nil"/>
              <w:left w:val="nil"/>
              <w:bottom w:val="single" w:sz="4" w:space="0" w:color="auto"/>
              <w:right w:val="nil"/>
            </w:tcBorders>
            <w:noWrap/>
            <w:vAlign w:val="center"/>
          </w:tcPr>
          <w:p w14:paraId="37235B62"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0.2</w:t>
            </w:r>
          </w:p>
        </w:tc>
        <w:tc>
          <w:tcPr>
            <w:tcW w:w="1229" w:type="dxa"/>
            <w:tcBorders>
              <w:top w:val="nil"/>
              <w:left w:val="nil"/>
              <w:bottom w:val="single" w:sz="4" w:space="0" w:color="auto"/>
              <w:right w:val="nil"/>
            </w:tcBorders>
            <w:noWrap/>
            <w:vAlign w:val="center"/>
          </w:tcPr>
          <w:p w14:paraId="62758DCD"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0.3</w:t>
            </w:r>
          </w:p>
        </w:tc>
        <w:tc>
          <w:tcPr>
            <w:tcW w:w="1228" w:type="dxa"/>
            <w:tcBorders>
              <w:top w:val="nil"/>
              <w:left w:val="nil"/>
              <w:bottom w:val="single" w:sz="4" w:space="0" w:color="auto"/>
              <w:right w:val="nil"/>
            </w:tcBorders>
            <w:noWrap/>
            <w:vAlign w:val="center"/>
          </w:tcPr>
          <w:p w14:paraId="52CDCB16"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0.4</w:t>
            </w:r>
          </w:p>
        </w:tc>
        <w:tc>
          <w:tcPr>
            <w:tcW w:w="1229" w:type="dxa"/>
            <w:tcBorders>
              <w:top w:val="nil"/>
              <w:left w:val="nil"/>
              <w:bottom w:val="single" w:sz="4" w:space="0" w:color="auto"/>
              <w:right w:val="single" w:sz="4" w:space="0" w:color="auto"/>
            </w:tcBorders>
            <w:noWrap/>
            <w:vAlign w:val="center"/>
          </w:tcPr>
          <w:p w14:paraId="3BF4EE1F"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0.5</w:t>
            </w:r>
          </w:p>
        </w:tc>
      </w:tr>
      <w:tr w:rsidR="00F52111" w:rsidRPr="00BC31E0" w14:paraId="07A271F7" w14:textId="77777777" w:rsidTr="004736F2">
        <w:trPr>
          <w:cantSplit/>
          <w:jc w:val="center"/>
        </w:trPr>
        <w:tc>
          <w:tcPr>
            <w:tcW w:w="851" w:type="dxa"/>
            <w:vMerge w:val="restart"/>
            <w:tcBorders>
              <w:top w:val="nil"/>
              <w:left w:val="single" w:sz="4" w:space="0" w:color="auto"/>
              <w:right w:val="single" w:sz="4" w:space="0" w:color="auto"/>
            </w:tcBorders>
            <w:noWrap/>
            <w:vAlign w:val="center"/>
          </w:tcPr>
          <w:p w14:paraId="0413C38F" w14:textId="77777777" w:rsidR="00F52111" w:rsidRPr="00BC31E0" w:rsidRDefault="00A51873" w:rsidP="004736F2">
            <w:pPr>
              <w:adjustRightInd w:val="0"/>
              <w:snapToGrid w:val="0"/>
              <w:jc w:val="center"/>
              <w:rPr>
                <w:rFonts w:ascii="ＭＳ 明朝" w:hAnsi="ＭＳ 明朝"/>
              </w:rPr>
            </w:pPr>
            <m:oMathPara>
              <m:oMath>
                <m:sSub>
                  <m:sSubPr>
                    <m:ctrlPr>
                      <w:rPr>
                        <w:rFonts w:ascii="Cambria Math" w:hAnsi="Cambria Math"/>
                      </w:rPr>
                    </m:ctrlPr>
                  </m:sSubPr>
                  <m:e>
                    <m:r>
                      <w:rPr>
                        <w:rFonts w:ascii="Cambria Math" w:hAnsi="Cambria Math"/>
                      </w:rPr>
                      <m:t>G</m:t>
                    </m:r>
                  </m:e>
                  <m:sub>
                    <m:r>
                      <w:rPr>
                        <w:rFonts w:ascii="Cambria Math" w:hAnsi="Cambria Math"/>
                      </w:rPr>
                      <m:t>0</m:t>
                    </m:r>
                  </m:sub>
                </m:sSub>
              </m:oMath>
            </m:oMathPara>
          </w:p>
        </w:tc>
        <w:tc>
          <w:tcPr>
            <w:tcW w:w="850" w:type="dxa"/>
            <w:tcBorders>
              <w:top w:val="nil"/>
              <w:left w:val="nil"/>
              <w:bottom w:val="nil"/>
              <w:right w:val="nil"/>
            </w:tcBorders>
            <w:noWrap/>
            <w:vAlign w:val="center"/>
          </w:tcPr>
          <w:p w14:paraId="0541F4E8"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0.00</w:t>
            </w:r>
          </w:p>
        </w:tc>
        <w:tc>
          <w:tcPr>
            <w:tcW w:w="1228" w:type="dxa"/>
            <w:tcBorders>
              <w:top w:val="nil"/>
              <w:left w:val="single" w:sz="4" w:space="0" w:color="auto"/>
              <w:bottom w:val="nil"/>
              <w:right w:val="nil"/>
            </w:tcBorders>
            <w:noWrap/>
            <w:vAlign w:val="center"/>
          </w:tcPr>
          <w:p w14:paraId="4E5D2559" w14:textId="77777777" w:rsidR="00F52111" w:rsidRPr="00BC31E0" w:rsidRDefault="00F52111" w:rsidP="004736F2">
            <w:pPr>
              <w:adjustRightInd w:val="0"/>
              <w:snapToGrid w:val="0"/>
              <w:jc w:val="center"/>
              <w:rPr>
                <w:rFonts w:ascii="ＭＳ 明朝" w:hAnsi="ＭＳ 明朝"/>
                <w:sz w:val="18"/>
                <w:szCs w:val="18"/>
              </w:rPr>
            </w:pPr>
            <w:r w:rsidRPr="00BC31E0">
              <w:rPr>
                <w:rFonts w:ascii="ＭＳ 明朝" w:hAnsi="ＭＳ 明朝"/>
                <w:sz w:val="18"/>
                <w:szCs w:val="18"/>
              </w:rPr>
              <w:t>―</w:t>
            </w:r>
          </w:p>
        </w:tc>
        <w:tc>
          <w:tcPr>
            <w:tcW w:w="1229" w:type="dxa"/>
            <w:tcBorders>
              <w:top w:val="nil"/>
              <w:left w:val="nil"/>
              <w:bottom w:val="nil"/>
              <w:right w:val="nil"/>
            </w:tcBorders>
            <w:noWrap/>
            <w:vAlign w:val="center"/>
          </w:tcPr>
          <w:p w14:paraId="666EA298"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0.5450</w:t>
            </w:r>
          </w:p>
        </w:tc>
        <w:tc>
          <w:tcPr>
            <w:tcW w:w="1228" w:type="dxa"/>
            <w:tcBorders>
              <w:top w:val="nil"/>
              <w:left w:val="nil"/>
              <w:bottom w:val="nil"/>
              <w:right w:val="nil"/>
            </w:tcBorders>
            <w:noWrap/>
            <w:vAlign w:val="center"/>
          </w:tcPr>
          <w:p w14:paraId="3D608433"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0.7492</w:t>
            </w:r>
          </w:p>
        </w:tc>
        <w:tc>
          <w:tcPr>
            <w:tcW w:w="1229" w:type="dxa"/>
            <w:tcBorders>
              <w:top w:val="nil"/>
              <w:left w:val="nil"/>
              <w:bottom w:val="nil"/>
              <w:right w:val="nil"/>
            </w:tcBorders>
            <w:noWrap/>
            <w:vAlign w:val="center"/>
          </w:tcPr>
          <w:p w14:paraId="3ABC7058"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0.9024</w:t>
            </w:r>
          </w:p>
        </w:tc>
        <w:tc>
          <w:tcPr>
            <w:tcW w:w="1228" w:type="dxa"/>
            <w:tcBorders>
              <w:top w:val="nil"/>
              <w:left w:val="nil"/>
              <w:bottom w:val="nil"/>
              <w:right w:val="nil"/>
            </w:tcBorders>
            <w:noWrap/>
            <w:vAlign w:val="center"/>
          </w:tcPr>
          <w:p w14:paraId="6A2EB54F"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1.0297</w:t>
            </w:r>
          </w:p>
        </w:tc>
        <w:tc>
          <w:tcPr>
            <w:tcW w:w="1229" w:type="dxa"/>
            <w:tcBorders>
              <w:top w:val="nil"/>
              <w:left w:val="nil"/>
              <w:bottom w:val="nil"/>
              <w:right w:val="single" w:sz="4" w:space="0" w:color="auto"/>
            </w:tcBorders>
            <w:noWrap/>
            <w:vAlign w:val="center"/>
          </w:tcPr>
          <w:p w14:paraId="1CEE93A2"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1.1406</w:t>
            </w:r>
          </w:p>
        </w:tc>
      </w:tr>
      <w:tr w:rsidR="00F52111" w:rsidRPr="00BC31E0" w14:paraId="477DCC63" w14:textId="77777777" w:rsidTr="004736F2">
        <w:trPr>
          <w:cantSplit/>
          <w:jc w:val="center"/>
        </w:trPr>
        <w:tc>
          <w:tcPr>
            <w:tcW w:w="851" w:type="dxa"/>
            <w:vMerge/>
            <w:tcBorders>
              <w:left w:val="single" w:sz="4" w:space="0" w:color="auto"/>
              <w:right w:val="single" w:sz="4" w:space="0" w:color="auto"/>
            </w:tcBorders>
            <w:noWrap/>
            <w:vAlign w:val="center"/>
          </w:tcPr>
          <w:p w14:paraId="7DFAC879" w14:textId="77777777" w:rsidR="00F52111" w:rsidRPr="00BC31E0" w:rsidRDefault="00F52111" w:rsidP="004736F2">
            <w:pPr>
              <w:adjustRightInd w:val="0"/>
              <w:snapToGrid w:val="0"/>
              <w:jc w:val="center"/>
              <w:rPr>
                <w:rFonts w:ascii="ＭＳ 明朝" w:hAnsi="ＭＳ 明朝"/>
                <w:sz w:val="18"/>
                <w:szCs w:val="18"/>
              </w:rPr>
            </w:pPr>
          </w:p>
        </w:tc>
        <w:tc>
          <w:tcPr>
            <w:tcW w:w="850" w:type="dxa"/>
            <w:tcBorders>
              <w:top w:val="nil"/>
              <w:left w:val="nil"/>
              <w:bottom w:val="nil"/>
              <w:right w:val="nil"/>
            </w:tcBorders>
            <w:noWrap/>
            <w:vAlign w:val="center"/>
          </w:tcPr>
          <w:p w14:paraId="18E9CF8F"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0.05</w:t>
            </w:r>
          </w:p>
        </w:tc>
        <w:tc>
          <w:tcPr>
            <w:tcW w:w="1228" w:type="dxa"/>
            <w:tcBorders>
              <w:top w:val="nil"/>
              <w:left w:val="single" w:sz="4" w:space="0" w:color="auto"/>
              <w:bottom w:val="nil"/>
              <w:right w:val="nil"/>
            </w:tcBorders>
            <w:noWrap/>
            <w:vAlign w:val="center"/>
          </w:tcPr>
          <w:p w14:paraId="5CCC4F54" w14:textId="77777777" w:rsidR="00F52111" w:rsidRPr="00BC31E0" w:rsidRDefault="00F52111" w:rsidP="004736F2">
            <w:pPr>
              <w:adjustRightInd w:val="0"/>
              <w:snapToGrid w:val="0"/>
              <w:jc w:val="center"/>
              <w:rPr>
                <w:rFonts w:ascii="ＭＳ 明朝" w:hAnsi="ＭＳ 明朝"/>
                <w:sz w:val="18"/>
                <w:szCs w:val="18"/>
              </w:rPr>
            </w:pPr>
            <w:r w:rsidRPr="00BC31E0">
              <w:rPr>
                <w:rFonts w:ascii="ＭＳ 明朝" w:hAnsi="ＭＳ 明朝"/>
                <w:sz w:val="18"/>
                <w:szCs w:val="18"/>
              </w:rPr>
              <w:t>―</w:t>
            </w:r>
          </w:p>
        </w:tc>
        <w:tc>
          <w:tcPr>
            <w:tcW w:w="1229" w:type="dxa"/>
            <w:tcBorders>
              <w:top w:val="nil"/>
              <w:left w:val="nil"/>
              <w:bottom w:val="nil"/>
              <w:right w:val="nil"/>
            </w:tcBorders>
            <w:noWrap/>
            <w:vAlign w:val="center"/>
          </w:tcPr>
          <w:p w14:paraId="250C3411"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0.5514</w:t>
            </w:r>
          </w:p>
        </w:tc>
        <w:tc>
          <w:tcPr>
            <w:tcW w:w="1228" w:type="dxa"/>
            <w:tcBorders>
              <w:top w:val="nil"/>
              <w:left w:val="nil"/>
              <w:bottom w:val="nil"/>
              <w:right w:val="nil"/>
            </w:tcBorders>
            <w:noWrap/>
            <w:vAlign w:val="center"/>
          </w:tcPr>
          <w:p w14:paraId="60362EE4"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0.7549</w:t>
            </w:r>
          </w:p>
        </w:tc>
        <w:tc>
          <w:tcPr>
            <w:tcW w:w="1229" w:type="dxa"/>
            <w:tcBorders>
              <w:top w:val="nil"/>
              <w:left w:val="nil"/>
              <w:bottom w:val="nil"/>
              <w:right w:val="nil"/>
            </w:tcBorders>
            <w:noWrap/>
            <w:vAlign w:val="center"/>
          </w:tcPr>
          <w:p w14:paraId="19B1BBF2"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0.9070</w:t>
            </w:r>
          </w:p>
        </w:tc>
        <w:tc>
          <w:tcPr>
            <w:tcW w:w="1228" w:type="dxa"/>
            <w:tcBorders>
              <w:top w:val="nil"/>
              <w:left w:val="nil"/>
              <w:bottom w:val="nil"/>
              <w:right w:val="nil"/>
            </w:tcBorders>
            <w:noWrap/>
            <w:vAlign w:val="center"/>
          </w:tcPr>
          <w:p w14:paraId="5283E198"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1.0330</w:t>
            </w:r>
          </w:p>
        </w:tc>
        <w:tc>
          <w:tcPr>
            <w:tcW w:w="1229" w:type="dxa"/>
            <w:tcBorders>
              <w:top w:val="nil"/>
              <w:left w:val="nil"/>
              <w:bottom w:val="nil"/>
              <w:right w:val="single" w:sz="4" w:space="0" w:color="auto"/>
            </w:tcBorders>
            <w:noWrap/>
            <w:vAlign w:val="center"/>
          </w:tcPr>
          <w:p w14:paraId="28726447"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1.1427</w:t>
            </w:r>
          </w:p>
        </w:tc>
      </w:tr>
      <w:tr w:rsidR="00F52111" w:rsidRPr="00BC31E0" w14:paraId="7D564722" w14:textId="77777777" w:rsidTr="004736F2">
        <w:trPr>
          <w:cantSplit/>
          <w:jc w:val="center"/>
        </w:trPr>
        <w:tc>
          <w:tcPr>
            <w:tcW w:w="851" w:type="dxa"/>
            <w:vMerge/>
            <w:tcBorders>
              <w:left w:val="single" w:sz="4" w:space="0" w:color="auto"/>
              <w:right w:val="single" w:sz="4" w:space="0" w:color="auto"/>
            </w:tcBorders>
            <w:noWrap/>
            <w:vAlign w:val="center"/>
          </w:tcPr>
          <w:p w14:paraId="4016CE94" w14:textId="77777777" w:rsidR="00F52111" w:rsidRPr="00BC31E0" w:rsidRDefault="00F52111" w:rsidP="004736F2">
            <w:pPr>
              <w:adjustRightInd w:val="0"/>
              <w:snapToGrid w:val="0"/>
              <w:jc w:val="center"/>
              <w:rPr>
                <w:rFonts w:ascii="ＭＳ 明朝" w:hAnsi="ＭＳ 明朝"/>
                <w:sz w:val="18"/>
                <w:szCs w:val="18"/>
              </w:rPr>
            </w:pPr>
          </w:p>
        </w:tc>
        <w:tc>
          <w:tcPr>
            <w:tcW w:w="850" w:type="dxa"/>
            <w:tcBorders>
              <w:top w:val="nil"/>
              <w:left w:val="nil"/>
              <w:bottom w:val="nil"/>
              <w:right w:val="nil"/>
            </w:tcBorders>
            <w:noWrap/>
            <w:vAlign w:val="center"/>
          </w:tcPr>
          <w:p w14:paraId="45FFCAB9"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0.10</w:t>
            </w:r>
          </w:p>
        </w:tc>
        <w:tc>
          <w:tcPr>
            <w:tcW w:w="1228" w:type="dxa"/>
            <w:tcBorders>
              <w:top w:val="nil"/>
              <w:left w:val="single" w:sz="4" w:space="0" w:color="auto"/>
              <w:bottom w:val="nil"/>
              <w:right w:val="nil"/>
            </w:tcBorders>
            <w:noWrap/>
            <w:vAlign w:val="center"/>
          </w:tcPr>
          <w:p w14:paraId="0110F593" w14:textId="77777777" w:rsidR="00F52111" w:rsidRPr="00BC31E0" w:rsidRDefault="00F52111" w:rsidP="004736F2">
            <w:pPr>
              <w:adjustRightInd w:val="0"/>
              <w:snapToGrid w:val="0"/>
              <w:jc w:val="center"/>
              <w:rPr>
                <w:rFonts w:ascii="ＭＳ 明朝" w:hAnsi="ＭＳ 明朝"/>
                <w:sz w:val="18"/>
                <w:szCs w:val="18"/>
              </w:rPr>
            </w:pPr>
            <w:r w:rsidRPr="00BC31E0">
              <w:rPr>
                <w:rFonts w:ascii="ＭＳ 明朝" w:hAnsi="ＭＳ 明朝"/>
                <w:sz w:val="18"/>
                <w:szCs w:val="18"/>
              </w:rPr>
              <w:t>―</w:t>
            </w:r>
          </w:p>
        </w:tc>
        <w:tc>
          <w:tcPr>
            <w:tcW w:w="1229" w:type="dxa"/>
            <w:tcBorders>
              <w:top w:val="nil"/>
              <w:left w:val="nil"/>
              <w:bottom w:val="nil"/>
              <w:right w:val="nil"/>
            </w:tcBorders>
            <w:noWrap/>
            <w:vAlign w:val="center"/>
          </w:tcPr>
          <w:p w14:paraId="02A9BE21"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0.5610</w:t>
            </w:r>
          </w:p>
        </w:tc>
        <w:tc>
          <w:tcPr>
            <w:tcW w:w="1228" w:type="dxa"/>
            <w:tcBorders>
              <w:top w:val="nil"/>
              <w:left w:val="nil"/>
              <w:bottom w:val="nil"/>
              <w:right w:val="nil"/>
            </w:tcBorders>
            <w:noWrap/>
            <w:vAlign w:val="center"/>
          </w:tcPr>
          <w:p w14:paraId="44EFB488"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0.7636</w:t>
            </w:r>
          </w:p>
        </w:tc>
        <w:tc>
          <w:tcPr>
            <w:tcW w:w="1229" w:type="dxa"/>
            <w:tcBorders>
              <w:top w:val="nil"/>
              <w:left w:val="nil"/>
              <w:bottom w:val="nil"/>
              <w:right w:val="nil"/>
            </w:tcBorders>
            <w:noWrap/>
            <w:vAlign w:val="center"/>
          </w:tcPr>
          <w:p w14:paraId="3AEDA1C1"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0.9144</w:t>
            </w:r>
          </w:p>
        </w:tc>
        <w:tc>
          <w:tcPr>
            <w:tcW w:w="1228" w:type="dxa"/>
            <w:tcBorders>
              <w:top w:val="nil"/>
              <w:left w:val="nil"/>
              <w:bottom w:val="nil"/>
              <w:right w:val="nil"/>
            </w:tcBorders>
            <w:noWrap/>
            <w:vAlign w:val="center"/>
          </w:tcPr>
          <w:p w14:paraId="49633A43"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1.0391</w:t>
            </w:r>
          </w:p>
        </w:tc>
        <w:tc>
          <w:tcPr>
            <w:tcW w:w="1229" w:type="dxa"/>
            <w:tcBorders>
              <w:top w:val="nil"/>
              <w:left w:val="nil"/>
              <w:bottom w:val="nil"/>
              <w:right w:val="single" w:sz="4" w:space="0" w:color="auto"/>
            </w:tcBorders>
            <w:noWrap/>
            <w:vAlign w:val="center"/>
          </w:tcPr>
          <w:p w14:paraId="7EBEEB50"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1.1473</w:t>
            </w:r>
          </w:p>
        </w:tc>
      </w:tr>
      <w:tr w:rsidR="00F52111" w:rsidRPr="00BC31E0" w14:paraId="5462B68F" w14:textId="77777777" w:rsidTr="004736F2">
        <w:trPr>
          <w:cantSplit/>
          <w:jc w:val="center"/>
        </w:trPr>
        <w:tc>
          <w:tcPr>
            <w:tcW w:w="851" w:type="dxa"/>
            <w:vMerge/>
            <w:tcBorders>
              <w:left w:val="single" w:sz="4" w:space="0" w:color="auto"/>
              <w:right w:val="single" w:sz="4" w:space="0" w:color="auto"/>
            </w:tcBorders>
            <w:noWrap/>
            <w:vAlign w:val="center"/>
          </w:tcPr>
          <w:p w14:paraId="71F3D2EB" w14:textId="77777777" w:rsidR="00F52111" w:rsidRPr="00BC31E0" w:rsidRDefault="00F52111" w:rsidP="004736F2">
            <w:pPr>
              <w:adjustRightInd w:val="0"/>
              <w:snapToGrid w:val="0"/>
              <w:jc w:val="center"/>
              <w:rPr>
                <w:rFonts w:ascii="ＭＳ 明朝" w:hAnsi="ＭＳ 明朝"/>
                <w:sz w:val="18"/>
                <w:szCs w:val="18"/>
              </w:rPr>
            </w:pPr>
          </w:p>
        </w:tc>
        <w:tc>
          <w:tcPr>
            <w:tcW w:w="850" w:type="dxa"/>
            <w:tcBorders>
              <w:top w:val="nil"/>
              <w:left w:val="nil"/>
              <w:bottom w:val="nil"/>
              <w:right w:val="nil"/>
            </w:tcBorders>
            <w:noWrap/>
            <w:vAlign w:val="center"/>
          </w:tcPr>
          <w:p w14:paraId="31EF6D0B"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0.15</w:t>
            </w:r>
          </w:p>
        </w:tc>
        <w:tc>
          <w:tcPr>
            <w:tcW w:w="1228" w:type="dxa"/>
            <w:tcBorders>
              <w:top w:val="nil"/>
              <w:left w:val="single" w:sz="4" w:space="0" w:color="auto"/>
              <w:bottom w:val="nil"/>
              <w:right w:val="nil"/>
            </w:tcBorders>
            <w:noWrap/>
            <w:vAlign w:val="center"/>
          </w:tcPr>
          <w:p w14:paraId="49371996" w14:textId="77777777" w:rsidR="00F52111" w:rsidRPr="00BC31E0" w:rsidRDefault="00F52111" w:rsidP="004736F2">
            <w:pPr>
              <w:adjustRightInd w:val="0"/>
              <w:snapToGrid w:val="0"/>
              <w:jc w:val="center"/>
              <w:rPr>
                <w:rFonts w:ascii="ＭＳ 明朝" w:hAnsi="ＭＳ 明朝"/>
                <w:sz w:val="18"/>
                <w:szCs w:val="18"/>
              </w:rPr>
            </w:pPr>
            <w:r w:rsidRPr="00BC31E0">
              <w:rPr>
                <w:rFonts w:ascii="ＭＳ 明朝" w:hAnsi="ＭＳ 明朝"/>
                <w:sz w:val="18"/>
                <w:szCs w:val="18"/>
              </w:rPr>
              <w:t>―</w:t>
            </w:r>
          </w:p>
        </w:tc>
        <w:tc>
          <w:tcPr>
            <w:tcW w:w="1229" w:type="dxa"/>
            <w:tcBorders>
              <w:top w:val="nil"/>
              <w:left w:val="nil"/>
              <w:bottom w:val="nil"/>
              <w:right w:val="nil"/>
            </w:tcBorders>
            <w:noWrap/>
            <w:vAlign w:val="center"/>
          </w:tcPr>
          <w:p w14:paraId="61DD5A1E"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0.5738</w:t>
            </w:r>
          </w:p>
        </w:tc>
        <w:tc>
          <w:tcPr>
            <w:tcW w:w="1228" w:type="dxa"/>
            <w:tcBorders>
              <w:top w:val="nil"/>
              <w:left w:val="nil"/>
              <w:bottom w:val="nil"/>
              <w:right w:val="nil"/>
            </w:tcBorders>
            <w:noWrap/>
            <w:vAlign w:val="center"/>
          </w:tcPr>
          <w:p w14:paraId="03D72DCF"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0.7756</w:t>
            </w:r>
          </w:p>
        </w:tc>
        <w:tc>
          <w:tcPr>
            <w:tcW w:w="1229" w:type="dxa"/>
            <w:tcBorders>
              <w:top w:val="nil"/>
              <w:left w:val="nil"/>
              <w:bottom w:val="nil"/>
              <w:right w:val="nil"/>
            </w:tcBorders>
            <w:noWrap/>
            <w:vAlign w:val="center"/>
          </w:tcPr>
          <w:p w14:paraId="710509CE"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0.9249</w:t>
            </w:r>
          </w:p>
        </w:tc>
        <w:tc>
          <w:tcPr>
            <w:tcW w:w="1228" w:type="dxa"/>
            <w:tcBorders>
              <w:top w:val="nil"/>
              <w:left w:val="nil"/>
              <w:bottom w:val="nil"/>
              <w:right w:val="nil"/>
            </w:tcBorders>
            <w:noWrap/>
            <w:vAlign w:val="center"/>
          </w:tcPr>
          <w:p w14:paraId="69561919"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1.0479</w:t>
            </w:r>
          </w:p>
        </w:tc>
        <w:tc>
          <w:tcPr>
            <w:tcW w:w="1229" w:type="dxa"/>
            <w:tcBorders>
              <w:top w:val="nil"/>
              <w:left w:val="nil"/>
              <w:bottom w:val="nil"/>
              <w:right w:val="single" w:sz="4" w:space="0" w:color="auto"/>
            </w:tcBorders>
            <w:noWrap/>
            <w:vAlign w:val="center"/>
          </w:tcPr>
          <w:p w14:paraId="270DB843"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1.1545</w:t>
            </w:r>
          </w:p>
        </w:tc>
      </w:tr>
      <w:tr w:rsidR="00F52111" w:rsidRPr="00BC31E0" w14:paraId="3F90A221" w14:textId="77777777" w:rsidTr="004736F2">
        <w:trPr>
          <w:cantSplit/>
          <w:jc w:val="center"/>
        </w:trPr>
        <w:tc>
          <w:tcPr>
            <w:tcW w:w="851" w:type="dxa"/>
            <w:vMerge/>
            <w:tcBorders>
              <w:left w:val="single" w:sz="4" w:space="0" w:color="auto"/>
              <w:right w:val="single" w:sz="4" w:space="0" w:color="auto"/>
            </w:tcBorders>
            <w:noWrap/>
            <w:vAlign w:val="center"/>
          </w:tcPr>
          <w:p w14:paraId="6A026C14" w14:textId="77777777" w:rsidR="00F52111" w:rsidRPr="00BC31E0" w:rsidRDefault="00F52111" w:rsidP="004736F2">
            <w:pPr>
              <w:adjustRightInd w:val="0"/>
              <w:snapToGrid w:val="0"/>
              <w:jc w:val="center"/>
              <w:rPr>
                <w:rFonts w:ascii="ＭＳ 明朝" w:hAnsi="ＭＳ 明朝"/>
                <w:sz w:val="18"/>
                <w:szCs w:val="18"/>
              </w:rPr>
            </w:pPr>
          </w:p>
        </w:tc>
        <w:tc>
          <w:tcPr>
            <w:tcW w:w="850" w:type="dxa"/>
            <w:tcBorders>
              <w:top w:val="nil"/>
              <w:left w:val="nil"/>
              <w:bottom w:val="nil"/>
              <w:right w:val="nil"/>
            </w:tcBorders>
            <w:noWrap/>
            <w:vAlign w:val="center"/>
          </w:tcPr>
          <w:p w14:paraId="79F93D30"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0.20</w:t>
            </w:r>
          </w:p>
        </w:tc>
        <w:tc>
          <w:tcPr>
            <w:tcW w:w="1228" w:type="dxa"/>
            <w:tcBorders>
              <w:top w:val="nil"/>
              <w:left w:val="single" w:sz="4" w:space="0" w:color="auto"/>
              <w:bottom w:val="nil"/>
              <w:right w:val="nil"/>
            </w:tcBorders>
            <w:noWrap/>
            <w:vAlign w:val="center"/>
          </w:tcPr>
          <w:p w14:paraId="69AD594A" w14:textId="77777777" w:rsidR="00F52111" w:rsidRPr="00BC31E0" w:rsidRDefault="00F52111" w:rsidP="004736F2">
            <w:pPr>
              <w:adjustRightInd w:val="0"/>
              <w:snapToGrid w:val="0"/>
              <w:jc w:val="center"/>
              <w:rPr>
                <w:rFonts w:ascii="ＭＳ 明朝" w:hAnsi="ＭＳ 明朝"/>
                <w:sz w:val="18"/>
                <w:szCs w:val="18"/>
              </w:rPr>
            </w:pPr>
            <w:r w:rsidRPr="00BC31E0">
              <w:rPr>
                <w:rFonts w:ascii="ＭＳ 明朝" w:hAnsi="ＭＳ 明朝"/>
                <w:sz w:val="18"/>
                <w:szCs w:val="18"/>
              </w:rPr>
              <w:t>―</w:t>
            </w:r>
          </w:p>
        </w:tc>
        <w:tc>
          <w:tcPr>
            <w:tcW w:w="1229" w:type="dxa"/>
            <w:tcBorders>
              <w:top w:val="nil"/>
              <w:left w:val="nil"/>
              <w:bottom w:val="nil"/>
              <w:right w:val="nil"/>
            </w:tcBorders>
            <w:noWrap/>
            <w:vAlign w:val="center"/>
          </w:tcPr>
          <w:p w14:paraId="3A4759A7"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0.5900</w:t>
            </w:r>
          </w:p>
        </w:tc>
        <w:tc>
          <w:tcPr>
            <w:tcW w:w="1228" w:type="dxa"/>
            <w:tcBorders>
              <w:top w:val="nil"/>
              <w:left w:val="nil"/>
              <w:bottom w:val="nil"/>
              <w:right w:val="nil"/>
            </w:tcBorders>
            <w:noWrap/>
            <w:vAlign w:val="center"/>
          </w:tcPr>
          <w:p w14:paraId="5E47397A"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0.7908</w:t>
            </w:r>
          </w:p>
        </w:tc>
        <w:tc>
          <w:tcPr>
            <w:tcW w:w="1229" w:type="dxa"/>
            <w:tcBorders>
              <w:top w:val="nil"/>
              <w:left w:val="nil"/>
              <w:bottom w:val="nil"/>
              <w:right w:val="nil"/>
            </w:tcBorders>
            <w:noWrap/>
            <w:vAlign w:val="center"/>
          </w:tcPr>
          <w:p w14:paraId="6D74E70B"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0.9385</w:t>
            </w:r>
          </w:p>
        </w:tc>
        <w:tc>
          <w:tcPr>
            <w:tcW w:w="1228" w:type="dxa"/>
            <w:tcBorders>
              <w:top w:val="nil"/>
              <w:left w:val="nil"/>
              <w:bottom w:val="nil"/>
              <w:right w:val="nil"/>
            </w:tcBorders>
            <w:noWrap/>
            <w:vAlign w:val="center"/>
          </w:tcPr>
          <w:p w14:paraId="38D07626"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1.0596</w:t>
            </w:r>
          </w:p>
        </w:tc>
        <w:tc>
          <w:tcPr>
            <w:tcW w:w="1229" w:type="dxa"/>
            <w:tcBorders>
              <w:top w:val="nil"/>
              <w:left w:val="nil"/>
              <w:bottom w:val="nil"/>
              <w:right w:val="single" w:sz="4" w:space="0" w:color="auto"/>
            </w:tcBorders>
            <w:noWrap/>
            <w:vAlign w:val="center"/>
          </w:tcPr>
          <w:p w14:paraId="30517209"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1.1641</w:t>
            </w:r>
          </w:p>
        </w:tc>
      </w:tr>
      <w:tr w:rsidR="00F52111" w:rsidRPr="00BC31E0" w14:paraId="48BE2F33" w14:textId="77777777" w:rsidTr="004736F2">
        <w:trPr>
          <w:cantSplit/>
          <w:jc w:val="center"/>
        </w:trPr>
        <w:tc>
          <w:tcPr>
            <w:tcW w:w="851" w:type="dxa"/>
            <w:vMerge/>
            <w:tcBorders>
              <w:left w:val="single" w:sz="4" w:space="0" w:color="auto"/>
              <w:right w:val="single" w:sz="4" w:space="0" w:color="auto"/>
            </w:tcBorders>
            <w:noWrap/>
            <w:vAlign w:val="center"/>
          </w:tcPr>
          <w:p w14:paraId="2AA8A42E" w14:textId="77777777" w:rsidR="00F52111" w:rsidRPr="00BC31E0" w:rsidRDefault="00F52111" w:rsidP="004736F2">
            <w:pPr>
              <w:adjustRightInd w:val="0"/>
              <w:snapToGrid w:val="0"/>
              <w:jc w:val="center"/>
              <w:rPr>
                <w:rFonts w:ascii="ＭＳ 明朝" w:hAnsi="ＭＳ 明朝"/>
                <w:sz w:val="22"/>
                <w:szCs w:val="22"/>
              </w:rPr>
            </w:pPr>
          </w:p>
        </w:tc>
        <w:tc>
          <w:tcPr>
            <w:tcW w:w="850" w:type="dxa"/>
            <w:tcBorders>
              <w:top w:val="nil"/>
              <w:left w:val="single" w:sz="4" w:space="0" w:color="auto"/>
              <w:bottom w:val="nil"/>
              <w:right w:val="nil"/>
            </w:tcBorders>
            <w:noWrap/>
            <w:vAlign w:val="center"/>
          </w:tcPr>
          <w:p w14:paraId="22AF4A89"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0.25</w:t>
            </w:r>
          </w:p>
        </w:tc>
        <w:tc>
          <w:tcPr>
            <w:tcW w:w="1228" w:type="dxa"/>
            <w:tcBorders>
              <w:top w:val="nil"/>
              <w:left w:val="single" w:sz="4" w:space="0" w:color="auto"/>
              <w:bottom w:val="nil"/>
              <w:right w:val="nil"/>
            </w:tcBorders>
            <w:noWrap/>
            <w:vAlign w:val="center"/>
          </w:tcPr>
          <w:p w14:paraId="39CB2ABC" w14:textId="77777777" w:rsidR="00F52111" w:rsidRPr="00BC31E0" w:rsidRDefault="00F52111" w:rsidP="004736F2">
            <w:pPr>
              <w:adjustRightInd w:val="0"/>
              <w:snapToGrid w:val="0"/>
              <w:jc w:val="center"/>
              <w:rPr>
                <w:rFonts w:ascii="ＭＳ 明朝" w:hAnsi="ＭＳ 明朝"/>
                <w:sz w:val="18"/>
                <w:szCs w:val="18"/>
              </w:rPr>
            </w:pPr>
            <w:r w:rsidRPr="00BC31E0">
              <w:rPr>
                <w:rFonts w:ascii="ＭＳ 明朝" w:hAnsi="ＭＳ 明朝"/>
                <w:sz w:val="18"/>
                <w:szCs w:val="18"/>
              </w:rPr>
              <w:t>―</w:t>
            </w:r>
          </w:p>
        </w:tc>
        <w:tc>
          <w:tcPr>
            <w:tcW w:w="1229" w:type="dxa"/>
            <w:tcBorders>
              <w:top w:val="nil"/>
              <w:left w:val="nil"/>
              <w:bottom w:val="nil"/>
              <w:right w:val="nil"/>
            </w:tcBorders>
            <w:noWrap/>
            <w:vAlign w:val="center"/>
          </w:tcPr>
          <w:p w14:paraId="42333448"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0.6099</w:t>
            </w:r>
          </w:p>
        </w:tc>
        <w:tc>
          <w:tcPr>
            <w:tcW w:w="1228" w:type="dxa"/>
            <w:tcBorders>
              <w:top w:val="nil"/>
              <w:left w:val="nil"/>
              <w:bottom w:val="nil"/>
              <w:right w:val="nil"/>
            </w:tcBorders>
            <w:noWrap/>
            <w:vAlign w:val="center"/>
          </w:tcPr>
          <w:p w14:paraId="41697AA9"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0.8095</w:t>
            </w:r>
          </w:p>
        </w:tc>
        <w:tc>
          <w:tcPr>
            <w:tcW w:w="1229" w:type="dxa"/>
            <w:tcBorders>
              <w:top w:val="nil"/>
              <w:left w:val="nil"/>
              <w:bottom w:val="nil"/>
              <w:right w:val="nil"/>
            </w:tcBorders>
            <w:noWrap/>
            <w:vAlign w:val="center"/>
          </w:tcPr>
          <w:p w14:paraId="06936A55"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0.9551</w:t>
            </w:r>
          </w:p>
        </w:tc>
        <w:tc>
          <w:tcPr>
            <w:tcW w:w="1228" w:type="dxa"/>
            <w:tcBorders>
              <w:top w:val="nil"/>
              <w:left w:val="nil"/>
              <w:bottom w:val="nil"/>
              <w:right w:val="nil"/>
            </w:tcBorders>
            <w:noWrap/>
            <w:vAlign w:val="center"/>
          </w:tcPr>
          <w:p w14:paraId="6062F68D"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1.0740</w:t>
            </w:r>
          </w:p>
        </w:tc>
        <w:tc>
          <w:tcPr>
            <w:tcW w:w="1229" w:type="dxa"/>
            <w:tcBorders>
              <w:top w:val="nil"/>
              <w:left w:val="nil"/>
              <w:bottom w:val="nil"/>
              <w:right w:val="single" w:sz="4" w:space="0" w:color="auto"/>
            </w:tcBorders>
            <w:noWrap/>
            <w:vAlign w:val="center"/>
          </w:tcPr>
          <w:p w14:paraId="4F99577D"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1.1763</w:t>
            </w:r>
          </w:p>
        </w:tc>
      </w:tr>
      <w:tr w:rsidR="00F52111" w:rsidRPr="00BC31E0" w14:paraId="32FD8CA4" w14:textId="77777777" w:rsidTr="004736F2">
        <w:trPr>
          <w:cantSplit/>
          <w:jc w:val="center"/>
        </w:trPr>
        <w:tc>
          <w:tcPr>
            <w:tcW w:w="851" w:type="dxa"/>
            <w:vMerge/>
            <w:tcBorders>
              <w:left w:val="single" w:sz="4" w:space="0" w:color="auto"/>
              <w:right w:val="single" w:sz="4" w:space="0" w:color="auto"/>
            </w:tcBorders>
            <w:vAlign w:val="center"/>
          </w:tcPr>
          <w:p w14:paraId="43259ABC" w14:textId="77777777" w:rsidR="00F52111" w:rsidRPr="00BC31E0" w:rsidRDefault="00F52111" w:rsidP="004736F2">
            <w:pPr>
              <w:adjustRightInd w:val="0"/>
              <w:snapToGrid w:val="0"/>
              <w:jc w:val="center"/>
              <w:rPr>
                <w:rFonts w:ascii="ＭＳ 明朝" w:hAnsi="ＭＳ 明朝"/>
                <w:sz w:val="22"/>
                <w:szCs w:val="22"/>
              </w:rPr>
            </w:pPr>
          </w:p>
        </w:tc>
        <w:tc>
          <w:tcPr>
            <w:tcW w:w="850" w:type="dxa"/>
            <w:tcBorders>
              <w:top w:val="nil"/>
              <w:left w:val="single" w:sz="4" w:space="0" w:color="auto"/>
              <w:bottom w:val="nil"/>
              <w:right w:val="nil"/>
            </w:tcBorders>
            <w:noWrap/>
            <w:vAlign w:val="center"/>
          </w:tcPr>
          <w:p w14:paraId="14ADE4A8"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0.30</w:t>
            </w:r>
          </w:p>
        </w:tc>
        <w:tc>
          <w:tcPr>
            <w:tcW w:w="1228" w:type="dxa"/>
            <w:tcBorders>
              <w:top w:val="nil"/>
              <w:left w:val="single" w:sz="4" w:space="0" w:color="auto"/>
              <w:bottom w:val="nil"/>
              <w:right w:val="nil"/>
            </w:tcBorders>
            <w:noWrap/>
            <w:vAlign w:val="center"/>
          </w:tcPr>
          <w:p w14:paraId="6E29CA02" w14:textId="77777777" w:rsidR="00F52111" w:rsidRPr="00BC31E0" w:rsidRDefault="00F52111" w:rsidP="004736F2">
            <w:pPr>
              <w:adjustRightInd w:val="0"/>
              <w:snapToGrid w:val="0"/>
              <w:jc w:val="center"/>
              <w:rPr>
                <w:rFonts w:ascii="ＭＳ 明朝" w:hAnsi="ＭＳ 明朝"/>
                <w:sz w:val="18"/>
                <w:szCs w:val="18"/>
              </w:rPr>
            </w:pPr>
            <w:r w:rsidRPr="00BC31E0">
              <w:rPr>
                <w:rFonts w:ascii="ＭＳ 明朝" w:hAnsi="ＭＳ 明朝"/>
                <w:sz w:val="18"/>
                <w:szCs w:val="18"/>
              </w:rPr>
              <w:t>―</w:t>
            </w:r>
          </w:p>
        </w:tc>
        <w:tc>
          <w:tcPr>
            <w:tcW w:w="1229" w:type="dxa"/>
            <w:tcBorders>
              <w:top w:val="nil"/>
              <w:left w:val="nil"/>
              <w:bottom w:val="nil"/>
              <w:right w:val="nil"/>
            </w:tcBorders>
            <w:noWrap/>
            <w:vAlign w:val="center"/>
          </w:tcPr>
          <w:p w14:paraId="5437ABC8"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0.6338</w:t>
            </w:r>
          </w:p>
        </w:tc>
        <w:tc>
          <w:tcPr>
            <w:tcW w:w="1228" w:type="dxa"/>
            <w:tcBorders>
              <w:top w:val="nil"/>
              <w:left w:val="nil"/>
              <w:bottom w:val="nil"/>
              <w:right w:val="nil"/>
            </w:tcBorders>
            <w:noWrap/>
            <w:vAlign w:val="center"/>
          </w:tcPr>
          <w:p w14:paraId="76C5F7A3"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0.8318</w:t>
            </w:r>
          </w:p>
        </w:tc>
        <w:tc>
          <w:tcPr>
            <w:tcW w:w="1229" w:type="dxa"/>
            <w:tcBorders>
              <w:top w:val="nil"/>
              <w:left w:val="nil"/>
              <w:bottom w:val="nil"/>
              <w:right w:val="nil"/>
            </w:tcBorders>
            <w:noWrap/>
            <w:vAlign w:val="center"/>
          </w:tcPr>
          <w:p w14:paraId="23BA1C35"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0.9750</w:t>
            </w:r>
          </w:p>
        </w:tc>
        <w:tc>
          <w:tcPr>
            <w:tcW w:w="1228" w:type="dxa"/>
            <w:tcBorders>
              <w:top w:val="nil"/>
              <w:left w:val="nil"/>
              <w:bottom w:val="nil"/>
              <w:right w:val="nil"/>
            </w:tcBorders>
            <w:noWrap/>
            <w:vAlign w:val="center"/>
          </w:tcPr>
          <w:p w14:paraId="35D8D7A0"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1.0913</w:t>
            </w:r>
          </w:p>
        </w:tc>
        <w:tc>
          <w:tcPr>
            <w:tcW w:w="1229" w:type="dxa"/>
            <w:tcBorders>
              <w:top w:val="nil"/>
              <w:left w:val="nil"/>
              <w:bottom w:val="nil"/>
              <w:right w:val="single" w:sz="4" w:space="0" w:color="auto"/>
            </w:tcBorders>
            <w:noWrap/>
            <w:vAlign w:val="center"/>
          </w:tcPr>
          <w:p w14:paraId="5AD4DBB5"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1.1909</w:t>
            </w:r>
          </w:p>
        </w:tc>
      </w:tr>
      <w:tr w:rsidR="00F52111" w:rsidRPr="00BC31E0" w14:paraId="442FD275" w14:textId="77777777" w:rsidTr="004736F2">
        <w:trPr>
          <w:cantSplit/>
          <w:jc w:val="center"/>
        </w:trPr>
        <w:tc>
          <w:tcPr>
            <w:tcW w:w="851" w:type="dxa"/>
            <w:vMerge/>
            <w:tcBorders>
              <w:left w:val="single" w:sz="4" w:space="0" w:color="auto"/>
              <w:right w:val="single" w:sz="4" w:space="0" w:color="auto"/>
            </w:tcBorders>
            <w:noWrap/>
            <w:vAlign w:val="center"/>
          </w:tcPr>
          <w:p w14:paraId="440939E8" w14:textId="77777777" w:rsidR="00F52111" w:rsidRPr="00BC31E0" w:rsidRDefault="00F52111" w:rsidP="004736F2">
            <w:pPr>
              <w:adjustRightInd w:val="0"/>
              <w:snapToGrid w:val="0"/>
              <w:jc w:val="center"/>
              <w:rPr>
                <w:rFonts w:ascii="ＭＳ 明朝" w:hAnsi="ＭＳ 明朝"/>
                <w:sz w:val="18"/>
                <w:szCs w:val="18"/>
              </w:rPr>
            </w:pPr>
          </w:p>
        </w:tc>
        <w:tc>
          <w:tcPr>
            <w:tcW w:w="850" w:type="dxa"/>
            <w:tcBorders>
              <w:top w:val="nil"/>
              <w:left w:val="nil"/>
              <w:bottom w:val="nil"/>
              <w:right w:val="nil"/>
            </w:tcBorders>
            <w:noWrap/>
            <w:vAlign w:val="center"/>
          </w:tcPr>
          <w:p w14:paraId="30FF5A51"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0.40</w:t>
            </w:r>
          </w:p>
        </w:tc>
        <w:tc>
          <w:tcPr>
            <w:tcW w:w="1228" w:type="dxa"/>
            <w:tcBorders>
              <w:top w:val="nil"/>
              <w:left w:val="single" w:sz="4" w:space="0" w:color="auto"/>
              <w:bottom w:val="nil"/>
              <w:right w:val="nil"/>
            </w:tcBorders>
            <w:noWrap/>
            <w:vAlign w:val="center"/>
          </w:tcPr>
          <w:p w14:paraId="4F389185" w14:textId="77777777" w:rsidR="00F52111" w:rsidRPr="00BC31E0" w:rsidRDefault="00F52111" w:rsidP="004736F2">
            <w:pPr>
              <w:adjustRightInd w:val="0"/>
              <w:snapToGrid w:val="0"/>
              <w:jc w:val="center"/>
              <w:rPr>
                <w:rFonts w:ascii="ＭＳ 明朝" w:hAnsi="ＭＳ 明朝"/>
                <w:sz w:val="18"/>
                <w:szCs w:val="18"/>
              </w:rPr>
            </w:pPr>
            <w:r w:rsidRPr="00BC31E0">
              <w:rPr>
                <w:rFonts w:ascii="ＭＳ 明朝" w:hAnsi="ＭＳ 明朝"/>
                <w:sz w:val="18"/>
                <w:szCs w:val="18"/>
              </w:rPr>
              <w:t>―</w:t>
            </w:r>
          </w:p>
        </w:tc>
        <w:tc>
          <w:tcPr>
            <w:tcW w:w="1229" w:type="dxa"/>
            <w:tcBorders>
              <w:top w:val="nil"/>
              <w:left w:val="nil"/>
              <w:bottom w:val="nil"/>
              <w:right w:val="nil"/>
            </w:tcBorders>
            <w:noWrap/>
            <w:vAlign w:val="center"/>
          </w:tcPr>
          <w:p w14:paraId="483368B8"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0.6949</w:t>
            </w:r>
          </w:p>
        </w:tc>
        <w:tc>
          <w:tcPr>
            <w:tcW w:w="1228" w:type="dxa"/>
            <w:tcBorders>
              <w:top w:val="nil"/>
              <w:left w:val="nil"/>
              <w:bottom w:val="nil"/>
              <w:right w:val="nil"/>
            </w:tcBorders>
            <w:noWrap/>
            <w:vAlign w:val="center"/>
          </w:tcPr>
          <w:p w14:paraId="774526AB"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0.8881</w:t>
            </w:r>
          </w:p>
        </w:tc>
        <w:tc>
          <w:tcPr>
            <w:tcW w:w="1229" w:type="dxa"/>
            <w:tcBorders>
              <w:top w:val="nil"/>
              <w:left w:val="nil"/>
              <w:bottom w:val="nil"/>
              <w:right w:val="nil"/>
            </w:tcBorders>
            <w:noWrap/>
            <w:vAlign w:val="center"/>
          </w:tcPr>
          <w:p w14:paraId="32E9676E"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1.0250</w:t>
            </w:r>
          </w:p>
        </w:tc>
        <w:tc>
          <w:tcPr>
            <w:tcW w:w="1228" w:type="dxa"/>
            <w:tcBorders>
              <w:top w:val="nil"/>
              <w:left w:val="nil"/>
              <w:bottom w:val="nil"/>
              <w:right w:val="nil"/>
            </w:tcBorders>
            <w:noWrap/>
            <w:vAlign w:val="center"/>
          </w:tcPr>
          <w:p w14:paraId="3F31C3CC"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1.1347</w:t>
            </w:r>
          </w:p>
        </w:tc>
        <w:tc>
          <w:tcPr>
            <w:tcW w:w="1229" w:type="dxa"/>
            <w:tcBorders>
              <w:top w:val="nil"/>
              <w:left w:val="nil"/>
              <w:bottom w:val="nil"/>
              <w:right w:val="single" w:sz="4" w:space="0" w:color="auto"/>
            </w:tcBorders>
            <w:noWrap/>
            <w:vAlign w:val="center"/>
          </w:tcPr>
          <w:p w14:paraId="733144F8"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1.2278</w:t>
            </w:r>
          </w:p>
        </w:tc>
      </w:tr>
      <w:tr w:rsidR="00F52111" w:rsidRPr="00BC31E0" w14:paraId="56D9F560" w14:textId="77777777" w:rsidTr="004736F2">
        <w:trPr>
          <w:cantSplit/>
          <w:jc w:val="center"/>
        </w:trPr>
        <w:tc>
          <w:tcPr>
            <w:tcW w:w="851" w:type="dxa"/>
            <w:vMerge/>
            <w:tcBorders>
              <w:left w:val="single" w:sz="4" w:space="0" w:color="auto"/>
              <w:right w:val="single" w:sz="4" w:space="0" w:color="auto"/>
            </w:tcBorders>
            <w:noWrap/>
            <w:vAlign w:val="center"/>
          </w:tcPr>
          <w:p w14:paraId="79A9AFC9" w14:textId="77777777" w:rsidR="00F52111" w:rsidRPr="00BC31E0" w:rsidRDefault="00F52111" w:rsidP="004736F2">
            <w:pPr>
              <w:adjustRightInd w:val="0"/>
              <w:snapToGrid w:val="0"/>
              <w:jc w:val="center"/>
              <w:rPr>
                <w:rFonts w:ascii="ＭＳ 明朝" w:hAnsi="ＭＳ 明朝"/>
                <w:sz w:val="18"/>
                <w:szCs w:val="18"/>
              </w:rPr>
            </w:pPr>
          </w:p>
        </w:tc>
        <w:tc>
          <w:tcPr>
            <w:tcW w:w="850" w:type="dxa"/>
            <w:tcBorders>
              <w:top w:val="nil"/>
              <w:left w:val="nil"/>
              <w:bottom w:val="nil"/>
              <w:right w:val="nil"/>
            </w:tcBorders>
            <w:noWrap/>
            <w:vAlign w:val="center"/>
          </w:tcPr>
          <w:p w14:paraId="7DC9B7B0"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0.50</w:t>
            </w:r>
          </w:p>
        </w:tc>
        <w:tc>
          <w:tcPr>
            <w:tcW w:w="1228" w:type="dxa"/>
            <w:tcBorders>
              <w:top w:val="nil"/>
              <w:left w:val="single" w:sz="4" w:space="0" w:color="auto"/>
              <w:bottom w:val="nil"/>
              <w:right w:val="nil"/>
            </w:tcBorders>
            <w:noWrap/>
            <w:vAlign w:val="center"/>
          </w:tcPr>
          <w:p w14:paraId="3E98DCF0" w14:textId="77777777" w:rsidR="00F52111" w:rsidRPr="00BC31E0" w:rsidRDefault="00F52111" w:rsidP="004736F2">
            <w:pPr>
              <w:adjustRightInd w:val="0"/>
              <w:snapToGrid w:val="0"/>
              <w:jc w:val="center"/>
              <w:rPr>
                <w:rFonts w:ascii="ＭＳ 明朝" w:hAnsi="ＭＳ 明朝"/>
                <w:sz w:val="18"/>
                <w:szCs w:val="18"/>
              </w:rPr>
            </w:pPr>
            <w:r w:rsidRPr="00BC31E0">
              <w:rPr>
                <w:rFonts w:ascii="ＭＳ 明朝" w:hAnsi="ＭＳ 明朝"/>
                <w:sz w:val="18"/>
                <w:szCs w:val="18"/>
              </w:rPr>
              <w:t>―</w:t>
            </w:r>
          </w:p>
        </w:tc>
        <w:tc>
          <w:tcPr>
            <w:tcW w:w="1229" w:type="dxa"/>
            <w:tcBorders>
              <w:top w:val="nil"/>
              <w:left w:val="nil"/>
              <w:bottom w:val="nil"/>
              <w:right w:val="nil"/>
            </w:tcBorders>
            <w:noWrap/>
            <w:vAlign w:val="center"/>
          </w:tcPr>
          <w:p w14:paraId="0960C2BA"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0.7772</w:t>
            </w:r>
          </w:p>
        </w:tc>
        <w:tc>
          <w:tcPr>
            <w:tcW w:w="1228" w:type="dxa"/>
            <w:tcBorders>
              <w:top w:val="nil"/>
              <w:left w:val="nil"/>
              <w:bottom w:val="nil"/>
              <w:right w:val="nil"/>
            </w:tcBorders>
            <w:noWrap/>
            <w:vAlign w:val="center"/>
          </w:tcPr>
          <w:p w14:paraId="601AFD62"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0.9619</w:t>
            </w:r>
          </w:p>
        </w:tc>
        <w:tc>
          <w:tcPr>
            <w:tcW w:w="1229" w:type="dxa"/>
            <w:tcBorders>
              <w:top w:val="nil"/>
              <w:left w:val="nil"/>
              <w:bottom w:val="nil"/>
              <w:right w:val="nil"/>
            </w:tcBorders>
            <w:noWrap/>
            <w:vAlign w:val="center"/>
          </w:tcPr>
          <w:p w14:paraId="06779210"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1.0896</w:t>
            </w:r>
          </w:p>
        </w:tc>
        <w:tc>
          <w:tcPr>
            <w:tcW w:w="1228" w:type="dxa"/>
            <w:tcBorders>
              <w:top w:val="nil"/>
              <w:left w:val="nil"/>
              <w:bottom w:val="nil"/>
              <w:right w:val="nil"/>
            </w:tcBorders>
            <w:noWrap/>
            <w:vAlign w:val="center"/>
          </w:tcPr>
          <w:p w14:paraId="342B3426"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1.1902</w:t>
            </w:r>
          </w:p>
        </w:tc>
        <w:tc>
          <w:tcPr>
            <w:tcW w:w="1229" w:type="dxa"/>
            <w:tcBorders>
              <w:top w:val="nil"/>
              <w:left w:val="nil"/>
              <w:bottom w:val="nil"/>
              <w:right w:val="single" w:sz="4" w:space="0" w:color="auto"/>
            </w:tcBorders>
            <w:noWrap/>
            <w:vAlign w:val="center"/>
          </w:tcPr>
          <w:p w14:paraId="787C6274"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1.2746</w:t>
            </w:r>
          </w:p>
        </w:tc>
      </w:tr>
      <w:tr w:rsidR="00F52111" w:rsidRPr="00BC31E0" w14:paraId="20F3F532" w14:textId="77777777" w:rsidTr="004736F2">
        <w:trPr>
          <w:cantSplit/>
          <w:jc w:val="center"/>
        </w:trPr>
        <w:tc>
          <w:tcPr>
            <w:tcW w:w="851" w:type="dxa"/>
            <w:vMerge/>
            <w:tcBorders>
              <w:left w:val="single" w:sz="4" w:space="0" w:color="auto"/>
              <w:right w:val="single" w:sz="4" w:space="0" w:color="auto"/>
            </w:tcBorders>
            <w:noWrap/>
            <w:vAlign w:val="center"/>
          </w:tcPr>
          <w:p w14:paraId="02A739D2" w14:textId="77777777" w:rsidR="00F52111" w:rsidRPr="00BC31E0" w:rsidRDefault="00F52111" w:rsidP="004736F2">
            <w:pPr>
              <w:adjustRightInd w:val="0"/>
              <w:snapToGrid w:val="0"/>
              <w:jc w:val="center"/>
              <w:rPr>
                <w:rFonts w:ascii="ＭＳ 明朝" w:hAnsi="ＭＳ 明朝"/>
                <w:sz w:val="18"/>
                <w:szCs w:val="18"/>
              </w:rPr>
            </w:pPr>
          </w:p>
        </w:tc>
        <w:tc>
          <w:tcPr>
            <w:tcW w:w="850" w:type="dxa"/>
            <w:tcBorders>
              <w:top w:val="nil"/>
              <w:left w:val="nil"/>
              <w:bottom w:val="nil"/>
              <w:right w:val="nil"/>
            </w:tcBorders>
            <w:noWrap/>
            <w:vAlign w:val="center"/>
          </w:tcPr>
          <w:p w14:paraId="6461EDE0"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0.60</w:t>
            </w:r>
          </w:p>
        </w:tc>
        <w:tc>
          <w:tcPr>
            <w:tcW w:w="1228" w:type="dxa"/>
            <w:tcBorders>
              <w:top w:val="nil"/>
              <w:left w:val="single" w:sz="4" w:space="0" w:color="auto"/>
              <w:bottom w:val="nil"/>
              <w:right w:val="nil"/>
            </w:tcBorders>
            <w:noWrap/>
            <w:vAlign w:val="center"/>
          </w:tcPr>
          <w:p w14:paraId="1BEF9A3F" w14:textId="77777777" w:rsidR="00F52111" w:rsidRPr="00BC31E0" w:rsidRDefault="00F52111" w:rsidP="004736F2">
            <w:pPr>
              <w:adjustRightInd w:val="0"/>
              <w:snapToGrid w:val="0"/>
              <w:jc w:val="center"/>
              <w:rPr>
                <w:rFonts w:ascii="ＭＳ 明朝" w:hAnsi="ＭＳ 明朝"/>
                <w:sz w:val="18"/>
                <w:szCs w:val="18"/>
              </w:rPr>
            </w:pPr>
            <w:r w:rsidRPr="00BC31E0">
              <w:rPr>
                <w:rFonts w:ascii="ＭＳ 明朝" w:hAnsi="ＭＳ 明朝"/>
                <w:sz w:val="18"/>
                <w:szCs w:val="18"/>
              </w:rPr>
              <w:t>―</w:t>
            </w:r>
          </w:p>
        </w:tc>
        <w:tc>
          <w:tcPr>
            <w:tcW w:w="1229" w:type="dxa"/>
            <w:tcBorders>
              <w:top w:val="nil"/>
              <w:left w:val="nil"/>
              <w:bottom w:val="nil"/>
              <w:right w:val="nil"/>
            </w:tcBorders>
            <w:noWrap/>
            <w:vAlign w:val="center"/>
          </w:tcPr>
          <w:p w14:paraId="51FD34A2"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0.8859</w:t>
            </w:r>
          </w:p>
        </w:tc>
        <w:tc>
          <w:tcPr>
            <w:tcW w:w="1228" w:type="dxa"/>
            <w:tcBorders>
              <w:top w:val="nil"/>
              <w:left w:val="nil"/>
              <w:bottom w:val="nil"/>
              <w:right w:val="nil"/>
            </w:tcBorders>
            <w:noWrap/>
            <w:vAlign w:val="center"/>
          </w:tcPr>
          <w:p w14:paraId="79D90B35"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1.0560</w:t>
            </w:r>
          </w:p>
        </w:tc>
        <w:tc>
          <w:tcPr>
            <w:tcW w:w="1229" w:type="dxa"/>
            <w:tcBorders>
              <w:top w:val="nil"/>
              <w:left w:val="nil"/>
              <w:bottom w:val="nil"/>
              <w:right w:val="nil"/>
            </w:tcBorders>
            <w:noWrap/>
            <w:vAlign w:val="center"/>
          </w:tcPr>
          <w:p w14:paraId="168FE0B9"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1.1701</w:t>
            </w:r>
          </w:p>
        </w:tc>
        <w:tc>
          <w:tcPr>
            <w:tcW w:w="1228" w:type="dxa"/>
            <w:tcBorders>
              <w:top w:val="nil"/>
              <w:left w:val="nil"/>
              <w:bottom w:val="nil"/>
              <w:right w:val="nil"/>
            </w:tcBorders>
            <w:noWrap/>
            <w:vAlign w:val="center"/>
          </w:tcPr>
          <w:p w14:paraId="28ACE569"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1.2585</w:t>
            </w:r>
          </w:p>
        </w:tc>
        <w:tc>
          <w:tcPr>
            <w:tcW w:w="1229" w:type="dxa"/>
            <w:tcBorders>
              <w:top w:val="nil"/>
              <w:left w:val="nil"/>
              <w:bottom w:val="nil"/>
              <w:right w:val="single" w:sz="4" w:space="0" w:color="auto"/>
            </w:tcBorders>
            <w:noWrap/>
            <w:vAlign w:val="center"/>
          </w:tcPr>
          <w:p w14:paraId="0BE9BC92"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1.3315</w:t>
            </w:r>
          </w:p>
        </w:tc>
      </w:tr>
      <w:tr w:rsidR="00F52111" w:rsidRPr="00BC31E0" w14:paraId="2EBE68C0" w14:textId="77777777" w:rsidTr="004736F2">
        <w:trPr>
          <w:cantSplit/>
          <w:jc w:val="center"/>
        </w:trPr>
        <w:tc>
          <w:tcPr>
            <w:tcW w:w="851" w:type="dxa"/>
            <w:vMerge/>
            <w:tcBorders>
              <w:left w:val="single" w:sz="4" w:space="0" w:color="auto"/>
              <w:right w:val="single" w:sz="4" w:space="0" w:color="auto"/>
            </w:tcBorders>
            <w:noWrap/>
            <w:vAlign w:val="center"/>
          </w:tcPr>
          <w:p w14:paraId="4A1255EE" w14:textId="77777777" w:rsidR="00F52111" w:rsidRPr="00BC31E0" w:rsidRDefault="00F52111" w:rsidP="004736F2">
            <w:pPr>
              <w:adjustRightInd w:val="0"/>
              <w:snapToGrid w:val="0"/>
              <w:jc w:val="center"/>
              <w:rPr>
                <w:rFonts w:ascii="ＭＳ 明朝" w:hAnsi="ＭＳ 明朝"/>
                <w:sz w:val="18"/>
                <w:szCs w:val="18"/>
              </w:rPr>
            </w:pPr>
          </w:p>
        </w:tc>
        <w:tc>
          <w:tcPr>
            <w:tcW w:w="850" w:type="dxa"/>
            <w:tcBorders>
              <w:top w:val="nil"/>
              <w:left w:val="nil"/>
              <w:bottom w:val="nil"/>
              <w:right w:val="nil"/>
            </w:tcBorders>
            <w:noWrap/>
            <w:vAlign w:val="center"/>
          </w:tcPr>
          <w:p w14:paraId="3C777257"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0.70</w:t>
            </w:r>
          </w:p>
        </w:tc>
        <w:tc>
          <w:tcPr>
            <w:tcW w:w="1228" w:type="dxa"/>
            <w:tcBorders>
              <w:top w:val="nil"/>
              <w:left w:val="single" w:sz="4" w:space="0" w:color="auto"/>
              <w:bottom w:val="nil"/>
              <w:right w:val="nil"/>
            </w:tcBorders>
            <w:noWrap/>
            <w:vAlign w:val="center"/>
          </w:tcPr>
          <w:p w14:paraId="4D6A3624" w14:textId="77777777" w:rsidR="00F52111" w:rsidRPr="00BC31E0" w:rsidRDefault="00F52111" w:rsidP="004736F2">
            <w:pPr>
              <w:adjustRightInd w:val="0"/>
              <w:snapToGrid w:val="0"/>
              <w:jc w:val="center"/>
              <w:rPr>
                <w:rFonts w:ascii="ＭＳ 明朝" w:hAnsi="ＭＳ 明朝"/>
                <w:sz w:val="18"/>
                <w:szCs w:val="18"/>
              </w:rPr>
            </w:pPr>
            <w:r w:rsidRPr="00BC31E0">
              <w:rPr>
                <w:rFonts w:ascii="ＭＳ 明朝" w:hAnsi="ＭＳ 明朝"/>
                <w:sz w:val="18"/>
                <w:szCs w:val="18"/>
              </w:rPr>
              <w:t>―</w:t>
            </w:r>
          </w:p>
        </w:tc>
        <w:tc>
          <w:tcPr>
            <w:tcW w:w="1229" w:type="dxa"/>
            <w:tcBorders>
              <w:top w:val="nil"/>
              <w:left w:val="nil"/>
              <w:bottom w:val="nil"/>
              <w:right w:val="nil"/>
            </w:tcBorders>
            <w:noWrap/>
            <w:vAlign w:val="center"/>
          </w:tcPr>
          <w:p w14:paraId="7EABE84E"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1.0283</w:t>
            </w:r>
          </w:p>
        </w:tc>
        <w:tc>
          <w:tcPr>
            <w:tcW w:w="1228" w:type="dxa"/>
            <w:tcBorders>
              <w:top w:val="nil"/>
              <w:left w:val="nil"/>
              <w:bottom w:val="nil"/>
              <w:right w:val="nil"/>
            </w:tcBorders>
            <w:noWrap/>
            <w:vAlign w:val="center"/>
          </w:tcPr>
          <w:p w14:paraId="23FBE163"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1.1740</w:t>
            </w:r>
          </w:p>
        </w:tc>
        <w:tc>
          <w:tcPr>
            <w:tcW w:w="1229" w:type="dxa"/>
            <w:tcBorders>
              <w:top w:val="nil"/>
              <w:left w:val="nil"/>
              <w:bottom w:val="nil"/>
              <w:right w:val="nil"/>
            </w:tcBorders>
            <w:noWrap/>
            <w:vAlign w:val="center"/>
          </w:tcPr>
          <w:p w14:paraId="11025FEB"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1.2686</w:t>
            </w:r>
          </w:p>
        </w:tc>
        <w:tc>
          <w:tcPr>
            <w:tcW w:w="1228" w:type="dxa"/>
            <w:tcBorders>
              <w:top w:val="nil"/>
              <w:left w:val="nil"/>
              <w:bottom w:val="nil"/>
              <w:right w:val="nil"/>
            </w:tcBorders>
            <w:noWrap/>
            <w:vAlign w:val="center"/>
          </w:tcPr>
          <w:p w14:paraId="232682C1"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1.3401</w:t>
            </w:r>
          </w:p>
        </w:tc>
        <w:tc>
          <w:tcPr>
            <w:tcW w:w="1229" w:type="dxa"/>
            <w:tcBorders>
              <w:top w:val="nil"/>
              <w:left w:val="nil"/>
              <w:bottom w:val="nil"/>
              <w:right w:val="single" w:sz="4" w:space="0" w:color="auto"/>
            </w:tcBorders>
            <w:noWrap/>
            <w:vAlign w:val="center"/>
          </w:tcPr>
          <w:p w14:paraId="1772EB6D"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1.3984</w:t>
            </w:r>
          </w:p>
        </w:tc>
      </w:tr>
      <w:tr w:rsidR="00F52111" w:rsidRPr="00BC31E0" w14:paraId="0D2E44AA" w14:textId="77777777" w:rsidTr="004736F2">
        <w:trPr>
          <w:cantSplit/>
          <w:jc w:val="center"/>
        </w:trPr>
        <w:tc>
          <w:tcPr>
            <w:tcW w:w="851" w:type="dxa"/>
            <w:vMerge/>
            <w:tcBorders>
              <w:left w:val="single" w:sz="4" w:space="0" w:color="auto"/>
              <w:bottom w:val="double" w:sz="6" w:space="0" w:color="auto"/>
              <w:right w:val="single" w:sz="4" w:space="0" w:color="auto"/>
            </w:tcBorders>
            <w:noWrap/>
            <w:vAlign w:val="center"/>
          </w:tcPr>
          <w:p w14:paraId="59C55169" w14:textId="77777777" w:rsidR="00F52111" w:rsidRPr="00BC31E0" w:rsidRDefault="00F52111" w:rsidP="004736F2">
            <w:pPr>
              <w:adjustRightInd w:val="0"/>
              <w:snapToGrid w:val="0"/>
              <w:jc w:val="center"/>
              <w:rPr>
                <w:rFonts w:ascii="ＭＳ 明朝" w:hAnsi="ＭＳ 明朝"/>
                <w:sz w:val="18"/>
                <w:szCs w:val="18"/>
              </w:rPr>
            </w:pPr>
          </w:p>
        </w:tc>
        <w:tc>
          <w:tcPr>
            <w:tcW w:w="850" w:type="dxa"/>
            <w:tcBorders>
              <w:top w:val="nil"/>
              <w:left w:val="nil"/>
              <w:bottom w:val="double" w:sz="6" w:space="0" w:color="auto"/>
              <w:right w:val="nil"/>
            </w:tcBorders>
            <w:noWrap/>
            <w:vAlign w:val="center"/>
          </w:tcPr>
          <w:p w14:paraId="01D103D0"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0.80</w:t>
            </w:r>
          </w:p>
        </w:tc>
        <w:tc>
          <w:tcPr>
            <w:tcW w:w="1228" w:type="dxa"/>
            <w:tcBorders>
              <w:top w:val="nil"/>
              <w:left w:val="single" w:sz="4" w:space="0" w:color="auto"/>
              <w:bottom w:val="double" w:sz="6" w:space="0" w:color="auto"/>
              <w:right w:val="nil"/>
            </w:tcBorders>
            <w:noWrap/>
            <w:vAlign w:val="center"/>
          </w:tcPr>
          <w:p w14:paraId="4A8BEDCC" w14:textId="77777777" w:rsidR="00F52111" w:rsidRPr="00BC31E0" w:rsidRDefault="00F52111" w:rsidP="004736F2">
            <w:pPr>
              <w:adjustRightInd w:val="0"/>
              <w:snapToGrid w:val="0"/>
              <w:jc w:val="center"/>
              <w:rPr>
                <w:rFonts w:ascii="ＭＳ 明朝" w:hAnsi="ＭＳ 明朝"/>
                <w:sz w:val="18"/>
                <w:szCs w:val="18"/>
              </w:rPr>
            </w:pPr>
            <w:r w:rsidRPr="00BC31E0">
              <w:rPr>
                <w:rFonts w:ascii="ＭＳ 明朝" w:hAnsi="ＭＳ 明朝"/>
                <w:sz w:val="18"/>
                <w:szCs w:val="18"/>
              </w:rPr>
              <w:t>―</w:t>
            </w:r>
          </w:p>
        </w:tc>
        <w:tc>
          <w:tcPr>
            <w:tcW w:w="1229" w:type="dxa"/>
            <w:tcBorders>
              <w:top w:val="nil"/>
              <w:left w:val="nil"/>
              <w:bottom w:val="double" w:sz="6" w:space="0" w:color="auto"/>
              <w:right w:val="nil"/>
            </w:tcBorders>
            <w:noWrap/>
            <w:vAlign w:val="center"/>
          </w:tcPr>
          <w:p w14:paraId="752E7D88"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1.2144</w:t>
            </w:r>
          </w:p>
        </w:tc>
        <w:tc>
          <w:tcPr>
            <w:tcW w:w="1228" w:type="dxa"/>
            <w:tcBorders>
              <w:top w:val="nil"/>
              <w:left w:val="nil"/>
              <w:bottom w:val="double" w:sz="6" w:space="0" w:color="auto"/>
              <w:right w:val="nil"/>
            </w:tcBorders>
            <w:noWrap/>
            <w:vAlign w:val="center"/>
          </w:tcPr>
          <w:p w14:paraId="1392B3C2"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1.3208</w:t>
            </w:r>
          </w:p>
        </w:tc>
        <w:tc>
          <w:tcPr>
            <w:tcW w:w="1229" w:type="dxa"/>
            <w:tcBorders>
              <w:top w:val="nil"/>
              <w:left w:val="nil"/>
              <w:bottom w:val="double" w:sz="6" w:space="0" w:color="auto"/>
              <w:right w:val="nil"/>
            </w:tcBorders>
            <w:noWrap/>
            <w:vAlign w:val="center"/>
          </w:tcPr>
          <w:p w14:paraId="7E06DBEF"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1.3871</w:t>
            </w:r>
          </w:p>
        </w:tc>
        <w:tc>
          <w:tcPr>
            <w:tcW w:w="1228" w:type="dxa"/>
            <w:tcBorders>
              <w:top w:val="nil"/>
              <w:left w:val="nil"/>
              <w:bottom w:val="double" w:sz="6" w:space="0" w:color="auto"/>
              <w:right w:val="nil"/>
            </w:tcBorders>
            <w:noWrap/>
            <w:vAlign w:val="center"/>
          </w:tcPr>
          <w:p w14:paraId="68306472"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1.4361</w:t>
            </w:r>
          </w:p>
        </w:tc>
        <w:tc>
          <w:tcPr>
            <w:tcW w:w="1229" w:type="dxa"/>
            <w:tcBorders>
              <w:top w:val="nil"/>
              <w:left w:val="nil"/>
              <w:bottom w:val="double" w:sz="6" w:space="0" w:color="auto"/>
              <w:right w:val="single" w:sz="4" w:space="0" w:color="auto"/>
            </w:tcBorders>
            <w:noWrap/>
            <w:vAlign w:val="center"/>
          </w:tcPr>
          <w:p w14:paraId="238A56BD"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1.4753</w:t>
            </w:r>
          </w:p>
        </w:tc>
      </w:tr>
      <w:tr w:rsidR="00F52111" w:rsidRPr="00BC31E0" w14:paraId="63EDF93E" w14:textId="77777777" w:rsidTr="004736F2">
        <w:trPr>
          <w:cantSplit/>
          <w:jc w:val="center"/>
        </w:trPr>
        <w:tc>
          <w:tcPr>
            <w:tcW w:w="851" w:type="dxa"/>
            <w:vMerge w:val="restart"/>
            <w:tcBorders>
              <w:top w:val="nil"/>
              <w:left w:val="single" w:sz="4" w:space="0" w:color="auto"/>
              <w:right w:val="single" w:sz="4" w:space="0" w:color="auto"/>
            </w:tcBorders>
            <w:noWrap/>
            <w:vAlign w:val="center"/>
          </w:tcPr>
          <w:p w14:paraId="430CE37B" w14:textId="77777777" w:rsidR="00F52111" w:rsidRPr="00BC31E0" w:rsidRDefault="00A51873" w:rsidP="004736F2">
            <w:pPr>
              <w:adjustRightInd w:val="0"/>
              <w:snapToGrid w:val="0"/>
              <w:jc w:val="center"/>
              <w:rPr>
                <w:rFonts w:ascii="ＭＳ 明朝" w:hAnsi="ＭＳ 明朝"/>
              </w:rPr>
            </w:pPr>
            <m:oMathPara>
              <m:oMath>
                <m:sSub>
                  <m:sSubPr>
                    <m:ctrlPr>
                      <w:rPr>
                        <w:rFonts w:ascii="Cambria Math" w:hAnsi="Cambria Math"/>
                      </w:rPr>
                    </m:ctrlPr>
                  </m:sSubPr>
                  <m:e>
                    <m:r>
                      <w:rPr>
                        <w:rFonts w:ascii="Cambria Math" w:hAnsi="Cambria Math"/>
                      </w:rPr>
                      <m:t>G</m:t>
                    </m:r>
                  </m:e>
                  <m:sub>
                    <m:r>
                      <w:rPr>
                        <w:rFonts w:ascii="Cambria Math" w:hAnsi="Cambria Math"/>
                      </w:rPr>
                      <m:t>1</m:t>
                    </m:r>
                  </m:sub>
                </m:sSub>
              </m:oMath>
            </m:oMathPara>
          </w:p>
        </w:tc>
        <w:tc>
          <w:tcPr>
            <w:tcW w:w="850" w:type="dxa"/>
            <w:tcBorders>
              <w:top w:val="nil"/>
              <w:left w:val="nil"/>
              <w:bottom w:val="nil"/>
              <w:right w:val="nil"/>
            </w:tcBorders>
            <w:noWrap/>
            <w:vAlign w:val="center"/>
          </w:tcPr>
          <w:p w14:paraId="607FC896"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0.00</w:t>
            </w:r>
          </w:p>
        </w:tc>
        <w:tc>
          <w:tcPr>
            <w:tcW w:w="1228" w:type="dxa"/>
            <w:tcBorders>
              <w:top w:val="nil"/>
              <w:left w:val="single" w:sz="4" w:space="0" w:color="auto"/>
              <w:bottom w:val="nil"/>
              <w:right w:val="nil"/>
            </w:tcBorders>
            <w:noWrap/>
            <w:vAlign w:val="center"/>
          </w:tcPr>
          <w:p w14:paraId="213F19B5" w14:textId="77777777" w:rsidR="00F52111" w:rsidRPr="00BC31E0" w:rsidRDefault="00F52111" w:rsidP="004736F2">
            <w:pPr>
              <w:adjustRightInd w:val="0"/>
              <w:snapToGrid w:val="0"/>
              <w:jc w:val="center"/>
              <w:rPr>
                <w:rFonts w:ascii="ＭＳ 明朝" w:hAnsi="ＭＳ 明朝"/>
                <w:sz w:val="18"/>
                <w:szCs w:val="18"/>
              </w:rPr>
            </w:pPr>
            <w:r w:rsidRPr="00BC31E0">
              <w:rPr>
                <w:rFonts w:ascii="ＭＳ 明朝" w:hAnsi="ＭＳ 明朝"/>
                <w:sz w:val="18"/>
                <w:szCs w:val="18"/>
              </w:rPr>
              <w:t>―</w:t>
            </w:r>
          </w:p>
        </w:tc>
        <w:tc>
          <w:tcPr>
            <w:tcW w:w="1229" w:type="dxa"/>
            <w:tcBorders>
              <w:top w:val="nil"/>
              <w:left w:val="nil"/>
              <w:bottom w:val="nil"/>
              <w:right w:val="nil"/>
            </w:tcBorders>
            <w:noWrap/>
            <w:vAlign w:val="center"/>
          </w:tcPr>
          <w:p w14:paraId="0CC9E7DC"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0.0725</w:t>
            </w:r>
          </w:p>
        </w:tc>
        <w:tc>
          <w:tcPr>
            <w:tcW w:w="1228" w:type="dxa"/>
            <w:tcBorders>
              <w:top w:val="nil"/>
              <w:left w:val="nil"/>
              <w:bottom w:val="nil"/>
              <w:right w:val="nil"/>
            </w:tcBorders>
            <w:noWrap/>
            <w:vAlign w:val="center"/>
          </w:tcPr>
          <w:p w14:paraId="38D091C1"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0.1038</w:t>
            </w:r>
          </w:p>
        </w:tc>
        <w:tc>
          <w:tcPr>
            <w:tcW w:w="1229" w:type="dxa"/>
            <w:tcBorders>
              <w:top w:val="nil"/>
              <w:left w:val="nil"/>
              <w:bottom w:val="nil"/>
              <w:right w:val="nil"/>
            </w:tcBorders>
            <w:noWrap/>
            <w:vAlign w:val="center"/>
          </w:tcPr>
          <w:p w14:paraId="347460BF"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0.1280</w:t>
            </w:r>
          </w:p>
        </w:tc>
        <w:tc>
          <w:tcPr>
            <w:tcW w:w="1228" w:type="dxa"/>
            <w:tcBorders>
              <w:top w:val="nil"/>
              <w:left w:val="nil"/>
              <w:bottom w:val="nil"/>
              <w:right w:val="nil"/>
            </w:tcBorders>
            <w:noWrap/>
            <w:vAlign w:val="center"/>
          </w:tcPr>
          <w:p w14:paraId="6FB04BBC"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0.1484</w:t>
            </w:r>
          </w:p>
        </w:tc>
        <w:tc>
          <w:tcPr>
            <w:tcW w:w="1229" w:type="dxa"/>
            <w:tcBorders>
              <w:top w:val="nil"/>
              <w:left w:val="nil"/>
              <w:bottom w:val="nil"/>
              <w:right w:val="single" w:sz="4" w:space="0" w:color="auto"/>
            </w:tcBorders>
            <w:noWrap/>
            <w:vAlign w:val="center"/>
          </w:tcPr>
          <w:p w14:paraId="59566F05"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0.1665</w:t>
            </w:r>
          </w:p>
        </w:tc>
      </w:tr>
      <w:tr w:rsidR="00F52111" w:rsidRPr="00BC31E0" w14:paraId="5DDD730E" w14:textId="77777777" w:rsidTr="004736F2">
        <w:trPr>
          <w:cantSplit/>
          <w:jc w:val="center"/>
        </w:trPr>
        <w:tc>
          <w:tcPr>
            <w:tcW w:w="851" w:type="dxa"/>
            <w:vMerge/>
            <w:tcBorders>
              <w:left w:val="single" w:sz="4" w:space="0" w:color="auto"/>
              <w:right w:val="single" w:sz="4" w:space="0" w:color="auto"/>
            </w:tcBorders>
            <w:noWrap/>
            <w:vAlign w:val="center"/>
          </w:tcPr>
          <w:p w14:paraId="3B7FA4FA" w14:textId="77777777" w:rsidR="00F52111" w:rsidRPr="00BC31E0" w:rsidRDefault="00F52111" w:rsidP="004736F2">
            <w:pPr>
              <w:adjustRightInd w:val="0"/>
              <w:snapToGrid w:val="0"/>
              <w:jc w:val="center"/>
              <w:rPr>
                <w:rFonts w:ascii="ＭＳ 明朝" w:hAnsi="ＭＳ 明朝"/>
                <w:sz w:val="18"/>
                <w:szCs w:val="18"/>
              </w:rPr>
            </w:pPr>
          </w:p>
        </w:tc>
        <w:tc>
          <w:tcPr>
            <w:tcW w:w="850" w:type="dxa"/>
            <w:tcBorders>
              <w:top w:val="nil"/>
              <w:left w:val="nil"/>
              <w:bottom w:val="nil"/>
              <w:right w:val="nil"/>
            </w:tcBorders>
            <w:noWrap/>
            <w:vAlign w:val="center"/>
          </w:tcPr>
          <w:p w14:paraId="2AE8E26A"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0.05</w:t>
            </w:r>
          </w:p>
        </w:tc>
        <w:tc>
          <w:tcPr>
            <w:tcW w:w="1228" w:type="dxa"/>
            <w:tcBorders>
              <w:top w:val="nil"/>
              <w:left w:val="single" w:sz="4" w:space="0" w:color="auto"/>
              <w:bottom w:val="nil"/>
              <w:right w:val="nil"/>
            </w:tcBorders>
            <w:noWrap/>
            <w:vAlign w:val="center"/>
          </w:tcPr>
          <w:p w14:paraId="4342BCF2" w14:textId="77777777" w:rsidR="00F52111" w:rsidRPr="00BC31E0" w:rsidRDefault="00F52111" w:rsidP="004736F2">
            <w:pPr>
              <w:adjustRightInd w:val="0"/>
              <w:snapToGrid w:val="0"/>
              <w:jc w:val="center"/>
              <w:rPr>
                <w:rFonts w:ascii="ＭＳ 明朝" w:hAnsi="ＭＳ 明朝"/>
                <w:sz w:val="18"/>
                <w:szCs w:val="18"/>
              </w:rPr>
            </w:pPr>
            <w:r w:rsidRPr="00BC31E0">
              <w:rPr>
                <w:rFonts w:ascii="ＭＳ 明朝" w:hAnsi="ＭＳ 明朝"/>
                <w:sz w:val="18"/>
                <w:szCs w:val="18"/>
              </w:rPr>
              <w:t>―</w:t>
            </w:r>
          </w:p>
        </w:tc>
        <w:tc>
          <w:tcPr>
            <w:tcW w:w="1229" w:type="dxa"/>
            <w:tcBorders>
              <w:top w:val="nil"/>
              <w:left w:val="nil"/>
              <w:bottom w:val="nil"/>
              <w:right w:val="nil"/>
            </w:tcBorders>
            <w:noWrap/>
            <w:vAlign w:val="center"/>
          </w:tcPr>
          <w:p w14:paraId="725771D8"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0.0744</w:t>
            </w:r>
          </w:p>
        </w:tc>
        <w:tc>
          <w:tcPr>
            <w:tcW w:w="1228" w:type="dxa"/>
            <w:tcBorders>
              <w:top w:val="nil"/>
              <w:left w:val="nil"/>
              <w:bottom w:val="nil"/>
              <w:right w:val="nil"/>
            </w:tcBorders>
            <w:noWrap/>
            <w:vAlign w:val="center"/>
          </w:tcPr>
          <w:p w14:paraId="1FB754D2"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0.1075</w:t>
            </w:r>
          </w:p>
        </w:tc>
        <w:tc>
          <w:tcPr>
            <w:tcW w:w="1229" w:type="dxa"/>
            <w:tcBorders>
              <w:top w:val="nil"/>
              <w:left w:val="nil"/>
              <w:bottom w:val="nil"/>
              <w:right w:val="nil"/>
            </w:tcBorders>
            <w:noWrap/>
            <w:vAlign w:val="center"/>
          </w:tcPr>
          <w:p w14:paraId="573DBEC0"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0.1331</w:t>
            </w:r>
          </w:p>
        </w:tc>
        <w:tc>
          <w:tcPr>
            <w:tcW w:w="1228" w:type="dxa"/>
            <w:tcBorders>
              <w:top w:val="nil"/>
              <w:left w:val="nil"/>
              <w:bottom w:val="nil"/>
              <w:right w:val="nil"/>
            </w:tcBorders>
            <w:noWrap/>
            <w:vAlign w:val="center"/>
          </w:tcPr>
          <w:p w14:paraId="76CBAA02"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0.1548</w:t>
            </w:r>
          </w:p>
        </w:tc>
        <w:tc>
          <w:tcPr>
            <w:tcW w:w="1229" w:type="dxa"/>
            <w:tcBorders>
              <w:top w:val="nil"/>
              <w:left w:val="nil"/>
              <w:bottom w:val="nil"/>
              <w:right w:val="single" w:sz="4" w:space="0" w:color="auto"/>
            </w:tcBorders>
            <w:noWrap/>
            <w:vAlign w:val="center"/>
          </w:tcPr>
          <w:p w14:paraId="7E45FBE5"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0.1740</w:t>
            </w:r>
          </w:p>
        </w:tc>
      </w:tr>
      <w:tr w:rsidR="00F52111" w:rsidRPr="00BC31E0" w14:paraId="016E0760" w14:textId="77777777" w:rsidTr="004736F2">
        <w:trPr>
          <w:cantSplit/>
          <w:jc w:val="center"/>
        </w:trPr>
        <w:tc>
          <w:tcPr>
            <w:tcW w:w="851" w:type="dxa"/>
            <w:vMerge/>
            <w:tcBorders>
              <w:left w:val="single" w:sz="4" w:space="0" w:color="auto"/>
              <w:right w:val="single" w:sz="4" w:space="0" w:color="auto"/>
            </w:tcBorders>
            <w:noWrap/>
            <w:vAlign w:val="center"/>
          </w:tcPr>
          <w:p w14:paraId="1393CB76" w14:textId="77777777" w:rsidR="00F52111" w:rsidRPr="00BC31E0" w:rsidRDefault="00F52111" w:rsidP="004736F2">
            <w:pPr>
              <w:adjustRightInd w:val="0"/>
              <w:snapToGrid w:val="0"/>
              <w:jc w:val="center"/>
              <w:rPr>
                <w:rFonts w:ascii="ＭＳ 明朝" w:hAnsi="ＭＳ 明朝"/>
                <w:sz w:val="18"/>
                <w:szCs w:val="18"/>
              </w:rPr>
            </w:pPr>
          </w:p>
        </w:tc>
        <w:tc>
          <w:tcPr>
            <w:tcW w:w="850" w:type="dxa"/>
            <w:tcBorders>
              <w:top w:val="nil"/>
              <w:left w:val="nil"/>
              <w:bottom w:val="nil"/>
              <w:right w:val="nil"/>
            </w:tcBorders>
            <w:noWrap/>
            <w:vAlign w:val="center"/>
          </w:tcPr>
          <w:p w14:paraId="27F12C82"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0.10</w:t>
            </w:r>
          </w:p>
        </w:tc>
        <w:tc>
          <w:tcPr>
            <w:tcW w:w="1228" w:type="dxa"/>
            <w:tcBorders>
              <w:top w:val="nil"/>
              <w:left w:val="single" w:sz="4" w:space="0" w:color="auto"/>
              <w:bottom w:val="nil"/>
              <w:right w:val="nil"/>
            </w:tcBorders>
            <w:noWrap/>
            <w:vAlign w:val="center"/>
          </w:tcPr>
          <w:p w14:paraId="6A454B5E" w14:textId="77777777" w:rsidR="00F52111" w:rsidRPr="00BC31E0" w:rsidRDefault="00F52111" w:rsidP="004736F2">
            <w:pPr>
              <w:adjustRightInd w:val="0"/>
              <w:snapToGrid w:val="0"/>
              <w:jc w:val="center"/>
              <w:rPr>
                <w:rFonts w:ascii="ＭＳ 明朝" w:hAnsi="ＭＳ 明朝"/>
                <w:sz w:val="18"/>
                <w:szCs w:val="18"/>
              </w:rPr>
            </w:pPr>
            <w:r w:rsidRPr="00BC31E0">
              <w:rPr>
                <w:rFonts w:ascii="ＭＳ 明朝" w:hAnsi="ＭＳ 明朝"/>
                <w:sz w:val="18"/>
                <w:szCs w:val="18"/>
              </w:rPr>
              <w:t>―</w:t>
            </w:r>
          </w:p>
        </w:tc>
        <w:tc>
          <w:tcPr>
            <w:tcW w:w="1229" w:type="dxa"/>
            <w:tcBorders>
              <w:top w:val="nil"/>
              <w:left w:val="nil"/>
              <w:bottom w:val="nil"/>
              <w:right w:val="nil"/>
            </w:tcBorders>
            <w:noWrap/>
            <w:vAlign w:val="center"/>
          </w:tcPr>
          <w:p w14:paraId="7F6954AC"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0.0771</w:t>
            </w:r>
          </w:p>
        </w:tc>
        <w:tc>
          <w:tcPr>
            <w:tcW w:w="1228" w:type="dxa"/>
            <w:tcBorders>
              <w:top w:val="nil"/>
              <w:left w:val="nil"/>
              <w:bottom w:val="nil"/>
              <w:right w:val="nil"/>
            </w:tcBorders>
            <w:noWrap/>
            <w:vAlign w:val="center"/>
          </w:tcPr>
          <w:p w14:paraId="06E25089"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0.1119</w:t>
            </w:r>
          </w:p>
        </w:tc>
        <w:tc>
          <w:tcPr>
            <w:tcW w:w="1229" w:type="dxa"/>
            <w:tcBorders>
              <w:top w:val="nil"/>
              <w:left w:val="nil"/>
              <w:bottom w:val="nil"/>
              <w:right w:val="nil"/>
            </w:tcBorders>
            <w:noWrap/>
            <w:vAlign w:val="center"/>
          </w:tcPr>
          <w:p w14:paraId="33384999"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0.1387</w:t>
            </w:r>
          </w:p>
        </w:tc>
        <w:tc>
          <w:tcPr>
            <w:tcW w:w="1228" w:type="dxa"/>
            <w:tcBorders>
              <w:top w:val="nil"/>
              <w:left w:val="nil"/>
              <w:bottom w:val="nil"/>
              <w:right w:val="nil"/>
            </w:tcBorders>
            <w:noWrap/>
            <w:vAlign w:val="center"/>
          </w:tcPr>
          <w:p w14:paraId="116C4468"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0.1615</w:t>
            </w:r>
          </w:p>
        </w:tc>
        <w:tc>
          <w:tcPr>
            <w:tcW w:w="1229" w:type="dxa"/>
            <w:tcBorders>
              <w:top w:val="nil"/>
              <w:left w:val="nil"/>
              <w:bottom w:val="nil"/>
              <w:right w:val="single" w:sz="4" w:space="0" w:color="auto"/>
            </w:tcBorders>
            <w:noWrap/>
            <w:vAlign w:val="center"/>
          </w:tcPr>
          <w:p w14:paraId="01890AC0"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0.1816</w:t>
            </w:r>
          </w:p>
        </w:tc>
      </w:tr>
      <w:tr w:rsidR="00F52111" w:rsidRPr="00BC31E0" w14:paraId="60B31A4D" w14:textId="77777777" w:rsidTr="004736F2">
        <w:trPr>
          <w:cantSplit/>
          <w:jc w:val="center"/>
        </w:trPr>
        <w:tc>
          <w:tcPr>
            <w:tcW w:w="851" w:type="dxa"/>
            <w:vMerge/>
            <w:tcBorders>
              <w:left w:val="single" w:sz="4" w:space="0" w:color="auto"/>
              <w:right w:val="single" w:sz="4" w:space="0" w:color="auto"/>
            </w:tcBorders>
            <w:noWrap/>
            <w:vAlign w:val="center"/>
          </w:tcPr>
          <w:p w14:paraId="751D9403" w14:textId="77777777" w:rsidR="00F52111" w:rsidRPr="00BC31E0" w:rsidRDefault="00F52111" w:rsidP="004736F2">
            <w:pPr>
              <w:adjustRightInd w:val="0"/>
              <w:snapToGrid w:val="0"/>
              <w:jc w:val="center"/>
              <w:rPr>
                <w:rFonts w:ascii="ＭＳ 明朝" w:hAnsi="ＭＳ 明朝"/>
                <w:sz w:val="18"/>
                <w:szCs w:val="18"/>
              </w:rPr>
            </w:pPr>
          </w:p>
        </w:tc>
        <w:tc>
          <w:tcPr>
            <w:tcW w:w="850" w:type="dxa"/>
            <w:tcBorders>
              <w:top w:val="nil"/>
              <w:left w:val="nil"/>
              <w:bottom w:val="nil"/>
              <w:right w:val="nil"/>
            </w:tcBorders>
            <w:noWrap/>
            <w:vAlign w:val="center"/>
          </w:tcPr>
          <w:p w14:paraId="0AC42DE4"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0.15</w:t>
            </w:r>
          </w:p>
        </w:tc>
        <w:tc>
          <w:tcPr>
            <w:tcW w:w="1228" w:type="dxa"/>
            <w:tcBorders>
              <w:top w:val="nil"/>
              <w:left w:val="single" w:sz="4" w:space="0" w:color="auto"/>
              <w:bottom w:val="nil"/>
              <w:right w:val="nil"/>
            </w:tcBorders>
            <w:noWrap/>
            <w:vAlign w:val="center"/>
          </w:tcPr>
          <w:p w14:paraId="23213343" w14:textId="77777777" w:rsidR="00F52111" w:rsidRPr="00BC31E0" w:rsidRDefault="00F52111" w:rsidP="004736F2">
            <w:pPr>
              <w:adjustRightInd w:val="0"/>
              <w:snapToGrid w:val="0"/>
              <w:jc w:val="center"/>
              <w:rPr>
                <w:rFonts w:ascii="ＭＳ 明朝" w:hAnsi="ＭＳ 明朝"/>
                <w:sz w:val="18"/>
                <w:szCs w:val="18"/>
              </w:rPr>
            </w:pPr>
            <w:r w:rsidRPr="00BC31E0">
              <w:rPr>
                <w:rFonts w:ascii="ＭＳ 明朝" w:hAnsi="ＭＳ 明朝"/>
                <w:sz w:val="18"/>
                <w:szCs w:val="18"/>
              </w:rPr>
              <w:t>―</w:t>
            </w:r>
          </w:p>
        </w:tc>
        <w:tc>
          <w:tcPr>
            <w:tcW w:w="1229" w:type="dxa"/>
            <w:tcBorders>
              <w:top w:val="nil"/>
              <w:left w:val="nil"/>
              <w:bottom w:val="nil"/>
              <w:right w:val="nil"/>
            </w:tcBorders>
            <w:noWrap/>
            <w:vAlign w:val="center"/>
          </w:tcPr>
          <w:p w14:paraId="4BB843FE"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0.0807</w:t>
            </w:r>
          </w:p>
        </w:tc>
        <w:tc>
          <w:tcPr>
            <w:tcW w:w="1228" w:type="dxa"/>
            <w:tcBorders>
              <w:top w:val="nil"/>
              <w:left w:val="nil"/>
              <w:bottom w:val="nil"/>
              <w:right w:val="nil"/>
            </w:tcBorders>
            <w:noWrap/>
            <w:vAlign w:val="center"/>
          </w:tcPr>
          <w:p w14:paraId="77153904"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0.1169</w:t>
            </w:r>
          </w:p>
        </w:tc>
        <w:tc>
          <w:tcPr>
            <w:tcW w:w="1229" w:type="dxa"/>
            <w:tcBorders>
              <w:top w:val="nil"/>
              <w:left w:val="nil"/>
              <w:bottom w:val="nil"/>
              <w:right w:val="nil"/>
            </w:tcBorders>
            <w:noWrap/>
            <w:vAlign w:val="center"/>
          </w:tcPr>
          <w:p w14:paraId="0439552E"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0.1449</w:t>
            </w:r>
          </w:p>
        </w:tc>
        <w:tc>
          <w:tcPr>
            <w:tcW w:w="1228" w:type="dxa"/>
            <w:tcBorders>
              <w:top w:val="nil"/>
              <w:left w:val="nil"/>
              <w:bottom w:val="nil"/>
              <w:right w:val="nil"/>
            </w:tcBorders>
            <w:noWrap/>
            <w:vAlign w:val="center"/>
          </w:tcPr>
          <w:p w14:paraId="2685699A"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0.1685</w:t>
            </w:r>
          </w:p>
        </w:tc>
        <w:tc>
          <w:tcPr>
            <w:tcW w:w="1229" w:type="dxa"/>
            <w:tcBorders>
              <w:top w:val="nil"/>
              <w:left w:val="nil"/>
              <w:bottom w:val="nil"/>
              <w:right w:val="single" w:sz="4" w:space="0" w:color="auto"/>
            </w:tcBorders>
            <w:noWrap/>
            <w:vAlign w:val="center"/>
          </w:tcPr>
          <w:p w14:paraId="67311302"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0.1893</w:t>
            </w:r>
          </w:p>
        </w:tc>
      </w:tr>
      <w:tr w:rsidR="00F52111" w:rsidRPr="00BC31E0" w14:paraId="7ED41F0E" w14:textId="77777777" w:rsidTr="004736F2">
        <w:trPr>
          <w:cantSplit/>
          <w:jc w:val="center"/>
        </w:trPr>
        <w:tc>
          <w:tcPr>
            <w:tcW w:w="851" w:type="dxa"/>
            <w:vMerge/>
            <w:tcBorders>
              <w:left w:val="single" w:sz="4" w:space="0" w:color="auto"/>
              <w:right w:val="single" w:sz="4" w:space="0" w:color="auto"/>
            </w:tcBorders>
            <w:noWrap/>
            <w:vAlign w:val="center"/>
          </w:tcPr>
          <w:p w14:paraId="5204EF5D" w14:textId="77777777" w:rsidR="00F52111" w:rsidRPr="00BC31E0" w:rsidRDefault="00F52111" w:rsidP="004736F2">
            <w:pPr>
              <w:adjustRightInd w:val="0"/>
              <w:snapToGrid w:val="0"/>
              <w:jc w:val="center"/>
              <w:rPr>
                <w:rFonts w:ascii="ＭＳ 明朝" w:hAnsi="ＭＳ 明朝"/>
                <w:sz w:val="18"/>
                <w:szCs w:val="18"/>
              </w:rPr>
            </w:pPr>
          </w:p>
        </w:tc>
        <w:tc>
          <w:tcPr>
            <w:tcW w:w="850" w:type="dxa"/>
            <w:tcBorders>
              <w:top w:val="nil"/>
              <w:left w:val="nil"/>
              <w:bottom w:val="nil"/>
              <w:right w:val="nil"/>
            </w:tcBorders>
            <w:noWrap/>
            <w:vAlign w:val="center"/>
          </w:tcPr>
          <w:p w14:paraId="225F9223"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0.20</w:t>
            </w:r>
          </w:p>
        </w:tc>
        <w:tc>
          <w:tcPr>
            <w:tcW w:w="1228" w:type="dxa"/>
            <w:tcBorders>
              <w:top w:val="nil"/>
              <w:left w:val="single" w:sz="4" w:space="0" w:color="auto"/>
              <w:bottom w:val="nil"/>
              <w:right w:val="nil"/>
            </w:tcBorders>
            <w:noWrap/>
            <w:vAlign w:val="center"/>
          </w:tcPr>
          <w:p w14:paraId="477609E7" w14:textId="77777777" w:rsidR="00F52111" w:rsidRPr="00BC31E0" w:rsidRDefault="00F52111" w:rsidP="004736F2">
            <w:pPr>
              <w:adjustRightInd w:val="0"/>
              <w:snapToGrid w:val="0"/>
              <w:jc w:val="center"/>
              <w:rPr>
                <w:rFonts w:ascii="ＭＳ 明朝" w:hAnsi="ＭＳ 明朝"/>
                <w:sz w:val="18"/>
                <w:szCs w:val="18"/>
              </w:rPr>
            </w:pPr>
            <w:r w:rsidRPr="00BC31E0">
              <w:rPr>
                <w:rFonts w:ascii="ＭＳ 明朝" w:hAnsi="ＭＳ 明朝"/>
                <w:sz w:val="18"/>
                <w:szCs w:val="18"/>
              </w:rPr>
              <w:t>―</w:t>
            </w:r>
          </w:p>
        </w:tc>
        <w:tc>
          <w:tcPr>
            <w:tcW w:w="1229" w:type="dxa"/>
            <w:tcBorders>
              <w:top w:val="nil"/>
              <w:left w:val="nil"/>
              <w:bottom w:val="nil"/>
              <w:right w:val="nil"/>
            </w:tcBorders>
            <w:noWrap/>
            <w:vAlign w:val="center"/>
          </w:tcPr>
          <w:p w14:paraId="1666BDCF"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0.0852</w:t>
            </w:r>
          </w:p>
        </w:tc>
        <w:tc>
          <w:tcPr>
            <w:tcW w:w="1228" w:type="dxa"/>
            <w:tcBorders>
              <w:top w:val="nil"/>
              <w:left w:val="nil"/>
              <w:bottom w:val="nil"/>
              <w:right w:val="nil"/>
            </w:tcBorders>
            <w:noWrap/>
            <w:vAlign w:val="center"/>
          </w:tcPr>
          <w:p w14:paraId="7E8C6E56"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0.1227</w:t>
            </w:r>
          </w:p>
        </w:tc>
        <w:tc>
          <w:tcPr>
            <w:tcW w:w="1229" w:type="dxa"/>
            <w:tcBorders>
              <w:top w:val="nil"/>
              <w:left w:val="nil"/>
              <w:bottom w:val="nil"/>
              <w:right w:val="nil"/>
            </w:tcBorders>
            <w:noWrap/>
            <w:vAlign w:val="center"/>
          </w:tcPr>
          <w:p w14:paraId="6C71C5A9"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0.1515</w:t>
            </w:r>
          </w:p>
        </w:tc>
        <w:tc>
          <w:tcPr>
            <w:tcW w:w="1228" w:type="dxa"/>
            <w:tcBorders>
              <w:top w:val="nil"/>
              <w:left w:val="nil"/>
              <w:bottom w:val="nil"/>
              <w:right w:val="nil"/>
            </w:tcBorders>
            <w:noWrap/>
            <w:vAlign w:val="center"/>
          </w:tcPr>
          <w:p w14:paraId="63B8DE4D"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0.1757</w:t>
            </w:r>
          </w:p>
        </w:tc>
        <w:tc>
          <w:tcPr>
            <w:tcW w:w="1229" w:type="dxa"/>
            <w:tcBorders>
              <w:top w:val="nil"/>
              <w:left w:val="nil"/>
              <w:bottom w:val="nil"/>
              <w:right w:val="single" w:sz="4" w:space="0" w:color="auto"/>
            </w:tcBorders>
            <w:noWrap/>
            <w:vAlign w:val="center"/>
          </w:tcPr>
          <w:p w14:paraId="46351E31"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0.1971</w:t>
            </w:r>
          </w:p>
        </w:tc>
      </w:tr>
      <w:tr w:rsidR="00F52111" w:rsidRPr="00BC31E0" w14:paraId="7C76B6FB" w14:textId="77777777" w:rsidTr="004736F2">
        <w:trPr>
          <w:cantSplit/>
          <w:jc w:val="center"/>
        </w:trPr>
        <w:tc>
          <w:tcPr>
            <w:tcW w:w="851" w:type="dxa"/>
            <w:vMerge/>
            <w:tcBorders>
              <w:left w:val="single" w:sz="4" w:space="0" w:color="auto"/>
              <w:right w:val="single" w:sz="4" w:space="0" w:color="auto"/>
            </w:tcBorders>
            <w:noWrap/>
            <w:vAlign w:val="center"/>
          </w:tcPr>
          <w:p w14:paraId="2AB85373" w14:textId="77777777" w:rsidR="00F52111" w:rsidRPr="00BC31E0" w:rsidRDefault="00F52111" w:rsidP="004736F2">
            <w:pPr>
              <w:adjustRightInd w:val="0"/>
              <w:snapToGrid w:val="0"/>
              <w:jc w:val="center"/>
              <w:rPr>
                <w:rFonts w:ascii="ＭＳ 明朝" w:hAnsi="ＭＳ 明朝"/>
                <w:sz w:val="22"/>
                <w:szCs w:val="22"/>
              </w:rPr>
            </w:pPr>
          </w:p>
        </w:tc>
        <w:tc>
          <w:tcPr>
            <w:tcW w:w="850" w:type="dxa"/>
            <w:tcBorders>
              <w:top w:val="nil"/>
              <w:left w:val="single" w:sz="4" w:space="0" w:color="auto"/>
              <w:bottom w:val="nil"/>
              <w:right w:val="nil"/>
            </w:tcBorders>
            <w:noWrap/>
            <w:vAlign w:val="center"/>
          </w:tcPr>
          <w:p w14:paraId="7C6623E3"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0.25</w:t>
            </w:r>
          </w:p>
        </w:tc>
        <w:tc>
          <w:tcPr>
            <w:tcW w:w="1228" w:type="dxa"/>
            <w:tcBorders>
              <w:top w:val="nil"/>
              <w:left w:val="single" w:sz="4" w:space="0" w:color="auto"/>
              <w:bottom w:val="nil"/>
              <w:right w:val="nil"/>
            </w:tcBorders>
            <w:noWrap/>
            <w:vAlign w:val="center"/>
          </w:tcPr>
          <w:p w14:paraId="757BB5BF" w14:textId="77777777" w:rsidR="00F52111" w:rsidRPr="00BC31E0" w:rsidRDefault="00F52111" w:rsidP="004736F2">
            <w:pPr>
              <w:adjustRightInd w:val="0"/>
              <w:snapToGrid w:val="0"/>
              <w:jc w:val="center"/>
              <w:rPr>
                <w:rFonts w:ascii="ＭＳ 明朝" w:hAnsi="ＭＳ 明朝"/>
                <w:sz w:val="18"/>
                <w:szCs w:val="18"/>
              </w:rPr>
            </w:pPr>
            <w:r w:rsidRPr="00BC31E0">
              <w:rPr>
                <w:rFonts w:ascii="ＭＳ 明朝" w:hAnsi="ＭＳ 明朝"/>
                <w:sz w:val="18"/>
                <w:szCs w:val="18"/>
              </w:rPr>
              <w:t>―</w:t>
            </w:r>
          </w:p>
        </w:tc>
        <w:tc>
          <w:tcPr>
            <w:tcW w:w="1229" w:type="dxa"/>
            <w:tcBorders>
              <w:top w:val="nil"/>
              <w:left w:val="nil"/>
              <w:bottom w:val="nil"/>
              <w:right w:val="nil"/>
            </w:tcBorders>
            <w:noWrap/>
            <w:vAlign w:val="center"/>
          </w:tcPr>
          <w:p w14:paraId="25F84B03"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0.0907</w:t>
            </w:r>
          </w:p>
        </w:tc>
        <w:tc>
          <w:tcPr>
            <w:tcW w:w="1228" w:type="dxa"/>
            <w:tcBorders>
              <w:top w:val="nil"/>
              <w:left w:val="nil"/>
              <w:bottom w:val="nil"/>
              <w:right w:val="nil"/>
            </w:tcBorders>
            <w:noWrap/>
            <w:vAlign w:val="center"/>
          </w:tcPr>
          <w:p w14:paraId="416277D9"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0.1293</w:t>
            </w:r>
          </w:p>
        </w:tc>
        <w:tc>
          <w:tcPr>
            <w:tcW w:w="1229" w:type="dxa"/>
            <w:tcBorders>
              <w:top w:val="nil"/>
              <w:left w:val="nil"/>
              <w:bottom w:val="nil"/>
              <w:right w:val="nil"/>
            </w:tcBorders>
            <w:noWrap/>
            <w:vAlign w:val="center"/>
          </w:tcPr>
          <w:p w14:paraId="799C9DCA"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0.1587</w:t>
            </w:r>
          </w:p>
        </w:tc>
        <w:tc>
          <w:tcPr>
            <w:tcW w:w="1228" w:type="dxa"/>
            <w:tcBorders>
              <w:top w:val="nil"/>
              <w:left w:val="nil"/>
              <w:bottom w:val="nil"/>
              <w:right w:val="nil"/>
            </w:tcBorders>
            <w:noWrap/>
            <w:vAlign w:val="center"/>
          </w:tcPr>
          <w:p w14:paraId="085E460C"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0.1833</w:t>
            </w:r>
          </w:p>
        </w:tc>
        <w:tc>
          <w:tcPr>
            <w:tcW w:w="1229" w:type="dxa"/>
            <w:tcBorders>
              <w:top w:val="nil"/>
              <w:left w:val="nil"/>
              <w:bottom w:val="nil"/>
              <w:right w:val="single" w:sz="4" w:space="0" w:color="auto"/>
            </w:tcBorders>
            <w:noWrap/>
            <w:vAlign w:val="center"/>
          </w:tcPr>
          <w:p w14:paraId="23B1F0FC"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0.2049</w:t>
            </w:r>
          </w:p>
        </w:tc>
      </w:tr>
      <w:tr w:rsidR="00F52111" w:rsidRPr="00BC31E0" w14:paraId="4B0100F2" w14:textId="77777777" w:rsidTr="004736F2">
        <w:trPr>
          <w:cantSplit/>
          <w:jc w:val="center"/>
        </w:trPr>
        <w:tc>
          <w:tcPr>
            <w:tcW w:w="851" w:type="dxa"/>
            <w:vMerge/>
            <w:tcBorders>
              <w:left w:val="single" w:sz="4" w:space="0" w:color="auto"/>
              <w:right w:val="single" w:sz="4" w:space="0" w:color="auto"/>
            </w:tcBorders>
            <w:vAlign w:val="center"/>
          </w:tcPr>
          <w:p w14:paraId="7156A74D" w14:textId="77777777" w:rsidR="00F52111" w:rsidRPr="00BC31E0" w:rsidRDefault="00F52111" w:rsidP="004736F2">
            <w:pPr>
              <w:adjustRightInd w:val="0"/>
              <w:snapToGrid w:val="0"/>
              <w:jc w:val="center"/>
              <w:rPr>
                <w:rFonts w:ascii="ＭＳ 明朝" w:hAnsi="ＭＳ 明朝"/>
                <w:sz w:val="22"/>
                <w:szCs w:val="22"/>
              </w:rPr>
            </w:pPr>
          </w:p>
        </w:tc>
        <w:tc>
          <w:tcPr>
            <w:tcW w:w="850" w:type="dxa"/>
            <w:tcBorders>
              <w:top w:val="nil"/>
              <w:left w:val="single" w:sz="4" w:space="0" w:color="auto"/>
              <w:bottom w:val="nil"/>
              <w:right w:val="nil"/>
            </w:tcBorders>
            <w:noWrap/>
            <w:vAlign w:val="center"/>
          </w:tcPr>
          <w:p w14:paraId="245D395F"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0.30</w:t>
            </w:r>
          </w:p>
        </w:tc>
        <w:tc>
          <w:tcPr>
            <w:tcW w:w="1228" w:type="dxa"/>
            <w:tcBorders>
              <w:top w:val="nil"/>
              <w:left w:val="single" w:sz="4" w:space="0" w:color="auto"/>
              <w:bottom w:val="nil"/>
              <w:right w:val="nil"/>
            </w:tcBorders>
            <w:noWrap/>
            <w:vAlign w:val="center"/>
          </w:tcPr>
          <w:p w14:paraId="276EC9DB" w14:textId="77777777" w:rsidR="00F52111" w:rsidRPr="00BC31E0" w:rsidRDefault="00F52111" w:rsidP="004736F2">
            <w:pPr>
              <w:adjustRightInd w:val="0"/>
              <w:snapToGrid w:val="0"/>
              <w:jc w:val="center"/>
              <w:rPr>
                <w:rFonts w:ascii="ＭＳ 明朝" w:hAnsi="ＭＳ 明朝"/>
                <w:sz w:val="18"/>
                <w:szCs w:val="18"/>
              </w:rPr>
            </w:pPr>
            <w:r w:rsidRPr="00BC31E0">
              <w:rPr>
                <w:rFonts w:ascii="ＭＳ 明朝" w:hAnsi="ＭＳ 明朝"/>
                <w:sz w:val="18"/>
                <w:szCs w:val="18"/>
              </w:rPr>
              <w:t>―</w:t>
            </w:r>
          </w:p>
        </w:tc>
        <w:tc>
          <w:tcPr>
            <w:tcW w:w="1229" w:type="dxa"/>
            <w:tcBorders>
              <w:top w:val="nil"/>
              <w:left w:val="nil"/>
              <w:bottom w:val="nil"/>
              <w:right w:val="nil"/>
            </w:tcBorders>
            <w:noWrap/>
            <w:vAlign w:val="center"/>
          </w:tcPr>
          <w:p w14:paraId="60428FF4"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0.0973</w:t>
            </w:r>
          </w:p>
        </w:tc>
        <w:tc>
          <w:tcPr>
            <w:tcW w:w="1228" w:type="dxa"/>
            <w:tcBorders>
              <w:top w:val="nil"/>
              <w:left w:val="nil"/>
              <w:bottom w:val="nil"/>
              <w:right w:val="nil"/>
            </w:tcBorders>
            <w:noWrap/>
            <w:vAlign w:val="center"/>
          </w:tcPr>
          <w:p w14:paraId="749962B9"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0.1367</w:t>
            </w:r>
          </w:p>
        </w:tc>
        <w:tc>
          <w:tcPr>
            <w:tcW w:w="1229" w:type="dxa"/>
            <w:tcBorders>
              <w:top w:val="nil"/>
              <w:left w:val="nil"/>
              <w:bottom w:val="nil"/>
              <w:right w:val="nil"/>
            </w:tcBorders>
            <w:noWrap/>
            <w:vAlign w:val="center"/>
          </w:tcPr>
          <w:p w14:paraId="3B6D404E"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0.1664</w:t>
            </w:r>
          </w:p>
        </w:tc>
        <w:tc>
          <w:tcPr>
            <w:tcW w:w="1228" w:type="dxa"/>
            <w:tcBorders>
              <w:top w:val="nil"/>
              <w:left w:val="nil"/>
              <w:bottom w:val="nil"/>
              <w:right w:val="nil"/>
            </w:tcBorders>
            <w:noWrap/>
            <w:vAlign w:val="center"/>
          </w:tcPr>
          <w:p w14:paraId="6948B5CB"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0.1912</w:t>
            </w:r>
          </w:p>
        </w:tc>
        <w:tc>
          <w:tcPr>
            <w:tcW w:w="1229" w:type="dxa"/>
            <w:tcBorders>
              <w:top w:val="nil"/>
              <w:left w:val="nil"/>
              <w:bottom w:val="nil"/>
              <w:right w:val="single" w:sz="4" w:space="0" w:color="auto"/>
            </w:tcBorders>
            <w:noWrap/>
            <w:vAlign w:val="center"/>
          </w:tcPr>
          <w:p w14:paraId="25731533"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0.2128</w:t>
            </w:r>
          </w:p>
        </w:tc>
      </w:tr>
      <w:tr w:rsidR="00F52111" w:rsidRPr="00BC31E0" w14:paraId="2C5C293F" w14:textId="77777777" w:rsidTr="004736F2">
        <w:trPr>
          <w:cantSplit/>
          <w:jc w:val="center"/>
        </w:trPr>
        <w:tc>
          <w:tcPr>
            <w:tcW w:w="851" w:type="dxa"/>
            <w:vMerge/>
            <w:tcBorders>
              <w:left w:val="single" w:sz="4" w:space="0" w:color="auto"/>
              <w:right w:val="single" w:sz="4" w:space="0" w:color="auto"/>
            </w:tcBorders>
            <w:noWrap/>
            <w:vAlign w:val="center"/>
          </w:tcPr>
          <w:p w14:paraId="008E1F55" w14:textId="77777777" w:rsidR="00F52111" w:rsidRPr="00BC31E0" w:rsidRDefault="00F52111" w:rsidP="004736F2">
            <w:pPr>
              <w:adjustRightInd w:val="0"/>
              <w:snapToGrid w:val="0"/>
              <w:jc w:val="center"/>
              <w:rPr>
                <w:rFonts w:ascii="ＭＳ 明朝" w:hAnsi="ＭＳ 明朝"/>
                <w:sz w:val="18"/>
                <w:szCs w:val="18"/>
              </w:rPr>
            </w:pPr>
          </w:p>
        </w:tc>
        <w:tc>
          <w:tcPr>
            <w:tcW w:w="850" w:type="dxa"/>
            <w:tcBorders>
              <w:top w:val="nil"/>
              <w:left w:val="nil"/>
              <w:bottom w:val="nil"/>
              <w:right w:val="nil"/>
            </w:tcBorders>
            <w:noWrap/>
            <w:vAlign w:val="center"/>
          </w:tcPr>
          <w:p w14:paraId="6754A411"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0.40</w:t>
            </w:r>
          </w:p>
        </w:tc>
        <w:tc>
          <w:tcPr>
            <w:tcW w:w="1228" w:type="dxa"/>
            <w:tcBorders>
              <w:top w:val="nil"/>
              <w:left w:val="single" w:sz="4" w:space="0" w:color="auto"/>
              <w:bottom w:val="nil"/>
              <w:right w:val="nil"/>
            </w:tcBorders>
            <w:noWrap/>
            <w:vAlign w:val="center"/>
          </w:tcPr>
          <w:p w14:paraId="3527161D" w14:textId="77777777" w:rsidR="00F52111" w:rsidRPr="00BC31E0" w:rsidRDefault="00F52111" w:rsidP="004736F2">
            <w:pPr>
              <w:adjustRightInd w:val="0"/>
              <w:snapToGrid w:val="0"/>
              <w:jc w:val="center"/>
              <w:rPr>
                <w:rFonts w:ascii="ＭＳ 明朝" w:hAnsi="ＭＳ 明朝"/>
                <w:sz w:val="18"/>
                <w:szCs w:val="18"/>
              </w:rPr>
            </w:pPr>
            <w:r w:rsidRPr="00BC31E0">
              <w:rPr>
                <w:rFonts w:ascii="ＭＳ 明朝" w:hAnsi="ＭＳ 明朝"/>
                <w:sz w:val="18"/>
                <w:szCs w:val="18"/>
              </w:rPr>
              <w:t>―</w:t>
            </w:r>
          </w:p>
        </w:tc>
        <w:tc>
          <w:tcPr>
            <w:tcW w:w="1229" w:type="dxa"/>
            <w:tcBorders>
              <w:top w:val="nil"/>
              <w:left w:val="nil"/>
              <w:bottom w:val="nil"/>
              <w:right w:val="nil"/>
            </w:tcBorders>
            <w:noWrap/>
            <w:vAlign w:val="center"/>
          </w:tcPr>
          <w:p w14:paraId="37883818"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0.1141</w:t>
            </w:r>
          </w:p>
        </w:tc>
        <w:tc>
          <w:tcPr>
            <w:tcW w:w="1228" w:type="dxa"/>
            <w:tcBorders>
              <w:top w:val="nil"/>
              <w:left w:val="nil"/>
              <w:bottom w:val="nil"/>
              <w:right w:val="nil"/>
            </w:tcBorders>
            <w:noWrap/>
            <w:vAlign w:val="center"/>
          </w:tcPr>
          <w:p w14:paraId="7FDCB739"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0.1544</w:t>
            </w:r>
          </w:p>
        </w:tc>
        <w:tc>
          <w:tcPr>
            <w:tcW w:w="1229" w:type="dxa"/>
            <w:tcBorders>
              <w:top w:val="nil"/>
              <w:left w:val="nil"/>
              <w:bottom w:val="nil"/>
              <w:right w:val="nil"/>
            </w:tcBorders>
            <w:noWrap/>
            <w:vAlign w:val="center"/>
          </w:tcPr>
          <w:p w14:paraId="516E02FD"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0.1839</w:t>
            </w:r>
          </w:p>
        </w:tc>
        <w:tc>
          <w:tcPr>
            <w:tcW w:w="1228" w:type="dxa"/>
            <w:tcBorders>
              <w:top w:val="nil"/>
              <w:left w:val="nil"/>
              <w:bottom w:val="nil"/>
              <w:right w:val="nil"/>
            </w:tcBorders>
            <w:noWrap/>
            <w:vAlign w:val="center"/>
          </w:tcPr>
          <w:p w14:paraId="0475725D"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0.2081</w:t>
            </w:r>
          </w:p>
        </w:tc>
        <w:tc>
          <w:tcPr>
            <w:tcW w:w="1229" w:type="dxa"/>
            <w:tcBorders>
              <w:top w:val="nil"/>
              <w:left w:val="nil"/>
              <w:bottom w:val="nil"/>
              <w:right w:val="single" w:sz="4" w:space="0" w:color="auto"/>
            </w:tcBorders>
            <w:noWrap/>
            <w:vAlign w:val="center"/>
          </w:tcPr>
          <w:p w14:paraId="28B11415"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0.2289</w:t>
            </w:r>
          </w:p>
        </w:tc>
      </w:tr>
      <w:tr w:rsidR="00F52111" w:rsidRPr="00BC31E0" w14:paraId="45652620" w14:textId="77777777" w:rsidTr="004736F2">
        <w:trPr>
          <w:cantSplit/>
          <w:jc w:val="center"/>
        </w:trPr>
        <w:tc>
          <w:tcPr>
            <w:tcW w:w="851" w:type="dxa"/>
            <w:vMerge/>
            <w:tcBorders>
              <w:left w:val="single" w:sz="4" w:space="0" w:color="auto"/>
              <w:right w:val="single" w:sz="4" w:space="0" w:color="auto"/>
            </w:tcBorders>
            <w:noWrap/>
            <w:vAlign w:val="center"/>
          </w:tcPr>
          <w:p w14:paraId="66A71187" w14:textId="77777777" w:rsidR="00F52111" w:rsidRPr="00BC31E0" w:rsidRDefault="00F52111" w:rsidP="004736F2">
            <w:pPr>
              <w:adjustRightInd w:val="0"/>
              <w:snapToGrid w:val="0"/>
              <w:jc w:val="center"/>
              <w:rPr>
                <w:rFonts w:ascii="ＭＳ 明朝" w:hAnsi="ＭＳ 明朝"/>
                <w:sz w:val="18"/>
                <w:szCs w:val="18"/>
              </w:rPr>
            </w:pPr>
          </w:p>
        </w:tc>
        <w:tc>
          <w:tcPr>
            <w:tcW w:w="850" w:type="dxa"/>
            <w:tcBorders>
              <w:top w:val="nil"/>
              <w:left w:val="nil"/>
              <w:bottom w:val="nil"/>
              <w:right w:val="nil"/>
            </w:tcBorders>
            <w:noWrap/>
            <w:vAlign w:val="center"/>
          </w:tcPr>
          <w:p w14:paraId="3258585D"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0.50</w:t>
            </w:r>
          </w:p>
        </w:tc>
        <w:tc>
          <w:tcPr>
            <w:tcW w:w="1228" w:type="dxa"/>
            <w:tcBorders>
              <w:top w:val="nil"/>
              <w:left w:val="single" w:sz="4" w:space="0" w:color="auto"/>
              <w:bottom w:val="nil"/>
              <w:right w:val="nil"/>
            </w:tcBorders>
            <w:noWrap/>
            <w:vAlign w:val="center"/>
          </w:tcPr>
          <w:p w14:paraId="0242A5FB" w14:textId="77777777" w:rsidR="00F52111" w:rsidRPr="00BC31E0" w:rsidRDefault="00F52111" w:rsidP="004736F2">
            <w:pPr>
              <w:adjustRightInd w:val="0"/>
              <w:snapToGrid w:val="0"/>
              <w:jc w:val="center"/>
              <w:rPr>
                <w:rFonts w:ascii="ＭＳ 明朝" w:hAnsi="ＭＳ 明朝"/>
                <w:sz w:val="18"/>
                <w:szCs w:val="18"/>
              </w:rPr>
            </w:pPr>
            <w:r w:rsidRPr="00BC31E0">
              <w:rPr>
                <w:rFonts w:ascii="ＭＳ 明朝" w:hAnsi="ＭＳ 明朝"/>
                <w:sz w:val="18"/>
                <w:szCs w:val="18"/>
              </w:rPr>
              <w:t>―</w:t>
            </w:r>
          </w:p>
        </w:tc>
        <w:tc>
          <w:tcPr>
            <w:tcW w:w="1229" w:type="dxa"/>
            <w:tcBorders>
              <w:top w:val="nil"/>
              <w:left w:val="nil"/>
              <w:bottom w:val="nil"/>
              <w:right w:val="nil"/>
            </w:tcBorders>
            <w:noWrap/>
            <w:vAlign w:val="center"/>
          </w:tcPr>
          <w:p w14:paraId="51E63884"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0.1373</w:t>
            </w:r>
          </w:p>
        </w:tc>
        <w:tc>
          <w:tcPr>
            <w:tcW w:w="1228" w:type="dxa"/>
            <w:tcBorders>
              <w:top w:val="nil"/>
              <w:left w:val="nil"/>
              <w:bottom w:val="nil"/>
              <w:right w:val="nil"/>
            </w:tcBorders>
            <w:noWrap/>
            <w:vAlign w:val="center"/>
          </w:tcPr>
          <w:p w14:paraId="081311DA"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0.1765</w:t>
            </w:r>
          </w:p>
        </w:tc>
        <w:tc>
          <w:tcPr>
            <w:tcW w:w="1229" w:type="dxa"/>
            <w:tcBorders>
              <w:top w:val="nil"/>
              <w:left w:val="nil"/>
              <w:bottom w:val="nil"/>
              <w:right w:val="nil"/>
            </w:tcBorders>
            <w:noWrap/>
            <w:vAlign w:val="center"/>
          </w:tcPr>
          <w:p w14:paraId="5EA07FE8"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0.2042</w:t>
            </w:r>
          </w:p>
        </w:tc>
        <w:tc>
          <w:tcPr>
            <w:tcW w:w="1228" w:type="dxa"/>
            <w:tcBorders>
              <w:top w:val="nil"/>
              <w:left w:val="nil"/>
              <w:bottom w:val="nil"/>
              <w:right w:val="nil"/>
            </w:tcBorders>
            <w:noWrap/>
            <w:vAlign w:val="center"/>
          </w:tcPr>
          <w:p w14:paraId="4E57CB76"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0.2265</w:t>
            </w:r>
          </w:p>
        </w:tc>
        <w:tc>
          <w:tcPr>
            <w:tcW w:w="1229" w:type="dxa"/>
            <w:tcBorders>
              <w:top w:val="nil"/>
              <w:left w:val="nil"/>
              <w:bottom w:val="nil"/>
              <w:right w:val="single" w:sz="4" w:space="0" w:color="auto"/>
            </w:tcBorders>
            <w:noWrap/>
            <w:vAlign w:val="center"/>
          </w:tcPr>
          <w:p w14:paraId="19254217"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0.2453</w:t>
            </w:r>
          </w:p>
        </w:tc>
      </w:tr>
      <w:tr w:rsidR="00F52111" w:rsidRPr="00BC31E0" w14:paraId="79219040" w14:textId="77777777" w:rsidTr="004736F2">
        <w:trPr>
          <w:cantSplit/>
          <w:jc w:val="center"/>
        </w:trPr>
        <w:tc>
          <w:tcPr>
            <w:tcW w:w="851" w:type="dxa"/>
            <w:vMerge/>
            <w:tcBorders>
              <w:left w:val="single" w:sz="4" w:space="0" w:color="auto"/>
              <w:right w:val="single" w:sz="4" w:space="0" w:color="auto"/>
            </w:tcBorders>
            <w:noWrap/>
            <w:vAlign w:val="center"/>
          </w:tcPr>
          <w:p w14:paraId="54747530" w14:textId="77777777" w:rsidR="00F52111" w:rsidRPr="00BC31E0" w:rsidRDefault="00F52111" w:rsidP="004736F2">
            <w:pPr>
              <w:adjustRightInd w:val="0"/>
              <w:snapToGrid w:val="0"/>
              <w:jc w:val="center"/>
              <w:rPr>
                <w:rFonts w:ascii="ＭＳ 明朝" w:hAnsi="ＭＳ 明朝"/>
                <w:sz w:val="18"/>
                <w:szCs w:val="18"/>
              </w:rPr>
            </w:pPr>
          </w:p>
        </w:tc>
        <w:tc>
          <w:tcPr>
            <w:tcW w:w="850" w:type="dxa"/>
            <w:tcBorders>
              <w:top w:val="nil"/>
              <w:left w:val="nil"/>
              <w:bottom w:val="nil"/>
              <w:right w:val="nil"/>
            </w:tcBorders>
            <w:noWrap/>
            <w:vAlign w:val="center"/>
          </w:tcPr>
          <w:p w14:paraId="12C08AEE"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0.60</w:t>
            </w:r>
          </w:p>
        </w:tc>
        <w:tc>
          <w:tcPr>
            <w:tcW w:w="1228" w:type="dxa"/>
            <w:tcBorders>
              <w:top w:val="nil"/>
              <w:left w:val="single" w:sz="4" w:space="0" w:color="auto"/>
              <w:bottom w:val="nil"/>
              <w:right w:val="nil"/>
            </w:tcBorders>
            <w:noWrap/>
            <w:vAlign w:val="center"/>
          </w:tcPr>
          <w:p w14:paraId="7F9E93CA" w14:textId="77777777" w:rsidR="00F52111" w:rsidRPr="00BC31E0" w:rsidRDefault="00F52111" w:rsidP="004736F2">
            <w:pPr>
              <w:adjustRightInd w:val="0"/>
              <w:snapToGrid w:val="0"/>
              <w:jc w:val="center"/>
              <w:rPr>
                <w:rFonts w:ascii="ＭＳ 明朝" w:hAnsi="ＭＳ 明朝"/>
                <w:sz w:val="18"/>
                <w:szCs w:val="18"/>
              </w:rPr>
            </w:pPr>
            <w:r w:rsidRPr="00BC31E0">
              <w:rPr>
                <w:rFonts w:ascii="ＭＳ 明朝" w:hAnsi="ＭＳ 明朝"/>
                <w:sz w:val="18"/>
                <w:szCs w:val="18"/>
              </w:rPr>
              <w:t>―</w:t>
            </w:r>
          </w:p>
        </w:tc>
        <w:tc>
          <w:tcPr>
            <w:tcW w:w="1229" w:type="dxa"/>
            <w:tcBorders>
              <w:top w:val="nil"/>
              <w:left w:val="nil"/>
              <w:bottom w:val="nil"/>
              <w:right w:val="nil"/>
            </w:tcBorders>
            <w:noWrap/>
            <w:vAlign w:val="center"/>
          </w:tcPr>
          <w:p w14:paraId="0198A998"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0.1689</w:t>
            </w:r>
          </w:p>
        </w:tc>
        <w:tc>
          <w:tcPr>
            <w:tcW w:w="1228" w:type="dxa"/>
            <w:tcBorders>
              <w:top w:val="nil"/>
              <w:left w:val="nil"/>
              <w:bottom w:val="nil"/>
              <w:right w:val="nil"/>
            </w:tcBorders>
            <w:noWrap/>
            <w:vAlign w:val="center"/>
          </w:tcPr>
          <w:p w14:paraId="58AECD69"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0.2041</w:t>
            </w:r>
          </w:p>
        </w:tc>
        <w:tc>
          <w:tcPr>
            <w:tcW w:w="1229" w:type="dxa"/>
            <w:tcBorders>
              <w:top w:val="nil"/>
              <w:left w:val="nil"/>
              <w:bottom w:val="nil"/>
              <w:right w:val="nil"/>
            </w:tcBorders>
            <w:noWrap/>
            <w:vAlign w:val="center"/>
          </w:tcPr>
          <w:p w14:paraId="450B20E5"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0.2280</w:t>
            </w:r>
          </w:p>
        </w:tc>
        <w:tc>
          <w:tcPr>
            <w:tcW w:w="1228" w:type="dxa"/>
            <w:tcBorders>
              <w:top w:val="nil"/>
              <w:left w:val="nil"/>
              <w:bottom w:val="nil"/>
              <w:right w:val="nil"/>
            </w:tcBorders>
            <w:noWrap/>
            <w:vAlign w:val="center"/>
          </w:tcPr>
          <w:p w14:paraId="56F9B7C6"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0.2466</w:t>
            </w:r>
          </w:p>
        </w:tc>
        <w:tc>
          <w:tcPr>
            <w:tcW w:w="1229" w:type="dxa"/>
            <w:tcBorders>
              <w:top w:val="nil"/>
              <w:left w:val="nil"/>
              <w:bottom w:val="nil"/>
              <w:right w:val="single" w:sz="4" w:space="0" w:color="auto"/>
            </w:tcBorders>
            <w:noWrap/>
            <w:vAlign w:val="center"/>
          </w:tcPr>
          <w:p w14:paraId="450C04D1"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0.2620</w:t>
            </w:r>
          </w:p>
        </w:tc>
      </w:tr>
      <w:tr w:rsidR="00F52111" w:rsidRPr="00BC31E0" w14:paraId="6B270DE4" w14:textId="77777777" w:rsidTr="004736F2">
        <w:trPr>
          <w:cantSplit/>
          <w:jc w:val="center"/>
        </w:trPr>
        <w:tc>
          <w:tcPr>
            <w:tcW w:w="851" w:type="dxa"/>
            <w:vMerge/>
            <w:tcBorders>
              <w:left w:val="single" w:sz="4" w:space="0" w:color="auto"/>
              <w:right w:val="single" w:sz="4" w:space="0" w:color="auto"/>
            </w:tcBorders>
            <w:noWrap/>
            <w:vAlign w:val="center"/>
          </w:tcPr>
          <w:p w14:paraId="17A7EEA6" w14:textId="77777777" w:rsidR="00F52111" w:rsidRPr="00BC31E0" w:rsidRDefault="00F52111" w:rsidP="004736F2">
            <w:pPr>
              <w:adjustRightInd w:val="0"/>
              <w:snapToGrid w:val="0"/>
              <w:jc w:val="center"/>
              <w:rPr>
                <w:rFonts w:ascii="ＭＳ 明朝" w:hAnsi="ＭＳ 明朝"/>
                <w:sz w:val="18"/>
                <w:szCs w:val="18"/>
              </w:rPr>
            </w:pPr>
          </w:p>
        </w:tc>
        <w:tc>
          <w:tcPr>
            <w:tcW w:w="850" w:type="dxa"/>
            <w:tcBorders>
              <w:top w:val="nil"/>
              <w:left w:val="nil"/>
              <w:bottom w:val="nil"/>
              <w:right w:val="nil"/>
            </w:tcBorders>
            <w:noWrap/>
            <w:vAlign w:val="center"/>
          </w:tcPr>
          <w:p w14:paraId="207B1279"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0.70</w:t>
            </w:r>
          </w:p>
        </w:tc>
        <w:tc>
          <w:tcPr>
            <w:tcW w:w="1228" w:type="dxa"/>
            <w:tcBorders>
              <w:top w:val="nil"/>
              <w:left w:val="single" w:sz="4" w:space="0" w:color="auto"/>
              <w:bottom w:val="nil"/>
              <w:right w:val="nil"/>
            </w:tcBorders>
            <w:noWrap/>
            <w:vAlign w:val="center"/>
          </w:tcPr>
          <w:p w14:paraId="2C808054" w14:textId="77777777" w:rsidR="00F52111" w:rsidRPr="00BC31E0" w:rsidRDefault="00F52111" w:rsidP="004736F2">
            <w:pPr>
              <w:adjustRightInd w:val="0"/>
              <w:snapToGrid w:val="0"/>
              <w:jc w:val="center"/>
              <w:rPr>
                <w:rFonts w:ascii="ＭＳ 明朝" w:hAnsi="ＭＳ 明朝"/>
                <w:sz w:val="18"/>
                <w:szCs w:val="18"/>
              </w:rPr>
            </w:pPr>
            <w:r w:rsidRPr="00BC31E0">
              <w:rPr>
                <w:rFonts w:ascii="ＭＳ 明朝" w:hAnsi="ＭＳ 明朝"/>
                <w:sz w:val="18"/>
                <w:szCs w:val="18"/>
              </w:rPr>
              <w:t>―</w:t>
            </w:r>
          </w:p>
        </w:tc>
        <w:tc>
          <w:tcPr>
            <w:tcW w:w="1229" w:type="dxa"/>
            <w:tcBorders>
              <w:top w:val="nil"/>
              <w:left w:val="nil"/>
              <w:bottom w:val="nil"/>
              <w:right w:val="nil"/>
            </w:tcBorders>
            <w:noWrap/>
            <w:vAlign w:val="center"/>
          </w:tcPr>
          <w:p w14:paraId="58C7DE39"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0.2121</w:t>
            </w:r>
          </w:p>
        </w:tc>
        <w:tc>
          <w:tcPr>
            <w:tcW w:w="1228" w:type="dxa"/>
            <w:tcBorders>
              <w:top w:val="nil"/>
              <w:left w:val="nil"/>
              <w:bottom w:val="nil"/>
              <w:right w:val="nil"/>
            </w:tcBorders>
            <w:noWrap/>
            <w:vAlign w:val="center"/>
          </w:tcPr>
          <w:p w14:paraId="06A50408"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0.2388</w:t>
            </w:r>
          </w:p>
        </w:tc>
        <w:tc>
          <w:tcPr>
            <w:tcW w:w="1229" w:type="dxa"/>
            <w:tcBorders>
              <w:top w:val="nil"/>
              <w:left w:val="nil"/>
              <w:bottom w:val="nil"/>
              <w:right w:val="nil"/>
            </w:tcBorders>
            <w:noWrap/>
            <w:vAlign w:val="center"/>
          </w:tcPr>
          <w:p w14:paraId="039859C9"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0.2558</w:t>
            </w:r>
          </w:p>
        </w:tc>
        <w:tc>
          <w:tcPr>
            <w:tcW w:w="1228" w:type="dxa"/>
            <w:tcBorders>
              <w:top w:val="nil"/>
              <w:left w:val="nil"/>
              <w:bottom w:val="nil"/>
              <w:right w:val="nil"/>
            </w:tcBorders>
            <w:noWrap/>
            <w:vAlign w:val="center"/>
          </w:tcPr>
          <w:p w14:paraId="06B93450"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0.2687</w:t>
            </w:r>
          </w:p>
        </w:tc>
        <w:tc>
          <w:tcPr>
            <w:tcW w:w="1229" w:type="dxa"/>
            <w:tcBorders>
              <w:top w:val="nil"/>
              <w:left w:val="nil"/>
              <w:bottom w:val="nil"/>
              <w:right w:val="single" w:sz="4" w:space="0" w:color="auto"/>
            </w:tcBorders>
            <w:noWrap/>
            <w:vAlign w:val="center"/>
          </w:tcPr>
          <w:p w14:paraId="0A188EB3"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0.2791</w:t>
            </w:r>
          </w:p>
        </w:tc>
      </w:tr>
      <w:tr w:rsidR="00F52111" w:rsidRPr="00BC31E0" w14:paraId="0711C3E3" w14:textId="77777777" w:rsidTr="004736F2">
        <w:trPr>
          <w:cantSplit/>
          <w:jc w:val="center"/>
        </w:trPr>
        <w:tc>
          <w:tcPr>
            <w:tcW w:w="851" w:type="dxa"/>
            <w:vMerge/>
            <w:tcBorders>
              <w:left w:val="single" w:sz="4" w:space="0" w:color="auto"/>
              <w:bottom w:val="double" w:sz="6" w:space="0" w:color="auto"/>
              <w:right w:val="single" w:sz="4" w:space="0" w:color="auto"/>
            </w:tcBorders>
            <w:noWrap/>
            <w:vAlign w:val="center"/>
          </w:tcPr>
          <w:p w14:paraId="544CCBC1" w14:textId="77777777" w:rsidR="00F52111" w:rsidRPr="00BC31E0" w:rsidRDefault="00F52111" w:rsidP="004736F2">
            <w:pPr>
              <w:adjustRightInd w:val="0"/>
              <w:snapToGrid w:val="0"/>
              <w:jc w:val="center"/>
              <w:rPr>
                <w:rFonts w:ascii="ＭＳ 明朝" w:hAnsi="ＭＳ 明朝"/>
                <w:sz w:val="18"/>
                <w:szCs w:val="18"/>
              </w:rPr>
            </w:pPr>
          </w:p>
        </w:tc>
        <w:tc>
          <w:tcPr>
            <w:tcW w:w="850" w:type="dxa"/>
            <w:tcBorders>
              <w:top w:val="nil"/>
              <w:left w:val="nil"/>
              <w:bottom w:val="double" w:sz="6" w:space="0" w:color="auto"/>
              <w:right w:val="nil"/>
            </w:tcBorders>
            <w:noWrap/>
            <w:vAlign w:val="center"/>
          </w:tcPr>
          <w:p w14:paraId="2131828F"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0.80</w:t>
            </w:r>
          </w:p>
        </w:tc>
        <w:tc>
          <w:tcPr>
            <w:tcW w:w="1228" w:type="dxa"/>
            <w:tcBorders>
              <w:top w:val="nil"/>
              <w:left w:val="single" w:sz="4" w:space="0" w:color="auto"/>
              <w:bottom w:val="double" w:sz="6" w:space="0" w:color="auto"/>
              <w:right w:val="nil"/>
            </w:tcBorders>
            <w:noWrap/>
            <w:vAlign w:val="center"/>
          </w:tcPr>
          <w:p w14:paraId="036A5A74" w14:textId="77777777" w:rsidR="00F52111" w:rsidRPr="00BC31E0" w:rsidRDefault="00F52111" w:rsidP="004736F2">
            <w:pPr>
              <w:adjustRightInd w:val="0"/>
              <w:snapToGrid w:val="0"/>
              <w:jc w:val="center"/>
              <w:rPr>
                <w:rFonts w:ascii="ＭＳ 明朝" w:hAnsi="ＭＳ 明朝"/>
                <w:sz w:val="18"/>
                <w:szCs w:val="18"/>
              </w:rPr>
            </w:pPr>
            <w:r w:rsidRPr="00BC31E0">
              <w:rPr>
                <w:rFonts w:ascii="ＭＳ 明朝" w:hAnsi="ＭＳ 明朝"/>
                <w:sz w:val="18"/>
                <w:szCs w:val="18"/>
              </w:rPr>
              <w:t>―</w:t>
            </w:r>
          </w:p>
        </w:tc>
        <w:tc>
          <w:tcPr>
            <w:tcW w:w="1229" w:type="dxa"/>
            <w:tcBorders>
              <w:top w:val="nil"/>
              <w:left w:val="nil"/>
              <w:bottom w:val="double" w:sz="6" w:space="0" w:color="auto"/>
              <w:right w:val="nil"/>
            </w:tcBorders>
            <w:noWrap/>
            <w:vAlign w:val="center"/>
          </w:tcPr>
          <w:p w14:paraId="221CD7F4"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0.2714</w:t>
            </w:r>
          </w:p>
        </w:tc>
        <w:tc>
          <w:tcPr>
            <w:tcW w:w="1228" w:type="dxa"/>
            <w:tcBorders>
              <w:top w:val="nil"/>
              <w:left w:val="nil"/>
              <w:bottom w:val="double" w:sz="6" w:space="0" w:color="auto"/>
              <w:right w:val="nil"/>
            </w:tcBorders>
            <w:noWrap/>
            <w:vAlign w:val="center"/>
          </w:tcPr>
          <w:p w14:paraId="47956DE1"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0.2824</w:t>
            </w:r>
          </w:p>
        </w:tc>
        <w:tc>
          <w:tcPr>
            <w:tcW w:w="1229" w:type="dxa"/>
            <w:tcBorders>
              <w:top w:val="nil"/>
              <w:left w:val="nil"/>
              <w:bottom w:val="double" w:sz="6" w:space="0" w:color="auto"/>
              <w:right w:val="nil"/>
            </w:tcBorders>
            <w:noWrap/>
            <w:vAlign w:val="center"/>
          </w:tcPr>
          <w:p w14:paraId="4AA51A18"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0.2887</w:t>
            </w:r>
          </w:p>
        </w:tc>
        <w:tc>
          <w:tcPr>
            <w:tcW w:w="1228" w:type="dxa"/>
            <w:tcBorders>
              <w:top w:val="nil"/>
              <w:left w:val="nil"/>
              <w:bottom w:val="double" w:sz="6" w:space="0" w:color="auto"/>
              <w:right w:val="nil"/>
            </w:tcBorders>
            <w:noWrap/>
            <w:vAlign w:val="center"/>
          </w:tcPr>
          <w:p w14:paraId="3AE6DDE4"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0.2931</w:t>
            </w:r>
          </w:p>
        </w:tc>
        <w:tc>
          <w:tcPr>
            <w:tcW w:w="1229" w:type="dxa"/>
            <w:tcBorders>
              <w:top w:val="nil"/>
              <w:left w:val="nil"/>
              <w:bottom w:val="double" w:sz="6" w:space="0" w:color="auto"/>
              <w:right w:val="single" w:sz="4" w:space="0" w:color="auto"/>
            </w:tcBorders>
            <w:noWrap/>
            <w:vAlign w:val="center"/>
          </w:tcPr>
          <w:p w14:paraId="45DB3F22"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0.2965</w:t>
            </w:r>
          </w:p>
        </w:tc>
      </w:tr>
      <w:tr w:rsidR="00F52111" w:rsidRPr="00BC31E0" w14:paraId="573A53FC" w14:textId="77777777" w:rsidTr="004736F2">
        <w:trPr>
          <w:cantSplit/>
          <w:jc w:val="center"/>
        </w:trPr>
        <w:tc>
          <w:tcPr>
            <w:tcW w:w="851" w:type="dxa"/>
            <w:vMerge w:val="restart"/>
            <w:tcBorders>
              <w:top w:val="nil"/>
              <w:left w:val="single" w:sz="4" w:space="0" w:color="auto"/>
              <w:right w:val="single" w:sz="4" w:space="0" w:color="auto"/>
            </w:tcBorders>
            <w:noWrap/>
            <w:vAlign w:val="center"/>
          </w:tcPr>
          <w:p w14:paraId="4F948859" w14:textId="77777777" w:rsidR="00F52111" w:rsidRPr="00BC31E0" w:rsidRDefault="00A51873" w:rsidP="004736F2">
            <w:pPr>
              <w:adjustRightInd w:val="0"/>
              <w:snapToGrid w:val="0"/>
              <w:jc w:val="center"/>
              <w:rPr>
                <w:rFonts w:ascii="ＭＳ 明朝" w:hAnsi="ＭＳ 明朝"/>
              </w:rPr>
            </w:pPr>
            <m:oMathPara>
              <m:oMath>
                <m:sSub>
                  <m:sSubPr>
                    <m:ctrlPr>
                      <w:rPr>
                        <w:rFonts w:ascii="Cambria Math" w:hAnsi="Cambria Math"/>
                      </w:rPr>
                    </m:ctrlPr>
                  </m:sSubPr>
                  <m:e>
                    <m:r>
                      <w:rPr>
                        <w:rFonts w:ascii="Cambria Math" w:hAnsi="Cambria Math"/>
                      </w:rPr>
                      <m:t>G</m:t>
                    </m:r>
                  </m:e>
                  <m:sub>
                    <m:r>
                      <w:rPr>
                        <w:rFonts w:ascii="Cambria Math" w:hAnsi="Cambria Math"/>
                      </w:rPr>
                      <m:t>2</m:t>
                    </m:r>
                  </m:sub>
                </m:sSub>
              </m:oMath>
            </m:oMathPara>
          </w:p>
        </w:tc>
        <w:tc>
          <w:tcPr>
            <w:tcW w:w="850" w:type="dxa"/>
            <w:tcBorders>
              <w:top w:val="nil"/>
              <w:left w:val="nil"/>
              <w:bottom w:val="nil"/>
              <w:right w:val="single" w:sz="4" w:space="0" w:color="auto"/>
            </w:tcBorders>
            <w:noWrap/>
            <w:vAlign w:val="center"/>
          </w:tcPr>
          <w:p w14:paraId="103F909B"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0.00</w:t>
            </w:r>
          </w:p>
        </w:tc>
        <w:tc>
          <w:tcPr>
            <w:tcW w:w="1228" w:type="dxa"/>
            <w:tcBorders>
              <w:top w:val="nil"/>
              <w:left w:val="nil"/>
              <w:bottom w:val="nil"/>
              <w:right w:val="nil"/>
            </w:tcBorders>
            <w:noWrap/>
            <w:vAlign w:val="center"/>
          </w:tcPr>
          <w:p w14:paraId="719B4EB7" w14:textId="77777777" w:rsidR="00F52111" w:rsidRPr="00BC31E0" w:rsidRDefault="00F52111" w:rsidP="004736F2">
            <w:pPr>
              <w:adjustRightInd w:val="0"/>
              <w:snapToGrid w:val="0"/>
              <w:jc w:val="center"/>
              <w:rPr>
                <w:rFonts w:ascii="ＭＳ 明朝" w:hAnsi="ＭＳ 明朝"/>
                <w:sz w:val="18"/>
                <w:szCs w:val="18"/>
              </w:rPr>
            </w:pPr>
            <w:r w:rsidRPr="00BC31E0">
              <w:rPr>
                <w:rFonts w:ascii="ＭＳ 明朝" w:hAnsi="ＭＳ 明朝"/>
                <w:sz w:val="18"/>
                <w:szCs w:val="18"/>
              </w:rPr>
              <w:t>―</w:t>
            </w:r>
          </w:p>
        </w:tc>
        <w:tc>
          <w:tcPr>
            <w:tcW w:w="1229" w:type="dxa"/>
            <w:tcBorders>
              <w:top w:val="nil"/>
              <w:left w:val="nil"/>
              <w:bottom w:val="nil"/>
              <w:right w:val="nil"/>
            </w:tcBorders>
            <w:noWrap/>
            <w:vAlign w:val="center"/>
          </w:tcPr>
          <w:p w14:paraId="6E27BC76"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0.0254</w:t>
            </w:r>
          </w:p>
        </w:tc>
        <w:tc>
          <w:tcPr>
            <w:tcW w:w="1228" w:type="dxa"/>
            <w:tcBorders>
              <w:top w:val="nil"/>
              <w:left w:val="nil"/>
              <w:bottom w:val="nil"/>
              <w:right w:val="nil"/>
            </w:tcBorders>
            <w:noWrap/>
            <w:vAlign w:val="center"/>
          </w:tcPr>
          <w:p w14:paraId="0575EFFC"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0.0344</w:t>
            </w:r>
          </w:p>
        </w:tc>
        <w:tc>
          <w:tcPr>
            <w:tcW w:w="1229" w:type="dxa"/>
            <w:tcBorders>
              <w:top w:val="nil"/>
              <w:left w:val="nil"/>
              <w:bottom w:val="nil"/>
              <w:right w:val="nil"/>
            </w:tcBorders>
            <w:noWrap/>
            <w:vAlign w:val="center"/>
          </w:tcPr>
          <w:p w14:paraId="1884466E"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0.0423</w:t>
            </w:r>
          </w:p>
        </w:tc>
        <w:tc>
          <w:tcPr>
            <w:tcW w:w="1228" w:type="dxa"/>
            <w:tcBorders>
              <w:top w:val="nil"/>
              <w:left w:val="nil"/>
              <w:bottom w:val="nil"/>
              <w:right w:val="nil"/>
            </w:tcBorders>
            <w:noWrap/>
            <w:vAlign w:val="center"/>
          </w:tcPr>
          <w:p w14:paraId="258EA010"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0.0495</w:t>
            </w:r>
          </w:p>
        </w:tc>
        <w:tc>
          <w:tcPr>
            <w:tcW w:w="1229" w:type="dxa"/>
            <w:tcBorders>
              <w:top w:val="nil"/>
              <w:left w:val="nil"/>
              <w:bottom w:val="nil"/>
              <w:right w:val="single" w:sz="4" w:space="0" w:color="auto"/>
            </w:tcBorders>
            <w:noWrap/>
            <w:vAlign w:val="center"/>
          </w:tcPr>
          <w:p w14:paraId="6B9F3ED5"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0.0563</w:t>
            </w:r>
          </w:p>
        </w:tc>
      </w:tr>
      <w:tr w:rsidR="00F52111" w:rsidRPr="00BC31E0" w14:paraId="21AA85EF" w14:textId="77777777" w:rsidTr="004736F2">
        <w:trPr>
          <w:cantSplit/>
          <w:jc w:val="center"/>
        </w:trPr>
        <w:tc>
          <w:tcPr>
            <w:tcW w:w="851" w:type="dxa"/>
            <w:vMerge/>
            <w:tcBorders>
              <w:left w:val="single" w:sz="4" w:space="0" w:color="auto"/>
              <w:right w:val="single" w:sz="4" w:space="0" w:color="auto"/>
            </w:tcBorders>
            <w:noWrap/>
            <w:vAlign w:val="center"/>
          </w:tcPr>
          <w:p w14:paraId="73B4C5E2" w14:textId="77777777" w:rsidR="00F52111" w:rsidRPr="00BC31E0" w:rsidRDefault="00F52111" w:rsidP="004736F2">
            <w:pPr>
              <w:adjustRightInd w:val="0"/>
              <w:snapToGrid w:val="0"/>
              <w:jc w:val="center"/>
              <w:rPr>
                <w:rFonts w:ascii="ＭＳ 明朝" w:hAnsi="ＭＳ 明朝"/>
                <w:sz w:val="18"/>
                <w:szCs w:val="18"/>
              </w:rPr>
            </w:pPr>
          </w:p>
        </w:tc>
        <w:tc>
          <w:tcPr>
            <w:tcW w:w="850" w:type="dxa"/>
            <w:tcBorders>
              <w:top w:val="nil"/>
              <w:left w:val="nil"/>
              <w:bottom w:val="nil"/>
              <w:right w:val="single" w:sz="4" w:space="0" w:color="auto"/>
            </w:tcBorders>
            <w:noWrap/>
            <w:vAlign w:val="center"/>
          </w:tcPr>
          <w:p w14:paraId="7918590C"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0.05</w:t>
            </w:r>
          </w:p>
        </w:tc>
        <w:tc>
          <w:tcPr>
            <w:tcW w:w="1228" w:type="dxa"/>
            <w:tcBorders>
              <w:top w:val="nil"/>
              <w:left w:val="nil"/>
              <w:bottom w:val="nil"/>
              <w:right w:val="nil"/>
            </w:tcBorders>
            <w:noWrap/>
            <w:vAlign w:val="center"/>
          </w:tcPr>
          <w:p w14:paraId="361D1B91" w14:textId="77777777" w:rsidR="00F52111" w:rsidRPr="00BC31E0" w:rsidRDefault="00F52111" w:rsidP="004736F2">
            <w:pPr>
              <w:adjustRightInd w:val="0"/>
              <w:snapToGrid w:val="0"/>
              <w:jc w:val="center"/>
              <w:rPr>
                <w:rFonts w:ascii="ＭＳ 明朝" w:hAnsi="ＭＳ 明朝"/>
                <w:sz w:val="18"/>
                <w:szCs w:val="18"/>
              </w:rPr>
            </w:pPr>
            <w:r w:rsidRPr="00BC31E0">
              <w:rPr>
                <w:rFonts w:ascii="ＭＳ 明朝" w:hAnsi="ＭＳ 明朝"/>
                <w:sz w:val="18"/>
                <w:szCs w:val="18"/>
              </w:rPr>
              <w:t>―</w:t>
            </w:r>
          </w:p>
        </w:tc>
        <w:tc>
          <w:tcPr>
            <w:tcW w:w="1229" w:type="dxa"/>
            <w:tcBorders>
              <w:top w:val="nil"/>
              <w:left w:val="nil"/>
              <w:bottom w:val="nil"/>
              <w:right w:val="nil"/>
            </w:tcBorders>
            <w:noWrap/>
            <w:vAlign w:val="center"/>
          </w:tcPr>
          <w:p w14:paraId="15B76D69"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0.0264</w:t>
            </w:r>
          </w:p>
        </w:tc>
        <w:tc>
          <w:tcPr>
            <w:tcW w:w="1228" w:type="dxa"/>
            <w:tcBorders>
              <w:top w:val="nil"/>
              <w:left w:val="nil"/>
              <w:bottom w:val="nil"/>
              <w:right w:val="nil"/>
            </w:tcBorders>
            <w:noWrap/>
            <w:vAlign w:val="center"/>
          </w:tcPr>
          <w:p w14:paraId="38ECFF8E"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0.0367</w:t>
            </w:r>
          </w:p>
        </w:tc>
        <w:tc>
          <w:tcPr>
            <w:tcW w:w="1229" w:type="dxa"/>
            <w:tcBorders>
              <w:top w:val="nil"/>
              <w:left w:val="nil"/>
              <w:bottom w:val="nil"/>
              <w:right w:val="nil"/>
            </w:tcBorders>
            <w:noWrap/>
            <w:vAlign w:val="center"/>
          </w:tcPr>
          <w:p w14:paraId="7714BD14"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0.0456</w:t>
            </w:r>
          </w:p>
        </w:tc>
        <w:tc>
          <w:tcPr>
            <w:tcW w:w="1228" w:type="dxa"/>
            <w:tcBorders>
              <w:top w:val="nil"/>
              <w:left w:val="nil"/>
              <w:bottom w:val="nil"/>
              <w:right w:val="nil"/>
            </w:tcBorders>
            <w:noWrap/>
            <w:vAlign w:val="center"/>
          </w:tcPr>
          <w:p w14:paraId="71A6A7F1"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0.0538</w:t>
            </w:r>
          </w:p>
        </w:tc>
        <w:tc>
          <w:tcPr>
            <w:tcW w:w="1229" w:type="dxa"/>
            <w:tcBorders>
              <w:top w:val="nil"/>
              <w:left w:val="nil"/>
              <w:bottom w:val="nil"/>
              <w:right w:val="single" w:sz="4" w:space="0" w:color="auto"/>
            </w:tcBorders>
            <w:noWrap/>
            <w:vAlign w:val="center"/>
          </w:tcPr>
          <w:p w14:paraId="2185B62C"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0.0615</w:t>
            </w:r>
          </w:p>
        </w:tc>
      </w:tr>
      <w:tr w:rsidR="00F52111" w:rsidRPr="00BC31E0" w14:paraId="77BA4F42" w14:textId="77777777" w:rsidTr="004736F2">
        <w:trPr>
          <w:cantSplit/>
          <w:jc w:val="center"/>
        </w:trPr>
        <w:tc>
          <w:tcPr>
            <w:tcW w:w="851" w:type="dxa"/>
            <w:vMerge/>
            <w:tcBorders>
              <w:left w:val="single" w:sz="4" w:space="0" w:color="auto"/>
              <w:right w:val="single" w:sz="4" w:space="0" w:color="auto"/>
            </w:tcBorders>
            <w:noWrap/>
            <w:vAlign w:val="center"/>
          </w:tcPr>
          <w:p w14:paraId="25E0F466" w14:textId="77777777" w:rsidR="00F52111" w:rsidRPr="00BC31E0" w:rsidRDefault="00F52111" w:rsidP="004736F2">
            <w:pPr>
              <w:adjustRightInd w:val="0"/>
              <w:snapToGrid w:val="0"/>
              <w:jc w:val="center"/>
              <w:rPr>
                <w:rFonts w:ascii="ＭＳ 明朝" w:hAnsi="ＭＳ 明朝"/>
                <w:sz w:val="18"/>
                <w:szCs w:val="18"/>
              </w:rPr>
            </w:pPr>
          </w:p>
        </w:tc>
        <w:tc>
          <w:tcPr>
            <w:tcW w:w="850" w:type="dxa"/>
            <w:tcBorders>
              <w:top w:val="nil"/>
              <w:left w:val="nil"/>
              <w:bottom w:val="nil"/>
              <w:right w:val="single" w:sz="4" w:space="0" w:color="auto"/>
            </w:tcBorders>
            <w:noWrap/>
            <w:vAlign w:val="center"/>
          </w:tcPr>
          <w:p w14:paraId="420CA6F9"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0.10</w:t>
            </w:r>
          </w:p>
        </w:tc>
        <w:tc>
          <w:tcPr>
            <w:tcW w:w="1228" w:type="dxa"/>
            <w:tcBorders>
              <w:top w:val="nil"/>
              <w:left w:val="nil"/>
              <w:bottom w:val="nil"/>
              <w:right w:val="nil"/>
            </w:tcBorders>
            <w:noWrap/>
            <w:vAlign w:val="center"/>
          </w:tcPr>
          <w:p w14:paraId="7A6E87F4" w14:textId="77777777" w:rsidR="00F52111" w:rsidRPr="00BC31E0" w:rsidRDefault="00F52111" w:rsidP="004736F2">
            <w:pPr>
              <w:adjustRightInd w:val="0"/>
              <w:snapToGrid w:val="0"/>
              <w:jc w:val="center"/>
              <w:rPr>
                <w:rFonts w:ascii="ＭＳ 明朝" w:hAnsi="ＭＳ 明朝"/>
                <w:sz w:val="18"/>
                <w:szCs w:val="18"/>
              </w:rPr>
            </w:pPr>
            <w:r w:rsidRPr="00BC31E0">
              <w:rPr>
                <w:rFonts w:ascii="ＭＳ 明朝" w:hAnsi="ＭＳ 明朝"/>
                <w:sz w:val="18"/>
                <w:szCs w:val="18"/>
              </w:rPr>
              <w:t>―</w:t>
            </w:r>
          </w:p>
        </w:tc>
        <w:tc>
          <w:tcPr>
            <w:tcW w:w="1229" w:type="dxa"/>
            <w:tcBorders>
              <w:top w:val="nil"/>
              <w:left w:val="nil"/>
              <w:bottom w:val="nil"/>
              <w:right w:val="nil"/>
            </w:tcBorders>
            <w:noWrap/>
            <w:vAlign w:val="center"/>
          </w:tcPr>
          <w:p w14:paraId="7D629240"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0.0276</w:t>
            </w:r>
          </w:p>
        </w:tc>
        <w:tc>
          <w:tcPr>
            <w:tcW w:w="1228" w:type="dxa"/>
            <w:tcBorders>
              <w:top w:val="nil"/>
              <w:left w:val="nil"/>
              <w:bottom w:val="nil"/>
              <w:right w:val="nil"/>
            </w:tcBorders>
            <w:noWrap/>
            <w:vAlign w:val="center"/>
          </w:tcPr>
          <w:p w14:paraId="49918FC5"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0.0392</w:t>
            </w:r>
          </w:p>
        </w:tc>
        <w:tc>
          <w:tcPr>
            <w:tcW w:w="1229" w:type="dxa"/>
            <w:tcBorders>
              <w:top w:val="nil"/>
              <w:left w:val="nil"/>
              <w:bottom w:val="nil"/>
              <w:right w:val="nil"/>
            </w:tcBorders>
            <w:noWrap/>
            <w:vAlign w:val="center"/>
          </w:tcPr>
          <w:p w14:paraId="70454F68"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0.0491</w:t>
            </w:r>
          </w:p>
        </w:tc>
        <w:tc>
          <w:tcPr>
            <w:tcW w:w="1228" w:type="dxa"/>
            <w:tcBorders>
              <w:top w:val="nil"/>
              <w:left w:val="nil"/>
              <w:bottom w:val="nil"/>
              <w:right w:val="nil"/>
            </w:tcBorders>
            <w:noWrap/>
            <w:vAlign w:val="center"/>
          </w:tcPr>
          <w:p w14:paraId="2E0436A1"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0.0582</w:t>
            </w:r>
          </w:p>
        </w:tc>
        <w:tc>
          <w:tcPr>
            <w:tcW w:w="1229" w:type="dxa"/>
            <w:tcBorders>
              <w:top w:val="nil"/>
              <w:left w:val="nil"/>
              <w:bottom w:val="nil"/>
              <w:right w:val="single" w:sz="4" w:space="0" w:color="auto"/>
            </w:tcBorders>
            <w:noWrap/>
            <w:vAlign w:val="center"/>
          </w:tcPr>
          <w:p w14:paraId="72B07D0D"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0.0666</w:t>
            </w:r>
          </w:p>
        </w:tc>
      </w:tr>
      <w:tr w:rsidR="00F52111" w:rsidRPr="00BC31E0" w14:paraId="3296D577" w14:textId="77777777" w:rsidTr="004736F2">
        <w:trPr>
          <w:cantSplit/>
          <w:jc w:val="center"/>
        </w:trPr>
        <w:tc>
          <w:tcPr>
            <w:tcW w:w="851" w:type="dxa"/>
            <w:vMerge/>
            <w:tcBorders>
              <w:left w:val="single" w:sz="4" w:space="0" w:color="auto"/>
              <w:right w:val="single" w:sz="4" w:space="0" w:color="auto"/>
            </w:tcBorders>
            <w:noWrap/>
            <w:vAlign w:val="center"/>
          </w:tcPr>
          <w:p w14:paraId="417F9AC7" w14:textId="77777777" w:rsidR="00F52111" w:rsidRPr="00BC31E0" w:rsidRDefault="00F52111" w:rsidP="004736F2">
            <w:pPr>
              <w:adjustRightInd w:val="0"/>
              <w:snapToGrid w:val="0"/>
              <w:jc w:val="center"/>
              <w:rPr>
                <w:rFonts w:ascii="ＭＳ 明朝" w:hAnsi="ＭＳ 明朝"/>
                <w:sz w:val="18"/>
                <w:szCs w:val="18"/>
              </w:rPr>
            </w:pPr>
          </w:p>
        </w:tc>
        <w:tc>
          <w:tcPr>
            <w:tcW w:w="850" w:type="dxa"/>
            <w:tcBorders>
              <w:top w:val="nil"/>
              <w:left w:val="nil"/>
              <w:bottom w:val="nil"/>
              <w:right w:val="single" w:sz="4" w:space="0" w:color="auto"/>
            </w:tcBorders>
            <w:noWrap/>
            <w:vAlign w:val="center"/>
          </w:tcPr>
          <w:p w14:paraId="57618B40"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0.15</w:t>
            </w:r>
          </w:p>
        </w:tc>
        <w:tc>
          <w:tcPr>
            <w:tcW w:w="1228" w:type="dxa"/>
            <w:tcBorders>
              <w:top w:val="nil"/>
              <w:left w:val="nil"/>
              <w:bottom w:val="nil"/>
              <w:right w:val="nil"/>
            </w:tcBorders>
            <w:noWrap/>
            <w:vAlign w:val="center"/>
          </w:tcPr>
          <w:p w14:paraId="5427F09D" w14:textId="77777777" w:rsidR="00F52111" w:rsidRPr="00BC31E0" w:rsidRDefault="00F52111" w:rsidP="004736F2">
            <w:pPr>
              <w:adjustRightInd w:val="0"/>
              <w:snapToGrid w:val="0"/>
              <w:jc w:val="center"/>
              <w:rPr>
                <w:rFonts w:ascii="ＭＳ 明朝" w:hAnsi="ＭＳ 明朝"/>
                <w:sz w:val="18"/>
                <w:szCs w:val="18"/>
              </w:rPr>
            </w:pPr>
            <w:r w:rsidRPr="00BC31E0">
              <w:rPr>
                <w:rFonts w:ascii="ＭＳ 明朝" w:hAnsi="ＭＳ 明朝"/>
                <w:sz w:val="18"/>
                <w:szCs w:val="18"/>
              </w:rPr>
              <w:t>―</w:t>
            </w:r>
          </w:p>
        </w:tc>
        <w:tc>
          <w:tcPr>
            <w:tcW w:w="1229" w:type="dxa"/>
            <w:tcBorders>
              <w:top w:val="nil"/>
              <w:left w:val="nil"/>
              <w:bottom w:val="nil"/>
              <w:right w:val="nil"/>
            </w:tcBorders>
            <w:noWrap/>
            <w:vAlign w:val="center"/>
          </w:tcPr>
          <w:p w14:paraId="1B469320"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0.0293</w:t>
            </w:r>
          </w:p>
        </w:tc>
        <w:tc>
          <w:tcPr>
            <w:tcW w:w="1228" w:type="dxa"/>
            <w:tcBorders>
              <w:top w:val="nil"/>
              <w:left w:val="nil"/>
              <w:bottom w:val="nil"/>
              <w:right w:val="nil"/>
            </w:tcBorders>
            <w:noWrap/>
            <w:vAlign w:val="center"/>
          </w:tcPr>
          <w:p w14:paraId="7D86EF2A"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0.0419</w:t>
            </w:r>
          </w:p>
        </w:tc>
        <w:tc>
          <w:tcPr>
            <w:tcW w:w="1229" w:type="dxa"/>
            <w:tcBorders>
              <w:top w:val="nil"/>
              <w:left w:val="nil"/>
              <w:bottom w:val="nil"/>
              <w:right w:val="nil"/>
            </w:tcBorders>
            <w:noWrap/>
            <w:vAlign w:val="center"/>
          </w:tcPr>
          <w:p w14:paraId="3C921578"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0.0527</w:t>
            </w:r>
          </w:p>
        </w:tc>
        <w:tc>
          <w:tcPr>
            <w:tcW w:w="1228" w:type="dxa"/>
            <w:tcBorders>
              <w:top w:val="nil"/>
              <w:left w:val="nil"/>
              <w:bottom w:val="nil"/>
              <w:right w:val="nil"/>
            </w:tcBorders>
            <w:noWrap/>
            <w:vAlign w:val="center"/>
          </w:tcPr>
          <w:p w14:paraId="4B4E7622"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0.0625</w:t>
            </w:r>
          </w:p>
        </w:tc>
        <w:tc>
          <w:tcPr>
            <w:tcW w:w="1229" w:type="dxa"/>
            <w:tcBorders>
              <w:top w:val="nil"/>
              <w:left w:val="nil"/>
              <w:bottom w:val="nil"/>
              <w:right w:val="single" w:sz="4" w:space="0" w:color="auto"/>
            </w:tcBorders>
            <w:noWrap/>
            <w:vAlign w:val="center"/>
          </w:tcPr>
          <w:p w14:paraId="1C16D284"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0.0716</w:t>
            </w:r>
          </w:p>
        </w:tc>
      </w:tr>
      <w:tr w:rsidR="00F52111" w:rsidRPr="00BC31E0" w14:paraId="7DB97EEF" w14:textId="77777777" w:rsidTr="004736F2">
        <w:trPr>
          <w:cantSplit/>
          <w:jc w:val="center"/>
        </w:trPr>
        <w:tc>
          <w:tcPr>
            <w:tcW w:w="851" w:type="dxa"/>
            <w:vMerge/>
            <w:tcBorders>
              <w:left w:val="single" w:sz="4" w:space="0" w:color="auto"/>
              <w:right w:val="single" w:sz="4" w:space="0" w:color="auto"/>
            </w:tcBorders>
            <w:noWrap/>
            <w:vAlign w:val="center"/>
          </w:tcPr>
          <w:p w14:paraId="5F8802F5" w14:textId="77777777" w:rsidR="00F52111" w:rsidRPr="00BC31E0" w:rsidRDefault="00F52111" w:rsidP="004736F2">
            <w:pPr>
              <w:adjustRightInd w:val="0"/>
              <w:snapToGrid w:val="0"/>
              <w:jc w:val="center"/>
              <w:rPr>
                <w:rFonts w:ascii="ＭＳ 明朝" w:hAnsi="ＭＳ 明朝"/>
                <w:sz w:val="18"/>
                <w:szCs w:val="18"/>
              </w:rPr>
            </w:pPr>
          </w:p>
        </w:tc>
        <w:tc>
          <w:tcPr>
            <w:tcW w:w="850" w:type="dxa"/>
            <w:tcBorders>
              <w:top w:val="nil"/>
              <w:left w:val="nil"/>
              <w:bottom w:val="nil"/>
              <w:right w:val="single" w:sz="4" w:space="0" w:color="auto"/>
            </w:tcBorders>
            <w:noWrap/>
            <w:vAlign w:val="center"/>
          </w:tcPr>
          <w:p w14:paraId="7FE64AD7"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0.20</w:t>
            </w:r>
          </w:p>
        </w:tc>
        <w:tc>
          <w:tcPr>
            <w:tcW w:w="1228" w:type="dxa"/>
            <w:tcBorders>
              <w:top w:val="nil"/>
              <w:left w:val="nil"/>
              <w:bottom w:val="nil"/>
              <w:right w:val="nil"/>
            </w:tcBorders>
            <w:noWrap/>
            <w:vAlign w:val="center"/>
          </w:tcPr>
          <w:p w14:paraId="40D21224" w14:textId="77777777" w:rsidR="00F52111" w:rsidRPr="00BC31E0" w:rsidRDefault="00F52111" w:rsidP="004736F2">
            <w:pPr>
              <w:adjustRightInd w:val="0"/>
              <w:snapToGrid w:val="0"/>
              <w:jc w:val="center"/>
              <w:rPr>
                <w:rFonts w:ascii="ＭＳ 明朝" w:hAnsi="ＭＳ 明朝"/>
                <w:sz w:val="18"/>
                <w:szCs w:val="18"/>
              </w:rPr>
            </w:pPr>
            <w:r w:rsidRPr="00BC31E0">
              <w:rPr>
                <w:rFonts w:ascii="ＭＳ 明朝" w:hAnsi="ＭＳ 明朝"/>
                <w:sz w:val="18"/>
                <w:szCs w:val="18"/>
              </w:rPr>
              <w:t>―</w:t>
            </w:r>
          </w:p>
        </w:tc>
        <w:tc>
          <w:tcPr>
            <w:tcW w:w="1229" w:type="dxa"/>
            <w:tcBorders>
              <w:top w:val="nil"/>
              <w:left w:val="nil"/>
              <w:bottom w:val="nil"/>
              <w:right w:val="nil"/>
            </w:tcBorders>
            <w:noWrap/>
            <w:vAlign w:val="center"/>
          </w:tcPr>
          <w:p w14:paraId="560EC89E"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0.0313</w:t>
            </w:r>
          </w:p>
        </w:tc>
        <w:tc>
          <w:tcPr>
            <w:tcW w:w="1228" w:type="dxa"/>
            <w:tcBorders>
              <w:top w:val="nil"/>
              <w:left w:val="nil"/>
              <w:bottom w:val="nil"/>
              <w:right w:val="nil"/>
            </w:tcBorders>
            <w:noWrap/>
            <w:vAlign w:val="center"/>
          </w:tcPr>
          <w:p w14:paraId="10333190"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0.0450</w:t>
            </w:r>
          </w:p>
        </w:tc>
        <w:tc>
          <w:tcPr>
            <w:tcW w:w="1229" w:type="dxa"/>
            <w:tcBorders>
              <w:top w:val="nil"/>
              <w:left w:val="nil"/>
              <w:bottom w:val="nil"/>
              <w:right w:val="nil"/>
            </w:tcBorders>
            <w:noWrap/>
            <w:vAlign w:val="center"/>
          </w:tcPr>
          <w:p w14:paraId="170124D3"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0.0565</w:t>
            </w:r>
          </w:p>
        </w:tc>
        <w:tc>
          <w:tcPr>
            <w:tcW w:w="1228" w:type="dxa"/>
            <w:tcBorders>
              <w:top w:val="nil"/>
              <w:left w:val="nil"/>
              <w:bottom w:val="nil"/>
              <w:right w:val="nil"/>
            </w:tcBorders>
            <w:noWrap/>
            <w:vAlign w:val="center"/>
          </w:tcPr>
          <w:p w14:paraId="21EE7F62"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0.0669</w:t>
            </w:r>
          </w:p>
        </w:tc>
        <w:tc>
          <w:tcPr>
            <w:tcW w:w="1229" w:type="dxa"/>
            <w:tcBorders>
              <w:top w:val="nil"/>
              <w:left w:val="nil"/>
              <w:bottom w:val="nil"/>
              <w:right w:val="single" w:sz="4" w:space="0" w:color="auto"/>
            </w:tcBorders>
            <w:noWrap/>
            <w:vAlign w:val="center"/>
          </w:tcPr>
          <w:p w14:paraId="55998614"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0.0764</w:t>
            </w:r>
          </w:p>
        </w:tc>
      </w:tr>
      <w:tr w:rsidR="00F52111" w:rsidRPr="00BC31E0" w14:paraId="6FBD1988" w14:textId="77777777" w:rsidTr="004736F2">
        <w:trPr>
          <w:cantSplit/>
          <w:jc w:val="center"/>
        </w:trPr>
        <w:tc>
          <w:tcPr>
            <w:tcW w:w="851" w:type="dxa"/>
            <w:vMerge/>
            <w:tcBorders>
              <w:left w:val="single" w:sz="4" w:space="0" w:color="auto"/>
              <w:right w:val="single" w:sz="4" w:space="0" w:color="auto"/>
            </w:tcBorders>
            <w:noWrap/>
            <w:vAlign w:val="center"/>
          </w:tcPr>
          <w:p w14:paraId="50479694" w14:textId="77777777" w:rsidR="00F52111" w:rsidRPr="00BC31E0" w:rsidRDefault="00F52111" w:rsidP="004736F2">
            <w:pPr>
              <w:adjustRightInd w:val="0"/>
              <w:snapToGrid w:val="0"/>
              <w:jc w:val="center"/>
              <w:rPr>
                <w:rFonts w:ascii="ＭＳ 明朝" w:hAnsi="ＭＳ 明朝"/>
                <w:sz w:val="22"/>
                <w:szCs w:val="22"/>
              </w:rPr>
            </w:pPr>
          </w:p>
        </w:tc>
        <w:tc>
          <w:tcPr>
            <w:tcW w:w="850" w:type="dxa"/>
            <w:tcBorders>
              <w:top w:val="nil"/>
              <w:left w:val="single" w:sz="4" w:space="0" w:color="auto"/>
              <w:bottom w:val="nil"/>
              <w:right w:val="single" w:sz="4" w:space="0" w:color="auto"/>
            </w:tcBorders>
            <w:noWrap/>
            <w:vAlign w:val="center"/>
          </w:tcPr>
          <w:p w14:paraId="65687A10"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0.25</w:t>
            </w:r>
          </w:p>
        </w:tc>
        <w:tc>
          <w:tcPr>
            <w:tcW w:w="1228" w:type="dxa"/>
            <w:tcBorders>
              <w:top w:val="nil"/>
              <w:left w:val="nil"/>
              <w:bottom w:val="nil"/>
              <w:right w:val="nil"/>
            </w:tcBorders>
            <w:noWrap/>
            <w:vAlign w:val="center"/>
          </w:tcPr>
          <w:p w14:paraId="741FB0E5" w14:textId="77777777" w:rsidR="00F52111" w:rsidRPr="00BC31E0" w:rsidRDefault="00F52111" w:rsidP="004736F2">
            <w:pPr>
              <w:adjustRightInd w:val="0"/>
              <w:snapToGrid w:val="0"/>
              <w:jc w:val="center"/>
              <w:rPr>
                <w:rFonts w:ascii="ＭＳ 明朝" w:hAnsi="ＭＳ 明朝"/>
                <w:sz w:val="18"/>
                <w:szCs w:val="18"/>
              </w:rPr>
            </w:pPr>
            <w:r w:rsidRPr="00BC31E0">
              <w:rPr>
                <w:rFonts w:ascii="ＭＳ 明朝" w:hAnsi="ＭＳ 明朝"/>
                <w:sz w:val="18"/>
                <w:szCs w:val="18"/>
              </w:rPr>
              <w:t>―</w:t>
            </w:r>
          </w:p>
        </w:tc>
        <w:tc>
          <w:tcPr>
            <w:tcW w:w="1229" w:type="dxa"/>
            <w:tcBorders>
              <w:top w:val="nil"/>
              <w:left w:val="nil"/>
              <w:bottom w:val="nil"/>
              <w:right w:val="nil"/>
            </w:tcBorders>
            <w:noWrap/>
            <w:vAlign w:val="center"/>
          </w:tcPr>
          <w:p w14:paraId="7ED22F68"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0.0338</w:t>
            </w:r>
          </w:p>
        </w:tc>
        <w:tc>
          <w:tcPr>
            <w:tcW w:w="1228" w:type="dxa"/>
            <w:tcBorders>
              <w:top w:val="nil"/>
              <w:left w:val="nil"/>
              <w:bottom w:val="nil"/>
              <w:right w:val="nil"/>
            </w:tcBorders>
            <w:noWrap/>
            <w:vAlign w:val="center"/>
          </w:tcPr>
          <w:p w14:paraId="6071B07A"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0.0484</w:t>
            </w:r>
          </w:p>
        </w:tc>
        <w:tc>
          <w:tcPr>
            <w:tcW w:w="1229" w:type="dxa"/>
            <w:tcBorders>
              <w:top w:val="nil"/>
              <w:left w:val="nil"/>
              <w:bottom w:val="nil"/>
              <w:right w:val="nil"/>
            </w:tcBorders>
            <w:noWrap/>
            <w:vAlign w:val="center"/>
          </w:tcPr>
          <w:p w14:paraId="048C105D"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0.0605</w:t>
            </w:r>
          </w:p>
        </w:tc>
        <w:tc>
          <w:tcPr>
            <w:tcW w:w="1228" w:type="dxa"/>
            <w:tcBorders>
              <w:top w:val="nil"/>
              <w:left w:val="nil"/>
              <w:bottom w:val="nil"/>
              <w:right w:val="nil"/>
            </w:tcBorders>
            <w:noWrap/>
            <w:vAlign w:val="center"/>
          </w:tcPr>
          <w:p w14:paraId="0C5C83AC"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0.0713</w:t>
            </w:r>
          </w:p>
        </w:tc>
        <w:tc>
          <w:tcPr>
            <w:tcW w:w="1229" w:type="dxa"/>
            <w:tcBorders>
              <w:top w:val="nil"/>
              <w:left w:val="nil"/>
              <w:bottom w:val="nil"/>
              <w:right w:val="single" w:sz="4" w:space="0" w:color="auto"/>
            </w:tcBorders>
            <w:noWrap/>
            <w:vAlign w:val="center"/>
          </w:tcPr>
          <w:p w14:paraId="543426B0"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0.0812</w:t>
            </w:r>
          </w:p>
        </w:tc>
      </w:tr>
      <w:tr w:rsidR="00F52111" w:rsidRPr="00BC31E0" w14:paraId="6995D3E6" w14:textId="77777777" w:rsidTr="004736F2">
        <w:trPr>
          <w:cantSplit/>
          <w:jc w:val="center"/>
        </w:trPr>
        <w:tc>
          <w:tcPr>
            <w:tcW w:w="851" w:type="dxa"/>
            <w:vMerge/>
            <w:tcBorders>
              <w:left w:val="single" w:sz="4" w:space="0" w:color="auto"/>
              <w:right w:val="single" w:sz="4" w:space="0" w:color="auto"/>
            </w:tcBorders>
            <w:vAlign w:val="center"/>
          </w:tcPr>
          <w:p w14:paraId="44897051" w14:textId="77777777" w:rsidR="00F52111" w:rsidRPr="00BC31E0" w:rsidRDefault="00F52111" w:rsidP="004736F2">
            <w:pPr>
              <w:adjustRightInd w:val="0"/>
              <w:snapToGrid w:val="0"/>
              <w:jc w:val="center"/>
              <w:rPr>
                <w:rFonts w:ascii="ＭＳ 明朝" w:hAnsi="ＭＳ 明朝"/>
                <w:sz w:val="22"/>
                <w:szCs w:val="22"/>
              </w:rPr>
            </w:pPr>
          </w:p>
        </w:tc>
        <w:tc>
          <w:tcPr>
            <w:tcW w:w="850" w:type="dxa"/>
            <w:tcBorders>
              <w:top w:val="nil"/>
              <w:left w:val="single" w:sz="4" w:space="0" w:color="auto"/>
              <w:bottom w:val="nil"/>
              <w:right w:val="single" w:sz="4" w:space="0" w:color="auto"/>
            </w:tcBorders>
            <w:noWrap/>
            <w:vAlign w:val="center"/>
          </w:tcPr>
          <w:p w14:paraId="67A69B48"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0.30</w:t>
            </w:r>
          </w:p>
        </w:tc>
        <w:tc>
          <w:tcPr>
            <w:tcW w:w="1228" w:type="dxa"/>
            <w:tcBorders>
              <w:top w:val="nil"/>
              <w:left w:val="nil"/>
              <w:bottom w:val="nil"/>
              <w:right w:val="nil"/>
            </w:tcBorders>
            <w:noWrap/>
            <w:vAlign w:val="center"/>
          </w:tcPr>
          <w:p w14:paraId="7D9FFA69" w14:textId="77777777" w:rsidR="00F52111" w:rsidRPr="00BC31E0" w:rsidRDefault="00F52111" w:rsidP="004736F2">
            <w:pPr>
              <w:adjustRightInd w:val="0"/>
              <w:snapToGrid w:val="0"/>
              <w:jc w:val="center"/>
              <w:rPr>
                <w:rFonts w:ascii="ＭＳ 明朝" w:hAnsi="ＭＳ 明朝"/>
                <w:sz w:val="18"/>
                <w:szCs w:val="18"/>
              </w:rPr>
            </w:pPr>
            <w:r w:rsidRPr="00BC31E0">
              <w:rPr>
                <w:rFonts w:ascii="ＭＳ 明朝" w:hAnsi="ＭＳ 明朝"/>
                <w:sz w:val="18"/>
                <w:szCs w:val="18"/>
              </w:rPr>
              <w:t>―</w:t>
            </w:r>
          </w:p>
        </w:tc>
        <w:tc>
          <w:tcPr>
            <w:tcW w:w="1229" w:type="dxa"/>
            <w:tcBorders>
              <w:top w:val="nil"/>
              <w:left w:val="nil"/>
              <w:bottom w:val="nil"/>
              <w:right w:val="nil"/>
            </w:tcBorders>
            <w:noWrap/>
            <w:vAlign w:val="center"/>
          </w:tcPr>
          <w:p w14:paraId="7D568580"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0.0368</w:t>
            </w:r>
          </w:p>
        </w:tc>
        <w:tc>
          <w:tcPr>
            <w:tcW w:w="1228" w:type="dxa"/>
            <w:tcBorders>
              <w:top w:val="nil"/>
              <w:left w:val="nil"/>
              <w:bottom w:val="nil"/>
              <w:right w:val="nil"/>
            </w:tcBorders>
            <w:noWrap/>
            <w:vAlign w:val="center"/>
          </w:tcPr>
          <w:p w14:paraId="7B4C8D56"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0.0521</w:t>
            </w:r>
          </w:p>
        </w:tc>
        <w:tc>
          <w:tcPr>
            <w:tcW w:w="1229" w:type="dxa"/>
            <w:tcBorders>
              <w:top w:val="nil"/>
              <w:left w:val="nil"/>
              <w:bottom w:val="nil"/>
              <w:right w:val="nil"/>
            </w:tcBorders>
            <w:noWrap/>
            <w:vAlign w:val="center"/>
          </w:tcPr>
          <w:p w14:paraId="42D7169A"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0.0646</w:t>
            </w:r>
          </w:p>
        </w:tc>
        <w:tc>
          <w:tcPr>
            <w:tcW w:w="1228" w:type="dxa"/>
            <w:tcBorders>
              <w:top w:val="nil"/>
              <w:left w:val="nil"/>
              <w:bottom w:val="nil"/>
              <w:right w:val="nil"/>
            </w:tcBorders>
            <w:noWrap/>
            <w:vAlign w:val="center"/>
          </w:tcPr>
          <w:p w14:paraId="508ADD3F"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0.0757</w:t>
            </w:r>
          </w:p>
        </w:tc>
        <w:tc>
          <w:tcPr>
            <w:tcW w:w="1229" w:type="dxa"/>
            <w:tcBorders>
              <w:top w:val="nil"/>
              <w:left w:val="nil"/>
              <w:bottom w:val="nil"/>
              <w:right w:val="single" w:sz="4" w:space="0" w:color="auto"/>
            </w:tcBorders>
            <w:noWrap/>
            <w:vAlign w:val="center"/>
          </w:tcPr>
          <w:p w14:paraId="7A56A8C7"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0.0858</w:t>
            </w:r>
          </w:p>
        </w:tc>
      </w:tr>
      <w:tr w:rsidR="00F52111" w:rsidRPr="00BC31E0" w14:paraId="4CEF4B8E" w14:textId="77777777" w:rsidTr="004736F2">
        <w:trPr>
          <w:cantSplit/>
          <w:jc w:val="center"/>
        </w:trPr>
        <w:tc>
          <w:tcPr>
            <w:tcW w:w="851" w:type="dxa"/>
            <w:vMerge/>
            <w:tcBorders>
              <w:left w:val="single" w:sz="4" w:space="0" w:color="auto"/>
              <w:right w:val="single" w:sz="4" w:space="0" w:color="auto"/>
            </w:tcBorders>
            <w:noWrap/>
            <w:vAlign w:val="center"/>
          </w:tcPr>
          <w:p w14:paraId="33EF1744" w14:textId="77777777" w:rsidR="00F52111" w:rsidRPr="00BC31E0" w:rsidRDefault="00F52111" w:rsidP="004736F2">
            <w:pPr>
              <w:adjustRightInd w:val="0"/>
              <w:snapToGrid w:val="0"/>
              <w:jc w:val="center"/>
              <w:rPr>
                <w:rFonts w:ascii="ＭＳ 明朝" w:hAnsi="ＭＳ 明朝"/>
                <w:sz w:val="18"/>
                <w:szCs w:val="18"/>
              </w:rPr>
            </w:pPr>
          </w:p>
        </w:tc>
        <w:tc>
          <w:tcPr>
            <w:tcW w:w="850" w:type="dxa"/>
            <w:tcBorders>
              <w:top w:val="nil"/>
              <w:left w:val="nil"/>
              <w:bottom w:val="nil"/>
              <w:right w:val="single" w:sz="4" w:space="0" w:color="auto"/>
            </w:tcBorders>
            <w:noWrap/>
            <w:vAlign w:val="center"/>
          </w:tcPr>
          <w:p w14:paraId="765C5714"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0.40</w:t>
            </w:r>
          </w:p>
        </w:tc>
        <w:tc>
          <w:tcPr>
            <w:tcW w:w="1228" w:type="dxa"/>
            <w:tcBorders>
              <w:top w:val="nil"/>
              <w:left w:val="nil"/>
              <w:bottom w:val="nil"/>
              <w:right w:val="nil"/>
            </w:tcBorders>
            <w:noWrap/>
            <w:vAlign w:val="center"/>
          </w:tcPr>
          <w:p w14:paraId="4F859021" w14:textId="77777777" w:rsidR="00F52111" w:rsidRPr="00BC31E0" w:rsidRDefault="00F52111" w:rsidP="004736F2">
            <w:pPr>
              <w:adjustRightInd w:val="0"/>
              <w:snapToGrid w:val="0"/>
              <w:jc w:val="center"/>
              <w:rPr>
                <w:rFonts w:ascii="ＭＳ 明朝" w:hAnsi="ＭＳ 明朝"/>
                <w:sz w:val="18"/>
                <w:szCs w:val="18"/>
              </w:rPr>
            </w:pPr>
            <w:r w:rsidRPr="00BC31E0">
              <w:rPr>
                <w:rFonts w:ascii="ＭＳ 明朝" w:hAnsi="ＭＳ 明朝"/>
                <w:sz w:val="18"/>
                <w:szCs w:val="18"/>
              </w:rPr>
              <w:t>―</w:t>
            </w:r>
          </w:p>
        </w:tc>
        <w:tc>
          <w:tcPr>
            <w:tcW w:w="1229" w:type="dxa"/>
            <w:tcBorders>
              <w:top w:val="nil"/>
              <w:left w:val="nil"/>
              <w:bottom w:val="nil"/>
              <w:right w:val="nil"/>
            </w:tcBorders>
            <w:noWrap/>
            <w:vAlign w:val="center"/>
          </w:tcPr>
          <w:p w14:paraId="51F71130"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0.0445</w:t>
            </w:r>
          </w:p>
        </w:tc>
        <w:tc>
          <w:tcPr>
            <w:tcW w:w="1228" w:type="dxa"/>
            <w:tcBorders>
              <w:top w:val="nil"/>
              <w:left w:val="nil"/>
              <w:bottom w:val="nil"/>
              <w:right w:val="nil"/>
            </w:tcBorders>
            <w:noWrap/>
            <w:vAlign w:val="center"/>
          </w:tcPr>
          <w:p w14:paraId="0E5B380E"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0.0607</w:t>
            </w:r>
          </w:p>
        </w:tc>
        <w:tc>
          <w:tcPr>
            <w:tcW w:w="1229" w:type="dxa"/>
            <w:tcBorders>
              <w:top w:val="nil"/>
              <w:left w:val="nil"/>
              <w:bottom w:val="nil"/>
              <w:right w:val="nil"/>
            </w:tcBorders>
            <w:noWrap/>
            <w:vAlign w:val="center"/>
          </w:tcPr>
          <w:p w14:paraId="5C822DDA"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0.0735</w:t>
            </w:r>
          </w:p>
        </w:tc>
        <w:tc>
          <w:tcPr>
            <w:tcW w:w="1228" w:type="dxa"/>
            <w:tcBorders>
              <w:top w:val="nil"/>
              <w:left w:val="nil"/>
              <w:bottom w:val="nil"/>
              <w:right w:val="nil"/>
            </w:tcBorders>
            <w:noWrap/>
            <w:vAlign w:val="center"/>
          </w:tcPr>
          <w:p w14:paraId="0925E9F4"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0.0846</w:t>
            </w:r>
          </w:p>
        </w:tc>
        <w:tc>
          <w:tcPr>
            <w:tcW w:w="1229" w:type="dxa"/>
            <w:tcBorders>
              <w:top w:val="nil"/>
              <w:left w:val="nil"/>
              <w:bottom w:val="nil"/>
              <w:right w:val="single" w:sz="4" w:space="0" w:color="auto"/>
            </w:tcBorders>
            <w:noWrap/>
            <w:vAlign w:val="center"/>
          </w:tcPr>
          <w:p w14:paraId="0E8CDC62"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0.0946</w:t>
            </w:r>
          </w:p>
        </w:tc>
      </w:tr>
      <w:tr w:rsidR="00F52111" w:rsidRPr="00BC31E0" w14:paraId="696D4718" w14:textId="77777777" w:rsidTr="004736F2">
        <w:trPr>
          <w:cantSplit/>
          <w:jc w:val="center"/>
        </w:trPr>
        <w:tc>
          <w:tcPr>
            <w:tcW w:w="851" w:type="dxa"/>
            <w:vMerge/>
            <w:tcBorders>
              <w:left w:val="single" w:sz="4" w:space="0" w:color="auto"/>
              <w:right w:val="single" w:sz="4" w:space="0" w:color="auto"/>
            </w:tcBorders>
            <w:noWrap/>
            <w:vAlign w:val="center"/>
          </w:tcPr>
          <w:p w14:paraId="13326A05" w14:textId="77777777" w:rsidR="00F52111" w:rsidRPr="00BC31E0" w:rsidRDefault="00F52111" w:rsidP="004736F2">
            <w:pPr>
              <w:adjustRightInd w:val="0"/>
              <w:snapToGrid w:val="0"/>
              <w:jc w:val="center"/>
              <w:rPr>
                <w:rFonts w:ascii="ＭＳ 明朝" w:hAnsi="ＭＳ 明朝"/>
                <w:sz w:val="18"/>
                <w:szCs w:val="18"/>
              </w:rPr>
            </w:pPr>
          </w:p>
        </w:tc>
        <w:tc>
          <w:tcPr>
            <w:tcW w:w="850" w:type="dxa"/>
            <w:tcBorders>
              <w:top w:val="nil"/>
              <w:left w:val="nil"/>
              <w:bottom w:val="nil"/>
              <w:right w:val="single" w:sz="4" w:space="0" w:color="auto"/>
            </w:tcBorders>
            <w:noWrap/>
            <w:vAlign w:val="center"/>
          </w:tcPr>
          <w:p w14:paraId="1019F6B8"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0.50</w:t>
            </w:r>
          </w:p>
        </w:tc>
        <w:tc>
          <w:tcPr>
            <w:tcW w:w="1228" w:type="dxa"/>
            <w:tcBorders>
              <w:top w:val="nil"/>
              <w:left w:val="nil"/>
              <w:bottom w:val="nil"/>
              <w:right w:val="nil"/>
            </w:tcBorders>
            <w:noWrap/>
            <w:vAlign w:val="center"/>
          </w:tcPr>
          <w:p w14:paraId="4F1AAD76" w14:textId="77777777" w:rsidR="00F52111" w:rsidRPr="00BC31E0" w:rsidRDefault="00F52111" w:rsidP="004736F2">
            <w:pPr>
              <w:adjustRightInd w:val="0"/>
              <w:snapToGrid w:val="0"/>
              <w:jc w:val="center"/>
              <w:rPr>
                <w:rFonts w:ascii="ＭＳ 明朝" w:hAnsi="ＭＳ 明朝"/>
                <w:sz w:val="18"/>
                <w:szCs w:val="18"/>
              </w:rPr>
            </w:pPr>
            <w:r w:rsidRPr="00BC31E0">
              <w:rPr>
                <w:rFonts w:ascii="ＭＳ 明朝" w:hAnsi="ＭＳ 明朝"/>
                <w:sz w:val="18"/>
                <w:szCs w:val="18"/>
              </w:rPr>
              <w:t>―</w:t>
            </w:r>
          </w:p>
        </w:tc>
        <w:tc>
          <w:tcPr>
            <w:tcW w:w="1229" w:type="dxa"/>
            <w:tcBorders>
              <w:top w:val="nil"/>
              <w:left w:val="nil"/>
              <w:bottom w:val="nil"/>
              <w:right w:val="nil"/>
            </w:tcBorders>
            <w:noWrap/>
            <w:vAlign w:val="center"/>
          </w:tcPr>
          <w:p w14:paraId="4D7D5FAF"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0.0552</w:t>
            </w:r>
          </w:p>
        </w:tc>
        <w:tc>
          <w:tcPr>
            <w:tcW w:w="1228" w:type="dxa"/>
            <w:tcBorders>
              <w:top w:val="nil"/>
              <w:left w:val="nil"/>
              <w:bottom w:val="nil"/>
              <w:right w:val="nil"/>
            </w:tcBorders>
            <w:noWrap/>
            <w:vAlign w:val="center"/>
          </w:tcPr>
          <w:p w14:paraId="5DCC91EB"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0.0712</w:t>
            </w:r>
          </w:p>
        </w:tc>
        <w:tc>
          <w:tcPr>
            <w:tcW w:w="1229" w:type="dxa"/>
            <w:tcBorders>
              <w:top w:val="nil"/>
              <w:left w:val="nil"/>
              <w:bottom w:val="nil"/>
              <w:right w:val="nil"/>
            </w:tcBorders>
            <w:noWrap/>
            <w:vAlign w:val="center"/>
          </w:tcPr>
          <w:p w14:paraId="0C06B9F1"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0.0834</w:t>
            </w:r>
          </w:p>
        </w:tc>
        <w:tc>
          <w:tcPr>
            <w:tcW w:w="1228" w:type="dxa"/>
            <w:tcBorders>
              <w:top w:val="nil"/>
              <w:left w:val="nil"/>
              <w:bottom w:val="nil"/>
              <w:right w:val="nil"/>
            </w:tcBorders>
            <w:noWrap/>
            <w:vAlign w:val="center"/>
          </w:tcPr>
          <w:p w14:paraId="791816A8"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0.0938</w:t>
            </w:r>
          </w:p>
        </w:tc>
        <w:tc>
          <w:tcPr>
            <w:tcW w:w="1229" w:type="dxa"/>
            <w:tcBorders>
              <w:top w:val="nil"/>
              <w:left w:val="nil"/>
              <w:bottom w:val="nil"/>
              <w:right w:val="single" w:sz="4" w:space="0" w:color="auto"/>
            </w:tcBorders>
            <w:noWrap/>
            <w:vAlign w:val="center"/>
          </w:tcPr>
          <w:p w14:paraId="2C2A2F82"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0.1030</w:t>
            </w:r>
          </w:p>
        </w:tc>
      </w:tr>
      <w:tr w:rsidR="00F52111" w:rsidRPr="00BC31E0" w14:paraId="3FE9B5F7" w14:textId="77777777" w:rsidTr="004736F2">
        <w:trPr>
          <w:cantSplit/>
          <w:jc w:val="center"/>
        </w:trPr>
        <w:tc>
          <w:tcPr>
            <w:tcW w:w="851" w:type="dxa"/>
            <w:vMerge/>
            <w:tcBorders>
              <w:left w:val="single" w:sz="4" w:space="0" w:color="auto"/>
              <w:right w:val="single" w:sz="4" w:space="0" w:color="auto"/>
            </w:tcBorders>
            <w:noWrap/>
            <w:vAlign w:val="center"/>
          </w:tcPr>
          <w:p w14:paraId="204D5EC1" w14:textId="77777777" w:rsidR="00F52111" w:rsidRPr="00BC31E0" w:rsidRDefault="00F52111" w:rsidP="004736F2">
            <w:pPr>
              <w:adjustRightInd w:val="0"/>
              <w:snapToGrid w:val="0"/>
              <w:jc w:val="center"/>
              <w:rPr>
                <w:rFonts w:ascii="ＭＳ 明朝" w:hAnsi="ＭＳ 明朝"/>
                <w:sz w:val="18"/>
                <w:szCs w:val="18"/>
              </w:rPr>
            </w:pPr>
          </w:p>
        </w:tc>
        <w:tc>
          <w:tcPr>
            <w:tcW w:w="850" w:type="dxa"/>
            <w:tcBorders>
              <w:top w:val="nil"/>
              <w:left w:val="nil"/>
              <w:bottom w:val="nil"/>
              <w:right w:val="single" w:sz="4" w:space="0" w:color="auto"/>
            </w:tcBorders>
            <w:noWrap/>
            <w:vAlign w:val="center"/>
          </w:tcPr>
          <w:p w14:paraId="5338CF54"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0.60</w:t>
            </w:r>
          </w:p>
        </w:tc>
        <w:tc>
          <w:tcPr>
            <w:tcW w:w="1228" w:type="dxa"/>
            <w:tcBorders>
              <w:top w:val="nil"/>
              <w:left w:val="nil"/>
              <w:right w:val="nil"/>
            </w:tcBorders>
            <w:shd w:val="clear" w:color="auto" w:fill="auto"/>
            <w:noWrap/>
            <w:vAlign w:val="center"/>
          </w:tcPr>
          <w:p w14:paraId="4576B2B7" w14:textId="77777777" w:rsidR="00F52111" w:rsidRPr="00BC31E0" w:rsidRDefault="00F52111" w:rsidP="004736F2">
            <w:pPr>
              <w:adjustRightInd w:val="0"/>
              <w:snapToGrid w:val="0"/>
              <w:jc w:val="center"/>
              <w:rPr>
                <w:rFonts w:ascii="ＭＳ 明朝" w:hAnsi="ＭＳ 明朝"/>
                <w:sz w:val="18"/>
                <w:szCs w:val="18"/>
              </w:rPr>
            </w:pPr>
            <w:r w:rsidRPr="00BC31E0">
              <w:rPr>
                <w:rFonts w:ascii="ＭＳ 明朝" w:hAnsi="ＭＳ 明朝"/>
                <w:sz w:val="18"/>
                <w:szCs w:val="18"/>
              </w:rPr>
              <w:t>―</w:t>
            </w:r>
          </w:p>
        </w:tc>
        <w:tc>
          <w:tcPr>
            <w:tcW w:w="1229" w:type="dxa"/>
            <w:tcBorders>
              <w:top w:val="nil"/>
              <w:left w:val="nil"/>
              <w:bottom w:val="nil"/>
              <w:right w:val="nil"/>
            </w:tcBorders>
            <w:noWrap/>
            <w:vAlign w:val="center"/>
          </w:tcPr>
          <w:p w14:paraId="75B2F137"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0.0700</w:t>
            </w:r>
          </w:p>
        </w:tc>
        <w:tc>
          <w:tcPr>
            <w:tcW w:w="1228" w:type="dxa"/>
            <w:tcBorders>
              <w:top w:val="nil"/>
              <w:left w:val="nil"/>
              <w:bottom w:val="nil"/>
              <w:right w:val="nil"/>
            </w:tcBorders>
            <w:noWrap/>
            <w:vAlign w:val="center"/>
          </w:tcPr>
          <w:p w14:paraId="6CDCC9E8"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0.0842</w:t>
            </w:r>
          </w:p>
        </w:tc>
        <w:tc>
          <w:tcPr>
            <w:tcW w:w="1229" w:type="dxa"/>
            <w:tcBorders>
              <w:top w:val="nil"/>
              <w:left w:val="nil"/>
              <w:bottom w:val="nil"/>
              <w:right w:val="nil"/>
            </w:tcBorders>
            <w:noWrap/>
            <w:vAlign w:val="center"/>
          </w:tcPr>
          <w:p w14:paraId="6D3ABE18"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0.0946</w:t>
            </w:r>
          </w:p>
        </w:tc>
        <w:tc>
          <w:tcPr>
            <w:tcW w:w="1228" w:type="dxa"/>
            <w:tcBorders>
              <w:top w:val="nil"/>
              <w:left w:val="nil"/>
              <w:bottom w:val="nil"/>
              <w:right w:val="nil"/>
            </w:tcBorders>
            <w:noWrap/>
            <w:vAlign w:val="center"/>
          </w:tcPr>
          <w:p w14:paraId="019B7F75"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0.1033</w:t>
            </w:r>
          </w:p>
        </w:tc>
        <w:tc>
          <w:tcPr>
            <w:tcW w:w="1229" w:type="dxa"/>
            <w:tcBorders>
              <w:top w:val="nil"/>
              <w:left w:val="nil"/>
              <w:bottom w:val="nil"/>
              <w:right w:val="single" w:sz="4" w:space="0" w:color="auto"/>
            </w:tcBorders>
            <w:noWrap/>
            <w:vAlign w:val="center"/>
          </w:tcPr>
          <w:p w14:paraId="45754BCC"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0.1109</w:t>
            </w:r>
          </w:p>
        </w:tc>
      </w:tr>
      <w:tr w:rsidR="00F52111" w:rsidRPr="00BC31E0" w14:paraId="7123D647" w14:textId="77777777" w:rsidTr="004736F2">
        <w:trPr>
          <w:cantSplit/>
          <w:jc w:val="center"/>
        </w:trPr>
        <w:tc>
          <w:tcPr>
            <w:tcW w:w="851" w:type="dxa"/>
            <w:vMerge/>
            <w:tcBorders>
              <w:left w:val="single" w:sz="4" w:space="0" w:color="auto"/>
              <w:right w:val="single" w:sz="4" w:space="0" w:color="auto"/>
            </w:tcBorders>
            <w:noWrap/>
            <w:vAlign w:val="center"/>
          </w:tcPr>
          <w:p w14:paraId="03F69668" w14:textId="77777777" w:rsidR="00F52111" w:rsidRPr="00BC31E0" w:rsidRDefault="00F52111" w:rsidP="004736F2">
            <w:pPr>
              <w:adjustRightInd w:val="0"/>
              <w:snapToGrid w:val="0"/>
              <w:jc w:val="center"/>
              <w:rPr>
                <w:rFonts w:ascii="ＭＳ 明朝" w:hAnsi="ＭＳ 明朝"/>
                <w:sz w:val="18"/>
                <w:szCs w:val="18"/>
              </w:rPr>
            </w:pPr>
          </w:p>
        </w:tc>
        <w:tc>
          <w:tcPr>
            <w:tcW w:w="850" w:type="dxa"/>
            <w:tcBorders>
              <w:top w:val="nil"/>
              <w:left w:val="nil"/>
              <w:bottom w:val="nil"/>
              <w:right w:val="single" w:sz="4" w:space="0" w:color="auto"/>
            </w:tcBorders>
            <w:noWrap/>
            <w:vAlign w:val="center"/>
          </w:tcPr>
          <w:p w14:paraId="25F4C6CF"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0.70</w:t>
            </w:r>
          </w:p>
        </w:tc>
        <w:tc>
          <w:tcPr>
            <w:tcW w:w="1228" w:type="dxa"/>
            <w:tcBorders>
              <w:left w:val="nil"/>
              <w:bottom w:val="nil"/>
              <w:right w:val="nil"/>
            </w:tcBorders>
            <w:shd w:val="clear" w:color="auto" w:fill="auto"/>
            <w:noWrap/>
            <w:vAlign w:val="center"/>
          </w:tcPr>
          <w:p w14:paraId="3A7BC16D" w14:textId="77777777" w:rsidR="00F52111" w:rsidRPr="00BC31E0" w:rsidRDefault="00F52111" w:rsidP="004736F2">
            <w:pPr>
              <w:adjustRightInd w:val="0"/>
              <w:snapToGrid w:val="0"/>
              <w:jc w:val="center"/>
              <w:rPr>
                <w:rFonts w:ascii="ＭＳ 明朝" w:hAnsi="ＭＳ 明朝"/>
                <w:sz w:val="18"/>
                <w:szCs w:val="18"/>
              </w:rPr>
            </w:pPr>
            <w:r w:rsidRPr="00BC31E0">
              <w:rPr>
                <w:rFonts w:ascii="ＭＳ 明朝" w:hAnsi="ＭＳ 明朝"/>
                <w:sz w:val="18"/>
                <w:szCs w:val="18"/>
              </w:rPr>
              <w:t>―</w:t>
            </w:r>
          </w:p>
        </w:tc>
        <w:tc>
          <w:tcPr>
            <w:tcW w:w="1229" w:type="dxa"/>
            <w:tcBorders>
              <w:top w:val="nil"/>
              <w:left w:val="nil"/>
              <w:bottom w:val="nil"/>
              <w:right w:val="nil"/>
            </w:tcBorders>
            <w:noWrap/>
            <w:vAlign w:val="center"/>
          </w:tcPr>
          <w:p w14:paraId="38B83E5A"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0.0907</w:t>
            </w:r>
          </w:p>
        </w:tc>
        <w:tc>
          <w:tcPr>
            <w:tcW w:w="1228" w:type="dxa"/>
            <w:tcBorders>
              <w:top w:val="nil"/>
              <w:left w:val="nil"/>
              <w:bottom w:val="nil"/>
              <w:right w:val="nil"/>
            </w:tcBorders>
            <w:noWrap/>
            <w:vAlign w:val="center"/>
          </w:tcPr>
          <w:p w14:paraId="0F3CCEAD"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0.1005</w:t>
            </w:r>
          </w:p>
        </w:tc>
        <w:tc>
          <w:tcPr>
            <w:tcW w:w="1229" w:type="dxa"/>
            <w:tcBorders>
              <w:top w:val="nil"/>
              <w:left w:val="nil"/>
              <w:bottom w:val="nil"/>
              <w:right w:val="nil"/>
            </w:tcBorders>
            <w:noWrap/>
            <w:vAlign w:val="center"/>
          </w:tcPr>
          <w:p w14:paraId="2AD17D5E"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0.1075</w:t>
            </w:r>
          </w:p>
        </w:tc>
        <w:tc>
          <w:tcPr>
            <w:tcW w:w="1228" w:type="dxa"/>
            <w:tcBorders>
              <w:top w:val="nil"/>
              <w:left w:val="nil"/>
              <w:bottom w:val="nil"/>
              <w:right w:val="nil"/>
            </w:tcBorders>
            <w:noWrap/>
            <w:vAlign w:val="center"/>
          </w:tcPr>
          <w:p w14:paraId="41C353AB"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0.1132</w:t>
            </w:r>
          </w:p>
        </w:tc>
        <w:tc>
          <w:tcPr>
            <w:tcW w:w="1229" w:type="dxa"/>
            <w:tcBorders>
              <w:top w:val="nil"/>
              <w:left w:val="nil"/>
              <w:bottom w:val="nil"/>
              <w:right w:val="single" w:sz="4" w:space="0" w:color="auto"/>
            </w:tcBorders>
            <w:noWrap/>
            <w:vAlign w:val="center"/>
          </w:tcPr>
          <w:p w14:paraId="7D6D9CC3"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0.1183</w:t>
            </w:r>
          </w:p>
        </w:tc>
      </w:tr>
      <w:tr w:rsidR="00F52111" w:rsidRPr="00BC31E0" w14:paraId="3301D1FC" w14:textId="77777777" w:rsidTr="004736F2">
        <w:trPr>
          <w:cantSplit/>
          <w:jc w:val="center"/>
        </w:trPr>
        <w:tc>
          <w:tcPr>
            <w:tcW w:w="851" w:type="dxa"/>
            <w:vMerge/>
            <w:tcBorders>
              <w:left w:val="single" w:sz="4" w:space="0" w:color="auto"/>
              <w:bottom w:val="double" w:sz="6" w:space="0" w:color="auto"/>
              <w:right w:val="single" w:sz="4" w:space="0" w:color="auto"/>
            </w:tcBorders>
            <w:noWrap/>
            <w:vAlign w:val="center"/>
          </w:tcPr>
          <w:p w14:paraId="06E0624C" w14:textId="77777777" w:rsidR="00F52111" w:rsidRPr="00BC31E0" w:rsidRDefault="00F52111" w:rsidP="004736F2">
            <w:pPr>
              <w:adjustRightInd w:val="0"/>
              <w:snapToGrid w:val="0"/>
              <w:jc w:val="center"/>
              <w:rPr>
                <w:rFonts w:ascii="ＭＳ 明朝" w:hAnsi="ＭＳ 明朝"/>
                <w:sz w:val="18"/>
                <w:szCs w:val="18"/>
              </w:rPr>
            </w:pPr>
          </w:p>
        </w:tc>
        <w:tc>
          <w:tcPr>
            <w:tcW w:w="850" w:type="dxa"/>
            <w:tcBorders>
              <w:top w:val="nil"/>
              <w:left w:val="nil"/>
              <w:bottom w:val="double" w:sz="6" w:space="0" w:color="auto"/>
              <w:right w:val="single" w:sz="4" w:space="0" w:color="auto"/>
            </w:tcBorders>
            <w:noWrap/>
            <w:vAlign w:val="center"/>
          </w:tcPr>
          <w:p w14:paraId="6927C4DD"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0.80</w:t>
            </w:r>
          </w:p>
        </w:tc>
        <w:tc>
          <w:tcPr>
            <w:tcW w:w="1228" w:type="dxa"/>
            <w:tcBorders>
              <w:top w:val="nil"/>
              <w:left w:val="nil"/>
              <w:bottom w:val="double" w:sz="6" w:space="0" w:color="auto"/>
              <w:right w:val="nil"/>
            </w:tcBorders>
            <w:noWrap/>
            <w:vAlign w:val="center"/>
          </w:tcPr>
          <w:p w14:paraId="35B84886" w14:textId="77777777" w:rsidR="00F52111" w:rsidRPr="00BC31E0" w:rsidRDefault="00F52111" w:rsidP="004736F2">
            <w:pPr>
              <w:adjustRightInd w:val="0"/>
              <w:snapToGrid w:val="0"/>
              <w:jc w:val="center"/>
              <w:rPr>
                <w:rFonts w:ascii="ＭＳ 明朝" w:hAnsi="ＭＳ 明朝"/>
                <w:sz w:val="18"/>
                <w:szCs w:val="18"/>
              </w:rPr>
            </w:pPr>
            <w:r w:rsidRPr="00BC31E0">
              <w:rPr>
                <w:rFonts w:ascii="ＭＳ 明朝" w:hAnsi="ＭＳ 明朝"/>
                <w:sz w:val="18"/>
                <w:szCs w:val="18"/>
              </w:rPr>
              <w:t>―</w:t>
            </w:r>
          </w:p>
        </w:tc>
        <w:tc>
          <w:tcPr>
            <w:tcW w:w="1229" w:type="dxa"/>
            <w:tcBorders>
              <w:top w:val="nil"/>
              <w:left w:val="nil"/>
              <w:bottom w:val="double" w:sz="6" w:space="0" w:color="auto"/>
              <w:right w:val="nil"/>
            </w:tcBorders>
            <w:noWrap/>
            <w:vAlign w:val="center"/>
          </w:tcPr>
          <w:p w14:paraId="79C30847"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0.1197</w:t>
            </w:r>
          </w:p>
        </w:tc>
        <w:tc>
          <w:tcPr>
            <w:tcW w:w="1228" w:type="dxa"/>
            <w:tcBorders>
              <w:top w:val="nil"/>
              <w:left w:val="nil"/>
              <w:bottom w:val="double" w:sz="6" w:space="0" w:color="auto"/>
              <w:right w:val="nil"/>
            </w:tcBorders>
            <w:noWrap/>
            <w:vAlign w:val="center"/>
          </w:tcPr>
          <w:p w14:paraId="4A21968F"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0.1212</w:t>
            </w:r>
          </w:p>
        </w:tc>
        <w:tc>
          <w:tcPr>
            <w:tcW w:w="1229" w:type="dxa"/>
            <w:tcBorders>
              <w:top w:val="nil"/>
              <w:left w:val="nil"/>
              <w:bottom w:val="double" w:sz="6" w:space="0" w:color="auto"/>
              <w:right w:val="nil"/>
            </w:tcBorders>
            <w:noWrap/>
            <w:vAlign w:val="center"/>
          </w:tcPr>
          <w:p w14:paraId="0599D514"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0.1225</w:t>
            </w:r>
          </w:p>
        </w:tc>
        <w:tc>
          <w:tcPr>
            <w:tcW w:w="1228" w:type="dxa"/>
            <w:tcBorders>
              <w:top w:val="nil"/>
              <w:left w:val="nil"/>
              <w:bottom w:val="double" w:sz="6" w:space="0" w:color="auto"/>
              <w:right w:val="nil"/>
            </w:tcBorders>
            <w:noWrap/>
            <w:vAlign w:val="center"/>
          </w:tcPr>
          <w:p w14:paraId="79900DAB"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0.1238</w:t>
            </w:r>
          </w:p>
        </w:tc>
        <w:tc>
          <w:tcPr>
            <w:tcW w:w="1229" w:type="dxa"/>
            <w:tcBorders>
              <w:top w:val="nil"/>
              <w:left w:val="nil"/>
              <w:bottom w:val="double" w:sz="6" w:space="0" w:color="auto"/>
              <w:right w:val="single" w:sz="4" w:space="0" w:color="auto"/>
            </w:tcBorders>
            <w:noWrap/>
            <w:vAlign w:val="center"/>
          </w:tcPr>
          <w:p w14:paraId="26695C2C"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0.1252</w:t>
            </w:r>
          </w:p>
        </w:tc>
      </w:tr>
      <w:tr w:rsidR="00F52111" w:rsidRPr="00BC31E0" w14:paraId="7806911B" w14:textId="77777777" w:rsidTr="004736F2">
        <w:trPr>
          <w:cantSplit/>
          <w:jc w:val="center"/>
        </w:trPr>
        <w:tc>
          <w:tcPr>
            <w:tcW w:w="851" w:type="dxa"/>
            <w:vMerge w:val="restart"/>
            <w:tcBorders>
              <w:top w:val="nil"/>
              <w:left w:val="single" w:sz="4" w:space="0" w:color="auto"/>
              <w:right w:val="nil"/>
            </w:tcBorders>
            <w:noWrap/>
            <w:vAlign w:val="center"/>
          </w:tcPr>
          <w:p w14:paraId="67E18DC1" w14:textId="77777777" w:rsidR="00F52111" w:rsidRPr="00BC31E0" w:rsidRDefault="00A51873" w:rsidP="004736F2">
            <w:pPr>
              <w:adjustRightInd w:val="0"/>
              <w:snapToGrid w:val="0"/>
              <w:jc w:val="center"/>
              <w:rPr>
                <w:rFonts w:ascii="ＭＳ 明朝" w:hAnsi="ＭＳ 明朝"/>
              </w:rPr>
            </w:pPr>
            <m:oMathPara>
              <m:oMath>
                <m:sSub>
                  <m:sSubPr>
                    <m:ctrlPr>
                      <w:rPr>
                        <w:rFonts w:ascii="Cambria Math" w:hAnsi="Cambria Math"/>
                      </w:rPr>
                    </m:ctrlPr>
                  </m:sSubPr>
                  <m:e>
                    <m:r>
                      <w:rPr>
                        <w:rFonts w:ascii="Cambria Math" w:hAnsi="Cambria Math"/>
                      </w:rPr>
                      <m:t>G</m:t>
                    </m:r>
                  </m:e>
                  <m:sub>
                    <m:r>
                      <w:rPr>
                        <w:rFonts w:ascii="Cambria Math" w:hAnsi="Cambria Math"/>
                      </w:rPr>
                      <m:t>3</m:t>
                    </m:r>
                  </m:sub>
                </m:sSub>
              </m:oMath>
            </m:oMathPara>
          </w:p>
        </w:tc>
        <w:tc>
          <w:tcPr>
            <w:tcW w:w="850" w:type="dxa"/>
            <w:tcBorders>
              <w:top w:val="nil"/>
              <w:left w:val="single" w:sz="4" w:space="0" w:color="auto"/>
              <w:bottom w:val="nil"/>
              <w:right w:val="single" w:sz="4" w:space="0" w:color="auto"/>
            </w:tcBorders>
            <w:noWrap/>
            <w:vAlign w:val="center"/>
          </w:tcPr>
          <w:p w14:paraId="530823D1"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0.00</w:t>
            </w:r>
          </w:p>
        </w:tc>
        <w:tc>
          <w:tcPr>
            <w:tcW w:w="1228" w:type="dxa"/>
            <w:tcBorders>
              <w:top w:val="nil"/>
              <w:left w:val="nil"/>
              <w:bottom w:val="nil"/>
              <w:right w:val="nil"/>
            </w:tcBorders>
            <w:noWrap/>
            <w:vAlign w:val="center"/>
          </w:tcPr>
          <w:p w14:paraId="7A52E8AE" w14:textId="77777777" w:rsidR="00F52111" w:rsidRPr="00BC31E0" w:rsidRDefault="00F52111" w:rsidP="004736F2">
            <w:pPr>
              <w:adjustRightInd w:val="0"/>
              <w:snapToGrid w:val="0"/>
              <w:jc w:val="center"/>
              <w:rPr>
                <w:rFonts w:ascii="ＭＳ 明朝" w:hAnsi="ＭＳ 明朝"/>
                <w:sz w:val="18"/>
                <w:szCs w:val="18"/>
              </w:rPr>
            </w:pPr>
            <w:r w:rsidRPr="00BC31E0">
              <w:rPr>
                <w:rFonts w:ascii="ＭＳ 明朝" w:hAnsi="ＭＳ 明朝"/>
                <w:sz w:val="18"/>
                <w:szCs w:val="18"/>
              </w:rPr>
              <w:t>―</w:t>
            </w:r>
          </w:p>
        </w:tc>
        <w:tc>
          <w:tcPr>
            <w:tcW w:w="1229" w:type="dxa"/>
            <w:tcBorders>
              <w:top w:val="nil"/>
              <w:left w:val="nil"/>
              <w:bottom w:val="nil"/>
              <w:right w:val="nil"/>
            </w:tcBorders>
            <w:noWrap/>
            <w:vAlign w:val="center"/>
          </w:tcPr>
          <w:p w14:paraId="59B560A8"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0.0125</w:t>
            </w:r>
          </w:p>
        </w:tc>
        <w:tc>
          <w:tcPr>
            <w:tcW w:w="1228" w:type="dxa"/>
            <w:tcBorders>
              <w:top w:val="nil"/>
              <w:left w:val="nil"/>
              <w:bottom w:val="nil"/>
              <w:right w:val="nil"/>
            </w:tcBorders>
            <w:noWrap/>
            <w:vAlign w:val="center"/>
          </w:tcPr>
          <w:p w14:paraId="1E49FA34"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0.0158</w:t>
            </w:r>
          </w:p>
        </w:tc>
        <w:tc>
          <w:tcPr>
            <w:tcW w:w="1229" w:type="dxa"/>
            <w:tcBorders>
              <w:top w:val="nil"/>
              <w:left w:val="nil"/>
              <w:bottom w:val="nil"/>
              <w:right w:val="nil"/>
            </w:tcBorders>
            <w:noWrap/>
            <w:vAlign w:val="center"/>
          </w:tcPr>
          <w:p w14:paraId="17106952"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0.0192</w:t>
            </w:r>
          </w:p>
        </w:tc>
        <w:tc>
          <w:tcPr>
            <w:tcW w:w="1228" w:type="dxa"/>
            <w:tcBorders>
              <w:top w:val="nil"/>
              <w:left w:val="nil"/>
              <w:bottom w:val="nil"/>
              <w:right w:val="nil"/>
            </w:tcBorders>
            <w:noWrap/>
            <w:vAlign w:val="center"/>
          </w:tcPr>
          <w:p w14:paraId="6BA52CC1"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0.0226</w:t>
            </w:r>
          </w:p>
        </w:tc>
        <w:tc>
          <w:tcPr>
            <w:tcW w:w="1229" w:type="dxa"/>
            <w:tcBorders>
              <w:top w:val="nil"/>
              <w:left w:val="nil"/>
              <w:bottom w:val="nil"/>
              <w:right w:val="single" w:sz="4" w:space="0" w:color="auto"/>
            </w:tcBorders>
            <w:noWrap/>
            <w:vAlign w:val="center"/>
          </w:tcPr>
          <w:p w14:paraId="3AB2CA45"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0.0261</w:t>
            </w:r>
          </w:p>
        </w:tc>
      </w:tr>
      <w:tr w:rsidR="00F52111" w:rsidRPr="00BC31E0" w14:paraId="16ADB5A3" w14:textId="77777777" w:rsidTr="004736F2">
        <w:trPr>
          <w:cantSplit/>
          <w:jc w:val="center"/>
        </w:trPr>
        <w:tc>
          <w:tcPr>
            <w:tcW w:w="851" w:type="dxa"/>
            <w:vMerge/>
            <w:tcBorders>
              <w:left w:val="single" w:sz="4" w:space="0" w:color="auto"/>
              <w:right w:val="nil"/>
            </w:tcBorders>
            <w:noWrap/>
            <w:vAlign w:val="center"/>
          </w:tcPr>
          <w:p w14:paraId="2EF9A30F" w14:textId="77777777" w:rsidR="00F52111" w:rsidRPr="00BC31E0" w:rsidRDefault="00F52111" w:rsidP="004736F2">
            <w:pPr>
              <w:adjustRightInd w:val="0"/>
              <w:snapToGrid w:val="0"/>
              <w:jc w:val="center"/>
              <w:rPr>
                <w:rFonts w:ascii="ＭＳ Ｐゴシック" w:eastAsia="ＭＳ Ｐゴシック" w:hAnsi="ＭＳ Ｐゴシック"/>
                <w:sz w:val="18"/>
                <w:szCs w:val="18"/>
              </w:rPr>
            </w:pPr>
          </w:p>
        </w:tc>
        <w:tc>
          <w:tcPr>
            <w:tcW w:w="850" w:type="dxa"/>
            <w:tcBorders>
              <w:top w:val="nil"/>
              <w:left w:val="single" w:sz="4" w:space="0" w:color="auto"/>
              <w:bottom w:val="nil"/>
              <w:right w:val="single" w:sz="4" w:space="0" w:color="auto"/>
            </w:tcBorders>
            <w:noWrap/>
            <w:vAlign w:val="center"/>
          </w:tcPr>
          <w:p w14:paraId="39F13FCE"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0.05</w:t>
            </w:r>
          </w:p>
        </w:tc>
        <w:tc>
          <w:tcPr>
            <w:tcW w:w="1228" w:type="dxa"/>
            <w:tcBorders>
              <w:top w:val="nil"/>
              <w:left w:val="nil"/>
              <w:bottom w:val="nil"/>
              <w:right w:val="nil"/>
            </w:tcBorders>
            <w:noWrap/>
            <w:vAlign w:val="center"/>
          </w:tcPr>
          <w:p w14:paraId="77299501" w14:textId="77777777" w:rsidR="00F52111" w:rsidRPr="00BC31E0" w:rsidRDefault="00F52111" w:rsidP="004736F2">
            <w:pPr>
              <w:adjustRightInd w:val="0"/>
              <w:snapToGrid w:val="0"/>
              <w:jc w:val="center"/>
              <w:rPr>
                <w:rFonts w:ascii="ＭＳ 明朝" w:hAnsi="ＭＳ 明朝"/>
                <w:sz w:val="18"/>
                <w:szCs w:val="18"/>
              </w:rPr>
            </w:pPr>
            <w:r w:rsidRPr="00BC31E0">
              <w:rPr>
                <w:rFonts w:ascii="ＭＳ 明朝" w:hAnsi="ＭＳ 明朝"/>
                <w:sz w:val="18"/>
                <w:szCs w:val="18"/>
              </w:rPr>
              <w:t>―</w:t>
            </w:r>
          </w:p>
        </w:tc>
        <w:tc>
          <w:tcPr>
            <w:tcW w:w="1229" w:type="dxa"/>
            <w:tcBorders>
              <w:top w:val="nil"/>
              <w:left w:val="nil"/>
              <w:bottom w:val="nil"/>
              <w:right w:val="nil"/>
            </w:tcBorders>
            <w:noWrap/>
            <w:vAlign w:val="center"/>
          </w:tcPr>
          <w:p w14:paraId="11463908"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0.0131</w:t>
            </w:r>
          </w:p>
        </w:tc>
        <w:tc>
          <w:tcPr>
            <w:tcW w:w="1228" w:type="dxa"/>
            <w:tcBorders>
              <w:top w:val="nil"/>
              <w:left w:val="nil"/>
              <w:bottom w:val="nil"/>
              <w:right w:val="nil"/>
            </w:tcBorders>
            <w:noWrap/>
            <w:vAlign w:val="center"/>
          </w:tcPr>
          <w:p w14:paraId="4E06B083"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0.0172</w:t>
            </w:r>
          </w:p>
        </w:tc>
        <w:tc>
          <w:tcPr>
            <w:tcW w:w="1229" w:type="dxa"/>
            <w:tcBorders>
              <w:top w:val="nil"/>
              <w:left w:val="nil"/>
              <w:bottom w:val="nil"/>
              <w:right w:val="nil"/>
            </w:tcBorders>
            <w:noWrap/>
            <w:vAlign w:val="center"/>
          </w:tcPr>
          <w:p w14:paraId="71AE6BCD"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0.0214</w:t>
            </w:r>
          </w:p>
        </w:tc>
        <w:tc>
          <w:tcPr>
            <w:tcW w:w="1228" w:type="dxa"/>
            <w:tcBorders>
              <w:top w:val="nil"/>
              <w:left w:val="nil"/>
              <w:bottom w:val="nil"/>
              <w:right w:val="nil"/>
            </w:tcBorders>
            <w:noWrap/>
            <w:vAlign w:val="center"/>
          </w:tcPr>
          <w:p w14:paraId="4B6A8BFC"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0.0256</w:t>
            </w:r>
          </w:p>
        </w:tc>
        <w:tc>
          <w:tcPr>
            <w:tcW w:w="1229" w:type="dxa"/>
            <w:tcBorders>
              <w:top w:val="nil"/>
              <w:left w:val="nil"/>
              <w:bottom w:val="nil"/>
              <w:right w:val="single" w:sz="4" w:space="0" w:color="auto"/>
            </w:tcBorders>
            <w:noWrap/>
            <w:vAlign w:val="center"/>
          </w:tcPr>
          <w:p w14:paraId="51892DC5"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0.0297</w:t>
            </w:r>
          </w:p>
        </w:tc>
      </w:tr>
      <w:tr w:rsidR="00F52111" w:rsidRPr="00BC31E0" w14:paraId="1A2571BD" w14:textId="77777777" w:rsidTr="004736F2">
        <w:trPr>
          <w:cantSplit/>
          <w:jc w:val="center"/>
        </w:trPr>
        <w:tc>
          <w:tcPr>
            <w:tcW w:w="851" w:type="dxa"/>
            <w:vMerge/>
            <w:tcBorders>
              <w:left w:val="single" w:sz="4" w:space="0" w:color="auto"/>
              <w:right w:val="nil"/>
            </w:tcBorders>
            <w:noWrap/>
            <w:vAlign w:val="center"/>
          </w:tcPr>
          <w:p w14:paraId="211DE43E" w14:textId="77777777" w:rsidR="00F52111" w:rsidRPr="00BC31E0" w:rsidRDefault="00F52111" w:rsidP="004736F2">
            <w:pPr>
              <w:adjustRightInd w:val="0"/>
              <w:snapToGrid w:val="0"/>
              <w:jc w:val="center"/>
              <w:rPr>
                <w:rFonts w:ascii="ＭＳ Ｐゴシック" w:eastAsia="ＭＳ Ｐゴシック" w:hAnsi="ＭＳ Ｐゴシック"/>
                <w:sz w:val="18"/>
                <w:szCs w:val="18"/>
              </w:rPr>
            </w:pPr>
          </w:p>
        </w:tc>
        <w:tc>
          <w:tcPr>
            <w:tcW w:w="850" w:type="dxa"/>
            <w:tcBorders>
              <w:top w:val="nil"/>
              <w:left w:val="single" w:sz="4" w:space="0" w:color="auto"/>
              <w:bottom w:val="nil"/>
              <w:right w:val="single" w:sz="4" w:space="0" w:color="auto"/>
            </w:tcBorders>
            <w:noWrap/>
            <w:vAlign w:val="center"/>
          </w:tcPr>
          <w:p w14:paraId="12C9D094"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0.10</w:t>
            </w:r>
          </w:p>
        </w:tc>
        <w:tc>
          <w:tcPr>
            <w:tcW w:w="1228" w:type="dxa"/>
            <w:tcBorders>
              <w:top w:val="nil"/>
              <w:left w:val="nil"/>
              <w:bottom w:val="nil"/>
              <w:right w:val="nil"/>
            </w:tcBorders>
            <w:noWrap/>
            <w:vAlign w:val="center"/>
          </w:tcPr>
          <w:p w14:paraId="63537E21" w14:textId="77777777" w:rsidR="00F52111" w:rsidRPr="00BC31E0" w:rsidRDefault="00F52111" w:rsidP="004736F2">
            <w:pPr>
              <w:adjustRightInd w:val="0"/>
              <w:snapToGrid w:val="0"/>
              <w:jc w:val="center"/>
              <w:rPr>
                <w:rFonts w:ascii="ＭＳ 明朝" w:hAnsi="ＭＳ 明朝"/>
                <w:sz w:val="18"/>
                <w:szCs w:val="18"/>
              </w:rPr>
            </w:pPr>
            <w:r w:rsidRPr="00BC31E0">
              <w:rPr>
                <w:rFonts w:ascii="ＭＳ 明朝" w:hAnsi="ＭＳ 明朝"/>
                <w:sz w:val="18"/>
                <w:szCs w:val="18"/>
              </w:rPr>
              <w:t>―</w:t>
            </w:r>
          </w:p>
        </w:tc>
        <w:tc>
          <w:tcPr>
            <w:tcW w:w="1229" w:type="dxa"/>
            <w:tcBorders>
              <w:top w:val="nil"/>
              <w:left w:val="nil"/>
              <w:bottom w:val="nil"/>
              <w:right w:val="nil"/>
            </w:tcBorders>
            <w:noWrap/>
            <w:vAlign w:val="center"/>
          </w:tcPr>
          <w:p w14:paraId="151A92F4"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0.0138</w:t>
            </w:r>
          </w:p>
        </w:tc>
        <w:tc>
          <w:tcPr>
            <w:tcW w:w="1228" w:type="dxa"/>
            <w:tcBorders>
              <w:top w:val="nil"/>
              <w:left w:val="nil"/>
              <w:bottom w:val="nil"/>
              <w:right w:val="nil"/>
            </w:tcBorders>
            <w:noWrap/>
            <w:vAlign w:val="center"/>
          </w:tcPr>
          <w:p w14:paraId="378461C0"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0.0188</w:t>
            </w:r>
          </w:p>
        </w:tc>
        <w:tc>
          <w:tcPr>
            <w:tcW w:w="1229" w:type="dxa"/>
            <w:tcBorders>
              <w:top w:val="nil"/>
              <w:left w:val="nil"/>
              <w:bottom w:val="nil"/>
              <w:right w:val="nil"/>
            </w:tcBorders>
            <w:noWrap/>
            <w:vAlign w:val="center"/>
          </w:tcPr>
          <w:p w14:paraId="6CA6C4AF"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0.0237</w:t>
            </w:r>
          </w:p>
        </w:tc>
        <w:tc>
          <w:tcPr>
            <w:tcW w:w="1228" w:type="dxa"/>
            <w:tcBorders>
              <w:top w:val="nil"/>
              <w:left w:val="nil"/>
              <w:bottom w:val="nil"/>
              <w:right w:val="nil"/>
            </w:tcBorders>
            <w:noWrap/>
            <w:vAlign w:val="center"/>
          </w:tcPr>
          <w:p w14:paraId="54D467C8"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0.0285</w:t>
            </w:r>
          </w:p>
        </w:tc>
        <w:tc>
          <w:tcPr>
            <w:tcW w:w="1229" w:type="dxa"/>
            <w:tcBorders>
              <w:top w:val="nil"/>
              <w:left w:val="nil"/>
              <w:bottom w:val="nil"/>
              <w:right w:val="single" w:sz="4" w:space="0" w:color="auto"/>
            </w:tcBorders>
            <w:noWrap/>
            <w:vAlign w:val="center"/>
          </w:tcPr>
          <w:p w14:paraId="739E4762"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0.0332</w:t>
            </w:r>
          </w:p>
        </w:tc>
      </w:tr>
      <w:tr w:rsidR="00F52111" w:rsidRPr="00BC31E0" w14:paraId="6EF6BDD7" w14:textId="77777777" w:rsidTr="004736F2">
        <w:trPr>
          <w:cantSplit/>
          <w:jc w:val="center"/>
        </w:trPr>
        <w:tc>
          <w:tcPr>
            <w:tcW w:w="851" w:type="dxa"/>
            <w:vMerge/>
            <w:tcBorders>
              <w:left w:val="single" w:sz="4" w:space="0" w:color="auto"/>
              <w:right w:val="nil"/>
            </w:tcBorders>
            <w:noWrap/>
            <w:vAlign w:val="center"/>
          </w:tcPr>
          <w:p w14:paraId="2989324F" w14:textId="77777777" w:rsidR="00F52111" w:rsidRPr="00BC31E0" w:rsidRDefault="00F52111" w:rsidP="004736F2">
            <w:pPr>
              <w:adjustRightInd w:val="0"/>
              <w:snapToGrid w:val="0"/>
              <w:jc w:val="center"/>
              <w:rPr>
                <w:rFonts w:ascii="ＭＳ Ｐゴシック" w:eastAsia="ＭＳ Ｐゴシック" w:hAnsi="ＭＳ Ｐゴシック"/>
                <w:sz w:val="18"/>
                <w:szCs w:val="18"/>
              </w:rPr>
            </w:pPr>
          </w:p>
        </w:tc>
        <w:tc>
          <w:tcPr>
            <w:tcW w:w="850" w:type="dxa"/>
            <w:tcBorders>
              <w:top w:val="nil"/>
              <w:left w:val="single" w:sz="4" w:space="0" w:color="auto"/>
              <w:bottom w:val="nil"/>
              <w:right w:val="single" w:sz="4" w:space="0" w:color="auto"/>
            </w:tcBorders>
            <w:noWrap/>
            <w:vAlign w:val="center"/>
          </w:tcPr>
          <w:p w14:paraId="0F5BC197"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0.15</w:t>
            </w:r>
          </w:p>
        </w:tc>
        <w:tc>
          <w:tcPr>
            <w:tcW w:w="1228" w:type="dxa"/>
            <w:tcBorders>
              <w:top w:val="nil"/>
              <w:left w:val="nil"/>
              <w:bottom w:val="nil"/>
              <w:right w:val="nil"/>
            </w:tcBorders>
            <w:noWrap/>
            <w:vAlign w:val="center"/>
          </w:tcPr>
          <w:p w14:paraId="4E1E7CDF" w14:textId="77777777" w:rsidR="00F52111" w:rsidRPr="00BC31E0" w:rsidRDefault="00F52111" w:rsidP="004736F2">
            <w:pPr>
              <w:adjustRightInd w:val="0"/>
              <w:snapToGrid w:val="0"/>
              <w:jc w:val="center"/>
              <w:rPr>
                <w:rFonts w:ascii="ＭＳ 明朝" w:hAnsi="ＭＳ 明朝"/>
                <w:sz w:val="18"/>
                <w:szCs w:val="18"/>
              </w:rPr>
            </w:pPr>
            <w:r w:rsidRPr="00BC31E0">
              <w:rPr>
                <w:rFonts w:ascii="ＭＳ 明朝" w:hAnsi="ＭＳ 明朝"/>
                <w:sz w:val="18"/>
                <w:szCs w:val="18"/>
              </w:rPr>
              <w:t>―</w:t>
            </w:r>
          </w:p>
        </w:tc>
        <w:tc>
          <w:tcPr>
            <w:tcW w:w="1229" w:type="dxa"/>
            <w:tcBorders>
              <w:top w:val="nil"/>
              <w:left w:val="nil"/>
              <w:bottom w:val="nil"/>
              <w:right w:val="nil"/>
            </w:tcBorders>
            <w:noWrap/>
            <w:vAlign w:val="center"/>
          </w:tcPr>
          <w:p w14:paraId="02A947A3"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0.0147</w:t>
            </w:r>
          </w:p>
        </w:tc>
        <w:tc>
          <w:tcPr>
            <w:tcW w:w="1228" w:type="dxa"/>
            <w:tcBorders>
              <w:top w:val="nil"/>
              <w:left w:val="nil"/>
              <w:bottom w:val="nil"/>
              <w:right w:val="nil"/>
            </w:tcBorders>
            <w:noWrap/>
            <w:vAlign w:val="center"/>
          </w:tcPr>
          <w:p w14:paraId="332DFCC6"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0.0206</w:t>
            </w:r>
          </w:p>
        </w:tc>
        <w:tc>
          <w:tcPr>
            <w:tcW w:w="1229" w:type="dxa"/>
            <w:tcBorders>
              <w:top w:val="nil"/>
              <w:left w:val="nil"/>
              <w:bottom w:val="nil"/>
              <w:right w:val="nil"/>
            </w:tcBorders>
            <w:noWrap/>
            <w:vAlign w:val="center"/>
          </w:tcPr>
          <w:p w14:paraId="0647197E"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0.0261</w:t>
            </w:r>
          </w:p>
        </w:tc>
        <w:tc>
          <w:tcPr>
            <w:tcW w:w="1228" w:type="dxa"/>
            <w:tcBorders>
              <w:top w:val="nil"/>
              <w:left w:val="nil"/>
              <w:bottom w:val="nil"/>
              <w:right w:val="nil"/>
            </w:tcBorders>
            <w:noWrap/>
            <w:vAlign w:val="center"/>
          </w:tcPr>
          <w:p w14:paraId="70A9ADEB"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0.0314</w:t>
            </w:r>
          </w:p>
        </w:tc>
        <w:tc>
          <w:tcPr>
            <w:tcW w:w="1229" w:type="dxa"/>
            <w:tcBorders>
              <w:top w:val="nil"/>
              <w:left w:val="nil"/>
              <w:bottom w:val="nil"/>
              <w:right w:val="single" w:sz="4" w:space="0" w:color="auto"/>
            </w:tcBorders>
            <w:noWrap/>
            <w:vAlign w:val="center"/>
          </w:tcPr>
          <w:p w14:paraId="38820496"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0.0365</w:t>
            </w:r>
          </w:p>
        </w:tc>
      </w:tr>
      <w:tr w:rsidR="00F52111" w:rsidRPr="00BC31E0" w14:paraId="3F7032EE" w14:textId="77777777" w:rsidTr="004736F2">
        <w:trPr>
          <w:cantSplit/>
          <w:jc w:val="center"/>
        </w:trPr>
        <w:tc>
          <w:tcPr>
            <w:tcW w:w="851" w:type="dxa"/>
            <w:vMerge/>
            <w:tcBorders>
              <w:left w:val="single" w:sz="4" w:space="0" w:color="auto"/>
              <w:right w:val="nil"/>
            </w:tcBorders>
            <w:noWrap/>
            <w:vAlign w:val="center"/>
          </w:tcPr>
          <w:p w14:paraId="0ADDC8A9" w14:textId="77777777" w:rsidR="00F52111" w:rsidRPr="00BC31E0" w:rsidRDefault="00F52111" w:rsidP="004736F2">
            <w:pPr>
              <w:adjustRightInd w:val="0"/>
              <w:snapToGrid w:val="0"/>
              <w:jc w:val="center"/>
              <w:rPr>
                <w:rFonts w:ascii="ＭＳ Ｐゴシック" w:eastAsia="ＭＳ Ｐゴシック" w:hAnsi="ＭＳ Ｐゴシック"/>
                <w:sz w:val="18"/>
                <w:szCs w:val="18"/>
              </w:rPr>
            </w:pPr>
          </w:p>
        </w:tc>
        <w:tc>
          <w:tcPr>
            <w:tcW w:w="850" w:type="dxa"/>
            <w:tcBorders>
              <w:top w:val="nil"/>
              <w:left w:val="single" w:sz="4" w:space="0" w:color="auto"/>
              <w:bottom w:val="nil"/>
              <w:right w:val="single" w:sz="4" w:space="0" w:color="auto"/>
            </w:tcBorders>
            <w:noWrap/>
            <w:vAlign w:val="center"/>
          </w:tcPr>
          <w:p w14:paraId="7967B011"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0.20</w:t>
            </w:r>
          </w:p>
        </w:tc>
        <w:tc>
          <w:tcPr>
            <w:tcW w:w="1228" w:type="dxa"/>
            <w:tcBorders>
              <w:top w:val="nil"/>
              <w:left w:val="nil"/>
              <w:bottom w:val="nil"/>
              <w:right w:val="nil"/>
            </w:tcBorders>
            <w:noWrap/>
            <w:vAlign w:val="center"/>
          </w:tcPr>
          <w:p w14:paraId="19DA709E" w14:textId="77777777" w:rsidR="00F52111" w:rsidRPr="00BC31E0" w:rsidRDefault="00F52111" w:rsidP="004736F2">
            <w:pPr>
              <w:adjustRightInd w:val="0"/>
              <w:snapToGrid w:val="0"/>
              <w:jc w:val="center"/>
              <w:rPr>
                <w:rFonts w:ascii="ＭＳ 明朝" w:hAnsi="ＭＳ 明朝"/>
                <w:sz w:val="18"/>
                <w:szCs w:val="18"/>
              </w:rPr>
            </w:pPr>
            <w:r w:rsidRPr="00BC31E0">
              <w:rPr>
                <w:rFonts w:ascii="ＭＳ 明朝" w:hAnsi="ＭＳ 明朝"/>
                <w:sz w:val="18"/>
                <w:szCs w:val="18"/>
              </w:rPr>
              <w:t>―</w:t>
            </w:r>
          </w:p>
        </w:tc>
        <w:tc>
          <w:tcPr>
            <w:tcW w:w="1229" w:type="dxa"/>
            <w:tcBorders>
              <w:top w:val="nil"/>
              <w:left w:val="nil"/>
              <w:bottom w:val="nil"/>
              <w:right w:val="nil"/>
            </w:tcBorders>
            <w:noWrap/>
            <w:vAlign w:val="center"/>
          </w:tcPr>
          <w:p w14:paraId="6C1F1B5D"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0.0159</w:t>
            </w:r>
          </w:p>
        </w:tc>
        <w:tc>
          <w:tcPr>
            <w:tcW w:w="1228" w:type="dxa"/>
            <w:tcBorders>
              <w:top w:val="nil"/>
              <w:left w:val="nil"/>
              <w:bottom w:val="nil"/>
              <w:right w:val="nil"/>
            </w:tcBorders>
            <w:noWrap/>
            <w:vAlign w:val="center"/>
          </w:tcPr>
          <w:p w14:paraId="0069A0F2"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0.0225</w:t>
            </w:r>
          </w:p>
        </w:tc>
        <w:tc>
          <w:tcPr>
            <w:tcW w:w="1229" w:type="dxa"/>
            <w:tcBorders>
              <w:top w:val="nil"/>
              <w:left w:val="nil"/>
              <w:bottom w:val="nil"/>
              <w:right w:val="nil"/>
            </w:tcBorders>
            <w:noWrap/>
            <w:vAlign w:val="center"/>
          </w:tcPr>
          <w:p w14:paraId="6F501597"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0.0285</w:t>
            </w:r>
          </w:p>
        </w:tc>
        <w:tc>
          <w:tcPr>
            <w:tcW w:w="1228" w:type="dxa"/>
            <w:tcBorders>
              <w:top w:val="nil"/>
              <w:left w:val="nil"/>
              <w:bottom w:val="nil"/>
              <w:right w:val="nil"/>
            </w:tcBorders>
            <w:noWrap/>
            <w:vAlign w:val="center"/>
          </w:tcPr>
          <w:p w14:paraId="6E592C1A"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0.0343</w:t>
            </w:r>
          </w:p>
        </w:tc>
        <w:tc>
          <w:tcPr>
            <w:tcW w:w="1229" w:type="dxa"/>
            <w:tcBorders>
              <w:top w:val="nil"/>
              <w:left w:val="nil"/>
              <w:bottom w:val="nil"/>
              <w:right w:val="single" w:sz="4" w:space="0" w:color="auto"/>
            </w:tcBorders>
            <w:noWrap/>
            <w:vAlign w:val="center"/>
          </w:tcPr>
          <w:p w14:paraId="6DFDDF66"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0.0398</w:t>
            </w:r>
          </w:p>
        </w:tc>
      </w:tr>
      <w:tr w:rsidR="00F52111" w:rsidRPr="00BC31E0" w14:paraId="3FB9AE03" w14:textId="77777777" w:rsidTr="004736F2">
        <w:trPr>
          <w:cantSplit/>
          <w:jc w:val="center"/>
        </w:trPr>
        <w:tc>
          <w:tcPr>
            <w:tcW w:w="851" w:type="dxa"/>
            <w:vMerge/>
            <w:tcBorders>
              <w:left w:val="single" w:sz="4" w:space="0" w:color="auto"/>
              <w:right w:val="nil"/>
            </w:tcBorders>
            <w:noWrap/>
            <w:vAlign w:val="center"/>
          </w:tcPr>
          <w:p w14:paraId="4E5EBD6F" w14:textId="77777777" w:rsidR="00F52111" w:rsidRPr="00BC31E0" w:rsidRDefault="00F52111" w:rsidP="004736F2">
            <w:pPr>
              <w:adjustRightInd w:val="0"/>
              <w:snapToGrid w:val="0"/>
              <w:jc w:val="center"/>
              <w:rPr>
                <w:rFonts w:ascii="ＭＳ Ｐゴシック" w:eastAsia="ＭＳ Ｐゴシック" w:hAnsi="ＭＳ Ｐゴシック"/>
                <w:sz w:val="22"/>
                <w:szCs w:val="22"/>
              </w:rPr>
            </w:pPr>
          </w:p>
        </w:tc>
        <w:tc>
          <w:tcPr>
            <w:tcW w:w="850" w:type="dxa"/>
            <w:tcBorders>
              <w:top w:val="nil"/>
              <w:left w:val="single" w:sz="4" w:space="0" w:color="auto"/>
              <w:bottom w:val="nil"/>
              <w:right w:val="single" w:sz="4" w:space="0" w:color="auto"/>
            </w:tcBorders>
            <w:noWrap/>
            <w:vAlign w:val="center"/>
          </w:tcPr>
          <w:p w14:paraId="23963786"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0.25</w:t>
            </w:r>
          </w:p>
        </w:tc>
        <w:tc>
          <w:tcPr>
            <w:tcW w:w="1228" w:type="dxa"/>
            <w:tcBorders>
              <w:top w:val="nil"/>
              <w:left w:val="nil"/>
              <w:bottom w:val="nil"/>
              <w:right w:val="nil"/>
            </w:tcBorders>
            <w:noWrap/>
            <w:vAlign w:val="center"/>
          </w:tcPr>
          <w:p w14:paraId="54DCCE3E" w14:textId="77777777" w:rsidR="00F52111" w:rsidRPr="00BC31E0" w:rsidRDefault="00F52111" w:rsidP="004736F2">
            <w:pPr>
              <w:adjustRightInd w:val="0"/>
              <w:snapToGrid w:val="0"/>
              <w:jc w:val="center"/>
              <w:rPr>
                <w:rFonts w:ascii="ＭＳ 明朝" w:hAnsi="ＭＳ 明朝"/>
                <w:sz w:val="18"/>
                <w:szCs w:val="18"/>
              </w:rPr>
            </w:pPr>
            <w:r w:rsidRPr="00BC31E0">
              <w:rPr>
                <w:rFonts w:ascii="ＭＳ 明朝" w:hAnsi="ＭＳ 明朝"/>
                <w:sz w:val="18"/>
                <w:szCs w:val="18"/>
              </w:rPr>
              <w:t>―</w:t>
            </w:r>
          </w:p>
        </w:tc>
        <w:tc>
          <w:tcPr>
            <w:tcW w:w="1229" w:type="dxa"/>
            <w:tcBorders>
              <w:top w:val="nil"/>
              <w:left w:val="nil"/>
              <w:bottom w:val="nil"/>
              <w:right w:val="nil"/>
            </w:tcBorders>
            <w:noWrap/>
            <w:vAlign w:val="center"/>
          </w:tcPr>
          <w:p w14:paraId="35E11410"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0.0173</w:t>
            </w:r>
          </w:p>
        </w:tc>
        <w:tc>
          <w:tcPr>
            <w:tcW w:w="1228" w:type="dxa"/>
            <w:tcBorders>
              <w:top w:val="nil"/>
              <w:left w:val="nil"/>
              <w:bottom w:val="nil"/>
              <w:right w:val="nil"/>
            </w:tcBorders>
            <w:noWrap/>
            <w:vAlign w:val="center"/>
          </w:tcPr>
          <w:p w14:paraId="16CB871A"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0.0245</w:t>
            </w:r>
          </w:p>
        </w:tc>
        <w:tc>
          <w:tcPr>
            <w:tcW w:w="1229" w:type="dxa"/>
            <w:tcBorders>
              <w:top w:val="nil"/>
              <w:left w:val="nil"/>
              <w:bottom w:val="nil"/>
              <w:right w:val="nil"/>
            </w:tcBorders>
            <w:noWrap/>
            <w:vAlign w:val="center"/>
          </w:tcPr>
          <w:p w14:paraId="190AA965"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0.0310</w:t>
            </w:r>
          </w:p>
        </w:tc>
        <w:tc>
          <w:tcPr>
            <w:tcW w:w="1228" w:type="dxa"/>
            <w:tcBorders>
              <w:top w:val="nil"/>
              <w:left w:val="nil"/>
              <w:bottom w:val="nil"/>
              <w:right w:val="nil"/>
            </w:tcBorders>
            <w:noWrap/>
            <w:vAlign w:val="center"/>
          </w:tcPr>
          <w:p w14:paraId="49113CF7"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0.0371</w:t>
            </w:r>
          </w:p>
        </w:tc>
        <w:tc>
          <w:tcPr>
            <w:tcW w:w="1229" w:type="dxa"/>
            <w:tcBorders>
              <w:top w:val="nil"/>
              <w:left w:val="nil"/>
              <w:bottom w:val="nil"/>
              <w:right w:val="single" w:sz="4" w:space="0" w:color="auto"/>
            </w:tcBorders>
            <w:noWrap/>
            <w:vAlign w:val="center"/>
          </w:tcPr>
          <w:p w14:paraId="355CAF31"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0.0429</w:t>
            </w:r>
          </w:p>
        </w:tc>
      </w:tr>
      <w:tr w:rsidR="00F52111" w:rsidRPr="00BC31E0" w14:paraId="3D5B40FF" w14:textId="77777777" w:rsidTr="004736F2">
        <w:trPr>
          <w:cantSplit/>
          <w:jc w:val="center"/>
        </w:trPr>
        <w:tc>
          <w:tcPr>
            <w:tcW w:w="851" w:type="dxa"/>
            <w:vMerge/>
            <w:tcBorders>
              <w:left w:val="single" w:sz="4" w:space="0" w:color="auto"/>
              <w:right w:val="nil"/>
            </w:tcBorders>
            <w:vAlign w:val="center"/>
          </w:tcPr>
          <w:p w14:paraId="5155804E" w14:textId="77777777" w:rsidR="00F52111" w:rsidRPr="00BC31E0" w:rsidRDefault="00F52111" w:rsidP="004736F2">
            <w:pPr>
              <w:adjustRightInd w:val="0"/>
              <w:snapToGrid w:val="0"/>
              <w:jc w:val="center"/>
              <w:rPr>
                <w:rFonts w:ascii="ＭＳ Ｐゴシック" w:eastAsia="ＭＳ Ｐゴシック" w:hAnsi="ＭＳ Ｐゴシック"/>
                <w:sz w:val="22"/>
                <w:szCs w:val="22"/>
              </w:rPr>
            </w:pPr>
          </w:p>
        </w:tc>
        <w:tc>
          <w:tcPr>
            <w:tcW w:w="850" w:type="dxa"/>
            <w:tcBorders>
              <w:top w:val="nil"/>
              <w:left w:val="single" w:sz="4" w:space="0" w:color="auto"/>
              <w:bottom w:val="nil"/>
              <w:right w:val="single" w:sz="4" w:space="0" w:color="auto"/>
            </w:tcBorders>
            <w:noWrap/>
            <w:vAlign w:val="center"/>
          </w:tcPr>
          <w:p w14:paraId="58281AA8"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0.30</w:t>
            </w:r>
          </w:p>
        </w:tc>
        <w:tc>
          <w:tcPr>
            <w:tcW w:w="1228" w:type="dxa"/>
            <w:tcBorders>
              <w:top w:val="nil"/>
              <w:left w:val="nil"/>
              <w:bottom w:val="nil"/>
              <w:right w:val="nil"/>
            </w:tcBorders>
            <w:noWrap/>
            <w:vAlign w:val="center"/>
          </w:tcPr>
          <w:p w14:paraId="15939592" w14:textId="77777777" w:rsidR="00F52111" w:rsidRPr="00BC31E0" w:rsidRDefault="00F52111" w:rsidP="004736F2">
            <w:pPr>
              <w:adjustRightInd w:val="0"/>
              <w:snapToGrid w:val="0"/>
              <w:jc w:val="center"/>
              <w:rPr>
                <w:rFonts w:ascii="ＭＳ 明朝" w:hAnsi="ＭＳ 明朝"/>
                <w:sz w:val="18"/>
                <w:szCs w:val="18"/>
              </w:rPr>
            </w:pPr>
            <w:r w:rsidRPr="00BC31E0">
              <w:rPr>
                <w:rFonts w:ascii="ＭＳ 明朝" w:hAnsi="ＭＳ 明朝"/>
                <w:sz w:val="18"/>
                <w:szCs w:val="18"/>
              </w:rPr>
              <w:t>―</w:t>
            </w:r>
          </w:p>
        </w:tc>
        <w:tc>
          <w:tcPr>
            <w:tcW w:w="1229" w:type="dxa"/>
            <w:tcBorders>
              <w:top w:val="nil"/>
              <w:left w:val="nil"/>
              <w:bottom w:val="nil"/>
              <w:right w:val="nil"/>
            </w:tcBorders>
            <w:noWrap/>
            <w:vAlign w:val="center"/>
          </w:tcPr>
          <w:p w14:paraId="59DDC327"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0.0190</w:t>
            </w:r>
          </w:p>
        </w:tc>
        <w:tc>
          <w:tcPr>
            <w:tcW w:w="1228" w:type="dxa"/>
            <w:tcBorders>
              <w:top w:val="nil"/>
              <w:left w:val="nil"/>
              <w:bottom w:val="nil"/>
              <w:right w:val="nil"/>
            </w:tcBorders>
            <w:noWrap/>
            <w:vAlign w:val="center"/>
          </w:tcPr>
          <w:p w14:paraId="2B948317"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0.0267</w:t>
            </w:r>
          </w:p>
        </w:tc>
        <w:tc>
          <w:tcPr>
            <w:tcW w:w="1229" w:type="dxa"/>
            <w:tcBorders>
              <w:top w:val="nil"/>
              <w:left w:val="nil"/>
              <w:bottom w:val="nil"/>
              <w:right w:val="nil"/>
            </w:tcBorders>
            <w:noWrap/>
            <w:vAlign w:val="center"/>
          </w:tcPr>
          <w:p w14:paraId="7B75CD9D"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0.0336</w:t>
            </w:r>
          </w:p>
        </w:tc>
        <w:tc>
          <w:tcPr>
            <w:tcW w:w="1228" w:type="dxa"/>
            <w:tcBorders>
              <w:top w:val="nil"/>
              <w:left w:val="nil"/>
              <w:bottom w:val="nil"/>
              <w:right w:val="nil"/>
            </w:tcBorders>
            <w:noWrap/>
            <w:vAlign w:val="center"/>
          </w:tcPr>
          <w:p w14:paraId="715DEC14"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0.0399</w:t>
            </w:r>
          </w:p>
        </w:tc>
        <w:tc>
          <w:tcPr>
            <w:tcW w:w="1229" w:type="dxa"/>
            <w:tcBorders>
              <w:top w:val="nil"/>
              <w:left w:val="nil"/>
              <w:bottom w:val="nil"/>
              <w:right w:val="single" w:sz="4" w:space="0" w:color="auto"/>
            </w:tcBorders>
            <w:noWrap/>
            <w:vAlign w:val="center"/>
          </w:tcPr>
          <w:p w14:paraId="3B36B8C5"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0.0459</w:t>
            </w:r>
          </w:p>
        </w:tc>
      </w:tr>
      <w:tr w:rsidR="00F52111" w:rsidRPr="00BC31E0" w14:paraId="4D03FF69" w14:textId="77777777" w:rsidTr="004736F2">
        <w:trPr>
          <w:cantSplit/>
          <w:jc w:val="center"/>
        </w:trPr>
        <w:tc>
          <w:tcPr>
            <w:tcW w:w="851" w:type="dxa"/>
            <w:vMerge/>
            <w:tcBorders>
              <w:left w:val="single" w:sz="4" w:space="0" w:color="auto"/>
              <w:right w:val="nil"/>
            </w:tcBorders>
            <w:noWrap/>
            <w:vAlign w:val="center"/>
          </w:tcPr>
          <w:p w14:paraId="70D951E6" w14:textId="77777777" w:rsidR="00F52111" w:rsidRPr="00BC31E0" w:rsidRDefault="00F52111" w:rsidP="004736F2">
            <w:pPr>
              <w:adjustRightInd w:val="0"/>
              <w:snapToGrid w:val="0"/>
              <w:jc w:val="center"/>
              <w:rPr>
                <w:rFonts w:ascii="ＭＳ Ｐゴシック" w:eastAsia="ＭＳ Ｐゴシック" w:hAnsi="ＭＳ Ｐゴシック"/>
                <w:sz w:val="18"/>
                <w:szCs w:val="18"/>
              </w:rPr>
            </w:pPr>
          </w:p>
        </w:tc>
        <w:tc>
          <w:tcPr>
            <w:tcW w:w="850" w:type="dxa"/>
            <w:tcBorders>
              <w:top w:val="nil"/>
              <w:left w:val="single" w:sz="4" w:space="0" w:color="auto"/>
              <w:bottom w:val="nil"/>
              <w:right w:val="single" w:sz="4" w:space="0" w:color="auto"/>
            </w:tcBorders>
            <w:noWrap/>
            <w:vAlign w:val="center"/>
          </w:tcPr>
          <w:p w14:paraId="5C27C789"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0.40</w:t>
            </w:r>
          </w:p>
        </w:tc>
        <w:tc>
          <w:tcPr>
            <w:tcW w:w="1228" w:type="dxa"/>
            <w:tcBorders>
              <w:top w:val="nil"/>
              <w:left w:val="nil"/>
              <w:bottom w:val="nil"/>
              <w:right w:val="nil"/>
            </w:tcBorders>
            <w:noWrap/>
            <w:vAlign w:val="center"/>
          </w:tcPr>
          <w:p w14:paraId="7D1EAAA8" w14:textId="77777777" w:rsidR="00F52111" w:rsidRPr="00BC31E0" w:rsidRDefault="00F52111" w:rsidP="004736F2">
            <w:pPr>
              <w:adjustRightInd w:val="0"/>
              <w:snapToGrid w:val="0"/>
              <w:jc w:val="center"/>
              <w:rPr>
                <w:rFonts w:ascii="ＭＳ 明朝" w:hAnsi="ＭＳ 明朝"/>
                <w:sz w:val="18"/>
                <w:szCs w:val="18"/>
              </w:rPr>
            </w:pPr>
            <w:r w:rsidRPr="00BC31E0">
              <w:rPr>
                <w:rFonts w:ascii="ＭＳ 明朝" w:hAnsi="ＭＳ 明朝"/>
                <w:sz w:val="18"/>
                <w:szCs w:val="18"/>
              </w:rPr>
              <w:t>―</w:t>
            </w:r>
          </w:p>
        </w:tc>
        <w:tc>
          <w:tcPr>
            <w:tcW w:w="1229" w:type="dxa"/>
            <w:tcBorders>
              <w:top w:val="nil"/>
              <w:left w:val="nil"/>
              <w:bottom w:val="nil"/>
              <w:right w:val="nil"/>
            </w:tcBorders>
            <w:noWrap/>
            <w:vAlign w:val="center"/>
          </w:tcPr>
          <w:p w14:paraId="1C85F1B5"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0.0234</w:t>
            </w:r>
          </w:p>
        </w:tc>
        <w:tc>
          <w:tcPr>
            <w:tcW w:w="1228" w:type="dxa"/>
            <w:tcBorders>
              <w:top w:val="nil"/>
              <w:left w:val="nil"/>
              <w:bottom w:val="nil"/>
              <w:right w:val="nil"/>
            </w:tcBorders>
            <w:noWrap/>
            <w:vAlign w:val="center"/>
          </w:tcPr>
          <w:p w14:paraId="59967E33"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0.0318</w:t>
            </w:r>
          </w:p>
        </w:tc>
        <w:tc>
          <w:tcPr>
            <w:tcW w:w="1229" w:type="dxa"/>
            <w:tcBorders>
              <w:top w:val="nil"/>
              <w:left w:val="nil"/>
              <w:bottom w:val="nil"/>
              <w:right w:val="nil"/>
            </w:tcBorders>
            <w:noWrap/>
            <w:vAlign w:val="center"/>
          </w:tcPr>
          <w:p w14:paraId="7D74555F"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0.0390</w:t>
            </w:r>
          </w:p>
        </w:tc>
        <w:tc>
          <w:tcPr>
            <w:tcW w:w="1228" w:type="dxa"/>
            <w:tcBorders>
              <w:top w:val="nil"/>
              <w:left w:val="nil"/>
              <w:bottom w:val="nil"/>
              <w:right w:val="nil"/>
            </w:tcBorders>
            <w:noWrap/>
            <w:vAlign w:val="center"/>
          </w:tcPr>
          <w:p w14:paraId="72FC1E76"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0.0454</w:t>
            </w:r>
          </w:p>
        </w:tc>
        <w:tc>
          <w:tcPr>
            <w:tcW w:w="1229" w:type="dxa"/>
            <w:tcBorders>
              <w:top w:val="nil"/>
              <w:left w:val="nil"/>
              <w:bottom w:val="nil"/>
              <w:right w:val="single" w:sz="4" w:space="0" w:color="auto"/>
            </w:tcBorders>
            <w:noWrap/>
            <w:vAlign w:val="center"/>
          </w:tcPr>
          <w:p w14:paraId="4D2985EF"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0.0515</w:t>
            </w:r>
          </w:p>
        </w:tc>
      </w:tr>
      <w:tr w:rsidR="00F52111" w:rsidRPr="00BC31E0" w14:paraId="17D9EDD3" w14:textId="77777777" w:rsidTr="004736F2">
        <w:trPr>
          <w:cantSplit/>
          <w:jc w:val="center"/>
        </w:trPr>
        <w:tc>
          <w:tcPr>
            <w:tcW w:w="851" w:type="dxa"/>
            <w:vMerge/>
            <w:tcBorders>
              <w:left w:val="single" w:sz="4" w:space="0" w:color="auto"/>
              <w:right w:val="nil"/>
            </w:tcBorders>
            <w:noWrap/>
            <w:vAlign w:val="center"/>
          </w:tcPr>
          <w:p w14:paraId="2D6A33F7" w14:textId="77777777" w:rsidR="00F52111" w:rsidRPr="00BC31E0" w:rsidRDefault="00F52111" w:rsidP="004736F2">
            <w:pPr>
              <w:adjustRightInd w:val="0"/>
              <w:snapToGrid w:val="0"/>
              <w:jc w:val="center"/>
              <w:rPr>
                <w:rFonts w:ascii="ＭＳ Ｐゴシック" w:eastAsia="ＭＳ Ｐゴシック" w:hAnsi="ＭＳ Ｐゴシック"/>
                <w:sz w:val="18"/>
                <w:szCs w:val="18"/>
              </w:rPr>
            </w:pPr>
          </w:p>
        </w:tc>
        <w:tc>
          <w:tcPr>
            <w:tcW w:w="850" w:type="dxa"/>
            <w:tcBorders>
              <w:top w:val="nil"/>
              <w:left w:val="single" w:sz="4" w:space="0" w:color="auto"/>
              <w:bottom w:val="nil"/>
              <w:right w:val="single" w:sz="4" w:space="0" w:color="auto"/>
            </w:tcBorders>
            <w:noWrap/>
            <w:vAlign w:val="center"/>
          </w:tcPr>
          <w:p w14:paraId="5E5855E2"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0.50</w:t>
            </w:r>
          </w:p>
        </w:tc>
        <w:tc>
          <w:tcPr>
            <w:tcW w:w="1228" w:type="dxa"/>
            <w:tcBorders>
              <w:top w:val="nil"/>
              <w:left w:val="nil"/>
              <w:bottom w:val="nil"/>
              <w:right w:val="nil"/>
            </w:tcBorders>
            <w:noWrap/>
            <w:vAlign w:val="center"/>
          </w:tcPr>
          <w:p w14:paraId="7DE3A00E" w14:textId="77777777" w:rsidR="00F52111" w:rsidRPr="00BC31E0" w:rsidRDefault="00F52111" w:rsidP="004736F2">
            <w:pPr>
              <w:adjustRightInd w:val="0"/>
              <w:snapToGrid w:val="0"/>
              <w:jc w:val="center"/>
              <w:rPr>
                <w:rFonts w:ascii="ＭＳ 明朝" w:hAnsi="ＭＳ 明朝"/>
                <w:sz w:val="18"/>
                <w:szCs w:val="18"/>
              </w:rPr>
            </w:pPr>
            <w:r w:rsidRPr="00BC31E0">
              <w:rPr>
                <w:rFonts w:ascii="ＭＳ 明朝" w:hAnsi="ＭＳ 明朝"/>
                <w:sz w:val="18"/>
                <w:szCs w:val="18"/>
              </w:rPr>
              <w:t>―</w:t>
            </w:r>
          </w:p>
        </w:tc>
        <w:tc>
          <w:tcPr>
            <w:tcW w:w="1229" w:type="dxa"/>
            <w:tcBorders>
              <w:top w:val="nil"/>
              <w:left w:val="nil"/>
              <w:bottom w:val="nil"/>
              <w:right w:val="nil"/>
            </w:tcBorders>
            <w:noWrap/>
            <w:vAlign w:val="center"/>
          </w:tcPr>
          <w:p w14:paraId="20803AF0"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0.0295</w:t>
            </w:r>
          </w:p>
        </w:tc>
        <w:tc>
          <w:tcPr>
            <w:tcW w:w="1228" w:type="dxa"/>
            <w:tcBorders>
              <w:top w:val="nil"/>
              <w:left w:val="nil"/>
              <w:bottom w:val="nil"/>
              <w:right w:val="nil"/>
            </w:tcBorders>
            <w:noWrap/>
            <w:vAlign w:val="center"/>
          </w:tcPr>
          <w:p w14:paraId="7261DAC8"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0.0379</w:t>
            </w:r>
          </w:p>
        </w:tc>
        <w:tc>
          <w:tcPr>
            <w:tcW w:w="1229" w:type="dxa"/>
            <w:tcBorders>
              <w:top w:val="nil"/>
              <w:left w:val="nil"/>
              <w:bottom w:val="nil"/>
              <w:right w:val="nil"/>
            </w:tcBorders>
            <w:noWrap/>
            <w:vAlign w:val="center"/>
          </w:tcPr>
          <w:p w14:paraId="2F132371"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0.0448</w:t>
            </w:r>
          </w:p>
        </w:tc>
        <w:tc>
          <w:tcPr>
            <w:tcW w:w="1228" w:type="dxa"/>
            <w:tcBorders>
              <w:top w:val="nil"/>
              <w:left w:val="nil"/>
              <w:bottom w:val="nil"/>
              <w:right w:val="nil"/>
            </w:tcBorders>
            <w:noWrap/>
            <w:vAlign w:val="center"/>
          </w:tcPr>
          <w:p w14:paraId="0C437867"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0.0509</w:t>
            </w:r>
          </w:p>
        </w:tc>
        <w:tc>
          <w:tcPr>
            <w:tcW w:w="1229" w:type="dxa"/>
            <w:tcBorders>
              <w:top w:val="nil"/>
              <w:left w:val="nil"/>
              <w:bottom w:val="nil"/>
              <w:right w:val="single" w:sz="4" w:space="0" w:color="auto"/>
            </w:tcBorders>
            <w:noWrap/>
            <w:vAlign w:val="center"/>
          </w:tcPr>
          <w:p w14:paraId="136EAC70"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0.0565</w:t>
            </w:r>
          </w:p>
        </w:tc>
      </w:tr>
      <w:tr w:rsidR="00F52111" w:rsidRPr="00BC31E0" w14:paraId="0DB737A8" w14:textId="77777777" w:rsidTr="004736F2">
        <w:trPr>
          <w:cantSplit/>
          <w:jc w:val="center"/>
        </w:trPr>
        <w:tc>
          <w:tcPr>
            <w:tcW w:w="851" w:type="dxa"/>
            <w:vMerge/>
            <w:tcBorders>
              <w:left w:val="single" w:sz="4" w:space="0" w:color="auto"/>
              <w:right w:val="nil"/>
            </w:tcBorders>
            <w:noWrap/>
            <w:vAlign w:val="center"/>
          </w:tcPr>
          <w:p w14:paraId="1E8586C7" w14:textId="77777777" w:rsidR="00F52111" w:rsidRPr="00BC31E0" w:rsidRDefault="00F52111" w:rsidP="004736F2">
            <w:pPr>
              <w:adjustRightInd w:val="0"/>
              <w:snapToGrid w:val="0"/>
              <w:jc w:val="center"/>
              <w:rPr>
                <w:rFonts w:ascii="ＭＳ Ｐゴシック" w:eastAsia="ＭＳ Ｐゴシック" w:hAnsi="ＭＳ Ｐゴシック"/>
                <w:sz w:val="18"/>
                <w:szCs w:val="18"/>
              </w:rPr>
            </w:pPr>
          </w:p>
        </w:tc>
        <w:tc>
          <w:tcPr>
            <w:tcW w:w="850" w:type="dxa"/>
            <w:tcBorders>
              <w:top w:val="nil"/>
              <w:left w:val="single" w:sz="4" w:space="0" w:color="auto"/>
              <w:bottom w:val="nil"/>
              <w:right w:val="single" w:sz="4" w:space="0" w:color="auto"/>
            </w:tcBorders>
            <w:noWrap/>
            <w:vAlign w:val="center"/>
          </w:tcPr>
          <w:p w14:paraId="039052F1"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0.60</w:t>
            </w:r>
          </w:p>
        </w:tc>
        <w:tc>
          <w:tcPr>
            <w:tcW w:w="1228" w:type="dxa"/>
            <w:tcBorders>
              <w:top w:val="nil"/>
              <w:left w:val="nil"/>
              <w:bottom w:val="nil"/>
              <w:right w:val="nil"/>
            </w:tcBorders>
            <w:noWrap/>
            <w:vAlign w:val="center"/>
          </w:tcPr>
          <w:p w14:paraId="52CAA870" w14:textId="77777777" w:rsidR="00F52111" w:rsidRPr="00BC31E0" w:rsidRDefault="00F52111" w:rsidP="004736F2">
            <w:pPr>
              <w:adjustRightInd w:val="0"/>
              <w:snapToGrid w:val="0"/>
              <w:jc w:val="center"/>
              <w:rPr>
                <w:rFonts w:ascii="ＭＳ 明朝" w:hAnsi="ＭＳ 明朝"/>
                <w:sz w:val="18"/>
                <w:szCs w:val="18"/>
              </w:rPr>
            </w:pPr>
            <w:r w:rsidRPr="00BC31E0">
              <w:rPr>
                <w:rFonts w:ascii="ＭＳ 明朝" w:hAnsi="ＭＳ 明朝"/>
                <w:sz w:val="18"/>
                <w:szCs w:val="18"/>
              </w:rPr>
              <w:t>―</w:t>
            </w:r>
          </w:p>
        </w:tc>
        <w:tc>
          <w:tcPr>
            <w:tcW w:w="1229" w:type="dxa"/>
            <w:tcBorders>
              <w:top w:val="nil"/>
              <w:left w:val="nil"/>
              <w:bottom w:val="nil"/>
              <w:right w:val="nil"/>
            </w:tcBorders>
            <w:noWrap/>
            <w:vAlign w:val="center"/>
          </w:tcPr>
          <w:p w14:paraId="43ACB611"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0.0380</w:t>
            </w:r>
          </w:p>
        </w:tc>
        <w:tc>
          <w:tcPr>
            <w:tcW w:w="1228" w:type="dxa"/>
            <w:tcBorders>
              <w:top w:val="nil"/>
              <w:left w:val="nil"/>
              <w:bottom w:val="nil"/>
              <w:right w:val="nil"/>
            </w:tcBorders>
            <w:noWrap/>
            <w:vAlign w:val="center"/>
          </w:tcPr>
          <w:p w14:paraId="53D17ACC"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0.0455</w:t>
            </w:r>
          </w:p>
        </w:tc>
        <w:tc>
          <w:tcPr>
            <w:tcW w:w="1229" w:type="dxa"/>
            <w:tcBorders>
              <w:top w:val="nil"/>
              <w:left w:val="nil"/>
              <w:bottom w:val="nil"/>
              <w:right w:val="nil"/>
            </w:tcBorders>
            <w:noWrap/>
            <w:vAlign w:val="center"/>
          </w:tcPr>
          <w:p w14:paraId="2660CF09"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0.0513</w:t>
            </w:r>
          </w:p>
        </w:tc>
        <w:tc>
          <w:tcPr>
            <w:tcW w:w="1228" w:type="dxa"/>
            <w:tcBorders>
              <w:top w:val="nil"/>
              <w:left w:val="nil"/>
              <w:bottom w:val="nil"/>
              <w:right w:val="nil"/>
            </w:tcBorders>
            <w:noWrap/>
            <w:vAlign w:val="center"/>
          </w:tcPr>
          <w:p w14:paraId="6AF34776"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0.0564</w:t>
            </w:r>
          </w:p>
        </w:tc>
        <w:tc>
          <w:tcPr>
            <w:tcW w:w="1229" w:type="dxa"/>
            <w:tcBorders>
              <w:top w:val="nil"/>
              <w:left w:val="nil"/>
              <w:bottom w:val="nil"/>
              <w:right w:val="single" w:sz="4" w:space="0" w:color="auto"/>
            </w:tcBorders>
            <w:noWrap/>
            <w:vAlign w:val="center"/>
          </w:tcPr>
          <w:p w14:paraId="120966BE"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0.0611</w:t>
            </w:r>
          </w:p>
        </w:tc>
      </w:tr>
      <w:tr w:rsidR="00F52111" w:rsidRPr="00BC31E0" w14:paraId="42D2797B" w14:textId="77777777" w:rsidTr="004736F2">
        <w:trPr>
          <w:cantSplit/>
          <w:jc w:val="center"/>
        </w:trPr>
        <w:tc>
          <w:tcPr>
            <w:tcW w:w="851" w:type="dxa"/>
            <w:vMerge/>
            <w:tcBorders>
              <w:left w:val="single" w:sz="4" w:space="0" w:color="auto"/>
              <w:right w:val="nil"/>
            </w:tcBorders>
            <w:noWrap/>
            <w:vAlign w:val="center"/>
          </w:tcPr>
          <w:p w14:paraId="48DED716" w14:textId="77777777" w:rsidR="00F52111" w:rsidRPr="00BC31E0" w:rsidRDefault="00F52111" w:rsidP="004736F2">
            <w:pPr>
              <w:adjustRightInd w:val="0"/>
              <w:snapToGrid w:val="0"/>
              <w:jc w:val="center"/>
              <w:rPr>
                <w:rFonts w:ascii="ＭＳ Ｐゴシック" w:eastAsia="ＭＳ Ｐゴシック" w:hAnsi="ＭＳ Ｐゴシック"/>
                <w:sz w:val="18"/>
                <w:szCs w:val="18"/>
              </w:rPr>
            </w:pPr>
          </w:p>
        </w:tc>
        <w:tc>
          <w:tcPr>
            <w:tcW w:w="850" w:type="dxa"/>
            <w:tcBorders>
              <w:top w:val="nil"/>
              <w:left w:val="single" w:sz="4" w:space="0" w:color="auto"/>
              <w:bottom w:val="nil"/>
              <w:right w:val="single" w:sz="4" w:space="0" w:color="auto"/>
            </w:tcBorders>
            <w:noWrap/>
            <w:vAlign w:val="center"/>
          </w:tcPr>
          <w:p w14:paraId="27EE4388"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0.70</w:t>
            </w:r>
          </w:p>
        </w:tc>
        <w:tc>
          <w:tcPr>
            <w:tcW w:w="1228" w:type="dxa"/>
            <w:tcBorders>
              <w:top w:val="nil"/>
              <w:left w:val="nil"/>
              <w:bottom w:val="nil"/>
              <w:right w:val="nil"/>
            </w:tcBorders>
            <w:noWrap/>
            <w:vAlign w:val="center"/>
          </w:tcPr>
          <w:p w14:paraId="7AA17864" w14:textId="77777777" w:rsidR="00F52111" w:rsidRPr="00BC31E0" w:rsidRDefault="00F52111" w:rsidP="004736F2">
            <w:pPr>
              <w:adjustRightInd w:val="0"/>
              <w:snapToGrid w:val="0"/>
              <w:jc w:val="center"/>
              <w:rPr>
                <w:rFonts w:ascii="ＭＳ 明朝" w:hAnsi="ＭＳ 明朝"/>
                <w:sz w:val="18"/>
                <w:szCs w:val="18"/>
              </w:rPr>
            </w:pPr>
            <w:r w:rsidRPr="00BC31E0">
              <w:rPr>
                <w:rFonts w:ascii="ＭＳ 明朝" w:hAnsi="ＭＳ 明朝"/>
                <w:sz w:val="18"/>
                <w:szCs w:val="18"/>
              </w:rPr>
              <w:t>―</w:t>
            </w:r>
          </w:p>
        </w:tc>
        <w:tc>
          <w:tcPr>
            <w:tcW w:w="1229" w:type="dxa"/>
            <w:tcBorders>
              <w:top w:val="nil"/>
              <w:left w:val="nil"/>
              <w:bottom w:val="nil"/>
              <w:right w:val="nil"/>
            </w:tcBorders>
            <w:noWrap/>
            <w:vAlign w:val="center"/>
          </w:tcPr>
          <w:p w14:paraId="1F94992E"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0.0501</w:t>
            </w:r>
          </w:p>
        </w:tc>
        <w:tc>
          <w:tcPr>
            <w:tcW w:w="1228" w:type="dxa"/>
            <w:tcBorders>
              <w:top w:val="nil"/>
              <w:left w:val="nil"/>
              <w:bottom w:val="nil"/>
              <w:right w:val="nil"/>
            </w:tcBorders>
            <w:noWrap/>
            <w:vAlign w:val="center"/>
          </w:tcPr>
          <w:p w14:paraId="22C52F23"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0.0549</w:t>
            </w:r>
          </w:p>
        </w:tc>
        <w:tc>
          <w:tcPr>
            <w:tcW w:w="1229" w:type="dxa"/>
            <w:tcBorders>
              <w:top w:val="nil"/>
              <w:left w:val="nil"/>
              <w:bottom w:val="nil"/>
              <w:right w:val="nil"/>
            </w:tcBorders>
            <w:noWrap/>
            <w:vAlign w:val="center"/>
          </w:tcPr>
          <w:p w14:paraId="01AE18C0"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0.0587</w:t>
            </w:r>
          </w:p>
        </w:tc>
        <w:tc>
          <w:tcPr>
            <w:tcW w:w="1228" w:type="dxa"/>
            <w:tcBorders>
              <w:top w:val="nil"/>
              <w:left w:val="nil"/>
              <w:bottom w:val="nil"/>
              <w:right w:val="nil"/>
            </w:tcBorders>
            <w:noWrap/>
            <w:vAlign w:val="center"/>
          </w:tcPr>
          <w:p w14:paraId="0EF838B9"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0.0621</w:t>
            </w:r>
          </w:p>
        </w:tc>
        <w:tc>
          <w:tcPr>
            <w:tcW w:w="1229" w:type="dxa"/>
            <w:tcBorders>
              <w:top w:val="nil"/>
              <w:left w:val="nil"/>
              <w:bottom w:val="nil"/>
              <w:right w:val="single" w:sz="4" w:space="0" w:color="auto"/>
            </w:tcBorders>
            <w:noWrap/>
            <w:vAlign w:val="center"/>
          </w:tcPr>
          <w:p w14:paraId="63A4C2CF"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0.0652</w:t>
            </w:r>
          </w:p>
        </w:tc>
      </w:tr>
      <w:tr w:rsidR="00F52111" w:rsidRPr="00BC31E0" w14:paraId="2F64AF6A" w14:textId="77777777" w:rsidTr="004736F2">
        <w:trPr>
          <w:cantSplit/>
          <w:jc w:val="center"/>
        </w:trPr>
        <w:tc>
          <w:tcPr>
            <w:tcW w:w="851" w:type="dxa"/>
            <w:vMerge/>
            <w:tcBorders>
              <w:left w:val="single" w:sz="4" w:space="0" w:color="auto"/>
              <w:bottom w:val="single" w:sz="4" w:space="0" w:color="auto"/>
              <w:right w:val="nil"/>
            </w:tcBorders>
            <w:noWrap/>
            <w:vAlign w:val="center"/>
          </w:tcPr>
          <w:p w14:paraId="1F8B4E4F" w14:textId="77777777" w:rsidR="00F52111" w:rsidRPr="00BC31E0" w:rsidRDefault="00F52111" w:rsidP="004736F2">
            <w:pPr>
              <w:adjustRightInd w:val="0"/>
              <w:snapToGrid w:val="0"/>
              <w:jc w:val="center"/>
              <w:rPr>
                <w:rFonts w:ascii="ＭＳ Ｐゴシック" w:eastAsia="ＭＳ Ｐゴシック" w:hAnsi="ＭＳ Ｐゴシック"/>
                <w:sz w:val="18"/>
                <w:szCs w:val="18"/>
              </w:rPr>
            </w:pPr>
          </w:p>
        </w:tc>
        <w:tc>
          <w:tcPr>
            <w:tcW w:w="850" w:type="dxa"/>
            <w:tcBorders>
              <w:top w:val="nil"/>
              <w:left w:val="single" w:sz="4" w:space="0" w:color="auto"/>
              <w:bottom w:val="single" w:sz="4" w:space="0" w:color="auto"/>
              <w:right w:val="single" w:sz="4" w:space="0" w:color="auto"/>
            </w:tcBorders>
            <w:noWrap/>
            <w:vAlign w:val="center"/>
          </w:tcPr>
          <w:p w14:paraId="3E47F262"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0.80</w:t>
            </w:r>
          </w:p>
        </w:tc>
        <w:tc>
          <w:tcPr>
            <w:tcW w:w="1228" w:type="dxa"/>
            <w:tcBorders>
              <w:top w:val="nil"/>
              <w:left w:val="nil"/>
              <w:bottom w:val="single" w:sz="4" w:space="0" w:color="auto"/>
              <w:right w:val="nil"/>
            </w:tcBorders>
            <w:noWrap/>
            <w:vAlign w:val="center"/>
          </w:tcPr>
          <w:p w14:paraId="692A7097" w14:textId="77777777" w:rsidR="00F52111" w:rsidRPr="00BC31E0" w:rsidRDefault="00F52111" w:rsidP="004736F2">
            <w:pPr>
              <w:adjustRightInd w:val="0"/>
              <w:snapToGrid w:val="0"/>
              <w:jc w:val="center"/>
              <w:rPr>
                <w:rFonts w:ascii="ＭＳ 明朝" w:hAnsi="ＭＳ 明朝"/>
                <w:sz w:val="18"/>
                <w:szCs w:val="18"/>
              </w:rPr>
            </w:pPr>
            <w:r w:rsidRPr="00BC31E0">
              <w:rPr>
                <w:rFonts w:ascii="ＭＳ 明朝" w:hAnsi="ＭＳ 明朝"/>
                <w:sz w:val="18"/>
                <w:szCs w:val="18"/>
              </w:rPr>
              <w:t>―</w:t>
            </w:r>
          </w:p>
        </w:tc>
        <w:tc>
          <w:tcPr>
            <w:tcW w:w="1229" w:type="dxa"/>
            <w:tcBorders>
              <w:top w:val="nil"/>
              <w:left w:val="nil"/>
              <w:bottom w:val="single" w:sz="4" w:space="0" w:color="auto"/>
              <w:right w:val="nil"/>
            </w:tcBorders>
            <w:noWrap/>
            <w:vAlign w:val="center"/>
          </w:tcPr>
          <w:p w14:paraId="1C2E4CA4"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0.0673</w:t>
            </w:r>
          </w:p>
        </w:tc>
        <w:tc>
          <w:tcPr>
            <w:tcW w:w="1228" w:type="dxa"/>
            <w:tcBorders>
              <w:top w:val="nil"/>
              <w:left w:val="nil"/>
              <w:bottom w:val="single" w:sz="4" w:space="0" w:color="auto"/>
              <w:right w:val="nil"/>
            </w:tcBorders>
            <w:noWrap/>
            <w:vAlign w:val="center"/>
          </w:tcPr>
          <w:p w14:paraId="373EE5C1"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0.0670</w:t>
            </w:r>
          </w:p>
        </w:tc>
        <w:tc>
          <w:tcPr>
            <w:tcW w:w="1229" w:type="dxa"/>
            <w:tcBorders>
              <w:top w:val="nil"/>
              <w:left w:val="nil"/>
              <w:bottom w:val="single" w:sz="4" w:space="0" w:color="auto"/>
              <w:right w:val="nil"/>
            </w:tcBorders>
            <w:noWrap/>
            <w:vAlign w:val="center"/>
          </w:tcPr>
          <w:p w14:paraId="0300DD1B"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0.0672</w:t>
            </w:r>
          </w:p>
        </w:tc>
        <w:tc>
          <w:tcPr>
            <w:tcW w:w="1228" w:type="dxa"/>
            <w:tcBorders>
              <w:top w:val="nil"/>
              <w:left w:val="nil"/>
              <w:bottom w:val="single" w:sz="4" w:space="0" w:color="auto"/>
              <w:right w:val="nil"/>
            </w:tcBorders>
            <w:noWrap/>
            <w:vAlign w:val="center"/>
          </w:tcPr>
          <w:p w14:paraId="532F0CEE"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0.0679</w:t>
            </w:r>
          </w:p>
        </w:tc>
        <w:tc>
          <w:tcPr>
            <w:tcW w:w="1229" w:type="dxa"/>
            <w:tcBorders>
              <w:top w:val="nil"/>
              <w:left w:val="nil"/>
              <w:bottom w:val="single" w:sz="4" w:space="0" w:color="auto"/>
              <w:right w:val="single" w:sz="4" w:space="0" w:color="auto"/>
            </w:tcBorders>
            <w:noWrap/>
            <w:vAlign w:val="center"/>
          </w:tcPr>
          <w:p w14:paraId="4F0FE22D" w14:textId="77777777" w:rsidR="00F52111" w:rsidRPr="00BC31E0" w:rsidRDefault="00F52111" w:rsidP="004736F2">
            <w:pPr>
              <w:adjustRightInd w:val="0"/>
              <w:snapToGrid w:val="0"/>
              <w:jc w:val="center"/>
              <w:rPr>
                <w:rFonts w:ascii="Cambria Math" w:eastAsia="ＭＳ Ｐゴシック" w:hAnsi="Cambria Math"/>
                <w:sz w:val="18"/>
                <w:szCs w:val="18"/>
              </w:rPr>
            </w:pPr>
            <w:r w:rsidRPr="00BC31E0">
              <w:rPr>
                <w:rFonts w:ascii="Cambria Math" w:eastAsia="ＭＳ Ｐゴシック" w:hAnsi="Cambria Math"/>
                <w:sz w:val="18"/>
                <w:szCs w:val="18"/>
              </w:rPr>
              <w:t>0.0687</w:t>
            </w:r>
          </w:p>
        </w:tc>
      </w:tr>
    </w:tbl>
    <w:p w14:paraId="44AA51E5" w14:textId="77777777" w:rsidR="00F52111" w:rsidRPr="00BC31E0" w:rsidRDefault="00F52111" w:rsidP="002435BA">
      <w:pPr>
        <w:spacing w:before="60"/>
        <w:ind w:left="632" w:hangingChars="300" w:hanging="632"/>
      </w:pPr>
      <w:r w:rsidRPr="00BC31E0">
        <w:rPr>
          <w:rFonts w:asciiTheme="majorEastAsia" w:eastAsiaTheme="majorEastAsia" w:hAnsiTheme="majorEastAsia" w:hint="eastAsia"/>
          <w:b/>
        </w:rPr>
        <w:t>注記</w:t>
      </w:r>
      <w:r w:rsidRPr="00BC31E0">
        <w:rPr>
          <w:rFonts w:hint="eastAsia"/>
        </w:rPr>
        <w:t xml:space="preserve">　表に示す</w:t>
      </w:r>
      <m:oMath>
        <m:f>
          <m:fPr>
            <m:type m:val="lin"/>
            <m:ctrlPr>
              <w:rPr>
                <w:rFonts w:ascii="Cambria Math" w:hAnsi="Cambria Math"/>
              </w:rPr>
            </m:ctrlPr>
          </m:fPr>
          <m:num>
            <m:r>
              <w:rPr>
                <w:rFonts w:ascii="Cambria Math" w:hAnsi="Cambria Math"/>
              </w:rPr>
              <m:t xml:space="preserve"> a</m:t>
            </m:r>
          </m:num>
          <m:den>
            <m:r>
              <w:rPr>
                <w:rFonts w:ascii="Cambria Math" w:hAnsi="Cambria Math"/>
              </w:rPr>
              <m:t>t</m:t>
            </m:r>
          </m:den>
        </m:f>
      </m:oMath>
      <w:r w:rsidRPr="00BC31E0">
        <w:rPr>
          <w:rFonts w:hint="eastAsia"/>
        </w:rPr>
        <w:t>，</w:t>
      </w:r>
      <m:oMath>
        <m:f>
          <m:fPr>
            <m:type m:val="lin"/>
            <m:ctrlPr>
              <w:rPr>
                <w:rFonts w:ascii="Cambria Math" w:hAnsi="Cambria Math"/>
              </w:rPr>
            </m:ctrlPr>
          </m:fPr>
          <m:num>
            <m:r>
              <w:rPr>
                <w:rFonts w:ascii="Cambria Math" w:hAnsi="Cambria Math"/>
              </w:rPr>
              <m:t>a</m:t>
            </m:r>
          </m:num>
          <m:den>
            <m:r>
              <w:rPr>
                <w:rFonts w:ascii="Cambria Math" w:hAnsi="Cambria Math"/>
              </w:rPr>
              <m:t>l</m:t>
            </m:r>
          </m:den>
        </m:f>
        <m:r>
          <m:rPr>
            <m:sty m:val="p"/>
          </m:rPr>
          <w:rPr>
            <w:rFonts w:ascii="Cambria Math" w:hAnsi="Cambria Math"/>
          </w:rPr>
          <m:t xml:space="preserve"> </m:t>
        </m:r>
      </m:oMath>
      <w:r w:rsidRPr="00BC31E0">
        <w:rPr>
          <w:rFonts w:hint="eastAsia"/>
        </w:rPr>
        <w:t>の値の中間にある場合には内そうで求める。ただし，</w:t>
      </w:r>
      <m:oMath>
        <m:f>
          <m:fPr>
            <m:type m:val="lin"/>
            <m:ctrlPr>
              <w:rPr>
                <w:rFonts w:ascii="Cambria Math" w:hAnsi="Cambria Math"/>
              </w:rPr>
            </m:ctrlPr>
          </m:fPr>
          <m:num>
            <m:r>
              <w:rPr>
                <w:rFonts w:ascii="Cambria Math" w:hAnsi="Cambria Math"/>
              </w:rPr>
              <m:t>a</m:t>
            </m:r>
          </m:num>
          <m:den>
            <m:r>
              <w:rPr>
                <w:rFonts w:ascii="Cambria Math" w:hAnsi="Cambria Math"/>
              </w:rPr>
              <m:t>l</m:t>
            </m:r>
          </m:den>
        </m:f>
        <m:r>
          <m:rPr>
            <m:sty m:val="p"/>
          </m:rPr>
          <w:rPr>
            <w:rFonts w:ascii="Cambria Math" w:hAnsi="Cambria Math"/>
          </w:rPr>
          <m:t>=0.0</m:t>
        </m:r>
        <m:r>
          <m:rPr>
            <m:sty m:val="p"/>
          </m:rPr>
          <w:rPr>
            <w:rFonts w:ascii="Cambria Math" w:hAnsi="Cambria Math"/>
          </w:rPr>
          <m:t>～</m:t>
        </m:r>
        <m:r>
          <m:rPr>
            <m:sty m:val="p"/>
          </m:rPr>
          <w:rPr>
            <w:rFonts w:ascii="Cambria Math" w:hAnsi="Cambria Math"/>
          </w:rPr>
          <m:t>0.1</m:t>
        </m:r>
        <m:r>
          <m:rPr>
            <m:sty m:val="p"/>
          </m:rPr>
          <w:rPr>
            <w:rFonts w:ascii="Cambria Math" w:hAnsi="Cambria Math" w:hint="eastAsia"/>
          </w:rPr>
          <m:t xml:space="preserve"> </m:t>
        </m:r>
      </m:oMath>
      <w:r w:rsidRPr="00BC31E0">
        <w:rPr>
          <w:rFonts w:hint="eastAsia"/>
        </w:rPr>
        <w:t>の間の内そうは</w:t>
      </w:r>
      <w:r w:rsidR="0022239A" w:rsidRPr="00BC31E0">
        <w:rPr>
          <w:rFonts w:hint="eastAsia"/>
        </w:rPr>
        <w:t>行えない</w:t>
      </w:r>
      <w:r w:rsidRPr="00BC31E0">
        <w:rPr>
          <w:rFonts w:hint="eastAsia"/>
        </w:rPr>
        <w:t>。</w:t>
      </w:r>
    </w:p>
    <w:p w14:paraId="5514969B" w14:textId="77777777" w:rsidR="00F52111" w:rsidRPr="00BC31E0" w:rsidRDefault="00F52111" w:rsidP="00F52111"/>
    <w:p w14:paraId="11E29F0A" w14:textId="77777777" w:rsidR="005C582E" w:rsidRPr="00BC31E0" w:rsidRDefault="005C582E" w:rsidP="00F52111"/>
    <w:p w14:paraId="3DFBF73C" w14:textId="77777777" w:rsidR="00F52111" w:rsidRPr="00BC31E0" w:rsidRDefault="00F52111" w:rsidP="009E34A5">
      <w:pPr>
        <w:pStyle w:val="111"/>
        <w:ind w:left="794" w:hanging="794"/>
      </w:pPr>
      <w:r w:rsidRPr="00BC31E0">
        <w:rPr>
          <w:rFonts w:asciiTheme="majorEastAsia" w:eastAsiaTheme="majorEastAsia" w:hAnsiTheme="majorEastAsia"/>
        </w:rPr>
        <w:lastRenderedPageBreak/>
        <w:t>5</w:t>
      </w:r>
      <w:r w:rsidRPr="00BC31E0">
        <w:rPr>
          <w:rFonts w:hint="eastAsia"/>
        </w:rPr>
        <w:t>次多項式近似の応力分布を使用</w:t>
      </w:r>
    </w:p>
    <w:p w14:paraId="06487FE8" w14:textId="77777777" w:rsidR="00F52111" w:rsidRPr="00BC31E0" w:rsidRDefault="00F52111" w:rsidP="002435BA">
      <w:pPr>
        <w:pStyle w:val="1110"/>
        <w:spacing w:after="120"/>
        <w:ind w:firstLine="210"/>
      </w:pPr>
      <w:r w:rsidRPr="00BC31E0">
        <w:rPr>
          <w:rFonts w:hint="eastAsia"/>
        </w:rPr>
        <w:t>亀裂が存在する位置で，亀裂面に対して垂直方向に作用する応力を，深さ方向に</w:t>
      </w:r>
      <w:r w:rsidRPr="00BC31E0">
        <w:rPr>
          <w:rFonts w:asciiTheme="minorHAnsi" w:hAnsiTheme="minorHAnsi"/>
        </w:rPr>
        <w:t>3</w:t>
      </w:r>
      <w:r w:rsidRPr="00BC31E0">
        <w:rPr>
          <w:rFonts w:hint="eastAsia"/>
        </w:rPr>
        <w:t>次多項式では正確に近似できない場合には，次式の</w:t>
      </w:r>
      <w:r w:rsidRPr="00BC31E0">
        <w:rPr>
          <w:rFonts w:asciiTheme="minorHAnsi" w:hAnsiTheme="minorHAnsi"/>
        </w:rPr>
        <w:t>5</w:t>
      </w:r>
      <w:r w:rsidRPr="00BC31E0">
        <w:rPr>
          <w:rFonts w:hint="eastAsia"/>
        </w:rPr>
        <w:t>次多項式で近似する。</w:t>
      </w:r>
    </w:p>
    <w:p w14:paraId="265FA938" w14:textId="77777777" w:rsidR="00F52111" w:rsidRPr="00BC31E0" w:rsidRDefault="00F52111" w:rsidP="00F52111">
      <w:pPr>
        <w:tabs>
          <w:tab w:val="left" w:pos="1134"/>
          <w:tab w:val="left" w:leader="middleDot" w:pos="8647"/>
        </w:tabs>
        <w:rPr>
          <w:szCs w:val="20"/>
        </w:rPr>
      </w:pPr>
      <w:r w:rsidRPr="00BC31E0">
        <w:rPr>
          <w:rFonts w:hint="eastAsia"/>
        </w:rPr>
        <w:tab/>
      </w:r>
      <m:oMath>
        <m:r>
          <w:rPr>
            <w:rFonts w:ascii="Cambria Math" w:hAnsi="Cambria Math"/>
          </w:rPr>
          <m:t>σ=</m:t>
        </m:r>
        <m:sSub>
          <m:sSubPr>
            <m:ctrlPr>
              <w:rPr>
                <w:rFonts w:ascii="Cambria Math" w:hAnsi="Cambria Math"/>
                <w:bCs/>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bCs/>
              </w:rPr>
            </m:ctrlPr>
          </m:sSubPr>
          <m:e>
            <m:r>
              <w:rPr>
                <w:rFonts w:ascii="Cambria Math" w:hAnsi="Cambria Math"/>
              </w:rPr>
              <m:t>A</m:t>
            </m:r>
          </m:e>
          <m:sub>
            <m:r>
              <w:rPr>
                <w:rFonts w:ascii="Cambria Math" w:hAnsi="Cambria Math"/>
              </w:rPr>
              <m:t>1</m:t>
            </m:r>
          </m:sub>
        </m:sSub>
        <m:d>
          <m:dPr>
            <m:ctrlPr>
              <w:rPr>
                <w:rFonts w:ascii="Cambria Math" w:hAnsi="Cambria Math"/>
                <w:bCs/>
              </w:rPr>
            </m:ctrlPr>
          </m:dPr>
          <m:e>
            <m:f>
              <m:fPr>
                <m:type m:val="lin"/>
                <m:ctrlPr>
                  <w:rPr>
                    <w:rFonts w:ascii="Cambria Math" w:hAnsi="Cambria Math"/>
                    <w:bCs/>
                  </w:rPr>
                </m:ctrlPr>
              </m:fPr>
              <m:num>
                <m:r>
                  <w:rPr>
                    <w:rFonts w:ascii="Cambria Math" w:hAnsi="Cambria Math"/>
                  </w:rPr>
                  <m:t>x</m:t>
                </m:r>
              </m:num>
              <m:den>
                <m:r>
                  <w:rPr>
                    <w:rFonts w:ascii="Cambria Math" w:hAnsi="Cambria Math"/>
                  </w:rPr>
                  <m:t>a</m:t>
                </m:r>
              </m:den>
            </m:f>
          </m:e>
        </m:d>
        <m:r>
          <w:rPr>
            <w:rFonts w:ascii="Cambria Math" w:hAnsi="Cambria Math"/>
          </w:rPr>
          <m:t>+</m:t>
        </m:r>
        <m:sSub>
          <m:sSubPr>
            <m:ctrlPr>
              <w:rPr>
                <w:rFonts w:ascii="Cambria Math" w:hAnsi="Cambria Math"/>
                <w:bCs/>
              </w:rPr>
            </m:ctrlPr>
          </m:sSubPr>
          <m:e>
            <m:r>
              <w:rPr>
                <w:rFonts w:ascii="Cambria Math" w:hAnsi="Cambria Math"/>
              </w:rPr>
              <m:t>A</m:t>
            </m:r>
          </m:e>
          <m:sub>
            <m:r>
              <w:rPr>
                <w:rFonts w:ascii="Cambria Math" w:hAnsi="Cambria Math"/>
              </w:rPr>
              <m:t>2</m:t>
            </m:r>
          </m:sub>
        </m:sSub>
        <m:sSup>
          <m:sSupPr>
            <m:ctrlPr>
              <w:rPr>
                <w:rFonts w:ascii="Cambria Math" w:hAnsi="Cambria Math"/>
                <w:bCs/>
              </w:rPr>
            </m:ctrlPr>
          </m:sSupPr>
          <m:e>
            <m:d>
              <m:dPr>
                <m:ctrlPr>
                  <w:rPr>
                    <w:rFonts w:ascii="Cambria Math" w:hAnsi="Cambria Math"/>
                    <w:bCs/>
                  </w:rPr>
                </m:ctrlPr>
              </m:dPr>
              <m:e>
                <m:f>
                  <m:fPr>
                    <m:type m:val="lin"/>
                    <m:ctrlPr>
                      <w:rPr>
                        <w:rFonts w:ascii="Cambria Math" w:hAnsi="Cambria Math"/>
                        <w:bCs/>
                      </w:rPr>
                    </m:ctrlPr>
                  </m:fPr>
                  <m:num>
                    <m:r>
                      <w:rPr>
                        <w:rFonts w:ascii="Cambria Math" w:hAnsi="Cambria Math"/>
                      </w:rPr>
                      <m:t>x</m:t>
                    </m:r>
                  </m:num>
                  <m:den>
                    <m:r>
                      <w:rPr>
                        <w:rFonts w:ascii="Cambria Math" w:hAnsi="Cambria Math"/>
                      </w:rPr>
                      <m:t>a</m:t>
                    </m:r>
                  </m:den>
                </m:f>
              </m:e>
            </m:d>
          </m:e>
          <m:sup>
            <m:r>
              <w:rPr>
                <w:rFonts w:ascii="Cambria Math" w:hAnsi="Cambria Math"/>
              </w:rPr>
              <m:t>2</m:t>
            </m:r>
          </m:sup>
        </m:sSup>
        <m:r>
          <w:rPr>
            <w:rFonts w:ascii="Cambria Math" w:hAnsi="Cambria Math"/>
          </w:rPr>
          <m:t>+</m:t>
        </m:r>
        <m:sSub>
          <m:sSubPr>
            <m:ctrlPr>
              <w:rPr>
                <w:rFonts w:ascii="Cambria Math" w:hAnsi="Cambria Math"/>
                <w:bCs/>
              </w:rPr>
            </m:ctrlPr>
          </m:sSubPr>
          <m:e>
            <m:r>
              <w:rPr>
                <w:rFonts w:ascii="Cambria Math" w:hAnsi="Cambria Math"/>
              </w:rPr>
              <m:t>A</m:t>
            </m:r>
          </m:e>
          <m:sub>
            <m:r>
              <w:rPr>
                <w:rFonts w:ascii="Cambria Math" w:hAnsi="Cambria Math"/>
              </w:rPr>
              <m:t>3</m:t>
            </m:r>
          </m:sub>
        </m:sSub>
        <m:sSup>
          <m:sSupPr>
            <m:ctrlPr>
              <w:rPr>
                <w:rFonts w:ascii="Cambria Math" w:hAnsi="Cambria Math"/>
                <w:bCs/>
              </w:rPr>
            </m:ctrlPr>
          </m:sSupPr>
          <m:e>
            <m:d>
              <m:dPr>
                <m:ctrlPr>
                  <w:rPr>
                    <w:rFonts w:ascii="Cambria Math" w:hAnsi="Cambria Math"/>
                    <w:bCs/>
                  </w:rPr>
                </m:ctrlPr>
              </m:dPr>
              <m:e>
                <m:f>
                  <m:fPr>
                    <m:type m:val="lin"/>
                    <m:ctrlPr>
                      <w:rPr>
                        <w:rFonts w:ascii="Cambria Math" w:hAnsi="Cambria Math"/>
                        <w:bCs/>
                      </w:rPr>
                    </m:ctrlPr>
                  </m:fPr>
                  <m:num>
                    <m:r>
                      <w:rPr>
                        <w:rFonts w:ascii="Cambria Math" w:hAnsi="Cambria Math"/>
                      </w:rPr>
                      <m:t>x</m:t>
                    </m:r>
                  </m:num>
                  <m:den>
                    <m:r>
                      <w:rPr>
                        <w:rFonts w:ascii="Cambria Math" w:hAnsi="Cambria Math"/>
                      </w:rPr>
                      <m:t>a</m:t>
                    </m:r>
                  </m:den>
                </m:f>
              </m:e>
            </m:d>
          </m:e>
          <m:sup>
            <m:r>
              <w:rPr>
                <w:rFonts w:ascii="Cambria Math" w:hAnsi="Cambria Math"/>
              </w:rPr>
              <m:t>3</m:t>
            </m:r>
          </m:sup>
        </m:sSup>
        <m:r>
          <w:rPr>
            <w:rFonts w:ascii="Cambria Math" w:hAnsi="Cambria Math"/>
          </w:rPr>
          <m:t>+</m:t>
        </m:r>
        <m:sSub>
          <m:sSubPr>
            <m:ctrlPr>
              <w:rPr>
                <w:rFonts w:ascii="Cambria Math" w:hAnsi="Cambria Math"/>
                <w:bCs/>
              </w:rPr>
            </m:ctrlPr>
          </m:sSubPr>
          <m:e>
            <m:r>
              <w:rPr>
                <w:rFonts w:ascii="Cambria Math" w:hAnsi="Cambria Math"/>
              </w:rPr>
              <m:t>A</m:t>
            </m:r>
          </m:e>
          <m:sub>
            <m:r>
              <w:rPr>
                <w:rFonts w:ascii="Cambria Math" w:hAnsi="Cambria Math"/>
              </w:rPr>
              <m:t>4</m:t>
            </m:r>
          </m:sub>
        </m:sSub>
        <m:sSup>
          <m:sSupPr>
            <m:ctrlPr>
              <w:rPr>
                <w:rFonts w:ascii="Cambria Math" w:hAnsi="Cambria Math"/>
                <w:bCs/>
              </w:rPr>
            </m:ctrlPr>
          </m:sSupPr>
          <m:e>
            <m:d>
              <m:dPr>
                <m:ctrlPr>
                  <w:rPr>
                    <w:rFonts w:ascii="Cambria Math" w:hAnsi="Cambria Math"/>
                    <w:bCs/>
                  </w:rPr>
                </m:ctrlPr>
              </m:dPr>
              <m:e>
                <m:f>
                  <m:fPr>
                    <m:type m:val="lin"/>
                    <m:ctrlPr>
                      <w:rPr>
                        <w:rFonts w:ascii="Cambria Math" w:hAnsi="Cambria Math"/>
                        <w:bCs/>
                      </w:rPr>
                    </m:ctrlPr>
                  </m:fPr>
                  <m:num>
                    <m:r>
                      <w:rPr>
                        <w:rFonts w:ascii="Cambria Math" w:hAnsi="Cambria Math"/>
                      </w:rPr>
                      <m:t>x</m:t>
                    </m:r>
                  </m:num>
                  <m:den>
                    <m:r>
                      <w:rPr>
                        <w:rFonts w:ascii="Cambria Math" w:hAnsi="Cambria Math"/>
                      </w:rPr>
                      <m:t>a</m:t>
                    </m:r>
                  </m:den>
                </m:f>
              </m:e>
            </m:d>
          </m:e>
          <m:sup>
            <m:r>
              <w:rPr>
                <w:rFonts w:ascii="Cambria Math" w:hAnsi="Cambria Math"/>
              </w:rPr>
              <m:t>4</m:t>
            </m:r>
          </m:sup>
        </m:sSup>
        <m:r>
          <w:rPr>
            <w:rFonts w:ascii="Cambria Math" w:hAnsi="Cambria Math"/>
          </w:rPr>
          <m:t>+</m:t>
        </m:r>
        <m:sSub>
          <m:sSubPr>
            <m:ctrlPr>
              <w:rPr>
                <w:rFonts w:ascii="Cambria Math" w:hAnsi="Cambria Math"/>
                <w:bCs/>
              </w:rPr>
            </m:ctrlPr>
          </m:sSubPr>
          <m:e>
            <m:r>
              <w:rPr>
                <w:rFonts w:ascii="Cambria Math" w:hAnsi="Cambria Math"/>
              </w:rPr>
              <m:t>A</m:t>
            </m:r>
          </m:e>
          <m:sub>
            <m:r>
              <w:rPr>
                <w:rFonts w:ascii="Cambria Math" w:hAnsi="Cambria Math"/>
              </w:rPr>
              <m:t>5</m:t>
            </m:r>
          </m:sub>
        </m:sSub>
        <m:sSup>
          <m:sSupPr>
            <m:ctrlPr>
              <w:rPr>
                <w:rFonts w:ascii="Cambria Math" w:hAnsi="Cambria Math"/>
                <w:bCs/>
              </w:rPr>
            </m:ctrlPr>
          </m:sSupPr>
          <m:e>
            <m:d>
              <m:dPr>
                <m:ctrlPr>
                  <w:rPr>
                    <w:rFonts w:ascii="Cambria Math" w:hAnsi="Cambria Math"/>
                    <w:bCs/>
                  </w:rPr>
                </m:ctrlPr>
              </m:dPr>
              <m:e>
                <m:f>
                  <m:fPr>
                    <m:type m:val="lin"/>
                    <m:ctrlPr>
                      <w:rPr>
                        <w:rFonts w:ascii="Cambria Math" w:hAnsi="Cambria Math"/>
                        <w:bCs/>
                      </w:rPr>
                    </m:ctrlPr>
                  </m:fPr>
                  <m:num>
                    <m:r>
                      <w:rPr>
                        <w:rFonts w:ascii="Cambria Math" w:hAnsi="Cambria Math"/>
                      </w:rPr>
                      <m:t>x</m:t>
                    </m:r>
                  </m:num>
                  <m:den>
                    <m:r>
                      <w:rPr>
                        <w:rFonts w:ascii="Cambria Math" w:hAnsi="Cambria Math"/>
                      </w:rPr>
                      <m:t>a</m:t>
                    </m:r>
                  </m:den>
                </m:f>
              </m:e>
            </m:d>
          </m:e>
          <m:sup>
            <m:r>
              <w:rPr>
                <w:rFonts w:ascii="Cambria Math" w:hAnsi="Cambria Math"/>
              </w:rPr>
              <m:t>5</m:t>
            </m:r>
          </m:sup>
        </m:sSup>
      </m:oMath>
      <w:r w:rsidRPr="00BC31E0">
        <w:rPr>
          <w:rFonts w:hint="eastAsia"/>
          <w:szCs w:val="20"/>
        </w:rPr>
        <w:tab/>
        <w:t>(8)</w:t>
      </w:r>
    </w:p>
    <w:p w14:paraId="3EEB9D30" w14:textId="77777777" w:rsidR="00F52111" w:rsidRPr="00BC31E0" w:rsidRDefault="00F52111" w:rsidP="009E34A5">
      <w:pPr>
        <w:ind w:firstLineChars="100" w:firstLine="210"/>
      </w:pPr>
      <w:r w:rsidRPr="00BC31E0">
        <w:rPr>
          <w:rFonts w:hint="eastAsia"/>
        </w:rPr>
        <w:t>ここで，</w:t>
      </w:r>
    </w:p>
    <w:p w14:paraId="6FFA1E17" w14:textId="77777777" w:rsidR="00F52111" w:rsidRPr="00BC31E0" w:rsidRDefault="00F52111" w:rsidP="00F52111">
      <w:pPr>
        <w:tabs>
          <w:tab w:val="left" w:pos="1134"/>
        </w:tabs>
        <w:rPr>
          <w:szCs w:val="20"/>
        </w:rPr>
      </w:pPr>
      <w:r w:rsidRPr="00BC31E0">
        <w:rPr>
          <w:szCs w:val="20"/>
        </w:rPr>
        <w:tab/>
      </w:r>
      <m:oMath>
        <m:sSub>
          <m:sSubPr>
            <m:ctrlPr>
              <w:rPr>
                <w:rFonts w:ascii="Cambria Math" w:hAnsi="Cambria Math"/>
                <w:bCs/>
              </w:rPr>
            </m:ctrlPr>
          </m:sSubPr>
          <m:e>
            <m:r>
              <w:rPr>
                <w:rFonts w:ascii="Cambria Math" w:hAnsi="Cambria Math"/>
              </w:rPr>
              <m:t>A</m:t>
            </m:r>
          </m:e>
          <m:sub>
            <m:r>
              <w:rPr>
                <w:rFonts w:ascii="Cambria Math" w:hAnsi="Cambria Math"/>
              </w:rPr>
              <m:t>0</m:t>
            </m:r>
          </m:sub>
        </m:sSub>
      </m:oMath>
      <w:r w:rsidRPr="00BC31E0">
        <w:rPr>
          <w:rFonts w:hint="eastAsia"/>
          <w:szCs w:val="20"/>
        </w:rPr>
        <w:t>，</w:t>
      </w:r>
      <m:oMath>
        <m:sSub>
          <m:sSubPr>
            <m:ctrlPr>
              <w:rPr>
                <w:rFonts w:ascii="Cambria Math" w:hAnsi="Cambria Math"/>
                <w:bCs/>
              </w:rPr>
            </m:ctrlPr>
          </m:sSubPr>
          <m:e>
            <m:r>
              <w:rPr>
                <w:rFonts w:ascii="Cambria Math" w:hAnsi="Cambria Math"/>
              </w:rPr>
              <m:t>A</m:t>
            </m:r>
          </m:e>
          <m:sub>
            <m:r>
              <w:rPr>
                <w:rFonts w:ascii="Cambria Math" w:hAnsi="Cambria Math"/>
              </w:rPr>
              <m:t>1</m:t>
            </m:r>
          </m:sub>
        </m:sSub>
      </m:oMath>
      <w:r w:rsidRPr="00BC31E0">
        <w:rPr>
          <w:rFonts w:hint="eastAsia"/>
          <w:szCs w:val="20"/>
        </w:rPr>
        <w:t>，</w:t>
      </w:r>
      <m:oMath>
        <m:sSub>
          <m:sSubPr>
            <m:ctrlPr>
              <w:rPr>
                <w:rFonts w:ascii="Cambria Math" w:hAnsi="Cambria Math"/>
                <w:bCs/>
              </w:rPr>
            </m:ctrlPr>
          </m:sSubPr>
          <m:e>
            <m:r>
              <w:rPr>
                <w:rFonts w:ascii="Cambria Math" w:hAnsi="Cambria Math"/>
              </w:rPr>
              <m:t>A</m:t>
            </m:r>
          </m:e>
          <m:sub>
            <m:r>
              <w:rPr>
                <w:rFonts w:ascii="Cambria Math" w:hAnsi="Cambria Math"/>
              </w:rPr>
              <m:t>2</m:t>
            </m:r>
          </m:sub>
        </m:sSub>
      </m:oMath>
      <w:r w:rsidRPr="00BC31E0">
        <w:rPr>
          <w:rFonts w:hint="eastAsia"/>
          <w:szCs w:val="20"/>
        </w:rPr>
        <w:t>，</w:t>
      </w:r>
      <m:oMath>
        <m:sSub>
          <m:sSubPr>
            <m:ctrlPr>
              <w:rPr>
                <w:rFonts w:ascii="Cambria Math" w:hAnsi="Cambria Math"/>
                <w:bCs/>
              </w:rPr>
            </m:ctrlPr>
          </m:sSubPr>
          <m:e>
            <m:r>
              <w:rPr>
                <w:rFonts w:ascii="Cambria Math" w:hAnsi="Cambria Math"/>
              </w:rPr>
              <m:t>A</m:t>
            </m:r>
          </m:e>
          <m:sub>
            <m:r>
              <w:rPr>
                <w:rFonts w:ascii="Cambria Math" w:hAnsi="Cambria Math"/>
              </w:rPr>
              <m:t>3</m:t>
            </m:r>
          </m:sub>
        </m:sSub>
      </m:oMath>
      <w:r w:rsidRPr="00BC31E0">
        <w:rPr>
          <w:rFonts w:hint="eastAsia"/>
          <w:szCs w:val="20"/>
        </w:rPr>
        <w:t>，</w:t>
      </w:r>
      <m:oMath>
        <m:sSub>
          <m:sSubPr>
            <m:ctrlPr>
              <w:rPr>
                <w:rFonts w:ascii="Cambria Math" w:hAnsi="Cambria Math"/>
                <w:bCs/>
              </w:rPr>
            </m:ctrlPr>
          </m:sSubPr>
          <m:e>
            <m:r>
              <w:rPr>
                <w:rFonts w:ascii="Cambria Math" w:hAnsi="Cambria Math"/>
              </w:rPr>
              <m:t>A</m:t>
            </m:r>
          </m:e>
          <m:sub>
            <m:r>
              <w:rPr>
                <w:rFonts w:ascii="Cambria Math" w:hAnsi="Cambria Math"/>
              </w:rPr>
              <m:t>4</m:t>
            </m:r>
          </m:sub>
        </m:sSub>
      </m:oMath>
      <w:r w:rsidRPr="00BC31E0">
        <w:rPr>
          <w:rFonts w:hint="eastAsia"/>
          <w:szCs w:val="20"/>
        </w:rPr>
        <w:t>，</w:t>
      </w:r>
      <m:oMath>
        <m:sSub>
          <m:sSubPr>
            <m:ctrlPr>
              <w:rPr>
                <w:rFonts w:ascii="Cambria Math" w:hAnsi="Cambria Math"/>
                <w:bCs/>
              </w:rPr>
            </m:ctrlPr>
          </m:sSubPr>
          <m:e>
            <m:r>
              <w:rPr>
                <w:rFonts w:ascii="Cambria Math" w:hAnsi="Cambria Math"/>
              </w:rPr>
              <m:t>A</m:t>
            </m:r>
          </m:e>
          <m:sub>
            <m:r>
              <w:rPr>
                <w:rFonts w:ascii="Cambria Math" w:hAnsi="Cambria Math"/>
              </w:rPr>
              <m:t>5</m:t>
            </m:r>
          </m:sub>
        </m:sSub>
      </m:oMath>
      <w:r w:rsidRPr="00BC31E0">
        <w:rPr>
          <w:rFonts w:hint="eastAsia"/>
          <w:bCs/>
        </w:rPr>
        <w:t xml:space="preserve"> </w:t>
      </w:r>
      <w:r w:rsidRPr="00BC31E0">
        <w:rPr>
          <w:rFonts w:hint="eastAsia"/>
          <w:szCs w:val="20"/>
        </w:rPr>
        <w:t>：</w:t>
      </w:r>
      <w:r w:rsidRPr="00BC31E0">
        <w:rPr>
          <w:rFonts w:hint="eastAsia"/>
          <w:szCs w:val="20"/>
        </w:rPr>
        <w:t xml:space="preserve"> </w:t>
      </w:r>
      <w:r w:rsidRPr="00BC31E0">
        <w:rPr>
          <w:rFonts w:hint="eastAsia"/>
          <w:szCs w:val="20"/>
        </w:rPr>
        <w:t>定数</w:t>
      </w:r>
    </w:p>
    <w:p w14:paraId="69614885" w14:textId="77777777" w:rsidR="00F52111" w:rsidRPr="00BC31E0" w:rsidRDefault="00F52111" w:rsidP="00F52111">
      <w:pPr>
        <w:tabs>
          <w:tab w:val="left" w:pos="1134"/>
        </w:tabs>
      </w:pPr>
      <w:r w:rsidRPr="00BC31E0">
        <w:tab/>
      </w:r>
      <m:oMath>
        <m:r>
          <w:rPr>
            <w:rFonts w:ascii="Cambria Math" w:hAnsi="Cambria Math"/>
          </w:rPr>
          <m:t>a</m:t>
        </m:r>
      </m:oMath>
      <w:r w:rsidRPr="00BC31E0">
        <w:rPr>
          <w:rFonts w:hint="eastAsia"/>
        </w:rPr>
        <w:t xml:space="preserve"> </w:t>
      </w:r>
      <w:r w:rsidRPr="00BC31E0">
        <w:rPr>
          <w:rFonts w:hint="eastAsia"/>
        </w:rPr>
        <w:t>：</w:t>
      </w:r>
      <w:r w:rsidRPr="00BC31E0">
        <w:rPr>
          <w:rFonts w:hint="eastAsia"/>
        </w:rPr>
        <w:t xml:space="preserve"> </w:t>
      </w:r>
      <w:r w:rsidRPr="00BC31E0">
        <w:rPr>
          <w:rFonts w:hint="eastAsia"/>
        </w:rPr>
        <w:t>亀裂深さ</w:t>
      </w:r>
      <w:r w:rsidRPr="00BC31E0">
        <w:rPr>
          <w:rFonts w:hint="eastAsia"/>
        </w:rPr>
        <w:t>(</w:t>
      </w:r>
      <w:r w:rsidRPr="00BC31E0">
        <w:rPr>
          <w:rFonts w:ascii="Cambria Math" w:hAnsi="Cambria Math"/>
        </w:rPr>
        <w:t>m</w:t>
      </w:r>
      <w:r w:rsidRPr="00BC31E0">
        <w:rPr>
          <w:rFonts w:hint="eastAsia"/>
        </w:rPr>
        <w:t>)</w:t>
      </w:r>
    </w:p>
    <w:p w14:paraId="5428135F" w14:textId="77777777" w:rsidR="00F52111" w:rsidRPr="00BC31E0" w:rsidRDefault="00F52111" w:rsidP="00F52111">
      <w:pPr>
        <w:tabs>
          <w:tab w:val="left" w:pos="1134"/>
        </w:tabs>
      </w:pPr>
      <w:r w:rsidRPr="00BC31E0">
        <w:tab/>
      </w:r>
      <m:oMath>
        <m:r>
          <w:rPr>
            <w:rFonts w:ascii="Cambria Math" w:hAnsi="Cambria Math"/>
          </w:rPr>
          <m:t>x</m:t>
        </m:r>
      </m:oMath>
      <w:r w:rsidRPr="00BC31E0">
        <w:rPr>
          <w:rFonts w:hint="eastAsia"/>
        </w:rPr>
        <w:t xml:space="preserve"> </w:t>
      </w:r>
      <w:r w:rsidRPr="00BC31E0">
        <w:rPr>
          <w:rFonts w:hint="eastAsia"/>
        </w:rPr>
        <w:t>：</w:t>
      </w:r>
      <w:r w:rsidRPr="00BC31E0">
        <w:rPr>
          <w:rFonts w:hint="eastAsia"/>
        </w:rPr>
        <w:t xml:space="preserve"> </w:t>
      </w:r>
      <w:r w:rsidRPr="00BC31E0">
        <w:rPr>
          <w:rFonts w:hint="eastAsia"/>
        </w:rPr>
        <w:t>亀裂位置における表面からの厚さ方向距離，</w:t>
      </w:r>
      <m:oMath>
        <m:r>
          <w:rPr>
            <w:rFonts w:ascii="Cambria Math" w:hAnsi="Cambria Math" w:hint="eastAsia"/>
          </w:rPr>
          <m:t>0</m:t>
        </m:r>
        <m:r>
          <w:rPr>
            <w:rFonts w:ascii="Cambria Math" w:hAnsi="Cambria Math" w:hint="eastAsia"/>
          </w:rPr>
          <m:t>≦</m:t>
        </m:r>
        <m:r>
          <w:rPr>
            <w:rFonts w:ascii="Cambria Math" w:hAnsi="Cambria Math"/>
          </w:rPr>
          <m:t>x</m:t>
        </m:r>
        <m:r>
          <w:rPr>
            <w:rFonts w:ascii="Cambria Math" w:hAnsi="Cambria Math" w:hint="eastAsia"/>
          </w:rPr>
          <m:t>≦</m:t>
        </m:r>
        <m:r>
          <w:rPr>
            <w:rFonts w:ascii="Cambria Math" w:hAnsi="Cambria Math"/>
          </w:rPr>
          <m:t xml:space="preserve">a </m:t>
        </m:r>
      </m:oMath>
      <w:r w:rsidRPr="00BC31E0">
        <w:rPr>
          <w:rFonts w:hint="eastAsia"/>
        </w:rPr>
        <w:t>(</w:t>
      </w:r>
      <w:r w:rsidRPr="00BC31E0">
        <w:rPr>
          <w:rFonts w:ascii="Cambria Math" w:hAnsi="Cambria Math"/>
        </w:rPr>
        <w:t>m</w:t>
      </w:r>
      <w:r w:rsidRPr="00BC31E0">
        <w:rPr>
          <w:rFonts w:hint="eastAsia"/>
        </w:rPr>
        <w:t>)</w:t>
      </w:r>
    </w:p>
    <w:p w14:paraId="207C036C" w14:textId="77777777" w:rsidR="00F52111" w:rsidRPr="00BC31E0" w:rsidRDefault="00F52111" w:rsidP="009E34A5">
      <w:pPr>
        <w:spacing w:before="120"/>
        <w:ind w:firstLineChars="100" w:firstLine="210"/>
      </w:pPr>
      <w:r w:rsidRPr="00BC31E0">
        <w:rPr>
          <w:rFonts w:hint="eastAsia"/>
        </w:rPr>
        <w:t>亀裂の任意深さ</w:t>
      </w:r>
      <w:r w:rsidRPr="00BC31E0">
        <w:rPr>
          <w:rFonts w:hint="eastAsia"/>
        </w:rPr>
        <w:t>(</w:t>
      </w:r>
      <m:oMath>
        <m:r>
          <w:rPr>
            <w:rFonts w:ascii="Cambria Math" w:hAnsi="Cambria Math"/>
          </w:rPr>
          <m:t>0</m:t>
        </m:r>
        <m:r>
          <m:rPr>
            <m:sty m:val="p"/>
          </m:rPr>
          <w:rPr>
            <w:rFonts w:ascii="Cambria Math" w:hAnsi="Cambria Math" w:hint="eastAsia"/>
          </w:rPr>
          <m:t>≦</m:t>
        </m:r>
        <m:f>
          <m:fPr>
            <m:type m:val="lin"/>
            <m:ctrlPr>
              <w:rPr>
                <w:rFonts w:ascii="Cambria Math" w:hAnsi="Cambria Math"/>
              </w:rPr>
            </m:ctrlPr>
          </m:fPr>
          <m:num>
            <m:r>
              <w:rPr>
                <w:rFonts w:ascii="Cambria Math" w:hAnsi="Cambria Math"/>
              </w:rPr>
              <m:t>x</m:t>
            </m:r>
          </m:num>
          <m:den>
            <m:r>
              <w:rPr>
                <w:rFonts w:ascii="Cambria Math" w:hAnsi="Cambria Math"/>
              </w:rPr>
              <m:t>a</m:t>
            </m:r>
            <m:r>
              <m:rPr>
                <m:sty m:val="p"/>
              </m:rPr>
              <w:rPr>
                <w:rFonts w:ascii="Cambria Math" w:hAnsi="Cambria Math" w:hint="eastAsia"/>
              </w:rPr>
              <m:t>≦</m:t>
            </m:r>
            <m:r>
              <w:rPr>
                <w:rFonts w:ascii="Cambria Math" w:hAnsi="Cambria Math"/>
              </w:rPr>
              <m:t>1</m:t>
            </m:r>
          </m:den>
        </m:f>
      </m:oMath>
      <w:r w:rsidRPr="00BC31E0">
        <w:rPr>
          <w:rFonts w:hint="eastAsia"/>
        </w:rPr>
        <w:t>)</w:t>
      </w:r>
      <w:r w:rsidRPr="00BC31E0">
        <w:rPr>
          <w:rFonts w:hint="eastAsia"/>
        </w:rPr>
        <w:t>における応力分布を正確に記述できるように，</w:t>
      </w:r>
      <m:oMath>
        <m:sSub>
          <m:sSubPr>
            <m:ctrlPr>
              <w:rPr>
                <w:rFonts w:ascii="Cambria Math" w:hAnsi="Cambria Math"/>
                <w:bCs/>
              </w:rPr>
            </m:ctrlPr>
          </m:sSubPr>
          <m:e>
            <m:r>
              <w:rPr>
                <w:rFonts w:ascii="Cambria Math" w:hAnsi="Cambria Math"/>
              </w:rPr>
              <m:t>A</m:t>
            </m:r>
          </m:e>
          <m:sub>
            <m:r>
              <w:rPr>
                <w:rFonts w:ascii="Cambria Math" w:hAnsi="Cambria Math"/>
              </w:rPr>
              <m:t>0</m:t>
            </m:r>
          </m:sub>
        </m:sSub>
      </m:oMath>
      <w:r w:rsidRPr="00BC31E0">
        <w:rPr>
          <w:rFonts w:hint="eastAsia"/>
        </w:rPr>
        <w:t>～</w:t>
      </w:r>
      <m:oMath>
        <m:sSub>
          <m:sSubPr>
            <m:ctrlPr>
              <w:rPr>
                <w:rFonts w:ascii="Cambria Math" w:hAnsi="Cambria Math"/>
                <w:bCs/>
              </w:rPr>
            </m:ctrlPr>
          </m:sSubPr>
          <m:e>
            <m:r>
              <w:rPr>
                <w:rFonts w:ascii="Cambria Math" w:hAnsi="Cambria Math"/>
              </w:rPr>
              <m:t>A</m:t>
            </m:r>
          </m:e>
          <m:sub>
            <m:r>
              <w:rPr>
                <w:rFonts w:ascii="Cambria Math" w:hAnsi="Cambria Math"/>
              </w:rPr>
              <m:t>5</m:t>
            </m:r>
          </m:sub>
        </m:sSub>
      </m:oMath>
      <w:r w:rsidRPr="00BC31E0">
        <w:rPr>
          <w:rFonts w:hint="eastAsia"/>
        </w:rPr>
        <w:t>の係数を決定する。この応力は，どのような種類の応力であれ，解析の対象とする。</w:t>
      </w:r>
    </w:p>
    <w:p w14:paraId="509C0CE4" w14:textId="77777777" w:rsidR="00F52111" w:rsidRPr="00BC31E0" w:rsidRDefault="00F52111" w:rsidP="009E34A5">
      <w:pPr>
        <w:spacing w:after="120"/>
        <w:ind w:firstLineChars="100" w:firstLine="210"/>
      </w:pPr>
      <w:r w:rsidRPr="00BC31E0">
        <w:rPr>
          <w:rFonts w:hint="eastAsia"/>
        </w:rPr>
        <w:t>5</w:t>
      </w:r>
      <w:r w:rsidRPr="00BC31E0">
        <w:rPr>
          <w:rFonts w:hint="eastAsia"/>
        </w:rPr>
        <w:t>次多項式近似した応力分布を用いて，次式で表面亀裂の応力拡大係数</w:t>
      </w:r>
      <m:oMath>
        <m:sSub>
          <m:sSubPr>
            <m:ctrlPr>
              <w:rPr>
                <w:rFonts w:ascii="Cambria Math" w:hAnsi="Cambria Math"/>
                <w:bCs/>
              </w:rPr>
            </m:ctrlPr>
          </m:sSubPr>
          <m:e>
            <m:r>
              <w:rPr>
                <w:rFonts w:ascii="Cambria Math" w:hAnsi="Cambria Math"/>
              </w:rPr>
              <m:t xml:space="preserve"> K</m:t>
            </m:r>
          </m:e>
          <m:sub>
            <m:r>
              <m:rPr>
                <m:sty m:val="p"/>
              </m:rPr>
              <w:rPr>
                <w:rFonts w:ascii="Cambria Math" w:hAnsi="Cambria Math"/>
              </w:rPr>
              <m:t>I</m:t>
            </m:r>
          </m:sub>
        </m:sSub>
        <m:r>
          <m:rPr>
            <m:sty m:val="p"/>
          </m:rPr>
          <w:rPr>
            <w:rFonts w:ascii="Cambria Math" w:hAnsi="Cambria Math" w:hint="eastAsia"/>
          </w:rPr>
          <m:t xml:space="preserve"> </m:t>
        </m:r>
        <m:d>
          <m:dPr>
            <m:ctrlPr>
              <w:rPr>
                <w:rFonts w:ascii="Cambria Math" w:hAnsi="Cambria Math"/>
              </w:rPr>
            </m:ctrlPr>
          </m:dPr>
          <m:e>
            <m:r>
              <m:rPr>
                <m:sty m:val="p"/>
              </m:rPr>
              <w:rPr>
                <w:rFonts w:ascii="Cambria Math" w:hAnsi="Cambria Math"/>
              </w:rPr>
              <m:t>MPa</m:t>
            </m:r>
            <m:rad>
              <m:radPr>
                <m:degHide m:val="1"/>
                <m:ctrlPr>
                  <w:rPr>
                    <w:rFonts w:ascii="Cambria Math" w:hAnsi="Cambria Math"/>
                  </w:rPr>
                </m:ctrlPr>
              </m:radPr>
              <m:deg/>
              <m:e>
                <m:r>
                  <m:rPr>
                    <m:sty m:val="p"/>
                  </m:rPr>
                  <w:rPr>
                    <w:rFonts w:ascii="Cambria Math" w:hAnsi="Cambria Math"/>
                  </w:rPr>
                  <m:t>m</m:t>
                </m:r>
              </m:e>
            </m:rad>
          </m:e>
        </m:d>
      </m:oMath>
      <w:r w:rsidRPr="00BC31E0">
        <w:rPr>
          <w:rFonts w:hint="eastAsia"/>
        </w:rPr>
        <w:t>を決定する。</w:t>
      </w:r>
    </w:p>
    <w:p w14:paraId="0DA76BAF" w14:textId="77777777" w:rsidR="00F52111" w:rsidRPr="00BC31E0" w:rsidRDefault="00F52111" w:rsidP="00F52111">
      <w:pPr>
        <w:tabs>
          <w:tab w:val="left" w:pos="1134"/>
          <w:tab w:val="left" w:leader="middleDot" w:pos="8647"/>
        </w:tabs>
        <w:rPr>
          <w:szCs w:val="20"/>
        </w:rPr>
      </w:pPr>
      <w:r w:rsidRPr="00BC31E0">
        <w:rPr>
          <w:rFonts w:hint="eastAsia"/>
          <w:bCs/>
        </w:rPr>
        <w:tab/>
      </w:r>
      <m:oMath>
        <m:sSub>
          <m:sSubPr>
            <m:ctrlPr>
              <w:rPr>
                <w:rFonts w:ascii="Cambria Math" w:hAnsi="Cambria Math"/>
                <w:bCs/>
              </w:rPr>
            </m:ctrlPr>
          </m:sSubPr>
          <m:e>
            <m:r>
              <w:rPr>
                <w:rFonts w:ascii="Cambria Math" w:hAnsi="Cambria Math"/>
              </w:rPr>
              <m:t>K</m:t>
            </m:r>
          </m:e>
          <m:sub>
            <m:r>
              <m:rPr>
                <m:sty m:val="p"/>
              </m:rPr>
              <w:rPr>
                <w:rFonts w:ascii="Cambria Math" w:hAnsi="Cambria Math"/>
              </w:rPr>
              <m:t>I</m:t>
            </m:r>
          </m:sub>
        </m:sSub>
        <m:r>
          <w:rPr>
            <w:rFonts w:ascii="Cambria Math" w:hAnsi="Cambria Math"/>
          </w:rPr>
          <m:t>=</m:t>
        </m:r>
        <m:d>
          <m:dPr>
            <m:begChr m:val="{"/>
            <m:endChr m:val="}"/>
            <m:ctrlPr>
              <w:rPr>
                <w:rFonts w:ascii="Cambria Math" w:hAnsi="Cambria Math"/>
                <w:bCs/>
              </w:rPr>
            </m:ctrlPr>
          </m:dPr>
          <m:e>
            <m:r>
              <m:rPr>
                <m:sty m:val="p"/>
              </m:rPr>
              <w:rPr>
                <w:rFonts w:ascii="Cambria Math" w:hAnsi="Cambria Math"/>
              </w:rPr>
              <m:t xml:space="preserve"> </m:t>
            </m:r>
            <m:d>
              <m:dPr>
                <m:ctrlPr>
                  <w:rPr>
                    <w:rFonts w:ascii="Cambria Math" w:hAnsi="Cambria Math"/>
                    <w:bCs/>
                  </w:rPr>
                </m:ctrlPr>
              </m:dPr>
              <m:e>
                <m:sSub>
                  <m:sSubPr>
                    <m:ctrlPr>
                      <w:rPr>
                        <w:rFonts w:ascii="Cambria Math" w:hAnsi="Cambria Math"/>
                        <w:bCs/>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bCs/>
                      </w:rPr>
                    </m:ctrlPr>
                  </m:sSubPr>
                  <m:e>
                    <m:r>
                      <w:rPr>
                        <w:rFonts w:ascii="Cambria Math" w:hAnsi="Cambria Math"/>
                      </w:rPr>
                      <m:t>A</m:t>
                    </m:r>
                  </m:e>
                  <m:sub>
                    <m:r>
                      <w:rPr>
                        <w:rFonts w:ascii="Cambria Math" w:hAnsi="Cambria Math"/>
                      </w:rPr>
                      <m:t>p</m:t>
                    </m:r>
                  </m:sub>
                </m:sSub>
              </m:e>
            </m:d>
            <m:r>
              <m:rPr>
                <m:sty m:val="p"/>
              </m:rPr>
              <w:rPr>
                <w:rFonts w:ascii="Cambria Math" w:hAnsi="Cambria Math"/>
              </w:rPr>
              <m:t xml:space="preserve"> </m:t>
            </m:r>
            <m:sSub>
              <m:sSubPr>
                <m:ctrlPr>
                  <w:rPr>
                    <w:rFonts w:ascii="Cambria Math" w:hAnsi="Cambria Math"/>
                    <w:bCs/>
                  </w:rPr>
                </m:ctrlPr>
              </m:sSubPr>
              <m:e>
                <m:r>
                  <w:rPr>
                    <w:rFonts w:ascii="Cambria Math" w:hAnsi="Cambria Math"/>
                  </w:rPr>
                  <m:t>G</m:t>
                </m:r>
              </m:e>
              <m:sub>
                <m:r>
                  <w:rPr>
                    <w:rFonts w:ascii="Cambria Math" w:hAnsi="Cambria Math"/>
                  </w:rPr>
                  <m:t>0</m:t>
                </m:r>
              </m:sub>
            </m:sSub>
            <m:sSub>
              <m:sSubPr>
                <m:ctrlPr>
                  <w:rPr>
                    <w:rFonts w:ascii="Cambria Math" w:hAnsi="Cambria Math"/>
                    <w:bCs/>
                  </w:rPr>
                </m:ctrlPr>
              </m:sSubPr>
              <m:e>
                <m:r>
                  <w:rPr>
                    <w:rFonts w:ascii="Cambria Math" w:hAnsi="Cambria Math"/>
                  </w:rPr>
                  <m:t>+A</m:t>
                </m:r>
              </m:e>
              <m:sub>
                <m:r>
                  <w:rPr>
                    <w:rFonts w:ascii="Cambria Math" w:hAnsi="Cambria Math"/>
                  </w:rPr>
                  <m:t>1</m:t>
                </m:r>
              </m:sub>
            </m:sSub>
            <m:sSub>
              <m:sSubPr>
                <m:ctrlPr>
                  <w:rPr>
                    <w:rFonts w:ascii="Cambria Math" w:hAnsi="Cambria Math"/>
                    <w:bCs/>
                  </w:rPr>
                </m:ctrlPr>
              </m:sSubPr>
              <m:e>
                <m:r>
                  <w:rPr>
                    <w:rFonts w:ascii="Cambria Math" w:hAnsi="Cambria Math"/>
                  </w:rPr>
                  <m:t>G</m:t>
                </m:r>
              </m:e>
              <m:sub>
                <m:r>
                  <w:rPr>
                    <w:rFonts w:ascii="Cambria Math" w:hAnsi="Cambria Math"/>
                  </w:rPr>
                  <m:t>1</m:t>
                </m:r>
              </m:sub>
            </m:sSub>
            <m:r>
              <w:rPr>
                <w:rFonts w:ascii="Cambria Math" w:hAnsi="Cambria Math"/>
              </w:rPr>
              <m:t>+</m:t>
            </m:r>
            <m:sSub>
              <m:sSubPr>
                <m:ctrlPr>
                  <w:rPr>
                    <w:rFonts w:ascii="Cambria Math" w:hAnsi="Cambria Math"/>
                    <w:bCs/>
                  </w:rPr>
                </m:ctrlPr>
              </m:sSubPr>
              <m:e>
                <m:r>
                  <w:rPr>
                    <w:rFonts w:ascii="Cambria Math" w:hAnsi="Cambria Math"/>
                  </w:rPr>
                  <m:t>A</m:t>
                </m:r>
              </m:e>
              <m:sub>
                <m:r>
                  <w:rPr>
                    <w:rFonts w:ascii="Cambria Math" w:hAnsi="Cambria Math"/>
                  </w:rPr>
                  <m:t>2</m:t>
                </m:r>
              </m:sub>
            </m:sSub>
            <m:sSub>
              <m:sSubPr>
                <m:ctrlPr>
                  <w:rPr>
                    <w:rFonts w:ascii="Cambria Math" w:hAnsi="Cambria Math"/>
                    <w:bCs/>
                  </w:rPr>
                </m:ctrlPr>
              </m:sSubPr>
              <m:e>
                <m:r>
                  <w:rPr>
                    <w:rFonts w:ascii="Cambria Math" w:hAnsi="Cambria Math"/>
                  </w:rPr>
                  <m:t>G</m:t>
                </m:r>
              </m:e>
              <m:sub>
                <m:r>
                  <w:rPr>
                    <w:rFonts w:ascii="Cambria Math" w:hAnsi="Cambria Math"/>
                  </w:rPr>
                  <m:t>2</m:t>
                </m:r>
              </m:sub>
            </m:sSub>
            <m:r>
              <w:rPr>
                <w:rFonts w:ascii="Cambria Math" w:hAnsi="Cambria Math"/>
              </w:rPr>
              <m:t>+</m:t>
            </m:r>
            <m:sSub>
              <m:sSubPr>
                <m:ctrlPr>
                  <w:rPr>
                    <w:rFonts w:ascii="Cambria Math" w:hAnsi="Cambria Math"/>
                    <w:bCs/>
                  </w:rPr>
                </m:ctrlPr>
              </m:sSubPr>
              <m:e>
                <m:r>
                  <w:rPr>
                    <w:rFonts w:ascii="Cambria Math" w:hAnsi="Cambria Math"/>
                  </w:rPr>
                  <m:t>A</m:t>
                </m:r>
              </m:e>
              <m:sub>
                <m:r>
                  <w:rPr>
                    <w:rFonts w:ascii="Cambria Math" w:hAnsi="Cambria Math"/>
                  </w:rPr>
                  <m:t>3</m:t>
                </m:r>
              </m:sub>
            </m:sSub>
            <m:sSub>
              <m:sSubPr>
                <m:ctrlPr>
                  <w:rPr>
                    <w:rFonts w:ascii="Cambria Math" w:hAnsi="Cambria Math"/>
                    <w:bCs/>
                  </w:rPr>
                </m:ctrlPr>
              </m:sSubPr>
              <m:e>
                <m:r>
                  <w:rPr>
                    <w:rFonts w:ascii="Cambria Math" w:hAnsi="Cambria Math"/>
                  </w:rPr>
                  <m:t>G</m:t>
                </m:r>
              </m:e>
              <m:sub>
                <m:r>
                  <w:rPr>
                    <w:rFonts w:ascii="Cambria Math" w:hAnsi="Cambria Math"/>
                  </w:rPr>
                  <m:t>3</m:t>
                </m:r>
              </m:sub>
            </m:sSub>
            <m:r>
              <m:rPr>
                <m:sty m:val="p"/>
              </m:rPr>
              <w:rPr>
                <w:rFonts w:ascii="Cambria Math" w:hAnsi="Cambria Math"/>
              </w:rPr>
              <m:t xml:space="preserve"> </m:t>
            </m:r>
            <m:r>
              <w:rPr>
                <w:rFonts w:ascii="Cambria Math" w:hAnsi="Cambria Math"/>
              </w:rPr>
              <m:t>+</m:t>
            </m:r>
            <m:sSub>
              <m:sSubPr>
                <m:ctrlPr>
                  <w:rPr>
                    <w:rFonts w:ascii="Cambria Math" w:hAnsi="Cambria Math"/>
                    <w:bCs/>
                  </w:rPr>
                </m:ctrlPr>
              </m:sSubPr>
              <m:e>
                <m:r>
                  <w:rPr>
                    <w:rFonts w:ascii="Cambria Math" w:hAnsi="Cambria Math"/>
                  </w:rPr>
                  <m:t>A</m:t>
                </m:r>
              </m:e>
              <m:sub>
                <m:r>
                  <w:rPr>
                    <w:rFonts w:ascii="Cambria Math" w:hAnsi="Cambria Math"/>
                  </w:rPr>
                  <m:t>4</m:t>
                </m:r>
              </m:sub>
            </m:sSub>
            <m:sSub>
              <m:sSubPr>
                <m:ctrlPr>
                  <w:rPr>
                    <w:rFonts w:ascii="Cambria Math" w:hAnsi="Cambria Math"/>
                    <w:bCs/>
                  </w:rPr>
                </m:ctrlPr>
              </m:sSubPr>
              <m:e>
                <m:r>
                  <w:rPr>
                    <w:rFonts w:ascii="Cambria Math" w:hAnsi="Cambria Math"/>
                  </w:rPr>
                  <m:t>G</m:t>
                </m:r>
              </m:e>
              <m:sub>
                <m:r>
                  <w:rPr>
                    <w:rFonts w:ascii="Cambria Math" w:hAnsi="Cambria Math"/>
                  </w:rPr>
                  <m:t>4</m:t>
                </m:r>
              </m:sub>
            </m:sSub>
            <m:r>
              <w:rPr>
                <w:rFonts w:ascii="Cambria Math" w:hAnsi="Cambria Math"/>
              </w:rPr>
              <m:t>+</m:t>
            </m:r>
            <m:sSub>
              <m:sSubPr>
                <m:ctrlPr>
                  <w:rPr>
                    <w:rFonts w:ascii="Cambria Math" w:hAnsi="Cambria Math"/>
                    <w:bCs/>
                  </w:rPr>
                </m:ctrlPr>
              </m:sSubPr>
              <m:e>
                <m:r>
                  <w:rPr>
                    <w:rFonts w:ascii="Cambria Math" w:hAnsi="Cambria Math"/>
                  </w:rPr>
                  <m:t>A</m:t>
                </m:r>
              </m:e>
              <m:sub>
                <m:r>
                  <w:rPr>
                    <w:rFonts w:ascii="Cambria Math" w:hAnsi="Cambria Math"/>
                  </w:rPr>
                  <m:t>5</m:t>
                </m:r>
              </m:sub>
            </m:sSub>
            <m:sSub>
              <m:sSubPr>
                <m:ctrlPr>
                  <w:rPr>
                    <w:rFonts w:ascii="Cambria Math" w:hAnsi="Cambria Math"/>
                    <w:bCs/>
                  </w:rPr>
                </m:ctrlPr>
              </m:sSubPr>
              <m:e>
                <m:r>
                  <w:rPr>
                    <w:rFonts w:ascii="Cambria Math" w:hAnsi="Cambria Math"/>
                  </w:rPr>
                  <m:t>G</m:t>
                </m:r>
              </m:e>
              <m:sub>
                <m:r>
                  <w:rPr>
                    <w:rFonts w:ascii="Cambria Math" w:hAnsi="Cambria Math"/>
                  </w:rPr>
                  <m:t>5</m:t>
                </m:r>
              </m:sub>
            </m:sSub>
          </m:e>
        </m:d>
        <m:r>
          <w:rPr>
            <w:rFonts w:ascii="Cambria Math" w:hAnsi="Cambria Math"/>
          </w:rPr>
          <m:t xml:space="preserve"> </m:t>
        </m:r>
        <m:rad>
          <m:radPr>
            <m:degHide m:val="1"/>
            <m:ctrlPr>
              <w:rPr>
                <w:rFonts w:ascii="Cambria Math" w:hAnsi="Cambria Math"/>
                <w:bCs/>
              </w:rPr>
            </m:ctrlPr>
          </m:radPr>
          <m:deg/>
          <m:e>
            <m:r>
              <w:rPr>
                <w:rFonts w:ascii="Cambria Math" w:hAnsi="Cambria Math"/>
              </w:rPr>
              <m:t>π</m:t>
            </m:r>
            <m:f>
              <m:fPr>
                <m:type m:val="lin"/>
                <m:ctrlPr>
                  <w:rPr>
                    <w:rFonts w:ascii="Cambria Math" w:hAnsi="Cambria Math"/>
                    <w:bCs/>
                  </w:rPr>
                </m:ctrlPr>
              </m:fPr>
              <m:num>
                <m:r>
                  <w:rPr>
                    <w:rFonts w:ascii="Cambria Math" w:hAnsi="Cambria Math"/>
                  </w:rPr>
                  <m:t>a</m:t>
                </m:r>
              </m:num>
              <m:den>
                <m:r>
                  <w:rPr>
                    <w:rFonts w:ascii="Cambria Math" w:hAnsi="Cambria Math"/>
                  </w:rPr>
                  <m:t>Q</m:t>
                </m:r>
              </m:den>
            </m:f>
          </m:e>
        </m:rad>
      </m:oMath>
      <w:r w:rsidRPr="00BC31E0">
        <w:rPr>
          <w:rFonts w:hint="eastAsia"/>
          <w:szCs w:val="20"/>
        </w:rPr>
        <w:tab/>
        <w:t>(9)</w:t>
      </w:r>
    </w:p>
    <w:p w14:paraId="6ADADEC8" w14:textId="77777777" w:rsidR="00F52111" w:rsidRPr="00BC31E0" w:rsidRDefault="00F52111" w:rsidP="005C6DFC">
      <w:pPr>
        <w:ind w:leftChars="100" w:left="210" w:firstLineChars="100" w:firstLine="210"/>
      </w:pPr>
      <w:r w:rsidRPr="00BC31E0">
        <w:rPr>
          <w:rFonts w:hint="eastAsia"/>
        </w:rPr>
        <w:t>ここで，</w:t>
      </w:r>
    </w:p>
    <w:p w14:paraId="69A18010" w14:textId="77777777" w:rsidR="00F52111" w:rsidRPr="00BC31E0" w:rsidRDefault="00F52111" w:rsidP="00F52111">
      <w:pPr>
        <w:tabs>
          <w:tab w:val="left" w:pos="851"/>
        </w:tabs>
        <w:ind w:left="1474" w:hanging="1474"/>
        <w:rPr>
          <w:szCs w:val="20"/>
        </w:rPr>
      </w:pPr>
      <w:r w:rsidRPr="00BC31E0">
        <w:rPr>
          <w:rFonts w:hint="eastAsia"/>
          <w:bCs/>
        </w:rPr>
        <w:tab/>
      </w:r>
      <m:oMath>
        <m:sSub>
          <m:sSubPr>
            <m:ctrlPr>
              <w:rPr>
                <w:rFonts w:ascii="Cambria Math" w:hAnsi="Cambria Math"/>
                <w:bCs/>
              </w:rPr>
            </m:ctrlPr>
          </m:sSubPr>
          <m:e>
            <m:r>
              <w:rPr>
                <w:rFonts w:ascii="Cambria Math" w:hAnsi="Cambria Math"/>
              </w:rPr>
              <m:t>A</m:t>
            </m:r>
          </m:e>
          <m:sub>
            <m:r>
              <w:rPr>
                <w:rFonts w:ascii="Cambria Math" w:hAnsi="Cambria Math"/>
              </w:rPr>
              <m:t>0</m:t>
            </m:r>
          </m:sub>
        </m:sSub>
      </m:oMath>
      <w:r w:rsidRPr="00BC31E0">
        <w:rPr>
          <w:rFonts w:hint="eastAsia"/>
          <w:szCs w:val="20"/>
        </w:rPr>
        <w:t>，</w:t>
      </w:r>
      <m:oMath>
        <m:sSub>
          <m:sSubPr>
            <m:ctrlPr>
              <w:rPr>
                <w:rFonts w:ascii="Cambria Math" w:hAnsi="Cambria Math"/>
                <w:bCs/>
              </w:rPr>
            </m:ctrlPr>
          </m:sSubPr>
          <m:e>
            <m:r>
              <w:rPr>
                <w:rFonts w:ascii="Cambria Math" w:hAnsi="Cambria Math"/>
              </w:rPr>
              <m:t>A</m:t>
            </m:r>
          </m:e>
          <m:sub>
            <m:r>
              <w:rPr>
                <w:rFonts w:ascii="Cambria Math" w:hAnsi="Cambria Math"/>
              </w:rPr>
              <m:t>1</m:t>
            </m:r>
          </m:sub>
        </m:sSub>
      </m:oMath>
      <w:r w:rsidRPr="00BC31E0">
        <w:rPr>
          <w:rFonts w:hint="eastAsia"/>
          <w:szCs w:val="20"/>
        </w:rPr>
        <w:t>，</w:t>
      </w:r>
      <m:oMath>
        <m:sSub>
          <m:sSubPr>
            <m:ctrlPr>
              <w:rPr>
                <w:rFonts w:ascii="Cambria Math" w:hAnsi="Cambria Math"/>
                <w:bCs/>
              </w:rPr>
            </m:ctrlPr>
          </m:sSubPr>
          <m:e>
            <m:r>
              <w:rPr>
                <w:rFonts w:ascii="Cambria Math" w:hAnsi="Cambria Math"/>
              </w:rPr>
              <m:t>A</m:t>
            </m:r>
          </m:e>
          <m:sub>
            <m:r>
              <w:rPr>
                <w:rFonts w:ascii="Cambria Math" w:hAnsi="Cambria Math"/>
              </w:rPr>
              <m:t>2</m:t>
            </m:r>
          </m:sub>
        </m:sSub>
      </m:oMath>
      <w:r w:rsidRPr="00BC31E0">
        <w:rPr>
          <w:rFonts w:hint="eastAsia"/>
          <w:szCs w:val="20"/>
        </w:rPr>
        <w:t>，</w:t>
      </w:r>
      <m:oMath>
        <m:sSub>
          <m:sSubPr>
            <m:ctrlPr>
              <w:rPr>
                <w:rFonts w:ascii="Cambria Math" w:hAnsi="Cambria Math"/>
                <w:bCs/>
              </w:rPr>
            </m:ctrlPr>
          </m:sSubPr>
          <m:e>
            <m:r>
              <w:rPr>
                <w:rFonts w:ascii="Cambria Math" w:hAnsi="Cambria Math"/>
              </w:rPr>
              <m:t>A</m:t>
            </m:r>
          </m:e>
          <m:sub>
            <m:r>
              <w:rPr>
                <w:rFonts w:ascii="Cambria Math" w:hAnsi="Cambria Math"/>
              </w:rPr>
              <m:t>3</m:t>
            </m:r>
          </m:sub>
        </m:sSub>
      </m:oMath>
      <w:r w:rsidRPr="00BC31E0">
        <w:rPr>
          <w:rFonts w:hint="eastAsia"/>
          <w:szCs w:val="20"/>
        </w:rPr>
        <w:t>，</w:t>
      </w:r>
      <m:oMath>
        <m:sSub>
          <m:sSubPr>
            <m:ctrlPr>
              <w:rPr>
                <w:rFonts w:ascii="Cambria Math" w:hAnsi="Cambria Math"/>
                <w:bCs/>
              </w:rPr>
            </m:ctrlPr>
          </m:sSubPr>
          <m:e>
            <m:r>
              <w:rPr>
                <w:rFonts w:ascii="Cambria Math" w:hAnsi="Cambria Math"/>
              </w:rPr>
              <m:t>A</m:t>
            </m:r>
          </m:e>
          <m:sub>
            <m:r>
              <w:rPr>
                <w:rFonts w:ascii="Cambria Math" w:hAnsi="Cambria Math"/>
              </w:rPr>
              <m:t>4</m:t>
            </m:r>
          </m:sub>
        </m:sSub>
        <m:r>
          <m:rPr>
            <m:sty m:val="p"/>
          </m:rPr>
          <w:rPr>
            <w:rFonts w:ascii="Cambria Math" w:hAnsi="Cambria Math"/>
          </w:rPr>
          <m:t xml:space="preserve"> </m:t>
        </m:r>
      </m:oMath>
      <w:r w:rsidRPr="00BC31E0">
        <w:rPr>
          <w:rFonts w:hint="eastAsia"/>
        </w:rPr>
        <w:t>，</w:t>
      </w:r>
      <m:oMath>
        <m:sSub>
          <m:sSubPr>
            <m:ctrlPr>
              <w:rPr>
                <w:rFonts w:ascii="Cambria Math" w:hAnsi="Cambria Math"/>
                <w:bCs/>
              </w:rPr>
            </m:ctrlPr>
          </m:sSubPr>
          <m:e>
            <m:r>
              <w:rPr>
                <w:rFonts w:ascii="Cambria Math" w:hAnsi="Cambria Math"/>
              </w:rPr>
              <m:t>A</m:t>
            </m:r>
          </m:e>
          <m:sub>
            <m:r>
              <w:rPr>
                <w:rFonts w:ascii="Cambria Math" w:hAnsi="Cambria Math"/>
              </w:rPr>
              <m:t>5</m:t>
            </m:r>
          </m:sub>
        </m:sSub>
        <m:r>
          <m:rPr>
            <m:sty m:val="p"/>
          </m:rPr>
          <w:rPr>
            <w:rFonts w:ascii="Cambria Math" w:hAnsi="Cambria Math"/>
          </w:rPr>
          <m:t xml:space="preserve"> </m:t>
        </m:r>
      </m:oMath>
      <w:r w:rsidRPr="00BC31E0">
        <w:rPr>
          <w:rFonts w:hint="eastAsia"/>
        </w:rPr>
        <w:t>：</w:t>
      </w:r>
      <w:r w:rsidRPr="00BC31E0">
        <w:rPr>
          <w:rFonts w:hint="eastAsia"/>
        </w:rPr>
        <w:t xml:space="preserve"> </w:t>
      </w:r>
      <w:r w:rsidRPr="00BC31E0">
        <w:rPr>
          <w:rFonts w:ascii="ＭＳ ゴシック" w:eastAsia="ＭＳ ゴシック" w:hAnsi="ＭＳ ゴシック" w:hint="eastAsia"/>
          <w:b/>
          <w:szCs w:val="20"/>
        </w:rPr>
        <w:t>式</w:t>
      </w:r>
      <w:r w:rsidRPr="00BC31E0">
        <w:rPr>
          <w:rFonts w:ascii="ＭＳ ゴシック" w:eastAsia="ＭＳ ゴシック" w:hAnsi="ＭＳ ゴシック"/>
          <w:b/>
          <w:szCs w:val="20"/>
        </w:rPr>
        <w:t>(</w:t>
      </w:r>
      <w:r w:rsidRPr="00BC31E0">
        <w:rPr>
          <w:rFonts w:ascii="ＭＳ ゴシック" w:eastAsia="ＭＳ ゴシック" w:hAnsi="ＭＳ ゴシック" w:hint="eastAsia"/>
          <w:b/>
          <w:szCs w:val="20"/>
        </w:rPr>
        <w:t>8</w:t>
      </w:r>
      <w:r w:rsidRPr="00BC31E0">
        <w:rPr>
          <w:rFonts w:ascii="ＭＳ ゴシック" w:eastAsia="ＭＳ ゴシック" w:hAnsi="ＭＳ ゴシック"/>
          <w:b/>
          <w:szCs w:val="20"/>
        </w:rPr>
        <w:t>)</w:t>
      </w:r>
      <w:r w:rsidRPr="00BC31E0">
        <w:rPr>
          <w:rFonts w:hint="eastAsia"/>
          <w:szCs w:val="20"/>
        </w:rPr>
        <w:t>における定数であり，亀裂深さ方向の応力分布から決定される。</w:t>
      </w:r>
      <m:oMath>
        <m:sSub>
          <m:sSubPr>
            <m:ctrlPr>
              <w:rPr>
                <w:rFonts w:ascii="Cambria Math" w:hAnsi="Cambria Math"/>
                <w:bCs/>
              </w:rPr>
            </m:ctrlPr>
          </m:sSubPr>
          <m:e>
            <m:r>
              <w:rPr>
                <w:rFonts w:ascii="Cambria Math" w:hAnsi="Cambria Math"/>
              </w:rPr>
              <m:t>K</m:t>
            </m:r>
          </m:e>
          <m:sub>
            <m:r>
              <m:rPr>
                <m:sty m:val="p"/>
              </m:rPr>
              <w:rPr>
                <w:rFonts w:ascii="Cambria Math" w:hAnsi="Cambria Math"/>
              </w:rPr>
              <m:t>I</m:t>
            </m:r>
          </m:sub>
        </m:sSub>
        <m:r>
          <m:rPr>
            <m:sty m:val="p"/>
          </m:rPr>
          <w:rPr>
            <w:rFonts w:ascii="Cambria Math" w:hAnsi="Cambria Math" w:hint="eastAsia"/>
          </w:rPr>
          <m:t xml:space="preserve"> </m:t>
        </m:r>
      </m:oMath>
      <w:r w:rsidRPr="00BC31E0">
        <w:rPr>
          <w:rFonts w:hint="eastAsia"/>
          <w:szCs w:val="20"/>
        </w:rPr>
        <w:t>を亀裂深さの関数として計算する時には，各々の亀裂深さごとに定数</w:t>
      </w:r>
      <m:oMath>
        <m:sSub>
          <m:sSubPr>
            <m:ctrlPr>
              <w:rPr>
                <w:rFonts w:ascii="Cambria Math" w:hAnsi="Cambria Math"/>
                <w:bCs/>
              </w:rPr>
            </m:ctrlPr>
          </m:sSubPr>
          <m:e>
            <m:r>
              <w:rPr>
                <w:rFonts w:ascii="Cambria Math" w:hAnsi="Cambria Math"/>
              </w:rPr>
              <m:t xml:space="preserve"> A</m:t>
            </m:r>
          </m:e>
          <m:sub>
            <m:r>
              <w:rPr>
                <w:rFonts w:ascii="Cambria Math" w:hAnsi="Cambria Math"/>
              </w:rPr>
              <m:t>0</m:t>
            </m:r>
          </m:sub>
        </m:sSub>
      </m:oMath>
      <w:r w:rsidRPr="00BC31E0">
        <w:rPr>
          <w:rFonts w:hint="eastAsia"/>
          <w:szCs w:val="20"/>
        </w:rPr>
        <w:t>～</w:t>
      </w:r>
      <m:oMath>
        <m:sSub>
          <m:sSubPr>
            <m:ctrlPr>
              <w:rPr>
                <w:rFonts w:ascii="Cambria Math" w:hAnsi="Cambria Math"/>
                <w:bCs/>
              </w:rPr>
            </m:ctrlPr>
          </m:sSubPr>
          <m:e>
            <m:r>
              <w:rPr>
                <w:rFonts w:ascii="Cambria Math" w:hAnsi="Cambria Math"/>
              </w:rPr>
              <m:t>A</m:t>
            </m:r>
          </m:e>
          <m:sub>
            <m:r>
              <w:rPr>
                <w:rFonts w:ascii="Cambria Math" w:hAnsi="Cambria Math"/>
              </w:rPr>
              <m:t xml:space="preserve">5 </m:t>
            </m:r>
          </m:sub>
        </m:sSub>
      </m:oMath>
      <w:r w:rsidRPr="00BC31E0">
        <w:rPr>
          <w:rFonts w:hint="eastAsia"/>
          <w:szCs w:val="20"/>
        </w:rPr>
        <w:t>を決定し，その値を用いて計算する。</w:t>
      </w:r>
    </w:p>
    <w:p w14:paraId="73BAC4BE" w14:textId="77777777" w:rsidR="00F52111" w:rsidRPr="00BC31E0" w:rsidRDefault="00F52111" w:rsidP="00F52111">
      <w:pPr>
        <w:tabs>
          <w:tab w:val="left" w:pos="851"/>
        </w:tabs>
        <w:ind w:left="1474" w:hanging="1474"/>
        <w:rPr>
          <w:szCs w:val="20"/>
        </w:rPr>
      </w:pPr>
      <w:r w:rsidRPr="00BC31E0">
        <w:rPr>
          <w:rFonts w:hint="eastAsia"/>
          <w:bCs/>
        </w:rPr>
        <w:tab/>
      </w:r>
      <m:oMath>
        <m:sSub>
          <m:sSubPr>
            <m:ctrlPr>
              <w:rPr>
                <w:rFonts w:ascii="Cambria Math" w:hAnsi="Cambria Math"/>
                <w:bCs/>
              </w:rPr>
            </m:ctrlPr>
          </m:sSubPr>
          <m:e>
            <m:r>
              <w:rPr>
                <w:rFonts w:ascii="Cambria Math" w:hAnsi="Cambria Math"/>
              </w:rPr>
              <m:t>A</m:t>
            </m:r>
          </m:e>
          <m:sub>
            <m:r>
              <w:rPr>
                <w:rFonts w:ascii="Cambria Math" w:hAnsi="Cambria Math"/>
              </w:rPr>
              <m:t>p</m:t>
            </m:r>
          </m:sub>
        </m:sSub>
        <m:r>
          <m:rPr>
            <m:sty m:val="p"/>
          </m:rPr>
          <w:rPr>
            <w:rFonts w:ascii="Cambria Math" w:hAnsi="Cambria Math"/>
          </w:rPr>
          <m:t xml:space="preserve"> </m:t>
        </m:r>
      </m:oMath>
      <w:r w:rsidRPr="00BC31E0">
        <w:rPr>
          <w:rFonts w:hint="eastAsia"/>
        </w:rPr>
        <w:t>：</w:t>
      </w:r>
      <w:r w:rsidRPr="00BC31E0">
        <w:rPr>
          <w:rFonts w:hint="eastAsia"/>
        </w:rPr>
        <w:t xml:space="preserve"> </w:t>
      </w:r>
      <w:r w:rsidRPr="00BC31E0">
        <w:rPr>
          <w:rFonts w:hint="eastAsia"/>
          <w:szCs w:val="20"/>
        </w:rPr>
        <w:t>亀裂面に圧力が作用する場合には容器の内圧</w:t>
      </w:r>
      <m:oMath>
        <m:r>
          <m:rPr>
            <m:sty m:val="p"/>
          </m:rPr>
          <w:rPr>
            <w:rFonts w:ascii="Cambria Math" w:hAnsi="Cambria Math" w:hint="eastAsia"/>
            <w:szCs w:val="20"/>
          </w:rPr>
          <m:t xml:space="preserve"> </m:t>
        </m:r>
        <m:r>
          <w:rPr>
            <w:rFonts w:ascii="Cambria Math" w:hAnsi="Cambria Math"/>
          </w:rPr>
          <m:t xml:space="preserve">P </m:t>
        </m:r>
        <m:d>
          <m:dPr>
            <m:ctrlPr>
              <w:rPr>
                <w:rFonts w:ascii="Cambria Math" w:hAnsi="Cambria Math"/>
              </w:rPr>
            </m:ctrlPr>
          </m:dPr>
          <m:e>
            <m:r>
              <m:rPr>
                <m:sty m:val="p"/>
              </m:rPr>
              <w:rPr>
                <w:rFonts w:ascii="Cambria Math" w:hAnsi="Cambria Math" w:hint="eastAsia"/>
              </w:rPr>
              <m:t>MPa</m:t>
            </m:r>
          </m:e>
        </m:d>
        <m:r>
          <m:rPr>
            <m:sty m:val="p"/>
          </m:rPr>
          <w:rPr>
            <w:rFonts w:ascii="Cambria Math" w:hAnsi="Cambria Math" w:hint="eastAsia"/>
          </w:rPr>
          <m:t xml:space="preserve"> </m:t>
        </m:r>
      </m:oMath>
      <w:r w:rsidRPr="00BC31E0">
        <w:rPr>
          <w:rFonts w:hint="eastAsia"/>
          <w:szCs w:val="20"/>
        </w:rPr>
        <w:t>に等しく，その他の場合には</w:t>
      </w:r>
      <m:oMath>
        <m:sSub>
          <m:sSubPr>
            <m:ctrlPr>
              <w:rPr>
                <w:rFonts w:ascii="Cambria Math" w:hAnsi="Cambria Math"/>
                <w:bCs/>
              </w:rPr>
            </m:ctrlPr>
          </m:sSubPr>
          <m:e>
            <m:r>
              <w:rPr>
                <w:rFonts w:ascii="Cambria Math" w:hAnsi="Cambria Math"/>
              </w:rPr>
              <m:t xml:space="preserve"> A</m:t>
            </m:r>
          </m:e>
          <m:sub>
            <m:r>
              <w:rPr>
                <w:rFonts w:ascii="Cambria Math" w:hAnsi="Cambria Math"/>
              </w:rPr>
              <m:t>p</m:t>
            </m:r>
          </m:sub>
        </m:sSub>
        <m:r>
          <m:rPr>
            <m:sty m:val="p"/>
          </m:rPr>
          <w:rPr>
            <w:rFonts w:ascii="Cambria Math" w:hAnsi="Cambria Math"/>
          </w:rPr>
          <m:t xml:space="preserve">=0 </m:t>
        </m:r>
      </m:oMath>
      <w:r w:rsidRPr="00BC31E0">
        <w:rPr>
          <w:rFonts w:hint="eastAsia"/>
          <w:szCs w:val="20"/>
        </w:rPr>
        <w:t>である。</w:t>
      </w:r>
    </w:p>
    <w:p w14:paraId="5F1AB28B" w14:textId="77777777" w:rsidR="00F52111" w:rsidRPr="00BC31E0" w:rsidRDefault="00F52111" w:rsidP="00F52111">
      <w:pPr>
        <w:tabs>
          <w:tab w:val="left" w:pos="851"/>
        </w:tabs>
        <w:ind w:left="1474" w:hanging="1474"/>
        <w:rPr>
          <w:szCs w:val="20"/>
        </w:rPr>
      </w:pPr>
      <w:r w:rsidRPr="00BC31E0">
        <w:rPr>
          <w:rFonts w:hint="eastAsia"/>
          <w:bCs/>
        </w:rPr>
        <w:tab/>
      </w:r>
      <m:oMath>
        <m:sSub>
          <m:sSubPr>
            <m:ctrlPr>
              <w:rPr>
                <w:rFonts w:ascii="Cambria Math" w:hAnsi="Cambria Math"/>
                <w:bCs/>
              </w:rPr>
            </m:ctrlPr>
          </m:sSubPr>
          <m:e>
            <m:r>
              <w:rPr>
                <w:rFonts w:ascii="Cambria Math" w:hAnsi="Cambria Math"/>
              </w:rPr>
              <m:t>G</m:t>
            </m:r>
          </m:e>
          <m:sub>
            <m:r>
              <w:rPr>
                <w:rFonts w:ascii="Cambria Math" w:hAnsi="Cambria Math"/>
              </w:rPr>
              <m:t>0</m:t>
            </m:r>
          </m:sub>
        </m:sSub>
      </m:oMath>
      <w:r w:rsidRPr="00BC31E0">
        <w:rPr>
          <w:rFonts w:hint="eastAsia"/>
        </w:rPr>
        <w:t>，</w:t>
      </w:r>
      <m:oMath>
        <m:sSub>
          <m:sSubPr>
            <m:ctrlPr>
              <w:rPr>
                <w:rFonts w:ascii="Cambria Math" w:hAnsi="Cambria Math"/>
                <w:bCs/>
              </w:rPr>
            </m:ctrlPr>
          </m:sSubPr>
          <m:e>
            <m:r>
              <w:rPr>
                <w:rFonts w:ascii="Cambria Math" w:hAnsi="Cambria Math"/>
              </w:rPr>
              <m:t>G</m:t>
            </m:r>
          </m:e>
          <m:sub>
            <m:r>
              <w:rPr>
                <w:rFonts w:ascii="Cambria Math" w:hAnsi="Cambria Math"/>
              </w:rPr>
              <m:t>1</m:t>
            </m:r>
          </m:sub>
        </m:sSub>
      </m:oMath>
      <w:r w:rsidRPr="00BC31E0">
        <w:rPr>
          <w:rFonts w:hint="eastAsia"/>
        </w:rPr>
        <w:t>，</w:t>
      </w:r>
      <m:oMath>
        <m:sSub>
          <m:sSubPr>
            <m:ctrlPr>
              <w:rPr>
                <w:rFonts w:ascii="Cambria Math" w:hAnsi="Cambria Math"/>
                <w:bCs/>
              </w:rPr>
            </m:ctrlPr>
          </m:sSubPr>
          <m:e>
            <m:r>
              <w:rPr>
                <w:rFonts w:ascii="Cambria Math" w:hAnsi="Cambria Math"/>
              </w:rPr>
              <m:t>G</m:t>
            </m:r>
          </m:e>
          <m:sub>
            <m:r>
              <w:rPr>
                <w:rFonts w:ascii="Cambria Math" w:hAnsi="Cambria Math"/>
              </w:rPr>
              <m:t>2</m:t>
            </m:r>
          </m:sub>
        </m:sSub>
      </m:oMath>
      <w:r w:rsidRPr="00BC31E0">
        <w:rPr>
          <w:rFonts w:hint="eastAsia"/>
          <w:bCs/>
        </w:rPr>
        <w:t>，</w:t>
      </w:r>
      <m:oMath>
        <m:sSub>
          <m:sSubPr>
            <m:ctrlPr>
              <w:rPr>
                <w:rFonts w:ascii="Cambria Math" w:hAnsi="Cambria Math"/>
                <w:bCs/>
              </w:rPr>
            </m:ctrlPr>
          </m:sSubPr>
          <m:e>
            <m:r>
              <w:rPr>
                <w:rFonts w:ascii="Cambria Math" w:hAnsi="Cambria Math"/>
              </w:rPr>
              <m:t>G</m:t>
            </m:r>
          </m:e>
          <m:sub>
            <m:r>
              <w:rPr>
                <w:rFonts w:ascii="Cambria Math" w:hAnsi="Cambria Math"/>
              </w:rPr>
              <m:t>3</m:t>
            </m:r>
          </m:sub>
        </m:sSub>
      </m:oMath>
      <w:r w:rsidRPr="00BC31E0">
        <w:rPr>
          <w:rFonts w:hint="eastAsia"/>
          <w:szCs w:val="20"/>
        </w:rPr>
        <w:t>，</w:t>
      </w:r>
      <m:oMath>
        <m:sSub>
          <m:sSubPr>
            <m:ctrlPr>
              <w:rPr>
                <w:rFonts w:ascii="Cambria Math" w:hAnsi="Cambria Math"/>
                <w:bCs/>
              </w:rPr>
            </m:ctrlPr>
          </m:sSubPr>
          <m:e>
            <m:r>
              <w:rPr>
                <w:rFonts w:ascii="Cambria Math" w:hAnsi="Cambria Math"/>
              </w:rPr>
              <m:t>G</m:t>
            </m:r>
          </m:e>
          <m:sub>
            <m:r>
              <w:rPr>
                <w:rFonts w:ascii="Cambria Math" w:hAnsi="Cambria Math"/>
              </w:rPr>
              <m:t xml:space="preserve"> 4</m:t>
            </m:r>
          </m:sub>
        </m:sSub>
      </m:oMath>
      <w:r w:rsidRPr="00BC31E0">
        <w:rPr>
          <w:rFonts w:hint="eastAsia"/>
          <w:bCs/>
        </w:rPr>
        <w:t>，</w:t>
      </w:r>
      <m:oMath>
        <m:sSub>
          <m:sSubPr>
            <m:ctrlPr>
              <w:rPr>
                <w:rFonts w:ascii="Cambria Math" w:hAnsi="Cambria Math"/>
                <w:bCs/>
              </w:rPr>
            </m:ctrlPr>
          </m:sSubPr>
          <m:e>
            <m:r>
              <w:rPr>
                <w:rFonts w:ascii="Cambria Math" w:hAnsi="Cambria Math"/>
              </w:rPr>
              <m:t>G</m:t>
            </m:r>
          </m:e>
          <m:sub>
            <m:r>
              <w:rPr>
                <w:rFonts w:ascii="Cambria Math" w:hAnsi="Cambria Math"/>
              </w:rPr>
              <m:t>5</m:t>
            </m:r>
          </m:sub>
        </m:sSub>
        <m:r>
          <m:rPr>
            <m:sty m:val="p"/>
          </m:rPr>
          <w:rPr>
            <w:rFonts w:ascii="Cambria Math" w:hAnsi="Cambria Math"/>
          </w:rPr>
          <m:t xml:space="preserve"> </m:t>
        </m:r>
      </m:oMath>
      <w:r w:rsidRPr="00BC31E0">
        <w:rPr>
          <w:rFonts w:hint="eastAsia"/>
        </w:rPr>
        <w:t>：</w:t>
      </w:r>
      <w:r w:rsidRPr="00BC31E0">
        <w:rPr>
          <w:rFonts w:hint="eastAsia"/>
        </w:rPr>
        <w:t xml:space="preserve"> </w:t>
      </w:r>
      <w:r w:rsidRPr="00BC31E0">
        <w:rPr>
          <w:rFonts w:ascii="ＭＳ 明朝" w:hAnsi="ＭＳ 明朝" w:hint="eastAsia"/>
          <w:szCs w:val="20"/>
        </w:rPr>
        <w:t>表面亀裂の最深点において</w:t>
      </w:r>
      <w:r w:rsidRPr="00BC31E0">
        <w:rPr>
          <w:rFonts w:ascii="ＭＳ ゴシック" w:eastAsia="ＭＳ ゴシック" w:hint="eastAsia"/>
          <w:b/>
          <w:szCs w:val="20"/>
        </w:rPr>
        <w:t>式</w:t>
      </w:r>
      <w:r w:rsidRPr="00BC31E0">
        <w:rPr>
          <w:rFonts w:ascii="ＭＳ ゴシック" w:eastAsia="ＭＳ ゴシック" w:hAnsi="ＭＳ ゴシック" w:hint="eastAsia"/>
          <w:b/>
          <w:szCs w:val="20"/>
        </w:rPr>
        <w:t>(10)</w:t>
      </w:r>
      <w:r w:rsidRPr="00BC31E0">
        <w:rPr>
          <w:rFonts w:ascii="ＭＳ 明朝" w:hAnsi="ＭＳ 明朝" w:hint="eastAsia"/>
          <w:szCs w:val="20"/>
        </w:rPr>
        <w:t>，表面点において</w:t>
      </w:r>
      <w:r w:rsidRPr="00BC31E0">
        <w:rPr>
          <w:rFonts w:ascii="ＭＳ ゴシック" w:eastAsia="ＭＳ ゴシック" w:hint="eastAsia"/>
          <w:b/>
          <w:szCs w:val="20"/>
        </w:rPr>
        <w:t>式</w:t>
      </w:r>
      <w:r w:rsidRPr="00BC31E0">
        <w:rPr>
          <w:rFonts w:ascii="ＭＳ ゴシック" w:eastAsia="ＭＳ ゴシック" w:hAnsi="ＭＳ ゴシック" w:hint="eastAsia"/>
          <w:b/>
          <w:szCs w:val="20"/>
        </w:rPr>
        <w:t>(11)</w:t>
      </w:r>
      <w:r w:rsidRPr="00BC31E0">
        <w:rPr>
          <w:rFonts w:hint="eastAsia"/>
          <w:szCs w:val="20"/>
        </w:rPr>
        <w:t>で与えられる自由表面補正係数</w:t>
      </w:r>
    </w:p>
    <w:p w14:paraId="1E4072B6" w14:textId="77777777" w:rsidR="00F52111" w:rsidRPr="00BC31E0" w:rsidRDefault="00F52111" w:rsidP="00F52111">
      <w:pPr>
        <w:spacing w:before="120" w:after="120"/>
        <w:ind w:left="1474"/>
        <w:rPr>
          <w:kern w:val="0"/>
        </w:rPr>
      </w:pPr>
      <w:r w:rsidRPr="00BC31E0">
        <w:rPr>
          <w:rFonts w:hint="eastAsia"/>
          <w:szCs w:val="20"/>
        </w:rPr>
        <w:t>最深点において</w:t>
      </w:r>
    </w:p>
    <w:tbl>
      <w:tblPr>
        <w:tblStyle w:val="afff2"/>
        <w:tblW w:w="7371"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7"/>
        <w:gridCol w:w="3304"/>
      </w:tblGrid>
      <w:tr w:rsidR="00F52111" w:rsidRPr="00BC31E0" w14:paraId="12426CA8" w14:textId="77777777" w:rsidTr="004736F2">
        <w:tc>
          <w:tcPr>
            <w:tcW w:w="0" w:type="auto"/>
            <w:tcMar>
              <w:left w:w="0" w:type="dxa"/>
              <w:right w:w="0" w:type="dxa"/>
            </w:tcMar>
            <w:vAlign w:val="center"/>
          </w:tcPr>
          <w:p w14:paraId="297D7F65" w14:textId="77777777" w:rsidR="00F52111" w:rsidRPr="00BC31E0" w:rsidRDefault="00A51873" w:rsidP="004736F2">
            <w:pPr>
              <w:tabs>
                <w:tab w:val="left" w:pos="1134"/>
              </w:tabs>
              <w:jc w:val="left"/>
              <w:rPr>
                <w:szCs w:val="20"/>
              </w:rPr>
            </w:pPr>
            <m:oMathPara>
              <m:oMathParaPr>
                <m:jc m:val="left"/>
              </m:oMathParaPr>
              <m:oMath>
                <m:sSub>
                  <m:sSubPr>
                    <m:ctrlPr>
                      <w:rPr>
                        <w:rFonts w:ascii="Cambria Math" w:hAnsi="Cambria Math"/>
                        <w:szCs w:val="20"/>
                      </w:rPr>
                    </m:ctrlPr>
                  </m:sSubPr>
                  <m:e>
                    <m:r>
                      <w:rPr>
                        <w:rFonts w:ascii="Cambria Math" w:hAnsi="Cambria Math"/>
                        <w:szCs w:val="20"/>
                      </w:rPr>
                      <m:t>G</m:t>
                    </m:r>
                  </m:e>
                  <m:sub>
                    <m:r>
                      <w:rPr>
                        <w:rFonts w:ascii="Cambria Math" w:hAnsi="Cambria Math"/>
                        <w:szCs w:val="20"/>
                      </w:rPr>
                      <m:t>0</m:t>
                    </m:r>
                  </m:sub>
                </m:sSub>
                <m:r>
                  <w:rPr>
                    <w:rFonts w:ascii="Cambria Math" w:hAnsi="Cambria Math"/>
                    <w:szCs w:val="20"/>
                  </w:rPr>
                  <m:t>=</m:t>
                </m:r>
                <m:d>
                  <m:dPr>
                    <m:ctrlPr>
                      <w:rPr>
                        <w:rFonts w:ascii="Cambria Math" w:hAnsi="Cambria Math"/>
                        <w:szCs w:val="20"/>
                      </w:rPr>
                    </m:ctrlPr>
                  </m:dPr>
                  <m:e>
                    <m:r>
                      <w:rPr>
                        <w:rFonts w:ascii="Cambria Math" w:hAnsi="Cambria Math"/>
                        <w:szCs w:val="20"/>
                      </w:rPr>
                      <m:t>2+</m:t>
                    </m:r>
                    <m:sSub>
                      <m:sSubPr>
                        <m:ctrlPr>
                          <w:rPr>
                            <w:rFonts w:ascii="Cambria Math" w:hAnsi="Cambria Math"/>
                            <w:szCs w:val="20"/>
                          </w:rPr>
                        </m:ctrlPr>
                      </m:sSubPr>
                      <m:e>
                        <m:r>
                          <w:rPr>
                            <w:rFonts w:ascii="Cambria Math" w:hAnsi="Cambria Math"/>
                            <w:szCs w:val="20"/>
                          </w:rPr>
                          <m:t>M</m:t>
                        </m:r>
                      </m:e>
                      <m:sub>
                        <m:r>
                          <w:rPr>
                            <w:rFonts w:ascii="Cambria Math" w:hAnsi="Cambria Math"/>
                            <w:szCs w:val="20"/>
                          </w:rPr>
                          <m:t>1</m:t>
                        </m:r>
                      </m:sub>
                    </m:sSub>
                    <m:r>
                      <w:rPr>
                        <w:rFonts w:ascii="Cambria Math" w:hAnsi="Cambria Math"/>
                        <w:szCs w:val="20"/>
                      </w:rPr>
                      <m:t>+</m:t>
                    </m:r>
                    <m:f>
                      <m:fPr>
                        <m:ctrlPr>
                          <w:rPr>
                            <w:rFonts w:ascii="Cambria Math" w:hAnsi="Cambria Math"/>
                            <w:szCs w:val="20"/>
                          </w:rPr>
                        </m:ctrlPr>
                      </m:fPr>
                      <m:num>
                        <m:r>
                          <w:rPr>
                            <w:rFonts w:ascii="Cambria Math" w:hAnsi="Cambria Math"/>
                            <w:szCs w:val="20"/>
                          </w:rPr>
                          <m:t>2</m:t>
                        </m:r>
                      </m:num>
                      <m:den>
                        <m:r>
                          <w:rPr>
                            <w:rFonts w:ascii="Cambria Math" w:hAnsi="Cambria Math"/>
                            <w:szCs w:val="20"/>
                          </w:rPr>
                          <m:t>3</m:t>
                        </m:r>
                      </m:den>
                    </m:f>
                    <m:sSub>
                      <m:sSubPr>
                        <m:ctrlPr>
                          <w:rPr>
                            <w:rFonts w:ascii="Cambria Math" w:hAnsi="Cambria Math"/>
                            <w:szCs w:val="20"/>
                          </w:rPr>
                        </m:ctrlPr>
                      </m:sSubPr>
                      <m:e>
                        <m:r>
                          <w:rPr>
                            <w:rFonts w:ascii="Cambria Math" w:hAnsi="Cambria Math"/>
                            <w:szCs w:val="20"/>
                          </w:rPr>
                          <m:t>M</m:t>
                        </m:r>
                      </m:e>
                      <m:sub>
                        <m:r>
                          <w:rPr>
                            <w:rFonts w:ascii="Cambria Math" w:hAnsi="Cambria Math"/>
                            <w:szCs w:val="20"/>
                          </w:rPr>
                          <m:t>2</m:t>
                        </m:r>
                      </m:sub>
                    </m:sSub>
                    <m:r>
                      <w:rPr>
                        <w:rFonts w:ascii="Cambria Math" w:hAnsi="Cambria Math"/>
                        <w:szCs w:val="20"/>
                      </w:rPr>
                      <m:t>+</m:t>
                    </m:r>
                    <m:f>
                      <m:fPr>
                        <m:ctrlPr>
                          <w:rPr>
                            <w:rFonts w:ascii="Cambria Math" w:hAnsi="Cambria Math"/>
                            <w:szCs w:val="20"/>
                          </w:rPr>
                        </m:ctrlPr>
                      </m:fPr>
                      <m:num>
                        <m:r>
                          <w:rPr>
                            <w:rFonts w:ascii="Cambria Math" w:hAnsi="Cambria Math"/>
                            <w:szCs w:val="20"/>
                          </w:rPr>
                          <m:t>1</m:t>
                        </m:r>
                      </m:num>
                      <m:den>
                        <m:r>
                          <w:rPr>
                            <w:rFonts w:ascii="Cambria Math" w:hAnsi="Cambria Math"/>
                            <w:szCs w:val="20"/>
                          </w:rPr>
                          <m:t>2</m:t>
                        </m:r>
                      </m:den>
                    </m:f>
                    <m:sSub>
                      <m:sSubPr>
                        <m:ctrlPr>
                          <w:rPr>
                            <w:rFonts w:ascii="Cambria Math" w:hAnsi="Cambria Math"/>
                            <w:szCs w:val="20"/>
                          </w:rPr>
                        </m:ctrlPr>
                      </m:sSubPr>
                      <m:e>
                        <m:r>
                          <w:rPr>
                            <w:rFonts w:ascii="Cambria Math" w:hAnsi="Cambria Math"/>
                            <w:szCs w:val="20"/>
                          </w:rPr>
                          <m:t>M</m:t>
                        </m:r>
                      </m:e>
                      <m:sub>
                        <m:r>
                          <w:rPr>
                            <w:rFonts w:ascii="Cambria Math" w:hAnsi="Cambria Math"/>
                            <w:szCs w:val="20"/>
                          </w:rPr>
                          <m:t>3</m:t>
                        </m:r>
                      </m:sub>
                    </m:sSub>
                  </m:e>
                </m:d>
                <m:r>
                  <w:rPr>
                    <w:rFonts w:ascii="Cambria Math" w:hAnsi="Cambria Math"/>
                    <w:szCs w:val="20"/>
                  </w:rPr>
                  <m:t xml:space="preserve"> </m:t>
                </m:r>
                <m:f>
                  <m:fPr>
                    <m:ctrlPr>
                      <w:rPr>
                        <w:rFonts w:ascii="Cambria Math" w:hAnsi="Cambria Math"/>
                        <w:szCs w:val="20"/>
                      </w:rPr>
                    </m:ctrlPr>
                  </m:fPr>
                  <m:num>
                    <m:rad>
                      <m:radPr>
                        <m:degHide m:val="1"/>
                        <m:ctrlPr>
                          <w:rPr>
                            <w:rFonts w:ascii="Cambria Math" w:hAnsi="Cambria Math"/>
                            <w:szCs w:val="20"/>
                          </w:rPr>
                        </m:ctrlPr>
                      </m:radPr>
                      <m:deg/>
                      <m:e>
                        <m:r>
                          <w:rPr>
                            <w:rFonts w:ascii="Cambria Math" w:hAnsi="Cambria Math"/>
                            <w:szCs w:val="20"/>
                          </w:rPr>
                          <m:t>2</m:t>
                        </m:r>
                        <m:sSup>
                          <m:sSupPr>
                            <m:ctrlPr>
                              <w:rPr>
                                <w:rFonts w:ascii="Cambria Math" w:hAnsi="Cambria Math"/>
                                <w:szCs w:val="20"/>
                              </w:rPr>
                            </m:ctrlPr>
                          </m:sSupPr>
                          <m:e>
                            <m:r>
                              <w:rPr>
                                <w:rFonts w:ascii="Cambria Math" w:hAnsi="Cambria Math"/>
                                <w:szCs w:val="20"/>
                              </w:rPr>
                              <m:t>Q</m:t>
                            </m:r>
                          </m:e>
                          <m:sup>
                            <m:r>
                              <w:rPr>
                                <w:rFonts w:ascii="Cambria Math" w:hAnsi="Cambria Math"/>
                                <w:szCs w:val="20"/>
                              </w:rPr>
                              <m:t>'</m:t>
                            </m:r>
                          </m:sup>
                        </m:sSup>
                      </m:e>
                    </m:rad>
                  </m:num>
                  <m:den>
                    <m:r>
                      <w:rPr>
                        <w:rFonts w:ascii="Cambria Math" w:hAnsi="Cambria Math"/>
                        <w:szCs w:val="20"/>
                      </w:rPr>
                      <m:t>π</m:t>
                    </m:r>
                  </m:den>
                </m:f>
              </m:oMath>
            </m:oMathPara>
          </w:p>
        </w:tc>
        <w:tc>
          <w:tcPr>
            <w:tcW w:w="3304" w:type="dxa"/>
            <w:vMerge w:val="restart"/>
            <w:tcMar>
              <w:left w:w="0" w:type="dxa"/>
              <w:right w:w="0" w:type="dxa"/>
            </w:tcMar>
            <w:vAlign w:val="center"/>
          </w:tcPr>
          <w:p w14:paraId="4E8CFFE9" w14:textId="77777777" w:rsidR="00F52111" w:rsidRPr="00BC31E0" w:rsidRDefault="00F52111" w:rsidP="004736F2">
            <w:pPr>
              <w:tabs>
                <w:tab w:val="left" w:leader="middleDot" w:pos="2724"/>
              </w:tabs>
              <w:spacing w:before="120"/>
              <w:jc w:val="left"/>
              <w:rPr>
                <w:szCs w:val="20"/>
              </w:rPr>
            </w:pPr>
            <w:r w:rsidRPr="00BC31E0">
              <w:rPr>
                <w:szCs w:val="20"/>
              </w:rPr>
              <w:tab/>
            </w:r>
            <w:r w:rsidRPr="00BC31E0">
              <w:rPr>
                <w:rFonts w:hint="eastAsia"/>
                <w:szCs w:val="20"/>
              </w:rPr>
              <w:t>(10)</w:t>
            </w:r>
          </w:p>
        </w:tc>
      </w:tr>
      <w:tr w:rsidR="00F52111" w:rsidRPr="00BC31E0" w14:paraId="1117BF04" w14:textId="77777777" w:rsidTr="004736F2">
        <w:tc>
          <w:tcPr>
            <w:tcW w:w="0" w:type="auto"/>
            <w:tcMar>
              <w:left w:w="0" w:type="dxa"/>
              <w:right w:w="0" w:type="dxa"/>
            </w:tcMar>
            <w:vAlign w:val="center"/>
          </w:tcPr>
          <w:p w14:paraId="194F28CC" w14:textId="77777777" w:rsidR="00F52111" w:rsidRPr="00BC31E0" w:rsidRDefault="00A51873" w:rsidP="004736F2">
            <w:pPr>
              <w:tabs>
                <w:tab w:val="left" w:pos="1134"/>
              </w:tabs>
              <w:spacing w:before="120"/>
              <w:jc w:val="left"/>
              <w:rPr>
                <w:szCs w:val="20"/>
              </w:rPr>
            </w:pPr>
            <m:oMathPara>
              <m:oMathParaPr>
                <m:jc m:val="left"/>
              </m:oMathParaPr>
              <m:oMath>
                <m:sSub>
                  <m:sSubPr>
                    <m:ctrlPr>
                      <w:rPr>
                        <w:rFonts w:ascii="Cambria Math" w:hAnsi="Cambria Math"/>
                        <w:szCs w:val="20"/>
                      </w:rPr>
                    </m:ctrlPr>
                  </m:sSubPr>
                  <m:e>
                    <m:r>
                      <w:rPr>
                        <w:rFonts w:ascii="Cambria Math" w:hAnsi="Cambria Math"/>
                        <w:szCs w:val="20"/>
                      </w:rPr>
                      <m:t>G</m:t>
                    </m:r>
                  </m:e>
                  <m:sub>
                    <m:r>
                      <w:rPr>
                        <w:rFonts w:ascii="Cambria Math" w:hAnsi="Cambria Math"/>
                        <w:szCs w:val="20"/>
                      </w:rPr>
                      <m:t>1</m:t>
                    </m:r>
                  </m:sub>
                </m:sSub>
                <m:r>
                  <w:rPr>
                    <w:rFonts w:ascii="Cambria Math" w:hAnsi="Cambria Math"/>
                    <w:szCs w:val="20"/>
                  </w:rPr>
                  <m:t>=</m:t>
                </m:r>
                <m:d>
                  <m:dPr>
                    <m:ctrlPr>
                      <w:rPr>
                        <w:rFonts w:ascii="Cambria Math" w:hAnsi="Cambria Math"/>
                        <w:szCs w:val="20"/>
                      </w:rPr>
                    </m:ctrlPr>
                  </m:dPr>
                  <m:e>
                    <m:f>
                      <m:fPr>
                        <m:ctrlPr>
                          <w:rPr>
                            <w:rFonts w:ascii="Cambria Math" w:hAnsi="Cambria Math"/>
                            <w:szCs w:val="20"/>
                          </w:rPr>
                        </m:ctrlPr>
                      </m:fPr>
                      <m:num>
                        <m:r>
                          <m:rPr>
                            <m:sty m:val="p"/>
                          </m:rPr>
                          <w:rPr>
                            <w:rFonts w:ascii="Cambria Math" w:hAnsi="Cambria Math"/>
                            <w:szCs w:val="20"/>
                          </w:rPr>
                          <m:t>4</m:t>
                        </m:r>
                      </m:num>
                      <m:den>
                        <m:r>
                          <m:rPr>
                            <m:sty m:val="p"/>
                          </m:rPr>
                          <w:rPr>
                            <w:rFonts w:ascii="Cambria Math" w:hAnsi="Cambria Math"/>
                            <w:szCs w:val="20"/>
                          </w:rPr>
                          <m:t>3</m:t>
                        </m:r>
                      </m:den>
                    </m:f>
                    <m:r>
                      <w:rPr>
                        <w:rFonts w:ascii="Cambria Math" w:hAnsi="Cambria Math"/>
                        <w:szCs w:val="20"/>
                      </w:rPr>
                      <m:t>+</m:t>
                    </m:r>
                    <m:sSub>
                      <m:sSubPr>
                        <m:ctrlPr>
                          <w:rPr>
                            <w:rFonts w:ascii="Cambria Math" w:hAnsi="Cambria Math"/>
                            <w:szCs w:val="20"/>
                          </w:rPr>
                        </m:ctrlPr>
                      </m:sSubPr>
                      <m:e>
                        <m:f>
                          <m:fPr>
                            <m:ctrlPr>
                              <w:rPr>
                                <w:rFonts w:ascii="Cambria Math" w:hAnsi="Cambria Math"/>
                                <w:szCs w:val="20"/>
                              </w:rPr>
                            </m:ctrlPr>
                          </m:fPr>
                          <m:num>
                            <m:r>
                              <m:rPr>
                                <m:sty m:val="p"/>
                              </m:rPr>
                              <w:rPr>
                                <w:rFonts w:ascii="Cambria Math" w:hAnsi="Cambria Math"/>
                                <w:szCs w:val="20"/>
                              </w:rPr>
                              <m:t>1</m:t>
                            </m:r>
                          </m:num>
                          <m:den>
                            <m:r>
                              <m:rPr>
                                <m:sty m:val="p"/>
                              </m:rPr>
                              <w:rPr>
                                <w:rFonts w:ascii="Cambria Math" w:hAnsi="Cambria Math"/>
                                <w:szCs w:val="20"/>
                              </w:rPr>
                              <m:t>2</m:t>
                            </m:r>
                          </m:den>
                        </m:f>
                        <m:r>
                          <w:rPr>
                            <w:rFonts w:ascii="Cambria Math" w:hAnsi="Cambria Math"/>
                            <w:szCs w:val="20"/>
                          </w:rPr>
                          <m:t>M</m:t>
                        </m:r>
                      </m:e>
                      <m:sub>
                        <m:r>
                          <w:rPr>
                            <w:rFonts w:ascii="Cambria Math" w:hAnsi="Cambria Math"/>
                            <w:szCs w:val="20"/>
                          </w:rPr>
                          <m:t>1</m:t>
                        </m:r>
                      </m:sub>
                    </m:sSub>
                    <m:r>
                      <w:rPr>
                        <w:rFonts w:ascii="Cambria Math" w:hAnsi="Cambria Math"/>
                        <w:szCs w:val="20"/>
                      </w:rPr>
                      <m:t>+</m:t>
                    </m:r>
                    <m:f>
                      <m:fPr>
                        <m:ctrlPr>
                          <w:rPr>
                            <w:rFonts w:ascii="Cambria Math" w:hAnsi="Cambria Math"/>
                            <w:szCs w:val="20"/>
                          </w:rPr>
                        </m:ctrlPr>
                      </m:fPr>
                      <m:num>
                        <m:r>
                          <w:rPr>
                            <w:rFonts w:ascii="Cambria Math" w:hAnsi="Cambria Math"/>
                            <w:szCs w:val="20"/>
                          </w:rPr>
                          <m:t>4</m:t>
                        </m:r>
                      </m:num>
                      <m:den>
                        <m:r>
                          <w:rPr>
                            <w:rFonts w:ascii="Cambria Math" w:hAnsi="Cambria Math"/>
                            <w:szCs w:val="20"/>
                          </w:rPr>
                          <m:t>15</m:t>
                        </m:r>
                      </m:den>
                    </m:f>
                    <m:sSub>
                      <m:sSubPr>
                        <m:ctrlPr>
                          <w:rPr>
                            <w:rFonts w:ascii="Cambria Math" w:hAnsi="Cambria Math"/>
                            <w:szCs w:val="20"/>
                          </w:rPr>
                        </m:ctrlPr>
                      </m:sSubPr>
                      <m:e>
                        <m:r>
                          <w:rPr>
                            <w:rFonts w:ascii="Cambria Math" w:hAnsi="Cambria Math"/>
                            <w:szCs w:val="20"/>
                          </w:rPr>
                          <m:t>M</m:t>
                        </m:r>
                      </m:e>
                      <m:sub>
                        <m:r>
                          <w:rPr>
                            <w:rFonts w:ascii="Cambria Math" w:hAnsi="Cambria Math"/>
                            <w:szCs w:val="20"/>
                          </w:rPr>
                          <m:t>2</m:t>
                        </m:r>
                      </m:sub>
                    </m:sSub>
                    <m:r>
                      <w:rPr>
                        <w:rFonts w:ascii="Cambria Math" w:hAnsi="Cambria Math"/>
                        <w:szCs w:val="20"/>
                      </w:rPr>
                      <m:t>+</m:t>
                    </m:r>
                    <m:f>
                      <m:fPr>
                        <m:ctrlPr>
                          <w:rPr>
                            <w:rFonts w:ascii="Cambria Math" w:hAnsi="Cambria Math"/>
                            <w:szCs w:val="20"/>
                          </w:rPr>
                        </m:ctrlPr>
                      </m:fPr>
                      <m:num>
                        <m:r>
                          <w:rPr>
                            <w:rFonts w:ascii="Cambria Math" w:hAnsi="Cambria Math"/>
                            <w:szCs w:val="20"/>
                          </w:rPr>
                          <m:t>1</m:t>
                        </m:r>
                      </m:num>
                      <m:den>
                        <m:r>
                          <w:rPr>
                            <w:rFonts w:ascii="Cambria Math" w:hAnsi="Cambria Math"/>
                            <w:szCs w:val="20"/>
                          </w:rPr>
                          <m:t>6</m:t>
                        </m:r>
                      </m:den>
                    </m:f>
                    <m:sSub>
                      <m:sSubPr>
                        <m:ctrlPr>
                          <w:rPr>
                            <w:rFonts w:ascii="Cambria Math" w:hAnsi="Cambria Math"/>
                            <w:szCs w:val="20"/>
                          </w:rPr>
                        </m:ctrlPr>
                      </m:sSubPr>
                      <m:e>
                        <m:r>
                          <w:rPr>
                            <w:rFonts w:ascii="Cambria Math" w:hAnsi="Cambria Math"/>
                            <w:szCs w:val="20"/>
                          </w:rPr>
                          <m:t>M</m:t>
                        </m:r>
                      </m:e>
                      <m:sub>
                        <m:r>
                          <w:rPr>
                            <w:rFonts w:ascii="Cambria Math" w:hAnsi="Cambria Math"/>
                            <w:szCs w:val="20"/>
                          </w:rPr>
                          <m:t>3</m:t>
                        </m:r>
                      </m:sub>
                    </m:sSub>
                  </m:e>
                </m:d>
                <m:r>
                  <w:rPr>
                    <w:rFonts w:ascii="Cambria Math" w:hAnsi="Cambria Math"/>
                    <w:szCs w:val="20"/>
                  </w:rPr>
                  <m:t xml:space="preserve"> </m:t>
                </m:r>
                <m:f>
                  <m:fPr>
                    <m:ctrlPr>
                      <w:rPr>
                        <w:rFonts w:ascii="Cambria Math" w:hAnsi="Cambria Math"/>
                        <w:szCs w:val="20"/>
                      </w:rPr>
                    </m:ctrlPr>
                  </m:fPr>
                  <m:num>
                    <m:rad>
                      <m:radPr>
                        <m:degHide m:val="1"/>
                        <m:ctrlPr>
                          <w:rPr>
                            <w:rFonts w:ascii="Cambria Math" w:hAnsi="Cambria Math"/>
                            <w:szCs w:val="20"/>
                          </w:rPr>
                        </m:ctrlPr>
                      </m:radPr>
                      <m:deg/>
                      <m:e>
                        <m:r>
                          <w:rPr>
                            <w:rFonts w:ascii="Cambria Math" w:hAnsi="Cambria Math"/>
                            <w:szCs w:val="20"/>
                          </w:rPr>
                          <m:t>2</m:t>
                        </m:r>
                        <m:sSup>
                          <m:sSupPr>
                            <m:ctrlPr>
                              <w:rPr>
                                <w:rFonts w:ascii="Cambria Math" w:hAnsi="Cambria Math"/>
                                <w:szCs w:val="20"/>
                              </w:rPr>
                            </m:ctrlPr>
                          </m:sSupPr>
                          <m:e>
                            <m:r>
                              <w:rPr>
                                <w:rFonts w:ascii="Cambria Math" w:hAnsi="Cambria Math"/>
                                <w:szCs w:val="20"/>
                              </w:rPr>
                              <m:t>Q</m:t>
                            </m:r>
                          </m:e>
                          <m:sup>
                            <m:r>
                              <w:rPr>
                                <w:rFonts w:ascii="Cambria Math" w:hAnsi="Cambria Math"/>
                                <w:szCs w:val="20"/>
                              </w:rPr>
                              <m:t>'</m:t>
                            </m:r>
                          </m:sup>
                        </m:sSup>
                      </m:e>
                    </m:rad>
                  </m:num>
                  <m:den>
                    <m:r>
                      <w:rPr>
                        <w:rFonts w:ascii="Cambria Math" w:hAnsi="Cambria Math"/>
                        <w:szCs w:val="20"/>
                      </w:rPr>
                      <m:t>π</m:t>
                    </m:r>
                  </m:den>
                </m:f>
              </m:oMath>
            </m:oMathPara>
          </w:p>
        </w:tc>
        <w:tc>
          <w:tcPr>
            <w:tcW w:w="3304" w:type="dxa"/>
            <w:vMerge/>
            <w:tcMar>
              <w:left w:w="0" w:type="dxa"/>
              <w:right w:w="0" w:type="dxa"/>
            </w:tcMar>
            <w:vAlign w:val="center"/>
          </w:tcPr>
          <w:p w14:paraId="0CDCE3B1" w14:textId="77777777" w:rsidR="00F52111" w:rsidRPr="00BC31E0" w:rsidRDefault="00F52111" w:rsidP="004736F2">
            <w:pPr>
              <w:tabs>
                <w:tab w:val="left" w:leader="middleDot" w:pos="3196"/>
              </w:tabs>
              <w:spacing w:before="120"/>
              <w:jc w:val="left"/>
              <w:rPr>
                <w:szCs w:val="20"/>
              </w:rPr>
            </w:pPr>
          </w:p>
        </w:tc>
      </w:tr>
      <w:tr w:rsidR="00F52111" w:rsidRPr="00BC31E0" w14:paraId="2867AE04" w14:textId="77777777" w:rsidTr="004736F2">
        <w:tc>
          <w:tcPr>
            <w:tcW w:w="0" w:type="auto"/>
            <w:tcMar>
              <w:left w:w="0" w:type="dxa"/>
              <w:right w:w="0" w:type="dxa"/>
            </w:tcMar>
            <w:vAlign w:val="center"/>
          </w:tcPr>
          <w:p w14:paraId="5707BB64" w14:textId="77777777" w:rsidR="00F52111" w:rsidRPr="00BC31E0" w:rsidRDefault="00A51873" w:rsidP="004736F2">
            <w:pPr>
              <w:tabs>
                <w:tab w:val="left" w:pos="1134"/>
              </w:tabs>
              <w:spacing w:before="120"/>
              <w:jc w:val="left"/>
              <w:rPr>
                <w:szCs w:val="20"/>
              </w:rPr>
            </w:pPr>
            <m:oMathPara>
              <m:oMathParaPr>
                <m:jc m:val="left"/>
              </m:oMathParaPr>
              <m:oMath>
                <m:sSub>
                  <m:sSubPr>
                    <m:ctrlPr>
                      <w:rPr>
                        <w:rFonts w:ascii="Cambria Math" w:hAnsi="Cambria Math"/>
                        <w:szCs w:val="20"/>
                      </w:rPr>
                    </m:ctrlPr>
                  </m:sSubPr>
                  <m:e>
                    <m:r>
                      <w:rPr>
                        <w:rFonts w:ascii="Cambria Math" w:hAnsi="Cambria Math"/>
                        <w:szCs w:val="20"/>
                      </w:rPr>
                      <m:t>G</m:t>
                    </m:r>
                  </m:e>
                  <m:sub>
                    <m:r>
                      <w:rPr>
                        <w:rFonts w:ascii="Cambria Math" w:hAnsi="Cambria Math"/>
                        <w:szCs w:val="20"/>
                      </w:rPr>
                      <m:t>2</m:t>
                    </m:r>
                  </m:sub>
                </m:sSub>
                <m:r>
                  <w:rPr>
                    <w:rFonts w:ascii="Cambria Math" w:hAnsi="Cambria Math"/>
                    <w:szCs w:val="20"/>
                  </w:rPr>
                  <m:t>=</m:t>
                </m:r>
                <m:d>
                  <m:dPr>
                    <m:ctrlPr>
                      <w:rPr>
                        <w:rFonts w:ascii="Cambria Math" w:hAnsi="Cambria Math"/>
                        <w:szCs w:val="20"/>
                      </w:rPr>
                    </m:ctrlPr>
                  </m:dPr>
                  <m:e>
                    <m:f>
                      <m:fPr>
                        <m:ctrlPr>
                          <w:rPr>
                            <w:rFonts w:ascii="Cambria Math" w:hAnsi="Cambria Math"/>
                            <w:szCs w:val="20"/>
                          </w:rPr>
                        </m:ctrlPr>
                      </m:fPr>
                      <m:num>
                        <m:r>
                          <m:rPr>
                            <m:sty m:val="p"/>
                          </m:rPr>
                          <w:rPr>
                            <w:rFonts w:ascii="Cambria Math" w:hAnsi="Cambria Math"/>
                            <w:szCs w:val="20"/>
                          </w:rPr>
                          <m:t>16</m:t>
                        </m:r>
                      </m:num>
                      <m:den>
                        <m:r>
                          <m:rPr>
                            <m:sty m:val="p"/>
                          </m:rPr>
                          <w:rPr>
                            <w:rFonts w:ascii="Cambria Math" w:hAnsi="Cambria Math"/>
                            <w:szCs w:val="20"/>
                          </w:rPr>
                          <m:t>15</m:t>
                        </m:r>
                      </m:den>
                    </m:f>
                    <m:r>
                      <w:rPr>
                        <w:rFonts w:ascii="Cambria Math" w:hAnsi="Cambria Math"/>
                        <w:szCs w:val="20"/>
                      </w:rPr>
                      <m:t>+</m:t>
                    </m:r>
                    <m:sSub>
                      <m:sSubPr>
                        <m:ctrlPr>
                          <w:rPr>
                            <w:rFonts w:ascii="Cambria Math" w:hAnsi="Cambria Math"/>
                            <w:szCs w:val="20"/>
                          </w:rPr>
                        </m:ctrlPr>
                      </m:sSubPr>
                      <m:e>
                        <m:f>
                          <m:fPr>
                            <m:ctrlPr>
                              <w:rPr>
                                <w:rFonts w:ascii="Cambria Math" w:hAnsi="Cambria Math"/>
                                <w:szCs w:val="20"/>
                              </w:rPr>
                            </m:ctrlPr>
                          </m:fPr>
                          <m:num>
                            <m:r>
                              <m:rPr>
                                <m:sty m:val="p"/>
                              </m:rPr>
                              <w:rPr>
                                <w:rFonts w:ascii="Cambria Math" w:hAnsi="Cambria Math"/>
                                <w:szCs w:val="20"/>
                              </w:rPr>
                              <m:t>1</m:t>
                            </m:r>
                          </m:num>
                          <m:den>
                            <m:r>
                              <m:rPr>
                                <m:sty m:val="p"/>
                              </m:rPr>
                              <w:rPr>
                                <w:rFonts w:ascii="Cambria Math" w:hAnsi="Cambria Math"/>
                                <w:szCs w:val="20"/>
                              </w:rPr>
                              <m:t>3</m:t>
                            </m:r>
                          </m:den>
                        </m:f>
                        <m:r>
                          <w:rPr>
                            <w:rFonts w:ascii="Cambria Math" w:hAnsi="Cambria Math"/>
                            <w:szCs w:val="20"/>
                          </w:rPr>
                          <m:t>M</m:t>
                        </m:r>
                      </m:e>
                      <m:sub>
                        <m:r>
                          <w:rPr>
                            <w:rFonts w:ascii="Cambria Math" w:hAnsi="Cambria Math"/>
                            <w:szCs w:val="20"/>
                          </w:rPr>
                          <m:t>1</m:t>
                        </m:r>
                      </m:sub>
                    </m:sSub>
                    <m:r>
                      <w:rPr>
                        <w:rFonts w:ascii="Cambria Math" w:hAnsi="Cambria Math"/>
                        <w:szCs w:val="20"/>
                      </w:rPr>
                      <m:t>+</m:t>
                    </m:r>
                    <m:f>
                      <m:fPr>
                        <m:ctrlPr>
                          <w:rPr>
                            <w:rFonts w:ascii="Cambria Math" w:hAnsi="Cambria Math"/>
                            <w:szCs w:val="20"/>
                          </w:rPr>
                        </m:ctrlPr>
                      </m:fPr>
                      <m:num>
                        <m:r>
                          <w:rPr>
                            <w:rFonts w:ascii="Cambria Math" w:hAnsi="Cambria Math"/>
                            <w:szCs w:val="20"/>
                          </w:rPr>
                          <m:t>16</m:t>
                        </m:r>
                      </m:num>
                      <m:den>
                        <m:r>
                          <w:rPr>
                            <w:rFonts w:ascii="Cambria Math" w:hAnsi="Cambria Math"/>
                            <w:szCs w:val="20"/>
                          </w:rPr>
                          <m:t>105</m:t>
                        </m:r>
                      </m:den>
                    </m:f>
                    <m:sSub>
                      <m:sSubPr>
                        <m:ctrlPr>
                          <w:rPr>
                            <w:rFonts w:ascii="Cambria Math" w:hAnsi="Cambria Math"/>
                            <w:szCs w:val="20"/>
                          </w:rPr>
                        </m:ctrlPr>
                      </m:sSubPr>
                      <m:e>
                        <m:r>
                          <w:rPr>
                            <w:rFonts w:ascii="Cambria Math" w:hAnsi="Cambria Math"/>
                            <w:szCs w:val="20"/>
                          </w:rPr>
                          <m:t>M</m:t>
                        </m:r>
                      </m:e>
                      <m:sub>
                        <m:r>
                          <w:rPr>
                            <w:rFonts w:ascii="Cambria Math" w:hAnsi="Cambria Math"/>
                            <w:szCs w:val="20"/>
                          </w:rPr>
                          <m:t>2</m:t>
                        </m:r>
                      </m:sub>
                    </m:sSub>
                    <m:r>
                      <w:rPr>
                        <w:rFonts w:ascii="Cambria Math" w:hAnsi="Cambria Math"/>
                        <w:szCs w:val="20"/>
                      </w:rPr>
                      <m:t>+</m:t>
                    </m:r>
                    <m:f>
                      <m:fPr>
                        <m:ctrlPr>
                          <w:rPr>
                            <w:rFonts w:ascii="Cambria Math" w:hAnsi="Cambria Math"/>
                            <w:szCs w:val="20"/>
                          </w:rPr>
                        </m:ctrlPr>
                      </m:fPr>
                      <m:num>
                        <m:r>
                          <w:rPr>
                            <w:rFonts w:ascii="Cambria Math" w:hAnsi="Cambria Math"/>
                            <w:szCs w:val="20"/>
                          </w:rPr>
                          <m:t>1</m:t>
                        </m:r>
                      </m:num>
                      <m:den>
                        <m:r>
                          <m:rPr>
                            <m:sty m:val="p"/>
                          </m:rPr>
                          <w:rPr>
                            <w:rFonts w:ascii="Cambria Math" w:hAnsi="Cambria Math"/>
                            <w:szCs w:val="20"/>
                          </w:rPr>
                          <m:t>12</m:t>
                        </m:r>
                      </m:den>
                    </m:f>
                    <m:sSub>
                      <m:sSubPr>
                        <m:ctrlPr>
                          <w:rPr>
                            <w:rFonts w:ascii="Cambria Math" w:hAnsi="Cambria Math"/>
                            <w:szCs w:val="20"/>
                          </w:rPr>
                        </m:ctrlPr>
                      </m:sSubPr>
                      <m:e>
                        <m:r>
                          <w:rPr>
                            <w:rFonts w:ascii="Cambria Math" w:hAnsi="Cambria Math"/>
                            <w:szCs w:val="20"/>
                          </w:rPr>
                          <m:t>M</m:t>
                        </m:r>
                      </m:e>
                      <m:sub>
                        <m:r>
                          <w:rPr>
                            <w:rFonts w:ascii="Cambria Math" w:hAnsi="Cambria Math"/>
                            <w:szCs w:val="20"/>
                          </w:rPr>
                          <m:t>3</m:t>
                        </m:r>
                      </m:sub>
                    </m:sSub>
                  </m:e>
                </m:d>
                <m:r>
                  <w:rPr>
                    <w:rFonts w:ascii="Cambria Math" w:hAnsi="Cambria Math"/>
                    <w:szCs w:val="20"/>
                  </w:rPr>
                  <m:t xml:space="preserve"> </m:t>
                </m:r>
                <m:f>
                  <m:fPr>
                    <m:ctrlPr>
                      <w:rPr>
                        <w:rFonts w:ascii="Cambria Math" w:hAnsi="Cambria Math"/>
                        <w:szCs w:val="20"/>
                      </w:rPr>
                    </m:ctrlPr>
                  </m:fPr>
                  <m:num>
                    <m:rad>
                      <m:radPr>
                        <m:degHide m:val="1"/>
                        <m:ctrlPr>
                          <w:rPr>
                            <w:rFonts w:ascii="Cambria Math" w:hAnsi="Cambria Math"/>
                            <w:szCs w:val="20"/>
                          </w:rPr>
                        </m:ctrlPr>
                      </m:radPr>
                      <m:deg/>
                      <m:e>
                        <m:r>
                          <w:rPr>
                            <w:rFonts w:ascii="Cambria Math" w:hAnsi="Cambria Math"/>
                            <w:szCs w:val="20"/>
                          </w:rPr>
                          <m:t>2</m:t>
                        </m:r>
                        <m:sSup>
                          <m:sSupPr>
                            <m:ctrlPr>
                              <w:rPr>
                                <w:rFonts w:ascii="Cambria Math" w:hAnsi="Cambria Math"/>
                                <w:szCs w:val="20"/>
                              </w:rPr>
                            </m:ctrlPr>
                          </m:sSupPr>
                          <m:e>
                            <m:r>
                              <w:rPr>
                                <w:rFonts w:ascii="Cambria Math" w:hAnsi="Cambria Math"/>
                                <w:szCs w:val="20"/>
                              </w:rPr>
                              <m:t>Q</m:t>
                            </m:r>
                          </m:e>
                          <m:sup>
                            <m:r>
                              <w:rPr>
                                <w:rFonts w:ascii="Cambria Math" w:hAnsi="Cambria Math"/>
                                <w:szCs w:val="20"/>
                              </w:rPr>
                              <m:t>'</m:t>
                            </m:r>
                          </m:sup>
                        </m:sSup>
                      </m:e>
                    </m:rad>
                  </m:num>
                  <m:den>
                    <m:r>
                      <w:rPr>
                        <w:rFonts w:ascii="Cambria Math" w:hAnsi="Cambria Math"/>
                        <w:szCs w:val="20"/>
                      </w:rPr>
                      <m:t>π</m:t>
                    </m:r>
                  </m:den>
                </m:f>
              </m:oMath>
            </m:oMathPara>
          </w:p>
        </w:tc>
        <w:tc>
          <w:tcPr>
            <w:tcW w:w="3304" w:type="dxa"/>
            <w:vMerge/>
            <w:tcMar>
              <w:left w:w="0" w:type="dxa"/>
              <w:right w:w="0" w:type="dxa"/>
            </w:tcMar>
            <w:vAlign w:val="center"/>
          </w:tcPr>
          <w:p w14:paraId="5EACDB58" w14:textId="77777777" w:rsidR="00F52111" w:rsidRPr="00BC31E0" w:rsidRDefault="00F52111" w:rsidP="004736F2">
            <w:pPr>
              <w:tabs>
                <w:tab w:val="left" w:leader="middleDot" w:pos="3196"/>
              </w:tabs>
              <w:spacing w:before="120"/>
              <w:jc w:val="left"/>
              <w:rPr>
                <w:szCs w:val="20"/>
              </w:rPr>
            </w:pPr>
          </w:p>
        </w:tc>
      </w:tr>
      <w:tr w:rsidR="00F52111" w:rsidRPr="00BC31E0" w14:paraId="5B8E9906" w14:textId="77777777" w:rsidTr="004736F2">
        <w:tc>
          <w:tcPr>
            <w:tcW w:w="0" w:type="auto"/>
            <w:tcMar>
              <w:left w:w="0" w:type="dxa"/>
              <w:right w:w="0" w:type="dxa"/>
            </w:tcMar>
            <w:vAlign w:val="center"/>
          </w:tcPr>
          <w:p w14:paraId="2C8B8A46" w14:textId="77777777" w:rsidR="00F52111" w:rsidRPr="00BC31E0" w:rsidRDefault="00A51873" w:rsidP="004736F2">
            <w:pPr>
              <w:tabs>
                <w:tab w:val="left" w:pos="1134"/>
              </w:tabs>
              <w:spacing w:before="120"/>
              <w:jc w:val="left"/>
              <w:rPr>
                <w:szCs w:val="20"/>
              </w:rPr>
            </w:pPr>
            <m:oMathPara>
              <m:oMathParaPr>
                <m:jc m:val="left"/>
              </m:oMathParaPr>
              <m:oMath>
                <m:sSub>
                  <m:sSubPr>
                    <m:ctrlPr>
                      <w:rPr>
                        <w:rFonts w:ascii="Cambria Math" w:hAnsi="Cambria Math"/>
                        <w:szCs w:val="20"/>
                      </w:rPr>
                    </m:ctrlPr>
                  </m:sSubPr>
                  <m:e>
                    <m:r>
                      <w:rPr>
                        <w:rFonts w:ascii="Cambria Math" w:hAnsi="Cambria Math"/>
                        <w:szCs w:val="20"/>
                      </w:rPr>
                      <m:t>G</m:t>
                    </m:r>
                  </m:e>
                  <m:sub>
                    <m:r>
                      <w:rPr>
                        <w:rFonts w:ascii="Cambria Math" w:hAnsi="Cambria Math"/>
                        <w:szCs w:val="20"/>
                      </w:rPr>
                      <m:t>3</m:t>
                    </m:r>
                  </m:sub>
                </m:sSub>
                <m:r>
                  <w:rPr>
                    <w:rFonts w:ascii="Cambria Math" w:hAnsi="Cambria Math"/>
                    <w:szCs w:val="20"/>
                  </w:rPr>
                  <m:t>=</m:t>
                </m:r>
                <m:d>
                  <m:dPr>
                    <m:ctrlPr>
                      <w:rPr>
                        <w:rFonts w:ascii="Cambria Math" w:hAnsi="Cambria Math"/>
                        <w:szCs w:val="20"/>
                      </w:rPr>
                    </m:ctrlPr>
                  </m:dPr>
                  <m:e>
                    <m:f>
                      <m:fPr>
                        <m:ctrlPr>
                          <w:rPr>
                            <w:rFonts w:ascii="Cambria Math" w:hAnsi="Cambria Math"/>
                            <w:szCs w:val="20"/>
                          </w:rPr>
                        </m:ctrlPr>
                      </m:fPr>
                      <m:num>
                        <m:r>
                          <m:rPr>
                            <m:sty m:val="p"/>
                          </m:rPr>
                          <w:rPr>
                            <w:rFonts w:ascii="Cambria Math" w:hAnsi="Cambria Math"/>
                            <w:szCs w:val="20"/>
                          </w:rPr>
                          <m:t>32</m:t>
                        </m:r>
                      </m:num>
                      <m:den>
                        <m:r>
                          <m:rPr>
                            <m:sty m:val="p"/>
                          </m:rPr>
                          <w:rPr>
                            <w:rFonts w:ascii="Cambria Math" w:hAnsi="Cambria Math"/>
                            <w:szCs w:val="20"/>
                          </w:rPr>
                          <m:t>35</m:t>
                        </m:r>
                      </m:den>
                    </m:f>
                    <m:r>
                      <w:rPr>
                        <w:rFonts w:ascii="Cambria Math" w:hAnsi="Cambria Math"/>
                        <w:szCs w:val="20"/>
                      </w:rPr>
                      <m:t>+</m:t>
                    </m:r>
                    <m:sSub>
                      <m:sSubPr>
                        <m:ctrlPr>
                          <w:rPr>
                            <w:rFonts w:ascii="Cambria Math" w:hAnsi="Cambria Math"/>
                            <w:szCs w:val="20"/>
                          </w:rPr>
                        </m:ctrlPr>
                      </m:sSubPr>
                      <m:e>
                        <m:f>
                          <m:fPr>
                            <m:ctrlPr>
                              <w:rPr>
                                <w:rFonts w:ascii="Cambria Math" w:hAnsi="Cambria Math"/>
                                <w:szCs w:val="20"/>
                              </w:rPr>
                            </m:ctrlPr>
                          </m:fPr>
                          <m:num>
                            <m:r>
                              <m:rPr>
                                <m:sty m:val="p"/>
                              </m:rPr>
                              <w:rPr>
                                <w:rFonts w:ascii="Cambria Math" w:hAnsi="Cambria Math"/>
                                <w:szCs w:val="20"/>
                              </w:rPr>
                              <m:t>1</m:t>
                            </m:r>
                          </m:num>
                          <m:den>
                            <m:r>
                              <m:rPr>
                                <m:sty m:val="p"/>
                              </m:rPr>
                              <w:rPr>
                                <w:rFonts w:ascii="Cambria Math" w:hAnsi="Cambria Math"/>
                                <w:szCs w:val="20"/>
                              </w:rPr>
                              <m:t>4</m:t>
                            </m:r>
                          </m:den>
                        </m:f>
                        <m:r>
                          <w:rPr>
                            <w:rFonts w:ascii="Cambria Math" w:hAnsi="Cambria Math"/>
                            <w:szCs w:val="20"/>
                          </w:rPr>
                          <m:t>M</m:t>
                        </m:r>
                      </m:e>
                      <m:sub>
                        <m:r>
                          <w:rPr>
                            <w:rFonts w:ascii="Cambria Math" w:hAnsi="Cambria Math"/>
                            <w:szCs w:val="20"/>
                          </w:rPr>
                          <m:t>1</m:t>
                        </m:r>
                      </m:sub>
                    </m:sSub>
                    <m:r>
                      <w:rPr>
                        <w:rFonts w:ascii="Cambria Math" w:hAnsi="Cambria Math"/>
                        <w:szCs w:val="20"/>
                      </w:rPr>
                      <m:t>+</m:t>
                    </m:r>
                    <m:f>
                      <m:fPr>
                        <m:ctrlPr>
                          <w:rPr>
                            <w:rFonts w:ascii="Cambria Math" w:hAnsi="Cambria Math"/>
                            <w:szCs w:val="20"/>
                          </w:rPr>
                        </m:ctrlPr>
                      </m:fPr>
                      <m:num>
                        <m:r>
                          <w:rPr>
                            <w:rFonts w:ascii="Cambria Math" w:hAnsi="Cambria Math"/>
                            <w:szCs w:val="20"/>
                          </w:rPr>
                          <m:t>32</m:t>
                        </m:r>
                      </m:num>
                      <m:den>
                        <m:r>
                          <w:rPr>
                            <w:rFonts w:ascii="Cambria Math" w:hAnsi="Cambria Math"/>
                            <w:szCs w:val="20"/>
                          </w:rPr>
                          <m:t>315</m:t>
                        </m:r>
                      </m:den>
                    </m:f>
                    <m:sSub>
                      <m:sSubPr>
                        <m:ctrlPr>
                          <w:rPr>
                            <w:rFonts w:ascii="Cambria Math" w:hAnsi="Cambria Math"/>
                            <w:szCs w:val="20"/>
                          </w:rPr>
                        </m:ctrlPr>
                      </m:sSubPr>
                      <m:e>
                        <m:r>
                          <w:rPr>
                            <w:rFonts w:ascii="Cambria Math" w:hAnsi="Cambria Math"/>
                            <w:szCs w:val="20"/>
                          </w:rPr>
                          <m:t>M</m:t>
                        </m:r>
                      </m:e>
                      <m:sub>
                        <m:r>
                          <w:rPr>
                            <w:rFonts w:ascii="Cambria Math" w:hAnsi="Cambria Math"/>
                            <w:szCs w:val="20"/>
                          </w:rPr>
                          <m:t>2</m:t>
                        </m:r>
                      </m:sub>
                    </m:sSub>
                    <m:r>
                      <w:rPr>
                        <w:rFonts w:ascii="Cambria Math" w:hAnsi="Cambria Math"/>
                        <w:szCs w:val="20"/>
                      </w:rPr>
                      <m:t>+</m:t>
                    </m:r>
                    <m:f>
                      <m:fPr>
                        <m:ctrlPr>
                          <w:rPr>
                            <w:rFonts w:ascii="Cambria Math" w:hAnsi="Cambria Math"/>
                            <w:szCs w:val="20"/>
                          </w:rPr>
                        </m:ctrlPr>
                      </m:fPr>
                      <m:num>
                        <m:r>
                          <w:rPr>
                            <w:rFonts w:ascii="Cambria Math" w:hAnsi="Cambria Math"/>
                            <w:szCs w:val="20"/>
                          </w:rPr>
                          <m:t>1</m:t>
                        </m:r>
                      </m:num>
                      <m:den>
                        <m:r>
                          <m:rPr>
                            <m:sty m:val="p"/>
                          </m:rPr>
                          <w:rPr>
                            <w:rFonts w:ascii="Cambria Math" w:hAnsi="Cambria Math"/>
                            <w:szCs w:val="20"/>
                          </w:rPr>
                          <m:t>20</m:t>
                        </m:r>
                      </m:den>
                    </m:f>
                    <m:sSub>
                      <m:sSubPr>
                        <m:ctrlPr>
                          <w:rPr>
                            <w:rFonts w:ascii="Cambria Math" w:hAnsi="Cambria Math"/>
                            <w:szCs w:val="20"/>
                          </w:rPr>
                        </m:ctrlPr>
                      </m:sSubPr>
                      <m:e>
                        <m:r>
                          <w:rPr>
                            <w:rFonts w:ascii="Cambria Math" w:hAnsi="Cambria Math"/>
                            <w:szCs w:val="20"/>
                          </w:rPr>
                          <m:t>M</m:t>
                        </m:r>
                      </m:e>
                      <m:sub>
                        <m:r>
                          <w:rPr>
                            <w:rFonts w:ascii="Cambria Math" w:hAnsi="Cambria Math"/>
                            <w:szCs w:val="20"/>
                          </w:rPr>
                          <m:t>3</m:t>
                        </m:r>
                      </m:sub>
                    </m:sSub>
                  </m:e>
                </m:d>
                <m:r>
                  <w:rPr>
                    <w:rFonts w:ascii="Cambria Math" w:hAnsi="Cambria Math"/>
                    <w:szCs w:val="20"/>
                  </w:rPr>
                  <m:t xml:space="preserve"> </m:t>
                </m:r>
                <m:f>
                  <m:fPr>
                    <m:ctrlPr>
                      <w:rPr>
                        <w:rFonts w:ascii="Cambria Math" w:hAnsi="Cambria Math"/>
                        <w:szCs w:val="20"/>
                      </w:rPr>
                    </m:ctrlPr>
                  </m:fPr>
                  <m:num>
                    <m:rad>
                      <m:radPr>
                        <m:degHide m:val="1"/>
                        <m:ctrlPr>
                          <w:rPr>
                            <w:rFonts w:ascii="Cambria Math" w:hAnsi="Cambria Math"/>
                            <w:szCs w:val="20"/>
                          </w:rPr>
                        </m:ctrlPr>
                      </m:radPr>
                      <m:deg/>
                      <m:e>
                        <m:r>
                          <w:rPr>
                            <w:rFonts w:ascii="Cambria Math" w:hAnsi="Cambria Math"/>
                            <w:szCs w:val="20"/>
                          </w:rPr>
                          <m:t>2</m:t>
                        </m:r>
                        <m:sSup>
                          <m:sSupPr>
                            <m:ctrlPr>
                              <w:rPr>
                                <w:rFonts w:ascii="Cambria Math" w:hAnsi="Cambria Math"/>
                                <w:szCs w:val="20"/>
                              </w:rPr>
                            </m:ctrlPr>
                          </m:sSupPr>
                          <m:e>
                            <m:r>
                              <w:rPr>
                                <w:rFonts w:ascii="Cambria Math" w:hAnsi="Cambria Math"/>
                                <w:szCs w:val="20"/>
                              </w:rPr>
                              <m:t>Q</m:t>
                            </m:r>
                          </m:e>
                          <m:sup>
                            <m:r>
                              <w:rPr>
                                <w:rFonts w:ascii="Cambria Math" w:hAnsi="Cambria Math"/>
                                <w:szCs w:val="20"/>
                              </w:rPr>
                              <m:t>'</m:t>
                            </m:r>
                          </m:sup>
                        </m:sSup>
                      </m:e>
                    </m:rad>
                  </m:num>
                  <m:den>
                    <m:r>
                      <w:rPr>
                        <w:rFonts w:ascii="Cambria Math" w:hAnsi="Cambria Math"/>
                        <w:szCs w:val="20"/>
                      </w:rPr>
                      <m:t>π</m:t>
                    </m:r>
                  </m:den>
                </m:f>
              </m:oMath>
            </m:oMathPara>
          </w:p>
        </w:tc>
        <w:tc>
          <w:tcPr>
            <w:tcW w:w="3304" w:type="dxa"/>
            <w:vMerge/>
            <w:tcMar>
              <w:left w:w="0" w:type="dxa"/>
              <w:right w:w="0" w:type="dxa"/>
            </w:tcMar>
            <w:vAlign w:val="center"/>
          </w:tcPr>
          <w:p w14:paraId="00446977" w14:textId="77777777" w:rsidR="00F52111" w:rsidRPr="00BC31E0" w:rsidRDefault="00F52111" w:rsidP="004736F2">
            <w:pPr>
              <w:tabs>
                <w:tab w:val="left" w:pos="1134"/>
              </w:tabs>
              <w:spacing w:before="120"/>
              <w:jc w:val="left"/>
              <w:rPr>
                <w:szCs w:val="20"/>
              </w:rPr>
            </w:pPr>
          </w:p>
        </w:tc>
      </w:tr>
      <w:tr w:rsidR="00F52111" w:rsidRPr="00BC31E0" w14:paraId="33BC7758" w14:textId="77777777" w:rsidTr="004736F2">
        <w:tc>
          <w:tcPr>
            <w:tcW w:w="0" w:type="auto"/>
            <w:tcMar>
              <w:left w:w="0" w:type="dxa"/>
              <w:right w:w="0" w:type="dxa"/>
            </w:tcMar>
            <w:vAlign w:val="center"/>
          </w:tcPr>
          <w:p w14:paraId="08916E20" w14:textId="77777777" w:rsidR="00F52111" w:rsidRPr="00BC31E0" w:rsidRDefault="00A51873" w:rsidP="004736F2">
            <w:pPr>
              <w:tabs>
                <w:tab w:val="left" w:pos="1134"/>
              </w:tabs>
              <w:spacing w:before="120"/>
              <w:jc w:val="left"/>
              <w:rPr>
                <w:szCs w:val="20"/>
              </w:rPr>
            </w:pPr>
            <m:oMathPara>
              <m:oMathParaPr>
                <m:jc m:val="left"/>
              </m:oMathParaPr>
              <m:oMath>
                <m:sSub>
                  <m:sSubPr>
                    <m:ctrlPr>
                      <w:rPr>
                        <w:rFonts w:ascii="Cambria Math" w:hAnsi="Cambria Math"/>
                        <w:szCs w:val="20"/>
                      </w:rPr>
                    </m:ctrlPr>
                  </m:sSubPr>
                  <m:e>
                    <m:r>
                      <w:rPr>
                        <w:rFonts w:ascii="Cambria Math" w:hAnsi="Cambria Math"/>
                        <w:szCs w:val="20"/>
                      </w:rPr>
                      <m:t>G</m:t>
                    </m:r>
                  </m:e>
                  <m:sub>
                    <m:r>
                      <w:rPr>
                        <w:rFonts w:ascii="Cambria Math" w:hAnsi="Cambria Math"/>
                        <w:szCs w:val="20"/>
                      </w:rPr>
                      <m:t>4</m:t>
                    </m:r>
                  </m:sub>
                </m:sSub>
                <m:r>
                  <w:rPr>
                    <w:rFonts w:ascii="Cambria Math" w:hAnsi="Cambria Math"/>
                    <w:szCs w:val="20"/>
                  </w:rPr>
                  <m:t>=</m:t>
                </m:r>
                <m:d>
                  <m:dPr>
                    <m:ctrlPr>
                      <w:rPr>
                        <w:rFonts w:ascii="Cambria Math" w:hAnsi="Cambria Math"/>
                        <w:szCs w:val="20"/>
                      </w:rPr>
                    </m:ctrlPr>
                  </m:dPr>
                  <m:e>
                    <m:f>
                      <m:fPr>
                        <m:ctrlPr>
                          <w:rPr>
                            <w:rFonts w:ascii="Cambria Math" w:hAnsi="Cambria Math"/>
                            <w:szCs w:val="20"/>
                          </w:rPr>
                        </m:ctrlPr>
                      </m:fPr>
                      <m:num>
                        <m:r>
                          <m:rPr>
                            <m:sty m:val="p"/>
                          </m:rPr>
                          <w:rPr>
                            <w:rFonts w:ascii="Cambria Math" w:hAnsi="Cambria Math"/>
                            <w:szCs w:val="20"/>
                          </w:rPr>
                          <m:t>256</m:t>
                        </m:r>
                      </m:num>
                      <m:den>
                        <m:r>
                          <m:rPr>
                            <m:sty m:val="p"/>
                          </m:rPr>
                          <w:rPr>
                            <w:rFonts w:ascii="Cambria Math" w:hAnsi="Cambria Math"/>
                            <w:szCs w:val="20"/>
                          </w:rPr>
                          <m:t>315</m:t>
                        </m:r>
                      </m:den>
                    </m:f>
                    <m:r>
                      <w:rPr>
                        <w:rFonts w:ascii="Cambria Math" w:hAnsi="Cambria Math"/>
                        <w:szCs w:val="20"/>
                      </w:rPr>
                      <m:t>+</m:t>
                    </m:r>
                    <m:sSub>
                      <m:sSubPr>
                        <m:ctrlPr>
                          <w:rPr>
                            <w:rFonts w:ascii="Cambria Math" w:hAnsi="Cambria Math"/>
                            <w:szCs w:val="20"/>
                          </w:rPr>
                        </m:ctrlPr>
                      </m:sSubPr>
                      <m:e>
                        <m:f>
                          <m:fPr>
                            <m:ctrlPr>
                              <w:rPr>
                                <w:rFonts w:ascii="Cambria Math" w:hAnsi="Cambria Math"/>
                                <w:szCs w:val="20"/>
                              </w:rPr>
                            </m:ctrlPr>
                          </m:fPr>
                          <m:num>
                            <m:r>
                              <m:rPr>
                                <m:sty m:val="p"/>
                              </m:rPr>
                              <w:rPr>
                                <w:rFonts w:ascii="Cambria Math" w:hAnsi="Cambria Math"/>
                                <w:szCs w:val="20"/>
                              </w:rPr>
                              <m:t>1</m:t>
                            </m:r>
                          </m:num>
                          <m:den>
                            <m:r>
                              <m:rPr>
                                <m:sty m:val="p"/>
                              </m:rPr>
                              <w:rPr>
                                <w:rFonts w:ascii="Cambria Math" w:hAnsi="Cambria Math"/>
                                <w:szCs w:val="20"/>
                              </w:rPr>
                              <m:t>5</m:t>
                            </m:r>
                          </m:den>
                        </m:f>
                        <m:r>
                          <w:rPr>
                            <w:rFonts w:ascii="Cambria Math" w:hAnsi="Cambria Math"/>
                            <w:szCs w:val="20"/>
                          </w:rPr>
                          <m:t>M</m:t>
                        </m:r>
                      </m:e>
                      <m:sub>
                        <m:r>
                          <w:rPr>
                            <w:rFonts w:ascii="Cambria Math" w:hAnsi="Cambria Math"/>
                            <w:szCs w:val="20"/>
                          </w:rPr>
                          <m:t>1</m:t>
                        </m:r>
                      </m:sub>
                    </m:sSub>
                    <m:r>
                      <w:rPr>
                        <w:rFonts w:ascii="Cambria Math" w:hAnsi="Cambria Math"/>
                        <w:szCs w:val="20"/>
                      </w:rPr>
                      <m:t>+</m:t>
                    </m:r>
                    <m:f>
                      <m:fPr>
                        <m:ctrlPr>
                          <w:rPr>
                            <w:rFonts w:ascii="Cambria Math" w:hAnsi="Cambria Math"/>
                            <w:szCs w:val="20"/>
                          </w:rPr>
                        </m:ctrlPr>
                      </m:fPr>
                      <m:num>
                        <m:r>
                          <w:rPr>
                            <w:rFonts w:ascii="Cambria Math" w:hAnsi="Cambria Math"/>
                            <w:szCs w:val="20"/>
                          </w:rPr>
                          <m:t>256</m:t>
                        </m:r>
                      </m:num>
                      <m:den>
                        <m:r>
                          <w:rPr>
                            <w:rFonts w:ascii="Cambria Math" w:hAnsi="Cambria Math"/>
                            <w:szCs w:val="20"/>
                          </w:rPr>
                          <m:t>3465</m:t>
                        </m:r>
                      </m:den>
                    </m:f>
                    <m:sSub>
                      <m:sSubPr>
                        <m:ctrlPr>
                          <w:rPr>
                            <w:rFonts w:ascii="Cambria Math" w:hAnsi="Cambria Math"/>
                            <w:szCs w:val="20"/>
                          </w:rPr>
                        </m:ctrlPr>
                      </m:sSubPr>
                      <m:e>
                        <m:r>
                          <w:rPr>
                            <w:rFonts w:ascii="Cambria Math" w:hAnsi="Cambria Math"/>
                            <w:szCs w:val="20"/>
                          </w:rPr>
                          <m:t>M</m:t>
                        </m:r>
                      </m:e>
                      <m:sub>
                        <m:r>
                          <w:rPr>
                            <w:rFonts w:ascii="Cambria Math" w:hAnsi="Cambria Math"/>
                            <w:szCs w:val="20"/>
                          </w:rPr>
                          <m:t>2</m:t>
                        </m:r>
                      </m:sub>
                    </m:sSub>
                    <m:r>
                      <w:rPr>
                        <w:rFonts w:ascii="Cambria Math" w:hAnsi="Cambria Math"/>
                        <w:szCs w:val="20"/>
                      </w:rPr>
                      <m:t>+</m:t>
                    </m:r>
                    <m:f>
                      <m:fPr>
                        <m:ctrlPr>
                          <w:rPr>
                            <w:rFonts w:ascii="Cambria Math" w:hAnsi="Cambria Math"/>
                            <w:szCs w:val="20"/>
                          </w:rPr>
                        </m:ctrlPr>
                      </m:fPr>
                      <m:num>
                        <m:r>
                          <w:rPr>
                            <w:rFonts w:ascii="Cambria Math" w:hAnsi="Cambria Math"/>
                            <w:szCs w:val="20"/>
                          </w:rPr>
                          <m:t>1</m:t>
                        </m:r>
                      </m:num>
                      <m:den>
                        <m:r>
                          <m:rPr>
                            <m:sty m:val="p"/>
                          </m:rPr>
                          <w:rPr>
                            <w:rFonts w:ascii="Cambria Math" w:hAnsi="Cambria Math"/>
                            <w:szCs w:val="20"/>
                          </w:rPr>
                          <m:t>30</m:t>
                        </m:r>
                      </m:den>
                    </m:f>
                    <m:sSub>
                      <m:sSubPr>
                        <m:ctrlPr>
                          <w:rPr>
                            <w:rFonts w:ascii="Cambria Math" w:hAnsi="Cambria Math"/>
                            <w:szCs w:val="20"/>
                          </w:rPr>
                        </m:ctrlPr>
                      </m:sSubPr>
                      <m:e>
                        <m:r>
                          <w:rPr>
                            <w:rFonts w:ascii="Cambria Math" w:hAnsi="Cambria Math"/>
                            <w:szCs w:val="20"/>
                          </w:rPr>
                          <m:t>M</m:t>
                        </m:r>
                      </m:e>
                      <m:sub>
                        <m:r>
                          <w:rPr>
                            <w:rFonts w:ascii="Cambria Math" w:hAnsi="Cambria Math"/>
                            <w:szCs w:val="20"/>
                          </w:rPr>
                          <m:t>3</m:t>
                        </m:r>
                      </m:sub>
                    </m:sSub>
                  </m:e>
                </m:d>
                <m:r>
                  <w:rPr>
                    <w:rFonts w:ascii="Cambria Math" w:hAnsi="Cambria Math"/>
                    <w:szCs w:val="20"/>
                  </w:rPr>
                  <m:t xml:space="preserve"> </m:t>
                </m:r>
                <m:f>
                  <m:fPr>
                    <m:ctrlPr>
                      <w:rPr>
                        <w:rFonts w:ascii="Cambria Math" w:hAnsi="Cambria Math"/>
                        <w:szCs w:val="20"/>
                      </w:rPr>
                    </m:ctrlPr>
                  </m:fPr>
                  <m:num>
                    <m:rad>
                      <m:radPr>
                        <m:degHide m:val="1"/>
                        <m:ctrlPr>
                          <w:rPr>
                            <w:rFonts w:ascii="Cambria Math" w:hAnsi="Cambria Math"/>
                            <w:szCs w:val="20"/>
                          </w:rPr>
                        </m:ctrlPr>
                      </m:radPr>
                      <m:deg/>
                      <m:e>
                        <m:r>
                          <w:rPr>
                            <w:rFonts w:ascii="Cambria Math" w:hAnsi="Cambria Math"/>
                            <w:szCs w:val="20"/>
                          </w:rPr>
                          <m:t>2</m:t>
                        </m:r>
                        <m:sSup>
                          <m:sSupPr>
                            <m:ctrlPr>
                              <w:rPr>
                                <w:rFonts w:ascii="Cambria Math" w:hAnsi="Cambria Math"/>
                                <w:szCs w:val="20"/>
                              </w:rPr>
                            </m:ctrlPr>
                          </m:sSupPr>
                          <m:e>
                            <m:r>
                              <w:rPr>
                                <w:rFonts w:ascii="Cambria Math" w:hAnsi="Cambria Math"/>
                                <w:szCs w:val="20"/>
                              </w:rPr>
                              <m:t>Q</m:t>
                            </m:r>
                          </m:e>
                          <m:sup>
                            <m:r>
                              <w:rPr>
                                <w:rFonts w:ascii="Cambria Math" w:hAnsi="Cambria Math"/>
                                <w:szCs w:val="20"/>
                              </w:rPr>
                              <m:t>'</m:t>
                            </m:r>
                          </m:sup>
                        </m:sSup>
                      </m:e>
                    </m:rad>
                  </m:num>
                  <m:den>
                    <m:r>
                      <w:rPr>
                        <w:rFonts w:ascii="Cambria Math" w:hAnsi="Cambria Math"/>
                        <w:szCs w:val="20"/>
                      </w:rPr>
                      <m:t>π</m:t>
                    </m:r>
                  </m:den>
                </m:f>
              </m:oMath>
            </m:oMathPara>
          </w:p>
        </w:tc>
        <w:tc>
          <w:tcPr>
            <w:tcW w:w="3304" w:type="dxa"/>
            <w:vMerge/>
            <w:tcMar>
              <w:left w:w="0" w:type="dxa"/>
              <w:right w:w="0" w:type="dxa"/>
            </w:tcMar>
            <w:vAlign w:val="center"/>
          </w:tcPr>
          <w:p w14:paraId="4E3A758D" w14:textId="77777777" w:rsidR="00F52111" w:rsidRPr="00BC31E0" w:rsidRDefault="00F52111" w:rsidP="004736F2">
            <w:pPr>
              <w:tabs>
                <w:tab w:val="left" w:pos="1134"/>
              </w:tabs>
              <w:spacing w:before="120"/>
              <w:jc w:val="left"/>
              <w:rPr>
                <w:szCs w:val="20"/>
              </w:rPr>
            </w:pPr>
          </w:p>
        </w:tc>
      </w:tr>
      <w:tr w:rsidR="00F52111" w:rsidRPr="00BC31E0" w14:paraId="4B306B23" w14:textId="77777777" w:rsidTr="004736F2">
        <w:tc>
          <w:tcPr>
            <w:tcW w:w="0" w:type="auto"/>
            <w:tcMar>
              <w:left w:w="0" w:type="dxa"/>
              <w:right w:w="0" w:type="dxa"/>
            </w:tcMar>
            <w:vAlign w:val="center"/>
          </w:tcPr>
          <w:p w14:paraId="603B2BA1" w14:textId="77777777" w:rsidR="00F52111" w:rsidRPr="00BC31E0" w:rsidRDefault="00A51873" w:rsidP="004736F2">
            <w:pPr>
              <w:tabs>
                <w:tab w:val="left" w:pos="1134"/>
              </w:tabs>
              <w:spacing w:before="120"/>
              <w:rPr>
                <w:szCs w:val="20"/>
              </w:rPr>
            </w:pPr>
            <m:oMathPara>
              <m:oMathParaPr>
                <m:jc m:val="left"/>
              </m:oMathParaPr>
              <m:oMath>
                <m:sSub>
                  <m:sSubPr>
                    <m:ctrlPr>
                      <w:rPr>
                        <w:rFonts w:ascii="Cambria Math" w:hAnsi="Cambria Math"/>
                        <w:szCs w:val="20"/>
                      </w:rPr>
                    </m:ctrlPr>
                  </m:sSubPr>
                  <m:e>
                    <m:r>
                      <w:rPr>
                        <w:rFonts w:ascii="Cambria Math" w:hAnsi="Cambria Math"/>
                        <w:szCs w:val="20"/>
                      </w:rPr>
                      <m:t>G</m:t>
                    </m:r>
                  </m:e>
                  <m:sub>
                    <m:r>
                      <w:rPr>
                        <w:rFonts w:ascii="Cambria Math" w:hAnsi="Cambria Math"/>
                        <w:szCs w:val="20"/>
                      </w:rPr>
                      <m:t>5</m:t>
                    </m:r>
                  </m:sub>
                </m:sSub>
                <m:r>
                  <w:rPr>
                    <w:rFonts w:ascii="Cambria Math" w:hAnsi="Cambria Math"/>
                    <w:szCs w:val="20"/>
                  </w:rPr>
                  <m:t>=</m:t>
                </m:r>
                <m:d>
                  <m:dPr>
                    <m:ctrlPr>
                      <w:rPr>
                        <w:rFonts w:ascii="Cambria Math" w:hAnsi="Cambria Math"/>
                        <w:szCs w:val="20"/>
                      </w:rPr>
                    </m:ctrlPr>
                  </m:dPr>
                  <m:e>
                    <m:f>
                      <m:fPr>
                        <m:ctrlPr>
                          <w:rPr>
                            <w:rFonts w:ascii="Cambria Math" w:hAnsi="Cambria Math"/>
                            <w:szCs w:val="20"/>
                          </w:rPr>
                        </m:ctrlPr>
                      </m:fPr>
                      <m:num>
                        <m:r>
                          <m:rPr>
                            <m:sty m:val="p"/>
                          </m:rPr>
                          <w:rPr>
                            <w:rFonts w:ascii="Cambria Math" w:hAnsi="Cambria Math"/>
                            <w:szCs w:val="20"/>
                          </w:rPr>
                          <m:t>512</m:t>
                        </m:r>
                      </m:num>
                      <m:den>
                        <m:r>
                          <m:rPr>
                            <m:sty m:val="p"/>
                          </m:rPr>
                          <w:rPr>
                            <w:rFonts w:ascii="Cambria Math" w:hAnsi="Cambria Math"/>
                            <w:szCs w:val="20"/>
                          </w:rPr>
                          <m:t>693</m:t>
                        </m:r>
                      </m:den>
                    </m:f>
                    <m:r>
                      <w:rPr>
                        <w:rFonts w:ascii="Cambria Math" w:hAnsi="Cambria Math"/>
                        <w:szCs w:val="20"/>
                      </w:rPr>
                      <m:t>+</m:t>
                    </m:r>
                    <m:sSub>
                      <m:sSubPr>
                        <m:ctrlPr>
                          <w:rPr>
                            <w:rFonts w:ascii="Cambria Math" w:hAnsi="Cambria Math"/>
                            <w:szCs w:val="20"/>
                          </w:rPr>
                        </m:ctrlPr>
                      </m:sSubPr>
                      <m:e>
                        <m:f>
                          <m:fPr>
                            <m:ctrlPr>
                              <w:rPr>
                                <w:rFonts w:ascii="Cambria Math" w:hAnsi="Cambria Math"/>
                                <w:szCs w:val="20"/>
                              </w:rPr>
                            </m:ctrlPr>
                          </m:fPr>
                          <m:num>
                            <m:r>
                              <m:rPr>
                                <m:sty m:val="p"/>
                              </m:rPr>
                              <w:rPr>
                                <w:rFonts w:ascii="Cambria Math" w:hAnsi="Cambria Math"/>
                                <w:szCs w:val="20"/>
                              </w:rPr>
                              <m:t>1</m:t>
                            </m:r>
                          </m:num>
                          <m:den>
                            <m:r>
                              <m:rPr>
                                <m:sty m:val="p"/>
                              </m:rPr>
                              <w:rPr>
                                <w:rFonts w:ascii="Cambria Math" w:hAnsi="Cambria Math"/>
                                <w:szCs w:val="20"/>
                              </w:rPr>
                              <m:t>6</m:t>
                            </m:r>
                          </m:den>
                        </m:f>
                        <m:r>
                          <w:rPr>
                            <w:rFonts w:ascii="Cambria Math" w:hAnsi="Cambria Math"/>
                            <w:szCs w:val="20"/>
                          </w:rPr>
                          <m:t>M</m:t>
                        </m:r>
                      </m:e>
                      <m:sub>
                        <m:r>
                          <w:rPr>
                            <w:rFonts w:ascii="Cambria Math" w:hAnsi="Cambria Math"/>
                            <w:szCs w:val="20"/>
                          </w:rPr>
                          <m:t>1</m:t>
                        </m:r>
                      </m:sub>
                    </m:sSub>
                    <m:r>
                      <w:rPr>
                        <w:rFonts w:ascii="Cambria Math" w:hAnsi="Cambria Math"/>
                        <w:szCs w:val="20"/>
                      </w:rPr>
                      <m:t>+</m:t>
                    </m:r>
                    <m:f>
                      <m:fPr>
                        <m:ctrlPr>
                          <w:rPr>
                            <w:rFonts w:ascii="Cambria Math" w:hAnsi="Cambria Math"/>
                            <w:szCs w:val="20"/>
                          </w:rPr>
                        </m:ctrlPr>
                      </m:fPr>
                      <m:num>
                        <m:r>
                          <w:rPr>
                            <w:rFonts w:ascii="Cambria Math" w:hAnsi="Cambria Math"/>
                            <w:szCs w:val="20"/>
                          </w:rPr>
                          <m:t>512</m:t>
                        </m:r>
                      </m:num>
                      <m:den>
                        <m:r>
                          <w:rPr>
                            <w:rFonts w:ascii="Cambria Math" w:hAnsi="Cambria Math"/>
                            <w:szCs w:val="20"/>
                          </w:rPr>
                          <m:t>9009</m:t>
                        </m:r>
                      </m:den>
                    </m:f>
                    <m:sSub>
                      <m:sSubPr>
                        <m:ctrlPr>
                          <w:rPr>
                            <w:rFonts w:ascii="Cambria Math" w:hAnsi="Cambria Math"/>
                            <w:szCs w:val="20"/>
                          </w:rPr>
                        </m:ctrlPr>
                      </m:sSubPr>
                      <m:e>
                        <m:r>
                          <w:rPr>
                            <w:rFonts w:ascii="Cambria Math" w:hAnsi="Cambria Math"/>
                            <w:szCs w:val="20"/>
                          </w:rPr>
                          <m:t>M</m:t>
                        </m:r>
                      </m:e>
                      <m:sub>
                        <m:r>
                          <w:rPr>
                            <w:rFonts w:ascii="Cambria Math" w:hAnsi="Cambria Math"/>
                            <w:szCs w:val="20"/>
                          </w:rPr>
                          <m:t>2</m:t>
                        </m:r>
                      </m:sub>
                    </m:sSub>
                    <m:r>
                      <w:rPr>
                        <w:rFonts w:ascii="Cambria Math" w:hAnsi="Cambria Math"/>
                        <w:szCs w:val="20"/>
                      </w:rPr>
                      <m:t>+</m:t>
                    </m:r>
                    <m:f>
                      <m:fPr>
                        <m:ctrlPr>
                          <w:rPr>
                            <w:rFonts w:ascii="Cambria Math" w:hAnsi="Cambria Math"/>
                            <w:szCs w:val="20"/>
                          </w:rPr>
                        </m:ctrlPr>
                      </m:fPr>
                      <m:num>
                        <m:r>
                          <w:rPr>
                            <w:rFonts w:ascii="Cambria Math" w:hAnsi="Cambria Math"/>
                            <w:szCs w:val="20"/>
                          </w:rPr>
                          <m:t>1</m:t>
                        </m:r>
                      </m:num>
                      <m:den>
                        <m:r>
                          <m:rPr>
                            <m:sty m:val="p"/>
                          </m:rPr>
                          <w:rPr>
                            <w:rFonts w:ascii="Cambria Math" w:hAnsi="Cambria Math"/>
                            <w:szCs w:val="20"/>
                          </w:rPr>
                          <m:t>42</m:t>
                        </m:r>
                      </m:den>
                    </m:f>
                    <m:sSub>
                      <m:sSubPr>
                        <m:ctrlPr>
                          <w:rPr>
                            <w:rFonts w:ascii="Cambria Math" w:hAnsi="Cambria Math"/>
                            <w:szCs w:val="20"/>
                          </w:rPr>
                        </m:ctrlPr>
                      </m:sSubPr>
                      <m:e>
                        <m:r>
                          <w:rPr>
                            <w:rFonts w:ascii="Cambria Math" w:hAnsi="Cambria Math"/>
                            <w:szCs w:val="20"/>
                          </w:rPr>
                          <m:t>M</m:t>
                        </m:r>
                      </m:e>
                      <m:sub>
                        <m:r>
                          <w:rPr>
                            <w:rFonts w:ascii="Cambria Math" w:hAnsi="Cambria Math"/>
                            <w:szCs w:val="20"/>
                          </w:rPr>
                          <m:t>3</m:t>
                        </m:r>
                      </m:sub>
                    </m:sSub>
                  </m:e>
                </m:d>
                <m:r>
                  <w:rPr>
                    <w:rFonts w:ascii="Cambria Math" w:hAnsi="Cambria Math"/>
                    <w:szCs w:val="20"/>
                  </w:rPr>
                  <m:t xml:space="preserve"> </m:t>
                </m:r>
                <m:f>
                  <m:fPr>
                    <m:ctrlPr>
                      <w:rPr>
                        <w:rFonts w:ascii="Cambria Math" w:hAnsi="Cambria Math"/>
                        <w:szCs w:val="20"/>
                      </w:rPr>
                    </m:ctrlPr>
                  </m:fPr>
                  <m:num>
                    <m:rad>
                      <m:radPr>
                        <m:degHide m:val="1"/>
                        <m:ctrlPr>
                          <w:rPr>
                            <w:rFonts w:ascii="Cambria Math" w:hAnsi="Cambria Math"/>
                            <w:szCs w:val="20"/>
                          </w:rPr>
                        </m:ctrlPr>
                      </m:radPr>
                      <m:deg/>
                      <m:e>
                        <m:r>
                          <w:rPr>
                            <w:rFonts w:ascii="Cambria Math" w:hAnsi="Cambria Math"/>
                            <w:szCs w:val="20"/>
                          </w:rPr>
                          <m:t>2</m:t>
                        </m:r>
                        <m:sSup>
                          <m:sSupPr>
                            <m:ctrlPr>
                              <w:rPr>
                                <w:rFonts w:ascii="Cambria Math" w:hAnsi="Cambria Math"/>
                                <w:szCs w:val="20"/>
                              </w:rPr>
                            </m:ctrlPr>
                          </m:sSupPr>
                          <m:e>
                            <m:r>
                              <w:rPr>
                                <w:rFonts w:ascii="Cambria Math" w:hAnsi="Cambria Math"/>
                                <w:szCs w:val="20"/>
                              </w:rPr>
                              <m:t>Q</m:t>
                            </m:r>
                          </m:e>
                          <m:sup>
                            <m:r>
                              <w:rPr>
                                <w:rFonts w:ascii="Cambria Math" w:hAnsi="Cambria Math"/>
                                <w:szCs w:val="20"/>
                              </w:rPr>
                              <m:t>'</m:t>
                            </m:r>
                          </m:sup>
                        </m:sSup>
                      </m:e>
                    </m:rad>
                  </m:num>
                  <m:den>
                    <m:r>
                      <w:rPr>
                        <w:rFonts w:ascii="Cambria Math" w:hAnsi="Cambria Math"/>
                        <w:szCs w:val="20"/>
                      </w:rPr>
                      <m:t>π</m:t>
                    </m:r>
                  </m:den>
                </m:f>
              </m:oMath>
            </m:oMathPara>
          </w:p>
        </w:tc>
        <w:tc>
          <w:tcPr>
            <w:tcW w:w="3304" w:type="dxa"/>
            <w:vMerge/>
            <w:tcMar>
              <w:left w:w="0" w:type="dxa"/>
              <w:right w:w="0" w:type="dxa"/>
            </w:tcMar>
            <w:vAlign w:val="center"/>
          </w:tcPr>
          <w:p w14:paraId="5905B653" w14:textId="77777777" w:rsidR="00F52111" w:rsidRPr="00BC31E0" w:rsidRDefault="00F52111" w:rsidP="004736F2">
            <w:pPr>
              <w:tabs>
                <w:tab w:val="left" w:pos="1134"/>
              </w:tabs>
              <w:spacing w:before="120"/>
              <w:rPr>
                <w:szCs w:val="20"/>
              </w:rPr>
            </w:pPr>
          </w:p>
        </w:tc>
      </w:tr>
    </w:tbl>
    <w:p w14:paraId="1B8B0784" w14:textId="77777777" w:rsidR="00F52111" w:rsidRPr="00BC31E0" w:rsidRDefault="00F52111" w:rsidP="00F52111">
      <w:pPr>
        <w:tabs>
          <w:tab w:val="left" w:pos="1701"/>
        </w:tabs>
        <w:autoSpaceDE w:val="0"/>
        <w:autoSpaceDN w:val="0"/>
        <w:spacing w:before="120" w:after="120"/>
        <w:jc w:val="left"/>
        <w:rPr>
          <w:kern w:val="0"/>
        </w:rPr>
      </w:pPr>
      <w:r w:rsidRPr="00BC31E0">
        <w:rPr>
          <w:rFonts w:hint="eastAsia"/>
          <w:kern w:val="0"/>
        </w:rPr>
        <w:tab/>
      </w:r>
      <w:r w:rsidRPr="00BC31E0">
        <w:rPr>
          <w:rFonts w:hint="eastAsia"/>
          <w:kern w:val="0"/>
        </w:rPr>
        <w:t>ここで，</w:t>
      </w:r>
      <m:oMath>
        <m:sSub>
          <m:sSubPr>
            <m:ctrlPr>
              <w:rPr>
                <w:rFonts w:ascii="Cambria Math" w:hAnsi="Cambria Math"/>
                <w:szCs w:val="20"/>
              </w:rPr>
            </m:ctrlPr>
          </m:sSubPr>
          <m:e>
            <m:r>
              <w:rPr>
                <w:rFonts w:ascii="Cambria Math" w:hAnsi="Cambria Math"/>
                <w:szCs w:val="20"/>
              </w:rPr>
              <m:t>M</m:t>
            </m:r>
          </m:e>
          <m:sub>
            <m:r>
              <w:rPr>
                <w:rFonts w:ascii="Cambria Math" w:hAnsi="Cambria Math"/>
                <w:szCs w:val="20"/>
              </w:rPr>
              <m:t>1</m:t>
            </m:r>
          </m:sub>
        </m:sSub>
      </m:oMath>
      <w:r w:rsidRPr="00BC31E0">
        <w:rPr>
          <w:rFonts w:hint="eastAsia"/>
          <w:kern w:val="0"/>
        </w:rPr>
        <w:t>～</w:t>
      </w:r>
      <m:oMath>
        <m:sSub>
          <m:sSubPr>
            <m:ctrlPr>
              <w:rPr>
                <w:rFonts w:ascii="Cambria Math" w:hAnsi="Cambria Math"/>
                <w:szCs w:val="20"/>
              </w:rPr>
            </m:ctrlPr>
          </m:sSubPr>
          <m:e>
            <m:r>
              <w:rPr>
                <w:rFonts w:ascii="Cambria Math" w:hAnsi="Cambria Math"/>
                <w:szCs w:val="20"/>
              </w:rPr>
              <m:t>M</m:t>
            </m:r>
          </m:e>
          <m:sub>
            <m:r>
              <w:rPr>
                <w:rFonts w:ascii="Cambria Math" w:hAnsi="Cambria Math"/>
                <w:szCs w:val="20"/>
              </w:rPr>
              <m:t xml:space="preserve">3 </m:t>
            </m:r>
          </m:sub>
        </m:sSub>
        <m:r>
          <m:rPr>
            <m:sty m:val="p"/>
          </m:rPr>
          <w:rPr>
            <w:rFonts w:ascii="Cambria Math" w:hAnsi="Cambria Math"/>
            <w:szCs w:val="20"/>
          </w:rPr>
          <m:t xml:space="preserve"> </m:t>
        </m:r>
      </m:oMath>
      <w:r w:rsidRPr="00BC31E0">
        <w:rPr>
          <w:rFonts w:hint="eastAsia"/>
          <w:szCs w:val="20"/>
        </w:rPr>
        <w:t>及び</w:t>
      </w:r>
      <m:oMath>
        <m:sSup>
          <m:sSupPr>
            <m:ctrlPr>
              <w:rPr>
                <w:rFonts w:ascii="Cambria Math" w:hAnsi="Cambria Math"/>
                <w:i/>
                <w:szCs w:val="20"/>
              </w:rPr>
            </m:ctrlPr>
          </m:sSupPr>
          <m:e>
            <m:r>
              <w:rPr>
                <w:rFonts w:ascii="Cambria Math" w:hAnsi="Cambria Math"/>
                <w:szCs w:val="20"/>
              </w:rPr>
              <m:t xml:space="preserve"> Q</m:t>
            </m:r>
          </m:e>
          <m:sup>
            <m:r>
              <w:rPr>
                <w:rFonts w:ascii="Cambria Math" w:hAnsi="Cambria Math"/>
                <w:szCs w:val="20"/>
              </w:rPr>
              <m:t>'</m:t>
            </m:r>
          </m:sup>
        </m:sSup>
        <m:r>
          <w:rPr>
            <w:rFonts w:ascii="Cambria Math" w:hAnsi="Cambria Math"/>
            <w:szCs w:val="20"/>
          </w:rPr>
          <m:t xml:space="preserve"> </m:t>
        </m:r>
      </m:oMath>
      <w:r w:rsidRPr="00BC31E0">
        <w:rPr>
          <w:rFonts w:ascii="Cambria Math" w:hAnsi="Cambria Math" w:hint="eastAsia"/>
          <w:kern w:val="0"/>
        </w:rPr>
        <w:t>は次式で与えられる</w:t>
      </w:r>
      <w:r w:rsidRPr="00BC31E0">
        <w:rPr>
          <w:rFonts w:ascii="ＭＳ ゴシック" w:eastAsia="ＭＳ ゴシック" w:hint="eastAsia"/>
          <w:b/>
          <w:kern w:val="0"/>
          <w:vertAlign w:val="superscript"/>
        </w:rPr>
        <w:t>3</w:t>
      </w:r>
      <w:r w:rsidRPr="00BC31E0">
        <w:rPr>
          <w:rFonts w:ascii="ＭＳ ゴシック" w:eastAsia="ＭＳ ゴシック"/>
          <w:b/>
          <w:kern w:val="0"/>
          <w:vertAlign w:val="superscript"/>
        </w:rPr>
        <w:t>)</w:t>
      </w:r>
      <w:r w:rsidRPr="00BC31E0">
        <w:rPr>
          <w:rFonts w:ascii="ＭＳ 明朝" w:hAnsi="ＭＳ 明朝"/>
          <w:kern w:val="0"/>
          <w:vertAlign w:val="superscript"/>
        </w:rPr>
        <w:t>,</w:t>
      </w:r>
      <w:r w:rsidRPr="00BC31E0">
        <w:rPr>
          <w:rFonts w:ascii="ＭＳ ゴシック" w:eastAsia="ＭＳ ゴシック" w:hint="eastAsia"/>
          <w:b/>
          <w:kern w:val="0"/>
          <w:vertAlign w:val="superscript"/>
        </w:rPr>
        <w:t>4</w:t>
      </w:r>
      <w:r w:rsidRPr="00BC31E0">
        <w:rPr>
          <w:rFonts w:ascii="ＭＳ ゴシック" w:eastAsia="ＭＳ ゴシック"/>
          <w:b/>
          <w:kern w:val="0"/>
          <w:vertAlign w:val="superscript"/>
        </w:rPr>
        <w:t>)</w:t>
      </w:r>
      <w:r w:rsidRPr="00BC31E0">
        <w:rPr>
          <w:rFonts w:ascii="Cambria Math" w:hAnsi="Cambria Math" w:hint="eastAsia"/>
          <w:kern w:val="0"/>
        </w:rPr>
        <w:t>。</w:t>
      </w:r>
    </w:p>
    <w:tbl>
      <w:tblPr>
        <w:tblStyle w:val="afff2"/>
        <w:tblW w:w="0" w:type="auto"/>
        <w:tblInd w:w="2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9"/>
      </w:tblGrid>
      <w:tr w:rsidR="00F52111" w:rsidRPr="00BC31E0" w14:paraId="78691689" w14:textId="77777777" w:rsidTr="004736F2">
        <w:tc>
          <w:tcPr>
            <w:tcW w:w="0" w:type="auto"/>
            <w:tcMar>
              <w:left w:w="0" w:type="dxa"/>
              <w:right w:w="0" w:type="dxa"/>
            </w:tcMar>
            <w:vAlign w:val="center"/>
          </w:tcPr>
          <w:p w14:paraId="3FAC18B6" w14:textId="77777777" w:rsidR="00F52111" w:rsidRPr="00BC31E0" w:rsidRDefault="00A51873" w:rsidP="004736F2">
            <w:pPr>
              <w:tabs>
                <w:tab w:val="left" w:pos="1134"/>
                <w:tab w:val="left" w:pos="4678"/>
                <w:tab w:val="left" w:leader="dot" w:pos="8651"/>
              </w:tabs>
              <w:autoSpaceDE w:val="0"/>
              <w:autoSpaceDN w:val="0"/>
              <w:jc w:val="left"/>
              <w:rPr>
                <w:kern w:val="0"/>
              </w:rPr>
            </w:pPr>
            <m:oMathPara>
              <m:oMathParaPr>
                <m:jc m:val="left"/>
              </m:oMathParaPr>
              <m:oMath>
                <m:sSub>
                  <m:sSubPr>
                    <m:ctrlPr>
                      <w:rPr>
                        <w:rFonts w:ascii="Cambria Math" w:hAnsi="Cambria Math"/>
                        <w:kern w:val="0"/>
                      </w:rPr>
                    </m:ctrlPr>
                  </m:sSubPr>
                  <m:e>
                    <m:r>
                      <w:rPr>
                        <w:rFonts w:ascii="Cambria Math" w:hAnsi="Cambria Math"/>
                        <w:kern w:val="0"/>
                      </w:rPr>
                      <m:t>M</m:t>
                    </m:r>
                  </m:e>
                  <m:sub>
                    <m:r>
                      <w:rPr>
                        <w:rFonts w:ascii="Cambria Math" w:hAnsi="Cambria Math"/>
                        <w:kern w:val="0"/>
                      </w:rPr>
                      <m:t>1</m:t>
                    </m:r>
                  </m:sub>
                </m:sSub>
                <m:r>
                  <w:rPr>
                    <w:rFonts w:ascii="Cambria Math" w:hAnsi="Cambria Math"/>
                    <w:kern w:val="0"/>
                  </w:rPr>
                  <m:t>=</m:t>
                </m:r>
                <m:f>
                  <m:fPr>
                    <m:ctrlPr>
                      <w:rPr>
                        <w:rFonts w:ascii="Cambria Math" w:hAnsi="Cambria Math"/>
                        <w:kern w:val="0"/>
                      </w:rPr>
                    </m:ctrlPr>
                  </m:fPr>
                  <m:num>
                    <m:r>
                      <w:rPr>
                        <w:rFonts w:ascii="Cambria Math" w:hAnsi="Cambria Math"/>
                        <w:kern w:val="0"/>
                      </w:rPr>
                      <m:t>π</m:t>
                    </m:r>
                  </m:num>
                  <m:den>
                    <m:rad>
                      <m:radPr>
                        <m:degHide m:val="1"/>
                        <m:ctrlPr>
                          <w:rPr>
                            <w:rFonts w:ascii="Cambria Math" w:hAnsi="Cambria Math"/>
                            <w:kern w:val="0"/>
                          </w:rPr>
                        </m:ctrlPr>
                      </m:radPr>
                      <m:deg/>
                      <m:e>
                        <m:r>
                          <w:rPr>
                            <w:rFonts w:ascii="Cambria Math" w:hAnsi="Cambria Math"/>
                            <w:kern w:val="0"/>
                          </w:rPr>
                          <m:t>2</m:t>
                        </m:r>
                        <m:sSup>
                          <m:sSupPr>
                            <m:ctrlPr>
                              <w:rPr>
                                <w:rFonts w:ascii="Cambria Math" w:hAnsi="Cambria Math"/>
                                <w:kern w:val="0"/>
                              </w:rPr>
                            </m:ctrlPr>
                          </m:sSupPr>
                          <m:e>
                            <m:r>
                              <w:rPr>
                                <w:rFonts w:ascii="Cambria Math" w:hAnsi="Cambria Math"/>
                                <w:kern w:val="0"/>
                              </w:rPr>
                              <m:t>Q</m:t>
                            </m:r>
                          </m:e>
                          <m:sup>
                            <m:r>
                              <w:rPr>
                                <w:rFonts w:ascii="Cambria Math" w:hAnsi="Cambria Math"/>
                                <w:kern w:val="0"/>
                              </w:rPr>
                              <m:t>'</m:t>
                            </m:r>
                          </m:sup>
                        </m:sSup>
                      </m:e>
                    </m:rad>
                  </m:den>
                </m:f>
                <m:d>
                  <m:dPr>
                    <m:ctrlPr>
                      <w:rPr>
                        <w:rFonts w:ascii="Cambria Math" w:hAnsi="Cambria Math"/>
                        <w:kern w:val="0"/>
                      </w:rPr>
                    </m:ctrlPr>
                  </m:dPr>
                  <m:e>
                    <m:r>
                      <w:rPr>
                        <w:rFonts w:ascii="Cambria Math" w:hAnsi="Cambria Math"/>
                        <w:kern w:val="0"/>
                      </w:rPr>
                      <m:t>4</m:t>
                    </m:r>
                    <m:sSub>
                      <m:sSubPr>
                        <m:ctrlPr>
                          <w:rPr>
                            <w:rFonts w:ascii="Cambria Math" w:hAnsi="Cambria Math"/>
                            <w:kern w:val="0"/>
                          </w:rPr>
                        </m:ctrlPr>
                      </m:sSubPr>
                      <m:e>
                        <m:r>
                          <w:rPr>
                            <w:rFonts w:ascii="Cambria Math" w:hAnsi="Cambria Math"/>
                            <w:kern w:val="0"/>
                          </w:rPr>
                          <m:t>Y</m:t>
                        </m:r>
                      </m:e>
                      <m:sub>
                        <m:r>
                          <w:rPr>
                            <w:rFonts w:ascii="Cambria Math" w:hAnsi="Cambria Math"/>
                            <w:kern w:val="0"/>
                          </w:rPr>
                          <m:t>0</m:t>
                        </m:r>
                      </m:sub>
                    </m:sSub>
                    <m:r>
                      <w:rPr>
                        <w:rFonts w:ascii="Cambria Math" w:hAnsi="Cambria Math"/>
                        <w:kern w:val="0"/>
                      </w:rPr>
                      <m:t>-6</m:t>
                    </m:r>
                    <m:sSub>
                      <m:sSubPr>
                        <m:ctrlPr>
                          <w:rPr>
                            <w:rFonts w:ascii="Cambria Math" w:hAnsi="Cambria Math"/>
                            <w:kern w:val="0"/>
                          </w:rPr>
                        </m:ctrlPr>
                      </m:sSubPr>
                      <m:e>
                        <m:r>
                          <w:rPr>
                            <w:rFonts w:ascii="Cambria Math" w:hAnsi="Cambria Math"/>
                            <w:kern w:val="0"/>
                          </w:rPr>
                          <m:t>Y</m:t>
                        </m:r>
                      </m:e>
                      <m:sub>
                        <m:r>
                          <w:rPr>
                            <w:rFonts w:ascii="Cambria Math" w:hAnsi="Cambria Math"/>
                            <w:kern w:val="0"/>
                          </w:rPr>
                          <m:t>1</m:t>
                        </m:r>
                      </m:sub>
                    </m:sSub>
                  </m:e>
                </m:d>
                <m:r>
                  <w:rPr>
                    <w:rFonts w:ascii="Cambria Math" w:hAnsi="Cambria Math"/>
                    <w:kern w:val="0"/>
                  </w:rPr>
                  <m:t>-</m:t>
                </m:r>
                <m:f>
                  <m:fPr>
                    <m:ctrlPr>
                      <w:rPr>
                        <w:rFonts w:ascii="Cambria Math" w:hAnsi="Cambria Math"/>
                        <w:kern w:val="0"/>
                      </w:rPr>
                    </m:ctrlPr>
                  </m:fPr>
                  <m:num>
                    <m:r>
                      <w:rPr>
                        <w:rFonts w:ascii="Cambria Math" w:hAnsi="Cambria Math"/>
                        <w:kern w:val="0"/>
                      </w:rPr>
                      <m:t>24</m:t>
                    </m:r>
                  </m:num>
                  <m:den>
                    <m:r>
                      <w:rPr>
                        <w:rFonts w:ascii="Cambria Math" w:hAnsi="Cambria Math"/>
                        <w:kern w:val="0"/>
                      </w:rPr>
                      <m:t>5</m:t>
                    </m:r>
                  </m:den>
                </m:f>
              </m:oMath>
            </m:oMathPara>
          </w:p>
          <w:p w14:paraId="483CDC14" w14:textId="77777777" w:rsidR="00F52111" w:rsidRPr="00BC31E0" w:rsidRDefault="00A51873" w:rsidP="004736F2">
            <w:pPr>
              <w:tabs>
                <w:tab w:val="left" w:pos="1134"/>
                <w:tab w:val="left" w:pos="4678"/>
                <w:tab w:val="left" w:leader="dot" w:pos="8651"/>
              </w:tabs>
              <w:autoSpaceDE w:val="0"/>
              <w:autoSpaceDN w:val="0"/>
              <w:spacing w:before="60"/>
              <w:jc w:val="left"/>
              <w:rPr>
                <w:kern w:val="0"/>
              </w:rPr>
            </w:pPr>
            <m:oMathPara>
              <m:oMathParaPr>
                <m:jc m:val="left"/>
              </m:oMathParaPr>
              <m:oMath>
                <m:sSub>
                  <m:sSubPr>
                    <m:ctrlPr>
                      <w:rPr>
                        <w:rFonts w:ascii="Cambria Math" w:hAnsi="Cambria Math"/>
                        <w:kern w:val="0"/>
                      </w:rPr>
                    </m:ctrlPr>
                  </m:sSubPr>
                  <m:e>
                    <m:r>
                      <w:rPr>
                        <w:rFonts w:ascii="Cambria Math" w:hAnsi="Cambria Math"/>
                        <w:kern w:val="0"/>
                      </w:rPr>
                      <m:t>M</m:t>
                    </m:r>
                  </m:e>
                  <m:sub>
                    <m:r>
                      <w:rPr>
                        <w:rFonts w:ascii="Cambria Math" w:hAnsi="Cambria Math"/>
                        <w:kern w:val="0"/>
                      </w:rPr>
                      <m:t>2</m:t>
                    </m:r>
                  </m:sub>
                </m:sSub>
                <m:r>
                  <w:rPr>
                    <w:rFonts w:ascii="Cambria Math" w:hAnsi="Cambria Math"/>
                    <w:kern w:val="0"/>
                  </w:rPr>
                  <m:t>=3</m:t>
                </m:r>
              </m:oMath>
            </m:oMathPara>
          </w:p>
          <w:p w14:paraId="61D3BC90" w14:textId="77777777" w:rsidR="00F52111" w:rsidRPr="00BC31E0" w:rsidRDefault="00A51873" w:rsidP="004736F2">
            <w:pPr>
              <w:tabs>
                <w:tab w:val="left" w:pos="1134"/>
                <w:tab w:val="left" w:pos="4678"/>
                <w:tab w:val="left" w:leader="dot" w:pos="8651"/>
              </w:tabs>
              <w:autoSpaceDE w:val="0"/>
              <w:autoSpaceDN w:val="0"/>
              <w:spacing w:before="60"/>
              <w:jc w:val="left"/>
              <w:rPr>
                <w:kern w:val="0"/>
              </w:rPr>
            </w:pPr>
            <m:oMathPara>
              <m:oMathParaPr>
                <m:jc m:val="left"/>
              </m:oMathParaPr>
              <m:oMath>
                <m:sSub>
                  <m:sSubPr>
                    <m:ctrlPr>
                      <w:rPr>
                        <w:rFonts w:ascii="Cambria Math" w:hAnsi="Cambria Math"/>
                        <w:kern w:val="0"/>
                      </w:rPr>
                    </m:ctrlPr>
                  </m:sSubPr>
                  <m:e>
                    <m:r>
                      <w:rPr>
                        <w:rFonts w:ascii="Cambria Math" w:hAnsi="Cambria Math"/>
                        <w:kern w:val="0"/>
                      </w:rPr>
                      <m:t>M</m:t>
                    </m:r>
                  </m:e>
                  <m:sub>
                    <m:r>
                      <w:rPr>
                        <w:rFonts w:ascii="Cambria Math" w:hAnsi="Cambria Math"/>
                        <w:kern w:val="0"/>
                      </w:rPr>
                      <m:t>3</m:t>
                    </m:r>
                  </m:sub>
                </m:sSub>
                <m:r>
                  <w:rPr>
                    <w:rFonts w:ascii="Cambria Math" w:hAnsi="Cambria Math"/>
                    <w:kern w:val="0"/>
                  </w:rPr>
                  <m:t>=2</m:t>
                </m:r>
                <m:d>
                  <m:dPr>
                    <m:ctrlPr>
                      <w:rPr>
                        <w:rFonts w:ascii="Cambria Math" w:hAnsi="Cambria Math"/>
                        <w:kern w:val="0"/>
                      </w:rPr>
                    </m:ctrlPr>
                  </m:dPr>
                  <m:e>
                    <m:f>
                      <m:fPr>
                        <m:ctrlPr>
                          <w:rPr>
                            <w:rFonts w:ascii="Cambria Math" w:hAnsi="Cambria Math"/>
                            <w:kern w:val="0"/>
                          </w:rPr>
                        </m:ctrlPr>
                      </m:fPr>
                      <m:num>
                        <m:r>
                          <w:rPr>
                            <w:rFonts w:ascii="Cambria Math" w:hAnsi="Cambria Math"/>
                            <w:kern w:val="0"/>
                          </w:rPr>
                          <m:t>π</m:t>
                        </m:r>
                      </m:num>
                      <m:den>
                        <m:rad>
                          <m:radPr>
                            <m:degHide m:val="1"/>
                            <m:ctrlPr>
                              <w:rPr>
                                <w:rFonts w:ascii="Cambria Math" w:hAnsi="Cambria Math"/>
                                <w:kern w:val="0"/>
                              </w:rPr>
                            </m:ctrlPr>
                          </m:radPr>
                          <m:deg/>
                          <m:e>
                            <m:r>
                              <w:rPr>
                                <w:rFonts w:ascii="Cambria Math" w:hAnsi="Cambria Math"/>
                                <w:kern w:val="0"/>
                              </w:rPr>
                              <m:t>2</m:t>
                            </m:r>
                            <m:sSup>
                              <m:sSupPr>
                                <m:ctrlPr>
                                  <w:rPr>
                                    <w:rFonts w:ascii="Cambria Math" w:hAnsi="Cambria Math"/>
                                    <w:kern w:val="0"/>
                                  </w:rPr>
                                </m:ctrlPr>
                              </m:sSupPr>
                              <m:e>
                                <m:r>
                                  <w:rPr>
                                    <w:rFonts w:ascii="Cambria Math" w:hAnsi="Cambria Math"/>
                                    <w:kern w:val="0"/>
                                  </w:rPr>
                                  <m:t>Q</m:t>
                                </m:r>
                              </m:e>
                              <m:sup>
                                <m:r>
                                  <w:rPr>
                                    <w:rFonts w:ascii="Cambria Math" w:hAnsi="Cambria Math"/>
                                    <w:kern w:val="0"/>
                                  </w:rPr>
                                  <m:t>'</m:t>
                                </m:r>
                              </m:sup>
                            </m:sSup>
                          </m:e>
                        </m:rad>
                      </m:den>
                    </m:f>
                    <m:sSub>
                      <m:sSubPr>
                        <m:ctrlPr>
                          <w:rPr>
                            <w:rFonts w:ascii="Cambria Math" w:hAnsi="Cambria Math"/>
                            <w:kern w:val="0"/>
                          </w:rPr>
                        </m:ctrlPr>
                      </m:sSubPr>
                      <m:e>
                        <m:r>
                          <w:rPr>
                            <w:rFonts w:ascii="Cambria Math" w:hAnsi="Cambria Math"/>
                            <w:kern w:val="0"/>
                          </w:rPr>
                          <m:t>Y</m:t>
                        </m:r>
                      </m:e>
                      <m:sub>
                        <m:r>
                          <w:rPr>
                            <w:rFonts w:ascii="Cambria Math" w:hAnsi="Cambria Math"/>
                            <w:kern w:val="0"/>
                          </w:rPr>
                          <m:t>0</m:t>
                        </m:r>
                      </m:sub>
                    </m:sSub>
                    <m:r>
                      <w:rPr>
                        <w:rFonts w:ascii="Cambria Math" w:hAnsi="Cambria Math"/>
                        <w:kern w:val="0"/>
                      </w:rPr>
                      <m:t>-</m:t>
                    </m:r>
                    <m:sSub>
                      <m:sSubPr>
                        <m:ctrlPr>
                          <w:rPr>
                            <w:rFonts w:ascii="Cambria Math" w:hAnsi="Cambria Math"/>
                            <w:kern w:val="0"/>
                          </w:rPr>
                        </m:ctrlPr>
                      </m:sSubPr>
                      <m:e>
                        <m:r>
                          <w:rPr>
                            <w:rFonts w:ascii="Cambria Math" w:hAnsi="Cambria Math"/>
                            <w:kern w:val="0"/>
                          </w:rPr>
                          <m:t>M</m:t>
                        </m:r>
                      </m:e>
                      <m:sub>
                        <m:r>
                          <w:rPr>
                            <w:rFonts w:ascii="Cambria Math" w:hAnsi="Cambria Math"/>
                            <w:kern w:val="0"/>
                          </w:rPr>
                          <m:t>1</m:t>
                        </m:r>
                      </m:sub>
                    </m:sSub>
                    <m:r>
                      <w:rPr>
                        <w:rFonts w:ascii="Cambria Math" w:hAnsi="Cambria Math"/>
                        <w:kern w:val="0"/>
                      </w:rPr>
                      <m:t>-4</m:t>
                    </m:r>
                  </m:e>
                </m:d>
              </m:oMath>
            </m:oMathPara>
          </w:p>
          <w:p w14:paraId="12F5BD3A" w14:textId="77777777" w:rsidR="00F52111" w:rsidRPr="00BC31E0" w:rsidRDefault="00A51873" w:rsidP="004736F2">
            <w:pPr>
              <w:tabs>
                <w:tab w:val="left" w:pos="1134"/>
                <w:tab w:val="left" w:pos="4678"/>
                <w:tab w:val="left" w:leader="dot" w:pos="8651"/>
              </w:tabs>
              <w:autoSpaceDE w:val="0"/>
              <w:autoSpaceDN w:val="0"/>
              <w:spacing w:before="120"/>
              <w:jc w:val="left"/>
              <w:rPr>
                <w:kern w:val="0"/>
              </w:rPr>
            </w:pPr>
            <m:oMathPara>
              <m:oMathParaPr>
                <m:jc m:val="left"/>
              </m:oMathParaPr>
              <m:oMath>
                <m:sSup>
                  <m:sSupPr>
                    <m:ctrlPr>
                      <w:rPr>
                        <w:rFonts w:ascii="Cambria Math" w:hAnsi="Cambria Math"/>
                        <w:i/>
                        <w:kern w:val="0"/>
                      </w:rPr>
                    </m:ctrlPr>
                  </m:sSupPr>
                  <m:e>
                    <m:r>
                      <w:rPr>
                        <w:rFonts w:ascii="Cambria Math" w:hAnsi="Cambria Math" w:hint="eastAsia"/>
                        <w:kern w:val="0"/>
                      </w:rPr>
                      <m:t>Q</m:t>
                    </m:r>
                  </m:e>
                  <m:sup>
                    <m:r>
                      <w:rPr>
                        <w:rFonts w:ascii="Cambria Math" w:hAnsi="Cambria Math"/>
                        <w:kern w:val="0"/>
                      </w:rPr>
                      <m:t>'</m:t>
                    </m:r>
                  </m:sup>
                </m:sSup>
                <m:r>
                  <w:rPr>
                    <w:rFonts w:ascii="Cambria Math" w:hAnsi="Cambria Math"/>
                    <w:kern w:val="0"/>
                  </w:rPr>
                  <m:t xml:space="preserve">=1+4.593 </m:t>
                </m:r>
                <m:sSup>
                  <m:sSupPr>
                    <m:ctrlPr>
                      <w:rPr>
                        <w:rFonts w:ascii="Cambria Math" w:hAnsi="Cambria Math"/>
                        <w:i/>
                        <w:kern w:val="0"/>
                      </w:rPr>
                    </m:ctrlPr>
                  </m:sSupPr>
                  <m:e>
                    <m:d>
                      <m:dPr>
                        <m:ctrlPr>
                          <w:rPr>
                            <w:rFonts w:ascii="Cambria Math" w:hAnsi="Cambria Math"/>
                            <w:i/>
                            <w:kern w:val="0"/>
                          </w:rPr>
                        </m:ctrlPr>
                      </m:dPr>
                      <m:e>
                        <m:f>
                          <m:fPr>
                            <m:type m:val="lin"/>
                            <m:ctrlPr>
                              <w:rPr>
                                <w:rFonts w:ascii="Cambria Math" w:hAnsi="Cambria Math"/>
                                <w:i/>
                                <w:kern w:val="0"/>
                              </w:rPr>
                            </m:ctrlPr>
                          </m:fPr>
                          <m:num>
                            <m:r>
                              <w:rPr>
                                <w:rFonts w:ascii="Cambria Math" w:hAnsi="Cambria Math"/>
                                <w:kern w:val="0"/>
                              </w:rPr>
                              <m:t>a</m:t>
                            </m:r>
                          </m:num>
                          <m:den>
                            <m:r>
                              <w:rPr>
                                <w:rFonts w:ascii="Cambria Math" w:hAnsi="Cambria Math"/>
                                <w:kern w:val="0"/>
                              </w:rPr>
                              <m:t>l</m:t>
                            </m:r>
                          </m:den>
                        </m:f>
                      </m:e>
                    </m:d>
                  </m:e>
                  <m:sup>
                    <m:r>
                      <w:rPr>
                        <w:rFonts w:ascii="Cambria Math" w:hAnsi="Cambria Math"/>
                        <w:kern w:val="0"/>
                      </w:rPr>
                      <m:t>1.65</m:t>
                    </m:r>
                  </m:sup>
                </m:sSup>
              </m:oMath>
            </m:oMathPara>
          </w:p>
        </w:tc>
      </w:tr>
    </w:tbl>
    <w:p w14:paraId="72927602" w14:textId="77777777" w:rsidR="00F52111" w:rsidRPr="00BC31E0" w:rsidRDefault="00F52111" w:rsidP="00F52111">
      <w:pPr>
        <w:tabs>
          <w:tab w:val="left" w:pos="2098"/>
        </w:tabs>
        <w:snapToGrid w:val="0"/>
        <w:spacing w:before="120" w:after="120"/>
        <w:rPr>
          <w:rFonts w:ascii="ＭＳ 明朝"/>
        </w:rPr>
      </w:pPr>
      <w:r w:rsidRPr="00BC31E0">
        <w:rPr>
          <w:rFonts w:hint="eastAsia"/>
        </w:rPr>
        <w:tab/>
      </w:r>
      <w:r w:rsidRPr="00BC31E0">
        <w:rPr>
          <w:rFonts w:hint="eastAsia"/>
        </w:rPr>
        <w:t>ここで，</w:t>
      </w:r>
    </w:p>
    <w:tbl>
      <w:tblPr>
        <w:tblStyle w:val="afff2"/>
        <w:tblW w:w="0" w:type="auto"/>
        <w:tblInd w:w="2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tblGrid>
      <w:tr w:rsidR="00F52111" w:rsidRPr="00BC31E0" w14:paraId="42005A00" w14:textId="77777777" w:rsidTr="004736F2">
        <w:tc>
          <w:tcPr>
            <w:tcW w:w="0" w:type="auto"/>
            <w:tcMar>
              <w:left w:w="0" w:type="dxa"/>
              <w:right w:w="0" w:type="dxa"/>
            </w:tcMar>
            <w:vAlign w:val="center"/>
          </w:tcPr>
          <w:p w14:paraId="77C62ED2" w14:textId="77777777" w:rsidR="00F52111" w:rsidRPr="00BC31E0" w:rsidRDefault="00A51873" w:rsidP="004736F2">
            <w:pPr>
              <w:tabs>
                <w:tab w:val="left" w:pos="1134"/>
                <w:tab w:val="left" w:pos="4678"/>
                <w:tab w:val="left" w:leader="dot" w:pos="8651"/>
              </w:tabs>
              <w:autoSpaceDE w:val="0"/>
              <w:autoSpaceDN w:val="0"/>
              <w:jc w:val="left"/>
              <w:rPr>
                <w:rFonts w:ascii="ＭＳ 明朝"/>
                <w:kern w:val="0"/>
              </w:rPr>
            </w:pPr>
            <m:oMathPara>
              <m:oMathParaPr>
                <m:jc m:val="left"/>
              </m:oMathParaPr>
              <m:oMath>
                <m:sSub>
                  <m:sSubPr>
                    <m:ctrlPr>
                      <w:rPr>
                        <w:rFonts w:ascii="Cambria Math" w:hAnsi="Cambria Math"/>
                        <w:kern w:val="0"/>
                      </w:rPr>
                    </m:ctrlPr>
                  </m:sSubPr>
                  <m:e>
                    <m:r>
                      <w:rPr>
                        <w:rFonts w:ascii="Cambria Math" w:hAnsi="Cambria Math"/>
                        <w:kern w:val="0"/>
                      </w:rPr>
                      <m:t>Y</m:t>
                    </m:r>
                  </m:e>
                  <m:sub>
                    <m:r>
                      <w:rPr>
                        <w:rFonts w:ascii="Cambria Math" w:hAnsi="Cambria Math"/>
                        <w:kern w:val="0"/>
                      </w:rPr>
                      <m:t>0</m:t>
                    </m:r>
                  </m:sub>
                </m:sSub>
                <m:r>
                  <w:rPr>
                    <w:rFonts w:ascii="Cambria Math" w:hAnsi="Cambria Math"/>
                    <w:kern w:val="0"/>
                  </w:rPr>
                  <m:t>=</m:t>
                </m:r>
                <m:sSub>
                  <m:sSubPr>
                    <m:ctrlPr>
                      <w:rPr>
                        <w:rFonts w:ascii="Cambria Math" w:hAnsi="Cambria Math"/>
                        <w:kern w:val="0"/>
                      </w:rPr>
                    </m:ctrlPr>
                  </m:sSubPr>
                  <m:e>
                    <m:r>
                      <w:rPr>
                        <w:rFonts w:ascii="Cambria Math" w:hAnsi="Cambria Math"/>
                        <w:kern w:val="0"/>
                      </w:rPr>
                      <m:t>B</m:t>
                    </m:r>
                  </m:e>
                  <m:sub>
                    <m:r>
                      <w:rPr>
                        <w:rFonts w:ascii="Cambria Math" w:hAnsi="Cambria Math"/>
                        <w:kern w:val="0"/>
                      </w:rPr>
                      <m:t>0</m:t>
                    </m:r>
                  </m:sub>
                </m:sSub>
                <m:r>
                  <w:rPr>
                    <w:rFonts w:ascii="Cambria Math" w:hAnsi="Cambria Math"/>
                    <w:kern w:val="0"/>
                  </w:rPr>
                  <m:t>+</m:t>
                </m:r>
                <m:sSub>
                  <m:sSubPr>
                    <m:ctrlPr>
                      <w:rPr>
                        <w:rFonts w:ascii="Cambria Math" w:hAnsi="Cambria Math"/>
                        <w:kern w:val="0"/>
                      </w:rPr>
                    </m:ctrlPr>
                  </m:sSubPr>
                  <m:e>
                    <m:r>
                      <w:rPr>
                        <w:rFonts w:ascii="Cambria Math" w:hAnsi="Cambria Math"/>
                        <w:kern w:val="0"/>
                      </w:rPr>
                      <m:t>B</m:t>
                    </m:r>
                  </m:e>
                  <m:sub>
                    <m:r>
                      <w:rPr>
                        <w:rFonts w:ascii="Cambria Math" w:hAnsi="Cambria Math"/>
                        <w:kern w:val="0"/>
                      </w:rPr>
                      <m:t>1</m:t>
                    </m:r>
                  </m:sub>
                </m:sSub>
                <m:sSup>
                  <m:sSupPr>
                    <m:ctrlPr>
                      <w:rPr>
                        <w:rFonts w:ascii="Cambria Math" w:hAnsi="Cambria Math"/>
                        <w:kern w:val="0"/>
                      </w:rPr>
                    </m:ctrlPr>
                  </m:sSupPr>
                  <m:e>
                    <m:d>
                      <m:dPr>
                        <m:ctrlPr>
                          <w:rPr>
                            <w:rFonts w:ascii="Cambria Math" w:hAnsi="Cambria Math"/>
                            <w:kern w:val="0"/>
                          </w:rPr>
                        </m:ctrlPr>
                      </m:dPr>
                      <m:e>
                        <m:f>
                          <m:fPr>
                            <m:ctrlPr>
                              <w:rPr>
                                <w:rFonts w:ascii="Cambria Math" w:hAnsi="Cambria Math"/>
                                <w:kern w:val="0"/>
                              </w:rPr>
                            </m:ctrlPr>
                          </m:fPr>
                          <m:num>
                            <m:r>
                              <w:rPr>
                                <w:rFonts w:ascii="Cambria Math" w:hAnsi="Cambria Math"/>
                                <w:kern w:val="0"/>
                              </w:rPr>
                              <m:t>a</m:t>
                            </m:r>
                          </m:num>
                          <m:den>
                            <m:r>
                              <w:rPr>
                                <w:rFonts w:ascii="Cambria Math" w:hAnsi="Cambria Math"/>
                                <w:kern w:val="0"/>
                              </w:rPr>
                              <m:t>t</m:t>
                            </m:r>
                          </m:den>
                        </m:f>
                      </m:e>
                    </m:d>
                  </m:e>
                  <m:sup>
                    <m:r>
                      <w:rPr>
                        <w:rFonts w:ascii="Cambria Math" w:hAnsi="Cambria Math"/>
                        <w:kern w:val="0"/>
                      </w:rPr>
                      <m:t>2</m:t>
                    </m:r>
                  </m:sup>
                </m:sSup>
                <m:r>
                  <w:rPr>
                    <w:rFonts w:ascii="Cambria Math" w:hAnsi="Cambria Math"/>
                    <w:kern w:val="0"/>
                  </w:rPr>
                  <m:t>+</m:t>
                </m:r>
                <m:sSub>
                  <m:sSubPr>
                    <m:ctrlPr>
                      <w:rPr>
                        <w:rFonts w:ascii="Cambria Math" w:hAnsi="Cambria Math"/>
                        <w:kern w:val="0"/>
                      </w:rPr>
                    </m:ctrlPr>
                  </m:sSubPr>
                  <m:e>
                    <m:r>
                      <w:rPr>
                        <w:rFonts w:ascii="Cambria Math" w:hAnsi="Cambria Math"/>
                        <w:kern w:val="0"/>
                      </w:rPr>
                      <m:t>B</m:t>
                    </m:r>
                  </m:e>
                  <m:sub>
                    <m:r>
                      <w:rPr>
                        <w:rFonts w:ascii="Cambria Math" w:hAnsi="Cambria Math"/>
                        <w:kern w:val="0"/>
                      </w:rPr>
                      <m:t>2</m:t>
                    </m:r>
                  </m:sub>
                </m:sSub>
                <m:sSup>
                  <m:sSupPr>
                    <m:ctrlPr>
                      <w:rPr>
                        <w:rFonts w:ascii="Cambria Math" w:hAnsi="Cambria Math"/>
                        <w:kern w:val="0"/>
                      </w:rPr>
                    </m:ctrlPr>
                  </m:sSupPr>
                  <m:e>
                    <m:d>
                      <m:dPr>
                        <m:ctrlPr>
                          <w:rPr>
                            <w:rFonts w:ascii="Cambria Math" w:hAnsi="Cambria Math"/>
                            <w:kern w:val="0"/>
                          </w:rPr>
                        </m:ctrlPr>
                      </m:dPr>
                      <m:e>
                        <m:f>
                          <m:fPr>
                            <m:ctrlPr>
                              <w:rPr>
                                <w:rFonts w:ascii="Cambria Math" w:hAnsi="Cambria Math"/>
                                <w:kern w:val="0"/>
                              </w:rPr>
                            </m:ctrlPr>
                          </m:fPr>
                          <m:num>
                            <m:r>
                              <w:rPr>
                                <w:rFonts w:ascii="Cambria Math" w:hAnsi="Cambria Math"/>
                                <w:kern w:val="0"/>
                              </w:rPr>
                              <m:t>a</m:t>
                            </m:r>
                          </m:num>
                          <m:den>
                            <m:r>
                              <w:rPr>
                                <w:rFonts w:ascii="Cambria Math" w:hAnsi="Cambria Math"/>
                                <w:kern w:val="0"/>
                              </w:rPr>
                              <m:t>t</m:t>
                            </m:r>
                          </m:den>
                        </m:f>
                      </m:e>
                    </m:d>
                  </m:e>
                  <m:sup>
                    <m:r>
                      <w:rPr>
                        <w:rFonts w:ascii="Cambria Math" w:hAnsi="Cambria Math"/>
                        <w:kern w:val="0"/>
                      </w:rPr>
                      <m:t>4</m:t>
                    </m:r>
                  </m:sup>
                </m:sSup>
              </m:oMath>
            </m:oMathPara>
          </w:p>
          <w:p w14:paraId="08FF377D" w14:textId="77777777" w:rsidR="00F52111" w:rsidRPr="00BC31E0" w:rsidRDefault="00A51873" w:rsidP="004736F2">
            <w:pPr>
              <w:tabs>
                <w:tab w:val="left" w:pos="1134"/>
                <w:tab w:val="left" w:pos="4678"/>
                <w:tab w:val="left" w:leader="dot" w:pos="8651"/>
              </w:tabs>
              <w:autoSpaceDE w:val="0"/>
              <w:autoSpaceDN w:val="0"/>
              <w:spacing w:before="60"/>
              <w:jc w:val="left"/>
              <w:rPr>
                <w:rFonts w:ascii="ＭＳ 明朝"/>
                <w:kern w:val="0"/>
              </w:rPr>
            </w:pPr>
            <m:oMathPara>
              <m:oMathParaPr>
                <m:jc m:val="left"/>
              </m:oMathParaPr>
              <m:oMath>
                <m:sSub>
                  <m:sSubPr>
                    <m:ctrlPr>
                      <w:rPr>
                        <w:rFonts w:ascii="Cambria Math" w:hAnsi="Cambria Math"/>
                        <w:kern w:val="0"/>
                      </w:rPr>
                    </m:ctrlPr>
                  </m:sSubPr>
                  <m:e>
                    <m:r>
                      <w:rPr>
                        <w:rFonts w:ascii="Cambria Math" w:hAnsi="Cambria Math"/>
                        <w:kern w:val="0"/>
                      </w:rPr>
                      <m:t>Y</m:t>
                    </m:r>
                  </m:e>
                  <m:sub>
                    <m:r>
                      <w:rPr>
                        <w:rFonts w:ascii="Cambria Math" w:hAnsi="Cambria Math"/>
                        <w:kern w:val="0"/>
                      </w:rPr>
                      <m:t>1</m:t>
                    </m:r>
                  </m:sub>
                </m:sSub>
                <m:r>
                  <w:rPr>
                    <w:rFonts w:ascii="Cambria Math" w:hAnsi="Cambria Math"/>
                    <w:kern w:val="0"/>
                  </w:rPr>
                  <m:t>=</m:t>
                </m:r>
                <m:sSub>
                  <m:sSubPr>
                    <m:ctrlPr>
                      <w:rPr>
                        <w:rFonts w:ascii="Cambria Math" w:hAnsi="Cambria Math"/>
                        <w:kern w:val="0"/>
                      </w:rPr>
                    </m:ctrlPr>
                  </m:sSubPr>
                  <m:e>
                    <m:r>
                      <w:rPr>
                        <w:rFonts w:ascii="Cambria Math" w:hAnsi="Cambria Math"/>
                        <w:kern w:val="0"/>
                      </w:rPr>
                      <m:t>C</m:t>
                    </m:r>
                  </m:e>
                  <m:sub>
                    <m:r>
                      <w:rPr>
                        <w:rFonts w:ascii="Cambria Math" w:hAnsi="Cambria Math"/>
                        <w:kern w:val="0"/>
                      </w:rPr>
                      <m:t>0</m:t>
                    </m:r>
                  </m:sub>
                </m:sSub>
                <m:r>
                  <w:rPr>
                    <w:rFonts w:ascii="Cambria Math" w:hAnsi="Cambria Math"/>
                    <w:kern w:val="0"/>
                  </w:rPr>
                  <m:t>+</m:t>
                </m:r>
                <m:sSub>
                  <m:sSubPr>
                    <m:ctrlPr>
                      <w:rPr>
                        <w:rFonts w:ascii="Cambria Math" w:hAnsi="Cambria Math"/>
                        <w:kern w:val="0"/>
                      </w:rPr>
                    </m:ctrlPr>
                  </m:sSubPr>
                  <m:e>
                    <m:r>
                      <w:rPr>
                        <w:rFonts w:ascii="Cambria Math" w:hAnsi="Cambria Math"/>
                        <w:kern w:val="0"/>
                      </w:rPr>
                      <m:t>C</m:t>
                    </m:r>
                  </m:e>
                  <m:sub>
                    <m:r>
                      <w:rPr>
                        <w:rFonts w:ascii="Cambria Math" w:hAnsi="Cambria Math"/>
                        <w:kern w:val="0"/>
                      </w:rPr>
                      <m:t>1</m:t>
                    </m:r>
                  </m:sub>
                </m:sSub>
                <m:sSup>
                  <m:sSupPr>
                    <m:ctrlPr>
                      <w:rPr>
                        <w:rFonts w:ascii="Cambria Math" w:hAnsi="Cambria Math"/>
                        <w:kern w:val="0"/>
                      </w:rPr>
                    </m:ctrlPr>
                  </m:sSupPr>
                  <m:e>
                    <m:d>
                      <m:dPr>
                        <m:ctrlPr>
                          <w:rPr>
                            <w:rFonts w:ascii="Cambria Math" w:hAnsi="Cambria Math"/>
                            <w:kern w:val="0"/>
                          </w:rPr>
                        </m:ctrlPr>
                      </m:dPr>
                      <m:e>
                        <m:f>
                          <m:fPr>
                            <m:ctrlPr>
                              <w:rPr>
                                <w:rFonts w:ascii="Cambria Math" w:hAnsi="Cambria Math"/>
                                <w:kern w:val="0"/>
                              </w:rPr>
                            </m:ctrlPr>
                          </m:fPr>
                          <m:num>
                            <m:r>
                              <w:rPr>
                                <w:rFonts w:ascii="Cambria Math" w:hAnsi="Cambria Math"/>
                                <w:kern w:val="0"/>
                              </w:rPr>
                              <m:t>a</m:t>
                            </m:r>
                          </m:num>
                          <m:den>
                            <m:r>
                              <w:rPr>
                                <w:rFonts w:ascii="Cambria Math" w:hAnsi="Cambria Math"/>
                                <w:kern w:val="0"/>
                              </w:rPr>
                              <m:t>t</m:t>
                            </m:r>
                          </m:den>
                        </m:f>
                      </m:e>
                    </m:d>
                  </m:e>
                  <m:sup>
                    <m:r>
                      <w:rPr>
                        <w:rFonts w:ascii="Cambria Math" w:hAnsi="Cambria Math"/>
                        <w:kern w:val="0"/>
                      </w:rPr>
                      <m:t>2</m:t>
                    </m:r>
                  </m:sup>
                </m:sSup>
                <m:r>
                  <w:rPr>
                    <w:rFonts w:ascii="Cambria Math" w:hAnsi="Cambria Math"/>
                    <w:kern w:val="0"/>
                  </w:rPr>
                  <m:t>+</m:t>
                </m:r>
                <m:sSub>
                  <m:sSubPr>
                    <m:ctrlPr>
                      <w:rPr>
                        <w:rFonts w:ascii="Cambria Math" w:hAnsi="Cambria Math"/>
                        <w:kern w:val="0"/>
                      </w:rPr>
                    </m:ctrlPr>
                  </m:sSubPr>
                  <m:e>
                    <m:r>
                      <w:rPr>
                        <w:rFonts w:ascii="Cambria Math" w:hAnsi="Cambria Math"/>
                        <w:kern w:val="0"/>
                      </w:rPr>
                      <m:t>C</m:t>
                    </m:r>
                  </m:e>
                  <m:sub>
                    <m:r>
                      <w:rPr>
                        <w:rFonts w:ascii="Cambria Math" w:hAnsi="Cambria Math"/>
                        <w:kern w:val="0"/>
                      </w:rPr>
                      <m:t>2</m:t>
                    </m:r>
                  </m:sub>
                </m:sSub>
                <m:sSup>
                  <m:sSupPr>
                    <m:ctrlPr>
                      <w:rPr>
                        <w:rFonts w:ascii="Cambria Math" w:hAnsi="Cambria Math"/>
                        <w:kern w:val="0"/>
                      </w:rPr>
                    </m:ctrlPr>
                  </m:sSupPr>
                  <m:e>
                    <m:d>
                      <m:dPr>
                        <m:ctrlPr>
                          <w:rPr>
                            <w:rFonts w:ascii="Cambria Math" w:hAnsi="Cambria Math"/>
                            <w:kern w:val="0"/>
                          </w:rPr>
                        </m:ctrlPr>
                      </m:dPr>
                      <m:e>
                        <m:f>
                          <m:fPr>
                            <m:ctrlPr>
                              <w:rPr>
                                <w:rFonts w:ascii="Cambria Math" w:hAnsi="Cambria Math"/>
                                <w:kern w:val="0"/>
                              </w:rPr>
                            </m:ctrlPr>
                          </m:fPr>
                          <m:num>
                            <m:r>
                              <w:rPr>
                                <w:rFonts w:ascii="Cambria Math" w:hAnsi="Cambria Math"/>
                                <w:kern w:val="0"/>
                              </w:rPr>
                              <m:t>a</m:t>
                            </m:r>
                          </m:num>
                          <m:den>
                            <m:r>
                              <w:rPr>
                                <w:rFonts w:ascii="Cambria Math" w:hAnsi="Cambria Math"/>
                                <w:kern w:val="0"/>
                              </w:rPr>
                              <m:t>t</m:t>
                            </m:r>
                          </m:den>
                        </m:f>
                      </m:e>
                    </m:d>
                  </m:e>
                  <m:sup>
                    <m:r>
                      <w:rPr>
                        <w:rFonts w:ascii="Cambria Math" w:hAnsi="Cambria Math"/>
                        <w:kern w:val="0"/>
                      </w:rPr>
                      <m:t>4</m:t>
                    </m:r>
                  </m:sup>
                </m:sSup>
              </m:oMath>
            </m:oMathPara>
          </w:p>
        </w:tc>
      </w:tr>
    </w:tbl>
    <w:p w14:paraId="2289968E" w14:textId="77777777" w:rsidR="00F52111" w:rsidRPr="00BC31E0" w:rsidRDefault="00F52111" w:rsidP="00F52111">
      <w:pPr>
        <w:tabs>
          <w:tab w:val="left" w:pos="2552"/>
        </w:tabs>
        <w:spacing w:before="120"/>
        <w:rPr>
          <w:szCs w:val="20"/>
        </w:rPr>
      </w:pPr>
      <w:r w:rsidRPr="00BC31E0">
        <w:rPr>
          <w:rFonts w:hint="eastAsia"/>
          <w:kern w:val="0"/>
        </w:rPr>
        <w:tab/>
      </w:r>
      <m:oMath>
        <m:sSub>
          <m:sSubPr>
            <m:ctrlPr>
              <w:rPr>
                <w:rFonts w:ascii="Cambria Math" w:hAnsi="Cambria Math"/>
                <w:kern w:val="0"/>
              </w:rPr>
            </m:ctrlPr>
          </m:sSubPr>
          <m:e>
            <m:r>
              <w:rPr>
                <w:rFonts w:ascii="Cambria Math" w:hAnsi="Cambria Math"/>
                <w:kern w:val="0"/>
              </w:rPr>
              <m:t>B</m:t>
            </m:r>
          </m:e>
          <m:sub>
            <m:r>
              <w:rPr>
                <w:rFonts w:ascii="Cambria Math" w:hAnsi="Cambria Math"/>
                <w:kern w:val="0"/>
              </w:rPr>
              <m:t>0</m:t>
            </m:r>
          </m:sub>
        </m:sSub>
        <m:r>
          <w:rPr>
            <w:rFonts w:ascii="Cambria Math" w:hAnsi="Cambria Math"/>
            <w:kern w:val="0"/>
          </w:rPr>
          <m:t xml:space="preserve">=1.10190-0.039726 </m:t>
        </m:r>
        <m:d>
          <m:dPr>
            <m:ctrlPr>
              <w:rPr>
                <w:rFonts w:ascii="Cambria Math" w:hAnsi="Cambria Math"/>
                <w:kern w:val="0"/>
              </w:rPr>
            </m:ctrlPr>
          </m:dPr>
          <m:e>
            <m:f>
              <m:fPr>
                <m:type m:val="lin"/>
                <m:ctrlPr>
                  <w:rPr>
                    <w:rFonts w:ascii="Cambria Math" w:hAnsi="Cambria Math"/>
                    <w:kern w:val="0"/>
                  </w:rPr>
                </m:ctrlPr>
              </m:fPr>
              <m:num>
                <m:r>
                  <w:rPr>
                    <w:rFonts w:ascii="Cambria Math" w:hAnsi="Cambria Math"/>
                    <w:kern w:val="0"/>
                  </w:rPr>
                  <m:t>a</m:t>
                </m:r>
              </m:num>
              <m:den>
                <m:r>
                  <w:rPr>
                    <w:rFonts w:ascii="Cambria Math" w:hAnsi="Cambria Math"/>
                    <w:kern w:val="0"/>
                  </w:rPr>
                  <m:t>l</m:t>
                </m:r>
              </m:den>
            </m:f>
          </m:e>
        </m:d>
        <m:r>
          <w:rPr>
            <w:rFonts w:ascii="Cambria Math" w:hAnsi="Cambria Math"/>
            <w:kern w:val="0"/>
          </w:rPr>
          <m:t>-0.174352</m:t>
        </m:r>
        <m:sSup>
          <m:sSupPr>
            <m:ctrlPr>
              <w:rPr>
                <w:rFonts w:ascii="Cambria Math" w:hAnsi="Cambria Math"/>
                <w:kern w:val="0"/>
              </w:rPr>
            </m:ctrlPr>
          </m:sSupPr>
          <m:e>
            <m:r>
              <m:rPr>
                <m:sty m:val="p"/>
              </m:rPr>
              <w:rPr>
                <w:rFonts w:ascii="Cambria Math" w:hAnsi="Cambria Math"/>
                <w:kern w:val="0"/>
              </w:rPr>
              <m:t xml:space="preserve"> </m:t>
            </m:r>
            <m:d>
              <m:dPr>
                <m:ctrlPr>
                  <w:rPr>
                    <w:rFonts w:ascii="Cambria Math" w:hAnsi="Cambria Math"/>
                    <w:kern w:val="0"/>
                  </w:rPr>
                </m:ctrlPr>
              </m:dPr>
              <m:e>
                <m:f>
                  <m:fPr>
                    <m:type m:val="lin"/>
                    <m:ctrlPr>
                      <w:rPr>
                        <w:rFonts w:ascii="Cambria Math" w:hAnsi="Cambria Math"/>
                        <w:kern w:val="0"/>
                      </w:rPr>
                    </m:ctrlPr>
                  </m:fPr>
                  <m:num>
                    <m:r>
                      <w:rPr>
                        <w:rFonts w:ascii="Cambria Math" w:hAnsi="Cambria Math"/>
                        <w:kern w:val="0"/>
                      </w:rPr>
                      <m:t>a</m:t>
                    </m:r>
                  </m:num>
                  <m:den>
                    <m:r>
                      <w:rPr>
                        <w:rFonts w:ascii="Cambria Math" w:hAnsi="Cambria Math"/>
                        <w:kern w:val="0"/>
                      </w:rPr>
                      <m:t>l</m:t>
                    </m:r>
                  </m:den>
                </m:f>
              </m:e>
            </m:d>
          </m:e>
          <m:sup>
            <m:r>
              <w:rPr>
                <w:rFonts w:ascii="Cambria Math" w:hAnsi="Cambria Math"/>
                <w:kern w:val="0"/>
              </w:rPr>
              <m:t>2</m:t>
            </m:r>
          </m:sup>
        </m:sSup>
      </m:oMath>
      <w:r w:rsidRPr="00BC31E0">
        <w:rPr>
          <w:szCs w:val="20"/>
        </w:rPr>
        <w:t xml:space="preserve"> </w:t>
      </w:r>
    </w:p>
    <w:p w14:paraId="13619649" w14:textId="77777777" w:rsidR="00F52111" w:rsidRPr="00BC31E0" w:rsidRDefault="00F52111" w:rsidP="00F52111">
      <w:pPr>
        <w:tabs>
          <w:tab w:val="left" w:pos="2552"/>
        </w:tabs>
        <w:spacing w:before="120"/>
        <w:rPr>
          <w:szCs w:val="20"/>
        </w:rPr>
      </w:pPr>
      <w:r w:rsidRPr="00BC31E0">
        <w:rPr>
          <w:rFonts w:hint="eastAsia"/>
          <w:kern w:val="0"/>
        </w:rPr>
        <w:tab/>
      </w:r>
      <m:oMath>
        <m:sSub>
          <m:sSubPr>
            <m:ctrlPr>
              <w:rPr>
                <w:rFonts w:ascii="Cambria Math" w:hAnsi="Cambria Math"/>
                <w:kern w:val="0"/>
              </w:rPr>
            </m:ctrlPr>
          </m:sSubPr>
          <m:e>
            <m:r>
              <w:rPr>
                <w:rFonts w:ascii="Cambria Math" w:hAnsi="Cambria Math"/>
                <w:kern w:val="0"/>
              </w:rPr>
              <m:t>B</m:t>
            </m:r>
          </m:e>
          <m:sub>
            <m:r>
              <w:rPr>
                <w:rFonts w:ascii="Cambria Math" w:hAnsi="Cambria Math"/>
                <w:kern w:val="0"/>
              </w:rPr>
              <m:t>1</m:t>
            </m:r>
          </m:sub>
        </m:sSub>
        <m:r>
          <w:rPr>
            <w:rFonts w:ascii="Cambria Math" w:hAnsi="Cambria Math"/>
            <w:kern w:val="0"/>
          </w:rPr>
          <m:t xml:space="preserve">=4.32489-29.8744 </m:t>
        </m:r>
        <m:d>
          <m:dPr>
            <m:ctrlPr>
              <w:rPr>
                <w:rFonts w:ascii="Cambria Math" w:hAnsi="Cambria Math"/>
                <w:kern w:val="0"/>
              </w:rPr>
            </m:ctrlPr>
          </m:dPr>
          <m:e>
            <m:f>
              <m:fPr>
                <m:type m:val="lin"/>
                <m:ctrlPr>
                  <w:rPr>
                    <w:rFonts w:ascii="Cambria Math" w:hAnsi="Cambria Math"/>
                    <w:kern w:val="0"/>
                  </w:rPr>
                </m:ctrlPr>
              </m:fPr>
              <m:num>
                <m:r>
                  <w:rPr>
                    <w:rFonts w:ascii="Cambria Math" w:hAnsi="Cambria Math"/>
                    <w:kern w:val="0"/>
                  </w:rPr>
                  <m:t>a</m:t>
                </m:r>
              </m:num>
              <m:den>
                <m:r>
                  <w:rPr>
                    <w:rFonts w:ascii="Cambria Math" w:hAnsi="Cambria Math"/>
                    <w:kern w:val="0"/>
                  </w:rPr>
                  <m:t>l</m:t>
                </m:r>
              </m:den>
            </m:f>
          </m:e>
        </m:d>
        <m:r>
          <w:rPr>
            <w:rFonts w:ascii="Cambria Math" w:hAnsi="Cambria Math"/>
            <w:kern w:val="0"/>
          </w:rPr>
          <m:t>+77.7556</m:t>
        </m:r>
        <m:sSup>
          <m:sSupPr>
            <m:ctrlPr>
              <w:rPr>
                <w:rFonts w:ascii="Cambria Math" w:hAnsi="Cambria Math"/>
                <w:kern w:val="0"/>
              </w:rPr>
            </m:ctrlPr>
          </m:sSupPr>
          <m:e>
            <m:r>
              <m:rPr>
                <m:sty m:val="p"/>
              </m:rPr>
              <w:rPr>
                <w:rFonts w:ascii="Cambria Math" w:hAnsi="Cambria Math"/>
                <w:kern w:val="0"/>
              </w:rPr>
              <m:t xml:space="preserve"> </m:t>
            </m:r>
            <m:d>
              <m:dPr>
                <m:ctrlPr>
                  <w:rPr>
                    <w:rFonts w:ascii="Cambria Math" w:hAnsi="Cambria Math"/>
                    <w:kern w:val="0"/>
                  </w:rPr>
                </m:ctrlPr>
              </m:dPr>
              <m:e>
                <m:f>
                  <m:fPr>
                    <m:type m:val="lin"/>
                    <m:ctrlPr>
                      <w:rPr>
                        <w:rFonts w:ascii="Cambria Math" w:hAnsi="Cambria Math"/>
                        <w:kern w:val="0"/>
                      </w:rPr>
                    </m:ctrlPr>
                  </m:fPr>
                  <m:num>
                    <m:r>
                      <w:rPr>
                        <w:rFonts w:ascii="Cambria Math" w:hAnsi="Cambria Math"/>
                        <w:kern w:val="0"/>
                      </w:rPr>
                      <m:t>a</m:t>
                    </m:r>
                  </m:num>
                  <m:den>
                    <m:r>
                      <w:rPr>
                        <w:rFonts w:ascii="Cambria Math" w:hAnsi="Cambria Math"/>
                        <w:kern w:val="0"/>
                      </w:rPr>
                      <m:t>l</m:t>
                    </m:r>
                  </m:den>
                </m:f>
              </m:e>
            </m:d>
          </m:e>
          <m:sup>
            <m:r>
              <w:rPr>
                <w:rFonts w:ascii="Cambria Math" w:hAnsi="Cambria Math"/>
                <w:kern w:val="0"/>
              </w:rPr>
              <m:t>2</m:t>
            </m:r>
          </m:sup>
        </m:sSup>
        <m:r>
          <w:rPr>
            <w:rFonts w:ascii="Cambria Math" w:hAnsi="Cambria Math"/>
            <w:kern w:val="0"/>
          </w:rPr>
          <m:t>-68.18544</m:t>
        </m:r>
        <m:sSup>
          <m:sSupPr>
            <m:ctrlPr>
              <w:rPr>
                <w:rFonts w:ascii="Cambria Math" w:hAnsi="Cambria Math"/>
                <w:kern w:val="0"/>
              </w:rPr>
            </m:ctrlPr>
          </m:sSupPr>
          <m:e>
            <m:r>
              <m:rPr>
                <m:sty m:val="p"/>
              </m:rPr>
              <w:rPr>
                <w:rFonts w:ascii="Cambria Math" w:hAnsi="Cambria Math"/>
                <w:kern w:val="0"/>
              </w:rPr>
              <m:t xml:space="preserve"> </m:t>
            </m:r>
            <m:d>
              <m:dPr>
                <m:ctrlPr>
                  <w:rPr>
                    <w:rFonts w:ascii="Cambria Math" w:hAnsi="Cambria Math"/>
                    <w:kern w:val="0"/>
                  </w:rPr>
                </m:ctrlPr>
              </m:dPr>
              <m:e>
                <m:f>
                  <m:fPr>
                    <m:type m:val="lin"/>
                    <m:ctrlPr>
                      <w:rPr>
                        <w:rFonts w:ascii="Cambria Math" w:hAnsi="Cambria Math"/>
                        <w:kern w:val="0"/>
                      </w:rPr>
                    </m:ctrlPr>
                  </m:fPr>
                  <m:num>
                    <m:r>
                      <w:rPr>
                        <w:rFonts w:ascii="Cambria Math" w:hAnsi="Cambria Math"/>
                        <w:kern w:val="0"/>
                      </w:rPr>
                      <m:t>a</m:t>
                    </m:r>
                  </m:num>
                  <m:den>
                    <m:r>
                      <w:rPr>
                        <w:rFonts w:ascii="Cambria Math" w:hAnsi="Cambria Math"/>
                        <w:kern w:val="0"/>
                      </w:rPr>
                      <m:t>l</m:t>
                    </m:r>
                  </m:den>
                </m:f>
              </m:e>
            </m:d>
          </m:e>
          <m:sup>
            <m:r>
              <w:rPr>
                <w:rFonts w:ascii="Cambria Math" w:hAnsi="Cambria Math"/>
                <w:kern w:val="0"/>
              </w:rPr>
              <m:t>3</m:t>
            </m:r>
          </m:sup>
        </m:sSup>
      </m:oMath>
      <w:r w:rsidRPr="00BC31E0">
        <w:rPr>
          <w:szCs w:val="20"/>
        </w:rPr>
        <w:t xml:space="preserve"> </w:t>
      </w:r>
    </w:p>
    <w:p w14:paraId="21CF3A0D" w14:textId="77777777" w:rsidR="00F52111" w:rsidRPr="00BC31E0" w:rsidRDefault="00F52111" w:rsidP="00F52111">
      <w:pPr>
        <w:tabs>
          <w:tab w:val="left" w:pos="2552"/>
        </w:tabs>
        <w:spacing w:before="120"/>
        <w:rPr>
          <w:szCs w:val="20"/>
        </w:rPr>
      </w:pPr>
      <w:r w:rsidRPr="00BC31E0">
        <w:rPr>
          <w:rFonts w:hint="eastAsia"/>
          <w:kern w:val="0"/>
        </w:rPr>
        <w:tab/>
      </w:r>
      <m:oMath>
        <m:sSub>
          <m:sSubPr>
            <m:ctrlPr>
              <w:rPr>
                <w:rFonts w:ascii="Cambria Math" w:hAnsi="Cambria Math"/>
                <w:kern w:val="0"/>
              </w:rPr>
            </m:ctrlPr>
          </m:sSubPr>
          <m:e>
            <m:r>
              <w:rPr>
                <w:rFonts w:ascii="Cambria Math" w:hAnsi="Cambria Math"/>
                <w:kern w:val="0"/>
              </w:rPr>
              <m:t>B</m:t>
            </m:r>
          </m:e>
          <m:sub>
            <m:r>
              <w:rPr>
                <w:rFonts w:ascii="Cambria Math" w:hAnsi="Cambria Math"/>
                <w:kern w:val="0"/>
              </w:rPr>
              <m:t>2</m:t>
            </m:r>
          </m:sub>
        </m:sSub>
        <m:r>
          <w:rPr>
            <w:rFonts w:ascii="Cambria Math" w:hAnsi="Cambria Math"/>
            <w:kern w:val="0"/>
          </w:rPr>
          <m:t xml:space="preserve">=-3.03329+19.92166 </m:t>
        </m:r>
        <m:d>
          <m:dPr>
            <m:ctrlPr>
              <w:rPr>
                <w:rFonts w:ascii="Cambria Math" w:hAnsi="Cambria Math"/>
                <w:kern w:val="0"/>
              </w:rPr>
            </m:ctrlPr>
          </m:dPr>
          <m:e>
            <m:f>
              <m:fPr>
                <m:type m:val="lin"/>
                <m:ctrlPr>
                  <w:rPr>
                    <w:rFonts w:ascii="Cambria Math" w:hAnsi="Cambria Math"/>
                    <w:kern w:val="0"/>
                  </w:rPr>
                </m:ctrlPr>
              </m:fPr>
              <m:num>
                <m:r>
                  <w:rPr>
                    <w:rFonts w:ascii="Cambria Math" w:hAnsi="Cambria Math"/>
                    <w:kern w:val="0"/>
                  </w:rPr>
                  <m:t>a</m:t>
                </m:r>
              </m:num>
              <m:den>
                <m:r>
                  <w:rPr>
                    <w:rFonts w:ascii="Cambria Math" w:hAnsi="Cambria Math"/>
                    <w:kern w:val="0"/>
                  </w:rPr>
                  <m:t>l</m:t>
                </m:r>
              </m:den>
            </m:f>
          </m:e>
        </m:d>
        <m:r>
          <w:rPr>
            <w:rFonts w:ascii="Cambria Math" w:hAnsi="Cambria Math"/>
            <w:kern w:val="0"/>
          </w:rPr>
          <m:t>-50.328</m:t>
        </m:r>
        <m:sSup>
          <m:sSupPr>
            <m:ctrlPr>
              <w:rPr>
                <w:rFonts w:ascii="Cambria Math" w:hAnsi="Cambria Math"/>
                <w:kern w:val="0"/>
              </w:rPr>
            </m:ctrlPr>
          </m:sSupPr>
          <m:e>
            <m:r>
              <m:rPr>
                <m:sty m:val="p"/>
              </m:rPr>
              <w:rPr>
                <w:rFonts w:ascii="Cambria Math" w:hAnsi="Cambria Math"/>
                <w:kern w:val="0"/>
              </w:rPr>
              <m:t xml:space="preserve"> </m:t>
            </m:r>
            <m:d>
              <m:dPr>
                <m:ctrlPr>
                  <w:rPr>
                    <w:rFonts w:ascii="Cambria Math" w:hAnsi="Cambria Math"/>
                    <w:kern w:val="0"/>
                  </w:rPr>
                </m:ctrlPr>
              </m:dPr>
              <m:e>
                <m:f>
                  <m:fPr>
                    <m:type m:val="lin"/>
                    <m:ctrlPr>
                      <w:rPr>
                        <w:rFonts w:ascii="Cambria Math" w:hAnsi="Cambria Math"/>
                        <w:kern w:val="0"/>
                      </w:rPr>
                    </m:ctrlPr>
                  </m:fPr>
                  <m:num>
                    <m:r>
                      <w:rPr>
                        <w:rFonts w:ascii="Cambria Math" w:hAnsi="Cambria Math"/>
                        <w:kern w:val="0"/>
                      </w:rPr>
                      <m:t>a</m:t>
                    </m:r>
                  </m:num>
                  <m:den>
                    <m:r>
                      <w:rPr>
                        <w:rFonts w:ascii="Cambria Math" w:hAnsi="Cambria Math"/>
                        <w:kern w:val="0"/>
                      </w:rPr>
                      <m:t>l</m:t>
                    </m:r>
                  </m:den>
                </m:f>
              </m:e>
            </m:d>
          </m:e>
          <m:sup>
            <m:r>
              <w:rPr>
                <w:rFonts w:ascii="Cambria Math" w:hAnsi="Cambria Math"/>
                <w:kern w:val="0"/>
              </w:rPr>
              <m:t>2</m:t>
            </m:r>
          </m:sup>
        </m:sSup>
        <m:r>
          <w:rPr>
            <w:rFonts w:ascii="Cambria Math" w:hAnsi="Cambria Math"/>
            <w:kern w:val="0"/>
          </w:rPr>
          <m:t>+42.7696</m:t>
        </m:r>
        <m:sSup>
          <m:sSupPr>
            <m:ctrlPr>
              <w:rPr>
                <w:rFonts w:ascii="Cambria Math" w:hAnsi="Cambria Math"/>
                <w:kern w:val="0"/>
              </w:rPr>
            </m:ctrlPr>
          </m:sSupPr>
          <m:e>
            <m:r>
              <m:rPr>
                <m:sty m:val="p"/>
              </m:rPr>
              <w:rPr>
                <w:rFonts w:ascii="Cambria Math" w:hAnsi="Cambria Math"/>
                <w:kern w:val="0"/>
              </w:rPr>
              <m:t xml:space="preserve"> </m:t>
            </m:r>
            <m:d>
              <m:dPr>
                <m:ctrlPr>
                  <w:rPr>
                    <w:rFonts w:ascii="Cambria Math" w:hAnsi="Cambria Math"/>
                    <w:kern w:val="0"/>
                  </w:rPr>
                </m:ctrlPr>
              </m:dPr>
              <m:e>
                <m:f>
                  <m:fPr>
                    <m:type m:val="lin"/>
                    <m:ctrlPr>
                      <w:rPr>
                        <w:rFonts w:ascii="Cambria Math" w:hAnsi="Cambria Math"/>
                        <w:kern w:val="0"/>
                      </w:rPr>
                    </m:ctrlPr>
                  </m:fPr>
                  <m:num>
                    <m:r>
                      <w:rPr>
                        <w:rFonts w:ascii="Cambria Math" w:hAnsi="Cambria Math"/>
                        <w:kern w:val="0"/>
                      </w:rPr>
                      <m:t>a</m:t>
                    </m:r>
                  </m:num>
                  <m:den>
                    <m:r>
                      <w:rPr>
                        <w:rFonts w:ascii="Cambria Math" w:hAnsi="Cambria Math"/>
                        <w:kern w:val="0"/>
                      </w:rPr>
                      <m:t>l</m:t>
                    </m:r>
                  </m:den>
                </m:f>
              </m:e>
            </m:d>
          </m:e>
          <m:sup>
            <m:r>
              <w:rPr>
                <w:rFonts w:ascii="Cambria Math" w:hAnsi="Cambria Math"/>
                <w:kern w:val="0"/>
              </w:rPr>
              <m:t>3</m:t>
            </m:r>
          </m:sup>
        </m:sSup>
      </m:oMath>
      <w:r w:rsidRPr="00BC31E0">
        <w:rPr>
          <w:szCs w:val="20"/>
        </w:rPr>
        <w:t xml:space="preserve"> </w:t>
      </w:r>
    </w:p>
    <w:p w14:paraId="25F2BBCC" w14:textId="77777777" w:rsidR="00F52111" w:rsidRPr="00BC31E0" w:rsidRDefault="00F52111" w:rsidP="00F52111">
      <w:pPr>
        <w:tabs>
          <w:tab w:val="left" w:pos="2552"/>
        </w:tabs>
        <w:spacing w:before="120"/>
        <w:rPr>
          <w:szCs w:val="20"/>
        </w:rPr>
      </w:pPr>
      <w:r w:rsidRPr="00BC31E0">
        <w:rPr>
          <w:rFonts w:hint="eastAsia"/>
          <w:kern w:val="0"/>
        </w:rPr>
        <w:tab/>
      </w:r>
      <m:oMath>
        <m:sSub>
          <m:sSubPr>
            <m:ctrlPr>
              <w:rPr>
                <w:rFonts w:ascii="Cambria Math" w:hAnsi="Cambria Math"/>
                <w:kern w:val="0"/>
              </w:rPr>
            </m:ctrlPr>
          </m:sSubPr>
          <m:e>
            <m:r>
              <w:rPr>
                <w:rFonts w:ascii="Cambria Math" w:hAnsi="Cambria Math"/>
                <w:kern w:val="0"/>
              </w:rPr>
              <m:t>C</m:t>
            </m:r>
          </m:e>
          <m:sub>
            <m:r>
              <w:rPr>
                <w:rFonts w:ascii="Cambria Math" w:hAnsi="Cambria Math"/>
                <w:kern w:val="0"/>
              </w:rPr>
              <m:t>0</m:t>
            </m:r>
          </m:sub>
        </m:sSub>
        <m:r>
          <w:rPr>
            <w:rFonts w:ascii="Cambria Math" w:hAnsi="Cambria Math"/>
            <w:kern w:val="0"/>
          </w:rPr>
          <m:t xml:space="preserve">=0.456128-0.228412 </m:t>
        </m:r>
        <m:d>
          <m:dPr>
            <m:ctrlPr>
              <w:rPr>
                <w:rFonts w:ascii="Cambria Math" w:hAnsi="Cambria Math"/>
                <w:kern w:val="0"/>
              </w:rPr>
            </m:ctrlPr>
          </m:dPr>
          <m:e>
            <m:f>
              <m:fPr>
                <m:type m:val="lin"/>
                <m:ctrlPr>
                  <w:rPr>
                    <w:rFonts w:ascii="Cambria Math" w:hAnsi="Cambria Math"/>
                    <w:kern w:val="0"/>
                  </w:rPr>
                </m:ctrlPr>
              </m:fPr>
              <m:num>
                <m:r>
                  <w:rPr>
                    <w:rFonts w:ascii="Cambria Math" w:hAnsi="Cambria Math"/>
                    <w:kern w:val="0"/>
                  </w:rPr>
                  <m:t>a</m:t>
                </m:r>
              </m:num>
              <m:den>
                <m:r>
                  <w:rPr>
                    <w:rFonts w:ascii="Cambria Math" w:hAnsi="Cambria Math"/>
                    <w:kern w:val="0"/>
                  </w:rPr>
                  <m:t>l</m:t>
                </m:r>
              </m:den>
            </m:f>
          </m:e>
        </m:d>
        <m:r>
          <w:rPr>
            <w:rFonts w:ascii="Cambria Math" w:hAnsi="Cambria Math"/>
            <w:kern w:val="0"/>
          </w:rPr>
          <m:t xml:space="preserve">-0.186092 </m:t>
        </m:r>
        <m:sSup>
          <m:sSupPr>
            <m:ctrlPr>
              <w:rPr>
                <w:rFonts w:ascii="Cambria Math" w:hAnsi="Cambria Math"/>
                <w:kern w:val="0"/>
              </w:rPr>
            </m:ctrlPr>
          </m:sSupPr>
          <m:e>
            <m:d>
              <m:dPr>
                <m:ctrlPr>
                  <w:rPr>
                    <w:rFonts w:ascii="Cambria Math" w:hAnsi="Cambria Math"/>
                    <w:kern w:val="0"/>
                  </w:rPr>
                </m:ctrlPr>
              </m:dPr>
              <m:e>
                <m:f>
                  <m:fPr>
                    <m:type m:val="lin"/>
                    <m:ctrlPr>
                      <w:rPr>
                        <w:rFonts w:ascii="Cambria Math" w:hAnsi="Cambria Math"/>
                        <w:kern w:val="0"/>
                      </w:rPr>
                    </m:ctrlPr>
                  </m:fPr>
                  <m:num>
                    <m:r>
                      <w:rPr>
                        <w:rFonts w:ascii="Cambria Math" w:hAnsi="Cambria Math"/>
                        <w:kern w:val="0"/>
                      </w:rPr>
                      <m:t>a</m:t>
                    </m:r>
                  </m:num>
                  <m:den>
                    <m:r>
                      <w:rPr>
                        <w:rFonts w:ascii="Cambria Math" w:hAnsi="Cambria Math"/>
                        <w:kern w:val="0"/>
                      </w:rPr>
                      <m:t>l</m:t>
                    </m:r>
                  </m:den>
                </m:f>
              </m:e>
            </m:d>
          </m:e>
          <m:sup>
            <m:r>
              <w:rPr>
                <w:rFonts w:ascii="Cambria Math" w:hAnsi="Cambria Math"/>
                <w:kern w:val="0"/>
              </w:rPr>
              <m:t>2</m:t>
            </m:r>
          </m:sup>
        </m:sSup>
      </m:oMath>
      <w:r w:rsidRPr="00BC31E0">
        <w:rPr>
          <w:szCs w:val="20"/>
        </w:rPr>
        <w:t xml:space="preserve"> </w:t>
      </w:r>
    </w:p>
    <w:p w14:paraId="6C1B47FD" w14:textId="77777777" w:rsidR="00F52111" w:rsidRPr="00BC31E0" w:rsidRDefault="00F52111" w:rsidP="00F52111">
      <w:pPr>
        <w:tabs>
          <w:tab w:val="left" w:pos="2552"/>
        </w:tabs>
        <w:spacing w:before="120"/>
        <w:rPr>
          <w:szCs w:val="20"/>
        </w:rPr>
      </w:pPr>
      <w:r w:rsidRPr="00BC31E0">
        <w:rPr>
          <w:rFonts w:hint="eastAsia"/>
          <w:kern w:val="0"/>
        </w:rPr>
        <w:tab/>
      </w:r>
      <m:oMath>
        <m:sSub>
          <m:sSubPr>
            <m:ctrlPr>
              <w:rPr>
                <w:rFonts w:ascii="Cambria Math" w:hAnsi="Cambria Math"/>
                <w:kern w:val="0"/>
              </w:rPr>
            </m:ctrlPr>
          </m:sSubPr>
          <m:e>
            <m:r>
              <w:rPr>
                <w:rFonts w:ascii="Cambria Math" w:hAnsi="Cambria Math"/>
                <w:kern w:val="0"/>
              </w:rPr>
              <m:t>C</m:t>
            </m:r>
          </m:e>
          <m:sub>
            <m:r>
              <w:rPr>
                <w:rFonts w:ascii="Cambria Math" w:hAnsi="Cambria Math"/>
                <w:kern w:val="0"/>
              </w:rPr>
              <m:t>1</m:t>
            </m:r>
          </m:sub>
        </m:sSub>
        <m:r>
          <w:rPr>
            <w:rFonts w:ascii="Cambria Math" w:hAnsi="Cambria Math"/>
            <w:kern w:val="0"/>
          </w:rPr>
          <m:t xml:space="preserve">=3.022-21.7358 </m:t>
        </m:r>
        <m:d>
          <m:dPr>
            <m:ctrlPr>
              <w:rPr>
                <w:rFonts w:ascii="Cambria Math" w:hAnsi="Cambria Math"/>
                <w:kern w:val="0"/>
              </w:rPr>
            </m:ctrlPr>
          </m:dPr>
          <m:e>
            <m:f>
              <m:fPr>
                <m:type m:val="lin"/>
                <m:ctrlPr>
                  <w:rPr>
                    <w:rFonts w:ascii="Cambria Math" w:hAnsi="Cambria Math"/>
                    <w:kern w:val="0"/>
                  </w:rPr>
                </m:ctrlPr>
              </m:fPr>
              <m:num>
                <m:r>
                  <w:rPr>
                    <w:rFonts w:ascii="Cambria Math" w:hAnsi="Cambria Math"/>
                    <w:kern w:val="0"/>
                  </w:rPr>
                  <m:t>a</m:t>
                </m:r>
              </m:num>
              <m:den>
                <m:r>
                  <w:rPr>
                    <w:rFonts w:ascii="Cambria Math" w:hAnsi="Cambria Math"/>
                    <w:kern w:val="0"/>
                  </w:rPr>
                  <m:t>l</m:t>
                </m:r>
              </m:den>
            </m:f>
          </m:e>
        </m:d>
        <m:r>
          <w:rPr>
            <w:rFonts w:ascii="Cambria Math" w:hAnsi="Cambria Math"/>
            <w:kern w:val="0"/>
          </w:rPr>
          <m:t>+59.76</m:t>
        </m:r>
        <m:sSup>
          <m:sSupPr>
            <m:ctrlPr>
              <w:rPr>
                <w:rFonts w:ascii="Cambria Math" w:hAnsi="Cambria Math"/>
                <w:kern w:val="0"/>
              </w:rPr>
            </m:ctrlPr>
          </m:sSupPr>
          <m:e>
            <m:r>
              <m:rPr>
                <m:sty m:val="p"/>
              </m:rPr>
              <w:rPr>
                <w:rFonts w:ascii="Cambria Math" w:hAnsi="Cambria Math"/>
                <w:kern w:val="0"/>
              </w:rPr>
              <m:t xml:space="preserve"> </m:t>
            </m:r>
            <m:d>
              <m:dPr>
                <m:ctrlPr>
                  <w:rPr>
                    <w:rFonts w:ascii="Cambria Math" w:hAnsi="Cambria Math"/>
                    <w:kern w:val="0"/>
                  </w:rPr>
                </m:ctrlPr>
              </m:dPr>
              <m:e>
                <m:f>
                  <m:fPr>
                    <m:type m:val="lin"/>
                    <m:ctrlPr>
                      <w:rPr>
                        <w:rFonts w:ascii="Cambria Math" w:hAnsi="Cambria Math"/>
                        <w:kern w:val="0"/>
                      </w:rPr>
                    </m:ctrlPr>
                  </m:fPr>
                  <m:num>
                    <m:r>
                      <w:rPr>
                        <w:rFonts w:ascii="Cambria Math" w:hAnsi="Cambria Math"/>
                        <w:kern w:val="0"/>
                      </w:rPr>
                      <m:t>a</m:t>
                    </m:r>
                  </m:num>
                  <m:den>
                    <m:r>
                      <w:rPr>
                        <w:rFonts w:ascii="Cambria Math" w:hAnsi="Cambria Math"/>
                        <w:kern w:val="0"/>
                      </w:rPr>
                      <m:t>l</m:t>
                    </m:r>
                  </m:den>
                </m:f>
              </m:e>
            </m:d>
          </m:e>
          <m:sup>
            <m:r>
              <w:rPr>
                <w:rFonts w:ascii="Cambria Math" w:hAnsi="Cambria Math"/>
                <w:kern w:val="0"/>
              </w:rPr>
              <m:t>2</m:t>
            </m:r>
          </m:sup>
        </m:sSup>
        <m:r>
          <w:rPr>
            <w:rFonts w:ascii="Cambria Math" w:hAnsi="Cambria Math"/>
            <w:kern w:val="0"/>
          </w:rPr>
          <m:t>-54.8296</m:t>
        </m:r>
        <m:sSup>
          <m:sSupPr>
            <m:ctrlPr>
              <w:rPr>
                <w:rFonts w:ascii="Cambria Math" w:hAnsi="Cambria Math"/>
                <w:kern w:val="0"/>
              </w:rPr>
            </m:ctrlPr>
          </m:sSupPr>
          <m:e>
            <m:r>
              <m:rPr>
                <m:sty m:val="p"/>
              </m:rPr>
              <w:rPr>
                <w:rFonts w:ascii="Cambria Math" w:hAnsi="Cambria Math"/>
                <w:kern w:val="0"/>
              </w:rPr>
              <m:t xml:space="preserve"> </m:t>
            </m:r>
            <m:d>
              <m:dPr>
                <m:ctrlPr>
                  <w:rPr>
                    <w:rFonts w:ascii="Cambria Math" w:hAnsi="Cambria Math"/>
                    <w:kern w:val="0"/>
                  </w:rPr>
                </m:ctrlPr>
              </m:dPr>
              <m:e>
                <m:f>
                  <m:fPr>
                    <m:type m:val="lin"/>
                    <m:ctrlPr>
                      <w:rPr>
                        <w:rFonts w:ascii="Cambria Math" w:hAnsi="Cambria Math"/>
                        <w:kern w:val="0"/>
                      </w:rPr>
                    </m:ctrlPr>
                  </m:fPr>
                  <m:num>
                    <m:r>
                      <w:rPr>
                        <w:rFonts w:ascii="Cambria Math" w:hAnsi="Cambria Math"/>
                        <w:kern w:val="0"/>
                      </w:rPr>
                      <m:t>a</m:t>
                    </m:r>
                  </m:num>
                  <m:den>
                    <m:r>
                      <w:rPr>
                        <w:rFonts w:ascii="Cambria Math" w:hAnsi="Cambria Math"/>
                        <w:kern w:val="0"/>
                      </w:rPr>
                      <m:t>l</m:t>
                    </m:r>
                  </m:den>
                </m:f>
              </m:e>
            </m:d>
          </m:e>
          <m:sup>
            <m:r>
              <w:rPr>
                <w:rFonts w:ascii="Cambria Math" w:hAnsi="Cambria Math"/>
                <w:kern w:val="0"/>
              </w:rPr>
              <m:t>3</m:t>
            </m:r>
          </m:sup>
        </m:sSup>
      </m:oMath>
      <w:r w:rsidRPr="00BC31E0">
        <w:rPr>
          <w:szCs w:val="20"/>
        </w:rPr>
        <w:t xml:space="preserve"> </w:t>
      </w:r>
    </w:p>
    <w:p w14:paraId="6DA5AEAB" w14:textId="77777777" w:rsidR="00F52111" w:rsidRPr="00BC31E0" w:rsidRDefault="00F52111" w:rsidP="00F52111">
      <w:pPr>
        <w:tabs>
          <w:tab w:val="left" w:pos="2552"/>
        </w:tabs>
        <w:spacing w:before="120"/>
        <w:rPr>
          <w:szCs w:val="20"/>
        </w:rPr>
      </w:pPr>
      <w:r w:rsidRPr="00BC31E0">
        <w:rPr>
          <w:rFonts w:hint="eastAsia"/>
          <w:kern w:val="0"/>
        </w:rPr>
        <w:tab/>
      </w:r>
      <m:oMath>
        <m:sSub>
          <m:sSubPr>
            <m:ctrlPr>
              <w:rPr>
                <w:rFonts w:ascii="Cambria Math" w:hAnsi="Cambria Math"/>
                <w:kern w:val="0"/>
              </w:rPr>
            </m:ctrlPr>
          </m:sSubPr>
          <m:e>
            <m:r>
              <w:rPr>
                <w:rFonts w:ascii="Cambria Math" w:hAnsi="Cambria Math"/>
                <w:kern w:val="0"/>
              </w:rPr>
              <m:t>C</m:t>
            </m:r>
          </m:e>
          <m:sub>
            <m:r>
              <w:rPr>
                <w:rFonts w:ascii="Cambria Math" w:hAnsi="Cambria Math"/>
                <w:kern w:val="0"/>
              </w:rPr>
              <m:t>2</m:t>
            </m:r>
          </m:sub>
        </m:sSub>
        <m:r>
          <w:rPr>
            <w:rFonts w:ascii="Cambria Math" w:hAnsi="Cambria Math"/>
            <w:kern w:val="0"/>
          </w:rPr>
          <m:t xml:space="preserve">=-2.28655+15.77542 </m:t>
        </m:r>
        <m:d>
          <m:dPr>
            <m:ctrlPr>
              <w:rPr>
                <w:rFonts w:ascii="Cambria Math" w:hAnsi="Cambria Math"/>
                <w:kern w:val="0"/>
              </w:rPr>
            </m:ctrlPr>
          </m:dPr>
          <m:e>
            <m:f>
              <m:fPr>
                <m:type m:val="lin"/>
                <m:ctrlPr>
                  <w:rPr>
                    <w:rFonts w:ascii="Cambria Math" w:hAnsi="Cambria Math"/>
                    <w:kern w:val="0"/>
                  </w:rPr>
                </m:ctrlPr>
              </m:fPr>
              <m:num>
                <m:r>
                  <w:rPr>
                    <w:rFonts w:ascii="Cambria Math" w:hAnsi="Cambria Math"/>
                    <w:kern w:val="0"/>
                  </w:rPr>
                  <m:t>a</m:t>
                </m:r>
              </m:num>
              <m:den>
                <m:r>
                  <w:rPr>
                    <w:rFonts w:ascii="Cambria Math" w:hAnsi="Cambria Math"/>
                    <w:kern w:val="0"/>
                  </w:rPr>
                  <m:t>l</m:t>
                </m:r>
              </m:den>
            </m:f>
          </m:e>
        </m:d>
        <m:r>
          <w:rPr>
            <w:rFonts w:ascii="Cambria Math" w:hAnsi="Cambria Math"/>
            <w:kern w:val="0"/>
          </w:rPr>
          <m:t xml:space="preserve">-44.27 </m:t>
        </m:r>
        <m:sSup>
          <m:sSupPr>
            <m:ctrlPr>
              <w:rPr>
                <w:rFonts w:ascii="Cambria Math" w:hAnsi="Cambria Math"/>
                <w:kern w:val="0"/>
              </w:rPr>
            </m:ctrlPr>
          </m:sSupPr>
          <m:e>
            <m:d>
              <m:dPr>
                <m:ctrlPr>
                  <w:rPr>
                    <w:rFonts w:ascii="Cambria Math" w:hAnsi="Cambria Math"/>
                    <w:kern w:val="0"/>
                  </w:rPr>
                </m:ctrlPr>
              </m:dPr>
              <m:e>
                <m:f>
                  <m:fPr>
                    <m:type m:val="lin"/>
                    <m:ctrlPr>
                      <w:rPr>
                        <w:rFonts w:ascii="Cambria Math" w:hAnsi="Cambria Math"/>
                        <w:kern w:val="0"/>
                      </w:rPr>
                    </m:ctrlPr>
                  </m:fPr>
                  <m:num>
                    <m:r>
                      <w:rPr>
                        <w:rFonts w:ascii="Cambria Math" w:hAnsi="Cambria Math"/>
                        <w:kern w:val="0"/>
                      </w:rPr>
                      <m:t>a</m:t>
                    </m:r>
                  </m:num>
                  <m:den>
                    <m:r>
                      <w:rPr>
                        <w:rFonts w:ascii="Cambria Math" w:hAnsi="Cambria Math"/>
                        <w:kern w:val="0"/>
                      </w:rPr>
                      <m:t>l</m:t>
                    </m:r>
                  </m:den>
                </m:f>
              </m:e>
            </m:d>
          </m:e>
          <m:sup>
            <m:r>
              <w:rPr>
                <w:rFonts w:ascii="Cambria Math" w:hAnsi="Cambria Math"/>
                <w:kern w:val="0"/>
              </w:rPr>
              <m:t>2</m:t>
            </m:r>
          </m:sup>
        </m:sSup>
        <m:r>
          <w:rPr>
            <w:rFonts w:ascii="Cambria Math" w:hAnsi="Cambria Math"/>
            <w:kern w:val="0"/>
          </w:rPr>
          <m:t xml:space="preserve">+41.30832 </m:t>
        </m:r>
        <m:sSup>
          <m:sSupPr>
            <m:ctrlPr>
              <w:rPr>
                <w:rFonts w:ascii="Cambria Math" w:hAnsi="Cambria Math"/>
                <w:kern w:val="0"/>
              </w:rPr>
            </m:ctrlPr>
          </m:sSupPr>
          <m:e>
            <m:d>
              <m:dPr>
                <m:ctrlPr>
                  <w:rPr>
                    <w:rFonts w:ascii="Cambria Math" w:hAnsi="Cambria Math"/>
                    <w:kern w:val="0"/>
                  </w:rPr>
                </m:ctrlPr>
              </m:dPr>
              <m:e>
                <m:f>
                  <m:fPr>
                    <m:type m:val="lin"/>
                    <m:ctrlPr>
                      <w:rPr>
                        <w:rFonts w:ascii="Cambria Math" w:hAnsi="Cambria Math"/>
                        <w:kern w:val="0"/>
                      </w:rPr>
                    </m:ctrlPr>
                  </m:fPr>
                  <m:num>
                    <m:r>
                      <w:rPr>
                        <w:rFonts w:ascii="Cambria Math" w:hAnsi="Cambria Math"/>
                        <w:kern w:val="0"/>
                      </w:rPr>
                      <m:t>a</m:t>
                    </m:r>
                  </m:num>
                  <m:den>
                    <m:r>
                      <w:rPr>
                        <w:rFonts w:ascii="Cambria Math" w:hAnsi="Cambria Math"/>
                        <w:kern w:val="0"/>
                      </w:rPr>
                      <m:t>l</m:t>
                    </m:r>
                  </m:den>
                </m:f>
              </m:e>
            </m:d>
          </m:e>
          <m:sup>
            <m:r>
              <w:rPr>
                <w:rFonts w:ascii="Cambria Math" w:hAnsi="Cambria Math"/>
                <w:kern w:val="0"/>
              </w:rPr>
              <m:t>3</m:t>
            </m:r>
          </m:sup>
        </m:sSup>
      </m:oMath>
      <w:r w:rsidRPr="00BC31E0">
        <w:rPr>
          <w:szCs w:val="20"/>
        </w:rPr>
        <w:t xml:space="preserve"> </w:t>
      </w:r>
    </w:p>
    <w:p w14:paraId="082AB668" w14:textId="77777777" w:rsidR="00F52111" w:rsidRPr="00BC31E0" w:rsidRDefault="00F52111" w:rsidP="00F52111">
      <w:pPr>
        <w:tabs>
          <w:tab w:val="left" w:pos="2552"/>
          <w:tab w:val="left" w:pos="2977"/>
        </w:tabs>
        <w:spacing w:before="120"/>
        <w:rPr>
          <w:szCs w:val="20"/>
        </w:rPr>
      </w:pPr>
      <w:r w:rsidRPr="00BC31E0">
        <w:tab/>
      </w:r>
      <m:oMath>
        <m:r>
          <w:rPr>
            <w:rFonts w:ascii="Cambria Math" w:hAnsi="Cambria Math"/>
            <w:szCs w:val="20"/>
          </w:rPr>
          <m:t>t</m:t>
        </m:r>
      </m:oMath>
      <w:r w:rsidRPr="00BC31E0">
        <w:rPr>
          <w:rFonts w:hint="eastAsia"/>
          <w:szCs w:val="20"/>
        </w:rPr>
        <w:tab/>
      </w:r>
      <w:r w:rsidRPr="00BC31E0">
        <w:rPr>
          <w:rFonts w:hint="eastAsia"/>
          <w:szCs w:val="20"/>
        </w:rPr>
        <w:t>：</w:t>
      </w:r>
      <w:r w:rsidRPr="00BC31E0">
        <w:rPr>
          <w:rFonts w:hint="eastAsia"/>
          <w:szCs w:val="20"/>
        </w:rPr>
        <w:t xml:space="preserve"> </w:t>
      </w:r>
      <w:r w:rsidRPr="00BC31E0">
        <w:rPr>
          <w:rFonts w:hint="eastAsia"/>
          <w:szCs w:val="20"/>
        </w:rPr>
        <w:t>容器の厚さ</w:t>
      </w:r>
      <w:r w:rsidRPr="00BC31E0">
        <w:rPr>
          <w:rFonts w:hint="eastAsia"/>
          <w:szCs w:val="20"/>
        </w:rPr>
        <w:t>(m)</w:t>
      </w:r>
    </w:p>
    <w:p w14:paraId="69A476FD" w14:textId="77777777" w:rsidR="00F52111" w:rsidRPr="00BC31E0" w:rsidRDefault="00F52111" w:rsidP="00F52111">
      <w:pPr>
        <w:tabs>
          <w:tab w:val="left" w:pos="2552"/>
          <w:tab w:val="left" w:pos="2977"/>
        </w:tabs>
      </w:pPr>
      <w:r w:rsidRPr="00BC31E0">
        <w:rPr>
          <w:rFonts w:hint="eastAsia"/>
        </w:rPr>
        <w:tab/>
      </w:r>
      <m:oMath>
        <m:r>
          <w:rPr>
            <w:rFonts w:ascii="Cambria Math" w:hAnsi="Cambria Math"/>
          </w:rPr>
          <m:t>a</m:t>
        </m:r>
      </m:oMath>
      <w:r w:rsidRPr="00BC31E0">
        <w:rPr>
          <w:rFonts w:hint="eastAsia"/>
        </w:rPr>
        <w:tab/>
      </w:r>
      <w:r w:rsidRPr="00BC31E0">
        <w:rPr>
          <w:rFonts w:hint="eastAsia"/>
        </w:rPr>
        <w:t>：</w:t>
      </w:r>
      <w:r w:rsidRPr="00BC31E0">
        <w:rPr>
          <w:rFonts w:hint="eastAsia"/>
        </w:rPr>
        <w:t xml:space="preserve"> </w:t>
      </w:r>
      <w:r w:rsidRPr="00BC31E0">
        <w:rPr>
          <w:rFonts w:hint="eastAsia"/>
        </w:rPr>
        <w:t>亀裂深さ</w:t>
      </w:r>
      <w:r w:rsidRPr="00BC31E0">
        <w:rPr>
          <w:rFonts w:hint="eastAsia"/>
        </w:rPr>
        <w:t>(</w:t>
      </w:r>
      <w:r w:rsidRPr="00BC31E0">
        <w:rPr>
          <w:rFonts w:ascii="Cambria Math" w:hAnsi="Cambria Math"/>
        </w:rPr>
        <w:t>m</w:t>
      </w:r>
      <w:r w:rsidRPr="00BC31E0">
        <w:rPr>
          <w:rFonts w:hint="eastAsia"/>
        </w:rPr>
        <w:t>)</w:t>
      </w:r>
    </w:p>
    <w:p w14:paraId="6575C57D" w14:textId="77777777" w:rsidR="00F52111" w:rsidRPr="00BC31E0" w:rsidRDefault="00F52111" w:rsidP="00F52111">
      <w:pPr>
        <w:tabs>
          <w:tab w:val="left" w:pos="2552"/>
          <w:tab w:val="left" w:pos="2977"/>
        </w:tabs>
        <w:rPr>
          <w:szCs w:val="20"/>
        </w:rPr>
      </w:pPr>
      <w:r w:rsidRPr="00BC31E0">
        <w:rPr>
          <w:rFonts w:hint="eastAsia"/>
          <w:szCs w:val="20"/>
        </w:rPr>
        <w:tab/>
      </w:r>
      <m:oMath>
        <m:r>
          <w:rPr>
            <w:rFonts w:ascii="Cambria Math" w:hAnsi="Cambria Math"/>
            <w:szCs w:val="20"/>
          </w:rPr>
          <m:t>l</m:t>
        </m:r>
      </m:oMath>
      <w:r w:rsidRPr="00BC31E0">
        <w:rPr>
          <w:rFonts w:hint="eastAsia"/>
          <w:position w:val="-6"/>
          <w:szCs w:val="20"/>
        </w:rPr>
        <w:tab/>
      </w:r>
      <w:r w:rsidRPr="00BC31E0">
        <w:rPr>
          <w:rFonts w:hint="eastAsia"/>
          <w:szCs w:val="20"/>
        </w:rPr>
        <w:t>：</w:t>
      </w:r>
      <w:r w:rsidRPr="00BC31E0">
        <w:rPr>
          <w:rFonts w:hint="eastAsia"/>
          <w:szCs w:val="20"/>
        </w:rPr>
        <w:t xml:space="preserve"> </w:t>
      </w:r>
      <w:r w:rsidRPr="00BC31E0">
        <w:rPr>
          <w:rFonts w:hint="eastAsia"/>
        </w:rPr>
        <w:t>亀</w:t>
      </w:r>
      <w:r w:rsidRPr="00BC31E0">
        <w:rPr>
          <w:rFonts w:hint="eastAsia"/>
          <w:szCs w:val="20"/>
        </w:rPr>
        <w:t>裂の主軸長さ</w:t>
      </w:r>
      <w:r w:rsidRPr="00BC31E0">
        <w:rPr>
          <w:rFonts w:hint="eastAsia"/>
          <w:szCs w:val="20"/>
        </w:rPr>
        <w:t>(m)</w:t>
      </w:r>
    </w:p>
    <w:p w14:paraId="722636BB" w14:textId="77777777" w:rsidR="00F52111" w:rsidRPr="00BC31E0" w:rsidRDefault="00F52111" w:rsidP="00F52111">
      <w:pPr>
        <w:tabs>
          <w:tab w:val="left" w:pos="2552"/>
          <w:tab w:val="left" w:pos="2977"/>
        </w:tabs>
        <w:rPr>
          <w:rFonts w:ascii="ＭＳ 明朝"/>
        </w:rPr>
      </w:pPr>
      <w:r w:rsidRPr="00BC31E0">
        <w:rPr>
          <w:rFonts w:ascii="ＭＳ 明朝"/>
        </w:rPr>
        <w:tab/>
      </w:r>
      <m:oMath>
        <m:f>
          <m:fPr>
            <m:type m:val="lin"/>
            <m:ctrlPr>
              <w:rPr>
                <w:rFonts w:ascii="Cambria Math" w:hAnsi="Cambria Math"/>
                <w:i/>
              </w:rPr>
            </m:ctrlPr>
          </m:fPr>
          <m:num>
            <m:r>
              <w:rPr>
                <w:rFonts w:ascii="Cambria Math" w:hAnsi="Cambria Math"/>
              </w:rPr>
              <m:t>a</m:t>
            </m:r>
          </m:num>
          <m:den>
            <m:r>
              <w:rPr>
                <w:rFonts w:ascii="Cambria Math" w:hAnsi="Cambria Math"/>
              </w:rPr>
              <m:t>l</m:t>
            </m:r>
          </m:den>
        </m:f>
      </m:oMath>
      <w:r w:rsidRPr="00BC31E0">
        <w:rPr>
          <w:rFonts w:ascii="ＭＳ 明朝" w:hAnsi="ＭＳ 明朝" w:hint="eastAsia"/>
          <w:position w:val="-10"/>
        </w:rPr>
        <w:tab/>
      </w:r>
      <w:r w:rsidRPr="00BC31E0">
        <w:rPr>
          <w:rFonts w:ascii="ＭＳ 明朝" w:hAnsi="ＭＳ 明朝" w:hint="eastAsia"/>
        </w:rPr>
        <w:t xml:space="preserve">： </w:t>
      </w:r>
      <w:r w:rsidRPr="00BC31E0">
        <w:rPr>
          <w:rFonts w:hint="eastAsia"/>
        </w:rPr>
        <w:t>亀</w:t>
      </w:r>
      <w:r w:rsidRPr="00BC31E0">
        <w:rPr>
          <w:rFonts w:ascii="ＭＳ 明朝" w:hAnsi="ＭＳ 明朝" w:hint="eastAsia"/>
        </w:rPr>
        <w:t>裂のアスペクト比</w:t>
      </w:r>
      <w:r w:rsidRPr="00BC31E0">
        <w:t>(</w:t>
      </w:r>
      <m:oMath>
        <m:r>
          <w:rPr>
            <w:rFonts w:ascii="Cambria Math" w:hAnsi="Cambria Math"/>
          </w:rPr>
          <m:t>0</m:t>
        </m:r>
        <m:r>
          <w:rPr>
            <w:rFonts w:ascii="Cambria Math" w:hAnsi="Cambria Math" w:hint="eastAsia"/>
          </w:rPr>
          <m:t>≦</m:t>
        </m:r>
        <m:f>
          <m:fPr>
            <m:type m:val="lin"/>
            <m:ctrlPr>
              <w:rPr>
                <w:rFonts w:ascii="Cambria Math" w:hAnsi="Cambria Math"/>
                <w:i/>
              </w:rPr>
            </m:ctrlPr>
          </m:fPr>
          <m:num>
            <m:r>
              <w:rPr>
                <w:rFonts w:ascii="Cambria Math" w:hAnsi="Cambria Math"/>
              </w:rPr>
              <m:t>a</m:t>
            </m:r>
          </m:num>
          <m:den>
            <m:r>
              <w:rPr>
                <w:rFonts w:ascii="Cambria Math" w:hAnsi="Cambria Math"/>
              </w:rPr>
              <m:t>l</m:t>
            </m:r>
            <m:r>
              <w:rPr>
                <w:rFonts w:ascii="Cambria Math" w:hAnsi="Cambria Math" w:hint="eastAsia"/>
              </w:rPr>
              <m:t>≦</m:t>
            </m:r>
            <m:r>
              <w:rPr>
                <w:rFonts w:ascii="Cambria Math" w:hAnsi="Cambria Math"/>
              </w:rPr>
              <m:t>0.5</m:t>
            </m:r>
          </m:den>
        </m:f>
      </m:oMath>
      <w:r w:rsidRPr="00BC31E0">
        <w:t>)</w:t>
      </w:r>
    </w:p>
    <w:p w14:paraId="3F0E9A78" w14:textId="77777777" w:rsidR="00F52111" w:rsidRPr="00BC31E0" w:rsidRDefault="00F52111" w:rsidP="00F52111">
      <w:pPr>
        <w:spacing w:before="120" w:after="120"/>
        <w:ind w:left="1474"/>
        <w:rPr>
          <w:szCs w:val="20"/>
        </w:rPr>
      </w:pPr>
      <w:r w:rsidRPr="00BC31E0">
        <w:rPr>
          <w:rFonts w:hint="eastAsia"/>
          <w:szCs w:val="20"/>
        </w:rPr>
        <w:t>表面点において</w:t>
      </w:r>
    </w:p>
    <w:tbl>
      <w:tblPr>
        <w:tblStyle w:val="afff2"/>
        <w:tblW w:w="7371"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9"/>
        <w:gridCol w:w="4022"/>
      </w:tblGrid>
      <w:tr w:rsidR="00F52111" w:rsidRPr="00BC31E0" w14:paraId="21A331E9" w14:textId="77777777" w:rsidTr="004736F2">
        <w:tc>
          <w:tcPr>
            <w:tcW w:w="0" w:type="auto"/>
            <w:tcMar>
              <w:left w:w="0" w:type="dxa"/>
              <w:right w:w="0" w:type="dxa"/>
            </w:tcMar>
            <w:vAlign w:val="center"/>
          </w:tcPr>
          <w:p w14:paraId="2E48D539" w14:textId="77777777" w:rsidR="00F52111" w:rsidRPr="00BC31E0" w:rsidRDefault="00A51873" w:rsidP="004736F2">
            <w:pPr>
              <w:jc w:val="left"/>
              <w:rPr>
                <w:szCs w:val="20"/>
              </w:rPr>
            </w:pPr>
            <m:oMathPara>
              <m:oMathParaPr>
                <m:jc m:val="left"/>
              </m:oMathParaPr>
              <m:oMath>
                <m:sSub>
                  <m:sSubPr>
                    <m:ctrlPr>
                      <w:rPr>
                        <w:rFonts w:ascii="Cambria Math" w:hAnsi="Cambria Math"/>
                        <w:szCs w:val="20"/>
                      </w:rPr>
                    </m:ctrlPr>
                  </m:sSubPr>
                  <m:e>
                    <m:r>
                      <w:rPr>
                        <w:rFonts w:ascii="Cambria Math" w:hAnsi="Cambria Math"/>
                        <w:szCs w:val="20"/>
                      </w:rPr>
                      <m:t>G</m:t>
                    </m:r>
                  </m:e>
                  <m:sub>
                    <m:r>
                      <w:rPr>
                        <w:rFonts w:ascii="Cambria Math" w:hAnsi="Cambria Math"/>
                        <w:szCs w:val="20"/>
                      </w:rPr>
                      <m:t>0</m:t>
                    </m:r>
                  </m:sub>
                </m:sSub>
                <m:r>
                  <w:rPr>
                    <w:rFonts w:ascii="Cambria Math" w:hAnsi="Cambria Math"/>
                    <w:szCs w:val="20"/>
                  </w:rPr>
                  <m:t>=</m:t>
                </m:r>
                <m:d>
                  <m:dPr>
                    <m:ctrlPr>
                      <w:rPr>
                        <w:rFonts w:ascii="Cambria Math" w:hAnsi="Cambria Math"/>
                        <w:szCs w:val="20"/>
                      </w:rPr>
                    </m:ctrlPr>
                  </m:dPr>
                  <m:e>
                    <m:r>
                      <w:rPr>
                        <w:rFonts w:ascii="Cambria Math" w:hAnsi="Cambria Math"/>
                        <w:szCs w:val="20"/>
                      </w:rPr>
                      <m:t>4+2</m:t>
                    </m:r>
                    <m:sSub>
                      <m:sSubPr>
                        <m:ctrlPr>
                          <w:rPr>
                            <w:rFonts w:ascii="Cambria Math" w:hAnsi="Cambria Math"/>
                            <w:szCs w:val="20"/>
                          </w:rPr>
                        </m:ctrlPr>
                      </m:sSubPr>
                      <m:e>
                        <m:r>
                          <w:rPr>
                            <w:rFonts w:ascii="Cambria Math" w:hAnsi="Cambria Math"/>
                            <w:szCs w:val="20"/>
                          </w:rPr>
                          <m:t>N</m:t>
                        </m:r>
                      </m:e>
                      <m:sub>
                        <m:r>
                          <w:rPr>
                            <w:rFonts w:ascii="Cambria Math" w:hAnsi="Cambria Math"/>
                            <w:szCs w:val="20"/>
                          </w:rPr>
                          <m:t>1</m:t>
                        </m:r>
                      </m:sub>
                    </m:sSub>
                    <m:r>
                      <w:rPr>
                        <w:rFonts w:ascii="Cambria Math" w:hAnsi="Cambria Math"/>
                        <w:szCs w:val="20"/>
                      </w:rPr>
                      <m:t>+</m:t>
                    </m:r>
                    <m:f>
                      <m:fPr>
                        <m:ctrlPr>
                          <w:rPr>
                            <w:rFonts w:ascii="Cambria Math" w:hAnsi="Cambria Math"/>
                            <w:szCs w:val="20"/>
                          </w:rPr>
                        </m:ctrlPr>
                      </m:fPr>
                      <m:num>
                        <m:r>
                          <w:rPr>
                            <w:rFonts w:ascii="Cambria Math" w:hAnsi="Cambria Math"/>
                            <w:szCs w:val="20"/>
                          </w:rPr>
                          <m:t>4</m:t>
                        </m:r>
                      </m:num>
                      <m:den>
                        <m:r>
                          <w:rPr>
                            <w:rFonts w:ascii="Cambria Math" w:hAnsi="Cambria Math"/>
                            <w:szCs w:val="20"/>
                          </w:rPr>
                          <m:t>3</m:t>
                        </m:r>
                      </m:den>
                    </m:f>
                    <m:sSub>
                      <m:sSubPr>
                        <m:ctrlPr>
                          <w:rPr>
                            <w:rFonts w:ascii="Cambria Math" w:hAnsi="Cambria Math"/>
                            <w:szCs w:val="20"/>
                          </w:rPr>
                        </m:ctrlPr>
                      </m:sSubPr>
                      <m:e>
                        <m:r>
                          <w:rPr>
                            <w:rFonts w:ascii="Cambria Math" w:hAnsi="Cambria Math"/>
                            <w:szCs w:val="20"/>
                          </w:rPr>
                          <m:t>N</m:t>
                        </m:r>
                      </m:e>
                      <m:sub>
                        <m:r>
                          <w:rPr>
                            <w:rFonts w:ascii="Cambria Math" w:hAnsi="Cambria Math"/>
                            <w:szCs w:val="20"/>
                          </w:rPr>
                          <m:t>2</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N</m:t>
                        </m:r>
                      </m:e>
                      <m:sub>
                        <m:r>
                          <w:rPr>
                            <w:rFonts w:ascii="Cambria Math" w:hAnsi="Cambria Math"/>
                            <w:szCs w:val="20"/>
                          </w:rPr>
                          <m:t>3</m:t>
                        </m:r>
                      </m:sub>
                    </m:sSub>
                  </m:e>
                </m:d>
                <m:f>
                  <m:fPr>
                    <m:ctrlPr>
                      <w:rPr>
                        <w:rFonts w:ascii="Cambria Math" w:hAnsi="Cambria Math"/>
                        <w:szCs w:val="20"/>
                      </w:rPr>
                    </m:ctrlPr>
                  </m:fPr>
                  <m:num>
                    <m:rad>
                      <m:radPr>
                        <m:degHide m:val="1"/>
                        <m:ctrlPr>
                          <w:rPr>
                            <w:rFonts w:ascii="Cambria Math" w:hAnsi="Cambria Math"/>
                            <w:szCs w:val="20"/>
                          </w:rPr>
                        </m:ctrlPr>
                      </m:radPr>
                      <m:deg/>
                      <m:e>
                        <m:sSup>
                          <m:sSupPr>
                            <m:ctrlPr>
                              <w:rPr>
                                <w:rFonts w:ascii="Cambria Math" w:hAnsi="Cambria Math"/>
                                <w:szCs w:val="20"/>
                              </w:rPr>
                            </m:ctrlPr>
                          </m:sSupPr>
                          <m:e>
                            <m:r>
                              <w:rPr>
                                <w:rFonts w:ascii="Cambria Math" w:hAnsi="Cambria Math"/>
                                <w:szCs w:val="20"/>
                              </w:rPr>
                              <m:t>Q</m:t>
                            </m:r>
                          </m:e>
                          <m:sup>
                            <m:r>
                              <w:rPr>
                                <w:rFonts w:ascii="Cambria Math" w:hAnsi="Cambria Math"/>
                                <w:szCs w:val="20"/>
                              </w:rPr>
                              <m:t>'</m:t>
                            </m:r>
                          </m:sup>
                        </m:sSup>
                      </m:e>
                    </m:rad>
                  </m:num>
                  <m:den>
                    <m:r>
                      <w:rPr>
                        <w:rFonts w:ascii="Cambria Math" w:hAnsi="Cambria Math"/>
                        <w:szCs w:val="20"/>
                      </w:rPr>
                      <m:t>π</m:t>
                    </m:r>
                  </m:den>
                </m:f>
              </m:oMath>
            </m:oMathPara>
          </w:p>
        </w:tc>
        <w:tc>
          <w:tcPr>
            <w:tcW w:w="4022" w:type="dxa"/>
            <w:vMerge w:val="restart"/>
            <w:tcMar>
              <w:left w:w="0" w:type="dxa"/>
              <w:right w:w="0" w:type="dxa"/>
            </w:tcMar>
            <w:vAlign w:val="center"/>
          </w:tcPr>
          <w:p w14:paraId="3B28A733" w14:textId="77777777" w:rsidR="00F52111" w:rsidRPr="00BC31E0" w:rsidRDefault="00F52111" w:rsidP="004736F2">
            <w:pPr>
              <w:tabs>
                <w:tab w:val="left" w:leader="middleDot" w:pos="3455"/>
              </w:tabs>
              <w:spacing w:before="120"/>
              <w:jc w:val="left"/>
              <w:rPr>
                <w:szCs w:val="20"/>
              </w:rPr>
            </w:pPr>
            <w:r w:rsidRPr="00BC31E0">
              <w:rPr>
                <w:szCs w:val="20"/>
              </w:rPr>
              <w:tab/>
            </w:r>
            <w:r w:rsidRPr="00BC31E0">
              <w:rPr>
                <w:rFonts w:hint="eastAsia"/>
                <w:szCs w:val="20"/>
              </w:rPr>
              <w:t>(11)</w:t>
            </w:r>
          </w:p>
        </w:tc>
      </w:tr>
      <w:tr w:rsidR="00F52111" w:rsidRPr="00BC31E0" w14:paraId="6F24318D" w14:textId="77777777" w:rsidTr="004736F2">
        <w:tc>
          <w:tcPr>
            <w:tcW w:w="0" w:type="auto"/>
            <w:tcMar>
              <w:left w:w="0" w:type="dxa"/>
              <w:right w:w="0" w:type="dxa"/>
            </w:tcMar>
            <w:vAlign w:val="center"/>
          </w:tcPr>
          <w:p w14:paraId="0CBE7E15" w14:textId="77777777" w:rsidR="00F52111" w:rsidRPr="00BC31E0" w:rsidRDefault="00A51873" w:rsidP="004736F2">
            <w:pPr>
              <w:spacing w:before="120"/>
              <w:jc w:val="left"/>
              <w:rPr>
                <w:szCs w:val="20"/>
              </w:rPr>
            </w:pPr>
            <m:oMathPara>
              <m:oMathParaPr>
                <m:jc m:val="left"/>
              </m:oMathParaPr>
              <m:oMath>
                <m:sSub>
                  <m:sSubPr>
                    <m:ctrlPr>
                      <w:rPr>
                        <w:rFonts w:ascii="Cambria Math" w:hAnsi="Cambria Math"/>
                        <w:szCs w:val="20"/>
                      </w:rPr>
                    </m:ctrlPr>
                  </m:sSubPr>
                  <m:e>
                    <m:r>
                      <w:rPr>
                        <w:rFonts w:ascii="Cambria Math" w:hAnsi="Cambria Math"/>
                        <w:szCs w:val="20"/>
                      </w:rPr>
                      <m:t>G</m:t>
                    </m:r>
                  </m:e>
                  <m:sub>
                    <m:r>
                      <w:rPr>
                        <w:rFonts w:ascii="Cambria Math" w:hAnsi="Cambria Math"/>
                        <w:szCs w:val="20"/>
                      </w:rPr>
                      <m:t>1</m:t>
                    </m:r>
                  </m:sub>
                </m:sSub>
                <m:r>
                  <w:rPr>
                    <w:rFonts w:ascii="Cambria Math" w:hAnsi="Cambria Math"/>
                    <w:szCs w:val="20"/>
                  </w:rPr>
                  <m:t>=</m:t>
                </m:r>
                <m:d>
                  <m:dPr>
                    <m:ctrlPr>
                      <w:rPr>
                        <w:rFonts w:ascii="Cambria Math" w:hAnsi="Cambria Math"/>
                        <w:szCs w:val="20"/>
                      </w:rPr>
                    </m:ctrlPr>
                  </m:dPr>
                  <m:e>
                    <m:f>
                      <m:fPr>
                        <m:ctrlPr>
                          <w:rPr>
                            <w:rFonts w:ascii="Cambria Math" w:hAnsi="Cambria Math"/>
                            <w:szCs w:val="20"/>
                          </w:rPr>
                        </m:ctrlPr>
                      </m:fPr>
                      <m:num>
                        <m:r>
                          <m:rPr>
                            <m:sty m:val="p"/>
                          </m:rPr>
                          <w:rPr>
                            <w:rFonts w:ascii="Cambria Math" w:hAnsi="Cambria Math"/>
                            <w:szCs w:val="20"/>
                          </w:rPr>
                          <m:t>4</m:t>
                        </m:r>
                      </m:num>
                      <m:den>
                        <m:r>
                          <m:rPr>
                            <m:sty m:val="p"/>
                          </m:rPr>
                          <w:rPr>
                            <w:rFonts w:ascii="Cambria Math" w:hAnsi="Cambria Math"/>
                            <w:szCs w:val="20"/>
                          </w:rPr>
                          <m:t>3</m:t>
                        </m:r>
                      </m:den>
                    </m:f>
                    <m:r>
                      <w:rPr>
                        <w:rFonts w:ascii="Cambria Math" w:hAnsi="Cambria Math"/>
                        <w:szCs w:val="20"/>
                      </w:rPr>
                      <m:t>+</m:t>
                    </m:r>
                    <m:sSub>
                      <m:sSubPr>
                        <m:ctrlPr>
                          <w:rPr>
                            <w:rFonts w:ascii="Cambria Math" w:hAnsi="Cambria Math"/>
                            <w:szCs w:val="20"/>
                          </w:rPr>
                        </m:ctrlPr>
                      </m:sSubPr>
                      <m:e>
                        <m:r>
                          <w:rPr>
                            <w:rFonts w:ascii="Cambria Math" w:hAnsi="Cambria Math"/>
                            <w:szCs w:val="20"/>
                          </w:rPr>
                          <m:t>N</m:t>
                        </m:r>
                      </m:e>
                      <m:sub>
                        <m:r>
                          <w:rPr>
                            <w:rFonts w:ascii="Cambria Math" w:hAnsi="Cambria Math"/>
                            <w:szCs w:val="20"/>
                          </w:rPr>
                          <m:t>1</m:t>
                        </m:r>
                      </m:sub>
                    </m:sSub>
                    <m:r>
                      <w:rPr>
                        <w:rFonts w:ascii="Cambria Math" w:hAnsi="Cambria Math"/>
                        <w:szCs w:val="20"/>
                      </w:rPr>
                      <m:t>+</m:t>
                    </m:r>
                    <m:f>
                      <m:fPr>
                        <m:ctrlPr>
                          <w:rPr>
                            <w:rFonts w:ascii="Cambria Math" w:hAnsi="Cambria Math"/>
                            <w:szCs w:val="20"/>
                          </w:rPr>
                        </m:ctrlPr>
                      </m:fPr>
                      <m:num>
                        <m:r>
                          <w:rPr>
                            <w:rFonts w:ascii="Cambria Math" w:hAnsi="Cambria Math"/>
                            <w:szCs w:val="20"/>
                          </w:rPr>
                          <m:t>4</m:t>
                        </m:r>
                      </m:num>
                      <m:den>
                        <m:r>
                          <w:rPr>
                            <w:rFonts w:ascii="Cambria Math" w:hAnsi="Cambria Math"/>
                            <w:szCs w:val="20"/>
                          </w:rPr>
                          <m:t>5</m:t>
                        </m:r>
                      </m:den>
                    </m:f>
                    <m:sSub>
                      <m:sSubPr>
                        <m:ctrlPr>
                          <w:rPr>
                            <w:rFonts w:ascii="Cambria Math" w:hAnsi="Cambria Math"/>
                            <w:szCs w:val="20"/>
                          </w:rPr>
                        </m:ctrlPr>
                      </m:sSubPr>
                      <m:e>
                        <m:r>
                          <w:rPr>
                            <w:rFonts w:ascii="Cambria Math" w:hAnsi="Cambria Math"/>
                            <w:szCs w:val="20"/>
                          </w:rPr>
                          <m:t>N</m:t>
                        </m:r>
                      </m:e>
                      <m:sub>
                        <m:r>
                          <w:rPr>
                            <w:rFonts w:ascii="Cambria Math" w:hAnsi="Cambria Math"/>
                            <w:szCs w:val="20"/>
                          </w:rPr>
                          <m:t>2</m:t>
                        </m:r>
                      </m:sub>
                    </m:sSub>
                    <m:r>
                      <w:rPr>
                        <w:rFonts w:ascii="Cambria Math" w:hAnsi="Cambria Math"/>
                        <w:szCs w:val="20"/>
                      </w:rPr>
                      <m:t>+</m:t>
                    </m:r>
                    <m:sSub>
                      <m:sSubPr>
                        <m:ctrlPr>
                          <w:rPr>
                            <w:rFonts w:ascii="Cambria Math" w:hAnsi="Cambria Math"/>
                            <w:szCs w:val="20"/>
                          </w:rPr>
                        </m:ctrlPr>
                      </m:sSubPr>
                      <m:e>
                        <m:f>
                          <m:fPr>
                            <m:ctrlPr>
                              <w:rPr>
                                <w:rFonts w:ascii="Cambria Math" w:hAnsi="Cambria Math"/>
                                <w:szCs w:val="20"/>
                              </w:rPr>
                            </m:ctrlPr>
                          </m:fPr>
                          <m:num>
                            <m:r>
                              <m:rPr>
                                <m:sty m:val="p"/>
                              </m:rPr>
                              <w:rPr>
                                <w:rFonts w:ascii="Cambria Math" w:hAnsi="Cambria Math"/>
                                <w:szCs w:val="20"/>
                              </w:rPr>
                              <m:t>2</m:t>
                            </m:r>
                          </m:num>
                          <m:den>
                            <m:r>
                              <m:rPr>
                                <m:sty m:val="p"/>
                              </m:rPr>
                              <w:rPr>
                                <w:rFonts w:ascii="Cambria Math" w:hAnsi="Cambria Math"/>
                                <w:szCs w:val="20"/>
                              </w:rPr>
                              <m:t>3</m:t>
                            </m:r>
                          </m:den>
                        </m:f>
                        <m:r>
                          <w:rPr>
                            <w:rFonts w:ascii="Cambria Math" w:hAnsi="Cambria Math"/>
                            <w:szCs w:val="20"/>
                          </w:rPr>
                          <m:t>N</m:t>
                        </m:r>
                      </m:e>
                      <m:sub>
                        <m:r>
                          <w:rPr>
                            <w:rFonts w:ascii="Cambria Math" w:hAnsi="Cambria Math"/>
                            <w:szCs w:val="20"/>
                          </w:rPr>
                          <m:t>3</m:t>
                        </m:r>
                      </m:sub>
                    </m:sSub>
                  </m:e>
                </m:d>
                <m:f>
                  <m:fPr>
                    <m:ctrlPr>
                      <w:rPr>
                        <w:rFonts w:ascii="Cambria Math" w:hAnsi="Cambria Math"/>
                        <w:szCs w:val="20"/>
                      </w:rPr>
                    </m:ctrlPr>
                  </m:fPr>
                  <m:num>
                    <m:rad>
                      <m:radPr>
                        <m:degHide m:val="1"/>
                        <m:ctrlPr>
                          <w:rPr>
                            <w:rFonts w:ascii="Cambria Math" w:hAnsi="Cambria Math"/>
                            <w:szCs w:val="20"/>
                          </w:rPr>
                        </m:ctrlPr>
                      </m:radPr>
                      <m:deg/>
                      <m:e>
                        <m:sSup>
                          <m:sSupPr>
                            <m:ctrlPr>
                              <w:rPr>
                                <w:rFonts w:ascii="Cambria Math" w:hAnsi="Cambria Math"/>
                                <w:szCs w:val="20"/>
                              </w:rPr>
                            </m:ctrlPr>
                          </m:sSupPr>
                          <m:e>
                            <m:r>
                              <w:rPr>
                                <w:rFonts w:ascii="Cambria Math" w:hAnsi="Cambria Math"/>
                                <w:szCs w:val="20"/>
                              </w:rPr>
                              <m:t>Q</m:t>
                            </m:r>
                          </m:e>
                          <m:sup>
                            <m:r>
                              <w:rPr>
                                <w:rFonts w:ascii="Cambria Math" w:hAnsi="Cambria Math"/>
                                <w:szCs w:val="20"/>
                              </w:rPr>
                              <m:t>'</m:t>
                            </m:r>
                          </m:sup>
                        </m:sSup>
                      </m:e>
                    </m:rad>
                  </m:num>
                  <m:den>
                    <m:r>
                      <w:rPr>
                        <w:rFonts w:ascii="Cambria Math" w:hAnsi="Cambria Math"/>
                        <w:szCs w:val="20"/>
                      </w:rPr>
                      <m:t>π</m:t>
                    </m:r>
                  </m:den>
                </m:f>
              </m:oMath>
            </m:oMathPara>
          </w:p>
        </w:tc>
        <w:tc>
          <w:tcPr>
            <w:tcW w:w="4022" w:type="dxa"/>
            <w:vMerge/>
            <w:tcMar>
              <w:left w:w="0" w:type="dxa"/>
              <w:right w:w="0" w:type="dxa"/>
            </w:tcMar>
            <w:vAlign w:val="center"/>
          </w:tcPr>
          <w:p w14:paraId="02F79538" w14:textId="77777777" w:rsidR="00F52111" w:rsidRPr="00BC31E0" w:rsidRDefault="00F52111" w:rsidP="004736F2">
            <w:pPr>
              <w:tabs>
                <w:tab w:val="left" w:leader="middleDot" w:pos="4055"/>
              </w:tabs>
              <w:spacing w:before="120"/>
              <w:jc w:val="left"/>
              <w:rPr>
                <w:szCs w:val="20"/>
              </w:rPr>
            </w:pPr>
          </w:p>
        </w:tc>
      </w:tr>
      <w:tr w:rsidR="00F52111" w:rsidRPr="00BC31E0" w14:paraId="3EE47C55" w14:textId="77777777" w:rsidTr="004736F2">
        <w:tc>
          <w:tcPr>
            <w:tcW w:w="0" w:type="auto"/>
            <w:tcMar>
              <w:left w:w="0" w:type="dxa"/>
              <w:right w:w="0" w:type="dxa"/>
            </w:tcMar>
            <w:vAlign w:val="center"/>
          </w:tcPr>
          <w:p w14:paraId="5A8DCE82" w14:textId="77777777" w:rsidR="00F52111" w:rsidRPr="00BC31E0" w:rsidRDefault="00A51873" w:rsidP="004736F2">
            <w:pPr>
              <w:spacing w:before="120"/>
              <w:jc w:val="left"/>
              <w:rPr>
                <w:szCs w:val="20"/>
              </w:rPr>
            </w:pPr>
            <m:oMathPara>
              <m:oMathParaPr>
                <m:jc m:val="left"/>
              </m:oMathParaPr>
              <m:oMath>
                <m:sSub>
                  <m:sSubPr>
                    <m:ctrlPr>
                      <w:rPr>
                        <w:rFonts w:ascii="Cambria Math" w:hAnsi="Cambria Math"/>
                        <w:szCs w:val="20"/>
                      </w:rPr>
                    </m:ctrlPr>
                  </m:sSubPr>
                  <m:e>
                    <m:r>
                      <w:rPr>
                        <w:rFonts w:ascii="Cambria Math" w:hAnsi="Cambria Math"/>
                        <w:szCs w:val="20"/>
                      </w:rPr>
                      <m:t>G</m:t>
                    </m:r>
                  </m:e>
                  <m:sub>
                    <m:r>
                      <w:rPr>
                        <w:rFonts w:ascii="Cambria Math" w:hAnsi="Cambria Math"/>
                        <w:szCs w:val="20"/>
                      </w:rPr>
                      <m:t>2</m:t>
                    </m:r>
                  </m:sub>
                </m:sSub>
                <m:r>
                  <w:rPr>
                    <w:rFonts w:ascii="Cambria Math" w:hAnsi="Cambria Math"/>
                    <w:szCs w:val="20"/>
                  </w:rPr>
                  <m:t>=</m:t>
                </m:r>
                <m:d>
                  <m:dPr>
                    <m:ctrlPr>
                      <w:rPr>
                        <w:rFonts w:ascii="Cambria Math" w:hAnsi="Cambria Math"/>
                        <w:szCs w:val="20"/>
                      </w:rPr>
                    </m:ctrlPr>
                  </m:dPr>
                  <m:e>
                    <m:f>
                      <m:fPr>
                        <m:ctrlPr>
                          <w:rPr>
                            <w:rFonts w:ascii="Cambria Math" w:hAnsi="Cambria Math"/>
                            <w:szCs w:val="20"/>
                          </w:rPr>
                        </m:ctrlPr>
                      </m:fPr>
                      <m:num>
                        <m:r>
                          <m:rPr>
                            <m:sty m:val="p"/>
                          </m:rPr>
                          <w:rPr>
                            <w:rFonts w:ascii="Cambria Math" w:hAnsi="Cambria Math"/>
                            <w:szCs w:val="20"/>
                          </w:rPr>
                          <m:t>4</m:t>
                        </m:r>
                      </m:num>
                      <m:den>
                        <m:r>
                          <m:rPr>
                            <m:sty m:val="p"/>
                          </m:rPr>
                          <w:rPr>
                            <w:rFonts w:ascii="Cambria Math" w:hAnsi="Cambria Math"/>
                            <w:szCs w:val="20"/>
                          </w:rPr>
                          <m:t>5</m:t>
                        </m:r>
                      </m:den>
                    </m:f>
                    <m:r>
                      <w:rPr>
                        <w:rFonts w:ascii="Cambria Math" w:hAnsi="Cambria Math"/>
                        <w:szCs w:val="20"/>
                      </w:rPr>
                      <m:t>+</m:t>
                    </m:r>
                    <m:sSub>
                      <m:sSubPr>
                        <m:ctrlPr>
                          <w:rPr>
                            <w:rFonts w:ascii="Cambria Math" w:hAnsi="Cambria Math"/>
                            <w:szCs w:val="20"/>
                          </w:rPr>
                        </m:ctrlPr>
                      </m:sSubPr>
                      <m:e>
                        <m:f>
                          <m:fPr>
                            <m:ctrlPr>
                              <w:rPr>
                                <w:rFonts w:ascii="Cambria Math" w:hAnsi="Cambria Math"/>
                                <w:szCs w:val="20"/>
                              </w:rPr>
                            </m:ctrlPr>
                          </m:fPr>
                          <m:num>
                            <m:r>
                              <m:rPr>
                                <m:sty m:val="p"/>
                              </m:rPr>
                              <w:rPr>
                                <w:rFonts w:ascii="Cambria Math" w:hAnsi="Cambria Math"/>
                                <w:szCs w:val="20"/>
                              </w:rPr>
                              <m:t>2</m:t>
                            </m:r>
                          </m:num>
                          <m:den>
                            <m:r>
                              <m:rPr>
                                <m:sty m:val="p"/>
                              </m:rPr>
                              <w:rPr>
                                <w:rFonts w:ascii="Cambria Math" w:hAnsi="Cambria Math"/>
                                <w:szCs w:val="20"/>
                              </w:rPr>
                              <m:t>3</m:t>
                            </m:r>
                          </m:den>
                        </m:f>
                        <m:r>
                          <w:rPr>
                            <w:rFonts w:ascii="Cambria Math" w:hAnsi="Cambria Math"/>
                            <w:szCs w:val="20"/>
                          </w:rPr>
                          <m:t>N</m:t>
                        </m:r>
                      </m:e>
                      <m:sub>
                        <m:r>
                          <w:rPr>
                            <w:rFonts w:ascii="Cambria Math" w:hAnsi="Cambria Math"/>
                            <w:szCs w:val="20"/>
                          </w:rPr>
                          <m:t>1</m:t>
                        </m:r>
                      </m:sub>
                    </m:sSub>
                    <m:r>
                      <w:rPr>
                        <w:rFonts w:ascii="Cambria Math" w:hAnsi="Cambria Math"/>
                        <w:szCs w:val="20"/>
                      </w:rPr>
                      <m:t>+</m:t>
                    </m:r>
                    <m:f>
                      <m:fPr>
                        <m:ctrlPr>
                          <w:rPr>
                            <w:rFonts w:ascii="Cambria Math" w:hAnsi="Cambria Math"/>
                            <w:szCs w:val="20"/>
                          </w:rPr>
                        </m:ctrlPr>
                      </m:fPr>
                      <m:num>
                        <m:r>
                          <w:rPr>
                            <w:rFonts w:ascii="Cambria Math" w:hAnsi="Cambria Math"/>
                            <w:szCs w:val="20"/>
                          </w:rPr>
                          <m:t>4</m:t>
                        </m:r>
                      </m:num>
                      <m:den>
                        <m:r>
                          <w:rPr>
                            <w:rFonts w:ascii="Cambria Math" w:hAnsi="Cambria Math"/>
                            <w:szCs w:val="20"/>
                          </w:rPr>
                          <m:t>7</m:t>
                        </m:r>
                      </m:den>
                    </m:f>
                    <m:sSub>
                      <m:sSubPr>
                        <m:ctrlPr>
                          <w:rPr>
                            <w:rFonts w:ascii="Cambria Math" w:hAnsi="Cambria Math"/>
                            <w:szCs w:val="20"/>
                          </w:rPr>
                        </m:ctrlPr>
                      </m:sSubPr>
                      <m:e>
                        <m:r>
                          <w:rPr>
                            <w:rFonts w:ascii="Cambria Math" w:hAnsi="Cambria Math"/>
                            <w:szCs w:val="20"/>
                          </w:rPr>
                          <m:t>N</m:t>
                        </m:r>
                      </m:e>
                      <m:sub>
                        <m:r>
                          <w:rPr>
                            <w:rFonts w:ascii="Cambria Math" w:hAnsi="Cambria Math"/>
                            <w:szCs w:val="20"/>
                          </w:rPr>
                          <m:t>2</m:t>
                        </m:r>
                      </m:sub>
                    </m:sSub>
                    <m:r>
                      <w:rPr>
                        <w:rFonts w:ascii="Cambria Math" w:hAnsi="Cambria Math"/>
                        <w:szCs w:val="20"/>
                      </w:rPr>
                      <m:t>+</m:t>
                    </m:r>
                    <m:sSub>
                      <m:sSubPr>
                        <m:ctrlPr>
                          <w:rPr>
                            <w:rFonts w:ascii="Cambria Math" w:hAnsi="Cambria Math"/>
                            <w:szCs w:val="20"/>
                          </w:rPr>
                        </m:ctrlPr>
                      </m:sSubPr>
                      <m:e>
                        <m:f>
                          <m:fPr>
                            <m:ctrlPr>
                              <w:rPr>
                                <w:rFonts w:ascii="Cambria Math" w:hAnsi="Cambria Math"/>
                                <w:szCs w:val="20"/>
                              </w:rPr>
                            </m:ctrlPr>
                          </m:fPr>
                          <m:num>
                            <m:r>
                              <m:rPr>
                                <m:sty m:val="p"/>
                              </m:rPr>
                              <w:rPr>
                                <w:rFonts w:ascii="Cambria Math" w:hAnsi="Cambria Math"/>
                                <w:szCs w:val="20"/>
                              </w:rPr>
                              <m:t>1</m:t>
                            </m:r>
                          </m:num>
                          <m:den>
                            <m:r>
                              <m:rPr>
                                <m:sty m:val="p"/>
                              </m:rPr>
                              <w:rPr>
                                <w:rFonts w:ascii="Cambria Math" w:hAnsi="Cambria Math"/>
                                <w:szCs w:val="20"/>
                              </w:rPr>
                              <m:t>2</m:t>
                            </m:r>
                          </m:den>
                        </m:f>
                        <m:r>
                          <w:rPr>
                            <w:rFonts w:ascii="Cambria Math" w:hAnsi="Cambria Math"/>
                            <w:szCs w:val="20"/>
                          </w:rPr>
                          <m:t>N</m:t>
                        </m:r>
                      </m:e>
                      <m:sub>
                        <m:r>
                          <w:rPr>
                            <w:rFonts w:ascii="Cambria Math" w:hAnsi="Cambria Math"/>
                            <w:szCs w:val="20"/>
                          </w:rPr>
                          <m:t>3</m:t>
                        </m:r>
                      </m:sub>
                    </m:sSub>
                  </m:e>
                </m:d>
                <m:f>
                  <m:fPr>
                    <m:ctrlPr>
                      <w:rPr>
                        <w:rFonts w:ascii="Cambria Math" w:hAnsi="Cambria Math"/>
                        <w:szCs w:val="20"/>
                      </w:rPr>
                    </m:ctrlPr>
                  </m:fPr>
                  <m:num>
                    <m:rad>
                      <m:radPr>
                        <m:degHide m:val="1"/>
                        <m:ctrlPr>
                          <w:rPr>
                            <w:rFonts w:ascii="Cambria Math" w:hAnsi="Cambria Math"/>
                            <w:szCs w:val="20"/>
                          </w:rPr>
                        </m:ctrlPr>
                      </m:radPr>
                      <m:deg/>
                      <m:e>
                        <m:sSup>
                          <m:sSupPr>
                            <m:ctrlPr>
                              <w:rPr>
                                <w:rFonts w:ascii="Cambria Math" w:hAnsi="Cambria Math"/>
                                <w:szCs w:val="20"/>
                              </w:rPr>
                            </m:ctrlPr>
                          </m:sSupPr>
                          <m:e>
                            <m:r>
                              <w:rPr>
                                <w:rFonts w:ascii="Cambria Math" w:hAnsi="Cambria Math"/>
                                <w:szCs w:val="20"/>
                              </w:rPr>
                              <m:t>Q</m:t>
                            </m:r>
                          </m:e>
                          <m:sup>
                            <m:r>
                              <w:rPr>
                                <w:rFonts w:ascii="Cambria Math" w:hAnsi="Cambria Math"/>
                                <w:szCs w:val="20"/>
                              </w:rPr>
                              <m:t>'</m:t>
                            </m:r>
                          </m:sup>
                        </m:sSup>
                      </m:e>
                    </m:rad>
                  </m:num>
                  <m:den>
                    <m:r>
                      <w:rPr>
                        <w:rFonts w:ascii="Cambria Math" w:hAnsi="Cambria Math"/>
                        <w:szCs w:val="20"/>
                      </w:rPr>
                      <m:t>π</m:t>
                    </m:r>
                  </m:den>
                </m:f>
              </m:oMath>
            </m:oMathPara>
          </w:p>
        </w:tc>
        <w:tc>
          <w:tcPr>
            <w:tcW w:w="4022" w:type="dxa"/>
            <w:vMerge/>
            <w:tcMar>
              <w:left w:w="0" w:type="dxa"/>
              <w:right w:w="0" w:type="dxa"/>
            </w:tcMar>
            <w:vAlign w:val="center"/>
          </w:tcPr>
          <w:p w14:paraId="0D382B5E" w14:textId="77777777" w:rsidR="00F52111" w:rsidRPr="00BC31E0" w:rsidRDefault="00F52111" w:rsidP="004736F2">
            <w:pPr>
              <w:tabs>
                <w:tab w:val="left" w:leader="middleDot" w:pos="4055"/>
              </w:tabs>
              <w:spacing w:before="120"/>
              <w:jc w:val="left"/>
              <w:rPr>
                <w:szCs w:val="20"/>
              </w:rPr>
            </w:pPr>
          </w:p>
        </w:tc>
      </w:tr>
      <w:tr w:rsidR="00F52111" w:rsidRPr="00BC31E0" w14:paraId="21A6AC0E" w14:textId="77777777" w:rsidTr="004736F2">
        <w:tc>
          <w:tcPr>
            <w:tcW w:w="0" w:type="auto"/>
            <w:tcMar>
              <w:left w:w="0" w:type="dxa"/>
              <w:right w:w="0" w:type="dxa"/>
            </w:tcMar>
            <w:vAlign w:val="center"/>
          </w:tcPr>
          <w:p w14:paraId="5E8291C8" w14:textId="77777777" w:rsidR="00F52111" w:rsidRPr="00BC31E0" w:rsidRDefault="00A51873" w:rsidP="004736F2">
            <w:pPr>
              <w:spacing w:before="120"/>
              <w:jc w:val="left"/>
              <w:rPr>
                <w:szCs w:val="20"/>
              </w:rPr>
            </w:pPr>
            <m:oMathPara>
              <m:oMathParaPr>
                <m:jc m:val="left"/>
              </m:oMathParaPr>
              <m:oMath>
                <m:sSub>
                  <m:sSubPr>
                    <m:ctrlPr>
                      <w:rPr>
                        <w:rFonts w:ascii="Cambria Math" w:hAnsi="Cambria Math"/>
                        <w:szCs w:val="20"/>
                      </w:rPr>
                    </m:ctrlPr>
                  </m:sSubPr>
                  <m:e>
                    <m:r>
                      <w:rPr>
                        <w:rFonts w:ascii="Cambria Math" w:hAnsi="Cambria Math"/>
                        <w:szCs w:val="20"/>
                      </w:rPr>
                      <m:t>G</m:t>
                    </m:r>
                  </m:e>
                  <m:sub>
                    <m:r>
                      <w:rPr>
                        <w:rFonts w:ascii="Cambria Math" w:hAnsi="Cambria Math"/>
                        <w:szCs w:val="20"/>
                      </w:rPr>
                      <m:t>3</m:t>
                    </m:r>
                  </m:sub>
                </m:sSub>
                <m:r>
                  <w:rPr>
                    <w:rFonts w:ascii="Cambria Math" w:hAnsi="Cambria Math"/>
                    <w:szCs w:val="20"/>
                  </w:rPr>
                  <m:t>=</m:t>
                </m:r>
                <m:d>
                  <m:dPr>
                    <m:ctrlPr>
                      <w:rPr>
                        <w:rFonts w:ascii="Cambria Math" w:hAnsi="Cambria Math"/>
                        <w:szCs w:val="20"/>
                      </w:rPr>
                    </m:ctrlPr>
                  </m:dPr>
                  <m:e>
                    <m:f>
                      <m:fPr>
                        <m:ctrlPr>
                          <w:rPr>
                            <w:rFonts w:ascii="Cambria Math" w:hAnsi="Cambria Math"/>
                            <w:szCs w:val="20"/>
                          </w:rPr>
                        </m:ctrlPr>
                      </m:fPr>
                      <m:num>
                        <m:r>
                          <m:rPr>
                            <m:sty m:val="p"/>
                          </m:rPr>
                          <w:rPr>
                            <w:rFonts w:ascii="Cambria Math" w:hAnsi="Cambria Math"/>
                            <w:szCs w:val="20"/>
                          </w:rPr>
                          <m:t>4</m:t>
                        </m:r>
                      </m:num>
                      <m:den>
                        <m:r>
                          <m:rPr>
                            <m:sty m:val="p"/>
                          </m:rPr>
                          <w:rPr>
                            <w:rFonts w:ascii="Cambria Math" w:hAnsi="Cambria Math"/>
                            <w:szCs w:val="20"/>
                          </w:rPr>
                          <m:t>7</m:t>
                        </m:r>
                      </m:den>
                    </m:f>
                    <m:r>
                      <w:rPr>
                        <w:rFonts w:ascii="Cambria Math" w:hAnsi="Cambria Math"/>
                        <w:szCs w:val="20"/>
                      </w:rPr>
                      <m:t>+</m:t>
                    </m:r>
                    <m:sSub>
                      <m:sSubPr>
                        <m:ctrlPr>
                          <w:rPr>
                            <w:rFonts w:ascii="Cambria Math" w:hAnsi="Cambria Math"/>
                            <w:szCs w:val="20"/>
                          </w:rPr>
                        </m:ctrlPr>
                      </m:sSubPr>
                      <m:e>
                        <m:f>
                          <m:fPr>
                            <m:ctrlPr>
                              <w:rPr>
                                <w:rFonts w:ascii="Cambria Math" w:hAnsi="Cambria Math"/>
                                <w:szCs w:val="20"/>
                              </w:rPr>
                            </m:ctrlPr>
                          </m:fPr>
                          <m:num>
                            <m:r>
                              <m:rPr>
                                <m:sty m:val="p"/>
                              </m:rPr>
                              <w:rPr>
                                <w:rFonts w:ascii="Cambria Math" w:hAnsi="Cambria Math"/>
                                <w:szCs w:val="20"/>
                              </w:rPr>
                              <m:t>1</m:t>
                            </m:r>
                          </m:num>
                          <m:den>
                            <m:r>
                              <m:rPr>
                                <m:sty m:val="p"/>
                              </m:rPr>
                              <w:rPr>
                                <w:rFonts w:ascii="Cambria Math" w:hAnsi="Cambria Math"/>
                                <w:szCs w:val="20"/>
                              </w:rPr>
                              <m:t>2</m:t>
                            </m:r>
                          </m:den>
                        </m:f>
                        <m:r>
                          <w:rPr>
                            <w:rFonts w:ascii="Cambria Math" w:hAnsi="Cambria Math"/>
                            <w:szCs w:val="20"/>
                          </w:rPr>
                          <m:t>N</m:t>
                        </m:r>
                      </m:e>
                      <m:sub>
                        <m:r>
                          <w:rPr>
                            <w:rFonts w:ascii="Cambria Math" w:hAnsi="Cambria Math"/>
                            <w:szCs w:val="20"/>
                          </w:rPr>
                          <m:t>1</m:t>
                        </m:r>
                      </m:sub>
                    </m:sSub>
                    <m:r>
                      <w:rPr>
                        <w:rFonts w:ascii="Cambria Math" w:hAnsi="Cambria Math"/>
                        <w:szCs w:val="20"/>
                      </w:rPr>
                      <m:t>+</m:t>
                    </m:r>
                    <m:f>
                      <m:fPr>
                        <m:ctrlPr>
                          <w:rPr>
                            <w:rFonts w:ascii="Cambria Math" w:hAnsi="Cambria Math"/>
                            <w:szCs w:val="20"/>
                          </w:rPr>
                        </m:ctrlPr>
                      </m:fPr>
                      <m:num>
                        <m:r>
                          <w:rPr>
                            <w:rFonts w:ascii="Cambria Math" w:hAnsi="Cambria Math"/>
                            <w:szCs w:val="20"/>
                          </w:rPr>
                          <m:t>4</m:t>
                        </m:r>
                      </m:num>
                      <m:den>
                        <m:r>
                          <w:rPr>
                            <w:rFonts w:ascii="Cambria Math" w:hAnsi="Cambria Math"/>
                            <w:szCs w:val="20"/>
                          </w:rPr>
                          <m:t>9</m:t>
                        </m:r>
                      </m:den>
                    </m:f>
                    <m:sSub>
                      <m:sSubPr>
                        <m:ctrlPr>
                          <w:rPr>
                            <w:rFonts w:ascii="Cambria Math" w:hAnsi="Cambria Math"/>
                            <w:szCs w:val="20"/>
                          </w:rPr>
                        </m:ctrlPr>
                      </m:sSubPr>
                      <m:e>
                        <m:r>
                          <w:rPr>
                            <w:rFonts w:ascii="Cambria Math" w:hAnsi="Cambria Math"/>
                            <w:szCs w:val="20"/>
                          </w:rPr>
                          <m:t>N</m:t>
                        </m:r>
                      </m:e>
                      <m:sub>
                        <m:r>
                          <w:rPr>
                            <w:rFonts w:ascii="Cambria Math" w:hAnsi="Cambria Math"/>
                            <w:szCs w:val="20"/>
                          </w:rPr>
                          <m:t>2</m:t>
                        </m:r>
                      </m:sub>
                    </m:sSub>
                    <m:r>
                      <w:rPr>
                        <w:rFonts w:ascii="Cambria Math" w:hAnsi="Cambria Math"/>
                        <w:szCs w:val="20"/>
                      </w:rPr>
                      <m:t>+</m:t>
                    </m:r>
                    <m:sSub>
                      <m:sSubPr>
                        <m:ctrlPr>
                          <w:rPr>
                            <w:rFonts w:ascii="Cambria Math" w:hAnsi="Cambria Math"/>
                            <w:szCs w:val="20"/>
                          </w:rPr>
                        </m:ctrlPr>
                      </m:sSubPr>
                      <m:e>
                        <m:f>
                          <m:fPr>
                            <m:ctrlPr>
                              <w:rPr>
                                <w:rFonts w:ascii="Cambria Math" w:hAnsi="Cambria Math"/>
                                <w:szCs w:val="20"/>
                              </w:rPr>
                            </m:ctrlPr>
                          </m:fPr>
                          <m:num>
                            <m:r>
                              <m:rPr>
                                <m:sty m:val="p"/>
                              </m:rPr>
                              <w:rPr>
                                <w:rFonts w:ascii="Cambria Math" w:hAnsi="Cambria Math"/>
                                <w:szCs w:val="20"/>
                              </w:rPr>
                              <m:t>2</m:t>
                            </m:r>
                          </m:num>
                          <m:den>
                            <m:r>
                              <m:rPr>
                                <m:sty m:val="p"/>
                              </m:rPr>
                              <w:rPr>
                                <w:rFonts w:ascii="Cambria Math" w:hAnsi="Cambria Math"/>
                                <w:szCs w:val="20"/>
                              </w:rPr>
                              <m:t>5</m:t>
                            </m:r>
                          </m:den>
                        </m:f>
                        <m:r>
                          <w:rPr>
                            <w:rFonts w:ascii="Cambria Math" w:hAnsi="Cambria Math"/>
                            <w:szCs w:val="20"/>
                          </w:rPr>
                          <m:t>N</m:t>
                        </m:r>
                      </m:e>
                      <m:sub>
                        <m:r>
                          <w:rPr>
                            <w:rFonts w:ascii="Cambria Math" w:hAnsi="Cambria Math"/>
                            <w:szCs w:val="20"/>
                          </w:rPr>
                          <m:t>3</m:t>
                        </m:r>
                      </m:sub>
                    </m:sSub>
                  </m:e>
                </m:d>
                <m:f>
                  <m:fPr>
                    <m:ctrlPr>
                      <w:rPr>
                        <w:rFonts w:ascii="Cambria Math" w:hAnsi="Cambria Math"/>
                        <w:szCs w:val="20"/>
                      </w:rPr>
                    </m:ctrlPr>
                  </m:fPr>
                  <m:num>
                    <m:rad>
                      <m:radPr>
                        <m:degHide m:val="1"/>
                        <m:ctrlPr>
                          <w:rPr>
                            <w:rFonts w:ascii="Cambria Math" w:hAnsi="Cambria Math"/>
                            <w:szCs w:val="20"/>
                          </w:rPr>
                        </m:ctrlPr>
                      </m:radPr>
                      <m:deg/>
                      <m:e>
                        <m:sSup>
                          <m:sSupPr>
                            <m:ctrlPr>
                              <w:rPr>
                                <w:rFonts w:ascii="Cambria Math" w:hAnsi="Cambria Math"/>
                                <w:szCs w:val="20"/>
                              </w:rPr>
                            </m:ctrlPr>
                          </m:sSupPr>
                          <m:e>
                            <m:r>
                              <w:rPr>
                                <w:rFonts w:ascii="Cambria Math" w:hAnsi="Cambria Math"/>
                                <w:szCs w:val="20"/>
                              </w:rPr>
                              <m:t>Q</m:t>
                            </m:r>
                          </m:e>
                          <m:sup>
                            <m:r>
                              <w:rPr>
                                <w:rFonts w:ascii="Cambria Math" w:hAnsi="Cambria Math"/>
                                <w:szCs w:val="20"/>
                              </w:rPr>
                              <m:t>'</m:t>
                            </m:r>
                          </m:sup>
                        </m:sSup>
                      </m:e>
                    </m:rad>
                  </m:num>
                  <m:den>
                    <m:r>
                      <w:rPr>
                        <w:rFonts w:ascii="Cambria Math" w:hAnsi="Cambria Math"/>
                        <w:szCs w:val="20"/>
                      </w:rPr>
                      <m:t>π</m:t>
                    </m:r>
                  </m:den>
                </m:f>
              </m:oMath>
            </m:oMathPara>
          </w:p>
        </w:tc>
        <w:tc>
          <w:tcPr>
            <w:tcW w:w="4022" w:type="dxa"/>
            <w:vMerge/>
            <w:tcMar>
              <w:left w:w="0" w:type="dxa"/>
              <w:right w:w="0" w:type="dxa"/>
            </w:tcMar>
            <w:vAlign w:val="center"/>
          </w:tcPr>
          <w:p w14:paraId="521F9BBE" w14:textId="77777777" w:rsidR="00F52111" w:rsidRPr="00BC31E0" w:rsidRDefault="00F52111" w:rsidP="004736F2">
            <w:pPr>
              <w:spacing w:before="120"/>
              <w:jc w:val="left"/>
              <w:rPr>
                <w:szCs w:val="20"/>
              </w:rPr>
            </w:pPr>
          </w:p>
        </w:tc>
      </w:tr>
      <w:tr w:rsidR="00F52111" w:rsidRPr="00BC31E0" w14:paraId="3294A87E" w14:textId="77777777" w:rsidTr="004736F2">
        <w:tc>
          <w:tcPr>
            <w:tcW w:w="0" w:type="auto"/>
            <w:tcMar>
              <w:left w:w="0" w:type="dxa"/>
              <w:right w:w="0" w:type="dxa"/>
            </w:tcMar>
            <w:vAlign w:val="center"/>
          </w:tcPr>
          <w:p w14:paraId="12235B5F" w14:textId="77777777" w:rsidR="00F52111" w:rsidRPr="00BC31E0" w:rsidRDefault="00A51873" w:rsidP="004736F2">
            <w:pPr>
              <w:spacing w:before="120"/>
              <w:jc w:val="left"/>
              <w:rPr>
                <w:szCs w:val="20"/>
              </w:rPr>
            </w:pPr>
            <m:oMathPara>
              <m:oMathParaPr>
                <m:jc m:val="left"/>
              </m:oMathParaPr>
              <m:oMath>
                <m:sSub>
                  <m:sSubPr>
                    <m:ctrlPr>
                      <w:rPr>
                        <w:rFonts w:ascii="Cambria Math" w:hAnsi="Cambria Math"/>
                        <w:szCs w:val="20"/>
                      </w:rPr>
                    </m:ctrlPr>
                  </m:sSubPr>
                  <m:e>
                    <m:r>
                      <w:rPr>
                        <w:rFonts w:ascii="Cambria Math" w:hAnsi="Cambria Math"/>
                        <w:szCs w:val="20"/>
                      </w:rPr>
                      <m:t>G</m:t>
                    </m:r>
                  </m:e>
                  <m:sub>
                    <m:r>
                      <w:rPr>
                        <w:rFonts w:ascii="Cambria Math" w:hAnsi="Cambria Math"/>
                        <w:szCs w:val="20"/>
                      </w:rPr>
                      <m:t>4</m:t>
                    </m:r>
                  </m:sub>
                </m:sSub>
                <m:r>
                  <w:rPr>
                    <w:rFonts w:ascii="Cambria Math" w:hAnsi="Cambria Math"/>
                    <w:szCs w:val="20"/>
                  </w:rPr>
                  <m:t>=</m:t>
                </m:r>
                <m:d>
                  <m:dPr>
                    <m:ctrlPr>
                      <w:rPr>
                        <w:rFonts w:ascii="Cambria Math" w:hAnsi="Cambria Math"/>
                        <w:szCs w:val="20"/>
                      </w:rPr>
                    </m:ctrlPr>
                  </m:dPr>
                  <m:e>
                    <m:f>
                      <m:fPr>
                        <m:ctrlPr>
                          <w:rPr>
                            <w:rFonts w:ascii="Cambria Math" w:hAnsi="Cambria Math"/>
                            <w:szCs w:val="20"/>
                          </w:rPr>
                        </m:ctrlPr>
                      </m:fPr>
                      <m:num>
                        <m:r>
                          <m:rPr>
                            <m:sty m:val="p"/>
                          </m:rPr>
                          <w:rPr>
                            <w:rFonts w:ascii="Cambria Math" w:hAnsi="Cambria Math"/>
                            <w:szCs w:val="20"/>
                          </w:rPr>
                          <m:t>4</m:t>
                        </m:r>
                      </m:num>
                      <m:den>
                        <m:r>
                          <m:rPr>
                            <m:sty m:val="p"/>
                          </m:rPr>
                          <w:rPr>
                            <w:rFonts w:ascii="Cambria Math" w:hAnsi="Cambria Math"/>
                            <w:szCs w:val="20"/>
                          </w:rPr>
                          <m:t>9</m:t>
                        </m:r>
                      </m:den>
                    </m:f>
                    <m:r>
                      <w:rPr>
                        <w:rFonts w:ascii="Cambria Math" w:hAnsi="Cambria Math"/>
                        <w:szCs w:val="20"/>
                      </w:rPr>
                      <m:t>+</m:t>
                    </m:r>
                    <m:sSub>
                      <m:sSubPr>
                        <m:ctrlPr>
                          <w:rPr>
                            <w:rFonts w:ascii="Cambria Math" w:hAnsi="Cambria Math"/>
                            <w:szCs w:val="20"/>
                          </w:rPr>
                        </m:ctrlPr>
                      </m:sSubPr>
                      <m:e>
                        <m:f>
                          <m:fPr>
                            <m:ctrlPr>
                              <w:rPr>
                                <w:rFonts w:ascii="Cambria Math" w:hAnsi="Cambria Math"/>
                                <w:szCs w:val="20"/>
                              </w:rPr>
                            </m:ctrlPr>
                          </m:fPr>
                          <m:num>
                            <m:r>
                              <m:rPr>
                                <m:sty m:val="p"/>
                              </m:rPr>
                              <w:rPr>
                                <w:rFonts w:ascii="Cambria Math" w:hAnsi="Cambria Math"/>
                                <w:szCs w:val="20"/>
                              </w:rPr>
                              <m:t>2</m:t>
                            </m:r>
                          </m:num>
                          <m:den>
                            <m:r>
                              <m:rPr>
                                <m:sty m:val="p"/>
                              </m:rPr>
                              <w:rPr>
                                <w:rFonts w:ascii="Cambria Math" w:hAnsi="Cambria Math"/>
                                <w:szCs w:val="20"/>
                              </w:rPr>
                              <m:t>5</m:t>
                            </m:r>
                          </m:den>
                        </m:f>
                        <m:r>
                          <w:rPr>
                            <w:rFonts w:ascii="Cambria Math" w:hAnsi="Cambria Math"/>
                            <w:szCs w:val="20"/>
                          </w:rPr>
                          <m:t>N</m:t>
                        </m:r>
                      </m:e>
                      <m:sub>
                        <m:r>
                          <w:rPr>
                            <w:rFonts w:ascii="Cambria Math" w:hAnsi="Cambria Math"/>
                            <w:szCs w:val="20"/>
                          </w:rPr>
                          <m:t>1</m:t>
                        </m:r>
                      </m:sub>
                    </m:sSub>
                    <m:r>
                      <w:rPr>
                        <w:rFonts w:ascii="Cambria Math" w:hAnsi="Cambria Math"/>
                        <w:szCs w:val="20"/>
                      </w:rPr>
                      <m:t>+</m:t>
                    </m:r>
                    <m:f>
                      <m:fPr>
                        <m:ctrlPr>
                          <w:rPr>
                            <w:rFonts w:ascii="Cambria Math" w:hAnsi="Cambria Math"/>
                            <w:szCs w:val="20"/>
                          </w:rPr>
                        </m:ctrlPr>
                      </m:fPr>
                      <m:num>
                        <m:r>
                          <w:rPr>
                            <w:rFonts w:ascii="Cambria Math" w:hAnsi="Cambria Math"/>
                            <w:szCs w:val="20"/>
                          </w:rPr>
                          <m:t>4</m:t>
                        </m:r>
                      </m:num>
                      <m:den>
                        <m:r>
                          <w:rPr>
                            <w:rFonts w:ascii="Cambria Math" w:hAnsi="Cambria Math"/>
                            <w:szCs w:val="20"/>
                          </w:rPr>
                          <m:t>11</m:t>
                        </m:r>
                      </m:den>
                    </m:f>
                    <m:sSub>
                      <m:sSubPr>
                        <m:ctrlPr>
                          <w:rPr>
                            <w:rFonts w:ascii="Cambria Math" w:hAnsi="Cambria Math"/>
                            <w:szCs w:val="20"/>
                          </w:rPr>
                        </m:ctrlPr>
                      </m:sSubPr>
                      <m:e>
                        <m:r>
                          <w:rPr>
                            <w:rFonts w:ascii="Cambria Math" w:hAnsi="Cambria Math"/>
                            <w:szCs w:val="20"/>
                          </w:rPr>
                          <m:t>N</m:t>
                        </m:r>
                      </m:e>
                      <m:sub>
                        <m:r>
                          <w:rPr>
                            <w:rFonts w:ascii="Cambria Math" w:hAnsi="Cambria Math"/>
                            <w:szCs w:val="20"/>
                          </w:rPr>
                          <m:t>2</m:t>
                        </m:r>
                      </m:sub>
                    </m:sSub>
                    <m:r>
                      <w:rPr>
                        <w:rFonts w:ascii="Cambria Math" w:hAnsi="Cambria Math"/>
                        <w:szCs w:val="20"/>
                      </w:rPr>
                      <m:t>+</m:t>
                    </m:r>
                    <m:sSub>
                      <m:sSubPr>
                        <m:ctrlPr>
                          <w:rPr>
                            <w:rFonts w:ascii="Cambria Math" w:hAnsi="Cambria Math"/>
                            <w:szCs w:val="20"/>
                          </w:rPr>
                        </m:ctrlPr>
                      </m:sSubPr>
                      <m:e>
                        <m:f>
                          <m:fPr>
                            <m:ctrlPr>
                              <w:rPr>
                                <w:rFonts w:ascii="Cambria Math" w:hAnsi="Cambria Math"/>
                                <w:szCs w:val="20"/>
                              </w:rPr>
                            </m:ctrlPr>
                          </m:fPr>
                          <m:num>
                            <m:r>
                              <m:rPr>
                                <m:sty m:val="p"/>
                              </m:rPr>
                              <w:rPr>
                                <w:rFonts w:ascii="Cambria Math" w:hAnsi="Cambria Math"/>
                                <w:szCs w:val="20"/>
                              </w:rPr>
                              <m:t>1</m:t>
                            </m:r>
                          </m:num>
                          <m:den>
                            <m:r>
                              <m:rPr>
                                <m:sty m:val="p"/>
                              </m:rPr>
                              <w:rPr>
                                <w:rFonts w:ascii="Cambria Math" w:hAnsi="Cambria Math"/>
                                <w:szCs w:val="20"/>
                              </w:rPr>
                              <m:t>3</m:t>
                            </m:r>
                          </m:den>
                        </m:f>
                        <m:r>
                          <w:rPr>
                            <w:rFonts w:ascii="Cambria Math" w:hAnsi="Cambria Math"/>
                            <w:szCs w:val="20"/>
                          </w:rPr>
                          <m:t>N</m:t>
                        </m:r>
                      </m:e>
                      <m:sub>
                        <m:r>
                          <w:rPr>
                            <w:rFonts w:ascii="Cambria Math" w:hAnsi="Cambria Math"/>
                            <w:szCs w:val="20"/>
                          </w:rPr>
                          <m:t>3</m:t>
                        </m:r>
                      </m:sub>
                    </m:sSub>
                  </m:e>
                </m:d>
                <m:f>
                  <m:fPr>
                    <m:ctrlPr>
                      <w:rPr>
                        <w:rFonts w:ascii="Cambria Math" w:hAnsi="Cambria Math"/>
                        <w:szCs w:val="20"/>
                      </w:rPr>
                    </m:ctrlPr>
                  </m:fPr>
                  <m:num>
                    <m:rad>
                      <m:radPr>
                        <m:degHide m:val="1"/>
                        <m:ctrlPr>
                          <w:rPr>
                            <w:rFonts w:ascii="Cambria Math" w:hAnsi="Cambria Math"/>
                            <w:szCs w:val="20"/>
                          </w:rPr>
                        </m:ctrlPr>
                      </m:radPr>
                      <m:deg/>
                      <m:e>
                        <m:sSup>
                          <m:sSupPr>
                            <m:ctrlPr>
                              <w:rPr>
                                <w:rFonts w:ascii="Cambria Math" w:hAnsi="Cambria Math"/>
                                <w:szCs w:val="20"/>
                              </w:rPr>
                            </m:ctrlPr>
                          </m:sSupPr>
                          <m:e>
                            <m:r>
                              <w:rPr>
                                <w:rFonts w:ascii="Cambria Math" w:hAnsi="Cambria Math"/>
                                <w:szCs w:val="20"/>
                              </w:rPr>
                              <m:t>Q</m:t>
                            </m:r>
                          </m:e>
                          <m:sup>
                            <m:r>
                              <w:rPr>
                                <w:rFonts w:ascii="Cambria Math" w:hAnsi="Cambria Math"/>
                                <w:szCs w:val="20"/>
                              </w:rPr>
                              <m:t>'</m:t>
                            </m:r>
                          </m:sup>
                        </m:sSup>
                      </m:e>
                    </m:rad>
                  </m:num>
                  <m:den>
                    <m:r>
                      <w:rPr>
                        <w:rFonts w:ascii="Cambria Math" w:hAnsi="Cambria Math"/>
                        <w:szCs w:val="20"/>
                      </w:rPr>
                      <m:t>π</m:t>
                    </m:r>
                  </m:den>
                </m:f>
              </m:oMath>
            </m:oMathPara>
          </w:p>
        </w:tc>
        <w:tc>
          <w:tcPr>
            <w:tcW w:w="4022" w:type="dxa"/>
            <w:vMerge/>
            <w:tcMar>
              <w:left w:w="0" w:type="dxa"/>
              <w:right w:w="0" w:type="dxa"/>
            </w:tcMar>
            <w:vAlign w:val="center"/>
          </w:tcPr>
          <w:p w14:paraId="71750D85" w14:textId="77777777" w:rsidR="00F52111" w:rsidRPr="00BC31E0" w:rsidRDefault="00F52111" w:rsidP="004736F2">
            <w:pPr>
              <w:spacing w:before="120"/>
              <w:jc w:val="left"/>
              <w:rPr>
                <w:szCs w:val="20"/>
              </w:rPr>
            </w:pPr>
          </w:p>
        </w:tc>
      </w:tr>
      <w:tr w:rsidR="00F52111" w:rsidRPr="00BC31E0" w14:paraId="6F737BD5" w14:textId="77777777" w:rsidTr="004736F2">
        <w:tc>
          <w:tcPr>
            <w:tcW w:w="0" w:type="auto"/>
            <w:tcMar>
              <w:left w:w="0" w:type="dxa"/>
              <w:right w:w="0" w:type="dxa"/>
            </w:tcMar>
            <w:vAlign w:val="center"/>
          </w:tcPr>
          <w:p w14:paraId="0C10C94F" w14:textId="77777777" w:rsidR="00F52111" w:rsidRPr="00BC31E0" w:rsidRDefault="00A51873" w:rsidP="004736F2">
            <w:pPr>
              <w:spacing w:before="120"/>
              <w:jc w:val="left"/>
              <w:rPr>
                <w:szCs w:val="20"/>
              </w:rPr>
            </w:pPr>
            <m:oMathPara>
              <m:oMathParaPr>
                <m:jc m:val="left"/>
              </m:oMathParaPr>
              <m:oMath>
                <m:sSub>
                  <m:sSubPr>
                    <m:ctrlPr>
                      <w:rPr>
                        <w:rFonts w:ascii="Cambria Math" w:hAnsi="Cambria Math"/>
                        <w:szCs w:val="20"/>
                      </w:rPr>
                    </m:ctrlPr>
                  </m:sSubPr>
                  <m:e>
                    <m:r>
                      <w:rPr>
                        <w:rFonts w:ascii="Cambria Math" w:hAnsi="Cambria Math"/>
                        <w:szCs w:val="20"/>
                      </w:rPr>
                      <m:t>G</m:t>
                    </m:r>
                  </m:e>
                  <m:sub>
                    <m:r>
                      <w:rPr>
                        <w:rFonts w:ascii="Cambria Math" w:hAnsi="Cambria Math"/>
                        <w:szCs w:val="20"/>
                      </w:rPr>
                      <m:t>5</m:t>
                    </m:r>
                  </m:sub>
                </m:sSub>
                <m:r>
                  <w:rPr>
                    <w:rFonts w:ascii="Cambria Math" w:hAnsi="Cambria Math"/>
                    <w:szCs w:val="20"/>
                  </w:rPr>
                  <m:t>=</m:t>
                </m:r>
                <m:d>
                  <m:dPr>
                    <m:ctrlPr>
                      <w:rPr>
                        <w:rFonts w:ascii="Cambria Math" w:hAnsi="Cambria Math"/>
                        <w:szCs w:val="20"/>
                      </w:rPr>
                    </m:ctrlPr>
                  </m:dPr>
                  <m:e>
                    <m:f>
                      <m:fPr>
                        <m:ctrlPr>
                          <w:rPr>
                            <w:rFonts w:ascii="Cambria Math" w:hAnsi="Cambria Math"/>
                            <w:szCs w:val="20"/>
                          </w:rPr>
                        </m:ctrlPr>
                      </m:fPr>
                      <m:num>
                        <m:r>
                          <m:rPr>
                            <m:sty m:val="p"/>
                          </m:rPr>
                          <w:rPr>
                            <w:rFonts w:ascii="Cambria Math" w:hAnsi="Cambria Math"/>
                            <w:szCs w:val="20"/>
                          </w:rPr>
                          <m:t>4</m:t>
                        </m:r>
                      </m:num>
                      <m:den>
                        <m:r>
                          <m:rPr>
                            <m:sty m:val="p"/>
                          </m:rPr>
                          <w:rPr>
                            <w:rFonts w:ascii="Cambria Math" w:hAnsi="Cambria Math"/>
                            <w:szCs w:val="20"/>
                          </w:rPr>
                          <m:t>11</m:t>
                        </m:r>
                      </m:den>
                    </m:f>
                    <m:r>
                      <w:rPr>
                        <w:rFonts w:ascii="Cambria Math" w:hAnsi="Cambria Math"/>
                        <w:szCs w:val="20"/>
                      </w:rPr>
                      <m:t>+</m:t>
                    </m:r>
                    <m:sSub>
                      <m:sSubPr>
                        <m:ctrlPr>
                          <w:rPr>
                            <w:rFonts w:ascii="Cambria Math" w:hAnsi="Cambria Math"/>
                            <w:szCs w:val="20"/>
                          </w:rPr>
                        </m:ctrlPr>
                      </m:sSubPr>
                      <m:e>
                        <m:f>
                          <m:fPr>
                            <m:ctrlPr>
                              <w:rPr>
                                <w:rFonts w:ascii="Cambria Math" w:hAnsi="Cambria Math"/>
                                <w:szCs w:val="20"/>
                              </w:rPr>
                            </m:ctrlPr>
                          </m:fPr>
                          <m:num>
                            <m:r>
                              <m:rPr>
                                <m:sty m:val="p"/>
                              </m:rPr>
                              <w:rPr>
                                <w:rFonts w:ascii="Cambria Math" w:hAnsi="Cambria Math"/>
                                <w:szCs w:val="20"/>
                              </w:rPr>
                              <m:t>1</m:t>
                            </m:r>
                          </m:num>
                          <m:den>
                            <m:r>
                              <m:rPr>
                                <m:sty m:val="p"/>
                              </m:rPr>
                              <w:rPr>
                                <w:rFonts w:ascii="Cambria Math" w:hAnsi="Cambria Math"/>
                                <w:szCs w:val="20"/>
                              </w:rPr>
                              <m:t>3</m:t>
                            </m:r>
                          </m:den>
                        </m:f>
                        <m:r>
                          <w:rPr>
                            <w:rFonts w:ascii="Cambria Math" w:hAnsi="Cambria Math"/>
                            <w:szCs w:val="20"/>
                          </w:rPr>
                          <m:t>N</m:t>
                        </m:r>
                      </m:e>
                      <m:sub>
                        <m:r>
                          <w:rPr>
                            <w:rFonts w:ascii="Cambria Math" w:hAnsi="Cambria Math"/>
                            <w:szCs w:val="20"/>
                          </w:rPr>
                          <m:t>1</m:t>
                        </m:r>
                      </m:sub>
                    </m:sSub>
                    <m:r>
                      <w:rPr>
                        <w:rFonts w:ascii="Cambria Math" w:hAnsi="Cambria Math"/>
                        <w:szCs w:val="20"/>
                      </w:rPr>
                      <m:t>+</m:t>
                    </m:r>
                    <m:f>
                      <m:fPr>
                        <m:ctrlPr>
                          <w:rPr>
                            <w:rFonts w:ascii="Cambria Math" w:hAnsi="Cambria Math"/>
                            <w:szCs w:val="20"/>
                          </w:rPr>
                        </m:ctrlPr>
                      </m:fPr>
                      <m:num>
                        <m:r>
                          <w:rPr>
                            <w:rFonts w:ascii="Cambria Math" w:hAnsi="Cambria Math"/>
                            <w:szCs w:val="20"/>
                          </w:rPr>
                          <m:t>4</m:t>
                        </m:r>
                      </m:num>
                      <m:den>
                        <m:r>
                          <w:rPr>
                            <w:rFonts w:ascii="Cambria Math" w:hAnsi="Cambria Math"/>
                            <w:szCs w:val="20"/>
                          </w:rPr>
                          <m:t>13</m:t>
                        </m:r>
                      </m:den>
                    </m:f>
                    <m:sSub>
                      <m:sSubPr>
                        <m:ctrlPr>
                          <w:rPr>
                            <w:rFonts w:ascii="Cambria Math" w:hAnsi="Cambria Math"/>
                            <w:szCs w:val="20"/>
                          </w:rPr>
                        </m:ctrlPr>
                      </m:sSubPr>
                      <m:e>
                        <m:r>
                          <w:rPr>
                            <w:rFonts w:ascii="Cambria Math" w:hAnsi="Cambria Math"/>
                            <w:szCs w:val="20"/>
                          </w:rPr>
                          <m:t>N</m:t>
                        </m:r>
                      </m:e>
                      <m:sub>
                        <m:r>
                          <w:rPr>
                            <w:rFonts w:ascii="Cambria Math" w:hAnsi="Cambria Math"/>
                            <w:szCs w:val="20"/>
                          </w:rPr>
                          <m:t>2</m:t>
                        </m:r>
                      </m:sub>
                    </m:sSub>
                    <m:r>
                      <w:rPr>
                        <w:rFonts w:ascii="Cambria Math" w:hAnsi="Cambria Math"/>
                        <w:szCs w:val="20"/>
                      </w:rPr>
                      <m:t>+</m:t>
                    </m:r>
                    <m:sSub>
                      <m:sSubPr>
                        <m:ctrlPr>
                          <w:rPr>
                            <w:rFonts w:ascii="Cambria Math" w:hAnsi="Cambria Math"/>
                            <w:szCs w:val="20"/>
                          </w:rPr>
                        </m:ctrlPr>
                      </m:sSubPr>
                      <m:e>
                        <m:f>
                          <m:fPr>
                            <m:ctrlPr>
                              <w:rPr>
                                <w:rFonts w:ascii="Cambria Math" w:hAnsi="Cambria Math"/>
                                <w:szCs w:val="20"/>
                              </w:rPr>
                            </m:ctrlPr>
                          </m:fPr>
                          <m:num>
                            <m:r>
                              <m:rPr>
                                <m:sty m:val="p"/>
                              </m:rPr>
                              <w:rPr>
                                <w:rFonts w:ascii="Cambria Math" w:hAnsi="Cambria Math"/>
                                <w:szCs w:val="20"/>
                              </w:rPr>
                              <m:t>2</m:t>
                            </m:r>
                          </m:num>
                          <m:den>
                            <m:r>
                              <m:rPr>
                                <m:sty m:val="p"/>
                              </m:rPr>
                              <w:rPr>
                                <w:rFonts w:ascii="Cambria Math" w:hAnsi="Cambria Math"/>
                                <w:szCs w:val="20"/>
                              </w:rPr>
                              <m:t>7</m:t>
                            </m:r>
                          </m:den>
                        </m:f>
                        <m:r>
                          <w:rPr>
                            <w:rFonts w:ascii="Cambria Math" w:hAnsi="Cambria Math"/>
                            <w:szCs w:val="20"/>
                          </w:rPr>
                          <m:t>N</m:t>
                        </m:r>
                      </m:e>
                      <m:sub>
                        <m:r>
                          <w:rPr>
                            <w:rFonts w:ascii="Cambria Math" w:hAnsi="Cambria Math"/>
                            <w:szCs w:val="20"/>
                          </w:rPr>
                          <m:t>3</m:t>
                        </m:r>
                      </m:sub>
                    </m:sSub>
                  </m:e>
                </m:d>
                <m:f>
                  <m:fPr>
                    <m:ctrlPr>
                      <w:rPr>
                        <w:rFonts w:ascii="Cambria Math" w:hAnsi="Cambria Math"/>
                        <w:szCs w:val="20"/>
                      </w:rPr>
                    </m:ctrlPr>
                  </m:fPr>
                  <m:num>
                    <m:rad>
                      <m:radPr>
                        <m:degHide m:val="1"/>
                        <m:ctrlPr>
                          <w:rPr>
                            <w:rFonts w:ascii="Cambria Math" w:hAnsi="Cambria Math"/>
                            <w:szCs w:val="20"/>
                          </w:rPr>
                        </m:ctrlPr>
                      </m:radPr>
                      <m:deg/>
                      <m:e>
                        <m:sSup>
                          <m:sSupPr>
                            <m:ctrlPr>
                              <w:rPr>
                                <w:rFonts w:ascii="Cambria Math" w:hAnsi="Cambria Math"/>
                                <w:szCs w:val="20"/>
                              </w:rPr>
                            </m:ctrlPr>
                          </m:sSupPr>
                          <m:e>
                            <m:r>
                              <w:rPr>
                                <w:rFonts w:ascii="Cambria Math" w:hAnsi="Cambria Math"/>
                                <w:szCs w:val="20"/>
                              </w:rPr>
                              <m:t>Q</m:t>
                            </m:r>
                          </m:e>
                          <m:sup>
                            <m:r>
                              <w:rPr>
                                <w:rFonts w:ascii="Cambria Math" w:hAnsi="Cambria Math"/>
                                <w:szCs w:val="20"/>
                              </w:rPr>
                              <m:t>'</m:t>
                            </m:r>
                          </m:sup>
                        </m:sSup>
                      </m:e>
                    </m:rad>
                  </m:num>
                  <m:den>
                    <m:r>
                      <w:rPr>
                        <w:rFonts w:ascii="Cambria Math" w:hAnsi="Cambria Math"/>
                        <w:szCs w:val="20"/>
                      </w:rPr>
                      <m:t>π</m:t>
                    </m:r>
                  </m:den>
                </m:f>
              </m:oMath>
            </m:oMathPara>
          </w:p>
        </w:tc>
        <w:tc>
          <w:tcPr>
            <w:tcW w:w="4022" w:type="dxa"/>
            <w:vMerge/>
            <w:tcMar>
              <w:left w:w="0" w:type="dxa"/>
              <w:right w:w="0" w:type="dxa"/>
            </w:tcMar>
            <w:vAlign w:val="center"/>
          </w:tcPr>
          <w:p w14:paraId="7B07A5E0" w14:textId="77777777" w:rsidR="00F52111" w:rsidRPr="00BC31E0" w:rsidRDefault="00F52111" w:rsidP="004736F2">
            <w:pPr>
              <w:spacing w:before="120"/>
              <w:jc w:val="left"/>
              <w:rPr>
                <w:szCs w:val="20"/>
              </w:rPr>
            </w:pPr>
          </w:p>
        </w:tc>
      </w:tr>
    </w:tbl>
    <w:p w14:paraId="3C628527" w14:textId="77777777" w:rsidR="00F52111" w:rsidRPr="00BC31E0" w:rsidRDefault="00F52111" w:rsidP="008E244C">
      <w:pPr>
        <w:tabs>
          <w:tab w:val="left" w:pos="1701"/>
        </w:tabs>
        <w:autoSpaceDE w:val="0"/>
        <w:autoSpaceDN w:val="0"/>
        <w:adjustRightInd w:val="0"/>
        <w:spacing w:before="120" w:after="120"/>
        <w:jc w:val="left"/>
        <w:rPr>
          <w:kern w:val="0"/>
        </w:rPr>
      </w:pPr>
      <w:r w:rsidRPr="00BC31E0">
        <w:rPr>
          <w:rFonts w:hint="eastAsia"/>
          <w:kern w:val="0"/>
        </w:rPr>
        <w:tab/>
      </w:r>
      <w:r w:rsidRPr="00BC31E0">
        <w:rPr>
          <w:rFonts w:hint="eastAsia"/>
          <w:kern w:val="0"/>
        </w:rPr>
        <w:t>ここで，</w:t>
      </w:r>
      <w:r w:rsidRPr="00BC31E0">
        <w:rPr>
          <w:kern w:val="0"/>
        </w:rPr>
        <w:t xml:space="preserve"> </w:t>
      </w:r>
      <m:oMath>
        <m:sSub>
          <m:sSubPr>
            <m:ctrlPr>
              <w:rPr>
                <w:rFonts w:ascii="Cambria Math" w:hAnsi="Cambria Math"/>
                <w:szCs w:val="20"/>
              </w:rPr>
            </m:ctrlPr>
          </m:sSubPr>
          <m:e>
            <m:r>
              <w:rPr>
                <w:rFonts w:ascii="Cambria Math" w:hAnsi="Cambria Math"/>
                <w:szCs w:val="20"/>
              </w:rPr>
              <m:t>N</m:t>
            </m:r>
          </m:e>
          <m:sub>
            <m:r>
              <w:rPr>
                <w:rFonts w:ascii="Cambria Math" w:hAnsi="Cambria Math"/>
                <w:szCs w:val="20"/>
              </w:rPr>
              <m:t>1</m:t>
            </m:r>
          </m:sub>
        </m:sSub>
      </m:oMath>
      <w:r w:rsidRPr="00BC31E0">
        <w:rPr>
          <w:rFonts w:hint="eastAsia"/>
          <w:kern w:val="0"/>
        </w:rPr>
        <w:t>～</w:t>
      </w:r>
      <m:oMath>
        <m:sSub>
          <m:sSubPr>
            <m:ctrlPr>
              <w:rPr>
                <w:rFonts w:ascii="Cambria Math" w:hAnsi="Cambria Math"/>
                <w:szCs w:val="20"/>
              </w:rPr>
            </m:ctrlPr>
          </m:sSubPr>
          <m:e>
            <m:r>
              <w:rPr>
                <w:rFonts w:ascii="Cambria Math" w:hAnsi="Cambria Math"/>
                <w:szCs w:val="20"/>
              </w:rPr>
              <m:t>N</m:t>
            </m:r>
          </m:e>
          <m:sub>
            <m:r>
              <w:rPr>
                <w:rFonts w:ascii="Cambria Math" w:hAnsi="Cambria Math"/>
                <w:szCs w:val="20"/>
              </w:rPr>
              <m:t>3</m:t>
            </m:r>
          </m:sub>
        </m:sSub>
        <m:r>
          <m:rPr>
            <m:sty m:val="p"/>
          </m:rPr>
          <w:rPr>
            <w:rFonts w:ascii="Cambria Math" w:hAnsi="Cambria Math"/>
            <w:szCs w:val="20"/>
          </w:rPr>
          <m:t xml:space="preserve"> </m:t>
        </m:r>
      </m:oMath>
      <w:r w:rsidRPr="00BC31E0">
        <w:rPr>
          <w:rFonts w:hint="eastAsia"/>
          <w:szCs w:val="20"/>
        </w:rPr>
        <w:t>及び</w:t>
      </w:r>
      <m:oMath>
        <m:r>
          <m:rPr>
            <m:sty m:val="p"/>
          </m:rPr>
          <w:rPr>
            <w:rFonts w:ascii="Cambria Math" w:hAnsi="Cambria Math"/>
            <w:szCs w:val="20"/>
          </w:rPr>
          <m:t xml:space="preserve"> </m:t>
        </m:r>
        <m:sSup>
          <m:sSupPr>
            <m:ctrlPr>
              <w:rPr>
                <w:rFonts w:ascii="Cambria Math" w:hAnsi="Cambria Math"/>
                <w:i/>
                <w:szCs w:val="20"/>
              </w:rPr>
            </m:ctrlPr>
          </m:sSupPr>
          <m:e>
            <m:r>
              <w:rPr>
                <w:rFonts w:ascii="Cambria Math" w:hAnsi="Cambria Math"/>
                <w:szCs w:val="20"/>
              </w:rPr>
              <m:t>Q</m:t>
            </m:r>
          </m:e>
          <m:sup>
            <m:r>
              <w:rPr>
                <w:rFonts w:ascii="Cambria Math" w:hAnsi="Cambria Math"/>
                <w:szCs w:val="20"/>
              </w:rPr>
              <m:t>'</m:t>
            </m:r>
          </m:sup>
        </m:sSup>
        <m:r>
          <w:rPr>
            <w:rFonts w:ascii="Cambria Math" w:hAnsi="Cambria Math"/>
            <w:szCs w:val="20"/>
          </w:rPr>
          <m:t xml:space="preserve"> </m:t>
        </m:r>
      </m:oMath>
      <w:r w:rsidRPr="00BC31E0">
        <w:rPr>
          <w:rFonts w:hint="eastAsia"/>
          <w:kern w:val="0"/>
        </w:rPr>
        <w:t>は次式で与えられる</w:t>
      </w:r>
      <w:r w:rsidRPr="00BC31E0">
        <w:rPr>
          <w:rFonts w:ascii="ＭＳ ゴシック" w:eastAsia="ＭＳ ゴシック" w:hint="eastAsia"/>
          <w:b/>
          <w:kern w:val="0"/>
          <w:vertAlign w:val="superscript"/>
        </w:rPr>
        <w:t>3</w:t>
      </w:r>
      <w:r w:rsidRPr="00BC31E0">
        <w:rPr>
          <w:rFonts w:ascii="ＭＳ ゴシック" w:eastAsia="ＭＳ ゴシック"/>
          <w:b/>
          <w:kern w:val="0"/>
          <w:vertAlign w:val="superscript"/>
        </w:rPr>
        <w:t>)</w:t>
      </w:r>
      <w:r w:rsidRPr="00BC31E0">
        <w:rPr>
          <w:rFonts w:asciiTheme="minorEastAsia" w:eastAsiaTheme="minorEastAsia" w:hAnsiTheme="minorEastAsia" w:hint="eastAsia"/>
          <w:kern w:val="0"/>
          <w:vertAlign w:val="superscript"/>
        </w:rPr>
        <w:t>,</w:t>
      </w:r>
      <w:r w:rsidRPr="00BC31E0">
        <w:rPr>
          <w:rFonts w:ascii="ＭＳ ゴシック" w:eastAsia="ＭＳ ゴシック" w:hint="eastAsia"/>
          <w:b/>
          <w:kern w:val="0"/>
          <w:vertAlign w:val="superscript"/>
        </w:rPr>
        <w:t>4</w:t>
      </w:r>
      <w:r w:rsidRPr="00BC31E0">
        <w:rPr>
          <w:rFonts w:ascii="ＭＳ ゴシック" w:eastAsia="ＭＳ ゴシック"/>
          <w:b/>
          <w:kern w:val="0"/>
          <w:vertAlign w:val="superscript"/>
        </w:rPr>
        <w:t>)</w:t>
      </w:r>
      <w:r w:rsidRPr="00BC31E0">
        <w:rPr>
          <w:rFonts w:hint="eastAsia"/>
          <w:kern w:val="0"/>
        </w:rPr>
        <w:t>。</w:t>
      </w:r>
    </w:p>
    <w:tbl>
      <w:tblPr>
        <w:tblStyle w:val="afff2"/>
        <w:tblW w:w="0" w:type="auto"/>
        <w:tblInd w:w="2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7"/>
      </w:tblGrid>
      <w:tr w:rsidR="00F52111" w:rsidRPr="00BC31E0" w14:paraId="38D29513" w14:textId="77777777" w:rsidTr="004736F2">
        <w:tc>
          <w:tcPr>
            <w:tcW w:w="0" w:type="auto"/>
            <w:tcMar>
              <w:left w:w="0" w:type="dxa"/>
              <w:right w:w="0" w:type="dxa"/>
            </w:tcMar>
            <w:vAlign w:val="center"/>
          </w:tcPr>
          <w:p w14:paraId="2A9AFCDD" w14:textId="77777777" w:rsidR="00F52111" w:rsidRPr="00BC31E0" w:rsidRDefault="00A51873" w:rsidP="004736F2">
            <w:pPr>
              <w:autoSpaceDE w:val="0"/>
              <w:autoSpaceDN w:val="0"/>
              <w:adjustRightInd w:val="0"/>
              <w:jc w:val="left"/>
              <w:rPr>
                <w:kern w:val="0"/>
              </w:rPr>
            </w:pPr>
            <m:oMathPara>
              <m:oMathParaPr>
                <m:jc m:val="left"/>
              </m:oMathParaPr>
              <m:oMath>
                <m:sSub>
                  <m:sSubPr>
                    <m:ctrlPr>
                      <w:rPr>
                        <w:rFonts w:ascii="Cambria Math" w:hAnsi="Cambria Math"/>
                        <w:kern w:val="0"/>
                      </w:rPr>
                    </m:ctrlPr>
                  </m:sSubPr>
                  <m:e>
                    <m:r>
                      <w:rPr>
                        <w:rFonts w:ascii="Cambria Math" w:hAnsi="Cambria Math"/>
                        <w:kern w:val="0"/>
                      </w:rPr>
                      <m:t>N</m:t>
                    </m:r>
                  </m:e>
                  <m:sub>
                    <m:r>
                      <w:rPr>
                        <w:rFonts w:ascii="Cambria Math" w:hAnsi="Cambria Math"/>
                        <w:kern w:val="0"/>
                      </w:rPr>
                      <m:t>1</m:t>
                    </m:r>
                  </m:sub>
                </m:sSub>
                <m:r>
                  <w:rPr>
                    <w:rFonts w:ascii="Cambria Math" w:hAnsi="Cambria Math"/>
                    <w:kern w:val="0"/>
                  </w:rPr>
                  <m:t>=</m:t>
                </m:r>
                <m:f>
                  <m:fPr>
                    <m:ctrlPr>
                      <w:rPr>
                        <w:rFonts w:ascii="Cambria Math" w:hAnsi="Cambria Math"/>
                        <w:kern w:val="0"/>
                      </w:rPr>
                    </m:ctrlPr>
                  </m:fPr>
                  <m:num>
                    <m:r>
                      <w:rPr>
                        <w:rFonts w:ascii="Cambria Math" w:hAnsi="Cambria Math"/>
                        <w:kern w:val="0"/>
                      </w:rPr>
                      <m:t>π</m:t>
                    </m:r>
                  </m:num>
                  <m:den>
                    <m:rad>
                      <m:radPr>
                        <m:degHide m:val="1"/>
                        <m:ctrlPr>
                          <w:rPr>
                            <w:rFonts w:ascii="Cambria Math" w:hAnsi="Cambria Math"/>
                            <w:kern w:val="0"/>
                          </w:rPr>
                        </m:ctrlPr>
                      </m:radPr>
                      <m:deg/>
                      <m:e>
                        <m:sSup>
                          <m:sSupPr>
                            <m:ctrlPr>
                              <w:rPr>
                                <w:rFonts w:ascii="Cambria Math" w:hAnsi="Cambria Math"/>
                                <w:kern w:val="0"/>
                              </w:rPr>
                            </m:ctrlPr>
                          </m:sSupPr>
                          <m:e>
                            <m:r>
                              <w:rPr>
                                <w:rFonts w:ascii="Cambria Math" w:hAnsi="Cambria Math"/>
                                <w:kern w:val="0"/>
                              </w:rPr>
                              <m:t>Q</m:t>
                            </m:r>
                          </m:e>
                          <m:sup>
                            <m:r>
                              <w:rPr>
                                <w:rFonts w:ascii="Cambria Math" w:hAnsi="Cambria Math"/>
                                <w:kern w:val="0"/>
                              </w:rPr>
                              <m:t>'</m:t>
                            </m:r>
                          </m:sup>
                        </m:sSup>
                      </m:e>
                    </m:rad>
                  </m:den>
                </m:f>
                <m:d>
                  <m:dPr>
                    <m:ctrlPr>
                      <w:rPr>
                        <w:rFonts w:ascii="Cambria Math" w:hAnsi="Cambria Math"/>
                        <w:kern w:val="0"/>
                      </w:rPr>
                    </m:ctrlPr>
                  </m:dPr>
                  <m:e>
                    <m:r>
                      <w:rPr>
                        <w:rFonts w:ascii="Cambria Math" w:hAnsi="Cambria Math"/>
                        <w:kern w:val="0"/>
                      </w:rPr>
                      <m:t>15</m:t>
                    </m:r>
                    <m:sSub>
                      <m:sSubPr>
                        <m:ctrlPr>
                          <w:rPr>
                            <w:rFonts w:ascii="Cambria Math" w:hAnsi="Cambria Math"/>
                            <w:kern w:val="0"/>
                          </w:rPr>
                        </m:ctrlPr>
                      </m:sSubPr>
                      <m:e>
                        <m:r>
                          <w:rPr>
                            <w:rFonts w:ascii="Cambria Math" w:hAnsi="Cambria Math"/>
                            <w:kern w:val="0"/>
                          </w:rPr>
                          <m:t>F</m:t>
                        </m:r>
                      </m:e>
                      <m:sub>
                        <m:r>
                          <w:rPr>
                            <w:rFonts w:ascii="Cambria Math" w:hAnsi="Cambria Math"/>
                            <w:kern w:val="0"/>
                          </w:rPr>
                          <m:t>1</m:t>
                        </m:r>
                      </m:sub>
                    </m:sSub>
                    <m:r>
                      <w:rPr>
                        <w:rFonts w:ascii="Cambria Math" w:hAnsi="Cambria Math"/>
                        <w:kern w:val="0"/>
                      </w:rPr>
                      <m:t>-9</m:t>
                    </m:r>
                    <m:sSub>
                      <m:sSubPr>
                        <m:ctrlPr>
                          <w:rPr>
                            <w:rFonts w:ascii="Cambria Math" w:hAnsi="Cambria Math"/>
                            <w:kern w:val="0"/>
                          </w:rPr>
                        </m:ctrlPr>
                      </m:sSubPr>
                      <m:e>
                        <m:r>
                          <w:rPr>
                            <w:rFonts w:ascii="Cambria Math" w:hAnsi="Cambria Math"/>
                            <w:kern w:val="0"/>
                          </w:rPr>
                          <m:t>F</m:t>
                        </m:r>
                      </m:e>
                      <m:sub>
                        <m:r>
                          <w:rPr>
                            <w:rFonts w:ascii="Cambria Math" w:hAnsi="Cambria Math"/>
                            <w:kern w:val="0"/>
                          </w:rPr>
                          <m:t>0</m:t>
                        </m:r>
                      </m:sub>
                    </m:sSub>
                  </m:e>
                </m:d>
                <m:r>
                  <w:rPr>
                    <w:rFonts w:ascii="Cambria Math" w:hAnsi="Cambria Math"/>
                    <w:kern w:val="0"/>
                  </w:rPr>
                  <m:t>-8</m:t>
                </m:r>
              </m:oMath>
            </m:oMathPara>
          </w:p>
          <w:p w14:paraId="16E38002" w14:textId="77777777" w:rsidR="00F52111" w:rsidRPr="00BC31E0" w:rsidRDefault="00A51873" w:rsidP="004736F2">
            <w:pPr>
              <w:autoSpaceDE w:val="0"/>
              <w:autoSpaceDN w:val="0"/>
              <w:adjustRightInd w:val="0"/>
              <w:spacing w:before="60"/>
              <w:jc w:val="left"/>
              <w:rPr>
                <w:kern w:val="0"/>
              </w:rPr>
            </w:pPr>
            <m:oMathPara>
              <m:oMathParaPr>
                <m:jc m:val="left"/>
              </m:oMathParaPr>
              <m:oMath>
                <m:sSub>
                  <m:sSubPr>
                    <m:ctrlPr>
                      <w:rPr>
                        <w:rFonts w:ascii="Cambria Math" w:hAnsi="Cambria Math"/>
                        <w:kern w:val="0"/>
                      </w:rPr>
                    </m:ctrlPr>
                  </m:sSubPr>
                  <m:e>
                    <m:r>
                      <w:rPr>
                        <w:rFonts w:ascii="Cambria Math" w:hAnsi="Cambria Math"/>
                        <w:kern w:val="0"/>
                      </w:rPr>
                      <m:t>N</m:t>
                    </m:r>
                  </m:e>
                  <m:sub>
                    <m:r>
                      <w:rPr>
                        <w:rFonts w:ascii="Cambria Math" w:hAnsi="Cambria Math"/>
                        <w:kern w:val="0"/>
                      </w:rPr>
                      <m:t>2</m:t>
                    </m:r>
                  </m:sub>
                </m:sSub>
                <m:r>
                  <w:rPr>
                    <w:rFonts w:ascii="Cambria Math" w:hAnsi="Cambria Math"/>
                    <w:kern w:val="0"/>
                  </w:rPr>
                  <m:t>=</m:t>
                </m:r>
                <m:f>
                  <m:fPr>
                    <m:ctrlPr>
                      <w:rPr>
                        <w:rFonts w:ascii="Cambria Math" w:hAnsi="Cambria Math"/>
                        <w:kern w:val="0"/>
                      </w:rPr>
                    </m:ctrlPr>
                  </m:fPr>
                  <m:num>
                    <m:r>
                      <w:rPr>
                        <w:rFonts w:ascii="Cambria Math" w:hAnsi="Cambria Math"/>
                        <w:kern w:val="0"/>
                      </w:rPr>
                      <m:t>π</m:t>
                    </m:r>
                  </m:num>
                  <m:den>
                    <m:rad>
                      <m:radPr>
                        <m:degHide m:val="1"/>
                        <m:ctrlPr>
                          <w:rPr>
                            <w:rFonts w:ascii="Cambria Math" w:hAnsi="Cambria Math"/>
                            <w:kern w:val="0"/>
                          </w:rPr>
                        </m:ctrlPr>
                      </m:radPr>
                      <m:deg/>
                      <m:e>
                        <m:sSup>
                          <m:sSupPr>
                            <m:ctrlPr>
                              <w:rPr>
                                <w:rFonts w:ascii="Cambria Math" w:hAnsi="Cambria Math"/>
                                <w:kern w:val="0"/>
                              </w:rPr>
                            </m:ctrlPr>
                          </m:sSupPr>
                          <m:e>
                            <m:r>
                              <w:rPr>
                                <w:rFonts w:ascii="Cambria Math" w:hAnsi="Cambria Math"/>
                                <w:kern w:val="0"/>
                              </w:rPr>
                              <m:t>Q</m:t>
                            </m:r>
                          </m:e>
                          <m:sup>
                            <m:r>
                              <w:rPr>
                                <w:rFonts w:ascii="Cambria Math" w:hAnsi="Cambria Math"/>
                                <w:kern w:val="0"/>
                              </w:rPr>
                              <m:t>'</m:t>
                            </m:r>
                          </m:sup>
                        </m:sSup>
                      </m:e>
                    </m:rad>
                  </m:den>
                </m:f>
                <m:d>
                  <m:dPr>
                    <m:ctrlPr>
                      <w:rPr>
                        <w:rFonts w:ascii="Cambria Math" w:hAnsi="Cambria Math"/>
                        <w:kern w:val="0"/>
                      </w:rPr>
                    </m:ctrlPr>
                  </m:dPr>
                  <m:e>
                    <m:r>
                      <w:rPr>
                        <w:rFonts w:ascii="Cambria Math" w:hAnsi="Cambria Math"/>
                        <w:kern w:val="0"/>
                      </w:rPr>
                      <m:t>30</m:t>
                    </m:r>
                    <m:sSub>
                      <m:sSubPr>
                        <m:ctrlPr>
                          <w:rPr>
                            <w:rFonts w:ascii="Cambria Math" w:hAnsi="Cambria Math"/>
                            <w:kern w:val="0"/>
                          </w:rPr>
                        </m:ctrlPr>
                      </m:sSubPr>
                      <m:e>
                        <m:r>
                          <w:rPr>
                            <w:rFonts w:ascii="Cambria Math" w:hAnsi="Cambria Math"/>
                            <w:kern w:val="0"/>
                          </w:rPr>
                          <m:t>F</m:t>
                        </m:r>
                      </m:e>
                      <m:sub>
                        <m:r>
                          <w:rPr>
                            <w:rFonts w:ascii="Cambria Math" w:hAnsi="Cambria Math"/>
                            <w:kern w:val="0"/>
                          </w:rPr>
                          <m:t>0</m:t>
                        </m:r>
                      </m:sub>
                    </m:sSub>
                    <m:r>
                      <w:rPr>
                        <w:rFonts w:ascii="Cambria Math" w:hAnsi="Cambria Math"/>
                        <w:kern w:val="0"/>
                      </w:rPr>
                      <m:t>-45</m:t>
                    </m:r>
                    <m:sSub>
                      <m:sSubPr>
                        <m:ctrlPr>
                          <w:rPr>
                            <w:rFonts w:ascii="Cambria Math" w:hAnsi="Cambria Math"/>
                            <w:kern w:val="0"/>
                          </w:rPr>
                        </m:ctrlPr>
                      </m:sSubPr>
                      <m:e>
                        <m:r>
                          <w:rPr>
                            <w:rFonts w:ascii="Cambria Math" w:hAnsi="Cambria Math"/>
                            <w:kern w:val="0"/>
                          </w:rPr>
                          <m:t>F</m:t>
                        </m:r>
                      </m:e>
                      <m:sub>
                        <m:r>
                          <w:rPr>
                            <w:rFonts w:ascii="Cambria Math" w:hAnsi="Cambria Math"/>
                            <w:kern w:val="0"/>
                          </w:rPr>
                          <m:t>1</m:t>
                        </m:r>
                      </m:sub>
                    </m:sSub>
                  </m:e>
                </m:d>
                <m:r>
                  <w:rPr>
                    <w:rFonts w:ascii="Cambria Math" w:hAnsi="Cambria Math"/>
                    <w:kern w:val="0"/>
                  </w:rPr>
                  <m:t>+15</m:t>
                </m:r>
              </m:oMath>
            </m:oMathPara>
          </w:p>
          <w:p w14:paraId="30B27869" w14:textId="77777777" w:rsidR="00F52111" w:rsidRPr="00BC31E0" w:rsidRDefault="00A51873" w:rsidP="004736F2">
            <w:pPr>
              <w:autoSpaceDE w:val="0"/>
              <w:autoSpaceDN w:val="0"/>
              <w:adjustRightInd w:val="0"/>
              <w:spacing w:before="60"/>
              <w:jc w:val="left"/>
              <w:rPr>
                <w:kern w:val="0"/>
              </w:rPr>
            </w:pPr>
            <m:oMathPara>
              <m:oMathParaPr>
                <m:jc m:val="left"/>
              </m:oMathParaPr>
              <m:oMath>
                <m:sSub>
                  <m:sSubPr>
                    <m:ctrlPr>
                      <w:rPr>
                        <w:rFonts w:ascii="Cambria Math" w:hAnsi="Cambria Math"/>
                        <w:kern w:val="0"/>
                      </w:rPr>
                    </m:ctrlPr>
                  </m:sSubPr>
                  <m:e>
                    <m:r>
                      <w:rPr>
                        <w:rFonts w:ascii="Cambria Math" w:hAnsi="Cambria Math"/>
                        <w:kern w:val="0"/>
                      </w:rPr>
                      <m:t>N</m:t>
                    </m:r>
                  </m:e>
                  <m:sub>
                    <m:r>
                      <w:rPr>
                        <w:rFonts w:ascii="Cambria Math" w:hAnsi="Cambria Math"/>
                        <w:kern w:val="0"/>
                      </w:rPr>
                      <m:t>3</m:t>
                    </m:r>
                  </m:sub>
                </m:sSub>
                <m:r>
                  <w:rPr>
                    <w:rFonts w:ascii="Cambria Math" w:hAnsi="Cambria Math"/>
                    <w:kern w:val="0"/>
                  </w:rPr>
                  <m:t>=-</m:t>
                </m:r>
                <m:d>
                  <m:dPr>
                    <m:ctrlPr>
                      <w:rPr>
                        <w:rFonts w:ascii="Cambria Math" w:hAnsi="Cambria Math"/>
                        <w:kern w:val="0"/>
                      </w:rPr>
                    </m:ctrlPr>
                  </m:dPr>
                  <m:e>
                    <m:r>
                      <w:rPr>
                        <w:rFonts w:ascii="Cambria Math" w:hAnsi="Cambria Math"/>
                        <w:kern w:val="0"/>
                      </w:rPr>
                      <m:t>1+</m:t>
                    </m:r>
                    <m:sSub>
                      <m:sSubPr>
                        <m:ctrlPr>
                          <w:rPr>
                            <w:rFonts w:ascii="Cambria Math" w:hAnsi="Cambria Math"/>
                            <w:kern w:val="0"/>
                          </w:rPr>
                        </m:ctrlPr>
                      </m:sSubPr>
                      <m:e>
                        <m:r>
                          <w:rPr>
                            <w:rFonts w:ascii="Cambria Math" w:hAnsi="Cambria Math"/>
                            <w:kern w:val="0"/>
                          </w:rPr>
                          <m:t>N</m:t>
                        </m:r>
                      </m:e>
                      <m:sub>
                        <m:r>
                          <w:rPr>
                            <w:rFonts w:ascii="Cambria Math" w:hAnsi="Cambria Math"/>
                            <w:kern w:val="0"/>
                          </w:rPr>
                          <m:t>1</m:t>
                        </m:r>
                      </m:sub>
                    </m:sSub>
                    <m:r>
                      <w:rPr>
                        <w:rFonts w:ascii="Cambria Math" w:hAnsi="Cambria Math"/>
                        <w:kern w:val="0"/>
                      </w:rPr>
                      <m:t>+</m:t>
                    </m:r>
                    <m:sSub>
                      <m:sSubPr>
                        <m:ctrlPr>
                          <w:rPr>
                            <w:rFonts w:ascii="Cambria Math" w:hAnsi="Cambria Math"/>
                            <w:kern w:val="0"/>
                          </w:rPr>
                        </m:ctrlPr>
                      </m:sSubPr>
                      <m:e>
                        <m:r>
                          <w:rPr>
                            <w:rFonts w:ascii="Cambria Math" w:hAnsi="Cambria Math"/>
                            <w:kern w:val="0"/>
                          </w:rPr>
                          <m:t>N</m:t>
                        </m:r>
                      </m:e>
                      <m:sub>
                        <m:r>
                          <w:rPr>
                            <w:rFonts w:ascii="Cambria Math" w:hAnsi="Cambria Math"/>
                            <w:kern w:val="0"/>
                          </w:rPr>
                          <m:t>2</m:t>
                        </m:r>
                      </m:sub>
                    </m:sSub>
                  </m:e>
                </m:d>
              </m:oMath>
            </m:oMathPara>
          </w:p>
          <w:p w14:paraId="49C22A03" w14:textId="77777777" w:rsidR="00F52111" w:rsidRPr="00BC31E0" w:rsidRDefault="00A51873" w:rsidP="004736F2">
            <w:pPr>
              <w:autoSpaceDE w:val="0"/>
              <w:autoSpaceDN w:val="0"/>
              <w:adjustRightInd w:val="0"/>
              <w:spacing w:before="120"/>
              <w:jc w:val="left"/>
              <w:rPr>
                <w:kern w:val="0"/>
              </w:rPr>
            </w:pPr>
            <m:oMathPara>
              <m:oMathParaPr>
                <m:jc m:val="left"/>
              </m:oMathParaPr>
              <m:oMath>
                <m:sSup>
                  <m:sSupPr>
                    <m:ctrlPr>
                      <w:rPr>
                        <w:rFonts w:ascii="Cambria Math" w:hAnsi="Cambria Math"/>
                        <w:i/>
                        <w:kern w:val="0"/>
                      </w:rPr>
                    </m:ctrlPr>
                  </m:sSupPr>
                  <m:e>
                    <m:r>
                      <w:rPr>
                        <w:rFonts w:ascii="Cambria Math" w:hAnsi="Cambria Math" w:hint="eastAsia"/>
                        <w:kern w:val="0"/>
                      </w:rPr>
                      <m:t>Q</m:t>
                    </m:r>
                  </m:e>
                  <m:sup>
                    <m:r>
                      <w:rPr>
                        <w:rFonts w:ascii="Cambria Math" w:hAnsi="Cambria Math"/>
                        <w:kern w:val="0"/>
                      </w:rPr>
                      <m:t>'</m:t>
                    </m:r>
                  </m:sup>
                </m:sSup>
                <m:r>
                  <w:rPr>
                    <w:rFonts w:ascii="Cambria Math" w:hAnsi="Cambria Math"/>
                    <w:kern w:val="0"/>
                  </w:rPr>
                  <m:t xml:space="preserve">=1+4.593 </m:t>
                </m:r>
                <m:sSup>
                  <m:sSupPr>
                    <m:ctrlPr>
                      <w:rPr>
                        <w:rFonts w:ascii="Cambria Math" w:hAnsi="Cambria Math"/>
                        <w:i/>
                        <w:kern w:val="0"/>
                      </w:rPr>
                    </m:ctrlPr>
                  </m:sSupPr>
                  <m:e>
                    <m:d>
                      <m:dPr>
                        <m:ctrlPr>
                          <w:rPr>
                            <w:rFonts w:ascii="Cambria Math" w:hAnsi="Cambria Math"/>
                            <w:i/>
                            <w:kern w:val="0"/>
                          </w:rPr>
                        </m:ctrlPr>
                      </m:dPr>
                      <m:e>
                        <m:f>
                          <m:fPr>
                            <m:type m:val="lin"/>
                            <m:ctrlPr>
                              <w:rPr>
                                <w:rFonts w:ascii="Cambria Math" w:hAnsi="Cambria Math"/>
                                <w:i/>
                                <w:kern w:val="0"/>
                              </w:rPr>
                            </m:ctrlPr>
                          </m:fPr>
                          <m:num>
                            <m:r>
                              <w:rPr>
                                <w:rFonts w:ascii="Cambria Math" w:hAnsi="Cambria Math"/>
                                <w:kern w:val="0"/>
                              </w:rPr>
                              <m:t>a</m:t>
                            </m:r>
                          </m:num>
                          <m:den>
                            <m:r>
                              <w:rPr>
                                <w:rFonts w:ascii="Cambria Math" w:hAnsi="Cambria Math"/>
                                <w:kern w:val="0"/>
                              </w:rPr>
                              <m:t>l</m:t>
                            </m:r>
                          </m:den>
                        </m:f>
                      </m:e>
                    </m:d>
                  </m:e>
                  <m:sup>
                    <m:r>
                      <w:rPr>
                        <w:rFonts w:ascii="Cambria Math" w:hAnsi="Cambria Math"/>
                        <w:kern w:val="0"/>
                      </w:rPr>
                      <m:t>1.65</m:t>
                    </m:r>
                  </m:sup>
                </m:sSup>
              </m:oMath>
            </m:oMathPara>
          </w:p>
        </w:tc>
      </w:tr>
    </w:tbl>
    <w:p w14:paraId="01ADC788" w14:textId="77777777" w:rsidR="00F52111" w:rsidRPr="00BC31E0" w:rsidRDefault="00F52111" w:rsidP="00F52111">
      <w:pPr>
        <w:tabs>
          <w:tab w:val="left" w:pos="2098"/>
        </w:tabs>
        <w:spacing w:before="120" w:after="120"/>
      </w:pPr>
      <w:r w:rsidRPr="00BC31E0">
        <w:rPr>
          <w:rFonts w:hint="eastAsia"/>
        </w:rPr>
        <w:tab/>
      </w:r>
      <w:r w:rsidRPr="00BC31E0">
        <w:rPr>
          <w:rFonts w:hint="eastAsia"/>
        </w:rPr>
        <w:t>ここで，</w:t>
      </w:r>
    </w:p>
    <w:tbl>
      <w:tblPr>
        <w:tblStyle w:val="afff2"/>
        <w:tblW w:w="0" w:type="auto"/>
        <w:tblInd w:w="2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1"/>
      </w:tblGrid>
      <w:tr w:rsidR="00F52111" w:rsidRPr="00BC31E0" w14:paraId="0001D443" w14:textId="77777777" w:rsidTr="004736F2">
        <w:tc>
          <w:tcPr>
            <w:tcW w:w="0" w:type="auto"/>
            <w:tcMar>
              <w:left w:w="0" w:type="dxa"/>
              <w:right w:w="0" w:type="dxa"/>
            </w:tcMar>
            <w:vAlign w:val="center"/>
          </w:tcPr>
          <w:p w14:paraId="02CC66C8" w14:textId="77777777" w:rsidR="00F52111" w:rsidRPr="00BC31E0" w:rsidRDefault="00A51873" w:rsidP="004736F2">
            <w:pPr>
              <w:autoSpaceDE w:val="0"/>
              <w:autoSpaceDN w:val="0"/>
              <w:adjustRightInd w:val="0"/>
              <w:jc w:val="left"/>
              <w:rPr>
                <w:kern w:val="0"/>
              </w:rPr>
            </w:pPr>
            <m:oMathPara>
              <m:oMathParaPr>
                <m:jc m:val="left"/>
              </m:oMathParaPr>
              <m:oMath>
                <m:sSub>
                  <m:sSubPr>
                    <m:ctrlPr>
                      <w:rPr>
                        <w:rFonts w:ascii="Cambria Math" w:hAnsi="Cambria Math"/>
                        <w:kern w:val="0"/>
                      </w:rPr>
                    </m:ctrlPr>
                  </m:sSubPr>
                  <m:e>
                    <m:r>
                      <w:rPr>
                        <w:rFonts w:ascii="Cambria Math" w:hAnsi="Cambria Math"/>
                        <w:kern w:val="0"/>
                      </w:rPr>
                      <m:t>F</m:t>
                    </m:r>
                  </m:e>
                  <m:sub>
                    <m:r>
                      <w:rPr>
                        <w:rFonts w:ascii="Cambria Math" w:hAnsi="Cambria Math"/>
                        <w:kern w:val="0"/>
                      </w:rPr>
                      <m:t>0</m:t>
                    </m:r>
                  </m:sub>
                </m:sSub>
                <m:r>
                  <w:rPr>
                    <w:rFonts w:ascii="Cambria Math" w:hAnsi="Cambria Math"/>
                    <w:kern w:val="0"/>
                  </w:rPr>
                  <m:t>=α</m:t>
                </m:r>
                <m:sSup>
                  <m:sSupPr>
                    <m:ctrlPr>
                      <w:rPr>
                        <w:rFonts w:ascii="Cambria Math" w:hAnsi="Cambria Math"/>
                        <w:kern w:val="0"/>
                      </w:rPr>
                    </m:ctrlPr>
                  </m:sSupPr>
                  <m:e>
                    <m:d>
                      <m:dPr>
                        <m:ctrlPr>
                          <w:rPr>
                            <w:rFonts w:ascii="Cambria Math" w:hAnsi="Cambria Math"/>
                            <w:kern w:val="0"/>
                          </w:rPr>
                        </m:ctrlPr>
                      </m:dPr>
                      <m:e>
                        <m:f>
                          <m:fPr>
                            <m:ctrlPr>
                              <w:rPr>
                                <w:rFonts w:ascii="Cambria Math" w:hAnsi="Cambria Math"/>
                                <w:kern w:val="0"/>
                              </w:rPr>
                            </m:ctrlPr>
                          </m:fPr>
                          <m:num>
                            <m:r>
                              <w:rPr>
                                <w:rFonts w:ascii="Cambria Math" w:hAnsi="Cambria Math"/>
                                <w:kern w:val="0"/>
                              </w:rPr>
                              <m:t>2a</m:t>
                            </m:r>
                          </m:num>
                          <m:den>
                            <m:r>
                              <w:rPr>
                                <w:rFonts w:ascii="Cambria Math" w:hAnsi="Cambria Math"/>
                                <w:kern w:val="0"/>
                              </w:rPr>
                              <m:t>l</m:t>
                            </m:r>
                          </m:den>
                        </m:f>
                      </m:e>
                    </m:d>
                  </m:e>
                  <m:sup>
                    <m:r>
                      <w:rPr>
                        <w:rFonts w:ascii="Cambria Math" w:hAnsi="Cambria Math"/>
                        <w:kern w:val="0"/>
                      </w:rPr>
                      <m:t>β</m:t>
                    </m:r>
                  </m:sup>
                </m:sSup>
              </m:oMath>
            </m:oMathPara>
          </w:p>
          <w:p w14:paraId="768FA6E0" w14:textId="77777777" w:rsidR="00F52111" w:rsidRPr="00BC31E0" w:rsidRDefault="00A51873" w:rsidP="004736F2">
            <w:pPr>
              <w:autoSpaceDE w:val="0"/>
              <w:autoSpaceDN w:val="0"/>
              <w:adjustRightInd w:val="0"/>
              <w:spacing w:before="60"/>
              <w:jc w:val="left"/>
              <w:rPr>
                <w:kern w:val="0"/>
              </w:rPr>
            </w:pPr>
            <m:oMathPara>
              <m:oMathParaPr>
                <m:jc m:val="left"/>
              </m:oMathParaPr>
              <m:oMath>
                <m:sSub>
                  <m:sSubPr>
                    <m:ctrlPr>
                      <w:rPr>
                        <w:rFonts w:ascii="Cambria Math" w:hAnsi="Cambria Math"/>
                        <w:kern w:val="0"/>
                      </w:rPr>
                    </m:ctrlPr>
                  </m:sSubPr>
                  <m:e>
                    <m:r>
                      <w:rPr>
                        <w:rFonts w:ascii="Cambria Math" w:hAnsi="Cambria Math"/>
                        <w:kern w:val="0"/>
                      </w:rPr>
                      <m:t>F</m:t>
                    </m:r>
                  </m:e>
                  <m:sub>
                    <m:r>
                      <w:rPr>
                        <w:rFonts w:ascii="Cambria Math" w:hAnsi="Cambria Math"/>
                        <w:kern w:val="0"/>
                      </w:rPr>
                      <m:t>1</m:t>
                    </m:r>
                  </m:sub>
                </m:sSub>
                <m:r>
                  <w:rPr>
                    <w:rFonts w:ascii="Cambria Math" w:hAnsi="Cambria Math"/>
                    <w:kern w:val="0"/>
                  </w:rPr>
                  <m:t>=γ</m:t>
                </m:r>
                <m:sSup>
                  <m:sSupPr>
                    <m:ctrlPr>
                      <w:rPr>
                        <w:rFonts w:ascii="Cambria Math" w:hAnsi="Cambria Math"/>
                        <w:kern w:val="0"/>
                      </w:rPr>
                    </m:ctrlPr>
                  </m:sSupPr>
                  <m:e>
                    <m:d>
                      <m:dPr>
                        <m:ctrlPr>
                          <w:rPr>
                            <w:rFonts w:ascii="Cambria Math" w:hAnsi="Cambria Math"/>
                            <w:kern w:val="0"/>
                          </w:rPr>
                        </m:ctrlPr>
                      </m:dPr>
                      <m:e>
                        <m:f>
                          <m:fPr>
                            <m:ctrlPr>
                              <w:rPr>
                                <w:rFonts w:ascii="Cambria Math" w:hAnsi="Cambria Math"/>
                                <w:kern w:val="0"/>
                              </w:rPr>
                            </m:ctrlPr>
                          </m:fPr>
                          <m:num>
                            <m:r>
                              <w:rPr>
                                <w:rFonts w:ascii="Cambria Math" w:hAnsi="Cambria Math"/>
                                <w:kern w:val="0"/>
                              </w:rPr>
                              <m:t>2a</m:t>
                            </m:r>
                          </m:num>
                          <m:den>
                            <m:r>
                              <w:rPr>
                                <w:rFonts w:ascii="Cambria Math" w:hAnsi="Cambria Math"/>
                                <w:kern w:val="0"/>
                              </w:rPr>
                              <m:t>l</m:t>
                            </m:r>
                          </m:den>
                        </m:f>
                      </m:e>
                    </m:d>
                  </m:e>
                  <m:sup>
                    <m:r>
                      <w:rPr>
                        <w:rFonts w:ascii="Cambria Math" w:hAnsi="Cambria Math"/>
                        <w:kern w:val="0"/>
                      </w:rPr>
                      <m:t>δ</m:t>
                    </m:r>
                  </m:sup>
                </m:sSup>
              </m:oMath>
            </m:oMathPara>
          </w:p>
        </w:tc>
      </w:tr>
      <w:tr w:rsidR="00F52111" w:rsidRPr="00BC31E0" w14:paraId="5A61B5BC" w14:textId="77777777" w:rsidTr="004736F2">
        <w:tc>
          <w:tcPr>
            <w:tcW w:w="0" w:type="auto"/>
            <w:tcMar>
              <w:left w:w="0" w:type="dxa"/>
              <w:right w:w="0" w:type="dxa"/>
            </w:tcMar>
            <w:vAlign w:val="center"/>
          </w:tcPr>
          <w:p w14:paraId="6138C81C" w14:textId="77777777" w:rsidR="00F52111" w:rsidRPr="00BC31E0" w:rsidRDefault="00F52111" w:rsidP="004736F2">
            <w:pPr>
              <w:autoSpaceDE w:val="0"/>
              <w:autoSpaceDN w:val="0"/>
              <w:adjustRightInd w:val="0"/>
              <w:spacing w:before="60"/>
              <w:jc w:val="left"/>
              <w:rPr>
                <w:kern w:val="0"/>
              </w:rPr>
            </w:pPr>
            <m:oMathPara>
              <m:oMathParaPr>
                <m:jc m:val="left"/>
              </m:oMathParaPr>
              <m:oMath>
                <m:r>
                  <w:rPr>
                    <w:rFonts w:ascii="Cambria Math" w:hAnsi="Cambria Math"/>
                    <w:kern w:val="0"/>
                  </w:rPr>
                  <m:t>α=1.14326+0.0175996</m:t>
                </m:r>
                <m:d>
                  <m:dPr>
                    <m:ctrlPr>
                      <w:rPr>
                        <w:rFonts w:ascii="Cambria Math" w:hAnsi="Cambria Math"/>
                        <w:kern w:val="0"/>
                      </w:rPr>
                    </m:ctrlPr>
                  </m:dPr>
                  <m:e>
                    <m:f>
                      <m:fPr>
                        <m:ctrlPr>
                          <w:rPr>
                            <w:rFonts w:ascii="Cambria Math" w:hAnsi="Cambria Math"/>
                            <w:kern w:val="0"/>
                          </w:rPr>
                        </m:ctrlPr>
                      </m:fPr>
                      <m:num>
                        <m:r>
                          <w:rPr>
                            <w:rFonts w:ascii="Cambria Math" w:hAnsi="Cambria Math"/>
                            <w:kern w:val="0"/>
                          </w:rPr>
                          <m:t>a</m:t>
                        </m:r>
                      </m:num>
                      <m:den>
                        <m:r>
                          <w:rPr>
                            <w:rFonts w:ascii="Cambria Math" w:hAnsi="Cambria Math"/>
                            <w:kern w:val="0"/>
                          </w:rPr>
                          <m:t>t</m:t>
                        </m:r>
                      </m:den>
                    </m:f>
                  </m:e>
                </m:d>
                <m:r>
                  <w:rPr>
                    <w:rFonts w:ascii="Cambria Math" w:hAnsi="Cambria Math"/>
                    <w:kern w:val="0"/>
                  </w:rPr>
                  <m:t>+0.501001</m:t>
                </m:r>
                <m:sSup>
                  <m:sSupPr>
                    <m:ctrlPr>
                      <w:rPr>
                        <w:rFonts w:ascii="Cambria Math" w:hAnsi="Cambria Math"/>
                        <w:kern w:val="0"/>
                      </w:rPr>
                    </m:ctrlPr>
                  </m:sSupPr>
                  <m:e>
                    <m:d>
                      <m:dPr>
                        <m:ctrlPr>
                          <w:rPr>
                            <w:rFonts w:ascii="Cambria Math" w:hAnsi="Cambria Math"/>
                            <w:kern w:val="0"/>
                          </w:rPr>
                        </m:ctrlPr>
                      </m:dPr>
                      <m:e>
                        <m:f>
                          <m:fPr>
                            <m:ctrlPr>
                              <w:rPr>
                                <w:rFonts w:ascii="Cambria Math" w:hAnsi="Cambria Math"/>
                                <w:kern w:val="0"/>
                              </w:rPr>
                            </m:ctrlPr>
                          </m:fPr>
                          <m:num>
                            <m:r>
                              <w:rPr>
                                <w:rFonts w:ascii="Cambria Math" w:hAnsi="Cambria Math"/>
                                <w:kern w:val="0"/>
                              </w:rPr>
                              <m:t>a</m:t>
                            </m:r>
                          </m:num>
                          <m:den>
                            <m:r>
                              <w:rPr>
                                <w:rFonts w:ascii="Cambria Math" w:hAnsi="Cambria Math"/>
                                <w:kern w:val="0"/>
                              </w:rPr>
                              <m:t>t</m:t>
                            </m:r>
                          </m:den>
                        </m:f>
                      </m:e>
                    </m:d>
                  </m:e>
                  <m:sup>
                    <m:r>
                      <w:rPr>
                        <w:rFonts w:ascii="Cambria Math" w:hAnsi="Cambria Math"/>
                        <w:kern w:val="0"/>
                      </w:rPr>
                      <m:t>2</m:t>
                    </m:r>
                  </m:sup>
                </m:sSup>
              </m:oMath>
            </m:oMathPara>
          </w:p>
        </w:tc>
      </w:tr>
      <w:tr w:rsidR="00F52111" w:rsidRPr="00BC31E0" w14:paraId="361565CA" w14:textId="77777777" w:rsidTr="004736F2">
        <w:tc>
          <w:tcPr>
            <w:tcW w:w="0" w:type="auto"/>
            <w:tcMar>
              <w:left w:w="0" w:type="dxa"/>
              <w:right w:w="0" w:type="dxa"/>
            </w:tcMar>
            <w:vAlign w:val="center"/>
          </w:tcPr>
          <w:p w14:paraId="7185D3A5" w14:textId="77777777" w:rsidR="00F52111" w:rsidRPr="00BC31E0" w:rsidRDefault="00F52111" w:rsidP="004736F2">
            <w:pPr>
              <w:autoSpaceDE w:val="0"/>
              <w:autoSpaceDN w:val="0"/>
              <w:adjustRightInd w:val="0"/>
              <w:spacing w:before="60"/>
              <w:jc w:val="left"/>
              <w:rPr>
                <w:kern w:val="0"/>
              </w:rPr>
            </w:pPr>
            <m:oMathPara>
              <m:oMathParaPr>
                <m:jc m:val="left"/>
              </m:oMathParaPr>
              <m:oMath>
                <m:r>
                  <w:rPr>
                    <w:rFonts w:ascii="Cambria Math" w:hAnsi="Cambria Math"/>
                    <w:kern w:val="0"/>
                  </w:rPr>
                  <m:t>β=0.458320-0.102985</m:t>
                </m:r>
                <m:d>
                  <m:dPr>
                    <m:ctrlPr>
                      <w:rPr>
                        <w:rFonts w:ascii="Cambria Math" w:hAnsi="Cambria Math"/>
                        <w:kern w:val="0"/>
                      </w:rPr>
                    </m:ctrlPr>
                  </m:dPr>
                  <m:e>
                    <m:f>
                      <m:fPr>
                        <m:ctrlPr>
                          <w:rPr>
                            <w:rFonts w:ascii="Cambria Math" w:hAnsi="Cambria Math"/>
                            <w:kern w:val="0"/>
                          </w:rPr>
                        </m:ctrlPr>
                      </m:fPr>
                      <m:num>
                        <m:r>
                          <w:rPr>
                            <w:rFonts w:ascii="Cambria Math" w:hAnsi="Cambria Math"/>
                            <w:kern w:val="0"/>
                          </w:rPr>
                          <m:t>a</m:t>
                        </m:r>
                      </m:num>
                      <m:den>
                        <m:r>
                          <w:rPr>
                            <w:rFonts w:ascii="Cambria Math" w:hAnsi="Cambria Math"/>
                            <w:kern w:val="0"/>
                          </w:rPr>
                          <m:t>t</m:t>
                        </m:r>
                      </m:den>
                    </m:f>
                  </m:e>
                </m:d>
                <m:r>
                  <w:rPr>
                    <w:rFonts w:ascii="Cambria Math" w:hAnsi="Cambria Math"/>
                    <w:kern w:val="0"/>
                  </w:rPr>
                  <m:t>-0.398175</m:t>
                </m:r>
                <m:sSup>
                  <m:sSupPr>
                    <m:ctrlPr>
                      <w:rPr>
                        <w:rFonts w:ascii="Cambria Math" w:hAnsi="Cambria Math"/>
                        <w:kern w:val="0"/>
                      </w:rPr>
                    </m:ctrlPr>
                  </m:sSupPr>
                  <m:e>
                    <m:d>
                      <m:dPr>
                        <m:ctrlPr>
                          <w:rPr>
                            <w:rFonts w:ascii="Cambria Math" w:hAnsi="Cambria Math"/>
                            <w:kern w:val="0"/>
                          </w:rPr>
                        </m:ctrlPr>
                      </m:dPr>
                      <m:e>
                        <m:f>
                          <m:fPr>
                            <m:ctrlPr>
                              <w:rPr>
                                <w:rFonts w:ascii="Cambria Math" w:hAnsi="Cambria Math"/>
                                <w:kern w:val="0"/>
                              </w:rPr>
                            </m:ctrlPr>
                          </m:fPr>
                          <m:num>
                            <m:r>
                              <w:rPr>
                                <w:rFonts w:ascii="Cambria Math" w:hAnsi="Cambria Math"/>
                                <w:kern w:val="0"/>
                              </w:rPr>
                              <m:t>a</m:t>
                            </m:r>
                          </m:num>
                          <m:den>
                            <m:r>
                              <w:rPr>
                                <w:rFonts w:ascii="Cambria Math" w:hAnsi="Cambria Math"/>
                                <w:kern w:val="0"/>
                              </w:rPr>
                              <m:t>t</m:t>
                            </m:r>
                          </m:den>
                        </m:f>
                      </m:e>
                    </m:d>
                  </m:e>
                  <m:sup>
                    <m:r>
                      <w:rPr>
                        <w:rFonts w:ascii="Cambria Math" w:hAnsi="Cambria Math"/>
                        <w:kern w:val="0"/>
                      </w:rPr>
                      <m:t>2</m:t>
                    </m:r>
                  </m:sup>
                </m:sSup>
              </m:oMath>
            </m:oMathPara>
          </w:p>
        </w:tc>
      </w:tr>
      <w:tr w:rsidR="00F52111" w:rsidRPr="00BC31E0" w14:paraId="7E01A903" w14:textId="77777777" w:rsidTr="004736F2">
        <w:tc>
          <w:tcPr>
            <w:tcW w:w="0" w:type="auto"/>
            <w:tcMar>
              <w:left w:w="0" w:type="dxa"/>
              <w:right w:w="0" w:type="dxa"/>
            </w:tcMar>
            <w:vAlign w:val="center"/>
          </w:tcPr>
          <w:p w14:paraId="6DEED22B" w14:textId="77777777" w:rsidR="00F52111" w:rsidRPr="00BC31E0" w:rsidRDefault="00F52111" w:rsidP="004736F2">
            <w:pPr>
              <w:autoSpaceDE w:val="0"/>
              <w:autoSpaceDN w:val="0"/>
              <w:adjustRightInd w:val="0"/>
              <w:spacing w:before="60"/>
              <w:jc w:val="left"/>
              <w:rPr>
                <w:kern w:val="0"/>
              </w:rPr>
            </w:pPr>
            <m:oMathPara>
              <m:oMathParaPr>
                <m:jc m:val="left"/>
              </m:oMathParaPr>
              <m:oMath>
                <m:r>
                  <w:rPr>
                    <w:rFonts w:ascii="Cambria Math" w:hAnsi="Cambria Math"/>
                    <w:kern w:val="0"/>
                  </w:rPr>
                  <m:t>γ=0.976770-0.131975</m:t>
                </m:r>
                <m:d>
                  <m:dPr>
                    <m:ctrlPr>
                      <w:rPr>
                        <w:rFonts w:ascii="Cambria Math" w:hAnsi="Cambria Math"/>
                        <w:kern w:val="0"/>
                      </w:rPr>
                    </m:ctrlPr>
                  </m:dPr>
                  <m:e>
                    <m:f>
                      <m:fPr>
                        <m:ctrlPr>
                          <w:rPr>
                            <w:rFonts w:ascii="Cambria Math" w:hAnsi="Cambria Math"/>
                            <w:kern w:val="0"/>
                          </w:rPr>
                        </m:ctrlPr>
                      </m:fPr>
                      <m:num>
                        <m:r>
                          <w:rPr>
                            <w:rFonts w:ascii="Cambria Math" w:hAnsi="Cambria Math"/>
                            <w:kern w:val="0"/>
                          </w:rPr>
                          <m:t>a</m:t>
                        </m:r>
                      </m:num>
                      <m:den>
                        <m:r>
                          <w:rPr>
                            <w:rFonts w:ascii="Cambria Math" w:hAnsi="Cambria Math"/>
                            <w:kern w:val="0"/>
                          </w:rPr>
                          <m:t>t</m:t>
                        </m:r>
                      </m:den>
                    </m:f>
                  </m:e>
                </m:d>
                <m:r>
                  <w:rPr>
                    <w:rFonts w:ascii="Cambria Math" w:hAnsi="Cambria Math"/>
                    <w:kern w:val="0"/>
                  </w:rPr>
                  <m:t>+0.484875</m:t>
                </m:r>
                <m:sSup>
                  <m:sSupPr>
                    <m:ctrlPr>
                      <w:rPr>
                        <w:rFonts w:ascii="Cambria Math" w:hAnsi="Cambria Math"/>
                        <w:kern w:val="0"/>
                      </w:rPr>
                    </m:ctrlPr>
                  </m:sSupPr>
                  <m:e>
                    <m:d>
                      <m:dPr>
                        <m:ctrlPr>
                          <w:rPr>
                            <w:rFonts w:ascii="Cambria Math" w:hAnsi="Cambria Math"/>
                            <w:kern w:val="0"/>
                          </w:rPr>
                        </m:ctrlPr>
                      </m:dPr>
                      <m:e>
                        <m:f>
                          <m:fPr>
                            <m:ctrlPr>
                              <w:rPr>
                                <w:rFonts w:ascii="Cambria Math" w:hAnsi="Cambria Math"/>
                                <w:kern w:val="0"/>
                              </w:rPr>
                            </m:ctrlPr>
                          </m:fPr>
                          <m:num>
                            <m:r>
                              <w:rPr>
                                <w:rFonts w:ascii="Cambria Math" w:hAnsi="Cambria Math"/>
                                <w:kern w:val="0"/>
                              </w:rPr>
                              <m:t>a</m:t>
                            </m:r>
                          </m:num>
                          <m:den>
                            <m:r>
                              <w:rPr>
                                <w:rFonts w:ascii="Cambria Math" w:hAnsi="Cambria Math"/>
                                <w:kern w:val="0"/>
                              </w:rPr>
                              <m:t>t</m:t>
                            </m:r>
                          </m:den>
                        </m:f>
                      </m:e>
                    </m:d>
                  </m:e>
                  <m:sup>
                    <m:r>
                      <w:rPr>
                        <w:rFonts w:ascii="Cambria Math" w:hAnsi="Cambria Math"/>
                        <w:kern w:val="0"/>
                      </w:rPr>
                      <m:t>2</m:t>
                    </m:r>
                  </m:sup>
                </m:sSup>
              </m:oMath>
            </m:oMathPara>
          </w:p>
        </w:tc>
      </w:tr>
      <w:tr w:rsidR="00F52111" w:rsidRPr="00BC31E0" w14:paraId="2F3EFA10" w14:textId="77777777" w:rsidTr="004736F2">
        <w:tc>
          <w:tcPr>
            <w:tcW w:w="0" w:type="auto"/>
            <w:tcMar>
              <w:left w:w="0" w:type="dxa"/>
              <w:right w:w="0" w:type="dxa"/>
            </w:tcMar>
            <w:vAlign w:val="center"/>
          </w:tcPr>
          <w:p w14:paraId="20BDDFCA" w14:textId="77777777" w:rsidR="00F52111" w:rsidRPr="00BC31E0" w:rsidRDefault="00F52111" w:rsidP="004736F2">
            <w:pPr>
              <w:autoSpaceDE w:val="0"/>
              <w:autoSpaceDN w:val="0"/>
              <w:adjustRightInd w:val="0"/>
              <w:spacing w:before="60"/>
              <w:jc w:val="left"/>
              <w:rPr>
                <w:kern w:val="0"/>
              </w:rPr>
            </w:pPr>
            <m:oMathPara>
              <m:oMathParaPr>
                <m:jc m:val="left"/>
              </m:oMathParaPr>
              <m:oMath>
                <m:r>
                  <w:rPr>
                    <w:rFonts w:ascii="Cambria Math" w:hAnsi="Cambria Math"/>
                    <w:kern w:val="0"/>
                  </w:rPr>
                  <m:t>δ=0.448863-0.173295</m:t>
                </m:r>
                <m:d>
                  <m:dPr>
                    <m:ctrlPr>
                      <w:rPr>
                        <w:rFonts w:ascii="Cambria Math" w:hAnsi="Cambria Math"/>
                        <w:kern w:val="0"/>
                      </w:rPr>
                    </m:ctrlPr>
                  </m:dPr>
                  <m:e>
                    <m:f>
                      <m:fPr>
                        <m:ctrlPr>
                          <w:rPr>
                            <w:rFonts w:ascii="Cambria Math" w:hAnsi="Cambria Math"/>
                            <w:kern w:val="0"/>
                          </w:rPr>
                        </m:ctrlPr>
                      </m:fPr>
                      <m:num>
                        <m:r>
                          <w:rPr>
                            <w:rFonts w:ascii="Cambria Math" w:hAnsi="Cambria Math"/>
                            <w:kern w:val="0"/>
                          </w:rPr>
                          <m:t>a</m:t>
                        </m:r>
                      </m:num>
                      <m:den>
                        <m:r>
                          <w:rPr>
                            <w:rFonts w:ascii="Cambria Math" w:hAnsi="Cambria Math"/>
                            <w:kern w:val="0"/>
                          </w:rPr>
                          <m:t>t</m:t>
                        </m:r>
                      </m:den>
                    </m:f>
                  </m:e>
                </m:d>
                <m:r>
                  <w:rPr>
                    <w:rFonts w:ascii="Cambria Math" w:hAnsi="Cambria Math"/>
                    <w:kern w:val="0"/>
                  </w:rPr>
                  <m:t>-0.267775</m:t>
                </m:r>
                <m:sSup>
                  <m:sSupPr>
                    <m:ctrlPr>
                      <w:rPr>
                        <w:rFonts w:ascii="Cambria Math" w:hAnsi="Cambria Math"/>
                        <w:kern w:val="0"/>
                      </w:rPr>
                    </m:ctrlPr>
                  </m:sSupPr>
                  <m:e>
                    <m:d>
                      <m:dPr>
                        <m:ctrlPr>
                          <w:rPr>
                            <w:rFonts w:ascii="Cambria Math" w:hAnsi="Cambria Math"/>
                            <w:kern w:val="0"/>
                          </w:rPr>
                        </m:ctrlPr>
                      </m:dPr>
                      <m:e>
                        <m:f>
                          <m:fPr>
                            <m:ctrlPr>
                              <w:rPr>
                                <w:rFonts w:ascii="Cambria Math" w:hAnsi="Cambria Math"/>
                                <w:kern w:val="0"/>
                              </w:rPr>
                            </m:ctrlPr>
                          </m:fPr>
                          <m:num>
                            <m:r>
                              <w:rPr>
                                <w:rFonts w:ascii="Cambria Math" w:hAnsi="Cambria Math"/>
                                <w:kern w:val="0"/>
                              </w:rPr>
                              <m:t>a</m:t>
                            </m:r>
                          </m:num>
                          <m:den>
                            <m:r>
                              <w:rPr>
                                <w:rFonts w:ascii="Cambria Math" w:hAnsi="Cambria Math"/>
                                <w:kern w:val="0"/>
                              </w:rPr>
                              <m:t>t</m:t>
                            </m:r>
                          </m:den>
                        </m:f>
                      </m:e>
                    </m:d>
                  </m:e>
                  <m:sup>
                    <m:r>
                      <w:rPr>
                        <w:rFonts w:ascii="Cambria Math" w:hAnsi="Cambria Math"/>
                        <w:kern w:val="0"/>
                      </w:rPr>
                      <m:t>2</m:t>
                    </m:r>
                  </m:sup>
                </m:sSup>
              </m:oMath>
            </m:oMathPara>
          </w:p>
        </w:tc>
      </w:tr>
    </w:tbl>
    <w:p w14:paraId="1E0BFBB3" w14:textId="77777777" w:rsidR="00F52111" w:rsidRPr="00BC31E0" w:rsidRDefault="00F52111" w:rsidP="00F52111">
      <w:pPr>
        <w:tabs>
          <w:tab w:val="left" w:pos="850"/>
        </w:tabs>
        <w:spacing w:before="120" w:after="120"/>
        <w:rPr>
          <w:rFonts w:ascii="ＭＳ 明朝"/>
        </w:rPr>
      </w:pPr>
      <w:r w:rsidRPr="00BC31E0">
        <w:rPr>
          <w:rFonts w:ascii="ＭＳ 明朝" w:hint="eastAsia"/>
        </w:rPr>
        <w:tab/>
      </w:r>
      <m:oMath>
        <m:r>
          <w:rPr>
            <w:rFonts w:ascii="Cambria Math" w:hAnsi="Cambria Math" w:hint="eastAsia"/>
          </w:rPr>
          <m:t>Q</m:t>
        </m:r>
      </m:oMath>
      <w:r w:rsidRPr="00BC31E0">
        <w:rPr>
          <w:rFonts w:ascii="ＭＳ 明朝" w:hint="eastAsia"/>
        </w:rPr>
        <w:t xml:space="preserve"> ： </w:t>
      </w:r>
      <w:r w:rsidRPr="00BC31E0">
        <w:rPr>
          <w:rFonts w:hint="eastAsia"/>
        </w:rPr>
        <w:t>次式に示す塑性域補正を行った亀裂形状パラメータ</w:t>
      </w:r>
    </w:p>
    <w:p w14:paraId="4CC3CB3B" w14:textId="77777777" w:rsidR="00F52111" w:rsidRPr="00BC31E0" w:rsidRDefault="00F52111" w:rsidP="00F52111">
      <w:pPr>
        <w:tabs>
          <w:tab w:val="left" w:pos="2552"/>
          <w:tab w:val="left" w:leader="middleDot" w:pos="8505"/>
        </w:tabs>
        <w:rPr>
          <w:rFonts w:ascii="ＭＳ 明朝"/>
        </w:rPr>
      </w:pPr>
      <w:r w:rsidRPr="00BC31E0">
        <w:rPr>
          <w:rFonts w:ascii="ＭＳ 明朝" w:hint="eastAsia"/>
        </w:rPr>
        <w:tab/>
      </w:r>
      <m:oMath>
        <m:r>
          <w:rPr>
            <w:rFonts w:ascii="Cambria Math" w:hAnsi="Cambria Math"/>
          </w:rPr>
          <m:t>Q=</m:t>
        </m:r>
        <m:sSup>
          <m:sSupPr>
            <m:ctrlPr>
              <w:rPr>
                <w:rFonts w:ascii="Cambria Math" w:hAnsi="Cambria Math"/>
                <w:i/>
              </w:rPr>
            </m:ctrlPr>
          </m:sSupPr>
          <m:e>
            <m:r>
              <w:rPr>
                <w:rFonts w:ascii="Cambria Math" w:hAnsi="Cambria Math"/>
              </w:rPr>
              <m:t>Q</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y</m:t>
            </m:r>
          </m:sub>
        </m:sSub>
        <m:r>
          <w:rPr>
            <w:rFonts w:ascii="Cambria Math" w:hAnsi="Cambria Math"/>
          </w:rPr>
          <m:t>=1+4.593</m:t>
        </m:r>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r>
                      <w:rPr>
                        <w:rFonts w:ascii="Cambria Math" w:hAnsi="Cambria Math"/>
                      </w:rPr>
                      <m:t>a</m:t>
                    </m:r>
                  </m:num>
                  <m:den>
                    <m:r>
                      <w:rPr>
                        <w:rFonts w:ascii="Cambria Math" w:hAnsi="Cambria Math"/>
                      </w:rPr>
                      <m:t>l</m:t>
                    </m:r>
                  </m:den>
                </m:f>
              </m:e>
            </m:d>
          </m:e>
          <m:sup>
            <m:r>
              <w:rPr>
                <w:rFonts w:ascii="Cambria Math" w:hAnsi="Cambria Math"/>
              </w:rPr>
              <m:t>1.65</m:t>
            </m:r>
          </m:sup>
        </m:sSup>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y</m:t>
            </m:r>
          </m:sub>
        </m:sSub>
      </m:oMath>
      <w:r w:rsidRPr="00BC31E0">
        <w:rPr>
          <w:rFonts w:asciiTheme="minorHAnsi" w:hAnsiTheme="minorHAnsi"/>
        </w:rPr>
        <w:tab/>
      </w:r>
      <w:r w:rsidRPr="00BC31E0">
        <w:rPr>
          <w:rFonts w:asciiTheme="minorHAnsi" w:hAnsiTheme="minorHAnsi" w:hint="eastAsia"/>
        </w:rPr>
        <w:t>(12)</w:t>
      </w:r>
    </w:p>
    <w:p w14:paraId="0E588209" w14:textId="77777777" w:rsidR="00F52111" w:rsidRPr="00BC31E0" w:rsidRDefault="00F52111" w:rsidP="00F52111">
      <w:pPr>
        <w:tabs>
          <w:tab w:val="left" w:pos="1418"/>
        </w:tabs>
        <w:rPr>
          <w:rFonts w:ascii="ＭＳ 明朝"/>
        </w:rPr>
      </w:pPr>
      <w:r w:rsidRPr="00BC31E0">
        <w:rPr>
          <w:rFonts w:ascii="ＭＳ 明朝" w:hint="eastAsia"/>
        </w:rPr>
        <w:tab/>
        <w:t>ここで，</w:t>
      </w:r>
    </w:p>
    <w:p w14:paraId="74814073" w14:textId="77777777" w:rsidR="00F52111" w:rsidRPr="00BC31E0" w:rsidRDefault="00F52111" w:rsidP="00F52111">
      <w:pPr>
        <w:tabs>
          <w:tab w:val="left" w:pos="1701"/>
        </w:tabs>
        <w:spacing w:after="120"/>
        <w:rPr>
          <w:rFonts w:ascii="ＭＳ 明朝" w:hAnsi="ＭＳ 明朝"/>
        </w:rPr>
      </w:pPr>
      <w:r w:rsidRPr="00BC31E0">
        <w:rPr>
          <w:rFonts w:ascii="ＭＳ 明朝" w:hint="eastAsia"/>
        </w:rPr>
        <w:tab/>
      </w:r>
      <m:oMath>
        <m:sSub>
          <m:sSubPr>
            <m:ctrlPr>
              <w:rPr>
                <w:rFonts w:ascii="Cambria Math" w:hAnsi="Cambria Math"/>
              </w:rPr>
            </m:ctrlPr>
          </m:sSubPr>
          <m:e>
            <m:r>
              <w:rPr>
                <w:rFonts w:ascii="Cambria Math" w:hAnsi="Cambria Math"/>
              </w:rPr>
              <m:t>q</m:t>
            </m:r>
          </m:e>
          <m:sub>
            <m:r>
              <w:rPr>
                <w:rFonts w:ascii="Cambria Math" w:hAnsi="Cambria Math"/>
              </w:rPr>
              <m:t>y</m:t>
            </m:r>
          </m:sub>
        </m:sSub>
      </m:oMath>
      <w:r w:rsidRPr="00BC31E0">
        <w:rPr>
          <w:rFonts w:ascii="ＭＳ 明朝" w:hint="eastAsia"/>
        </w:rPr>
        <w:t xml:space="preserve"> </w:t>
      </w:r>
      <w:r w:rsidRPr="00BC31E0">
        <w:rPr>
          <w:rFonts w:ascii="ＭＳ 明朝" w:hAnsi="ＭＳ 明朝" w:hint="eastAsia"/>
        </w:rPr>
        <w:t>： 次式で計算される塑性域補正項で，疲労亀裂進展計算では</w:t>
      </w:r>
      <m:oMath>
        <m:sSub>
          <m:sSubPr>
            <m:ctrlPr>
              <w:rPr>
                <w:rFonts w:ascii="Cambria Math" w:hAnsi="Cambria Math"/>
                <w:i/>
              </w:rPr>
            </m:ctrlPr>
          </m:sSubPr>
          <m:e>
            <m:r>
              <w:rPr>
                <w:rFonts w:ascii="Cambria Math" w:hAnsi="Cambria Math"/>
              </w:rPr>
              <m:t xml:space="preserve"> q</m:t>
            </m:r>
          </m:e>
          <m:sub>
            <m:r>
              <w:rPr>
                <w:rFonts w:ascii="Cambria Math" w:hAnsi="Cambria Math"/>
              </w:rPr>
              <m:t>y</m:t>
            </m:r>
          </m:sub>
        </m:sSub>
        <m:r>
          <w:rPr>
            <w:rFonts w:ascii="Cambria Math" w:hAnsi="Cambria Math"/>
          </w:rPr>
          <m:t>=0</m:t>
        </m:r>
        <m:r>
          <m:rPr>
            <m:sty m:val="p"/>
          </m:rPr>
          <w:rPr>
            <w:rFonts w:ascii="Cambria Math" w:hAnsi="Cambria Math"/>
          </w:rPr>
          <m:t xml:space="preserve"> </m:t>
        </m:r>
      </m:oMath>
      <w:r w:rsidRPr="00BC31E0">
        <w:rPr>
          <w:rFonts w:ascii="ＭＳ 明朝" w:hAnsi="ＭＳ 明朝" w:hint="eastAsia"/>
        </w:rPr>
        <w:t>とする。</w:t>
      </w:r>
    </w:p>
    <w:p w14:paraId="1D9269ED" w14:textId="77777777" w:rsidR="00F52111" w:rsidRPr="00BC31E0" w:rsidRDefault="00F52111" w:rsidP="00F52111">
      <w:pPr>
        <w:tabs>
          <w:tab w:val="left" w:pos="1701"/>
          <w:tab w:val="left" w:leader="middleDot" w:pos="8505"/>
        </w:tabs>
        <w:rPr>
          <w:rFonts w:ascii="ＭＳ 明朝"/>
        </w:rPr>
      </w:pPr>
      <w:r w:rsidRPr="00BC31E0">
        <w:rPr>
          <w:rFonts w:ascii="ＭＳ 明朝" w:hAnsi="ＭＳ 明朝" w:hint="eastAsia"/>
          <w:bCs/>
        </w:rPr>
        <w:tab/>
      </w:r>
      <m:oMath>
        <m:sSub>
          <m:sSubPr>
            <m:ctrlPr>
              <w:rPr>
                <w:rFonts w:ascii="Cambria Math" w:hAnsi="Cambria Math"/>
                <w:bCs/>
              </w:rPr>
            </m:ctrlPr>
          </m:sSubPr>
          <m:e>
            <m:r>
              <w:rPr>
                <w:rFonts w:ascii="Cambria Math" w:hAnsi="Cambria Math"/>
              </w:rPr>
              <m:t>q</m:t>
            </m:r>
          </m:e>
          <m:sub>
            <m:r>
              <w:rPr>
                <w:rFonts w:ascii="Cambria Math" w:hAnsi="Cambria Math"/>
              </w:rPr>
              <m:t>y</m:t>
            </m:r>
          </m:sub>
        </m:sSub>
        <m:r>
          <w:rPr>
            <w:rFonts w:ascii="Cambria Math" w:hAnsi="Cambria Math"/>
          </w:rPr>
          <m:t>=</m:t>
        </m:r>
        <m:f>
          <m:fPr>
            <m:type m:val="lin"/>
            <m:ctrlPr>
              <w:rPr>
                <w:rFonts w:ascii="Cambria Math" w:hAnsi="Cambria Math"/>
                <w:bCs/>
              </w:rPr>
            </m:ctrlPr>
          </m:fPr>
          <m:num>
            <m:sSup>
              <m:sSupPr>
                <m:ctrlPr>
                  <w:rPr>
                    <w:rFonts w:ascii="Cambria Math" w:hAnsi="Cambria Math"/>
                    <w:bCs/>
                  </w:rPr>
                </m:ctrlPr>
              </m:sSupPr>
              <m:e>
                <m:d>
                  <m:dPr>
                    <m:begChr m:val="["/>
                    <m:endChr m:val="]"/>
                    <m:ctrlPr>
                      <w:rPr>
                        <w:rFonts w:ascii="Cambria Math" w:hAnsi="Cambria Math"/>
                        <w:bCs/>
                      </w:rPr>
                    </m:ctrlPr>
                  </m:dPr>
                  <m:e>
                    <m:f>
                      <m:fPr>
                        <m:type m:val="lin"/>
                        <m:ctrlPr>
                          <w:rPr>
                            <w:rFonts w:ascii="Cambria Math" w:hAnsi="Cambria Math"/>
                            <w:bCs/>
                          </w:rPr>
                        </m:ctrlPr>
                      </m:fPr>
                      <m:num>
                        <m:r>
                          <w:rPr>
                            <w:rFonts w:ascii="Cambria Math" w:hAnsi="Cambria Math"/>
                          </w:rPr>
                          <m:t xml:space="preserve"> </m:t>
                        </m:r>
                        <m:d>
                          <m:dPr>
                            <m:begChr m:val="{"/>
                            <m:endChr m:val="}"/>
                            <m:ctrlPr>
                              <w:rPr>
                                <w:rFonts w:ascii="Cambria Math" w:hAnsi="Cambria Math"/>
                                <w:bCs/>
                              </w:rPr>
                            </m:ctrlPr>
                          </m:dPr>
                          <m:e>
                            <m:d>
                              <m:dPr>
                                <m:ctrlPr>
                                  <w:rPr>
                                    <w:rFonts w:ascii="Cambria Math" w:hAnsi="Cambria Math"/>
                                    <w:bCs/>
                                  </w:rPr>
                                </m:ctrlPr>
                              </m:dPr>
                              <m:e>
                                <m:sSub>
                                  <m:sSubPr>
                                    <m:ctrlPr>
                                      <w:rPr>
                                        <w:rFonts w:ascii="Cambria Math" w:hAnsi="Cambria Math"/>
                                        <w:bCs/>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bCs/>
                                      </w:rPr>
                                    </m:ctrlPr>
                                  </m:sSubPr>
                                  <m:e>
                                    <m:r>
                                      <w:rPr>
                                        <w:rFonts w:ascii="Cambria Math" w:hAnsi="Cambria Math"/>
                                      </w:rPr>
                                      <m:t>A</m:t>
                                    </m:r>
                                  </m:e>
                                  <m:sub>
                                    <m:r>
                                      <w:rPr>
                                        <w:rFonts w:ascii="Cambria Math" w:hAnsi="Cambria Math"/>
                                      </w:rPr>
                                      <m:t>p</m:t>
                                    </m:r>
                                  </m:sub>
                                </m:sSub>
                              </m:e>
                            </m:d>
                            <m:sSub>
                              <m:sSubPr>
                                <m:ctrlPr>
                                  <w:rPr>
                                    <w:rFonts w:ascii="Cambria Math" w:hAnsi="Cambria Math"/>
                                    <w:bCs/>
                                  </w:rPr>
                                </m:ctrlPr>
                              </m:sSubPr>
                              <m:e>
                                <m:r>
                                  <w:rPr>
                                    <w:rFonts w:ascii="Cambria Math" w:hAnsi="Cambria Math"/>
                                  </w:rPr>
                                  <m:t xml:space="preserve"> G</m:t>
                                </m:r>
                              </m:e>
                              <m:sub>
                                <m:r>
                                  <w:rPr>
                                    <w:rFonts w:ascii="Cambria Math" w:hAnsi="Cambria Math"/>
                                  </w:rPr>
                                  <m:t>0</m:t>
                                </m:r>
                              </m:sub>
                            </m:sSub>
                            <m:sSub>
                              <m:sSubPr>
                                <m:ctrlPr>
                                  <w:rPr>
                                    <w:rFonts w:ascii="Cambria Math" w:hAnsi="Cambria Math"/>
                                    <w:bCs/>
                                  </w:rPr>
                                </m:ctrlPr>
                              </m:sSubPr>
                              <m:e>
                                <m:r>
                                  <w:rPr>
                                    <w:rFonts w:ascii="Cambria Math" w:hAnsi="Cambria Math"/>
                                  </w:rPr>
                                  <m:t>+A</m:t>
                                </m:r>
                              </m:e>
                              <m:sub>
                                <m:r>
                                  <w:rPr>
                                    <w:rFonts w:ascii="Cambria Math" w:hAnsi="Cambria Math"/>
                                  </w:rPr>
                                  <m:t>1</m:t>
                                </m:r>
                              </m:sub>
                            </m:sSub>
                            <m:sSub>
                              <m:sSubPr>
                                <m:ctrlPr>
                                  <w:rPr>
                                    <w:rFonts w:ascii="Cambria Math" w:hAnsi="Cambria Math"/>
                                    <w:bCs/>
                                  </w:rPr>
                                </m:ctrlPr>
                              </m:sSubPr>
                              <m:e>
                                <m:r>
                                  <w:rPr>
                                    <w:rFonts w:ascii="Cambria Math" w:hAnsi="Cambria Math"/>
                                  </w:rPr>
                                  <m:t>G</m:t>
                                </m:r>
                              </m:e>
                              <m:sub>
                                <m:r>
                                  <w:rPr>
                                    <w:rFonts w:ascii="Cambria Math" w:hAnsi="Cambria Math"/>
                                  </w:rPr>
                                  <m:t>1</m:t>
                                </m:r>
                              </m:sub>
                            </m:sSub>
                            <m:r>
                              <w:rPr>
                                <w:rFonts w:ascii="Cambria Math" w:hAnsi="Cambria Math"/>
                              </w:rPr>
                              <m:t>+</m:t>
                            </m:r>
                            <m:sSub>
                              <m:sSubPr>
                                <m:ctrlPr>
                                  <w:rPr>
                                    <w:rFonts w:ascii="Cambria Math" w:hAnsi="Cambria Math"/>
                                    <w:bCs/>
                                  </w:rPr>
                                </m:ctrlPr>
                              </m:sSubPr>
                              <m:e>
                                <m:r>
                                  <w:rPr>
                                    <w:rFonts w:ascii="Cambria Math" w:hAnsi="Cambria Math"/>
                                  </w:rPr>
                                  <m:t>A</m:t>
                                </m:r>
                              </m:e>
                              <m:sub>
                                <m:r>
                                  <w:rPr>
                                    <w:rFonts w:ascii="Cambria Math" w:hAnsi="Cambria Math"/>
                                  </w:rPr>
                                  <m:t>2</m:t>
                                </m:r>
                              </m:sub>
                            </m:sSub>
                            <m:sSub>
                              <m:sSubPr>
                                <m:ctrlPr>
                                  <w:rPr>
                                    <w:rFonts w:ascii="Cambria Math" w:hAnsi="Cambria Math"/>
                                    <w:bCs/>
                                  </w:rPr>
                                </m:ctrlPr>
                              </m:sSubPr>
                              <m:e>
                                <m:r>
                                  <w:rPr>
                                    <w:rFonts w:ascii="Cambria Math" w:hAnsi="Cambria Math"/>
                                  </w:rPr>
                                  <m:t>G</m:t>
                                </m:r>
                              </m:e>
                              <m:sub>
                                <m:r>
                                  <w:rPr>
                                    <w:rFonts w:ascii="Cambria Math" w:hAnsi="Cambria Math"/>
                                  </w:rPr>
                                  <m:t>2</m:t>
                                </m:r>
                              </m:sub>
                            </m:sSub>
                            <m:r>
                              <w:rPr>
                                <w:rFonts w:ascii="Cambria Math" w:hAnsi="Cambria Math"/>
                              </w:rPr>
                              <m:t>+</m:t>
                            </m:r>
                            <m:sSub>
                              <m:sSubPr>
                                <m:ctrlPr>
                                  <w:rPr>
                                    <w:rFonts w:ascii="Cambria Math" w:hAnsi="Cambria Math"/>
                                    <w:bCs/>
                                  </w:rPr>
                                </m:ctrlPr>
                              </m:sSubPr>
                              <m:e>
                                <m:r>
                                  <w:rPr>
                                    <w:rFonts w:ascii="Cambria Math" w:hAnsi="Cambria Math"/>
                                  </w:rPr>
                                  <m:t>A</m:t>
                                </m:r>
                              </m:e>
                              <m:sub>
                                <m:r>
                                  <w:rPr>
                                    <w:rFonts w:ascii="Cambria Math" w:hAnsi="Cambria Math"/>
                                  </w:rPr>
                                  <m:t>3</m:t>
                                </m:r>
                              </m:sub>
                            </m:sSub>
                            <m:sSub>
                              <m:sSubPr>
                                <m:ctrlPr>
                                  <w:rPr>
                                    <w:rFonts w:ascii="Cambria Math" w:hAnsi="Cambria Math"/>
                                    <w:bCs/>
                                  </w:rPr>
                                </m:ctrlPr>
                              </m:sSubPr>
                              <m:e>
                                <m:r>
                                  <w:rPr>
                                    <w:rFonts w:ascii="Cambria Math" w:hAnsi="Cambria Math"/>
                                  </w:rPr>
                                  <m:t>G</m:t>
                                </m:r>
                              </m:e>
                              <m:sub>
                                <m:r>
                                  <w:rPr>
                                    <w:rFonts w:ascii="Cambria Math" w:hAnsi="Cambria Math"/>
                                  </w:rPr>
                                  <m:t>3</m:t>
                                </m:r>
                              </m:sub>
                            </m:sSub>
                            <m:r>
                              <w:rPr>
                                <w:rFonts w:ascii="Cambria Math" w:hAnsi="Cambria Math"/>
                              </w:rPr>
                              <m:t>+</m:t>
                            </m:r>
                            <m:sSub>
                              <m:sSubPr>
                                <m:ctrlPr>
                                  <w:rPr>
                                    <w:rFonts w:ascii="Cambria Math" w:hAnsi="Cambria Math"/>
                                    <w:bCs/>
                                  </w:rPr>
                                </m:ctrlPr>
                              </m:sSubPr>
                              <m:e>
                                <m:r>
                                  <w:rPr>
                                    <w:rFonts w:ascii="Cambria Math" w:hAnsi="Cambria Math"/>
                                  </w:rPr>
                                  <m:t>A</m:t>
                                </m:r>
                              </m:e>
                              <m:sub>
                                <m:r>
                                  <w:rPr>
                                    <w:rFonts w:ascii="Cambria Math" w:hAnsi="Cambria Math"/>
                                  </w:rPr>
                                  <m:t>4</m:t>
                                </m:r>
                              </m:sub>
                            </m:sSub>
                            <m:sSub>
                              <m:sSubPr>
                                <m:ctrlPr>
                                  <w:rPr>
                                    <w:rFonts w:ascii="Cambria Math" w:hAnsi="Cambria Math"/>
                                    <w:bCs/>
                                  </w:rPr>
                                </m:ctrlPr>
                              </m:sSubPr>
                              <m:e>
                                <m:r>
                                  <w:rPr>
                                    <w:rFonts w:ascii="Cambria Math" w:hAnsi="Cambria Math"/>
                                  </w:rPr>
                                  <m:t>G</m:t>
                                </m:r>
                              </m:e>
                              <m:sub>
                                <m:r>
                                  <w:rPr>
                                    <w:rFonts w:ascii="Cambria Math" w:hAnsi="Cambria Math"/>
                                  </w:rPr>
                                  <m:t>4</m:t>
                                </m:r>
                              </m:sub>
                            </m:sSub>
                            <m:r>
                              <w:rPr>
                                <w:rFonts w:ascii="Cambria Math" w:hAnsi="Cambria Math"/>
                              </w:rPr>
                              <m:t>+</m:t>
                            </m:r>
                            <m:sSub>
                              <m:sSubPr>
                                <m:ctrlPr>
                                  <w:rPr>
                                    <w:rFonts w:ascii="Cambria Math" w:hAnsi="Cambria Math"/>
                                    <w:bCs/>
                                  </w:rPr>
                                </m:ctrlPr>
                              </m:sSubPr>
                              <m:e>
                                <m:r>
                                  <w:rPr>
                                    <w:rFonts w:ascii="Cambria Math" w:hAnsi="Cambria Math"/>
                                  </w:rPr>
                                  <m:t>A</m:t>
                                </m:r>
                              </m:e>
                              <m:sub>
                                <m:r>
                                  <w:rPr>
                                    <w:rFonts w:ascii="Cambria Math" w:hAnsi="Cambria Math"/>
                                  </w:rPr>
                                  <m:t>5</m:t>
                                </m:r>
                              </m:sub>
                            </m:sSub>
                            <m:sSub>
                              <m:sSubPr>
                                <m:ctrlPr>
                                  <w:rPr>
                                    <w:rFonts w:ascii="Cambria Math" w:hAnsi="Cambria Math"/>
                                    <w:bCs/>
                                  </w:rPr>
                                </m:ctrlPr>
                              </m:sSubPr>
                              <m:e>
                                <m:r>
                                  <w:rPr>
                                    <w:rFonts w:ascii="Cambria Math" w:hAnsi="Cambria Math"/>
                                  </w:rPr>
                                  <m:t>G</m:t>
                                </m:r>
                              </m:e>
                              <m:sub>
                                <m:r>
                                  <w:rPr>
                                    <w:rFonts w:ascii="Cambria Math" w:hAnsi="Cambria Math"/>
                                  </w:rPr>
                                  <m:t>5</m:t>
                                </m:r>
                              </m:sub>
                            </m:sSub>
                          </m:e>
                        </m:d>
                        <m:r>
                          <w:rPr>
                            <w:rFonts w:ascii="Cambria Math" w:hAnsi="Cambria Math"/>
                          </w:rPr>
                          <m:t xml:space="preserve"> </m:t>
                        </m:r>
                      </m:num>
                      <m:den>
                        <m:sSub>
                          <m:sSubPr>
                            <m:ctrlPr>
                              <w:rPr>
                                <w:rFonts w:ascii="Cambria Math" w:hAnsi="Cambria Math"/>
                                <w:bCs/>
                              </w:rPr>
                            </m:ctrlPr>
                          </m:sSubPr>
                          <m:e>
                            <m:r>
                              <w:rPr>
                                <w:rFonts w:ascii="Cambria Math" w:hAnsi="Cambria Math"/>
                              </w:rPr>
                              <m:t>S</m:t>
                            </m:r>
                          </m:e>
                          <m:sub>
                            <m:r>
                              <w:rPr>
                                <w:rFonts w:ascii="Cambria Math" w:hAnsi="Cambria Math"/>
                              </w:rPr>
                              <m:t>y</m:t>
                            </m:r>
                          </m:sub>
                        </m:sSub>
                        <m:r>
                          <w:rPr>
                            <w:rFonts w:ascii="Cambria Math" w:hAnsi="Cambria Math"/>
                          </w:rPr>
                          <m:t xml:space="preserve"> </m:t>
                        </m:r>
                      </m:den>
                    </m:f>
                  </m:e>
                </m:d>
              </m:e>
              <m:sup>
                <m:r>
                  <w:rPr>
                    <w:rFonts w:ascii="Cambria Math" w:hAnsi="Cambria Math"/>
                  </w:rPr>
                  <m:t>2</m:t>
                </m:r>
              </m:sup>
            </m:sSup>
          </m:num>
          <m:den>
            <m:r>
              <w:rPr>
                <w:rFonts w:ascii="Cambria Math" w:hAnsi="Cambria Math"/>
              </w:rPr>
              <m:t>6</m:t>
            </m:r>
          </m:den>
        </m:f>
      </m:oMath>
      <w:r w:rsidRPr="00BC31E0">
        <w:rPr>
          <w:rFonts w:asciiTheme="minorHAnsi" w:hAnsiTheme="minorHAnsi"/>
        </w:rPr>
        <w:tab/>
        <w:t>(1</w:t>
      </w:r>
      <w:r w:rsidRPr="00BC31E0">
        <w:rPr>
          <w:rFonts w:asciiTheme="minorHAnsi" w:hAnsiTheme="minorHAnsi" w:hint="eastAsia"/>
        </w:rPr>
        <w:t>3</w:t>
      </w:r>
      <w:r w:rsidRPr="00BC31E0">
        <w:rPr>
          <w:rFonts w:asciiTheme="minorHAnsi" w:hAnsiTheme="minorHAnsi"/>
        </w:rPr>
        <w:t>)</w:t>
      </w:r>
    </w:p>
    <w:p w14:paraId="14F65D2D" w14:textId="77777777" w:rsidR="00F52111" w:rsidRPr="00BC31E0" w:rsidRDefault="00F52111" w:rsidP="00736130">
      <w:pPr>
        <w:pStyle w:val="a4"/>
        <w:numPr>
          <w:ilvl w:val="0"/>
          <w:numId w:val="363"/>
        </w:numPr>
        <w:spacing w:before="120"/>
        <w:ind w:leftChars="0" w:left="454" w:hanging="454"/>
        <w:rPr>
          <w:rFonts w:ascii="ＭＳ 明朝" w:hAnsi="ＭＳ 明朝"/>
        </w:rPr>
      </w:pPr>
      <w:r w:rsidRPr="00BC31E0">
        <w:rPr>
          <w:rFonts w:asciiTheme="majorEastAsia" w:eastAsiaTheme="majorEastAsia" w:hAnsiTheme="majorEastAsia" w:hint="eastAsia"/>
          <w:b/>
        </w:rPr>
        <w:t>別法</w:t>
      </w:r>
      <w:r w:rsidRPr="00BC31E0">
        <w:rPr>
          <w:rFonts w:hint="eastAsia"/>
        </w:rPr>
        <w:t xml:space="preserve">　</w:t>
      </w:r>
      <w:r w:rsidRPr="00BC31E0">
        <w:rPr>
          <w:rFonts w:ascii="ＭＳ 明朝" w:hAnsi="ＭＳ 明朝" w:hint="eastAsia"/>
        </w:rPr>
        <w:t>亀裂表面に垂直な応力分布が</w:t>
      </w:r>
      <w:r w:rsidRPr="00BC31E0">
        <w:rPr>
          <w:rFonts w:ascii="ＭＳ 明朝" w:hAnsi="ＭＳ 明朝"/>
        </w:rPr>
        <w:t>容器厚さの全領域にわたって正確に</w:t>
      </w:r>
      <w:r w:rsidRPr="00BC31E0">
        <w:t>5</w:t>
      </w:r>
      <w:r w:rsidRPr="00BC31E0">
        <w:rPr>
          <w:rFonts w:ascii="ＭＳ 明朝" w:hAnsi="ＭＳ 明朝"/>
        </w:rPr>
        <w:t>次多項式近似できる場合には</w:t>
      </w:r>
      <w:r w:rsidRPr="00BC31E0">
        <w:rPr>
          <w:rFonts w:ascii="ＭＳ 明朝" w:hAnsi="ＭＳ 明朝" w:hint="eastAsia"/>
        </w:rPr>
        <w:t>，</w:t>
      </w:r>
      <m:oMath>
        <m:sSub>
          <m:sSubPr>
            <m:ctrlPr>
              <w:rPr>
                <w:rFonts w:ascii="Cambria Math" w:hAnsi="Cambria Math"/>
              </w:rPr>
            </m:ctrlPr>
          </m:sSubPr>
          <m:e>
            <m:r>
              <w:rPr>
                <w:rFonts w:ascii="Cambria Math" w:hAnsi="Cambria Math"/>
              </w:rPr>
              <m:t>K</m:t>
            </m:r>
          </m:e>
          <m:sub>
            <m:r>
              <m:rPr>
                <m:sty m:val="p"/>
              </m:rPr>
              <w:rPr>
                <w:rFonts w:ascii="Cambria Math" w:hAnsi="Cambria Math"/>
              </w:rPr>
              <m:t>I</m:t>
            </m:r>
          </m:sub>
        </m:sSub>
        <m:r>
          <m:rPr>
            <m:sty m:val="p"/>
          </m:rPr>
          <w:rPr>
            <w:rFonts w:ascii="Cambria Math" w:hAnsi="Cambria Math"/>
          </w:rPr>
          <m:t xml:space="preserve"> </m:t>
        </m:r>
      </m:oMath>
      <w:r w:rsidRPr="00BC31E0">
        <w:rPr>
          <w:rFonts w:ascii="ＭＳ 明朝" w:hAnsi="ＭＳ 明朝" w:hint="eastAsia"/>
        </w:rPr>
        <w:t>を決定するのに次の方法を用いる。</w:t>
      </w:r>
    </w:p>
    <w:p w14:paraId="4A61440A" w14:textId="77777777" w:rsidR="00F52111" w:rsidRPr="00BC31E0" w:rsidRDefault="00F52111" w:rsidP="002435BA">
      <w:pPr>
        <w:pStyle w:val="5"/>
        <w:numPr>
          <w:ilvl w:val="0"/>
          <w:numId w:val="0"/>
        </w:numPr>
        <w:spacing w:after="120"/>
        <w:ind w:left="454" w:firstLineChars="100" w:firstLine="210"/>
        <w:rPr>
          <w:rFonts w:ascii="ＭＳ 明朝" w:eastAsia="ＭＳ 明朝" w:hAnsi="ＭＳ 明朝"/>
          <w:b w:val="0"/>
          <w:bCs/>
        </w:rPr>
      </w:pPr>
      <w:r w:rsidRPr="00BC31E0">
        <w:rPr>
          <w:rFonts w:ascii="ＭＳ 明朝" w:eastAsia="ＭＳ 明朝" w:hAnsi="ＭＳ 明朝" w:hint="eastAsia"/>
          <w:b w:val="0"/>
          <w:bCs/>
        </w:rPr>
        <w:t>応力分布</w:t>
      </w:r>
      <w:r w:rsidR="001E30F0" w:rsidRPr="00BC31E0">
        <w:rPr>
          <w:rFonts w:ascii="ＭＳ 明朝" w:eastAsia="ＭＳ 明朝" w:hAnsi="ＭＳ 明朝" w:hint="eastAsia"/>
          <w:b w:val="0"/>
          <w:bCs/>
        </w:rPr>
        <w:t>を</w:t>
      </w:r>
      <w:r w:rsidRPr="00BC31E0">
        <w:rPr>
          <w:rFonts w:ascii="ＭＳ 明朝" w:eastAsia="ＭＳ 明朝" w:hAnsi="ＭＳ 明朝" w:hint="eastAsia"/>
          <w:b w:val="0"/>
          <w:bCs/>
        </w:rPr>
        <w:t>次式の</w:t>
      </w:r>
      <w:r w:rsidRPr="00BC31E0">
        <w:rPr>
          <w:rFonts w:ascii="Century" w:eastAsia="ＭＳ 明朝" w:hAnsi="Century"/>
          <w:b w:val="0"/>
          <w:bCs/>
        </w:rPr>
        <w:t>5</w:t>
      </w:r>
      <w:r w:rsidRPr="00BC31E0">
        <w:rPr>
          <w:rFonts w:ascii="ＭＳ 明朝" w:eastAsia="ＭＳ 明朝" w:hAnsi="ＭＳ 明朝"/>
          <w:b w:val="0"/>
          <w:bCs/>
        </w:rPr>
        <w:t>次多項式</w:t>
      </w:r>
      <w:r w:rsidRPr="00BC31E0">
        <w:rPr>
          <w:rFonts w:ascii="ＭＳ 明朝" w:eastAsia="ＭＳ 明朝" w:hAnsi="ＭＳ 明朝" w:hint="eastAsia"/>
          <w:b w:val="0"/>
          <w:bCs/>
        </w:rPr>
        <w:t>で近似する。</w:t>
      </w:r>
    </w:p>
    <w:p w14:paraId="107C126C" w14:textId="77777777" w:rsidR="00F52111" w:rsidRPr="00BC31E0" w:rsidRDefault="00F52111" w:rsidP="00F52111">
      <w:pPr>
        <w:tabs>
          <w:tab w:val="left" w:pos="1134"/>
          <w:tab w:val="left" w:leader="middleDot" w:pos="8505"/>
        </w:tabs>
      </w:pPr>
      <w:r w:rsidRPr="00BC31E0">
        <w:rPr>
          <w:rFonts w:hint="eastAsia"/>
        </w:rPr>
        <w:tab/>
      </w:r>
      <m:oMath>
        <m:r>
          <w:rPr>
            <w:rFonts w:ascii="Cambria Math" w:hAnsi="Cambria Math"/>
          </w:rPr>
          <m:t>σ=</m:t>
        </m:r>
        <m:sSup>
          <m:sSupPr>
            <m:ctrlPr>
              <w:rPr>
                <w:rFonts w:ascii="Cambria Math" w:hAnsi="Cambria Math"/>
                <w:bCs/>
              </w:rPr>
            </m:ctrlPr>
          </m:sSupPr>
          <m:e>
            <m:sSub>
              <m:sSubPr>
                <m:ctrlPr>
                  <w:rPr>
                    <w:rFonts w:ascii="Cambria Math" w:hAnsi="Cambria Math"/>
                    <w:bCs/>
                  </w:rPr>
                </m:ctrlPr>
              </m:sSubPr>
              <m:e>
                <m:r>
                  <w:rPr>
                    <w:rFonts w:ascii="Cambria Math" w:hAnsi="Cambria Math"/>
                  </w:rPr>
                  <m:t>A</m:t>
                </m:r>
              </m:e>
              <m:sub>
                <m:r>
                  <w:rPr>
                    <w:rFonts w:ascii="Cambria Math" w:hAnsi="Cambria Math"/>
                  </w:rPr>
                  <m:t>0</m:t>
                </m:r>
              </m:sub>
            </m:sSub>
          </m:e>
          <m:sup>
            <m:r>
              <w:rPr>
                <w:rFonts w:ascii="Cambria Math" w:hAnsi="Cambria Math"/>
              </w:rPr>
              <m:t>'</m:t>
            </m:r>
          </m:sup>
        </m:sSup>
        <m:r>
          <w:rPr>
            <w:rFonts w:ascii="Cambria Math" w:hAnsi="Cambria Math"/>
          </w:rPr>
          <m:t>+</m:t>
        </m:r>
        <m:sSup>
          <m:sSupPr>
            <m:ctrlPr>
              <w:rPr>
                <w:rFonts w:ascii="Cambria Math" w:hAnsi="Cambria Math"/>
                <w:bCs/>
              </w:rPr>
            </m:ctrlPr>
          </m:sSupPr>
          <m:e>
            <m:sSub>
              <m:sSubPr>
                <m:ctrlPr>
                  <w:rPr>
                    <w:rFonts w:ascii="Cambria Math" w:hAnsi="Cambria Math"/>
                    <w:bCs/>
                  </w:rPr>
                </m:ctrlPr>
              </m:sSubPr>
              <m:e>
                <m:r>
                  <w:rPr>
                    <w:rFonts w:ascii="Cambria Math" w:hAnsi="Cambria Math"/>
                  </w:rPr>
                  <m:t>A</m:t>
                </m:r>
              </m:e>
              <m:sub>
                <m:r>
                  <w:rPr>
                    <w:rFonts w:ascii="Cambria Math" w:hAnsi="Cambria Math"/>
                  </w:rPr>
                  <m:t>1</m:t>
                </m:r>
              </m:sub>
            </m:sSub>
          </m:e>
          <m:sup>
            <m:r>
              <w:rPr>
                <w:rFonts w:ascii="Cambria Math" w:hAnsi="Cambria Math"/>
              </w:rPr>
              <m:t>'</m:t>
            </m:r>
          </m:sup>
        </m:sSup>
        <m:d>
          <m:dPr>
            <m:ctrlPr>
              <w:rPr>
                <w:rFonts w:ascii="Cambria Math" w:hAnsi="Cambria Math"/>
                <w:bCs/>
              </w:rPr>
            </m:ctrlPr>
          </m:dPr>
          <m:e>
            <m:f>
              <m:fPr>
                <m:type m:val="lin"/>
                <m:ctrlPr>
                  <w:rPr>
                    <w:rFonts w:ascii="Cambria Math" w:hAnsi="Cambria Math"/>
                    <w:bCs/>
                  </w:rPr>
                </m:ctrlPr>
              </m:fPr>
              <m:num>
                <m:r>
                  <w:rPr>
                    <w:rFonts w:ascii="Cambria Math" w:hAnsi="Cambria Math"/>
                  </w:rPr>
                  <m:t>x</m:t>
                </m:r>
              </m:num>
              <m:den>
                <m:r>
                  <w:rPr>
                    <w:rFonts w:ascii="Cambria Math" w:hAnsi="Cambria Math"/>
                  </w:rPr>
                  <m:t>t</m:t>
                </m:r>
              </m:den>
            </m:f>
          </m:e>
        </m:d>
        <m:r>
          <w:rPr>
            <w:rFonts w:ascii="Cambria Math" w:hAnsi="Cambria Math"/>
          </w:rPr>
          <m:t>+</m:t>
        </m:r>
        <m:sSup>
          <m:sSupPr>
            <m:ctrlPr>
              <w:rPr>
                <w:rFonts w:ascii="Cambria Math" w:hAnsi="Cambria Math"/>
                <w:bCs/>
              </w:rPr>
            </m:ctrlPr>
          </m:sSupPr>
          <m:e>
            <m:sSub>
              <m:sSubPr>
                <m:ctrlPr>
                  <w:rPr>
                    <w:rFonts w:ascii="Cambria Math" w:hAnsi="Cambria Math"/>
                    <w:bCs/>
                  </w:rPr>
                </m:ctrlPr>
              </m:sSubPr>
              <m:e>
                <m:r>
                  <w:rPr>
                    <w:rFonts w:ascii="Cambria Math" w:hAnsi="Cambria Math"/>
                  </w:rPr>
                  <m:t>A</m:t>
                </m:r>
              </m:e>
              <m:sub>
                <m:r>
                  <w:rPr>
                    <w:rFonts w:ascii="Cambria Math" w:hAnsi="Cambria Math"/>
                  </w:rPr>
                  <m:t>2</m:t>
                </m:r>
              </m:sub>
            </m:sSub>
          </m:e>
          <m:sup>
            <m:r>
              <w:rPr>
                <w:rFonts w:ascii="Cambria Math" w:hAnsi="Cambria Math"/>
              </w:rPr>
              <m:t>'</m:t>
            </m:r>
          </m:sup>
        </m:sSup>
        <m:sSup>
          <m:sSupPr>
            <m:ctrlPr>
              <w:rPr>
                <w:rFonts w:ascii="Cambria Math" w:hAnsi="Cambria Math"/>
                <w:bCs/>
              </w:rPr>
            </m:ctrlPr>
          </m:sSupPr>
          <m:e>
            <m:d>
              <m:dPr>
                <m:ctrlPr>
                  <w:rPr>
                    <w:rFonts w:ascii="Cambria Math" w:hAnsi="Cambria Math"/>
                    <w:bCs/>
                  </w:rPr>
                </m:ctrlPr>
              </m:dPr>
              <m:e>
                <m:f>
                  <m:fPr>
                    <m:type m:val="lin"/>
                    <m:ctrlPr>
                      <w:rPr>
                        <w:rFonts w:ascii="Cambria Math" w:hAnsi="Cambria Math"/>
                        <w:bCs/>
                      </w:rPr>
                    </m:ctrlPr>
                  </m:fPr>
                  <m:num>
                    <m:r>
                      <w:rPr>
                        <w:rFonts w:ascii="Cambria Math" w:hAnsi="Cambria Math"/>
                      </w:rPr>
                      <m:t>x</m:t>
                    </m:r>
                  </m:num>
                  <m:den>
                    <m:r>
                      <w:rPr>
                        <w:rFonts w:ascii="Cambria Math" w:hAnsi="Cambria Math"/>
                      </w:rPr>
                      <m:t>t</m:t>
                    </m:r>
                  </m:den>
                </m:f>
              </m:e>
            </m:d>
          </m:e>
          <m:sup>
            <m:r>
              <w:rPr>
                <w:rFonts w:ascii="Cambria Math" w:hAnsi="Cambria Math"/>
              </w:rPr>
              <m:t>2</m:t>
            </m:r>
          </m:sup>
        </m:sSup>
        <m:r>
          <w:rPr>
            <w:rFonts w:ascii="Cambria Math" w:hAnsi="Cambria Math"/>
          </w:rPr>
          <m:t>+</m:t>
        </m:r>
        <m:sSup>
          <m:sSupPr>
            <m:ctrlPr>
              <w:rPr>
                <w:rFonts w:ascii="Cambria Math" w:hAnsi="Cambria Math"/>
                <w:bCs/>
              </w:rPr>
            </m:ctrlPr>
          </m:sSupPr>
          <m:e>
            <m:sSub>
              <m:sSubPr>
                <m:ctrlPr>
                  <w:rPr>
                    <w:rFonts w:ascii="Cambria Math" w:hAnsi="Cambria Math"/>
                    <w:bCs/>
                  </w:rPr>
                </m:ctrlPr>
              </m:sSubPr>
              <m:e>
                <m:r>
                  <w:rPr>
                    <w:rFonts w:ascii="Cambria Math" w:hAnsi="Cambria Math"/>
                  </w:rPr>
                  <m:t>A</m:t>
                </m:r>
              </m:e>
              <m:sub>
                <m:r>
                  <w:rPr>
                    <w:rFonts w:ascii="Cambria Math" w:hAnsi="Cambria Math"/>
                  </w:rPr>
                  <m:t>3</m:t>
                </m:r>
              </m:sub>
            </m:sSub>
          </m:e>
          <m:sup>
            <m:r>
              <w:rPr>
                <w:rFonts w:ascii="Cambria Math" w:hAnsi="Cambria Math"/>
              </w:rPr>
              <m:t>'</m:t>
            </m:r>
          </m:sup>
        </m:sSup>
        <m:sSup>
          <m:sSupPr>
            <m:ctrlPr>
              <w:rPr>
                <w:rFonts w:ascii="Cambria Math" w:hAnsi="Cambria Math"/>
                <w:bCs/>
              </w:rPr>
            </m:ctrlPr>
          </m:sSupPr>
          <m:e>
            <m:d>
              <m:dPr>
                <m:ctrlPr>
                  <w:rPr>
                    <w:rFonts w:ascii="Cambria Math" w:hAnsi="Cambria Math"/>
                    <w:bCs/>
                  </w:rPr>
                </m:ctrlPr>
              </m:dPr>
              <m:e>
                <m:f>
                  <m:fPr>
                    <m:type m:val="lin"/>
                    <m:ctrlPr>
                      <w:rPr>
                        <w:rFonts w:ascii="Cambria Math" w:hAnsi="Cambria Math"/>
                        <w:bCs/>
                      </w:rPr>
                    </m:ctrlPr>
                  </m:fPr>
                  <m:num>
                    <m:r>
                      <w:rPr>
                        <w:rFonts w:ascii="Cambria Math" w:hAnsi="Cambria Math"/>
                      </w:rPr>
                      <m:t>x</m:t>
                    </m:r>
                  </m:num>
                  <m:den>
                    <m:r>
                      <w:rPr>
                        <w:rFonts w:ascii="Cambria Math" w:hAnsi="Cambria Math"/>
                      </w:rPr>
                      <m:t>t</m:t>
                    </m:r>
                  </m:den>
                </m:f>
              </m:e>
            </m:d>
          </m:e>
          <m:sup>
            <m:r>
              <w:rPr>
                <w:rFonts w:ascii="Cambria Math" w:hAnsi="Cambria Math"/>
              </w:rPr>
              <m:t>3</m:t>
            </m:r>
          </m:sup>
        </m:sSup>
        <m:r>
          <w:rPr>
            <w:rFonts w:ascii="Cambria Math" w:hAnsi="Cambria Math"/>
          </w:rPr>
          <m:t>+</m:t>
        </m:r>
        <m:sSup>
          <m:sSupPr>
            <m:ctrlPr>
              <w:rPr>
                <w:rFonts w:ascii="Cambria Math" w:hAnsi="Cambria Math"/>
                <w:bCs/>
              </w:rPr>
            </m:ctrlPr>
          </m:sSupPr>
          <m:e>
            <m:sSub>
              <m:sSubPr>
                <m:ctrlPr>
                  <w:rPr>
                    <w:rFonts w:ascii="Cambria Math" w:hAnsi="Cambria Math"/>
                    <w:bCs/>
                  </w:rPr>
                </m:ctrlPr>
              </m:sSubPr>
              <m:e>
                <m:r>
                  <w:rPr>
                    <w:rFonts w:ascii="Cambria Math" w:hAnsi="Cambria Math"/>
                  </w:rPr>
                  <m:t>A</m:t>
                </m:r>
              </m:e>
              <m:sub>
                <m:r>
                  <w:rPr>
                    <w:rFonts w:ascii="Cambria Math" w:hAnsi="Cambria Math"/>
                  </w:rPr>
                  <m:t>4</m:t>
                </m:r>
              </m:sub>
            </m:sSub>
          </m:e>
          <m:sup>
            <m:r>
              <w:rPr>
                <w:rFonts w:ascii="Cambria Math" w:hAnsi="Cambria Math"/>
              </w:rPr>
              <m:t>'</m:t>
            </m:r>
          </m:sup>
        </m:sSup>
        <m:sSup>
          <m:sSupPr>
            <m:ctrlPr>
              <w:rPr>
                <w:rFonts w:ascii="Cambria Math" w:hAnsi="Cambria Math"/>
                <w:bCs/>
              </w:rPr>
            </m:ctrlPr>
          </m:sSupPr>
          <m:e>
            <m:d>
              <m:dPr>
                <m:ctrlPr>
                  <w:rPr>
                    <w:rFonts w:ascii="Cambria Math" w:hAnsi="Cambria Math"/>
                    <w:bCs/>
                  </w:rPr>
                </m:ctrlPr>
              </m:dPr>
              <m:e>
                <m:f>
                  <m:fPr>
                    <m:type m:val="lin"/>
                    <m:ctrlPr>
                      <w:rPr>
                        <w:rFonts w:ascii="Cambria Math" w:hAnsi="Cambria Math"/>
                        <w:bCs/>
                      </w:rPr>
                    </m:ctrlPr>
                  </m:fPr>
                  <m:num>
                    <m:r>
                      <w:rPr>
                        <w:rFonts w:ascii="Cambria Math" w:hAnsi="Cambria Math"/>
                      </w:rPr>
                      <m:t>x</m:t>
                    </m:r>
                  </m:num>
                  <m:den>
                    <m:r>
                      <w:rPr>
                        <w:rFonts w:ascii="Cambria Math" w:hAnsi="Cambria Math"/>
                      </w:rPr>
                      <m:t>t</m:t>
                    </m:r>
                  </m:den>
                </m:f>
              </m:e>
            </m:d>
          </m:e>
          <m:sup>
            <m:r>
              <w:rPr>
                <w:rFonts w:ascii="Cambria Math" w:hAnsi="Cambria Math"/>
              </w:rPr>
              <m:t>4</m:t>
            </m:r>
          </m:sup>
        </m:sSup>
        <m:r>
          <w:rPr>
            <w:rFonts w:ascii="Cambria Math" w:hAnsi="Cambria Math"/>
          </w:rPr>
          <m:t>+</m:t>
        </m:r>
        <m:sSup>
          <m:sSupPr>
            <m:ctrlPr>
              <w:rPr>
                <w:rFonts w:ascii="Cambria Math" w:hAnsi="Cambria Math"/>
                <w:bCs/>
              </w:rPr>
            </m:ctrlPr>
          </m:sSupPr>
          <m:e>
            <m:sSub>
              <m:sSubPr>
                <m:ctrlPr>
                  <w:rPr>
                    <w:rFonts w:ascii="Cambria Math" w:hAnsi="Cambria Math"/>
                    <w:bCs/>
                  </w:rPr>
                </m:ctrlPr>
              </m:sSubPr>
              <m:e>
                <m:r>
                  <w:rPr>
                    <w:rFonts w:ascii="Cambria Math" w:hAnsi="Cambria Math"/>
                  </w:rPr>
                  <m:t>A</m:t>
                </m:r>
              </m:e>
              <m:sub>
                <m:r>
                  <w:rPr>
                    <w:rFonts w:ascii="Cambria Math" w:hAnsi="Cambria Math"/>
                  </w:rPr>
                  <m:t>5</m:t>
                </m:r>
              </m:sub>
            </m:sSub>
          </m:e>
          <m:sup>
            <m:r>
              <w:rPr>
                <w:rFonts w:ascii="Cambria Math" w:hAnsi="Cambria Math"/>
              </w:rPr>
              <m:t>'</m:t>
            </m:r>
          </m:sup>
        </m:sSup>
        <m:sSup>
          <m:sSupPr>
            <m:ctrlPr>
              <w:rPr>
                <w:rFonts w:ascii="Cambria Math" w:hAnsi="Cambria Math"/>
                <w:bCs/>
              </w:rPr>
            </m:ctrlPr>
          </m:sSupPr>
          <m:e>
            <m:d>
              <m:dPr>
                <m:ctrlPr>
                  <w:rPr>
                    <w:rFonts w:ascii="Cambria Math" w:hAnsi="Cambria Math"/>
                    <w:bCs/>
                  </w:rPr>
                </m:ctrlPr>
              </m:dPr>
              <m:e>
                <m:f>
                  <m:fPr>
                    <m:type m:val="lin"/>
                    <m:ctrlPr>
                      <w:rPr>
                        <w:rFonts w:ascii="Cambria Math" w:hAnsi="Cambria Math"/>
                        <w:bCs/>
                      </w:rPr>
                    </m:ctrlPr>
                  </m:fPr>
                  <m:num>
                    <m:r>
                      <w:rPr>
                        <w:rFonts w:ascii="Cambria Math" w:hAnsi="Cambria Math"/>
                      </w:rPr>
                      <m:t>x</m:t>
                    </m:r>
                  </m:num>
                  <m:den>
                    <m:r>
                      <w:rPr>
                        <w:rFonts w:ascii="Cambria Math" w:hAnsi="Cambria Math"/>
                      </w:rPr>
                      <m:t>t</m:t>
                    </m:r>
                  </m:den>
                </m:f>
              </m:e>
            </m:d>
          </m:e>
          <m:sup>
            <m:r>
              <w:rPr>
                <w:rFonts w:ascii="Cambria Math" w:hAnsi="Cambria Math"/>
              </w:rPr>
              <m:t>5</m:t>
            </m:r>
          </m:sup>
        </m:sSup>
      </m:oMath>
      <w:r w:rsidRPr="00BC31E0">
        <w:rPr>
          <w:rFonts w:hint="eastAsia"/>
        </w:rPr>
        <w:tab/>
        <w:t>(14)</w:t>
      </w:r>
    </w:p>
    <w:p w14:paraId="02DB6419" w14:textId="77777777" w:rsidR="00F52111" w:rsidRPr="00BC31E0" w:rsidRDefault="00F52111" w:rsidP="002435BA">
      <w:pPr>
        <w:pStyle w:val="1110"/>
        <w:ind w:left="454" w:firstLineChars="200" w:firstLine="420"/>
      </w:pPr>
      <w:r w:rsidRPr="00BC31E0">
        <w:rPr>
          <w:rFonts w:hint="eastAsia"/>
        </w:rPr>
        <w:t>ここで，</w:t>
      </w:r>
    </w:p>
    <w:p w14:paraId="359BC2AA" w14:textId="77777777" w:rsidR="00F52111" w:rsidRPr="00BC31E0" w:rsidRDefault="00F52111" w:rsidP="00F52111">
      <w:pPr>
        <w:tabs>
          <w:tab w:val="left" w:pos="1701"/>
        </w:tabs>
        <w:rPr>
          <w:szCs w:val="20"/>
        </w:rPr>
      </w:pPr>
      <w:r w:rsidRPr="00BC31E0">
        <w:tab/>
      </w:r>
      <m:oMath>
        <m:r>
          <w:rPr>
            <w:rFonts w:ascii="Cambria Math" w:hAnsi="Cambria Math"/>
            <w:szCs w:val="20"/>
          </w:rPr>
          <m:t>t</m:t>
        </m:r>
      </m:oMath>
      <w:r w:rsidRPr="00BC31E0">
        <w:rPr>
          <w:rFonts w:hint="eastAsia"/>
          <w:szCs w:val="20"/>
        </w:rPr>
        <w:t xml:space="preserve"> </w:t>
      </w:r>
      <w:r w:rsidRPr="00BC31E0">
        <w:rPr>
          <w:rFonts w:hint="eastAsia"/>
          <w:szCs w:val="20"/>
        </w:rPr>
        <w:t>：</w:t>
      </w:r>
      <w:r w:rsidRPr="00BC31E0">
        <w:rPr>
          <w:rFonts w:hint="eastAsia"/>
          <w:szCs w:val="20"/>
        </w:rPr>
        <w:t xml:space="preserve"> </w:t>
      </w:r>
      <w:r w:rsidRPr="00BC31E0">
        <w:rPr>
          <w:rFonts w:hint="eastAsia"/>
          <w:szCs w:val="20"/>
        </w:rPr>
        <w:t>容器の厚さ</w:t>
      </w:r>
      <w:r w:rsidRPr="00BC31E0">
        <w:rPr>
          <w:rFonts w:hint="eastAsia"/>
          <w:szCs w:val="20"/>
        </w:rPr>
        <w:t>(m)</w:t>
      </w:r>
    </w:p>
    <w:p w14:paraId="3387B459" w14:textId="77777777" w:rsidR="00F52111" w:rsidRPr="00BC31E0" w:rsidRDefault="00F52111" w:rsidP="002435BA">
      <w:pPr>
        <w:tabs>
          <w:tab w:val="left" w:pos="1701"/>
        </w:tabs>
        <w:rPr>
          <w:position w:val="-10"/>
          <w:szCs w:val="20"/>
        </w:rPr>
      </w:pPr>
      <w:r w:rsidRPr="00BC31E0">
        <w:rPr>
          <w:rFonts w:hint="eastAsia"/>
        </w:rPr>
        <w:lastRenderedPageBreak/>
        <w:tab/>
      </w:r>
      <m:oMath>
        <m:r>
          <w:rPr>
            <w:rFonts w:ascii="Cambria Math" w:hAnsi="Cambria Math" w:hint="eastAsia"/>
          </w:rPr>
          <m:t>x</m:t>
        </m:r>
      </m:oMath>
      <w:r w:rsidRPr="00BC31E0">
        <w:rPr>
          <w:rFonts w:hint="eastAsia"/>
        </w:rPr>
        <w:t xml:space="preserve"> </w:t>
      </w:r>
      <w:r w:rsidRPr="00BC31E0">
        <w:rPr>
          <w:rFonts w:hint="eastAsia"/>
        </w:rPr>
        <w:t>：</w:t>
      </w:r>
      <w:r w:rsidRPr="00BC31E0">
        <w:rPr>
          <w:rFonts w:hint="eastAsia"/>
        </w:rPr>
        <w:t xml:space="preserve"> </w:t>
      </w:r>
      <w:r w:rsidRPr="00BC31E0">
        <w:rPr>
          <w:rFonts w:ascii="ＭＳ 明朝" w:hAnsi="ＭＳ 明朝" w:hint="eastAsia"/>
        </w:rPr>
        <w:t>亀</w:t>
      </w:r>
      <w:r w:rsidRPr="00BC31E0">
        <w:rPr>
          <w:rFonts w:hint="eastAsia"/>
        </w:rPr>
        <w:t>裂位置における表面からの厚さ方向距離，</w:t>
      </w:r>
      <m:oMath>
        <m:r>
          <w:rPr>
            <w:rFonts w:ascii="Cambria Math" w:hAnsi="Cambria Math" w:hint="eastAsia"/>
          </w:rPr>
          <m:t>0</m:t>
        </m:r>
        <m:r>
          <w:rPr>
            <w:rFonts w:ascii="Cambria Math" w:hAnsi="Cambria Math" w:hint="eastAsia"/>
          </w:rPr>
          <m:t>≦</m:t>
        </m:r>
        <m:r>
          <w:rPr>
            <w:rFonts w:ascii="Cambria Math" w:hAnsi="Cambria Math"/>
          </w:rPr>
          <m:t>x</m:t>
        </m:r>
        <m:r>
          <w:rPr>
            <w:rFonts w:ascii="Cambria Math" w:hAnsi="Cambria Math" w:hint="eastAsia"/>
          </w:rPr>
          <m:t>≦</m:t>
        </m:r>
        <m:r>
          <w:rPr>
            <w:rFonts w:ascii="Cambria Math" w:hAnsi="Cambria Math"/>
          </w:rPr>
          <m:t xml:space="preserve">t </m:t>
        </m:r>
      </m:oMath>
      <w:r w:rsidRPr="00BC31E0">
        <w:rPr>
          <w:rFonts w:hint="eastAsia"/>
        </w:rPr>
        <w:t>(</w:t>
      </w:r>
      <w:r w:rsidRPr="00BC31E0">
        <w:rPr>
          <w:rFonts w:ascii="Times New Roman" w:hAnsi="Times New Roman"/>
        </w:rPr>
        <w:t>m</w:t>
      </w:r>
      <w:r w:rsidRPr="00BC31E0">
        <w:rPr>
          <w:rFonts w:hint="eastAsia"/>
        </w:rPr>
        <w:t>)</w:t>
      </w:r>
    </w:p>
    <w:p w14:paraId="781E9AD6" w14:textId="77777777" w:rsidR="00F52111" w:rsidRPr="00BC31E0" w:rsidRDefault="00A51873" w:rsidP="002435BA">
      <w:pPr>
        <w:spacing w:before="120" w:after="120"/>
        <w:ind w:left="454" w:firstLineChars="100" w:firstLine="210"/>
      </w:pPr>
      <m:oMath>
        <m:f>
          <m:fPr>
            <m:type m:val="lin"/>
            <m:ctrlPr>
              <w:rPr>
                <w:rFonts w:ascii="Cambria Math" w:hAnsi="Cambria Math"/>
              </w:rPr>
            </m:ctrlPr>
          </m:fPr>
          <m:num>
            <m:r>
              <w:rPr>
                <w:rFonts w:ascii="Cambria Math" w:hAnsi="Cambria Math"/>
              </w:rPr>
              <m:t>a</m:t>
            </m:r>
          </m:num>
          <m:den>
            <m:r>
              <w:rPr>
                <w:rFonts w:ascii="Cambria Math" w:hAnsi="Cambria Math"/>
              </w:rPr>
              <m:t>t</m:t>
            </m:r>
          </m:den>
        </m:f>
        <m:r>
          <m:rPr>
            <m:sty m:val="p"/>
          </m:rPr>
          <w:rPr>
            <w:rFonts w:ascii="Cambria Math" w:hAnsi="Cambria Math"/>
          </w:rPr>
          <m:t xml:space="preserve"> </m:t>
        </m:r>
      </m:oMath>
      <w:r w:rsidR="00F52111" w:rsidRPr="00BC31E0">
        <w:rPr>
          <w:rFonts w:hint="eastAsia"/>
        </w:rPr>
        <w:t>のそれぞれの値について，次式によって</w:t>
      </w:r>
      <m:oMath>
        <m:sSup>
          <m:sSupPr>
            <m:ctrlPr>
              <w:rPr>
                <w:rFonts w:ascii="Cambria Math" w:hAnsi="Cambria Math"/>
                <w:bCs/>
              </w:rPr>
            </m:ctrlPr>
          </m:sSupPr>
          <m:e>
            <m:sSub>
              <m:sSubPr>
                <m:ctrlPr>
                  <w:rPr>
                    <w:rFonts w:ascii="Cambria Math" w:hAnsi="Cambria Math"/>
                    <w:bCs/>
                  </w:rPr>
                </m:ctrlPr>
              </m:sSubPr>
              <m:e>
                <m:r>
                  <w:rPr>
                    <w:rFonts w:ascii="Cambria Math" w:hAnsi="Cambria Math"/>
                  </w:rPr>
                  <m:t xml:space="preserve"> A</m:t>
                </m:r>
              </m:e>
              <m:sub>
                <m:r>
                  <w:rPr>
                    <w:rFonts w:ascii="Cambria Math" w:hAnsi="Cambria Math"/>
                  </w:rPr>
                  <m:t>i</m:t>
                </m:r>
              </m:sub>
            </m:sSub>
          </m:e>
          <m:sup>
            <m:r>
              <w:rPr>
                <w:rFonts w:ascii="Cambria Math" w:hAnsi="Cambria Math"/>
              </w:rPr>
              <m:t>'</m:t>
            </m:r>
          </m:sup>
        </m:sSup>
      </m:oMath>
      <w:r w:rsidR="00F52111" w:rsidRPr="00BC31E0">
        <w:rPr>
          <w:rFonts w:hint="eastAsia"/>
        </w:rPr>
        <w:t>の値を</w:t>
      </w:r>
      <m:oMath>
        <m:sSub>
          <m:sSubPr>
            <m:ctrlPr>
              <w:rPr>
                <w:rFonts w:ascii="Cambria Math" w:hAnsi="Cambria Math"/>
                <w:bCs/>
              </w:rPr>
            </m:ctrlPr>
          </m:sSubPr>
          <m:e>
            <m:r>
              <w:rPr>
                <w:rFonts w:ascii="Cambria Math" w:hAnsi="Cambria Math"/>
              </w:rPr>
              <m:t xml:space="preserve"> A</m:t>
            </m:r>
          </m:e>
          <m:sub>
            <m:r>
              <w:rPr>
                <w:rFonts w:ascii="Cambria Math" w:hAnsi="Cambria Math"/>
              </w:rPr>
              <m:t>i</m:t>
            </m:r>
          </m:sub>
        </m:sSub>
      </m:oMath>
      <w:r w:rsidR="00F52111" w:rsidRPr="00BC31E0">
        <w:rPr>
          <w:rFonts w:hint="eastAsia"/>
        </w:rPr>
        <w:t>の値に変換する。</w:t>
      </w:r>
      <w:r w:rsidR="00F52111" w:rsidRPr="00BC31E0">
        <w:rPr>
          <w:rFonts w:ascii="ＭＳ 明朝" w:hAnsi="ＭＳ 明朝" w:hint="eastAsia"/>
        </w:rPr>
        <w:t>これらの</w:t>
      </w:r>
      <m:oMath>
        <m:sSub>
          <m:sSubPr>
            <m:ctrlPr>
              <w:rPr>
                <w:rFonts w:ascii="Cambria Math" w:hAnsi="Cambria Math"/>
                <w:bCs/>
              </w:rPr>
            </m:ctrlPr>
          </m:sSubPr>
          <m:e>
            <m:r>
              <w:rPr>
                <w:rFonts w:ascii="Cambria Math" w:hAnsi="Cambria Math"/>
              </w:rPr>
              <m:t xml:space="preserve"> A</m:t>
            </m:r>
          </m:e>
          <m:sub>
            <m:r>
              <w:rPr>
                <w:rFonts w:ascii="Cambria Math" w:hAnsi="Cambria Math"/>
              </w:rPr>
              <m:t>i</m:t>
            </m:r>
          </m:sub>
        </m:sSub>
        <m:r>
          <m:rPr>
            <m:sty m:val="p"/>
          </m:rPr>
          <w:rPr>
            <w:rFonts w:ascii="Cambria Math" w:hAnsi="Cambria Math"/>
          </w:rPr>
          <m:t xml:space="preserve"> </m:t>
        </m:r>
      </m:oMath>
      <w:r w:rsidR="00F52111" w:rsidRPr="00BC31E0">
        <w:rPr>
          <w:rFonts w:hint="eastAsia"/>
        </w:rPr>
        <w:t>の</w:t>
      </w:r>
      <w:r w:rsidR="00F52111" w:rsidRPr="00BC31E0">
        <w:rPr>
          <w:rFonts w:ascii="ＭＳ 明朝" w:hAnsi="ＭＳ 明朝" w:hint="eastAsia"/>
        </w:rPr>
        <w:t>値は，</w:t>
      </w:r>
      <w:r w:rsidR="00F52111" w:rsidRPr="00BC31E0">
        <w:rPr>
          <w:rFonts w:ascii="ＭＳ ゴシック" w:eastAsia="ＭＳ ゴシック" w:hAnsi="ＭＳ ゴシック" w:hint="eastAsia"/>
          <w:b/>
        </w:rPr>
        <w:t>式</w:t>
      </w:r>
      <w:r w:rsidR="00F52111" w:rsidRPr="00BC31E0">
        <w:rPr>
          <w:rFonts w:ascii="ＭＳ ゴシック" w:eastAsia="ＭＳ ゴシック" w:hAnsi="ＭＳ ゴシック"/>
          <w:b/>
        </w:rPr>
        <w:t>(</w:t>
      </w:r>
      <w:r w:rsidR="00F52111" w:rsidRPr="00BC31E0">
        <w:rPr>
          <w:rFonts w:ascii="ＭＳ ゴシック" w:eastAsia="ＭＳ ゴシック" w:hAnsi="ＭＳ ゴシック" w:hint="eastAsia"/>
          <w:b/>
        </w:rPr>
        <w:t>9</w:t>
      </w:r>
      <w:r w:rsidR="00F52111" w:rsidRPr="00BC31E0">
        <w:rPr>
          <w:rFonts w:ascii="ＭＳ ゴシック" w:eastAsia="ＭＳ ゴシック" w:hAnsi="ＭＳ ゴシック"/>
          <w:b/>
        </w:rPr>
        <w:t>)</w:t>
      </w:r>
      <w:r w:rsidR="00F52111" w:rsidRPr="00BC31E0">
        <w:rPr>
          <w:rFonts w:ascii="ＭＳ 明朝" w:hAnsi="ＭＳ 明朝" w:hint="eastAsia"/>
        </w:rPr>
        <w:t>により</w:t>
      </w:r>
      <m:oMath>
        <m:r>
          <m:rPr>
            <m:sty m:val="p"/>
          </m:rPr>
          <w:rPr>
            <w:rFonts w:ascii="Cambria Math" w:hAnsi="Cambria Math"/>
          </w:rPr>
          <m:t xml:space="preserve"> </m:t>
        </m:r>
        <m:sSub>
          <m:sSubPr>
            <m:ctrlPr>
              <w:rPr>
                <w:rFonts w:ascii="Cambria Math" w:hAnsi="Cambria Math"/>
                <w:bCs/>
              </w:rPr>
            </m:ctrlPr>
          </m:sSubPr>
          <m:e>
            <m:r>
              <w:rPr>
                <w:rFonts w:ascii="Cambria Math" w:hAnsi="Cambria Math"/>
              </w:rPr>
              <m:t>K</m:t>
            </m:r>
          </m:e>
          <m:sub>
            <m:r>
              <m:rPr>
                <m:sty m:val="p"/>
              </m:rPr>
              <w:rPr>
                <w:rFonts w:ascii="Cambria Math" w:hAnsi="Cambria Math"/>
              </w:rPr>
              <m:t>I</m:t>
            </m:r>
          </m:sub>
        </m:sSub>
        <m:r>
          <m:rPr>
            <m:sty m:val="p"/>
          </m:rPr>
          <w:rPr>
            <w:rFonts w:ascii="Cambria Math" w:hAnsi="Cambria Math"/>
          </w:rPr>
          <m:t xml:space="preserve"> </m:t>
        </m:r>
      </m:oMath>
      <w:r w:rsidR="00F52111" w:rsidRPr="00BC31E0">
        <w:rPr>
          <w:rFonts w:ascii="ＭＳ 明朝" w:hAnsi="ＭＳ 明朝" w:hint="eastAsia"/>
        </w:rPr>
        <w:t>を決定するために用いられる。</w:t>
      </w:r>
    </w:p>
    <w:tbl>
      <w:tblPr>
        <w:tblStyle w:val="afff2"/>
        <w:tblW w:w="5953" w:type="dxa"/>
        <w:tblInd w:w="3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4517"/>
      </w:tblGrid>
      <w:tr w:rsidR="00F52111" w:rsidRPr="00BC31E0" w14:paraId="68574260" w14:textId="77777777" w:rsidTr="004736F2">
        <w:tc>
          <w:tcPr>
            <w:tcW w:w="0" w:type="auto"/>
            <w:tcMar>
              <w:left w:w="0" w:type="dxa"/>
              <w:right w:w="0" w:type="dxa"/>
            </w:tcMar>
            <w:vAlign w:val="center"/>
          </w:tcPr>
          <w:p w14:paraId="49270225" w14:textId="77777777" w:rsidR="00F52111" w:rsidRPr="00BC31E0" w:rsidRDefault="00A51873" w:rsidP="004736F2">
            <w:pPr>
              <w:rPr>
                <w:rFonts w:asciiTheme="minorHAnsi" w:hAnsiTheme="minorHAnsi"/>
              </w:rPr>
            </w:pPr>
            <m:oMathPara>
              <m:oMathParaPr>
                <m:jc m:val="left"/>
              </m:oMathParaPr>
              <m:oMath>
                <m:sSub>
                  <m:sSubPr>
                    <m:ctrlPr>
                      <w:rPr>
                        <w:rFonts w:ascii="Cambria Math" w:hAnsi="Cambria Math"/>
                      </w:rPr>
                    </m:ctrlPr>
                  </m:sSubPr>
                  <m:e>
                    <m:r>
                      <w:rPr>
                        <w:rFonts w:ascii="Cambria Math" w:hAnsi="Cambria Math"/>
                      </w:rPr>
                      <m:t>A</m:t>
                    </m:r>
                  </m:e>
                  <m:sub>
                    <m:r>
                      <m:rPr>
                        <m:sty m:val="p"/>
                      </m:rPr>
                      <w:rPr>
                        <w:rFonts w:ascii="Cambria Math" w:hAnsi="Cambria Math"/>
                      </w:rPr>
                      <m:t>0</m:t>
                    </m:r>
                  </m:sub>
                </m:sSub>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A</m:t>
                        </m:r>
                      </m:e>
                      <m:sub>
                        <m:r>
                          <m:rPr>
                            <m:sty m:val="p"/>
                          </m:rPr>
                          <w:rPr>
                            <w:rFonts w:ascii="Cambria Math" w:hAnsi="Cambria Math"/>
                          </w:rPr>
                          <m:t>0</m:t>
                        </m:r>
                      </m:sub>
                    </m:sSub>
                  </m:e>
                  <m:sup>
                    <m:r>
                      <m:rPr>
                        <m:sty m:val="p"/>
                      </m:rPr>
                      <w:rPr>
                        <w:rFonts w:ascii="Cambria Math" w:hAnsi="Cambria Math"/>
                      </w:rPr>
                      <m:t>'</m:t>
                    </m:r>
                  </m:sup>
                </m:sSup>
              </m:oMath>
            </m:oMathPara>
          </w:p>
        </w:tc>
        <w:tc>
          <w:tcPr>
            <w:tcW w:w="4517" w:type="dxa"/>
            <w:vMerge w:val="restart"/>
            <w:tcMar>
              <w:left w:w="0" w:type="dxa"/>
              <w:right w:w="0" w:type="dxa"/>
            </w:tcMar>
            <w:vAlign w:val="center"/>
          </w:tcPr>
          <w:p w14:paraId="788A2FC3" w14:textId="77777777" w:rsidR="00F52111" w:rsidRPr="00BC31E0" w:rsidRDefault="00F52111" w:rsidP="004736F2">
            <w:pPr>
              <w:tabs>
                <w:tab w:val="left" w:leader="middleDot" w:pos="3950"/>
              </w:tabs>
              <w:spacing w:before="120"/>
            </w:pPr>
            <w:r w:rsidRPr="00BC31E0">
              <w:rPr>
                <w:rFonts w:hint="eastAsia"/>
              </w:rPr>
              <w:tab/>
              <w:t>(15)</w:t>
            </w:r>
          </w:p>
        </w:tc>
      </w:tr>
      <w:tr w:rsidR="00F52111" w:rsidRPr="00BC31E0" w14:paraId="7773B996" w14:textId="77777777" w:rsidTr="004736F2">
        <w:tc>
          <w:tcPr>
            <w:tcW w:w="0" w:type="auto"/>
            <w:tcMar>
              <w:left w:w="0" w:type="dxa"/>
              <w:right w:w="0" w:type="dxa"/>
            </w:tcMar>
            <w:vAlign w:val="center"/>
          </w:tcPr>
          <w:p w14:paraId="769A447F" w14:textId="77777777" w:rsidR="00F52111" w:rsidRPr="00BC31E0" w:rsidRDefault="00A51873" w:rsidP="004736F2">
            <w:pPr>
              <w:spacing w:before="120"/>
              <w:rPr>
                <w:rFonts w:asciiTheme="minorHAnsi" w:hAnsiTheme="minorHAnsi"/>
              </w:rPr>
            </w:pPr>
            <m:oMathPara>
              <m:oMathParaPr>
                <m:jc m:val="left"/>
              </m:oMathParaPr>
              <m:oMath>
                <m:sSub>
                  <m:sSubPr>
                    <m:ctrlPr>
                      <w:rPr>
                        <w:rFonts w:ascii="Cambria Math" w:hAnsi="Cambria Math"/>
                      </w:rPr>
                    </m:ctrlPr>
                  </m:sSubPr>
                  <m:e>
                    <m:r>
                      <w:rPr>
                        <w:rFonts w:ascii="Cambria Math" w:hAnsi="Cambria Math"/>
                      </w:rPr>
                      <m:t>A</m:t>
                    </m:r>
                  </m:e>
                  <m:sub>
                    <m:r>
                      <m:rPr>
                        <m:sty m:val="p"/>
                      </m:rPr>
                      <w:rPr>
                        <w:rFonts w:ascii="Cambria Math" w:hAnsi="Cambria Math"/>
                      </w:rPr>
                      <m:t>1</m:t>
                    </m:r>
                  </m:sub>
                </m:sSub>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A</m:t>
                        </m:r>
                      </m:e>
                      <m:sub>
                        <m:r>
                          <m:rPr>
                            <m:sty m:val="p"/>
                          </m:rPr>
                          <w:rPr>
                            <w:rFonts w:ascii="Cambria Math" w:hAnsi="Cambria Math"/>
                          </w:rPr>
                          <m:t>1</m:t>
                        </m:r>
                      </m:sub>
                    </m:sSub>
                  </m:e>
                  <m:sup>
                    <m:r>
                      <m:rPr>
                        <m:sty m:val="p"/>
                      </m:rPr>
                      <w:rPr>
                        <w:rFonts w:ascii="Cambria Math" w:hAnsi="Cambria Math"/>
                      </w:rPr>
                      <m:t>'</m:t>
                    </m:r>
                  </m:sup>
                </m:sSup>
                <m:r>
                  <m:rPr>
                    <m:sty m:val="p"/>
                  </m:rPr>
                  <w:rPr>
                    <w:rFonts w:ascii="Cambria Math" w:hAnsi="Cambria Math"/>
                  </w:rPr>
                  <m:t xml:space="preserve"> </m:t>
                </m:r>
                <m:d>
                  <m:dPr>
                    <m:ctrlPr>
                      <w:rPr>
                        <w:rFonts w:ascii="Cambria Math" w:hAnsi="Cambria Math"/>
                      </w:rPr>
                    </m:ctrlPr>
                  </m:dPr>
                  <m:e>
                    <m:f>
                      <m:fPr>
                        <m:type m:val="lin"/>
                        <m:ctrlPr>
                          <w:rPr>
                            <w:rFonts w:ascii="Cambria Math" w:hAnsi="Cambria Math"/>
                          </w:rPr>
                        </m:ctrlPr>
                      </m:fPr>
                      <m:num>
                        <m:r>
                          <w:rPr>
                            <w:rFonts w:ascii="Cambria Math" w:hAnsi="Cambria Math"/>
                          </w:rPr>
                          <m:t>a</m:t>
                        </m:r>
                      </m:num>
                      <m:den>
                        <m:r>
                          <w:rPr>
                            <w:rFonts w:ascii="Cambria Math" w:hAnsi="Cambria Math"/>
                          </w:rPr>
                          <m:t>t</m:t>
                        </m:r>
                      </m:den>
                    </m:f>
                  </m:e>
                </m:d>
              </m:oMath>
            </m:oMathPara>
          </w:p>
        </w:tc>
        <w:tc>
          <w:tcPr>
            <w:tcW w:w="4517" w:type="dxa"/>
            <w:vMerge/>
            <w:tcMar>
              <w:left w:w="0" w:type="dxa"/>
              <w:right w:w="0" w:type="dxa"/>
            </w:tcMar>
            <w:vAlign w:val="center"/>
          </w:tcPr>
          <w:p w14:paraId="1742C45C" w14:textId="77777777" w:rsidR="00F52111" w:rsidRPr="00BC31E0" w:rsidRDefault="00F52111" w:rsidP="004736F2">
            <w:pPr>
              <w:tabs>
                <w:tab w:val="left" w:leader="middleDot" w:pos="3950"/>
              </w:tabs>
              <w:spacing w:before="120"/>
            </w:pPr>
          </w:p>
        </w:tc>
      </w:tr>
      <w:tr w:rsidR="00F52111" w:rsidRPr="00BC31E0" w14:paraId="21CF775B" w14:textId="77777777" w:rsidTr="004736F2">
        <w:tc>
          <w:tcPr>
            <w:tcW w:w="0" w:type="auto"/>
            <w:tcMar>
              <w:left w:w="0" w:type="dxa"/>
              <w:right w:w="0" w:type="dxa"/>
            </w:tcMar>
            <w:vAlign w:val="center"/>
          </w:tcPr>
          <w:p w14:paraId="2DA3AA3A" w14:textId="77777777" w:rsidR="00F52111" w:rsidRPr="00BC31E0" w:rsidRDefault="00A51873" w:rsidP="004736F2">
            <w:pPr>
              <w:spacing w:before="120"/>
              <w:rPr>
                <w:rFonts w:asciiTheme="minorHAnsi" w:hAnsiTheme="minorHAnsi"/>
              </w:rPr>
            </w:pPr>
            <m:oMathPara>
              <m:oMathParaPr>
                <m:jc m:val="left"/>
              </m:oMathParaPr>
              <m:oMath>
                <m:sSub>
                  <m:sSubPr>
                    <m:ctrlPr>
                      <w:rPr>
                        <w:rFonts w:ascii="Cambria Math" w:hAnsi="Cambria Math"/>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A</m:t>
                        </m:r>
                      </m:e>
                      <m:sub>
                        <m:r>
                          <m:rPr>
                            <m:sty m:val="p"/>
                          </m:rPr>
                          <w:rPr>
                            <w:rFonts w:ascii="Cambria Math" w:hAnsi="Cambria Math"/>
                          </w:rPr>
                          <m:t>2</m:t>
                        </m:r>
                      </m:sub>
                    </m:sSub>
                  </m:e>
                  <m:sup>
                    <m:r>
                      <m:rPr>
                        <m:sty m:val="p"/>
                      </m:rPr>
                      <w:rPr>
                        <w:rFonts w:ascii="Cambria Math" w:hAnsi="Cambria Math"/>
                      </w:rPr>
                      <m:t>'</m:t>
                    </m:r>
                  </m:sup>
                </m:sSup>
                <m:r>
                  <m:rPr>
                    <m:sty m:val="p"/>
                  </m:rPr>
                  <w:rPr>
                    <w:rFonts w:ascii="Cambria Math" w:hAnsi="Cambria Math"/>
                  </w:rPr>
                  <m:t xml:space="preserve"> </m:t>
                </m:r>
                <m:sSup>
                  <m:sSupPr>
                    <m:ctrlPr>
                      <w:rPr>
                        <w:rFonts w:ascii="Cambria Math" w:hAnsi="Cambria Math"/>
                      </w:rPr>
                    </m:ctrlPr>
                  </m:sSupPr>
                  <m:e>
                    <m:d>
                      <m:dPr>
                        <m:ctrlPr>
                          <w:rPr>
                            <w:rFonts w:ascii="Cambria Math" w:hAnsi="Cambria Math"/>
                          </w:rPr>
                        </m:ctrlPr>
                      </m:dPr>
                      <m:e>
                        <m:f>
                          <m:fPr>
                            <m:type m:val="lin"/>
                            <m:ctrlPr>
                              <w:rPr>
                                <w:rFonts w:ascii="Cambria Math" w:hAnsi="Cambria Math"/>
                              </w:rPr>
                            </m:ctrlPr>
                          </m:fPr>
                          <m:num>
                            <m:r>
                              <w:rPr>
                                <w:rFonts w:ascii="Cambria Math" w:hAnsi="Cambria Math"/>
                              </w:rPr>
                              <m:t>a</m:t>
                            </m:r>
                          </m:num>
                          <m:den>
                            <m:r>
                              <w:rPr>
                                <w:rFonts w:ascii="Cambria Math" w:hAnsi="Cambria Math"/>
                              </w:rPr>
                              <m:t>t</m:t>
                            </m:r>
                          </m:den>
                        </m:f>
                      </m:e>
                    </m:d>
                  </m:e>
                  <m:sup>
                    <m:r>
                      <m:rPr>
                        <m:sty m:val="p"/>
                      </m:rPr>
                      <w:rPr>
                        <w:rFonts w:ascii="Cambria Math" w:hAnsi="Cambria Math"/>
                      </w:rPr>
                      <m:t>2</m:t>
                    </m:r>
                  </m:sup>
                </m:sSup>
              </m:oMath>
            </m:oMathPara>
          </w:p>
        </w:tc>
        <w:tc>
          <w:tcPr>
            <w:tcW w:w="4517" w:type="dxa"/>
            <w:vMerge/>
            <w:tcMar>
              <w:left w:w="0" w:type="dxa"/>
              <w:right w:w="0" w:type="dxa"/>
            </w:tcMar>
            <w:vAlign w:val="center"/>
          </w:tcPr>
          <w:p w14:paraId="7AC63AEC" w14:textId="77777777" w:rsidR="00F52111" w:rsidRPr="00BC31E0" w:rsidRDefault="00F52111" w:rsidP="004736F2">
            <w:pPr>
              <w:tabs>
                <w:tab w:val="left" w:leader="middleDot" w:pos="3950"/>
              </w:tabs>
              <w:spacing w:before="120"/>
            </w:pPr>
          </w:p>
        </w:tc>
      </w:tr>
      <w:tr w:rsidR="00F52111" w:rsidRPr="00BC31E0" w14:paraId="348DC325" w14:textId="77777777" w:rsidTr="004736F2">
        <w:tc>
          <w:tcPr>
            <w:tcW w:w="0" w:type="auto"/>
            <w:tcMar>
              <w:left w:w="0" w:type="dxa"/>
              <w:right w:w="0" w:type="dxa"/>
            </w:tcMar>
            <w:vAlign w:val="center"/>
          </w:tcPr>
          <w:p w14:paraId="2F22AF35" w14:textId="77777777" w:rsidR="00F52111" w:rsidRPr="00BC31E0" w:rsidRDefault="00A51873" w:rsidP="004736F2">
            <w:pPr>
              <w:spacing w:before="120"/>
              <w:rPr>
                <w:rFonts w:asciiTheme="minorHAnsi" w:hAnsiTheme="minorHAnsi"/>
              </w:rPr>
            </w:pPr>
            <m:oMathPara>
              <m:oMathParaPr>
                <m:jc m:val="left"/>
              </m:oMathParaPr>
              <m:oMath>
                <m:sSub>
                  <m:sSubPr>
                    <m:ctrlPr>
                      <w:rPr>
                        <w:rFonts w:ascii="Cambria Math" w:hAnsi="Cambria Math"/>
                      </w:rPr>
                    </m:ctrlPr>
                  </m:sSubPr>
                  <m:e>
                    <m:r>
                      <w:rPr>
                        <w:rFonts w:ascii="Cambria Math" w:hAnsi="Cambria Math"/>
                      </w:rPr>
                      <m:t>A</m:t>
                    </m:r>
                  </m:e>
                  <m:sub>
                    <m:r>
                      <m:rPr>
                        <m:sty m:val="p"/>
                      </m:rPr>
                      <w:rPr>
                        <w:rFonts w:ascii="Cambria Math" w:hAnsi="Cambria Math"/>
                      </w:rPr>
                      <m:t>3</m:t>
                    </m:r>
                  </m:sub>
                </m:sSub>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A</m:t>
                        </m:r>
                      </m:e>
                      <m:sub>
                        <m:r>
                          <m:rPr>
                            <m:sty m:val="p"/>
                          </m:rPr>
                          <w:rPr>
                            <w:rFonts w:ascii="Cambria Math" w:hAnsi="Cambria Math"/>
                          </w:rPr>
                          <m:t>3</m:t>
                        </m:r>
                      </m:sub>
                    </m:sSub>
                  </m:e>
                  <m:sup>
                    <m:r>
                      <m:rPr>
                        <m:sty m:val="p"/>
                      </m:rPr>
                      <w:rPr>
                        <w:rFonts w:ascii="Cambria Math" w:hAnsi="Cambria Math"/>
                      </w:rPr>
                      <m:t>'</m:t>
                    </m:r>
                  </m:sup>
                </m:sSup>
                <m:r>
                  <m:rPr>
                    <m:sty m:val="p"/>
                  </m:rPr>
                  <w:rPr>
                    <w:rFonts w:ascii="Cambria Math" w:hAnsi="Cambria Math"/>
                  </w:rPr>
                  <m:t xml:space="preserve"> </m:t>
                </m:r>
                <m:sSup>
                  <m:sSupPr>
                    <m:ctrlPr>
                      <w:rPr>
                        <w:rFonts w:ascii="Cambria Math" w:hAnsi="Cambria Math"/>
                      </w:rPr>
                    </m:ctrlPr>
                  </m:sSupPr>
                  <m:e>
                    <m:d>
                      <m:dPr>
                        <m:ctrlPr>
                          <w:rPr>
                            <w:rFonts w:ascii="Cambria Math" w:hAnsi="Cambria Math"/>
                          </w:rPr>
                        </m:ctrlPr>
                      </m:dPr>
                      <m:e>
                        <m:f>
                          <m:fPr>
                            <m:type m:val="lin"/>
                            <m:ctrlPr>
                              <w:rPr>
                                <w:rFonts w:ascii="Cambria Math" w:hAnsi="Cambria Math"/>
                              </w:rPr>
                            </m:ctrlPr>
                          </m:fPr>
                          <m:num>
                            <m:r>
                              <w:rPr>
                                <w:rFonts w:ascii="Cambria Math" w:hAnsi="Cambria Math"/>
                              </w:rPr>
                              <m:t>a</m:t>
                            </m:r>
                          </m:num>
                          <m:den>
                            <m:r>
                              <w:rPr>
                                <w:rFonts w:ascii="Cambria Math" w:hAnsi="Cambria Math"/>
                              </w:rPr>
                              <m:t>t</m:t>
                            </m:r>
                          </m:den>
                        </m:f>
                      </m:e>
                    </m:d>
                  </m:e>
                  <m:sup>
                    <m:r>
                      <m:rPr>
                        <m:sty m:val="p"/>
                      </m:rPr>
                      <w:rPr>
                        <w:rFonts w:ascii="Cambria Math" w:hAnsi="Cambria Math"/>
                      </w:rPr>
                      <m:t>3</m:t>
                    </m:r>
                  </m:sup>
                </m:sSup>
              </m:oMath>
            </m:oMathPara>
          </w:p>
        </w:tc>
        <w:tc>
          <w:tcPr>
            <w:tcW w:w="4517" w:type="dxa"/>
            <w:vMerge/>
            <w:tcMar>
              <w:left w:w="0" w:type="dxa"/>
              <w:right w:w="0" w:type="dxa"/>
            </w:tcMar>
            <w:vAlign w:val="center"/>
          </w:tcPr>
          <w:p w14:paraId="60A8533A" w14:textId="77777777" w:rsidR="00F52111" w:rsidRPr="00BC31E0" w:rsidRDefault="00F52111" w:rsidP="004736F2">
            <w:pPr>
              <w:tabs>
                <w:tab w:val="left" w:leader="middleDot" w:pos="3950"/>
              </w:tabs>
              <w:spacing w:before="120"/>
            </w:pPr>
          </w:p>
        </w:tc>
      </w:tr>
      <w:tr w:rsidR="00F52111" w:rsidRPr="00BC31E0" w14:paraId="158ACBCA" w14:textId="77777777" w:rsidTr="004736F2">
        <w:tc>
          <w:tcPr>
            <w:tcW w:w="0" w:type="auto"/>
            <w:tcMar>
              <w:left w:w="0" w:type="dxa"/>
              <w:right w:w="0" w:type="dxa"/>
            </w:tcMar>
            <w:vAlign w:val="center"/>
          </w:tcPr>
          <w:p w14:paraId="3D842B92" w14:textId="77777777" w:rsidR="00F52111" w:rsidRPr="00BC31E0" w:rsidRDefault="00A51873" w:rsidP="004736F2">
            <w:pPr>
              <w:spacing w:before="120"/>
              <w:rPr>
                <w:rFonts w:asciiTheme="minorHAnsi" w:hAnsiTheme="minorHAnsi"/>
              </w:rPr>
            </w:pPr>
            <m:oMathPara>
              <m:oMathParaPr>
                <m:jc m:val="left"/>
              </m:oMathParaPr>
              <m:oMath>
                <m:sSub>
                  <m:sSubPr>
                    <m:ctrlPr>
                      <w:rPr>
                        <w:rFonts w:ascii="Cambria Math" w:hAnsi="Cambria Math"/>
                      </w:rPr>
                    </m:ctrlPr>
                  </m:sSubPr>
                  <m:e>
                    <m:r>
                      <w:rPr>
                        <w:rFonts w:ascii="Cambria Math" w:hAnsi="Cambria Math"/>
                      </w:rPr>
                      <m:t>A</m:t>
                    </m:r>
                  </m:e>
                  <m:sub>
                    <m:r>
                      <m:rPr>
                        <m:sty m:val="p"/>
                      </m:rPr>
                      <w:rPr>
                        <w:rFonts w:ascii="Cambria Math" w:hAnsi="Cambria Math"/>
                      </w:rPr>
                      <m:t>4</m:t>
                    </m:r>
                  </m:sub>
                </m:sSub>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A</m:t>
                        </m:r>
                      </m:e>
                      <m:sub>
                        <m:r>
                          <m:rPr>
                            <m:sty m:val="p"/>
                          </m:rPr>
                          <w:rPr>
                            <w:rFonts w:ascii="Cambria Math" w:hAnsi="Cambria Math"/>
                          </w:rPr>
                          <m:t>4</m:t>
                        </m:r>
                      </m:sub>
                    </m:sSub>
                  </m:e>
                  <m:sup>
                    <m:r>
                      <m:rPr>
                        <m:sty m:val="p"/>
                      </m:rPr>
                      <w:rPr>
                        <w:rFonts w:ascii="Cambria Math" w:hAnsi="Cambria Math"/>
                      </w:rPr>
                      <m:t>'</m:t>
                    </m:r>
                  </m:sup>
                </m:sSup>
                <m:r>
                  <m:rPr>
                    <m:sty m:val="p"/>
                  </m:rPr>
                  <w:rPr>
                    <w:rFonts w:ascii="Cambria Math" w:hAnsi="Cambria Math"/>
                  </w:rPr>
                  <m:t xml:space="preserve"> </m:t>
                </m:r>
                <m:sSup>
                  <m:sSupPr>
                    <m:ctrlPr>
                      <w:rPr>
                        <w:rFonts w:ascii="Cambria Math" w:hAnsi="Cambria Math"/>
                      </w:rPr>
                    </m:ctrlPr>
                  </m:sSupPr>
                  <m:e>
                    <m:d>
                      <m:dPr>
                        <m:ctrlPr>
                          <w:rPr>
                            <w:rFonts w:ascii="Cambria Math" w:hAnsi="Cambria Math"/>
                          </w:rPr>
                        </m:ctrlPr>
                      </m:dPr>
                      <m:e>
                        <m:f>
                          <m:fPr>
                            <m:type m:val="lin"/>
                            <m:ctrlPr>
                              <w:rPr>
                                <w:rFonts w:ascii="Cambria Math" w:hAnsi="Cambria Math"/>
                              </w:rPr>
                            </m:ctrlPr>
                          </m:fPr>
                          <m:num>
                            <m:r>
                              <w:rPr>
                                <w:rFonts w:ascii="Cambria Math" w:hAnsi="Cambria Math"/>
                              </w:rPr>
                              <m:t>a</m:t>
                            </m:r>
                          </m:num>
                          <m:den>
                            <m:r>
                              <w:rPr>
                                <w:rFonts w:ascii="Cambria Math" w:hAnsi="Cambria Math"/>
                              </w:rPr>
                              <m:t>t</m:t>
                            </m:r>
                          </m:den>
                        </m:f>
                      </m:e>
                    </m:d>
                  </m:e>
                  <m:sup>
                    <m:r>
                      <m:rPr>
                        <m:sty m:val="p"/>
                      </m:rPr>
                      <w:rPr>
                        <w:rFonts w:ascii="Cambria Math" w:hAnsi="Cambria Math"/>
                      </w:rPr>
                      <m:t>4</m:t>
                    </m:r>
                  </m:sup>
                </m:sSup>
              </m:oMath>
            </m:oMathPara>
          </w:p>
        </w:tc>
        <w:tc>
          <w:tcPr>
            <w:tcW w:w="4517" w:type="dxa"/>
            <w:vMerge/>
            <w:tcMar>
              <w:left w:w="0" w:type="dxa"/>
              <w:right w:w="0" w:type="dxa"/>
            </w:tcMar>
            <w:vAlign w:val="center"/>
          </w:tcPr>
          <w:p w14:paraId="128864AC" w14:textId="77777777" w:rsidR="00F52111" w:rsidRPr="00BC31E0" w:rsidRDefault="00F52111" w:rsidP="004736F2">
            <w:pPr>
              <w:spacing w:before="120"/>
            </w:pPr>
          </w:p>
        </w:tc>
      </w:tr>
      <w:tr w:rsidR="00F52111" w:rsidRPr="00BC31E0" w14:paraId="1CE85B87" w14:textId="77777777" w:rsidTr="004736F2">
        <w:tc>
          <w:tcPr>
            <w:tcW w:w="0" w:type="auto"/>
            <w:tcMar>
              <w:left w:w="0" w:type="dxa"/>
              <w:right w:w="0" w:type="dxa"/>
            </w:tcMar>
            <w:vAlign w:val="center"/>
          </w:tcPr>
          <w:p w14:paraId="08B8CBCB" w14:textId="77777777" w:rsidR="00F52111" w:rsidRPr="00BC31E0" w:rsidRDefault="00A51873" w:rsidP="004736F2">
            <w:pPr>
              <w:spacing w:before="120"/>
            </w:pPr>
            <m:oMathPara>
              <m:oMathParaPr>
                <m:jc m:val="left"/>
              </m:oMathParaPr>
              <m:oMath>
                <m:sSub>
                  <m:sSubPr>
                    <m:ctrlPr>
                      <w:rPr>
                        <w:rFonts w:ascii="Cambria Math" w:hAnsi="Cambria Math"/>
                      </w:rPr>
                    </m:ctrlPr>
                  </m:sSubPr>
                  <m:e>
                    <m:r>
                      <w:rPr>
                        <w:rFonts w:ascii="Cambria Math" w:hAnsi="Cambria Math"/>
                      </w:rPr>
                      <m:t>A</m:t>
                    </m:r>
                  </m:e>
                  <m:sub>
                    <m:r>
                      <m:rPr>
                        <m:sty m:val="p"/>
                      </m:rPr>
                      <w:rPr>
                        <w:rFonts w:ascii="Cambria Math" w:hAnsi="Cambria Math"/>
                      </w:rPr>
                      <m:t>5</m:t>
                    </m:r>
                  </m:sub>
                </m:sSub>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A</m:t>
                        </m:r>
                      </m:e>
                      <m:sub>
                        <m:r>
                          <m:rPr>
                            <m:sty m:val="p"/>
                          </m:rPr>
                          <w:rPr>
                            <w:rFonts w:ascii="Cambria Math" w:hAnsi="Cambria Math"/>
                          </w:rPr>
                          <m:t>5</m:t>
                        </m:r>
                      </m:sub>
                    </m:sSub>
                  </m:e>
                  <m:sup>
                    <m:r>
                      <m:rPr>
                        <m:sty m:val="p"/>
                      </m:rPr>
                      <w:rPr>
                        <w:rFonts w:ascii="Cambria Math" w:hAnsi="Cambria Math"/>
                      </w:rPr>
                      <m:t>'</m:t>
                    </m:r>
                  </m:sup>
                </m:sSup>
                <m:r>
                  <m:rPr>
                    <m:sty m:val="p"/>
                  </m:rPr>
                  <w:rPr>
                    <w:rFonts w:ascii="Cambria Math" w:hAnsi="Cambria Math"/>
                  </w:rPr>
                  <m:t xml:space="preserve"> </m:t>
                </m:r>
                <m:sSup>
                  <m:sSupPr>
                    <m:ctrlPr>
                      <w:rPr>
                        <w:rFonts w:ascii="Cambria Math" w:hAnsi="Cambria Math"/>
                      </w:rPr>
                    </m:ctrlPr>
                  </m:sSupPr>
                  <m:e>
                    <m:d>
                      <m:dPr>
                        <m:ctrlPr>
                          <w:rPr>
                            <w:rFonts w:ascii="Cambria Math" w:hAnsi="Cambria Math"/>
                          </w:rPr>
                        </m:ctrlPr>
                      </m:dPr>
                      <m:e>
                        <m:f>
                          <m:fPr>
                            <m:type m:val="lin"/>
                            <m:ctrlPr>
                              <w:rPr>
                                <w:rFonts w:ascii="Cambria Math" w:hAnsi="Cambria Math"/>
                              </w:rPr>
                            </m:ctrlPr>
                          </m:fPr>
                          <m:num>
                            <m:r>
                              <w:rPr>
                                <w:rFonts w:ascii="Cambria Math" w:hAnsi="Cambria Math"/>
                              </w:rPr>
                              <m:t>a</m:t>
                            </m:r>
                          </m:num>
                          <m:den>
                            <m:r>
                              <w:rPr>
                                <w:rFonts w:ascii="Cambria Math" w:hAnsi="Cambria Math"/>
                              </w:rPr>
                              <m:t>t</m:t>
                            </m:r>
                          </m:den>
                        </m:f>
                      </m:e>
                    </m:d>
                  </m:e>
                  <m:sup>
                    <m:r>
                      <m:rPr>
                        <m:sty m:val="p"/>
                      </m:rPr>
                      <w:rPr>
                        <w:rFonts w:ascii="Cambria Math" w:hAnsi="Cambria Math"/>
                      </w:rPr>
                      <m:t>5</m:t>
                    </m:r>
                  </m:sup>
                </m:sSup>
              </m:oMath>
            </m:oMathPara>
          </w:p>
        </w:tc>
        <w:tc>
          <w:tcPr>
            <w:tcW w:w="4517" w:type="dxa"/>
            <w:vMerge/>
            <w:tcMar>
              <w:left w:w="0" w:type="dxa"/>
              <w:right w:w="0" w:type="dxa"/>
            </w:tcMar>
            <w:vAlign w:val="center"/>
          </w:tcPr>
          <w:p w14:paraId="346EE232" w14:textId="77777777" w:rsidR="00F52111" w:rsidRPr="00BC31E0" w:rsidRDefault="00F52111" w:rsidP="004736F2">
            <w:pPr>
              <w:spacing w:before="120"/>
            </w:pPr>
          </w:p>
        </w:tc>
      </w:tr>
    </w:tbl>
    <w:p w14:paraId="190C08D6" w14:textId="77777777" w:rsidR="00F52111" w:rsidRPr="00BC31E0" w:rsidRDefault="00F52111" w:rsidP="00736130">
      <w:pPr>
        <w:pStyle w:val="110"/>
        <w:numPr>
          <w:ilvl w:val="1"/>
          <w:numId w:val="223"/>
        </w:numPr>
        <w:tabs>
          <w:tab w:val="clear" w:pos="510"/>
        </w:tabs>
        <w:spacing w:before="120" w:line="240" w:lineRule="auto"/>
        <w:ind w:left="567" w:hanging="567"/>
      </w:pPr>
      <w:r w:rsidRPr="00BC31E0">
        <w:rPr>
          <w:rFonts w:hint="eastAsia"/>
        </w:rPr>
        <w:t>Bタイプ亀裂</w:t>
      </w:r>
    </w:p>
    <w:p w14:paraId="7DBBB575" w14:textId="77777777" w:rsidR="00F52111" w:rsidRPr="00BC31E0" w:rsidRDefault="00F52111" w:rsidP="00532C22">
      <w:pPr>
        <w:pStyle w:val="113"/>
        <w:ind w:firstLine="210"/>
      </w:pPr>
      <w:r w:rsidRPr="00BC31E0">
        <w:t>B</w:t>
      </w:r>
      <w:r w:rsidRPr="00BC31E0">
        <w:rPr>
          <w:rFonts w:hint="eastAsia"/>
        </w:rPr>
        <w:t>タイプ亀裂に対する応力拡大係数は，円筒と交差穴の交差するコーナー半径が交差穴径の</w:t>
      </w:r>
      <m:oMath>
        <m:f>
          <m:fPr>
            <m:type m:val="lin"/>
            <m:ctrlPr>
              <w:rPr>
                <w:rFonts w:ascii="Cambria Math" w:hAnsi="Cambria Math"/>
                <w:sz w:val="22"/>
                <w:szCs w:val="22"/>
              </w:rPr>
            </m:ctrlPr>
          </m:fPr>
          <m:num>
            <m:r>
              <m:rPr>
                <m:sty m:val="p"/>
              </m:rPr>
              <w:rPr>
                <w:rFonts w:ascii="Cambria Math" w:hAnsi="Cambria Math"/>
                <w:sz w:val="22"/>
                <w:szCs w:val="22"/>
              </w:rPr>
              <m:t xml:space="preserve"> 1</m:t>
            </m:r>
          </m:num>
          <m:den>
            <m:r>
              <m:rPr>
                <m:sty m:val="p"/>
              </m:rPr>
              <w:rPr>
                <w:rFonts w:ascii="Cambria Math" w:hAnsi="Cambria Math"/>
                <w:sz w:val="22"/>
                <w:szCs w:val="22"/>
              </w:rPr>
              <m:t xml:space="preserve">4 </m:t>
            </m:r>
          </m:den>
        </m:f>
      </m:oMath>
      <w:r w:rsidRPr="00BC31E0">
        <w:rPr>
          <w:rFonts w:hint="eastAsia"/>
        </w:rPr>
        <w:t>以上である場合には，</w:t>
      </w:r>
      <w:r w:rsidRPr="00BC31E0">
        <w:rPr>
          <w:rFonts w:ascii="ＭＳ ゴシック" w:eastAsia="ＭＳ ゴシック" w:hAnsi="ＭＳ ゴシック"/>
          <w:b/>
        </w:rPr>
        <w:t>4.1</w:t>
      </w:r>
      <w:r w:rsidRPr="00BC31E0">
        <w:rPr>
          <w:rFonts w:hint="eastAsia"/>
        </w:rPr>
        <w:t>の方法</w:t>
      </w:r>
      <w:r w:rsidR="00AA0944" w:rsidRPr="00BC31E0">
        <w:rPr>
          <w:rFonts w:hint="eastAsia"/>
        </w:rPr>
        <w:t>を用いて</w:t>
      </w:r>
      <w:r w:rsidRPr="00BC31E0">
        <w:rPr>
          <w:rFonts w:hint="eastAsia"/>
        </w:rPr>
        <w:t>決定する</w:t>
      </w:r>
      <w:r w:rsidRPr="00BC31E0">
        <w:rPr>
          <w:rFonts w:ascii="ＭＳ ゴシック" w:eastAsia="ＭＳ ゴシック" w:hint="eastAsia"/>
          <w:b/>
          <w:vertAlign w:val="superscript"/>
        </w:rPr>
        <w:t>5</w:t>
      </w:r>
      <w:r w:rsidRPr="00BC31E0">
        <w:rPr>
          <w:rFonts w:ascii="ＭＳ ゴシック" w:eastAsia="ＭＳ ゴシック"/>
          <w:b/>
          <w:vertAlign w:val="superscript"/>
        </w:rPr>
        <w:t>)</w:t>
      </w:r>
      <w:r w:rsidRPr="00BC31E0">
        <w:rPr>
          <w:rFonts w:hint="eastAsia"/>
        </w:rPr>
        <w:t>。</w:t>
      </w:r>
      <w:r w:rsidRPr="00BC31E0">
        <w:rPr>
          <w:rFonts w:ascii="ＭＳ ゴシック" w:eastAsia="ＭＳ ゴシック" w:hAnsi="ＭＳ ゴシック"/>
          <w:b/>
        </w:rPr>
        <w:t>4.1</w:t>
      </w:r>
      <w:r w:rsidRPr="00BC31E0">
        <w:rPr>
          <w:rFonts w:hint="eastAsia"/>
        </w:rPr>
        <w:t>の</w:t>
      </w:r>
      <w:r w:rsidRPr="00BC31E0">
        <w:rPr>
          <w:rFonts w:ascii="ＭＳ ゴシック" w:eastAsia="ＭＳ ゴシック" w:hAnsi="ＭＳ ゴシック" w:hint="eastAsia"/>
          <w:b/>
        </w:rPr>
        <w:t>式</w:t>
      </w:r>
      <w:r w:rsidRPr="00BC31E0">
        <w:rPr>
          <w:rFonts w:ascii="ＭＳ ゴシック" w:eastAsia="ＭＳ ゴシック" w:hAnsi="ＭＳ ゴシック"/>
          <w:b/>
        </w:rPr>
        <w:t>(1)</w:t>
      </w:r>
      <w:r w:rsidRPr="00BC31E0">
        <w:rPr>
          <w:rFonts w:asciiTheme="minorEastAsia" w:eastAsiaTheme="minorEastAsia" w:hAnsiTheme="minorEastAsia" w:hint="eastAsia"/>
        </w:rPr>
        <w:t>又は</w:t>
      </w:r>
      <w:r w:rsidRPr="00BC31E0">
        <w:rPr>
          <w:rFonts w:ascii="ＭＳ ゴシック" w:eastAsia="ＭＳ ゴシック" w:hAnsi="ＭＳ ゴシック" w:hint="eastAsia"/>
          <w:b/>
        </w:rPr>
        <w:t>式(8)</w:t>
      </w:r>
      <w:r w:rsidRPr="00BC31E0">
        <w:rPr>
          <w:rFonts w:hint="eastAsia"/>
        </w:rPr>
        <w:t>で多項式近似をするために用いる応力値は，次の</w:t>
      </w:r>
      <w:r w:rsidRPr="00BC31E0">
        <w:rPr>
          <w:rFonts w:ascii="ＭＳ ゴシック" w:eastAsia="ＭＳ ゴシック" w:hAnsi="ＭＳ ゴシック" w:hint="eastAsia"/>
          <w:b/>
        </w:rPr>
        <w:t>a)</w:t>
      </w:r>
      <w:r w:rsidRPr="00BC31E0">
        <w:rPr>
          <w:rFonts w:hint="eastAsia"/>
        </w:rPr>
        <w:t>，</w:t>
      </w:r>
      <w:r w:rsidRPr="00BC31E0">
        <w:rPr>
          <w:rFonts w:ascii="ＭＳ ゴシック" w:eastAsia="ＭＳ ゴシック" w:hAnsi="ＭＳ ゴシック" w:hint="eastAsia"/>
          <w:b/>
        </w:rPr>
        <w:t>b)</w:t>
      </w:r>
      <w:r w:rsidRPr="00BC31E0">
        <w:rPr>
          <w:rFonts w:hint="eastAsia"/>
        </w:rPr>
        <w:t>のように決定する。</w:t>
      </w:r>
    </w:p>
    <w:p w14:paraId="252D40CB" w14:textId="77777777" w:rsidR="002435BA" w:rsidRPr="00BC31E0" w:rsidRDefault="00F52111" w:rsidP="00736130">
      <w:pPr>
        <w:pStyle w:val="a4"/>
        <w:numPr>
          <w:ilvl w:val="0"/>
          <w:numId w:val="364"/>
        </w:numPr>
        <w:ind w:leftChars="0"/>
      </w:pPr>
      <w:r w:rsidRPr="00BC31E0">
        <w:rPr>
          <w:rFonts w:hint="eastAsia"/>
        </w:rPr>
        <w:t>弾性解析により，亀裂が存在しないときの交差穴近傍の応力場を求める。この解析から仮想亀裂面に垂直に作用する応力分布を求める。</w:t>
      </w:r>
      <w:r w:rsidRPr="00BC31E0">
        <w:rPr>
          <w:rFonts w:asciiTheme="majorEastAsia" w:eastAsiaTheme="majorEastAsia" w:hAnsiTheme="majorEastAsia" w:hint="eastAsia"/>
          <w:b/>
          <w:bCs/>
        </w:rPr>
        <w:t>図</w:t>
      </w:r>
      <w:r w:rsidRPr="00BC31E0">
        <w:rPr>
          <w:rFonts w:asciiTheme="majorEastAsia" w:eastAsiaTheme="majorEastAsia" w:hAnsiTheme="majorEastAsia"/>
          <w:b/>
          <w:bCs/>
        </w:rPr>
        <w:t>C.1</w:t>
      </w:r>
      <w:r w:rsidRPr="00BC31E0">
        <w:rPr>
          <w:rFonts w:hint="eastAsia"/>
        </w:rPr>
        <w:t>における</w:t>
      </w:r>
      <m:oMath>
        <m:r>
          <m:rPr>
            <m:sty m:val="p"/>
          </m:rPr>
          <w:rPr>
            <w:rFonts w:ascii="Cambria Math" w:hAnsi="Cambria Math"/>
          </w:rPr>
          <m:t xml:space="preserve"> </m:t>
        </m:r>
        <m:r>
          <w:rPr>
            <w:rFonts w:ascii="Cambria Math" w:hAnsi="Cambria Math"/>
          </w:rPr>
          <m:t>y</m:t>
        </m:r>
        <m:r>
          <m:rPr>
            <m:sty m:val="p"/>
          </m:rPr>
          <w:rPr>
            <w:rFonts w:ascii="Cambria Math" w:hAnsi="Cambria Math"/>
          </w:rPr>
          <m:t xml:space="preserve"> </m:t>
        </m:r>
      </m:oMath>
      <w:r w:rsidRPr="00BC31E0">
        <w:rPr>
          <w:rFonts w:hint="eastAsia"/>
        </w:rPr>
        <w:t>軸に沿う応力分布から，多項式近似を求める。</w:t>
      </w:r>
      <w:r w:rsidRPr="00BC31E0">
        <w:rPr>
          <w:rFonts w:asciiTheme="majorEastAsia" w:eastAsiaTheme="majorEastAsia" w:hAnsiTheme="majorEastAsia" w:hint="eastAsia"/>
          <w:b/>
          <w:bCs/>
        </w:rPr>
        <w:t>図C.2</w:t>
      </w:r>
      <w:r w:rsidRPr="00BC31E0">
        <w:rPr>
          <w:rFonts w:hint="eastAsia"/>
        </w:rPr>
        <w:t>に示すように，交差穴のコ－ナー部の亀裂は，</w:t>
      </w:r>
      <w:r w:rsidRPr="00BC31E0">
        <w:rPr>
          <w:rFonts w:asciiTheme="majorEastAsia" w:eastAsiaTheme="majorEastAsia" w:hAnsiTheme="majorEastAsia" w:hint="eastAsia"/>
          <w:b/>
          <w:bCs/>
        </w:rPr>
        <w:t>図</w:t>
      </w:r>
      <w:r w:rsidRPr="00BC31E0">
        <w:rPr>
          <w:rFonts w:asciiTheme="majorEastAsia" w:eastAsiaTheme="majorEastAsia" w:hAnsiTheme="majorEastAsia"/>
          <w:b/>
          <w:bCs/>
        </w:rPr>
        <w:t>C.</w:t>
      </w:r>
      <w:r w:rsidRPr="00BC31E0">
        <w:rPr>
          <w:rFonts w:asciiTheme="majorEastAsia" w:eastAsiaTheme="majorEastAsia" w:hAnsiTheme="majorEastAsia" w:hint="eastAsia"/>
          <w:b/>
          <w:bCs/>
        </w:rPr>
        <w:t>2(b)</w:t>
      </w:r>
      <w:r w:rsidRPr="00BC31E0">
        <w:rPr>
          <w:rFonts w:hint="eastAsia"/>
        </w:rPr>
        <w:t>の</w:t>
      </w:r>
      <m:oMath>
        <m:r>
          <w:rPr>
            <w:rFonts w:ascii="Cambria Math" w:hAnsi="Cambria Math"/>
          </w:rPr>
          <m:t xml:space="preserve"> x-y </m:t>
        </m:r>
      </m:oMath>
      <w:r w:rsidRPr="00BC31E0">
        <w:rPr>
          <w:rFonts w:hint="eastAsia"/>
        </w:rPr>
        <w:t>平面上で，</w:t>
      </w:r>
      <m:oMath>
        <m:r>
          <w:rPr>
            <w:rFonts w:ascii="Cambria Math" w:hAnsi="Cambria Math" w:hint="eastAsia"/>
          </w:rPr>
          <m:t>y</m:t>
        </m:r>
        <m:r>
          <m:rPr>
            <m:sty m:val="p"/>
          </m:rPr>
          <w:rPr>
            <w:rFonts w:ascii="Cambria Math" w:hAnsi="Cambria Math" w:hint="eastAsia"/>
          </w:rPr>
          <m:t xml:space="preserve"> </m:t>
        </m:r>
      </m:oMath>
      <w:r w:rsidRPr="00BC31E0">
        <w:rPr>
          <w:rFonts w:hint="eastAsia"/>
        </w:rPr>
        <w:t>軸を対称軸とする半円形状の亀裂</w:t>
      </w:r>
      <w:r w:rsidRPr="00BC31E0">
        <w:rPr>
          <w:rFonts w:hint="eastAsia"/>
        </w:rPr>
        <w:t>(</w:t>
      </w:r>
      <m:oMath>
        <m:f>
          <m:fPr>
            <m:type m:val="lin"/>
            <m:ctrlPr>
              <w:rPr>
                <w:rFonts w:ascii="Cambria Math" w:hAnsi="Cambria Math"/>
                <w:i/>
                <w:sz w:val="22"/>
                <w:szCs w:val="22"/>
              </w:rPr>
            </m:ctrlPr>
          </m:fPr>
          <m:num>
            <m:r>
              <w:rPr>
                <w:rFonts w:ascii="Cambria Math" w:hAnsi="Cambria Math"/>
                <w:sz w:val="22"/>
                <w:szCs w:val="22"/>
              </w:rPr>
              <m:t>a</m:t>
            </m:r>
          </m:num>
          <m:den>
            <m:r>
              <w:rPr>
                <w:rFonts w:ascii="Cambria Math" w:hAnsi="Cambria Math"/>
                <w:sz w:val="22"/>
                <w:szCs w:val="22"/>
              </w:rPr>
              <m:t>l</m:t>
            </m:r>
          </m:den>
        </m:f>
        <m:r>
          <w:rPr>
            <w:rFonts w:ascii="Cambria Math" w:hAnsi="Cambria Math"/>
            <w:sz w:val="22"/>
            <w:szCs w:val="22"/>
          </w:rPr>
          <m:t>=0.5</m:t>
        </m:r>
      </m:oMath>
      <w:r w:rsidRPr="00BC31E0">
        <w:rPr>
          <w:rFonts w:hint="eastAsia"/>
        </w:rPr>
        <w:t>)</w:t>
      </w:r>
      <w:r w:rsidRPr="00BC31E0">
        <w:rPr>
          <w:rFonts w:hint="eastAsia"/>
        </w:rPr>
        <w:t>と仮定する。</w:t>
      </w:r>
    </w:p>
    <w:p w14:paraId="541B65D1" w14:textId="77777777" w:rsidR="00F52111" w:rsidRPr="00BC31E0" w:rsidRDefault="00F52111" w:rsidP="00736130">
      <w:pPr>
        <w:pStyle w:val="a4"/>
        <w:numPr>
          <w:ilvl w:val="0"/>
          <w:numId w:val="364"/>
        </w:numPr>
        <w:ind w:leftChars="0"/>
      </w:pPr>
      <w:r w:rsidRPr="00BC31E0">
        <w:rPr>
          <w:rFonts w:hint="eastAsia"/>
        </w:rPr>
        <w:t>主円筒の自緊などによる残留応力が存在する場合，残留応力による応力拡大係数は，主円筒の周方向残留応力分布が</w:t>
      </w:r>
      <m:oMath>
        <m:r>
          <m:rPr>
            <m:sty m:val="p"/>
          </m:rPr>
          <w:rPr>
            <w:rFonts w:ascii="Cambria Math" w:hAnsi="Cambria Math"/>
          </w:rPr>
          <m:t xml:space="preserve"> </m:t>
        </m:r>
        <m:r>
          <w:rPr>
            <w:rFonts w:ascii="Cambria Math" w:hAnsi="Cambria Math" w:hint="eastAsia"/>
          </w:rPr>
          <m:t>y</m:t>
        </m:r>
        <m:r>
          <m:rPr>
            <m:sty m:val="p"/>
          </m:rPr>
          <w:rPr>
            <w:rFonts w:ascii="Cambria Math" w:hAnsi="Cambria Math" w:hint="eastAsia"/>
          </w:rPr>
          <m:t xml:space="preserve"> </m:t>
        </m:r>
        <m:r>
          <m:rPr>
            <m:sty m:val="p"/>
          </m:rPr>
          <w:rPr>
            <w:rFonts w:ascii="Cambria Math" w:hAnsi="Cambria Math"/>
          </w:rPr>
          <m:t xml:space="preserve"> </m:t>
        </m:r>
      </m:oMath>
      <w:r w:rsidRPr="00BC31E0">
        <w:rPr>
          <w:rFonts w:hint="eastAsia"/>
        </w:rPr>
        <w:t>軸に沿って作用すると仮定して多項式近似を行って決定する。</w:t>
      </w:r>
    </w:p>
    <w:p w14:paraId="3A1DD400" w14:textId="77777777" w:rsidR="00F52111" w:rsidRPr="00BC31E0" w:rsidRDefault="00F52111" w:rsidP="00736130">
      <w:pPr>
        <w:pStyle w:val="110"/>
        <w:numPr>
          <w:ilvl w:val="1"/>
          <w:numId w:val="223"/>
        </w:numPr>
        <w:tabs>
          <w:tab w:val="clear" w:pos="510"/>
        </w:tabs>
        <w:spacing w:line="240" w:lineRule="auto"/>
        <w:ind w:left="567" w:hanging="567"/>
        <w:jc w:val="both"/>
      </w:pPr>
      <w:r w:rsidRPr="00BC31E0">
        <w:rPr>
          <w:rFonts w:hint="eastAsia"/>
        </w:rPr>
        <w:t>Cタイプ亀裂</w:t>
      </w:r>
    </w:p>
    <w:p w14:paraId="255ACC02" w14:textId="77777777" w:rsidR="00F52111" w:rsidRPr="00BC31E0" w:rsidRDefault="00F52111" w:rsidP="00532C22">
      <w:pPr>
        <w:pStyle w:val="113"/>
        <w:ind w:firstLine="210"/>
      </w:pPr>
      <w:r w:rsidRPr="00BC31E0">
        <w:rPr>
          <w:rFonts w:hint="eastAsia"/>
        </w:rPr>
        <w:t>この方法は，本体の</w:t>
      </w:r>
      <w:r w:rsidRPr="00BC31E0">
        <w:rPr>
          <w:rFonts w:ascii="ＭＳ ゴシック" w:eastAsia="ＭＳ ゴシック"/>
          <w:b/>
        </w:rPr>
        <w:t>6.4</w:t>
      </w:r>
      <w:r w:rsidRPr="00BC31E0">
        <w:rPr>
          <w:rFonts w:ascii="ＭＳ ゴシック" w:eastAsia="ＭＳ ゴシック" w:hint="eastAsia"/>
          <w:b/>
        </w:rPr>
        <w:t>.4 b)</w:t>
      </w:r>
      <w:r w:rsidRPr="00BC31E0">
        <w:rPr>
          <w:rFonts w:asciiTheme="minorEastAsia" w:eastAsiaTheme="minorEastAsia" w:hAnsiTheme="minorEastAsia" w:hint="eastAsia"/>
        </w:rPr>
        <w:t>の</w:t>
      </w:r>
      <w:r w:rsidRPr="00BC31E0">
        <w:rPr>
          <w:rFonts w:hint="eastAsia"/>
        </w:rPr>
        <w:t>許容最終亀裂深さに対する制限を満たし，亀裂面に圧力が作用しない場合に適用する。</w:t>
      </w:r>
      <w:r w:rsidRPr="00BC31E0">
        <w:t>C</w:t>
      </w:r>
      <w:r w:rsidRPr="00BC31E0">
        <w:rPr>
          <w:rFonts w:hint="eastAsia"/>
        </w:rPr>
        <w:t>タイプ亀裂は，通常はねじ込み部の最初のねじ底で発生する。これは，荷重分布の計算とねじ込み部の詳細な応力解析を行って確認</w:t>
      </w:r>
      <w:r w:rsidR="004364D7" w:rsidRPr="00BC31E0">
        <w:rPr>
          <w:rFonts w:hint="eastAsia"/>
        </w:rPr>
        <w:t>しなければならない</w:t>
      </w:r>
      <w:r w:rsidRPr="00BC31E0">
        <w:rPr>
          <w:rFonts w:hint="eastAsia"/>
        </w:rPr>
        <w:t>。ねじ底から周方向平面上を進展する</w:t>
      </w:r>
      <w:r w:rsidRPr="00BC31E0">
        <w:rPr>
          <w:rFonts w:asciiTheme="minorEastAsia" w:eastAsiaTheme="minorEastAsia" w:hAnsiTheme="minorEastAsia" w:hint="eastAsia"/>
        </w:rPr>
        <w:t>亀</w:t>
      </w:r>
      <w:r w:rsidRPr="00BC31E0">
        <w:rPr>
          <w:rFonts w:hint="eastAsia"/>
        </w:rPr>
        <w:t>裂の</w:t>
      </w:r>
      <w:r w:rsidRPr="00BC31E0">
        <w:rPr>
          <w:rFonts w:asciiTheme="minorEastAsia" w:eastAsiaTheme="minorEastAsia" w:hAnsiTheme="minorEastAsia" w:hint="eastAsia"/>
        </w:rPr>
        <w:t>応力拡大係数</w:t>
      </w:r>
      <w:r w:rsidRPr="00BC31E0">
        <w:rPr>
          <w:rFonts w:hint="eastAsia"/>
        </w:rPr>
        <w:t>を決定するために，亀裂が存在しないとした応力解析を行い，ねじ底から厚さ方向に亀裂面に垂直に作用する軸方向応力</w:t>
      </w:r>
      <m:oMath>
        <m:r>
          <m:rPr>
            <m:sty m:val="p"/>
          </m:rPr>
          <w:rPr>
            <w:rFonts w:ascii="Cambria Math" w:hAnsi="Cambria Math"/>
          </w:rPr>
          <m:t xml:space="preserve"> </m:t>
        </m:r>
        <m:sSub>
          <m:sSubPr>
            <m:ctrlPr>
              <w:rPr>
                <w:rFonts w:ascii="Cambria Math" w:hAnsi="Cambria Math"/>
              </w:rPr>
            </m:ctrlPr>
          </m:sSubPr>
          <m:e>
            <m:r>
              <w:rPr>
                <w:rFonts w:ascii="Cambria Math" w:hAnsi="Cambria Math"/>
              </w:rPr>
              <m:t>σ</m:t>
            </m:r>
          </m:e>
          <m:sub>
            <m:r>
              <w:rPr>
                <w:rFonts w:ascii="Cambria Math" w:hAnsi="Cambria Math"/>
              </w:rPr>
              <m:t>l</m:t>
            </m:r>
          </m:sub>
        </m:sSub>
        <m:d>
          <m:dPr>
            <m:ctrlPr>
              <w:rPr>
                <w:rFonts w:ascii="Cambria Math" w:hAnsi="Cambria Math"/>
              </w:rPr>
            </m:ctrlPr>
          </m:dPr>
          <m:e>
            <m:r>
              <w:rPr>
                <w:rFonts w:ascii="Cambria Math" w:hAnsi="Cambria Math"/>
              </w:rPr>
              <m:t>x</m:t>
            </m:r>
          </m:e>
        </m:d>
        <m:r>
          <m:rPr>
            <m:sty m:val="p"/>
          </m:rPr>
          <w:rPr>
            <w:rFonts w:ascii="Cambria Math" w:hAnsi="Cambria Math" w:hint="eastAsia"/>
          </w:rPr>
          <m:t xml:space="preserve"> </m:t>
        </m:r>
      </m:oMath>
      <w:r w:rsidRPr="00BC31E0">
        <w:rPr>
          <w:rFonts w:hint="eastAsia"/>
        </w:rPr>
        <w:t>を決定する。応力解析では，ねじは環状のみぞと考える。</w:t>
      </w:r>
    </w:p>
    <w:p w14:paraId="2751318F" w14:textId="77777777" w:rsidR="00F52111" w:rsidRPr="00BC31E0" w:rsidRDefault="00F52111" w:rsidP="00532C22">
      <w:pPr>
        <w:pStyle w:val="113"/>
        <w:ind w:firstLine="210"/>
      </w:pPr>
      <w:r w:rsidRPr="00BC31E0">
        <w:rPr>
          <w:rFonts w:hint="eastAsia"/>
        </w:rPr>
        <w:t>本体の</w:t>
      </w:r>
      <w:r w:rsidRPr="00BC31E0">
        <w:rPr>
          <w:rFonts w:ascii="ＭＳ ゴシック" w:eastAsia="ＭＳ ゴシック"/>
          <w:b/>
        </w:rPr>
        <w:t>6.6.5 a) 6)</w:t>
      </w:r>
      <w:r w:rsidRPr="00BC31E0">
        <w:rPr>
          <w:rFonts w:hint="eastAsia"/>
        </w:rPr>
        <w:t>の断続ねじが用いられるならば，</w:t>
      </w:r>
      <w:r w:rsidRPr="00BC31E0">
        <w:t>C</w:t>
      </w:r>
      <w:r w:rsidRPr="00BC31E0">
        <w:rPr>
          <w:rFonts w:hint="eastAsia"/>
        </w:rPr>
        <w:t>タイプ亀裂は全て環状亀裂と仮定されるので，断続ねじの終端部における応力集中を考慮する必要はない。</w:t>
      </w:r>
    </w:p>
    <w:p w14:paraId="70E703B4" w14:textId="77777777" w:rsidR="00F52111" w:rsidRPr="00BC31E0" w:rsidRDefault="00F52111" w:rsidP="00736130">
      <w:pPr>
        <w:pStyle w:val="a4"/>
        <w:numPr>
          <w:ilvl w:val="0"/>
          <w:numId w:val="365"/>
        </w:numPr>
        <w:ind w:leftChars="0" w:left="454" w:hanging="454"/>
      </w:pPr>
      <w:r w:rsidRPr="00BC31E0">
        <w:t>Buchalet-Bamford</w:t>
      </w:r>
      <w:r w:rsidRPr="00BC31E0">
        <w:rPr>
          <w:rFonts w:hint="eastAsia"/>
        </w:rPr>
        <w:t>法</w:t>
      </w:r>
      <w:r w:rsidRPr="00BC31E0">
        <w:rPr>
          <w:rFonts w:asciiTheme="majorEastAsia" w:eastAsiaTheme="majorEastAsia" w:hAnsiTheme="majorEastAsia" w:hint="eastAsia"/>
          <w:b/>
          <w:bCs/>
          <w:vertAlign w:val="superscript"/>
        </w:rPr>
        <w:t>6</w:t>
      </w:r>
      <w:r w:rsidRPr="00BC31E0">
        <w:rPr>
          <w:rFonts w:asciiTheme="majorEastAsia" w:eastAsiaTheme="majorEastAsia" w:hAnsiTheme="majorEastAsia"/>
          <w:b/>
          <w:bCs/>
          <w:vertAlign w:val="superscript"/>
        </w:rPr>
        <w:t>)</w:t>
      </w:r>
      <w:r w:rsidRPr="00BC31E0">
        <w:rPr>
          <w:rFonts w:asciiTheme="majorEastAsia" w:eastAsiaTheme="majorEastAsia" w:hAnsiTheme="majorEastAsia"/>
          <w:b/>
          <w:vertAlign w:val="superscript"/>
        </w:rPr>
        <w:t>,</w:t>
      </w:r>
      <w:r w:rsidRPr="00BC31E0">
        <w:rPr>
          <w:rFonts w:asciiTheme="majorEastAsia" w:eastAsiaTheme="majorEastAsia" w:hAnsiTheme="majorEastAsia" w:hint="eastAsia"/>
          <w:b/>
          <w:bCs/>
          <w:vertAlign w:val="superscript"/>
        </w:rPr>
        <w:t>7</w:t>
      </w:r>
      <w:r w:rsidRPr="00BC31E0">
        <w:rPr>
          <w:rFonts w:asciiTheme="majorEastAsia" w:eastAsiaTheme="majorEastAsia" w:hAnsiTheme="majorEastAsia"/>
          <w:b/>
          <w:bCs/>
          <w:vertAlign w:val="superscript"/>
        </w:rPr>
        <w:t>)</w:t>
      </w:r>
      <w:r w:rsidRPr="00BC31E0">
        <w:rPr>
          <w:rFonts w:hint="eastAsia"/>
        </w:rPr>
        <w:t>では，環状亀裂を含む平面に垂直な応力分布を次式の</w:t>
      </w:r>
      <w:r w:rsidRPr="00BC31E0">
        <w:t>3</w:t>
      </w:r>
      <w:r w:rsidRPr="00BC31E0">
        <w:rPr>
          <w:rFonts w:hint="eastAsia"/>
        </w:rPr>
        <w:t>次多項式で近似する。</w:t>
      </w:r>
    </w:p>
    <w:p w14:paraId="6985F88A" w14:textId="77777777" w:rsidR="00F52111" w:rsidRPr="00BC31E0" w:rsidRDefault="00F52111" w:rsidP="002435BA">
      <w:pPr>
        <w:tabs>
          <w:tab w:val="left" w:pos="2552"/>
          <w:tab w:val="left" w:leader="middleDot" w:pos="8505"/>
        </w:tabs>
      </w:pPr>
      <w:r w:rsidRPr="00BC31E0">
        <w:rPr>
          <w:rFonts w:hint="eastAsia"/>
        </w:rPr>
        <w:tab/>
      </w:r>
      <m:oMath>
        <m:sSub>
          <m:sSubPr>
            <m:ctrlPr>
              <w:rPr>
                <w:rFonts w:ascii="Cambria Math" w:hAnsi="Cambria Math"/>
              </w:rPr>
            </m:ctrlPr>
          </m:sSubPr>
          <m:e>
            <m:r>
              <w:rPr>
                <w:rFonts w:ascii="Cambria Math" w:hAnsi="Cambria Math"/>
              </w:rPr>
              <m:t>σ</m:t>
            </m:r>
          </m:e>
          <m:sub>
            <m:r>
              <w:rPr>
                <w:rFonts w:ascii="Cambria Math" w:hAnsi="Cambria Math"/>
              </w:rPr>
              <m:t>l</m:t>
            </m:r>
          </m:sub>
        </m:sSub>
        <m:d>
          <m:dPr>
            <m:ctrlPr>
              <w:rPr>
                <w:rFonts w:ascii="Cambria Math" w:hAnsi="Cambria Math"/>
              </w:rPr>
            </m:ctrlPr>
          </m:dPr>
          <m:e>
            <m:r>
              <w:rPr>
                <w:rFonts w:ascii="Cambria Math" w:hAnsi="Cambria Math"/>
              </w:rPr>
              <m:t>x</m:t>
            </m:r>
          </m:e>
        </m:d>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1</m:t>
            </m:r>
          </m:sub>
        </m:sSub>
        <m:r>
          <w:rPr>
            <w:rFonts w:ascii="Cambria Math" w:hAnsi="Cambria Math"/>
          </w:rPr>
          <m:t>x+</m:t>
        </m:r>
        <m:sSub>
          <m:sSubPr>
            <m:ctrlPr>
              <w:rPr>
                <w:rFonts w:ascii="Cambria Math" w:hAnsi="Cambria Math"/>
              </w:rPr>
            </m:ctrlPr>
          </m:sSubPr>
          <m:e>
            <m:r>
              <w:rPr>
                <w:rFonts w:ascii="Cambria Math" w:hAnsi="Cambria Math"/>
              </w:rPr>
              <m:t>A</m:t>
            </m:r>
          </m:e>
          <m:sub>
            <m:r>
              <w:rPr>
                <w:rFonts w:ascii="Cambria Math" w:hAnsi="Cambria Math"/>
              </w:rPr>
              <m:t>2</m:t>
            </m:r>
          </m:sub>
        </m:sSub>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3</m:t>
            </m:r>
          </m:sub>
        </m:sSub>
        <m:sSup>
          <m:sSupPr>
            <m:ctrlPr>
              <w:rPr>
                <w:rFonts w:ascii="Cambria Math" w:hAnsi="Cambria Math"/>
              </w:rPr>
            </m:ctrlPr>
          </m:sSupPr>
          <m:e>
            <m:r>
              <w:rPr>
                <w:rFonts w:ascii="Cambria Math" w:hAnsi="Cambria Math"/>
              </w:rPr>
              <m:t>x</m:t>
            </m:r>
          </m:e>
          <m:sup>
            <m:r>
              <w:rPr>
                <w:rFonts w:ascii="Cambria Math" w:hAnsi="Cambria Math"/>
              </w:rPr>
              <m:t>3</m:t>
            </m:r>
          </m:sup>
        </m:sSup>
      </m:oMath>
      <w:r w:rsidRPr="00BC31E0">
        <w:rPr>
          <w:rFonts w:hint="eastAsia"/>
        </w:rPr>
        <w:tab/>
        <w:t>(16)</w:t>
      </w:r>
    </w:p>
    <w:p w14:paraId="539CB28E" w14:textId="77777777" w:rsidR="00F52111" w:rsidRPr="00BC31E0" w:rsidRDefault="00F52111" w:rsidP="002435BA">
      <w:pPr>
        <w:ind w:left="454" w:firstLineChars="100" w:firstLine="210"/>
        <w:rPr>
          <w:rFonts w:ascii="ＭＳ 明朝" w:hAnsi="ＭＳ 明朝"/>
        </w:rPr>
      </w:pPr>
      <w:r w:rsidRPr="00BC31E0">
        <w:rPr>
          <w:rFonts w:ascii="ＭＳ 明朝" w:hAnsi="ＭＳ 明朝" w:hint="eastAsia"/>
        </w:rPr>
        <w:t>ここで，</w:t>
      </w:r>
    </w:p>
    <w:p w14:paraId="3D7AC50E" w14:textId="77777777" w:rsidR="00F52111" w:rsidRPr="00BC31E0" w:rsidRDefault="00F52111" w:rsidP="002435BA">
      <w:pPr>
        <w:tabs>
          <w:tab w:val="left" w:pos="1418"/>
        </w:tabs>
        <w:ind w:left="227" w:firstLine="170"/>
        <w:rPr>
          <w:rFonts w:ascii="ＭＳ 明朝" w:hAnsi="ＭＳ 明朝"/>
        </w:rPr>
      </w:pPr>
      <w:r w:rsidRPr="00BC31E0">
        <w:rPr>
          <w:rFonts w:ascii="ＭＳ 明朝" w:hAnsi="ＭＳ 明朝" w:hint="eastAsia"/>
        </w:rPr>
        <w:tab/>
      </w:r>
      <w:r w:rsidRPr="00BC31E0">
        <w:rPr>
          <w:rFonts w:ascii="ＭＳ 明朝" w:hAnsi="ＭＳ 明朝" w:hint="eastAsia"/>
          <w:position w:val="-10"/>
        </w:rPr>
        <w:object w:dxaOrig="279" w:dyaOrig="320" w14:anchorId="4D55FE7B">
          <v:shape id="_x0000_i1063" type="#_x0000_t75" style="width:16.2pt;height:16.2pt" o:ole="" fillcolor="window">
            <v:imagedata r:id="rId126" o:title=""/>
          </v:shape>
          <o:OLEObject Type="Embed" ProgID="Equation.3" ShapeID="_x0000_i1063" DrawAspect="Content" ObjectID="_1731233629" r:id="rId127"/>
        </w:object>
      </w:r>
      <w:r w:rsidRPr="00BC31E0">
        <w:rPr>
          <w:rFonts w:ascii="ＭＳ 明朝" w:hAnsi="ＭＳ 明朝" w:hint="eastAsia"/>
        </w:rPr>
        <w:t>，</w:t>
      </w:r>
      <w:r w:rsidRPr="00BC31E0">
        <w:rPr>
          <w:rFonts w:ascii="ＭＳ 明朝" w:hAnsi="ＭＳ 明朝" w:hint="eastAsia"/>
          <w:position w:val="-10"/>
        </w:rPr>
        <w:object w:dxaOrig="260" w:dyaOrig="320" w14:anchorId="7710938A">
          <v:shape id="_x0000_i1064" type="#_x0000_t75" style="width:10.2pt;height:16.2pt" o:ole="" fillcolor="window">
            <v:imagedata r:id="rId128" o:title=""/>
          </v:shape>
          <o:OLEObject Type="Embed" ProgID="Equation.3" ShapeID="_x0000_i1064" DrawAspect="Content" ObjectID="_1731233630" r:id="rId129"/>
        </w:object>
      </w:r>
      <w:r w:rsidRPr="00BC31E0">
        <w:rPr>
          <w:rFonts w:ascii="ＭＳ 明朝" w:hAnsi="ＭＳ 明朝" w:hint="eastAsia"/>
        </w:rPr>
        <w:t>，</w:t>
      </w:r>
      <w:r w:rsidRPr="00BC31E0">
        <w:rPr>
          <w:rFonts w:ascii="ＭＳ 明朝" w:hAnsi="ＭＳ 明朝" w:hint="eastAsia"/>
          <w:position w:val="-10"/>
        </w:rPr>
        <w:object w:dxaOrig="279" w:dyaOrig="320" w14:anchorId="51F913B0">
          <v:shape id="_x0000_i1065" type="#_x0000_t75" style="width:16.2pt;height:16.2pt" o:ole="" fillcolor="window">
            <v:imagedata r:id="rId130" o:title=""/>
          </v:shape>
          <o:OLEObject Type="Embed" ProgID="Equation.3" ShapeID="_x0000_i1065" DrawAspect="Content" ObjectID="_1731233631" r:id="rId131"/>
        </w:object>
      </w:r>
      <w:r w:rsidRPr="00BC31E0">
        <w:rPr>
          <w:rFonts w:ascii="ＭＳ 明朝" w:hAnsi="ＭＳ 明朝" w:hint="eastAsia"/>
        </w:rPr>
        <w:t>，</w:t>
      </w:r>
      <w:r w:rsidRPr="00BC31E0">
        <w:rPr>
          <w:rFonts w:ascii="ＭＳ 明朝" w:hAnsi="ＭＳ 明朝" w:hint="eastAsia"/>
          <w:position w:val="-10"/>
        </w:rPr>
        <w:object w:dxaOrig="279" w:dyaOrig="320" w14:anchorId="5B7518D5">
          <v:shape id="_x0000_i1066" type="#_x0000_t75" style="width:16.2pt;height:16.2pt" o:ole="" fillcolor="window">
            <v:imagedata r:id="rId132" o:title=""/>
          </v:shape>
          <o:OLEObject Type="Embed" ProgID="Equation.3" ShapeID="_x0000_i1066" DrawAspect="Content" ObjectID="_1731233632" r:id="rId133"/>
        </w:object>
      </w:r>
      <w:r w:rsidRPr="00BC31E0">
        <w:rPr>
          <w:rFonts w:ascii="ＭＳ 明朝" w:hAnsi="ＭＳ 明朝" w:hint="eastAsia"/>
        </w:rPr>
        <w:t>： 定数</w:t>
      </w:r>
    </w:p>
    <w:p w14:paraId="29E69144" w14:textId="77777777" w:rsidR="00F52111" w:rsidRPr="00BC31E0" w:rsidRDefault="00F52111" w:rsidP="002435BA">
      <w:pPr>
        <w:tabs>
          <w:tab w:val="left" w:pos="1418"/>
        </w:tabs>
        <w:rPr>
          <w:rFonts w:ascii="ＭＳ 明朝"/>
        </w:rPr>
      </w:pPr>
      <w:r w:rsidRPr="00BC31E0">
        <w:rPr>
          <w:rFonts w:ascii="ＭＳ 明朝" w:hAnsi="ＭＳ 明朝" w:hint="eastAsia"/>
        </w:rPr>
        <w:tab/>
      </w:r>
      <m:oMath>
        <m:r>
          <w:rPr>
            <w:rFonts w:ascii="Cambria Math" w:hAnsi="Cambria Math"/>
          </w:rPr>
          <m:t>x</m:t>
        </m:r>
      </m:oMath>
      <w:r w:rsidRPr="00BC31E0">
        <w:rPr>
          <w:rFonts w:ascii="ＭＳ 明朝" w:hAnsi="ＭＳ 明朝" w:hint="eastAsia"/>
        </w:rPr>
        <w:t xml:space="preserve"> ： 亀裂</w:t>
      </w:r>
      <w:r w:rsidRPr="00BC31E0">
        <w:rPr>
          <w:rFonts w:hint="eastAsia"/>
        </w:rPr>
        <w:t>位置における表面からの</w:t>
      </w:r>
      <w:r w:rsidRPr="00BC31E0">
        <w:rPr>
          <w:rFonts w:ascii="ＭＳ 明朝" w:hAnsi="ＭＳ 明朝" w:hint="eastAsia"/>
        </w:rPr>
        <w:t>厚さ方向距離，</w:t>
      </w:r>
      <m:oMath>
        <m:r>
          <w:rPr>
            <w:rFonts w:ascii="Cambria Math" w:hAnsi="Cambria Math" w:hint="eastAsia"/>
          </w:rPr>
          <m:t>0</m:t>
        </m:r>
        <m:r>
          <w:rPr>
            <w:rFonts w:ascii="Cambria Math" w:hAnsi="Cambria Math" w:hint="eastAsia"/>
          </w:rPr>
          <m:t>≦</m:t>
        </m:r>
        <m:r>
          <w:rPr>
            <w:rFonts w:ascii="Cambria Math" w:hAnsi="Cambria Math" w:hint="eastAsia"/>
          </w:rPr>
          <m:t>x</m:t>
        </m:r>
        <m:r>
          <w:rPr>
            <w:rFonts w:ascii="Cambria Math" w:hAnsi="Cambria Math" w:hint="eastAsia"/>
          </w:rPr>
          <m:t>≦</m:t>
        </m:r>
        <m:r>
          <w:rPr>
            <w:rFonts w:ascii="Cambria Math" w:hAnsi="Cambria Math" w:hint="eastAsia"/>
          </w:rPr>
          <m:t>t</m:t>
        </m:r>
        <m:r>
          <w:rPr>
            <w:rFonts w:ascii="Cambria Math" w:hAnsi="Cambria Math"/>
          </w:rPr>
          <m:t xml:space="preserve"> </m:t>
        </m:r>
      </m:oMath>
      <w:r w:rsidRPr="00BC31E0">
        <w:t>(</w:t>
      </w:r>
      <w:r w:rsidRPr="00BC31E0">
        <w:rPr>
          <w:rFonts w:ascii="Cambria Math" w:hAnsi="Cambria Math"/>
        </w:rPr>
        <w:t>m</w:t>
      </w:r>
      <w:r w:rsidRPr="00BC31E0">
        <w:rPr>
          <w:rFonts w:ascii="Cambria Math" w:hAnsi="Cambria Math" w:hint="eastAsia"/>
        </w:rPr>
        <w:t>m</w:t>
      </w:r>
      <w:r w:rsidRPr="00BC31E0">
        <w:t>)</w:t>
      </w:r>
      <w:r w:rsidRPr="00BC31E0">
        <w:rPr>
          <w:rFonts w:ascii="ＭＳ 明朝"/>
        </w:rPr>
        <w:t xml:space="preserve"> </w:t>
      </w:r>
    </w:p>
    <w:p w14:paraId="0D5F95C1" w14:textId="77777777" w:rsidR="00F52111" w:rsidRPr="00BC31E0" w:rsidRDefault="00F52111" w:rsidP="002435BA">
      <w:pPr>
        <w:tabs>
          <w:tab w:val="left" w:pos="1418"/>
        </w:tabs>
        <w:spacing w:after="120"/>
        <w:rPr>
          <w:rFonts w:ascii="ＭＳ 明朝"/>
        </w:rPr>
      </w:pPr>
      <w:r w:rsidRPr="00BC31E0">
        <w:rPr>
          <w:rFonts w:ascii="ＭＳ 明朝" w:hint="eastAsia"/>
        </w:rPr>
        <w:tab/>
      </w:r>
      <m:oMath>
        <m:r>
          <w:rPr>
            <w:rFonts w:ascii="Cambria Math" w:hAnsi="Cambria Math" w:hint="eastAsia"/>
          </w:rPr>
          <m:t>t</m:t>
        </m:r>
      </m:oMath>
      <w:r w:rsidRPr="00BC31E0">
        <w:rPr>
          <w:rFonts w:ascii="ＭＳ 明朝" w:hint="eastAsia"/>
        </w:rPr>
        <w:t xml:space="preserve"> </w:t>
      </w:r>
      <w:r w:rsidRPr="00BC31E0">
        <w:rPr>
          <w:rFonts w:hint="eastAsia"/>
        </w:rPr>
        <w:t>：</w:t>
      </w:r>
      <w:r w:rsidRPr="00BC31E0">
        <w:rPr>
          <w:rFonts w:hint="eastAsia"/>
        </w:rPr>
        <w:t xml:space="preserve"> </w:t>
      </w:r>
      <w:r w:rsidRPr="00BC31E0">
        <w:rPr>
          <w:rFonts w:hint="eastAsia"/>
        </w:rPr>
        <w:t>ねじ底部における容器厚さ</w:t>
      </w:r>
      <w:r w:rsidRPr="00BC31E0">
        <w:rPr>
          <w:rFonts w:hint="eastAsia"/>
        </w:rPr>
        <w:t>(mm)</w:t>
      </w:r>
    </w:p>
    <w:p w14:paraId="2700BB7F" w14:textId="77777777" w:rsidR="00F52111" w:rsidRPr="00BC31E0" w:rsidRDefault="00F52111" w:rsidP="00867B8D">
      <w:pPr>
        <w:spacing w:before="120"/>
        <w:ind w:left="454" w:firstLineChars="100" w:firstLine="210"/>
      </w:pPr>
      <w:r w:rsidRPr="00BC31E0">
        <w:rPr>
          <w:rFonts w:hint="eastAsia"/>
        </w:rPr>
        <w:lastRenderedPageBreak/>
        <w:t>弾性解析によって応力分布を求め，その分布形状に最も適合するように</w:t>
      </w:r>
      <m:oMath>
        <m:sSub>
          <m:sSubPr>
            <m:ctrlPr>
              <w:rPr>
                <w:rFonts w:ascii="Cambria Math" w:hAnsi="Cambria Math"/>
              </w:rPr>
            </m:ctrlPr>
          </m:sSubPr>
          <m:e>
            <m:r>
              <w:rPr>
                <w:rFonts w:ascii="Cambria Math" w:hAnsi="Cambria Math" w:hint="eastAsia"/>
              </w:rPr>
              <m:t xml:space="preserve"> </m:t>
            </m:r>
            <m:r>
              <w:rPr>
                <w:rFonts w:ascii="Cambria Math" w:hAnsi="Cambria Math"/>
              </w:rPr>
              <m:t>A</m:t>
            </m:r>
          </m:e>
          <m:sub>
            <m:r>
              <w:rPr>
                <w:rFonts w:ascii="Cambria Math" w:hAnsi="Cambria Math"/>
              </w:rPr>
              <m:t>0</m:t>
            </m:r>
          </m:sub>
        </m:sSub>
      </m:oMath>
      <w:r w:rsidRPr="00BC31E0">
        <w:rPr>
          <w:rFonts w:hint="eastAsia"/>
        </w:rPr>
        <w:t>～</w:t>
      </w:r>
      <m:oMath>
        <m:sSub>
          <m:sSubPr>
            <m:ctrlPr>
              <w:rPr>
                <w:rFonts w:ascii="Cambria Math" w:hAnsi="Cambria Math"/>
              </w:rPr>
            </m:ctrlPr>
          </m:sSubPr>
          <m:e>
            <m:r>
              <w:rPr>
                <w:rFonts w:ascii="Cambria Math" w:hAnsi="Cambria Math"/>
              </w:rPr>
              <m:t>A</m:t>
            </m:r>
          </m:e>
          <m:sub>
            <m:r>
              <w:rPr>
                <w:rFonts w:ascii="Cambria Math" w:hAnsi="Cambria Math"/>
              </w:rPr>
              <m:t>3</m:t>
            </m:r>
          </m:sub>
        </m:sSub>
        <m:r>
          <m:rPr>
            <m:sty m:val="p"/>
          </m:rPr>
          <w:rPr>
            <w:rFonts w:ascii="Cambria Math" w:hAnsi="Cambria Math" w:hint="eastAsia"/>
          </w:rPr>
          <m:t xml:space="preserve"> </m:t>
        </m:r>
      </m:oMath>
      <w:r w:rsidRPr="00BC31E0">
        <w:rPr>
          <w:rFonts w:hint="eastAsia"/>
        </w:rPr>
        <w:t>を決定する。</w:t>
      </w:r>
      <w:r w:rsidRPr="00BC31E0">
        <w:rPr>
          <w:rFonts w:ascii="ＭＳ ゴシック" w:eastAsia="ＭＳ ゴシック" w:hAnsi="ＭＳ ゴシック" w:hint="eastAsia"/>
          <w:b/>
        </w:rPr>
        <w:t>式</w:t>
      </w:r>
      <w:r w:rsidRPr="00BC31E0">
        <w:rPr>
          <w:rFonts w:ascii="ＭＳ ゴシック" w:eastAsia="ＭＳ ゴシック" w:hAnsi="ＭＳ ゴシック"/>
          <w:b/>
        </w:rPr>
        <w:t>(</w:t>
      </w:r>
      <w:r w:rsidRPr="00BC31E0">
        <w:rPr>
          <w:rFonts w:ascii="ＭＳ ゴシック" w:eastAsia="ＭＳ ゴシック" w:hAnsi="ＭＳ ゴシック" w:hint="eastAsia"/>
          <w:b/>
        </w:rPr>
        <w:t>17</w:t>
      </w:r>
      <w:r w:rsidRPr="00BC31E0">
        <w:rPr>
          <w:rFonts w:ascii="ＭＳ ゴシック" w:eastAsia="ＭＳ ゴシック" w:hAnsi="ＭＳ ゴシック"/>
          <w:b/>
        </w:rPr>
        <w:t>)</w:t>
      </w:r>
      <w:r w:rsidRPr="00BC31E0">
        <w:rPr>
          <w:rFonts w:hint="eastAsia"/>
        </w:rPr>
        <w:t>～</w:t>
      </w:r>
      <w:r w:rsidRPr="00BC31E0">
        <w:rPr>
          <w:rFonts w:ascii="ＭＳ ゴシック" w:eastAsia="ＭＳ ゴシック" w:hAnsi="ＭＳ ゴシック" w:hint="eastAsia"/>
          <w:b/>
        </w:rPr>
        <w:t>式</w:t>
      </w:r>
      <w:r w:rsidRPr="00BC31E0">
        <w:rPr>
          <w:rFonts w:ascii="ＭＳ ゴシック" w:eastAsia="ＭＳ ゴシック" w:hAnsi="ＭＳ ゴシック"/>
          <w:b/>
        </w:rPr>
        <w:t>(</w:t>
      </w:r>
      <w:r w:rsidRPr="00BC31E0">
        <w:rPr>
          <w:rFonts w:ascii="ＭＳ ゴシック" w:eastAsia="ＭＳ ゴシック" w:hAnsi="ＭＳ ゴシック" w:hint="eastAsia"/>
          <w:b/>
        </w:rPr>
        <w:t>19</w:t>
      </w:r>
      <w:r w:rsidRPr="00BC31E0">
        <w:rPr>
          <w:rFonts w:ascii="ＭＳ ゴシック" w:eastAsia="ＭＳ ゴシック" w:hAnsi="ＭＳ ゴシック"/>
          <w:b/>
        </w:rPr>
        <w:t>)</w:t>
      </w:r>
      <w:r w:rsidRPr="00BC31E0">
        <w:rPr>
          <w:rFonts w:hint="eastAsia"/>
        </w:rPr>
        <w:t>を用いて，種々の亀裂深さ</w:t>
      </w:r>
      <m:oMath>
        <m:r>
          <w:rPr>
            <w:rFonts w:ascii="Cambria Math" w:hAnsi="Cambria Math"/>
          </w:rPr>
          <m:t xml:space="preserve"> a</m:t>
        </m:r>
        <m:r>
          <w:rPr>
            <w:rFonts w:ascii="Cambria Math" w:hAnsi="Cambria Math" w:hint="eastAsia"/>
          </w:rPr>
          <m:t xml:space="preserve"> </m:t>
        </m:r>
      </m:oMath>
      <w:r w:rsidRPr="00BC31E0">
        <w:rPr>
          <w:rFonts w:hint="eastAsia"/>
        </w:rPr>
        <w:t>に対する応力拡大係数</w:t>
      </w:r>
      <m:oMath>
        <m:sSub>
          <m:sSubPr>
            <m:ctrlPr>
              <w:rPr>
                <w:rFonts w:ascii="Cambria Math" w:hAnsi="Cambria Math"/>
                <w:bCs/>
              </w:rPr>
            </m:ctrlPr>
          </m:sSubPr>
          <m:e>
            <m:r>
              <w:rPr>
                <w:rFonts w:ascii="Cambria Math" w:hAnsi="Cambria Math"/>
              </w:rPr>
              <m:t xml:space="preserve"> K</m:t>
            </m:r>
          </m:e>
          <m:sub>
            <m:r>
              <m:rPr>
                <m:sty m:val="p"/>
              </m:rPr>
              <w:rPr>
                <w:rFonts w:ascii="Cambria Math" w:hAnsi="Cambria Math"/>
              </w:rPr>
              <m:t>I</m:t>
            </m:r>
          </m:sub>
        </m:sSub>
        <m:r>
          <m:rPr>
            <m:sty m:val="p"/>
          </m:rPr>
          <w:rPr>
            <w:rFonts w:ascii="Cambria Math" w:hAnsi="Cambria Math" w:hint="eastAsia"/>
          </w:rPr>
          <m:t xml:space="preserve"> </m:t>
        </m:r>
        <m:d>
          <m:dPr>
            <m:ctrlPr>
              <w:rPr>
                <w:rFonts w:ascii="Cambria Math" w:hAnsi="Cambria Math"/>
              </w:rPr>
            </m:ctrlPr>
          </m:dPr>
          <m:e>
            <m:r>
              <m:rPr>
                <m:sty m:val="p"/>
              </m:rPr>
              <w:rPr>
                <w:rFonts w:ascii="Cambria Math" w:hAnsi="Cambria Math"/>
              </w:rPr>
              <m:t>MPa</m:t>
            </m:r>
            <m:rad>
              <m:radPr>
                <m:degHide m:val="1"/>
                <m:ctrlPr>
                  <w:rPr>
                    <w:rFonts w:ascii="Cambria Math" w:hAnsi="Cambria Math"/>
                  </w:rPr>
                </m:ctrlPr>
              </m:radPr>
              <m:deg/>
              <m:e>
                <m:r>
                  <m:rPr>
                    <m:sty m:val="p"/>
                  </m:rPr>
                  <w:rPr>
                    <w:rFonts w:ascii="Cambria Math" w:hAnsi="Cambria Math"/>
                  </w:rPr>
                  <m:t>m</m:t>
                </m:r>
              </m:e>
            </m:rad>
          </m:e>
        </m:d>
        <m:r>
          <m:rPr>
            <m:sty m:val="p"/>
          </m:rPr>
          <w:rPr>
            <w:rFonts w:ascii="Cambria Math" w:hAnsi="Cambria Math"/>
          </w:rPr>
          <m:t xml:space="preserve"> </m:t>
        </m:r>
      </m:oMath>
      <w:r w:rsidRPr="00BC31E0">
        <w:rPr>
          <w:rFonts w:hint="eastAsia"/>
        </w:rPr>
        <w:t>を決定する。</w:t>
      </w:r>
    </w:p>
    <w:tbl>
      <w:tblPr>
        <w:tblStyle w:val="afff2"/>
        <w:tblW w:w="6520" w:type="dxa"/>
        <w:tblInd w:w="2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1"/>
        <w:gridCol w:w="3649"/>
      </w:tblGrid>
      <w:tr w:rsidR="00F52111" w:rsidRPr="00BC31E0" w14:paraId="1FD6A8C3" w14:textId="77777777" w:rsidTr="004736F2">
        <w:tc>
          <w:tcPr>
            <w:tcW w:w="0" w:type="auto"/>
            <w:tcMar>
              <w:left w:w="0" w:type="dxa"/>
              <w:right w:w="0" w:type="dxa"/>
            </w:tcMar>
            <w:vAlign w:val="center"/>
          </w:tcPr>
          <w:p w14:paraId="6225BB52" w14:textId="77777777" w:rsidR="00F52111" w:rsidRPr="00BC31E0" w:rsidRDefault="00A51873" w:rsidP="004736F2">
            <w:pPr>
              <w:tabs>
                <w:tab w:val="left" w:pos="2552"/>
                <w:tab w:val="left" w:leader="middleDot" w:pos="8505"/>
              </w:tabs>
              <w:jc w:val="left"/>
              <w:rPr>
                <w:rFonts w:asciiTheme="minorHAnsi" w:hAnsiTheme="minorHAnsi"/>
              </w:rPr>
            </w:pPr>
            <m:oMathPara>
              <m:oMathParaPr>
                <m:jc m:val="left"/>
              </m:oMathParaPr>
              <m:oMath>
                <m:sSub>
                  <m:sSubPr>
                    <m:ctrlPr>
                      <w:rPr>
                        <w:rFonts w:ascii="Cambria Math" w:hAnsi="Cambria Math"/>
                      </w:rPr>
                    </m:ctrlPr>
                  </m:sSubPr>
                  <m:e>
                    <m:r>
                      <w:rPr>
                        <w:rFonts w:ascii="Cambria Math" w:hAnsi="Cambria Math"/>
                      </w:rPr>
                      <m:t>K</m:t>
                    </m:r>
                  </m:e>
                  <m:sub>
                    <m:r>
                      <m:rPr>
                        <m:sty m:val="p"/>
                      </m:rPr>
                      <w:rPr>
                        <w:rFonts w:ascii="Cambria Math" w:hAnsi="Cambria Math"/>
                      </w:rPr>
                      <m:t>I</m:t>
                    </m:r>
                  </m:sub>
                </m:sSub>
                <m:r>
                  <w:rPr>
                    <w:rFonts w:ascii="Cambria Math" w:hAnsi="Cambria Math"/>
                  </w:rPr>
                  <m:t>=F</m:t>
                </m:r>
                <m:f>
                  <m:fPr>
                    <m:type m:val="lin"/>
                    <m:ctrlPr>
                      <w:rPr>
                        <w:rFonts w:ascii="Cambria Math" w:hAnsi="Cambria Math"/>
                      </w:rPr>
                    </m:ctrlPr>
                  </m:fPr>
                  <m:num>
                    <m:rad>
                      <m:radPr>
                        <m:degHide m:val="1"/>
                        <m:ctrlPr>
                          <w:rPr>
                            <w:rFonts w:ascii="Cambria Math" w:hAnsi="Cambria Math"/>
                          </w:rPr>
                        </m:ctrlPr>
                      </m:radPr>
                      <m:deg/>
                      <m:e>
                        <m:r>
                          <w:rPr>
                            <w:rFonts w:ascii="Cambria Math" w:hAnsi="Cambria Math"/>
                          </w:rPr>
                          <m:t>π a</m:t>
                        </m:r>
                      </m:e>
                    </m:rad>
                  </m:num>
                  <m:den>
                    <m:rad>
                      <m:radPr>
                        <m:degHide m:val="1"/>
                        <m:ctrlPr>
                          <w:rPr>
                            <w:rFonts w:ascii="Cambria Math" w:hAnsi="Cambria Math"/>
                          </w:rPr>
                        </m:ctrlPr>
                      </m:radPr>
                      <m:deg/>
                      <m:e>
                        <m:f>
                          <m:fPr>
                            <m:type m:val="lin"/>
                            <m:ctrlPr>
                              <w:rPr>
                                <w:rFonts w:ascii="Cambria Math" w:hAnsi="Cambria Math"/>
                              </w:rPr>
                            </m:ctrlPr>
                          </m:fPr>
                          <m:num>
                            <m:r>
                              <w:rPr>
                                <w:rFonts w:ascii="Cambria Math" w:hAnsi="Cambria Math"/>
                              </w:rPr>
                              <m:t>1-</m:t>
                            </m:r>
                            <m:sSup>
                              <m:sSupPr>
                                <m:ctrlPr>
                                  <w:rPr>
                                    <w:rFonts w:ascii="Cambria Math" w:hAnsi="Cambria Math"/>
                                  </w:rPr>
                                </m:ctrlPr>
                              </m:sSupPr>
                              <m:e>
                                <m:d>
                                  <m:dPr>
                                    <m:ctrlPr>
                                      <w:rPr>
                                        <w:rFonts w:ascii="Cambria Math" w:hAnsi="Cambria Math"/>
                                      </w:rPr>
                                    </m:ctrlPr>
                                  </m:dPr>
                                  <m:e>
                                    <m:f>
                                      <m:fPr>
                                        <m:type m:val="lin"/>
                                        <m:ctrlPr>
                                          <w:rPr>
                                            <w:rFonts w:ascii="Cambria Math" w:hAnsi="Cambria Math"/>
                                          </w:rPr>
                                        </m:ctrlPr>
                                      </m:fPr>
                                      <m:num>
                                        <m:r>
                                          <w:rPr>
                                            <w:rFonts w:ascii="Cambria Math" w:hAnsi="Cambria Math"/>
                                          </w:rPr>
                                          <m:t>F</m:t>
                                        </m:r>
                                      </m:num>
                                      <m:den>
                                        <m:sSub>
                                          <m:sSubPr>
                                            <m:ctrlPr>
                                              <w:rPr>
                                                <w:rFonts w:ascii="Cambria Math" w:hAnsi="Cambria Math"/>
                                              </w:rPr>
                                            </m:ctrlPr>
                                          </m:sSubPr>
                                          <m:e>
                                            <m:r>
                                              <w:rPr>
                                                <w:rFonts w:ascii="Cambria Math" w:hAnsi="Cambria Math"/>
                                              </w:rPr>
                                              <m:t>S</m:t>
                                            </m:r>
                                          </m:e>
                                          <m:sub>
                                            <m:r>
                                              <w:rPr>
                                                <w:rFonts w:ascii="Cambria Math" w:hAnsi="Cambria Math"/>
                                              </w:rPr>
                                              <m:t>y</m:t>
                                            </m:r>
                                          </m:sub>
                                        </m:sSub>
                                      </m:den>
                                    </m:f>
                                  </m:e>
                                </m:d>
                              </m:e>
                              <m:sup>
                                <m:r>
                                  <w:rPr>
                                    <w:rFonts w:ascii="Cambria Math" w:hAnsi="Cambria Math"/>
                                  </w:rPr>
                                  <m:t>2</m:t>
                                </m:r>
                              </m:sup>
                            </m:sSup>
                          </m:num>
                          <m:den>
                            <m:r>
                              <m:rPr>
                                <m:sty m:val="p"/>
                              </m:rPr>
                              <w:rPr>
                                <w:rFonts w:ascii="Cambria Math" w:hAnsi="Cambria Math"/>
                              </w:rPr>
                              <m:t>6</m:t>
                            </m:r>
                          </m:den>
                        </m:f>
                      </m:e>
                    </m:rad>
                  </m:den>
                </m:f>
              </m:oMath>
            </m:oMathPara>
          </w:p>
        </w:tc>
        <w:tc>
          <w:tcPr>
            <w:tcW w:w="3649" w:type="dxa"/>
            <w:tcMar>
              <w:left w:w="0" w:type="dxa"/>
              <w:right w:w="0" w:type="dxa"/>
            </w:tcMar>
            <w:vAlign w:val="center"/>
          </w:tcPr>
          <w:p w14:paraId="5C901DDE" w14:textId="77777777" w:rsidR="00F52111" w:rsidRPr="00BC31E0" w:rsidRDefault="00F52111" w:rsidP="004736F2">
            <w:pPr>
              <w:tabs>
                <w:tab w:val="left" w:leader="middleDot" w:pos="3082"/>
              </w:tabs>
              <w:jc w:val="left"/>
              <w:rPr>
                <w:rFonts w:asciiTheme="minorHAnsi" w:hAnsiTheme="minorHAnsi"/>
              </w:rPr>
            </w:pPr>
            <w:r w:rsidRPr="00BC31E0">
              <w:rPr>
                <w:rFonts w:asciiTheme="minorHAnsi" w:hAnsiTheme="minorHAnsi"/>
              </w:rPr>
              <w:tab/>
              <w:t>(1</w:t>
            </w:r>
            <w:r w:rsidRPr="00BC31E0">
              <w:rPr>
                <w:rFonts w:asciiTheme="minorHAnsi" w:hAnsiTheme="minorHAnsi" w:hint="eastAsia"/>
              </w:rPr>
              <w:t>7</w:t>
            </w:r>
            <w:r w:rsidRPr="00BC31E0">
              <w:rPr>
                <w:rFonts w:asciiTheme="minorHAnsi" w:hAnsiTheme="minorHAnsi"/>
              </w:rPr>
              <w:t>)</w:t>
            </w:r>
          </w:p>
        </w:tc>
      </w:tr>
    </w:tbl>
    <w:p w14:paraId="091515E3" w14:textId="77777777" w:rsidR="00F52111" w:rsidRPr="00BC31E0" w:rsidRDefault="00F52111" w:rsidP="002435BA">
      <w:pPr>
        <w:tabs>
          <w:tab w:val="left" w:pos="7938"/>
        </w:tabs>
        <w:ind w:left="454" w:firstLineChars="100" w:firstLine="210"/>
        <w:rPr>
          <w:rFonts w:ascii="ＭＳ 明朝"/>
        </w:rPr>
      </w:pPr>
      <w:r w:rsidRPr="00BC31E0">
        <w:rPr>
          <w:rFonts w:ascii="ＭＳ 明朝" w:hAnsi="ＭＳ 明朝" w:hint="eastAsia"/>
        </w:rPr>
        <w:t>ここで，</w:t>
      </w:r>
    </w:p>
    <w:tbl>
      <w:tblPr>
        <w:tblStyle w:val="afff2"/>
        <w:tblW w:w="7938"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6"/>
        <w:gridCol w:w="3872"/>
      </w:tblGrid>
      <w:tr w:rsidR="00F52111" w:rsidRPr="00BC31E0" w14:paraId="52C4A405" w14:textId="77777777" w:rsidTr="004736F2">
        <w:tc>
          <w:tcPr>
            <w:tcW w:w="0" w:type="auto"/>
            <w:tcMar>
              <w:left w:w="0" w:type="dxa"/>
              <w:right w:w="0" w:type="dxa"/>
            </w:tcMar>
            <w:vAlign w:val="center"/>
          </w:tcPr>
          <w:p w14:paraId="08F55F2A" w14:textId="77777777" w:rsidR="00F52111" w:rsidRPr="00BC31E0" w:rsidRDefault="00F52111" w:rsidP="004736F2">
            <w:pPr>
              <w:tabs>
                <w:tab w:val="left" w:pos="2552"/>
                <w:tab w:val="left" w:leader="middleDot" w:pos="8505"/>
              </w:tabs>
              <w:jc w:val="left"/>
              <w:rPr>
                <w:rFonts w:asciiTheme="minorHAnsi" w:hAnsiTheme="minorHAnsi"/>
              </w:rPr>
            </w:pPr>
            <m:oMathPara>
              <m:oMathParaPr>
                <m:jc m:val="left"/>
              </m:oMathParaPr>
              <m:oMath>
                <m:r>
                  <w:rPr>
                    <w:rFonts w:ascii="Cambria Math" w:hAnsi="Cambria Math"/>
                  </w:rPr>
                  <m:t>F=</m:t>
                </m:r>
                <m:sSub>
                  <m:sSubPr>
                    <m:ctrlPr>
                      <w:rPr>
                        <w:rFonts w:ascii="Cambria Math" w:hAnsi="Cambria Math"/>
                      </w:rPr>
                    </m:ctrlPr>
                  </m:sSubPr>
                  <m:e>
                    <m:r>
                      <w:rPr>
                        <w:rFonts w:ascii="Cambria Math" w:hAnsi="Cambria Math"/>
                      </w:rPr>
                      <m:t>A</m:t>
                    </m:r>
                  </m:e>
                  <m:sub>
                    <m:r>
                      <w:rPr>
                        <w:rFonts w:ascii="Cambria Math" w:hAnsi="Cambria Math"/>
                      </w:rPr>
                      <m:t>0</m:t>
                    </m:r>
                  </m:sub>
                </m:sSub>
                <m:sSub>
                  <m:sSubPr>
                    <m:ctrlPr>
                      <w:rPr>
                        <w:rFonts w:ascii="Cambria Math" w:hAnsi="Cambria Math"/>
                      </w:rPr>
                    </m:ctrlPr>
                  </m:sSubPr>
                  <m:e>
                    <m:r>
                      <w:rPr>
                        <w:rFonts w:ascii="Cambria Math" w:hAnsi="Cambria Math"/>
                      </w:rPr>
                      <m:t xml:space="preserve"> F</m:t>
                    </m:r>
                  </m:e>
                  <m:sub>
                    <m:r>
                      <w:rPr>
                        <w:rFonts w:ascii="Cambria Math" w:hAnsi="Cambria Math"/>
                      </w:rPr>
                      <m:t>1</m:t>
                    </m:r>
                  </m:sub>
                </m:sSub>
                <m:r>
                  <w:rPr>
                    <w:rFonts w:ascii="Cambria Math" w:hAnsi="Cambria Math"/>
                  </w:rPr>
                  <m:t>+</m:t>
                </m:r>
                <m:f>
                  <m:fPr>
                    <m:ctrlPr>
                      <w:rPr>
                        <w:rFonts w:ascii="Cambria Math" w:hAnsi="Cambria Math"/>
                      </w:rPr>
                    </m:ctrlPr>
                  </m:fPr>
                  <m:num>
                    <m:r>
                      <w:rPr>
                        <w:rFonts w:ascii="Cambria Math" w:hAnsi="Cambria Math"/>
                      </w:rPr>
                      <m:t>2 a</m:t>
                    </m:r>
                    <m:sSub>
                      <m:sSubPr>
                        <m:ctrlPr>
                          <w:rPr>
                            <w:rFonts w:ascii="Cambria Math" w:hAnsi="Cambria Math"/>
                          </w:rPr>
                        </m:ctrlPr>
                      </m:sSubPr>
                      <m:e>
                        <m:r>
                          <w:rPr>
                            <w:rFonts w:ascii="Cambria Math" w:hAnsi="Cambria Math"/>
                          </w:rPr>
                          <m:t xml:space="preserve"> A</m:t>
                        </m:r>
                      </m:e>
                      <m:sub>
                        <m:r>
                          <w:rPr>
                            <w:rFonts w:ascii="Cambria Math" w:hAnsi="Cambria Math"/>
                          </w:rPr>
                          <m:t>1</m:t>
                        </m:r>
                      </m:sub>
                    </m:sSub>
                    <m:sSub>
                      <m:sSubPr>
                        <m:ctrlPr>
                          <w:rPr>
                            <w:rFonts w:ascii="Cambria Math" w:hAnsi="Cambria Math"/>
                          </w:rPr>
                        </m:ctrlPr>
                      </m:sSubPr>
                      <m:e>
                        <m:r>
                          <w:rPr>
                            <w:rFonts w:ascii="Cambria Math" w:hAnsi="Cambria Math"/>
                          </w:rPr>
                          <m:t xml:space="preserve"> F</m:t>
                        </m:r>
                      </m:e>
                      <m:sub>
                        <m:r>
                          <w:rPr>
                            <w:rFonts w:ascii="Cambria Math" w:hAnsi="Cambria Math"/>
                          </w:rPr>
                          <m:t>2</m:t>
                        </m:r>
                      </m:sub>
                    </m:sSub>
                  </m:num>
                  <m:den>
                    <m:r>
                      <w:rPr>
                        <w:rFonts w:ascii="Cambria Math" w:hAnsi="Cambria Math"/>
                      </w:rPr>
                      <m:t>π</m:t>
                    </m:r>
                  </m:den>
                </m:f>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a</m:t>
                        </m:r>
                      </m:e>
                      <m:sup>
                        <m:r>
                          <w:rPr>
                            <w:rFonts w:ascii="Cambria Math" w:hAnsi="Cambria Math"/>
                          </w:rPr>
                          <m:t>2</m:t>
                        </m:r>
                      </m:sup>
                    </m:sSup>
                    <m:sSub>
                      <m:sSubPr>
                        <m:ctrlPr>
                          <w:rPr>
                            <w:rFonts w:ascii="Cambria Math" w:hAnsi="Cambria Math"/>
                          </w:rPr>
                        </m:ctrlPr>
                      </m:sSubPr>
                      <m:e>
                        <m:r>
                          <w:rPr>
                            <w:rFonts w:ascii="Cambria Math" w:hAnsi="Cambria Math"/>
                          </w:rPr>
                          <m:t xml:space="preserve"> A</m:t>
                        </m:r>
                      </m:e>
                      <m:sub>
                        <m:r>
                          <w:rPr>
                            <w:rFonts w:ascii="Cambria Math" w:hAnsi="Cambria Math"/>
                          </w:rPr>
                          <m:t>2</m:t>
                        </m:r>
                      </m:sub>
                    </m:sSub>
                    <m:sSub>
                      <m:sSubPr>
                        <m:ctrlPr>
                          <w:rPr>
                            <w:rFonts w:ascii="Cambria Math" w:hAnsi="Cambria Math"/>
                          </w:rPr>
                        </m:ctrlPr>
                      </m:sSubPr>
                      <m:e>
                        <m:r>
                          <w:rPr>
                            <w:rFonts w:ascii="Cambria Math" w:hAnsi="Cambria Math"/>
                          </w:rPr>
                          <m:t xml:space="preserve"> F</m:t>
                        </m:r>
                      </m:e>
                      <m:sub>
                        <m:r>
                          <w:rPr>
                            <w:rFonts w:ascii="Cambria Math" w:hAnsi="Cambria Math"/>
                          </w:rPr>
                          <m:t>3</m:t>
                        </m:r>
                      </m:sub>
                    </m:sSub>
                  </m:num>
                  <m:den>
                    <m:r>
                      <w:rPr>
                        <w:rFonts w:ascii="Cambria Math" w:hAnsi="Cambria Math"/>
                      </w:rPr>
                      <m:t>2</m:t>
                    </m:r>
                  </m:den>
                </m:f>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4 a</m:t>
                        </m:r>
                      </m:e>
                      <m:sup>
                        <m:r>
                          <w:rPr>
                            <w:rFonts w:ascii="Cambria Math" w:hAnsi="Cambria Math"/>
                          </w:rPr>
                          <m:t>3</m:t>
                        </m:r>
                      </m:sup>
                    </m:sSup>
                    <m:sSub>
                      <m:sSubPr>
                        <m:ctrlPr>
                          <w:rPr>
                            <w:rFonts w:ascii="Cambria Math" w:hAnsi="Cambria Math"/>
                          </w:rPr>
                        </m:ctrlPr>
                      </m:sSubPr>
                      <m:e>
                        <m:r>
                          <w:rPr>
                            <w:rFonts w:ascii="Cambria Math" w:hAnsi="Cambria Math"/>
                          </w:rPr>
                          <m:t xml:space="preserve"> A</m:t>
                        </m:r>
                      </m:e>
                      <m:sub>
                        <m:r>
                          <w:rPr>
                            <w:rFonts w:ascii="Cambria Math" w:hAnsi="Cambria Math"/>
                          </w:rPr>
                          <m:t>3</m:t>
                        </m:r>
                      </m:sub>
                    </m:sSub>
                    <m:sSub>
                      <m:sSubPr>
                        <m:ctrlPr>
                          <w:rPr>
                            <w:rFonts w:ascii="Cambria Math" w:hAnsi="Cambria Math"/>
                          </w:rPr>
                        </m:ctrlPr>
                      </m:sSubPr>
                      <m:e>
                        <m:r>
                          <w:rPr>
                            <w:rFonts w:ascii="Cambria Math" w:hAnsi="Cambria Math"/>
                          </w:rPr>
                          <m:t xml:space="preserve"> F</m:t>
                        </m:r>
                      </m:e>
                      <m:sub>
                        <m:r>
                          <w:rPr>
                            <w:rFonts w:ascii="Cambria Math" w:hAnsi="Cambria Math"/>
                          </w:rPr>
                          <m:t>4</m:t>
                        </m:r>
                      </m:sub>
                    </m:sSub>
                  </m:num>
                  <m:den>
                    <m:r>
                      <w:rPr>
                        <w:rFonts w:ascii="Cambria Math" w:hAnsi="Cambria Math"/>
                      </w:rPr>
                      <m:t>3 π</m:t>
                    </m:r>
                  </m:den>
                </m:f>
              </m:oMath>
            </m:oMathPara>
          </w:p>
        </w:tc>
        <w:tc>
          <w:tcPr>
            <w:tcW w:w="3872" w:type="dxa"/>
            <w:tcMar>
              <w:left w:w="0" w:type="dxa"/>
              <w:right w:w="0" w:type="dxa"/>
            </w:tcMar>
            <w:vAlign w:val="center"/>
          </w:tcPr>
          <w:p w14:paraId="48507C7D" w14:textId="77777777" w:rsidR="00F52111" w:rsidRPr="00BC31E0" w:rsidRDefault="00F52111" w:rsidP="004736F2">
            <w:pPr>
              <w:tabs>
                <w:tab w:val="left" w:leader="middleDot" w:pos="3305"/>
              </w:tabs>
              <w:jc w:val="left"/>
              <w:rPr>
                <w:rFonts w:asciiTheme="minorHAnsi" w:hAnsiTheme="minorHAnsi"/>
              </w:rPr>
            </w:pPr>
            <w:r w:rsidRPr="00BC31E0">
              <w:rPr>
                <w:rFonts w:asciiTheme="minorHAnsi" w:hAnsiTheme="minorHAnsi"/>
              </w:rPr>
              <w:tab/>
              <w:t>(1</w:t>
            </w:r>
            <w:r w:rsidRPr="00BC31E0">
              <w:rPr>
                <w:rFonts w:asciiTheme="minorHAnsi" w:hAnsiTheme="minorHAnsi" w:hint="eastAsia"/>
              </w:rPr>
              <w:t>8</w:t>
            </w:r>
            <w:r w:rsidRPr="00BC31E0">
              <w:rPr>
                <w:rFonts w:asciiTheme="minorHAnsi" w:hAnsiTheme="minorHAnsi"/>
              </w:rPr>
              <w:t>)</w:t>
            </w:r>
          </w:p>
        </w:tc>
      </w:tr>
    </w:tbl>
    <w:p w14:paraId="5CD54123" w14:textId="77777777" w:rsidR="00F52111" w:rsidRPr="00BC31E0" w:rsidRDefault="00F52111" w:rsidP="00867B8D">
      <w:pPr>
        <w:tabs>
          <w:tab w:val="left" w:pos="1134"/>
          <w:tab w:val="left" w:pos="2268"/>
        </w:tabs>
        <w:spacing w:before="120"/>
      </w:pPr>
      <w:r w:rsidRPr="00BC31E0">
        <w:rPr>
          <w:rFonts w:hint="eastAsia"/>
        </w:rPr>
        <w:tab/>
      </w:r>
      <m:oMath>
        <m:r>
          <w:rPr>
            <w:rFonts w:ascii="Cambria Math" w:hAnsi="Cambria Math"/>
          </w:rPr>
          <m:t>a</m:t>
        </m:r>
      </m:oMath>
      <w:r w:rsidRPr="00BC31E0">
        <w:rPr>
          <w:rFonts w:hint="eastAsia"/>
        </w:rPr>
        <w:tab/>
      </w:r>
      <w:r w:rsidRPr="00BC31E0">
        <w:rPr>
          <w:rFonts w:hint="eastAsia"/>
        </w:rPr>
        <w:t>：</w:t>
      </w:r>
      <w:r w:rsidRPr="00BC31E0">
        <w:rPr>
          <w:rFonts w:hint="eastAsia"/>
        </w:rPr>
        <w:t xml:space="preserve"> </w:t>
      </w:r>
      <w:r w:rsidRPr="00BC31E0">
        <w:rPr>
          <w:rFonts w:hint="eastAsia"/>
        </w:rPr>
        <w:t>亀裂深さ</w:t>
      </w:r>
      <w:r w:rsidRPr="00BC31E0">
        <w:rPr>
          <w:rFonts w:hint="eastAsia"/>
        </w:rPr>
        <w:t>(</w:t>
      </w:r>
      <w:r w:rsidRPr="00BC31E0">
        <w:rPr>
          <w:rFonts w:ascii="Cambria Math" w:hAnsi="Cambria Math"/>
        </w:rPr>
        <w:t>m</w:t>
      </w:r>
      <w:r w:rsidRPr="00BC31E0">
        <w:rPr>
          <w:rFonts w:ascii="Cambria Math" w:hAnsi="Cambria Math" w:hint="eastAsia"/>
        </w:rPr>
        <w:t>m</w:t>
      </w:r>
      <w:r w:rsidRPr="00BC31E0">
        <w:rPr>
          <w:rFonts w:hint="eastAsia"/>
        </w:rPr>
        <w:t>)</w:t>
      </w:r>
    </w:p>
    <w:p w14:paraId="7C30B613" w14:textId="77777777" w:rsidR="00F52111" w:rsidRPr="00BC31E0" w:rsidRDefault="00F52111" w:rsidP="00867B8D">
      <w:pPr>
        <w:tabs>
          <w:tab w:val="left" w:pos="1134"/>
          <w:tab w:val="left" w:pos="2268"/>
        </w:tabs>
      </w:pPr>
      <w:r w:rsidRPr="00BC31E0">
        <w:rPr>
          <w:rFonts w:hint="eastAsia"/>
        </w:rPr>
        <w:tab/>
      </w:r>
      <m:oMath>
        <m:sSub>
          <m:sSubPr>
            <m:ctrlPr>
              <w:rPr>
                <w:rFonts w:ascii="Cambria Math" w:hAnsi="Cambria Math"/>
                <w:i/>
              </w:rPr>
            </m:ctrlPr>
          </m:sSubPr>
          <m:e>
            <m:r>
              <w:rPr>
                <w:rFonts w:ascii="Cambria Math" w:hAnsi="Cambria Math"/>
              </w:rPr>
              <m:t>S</m:t>
            </m:r>
          </m:e>
          <m:sub>
            <m:r>
              <w:rPr>
                <w:rFonts w:ascii="Cambria Math" w:hAnsi="Cambria Math"/>
              </w:rPr>
              <m:t>y</m:t>
            </m:r>
          </m:sub>
        </m:sSub>
      </m:oMath>
      <w:r w:rsidRPr="00BC31E0">
        <w:rPr>
          <w:rFonts w:hint="eastAsia"/>
        </w:rPr>
        <w:tab/>
      </w:r>
      <w:r w:rsidRPr="00BC31E0">
        <w:rPr>
          <w:rFonts w:hint="eastAsia"/>
        </w:rPr>
        <w:t>：</w:t>
      </w:r>
      <w:r w:rsidRPr="00BC31E0">
        <w:rPr>
          <w:rFonts w:hint="eastAsia"/>
        </w:rPr>
        <w:t xml:space="preserve"> </w:t>
      </w:r>
      <w:r w:rsidRPr="00BC31E0">
        <w:rPr>
          <w:rFonts w:hint="eastAsia"/>
        </w:rPr>
        <w:t>降伏強さ</w:t>
      </w:r>
      <w:r w:rsidRPr="00BC31E0">
        <w:rPr>
          <w:rFonts w:hint="eastAsia"/>
        </w:rPr>
        <w:t>(</w:t>
      </w:r>
      <w:r w:rsidRPr="00BC31E0">
        <w:rPr>
          <w:rFonts w:ascii="Cambria Math" w:hAnsi="Cambria Math"/>
        </w:rPr>
        <w:t>MPa</w:t>
      </w:r>
      <w:r w:rsidRPr="00BC31E0">
        <w:rPr>
          <w:rFonts w:hint="eastAsia"/>
        </w:rPr>
        <w:t>)</w:t>
      </w:r>
    </w:p>
    <w:p w14:paraId="73C5F95A" w14:textId="77777777" w:rsidR="00F52111" w:rsidRPr="00BC31E0" w:rsidRDefault="00F52111" w:rsidP="00867B8D">
      <w:pPr>
        <w:tabs>
          <w:tab w:val="left" w:pos="1134"/>
          <w:tab w:val="left" w:pos="2268"/>
        </w:tabs>
      </w:pPr>
      <w:r w:rsidRPr="00BC31E0">
        <w:rPr>
          <w:rFonts w:asciiTheme="majorEastAsia" w:eastAsiaTheme="majorEastAsia" w:hAnsiTheme="majorEastAsia" w:hint="eastAsia"/>
          <w:b/>
        </w:rPr>
        <w:tab/>
      </w:r>
      <m:oMath>
        <m:f>
          <m:fPr>
            <m:type m:val="lin"/>
            <m:ctrlPr>
              <w:rPr>
                <w:rFonts w:ascii="Cambria Math" w:eastAsiaTheme="majorEastAsia" w:hAnsi="Cambria Math"/>
                <w:i/>
              </w:rPr>
            </m:ctrlPr>
          </m:fPr>
          <m:num>
            <m:sSup>
              <m:sSupPr>
                <m:ctrlPr>
                  <w:rPr>
                    <w:rFonts w:ascii="Cambria Math" w:eastAsiaTheme="majorEastAsia" w:hAnsi="Cambria Math"/>
                    <w:i/>
                  </w:rPr>
                </m:ctrlPr>
              </m:sSupPr>
              <m:e>
                <m:d>
                  <m:dPr>
                    <m:ctrlPr>
                      <w:rPr>
                        <w:rFonts w:ascii="Cambria Math" w:eastAsiaTheme="majorEastAsia" w:hAnsi="Cambria Math"/>
                        <w:i/>
                      </w:rPr>
                    </m:ctrlPr>
                  </m:dPr>
                  <m:e>
                    <m:f>
                      <m:fPr>
                        <m:type m:val="lin"/>
                        <m:ctrlPr>
                          <w:rPr>
                            <w:rFonts w:ascii="Cambria Math" w:eastAsiaTheme="majorEastAsia" w:hAnsi="Cambria Math"/>
                            <w:i/>
                          </w:rPr>
                        </m:ctrlPr>
                      </m:fPr>
                      <m:num>
                        <m:r>
                          <w:rPr>
                            <w:rFonts w:ascii="Cambria Math" w:eastAsiaTheme="majorEastAsia" w:hAnsi="Cambria Math"/>
                          </w:rPr>
                          <m:t>F</m:t>
                        </m:r>
                      </m:num>
                      <m:den>
                        <m:sSub>
                          <m:sSubPr>
                            <m:ctrlPr>
                              <w:rPr>
                                <w:rFonts w:ascii="Cambria Math" w:eastAsiaTheme="majorEastAsia" w:hAnsi="Cambria Math"/>
                                <w:i/>
                              </w:rPr>
                            </m:ctrlPr>
                          </m:sSubPr>
                          <m:e>
                            <m:r>
                              <w:rPr>
                                <w:rFonts w:ascii="Cambria Math" w:eastAsiaTheme="majorEastAsia" w:hAnsi="Cambria Math"/>
                              </w:rPr>
                              <m:t>S</m:t>
                            </m:r>
                          </m:e>
                          <m:sub>
                            <m:r>
                              <w:rPr>
                                <w:rFonts w:ascii="Cambria Math" w:eastAsiaTheme="majorEastAsia" w:hAnsi="Cambria Math"/>
                              </w:rPr>
                              <m:t>y</m:t>
                            </m:r>
                          </m:sub>
                        </m:sSub>
                      </m:den>
                    </m:f>
                  </m:e>
                </m:d>
              </m:e>
              <m:sup>
                <m:r>
                  <w:rPr>
                    <w:rFonts w:ascii="Cambria Math" w:eastAsiaTheme="majorEastAsia" w:hAnsi="Cambria Math"/>
                  </w:rPr>
                  <m:t>2</m:t>
                </m:r>
              </m:sup>
            </m:sSup>
          </m:num>
          <m:den>
            <m:r>
              <w:rPr>
                <w:rFonts w:ascii="Cambria Math" w:eastAsiaTheme="majorEastAsia" w:hAnsi="Cambria Math"/>
              </w:rPr>
              <m:t>6</m:t>
            </m:r>
          </m:den>
        </m:f>
      </m:oMath>
      <w:r w:rsidRPr="00BC31E0">
        <w:rPr>
          <w:rFonts w:asciiTheme="majorEastAsia" w:eastAsiaTheme="majorEastAsia" w:hAnsiTheme="majorEastAsia" w:hint="eastAsia"/>
        </w:rPr>
        <w:tab/>
        <w:t xml:space="preserve">： </w:t>
      </w:r>
      <w:r w:rsidRPr="00BC31E0">
        <w:rPr>
          <w:rFonts w:hint="eastAsia"/>
        </w:rPr>
        <w:t>塑性域補正項であり，疲労亀裂進展計算では</w:t>
      </w:r>
      <m:oMath>
        <m:r>
          <m:rPr>
            <m:sty m:val="p"/>
          </m:rPr>
          <w:rPr>
            <w:rFonts w:ascii="Cambria Math" w:hAnsi="Cambria Math" w:hint="eastAsia"/>
            <w:sz w:val="22"/>
            <w:szCs w:val="22"/>
          </w:rPr>
          <m:t xml:space="preserve"> 0 </m:t>
        </m:r>
      </m:oMath>
      <w:r w:rsidRPr="00BC31E0">
        <w:rPr>
          <w:rFonts w:hint="eastAsia"/>
        </w:rPr>
        <w:t>とする。</w:t>
      </w:r>
    </w:p>
    <w:p w14:paraId="0CFBD4AE" w14:textId="77777777" w:rsidR="00F52111" w:rsidRPr="00BC31E0" w:rsidRDefault="00F52111" w:rsidP="00867B8D">
      <w:pPr>
        <w:tabs>
          <w:tab w:val="left" w:pos="1134"/>
        </w:tabs>
        <w:ind w:left="2892" w:hanging="2892"/>
        <w:rPr>
          <w:rFonts w:ascii="ＭＳ 明朝" w:hAnsi="ＭＳ 明朝"/>
        </w:rPr>
      </w:pPr>
      <w:r w:rsidRPr="00BC31E0">
        <w:rPr>
          <w:rFonts w:hint="eastAsia"/>
        </w:rPr>
        <w:tab/>
      </w:r>
      <m:oMath>
        <m:sSub>
          <m:sSubPr>
            <m:ctrlPr>
              <w:rPr>
                <w:rFonts w:ascii="Cambria Math" w:hAnsi="Cambria Math"/>
              </w:rPr>
            </m:ctrlPr>
          </m:sSubPr>
          <m:e>
            <m:r>
              <w:rPr>
                <w:rFonts w:ascii="Cambria Math" w:hAnsi="Cambria Math"/>
              </w:rPr>
              <m:t>F</m:t>
            </m:r>
          </m:e>
          <m:sub>
            <m:r>
              <w:rPr>
                <w:rFonts w:ascii="Cambria Math" w:hAnsi="Cambria Math"/>
              </w:rPr>
              <m:t>1</m:t>
            </m:r>
          </m:sub>
        </m:sSub>
      </m:oMath>
      <w:r w:rsidRPr="00BC31E0">
        <w:rPr>
          <w:rFonts w:ascii="ＭＳ 明朝" w:hAnsi="ＭＳ 明朝" w:hint="eastAsia"/>
        </w:rPr>
        <w:t>，</w:t>
      </w:r>
      <m:oMath>
        <m:sSub>
          <m:sSubPr>
            <m:ctrlPr>
              <w:rPr>
                <w:rFonts w:ascii="Cambria Math" w:hAnsi="Cambria Math"/>
              </w:rPr>
            </m:ctrlPr>
          </m:sSubPr>
          <m:e>
            <m:r>
              <w:rPr>
                <w:rFonts w:ascii="Cambria Math" w:hAnsi="Cambria Math"/>
              </w:rPr>
              <m:t>F</m:t>
            </m:r>
          </m:e>
          <m:sub>
            <m:r>
              <w:rPr>
                <w:rFonts w:ascii="Cambria Math" w:hAnsi="Cambria Math"/>
              </w:rPr>
              <m:t>2</m:t>
            </m:r>
          </m:sub>
        </m:sSub>
      </m:oMath>
      <w:r w:rsidRPr="00BC31E0">
        <w:rPr>
          <w:rFonts w:ascii="ＭＳ 明朝" w:hAnsi="ＭＳ 明朝" w:hint="eastAsia"/>
        </w:rPr>
        <w:t>，</w:t>
      </w:r>
      <m:oMath>
        <m:sSub>
          <m:sSubPr>
            <m:ctrlPr>
              <w:rPr>
                <w:rFonts w:ascii="Cambria Math" w:hAnsi="Cambria Math"/>
              </w:rPr>
            </m:ctrlPr>
          </m:sSubPr>
          <m:e>
            <m:r>
              <w:rPr>
                <w:rFonts w:ascii="Cambria Math" w:hAnsi="Cambria Math"/>
              </w:rPr>
              <m:t>F</m:t>
            </m:r>
          </m:e>
          <m:sub>
            <m:r>
              <w:rPr>
                <w:rFonts w:ascii="Cambria Math" w:hAnsi="Cambria Math"/>
              </w:rPr>
              <m:t>3</m:t>
            </m:r>
          </m:sub>
        </m:sSub>
      </m:oMath>
      <w:r w:rsidRPr="00BC31E0">
        <w:rPr>
          <w:rFonts w:ascii="ＭＳ 明朝" w:hAnsi="ＭＳ 明朝" w:hint="eastAsia"/>
        </w:rPr>
        <w:t>，</w:t>
      </w:r>
      <m:oMath>
        <m:sSub>
          <m:sSubPr>
            <m:ctrlPr>
              <w:rPr>
                <w:rFonts w:ascii="Cambria Math" w:hAnsi="Cambria Math"/>
              </w:rPr>
            </m:ctrlPr>
          </m:sSubPr>
          <m:e>
            <m:r>
              <w:rPr>
                <w:rFonts w:ascii="Cambria Math" w:hAnsi="Cambria Math"/>
              </w:rPr>
              <m:t>F</m:t>
            </m:r>
          </m:e>
          <m:sub>
            <m:r>
              <w:rPr>
                <w:rFonts w:ascii="Cambria Math" w:hAnsi="Cambria Math"/>
              </w:rPr>
              <m:t>4</m:t>
            </m:r>
          </m:sub>
        </m:sSub>
        <m:r>
          <m:rPr>
            <m:sty m:val="p"/>
          </m:rPr>
          <w:rPr>
            <w:rFonts w:ascii="Cambria Math" w:hAnsi="Cambria Math"/>
          </w:rPr>
          <m:t xml:space="preserve"> </m:t>
        </m:r>
      </m:oMath>
      <w:r w:rsidRPr="00BC31E0">
        <w:rPr>
          <w:rFonts w:ascii="ＭＳ 明朝" w:hAnsi="ＭＳ 明朝" w:hint="eastAsia"/>
        </w:rPr>
        <w:t>： 幾何学形状に関係する補正係数であり，亀裂深さの関数として次式で与えられる。</w:t>
      </w:r>
    </w:p>
    <w:p w14:paraId="341AC8BD" w14:textId="77777777" w:rsidR="00F52111" w:rsidRPr="00BC31E0" w:rsidRDefault="00F52111" w:rsidP="00867B8D">
      <w:pPr>
        <w:tabs>
          <w:tab w:val="left" w:pos="1843"/>
        </w:tabs>
        <w:rPr>
          <w:rFonts w:ascii="ＭＳ 明朝"/>
        </w:rPr>
      </w:pPr>
      <w:r w:rsidRPr="00BC31E0">
        <w:rPr>
          <w:rFonts w:ascii="ＭＳ 明朝" w:hAnsi="ＭＳ 明朝" w:hint="eastAsia"/>
          <w:bCs/>
        </w:rPr>
        <w:tab/>
      </w:r>
      <m:oMath>
        <m:sSub>
          <m:sSubPr>
            <m:ctrlPr>
              <w:rPr>
                <w:rFonts w:ascii="Cambria Math" w:hAnsi="Cambria Math"/>
                <w:bCs/>
              </w:rPr>
            </m:ctrlPr>
          </m:sSubPr>
          <m:e>
            <m:r>
              <w:rPr>
                <w:rFonts w:ascii="Cambria Math" w:hAnsi="Cambria Math"/>
              </w:rPr>
              <m:t>F</m:t>
            </m:r>
          </m:e>
          <m:sub>
            <m:r>
              <w:rPr>
                <w:rFonts w:ascii="Cambria Math" w:hAnsi="Cambria Math"/>
              </w:rPr>
              <m:t>1</m:t>
            </m:r>
          </m:sub>
        </m:sSub>
        <m:r>
          <w:rPr>
            <w:rFonts w:ascii="Cambria Math" w:hAnsi="Cambria Math"/>
          </w:rPr>
          <m:t xml:space="preserve">=1.1259+0.2344 </m:t>
        </m:r>
        <m:d>
          <m:dPr>
            <m:ctrlPr>
              <w:rPr>
                <w:rFonts w:ascii="Cambria Math" w:hAnsi="Cambria Math"/>
                <w:bCs/>
              </w:rPr>
            </m:ctrlPr>
          </m:dPr>
          <m:e>
            <m:f>
              <m:fPr>
                <m:type m:val="lin"/>
                <m:ctrlPr>
                  <w:rPr>
                    <w:rFonts w:ascii="Cambria Math" w:hAnsi="Cambria Math"/>
                    <w:bCs/>
                  </w:rPr>
                </m:ctrlPr>
              </m:fPr>
              <m:num>
                <m:r>
                  <w:rPr>
                    <w:rFonts w:ascii="Cambria Math" w:hAnsi="Cambria Math"/>
                  </w:rPr>
                  <m:t>a</m:t>
                </m:r>
              </m:num>
              <m:den>
                <m:r>
                  <w:rPr>
                    <w:rFonts w:ascii="Cambria Math" w:hAnsi="Cambria Math"/>
                  </w:rPr>
                  <m:t>t</m:t>
                </m:r>
              </m:den>
            </m:f>
          </m:e>
        </m:d>
        <m:r>
          <w:rPr>
            <w:rFonts w:ascii="Cambria Math" w:hAnsi="Cambria Math"/>
          </w:rPr>
          <m:t>+2.2018</m:t>
        </m:r>
        <m:sSup>
          <m:sSupPr>
            <m:ctrlPr>
              <w:rPr>
                <w:rFonts w:ascii="Cambria Math" w:hAnsi="Cambria Math"/>
                <w:bCs/>
              </w:rPr>
            </m:ctrlPr>
          </m:sSupPr>
          <m:e>
            <m:r>
              <m:rPr>
                <m:sty m:val="p"/>
              </m:rPr>
              <w:rPr>
                <w:rFonts w:ascii="Cambria Math" w:hAnsi="Cambria Math"/>
              </w:rPr>
              <m:t xml:space="preserve"> </m:t>
            </m:r>
            <m:d>
              <m:dPr>
                <m:ctrlPr>
                  <w:rPr>
                    <w:rFonts w:ascii="Cambria Math" w:hAnsi="Cambria Math"/>
                    <w:bCs/>
                  </w:rPr>
                </m:ctrlPr>
              </m:dPr>
              <m:e>
                <m:f>
                  <m:fPr>
                    <m:type m:val="lin"/>
                    <m:ctrlPr>
                      <w:rPr>
                        <w:rFonts w:ascii="Cambria Math" w:hAnsi="Cambria Math"/>
                        <w:bCs/>
                      </w:rPr>
                    </m:ctrlPr>
                  </m:fPr>
                  <m:num>
                    <m:r>
                      <w:rPr>
                        <w:rFonts w:ascii="Cambria Math" w:hAnsi="Cambria Math"/>
                      </w:rPr>
                      <m:t>a</m:t>
                    </m:r>
                  </m:num>
                  <m:den>
                    <m:r>
                      <w:rPr>
                        <w:rFonts w:ascii="Cambria Math" w:hAnsi="Cambria Math"/>
                      </w:rPr>
                      <m:t>t</m:t>
                    </m:r>
                  </m:den>
                </m:f>
              </m:e>
            </m:d>
          </m:e>
          <m:sup>
            <m:r>
              <w:rPr>
                <w:rFonts w:ascii="Cambria Math" w:hAnsi="Cambria Math"/>
              </w:rPr>
              <m:t>2</m:t>
            </m:r>
          </m:sup>
        </m:sSup>
        <m:r>
          <w:rPr>
            <w:rFonts w:ascii="Cambria Math" w:hAnsi="Cambria Math"/>
          </w:rPr>
          <m:t xml:space="preserve">-0.2083 </m:t>
        </m:r>
        <m:sSup>
          <m:sSupPr>
            <m:ctrlPr>
              <w:rPr>
                <w:rFonts w:ascii="Cambria Math" w:hAnsi="Cambria Math"/>
                <w:bCs/>
              </w:rPr>
            </m:ctrlPr>
          </m:sSupPr>
          <m:e>
            <m:d>
              <m:dPr>
                <m:ctrlPr>
                  <w:rPr>
                    <w:rFonts w:ascii="Cambria Math" w:hAnsi="Cambria Math"/>
                    <w:bCs/>
                  </w:rPr>
                </m:ctrlPr>
              </m:dPr>
              <m:e>
                <m:f>
                  <m:fPr>
                    <m:type m:val="lin"/>
                    <m:ctrlPr>
                      <w:rPr>
                        <w:rFonts w:ascii="Cambria Math" w:hAnsi="Cambria Math"/>
                        <w:bCs/>
                      </w:rPr>
                    </m:ctrlPr>
                  </m:fPr>
                  <m:num>
                    <m:r>
                      <w:rPr>
                        <w:rFonts w:ascii="Cambria Math" w:hAnsi="Cambria Math"/>
                      </w:rPr>
                      <m:t>a</m:t>
                    </m:r>
                  </m:num>
                  <m:den>
                    <m:r>
                      <w:rPr>
                        <w:rFonts w:ascii="Cambria Math" w:hAnsi="Cambria Math"/>
                      </w:rPr>
                      <m:t>t</m:t>
                    </m:r>
                  </m:den>
                </m:f>
              </m:e>
            </m:d>
          </m:e>
          <m:sup>
            <m:r>
              <w:rPr>
                <w:rFonts w:ascii="Cambria Math" w:hAnsi="Cambria Math"/>
              </w:rPr>
              <m:t>3</m:t>
            </m:r>
          </m:sup>
        </m:sSup>
      </m:oMath>
      <w:r w:rsidRPr="00BC31E0">
        <w:rPr>
          <w:rFonts w:ascii="ＭＳ 明朝"/>
        </w:rPr>
        <w:t xml:space="preserve"> </w:t>
      </w:r>
    </w:p>
    <w:p w14:paraId="0293D6FA" w14:textId="77777777" w:rsidR="00F52111" w:rsidRPr="00BC31E0" w:rsidRDefault="00F52111" w:rsidP="00867B8D">
      <w:pPr>
        <w:tabs>
          <w:tab w:val="left" w:pos="1843"/>
        </w:tabs>
        <w:spacing w:before="120"/>
        <w:rPr>
          <w:rFonts w:ascii="ＭＳ 明朝"/>
        </w:rPr>
      </w:pPr>
      <w:r w:rsidRPr="00BC31E0">
        <w:rPr>
          <w:rFonts w:ascii="ＭＳ 明朝" w:hint="eastAsia"/>
          <w:bCs/>
        </w:rPr>
        <w:tab/>
      </w:r>
      <m:oMath>
        <m:sSub>
          <m:sSubPr>
            <m:ctrlPr>
              <w:rPr>
                <w:rFonts w:ascii="Cambria Math" w:hAnsi="Cambria Math"/>
                <w:bCs/>
              </w:rPr>
            </m:ctrlPr>
          </m:sSubPr>
          <m:e>
            <m:r>
              <w:rPr>
                <w:rFonts w:ascii="Cambria Math" w:hAnsi="Cambria Math"/>
              </w:rPr>
              <m:t>F</m:t>
            </m:r>
          </m:e>
          <m:sub>
            <m:r>
              <w:rPr>
                <w:rFonts w:ascii="Cambria Math" w:hAnsi="Cambria Math"/>
              </w:rPr>
              <m:t>2</m:t>
            </m:r>
          </m:sub>
        </m:sSub>
        <m:r>
          <w:rPr>
            <w:rFonts w:ascii="Cambria Math" w:hAnsi="Cambria Math"/>
          </w:rPr>
          <m:t xml:space="preserve">=1.0732+0.2677 </m:t>
        </m:r>
        <m:d>
          <m:dPr>
            <m:ctrlPr>
              <w:rPr>
                <w:rFonts w:ascii="Cambria Math" w:hAnsi="Cambria Math"/>
                <w:bCs/>
              </w:rPr>
            </m:ctrlPr>
          </m:dPr>
          <m:e>
            <m:f>
              <m:fPr>
                <m:type m:val="lin"/>
                <m:ctrlPr>
                  <w:rPr>
                    <w:rFonts w:ascii="Cambria Math" w:hAnsi="Cambria Math"/>
                    <w:bCs/>
                  </w:rPr>
                </m:ctrlPr>
              </m:fPr>
              <m:num>
                <m:r>
                  <w:rPr>
                    <w:rFonts w:ascii="Cambria Math" w:hAnsi="Cambria Math"/>
                  </w:rPr>
                  <m:t>a</m:t>
                </m:r>
              </m:num>
              <m:den>
                <m:r>
                  <w:rPr>
                    <w:rFonts w:ascii="Cambria Math" w:hAnsi="Cambria Math"/>
                  </w:rPr>
                  <m:t>t</m:t>
                </m:r>
              </m:den>
            </m:f>
          </m:e>
        </m:d>
        <m:r>
          <w:rPr>
            <w:rFonts w:ascii="Cambria Math" w:hAnsi="Cambria Math"/>
          </w:rPr>
          <m:t xml:space="preserve">+0.6661 </m:t>
        </m:r>
        <m:sSup>
          <m:sSupPr>
            <m:ctrlPr>
              <w:rPr>
                <w:rFonts w:ascii="Cambria Math" w:hAnsi="Cambria Math"/>
                <w:bCs/>
              </w:rPr>
            </m:ctrlPr>
          </m:sSupPr>
          <m:e>
            <m:d>
              <m:dPr>
                <m:ctrlPr>
                  <w:rPr>
                    <w:rFonts w:ascii="Cambria Math" w:hAnsi="Cambria Math"/>
                    <w:bCs/>
                  </w:rPr>
                </m:ctrlPr>
              </m:dPr>
              <m:e>
                <m:f>
                  <m:fPr>
                    <m:type m:val="lin"/>
                    <m:ctrlPr>
                      <w:rPr>
                        <w:rFonts w:ascii="Cambria Math" w:hAnsi="Cambria Math"/>
                        <w:bCs/>
                      </w:rPr>
                    </m:ctrlPr>
                  </m:fPr>
                  <m:num>
                    <m:r>
                      <w:rPr>
                        <w:rFonts w:ascii="Cambria Math" w:hAnsi="Cambria Math"/>
                      </w:rPr>
                      <m:t>a</m:t>
                    </m:r>
                  </m:num>
                  <m:den>
                    <m:r>
                      <w:rPr>
                        <w:rFonts w:ascii="Cambria Math" w:hAnsi="Cambria Math"/>
                      </w:rPr>
                      <m:t>t</m:t>
                    </m:r>
                  </m:den>
                </m:f>
              </m:e>
            </m:d>
          </m:e>
          <m:sup>
            <m:r>
              <w:rPr>
                <w:rFonts w:ascii="Cambria Math" w:hAnsi="Cambria Math"/>
              </w:rPr>
              <m:t>2</m:t>
            </m:r>
          </m:sup>
        </m:sSup>
        <m:r>
          <w:rPr>
            <w:rFonts w:ascii="Cambria Math" w:hAnsi="Cambria Math"/>
          </w:rPr>
          <m:t xml:space="preserve">+0.6354 </m:t>
        </m:r>
        <m:sSup>
          <m:sSupPr>
            <m:ctrlPr>
              <w:rPr>
                <w:rFonts w:ascii="Cambria Math" w:hAnsi="Cambria Math"/>
                <w:bCs/>
              </w:rPr>
            </m:ctrlPr>
          </m:sSupPr>
          <m:e>
            <m:d>
              <m:dPr>
                <m:ctrlPr>
                  <w:rPr>
                    <w:rFonts w:ascii="Cambria Math" w:hAnsi="Cambria Math"/>
                    <w:bCs/>
                  </w:rPr>
                </m:ctrlPr>
              </m:dPr>
              <m:e>
                <m:f>
                  <m:fPr>
                    <m:type m:val="lin"/>
                    <m:ctrlPr>
                      <w:rPr>
                        <w:rFonts w:ascii="Cambria Math" w:hAnsi="Cambria Math"/>
                        <w:bCs/>
                      </w:rPr>
                    </m:ctrlPr>
                  </m:fPr>
                  <m:num>
                    <m:r>
                      <w:rPr>
                        <w:rFonts w:ascii="Cambria Math" w:hAnsi="Cambria Math"/>
                      </w:rPr>
                      <m:t>a</m:t>
                    </m:r>
                  </m:num>
                  <m:den>
                    <m:r>
                      <w:rPr>
                        <w:rFonts w:ascii="Cambria Math" w:hAnsi="Cambria Math"/>
                      </w:rPr>
                      <m:t>t</m:t>
                    </m:r>
                  </m:den>
                </m:f>
              </m:e>
            </m:d>
          </m:e>
          <m:sup>
            <m:r>
              <w:rPr>
                <w:rFonts w:ascii="Cambria Math" w:hAnsi="Cambria Math"/>
              </w:rPr>
              <m:t>3</m:t>
            </m:r>
          </m:sup>
        </m:sSup>
      </m:oMath>
      <w:r w:rsidRPr="00BC31E0">
        <w:rPr>
          <w:rFonts w:ascii="ＭＳ 明朝"/>
        </w:rPr>
        <w:t xml:space="preserve"> </w:t>
      </w:r>
    </w:p>
    <w:p w14:paraId="7CAADFE7" w14:textId="77777777" w:rsidR="00F52111" w:rsidRPr="00BC31E0" w:rsidRDefault="00F52111" w:rsidP="00867B8D">
      <w:pPr>
        <w:tabs>
          <w:tab w:val="left" w:pos="1843"/>
          <w:tab w:val="left" w:leader="middleDot" w:pos="8505"/>
        </w:tabs>
        <w:spacing w:before="120"/>
        <w:rPr>
          <w:rFonts w:asciiTheme="minorHAnsi" w:hAnsiTheme="minorHAnsi"/>
        </w:rPr>
      </w:pPr>
      <w:r w:rsidRPr="00BC31E0">
        <w:rPr>
          <w:rFonts w:ascii="ＭＳ 明朝" w:hint="eastAsia"/>
          <w:bCs/>
        </w:rPr>
        <w:tab/>
      </w:r>
      <m:oMath>
        <m:sSub>
          <m:sSubPr>
            <m:ctrlPr>
              <w:rPr>
                <w:rFonts w:ascii="Cambria Math" w:hAnsi="Cambria Math"/>
                <w:bCs/>
              </w:rPr>
            </m:ctrlPr>
          </m:sSubPr>
          <m:e>
            <m:r>
              <w:rPr>
                <w:rFonts w:ascii="Cambria Math" w:hAnsi="Cambria Math"/>
              </w:rPr>
              <m:t>F</m:t>
            </m:r>
          </m:e>
          <m:sub>
            <m:r>
              <w:rPr>
                <w:rFonts w:ascii="Cambria Math" w:hAnsi="Cambria Math"/>
              </w:rPr>
              <m:t>3</m:t>
            </m:r>
          </m:sub>
        </m:sSub>
        <m:r>
          <w:rPr>
            <w:rFonts w:ascii="Cambria Math" w:hAnsi="Cambria Math"/>
          </w:rPr>
          <m:t xml:space="preserve">=1.0528+0.1065 </m:t>
        </m:r>
        <m:d>
          <m:dPr>
            <m:ctrlPr>
              <w:rPr>
                <w:rFonts w:ascii="Cambria Math" w:hAnsi="Cambria Math"/>
                <w:bCs/>
              </w:rPr>
            </m:ctrlPr>
          </m:dPr>
          <m:e>
            <m:f>
              <m:fPr>
                <m:type m:val="lin"/>
                <m:ctrlPr>
                  <w:rPr>
                    <w:rFonts w:ascii="Cambria Math" w:hAnsi="Cambria Math"/>
                    <w:bCs/>
                  </w:rPr>
                </m:ctrlPr>
              </m:fPr>
              <m:num>
                <m:r>
                  <w:rPr>
                    <w:rFonts w:ascii="Cambria Math" w:hAnsi="Cambria Math"/>
                  </w:rPr>
                  <m:t>a</m:t>
                </m:r>
              </m:num>
              <m:den>
                <m:r>
                  <w:rPr>
                    <w:rFonts w:ascii="Cambria Math" w:hAnsi="Cambria Math"/>
                  </w:rPr>
                  <m:t>t</m:t>
                </m:r>
              </m:den>
            </m:f>
          </m:e>
        </m:d>
        <m:r>
          <w:rPr>
            <w:rFonts w:ascii="Cambria Math" w:hAnsi="Cambria Math"/>
          </w:rPr>
          <m:t xml:space="preserve">+0.4429 </m:t>
        </m:r>
        <m:sSup>
          <m:sSupPr>
            <m:ctrlPr>
              <w:rPr>
                <w:rFonts w:ascii="Cambria Math" w:hAnsi="Cambria Math"/>
                <w:bCs/>
              </w:rPr>
            </m:ctrlPr>
          </m:sSupPr>
          <m:e>
            <m:d>
              <m:dPr>
                <m:ctrlPr>
                  <w:rPr>
                    <w:rFonts w:ascii="Cambria Math" w:hAnsi="Cambria Math"/>
                    <w:bCs/>
                  </w:rPr>
                </m:ctrlPr>
              </m:dPr>
              <m:e>
                <m:f>
                  <m:fPr>
                    <m:type m:val="lin"/>
                    <m:ctrlPr>
                      <w:rPr>
                        <w:rFonts w:ascii="Cambria Math" w:hAnsi="Cambria Math"/>
                        <w:bCs/>
                      </w:rPr>
                    </m:ctrlPr>
                  </m:fPr>
                  <m:num>
                    <m:r>
                      <w:rPr>
                        <w:rFonts w:ascii="Cambria Math" w:hAnsi="Cambria Math"/>
                      </w:rPr>
                      <m:t>a</m:t>
                    </m:r>
                  </m:num>
                  <m:den>
                    <m:r>
                      <w:rPr>
                        <w:rFonts w:ascii="Cambria Math" w:hAnsi="Cambria Math"/>
                      </w:rPr>
                      <m:t>t</m:t>
                    </m:r>
                  </m:den>
                </m:f>
              </m:e>
            </m:d>
          </m:e>
          <m:sup>
            <m:r>
              <w:rPr>
                <w:rFonts w:ascii="Cambria Math" w:hAnsi="Cambria Math"/>
              </w:rPr>
              <m:t>2</m:t>
            </m:r>
          </m:sup>
        </m:sSup>
        <m:r>
          <w:rPr>
            <w:rFonts w:ascii="Cambria Math" w:hAnsi="Cambria Math"/>
          </w:rPr>
          <m:t xml:space="preserve">+0.6042 </m:t>
        </m:r>
        <m:sSup>
          <m:sSupPr>
            <m:ctrlPr>
              <w:rPr>
                <w:rFonts w:ascii="Cambria Math" w:hAnsi="Cambria Math"/>
                <w:bCs/>
              </w:rPr>
            </m:ctrlPr>
          </m:sSupPr>
          <m:e>
            <m:d>
              <m:dPr>
                <m:ctrlPr>
                  <w:rPr>
                    <w:rFonts w:ascii="Cambria Math" w:hAnsi="Cambria Math"/>
                    <w:bCs/>
                  </w:rPr>
                </m:ctrlPr>
              </m:dPr>
              <m:e>
                <m:f>
                  <m:fPr>
                    <m:type m:val="lin"/>
                    <m:ctrlPr>
                      <w:rPr>
                        <w:rFonts w:ascii="Cambria Math" w:hAnsi="Cambria Math"/>
                        <w:bCs/>
                      </w:rPr>
                    </m:ctrlPr>
                  </m:fPr>
                  <m:num>
                    <m:r>
                      <w:rPr>
                        <w:rFonts w:ascii="Cambria Math" w:hAnsi="Cambria Math"/>
                      </w:rPr>
                      <m:t>a</m:t>
                    </m:r>
                  </m:num>
                  <m:den>
                    <m:r>
                      <w:rPr>
                        <w:rFonts w:ascii="Cambria Math" w:hAnsi="Cambria Math"/>
                      </w:rPr>
                      <m:t>t</m:t>
                    </m:r>
                  </m:den>
                </m:f>
              </m:e>
            </m:d>
          </m:e>
          <m:sup>
            <m:r>
              <w:rPr>
                <w:rFonts w:ascii="Cambria Math" w:hAnsi="Cambria Math"/>
              </w:rPr>
              <m:t>3</m:t>
            </m:r>
          </m:sup>
        </m:sSup>
      </m:oMath>
      <w:r w:rsidRPr="00BC31E0">
        <w:rPr>
          <w:rFonts w:asciiTheme="minorHAnsi" w:hAnsiTheme="minorHAnsi"/>
        </w:rPr>
        <w:tab/>
        <w:t>(</w:t>
      </w:r>
      <w:r w:rsidRPr="00BC31E0">
        <w:rPr>
          <w:rFonts w:asciiTheme="minorHAnsi" w:hAnsiTheme="minorHAnsi" w:hint="eastAsia"/>
        </w:rPr>
        <w:t>19</w:t>
      </w:r>
      <w:r w:rsidRPr="00BC31E0">
        <w:rPr>
          <w:rFonts w:asciiTheme="minorHAnsi" w:hAnsiTheme="minorHAnsi"/>
        </w:rPr>
        <w:t>)</w:t>
      </w:r>
    </w:p>
    <w:p w14:paraId="425C8BC5" w14:textId="77777777" w:rsidR="00F52111" w:rsidRPr="00BC31E0" w:rsidRDefault="00F52111" w:rsidP="00867B8D">
      <w:pPr>
        <w:tabs>
          <w:tab w:val="left" w:pos="1843"/>
        </w:tabs>
        <w:spacing w:before="120"/>
        <w:rPr>
          <w:rFonts w:ascii="ＭＳ 明朝"/>
        </w:rPr>
      </w:pPr>
      <w:r w:rsidRPr="00BC31E0">
        <w:rPr>
          <w:rFonts w:asciiTheme="minorHAnsi" w:hAnsiTheme="minorHAnsi" w:hint="eastAsia"/>
          <w:bCs/>
        </w:rPr>
        <w:tab/>
      </w:r>
      <m:oMath>
        <m:sSub>
          <m:sSubPr>
            <m:ctrlPr>
              <w:rPr>
                <w:rFonts w:ascii="Cambria Math" w:hAnsi="Cambria Math"/>
                <w:bCs/>
              </w:rPr>
            </m:ctrlPr>
          </m:sSubPr>
          <m:e>
            <m:r>
              <w:rPr>
                <w:rFonts w:ascii="Cambria Math" w:hAnsi="Cambria Math"/>
              </w:rPr>
              <m:t>F</m:t>
            </m:r>
          </m:e>
          <m:sub>
            <m:r>
              <w:rPr>
                <w:rFonts w:ascii="Cambria Math" w:hAnsi="Cambria Math"/>
              </w:rPr>
              <m:t>4</m:t>
            </m:r>
          </m:sub>
        </m:sSub>
        <m:r>
          <w:rPr>
            <w:rFonts w:ascii="Cambria Math" w:hAnsi="Cambria Math"/>
          </w:rPr>
          <m:t xml:space="preserve">=1.0387-0.0939 </m:t>
        </m:r>
        <m:d>
          <m:dPr>
            <m:ctrlPr>
              <w:rPr>
                <w:rFonts w:ascii="Cambria Math" w:hAnsi="Cambria Math"/>
                <w:bCs/>
              </w:rPr>
            </m:ctrlPr>
          </m:dPr>
          <m:e>
            <m:f>
              <m:fPr>
                <m:type m:val="lin"/>
                <m:ctrlPr>
                  <w:rPr>
                    <w:rFonts w:ascii="Cambria Math" w:hAnsi="Cambria Math"/>
                    <w:bCs/>
                  </w:rPr>
                </m:ctrlPr>
              </m:fPr>
              <m:num>
                <m:r>
                  <w:rPr>
                    <w:rFonts w:ascii="Cambria Math" w:hAnsi="Cambria Math"/>
                  </w:rPr>
                  <m:t>a</m:t>
                </m:r>
              </m:num>
              <m:den>
                <m:r>
                  <w:rPr>
                    <w:rFonts w:ascii="Cambria Math" w:hAnsi="Cambria Math"/>
                  </w:rPr>
                  <m:t>t</m:t>
                </m:r>
              </m:den>
            </m:f>
          </m:e>
        </m:d>
        <m:r>
          <w:rPr>
            <w:rFonts w:ascii="Cambria Math" w:hAnsi="Cambria Math"/>
          </w:rPr>
          <m:t xml:space="preserve">+0.6018 </m:t>
        </m:r>
        <m:sSup>
          <m:sSupPr>
            <m:ctrlPr>
              <w:rPr>
                <w:rFonts w:ascii="Cambria Math" w:hAnsi="Cambria Math"/>
                <w:bCs/>
              </w:rPr>
            </m:ctrlPr>
          </m:sSupPr>
          <m:e>
            <m:d>
              <m:dPr>
                <m:ctrlPr>
                  <w:rPr>
                    <w:rFonts w:ascii="Cambria Math" w:hAnsi="Cambria Math"/>
                    <w:bCs/>
                  </w:rPr>
                </m:ctrlPr>
              </m:dPr>
              <m:e>
                <m:f>
                  <m:fPr>
                    <m:type m:val="lin"/>
                    <m:ctrlPr>
                      <w:rPr>
                        <w:rFonts w:ascii="Cambria Math" w:hAnsi="Cambria Math"/>
                        <w:bCs/>
                      </w:rPr>
                    </m:ctrlPr>
                  </m:fPr>
                  <m:num>
                    <m:r>
                      <w:rPr>
                        <w:rFonts w:ascii="Cambria Math" w:hAnsi="Cambria Math"/>
                      </w:rPr>
                      <m:t>a</m:t>
                    </m:r>
                  </m:num>
                  <m:den>
                    <m:r>
                      <w:rPr>
                        <w:rFonts w:ascii="Cambria Math" w:hAnsi="Cambria Math"/>
                      </w:rPr>
                      <m:t>t</m:t>
                    </m:r>
                  </m:den>
                </m:f>
              </m:e>
            </m:d>
          </m:e>
          <m:sup>
            <m:r>
              <w:rPr>
                <w:rFonts w:ascii="Cambria Math" w:hAnsi="Cambria Math"/>
              </w:rPr>
              <m:t>2</m:t>
            </m:r>
          </m:sup>
        </m:sSup>
        <m:r>
          <w:rPr>
            <w:rFonts w:ascii="Cambria Math" w:hAnsi="Cambria Math"/>
          </w:rPr>
          <m:t xml:space="preserve">+0.3750 </m:t>
        </m:r>
        <m:sSup>
          <m:sSupPr>
            <m:ctrlPr>
              <w:rPr>
                <w:rFonts w:ascii="Cambria Math" w:hAnsi="Cambria Math"/>
                <w:bCs/>
              </w:rPr>
            </m:ctrlPr>
          </m:sSupPr>
          <m:e>
            <m:d>
              <m:dPr>
                <m:ctrlPr>
                  <w:rPr>
                    <w:rFonts w:ascii="Cambria Math" w:hAnsi="Cambria Math"/>
                    <w:bCs/>
                  </w:rPr>
                </m:ctrlPr>
              </m:dPr>
              <m:e>
                <m:f>
                  <m:fPr>
                    <m:type m:val="lin"/>
                    <m:ctrlPr>
                      <w:rPr>
                        <w:rFonts w:ascii="Cambria Math" w:hAnsi="Cambria Math"/>
                        <w:bCs/>
                      </w:rPr>
                    </m:ctrlPr>
                  </m:fPr>
                  <m:num>
                    <m:r>
                      <w:rPr>
                        <w:rFonts w:ascii="Cambria Math" w:hAnsi="Cambria Math"/>
                      </w:rPr>
                      <m:t>a</m:t>
                    </m:r>
                  </m:num>
                  <m:den>
                    <m:r>
                      <w:rPr>
                        <w:rFonts w:ascii="Cambria Math" w:hAnsi="Cambria Math"/>
                      </w:rPr>
                      <m:t>t</m:t>
                    </m:r>
                  </m:den>
                </m:f>
              </m:e>
            </m:d>
          </m:e>
          <m:sup>
            <m:r>
              <w:rPr>
                <w:rFonts w:ascii="Cambria Math" w:hAnsi="Cambria Math"/>
              </w:rPr>
              <m:t>3</m:t>
            </m:r>
          </m:sup>
        </m:sSup>
      </m:oMath>
      <w:r w:rsidRPr="00BC31E0">
        <w:rPr>
          <w:rFonts w:ascii="ＭＳ 明朝"/>
        </w:rPr>
        <w:t xml:space="preserve"> </w:t>
      </w:r>
    </w:p>
    <w:p w14:paraId="736ACFDE" w14:textId="77777777" w:rsidR="00867B8D" w:rsidRPr="00BC31E0" w:rsidRDefault="00F52111" w:rsidP="00736130">
      <w:pPr>
        <w:pStyle w:val="a4"/>
        <w:numPr>
          <w:ilvl w:val="0"/>
          <w:numId w:val="366"/>
        </w:numPr>
        <w:spacing w:before="120"/>
        <w:ind w:leftChars="0" w:left="454" w:hanging="454"/>
      </w:pPr>
      <w:r w:rsidRPr="00BC31E0">
        <w:rPr>
          <w:rFonts w:hint="eastAsia"/>
        </w:rPr>
        <w:t>考えている領域の応力分布を</w:t>
      </w:r>
      <w:r w:rsidRPr="00BC31E0">
        <w:rPr>
          <w:rFonts w:asciiTheme="majorEastAsia" w:eastAsiaTheme="majorEastAsia" w:hAnsiTheme="majorEastAsia" w:hint="eastAsia"/>
          <w:b/>
        </w:rPr>
        <w:t>式</w:t>
      </w:r>
      <w:r w:rsidRPr="00BC31E0">
        <w:rPr>
          <w:rFonts w:asciiTheme="majorEastAsia" w:eastAsiaTheme="majorEastAsia" w:hAnsiTheme="majorEastAsia"/>
          <w:b/>
        </w:rPr>
        <w:t>(</w:t>
      </w:r>
      <w:r w:rsidRPr="00BC31E0">
        <w:rPr>
          <w:rFonts w:asciiTheme="majorEastAsia" w:eastAsiaTheme="majorEastAsia" w:hAnsiTheme="majorEastAsia" w:hint="eastAsia"/>
          <w:b/>
        </w:rPr>
        <w:t>16</w:t>
      </w:r>
      <w:r w:rsidRPr="00BC31E0">
        <w:rPr>
          <w:rFonts w:asciiTheme="majorEastAsia" w:eastAsiaTheme="majorEastAsia" w:hAnsiTheme="majorEastAsia"/>
          <w:b/>
        </w:rPr>
        <w:t>)</w:t>
      </w:r>
      <w:r w:rsidRPr="00BC31E0">
        <w:rPr>
          <w:rFonts w:hint="eastAsia"/>
        </w:rPr>
        <w:t>の</w:t>
      </w:r>
      <w:r w:rsidRPr="00BC31E0">
        <w:t>3</w:t>
      </w:r>
      <w:r w:rsidRPr="00BC31E0">
        <w:rPr>
          <w:rFonts w:hint="eastAsia"/>
        </w:rPr>
        <w:t>次多項式で十分に近似できない場合には，幾つかの領域に分けて考える。</w:t>
      </w:r>
      <w:r w:rsidRPr="00BC31E0">
        <w:rPr>
          <w:rFonts w:asciiTheme="majorEastAsia" w:eastAsiaTheme="majorEastAsia" w:hAnsiTheme="majorEastAsia" w:hint="eastAsia"/>
          <w:b/>
        </w:rPr>
        <w:t>図</w:t>
      </w:r>
      <w:r w:rsidRPr="00BC31E0">
        <w:rPr>
          <w:rFonts w:asciiTheme="majorEastAsia" w:eastAsiaTheme="majorEastAsia" w:hAnsiTheme="majorEastAsia"/>
          <w:b/>
        </w:rPr>
        <w:t>C.3</w:t>
      </w:r>
      <w:r w:rsidRPr="00BC31E0">
        <w:rPr>
          <w:rFonts w:hint="eastAsia"/>
        </w:rPr>
        <w:t>に，二つの領域に分けた例を示す。この場合には，それぞれの領域の応力分布が定数の異なる多項式で近似され，各領域において</w:t>
      </w:r>
      <w:r w:rsidRPr="00BC31E0">
        <w:rPr>
          <w:rFonts w:asciiTheme="majorEastAsia" w:eastAsiaTheme="majorEastAsia" w:hAnsiTheme="majorEastAsia" w:hint="eastAsia"/>
          <w:b/>
        </w:rPr>
        <w:t>式</w:t>
      </w:r>
      <w:r w:rsidRPr="00BC31E0">
        <w:rPr>
          <w:rFonts w:asciiTheme="majorEastAsia" w:eastAsiaTheme="majorEastAsia" w:hAnsiTheme="majorEastAsia"/>
          <w:b/>
        </w:rPr>
        <w:t>(</w:t>
      </w:r>
      <w:r w:rsidRPr="00BC31E0">
        <w:rPr>
          <w:rFonts w:asciiTheme="majorEastAsia" w:eastAsiaTheme="majorEastAsia" w:hAnsiTheme="majorEastAsia" w:hint="eastAsia"/>
          <w:b/>
        </w:rPr>
        <w:t>17</w:t>
      </w:r>
      <w:r w:rsidRPr="00BC31E0">
        <w:rPr>
          <w:rFonts w:asciiTheme="majorEastAsia" w:eastAsiaTheme="majorEastAsia" w:hAnsiTheme="majorEastAsia"/>
          <w:b/>
        </w:rPr>
        <w:t>)</w:t>
      </w:r>
      <w:r w:rsidRPr="00BC31E0">
        <w:rPr>
          <w:rFonts w:hint="eastAsia"/>
        </w:rPr>
        <w:t>で</w:t>
      </w:r>
      <m:oMath>
        <m:sSub>
          <m:sSubPr>
            <m:ctrlPr>
              <w:rPr>
                <w:rFonts w:ascii="Cambria Math" w:hAnsi="Cambria Math"/>
              </w:rPr>
            </m:ctrlPr>
          </m:sSubPr>
          <m:e>
            <m:r>
              <m:rPr>
                <m:sty m:val="p"/>
              </m:rPr>
              <w:rPr>
                <w:rFonts w:ascii="Cambria Math" w:hAnsi="Cambria Math" w:hint="eastAsia"/>
              </w:rPr>
              <m:t xml:space="preserve"> </m:t>
            </m:r>
            <m:r>
              <w:rPr>
                <w:rFonts w:ascii="Cambria Math" w:hAnsi="Cambria Math"/>
              </w:rPr>
              <m:t>K</m:t>
            </m:r>
          </m:e>
          <m:sub>
            <m:r>
              <m:rPr>
                <m:sty m:val="p"/>
              </m:rPr>
              <w:rPr>
                <w:rFonts w:ascii="Cambria Math" w:hAnsi="Cambria Math"/>
              </w:rPr>
              <m:t>I</m:t>
            </m:r>
          </m:sub>
        </m:sSub>
        <m:r>
          <m:rPr>
            <m:sty m:val="p"/>
          </m:rPr>
          <w:rPr>
            <w:rFonts w:ascii="Cambria Math" w:hAnsi="Cambria Math" w:hint="eastAsia"/>
          </w:rPr>
          <m:t xml:space="preserve"> </m:t>
        </m:r>
      </m:oMath>
      <w:r w:rsidRPr="00BC31E0">
        <w:rPr>
          <w:rFonts w:hint="eastAsia"/>
        </w:rPr>
        <w:t>を決定する。</w:t>
      </w:r>
    </w:p>
    <w:p w14:paraId="63B5668A" w14:textId="77777777" w:rsidR="00281E75" w:rsidRPr="00BC31E0" w:rsidRDefault="00F52111" w:rsidP="00736130">
      <w:pPr>
        <w:pStyle w:val="a4"/>
        <w:numPr>
          <w:ilvl w:val="0"/>
          <w:numId w:val="366"/>
        </w:numPr>
        <w:ind w:leftChars="0" w:left="454" w:hanging="454"/>
      </w:pPr>
      <w:r w:rsidRPr="00BC31E0">
        <w:rPr>
          <w:rFonts w:ascii="ＭＳ 明朝" w:hAnsi="ＭＳ 明朝" w:hint="eastAsia"/>
          <w:bCs/>
        </w:rPr>
        <w:t>領域の境界で，応力拡大係数の値に不連続性が生じないようにする。</w:t>
      </w:r>
      <w:r w:rsidRPr="00BC31E0">
        <w:rPr>
          <w:rFonts w:asciiTheme="majorEastAsia" w:eastAsiaTheme="majorEastAsia" w:hAnsiTheme="majorEastAsia" w:hint="eastAsia"/>
          <w:b/>
        </w:rPr>
        <w:t>図</w:t>
      </w:r>
      <w:r w:rsidRPr="00BC31E0">
        <w:rPr>
          <w:rFonts w:asciiTheme="majorEastAsia" w:eastAsiaTheme="majorEastAsia" w:hAnsiTheme="majorEastAsia"/>
          <w:b/>
        </w:rPr>
        <w:t>C.4</w:t>
      </w:r>
      <w:r w:rsidRPr="00BC31E0">
        <w:rPr>
          <w:rFonts w:ascii="ＭＳ 明朝" w:hAnsi="ＭＳ 明朝" w:hint="eastAsia"/>
          <w:bCs/>
        </w:rPr>
        <w:t>に，領域境界における不連続な応力拡大係数の補正方法を示す。各領域において応力分布を</w:t>
      </w:r>
      <w:r w:rsidRPr="00BC31E0">
        <w:rPr>
          <w:bCs/>
        </w:rPr>
        <w:t>3</w:t>
      </w:r>
      <w:r w:rsidRPr="00BC31E0">
        <w:rPr>
          <w:rFonts w:ascii="ＭＳ 明朝" w:hAnsi="ＭＳ 明朝" w:hint="eastAsia"/>
          <w:bCs/>
        </w:rPr>
        <w:t>次多項式で近似したときの定数は異なるため，領域境界では応力拡大係数の値は異なる。</w:t>
      </w:r>
    </w:p>
    <w:p w14:paraId="412BB5BE" w14:textId="77777777" w:rsidR="00F52111" w:rsidRPr="00BC31E0" w:rsidRDefault="00F52111" w:rsidP="00BB7822">
      <w:pPr>
        <w:spacing w:after="120"/>
        <w:ind w:left="454" w:firstLineChars="100" w:firstLine="210"/>
      </w:pPr>
      <w:r w:rsidRPr="00BC31E0">
        <w:rPr>
          <w:rFonts w:ascii="ＭＳ 明朝" w:hAnsi="ＭＳ 明朝" w:hint="eastAsia"/>
          <w:bCs/>
        </w:rPr>
        <w:t>このため，例えば，領域</w:t>
      </w:r>
      <w:r w:rsidRPr="00BC31E0">
        <w:rPr>
          <w:bCs/>
        </w:rPr>
        <w:t>2</w:t>
      </w:r>
      <w:r w:rsidRPr="00BC31E0">
        <w:rPr>
          <w:rFonts w:ascii="ＭＳ 明朝" w:hAnsi="ＭＳ 明朝" w:hint="eastAsia"/>
          <w:bCs/>
          <w:sz w:val="22"/>
          <w:szCs w:val="22"/>
        </w:rPr>
        <w:t>における応力拡大係数</w:t>
      </w:r>
      <m:oMath>
        <m:sSub>
          <m:sSubPr>
            <m:ctrlPr>
              <w:rPr>
                <w:rFonts w:ascii="Cambria Math" w:hAnsi="Cambria Math"/>
                <w:bCs/>
                <w:i/>
              </w:rPr>
            </m:ctrlPr>
          </m:sSubPr>
          <m:e>
            <m:r>
              <w:rPr>
                <w:rFonts w:ascii="Cambria Math" w:hAnsi="Cambria Math"/>
              </w:rPr>
              <m:t xml:space="preserve"> </m:t>
            </m:r>
            <m:r>
              <w:rPr>
                <w:rFonts w:ascii="Cambria Math" w:hAnsi="Cambria Math" w:hint="eastAsia"/>
              </w:rPr>
              <m:t>K</m:t>
            </m:r>
          </m:e>
          <m:sub>
            <m:r>
              <m:rPr>
                <m:sty m:val="p"/>
              </m:rPr>
              <w:rPr>
                <w:rFonts w:ascii="Cambria Math" w:hAnsi="Cambria Math"/>
              </w:rPr>
              <m:t>I</m:t>
            </m:r>
            <m:r>
              <w:rPr>
                <w:rFonts w:ascii="Cambria Math" w:hAnsi="Cambria Math"/>
              </w:rPr>
              <m:t>corr,2</m:t>
            </m:r>
          </m:sub>
        </m:sSub>
        <m:r>
          <w:rPr>
            <w:rFonts w:ascii="Cambria Math" w:hAnsi="Cambria Math"/>
          </w:rPr>
          <m:t xml:space="preserve"> </m:t>
        </m:r>
      </m:oMath>
      <w:r w:rsidRPr="00BC31E0">
        <w:rPr>
          <w:rFonts w:ascii="ＭＳ 明朝" w:hAnsi="ＭＳ 明朝" w:hint="eastAsia"/>
          <w:bCs/>
          <w:sz w:val="22"/>
          <w:szCs w:val="22"/>
        </w:rPr>
        <w:t>は，領域</w:t>
      </w:r>
      <w:r w:rsidRPr="00BC31E0">
        <w:rPr>
          <w:bCs/>
          <w:sz w:val="22"/>
          <w:szCs w:val="22"/>
        </w:rPr>
        <w:t>2</w:t>
      </w:r>
      <w:r w:rsidRPr="00BC31E0">
        <w:rPr>
          <w:rFonts w:ascii="ＭＳ 明朝" w:hAnsi="ＭＳ 明朝" w:hint="eastAsia"/>
          <w:bCs/>
          <w:sz w:val="22"/>
          <w:szCs w:val="22"/>
        </w:rPr>
        <w:t>の応力分布から求めた応力拡大係数</w:t>
      </w:r>
      <m:oMath>
        <m:sSub>
          <m:sSubPr>
            <m:ctrlPr>
              <w:rPr>
                <w:rFonts w:ascii="Cambria Math" w:hAnsi="Cambria Math"/>
                <w:bCs/>
                <w:i/>
              </w:rPr>
            </m:ctrlPr>
          </m:sSubPr>
          <m:e>
            <m:r>
              <w:rPr>
                <w:rFonts w:ascii="Cambria Math" w:hAnsi="Cambria Math"/>
              </w:rPr>
              <m:t xml:space="preserve"> K</m:t>
            </m:r>
          </m:e>
          <m:sub>
            <m:r>
              <m:rPr>
                <m:sty m:val="p"/>
              </m:rPr>
              <w:rPr>
                <w:rFonts w:ascii="Cambria Math" w:hAnsi="Cambria Math"/>
              </w:rPr>
              <m:t>I</m:t>
            </m:r>
            <m:r>
              <w:rPr>
                <w:rFonts w:ascii="Cambria Math" w:hAnsi="Cambria Math"/>
              </w:rPr>
              <m:t>,</m:t>
            </m:r>
            <m:r>
              <w:rPr>
                <w:rFonts w:ascii="Cambria Math" w:hAnsi="Cambria Math" w:hint="eastAsia"/>
              </w:rPr>
              <m:t>2</m:t>
            </m:r>
          </m:sub>
        </m:sSub>
        <m:r>
          <w:rPr>
            <w:rFonts w:ascii="Cambria Math" w:hAnsi="Cambria Math" w:hint="eastAsia"/>
          </w:rPr>
          <m:t xml:space="preserve"> </m:t>
        </m:r>
      </m:oMath>
      <w:r w:rsidRPr="00BC31E0">
        <w:rPr>
          <w:rFonts w:ascii="ＭＳ 明朝" w:hAnsi="ＭＳ 明朝" w:hint="eastAsia"/>
          <w:bCs/>
        </w:rPr>
        <w:t>に，領域境界における応力拡大係数の差</w:t>
      </w:r>
      <m:oMath>
        <m:sSub>
          <m:sSubPr>
            <m:ctrlPr>
              <w:rPr>
                <w:rFonts w:ascii="Cambria Math" w:hAnsi="Cambria Math"/>
                <w:bCs/>
                <w:i/>
              </w:rPr>
            </m:ctrlPr>
          </m:sSubPr>
          <m:e>
            <m:r>
              <w:rPr>
                <w:rFonts w:ascii="Cambria Math" w:hAnsi="Cambria Math"/>
              </w:rPr>
              <m:t xml:space="preserve"> ∆K</m:t>
            </m:r>
          </m:e>
          <m:sub>
            <m:r>
              <w:rPr>
                <w:rFonts w:ascii="Cambria Math" w:hAnsi="Cambria Math" w:hint="eastAsia"/>
              </w:rPr>
              <m:t>1</m:t>
            </m:r>
            <m:r>
              <w:rPr>
                <w:rFonts w:ascii="Cambria Math" w:hAnsi="Cambria Math"/>
              </w:rPr>
              <m:t>,</m:t>
            </m:r>
            <m:r>
              <w:rPr>
                <w:rFonts w:ascii="Cambria Math" w:hAnsi="Cambria Math" w:hint="eastAsia"/>
              </w:rPr>
              <m:t>2</m:t>
            </m:r>
          </m:sub>
        </m:sSub>
        <m:d>
          <m:dPr>
            <m:ctrlPr>
              <w:rPr>
                <w:rFonts w:ascii="Cambria Math" w:hAnsi="Cambria Math"/>
                <w:bCs/>
                <w:i/>
              </w:rPr>
            </m:ctrlPr>
          </m:dPr>
          <m:e>
            <m:r>
              <w:rPr>
                <w:rFonts w:ascii="Cambria Math" w:hAnsi="Cambria Math"/>
              </w:rPr>
              <m:t>=</m:t>
            </m:r>
            <m:sSub>
              <m:sSubPr>
                <m:ctrlPr>
                  <w:rPr>
                    <w:rFonts w:ascii="Cambria Math" w:hAnsi="Cambria Math"/>
                    <w:bCs/>
                    <w:i/>
                  </w:rPr>
                </m:ctrlPr>
              </m:sSubPr>
              <m:e>
                <m:r>
                  <w:rPr>
                    <w:rFonts w:ascii="Cambria Math" w:hAnsi="Cambria Math"/>
                  </w:rPr>
                  <m:t>K</m:t>
                </m:r>
              </m:e>
              <m:sub>
                <m:r>
                  <m:rPr>
                    <m:sty m:val="p"/>
                  </m:rPr>
                  <w:rPr>
                    <w:rFonts w:ascii="Cambria Math" w:hAnsi="Cambria Math"/>
                  </w:rPr>
                  <m:t>I</m:t>
                </m:r>
                <m:r>
                  <w:rPr>
                    <w:rFonts w:ascii="Cambria Math" w:hAnsi="Cambria Math"/>
                  </w:rPr>
                  <m:t>,</m:t>
                </m:r>
                <m:r>
                  <w:rPr>
                    <w:rFonts w:ascii="Cambria Math" w:hAnsi="Cambria Math" w:hint="eastAsia"/>
                  </w:rPr>
                  <m:t>1</m:t>
                </m:r>
              </m:sub>
            </m:sSub>
            <m:r>
              <w:rPr>
                <w:rFonts w:ascii="Cambria Math" w:hAnsi="Cambria Math"/>
              </w:rPr>
              <m:t>-</m:t>
            </m:r>
            <m:sSub>
              <m:sSubPr>
                <m:ctrlPr>
                  <w:rPr>
                    <w:rFonts w:ascii="Cambria Math" w:hAnsi="Cambria Math"/>
                    <w:bCs/>
                    <w:i/>
                  </w:rPr>
                </m:ctrlPr>
              </m:sSubPr>
              <m:e>
                <m:r>
                  <w:rPr>
                    <w:rFonts w:ascii="Cambria Math" w:hAnsi="Cambria Math"/>
                  </w:rPr>
                  <m:t>K</m:t>
                </m:r>
              </m:e>
              <m:sub>
                <m:r>
                  <m:rPr>
                    <m:sty m:val="p"/>
                  </m:rPr>
                  <w:rPr>
                    <w:rFonts w:ascii="Cambria Math" w:hAnsi="Cambria Math"/>
                  </w:rPr>
                  <m:t>I</m:t>
                </m:r>
                <m:r>
                  <w:rPr>
                    <w:rFonts w:ascii="Cambria Math" w:hAnsi="Cambria Math"/>
                  </w:rPr>
                  <m:t>,2</m:t>
                </m:r>
              </m:sub>
            </m:sSub>
          </m:e>
        </m:d>
        <m:r>
          <w:rPr>
            <w:rFonts w:ascii="Cambria Math" w:hAnsi="Cambria Math"/>
          </w:rPr>
          <m:t xml:space="preserve"> </m:t>
        </m:r>
      </m:oMath>
      <w:r w:rsidRPr="00BC31E0">
        <w:rPr>
          <w:rFonts w:ascii="ＭＳ 明朝" w:hAnsi="ＭＳ 明朝" w:hint="eastAsia"/>
          <w:bCs/>
        </w:rPr>
        <w:t>を加算して，</w:t>
      </w:r>
      <m:oMath>
        <m:sSub>
          <m:sSubPr>
            <m:ctrlPr>
              <w:rPr>
                <w:rFonts w:ascii="Cambria Math" w:hAnsi="Cambria Math"/>
                <w:bCs/>
                <w:i/>
              </w:rPr>
            </m:ctrlPr>
          </m:sSubPr>
          <m:e>
            <m:r>
              <w:rPr>
                <w:rFonts w:ascii="Cambria Math" w:hAnsi="Cambria Math"/>
              </w:rPr>
              <m:t xml:space="preserve"> </m:t>
            </m:r>
            <m:r>
              <w:rPr>
                <w:rFonts w:ascii="Cambria Math" w:hAnsi="Cambria Math" w:hint="eastAsia"/>
              </w:rPr>
              <m:t>K</m:t>
            </m:r>
          </m:e>
          <m:sub>
            <m:r>
              <m:rPr>
                <m:sty m:val="p"/>
              </m:rPr>
              <w:rPr>
                <w:rFonts w:ascii="Cambria Math" w:hAnsi="Cambria Math"/>
              </w:rPr>
              <m:t>I</m:t>
            </m:r>
            <m:r>
              <w:rPr>
                <w:rFonts w:ascii="Cambria Math" w:hAnsi="Cambria Math"/>
              </w:rPr>
              <m:t>corr,2</m:t>
            </m:r>
          </m:sub>
        </m:sSub>
        <m:r>
          <w:rPr>
            <w:rFonts w:ascii="Cambria Math" w:hAnsi="Cambria Math"/>
          </w:rPr>
          <m:t>=</m:t>
        </m:r>
        <m:sSub>
          <m:sSubPr>
            <m:ctrlPr>
              <w:rPr>
                <w:rFonts w:ascii="Cambria Math" w:hAnsi="Cambria Math"/>
                <w:bCs/>
                <w:i/>
              </w:rPr>
            </m:ctrlPr>
          </m:sSubPr>
          <m:e>
            <m:r>
              <w:rPr>
                <w:rFonts w:ascii="Cambria Math" w:hAnsi="Cambria Math"/>
              </w:rPr>
              <m:t xml:space="preserve"> </m:t>
            </m:r>
            <m:sSub>
              <m:sSubPr>
                <m:ctrlPr>
                  <w:rPr>
                    <w:rFonts w:ascii="Cambria Math" w:hAnsi="Cambria Math"/>
                    <w:bCs/>
                    <w:i/>
                  </w:rPr>
                </m:ctrlPr>
              </m:sSubPr>
              <m:e>
                <m:r>
                  <w:rPr>
                    <w:rFonts w:ascii="Cambria Math" w:hAnsi="Cambria Math"/>
                  </w:rPr>
                  <m:t xml:space="preserve"> K</m:t>
                </m:r>
              </m:e>
              <m:sub>
                <m:r>
                  <m:rPr>
                    <m:sty m:val="p"/>
                  </m:rPr>
                  <w:rPr>
                    <w:rFonts w:ascii="Cambria Math" w:hAnsi="Cambria Math"/>
                  </w:rPr>
                  <m:t>I</m:t>
                </m:r>
                <m:r>
                  <w:rPr>
                    <w:rFonts w:ascii="Cambria Math" w:hAnsi="Cambria Math"/>
                  </w:rPr>
                  <m:t>,</m:t>
                </m:r>
                <m:r>
                  <w:rPr>
                    <w:rFonts w:ascii="Cambria Math" w:hAnsi="Cambria Math" w:hint="eastAsia"/>
                  </w:rPr>
                  <m:t>2</m:t>
                </m:r>
              </m:sub>
            </m:sSub>
            <m:r>
              <m:rPr>
                <m:sty m:val="p"/>
              </m:rPr>
              <w:rPr>
                <w:rFonts w:ascii="Cambria Math" w:hAnsi="Cambria Math"/>
              </w:rPr>
              <m:t>+</m:t>
            </m:r>
            <m:r>
              <w:rPr>
                <w:rFonts w:ascii="Cambria Math" w:hAnsi="Cambria Math"/>
              </w:rPr>
              <m:t>∆K</m:t>
            </m:r>
          </m:e>
          <m:sub>
            <m:r>
              <w:rPr>
                <w:rFonts w:ascii="Cambria Math" w:hAnsi="Cambria Math" w:hint="eastAsia"/>
              </w:rPr>
              <m:t>1</m:t>
            </m:r>
            <m:r>
              <w:rPr>
                <w:rFonts w:ascii="Cambria Math" w:hAnsi="Cambria Math"/>
              </w:rPr>
              <m:t>,</m:t>
            </m:r>
            <m:r>
              <w:rPr>
                <w:rFonts w:ascii="Cambria Math" w:hAnsi="Cambria Math" w:hint="eastAsia"/>
              </w:rPr>
              <m:t>2</m:t>
            </m:r>
          </m:sub>
        </m:sSub>
        <m:r>
          <w:rPr>
            <w:rFonts w:ascii="Cambria Math" w:hAnsi="Cambria Math" w:hint="eastAsia"/>
          </w:rPr>
          <m:t xml:space="preserve"> </m:t>
        </m:r>
      </m:oMath>
      <w:r w:rsidRPr="00BC31E0">
        <w:rPr>
          <w:rFonts w:ascii="ＭＳ 明朝" w:hAnsi="ＭＳ 明朝" w:hint="eastAsia"/>
          <w:bCs/>
        </w:rPr>
        <w:t>として求め，不連続性を解消する。各領域境界でこのような補正を繰返し，</w:t>
      </w:r>
      <w:r w:rsidRPr="00BC31E0">
        <w:rPr>
          <w:rFonts w:ascii="ＭＳ 明朝" w:hAnsi="ＭＳ 明朝"/>
          <w:bCs/>
        </w:rPr>
        <w:t>領域</w:t>
      </w:r>
      <m:oMath>
        <m:r>
          <w:rPr>
            <w:rFonts w:ascii="Cambria Math" w:hAnsi="Cambria Math"/>
          </w:rPr>
          <m:t xml:space="preserve"> n </m:t>
        </m:r>
      </m:oMath>
      <w:r w:rsidRPr="00BC31E0">
        <w:rPr>
          <w:rFonts w:ascii="ＭＳ 明朝" w:hAnsi="ＭＳ 明朝" w:hint="eastAsia"/>
          <w:bCs/>
        </w:rPr>
        <w:t>における応力拡大係数</w:t>
      </w:r>
      <m:oMath>
        <m:sSub>
          <m:sSubPr>
            <m:ctrlPr>
              <w:rPr>
                <w:rFonts w:ascii="Cambria Math" w:hAnsi="Cambria Math"/>
                <w:bCs/>
                <w:i/>
              </w:rPr>
            </m:ctrlPr>
          </m:sSubPr>
          <m:e>
            <m:r>
              <w:rPr>
                <w:rFonts w:ascii="Cambria Math" w:hAnsi="Cambria Math"/>
              </w:rPr>
              <m:t xml:space="preserve"> K</m:t>
            </m:r>
          </m:e>
          <m:sub>
            <m:r>
              <m:rPr>
                <m:sty m:val="p"/>
              </m:rPr>
              <w:rPr>
                <w:rFonts w:ascii="Cambria Math" w:hAnsi="Cambria Math"/>
              </w:rPr>
              <m:t>I</m:t>
            </m:r>
            <m:r>
              <w:rPr>
                <w:rFonts w:ascii="Cambria Math" w:hAnsi="Cambria Math"/>
              </w:rPr>
              <m:t>corr,n</m:t>
            </m:r>
          </m:sub>
        </m:sSub>
        <m:r>
          <w:rPr>
            <w:rFonts w:ascii="Cambria Math" w:hAnsi="Cambria Math" w:hint="eastAsia"/>
          </w:rPr>
          <m:t xml:space="preserve"> </m:t>
        </m:r>
      </m:oMath>
      <w:r w:rsidRPr="00BC31E0">
        <w:rPr>
          <w:rFonts w:ascii="ＭＳ 明朝" w:hAnsi="ＭＳ 明朝" w:hint="eastAsia"/>
          <w:bCs/>
        </w:rPr>
        <w:t>を次式で決定する。</w:t>
      </w:r>
    </w:p>
    <w:tbl>
      <w:tblPr>
        <w:tblStyle w:val="afff2"/>
        <w:tblW w:w="7938"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98"/>
        <w:gridCol w:w="1740"/>
      </w:tblGrid>
      <w:tr w:rsidR="00F52111" w:rsidRPr="00BC31E0" w14:paraId="67D1876F" w14:textId="77777777" w:rsidTr="004736F2">
        <w:tc>
          <w:tcPr>
            <w:tcW w:w="0" w:type="auto"/>
            <w:tcMar>
              <w:left w:w="0" w:type="dxa"/>
              <w:right w:w="0" w:type="dxa"/>
            </w:tcMar>
            <w:vAlign w:val="center"/>
          </w:tcPr>
          <w:p w14:paraId="44E80C4B" w14:textId="77777777" w:rsidR="00F52111" w:rsidRPr="00BC31E0" w:rsidRDefault="00A51873" w:rsidP="004736F2">
            <w:pPr>
              <w:tabs>
                <w:tab w:val="left" w:leader="middleDot" w:pos="8505"/>
              </w:tabs>
              <w:jc w:val="left"/>
              <w:rPr>
                <w:bCs/>
                <w:i/>
              </w:rPr>
            </w:pPr>
            <m:oMathPara>
              <m:oMathParaPr>
                <m:jc m:val="left"/>
              </m:oMathParaPr>
              <m:oMath>
                <m:sSub>
                  <m:sSubPr>
                    <m:ctrlPr>
                      <w:rPr>
                        <w:rFonts w:ascii="Cambria Math" w:hAnsi="Cambria Math"/>
                        <w:bCs/>
                        <w:i/>
                      </w:rPr>
                    </m:ctrlPr>
                  </m:sSubPr>
                  <m:e>
                    <m:r>
                      <w:rPr>
                        <w:rFonts w:ascii="Cambria Math" w:hAnsi="Cambria Math"/>
                      </w:rPr>
                      <m:t>K</m:t>
                    </m:r>
                  </m:e>
                  <m:sub>
                    <m:r>
                      <m:rPr>
                        <m:sty m:val="p"/>
                      </m:rPr>
                      <w:rPr>
                        <w:rFonts w:ascii="Cambria Math" w:hAnsi="Cambria Math"/>
                      </w:rPr>
                      <m:t>I</m:t>
                    </m:r>
                    <m:r>
                      <w:rPr>
                        <w:rFonts w:ascii="Cambria Math" w:hAnsi="Cambria Math"/>
                      </w:rPr>
                      <m:t>corr,n</m:t>
                    </m:r>
                  </m:sub>
                </m:sSub>
                <m:r>
                  <w:rPr>
                    <w:rFonts w:ascii="Cambria Math" w:hAnsi="Cambria Math"/>
                  </w:rPr>
                  <m:t>=</m:t>
                </m:r>
                <m:sSub>
                  <m:sSubPr>
                    <m:ctrlPr>
                      <w:rPr>
                        <w:rFonts w:ascii="Cambria Math" w:hAnsi="Cambria Math"/>
                        <w:i/>
                      </w:rPr>
                    </m:ctrlPr>
                  </m:sSubPr>
                  <m:e>
                    <m:r>
                      <w:rPr>
                        <w:rFonts w:ascii="Cambria Math" w:hAnsi="Cambria Math"/>
                      </w:rPr>
                      <m:t>K</m:t>
                    </m:r>
                  </m:e>
                  <m:sub>
                    <m:r>
                      <m:rPr>
                        <m:sty m:val="p"/>
                      </m:rPr>
                      <w:rPr>
                        <w:rFonts w:ascii="Cambria Math" w:hAnsi="Cambria Math"/>
                      </w:rPr>
                      <m:t>I</m:t>
                    </m:r>
                    <m:r>
                      <w:rPr>
                        <w:rFonts w:ascii="Cambria Math" w:hAnsi="Cambria Math"/>
                      </w:rPr>
                      <m:t>,n</m:t>
                    </m:r>
                  </m:sub>
                </m:sSub>
                <m:r>
                  <w:rPr>
                    <w:rFonts w:ascii="Cambria Math" w:hAnsi="Cambria Math"/>
                  </w:rPr>
                  <m:t>+</m:t>
                </m:r>
                <m:nary>
                  <m:naryPr>
                    <m:chr m:val="∑"/>
                    <m:limLoc m:val="undOvr"/>
                    <m:ctrlPr>
                      <w:rPr>
                        <w:rFonts w:ascii="Cambria Math" w:hAnsi="Cambria Math"/>
                        <w:i/>
                      </w:rPr>
                    </m:ctrlPr>
                  </m:naryPr>
                  <m:sub>
                    <m:r>
                      <w:rPr>
                        <w:rFonts w:ascii="Cambria Math" w:hAnsi="Cambria Math"/>
                      </w:rPr>
                      <m:t>i=0</m:t>
                    </m:r>
                  </m:sub>
                  <m:sup>
                    <m:r>
                      <w:rPr>
                        <w:rFonts w:ascii="Cambria Math" w:hAnsi="Cambria Math"/>
                      </w:rPr>
                      <m:t>n-1</m:t>
                    </m:r>
                  </m:sup>
                  <m:e>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i,i+1</m:t>
                        </m:r>
                      </m:sub>
                    </m:sSub>
                    <m:r>
                      <w:rPr>
                        <w:rFonts w:ascii="Cambria Math" w:hAnsi="Cambria Math"/>
                      </w:rPr>
                      <m:t>=</m:t>
                    </m:r>
                  </m:e>
                </m:nary>
                <m:r>
                  <w:rPr>
                    <w:rFonts w:ascii="Cambria Math" w:hAnsi="Cambria Math"/>
                  </w:rPr>
                  <m:t>F</m:t>
                </m:r>
                <m:f>
                  <m:fPr>
                    <m:type m:val="lin"/>
                    <m:ctrlPr>
                      <w:rPr>
                        <w:rFonts w:ascii="Cambria Math" w:hAnsi="Cambria Math"/>
                        <w:bCs/>
                        <w:i/>
                      </w:rPr>
                    </m:ctrlPr>
                  </m:fPr>
                  <m:num>
                    <m:rad>
                      <m:radPr>
                        <m:degHide m:val="1"/>
                        <m:ctrlPr>
                          <w:rPr>
                            <w:rFonts w:ascii="Cambria Math" w:hAnsi="Cambria Math"/>
                            <w:bCs/>
                            <w:i/>
                          </w:rPr>
                        </m:ctrlPr>
                      </m:radPr>
                      <m:deg/>
                      <m:e>
                        <m:r>
                          <w:rPr>
                            <w:rFonts w:ascii="Cambria Math" w:hAnsi="Cambria Math"/>
                          </w:rPr>
                          <m:t>π a</m:t>
                        </m:r>
                      </m:e>
                    </m:rad>
                  </m:num>
                  <m:den>
                    <m:rad>
                      <m:radPr>
                        <m:degHide m:val="1"/>
                        <m:ctrlPr>
                          <w:rPr>
                            <w:rFonts w:ascii="Cambria Math" w:hAnsi="Cambria Math"/>
                            <w:bCs/>
                            <w:i/>
                          </w:rPr>
                        </m:ctrlPr>
                      </m:radPr>
                      <m:deg/>
                      <m:e>
                        <m:r>
                          <w:rPr>
                            <w:rFonts w:ascii="Cambria Math" w:hAnsi="Cambria Math"/>
                          </w:rPr>
                          <m:t>1-</m:t>
                        </m:r>
                        <m:f>
                          <m:fPr>
                            <m:type m:val="lin"/>
                            <m:ctrlPr>
                              <w:rPr>
                                <w:rFonts w:ascii="Cambria Math" w:hAnsi="Cambria Math"/>
                                <w:bCs/>
                                <w:i/>
                              </w:rPr>
                            </m:ctrlPr>
                          </m:fPr>
                          <m:num>
                            <m:sSup>
                              <m:sSupPr>
                                <m:ctrlPr>
                                  <w:rPr>
                                    <w:rFonts w:ascii="Cambria Math" w:hAnsi="Cambria Math"/>
                                    <w:bCs/>
                                    <w:i/>
                                  </w:rPr>
                                </m:ctrlPr>
                              </m:sSupPr>
                              <m:e>
                                <m:d>
                                  <m:dPr>
                                    <m:ctrlPr>
                                      <w:rPr>
                                        <w:rFonts w:ascii="Cambria Math" w:hAnsi="Cambria Math"/>
                                        <w:bCs/>
                                        <w:i/>
                                      </w:rPr>
                                    </m:ctrlPr>
                                  </m:dPr>
                                  <m:e>
                                    <m:f>
                                      <m:fPr>
                                        <m:type m:val="lin"/>
                                        <m:ctrlPr>
                                          <w:rPr>
                                            <w:rFonts w:ascii="Cambria Math" w:hAnsi="Cambria Math"/>
                                            <w:bCs/>
                                            <w:i/>
                                          </w:rPr>
                                        </m:ctrlPr>
                                      </m:fPr>
                                      <m:num>
                                        <m:r>
                                          <w:rPr>
                                            <w:rFonts w:ascii="Cambria Math" w:hAnsi="Cambria Math"/>
                                          </w:rPr>
                                          <m:t>F</m:t>
                                        </m:r>
                                      </m:num>
                                      <m:den>
                                        <m:sSub>
                                          <m:sSubPr>
                                            <m:ctrlPr>
                                              <w:rPr>
                                                <w:rFonts w:ascii="Cambria Math" w:hAnsi="Cambria Math"/>
                                                <w:bCs/>
                                                <w:i/>
                                              </w:rPr>
                                            </m:ctrlPr>
                                          </m:sSubPr>
                                          <m:e>
                                            <m:r>
                                              <w:rPr>
                                                <w:rFonts w:ascii="Cambria Math" w:hAnsi="Cambria Math"/>
                                              </w:rPr>
                                              <m:t>S</m:t>
                                            </m:r>
                                          </m:e>
                                          <m:sub>
                                            <m:r>
                                              <w:rPr>
                                                <w:rFonts w:ascii="Cambria Math" w:hAnsi="Cambria Math"/>
                                              </w:rPr>
                                              <m:t>y</m:t>
                                            </m:r>
                                          </m:sub>
                                        </m:sSub>
                                      </m:den>
                                    </m:f>
                                  </m:e>
                                </m:d>
                              </m:e>
                              <m:sup>
                                <m:r>
                                  <w:rPr>
                                    <w:rFonts w:ascii="Cambria Math" w:hAnsi="Cambria Math"/>
                                  </w:rPr>
                                  <m:t>2</m:t>
                                </m:r>
                              </m:sup>
                            </m:sSup>
                          </m:num>
                          <m:den>
                            <m:r>
                              <w:rPr>
                                <w:rFonts w:ascii="Cambria Math" w:hAnsi="Cambria Math"/>
                              </w:rPr>
                              <m:t>6</m:t>
                            </m:r>
                          </m:den>
                        </m:f>
                      </m:e>
                    </m:rad>
                    <m:r>
                      <w:rPr>
                        <w:rFonts w:ascii="Cambria Math" w:hAnsi="Cambria Math" w:hint="eastAsia"/>
                      </w:rPr>
                      <m:t xml:space="preserve"> </m:t>
                    </m:r>
                    <m:r>
                      <w:rPr>
                        <w:rFonts w:ascii="Cambria Math" w:hAnsi="Cambria Math"/>
                      </w:rPr>
                      <m:t>+</m:t>
                    </m:r>
                    <m:nary>
                      <m:naryPr>
                        <m:chr m:val="∑"/>
                        <m:limLoc m:val="undOvr"/>
                        <m:ctrlPr>
                          <w:rPr>
                            <w:rFonts w:ascii="Cambria Math" w:hAnsi="Cambria Math"/>
                            <w:i/>
                          </w:rPr>
                        </m:ctrlPr>
                      </m:naryPr>
                      <m:sub>
                        <m:r>
                          <w:rPr>
                            <w:rFonts w:ascii="Cambria Math" w:hAnsi="Cambria Math"/>
                          </w:rPr>
                          <m:t>i=0</m:t>
                        </m:r>
                      </m:sub>
                      <m:sup>
                        <m:r>
                          <w:rPr>
                            <w:rFonts w:ascii="Cambria Math" w:hAnsi="Cambria Math"/>
                          </w:rPr>
                          <m:t>n-1</m:t>
                        </m:r>
                      </m:sup>
                      <m:e>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i,i+1</m:t>
                            </m:r>
                          </m:sub>
                        </m:sSub>
                      </m:e>
                    </m:nary>
                  </m:den>
                </m:f>
              </m:oMath>
            </m:oMathPara>
          </w:p>
        </w:tc>
        <w:tc>
          <w:tcPr>
            <w:tcW w:w="1740" w:type="dxa"/>
            <w:tcMar>
              <w:left w:w="0" w:type="dxa"/>
              <w:right w:w="0" w:type="dxa"/>
            </w:tcMar>
            <w:vAlign w:val="center"/>
          </w:tcPr>
          <w:p w14:paraId="152C8406" w14:textId="77777777" w:rsidR="00F52111" w:rsidRPr="00BC31E0" w:rsidRDefault="00F52111" w:rsidP="004736F2">
            <w:pPr>
              <w:tabs>
                <w:tab w:val="left" w:leader="middleDot" w:pos="1219"/>
              </w:tabs>
              <w:jc w:val="left"/>
              <w:rPr>
                <w:bCs/>
              </w:rPr>
            </w:pPr>
            <w:r w:rsidRPr="00BC31E0">
              <w:rPr>
                <w:bCs/>
              </w:rPr>
              <w:tab/>
            </w:r>
            <w:r w:rsidRPr="00BC31E0">
              <w:rPr>
                <w:rFonts w:hint="eastAsia"/>
                <w:bCs/>
              </w:rPr>
              <w:t>(20)</w:t>
            </w:r>
          </w:p>
        </w:tc>
      </w:tr>
    </w:tbl>
    <w:p w14:paraId="6C45A26F" w14:textId="77777777" w:rsidR="00F52111" w:rsidRPr="00BC31E0" w:rsidRDefault="00F52111" w:rsidP="002435BA">
      <w:pPr>
        <w:spacing w:before="120" w:after="120"/>
        <w:ind w:left="454" w:firstLineChars="100" w:firstLine="210"/>
      </w:pPr>
      <w:r w:rsidRPr="00BC31E0">
        <w:rPr>
          <w:rFonts w:hint="eastAsia"/>
        </w:rPr>
        <w:t>ここで，</w:t>
      </w:r>
    </w:p>
    <w:tbl>
      <w:tblPr>
        <w:tblStyle w:val="afff2"/>
        <w:tblW w:w="7654"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
        <w:gridCol w:w="6717"/>
      </w:tblGrid>
      <w:tr w:rsidR="00F52111" w:rsidRPr="00BC31E0" w14:paraId="554778F8" w14:textId="77777777" w:rsidTr="004736F2">
        <w:tc>
          <w:tcPr>
            <w:tcW w:w="937" w:type="dxa"/>
            <w:tcMar>
              <w:left w:w="0" w:type="dxa"/>
              <w:right w:w="0" w:type="dxa"/>
            </w:tcMar>
            <w:vAlign w:val="center"/>
          </w:tcPr>
          <w:p w14:paraId="467578DB" w14:textId="77777777" w:rsidR="00F52111" w:rsidRPr="00BC31E0" w:rsidRDefault="00A51873" w:rsidP="004736F2">
            <m:oMathPara>
              <m:oMathParaPr>
                <m:jc m:val="left"/>
              </m:oMathParaPr>
              <m:oMath>
                <m:sSub>
                  <m:sSubPr>
                    <m:ctrlPr>
                      <w:rPr>
                        <w:rFonts w:ascii="Cambria Math" w:hAnsi="Cambria Math"/>
                        <w:i/>
                      </w:rPr>
                    </m:ctrlPr>
                  </m:sSubPr>
                  <m:e>
                    <m:r>
                      <w:rPr>
                        <w:rFonts w:ascii="Cambria Math" w:hAnsi="Cambria Math"/>
                      </w:rPr>
                      <m:t>K</m:t>
                    </m:r>
                  </m:e>
                  <m:sub>
                    <m:r>
                      <m:rPr>
                        <m:sty m:val="p"/>
                      </m:rPr>
                      <w:rPr>
                        <w:rFonts w:ascii="Cambria Math" w:hAnsi="Cambria Math"/>
                      </w:rPr>
                      <m:t>I</m:t>
                    </m:r>
                    <m:r>
                      <w:rPr>
                        <w:rFonts w:ascii="Cambria Math" w:hAnsi="Cambria Math"/>
                      </w:rPr>
                      <m:t>,n</m:t>
                    </m:r>
                  </m:sub>
                </m:sSub>
              </m:oMath>
            </m:oMathPara>
          </w:p>
        </w:tc>
        <w:tc>
          <w:tcPr>
            <w:tcW w:w="6717" w:type="dxa"/>
            <w:tcMar>
              <w:left w:w="0" w:type="dxa"/>
              <w:right w:w="0" w:type="dxa"/>
            </w:tcMar>
            <w:vAlign w:val="center"/>
          </w:tcPr>
          <w:p w14:paraId="23AA3F34" w14:textId="77777777" w:rsidR="00F52111" w:rsidRPr="00BC31E0" w:rsidRDefault="00F52111" w:rsidP="004736F2">
            <w:pPr>
              <w:ind w:firstLineChars="50" w:firstLine="105"/>
            </w:pPr>
            <w:r w:rsidRPr="00BC31E0">
              <w:rPr>
                <w:rFonts w:hint="eastAsia"/>
              </w:rPr>
              <w:t>：</w:t>
            </w:r>
            <w:r w:rsidRPr="00BC31E0">
              <w:rPr>
                <w:rFonts w:hint="eastAsia"/>
              </w:rPr>
              <w:t xml:space="preserve"> </w:t>
            </w:r>
            <w:r w:rsidRPr="00BC31E0">
              <w:rPr>
                <w:rFonts w:hint="eastAsia"/>
              </w:rPr>
              <w:t>領域</w:t>
            </w:r>
            <m:oMath>
              <m:r>
                <w:rPr>
                  <w:rFonts w:ascii="Cambria Math" w:hAnsi="Cambria Math"/>
                </w:rPr>
                <m:t xml:space="preserve"> n </m:t>
              </m:r>
            </m:oMath>
            <w:r w:rsidRPr="00BC31E0">
              <w:rPr>
                <w:rFonts w:hint="eastAsia"/>
              </w:rPr>
              <w:t>の応力分布の</w:t>
            </w:r>
            <w:r w:rsidRPr="00BC31E0">
              <w:rPr>
                <w:rFonts w:hint="eastAsia"/>
              </w:rPr>
              <w:t>3</w:t>
            </w:r>
            <w:r w:rsidRPr="00BC31E0">
              <w:rPr>
                <w:rFonts w:hint="eastAsia"/>
              </w:rPr>
              <w:t>次多項式近似より求めた応力拡大係数</w:t>
            </w:r>
          </w:p>
        </w:tc>
      </w:tr>
      <w:tr w:rsidR="00F52111" w:rsidRPr="00BC31E0" w14:paraId="7C04424E" w14:textId="77777777" w:rsidTr="004736F2">
        <w:tc>
          <w:tcPr>
            <w:tcW w:w="937" w:type="dxa"/>
            <w:tcMar>
              <w:left w:w="0" w:type="dxa"/>
              <w:right w:w="0" w:type="dxa"/>
            </w:tcMar>
            <w:vAlign w:val="center"/>
          </w:tcPr>
          <w:p w14:paraId="31F89C15" w14:textId="77777777" w:rsidR="00F52111" w:rsidRPr="00BC31E0" w:rsidRDefault="00A51873" w:rsidP="004736F2">
            <w:pPr>
              <w:spacing w:before="120"/>
            </w:pPr>
            <m:oMathPara>
              <m:oMathParaPr>
                <m:jc m:val="left"/>
              </m:oMathParaPr>
              <m:oMath>
                <m:nary>
                  <m:naryPr>
                    <m:chr m:val="∑"/>
                    <m:limLoc m:val="undOvr"/>
                    <m:ctrlPr>
                      <w:rPr>
                        <w:rFonts w:ascii="Cambria Math" w:hAnsi="Cambria Math"/>
                        <w:i/>
                      </w:rPr>
                    </m:ctrlPr>
                  </m:naryPr>
                  <m:sub>
                    <m:r>
                      <w:rPr>
                        <w:rFonts w:ascii="Cambria Math" w:hAnsi="Cambria Math"/>
                      </w:rPr>
                      <m:t>i=0</m:t>
                    </m:r>
                  </m:sub>
                  <m:sup>
                    <m:r>
                      <w:rPr>
                        <w:rFonts w:ascii="Cambria Math" w:hAnsi="Cambria Math"/>
                      </w:rPr>
                      <m:t>n-1</m:t>
                    </m:r>
                  </m:sup>
                  <m:e>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i,i+1</m:t>
                        </m:r>
                      </m:sub>
                    </m:sSub>
                  </m:e>
                </m:nary>
              </m:oMath>
            </m:oMathPara>
          </w:p>
        </w:tc>
        <w:tc>
          <w:tcPr>
            <w:tcW w:w="6717" w:type="dxa"/>
            <w:tcMar>
              <w:left w:w="0" w:type="dxa"/>
              <w:right w:w="0" w:type="dxa"/>
            </w:tcMar>
            <w:vAlign w:val="center"/>
          </w:tcPr>
          <w:p w14:paraId="2988B13D" w14:textId="77777777" w:rsidR="00F52111" w:rsidRPr="00BC31E0" w:rsidRDefault="00F52111" w:rsidP="004736F2">
            <w:pPr>
              <w:spacing w:before="120"/>
              <w:ind w:firstLineChars="50" w:firstLine="105"/>
            </w:pPr>
            <w:r w:rsidRPr="00BC31E0">
              <w:rPr>
                <w:rFonts w:hint="eastAsia"/>
              </w:rPr>
              <w:t>：</w:t>
            </w:r>
            <w:r w:rsidRPr="00BC31E0">
              <w:rPr>
                <w:rFonts w:hint="eastAsia"/>
              </w:rPr>
              <w:t xml:space="preserve"> </w:t>
            </w:r>
            <w:r w:rsidRPr="00BC31E0">
              <w:rPr>
                <w:rFonts w:hint="eastAsia"/>
              </w:rPr>
              <w:t>領域</w:t>
            </w:r>
            <m:oMath>
              <m:r>
                <m:rPr>
                  <m:sty m:val="p"/>
                </m:rPr>
                <w:rPr>
                  <w:rFonts w:ascii="Cambria Math" w:hAnsi="Cambria Math" w:hint="eastAsia"/>
                </w:rPr>
                <m:t xml:space="preserve"> </m:t>
              </m:r>
              <m:r>
                <w:rPr>
                  <w:rFonts w:ascii="Cambria Math" w:hAnsi="Cambria Math"/>
                </w:rPr>
                <m:t>n</m:t>
              </m:r>
              <m:r>
                <w:rPr>
                  <w:rFonts w:ascii="Cambria Math" w:hAnsi="Cambria Math" w:hint="eastAsia"/>
                </w:rPr>
                <m:t xml:space="preserve"> </m:t>
              </m:r>
            </m:oMath>
            <w:r w:rsidRPr="00BC31E0">
              <w:rPr>
                <w:rFonts w:ascii="Times New Roman" w:hAnsi="Times New Roman" w:hint="eastAsia"/>
              </w:rPr>
              <w:t>より</w:t>
            </w:r>
            <w:r w:rsidRPr="00BC31E0">
              <w:rPr>
                <w:rFonts w:hint="eastAsia"/>
              </w:rPr>
              <w:t>前の領域で生じる</w:t>
            </w:r>
            <m:oMath>
              <m:sSub>
                <m:sSubPr>
                  <m:ctrlPr>
                    <w:rPr>
                      <w:rFonts w:ascii="Cambria Math" w:hAnsi="Cambria Math"/>
                      <w:bCs/>
                    </w:rPr>
                  </m:ctrlPr>
                </m:sSubPr>
                <m:e>
                  <m:r>
                    <w:rPr>
                      <w:rFonts w:ascii="Cambria Math" w:hAnsi="Cambria Math"/>
                    </w:rPr>
                    <m:t xml:space="preserve"> ∆K</m:t>
                  </m:r>
                </m:e>
                <m:sub>
                  <m:r>
                    <w:rPr>
                      <w:rFonts w:ascii="Cambria Math" w:hAnsi="Cambria Math"/>
                    </w:rPr>
                    <m:t>i,i+1</m:t>
                  </m:r>
                </m:sub>
              </m:sSub>
            </m:oMath>
            <w:r w:rsidRPr="00BC31E0">
              <w:rPr>
                <w:rFonts w:hint="eastAsia"/>
              </w:rPr>
              <w:t>の総和，ただし</w:t>
            </w:r>
            <m:oMath>
              <m:sSub>
                <m:sSubPr>
                  <m:ctrlPr>
                    <w:rPr>
                      <w:rFonts w:ascii="Cambria Math" w:hAnsi="Cambria Math"/>
                      <w:bCs/>
                    </w:rPr>
                  </m:ctrlPr>
                </m:sSubPr>
                <m:e>
                  <m:r>
                    <w:rPr>
                      <w:rFonts w:ascii="Cambria Math" w:hAnsi="Cambria Math"/>
                    </w:rPr>
                    <m:t xml:space="preserve"> ∆K</m:t>
                  </m:r>
                </m:e>
                <m:sub>
                  <m:r>
                    <m:rPr>
                      <m:sty m:val="p"/>
                    </m:rPr>
                    <w:rPr>
                      <w:rFonts w:ascii="Cambria Math" w:hAnsi="Cambria Math"/>
                    </w:rPr>
                    <m:t>0.1</m:t>
                  </m:r>
                </m:sub>
              </m:sSub>
              <m:r>
                <m:rPr>
                  <m:sty m:val="p"/>
                </m:rPr>
                <w:rPr>
                  <w:rFonts w:ascii="Cambria Math" w:hAnsi="Cambria Math"/>
                </w:rPr>
                <m:t>=</m:t>
              </m:r>
              <m:r>
                <m:rPr>
                  <m:sty m:val="p"/>
                </m:rPr>
                <w:rPr>
                  <w:rFonts w:ascii="Cambria Math" w:hAnsi="Cambria Math" w:hint="eastAsia"/>
                </w:rPr>
                <m:t>0</m:t>
              </m:r>
              <m:r>
                <m:rPr>
                  <m:sty m:val="p"/>
                </m:rPr>
                <w:rPr>
                  <w:rFonts w:ascii="Cambria Math" w:hAnsi="Cambria Math"/>
                </w:rPr>
                <m:t xml:space="preserve"> </m:t>
              </m:r>
            </m:oMath>
          </w:p>
        </w:tc>
      </w:tr>
    </w:tbl>
    <w:p w14:paraId="4A709FAC" w14:textId="77777777" w:rsidR="00F52111" w:rsidRPr="00BC31E0" w:rsidRDefault="00A51873" w:rsidP="005C6DFC">
      <w:pPr>
        <w:widowControl/>
        <w:jc w:val="center"/>
      </w:pPr>
      <w:r>
        <w:rPr>
          <w:noProof/>
        </w:rPr>
      </w:r>
      <w:r>
        <w:rPr>
          <w:noProof/>
        </w:rPr>
        <w:pict w14:anchorId="4C4F5BB6">
          <v:group id="グループ化 396" o:spid="_x0000_s1675" style="width:371.3pt;height:280.5pt;mso-position-horizontal-relative:char;mso-position-vertical-relative:line" coordorigin="2220,3501" coordsize="7426,5610">
            <v:line id="Line 11357" o:spid="_x0000_s1676" style="position:absolute;visibility:visible" from="2998,4129" to="2998,8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">
              <v:stroke startarrow="block"/>
            </v:line>
            <v:line id="Line 11358" o:spid="_x0000_s1677" style="position:absolute;visibility:visible" from="2998,8652" to="7922,8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">
              <v:stroke endarrow="block"/>
            </v:line>
            <v:shape id="Arc 11359" o:spid="_x0000_s1678" style="position:absolute;left:3242;top:4707;width:3672;height:3384;flip:x 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" adj="0,,0" path="m-1,nfc11929,,21600,9670,21600,21600em-1,nsc11929,,21600,9670,21600,21600l,21600,-1,xe" filled="f" strokeweight="1.5pt">
              <v:stroke joinstyle="round"/>
              <v:formulas/>
              <v:path arrowok="t" o:extrusionok="f" o:connecttype="custom" o:connectlocs="0,0;624,530;0,530" o:connectangles="0,0,0"/>
            </v:shape>
            <v:line id="Line 11360" o:spid="_x0000_s1679" style="position:absolute;visibility:visible" from="4884,6606" to="4884,8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">
              <v:stroke dashstyle="1 1" endcap="round"/>
            </v:line>
            <v:shape id="Arc 11361" o:spid="_x0000_s1680" style="position:absolute;left:3009;top:3501;width:4928;height:4627;flip:x y;visibility:visible" coordsize="21222,196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" adj="0,,0" path="m8929,nfc15327,2905,19912,8740,21221,15644em8929,nsc15327,2905,19912,8740,21221,15644l,19668,8929,xe" filled="f" strokeweight="1pt">
              <v:stroke dashstyle="dash" joinstyle="round"/>
              <v:formulas/>
              <v:path arrowok="t" o:extrusionok="f" o:connecttype="custom" o:connectlocs="482,0;1144,866;0,1089" o:connectangles="0,0,0"/>
            </v:shape>
            <v:shape id="Arc 11362" o:spid="_x0000_s1681" style="position:absolute;left:2997;top:6340;width:4332;height:1626;flip:x 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" adj="0,,0" path="m,nfc21,,43,,65,,11323,,20693,8647,21595,19870em,nsc21,,43,,65,,11323,,20693,8647,21595,19870l65,21600,,xe" filled="f" strokeweight="1pt">
              <v:stroke dashstyle="dashDot" joinstyle="round"/>
              <v:formulas/>
              <v:path arrowok="t" o:extrusionok="f" o:connecttype="custom" o:connectlocs="0,0;869,113;3,122" o:connectangles="0,0,0"/>
            </v:shape>
            <v:shape id="Text Box 11363" o:spid="_x0000_s1682" type="#_x0000_t202" style="position:absolute;left:3443;top:8174;width:994;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" filled="f" stroked="f">
              <v:textbox style="mso-fit-shape-to-text:t" inset="5.85pt,.7pt,5.85pt,.7pt">
                <w:txbxContent>
                  <w:p w14:paraId="2C943CD3" w14:textId="77777777" w:rsidR="003B0864" w:rsidRPr="00A27A82" w:rsidRDefault="003B0864" w:rsidP="00F52111">
                    <w:pPr>
                      <w:spacing w:line="360" w:lineRule="atLeast"/>
                      <w:jc w:val="center"/>
                      <w:rPr>
                        <w:sz w:val="20"/>
                      </w:rPr>
                    </w:pPr>
                    <w:r w:rsidRPr="00A27A82">
                      <w:rPr>
                        <w:rFonts w:hAnsi="ＭＳ 明朝" w:hint="eastAsia"/>
                        <w:sz w:val="20"/>
                      </w:rPr>
                      <w:t>領域</w:t>
                    </w:r>
                    <w:r w:rsidRPr="00A27A82">
                      <w:rPr>
                        <w:sz w:val="20"/>
                      </w:rPr>
                      <w:t>1</w:t>
                    </w:r>
                  </w:p>
                </w:txbxContent>
              </v:textbox>
            </v:shape>
            <v:shape id="Text Box 11364" o:spid="_x0000_s1683" type="#_x0000_t202" style="position:absolute;left:5425;top:8185;width:994;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" filled="f" stroked="f">
              <v:textbox style="mso-fit-shape-to-text:t" inset="5.85pt,.7pt,5.85pt,.7pt">
                <w:txbxContent>
                  <w:p w14:paraId="462B8573" w14:textId="77777777" w:rsidR="003B0864" w:rsidRPr="00A27A82" w:rsidRDefault="003B0864" w:rsidP="00F52111">
                    <w:pPr>
                      <w:spacing w:line="360" w:lineRule="atLeast"/>
                      <w:jc w:val="center"/>
                      <w:rPr>
                        <w:sz w:val="20"/>
                      </w:rPr>
                    </w:pPr>
                    <w:r w:rsidRPr="00A27A82">
                      <w:rPr>
                        <w:rFonts w:hAnsi="ＭＳ 明朝" w:hint="eastAsia"/>
                        <w:sz w:val="20"/>
                      </w:rPr>
                      <w:t>領域</w:t>
                    </w:r>
                    <w:r>
                      <w:rPr>
                        <w:sz w:val="20"/>
                      </w:rPr>
                      <w:t>2</w:t>
                    </w:r>
                  </w:p>
                </w:txbxContent>
              </v:textbox>
            </v:shape>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11365" o:spid="_x0000_s1684" type="#_x0000_t42" style="position:absolute;left:4889;top:6035;width:2592;height:3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" adj="-7958,28601,-4450,9769,-1000,9769" strokeweight=".5pt">
              <v:stroke startarrow="classic"/>
              <v:textbox style="mso-fit-shape-to-text:t" inset="5.85pt,.7pt,5.85pt,.7pt">
                <w:txbxContent>
                  <w:p w14:paraId="60085305" w14:textId="77777777" w:rsidR="003B0864" w:rsidRPr="00A27A82" w:rsidRDefault="003B0864" w:rsidP="00F52111">
                    <w:pPr>
                      <w:spacing w:line="360" w:lineRule="atLeast"/>
                    </w:pPr>
                    <w:r>
                      <w:rPr>
                        <w:rFonts w:hint="eastAsia"/>
                        <w:sz w:val="20"/>
                      </w:rPr>
                      <w:t>領域</w:t>
                    </w:r>
                    <w:r>
                      <w:rPr>
                        <w:sz w:val="20"/>
                      </w:rPr>
                      <w:t>1</w:t>
                    </w:r>
                    <w:r>
                      <w:rPr>
                        <w:rFonts w:hint="eastAsia"/>
                        <w:sz w:val="20"/>
                      </w:rPr>
                      <w:t>における</w:t>
                    </w:r>
                    <w:r w:rsidRPr="00207960">
                      <w:rPr>
                        <w:rFonts w:ascii="Cambria Math" w:hAnsi="Cambria Math"/>
                        <w:sz w:val="20"/>
                      </w:rPr>
                      <w:t>3</w:t>
                    </w:r>
                    <w:r>
                      <w:rPr>
                        <w:rFonts w:hint="eastAsia"/>
                        <w:sz w:val="20"/>
                      </w:rPr>
                      <w:t>次式近似</w:t>
                    </w:r>
                  </w:p>
                </w:txbxContent>
              </v:textbox>
              <o:callout v:ext="edit" minusy="t"/>
            </v:shape>
            <v:shape id="AutoShape 11366" o:spid="_x0000_s1685" type="#_x0000_t42" style="position:absolute;left:7067;top:7323;width:2579;height:3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" adj="-7998,30880,-4472,9769,-1005,9769" strokeweight=".5pt">
              <v:stroke startarrow="classic"/>
              <v:textbox style="mso-fit-shape-to-text:t" inset="5.85pt,.7pt,5.85pt,.7pt">
                <w:txbxContent>
                  <w:p w14:paraId="6C35435B" w14:textId="77777777" w:rsidR="003B0864" w:rsidRPr="00A27A82" w:rsidRDefault="003B0864" w:rsidP="00F52111">
                    <w:pPr>
                      <w:spacing w:line="360" w:lineRule="atLeast"/>
                    </w:pPr>
                    <w:r>
                      <w:rPr>
                        <w:rFonts w:hint="eastAsia"/>
                        <w:sz w:val="20"/>
                      </w:rPr>
                      <w:t>領域</w:t>
                    </w:r>
                    <w:r>
                      <w:rPr>
                        <w:sz w:val="20"/>
                      </w:rPr>
                      <w:t>2</w:t>
                    </w:r>
                    <w:r>
                      <w:rPr>
                        <w:rFonts w:hint="eastAsia"/>
                        <w:sz w:val="20"/>
                      </w:rPr>
                      <w:t>における</w:t>
                    </w:r>
                    <w:r w:rsidRPr="00207960">
                      <w:rPr>
                        <w:rFonts w:ascii="Cambria Math" w:hAnsi="Cambria Math"/>
                        <w:sz w:val="20"/>
                      </w:rPr>
                      <w:t>3</w:t>
                    </w:r>
                    <w:r>
                      <w:rPr>
                        <w:rFonts w:hint="eastAsia"/>
                        <w:sz w:val="20"/>
                      </w:rPr>
                      <w:t>次式近似</w:t>
                    </w:r>
                  </w:p>
                </w:txbxContent>
              </v:textbox>
              <o:callout v:ext="edit" minusy="t"/>
            </v:shape>
            <v:shape id="AutoShape 11367" o:spid="_x0000_s1686" type="#_x0000_t42" style="position:absolute;left:4237;top:4518;width:1815;height:3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" adj="-11532,25453,-6438,9769,-1428,9769" strokeweight=".5pt">
              <v:stroke startarrow="classic"/>
              <v:textbox style="mso-fit-shape-to-text:t" inset="5.85pt,.7pt,5.85pt,.7pt">
                <w:txbxContent>
                  <w:p w14:paraId="2C69F7A9" w14:textId="77777777" w:rsidR="003B0864" w:rsidRPr="00D668DD" w:rsidRDefault="003B0864" w:rsidP="00F52111">
                    <w:pPr>
                      <w:spacing w:line="360" w:lineRule="atLeast"/>
                      <w:rPr>
                        <w:sz w:val="20"/>
                      </w:rPr>
                    </w:pPr>
                    <w:r w:rsidRPr="00A27A82">
                      <w:rPr>
                        <w:rFonts w:hint="eastAsia"/>
                        <w:sz w:val="20"/>
                      </w:rPr>
                      <w:t>実際の応力分布</w:t>
                    </w:r>
                  </w:p>
                </w:txbxContent>
              </v:textbox>
              <o:callout v:ext="edit" minusy="t"/>
            </v:shape>
            <v:shape id="Text Box 11368" o:spid="_x0000_s1687" type="#_x0000_t202" style="position:absolute;left:3915;top:8723;width:3197;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" filled="f" stroked="f">
              <v:textbox style="mso-fit-shape-to-text:t" inset="5.85pt,.7pt,5.85pt,.7pt">
                <w:txbxContent>
                  <w:p w14:paraId="011FB1CD" w14:textId="77777777" w:rsidR="003B0864" w:rsidRPr="00D668DD" w:rsidRDefault="003B0864" w:rsidP="00F52111">
                    <w:pPr>
                      <w:spacing w:line="360" w:lineRule="atLeast"/>
                      <w:jc w:val="center"/>
                      <w:rPr>
                        <w:sz w:val="20"/>
                      </w:rPr>
                    </w:pPr>
                    <w:r w:rsidRPr="00D668DD">
                      <w:rPr>
                        <w:rFonts w:hint="eastAsia"/>
                        <w:sz w:val="20"/>
                      </w:rPr>
                      <w:t>自由表面からの半径方向距離</w:t>
                    </w:r>
                  </w:p>
                </w:txbxContent>
              </v:textbox>
            </v:shape>
            <v:shape id="Text Box 11369" o:spid="_x0000_s1688" type="#_x0000_t202" style="position:absolute;left:2220;top:4116;width:705;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" filled="f" stroked="f">
              <v:textbox style="mso-fit-shape-to-text:t" inset="5.85pt,.7pt,5.85pt,.7pt">
                <w:txbxContent>
                  <w:p w14:paraId="3F2C3932" w14:textId="77777777" w:rsidR="003B0864" w:rsidRPr="00D668DD" w:rsidRDefault="003B0864" w:rsidP="00F52111">
                    <w:pPr>
                      <w:spacing w:line="360" w:lineRule="atLeast"/>
                      <w:jc w:val="center"/>
                      <w:rPr>
                        <w:sz w:val="20"/>
                      </w:rPr>
                    </w:pPr>
                    <w:r>
                      <w:rPr>
                        <w:rFonts w:ascii="Cambria Math" w:hAnsi="Cambria Math"/>
                        <w:sz w:val="20"/>
                      </w:rPr>
                      <w:t>𝜎</w:t>
                    </w:r>
                  </w:p>
                </w:txbxContent>
              </v:textbox>
            </v:shape>
            <w10:anchorlock/>
          </v:group>
        </w:pict>
      </w:r>
    </w:p>
    <w:p w14:paraId="5DAA74B5" w14:textId="77777777" w:rsidR="00F52111" w:rsidRPr="00BC31E0" w:rsidRDefault="00F52111" w:rsidP="005C6DFC">
      <w:pPr>
        <w:pStyle w:val="af4"/>
      </w:pPr>
      <w:r w:rsidRPr="00BC31E0">
        <w:rPr>
          <w:rFonts w:hint="eastAsia"/>
        </w:rPr>
        <w:t>図</w:t>
      </w:r>
      <w:r w:rsidRPr="00BC31E0">
        <w:t>C.3</w:t>
      </w:r>
      <w:r w:rsidRPr="00BC31E0">
        <w:rPr>
          <w:rFonts w:hint="eastAsia"/>
        </w:rPr>
        <w:t xml:space="preserve">　応力分布の多項式近似</w:t>
      </w:r>
    </w:p>
    <w:p w14:paraId="6F4C1AD1" w14:textId="77777777" w:rsidR="00F52111" w:rsidRPr="00BC31E0" w:rsidRDefault="00F52111" w:rsidP="005C6DFC">
      <w:pPr>
        <w:rPr>
          <w:rFonts w:ascii="ＭＳ ゴシック" w:eastAsia="ＭＳ ゴシック" w:hAnsi="ＭＳ ゴシック"/>
          <w:sz w:val="24"/>
          <w:szCs w:val="24"/>
          <w:vertAlign w:val="superscript"/>
        </w:rPr>
      </w:pPr>
    </w:p>
    <w:p w14:paraId="55ADC6AD" w14:textId="77777777" w:rsidR="005C6DFC" w:rsidRPr="00BC31E0" w:rsidRDefault="005C6DFC" w:rsidP="005C6DFC">
      <w:pPr>
        <w:rPr>
          <w:rFonts w:ascii="ＭＳ ゴシック" w:eastAsia="ＭＳ ゴシック" w:hAnsi="ＭＳ ゴシック"/>
          <w:sz w:val="24"/>
          <w:szCs w:val="24"/>
          <w:vertAlign w:val="superscript"/>
        </w:rPr>
      </w:pPr>
    </w:p>
    <w:p w14:paraId="06ABB357" w14:textId="77777777" w:rsidR="005C6DFC" w:rsidRPr="00BC31E0" w:rsidRDefault="005C6DFC" w:rsidP="005C6DFC">
      <w:pPr>
        <w:rPr>
          <w:rFonts w:ascii="ＭＳ ゴシック" w:eastAsia="ＭＳ ゴシック" w:hAnsi="ＭＳ ゴシック"/>
          <w:sz w:val="24"/>
          <w:szCs w:val="24"/>
          <w:vertAlign w:val="superscript"/>
        </w:rPr>
      </w:pPr>
    </w:p>
    <w:p w14:paraId="040BD7F1" w14:textId="77777777" w:rsidR="005C6DFC" w:rsidRPr="00BC31E0" w:rsidRDefault="005C6DFC" w:rsidP="005C6DFC">
      <w:pPr>
        <w:rPr>
          <w:rFonts w:ascii="ＭＳ ゴシック" w:eastAsia="ＭＳ ゴシック" w:hAnsi="ＭＳ ゴシック"/>
          <w:sz w:val="24"/>
          <w:szCs w:val="24"/>
          <w:vertAlign w:val="superscript"/>
        </w:rPr>
      </w:pPr>
    </w:p>
    <w:p w14:paraId="5567E907" w14:textId="77777777" w:rsidR="00F52111" w:rsidRPr="00BC31E0" w:rsidRDefault="00F52111" w:rsidP="005C6DFC">
      <w:pPr>
        <w:rPr>
          <w:rFonts w:ascii="ＭＳ ゴシック" w:eastAsia="ＭＳ ゴシック" w:hAnsi="ＭＳ ゴシック"/>
          <w:sz w:val="24"/>
          <w:szCs w:val="24"/>
          <w:vertAlign w:val="superscript"/>
        </w:rPr>
      </w:pPr>
    </w:p>
    <w:p w14:paraId="0E639F64" w14:textId="77777777" w:rsidR="00F52111" w:rsidRPr="00BC31E0" w:rsidRDefault="00A51873" w:rsidP="005C6DFC">
      <w:pPr>
        <w:jc w:val="center"/>
        <w:rPr>
          <w:rFonts w:ascii="ＭＳ ゴシック" w:eastAsia="ＭＳ ゴシック" w:hAnsi="ＭＳ ゴシック"/>
          <w:b/>
        </w:rPr>
      </w:pPr>
      <w:r>
        <w:rPr>
          <w:rFonts w:ascii="ＭＳ 明朝"/>
          <w:b/>
          <w:noProof/>
        </w:rPr>
      </w:r>
      <w:r>
        <w:rPr>
          <w:rFonts w:ascii="ＭＳ 明朝"/>
          <w:b/>
          <w:noProof/>
        </w:rPr>
        <w:pict w14:anchorId="50EAF50C">
          <v:group id="グループ化 235" o:spid="_x0000_s1689" style="width:367.85pt;height:188.4pt;mso-position-horizontal-relative:char;mso-position-vertical-relative:line" coordorigin="2201,10393" coordsize="7357,3768">
            <v:line id="Line 11325" o:spid="_x0000_s1690" style="position:absolute;flip:x;visibility:visible" from="4893,10800" to="4893,11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" strokeweight=".5pt">
              <v:stroke endarrow="classic"/>
            </v:line>
            <v:line id="Line 11326" o:spid="_x0000_s1691" style="position:absolute;visibility:visible" from="2849,13816" to="8811,1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">
              <v:stroke endarrow="block"/>
            </v:line>
            <v:line id="Line 11327" o:spid="_x0000_s1692" style="position:absolute;flip:y;visibility:visible" from="2848,10409" to="2848,1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">
              <v:stroke endarrow="block"/>
            </v:line>
            <v:shape id="Arc 11328" o:spid="_x0000_s1693" style="position:absolute;left:3090;top:11744;width:2388;height:1233;flip:x;visibility:visible" coordsize="21561,193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" adj="0,,0" path="m9653,nfc16560,3450,21099,10325,21561,18031em9653,nsc16560,3450,21099,10325,21561,18031l,19323,9653,xe" filled="f" strokeweight="1.5pt">
              <v:stroke joinstyle="round"/>
              <v:formulas/>
              <v:path arrowok="t" o:extrusionok="f" o:connecttype="custom" o:connectlocs="118,0;264,73;0,79" o:connectangles="0,0,0"/>
            </v:shape>
            <v:shape id="Arc 11329" o:spid="_x0000_s1694" style="position:absolute;left:4428;top:12005;width:2317;height:703;flip:x;visibility:visible" coordsize="21561,20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" adj="0,,0" path="m5642,nfc14599,2424,21006,10297,21561,19558em5642,nsc14599,2424,21006,10297,21561,19558l,20850,5642,xe" filled="f" strokeweight="1pt">
              <v:stroke joinstyle="round"/>
              <v:formulas/>
              <v:path arrowok="t" o:extrusionok="f" o:connecttype="custom" o:connectlocs="65,0;249,22;0,24" o:connectangles="0,0,0"/>
            </v:shape>
            <v:line id="Line 11330" o:spid="_x0000_s1695" style="position:absolute;visibility:visible" from="4428,11535" to="4428,1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" strokeweight="1pt">
              <v:stroke dashstyle="1 1" endcap="round"/>
            </v:line>
            <v:line id="Line 11331" o:spid="_x0000_s1696" style="position:absolute;visibility:visible" from="4410,11756" to="5264,11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" strokeweight=".5pt"/>
            <v:line id="Line 11332" o:spid="_x0000_s1697" style="position:absolute;visibility:visible" from="4424,12684" to="5279,12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" strokeweight=".5pt"/>
            <v:line id="Line 11333" o:spid="_x0000_s1698" style="position:absolute;visibility:visible" from="5119,11756" to="5119,1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" strokeweight=".5pt">
              <v:stroke startarrow="classic" endarrow="classic"/>
            </v:line>
            <v:shape id="Text Box 11334" o:spid="_x0000_s1699" type="#_x0000_t202" style="position:absolute;left:5136;top:12005;width:708;height:38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" filled="f" stroked="f">
              <v:textbox style="mso-fit-shape-to-text:t" inset="5.85pt,.7pt,5.85pt,.7pt">
                <w:txbxContent>
                  <w:p w14:paraId="3E99422A" w14:textId="77777777" w:rsidR="003B0864" w:rsidRPr="00971EEA" w:rsidRDefault="003B0864" w:rsidP="00F52111">
                    <m:oMathPara>
                      <m:oMath>
                        <m:r>
                          <w:rPr>
                            <w:rFonts w:ascii="Cambria Math" w:hAnsi="Cambria Math"/>
                          </w:rPr>
                          <m:t>Δ</m:t>
                        </m:r>
                        <m:sSub>
                          <m:sSubPr>
                            <m:ctrlPr>
                              <w:rPr>
                                <w:rFonts w:ascii="Cambria Math" w:hAnsi="Cambria Math"/>
                              </w:rPr>
                            </m:ctrlPr>
                          </m:sSubPr>
                          <m:e>
                            <m:r>
                              <w:rPr>
                                <w:rFonts w:ascii="Cambria Math" w:hAnsi="Cambria Math"/>
                              </w:rPr>
                              <m:t>K</m:t>
                            </m:r>
                          </m:e>
                          <m:sub>
                            <m:r>
                              <w:rPr>
                                <w:rFonts w:ascii="Cambria Math" w:hAnsi="Cambria Math"/>
                              </w:rPr>
                              <m:t>1,2</m:t>
                            </m:r>
                          </m:sub>
                        </m:sSub>
                      </m:oMath>
                    </m:oMathPara>
                  </w:p>
                </w:txbxContent>
              </v:textbox>
            </v:shape>
            <v:shape id="Arc 11335" o:spid="_x0000_s1700" style="position:absolute;left:4418;top:11125;width:2302;height:703;flip:x;visibility:visible" coordsize="21561,20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" adj="0,,0" path="m5642,nfc14599,2424,21006,10297,21561,19558em5642,nsc14599,2424,21006,10297,21561,19558l,20850,5642,xe" filled="f" strokeweight="1.5pt">
              <v:stroke dashstyle="dash" joinstyle="round"/>
              <v:formulas/>
              <v:path arrowok="t" o:extrusionok="f" o:connecttype="custom" o:connectlocs="64,0;246,22;0,24" o:connectangles="0,0,0"/>
            </v:shape>
            <v:shape id="Text Box 11336" o:spid="_x0000_s1701" type="#_x0000_t202" style="position:absolute;left:3295;top:13377;width:870;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" stroked="f">
              <v:textbox style="mso-fit-shape-to-text:t" inset="5.85pt,.7pt,5.85pt,.7pt">
                <w:txbxContent>
                  <w:p w14:paraId="50784BF0" w14:textId="77777777" w:rsidR="003B0864" w:rsidRPr="002E6172" w:rsidRDefault="003B0864" w:rsidP="00F52111">
                    <w:pPr>
                      <w:jc w:val="center"/>
                      <w:rPr>
                        <w:sz w:val="20"/>
                      </w:rPr>
                    </w:pPr>
                    <w:r w:rsidRPr="002E6172">
                      <w:rPr>
                        <w:rFonts w:hAnsi="ＭＳ 明朝" w:hint="eastAsia"/>
                        <w:sz w:val="20"/>
                      </w:rPr>
                      <w:t>領域</w:t>
                    </w:r>
                    <w:r w:rsidRPr="002E6172">
                      <w:rPr>
                        <w:sz w:val="20"/>
                      </w:rPr>
                      <w:t>1</w:t>
                    </w:r>
                  </w:p>
                </w:txbxContent>
              </v:textbox>
            </v:shape>
            <v:shape id="Text Box 11337" o:spid="_x0000_s1702" type="#_x0000_t202" style="position:absolute;left:4935;top:13369;width:870;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" stroked="f">
              <v:textbox style="mso-fit-shape-to-text:t" inset="5.85pt,.7pt,5.85pt,.7pt">
                <w:txbxContent>
                  <w:p w14:paraId="2E11C92C" w14:textId="77777777" w:rsidR="003B0864" w:rsidRPr="002E6172" w:rsidRDefault="003B0864" w:rsidP="00F52111">
                    <w:pPr>
                      <w:jc w:val="center"/>
                      <w:rPr>
                        <w:sz w:val="20"/>
                      </w:rPr>
                    </w:pPr>
                    <w:r w:rsidRPr="002E6172">
                      <w:rPr>
                        <w:rFonts w:hAnsi="ＭＳ 明朝" w:hint="eastAsia"/>
                        <w:sz w:val="20"/>
                      </w:rPr>
                      <w:t>領域</w:t>
                    </w:r>
                    <w:r w:rsidRPr="002E6172">
                      <w:rPr>
                        <w:sz w:val="20"/>
                      </w:rPr>
                      <w:t>2</w:t>
                    </w:r>
                  </w:p>
                </w:txbxContent>
              </v:textbox>
            </v:shape>
            <v:shape id="Text Box 11338" o:spid="_x0000_s1703" type="#_x0000_t202" style="position:absolute;left:2201;top:10649;width:427;height:38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" filled="f" stroked="f">
              <v:textbox style="mso-fit-shape-to-text:t" inset="5.85pt,.7pt,5.85pt,.7pt">
                <w:txbxContent>
                  <w:p w14:paraId="17363BA6" w14:textId="77777777" w:rsidR="003B0864" w:rsidRPr="00971EEA" w:rsidRDefault="003B0864" w:rsidP="00F52111">
                    <w:pPr>
                      <w:rPr>
                        <w:vertAlign w:val="subscript"/>
                      </w:rPr>
                    </w:pPr>
                    <w:r>
                      <w:rPr>
                        <w:rFonts w:ascii="Cambria Math" w:hAnsi="Cambria Math"/>
                      </w:rPr>
                      <w:t>𝐾</w:t>
                    </w:r>
                    <w:r w:rsidRPr="00971EEA">
                      <w:rPr>
                        <w:rFonts w:ascii="Cambria Math" w:hAnsi="Cambria Math"/>
                        <w:position w:val="-2"/>
                        <w:vertAlign w:val="subscript"/>
                      </w:rPr>
                      <w:t>I</w:t>
                    </w:r>
                  </w:p>
                </w:txbxContent>
              </v:textbox>
            </v:shape>
            <v:shape id="Text Box 11339" o:spid="_x0000_s1704" type="#_x0000_t202" style="position:absolute;left:3609;top:10393;width:2557;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" filled="f" stroked="f">
              <v:textbox style="mso-fit-shape-to-text:t" inset="5.85pt,.7pt,5.85pt,.7pt">
                <w:txbxContent>
                  <w:p w14:paraId="541700B5" w14:textId="77777777" w:rsidR="003B0864" w:rsidRPr="002B4CBD" w:rsidRDefault="003B0864" w:rsidP="00F52111">
                    <w:pPr>
                      <w:snapToGrid w:val="0"/>
                      <w:jc w:val="center"/>
                      <w:rPr>
                        <w:rFonts w:ascii="ＭＳ 明朝"/>
                        <w:sz w:val="20"/>
                      </w:rPr>
                    </w:pPr>
                    <w:r w:rsidRPr="002B4CBD">
                      <w:rPr>
                        <w:rFonts w:ascii="ＭＳ 明朝" w:hAnsi="ＭＳ 明朝" w:hint="eastAsia"/>
                        <w:sz w:val="20"/>
                      </w:rPr>
                      <w:t>補正された応力拡大係数</w:t>
                    </w:r>
                  </w:p>
                </w:txbxContent>
              </v:textbox>
            </v:shape>
            <v:shape id="Text Box 11340" o:spid="_x0000_s1705" type="#_x0000_t202" style="position:absolute;left:4202;top:13873;width:3010;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" filled="f" stroked="f">
              <v:textbox style="mso-fit-shape-to-text:t" inset="5.85pt,.7pt,5.85pt,.7pt">
                <w:txbxContent>
                  <w:p w14:paraId="68914F2F" w14:textId="77777777" w:rsidR="003B0864" w:rsidRPr="002E6172" w:rsidRDefault="003B0864" w:rsidP="00F52111">
                    <w:pPr>
                      <w:snapToGrid w:val="0"/>
                      <w:jc w:val="center"/>
                      <w:rPr>
                        <w:rFonts w:ascii="ＭＳ 明朝"/>
                        <w:sz w:val="20"/>
                      </w:rPr>
                    </w:pPr>
                    <w:r w:rsidRPr="002E6172">
                      <w:rPr>
                        <w:rFonts w:ascii="ＭＳ 明朝" w:hAnsi="ＭＳ 明朝" w:hint="eastAsia"/>
                        <w:sz w:val="20"/>
                      </w:rPr>
                      <w:t>自由表面からの半径方向距離</w:t>
                    </w:r>
                  </w:p>
                </w:txbxContent>
              </v:textbox>
            </v:shape>
            <v:line id="Line 11341" o:spid="_x0000_s1706" style="position:absolute;visibility:visible" from="6150,10872" to="6150,13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" strokeweight="1pt">
              <v:stroke dashstyle="1 1" endcap="round"/>
            </v:line>
            <v:shape id="Arc 11342" o:spid="_x0000_s1707" style="position:absolute;left:6146;top:10562;width:2287;height:653;flip:x;visibility:visible" coordsize="21561,20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" adj="0,,0" path="m5642,nfc14599,2424,21006,10297,21561,19558em5642,nsc14599,2424,21006,10297,21561,19558l,20850,5642,xe" filled="f" strokeweight="1.5pt">
              <v:stroke dashstyle="dash" joinstyle="round"/>
              <v:formulas/>
              <v:path arrowok="t" o:extrusionok="f" o:connecttype="custom" o:connectlocs="64,0;243,19;0,20" o:connectangles="0,0,0"/>
            </v:shape>
            <v:shape id="Text Box 11343" o:spid="_x0000_s1708" type="#_x0000_t202" style="position:absolute;left:7033;top:13351;width:870;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" stroked="f">
              <v:textbox style="mso-fit-shape-to-text:t" inset="5.85pt,.7pt,5.85pt,.7pt">
                <w:txbxContent>
                  <w:p w14:paraId="3807B98B" w14:textId="77777777" w:rsidR="003B0864" w:rsidRPr="002E6172" w:rsidRDefault="003B0864" w:rsidP="00F52111">
                    <w:pPr>
                      <w:jc w:val="center"/>
                      <w:rPr>
                        <w:sz w:val="20"/>
                      </w:rPr>
                    </w:pPr>
                    <w:r w:rsidRPr="002E6172">
                      <w:rPr>
                        <w:rFonts w:hAnsi="ＭＳ 明朝" w:hint="eastAsia"/>
                        <w:sz w:val="20"/>
                      </w:rPr>
                      <w:t>領域</w:t>
                    </w:r>
                    <w:r w:rsidRPr="002E6172">
                      <w:rPr>
                        <w:sz w:val="20"/>
                      </w:rPr>
                      <w:t>3</w:t>
                    </w:r>
                  </w:p>
                </w:txbxContent>
              </v:textbox>
            </v:shape>
            <v:line id="Line 11344" o:spid="_x0000_s1709" style="position:absolute;visibility:visible" from="6162,12010" to="7016,1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" strokeweight=".5pt"/>
            <v:line id="Line 11345" o:spid="_x0000_s1710" style="position:absolute;visibility:visible" from="6162,12816" to="7016,12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" strokeweight=".5pt"/>
            <v:line id="Line 11346" o:spid="_x0000_s1711" style="position:absolute;visibility:visible" from="6147,11113" to="7001,11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" strokeweight=".5pt"/>
            <v:line id="Line 11347" o:spid="_x0000_s1712" style="position:absolute;visibility:visible" from="6900,11120" to="6900,1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" strokeweight=".5pt">
              <v:stroke startarrow="classic" endarrow="classic"/>
            </v:line>
            <v:line id="Line 11348" o:spid="_x0000_s1713" style="position:absolute;visibility:visible" from="6899,11998" to="6899,12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" strokeweight=".5pt">
              <v:stroke startarrow="classic" endarrow="classic"/>
            </v:line>
            <v:shape id="Text Box 11349" o:spid="_x0000_s1714" type="#_x0000_t202" style="position:absolute;left:6900;top:11365;width:708;height:38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" filled="f" stroked="f">
              <v:textbox style="mso-fit-shape-to-text:t" inset="5.85pt,.7pt,5.85pt,.7pt">
                <w:txbxContent>
                  <w:p w14:paraId="2C3A09A9" w14:textId="77777777" w:rsidR="003B0864" w:rsidRDefault="003B0864" w:rsidP="00F52111">
                    <m:oMathPara>
                      <m:oMath>
                        <m:r>
                          <w:rPr>
                            <w:rFonts w:ascii="Cambria Math" w:hAnsi="Cambria Math"/>
                          </w:rPr>
                          <m:t>Δ</m:t>
                        </m:r>
                        <m:sSub>
                          <m:sSubPr>
                            <m:ctrlPr>
                              <w:rPr>
                                <w:rFonts w:ascii="Cambria Math" w:hAnsi="Cambria Math"/>
                              </w:rPr>
                            </m:ctrlPr>
                          </m:sSubPr>
                          <m:e>
                            <m:r>
                              <w:rPr>
                                <w:rFonts w:ascii="Cambria Math" w:hAnsi="Cambria Math"/>
                              </w:rPr>
                              <m:t>K</m:t>
                            </m:r>
                          </m:e>
                          <m:sub>
                            <m:r>
                              <w:rPr>
                                <w:rFonts w:ascii="Cambria Math" w:hAnsi="Cambria Math"/>
                              </w:rPr>
                              <m:t>1,2</m:t>
                            </m:r>
                          </m:sub>
                        </m:sSub>
                      </m:oMath>
                    </m:oMathPara>
                  </w:p>
                </w:txbxContent>
              </v:textbox>
            </v:shape>
            <v:shape id="Text Box 11350" o:spid="_x0000_s1715" type="#_x0000_t202" style="position:absolute;left:6902;top:12205;width:713;height:38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" filled="f" stroked="f">
              <v:textbox style="mso-fit-shape-to-text:t" inset="5.85pt,.7pt,5.85pt,.7pt">
                <w:txbxContent>
                  <w:p w14:paraId="6A17CDA4" w14:textId="77777777" w:rsidR="003B0864" w:rsidRDefault="003B0864" w:rsidP="00F52111">
                    <m:oMathPara>
                      <m:oMath>
                        <m:r>
                          <w:rPr>
                            <w:rFonts w:ascii="Cambria Math" w:hAnsi="Cambria Math"/>
                          </w:rPr>
                          <m:t>Δ</m:t>
                        </m:r>
                        <m:sSub>
                          <m:sSubPr>
                            <m:ctrlPr>
                              <w:rPr>
                                <w:rFonts w:ascii="Cambria Math" w:hAnsi="Cambria Math"/>
                              </w:rPr>
                            </m:ctrlPr>
                          </m:sSubPr>
                          <m:e>
                            <m:r>
                              <w:rPr>
                                <w:rFonts w:ascii="Cambria Math" w:hAnsi="Cambria Math"/>
                              </w:rPr>
                              <m:t>K</m:t>
                            </m:r>
                          </m:e>
                          <m:sub>
                            <m:r>
                              <w:rPr>
                                <w:rFonts w:ascii="Cambria Math" w:hAnsi="Cambria Math"/>
                              </w:rPr>
                              <m:t>2,3</m:t>
                            </m:r>
                          </m:sub>
                        </m:sSub>
                      </m:oMath>
                    </m:oMathPara>
                  </w:p>
                </w:txbxContent>
              </v:textbox>
            </v:shape>
            <v:line id="Line 11351" o:spid="_x0000_s1716" style="position:absolute;visibility:visible" from="7807,10563" to="8231,10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" strokeweight=".5pt"/>
            <v:line id="Line 11352" o:spid="_x0000_s1717" style="position:absolute;visibility:visible" from="7837,12143" to="8251,12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" strokeweight=".5pt"/>
            <v:line id="Line 11353" o:spid="_x0000_s1718" style="position:absolute;visibility:visible" from="8130,10557" to="8130,12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" strokeweight=".5pt">
              <v:stroke startarrow="classic" endarrow="classic"/>
            </v:line>
            <v:shape id="Text Box 11354" o:spid="_x0000_s1719" type="#_x0000_t202" style="position:absolute;left:8131;top:11130;width:1427;height:38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" filled="f" stroked="f">
              <v:textbox style="mso-fit-shape-to-text:t" inset="5.85pt,.7pt,5.85pt,.7pt">
                <w:txbxContent>
                  <w:p w14:paraId="5C367724" w14:textId="77777777" w:rsidR="003B0864" w:rsidRDefault="003B0864" w:rsidP="00F52111">
                    <m:oMathPara>
                      <m:oMath>
                        <m:r>
                          <w:rPr>
                            <w:rFonts w:ascii="Cambria Math" w:hAnsi="Cambria Math"/>
                          </w:rPr>
                          <m:t>Δ</m:t>
                        </m:r>
                        <m:sSub>
                          <m:sSubPr>
                            <m:ctrlPr>
                              <w:rPr>
                                <w:rFonts w:ascii="Cambria Math" w:hAnsi="Cambria Math"/>
                              </w:rPr>
                            </m:ctrlPr>
                          </m:sSubPr>
                          <m:e>
                            <m:r>
                              <w:rPr>
                                <w:rFonts w:ascii="Cambria Math" w:hAnsi="Cambria Math"/>
                              </w:rPr>
                              <m:t>K</m:t>
                            </m:r>
                          </m:e>
                          <m:sub>
                            <m:r>
                              <w:rPr>
                                <w:rFonts w:ascii="Cambria Math" w:hAnsi="Cambria Math"/>
                              </w:rPr>
                              <m:t>1,2</m:t>
                            </m:r>
                          </m:sub>
                        </m:sSub>
                        <m:r>
                          <w:rPr>
                            <w:rFonts w:ascii="Cambria Math" w:hAnsi="Cambria Math"/>
                          </w:rPr>
                          <m:t>+Δ</m:t>
                        </m:r>
                        <m:sSub>
                          <m:sSubPr>
                            <m:ctrlPr>
                              <w:rPr>
                                <w:rFonts w:ascii="Cambria Math" w:hAnsi="Cambria Math"/>
                              </w:rPr>
                            </m:ctrlPr>
                          </m:sSubPr>
                          <m:e>
                            <m:r>
                              <w:rPr>
                                <w:rFonts w:ascii="Cambria Math" w:hAnsi="Cambria Math"/>
                              </w:rPr>
                              <m:t>K</m:t>
                            </m:r>
                          </m:e>
                          <m:sub>
                            <m:r>
                              <w:rPr>
                                <w:rFonts w:ascii="Cambria Math" w:hAnsi="Cambria Math"/>
                              </w:rPr>
                              <m:t>2,3</m:t>
                            </m:r>
                          </m:sub>
                        </m:sSub>
                      </m:oMath>
                    </m:oMathPara>
                  </w:p>
                </w:txbxContent>
              </v:textbox>
            </v:shape>
            <v:shape id="Arc 11355" o:spid="_x0000_s1720" style="position:absolute;left:6150;top:12136;width:2287;height:703;flip:x;visibility:visible" coordsize="21561,20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" adj="0,,0" path="m5642,nfc14599,2424,21006,10297,21561,19558em5642,nsc14599,2424,21006,10297,21561,19558l,20850,5642,xe" filled="f" strokeweight="1pt">
              <v:stroke joinstyle="round"/>
              <v:formulas/>
              <v:path arrowok="t" o:extrusionok="f" o:connecttype="custom" o:connectlocs="64,0;243,22;0,24" o:connectangles="0,0,0"/>
            </v:shape>
            <w10:anchorlock/>
          </v:group>
        </w:pict>
      </w:r>
    </w:p>
    <w:p w14:paraId="1EE67DBF" w14:textId="77777777" w:rsidR="00F52111" w:rsidRPr="00BC31E0" w:rsidRDefault="00F52111" w:rsidP="005C6DFC">
      <w:pPr>
        <w:pStyle w:val="af4"/>
      </w:pPr>
      <w:r w:rsidRPr="00BC31E0">
        <w:rPr>
          <w:rFonts w:hint="eastAsia"/>
        </w:rPr>
        <w:t>図</w:t>
      </w:r>
      <w:r w:rsidRPr="00BC31E0">
        <w:t>C.4</w:t>
      </w:r>
      <w:r w:rsidRPr="00BC31E0">
        <w:rPr>
          <w:rFonts w:hint="eastAsia"/>
        </w:rPr>
        <w:t xml:space="preserve">　領域境界における不連続な応力拡大係数の補正</w:t>
      </w:r>
    </w:p>
    <w:p w14:paraId="0B72C7A1" w14:textId="77777777" w:rsidR="00F52111" w:rsidRPr="00BC31E0" w:rsidRDefault="00F52111" w:rsidP="005C6DFC">
      <w:pPr>
        <w:pStyle w:val="af4"/>
        <w:jc w:val="both"/>
      </w:pPr>
    </w:p>
    <w:p w14:paraId="4D612AA7" w14:textId="77777777" w:rsidR="00F52111" w:rsidRPr="00BC31E0" w:rsidRDefault="00F52111" w:rsidP="005C6DFC">
      <w:pPr>
        <w:widowControl/>
        <w:jc w:val="left"/>
        <w:rPr>
          <w:rFonts w:ascii="ＭＳ ゴシック" w:eastAsia="ＭＳ ゴシック"/>
          <w:b/>
        </w:rPr>
      </w:pPr>
      <w:r w:rsidRPr="00BC31E0">
        <w:br w:type="page"/>
      </w:r>
    </w:p>
    <w:p w14:paraId="23AE273B" w14:textId="77777777" w:rsidR="00F52111" w:rsidRPr="00BC31E0" w:rsidRDefault="00F52111" w:rsidP="00736130">
      <w:pPr>
        <w:pStyle w:val="110"/>
        <w:numPr>
          <w:ilvl w:val="1"/>
          <w:numId w:val="223"/>
        </w:numPr>
        <w:tabs>
          <w:tab w:val="clear" w:pos="510"/>
        </w:tabs>
        <w:spacing w:line="240" w:lineRule="auto"/>
        <w:ind w:left="567" w:hanging="567"/>
        <w:jc w:val="both"/>
      </w:pPr>
      <w:r w:rsidRPr="00BC31E0">
        <w:lastRenderedPageBreak/>
        <w:t>D</w:t>
      </w:r>
      <w:r w:rsidRPr="00BC31E0">
        <w:rPr>
          <w:rFonts w:hint="eastAsia"/>
        </w:rPr>
        <w:t>タイプ，</w:t>
      </w:r>
      <w:r w:rsidRPr="00BC31E0">
        <w:t>E</w:t>
      </w:r>
      <w:r w:rsidRPr="00BC31E0">
        <w:rPr>
          <w:rFonts w:hint="eastAsia"/>
        </w:rPr>
        <w:t>タイプ及び</w:t>
      </w:r>
      <w:r w:rsidRPr="00BC31E0">
        <w:t>F</w:t>
      </w:r>
      <w:r w:rsidRPr="00BC31E0">
        <w:rPr>
          <w:rFonts w:hint="eastAsia"/>
        </w:rPr>
        <w:t>タイプ亀裂</w:t>
      </w:r>
    </w:p>
    <w:p w14:paraId="6B23BEC0" w14:textId="77777777" w:rsidR="00F52111" w:rsidRPr="00BC31E0" w:rsidRDefault="00F52111" w:rsidP="00A32ADF">
      <w:pPr>
        <w:pStyle w:val="113"/>
        <w:ind w:firstLine="210"/>
      </w:pPr>
      <w:r w:rsidRPr="00BC31E0">
        <w:t>D</w:t>
      </w:r>
      <w:r w:rsidRPr="00BC31E0">
        <w:rPr>
          <w:rFonts w:hint="eastAsia"/>
        </w:rPr>
        <w:t>タイプ，</w:t>
      </w:r>
      <w:r w:rsidRPr="00BC31E0">
        <w:t>E</w:t>
      </w:r>
      <w:r w:rsidRPr="00BC31E0">
        <w:rPr>
          <w:rFonts w:hint="eastAsia"/>
        </w:rPr>
        <w:t>タイプ及び</w:t>
      </w:r>
      <w:r w:rsidRPr="00BC31E0">
        <w:t>F</w:t>
      </w:r>
      <w:r w:rsidRPr="00BC31E0">
        <w:rPr>
          <w:rFonts w:hint="eastAsia"/>
        </w:rPr>
        <w:t>タイプ亀裂に対する応力拡大係数は，次の</w:t>
      </w:r>
      <w:r w:rsidRPr="00BC31E0">
        <w:rPr>
          <w:rFonts w:asciiTheme="majorEastAsia" w:eastAsiaTheme="majorEastAsia" w:hAnsiTheme="majorEastAsia" w:hint="eastAsia"/>
          <w:b/>
        </w:rPr>
        <w:t>a)</w:t>
      </w:r>
      <w:r w:rsidRPr="00BC31E0">
        <w:rPr>
          <w:rFonts w:hint="eastAsia"/>
        </w:rPr>
        <w:t>～</w:t>
      </w:r>
      <w:r w:rsidRPr="00BC31E0">
        <w:rPr>
          <w:rFonts w:asciiTheme="majorEastAsia" w:eastAsiaTheme="majorEastAsia" w:hAnsiTheme="majorEastAsia" w:hint="eastAsia"/>
          <w:b/>
        </w:rPr>
        <w:t>c)</w:t>
      </w:r>
      <w:r w:rsidRPr="00BC31E0">
        <w:rPr>
          <w:rFonts w:hint="eastAsia"/>
        </w:rPr>
        <w:t>による。</w:t>
      </w:r>
    </w:p>
    <w:p w14:paraId="5559AE0E" w14:textId="77777777" w:rsidR="005C6DFC" w:rsidRPr="00BC31E0" w:rsidRDefault="00F52111" w:rsidP="00736130">
      <w:pPr>
        <w:pStyle w:val="a4"/>
        <w:numPr>
          <w:ilvl w:val="0"/>
          <w:numId w:val="624"/>
        </w:numPr>
        <w:ind w:leftChars="0" w:left="454" w:hanging="454"/>
      </w:pPr>
      <w:r w:rsidRPr="00BC31E0">
        <w:t>D</w:t>
      </w:r>
      <w:r w:rsidRPr="00BC31E0">
        <w:rPr>
          <w:rFonts w:hint="eastAsia"/>
        </w:rPr>
        <w:t>タイプ，</w:t>
      </w:r>
      <w:r w:rsidRPr="00BC31E0">
        <w:t>E</w:t>
      </w:r>
      <w:r w:rsidRPr="00BC31E0">
        <w:rPr>
          <w:rFonts w:hint="eastAsia"/>
        </w:rPr>
        <w:t>タイプ及び</w:t>
      </w:r>
      <w:r w:rsidRPr="00BC31E0">
        <w:t>F</w:t>
      </w:r>
      <w:r w:rsidRPr="00BC31E0">
        <w:rPr>
          <w:rFonts w:hint="eastAsia"/>
        </w:rPr>
        <w:t>タイプ亀裂の応力拡大係数は，</w:t>
      </w:r>
      <w:r w:rsidRPr="00BC31E0">
        <w:rPr>
          <w:rFonts w:asciiTheme="majorEastAsia" w:eastAsiaTheme="majorEastAsia" w:hAnsiTheme="majorEastAsia"/>
          <w:b/>
          <w:bCs/>
        </w:rPr>
        <w:t>4.1</w:t>
      </w:r>
      <w:r w:rsidRPr="00BC31E0">
        <w:rPr>
          <w:rFonts w:hint="eastAsia"/>
        </w:rPr>
        <w:t>の方法を用いて決定する</w:t>
      </w:r>
      <w:r w:rsidR="001171DA" w:rsidRPr="00BC31E0">
        <w:rPr>
          <w:rFonts w:asciiTheme="majorEastAsia" w:eastAsiaTheme="majorEastAsia" w:hAnsiTheme="majorEastAsia" w:hint="eastAsia"/>
          <w:b/>
          <w:vertAlign w:val="superscript"/>
        </w:rPr>
        <w:t>5)</w:t>
      </w:r>
      <w:r w:rsidRPr="00BC31E0">
        <w:rPr>
          <w:rFonts w:hint="eastAsia"/>
        </w:rPr>
        <w:t>。</w:t>
      </w:r>
      <w:r w:rsidRPr="00BC31E0">
        <w:rPr>
          <w:rFonts w:hint="eastAsia"/>
        </w:rPr>
        <w:t>D</w:t>
      </w:r>
      <w:r w:rsidRPr="00BC31E0">
        <w:rPr>
          <w:rFonts w:hint="eastAsia"/>
        </w:rPr>
        <w:t>タイプ亀裂のように，局部応力集中による急激な応力勾配のために，亀裂深さ方向の応力分布を単一の多項式で近似することが困難な場合には，</w:t>
      </w:r>
      <w:r w:rsidRPr="00BC31E0">
        <w:rPr>
          <w:rFonts w:hint="eastAsia"/>
        </w:rPr>
        <w:t>C</w:t>
      </w:r>
      <w:r w:rsidRPr="00BC31E0">
        <w:rPr>
          <w:rFonts w:hint="eastAsia"/>
        </w:rPr>
        <w:t>タイプ亀裂の</w:t>
      </w:r>
      <w:r w:rsidRPr="00BC31E0">
        <w:rPr>
          <w:rFonts w:asciiTheme="majorEastAsia" w:eastAsiaTheme="majorEastAsia" w:hAnsiTheme="majorEastAsia" w:hint="eastAsia"/>
          <w:b/>
          <w:bCs/>
        </w:rPr>
        <w:t>4.3 b)</w:t>
      </w:r>
      <w:r w:rsidRPr="00BC31E0">
        <w:rPr>
          <w:rFonts w:hint="eastAsia"/>
        </w:rPr>
        <w:t>及び</w:t>
      </w:r>
      <w:r w:rsidR="00924106" w:rsidRPr="00BC31E0">
        <w:rPr>
          <w:rFonts w:asciiTheme="majorEastAsia" w:eastAsiaTheme="majorEastAsia" w:hAnsiTheme="majorEastAsia" w:hint="eastAsia"/>
          <w:b/>
          <w:bCs/>
        </w:rPr>
        <w:t xml:space="preserve">4.3 </w:t>
      </w:r>
      <w:r w:rsidRPr="00BC31E0">
        <w:rPr>
          <w:rFonts w:asciiTheme="majorEastAsia" w:eastAsiaTheme="majorEastAsia" w:hAnsiTheme="majorEastAsia" w:hint="eastAsia"/>
          <w:b/>
          <w:bCs/>
        </w:rPr>
        <w:t>c)</w:t>
      </w:r>
      <w:r w:rsidRPr="00BC31E0">
        <w:rPr>
          <w:rFonts w:hint="eastAsia"/>
        </w:rPr>
        <w:t>ように，亀裂深さ方向を複数の領域で分割する方法を用いる。</w:t>
      </w:r>
    </w:p>
    <w:p w14:paraId="6C7734E9" w14:textId="77777777" w:rsidR="005C6DFC" w:rsidRPr="00BC31E0" w:rsidRDefault="00F52111" w:rsidP="00736130">
      <w:pPr>
        <w:pStyle w:val="a4"/>
        <w:numPr>
          <w:ilvl w:val="0"/>
          <w:numId w:val="624"/>
        </w:numPr>
        <w:ind w:leftChars="0" w:left="454" w:hanging="454"/>
      </w:pPr>
      <w:r w:rsidRPr="00BC31E0">
        <w:t>D</w:t>
      </w:r>
      <w:r w:rsidRPr="00BC31E0">
        <w:rPr>
          <w:rFonts w:hint="eastAsia"/>
        </w:rPr>
        <w:t>タイプ及び</w:t>
      </w:r>
      <w:r w:rsidRPr="00BC31E0">
        <w:t>F</w:t>
      </w:r>
      <w:r w:rsidRPr="00BC31E0">
        <w:rPr>
          <w:rFonts w:hint="eastAsia"/>
        </w:rPr>
        <w:t>タイプ亀裂では，亀裂面に垂直な方向に作用する応力分布は，容器に亀裂が存在しないとした有限要素法などの応力解析によって決定する。</w:t>
      </w:r>
    </w:p>
    <w:p w14:paraId="3435C914" w14:textId="77777777" w:rsidR="00F52111" w:rsidRPr="00BC31E0" w:rsidRDefault="00F52111" w:rsidP="00736130">
      <w:pPr>
        <w:pStyle w:val="a4"/>
        <w:numPr>
          <w:ilvl w:val="0"/>
          <w:numId w:val="624"/>
        </w:numPr>
        <w:ind w:leftChars="0" w:left="454" w:hanging="454"/>
      </w:pPr>
      <w:r w:rsidRPr="00BC31E0">
        <w:t>E</w:t>
      </w:r>
      <w:r w:rsidRPr="00BC31E0">
        <w:rPr>
          <w:rFonts w:hint="eastAsia"/>
        </w:rPr>
        <w:t>タイプ亀裂では，内圧による応力拡大係数を決定するために，</w:t>
      </w:r>
      <w:r w:rsidRPr="00BC31E0">
        <w:t>Láme</w:t>
      </w:r>
      <w:r w:rsidRPr="00BC31E0">
        <w:rPr>
          <w:rFonts w:hint="eastAsia"/>
        </w:rPr>
        <w:t>の式による周方向応力を用いる。</w:t>
      </w:r>
    </w:p>
    <w:p w14:paraId="0E6FD69D" w14:textId="77777777" w:rsidR="00F52111" w:rsidRPr="00BC31E0" w:rsidRDefault="00F52111" w:rsidP="00736130">
      <w:pPr>
        <w:pStyle w:val="110"/>
        <w:numPr>
          <w:ilvl w:val="1"/>
          <w:numId w:val="223"/>
        </w:numPr>
        <w:tabs>
          <w:tab w:val="clear" w:pos="510"/>
        </w:tabs>
        <w:spacing w:line="240" w:lineRule="auto"/>
        <w:ind w:left="567" w:hanging="567"/>
        <w:jc w:val="both"/>
      </w:pPr>
      <w:r w:rsidRPr="00BC31E0">
        <w:rPr>
          <w:rFonts w:hint="eastAsia"/>
        </w:rPr>
        <w:t>重み関数法による応力拡大係数の決定方法</w:t>
      </w:r>
    </w:p>
    <w:p w14:paraId="73891069" w14:textId="77777777" w:rsidR="00F52111" w:rsidRPr="00BC31E0" w:rsidRDefault="00F52111" w:rsidP="00A32ADF">
      <w:pPr>
        <w:pStyle w:val="113"/>
        <w:spacing w:after="120"/>
        <w:ind w:firstLine="210"/>
      </w:pPr>
      <w:r w:rsidRPr="00BC31E0">
        <w:rPr>
          <w:rFonts w:hint="eastAsia"/>
        </w:rPr>
        <w:t>半楕円表面亀裂の重み関数法による応力拡大係数は，次式で与えられる</w:t>
      </w:r>
      <w:r w:rsidRPr="00BC31E0">
        <w:rPr>
          <w:rFonts w:asciiTheme="majorEastAsia" w:eastAsiaTheme="majorEastAsia" w:hAnsiTheme="majorEastAsia" w:hint="eastAsia"/>
          <w:b/>
          <w:vertAlign w:val="superscript"/>
        </w:rPr>
        <w:t>3),4)</w:t>
      </w:r>
      <w:r w:rsidRPr="00BC31E0">
        <w:rPr>
          <w:rFonts w:hint="eastAsia"/>
        </w:rPr>
        <w:t>。</w:t>
      </w:r>
    </w:p>
    <w:tbl>
      <w:tblPr>
        <w:tblStyle w:val="afff2"/>
        <w:tblW w:w="5953" w:type="dxa"/>
        <w:tblInd w:w="3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9"/>
        <w:gridCol w:w="3854"/>
      </w:tblGrid>
      <w:tr w:rsidR="00F52111" w:rsidRPr="00BC31E0" w14:paraId="2E143ECA" w14:textId="77777777" w:rsidTr="004736F2">
        <w:tc>
          <w:tcPr>
            <w:tcW w:w="0" w:type="auto"/>
            <w:tcMar>
              <w:left w:w="0" w:type="dxa"/>
              <w:right w:w="0" w:type="dxa"/>
            </w:tcMar>
            <w:vAlign w:val="center"/>
          </w:tcPr>
          <w:p w14:paraId="6C478201" w14:textId="77777777" w:rsidR="00F52111" w:rsidRPr="00BC31E0" w:rsidRDefault="00A51873" w:rsidP="00A32ADF">
            <w:pPr>
              <w:jc w:val="left"/>
              <w:rPr>
                <w:i/>
              </w:rPr>
            </w:pPr>
            <m:oMathPara>
              <m:oMathParaPr>
                <m:jc m:val="left"/>
              </m:oMathParaPr>
              <m:oMath>
                <m:sSub>
                  <m:sSubPr>
                    <m:ctrlPr>
                      <w:rPr>
                        <w:rFonts w:ascii="Cambria Math" w:hAnsi="Cambria Math"/>
                        <w:i/>
                      </w:rPr>
                    </m:ctrlPr>
                  </m:sSubPr>
                  <m:e>
                    <m:r>
                      <w:rPr>
                        <w:rFonts w:ascii="Cambria Math" w:hAnsi="Cambria Math"/>
                      </w:rPr>
                      <m:t>K</m:t>
                    </m:r>
                  </m:e>
                  <m:sub>
                    <m:r>
                      <m:rPr>
                        <m:sty m:val="p"/>
                      </m:rPr>
                      <w:rPr>
                        <w:rFonts w:ascii="Cambria Math" w:hAnsi="Cambria Math"/>
                      </w:rPr>
                      <m:t>I</m:t>
                    </m:r>
                  </m:sub>
                </m:sSub>
                <m:r>
                  <w:rPr>
                    <w:rFonts w:ascii="Cambria Math" w:hAnsi="Cambria Math"/>
                  </w:rPr>
                  <m:t>=</m:t>
                </m:r>
                <m:nary>
                  <m:naryPr>
                    <m:limLoc m:val="subSup"/>
                    <m:ctrlPr>
                      <w:rPr>
                        <w:rFonts w:ascii="Cambria Math" w:hAnsi="Cambria Math"/>
                        <w:i/>
                      </w:rPr>
                    </m:ctrlPr>
                  </m:naryPr>
                  <m:sub>
                    <m:r>
                      <w:rPr>
                        <w:rFonts w:ascii="Cambria Math" w:hAnsi="Cambria Math"/>
                      </w:rPr>
                      <m:t>0</m:t>
                    </m:r>
                  </m:sub>
                  <m:sup>
                    <m:r>
                      <w:rPr>
                        <w:rFonts w:ascii="Cambria Math" w:hAnsi="Cambria Math"/>
                      </w:rPr>
                      <m:t>a</m:t>
                    </m:r>
                  </m:sup>
                  <m:e>
                    <m:r>
                      <w:rPr>
                        <w:rFonts w:ascii="Cambria Math" w:hAnsi="Cambria Math"/>
                      </w:rPr>
                      <m:t>h</m:t>
                    </m:r>
                    <m:d>
                      <m:dPr>
                        <m:ctrlPr>
                          <w:rPr>
                            <w:rFonts w:ascii="Cambria Math" w:hAnsi="Cambria Math"/>
                            <w:i/>
                          </w:rPr>
                        </m:ctrlPr>
                      </m:dPr>
                      <m:e>
                        <m:r>
                          <w:rPr>
                            <w:rFonts w:ascii="Cambria Math" w:hAnsi="Cambria Math"/>
                          </w:rPr>
                          <m:t>x, a</m:t>
                        </m:r>
                      </m:e>
                    </m:d>
                    <m:r>
                      <w:rPr>
                        <w:rFonts w:ascii="Cambria Math" w:hAnsi="Cambria Math"/>
                      </w:rPr>
                      <m:t xml:space="preserve"> σ</m:t>
                    </m:r>
                    <m:d>
                      <m:dPr>
                        <m:ctrlPr>
                          <w:rPr>
                            <w:rFonts w:ascii="Cambria Math" w:hAnsi="Cambria Math"/>
                            <w:i/>
                          </w:rPr>
                        </m:ctrlPr>
                      </m:dPr>
                      <m:e>
                        <m:r>
                          <w:rPr>
                            <w:rFonts w:ascii="Cambria Math" w:hAnsi="Cambria Math"/>
                          </w:rPr>
                          <m:t>x</m:t>
                        </m:r>
                      </m:e>
                    </m:d>
                    <m:r>
                      <w:rPr>
                        <w:rFonts w:ascii="Cambria Math" w:hAnsi="Cambria Math"/>
                      </w:rPr>
                      <m:t xml:space="preserve"> dx</m:t>
                    </m:r>
                  </m:e>
                </m:nary>
              </m:oMath>
            </m:oMathPara>
          </w:p>
        </w:tc>
        <w:tc>
          <w:tcPr>
            <w:tcW w:w="3854" w:type="dxa"/>
            <w:tcMar>
              <w:left w:w="0" w:type="dxa"/>
              <w:right w:w="0" w:type="dxa"/>
            </w:tcMar>
            <w:vAlign w:val="center"/>
          </w:tcPr>
          <w:p w14:paraId="0E5355EE" w14:textId="77777777" w:rsidR="00F52111" w:rsidRPr="00BC31E0" w:rsidRDefault="00F52111" w:rsidP="00A32ADF">
            <w:pPr>
              <w:tabs>
                <w:tab w:val="left" w:leader="middleDot" w:pos="3287"/>
              </w:tabs>
              <w:jc w:val="left"/>
            </w:pPr>
            <w:r w:rsidRPr="00BC31E0">
              <w:tab/>
            </w:r>
            <w:r w:rsidRPr="00BC31E0">
              <w:rPr>
                <w:rFonts w:hint="eastAsia"/>
              </w:rPr>
              <w:t>(21)</w:t>
            </w:r>
          </w:p>
        </w:tc>
      </w:tr>
    </w:tbl>
    <w:p w14:paraId="59B98F1E" w14:textId="77777777" w:rsidR="00F52111" w:rsidRPr="00BC31E0" w:rsidRDefault="00F52111" w:rsidP="00924106">
      <w:pPr>
        <w:ind w:firstLineChars="200" w:firstLine="420"/>
      </w:pPr>
      <w:r w:rsidRPr="00BC31E0">
        <w:rPr>
          <w:rFonts w:hint="eastAsia"/>
        </w:rPr>
        <w:t>ここで，</w:t>
      </w:r>
    </w:p>
    <w:p w14:paraId="3EB45388" w14:textId="77777777" w:rsidR="00F52111" w:rsidRPr="00BC31E0" w:rsidRDefault="00F52111" w:rsidP="00A32ADF">
      <w:pPr>
        <w:tabs>
          <w:tab w:val="left" w:pos="1134"/>
          <w:tab w:val="left" w:pos="1843"/>
        </w:tabs>
        <w:rPr>
          <w:rFonts w:asciiTheme="minorHAnsi" w:eastAsiaTheme="minorEastAsia" w:hAnsiTheme="minorHAnsi" w:cs="Tahoma"/>
        </w:rPr>
      </w:pPr>
      <w:r w:rsidRPr="00BC31E0">
        <w:rPr>
          <w:rFonts w:hint="eastAsia"/>
        </w:rPr>
        <w:tab/>
      </w:r>
      <m:oMath>
        <m:r>
          <w:rPr>
            <w:rFonts w:ascii="Cambria Math" w:eastAsiaTheme="minorEastAsia" w:hAnsi="Cambria Math" w:cs="Tahoma"/>
          </w:rPr>
          <m:t>a</m:t>
        </m:r>
      </m:oMath>
      <w:r w:rsidRPr="00BC31E0">
        <w:rPr>
          <w:rFonts w:asciiTheme="minorHAnsi" w:eastAsiaTheme="minorEastAsia" w:hAnsiTheme="minorHAnsi" w:cs="Tahoma" w:hint="eastAsia"/>
        </w:rPr>
        <w:tab/>
      </w:r>
      <w:r w:rsidRPr="00BC31E0">
        <w:rPr>
          <w:rFonts w:asciiTheme="minorHAnsi" w:eastAsiaTheme="minorEastAsia" w:hAnsiTheme="minorHAnsi" w:cs="Tahoma" w:hint="eastAsia"/>
        </w:rPr>
        <w:t>：</w:t>
      </w:r>
      <w:r w:rsidRPr="00BC31E0">
        <w:rPr>
          <w:rFonts w:asciiTheme="minorHAnsi" w:eastAsiaTheme="minorEastAsia" w:hAnsiTheme="minorHAnsi" w:cs="Tahoma" w:hint="eastAsia"/>
        </w:rPr>
        <w:t xml:space="preserve"> </w:t>
      </w:r>
      <w:r w:rsidRPr="00BC31E0">
        <w:rPr>
          <w:rFonts w:asciiTheme="minorHAnsi" w:eastAsiaTheme="minorEastAsia" w:hAnsiTheme="minorHAnsi" w:cs="Tahoma" w:hint="eastAsia"/>
        </w:rPr>
        <w:t>亀裂深</w:t>
      </w:r>
      <w:r w:rsidRPr="00BC31E0">
        <w:rPr>
          <w:rFonts w:asciiTheme="minorHAnsi" w:eastAsiaTheme="minorEastAsia" w:hAnsiTheme="minorHAnsi" w:cs="Tahoma" w:hint="eastAsia"/>
        </w:rPr>
        <w:t>(</w:t>
      </w:r>
      <w:r w:rsidRPr="00BC31E0">
        <w:rPr>
          <w:rFonts w:ascii="Cambria Math" w:eastAsiaTheme="minorEastAsia" w:hAnsi="Cambria Math" w:cs="Tahoma"/>
        </w:rPr>
        <w:t>m</w:t>
      </w:r>
      <w:r w:rsidRPr="00BC31E0">
        <w:rPr>
          <w:rFonts w:asciiTheme="minorHAnsi" w:eastAsiaTheme="minorEastAsia" w:hAnsiTheme="minorHAnsi" w:cs="Tahoma" w:hint="eastAsia"/>
        </w:rPr>
        <w:t>)</w:t>
      </w:r>
    </w:p>
    <w:p w14:paraId="26F555E2" w14:textId="77777777" w:rsidR="00F52111" w:rsidRPr="00BC31E0" w:rsidRDefault="00F52111" w:rsidP="00A32ADF">
      <w:pPr>
        <w:tabs>
          <w:tab w:val="left" w:pos="1134"/>
          <w:tab w:val="left" w:pos="1843"/>
        </w:tabs>
        <w:rPr>
          <w:rFonts w:asciiTheme="minorHAnsi" w:eastAsiaTheme="minorEastAsia" w:hAnsiTheme="minorHAnsi" w:cs="Tahoma"/>
        </w:rPr>
      </w:pPr>
      <w:r w:rsidRPr="00BC31E0">
        <w:rPr>
          <w:rFonts w:asciiTheme="minorHAnsi" w:eastAsiaTheme="minorEastAsia" w:hAnsiTheme="minorHAnsi" w:cs="Tahoma" w:hint="eastAsia"/>
        </w:rPr>
        <w:tab/>
      </w:r>
      <m:oMath>
        <m:r>
          <w:rPr>
            <w:rFonts w:ascii="Cambria Math" w:eastAsiaTheme="minorEastAsia" w:hAnsi="Cambria Math" w:cs="Tahoma" w:hint="eastAsia"/>
          </w:rPr>
          <m:t>x</m:t>
        </m:r>
      </m:oMath>
      <w:r w:rsidRPr="00BC31E0">
        <w:rPr>
          <w:rFonts w:asciiTheme="minorHAnsi" w:eastAsiaTheme="minorEastAsia" w:hAnsiTheme="minorHAnsi" w:cs="Tahoma" w:hint="eastAsia"/>
        </w:rPr>
        <w:tab/>
      </w:r>
      <w:r w:rsidRPr="00BC31E0">
        <w:rPr>
          <w:rFonts w:asciiTheme="minorHAnsi" w:eastAsiaTheme="minorEastAsia" w:hAnsiTheme="minorHAnsi" w:cs="Tahoma" w:hint="eastAsia"/>
        </w:rPr>
        <w:t>：</w:t>
      </w:r>
      <w:r w:rsidRPr="00BC31E0">
        <w:rPr>
          <w:rFonts w:asciiTheme="minorHAnsi" w:eastAsiaTheme="minorEastAsia" w:hAnsiTheme="minorHAnsi" w:cs="Tahoma" w:hint="eastAsia"/>
        </w:rPr>
        <w:t xml:space="preserve"> </w:t>
      </w:r>
      <w:r w:rsidRPr="00BC31E0">
        <w:rPr>
          <w:rFonts w:hint="eastAsia"/>
        </w:rPr>
        <w:t>表面からの厚さ方向距離，</w:t>
      </w:r>
      <m:oMath>
        <m:r>
          <w:rPr>
            <w:rFonts w:ascii="Cambria Math" w:hAnsi="Cambria Math" w:hint="eastAsia"/>
          </w:rPr>
          <m:t>0</m:t>
        </m:r>
        <m:r>
          <w:rPr>
            <w:rFonts w:ascii="Cambria Math" w:hAnsi="Cambria Math" w:hint="eastAsia"/>
          </w:rPr>
          <m:t>≦</m:t>
        </m:r>
        <m:r>
          <w:rPr>
            <w:rFonts w:ascii="Cambria Math" w:hAnsi="Cambria Math"/>
          </w:rPr>
          <m:t>x</m:t>
        </m:r>
        <m:r>
          <w:rPr>
            <w:rFonts w:ascii="Cambria Math" w:hAnsi="Cambria Math" w:hint="eastAsia"/>
          </w:rPr>
          <m:t>≦</m:t>
        </m:r>
        <m:r>
          <w:rPr>
            <w:rFonts w:ascii="Cambria Math" w:hAnsi="Cambria Math"/>
          </w:rPr>
          <m:t xml:space="preserve">a </m:t>
        </m:r>
      </m:oMath>
      <w:r w:rsidRPr="00BC31E0">
        <w:rPr>
          <w:rFonts w:asciiTheme="minorHAnsi" w:eastAsiaTheme="minorEastAsia" w:hAnsiTheme="minorHAnsi" w:cs="Tahoma" w:hint="eastAsia"/>
        </w:rPr>
        <w:t>(</w:t>
      </w:r>
      <w:r w:rsidRPr="00BC31E0">
        <w:rPr>
          <w:rFonts w:ascii="Cambria Math" w:eastAsiaTheme="minorEastAsia" w:hAnsi="Cambria Math" w:cs="Tahoma"/>
        </w:rPr>
        <w:t>m</w:t>
      </w:r>
      <w:r w:rsidRPr="00BC31E0">
        <w:rPr>
          <w:rFonts w:asciiTheme="minorHAnsi" w:eastAsiaTheme="minorEastAsia" w:hAnsiTheme="minorHAnsi" w:cs="Tahoma" w:hint="eastAsia"/>
        </w:rPr>
        <w:t>)</w:t>
      </w:r>
    </w:p>
    <w:p w14:paraId="2CEC91E6" w14:textId="77777777" w:rsidR="00F52111" w:rsidRPr="00BC31E0" w:rsidRDefault="00F52111" w:rsidP="00A32ADF">
      <w:pPr>
        <w:tabs>
          <w:tab w:val="left" w:pos="1134"/>
          <w:tab w:val="left" w:pos="1843"/>
        </w:tabs>
      </w:pPr>
      <w:r w:rsidRPr="00BC31E0">
        <w:rPr>
          <w:rFonts w:asciiTheme="minorHAnsi" w:eastAsiaTheme="minorEastAsia" w:hAnsiTheme="minorHAnsi" w:cs="Tahoma" w:hint="eastAsia"/>
        </w:rPr>
        <w:tab/>
      </w:r>
      <m:oMath>
        <m:r>
          <w:rPr>
            <w:rFonts w:ascii="Cambria Math" w:hAnsi="Cambria Math"/>
          </w:rPr>
          <m:t>h</m:t>
        </m:r>
        <m:d>
          <m:dPr>
            <m:ctrlPr>
              <w:rPr>
                <w:rFonts w:ascii="Cambria Math" w:hAnsi="Cambria Math"/>
              </w:rPr>
            </m:ctrlPr>
          </m:dPr>
          <m:e>
            <m:r>
              <w:rPr>
                <w:rFonts w:ascii="Cambria Math" w:hAnsi="Cambria Math"/>
              </w:rPr>
              <m:t>x, a</m:t>
            </m:r>
          </m:e>
        </m:d>
        <m:r>
          <m:rPr>
            <m:sty m:val="p"/>
          </m:rPr>
          <w:rPr>
            <w:rFonts w:ascii="Cambria Math" w:hAnsi="Cambria Math"/>
          </w:rPr>
          <m:t xml:space="preserve"> </m:t>
        </m:r>
      </m:oMath>
      <w:r w:rsidRPr="00BC31E0">
        <w:rPr>
          <w:rFonts w:hint="eastAsia"/>
        </w:rPr>
        <w:tab/>
      </w:r>
      <w:r w:rsidRPr="00BC31E0">
        <w:rPr>
          <w:rFonts w:hint="eastAsia"/>
        </w:rPr>
        <w:t>：</w:t>
      </w:r>
      <w:r w:rsidRPr="00BC31E0">
        <w:rPr>
          <w:rFonts w:hint="eastAsia"/>
        </w:rPr>
        <w:t xml:space="preserve"> </w:t>
      </w:r>
      <w:r w:rsidRPr="00BC31E0">
        <w:rPr>
          <w:rFonts w:hint="eastAsia"/>
        </w:rPr>
        <w:t>重み関数</w:t>
      </w:r>
    </w:p>
    <w:p w14:paraId="0AA5F362" w14:textId="77777777" w:rsidR="00F52111" w:rsidRPr="00BC31E0" w:rsidRDefault="00F52111" w:rsidP="00A32ADF">
      <w:pPr>
        <w:tabs>
          <w:tab w:val="left" w:pos="1134"/>
          <w:tab w:val="left" w:pos="1843"/>
        </w:tabs>
        <w:rPr>
          <w:rFonts w:asciiTheme="minorHAnsi" w:eastAsiaTheme="minorEastAsia" w:hAnsiTheme="minorHAnsi" w:cs="Tahoma"/>
        </w:rPr>
      </w:pPr>
      <w:r w:rsidRPr="00BC31E0">
        <w:rPr>
          <w:rFonts w:hint="eastAsia"/>
        </w:rPr>
        <w:tab/>
      </w:r>
      <m:oMath>
        <m:r>
          <m:rPr>
            <m:sty m:val="p"/>
          </m:rPr>
          <w:rPr>
            <w:rFonts w:ascii="Cambria Math" w:hAnsi="Cambria Math"/>
          </w:rPr>
          <m:t>σ</m:t>
        </m:r>
        <m:d>
          <m:dPr>
            <m:ctrlPr>
              <w:rPr>
                <w:rFonts w:ascii="Cambria Math" w:hAnsi="Cambria Math"/>
              </w:rPr>
            </m:ctrlPr>
          </m:dPr>
          <m:e>
            <m:r>
              <w:rPr>
                <w:rFonts w:ascii="Cambria Math" w:hAnsi="Cambria Math"/>
              </w:rPr>
              <m:t>x</m:t>
            </m:r>
          </m:e>
        </m:d>
        <m:r>
          <m:rPr>
            <m:sty m:val="p"/>
          </m:rPr>
          <w:rPr>
            <w:rFonts w:ascii="Cambria Math" w:hAnsi="Cambria Math"/>
          </w:rPr>
          <m:t xml:space="preserve"> </m:t>
        </m:r>
      </m:oMath>
      <w:r w:rsidRPr="00BC31E0">
        <w:rPr>
          <w:rFonts w:hint="eastAsia"/>
        </w:rPr>
        <w:tab/>
      </w:r>
      <w:r w:rsidRPr="00BC31E0">
        <w:rPr>
          <w:rFonts w:hint="eastAsia"/>
        </w:rPr>
        <w:t>：</w:t>
      </w:r>
      <w:r w:rsidRPr="00BC31E0">
        <w:rPr>
          <w:rFonts w:hint="eastAsia"/>
        </w:rPr>
        <w:t xml:space="preserve"> </w:t>
      </w:r>
      <w:r w:rsidRPr="00BC31E0">
        <w:rPr>
          <w:rFonts w:asciiTheme="minorEastAsia" w:eastAsiaTheme="minorEastAsia" w:hAnsiTheme="minorEastAsia" w:hint="eastAsia"/>
        </w:rPr>
        <w:t>亀裂面に対して垂直方向に作用する厚さ</w:t>
      </w:r>
      <w:r w:rsidRPr="00BC31E0">
        <w:rPr>
          <w:rFonts w:asciiTheme="minorHAnsi" w:eastAsiaTheme="minorEastAsia" w:hAnsiTheme="minorHAnsi" w:cs="Tahoma" w:hint="eastAsia"/>
        </w:rPr>
        <w:t>方向の応力分布</w:t>
      </w:r>
      <w:r w:rsidRPr="00BC31E0">
        <w:rPr>
          <w:rFonts w:asciiTheme="minorHAnsi" w:eastAsiaTheme="minorEastAsia" w:hAnsiTheme="minorHAnsi" w:cs="Tahoma" w:hint="eastAsia"/>
        </w:rPr>
        <w:t>(</w:t>
      </w:r>
      <w:r w:rsidRPr="00BC31E0">
        <w:rPr>
          <w:rFonts w:ascii="Cambria Math" w:eastAsiaTheme="minorEastAsia" w:hAnsi="Cambria Math" w:cs="Tahoma"/>
        </w:rPr>
        <w:t>MPa</w:t>
      </w:r>
      <w:r w:rsidRPr="00BC31E0">
        <w:rPr>
          <w:rFonts w:asciiTheme="minorHAnsi" w:eastAsiaTheme="minorEastAsia" w:hAnsiTheme="minorHAnsi" w:cs="Tahoma" w:hint="eastAsia"/>
        </w:rPr>
        <w:t>)</w:t>
      </w:r>
    </w:p>
    <w:p w14:paraId="1B76AD60" w14:textId="77777777" w:rsidR="00F52111" w:rsidRPr="00BC31E0" w:rsidRDefault="00F52111" w:rsidP="00A32ADF">
      <w:pPr>
        <w:spacing w:before="120"/>
        <w:ind w:firstLineChars="100" w:firstLine="210"/>
        <w:rPr>
          <w:rFonts w:hAnsi="ＭＳ Ｐ明朝" w:cs="Tahoma"/>
        </w:rPr>
      </w:pPr>
      <m:oMath>
        <m:r>
          <w:rPr>
            <w:rFonts w:ascii="Cambria Math" w:hAnsi="Cambria Math"/>
          </w:rPr>
          <m:t>h</m:t>
        </m:r>
        <m:d>
          <m:dPr>
            <m:ctrlPr>
              <w:rPr>
                <w:rFonts w:ascii="Cambria Math" w:hAnsi="Cambria Math"/>
              </w:rPr>
            </m:ctrlPr>
          </m:dPr>
          <m:e>
            <m:r>
              <w:rPr>
                <w:rFonts w:ascii="Cambria Math" w:hAnsi="Cambria Math"/>
              </w:rPr>
              <m:t>x, a</m:t>
            </m:r>
          </m:e>
        </m:d>
        <m:r>
          <m:rPr>
            <m:sty m:val="p"/>
          </m:rPr>
          <w:rPr>
            <w:rFonts w:ascii="Cambria Math" w:hAnsi="Cambria Math"/>
          </w:rPr>
          <m:t xml:space="preserve"> </m:t>
        </m:r>
      </m:oMath>
      <w:r w:rsidRPr="00BC31E0">
        <w:rPr>
          <w:rFonts w:hAnsi="ＭＳ Ｐ明朝" w:cs="Tahoma" w:hint="eastAsia"/>
        </w:rPr>
        <w:t>は，最深点</w:t>
      </w:r>
      <w:r w:rsidRPr="00BC31E0">
        <w:rPr>
          <w:rFonts w:asciiTheme="minorHAnsi" w:eastAsiaTheme="minorEastAsia" w:hAnsiTheme="minorHAnsi" w:cs="Tahoma"/>
        </w:rPr>
        <w:t>(</w:t>
      </w:r>
      <m:oMath>
        <m:r>
          <w:rPr>
            <w:rFonts w:ascii="Cambria Math" w:eastAsiaTheme="minorEastAsia" w:hAnsi="Cambria Math" w:cs="Tahoma"/>
          </w:rPr>
          <m:t>φ=</m:t>
        </m:r>
        <m:f>
          <m:fPr>
            <m:type m:val="lin"/>
            <m:ctrlPr>
              <w:rPr>
                <w:rFonts w:ascii="Cambria Math" w:eastAsiaTheme="minorEastAsia" w:hAnsi="Cambria Math" w:cs="Tahoma"/>
                <w:i/>
              </w:rPr>
            </m:ctrlPr>
          </m:fPr>
          <m:num>
            <m:r>
              <w:rPr>
                <w:rFonts w:ascii="Cambria Math" w:eastAsiaTheme="minorEastAsia" w:hAnsi="Cambria Math" w:cs="Tahoma"/>
              </w:rPr>
              <m:t>π</m:t>
            </m:r>
          </m:num>
          <m:den>
            <m:r>
              <w:rPr>
                <w:rFonts w:ascii="Cambria Math" w:eastAsiaTheme="minorEastAsia" w:hAnsi="Cambria Math" w:cs="Tahoma"/>
              </w:rPr>
              <m:t>2</m:t>
            </m:r>
          </m:den>
        </m:f>
      </m:oMath>
      <w:r w:rsidRPr="00BC31E0">
        <w:rPr>
          <w:rFonts w:asciiTheme="minorHAnsi" w:eastAsiaTheme="minorEastAsia" w:hAnsiTheme="minorHAnsi" w:cs="Tahoma"/>
        </w:rPr>
        <w:t>)</w:t>
      </w:r>
      <w:r w:rsidRPr="00BC31E0">
        <w:rPr>
          <w:rFonts w:asciiTheme="minorHAnsi" w:eastAsiaTheme="minorEastAsia" w:hAnsiTheme="minorHAnsi" w:cs="Tahoma" w:hint="eastAsia"/>
        </w:rPr>
        <w:t xml:space="preserve"> </w:t>
      </w:r>
      <w:r w:rsidRPr="00BC31E0">
        <w:rPr>
          <w:rFonts w:hAnsi="ＭＳ Ｐ明朝" w:cs="Tahoma" w:hint="eastAsia"/>
        </w:rPr>
        <w:t>及び表面点</w:t>
      </w:r>
      <w:r w:rsidRPr="00BC31E0">
        <w:rPr>
          <w:rFonts w:asciiTheme="minorHAnsi" w:hAnsiTheme="minorHAnsi" w:cs="Tahoma"/>
        </w:rPr>
        <w:t>(</w:t>
      </w:r>
      <m:oMath>
        <m:r>
          <w:rPr>
            <w:rFonts w:ascii="Cambria Math" w:eastAsiaTheme="minorEastAsia" w:hAnsi="Cambria Math" w:cs="Tahoma"/>
          </w:rPr>
          <m:t>φ=0</m:t>
        </m:r>
      </m:oMath>
      <w:r w:rsidRPr="00BC31E0">
        <w:rPr>
          <w:rFonts w:asciiTheme="minorHAnsi" w:hAnsiTheme="minorHAnsi" w:cs="Tahoma"/>
        </w:rPr>
        <w:t>)</w:t>
      </w:r>
      <w:r w:rsidRPr="00BC31E0">
        <w:rPr>
          <w:rFonts w:asciiTheme="minorHAnsi" w:hAnsiTheme="minorHAnsi" w:cs="Tahoma" w:hint="eastAsia"/>
        </w:rPr>
        <w:t xml:space="preserve"> </w:t>
      </w:r>
      <w:r w:rsidRPr="00BC31E0">
        <w:rPr>
          <w:rFonts w:hAnsi="ＭＳ Ｐ明朝" w:cs="Tahoma" w:hint="eastAsia"/>
        </w:rPr>
        <w:t>において，それぞれ次式で与えられる。</w:t>
      </w:r>
    </w:p>
    <w:p w14:paraId="32E60D40" w14:textId="77777777" w:rsidR="00F52111" w:rsidRPr="00BC31E0" w:rsidRDefault="00F52111" w:rsidP="003A52B7">
      <w:pPr>
        <w:spacing w:before="120" w:after="120"/>
        <w:ind w:firstLineChars="200" w:firstLine="420"/>
        <w:rPr>
          <w:rFonts w:hAnsi="ＭＳ Ｐ明朝" w:cs="Tahoma"/>
        </w:rPr>
      </w:pPr>
      <w:r w:rsidRPr="00BC31E0">
        <w:rPr>
          <w:rFonts w:hAnsi="ＭＳ Ｐ明朝" w:cs="Tahoma" w:hint="eastAsia"/>
        </w:rPr>
        <w:t>最深点において</w:t>
      </w:r>
    </w:p>
    <w:tbl>
      <w:tblPr>
        <w:tblStyle w:val="afff2"/>
        <w:tblW w:w="8363"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9"/>
        <w:gridCol w:w="1154"/>
      </w:tblGrid>
      <w:tr w:rsidR="00F52111" w:rsidRPr="00BC31E0" w14:paraId="1AC83944" w14:textId="77777777" w:rsidTr="004736F2">
        <w:tc>
          <w:tcPr>
            <w:tcW w:w="0" w:type="auto"/>
            <w:tcMar>
              <w:left w:w="0" w:type="dxa"/>
              <w:right w:w="0" w:type="dxa"/>
            </w:tcMar>
            <w:vAlign w:val="center"/>
          </w:tcPr>
          <w:p w14:paraId="3E970DC4" w14:textId="77777777" w:rsidR="00F52111" w:rsidRPr="00BC31E0" w:rsidRDefault="00A51873" w:rsidP="00A32ADF">
            <w:pPr>
              <w:rPr>
                <w:rFonts w:hAnsi="ＭＳ Ｐ明朝" w:cs="Tahoma"/>
                <w:i/>
              </w:rPr>
            </w:pPr>
            <m:oMathPara>
              <m:oMathParaPr>
                <m:jc m:val="left"/>
              </m:oMathParaPr>
              <m:oMath>
                <m:sSub>
                  <m:sSubPr>
                    <m:ctrlPr>
                      <w:rPr>
                        <w:rFonts w:ascii="Cambria Math" w:hAnsi="Cambria Math" w:cs="Tahoma"/>
                        <w:i/>
                      </w:rPr>
                    </m:ctrlPr>
                  </m:sSubPr>
                  <m:e>
                    <m:r>
                      <w:rPr>
                        <w:rFonts w:ascii="Cambria Math" w:hAnsi="Cambria Math" w:cs="Tahoma"/>
                      </w:rPr>
                      <m:t>h</m:t>
                    </m:r>
                    <m:d>
                      <m:dPr>
                        <m:ctrlPr>
                          <w:rPr>
                            <w:rFonts w:ascii="Cambria Math" w:hAnsi="Cambria Math" w:cs="Tahoma"/>
                            <w:i/>
                          </w:rPr>
                        </m:ctrlPr>
                      </m:dPr>
                      <m:e>
                        <m:r>
                          <w:rPr>
                            <w:rFonts w:ascii="Cambria Math" w:hAnsi="Cambria Math" w:cs="Tahoma"/>
                          </w:rPr>
                          <m:t>x, a</m:t>
                        </m:r>
                      </m:e>
                    </m:d>
                  </m:e>
                  <m:sub>
                    <m:r>
                      <w:rPr>
                        <w:rFonts w:ascii="Cambria Math" w:hAnsi="Cambria Math" w:cs="Tahoma"/>
                      </w:rPr>
                      <m:t>φ=</m:t>
                    </m:r>
                    <m:f>
                      <m:fPr>
                        <m:type m:val="lin"/>
                        <m:ctrlPr>
                          <w:rPr>
                            <w:rFonts w:ascii="Cambria Math" w:hAnsi="Cambria Math" w:cs="Tahoma"/>
                            <w:i/>
                          </w:rPr>
                        </m:ctrlPr>
                      </m:fPr>
                      <m:num>
                        <m:r>
                          <w:rPr>
                            <w:rFonts w:ascii="Cambria Math" w:hAnsi="Cambria Math" w:cs="Tahoma"/>
                          </w:rPr>
                          <m:t>π</m:t>
                        </m:r>
                      </m:num>
                      <m:den>
                        <m:r>
                          <w:rPr>
                            <w:rFonts w:ascii="Cambria Math" w:hAnsi="Cambria Math" w:cs="Tahoma"/>
                          </w:rPr>
                          <m:t>2</m:t>
                        </m:r>
                      </m:den>
                    </m:f>
                  </m:sub>
                </m:sSub>
                <m:r>
                  <w:rPr>
                    <w:rFonts w:ascii="Cambria Math" w:hAnsi="Cambria Math" w:cs="Tahoma"/>
                  </w:rPr>
                  <m:t>=</m:t>
                </m:r>
                <m:f>
                  <m:fPr>
                    <m:ctrlPr>
                      <w:rPr>
                        <w:rFonts w:ascii="Cambria Math" w:hAnsi="Cambria Math" w:cs="Tahoma"/>
                        <w:i/>
                      </w:rPr>
                    </m:ctrlPr>
                  </m:fPr>
                  <m:num>
                    <m:r>
                      <w:rPr>
                        <w:rFonts w:ascii="Cambria Math" w:hAnsi="Cambria Math" w:cs="Tahoma"/>
                      </w:rPr>
                      <m:t>2</m:t>
                    </m:r>
                  </m:num>
                  <m:den>
                    <m:rad>
                      <m:radPr>
                        <m:degHide m:val="1"/>
                        <m:ctrlPr>
                          <w:rPr>
                            <w:rFonts w:ascii="Cambria Math" w:hAnsi="Cambria Math" w:cs="Tahoma"/>
                            <w:i/>
                          </w:rPr>
                        </m:ctrlPr>
                      </m:radPr>
                      <m:deg/>
                      <m:e>
                        <m:r>
                          <w:rPr>
                            <w:rFonts w:ascii="Cambria Math" w:hAnsi="Cambria Math" w:cs="Tahoma"/>
                          </w:rPr>
                          <m:t xml:space="preserve">2 π </m:t>
                        </m:r>
                        <m:d>
                          <m:dPr>
                            <m:ctrlPr>
                              <w:rPr>
                                <w:rFonts w:ascii="Cambria Math" w:hAnsi="Cambria Math" w:cs="Tahoma"/>
                                <w:i/>
                              </w:rPr>
                            </m:ctrlPr>
                          </m:dPr>
                          <m:e>
                            <m:r>
                              <w:rPr>
                                <w:rFonts w:ascii="Cambria Math" w:hAnsi="Cambria Math" w:cs="Tahoma"/>
                              </w:rPr>
                              <m:t>a-x</m:t>
                            </m:r>
                          </m:e>
                        </m:d>
                      </m:e>
                    </m:rad>
                  </m:den>
                </m:f>
                <m:r>
                  <w:rPr>
                    <w:rFonts w:ascii="Cambria Math" w:hAnsi="Cambria Math" w:cs="Tahoma"/>
                  </w:rPr>
                  <m:t xml:space="preserve"> </m:t>
                </m:r>
                <m:d>
                  <m:dPr>
                    <m:begChr m:val="{"/>
                    <m:endChr m:val="}"/>
                    <m:ctrlPr>
                      <w:rPr>
                        <w:rFonts w:ascii="Cambria Math" w:hAnsi="Cambria Math" w:cs="Tahoma"/>
                        <w:i/>
                      </w:rPr>
                    </m:ctrlPr>
                  </m:dPr>
                  <m:e>
                    <m:r>
                      <w:rPr>
                        <w:rFonts w:ascii="Cambria Math" w:hAnsi="Cambria Math" w:cs="Tahoma"/>
                      </w:rPr>
                      <m:t>1+</m:t>
                    </m:r>
                    <m:sSub>
                      <m:sSubPr>
                        <m:ctrlPr>
                          <w:rPr>
                            <w:rFonts w:ascii="Cambria Math" w:hAnsi="Cambria Math" w:cs="Tahoma"/>
                            <w:i/>
                          </w:rPr>
                        </m:ctrlPr>
                      </m:sSubPr>
                      <m:e>
                        <m:r>
                          <w:rPr>
                            <w:rFonts w:ascii="Cambria Math" w:hAnsi="Cambria Math" w:cs="Tahoma"/>
                          </w:rPr>
                          <m:t>M</m:t>
                        </m:r>
                      </m:e>
                      <m:sub>
                        <m:r>
                          <w:rPr>
                            <w:rFonts w:ascii="Cambria Math" w:hAnsi="Cambria Math" w:cs="Tahoma"/>
                          </w:rPr>
                          <m:t>1</m:t>
                        </m:r>
                      </m:sub>
                    </m:sSub>
                    <m:sSup>
                      <m:sSupPr>
                        <m:ctrlPr>
                          <w:rPr>
                            <w:rFonts w:ascii="Cambria Math" w:hAnsi="Cambria Math" w:cs="Tahoma"/>
                            <w:i/>
                          </w:rPr>
                        </m:ctrlPr>
                      </m:sSupPr>
                      <m:e>
                        <m:d>
                          <m:dPr>
                            <m:ctrlPr>
                              <w:rPr>
                                <w:rFonts w:ascii="Cambria Math" w:hAnsi="Cambria Math" w:cs="Tahoma"/>
                                <w:i/>
                              </w:rPr>
                            </m:ctrlPr>
                          </m:dPr>
                          <m:e>
                            <m:r>
                              <w:rPr>
                                <w:rFonts w:ascii="Cambria Math" w:hAnsi="Cambria Math" w:cs="Tahoma"/>
                              </w:rPr>
                              <m:t>1-</m:t>
                            </m:r>
                            <m:f>
                              <m:fPr>
                                <m:ctrlPr>
                                  <w:rPr>
                                    <w:rFonts w:ascii="Cambria Math" w:hAnsi="Cambria Math" w:cs="Tahoma"/>
                                    <w:i/>
                                  </w:rPr>
                                </m:ctrlPr>
                              </m:fPr>
                              <m:num>
                                <m:r>
                                  <w:rPr>
                                    <w:rFonts w:ascii="Cambria Math" w:hAnsi="Cambria Math" w:cs="Tahoma"/>
                                  </w:rPr>
                                  <m:t>x</m:t>
                                </m:r>
                              </m:num>
                              <m:den>
                                <m:r>
                                  <w:rPr>
                                    <w:rFonts w:ascii="Cambria Math" w:hAnsi="Cambria Math" w:cs="Tahoma"/>
                                  </w:rPr>
                                  <m:t>a</m:t>
                                </m:r>
                              </m:den>
                            </m:f>
                          </m:e>
                        </m:d>
                      </m:e>
                      <m:sup>
                        <m:f>
                          <m:fPr>
                            <m:type m:val="lin"/>
                            <m:ctrlPr>
                              <w:rPr>
                                <w:rFonts w:ascii="Cambria Math" w:hAnsi="Cambria Math" w:cs="Tahoma"/>
                                <w:i/>
                              </w:rPr>
                            </m:ctrlPr>
                          </m:fPr>
                          <m:num>
                            <m:r>
                              <w:rPr>
                                <w:rFonts w:ascii="Cambria Math" w:hAnsi="Cambria Math" w:cs="Tahoma"/>
                              </w:rPr>
                              <m:t>1</m:t>
                            </m:r>
                          </m:num>
                          <m:den>
                            <m:r>
                              <w:rPr>
                                <w:rFonts w:ascii="Cambria Math" w:hAnsi="Cambria Math" w:cs="Tahoma"/>
                              </w:rPr>
                              <m:t>2</m:t>
                            </m:r>
                          </m:den>
                        </m:f>
                      </m:sup>
                    </m:sSup>
                    <m:r>
                      <w:rPr>
                        <w:rFonts w:ascii="Cambria Math" w:hAnsi="Cambria Math" w:cs="Tahoma"/>
                      </w:rPr>
                      <m:t>+</m:t>
                    </m:r>
                    <m:sSub>
                      <m:sSubPr>
                        <m:ctrlPr>
                          <w:rPr>
                            <w:rFonts w:ascii="Cambria Math" w:hAnsi="Cambria Math" w:cs="Tahoma"/>
                            <w:i/>
                          </w:rPr>
                        </m:ctrlPr>
                      </m:sSubPr>
                      <m:e>
                        <m:r>
                          <w:rPr>
                            <w:rFonts w:ascii="Cambria Math" w:hAnsi="Cambria Math" w:cs="Tahoma"/>
                          </w:rPr>
                          <m:t>M</m:t>
                        </m:r>
                      </m:e>
                      <m:sub>
                        <m:r>
                          <w:rPr>
                            <w:rFonts w:ascii="Cambria Math" w:hAnsi="Cambria Math" w:cs="Tahoma"/>
                          </w:rPr>
                          <m:t>2</m:t>
                        </m:r>
                      </m:sub>
                    </m:sSub>
                    <m:d>
                      <m:dPr>
                        <m:ctrlPr>
                          <w:rPr>
                            <w:rFonts w:ascii="Cambria Math" w:hAnsi="Cambria Math" w:cs="Tahoma"/>
                            <w:i/>
                          </w:rPr>
                        </m:ctrlPr>
                      </m:dPr>
                      <m:e>
                        <m:r>
                          <w:rPr>
                            <w:rFonts w:ascii="Cambria Math" w:hAnsi="Cambria Math" w:cs="Tahoma"/>
                          </w:rPr>
                          <m:t>1-</m:t>
                        </m:r>
                        <m:f>
                          <m:fPr>
                            <m:ctrlPr>
                              <w:rPr>
                                <w:rFonts w:ascii="Cambria Math" w:hAnsi="Cambria Math" w:cs="Tahoma"/>
                                <w:i/>
                              </w:rPr>
                            </m:ctrlPr>
                          </m:fPr>
                          <m:num>
                            <m:r>
                              <w:rPr>
                                <w:rFonts w:ascii="Cambria Math" w:hAnsi="Cambria Math" w:cs="Tahoma"/>
                              </w:rPr>
                              <m:t>x</m:t>
                            </m:r>
                          </m:num>
                          <m:den>
                            <m:r>
                              <w:rPr>
                                <w:rFonts w:ascii="Cambria Math" w:hAnsi="Cambria Math" w:cs="Tahoma"/>
                              </w:rPr>
                              <m:t>a</m:t>
                            </m:r>
                          </m:den>
                        </m:f>
                      </m:e>
                    </m:d>
                    <m:r>
                      <w:rPr>
                        <w:rFonts w:ascii="Cambria Math" w:hAnsi="Cambria Math" w:cs="Tahoma"/>
                      </w:rPr>
                      <m:t>+</m:t>
                    </m:r>
                    <m:sSub>
                      <m:sSubPr>
                        <m:ctrlPr>
                          <w:rPr>
                            <w:rFonts w:ascii="Cambria Math" w:hAnsi="Cambria Math" w:cs="Tahoma"/>
                            <w:i/>
                          </w:rPr>
                        </m:ctrlPr>
                      </m:sSubPr>
                      <m:e>
                        <m:r>
                          <w:rPr>
                            <w:rFonts w:ascii="Cambria Math" w:hAnsi="Cambria Math" w:cs="Tahoma"/>
                          </w:rPr>
                          <m:t>M</m:t>
                        </m:r>
                      </m:e>
                      <m:sub>
                        <m:r>
                          <w:rPr>
                            <w:rFonts w:ascii="Cambria Math" w:hAnsi="Cambria Math" w:cs="Tahoma"/>
                          </w:rPr>
                          <m:t>3</m:t>
                        </m:r>
                      </m:sub>
                    </m:sSub>
                    <m:sSup>
                      <m:sSupPr>
                        <m:ctrlPr>
                          <w:rPr>
                            <w:rFonts w:ascii="Cambria Math" w:hAnsi="Cambria Math" w:cs="Tahoma"/>
                            <w:i/>
                          </w:rPr>
                        </m:ctrlPr>
                      </m:sSupPr>
                      <m:e>
                        <m:d>
                          <m:dPr>
                            <m:ctrlPr>
                              <w:rPr>
                                <w:rFonts w:ascii="Cambria Math" w:hAnsi="Cambria Math" w:cs="Tahoma"/>
                                <w:i/>
                              </w:rPr>
                            </m:ctrlPr>
                          </m:dPr>
                          <m:e>
                            <m:r>
                              <w:rPr>
                                <w:rFonts w:ascii="Cambria Math" w:hAnsi="Cambria Math" w:cs="Tahoma"/>
                              </w:rPr>
                              <m:t>1-</m:t>
                            </m:r>
                            <m:f>
                              <m:fPr>
                                <m:ctrlPr>
                                  <w:rPr>
                                    <w:rFonts w:ascii="Cambria Math" w:hAnsi="Cambria Math" w:cs="Tahoma"/>
                                    <w:i/>
                                  </w:rPr>
                                </m:ctrlPr>
                              </m:fPr>
                              <m:num>
                                <m:r>
                                  <w:rPr>
                                    <w:rFonts w:ascii="Cambria Math" w:hAnsi="Cambria Math" w:cs="Tahoma"/>
                                  </w:rPr>
                                  <m:t>x</m:t>
                                </m:r>
                              </m:num>
                              <m:den>
                                <m:r>
                                  <w:rPr>
                                    <w:rFonts w:ascii="Cambria Math" w:hAnsi="Cambria Math" w:cs="Tahoma"/>
                                  </w:rPr>
                                  <m:t>a</m:t>
                                </m:r>
                              </m:den>
                            </m:f>
                          </m:e>
                        </m:d>
                      </m:e>
                      <m:sup>
                        <m:f>
                          <m:fPr>
                            <m:type m:val="lin"/>
                            <m:ctrlPr>
                              <w:rPr>
                                <w:rFonts w:ascii="Cambria Math" w:hAnsi="Cambria Math" w:cs="Tahoma"/>
                                <w:i/>
                              </w:rPr>
                            </m:ctrlPr>
                          </m:fPr>
                          <m:num>
                            <m:r>
                              <w:rPr>
                                <w:rFonts w:ascii="Cambria Math" w:hAnsi="Cambria Math" w:cs="Tahoma"/>
                              </w:rPr>
                              <m:t>3</m:t>
                            </m:r>
                          </m:num>
                          <m:den>
                            <m:r>
                              <w:rPr>
                                <w:rFonts w:ascii="Cambria Math" w:hAnsi="Cambria Math" w:cs="Tahoma"/>
                              </w:rPr>
                              <m:t>2</m:t>
                            </m:r>
                          </m:den>
                        </m:f>
                      </m:sup>
                    </m:sSup>
                  </m:e>
                </m:d>
              </m:oMath>
            </m:oMathPara>
          </w:p>
        </w:tc>
        <w:tc>
          <w:tcPr>
            <w:tcW w:w="1154" w:type="dxa"/>
            <w:tcMar>
              <w:left w:w="0" w:type="dxa"/>
              <w:right w:w="0" w:type="dxa"/>
            </w:tcMar>
            <w:vAlign w:val="center"/>
          </w:tcPr>
          <w:p w14:paraId="43F7F6EA" w14:textId="77777777" w:rsidR="00F52111" w:rsidRPr="00BC31E0" w:rsidRDefault="00F52111" w:rsidP="00A32ADF">
            <w:pPr>
              <w:tabs>
                <w:tab w:val="left" w:leader="middleDot" w:pos="587"/>
              </w:tabs>
              <w:jc w:val="left"/>
              <w:rPr>
                <w:rFonts w:hAnsi="ＭＳ Ｐ明朝" w:cs="Tahoma"/>
              </w:rPr>
            </w:pPr>
            <w:r w:rsidRPr="00BC31E0">
              <w:rPr>
                <w:rFonts w:hAnsi="ＭＳ Ｐ明朝" w:cs="Tahoma"/>
              </w:rPr>
              <w:tab/>
            </w:r>
            <w:r w:rsidRPr="00BC31E0">
              <w:rPr>
                <w:rFonts w:hAnsi="ＭＳ Ｐ明朝" w:cs="Tahoma" w:hint="eastAsia"/>
              </w:rPr>
              <w:t>(22)</w:t>
            </w:r>
          </w:p>
        </w:tc>
      </w:tr>
    </w:tbl>
    <w:p w14:paraId="0E499968" w14:textId="77777777" w:rsidR="00F52111" w:rsidRPr="00BC31E0" w:rsidRDefault="00F52111" w:rsidP="003A52B7">
      <w:pPr>
        <w:spacing w:before="120" w:after="120"/>
        <w:ind w:firstLineChars="200" w:firstLine="420"/>
        <w:rPr>
          <w:rFonts w:hAnsi="ＭＳ Ｐ明朝" w:cs="Tahoma"/>
        </w:rPr>
      </w:pPr>
      <w:r w:rsidRPr="00BC31E0">
        <w:rPr>
          <w:rFonts w:hAnsi="ＭＳ Ｐ明朝" w:cs="Tahoma" w:hint="eastAsia"/>
        </w:rPr>
        <w:t>表面点において</w:t>
      </w:r>
    </w:p>
    <w:tbl>
      <w:tblPr>
        <w:tblStyle w:val="afff2"/>
        <w:tblW w:w="8363"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7"/>
        <w:gridCol w:w="3256"/>
      </w:tblGrid>
      <w:tr w:rsidR="00F52111" w:rsidRPr="00BC31E0" w14:paraId="10181A1C" w14:textId="77777777" w:rsidTr="004736F2">
        <w:tc>
          <w:tcPr>
            <w:tcW w:w="0" w:type="auto"/>
            <w:tcMar>
              <w:left w:w="0" w:type="dxa"/>
              <w:right w:w="0" w:type="dxa"/>
            </w:tcMar>
            <w:vAlign w:val="center"/>
          </w:tcPr>
          <w:p w14:paraId="388EEAFF" w14:textId="77777777" w:rsidR="00F52111" w:rsidRPr="00BC31E0" w:rsidRDefault="00A51873" w:rsidP="00A32ADF">
            <w:pPr>
              <w:rPr>
                <w:rFonts w:hAnsi="ＭＳ Ｐ明朝" w:cs="Tahoma"/>
                <w:i/>
              </w:rPr>
            </w:pPr>
            <m:oMathPara>
              <m:oMathParaPr>
                <m:jc m:val="left"/>
              </m:oMathParaPr>
              <m:oMath>
                <m:sSub>
                  <m:sSubPr>
                    <m:ctrlPr>
                      <w:rPr>
                        <w:rFonts w:ascii="Cambria Math" w:hAnsi="Cambria Math" w:cs="Tahoma"/>
                        <w:i/>
                      </w:rPr>
                    </m:ctrlPr>
                  </m:sSubPr>
                  <m:e>
                    <m:r>
                      <w:rPr>
                        <w:rFonts w:ascii="Cambria Math" w:hAnsi="Cambria Math" w:cs="Tahoma"/>
                      </w:rPr>
                      <m:t>h</m:t>
                    </m:r>
                    <m:d>
                      <m:dPr>
                        <m:ctrlPr>
                          <w:rPr>
                            <w:rFonts w:ascii="Cambria Math" w:hAnsi="Cambria Math" w:cs="Tahoma"/>
                            <w:i/>
                          </w:rPr>
                        </m:ctrlPr>
                      </m:dPr>
                      <m:e>
                        <m:r>
                          <w:rPr>
                            <w:rFonts w:ascii="Cambria Math" w:hAnsi="Cambria Math" w:cs="Tahoma"/>
                          </w:rPr>
                          <m:t>x, a</m:t>
                        </m:r>
                      </m:e>
                    </m:d>
                  </m:e>
                  <m:sub>
                    <m:r>
                      <w:rPr>
                        <w:rFonts w:ascii="Cambria Math" w:hAnsi="Cambria Math" w:cs="Tahoma"/>
                      </w:rPr>
                      <m:t>φ=0</m:t>
                    </m:r>
                  </m:sub>
                </m:sSub>
                <m:r>
                  <w:rPr>
                    <w:rFonts w:ascii="Cambria Math" w:hAnsi="Cambria Math" w:cs="Tahoma"/>
                  </w:rPr>
                  <m:t>=</m:t>
                </m:r>
                <m:f>
                  <m:fPr>
                    <m:ctrlPr>
                      <w:rPr>
                        <w:rFonts w:ascii="Cambria Math" w:hAnsi="Cambria Math" w:cs="Tahoma"/>
                        <w:i/>
                      </w:rPr>
                    </m:ctrlPr>
                  </m:fPr>
                  <m:num>
                    <m:r>
                      <w:rPr>
                        <w:rFonts w:ascii="Cambria Math" w:hAnsi="Cambria Math" w:cs="Tahoma"/>
                      </w:rPr>
                      <m:t>2</m:t>
                    </m:r>
                  </m:num>
                  <m:den>
                    <m:rad>
                      <m:radPr>
                        <m:degHide m:val="1"/>
                        <m:ctrlPr>
                          <w:rPr>
                            <w:rFonts w:ascii="Cambria Math" w:hAnsi="Cambria Math" w:cs="Tahoma"/>
                            <w:i/>
                          </w:rPr>
                        </m:ctrlPr>
                      </m:radPr>
                      <m:deg/>
                      <m:e>
                        <m:r>
                          <w:rPr>
                            <w:rFonts w:ascii="Cambria Math" w:hAnsi="Cambria Math" w:cs="Tahoma"/>
                          </w:rPr>
                          <m:t>π x</m:t>
                        </m:r>
                      </m:e>
                    </m:rad>
                  </m:den>
                </m:f>
                <m:r>
                  <w:rPr>
                    <w:rFonts w:ascii="Cambria Math" w:hAnsi="Cambria Math" w:cs="Tahoma"/>
                  </w:rPr>
                  <m:t xml:space="preserve"> </m:t>
                </m:r>
                <m:d>
                  <m:dPr>
                    <m:begChr m:val="{"/>
                    <m:endChr m:val="}"/>
                    <m:ctrlPr>
                      <w:rPr>
                        <w:rFonts w:ascii="Cambria Math" w:hAnsi="Cambria Math" w:cs="Tahoma"/>
                        <w:i/>
                      </w:rPr>
                    </m:ctrlPr>
                  </m:dPr>
                  <m:e>
                    <m:r>
                      <w:rPr>
                        <w:rFonts w:ascii="Cambria Math" w:hAnsi="Cambria Math" w:cs="Tahoma"/>
                      </w:rPr>
                      <m:t>1+</m:t>
                    </m:r>
                    <m:sSub>
                      <m:sSubPr>
                        <m:ctrlPr>
                          <w:rPr>
                            <w:rFonts w:ascii="Cambria Math" w:hAnsi="Cambria Math" w:cs="Tahoma"/>
                            <w:i/>
                          </w:rPr>
                        </m:ctrlPr>
                      </m:sSubPr>
                      <m:e>
                        <m:r>
                          <w:rPr>
                            <w:rFonts w:ascii="Cambria Math" w:hAnsi="Cambria Math" w:cs="Tahoma"/>
                          </w:rPr>
                          <m:t>N</m:t>
                        </m:r>
                      </m:e>
                      <m:sub>
                        <m:r>
                          <w:rPr>
                            <w:rFonts w:ascii="Cambria Math" w:hAnsi="Cambria Math" w:cs="Tahoma"/>
                          </w:rPr>
                          <m:t>1</m:t>
                        </m:r>
                      </m:sub>
                    </m:sSub>
                    <m:sSup>
                      <m:sSupPr>
                        <m:ctrlPr>
                          <w:rPr>
                            <w:rFonts w:ascii="Cambria Math" w:hAnsi="Cambria Math" w:cs="Tahoma"/>
                            <w:i/>
                          </w:rPr>
                        </m:ctrlPr>
                      </m:sSupPr>
                      <m:e>
                        <m:d>
                          <m:dPr>
                            <m:ctrlPr>
                              <w:rPr>
                                <w:rFonts w:ascii="Cambria Math" w:hAnsi="Cambria Math" w:cs="Tahoma"/>
                                <w:i/>
                              </w:rPr>
                            </m:ctrlPr>
                          </m:dPr>
                          <m:e>
                            <m:f>
                              <m:fPr>
                                <m:ctrlPr>
                                  <w:rPr>
                                    <w:rFonts w:ascii="Cambria Math" w:hAnsi="Cambria Math" w:cs="Tahoma"/>
                                    <w:i/>
                                  </w:rPr>
                                </m:ctrlPr>
                              </m:fPr>
                              <m:num>
                                <m:r>
                                  <w:rPr>
                                    <w:rFonts w:ascii="Cambria Math" w:hAnsi="Cambria Math" w:cs="Tahoma"/>
                                  </w:rPr>
                                  <m:t>x</m:t>
                                </m:r>
                              </m:num>
                              <m:den>
                                <m:r>
                                  <w:rPr>
                                    <w:rFonts w:ascii="Cambria Math" w:hAnsi="Cambria Math" w:cs="Tahoma"/>
                                  </w:rPr>
                                  <m:t>a</m:t>
                                </m:r>
                              </m:den>
                            </m:f>
                          </m:e>
                        </m:d>
                      </m:e>
                      <m:sup>
                        <m:f>
                          <m:fPr>
                            <m:type m:val="lin"/>
                            <m:ctrlPr>
                              <w:rPr>
                                <w:rFonts w:ascii="Cambria Math" w:hAnsi="Cambria Math" w:cs="Tahoma"/>
                                <w:i/>
                              </w:rPr>
                            </m:ctrlPr>
                          </m:fPr>
                          <m:num>
                            <m:r>
                              <w:rPr>
                                <w:rFonts w:ascii="Cambria Math" w:hAnsi="Cambria Math" w:cs="Tahoma"/>
                              </w:rPr>
                              <m:t>1</m:t>
                            </m:r>
                          </m:num>
                          <m:den>
                            <m:r>
                              <w:rPr>
                                <w:rFonts w:ascii="Cambria Math" w:hAnsi="Cambria Math" w:cs="Tahoma"/>
                              </w:rPr>
                              <m:t>2</m:t>
                            </m:r>
                          </m:den>
                        </m:f>
                      </m:sup>
                    </m:sSup>
                    <m:r>
                      <w:rPr>
                        <w:rFonts w:ascii="Cambria Math" w:hAnsi="Cambria Math" w:cs="Tahoma"/>
                      </w:rPr>
                      <m:t>+</m:t>
                    </m:r>
                    <m:sSub>
                      <m:sSubPr>
                        <m:ctrlPr>
                          <w:rPr>
                            <w:rFonts w:ascii="Cambria Math" w:hAnsi="Cambria Math" w:cs="Tahoma"/>
                            <w:i/>
                          </w:rPr>
                        </m:ctrlPr>
                      </m:sSubPr>
                      <m:e>
                        <m:r>
                          <w:rPr>
                            <w:rFonts w:ascii="Cambria Math" w:hAnsi="Cambria Math" w:cs="Tahoma"/>
                          </w:rPr>
                          <m:t>N</m:t>
                        </m:r>
                      </m:e>
                      <m:sub>
                        <m:r>
                          <w:rPr>
                            <w:rFonts w:ascii="Cambria Math" w:hAnsi="Cambria Math" w:cs="Tahoma"/>
                          </w:rPr>
                          <m:t>2</m:t>
                        </m:r>
                      </m:sub>
                    </m:sSub>
                    <m:d>
                      <m:dPr>
                        <m:ctrlPr>
                          <w:rPr>
                            <w:rFonts w:ascii="Cambria Math" w:hAnsi="Cambria Math" w:cs="Tahoma"/>
                            <w:i/>
                          </w:rPr>
                        </m:ctrlPr>
                      </m:dPr>
                      <m:e>
                        <m:f>
                          <m:fPr>
                            <m:ctrlPr>
                              <w:rPr>
                                <w:rFonts w:ascii="Cambria Math" w:hAnsi="Cambria Math" w:cs="Tahoma"/>
                                <w:i/>
                              </w:rPr>
                            </m:ctrlPr>
                          </m:fPr>
                          <m:num>
                            <m:r>
                              <w:rPr>
                                <w:rFonts w:ascii="Cambria Math" w:hAnsi="Cambria Math" w:cs="Tahoma"/>
                              </w:rPr>
                              <m:t>x</m:t>
                            </m:r>
                          </m:num>
                          <m:den>
                            <m:r>
                              <w:rPr>
                                <w:rFonts w:ascii="Cambria Math" w:hAnsi="Cambria Math" w:cs="Tahoma"/>
                              </w:rPr>
                              <m:t>a</m:t>
                            </m:r>
                          </m:den>
                        </m:f>
                      </m:e>
                    </m:d>
                    <m:r>
                      <w:rPr>
                        <w:rFonts w:ascii="Cambria Math" w:hAnsi="Cambria Math" w:cs="Tahoma"/>
                      </w:rPr>
                      <m:t>+</m:t>
                    </m:r>
                    <m:sSub>
                      <m:sSubPr>
                        <m:ctrlPr>
                          <w:rPr>
                            <w:rFonts w:ascii="Cambria Math" w:hAnsi="Cambria Math" w:cs="Tahoma"/>
                            <w:i/>
                          </w:rPr>
                        </m:ctrlPr>
                      </m:sSubPr>
                      <m:e>
                        <m:r>
                          <w:rPr>
                            <w:rFonts w:ascii="Cambria Math" w:hAnsi="Cambria Math" w:cs="Tahoma"/>
                          </w:rPr>
                          <m:t>N</m:t>
                        </m:r>
                      </m:e>
                      <m:sub>
                        <m:r>
                          <w:rPr>
                            <w:rFonts w:ascii="Cambria Math" w:hAnsi="Cambria Math" w:cs="Tahoma"/>
                          </w:rPr>
                          <m:t>3</m:t>
                        </m:r>
                      </m:sub>
                    </m:sSub>
                    <m:sSup>
                      <m:sSupPr>
                        <m:ctrlPr>
                          <w:rPr>
                            <w:rFonts w:ascii="Cambria Math" w:hAnsi="Cambria Math" w:cs="Tahoma"/>
                            <w:i/>
                          </w:rPr>
                        </m:ctrlPr>
                      </m:sSupPr>
                      <m:e>
                        <m:d>
                          <m:dPr>
                            <m:ctrlPr>
                              <w:rPr>
                                <w:rFonts w:ascii="Cambria Math" w:hAnsi="Cambria Math" w:cs="Tahoma"/>
                                <w:i/>
                              </w:rPr>
                            </m:ctrlPr>
                          </m:dPr>
                          <m:e>
                            <m:f>
                              <m:fPr>
                                <m:ctrlPr>
                                  <w:rPr>
                                    <w:rFonts w:ascii="Cambria Math" w:hAnsi="Cambria Math" w:cs="Tahoma"/>
                                    <w:i/>
                                  </w:rPr>
                                </m:ctrlPr>
                              </m:fPr>
                              <m:num>
                                <m:r>
                                  <w:rPr>
                                    <w:rFonts w:ascii="Cambria Math" w:hAnsi="Cambria Math" w:cs="Tahoma"/>
                                  </w:rPr>
                                  <m:t>x</m:t>
                                </m:r>
                              </m:num>
                              <m:den>
                                <m:r>
                                  <w:rPr>
                                    <w:rFonts w:ascii="Cambria Math" w:hAnsi="Cambria Math" w:cs="Tahoma"/>
                                  </w:rPr>
                                  <m:t>a</m:t>
                                </m:r>
                              </m:den>
                            </m:f>
                          </m:e>
                        </m:d>
                      </m:e>
                      <m:sup>
                        <m:f>
                          <m:fPr>
                            <m:type m:val="lin"/>
                            <m:ctrlPr>
                              <w:rPr>
                                <w:rFonts w:ascii="Cambria Math" w:hAnsi="Cambria Math" w:cs="Tahoma"/>
                                <w:i/>
                              </w:rPr>
                            </m:ctrlPr>
                          </m:fPr>
                          <m:num>
                            <m:r>
                              <w:rPr>
                                <w:rFonts w:ascii="Cambria Math" w:hAnsi="Cambria Math" w:cs="Tahoma"/>
                              </w:rPr>
                              <m:t>3</m:t>
                            </m:r>
                          </m:num>
                          <m:den>
                            <m:r>
                              <w:rPr>
                                <w:rFonts w:ascii="Cambria Math" w:hAnsi="Cambria Math" w:cs="Tahoma"/>
                              </w:rPr>
                              <m:t>2</m:t>
                            </m:r>
                          </m:den>
                        </m:f>
                      </m:sup>
                    </m:sSup>
                  </m:e>
                </m:d>
              </m:oMath>
            </m:oMathPara>
          </w:p>
        </w:tc>
        <w:tc>
          <w:tcPr>
            <w:tcW w:w="3256" w:type="dxa"/>
            <w:tcMar>
              <w:left w:w="0" w:type="dxa"/>
              <w:right w:w="0" w:type="dxa"/>
            </w:tcMar>
            <w:vAlign w:val="center"/>
          </w:tcPr>
          <w:p w14:paraId="5DDA05A9" w14:textId="77777777" w:rsidR="00F52111" w:rsidRPr="00BC31E0" w:rsidRDefault="00F52111" w:rsidP="00A32ADF">
            <w:pPr>
              <w:tabs>
                <w:tab w:val="left" w:leader="middleDot" w:pos="2689"/>
              </w:tabs>
              <w:jc w:val="left"/>
              <w:rPr>
                <w:rFonts w:hAnsi="ＭＳ Ｐ明朝" w:cs="Tahoma"/>
              </w:rPr>
            </w:pPr>
            <w:r w:rsidRPr="00BC31E0">
              <w:rPr>
                <w:rFonts w:hAnsi="ＭＳ Ｐ明朝" w:cs="Tahoma"/>
              </w:rPr>
              <w:tab/>
            </w:r>
            <w:r w:rsidRPr="00BC31E0">
              <w:rPr>
                <w:rFonts w:hAnsi="ＭＳ Ｐ明朝" w:cs="Tahoma" w:hint="eastAsia"/>
              </w:rPr>
              <w:t>(23)</w:t>
            </w:r>
          </w:p>
        </w:tc>
      </w:tr>
    </w:tbl>
    <w:p w14:paraId="07AE655D" w14:textId="77777777" w:rsidR="00F52111" w:rsidRPr="00BC31E0" w:rsidRDefault="00F52111" w:rsidP="00A32ADF">
      <w:pPr>
        <w:spacing w:before="120"/>
        <w:ind w:firstLineChars="100" w:firstLine="210"/>
        <w:rPr>
          <w:rFonts w:hAnsi="ＭＳ Ｐ明朝" w:cs="Tahoma"/>
        </w:rPr>
      </w:pPr>
      <w:r w:rsidRPr="00BC31E0">
        <w:rPr>
          <w:rFonts w:hAnsi="ＭＳ Ｐ明朝" w:cs="Tahoma" w:hint="eastAsia"/>
        </w:rPr>
        <w:t>ここで，最深点における</w:t>
      </w:r>
      <m:oMath>
        <m:sSub>
          <m:sSubPr>
            <m:ctrlPr>
              <w:rPr>
                <w:rFonts w:ascii="Cambria Math" w:hAnsi="Cambria Math" w:cs="Tahoma"/>
                <w:i/>
              </w:rPr>
            </m:ctrlPr>
          </m:sSubPr>
          <m:e>
            <m:r>
              <w:rPr>
                <w:rFonts w:ascii="Cambria Math" w:hAnsi="Cambria Math" w:cs="Tahoma"/>
              </w:rPr>
              <m:t xml:space="preserve"> M</m:t>
            </m:r>
          </m:e>
          <m:sub>
            <m:r>
              <w:rPr>
                <w:rFonts w:ascii="Cambria Math" w:hAnsi="Cambria Math" w:cs="Tahoma"/>
              </w:rPr>
              <m:t>1</m:t>
            </m:r>
          </m:sub>
        </m:sSub>
      </m:oMath>
      <w:r w:rsidRPr="00BC31E0">
        <w:rPr>
          <w:rFonts w:hAnsi="ＭＳ Ｐ明朝" w:cs="Tahoma" w:hint="eastAsia"/>
        </w:rPr>
        <w:t>～</w:t>
      </w:r>
      <m:oMath>
        <m:sSub>
          <m:sSubPr>
            <m:ctrlPr>
              <w:rPr>
                <w:rFonts w:ascii="Cambria Math" w:hAnsi="Cambria Math" w:cs="Tahoma"/>
                <w:i/>
              </w:rPr>
            </m:ctrlPr>
          </m:sSubPr>
          <m:e>
            <m:r>
              <w:rPr>
                <w:rFonts w:ascii="Cambria Math" w:hAnsi="Cambria Math" w:cs="Tahoma"/>
              </w:rPr>
              <m:t>M</m:t>
            </m:r>
          </m:e>
          <m:sub>
            <m:r>
              <w:rPr>
                <w:rFonts w:ascii="Cambria Math" w:hAnsi="Cambria Math" w:cs="Tahoma"/>
              </w:rPr>
              <m:t>3</m:t>
            </m:r>
          </m:sub>
        </m:sSub>
        <m:r>
          <w:rPr>
            <w:rFonts w:ascii="Cambria Math" w:hAnsi="Cambria Math" w:cs="Tahoma"/>
          </w:rPr>
          <m:t xml:space="preserve"> </m:t>
        </m:r>
      </m:oMath>
      <w:r w:rsidRPr="00BC31E0">
        <w:rPr>
          <w:rFonts w:hAnsi="ＭＳ Ｐ明朝" w:cs="Tahoma" w:hint="eastAsia"/>
        </w:rPr>
        <w:t>と表面点における</w:t>
      </w:r>
      <m:oMath>
        <m:sSub>
          <m:sSubPr>
            <m:ctrlPr>
              <w:rPr>
                <w:rFonts w:ascii="Cambria Math" w:hAnsi="Cambria Math" w:cs="Tahoma"/>
                <w:i/>
              </w:rPr>
            </m:ctrlPr>
          </m:sSubPr>
          <m:e>
            <m:r>
              <w:rPr>
                <w:rFonts w:ascii="Cambria Math" w:hAnsi="Cambria Math" w:cs="Tahoma"/>
              </w:rPr>
              <m:t xml:space="preserve"> N</m:t>
            </m:r>
          </m:e>
          <m:sub>
            <m:r>
              <w:rPr>
                <w:rFonts w:ascii="Cambria Math" w:hAnsi="Cambria Math" w:cs="Tahoma"/>
              </w:rPr>
              <m:t>1</m:t>
            </m:r>
          </m:sub>
        </m:sSub>
      </m:oMath>
      <w:r w:rsidRPr="00BC31E0">
        <w:rPr>
          <w:rFonts w:hAnsi="ＭＳ Ｐ明朝" w:cs="Tahoma" w:hint="eastAsia"/>
        </w:rPr>
        <w:t>～</w:t>
      </w:r>
      <m:oMath>
        <m:sSub>
          <m:sSubPr>
            <m:ctrlPr>
              <w:rPr>
                <w:rFonts w:ascii="Cambria Math" w:hAnsi="Cambria Math" w:cs="Tahoma"/>
                <w:i/>
              </w:rPr>
            </m:ctrlPr>
          </m:sSubPr>
          <m:e>
            <m:r>
              <w:rPr>
                <w:rFonts w:ascii="Cambria Math" w:hAnsi="Cambria Math" w:cs="Tahoma"/>
              </w:rPr>
              <m:t>N</m:t>
            </m:r>
          </m:e>
          <m:sub>
            <m:r>
              <w:rPr>
                <w:rFonts w:ascii="Cambria Math" w:hAnsi="Cambria Math" w:cs="Tahoma"/>
              </w:rPr>
              <m:t>3</m:t>
            </m:r>
          </m:sub>
        </m:sSub>
        <m:r>
          <m:rPr>
            <m:sty m:val="p"/>
          </m:rPr>
          <w:rPr>
            <w:rFonts w:ascii="Cambria Math" w:hAnsi="Cambria Math" w:cs="Tahoma"/>
          </w:rPr>
          <m:t xml:space="preserve"> </m:t>
        </m:r>
      </m:oMath>
      <w:r w:rsidRPr="00BC31E0">
        <w:rPr>
          <w:rFonts w:hAnsi="ＭＳ Ｐ明朝" w:cs="Tahoma" w:hint="eastAsia"/>
        </w:rPr>
        <w:t>は，それぞれ次式で与えられる。</w:t>
      </w:r>
    </w:p>
    <w:p w14:paraId="4873554F" w14:textId="77777777" w:rsidR="00F52111" w:rsidRPr="00BC31E0" w:rsidRDefault="00F52111" w:rsidP="003A52B7">
      <w:pPr>
        <w:spacing w:before="120"/>
        <w:ind w:firstLineChars="200" w:firstLine="420"/>
        <w:rPr>
          <w:rFonts w:hAnsi="ＭＳ Ｐ明朝" w:cs="Tahoma"/>
        </w:rPr>
      </w:pPr>
      <w:r w:rsidRPr="00BC31E0">
        <w:rPr>
          <w:rFonts w:hAnsi="ＭＳ Ｐ明朝" w:cs="Tahoma" w:hint="eastAsia"/>
        </w:rPr>
        <w:t>最深点</w:t>
      </w:r>
      <w:r w:rsidRPr="00BC31E0">
        <w:rPr>
          <w:rFonts w:asciiTheme="minorHAnsi" w:eastAsiaTheme="minorEastAsia" w:hAnsiTheme="minorHAnsi" w:cs="Tahoma" w:hint="eastAsia"/>
        </w:rPr>
        <w:t>において</w:t>
      </w:r>
    </w:p>
    <w:tbl>
      <w:tblPr>
        <w:tblStyle w:val="afff2"/>
        <w:tblW w:w="5953" w:type="dxa"/>
        <w:tblInd w:w="3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1"/>
        <w:gridCol w:w="3412"/>
      </w:tblGrid>
      <w:tr w:rsidR="00F52111" w:rsidRPr="00BC31E0" w14:paraId="1FA79BC0" w14:textId="77777777" w:rsidTr="004736F2">
        <w:tc>
          <w:tcPr>
            <w:tcW w:w="0" w:type="auto"/>
            <w:tcMar>
              <w:left w:w="0" w:type="dxa"/>
              <w:right w:w="0" w:type="dxa"/>
            </w:tcMar>
            <w:vAlign w:val="center"/>
          </w:tcPr>
          <w:p w14:paraId="0B9C9E34" w14:textId="77777777" w:rsidR="00F52111" w:rsidRPr="00BC31E0" w:rsidRDefault="00A51873" w:rsidP="00A32ADF">
            <w:pPr>
              <w:jc w:val="left"/>
              <w:rPr>
                <w:i/>
              </w:rPr>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2 π</m:t>
                    </m:r>
                  </m:num>
                  <m:den>
                    <m:rad>
                      <m:radPr>
                        <m:degHide m:val="1"/>
                        <m:ctrlPr>
                          <w:rPr>
                            <w:rFonts w:ascii="Cambria Math" w:hAnsi="Cambria Math"/>
                            <w:i/>
                          </w:rPr>
                        </m:ctrlPr>
                      </m:radPr>
                      <m:deg/>
                      <m:e>
                        <m:r>
                          <w:rPr>
                            <w:rFonts w:ascii="Cambria Math" w:hAnsi="Cambria Math"/>
                          </w:rPr>
                          <m:t>2 Q</m:t>
                        </m:r>
                      </m:e>
                    </m:rad>
                  </m:den>
                </m:f>
                <m:r>
                  <w:rPr>
                    <w:rFonts w:ascii="Cambria Math" w:hAnsi="Cambria Math"/>
                  </w:rPr>
                  <m:t xml:space="preserve"> </m:t>
                </m:r>
                <m:d>
                  <m:dPr>
                    <m:ctrlPr>
                      <w:rPr>
                        <w:rFonts w:ascii="Cambria Math" w:hAnsi="Cambria Math"/>
                        <w:i/>
                      </w:rPr>
                    </m:ctrlPr>
                  </m:dPr>
                  <m:e>
                    <m:r>
                      <w:rPr>
                        <w:rFonts w:ascii="Cambria Math" w:hAnsi="Cambria Math"/>
                      </w:rPr>
                      <m:t>3</m:t>
                    </m:r>
                    <m:sSub>
                      <m:sSubPr>
                        <m:ctrlPr>
                          <w:rPr>
                            <w:rFonts w:ascii="Cambria Math" w:hAnsi="Cambria Math"/>
                            <w:i/>
                          </w:rPr>
                        </m:ctrlPr>
                      </m:sSubPr>
                      <m:e>
                        <m:r>
                          <w:rPr>
                            <w:rFonts w:ascii="Cambria Math" w:hAnsi="Cambria Math"/>
                          </w:rPr>
                          <m:t>G</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0</m:t>
                        </m:r>
                      </m:sub>
                    </m:sSub>
                  </m:e>
                </m:d>
                <m:r>
                  <w:rPr>
                    <w:rFonts w:ascii="Cambria Math" w:hAnsi="Cambria Math"/>
                  </w:rPr>
                  <m:t>-</m:t>
                </m:r>
                <m:f>
                  <m:fPr>
                    <m:ctrlPr>
                      <w:rPr>
                        <w:rFonts w:ascii="Cambria Math" w:hAnsi="Cambria Math"/>
                        <w:i/>
                      </w:rPr>
                    </m:ctrlPr>
                  </m:fPr>
                  <m:num>
                    <m:r>
                      <w:rPr>
                        <w:rFonts w:ascii="Cambria Math" w:hAnsi="Cambria Math"/>
                      </w:rPr>
                      <m:t>24</m:t>
                    </m:r>
                  </m:num>
                  <m:den>
                    <m:r>
                      <w:rPr>
                        <w:rFonts w:ascii="Cambria Math" w:hAnsi="Cambria Math"/>
                      </w:rPr>
                      <m:t>5</m:t>
                    </m:r>
                  </m:den>
                </m:f>
              </m:oMath>
            </m:oMathPara>
          </w:p>
        </w:tc>
        <w:tc>
          <w:tcPr>
            <w:tcW w:w="3412" w:type="dxa"/>
            <w:tcMar>
              <w:left w:w="0" w:type="dxa"/>
              <w:right w:w="0" w:type="dxa"/>
            </w:tcMar>
            <w:vAlign w:val="center"/>
          </w:tcPr>
          <w:p w14:paraId="126DF6F4" w14:textId="77777777" w:rsidR="00F52111" w:rsidRPr="00BC31E0" w:rsidRDefault="00F52111" w:rsidP="00A32ADF">
            <w:pPr>
              <w:jc w:val="left"/>
            </w:pPr>
          </w:p>
        </w:tc>
      </w:tr>
      <w:tr w:rsidR="00F52111" w:rsidRPr="00BC31E0" w14:paraId="597E34F3" w14:textId="77777777" w:rsidTr="004736F2">
        <w:tc>
          <w:tcPr>
            <w:tcW w:w="0" w:type="auto"/>
            <w:tcMar>
              <w:left w:w="0" w:type="dxa"/>
              <w:right w:w="0" w:type="dxa"/>
            </w:tcMar>
            <w:vAlign w:val="center"/>
          </w:tcPr>
          <w:p w14:paraId="7C0ED58F" w14:textId="77777777" w:rsidR="00F52111" w:rsidRPr="00BC31E0" w:rsidRDefault="00A51873" w:rsidP="00A32ADF">
            <w:pPr>
              <w:spacing w:before="120"/>
              <w:jc w:val="left"/>
              <w:rPr>
                <w:i/>
              </w:rPr>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=3</m:t>
                </m:r>
              </m:oMath>
            </m:oMathPara>
          </w:p>
        </w:tc>
        <w:tc>
          <w:tcPr>
            <w:tcW w:w="3412" w:type="dxa"/>
            <w:tcMar>
              <w:left w:w="0" w:type="dxa"/>
              <w:right w:w="0" w:type="dxa"/>
            </w:tcMar>
            <w:vAlign w:val="center"/>
          </w:tcPr>
          <w:p w14:paraId="6023D3B8" w14:textId="77777777" w:rsidR="00F52111" w:rsidRPr="00BC31E0" w:rsidRDefault="00F52111" w:rsidP="00A32ADF">
            <w:pPr>
              <w:tabs>
                <w:tab w:val="left" w:leader="middleDot" w:pos="2845"/>
              </w:tabs>
              <w:spacing w:before="120"/>
              <w:jc w:val="left"/>
            </w:pPr>
            <w:r w:rsidRPr="00BC31E0">
              <w:tab/>
            </w:r>
            <w:r w:rsidRPr="00BC31E0">
              <w:rPr>
                <w:rFonts w:hint="eastAsia"/>
              </w:rPr>
              <w:t>(24)</w:t>
            </w:r>
          </w:p>
        </w:tc>
      </w:tr>
      <w:tr w:rsidR="00F52111" w:rsidRPr="00BC31E0" w14:paraId="3A9C700C" w14:textId="77777777" w:rsidTr="004736F2">
        <w:tc>
          <w:tcPr>
            <w:tcW w:w="0" w:type="auto"/>
            <w:tcMar>
              <w:left w:w="0" w:type="dxa"/>
              <w:right w:w="0" w:type="dxa"/>
            </w:tcMar>
            <w:vAlign w:val="center"/>
          </w:tcPr>
          <w:p w14:paraId="59C238D3" w14:textId="77777777" w:rsidR="00F52111" w:rsidRPr="00BC31E0" w:rsidRDefault="00A51873" w:rsidP="00A32ADF">
            <w:pPr>
              <w:spacing w:before="120"/>
              <w:jc w:val="left"/>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3</m:t>
                    </m:r>
                  </m:sub>
                </m:sSub>
                <m:r>
                  <w:rPr>
                    <w:rFonts w:ascii="Cambria Math" w:hAnsi="Cambria Math"/>
                  </w:rPr>
                  <m:t>=</m:t>
                </m:r>
                <m:f>
                  <m:fPr>
                    <m:ctrlPr>
                      <w:rPr>
                        <w:rFonts w:ascii="Cambria Math" w:hAnsi="Cambria Math"/>
                        <w:i/>
                      </w:rPr>
                    </m:ctrlPr>
                  </m:fPr>
                  <m:num>
                    <m:r>
                      <w:rPr>
                        <w:rFonts w:ascii="Cambria Math" w:hAnsi="Cambria Math"/>
                      </w:rPr>
                      <m:t>6 π</m:t>
                    </m:r>
                  </m:num>
                  <m:den>
                    <m:rad>
                      <m:radPr>
                        <m:degHide m:val="1"/>
                        <m:ctrlPr>
                          <w:rPr>
                            <w:rFonts w:ascii="Cambria Math" w:hAnsi="Cambria Math"/>
                            <w:i/>
                          </w:rPr>
                        </m:ctrlPr>
                      </m:radPr>
                      <m:deg/>
                      <m:e>
                        <m:r>
                          <w:rPr>
                            <w:rFonts w:ascii="Cambria Math" w:hAnsi="Cambria Math"/>
                          </w:rPr>
                          <m:t>2 Q</m:t>
                        </m:r>
                      </m:e>
                    </m:rad>
                  </m:den>
                </m:f>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2G</m:t>
                        </m:r>
                      </m:e>
                      <m:sub>
                        <m:r>
                          <w:rPr>
                            <w:rFonts w:ascii="Cambria Math" w:hAnsi="Cambria Math"/>
                          </w:rPr>
                          <m:t>1</m:t>
                        </m:r>
                      </m:sub>
                    </m:sSub>
                  </m:e>
                </m:d>
                <m:r>
                  <w:rPr>
                    <w:rFonts w:ascii="Cambria Math" w:hAnsi="Cambria Math"/>
                  </w:rPr>
                  <m:t>+</m:t>
                </m:r>
                <m:f>
                  <m:fPr>
                    <m:ctrlPr>
                      <w:rPr>
                        <w:rFonts w:ascii="Cambria Math" w:hAnsi="Cambria Math"/>
                        <w:i/>
                      </w:rPr>
                    </m:ctrlPr>
                  </m:fPr>
                  <m:num>
                    <m:r>
                      <w:rPr>
                        <w:rFonts w:ascii="Cambria Math" w:hAnsi="Cambria Math"/>
                      </w:rPr>
                      <m:t>8</m:t>
                    </m:r>
                  </m:num>
                  <m:den>
                    <m:r>
                      <w:rPr>
                        <w:rFonts w:ascii="Cambria Math" w:hAnsi="Cambria Math"/>
                      </w:rPr>
                      <m:t>5</m:t>
                    </m:r>
                  </m:den>
                </m:f>
              </m:oMath>
            </m:oMathPara>
          </w:p>
        </w:tc>
        <w:tc>
          <w:tcPr>
            <w:tcW w:w="3412" w:type="dxa"/>
            <w:tcMar>
              <w:left w:w="0" w:type="dxa"/>
              <w:right w:w="0" w:type="dxa"/>
            </w:tcMar>
            <w:vAlign w:val="center"/>
          </w:tcPr>
          <w:p w14:paraId="0B0ADBBC" w14:textId="77777777" w:rsidR="00F52111" w:rsidRPr="00BC31E0" w:rsidRDefault="00F52111" w:rsidP="00A32ADF">
            <w:pPr>
              <w:spacing w:before="120"/>
              <w:jc w:val="left"/>
            </w:pPr>
          </w:p>
        </w:tc>
      </w:tr>
    </w:tbl>
    <w:p w14:paraId="1E835168" w14:textId="77777777" w:rsidR="00F52111" w:rsidRPr="00BC31E0" w:rsidRDefault="00F52111" w:rsidP="003A52B7">
      <w:pPr>
        <w:ind w:firstLineChars="200" w:firstLine="420"/>
        <w:rPr>
          <w:rFonts w:hAnsi="ＭＳ Ｐ明朝" w:cs="Tahoma"/>
        </w:rPr>
      </w:pPr>
      <w:r w:rsidRPr="00BC31E0">
        <w:rPr>
          <w:rFonts w:hAnsi="ＭＳ Ｐ明朝" w:cs="Tahoma" w:hint="eastAsia"/>
        </w:rPr>
        <w:t>表面点</w:t>
      </w:r>
      <w:r w:rsidRPr="00BC31E0">
        <w:rPr>
          <w:rFonts w:asciiTheme="minorHAnsi" w:eastAsiaTheme="minorEastAsia" w:hAnsiTheme="minorHAnsi" w:cs="Tahoma" w:hint="eastAsia"/>
        </w:rPr>
        <w:t>において</w:t>
      </w:r>
    </w:p>
    <w:tbl>
      <w:tblPr>
        <w:tblStyle w:val="afff2"/>
        <w:tblW w:w="5953" w:type="dxa"/>
        <w:tblInd w:w="3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0"/>
        <w:gridCol w:w="3483"/>
      </w:tblGrid>
      <w:tr w:rsidR="00F52111" w:rsidRPr="00BC31E0" w14:paraId="270AB59F" w14:textId="77777777" w:rsidTr="004736F2">
        <w:tc>
          <w:tcPr>
            <w:tcW w:w="0" w:type="auto"/>
            <w:tcMar>
              <w:left w:w="0" w:type="dxa"/>
              <w:right w:w="0" w:type="dxa"/>
            </w:tcMar>
            <w:vAlign w:val="center"/>
          </w:tcPr>
          <w:p w14:paraId="2ED6BC7A" w14:textId="77777777" w:rsidR="00F52111" w:rsidRPr="00BC31E0" w:rsidRDefault="00A51873" w:rsidP="00A32ADF">
            <w:pPr>
              <w:jc w:val="left"/>
              <w:rPr>
                <w:i/>
              </w:rPr>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3 π</m:t>
                    </m:r>
                  </m:num>
                  <m:den>
                    <m:rad>
                      <m:radPr>
                        <m:degHide m:val="1"/>
                        <m:ctrlPr>
                          <w:rPr>
                            <w:rFonts w:ascii="Cambria Math" w:hAnsi="Cambria Math"/>
                            <w:i/>
                          </w:rPr>
                        </m:ctrlPr>
                      </m:radPr>
                      <m:deg/>
                      <m:e>
                        <m:r>
                          <w:rPr>
                            <w:rFonts w:ascii="Cambria Math" w:hAnsi="Cambria Math"/>
                          </w:rPr>
                          <m:t>Q</m:t>
                        </m:r>
                      </m:e>
                    </m:rad>
                  </m:den>
                </m:f>
                <m:r>
                  <w:rPr>
                    <w:rFonts w:ascii="Cambria Math" w:hAnsi="Cambria Math"/>
                  </w:rPr>
                  <m:t xml:space="preserve"> </m:t>
                </m:r>
                <m:d>
                  <m:dPr>
                    <m:ctrlPr>
                      <w:rPr>
                        <w:rFonts w:ascii="Cambria Math" w:hAnsi="Cambria Math"/>
                        <w:i/>
                      </w:rPr>
                    </m:ctrlPr>
                  </m:dPr>
                  <m:e>
                    <m:r>
                      <w:rPr>
                        <w:rFonts w:ascii="Cambria Math" w:hAnsi="Cambria Math"/>
                      </w:rPr>
                      <m:t>2</m:t>
                    </m:r>
                    <m:sSub>
                      <m:sSubPr>
                        <m:ctrlPr>
                          <w:rPr>
                            <w:rFonts w:ascii="Cambria Math" w:hAnsi="Cambria Math"/>
                            <w:i/>
                          </w:rPr>
                        </m:ctrlPr>
                      </m:sSubPr>
                      <m:e>
                        <m:r>
                          <w:rPr>
                            <w:rFonts w:ascii="Cambria Math" w:hAnsi="Cambria Math"/>
                          </w:rPr>
                          <m:t>G</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5G</m:t>
                        </m:r>
                      </m:e>
                      <m:sub>
                        <m:r>
                          <w:rPr>
                            <w:rFonts w:ascii="Cambria Math" w:hAnsi="Cambria Math"/>
                          </w:rPr>
                          <m:t>1</m:t>
                        </m:r>
                      </m:sub>
                    </m:sSub>
                  </m:e>
                </m:d>
                <m:r>
                  <w:rPr>
                    <w:rFonts w:ascii="Cambria Math" w:hAnsi="Cambria Math"/>
                  </w:rPr>
                  <m:t>-8</m:t>
                </m:r>
              </m:oMath>
            </m:oMathPara>
          </w:p>
        </w:tc>
        <w:tc>
          <w:tcPr>
            <w:tcW w:w="3483" w:type="dxa"/>
            <w:tcMar>
              <w:left w:w="0" w:type="dxa"/>
              <w:right w:w="0" w:type="dxa"/>
            </w:tcMar>
            <w:vAlign w:val="center"/>
          </w:tcPr>
          <w:p w14:paraId="7F0968E9" w14:textId="77777777" w:rsidR="00F52111" w:rsidRPr="00BC31E0" w:rsidRDefault="00F52111" w:rsidP="00A32ADF">
            <w:pPr>
              <w:jc w:val="left"/>
            </w:pPr>
          </w:p>
        </w:tc>
      </w:tr>
      <w:tr w:rsidR="00F52111" w:rsidRPr="00BC31E0" w14:paraId="03FED958" w14:textId="77777777" w:rsidTr="004736F2">
        <w:tc>
          <w:tcPr>
            <w:tcW w:w="0" w:type="auto"/>
            <w:tcMar>
              <w:left w:w="0" w:type="dxa"/>
              <w:right w:w="0" w:type="dxa"/>
            </w:tcMar>
            <w:vAlign w:val="center"/>
          </w:tcPr>
          <w:p w14:paraId="60E65BB8" w14:textId="77777777" w:rsidR="00F52111" w:rsidRPr="00BC31E0" w:rsidRDefault="00A51873" w:rsidP="00A32ADF">
            <w:pPr>
              <w:spacing w:before="120"/>
              <w:jc w:val="left"/>
              <w:rPr>
                <w:i/>
              </w:rPr>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15 π</m:t>
                    </m:r>
                  </m:num>
                  <m:den>
                    <m:rad>
                      <m:radPr>
                        <m:degHide m:val="1"/>
                        <m:ctrlPr>
                          <w:rPr>
                            <w:rFonts w:ascii="Cambria Math" w:hAnsi="Cambria Math"/>
                            <w:i/>
                          </w:rPr>
                        </m:ctrlPr>
                      </m:radPr>
                      <m:deg/>
                      <m:e>
                        <m:r>
                          <w:rPr>
                            <w:rFonts w:ascii="Cambria Math" w:hAnsi="Cambria Math"/>
                          </w:rPr>
                          <m:t>Q</m:t>
                        </m:r>
                      </m:e>
                    </m:rad>
                  </m:den>
                </m:f>
                <m:r>
                  <w:rPr>
                    <w:rFonts w:ascii="Cambria Math" w:hAnsi="Cambria Math"/>
                  </w:rPr>
                  <m:t xml:space="preserve"> </m:t>
                </m:r>
                <m:d>
                  <m:dPr>
                    <m:ctrlPr>
                      <w:rPr>
                        <w:rFonts w:ascii="Cambria Math" w:hAnsi="Cambria Math"/>
                        <w:i/>
                      </w:rPr>
                    </m:ctrlPr>
                  </m:dPr>
                  <m:e>
                    <m:r>
                      <w:rPr>
                        <w:rFonts w:ascii="Cambria Math" w:hAnsi="Cambria Math"/>
                      </w:rPr>
                      <m:t>3</m:t>
                    </m:r>
                    <m:sSub>
                      <m:sSubPr>
                        <m:ctrlPr>
                          <w:rPr>
                            <w:rFonts w:ascii="Cambria Math" w:hAnsi="Cambria Math"/>
                            <w:i/>
                          </w:rPr>
                        </m:ctrlPr>
                      </m:sSubPr>
                      <m:e>
                        <m:r>
                          <w:rPr>
                            <w:rFonts w:ascii="Cambria Math" w:hAnsi="Cambria Math"/>
                          </w:rPr>
                          <m:t>G</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0</m:t>
                        </m:r>
                      </m:sub>
                    </m:sSub>
                  </m:e>
                </m:d>
                <m:r>
                  <w:rPr>
                    <w:rFonts w:ascii="Cambria Math" w:hAnsi="Cambria Math"/>
                  </w:rPr>
                  <m:t>+15</m:t>
                </m:r>
              </m:oMath>
            </m:oMathPara>
          </w:p>
        </w:tc>
        <w:tc>
          <w:tcPr>
            <w:tcW w:w="3483" w:type="dxa"/>
            <w:tcMar>
              <w:left w:w="0" w:type="dxa"/>
              <w:right w:w="0" w:type="dxa"/>
            </w:tcMar>
            <w:vAlign w:val="center"/>
          </w:tcPr>
          <w:p w14:paraId="00597C36" w14:textId="77777777" w:rsidR="00F52111" w:rsidRPr="00BC31E0" w:rsidRDefault="00F52111" w:rsidP="00A32ADF">
            <w:pPr>
              <w:tabs>
                <w:tab w:val="left" w:leader="middleDot" w:pos="2916"/>
              </w:tabs>
              <w:spacing w:before="120"/>
              <w:jc w:val="left"/>
            </w:pPr>
            <w:r w:rsidRPr="00BC31E0">
              <w:tab/>
            </w:r>
            <w:r w:rsidRPr="00BC31E0">
              <w:rPr>
                <w:rFonts w:hint="eastAsia"/>
              </w:rPr>
              <w:t>(25)</w:t>
            </w:r>
          </w:p>
        </w:tc>
      </w:tr>
      <w:tr w:rsidR="00F52111" w:rsidRPr="00BC31E0" w14:paraId="5012F261" w14:textId="77777777" w:rsidTr="004736F2">
        <w:tc>
          <w:tcPr>
            <w:tcW w:w="0" w:type="auto"/>
            <w:tcMar>
              <w:left w:w="0" w:type="dxa"/>
              <w:right w:w="0" w:type="dxa"/>
            </w:tcMar>
            <w:vAlign w:val="center"/>
          </w:tcPr>
          <w:p w14:paraId="62E4C183" w14:textId="77777777" w:rsidR="00F52111" w:rsidRPr="00BC31E0" w:rsidRDefault="00A51873" w:rsidP="00A32ADF">
            <w:pPr>
              <w:spacing w:before="120"/>
              <w:jc w:val="left"/>
              <w:rPr>
                <w:i/>
              </w:rPr>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3</m:t>
                    </m:r>
                  </m:sub>
                </m:sSub>
                <m:r>
                  <w:rPr>
                    <w:rFonts w:ascii="Cambria Math" w:hAnsi="Cambria Math"/>
                  </w:rPr>
                  <m:t>=</m:t>
                </m:r>
                <m:f>
                  <m:fPr>
                    <m:ctrlPr>
                      <w:rPr>
                        <w:rFonts w:ascii="Cambria Math" w:hAnsi="Cambria Math"/>
                        <w:i/>
                      </w:rPr>
                    </m:ctrlPr>
                  </m:fPr>
                  <m:num>
                    <m:r>
                      <w:rPr>
                        <w:rFonts w:ascii="Cambria Math" w:hAnsi="Cambria Math"/>
                      </w:rPr>
                      <m:t>3 π</m:t>
                    </m:r>
                  </m:num>
                  <m:den>
                    <m:rad>
                      <m:radPr>
                        <m:degHide m:val="1"/>
                        <m:ctrlPr>
                          <w:rPr>
                            <w:rFonts w:ascii="Cambria Math" w:hAnsi="Cambria Math"/>
                            <w:i/>
                          </w:rPr>
                        </m:ctrlPr>
                      </m:radPr>
                      <m:deg/>
                      <m:e>
                        <m:r>
                          <w:rPr>
                            <w:rFonts w:ascii="Cambria Math" w:hAnsi="Cambria Math"/>
                          </w:rPr>
                          <m:t>Q</m:t>
                        </m:r>
                      </m:e>
                    </m:rad>
                  </m:den>
                </m:f>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3G</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10G</m:t>
                        </m:r>
                      </m:e>
                      <m:sub>
                        <m:r>
                          <w:rPr>
                            <w:rFonts w:ascii="Cambria Math" w:hAnsi="Cambria Math"/>
                          </w:rPr>
                          <m:t>1</m:t>
                        </m:r>
                      </m:sub>
                    </m:sSub>
                  </m:e>
                </m:d>
                <m:r>
                  <w:rPr>
                    <w:rFonts w:ascii="Cambria Math" w:hAnsi="Cambria Math"/>
                  </w:rPr>
                  <m:t>-8</m:t>
                </m:r>
              </m:oMath>
            </m:oMathPara>
          </w:p>
        </w:tc>
        <w:tc>
          <w:tcPr>
            <w:tcW w:w="3483" w:type="dxa"/>
            <w:tcMar>
              <w:left w:w="0" w:type="dxa"/>
              <w:right w:w="0" w:type="dxa"/>
            </w:tcMar>
            <w:vAlign w:val="center"/>
          </w:tcPr>
          <w:p w14:paraId="7CE09DCE" w14:textId="77777777" w:rsidR="00F52111" w:rsidRPr="00BC31E0" w:rsidRDefault="00F52111" w:rsidP="00A32ADF">
            <w:pPr>
              <w:spacing w:before="120"/>
              <w:jc w:val="left"/>
            </w:pPr>
          </w:p>
        </w:tc>
      </w:tr>
    </w:tbl>
    <w:p w14:paraId="01E94789" w14:textId="77777777" w:rsidR="00F52111" w:rsidRPr="00BC31E0" w:rsidRDefault="00F52111" w:rsidP="00924106">
      <w:pPr>
        <w:ind w:firstLineChars="300" w:firstLine="630"/>
      </w:pPr>
      <w:r w:rsidRPr="00BC31E0">
        <w:rPr>
          <w:rFonts w:hint="eastAsia"/>
        </w:rPr>
        <w:t>ここで，</w:t>
      </w:r>
    </w:p>
    <w:p w14:paraId="6D6A1381" w14:textId="77777777" w:rsidR="00F52111" w:rsidRPr="00BC31E0" w:rsidRDefault="00F52111" w:rsidP="00A32ADF">
      <w:pPr>
        <w:tabs>
          <w:tab w:val="left" w:pos="1134"/>
          <w:tab w:val="left" w:pos="1418"/>
        </w:tabs>
        <w:rPr>
          <w:rFonts w:ascii="ＭＳ 明朝" w:hAnsi="ＭＳ 明朝"/>
        </w:rPr>
      </w:pPr>
      <w:r w:rsidRPr="00BC31E0">
        <w:rPr>
          <w:rFonts w:ascii="ＭＳ 明朝" w:hAnsi="ＭＳ 明朝" w:hint="eastAsia"/>
        </w:rPr>
        <w:tab/>
      </w:r>
      <m:oMath>
        <m:sSub>
          <m:sSubPr>
            <m:ctrlPr>
              <w:rPr>
                <w:rFonts w:ascii="Cambria Math" w:hAnsi="Cambria Math"/>
                <w:i/>
              </w:rPr>
            </m:ctrlPr>
          </m:sSubPr>
          <m:e>
            <m:r>
              <w:rPr>
                <w:rFonts w:ascii="Cambria Math" w:hAnsi="Cambria Math"/>
              </w:rPr>
              <m:t>G</m:t>
            </m:r>
          </m:e>
          <m:sub>
            <m:r>
              <w:rPr>
                <w:rFonts w:ascii="Cambria Math" w:hAnsi="Cambria Math"/>
              </w:rPr>
              <m:t>0</m:t>
            </m:r>
          </m:sub>
        </m:sSub>
      </m:oMath>
      <w:r w:rsidRPr="00BC31E0">
        <w:rPr>
          <w:rFonts w:ascii="ＭＳ 明朝" w:hAnsi="ＭＳ 明朝" w:hint="eastAsia"/>
        </w:rPr>
        <w:tab/>
        <w:t xml:space="preserve">： </w:t>
      </w:r>
      <w:r w:rsidRPr="00BC31E0">
        <w:rPr>
          <w:rFonts w:asciiTheme="minorEastAsia" w:eastAsiaTheme="minorEastAsia" w:hAnsiTheme="minorEastAsia" w:hint="eastAsia"/>
        </w:rPr>
        <w:t>亀</w:t>
      </w:r>
      <w:r w:rsidRPr="00BC31E0">
        <w:rPr>
          <w:rFonts w:ascii="ＭＳ 明朝" w:hAnsi="ＭＳ 明朝" w:hint="eastAsia"/>
        </w:rPr>
        <w:t>裂面に一様な応力分布が作用する場合の自由表面補正係数</w:t>
      </w:r>
    </w:p>
    <w:p w14:paraId="197B39AC" w14:textId="77777777" w:rsidR="00F52111" w:rsidRPr="00BC31E0" w:rsidRDefault="00F52111" w:rsidP="00A32ADF">
      <w:pPr>
        <w:tabs>
          <w:tab w:val="left" w:pos="1134"/>
          <w:tab w:val="left" w:pos="1418"/>
        </w:tabs>
        <w:rPr>
          <w:rFonts w:ascii="ＭＳ 明朝" w:hAnsi="ＭＳ 明朝"/>
        </w:rPr>
      </w:pPr>
      <w:r w:rsidRPr="00BC31E0">
        <w:rPr>
          <w:rFonts w:ascii="ＭＳ 明朝" w:hAnsi="ＭＳ 明朝" w:hint="eastAsia"/>
        </w:rPr>
        <w:tab/>
      </w:r>
      <m:oMath>
        <m:sSub>
          <m:sSubPr>
            <m:ctrlPr>
              <w:rPr>
                <w:rFonts w:ascii="Cambria Math" w:hAnsi="Cambria Math"/>
                <w:i/>
              </w:rPr>
            </m:ctrlPr>
          </m:sSubPr>
          <m:e>
            <m:r>
              <w:rPr>
                <w:rFonts w:ascii="Cambria Math" w:hAnsi="Cambria Math"/>
              </w:rPr>
              <m:t>G</m:t>
            </m:r>
          </m:e>
          <m:sub>
            <m:r>
              <w:rPr>
                <w:rFonts w:ascii="Cambria Math" w:hAnsi="Cambria Math"/>
              </w:rPr>
              <m:t>1</m:t>
            </m:r>
          </m:sub>
        </m:sSub>
      </m:oMath>
      <w:r w:rsidRPr="00BC31E0">
        <w:rPr>
          <w:rFonts w:ascii="ＭＳ 明朝" w:hAnsi="ＭＳ 明朝" w:hint="eastAsia"/>
        </w:rPr>
        <w:tab/>
        <w:t xml:space="preserve">： </w:t>
      </w:r>
      <w:r w:rsidRPr="00BC31E0">
        <w:rPr>
          <w:rFonts w:asciiTheme="minorEastAsia" w:eastAsiaTheme="minorEastAsia" w:hAnsiTheme="minorEastAsia" w:hint="eastAsia"/>
        </w:rPr>
        <w:t>亀</w:t>
      </w:r>
      <w:r w:rsidRPr="00BC31E0">
        <w:rPr>
          <w:rFonts w:ascii="ＭＳ 明朝" w:hAnsi="ＭＳ 明朝" w:hint="eastAsia"/>
        </w:rPr>
        <w:t>裂面に線形の応力分布が作用する場合の自由表面補正係数</w:t>
      </w:r>
    </w:p>
    <w:p w14:paraId="276044FE" w14:textId="77777777" w:rsidR="00F52111" w:rsidRPr="00BC31E0" w:rsidRDefault="00F52111" w:rsidP="00A32ADF">
      <w:pPr>
        <w:tabs>
          <w:tab w:val="left" w:pos="1134"/>
          <w:tab w:val="left" w:pos="1418"/>
        </w:tabs>
        <w:rPr>
          <w:rFonts w:ascii="ＭＳ 明朝" w:hAnsi="ＭＳ 明朝"/>
        </w:rPr>
      </w:pPr>
      <w:r w:rsidRPr="00BC31E0">
        <w:rPr>
          <w:rFonts w:hint="eastAsia"/>
        </w:rPr>
        <w:tab/>
      </w:r>
      <m:oMath>
        <m:r>
          <w:rPr>
            <w:rFonts w:ascii="Cambria Math" w:hAnsi="Cambria Math" w:hint="eastAsia"/>
          </w:rPr>
          <m:t>Q</m:t>
        </m:r>
        <m:r>
          <w:rPr>
            <w:rFonts w:ascii="Cambria Math" w:hAnsi="Cambria Math"/>
          </w:rPr>
          <m:t>=</m:t>
        </m:r>
        <m:r>
          <w:rPr>
            <w:rFonts w:ascii="Cambria Math" w:hAnsi="Cambria Math"/>
            <w:kern w:val="0"/>
          </w:rPr>
          <m:t xml:space="preserve">1+4.593 </m:t>
        </m:r>
        <m:sSup>
          <m:sSupPr>
            <m:ctrlPr>
              <w:rPr>
                <w:rFonts w:ascii="Cambria Math" w:hAnsi="Cambria Math"/>
                <w:i/>
                <w:kern w:val="0"/>
              </w:rPr>
            </m:ctrlPr>
          </m:sSupPr>
          <m:e>
            <m:d>
              <m:dPr>
                <m:ctrlPr>
                  <w:rPr>
                    <w:rFonts w:ascii="Cambria Math" w:hAnsi="Cambria Math"/>
                    <w:i/>
                    <w:kern w:val="0"/>
                  </w:rPr>
                </m:ctrlPr>
              </m:dPr>
              <m:e>
                <m:f>
                  <m:fPr>
                    <m:type m:val="lin"/>
                    <m:ctrlPr>
                      <w:rPr>
                        <w:rFonts w:ascii="Cambria Math" w:hAnsi="Cambria Math"/>
                        <w:i/>
                        <w:kern w:val="0"/>
                      </w:rPr>
                    </m:ctrlPr>
                  </m:fPr>
                  <m:num>
                    <m:r>
                      <w:rPr>
                        <w:rFonts w:ascii="Cambria Math" w:hAnsi="Cambria Math"/>
                        <w:kern w:val="0"/>
                      </w:rPr>
                      <m:t>a</m:t>
                    </m:r>
                  </m:num>
                  <m:den>
                    <m:r>
                      <w:rPr>
                        <w:rFonts w:ascii="Cambria Math" w:hAnsi="Cambria Math"/>
                        <w:kern w:val="0"/>
                      </w:rPr>
                      <m:t>l</m:t>
                    </m:r>
                  </m:den>
                </m:f>
              </m:e>
            </m:d>
          </m:e>
          <m:sup>
            <m:r>
              <w:rPr>
                <w:rFonts w:ascii="Cambria Math" w:hAnsi="Cambria Math"/>
                <w:kern w:val="0"/>
              </w:rPr>
              <m:t>1.65</m:t>
            </m:r>
          </m:sup>
        </m:sSup>
        <m:r>
          <w:rPr>
            <w:rFonts w:ascii="Cambria Math" w:hAnsi="Cambria Math" w:hint="eastAsia"/>
          </w:rPr>
          <m:t xml:space="preserve"> </m:t>
        </m:r>
      </m:oMath>
      <w:r w:rsidRPr="00BC31E0">
        <w:rPr>
          <w:rFonts w:hint="eastAsia"/>
        </w:rPr>
        <w:tab/>
      </w:r>
    </w:p>
    <w:p w14:paraId="33437F05" w14:textId="77777777" w:rsidR="00F52111" w:rsidRPr="00BC31E0" w:rsidRDefault="00F52111" w:rsidP="00A32ADF">
      <w:pPr>
        <w:spacing w:before="120"/>
        <w:ind w:firstLineChars="100" w:firstLine="210"/>
        <w:rPr>
          <w:rFonts w:asciiTheme="minorEastAsia" w:eastAsiaTheme="minorEastAsia" w:hAnsiTheme="minorEastAsia"/>
        </w:rPr>
      </w:pPr>
      <w:r w:rsidRPr="00BC31E0">
        <w:rPr>
          <w:rFonts w:asciiTheme="minorEastAsia" w:eastAsiaTheme="minorEastAsia" w:hAnsiTheme="minorEastAsia" w:cs="Tahoma" w:hint="eastAsia"/>
        </w:rPr>
        <w:t>重み関数法による応力拡大係数の決定方法は，</w:t>
      </w:r>
      <w:r w:rsidRPr="00BC31E0">
        <w:rPr>
          <w:rFonts w:asciiTheme="minorEastAsia" w:eastAsiaTheme="minorEastAsia" w:hAnsiTheme="minorEastAsia" w:hint="eastAsia"/>
        </w:rPr>
        <w:t>次の</w:t>
      </w:r>
      <w:r w:rsidRPr="00BC31E0">
        <w:rPr>
          <w:rFonts w:asciiTheme="majorEastAsia" w:eastAsiaTheme="majorEastAsia" w:hAnsiTheme="majorEastAsia" w:hint="eastAsia"/>
          <w:b/>
        </w:rPr>
        <w:t>a)</w:t>
      </w:r>
      <w:r w:rsidRPr="00BC31E0">
        <w:rPr>
          <w:rFonts w:asciiTheme="minorEastAsia" w:eastAsiaTheme="minorEastAsia" w:hAnsiTheme="minorEastAsia" w:hint="eastAsia"/>
        </w:rPr>
        <w:t>～</w:t>
      </w:r>
      <w:r w:rsidRPr="00BC31E0">
        <w:rPr>
          <w:rFonts w:asciiTheme="majorEastAsia" w:eastAsiaTheme="majorEastAsia" w:hAnsiTheme="majorEastAsia" w:hint="eastAsia"/>
          <w:b/>
        </w:rPr>
        <w:t>g)</w:t>
      </w:r>
      <w:r w:rsidRPr="00BC31E0">
        <w:rPr>
          <w:rFonts w:asciiTheme="minorEastAsia" w:eastAsiaTheme="minorEastAsia" w:hAnsiTheme="minorEastAsia" w:hint="eastAsia"/>
        </w:rPr>
        <w:t>による。</w:t>
      </w:r>
    </w:p>
    <w:p w14:paraId="3F6CA5E1" w14:textId="77777777" w:rsidR="00F52111" w:rsidRPr="00BC31E0" w:rsidRDefault="00F52111" w:rsidP="00736130">
      <w:pPr>
        <w:pStyle w:val="a4"/>
        <w:numPr>
          <w:ilvl w:val="0"/>
          <w:numId w:val="367"/>
        </w:numPr>
        <w:spacing w:after="120"/>
        <w:ind w:leftChars="0" w:left="454" w:hanging="454"/>
      </w:pPr>
      <w:r w:rsidRPr="00BC31E0">
        <w:rPr>
          <w:rFonts w:hint="eastAsia"/>
        </w:rPr>
        <w:t>有限要素法などの数値解析により，深さ</w:t>
      </w:r>
      <m:oMath>
        <m:r>
          <m:rPr>
            <m:sty m:val="p"/>
          </m:rPr>
          <w:rPr>
            <w:rFonts w:ascii="Cambria Math" w:hAnsi="Cambria Math"/>
          </w:rPr>
          <m:t xml:space="preserve"> </m:t>
        </m:r>
        <m:r>
          <w:rPr>
            <w:rFonts w:ascii="Cambria Math" w:hAnsi="Cambria Math"/>
          </w:rPr>
          <m:t>a</m:t>
        </m:r>
        <m:r>
          <m:rPr>
            <m:sty m:val="p"/>
          </m:rPr>
          <w:rPr>
            <w:rFonts w:ascii="Cambria Math" w:hAnsi="Cambria Math"/>
          </w:rPr>
          <m:t xml:space="preserve"> </m:t>
        </m:r>
      </m:oMath>
      <w:r w:rsidRPr="00BC31E0">
        <w:rPr>
          <w:rFonts w:hint="eastAsia"/>
        </w:rPr>
        <w:t>の亀裂面に一様な応力分布</w:t>
      </w:r>
      <m:oMath>
        <m:r>
          <w:rPr>
            <w:rFonts w:ascii="Cambria Math" w:hAnsi="Cambria Math"/>
          </w:rPr>
          <m:t xml:space="preserve"> σ</m:t>
        </m:r>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 xml:space="preserve"> </m:t>
        </m:r>
      </m:oMath>
      <w:r w:rsidRPr="00BC31E0">
        <w:rPr>
          <w:rFonts w:hint="eastAsia"/>
        </w:rPr>
        <w:t>が作用する場合の応力拡大係数</w:t>
      </w:r>
      <m:oMath>
        <m:sSub>
          <m:sSubPr>
            <m:ctrlPr>
              <w:rPr>
                <w:rFonts w:ascii="Cambria Math" w:hAnsi="Cambria Math"/>
              </w:rPr>
            </m:ctrlPr>
          </m:sSubPr>
          <m:e>
            <m:r>
              <m:rPr>
                <m:sty m:val="p"/>
              </m:rPr>
              <w:rPr>
                <w:rFonts w:ascii="Cambria Math" w:hAnsi="Cambria Math"/>
              </w:rPr>
              <m:t xml:space="preserve"> </m:t>
            </m:r>
            <m:r>
              <w:rPr>
                <w:rFonts w:ascii="Cambria Math" w:hAnsi="Cambria Math"/>
              </w:rPr>
              <m:t>K</m:t>
            </m:r>
          </m:e>
          <m:sub>
            <m:r>
              <m:rPr>
                <m:sty m:val="p"/>
              </m:rPr>
              <w:rPr>
                <w:rFonts w:ascii="Cambria Math" w:hAnsi="Cambria Math"/>
              </w:rPr>
              <m:t>I</m:t>
            </m:r>
          </m:sub>
        </m:sSub>
      </m:oMath>
      <w:r w:rsidRPr="00BC31E0">
        <w:t xml:space="preserve"> </w:t>
      </w:r>
      <w:r w:rsidRPr="00BC31E0">
        <w:rPr>
          <w:rFonts w:hint="eastAsia"/>
        </w:rPr>
        <w:t>を求め，次式により補正係数</w:t>
      </w:r>
      <m:oMath>
        <m:r>
          <w:rPr>
            <w:rFonts w:ascii="Cambria Math" w:hAnsi="Cambria Math" w:hint="eastAsia"/>
          </w:rPr>
          <m:t xml:space="preserve"> </m:t>
        </m:r>
        <m:sSub>
          <m:sSubPr>
            <m:ctrlPr>
              <w:rPr>
                <w:rFonts w:ascii="Cambria Math" w:hAnsi="Cambria Math"/>
                <w:i/>
              </w:rPr>
            </m:ctrlPr>
          </m:sSubPr>
          <m:e>
            <m:r>
              <w:rPr>
                <w:rFonts w:ascii="Cambria Math" w:hAnsi="Cambria Math"/>
              </w:rPr>
              <m:t>G</m:t>
            </m:r>
          </m:e>
          <m:sub>
            <m:r>
              <w:rPr>
                <w:rFonts w:ascii="Cambria Math" w:hAnsi="Cambria Math"/>
              </w:rPr>
              <m:t>0</m:t>
            </m:r>
          </m:sub>
        </m:sSub>
        <m:r>
          <w:rPr>
            <w:rFonts w:ascii="Cambria Math" w:hAnsi="Cambria Math" w:hint="eastAsia"/>
          </w:rPr>
          <m:t xml:space="preserve"> </m:t>
        </m:r>
      </m:oMath>
      <w:r w:rsidRPr="00BC31E0">
        <w:rPr>
          <w:rFonts w:hint="eastAsia"/>
        </w:rPr>
        <w:t>を決定する。</w:t>
      </w:r>
    </w:p>
    <w:tbl>
      <w:tblPr>
        <w:tblStyle w:val="afff2"/>
        <w:tblW w:w="5528" w:type="dxa"/>
        <w:tblInd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8"/>
        <w:gridCol w:w="4040"/>
      </w:tblGrid>
      <w:tr w:rsidR="00F52111" w:rsidRPr="00BC31E0" w14:paraId="7A88ED3D" w14:textId="77777777" w:rsidTr="004736F2">
        <w:tc>
          <w:tcPr>
            <w:tcW w:w="0" w:type="auto"/>
            <w:tcMar>
              <w:left w:w="0" w:type="dxa"/>
              <w:right w:w="0" w:type="dxa"/>
            </w:tcMar>
            <w:vAlign w:val="center"/>
          </w:tcPr>
          <w:p w14:paraId="46247205" w14:textId="77777777" w:rsidR="00F52111" w:rsidRPr="00BC31E0" w:rsidRDefault="00A51873" w:rsidP="004736F2">
            <w:pPr>
              <w:rPr>
                <w:i/>
              </w:rPr>
            </w:pPr>
            <m:oMathPara>
              <m:oMathParaPr>
                <m:jc m:val="left"/>
              </m:oMathParaPr>
              <m:oMath>
                <m:sSub>
                  <m:sSubPr>
                    <m:ctrlPr>
                      <w:rPr>
                        <w:rFonts w:ascii="Cambria Math" w:hAnsi="Cambria Math"/>
                        <w:i/>
                      </w:rPr>
                    </m:ctrlPr>
                  </m:sSubPr>
                  <m:e>
                    <m:r>
                      <w:rPr>
                        <w:rFonts w:ascii="Cambria Math" w:hAnsi="Cambria Math"/>
                      </w:rPr>
                      <m:t>G</m:t>
                    </m:r>
                  </m:e>
                  <m:sub>
                    <m:r>
                      <w:rPr>
                        <w:rFonts w:ascii="Cambria Math" w:hAnsi="Cambria Math"/>
                      </w:rPr>
                      <m:t>0</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m:rPr>
                            <m:sty m:val="p"/>
                          </m:rPr>
                          <w:rPr>
                            <w:rFonts w:ascii="Cambria Math" w:hAnsi="Cambria Math"/>
                          </w:rPr>
                          <m:t>I</m:t>
                        </m:r>
                      </m:sub>
                    </m:sSub>
                  </m:num>
                  <m:den>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 xml:space="preserve"> </m:t>
                    </m:r>
                    <m:rad>
                      <m:radPr>
                        <m:degHide m:val="1"/>
                        <m:ctrlPr>
                          <w:rPr>
                            <w:rFonts w:ascii="Cambria Math" w:hAnsi="Cambria Math"/>
                            <w:i/>
                          </w:rPr>
                        </m:ctrlPr>
                      </m:radPr>
                      <m:deg/>
                      <m:e>
                        <m:f>
                          <m:fPr>
                            <m:type m:val="lin"/>
                            <m:ctrlPr>
                              <w:rPr>
                                <w:rFonts w:ascii="Cambria Math" w:hAnsi="Cambria Math"/>
                                <w:i/>
                              </w:rPr>
                            </m:ctrlPr>
                          </m:fPr>
                          <m:num>
                            <m:r>
                              <w:rPr>
                                <w:rFonts w:ascii="Cambria Math" w:hAnsi="Cambria Math"/>
                              </w:rPr>
                              <m:t>π a</m:t>
                            </m:r>
                          </m:num>
                          <m:den>
                            <m:r>
                              <w:rPr>
                                <w:rFonts w:ascii="Cambria Math" w:hAnsi="Cambria Math"/>
                              </w:rPr>
                              <m:t>Q</m:t>
                            </m:r>
                          </m:den>
                        </m:f>
                      </m:e>
                    </m:rad>
                  </m:den>
                </m:f>
              </m:oMath>
            </m:oMathPara>
          </w:p>
        </w:tc>
        <w:tc>
          <w:tcPr>
            <w:tcW w:w="4040" w:type="dxa"/>
            <w:tcMar>
              <w:left w:w="0" w:type="dxa"/>
              <w:right w:w="0" w:type="dxa"/>
            </w:tcMar>
            <w:vAlign w:val="center"/>
          </w:tcPr>
          <w:p w14:paraId="7F36F604" w14:textId="77777777" w:rsidR="00F52111" w:rsidRPr="00BC31E0" w:rsidRDefault="00F52111" w:rsidP="004736F2">
            <w:pPr>
              <w:tabs>
                <w:tab w:val="left" w:leader="middleDot" w:pos="3473"/>
              </w:tabs>
              <w:jc w:val="left"/>
            </w:pPr>
            <w:r w:rsidRPr="00BC31E0">
              <w:tab/>
            </w:r>
            <w:r w:rsidRPr="00BC31E0">
              <w:rPr>
                <w:rFonts w:hint="eastAsia"/>
              </w:rPr>
              <w:t>(26)</w:t>
            </w:r>
          </w:p>
        </w:tc>
      </w:tr>
    </w:tbl>
    <w:p w14:paraId="72022BAD" w14:textId="77777777" w:rsidR="00F52111" w:rsidRPr="00BC31E0" w:rsidRDefault="00F52111" w:rsidP="00736130">
      <w:pPr>
        <w:pStyle w:val="a4"/>
        <w:numPr>
          <w:ilvl w:val="0"/>
          <w:numId w:val="368"/>
        </w:numPr>
        <w:spacing w:before="120" w:after="120"/>
        <w:ind w:leftChars="0" w:left="454" w:hanging="454"/>
      </w:pPr>
      <w:r w:rsidRPr="00BC31E0">
        <w:rPr>
          <w:rFonts w:hint="eastAsia"/>
        </w:rPr>
        <w:t>有限要素法などの数値解析により，深さ</w:t>
      </w:r>
      <m:oMath>
        <m:r>
          <m:rPr>
            <m:sty m:val="p"/>
          </m:rPr>
          <w:rPr>
            <w:rFonts w:ascii="Cambria Math" w:hAnsi="Cambria Math"/>
          </w:rPr>
          <m:t xml:space="preserve"> </m:t>
        </m:r>
        <m:r>
          <w:rPr>
            <w:rFonts w:ascii="Cambria Math" w:hAnsi="Cambria Math"/>
          </w:rPr>
          <m:t>a</m:t>
        </m:r>
        <m:r>
          <m:rPr>
            <m:sty m:val="p"/>
          </m:rPr>
          <w:rPr>
            <w:rFonts w:ascii="Cambria Math" w:hAnsi="Cambria Math"/>
          </w:rPr>
          <m:t xml:space="preserve"> </m:t>
        </m:r>
      </m:oMath>
      <w:r w:rsidRPr="00BC31E0">
        <w:rPr>
          <w:rFonts w:hint="eastAsia"/>
        </w:rPr>
        <w:t>の亀裂面に線形の応力分布</w:t>
      </w:r>
      <m:oMath>
        <m:r>
          <w:rPr>
            <w:rFonts w:ascii="Cambria Math" w:hAnsi="Cambria Math"/>
          </w:rPr>
          <m:t xml:space="preserve"> σ</m:t>
        </m:r>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 </m:t>
        </m:r>
        <m:d>
          <m:dPr>
            <m:ctrlPr>
              <w:rPr>
                <w:rFonts w:ascii="Cambria Math" w:hAnsi="Cambria Math"/>
                <w:i/>
              </w:rPr>
            </m:ctrlPr>
          </m:dPr>
          <m:e>
            <m:f>
              <m:fPr>
                <m:type m:val="lin"/>
                <m:ctrlPr>
                  <w:rPr>
                    <w:rFonts w:ascii="Cambria Math" w:hAnsi="Cambria Math"/>
                    <w:i/>
                  </w:rPr>
                </m:ctrlPr>
              </m:fPr>
              <m:num>
                <m:r>
                  <w:rPr>
                    <w:rFonts w:ascii="Cambria Math" w:hAnsi="Cambria Math"/>
                  </w:rPr>
                  <m:t>x</m:t>
                </m:r>
              </m:num>
              <m:den>
                <m:r>
                  <w:rPr>
                    <w:rFonts w:ascii="Cambria Math" w:hAnsi="Cambria Math"/>
                  </w:rPr>
                  <m:t>a</m:t>
                </m:r>
              </m:den>
            </m:f>
          </m:e>
        </m:d>
        <m:r>
          <w:rPr>
            <w:rFonts w:ascii="Cambria Math" w:hAnsi="Cambria Math"/>
          </w:rPr>
          <m:t xml:space="preserve"> </m:t>
        </m:r>
      </m:oMath>
      <w:r w:rsidRPr="00BC31E0">
        <w:rPr>
          <w:rFonts w:hint="eastAsia"/>
        </w:rPr>
        <w:t>が作用する場合の応力拡大係数</w:t>
      </w:r>
      <m:oMath>
        <m:sSub>
          <m:sSubPr>
            <m:ctrlPr>
              <w:rPr>
                <w:rFonts w:ascii="Cambria Math" w:hAnsi="Cambria Math"/>
              </w:rPr>
            </m:ctrlPr>
          </m:sSubPr>
          <m:e>
            <m:r>
              <m:rPr>
                <m:sty m:val="p"/>
              </m:rPr>
              <w:rPr>
                <w:rFonts w:ascii="Cambria Math" w:hAnsi="Cambria Math"/>
              </w:rPr>
              <m:t xml:space="preserve"> </m:t>
            </m:r>
            <m:r>
              <w:rPr>
                <w:rFonts w:ascii="Cambria Math" w:hAnsi="Cambria Math"/>
              </w:rPr>
              <m:t>K</m:t>
            </m:r>
          </m:e>
          <m:sub>
            <m:r>
              <m:rPr>
                <m:sty m:val="p"/>
              </m:rPr>
              <w:rPr>
                <w:rFonts w:ascii="Cambria Math" w:hAnsi="Cambria Math"/>
              </w:rPr>
              <m:t>I</m:t>
            </m:r>
          </m:sub>
        </m:sSub>
        <m:r>
          <m:rPr>
            <m:sty m:val="p"/>
          </m:rPr>
          <w:rPr>
            <w:rFonts w:ascii="Cambria Math" w:hAnsi="Cambria Math"/>
          </w:rPr>
          <m:t xml:space="preserve"> </m:t>
        </m:r>
      </m:oMath>
      <w:r w:rsidRPr="00BC31E0">
        <w:rPr>
          <w:rFonts w:hint="eastAsia"/>
        </w:rPr>
        <w:t>を求め，次式により補正係数</w:t>
      </w:r>
      <m:oMath>
        <m:sSub>
          <m:sSubPr>
            <m:ctrlPr>
              <w:rPr>
                <w:rFonts w:ascii="Cambria Math" w:hAnsi="Cambria Math"/>
                <w:i/>
              </w:rPr>
            </m:ctrlPr>
          </m:sSubPr>
          <m:e>
            <m:r>
              <w:rPr>
                <w:rFonts w:ascii="Cambria Math" w:hAnsi="Cambria Math" w:hint="eastAsia"/>
              </w:rPr>
              <m:t xml:space="preserve"> </m:t>
            </m:r>
            <m:r>
              <w:rPr>
                <w:rFonts w:ascii="Cambria Math" w:hAnsi="Cambria Math"/>
              </w:rPr>
              <m:t>G</m:t>
            </m:r>
          </m:e>
          <m:sub>
            <m:r>
              <w:rPr>
                <w:rFonts w:ascii="Cambria Math" w:hAnsi="Cambria Math"/>
              </w:rPr>
              <m:t>1</m:t>
            </m:r>
          </m:sub>
        </m:sSub>
        <m:r>
          <w:rPr>
            <w:rFonts w:ascii="Cambria Math" w:hAnsi="Cambria Math" w:hint="eastAsia"/>
          </w:rPr>
          <m:t xml:space="preserve"> </m:t>
        </m:r>
      </m:oMath>
      <w:r w:rsidRPr="00BC31E0">
        <w:rPr>
          <w:rFonts w:hint="eastAsia"/>
        </w:rPr>
        <w:t>を決定する。</w:t>
      </w:r>
    </w:p>
    <w:tbl>
      <w:tblPr>
        <w:tblStyle w:val="afff2"/>
        <w:tblW w:w="5528" w:type="dxa"/>
        <w:tblInd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1"/>
        <w:gridCol w:w="3977"/>
      </w:tblGrid>
      <w:tr w:rsidR="00F52111" w:rsidRPr="00BC31E0" w14:paraId="23BF7054" w14:textId="77777777" w:rsidTr="004736F2">
        <w:tc>
          <w:tcPr>
            <w:tcW w:w="0" w:type="auto"/>
            <w:tcMar>
              <w:left w:w="0" w:type="dxa"/>
              <w:right w:w="0" w:type="dxa"/>
            </w:tcMar>
            <w:vAlign w:val="center"/>
          </w:tcPr>
          <w:p w14:paraId="5852890D" w14:textId="77777777" w:rsidR="00F52111" w:rsidRPr="00BC31E0" w:rsidRDefault="00A51873" w:rsidP="004736F2">
            <w:pPr>
              <w:rPr>
                <w:i/>
              </w:rPr>
            </w:pPr>
            <m:oMathPara>
              <m:oMathParaPr>
                <m:jc m:val="left"/>
              </m:oMathParaPr>
              <m:oMath>
                <m:sSub>
                  <m:sSubPr>
                    <m:ctrlPr>
                      <w:rPr>
                        <w:rFonts w:ascii="Cambria Math" w:hAnsi="Cambria Math"/>
                        <w:i/>
                      </w:rPr>
                    </m:ctrlPr>
                  </m:sSubPr>
                  <m:e>
                    <m:r>
                      <w:rPr>
                        <w:rFonts w:ascii="Cambria Math" w:hAnsi="Cambria Math"/>
                      </w:rPr>
                      <m:t>G</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m:rPr>
                            <m:sty m:val="p"/>
                          </m:rPr>
                          <w:rPr>
                            <w:rFonts w:ascii="Cambria Math" w:hAnsi="Cambria Math"/>
                          </w:rPr>
                          <m:t>I</m:t>
                        </m:r>
                      </m:sub>
                    </m:sSub>
                  </m:num>
                  <m:den>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 </m:t>
                    </m:r>
                    <m:rad>
                      <m:radPr>
                        <m:degHide m:val="1"/>
                        <m:ctrlPr>
                          <w:rPr>
                            <w:rFonts w:ascii="Cambria Math" w:hAnsi="Cambria Math"/>
                            <w:i/>
                          </w:rPr>
                        </m:ctrlPr>
                      </m:radPr>
                      <m:deg/>
                      <m:e>
                        <m:f>
                          <m:fPr>
                            <m:type m:val="lin"/>
                            <m:ctrlPr>
                              <w:rPr>
                                <w:rFonts w:ascii="Cambria Math" w:hAnsi="Cambria Math"/>
                                <w:i/>
                              </w:rPr>
                            </m:ctrlPr>
                          </m:fPr>
                          <m:num>
                            <m:r>
                              <w:rPr>
                                <w:rFonts w:ascii="Cambria Math" w:hAnsi="Cambria Math"/>
                              </w:rPr>
                              <m:t>π a</m:t>
                            </m:r>
                          </m:num>
                          <m:den>
                            <m:r>
                              <w:rPr>
                                <w:rFonts w:ascii="Cambria Math" w:hAnsi="Cambria Math"/>
                              </w:rPr>
                              <m:t>Q</m:t>
                            </m:r>
                          </m:den>
                        </m:f>
                      </m:e>
                    </m:rad>
                  </m:den>
                </m:f>
              </m:oMath>
            </m:oMathPara>
          </w:p>
        </w:tc>
        <w:tc>
          <w:tcPr>
            <w:tcW w:w="3977" w:type="dxa"/>
            <w:tcMar>
              <w:left w:w="0" w:type="dxa"/>
              <w:right w:w="0" w:type="dxa"/>
            </w:tcMar>
            <w:vAlign w:val="center"/>
          </w:tcPr>
          <w:p w14:paraId="7160A5A4" w14:textId="77777777" w:rsidR="00F52111" w:rsidRPr="00BC31E0" w:rsidRDefault="00F52111" w:rsidP="004736F2">
            <w:pPr>
              <w:tabs>
                <w:tab w:val="left" w:leader="middleDot" w:pos="3410"/>
              </w:tabs>
              <w:jc w:val="left"/>
            </w:pPr>
            <w:r w:rsidRPr="00BC31E0">
              <w:tab/>
            </w:r>
            <w:r w:rsidRPr="00BC31E0">
              <w:rPr>
                <w:rFonts w:hint="eastAsia"/>
              </w:rPr>
              <w:t>(27)</w:t>
            </w:r>
          </w:p>
        </w:tc>
      </w:tr>
    </w:tbl>
    <w:p w14:paraId="024501CA" w14:textId="77777777" w:rsidR="00F52111" w:rsidRPr="00BC31E0" w:rsidRDefault="00F52111" w:rsidP="00736130">
      <w:pPr>
        <w:pStyle w:val="a4"/>
        <w:numPr>
          <w:ilvl w:val="0"/>
          <w:numId w:val="369"/>
        </w:numPr>
        <w:spacing w:before="120" w:after="120"/>
        <w:ind w:leftChars="0" w:left="454" w:hanging="454"/>
      </w:pPr>
      <w:r w:rsidRPr="00BC31E0">
        <w:rPr>
          <w:rFonts w:hint="eastAsia"/>
        </w:rPr>
        <w:t>亀裂面に作用する任意形状の応力分布</w:t>
      </w:r>
      <m:oMath>
        <m:r>
          <w:rPr>
            <w:rFonts w:ascii="Cambria Math" w:hAnsi="Cambria Math"/>
          </w:rPr>
          <m:t xml:space="preserve"> σ</m:t>
        </m:r>
        <m:d>
          <m:dPr>
            <m:ctrlPr>
              <w:rPr>
                <w:rFonts w:ascii="Cambria Math" w:hAnsi="Cambria Math"/>
                <w:i/>
              </w:rPr>
            </m:ctrlPr>
          </m:dPr>
          <m:e>
            <m:r>
              <w:rPr>
                <w:rFonts w:ascii="Cambria Math" w:hAnsi="Cambria Math"/>
              </w:rPr>
              <m:t>x</m:t>
            </m:r>
          </m:e>
        </m:d>
        <m:r>
          <w:rPr>
            <w:rFonts w:ascii="Cambria Math" w:hAnsi="Cambria Math" w:cs="Tahoma"/>
          </w:rPr>
          <m:t xml:space="preserve"> </m:t>
        </m:r>
      </m:oMath>
      <w:r w:rsidRPr="00BC31E0">
        <w:rPr>
          <w:rFonts w:hint="eastAsia"/>
        </w:rPr>
        <w:t>を，多項式で近似する。次式に，応力分布を</w:t>
      </w:r>
      <w:r w:rsidRPr="00BC31E0">
        <w:t>5</w:t>
      </w:r>
      <w:r w:rsidRPr="00BC31E0">
        <w:t>次多項式</w:t>
      </w:r>
      <w:r w:rsidRPr="00BC31E0">
        <w:rPr>
          <w:rFonts w:hint="eastAsia"/>
        </w:rPr>
        <w:t>で近似する場合の例を示す。</w:t>
      </w:r>
    </w:p>
    <w:tbl>
      <w:tblPr>
        <w:tblStyle w:val="afff2"/>
        <w:tblW w:w="7938"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8"/>
        <w:gridCol w:w="1590"/>
      </w:tblGrid>
      <w:tr w:rsidR="00F52111" w:rsidRPr="00BC31E0" w14:paraId="102F39A8" w14:textId="77777777" w:rsidTr="004736F2">
        <w:tc>
          <w:tcPr>
            <w:tcW w:w="0" w:type="auto"/>
            <w:tcMar>
              <w:left w:w="0" w:type="dxa"/>
              <w:right w:w="0" w:type="dxa"/>
            </w:tcMar>
            <w:vAlign w:val="center"/>
          </w:tcPr>
          <w:p w14:paraId="2C62497F" w14:textId="77777777" w:rsidR="00F52111" w:rsidRPr="00BC31E0" w:rsidRDefault="00F52111" w:rsidP="004736F2">
            <w:pPr>
              <w:jc w:val="left"/>
              <w:rPr>
                <w:rFonts w:hAnsi="ＭＳ Ｐ明朝" w:cs="Tahoma"/>
                <w:i/>
              </w:rPr>
            </w:pPr>
            <m:oMathPara>
              <m:oMathParaPr>
                <m:jc m:val="left"/>
              </m:oMathParaPr>
              <m:oMath>
                <m:r>
                  <w:rPr>
                    <w:rFonts w:ascii="Cambria Math" w:hAnsi="Cambria Math"/>
                  </w:rPr>
                  <m:t>σ</m:t>
                </m:r>
                <m:d>
                  <m:dPr>
                    <m:ctrlPr>
                      <w:rPr>
                        <w:rFonts w:ascii="Cambria Math" w:hAnsi="Cambria Math"/>
                        <w:i/>
                      </w:rPr>
                    </m:ctrlPr>
                  </m:dPr>
                  <m:e>
                    <m:r>
                      <w:rPr>
                        <w:rFonts w:ascii="Cambria Math" w:hAnsi="Cambria Math" w:hint="eastAsia"/>
                      </w:rPr>
                      <m:t>x</m:t>
                    </m:r>
                  </m:e>
                </m:d>
                <m:r>
                  <w:rPr>
                    <w:rFonts w:ascii="Cambria Math" w:hAnsi="Cambria Math"/>
                  </w:rPr>
                  <m:t>=</m:t>
                </m:r>
                <m:sSub>
                  <m:sSubPr>
                    <m:ctrlPr>
                      <w:rPr>
                        <w:rFonts w:ascii="Cambria Math" w:hAnsi="Cambria Math"/>
                        <w:bCs/>
                        <w:i/>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bCs/>
                        <w:i/>
                      </w:rPr>
                    </m:ctrlPr>
                  </m:sSubPr>
                  <m:e>
                    <m:r>
                      <w:rPr>
                        <w:rFonts w:ascii="Cambria Math" w:hAnsi="Cambria Math"/>
                      </w:rPr>
                      <m:t>A</m:t>
                    </m:r>
                  </m:e>
                  <m:sub>
                    <m:r>
                      <w:rPr>
                        <w:rFonts w:ascii="Cambria Math" w:hAnsi="Cambria Math"/>
                      </w:rPr>
                      <m:t>1</m:t>
                    </m:r>
                  </m:sub>
                </m:sSub>
                <m:d>
                  <m:dPr>
                    <m:ctrlPr>
                      <w:rPr>
                        <w:rFonts w:ascii="Cambria Math" w:hAnsi="Cambria Math"/>
                        <w:bCs/>
                        <w:i/>
                      </w:rPr>
                    </m:ctrlPr>
                  </m:dPr>
                  <m:e>
                    <m:f>
                      <m:fPr>
                        <m:type m:val="lin"/>
                        <m:ctrlPr>
                          <w:rPr>
                            <w:rFonts w:ascii="Cambria Math" w:hAnsi="Cambria Math"/>
                            <w:bCs/>
                            <w:i/>
                          </w:rPr>
                        </m:ctrlPr>
                      </m:fPr>
                      <m:num>
                        <m:r>
                          <w:rPr>
                            <w:rFonts w:ascii="Cambria Math" w:hAnsi="Cambria Math"/>
                          </w:rPr>
                          <m:t>x</m:t>
                        </m:r>
                      </m:num>
                      <m:den>
                        <m:r>
                          <w:rPr>
                            <w:rFonts w:ascii="Cambria Math" w:hAnsi="Cambria Math"/>
                          </w:rPr>
                          <m:t>a</m:t>
                        </m:r>
                      </m:den>
                    </m:f>
                  </m:e>
                </m:d>
                <m:r>
                  <w:rPr>
                    <w:rFonts w:ascii="Cambria Math" w:hAnsi="Cambria Math"/>
                  </w:rPr>
                  <m:t>+</m:t>
                </m:r>
                <m:sSub>
                  <m:sSubPr>
                    <m:ctrlPr>
                      <w:rPr>
                        <w:rFonts w:ascii="Cambria Math" w:hAnsi="Cambria Math"/>
                        <w:bCs/>
                        <w:i/>
                      </w:rPr>
                    </m:ctrlPr>
                  </m:sSubPr>
                  <m:e>
                    <m:r>
                      <w:rPr>
                        <w:rFonts w:ascii="Cambria Math" w:hAnsi="Cambria Math"/>
                      </w:rPr>
                      <m:t>A</m:t>
                    </m:r>
                  </m:e>
                  <m:sub>
                    <m:r>
                      <w:rPr>
                        <w:rFonts w:ascii="Cambria Math" w:hAnsi="Cambria Math"/>
                      </w:rPr>
                      <m:t>2</m:t>
                    </m:r>
                  </m:sub>
                </m:sSub>
                <m:sSup>
                  <m:sSupPr>
                    <m:ctrlPr>
                      <w:rPr>
                        <w:rFonts w:ascii="Cambria Math" w:hAnsi="Cambria Math"/>
                        <w:bCs/>
                        <w:i/>
                      </w:rPr>
                    </m:ctrlPr>
                  </m:sSupPr>
                  <m:e>
                    <m:d>
                      <m:dPr>
                        <m:ctrlPr>
                          <w:rPr>
                            <w:rFonts w:ascii="Cambria Math" w:hAnsi="Cambria Math"/>
                            <w:bCs/>
                            <w:i/>
                          </w:rPr>
                        </m:ctrlPr>
                      </m:dPr>
                      <m:e>
                        <m:f>
                          <m:fPr>
                            <m:type m:val="lin"/>
                            <m:ctrlPr>
                              <w:rPr>
                                <w:rFonts w:ascii="Cambria Math" w:hAnsi="Cambria Math"/>
                                <w:bCs/>
                                <w:i/>
                              </w:rPr>
                            </m:ctrlPr>
                          </m:fPr>
                          <m:num>
                            <m:r>
                              <w:rPr>
                                <w:rFonts w:ascii="Cambria Math" w:hAnsi="Cambria Math"/>
                              </w:rPr>
                              <m:t>x</m:t>
                            </m:r>
                          </m:num>
                          <m:den>
                            <m:r>
                              <w:rPr>
                                <w:rFonts w:ascii="Cambria Math" w:hAnsi="Cambria Math"/>
                              </w:rPr>
                              <m:t>a</m:t>
                            </m:r>
                          </m:den>
                        </m:f>
                      </m:e>
                    </m:d>
                  </m:e>
                  <m:sup>
                    <m:r>
                      <w:rPr>
                        <w:rFonts w:ascii="Cambria Math" w:hAnsi="Cambria Math"/>
                      </w:rPr>
                      <m:t>2</m:t>
                    </m:r>
                  </m:sup>
                </m:sSup>
                <m:r>
                  <w:rPr>
                    <w:rFonts w:ascii="Cambria Math" w:hAnsi="Cambria Math"/>
                  </w:rPr>
                  <m:t>+</m:t>
                </m:r>
                <m:sSub>
                  <m:sSubPr>
                    <m:ctrlPr>
                      <w:rPr>
                        <w:rFonts w:ascii="Cambria Math" w:hAnsi="Cambria Math"/>
                        <w:bCs/>
                        <w:i/>
                      </w:rPr>
                    </m:ctrlPr>
                  </m:sSubPr>
                  <m:e>
                    <m:r>
                      <w:rPr>
                        <w:rFonts w:ascii="Cambria Math" w:hAnsi="Cambria Math"/>
                      </w:rPr>
                      <m:t>A</m:t>
                    </m:r>
                  </m:e>
                  <m:sub>
                    <m:r>
                      <w:rPr>
                        <w:rFonts w:ascii="Cambria Math" w:hAnsi="Cambria Math"/>
                      </w:rPr>
                      <m:t>3</m:t>
                    </m:r>
                  </m:sub>
                </m:sSub>
                <m:sSup>
                  <m:sSupPr>
                    <m:ctrlPr>
                      <w:rPr>
                        <w:rFonts w:ascii="Cambria Math" w:hAnsi="Cambria Math"/>
                        <w:bCs/>
                        <w:i/>
                      </w:rPr>
                    </m:ctrlPr>
                  </m:sSupPr>
                  <m:e>
                    <m:d>
                      <m:dPr>
                        <m:ctrlPr>
                          <w:rPr>
                            <w:rFonts w:ascii="Cambria Math" w:hAnsi="Cambria Math"/>
                            <w:bCs/>
                            <w:i/>
                          </w:rPr>
                        </m:ctrlPr>
                      </m:dPr>
                      <m:e>
                        <m:f>
                          <m:fPr>
                            <m:type m:val="lin"/>
                            <m:ctrlPr>
                              <w:rPr>
                                <w:rFonts w:ascii="Cambria Math" w:hAnsi="Cambria Math"/>
                                <w:bCs/>
                                <w:i/>
                              </w:rPr>
                            </m:ctrlPr>
                          </m:fPr>
                          <m:num>
                            <m:r>
                              <w:rPr>
                                <w:rFonts w:ascii="Cambria Math" w:hAnsi="Cambria Math"/>
                              </w:rPr>
                              <m:t>x</m:t>
                            </m:r>
                          </m:num>
                          <m:den>
                            <m:r>
                              <w:rPr>
                                <w:rFonts w:ascii="Cambria Math" w:hAnsi="Cambria Math"/>
                              </w:rPr>
                              <m:t>a</m:t>
                            </m:r>
                          </m:den>
                        </m:f>
                      </m:e>
                    </m:d>
                  </m:e>
                  <m:sup>
                    <m:r>
                      <w:rPr>
                        <w:rFonts w:ascii="Cambria Math" w:hAnsi="Cambria Math"/>
                      </w:rPr>
                      <m:t>3</m:t>
                    </m:r>
                  </m:sup>
                </m:sSup>
                <m:r>
                  <w:rPr>
                    <w:rFonts w:ascii="Cambria Math" w:hAnsi="Cambria Math"/>
                  </w:rPr>
                  <m:t>+</m:t>
                </m:r>
                <m:sSub>
                  <m:sSubPr>
                    <m:ctrlPr>
                      <w:rPr>
                        <w:rFonts w:ascii="Cambria Math" w:hAnsi="Cambria Math"/>
                        <w:bCs/>
                        <w:i/>
                      </w:rPr>
                    </m:ctrlPr>
                  </m:sSubPr>
                  <m:e>
                    <m:r>
                      <w:rPr>
                        <w:rFonts w:ascii="Cambria Math" w:hAnsi="Cambria Math"/>
                      </w:rPr>
                      <m:t>A</m:t>
                    </m:r>
                  </m:e>
                  <m:sub>
                    <m:r>
                      <w:rPr>
                        <w:rFonts w:ascii="Cambria Math" w:hAnsi="Cambria Math"/>
                      </w:rPr>
                      <m:t>4</m:t>
                    </m:r>
                  </m:sub>
                </m:sSub>
                <m:sSup>
                  <m:sSupPr>
                    <m:ctrlPr>
                      <w:rPr>
                        <w:rFonts w:ascii="Cambria Math" w:hAnsi="Cambria Math"/>
                        <w:bCs/>
                        <w:i/>
                      </w:rPr>
                    </m:ctrlPr>
                  </m:sSupPr>
                  <m:e>
                    <m:d>
                      <m:dPr>
                        <m:ctrlPr>
                          <w:rPr>
                            <w:rFonts w:ascii="Cambria Math" w:hAnsi="Cambria Math"/>
                            <w:bCs/>
                            <w:i/>
                          </w:rPr>
                        </m:ctrlPr>
                      </m:dPr>
                      <m:e>
                        <m:f>
                          <m:fPr>
                            <m:type m:val="lin"/>
                            <m:ctrlPr>
                              <w:rPr>
                                <w:rFonts w:ascii="Cambria Math" w:hAnsi="Cambria Math"/>
                                <w:bCs/>
                                <w:i/>
                              </w:rPr>
                            </m:ctrlPr>
                          </m:fPr>
                          <m:num>
                            <m:r>
                              <w:rPr>
                                <w:rFonts w:ascii="Cambria Math" w:hAnsi="Cambria Math"/>
                              </w:rPr>
                              <m:t>x</m:t>
                            </m:r>
                          </m:num>
                          <m:den>
                            <m:r>
                              <w:rPr>
                                <w:rFonts w:ascii="Cambria Math" w:hAnsi="Cambria Math"/>
                              </w:rPr>
                              <m:t>a</m:t>
                            </m:r>
                          </m:den>
                        </m:f>
                      </m:e>
                    </m:d>
                  </m:e>
                  <m:sup>
                    <m:r>
                      <w:rPr>
                        <w:rFonts w:ascii="Cambria Math" w:hAnsi="Cambria Math"/>
                      </w:rPr>
                      <m:t>4</m:t>
                    </m:r>
                  </m:sup>
                </m:sSup>
                <m:r>
                  <w:rPr>
                    <w:rFonts w:ascii="Cambria Math" w:hAnsi="Cambria Math"/>
                  </w:rPr>
                  <m:t>+</m:t>
                </m:r>
                <m:sSub>
                  <m:sSubPr>
                    <m:ctrlPr>
                      <w:rPr>
                        <w:rFonts w:ascii="Cambria Math" w:hAnsi="Cambria Math"/>
                        <w:bCs/>
                        <w:i/>
                      </w:rPr>
                    </m:ctrlPr>
                  </m:sSubPr>
                  <m:e>
                    <m:r>
                      <w:rPr>
                        <w:rFonts w:ascii="Cambria Math" w:hAnsi="Cambria Math"/>
                      </w:rPr>
                      <m:t>A</m:t>
                    </m:r>
                  </m:e>
                  <m:sub>
                    <m:r>
                      <w:rPr>
                        <w:rFonts w:ascii="Cambria Math" w:hAnsi="Cambria Math"/>
                      </w:rPr>
                      <m:t>5</m:t>
                    </m:r>
                  </m:sub>
                </m:sSub>
                <m:sSup>
                  <m:sSupPr>
                    <m:ctrlPr>
                      <w:rPr>
                        <w:rFonts w:ascii="Cambria Math" w:hAnsi="Cambria Math"/>
                        <w:bCs/>
                        <w:i/>
                      </w:rPr>
                    </m:ctrlPr>
                  </m:sSupPr>
                  <m:e>
                    <m:d>
                      <m:dPr>
                        <m:ctrlPr>
                          <w:rPr>
                            <w:rFonts w:ascii="Cambria Math" w:hAnsi="Cambria Math"/>
                            <w:bCs/>
                            <w:i/>
                          </w:rPr>
                        </m:ctrlPr>
                      </m:dPr>
                      <m:e>
                        <m:f>
                          <m:fPr>
                            <m:type m:val="lin"/>
                            <m:ctrlPr>
                              <w:rPr>
                                <w:rFonts w:ascii="Cambria Math" w:hAnsi="Cambria Math"/>
                                <w:bCs/>
                                <w:i/>
                              </w:rPr>
                            </m:ctrlPr>
                          </m:fPr>
                          <m:num>
                            <m:r>
                              <w:rPr>
                                <w:rFonts w:ascii="Cambria Math" w:hAnsi="Cambria Math"/>
                              </w:rPr>
                              <m:t>x</m:t>
                            </m:r>
                          </m:num>
                          <m:den>
                            <m:r>
                              <w:rPr>
                                <w:rFonts w:ascii="Cambria Math" w:hAnsi="Cambria Math"/>
                              </w:rPr>
                              <m:t>a</m:t>
                            </m:r>
                          </m:den>
                        </m:f>
                      </m:e>
                    </m:d>
                  </m:e>
                  <m:sup>
                    <m:r>
                      <w:rPr>
                        <w:rFonts w:ascii="Cambria Math" w:hAnsi="Cambria Math"/>
                      </w:rPr>
                      <m:t>5</m:t>
                    </m:r>
                  </m:sup>
                </m:sSup>
              </m:oMath>
            </m:oMathPara>
          </w:p>
        </w:tc>
        <w:tc>
          <w:tcPr>
            <w:tcW w:w="1590" w:type="dxa"/>
            <w:tcMar>
              <w:left w:w="0" w:type="dxa"/>
              <w:right w:w="0" w:type="dxa"/>
            </w:tcMar>
            <w:vAlign w:val="center"/>
          </w:tcPr>
          <w:p w14:paraId="51AA5FEF" w14:textId="77777777" w:rsidR="00F52111" w:rsidRPr="00BC31E0" w:rsidRDefault="00F52111" w:rsidP="004736F2">
            <w:pPr>
              <w:tabs>
                <w:tab w:val="left" w:leader="middleDot" w:pos="1023"/>
              </w:tabs>
              <w:jc w:val="left"/>
              <w:rPr>
                <w:rFonts w:hAnsi="ＭＳ Ｐ明朝" w:cs="Tahoma"/>
              </w:rPr>
            </w:pPr>
            <w:r w:rsidRPr="00BC31E0">
              <w:rPr>
                <w:rFonts w:hAnsi="ＭＳ Ｐ明朝" w:cs="Tahoma"/>
              </w:rPr>
              <w:tab/>
            </w:r>
            <w:r w:rsidRPr="00BC31E0">
              <w:rPr>
                <w:rFonts w:hAnsi="ＭＳ Ｐ明朝" w:cs="Tahoma" w:hint="eastAsia"/>
              </w:rPr>
              <w:t>(28)</w:t>
            </w:r>
          </w:p>
        </w:tc>
      </w:tr>
    </w:tbl>
    <w:p w14:paraId="7EC38FBC" w14:textId="77777777" w:rsidR="00F52111" w:rsidRPr="00BC31E0" w:rsidRDefault="00F52111" w:rsidP="00736130">
      <w:pPr>
        <w:pStyle w:val="a4"/>
        <w:numPr>
          <w:ilvl w:val="0"/>
          <w:numId w:val="137"/>
        </w:numPr>
        <w:spacing w:before="120" w:after="120"/>
        <w:ind w:leftChars="0" w:left="454" w:hanging="454"/>
      </w:pPr>
      <w:r w:rsidRPr="00BC31E0">
        <w:rPr>
          <w:rFonts w:hint="eastAsia"/>
        </w:rPr>
        <w:t>亀裂面に任意形状の応力分布</w:t>
      </w:r>
      <m:oMath>
        <m:r>
          <w:rPr>
            <w:rFonts w:ascii="Cambria Math" w:hAnsi="Cambria Math"/>
          </w:rPr>
          <m:t xml:space="preserve"> σ</m:t>
        </m:r>
        <m:d>
          <m:dPr>
            <m:ctrlPr>
              <w:rPr>
                <w:rFonts w:ascii="Cambria Math" w:hAnsi="Cambria Math"/>
                <w:i/>
              </w:rPr>
            </m:ctrlPr>
          </m:dPr>
          <m:e>
            <m:r>
              <w:rPr>
                <w:rFonts w:ascii="Cambria Math" w:hAnsi="Cambria Math"/>
              </w:rPr>
              <m:t>x</m:t>
            </m:r>
          </m:e>
        </m:d>
        <m:r>
          <w:rPr>
            <w:rFonts w:ascii="Cambria Math" w:hAnsi="Cambria Math" w:hint="eastAsia"/>
          </w:rPr>
          <m:t xml:space="preserve"> </m:t>
        </m:r>
      </m:oMath>
      <w:r w:rsidRPr="00BC31E0">
        <w:rPr>
          <w:rFonts w:hint="eastAsia"/>
        </w:rPr>
        <w:t>が作用する場合の応力拡大係数</w:t>
      </w:r>
      <m:oMath>
        <m:sSub>
          <m:sSubPr>
            <m:ctrlPr>
              <w:rPr>
                <w:rFonts w:ascii="Cambria Math" w:hAnsi="Cambria Math"/>
              </w:rPr>
            </m:ctrlPr>
          </m:sSubPr>
          <m:e>
            <m:r>
              <m:rPr>
                <m:sty m:val="p"/>
              </m:rPr>
              <w:rPr>
                <w:rFonts w:ascii="Cambria Math" w:hAnsi="Cambria Math"/>
              </w:rPr>
              <m:t xml:space="preserve"> </m:t>
            </m:r>
            <m:r>
              <w:rPr>
                <w:rFonts w:ascii="Cambria Math" w:hAnsi="Cambria Math"/>
              </w:rPr>
              <m:t>K</m:t>
            </m:r>
          </m:e>
          <m:sub>
            <m:r>
              <m:rPr>
                <m:sty m:val="p"/>
              </m:rPr>
              <w:rPr>
                <w:rFonts w:ascii="Cambria Math" w:hAnsi="Cambria Math"/>
              </w:rPr>
              <m:t>I</m:t>
            </m:r>
          </m:sub>
        </m:sSub>
        <m:r>
          <m:rPr>
            <m:sty m:val="p"/>
          </m:rPr>
          <w:rPr>
            <w:rFonts w:ascii="Cambria Math" w:hAnsi="Cambria Math" w:hint="eastAsia"/>
          </w:rPr>
          <m:t xml:space="preserve"> </m:t>
        </m:r>
      </m:oMath>
      <w:r w:rsidRPr="00BC31E0">
        <w:rPr>
          <w:rFonts w:hint="eastAsia"/>
        </w:rPr>
        <w:t>を，応力分布を多項式近似した時の係数</w:t>
      </w:r>
      <m:oMath>
        <m:sSub>
          <m:sSubPr>
            <m:ctrlPr>
              <w:rPr>
                <w:rFonts w:ascii="Cambria Math" w:hAnsi="Cambria Math"/>
                <w:i/>
              </w:rPr>
            </m:ctrlPr>
          </m:sSubPr>
          <m:e>
            <m:r>
              <w:rPr>
                <w:rFonts w:ascii="Cambria Math" w:hAnsi="Cambria Math"/>
              </w:rPr>
              <m:t xml:space="preserve"> A</m:t>
            </m:r>
          </m:e>
          <m:sub>
            <m:r>
              <w:rPr>
                <w:rFonts w:ascii="Cambria Math" w:hAnsi="Cambria Math"/>
              </w:rPr>
              <m:t>i</m:t>
            </m:r>
          </m:sub>
        </m:sSub>
        <m:r>
          <w:rPr>
            <w:rFonts w:ascii="Cambria Math" w:hAnsi="Cambria Math"/>
          </w:rPr>
          <m:t xml:space="preserve"> </m:t>
        </m:r>
      </m:oMath>
      <w:r w:rsidRPr="00BC31E0">
        <w:rPr>
          <w:rFonts w:cs="Tahoma" w:hint="eastAsia"/>
        </w:rPr>
        <w:t>と自由表面補正係数</w:t>
      </w:r>
      <m:oMath>
        <m:sSub>
          <m:sSubPr>
            <m:ctrlPr>
              <w:rPr>
                <w:rFonts w:ascii="Cambria Math" w:hAnsi="Cambria Math"/>
                <w:i/>
              </w:rPr>
            </m:ctrlPr>
          </m:sSubPr>
          <m:e>
            <m:r>
              <w:rPr>
                <w:rFonts w:ascii="Cambria Math" w:hAnsi="Cambria Math"/>
              </w:rPr>
              <m:t xml:space="preserve"> G</m:t>
            </m:r>
          </m:e>
          <m:sub>
            <m:r>
              <w:rPr>
                <w:rFonts w:ascii="Cambria Math" w:hAnsi="Cambria Math"/>
              </w:rPr>
              <m:t>i</m:t>
            </m:r>
          </m:sub>
        </m:sSub>
        <m:r>
          <w:rPr>
            <w:rFonts w:ascii="Cambria Math" w:hAnsi="Cambria Math" w:cs="Tahoma"/>
          </w:rPr>
          <m:t xml:space="preserve"> </m:t>
        </m:r>
      </m:oMath>
      <w:r w:rsidRPr="00BC31E0">
        <w:rPr>
          <w:rFonts w:cs="Tahoma" w:hint="eastAsia"/>
        </w:rPr>
        <w:t>(</w:t>
      </w:r>
      <m:oMath>
        <m:r>
          <w:rPr>
            <w:rFonts w:ascii="Cambria Math" w:hAnsi="Cambria Math" w:cs="Tahoma"/>
          </w:rPr>
          <m:t>i</m:t>
        </m:r>
        <m:r>
          <w:rPr>
            <w:rFonts w:ascii="Cambria Math" w:hAnsi="Cambria Math" w:cs="Tahoma" w:hint="eastAsia"/>
          </w:rPr>
          <m:t>≧</m:t>
        </m:r>
        <m:r>
          <w:rPr>
            <w:rFonts w:ascii="Cambria Math" w:hAnsi="Cambria Math" w:cs="Tahoma" w:hint="eastAsia"/>
          </w:rPr>
          <m:t>0</m:t>
        </m:r>
      </m:oMath>
      <w:r w:rsidRPr="00BC31E0">
        <w:rPr>
          <w:rFonts w:cs="Tahoma" w:hint="eastAsia"/>
        </w:rPr>
        <w:t xml:space="preserve">) </w:t>
      </w:r>
      <w:r w:rsidRPr="00BC31E0">
        <w:rPr>
          <w:rFonts w:hint="eastAsia"/>
        </w:rPr>
        <w:t>の関数として表示する。次式に，応力分布を</w:t>
      </w:r>
      <w:r w:rsidRPr="00BC31E0">
        <w:rPr>
          <w:rFonts w:hint="eastAsia"/>
        </w:rPr>
        <w:t>5</w:t>
      </w:r>
      <w:r w:rsidRPr="00BC31E0">
        <w:rPr>
          <w:rFonts w:hint="eastAsia"/>
        </w:rPr>
        <w:t>次多項式で近似する場合の例を示す。</w:t>
      </w:r>
    </w:p>
    <w:tbl>
      <w:tblPr>
        <w:tblStyle w:val="afff2"/>
        <w:tblW w:w="7938"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0"/>
        <w:gridCol w:w="2608"/>
      </w:tblGrid>
      <w:tr w:rsidR="00F52111" w:rsidRPr="00BC31E0" w14:paraId="71017765" w14:textId="77777777" w:rsidTr="004736F2">
        <w:tc>
          <w:tcPr>
            <w:tcW w:w="0" w:type="auto"/>
            <w:tcMar>
              <w:left w:w="0" w:type="dxa"/>
              <w:right w:w="0" w:type="dxa"/>
            </w:tcMar>
            <w:vAlign w:val="center"/>
          </w:tcPr>
          <w:p w14:paraId="2F6E17DC" w14:textId="77777777" w:rsidR="00F52111" w:rsidRPr="00BC31E0" w:rsidRDefault="00A51873" w:rsidP="004736F2">
            <w:pPr>
              <w:jc w:val="left"/>
              <w:rPr>
                <w:rFonts w:hAnsi="ＭＳ Ｐ明朝" w:cs="Tahoma"/>
              </w:rPr>
            </w:pPr>
            <m:oMathPara>
              <m:oMathParaPr>
                <m:jc m:val="left"/>
              </m:oMathParaPr>
              <m:oMath>
                <m:sSub>
                  <m:sSubPr>
                    <m:ctrlPr>
                      <w:rPr>
                        <w:rFonts w:ascii="Cambria Math" w:hAnsi="Cambria Math"/>
                        <w:bCs/>
                      </w:rPr>
                    </m:ctrlPr>
                  </m:sSubPr>
                  <m:e>
                    <m:r>
                      <w:rPr>
                        <w:rFonts w:ascii="Cambria Math" w:hAnsi="Cambria Math"/>
                      </w:rPr>
                      <m:t>K</m:t>
                    </m:r>
                  </m:e>
                  <m:sub>
                    <m:r>
                      <m:rPr>
                        <m:sty m:val="p"/>
                      </m:rPr>
                      <w:rPr>
                        <w:rFonts w:ascii="Cambria Math" w:hAnsi="Cambria Math"/>
                      </w:rPr>
                      <m:t>I</m:t>
                    </m:r>
                  </m:sub>
                </m:sSub>
                <m:r>
                  <w:rPr>
                    <w:rFonts w:ascii="Cambria Math" w:hAnsi="Cambria Math"/>
                  </w:rPr>
                  <m:t>=</m:t>
                </m:r>
                <m:d>
                  <m:dPr>
                    <m:ctrlPr>
                      <w:rPr>
                        <w:rFonts w:ascii="Cambria Math" w:hAnsi="Cambria Math"/>
                      </w:rPr>
                    </m:ctrlPr>
                  </m:dPr>
                  <m:e>
                    <m:sSub>
                      <m:sSubPr>
                        <m:ctrlPr>
                          <w:rPr>
                            <w:rFonts w:ascii="Cambria Math" w:hAnsi="Cambria Math"/>
                            <w:i/>
                          </w:rPr>
                        </m:ctrlPr>
                      </m:sSubPr>
                      <m:e>
                        <m:r>
                          <w:rPr>
                            <w:rFonts w:ascii="Cambria Math" w:hAnsi="Cambria Math"/>
                          </w:rPr>
                          <m:t>A</m:t>
                        </m:r>
                      </m:e>
                      <m:sub>
                        <m:r>
                          <w:rPr>
                            <w:rFonts w:ascii="Cambria Math" w:hAnsi="Cambria Math"/>
                          </w:rPr>
                          <m:t>0</m:t>
                        </m:r>
                      </m:sub>
                    </m:sSub>
                    <m:r>
                      <m:rPr>
                        <m:sty m:val="p"/>
                      </m:rPr>
                      <w:rPr>
                        <w:rFonts w:ascii="Cambria Math" w:hAnsi="Cambria Math"/>
                      </w:rPr>
                      <m:t xml:space="preserve"> </m:t>
                    </m:r>
                    <m:sSub>
                      <m:sSubPr>
                        <m:ctrlPr>
                          <w:rPr>
                            <w:rFonts w:ascii="Cambria Math" w:hAnsi="Cambria Math"/>
                            <w:bCs/>
                          </w:rPr>
                        </m:ctrlPr>
                      </m:sSubPr>
                      <m:e>
                        <m:r>
                          <w:rPr>
                            <w:rFonts w:ascii="Cambria Math" w:hAnsi="Cambria Math"/>
                          </w:rPr>
                          <m:t>G</m:t>
                        </m:r>
                      </m:e>
                      <m:sub>
                        <m:r>
                          <w:rPr>
                            <w:rFonts w:ascii="Cambria Math" w:hAnsi="Cambria Math"/>
                          </w:rPr>
                          <m:t>0</m:t>
                        </m:r>
                      </m:sub>
                    </m:sSub>
                    <m:sSub>
                      <m:sSubPr>
                        <m:ctrlPr>
                          <w:rPr>
                            <w:rFonts w:ascii="Cambria Math" w:hAnsi="Cambria Math"/>
                            <w:bCs/>
                          </w:rPr>
                        </m:ctrlPr>
                      </m:sSubPr>
                      <m:e>
                        <m:r>
                          <w:rPr>
                            <w:rFonts w:ascii="Cambria Math" w:hAnsi="Cambria Math"/>
                          </w:rPr>
                          <m:t>+A</m:t>
                        </m:r>
                      </m:e>
                      <m:sub>
                        <m:r>
                          <w:rPr>
                            <w:rFonts w:ascii="Cambria Math" w:hAnsi="Cambria Math"/>
                          </w:rPr>
                          <m:t>1</m:t>
                        </m:r>
                      </m:sub>
                    </m:sSub>
                    <m:sSub>
                      <m:sSubPr>
                        <m:ctrlPr>
                          <w:rPr>
                            <w:rFonts w:ascii="Cambria Math" w:hAnsi="Cambria Math"/>
                            <w:bCs/>
                          </w:rPr>
                        </m:ctrlPr>
                      </m:sSubPr>
                      <m:e>
                        <m:r>
                          <w:rPr>
                            <w:rFonts w:ascii="Cambria Math" w:hAnsi="Cambria Math"/>
                          </w:rPr>
                          <m:t>G</m:t>
                        </m:r>
                      </m:e>
                      <m:sub>
                        <m:r>
                          <w:rPr>
                            <w:rFonts w:ascii="Cambria Math" w:hAnsi="Cambria Math"/>
                          </w:rPr>
                          <m:t>1</m:t>
                        </m:r>
                      </m:sub>
                    </m:sSub>
                    <m:r>
                      <w:rPr>
                        <w:rFonts w:ascii="Cambria Math" w:hAnsi="Cambria Math"/>
                      </w:rPr>
                      <m:t>+</m:t>
                    </m:r>
                    <m:sSub>
                      <m:sSubPr>
                        <m:ctrlPr>
                          <w:rPr>
                            <w:rFonts w:ascii="Cambria Math" w:hAnsi="Cambria Math"/>
                            <w:bCs/>
                          </w:rPr>
                        </m:ctrlPr>
                      </m:sSubPr>
                      <m:e>
                        <m:r>
                          <w:rPr>
                            <w:rFonts w:ascii="Cambria Math" w:hAnsi="Cambria Math"/>
                          </w:rPr>
                          <m:t>A</m:t>
                        </m:r>
                      </m:e>
                      <m:sub>
                        <m:r>
                          <w:rPr>
                            <w:rFonts w:ascii="Cambria Math" w:hAnsi="Cambria Math"/>
                          </w:rPr>
                          <m:t>2</m:t>
                        </m:r>
                      </m:sub>
                    </m:sSub>
                    <m:sSub>
                      <m:sSubPr>
                        <m:ctrlPr>
                          <w:rPr>
                            <w:rFonts w:ascii="Cambria Math" w:hAnsi="Cambria Math"/>
                            <w:bCs/>
                          </w:rPr>
                        </m:ctrlPr>
                      </m:sSubPr>
                      <m:e>
                        <m:r>
                          <w:rPr>
                            <w:rFonts w:ascii="Cambria Math" w:hAnsi="Cambria Math"/>
                          </w:rPr>
                          <m:t>G</m:t>
                        </m:r>
                      </m:e>
                      <m:sub>
                        <m:r>
                          <w:rPr>
                            <w:rFonts w:ascii="Cambria Math" w:hAnsi="Cambria Math"/>
                          </w:rPr>
                          <m:t>2</m:t>
                        </m:r>
                      </m:sub>
                    </m:sSub>
                    <m:r>
                      <w:rPr>
                        <w:rFonts w:ascii="Cambria Math" w:hAnsi="Cambria Math"/>
                      </w:rPr>
                      <m:t>+</m:t>
                    </m:r>
                    <m:sSub>
                      <m:sSubPr>
                        <m:ctrlPr>
                          <w:rPr>
                            <w:rFonts w:ascii="Cambria Math" w:hAnsi="Cambria Math"/>
                            <w:bCs/>
                          </w:rPr>
                        </m:ctrlPr>
                      </m:sSubPr>
                      <m:e>
                        <m:r>
                          <w:rPr>
                            <w:rFonts w:ascii="Cambria Math" w:hAnsi="Cambria Math"/>
                          </w:rPr>
                          <m:t>A</m:t>
                        </m:r>
                      </m:e>
                      <m:sub>
                        <m:r>
                          <w:rPr>
                            <w:rFonts w:ascii="Cambria Math" w:hAnsi="Cambria Math"/>
                          </w:rPr>
                          <m:t>3</m:t>
                        </m:r>
                      </m:sub>
                    </m:sSub>
                    <m:sSub>
                      <m:sSubPr>
                        <m:ctrlPr>
                          <w:rPr>
                            <w:rFonts w:ascii="Cambria Math" w:hAnsi="Cambria Math"/>
                            <w:bCs/>
                          </w:rPr>
                        </m:ctrlPr>
                      </m:sSubPr>
                      <m:e>
                        <m:r>
                          <w:rPr>
                            <w:rFonts w:ascii="Cambria Math" w:hAnsi="Cambria Math"/>
                          </w:rPr>
                          <m:t>G</m:t>
                        </m:r>
                      </m:e>
                      <m:sub>
                        <m:r>
                          <w:rPr>
                            <w:rFonts w:ascii="Cambria Math" w:hAnsi="Cambria Math"/>
                          </w:rPr>
                          <m:t>3</m:t>
                        </m:r>
                      </m:sub>
                    </m:sSub>
                    <m:r>
                      <m:rPr>
                        <m:sty m:val="p"/>
                      </m:rPr>
                      <w:rPr>
                        <w:rFonts w:ascii="Cambria Math" w:hAnsi="Cambria Math"/>
                      </w:rPr>
                      <m:t xml:space="preserve"> </m:t>
                    </m:r>
                    <m:r>
                      <w:rPr>
                        <w:rFonts w:ascii="Cambria Math" w:hAnsi="Cambria Math"/>
                      </w:rPr>
                      <m:t>+</m:t>
                    </m:r>
                    <m:sSub>
                      <m:sSubPr>
                        <m:ctrlPr>
                          <w:rPr>
                            <w:rFonts w:ascii="Cambria Math" w:hAnsi="Cambria Math"/>
                            <w:bCs/>
                          </w:rPr>
                        </m:ctrlPr>
                      </m:sSubPr>
                      <m:e>
                        <m:r>
                          <w:rPr>
                            <w:rFonts w:ascii="Cambria Math" w:hAnsi="Cambria Math"/>
                          </w:rPr>
                          <m:t>A</m:t>
                        </m:r>
                      </m:e>
                      <m:sub>
                        <m:r>
                          <w:rPr>
                            <w:rFonts w:ascii="Cambria Math" w:hAnsi="Cambria Math"/>
                          </w:rPr>
                          <m:t>4</m:t>
                        </m:r>
                      </m:sub>
                    </m:sSub>
                    <m:sSub>
                      <m:sSubPr>
                        <m:ctrlPr>
                          <w:rPr>
                            <w:rFonts w:ascii="Cambria Math" w:hAnsi="Cambria Math"/>
                            <w:bCs/>
                          </w:rPr>
                        </m:ctrlPr>
                      </m:sSubPr>
                      <m:e>
                        <m:r>
                          <w:rPr>
                            <w:rFonts w:ascii="Cambria Math" w:hAnsi="Cambria Math"/>
                          </w:rPr>
                          <m:t>G</m:t>
                        </m:r>
                      </m:e>
                      <m:sub>
                        <m:r>
                          <w:rPr>
                            <w:rFonts w:ascii="Cambria Math" w:hAnsi="Cambria Math"/>
                          </w:rPr>
                          <m:t>4</m:t>
                        </m:r>
                      </m:sub>
                    </m:sSub>
                    <m:r>
                      <w:rPr>
                        <w:rFonts w:ascii="Cambria Math" w:hAnsi="Cambria Math"/>
                      </w:rPr>
                      <m:t>+</m:t>
                    </m:r>
                    <m:sSub>
                      <m:sSubPr>
                        <m:ctrlPr>
                          <w:rPr>
                            <w:rFonts w:ascii="Cambria Math" w:hAnsi="Cambria Math"/>
                            <w:bCs/>
                          </w:rPr>
                        </m:ctrlPr>
                      </m:sSubPr>
                      <m:e>
                        <m:r>
                          <w:rPr>
                            <w:rFonts w:ascii="Cambria Math" w:hAnsi="Cambria Math"/>
                          </w:rPr>
                          <m:t>A</m:t>
                        </m:r>
                      </m:e>
                      <m:sub>
                        <m:r>
                          <w:rPr>
                            <w:rFonts w:ascii="Cambria Math" w:hAnsi="Cambria Math"/>
                          </w:rPr>
                          <m:t>5</m:t>
                        </m:r>
                      </m:sub>
                    </m:sSub>
                    <m:sSub>
                      <m:sSubPr>
                        <m:ctrlPr>
                          <w:rPr>
                            <w:rFonts w:ascii="Cambria Math" w:hAnsi="Cambria Math"/>
                            <w:bCs/>
                          </w:rPr>
                        </m:ctrlPr>
                      </m:sSubPr>
                      <m:e>
                        <m:r>
                          <w:rPr>
                            <w:rFonts w:ascii="Cambria Math" w:hAnsi="Cambria Math"/>
                          </w:rPr>
                          <m:t>G</m:t>
                        </m:r>
                      </m:e>
                      <m:sub>
                        <m:r>
                          <w:rPr>
                            <w:rFonts w:ascii="Cambria Math" w:hAnsi="Cambria Math"/>
                          </w:rPr>
                          <m:t>5</m:t>
                        </m:r>
                      </m:sub>
                    </m:sSub>
                  </m:e>
                </m:d>
                <m:r>
                  <w:rPr>
                    <w:rFonts w:ascii="Cambria Math" w:hAnsi="Cambria Math"/>
                  </w:rPr>
                  <m:t xml:space="preserve"> </m:t>
                </m:r>
                <m:rad>
                  <m:radPr>
                    <m:degHide m:val="1"/>
                    <m:ctrlPr>
                      <w:rPr>
                        <w:rFonts w:ascii="Cambria Math" w:hAnsi="Cambria Math"/>
                        <w:bCs/>
                      </w:rPr>
                    </m:ctrlPr>
                  </m:radPr>
                  <m:deg/>
                  <m:e>
                    <m:r>
                      <w:rPr>
                        <w:rFonts w:ascii="Cambria Math" w:hAnsi="Cambria Math"/>
                      </w:rPr>
                      <m:t>π</m:t>
                    </m:r>
                    <m:f>
                      <m:fPr>
                        <m:type m:val="lin"/>
                        <m:ctrlPr>
                          <w:rPr>
                            <w:rFonts w:ascii="Cambria Math" w:hAnsi="Cambria Math"/>
                            <w:bCs/>
                          </w:rPr>
                        </m:ctrlPr>
                      </m:fPr>
                      <m:num>
                        <m:r>
                          <w:rPr>
                            <w:rFonts w:ascii="Cambria Math" w:hAnsi="Cambria Math"/>
                          </w:rPr>
                          <m:t>a</m:t>
                        </m:r>
                      </m:num>
                      <m:den>
                        <m:r>
                          <w:rPr>
                            <w:rFonts w:ascii="Cambria Math" w:hAnsi="Cambria Math"/>
                          </w:rPr>
                          <m:t>Q</m:t>
                        </m:r>
                      </m:den>
                    </m:f>
                  </m:e>
                </m:rad>
              </m:oMath>
            </m:oMathPara>
          </w:p>
        </w:tc>
        <w:tc>
          <w:tcPr>
            <w:tcW w:w="2608" w:type="dxa"/>
            <w:tcMar>
              <w:left w:w="0" w:type="dxa"/>
              <w:right w:w="0" w:type="dxa"/>
            </w:tcMar>
            <w:vAlign w:val="center"/>
          </w:tcPr>
          <w:p w14:paraId="2D961071" w14:textId="77777777" w:rsidR="00F52111" w:rsidRPr="00BC31E0" w:rsidRDefault="00F52111" w:rsidP="004736F2">
            <w:pPr>
              <w:tabs>
                <w:tab w:val="left" w:leader="middleDot" w:pos="2041"/>
              </w:tabs>
              <w:jc w:val="left"/>
              <w:rPr>
                <w:rFonts w:hAnsi="ＭＳ Ｐ明朝" w:cs="Tahoma"/>
              </w:rPr>
            </w:pPr>
            <w:r w:rsidRPr="00BC31E0">
              <w:rPr>
                <w:rFonts w:hAnsi="ＭＳ Ｐ明朝" w:cs="Tahoma"/>
              </w:rPr>
              <w:tab/>
            </w:r>
            <w:r w:rsidRPr="00BC31E0">
              <w:rPr>
                <w:rFonts w:hAnsi="ＭＳ Ｐ明朝" w:cs="Tahoma" w:hint="eastAsia"/>
              </w:rPr>
              <w:t>(29)</w:t>
            </w:r>
          </w:p>
        </w:tc>
      </w:tr>
    </w:tbl>
    <w:p w14:paraId="604E4E4F" w14:textId="77777777" w:rsidR="00F52111" w:rsidRPr="00BC31E0" w:rsidRDefault="00F52111" w:rsidP="00736130">
      <w:pPr>
        <w:pStyle w:val="a4"/>
        <w:numPr>
          <w:ilvl w:val="0"/>
          <w:numId w:val="137"/>
        </w:numPr>
        <w:spacing w:before="120" w:after="120"/>
        <w:ind w:leftChars="0" w:left="454" w:hanging="454"/>
      </w:pPr>
      <w:r w:rsidRPr="00BC31E0">
        <w:rPr>
          <w:rFonts w:asciiTheme="majorEastAsia" w:eastAsiaTheme="majorEastAsia" w:hAnsiTheme="majorEastAsia" w:hint="eastAsia"/>
          <w:b/>
          <w:bCs/>
        </w:rPr>
        <w:t>式(21)</w:t>
      </w:r>
      <w:r w:rsidRPr="00BC31E0">
        <w:rPr>
          <w:rFonts w:hint="eastAsia"/>
        </w:rPr>
        <w:t>に，</w:t>
      </w:r>
      <w:r w:rsidRPr="00BC31E0">
        <w:rPr>
          <w:rFonts w:asciiTheme="majorEastAsia" w:eastAsiaTheme="majorEastAsia" w:hAnsiTheme="majorEastAsia" w:hint="eastAsia"/>
          <w:b/>
          <w:bCs/>
        </w:rPr>
        <w:t>式(22)</w:t>
      </w:r>
      <w:r w:rsidRPr="00BC31E0">
        <w:rPr>
          <w:rFonts w:hint="eastAsia"/>
        </w:rPr>
        <w:t>又は</w:t>
      </w:r>
      <w:r w:rsidRPr="00BC31E0">
        <w:rPr>
          <w:rFonts w:asciiTheme="majorEastAsia" w:eastAsiaTheme="majorEastAsia" w:hAnsiTheme="majorEastAsia" w:hint="eastAsia"/>
          <w:b/>
          <w:bCs/>
        </w:rPr>
        <w:t>式(23)</w:t>
      </w:r>
      <w:r w:rsidRPr="00BC31E0">
        <w:rPr>
          <w:rFonts w:hint="eastAsia"/>
        </w:rPr>
        <w:t>の重み関数</w:t>
      </w:r>
      <m:oMath>
        <m:r>
          <w:rPr>
            <w:rFonts w:ascii="Cambria Math" w:hAnsi="Cambria Math" w:hint="eastAsia"/>
          </w:rPr>
          <m:t xml:space="preserve"> </m:t>
        </m:r>
        <m:r>
          <w:rPr>
            <w:rFonts w:ascii="Cambria Math" w:hAnsi="Cambria Math"/>
          </w:rPr>
          <m:t>h</m:t>
        </m:r>
        <m:d>
          <m:dPr>
            <m:ctrlPr>
              <w:rPr>
                <w:rFonts w:ascii="Cambria Math" w:hAnsi="Cambria Math"/>
                <w:i/>
              </w:rPr>
            </m:ctrlPr>
          </m:dPr>
          <m:e>
            <m:r>
              <w:rPr>
                <w:rFonts w:ascii="Cambria Math" w:hAnsi="Cambria Math"/>
              </w:rPr>
              <m:t>x, a</m:t>
            </m:r>
          </m:e>
        </m:d>
        <m:r>
          <w:rPr>
            <w:rFonts w:ascii="Cambria Math" w:hAnsi="Cambria Math" w:hint="eastAsia"/>
          </w:rPr>
          <m:t xml:space="preserve"> </m:t>
        </m:r>
      </m:oMath>
      <w:r w:rsidRPr="00BC31E0">
        <w:rPr>
          <w:rFonts w:hint="eastAsia"/>
        </w:rPr>
        <w:t>と応力分布</w:t>
      </w:r>
      <m:oMath>
        <m:r>
          <w:rPr>
            <w:rFonts w:ascii="Cambria Math" w:hAnsi="Cambria Math" w:hint="eastAsia"/>
          </w:rPr>
          <m:t xml:space="preserve"> </m:t>
        </m:r>
        <m:r>
          <w:rPr>
            <w:rFonts w:ascii="Cambria Math" w:hAnsi="Cambria Math"/>
          </w:rPr>
          <m:t>σ</m:t>
        </m:r>
        <m:d>
          <m:dPr>
            <m:ctrlPr>
              <w:rPr>
                <w:rFonts w:ascii="Cambria Math" w:hAnsi="Cambria Math"/>
                <w:i/>
              </w:rPr>
            </m:ctrlPr>
          </m:dPr>
          <m:e>
            <m:r>
              <w:rPr>
                <w:rFonts w:ascii="Cambria Math" w:hAnsi="Cambria Math"/>
              </w:rPr>
              <m:t>x</m:t>
            </m:r>
          </m:e>
        </m:d>
        <m:r>
          <w:rPr>
            <w:rFonts w:ascii="Cambria Math" w:hAnsi="Cambria Math" w:hint="eastAsia"/>
          </w:rPr>
          <m:t xml:space="preserve"> </m:t>
        </m:r>
      </m:oMath>
      <w:r w:rsidRPr="00BC31E0">
        <w:rPr>
          <w:rFonts w:hint="eastAsia"/>
        </w:rPr>
        <w:t>の多項近似式を代入する。次式に，応力分布を</w:t>
      </w:r>
      <w:r w:rsidRPr="00BC31E0">
        <w:rPr>
          <w:rFonts w:hint="eastAsia"/>
        </w:rPr>
        <w:t>5</w:t>
      </w:r>
      <w:r w:rsidRPr="00BC31E0">
        <w:rPr>
          <w:rFonts w:hint="eastAsia"/>
        </w:rPr>
        <w:t>次多項式で近似する場合の例を示す。</w:t>
      </w:r>
    </w:p>
    <w:p w14:paraId="371F06D7" w14:textId="77777777" w:rsidR="00F52111" w:rsidRPr="00BC31E0" w:rsidRDefault="00F52111" w:rsidP="00924106">
      <w:pPr>
        <w:spacing w:after="120"/>
        <w:ind w:left="454"/>
        <w:rPr>
          <w:rFonts w:hAnsi="ＭＳ Ｐ明朝" w:cs="Tahoma"/>
        </w:rPr>
      </w:pPr>
      <w:r w:rsidRPr="00BC31E0">
        <w:rPr>
          <w:rFonts w:hAnsi="ＭＳ Ｐ明朝" w:cs="Tahoma" w:hint="eastAsia"/>
        </w:rPr>
        <w:t>最深点</w:t>
      </w:r>
      <w:r w:rsidRPr="00BC31E0">
        <w:rPr>
          <w:rFonts w:asciiTheme="minorHAnsi" w:eastAsiaTheme="minorEastAsia" w:hAnsiTheme="minorHAnsi" w:cs="Tahoma" w:hint="eastAsia"/>
        </w:rPr>
        <w:t>において</w:t>
      </w:r>
    </w:p>
    <w:tbl>
      <w:tblPr>
        <w:tblStyle w:val="afff2"/>
        <w:tblW w:w="8363"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10"/>
        <w:gridCol w:w="1053"/>
      </w:tblGrid>
      <w:tr w:rsidR="00F52111" w:rsidRPr="00BC31E0" w14:paraId="0FD36D1C" w14:textId="77777777" w:rsidTr="004736F2">
        <w:tc>
          <w:tcPr>
            <w:tcW w:w="0" w:type="auto"/>
            <w:tcMar>
              <w:left w:w="0" w:type="dxa"/>
              <w:right w:w="0" w:type="dxa"/>
            </w:tcMar>
            <w:vAlign w:val="center"/>
          </w:tcPr>
          <w:p w14:paraId="3C562D4A" w14:textId="77777777" w:rsidR="00F52111" w:rsidRPr="00BC31E0" w:rsidRDefault="00A51873" w:rsidP="004736F2">
            <w:pPr>
              <w:jc w:val="left"/>
              <w:rPr>
                <w:rFonts w:hAnsi="ＭＳ Ｐ明朝" w:cs="Tahoma"/>
              </w:rPr>
            </w:pPr>
            <m:oMathPara>
              <m:oMath>
                <m:sSub>
                  <m:sSubPr>
                    <m:ctrlPr>
                      <w:rPr>
                        <w:rFonts w:ascii="Cambria Math" w:hAnsi="Cambria Math"/>
                        <w:i/>
                      </w:rPr>
                    </m:ctrlPr>
                  </m:sSubPr>
                  <m:e>
                    <m:r>
                      <w:rPr>
                        <w:rFonts w:ascii="Cambria Math" w:hAnsi="Cambria Math"/>
                      </w:rPr>
                      <m:t>K</m:t>
                    </m:r>
                  </m:e>
                  <m:sub>
                    <m:r>
                      <m:rPr>
                        <m:sty m:val="p"/>
                      </m:rPr>
                      <w:rPr>
                        <w:rFonts w:ascii="Cambria Math" w:hAnsi="Cambria Math"/>
                      </w:rPr>
                      <m:t>I</m:t>
                    </m:r>
                    <m:r>
                      <w:rPr>
                        <w:rFonts w:ascii="Cambria Math" w:hAnsi="Cambria Math"/>
                      </w:rPr>
                      <m:t>,φ=</m:t>
                    </m:r>
                    <m:f>
                      <m:fPr>
                        <m:type m:val="lin"/>
                        <m:ctrlPr>
                          <w:rPr>
                            <w:rFonts w:ascii="Cambria Math" w:hAnsi="Cambria Math"/>
                            <w:i/>
                          </w:rPr>
                        </m:ctrlPr>
                      </m:fPr>
                      <m:num>
                        <m:r>
                          <w:rPr>
                            <w:rFonts w:ascii="Cambria Math" w:hAnsi="Cambria Math"/>
                          </w:rPr>
                          <m:t>π</m:t>
                        </m:r>
                      </m:num>
                      <m:den>
                        <m:r>
                          <w:rPr>
                            <w:rFonts w:ascii="Cambria Math" w:hAnsi="Cambria Math"/>
                          </w:rPr>
                          <m:t>2</m:t>
                        </m:r>
                      </m:den>
                    </m:f>
                  </m:sub>
                </m:sSub>
                <m:r>
                  <w:rPr>
                    <w:rFonts w:ascii="Cambria Math" w:hAnsi="Cambria Math"/>
                  </w:rPr>
                  <m:t>=</m:t>
                </m:r>
                <m:nary>
                  <m:naryPr>
                    <m:limLoc m:val="subSup"/>
                    <m:ctrlPr>
                      <w:rPr>
                        <w:rFonts w:ascii="Cambria Math" w:hAnsi="Cambria Math"/>
                        <w:i/>
                      </w:rPr>
                    </m:ctrlPr>
                  </m:naryPr>
                  <m:sub>
                    <m:r>
                      <w:rPr>
                        <w:rFonts w:ascii="Cambria Math" w:hAnsi="Cambria Math"/>
                      </w:rPr>
                      <m:t>0</m:t>
                    </m:r>
                  </m:sub>
                  <m:sup>
                    <m:r>
                      <w:rPr>
                        <w:rFonts w:ascii="Cambria Math" w:hAnsi="Cambria Math"/>
                      </w:rPr>
                      <m:t>a</m:t>
                    </m:r>
                  </m:sup>
                  <m:e>
                    <m:f>
                      <m:fPr>
                        <m:ctrlPr>
                          <w:rPr>
                            <w:rFonts w:ascii="Cambria Math" w:hAnsi="Cambria Math"/>
                            <w:i/>
                          </w:rPr>
                        </m:ctrlPr>
                      </m:fPr>
                      <m:num>
                        <m:r>
                          <w:rPr>
                            <w:rFonts w:ascii="Cambria Math" w:hAnsi="Cambria Math"/>
                          </w:rPr>
                          <m:t>2</m:t>
                        </m:r>
                      </m:num>
                      <m:den>
                        <m:rad>
                          <m:radPr>
                            <m:degHide m:val="1"/>
                            <m:ctrlPr>
                              <w:rPr>
                                <w:rFonts w:ascii="Cambria Math" w:hAnsi="Cambria Math"/>
                                <w:i/>
                              </w:rPr>
                            </m:ctrlPr>
                          </m:radPr>
                          <m:deg/>
                          <m:e>
                            <m:r>
                              <w:rPr>
                                <w:rFonts w:ascii="Cambria Math" w:hAnsi="Cambria Math"/>
                              </w:rPr>
                              <m:t xml:space="preserve">2 π </m:t>
                            </m:r>
                            <m:d>
                              <m:dPr>
                                <m:ctrlPr>
                                  <w:rPr>
                                    <w:rFonts w:ascii="Cambria Math" w:hAnsi="Cambria Math"/>
                                    <w:i/>
                                  </w:rPr>
                                </m:ctrlPr>
                              </m:dPr>
                              <m:e>
                                <m:r>
                                  <w:rPr>
                                    <w:rFonts w:ascii="Cambria Math" w:hAnsi="Cambria Math"/>
                                  </w:rPr>
                                  <m:t>a-x</m:t>
                                </m:r>
                              </m:e>
                            </m:d>
                          </m:e>
                        </m:rad>
                      </m:den>
                    </m:f>
                  </m:e>
                </m:nary>
                <m:r>
                  <w:rPr>
                    <w:rFonts w:ascii="Cambria Math" w:hAnsi="Cambria Math"/>
                  </w:rPr>
                  <m:t xml:space="preserve"> </m:t>
                </m:r>
                <m:d>
                  <m:dPr>
                    <m:begChr m:val="{"/>
                    <m:endChr m:val="}"/>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M</m:t>
                        </m:r>
                      </m:e>
                      <m:sub>
                        <m:r>
                          <w:rPr>
                            <w:rFonts w:ascii="Cambria Math" w:hAnsi="Cambria Math"/>
                          </w:rPr>
                          <m:t>1</m:t>
                        </m:r>
                      </m:sub>
                    </m:sSub>
                    <m:sSup>
                      <m:sSupPr>
                        <m:ctrlPr>
                          <w:rPr>
                            <w:rFonts w:ascii="Cambria Math" w:hAnsi="Cambria Math"/>
                            <w:i/>
                          </w:rPr>
                        </m:ctrlPr>
                      </m:sSupPr>
                      <m:e>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x</m:t>
                                </m:r>
                              </m:num>
                              <m:den>
                                <m:r>
                                  <w:rPr>
                                    <w:rFonts w:ascii="Cambria Math" w:hAnsi="Cambria Math"/>
                                  </w:rPr>
                                  <m:t>a</m:t>
                                </m:r>
                              </m:den>
                            </m:f>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m:t>
                        </m:r>
                      </m:sub>
                    </m:sSub>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x</m:t>
                            </m:r>
                          </m:num>
                          <m:den>
                            <m:r>
                              <w:rPr>
                                <w:rFonts w:ascii="Cambria Math" w:hAnsi="Cambria Math"/>
                              </w:rPr>
                              <m:t>a</m:t>
                            </m:r>
                          </m:den>
                        </m:f>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3</m:t>
                        </m:r>
                      </m:sub>
                    </m:sSub>
                    <m:sSup>
                      <m:sSupPr>
                        <m:ctrlPr>
                          <w:rPr>
                            <w:rFonts w:ascii="Cambria Math" w:hAnsi="Cambria Math"/>
                            <w:i/>
                          </w:rPr>
                        </m:ctrlPr>
                      </m:sSupPr>
                      <m:e>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x</m:t>
                                </m:r>
                              </m:num>
                              <m:den>
                                <m:r>
                                  <w:rPr>
                                    <w:rFonts w:ascii="Cambria Math" w:hAnsi="Cambria Math"/>
                                  </w:rPr>
                                  <m:t>a</m:t>
                                </m:r>
                              </m:den>
                            </m:f>
                          </m:e>
                        </m:d>
                      </m:e>
                      <m:sup>
                        <m:f>
                          <m:fPr>
                            <m:type m:val="lin"/>
                            <m:ctrlPr>
                              <w:rPr>
                                <w:rFonts w:ascii="Cambria Math" w:hAnsi="Cambria Math"/>
                                <w:i/>
                              </w:rPr>
                            </m:ctrlPr>
                          </m:fPr>
                          <m:num>
                            <m:r>
                              <w:rPr>
                                <w:rFonts w:ascii="Cambria Math" w:hAnsi="Cambria Math"/>
                              </w:rPr>
                              <m:t>3</m:t>
                            </m:r>
                          </m:num>
                          <m:den>
                            <m:r>
                              <w:rPr>
                                <w:rFonts w:ascii="Cambria Math" w:hAnsi="Cambria Math"/>
                              </w:rPr>
                              <m:t>2</m:t>
                            </m:r>
                          </m:den>
                        </m:f>
                      </m:sup>
                    </m:sSup>
                  </m:e>
                </m:d>
                <m:r>
                  <w:rPr>
                    <w:rFonts w:ascii="Cambria Math" w:hAnsi="Cambria Math"/>
                  </w:rPr>
                  <m:t>×</m:t>
                </m:r>
              </m:oMath>
            </m:oMathPara>
          </w:p>
        </w:tc>
        <w:tc>
          <w:tcPr>
            <w:tcW w:w="1053" w:type="dxa"/>
            <w:vMerge w:val="restart"/>
            <w:tcMar>
              <w:left w:w="0" w:type="dxa"/>
              <w:right w:w="0" w:type="dxa"/>
            </w:tcMar>
            <w:vAlign w:val="center"/>
          </w:tcPr>
          <w:p w14:paraId="511438CA" w14:textId="77777777" w:rsidR="00F52111" w:rsidRPr="00BC31E0" w:rsidRDefault="00F52111" w:rsidP="004736F2">
            <w:pPr>
              <w:tabs>
                <w:tab w:val="left" w:leader="middleDot" w:pos="486"/>
              </w:tabs>
              <w:jc w:val="left"/>
            </w:pPr>
            <w:r w:rsidRPr="00BC31E0">
              <w:tab/>
            </w:r>
            <w:r w:rsidRPr="00BC31E0">
              <w:rPr>
                <w:rFonts w:hint="eastAsia"/>
              </w:rPr>
              <w:t>(30)</w:t>
            </w:r>
          </w:p>
        </w:tc>
      </w:tr>
      <w:tr w:rsidR="00F52111" w:rsidRPr="00BC31E0" w14:paraId="0D2FCC58" w14:textId="77777777" w:rsidTr="004736F2">
        <w:tc>
          <w:tcPr>
            <w:tcW w:w="0" w:type="auto"/>
            <w:tcMar>
              <w:left w:w="0" w:type="dxa"/>
              <w:right w:w="0" w:type="dxa"/>
            </w:tcMar>
            <w:vAlign w:val="center"/>
          </w:tcPr>
          <w:p w14:paraId="3D0D88D7" w14:textId="77777777" w:rsidR="00F52111" w:rsidRPr="00BC31E0" w:rsidRDefault="00A51873" w:rsidP="002435BA">
            <w:pPr>
              <w:ind w:leftChars="900" w:left="1890"/>
              <w:jc w:val="left"/>
              <w:rPr>
                <w:rFonts w:hAnsi="ＭＳ Ｐ明朝" w:cs="Tahoma"/>
              </w:rPr>
            </w:pPr>
            <m:oMathPara>
              <m:oMathParaPr>
                <m:jc m:val="left"/>
              </m:oMathParaP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a</m:t>
                            </m:r>
                          </m:den>
                        </m:f>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a</m:t>
                                </m:r>
                              </m:den>
                            </m:f>
                          </m:e>
                        </m:d>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3</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a</m:t>
                                </m:r>
                              </m:den>
                            </m:f>
                          </m:e>
                        </m:d>
                      </m:e>
                      <m:sup>
                        <m:r>
                          <w:rPr>
                            <w:rFonts w:ascii="Cambria Math" w:hAnsi="Cambria Math"/>
                          </w:rPr>
                          <m:t>3</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4</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a</m:t>
                                </m:r>
                              </m:den>
                            </m:f>
                          </m:e>
                        </m:d>
                      </m:e>
                      <m:sup>
                        <m:r>
                          <w:rPr>
                            <w:rFonts w:ascii="Cambria Math" w:hAnsi="Cambria Math"/>
                          </w:rPr>
                          <m:t>4</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5</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a</m:t>
                                </m:r>
                              </m:den>
                            </m:f>
                          </m:e>
                        </m:d>
                      </m:e>
                      <m:sup>
                        <m:r>
                          <w:rPr>
                            <w:rFonts w:ascii="Cambria Math" w:hAnsi="Cambria Math"/>
                          </w:rPr>
                          <m:t>5</m:t>
                        </m:r>
                      </m:sup>
                    </m:sSup>
                  </m:e>
                </m:d>
                <m:r>
                  <w:rPr>
                    <w:rFonts w:ascii="Cambria Math" w:hAnsi="Cambria Math"/>
                  </w:rPr>
                  <m:t xml:space="preserve"> dx</m:t>
                </m:r>
              </m:oMath>
            </m:oMathPara>
          </w:p>
        </w:tc>
        <w:tc>
          <w:tcPr>
            <w:tcW w:w="1053" w:type="dxa"/>
            <w:vMerge/>
            <w:tcMar>
              <w:left w:w="0" w:type="dxa"/>
              <w:right w:w="0" w:type="dxa"/>
            </w:tcMar>
            <w:vAlign w:val="center"/>
          </w:tcPr>
          <w:p w14:paraId="4B476663" w14:textId="77777777" w:rsidR="00F52111" w:rsidRPr="00BC31E0" w:rsidRDefault="00F52111" w:rsidP="004736F2">
            <w:pPr>
              <w:tabs>
                <w:tab w:val="left" w:leader="middleDot" w:pos="769"/>
              </w:tabs>
              <w:jc w:val="left"/>
            </w:pPr>
          </w:p>
        </w:tc>
      </w:tr>
    </w:tbl>
    <w:p w14:paraId="7DBF006A" w14:textId="77777777" w:rsidR="00F52111" w:rsidRPr="00BC31E0" w:rsidRDefault="00F52111" w:rsidP="00F52111">
      <w:pPr>
        <w:spacing w:after="120"/>
        <w:ind w:left="454"/>
        <w:rPr>
          <w:rFonts w:hAnsi="ＭＳ Ｐ明朝" w:cs="Tahoma"/>
        </w:rPr>
      </w:pPr>
      <w:r w:rsidRPr="00BC31E0">
        <w:rPr>
          <w:rFonts w:hAnsi="ＭＳ Ｐ明朝" w:cs="Tahoma" w:hint="eastAsia"/>
        </w:rPr>
        <w:lastRenderedPageBreak/>
        <w:t>表面点</w:t>
      </w:r>
      <w:r w:rsidRPr="00BC31E0">
        <w:rPr>
          <w:rFonts w:asciiTheme="minorHAnsi" w:eastAsiaTheme="minorEastAsia" w:hAnsiTheme="minorHAnsi" w:cs="Tahoma" w:hint="eastAsia"/>
        </w:rPr>
        <w:t>において</w:t>
      </w:r>
    </w:p>
    <w:tbl>
      <w:tblPr>
        <w:tblStyle w:val="afff2"/>
        <w:tblW w:w="8363"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7"/>
        <w:gridCol w:w="1166"/>
      </w:tblGrid>
      <w:tr w:rsidR="00F52111" w:rsidRPr="00BC31E0" w14:paraId="10523B56" w14:textId="77777777" w:rsidTr="004736F2">
        <w:tc>
          <w:tcPr>
            <w:tcW w:w="0" w:type="auto"/>
            <w:tcMar>
              <w:left w:w="0" w:type="dxa"/>
              <w:right w:w="0" w:type="dxa"/>
            </w:tcMar>
            <w:vAlign w:val="center"/>
          </w:tcPr>
          <w:p w14:paraId="237FE868" w14:textId="77777777" w:rsidR="00F52111" w:rsidRPr="00BC31E0" w:rsidRDefault="00A51873" w:rsidP="004736F2">
            <w:pPr>
              <w:jc w:val="left"/>
              <w:rPr>
                <w:rFonts w:hAnsi="ＭＳ Ｐ明朝" w:cs="Tahoma"/>
              </w:rPr>
            </w:pPr>
            <m:oMathPara>
              <m:oMathParaPr>
                <m:jc m:val="left"/>
              </m:oMathParaPr>
              <m:oMath>
                <m:sSub>
                  <m:sSubPr>
                    <m:ctrlPr>
                      <w:rPr>
                        <w:rFonts w:ascii="Cambria Math" w:hAnsi="Cambria Math"/>
                        <w:i/>
                      </w:rPr>
                    </m:ctrlPr>
                  </m:sSubPr>
                  <m:e>
                    <m:r>
                      <w:rPr>
                        <w:rFonts w:ascii="Cambria Math" w:hAnsi="Cambria Math"/>
                      </w:rPr>
                      <m:t>K</m:t>
                    </m:r>
                  </m:e>
                  <m:sub>
                    <m:r>
                      <m:rPr>
                        <m:sty m:val="p"/>
                      </m:rPr>
                      <w:rPr>
                        <w:rFonts w:ascii="Cambria Math" w:hAnsi="Cambria Math"/>
                      </w:rPr>
                      <m:t>I</m:t>
                    </m:r>
                    <m:r>
                      <w:rPr>
                        <w:rFonts w:ascii="Cambria Math" w:hAnsi="Cambria Math"/>
                      </w:rPr>
                      <m:t>,φ=0</m:t>
                    </m:r>
                  </m:sub>
                </m:sSub>
                <m:r>
                  <w:rPr>
                    <w:rFonts w:ascii="Cambria Math" w:hAnsi="Cambria Math"/>
                  </w:rPr>
                  <m:t>=</m:t>
                </m:r>
                <m:nary>
                  <m:naryPr>
                    <m:limLoc m:val="subSup"/>
                    <m:ctrlPr>
                      <w:rPr>
                        <w:rFonts w:ascii="Cambria Math" w:hAnsi="Cambria Math"/>
                        <w:i/>
                      </w:rPr>
                    </m:ctrlPr>
                  </m:naryPr>
                  <m:sub>
                    <m:r>
                      <w:rPr>
                        <w:rFonts w:ascii="Cambria Math" w:hAnsi="Cambria Math"/>
                      </w:rPr>
                      <m:t>0</m:t>
                    </m:r>
                  </m:sub>
                  <m:sup>
                    <m:r>
                      <w:rPr>
                        <w:rFonts w:ascii="Cambria Math" w:hAnsi="Cambria Math"/>
                      </w:rPr>
                      <m:t>a</m:t>
                    </m:r>
                  </m:sup>
                  <m:e>
                    <m:f>
                      <m:fPr>
                        <m:ctrlPr>
                          <w:rPr>
                            <w:rFonts w:ascii="Cambria Math" w:hAnsi="Cambria Math"/>
                            <w:i/>
                          </w:rPr>
                        </m:ctrlPr>
                      </m:fPr>
                      <m:num>
                        <m:r>
                          <w:rPr>
                            <w:rFonts w:ascii="Cambria Math" w:hAnsi="Cambria Math"/>
                          </w:rPr>
                          <m:t>2</m:t>
                        </m:r>
                      </m:num>
                      <m:den>
                        <m:rad>
                          <m:radPr>
                            <m:degHide m:val="1"/>
                            <m:ctrlPr>
                              <w:rPr>
                                <w:rFonts w:ascii="Cambria Math" w:hAnsi="Cambria Math"/>
                                <w:i/>
                              </w:rPr>
                            </m:ctrlPr>
                          </m:radPr>
                          <m:deg/>
                          <m:e>
                            <m:r>
                              <w:rPr>
                                <w:rFonts w:ascii="Cambria Math" w:hAnsi="Cambria Math"/>
                              </w:rPr>
                              <m:t>π x</m:t>
                            </m:r>
                          </m:e>
                        </m:rad>
                      </m:den>
                    </m:f>
                  </m:e>
                </m:nary>
                <m:r>
                  <w:rPr>
                    <w:rFonts w:ascii="Cambria Math" w:hAnsi="Cambria Math"/>
                  </w:rPr>
                  <m:t xml:space="preserve"> </m:t>
                </m:r>
                <m:d>
                  <m:dPr>
                    <m:begChr m:val="{"/>
                    <m:endChr m:val="}"/>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N</m:t>
                        </m:r>
                      </m:e>
                      <m:sub>
                        <m:r>
                          <w:rPr>
                            <w:rFonts w:ascii="Cambria Math" w:hAnsi="Cambria Math"/>
                          </w:rPr>
                          <m:t>1</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a</m:t>
                                </m:r>
                              </m:den>
                            </m:f>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2</m:t>
                        </m:r>
                      </m:sub>
                    </m:sSub>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a</m:t>
                            </m:r>
                          </m:den>
                        </m:f>
                      </m:e>
                    </m:d>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3</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a</m:t>
                                </m:r>
                              </m:den>
                            </m:f>
                          </m:e>
                        </m:d>
                      </m:e>
                      <m:sup>
                        <m:f>
                          <m:fPr>
                            <m:type m:val="lin"/>
                            <m:ctrlPr>
                              <w:rPr>
                                <w:rFonts w:ascii="Cambria Math" w:hAnsi="Cambria Math"/>
                                <w:i/>
                              </w:rPr>
                            </m:ctrlPr>
                          </m:fPr>
                          <m:num>
                            <m:r>
                              <w:rPr>
                                <w:rFonts w:ascii="Cambria Math" w:hAnsi="Cambria Math"/>
                              </w:rPr>
                              <m:t>3</m:t>
                            </m:r>
                          </m:num>
                          <m:den>
                            <m:r>
                              <w:rPr>
                                <w:rFonts w:ascii="Cambria Math" w:hAnsi="Cambria Math"/>
                              </w:rPr>
                              <m:t>2</m:t>
                            </m:r>
                          </m:den>
                        </m:f>
                      </m:sup>
                    </m:sSup>
                  </m:e>
                </m:d>
                <m:r>
                  <w:rPr>
                    <w:rFonts w:ascii="Cambria Math" w:hAnsi="Cambria Math"/>
                  </w:rPr>
                  <m:t>×</m:t>
                </m:r>
              </m:oMath>
            </m:oMathPara>
          </w:p>
        </w:tc>
        <w:tc>
          <w:tcPr>
            <w:tcW w:w="1166" w:type="dxa"/>
            <w:vMerge w:val="restart"/>
            <w:tcMar>
              <w:left w:w="0" w:type="dxa"/>
              <w:right w:w="0" w:type="dxa"/>
            </w:tcMar>
            <w:vAlign w:val="center"/>
          </w:tcPr>
          <w:p w14:paraId="7D03A808" w14:textId="77777777" w:rsidR="00F52111" w:rsidRPr="00BC31E0" w:rsidRDefault="00F52111" w:rsidP="004736F2">
            <w:pPr>
              <w:tabs>
                <w:tab w:val="left" w:leader="middleDot" w:pos="599"/>
              </w:tabs>
              <w:jc w:val="left"/>
            </w:pPr>
            <w:r w:rsidRPr="00BC31E0">
              <w:tab/>
            </w:r>
            <w:r w:rsidRPr="00BC31E0">
              <w:rPr>
                <w:rFonts w:hint="eastAsia"/>
              </w:rPr>
              <w:t>(31)</w:t>
            </w:r>
          </w:p>
        </w:tc>
      </w:tr>
      <w:tr w:rsidR="00F52111" w:rsidRPr="00BC31E0" w14:paraId="547C0789" w14:textId="77777777" w:rsidTr="004736F2">
        <w:tc>
          <w:tcPr>
            <w:tcW w:w="0" w:type="auto"/>
            <w:tcMar>
              <w:left w:w="0" w:type="dxa"/>
              <w:right w:w="0" w:type="dxa"/>
            </w:tcMar>
            <w:vAlign w:val="center"/>
          </w:tcPr>
          <w:p w14:paraId="3DBB129B" w14:textId="77777777" w:rsidR="00F52111" w:rsidRPr="00BC31E0" w:rsidRDefault="00A51873" w:rsidP="002435BA">
            <w:pPr>
              <w:ind w:leftChars="900" w:left="1890"/>
              <w:jc w:val="left"/>
              <w:rPr>
                <w:rFonts w:hAnsi="ＭＳ Ｐ明朝" w:cs="Tahoma"/>
              </w:rPr>
            </w:pPr>
            <m:oMathPara>
              <m:oMathParaPr>
                <m:jc m:val="left"/>
              </m:oMathParaP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a</m:t>
                            </m:r>
                          </m:den>
                        </m:f>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a</m:t>
                                </m:r>
                              </m:den>
                            </m:f>
                          </m:e>
                        </m:d>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3</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a</m:t>
                                </m:r>
                              </m:den>
                            </m:f>
                          </m:e>
                        </m:d>
                      </m:e>
                      <m:sup>
                        <m:r>
                          <w:rPr>
                            <w:rFonts w:ascii="Cambria Math" w:hAnsi="Cambria Math"/>
                          </w:rPr>
                          <m:t>3</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4</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a</m:t>
                                </m:r>
                              </m:den>
                            </m:f>
                          </m:e>
                        </m:d>
                      </m:e>
                      <m:sup>
                        <m:r>
                          <w:rPr>
                            <w:rFonts w:ascii="Cambria Math" w:hAnsi="Cambria Math"/>
                          </w:rPr>
                          <m:t>4</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5</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a</m:t>
                                </m:r>
                              </m:den>
                            </m:f>
                          </m:e>
                        </m:d>
                      </m:e>
                      <m:sup>
                        <m:r>
                          <w:rPr>
                            <w:rFonts w:ascii="Cambria Math" w:hAnsi="Cambria Math"/>
                          </w:rPr>
                          <m:t>5</m:t>
                        </m:r>
                      </m:sup>
                    </m:sSup>
                  </m:e>
                </m:d>
                <m:r>
                  <w:rPr>
                    <w:rFonts w:ascii="Cambria Math" w:hAnsi="Cambria Math"/>
                  </w:rPr>
                  <m:t xml:space="preserve"> dx</m:t>
                </m:r>
              </m:oMath>
            </m:oMathPara>
          </w:p>
        </w:tc>
        <w:tc>
          <w:tcPr>
            <w:tcW w:w="1166" w:type="dxa"/>
            <w:vMerge/>
            <w:tcMar>
              <w:left w:w="0" w:type="dxa"/>
              <w:right w:w="0" w:type="dxa"/>
            </w:tcMar>
            <w:vAlign w:val="center"/>
          </w:tcPr>
          <w:p w14:paraId="4CC59F45" w14:textId="77777777" w:rsidR="00F52111" w:rsidRPr="00BC31E0" w:rsidRDefault="00F52111" w:rsidP="004736F2">
            <w:pPr>
              <w:tabs>
                <w:tab w:val="left" w:leader="middleDot" w:pos="769"/>
              </w:tabs>
              <w:jc w:val="left"/>
            </w:pPr>
          </w:p>
        </w:tc>
      </w:tr>
    </w:tbl>
    <w:p w14:paraId="3539FB12" w14:textId="77777777" w:rsidR="00F52111" w:rsidRPr="00BC31E0" w:rsidRDefault="00F52111" w:rsidP="00736130">
      <w:pPr>
        <w:pStyle w:val="a4"/>
        <w:numPr>
          <w:ilvl w:val="0"/>
          <w:numId w:val="137"/>
        </w:numPr>
        <w:spacing w:before="120"/>
        <w:ind w:leftChars="0" w:left="454" w:hanging="454"/>
      </w:pPr>
      <w:r w:rsidRPr="00BC31E0">
        <w:rPr>
          <w:rFonts w:hint="eastAsia"/>
        </w:rPr>
        <w:t>で求められた応力拡大係数の表示式を積分して，</w:t>
      </w:r>
      <w:r w:rsidRPr="00BC31E0">
        <w:rPr>
          <w:rFonts w:hint="eastAsia"/>
        </w:rPr>
        <w:t>5</w:t>
      </w:r>
      <w:r w:rsidRPr="00BC31E0">
        <w:rPr>
          <w:rFonts w:hint="eastAsia"/>
        </w:rPr>
        <w:t>次多項式の場合には</w:t>
      </w:r>
      <w:r w:rsidRPr="00BC31E0">
        <w:rPr>
          <w:rFonts w:asciiTheme="majorEastAsia" w:eastAsiaTheme="majorEastAsia" w:hAnsiTheme="majorEastAsia" w:hint="eastAsia"/>
          <w:b/>
          <w:bCs/>
        </w:rPr>
        <w:t>式(29)</w:t>
      </w:r>
      <w:r w:rsidRPr="00BC31E0">
        <w:rPr>
          <w:rFonts w:hint="eastAsia"/>
        </w:rPr>
        <w:t>の表示式と比較を行い，自由表面補正係数</w:t>
      </w:r>
      <m:oMath>
        <m:sSub>
          <m:sSubPr>
            <m:ctrlPr>
              <w:rPr>
                <w:rFonts w:ascii="Cambria Math" w:hAnsi="Cambria Math"/>
                <w:i/>
              </w:rPr>
            </m:ctrlPr>
          </m:sSubPr>
          <m:e>
            <m:r>
              <w:rPr>
                <w:rFonts w:ascii="Cambria Math" w:hAnsi="Cambria Math"/>
              </w:rPr>
              <m:t xml:space="preserve"> G</m:t>
            </m:r>
          </m:e>
          <m:sub>
            <m:r>
              <w:rPr>
                <w:rFonts w:ascii="Cambria Math" w:hAnsi="Cambria Math"/>
              </w:rPr>
              <m:t xml:space="preserve">i </m:t>
            </m:r>
          </m:sub>
        </m:sSub>
      </m:oMath>
      <w:r w:rsidRPr="00BC31E0">
        <w:rPr>
          <w:rFonts w:hint="eastAsia"/>
        </w:rPr>
        <w:t>(</w:t>
      </w:r>
      <m:oMath>
        <m:r>
          <w:rPr>
            <w:rFonts w:ascii="Cambria Math" w:hAnsi="Cambria Math"/>
          </w:rPr>
          <m:t>i</m:t>
        </m:r>
        <m:r>
          <w:rPr>
            <w:rFonts w:ascii="Cambria Math" w:hAnsi="Cambria Math" w:hint="eastAsia"/>
          </w:rPr>
          <m:t>≧</m:t>
        </m:r>
        <m:r>
          <w:rPr>
            <w:rFonts w:ascii="Cambria Math" w:hAnsi="Cambria Math" w:hint="eastAsia"/>
          </w:rPr>
          <m:t>2</m:t>
        </m:r>
      </m:oMath>
      <w:r w:rsidRPr="00BC31E0">
        <w:rPr>
          <w:rFonts w:hint="eastAsia"/>
        </w:rPr>
        <w:t xml:space="preserve">) </w:t>
      </w:r>
      <w:r w:rsidRPr="00BC31E0">
        <w:rPr>
          <w:rFonts w:hint="eastAsia"/>
        </w:rPr>
        <w:t>を求める。</w:t>
      </w:r>
      <m:oMath>
        <m:sSub>
          <m:sSubPr>
            <m:ctrlPr>
              <w:rPr>
                <w:rFonts w:ascii="Cambria Math" w:hAnsi="Cambria Math"/>
                <w:i/>
              </w:rPr>
            </m:ctrlPr>
          </m:sSubPr>
          <m:e>
            <m:r>
              <w:rPr>
                <w:rFonts w:ascii="Cambria Math" w:hAnsi="Cambria Math"/>
              </w:rPr>
              <m:t>G</m:t>
            </m:r>
          </m:e>
          <m:sub>
            <m:r>
              <w:rPr>
                <w:rFonts w:ascii="Cambria Math" w:hAnsi="Cambria Math"/>
              </w:rPr>
              <m:t xml:space="preserve">i </m:t>
            </m:r>
            <m:r>
              <w:rPr>
                <w:rFonts w:ascii="Cambria Math" w:hAnsi="Cambria Math" w:hint="eastAsia"/>
              </w:rPr>
              <m:t xml:space="preserve"> </m:t>
            </m:r>
          </m:sub>
        </m:sSub>
      </m:oMath>
      <w:r w:rsidRPr="00BC31E0">
        <w:rPr>
          <w:rFonts w:hint="eastAsia"/>
        </w:rPr>
        <w:t>の式に含まれる</w:t>
      </w:r>
      <m:oMath>
        <m:r>
          <w:rPr>
            <w:rFonts w:ascii="Cambria Math" w:hAnsi="Cambria Math" w:hint="eastAsia"/>
          </w:rPr>
          <m:t xml:space="preserve"> </m:t>
        </m:r>
        <m:sSub>
          <m:sSubPr>
            <m:ctrlPr>
              <w:rPr>
                <w:rFonts w:ascii="Cambria Math" w:hAnsi="Cambria Math"/>
                <w:i/>
              </w:rPr>
            </m:ctrlPr>
          </m:sSubPr>
          <m:e>
            <m:r>
              <w:rPr>
                <w:rFonts w:ascii="Cambria Math" w:hAnsi="Cambria Math"/>
              </w:rPr>
              <m:t>M</m:t>
            </m:r>
          </m:e>
          <m:sub>
            <m:r>
              <w:rPr>
                <w:rFonts w:ascii="Cambria Math" w:hAnsi="Cambria Math"/>
              </w:rPr>
              <m:t>1</m:t>
            </m:r>
          </m:sub>
        </m:sSub>
      </m:oMath>
      <w:r w:rsidRPr="00BC31E0">
        <w:rPr>
          <w:rFonts w:hint="eastAsia"/>
        </w:rPr>
        <w:t>～</w:t>
      </w:r>
      <m:oMath>
        <m:sSub>
          <m:sSubPr>
            <m:ctrlPr>
              <w:rPr>
                <w:rFonts w:ascii="Cambria Math" w:hAnsi="Cambria Math"/>
                <w:i/>
              </w:rPr>
            </m:ctrlPr>
          </m:sSubPr>
          <m:e>
            <m:r>
              <w:rPr>
                <w:rFonts w:ascii="Cambria Math" w:hAnsi="Cambria Math"/>
              </w:rPr>
              <m:t>M</m:t>
            </m:r>
          </m:e>
          <m:sub>
            <m:r>
              <w:rPr>
                <w:rFonts w:ascii="Cambria Math" w:hAnsi="Cambria Math"/>
              </w:rPr>
              <m:t>3</m:t>
            </m:r>
          </m:sub>
        </m:sSub>
        <m:r>
          <w:rPr>
            <w:rFonts w:ascii="Cambria Math" w:hAnsi="Cambria Math"/>
          </w:rPr>
          <m:t xml:space="preserve"> </m:t>
        </m:r>
      </m:oMath>
      <w:r w:rsidRPr="00BC31E0">
        <w:rPr>
          <w:rFonts w:hint="eastAsia"/>
        </w:rPr>
        <w:t>及び</w:t>
      </w:r>
      <m:oMath>
        <m:sSub>
          <m:sSubPr>
            <m:ctrlPr>
              <w:rPr>
                <w:rFonts w:ascii="Cambria Math" w:hAnsi="Cambria Math"/>
                <w:i/>
              </w:rPr>
            </m:ctrlPr>
          </m:sSubPr>
          <m:e>
            <m:r>
              <w:rPr>
                <w:rFonts w:ascii="Cambria Math" w:hAnsi="Cambria Math"/>
              </w:rPr>
              <m:t xml:space="preserve"> N</m:t>
            </m:r>
          </m:e>
          <m:sub>
            <m:r>
              <w:rPr>
                <w:rFonts w:ascii="Cambria Math" w:hAnsi="Cambria Math"/>
              </w:rPr>
              <m:t>1</m:t>
            </m:r>
          </m:sub>
        </m:sSub>
        <m:r>
          <w:rPr>
            <w:rFonts w:ascii="Cambria Math" w:hAnsi="Cambria Math"/>
          </w:rPr>
          <m:t xml:space="preserve"> </m:t>
        </m:r>
      </m:oMath>
      <w:r w:rsidRPr="00BC31E0">
        <w:rPr>
          <w:rFonts w:hint="eastAsia"/>
        </w:rPr>
        <w:t>～</w:t>
      </w:r>
      <m:oMath>
        <m:sSub>
          <m:sSubPr>
            <m:ctrlPr>
              <w:rPr>
                <w:rFonts w:ascii="Cambria Math" w:hAnsi="Cambria Math"/>
                <w:i/>
              </w:rPr>
            </m:ctrlPr>
          </m:sSubPr>
          <m:e>
            <m:r>
              <w:rPr>
                <w:rFonts w:ascii="Cambria Math" w:hAnsi="Cambria Math"/>
              </w:rPr>
              <m:t xml:space="preserve"> N</m:t>
            </m:r>
          </m:e>
          <m:sub>
            <m:r>
              <w:rPr>
                <w:rFonts w:ascii="Cambria Math" w:hAnsi="Cambria Math"/>
              </w:rPr>
              <m:t>3</m:t>
            </m:r>
          </m:sub>
        </m:sSub>
        <m:r>
          <w:rPr>
            <w:rFonts w:ascii="Cambria Math" w:hAnsi="Cambria Math"/>
          </w:rPr>
          <m:t xml:space="preserve">  </m:t>
        </m:r>
      </m:oMath>
      <w:r w:rsidRPr="00BC31E0">
        <w:rPr>
          <w:rFonts w:hint="eastAsia"/>
        </w:rPr>
        <w:t>は，</w:t>
      </w:r>
      <w:r w:rsidRPr="00BC31E0">
        <w:rPr>
          <w:rFonts w:asciiTheme="majorEastAsia" w:eastAsiaTheme="majorEastAsia" w:hAnsiTheme="majorEastAsia" w:hint="eastAsia"/>
          <w:b/>
          <w:bCs/>
        </w:rPr>
        <w:t>a)</w:t>
      </w:r>
      <w:r w:rsidRPr="00BC31E0">
        <w:rPr>
          <w:rFonts w:hint="eastAsia"/>
        </w:rPr>
        <w:t>と</w:t>
      </w:r>
      <w:r w:rsidRPr="00BC31E0">
        <w:rPr>
          <w:rFonts w:asciiTheme="majorEastAsia" w:eastAsiaTheme="majorEastAsia" w:hAnsiTheme="majorEastAsia" w:hint="eastAsia"/>
          <w:b/>
          <w:bCs/>
        </w:rPr>
        <w:t>b)</w:t>
      </w:r>
      <w:r w:rsidRPr="00BC31E0">
        <w:rPr>
          <w:rFonts w:hint="eastAsia"/>
        </w:rPr>
        <w:t>で求められた</w:t>
      </w:r>
      <m:oMath>
        <m:sSub>
          <m:sSubPr>
            <m:ctrlPr>
              <w:rPr>
                <w:rFonts w:ascii="Cambria Math" w:hAnsi="Cambria Math"/>
                <w:i/>
              </w:rPr>
            </m:ctrlPr>
          </m:sSubPr>
          <m:e>
            <m:r>
              <w:rPr>
                <w:rFonts w:ascii="Cambria Math" w:hAnsi="Cambria Math"/>
              </w:rPr>
              <m:t xml:space="preserve"> G</m:t>
            </m:r>
          </m:e>
          <m:sub>
            <m:r>
              <w:rPr>
                <w:rFonts w:ascii="Cambria Math" w:hAnsi="Cambria Math"/>
              </w:rPr>
              <m:t>0</m:t>
            </m:r>
          </m:sub>
        </m:sSub>
        <m:r>
          <w:rPr>
            <w:rFonts w:ascii="Cambria Math" w:hAnsi="Cambria Math"/>
          </w:rPr>
          <m:t xml:space="preserve"> </m:t>
        </m:r>
      </m:oMath>
      <w:r w:rsidRPr="00BC31E0">
        <w:rPr>
          <w:rFonts w:hint="eastAsia"/>
        </w:rPr>
        <w:t>と</w:t>
      </w:r>
      <m:oMath>
        <m:sSub>
          <m:sSubPr>
            <m:ctrlPr>
              <w:rPr>
                <w:rFonts w:ascii="Cambria Math" w:hAnsi="Cambria Math"/>
                <w:i/>
              </w:rPr>
            </m:ctrlPr>
          </m:sSubPr>
          <m:e>
            <m:r>
              <w:rPr>
                <w:rFonts w:ascii="Cambria Math" w:hAnsi="Cambria Math"/>
              </w:rPr>
              <m:t xml:space="preserve"> G</m:t>
            </m:r>
          </m:e>
          <m:sub>
            <m:r>
              <w:rPr>
                <w:rFonts w:ascii="Cambria Math" w:hAnsi="Cambria Math"/>
              </w:rPr>
              <m:t>1</m:t>
            </m:r>
          </m:sub>
        </m:sSub>
        <m:r>
          <w:rPr>
            <w:rFonts w:ascii="Cambria Math" w:hAnsi="Cambria Math" w:hint="eastAsia"/>
          </w:rPr>
          <m:t xml:space="preserve"> </m:t>
        </m:r>
      </m:oMath>
      <w:r w:rsidRPr="00BC31E0">
        <w:rPr>
          <w:rFonts w:hint="eastAsia"/>
        </w:rPr>
        <w:t>を用いて，</w:t>
      </w:r>
      <w:r w:rsidRPr="00BC31E0">
        <w:rPr>
          <w:rFonts w:asciiTheme="majorEastAsia" w:eastAsiaTheme="majorEastAsia" w:hAnsiTheme="majorEastAsia" w:hint="eastAsia"/>
          <w:b/>
          <w:bCs/>
        </w:rPr>
        <w:t>式(24)</w:t>
      </w:r>
      <w:r w:rsidRPr="00BC31E0">
        <w:rPr>
          <w:rFonts w:hint="eastAsia"/>
        </w:rPr>
        <w:t>及び</w:t>
      </w:r>
      <w:r w:rsidRPr="00BC31E0">
        <w:rPr>
          <w:rFonts w:asciiTheme="majorEastAsia" w:eastAsiaTheme="majorEastAsia" w:hAnsiTheme="majorEastAsia" w:hint="eastAsia"/>
          <w:b/>
          <w:bCs/>
        </w:rPr>
        <w:t>式(25)</w:t>
      </w:r>
      <w:r w:rsidRPr="00BC31E0">
        <w:rPr>
          <w:rFonts w:hint="eastAsia"/>
        </w:rPr>
        <w:t>で計算する。応力分布を</w:t>
      </w:r>
      <w:r w:rsidRPr="00BC31E0">
        <w:rPr>
          <w:rFonts w:hint="eastAsia"/>
        </w:rPr>
        <w:t>5</w:t>
      </w:r>
      <w:r w:rsidRPr="00BC31E0">
        <w:rPr>
          <w:rFonts w:hint="eastAsia"/>
        </w:rPr>
        <w:t>次多項式で近似する場合には，自由表面補正係数</w:t>
      </w:r>
      <m:oMath>
        <m:sSub>
          <m:sSubPr>
            <m:ctrlPr>
              <w:rPr>
                <w:rFonts w:ascii="Cambria Math" w:hAnsi="Cambria Math"/>
                <w:i/>
              </w:rPr>
            </m:ctrlPr>
          </m:sSubPr>
          <m:e>
            <m:r>
              <w:rPr>
                <w:rFonts w:ascii="Cambria Math" w:hAnsi="Cambria Math"/>
              </w:rPr>
              <m:t xml:space="preserve"> G</m:t>
            </m:r>
          </m:e>
          <m:sub>
            <m:r>
              <w:rPr>
                <w:rFonts w:ascii="Cambria Math" w:hAnsi="Cambria Math"/>
              </w:rPr>
              <m:t xml:space="preserve">2 </m:t>
            </m:r>
          </m:sub>
        </m:sSub>
      </m:oMath>
      <w:r w:rsidRPr="00BC31E0">
        <w:rPr>
          <w:rFonts w:hint="eastAsia"/>
        </w:rPr>
        <w:t>～</w:t>
      </w:r>
      <m:oMath>
        <m:sSub>
          <m:sSubPr>
            <m:ctrlPr>
              <w:rPr>
                <w:rFonts w:ascii="Cambria Math" w:hAnsi="Cambria Math"/>
                <w:i/>
              </w:rPr>
            </m:ctrlPr>
          </m:sSubPr>
          <m:e>
            <m:r>
              <w:rPr>
                <w:rFonts w:ascii="Cambria Math" w:hAnsi="Cambria Math"/>
              </w:rPr>
              <m:t xml:space="preserve"> G</m:t>
            </m:r>
          </m:e>
          <m:sub>
            <m:r>
              <w:rPr>
                <w:rFonts w:ascii="Cambria Math" w:hAnsi="Cambria Math"/>
              </w:rPr>
              <m:t xml:space="preserve">5 </m:t>
            </m:r>
          </m:sub>
        </m:sSub>
      </m:oMath>
      <w:r w:rsidRPr="00BC31E0">
        <w:rPr>
          <w:rFonts w:hint="eastAsia"/>
        </w:rPr>
        <w:t>は</w:t>
      </w:r>
      <w:r w:rsidRPr="00BC31E0">
        <w:rPr>
          <w:rFonts w:asciiTheme="majorEastAsia" w:eastAsiaTheme="majorEastAsia" w:hAnsiTheme="majorEastAsia" w:hint="eastAsia"/>
          <w:b/>
          <w:bCs/>
        </w:rPr>
        <w:t>式(10)</w:t>
      </w:r>
      <w:r w:rsidRPr="00BC31E0">
        <w:rPr>
          <w:rFonts w:hint="eastAsia"/>
        </w:rPr>
        <w:t>及び</w:t>
      </w:r>
      <w:r w:rsidRPr="00BC31E0">
        <w:rPr>
          <w:rFonts w:asciiTheme="majorEastAsia" w:eastAsiaTheme="majorEastAsia" w:hAnsiTheme="majorEastAsia" w:hint="eastAsia"/>
          <w:b/>
          <w:bCs/>
        </w:rPr>
        <w:t>式(11)</w:t>
      </w:r>
      <w:r w:rsidRPr="00BC31E0">
        <w:rPr>
          <w:rFonts w:hint="eastAsia"/>
        </w:rPr>
        <w:t>になる。</w:t>
      </w:r>
    </w:p>
    <w:p w14:paraId="0C61B563" w14:textId="77777777" w:rsidR="00F52111" w:rsidRPr="00BC31E0" w:rsidRDefault="00F52111" w:rsidP="00736130">
      <w:pPr>
        <w:pStyle w:val="a4"/>
        <w:numPr>
          <w:ilvl w:val="0"/>
          <w:numId w:val="137"/>
        </w:numPr>
        <w:ind w:leftChars="0" w:left="454" w:hanging="454"/>
      </w:pPr>
      <w:r w:rsidRPr="00BC31E0">
        <w:rPr>
          <w:rFonts w:hint="eastAsia"/>
        </w:rPr>
        <w:t>応力分布を多項式近似した時の係数</w:t>
      </w:r>
      <m:oMath>
        <m:sSub>
          <m:sSubPr>
            <m:ctrlPr>
              <w:rPr>
                <w:rFonts w:ascii="Cambria Math" w:hAnsi="Cambria Math"/>
                <w:i/>
              </w:rPr>
            </m:ctrlPr>
          </m:sSubPr>
          <m:e>
            <m:r>
              <w:rPr>
                <w:rFonts w:ascii="Cambria Math" w:hAnsi="Cambria Math"/>
              </w:rPr>
              <m:t xml:space="preserve"> A</m:t>
            </m:r>
          </m:e>
          <m:sub>
            <m:r>
              <w:rPr>
                <w:rFonts w:ascii="Cambria Math" w:hAnsi="Cambria Math"/>
              </w:rPr>
              <m:t>i</m:t>
            </m:r>
          </m:sub>
        </m:sSub>
        <m:r>
          <w:rPr>
            <w:rFonts w:ascii="Cambria Math" w:hAnsi="Cambria Math"/>
          </w:rPr>
          <m:t xml:space="preserve"> </m:t>
        </m:r>
      </m:oMath>
      <w:r w:rsidRPr="00BC31E0">
        <w:rPr>
          <w:rFonts w:hint="eastAsia"/>
        </w:rPr>
        <w:t>と自由表面補正係数</w:t>
      </w:r>
      <m:oMath>
        <m:sSub>
          <m:sSubPr>
            <m:ctrlPr>
              <w:rPr>
                <w:rFonts w:ascii="Cambria Math" w:hAnsi="Cambria Math"/>
                <w:i/>
              </w:rPr>
            </m:ctrlPr>
          </m:sSubPr>
          <m:e>
            <m:r>
              <w:rPr>
                <w:rFonts w:ascii="Cambria Math" w:hAnsi="Cambria Math"/>
              </w:rPr>
              <m:t xml:space="preserve"> G</m:t>
            </m:r>
          </m:e>
          <m:sub>
            <m:r>
              <w:rPr>
                <w:rFonts w:ascii="Cambria Math" w:hAnsi="Cambria Math"/>
              </w:rPr>
              <m:t>i</m:t>
            </m:r>
          </m:sub>
        </m:sSub>
        <m:r>
          <w:rPr>
            <w:rFonts w:ascii="Cambria Math" w:hAnsi="Cambria Math"/>
          </w:rPr>
          <m:t xml:space="preserve"> </m:t>
        </m:r>
      </m:oMath>
      <w:r w:rsidRPr="00BC31E0">
        <w:rPr>
          <w:rFonts w:hint="eastAsia"/>
        </w:rPr>
        <w:t>(</w:t>
      </w:r>
      <m:oMath>
        <m:r>
          <w:rPr>
            <w:rFonts w:ascii="Cambria Math" w:hAnsi="Cambria Math"/>
          </w:rPr>
          <m:t>i</m:t>
        </m:r>
        <m:r>
          <w:rPr>
            <w:rFonts w:ascii="Cambria Math" w:hAnsi="Cambria Math" w:hint="eastAsia"/>
          </w:rPr>
          <m:t>≧</m:t>
        </m:r>
        <m:r>
          <w:rPr>
            <w:rFonts w:ascii="Cambria Math" w:hAnsi="Cambria Math" w:hint="eastAsia"/>
          </w:rPr>
          <m:t>0</m:t>
        </m:r>
      </m:oMath>
      <w:r w:rsidRPr="00BC31E0">
        <w:rPr>
          <w:rFonts w:hint="eastAsia"/>
        </w:rPr>
        <w:t xml:space="preserve">) </w:t>
      </w:r>
      <w:r w:rsidRPr="00BC31E0">
        <w:rPr>
          <w:rFonts w:hint="eastAsia"/>
        </w:rPr>
        <w:t>を用いて，</w:t>
      </w:r>
      <w:r w:rsidRPr="00BC31E0">
        <w:rPr>
          <w:rFonts w:hint="eastAsia"/>
        </w:rPr>
        <w:t>5</w:t>
      </w:r>
      <w:r w:rsidRPr="00BC31E0">
        <w:rPr>
          <w:rFonts w:hint="eastAsia"/>
        </w:rPr>
        <w:t>次多項式の場合には，</w:t>
      </w:r>
      <w:r w:rsidRPr="00BC31E0">
        <w:rPr>
          <w:rFonts w:asciiTheme="majorEastAsia" w:eastAsiaTheme="majorEastAsia" w:hAnsiTheme="majorEastAsia" w:hint="eastAsia"/>
          <w:b/>
          <w:bCs/>
        </w:rPr>
        <w:t>式(29)</w:t>
      </w:r>
      <w:r w:rsidRPr="00BC31E0">
        <w:rPr>
          <w:rFonts w:hint="eastAsia"/>
        </w:rPr>
        <w:t>で応力拡大係数を決定する。亀裂形状パラメータ</w:t>
      </w:r>
      <m:oMath>
        <m:r>
          <m:rPr>
            <m:sty m:val="p"/>
          </m:rPr>
          <w:rPr>
            <w:rFonts w:ascii="Cambria Math" w:hAnsi="Cambria Math"/>
          </w:rPr>
          <m:t xml:space="preserve"> </m:t>
        </m:r>
        <m:r>
          <w:rPr>
            <w:rFonts w:ascii="Cambria Math" w:hAnsi="Cambria Math"/>
          </w:rPr>
          <m:t>Q</m:t>
        </m:r>
        <m:r>
          <m:rPr>
            <m:sty m:val="p"/>
          </m:rPr>
          <w:rPr>
            <w:rFonts w:ascii="Cambria Math" w:hAnsi="Cambria Math"/>
          </w:rPr>
          <m:t xml:space="preserve"> </m:t>
        </m:r>
      </m:oMath>
      <w:r w:rsidRPr="00BC31E0">
        <w:rPr>
          <w:rFonts w:hint="eastAsia"/>
        </w:rPr>
        <w:t>は，</w:t>
      </w:r>
      <w:r w:rsidRPr="00BC31E0">
        <w:rPr>
          <w:rFonts w:asciiTheme="majorEastAsia" w:eastAsiaTheme="majorEastAsia" w:hAnsiTheme="majorEastAsia" w:hint="eastAsia"/>
          <w:b/>
          <w:bCs/>
        </w:rPr>
        <w:t>式(12)</w:t>
      </w:r>
      <w:r w:rsidRPr="00BC31E0">
        <w:rPr>
          <w:rFonts w:hint="eastAsia"/>
        </w:rPr>
        <w:t>及び</w:t>
      </w:r>
      <w:r w:rsidRPr="00BC31E0">
        <w:rPr>
          <w:rFonts w:asciiTheme="majorEastAsia" w:eastAsiaTheme="majorEastAsia" w:hAnsiTheme="majorEastAsia" w:hint="eastAsia"/>
          <w:b/>
          <w:bCs/>
        </w:rPr>
        <w:t>式(13)</w:t>
      </w:r>
      <w:r w:rsidRPr="00BC31E0">
        <w:rPr>
          <w:rFonts w:hint="eastAsia"/>
        </w:rPr>
        <w:t>の塑性域補正項を考慮する。</w:t>
      </w:r>
    </w:p>
    <w:p w14:paraId="1B785442" w14:textId="77777777" w:rsidR="00F52111" w:rsidRPr="00BC31E0" w:rsidRDefault="00F52111" w:rsidP="00894B58">
      <w:pPr>
        <w:pStyle w:val="15"/>
        <w:spacing w:before="120"/>
        <w:ind w:firstLine="210"/>
        <w:rPr>
          <w:rFonts w:ascii="ＭＳ ゴシック" w:eastAsia="ＭＳ ゴシック" w:hAnsi="ＭＳ ゴシック"/>
          <w:b/>
        </w:rPr>
      </w:pPr>
      <w:r w:rsidRPr="00BC31E0">
        <w:rPr>
          <w:rFonts w:asciiTheme="minorEastAsia" w:eastAsiaTheme="minorEastAsia" w:hAnsiTheme="minorEastAsia" w:hint="eastAsia"/>
        </w:rPr>
        <w:t>亀裂面に作用する任意形状の</w:t>
      </w:r>
      <w:r w:rsidRPr="00BC31E0">
        <w:rPr>
          <w:rFonts w:hint="eastAsia"/>
        </w:rPr>
        <w:t>応力分布</w:t>
      </w:r>
      <w:r w:rsidRPr="00BC31E0">
        <w:rPr>
          <w:rFonts w:asciiTheme="minorEastAsia" w:eastAsiaTheme="minorEastAsia" w:hAnsiTheme="minorEastAsia" w:hint="eastAsia"/>
        </w:rPr>
        <w:t>を</w:t>
      </w:r>
      <w:r w:rsidRPr="00BC31E0">
        <w:rPr>
          <w:rFonts w:hint="eastAsia"/>
        </w:rPr>
        <w:t>3</w:t>
      </w:r>
      <w:r w:rsidRPr="00BC31E0">
        <w:rPr>
          <w:rFonts w:hint="eastAsia"/>
        </w:rPr>
        <w:t>次多項式で近似する場合には，自由表面補正係数として，</w:t>
      </w:r>
      <w:r w:rsidRPr="00BC31E0">
        <w:rPr>
          <w:rFonts w:ascii="ＭＳ ゴシック" w:eastAsia="ＭＳ ゴシック" w:hAnsi="ＭＳ ゴシック" w:hint="eastAsia"/>
          <w:b/>
        </w:rPr>
        <w:t>式(10)</w:t>
      </w:r>
      <w:r w:rsidRPr="00BC31E0">
        <w:rPr>
          <w:rFonts w:hint="eastAsia"/>
        </w:rPr>
        <w:t>及び</w:t>
      </w:r>
      <w:r w:rsidRPr="00BC31E0">
        <w:rPr>
          <w:rFonts w:ascii="ＭＳ ゴシック" w:eastAsia="ＭＳ ゴシック" w:hAnsi="ＭＳ ゴシック" w:hint="eastAsia"/>
          <w:b/>
        </w:rPr>
        <w:t>式(11)</w:t>
      </w:r>
      <w:r w:rsidRPr="00BC31E0">
        <w:rPr>
          <w:rFonts w:asciiTheme="minorEastAsia" w:eastAsiaTheme="minorEastAsia" w:hAnsiTheme="minorEastAsia" w:hint="eastAsia"/>
        </w:rPr>
        <w:t>の</w:t>
      </w:r>
      <m:oMath>
        <m:sSub>
          <m:sSubPr>
            <m:ctrlPr>
              <w:rPr>
                <w:rFonts w:ascii="Cambria Math" w:hAnsi="Cambria Math"/>
                <w:i/>
              </w:rPr>
            </m:ctrlPr>
          </m:sSubPr>
          <m:e>
            <m:r>
              <w:rPr>
                <w:rFonts w:ascii="Cambria Math" w:hAnsi="Cambria Math"/>
              </w:rPr>
              <m:t xml:space="preserve"> G</m:t>
            </m:r>
          </m:e>
          <m:sub>
            <m:r>
              <w:rPr>
                <w:rFonts w:ascii="Cambria Math" w:hAnsi="Cambria Math"/>
              </w:rPr>
              <m:t xml:space="preserve">2 </m:t>
            </m:r>
          </m:sub>
        </m:sSub>
      </m:oMath>
      <w:r w:rsidRPr="00BC31E0">
        <w:rPr>
          <w:rFonts w:hint="eastAsia"/>
        </w:rPr>
        <w:t>と</w:t>
      </w:r>
      <m:oMath>
        <m:sSub>
          <m:sSubPr>
            <m:ctrlPr>
              <w:rPr>
                <w:rFonts w:ascii="Cambria Math" w:hAnsi="Cambria Math"/>
                <w:i/>
              </w:rPr>
            </m:ctrlPr>
          </m:sSubPr>
          <m:e>
            <m:r>
              <w:rPr>
                <w:rFonts w:ascii="Cambria Math" w:hAnsi="Cambria Math"/>
              </w:rPr>
              <m:t xml:space="preserve"> G</m:t>
            </m:r>
          </m:e>
          <m:sub>
            <m:r>
              <w:rPr>
                <w:rFonts w:ascii="Cambria Math" w:hAnsi="Cambria Math" w:hint="eastAsia"/>
              </w:rPr>
              <m:t>3</m:t>
            </m:r>
            <m:r>
              <w:rPr>
                <w:rFonts w:ascii="Cambria Math" w:hAnsi="Cambria Math"/>
              </w:rPr>
              <m:t xml:space="preserve"> </m:t>
            </m:r>
          </m:sub>
        </m:sSub>
      </m:oMath>
      <w:r w:rsidRPr="00BC31E0">
        <w:rPr>
          <w:rFonts w:hint="eastAsia"/>
        </w:rPr>
        <w:t>を，</w:t>
      </w:r>
      <w:r w:rsidRPr="00BC31E0">
        <w:rPr>
          <w:rFonts w:hint="eastAsia"/>
        </w:rPr>
        <w:t>4</w:t>
      </w:r>
      <w:r w:rsidRPr="00BC31E0">
        <w:rPr>
          <w:rFonts w:hint="eastAsia"/>
        </w:rPr>
        <w:t>次多項式で近似する場合には</w:t>
      </w:r>
      <m:oMath>
        <m:sSub>
          <m:sSubPr>
            <m:ctrlPr>
              <w:rPr>
                <w:rFonts w:ascii="Cambria Math" w:hAnsi="Cambria Math"/>
                <w:i/>
              </w:rPr>
            </m:ctrlPr>
          </m:sSubPr>
          <m:e>
            <m:r>
              <w:rPr>
                <w:rFonts w:ascii="Cambria Math" w:hAnsi="Cambria Math"/>
              </w:rPr>
              <m:t xml:space="preserve"> G</m:t>
            </m:r>
          </m:e>
          <m:sub>
            <m:r>
              <w:rPr>
                <w:rFonts w:ascii="Cambria Math" w:hAnsi="Cambria Math"/>
              </w:rPr>
              <m:t xml:space="preserve">2 </m:t>
            </m:r>
          </m:sub>
        </m:sSub>
      </m:oMath>
      <w:r w:rsidRPr="00BC31E0">
        <w:rPr>
          <w:rFonts w:hint="eastAsia"/>
        </w:rPr>
        <w:t>～</w:t>
      </w:r>
      <m:oMath>
        <m:sSub>
          <m:sSubPr>
            <m:ctrlPr>
              <w:rPr>
                <w:rFonts w:ascii="Cambria Math" w:hAnsi="Cambria Math"/>
                <w:i/>
              </w:rPr>
            </m:ctrlPr>
          </m:sSubPr>
          <m:e>
            <m:r>
              <w:rPr>
                <w:rFonts w:ascii="Cambria Math" w:hAnsi="Cambria Math"/>
              </w:rPr>
              <m:t xml:space="preserve"> G</m:t>
            </m:r>
          </m:e>
          <m:sub>
            <m:r>
              <w:rPr>
                <w:rFonts w:ascii="Cambria Math" w:hAnsi="Cambria Math" w:hint="eastAsia"/>
              </w:rPr>
              <m:t>4</m:t>
            </m:r>
            <m:r>
              <w:rPr>
                <w:rFonts w:ascii="Cambria Math" w:hAnsi="Cambria Math"/>
              </w:rPr>
              <m:t xml:space="preserve"> </m:t>
            </m:r>
          </m:sub>
        </m:sSub>
      </m:oMath>
      <w:r w:rsidRPr="00BC31E0">
        <w:rPr>
          <w:rFonts w:hint="eastAsia"/>
        </w:rPr>
        <w:t>を用いる。</w:t>
      </w:r>
    </w:p>
    <w:p w14:paraId="724531C7" w14:textId="77777777" w:rsidR="00F52111" w:rsidRPr="00BC31E0" w:rsidRDefault="00F52111" w:rsidP="00894B58">
      <w:pPr>
        <w:rPr>
          <w:rFonts w:ascii="ＭＳ 明朝" w:hAnsi="ＭＳ 明朝"/>
        </w:rPr>
      </w:pPr>
    </w:p>
    <w:p w14:paraId="63939C46" w14:textId="77777777" w:rsidR="00F52111" w:rsidRPr="00BC31E0" w:rsidRDefault="00F52111" w:rsidP="00736130">
      <w:pPr>
        <w:pStyle w:val="1f9"/>
        <w:numPr>
          <w:ilvl w:val="0"/>
          <w:numId w:val="223"/>
        </w:numPr>
        <w:tabs>
          <w:tab w:val="clear" w:pos="284"/>
        </w:tabs>
        <w:adjustRightInd/>
        <w:snapToGrid/>
        <w:spacing w:line="240" w:lineRule="auto"/>
        <w:ind w:left="340" w:hanging="340"/>
        <w:jc w:val="both"/>
      </w:pPr>
      <w:r w:rsidRPr="00BC31E0">
        <w:rPr>
          <w:rFonts w:hint="eastAsia"/>
        </w:rPr>
        <w:t>疲労亀裂進展の計算</w:t>
      </w:r>
    </w:p>
    <w:p w14:paraId="30DF025F" w14:textId="77777777" w:rsidR="00F52111" w:rsidRPr="00BC31E0" w:rsidRDefault="00F52111" w:rsidP="00894B58">
      <w:pPr>
        <w:pStyle w:val="15"/>
        <w:ind w:firstLine="210"/>
      </w:pPr>
      <w:r w:rsidRPr="00BC31E0">
        <w:rPr>
          <w:rFonts w:hint="eastAsia"/>
        </w:rPr>
        <w:t>疲労亀裂進展の計算は，次の</w:t>
      </w:r>
      <w:r w:rsidRPr="00BC31E0">
        <w:rPr>
          <w:rFonts w:ascii="ＭＳ ゴシック" w:hAnsi="ＭＳ ゴシック" w:hint="eastAsia"/>
          <w:b/>
        </w:rPr>
        <w:t>a)</w:t>
      </w:r>
      <w:r w:rsidRPr="00BC31E0">
        <w:rPr>
          <w:rFonts w:hint="eastAsia"/>
        </w:rPr>
        <w:t>～</w:t>
      </w:r>
      <w:r w:rsidRPr="00BC31E0">
        <w:rPr>
          <w:rFonts w:asciiTheme="majorEastAsia" w:eastAsiaTheme="majorEastAsia" w:hAnsiTheme="majorEastAsia" w:hint="eastAsia"/>
          <w:b/>
        </w:rPr>
        <w:t>e)</w:t>
      </w:r>
      <w:r w:rsidRPr="00BC31E0">
        <w:rPr>
          <w:rFonts w:hint="eastAsia"/>
        </w:rPr>
        <w:t>による。</w:t>
      </w:r>
    </w:p>
    <w:p w14:paraId="766AC14A" w14:textId="77777777" w:rsidR="00F52111" w:rsidRPr="00BC31E0" w:rsidRDefault="00F52111" w:rsidP="00736130">
      <w:pPr>
        <w:pStyle w:val="a4"/>
        <w:numPr>
          <w:ilvl w:val="0"/>
          <w:numId w:val="230"/>
        </w:numPr>
        <w:spacing w:after="120"/>
        <w:ind w:leftChars="0" w:left="454" w:hanging="454"/>
      </w:pPr>
      <w:r w:rsidRPr="00BC31E0">
        <w:rPr>
          <w:rFonts w:hint="eastAsia"/>
        </w:rPr>
        <w:t>本体の</w:t>
      </w:r>
      <w:r w:rsidRPr="00BC31E0">
        <w:rPr>
          <w:rFonts w:asciiTheme="majorEastAsia" w:eastAsiaTheme="majorEastAsia" w:hAnsiTheme="majorEastAsia"/>
          <w:b/>
        </w:rPr>
        <w:t>6.4.6</w:t>
      </w:r>
      <w:r w:rsidRPr="00BC31E0">
        <w:rPr>
          <w:rFonts w:hint="eastAsia"/>
        </w:rPr>
        <w:t>より，疲労亀裂進展速度は次式で与えられる。</w:t>
      </w:r>
    </w:p>
    <w:tbl>
      <w:tblPr>
        <w:tblStyle w:val="afff2"/>
        <w:tblW w:w="6378" w:type="dxa"/>
        <w:tblInd w:w="2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2"/>
        <w:gridCol w:w="4236"/>
      </w:tblGrid>
      <w:tr w:rsidR="00F52111" w:rsidRPr="00BC31E0" w14:paraId="744F848B" w14:textId="77777777" w:rsidTr="004736F2">
        <w:tc>
          <w:tcPr>
            <w:tcW w:w="0" w:type="auto"/>
            <w:tcMar>
              <w:left w:w="0" w:type="dxa"/>
              <w:right w:w="0" w:type="dxa"/>
            </w:tcMar>
            <w:vAlign w:val="center"/>
          </w:tcPr>
          <w:p w14:paraId="7886185C" w14:textId="77777777" w:rsidR="00F52111" w:rsidRPr="00BC31E0" w:rsidRDefault="00A51873" w:rsidP="00894B58">
            <w:pPr>
              <w:tabs>
                <w:tab w:val="left" w:pos="2694"/>
                <w:tab w:val="left" w:leader="middleDot" w:pos="8505"/>
              </w:tabs>
            </w:pPr>
            <m:oMathPara>
              <m:oMathParaPr>
                <m:jc m:val="left"/>
              </m:oMathParaPr>
              <m:oMath>
                <m:f>
                  <m:fPr>
                    <m:ctrlPr>
                      <w:rPr>
                        <w:rFonts w:ascii="Cambria Math" w:hAnsi="Cambria Math"/>
                      </w:rPr>
                    </m:ctrlPr>
                  </m:fPr>
                  <m:num>
                    <m:r>
                      <w:rPr>
                        <w:rFonts w:ascii="Cambria Math" w:hAnsi="Cambria Math"/>
                      </w:rPr>
                      <m:t>da</m:t>
                    </m:r>
                  </m:num>
                  <m:den>
                    <m:r>
                      <w:rPr>
                        <w:rFonts w:ascii="Cambria Math" w:hAnsi="Cambria Math"/>
                      </w:rPr>
                      <m:t>dN</m:t>
                    </m:r>
                  </m:den>
                </m:f>
                <m:r>
                  <w:rPr>
                    <w:rFonts w:ascii="Cambria Math" w:hAnsi="Cambria Math"/>
                  </w:rPr>
                  <m:t xml:space="preserve">=C </m:t>
                </m:r>
                <m:d>
                  <m:dPr>
                    <m:begChr m:val="{"/>
                    <m:endChr m:val="}"/>
                    <m:ctrlPr>
                      <w:rPr>
                        <w:rFonts w:ascii="Cambria Math" w:hAnsi="Cambria Math"/>
                      </w:rPr>
                    </m:ctrlPr>
                  </m:dPr>
                  <m:e>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K</m:t>
                            </m:r>
                          </m:sub>
                        </m:sSub>
                      </m:e>
                    </m:d>
                  </m:e>
                </m:d>
                <m:sSup>
                  <m:sSupPr>
                    <m:ctrlPr>
                      <w:rPr>
                        <w:rFonts w:ascii="Cambria Math" w:hAnsi="Cambria Math"/>
                      </w:rPr>
                    </m:ctrlPr>
                  </m:sSupPr>
                  <m:e>
                    <m:r>
                      <w:rPr>
                        <w:rFonts w:ascii="Cambria Math" w:hAnsi="Cambria Math"/>
                      </w:rPr>
                      <m:t xml:space="preserve"> </m:t>
                    </m:r>
                    <m:d>
                      <m:dPr>
                        <m:ctrlPr>
                          <w:rPr>
                            <w:rFonts w:ascii="Cambria Math" w:hAnsi="Cambria Math"/>
                          </w:rPr>
                        </m:ctrlPr>
                      </m:dPr>
                      <m:e>
                        <m:r>
                          <w:rPr>
                            <w:rFonts w:ascii="Cambria Math" w:hAnsi="Cambria Math"/>
                          </w:rPr>
                          <m:t>Δ</m:t>
                        </m:r>
                        <m:sSub>
                          <m:sSubPr>
                            <m:ctrlPr>
                              <w:rPr>
                                <w:rFonts w:ascii="Cambria Math" w:hAnsi="Cambria Math"/>
                                <w:i/>
                              </w:rPr>
                            </m:ctrlPr>
                          </m:sSubPr>
                          <m:e>
                            <m:r>
                              <w:rPr>
                                <w:rFonts w:ascii="Cambria Math" w:hAnsi="Cambria Math"/>
                              </w:rPr>
                              <m:t>K</m:t>
                            </m:r>
                          </m:e>
                          <m:sub>
                            <m:r>
                              <m:rPr>
                                <m:sty m:val="p"/>
                              </m:rPr>
                              <w:rPr>
                                <w:rFonts w:ascii="Cambria Math" w:hAnsi="Cambria Math"/>
                              </w:rPr>
                              <m:t>I</m:t>
                            </m:r>
                          </m:sub>
                        </m:sSub>
                      </m:e>
                    </m:d>
                  </m:e>
                  <m:sup>
                    <m:r>
                      <w:rPr>
                        <w:rFonts w:ascii="Cambria Math" w:hAnsi="Cambria Math"/>
                      </w:rPr>
                      <m:t>m</m:t>
                    </m:r>
                  </m:sup>
                </m:sSup>
              </m:oMath>
            </m:oMathPara>
          </w:p>
        </w:tc>
        <w:tc>
          <w:tcPr>
            <w:tcW w:w="4236" w:type="dxa"/>
            <w:tcMar>
              <w:left w:w="0" w:type="dxa"/>
              <w:right w:w="0" w:type="dxa"/>
            </w:tcMar>
            <w:vAlign w:val="center"/>
          </w:tcPr>
          <w:p w14:paraId="4B617197" w14:textId="77777777" w:rsidR="00F52111" w:rsidRPr="00BC31E0" w:rsidRDefault="00F52111" w:rsidP="00894B58">
            <w:pPr>
              <w:tabs>
                <w:tab w:val="left" w:leader="middleDot" w:pos="3712"/>
              </w:tabs>
            </w:pPr>
            <w:r w:rsidRPr="00BC31E0">
              <w:rPr>
                <w:rFonts w:hint="eastAsia"/>
              </w:rPr>
              <w:tab/>
              <w:t>(32)</w:t>
            </w:r>
          </w:p>
        </w:tc>
      </w:tr>
    </w:tbl>
    <w:p w14:paraId="299CCEC5" w14:textId="77777777" w:rsidR="00F52111" w:rsidRPr="00BC31E0" w:rsidRDefault="00F52111" w:rsidP="00736130">
      <w:pPr>
        <w:pStyle w:val="a4"/>
        <w:numPr>
          <w:ilvl w:val="0"/>
          <w:numId w:val="230"/>
        </w:numPr>
        <w:spacing w:before="120"/>
        <w:ind w:leftChars="0" w:left="454" w:hanging="454"/>
        <w:rPr>
          <w:rFonts w:asciiTheme="minorEastAsia" w:eastAsiaTheme="minorEastAsia" w:hAnsiTheme="minorEastAsia"/>
        </w:rPr>
      </w:pPr>
      <w:r w:rsidRPr="00BC31E0">
        <w:rPr>
          <w:rFonts w:asciiTheme="minorEastAsia" w:eastAsiaTheme="minorEastAsia" w:hAnsiTheme="minorEastAsia" w:hint="eastAsia"/>
        </w:rPr>
        <w:t>関数</w:t>
      </w:r>
      <m:oMath>
        <m:r>
          <w:rPr>
            <w:rFonts w:ascii="Cambria Math" w:eastAsiaTheme="minorEastAsia" w:hAnsi="Cambria Math"/>
          </w:rPr>
          <m:t xml:space="preserve"> f</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K</m:t>
                </m:r>
              </m:sub>
            </m:sSub>
          </m:e>
        </m:d>
        <m:r>
          <m:rPr>
            <m:sty m:val="p"/>
          </m:rPr>
          <w:rPr>
            <w:rFonts w:ascii="Cambria Math" w:eastAsiaTheme="minorEastAsia" w:hAnsi="Cambria Math"/>
          </w:rPr>
          <m:t xml:space="preserve"> </m:t>
        </m:r>
      </m:oMath>
      <w:r w:rsidRPr="00BC31E0">
        <w:rPr>
          <w:rFonts w:asciiTheme="minorEastAsia" w:eastAsiaTheme="minorEastAsia" w:hAnsiTheme="minorEastAsia" w:hint="eastAsia"/>
        </w:rPr>
        <w:t>は応力拡大係数比</w:t>
      </w:r>
      <m:oMath>
        <m:sSub>
          <m:sSubPr>
            <m:ctrlPr>
              <w:rPr>
                <w:rFonts w:ascii="Cambria Math" w:eastAsiaTheme="minorEastAsia" w:hAnsi="Cambria Math"/>
                <w:i/>
              </w:rPr>
            </m:ctrlPr>
          </m:sSubPr>
          <m:e>
            <m:r>
              <w:rPr>
                <w:rFonts w:ascii="Cambria Math" w:eastAsiaTheme="minorEastAsia" w:hAnsi="Cambria Math"/>
              </w:rPr>
              <m:t xml:space="preserve"> R</m:t>
            </m:r>
          </m:e>
          <m:sub>
            <m:r>
              <w:rPr>
                <w:rFonts w:ascii="Cambria Math" w:eastAsiaTheme="minorEastAsia" w:hAnsi="Cambria Math"/>
              </w:rPr>
              <m:t>K</m:t>
            </m:r>
          </m:sub>
        </m:sSub>
        <m:r>
          <m:rPr>
            <m:sty m:val="p"/>
          </m:rPr>
          <w:rPr>
            <w:rFonts w:ascii="Cambria Math" w:eastAsiaTheme="minorEastAsia" w:hAnsi="Cambria Math"/>
          </w:rPr>
          <m:t xml:space="preserve"> </m:t>
        </m:r>
      </m:oMath>
      <w:r w:rsidRPr="00BC31E0">
        <w:rPr>
          <w:rFonts w:asciiTheme="minorEastAsia" w:eastAsiaTheme="minorEastAsia" w:hAnsiTheme="minorEastAsia" w:hint="eastAsia"/>
        </w:rPr>
        <w:t>の正負と材料によって異なり，いくつかの材料に対する</w:t>
      </w:r>
      <m:oMath>
        <m:r>
          <m:rPr>
            <m:sty m:val="p"/>
          </m:rPr>
          <w:rPr>
            <w:rFonts w:ascii="Cambria Math" w:eastAsiaTheme="minorEastAsia" w:hAnsi="Cambria Math"/>
          </w:rPr>
          <m:t xml:space="preserve"> </m:t>
        </m:r>
        <m:r>
          <w:rPr>
            <w:rFonts w:ascii="Cambria Math" w:eastAsiaTheme="minorEastAsia" w:hAnsi="Cambria Math"/>
          </w:rPr>
          <m:t>f</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K</m:t>
                </m:r>
              </m:sub>
            </m:sSub>
          </m:e>
        </m:d>
        <m:r>
          <w:rPr>
            <w:rFonts w:ascii="Cambria Math" w:eastAsiaTheme="minorEastAsia" w:hAnsi="Cambria Math"/>
          </w:rPr>
          <m:t xml:space="preserve"> </m:t>
        </m:r>
      </m:oMath>
      <w:r w:rsidRPr="00BC31E0">
        <w:rPr>
          <w:rFonts w:asciiTheme="minorEastAsia" w:eastAsiaTheme="minorEastAsia" w:hAnsiTheme="minorEastAsia" w:hint="eastAsia"/>
        </w:rPr>
        <w:t>は</w:t>
      </w:r>
      <w:r w:rsidRPr="00BC31E0">
        <w:rPr>
          <w:rFonts w:asciiTheme="majorEastAsia" w:eastAsiaTheme="majorEastAsia" w:hAnsiTheme="majorEastAsia" w:hint="eastAsia"/>
          <w:b/>
        </w:rPr>
        <w:t>表C.3</w:t>
      </w:r>
      <w:r w:rsidRPr="00BC31E0">
        <w:rPr>
          <w:rFonts w:asciiTheme="minorEastAsia" w:eastAsiaTheme="minorEastAsia" w:hAnsiTheme="minorEastAsia" w:hint="eastAsia"/>
        </w:rPr>
        <w:t>で与えられる。</w:t>
      </w:r>
    </w:p>
    <w:p w14:paraId="7FB52238" w14:textId="77777777" w:rsidR="00F52111" w:rsidRPr="00BC31E0" w:rsidRDefault="00F52111" w:rsidP="00736130">
      <w:pPr>
        <w:pStyle w:val="a4"/>
        <w:numPr>
          <w:ilvl w:val="0"/>
          <w:numId w:val="230"/>
        </w:numPr>
        <w:ind w:leftChars="0" w:left="454" w:hanging="454"/>
        <w:rPr>
          <w:rFonts w:asciiTheme="minorEastAsia" w:eastAsiaTheme="minorEastAsia" w:hAnsiTheme="minorEastAsia"/>
        </w:rPr>
      </w:pPr>
      <w:r w:rsidRPr="00BC31E0">
        <w:rPr>
          <w:rFonts w:asciiTheme="minorEastAsia" w:eastAsiaTheme="minorEastAsia" w:hAnsiTheme="minorEastAsia" w:hint="eastAsia"/>
        </w:rPr>
        <w:t>定数</w:t>
      </w:r>
      <m:oMath>
        <m:r>
          <w:rPr>
            <w:rFonts w:ascii="Cambria Math" w:eastAsiaTheme="minorEastAsia" w:hAnsi="Cambria Math"/>
          </w:rPr>
          <m:t xml:space="preserve"> C</m:t>
        </m:r>
        <m:r>
          <m:rPr>
            <m:sty m:val="p"/>
          </m:rPr>
          <w:rPr>
            <w:rFonts w:ascii="Cambria Math" w:eastAsiaTheme="minorEastAsia" w:hAnsi="Cambria Math"/>
          </w:rPr>
          <m:t xml:space="preserve"> </m:t>
        </m:r>
      </m:oMath>
      <w:r w:rsidRPr="00BC31E0">
        <w:rPr>
          <w:rFonts w:asciiTheme="minorEastAsia" w:eastAsiaTheme="minorEastAsia" w:hAnsiTheme="minorEastAsia" w:hint="eastAsia"/>
        </w:rPr>
        <w:t>と</w:t>
      </w:r>
      <m:oMath>
        <m:r>
          <m:rPr>
            <m:sty m:val="p"/>
          </m:rPr>
          <w:rPr>
            <w:rFonts w:ascii="Cambria Math" w:eastAsiaTheme="minorEastAsia" w:hAnsi="Cambria Math"/>
          </w:rPr>
          <m:t xml:space="preserve"> </m:t>
        </m:r>
        <m:r>
          <w:rPr>
            <w:rFonts w:ascii="Cambria Math" w:eastAsiaTheme="minorEastAsia" w:hAnsi="Cambria Math"/>
          </w:rPr>
          <m:t>m</m:t>
        </m:r>
        <m:r>
          <m:rPr>
            <m:sty m:val="p"/>
          </m:rPr>
          <w:rPr>
            <w:rFonts w:ascii="Cambria Math" w:eastAsiaTheme="minorEastAsia" w:hAnsi="Cambria Math"/>
          </w:rPr>
          <m:t xml:space="preserve"> </m:t>
        </m:r>
      </m:oMath>
      <w:r w:rsidRPr="00BC31E0">
        <w:rPr>
          <w:rFonts w:asciiTheme="minorEastAsia" w:eastAsiaTheme="minorEastAsia" w:hAnsiTheme="minorEastAsia" w:hint="eastAsia"/>
        </w:rPr>
        <w:t>の値は，本体の</w:t>
      </w:r>
      <w:r w:rsidRPr="00BC31E0">
        <w:rPr>
          <w:rFonts w:asciiTheme="majorEastAsia" w:eastAsiaTheme="majorEastAsia" w:hAnsiTheme="majorEastAsia" w:hint="eastAsia"/>
          <w:b/>
        </w:rPr>
        <w:t>表</w:t>
      </w:r>
      <w:r w:rsidRPr="00BC31E0">
        <w:rPr>
          <w:rFonts w:asciiTheme="majorEastAsia" w:eastAsiaTheme="majorEastAsia" w:hAnsiTheme="majorEastAsia"/>
          <w:b/>
        </w:rPr>
        <w:t>6.4.1</w:t>
      </w:r>
      <w:r w:rsidRPr="00BC31E0">
        <w:rPr>
          <w:rFonts w:asciiTheme="minorEastAsia" w:eastAsiaTheme="minorEastAsia" w:hAnsiTheme="minorEastAsia" w:hint="eastAsia"/>
        </w:rPr>
        <w:t>で与えられる。</w:t>
      </w:r>
    </w:p>
    <w:p w14:paraId="62EEC98F" w14:textId="77777777" w:rsidR="00F52111" w:rsidRPr="00BC31E0" w:rsidRDefault="00F52111" w:rsidP="00736130">
      <w:pPr>
        <w:pStyle w:val="a4"/>
        <w:numPr>
          <w:ilvl w:val="0"/>
          <w:numId w:val="230"/>
        </w:numPr>
        <w:ind w:leftChars="0" w:left="454" w:hanging="454"/>
        <w:rPr>
          <w:rFonts w:asciiTheme="minorHAnsi" w:eastAsiaTheme="minorEastAsia" w:hAnsiTheme="minorHAnsi"/>
        </w:rPr>
      </w:pPr>
      <w:r w:rsidRPr="00BC31E0">
        <w:rPr>
          <w:rFonts w:asciiTheme="minorHAnsi" w:eastAsiaTheme="minorEastAsia" w:hAnsiTheme="minorEastAsia"/>
        </w:rPr>
        <w:t>標準的な疲労亀裂試験によって，適切な</w:t>
      </w:r>
      <m:oMath>
        <m:sSub>
          <m:sSubPr>
            <m:ctrlPr>
              <w:rPr>
                <w:rFonts w:ascii="Cambria Math" w:eastAsiaTheme="minorEastAsia" w:hAnsi="Cambria Math"/>
                <w:i/>
              </w:rPr>
            </m:ctrlPr>
          </m:sSubPr>
          <m:e>
            <m:r>
              <w:rPr>
                <w:rFonts w:ascii="Cambria Math" w:eastAsiaTheme="minorEastAsia" w:hAnsi="Cambria Math"/>
              </w:rPr>
              <m:t xml:space="preserve"> R</m:t>
            </m:r>
          </m:e>
          <m:sub>
            <m:r>
              <w:rPr>
                <w:rFonts w:ascii="Cambria Math" w:eastAsiaTheme="minorEastAsia" w:hAnsi="Cambria Math"/>
              </w:rPr>
              <m:t>K</m:t>
            </m:r>
          </m:sub>
        </m:sSub>
        <m:r>
          <m:rPr>
            <m:sty m:val="p"/>
          </m:rPr>
          <w:rPr>
            <w:rFonts w:ascii="Cambria Math" w:eastAsiaTheme="minorEastAsia" w:hAnsi="Cambria Math" w:hint="eastAsia"/>
          </w:rPr>
          <m:t xml:space="preserve"> </m:t>
        </m:r>
      </m:oMath>
      <w:r w:rsidRPr="00BC31E0">
        <w:rPr>
          <w:rFonts w:asciiTheme="minorHAnsi" w:eastAsiaTheme="minorEastAsia" w:hAnsiTheme="minorEastAsia"/>
        </w:rPr>
        <w:t>で材料定数が求められている場合には，本体の</w:t>
      </w:r>
      <w:r w:rsidRPr="00BC31E0">
        <w:rPr>
          <w:rFonts w:asciiTheme="majorEastAsia" w:eastAsiaTheme="majorEastAsia" w:hAnsiTheme="majorEastAsia"/>
          <w:b/>
        </w:rPr>
        <w:t>表6.4.1</w:t>
      </w:r>
      <w:r w:rsidRPr="00BC31E0">
        <w:rPr>
          <w:rFonts w:asciiTheme="minorHAnsi" w:eastAsiaTheme="minorEastAsia" w:hAnsiTheme="minorEastAsia"/>
        </w:rPr>
        <w:t>及び</w:t>
      </w:r>
      <w:r w:rsidRPr="00BC31E0">
        <w:rPr>
          <w:rFonts w:asciiTheme="majorEastAsia" w:eastAsiaTheme="majorEastAsia" w:hAnsiTheme="majorEastAsia"/>
          <w:b/>
        </w:rPr>
        <w:t>表C.3</w:t>
      </w:r>
      <w:r w:rsidRPr="00BC31E0">
        <w:rPr>
          <w:rFonts w:asciiTheme="minorHAnsi" w:eastAsiaTheme="minorEastAsia" w:hAnsiTheme="minorEastAsia"/>
        </w:rPr>
        <w:t>で与えられる値以外の値を用い</w:t>
      </w:r>
      <w:r w:rsidR="008F0704" w:rsidRPr="00BC31E0">
        <w:rPr>
          <w:rFonts w:asciiTheme="minorHAnsi" w:eastAsiaTheme="minorEastAsia" w:hAnsiTheme="minorEastAsia" w:hint="eastAsia"/>
        </w:rPr>
        <w:t>てもよい</w:t>
      </w:r>
      <w:r w:rsidRPr="00BC31E0">
        <w:rPr>
          <w:rFonts w:asciiTheme="minorHAnsi" w:eastAsiaTheme="minorEastAsia" w:hAnsiTheme="minorEastAsia"/>
        </w:rPr>
        <w:t>。標準的な疲労亀裂進展試験により，</w:t>
      </w:r>
      <w:r w:rsidRPr="00BC31E0">
        <w:rPr>
          <w:rFonts w:asciiTheme="majorEastAsia" w:eastAsiaTheme="majorEastAsia" w:hAnsiTheme="majorEastAsia"/>
          <w:b/>
        </w:rPr>
        <w:t>表C.3</w:t>
      </w:r>
      <w:r w:rsidRPr="00BC31E0">
        <w:rPr>
          <w:rFonts w:asciiTheme="minorHAnsi" w:eastAsiaTheme="minorEastAsia" w:hAnsiTheme="minorEastAsia"/>
        </w:rPr>
        <w:t>とは異なる</w:t>
      </w:r>
      <m:oMath>
        <m:r>
          <w:rPr>
            <w:rFonts w:ascii="Cambria Math" w:eastAsiaTheme="minorEastAsia" w:hAnsi="Cambria Math"/>
          </w:rPr>
          <m:t>f</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K</m:t>
                </m:r>
              </m:sub>
            </m:sSub>
          </m:e>
        </m:d>
        <m:r>
          <m:rPr>
            <m:sty m:val="p"/>
          </m:rPr>
          <w:rPr>
            <w:rFonts w:ascii="Cambria Math" w:eastAsiaTheme="minorEastAsia" w:hAnsi="Cambria Math" w:hint="eastAsia"/>
          </w:rPr>
          <m:t xml:space="preserve"> </m:t>
        </m:r>
      </m:oMath>
      <w:r w:rsidRPr="00BC31E0">
        <w:rPr>
          <w:rFonts w:asciiTheme="minorHAnsi" w:eastAsiaTheme="minorEastAsia" w:hAnsiTheme="minorEastAsia"/>
        </w:rPr>
        <w:t>の式がより適切であることが示されれば，その式を用い</w:t>
      </w:r>
      <w:r w:rsidR="00DE2184" w:rsidRPr="00BC31E0">
        <w:rPr>
          <w:rFonts w:asciiTheme="minorHAnsi" w:eastAsiaTheme="minorEastAsia" w:hAnsiTheme="minorEastAsia" w:hint="eastAsia"/>
        </w:rPr>
        <w:t>てもよい</w:t>
      </w:r>
      <w:r w:rsidRPr="00BC31E0">
        <w:rPr>
          <w:rFonts w:asciiTheme="minorHAnsi" w:eastAsiaTheme="minorEastAsia" w:hAnsiTheme="minorEastAsia"/>
        </w:rPr>
        <w:t>。</w:t>
      </w:r>
    </w:p>
    <w:p w14:paraId="7DB75FAB" w14:textId="77777777" w:rsidR="00F52111" w:rsidRPr="00BC31E0" w:rsidRDefault="00F52111" w:rsidP="00736130">
      <w:pPr>
        <w:pStyle w:val="a4"/>
        <w:numPr>
          <w:ilvl w:val="0"/>
          <w:numId w:val="230"/>
        </w:numPr>
        <w:ind w:leftChars="0" w:left="454" w:hanging="454"/>
        <w:rPr>
          <w:rFonts w:asciiTheme="minorHAnsi" w:eastAsiaTheme="minorEastAsia" w:hAnsiTheme="minorHAnsi"/>
        </w:rPr>
      </w:pPr>
      <w:r w:rsidRPr="00BC31E0">
        <w:rPr>
          <w:rFonts w:asciiTheme="minorHAnsi" w:eastAsiaTheme="minorEastAsia" w:hAnsiTheme="minorEastAsia"/>
        </w:rPr>
        <w:t>疲労亀裂が進展するのに要する繰返し回数は，適切な疲労亀裂進展則を用い，亀裂深さに比べて十分に小さい亀裂増分</w:t>
      </w:r>
      <m:oMath>
        <m:r>
          <m:rPr>
            <m:sty m:val="p"/>
          </m:rPr>
          <w:rPr>
            <w:rFonts w:ascii="Cambria Math" w:eastAsiaTheme="minorEastAsia" w:hAnsi="Cambria Math"/>
          </w:rPr>
          <m:t xml:space="preserve"> </m:t>
        </m:r>
        <m:r>
          <w:rPr>
            <w:rFonts w:ascii="Cambria Math" w:eastAsiaTheme="minorEastAsia" w:hAnsi="Cambria Math"/>
          </w:rPr>
          <m:t>∆</m:t>
        </m:r>
        <m:r>
          <w:rPr>
            <w:rFonts w:ascii="Cambria Math" w:eastAsiaTheme="minorEastAsia" w:hAnsi="Cambria Math" w:hint="eastAsia"/>
          </w:rPr>
          <m:t>a</m:t>
        </m:r>
        <m:r>
          <m:rPr>
            <m:sty m:val="p"/>
          </m:rPr>
          <w:rPr>
            <w:rFonts w:ascii="Cambria Math" w:eastAsiaTheme="minorEastAsia" w:hAnsi="Cambria Math"/>
          </w:rPr>
          <m:t xml:space="preserve"> </m:t>
        </m:r>
      </m:oMath>
      <w:r w:rsidRPr="00BC31E0">
        <w:rPr>
          <w:rFonts w:asciiTheme="minorHAnsi" w:eastAsiaTheme="minorEastAsia" w:hAnsiTheme="minorEastAsia"/>
        </w:rPr>
        <w:t>の範囲</w:t>
      </w:r>
      <w:r w:rsidRPr="00BC31E0">
        <w:rPr>
          <w:rFonts w:asciiTheme="minorHAnsi" w:eastAsiaTheme="minorEastAsia" w:hAnsiTheme="minorEastAsia" w:hint="eastAsia"/>
        </w:rPr>
        <w:t>内</w:t>
      </w:r>
      <w:r w:rsidRPr="00BC31E0">
        <w:rPr>
          <w:rFonts w:asciiTheme="minorHAnsi" w:eastAsiaTheme="minorEastAsia" w:hAnsiTheme="minorEastAsia"/>
        </w:rPr>
        <w:t>で</w:t>
      </w:r>
      <m:oMath>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K</m:t>
            </m:r>
          </m:e>
          <m:sub>
            <m:r>
              <m:rPr>
                <m:sty m:val="p"/>
              </m:rPr>
              <w:rPr>
                <w:rFonts w:ascii="Cambria Math" w:eastAsiaTheme="minorEastAsia" w:hAnsi="Cambria Math"/>
              </w:rPr>
              <m:t>I</m:t>
            </m:r>
          </m:sub>
        </m:sSub>
        <m:r>
          <w:rPr>
            <w:rFonts w:ascii="Cambria Math" w:eastAsiaTheme="minorEastAsia" w:hAnsi="Cambria Math"/>
          </w:rPr>
          <m:t xml:space="preserve"> </m:t>
        </m:r>
      </m:oMath>
      <w:r w:rsidRPr="00BC31E0">
        <w:rPr>
          <w:rFonts w:asciiTheme="minorHAnsi" w:eastAsiaTheme="minorEastAsia" w:hAnsiTheme="minorEastAsia"/>
        </w:rPr>
        <w:t>の値を一定と仮定して，数値</w:t>
      </w:r>
      <w:r w:rsidRPr="00BC31E0">
        <w:rPr>
          <w:rFonts w:asciiTheme="minorHAnsi" w:eastAsiaTheme="minorEastAsia" w:hAnsiTheme="minorEastAsia" w:hint="eastAsia"/>
        </w:rPr>
        <w:t>的に</w:t>
      </w:r>
      <w:r w:rsidRPr="00BC31E0">
        <w:rPr>
          <w:rFonts w:asciiTheme="minorHAnsi" w:eastAsiaTheme="minorEastAsia" w:hAnsiTheme="minorEastAsia"/>
        </w:rPr>
        <w:t>積分</w:t>
      </w:r>
      <w:r w:rsidRPr="00BC31E0">
        <w:rPr>
          <w:rFonts w:asciiTheme="minorHAnsi" w:eastAsiaTheme="minorEastAsia" w:hAnsiTheme="minorEastAsia" w:hint="eastAsia"/>
        </w:rPr>
        <w:t>することに</w:t>
      </w:r>
      <w:r w:rsidRPr="00BC31E0">
        <w:rPr>
          <w:rFonts w:asciiTheme="minorHAnsi" w:eastAsiaTheme="minorEastAsia" w:hAnsiTheme="minorEastAsia"/>
        </w:rPr>
        <w:t>よ</w:t>
      </w:r>
      <w:r w:rsidRPr="00BC31E0">
        <w:rPr>
          <w:rFonts w:asciiTheme="minorHAnsi" w:eastAsiaTheme="minorEastAsia" w:hAnsiTheme="minorEastAsia" w:hint="eastAsia"/>
        </w:rPr>
        <w:t>り</w:t>
      </w:r>
      <w:r w:rsidRPr="00BC31E0">
        <w:rPr>
          <w:rFonts w:asciiTheme="minorHAnsi" w:eastAsiaTheme="minorEastAsia" w:hAnsiTheme="minorEastAsia"/>
        </w:rPr>
        <w:t>求める。亀裂増分</w:t>
      </w:r>
      <m:oMath>
        <m:r>
          <m:rPr>
            <m:sty m:val="p"/>
          </m:rPr>
          <w:rPr>
            <w:rFonts w:ascii="Cambria Math" w:eastAsiaTheme="minorEastAsia" w:hAnsi="Cambria Math" w:hint="eastAsia"/>
          </w:rPr>
          <m:t xml:space="preserve"> </m:t>
        </m:r>
        <m:r>
          <w:rPr>
            <w:rFonts w:ascii="Cambria Math" w:eastAsiaTheme="minorEastAsia" w:hAnsi="Cambria Math"/>
          </w:rPr>
          <m:t>∆</m:t>
        </m:r>
        <m:r>
          <w:rPr>
            <w:rFonts w:ascii="Cambria Math" w:eastAsiaTheme="minorEastAsia" w:hAnsi="Cambria Math" w:hint="eastAsia"/>
          </w:rPr>
          <m:t>a</m:t>
        </m:r>
        <m:r>
          <m:rPr>
            <m:sty m:val="p"/>
          </m:rPr>
          <w:rPr>
            <w:rFonts w:ascii="Cambria Math" w:eastAsiaTheme="minorEastAsia" w:hAnsi="Cambria Math" w:hint="eastAsia"/>
          </w:rPr>
          <m:t xml:space="preserve"> </m:t>
        </m:r>
      </m:oMath>
      <w:r w:rsidRPr="00BC31E0">
        <w:rPr>
          <w:rFonts w:asciiTheme="minorHAnsi" w:eastAsiaTheme="minorEastAsia" w:hAnsiTheme="minorEastAsia"/>
        </w:rPr>
        <w:t>が十分に小さいことを保証するために，得られた設計許容繰返し回数が</w:t>
      </w:r>
      <m:oMath>
        <m:r>
          <w:rPr>
            <w:rFonts w:ascii="Cambria Math" w:eastAsiaTheme="minorEastAsia" w:hAnsi="Cambria Math"/>
          </w:rPr>
          <m:t>∆</m:t>
        </m:r>
        <m:r>
          <w:rPr>
            <w:rFonts w:ascii="Cambria Math" w:eastAsiaTheme="minorEastAsia" w:hAnsi="Cambria Math" w:hint="eastAsia"/>
          </w:rPr>
          <m:t>a</m:t>
        </m:r>
        <m:r>
          <m:rPr>
            <m:sty m:val="p"/>
          </m:rPr>
          <w:rPr>
            <w:rFonts w:ascii="Cambria Math" w:eastAsiaTheme="minorEastAsia" w:hAnsi="Cambria Math" w:hint="eastAsia"/>
          </w:rPr>
          <m:t xml:space="preserve"> </m:t>
        </m:r>
      </m:oMath>
      <w:r w:rsidRPr="00BC31E0">
        <w:rPr>
          <w:rFonts w:asciiTheme="minorHAnsi" w:eastAsiaTheme="minorEastAsia" w:hAnsiTheme="minorEastAsia"/>
        </w:rPr>
        <w:t>の値にほとんど依存しなくなるまで，</w:t>
      </w:r>
      <m:oMath>
        <m:r>
          <w:rPr>
            <w:rFonts w:ascii="Cambria Math" w:eastAsiaTheme="minorEastAsia" w:hAnsi="Cambria Math"/>
          </w:rPr>
          <m:t>∆</m:t>
        </m:r>
        <m:r>
          <w:rPr>
            <w:rFonts w:ascii="Cambria Math" w:eastAsiaTheme="minorEastAsia" w:hAnsi="Cambria Math" w:hint="eastAsia"/>
          </w:rPr>
          <m:t>a</m:t>
        </m:r>
        <m:r>
          <m:rPr>
            <m:sty m:val="p"/>
          </m:rPr>
          <w:rPr>
            <w:rFonts w:ascii="Cambria Math" w:eastAsiaTheme="minorEastAsia" w:hAnsi="Cambria Math" w:hint="eastAsia"/>
          </w:rPr>
          <m:t xml:space="preserve"> </m:t>
        </m:r>
      </m:oMath>
      <w:r w:rsidRPr="00BC31E0">
        <w:rPr>
          <w:rFonts w:asciiTheme="minorHAnsi" w:eastAsiaTheme="minorEastAsia" w:hAnsiTheme="minorEastAsia"/>
        </w:rPr>
        <w:t>を小さくした計算を繰返し行う必要がある</w:t>
      </w:r>
      <w:r w:rsidRPr="00BC31E0">
        <w:rPr>
          <w:rFonts w:asciiTheme="minorHAnsi" w:eastAsiaTheme="minorEastAsia" w:hAnsiTheme="minorEastAsia" w:hint="eastAsia"/>
        </w:rPr>
        <w:t>。</w:t>
      </w:r>
    </w:p>
    <w:p w14:paraId="7EDE1276" w14:textId="77777777" w:rsidR="00F52111" w:rsidRPr="00BC31E0" w:rsidRDefault="00F52111" w:rsidP="00894B58">
      <w:pPr>
        <w:rPr>
          <w:rFonts w:asciiTheme="minorHAnsi" w:eastAsiaTheme="minorEastAsia" w:hAnsiTheme="minorHAnsi"/>
        </w:rPr>
      </w:pPr>
    </w:p>
    <w:p w14:paraId="28773613" w14:textId="77777777" w:rsidR="00F52111" w:rsidRPr="00BC31E0" w:rsidRDefault="00F52111" w:rsidP="00894B58">
      <w:pPr>
        <w:widowControl/>
        <w:jc w:val="left"/>
        <w:rPr>
          <w:rFonts w:asciiTheme="minorHAnsi" w:eastAsiaTheme="minorEastAsia" w:hAnsiTheme="minorHAnsi"/>
        </w:rPr>
      </w:pPr>
      <w:r w:rsidRPr="00BC31E0">
        <w:rPr>
          <w:rFonts w:asciiTheme="minorHAnsi" w:eastAsiaTheme="minorEastAsia" w:hAnsiTheme="minorHAnsi"/>
        </w:rPr>
        <w:br w:type="page"/>
      </w:r>
    </w:p>
    <w:p w14:paraId="00623E77" w14:textId="77777777" w:rsidR="00F52111" w:rsidRPr="00BC31E0" w:rsidRDefault="00F52111" w:rsidP="00B06719">
      <w:pPr>
        <w:pStyle w:val="af4"/>
      </w:pPr>
      <w:r w:rsidRPr="00BC31E0">
        <w:rPr>
          <w:rFonts w:hint="eastAsia"/>
        </w:rPr>
        <w:lastRenderedPageBreak/>
        <w:t>表C.3　疲労亀裂進展速度の</w:t>
      </w:r>
      <m:oMath>
        <m:sSub>
          <m:sSubPr>
            <m:ctrlPr>
              <w:rPr>
                <w:rFonts w:ascii="Cambria Math" w:eastAsiaTheme="minorEastAsia" w:hAnsi="Cambria Math"/>
                <w:i/>
              </w:rPr>
            </m:ctrlPr>
          </m:sSubPr>
          <m:e>
            <m:r>
              <m:rPr>
                <m:sty m:val="bi"/>
              </m:rPr>
              <w:rPr>
                <w:rFonts w:ascii="Cambria Math" w:eastAsiaTheme="minorEastAsia" w:hAnsi="Cambria Math"/>
              </w:rPr>
              <m:t xml:space="preserve"> R</m:t>
            </m:r>
          </m:e>
          <m:sub>
            <m:r>
              <m:rPr>
                <m:sty m:val="bi"/>
              </m:rPr>
              <w:rPr>
                <w:rFonts w:ascii="Cambria Math" w:eastAsiaTheme="minorEastAsia" w:hAnsi="Cambria Math"/>
              </w:rPr>
              <m:t>K</m:t>
            </m:r>
          </m:sub>
        </m:sSub>
        <m:r>
          <m:rPr>
            <m:sty m:val="b"/>
          </m:rPr>
          <w:rPr>
            <w:rFonts w:ascii="Cambria Math" w:hAnsi="Cambria Math" w:hint="eastAsia"/>
          </w:rPr>
          <m:t xml:space="preserve"> </m:t>
        </m:r>
      </m:oMath>
      <w:r w:rsidRPr="00BC31E0">
        <w:rPr>
          <w:rFonts w:hint="eastAsia"/>
        </w:rPr>
        <w:t>依存特性</w:t>
      </w:r>
    </w:p>
    <w:tbl>
      <w:tblPr>
        <w:tblStyle w:val="afff2"/>
        <w:tblW w:w="0" w:type="auto"/>
        <w:jc w:val="center"/>
        <w:tblLayout w:type="fixed"/>
        <w:tblLook w:val="04A0" w:firstRow="1" w:lastRow="0" w:firstColumn="1" w:lastColumn="0" w:noHBand="0" w:noVBand="1"/>
      </w:tblPr>
      <w:tblGrid>
        <w:gridCol w:w="2568"/>
        <w:gridCol w:w="2025"/>
        <w:gridCol w:w="2977"/>
      </w:tblGrid>
      <w:tr w:rsidR="00F52111" w:rsidRPr="00BC31E0" w14:paraId="770ADC38" w14:textId="77777777" w:rsidTr="004736F2">
        <w:trPr>
          <w:jc w:val="center"/>
        </w:trPr>
        <w:tc>
          <w:tcPr>
            <w:tcW w:w="2568" w:type="dxa"/>
            <w:vAlign w:val="center"/>
          </w:tcPr>
          <w:p w14:paraId="5402FA40" w14:textId="77777777" w:rsidR="00F52111" w:rsidRPr="00BC31E0" w:rsidRDefault="00F52111" w:rsidP="004736F2">
            <w:pPr>
              <w:spacing w:line="360" w:lineRule="atLeast"/>
              <w:jc w:val="center"/>
            </w:pPr>
            <w:r w:rsidRPr="00BC31E0">
              <w:rPr>
                <w:rFonts w:hint="eastAsia"/>
              </w:rPr>
              <w:t>材料</w:t>
            </w:r>
          </w:p>
        </w:tc>
        <w:tc>
          <w:tcPr>
            <w:tcW w:w="5002" w:type="dxa"/>
            <w:gridSpan w:val="2"/>
            <w:tcBorders>
              <w:bottom w:val="single" w:sz="4" w:space="0" w:color="000000"/>
            </w:tcBorders>
            <w:vAlign w:val="center"/>
          </w:tcPr>
          <w:p w14:paraId="11474ABD" w14:textId="77777777" w:rsidR="00F52111" w:rsidRPr="00BC31E0" w:rsidRDefault="00F52111" w:rsidP="004736F2">
            <w:pPr>
              <w:tabs>
                <w:tab w:val="left" w:pos="2302"/>
                <w:tab w:val="left" w:leader="middleDot" w:pos="8505"/>
              </w:tabs>
              <w:jc w:val="center"/>
              <w:rPr>
                <w:rFonts w:ascii="ＭＳ 明朝" w:hAnsi="ＭＳ 明朝"/>
              </w:rPr>
            </w:pPr>
            <m:oMathPara>
              <m:oMath>
                <m:r>
                  <w:rPr>
                    <w:rFonts w:ascii="Cambria Math" w:eastAsiaTheme="minorEastAsia" w:hAnsi="Cambria Math"/>
                  </w:rPr>
                  <m:t>f</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K</m:t>
                        </m:r>
                      </m:sub>
                    </m:sSub>
                  </m:e>
                </m:d>
              </m:oMath>
            </m:oMathPara>
          </w:p>
        </w:tc>
      </w:tr>
      <w:tr w:rsidR="00F52111" w:rsidRPr="00BC31E0" w14:paraId="39C7BD61" w14:textId="77777777" w:rsidTr="004736F2">
        <w:trPr>
          <w:trHeight w:val="591"/>
          <w:jc w:val="center"/>
        </w:trPr>
        <w:tc>
          <w:tcPr>
            <w:tcW w:w="2568" w:type="dxa"/>
            <w:vMerge w:val="restart"/>
            <w:vAlign w:val="center"/>
          </w:tcPr>
          <w:p w14:paraId="76AF4CF2" w14:textId="77777777" w:rsidR="00F52111" w:rsidRPr="00BC31E0" w:rsidRDefault="00F52111" w:rsidP="004736F2">
            <w:r w:rsidRPr="00BC31E0">
              <w:rPr>
                <w:rFonts w:hint="eastAsia"/>
              </w:rPr>
              <w:t>炭素鋼及び低合金鋼</w:t>
            </w:r>
          </w:p>
          <w:p w14:paraId="3E27E2D0" w14:textId="77777777" w:rsidR="00F52111" w:rsidRPr="00BC31E0" w:rsidRDefault="00F52111" w:rsidP="004736F2">
            <w:pPr>
              <w:snapToGrid w:val="0"/>
              <w:jc w:val="center"/>
              <w:rPr>
                <w:rFonts w:ascii="ＭＳ 明朝"/>
              </w:rPr>
            </w:pPr>
            <w:r w:rsidRPr="00BC31E0">
              <w:rPr>
                <w:rFonts w:hint="eastAsia"/>
                <w:bCs/>
              </w:rPr>
              <w:t>(</w:t>
            </w:r>
            <m:oMath>
              <m:sSub>
                <m:sSubPr>
                  <m:ctrlPr>
                    <w:rPr>
                      <w:rFonts w:ascii="Cambria Math" w:hAnsi="Cambria Math"/>
                      <w:bCs/>
                      <w:i/>
                    </w:rPr>
                  </m:ctrlPr>
                </m:sSubPr>
                <m:e>
                  <m:r>
                    <w:rPr>
                      <w:rFonts w:ascii="Cambria Math" w:hAnsi="Cambria Math" w:hint="eastAsia"/>
                    </w:rPr>
                    <m:t>S</m:t>
                  </m:r>
                </m:e>
                <m:sub>
                  <m:r>
                    <w:rPr>
                      <w:rFonts w:ascii="Cambria Math" w:hAnsi="Cambria Math"/>
                    </w:rPr>
                    <m:t>y</m:t>
                  </m:r>
                </m:sub>
              </m:sSub>
              <m:r>
                <w:rPr>
                  <w:rFonts w:ascii="Cambria Math" w:hAnsi="Cambria Math" w:hint="eastAsia"/>
                </w:rPr>
                <m:t>≦</m:t>
              </m:r>
              <m:r>
                <w:rPr>
                  <w:rFonts w:ascii="Cambria Math" w:hAnsi="Cambria Math" w:hint="eastAsia"/>
                </w:rPr>
                <m:t>620</m:t>
              </m:r>
              <m:r>
                <m:rPr>
                  <m:sty m:val="p"/>
                </m:rPr>
                <w:rPr>
                  <w:rFonts w:ascii="Cambria Math" w:hAnsi="Cambria Math" w:hint="eastAsia"/>
                </w:rPr>
                <m:t xml:space="preserve"> </m:t>
              </m:r>
              <m:r>
                <m:rPr>
                  <m:sty m:val="p"/>
                </m:rPr>
                <w:rPr>
                  <w:rFonts w:ascii="Cambria Math" w:hAnsi="Cambria Math"/>
                </w:rPr>
                <m:t>MPa</m:t>
              </m:r>
            </m:oMath>
            <w:r w:rsidRPr="00BC31E0">
              <w:rPr>
                <w:rFonts w:hint="eastAsia"/>
              </w:rPr>
              <w:t>)</w:t>
            </w:r>
          </w:p>
        </w:tc>
        <w:tc>
          <w:tcPr>
            <w:tcW w:w="2025" w:type="dxa"/>
            <w:tcBorders>
              <w:bottom w:val="nil"/>
              <w:right w:val="nil"/>
            </w:tcBorders>
            <w:vAlign w:val="center"/>
          </w:tcPr>
          <w:p w14:paraId="1B352BFE" w14:textId="77777777" w:rsidR="00F52111" w:rsidRPr="00BC31E0" w:rsidRDefault="00F52111" w:rsidP="004736F2">
            <w:pPr>
              <w:tabs>
                <w:tab w:val="left" w:pos="1986"/>
                <w:tab w:val="left" w:leader="middleDot" w:pos="8505"/>
              </w:tabs>
              <w:snapToGrid w:val="0"/>
              <w:spacing w:before="60" w:after="60"/>
              <w:rPr>
                <w:rFonts w:ascii="ＭＳ 明朝" w:hAnsi="ＭＳ 明朝"/>
                <w:position w:val="-10"/>
              </w:rPr>
            </w:pPr>
            <m:oMath>
              <m:r>
                <w:rPr>
                  <w:rFonts w:ascii="Cambria Math" w:hAnsi="Cambria Math"/>
                </w:rPr>
                <m:t>0</m:t>
              </m:r>
              <m:r>
                <w:rPr>
                  <w:rFonts w:ascii="Cambria Math" w:hAnsi="Cambria Math" w:hint="eastAsia"/>
                </w:rPr>
                <m:t>≦</m:t>
              </m:r>
              <m:sSub>
                <m:sSubPr>
                  <m:ctrlPr>
                    <w:rPr>
                      <w:rFonts w:ascii="Cambria Math" w:hAnsi="Cambria Math"/>
                      <w:i/>
                    </w:rPr>
                  </m:ctrlPr>
                </m:sSubPr>
                <m:e>
                  <m:r>
                    <w:rPr>
                      <w:rFonts w:ascii="Cambria Math" w:hAnsi="Cambria Math"/>
                    </w:rPr>
                    <m:t>R</m:t>
                  </m:r>
                </m:e>
                <m:sub>
                  <m:r>
                    <w:rPr>
                      <w:rFonts w:ascii="Cambria Math" w:hAnsi="Cambria Math"/>
                    </w:rPr>
                    <m:t>K</m:t>
                  </m:r>
                </m:sub>
              </m:sSub>
              <m:r>
                <w:rPr>
                  <w:rFonts w:ascii="Cambria Math" w:hAnsi="Cambria Math"/>
                </w:rPr>
                <m:t>&lt;1</m:t>
              </m:r>
            </m:oMath>
            <w:r w:rsidRPr="00BC31E0">
              <w:rPr>
                <w:rFonts w:ascii="ＭＳ 明朝" w:hAnsi="ＭＳ 明朝"/>
              </w:rPr>
              <w:tab/>
            </w:r>
          </w:p>
        </w:tc>
        <w:tc>
          <w:tcPr>
            <w:tcW w:w="2977" w:type="dxa"/>
            <w:tcBorders>
              <w:left w:val="nil"/>
              <w:bottom w:val="nil"/>
            </w:tcBorders>
            <w:vAlign w:val="center"/>
          </w:tcPr>
          <w:p w14:paraId="61E56E5C" w14:textId="77777777" w:rsidR="00F52111" w:rsidRPr="00BC31E0" w:rsidRDefault="00F52111" w:rsidP="004736F2">
            <w:pPr>
              <w:tabs>
                <w:tab w:val="left" w:leader="middleDot" w:pos="8505"/>
              </w:tabs>
              <w:snapToGrid w:val="0"/>
              <w:spacing w:before="60" w:after="60"/>
              <w:rPr>
                <w:rFonts w:ascii="ＭＳ 明朝" w:hAnsi="ＭＳ 明朝"/>
                <w:i/>
              </w:rPr>
            </w:pPr>
            <m:oMathPara>
              <m:oMathParaPr>
                <m:jc m:val="left"/>
              </m:oMathParaPr>
              <m:oMath>
                <m:r>
                  <w:rPr>
                    <w:rFonts w:ascii="Cambria Math" w:eastAsiaTheme="minorEastAsia" w:hAnsi="Cambria Math"/>
                  </w:rPr>
                  <m:t>f</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K</m:t>
                        </m:r>
                      </m:sub>
                    </m:sSub>
                  </m:e>
                </m:d>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2.88</m:t>
                            </m:r>
                          </m:num>
                          <m:den>
                            <m:r>
                              <w:rPr>
                                <w:rFonts w:ascii="Cambria Math" w:eastAsiaTheme="minorEastAsia" w:hAnsi="Cambria Math"/>
                              </w:rPr>
                              <m:t>2.88-</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K</m:t>
                                </m:r>
                              </m:sub>
                            </m:sSub>
                          </m:den>
                        </m:f>
                      </m:e>
                    </m:d>
                  </m:e>
                  <m:sup>
                    <m:r>
                      <w:rPr>
                        <w:rFonts w:ascii="Cambria Math" w:eastAsiaTheme="minorEastAsia" w:hAnsi="Cambria Math"/>
                      </w:rPr>
                      <m:t>m</m:t>
                    </m:r>
                  </m:sup>
                </m:sSup>
              </m:oMath>
            </m:oMathPara>
          </w:p>
        </w:tc>
      </w:tr>
      <w:tr w:rsidR="00F52111" w:rsidRPr="00BC31E0" w14:paraId="27A7E341" w14:textId="77777777" w:rsidTr="004736F2">
        <w:trPr>
          <w:trHeight w:val="590"/>
          <w:jc w:val="center"/>
        </w:trPr>
        <w:tc>
          <w:tcPr>
            <w:tcW w:w="2568" w:type="dxa"/>
            <w:vMerge/>
            <w:vAlign w:val="center"/>
          </w:tcPr>
          <w:p w14:paraId="3EB8F2AD" w14:textId="77777777" w:rsidR="00F52111" w:rsidRPr="00BC31E0" w:rsidRDefault="00F52111" w:rsidP="004736F2"/>
        </w:tc>
        <w:tc>
          <w:tcPr>
            <w:tcW w:w="2025" w:type="dxa"/>
            <w:tcBorders>
              <w:top w:val="nil"/>
              <w:bottom w:val="single" w:sz="4" w:space="0" w:color="000000"/>
              <w:right w:val="nil"/>
            </w:tcBorders>
            <w:vAlign w:val="center"/>
          </w:tcPr>
          <w:p w14:paraId="5842B8C7" w14:textId="77777777" w:rsidR="00F52111" w:rsidRPr="00BC31E0" w:rsidRDefault="00A51873" w:rsidP="004736F2">
            <w:pPr>
              <w:tabs>
                <w:tab w:val="left" w:pos="1986"/>
                <w:tab w:val="left" w:leader="middleDot" w:pos="8505"/>
              </w:tabs>
              <w:snapToGrid w:val="0"/>
              <w:spacing w:before="60" w:after="60"/>
              <w:rPr>
                <w:rFonts w:ascii="ＭＳ 明朝"/>
              </w:rPr>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K</m:t>
                    </m:r>
                  </m:sub>
                </m:sSub>
                <m:r>
                  <w:rPr>
                    <w:rFonts w:ascii="Cambria Math" w:hAnsi="Cambria Math"/>
                  </w:rPr>
                  <m:t>&lt;0</m:t>
                </m:r>
              </m:oMath>
            </m:oMathPara>
          </w:p>
        </w:tc>
        <w:tc>
          <w:tcPr>
            <w:tcW w:w="2977" w:type="dxa"/>
            <w:tcBorders>
              <w:top w:val="nil"/>
              <w:left w:val="nil"/>
              <w:bottom w:val="single" w:sz="4" w:space="0" w:color="000000"/>
            </w:tcBorders>
            <w:vAlign w:val="center"/>
          </w:tcPr>
          <w:p w14:paraId="12B793A5" w14:textId="77777777" w:rsidR="00F52111" w:rsidRPr="00BC31E0" w:rsidRDefault="00F52111" w:rsidP="004736F2">
            <w:pPr>
              <w:tabs>
                <w:tab w:val="left" w:pos="1986"/>
                <w:tab w:val="left" w:leader="middleDot" w:pos="8505"/>
              </w:tabs>
              <w:snapToGrid w:val="0"/>
              <w:spacing w:before="60" w:after="60"/>
              <w:rPr>
                <w:rFonts w:ascii="ＭＳ 明朝"/>
              </w:rPr>
            </w:pPr>
            <m:oMathPara>
              <m:oMathParaPr>
                <m:jc m:val="left"/>
              </m:oMathParaPr>
              <m:oMath>
                <m:r>
                  <w:rPr>
                    <w:rFonts w:ascii="Cambria Math" w:eastAsiaTheme="minorEastAsia" w:hAnsi="Cambria Math"/>
                  </w:rPr>
                  <m:t>f</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K</m:t>
                        </m:r>
                      </m:sub>
                    </m:sSub>
                  </m:e>
                </m:d>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1.0</m:t>
                            </m:r>
                          </m:num>
                          <m:den>
                            <m:r>
                              <w:rPr>
                                <w:rFonts w:ascii="Cambria Math" w:eastAsiaTheme="minorEastAsia" w:hAnsi="Cambria Math"/>
                              </w:rPr>
                              <m:t>1.0-</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K</m:t>
                                </m:r>
                              </m:sub>
                            </m:sSub>
                          </m:den>
                        </m:f>
                      </m:e>
                    </m:d>
                  </m:e>
                  <m:sup>
                    <m:r>
                      <w:rPr>
                        <w:rFonts w:ascii="Cambria Math" w:eastAsiaTheme="minorEastAsia" w:hAnsi="Cambria Math"/>
                      </w:rPr>
                      <m:t>m</m:t>
                    </m:r>
                  </m:sup>
                </m:sSup>
              </m:oMath>
            </m:oMathPara>
          </w:p>
        </w:tc>
      </w:tr>
      <w:tr w:rsidR="00F52111" w:rsidRPr="00BC31E0" w14:paraId="4CD2596E" w14:textId="77777777" w:rsidTr="004736F2">
        <w:trPr>
          <w:trHeight w:val="454"/>
          <w:jc w:val="center"/>
        </w:trPr>
        <w:tc>
          <w:tcPr>
            <w:tcW w:w="2568" w:type="dxa"/>
            <w:vMerge w:val="restart"/>
            <w:vAlign w:val="center"/>
          </w:tcPr>
          <w:p w14:paraId="6EC604EF" w14:textId="77777777" w:rsidR="00F52111" w:rsidRPr="00BC31E0" w:rsidRDefault="00F52111" w:rsidP="004736F2">
            <w:pPr>
              <w:rPr>
                <w:bCs/>
              </w:rPr>
            </w:pPr>
            <w:r w:rsidRPr="00BC31E0">
              <w:rPr>
                <w:rFonts w:hint="eastAsia"/>
                <w:bCs/>
              </w:rPr>
              <w:t>高強度低合金鋼</w:t>
            </w:r>
          </w:p>
          <w:p w14:paraId="3DB83A3D" w14:textId="77777777" w:rsidR="00F52111" w:rsidRPr="00BC31E0" w:rsidRDefault="00F52111" w:rsidP="004736F2">
            <w:pPr>
              <w:jc w:val="center"/>
              <w:rPr>
                <w:bCs/>
              </w:rPr>
            </w:pPr>
            <w:r w:rsidRPr="00BC31E0">
              <w:rPr>
                <w:rFonts w:hint="eastAsia"/>
                <w:bCs/>
              </w:rPr>
              <w:t>(</w:t>
            </w:r>
            <m:oMath>
              <m:sSub>
                <m:sSubPr>
                  <m:ctrlPr>
                    <w:rPr>
                      <w:rFonts w:ascii="Cambria Math" w:hAnsi="Cambria Math"/>
                      <w:bCs/>
                      <w:i/>
                    </w:rPr>
                  </m:ctrlPr>
                </m:sSubPr>
                <m:e>
                  <m:r>
                    <w:rPr>
                      <w:rFonts w:ascii="Cambria Math" w:hAnsi="Cambria Math" w:hint="eastAsia"/>
                    </w:rPr>
                    <m:t>S</m:t>
                  </m:r>
                </m:e>
                <m:sub>
                  <m:r>
                    <w:rPr>
                      <w:rFonts w:ascii="Cambria Math" w:hAnsi="Cambria Math"/>
                    </w:rPr>
                    <m:t>y</m:t>
                  </m:r>
                </m:sub>
              </m:sSub>
              <m:r>
                <m:rPr>
                  <m:sty m:val="p"/>
                </m:rPr>
                <w:rPr>
                  <w:rFonts w:ascii="Cambria Math" w:hAnsi="Cambria Math"/>
                </w:rPr>
                <m:t>&gt;</m:t>
              </m:r>
              <m:r>
                <w:rPr>
                  <w:rFonts w:ascii="Cambria Math" w:hAnsi="Cambria Math" w:hint="eastAsia"/>
                </w:rPr>
                <m:t>620</m:t>
              </m:r>
              <m:r>
                <m:rPr>
                  <m:sty m:val="p"/>
                </m:rPr>
                <w:rPr>
                  <w:rFonts w:ascii="Cambria Math" w:hAnsi="Cambria Math" w:hint="eastAsia"/>
                </w:rPr>
                <m:t xml:space="preserve"> </m:t>
              </m:r>
              <m:r>
                <m:rPr>
                  <m:sty m:val="p"/>
                </m:rPr>
                <w:rPr>
                  <w:rFonts w:ascii="Cambria Math" w:hAnsi="Cambria Math"/>
                </w:rPr>
                <m:t>MPa</m:t>
              </m:r>
            </m:oMath>
            <w:r w:rsidRPr="00BC31E0">
              <w:rPr>
                <w:rFonts w:hint="eastAsia"/>
              </w:rPr>
              <w:t>)</w:t>
            </w:r>
          </w:p>
        </w:tc>
        <w:tc>
          <w:tcPr>
            <w:tcW w:w="2025" w:type="dxa"/>
            <w:tcBorders>
              <w:bottom w:val="nil"/>
              <w:right w:val="nil"/>
            </w:tcBorders>
            <w:vAlign w:val="center"/>
          </w:tcPr>
          <w:p w14:paraId="5F9F01E9" w14:textId="77777777" w:rsidR="00F52111" w:rsidRPr="00BC31E0" w:rsidRDefault="00F52111" w:rsidP="004736F2">
            <w:pPr>
              <w:tabs>
                <w:tab w:val="left" w:pos="1986"/>
              </w:tabs>
              <w:snapToGrid w:val="0"/>
              <w:rPr>
                <w:rFonts w:ascii="ＭＳ 明朝" w:hAnsi="ＭＳ 明朝"/>
              </w:rPr>
            </w:pPr>
            <m:oMathPara>
              <m:oMathParaPr>
                <m:jc m:val="left"/>
              </m:oMathParaPr>
              <m:oMath>
                <m:r>
                  <w:rPr>
                    <w:rFonts w:ascii="Cambria Math" w:hAnsi="Cambria Math"/>
                  </w:rPr>
                  <m:t>0</m:t>
                </m:r>
                <m:r>
                  <w:rPr>
                    <w:rFonts w:ascii="Cambria Math" w:hAnsi="Cambria Math" w:hint="eastAsia"/>
                  </w:rPr>
                  <m:t>≦</m:t>
                </m:r>
                <m:sSub>
                  <m:sSubPr>
                    <m:ctrlPr>
                      <w:rPr>
                        <w:rFonts w:ascii="Cambria Math" w:hAnsi="Cambria Math"/>
                        <w:i/>
                      </w:rPr>
                    </m:ctrlPr>
                  </m:sSubPr>
                  <m:e>
                    <m:r>
                      <w:rPr>
                        <w:rFonts w:ascii="Cambria Math" w:hAnsi="Cambria Math"/>
                      </w:rPr>
                      <m:t>R</m:t>
                    </m:r>
                  </m:e>
                  <m:sub>
                    <m:r>
                      <w:rPr>
                        <w:rFonts w:ascii="Cambria Math" w:hAnsi="Cambria Math"/>
                      </w:rPr>
                      <m:t>K</m:t>
                    </m:r>
                  </m:sub>
                </m:sSub>
                <m:r>
                  <w:rPr>
                    <w:rFonts w:ascii="Cambria Math" w:hAnsi="Cambria Math"/>
                  </w:rPr>
                  <m:t>&lt;1</m:t>
                </m:r>
              </m:oMath>
            </m:oMathPara>
          </w:p>
        </w:tc>
        <w:tc>
          <w:tcPr>
            <w:tcW w:w="2977" w:type="dxa"/>
            <w:tcBorders>
              <w:left w:val="nil"/>
              <w:bottom w:val="nil"/>
            </w:tcBorders>
            <w:vAlign w:val="center"/>
          </w:tcPr>
          <w:p w14:paraId="721939FB" w14:textId="77777777" w:rsidR="00F52111" w:rsidRPr="00BC31E0" w:rsidRDefault="00F52111" w:rsidP="004736F2">
            <w:pPr>
              <w:tabs>
                <w:tab w:val="left" w:pos="1986"/>
              </w:tabs>
              <w:snapToGrid w:val="0"/>
              <w:rPr>
                <w:rFonts w:ascii="ＭＳ 明朝"/>
              </w:rPr>
            </w:pPr>
            <m:oMathPara>
              <m:oMathParaPr>
                <m:jc m:val="left"/>
              </m:oMathParaPr>
              <m:oMath>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K</m:t>
                        </m:r>
                      </m:sub>
                    </m:sSub>
                  </m:e>
                </m:d>
                <m:r>
                  <w:rPr>
                    <w:rFonts w:ascii="Cambria Math" w:hAnsi="Cambria Math"/>
                  </w:rPr>
                  <m:t xml:space="preserve">=1.0+3.53 </m:t>
                </m:r>
                <m:sSub>
                  <m:sSubPr>
                    <m:ctrlPr>
                      <w:rPr>
                        <w:rFonts w:ascii="Cambria Math" w:hAnsi="Cambria Math"/>
                        <w:i/>
                      </w:rPr>
                    </m:ctrlPr>
                  </m:sSubPr>
                  <m:e>
                    <m:r>
                      <w:rPr>
                        <w:rFonts w:ascii="Cambria Math" w:hAnsi="Cambria Math"/>
                      </w:rPr>
                      <m:t>R</m:t>
                    </m:r>
                  </m:e>
                  <m:sub>
                    <m:r>
                      <w:rPr>
                        <w:rFonts w:ascii="Cambria Math" w:hAnsi="Cambria Math"/>
                      </w:rPr>
                      <m:t>K</m:t>
                    </m:r>
                  </m:sub>
                </m:sSub>
              </m:oMath>
            </m:oMathPara>
          </w:p>
        </w:tc>
      </w:tr>
      <w:tr w:rsidR="00F52111" w:rsidRPr="00BC31E0" w14:paraId="2F6ACB69" w14:textId="77777777" w:rsidTr="004736F2">
        <w:trPr>
          <w:trHeight w:val="603"/>
          <w:jc w:val="center"/>
        </w:trPr>
        <w:tc>
          <w:tcPr>
            <w:tcW w:w="2568" w:type="dxa"/>
            <w:vMerge/>
            <w:vAlign w:val="center"/>
          </w:tcPr>
          <w:p w14:paraId="3CBDA58E" w14:textId="77777777" w:rsidR="00F52111" w:rsidRPr="00BC31E0" w:rsidRDefault="00F52111" w:rsidP="004736F2">
            <w:pPr>
              <w:rPr>
                <w:bCs/>
              </w:rPr>
            </w:pPr>
          </w:p>
        </w:tc>
        <w:tc>
          <w:tcPr>
            <w:tcW w:w="2025" w:type="dxa"/>
            <w:tcBorders>
              <w:top w:val="nil"/>
              <w:bottom w:val="single" w:sz="4" w:space="0" w:color="000000"/>
              <w:right w:val="nil"/>
            </w:tcBorders>
            <w:vAlign w:val="center"/>
          </w:tcPr>
          <w:p w14:paraId="52851532" w14:textId="77777777" w:rsidR="00F52111" w:rsidRPr="00BC31E0" w:rsidRDefault="00A51873" w:rsidP="004736F2">
            <w:pPr>
              <w:tabs>
                <w:tab w:val="left" w:pos="1986"/>
              </w:tabs>
              <w:snapToGrid w:val="0"/>
              <w:spacing w:before="60" w:after="60"/>
              <w:rPr>
                <w:rFonts w:ascii="ＭＳ 明朝" w:hAnsi="ＭＳ 明朝"/>
              </w:rPr>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K</m:t>
                    </m:r>
                  </m:sub>
                </m:sSub>
                <m:r>
                  <w:rPr>
                    <w:rFonts w:ascii="Cambria Math" w:hAnsi="Cambria Math"/>
                  </w:rPr>
                  <m:t>&lt;0</m:t>
                </m:r>
              </m:oMath>
            </m:oMathPara>
          </w:p>
        </w:tc>
        <w:tc>
          <w:tcPr>
            <w:tcW w:w="2977" w:type="dxa"/>
            <w:tcBorders>
              <w:top w:val="nil"/>
              <w:left w:val="nil"/>
              <w:bottom w:val="single" w:sz="4" w:space="0" w:color="000000"/>
            </w:tcBorders>
            <w:vAlign w:val="center"/>
          </w:tcPr>
          <w:p w14:paraId="568B0C7C" w14:textId="77777777" w:rsidR="00F52111" w:rsidRPr="00BC31E0" w:rsidRDefault="00F52111" w:rsidP="004736F2">
            <w:pPr>
              <w:tabs>
                <w:tab w:val="left" w:pos="1986"/>
              </w:tabs>
              <w:snapToGrid w:val="0"/>
              <w:spacing w:before="60" w:after="60"/>
              <w:rPr>
                <w:rFonts w:ascii="ＭＳ 明朝" w:hAnsi="ＭＳ 明朝"/>
              </w:rPr>
            </w:pPr>
            <m:oMathPara>
              <m:oMathParaPr>
                <m:jc m:val="left"/>
              </m:oMathParaPr>
              <m:oMath>
                <m:r>
                  <w:rPr>
                    <w:rFonts w:ascii="Cambria Math" w:eastAsiaTheme="minorEastAsia" w:hAnsi="Cambria Math"/>
                  </w:rPr>
                  <m:t>f</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K</m:t>
                        </m:r>
                      </m:sub>
                    </m:sSub>
                  </m:e>
                </m:d>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1.5</m:t>
                            </m:r>
                          </m:num>
                          <m:den>
                            <m:r>
                              <w:rPr>
                                <w:rFonts w:ascii="Cambria Math" w:eastAsiaTheme="minorEastAsia" w:hAnsi="Cambria Math"/>
                              </w:rPr>
                              <m:t>1.5-</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K</m:t>
                                </m:r>
                              </m:sub>
                            </m:sSub>
                          </m:den>
                        </m:f>
                      </m:e>
                    </m:d>
                  </m:e>
                  <m:sup>
                    <m:r>
                      <w:rPr>
                        <w:rFonts w:ascii="Cambria Math" w:eastAsiaTheme="minorEastAsia" w:hAnsi="Cambria Math"/>
                      </w:rPr>
                      <m:t>m</m:t>
                    </m:r>
                  </m:sup>
                </m:sSup>
              </m:oMath>
            </m:oMathPara>
          </w:p>
        </w:tc>
      </w:tr>
      <w:tr w:rsidR="00F52111" w:rsidRPr="00BC31E0" w14:paraId="344E5181" w14:textId="77777777" w:rsidTr="004736F2">
        <w:trPr>
          <w:trHeight w:val="454"/>
          <w:jc w:val="center"/>
        </w:trPr>
        <w:tc>
          <w:tcPr>
            <w:tcW w:w="2568" w:type="dxa"/>
            <w:vMerge w:val="restart"/>
            <w:vAlign w:val="center"/>
          </w:tcPr>
          <w:p w14:paraId="2F0A573C" w14:textId="77777777" w:rsidR="00F52111" w:rsidRPr="00BC31E0" w:rsidRDefault="00F52111" w:rsidP="004736F2">
            <w:r w:rsidRPr="00BC31E0">
              <w:rPr>
                <w:rFonts w:hint="eastAsia"/>
              </w:rPr>
              <w:t>マルテンサイト系</w:t>
            </w:r>
          </w:p>
          <w:p w14:paraId="3AC15557" w14:textId="77777777" w:rsidR="00F52111" w:rsidRPr="00BC31E0" w:rsidRDefault="00F52111" w:rsidP="004736F2">
            <w:pPr>
              <w:rPr>
                <w:rFonts w:ascii="ＭＳ 明朝"/>
              </w:rPr>
            </w:pPr>
            <w:r w:rsidRPr="00BC31E0">
              <w:rPr>
                <w:rFonts w:hint="eastAsia"/>
              </w:rPr>
              <w:t>析出硬化鋼</w:t>
            </w:r>
          </w:p>
        </w:tc>
        <w:tc>
          <w:tcPr>
            <w:tcW w:w="2025" w:type="dxa"/>
            <w:tcBorders>
              <w:bottom w:val="nil"/>
              <w:right w:val="nil"/>
            </w:tcBorders>
            <w:vAlign w:val="center"/>
          </w:tcPr>
          <w:p w14:paraId="25F3BB74" w14:textId="77777777" w:rsidR="00F52111" w:rsidRPr="00BC31E0" w:rsidRDefault="00F52111" w:rsidP="004736F2">
            <w:pPr>
              <w:tabs>
                <w:tab w:val="left" w:pos="1986"/>
              </w:tabs>
              <w:snapToGrid w:val="0"/>
              <w:jc w:val="left"/>
              <w:rPr>
                <w:rFonts w:ascii="ＭＳ 明朝" w:hAnsi="ＭＳ 明朝"/>
              </w:rPr>
            </w:pPr>
            <m:oMath>
              <m:r>
                <w:rPr>
                  <w:rFonts w:ascii="Cambria Math" w:hAnsi="Cambria Math"/>
                </w:rPr>
                <m:t>0.67</m:t>
              </m:r>
              <m:r>
                <w:rPr>
                  <w:rFonts w:ascii="Cambria Math" w:hAnsi="Cambria Math" w:hint="eastAsia"/>
                </w:rPr>
                <m:t>≦</m:t>
              </m:r>
              <m:sSub>
                <m:sSubPr>
                  <m:ctrlPr>
                    <w:rPr>
                      <w:rFonts w:ascii="Cambria Math" w:hAnsi="Cambria Math"/>
                      <w:i/>
                    </w:rPr>
                  </m:ctrlPr>
                </m:sSubPr>
                <m:e>
                  <m:r>
                    <w:rPr>
                      <w:rFonts w:ascii="Cambria Math" w:hAnsi="Cambria Math"/>
                    </w:rPr>
                    <m:t>R</m:t>
                  </m:r>
                </m:e>
                <m:sub>
                  <m:r>
                    <w:rPr>
                      <w:rFonts w:ascii="Cambria Math" w:hAnsi="Cambria Math"/>
                    </w:rPr>
                    <m:t>K</m:t>
                  </m:r>
                </m:sub>
              </m:sSub>
              <m:r>
                <w:rPr>
                  <w:rFonts w:ascii="Cambria Math" w:hAnsi="Cambria Math"/>
                </w:rPr>
                <m:t>&lt;1</m:t>
              </m:r>
            </m:oMath>
            <w:r w:rsidRPr="00BC31E0">
              <w:rPr>
                <w:rFonts w:ascii="ＭＳ 明朝"/>
              </w:rPr>
              <w:tab/>
            </w:r>
          </w:p>
        </w:tc>
        <w:tc>
          <w:tcPr>
            <w:tcW w:w="2977" w:type="dxa"/>
            <w:tcBorders>
              <w:left w:val="nil"/>
              <w:bottom w:val="nil"/>
            </w:tcBorders>
            <w:vAlign w:val="center"/>
          </w:tcPr>
          <w:p w14:paraId="126B2A9C" w14:textId="77777777" w:rsidR="00F52111" w:rsidRPr="00BC31E0" w:rsidRDefault="00F52111" w:rsidP="004736F2">
            <w:pPr>
              <w:tabs>
                <w:tab w:val="left" w:pos="1986"/>
              </w:tabs>
              <w:snapToGrid w:val="0"/>
              <w:rPr>
                <w:rFonts w:ascii="ＭＳ 明朝" w:hAnsi="ＭＳ 明朝"/>
              </w:rPr>
            </w:pPr>
            <m:oMathPara>
              <m:oMathParaPr>
                <m:jc m:val="left"/>
              </m:oMathParaPr>
              <m:oMath>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K</m:t>
                        </m:r>
                      </m:sub>
                    </m:sSub>
                  </m:e>
                </m:d>
                <m:r>
                  <w:rPr>
                    <w:rFonts w:ascii="Cambria Math" w:hAnsi="Cambria Math"/>
                  </w:rPr>
                  <m:t xml:space="preserve">=30.53 </m:t>
                </m:r>
                <m:sSub>
                  <m:sSubPr>
                    <m:ctrlPr>
                      <w:rPr>
                        <w:rFonts w:ascii="Cambria Math" w:hAnsi="Cambria Math"/>
                        <w:i/>
                      </w:rPr>
                    </m:ctrlPr>
                  </m:sSubPr>
                  <m:e>
                    <m:r>
                      <w:rPr>
                        <w:rFonts w:ascii="Cambria Math" w:hAnsi="Cambria Math"/>
                      </w:rPr>
                      <m:t>R</m:t>
                    </m:r>
                  </m:e>
                  <m:sub>
                    <m:r>
                      <w:rPr>
                        <w:rFonts w:ascii="Cambria Math" w:hAnsi="Cambria Math"/>
                      </w:rPr>
                      <m:t>K</m:t>
                    </m:r>
                  </m:sub>
                </m:sSub>
                <m:r>
                  <w:rPr>
                    <w:rFonts w:ascii="Cambria Math" w:hAnsi="Cambria Math"/>
                  </w:rPr>
                  <m:t>-17.0</m:t>
                </m:r>
              </m:oMath>
            </m:oMathPara>
          </w:p>
        </w:tc>
      </w:tr>
      <w:tr w:rsidR="00F52111" w:rsidRPr="00BC31E0" w14:paraId="25BDC4D8" w14:textId="77777777" w:rsidTr="004736F2">
        <w:trPr>
          <w:trHeight w:val="454"/>
          <w:jc w:val="center"/>
        </w:trPr>
        <w:tc>
          <w:tcPr>
            <w:tcW w:w="2568" w:type="dxa"/>
            <w:vMerge/>
            <w:vAlign w:val="center"/>
          </w:tcPr>
          <w:p w14:paraId="3B99897F" w14:textId="77777777" w:rsidR="00F52111" w:rsidRPr="00BC31E0" w:rsidRDefault="00F52111" w:rsidP="004736F2"/>
        </w:tc>
        <w:tc>
          <w:tcPr>
            <w:tcW w:w="2025" w:type="dxa"/>
            <w:tcBorders>
              <w:top w:val="nil"/>
              <w:bottom w:val="nil"/>
              <w:right w:val="nil"/>
            </w:tcBorders>
            <w:vAlign w:val="center"/>
          </w:tcPr>
          <w:p w14:paraId="0C3C997E" w14:textId="77777777" w:rsidR="00F52111" w:rsidRPr="00BC31E0" w:rsidRDefault="00F52111" w:rsidP="004736F2">
            <w:pPr>
              <w:tabs>
                <w:tab w:val="left" w:pos="1986"/>
              </w:tabs>
              <w:snapToGrid w:val="0"/>
              <w:jc w:val="left"/>
              <w:rPr>
                <w:rFonts w:ascii="ＭＳ 明朝" w:hAnsi="ＭＳ 明朝"/>
              </w:rPr>
            </w:pPr>
            <m:oMath>
              <m:r>
                <w:rPr>
                  <w:rFonts w:ascii="Cambria Math" w:hAnsi="Cambria Math"/>
                </w:rPr>
                <m:t>0</m:t>
              </m:r>
              <m:r>
                <w:rPr>
                  <w:rFonts w:ascii="Cambria Math" w:hAnsi="Cambria Math" w:hint="eastAsia"/>
                </w:rPr>
                <m:t>≦</m:t>
              </m:r>
              <m:sSub>
                <m:sSubPr>
                  <m:ctrlPr>
                    <w:rPr>
                      <w:rFonts w:ascii="Cambria Math" w:hAnsi="Cambria Math"/>
                      <w:i/>
                    </w:rPr>
                  </m:ctrlPr>
                </m:sSubPr>
                <m:e>
                  <m:r>
                    <w:rPr>
                      <w:rFonts w:ascii="Cambria Math" w:hAnsi="Cambria Math"/>
                    </w:rPr>
                    <m:t>R</m:t>
                  </m:r>
                </m:e>
                <m:sub>
                  <m:r>
                    <w:rPr>
                      <w:rFonts w:ascii="Cambria Math" w:hAnsi="Cambria Math"/>
                    </w:rPr>
                    <m:t>K</m:t>
                  </m:r>
                </m:sub>
              </m:sSub>
              <m:r>
                <w:rPr>
                  <w:rFonts w:ascii="Cambria Math" w:hAnsi="Cambria Math"/>
                </w:rPr>
                <m:t>&lt;0.67</m:t>
              </m:r>
            </m:oMath>
            <w:r w:rsidRPr="00BC31E0">
              <w:rPr>
                <w:rFonts w:ascii="ＭＳ 明朝"/>
              </w:rPr>
              <w:tab/>
            </w:r>
          </w:p>
        </w:tc>
        <w:tc>
          <w:tcPr>
            <w:tcW w:w="2977" w:type="dxa"/>
            <w:tcBorders>
              <w:top w:val="nil"/>
              <w:left w:val="nil"/>
              <w:bottom w:val="nil"/>
            </w:tcBorders>
            <w:vAlign w:val="center"/>
          </w:tcPr>
          <w:p w14:paraId="0BD92DC6" w14:textId="77777777" w:rsidR="00F52111" w:rsidRPr="00BC31E0" w:rsidRDefault="00F52111" w:rsidP="004736F2">
            <w:pPr>
              <w:tabs>
                <w:tab w:val="left" w:pos="1986"/>
              </w:tabs>
              <w:snapToGrid w:val="0"/>
              <w:rPr>
                <w:rFonts w:ascii="ＭＳ 明朝" w:hAnsi="ＭＳ 明朝"/>
              </w:rPr>
            </w:pPr>
            <m:oMathPara>
              <m:oMathParaPr>
                <m:jc m:val="left"/>
              </m:oMathParaPr>
              <m:oMath>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K</m:t>
                        </m:r>
                      </m:sub>
                    </m:sSub>
                  </m:e>
                </m:d>
                <m:r>
                  <w:rPr>
                    <w:rFonts w:ascii="Cambria Math" w:hAnsi="Cambria Math"/>
                  </w:rPr>
                  <m:t xml:space="preserve">=1.0+3.48 </m:t>
                </m:r>
                <m:sSub>
                  <m:sSubPr>
                    <m:ctrlPr>
                      <w:rPr>
                        <w:rFonts w:ascii="Cambria Math" w:hAnsi="Cambria Math"/>
                        <w:i/>
                      </w:rPr>
                    </m:ctrlPr>
                  </m:sSubPr>
                  <m:e>
                    <m:r>
                      <w:rPr>
                        <w:rFonts w:ascii="Cambria Math" w:hAnsi="Cambria Math"/>
                      </w:rPr>
                      <m:t>R</m:t>
                    </m:r>
                  </m:e>
                  <m:sub>
                    <m:r>
                      <w:rPr>
                        <w:rFonts w:ascii="Cambria Math" w:hAnsi="Cambria Math"/>
                      </w:rPr>
                      <m:t>K</m:t>
                    </m:r>
                  </m:sub>
                </m:sSub>
              </m:oMath>
            </m:oMathPara>
          </w:p>
        </w:tc>
      </w:tr>
      <w:tr w:rsidR="00F52111" w:rsidRPr="00BC31E0" w14:paraId="12B83ABB" w14:textId="77777777" w:rsidTr="004736F2">
        <w:trPr>
          <w:jc w:val="center"/>
        </w:trPr>
        <w:tc>
          <w:tcPr>
            <w:tcW w:w="2568" w:type="dxa"/>
            <w:vMerge/>
            <w:vAlign w:val="center"/>
          </w:tcPr>
          <w:p w14:paraId="7C3569FB" w14:textId="77777777" w:rsidR="00F52111" w:rsidRPr="00BC31E0" w:rsidRDefault="00F52111" w:rsidP="004736F2"/>
        </w:tc>
        <w:tc>
          <w:tcPr>
            <w:tcW w:w="2025" w:type="dxa"/>
            <w:tcBorders>
              <w:top w:val="nil"/>
              <w:bottom w:val="single" w:sz="4" w:space="0" w:color="000000"/>
              <w:right w:val="nil"/>
            </w:tcBorders>
            <w:vAlign w:val="center"/>
          </w:tcPr>
          <w:p w14:paraId="282FC862" w14:textId="77777777" w:rsidR="00F52111" w:rsidRPr="00BC31E0" w:rsidRDefault="00A51873" w:rsidP="004736F2">
            <w:pPr>
              <w:tabs>
                <w:tab w:val="left" w:pos="1986"/>
              </w:tabs>
              <w:snapToGrid w:val="0"/>
              <w:spacing w:before="60" w:after="60"/>
              <w:jc w:val="left"/>
              <w:rPr>
                <w:rFonts w:ascii="ＭＳ 明朝" w:hAnsi="ＭＳ 明朝"/>
              </w:rPr>
            </w:pPr>
            <m:oMath>
              <m:sSub>
                <m:sSubPr>
                  <m:ctrlPr>
                    <w:rPr>
                      <w:rFonts w:ascii="Cambria Math" w:hAnsi="Cambria Math"/>
                      <w:i/>
                    </w:rPr>
                  </m:ctrlPr>
                </m:sSubPr>
                <m:e>
                  <m:r>
                    <w:rPr>
                      <w:rFonts w:ascii="Cambria Math" w:hAnsi="Cambria Math"/>
                    </w:rPr>
                    <m:t>R</m:t>
                  </m:r>
                </m:e>
                <m:sub>
                  <m:r>
                    <w:rPr>
                      <w:rFonts w:ascii="Cambria Math" w:hAnsi="Cambria Math"/>
                    </w:rPr>
                    <m:t>K</m:t>
                  </m:r>
                </m:sub>
              </m:sSub>
              <m:r>
                <w:rPr>
                  <w:rFonts w:ascii="Cambria Math" w:hAnsi="Cambria Math"/>
                </w:rPr>
                <m:t>&lt;0</m:t>
              </m:r>
            </m:oMath>
            <w:r w:rsidR="00F52111" w:rsidRPr="00BC31E0">
              <w:rPr>
                <w:rFonts w:ascii="ＭＳ 明朝" w:hAnsi="ＭＳ 明朝"/>
              </w:rPr>
              <w:tab/>
            </w:r>
          </w:p>
        </w:tc>
        <w:tc>
          <w:tcPr>
            <w:tcW w:w="2977" w:type="dxa"/>
            <w:tcBorders>
              <w:top w:val="nil"/>
              <w:left w:val="nil"/>
              <w:bottom w:val="single" w:sz="4" w:space="0" w:color="000000"/>
            </w:tcBorders>
            <w:vAlign w:val="center"/>
          </w:tcPr>
          <w:p w14:paraId="4C27175D" w14:textId="77777777" w:rsidR="00F52111" w:rsidRPr="00BC31E0" w:rsidRDefault="00F52111" w:rsidP="004736F2">
            <w:pPr>
              <w:tabs>
                <w:tab w:val="left" w:pos="1986"/>
              </w:tabs>
              <w:snapToGrid w:val="0"/>
              <w:spacing w:before="60" w:after="60"/>
              <w:rPr>
                <w:rFonts w:ascii="ＭＳ 明朝" w:hAnsi="ＭＳ 明朝"/>
              </w:rPr>
            </w:pPr>
            <m:oMathPara>
              <m:oMathParaPr>
                <m:jc m:val="left"/>
              </m:oMathParaPr>
              <m:oMath>
                <m:r>
                  <w:rPr>
                    <w:rFonts w:ascii="Cambria Math" w:eastAsiaTheme="minorEastAsia" w:hAnsi="Cambria Math"/>
                  </w:rPr>
                  <m:t>f</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K</m:t>
                        </m:r>
                      </m:sub>
                    </m:sSub>
                  </m:e>
                </m:d>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1.5</m:t>
                            </m:r>
                          </m:num>
                          <m:den>
                            <m:r>
                              <w:rPr>
                                <w:rFonts w:ascii="Cambria Math" w:eastAsiaTheme="minorEastAsia" w:hAnsi="Cambria Math"/>
                              </w:rPr>
                              <m:t>1.5-</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K</m:t>
                                </m:r>
                              </m:sub>
                            </m:sSub>
                          </m:den>
                        </m:f>
                      </m:e>
                    </m:d>
                  </m:e>
                  <m:sup>
                    <m:r>
                      <w:rPr>
                        <w:rFonts w:ascii="Cambria Math" w:eastAsiaTheme="minorEastAsia" w:hAnsi="Cambria Math"/>
                      </w:rPr>
                      <m:t>m</m:t>
                    </m:r>
                  </m:sup>
                </m:sSup>
              </m:oMath>
            </m:oMathPara>
          </w:p>
        </w:tc>
      </w:tr>
      <w:tr w:rsidR="00F52111" w:rsidRPr="00BC31E0" w14:paraId="5F528D86" w14:textId="77777777" w:rsidTr="004736F2">
        <w:trPr>
          <w:trHeight w:val="510"/>
          <w:jc w:val="center"/>
        </w:trPr>
        <w:tc>
          <w:tcPr>
            <w:tcW w:w="2568" w:type="dxa"/>
            <w:vMerge w:val="restart"/>
            <w:vAlign w:val="center"/>
          </w:tcPr>
          <w:p w14:paraId="40B1D9A5" w14:textId="77777777" w:rsidR="00F52111" w:rsidRPr="00BC31E0" w:rsidRDefault="00F52111" w:rsidP="004736F2">
            <w:r w:rsidRPr="00BC31E0">
              <w:rPr>
                <w:rFonts w:hint="eastAsia"/>
              </w:rPr>
              <w:t>オーステナイト系</w:t>
            </w:r>
          </w:p>
          <w:p w14:paraId="01F77440" w14:textId="77777777" w:rsidR="00F52111" w:rsidRPr="00BC31E0" w:rsidRDefault="00F52111" w:rsidP="004736F2">
            <w:pPr>
              <w:rPr>
                <w:rFonts w:ascii="ＭＳ 明朝"/>
              </w:rPr>
            </w:pPr>
            <w:r w:rsidRPr="00BC31E0">
              <w:rPr>
                <w:rFonts w:hint="eastAsia"/>
              </w:rPr>
              <w:t>ステンレス鋼</w:t>
            </w:r>
          </w:p>
        </w:tc>
        <w:tc>
          <w:tcPr>
            <w:tcW w:w="2025" w:type="dxa"/>
            <w:tcBorders>
              <w:bottom w:val="nil"/>
              <w:right w:val="nil"/>
            </w:tcBorders>
            <w:vAlign w:val="center"/>
          </w:tcPr>
          <w:p w14:paraId="0D335E8B" w14:textId="77777777" w:rsidR="00F52111" w:rsidRPr="00BC31E0" w:rsidRDefault="00F52111" w:rsidP="004736F2">
            <w:pPr>
              <w:tabs>
                <w:tab w:val="left" w:pos="1986"/>
              </w:tabs>
              <w:snapToGrid w:val="0"/>
              <w:jc w:val="left"/>
            </w:pPr>
            <m:oMathPara>
              <m:oMathParaPr>
                <m:jc m:val="left"/>
              </m:oMathParaPr>
              <m:oMath>
                <m:r>
                  <w:rPr>
                    <w:rFonts w:ascii="Cambria Math" w:hAnsi="Cambria Math"/>
                  </w:rPr>
                  <m:t>0.79&lt;</m:t>
                </m:r>
                <m:sSub>
                  <m:sSubPr>
                    <m:ctrlPr>
                      <w:rPr>
                        <w:rFonts w:ascii="Cambria Math" w:hAnsi="Cambria Math"/>
                        <w:i/>
                      </w:rPr>
                    </m:ctrlPr>
                  </m:sSubPr>
                  <m:e>
                    <m:r>
                      <w:rPr>
                        <w:rFonts w:ascii="Cambria Math" w:hAnsi="Cambria Math"/>
                      </w:rPr>
                      <m:t>R</m:t>
                    </m:r>
                  </m:e>
                  <m:sub>
                    <m:r>
                      <w:rPr>
                        <w:rFonts w:ascii="Cambria Math" w:hAnsi="Cambria Math"/>
                      </w:rPr>
                      <m:t>K</m:t>
                    </m:r>
                  </m:sub>
                </m:sSub>
                <m:r>
                  <w:rPr>
                    <w:rFonts w:ascii="Cambria Math" w:hAnsi="Cambria Math"/>
                  </w:rPr>
                  <m:t>&lt;1</m:t>
                </m:r>
              </m:oMath>
            </m:oMathPara>
          </w:p>
        </w:tc>
        <w:tc>
          <w:tcPr>
            <w:tcW w:w="2977" w:type="dxa"/>
            <w:tcBorders>
              <w:left w:val="nil"/>
              <w:bottom w:val="nil"/>
            </w:tcBorders>
            <w:vAlign w:val="center"/>
          </w:tcPr>
          <w:p w14:paraId="06BEC32F" w14:textId="77777777" w:rsidR="00F52111" w:rsidRPr="00BC31E0" w:rsidRDefault="00F52111" w:rsidP="004736F2">
            <w:pPr>
              <w:tabs>
                <w:tab w:val="left" w:pos="1986"/>
              </w:tabs>
              <w:snapToGrid w:val="0"/>
            </w:pPr>
            <m:oMathPara>
              <m:oMathParaPr>
                <m:jc m:val="left"/>
              </m:oMathParaPr>
              <m:oMath>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K</m:t>
                        </m:r>
                      </m:sub>
                    </m:sSub>
                  </m:e>
                </m:d>
                <m:r>
                  <w:rPr>
                    <w:rFonts w:ascii="Cambria Math" w:hAnsi="Cambria Math"/>
                  </w:rPr>
                  <m:t>=</m:t>
                </m:r>
                <m:r>
                  <w:rPr>
                    <w:rFonts w:ascii="Cambria Math" w:hAnsi="Cambria Math" w:hint="eastAsia"/>
                  </w:rPr>
                  <m:t>-</m:t>
                </m:r>
                <m:r>
                  <w:rPr>
                    <w:rFonts w:ascii="Cambria Math" w:hAnsi="Cambria Math" w:hint="eastAsia"/>
                  </w:rPr>
                  <m:t>43</m:t>
                </m:r>
                <m:r>
                  <w:rPr>
                    <w:rFonts w:ascii="Cambria Math" w:hAnsi="Cambria Math"/>
                  </w:rPr>
                  <m:t>.</m:t>
                </m:r>
                <m:r>
                  <w:rPr>
                    <w:rFonts w:ascii="Cambria Math" w:hAnsi="Cambria Math" w:hint="eastAsia"/>
                  </w:rPr>
                  <m:t>35</m:t>
                </m:r>
                <m:r>
                  <w:rPr>
                    <w:rFonts w:ascii="Cambria Math" w:hAnsi="Cambria Math"/>
                  </w:rPr>
                  <m:t xml:space="preserve">+57.97 </m:t>
                </m:r>
                <m:sSub>
                  <m:sSubPr>
                    <m:ctrlPr>
                      <w:rPr>
                        <w:rFonts w:ascii="Cambria Math" w:hAnsi="Cambria Math"/>
                        <w:i/>
                      </w:rPr>
                    </m:ctrlPr>
                  </m:sSubPr>
                  <m:e>
                    <m:r>
                      <w:rPr>
                        <w:rFonts w:ascii="Cambria Math" w:hAnsi="Cambria Math"/>
                      </w:rPr>
                      <m:t>R</m:t>
                    </m:r>
                  </m:e>
                  <m:sub>
                    <m:r>
                      <w:rPr>
                        <w:rFonts w:ascii="Cambria Math" w:hAnsi="Cambria Math"/>
                      </w:rPr>
                      <m:t>K</m:t>
                    </m:r>
                  </m:sub>
                </m:sSub>
              </m:oMath>
            </m:oMathPara>
          </w:p>
        </w:tc>
      </w:tr>
      <w:tr w:rsidR="00F52111" w:rsidRPr="00BC31E0" w14:paraId="44C9AF84" w14:textId="77777777" w:rsidTr="004736F2">
        <w:trPr>
          <w:trHeight w:val="510"/>
          <w:jc w:val="center"/>
        </w:trPr>
        <w:tc>
          <w:tcPr>
            <w:tcW w:w="2568" w:type="dxa"/>
            <w:vMerge/>
            <w:vAlign w:val="center"/>
          </w:tcPr>
          <w:p w14:paraId="7D0C25BF" w14:textId="77777777" w:rsidR="00F52111" w:rsidRPr="00BC31E0" w:rsidRDefault="00F52111" w:rsidP="004736F2"/>
        </w:tc>
        <w:tc>
          <w:tcPr>
            <w:tcW w:w="2025" w:type="dxa"/>
            <w:tcBorders>
              <w:top w:val="nil"/>
              <w:bottom w:val="nil"/>
              <w:right w:val="nil"/>
            </w:tcBorders>
            <w:vAlign w:val="center"/>
          </w:tcPr>
          <w:p w14:paraId="5611020D" w14:textId="77777777" w:rsidR="00F52111" w:rsidRPr="00BC31E0" w:rsidRDefault="00F52111" w:rsidP="004736F2">
            <w:pPr>
              <w:tabs>
                <w:tab w:val="left" w:pos="1986"/>
              </w:tabs>
              <w:snapToGrid w:val="0"/>
              <w:jc w:val="left"/>
            </w:pPr>
            <m:oMathPara>
              <m:oMathParaPr>
                <m:jc m:val="left"/>
              </m:oMathParaPr>
              <m:oMath>
                <m:r>
                  <w:rPr>
                    <w:rFonts w:ascii="Cambria Math" w:hAnsi="Cambria Math"/>
                  </w:rPr>
                  <m:t>0</m:t>
                </m:r>
                <m:r>
                  <w:rPr>
                    <w:rFonts w:ascii="Cambria Math" w:hAnsi="Cambria Math" w:hint="eastAsia"/>
                  </w:rPr>
                  <m:t>≦</m:t>
                </m:r>
                <m:sSub>
                  <m:sSubPr>
                    <m:ctrlPr>
                      <w:rPr>
                        <w:rFonts w:ascii="Cambria Math" w:hAnsi="Cambria Math"/>
                        <w:i/>
                      </w:rPr>
                    </m:ctrlPr>
                  </m:sSubPr>
                  <m:e>
                    <m:r>
                      <w:rPr>
                        <w:rFonts w:ascii="Cambria Math" w:hAnsi="Cambria Math"/>
                      </w:rPr>
                      <m:t>R</m:t>
                    </m:r>
                  </m:e>
                  <m:sub>
                    <m:r>
                      <w:rPr>
                        <w:rFonts w:ascii="Cambria Math" w:hAnsi="Cambria Math"/>
                      </w:rPr>
                      <m:t>K</m:t>
                    </m:r>
                  </m:sub>
                </m:sSub>
                <m:r>
                  <w:rPr>
                    <w:rFonts w:ascii="Cambria Math" w:hAnsi="Cambria Math" w:hint="eastAsia"/>
                  </w:rPr>
                  <m:t>≦</m:t>
                </m:r>
                <m:r>
                  <w:rPr>
                    <w:rFonts w:ascii="Cambria Math" w:hAnsi="Cambria Math"/>
                  </w:rPr>
                  <m:t>0.79</m:t>
                </m:r>
              </m:oMath>
            </m:oMathPara>
          </w:p>
        </w:tc>
        <w:tc>
          <w:tcPr>
            <w:tcW w:w="2977" w:type="dxa"/>
            <w:tcBorders>
              <w:top w:val="nil"/>
              <w:left w:val="nil"/>
              <w:bottom w:val="nil"/>
            </w:tcBorders>
            <w:vAlign w:val="center"/>
          </w:tcPr>
          <w:p w14:paraId="65889BB1" w14:textId="77777777" w:rsidR="00F52111" w:rsidRPr="00BC31E0" w:rsidRDefault="00F52111" w:rsidP="004736F2">
            <w:pPr>
              <w:tabs>
                <w:tab w:val="left" w:pos="1986"/>
              </w:tabs>
              <w:snapToGrid w:val="0"/>
            </w:pPr>
            <m:oMathPara>
              <m:oMathParaPr>
                <m:jc m:val="left"/>
              </m:oMathParaPr>
              <m:oMath>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K</m:t>
                        </m:r>
                      </m:sub>
                    </m:sSub>
                  </m:e>
                </m:d>
                <m:r>
                  <w:rPr>
                    <w:rFonts w:ascii="Cambria Math" w:hAnsi="Cambria Math"/>
                  </w:rPr>
                  <m:t xml:space="preserve">=1.0+1.8 </m:t>
                </m:r>
                <m:sSub>
                  <m:sSubPr>
                    <m:ctrlPr>
                      <w:rPr>
                        <w:rFonts w:ascii="Cambria Math" w:hAnsi="Cambria Math"/>
                        <w:i/>
                      </w:rPr>
                    </m:ctrlPr>
                  </m:sSubPr>
                  <m:e>
                    <m:r>
                      <w:rPr>
                        <w:rFonts w:ascii="Cambria Math" w:hAnsi="Cambria Math"/>
                      </w:rPr>
                      <m:t>R</m:t>
                    </m:r>
                  </m:e>
                  <m:sub>
                    <m:r>
                      <w:rPr>
                        <w:rFonts w:ascii="Cambria Math" w:hAnsi="Cambria Math"/>
                      </w:rPr>
                      <m:t>K</m:t>
                    </m:r>
                  </m:sub>
                </m:sSub>
              </m:oMath>
            </m:oMathPara>
          </w:p>
        </w:tc>
      </w:tr>
      <w:tr w:rsidR="00F52111" w:rsidRPr="00BC31E0" w14:paraId="6617FBEE" w14:textId="77777777" w:rsidTr="004736F2">
        <w:trPr>
          <w:trHeight w:val="510"/>
          <w:jc w:val="center"/>
        </w:trPr>
        <w:tc>
          <w:tcPr>
            <w:tcW w:w="2568" w:type="dxa"/>
            <w:vMerge/>
            <w:vAlign w:val="center"/>
          </w:tcPr>
          <w:p w14:paraId="085F291B" w14:textId="77777777" w:rsidR="00F52111" w:rsidRPr="00BC31E0" w:rsidRDefault="00F52111" w:rsidP="004736F2"/>
        </w:tc>
        <w:tc>
          <w:tcPr>
            <w:tcW w:w="2025" w:type="dxa"/>
            <w:tcBorders>
              <w:top w:val="nil"/>
              <w:right w:val="nil"/>
            </w:tcBorders>
            <w:vAlign w:val="center"/>
          </w:tcPr>
          <w:p w14:paraId="45B8B598" w14:textId="77777777" w:rsidR="00F52111" w:rsidRPr="00BC31E0" w:rsidRDefault="00A51873" w:rsidP="004736F2">
            <w:pPr>
              <w:tabs>
                <w:tab w:val="left" w:pos="1986"/>
              </w:tabs>
              <w:snapToGrid w:val="0"/>
              <w:jc w:val="left"/>
            </w:pPr>
            <m:oMath>
              <m:sSub>
                <m:sSubPr>
                  <m:ctrlPr>
                    <w:rPr>
                      <w:rFonts w:ascii="Cambria Math" w:hAnsi="Cambria Math"/>
                      <w:i/>
                    </w:rPr>
                  </m:ctrlPr>
                </m:sSubPr>
                <m:e>
                  <m:r>
                    <w:rPr>
                      <w:rFonts w:ascii="Cambria Math" w:hAnsi="Cambria Math"/>
                    </w:rPr>
                    <m:t>R</m:t>
                  </m:r>
                </m:e>
                <m:sub>
                  <m:r>
                    <w:rPr>
                      <w:rFonts w:ascii="Cambria Math" w:hAnsi="Cambria Math"/>
                    </w:rPr>
                    <m:t>K</m:t>
                  </m:r>
                </m:sub>
              </m:sSub>
              <m:r>
                <w:rPr>
                  <w:rFonts w:ascii="Cambria Math" w:hAnsi="Cambria Math"/>
                </w:rPr>
                <m:t>&lt;0</m:t>
              </m:r>
            </m:oMath>
            <w:r w:rsidR="00F52111" w:rsidRPr="00BC31E0">
              <w:tab/>
            </w:r>
          </w:p>
        </w:tc>
        <w:tc>
          <w:tcPr>
            <w:tcW w:w="2977" w:type="dxa"/>
            <w:tcBorders>
              <w:top w:val="nil"/>
              <w:left w:val="nil"/>
            </w:tcBorders>
            <w:vAlign w:val="center"/>
          </w:tcPr>
          <w:p w14:paraId="5A1B5851" w14:textId="77777777" w:rsidR="00F52111" w:rsidRPr="00BC31E0" w:rsidRDefault="00F52111" w:rsidP="004736F2">
            <w:pPr>
              <w:tabs>
                <w:tab w:val="left" w:pos="1986"/>
              </w:tabs>
              <w:snapToGrid w:val="0"/>
            </w:pPr>
            <m:oMathPara>
              <m:oMathParaPr>
                <m:jc m:val="left"/>
              </m:oMathParaPr>
              <m:oMath>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K</m:t>
                        </m:r>
                      </m:sub>
                    </m:sSub>
                  </m:e>
                </m:d>
                <m:r>
                  <w:rPr>
                    <w:rFonts w:ascii="Cambria Math" w:hAnsi="Cambria Math"/>
                  </w:rPr>
                  <m:t>=1.0</m:t>
                </m:r>
              </m:oMath>
            </m:oMathPara>
          </w:p>
        </w:tc>
      </w:tr>
    </w:tbl>
    <w:p w14:paraId="4128D7DD" w14:textId="77777777" w:rsidR="00F52111" w:rsidRPr="00BC31E0" w:rsidRDefault="00F52111" w:rsidP="00C318B3">
      <w:pPr>
        <w:pStyle w:val="1f9"/>
        <w:tabs>
          <w:tab w:val="clear" w:pos="284"/>
        </w:tabs>
        <w:adjustRightInd/>
        <w:snapToGrid/>
        <w:spacing w:line="240" w:lineRule="auto"/>
        <w:ind w:left="0" w:firstLine="0"/>
        <w:jc w:val="both"/>
      </w:pPr>
    </w:p>
    <w:p w14:paraId="56EE2388" w14:textId="77777777" w:rsidR="00F52111" w:rsidRPr="00BC31E0" w:rsidRDefault="00F52111" w:rsidP="00736130">
      <w:pPr>
        <w:pStyle w:val="1f9"/>
        <w:numPr>
          <w:ilvl w:val="0"/>
          <w:numId w:val="223"/>
        </w:numPr>
        <w:tabs>
          <w:tab w:val="clear" w:pos="284"/>
        </w:tabs>
        <w:adjustRightInd/>
        <w:snapToGrid/>
        <w:spacing w:line="240" w:lineRule="auto"/>
        <w:ind w:left="340" w:hanging="340"/>
        <w:jc w:val="both"/>
      </w:pPr>
      <w:r w:rsidRPr="00BC31E0">
        <w:rPr>
          <w:rFonts w:hint="eastAsia"/>
        </w:rPr>
        <w:t>破壊靭性値の相関関係</w:t>
      </w:r>
    </w:p>
    <w:p w14:paraId="08D607FA" w14:textId="77777777" w:rsidR="00F52111" w:rsidRPr="00BC31E0" w:rsidRDefault="00F52111" w:rsidP="00C318B3">
      <w:pPr>
        <w:pStyle w:val="15"/>
        <w:ind w:firstLine="210"/>
      </w:pPr>
      <w:r w:rsidRPr="00BC31E0">
        <w:rPr>
          <w:rFonts w:hint="eastAsia"/>
        </w:rPr>
        <w:t>破壊靭性値の相関関係は，次の</w:t>
      </w:r>
      <w:r w:rsidRPr="00BC31E0">
        <w:rPr>
          <w:rFonts w:ascii="ＭＳ ゴシック" w:hAnsi="ＭＳ ゴシック" w:hint="eastAsia"/>
          <w:b/>
        </w:rPr>
        <w:t>a</w:t>
      </w:r>
      <w:r w:rsidRPr="00BC31E0">
        <w:rPr>
          <w:rFonts w:ascii="ＭＳ ゴシック" w:hAnsi="ＭＳ ゴシック" w:hint="eastAsia"/>
          <w:b/>
        </w:rPr>
        <w:t>）</w:t>
      </w:r>
      <w:r w:rsidRPr="00BC31E0">
        <w:rPr>
          <w:rFonts w:hint="eastAsia"/>
        </w:rPr>
        <w:t>，</w:t>
      </w:r>
      <w:r w:rsidRPr="00BC31E0">
        <w:rPr>
          <w:rFonts w:ascii="ＭＳ ゴシック" w:hAnsi="ＭＳ ゴシック" w:hint="eastAsia"/>
          <w:b/>
        </w:rPr>
        <w:t>b)</w:t>
      </w:r>
      <w:r w:rsidRPr="00BC31E0">
        <w:rPr>
          <w:rFonts w:hint="eastAsia"/>
        </w:rPr>
        <w:t>による。</w:t>
      </w:r>
    </w:p>
    <w:p w14:paraId="15FCC70F" w14:textId="77777777" w:rsidR="00F52111" w:rsidRPr="00BC31E0" w:rsidRDefault="00F52111" w:rsidP="00736130">
      <w:pPr>
        <w:pStyle w:val="a4"/>
        <w:numPr>
          <w:ilvl w:val="0"/>
          <w:numId w:val="370"/>
        </w:numPr>
        <w:spacing w:after="120"/>
        <w:ind w:leftChars="0" w:left="454" w:hanging="454"/>
      </w:pPr>
      <w:r w:rsidRPr="00BC31E0">
        <w:rPr>
          <w:rFonts w:hint="eastAsia"/>
        </w:rPr>
        <w:t>本体</w:t>
      </w:r>
      <w:r w:rsidRPr="00BC31E0">
        <w:rPr>
          <w:rFonts w:hAnsi="ＭＳ ゴシック" w:hint="eastAsia"/>
          <w:bCs/>
        </w:rPr>
        <w:t>の</w:t>
      </w:r>
      <w:r w:rsidRPr="00BC31E0">
        <w:rPr>
          <w:rFonts w:asciiTheme="majorEastAsia" w:eastAsiaTheme="majorEastAsia" w:hAnsiTheme="majorEastAsia"/>
          <w:b/>
          <w:bCs/>
        </w:rPr>
        <w:t>6.4</w:t>
      </w:r>
      <w:r w:rsidRPr="00BC31E0">
        <w:rPr>
          <w:rFonts w:hint="eastAsia"/>
        </w:rPr>
        <w:t>では，破壊靭性値として平面ひずみ破壊靭性値</w:t>
      </w:r>
      <m:oMath>
        <m:sSub>
          <m:sSubPr>
            <m:ctrlPr>
              <w:rPr>
                <w:rFonts w:ascii="Cambria Math" w:hAnsi="Cambria Math"/>
              </w:rPr>
            </m:ctrlPr>
          </m:sSubPr>
          <m:e>
            <m:r>
              <m:rPr>
                <m:sty m:val="p"/>
              </m:rPr>
              <w:rPr>
                <w:rFonts w:ascii="Cambria Math" w:hAnsi="Cambria Math"/>
              </w:rPr>
              <m:t xml:space="preserve"> </m:t>
            </m:r>
            <m:r>
              <w:rPr>
                <w:rFonts w:ascii="Cambria Math" w:hAnsi="Cambria Math"/>
              </w:rPr>
              <m:t>K</m:t>
            </m:r>
          </m:e>
          <m:sub>
            <m:r>
              <m:rPr>
                <m:sty m:val="p"/>
              </m:rPr>
              <w:rPr>
                <w:rFonts w:ascii="Cambria Math" w:hAnsi="Cambria Math"/>
              </w:rPr>
              <m:t>I</m:t>
            </m:r>
            <m:r>
              <w:rPr>
                <w:rFonts w:ascii="Cambria Math" w:hAnsi="Cambria Math"/>
              </w:rPr>
              <m:t>C</m:t>
            </m:r>
          </m:sub>
        </m:sSub>
        <m:r>
          <m:rPr>
            <m:sty m:val="p"/>
          </m:rPr>
          <w:rPr>
            <w:rFonts w:ascii="Cambria Math" w:hAnsi="Cambria Math"/>
          </w:rPr>
          <m:t xml:space="preserve"> </m:t>
        </m:r>
      </m:oMath>
      <w:r w:rsidRPr="00BC31E0">
        <w:rPr>
          <w:rFonts w:hint="eastAsia"/>
        </w:rPr>
        <w:t>を用いる。使用する材料に対して，本体の</w:t>
      </w:r>
      <w:r w:rsidRPr="00BC31E0">
        <w:rPr>
          <w:rFonts w:hAnsi="ＭＳ ゴシック"/>
          <w:bCs/>
        </w:rPr>
        <w:t>5.2</w:t>
      </w:r>
      <w:r w:rsidRPr="00BC31E0">
        <w:rPr>
          <w:rFonts w:hint="eastAsia"/>
        </w:rPr>
        <w:t>で与える方法で</w:t>
      </w:r>
      <m:oMath>
        <m:r>
          <m:rPr>
            <m:sty m:val="p"/>
          </m:rPr>
          <w:rPr>
            <w:rFonts w:ascii="Cambria Math" w:hAnsi="Cambria Math"/>
          </w:rPr>
          <m:t xml:space="preserve"> </m:t>
        </m:r>
        <m:sSub>
          <m:sSubPr>
            <m:ctrlPr>
              <w:rPr>
                <w:rFonts w:ascii="Cambria Math" w:hAnsi="Cambria Math"/>
              </w:rPr>
            </m:ctrlPr>
          </m:sSubPr>
          <m:e>
            <m:r>
              <w:rPr>
                <w:rFonts w:ascii="Cambria Math" w:hAnsi="Cambria Math"/>
              </w:rPr>
              <m:t>K</m:t>
            </m:r>
          </m:e>
          <m:sub>
            <m:r>
              <m:rPr>
                <m:sty m:val="p"/>
              </m:rPr>
              <w:rPr>
                <w:rFonts w:ascii="Cambria Math" w:hAnsi="Cambria Math"/>
              </w:rPr>
              <m:t>I</m:t>
            </m:r>
            <m:r>
              <w:rPr>
                <w:rFonts w:ascii="Cambria Math" w:hAnsi="Cambria Math"/>
              </w:rPr>
              <m:t>C</m:t>
            </m:r>
          </m:sub>
        </m:sSub>
        <m:r>
          <m:rPr>
            <m:sty m:val="p"/>
          </m:rPr>
          <w:rPr>
            <w:rFonts w:ascii="Cambria Math" w:hAnsi="Cambria Math"/>
          </w:rPr>
          <m:t xml:space="preserve"> </m:t>
        </m:r>
      </m:oMath>
      <w:r w:rsidRPr="00BC31E0">
        <w:rPr>
          <w:rFonts w:hint="eastAsia"/>
        </w:rPr>
        <w:t>が得られているときは，その値を用いてもよい。又は，最小設計金属温度</w:t>
      </w:r>
      <w:r w:rsidRPr="00BC31E0">
        <w:rPr>
          <w:rFonts w:hint="eastAsia"/>
        </w:rPr>
        <w:t>(</w:t>
      </w:r>
      <w:r w:rsidRPr="00BC31E0">
        <w:t>MDMT</w:t>
      </w:r>
      <w:r w:rsidRPr="00BC31E0">
        <w:rPr>
          <w:rFonts w:hint="eastAsia"/>
        </w:rPr>
        <w:t>)</w:t>
      </w:r>
      <w:r w:rsidRPr="00BC31E0">
        <w:rPr>
          <w:rFonts w:hint="eastAsia"/>
        </w:rPr>
        <w:t>が使用する材料の上部棚領域にあるならば，次式で，本体の</w:t>
      </w:r>
      <w:r w:rsidRPr="00BC31E0">
        <w:rPr>
          <w:rFonts w:hAnsi="ＭＳ ゴシック"/>
          <w:bCs/>
        </w:rPr>
        <w:t>5.2</w:t>
      </w:r>
      <w:r w:rsidRPr="00BC31E0">
        <w:rPr>
          <w:rFonts w:hint="eastAsia"/>
        </w:rPr>
        <w:t>で与える衝撃吸収エネルギー</w:t>
      </w:r>
      <w:r w:rsidRPr="00BC31E0">
        <w:rPr>
          <w:rFonts w:hint="eastAsia"/>
        </w:rPr>
        <w:t>(</w:t>
      </w:r>
      <m:oMath>
        <m:r>
          <w:rPr>
            <w:rFonts w:ascii="Cambria Math" w:hAnsi="Cambria Math"/>
          </w:rPr>
          <m:t>CVN</m:t>
        </m:r>
      </m:oMath>
      <w:r w:rsidRPr="00BC31E0">
        <w:t>)</w:t>
      </w:r>
      <w:r w:rsidRPr="00BC31E0">
        <w:rPr>
          <w:rFonts w:hint="eastAsia"/>
        </w:rPr>
        <w:t>から</w:t>
      </w:r>
      <m:oMath>
        <m:sSub>
          <m:sSubPr>
            <m:ctrlPr>
              <w:rPr>
                <w:rFonts w:ascii="Cambria Math" w:hAnsi="Cambria Math"/>
              </w:rPr>
            </m:ctrlPr>
          </m:sSubPr>
          <m:e>
            <m:r>
              <m:rPr>
                <m:sty m:val="p"/>
              </m:rPr>
              <w:rPr>
                <w:rFonts w:ascii="Cambria Math" w:hAnsi="Cambria Math"/>
              </w:rPr>
              <m:t xml:space="preserve"> </m:t>
            </m:r>
            <m:r>
              <w:rPr>
                <w:rFonts w:ascii="Cambria Math" w:hAnsi="Cambria Math"/>
              </w:rPr>
              <m:t>K</m:t>
            </m:r>
          </m:e>
          <m:sub>
            <m:r>
              <m:rPr>
                <m:sty m:val="p"/>
              </m:rPr>
              <w:rPr>
                <w:rFonts w:ascii="Cambria Math" w:hAnsi="Cambria Math"/>
              </w:rPr>
              <m:t>I</m:t>
            </m:r>
            <m:r>
              <w:rPr>
                <w:rFonts w:ascii="Cambria Math" w:hAnsi="Cambria Math"/>
              </w:rPr>
              <m:t>C</m:t>
            </m:r>
          </m:sub>
        </m:sSub>
        <m:r>
          <m:rPr>
            <m:sty m:val="p"/>
          </m:rPr>
          <w:rPr>
            <w:rFonts w:ascii="Cambria Math" w:hAnsi="Cambria Math"/>
          </w:rPr>
          <m:t xml:space="preserve"> </m:t>
        </m:r>
      </m:oMath>
      <w:r w:rsidRPr="00BC31E0">
        <w:rPr>
          <w:rFonts w:hint="eastAsia"/>
        </w:rPr>
        <w:t>を求める</w:t>
      </w:r>
      <w:r w:rsidRPr="00BC31E0">
        <w:rPr>
          <w:rFonts w:asciiTheme="majorEastAsia" w:eastAsiaTheme="majorEastAsia" w:hAnsiTheme="majorEastAsia" w:hint="eastAsia"/>
          <w:b/>
          <w:bCs/>
          <w:vertAlign w:val="superscript"/>
        </w:rPr>
        <w:t>8</w:t>
      </w:r>
      <w:r w:rsidRPr="00BC31E0">
        <w:rPr>
          <w:rFonts w:asciiTheme="majorEastAsia" w:eastAsiaTheme="majorEastAsia" w:hAnsiTheme="majorEastAsia"/>
          <w:b/>
          <w:bCs/>
          <w:vertAlign w:val="superscript"/>
        </w:rPr>
        <w:t>)</w:t>
      </w:r>
      <w:r w:rsidRPr="00BC31E0">
        <w:rPr>
          <w:rFonts w:asciiTheme="majorEastAsia" w:eastAsiaTheme="majorEastAsia" w:hAnsiTheme="majorEastAsia"/>
          <w:b/>
          <w:vertAlign w:val="superscript"/>
        </w:rPr>
        <w:t>,</w:t>
      </w:r>
      <w:r w:rsidRPr="00BC31E0">
        <w:rPr>
          <w:rFonts w:asciiTheme="majorEastAsia" w:eastAsiaTheme="majorEastAsia" w:hAnsiTheme="majorEastAsia" w:hint="eastAsia"/>
          <w:b/>
          <w:bCs/>
          <w:vertAlign w:val="superscript"/>
        </w:rPr>
        <w:t>9</w:t>
      </w:r>
      <w:r w:rsidRPr="00BC31E0">
        <w:rPr>
          <w:rFonts w:asciiTheme="majorEastAsia" w:eastAsiaTheme="majorEastAsia" w:hAnsiTheme="majorEastAsia"/>
          <w:b/>
          <w:bCs/>
          <w:vertAlign w:val="superscript"/>
        </w:rPr>
        <w:t>)</w:t>
      </w:r>
      <w:r w:rsidRPr="00BC31E0">
        <w:rPr>
          <w:rFonts w:asciiTheme="majorEastAsia" w:eastAsiaTheme="majorEastAsia" w:hAnsiTheme="majorEastAsia"/>
          <w:b/>
          <w:vertAlign w:val="superscript"/>
        </w:rPr>
        <w:t>,</w:t>
      </w:r>
      <w:r w:rsidRPr="00BC31E0">
        <w:rPr>
          <w:rFonts w:asciiTheme="majorEastAsia" w:eastAsiaTheme="majorEastAsia" w:hAnsiTheme="majorEastAsia" w:hint="eastAsia"/>
          <w:b/>
          <w:bCs/>
          <w:vertAlign w:val="superscript"/>
        </w:rPr>
        <w:t>10</w:t>
      </w:r>
      <w:r w:rsidRPr="00BC31E0">
        <w:rPr>
          <w:rFonts w:asciiTheme="majorEastAsia" w:eastAsiaTheme="majorEastAsia" w:hAnsiTheme="majorEastAsia"/>
          <w:b/>
          <w:bCs/>
          <w:vertAlign w:val="superscript"/>
        </w:rPr>
        <w:t>)</w:t>
      </w:r>
      <w:r w:rsidRPr="00BC31E0">
        <w:rPr>
          <w:rFonts w:hint="eastAsia"/>
        </w:rPr>
        <w:t>。</w:t>
      </w:r>
    </w:p>
    <w:p w14:paraId="1D6D37A2" w14:textId="77777777" w:rsidR="00F52111" w:rsidRPr="00BC31E0" w:rsidRDefault="00F52111" w:rsidP="00C318B3">
      <w:pPr>
        <w:tabs>
          <w:tab w:val="left" w:pos="2127"/>
          <w:tab w:val="left" w:leader="middleDot" w:pos="8505"/>
        </w:tabs>
      </w:pPr>
      <w:r w:rsidRPr="00BC31E0">
        <w:rPr>
          <w:rFonts w:hint="eastAsia"/>
        </w:rPr>
        <w:tab/>
      </w:r>
      <m:oMath>
        <m:sSup>
          <m:sSupPr>
            <m:ctrlPr>
              <w:rPr>
                <w:rFonts w:ascii="Cambria Math" w:hAnsi="Cambria Math"/>
              </w:rPr>
            </m:ctrlPr>
          </m:sSupPr>
          <m:e>
            <m:d>
              <m:dPr>
                <m:ctrlPr>
                  <w:rPr>
                    <w:rFonts w:ascii="Cambria Math" w:hAnsi="Cambria Math"/>
                  </w:rPr>
                </m:ctrlPr>
              </m:dPr>
              <m:e>
                <m:f>
                  <m:fPr>
                    <m:type m:val="lin"/>
                    <m:ctrlPr>
                      <w:rPr>
                        <w:rFonts w:ascii="Cambria Math" w:hAnsi="Cambria Math"/>
                      </w:rPr>
                    </m:ctrlPr>
                  </m:fPr>
                  <m:num>
                    <m:sSub>
                      <m:sSubPr>
                        <m:ctrlPr>
                          <w:rPr>
                            <w:rFonts w:ascii="Cambria Math" w:hAnsi="Cambria Math"/>
                          </w:rPr>
                        </m:ctrlPr>
                      </m:sSubPr>
                      <m:e>
                        <m:r>
                          <w:rPr>
                            <w:rFonts w:ascii="Cambria Math" w:hAnsi="Cambria Math"/>
                          </w:rPr>
                          <m:t>K</m:t>
                        </m:r>
                      </m:e>
                      <m:sub>
                        <m:r>
                          <m:rPr>
                            <m:sty m:val="p"/>
                          </m:rPr>
                          <w:rPr>
                            <w:rFonts w:ascii="Cambria Math" w:hAnsi="Cambria Math"/>
                          </w:rPr>
                          <m:t>I</m:t>
                        </m:r>
                        <m:r>
                          <w:rPr>
                            <w:rFonts w:ascii="Cambria Math" w:hAnsi="Cambria Math"/>
                          </w:rPr>
                          <m:t>C</m:t>
                        </m:r>
                      </m:sub>
                    </m:sSub>
                  </m:num>
                  <m:den>
                    <m:sSub>
                      <m:sSubPr>
                        <m:ctrlPr>
                          <w:rPr>
                            <w:rFonts w:ascii="Cambria Math" w:hAnsi="Cambria Math"/>
                          </w:rPr>
                        </m:ctrlPr>
                      </m:sSubPr>
                      <m:e>
                        <m:r>
                          <w:rPr>
                            <w:rFonts w:ascii="Cambria Math" w:hAnsi="Cambria Math"/>
                          </w:rPr>
                          <m:t>S</m:t>
                        </m:r>
                      </m:e>
                      <m:sub>
                        <m:r>
                          <w:rPr>
                            <w:rFonts w:ascii="Cambria Math" w:hAnsi="Cambria Math"/>
                          </w:rPr>
                          <m:t>y</m:t>
                        </m:r>
                      </m:sub>
                    </m:sSub>
                  </m:den>
                </m:f>
              </m:e>
            </m:d>
          </m:e>
          <m:sup>
            <m:r>
              <w:rPr>
                <w:rFonts w:ascii="Cambria Math" w:hAnsi="Cambria Math"/>
              </w:rPr>
              <m:t>2</m:t>
            </m:r>
          </m:sup>
        </m:sSup>
        <m:r>
          <w:rPr>
            <w:rFonts w:ascii="Cambria Math" w:hAnsi="Cambria Math"/>
          </w:rPr>
          <m:t xml:space="preserve">=0.64 </m:t>
        </m:r>
        <m:d>
          <m:dPr>
            <m:ctrlPr>
              <w:rPr>
                <w:rFonts w:ascii="Cambria Math" w:hAnsi="Cambria Math"/>
              </w:rPr>
            </m:ctrlPr>
          </m:dPr>
          <m:e>
            <m:f>
              <m:fPr>
                <m:type m:val="lin"/>
                <m:ctrlPr>
                  <w:rPr>
                    <w:rFonts w:ascii="Cambria Math" w:hAnsi="Cambria Math"/>
                  </w:rPr>
                </m:ctrlPr>
              </m:fPr>
              <m:num>
                <m:r>
                  <w:rPr>
                    <w:rFonts w:ascii="Cambria Math" w:hAnsi="Cambria Math"/>
                  </w:rPr>
                  <m:t>CVN</m:t>
                </m:r>
              </m:num>
              <m:den>
                <m:sSub>
                  <m:sSubPr>
                    <m:ctrlPr>
                      <w:rPr>
                        <w:rFonts w:ascii="Cambria Math" w:hAnsi="Cambria Math"/>
                      </w:rPr>
                    </m:ctrlPr>
                  </m:sSubPr>
                  <m:e>
                    <m:r>
                      <w:rPr>
                        <w:rFonts w:ascii="Cambria Math" w:hAnsi="Cambria Math"/>
                      </w:rPr>
                      <m:t>S</m:t>
                    </m:r>
                  </m:e>
                  <m:sub>
                    <m:r>
                      <w:rPr>
                        <w:rFonts w:ascii="Cambria Math" w:hAnsi="Cambria Math"/>
                      </w:rPr>
                      <m:t>y</m:t>
                    </m:r>
                  </m:sub>
                </m:sSub>
                <m:r>
                  <w:rPr>
                    <w:rFonts w:ascii="Cambria Math" w:hAnsi="Cambria Math"/>
                  </w:rPr>
                  <m:t>-0.01</m:t>
                </m:r>
              </m:den>
            </m:f>
          </m:e>
        </m:d>
      </m:oMath>
      <w:r w:rsidRPr="00BC31E0">
        <w:rPr>
          <w:rFonts w:hint="eastAsia"/>
        </w:rPr>
        <w:tab/>
        <w:t>(33)</w:t>
      </w:r>
    </w:p>
    <w:p w14:paraId="01FC09A3" w14:textId="77777777" w:rsidR="00F52111" w:rsidRPr="00BC31E0" w:rsidRDefault="00F52111" w:rsidP="00C318B3">
      <w:pPr>
        <w:ind w:left="454" w:firstLineChars="100" w:firstLine="210"/>
      </w:pPr>
      <w:r w:rsidRPr="00BC31E0">
        <w:rPr>
          <w:rFonts w:hint="eastAsia"/>
        </w:rPr>
        <w:t>ここで，</w:t>
      </w:r>
    </w:p>
    <w:p w14:paraId="3D0A6624" w14:textId="77777777" w:rsidR="00F52111" w:rsidRPr="00BC31E0" w:rsidRDefault="00A51873" w:rsidP="00C318B3">
      <w:pPr>
        <w:tabs>
          <w:tab w:val="left" w:pos="1701"/>
        </w:tabs>
        <w:ind w:leftChars="550" w:left="1155"/>
      </w:pPr>
      <m:oMath>
        <m:sSub>
          <m:sSubPr>
            <m:ctrlPr>
              <w:rPr>
                <w:rFonts w:ascii="Cambria Math" w:hAnsi="Cambria Math"/>
              </w:rPr>
            </m:ctrlPr>
          </m:sSubPr>
          <m:e>
            <m:r>
              <w:rPr>
                <w:rFonts w:ascii="Cambria Math" w:hAnsi="Cambria Math"/>
              </w:rPr>
              <m:t>S</m:t>
            </m:r>
          </m:e>
          <m:sub>
            <m:r>
              <w:rPr>
                <w:rFonts w:ascii="Cambria Math" w:hAnsi="Cambria Math"/>
              </w:rPr>
              <m:t>y</m:t>
            </m:r>
          </m:sub>
        </m:sSub>
        <m:r>
          <m:rPr>
            <m:sty m:val="p"/>
          </m:rPr>
          <w:rPr>
            <w:rFonts w:ascii="Cambria Math" w:hAnsi="Cambria Math"/>
          </w:rPr>
          <m:t xml:space="preserve"> </m:t>
        </m:r>
      </m:oMath>
      <w:r w:rsidR="00F52111" w:rsidRPr="00BC31E0">
        <w:rPr>
          <w:rFonts w:hint="eastAsia"/>
        </w:rPr>
        <w:tab/>
      </w:r>
      <w:r w:rsidR="00F52111" w:rsidRPr="00BC31E0">
        <w:rPr>
          <w:rFonts w:hint="eastAsia"/>
        </w:rPr>
        <w:t>：</w:t>
      </w:r>
      <w:r w:rsidR="00F52111" w:rsidRPr="00BC31E0">
        <w:rPr>
          <w:rFonts w:hint="eastAsia"/>
        </w:rPr>
        <w:t xml:space="preserve"> </w:t>
      </w:r>
      <w:r w:rsidR="00F52111" w:rsidRPr="00BC31E0">
        <w:rPr>
          <w:rFonts w:hint="eastAsia"/>
        </w:rPr>
        <w:t>降伏強さ</w:t>
      </w:r>
      <w:r w:rsidR="00F52111" w:rsidRPr="00BC31E0">
        <w:rPr>
          <w:rFonts w:hint="eastAsia"/>
        </w:rPr>
        <w:t>(</w:t>
      </w:r>
      <w:r w:rsidR="00F52111" w:rsidRPr="00BC31E0">
        <w:rPr>
          <w:rFonts w:ascii="Cambria Math" w:hAnsi="Cambria Math"/>
        </w:rPr>
        <w:t>MPa</w:t>
      </w:r>
      <w:r w:rsidR="00F52111" w:rsidRPr="00BC31E0">
        <w:rPr>
          <w:rFonts w:hint="eastAsia"/>
        </w:rPr>
        <w:t>)</w:t>
      </w:r>
    </w:p>
    <w:p w14:paraId="52FD4833" w14:textId="77777777" w:rsidR="00F52111" w:rsidRPr="00BC31E0" w:rsidRDefault="00F52111" w:rsidP="00C318B3">
      <w:pPr>
        <w:tabs>
          <w:tab w:val="left" w:pos="1701"/>
        </w:tabs>
        <w:ind w:leftChars="550" w:left="1155"/>
      </w:pPr>
      <m:oMath>
        <m:r>
          <w:rPr>
            <w:rFonts w:ascii="Cambria Math" w:hAnsi="Cambria Math"/>
          </w:rPr>
          <m:t>CVN</m:t>
        </m:r>
      </m:oMath>
      <w:r w:rsidRPr="00BC31E0">
        <w:rPr>
          <w:rFonts w:hint="eastAsia"/>
        </w:rPr>
        <w:tab/>
      </w:r>
      <w:r w:rsidRPr="00BC31E0">
        <w:rPr>
          <w:rFonts w:hint="eastAsia"/>
        </w:rPr>
        <w:t>：</w:t>
      </w:r>
      <w:r w:rsidRPr="00BC31E0">
        <w:rPr>
          <w:rFonts w:hint="eastAsia"/>
        </w:rPr>
        <w:t xml:space="preserve"> </w:t>
      </w:r>
      <w:r w:rsidRPr="00BC31E0">
        <w:t>V</w:t>
      </w:r>
      <w:r w:rsidRPr="00BC31E0">
        <w:rPr>
          <w:rFonts w:hint="eastAsia"/>
        </w:rPr>
        <w:t>ノッチシャルピー衝撃吸収エネルギー</w:t>
      </w:r>
      <w:r w:rsidRPr="00BC31E0">
        <w:rPr>
          <w:rFonts w:hint="eastAsia"/>
        </w:rPr>
        <w:t>(</w:t>
      </w:r>
      <m:oMath>
        <m:r>
          <m:rPr>
            <m:sty m:val="p"/>
          </m:rPr>
          <w:rPr>
            <w:rFonts w:ascii="Cambria Math" w:hAnsi="Cambria Math"/>
          </w:rPr>
          <m:t>J</m:t>
        </m:r>
      </m:oMath>
      <w:r w:rsidRPr="00BC31E0">
        <w:rPr>
          <w:rFonts w:hint="eastAsia"/>
        </w:rPr>
        <w:t>)</w:t>
      </w:r>
    </w:p>
    <w:p w14:paraId="59C7A431" w14:textId="77777777" w:rsidR="00F52111" w:rsidRPr="00BC31E0" w:rsidRDefault="00A51873" w:rsidP="00C318B3">
      <w:pPr>
        <w:tabs>
          <w:tab w:val="left" w:pos="1701"/>
        </w:tabs>
        <w:spacing w:after="120"/>
        <w:ind w:leftChars="550" w:left="1155"/>
      </w:pPr>
      <m:oMath>
        <m:sSub>
          <m:sSubPr>
            <m:ctrlPr>
              <w:rPr>
                <w:rFonts w:ascii="Cambria Math" w:hAnsi="Cambria Math"/>
              </w:rPr>
            </m:ctrlPr>
          </m:sSubPr>
          <m:e>
            <m:r>
              <w:rPr>
                <w:rFonts w:ascii="Cambria Math" w:hAnsi="Cambria Math"/>
              </w:rPr>
              <m:t xml:space="preserve"> K</m:t>
            </m:r>
          </m:e>
          <m:sub>
            <m:r>
              <m:rPr>
                <m:sty m:val="p"/>
              </m:rPr>
              <w:rPr>
                <w:rFonts w:ascii="Cambria Math" w:hAnsi="Cambria Math"/>
              </w:rPr>
              <m:t>I</m:t>
            </m:r>
            <m:r>
              <w:rPr>
                <w:rFonts w:ascii="Cambria Math" w:hAnsi="Cambria Math"/>
              </w:rPr>
              <m:t>C</m:t>
            </m:r>
          </m:sub>
        </m:sSub>
        <m:r>
          <m:rPr>
            <m:sty m:val="p"/>
          </m:rPr>
          <w:rPr>
            <w:rFonts w:ascii="Cambria Math" w:hAnsi="Cambria Math"/>
          </w:rPr>
          <m:t xml:space="preserve"> </m:t>
        </m:r>
      </m:oMath>
      <w:r w:rsidR="00F52111" w:rsidRPr="00BC31E0">
        <w:rPr>
          <w:rFonts w:hint="eastAsia"/>
        </w:rPr>
        <w:tab/>
      </w:r>
      <w:r w:rsidR="00F52111" w:rsidRPr="00BC31E0">
        <w:rPr>
          <w:rFonts w:hint="eastAsia"/>
        </w:rPr>
        <w:t>：</w:t>
      </w:r>
      <w:r w:rsidR="00F52111" w:rsidRPr="00BC31E0">
        <w:rPr>
          <w:rFonts w:hint="eastAsia"/>
        </w:rPr>
        <w:t xml:space="preserve"> </w:t>
      </w:r>
      <w:r w:rsidR="00F52111" w:rsidRPr="00BC31E0">
        <w:rPr>
          <w:rFonts w:hint="eastAsia"/>
        </w:rPr>
        <w:t>平面ひずみ破壊靭性値</w:t>
      </w:r>
      <w:r w:rsidR="00F52111" w:rsidRPr="00BC31E0">
        <w:rPr>
          <w:rFonts w:hint="eastAsia"/>
        </w:rPr>
        <w:t>(</w:t>
      </w:r>
      <m:oMath>
        <m:r>
          <m:rPr>
            <m:nor/>
          </m:rPr>
          <w:rPr>
            <w:rFonts w:ascii="Cambria Math" w:hAnsi="Cambria Math"/>
          </w:rPr>
          <m:t>MPa</m:t>
        </m:r>
        <m:rad>
          <m:radPr>
            <m:degHide m:val="1"/>
            <m:ctrlPr>
              <w:rPr>
                <w:rFonts w:ascii="Cambria Math" w:hAnsi="Times New Roman"/>
              </w:rPr>
            </m:ctrlPr>
          </m:radPr>
          <m:deg/>
          <m:e>
            <m:r>
              <m:rPr>
                <m:nor/>
              </m:rPr>
              <w:rPr>
                <w:rFonts w:ascii="Cambria Math" w:hAnsi="Cambria Math"/>
              </w:rPr>
              <m:t>m</m:t>
            </m:r>
          </m:e>
        </m:rad>
      </m:oMath>
      <w:r w:rsidR="00F52111" w:rsidRPr="00BC31E0">
        <w:rPr>
          <w:rFonts w:hint="eastAsia"/>
        </w:rPr>
        <w:t>)</w:t>
      </w:r>
      <w:r w:rsidR="00F52111" w:rsidRPr="00BC31E0">
        <w:t xml:space="preserve"> </w:t>
      </w:r>
    </w:p>
    <w:p w14:paraId="5AF2D992" w14:textId="77777777" w:rsidR="00F52111" w:rsidRPr="00BC31E0" w:rsidRDefault="00F52111" w:rsidP="00736130">
      <w:pPr>
        <w:pStyle w:val="a4"/>
        <w:numPr>
          <w:ilvl w:val="0"/>
          <w:numId w:val="371"/>
        </w:numPr>
        <w:ind w:leftChars="0" w:left="454" w:hanging="454"/>
      </w:pPr>
      <w:r w:rsidRPr="00BC31E0">
        <w:rPr>
          <w:rFonts w:hint="eastAsia"/>
        </w:rPr>
        <w:t>平面ひずみ破壊靭性試験以外の破壊靭性試験から得られた値から</w:t>
      </w:r>
      <m:oMath>
        <m:sSub>
          <m:sSubPr>
            <m:ctrlPr>
              <w:rPr>
                <w:rFonts w:ascii="Cambria Math" w:hAnsi="Cambria Math"/>
              </w:rPr>
            </m:ctrlPr>
          </m:sSubPr>
          <m:e>
            <m:r>
              <m:rPr>
                <m:sty m:val="p"/>
              </m:rPr>
              <w:rPr>
                <w:rFonts w:ascii="Cambria Math" w:hAnsi="Cambria Math"/>
              </w:rPr>
              <m:t xml:space="preserve"> </m:t>
            </m:r>
            <m:r>
              <w:rPr>
                <w:rFonts w:ascii="Cambria Math" w:hAnsi="Cambria Math"/>
              </w:rPr>
              <m:t>K</m:t>
            </m:r>
          </m:e>
          <m:sub>
            <m:r>
              <m:rPr>
                <m:sty m:val="p"/>
              </m:rPr>
              <w:rPr>
                <w:rFonts w:ascii="Cambria Math" w:hAnsi="Cambria Math"/>
              </w:rPr>
              <m:t>I</m:t>
            </m:r>
            <m:r>
              <w:rPr>
                <w:rFonts w:ascii="Cambria Math" w:hAnsi="Cambria Math"/>
              </w:rPr>
              <m:t>C</m:t>
            </m:r>
          </m:sub>
        </m:sSub>
        <m:r>
          <m:rPr>
            <m:sty m:val="p"/>
          </m:rPr>
          <w:rPr>
            <w:rFonts w:ascii="Cambria Math" w:hAnsi="Cambria Math"/>
          </w:rPr>
          <m:t xml:space="preserve"> </m:t>
        </m:r>
      </m:oMath>
      <w:r w:rsidRPr="00BC31E0">
        <w:rPr>
          <w:rFonts w:hint="eastAsia"/>
        </w:rPr>
        <w:t>への変換は，次式を用いる。</w:t>
      </w:r>
    </w:p>
    <w:p w14:paraId="319193DA" w14:textId="77777777" w:rsidR="00F52111" w:rsidRPr="00BC31E0" w:rsidRDefault="00A51873" w:rsidP="00736130">
      <w:pPr>
        <w:pStyle w:val="a4"/>
        <w:numPr>
          <w:ilvl w:val="0"/>
          <w:numId w:val="372"/>
        </w:numPr>
        <w:spacing w:after="120"/>
        <w:ind w:leftChars="0" w:left="738" w:hanging="454"/>
        <w:rPr>
          <w:rFonts w:asciiTheme="majorEastAsia" w:eastAsiaTheme="majorEastAsia" w:hAnsiTheme="majorEastAsia"/>
          <w:b/>
        </w:rPr>
      </w:pPr>
      <m:oMath>
        <m:sSub>
          <m:sSubPr>
            <m:ctrlPr>
              <w:rPr>
                <w:rFonts w:ascii="Cambria Math" w:eastAsiaTheme="majorEastAsia" w:hAnsiTheme="majorEastAsia"/>
                <w:b/>
              </w:rPr>
            </m:ctrlPr>
          </m:sSubPr>
          <m:e>
            <m:r>
              <m:rPr>
                <m:sty m:val="bi"/>
              </m:rPr>
              <w:rPr>
                <w:rFonts w:ascii="Cambria Math" w:eastAsiaTheme="majorEastAsia" w:hAnsi="Cambria Math"/>
              </w:rPr>
              <m:t>K</m:t>
            </m:r>
          </m:e>
          <m:sub>
            <m:r>
              <m:rPr>
                <m:sty m:val="b"/>
              </m:rPr>
              <w:rPr>
                <w:rFonts w:ascii="Cambria Math" w:eastAsiaTheme="majorEastAsia" w:hAnsi="Cambria Math"/>
              </w:rPr>
              <m:t>I</m:t>
            </m:r>
            <m:r>
              <m:rPr>
                <m:sty m:val="bi"/>
              </m:rPr>
              <w:rPr>
                <w:rFonts w:ascii="Cambria Math" w:eastAsiaTheme="majorEastAsia" w:hAnsi="Cambria Math"/>
              </w:rPr>
              <m:t>C</m:t>
            </m:r>
          </m:sub>
        </m:sSub>
        <m:r>
          <m:rPr>
            <m:sty m:val="b"/>
          </m:rPr>
          <w:rPr>
            <w:rFonts w:ascii="Cambria Math" w:eastAsiaTheme="majorEastAsia" w:hAnsi="Cambria Math"/>
          </w:rPr>
          <m:t xml:space="preserve"> </m:t>
        </m:r>
      </m:oMath>
      <w:r w:rsidR="00F52111" w:rsidRPr="00BC31E0">
        <w:rPr>
          <w:rFonts w:asciiTheme="majorEastAsia" w:eastAsiaTheme="majorEastAsia" w:hAnsiTheme="majorEastAsia" w:hint="eastAsia"/>
          <w:b/>
        </w:rPr>
        <w:t>と</w:t>
      </w:r>
      <m:oMath>
        <m:r>
          <m:rPr>
            <m:sty m:val="b"/>
          </m:rPr>
          <w:rPr>
            <w:rFonts w:ascii="Cambria Math" w:eastAsiaTheme="majorEastAsia" w:hAnsi="Cambria Math"/>
          </w:rPr>
          <m:t xml:space="preserve"> </m:t>
        </m:r>
        <m:sSub>
          <m:sSubPr>
            <m:ctrlPr>
              <w:rPr>
                <w:rFonts w:ascii="Cambria Math" w:eastAsiaTheme="majorEastAsia" w:hAnsiTheme="majorEastAsia"/>
                <w:b/>
              </w:rPr>
            </m:ctrlPr>
          </m:sSubPr>
          <m:e>
            <m:r>
              <m:rPr>
                <m:sty m:val="bi"/>
              </m:rPr>
              <w:rPr>
                <w:rFonts w:ascii="Cambria Math" w:eastAsiaTheme="majorEastAsia" w:hAnsi="Cambria Math"/>
              </w:rPr>
              <m:t>J</m:t>
            </m:r>
          </m:e>
          <m:sub>
            <m:r>
              <m:rPr>
                <m:sty m:val="b"/>
              </m:rPr>
              <w:rPr>
                <w:rFonts w:ascii="Cambria Math" w:eastAsiaTheme="majorEastAsia" w:hAnsi="Cambria Math"/>
              </w:rPr>
              <m:t>I</m:t>
            </m:r>
            <m:r>
              <m:rPr>
                <m:sty m:val="bi"/>
              </m:rPr>
              <w:rPr>
                <w:rFonts w:ascii="Cambria Math" w:eastAsiaTheme="majorEastAsia" w:hAnsi="Cambria Math"/>
              </w:rPr>
              <m:t>C</m:t>
            </m:r>
          </m:sub>
        </m:sSub>
        <m:r>
          <m:rPr>
            <m:sty m:val="b"/>
          </m:rPr>
          <w:rPr>
            <w:rFonts w:ascii="Cambria Math" w:eastAsiaTheme="majorEastAsia" w:hAnsi="Cambria Math"/>
          </w:rPr>
          <m:t xml:space="preserve"> </m:t>
        </m:r>
      </m:oMath>
      <w:r w:rsidR="00F52111" w:rsidRPr="00BC31E0">
        <w:rPr>
          <w:rFonts w:asciiTheme="majorEastAsia" w:eastAsiaTheme="majorEastAsia" w:hAnsiTheme="majorEastAsia" w:hint="eastAsia"/>
          <w:b/>
        </w:rPr>
        <w:t>の相関関係</w:t>
      </w:r>
    </w:p>
    <w:tbl>
      <w:tblPr>
        <w:tblStyle w:val="afff2"/>
        <w:tblW w:w="6945" w:type="dxa"/>
        <w:tblInd w:w="2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4"/>
        <w:gridCol w:w="1956"/>
        <w:gridCol w:w="3685"/>
      </w:tblGrid>
      <w:tr w:rsidR="00F52111" w:rsidRPr="00BC31E0" w14:paraId="0CFAE2F3" w14:textId="77777777" w:rsidTr="004736F2">
        <w:tc>
          <w:tcPr>
            <w:tcW w:w="0" w:type="auto"/>
            <w:tcMar>
              <w:left w:w="0" w:type="dxa"/>
              <w:right w:w="0" w:type="dxa"/>
            </w:tcMar>
            <w:vAlign w:val="center"/>
          </w:tcPr>
          <w:p w14:paraId="38E1D58E" w14:textId="77777777" w:rsidR="00F52111" w:rsidRPr="00BC31E0" w:rsidRDefault="00A51873" w:rsidP="00C318B3">
            <w:pPr>
              <w:tabs>
                <w:tab w:val="left" w:leader="middleDot" w:pos="8505"/>
              </w:tabs>
            </w:pPr>
            <m:oMathPara>
              <m:oMathParaPr>
                <m:jc m:val="left"/>
              </m:oMathParaPr>
              <m:oMath>
                <m:sSub>
                  <m:sSubPr>
                    <m:ctrlPr>
                      <w:rPr>
                        <w:rFonts w:ascii="Cambria Math" w:hAnsi="Cambria Math"/>
                      </w:rPr>
                    </m:ctrlPr>
                  </m:sSubPr>
                  <m:e>
                    <m:r>
                      <w:rPr>
                        <w:rFonts w:ascii="Cambria Math" w:hAnsi="Cambria Math"/>
                      </w:rPr>
                      <m:t>K</m:t>
                    </m:r>
                  </m:e>
                  <m:sub>
                    <m:r>
                      <m:rPr>
                        <m:sty m:val="p"/>
                      </m:rPr>
                      <w:rPr>
                        <w:rFonts w:ascii="Cambria Math" w:hAnsi="Cambria Math"/>
                      </w:rPr>
                      <m:t>I</m:t>
                    </m:r>
                    <m:r>
                      <w:rPr>
                        <w:rFonts w:ascii="Cambria Math" w:hAnsi="Cambria Math"/>
                      </w:rPr>
                      <m:t>C</m:t>
                    </m:r>
                  </m:sub>
                </m:sSub>
                <m:r>
                  <w:rPr>
                    <w:rFonts w:ascii="Cambria Math" w:hAnsi="Cambria Math"/>
                  </w:rPr>
                  <m:t>=</m:t>
                </m:r>
                <m:rad>
                  <m:radPr>
                    <m:degHide m:val="1"/>
                    <m:ctrlPr>
                      <w:rPr>
                        <w:rFonts w:ascii="Cambria Math" w:hAnsi="Cambria Math"/>
                      </w:rPr>
                    </m:ctrlPr>
                  </m:radPr>
                  <m:deg/>
                  <m:e>
                    <m:r>
                      <w:rPr>
                        <w:rFonts w:ascii="Cambria Math" w:hAnsi="Cambria Math"/>
                      </w:rPr>
                      <m:t xml:space="preserve">E </m:t>
                    </m:r>
                    <m:sSub>
                      <m:sSubPr>
                        <m:ctrlPr>
                          <w:rPr>
                            <w:rFonts w:ascii="Cambria Math" w:hAnsi="Cambria Math"/>
                          </w:rPr>
                        </m:ctrlPr>
                      </m:sSubPr>
                      <m:e>
                        <m:r>
                          <w:rPr>
                            <w:rFonts w:ascii="Cambria Math" w:hAnsi="Cambria Math"/>
                          </w:rPr>
                          <m:t>J</m:t>
                        </m:r>
                      </m:e>
                      <m:sub>
                        <m:r>
                          <m:rPr>
                            <m:sty m:val="p"/>
                          </m:rPr>
                          <w:rPr>
                            <w:rFonts w:ascii="Cambria Math" w:hAnsi="Cambria Math"/>
                          </w:rPr>
                          <m:t>I</m:t>
                        </m:r>
                        <m:r>
                          <w:rPr>
                            <w:rFonts w:ascii="Cambria Math" w:hAnsi="Cambria Math"/>
                          </w:rPr>
                          <m:t>C</m:t>
                        </m:r>
                      </m:sub>
                    </m:sSub>
                  </m:e>
                </m:rad>
              </m:oMath>
            </m:oMathPara>
          </w:p>
        </w:tc>
        <w:tc>
          <w:tcPr>
            <w:tcW w:w="1956" w:type="dxa"/>
            <w:tcMar>
              <w:left w:w="0" w:type="dxa"/>
              <w:right w:w="0" w:type="dxa"/>
            </w:tcMar>
            <w:vAlign w:val="center"/>
          </w:tcPr>
          <w:p w14:paraId="4ACA8DBD" w14:textId="77777777" w:rsidR="00F52111" w:rsidRPr="00BC31E0" w:rsidRDefault="00F52111" w:rsidP="00C318B3">
            <w:pPr>
              <w:tabs>
                <w:tab w:val="left" w:pos="4111"/>
                <w:tab w:val="left" w:leader="middleDot" w:pos="8505"/>
              </w:tabs>
              <w:ind w:firstLineChars="300" w:firstLine="630"/>
            </w:pPr>
            <w:r w:rsidRPr="00BC31E0">
              <w:t>(</w:t>
            </w:r>
            <w:r w:rsidRPr="00BC31E0">
              <w:rPr>
                <w:rFonts w:ascii="ＭＳ 明朝" w:hAnsi="ＭＳ 明朝" w:hint="eastAsia"/>
              </w:rPr>
              <w:t>平面応力</w:t>
            </w:r>
            <w:r w:rsidRPr="00BC31E0">
              <w:t>)</w:t>
            </w:r>
          </w:p>
        </w:tc>
        <w:tc>
          <w:tcPr>
            <w:tcW w:w="3685" w:type="dxa"/>
            <w:tcMar>
              <w:left w:w="0" w:type="dxa"/>
              <w:right w:w="0" w:type="dxa"/>
            </w:tcMar>
            <w:vAlign w:val="center"/>
          </w:tcPr>
          <w:p w14:paraId="57AC6DBD" w14:textId="77777777" w:rsidR="00F52111" w:rsidRPr="00BC31E0" w:rsidRDefault="00F52111" w:rsidP="00C318B3">
            <w:pPr>
              <w:tabs>
                <w:tab w:val="left" w:leader="middleDot" w:pos="3118"/>
              </w:tabs>
            </w:pPr>
            <w:r w:rsidRPr="00BC31E0">
              <w:tab/>
            </w:r>
            <w:r w:rsidRPr="00BC31E0">
              <w:rPr>
                <w:rFonts w:hint="eastAsia"/>
              </w:rPr>
              <w:t>(34)</w:t>
            </w:r>
          </w:p>
        </w:tc>
      </w:tr>
      <w:tr w:rsidR="00F52111" w:rsidRPr="00BC31E0" w14:paraId="3B70AC37" w14:textId="77777777" w:rsidTr="004736F2">
        <w:tc>
          <w:tcPr>
            <w:tcW w:w="0" w:type="auto"/>
            <w:tcMar>
              <w:left w:w="0" w:type="dxa"/>
              <w:right w:w="0" w:type="dxa"/>
            </w:tcMar>
            <w:vAlign w:val="center"/>
          </w:tcPr>
          <w:p w14:paraId="0FE13E5A" w14:textId="77777777" w:rsidR="00F52111" w:rsidRPr="00BC31E0" w:rsidRDefault="00A51873" w:rsidP="006267F3">
            <w:pPr>
              <w:tabs>
                <w:tab w:val="left" w:leader="middleDot" w:pos="8505"/>
              </w:tabs>
              <w:spacing w:before="60"/>
            </w:pPr>
            <m:oMathPara>
              <m:oMathParaPr>
                <m:jc m:val="left"/>
              </m:oMathParaPr>
              <m:oMath>
                <m:sSub>
                  <m:sSubPr>
                    <m:ctrlPr>
                      <w:rPr>
                        <w:rFonts w:ascii="Cambria Math" w:hAnsi="Cambria Math"/>
                      </w:rPr>
                    </m:ctrlPr>
                  </m:sSubPr>
                  <m:e>
                    <m:r>
                      <w:rPr>
                        <w:rFonts w:ascii="Cambria Math" w:hAnsi="Cambria Math"/>
                      </w:rPr>
                      <m:t>K</m:t>
                    </m:r>
                  </m:e>
                  <m:sub>
                    <m:r>
                      <m:rPr>
                        <m:sty m:val="p"/>
                      </m:rPr>
                      <w:rPr>
                        <w:rFonts w:ascii="Cambria Math" w:hAnsi="Cambria Math"/>
                      </w:rPr>
                      <m:t>I</m:t>
                    </m:r>
                    <m:r>
                      <w:rPr>
                        <w:rFonts w:ascii="Cambria Math" w:hAnsi="Cambria Math"/>
                      </w:rPr>
                      <m:t>C</m:t>
                    </m:r>
                  </m:sub>
                </m:sSub>
                <m:r>
                  <w:rPr>
                    <w:rFonts w:ascii="Cambria Math" w:hAnsi="Cambria Math"/>
                  </w:rPr>
                  <m:t>=</m:t>
                </m:r>
                <m:rad>
                  <m:radPr>
                    <m:degHide m:val="1"/>
                    <m:ctrlPr>
                      <w:rPr>
                        <w:rFonts w:ascii="Cambria Math" w:hAnsi="Cambria Math"/>
                      </w:rPr>
                    </m:ctrlPr>
                  </m:radPr>
                  <m:deg/>
                  <m:e>
                    <m:f>
                      <m:fPr>
                        <m:ctrlPr>
                          <w:rPr>
                            <w:rFonts w:ascii="Cambria Math" w:hAnsi="Cambria Math"/>
                          </w:rPr>
                        </m:ctrlPr>
                      </m:fPr>
                      <m:num>
                        <m:r>
                          <w:rPr>
                            <w:rFonts w:ascii="Cambria Math" w:hAnsi="Cambria Math"/>
                          </w:rPr>
                          <m:t xml:space="preserve">E </m:t>
                        </m:r>
                        <m:sSub>
                          <m:sSubPr>
                            <m:ctrlPr>
                              <w:rPr>
                                <w:rFonts w:ascii="Cambria Math" w:hAnsi="Cambria Math"/>
                              </w:rPr>
                            </m:ctrlPr>
                          </m:sSubPr>
                          <m:e>
                            <m:r>
                              <w:rPr>
                                <w:rFonts w:ascii="Cambria Math" w:hAnsi="Cambria Math"/>
                              </w:rPr>
                              <m:t>J</m:t>
                            </m:r>
                          </m:e>
                          <m:sub>
                            <m:r>
                              <m:rPr>
                                <m:sty m:val="p"/>
                              </m:rPr>
                              <w:rPr>
                                <w:rFonts w:ascii="Cambria Math" w:hAnsi="Cambria Math"/>
                              </w:rPr>
                              <m:t>I</m:t>
                            </m:r>
                            <m:r>
                              <w:rPr>
                                <w:rFonts w:ascii="Cambria Math" w:hAnsi="Cambria Math"/>
                              </w:rPr>
                              <m:t>C</m:t>
                            </m:r>
                          </m:sub>
                        </m:sSub>
                      </m:num>
                      <m:den>
                        <m:r>
                          <w:rPr>
                            <w:rFonts w:ascii="Cambria Math" w:hAnsi="Cambria Math"/>
                          </w:rPr>
                          <m:t>1-</m:t>
                        </m:r>
                        <m:sSup>
                          <m:sSupPr>
                            <m:ctrlPr>
                              <w:rPr>
                                <w:rFonts w:ascii="Cambria Math" w:hAnsi="Cambria Math"/>
                              </w:rPr>
                            </m:ctrlPr>
                          </m:sSupPr>
                          <m:e>
                            <m:r>
                              <w:rPr>
                                <w:rFonts w:ascii="Cambria Math" w:hAnsi="Cambria Math"/>
                              </w:rPr>
                              <m:t>ν</m:t>
                            </m:r>
                          </m:e>
                          <m:sup>
                            <m:r>
                              <w:rPr>
                                <w:rFonts w:ascii="Cambria Math" w:hAnsi="Cambria Math"/>
                              </w:rPr>
                              <m:t>2</m:t>
                            </m:r>
                          </m:sup>
                        </m:sSup>
                      </m:den>
                    </m:f>
                  </m:e>
                </m:rad>
              </m:oMath>
            </m:oMathPara>
          </w:p>
        </w:tc>
        <w:tc>
          <w:tcPr>
            <w:tcW w:w="1956" w:type="dxa"/>
            <w:tcMar>
              <w:left w:w="0" w:type="dxa"/>
              <w:right w:w="0" w:type="dxa"/>
            </w:tcMar>
            <w:vAlign w:val="center"/>
          </w:tcPr>
          <w:p w14:paraId="4F21AD67" w14:textId="77777777" w:rsidR="00F52111" w:rsidRPr="00BC31E0" w:rsidRDefault="00F52111" w:rsidP="006267F3">
            <w:pPr>
              <w:tabs>
                <w:tab w:val="left" w:pos="4111"/>
                <w:tab w:val="left" w:leader="middleDot" w:pos="8505"/>
              </w:tabs>
              <w:spacing w:before="60"/>
              <w:ind w:firstLineChars="300" w:firstLine="630"/>
            </w:pPr>
            <w:r w:rsidRPr="00BC31E0">
              <w:t>(</w:t>
            </w:r>
            <w:r w:rsidRPr="00BC31E0">
              <w:rPr>
                <w:rFonts w:ascii="ＭＳ 明朝" w:hAnsi="ＭＳ 明朝" w:hint="eastAsia"/>
              </w:rPr>
              <w:t>平面ひずみ</w:t>
            </w:r>
            <w:r w:rsidRPr="00BC31E0">
              <w:t>)</w:t>
            </w:r>
          </w:p>
        </w:tc>
        <w:tc>
          <w:tcPr>
            <w:tcW w:w="3685" w:type="dxa"/>
            <w:tcMar>
              <w:left w:w="0" w:type="dxa"/>
              <w:right w:w="0" w:type="dxa"/>
            </w:tcMar>
            <w:vAlign w:val="center"/>
          </w:tcPr>
          <w:p w14:paraId="5A0636C9" w14:textId="77777777" w:rsidR="00F52111" w:rsidRPr="00BC31E0" w:rsidRDefault="00F52111" w:rsidP="006267F3">
            <w:pPr>
              <w:tabs>
                <w:tab w:val="left" w:leader="middleDot" w:pos="3118"/>
              </w:tabs>
              <w:spacing w:before="60"/>
            </w:pPr>
            <w:r w:rsidRPr="00BC31E0">
              <w:tab/>
            </w:r>
            <w:r w:rsidRPr="00BC31E0">
              <w:rPr>
                <w:rFonts w:hint="eastAsia"/>
              </w:rPr>
              <w:t>(35)</w:t>
            </w:r>
          </w:p>
        </w:tc>
      </w:tr>
    </w:tbl>
    <w:p w14:paraId="6C8B82BC" w14:textId="77777777" w:rsidR="00F52111" w:rsidRPr="00BC31E0" w:rsidRDefault="00F52111" w:rsidP="00736130">
      <w:pPr>
        <w:pStyle w:val="a4"/>
        <w:numPr>
          <w:ilvl w:val="0"/>
          <w:numId w:val="373"/>
        </w:numPr>
        <w:spacing w:after="120"/>
        <w:ind w:leftChars="0" w:left="738" w:hanging="454"/>
        <w:rPr>
          <w:rFonts w:asciiTheme="majorEastAsia" w:eastAsiaTheme="majorEastAsia" w:hAnsiTheme="majorEastAsia"/>
          <w:b/>
        </w:rPr>
      </w:pPr>
      <w:r w:rsidRPr="00BC31E0">
        <w:rPr>
          <w:rFonts w:asciiTheme="majorEastAsia" w:eastAsiaTheme="majorEastAsia" w:hAnsiTheme="majorEastAsia" w:hint="eastAsia"/>
          <w:b/>
        </w:rPr>
        <w:lastRenderedPageBreak/>
        <w:t>亀裂先端開口変位(</w:t>
      </w:r>
      <m:oMath>
        <m:r>
          <m:rPr>
            <m:sty m:val="bi"/>
          </m:rPr>
          <w:rPr>
            <w:rFonts w:ascii="Cambria Math" w:eastAsiaTheme="majorEastAsia" w:hAnsi="Cambria Math"/>
          </w:rPr>
          <m:t>CTOD</m:t>
        </m:r>
      </m:oMath>
      <w:r w:rsidRPr="00BC31E0">
        <w:rPr>
          <w:rFonts w:asciiTheme="majorEastAsia" w:eastAsiaTheme="majorEastAsia" w:hAnsiTheme="majorEastAsia" w:hint="eastAsia"/>
          <w:b/>
        </w:rPr>
        <w:t>)と</w:t>
      </w:r>
      <m:oMath>
        <m:sSub>
          <m:sSubPr>
            <m:ctrlPr>
              <w:rPr>
                <w:rFonts w:ascii="Cambria Math" w:eastAsiaTheme="majorEastAsia" w:hAnsiTheme="majorEastAsia"/>
                <w:b/>
              </w:rPr>
            </m:ctrlPr>
          </m:sSubPr>
          <m:e>
            <m:r>
              <m:rPr>
                <m:sty m:val="bi"/>
              </m:rPr>
              <w:rPr>
                <w:rFonts w:ascii="Cambria Math" w:eastAsiaTheme="majorEastAsia" w:hAnsi="Cambria Math"/>
              </w:rPr>
              <m:t xml:space="preserve"> K</m:t>
            </m:r>
          </m:e>
          <m:sub>
            <m:r>
              <m:rPr>
                <m:sty m:val="b"/>
              </m:rPr>
              <w:rPr>
                <w:rFonts w:ascii="Cambria Math" w:eastAsiaTheme="majorEastAsia" w:hAnsi="Cambria Math"/>
              </w:rPr>
              <m:t>I</m:t>
            </m:r>
            <m:r>
              <m:rPr>
                <m:sty m:val="bi"/>
              </m:rPr>
              <w:rPr>
                <w:rFonts w:ascii="Cambria Math" w:eastAsiaTheme="majorEastAsia" w:hAnsi="Cambria Math"/>
              </w:rPr>
              <m:t>C</m:t>
            </m:r>
          </m:sub>
        </m:sSub>
        <m:r>
          <m:rPr>
            <m:sty m:val="b"/>
          </m:rPr>
          <w:rPr>
            <w:rFonts w:ascii="Cambria Math" w:eastAsiaTheme="majorEastAsia" w:hAnsi="Cambria Math"/>
          </w:rPr>
          <m:t xml:space="preserve"> </m:t>
        </m:r>
      </m:oMath>
      <w:r w:rsidRPr="00BC31E0">
        <w:rPr>
          <w:rFonts w:asciiTheme="majorEastAsia" w:eastAsiaTheme="majorEastAsia" w:hAnsiTheme="majorEastAsia" w:hint="eastAsia"/>
          <w:b/>
        </w:rPr>
        <w:t>の相関関係</w:t>
      </w:r>
    </w:p>
    <w:tbl>
      <w:tblPr>
        <w:tblStyle w:val="afff2"/>
        <w:tblW w:w="6945" w:type="dxa"/>
        <w:tblInd w:w="2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2"/>
        <w:gridCol w:w="5063"/>
      </w:tblGrid>
      <w:tr w:rsidR="00F52111" w:rsidRPr="00BC31E0" w14:paraId="3E878036" w14:textId="77777777" w:rsidTr="004736F2">
        <w:tc>
          <w:tcPr>
            <w:tcW w:w="0" w:type="auto"/>
            <w:tcMar>
              <w:left w:w="0" w:type="dxa"/>
              <w:right w:w="0" w:type="dxa"/>
            </w:tcMar>
            <w:vAlign w:val="center"/>
          </w:tcPr>
          <w:p w14:paraId="3F234E73" w14:textId="77777777" w:rsidR="00F52111" w:rsidRPr="00BC31E0" w:rsidRDefault="00A51873" w:rsidP="00C318B3">
            <w:pPr>
              <w:tabs>
                <w:tab w:val="left" w:pos="2127"/>
                <w:tab w:val="left" w:pos="4111"/>
                <w:tab w:val="left" w:leader="middleDot" w:pos="8505"/>
              </w:tabs>
            </w:pPr>
            <m:oMathPara>
              <m:oMathParaPr>
                <m:jc m:val="left"/>
              </m:oMathParaPr>
              <m:oMath>
                <m:sSub>
                  <m:sSubPr>
                    <m:ctrlPr>
                      <w:rPr>
                        <w:rFonts w:ascii="Cambria Math" w:hAnsi="Cambria Math"/>
                      </w:rPr>
                    </m:ctrlPr>
                  </m:sSubPr>
                  <m:e>
                    <m:r>
                      <w:rPr>
                        <w:rFonts w:ascii="Cambria Math" w:hAnsi="Cambria Math"/>
                      </w:rPr>
                      <m:t>K</m:t>
                    </m:r>
                  </m:e>
                  <m:sub>
                    <m:r>
                      <m:rPr>
                        <m:sty m:val="p"/>
                      </m:rPr>
                      <w:rPr>
                        <w:rFonts w:ascii="Cambria Math" w:hAnsi="Cambria Math"/>
                      </w:rPr>
                      <m:t>I</m:t>
                    </m:r>
                    <m:r>
                      <w:rPr>
                        <w:rFonts w:ascii="Cambria Math" w:hAnsi="Cambria Math"/>
                      </w:rPr>
                      <m:t>C</m:t>
                    </m:r>
                  </m:sub>
                </m:sSub>
                <m:r>
                  <w:rPr>
                    <w:rFonts w:ascii="Cambria Math" w:hAnsi="Cambria Math"/>
                  </w:rPr>
                  <m:t>=</m:t>
                </m:r>
                <m:rad>
                  <m:radPr>
                    <m:degHide m:val="1"/>
                    <m:ctrlPr>
                      <w:rPr>
                        <w:rFonts w:ascii="Cambria Math" w:hAnsi="Cambria Math"/>
                      </w:rPr>
                    </m:ctrlPr>
                  </m:radPr>
                  <m:deg/>
                  <m:e>
                    <m:d>
                      <m:dPr>
                        <m:ctrlPr>
                          <w:rPr>
                            <w:rFonts w:ascii="Cambria Math" w:hAnsi="Cambria Math"/>
                          </w:rPr>
                        </m:ctrlPr>
                      </m:dPr>
                      <m:e>
                        <m:r>
                          <w:rPr>
                            <w:rFonts w:ascii="Cambria Math" w:hAnsi="Cambria Math"/>
                          </w:rPr>
                          <m:t>CTOD</m:t>
                        </m:r>
                      </m:e>
                    </m:d>
                    <m:r>
                      <w:rPr>
                        <w:rFonts w:ascii="Cambria Math" w:hAnsi="Cambria Math"/>
                      </w:rPr>
                      <m:t xml:space="preserve"> E </m:t>
                    </m:r>
                    <m:sSub>
                      <m:sSubPr>
                        <m:ctrlPr>
                          <w:rPr>
                            <w:rFonts w:ascii="Cambria Math" w:hAnsi="Cambria Math"/>
                          </w:rPr>
                        </m:ctrlPr>
                      </m:sSubPr>
                      <m:e>
                        <m:r>
                          <w:rPr>
                            <w:rFonts w:ascii="Cambria Math" w:hAnsi="Cambria Math"/>
                          </w:rPr>
                          <m:t>S</m:t>
                        </m:r>
                      </m:e>
                      <m:sub>
                        <m:r>
                          <w:rPr>
                            <w:rFonts w:ascii="Cambria Math" w:hAnsi="Cambria Math"/>
                          </w:rPr>
                          <m:t>y</m:t>
                        </m:r>
                      </m:sub>
                    </m:sSub>
                  </m:e>
                </m:rad>
              </m:oMath>
            </m:oMathPara>
          </w:p>
        </w:tc>
        <w:tc>
          <w:tcPr>
            <w:tcW w:w="5063" w:type="dxa"/>
            <w:tcMar>
              <w:left w:w="0" w:type="dxa"/>
              <w:right w:w="0" w:type="dxa"/>
            </w:tcMar>
            <w:vAlign w:val="center"/>
          </w:tcPr>
          <w:p w14:paraId="488557D6" w14:textId="77777777" w:rsidR="00F52111" w:rsidRPr="00BC31E0" w:rsidRDefault="00F52111" w:rsidP="00C318B3">
            <w:pPr>
              <w:tabs>
                <w:tab w:val="left" w:leader="middleDot" w:pos="4496"/>
              </w:tabs>
            </w:pPr>
            <w:r w:rsidRPr="00BC31E0">
              <w:tab/>
            </w:r>
            <w:r w:rsidRPr="00BC31E0">
              <w:rPr>
                <w:rFonts w:hint="eastAsia"/>
              </w:rPr>
              <w:t>(36)</w:t>
            </w:r>
          </w:p>
        </w:tc>
      </w:tr>
    </w:tbl>
    <w:p w14:paraId="6F4E7ECA" w14:textId="77777777" w:rsidR="00F52111" w:rsidRPr="00BC31E0" w:rsidRDefault="00F52111" w:rsidP="00C318B3">
      <w:pPr>
        <w:ind w:left="737"/>
      </w:pPr>
      <w:r w:rsidRPr="00BC31E0">
        <w:rPr>
          <w:rFonts w:hint="eastAsia"/>
        </w:rPr>
        <w:t>ここで，</w:t>
      </w:r>
    </w:p>
    <w:p w14:paraId="31631028" w14:textId="77777777" w:rsidR="00F52111" w:rsidRPr="00BC31E0" w:rsidRDefault="00A51873" w:rsidP="00C318B3">
      <w:pPr>
        <w:tabs>
          <w:tab w:val="left" w:pos="2127"/>
        </w:tabs>
        <w:ind w:leftChars="680" w:left="1428"/>
        <w:rPr>
          <w:rFonts w:asciiTheme="minorHAnsi" w:eastAsiaTheme="minorEastAsia" w:hAnsiTheme="minorHAnsi"/>
        </w:rPr>
      </w:pPr>
      <m:oMath>
        <m:sSub>
          <m:sSubPr>
            <m:ctrlPr>
              <w:rPr>
                <w:rFonts w:ascii="Cambria Math" w:eastAsiaTheme="minorEastAsia" w:hAnsi="Cambria Math"/>
                <w:i/>
              </w:rPr>
            </m:ctrlPr>
          </m:sSubPr>
          <m:e>
            <m:r>
              <w:rPr>
                <w:rFonts w:ascii="Cambria Math" w:eastAsiaTheme="minorEastAsia" w:hAnsi="Cambria Math"/>
              </w:rPr>
              <m:t>J</m:t>
            </m:r>
          </m:e>
          <m:sub>
            <m:r>
              <m:rPr>
                <m:sty m:val="p"/>
              </m:rPr>
              <w:rPr>
                <w:rFonts w:ascii="Cambria Math" w:eastAsiaTheme="minorEastAsia" w:hAnsi="Cambria Math"/>
              </w:rPr>
              <m:t>I</m:t>
            </m:r>
            <m:r>
              <w:rPr>
                <w:rFonts w:ascii="Cambria Math" w:eastAsiaTheme="minorEastAsia" w:hAnsi="Cambria Math"/>
              </w:rPr>
              <m:t>c</m:t>
            </m:r>
          </m:sub>
        </m:sSub>
      </m:oMath>
      <w:r w:rsidR="00F52111" w:rsidRPr="00BC31E0">
        <w:rPr>
          <w:rFonts w:asciiTheme="minorHAnsi" w:eastAsiaTheme="minorEastAsia" w:hAnsiTheme="minorHAnsi"/>
        </w:rPr>
        <w:tab/>
      </w:r>
      <w:r w:rsidR="00F52111" w:rsidRPr="00BC31E0">
        <w:rPr>
          <w:rFonts w:asciiTheme="minorHAnsi" w:eastAsiaTheme="minorEastAsia" w:hAnsiTheme="minorEastAsia"/>
        </w:rPr>
        <w:t>：</w:t>
      </w:r>
      <w:r w:rsidR="00F52111" w:rsidRPr="00BC31E0">
        <w:rPr>
          <w:rFonts w:asciiTheme="minorHAnsi" w:eastAsiaTheme="minorEastAsia" w:hAnsiTheme="minorEastAsia" w:hint="eastAsia"/>
        </w:rPr>
        <w:t xml:space="preserve"> </w:t>
      </w:r>
      <w:r w:rsidR="00F52111" w:rsidRPr="00BC31E0">
        <w:rPr>
          <w:rFonts w:asciiTheme="minorHAnsi" w:eastAsiaTheme="minorEastAsia" w:hAnsiTheme="minorHAnsi"/>
        </w:rPr>
        <w:t>J</w:t>
      </w:r>
      <w:r w:rsidR="00F52111" w:rsidRPr="00BC31E0">
        <w:rPr>
          <w:rFonts w:asciiTheme="minorHAnsi" w:eastAsiaTheme="minorEastAsia" w:hAnsiTheme="minorEastAsia"/>
        </w:rPr>
        <w:t>積分による弾塑性破壊</w:t>
      </w:r>
      <w:r w:rsidR="00F52111" w:rsidRPr="00BC31E0">
        <w:rPr>
          <w:rFonts w:asciiTheme="minorHAnsi" w:eastAsiaTheme="minorEastAsia" w:hAnsiTheme="minorEastAsia" w:hint="eastAsia"/>
        </w:rPr>
        <w:t>靭</w:t>
      </w:r>
      <w:r w:rsidR="00F52111" w:rsidRPr="00BC31E0">
        <w:rPr>
          <w:rFonts w:asciiTheme="minorHAnsi" w:eastAsiaTheme="minorEastAsia" w:hAnsiTheme="minorEastAsia"/>
        </w:rPr>
        <w:t>性値</w:t>
      </w:r>
      <w:r w:rsidR="00F52111" w:rsidRPr="00BC31E0">
        <w:rPr>
          <w:rFonts w:asciiTheme="minorHAnsi" w:eastAsiaTheme="minorEastAsia" w:hAnsiTheme="minorEastAsia" w:hint="eastAsia"/>
        </w:rPr>
        <w:t>(</w:t>
      </w:r>
      <m:oMath>
        <m:f>
          <m:fPr>
            <m:type m:val="lin"/>
            <m:ctrlPr>
              <w:rPr>
                <w:rFonts w:ascii="Cambria Math" w:eastAsiaTheme="minorEastAsia" w:hAnsi="Cambria Math"/>
              </w:rPr>
            </m:ctrlPr>
          </m:fPr>
          <m:num>
            <m:r>
              <m:rPr>
                <m:sty m:val="p"/>
              </m:rPr>
              <w:rPr>
                <w:rFonts w:ascii="Cambria Math" w:eastAsiaTheme="minorEastAsia" w:hAnsi="Cambria Math"/>
              </w:rPr>
              <m:t>MJ</m:t>
            </m:r>
          </m:num>
          <m:den>
            <m:sSup>
              <m:sSupPr>
                <m:ctrlPr>
                  <w:rPr>
                    <w:rFonts w:ascii="Cambria Math" w:eastAsiaTheme="minorEastAsia" w:hAnsi="Cambria Math"/>
                  </w:rPr>
                </m:ctrlPr>
              </m:sSupPr>
              <m:e>
                <m:r>
                  <m:rPr>
                    <m:sty m:val="p"/>
                  </m:rPr>
                  <w:rPr>
                    <w:rFonts w:ascii="Cambria Math" w:eastAsiaTheme="minorEastAsia" w:hAnsi="Cambria Math"/>
                  </w:rPr>
                  <m:t>m</m:t>
                </m:r>
              </m:e>
              <m:sup>
                <m:r>
                  <m:rPr>
                    <m:sty m:val="p"/>
                  </m:rPr>
                  <w:rPr>
                    <w:rFonts w:ascii="Cambria Math" w:eastAsiaTheme="minorEastAsia" w:hAnsi="Cambria Math"/>
                  </w:rPr>
                  <m:t>2</m:t>
                </m:r>
              </m:sup>
            </m:sSup>
            <m:r>
              <m:rPr>
                <m:sty m:val="p"/>
              </m:rPr>
              <w:rPr>
                <w:rFonts w:ascii="Cambria Math" w:eastAsiaTheme="minorEastAsia" w:hAnsi="Cambria Math"/>
              </w:rPr>
              <m:t xml:space="preserve"> </m:t>
            </m:r>
          </m:den>
        </m:f>
      </m:oMath>
      <w:r w:rsidR="00F52111" w:rsidRPr="00BC31E0">
        <w:rPr>
          <w:rFonts w:asciiTheme="minorHAnsi" w:eastAsiaTheme="minorEastAsia" w:hAnsiTheme="minorEastAsia"/>
        </w:rPr>
        <w:t>又は</w:t>
      </w:r>
      <m:oMath>
        <m:r>
          <m:rPr>
            <m:sty m:val="p"/>
          </m:rPr>
          <w:rPr>
            <w:rFonts w:ascii="Cambria Math" w:eastAsiaTheme="minorEastAsia" w:hAnsi="Cambria Math"/>
          </w:rPr>
          <m:t xml:space="preserve"> MPa m</m:t>
        </m:r>
      </m:oMath>
      <w:r w:rsidR="00F52111" w:rsidRPr="00BC31E0">
        <w:rPr>
          <w:rFonts w:asciiTheme="minorHAnsi" w:eastAsiaTheme="minorEastAsia" w:hAnsiTheme="minorEastAsia" w:hint="eastAsia"/>
        </w:rPr>
        <w:t>)</w:t>
      </w:r>
    </w:p>
    <w:p w14:paraId="406FA347" w14:textId="77777777" w:rsidR="00F52111" w:rsidRPr="00BC31E0" w:rsidRDefault="00F52111" w:rsidP="00C318B3">
      <w:pPr>
        <w:tabs>
          <w:tab w:val="left" w:pos="2127"/>
        </w:tabs>
        <w:ind w:leftChars="680" w:left="1428"/>
        <w:rPr>
          <w:rFonts w:asciiTheme="minorHAnsi" w:eastAsiaTheme="minorEastAsia" w:hAnsiTheme="minorHAnsi"/>
        </w:rPr>
      </w:pPr>
      <m:oMath>
        <m:r>
          <w:rPr>
            <w:rFonts w:ascii="Cambria Math" w:eastAsiaTheme="minorEastAsia" w:hAnsi="Cambria Math" w:hint="eastAsia"/>
          </w:rPr>
          <m:t>CTOD</m:t>
        </m:r>
      </m:oMath>
      <w:r w:rsidRPr="00BC31E0">
        <w:rPr>
          <w:rFonts w:asciiTheme="minorHAnsi" w:eastAsiaTheme="minorEastAsia" w:hAnsiTheme="minorHAnsi"/>
        </w:rPr>
        <w:tab/>
      </w:r>
      <w:r w:rsidRPr="00BC31E0">
        <w:rPr>
          <w:rFonts w:asciiTheme="minorHAnsi" w:eastAsiaTheme="minorEastAsia" w:hAnsiTheme="minorEastAsia"/>
        </w:rPr>
        <w:t>：</w:t>
      </w:r>
      <w:r w:rsidRPr="00BC31E0">
        <w:rPr>
          <w:rFonts w:asciiTheme="minorHAnsi" w:eastAsiaTheme="minorEastAsia" w:hAnsiTheme="minorEastAsia" w:hint="eastAsia"/>
        </w:rPr>
        <w:t xml:space="preserve"> </w:t>
      </w:r>
      <w:r w:rsidRPr="00BC31E0">
        <w:rPr>
          <w:rFonts w:asciiTheme="minorHAnsi" w:eastAsiaTheme="minorEastAsia" w:hAnsiTheme="minorEastAsia"/>
        </w:rPr>
        <w:t>亀裂先端開口変位</w:t>
      </w:r>
      <w:r w:rsidRPr="00BC31E0">
        <w:rPr>
          <w:rFonts w:asciiTheme="minorHAnsi" w:eastAsiaTheme="minorEastAsia" w:hAnsiTheme="minorHAnsi"/>
        </w:rPr>
        <w:t>(m)</w:t>
      </w:r>
    </w:p>
    <w:p w14:paraId="15D79EFB" w14:textId="77777777" w:rsidR="00F52111" w:rsidRPr="00BC31E0" w:rsidRDefault="00F52111" w:rsidP="00C318B3">
      <w:pPr>
        <w:tabs>
          <w:tab w:val="left" w:pos="2127"/>
        </w:tabs>
        <w:ind w:leftChars="680" w:left="1428"/>
        <w:rPr>
          <w:iCs/>
        </w:rPr>
      </w:pPr>
      <m:oMath>
        <m:r>
          <w:rPr>
            <w:rFonts w:ascii="Cambria Math" w:hAnsi="Cambria Math"/>
          </w:rPr>
          <m:t xml:space="preserve">E </m:t>
        </m:r>
      </m:oMath>
      <w:r w:rsidRPr="00BC31E0">
        <w:rPr>
          <w:rFonts w:hint="eastAsia"/>
        </w:rPr>
        <w:tab/>
      </w:r>
      <w:r w:rsidRPr="00BC31E0">
        <w:rPr>
          <w:rFonts w:hint="eastAsia"/>
        </w:rPr>
        <w:t>：</w:t>
      </w:r>
      <w:r w:rsidRPr="00BC31E0">
        <w:rPr>
          <w:rFonts w:hint="eastAsia"/>
        </w:rPr>
        <w:t xml:space="preserve"> </w:t>
      </w:r>
      <w:r w:rsidRPr="00BC31E0">
        <w:rPr>
          <w:rFonts w:hint="eastAsia"/>
        </w:rPr>
        <w:t>縦弾性係数</w:t>
      </w:r>
      <w:r w:rsidRPr="00BC31E0">
        <w:rPr>
          <w:rFonts w:hint="eastAsia"/>
        </w:rPr>
        <w:t>(</w:t>
      </w:r>
      <w:r w:rsidRPr="00BC31E0">
        <w:rPr>
          <w:rFonts w:ascii="Cambria Math" w:hAnsi="Cambria Math"/>
          <w:iCs/>
        </w:rPr>
        <w:t>MPa</w:t>
      </w:r>
      <w:r w:rsidRPr="00BC31E0">
        <w:rPr>
          <w:rFonts w:hint="eastAsia"/>
          <w:iCs/>
        </w:rPr>
        <w:t>)</w:t>
      </w:r>
    </w:p>
    <w:p w14:paraId="0BFAC1E7" w14:textId="77777777" w:rsidR="00F52111" w:rsidRPr="00BC31E0" w:rsidRDefault="00A51873" w:rsidP="00C318B3">
      <w:pPr>
        <w:tabs>
          <w:tab w:val="left" w:pos="2127"/>
        </w:tabs>
        <w:ind w:leftChars="680" w:left="1428"/>
        <w:rPr>
          <w:iCs/>
        </w:rPr>
      </w:pPr>
      <m:oMath>
        <m:sSub>
          <m:sSubPr>
            <m:ctrlPr>
              <w:rPr>
                <w:rFonts w:ascii="Cambria Math" w:hAnsi="Cambria Math"/>
              </w:rPr>
            </m:ctrlPr>
          </m:sSubPr>
          <m:e>
            <m:r>
              <w:rPr>
                <w:rFonts w:ascii="Cambria Math" w:hAnsi="Cambria Math"/>
              </w:rPr>
              <m:t>S</m:t>
            </m:r>
          </m:e>
          <m:sub>
            <m:r>
              <w:rPr>
                <w:rFonts w:ascii="Cambria Math" w:hAnsi="Cambria Math"/>
              </w:rPr>
              <m:t>y</m:t>
            </m:r>
          </m:sub>
        </m:sSub>
        <m:r>
          <m:rPr>
            <m:sty m:val="p"/>
          </m:rPr>
          <w:rPr>
            <w:rFonts w:ascii="Cambria Math" w:hAnsi="Cambria Math"/>
          </w:rPr>
          <m:t xml:space="preserve"> </m:t>
        </m:r>
      </m:oMath>
      <w:r w:rsidR="00F52111" w:rsidRPr="00BC31E0">
        <w:rPr>
          <w:rFonts w:hint="eastAsia"/>
        </w:rPr>
        <w:tab/>
      </w:r>
      <w:r w:rsidR="00F52111" w:rsidRPr="00BC31E0">
        <w:rPr>
          <w:rFonts w:hint="eastAsia"/>
        </w:rPr>
        <w:t>：</w:t>
      </w:r>
      <w:r w:rsidR="00F52111" w:rsidRPr="00BC31E0">
        <w:rPr>
          <w:rFonts w:hint="eastAsia"/>
        </w:rPr>
        <w:t xml:space="preserve"> </w:t>
      </w:r>
      <w:r w:rsidR="00F52111" w:rsidRPr="00BC31E0">
        <w:rPr>
          <w:rFonts w:hint="eastAsia"/>
        </w:rPr>
        <w:t>降伏強さ</w:t>
      </w:r>
      <w:r w:rsidR="00F52111" w:rsidRPr="00BC31E0">
        <w:rPr>
          <w:rFonts w:hint="eastAsia"/>
        </w:rPr>
        <w:t>(</w:t>
      </w:r>
      <w:r w:rsidR="00F52111" w:rsidRPr="00BC31E0">
        <w:rPr>
          <w:rFonts w:ascii="Cambria Math" w:hAnsi="Cambria Math"/>
          <w:iCs/>
        </w:rPr>
        <w:t>MPa</w:t>
      </w:r>
      <w:r w:rsidR="00F52111" w:rsidRPr="00BC31E0">
        <w:rPr>
          <w:rFonts w:hint="eastAsia"/>
          <w:iCs/>
        </w:rPr>
        <w:t>)</w:t>
      </w:r>
    </w:p>
    <w:p w14:paraId="2DED6FAB" w14:textId="77777777" w:rsidR="00F52111" w:rsidRPr="00BC31E0" w:rsidRDefault="00F52111" w:rsidP="00C318B3">
      <w:pPr>
        <w:tabs>
          <w:tab w:val="left" w:pos="2127"/>
        </w:tabs>
        <w:ind w:leftChars="680" w:left="1428"/>
      </w:pPr>
      <m:oMath>
        <m:r>
          <w:rPr>
            <w:rFonts w:ascii="Cambria Math" w:hAnsi="Cambria Math"/>
          </w:rPr>
          <m:t xml:space="preserve">ν </m:t>
        </m:r>
      </m:oMath>
      <w:r w:rsidRPr="00BC31E0">
        <w:rPr>
          <w:rFonts w:hint="eastAsia"/>
        </w:rPr>
        <w:tab/>
      </w:r>
      <w:r w:rsidRPr="00BC31E0">
        <w:rPr>
          <w:rFonts w:hint="eastAsia"/>
        </w:rPr>
        <w:t>：</w:t>
      </w:r>
      <w:r w:rsidRPr="00BC31E0">
        <w:rPr>
          <w:rFonts w:hint="eastAsia"/>
        </w:rPr>
        <w:t xml:space="preserve"> </w:t>
      </w:r>
      <w:r w:rsidRPr="00BC31E0">
        <w:rPr>
          <w:rFonts w:hint="eastAsia"/>
        </w:rPr>
        <w:t>ポアソン比</w:t>
      </w:r>
    </w:p>
    <w:p w14:paraId="08E1C82B" w14:textId="77777777" w:rsidR="00F52111" w:rsidRPr="00BC31E0" w:rsidRDefault="00F52111" w:rsidP="00C318B3">
      <w:pPr>
        <w:pBdr>
          <w:bottom w:val="single" w:sz="6" w:space="1" w:color="auto"/>
        </w:pBdr>
        <w:jc w:val="left"/>
        <w:rPr>
          <w:rFonts w:ascii="ＭＳ ゴシック" w:eastAsia="ＭＳ ゴシック"/>
          <w:b/>
        </w:rPr>
      </w:pPr>
    </w:p>
    <w:p w14:paraId="58C8D351" w14:textId="77777777" w:rsidR="00F52111" w:rsidRPr="00BC31E0" w:rsidRDefault="00F52111" w:rsidP="00C318B3">
      <w:pPr>
        <w:jc w:val="left"/>
        <w:rPr>
          <w:rFonts w:ascii="ＭＳ ゴシック" w:eastAsia="ＭＳ ゴシック"/>
          <w:b/>
        </w:rPr>
      </w:pPr>
      <w:r w:rsidRPr="00BC31E0">
        <w:rPr>
          <w:rFonts w:ascii="ＭＳ ゴシック" w:eastAsia="ＭＳ ゴシック" w:hint="eastAsia"/>
          <w:b/>
        </w:rPr>
        <w:t>参考文献</w:t>
      </w:r>
    </w:p>
    <w:p w14:paraId="2B5F9F05" w14:textId="77777777" w:rsidR="002E2604" w:rsidRPr="00BC31E0" w:rsidRDefault="00F52111" w:rsidP="00210E18">
      <w:pPr>
        <w:pStyle w:val="a4"/>
        <w:numPr>
          <w:ilvl w:val="0"/>
          <w:numId w:val="650"/>
        </w:numPr>
        <w:ind w:leftChars="0" w:left="454" w:hanging="454"/>
        <w:jc w:val="left"/>
        <w:rPr>
          <w:rFonts w:asciiTheme="minorHAnsi" w:eastAsiaTheme="minorEastAsia" w:hAnsiTheme="minorHAnsi"/>
          <w:b/>
        </w:rPr>
      </w:pPr>
      <w:r w:rsidRPr="00BC31E0">
        <w:rPr>
          <w:rFonts w:asciiTheme="minorHAnsi" w:eastAsiaTheme="minorEastAsia" w:hAnsiTheme="minorHAnsi"/>
        </w:rPr>
        <w:t>Cipolla, R. C., “Technical Basis for the Revised Stress Intensity Factor Equation for Surface Flaws in ASME Section XI, Appendix A”, ASME PVP, Vol.313-1, pp.105-121, (1995)</w:t>
      </w:r>
    </w:p>
    <w:p w14:paraId="0E645F6E" w14:textId="77777777" w:rsidR="002E2604" w:rsidRPr="00BC31E0" w:rsidRDefault="00F52111" w:rsidP="00210E18">
      <w:pPr>
        <w:pStyle w:val="a4"/>
        <w:numPr>
          <w:ilvl w:val="0"/>
          <w:numId w:val="650"/>
        </w:numPr>
        <w:ind w:leftChars="0" w:left="454" w:hanging="454"/>
        <w:jc w:val="left"/>
        <w:rPr>
          <w:rFonts w:asciiTheme="minorHAnsi" w:eastAsiaTheme="minorEastAsia" w:hAnsiTheme="minorHAnsi"/>
          <w:b/>
        </w:rPr>
      </w:pPr>
      <w:r w:rsidRPr="00BC31E0">
        <w:rPr>
          <w:rFonts w:asciiTheme="minorHAnsi" w:eastAsiaTheme="minorEastAsia" w:hAnsiTheme="minorHAnsi"/>
        </w:rPr>
        <w:t>Kendall, D. P., “Application of the New Section XI, A-3000 Method for Stress Intensity Factor Calculation to Thick-Walled Pressure Vessels”, ASME PVP, Vol.335, pp.189-194, (1996)</w:t>
      </w:r>
    </w:p>
    <w:p w14:paraId="3BADC5EB" w14:textId="77777777" w:rsidR="002E2604" w:rsidRPr="00BC31E0" w:rsidRDefault="00F52111" w:rsidP="00210E18">
      <w:pPr>
        <w:pStyle w:val="a4"/>
        <w:numPr>
          <w:ilvl w:val="0"/>
          <w:numId w:val="650"/>
        </w:numPr>
        <w:ind w:leftChars="0" w:left="454" w:hanging="454"/>
        <w:jc w:val="left"/>
        <w:rPr>
          <w:rFonts w:asciiTheme="minorHAnsi" w:eastAsiaTheme="minorEastAsia" w:hAnsiTheme="minorHAnsi"/>
          <w:b/>
        </w:rPr>
      </w:pPr>
      <w:r w:rsidRPr="00BC31E0">
        <w:rPr>
          <w:rFonts w:asciiTheme="minorHAnsi" w:eastAsiaTheme="minorEastAsia" w:hAnsiTheme="minorHAnsi"/>
        </w:rPr>
        <w:t>Shen, G. and Glinka, G., “Weight Functions for a Surface Semi-Elliptical Crack in a Finite Thickness Plate”, Theoretical and Applied Fracture Mechanics 15, pp.247-255, (1991)</w:t>
      </w:r>
    </w:p>
    <w:p w14:paraId="148EA2BD" w14:textId="77777777" w:rsidR="002E2604" w:rsidRPr="00BC31E0" w:rsidRDefault="00F52111" w:rsidP="00210E18">
      <w:pPr>
        <w:pStyle w:val="a4"/>
        <w:numPr>
          <w:ilvl w:val="0"/>
          <w:numId w:val="650"/>
        </w:numPr>
        <w:ind w:leftChars="0" w:left="454" w:hanging="454"/>
        <w:jc w:val="left"/>
        <w:rPr>
          <w:rFonts w:asciiTheme="minorHAnsi" w:eastAsiaTheme="minorEastAsia" w:hAnsiTheme="minorHAnsi"/>
          <w:b/>
        </w:rPr>
      </w:pPr>
      <w:r w:rsidRPr="00BC31E0">
        <w:rPr>
          <w:rFonts w:asciiTheme="minorHAnsi" w:eastAsiaTheme="minorEastAsia" w:hAnsiTheme="minorHAnsi"/>
        </w:rPr>
        <w:t>ASME, API 579-1/ASME FFS-1 2007 Fitness-For-Service, pp.C-43-C-48, (2007)</w:t>
      </w:r>
    </w:p>
    <w:p w14:paraId="3F05E262" w14:textId="77777777" w:rsidR="002E2604" w:rsidRPr="00BC31E0" w:rsidRDefault="00F52111" w:rsidP="00210E18">
      <w:pPr>
        <w:pStyle w:val="a4"/>
        <w:numPr>
          <w:ilvl w:val="0"/>
          <w:numId w:val="650"/>
        </w:numPr>
        <w:ind w:leftChars="0" w:left="454" w:hanging="454"/>
        <w:jc w:val="left"/>
        <w:rPr>
          <w:rFonts w:asciiTheme="minorHAnsi" w:eastAsiaTheme="minorEastAsia" w:hAnsiTheme="minorHAnsi"/>
          <w:b/>
        </w:rPr>
      </w:pPr>
      <w:r w:rsidRPr="00BC31E0">
        <w:rPr>
          <w:rFonts w:asciiTheme="minorHAnsi" w:eastAsiaTheme="minorEastAsia" w:hAnsiTheme="minorHAnsi"/>
        </w:rPr>
        <w:t>Chaaban, A. and BurnS, D. J., “Design of High Pressure Vessels with Radial Crossbores”, Physica, B139 &amp; 140, pp.766-772, (1986)</w:t>
      </w:r>
    </w:p>
    <w:p w14:paraId="5FCAAC81" w14:textId="77777777" w:rsidR="002E2604" w:rsidRPr="00BC31E0" w:rsidRDefault="00F52111" w:rsidP="00210E18">
      <w:pPr>
        <w:pStyle w:val="a4"/>
        <w:numPr>
          <w:ilvl w:val="0"/>
          <w:numId w:val="650"/>
        </w:numPr>
        <w:ind w:leftChars="0" w:left="454" w:hanging="454"/>
        <w:jc w:val="left"/>
        <w:rPr>
          <w:rFonts w:asciiTheme="minorHAnsi" w:eastAsiaTheme="minorEastAsia" w:hAnsiTheme="minorHAnsi"/>
          <w:b/>
        </w:rPr>
      </w:pPr>
      <w:r w:rsidRPr="00BC31E0">
        <w:rPr>
          <w:rFonts w:asciiTheme="minorHAnsi" w:eastAsiaTheme="minorEastAsia" w:hAnsiTheme="minorHAnsi"/>
        </w:rPr>
        <w:t>Buchalet, C. B. and Bamford, W. H., “Stress Intensity Factor Solutions for Continuous Surface Flaws in Reactor Pressure Vessels”, Mechanics for Crack Growth, ASTM STP, 590, pp.385-402, (1976)</w:t>
      </w:r>
    </w:p>
    <w:p w14:paraId="7D48C812" w14:textId="77777777" w:rsidR="002E2604" w:rsidRPr="00BC31E0" w:rsidRDefault="00F52111" w:rsidP="00210E18">
      <w:pPr>
        <w:pStyle w:val="a4"/>
        <w:numPr>
          <w:ilvl w:val="0"/>
          <w:numId w:val="650"/>
        </w:numPr>
        <w:ind w:leftChars="0" w:left="454" w:hanging="454"/>
        <w:jc w:val="left"/>
        <w:rPr>
          <w:rFonts w:asciiTheme="minorHAnsi" w:eastAsiaTheme="minorEastAsia" w:hAnsiTheme="minorHAnsi"/>
          <w:b/>
        </w:rPr>
      </w:pPr>
      <w:r w:rsidRPr="00BC31E0">
        <w:rPr>
          <w:rFonts w:asciiTheme="minorHAnsi" w:eastAsiaTheme="minorEastAsia" w:hAnsiTheme="minorHAnsi"/>
        </w:rPr>
        <w:t>Perez, E. H., Sloan, J. G., and Kelleher, K. J., “Application of Fatigue Crack Growth to an Isostatic Press”, ASME PVP, Vol.125, pp.53-61, (1987)</w:t>
      </w:r>
    </w:p>
    <w:p w14:paraId="6C305A5D" w14:textId="77777777" w:rsidR="002E2604" w:rsidRPr="00BC31E0" w:rsidRDefault="00F52111" w:rsidP="00210E18">
      <w:pPr>
        <w:pStyle w:val="a4"/>
        <w:numPr>
          <w:ilvl w:val="0"/>
          <w:numId w:val="650"/>
        </w:numPr>
        <w:ind w:leftChars="0" w:left="454" w:hanging="454"/>
        <w:jc w:val="left"/>
        <w:rPr>
          <w:rFonts w:asciiTheme="minorHAnsi" w:eastAsiaTheme="minorEastAsia" w:hAnsiTheme="minorHAnsi"/>
          <w:b/>
        </w:rPr>
      </w:pPr>
      <w:r w:rsidRPr="00BC31E0">
        <w:rPr>
          <w:rFonts w:asciiTheme="minorHAnsi" w:eastAsiaTheme="minorEastAsia" w:hAnsiTheme="minorHAnsi"/>
        </w:rPr>
        <w:t>Barsom, J. M. and Rolfe, S. T., “Correlations between K</w:t>
      </w:r>
      <w:r w:rsidRPr="00BC31E0">
        <w:rPr>
          <w:rFonts w:asciiTheme="minorHAnsi" w:eastAsiaTheme="minorEastAsia" w:hAnsiTheme="minorHAnsi"/>
          <w:vertAlign w:val="subscript"/>
        </w:rPr>
        <w:t>IC</w:t>
      </w:r>
      <w:r w:rsidRPr="00BC31E0">
        <w:rPr>
          <w:rFonts w:asciiTheme="minorHAnsi" w:eastAsiaTheme="minorEastAsia" w:hAnsiTheme="minorHAnsi"/>
        </w:rPr>
        <w:t xml:space="preserve"> and Charpy V-Notch Test Results in the Transition Temperature Range”, ASTM STP, 466, pp.281-302, (1970)</w:t>
      </w:r>
    </w:p>
    <w:p w14:paraId="16079D7F" w14:textId="77777777" w:rsidR="002E2604" w:rsidRPr="00BC31E0" w:rsidRDefault="00F52111" w:rsidP="00210E18">
      <w:pPr>
        <w:pStyle w:val="a4"/>
        <w:numPr>
          <w:ilvl w:val="0"/>
          <w:numId w:val="650"/>
        </w:numPr>
        <w:ind w:leftChars="0" w:left="454" w:hanging="454"/>
        <w:jc w:val="left"/>
        <w:rPr>
          <w:rFonts w:asciiTheme="minorHAnsi" w:eastAsiaTheme="minorEastAsia" w:hAnsiTheme="minorHAnsi"/>
          <w:b/>
        </w:rPr>
      </w:pPr>
      <w:r w:rsidRPr="00BC31E0">
        <w:rPr>
          <w:rFonts w:asciiTheme="minorHAnsi" w:eastAsiaTheme="minorEastAsia" w:hAnsiTheme="minorHAnsi"/>
        </w:rPr>
        <w:t>Rolfe, S. T. and Novak, S. R., “Slow-Bend K</w:t>
      </w:r>
      <w:r w:rsidRPr="00BC31E0">
        <w:rPr>
          <w:rFonts w:asciiTheme="minorHAnsi" w:eastAsiaTheme="minorEastAsia" w:hAnsiTheme="minorHAnsi"/>
          <w:vertAlign w:val="subscript"/>
        </w:rPr>
        <w:t>IC</w:t>
      </w:r>
      <w:r w:rsidRPr="00BC31E0">
        <w:rPr>
          <w:rFonts w:asciiTheme="minorHAnsi" w:eastAsiaTheme="minorEastAsia" w:hAnsiTheme="minorHAnsi"/>
        </w:rPr>
        <w:t xml:space="preserve"> Testing of Medium-Strength High-Toughness Steels”, ASTM STP, 463, pp.124-159, (1970)</w:t>
      </w:r>
    </w:p>
    <w:p w14:paraId="3D31C06B" w14:textId="77777777" w:rsidR="00F52111" w:rsidRPr="00BC31E0" w:rsidRDefault="00F52111" w:rsidP="00210E18">
      <w:pPr>
        <w:pStyle w:val="a4"/>
        <w:numPr>
          <w:ilvl w:val="0"/>
          <w:numId w:val="650"/>
        </w:numPr>
        <w:ind w:leftChars="0" w:left="454" w:hanging="454"/>
        <w:jc w:val="left"/>
        <w:rPr>
          <w:rFonts w:asciiTheme="minorHAnsi" w:eastAsiaTheme="minorEastAsia" w:hAnsiTheme="minorHAnsi"/>
          <w:b/>
        </w:rPr>
      </w:pPr>
      <w:r w:rsidRPr="00BC31E0">
        <w:rPr>
          <w:rFonts w:asciiTheme="minorHAnsi" w:eastAsiaTheme="minorEastAsia" w:hAnsiTheme="minorHAnsi"/>
        </w:rPr>
        <w:t>Kapp, J.A. and Underwood, J.H., “Correlation between Fracture Toughness, Carpy V-Notch Impact Energy, and Yield Strength for ASTM A 723 Steel”, ASME PVP, Vol.238, pp.219-222, (1992)</w:t>
      </w:r>
    </w:p>
    <w:p w14:paraId="38AF93F3" w14:textId="77777777" w:rsidR="00F52111" w:rsidRPr="00BC31E0" w:rsidRDefault="00F52111" w:rsidP="00C318B3">
      <w:pPr>
        <w:widowControl/>
        <w:jc w:val="left"/>
      </w:pPr>
    </w:p>
    <w:p w14:paraId="42CBAB44" w14:textId="77777777" w:rsidR="00C318B3" w:rsidRPr="00BC31E0" w:rsidRDefault="00C318B3">
      <w:pPr>
        <w:widowControl/>
        <w:jc w:val="left"/>
        <w:rPr>
          <w:szCs w:val="20"/>
        </w:rPr>
      </w:pPr>
      <w:r w:rsidRPr="00BC31E0">
        <w:br w:type="page"/>
      </w:r>
    </w:p>
    <w:p w14:paraId="1A762F50" w14:textId="77777777" w:rsidR="00B44535" w:rsidRPr="00BC31E0" w:rsidRDefault="00B44535" w:rsidP="001C27B0">
      <w:pPr>
        <w:pStyle w:val="afff3"/>
        <w:spacing w:line="240" w:lineRule="auto"/>
      </w:pPr>
      <w:bookmarkStart w:id="156" w:name="_Toc357672128"/>
      <w:bookmarkStart w:id="157" w:name="_Toc120092564"/>
      <w:r w:rsidRPr="00BC31E0">
        <w:rPr>
          <w:rFonts w:hint="eastAsia"/>
        </w:rPr>
        <w:lastRenderedPageBreak/>
        <w:t>附属書</w:t>
      </w:r>
      <w:r w:rsidRPr="00BC31E0">
        <w:t>D</w:t>
      </w:r>
      <w:r w:rsidRPr="00BC31E0">
        <w:rPr>
          <w:rFonts w:hint="eastAsia"/>
        </w:rPr>
        <w:t>(規定)　応力－ひずみ曲線</w:t>
      </w:r>
      <w:bookmarkEnd w:id="156"/>
      <w:bookmarkEnd w:id="157"/>
    </w:p>
    <w:p w14:paraId="4301E136" w14:textId="77777777" w:rsidR="00B44535" w:rsidRPr="00BC31E0" w:rsidRDefault="00B44535" w:rsidP="001C27B0">
      <w:pPr>
        <w:pStyle w:val="afb"/>
        <w:spacing w:line="240" w:lineRule="auto"/>
      </w:pPr>
      <w:r w:rsidRPr="00BC31E0">
        <w:rPr>
          <w:rFonts w:hint="eastAsia"/>
        </w:rPr>
        <w:t>序文</w:t>
      </w:r>
    </w:p>
    <w:p w14:paraId="3A29A398" w14:textId="77777777" w:rsidR="00B44535" w:rsidRPr="00BC31E0" w:rsidRDefault="00B44535" w:rsidP="001C27B0">
      <w:pPr>
        <w:pStyle w:val="15"/>
        <w:ind w:firstLine="210"/>
      </w:pPr>
      <w:r w:rsidRPr="00BC31E0">
        <w:rPr>
          <w:rFonts w:hint="eastAsia"/>
        </w:rPr>
        <w:t>この附属書は，弾塑性解析で使用する静的</w:t>
      </w:r>
      <w:r w:rsidRPr="00BC31E0">
        <w:rPr>
          <w:rFonts w:hint="eastAsia"/>
        </w:rPr>
        <w:t>(</w:t>
      </w:r>
      <w:r w:rsidRPr="00BC31E0">
        <w:rPr>
          <w:rFonts w:hint="eastAsia"/>
        </w:rPr>
        <w:t>単調負荷</w:t>
      </w:r>
      <w:r w:rsidRPr="00BC31E0">
        <w:rPr>
          <w:rFonts w:hint="eastAsia"/>
        </w:rPr>
        <w:t>)</w:t>
      </w:r>
      <w:r w:rsidRPr="00BC31E0">
        <w:rPr>
          <w:rFonts w:hint="eastAsia"/>
        </w:rPr>
        <w:t>真応力－真ひずみ曲線及び繰返し応力－ひずみ曲線について規定する。</w:t>
      </w:r>
    </w:p>
    <w:p w14:paraId="6A75C2ED" w14:textId="77777777" w:rsidR="00B44535" w:rsidRPr="00BC31E0" w:rsidRDefault="00B44535" w:rsidP="001C27B0"/>
    <w:p w14:paraId="42C3ED97" w14:textId="77777777" w:rsidR="002B2101" w:rsidRPr="00BC31E0" w:rsidRDefault="002B2101" w:rsidP="00736130">
      <w:pPr>
        <w:pStyle w:val="13"/>
        <w:numPr>
          <w:ilvl w:val="0"/>
          <w:numId w:val="244"/>
        </w:numPr>
        <w:adjustRightInd/>
        <w:snapToGrid/>
        <w:spacing w:line="240" w:lineRule="auto"/>
        <w:ind w:left="340" w:hanging="340"/>
      </w:pPr>
      <w:r w:rsidRPr="00BC31E0">
        <w:rPr>
          <w:rFonts w:hint="eastAsia"/>
        </w:rPr>
        <w:t>材料の機械的性質</w:t>
      </w:r>
    </w:p>
    <w:p w14:paraId="717E9E7B" w14:textId="77777777" w:rsidR="00B44535" w:rsidRPr="00BC31E0" w:rsidRDefault="00B44535" w:rsidP="001C27B0">
      <w:pPr>
        <w:pStyle w:val="15"/>
        <w:ind w:firstLine="210"/>
      </w:pPr>
      <w:r w:rsidRPr="00BC31E0">
        <w:rPr>
          <w:rFonts w:hint="eastAsia"/>
        </w:rPr>
        <w:t>応力－ひずみ曲線で用いる降伏点又は</w:t>
      </w:r>
      <w:r w:rsidRPr="00BC31E0">
        <w:rPr>
          <w:rFonts w:ascii="Cambria Math" w:hAnsi="Cambria Math"/>
        </w:rPr>
        <w:t>0.2</w:t>
      </w:r>
      <w:r w:rsidRPr="00BC31E0">
        <w:rPr>
          <w:rFonts w:ascii="Cambria Math" w:eastAsiaTheme="minorEastAsia" w:hAnsi="Cambria Math"/>
        </w:rPr>
        <w:t>%</w:t>
      </w:r>
      <w:r w:rsidRPr="00BC31E0">
        <w:rPr>
          <w:rFonts w:hint="eastAsia"/>
        </w:rPr>
        <w:t>耐力，引張強さ及び縦弾性係数は，</w:t>
      </w:r>
      <w:r w:rsidRPr="00BC31E0">
        <w:rPr>
          <w:rFonts w:ascii="ＭＳ 明朝" w:hAnsi="ＭＳ 明朝" w:hint="eastAsia"/>
        </w:rPr>
        <w:t>本体の</w:t>
      </w:r>
      <w:r w:rsidRPr="00BC31E0">
        <w:rPr>
          <w:rFonts w:ascii="ＭＳ ゴシック" w:eastAsia="ＭＳ ゴシック" w:hAnsi="ＭＳ ゴシック"/>
          <w:b/>
        </w:rPr>
        <w:t>5.4</w:t>
      </w:r>
      <w:r w:rsidRPr="00BC31E0">
        <w:rPr>
          <w:rFonts w:hint="eastAsia"/>
        </w:rPr>
        <w:t>に示す値を使用する。</w:t>
      </w:r>
    </w:p>
    <w:p w14:paraId="2192D2B7" w14:textId="77777777" w:rsidR="00B44535" w:rsidRPr="00BC31E0" w:rsidRDefault="00B44535" w:rsidP="001C27B0">
      <w:pPr>
        <w:pStyle w:val="15"/>
        <w:ind w:firstLine="210"/>
      </w:pPr>
    </w:p>
    <w:p w14:paraId="18AA7E0A" w14:textId="77777777" w:rsidR="00B44535" w:rsidRPr="00BC31E0" w:rsidRDefault="00B44535" w:rsidP="0069011E">
      <w:pPr>
        <w:pStyle w:val="13"/>
        <w:adjustRightInd/>
        <w:snapToGrid/>
        <w:spacing w:line="240" w:lineRule="auto"/>
        <w:ind w:left="340" w:hanging="340"/>
      </w:pPr>
      <w:r w:rsidRPr="00BC31E0">
        <w:rPr>
          <w:rFonts w:hint="eastAsia"/>
        </w:rPr>
        <w:t>静的(単調負荷)真応力－真ひずみ曲線</w:t>
      </w:r>
    </w:p>
    <w:p w14:paraId="5FB20B04" w14:textId="77777777" w:rsidR="00B44535" w:rsidRPr="00BC31E0" w:rsidRDefault="00B44535" w:rsidP="001C27B0">
      <w:pPr>
        <w:pStyle w:val="15"/>
        <w:spacing w:after="120"/>
        <w:ind w:firstLine="210"/>
      </w:pPr>
      <w:r w:rsidRPr="00BC31E0">
        <w:rPr>
          <w:rFonts w:hint="eastAsia"/>
        </w:rPr>
        <w:t>弾塑性解析による延性崩壊荷重の決定には，</w:t>
      </w:r>
      <w:r w:rsidRPr="00BC31E0">
        <w:rPr>
          <w:rFonts w:ascii="ＭＳ ゴシック" w:eastAsia="ＭＳ ゴシック" w:hAnsi="ＭＳ ゴシック" w:hint="eastAsia"/>
          <w:b/>
        </w:rPr>
        <w:t>式</w:t>
      </w:r>
      <w:r w:rsidRPr="00BC31E0">
        <w:rPr>
          <w:rFonts w:ascii="ＭＳ ゴシック" w:eastAsia="ＭＳ ゴシック" w:hAnsi="ＭＳ ゴシック"/>
          <w:b/>
        </w:rPr>
        <w:t>(1)</w:t>
      </w:r>
      <w:r w:rsidRPr="00BC31E0">
        <w:rPr>
          <w:rFonts w:hint="eastAsia"/>
        </w:rPr>
        <w:t>に示す真応力－真ひずみ曲線を使用する。</w:t>
      </w:r>
    </w:p>
    <w:tbl>
      <w:tblPr>
        <w:tblStyle w:val="afff2"/>
        <w:tblW w:w="5528" w:type="dxa"/>
        <w:tblInd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3963"/>
      </w:tblGrid>
      <w:tr w:rsidR="00B44535" w:rsidRPr="00BC31E0" w14:paraId="7597D99B" w14:textId="77777777" w:rsidTr="004736F2">
        <w:tc>
          <w:tcPr>
            <w:tcW w:w="0" w:type="auto"/>
            <w:tcMar>
              <w:left w:w="0" w:type="dxa"/>
              <w:right w:w="0" w:type="dxa"/>
            </w:tcMar>
            <w:vAlign w:val="center"/>
          </w:tcPr>
          <w:p w14:paraId="4C5D79EF" w14:textId="77777777" w:rsidR="00B44535" w:rsidRPr="00BC31E0" w:rsidRDefault="00A51873" w:rsidP="004736F2">
            <w:pPr>
              <w:tabs>
                <w:tab w:val="left" w:leader="middleDot" w:pos="8647"/>
              </w:tabs>
              <w:jc w:val="left"/>
            </w:pPr>
            <m:oMathPara>
              <m:oMathParaPr>
                <m:jc m:val="left"/>
              </m:oMathParaPr>
              <m:oMath>
                <m:sSub>
                  <m:sSubPr>
                    <m:ctrlPr>
                      <w:rPr>
                        <w:rFonts w:ascii="Cambria Math" w:hAnsi="Cambria Math"/>
                      </w:rPr>
                    </m:ctrlPr>
                  </m:sSubPr>
                  <m:e>
                    <m:r>
                      <w:rPr>
                        <w:rFonts w:ascii="Cambria Math" w:hAnsi="Cambria Math"/>
                      </w:rPr>
                      <m:t>ε</m:t>
                    </m:r>
                  </m:e>
                  <m:sub>
                    <m:r>
                      <w:rPr>
                        <w:rFonts w:ascii="Cambria Math" w:hAnsi="Cambria Math"/>
                      </w:rPr>
                      <m:t>t</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σ</m:t>
                        </m:r>
                      </m:e>
                      <m:sub>
                        <m:r>
                          <w:rPr>
                            <w:rFonts w:ascii="Cambria Math" w:hAnsi="Cambria Math"/>
                          </w:rPr>
                          <m:t>t</m:t>
                        </m:r>
                      </m:sub>
                    </m:sSub>
                  </m:num>
                  <m:den>
                    <m:sSub>
                      <m:sSubPr>
                        <m:ctrlPr>
                          <w:rPr>
                            <w:rFonts w:ascii="Cambria Math" w:hAnsi="Cambria Math"/>
                          </w:rPr>
                        </m:ctrlPr>
                      </m:sSubPr>
                      <m:e>
                        <m:r>
                          <w:rPr>
                            <w:rFonts w:ascii="Cambria Math" w:hAnsi="Cambria Math"/>
                          </w:rPr>
                          <m:t>E</m:t>
                        </m:r>
                      </m:e>
                      <m:sub>
                        <m:r>
                          <w:rPr>
                            <w:rFonts w:ascii="Cambria Math" w:hAnsi="Cambria Math"/>
                          </w:rPr>
                          <m:t>y</m:t>
                        </m:r>
                      </m:sub>
                    </m:sSub>
                  </m:den>
                </m:f>
                <m: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2</m:t>
                    </m:r>
                  </m:sub>
                </m:sSub>
              </m:oMath>
            </m:oMathPara>
          </w:p>
        </w:tc>
        <w:tc>
          <w:tcPr>
            <w:tcW w:w="3963" w:type="dxa"/>
            <w:tcMar>
              <w:left w:w="0" w:type="dxa"/>
              <w:right w:w="0" w:type="dxa"/>
            </w:tcMar>
            <w:vAlign w:val="center"/>
          </w:tcPr>
          <w:p w14:paraId="391BABBA" w14:textId="77777777" w:rsidR="00B44535" w:rsidRPr="00BC31E0" w:rsidRDefault="00B44535" w:rsidP="004736F2">
            <w:pPr>
              <w:tabs>
                <w:tab w:val="left" w:leader="middleDot" w:pos="3538"/>
              </w:tabs>
              <w:jc w:val="left"/>
            </w:pPr>
            <w:r w:rsidRPr="00BC31E0">
              <w:rPr>
                <w:rFonts w:hint="eastAsia"/>
              </w:rPr>
              <w:tab/>
              <w:t>(1)</w:t>
            </w:r>
          </w:p>
        </w:tc>
      </w:tr>
    </w:tbl>
    <w:p w14:paraId="5D8403BF" w14:textId="77777777" w:rsidR="00B44535" w:rsidRPr="00BC31E0" w:rsidRDefault="00B44535" w:rsidP="001C27B0">
      <w:pPr>
        <w:spacing w:after="120"/>
        <w:ind w:firstLineChars="200" w:firstLine="420"/>
      </w:pPr>
      <w:r w:rsidRPr="00BC31E0">
        <w:rPr>
          <w:rFonts w:hint="eastAsia"/>
        </w:rPr>
        <w:t>ここで，</w:t>
      </w:r>
    </w:p>
    <w:tbl>
      <w:tblPr>
        <w:tblStyle w:val="afff2"/>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2552"/>
        <w:gridCol w:w="3683"/>
      </w:tblGrid>
      <w:tr w:rsidR="00B44535" w:rsidRPr="00BC31E0" w14:paraId="1998851C" w14:textId="77777777" w:rsidTr="004736F2">
        <w:tc>
          <w:tcPr>
            <w:tcW w:w="4536" w:type="dxa"/>
            <w:gridSpan w:val="2"/>
            <w:tcMar>
              <w:left w:w="0" w:type="dxa"/>
              <w:right w:w="0" w:type="dxa"/>
            </w:tcMar>
            <w:vAlign w:val="center"/>
          </w:tcPr>
          <w:p w14:paraId="2C909AB8" w14:textId="77777777" w:rsidR="00B44535" w:rsidRPr="00BC31E0" w:rsidRDefault="00A51873" w:rsidP="002435BA">
            <w:pPr>
              <w:pStyle w:val="15"/>
              <w:ind w:firstLine="210"/>
              <w:jc w:val="left"/>
              <w:rPr>
                <w:rFonts w:asciiTheme="minorHAnsi" w:hAnsiTheme="minorHAnsi"/>
              </w:rPr>
            </w:pPr>
            <m:oMathPara>
              <m:oMathParaPr>
                <m:jc m:val="left"/>
              </m:oMathParaPr>
              <m:oMath>
                <m:sSub>
                  <m:sSubPr>
                    <m:ctrlPr>
                      <w:rPr>
                        <w:rFonts w:ascii="Cambria Math" w:hAnsi="Cambria Math"/>
                      </w:rPr>
                    </m:ctrlPr>
                  </m:sSubPr>
                  <m:e>
                    <m:r>
                      <w:rPr>
                        <w:rFonts w:ascii="Cambria Math" w:hAnsi="Cambria Math"/>
                      </w:rPr>
                      <m:t>γ</m:t>
                    </m:r>
                  </m:e>
                  <m:sub>
                    <m:r>
                      <w:rPr>
                        <w:rFonts w:ascii="Cambria Math" w:hAnsi="Cambria Math"/>
                      </w:rPr>
                      <m:t>1</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ε</m:t>
                        </m:r>
                      </m:e>
                      <m:sub>
                        <m:r>
                          <w:rPr>
                            <w:rFonts w:ascii="Cambria Math" w:hAnsi="Cambria Math"/>
                          </w:rPr>
                          <m:t>1</m:t>
                        </m:r>
                      </m:sub>
                    </m:sSub>
                  </m:num>
                  <m:den>
                    <m:r>
                      <w:rPr>
                        <w:rFonts w:ascii="Cambria Math" w:hAnsi="Cambria Math"/>
                      </w:rPr>
                      <m:t>2</m:t>
                    </m:r>
                  </m:den>
                </m:f>
                <m:d>
                  <m:dPr>
                    <m:begChr m:val="{"/>
                    <m:endChr m:val="}"/>
                    <m:ctrlPr>
                      <w:rPr>
                        <w:rFonts w:ascii="Cambria Math" w:hAnsi="Cambria Math"/>
                      </w:rPr>
                    </m:ctrlPr>
                  </m:dPr>
                  <m:e>
                    <m:r>
                      <w:rPr>
                        <w:rFonts w:ascii="Cambria Math" w:hAnsi="Cambria Math"/>
                      </w:rPr>
                      <m:t>1.0-</m:t>
                    </m:r>
                    <m:func>
                      <m:funcPr>
                        <m:ctrlPr>
                          <w:rPr>
                            <w:rFonts w:ascii="Cambria Math" w:hAnsi="Cambria Math"/>
                          </w:rPr>
                        </m:ctrlPr>
                      </m:funcPr>
                      <m:fName>
                        <m:r>
                          <m:rPr>
                            <m:sty m:val="bi"/>
                          </m:rPr>
                          <w:rPr>
                            <w:rFonts w:ascii="Cambria Math" w:hAnsi="Cambria Math"/>
                          </w:rPr>
                          <m:t>tanh</m:t>
                        </m:r>
                      </m:fName>
                      <m:e>
                        <m:d>
                          <m:dPr>
                            <m:ctrlPr>
                              <w:rPr>
                                <w:rFonts w:ascii="Cambria Math" w:hAnsi="Cambria Math"/>
                              </w:rPr>
                            </m:ctrlPr>
                          </m:dPr>
                          <m:e>
                            <m:r>
                              <w:rPr>
                                <w:rFonts w:ascii="Cambria Math" w:hAnsi="Cambria Math"/>
                              </w:rPr>
                              <m:t>H</m:t>
                            </m:r>
                          </m:e>
                        </m:d>
                      </m:e>
                    </m:func>
                  </m:e>
                </m:d>
              </m:oMath>
            </m:oMathPara>
          </w:p>
        </w:tc>
        <w:tc>
          <w:tcPr>
            <w:tcW w:w="3683" w:type="dxa"/>
            <w:tcMar>
              <w:left w:w="0" w:type="dxa"/>
              <w:right w:w="0" w:type="dxa"/>
            </w:tcMar>
            <w:vAlign w:val="center"/>
          </w:tcPr>
          <w:p w14:paraId="428C40A3" w14:textId="77777777" w:rsidR="00B44535" w:rsidRPr="00BC31E0" w:rsidRDefault="00A51873" w:rsidP="002435BA">
            <w:pPr>
              <w:pStyle w:val="15"/>
              <w:ind w:firstLine="210"/>
              <w:jc w:val="left"/>
              <w:rPr>
                <w:rFonts w:asciiTheme="minorHAnsi" w:hAnsiTheme="minorHAnsi"/>
              </w:rPr>
            </w:pPr>
            <m:oMathPara>
              <m:oMathParaPr>
                <m:jc m:val="left"/>
              </m:oMathParaPr>
              <m:oMath>
                <m:sSub>
                  <m:sSubPr>
                    <m:ctrlPr>
                      <w:rPr>
                        <w:rFonts w:ascii="Cambria Math" w:hAnsi="Cambria Math"/>
                      </w:rPr>
                    </m:ctrlPr>
                  </m:sSubPr>
                  <m:e>
                    <m:r>
                      <w:rPr>
                        <w:rFonts w:ascii="Cambria Math" w:hAnsi="Cambria Math"/>
                      </w:rPr>
                      <m:t>γ</m:t>
                    </m:r>
                  </m:e>
                  <m:sub>
                    <m:r>
                      <w:rPr>
                        <w:rFonts w:ascii="Cambria Math" w:hAnsi="Cambria Math"/>
                      </w:rPr>
                      <m:t>2</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ε</m:t>
                        </m:r>
                      </m:e>
                      <m:sub>
                        <m:r>
                          <w:rPr>
                            <w:rFonts w:ascii="Cambria Math" w:hAnsi="Cambria Math"/>
                          </w:rPr>
                          <m:t>2</m:t>
                        </m:r>
                      </m:sub>
                    </m:sSub>
                  </m:num>
                  <m:den>
                    <m:r>
                      <w:rPr>
                        <w:rFonts w:ascii="Cambria Math" w:hAnsi="Cambria Math"/>
                      </w:rPr>
                      <m:t>2</m:t>
                    </m:r>
                  </m:den>
                </m:f>
                <m:d>
                  <m:dPr>
                    <m:begChr m:val="{"/>
                    <m:endChr m:val="}"/>
                    <m:ctrlPr>
                      <w:rPr>
                        <w:rFonts w:ascii="Cambria Math" w:hAnsi="Cambria Math"/>
                      </w:rPr>
                    </m:ctrlPr>
                  </m:dPr>
                  <m:e>
                    <m:r>
                      <w:rPr>
                        <w:rFonts w:ascii="Cambria Math" w:hAnsi="Cambria Math"/>
                      </w:rPr>
                      <m:t>1.0+</m:t>
                    </m:r>
                    <m:func>
                      <m:funcPr>
                        <m:ctrlPr>
                          <w:rPr>
                            <w:rFonts w:ascii="Cambria Math" w:hAnsi="Cambria Math"/>
                          </w:rPr>
                        </m:ctrlPr>
                      </m:funcPr>
                      <m:fName>
                        <m:r>
                          <m:rPr>
                            <m:sty m:val="bi"/>
                          </m:rPr>
                          <w:rPr>
                            <w:rFonts w:ascii="Cambria Math" w:hAnsi="Cambria Math"/>
                          </w:rPr>
                          <m:t>tanh</m:t>
                        </m:r>
                      </m:fName>
                      <m:e>
                        <m:d>
                          <m:dPr>
                            <m:ctrlPr>
                              <w:rPr>
                                <w:rFonts w:ascii="Cambria Math" w:hAnsi="Cambria Math"/>
                              </w:rPr>
                            </m:ctrlPr>
                          </m:dPr>
                          <m:e>
                            <m:r>
                              <w:rPr>
                                <w:rFonts w:ascii="Cambria Math" w:hAnsi="Cambria Math"/>
                              </w:rPr>
                              <m:t>H</m:t>
                            </m:r>
                          </m:e>
                        </m:d>
                      </m:e>
                    </m:func>
                  </m:e>
                </m:d>
              </m:oMath>
            </m:oMathPara>
          </w:p>
        </w:tc>
      </w:tr>
      <w:tr w:rsidR="00B44535" w:rsidRPr="00BC31E0" w14:paraId="709B5388" w14:textId="77777777" w:rsidTr="004736F2">
        <w:tc>
          <w:tcPr>
            <w:tcW w:w="1984" w:type="dxa"/>
            <w:tcMar>
              <w:left w:w="0" w:type="dxa"/>
              <w:right w:w="0" w:type="dxa"/>
            </w:tcMar>
            <w:vAlign w:val="center"/>
          </w:tcPr>
          <w:p w14:paraId="0B373920" w14:textId="77777777" w:rsidR="00B44535" w:rsidRPr="00BC31E0" w:rsidRDefault="00A51873" w:rsidP="002435BA">
            <w:pPr>
              <w:pStyle w:val="15"/>
              <w:spacing w:before="240"/>
              <w:ind w:firstLine="210"/>
              <w:jc w:val="left"/>
            </w:pPr>
            <m:oMathPara>
              <m:oMathParaPr>
                <m:jc m:val="left"/>
              </m:oMathParaPr>
              <m:oMath>
                <m:sSub>
                  <m:sSubPr>
                    <m:ctrlPr>
                      <w:rPr>
                        <w:rFonts w:ascii="Cambria Math" w:hAnsi="Cambria Math"/>
                      </w:rPr>
                    </m:ctrlPr>
                  </m:sSubPr>
                  <m:e>
                    <m:r>
                      <w:rPr>
                        <w:rFonts w:ascii="Cambria Math" w:hAnsi="Cambria Math"/>
                      </w:rPr>
                      <m:t>ε</m:t>
                    </m:r>
                  </m:e>
                  <m:sub>
                    <m:r>
                      <w:rPr>
                        <w:rFonts w:ascii="Cambria Math" w:hAnsi="Cambria Math"/>
                      </w:rPr>
                      <m:t>1</m:t>
                    </m:r>
                  </m:sub>
                </m:sSub>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σ</m:t>
                                </m:r>
                              </m:e>
                              <m:sub>
                                <m:r>
                                  <w:rPr>
                                    <w:rFonts w:ascii="Cambria Math" w:hAnsi="Cambria Math"/>
                                  </w:rPr>
                                  <m:t>t</m:t>
                                </m:r>
                              </m:sub>
                            </m:sSub>
                          </m:num>
                          <m:den>
                            <m:sSub>
                              <m:sSubPr>
                                <m:ctrlPr>
                                  <w:rPr>
                                    <w:rFonts w:ascii="Cambria Math" w:hAnsi="Cambria Math"/>
                                  </w:rPr>
                                </m:ctrlPr>
                              </m:sSubPr>
                              <m:e>
                                <m:r>
                                  <w:rPr>
                                    <w:rFonts w:ascii="Cambria Math" w:hAnsi="Cambria Math"/>
                                  </w:rPr>
                                  <m:t>A</m:t>
                                </m:r>
                              </m:e>
                              <m:sub>
                                <m:r>
                                  <w:rPr>
                                    <w:rFonts w:ascii="Cambria Math" w:hAnsi="Cambria Math"/>
                                  </w:rPr>
                                  <m:t>1</m:t>
                                </m:r>
                              </m:sub>
                            </m:sSub>
                          </m:den>
                        </m:f>
                      </m:e>
                    </m:d>
                  </m:e>
                  <m:sup>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m</m:t>
                            </m:r>
                          </m:e>
                          <m:sub>
                            <m:r>
                              <w:rPr>
                                <w:rFonts w:ascii="Cambria Math" w:hAnsi="Cambria Math"/>
                              </w:rPr>
                              <m:t>1</m:t>
                            </m:r>
                          </m:sub>
                        </m:sSub>
                      </m:den>
                    </m:f>
                  </m:sup>
                </m:sSup>
              </m:oMath>
            </m:oMathPara>
          </w:p>
        </w:tc>
        <w:tc>
          <w:tcPr>
            <w:tcW w:w="2552" w:type="dxa"/>
            <w:tcMar>
              <w:left w:w="0" w:type="dxa"/>
              <w:right w:w="0" w:type="dxa"/>
            </w:tcMar>
            <w:vAlign w:val="center"/>
          </w:tcPr>
          <w:p w14:paraId="60972BB5" w14:textId="77777777" w:rsidR="00B44535" w:rsidRPr="00BC31E0" w:rsidRDefault="00A51873" w:rsidP="002435BA">
            <w:pPr>
              <w:pStyle w:val="15"/>
              <w:spacing w:before="240"/>
              <w:ind w:firstLine="210"/>
              <w:jc w:val="left"/>
              <w:rPr>
                <w:rFonts w:asciiTheme="minorHAnsi" w:hAnsiTheme="minorHAnsi"/>
              </w:rPr>
            </w:pPr>
            <m:oMathPara>
              <m:oMathParaPr>
                <m:jc m:val="left"/>
              </m:oMathParaPr>
              <m:oMath>
                <m:sSub>
                  <m:sSubPr>
                    <m:ctrlPr>
                      <w:rPr>
                        <w:rFonts w:ascii="Cambria Math" w:hAnsi="Cambria Math"/>
                      </w:rPr>
                    </m:ctrlPr>
                  </m:sSubPr>
                  <m:e>
                    <m:r>
                      <w:rPr>
                        <w:rFonts w:ascii="Cambria Math" w:hAnsi="Cambria Math"/>
                      </w:rPr>
                      <m:t>A</m:t>
                    </m:r>
                  </m:e>
                  <m:sub>
                    <m:r>
                      <w:rPr>
                        <w:rFonts w:ascii="Cambria Math" w:hAnsi="Cambria Math"/>
                      </w:rPr>
                      <m:t>1</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σ</m:t>
                        </m:r>
                      </m:e>
                      <m:sub>
                        <m:r>
                          <w:rPr>
                            <w:rFonts w:ascii="Cambria Math" w:hAnsi="Cambria Math"/>
                          </w:rPr>
                          <m:t>ys</m:t>
                        </m:r>
                      </m:sub>
                    </m:sSub>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ε</m:t>
                            </m:r>
                          </m:e>
                          <m:sub>
                            <m:r>
                              <w:rPr>
                                <w:rFonts w:ascii="Cambria Math" w:hAnsi="Cambria Math"/>
                              </w:rPr>
                              <m:t>ys</m:t>
                            </m:r>
                          </m:sub>
                        </m:sSub>
                      </m:e>
                    </m:d>
                  </m:num>
                  <m:den>
                    <m:sSup>
                      <m:sSupPr>
                        <m:ctrlPr>
                          <w:rPr>
                            <w:rFonts w:ascii="Cambria Math" w:hAnsi="Cambria Math"/>
                          </w:rPr>
                        </m:ctrlPr>
                      </m:sSupPr>
                      <m:e>
                        <m:d>
                          <m:dPr>
                            <m:begChr m:val="{"/>
                            <m:endChr m:val="}"/>
                            <m:ctrlPr>
                              <w:rPr>
                                <w:rFonts w:ascii="Cambria Math" w:hAnsi="Cambria Math"/>
                              </w:rPr>
                            </m:ctrlPr>
                          </m:dPr>
                          <m:e>
                            <m:func>
                              <m:funcPr>
                                <m:ctrlPr>
                                  <w:rPr>
                                    <w:rFonts w:ascii="Cambria Math" w:hAnsi="Cambria Math"/>
                                  </w:rPr>
                                </m:ctrlPr>
                              </m:funcPr>
                              <m:fName>
                                <m:r>
                                  <m:rPr>
                                    <m:sty m:val="bi"/>
                                  </m:rPr>
                                  <w:rPr>
                                    <w:rFonts w:ascii="Cambria Math" w:hAnsi="Cambria Math"/>
                                  </w:rPr>
                                  <m:t>ln</m:t>
                                </m:r>
                              </m:fName>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ε</m:t>
                                        </m:r>
                                      </m:e>
                                      <m:sub>
                                        <m:r>
                                          <w:rPr>
                                            <w:rFonts w:ascii="Cambria Math" w:hAnsi="Cambria Math"/>
                                          </w:rPr>
                                          <m:t>ys</m:t>
                                        </m:r>
                                      </m:sub>
                                    </m:sSub>
                                  </m:e>
                                </m:d>
                              </m:e>
                            </m:func>
                          </m:e>
                        </m:d>
                      </m:e>
                      <m:sup>
                        <m:sSub>
                          <m:sSubPr>
                            <m:ctrlPr>
                              <w:rPr>
                                <w:rFonts w:ascii="Cambria Math" w:hAnsi="Cambria Math"/>
                              </w:rPr>
                            </m:ctrlPr>
                          </m:sSubPr>
                          <m:e>
                            <m:r>
                              <w:rPr>
                                <w:rFonts w:ascii="Cambria Math" w:hAnsi="Cambria Math"/>
                              </w:rPr>
                              <m:t>m</m:t>
                            </m:r>
                          </m:e>
                          <m:sub>
                            <m:r>
                              <w:rPr>
                                <w:rFonts w:ascii="Cambria Math" w:hAnsi="Cambria Math"/>
                              </w:rPr>
                              <m:t>1</m:t>
                            </m:r>
                          </m:sub>
                        </m:sSub>
                      </m:sup>
                    </m:sSup>
                  </m:den>
                </m:f>
              </m:oMath>
            </m:oMathPara>
          </w:p>
        </w:tc>
        <w:tc>
          <w:tcPr>
            <w:tcW w:w="3683" w:type="dxa"/>
            <w:tcMar>
              <w:left w:w="0" w:type="dxa"/>
              <w:right w:w="0" w:type="dxa"/>
            </w:tcMar>
            <w:vAlign w:val="center"/>
          </w:tcPr>
          <w:p w14:paraId="2274A99B" w14:textId="77777777" w:rsidR="00B44535" w:rsidRPr="00BC31E0" w:rsidRDefault="00A51873" w:rsidP="002435BA">
            <w:pPr>
              <w:pStyle w:val="15"/>
              <w:spacing w:before="240"/>
              <w:ind w:firstLine="210"/>
              <w:jc w:val="left"/>
            </w:pPr>
            <m:oMathPara>
              <m:oMathParaPr>
                <m:jc m:val="left"/>
              </m:oMathParaPr>
              <m:oMath>
                <m:sSub>
                  <m:sSubPr>
                    <m:ctrlPr>
                      <w:rPr>
                        <w:rFonts w:ascii="Cambria Math" w:hAnsi="Cambria Math"/>
                      </w:rPr>
                    </m:ctrlPr>
                  </m:sSubPr>
                  <m:e>
                    <m:r>
                      <w:rPr>
                        <w:rFonts w:ascii="Cambria Math" w:hAnsi="Cambria Math"/>
                      </w:rPr>
                      <m:t>m</m:t>
                    </m:r>
                  </m:e>
                  <m:sub>
                    <m:r>
                      <w:rPr>
                        <w:rFonts w:ascii="Cambria Math" w:hAnsi="Cambria Math"/>
                      </w:rPr>
                      <m:t>1</m:t>
                    </m:r>
                  </m:sub>
                </m:sSub>
                <m:r>
                  <w:rPr>
                    <w:rFonts w:ascii="Cambria Math" w:hAnsi="Cambria Math"/>
                  </w:rPr>
                  <m:t>=</m:t>
                </m:r>
                <m:f>
                  <m:fPr>
                    <m:ctrlPr>
                      <w:rPr>
                        <w:rFonts w:ascii="Cambria Math" w:hAnsi="Cambria Math"/>
                      </w:rPr>
                    </m:ctrlPr>
                  </m:fPr>
                  <m:num>
                    <m:func>
                      <m:funcPr>
                        <m:ctrlPr>
                          <w:rPr>
                            <w:rFonts w:ascii="Cambria Math" w:hAnsi="Cambria Math"/>
                          </w:rPr>
                        </m:ctrlPr>
                      </m:funcPr>
                      <m:fName>
                        <m:r>
                          <m:rPr>
                            <m:sty m:val="bi"/>
                          </m:rPr>
                          <w:rPr>
                            <w:rFonts w:ascii="Cambria Math" w:hAnsi="Cambria Math"/>
                          </w:rPr>
                          <m:t>ln</m:t>
                        </m:r>
                      </m:fName>
                      <m:e>
                        <m:d>
                          <m:dPr>
                            <m:ctrlPr>
                              <w:rPr>
                                <w:rFonts w:ascii="Cambria Math" w:hAnsi="Cambria Math"/>
                              </w:rPr>
                            </m:ctrlPr>
                          </m:dPr>
                          <m:e>
                            <m:r>
                              <w:rPr>
                                <w:rFonts w:ascii="Cambria Math" w:hAnsi="Cambria Math"/>
                              </w:rPr>
                              <m:t>R</m:t>
                            </m:r>
                          </m:e>
                        </m:d>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ε</m:t>
                                </m:r>
                              </m:e>
                              <m:sub>
                                <m:r>
                                  <w:rPr>
                                    <w:rFonts w:ascii="Cambria Math" w:hAnsi="Cambria Math"/>
                                  </w:rPr>
                                  <m:t>p</m:t>
                                </m:r>
                              </m:sub>
                            </m:sSub>
                            <m: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ys</m:t>
                                </m:r>
                              </m:sub>
                            </m:sSub>
                          </m:e>
                        </m:d>
                      </m:e>
                    </m:func>
                  </m:num>
                  <m:den>
                    <m:func>
                      <m:funcPr>
                        <m:ctrlPr>
                          <w:rPr>
                            <w:rFonts w:ascii="Cambria Math" w:hAnsi="Cambria Math"/>
                          </w:rPr>
                        </m:ctrlPr>
                      </m:funcPr>
                      <m:fName>
                        <m:r>
                          <m:rPr>
                            <m:sty m:val="bi"/>
                          </m:rPr>
                          <w:rPr>
                            <w:rFonts w:ascii="Cambria Math" w:hAnsi="Cambria Math"/>
                          </w:rPr>
                          <m:t>ln</m:t>
                        </m:r>
                      </m:fName>
                      <m:e>
                        <m:d>
                          <m:dPr>
                            <m:begChr m:val="{"/>
                            <m:endChr m:val="}"/>
                            <m:ctrlPr>
                              <w:rPr>
                                <w:rFonts w:ascii="Cambria Math" w:hAnsi="Cambria Math"/>
                              </w:rPr>
                            </m:ctrlPr>
                          </m:dPr>
                          <m:e>
                            <m:f>
                              <m:fPr>
                                <m:ctrlPr>
                                  <w:rPr>
                                    <w:rFonts w:ascii="Cambria Math" w:hAnsi="Cambria Math"/>
                                  </w:rPr>
                                </m:ctrlPr>
                              </m:fPr>
                              <m:num>
                                <m:func>
                                  <m:funcPr>
                                    <m:ctrlPr>
                                      <w:rPr>
                                        <w:rFonts w:ascii="Cambria Math" w:hAnsi="Cambria Math"/>
                                      </w:rPr>
                                    </m:ctrlPr>
                                  </m:funcPr>
                                  <m:fName>
                                    <m:r>
                                      <m:rPr>
                                        <m:sty m:val="bi"/>
                                      </m:rPr>
                                      <w:rPr>
                                        <w:rFonts w:ascii="Cambria Math" w:hAnsi="Cambria Math"/>
                                      </w:rPr>
                                      <m:t>ln</m:t>
                                    </m:r>
                                  </m:fName>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ε</m:t>
                                            </m:r>
                                          </m:e>
                                          <m:sub>
                                            <m:r>
                                              <w:rPr>
                                                <w:rFonts w:ascii="Cambria Math" w:hAnsi="Cambria Math"/>
                                              </w:rPr>
                                              <m:t>p</m:t>
                                            </m:r>
                                          </m:sub>
                                        </m:sSub>
                                      </m:e>
                                    </m:d>
                                  </m:e>
                                </m:func>
                              </m:num>
                              <m:den>
                                <m:func>
                                  <m:funcPr>
                                    <m:ctrlPr>
                                      <w:rPr>
                                        <w:rFonts w:ascii="Cambria Math" w:hAnsi="Cambria Math"/>
                                      </w:rPr>
                                    </m:ctrlPr>
                                  </m:funcPr>
                                  <m:fName>
                                    <m:r>
                                      <m:rPr>
                                        <m:sty m:val="bi"/>
                                      </m:rPr>
                                      <w:rPr>
                                        <w:rFonts w:ascii="Cambria Math" w:hAnsi="Cambria Math"/>
                                      </w:rPr>
                                      <m:t>ln</m:t>
                                    </m:r>
                                  </m:fName>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ε</m:t>
                                            </m:r>
                                          </m:e>
                                          <m:sub>
                                            <m:r>
                                              <w:rPr>
                                                <w:rFonts w:ascii="Cambria Math" w:hAnsi="Cambria Math"/>
                                              </w:rPr>
                                              <m:t>ys</m:t>
                                            </m:r>
                                          </m:sub>
                                        </m:sSub>
                                      </m:e>
                                    </m:d>
                                  </m:e>
                                </m:func>
                              </m:den>
                            </m:f>
                          </m:e>
                        </m:d>
                      </m:e>
                    </m:func>
                  </m:den>
                </m:f>
              </m:oMath>
            </m:oMathPara>
          </w:p>
        </w:tc>
      </w:tr>
      <w:tr w:rsidR="00B44535" w:rsidRPr="00BC31E0" w14:paraId="655A2DA2" w14:textId="77777777" w:rsidTr="004736F2">
        <w:tc>
          <w:tcPr>
            <w:tcW w:w="1984" w:type="dxa"/>
            <w:tcMar>
              <w:left w:w="0" w:type="dxa"/>
              <w:right w:w="0" w:type="dxa"/>
            </w:tcMar>
            <w:vAlign w:val="center"/>
          </w:tcPr>
          <w:p w14:paraId="11E07967" w14:textId="77777777" w:rsidR="00B44535" w:rsidRPr="00BC31E0" w:rsidRDefault="00A51873" w:rsidP="002435BA">
            <w:pPr>
              <w:pStyle w:val="15"/>
              <w:spacing w:before="240"/>
              <w:ind w:firstLine="210"/>
              <w:jc w:val="left"/>
            </w:pPr>
            <m:oMathPara>
              <m:oMathParaPr>
                <m:jc m:val="left"/>
              </m:oMathParaPr>
              <m:oMath>
                <m:sSub>
                  <m:sSubPr>
                    <m:ctrlPr>
                      <w:rPr>
                        <w:rFonts w:ascii="Cambria Math" w:hAnsi="Cambria Math"/>
                      </w:rPr>
                    </m:ctrlPr>
                  </m:sSubPr>
                  <m:e>
                    <m:r>
                      <w:rPr>
                        <w:rFonts w:ascii="Cambria Math" w:hAnsi="Cambria Math"/>
                      </w:rPr>
                      <m:t>ε</m:t>
                    </m:r>
                  </m:e>
                  <m:sub>
                    <m:r>
                      <w:rPr>
                        <w:rFonts w:ascii="Cambria Math" w:hAnsi="Cambria Math"/>
                      </w:rPr>
                      <m:t>2</m:t>
                    </m:r>
                  </m:sub>
                </m:sSub>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σ</m:t>
                                </m:r>
                              </m:e>
                              <m:sub>
                                <m:r>
                                  <w:rPr>
                                    <w:rFonts w:ascii="Cambria Math" w:hAnsi="Cambria Math"/>
                                  </w:rPr>
                                  <m:t>t</m:t>
                                </m:r>
                              </m:sub>
                            </m:sSub>
                          </m:num>
                          <m:den>
                            <m:sSub>
                              <m:sSubPr>
                                <m:ctrlPr>
                                  <w:rPr>
                                    <w:rFonts w:ascii="Cambria Math" w:hAnsi="Cambria Math"/>
                                  </w:rPr>
                                </m:ctrlPr>
                              </m:sSubPr>
                              <m:e>
                                <m:r>
                                  <w:rPr>
                                    <w:rFonts w:ascii="Cambria Math" w:hAnsi="Cambria Math"/>
                                  </w:rPr>
                                  <m:t>A</m:t>
                                </m:r>
                              </m:e>
                              <m:sub>
                                <m:r>
                                  <w:rPr>
                                    <w:rFonts w:ascii="Cambria Math" w:hAnsi="Cambria Math"/>
                                  </w:rPr>
                                  <m:t>2</m:t>
                                </m:r>
                              </m:sub>
                            </m:sSub>
                          </m:den>
                        </m:f>
                      </m:e>
                    </m:d>
                  </m:e>
                  <m:sup>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m</m:t>
                            </m:r>
                          </m:e>
                          <m:sub>
                            <m:r>
                              <w:rPr>
                                <w:rFonts w:ascii="Cambria Math" w:hAnsi="Cambria Math"/>
                              </w:rPr>
                              <m:t>2</m:t>
                            </m:r>
                          </m:sub>
                        </m:sSub>
                      </m:den>
                    </m:f>
                  </m:sup>
                </m:sSup>
              </m:oMath>
            </m:oMathPara>
          </w:p>
        </w:tc>
        <w:tc>
          <w:tcPr>
            <w:tcW w:w="2552" w:type="dxa"/>
            <w:tcMar>
              <w:left w:w="0" w:type="dxa"/>
              <w:right w:w="0" w:type="dxa"/>
            </w:tcMar>
            <w:vAlign w:val="center"/>
          </w:tcPr>
          <w:p w14:paraId="6B9E1498" w14:textId="77777777" w:rsidR="00B44535" w:rsidRPr="00BC31E0" w:rsidRDefault="00A51873" w:rsidP="002435BA">
            <w:pPr>
              <w:pStyle w:val="15"/>
              <w:spacing w:before="240"/>
              <w:ind w:firstLine="210"/>
              <w:jc w:val="left"/>
            </w:pPr>
            <m:oMathPara>
              <m:oMathParaPr>
                <m:jc m:val="left"/>
              </m:oMathParaPr>
              <m:oMath>
                <m:sSub>
                  <m:sSubPr>
                    <m:ctrlPr>
                      <w:rPr>
                        <w:rFonts w:ascii="Cambria Math" w:hAnsi="Cambria Math"/>
                      </w:rPr>
                    </m:ctrlPr>
                  </m:sSubPr>
                  <m:e>
                    <m:r>
                      <w:rPr>
                        <w:rFonts w:ascii="Cambria Math" w:hAnsi="Cambria Math"/>
                      </w:rPr>
                      <m:t>A</m:t>
                    </m:r>
                  </m:e>
                  <m:sub>
                    <m:r>
                      <w:rPr>
                        <w:rFonts w:ascii="Cambria Math" w:hAnsi="Cambria Math"/>
                      </w:rPr>
                      <m:t>2</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σ</m:t>
                        </m:r>
                      </m:e>
                      <m:sub>
                        <m:r>
                          <w:rPr>
                            <w:rFonts w:ascii="Cambria Math" w:hAnsi="Cambria Math"/>
                          </w:rPr>
                          <m:t>uts</m:t>
                        </m:r>
                      </m:sub>
                    </m:sSub>
                    <m:r>
                      <w:rPr>
                        <w:rFonts w:ascii="Cambria Math" w:hAnsi="Cambria Math"/>
                      </w:rPr>
                      <m:t xml:space="preserve"> </m:t>
                    </m:r>
                    <m:sSup>
                      <m:sSupPr>
                        <m:ctrlPr>
                          <w:rPr>
                            <w:rFonts w:ascii="Cambria Math" w:hAnsi="Cambria Math"/>
                          </w:rPr>
                        </m:ctrlPr>
                      </m:sSupPr>
                      <m:e>
                        <m:r>
                          <m:rPr>
                            <m:sty m:val="bi"/>
                          </m:rPr>
                          <w:rPr>
                            <w:rFonts w:ascii="Cambria Math" w:hAnsi="Cambria Math"/>
                          </w:rPr>
                          <m:t>e</m:t>
                        </m:r>
                      </m:e>
                      <m:sup>
                        <m:sSub>
                          <m:sSubPr>
                            <m:ctrlPr>
                              <w:rPr>
                                <w:rFonts w:ascii="Cambria Math" w:hAnsi="Cambria Math"/>
                              </w:rPr>
                            </m:ctrlPr>
                          </m:sSubPr>
                          <m:e>
                            <m:r>
                              <w:rPr>
                                <w:rFonts w:ascii="Cambria Math" w:hAnsi="Cambria Math"/>
                              </w:rPr>
                              <m:t>m</m:t>
                            </m:r>
                          </m:e>
                          <m:sub>
                            <m:r>
                              <w:rPr>
                                <w:rFonts w:ascii="Cambria Math" w:hAnsi="Cambria Math"/>
                              </w:rPr>
                              <m:t>2</m:t>
                            </m:r>
                          </m:sub>
                        </m:sSub>
                      </m:sup>
                    </m:sSup>
                  </m:num>
                  <m:den>
                    <m:sSup>
                      <m:sSupPr>
                        <m:ctrlPr>
                          <w:rPr>
                            <w:rFonts w:ascii="Cambria Math" w:hAnsi="Cambria Math"/>
                          </w:rPr>
                        </m:ctrlPr>
                      </m:sSupPr>
                      <m:e>
                        <m:sSub>
                          <m:sSubPr>
                            <m:ctrlPr>
                              <w:rPr>
                                <w:rFonts w:ascii="Cambria Math" w:hAnsi="Cambria Math"/>
                              </w:rPr>
                            </m:ctrlPr>
                          </m:sSubPr>
                          <m:e>
                            <m:r>
                              <w:rPr>
                                <w:rFonts w:ascii="Cambria Math" w:hAnsi="Cambria Math"/>
                              </w:rPr>
                              <m:t>m</m:t>
                            </m:r>
                          </m:e>
                          <m:sub>
                            <m:r>
                              <w:rPr>
                                <w:rFonts w:ascii="Cambria Math" w:hAnsi="Cambria Math"/>
                              </w:rPr>
                              <m:t>2</m:t>
                            </m:r>
                          </m:sub>
                        </m:sSub>
                      </m:e>
                      <m:sup>
                        <m:sSub>
                          <m:sSubPr>
                            <m:ctrlPr>
                              <w:rPr>
                                <w:rFonts w:ascii="Cambria Math" w:hAnsi="Cambria Math"/>
                              </w:rPr>
                            </m:ctrlPr>
                          </m:sSubPr>
                          <m:e>
                            <m:r>
                              <w:rPr>
                                <w:rFonts w:ascii="Cambria Math" w:hAnsi="Cambria Math"/>
                              </w:rPr>
                              <m:t>m</m:t>
                            </m:r>
                          </m:e>
                          <m:sub>
                            <m:r>
                              <w:rPr>
                                <w:rFonts w:ascii="Cambria Math" w:hAnsi="Cambria Math"/>
                              </w:rPr>
                              <m:t>2</m:t>
                            </m:r>
                          </m:sub>
                        </m:sSub>
                      </m:sup>
                    </m:sSup>
                  </m:den>
                </m:f>
              </m:oMath>
            </m:oMathPara>
          </w:p>
        </w:tc>
        <w:tc>
          <w:tcPr>
            <w:tcW w:w="3683" w:type="dxa"/>
            <w:tcMar>
              <w:left w:w="0" w:type="dxa"/>
              <w:right w:w="0" w:type="dxa"/>
            </w:tcMar>
            <w:vAlign w:val="center"/>
          </w:tcPr>
          <w:p w14:paraId="2A89038E" w14:textId="77777777" w:rsidR="00B44535" w:rsidRPr="00BC31E0" w:rsidRDefault="00B44535" w:rsidP="002435BA">
            <w:pPr>
              <w:pStyle w:val="15"/>
              <w:spacing w:before="240"/>
              <w:ind w:firstLine="210"/>
              <w:jc w:val="left"/>
            </w:pPr>
            <m:oMathPara>
              <m:oMathParaPr>
                <m:jc m:val="left"/>
              </m:oMathParaPr>
              <m:oMath>
                <m:r>
                  <w:rPr>
                    <w:rFonts w:ascii="Cambria Math" w:hAnsi="Cambria Math"/>
                  </w:rPr>
                  <m:t>H=</m:t>
                </m:r>
                <m:f>
                  <m:fPr>
                    <m:ctrlPr>
                      <w:rPr>
                        <w:rFonts w:ascii="Cambria Math" w:hAnsi="Cambria Math"/>
                      </w:rPr>
                    </m:ctrlPr>
                  </m:fPr>
                  <m:num>
                    <m:r>
                      <w:rPr>
                        <w:rFonts w:ascii="Cambria Math" w:hAnsi="Cambria Math"/>
                      </w:rPr>
                      <m:t xml:space="preserve">2 </m:t>
                    </m:r>
                    <m:d>
                      <m:dPr>
                        <m:begChr m:val="["/>
                        <m:endChr m:val="]"/>
                        <m:ctrlPr>
                          <w:rPr>
                            <w:rFonts w:ascii="Cambria Math" w:hAnsi="Cambria Math"/>
                          </w:rPr>
                        </m:ctrlPr>
                      </m:dPr>
                      <m:e>
                        <m:sSub>
                          <m:sSubPr>
                            <m:ctrlPr>
                              <w:rPr>
                                <w:rFonts w:ascii="Cambria Math" w:hAnsi="Cambria Math"/>
                              </w:rPr>
                            </m:ctrlPr>
                          </m:sSubPr>
                          <m:e>
                            <m:r>
                              <w:rPr>
                                <w:rFonts w:ascii="Cambria Math" w:hAnsi="Cambria Math"/>
                              </w:rPr>
                              <m:t>σ</m:t>
                            </m:r>
                          </m:e>
                          <m:sub>
                            <m:r>
                              <w:rPr>
                                <w:rFonts w:ascii="Cambria Math" w:hAnsi="Cambria Math"/>
                              </w:rPr>
                              <m:t>t</m:t>
                            </m:r>
                          </m:sub>
                        </m:sSub>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σ</m:t>
                                </m:r>
                              </m:e>
                              <m:sub>
                                <m:r>
                                  <w:rPr>
                                    <w:rFonts w:ascii="Cambria Math" w:hAnsi="Cambria Math"/>
                                  </w:rPr>
                                  <m:t>ys</m:t>
                                </m:r>
                              </m:sub>
                            </m:sSub>
                            <m:r>
                              <w:rPr>
                                <w:rFonts w:ascii="Cambria Math" w:hAnsi="Cambria Math"/>
                              </w:rPr>
                              <m:t xml:space="preserve">+K </m:t>
                            </m:r>
                            <m:d>
                              <m:dPr>
                                <m:ctrlPr>
                                  <w:rPr>
                                    <w:rFonts w:ascii="Cambria Math" w:hAnsi="Cambria Math"/>
                                  </w:rPr>
                                </m:ctrlPr>
                              </m:dPr>
                              <m:e>
                                <m:sSub>
                                  <m:sSubPr>
                                    <m:ctrlPr>
                                      <w:rPr>
                                        <w:rFonts w:ascii="Cambria Math" w:hAnsi="Cambria Math"/>
                                      </w:rPr>
                                    </m:ctrlPr>
                                  </m:sSubPr>
                                  <m:e>
                                    <m:r>
                                      <w:rPr>
                                        <w:rFonts w:ascii="Cambria Math" w:hAnsi="Cambria Math"/>
                                      </w:rPr>
                                      <m:t>σ</m:t>
                                    </m:r>
                                  </m:e>
                                  <m:sub>
                                    <m:r>
                                      <w:rPr>
                                        <w:rFonts w:ascii="Cambria Math" w:hAnsi="Cambria Math"/>
                                      </w:rPr>
                                      <m:t>uts</m:t>
                                    </m:r>
                                  </m:sub>
                                </m:sSub>
                                <m:r>
                                  <w:rPr>
                                    <w:rFonts w:ascii="Cambria Math" w:hAnsi="Cambria Math"/>
                                  </w:rPr>
                                  <m:t>-</m:t>
                                </m:r>
                                <m:sSub>
                                  <m:sSubPr>
                                    <m:ctrlPr>
                                      <w:rPr>
                                        <w:rFonts w:ascii="Cambria Math" w:hAnsi="Cambria Math"/>
                                      </w:rPr>
                                    </m:ctrlPr>
                                  </m:sSubPr>
                                  <m:e>
                                    <m:r>
                                      <w:rPr>
                                        <w:rFonts w:ascii="Cambria Math" w:hAnsi="Cambria Math"/>
                                      </w:rPr>
                                      <m:t>σ</m:t>
                                    </m:r>
                                  </m:e>
                                  <m:sub>
                                    <m:r>
                                      <w:rPr>
                                        <w:rFonts w:ascii="Cambria Math" w:hAnsi="Cambria Math"/>
                                      </w:rPr>
                                      <m:t>ys</m:t>
                                    </m:r>
                                  </m:sub>
                                </m:sSub>
                              </m:e>
                            </m:d>
                          </m:e>
                        </m:d>
                      </m:e>
                    </m:d>
                  </m:num>
                  <m:den>
                    <m:r>
                      <w:rPr>
                        <w:rFonts w:ascii="Cambria Math" w:hAnsi="Cambria Math"/>
                      </w:rPr>
                      <m:t xml:space="preserve">K </m:t>
                    </m:r>
                    <m:d>
                      <m:dPr>
                        <m:ctrlPr>
                          <w:rPr>
                            <w:rFonts w:ascii="Cambria Math" w:hAnsi="Cambria Math"/>
                          </w:rPr>
                        </m:ctrlPr>
                      </m:dPr>
                      <m:e>
                        <m:sSub>
                          <m:sSubPr>
                            <m:ctrlPr>
                              <w:rPr>
                                <w:rFonts w:ascii="Cambria Math" w:hAnsi="Cambria Math"/>
                              </w:rPr>
                            </m:ctrlPr>
                          </m:sSubPr>
                          <m:e>
                            <m:r>
                              <w:rPr>
                                <w:rFonts w:ascii="Cambria Math" w:hAnsi="Cambria Math"/>
                              </w:rPr>
                              <m:t>σ</m:t>
                            </m:r>
                          </m:e>
                          <m:sub>
                            <m:r>
                              <w:rPr>
                                <w:rFonts w:ascii="Cambria Math" w:hAnsi="Cambria Math"/>
                              </w:rPr>
                              <m:t>uts</m:t>
                            </m:r>
                          </m:sub>
                        </m:sSub>
                        <m:r>
                          <w:rPr>
                            <w:rFonts w:ascii="Cambria Math" w:hAnsi="Cambria Math"/>
                          </w:rPr>
                          <m:t>-</m:t>
                        </m:r>
                        <m:sSub>
                          <m:sSubPr>
                            <m:ctrlPr>
                              <w:rPr>
                                <w:rFonts w:ascii="Cambria Math" w:hAnsi="Cambria Math"/>
                              </w:rPr>
                            </m:ctrlPr>
                          </m:sSubPr>
                          <m:e>
                            <m:r>
                              <w:rPr>
                                <w:rFonts w:ascii="Cambria Math" w:hAnsi="Cambria Math"/>
                              </w:rPr>
                              <m:t>σ</m:t>
                            </m:r>
                          </m:e>
                          <m:sub>
                            <m:r>
                              <w:rPr>
                                <w:rFonts w:ascii="Cambria Math" w:hAnsi="Cambria Math"/>
                              </w:rPr>
                              <m:t>ys</m:t>
                            </m:r>
                          </m:sub>
                        </m:sSub>
                      </m:e>
                    </m:d>
                  </m:den>
                </m:f>
              </m:oMath>
            </m:oMathPara>
          </w:p>
        </w:tc>
      </w:tr>
      <w:tr w:rsidR="00B44535" w:rsidRPr="00BC31E0" w14:paraId="6D57158C" w14:textId="77777777" w:rsidTr="004736F2">
        <w:tc>
          <w:tcPr>
            <w:tcW w:w="1984" w:type="dxa"/>
            <w:tcMar>
              <w:left w:w="0" w:type="dxa"/>
              <w:right w:w="0" w:type="dxa"/>
            </w:tcMar>
            <w:vAlign w:val="center"/>
          </w:tcPr>
          <w:p w14:paraId="4F9591E4" w14:textId="77777777" w:rsidR="00B44535" w:rsidRPr="00BC31E0" w:rsidRDefault="00B44535" w:rsidP="002435BA">
            <w:pPr>
              <w:pStyle w:val="15"/>
              <w:spacing w:before="240"/>
              <w:ind w:firstLine="210"/>
              <w:jc w:val="left"/>
            </w:pPr>
            <m:oMathPara>
              <m:oMathParaPr>
                <m:jc m:val="left"/>
              </m:oMathParaPr>
              <m:oMath>
                <m:r>
                  <w:rPr>
                    <w:rFonts w:ascii="Cambria Math" w:hAnsi="Cambria Math"/>
                  </w:rPr>
                  <m:t>R=</m:t>
                </m:r>
                <m:f>
                  <m:fPr>
                    <m:ctrlPr>
                      <w:rPr>
                        <w:rFonts w:ascii="Cambria Math" w:hAnsi="Cambria Math"/>
                      </w:rPr>
                    </m:ctrlPr>
                  </m:fPr>
                  <m:num>
                    <m:sSub>
                      <m:sSubPr>
                        <m:ctrlPr>
                          <w:rPr>
                            <w:rFonts w:ascii="Cambria Math" w:hAnsi="Cambria Math"/>
                          </w:rPr>
                        </m:ctrlPr>
                      </m:sSubPr>
                      <m:e>
                        <m:r>
                          <w:rPr>
                            <w:rFonts w:ascii="Cambria Math" w:hAnsi="Cambria Math"/>
                          </w:rPr>
                          <m:t>σ</m:t>
                        </m:r>
                      </m:e>
                      <m:sub>
                        <m:r>
                          <w:rPr>
                            <w:rFonts w:ascii="Cambria Math" w:hAnsi="Cambria Math"/>
                          </w:rPr>
                          <m:t>ys</m:t>
                        </m:r>
                      </m:sub>
                    </m:sSub>
                  </m:num>
                  <m:den>
                    <m:sSub>
                      <m:sSubPr>
                        <m:ctrlPr>
                          <w:rPr>
                            <w:rFonts w:ascii="Cambria Math" w:hAnsi="Cambria Math"/>
                          </w:rPr>
                        </m:ctrlPr>
                      </m:sSubPr>
                      <m:e>
                        <m:r>
                          <w:rPr>
                            <w:rFonts w:ascii="Cambria Math" w:hAnsi="Cambria Math"/>
                          </w:rPr>
                          <m:t>σ</m:t>
                        </m:r>
                      </m:e>
                      <m:sub>
                        <m:r>
                          <w:rPr>
                            <w:rFonts w:ascii="Cambria Math" w:hAnsi="Cambria Math"/>
                          </w:rPr>
                          <m:t>uts</m:t>
                        </m:r>
                      </m:sub>
                    </m:sSub>
                  </m:den>
                </m:f>
              </m:oMath>
            </m:oMathPara>
          </w:p>
        </w:tc>
        <w:tc>
          <w:tcPr>
            <w:tcW w:w="2552" w:type="dxa"/>
            <w:tcMar>
              <w:left w:w="0" w:type="dxa"/>
              <w:right w:w="0" w:type="dxa"/>
            </w:tcMar>
            <w:vAlign w:val="center"/>
          </w:tcPr>
          <w:p w14:paraId="380AC334" w14:textId="77777777" w:rsidR="00B44535" w:rsidRPr="00BC31E0" w:rsidRDefault="00A51873" w:rsidP="002435BA">
            <w:pPr>
              <w:pStyle w:val="15"/>
              <w:spacing w:before="240"/>
              <w:ind w:firstLine="210"/>
              <w:jc w:val="left"/>
            </w:pPr>
            <m:oMathPara>
              <m:oMathParaPr>
                <m:jc m:val="left"/>
              </m:oMathParaPr>
              <m:oMath>
                <m:sSub>
                  <m:sSubPr>
                    <m:ctrlPr>
                      <w:rPr>
                        <w:rFonts w:ascii="Cambria Math" w:hAnsi="Cambria Math"/>
                      </w:rPr>
                    </m:ctrlPr>
                  </m:sSubPr>
                  <m:e>
                    <m:r>
                      <w:rPr>
                        <w:rFonts w:ascii="Cambria Math" w:hAnsi="Cambria Math"/>
                      </w:rPr>
                      <m:t>ε</m:t>
                    </m:r>
                  </m:e>
                  <m:sub>
                    <m:r>
                      <w:rPr>
                        <w:rFonts w:ascii="Cambria Math" w:hAnsi="Cambria Math"/>
                      </w:rPr>
                      <m:t>ys</m:t>
                    </m:r>
                  </m:sub>
                </m:sSub>
                <m:r>
                  <w:rPr>
                    <w:rFonts w:ascii="Cambria Math" w:hAnsi="Cambria Math"/>
                  </w:rPr>
                  <m:t>=0.002</m:t>
                </m:r>
              </m:oMath>
            </m:oMathPara>
          </w:p>
        </w:tc>
        <w:tc>
          <w:tcPr>
            <w:tcW w:w="3683" w:type="dxa"/>
            <w:tcMar>
              <w:left w:w="0" w:type="dxa"/>
              <w:right w:w="0" w:type="dxa"/>
            </w:tcMar>
            <w:vAlign w:val="center"/>
          </w:tcPr>
          <w:p w14:paraId="0FEF6089" w14:textId="77777777" w:rsidR="00B44535" w:rsidRPr="00BC31E0" w:rsidRDefault="00B44535" w:rsidP="002435BA">
            <w:pPr>
              <w:pStyle w:val="15"/>
              <w:spacing w:before="240"/>
              <w:ind w:firstLine="210"/>
              <w:jc w:val="left"/>
            </w:pPr>
            <m:oMathPara>
              <m:oMathParaPr>
                <m:jc m:val="left"/>
              </m:oMathParaPr>
              <m:oMath>
                <m:r>
                  <w:rPr>
                    <w:rFonts w:ascii="Cambria Math" w:hAnsi="Cambria Math"/>
                  </w:rPr>
                  <m:t xml:space="preserve">K=1.5 </m:t>
                </m:r>
                <m:sSup>
                  <m:sSupPr>
                    <m:ctrlPr>
                      <w:rPr>
                        <w:rFonts w:ascii="Cambria Math" w:hAnsi="Cambria Math"/>
                      </w:rPr>
                    </m:ctrlPr>
                  </m:sSupPr>
                  <m:e>
                    <m:r>
                      <w:rPr>
                        <w:rFonts w:ascii="Cambria Math" w:hAnsi="Cambria Math"/>
                      </w:rPr>
                      <m:t>R</m:t>
                    </m:r>
                  </m:e>
                  <m:sup>
                    <m:r>
                      <w:rPr>
                        <w:rFonts w:ascii="Cambria Math" w:hAnsi="Cambria Math"/>
                      </w:rPr>
                      <m:t>1.5</m:t>
                    </m:r>
                  </m:sup>
                </m:sSup>
                <m:r>
                  <w:rPr>
                    <w:rFonts w:ascii="Cambria Math" w:hAnsi="Cambria Math"/>
                  </w:rPr>
                  <m:t xml:space="preserve">-0.5 </m:t>
                </m:r>
                <m:sSup>
                  <m:sSupPr>
                    <m:ctrlPr>
                      <w:rPr>
                        <w:rFonts w:ascii="Cambria Math" w:hAnsi="Cambria Math"/>
                      </w:rPr>
                    </m:ctrlPr>
                  </m:sSupPr>
                  <m:e>
                    <m:r>
                      <w:rPr>
                        <w:rFonts w:ascii="Cambria Math" w:hAnsi="Cambria Math"/>
                      </w:rPr>
                      <m:t>R</m:t>
                    </m:r>
                  </m:e>
                  <m:sup>
                    <m:r>
                      <w:rPr>
                        <w:rFonts w:ascii="Cambria Math" w:hAnsi="Cambria Math"/>
                      </w:rPr>
                      <m:t>2.5</m:t>
                    </m:r>
                  </m:sup>
                </m:sSup>
                <m:r>
                  <w:rPr>
                    <w:rFonts w:ascii="Cambria Math" w:hAnsi="Cambria Math"/>
                  </w:rPr>
                  <m:t>-</m:t>
                </m:r>
                <m:sSup>
                  <m:sSupPr>
                    <m:ctrlPr>
                      <w:rPr>
                        <w:rFonts w:ascii="Cambria Math" w:hAnsi="Cambria Math"/>
                      </w:rPr>
                    </m:ctrlPr>
                  </m:sSupPr>
                  <m:e>
                    <m:r>
                      <w:rPr>
                        <w:rFonts w:ascii="Cambria Math" w:hAnsi="Cambria Math"/>
                      </w:rPr>
                      <m:t>R</m:t>
                    </m:r>
                  </m:e>
                  <m:sup>
                    <m:r>
                      <w:rPr>
                        <w:rFonts w:ascii="Cambria Math" w:hAnsi="Cambria Math"/>
                      </w:rPr>
                      <m:t>3.5</m:t>
                    </m:r>
                  </m:sup>
                </m:sSup>
              </m:oMath>
            </m:oMathPara>
          </w:p>
        </w:tc>
      </w:tr>
    </w:tbl>
    <w:p w14:paraId="40E29B63" w14:textId="77777777" w:rsidR="00B44535" w:rsidRPr="00BC31E0" w:rsidRDefault="00A51873" w:rsidP="001C27B0">
      <w:pPr>
        <w:tabs>
          <w:tab w:val="left" w:pos="1276"/>
        </w:tabs>
        <w:spacing w:before="120"/>
        <w:ind w:leftChars="400" w:left="840"/>
      </w:pPr>
      <m:oMath>
        <m:sSub>
          <m:sSubPr>
            <m:ctrlPr>
              <w:rPr>
                <w:rFonts w:ascii="Cambria Math" w:hAnsi="Cambria Math"/>
              </w:rPr>
            </m:ctrlPr>
          </m:sSubPr>
          <m:e>
            <m:r>
              <w:rPr>
                <w:rFonts w:ascii="Cambria Math" w:hAnsi="Cambria Math"/>
              </w:rPr>
              <m:t>ε</m:t>
            </m:r>
          </m:e>
          <m:sub>
            <m:r>
              <w:rPr>
                <w:rFonts w:ascii="Cambria Math" w:hAnsi="Cambria Math"/>
              </w:rPr>
              <m:t xml:space="preserve">t </m:t>
            </m:r>
          </m:sub>
        </m:sSub>
      </m:oMath>
      <w:r w:rsidR="00B44535" w:rsidRPr="00BC31E0">
        <w:rPr>
          <w:rFonts w:hint="eastAsia"/>
        </w:rPr>
        <w:tab/>
      </w:r>
      <w:r w:rsidR="00B44535" w:rsidRPr="00BC31E0">
        <w:rPr>
          <w:rFonts w:hint="eastAsia"/>
        </w:rPr>
        <w:t>：</w:t>
      </w:r>
      <w:r w:rsidR="00B44535" w:rsidRPr="00BC31E0">
        <w:rPr>
          <w:rFonts w:hint="eastAsia"/>
        </w:rPr>
        <w:t xml:space="preserve"> </w:t>
      </w:r>
      <w:r w:rsidR="00B44535" w:rsidRPr="00BC31E0">
        <w:rPr>
          <w:rFonts w:hint="eastAsia"/>
        </w:rPr>
        <w:t>真ひずみ</w:t>
      </w:r>
    </w:p>
    <w:p w14:paraId="507004CC" w14:textId="77777777" w:rsidR="00B44535" w:rsidRPr="00BC31E0" w:rsidRDefault="00A51873" w:rsidP="001C27B0">
      <w:pPr>
        <w:tabs>
          <w:tab w:val="left" w:pos="1276"/>
        </w:tabs>
        <w:ind w:leftChars="400" w:left="840"/>
      </w:pPr>
      <m:oMath>
        <m:sSub>
          <m:sSubPr>
            <m:ctrlPr>
              <w:rPr>
                <w:rFonts w:ascii="Cambria Math" w:hAnsi="Cambria Math"/>
              </w:rPr>
            </m:ctrlPr>
          </m:sSubPr>
          <m:e>
            <m:r>
              <w:rPr>
                <w:rFonts w:ascii="Cambria Math" w:hAnsi="Cambria Math"/>
              </w:rPr>
              <m:t>σ</m:t>
            </m:r>
          </m:e>
          <m:sub>
            <m:r>
              <w:rPr>
                <w:rFonts w:ascii="Cambria Math" w:hAnsi="Cambria Math"/>
              </w:rPr>
              <m:t>t</m:t>
            </m:r>
          </m:sub>
        </m:sSub>
        <m:r>
          <m:rPr>
            <m:sty m:val="p"/>
          </m:rPr>
          <w:rPr>
            <w:rFonts w:ascii="Cambria Math" w:hAnsi="Cambria Math"/>
          </w:rPr>
          <m:t xml:space="preserve"> </m:t>
        </m:r>
      </m:oMath>
      <w:r w:rsidR="00B44535" w:rsidRPr="00BC31E0">
        <w:rPr>
          <w:rFonts w:hint="eastAsia"/>
        </w:rPr>
        <w:tab/>
      </w:r>
      <w:r w:rsidR="00B44535" w:rsidRPr="00BC31E0">
        <w:rPr>
          <w:rFonts w:hint="eastAsia"/>
        </w:rPr>
        <w:t>：</w:t>
      </w:r>
      <w:r w:rsidR="00B44535" w:rsidRPr="00BC31E0">
        <w:rPr>
          <w:rFonts w:hint="eastAsia"/>
        </w:rPr>
        <w:t xml:space="preserve"> </w:t>
      </w:r>
      <w:r w:rsidR="00B44535" w:rsidRPr="00BC31E0">
        <w:rPr>
          <w:rFonts w:hint="eastAsia"/>
        </w:rPr>
        <w:t>真応力</w:t>
      </w:r>
      <w:r w:rsidR="00B44535" w:rsidRPr="00BC31E0">
        <w:rPr>
          <w:rFonts w:hint="eastAsia"/>
        </w:rPr>
        <w:t>(</w:t>
      </w:r>
      <w:r w:rsidR="00B44535" w:rsidRPr="00BC31E0">
        <w:rPr>
          <w:rFonts w:ascii="Cambria Math" w:hAnsi="Cambria Math"/>
        </w:rPr>
        <w:t>MPa</w:t>
      </w:r>
      <w:r w:rsidR="00B44535" w:rsidRPr="00BC31E0">
        <w:rPr>
          <w:rFonts w:hint="eastAsia"/>
        </w:rPr>
        <w:t>)</w:t>
      </w:r>
    </w:p>
    <w:p w14:paraId="7474EC29" w14:textId="77777777" w:rsidR="00B44535" w:rsidRPr="00BC31E0" w:rsidRDefault="00A51873" w:rsidP="001C27B0">
      <w:pPr>
        <w:tabs>
          <w:tab w:val="left" w:pos="1276"/>
        </w:tabs>
        <w:ind w:leftChars="400" w:left="840"/>
      </w:pPr>
      <m:oMath>
        <m:sSub>
          <m:sSubPr>
            <m:ctrlPr>
              <w:rPr>
                <w:rFonts w:ascii="Cambria Math" w:hAnsi="Cambria Math"/>
              </w:rPr>
            </m:ctrlPr>
          </m:sSubPr>
          <m:e>
            <m:r>
              <w:rPr>
                <w:rFonts w:ascii="Cambria Math" w:hAnsi="Cambria Math"/>
              </w:rPr>
              <m:t>E</m:t>
            </m:r>
          </m:e>
          <m:sub>
            <m:r>
              <w:rPr>
                <w:rFonts w:ascii="Cambria Math" w:hAnsi="Cambria Math"/>
              </w:rPr>
              <m:t>y</m:t>
            </m:r>
          </m:sub>
        </m:sSub>
        <m:r>
          <m:rPr>
            <m:sty m:val="p"/>
          </m:rPr>
          <w:rPr>
            <w:rFonts w:ascii="Cambria Math" w:hAnsi="Cambria Math"/>
          </w:rPr>
          <m:t xml:space="preserve"> </m:t>
        </m:r>
      </m:oMath>
      <w:r w:rsidR="00B44535" w:rsidRPr="00BC31E0">
        <w:rPr>
          <w:rFonts w:hint="eastAsia"/>
        </w:rPr>
        <w:tab/>
      </w:r>
      <w:r w:rsidR="00B44535" w:rsidRPr="00BC31E0">
        <w:rPr>
          <w:rFonts w:hint="eastAsia"/>
        </w:rPr>
        <w:t>：</w:t>
      </w:r>
      <w:r w:rsidR="00B44535" w:rsidRPr="00BC31E0">
        <w:rPr>
          <w:rFonts w:hint="eastAsia"/>
        </w:rPr>
        <w:t xml:space="preserve"> </w:t>
      </w:r>
      <w:r w:rsidR="00B44535" w:rsidRPr="00BC31E0">
        <w:rPr>
          <w:rFonts w:hint="eastAsia"/>
        </w:rPr>
        <w:t>当該温度における縦弾性係数</w:t>
      </w:r>
      <w:r w:rsidR="00B44535" w:rsidRPr="00BC31E0">
        <w:rPr>
          <w:rFonts w:hint="eastAsia"/>
        </w:rPr>
        <w:t>(</w:t>
      </w:r>
      <w:r w:rsidR="00B44535" w:rsidRPr="00BC31E0">
        <w:rPr>
          <w:rFonts w:ascii="Cambria Math" w:hAnsi="Cambria Math"/>
        </w:rPr>
        <w:t>MPa</w:t>
      </w:r>
      <w:r w:rsidR="00B44535" w:rsidRPr="00BC31E0">
        <w:rPr>
          <w:rFonts w:hint="eastAsia"/>
        </w:rPr>
        <w:t>)</w:t>
      </w:r>
    </w:p>
    <w:p w14:paraId="4494C9DE" w14:textId="77777777" w:rsidR="00B44535" w:rsidRPr="00BC31E0" w:rsidRDefault="00A51873" w:rsidP="001C27B0">
      <w:pPr>
        <w:tabs>
          <w:tab w:val="left" w:pos="1276"/>
        </w:tabs>
        <w:ind w:leftChars="400" w:left="840"/>
      </w:pPr>
      <m:oMath>
        <m:sSub>
          <m:sSubPr>
            <m:ctrlPr>
              <w:rPr>
                <w:rFonts w:ascii="Cambria Math" w:hAnsi="Cambria Math"/>
              </w:rPr>
            </m:ctrlPr>
          </m:sSubPr>
          <m:e>
            <m:r>
              <w:rPr>
                <w:rFonts w:ascii="Cambria Math" w:hAnsi="Cambria Math"/>
              </w:rPr>
              <m:t>σ</m:t>
            </m:r>
          </m:e>
          <m:sub>
            <m:r>
              <w:rPr>
                <w:rFonts w:ascii="Cambria Math" w:hAnsi="Cambria Math"/>
              </w:rPr>
              <m:t xml:space="preserve">ys </m:t>
            </m:r>
          </m:sub>
        </m:sSub>
      </m:oMath>
      <w:r w:rsidR="00B44535" w:rsidRPr="00BC31E0">
        <w:rPr>
          <w:rFonts w:hint="eastAsia"/>
        </w:rPr>
        <w:tab/>
      </w:r>
      <w:r w:rsidR="00B44535" w:rsidRPr="00BC31E0">
        <w:rPr>
          <w:rFonts w:hint="eastAsia"/>
        </w:rPr>
        <w:t>：</w:t>
      </w:r>
      <w:r w:rsidR="00B44535" w:rsidRPr="00BC31E0">
        <w:rPr>
          <w:rFonts w:hint="eastAsia"/>
        </w:rPr>
        <w:t xml:space="preserve"> </w:t>
      </w:r>
      <w:r w:rsidR="00B44535" w:rsidRPr="00BC31E0">
        <w:rPr>
          <w:rFonts w:hint="eastAsia"/>
        </w:rPr>
        <w:t>当該温度における降伏点又は</w:t>
      </w:r>
      <w:r w:rsidR="00B44535" w:rsidRPr="00BC31E0">
        <w:rPr>
          <w:rFonts w:ascii="Cambria Math" w:hAnsi="Cambria Math"/>
        </w:rPr>
        <w:t>0.2%</w:t>
      </w:r>
      <w:r w:rsidR="00B44535" w:rsidRPr="00BC31E0">
        <w:rPr>
          <w:rFonts w:hint="eastAsia"/>
        </w:rPr>
        <w:t>耐力</w:t>
      </w:r>
      <w:r w:rsidR="00B44535" w:rsidRPr="00BC31E0">
        <w:rPr>
          <w:rFonts w:hint="eastAsia"/>
        </w:rPr>
        <w:t>(</w:t>
      </w:r>
      <w:r w:rsidR="00B44535" w:rsidRPr="00BC31E0">
        <w:rPr>
          <w:rFonts w:ascii="Cambria Math" w:hAnsi="Cambria Math"/>
        </w:rPr>
        <w:t>MPa</w:t>
      </w:r>
      <w:r w:rsidR="00B44535" w:rsidRPr="00BC31E0">
        <w:rPr>
          <w:rFonts w:hint="eastAsia"/>
        </w:rPr>
        <w:t>)</w:t>
      </w:r>
    </w:p>
    <w:p w14:paraId="1B1135EC" w14:textId="77777777" w:rsidR="00B44535" w:rsidRPr="00BC31E0" w:rsidRDefault="00A51873" w:rsidP="001C27B0">
      <w:pPr>
        <w:tabs>
          <w:tab w:val="left" w:pos="1276"/>
        </w:tabs>
        <w:ind w:leftChars="400" w:left="840"/>
      </w:pPr>
      <m:oMath>
        <m:sSub>
          <m:sSubPr>
            <m:ctrlPr>
              <w:rPr>
                <w:rFonts w:ascii="Cambria Math" w:hAnsi="Cambria Math"/>
              </w:rPr>
            </m:ctrlPr>
          </m:sSubPr>
          <m:e>
            <m:r>
              <w:rPr>
                <w:rFonts w:ascii="Cambria Math" w:hAnsi="Cambria Math"/>
              </w:rPr>
              <m:t>σ</m:t>
            </m:r>
          </m:e>
          <m:sub>
            <m:r>
              <w:rPr>
                <w:rFonts w:ascii="Cambria Math" w:hAnsi="Cambria Math"/>
              </w:rPr>
              <m:t>uts</m:t>
            </m:r>
          </m:sub>
        </m:sSub>
        <m:r>
          <m:rPr>
            <m:sty m:val="p"/>
          </m:rPr>
          <w:rPr>
            <w:rFonts w:ascii="Cambria Math" w:hAnsi="Cambria Math"/>
          </w:rPr>
          <m:t xml:space="preserve"> </m:t>
        </m:r>
      </m:oMath>
      <w:r w:rsidR="00B44535" w:rsidRPr="00BC31E0">
        <w:rPr>
          <w:rFonts w:hint="eastAsia"/>
        </w:rPr>
        <w:tab/>
      </w:r>
      <w:r w:rsidR="00B44535" w:rsidRPr="00BC31E0">
        <w:rPr>
          <w:rFonts w:hint="eastAsia"/>
        </w:rPr>
        <w:t>：</w:t>
      </w:r>
      <w:r w:rsidR="00B44535" w:rsidRPr="00BC31E0">
        <w:rPr>
          <w:rFonts w:hint="eastAsia"/>
        </w:rPr>
        <w:t xml:space="preserve"> </w:t>
      </w:r>
      <w:r w:rsidR="00B44535" w:rsidRPr="00BC31E0">
        <w:rPr>
          <w:rFonts w:hint="eastAsia"/>
        </w:rPr>
        <w:t>当該温度における引張強さ</w:t>
      </w:r>
      <w:r w:rsidR="00B44535" w:rsidRPr="00BC31E0">
        <w:rPr>
          <w:rFonts w:hint="eastAsia"/>
        </w:rPr>
        <w:t>(</w:t>
      </w:r>
      <w:r w:rsidR="00B44535" w:rsidRPr="00BC31E0">
        <w:rPr>
          <w:rFonts w:ascii="Cambria Math" w:hAnsi="Cambria Math"/>
        </w:rPr>
        <w:t>MPa</w:t>
      </w:r>
      <w:r w:rsidR="00B44535" w:rsidRPr="00BC31E0">
        <w:t>)</w:t>
      </w:r>
    </w:p>
    <w:p w14:paraId="7E4E6444" w14:textId="77777777" w:rsidR="00B44535" w:rsidRPr="00BC31E0" w:rsidRDefault="00A51873" w:rsidP="001C27B0">
      <w:pPr>
        <w:ind w:leftChars="400" w:left="840"/>
      </w:pPr>
      <m:oMath>
        <m:sSub>
          <m:sSubPr>
            <m:ctrlPr>
              <w:rPr>
                <w:rFonts w:ascii="Cambria Math" w:hAnsi="Cambria Math"/>
              </w:rPr>
            </m:ctrlPr>
          </m:sSubPr>
          <m:e>
            <m:r>
              <w:rPr>
                <w:rFonts w:ascii="Cambria Math" w:hAnsi="Cambria Math"/>
              </w:rPr>
              <m:t>m</m:t>
            </m:r>
          </m:e>
          <m:sub>
            <m:r>
              <w:rPr>
                <w:rFonts w:ascii="Cambria Math" w:hAnsi="Cambria Math"/>
              </w:rPr>
              <m:t>2</m:t>
            </m:r>
          </m:sub>
        </m:sSub>
      </m:oMath>
      <w:r w:rsidR="00B44535" w:rsidRPr="00BC31E0">
        <w:rPr>
          <w:rFonts w:hint="eastAsia"/>
        </w:rPr>
        <w:t>，</w:t>
      </w:r>
      <m:oMath>
        <m:sSub>
          <m:sSubPr>
            <m:ctrlPr>
              <w:rPr>
                <w:rFonts w:ascii="Cambria Math" w:hAnsi="Cambria Math"/>
              </w:rPr>
            </m:ctrlPr>
          </m:sSubPr>
          <m:e>
            <m:r>
              <m:rPr>
                <m:sty m:val="p"/>
              </m:rPr>
              <w:rPr>
                <w:rFonts w:ascii="Cambria Math" w:hAnsi="Cambria Math"/>
              </w:rPr>
              <m:t>ε</m:t>
            </m:r>
          </m:e>
          <m:sub>
            <m:r>
              <w:rPr>
                <w:rFonts w:ascii="Cambria Math" w:hAnsi="Cambria Math"/>
              </w:rPr>
              <m:t>p</m:t>
            </m:r>
          </m:sub>
        </m:sSub>
        <m:r>
          <m:rPr>
            <m:sty m:val="p"/>
          </m:rPr>
          <w:rPr>
            <w:rFonts w:ascii="Cambria Math" w:hAnsi="Cambria Math"/>
          </w:rPr>
          <m:t xml:space="preserve"> </m:t>
        </m:r>
      </m:oMath>
      <w:r w:rsidR="00B44535" w:rsidRPr="00BC31E0">
        <w:rPr>
          <w:rFonts w:hint="eastAsia"/>
        </w:rPr>
        <w:t>：</w:t>
      </w:r>
      <w:r w:rsidR="00B44535" w:rsidRPr="00BC31E0">
        <w:rPr>
          <w:rFonts w:hint="eastAsia"/>
        </w:rPr>
        <w:t xml:space="preserve"> </w:t>
      </w:r>
      <w:r w:rsidR="00B44535" w:rsidRPr="00BC31E0">
        <w:rPr>
          <w:rFonts w:hint="eastAsia"/>
        </w:rPr>
        <w:t>材料特性値</w:t>
      </w:r>
      <w:r w:rsidR="00B44535" w:rsidRPr="00BC31E0">
        <w:rPr>
          <w:rFonts w:hint="eastAsia"/>
        </w:rPr>
        <w:t>(</w:t>
      </w:r>
      <w:r w:rsidR="00B44535" w:rsidRPr="00BC31E0">
        <w:rPr>
          <w:rFonts w:ascii="ＭＳ ゴシック" w:eastAsia="ＭＳ ゴシック" w:hAnsi="ＭＳ ゴシック" w:hint="eastAsia"/>
          <w:b/>
        </w:rPr>
        <w:t>表</w:t>
      </w:r>
      <w:r w:rsidR="00B44535" w:rsidRPr="00BC31E0">
        <w:rPr>
          <w:rFonts w:ascii="ＭＳ ゴシック" w:eastAsia="ＭＳ ゴシック" w:hAnsi="ＭＳ ゴシック"/>
          <w:b/>
        </w:rPr>
        <w:t>D.1</w:t>
      </w:r>
      <w:r w:rsidR="00B44535" w:rsidRPr="00BC31E0">
        <w:rPr>
          <w:rFonts w:asciiTheme="minorEastAsia" w:eastAsiaTheme="minorEastAsia" w:hAnsiTheme="minorEastAsia" w:hint="eastAsia"/>
        </w:rPr>
        <w:t>を参照</w:t>
      </w:r>
      <w:r w:rsidR="00B44535" w:rsidRPr="00BC31E0">
        <w:rPr>
          <w:rFonts w:asciiTheme="minorHAnsi" w:eastAsiaTheme="minorEastAsia" w:hAnsiTheme="minorHAnsi"/>
        </w:rPr>
        <w:t>)</w:t>
      </w:r>
    </w:p>
    <w:p w14:paraId="20697420" w14:textId="77777777" w:rsidR="00B44535" w:rsidRPr="00BC31E0" w:rsidRDefault="00B44535" w:rsidP="001C27B0">
      <w:pPr>
        <w:pStyle w:val="15"/>
        <w:spacing w:before="120" w:after="120"/>
        <w:ind w:firstLine="210"/>
        <w:rPr>
          <w:rFonts w:hAnsi="ＭＳ 明朝"/>
        </w:rPr>
      </w:pPr>
      <w:r w:rsidRPr="00BC31E0">
        <w:rPr>
          <w:rFonts w:hAnsi="ＭＳ 明朝" w:hint="eastAsia"/>
        </w:rPr>
        <w:t>真応力－真ひずみ曲線は真破断応力を上限値とし，この応力を超える領域の真応力－真ひずみ曲線はひずみ硬化がない完全塑性とする。真破断応力は</w:t>
      </w:r>
      <w:r w:rsidRPr="00BC31E0">
        <w:rPr>
          <w:rFonts w:ascii="ＭＳ ゴシック" w:eastAsia="ＭＳ ゴシック" w:hAnsi="ＭＳ ゴシック" w:hint="eastAsia"/>
          <w:b/>
        </w:rPr>
        <w:t>式(2)</w:t>
      </w:r>
      <w:r w:rsidRPr="00BC31E0">
        <w:rPr>
          <w:rFonts w:hAnsi="ＭＳ 明朝" w:hint="eastAsia"/>
        </w:rPr>
        <w:t>で与えられる。</w:t>
      </w:r>
    </w:p>
    <w:tbl>
      <w:tblPr>
        <w:tblStyle w:val="afff2"/>
        <w:tblW w:w="6237"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4761"/>
      </w:tblGrid>
      <w:tr w:rsidR="00B44535" w:rsidRPr="00BC31E0" w14:paraId="5ECA509A" w14:textId="77777777" w:rsidTr="004736F2">
        <w:tc>
          <w:tcPr>
            <w:tcW w:w="0" w:type="auto"/>
            <w:tcMar>
              <w:left w:w="0" w:type="dxa"/>
              <w:right w:w="0" w:type="dxa"/>
            </w:tcMar>
            <w:vAlign w:val="center"/>
          </w:tcPr>
          <w:p w14:paraId="0898A700" w14:textId="77777777" w:rsidR="00B44535" w:rsidRPr="00BC31E0" w:rsidRDefault="00A51873" w:rsidP="002435BA">
            <w:pPr>
              <w:pStyle w:val="15"/>
              <w:ind w:firstLine="210"/>
              <w:jc w:val="left"/>
              <w:rPr>
                <w:rFonts w:hAnsi="ＭＳ 明朝"/>
              </w:rPr>
            </w:pPr>
            <m:oMathPara>
              <m:oMathParaPr>
                <m:jc m:val="left"/>
              </m:oMathParaPr>
              <m:oMath>
                <m:sSub>
                  <m:sSubPr>
                    <m:ctrlPr>
                      <w:rPr>
                        <w:rFonts w:ascii="Cambria Math" w:hAnsi="Cambria Math"/>
                        <w:i/>
                      </w:rPr>
                    </m:ctrlPr>
                  </m:sSubPr>
                  <m:e>
                    <m:r>
                      <w:rPr>
                        <w:rFonts w:ascii="Cambria Math" w:hAnsi="Cambria Math"/>
                      </w:rPr>
                      <m:t>σ</m:t>
                    </m:r>
                  </m:e>
                  <m:sub>
                    <m:r>
                      <w:rPr>
                        <w:rFonts w:ascii="Cambria Math" w:hAnsi="Cambria Math"/>
                      </w:rPr>
                      <m:t>uts,t</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uts</m:t>
                    </m:r>
                  </m:sub>
                </m:sSub>
                <m:r>
                  <w:rPr>
                    <w:rFonts w:ascii="Cambria Math" w:hAnsi="Cambria Math"/>
                  </w:rPr>
                  <m:t xml:space="preserve"> </m:t>
                </m:r>
                <m:sSup>
                  <m:sSupPr>
                    <m:ctrlPr>
                      <w:rPr>
                        <w:rFonts w:ascii="Cambria Math" w:hAnsi="Cambria Math"/>
                        <w:i/>
                      </w:rPr>
                    </m:ctrlPr>
                  </m:sSupPr>
                  <m:e>
                    <m:r>
                      <m:rPr>
                        <m:sty m:val="bi"/>
                      </m:rPr>
                      <w:rPr>
                        <w:rFonts w:ascii="Cambria Math" w:hAnsi="Cambria Math"/>
                      </w:rPr>
                      <m:t>e</m:t>
                    </m:r>
                  </m:e>
                  <m:sup>
                    <m:sSub>
                      <m:sSubPr>
                        <m:ctrlPr>
                          <w:rPr>
                            <w:rFonts w:ascii="Cambria Math" w:hAnsi="Cambria Math"/>
                            <w:i/>
                          </w:rPr>
                        </m:ctrlPr>
                      </m:sSubPr>
                      <m:e>
                        <m:r>
                          <w:rPr>
                            <w:rFonts w:ascii="Cambria Math" w:hAnsi="Cambria Math"/>
                          </w:rPr>
                          <m:t>m</m:t>
                        </m:r>
                      </m:e>
                      <m:sub>
                        <m:r>
                          <w:rPr>
                            <w:rFonts w:ascii="Cambria Math" w:hAnsi="Cambria Math"/>
                          </w:rPr>
                          <m:t>2</m:t>
                        </m:r>
                      </m:sub>
                    </m:sSub>
                  </m:sup>
                </m:sSup>
              </m:oMath>
            </m:oMathPara>
          </w:p>
        </w:tc>
        <w:tc>
          <w:tcPr>
            <w:tcW w:w="4761" w:type="dxa"/>
            <w:tcMar>
              <w:left w:w="0" w:type="dxa"/>
              <w:right w:w="0" w:type="dxa"/>
            </w:tcMar>
            <w:vAlign w:val="center"/>
          </w:tcPr>
          <w:p w14:paraId="634B6764" w14:textId="77777777" w:rsidR="00B44535" w:rsidRPr="00BC31E0" w:rsidRDefault="00B44535" w:rsidP="002435BA">
            <w:pPr>
              <w:pStyle w:val="15"/>
              <w:tabs>
                <w:tab w:val="left" w:leader="middleDot" w:pos="4336"/>
              </w:tabs>
              <w:ind w:firstLine="210"/>
              <w:jc w:val="left"/>
              <w:rPr>
                <w:rFonts w:hAnsi="ＭＳ 明朝"/>
              </w:rPr>
            </w:pPr>
            <w:r w:rsidRPr="00BC31E0">
              <w:rPr>
                <w:rFonts w:hAnsi="ＭＳ 明朝"/>
              </w:rPr>
              <w:tab/>
            </w:r>
            <w:r w:rsidRPr="00BC31E0">
              <w:rPr>
                <w:rFonts w:hAnsi="ＭＳ 明朝" w:hint="eastAsia"/>
              </w:rPr>
              <w:t>(2)</w:t>
            </w:r>
          </w:p>
        </w:tc>
      </w:tr>
    </w:tbl>
    <w:p w14:paraId="128305A8" w14:textId="77777777" w:rsidR="00B44535" w:rsidRPr="00BC31E0" w:rsidRDefault="00B44535" w:rsidP="001C27B0">
      <w:pPr>
        <w:ind w:firstLineChars="200" w:firstLine="420"/>
      </w:pPr>
      <w:r w:rsidRPr="00BC31E0">
        <w:rPr>
          <w:rFonts w:hint="eastAsia"/>
        </w:rPr>
        <w:t>ここで，</w:t>
      </w:r>
    </w:p>
    <w:p w14:paraId="477CAC1D" w14:textId="77777777" w:rsidR="00B44535" w:rsidRPr="00BC31E0" w:rsidRDefault="00B44535" w:rsidP="002435BA">
      <w:pPr>
        <w:pStyle w:val="15"/>
        <w:tabs>
          <w:tab w:val="left" w:pos="851"/>
          <w:tab w:val="left" w:pos="1418"/>
        </w:tabs>
        <w:ind w:firstLine="210"/>
      </w:pPr>
      <w:r w:rsidRPr="00BC31E0">
        <w:rPr>
          <w:rFonts w:hAnsi="ＭＳ 明朝" w:hint="eastAsia"/>
        </w:rPr>
        <w:lastRenderedPageBreak/>
        <w:tab/>
      </w:r>
      <m:oMath>
        <m:sSub>
          <m:sSubPr>
            <m:ctrlPr>
              <w:rPr>
                <w:rFonts w:ascii="Cambria Math" w:hAnsi="Cambria Math"/>
                <w:i/>
              </w:rPr>
            </m:ctrlPr>
          </m:sSubPr>
          <m:e>
            <m:r>
              <w:rPr>
                <w:rFonts w:ascii="Cambria Math" w:hAnsi="Cambria Math"/>
              </w:rPr>
              <m:t>σ</m:t>
            </m:r>
          </m:e>
          <m:sub>
            <m:r>
              <w:rPr>
                <w:rFonts w:ascii="Cambria Math" w:hAnsi="Cambria Math"/>
              </w:rPr>
              <m:t>uts,t</m:t>
            </m:r>
          </m:sub>
        </m:sSub>
      </m:oMath>
      <w:r w:rsidRPr="00BC31E0">
        <w:rPr>
          <w:rFonts w:hAnsi="ＭＳ 明朝" w:hint="eastAsia"/>
        </w:rPr>
        <w:tab/>
      </w:r>
      <w:r w:rsidRPr="00BC31E0">
        <w:rPr>
          <w:rFonts w:hAnsi="ＭＳ 明朝" w:hint="eastAsia"/>
        </w:rPr>
        <w:t>：</w:t>
      </w:r>
      <w:r w:rsidRPr="00BC31E0">
        <w:rPr>
          <w:rFonts w:hAnsi="ＭＳ 明朝" w:hint="eastAsia"/>
        </w:rPr>
        <w:t xml:space="preserve"> </w:t>
      </w:r>
      <w:r w:rsidRPr="00BC31E0">
        <w:rPr>
          <w:rFonts w:hAnsi="ＭＳ 明朝" w:hint="eastAsia"/>
        </w:rPr>
        <w:t>当該温度における真破断応力</w:t>
      </w:r>
      <w:r w:rsidRPr="00BC31E0">
        <w:rPr>
          <w:rFonts w:hint="eastAsia"/>
        </w:rPr>
        <w:t>(</w:t>
      </w:r>
      <w:r w:rsidRPr="00BC31E0">
        <w:rPr>
          <w:rFonts w:ascii="Cambria Math" w:hAnsi="Cambria Math"/>
        </w:rPr>
        <w:t>MPa</w:t>
      </w:r>
      <w:r w:rsidRPr="00BC31E0">
        <w:rPr>
          <w:rFonts w:hint="eastAsia"/>
        </w:rPr>
        <w:t>)</w:t>
      </w:r>
    </w:p>
    <w:p w14:paraId="14E3A336" w14:textId="77777777" w:rsidR="001C27B0" w:rsidRPr="00BC31E0" w:rsidRDefault="001C27B0" w:rsidP="001C27B0">
      <w:pPr>
        <w:pStyle w:val="15"/>
        <w:tabs>
          <w:tab w:val="left" w:pos="851"/>
          <w:tab w:val="left" w:pos="1418"/>
        </w:tabs>
        <w:ind w:firstLineChars="0" w:firstLine="0"/>
        <w:rPr>
          <w:rFonts w:hAnsi="ＭＳ 明朝"/>
          <w:i/>
        </w:rPr>
      </w:pPr>
    </w:p>
    <w:p w14:paraId="7BF91DD0" w14:textId="77777777" w:rsidR="00B44535" w:rsidRPr="00BC31E0" w:rsidRDefault="00B44535" w:rsidP="00736130">
      <w:pPr>
        <w:pStyle w:val="1f9"/>
        <w:numPr>
          <w:ilvl w:val="0"/>
          <w:numId w:val="223"/>
        </w:numPr>
        <w:tabs>
          <w:tab w:val="clear" w:pos="284"/>
        </w:tabs>
        <w:adjustRightInd/>
        <w:snapToGrid/>
        <w:spacing w:line="240" w:lineRule="auto"/>
        <w:ind w:left="340" w:hanging="340"/>
        <w:jc w:val="both"/>
      </w:pPr>
      <w:r w:rsidRPr="00BC31E0">
        <w:rPr>
          <w:rFonts w:hint="eastAsia"/>
        </w:rPr>
        <w:t>繰返し応力－ひずみ曲線</w:t>
      </w:r>
    </w:p>
    <w:p w14:paraId="1EF9B48B" w14:textId="77777777" w:rsidR="00B44535" w:rsidRPr="00BC31E0" w:rsidRDefault="00B44535" w:rsidP="001C27B0">
      <w:pPr>
        <w:pStyle w:val="15"/>
        <w:spacing w:after="120"/>
        <w:ind w:firstLine="210"/>
      </w:pPr>
      <w:r w:rsidRPr="00BC31E0">
        <w:rPr>
          <w:rFonts w:hint="eastAsia"/>
        </w:rPr>
        <w:t>弾塑性解析による一次＋二次相当応力</w:t>
      </w:r>
      <w:r w:rsidRPr="00BC31E0">
        <w:rPr>
          <w:rFonts w:hint="eastAsia"/>
        </w:rPr>
        <w:t>(</w:t>
      </w:r>
      <w:r w:rsidRPr="00BC31E0">
        <w:rPr>
          <w:rFonts w:hint="eastAsia"/>
        </w:rPr>
        <w:t>膜応力＋曲げ応力</w:t>
      </w:r>
      <w:r w:rsidRPr="00BC31E0">
        <w:rPr>
          <w:rFonts w:hint="eastAsia"/>
        </w:rPr>
        <w:t>)</w:t>
      </w:r>
      <w:r w:rsidRPr="00BC31E0">
        <w:rPr>
          <w:rFonts w:hint="eastAsia"/>
        </w:rPr>
        <w:t>及び疲労の評価には，</w:t>
      </w:r>
      <w:r w:rsidRPr="00BC31E0">
        <w:rPr>
          <w:rFonts w:ascii="ＭＳ ゴシック" w:eastAsia="ＭＳ ゴシック" w:hAnsi="ＭＳ ゴシック" w:hint="eastAsia"/>
          <w:b/>
        </w:rPr>
        <w:t>式</w:t>
      </w:r>
      <w:r w:rsidRPr="00BC31E0">
        <w:rPr>
          <w:rFonts w:ascii="ＭＳ ゴシック" w:eastAsia="ＭＳ ゴシック" w:hAnsi="ＭＳ ゴシック"/>
          <w:b/>
        </w:rPr>
        <w:t>(</w:t>
      </w:r>
      <w:r w:rsidRPr="00BC31E0">
        <w:rPr>
          <w:rFonts w:ascii="ＭＳ ゴシック" w:eastAsia="ＭＳ ゴシック" w:hAnsi="ＭＳ ゴシック" w:hint="eastAsia"/>
          <w:b/>
        </w:rPr>
        <w:t>3</w:t>
      </w:r>
      <w:r w:rsidRPr="00BC31E0">
        <w:rPr>
          <w:rFonts w:ascii="ＭＳ ゴシック" w:eastAsia="ＭＳ ゴシック" w:hAnsi="ＭＳ ゴシック"/>
          <w:b/>
        </w:rPr>
        <w:t>)</w:t>
      </w:r>
      <w:r w:rsidRPr="00BC31E0">
        <w:rPr>
          <w:rFonts w:hint="eastAsia"/>
        </w:rPr>
        <w:t>に示す繰返し応力－ひずみ曲線を使用する。</w:t>
      </w:r>
    </w:p>
    <w:tbl>
      <w:tblPr>
        <w:tblStyle w:val="afff2"/>
        <w:tblW w:w="6237"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2"/>
        <w:gridCol w:w="4275"/>
      </w:tblGrid>
      <w:tr w:rsidR="00B44535" w:rsidRPr="00BC31E0" w14:paraId="29EDF2F9" w14:textId="77777777" w:rsidTr="004736F2">
        <w:tc>
          <w:tcPr>
            <w:tcW w:w="0" w:type="auto"/>
            <w:tcMar>
              <w:left w:w="0" w:type="dxa"/>
              <w:right w:w="0" w:type="dxa"/>
            </w:tcMar>
            <w:vAlign w:val="center"/>
          </w:tcPr>
          <w:p w14:paraId="6C8FF543" w14:textId="77777777" w:rsidR="00B44535" w:rsidRPr="00BC31E0" w:rsidRDefault="00A51873" w:rsidP="004736F2">
            <w:pPr>
              <w:tabs>
                <w:tab w:val="left" w:pos="2835"/>
                <w:tab w:val="left" w:leader="middleDot" w:pos="8647"/>
              </w:tabs>
              <w:jc w:val="left"/>
              <w:rPr>
                <w:rFonts w:asciiTheme="minorHAnsi" w:eastAsia="ＭＳ ゴシック" w:hAnsiTheme="minorHAnsi"/>
              </w:rPr>
            </w:pPr>
            <m:oMathPara>
              <m:oMathParaPr>
                <m:jc m:val="left"/>
              </m:oMathParaPr>
              <m:oMath>
                <m:sSub>
                  <m:sSubPr>
                    <m:ctrlPr>
                      <w:rPr>
                        <w:rFonts w:ascii="Cambria Math" w:eastAsia="ＭＳ ゴシック" w:hAnsi="Cambria Math"/>
                      </w:rPr>
                    </m:ctrlPr>
                  </m:sSubPr>
                  <m:e>
                    <m:r>
                      <w:rPr>
                        <w:rFonts w:ascii="Cambria Math" w:eastAsia="ＭＳ ゴシック" w:hAnsi="Cambria Math"/>
                      </w:rPr>
                      <m:t>ε</m:t>
                    </m:r>
                  </m:e>
                  <m:sub>
                    <m:r>
                      <w:rPr>
                        <w:rFonts w:ascii="Cambria Math" w:eastAsia="ＭＳ ゴシック" w:hAnsi="Cambria Math"/>
                      </w:rPr>
                      <m:t>ta</m:t>
                    </m:r>
                  </m:sub>
                </m:sSub>
                <m:r>
                  <w:rPr>
                    <w:rFonts w:ascii="Cambria Math" w:eastAsia="ＭＳ ゴシック" w:hAnsi="Cambria Math"/>
                  </w:rPr>
                  <m:t>=</m:t>
                </m:r>
                <m:f>
                  <m:fPr>
                    <m:ctrlPr>
                      <w:rPr>
                        <w:rFonts w:ascii="Cambria Math" w:eastAsia="ＭＳ ゴシック" w:hAnsi="Cambria Math"/>
                      </w:rPr>
                    </m:ctrlPr>
                  </m:fPr>
                  <m:num>
                    <m:sSub>
                      <m:sSubPr>
                        <m:ctrlPr>
                          <w:rPr>
                            <w:rFonts w:ascii="Cambria Math" w:eastAsia="ＭＳ ゴシック" w:hAnsi="Cambria Math"/>
                          </w:rPr>
                        </m:ctrlPr>
                      </m:sSubPr>
                      <m:e>
                        <m:r>
                          <w:rPr>
                            <w:rFonts w:ascii="Cambria Math" w:eastAsia="ＭＳ ゴシック" w:hAnsi="Cambria Math"/>
                          </w:rPr>
                          <m:t>σ</m:t>
                        </m:r>
                      </m:e>
                      <m:sub>
                        <m:r>
                          <w:rPr>
                            <w:rFonts w:ascii="Cambria Math" w:eastAsia="ＭＳ ゴシック" w:hAnsi="Cambria Math"/>
                          </w:rPr>
                          <m:t>a</m:t>
                        </m:r>
                      </m:sub>
                    </m:sSub>
                  </m:num>
                  <m:den>
                    <m:sSub>
                      <m:sSubPr>
                        <m:ctrlPr>
                          <w:rPr>
                            <w:rFonts w:ascii="Cambria Math" w:eastAsia="ＭＳ ゴシック" w:hAnsi="Cambria Math"/>
                          </w:rPr>
                        </m:ctrlPr>
                      </m:sSubPr>
                      <m:e>
                        <m:r>
                          <w:rPr>
                            <w:rFonts w:ascii="Cambria Math" w:eastAsia="ＭＳ ゴシック" w:hAnsi="Cambria Math"/>
                          </w:rPr>
                          <m:t>E</m:t>
                        </m:r>
                      </m:e>
                      <m:sub>
                        <m:r>
                          <w:rPr>
                            <w:rFonts w:ascii="Cambria Math" w:eastAsia="ＭＳ ゴシック" w:hAnsi="Cambria Math"/>
                          </w:rPr>
                          <m:t>y</m:t>
                        </m:r>
                      </m:sub>
                    </m:sSub>
                  </m:den>
                </m:f>
                <m:r>
                  <w:rPr>
                    <w:rFonts w:ascii="Cambria Math" w:eastAsia="ＭＳ ゴシック" w:hAnsi="Cambria Math"/>
                  </w:rPr>
                  <m:t>+</m:t>
                </m:r>
                <m:sSup>
                  <m:sSupPr>
                    <m:ctrlPr>
                      <w:rPr>
                        <w:rFonts w:ascii="Cambria Math" w:eastAsia="ＭＳ ゴシック" w:hAnsi="Cambria Math"/>
                      </w:rPr>
                    </m:ctrlPr>
                  </m:sSupPr>
                  <m:e>
                    <m:d>
                      <m:dPr>
                        <m:ctrlPr>
                          <w:rPr>
                            <w:rFonts w:ascii="Cambria Math" w:eastAsia="ＭＳ ゴシック" w:hAnsi="Cambria Math"/>
                          </w:rPr>
                        </m:ctrlPr>
                      </m:dPr>
                      <m:e>
                        <m:f>
                          <m:fPr>
                            <m:ctrlPr>
                              <w:rPr>
                                <w:rFonts w:ascii="Cambria Math" w:eastAsia="ＭＳ ゴシック" w:hAnsi="Cambria Math"/>
                              </w:rPr>
                            </m:ctrlPr>
                          </m:fPr>
                          <m:num>
                            <m:sSub>
                              <m:sSubPr>
                                <m:ctrlPr>
                                  <w:rPr>
                                    <w:rFonts w:ascii="Cambria Math" w:eastAsia="ＭＳ ゴシック" w:hAnsi="Cambria Math"/>
                                  </w:rPr>
                                </m:ctrlPr>
                              </m:sSubPr>
                              <m:e>
                                <m:r>
                                  <w:rPr>
                                    <w:rFonts w:ascii="Cambria Math" w:eastAsia="ＭＳ ゴシック" w:hAnsi="Cambria Math"/>
                                  </w:rPr>
                                  <m:t>σ</m:t>
                                </m:r>
                              </m:e>
                              <m:sub>
                                <m:r>
                                  <w:rPr>
                                    <w:rFonts w:ascii="Cambria Math" w:eastAsia="ＭＳ ゴシック" w:hAnsi="Cambria Math"/>
                                  </w:rPr>
                                  <m:t>a</m:t>
                                </m:r>
                              </m:sub>
                            </m:sSub>
                          </m:num>
                          <m:den>
                            <m:sSub>
                              <m:sSubPr>
                                <m:ctrlPr>
                                  <w:rPr>
                                    <w:rFonts w:ascii="Cambria Math" w:eastAsia="ＭＳ ゴシック" w:hAnsi="Cambria Math"/>
                                  </w:rPr>
                                </m:ctrlPr>
                              </m:sSubPr>
                              <m:e>
                                <m:r>
                                  <w:rPr>
                                    <w:rFonts w:ascii="Cambria Math" w:eastAsia="ＭＳ ゴシック" w:hAnsi="Cambria Math"/>
                                  </w:rPr>
                                  <m:t>K</m:t>
                                </m:r>
                              </m:e>
                              <m:sub>
                                <m:r>
                                  <w:rPr>
                                    <w:rFonts w:ascii="Cambria Math" w:eastAsia="ＭＳ ゴシック" w:hAnsi="Cambria Math"/>
                                  </w:rPr>
                                  <m:t>CSS</m:t>
                                </m:r>
                              </m:sub>
                            </m:sSub>
                          </m:den>
                        </m:f>
                      </m:e>
                    </m:d>
                  </m:e>
                  <m:sup>
                    <m:f>
                      <m:fPr>
                        <m:ctrlPr>
                          <w:rPr>
                            <w:rFonts w:ascii="Cambria Math" w:eastAsia="ＭＳ ゴシック" w:hAnsi="Cambria Math"/>
                          </w:rPr>
                        </m:ctrlPr>
                      </m:fPr>
                      <m:num>
                        <m:r>
                          <w:rPr>
                            <w:rFonts w:ascii="Cambria Math" w:eastAsia="ＭＳ ゴシック" w:hAnsi="Cambria Math"/>
                          </w:rPr>
                          <m:t>1</m:t>
                        </m:r>
                      </m:num>
                      <m:den>
                        <m:sSub>
                          <m:sSubPr>
                            <m:ctrlPr>
                              <w:rPr>
                                <w:rFonts w:ascii="Cambria Math" w:eastAsia="ＭＳ ゴシック" w:hAnsi="Cambria Math"/>
                              </w:rPr>
                            </m:ctrlPr>
                          </m:sSubPr>
                          <m:e>
                            <m:r>
                              <w:rPr>
                                <w:rFonts w:ascii="Cambria Math" w:eastAsia="ＭＳ ゴシック" w:hAnsi="Cambria Math"/>
                              </w:rPr>
                              <m:t>n</m:t>
                            </m:r>
                          </m:e>
                          <m:sub>
                            <m:r>
                              <w:rPr>
                                <w:rFonts w:ascii="Cambria Math" w:eastAsia="ＭＳ ゴシック" w:hAnsi="Cambria Math"/>
                              </w:rPr>
                              <m:t>CSS</m:t>
                            </m:r>
                          </m:sub>
                        </m:sSub>
                      </m:den>
                    </m:f>
                  </m:sup>
                </m:sSup>
              </m:oMath>
            </m:oMathPara>
          </w:p>
        </w:tc>
        <w:tc>
          <w:tcPr>
            <w:tcW w:w="4275" w:type="dxa"/>
            <w:tcMar>
              <w:left w:w="0" w:type="dxa"/>
              <w:right w:w="0" w:type="dxa"/>
            </w:tcMar>
            <w:vAlign w:val="center"/>
          </w:tcPr>
          <w:p w14:paraId="69C0F117" w14:textId="77777777" w:rsidR="00B44535" w:rsidRPr="00BC31E0" w:rsidRDefault="00B44535" w:rsidP="004736F2">
            <w:pPr>
              <w:tabs>
                <w:tab w:val="left" w:leader="middleDot" w:pos="3850"/>
              </w:tabs>
              <w:jc w:val="left"/>
              <w:rPr>
                <w:rFonts w:asciiTheme="minorHAnsi" w:eastAsia="ＭＳ ゴシック" w:hAnsiTheme="minorHAnsi"/>
              </w:rPr>
            </w:pPr>
            <w:r w:rsidRPr="00BC31E0">
              <w:rPr>
                <w:rFonts w:asciiTheme="minorHAnsi" w:eastAsia="ＭＳ ゴシック" w:hAnsiTheme="minorHAnsi" w:hint="eastAsia"/>
              </w:rPr>
              <w:tab/>
              <w:t>(3)</w:t>
            </w:r>
          </w:p>
        </w:tc>
      </w:tr>
    </w:tbl>
    <w:p w14:paraId="288EF859" w14:textId="77777777" w:rsidR="00B44535" w:rsidRPr="00BC31E0" w:rsidRDefault="00B44535" w:rsidP="001C27B0">
      <w:pPr>
        <w:ind w:firstLineChars="200" w:firstLine="420"/>
        <w:rPr>
          <w:rFonts w:hAnsi="ＭＳ 明朝"/>
        </w:rPr>
      </w:pPr>
      <w:r w:rsidRPr="00BC31E0">
        <w:rPr>
          <w:rFonts w:hAnsi="ＭＳ 明朝" w:hint="eastAsia"/>
        </w:rPr>
        <w:t>ここで，</w:t>
      </w:r>
    </w:p>
    <w:p w14:paraId="0FDA4986" w14:textId="77777777" w:rsidR="00B44535" w:rsidRPr="00BC31E0" w:rsidRDefault="00A51873" w:rsidP="002435BA">
      <w:pPr>
        <w:tabs>
          <w:tab w:val="left" w:pos="1134"/>
        </w:tabs>
        <w:ind w:leftChars="350" w:left="735"/>
        <w:rPr>
          <w:rFonts w:hAnsi="ＭＳ 明朝"/>
        </w:rPr>
      </w:pPr>
      <m:oMath>
        <m:sSub>
          <m:sSubPr>
            <m:ctrlPr>
              <w:rPr>
                <w:rFonts w:ascii="Cambria Math" w:hAnsi="Cambria Math"/>
              </w:rPr>
            </m:ctrlPr>
          </m:sSubPr>
          <m:e>
            <m:r>
              <w:rPr>
                <w:rFonts w:ascii="Cambria Math"/>
              </w:rPr>
              <m:t>ε</m:t>
            </m:r>
          </m:e>
          <m:sub>
            <m:r>
              <w:rPr>
                <w:rFonts w:ascii="Cambria Math"/>
              </w:rPr>
              <m:t>ta</m:t>
            </m:r>
          </m:sub>
        </m:sSub>
      </m:oMath>
      <w:r w:rsidR="00B44535" w:rsidRPr="00BC31E0">
        <w:rPr>
          <w:rFonts w:hAnsi="ＭＳ 明朝" w:hint="eastAsia"/>
        </w:rPr>
        <w:tab/>
      </w:r>
      <w:r w:rsidR="00B44535" w:rsidRPr="00BC31E0">
        <w:rPr>
          <w:rFonts w:hAnsi="ＭＳ 明朝" w:hint="eastAsia"/>
        </w:rPr>
        <w:t>：</w:t>
      </w:r>
      <w:r w:rsidR="00B44535" w:rsidRPr="00BC31E0">
        <w:rPr>
          <w:rFonts w:hAnsi="ＭＳ 明朝" w:hint="eastAsia"/>
        </w:rPr>
        <w:t xml:space="preserve"> </w:t>
      </w:r>
      <w:r w:rsidR="00B44535" w:rsidRPr="00BC31E0">
        <w:rPr>
          <w:rFonts w:hAnsi="ＭＳ 明朝" w:hint="eastAsia"/>
        </w:rPr>
        <w:t>全ひずみ振幅</w:t>
      </w:r>
    </w:p>
    <w:p w14:paraId="44434F54" w14:textId="77777777" w:rsidR="00B44535" w:rsidRPr="00BC31E0" w:rsidRDefault="00A51873" w:rsidP="002435BA">
      <w:pPr>
        <w:tabs>
          <w:tab w:val="left" w:pos="1134"/>
        </w:tabs>
        <w:ind w:leftChars="350" w:left="735"/>
      </w:pPr>
      <m:oMath>
        <m:sSub>
          <m:sSubPr>
            <m:ctrlPr>
              <w:rPr>
                <w:rFonts w:ascii="Cambria Math" w:hAnsi="Cambria Math"/>
              </w:rPr>
            </m:ctrlPr>
          </m:sSubPr>
          <m:e>
            <m:r>
              <w:rPr>
                <w:rFonts w:ascii="Cambria Math"/>
              </w:rPr>
              <m:t>σ</m:t>
            </m:r>
          </m:e>
          <m:sub>
            <m:r>
              <w:rPr>
                <w:rFonts w:ascii="Cambria Math"/>
              </w:rPr>
              <m:t>a</m:t>
            </m:r>
          </m:sub>
        </m:sSub>
      </m:oMath>
      <w:r w:rsidR="00B44535" w:rsidRPr="00BC31E0">
        <w:rPr>
          <w:rFonts w:hAnsi="ＭＳ 明朝" w:hint="eastAsia"/>
        </w:rPr>
        <w:tab/>
      </w:r>
      <w:r w:rsidR="00B44535" w:rsidRPr="00BC31E0">
        <w:rPr>
          <w:rFonts w:hAnsi="ＭＳ 明朝" w:hint="eastAsia"/>
        </w:rPr>
        <w:t>：</w:t>
      </w:r>
      <w:r w:rsidR="00B44535" w:rsidRPr="00BC31E0">
        <w:rPr>
          <w:rFonts w:hAnsi="ＭＳ 明朝" w:hint="eastAsia"/>
        </w:rPr>
        <w:t xml:space="preserve"> </w:t>
      </w:r>
      <w:r w:rsidR="00B44535" w:rsidRPr="00BC31E0">
        <w:rPr>
          <w:rFonts w:hAnsi="ＭＳ 明朝" w:hint="eastAsia"/>
        </w:rPr>
        <w:t>応力振幅</w:t>
      </w:r>
      <w:r w:rsidR="00B44535" w:rsidRPr="00BC31E0">
        <w:rPr>
          <w:rFonts w:hAnsi="ＭＳ 明朝" w:hint="eastAsia"/>
        </w:rPr>
        <w:t>(</w:t>
      </w:r>
      <w:r w:rsidR="00B44535" w:rsidRPr="00BC31E0">
        <w:rPr>
          <w:rFonts w:ascii="Cambria Math"/>
        </w:rPr>
        <w:t>MPa</w:t>
      </w:r>
      <w:r w:rsidR="00B44535" w:rsidRPr="00BC31E0">
        <w:rPr>
          <w:rFonts w:hint="eastAsia"/>
        </w:rPr>
        <w:t>)</w:t>
      </w:r>
    </w:p>
    <w:p w14:paraId="65472573" w14:textId="77777777" w:rsidR="00B44535" w:rsidRPr="00BC31E0" w:rsidRDefault="00A51873" w:rsidP="002435BA">
      <w:pPr>
        <w:tabs>
          <w:tab w:val="left" w:pos="1134"/>
        </w:tabs>
        <w:ind w:leftChars="350" w:left="735"/>
      </w:pPr>
      <m:oMath>
        <m:sSub>
          <m:sSubPr>
            <m:ctrlPr>
              <w:rPr>
                <w:rFonts w:ascii="Cambria Math" w:hAnsi="Cambria Math"/>
              </w:rPr>
            </m:ctrlPr>
          </m:sSubPr>
          <m:e>
            <m:r>
              <w:rPr>
                <w:rFonts w:ascii="Cambria Math"/>
              </w:rPr>
              <m:t>E</m:t>
            </m:r>
          </m:e>
          <m:sub>
            <m:r>
              <w:rPr>
                <w:rFonts w:ascii="Cambria Math"/>
              </w:rPr>
              <m:t>y</m:t>
            </m:r>
          </m:sub>
        </m:sSub>
      </m:oMath>
      <w:r w:rsidR="00B44535" w:rsidRPr="00BC31E0">
        <w:rPr>
          <w:rFonts w:hAnsi="ＭＳ 明朝" w:hint="eastAsia"/>
        </w:rPr>
        <w:tab/>
      </w:r>
      <w:r w:rsidR="00B44535" w:rsidRPr="00BC31E0">
        <w:rPr>
          <w:rFonts w:hAnsi="ＭＳ 明朝" w:hint="eastAsia"/>
        </w:rPr>
        <w:t>：</w:t>
      </w:r>
      <w:r w:rsidR="00B44535" w:rsidRPr="00BC31E0">
        <w:rPr>
          <w:rFonts w:hAnsi="ＭＳ 明朝" w:hint="eastAsia"/>
        </w:rPr>
        <w:t xml:space="preserve"> </w:t>
      </w:r>
      <w:r w:rsidR="00B44535" w:rsidRPr="00BC31E0">
        <w:rPr>
          <w:rFonts w:hAnsi="ＭＳ 明朝" w:hint="eastAsia"/>
        </w:rPr>
        <w:t>当該温度における縦弾性係数</w:t>
      </w:r>
      <w:r w:rsidR="00B44535" w:rsidRPr="00BC31E0">
        <w:rPr>
          <w:rFonts w:hAnsi="ＭＳ 明朝" w:hint="eastAsia"/>
        </w:rPr>
        <w:t>(</w:t>
      </w:r>
      <w:r w:rsidR="00B44535" w:rsidRPr="00BC31E0">
        <w:rPr>
          <w:rFonts w:ascii="Cambria Math"/>
        </w:rPr>
        <w:t>MPa</w:t>
      </w:r>
      <w:r w:rsidR="00B44535" w:rsidRPr="00BC31E0">
        <w:rPr>
          <w:rFonts w:hint="eastAsia"/>
        </w:rPr>
        <w:t>)</w:t>
      </w:r>
    </w:p>
    <w:p w14:paraId="7574A81B" w14:textId="77777777" w:rsidR="00B44535" w:rsidRPr="00BC31E0" w:rsidRDefault="00A51873" w:rsidP="002435BA">
      <w:pPr>
        <w:ind w:leftChars="350" w:left="735"/>
      </w:pPr>
      <m:oMath>
        <m:sSub>
          <m:sSubPr>
            <m:ctrlPr>
              <w:rPr>
                <w:rFonts w:ascii="Cambria Math" w:eastAsia="ＭＳ ゴシック" w:hAnsi="Cambria Math"/>
              </w:rPr>
            </m:ctrlPr>
          </m:sSubPr>
          <m:e>
            <m:r>
              <w:rPr>
                <w:rFonts w:ascii="Cambria Math" w:eastAsia="ＭＳ ゴシック"/>
              </w:rPr>
              <m:t>n</m:t>
            </m:r>
          </m:e>
          <m:sub>
            <m:r>
              <w:rPr>
                <w:rFonts w:ascii="Cambria Math" w:eastAsia="ＭＳ ゴシック"/>
              </w:rPr>
              <m:t>CSS</m:t>
            </m:r>
          </m:sub>
        </m:sSub>
      </m:oMath>
      <w:r w:rsidR="00B44535" w:rsidRPr="00BC31E0">
        <w:rPr>
          <w:rFonts w:hAnsi="ＭＳ 明朝" w:hint="eastAsia"/>
        </w:rPr>
        <w:t>，</w:t>
      </w:r>
      <m:oMath>
        <m:sSub>
          <m:sSubPr>
            <m:ctrlPr>
              <w:rPr>
                <w:rFonts w:ascii="Cambria Math" w:eastAsia="ＭＳ ゴシック" w:hAnsi="Cambria Math"/>
              </w:rPr>
            </m:ctrlPr>
          </m:sSubPr>
          <m:e>
            <m:r>
              <w:rPr>
                <w:rFonts w:ascii="Cambria Math" w:eastAsia="ＭＳ ゴシック"/>
              </w:rPr>
              <m:t>K</m:t>
            </m:r>
          </m:e>
          <m:sub>
            <m:r>
              <w:rPr>
                <w:rFonts w:ascii="Cambria Math" w:eastAsia="ＭＳ ゴシック"/>
              </w:rPr>
              <m:t>CSS</m:t>
            </m:r>
          </m:sub>
        </m:sSub>
      </m:oMath>
      <w:r w:rsidR="00B44535" w:rsidRPr="00BC31E0">
        <w:rPr>
          <w:rFonts w:hAnsi="ＭＳ 明朝" w:hint="eastAsia"/>
        </w:rPr>
        <w:t xml:space="preserve"> </w:t>
      </w:r>
      <w:r w:rsidR="00B44535" w:rsidRPr="00BC31E0">
        <w:rPr>
          <w:rFonts w:hAnsi="ＭＳ 明朝" w:hint="eastAsia"/>
        </w:rPr>
        <w:t>：</w:t>
      </w:r>
      <w:r w:rsidR="00B44535" w:rsidRPr="00BC31E0">
        <w:rPr>
          <w:rFonts w:hAnsi="ＭＳ 明朝" w:hint="eastAsia"/>
        </w:rPr>
        <w:t xml:space="preserve"> </w:t>
      </w:r>
      <w:r w:rsidR="00B44535" w:rsidRPr="00BC31E0">
        <w:rPr>
          <w:rFonts w:hAnsi="ＭＳ 明朝" w:hint="eastAsia"/>
        </w:rPr>
        <w:t>材料特性値</w:t>
      </w:r>
      <w:r w:rsidR="00B44535" w:rsidRPr="00BC31E0">
        <w:rPr>
          <w:rFonts w:hAnsi="ＭＳ 明朝" w:hint="eastAsia"/>
        </w:rPr>
        <w:t>(</w:t>
      </w:r>
      <w:r w:rsidR="00B44535" w:rsidRPr="00BC31E0">
        <w:rPr>
          <w:rFonts w:ascii="ＭＳ ゴシック" w:eastAsia="ＭＳ ゴシック" w:hAnsi="ＭＳ ゴシック" w:hint="eastAsia"/>
          <w:b/>
        </w:rPr>
        <w:t>表</w:t>
      </w:r>
      <w:r w:rsidR="00B44535" w:rsidRPr="00BC31E0">
        <w:rPr>
          <w:rFonts w:ascii="ＭＳ ゴシック" w:eastAsia="ＭＳ ゴシック" w:hAnsi="ＭＳ ゴシック"/>
          <w:b/>
        </w:rPr>
        <w:t>D.2</w:t>
      </w:r>
      <w:r w:rsidR="00B44535" w:rsidRPr="00BC31E0">
        <w:rPr>
          <w:rFonts w:asciiTheme="minorEastAsia" w:eastAsiaTheme="minorEastAsia" w:hAnsiTheme="minorEastAsia" w:hint="eastAsia"/>
        </w:rPr>
        <w:t>を参照</w:t>
      </w:r>
      <w:r w:rsidR="00B44535" w:rsidRPr="00BC31E0">
        <w:rPr>
          <w:rFonts w:asciiTheme="minorHAnsi" w:eastAsia="ＭＳ ゴシック" w:hAnsiTheme="minorHAnsi"/>
        </w:rPr>
        <w:t>)</w:t>
      </w:r>
    </w:p>
    <w:p w14:paraId="17621344" w14:textId="77777777" w:rsidR="00B44535" w:rsidRPr="00BC31E0" w:rsidRDefault="00B44535" w:rsidP="001C27B0">
      <w:pPr>
        <w:spacing w:before="120" w:after="120"/>
        <w:ind w:firstLineChars="100" w:firstLine="211"/>
      </w:pPr>
      <w:r w:rsidRPr="00BC31E0">
        <w:rPr>
          <w:rFonts w:ascii="ＭＳ ゴシック" w:eastAsia="ＭＳ ゴシック" w:hAnsi="ＭＳ ゴシック" w:hint="eastAsia"/>
          <w:b/>
        </w:rPr>
        <w:t>表</w:t>
      </w:r>
      <w:r w:rsidRPr="00BC31E0">
        <w:rPr>
          <w:rFonts w:ascii="ＭＳ ゴシック" w:eastAsia="ＭＳ ゴシック" w:hAnsi="ＭＳ ゴシック"/>
          <w:b/>
        </w:rPr>
        <w:t>D.2</w:t>
      </w:r>
      <w:r w:rsidRPr="00BC31E0">
        <w:rPr>
          <w:rFonts w:hint="eastAsia"/>
        </w:rPr>
        <w:t>に記載されていない材料，溶接金属及び熱量影響部については繰返し応力－ひずみ試験を行い，</w:t>
      </w:r>
      <w:r w:rsidRPr="00BC31E0">
        <w:rPr>
          <w:rFonts w:ascii="ＭＳ ゴシック" w:eastAsia="ＭＳ ゴシック" w:hAnsi="ＭＳ ゴシック" w:hint="eastAsia"/>
          <w:b/>
        </w:rPr>
        <w:t>式</w:t>
      </w:r>
      <w:r w:rsidRPr="00BC31E0">
        <w:rPr>
          <w:rFonts w:ascii="ＭＳ ゴシック" w:eastAsia="ＭＳ ゴシック" w:hAnsi="ＭＳ ゴシック"/>
          <w:b/>
        </w:rPr>
        <w:t>(</w:t>
      </w:r>
      <w:r w:rsidRPr="00BC31E0">
        <w:rPr>
          <w:rFonts w:ascii="ＭＳ ゴシック" w:eastAsia="ＭＳ ゴシック" w:hAnsi="ＭＳ ゴシック" w:hint="eastAsia"/>
          <w:b/>
        </w:rPr>
        <w:t>3</w:t>
      </w:r>
      <w:r w:rsidRPr="00BC31E0">
        <w:rPr>
          <w:rFonts w:ascii="ＭＳ ゴシック" w:eastAsia="ＭＳ ゴシック" w:hAnsi="ＭＳ ゴシック"/>
          <w:b/>
        </w:rPr>
        <w:t>)</w:t>
      </w:r>
      <w:r w:rsidRPr="00BC31E0">
        <w:rPr>
          <w:rFonts w:hint="eastAsia"/>
        </w:rPr>
        <w:t>を変形して得られる</w:t>
      </w:r>
      <w:r w:rsidRPr="00BC31E0">
        <w:rPr>
          <w:rFonts w:ascii="ＭＳ ゴシック" w:eastAsia="ＭＳ ゴシック" w:hAnsi="ＭＳ ゴシック" w:hint="eastAsia"/>
          <w:b/>
        </w:rPr>
        <w:t>式</w:t>
      </w:r>
      <w:r w:rsidRPr="00BC31E0">
        <w:rPr>
          <w:rFonts w:ascii="ＭＳ ゴシック" w:eastAsia="ＭＳ ゴシック" w:hAnsi="ＭＳ ゴシック"/>
          <w:b/>
        </w:rPr>
        <w:t>(</w:t>
      </w:r>
      <w:r w:rsidRPr="00BC31E0">
        <w:rPr>
          <w:rFonts w:ascii="ＭＳ ゴシック" w:eastAsia="ＭＳ ゴシック" w:hAnsi="ＭＳ ゴシック" w:hint="eastAsia"/>
          <w:b/>
        </w:rPr>
        <w:t>4</w:t>
      </w:r>
      <w:r w:rsidRPr="00BC31E0">
        <w:rPr>
          <w:rFonts w:ascii="ＭＳ ゴシック" w:eastAsia="ＭＳ ゴシック" w:hAnsi="ＭＳ ゴシック"/>
          <w:b/>
        </w:rPr>
        <w:t>)</w:t>
      </w:r>
      <w:r w:rsidRPr="00BC31E0">
        <w:rPr>
          <w:rFonts w:hint="eastAsia"/>
        </w:rPr>
        <w:t>に最小自乗法を適用して</w:t>
      </w:r>
      <m:oMath>
        <m:sSub>
          <m:sSubPr>
            <m:ctrlPr>
              <w:rPr>
                <w:rFonts w:ascii="Cambria Math" w:eastAsia="ＭＳ ゴシック" w:hAnsi="Cambria Math"/>
              </w:rPr>
            </m:ctrlPr>
          </m:sSubPr>
          <m:e>
            <m:r>
              <w:rPr>
                <w:rFonts w:ascii="Cambria Math" w:eastAsia="ＭＳ ゴシック" w:hAnsi="Cambria Math"/>
              </w:rPr>
              <m:t xml:space="preserve"> n</m:t>
            </m:r>
          </m:e>
          <m:sub>
            <m:r>
              <w:rPr>
                <w:rFonts w:ascii="Cambria Math" w:eastAsia="ＭＳ ゴシック" w:hAnsi="Cambria Math"/>
              </w:rPr>
              <m:t>CSS</m:t>
            </m:r>
          </m:sub>
        </m:sSub>
      </m:oMath>
      <w:r w:rsidRPr="00BC31E0">
        <w:rPr>
          <w:rFonts w:hAnsi="ＭＳ 明朝" w:hint="eastAsia"/>
        </w:rPr>
        <w:t>，</w:t>
      </w:r>
      <m:oMath>
        <m:sSub>
          <m:sSubPr>
            <m:ctrlPr>
              <w:rPr>
                <w:rFonts w:ascii="Cambria Math" w:eastAsia="ＭＳ ゴシック" w:hAnsi="Cambria Math"/>
              </w:rPr>
            </m:ctrlPr>
          </m:sSubPr>
          <m:e>
            <m:r>
              <w:rPr>
                <w:rFonts w:ascii="Cambria Math" w:eastAsia="ＭＳ ゴシック" w:hAnsi="Cambria Math"/>
              </w:rPr>
              <m:t>K</m:t>
            </m:r>
          </m:e>
          <m:sub>
            <m:r>
              <w:rPr>
                <w:rFonts w:ascii="Cambria Math" w:eastAsia="ＭＳ ゴシック" w:hAnsi="Cambria Math"/>
              </w:rPr>
              <m:t>CSS</m:t>
            </m:r>
          </m:sub>
        </m:sSub>
        <m:r>
          <m:rPr>
            <m:sty m:val="p"/>
          </m:rPr>
          <w:rPr>
            <w:rFonts w:ascii="Cambria Math" w:eastAsia="ＭＳ ゴシック" w:hAnsi="Cambria Math"/>
          </w:rPr>
          <m:t xml:space="preserve"> </m:t>
        </m:r>
      </m:oMath>
      <w:r w:rsidRPr="00BC31E0">
        <w:rPr>
          <w:rFonts w:hint="eastAsia"/>
        </w:rPr>
        <w:t>を求めてもよい。</w:t>
      </w:r>
    </w:p>
    <w:tbl>
      <w:tblPr>
        <w:tblStyle w:val="afff2"/>
        <w:tblW w:w="6804"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4"/>
        <w:gridCol w:w="3190"/>
      </w:tblGrid>
      <w:tr w:rsidR="00B44535" w:rsidRPr="00BC31E0" w14:paraId="5A7E3F85" w14:textId="77777777" w:rsidTr="004736F2">
        <w:tc>
          <w:tcPr>
            <w:tcW w:w="0" w:type="auto"/>
            <w:tcMar>
              <w:left w:w="0" w:type="dxa"/>
              <w:right w:w="0" w:type="dxa"/>
            </w:tcMar>
            <w:vAlign w:val="center"/>
          </w:tcPr>
          <w:p w14:paraId="2889CA22" w14:textId="77777777" w:rsidR="00B44535" w:rsidRPr="00BC31E0" w:rsidRDefault="00A51873" w:rsidP="004736F2">
            <w:pPr>
              <w:tabs>
                <w:tab w:val="left" w:pos="2268"/>
                <w:tab w:val="left" w:leader="middleDot" w:pos="8647"/>
              </w:tabs>
              <w:jc w:val="left"/>
              <w:rPr>
                <w:rFonts w:asciiTheme="minorHAnsi" w:hAnsiTheme="minorHAnsi"/>
              </w:rPr>
            </w:pPr>
            <m:oMathPara>
              <m:oMathParaPr>
                <m:jc m:val="left"/>
              </m:oMathParaPr>
              <m:oMath>
                <m:func>
                  <m:funcPr>
                    <m:ctrlPr>
                      <w:rPr>
                        <w:rFonts w:ascii="Cambria Math" w:hAnsi="Cambria Math"/>
                      </w:rPr>
                    </m:ctrlPr>
                  </m:funcPr>
                  <m:fName>
                    <m:r>
                      <m:rPr>
                        <m:sty m:val="bi"/>
                      </m:rPr>
                      <w:rPr>
                        <w:rFonts w:ascii="Cambria Math" w:hAnsi="Cambria Math"/>
                      </w:rPr>
                      <m:t>ln</m:t>
                    </m:r>
                  </m:fName>
                  <m:e>
                    <m:d>
                      <m:dPr>
                        <m:ctrlPr>
                          <w:rPr>
                            <w:rFonts w:ascii="Cambria Math" w:hAnsi="Cambria Math"/>
                          </w:rPr>
                        </m:ctrlPr>
                      </m:dPr>
                      <m:e>
                        <m:sSub>
                          <m:sSubPr>
                            <m:ctrlPr>
                              <w:rPr>
                                <w:rFonts w:ascii="Cambria Math" w:hAnsi="Cambria Math"/>
                              </w:rPr>
                            </m:ctrlPr>
                          </m:sSubPr>
                          <m:e>
                            <m:r>
                              <w:rPr>
                                <w:rFonts w:ascii="Cambria Math" w:hAnsi="Cambria Math"/>
                              </w:rPr>
                              <m:t>σ</m:t>
                            </m:r>
                          </m:e>
                          <m:sub>
                            <m:r>
                              <w:rPr>
                                <w:rFonts w:ascii="Cambria Math" w:hAnsi="Cambria Math"/>
                              </w:rPr>
                              <m:t>a</m:t>
                            </m:r>
                          </m:sub>
                        </m:sSub>
                      </m:e>
                    </m:d>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CSS</m:t>
                        </m:r>
                      </m:sub>
                    </m:sSub>
                    <m:r>
                      <w:rPr>
                        <w:rFonts w:ascii="Cambria Math" w:hAnsi="Cambria Math"/>
                      </w:rPr>
                      <m:t xml:space="preserve"> </m:t>
                    </m:r>
                    <m:func>
                      <m:funcPr>
                        <m:ctrlPr>
                          <w:rPr>
                            <w:rFonts w:ascii="Cambria Math" w:hAnsi="Cambria Math"/>
                          </w:rPr>
                        </m:ctrlPr>
                      </m:funcPr>
                      <m:fName>
                        <m:r>
                          <m:rPr>
                            <m:sty m:val="bi"/>
                          </m:rPr>
                          <w:rPr>
                            <w:rFonts w:ascii="Cambria Math" w:hAnsi="Cambria Math"/>
                          </w:rPr>
                          <m:t>ln</m:t>
                        </m:r>
                      </m:fName>
                      <m:e>
                        <m:d>
                          <m:dPr>
                            <m:ctrlPr>
                              <w:rPr>
                                <w:rFonts w:ascii="Cambria Math" w:hAnsi="Cambria Math"/>
                              </w:rPr>
                            </m:ctrlPr>
                          </m:dPr>
                          <m:e>
                            <m:sSub>
                              <m:sSubPr>
                                <m:ctrlPr>
                                  <w:rPr>
                                    <w:rFonts w:ascii="Cambria Math" w:hAnsi="Cambria Math"/>
                                  </w:rPr>
                                </m:ctrlPr>
                              </m:sSubPr>
                              <m:e>
                                <m:r>
                                  <w:rPr>
                                    <w:rFonts w:ascii="Cambria Math" w:hAnsi="Cambria Math"/>
                                  </w:rPr>
                                  <m:t>ε</m:t>
                                </m:r>
                              </m:e>
                              <m:sub>
                                <m:r>
                                  <w:rPr>
                                    <w:rFonts w:ascii="Cambria Math" w:hAnsi="Cambria Math"/>
                                  </w:rPr>
                                  <m:t>ta</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σ</m:t>
                                    </m:r>
                                  </m:e>
                                  <m:sub>
                                    <m:r>
                                      <w:rPr>
                                        <w:rFonts w:ascii="Cambria Math" w:hAnsi="Cambria Math"/>
                                      </w:rPr>
                                      <m:t>a</m:t>
                                    </m:r>
                                  </m:sub>
                                </m:sSub>
                              </m:num>
                              <m:den>
                                <m:sSub>
                                  <m:sSubPr>
                                    <m:ctrlPr>
                                      <w:rPr>
                                        <w:rFonts w:ascii="Cambria Math" w:hAnsi="Cambria Math"/>
                                      </w:rPr>
                                    </m:ctrlPr>
                                  </m:sSubPr>
                                  <m:e>
                                    <m:r>
                                      <w:rPr>
                                        <w:rFonts w:ascii="Cambria Math" w:hAnsi="Cambria Math"/>
                                      </w:rPr>
                                      <m:t>E</m:t>
                                    </m:r>
                                  </m:e>
                                  <m:sub>
                                    <m:r>
                                      <w:rPr>
                                        <w:rFonts w:ascii="Cambria Math" w:hAnsi="Cambria Math"/>
                                      </w:rPr>
                                      <m:t>y</m:t>
                                    </m:r>
                                  </m:sub>
                                </m:sSub>
                              </m:den>
                            </m:f>
                          </m:e>
                        </m:d>
                        <m:r>
                          <w:rPr>
                            <w:rFonts w:ascii="Cambria Math" w:hAnsi="Cambria Math"/>
                          </w:rPr>
                          <m:t>+</m:t>
                        </m:r>
                        <m:func>
                          <m:funcPr>
                            <m:ctrlPr>
                              <w:rPr>
                                <w:rFonts w:ascii="Cambria Math" w:hAnsi="Cambria Math"/>
                              </w:rPr>
                            </m:ctrlPr>
                          </m:funcPr>
                          <m:fName>
                            <m:r>
                              <m:rPr>
                                <m:sty m:val="bi"/>
                              </m:rPr>
                              <w:rPr>
                                <w:rFonts w:ascii="Cambria Math" w:hAnsi="Cambria Math"/>
                              </w:rPr>
                              <m:t>ln</m:t>
                            </m:r>
                          </m:fName>
                          <m:e>
                            <m:d>
                              <m:dPr>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CSS</m:t>
                                    </m:r>
                                  </m:sub>
                                </m:sSub>
                              </m:e>
                            </m:d>
                          </m:e>
                        </m:func>
                      </m:e>
                    </m:func>
                  </m:e>
                </m:func>
              </m:oMath>
            </m:oMathPara>
          </w:p>
        </w:tc>
        <w:tc>
          <w:tcPr>
            <w:tcW w:w="3190" w:type="dxa"/>
            <w:tcMar>
              <w:left w:w="0" w:type="dxa"/>
              <w:right w:w="0" w:type="dxa"/>
            </w:tcMar>
            <w:vAlign w:val="center"/>
          </w:tcPr>
          <w:p w14:paraId="491C3731" w14:textId="77777777" w:rsidR="00B44535" w:rsidRPr="00BC31E0" w:rsidRDefault="00B44535" w:rsidP="004736F2">
            <w:pPr>
              <w:tabs>
                <w:tab w:val="left" w:leader="middleDot" w:pos="2765"/>
              </w:tabs>
              <w:jc w:val="left"/>
              <w:rPr>
                <w:rFonts w:asciiTheme="minorHAnsi" w:hAnsiTheme="minorHAnsi"/>
              </w:rPr>
            </w:pPr>
            <w:r w:rsidRPr="00BC31E0">
              <w:rPr>
                <w:rFonts w:asciiTheme="minorHAnsi" w:hAnsiTheme="minorHAnsi" w:hint="eastAsia"/>
              </w:rPr>
              <w:tab/>
              <w:t>(4)</w:t>
            </w:r>
          </w:p>
        </w:tc>
      </w:tr>
    </w:tbl>
    <w:p w14:paraId="3857C0A9" w14:textId="77777777" w:rsidR="00B44535" w:rsidRPr="00BC31E0" w:rsidRDefault="00B44535" w:rsidP="001C27B0">
      <w:pPr>
        <w:spacing w:before="120" w:after="120"/>
        <w:ind w:firstLineChars="100" w:firstLine="210"/>
      </w:pPr>
      <w:r w:rsidRPr="00BC31E0">
        <w:rPr>
          <w:rFonts w:hint="eastAsia"/>
        </w:rPr>
        <w:t>すなわち，</w:t>
      </w:r>
      <w:r w:rsidRPr="00BC31E0">
        <w:rPr>
          <w:rFonts w:ascii="ＭＳ ゴシック" w:eastAsia="ＭＳ ゴシック" w:hAnsi="ＭＳ ゴシック" w:hint="eastAsia"/>
          <w:b/>
        </w:rPr>
        <w:t>式</w:t>
      </w:r>
      <w:r w:rsidRPr="00BC31E0">
        <w:rPr>
          <w:rFonts w:ascii="ＭＳ ゴシック" w:eastAsia="ＭＳ ゴシック" w:hAnsi="ＭＳ ゴシック"/>
          <w:b/>
        </w:rPr>
        <w:t>(</w:t>
      </w:r>
      <w:r w:rsidRPr="00BC31E0">
        <w:rPr>
          <w:rFonts w:ascii="ＭＳ ゴシック" w:eastAsia="ＭＳ ゴシック" w:hAnsi="ＭＳ ゴシック" w:hint="eastAsia"/>
          <w:b/>
        </w:rPr>
        <w:t>5</w:t>
      </w:r>
      <w:r w:rsidRPr="00BC31E0">
        <w:rPr>
          <w:rFonts w:ascii="ＭＳ ゴシック" w:eastAsia="ＭＳ ゴシック" w:hAnsi="ＭＳ ゴシック"/>
          <w:b/>
        </w:rPr>
        <w:t>)</w:t>
      </w:r>
      <w:r w:rsidRPr="00BC31E0">
        <w:rPr>
          <w:rFonts w:hint="eastAsia"/>
        </w:rPr>
        <w:t>に最小自乗法を適用して</w:t>
      </w:r>
      <m:oMath>
        <m:r>
          <m:rPr>
            <m:sty m:val="p"/>
          </m:rPr>
          <w:rPr>
            <w:rFonts w:ascii="Cambria Math" w:hAnsi="Cambria Math"/>
          </w:rPr>
          <m:t xml:space="preserve"> </m:t>
        </m:r>
        <m:r>
          <w:rPr>
            <w:rFonts w:ascii="Cambria Math" w:hAnsi="Cambria Math"/>
          </w:rPr>
          <m:t xml:space="preserve">a </m:t>
        </m:r>
      </m:oMath>
      <w:r w:rsidRPr="00BC31E0">
        <w:rPr>
          <w:rFonts w:hint="eastAsia"/>
        </w:rPr>
        <w:t>と</w:t>
      </w:r>
      <m:oMath>
        <m:r>
          <m:rPr>
            <m:sty m:val="p"/>
          </m:rPr>
          <w:rPr>
            <w:rFonts w:ascii="Cambria Math" w:hAnsi="Cambria Math"/>
          </w:rPr>
          <m:t xml:space="preserve"> </m:t>
        </m:r>
        <m:r>
          <w:rPr>
            <w:rFonts w:ascii="Cambria Math" w:hAnsi="Cambria Math"/>
          </w:rPr>
          <m:t xml:space="preserve">b </m:t>
        </m:r>
      </m:oMath>
      <w:r w:rsidRPr="00BC31E0">
        <w:rPr>
          <w:rFonts w:hint="eastAsia"/>
        </w:rPr>
        <w:t>を求めて，</w:t>
      </w:r>
      <m:oMath>
        <m:sSub>
          <m:sSubPr>
            <m:ctrlPr>
              <w:rPr>
                <w:rFonts w:ascii="Cambria Math" w:eastAsia="ＭＳ ゴシック" w:hAnsi="Cambria Math"/>
                <w:i/>
              </w:rPr>
            </m:ctrlPr>
          </m:sSubPr>
          <m:e>
            <m:r>
              <w:rPr>
                <w:rFonts w:ascii="Cambria Math" w:eastAsia="ＭＳ ゴシック" w:hAnsi="Cambria Math"/>
              </w:rPr>
              <m:t>n</m:t>
            </m:r>
          </m:e>
          <m:sub>
            <m:r>
              <w:rPr>
                <w:rFonts w:ascii="Cambria Math" w:eastAsia="ＭＳ ゴシック" w:hAnsi="Cambria Math"/>
              </w:rPr>
              <m:t>CSS</m:t>
            </m:r>
          </m:sub>
        </m:sSub>
        <m:r>
          <w:rPr>
            <w:rFonts w:ascii="Cambria Math" w:eastAsia="ＭＳ ゴシック" w:hAnsi="Cambria Math"/>
          </w:rPr>
          <m:t xml:space="preserve"> </m:t>
        </m:r>
      </m:oMath>
      <w:r w:rsidRPr="00BC31E0">
        <w:rPr>
          <w:rFonts w:hint="eastAsia"/>
        </w:rPr>
        <w:t>と</w:t>
      </w:r>
      <m:oMath>
        <m:sSub>
          <m:sSubPr>
            <m:ctrlPr>
              <w:rPr>
                <w:rFonts w:ascii="Cambria Math" w:eastAsia="ＭＳ ゴシック" w:hAnsi="Cambria Math"/>
                <w:i/>
              </w:rPr>
            </m:ctrlPr>
          </m:sSubPr>
          <m:e>
            <m:r>
              <w:rPr>
                <w:rFonts w:ascii="Cambria Math" w:eastAsia="ＭＳ ゴシック" w:hAnsi="Cambria Math"/>
              </w:rPr>
              <m:t xml:space="preserve"> K</m:t>
            </m:r>
          </m:e>
          <m:sub>
            <m:r>
              <w:rPr>
                <w:rFonts w:ascii="Cambria Math" w:eastAsia="ＭＳ ゴシック" w:hAnsi="Cambria Math"/>
              </w:rPr>
              <m:t>CSS</m:t>
            </m:r>
          </m:sub>
        </m:sSub>
        <m:r>
          <w:rPr>
            <w:rFonts w:ascii="Cambria Math" w:eastAsia="ＭＳ ゴシック" w:hAnsi="Cambria Math"/>
          </w:rPr>
          <m:t xml:space="preserve"> </m:t>
        </m:r>
      </m:oMath>
      <w:r w:rsidRPr="00BC31E0">
        <w:rPr>
          <w:rFonts w:hint="eastAsia"/>
        </w:rPr>
        <w:t>を求める。</w:t>
      </w:r>
    </w:p>
    <w:tbl>
      <w:tblPr>
        <w:tblStyle w:val="afff2"/>
        <w:tblW w:w="6804"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5780"/>
      </w:tblGrid>
      <w:tr w:rsidR="00B44535" w:rsidRPr="00BC31E0" w14:paraId="1220BD94" w14:textId="77777777" w:rsidTr="004736F2">
        <w:tc>
          <w:tcPr>
            <w:tcW w:w="0" w:type="auto"/>
            <w:tcMar>
              <w:left w:w="0" w:type="dxa"/>
              <w:right w:w="0" w:type="dxa"/>
            </w:tcMar>
            <w:vAlign w:val="center"/>
          </w:tcPr>
          <w:p w14:paraId="1986EA17" w14:textId="77777777" w:rsidR="00B44535" w:rsidRPr="00BC31E0" w:rsidRDefault="00A51873" w:rsidP="004736F2">
            <w:pPr>
              <w:tabs>
                <w:tab w:val="left" w:pos="2268"/>
                <w:tab w:val="left" w:leader="middleDot" w:pos="8647"/>
              </w:tabs>
              <w:jc w:val="left"/>
              <w:rPr>
                <w:rFonts w:asciiTheme="minorHAnsi" w:hAnsiTheme="minorHAnsi"/>
              </w:rPr>
            </w:pPr>
            <m:oMathPara>
              <m:oMathParaPr>
                <m:jc m:val="left"/>
              </m:oMathParaPr>
              <m:oMath>
                <m:func>
                  <m:funcPr>
                    <m:ctrlPr>
                      <w:rPr>
                        <w:rFonts w:ascii="Cambria Math" w:hAnsi="Cambria Math"/>
                      </w:rPr>
                    </m:ctrlPr>
                  </m:funcPr>
                  <m:fName>
                    <m:r>
                      <w:rPr>
                        <w:rFonts w:ascii="Cambria Math" w:hAnsi="Cambria Math"/>
                      </w:rPr>
                      <m:t>Y</m:t>
                    </m:r>
                  </m:fName>
                  <m:e>
                    <m:r>
                      <w:rPr>
                        <w:rFonts w:ascii="Cambria Math" w:hAnsi="Cambria Math"/>
                      </w:rPr>
                      <m:t>=</m:t>
                    </m:r>
                    <m:func>
                      <m:funcPr>
                        <m:ctrlPr>
                          <w:rPr>
                            <w:rFonts w:ascii="Cambria Math" w:hAnsi="Cambria Math"/>
                          </w:rPr>
                        </m:ctrlPr>
                      </m:funcPr>
                      <m:fName>
                        <m:r>
                          <w:rPr>
                            <w:rFonts w:ascii="Cambria Math" w:hAnsi="Cambria Math"/>
                          </w:rPr>
                          <m:t>a X</m:t>
                        </m:r>
                      </m:fName>
                      <m:e>
                        <m:r>
                          <w:rPr>
                            <w:rFonts w:ascii="Cambria Math" w:hAnsi="Cambria Math"/>
                          </w:rPr>
                          <m:t>+b</m:t>
                        </m:r>
                      </m:e>
                    </m:func>
                  </m:e>
                </m:func>
              </m:oMath>
            </m:oMathPara>
          </w:p>
        </w:tc>
        <w:tc>
          <w:tcPr>
            <w:tcW w:w="5780" w:type="dxa"/>
            <w:tcMar>
              <w:left w:w="0" w:type="dxa"/>
              <w:right w:w="0" w:type="dxa"/>
            </w:tcMar>
            <w:vAlign w:val="center"/>
          </w:tcPr>
          <w:p w14:paraId="67CF2DE6" w14:textId="77777777" w:rsidR="00B44535" w:rsidRPr="00BC31E0" w:rsidRDefault="00B44535" w:rsidP="004736F2">
            <w:pPr>
              <w:tabs>
                <w:tab w:val="left" w:leader="middleDot" w:pos="5355"/>
              </w:tabs>
              <w:jc w:val="left"/>
              <w:rPr>
                <w:rFonts w:asciiTheme="minorHAnsi" w:hAnsiTheme="minorHAnsi"/>
              </w:rPr>
            </w:pPr>
            <w:r w:rsidRPr="00BC31E0">
              <w:rPr>
                <w:rFonts w:asciiTheme="minorHAnsi" w:hAnsiTheme="minorHAnsi" w:hint="eastAsia"/>
              </w:rPr>
              <w:tab/>
              <w:t>(5)</w:t>
            </w:r>
          </w:p>
        </w:tc>
      </w:tr>
    </w:tbl>
    <w:p w14:paraId="0D159542" w14:textId="77777777" w:rsidR="00B44535" w:rsidRPr="00BC31E0" w:rsidRDefault="00B44535" w:rsidP="001C27B0">
      <w:pPr>
        <w:ind w:firstLineChars="200" w:firstLine="420"/>
        <w:rPr>
          <w:position w:val="-10"/>
        </w:rPr>
      </w:pPr>
      <w:r w:rsidRPr="00BC31E0">
        <w:rPr>
          <w:rFonts w:hint="eastAsia"/>
          <w:position w:val="-10"/>
        </w:rPr>
        <w:t>ここで，</w:t>
      </w:r>
    </w:p>
    <w:tbl>
      <w:tblPr>
        <w:tblStyle w:val="afff2"/>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9"/>
      </w:tblGrid>
      <w:tr w:rsidR="00B44535" w:rsidRPr="00BC31E0" w14:paraId="2F7EAB7B" w14:textId="77777777" w:rsidTr="004736F2">
        <w:tc>
          <w:tcPr>
            <w:tcW w:w="8219" w:type="dxa"/>
            <w:tcMar>
              <w:left w:w="0" w:type="dxa"/>
              <w:right w:w="0" w:type="dxa"/>
            </w:tcMar>
            <w:vAlign w:val="center"/>
          </w:tcPr>
          <w:p w14:paraId="100BCB30" w14:textId="77777777" w:rsidR="00B44535" w:rsidRPr="00BC31E0" w:rsidRDefault="00B44535" w:rsidP="004736F2">
            <w:pPr>
              <w:rPr>
                <w:position w:val="-10"/>
              </w:rPr>
            </w:pPr>
            <m:oMathPara>
              <m:oMathParaPr>
                <m:jc m:val="left"/>
              </m:oMathParaPr>
              <m:oMath>
                <m:r>
                  <w:rPr>
                    <w:rFonts w:ascii="Cambria Math" w:hAnsi="Cambria Math"/>
                  </w:rPr>
                  <m:t>Y=</m:t>
                </m:r>
                <m:func>
                  <m:funcPr>
                    <m:ctrlPr>
                      <w:rPr>
                        <w:rFonts w:ascii="Cambria Math" w:hAnsi="Cambria Math"/>
                      </w:rPr>
                    </m:ctrlPr>
                  </m:funcPr>
                  <m:fName>
                    <m:r>
                      <m:rPr>
                        <m:sty m:val="bi"/>
                      </m:rPr>
                      <w:rPr>
                        <w:rFonts w:ascii="Cambria Math" w:hAnsi="Cambria Math"/>
                      </w:rPr>
                      <m:t>ln</m:t>
                    </m:r>
                  </m:fName>
                  <m:e>
                    <m:d>
                      <m:dPr>
                        <m:ctrlPr>
                          <w:rPr>
                            <w:rFonts w:ascii="Cambria Math" w:hAnsi="Cambria Math"/>
                          </w:rPr>
                        </m:ctrlPr>
                      </m:dPr>
                      <m:e>
                        <m:sSub>
                          <m:sSubPr>
                            <m:ctrlPr>
                              <w:rPr>
                                <w:rFonts w:ascii="Cambria Math" w:hAnsi="Cambria Math"/>
                              </w:rPr>
                            </m:ctrlPr>
                          </m:sSubPr>
                          <m:e>
                            <m:r>
                              <w:rPr>
                                <w:rFonts w:ascii="Cambria Math" w:hAnsi="Cambria Math"/>
                              </w:rPr>
                              <m:t>σ</m:t>
                            </m:r>
                          </m:e>
                          <m:sub>
                            <m:r>
                              <w:rPr>
                                <w:rFonts w:ascii="Cambria Math" w:hAnsi="Cambria Math"/>
                              </w:rPr>
                              <m:t>a</m:t>
                            </m:r>
                          </m:sub>
                        </m:sSub>
                      </m:e>
                    </m:d>
                  </m:e>
                </m:func>
                <m:r>
                  <w:rPr>
                    <w:rFonts w:ascii="Cambria Math" w:hAnsi="Cambria Math" w:hint="eastAsia"/>
                  </w:rPr>
                  <m:t xml:space="preserve">，　</m:t>
                </m:r>
                <m:r>
                  <w:rPr>
                    <w:rFonts w:ascii="Cambria Math" w:hAnsi="Cambria Math"/>
                  </w:rPr>
                  <m:t>X=</m:t>
                </m:r>
                <m:func>
                  <m:funcPr>
                    <m:ctrlPr>
                      <w:rPr>
                        <w:rFonts w:ascii="Cambria Math" w:hAnsi="Cambria Math"/>
                      </w:rPr>
                    </m:ctrlPr>
                  </m:funcPr>
                  <m:fName>
                    <m:r>
                      <m:rPr>
                        <m:sty m:val="bi"/>
                      </m:rPr>
                      <w:rPr>
                        <w:rFonts w:ascii="Cambria Math" w:hAnsi="Cambria Math"/>
                      </w:rPr>
                      <m:t>ln</m:t>
                    </m:r>
                  </m:fName>
                  <m:e>
                    <m:d>
                      <m:dPr>
                        <m:ctrlPr>
                          <w:rPr>
                            <w:rFonts w:ascii="Cambria Math" w:hAnsi="Cambria Math"/>
                          </w:rPr>
                        </m:ctrlPr>
                      </m:dPr>
                      <m:e>
                        <m:sSub>
                          <m:sSubPr>
                            <m:ctrlPr>
                              <w:rPr>
                                <w:rFonts w:ascii="Cambria Math" w:hAnsi="Cambria Math"/>
                              </w:rPr>
                            </m:ctrlPr>
                          </m:sSubPr>
                          <m:e>
                            <m:r>
                              <w:rPr>
                                <w:rFonts w:ascii="Cambria Math" w:hAnsi="Cambria Math"/>
                              </w:rPr>
                              <m:t>ε</m:t>
                            </m:r>
                          </m:e>
                          <m:sub>
                            <m:r>
                              <w:rPr>
                                <w:rFonts w:ascii="Cambria Math" w:hAnsi="Cambria Math"/>
                              </w:rPr>
                              <m:t>ta</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σ</m:t>
                                </m:r>
                              </m:e>
                              <m:sub>
                                <m:r>
                                  <w:rPr>
                                    <w:rFonts w:ascii="Cambria Math" w:hAnsi="Cambria Math"/>
                                  </w:rPr>
                                  <m:t>a</m:t>
                                </m:r>
                              </m:sub>
                            </m:sSub>
                          </m:num>
                          <m:den>
                            <m:sSub>
                              <m:sSubPr>
                                <m:ctrlPr>
                                  <w:rPr>
                                    <w:rFonts w:ascii="Cambria Math" w:hAnsi="Cambria Math"/>
                                  </w:rPr>
                                </m:ctrlPr>
                              </m:sSubPr>
                              <m:e>
                                <m:r>
                                  <w:rPr>
                                    <w:rFonts w:ascii="Cambria Math" w:hAnsi="Cambria Math"/>
                                  </w:rPr>
                                  <m:t>E</m:t>
                                </m:r>
                              </m:e>
                              <m:sub>
                                <m:r>
                                  <w:rPr>
                                    <w:rFonts w:ascii="Cambria Math" w:hAnsi="Cambria Math"/>
                                  </w:rPr>
                                  <m:t>y</m:t>
                                </m:r>
                              </m:sub>
                            </m:sSub>
                          </m:den>
                        </m:f>
                      </m:e>
                    </m:d>
                  </m:e>
                </m:func>
                <m:r>
                  <w:rPr>
                    <w:rFonts w:ascii="Cambria Math" w:hAnsi="Cambria Math" w:hint="eastAsia"/>
                  </w:rPr>
                  <m:t xml:space="preserve">，　</m:t>
                </m:r>
                <m:sSub>
                  <m:sSubPr>
                    <m:ctrlPr>
                      <w:rPr>
                        <w:rFonts w:ascii="Cambria Math" w:hAnsi="Cambria Math"/>
                      </w:rPr>
                    </m:ctrlPr>
                  </m:sSubPr>
                  <m:e>
                    <m:r>
                      <w:rPr>
                        <w:rFonts w:ascii="Cambria Math" w:hAnsi="Cambria Math"/>
                      </w:rPr>
                      <m:t>n</m:t>
                    </m:r>
                  </m:e>
                  <m:sub>
                    <m:r>
                      <w:rPr>
                        <w:rFonts w:ascii="Cambria Math" w:hAnsi="Cambria Math"/>
                      </w:rPr>
                      <m:t>CSS</m:t>
                    </m:r>
                  </m:sub>
                </m:sSub>
                <m:r>
                  <w:rPr>
                    <w:rFonts w:ascii="Cambria Math" w:hAnsi="Cambria Math"/>
                  </w:rPr>
                  <m:t>=a</m:t>
                </m:r>
                <m:r>
                  <w:rPr>
                    <w:rFonts w:ascii="Cambria Math" w:hAnsi="Cambria Math" w:hint="eastAsia"/>
                  </w:rPr>
                  <m:t xml:space="preserve">，　</m:t>
                </m:r>
                <m:sSub>
                  <m:sSubPr>
                    <m:ctrlPr>
                      <w:rPr>
                        <w:rFonts w:ascii="Cambria Math" w:hAnsi="Cambria Math"/>
                      </w:rPr>
                    </m:ctrlPr>
                  </m:sSubPr>
                  <m:e>
                    <m:r>
                      <w:rPr>
                        <w:rFonts w:ascii="Cambria Math" w:hAnsi="Cambria Math"/>
                      </w:rPr>
                      <m:t>K</m:t>
                    </m:r>
                  </m:e>
                  <m:sub>
                    <m:r>
                      <w:rPr>
                        <w:rFonts w:ascii="Cambria Math" w:hAnsi="Cambria Math"/>
                      </w:rPr>
                      <m:t>CSS</m:t>
                    </m:r>
                  </m:sub>
                </m:sSub>
                <m:r>
                  <w:rPr>
                    <w:rFonts w:ascii="Cambria Math" w:hAnsi="Cambria Math"/>
                  </w:rPr>
                  <m:t>=</m:t>
                </m:r>
                <m:sSup>
                  <m:sSupPr>
                    <m:ctrlPr>
                      <w:rPr>
                        <w:rFonts w:ascii="Cambria Math" w:hAnsi="Cambria Math"/>
                      </w:rPr>
                    </m:ctrlPr>
                  </m:sSupPr>
                  <m:e>
                    <m:r>
                      <m:rPr>
                        <m:sty m:val="bi"/>
                      </m:rPr>
                      <w:rPr>
                        <w:rFonts w:ascii="Cambria Math" w:hAnsi="Cambria Math"/>
                      </w:rPr>
                      <m:t>e</m:t>
                    </m:r>
                  </m:e>
                  <m:sup>
                    <m:r>
                      <w:rPr>
                        <w:rFonts w:ascii="Cambria Math" w:hAnsi="Cambria Math"/>
                      </w:rPr>
                      <m:t>b</m:t>
                    </m:r>
                  </m:sup>
                </m:sSup>
              </m:oMath>
            </m:oMathPara>
          </w:p>
        </w:tc>
      </w:tr>
    </w:tbl>
    <w:p w14:paraId="29856C9F" w14:textId="77777777" w:rsidR="00B44535" w:rsidRPr="00BC31E0" w:rsidRDefault="00B44535" w:rsidP="001C27B0">
      <w:pPr>
        <w:spacing w:before="120" w:after="120"/>
        <w:ind w:firstLineChars="100" w:firstLine="210"/>
      </w:pPr>
      <w:r w:rsidRPr="00BC31E0">
        <w:rPr>
          <w:rFonts w:hint="eastAsia"/>
        </w:rPr>
        <w:t>材料のヒステリシスループの応力範囲－ひずみ範囲曲線は，</w:t>
      </w:r>
      <w:r w:rsidRPr="00BC31E0">
        <w:rPr>
          <w:rFonts w:ascii="ＭＳ ゴシック" w:eastAsia="ＭＳ ゴシック" w:hAnsi="ＭＳ ゴシック" w:hint="eastAsia"/>
          <w:b/>
        </w:rPr>
        <w:t>式</w:t>
      </w:r>
      <w:r w:rsidRPr="00BC31E0">
        <w:rPr>
          <w:rFonts w:ascii="ＭＳ ゴシック" w:eastAsia="ＭＳ ゴシック" w:hAnsi="ＭＳ ゴシック"/>
          <w:b/>
        </w:rPr>
        <w:t>(</w:t>
      </w:r>
      <w:r w:rsidRPr="00BC31E0">
        <w:rPr>
          <w:rFonts w:ascii="ＭＳ ゴシック" w:eastAsia="ＭＳ ゴシック" w:hAnsi="ＭＳ ゴシック" w:hint="eastAsia"/>
          <w:b/>
        </w:rPr>
        <w:t>3</w:t>
      </w:r>
      <w:r w:rsidRPr="00BC31E0">
        <w:rPr>
          <w:rFonts w:ascii="ＭＳ ゴシック" w:eastAsia="ＭＳ ゴシック" w:hAnsi="ＭＳ ゴシック"/>
          <w:b/>
        </w:rPr>
        <w:t>)</w:t>
      </w:r>
      <w:r w:rsidRPr="00BC31E0">
        <w:rPr>
          <w:rFonts w:hint="eastAsia"/>
        </w:rPr>
        <w:t>の両辺を</w:t>
      </w:r>
      <w:r w:rsidRPr="00BC31E0">
        <w:rPr>
          <w:rFonts w:asciiTheme="minorHAnsi" w:hAnsiTheme="minorHAnsi"/>
        </w:rPr>
        <w:t>2</w:t>
      </w:r>
      <w:r w:rsidRPr="00BC31E0">
        <w:rPr>
          <w:rFonts w:hint="eastAsia"/>
        </w:rPr>
        <w:t>倍することによって</w:t>
      </w:r>
      <w:r w:rsidRPr="00BC31E0">
        <w:rPr>
          <w:rFonts w:ascii="ＭＳ ゴシック" w:eastAsia="ＭＳ ゴシック" w:hAnsi="ＭＳ ゴシック" w:hint="eastAsia"/>
          <w:b/>
        </w:rPr>
        <w:t>式</w:t>
      </w:r>
      <w:r w:rsidRPr="00BC31E0">
        <w:rPr>
          <w:rFonts w:ascii="ＭＳ ゴシック" w:eastAsia="ＭＳ ゴシック" w:hAnsi="ＭＳ ゴシック"/>
          <w:b/>
        </w:rPr>
        <w:t>(</w:t>
      </w:r>
      <w:r w:rsidRPr="00BC31E0">
        <w:rPr>
          <w:rFonts w:ascii="ＭＳ ゴシック" w:eastAsia="ＭＳ ゴシック" w:hAnsi="ＭＳ ゴシック" w:hint="eastAsia"/>
          <w:b/>
        </w:rPr>
        <w:t>6</w:t>
      </w:r>
      <w:r w:rsidRPr="00BC31E0">
        <w:rPr>
          <w:rFonts w:ascii="ＭＳ ゴシック" w:eastAsia="ＭＳ ゴシック" w:hAnsi="ＭＳ ゴシック"/>
          <w:b/>
        </w:rPr>
        <w:t>)</w:t>
      </w:r>
      <w:r w:rsidRPr="00BC31E0">
        <w:rPr>
          <w:rFonts w:hint="eastAsia"/>
        </w:rPr>
        <w:t>で得られる。なお，材料特性値は</w:t>
      </w:r>
      <w:r w:rsidRPr="00BC31E0">
        <w:rPr>
          <w:rFonts w:ascii="ＭＳ ゴシック" w:eastAsia="ＭＳ ゴシック" w:hAnsi="ＭＳ ゴシック" w:hint="eastAsia"/>
          <w:b/>
        </w:rPr>
        <w:t>表</w:t>
      </w:r>
      <w:r w:rsidRPr="00BC31E0">
        <w:rPr>
          <w:rFonts w:ascii="ＭＳ ゴシック" w:eastAsia="ＭＳ ゴシック" w:hAnsi="ＭＳ ゴシック"/>
          <w:b/>
        </w:rPr>
        <w:t>D.2</w:t>
      </w:r>
      <w:r w:rsidRPr="00BC31E0">
        <w:rPr>
          <w:rFonts w:hint="eastAsia"/>
        </w:rPr>
        <w:t>と同様である。</w:t>
      </w:r>
    </w:p>
    <w:tbl>
      <w:tblPr>
        <w:tblStyle w:val="afff2"/>
        <w:tblW w:w="6237"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3974"/>
      </w:tblGrid>
      <w:tr w:rsidR="00B44535" w:rsidRPr="00BC31E0" w14:paraId="5A603F14" w14:textId="77777777" w:rsidTr="004736F2">
        <w:tc>
          <w:tcPr>
            <w:tcW w:w="0" w:type="auto"/>
            <w:tcMar>
              <w:left w:w="0" w:type="dxa"/>
              <w:right w:w="0" w:type="dxa"/>
            </w:tcMar>
            <w:vAlign w:val="center"/>
          </w:tcPr>
          <w:p w14:paraId="7EA4C88E" w14:textId="77777777" w:rsidR="00B44535" w:rsidRPr="00BC31E0" w:rsidRDefault="00A51873" w:rsidP="004736F2">
            <w:pPr>
              <w:tabs>
                <w:tab w:val="left" w:pos="2268"/>
                <w:tab w:val="left" w:leader="middleDot" w:pos="8647"/>
              </w:tabs>
              <w:jc w:val="left"/>
              <w:rPr>
                <w:rFonts w:asciiTheme="minorHAnsi" w:hAnsiTheme="minorHAnsi"/>
              </w:rPr>
            </w:pPr>
            <m:oMathPara>
              <m:oMathParaPr>
                <m:jc m:val="left"/>
              </m:oMathParaPr>
              <m:oMath>
                <m:sSub>
                  <m:sSubPr>
                    <m:ctrlPr>
                      <w:rPr>
                        <w:rFonts w:ascii="Cambria Math" w:hAnsi="Cambria Math"/>
                      </w:rPr>
                    </m:ctrlPr>
                  </m:sSubPr>
                  <m:e>
                    <m:r>
                      <w:rPr>
                        <w:rFonts w:ascii="Cambria Math" w:hAnsi="Cambria Math"/>
                      </w:rPr>
                      <m:t>ε</m:t>
                    </m:r>
                  </m:e>
                  <m:sub>
                    <m:r>
                      <w:rPr>
                        <w:rFonts w:ascii="Cambria Math" w:hAnsi="Cambria Math"/>
                      </w:rPr>
                      <m:t>tr</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σ</m:t>
                        </m:r>
                      </m:e>
                      <m:sub>
                        <m:r>
                          <w:rPr>
                            <w:rFonts w:ascii="Cambria Math" w:hAnsi="Cambria Math"/>
                          </w:rPr>
                          <m:t>r</m:t>
                        </m:r>
                      </m:sub>
                    </m:sSub>
                  </m:num>
                  <m:den>
                    <m:sSub>
                      <m:sSubPr>
                        <m:ctrlPr>
                          <w:rPr>
                            <w:rFonts w:ascii="Cambria Math" w:hAnsi="Cambria Math"/>
                          </w:rPr>
                        </m:ctrlPr>
                      </m:sSubPr>
                      <m:e>
                        <m:r>
                          <w:rPr>
                            <w:rFonts w:ascii="Cambria Math" w:hAnsi="Cambria Math"/>
                          </w:rPr>
                          <m:t>E</m:t>
                        </m:r>
                      </m:e>
                      <m:sub>
                        <m:r>
                          <w:rPr>
                            <w:rFonts w:ascii="Cambria Math" w:hAnsi="Cambria Math"/>
                          </w:rPr>
                          <m:t>y</m:t>
                        </m:r>
                      </m:sub>
                    </m:sSub>
                  </m:den>
                </m:f>
                <m:r>
                  <w:rPr>
                    <w:rFonts w:ascii="Cambria Math" w:hAnsi="Cambria Math"/>
                  </w:rPr>
                  <m:t>+2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σ</m:t>
                                </m:r>
                              </m:e>
                              <m:sub>
                                <m:r>
                                  <w:rPr>
                                    <w:rFonts w:ascii="Cambria Math" w:hAnsi="Cambria Math"/>
                                  </w:rPr>
                                  <m:t>r</m:t>
                                </m:r>
                              </m:sub>
                            </m:sSub>
                          </m:num>
                          <m:den>
                            <m:r>
                              <w:rPr>
                                <w:rFonts w:ascii="Cambria Math" w:hAnsi="Cambria Math"/>
                              </w:rPr>
                              <m:t xml:space="preserve">2 </m:t>
                            </m:r>
                            <m:sSub>
                              <m:sSubPr>
                                <m:ctrlPr>
                                  <w:rPr>
                                    <w:rFonts w:ascii="Cambria Math" w:hAnsi="Cambria Math"/>
                                  </w:rPr>
                                </m:ctrlPr>
                              </m:sSubPr>
                              <m:e>
                                <m:r>
                                  <w:rPr>
                                    <w:rFonts w:ascii="Cambria Math" w:hAnsi="Cambria Math"/>
                                  </w:rPr>
                                  <m:t>K</m:t>
                                </m:r>
                              </m:e>
                              <m:sub>
                                <m:r>
                                  <w:rPr>
                                    <w:rFonts w:ascii="Cambria Math" w:hAnsi="Cambria Math"/>
                                  </w:rPr>
                                  <m:t>CSS</m:t>
                                </m:r>
                              </m:sub>
                            </m:sSub>
                          </m:den>
                        </m:f>
                      </m:e>
                    </m:d>
                  </m:e>
                  <m:sup>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n</m:t>
                            </m:r>
                          </m:e>
                          <m:sub>
                            <m:r>
                              <w:rPr>
                                <w:rFonts w:ascii="Cambria Math" w:hAnsi="Cambria Math"/>
                              </w:rPr>
                              <m:t>CSS</m:t>
                            </m:r>
                          </m:sub>
                        </m:sSub>
                      </m:den>
                    </m:f>
                  </m:sup>
                </m:sSup>
              </m:oMath>
            </m:oMathPara>
          </w:p>
        </w:tc>
        <w:tc>
          <w:tcPr>
            <w:tcW w:w="3974" w:type="dxa"/>
            <w:tcMar>
              <w:left w:w="0" w:type="dxa"/>
              <w:right w:w="0" w:type="dxa"/>
            </w:tcMar>
            <w:vAlign w:val="center"/>
          </w:tcPr>
          <w:p w14:paraId="12AEE3A7" w14:textId="77777777" w:rsidR="00B44535" w:rsidRPr="00BC31E0" w:rsidRDefault="00B44535" w:rsidP="004736F2">
            <w:pPr>
              <w:tabs>
                <w:tab w:val="left" w:leader="middleDot" w:pos="3549"/>
              </w:tabs>
              <w:jc w:val="left"/>
              <w:rPr>
                <w:rFonts w:asciiTheme="minorHAnsi" w:hAnsiTheme="minorHAnsi"/>
              </w:rPr>
            </w:pPr>
            <w:r w:rsidRPr="00BC31E0">
              <w:rPr>
                <w:rFonts w:asciiTheme="minorHAnsi" w:hAnsiTheme="minorHAnsi" w:hint="eastAsia"/>
              </w:rPr>
              <w:tab/>
              <w:t>(6)</w:t>
            </w:r>
          </w:p>
        </w:tc>
      </w:tr>
    </w:tbl>
    <w:p w14:paraId="3960D20F" w14:textId="77777777" w:rsidR="00B44535" w:rsidRPr="00BC31E0" w:rsidRDefault="00B44535" w:rsidP="001C27B0">
      <w:pPr>
        <w:ind w:firstLineChars="200" w:firstLine="420"/>
        <w:rPr>
          <w:rFonts w:hAnsi="ＭＳ 明朝"/>
        </w:rPr>
      </w:pPr>
      <w:r w:rsidRPr="00BC31E0">
        <w:rPr>
          <w:rFonts w:hAnsi="ＭＳ 明朝" w:hint="eastAsia"/>
        </w:rPr>
        <w:t>ここで，</w:t>
      </w:r>
    </w:p>
    <w:p w14:paraId="52676396" w14:textId="77777777" w:rsidR="00B44535" w:rsidRPr="00BC31E0" w:rsidRDefault="00A51873" w:rsidP="002435BA">
      <w:pPr>
        <w:tabs>
          <w:tab w:val="left" w:pos="1161"/>
        </w:tabs>
        <w:ind w:leftChars="400" w:left="840"/>
        <w:rPr>
          <w:rFonts w:hAnsi="ＭＳ 明朝"/>
        </w:rPr>
      </w:pPr>
      <m:oMath>
        <m:sSub>
          <m:sSubPr>
            <m:ctrlPr>
              <w:rPr>
                <w:rFonts w:ascii="Cambria Math" w:hAnsi="Cambria Math"/>
              </w:rPr>
            </m:ctrlPr>
          </m:sSubPr>
          <m:e>
            <m:r>
              <w:rPr>
                <w:rFonts w:ascii="Cambria Math" w:hAnsi="Cambria Math"/>
              </w:rPr>
              <m:t>ε</m:t>
            </m:r>
          </m:e>
          <m:sub>
            <m:r>
              <w:rPr>
                <w:rFonts w:ascii="Cambria Math" w:hAnsi="Cambria Math"/>
              </w:rPr>
              <m:t>tr</m:t>
            </m:r>
          </m:sub>
        </m:sSub>
        <m:r>
          <m:rPr>
            <m:sty m:val="p"/>
          </m:rPr>
          <w:rPr>
            <w:rFonts w:ascii="Cambria Math" w:hAnsi="Cambria Math"/>
          </w:rPr>
          <m:t xml:space="preserve"> </m:t>
        </m:r>
      </m:oMath>
      <w:r w:rsidR="00B44535" w:rsidRPr="00BC31E0">
        <w:rPr>
          <w:rFonts w:hAnsi="ＭＳ 明朝" w:hint="eastAsia"/>
        </w:rPr>
        <w:tab/>
      </w:r>
      <w:r w:rsidR="00B44535" w:rsidRPr="00BC31E0">
        <w:rPr>
          <w:rFonts w:hAnsi="ＭＳ 明朝" w:hint="eastAsia"/>
        </w:rPr>
        <w:t>：</w:t>
      </w:r>
      <w:r w:rsidR="00B44535" w:rsidRPr="00BC31E0">
        <w:rPr>
          <w:rFonts w:hAnsi="ＭＳ 明朝" w:hint="eastAsia"/>
        </w:rPr>
        <w:t xml:space="preserve"> </w:t>
      </w:r>
      <w:r w:rsidR="00B44535" w:rsidRPr="00BC31E0">
        <w:rPr>
          <w:rFonts w:hAnsi="ＭＳ 明朝" w:hint="eastAsia"/>
        </w:rPr>
        <w:t>全ひずみ範囲</w:t>
      </w:r>
      <w:r w:rsidR="00B44535" w:rsidRPr="00BC31E0">
        <w:rPr>
          <w:rFonts w:hAnsi="ＭＳ 明朝" w:hint="eastAsia"/>
        </w:rPr>
        <w:t>(</w:t>
      </w:r>
      <m:oMath>
        <m:r>
          <w:rPr>
            <w:rFonts w:ascii="Cambria Math" w:hAnsi="Cambria Math"/>
          </w:rPr>
          <m:t>=2</m:t>
        </m:r>
        <m:sSub>
          <m:sSubPr>
            <m:ctrlPr>
              <w:rPr>
                <w:rFonts w:ascii="Cambria Math" w:hAnsi="Cambria Math"/>
              </w:rPr>
            </m:ctrlPr>
          </m:sSubPr>
          <m:e>
            <m:r>
              <w:rPr>
                <w:rFonts w:ascii="Cambria Math" w:hAnsi="Cambria Math"/>
              </w:rPr>
              <m:t>ε</m:t>
            </m:r>
          </m:e>
          <m:sub>
            <m:r>
              <w:rPr>
                <w:rFonts w:ascii="Cambria Math" w:hAnsi="Cambria Math"/>
              </w:rPr>
              <m:t>ta</m:t>
            </m:r>
          </m:sub>
        </m:sSub>
      </m:oMath>
      <w:r w:rsidR="00B44535" w:rsidRPr="00BC31E0">
        <w:rPr>
          <w:rFonts w:hAnsi="ＭＳ 明朝" w:hint="eastAsia"/>
        </w:rPr>
        <w:t>)</w:t>
      </w:r>
    </w:p>
    <w:p w14:paraId="63645F09" w14:textId="77777777" w:rsidR="00B44535" w:rsidRPr="00BC31E0" w:rsidRDefault="00A51873" w:rsidP="002435BA">
      <w:pPr>
        <w:tabs>
          <w:tab w:val="left" w:pos="1161"/>
        </w:tabs>
        <w:ind w:leftChars="400" w:left="840"/>
        <w:rPr>
          <w:rFonts w:hAnsi="ＭＳ 明朝"/>
        </w:rPr>
      </w:pPr>
      <m:oMath>
        <m:sSub>
          <m:sSubPr>
            <m:ctrlPr>
              <w:rPr>
                <w:rFonts w:ascii="Cambria Math" w:hAnsi="Cambria Math"/>
              </w:rPr>
            </m:ctrlPr>
          </m:sSubPr>
          <m:e>
            <m:r>
              <w:rPr>
                <w:rFonts w:ascii="Cambria Math" w:hAnsi="Cambria Math"/>
              </w:rPr>
              <m:t>σ</m:t>
            </m:r>
          </m:e>
          <m:sub>
            <m:r>
              <w:rPr>
                <w:rFonts w:ascii="Cambria Math" w:hAnsi="Cambria Math"/>
              </w:rPr>
              <m:t>r</m:t>
            </m:r>
          </m:sub>
        </m:sSub>
      </m:oMath>
      <w:r w:rsidR="00B44535" w:rsidRPr="00BC31E0">
        <w:rPr>
          <w:rFonts w:hAnsi="ＭＳ 明朝" w:hint="eastAsia"/>
        </w:rPr>
        <w:tab/>
      </w:r>
      <w:r w:rsidR="00B44535" w:rsidRPr="00BC31E0">
        <w:rPr>
          <w:rFonts w:hAnsi="ＭＳ 明朝" w:hint="eastAsia"/>
        </w:rPr>
        <w:t>：</w:t>
      </w:r>
      <w:r w:rsidR="00B44535" w:rsidRPr="00BC31E0">
        <w:rPr>
          <w:rFonts w:hAnsi="ＭＳ 明朝" w:hint="eastAsia"/>
        </w:rPr>
        <w:t xml:space="preserve"> </w:t>
      </w:r>
      <w:r w:rsidR="00B44535" w:rsidRPr="00BC31E0">
        <w:rPr>
          <w:rFonts w:hAnsi="ＭＳ 明朝" w:hint="eastAsia"/>
        </w:rPr>
        <w:t>応力範囲</w:t>
      </w:r>
      <w:r w:rsidR="00B44535" w:rsidRPr="00BC31E0">
        <w:rPr>
          <w:rFonts w:hAnsi="ＭＳ 明朝" w:hint="eastAsia"/>
        </w:rPr>
        <w:t>(</w:t>
      </w:r>
      <m:oMath>
        <m:r>
          <w:rPr>
            <w:rFonts w:ascii="Cambria Math" w:hAnsi="Cambria Math"/>
          </w:rPr>
          <m:t>=2</m:t>
        </m:r>
        <m:sSub>
          <m:sSubPr>
            <m:ctrlPr>
              <w:rPr>
                <w:rFonts w:ascii="Cambria Math" w:hAnsi="Cambria Math"/>
              </w:rPr>
            </m:ctrlPr>
          </m:sSubPr>
          <m:e>
            <m:r>
              <w:rPr>
                <w:rFonts w:ascii="Cambria Math" w:hAnsi="Cambria Math"/>
              </w:rPr>
              <m:t>σ</m:t>
            </m:r>
          </m:e>
          <m:sub>
            <m:r>
              <w:rPr>
                <w:rFonts w:ascii="Cambria Math" w:hAnsi="Cambria Math"/>
              </w:rPr>
              <m:t>a</m:t>
            </m:r>
          </m:sub>
        </m:sSub>
      </m:oMath>
      <w:r w:rsidR="00B44535" w:rsidRPr="00BC31E0">
        <w:rPr>
          <w:rFonts w:hAnsi="ＭＳ 明朝" w:hint="eastAsia"/>
        </w:rPr>
        <w:t>) (</w:t>
      </w:r>
      <w:r w:rsidR="00B44535" w:rsidRPr="00BC31E0">
        <w:rPr>
          <w:rFonts w:ascii="Cambria Math" w:hAnsi="Cambria Math"/>
        </w:rPr>
        <w:t>MPa</w:t>
      </w:r>
      <w:r w:rsidR="00B44535" w:rsidRPr="00BC31E0">
        <w:rPr>
          <w:rFonts w:hint="eastAsia"/>
        </w:rPr>
        <w:t>)</w:t>
      </w:r>
      <w:r w:rsidR="00B44535" w:rsidRPr="00BC31E0">
        <w:rPr>
          <w:rFonts w:hAnsi="ＭＳ 明朝"/>
        </w:rPr>
        <w:t xml:space="preserve"> </w:t>
      </w:r>
    </w:p>
    <w:p w14:paraId="1C9ECB8A" w14:textId="77777777" w:rsidR="00B44535" w:rsidRPr="00BC31E0" w:rsidRDefault="00B44535" w:rsidP="00B44535">
      <w:pPr>
        <w:rPr>
          <w:rFonts w:hAnsi="ＭＳ 明朝"/>
        </w:rPr>
      </w:pPr>
    </w:p>
    <w:p w14:paraId="12F33CDC" w14:textId="77777777" w:rsidR="00B44535" w:rsidRPr="00BC31E0" w:rsidRDefault="00B44535" w:rsidP="00736130">
      <w:pPr>
        <w:pStyle w:val="1f9"/>
        <w:numPr>
          <w:ilvl w:val="0"/>
          <w:numId w:val="223"/>
        </w:numPr>
        <w:tabs>
          <w:tab w:val="clear" w:pos="284"/>
        </w:tabs>
        <w:adjustRightInd/>
        <w:snapToGrid/>
        <w:spacing w:line="240" w:lineRule="auto"/>
        <w:ind w:left="340" w:hanging="340"/>
        <w:jc w:val="both"/>
      </w:pPr>
      <w:r w:rsidRPr="00BC31E0">
        <w:rPr>
          <w:rFonts w:hint="eastAsia"/>
        </w:rPr>
        <w:t>接線係数</w:t>
      </w:r>
    </w:p>
    <w:p w14:paraId="18728197" w14:textId="77777777" w:rsidR="00B44535" w:rsidRPr="00BC31E0" w:rsidRDefault="00B44535" w:rsidP="00736130">
      <w:pPr>
        <w:pStyle w:val="110"/>
        <w:numPr>
          <w:ilvl w:val="1"/>
          <w:numId w:val="223"/>
        </w:numPr>
        <w:tabs>
          <w:tab w:val="clear" w:pos="510"/>
        </w:tabs>
        <w:spacing w:line="240" w:lineRule="auto"/>
        <w:ind w:left="567" w:hanging="567"/>
        <w:jc w:val="both"/>
      </w:pPr>
      <w:r w:rsidRPr="00BC31E0">
        <w:rPr>
          <w:rFonts w:hint="eastAsia"/>
        </w:rPr>
        <w:t>静的(単調負荷)真応力－真ひずみ曲線に基づく接線係数</w:t>
      </w:r>
    </w:p>
    <w:p w14:paraId="7BE24423" w14:textId="77777777" w:rsidR="00B44535" w:rsidRPr="00BC31E0" w:rsidRDefault="00B44535" w:rsidP="001C27B0">
      <w:pPr>
        <w:pStyle w:val="113"/>
        <w:spacing w:after="120"/>
        <w:ind w:firstLine="210"/>
      </w:pPr>
      <w:r w:rsidRPr="00BC31E0">
        <w:rPr>
          <w:rFonts w:hint="eastAsia"/>
        </w:rPr>
        <w:t>真応力－真ひずみ曲線の接線係数</w:t>
      </w:r>
      <m:oMath>
        <m:sSub>
          <m:sSubPr>
            <m:ctrlPr>
              <w:rPr>
                <w:rFonts w:ascii="Cambria Math" w:hAnsi="Cambria Math"/>
              </w:rPr>
            </m:ctrlPr>
          </m:sSubPr>
          <m:e>
            <m:r>
              <w:rPr>
                <w:rFonts w:ascii="Cambria Math" w:hAnsi="Cambria Math"/>
              </w:rPr>
              <m:t xml:space="preserve"> E</m:t>
            </m:r>
          </m:e>
          <m:sub>
            <m:r>
              <w:rPr>
                <w:rFonts w:ascii="Cambria Math" w:hAnsi="Cambria Math"/>
              </w:rPr>
              <m:t xml:space="preserve">t </m:t>
            </m:r>
          </m:sub>
        </m:sSub>
      </m:oMath>
      <w:r w:rsidRPr="00BC31E0">
        <w:rPr>
          <w:rFonts w:hint="eastAsia"/>
        </w:rPr>
        <w:t>(</w:t>
      </w:r>
      <w:r w:rsidRPr="00BC31E0">
        <w:rPr>
          <w:rFonts w:ascii="Cambria Math" w:hAnsi="Cambria Math"/>
        </w:rPr>
        <w:t>MPa</w:t>
      </w:r>
      <w:r w:rsidRPr="00BC31E0">
        <w:rPr>
          <w:rFonts w:hint="eastAsia"/>
        </w:rPr>
        <w:t>)</w:t>
      </w:r>
      <w:r w:rsidRPr="00BC31E0">
        <w:rPr>
          <w:rFonts w:hint="eastAsia"/>
        </w:rPr>
        <w:t>は，</w:t>
      </w:r>
      <w:r w:rsidRPr="00BC31E0">
        <w:rPr>
          <w:rFonts w:ascii="ＭＳ ゴシック" w:eastAsia="ＭＳ ゴシック" w:hAnsi="ＭＳ ゴシック" w:hint="eastAsia"/>
          <w:b/>
        </w:rPr>
        <w:t>式</w:t>
      </w:r>
      <w:r w:rsidRPr="00BC31E0">
        <w:rPr>
          <w:rFonts w:ascii="ＭＳ ゴシック" w:eastAsia="ＭＳ ゴシック" w:hAnsi="ＭＳ ゴシック"/>
          <w:b/>
        </w:rPr>
        <w:t>(1)</w:t>
      </w:r>
      <w:r w:rsidRPr="00BC31E0">
        <w:rPr>
          <w:rFonts w:hint="eastAsia"/>
        </w:rPr>
        <w:t>を微分することにより</w:t>
      </w:r>
      <w:r w:rsidRPr="00BC31E0">
        <w:rPr>
          <w:rFonts w:ascii="ＭＳ ゴシック" w:eastAsia="ＭＳ ゴシック" w:hAnsi="ＭＳ ゴシック" w:hint="eastAsia"/>
          <w:b/>
        </w:rPr>
        <w:t>式</w:t>
      </w:r>
      <w:r w:rsidRPr="00BC31E0">
        <w:rPr>
          <w:rFonts w:ascii="ＭＳ ゴシック" w:eastAsia="ＭＳ ゴシック" w:hAnsi="ＭＳ ゴシック"/>
          <w:b/>
        </w:rPr>
        <w:t>(</w:t>
      </w:r>
      <w:r w:rsidRPr="00BC31E0">
        <w:rPr>
          <w:rFonts w:ascii="ＭＳ ゴシック" w:eastAsia="ＭＳ ゴシック" w:hAnsi="ＭＳ ゴシック" w:hint="eastAsia"/>
          <w:b/>
        </w:rPr>
        <w:t>7</w:t>
      </w:r>
      <w:r w:rsidRPr="00BC31E0">
        <w:rPr>
          <w:rFonts w:ascii="ＭＳ ゴシック" w:eastAsia="ＭＳ ゴシック" w:hAnsi="ＭＳ ゴシック"/>
          <w:b/>
        </w:rPr>
        <w:t>)</w:t>
      </w:r>
      <w:r w:rsidRPr="00BC31E0">
        <w:rPr>
          <w:rFonts w:hint="eastAsia"/>
        </w:rPr>
        <w:t>で与えられる。</w:t>
      </w:r>
    </w:p>
    <w:tbl>
      <w:tblPr>
        <w:tblStyle w:val="afff2"/>
        <w:tblW w:w="7371"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4"/>
        <w:gridCol w:w="2737"/>
      </w:tblGrid>
      <w:tr w:rsidR="00B44535" w:rsidRPr="00BC31E0" w14:paraId="59071D06" w14:textId="77777777" w:rsidTr="004736F2">
        <w:tc>
          <w:tcPr>
            <w:tcW w:w="0" w:type="auto"/>
            <w:tcMar>
              <w:left w:w="0" w:type="dxa"/>
              <w:right w:w="0" w:type="dxa"/>
            </w:tcMar>
            <w:vAlign w:val="center"/>
          </w:tcPr>
          <w:p w14:paraId="325CDB17" w14:textId="77777777" w:rsidR="00B44535" w:rsidRPr="00BC31E0" w:rsidRDefault="00A51873" w:rsidP="004736F2">
            <w:pPr>
              <w:tabs>
                <w:tab w:val="left" w:pos="1701"/>
                <w:tab w:val="left" w:leader="middleDot" w:pos="8647"/>
              </w:tabs>
              <w:jc w:val="left"/>
              <w:rPr>
                <w:rFonts w:asciiTheme="minorHAnsi" w:hAnsiTheme="minorHAnsi"/>
              </w:rPr>
            </w:pPr>
            <m:oMathPara>
              <m:oMathParaPr>
                <m:jc m:val="left"/>
              </m:oMathParaPr>
              <m:oMath>
                <m:sSub>
                  <m:sSubPr>
                    <m:ctrlPr>
                      <w:rPr>
                        <w:rFonts w:ascii="Cambria Math" w:hAnsi="Cambria Math"/>
                      </w:rPr>
                    </m:ctrlPr>
                  </m:sSubPr>
                  <m:e>
                    <m:r>
                      <w:rPr>
                        <w:rFonts w:ascii="Cambria Math" w:hAnsi="Cambria Math"/>
                      </w:rPr>
                      <m:t>E</m:t>
                    </m:r>
                  </m:e>
                  <m:sub>
                    <m:r>
                      <w:rPr>
                        <w:rFonts w:ascii="Cambria Math" w:hAnsi="Cambria Math"/>
                      </w:rPr>
                      <m:t>t</m:t>
                    </m:r>
                  </m:sub>
                </m:sSub>
                <m:r>
                  <w:rPr>
                    <w:rFonts w:ascii="Cambria Math" w:hAnsi="Cambria Math"/>
                  </w:rPr>
                  <m:t>=</m:t>
                </m:r>
                <m:f>
                  <m:fPr>
                    <m:ctrlPr>
                      <w:rPr>
                        <w:rFonts w:ascii="Cambria Math" w:hAnsi="Cambria Math"/>
                      </w:rPr>
                    </m:ctrlPr>
                  </m:fPr>
                  <m:num>
                    <m:r>
                      <w:rPr>
                        <w:rFonts w:ascii="Cambria Math" w:hAnsi="Cambria Math"/>
                      </w:rPr>
                      <m:t>∂</m:t>
                    </m:r>
                    <m:sSub>
                      <m:sSubPr>
                        <m:ctrlPr>
                          <w:rPr>
                            <w:rFonts w:ascii="Cambria Math" w:hAnsi="Cambria Math"/>
                          </w:rPr>
                        </m:ctrlPr>
                      </m:sSubPr>
                      <m:e>
                        <m:r>
                          <w:rPr>
                            <w:rFonts w:ascii="Cambria Math" w:hAnsi="Cambria Math"/>
                          </w:rPr>
                          <m:t>σ</m:t>
                        </m:r>
                      </m:e>
                      <m:sub>
                        <m:r>
                          <w:rPr>
                            <w:rFonts w:ascii="Cambria Math" w:hAnsi="Cambria Math"/>
                          </w:rPr>
                          <m:t>t</m:t>
                        </m:r>
                      </m:sub>
                    </m:sSub>
                  </m:num>
                  <m:den>
                    <m: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t</m:t>
                        </m:r>
                      </m:sub>
                    </m:sSub>
                  </m:den>
                </m:f>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t</m:t>
                                </m:r>
                              </m:sub>
                            </m:sSub>
                          </m:num>
                          <m:den>
                            <m:r>
                              <w:rPr>
                                <w:rFonts w:ascii="Cambria Math" w:hAnsi="Cambria Math"/>
                              </w:rPr>
                              <m:t>∂</m:t>
                            </m:r>
                            <m:sSub>
                              <m:sSubPr>
                                <m:ctrlPr>
                                  <w:rPr>
                                    <w:rFonts w:ascii="Cambria Math" w:hAnsi="Cambria Math"/>
                                  </w:rPr>
                                </m:ctrlPr>
                              </m:sSubPr>
                              <m:e>
                                <m:r>
                                  <w:rPr>
                                    <w:rFonts w:ascii="Cambria Math" w:hAnsi="Cambria Math"/>
                                  </w:rPr>
                                  <m:t>σ</m:t>
                                </m:r>
                              </m:e>
                              <m:sub>
                                <m:r>
                                  <w:rPr>
                                    <w:rFonts w:ascii="Cambria Math" w:hAnsi="Cambria Math"/>
                                  </w:rPr>
                                  <m:t>t</m:t>
                                </m:r>
                              </m:sub>
                            </m:sSub>
                          </m:den>
                        </m:f>
                      </m:e>
                    </m:d>
                  </m:e>
                  <m:sup>
                    <m:r>
                      <w:rPr>
                        <w:rFonts w:ascii="Cambria Math" w:hAnsi="Cambria Math"/>
                      </w:rPr>
                      <m:t>-1</m:t>
                    </m:r>
                  </m:sup>
                </m:sSup>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E</m:t>
                                </m:r>
                              </m:e>
                              <m:sub>
                                <m:r>
                                  <w:rPr>
                                    <w:rFonts w:ascii="Cambria Math" w:hAnsi="Cambria Math"/>
                                  </w:rPr>
                                  <m:t>y</m:t>
                                </m:r>
                              </m:sub>
                            </m:sSub>
                          </m:den>
                        </m:f>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3</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4</m:t>
                            </m:r>
                          </m:sub>
                        </m:sSub>
                      </m:e>
                    </m:d>
                  </m:e>
                  <m:sup>
                    <m:r>
                      <w:rPr>
                        <w:rFonts w:ascii="Cambria Math" w:hAnsi="Cambria Math"/>
                      </w:rPr>
                      <m:t>-1</m:t>
                    </m:r>
                  </m:sup>
                </m:sSup>
              </m:oMath>
            </m:oMathPara>
          </w:p>
        </w:tc>
        <w:tc>
          <w:tcPr>
            <w:tcW w:w="2737" w:type="dxa"/>
            <w:tcMar>
              <w:left w:w="0" w:type="dxa"/>
              <w:right w:w="0" w:type="dxa"/>
            </w:tcMar>
            <w:vAlign w:val="center"/>
          </w:tcPr>
          <w:p w14:paraId="2F4DDC3F" w14:textId="77777777" w:rsidR="00B44535" w:rsidRPr="00BC31E0" w:rsidRDefault="00B44535" w:rsidP="004736F2">
            <w:pPr>
              <w:tabs>
                <w:tab w:val="left" w:leader="middleDot" w:pos="2312"/>
              </w:tabs>
              <w:jc w:val="left"/>
            </w:pPr>
            <w:r w:rsidRPr="00BC31E0">
              <w:rPr>
                <w:rFonts w:hint="eastAsia"/>
              </w:rPr>
              <w:tab/>
              <w:t>(7)</w:t>
            </w:r>
          </w:p>
        </w:tc>
      </w:tr>
    </w:tbl>
    <w:p w14:paraId="00F15B9B" w14:textId="77777777" w:rsidR="00B44535" w:rsidRPr="00BC31E0" w:rsidRDefault="00B44535" w:rsidP="001C27B0">
      <w:pPr>
        <w:ind w:firstLineChars="200" w:firstLine="420"/>
      </w:pPr>
      <w:r w:rsidRPr="00BC31E0">
        <w:rPr>
          <w:rFonts w:hint="eastAsia"/>
        </w:rPr>
        <w:t>ここで，</w:t>
      </w:r>
    </w:p>
    <w:tbl>
      <w:tblPr>
        <w:tblStyle w:val="afff2"/>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3"/>
        <w:gridCol w:w="3916"/>
      </w:tblGrid>
      <w:tr w:rsidR="00B44535" w:rsidRPr="00BC31E0" w14:paraId="78FC4E72" w14:textId="77777777" w:rsidTr="004736F2">
        <w:tc>
          <w:tcPr>
            <w:tcW w:w="4303" w:type="dxa"/>
            <w:tcMar>
              <w:left w:w="0" w:type="dxa"/>
              <w:right w:w="0" w:type="dxa"/>
            </w:tcMar>
            <w:vAlign w:val="center"/>
          </w:tcPr>
          <w:p w14:paraId="4653F66A" w14:textId="77777777" w:rsidR="00B44535" w:rsidRPr="00BC31E0" w:rsidRDefault="00A51873" w:rsidP="004736F2">
            <w:pPr>
              <w:tabs>
                <w:tab w:val="left" w:pos="851"/>
                <w:tab w:val="left" w:pos="5103"/>
              </w:tabs>
              <w:jc w:val="left"/>
              <w:rPr>
                <w:rFonts w:asciiTheme="minorHAnsi" w:hAnsiTheme="minorHAnsi"/>
              </w:rPr>
            </w:pPr>
            <m:oMathPara>
              <m:oMathParaPr>
                <m:jc m:val="left"/>
              </m:oMathParaPr>
              <m:oMath>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m:t>
                </m:r>
                <m:f>
                  <m:fPr>
                    <m:ctrlPr>
                      <w:rPr>
                        <w:rFonts w:ascii="Cambria Math" w:hAnsi="Cambria Math"/>
                      </w:rPr>
                    </m:ctrlPr>
                  </m:fPr>
                  <m:num>
                    <m:sSup>
                      <m:sSupPr>
                        <m:ctrlPr>
                          <w:rPr>
                            <w:rFonts w:ascii="Cambria Math" w:hAnsi="Cambria Math"/>
                          </w:rPr>
                        </m:ctrlPr>
                      </m:sSupPr>
                      <m:e>
                        <m:sSub>
                          <m:sSubPr>
                            <m:ctrlPr>
                              <w:rPr>
                                <w:rFonts w:ascii="Cambria Math" w:hAnsi="Cambria Math"/>
                              </w:rPr>
                            </m:ctrlPr>
                          </m:sSubPr>
                          <m:e>
                            <m:r>
                              <w:rPr>
                                <w:rFonts w:ascii="Cambria Math" w:hAnsi="Cambria Math"/>
                              </w:rPr>
                              <m:t>σ</m:t>
                            </m:r>
                          </m:e>
                          <m:sub>
                            <m:r>
                              <w:rPr>
                                <w:rFonts w:ascii="Cambria Math" w:hAnsi="Cambria Math"/>
                              </w:rPr>
                              <m:t>t</m:t>
                            </m:r>
                          </m:sub>
                        </m:sSub>
                      </m:e>
                      <m:sup>
                        <m:d>
                          <m:dPr>
                            <m:ctrlPr>
                              <w:rPr>
                                <w:rFonts w:ascii="Cambria Math" w:hAnsi="Cambria Math"/>
                              </w:rPr>
                            </m:ctrlPr>
                          </m:dPr>
                          <m:e>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m</m:t>
                                    </m:r>
                                  </m:e>
                                  <m:sub>
                                    <m:r>
                                      <w:rPr>
                                        <w:rFonts w:ascii="Cambria Math" w:hAnsi="Cambria Math"/>
                                      </w:rPr>
                                      <m:t>1</m:t>
                                    </m:r>
                                  </m:sub>
                                </m:sSub>
                              </m:den>
                            </m:f>
                            <m:r>
                              <w:rPr>
                                <w:rFonts w:ascii="Cambria Math" w:hAnsi="Cambria Math"/>
                              </w:rPr>
                              <m:t>-1</m:t>
                            </m:r>
                          </m:e>
                        </m:d>
                      </m:sup>
                    </m:sSup>
                  </m:num>
                  <m:den>
                    <m:r>
                      <w:rPr>
                        <w:rFonts w:ascii="Cambria Math" w:hAnsi="Cambria Math"/>
                      </w:rPr>
                      <m:t xml:space="preserve">2 </m:t>
                    </m:r>
                    <m:sSub>
                      <m:sSubPr>
                        <m:ctrlPr>
                          <w:rPr>
                            <w:rFonts w:ascii="Cambria Math" w:hAnsi="Cambria Math"/>
                          </w:rPr>
                        </m:ctrlPr>
                      </m:sSubPr>
                      <m:e>
                        <m:r>
                          <w:rPr>
                            <w:rFonts w:ascii="Cambria Math" w:hAnsi="Cambria Math"/>
                          </w:rPr>
                          <m:t>m</m:t>
                        </m:r>
                      </m:e>
                      <m:sub>
                        <m:r>
                          <w:rPr>
                            <w:rFonts w:ascii="Cambria Math" w:hAnsi="Cambria Math"/>
                          </w:rPr>
                          <m:t>1</m:t>
                        </m:r>
                      </m:sub>
                    </m:sSub>
                    <m:r>
                      <w:rPr>
                        <w:rFonts w:ascii="Cambria Math" w:hAnsi="Cambria Math"/>
                      </w:rPr>
                      <m:t xml:space="preserve"> </m:t>
                    </m:r>
                    <m:sSup>
                      <m:sSupPr>
                        <m:ctrlPr>
                          <w:rPr>
                            <w:rFonts w:ascii="Cambria Math" w:hAnsi="Cambria Math"/>
                          </w:rPr>
                        </m:ctrlPr>
                      </m:sSupPr>
                      <m:e>
                        <m:sSub>
                          <m:sSubPr>
                            <m:ctrlPr>
                              <w:rPr>
                                <w:rFonts w:ascii="Cambria Math" w:hAnsi="Cambria Math"/>
                              </w:rPr>
                            </m:ctrlPr>
                          </m:sSubPr>
                          <m:e>
                            <m:r>
                              <w:rPr>
                                <w:rFonts w:ascii="Cambria Math" w:hAnsi="Cambria Math"/>
                              </w:rPr>
                              <m:t>A</m:t>
                            </m:r>
                          </m:e>
                          <m:sub>
                            <m:r>
                              <w:rPr>
                                <w:rFonts w:ascii="Cambria Math" w:hAnsi="Cambria Math"/>
                              </w:rPr>
                              <m:t>1</m:t>
                            </m:r>
                          </m:sub>
                        </m:sSub>
                      </m:e>
                      <m:sup>
                        <m:d>
                          <m:dPr>
                            <m:ctrlPr>
                              <w:rPr>
                                <w:rFonts w:ascii="Cambria Math" w:hAnsi="Cambria Math"/>
                              </w:rPr>
                            </m:ctrlPr>
                          </m:dPr>
                          <m:e>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m</m:t>
                                    </m:r>
                                  </m:e>
                                  <m:sub>
                                    <m:r>
                                      <w:rPr>
                                        <w:rFonts w:ascii="Cambria Math" w:hAnsi="Cambria Math"/>
                                      </w:rPr>
                                      <m:t>1</m:t>
                                    </m:r>
                                  </m:sub>
                                </m:sSub>
                              </m:den>
                            </m:f>
                          </m:e>
                        </m:d>
                      </m:sup>
                    </m:sSup>
                  </m:den>
                </m:f>
              </m:oMath>
            </m:oMathPara>
          </w:p>
        </w:tc>
        <w:tc>
          <w:tcPr>
            <w:tcW w:w="3916" w:type="dxa"/>
            <w:tcMar>
              <w:left w:w="0" w:type="dxa"/>
              <w:right w:w="0" w:type="dxa"/>
            </w:tcMar>
            <w:vAlign w:val="center"/>
          </w:tcPr>
          <w:p w14:paraId="1E2127B0" w14:textId="77777777" w:rsidR="00B44535" w:rsidRPr="00BC31E0" w:rsidRDefault="00A51873" w:rsidP="004736F2">
            <w:pPr>
              <w:tabs>
                <w:tab w:val="left" w:pos="851"/>
                <w:tab w:val="left" w:pos="5103"/>
              </w:tabs>
              <w:jc w:val="left"/>
            </w:pPr>
            <m:oMathPara>
              <m:oMathParaPr>
                <m:jc m:val="left"/>
              </m:oMathParaPr>
              <m:oMath>
                <m:sSub>
                  <m:sSubPr>
                    <m:ctrlPr>
                      <w:rPr>
                        <w:rFonts w:ascii="Cambria Math" w:hAnsi="Cambria Math"/>
                      </w:rPr>
                    </m:ctrlPr>
                  </m:sSubPr>
                  <m:e>
                    <m:r>
                      <w:rPr>
                        <w:rFonts w:ascii="Cambria Math" w:hAnsi="Cambria Math"/>
                      </w:rPr>
                      <m:t>D</m:t>
                    </m:r>
                  </m:e>
                  <m:sub>
                    <m:r>
                      <w:rPr>
                        <w:rFonts w:ascii="Cambria Math" w:hAnsi="Cambria Math"/>
                      </w:rPr>
                      <m:t>3</m:t>
                    </m:r>
                  </m:sub>
                </m:sSub>
                <m:r>
                  <w:rPr>
                    <w:rFonts w:ascii="Cambria Math" w:hAnsi="Cambria Math"/>
                  </w:rPr>
                  <m:t>=</m:t>
                </m:r>
                <m:f>
                  <m:fPr>
                    <m:ctrlPr>
                      <w:rPr>
                        <w:rFonts w:ascii="Cambria Math" w:hAnsi="Cambria Math"/>
                      </w:rPr>
                    </m:ctrlPr>
                  </m:fPr>
                  <m:num>
                    <m:sSup>
                      <m:sSupPr>
                        <m:ctrlPr>
                          <w:rPr>
                            <w:rFonts w:ascii="Cambria Math" w:hAnsi="Cambria Math"/>
                          </w:rPr>
                        </m:ctrlPr>
                      </m:sSupPr>
                      <m:e>
                        <m:sSub>
                          <m:sSubPr>
                            <m:ctrlPr>
                              <w:rPr>
                                <w:rFonts w:ascii="Cambria Math" w:hAnsi="Cambria Math"/>
                              </w:rPr>
                            </m:ctrlPr>
                          </m:sSubPr>
                          <m:e>
                            <m:r>
                              <w:rPr>
                                <w:rFonts w:ascii="Cambria Math" w:hAnsi="Cambria Math"/>
                              </w:rPr>
                              <m:t>σ</m:t>
                            </m:r>
                          </m:e>
                          <m:sub>
                            <m:r>
                              <w:rPr>
                                <w:rFonts w:ascii="Cambria Math" w:hAnsi="Cambria Math"/>
                              </w:rPr>
                              <m:t>t</m:t>
                            </m:r>
                          </m:sub>
                        </m:sSub>
                      </m:e>
                      <m:sup>
                        <m:d>
                          <m:dPr>
                            <m:ctrlPr>
                              <w:rPr>
                                <w:rFonts w:ascii="Cambria Math" w:hAnsi="Cambria Math"/>
                              </w:rPr>
                            </m:ctrlPr>
                          </m:dPr>
                          <m:e>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m</m:t>
                                    </m:r>
                                  </m:e>
                                  <m:sub>
                                    <m:r>
                                      <w:rPr>
                                        <w:rFonts w:ascii="Cambria Math" w:hAnsi="Cambria Math"/>
                                      </w:rPr>
                                      <m:t>2</m:t>
                                    </m:r>
                                  </m:sub>
                                </m:sSub>
                              </m:den>
                            </m:f>
                            <m:r>
                              <w:rPr>
                                <w:rFonts w:ascii="Cambria Math" w:hAnsi="Cambria Math"/>
                              </w:rPr>
                              <m:t>-1</m:t>
                            </m:r>
                          </m:e>
                        </m:d>
                      </m:sup>
                    </m:sSup>
                  </m:num>
                  <m:den>
                    <m:r>
                      <w:rPr>
                        <w:rFonts w:ascii="Cambria Math" w:hAnsi="Cambria Math"/>
                      </w:rPr>
                      <m:t xml:space="preserve">2 </m:t>
                    </m:r>
                    <m:sSub>
                      <m:sSubPr>
                        <m:ctrlPr>
                          <w:rPr>
                            <w:rFonts w:ascii="Cambria Math" w:hAnsi="Cambria Math"/>
                          </w:rPr>
                        </m:ctrlPr>
                      </m:sSubPr>
                      <m:e>
                        <m:r>
                          <w:rPr>
                            <w:rFonts w:ascii="Cambria Math" w:hAnsi="Cambria Math"/>
                          </w:rPr>
                          <m:t>m</m:t>
                        </m:r>
                      </m:e>
                      <m:sub>
                        <m:r>
                          <w:rPr>
                            <w:rFonts w:ascii="Cambria Math" w:hAnsi="Cambria Math"/>
                          </w:rPr>
                          <m:t>2</m:t>
                        </m:r>
                      </m:sub>
                    </m:sSub>
                    <m:r>
                      <w:rPr>
                        <w:rFonts w:ascii="Cambria Math" w:hAnsi="Cambria Math"/>
                      </w:rPr>
                      <m:t xml:space="preserve"> </m:t>
                    </m:r>
                    <m:sSup>
                      <m:sSupPr>
                        <m:ctrlPr>
                          <w:rPr>
                            <w:rFonts w:ascii="Cambria Math" w:hAnsi="Cambria Math"/>
                          </w:rPr>
                        </m:ctrlPr>
                      </m:sSupPr>
                      <m:e>
                        <m:sSub>
                          <m:sSubPr>
                            <m:ctrlPr>
                              <w:rPr>
                                <w:rFonts w:ascii="Cambria Math" w:hAnsi="Cambria Math"/>
                              </w:rPr>
                            </m:ctrlPr>
                          </m:sSubPr>
                          <m:e>
                            <m:r>
                              <w:rPr>
                                <w:rFonts w:ascii="Cambria Math" w:hAnsi="Cambria Math"/>
                              </w:rPr>
                              <m:t>A</m:t>
                            </m:r>
                          </m:e>
                          <m:sub>
                            <m:r>
                              <w:rPr>
                                <w:rFonts w:ascii="Cambria Math" w:hAnsi="Cambria Math"/>
                              </w:rPr>
                              <m:t>2</m:t>
                            </m:r>
                          </m:sub>
                        </m:sSub>
                      </m:e>
                      <m:sup>
                        <m:d>
                          <m:dPr>
                            <m:ctrlPr>
                              <w:rPr>
                                <w:rFonts w:ascii="Cambria Math" w:hAnsi="Cambria Math"/>
                              </w:rPr>
                            </m:ctrlPr>
                          </m:dPr>
                          <m:e>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m</m:t>
                                    </m:r>
                                  </m:e>
                                  <m:sub>
                                    <m:r>
                                      <w:rPr>
                                        <w:rFonts w:ascii="Cambria Math" w:hAnsi="Cambria Math"/>
                                      </w:rPr>
                                      <m:t>2</m:t>
                                    </m:r>
                                  </m:sub>
                                </m:sSub>
                              </m:den>
                            </m:f>
                          </m:e>
                        </m:d>
                      </m:sup>
                    </m:sSup>
                  </m:den>
                </m:f>
              </m:oMath>
            </m:oMathPara>
          </w:p>
        </w:tc>
      </w:tr>
      <w:tr w:rsidR="00B44535" w:rsidRPr="00BC31E0" w14:paraId="5FE854B3" w14:textId="77777777" w:rsidTr="004736F2">
        <w:tc>
          <w:tcPr>
            <w:tcW w:w="8219" w:type="dxa"/>
            <w:gridSpan w:val="2"/>
            <w:tcMar>
              <w:left w:w="0" w:type="dxa"/>
              <w:right w:w="0" w:type="dxa"/>
            </w:tcMar>
            <w:vAlign w:val="center"/>
          </w:tcPr>
          <w:p w14:paraId="025A5E82" w14:textId="77777777" w:rsidR="00B44535" w:rsidRPr="00BC31E0" w:rsidRDefault="00A51873" w:rsidP="004736F2">
            <w:pPr>
              <w:tabs>
                <w:tab w:val="left" w:pos="851"/>
                <w:tab w:val="left" w:pos="5103"/>
              </w:tabs>
              <w:spacing w:before="120"/>
              <w:jc w:val="left"/>
            </w:pPr>
            <m:oMathPara>
              <m:oMathParaPr>
                <m:jc m:val="left"/>
              </m:oMathParaPr>
              <m:oMath>
                <m:sSub>
                  <m:sSubPr>
                    <m:ctrlPr>
                      <w:rPr>
                        <w:rFonts w:ascii="Cambria Math" w:hAnsi="Cambria Math"/>
                      </w:rPr>
                    </m:ctrlPr>
                  </m:sSubPr>
                  <m:e>
                    <m:r>
                      <w:rPr>
                        <w:rFonts w:ascii="Cambria Math" w:hAnsi="Cambria Math"/>
                      </w:rPr>
                      <m:t>D</m:t>
                    </m:r>
                  </m:e>
                  <m:sub>
                    <m:r>
                      <w:rPr>
                        <w:rFonts w:ascii="Cambria Math" w:hAnsi="Cambria Math"/>
                      </w:rPr>
                      <m:t>2</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d>
                  <m:dPr>
                    <m:begChr m:val="{"/>
                    <m:endChr m:val="}"/>
                    <m:ctrlPr>
                      <w:rPr>
                        <w:rFonts w:ascii="Cambria Math" w:hAnsi="Cambria Math"/>
                      </w:rPr>
                    </m:ctrlPr>
                  </m:dPr>
                  <m:e>
                    <m:f>
                      <m:fPr>
                        <m:ctrlPr>
                          <w:rPr>
                            <w:rFonts w:ascii="Cambria Math" w:hAnsi="Cambria Math"/>
                          </w:rPr>
                        </m:ctrlPr>
                      </m:fPr>
                      <m:num>
                        <m:r>
                          <w:rPr>
                            <w:rFonts w:ascii="Cambria Math" w:hAnsi="Cambria Math"/>
                          </w:rPr>
                          <m:t>1</m:t>
                        </m:r>
                      </m:num>
                      <m:den>
                        <m:sSup>
                          <m:sSupPr>
                            <m:ctrlPr>
                              <w:rPr>
                                <w:rFonts w:ascii="Cambria Math" w:hAnsi="Cambria Math"/>
                              </w:rPr>
                            </m:ctrlPr>
                          </m:sSupPr>
                          <m:e>
                            <m:sSub>
                              <m:sSubPr>
                                <m:ctrlPr>
                                  <w:rPr>
                                    <w:rFonts w:ascii="Cambria Math" w:hAnsi="Cambria Math"/>
                                  </w:rPr>
                                </m:ctrlPr>
                              </m:sSubPr>
                              <m:e>
                                <m:r>
                                  <w:rPr>
                                    <w:rFonts w:ascii="Cambria Math" w:hAnsi="Cambria Math"/>
                                  </w:rPr>
                                  <m:t>A</m:t>
                                </m:r>
                              </m:e>
                              <m:sub>
                                <m:r>
                                  <w:rPr>
                                    <w:rFonts w:ascii="Cambria Math" w:hAnsi="Cambria Math"/>
                                  </w:rPr>
                                  <m:t>1</m:t>
                                </m:r>
                              </m:sub>
                            </m:sSub>
                          </m:e>
                          <m:sup>
                            <m:d>
                              <m:dPr>
                                <m:ctrlPr>
                                  <w:rPr>
                                    <w:rFonts w:ascii="Cambria Math" w:hAnsi="Cambria Math"/>
                                  </w:rPr>
                                </m:ctrlPr>
                              </m:dPr>
                              <m:e>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m</m:t>
                                        </m:r>
                                      </m:e>
                                      <m:sub>
                                        <m:r>
                                          <w:rPr>
                                            <w:rFonts w:ascii="Cambria Math" w:hAnsi="Cambria Math"/>
                                          </w:rPr>
                                          <m:t>1</m:t>
                                        </m:r>
                                      </m:sub>
                                    </m:sSub>
                                  </m:den>
                                </m:f>
                              </m:e>
                            </m:d>
                          </m:sup>
                        </m:sSup>
                      </m:den>
                    </m:f>
                  </m:e>
                </m:d>
                <m:d>
                  <m:dPr>
                    <m:begChr m:val="["/>
                    <m:endChr m:val="]"/>
                    <m:ctrlPr>
                      <w:rPr>
                        <w:rFonts w:ascii="Cambria Math" w:hAnsi="Cambria Math"/>
                      </w:rPr>
                    </m:ctrlPr>
                  </m:dPr>
                  <m:e>
                    <m:sSup>
                      <m:sSupPr>
                        <m:ctrlPr>
                          <w:rPr>
                            <w:rFonts w:ascii="Cambria Math" w:hAnsi="Cambria Math"/>
                          </w:rPr>
                        </m:ctrlPr>
                      </m:sSupPr>
                      <m:e>
                        <m:sSub>
                          <m:sSubPr>
                            <m:ctrlPr>
                              <w:rPr>
                                <w:rFonts w:ascii="Cambria Math" w:hAnsi="Cambria Math"/>
                              </w:rPr>
                            </m:ctrlPr>
                          </m:sSubPr>
                          <m:e>
                            <m:r>
                              <w:rPr>
                                <w:rFonts w:ascii="Cambria Math" w:hAnsi="Cambria Math"/>
                              </w:rPr>
                              <m:t xml:space="preserve"> σ</m:t>
                            </m:r>
                          </m:e>
                          <m:sub>
                            <m:r>
                              <w:rPr>
                                <w:rFonts w:ascii="Cambria Math" w:hAnsi="Cambria Math"/>
                              </w:rPr>
                              <m:t>t</m:t>
                            </m:r>
                          </m:sub>
                        </m:sSub>
                      </m:e>
                      <m:sup>
                        <m:d>
                          <m:dPr>
                            <m:ctrlPr>
                              <w:rPr>
                                <w:rFonts w:ascii="Cambria Math" w:hAnsi="Cambria Math"/>
                              </w:rPr>
                            </m:ctrlPr>
                          </m:dPr>
                          <m:e>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m</m:t>
                                    </m:r>
                                  </m:e>
                                  <m:sub>
                                    <m:r>
                                      <w:rPr>
                                        <w:rFonts w:ascii="Cambria Math" w:hAnsi="Cambria Math"/>
                                      </w:rPr>
                                      <m:t>1</m:t>
                                    </m:r>
                                  </m:sub>
                                </m:sSub>
                              </m:den>
                            </m:f>
                          </m:e>
                        </m:d>
                      </m:sup>
                    </m:sSup>
                    <m:d>
                      <m:dPr>
                        <m:begChr m:val="{"/>
                        <m:endChr m:val="}"/>
                        <m:ctrlPr>
                          <w:rPr>
                            <w:rFonts w:ascii="Cambria Math" w:hAnsi="Cambria Math"/>
                          </w:rPr>
                        </m:ctrlPr>
                      </m:dPr>
                      <m:e>
                        <m:f>
                          <m:fPr>
                            <m:ctrlPr>
                              <w:rPr>
                                <w:rFonts w:ascii="Cambria Math" w:hAnsi="Cambria Math"/>
                              </w:rPr>
                            </m:ctrlPr>
                          </m:fPr>
                          <m:num>
                            <m:r>
                              <w:rPr>
                                <w:rFonts w:ascii="Cambria Math" w:hAnsi="Cambria Math"/>
                              </w:rPr>
                              <m:t>2</m:t>
                            </m:r>
                          </m:num>
                          <m:den>
                            <m:r>
                              <w:rPr>
                                <w:rFonts w:ascii="Cambria Math" w:hAnsi="Cambria Math"/>
                              </w:rPr>
                              <m:t xml:space="preserve">K </m:t>
                            </m:r>
                            <m:d>
                              <m:dPr>
                                <m:ctrlPr>
                                  <w:rPr>
                                    <w:rFonts w:ascii="Cambria Math" w:hAnsi="Cambria Math"/>
                                  </w:rPr>
                                </m:ctrlPr>
                              </m:dPr>
                              <m:e>
                                <m:sSub>
                                  <m:sSubPr>
                                    <m:ctrlPr>
                                      <w:rPr>
                                        <w:rFonts w:ascii="Cambria Math" w:hAnsi="Cambria Math"/>
                                      </w:rPr>
                                    </m:ctrlPr>
                                  </m:sSubPr>
                                  <m:e>
                                    <m:r>
                                      <w:rPr>
                                        <w:rFonts w:ascii="Cambria Math" w:hAnsi="Cambria Math"/>
                                      </w:rPr>
                                      <m:t>σ</m:t>
                                    </m:r>
                                  </m:e>
                                  <m:sub>
                                    <m:r>
                                      <w:rPr>
                                        <w:rFonts w:ascii="Cambria Math" w:hAnsi="Cambria Math"/>
                                      </w:rPr>
                                      <m:t>uts</m:t>
                                    </m:r>
                                  </m:sub>
                                </m:sSub>
                                <m:r>
                                  <w:rPr>
                                    <w:rFonts w:ascii="Cambria Math" w:hAnsi="Cambria Math"/>
                                  </w:rPr>
                                  <m:t>-</m:t>
                                </m:r>
                                <m:sSub>
                                  <m:sSubPr>
                                    <m:ctrlPr>
                                      <w:rPr>
                                        <w:rFonts w:ascii="Cambria Math" w:hAnsi="Cambria Math"/>
                                      </w:rPr>
                                    </m:ctrlPr>
                                  </m:sSubPr>
                                  <m:e>
                                    <m:r>
                                      <w:rPr>
                                        <w:rFonts w:ascii="Cambria Math" w:hAnsi="Cambria Math"/>
                                      </w:rPr>
                                      <m:t>σ</m:t>
                                    </m:r>
                                  </m:e>
                                  <m:sub>
                                    <m:r>
                                      <w:rPr>
                                        <w:rFonts w:ascii="Cambria Math" w:hAnsi="Cambria Math"/>
                                      </w:rPr>
                                      <m:t>ys</m:t>
                                    </m:r>
                                  </m:sub>
                                </m:sSub>
                              </m:e>
                            </m:d>
                          </m:den>
                        </m:f>
                      </m:e>
                    </m:d>
                    <m:d>
                      <m:dPr>
                        <m:begChr m:val="{"/>
                        <m:endChr m:val="}"/>
                        <m:ctrlPr>
                          <w:rPr>
                            <w:rFonts w:ascii="Cambria Math" w:hAnsi="Cambria Math"/>
                          </w:rPr>
                        </m:ctrlPr>
                      </m:dPr>
                      <m:e>
                        <m:r>
                          <w:rPr>
                            <w:rFonts w:ascii="Cambria Math" w:hAnsi="Cambria Math"/>
                          </w:rPr>
                          <m:t>1-</m:t>
                        </m:r>
                        <m:func>
                          <m:funcPr>
                            <m:ctrlPr>
                              <w:rPr>
                                <w:rFonts w:ascii="Cambria Math" w:hAnsi="Cambria Math"/>
                              </w:rPr>
                            </m:ctrlPr>
                          </m:funcPr>
                          <m:fName>
                            <m:sSup>
                              <m:sSupPr>
                                <m:ctrlPr>
                                  <w:rPr>
                                    <w:rFonts w:ascii="Cambria Math" w:hAnsi="Cambria Math"/>
                                  </w:rPr>
                                </m:ctrlPr>
                              </m:sSupPr>
                              <m:e>
                                <m:r>
                                  <m:rPr>
                                    <m:sty m:val="bi"/>
                                  </m:rPr>
                                  <w:rPr>
                                    <w:rFonts w:ascii="Cambria Math" w:hAnsi="Cambria Math"/>
                                  </w:rPr>
                                  <m:t>tanh</m:t>
                                </m:r>
                              </m:e>
                              <m:sup>
                                <m:r>
                                  <w:rPr>
                                    <w:rFonts w:ascii="Cambria Math" w:hAnsi="Cambria Math"/>
                                  </w:rPr>
                                  <m:t>2</m:t>
                                </m:r>
                              </m:sup>
                            </m:sSup>
                          </m:fName>
                          <m:e>
                            <m:d>
                              <m:dPr>
                                <m:ctrlPr>
                                  <w:rPr>
                                    <w:rFonts w:ascii="Cambria Math" w:hAnsi="Cambria Math"/>
                                  </w:rPr>
                                </m:ctrlPr>
                              </m:dPr>
                              <m:e>
                                <m:r>
                                  <w:rPr>
                                    <w:rFonts w:ascii="Cambria Math" w:hAnsi="Cambria Math"/>
                                  </w:rPr>
                                  <m:t>H</m:t>
                                </m:r>
                              </m:e>
                            </m:d>
                          </m:e>
                        </m:func>
                      </m:e>
                    </m:d>
                    <m:r>
                      <w:rPr>
                        <w:rFonts w:ascii="Cambria Math" w:hAnsi="Cambria Math"/>
                      </w:rPr>
                      <m:t>+</m:t>
                    </m:r>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m</m:t>
                            </m:r>
                          </m:e>
                          <m:sub>
                            <m:r>
                              <w:rPr>
                                <w:rFonts w:ascii="Cambria Math" w:hAnsi="Cambria Math"/>
                              </w:rPr>
                              <m:t>1</m:t>
                            </m:r>
                          </m:sub>
                        </m:sSub>
                      </m:den>
                    </m:f>
                    <m:sSup>
                      <m:sSupPr>
                        <m:ctrlPr>
                          <w:rPr>
                            <w:rFonts w:ascii="Cambria Math" w:hAnsi="Cambria Math"/>
                          </w:rPr>
                        </m:ctrlPr>
                      </m:sSupPr>
                      <m:e>
                        <m:sSub>
                          <m:sSubPr>
                            <m:ctrlPr>
                              <w:rPr>
                                <w:rFonts w:ascii="Cambria Math" w:hAnsi="Cambria Math"/>
                              </w:rPr>
                            </m:ctrlPr>
                          </m:sSubPr>
                          <m:e>
                            <m:r>
                              <w:rPr>
                                <w:rFonts w:ascii="Cambria Math" w:hAnsi="Cambria Math"/>
                              </w:rPr>
                              <m:t xml:space="preserve"> σ</m:t>
                            </m:r>
                          </m:e>
                          <m:sub>
                            <m:r>
                              <w:rPr>
                                <w:rFonts w:ascii="Cambria Math" w:hAnsi="Cambria Math"/>
                              </w:rPr>
                              <m:t>t</m:t>
                            </m:r>
                          </m:sub>
                        </m:sSub>
                      </m:e>
                      <m:sup>
                        <m:d>
                          <m:dPr>
                            <m:ctrlPr>
                              <w:rPr>
                                <w:rFonts w:ascii="Cambria Math" w:hAnsi="Cambria Math"/>
                              </w:rPr>
                            </m:ctrlPr>
                          </m:dPr>
                          <m:e>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m</m:t>
                                    </m:r>
                                  </m:e>
                                  <m:sub>
                                    <m:r>
                                      <w:rPr>
                                        <w:rFonts w:ascii="Cambria Math" w:hAnsi="Cambria Math"/>
                                      </w:rPr>
                                      <m:t>1</m:t>
                                    </m:r>
                                  </m:sub>
                                </m:sSub>
                              </m:den>
                            </m:f>
                            <m:r>
                              <w:rPr>
                                <w:rFonts w:ascii="Cambria Math" w:hAnsi="Cambria Math"/>
                              </w:rPr>
                              <m:t>-1</m:t>
                            </m:r>
                          </m:e>
                        </m:d>
                      </m:sup>
                    </m:sSup>
                    <m:func>
                      <m:funcPr>
                        <m:ctrlPr>
                          <w:rPr>
                            <w:rFonts w:ascii="Cambria Math" w:hAnsi="Cambria Math"/>
                          </w:rPr>
                        </m:ctrlPr>
                      </m:funcPr>
                      <m:fName>
                        <m:r>
                          <m:rPr>
                            <m:sty m:val="bi"/>
                          </m:rPr>
                          <w:rPr>
                            <w:rFonts w:ascii="Cambria Math" w:hAnsi="Cambria Math"/>
                          </w:rPr>
                          <m:t>tanh</m:t>
                        </m:r>
                      </m:fName>
                      <m:e>
                        <m:d>
                          <m:dPr>
                            <m:ctrlPr>
                              <w:rPr>
                                <w:rFonts w:ascii="Cambria Math" w:hAnsi="Cambria Math"/>
                              </w:rPr>
                            </m:ctrlPr>
                          </m:dPr>
                          <m:e>
                            <m:r>
                              <w:rPr>
                                <w:rFonts w:ascii="Cambria Math" w:hAnsi="Cambria Math"/>
                              </w:rPr>
                              <m:t>H</m:t>
                            </m:r>
                          </m:e>
                        </m:d>
                      </m:e>
                    </m:func>
                    <m:r>
                      <w:rPr>
                        <w:rFonts w:ascii="Cambria Math" w:hAnsi="Cambria Math"/>
                      </w:rPr>
                      <m:t xml:space="preserve"> </m:t>
                    </m:r>
                  </m:e>
                </m:d>
              </m:oMath>
            </m:oMathPara>
          </w:p>
        </w:tc>
      </w:tr>
      <w:tr w:rsidR="00B44535" w:rsidRPr="00BC31E0" w14:paraId="60140934" w14:textId="77777777" w:rsidTr="004736F2">
        <w:tc>
          <w:tcPr>
            <w:tcW w:w="8219" w:type="dxa"/>
            <w:gridSpan w:val="2"/>
            <w:tcMar>
              <w:left w:w="0" w:type="dxa"/>
              <w:right w:w="0" w:type="dxa"/>
            </w:tcMar>
            <w:vAlign w:val="center"/>
          </w:tcPr>
          <w:p w14:paraId="6F064F10" w14:textId="77777777" w:rsidR="00B44535" w:rsidRPr="00BC31E0" w:rsidRDefault="00A51873" w:rsidP="004736F2">
            <w:pPr>
              <w:tabs>
                <w:tab w:val="left" w:pos="851"/>
                <w:tab w:val="left" w:pos="5103"/>
              </w:tabs>
              <w:spacing w:before="120"/>
              <w:jc w:val="left"/>
            </w:pPr>
            <m:oMathPara>
              <m:oMathParaPr>
                <m:jc m:val="left"/>
              </m:oMathParaPr>
              <m:oMath>
                <m:sSub>
                  <m:sSubPr>
                    <m:ctrlPr>
                      <w:rPr>
                        <w:rFonts w:ascii="Cambria Math" w:hAnsi="Cambria Math"/>
                      </w:rPr>
                    </m:ctrlPr>
                  </m:sSubPr>
                  <m:e>
                    <m:r>
                      <w:rPr>
                        <w:rFonts w:ascii="Cambria Math" w:hAnsi="Cambria Math"/>
                      </w:rPr>
                      <m:t>D</m:t>
                    </m:r>
                  </m:e>
                  <m:sub>
                    <m:r>
                      <w:rPr>
                        <w:rFonts w:ascii="Cambria Math" w:hAnsi="Cambria Math"/>
                      </w:rPr>
                      <m:t>4</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d>
                  <m:dPr>
                    <m:begChr m:val="{"/>
                    <m:endChr m:val="}"/>
                    <m:ctrlPr>
                      <w:rPr>
                        <w:rFonts w:ascii="Cambria Math" w:hAnsi="Cambria Math"/>
                      </w:rPr>
                    </m:ctrlPr>
                  </m:dPr>
                  <m:e>
                    <m:f>
                      <m:fPr>
                        <m:ctrlPr>
                          <w:rPr>
                            <w:rFonts w:ascii="Cambria Math" w:hAnsi="Cambria Math"/>
                          </w:rPr>
                        </m:ctrlPr>
                      </m:fPr>
                      <m:num>
                        <m:r>
                          <w:rPr>
                            <w:rFonts w:ascii="Cambria Math" w:hAnsi="Cambria Math"/>
                          </w:rPr>
                          <m:t>1</m:t>
                        </m:r>
                      </m:num>
                      <m:den>
                        <m:sSup>
                          <m:sSupPr>
                            <m:ctrlPr>
                              <w:rPr>
                                <w:rFonts w:ascii="Cambria Math" w:hAnsi="Cambria Math"/>
                              </w:rPr>
                            </m:ctrlPr>
                          </m:sSupPr>
                          <m:e>
                            <m:sSub>
                              <m:sSubPr>
                                <m:ctrlPr>
                                  <w:rPr>
                                    <w:rFonts w:ascii="Cambria Math" w:hAnsi="Cambria Math"/>
                                  </w:rPr>
                                </m:ctrlPr>
                              </m:sSubPr>
                              <m:e>
                                <m:r>
                                  <w:rPr>
                                    <w:rFonts w:ascii="Cambria Math" w:hAnsi="Cambria Math"/>
                                  </w:rPr>
                                  <m:t>A</m:t>
                                </m:r>
                              </m:e>
                              <m:sub>
                                <m:r>
                                  <w:rPr>
                                    <w:rFonts w:ascii="Cambria Math" w:hAnsi="Cambria Math"/>
                                  </w:rPr>
                                  <m:t>2</m:t>
                                </m:r>
                              </m:sub>
                            </m:sSub>
                          </m:e>
                          <m:sup>
                            <m:d>
                              <m:dPr>
                                <m:ctrlPr>
                                  <w:rPr>
                                    <w:rFonts w:ascii="Cambria Math" w:hAnsi="Cambria Math"/>
                                  </w:rPr>
                                </m:ctrlPr>
                              </m:dPr>
                              <m:e>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m</m:t>
                                        </m:r>
                                      </m:e>
                                      <m:sub>
                                        <m:r>
                                          <w:rPr>
                                            <w:rFonts w:ascii="Cambria Math" w:hAnsi="Cambria Math"/>
                                          </w:rPr>
                                          <m:t>2</m:t>
                                        </m:r>
                                      </m:sub>
                                    </m:sSub>
                                  </m:den>
                                </m:f>
                              </m:e>
                            </m:d>
                          </m:sup>
                        </m:sSup>
                      </m:den>
                    </m:f>
                  </m:e>
                </m:d>
                <m:d>
                  <m:dPr>
                    <m:begChr m:val="["/>
                    <m:endChr m:val="]"/>
                    <m:ctrlPr>
                      <w:rPr>
                        <w:rFonts w:ascii="Cambria Math" w:hAnsi="Cambria Math"/>
                      </w:rPr>
                    </m:ctrlPr>
                  </m:dPr>
                  <m:e>
                    <m:sSup>
                      <m:sSupPr>
                        <m:ctrlPr>
                          <w:rPr>
                            <w:rFonts w:ascii="Cambria Math" w:hAnsi="Cambria Math"/>
                          </w:rPr>
                        </m:ctrlPr>
                      </m:sSupPr>
                      <m:e>
                        <m:sSub>
                          <m:sSubPr>
                            <m:ctrlPr>
                              <w:rPr>
                                <w:rFonts w:ascii="Cambria Math" w:hAnsi="Cambria Math"/>
                              </w:rPr>
                            </m:ctrlPr>
                          </m:sSubPr>
                          <m:e>
                            <m:r>
                              <w:rPr>
                                <w:rFonts w:ascii="Cambria Math" w:hAnsi="Cambria Math"/>
                              </w:rPr>
                              <m:t xml:space="preserve"> σ</m:t>
                            </m:r>
                          </m:e>
                          <m:sub>
                            <m:r>
                              <w:rPr>
                                <w:rFonts w:ascii="Cambria Math" w:hAnsi="Cambria Math"/>
                              </w:rPr>
                              <m:t>t</m:t>
                            </m:r>
                          </m:sub>
                        </m:sSub>
                      </m:e>
                      <m:sup>
                        <m:d>
                          <m:dPr>
                            <m:ctrlPr>
                              <w:rPr>
                                <w:rFonts w:ascii="Cambria Math" w:hAnsi="Cambria Math"/>
                              </w:rPr>
                            </m:ctrlPr>
                          </m:dPr>
                          <m:e>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m</m:t>
                                    </m:r>
                                  </m:e>
                                  <m:sub>
                                    <m:r>
                                      <w:rPr>
                                        <w:rFonts w:ascii="Cambria Math" w:hAnsi="Cambria Math"/>
                                      </w:rPr>
                                      <m:t>2</m:t>
                                    </m:r>
                                  </m:sub>
                                </m:sSub>
                              </m:den>
                            </m:f>
                          </m:e>
                        </m:d>
                      </m:sup>
                    </m:sSup>
                    <m:d>
                      <m:dPr>
                        <m:begChr m:val="{"/>
                        <m:endChr m:val="}"/>
                        <m:ctrlPr>
                          <w:rPr>
                            <w:rFonts w:ascii="Cambria Math" w:hAnsi="Cambria Math"/>
                          </w:rPr>
                        </m:ctrlPr>
                      </m:dPr>
                      <m:e>
                        <m:f>
                          <m:fPr>
                            <m:ctrlPr>
                              <w:rPr>
                                <w:rFonts w:ascii="Cambria Math" w:hAnsi="Cambria Math"/>
                              </w:rPr>
                            </m:ctrlPr>
                          </m:fPr>
                          <m:num>
                            <m:r>
                              <w:rPr>
                                <w:rFonts w:ascii="Cambria Math" w:hAnsi="Cambria Math"/>
                              </w:rPr>
                              <m:t>2</m:t>
                            </m:r>
                          </m:num>
                          <m:den>
                            <m:r>
                              <w:rPr>
                                <w:rFonts w:ascii="Cambria Math" w:hAnsi="Cambria Math"/>
                              </w:rPr>
                              <m:t xml:space="preserve">K </m:t>
                            </m:r>
                            <m:d>
                              <m:dPr>
                                <m:ctrlPr>
                                  <w:rPr>
                                    <w:rFonts w:ascii="Cambria Math" w:hAnsi="Cambria Math"/>
                                  </w:rPr>
                                </m:ctrlPr>
                              </m:dPr>
                              <m:e>
                                <m:sSub>
                                  <m:sSubPr>
                                    <m:ctrlPr>
                                      <w:rPr>
                                        <w:rFonts w:ascii="Cambria Math" w:hAnsi="Cambria Math"/>
                                      </w:rPr>
                                    </m:ctrlPr>
                                  </m:sSubPr>
                                  <m:e>
                                    <m:r>
                                      <w:rPr>
                                        <w:rFonts w:ascii="Cambria Math" w:hAnsi="Cambria Math"/>
                                      </w:rPr>
                                      <m:t>σ</m:t>
                                    </m:r>
                                  </m:e>
                                  <m:sub>
                                    <m:r>
                                      <w:rPr>
                                        <w:rFonts w:ascii="Cambria Math" w:hAnsi="Cambria Math"/>
                                      </w:rPr>
                                      <m:t>uts</m:t>
                                    </m:r>
                                  </m:sub>
                                </m:sSub>
                                <m:r>
                                  <w:rPr>
                                    <w:rFonts w:ascii="Cambria Math" w:hAnsi="Cambria Math"/>
                                  </w:rPr>
                                  <m:t>-</m:t>
                                </m:r>
                                <m:sSub>
                                  <m:sSubPr>
                                    <m:ctrlPr>
                                      <w:rPr>
                                        <w:rFonts w:ascii="Cambria Math" w:hAnsi="Cambria Math"/>
                                      </w:rPr>
                                    </m:ctrlPr>
                                  </m:sSubPr>
                                  <m:e>
                                    <m:r>
                                      <w:rPr>
                                        <w:rFonts w:ascii="Cambria Math" w:hAnsi="Cambria Math"/>
                                      </w:rPr>
                                      <m:t>σ</m:t>
                                    </m:r>
                                  </m:e>
                                  <m:sub>
                                    <m:r>
                                      <w:rPr>
                                        <w:rFonts w:ascii="Cambria Math" w:hAnsi="Cambria Math"/>
                                      </w:rPr>
                                      <m:t>ys</m:t>
                                    </m:r>
                                  </m:sub>
                                </m:sSub>
                              </m:e>
                            </m:d>
                          </m:den>
                        </m:f>
                      </m:e>
                    </m:d>
                    <m:d>
                      <m:dPr>
                        <m:begChr m:val="{"/>
                        <m:endChr m:val="}"/>
                        <m:ctrlPr>
                          <w:rPr>
                            <w:rFonts w:ascii="Cambria Math" w:hAnsi="Cambria Math"/>
                          </w:rPr>
                        </m:ctrlPr>
                      </m:dPr>
                      <m:e>
                        <m:r>
                          <w:rPr>
                            <w:rFonts w:ascii="Cambria Math" w:hAnsi="Cambria Math"/>
                          </w:rPr>
                          <m:t>1-</m:t>
                        </m:r>
                        <m:func>
                          <m:funcPr>
                            <m:ctrlPr>
                              <w:rPr>
                                <w:rFonts w:ascii="Cambria Math" w:hAnsi="Cambria Math"/>
                              </w:rPr>
                            </m:ctrlPr>
                          </m:funcPr>
                          <m:fName>
                            <m:sSup>
                              <m:sSupPr>
                                <m:ctrlPr>
                                  <w:rPr>
                                    <w:rFonts w:ascii="Cambria Math" w:hAnsi="Cambria Math"/>
                                  </w:rPr>
                                </m:ctrlPr>
                              </m:sSupPr>
                              <m:e>
                                <m:r>
                                  <m:rPr>
                                    <m:sty m:val="bi"/>
                                  </m:rPr>
                                  <w:rPr>
                                    <w:rFonts w:ascii="Cambria Math" w:hAnsi="Cambria Math"/>
                                  </w:rPr>
                                  <m:t>tanh</m:t>
                                </m:r>
                              </m:e>
                              <m:sup>
                                <m:r>
                                  <w:rPr>
                                    <w:rFonts w:ascii="Cambria Math" w:hAnsi="Cambria Math"/>
                                  </w:rPr>
                                  <m:t>2</m:t>
                                </m:r>
                              </m:sup>
                            </m:sSup>
                          </m:fName>
                          <m:e>
                            <m:d>
                              <m:dPr>
                                <m:ctrlPr>
                                  <w:rPr>
                                    <w:rFonts w:ascii="Cambria Math" w:hAnsi="Cambria Math"/>
                                  </w:rPr>
                                </m:ctrlPr>
                              </m:dPr>
                              <m:e>
                                <m:r>
                                  <w:rPr>
                                    <w:rFonts w:ascii="Cambria Math" w:hAnsi="Cambria Math"/>
                                  </w:rPr>
                                  <m:t>H</m:t>
                                </m:r>
                              </m:e>
                            </m:d>
                          </m:e>
                        </m:func>
                      </m:e>
                    </m:d>
                    <m:r>
                      <w:rPr>
                        <w:rFonts w:ascii="Cambria Math" w:hAnsi="Cambria Math"/>
                      </w:rPr>
                      <m:t>+</m:t>
                    </m:r>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m</m:t>
                            </m:r>
                          </m:e>
                          <m:sub>
                            <m:r>
                              <w:rPr>
                                <w:rFonts w:ascii="Cambria Math" w:hAnsi="Cambria Math"/>
                              </w:rPr>
                              <m:t>2</m:t>
                            </m:r>
                          </m:sub>
                        </m:sSub>
                      </m:den>
                    </m:f>
                    <m:sSup>
                      <m:sSupPr>
                        <m:ctrlPr>
                          <w:rPr>
                            <w:rFonts w:ascii="Cambria Math" w:hAnsi="Cambria Math"/>
                          </w:rPr>
                        </m:ctrlPr>
                      </m:sSupPr>
                      <m:e>
                        <m:sSub>
                          <m:sSubPr>
                            <m:ctrlPr>
                              <w:rPr>
                                <w:rFonts w:ascii="Cambria Math" w:hAnsi="Cambria Math"/>
                              </w:rPr>
                            </m:ctrlPr>
                          </m:sSubPr>
                          <m:e>
                            <m:r>
                              <w:rPr>
                                <w:rFonts w:ascii="Cambria Math" w:hAnsi="Cambria Math"/>
                              </w:rPr>
                              <m:t xml:space="preserve"> σ</m:t>
                            </m:r>
                          </m:e>
                          <m:sub>
                            <m:r>
                              <w:rPr>
                                <w:rFonts w:ascii="Cambria Math" w:hAnsi="Cambria Math"/>
                              </w:rPr>
                              <m:t>t</m:t>
                            </m:r>
                          </m:sub>
                        </m:sSub>
                      </m:e>
                      <m:sup>
                        <m:d>
                          <m:dPr>
                            <m:ctrlPr>
                              <w:rPr>
                                <w:rFonts w:ascii="Cambria Math" w:hAnsi="Cambria Math"/>
                              </w:rPr>
                            </m:ctrlPr>
                          </m:dPr>
                          <m:e>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m</m:t>
                                    </m:r>
                                  </m:e>
                                  <m:sub>
                                    <m:r>
                                      <w:rPr>
                                        <w:rFonts w:ascii="Cambria Math" w:hAnsi="Cambria Math"/>
                                      </w:rPr>
                                      <m:t>2</m:t>
                                    </m:r>
                                  </m:sub>
                                </m:sSub>
                              </m:den>
                            </m:f>
                            <m:r>
                              <w:rPr>
                                <w:rFonts w:ascii="Cambria Math" w:hAnsi="Cambria Math"/>
                              </w:rPr>
                              <m:t>-1</m:t>
                            </m:r>
                          </m:e>
                        </m:d>
                      </m:sup>
                    </m:sSup>
                    <m:func>
                      <m:funcPr>
                        <m:ctrlPr>
                          <w:rPr>
                            <w:rFonts w:ascii="Cambria Math" w:hAnsi="Cambria Math"/>
                          </w:rPr>
                        </m:ctrlPr>
                      </m:funcPr>
                      <m:fName>
                        <m:r>
                          <m:rPr>
                            <m:sty m:val="bi"/>
                          </m:rPr>
                          <w:rPr>
                            <w:rFonts w:ascii="Cambria Math" w:hAnsi="Cambria Math"/>
                          </w:rPr>
                          <m:t>tanh</m:t>
                        </m:r>
                      </m:fName>
                      <m:e>
                        <m:d>
                          <m:dPr>
                            <m:ctrlPr>
                              <w:rPr>
                                <w:rFonts w:ascii="Cambria Math" w:hAnsi="Cambria Math"/>
                              </w:rPr>
                            </m:ctrlPr>
                          </m:dPr>
                          <m:e>
                            <m:r>
                              <w:rPr>
                                <w:rFonts w:ascii="Cambria Math" w:hAnsi="Cambria Math"/>
                              </w:rPr>
                              <m:t>H</m:t>
                            </m:r>
                          </m:e>
                        </m:d>
                      </m:e>
                    </m:func>
                    <m:r>
                      <w:rPr>
                        <w:rFonts w:ascii="Cambria Math" w:hAnsi="Cambria Math"/>
                      </w:rPr>
                      <m:t xml:space="preserve"> </m:t>
                    </m:r>
                  </m:e>
                </m:d>
              </m:oMath>
            </m:oMathPara>
          </w:p>
        </w:tc>
      </w:tr>
    </w:tbl>
    <w:p w14:paraId="7BB1FB69" w14:textId="77777777" w:rsidR="00B44535" w:rsidRPr="00BC31E0" w:rsidRDefault="00B44535" w:rsidP="00736130">
      <w:pPr>
        <w:pStyle w:val="110"/>
        <w:numPr>
          <w:ilvl w:val="1"/>
          <w:numId w:val="223"/>
        </w:numPr>
        <w:tabs>
          <w:tab w:val="clear" w:pos="510"/>
        </w:tabs>
        <w:spacing w:before="120" w:line="240" w:lineRule="auto"/>
        <w:ind w:left="567" w:hanging="567"/>
        <w:jc w:val="both"/>
      </w:pPr>
      <w:r w:rsidRPr="00BC31E0">
        <w:rPr>
          <w:rFonts w:hint="eastAsia"/>
        </w:rPr>
        <w:t>外圧チャートに基づく接線係数</w:t>
      </w:r>
    </w:p>
    <w:p w14:paraId="7606DE15" w14:textId="77777777" w:rsidR="00B44535" w:rsidRPr="00BC31E0" w:rsidRDefault="00B44535" w:rsidP="001C27B0">
      <w:pPr>
        <w:pStyle w:val="113"/>
        <w:ind w:firstLine="210"/>
      </w:pPr>
      <w:r w:rsidRPr="00BC31E0">
        <w:rPr>
          <w:rFonts w:hint="eastAsia"/>
        </w:rPr>
        <w:t>接線係数を求める別な方法として，</w:t>
      </w:r>
      <w:r w:rsidRPr="00BC31E0">
        <w:rPr>
          <w:rFonts w:ascii="ＭＳ ゴシック" w:eastAsia="ＭＳ ゴシック" w:hAnsi="ＭＳ ゴシック"/>
          <w:b/>
        </w:rPr>
        <w:t>JIS B 8265</w:t>
      </w:r>
      <w:r w:rsidRPr="00BC31E0">
        <w:rPr>
          <w:rFonts w:asciiTheme="minorEastAsia" w:eastAsiaTheme="minorEastAsia" w:hAnsiTheme="minorEastAsia" w:hint="eastAsia"/>
        </w:rPr>
        <w:t>，</w:t>
      </w:r>
      <w:r w:rsidRPr="00BC31E0">
        <w:rPr>
          <w:rFonts w:ascii="ＭＳ ゴシック" w:eastAsia="ＭＳ ゴシック" w:hAnsi="ＭＳ ゴシック" w:hint="eastAsia"/>
          <w:b/>
        </w:rPr>
        <w:t>附属書</w:t>
      </w:r>
      <w:r w:rsidRPr="00BC31E0">
        <w:rPr>
          <w:rFonts w:ascii="ＭＳ ゴシック" w:eastAsia="ＭＳ ゴシック" w:hAnsi="ＭＳ ゴシック"/>
          <w:b/>
        </w:rPr>
        <w:t>1</w:t>
      </w:r>
      <w:r w:rsidRPr="00BC31E0">
        <w:rPr>
          <w:rFonts w:asciiTheme="minorEastAsia" w:eastAsiaTheme="minorEastAsia" w:hAnsiTheme="minorEastAsia" w:hint="eastAsia"/>
        </w:rPr>
        <w:t>及び</w:t>
      </w:r>
      <w:r w:rsidRPr="00BC31E0">
        <w:rPr>
          <w:rFonts w:asciiTheme="majorEastAsia" w:eastAsiaTheme="majorEastAsia" w:hAnsiTheme="majorEastAsia" w:hint="eastAsia"/>
          <w:b/>
        </w:rPr>
        <w:t>ASME Sec. II</w:t>
      </w:r>
      <w:r w:rsidR="0025237D" w:rsidRPr="00BC31E0">
        <w:rPr>
          <w:rFonts w:asciiTheme="minorEastAsia" w:eastAsiaTheme="minorEastAsia" w:hAnsiTheme="minorEastAsia" w:hint="eastAsia"/>
        </w:rPr>
        <w:t>，</w:t>
      </w:r>
      <w:r w:rsidRPr="00BC31E0">
        <w:rPr>
          <w:rFonts w:asciiTheme="majorEastAsia" w:eastAsiaTheme="majorEastAsia" w:hAnsiTheme="majorEastAsia" w:hint="eastAsia"/>
          <w:b/>
        </w:rPr>
        <w:t>Part D</w:t>
      </w:r>
      <w:r w:rsidR="0025237D" w:rsidRPr="00BC31E0">
        <w:rPr>
          <w:rFonts w:asciiTheme="minorEastAsia" w:eastAsiaTheme="minorEastAsia" w:hAnsiTheme="minorEastAsia" w:hint="eastAsia"/>
        </w:rPr>
        <w:t>，</w:t>
      </w:r>
      <w:r w:rsidRPr="00BC31E0">
        <w:rPr>
          <w:rFonts w:asciiTheme="majorEastAsia" w:eastAsiaTheme="majorEastAsia" w:hAnsiTheme="majorEastAsia" w:hint="eastAsia"/>
          <w:b/>
        </w:rPr>
        <w:t>Subpart 3</w:t>
      </w:r>
      <w:r w:rsidRPr="00BC31E0">
        <w:rPr>
          <w:rFonts w:hint="eastAsia"/>
        </w:rPr>
        <w:t>の外圧チャート</w:t>
      </w:r>
      <w:r w:rsidRPr="00BC31E0">
        <w:rPr>
          <w:rFonts w:hint="eastAsia"/>
        </w:rPr>
        <w:t>(</w:t>
      </w:r>
      <w:r w:rsidRPr="00BC31E0">
        <w:rPr>
          <w:rFonts w:hint="eastAsia"/>
        </w:rPr>
        <w:t>外圧を受ける円筒胴及び球形胴の計算に用いる材料曲線</w:t>
      </w:r>
      <w:r w:rsidRPr="00BC31E0">
        <w:rPr>
          <w:rFonts w:hint="eastAsia"/>
        </w:rPr>
        <w:t>)</w:t>
      </w:r>
      <w:r w:rsidRPr="00BC31E0">
        <w:rPr>
          <w:rFonts w:hint="eastAsia"/>
        </w:rPr>
        <w:t>を用い</w:t>
      </w:r>
      <w:r w:rsidR="000B2027" w:rsidRPr="00BC31E0">
        <w:rPr>
          <w:rFonts w:hint="eastAsia"/>
        </w:rPr>
        <w:t>てもよい</w:t>
      </w:r>
      <w:r w:rsidRPr="00BC31E0">
        <w:rPr>
          <w:rFonts w:hint="eastAsia"/>
        </w:rPr>
        <w:t>。外圧チャートは材料ごとに規定されており，接線係数</w:t>
      </w:r>
      <m:oMath>
        <m:sSub>
          <m:sSubPr>
            <m:ctrlPr>
              <w:rPr>
                <w:rFonts w:ascii="Cambria Math" w:hAnsi="Cambria Math"/>
              </w:rPr>
            </m:ctrlPr>
          </m:sSubPr>
          <m:e>
            <m:r>
              <w:rPr>
                <w:rFonts w:ascii="Cambria Math" w:hAnsi="Cambria Math"/>
              </w:rPr>
              <m:t xml:space="preserve"> E</m:t>
            </m:r>
          </m:e>
          <m:sub>
            <m:r>
              <w:rPr>
                <w:rFonts w:ascii="Cambria Math" w:hAnsi="Cambria Math"/>
              </w:rPr>
              <m:t xml:space="preserve">t  </m:t>
            </m:r>
          </m:sub>
        </m:sSub>
      </m:oMath>
      <w:r w:rsidRPr="00BC31E0">
        <w:rPr>
          <w:rFonts w:hint="eastAsia"/>
        </w:rPr>
        <w:t>は</w:t>
      </w:r>
      <m:oMath>
        <m:r>
          <w:rPr>
            <w:rFonts w:ascii="Cambria Math" w:hAnsi="Cambria Math"/>
          </w:rPr>
          <m:t xml:space="preserve"> </m:t>
        </m:r>
        <m:f>
          <m:fPr>
            <m:type m:val="lin"/>
            <m:ctrlPr>
              <w:rPr>
                <w:rFonts w:ascii="Cambria Math" w:hAnsi="Cambria Math"/>
              </w:rPr>
            </m:ctrlPr>
          </m:fPr>
          <m:num>
            <m:r>
              <w:rPr>
                <w:rFonts w:ascii="Cambria Math" w:hAnsi="Cambria Math"/>
              </w:rPr>
              <m:t>2B</m:t>
            </m:r>
          </m:num>
          <m:den>
            <m:r>
              <w:rPr>
                <w:rFonts w:ascii="Cambria Math" w:hAnsi="Cambria Math"/>
              </w:rPr>
              <m:t>A</m:t>
            </m:r>
          </m:den>
        </m:f>
        <m:r>
          <m:rPr>
            <m:sty m:val="p"/>
          </m:rPr>
          <w:rPr>
            <w:rFonts w:ascii="Cambria Math" w:hAnsi="Cambria Math"/>
          </w:rPr>
          <m:t xml:space="preserve"> </m:t>
        </m:r>
      </m:oMath>
      <w:r w:rsidRPr="00BC31E0">
        <w:rPr>
          <w:rFonts w:hint="eastAsia"/>
        </w:rPr>
        <w:t>で与えられる。ここで，</w:t>
      </w:r>
      <m:oMath>
        <m:r>
          <w:rPr>
            <w:rFonts w:ascii="Cambria Math" w:hAnsi="Cambria Math"/>
          </w:rPr>
          <m:t>A</m:t>
        </m:r>
        <m:r>
          <m:rPr>
            <m:sty m:val="p"/>
          </m:rPr>
          <w:rPr>
            <w:rFonts w:ascii="Cambria Math" w:hAnsi="Cambria Math"/>
          </w:rPr>
          <m:t xml:space="preserve"> </m:t>
        </m:r>
      </m:oMath>
      <w:r w:rsidRPr="00BC31E0">
        <w:rPr>
          <w:rFonts w:hint="eastAsia"/>
        </w:rPr>
        <w:t>は外圧チャートの横軸のひずみ，</w:t>
      </w:r>
      <m:oMath>
        <m:r>
          <w:rPr>
            <w:rFonts w:ascii="Cambria Math" w:hAnsi="Cambria Math"/>
          </w:rPr>
          <m:t xml:space="preserve">B </m:t>
        </m:r>
      </m:oMath>
      <w:r w:rsidRPr="00BC31E0">
        <w:rPr>
          <w:rFonts w:hint="eastAsia"/>
        </w:rPr>
        <w:t>は縦軸の応力値である。</w:t>
      </w:r>
    </w:p>
    <w:p w14:paraId="0082BE0C" w14:textId="77777777" w:rsidR="00B44535" w:rsidRPr="00BC31E0" w:rsidRDefault="00B44535" w:rsidP="00B44535">
      <w:pPr>
        <w:rPr>
          <w:rFonts w:hAnsi="ＭＳ 明朝"/>
        </w:rPr>
      </w:pPr>
    </w:p>
    <w:p w14:paraId="32C193EC" w14:textId="77777777" w:rsidR="00B44535" w:rsidRPr="00BC31E0" w:rsidRDefault="00B44535" w:rsidP="00B44535">
      <w:pPr>
        <w:pStyle w:val="af4"/>
        <w:spacing w:after="60"/>
      </w:pPr>
      <w:r w:rsidRPr="00BC31E0">
        <w:rPr>
          <w:rFonts w:hint="eastAsia"/>
        </w:rPr>
        <w:t>表</w:t>
      </w:r>
      <w:r w:rsidRPr="00BC31E0">
        <w:t>D.1</w:t>
      </w:r>
      <w:r w:rsidRPr="00BC31E0">
        <w:rPr>
          <w:rFonts w:hint="eastAsia"/>
        </w:rPr>
        <w:t xml:space="preserve">　静的(単調負荷)真応力－真ひずみ曲線の材料特性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4"/>
        <w:gridCol w:w="1559"/>
        <w:gridCol w:w="2251"/>
        <w:gridCol w:w="1682"/>
      </w:tblGrid>
      <w:tr w:rsidR="00B44535" w:rsidRPr="00BC31E0" w14:paraId="62C0729A" w14:textId="77777777" w:rsidTr="004736F2">
        <w:trPr>
          <w:trHeight w:val="454"/>
          <w:jc w:val="center"/>
        </w:trPr>
        <w:tc>
          <w:tcPr>
            <w:tcW w:w="3544" w:type="dxa"/>
            <w:vAlign w:val="center"/>
          </w:tcPr>
          <w:p w14:paraId="47549C1A" w14:textId="77777777" w:rsidR="00B44535" w:rsidRPr="00BC31E0" w:rsidRDefault="00B44535" w:rsidP="004736F2">
            <w:pPr>
              <w:jc w:val="center"/>
              <w:rPr>
                <w:szCs w:val="20"/>
              </w:rPr>
            </w:pPr>
            <w:r w:rsidRPr="00BC31E0">
              <w:rPr>
                <w:rFonts w:hint="eastAsia"/>
                <w:szCs w:val="20"/>
              </w:rPr>
              <w:t>材　料</w:t>
            </w:r>
          </w:p>
        </w:tc>
        <w:tc>
          <w:tcPr>
            <w:tcW w:w="1559" w:type="dxa"/>
            <w:vAlign w:val="center"/>
          </w:tcPr>
          <w:p w14:paraId="13F56ED9" w14:textId="77777777" w:rsidR="00B44535" w:rsidRPr="00BC31E0" w:rsidRDefault="00B44535" w:rsidP="004736F2">
            <w:pPr>
              <w:jc w:val="center"/>
              <w:rPr>
                <w:szCs w:val="20"/>
              </w:rPr>
            </w:pPr>
            <w:r w:rsidRPr="00BC31E0">
              <w:rPr>
                <w:rFonts w:hint="eastAsia"/>
                <w:szCs w:val="20"/>
              </w:rPr>
              <w:t>最高温度</w:t>
            </w:r>
            <w:r w:rsidRPr="00BC31E0">
              <w:rPr>
                <w:rFonts w:hint="eastAsia"/>
                <w:szCs w:val="20"/>
              </w:rPr>
              <w:t>(</w:t>
            </w:r>
            <w:r w:rsidRPr="00BC31E0">
              <w:rPr>
                <w:rFonts w:ascii="Cambria Math" w:eastAsiaTheme="minorEastAsia" w:hAnsi="Cambria Math"/>
                <w:szCs w:val="20"/>
              </w:rPr>
              <w:t>℃</w:t>
            </w:r>
            <w:r w:rsidRPr="00BC31E0">
              <w:rPr>
                <w:rFonts w:hAnsi="ＭＳ 明朝" w:hint="eastAsia"/>
                <w:szCs w:val="20"/>
              </w:rPr>
              <w:t>)</w:t>
            </w:r>
          </w:p>
        </w:tc>
        <w:tc>
          <w:tcPr>
            <w:tcW w:w="2251" w:type="dxa"/>
            <w:vAlign w:val="center"/>
          </w:tcPr>
          <w:p w14:paraId="49AA2B16" w14:textId="77777777" w:rsidR="00B44535" w:rsidRPr="00BC31E0" w:rsidRDefault="00A51873" w:rsidP="004736F2">
            <w:pPr>
              <w:jc w:val="center"/>
              <w:rPr>
                <w:szCs w:val="20"/>
              </w:rPr>
            </w:pPr>
            <m:oMathPara>
              <m:oMath>
                <m:sSub>
                  <m:sSubPr>
                    <m:ctrlPr>
                      <w:rPr>
                        <w:rFonts w:ascii="Cambria Math" w:hAnsi="Cambria Math"/>
                        <w:szCs w:val="20"/>
                      </w:rPr>
                    </m:ctrlPr>
                  </m:sSubPr>
                  <m:e>
                    <m:r>
                      <w:rPr>
                        <w:rFonts w:ascii="Cambria Math" w:hAnsi="Cambria Math"/>
                        <w:szCs w:val="20"/>
                      </w:rPr>
                      <m:t>m</m:t>
                    </m:r>
                  </m:e>
                  <m:sub>
                    <m:r>
                      <w:rPr>
                        <w:rFonts w:ascii="Cambria Math" w:hAnsi="Cambria Math"/>
                        <w:szCs w:val="20"/>
                      </w:rPr>
                      <m:t>2</m:t>
                    </m:r>
                  </m:sub>
                </m:sSub>
              </m:oMath>
            </m:oMathPara>
          </w:p>
        </w:tc>
        <w:tc>
          <w:tcPr>
            <w:tcW w:w="1682" w:type="dxa"/>
            <w:vAlign w:val="center"/>
          </w:tcPr>
          <w:p w14:paraId="2043C3EF" w14:textId="77777777" w:rsidR="00B44535" w:rsidRPr="00BC31E0" w:rsidRDefault="00A51873" w:rsidP="004736F2">
            <w:pPr>
              <w:jc w:val="center"/>
              <w:rPr>
                <w:szCs w:val="20"/>
              </w:rPr>
            </w:pPr>
            <m:oMathPara>
              <m:oMath>
                <m:sSub>
                  <m:sSubPr>
                    <m:ctrlPr>
                      <w:rPr>
                        <w:rFonts w:ascii="Cambria Math" w:hAnsi="Cambria Math"/>
                        <w:szCs w:val="20"/>
                      </w:rPr>
                    </m:ctrlPr>
                  </m:sSubPr>
                  <m:e>
                    <m:r>
                      <w:rPr>
                        <w:rFonts w:ascii="Cambria Math" w:hAnsi="Cambria Math"/>
                        <w:szCs w:val="20"/>
                      </w:rPr>
                      <m:t>ε</m:t>
                    </m:r>
                  </m:e>
                  <m:sub>
                    <m:r>
                      <w:rPr>
                        <w:rFonts w:ascii="Cambria Math" w:hAnsi="Cambria Math"/>
                        <w:szCs w:val="20"/>
                      </w:rPr>
                      <m:t>p</m:t>
                    </m:r>
                  </m:sub>
                </m:sSub>
              </m:oMath>
            </m:oMathPara>
          </w:p>
        </w:tc>
      </w:tr>
      <w:tr w:rsidR="00B44535" w:rsidRPr="00BC31E0" w14:paraId="1C112F11" w14:textId="77777777" w:rsidTr="004736F2">
        <w:trPr>
          <w:trHeight w:val="567"/>
          <w:jc w:val="center"/>
        </w:trPr>
        <w:tc>
          <w:tcPr>
            <w:tcW w:w="3544" w:type="dxa"/>
            <w:vAlign w:val="center"/>
          </w:tcPr>
          <w:p w14:paraId="0BF9626D" w14:textId="77777777" w:rsidR="00B44535" w:rsidRPr="00BC31E0" w:rsidRDefault="00B44535" w:rsidP="004736F2">
            <w:pPr>
              <w:jc w:val="left"/>
              <w:rPr>
                <w:szCs w:val="20"/>
              </w:rPr>
            </w:pPr>
            <w:r w:rsidRPr="00BC31E0">
              <w:rPr>
                <w:rFonts w:hint="eastAsia"/>
                <w:szCs w:val="20"/>
              </w:rPr>
              <w:t>フェライト鋼</w:t>
            </w:r>
            <w:r w:rsidRPr="00BC31E0">
              <w:rPr>
                <w:rFonts w:asciiTheme="majorEastAsia" w:eastAsiaTheme="majorEastAsia" w:hAnsiTheme="majorEastAsia" w:hint="eastAsia"/>
                <w:b/>
                <w:szCs w:val="20"/>
                <w:vertAlign w:val="superscript"/>
              </w:rPr>
              <w:t xml:space="preserve"> a)</w:t>
            </w:r>
          </w:p>
        </w:tc>
        <w:tc>
          <w:tcPr>
            <w:tcW w:w="1559" w:type="dxa"/>
            <w:vAlign w:val="center"/>
          </w:tcPr>
          <w:p w14:paraId="7941B953"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480</w:t>
            </w:r>
          </w:p>
        </w:tc>
        <w:tc>
          <w:tcPr>
            <w:tcW w:w="2251" w:type="dxa"/>
            <w:vAlign w:val="center"/>
          </w:tcPr>
          <w:p w14:paraId="696F9B2A" w14:textId="77777777" w:rsidR="00B44535" w:rsidRPr="00BC31E0" w:rsidRDefault="00B44535" w:rsidP="004736F2">
            <w:pPr>
              <w:jc w:val="center"/>
              <w:rPr>
                <w:rFonts w:ascii="Cambria Math" w:hAnsi="Cambria Math"/>
                <w:sz w:val="22"/>
                <w:szCs w:val="22"/>
              </w:rPr>
            </w:pPr>
            <m:oMathPara>
              <m:oMath>
                <m:r>
                  <w:rPr>
                    <w:rFonts w:ascii="Cambria Math" w:hAnsi="Cambria Math"/>
                    <w:sz w:val="22"/>
                    <w:szCs w:val="22"/>
                  </w:rPr>
                  <m:t>0.60 (1.00</m:t>
                </m:r>
                <m:r>
                  <w:rPr>
                    <w:rFonts w:ascii="Cambria Math" w:eastAsiaTheme="minorEastAsia" w:hAnsi="Cambria Math"/>
                    <w:sz w:val="22"/>
                    <w:szCs w:val="22"/>
                  </w:rPr>
                  <m:t>-R</m:t>
                </m:r>
                <m:r>
                  <w:rPr>
                    <w:rFonts w:ascii="Cambria Math" w:hAnsi="Cambria Math"/>
                    <w:sz w:val="22"/>
                    <w:szCs w:val="22"/>
                  </w:rPr>
                  <m:t>)</m:t>
                </m:r>
              </m:oMath>
            </m:oMathPara>
          </w:p>
        </w:tc>
        <w:tc>
          <w:tcPr>
            <w:tcW w:w="1682" w:type="dxa"/>
            <w:vAlign w:val="center"/>
          </w:tcPr>
          <w:p w14:paraId="79A07764" w14:textId="77777777" w:rsidR="00B44535" w:rsidRPr="00BC31E0" w:rsidRDefault="00B44535" w:rsidP="004736F2">
            <w:pPr>
              <w:jc w:val="center"/>
              <w:rPr>
                <w:rFonts w:ascii="Cambria Math" w:hAnsi="Cambria Math"/>
                <w:sz w:val="22"/>
                <w:szCs w:val="22"/>
              </w:rPr>
            </w:pPr>
            <m:oMathPara>
              <m:oMath>
                <m:r>
                  <m:rPr>
                    <m:sty m:val="p"/>
                  </m:rPr>
                  <w:rPr>
                    <w:rFonts w:ascii="Cambria Math" w:hAnsi="Cambria Math"/>
                    <w:sz w:val="22"/>
                    <w:szCs w:val="22"/>
                  </w:rPr>
                  <m:t>2.0E</m:t>
                </m:r>
                <m:r>
                  <m:rPr>
                    <m:sty m:val="p"/>
                  </m:rPr>
                  <w:rPr>
                    <w:rFonts w:ascii="Cambria Math" w:eastAsiaTheme="minorEastAsia" w:hAnsi="Cambria Math"/>
                    <w:sz w:val="22"/>
                    <w:szCs w:val="22"/>
                  </w:rPr>
                  <m:t>-</m:t>
                </m:r>
                <m:r>
                  <m:rPr>
                    <m:sty m:val="p"/>
                  </m:rPr>
                  <w:rPr>
                    <w:rFonts w:ascii="Cambria Math" w:hAnsi="Cambria Math"/>
                    <w:sz w:val="22"/>
                    <w:szCs w:val="22"/>
                  </w:rPr>
                  <m:t>5</m:t>
                </m:r>
              </m:oMath>
            </m:oMathPara>
          </w:p>
        </w:tc>
      </w:tr>
      <w:tr w:rsidR="00B44535" w:rsidRPr="00BC31E0" w14:paraId="4B3212C7" w14:textId="77777777" w:rsidTr="004736F2">
        <w:trPr>
          <w:jc w:val="center"/>
        </w:trPr>
        <w:tc>
          <w:tcPr>
            <w:tcW w:w="3544" w:type="dxa"/>
            <w:vAlign w:val="center"/>
          </w:tcPr>
          <w:p w14:paraId="5A475CD7" w14:textId="77777777" w:rsidR="00B44535" w:rsidRPr="00BC31E0" w:rsidRDefault="00B44535" w:rsidP="004736F2">
            <w:pPr>
              <w:jc w:val="left"/>
              <w:rPr>
                <w:szCs w:val="20"/>
              </w:rPr>
            </w:pPr>
            <w:r w:rsidRPr="00BC31E0">
              <w:rPr>
                <w:rFonts w:hint="eastAsia"/>
                <w:szCs w:val="20"/>
              </w:rPr>
              <w:t>オーステナイト系ステンレス鋼，</w:t>
            </w:r>
          </w:p>
          <w:p w14:paraId="7EC190BF" w14:textId="77777777" w:rsidR="00B44535" w:rsidRPr="00BC31E0" w:rsidRDefault="00B44535" w:rsidP="004736F2">
            <w:pPr>
              <w:jc w:val="left"/>
              <w:rPr>
                <w:szCs w:val="20"/>
              </w:rPr>
            </w:pPr>
            <w:r w:rsidRPr="00BC31E0">
              <w:rPr>
                <w:rFonts w:hint="eastAsia"/>
                <w:szCs w:val="20"/>
              </w:rPr>
              <w:t>ニッケル合金鋼</w:t>
            </w:r>
          </w:p>
        </w:tc>
        <w:tc>
          <w:tcPr>
            <w:tcW w:w="1559" w:type="dxa"/>
            <w:vAlign w:val="center"/>
          </w:tcPr>
          <w:p w14:paraId="62DAFE20"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480</w:t>
            </w:r>
          </w:p>
        </w:tc>
        <w:tc>
          <w:tcPr>
            <w:tcW w:w="2251" w:type="dxa"/>
            <w:vAlign w:val="center"/>
          </w:tcPr>
          <w:p w14:paraId="0653EC84" w14:textId="77777777" w:rsidR="00B44535" w:rsidRPr="00BC31E0" w:rsidRDefault="00B44535" w:rsidP="004736F2">
            <w:pPr>
              <w:jc w:val="center"/>
              <w:rPr>
                <w:rFonts w:ascii="Cambria Math" w:hAnsi="Cambria Math"/>
                <w:sz w:val="22"/>
                <w:szCs w:val="22"/>
              </w:rPr>
            </w:pPr>
            <m:oMathPara>
              <m:oMath>
                <m:r>
                  <w:rPr>
                    <w:rFonts w:ascii="Cambria Math" w:hAnsi="Cambria Math"/>
                    <w:sz w:val="22"/>
                    <w:szCs w:val="22"/>
                  </w:rPr>
                  <m:t>0.75 (1.00</m:t>
                </m:r>
                <m:r>
                  <w:rPr>
                    <w:rFonts w:ascii="Cambria Math" w:eastAsiaTheme="minorEastAsia" w:hAnsi="Cambria Math"/>
                    <w:sz w:val="22"/>
                    <w:szCs w:val="22"/>
                  </w:rPr>
                  <m:t>-R</m:t>
                </m:r>
                <m:r>
                  <w:rPr>
                    <w:rFonts w:ascii="Cambria Math" w:hAnsi="Cambria Math"/>
                    <w:sz w:val="22"/>
                    <w:szCs w:val="22"/>
                  </w:rPr>
                  <m:t>)</m:t>
                </m:r>
              </m:oMath>
            </m:oMathPara>
          </w:p>
        </w:tc>
        <w:tc>
          <w:tcPr>
            <w:tcW w:w="1682" w:type="dxa"/>
            <w:vAlign w:val="center"/>
          </w:tcPr>
          <w:p w14:paraId="5CA54417" w14:textId="77777777" w:rsidR="00B44535" w:rsidRPr="00BC31E0" w:rsidRDefault="00B44535" w:rsidP="004736F2">
            <w:pPr>
              <w:jc w:val="center"/>
              <w:rPr>
                <w:rFonts w:ascii="Cambria Math" w:hAnsi="Cambria Math"/>
                <w:sz w:val="22"/>
                <w:szCs w:val="22"/>
              </w:rPr>
            </w:pPr>
            <m:oMathPara>
              <m:oMath>
                <m:r>
                  <m:rPr>
                    <m:sty m:val="p"/>
                  </m:rPr>
                  <w:rPr>
                    <w:rFonts w:ascii="Cambria Math" w:hAnsi="Cambria Math"/>
                    <w:sz w:val="22"/>
                    <w:szCs w:val="22"/>
                  </w:rPr>
                  <m:t>2.0E</m:t>
                </m:r>
                <m:r>
                  <m:rPr>
                    <m:sty m:val="p"/>
                  </m:rPr>
                  <w:rPr>
                    <w:rFonts w:ascii="Cambria Math" w:eastAsiaTheme="minorEastAsia" w:hAnsi="Cambria Math"/>
                    <w:sz w:val="22"/>
                    <w:szCs w:val="22"/>
                  </w:rPr>
                  <m:t>-</m:t>
                </m:r>
                <m:r>
                  <m:rPr>
                    <m:sty m:val="p"/>
                  </m:rPr>
                  <w:rPr>
                    <w:rFonts w:ascii="Cambria Math" w:hAnsi="Cambria Math"/>
                    <w:sz w:val="22"/>
                    <w:szCs w:val="22"/>
                  </w:rPr>
                  <m:t>5</m:t>
                </m:r>
              </m:oMath>
            </m:oMathPara>
          </w:p>
        </w:tc>
      </w:tr>
      <w:tr w:rsidR="00B44535" w:rsidRPr="00BC31E0" w14:paraId="29D7AC18" w14:textId="77777777" w:rsidTr="004736F2">
        <w:trPr>
          <w:trHeight w:val="567"/>
          <w:jc w:val="center"/>
        </w:trPr>
        <w:tc>
          <w:tcPr>
            <w:tcW w:w="3544" w:type="dxa"/>
            <w:vAlign w:val="center"/>
          </w:tcPr>
          <w:p w14:paraId="5B072FC3" w14:textId="77777777" w:rsidR="00B44535" w:rsidRPr="00BC31E0" w:rsidRDefault="00B44535" w:rsidP="004736F2">
            <w:pPr>
              <w:jc w:val="left"/>
              <w:rPr>
                <w:szCs w:val="20"/>
              </w:rPr>
            </w:pPr>
            <w:r w:rsidRPr="00BC31E0">
              <w:rPr>
                <w:rFonts w:hint="eastAsia"/>
                <w:szCs w:val="20"/>
              </w:rPr>
              <w:t>二相ステンレス鋼</w:t>
            </w:r>
          </w:p>
        </w:tc>
        <w:tc>
          <w:tcPr>
            <w:tcW w:w="1559" w:type="dxa"/>
            <w:vAlign w:val="center"/>
          </w:tcPr>
          <w:p w14:paraId="3DC03304"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480</w:t>
            </w:r>
          </w:p>
        </w:tc>
        <w:tc>
          <w:tcPr>
            <w:tcW w:w="2251" w:type="dxa"/>
            <w:vAlign w:val="center"/>
          </w:tcPr>
          <w:p w14:paraId="1171FEDE" w14:textId="77777777" w:rsidR="00B44535" w:rsidRPr="00BC31E0" w:rsidRDefault="00B44535" w:rsidP="004736F2">
            <w:pPr>
              <w:jc w:val="center"/>
              <w:rPr>
                <w:rFonts w:ascii="Cambria Math" w:hAnsi="Cambria Math"/>
                <w:sz w:val="22"/>
                <w:szCs w:val="22"/>
              </w:rPr>
            </w:pPr>
            <m:oMathPara>
              <m:oMath>
                <m:r>
                  <w:rPr>
                    <w:rFonts w:ascii="Cambria Math" w:hAnsi="Cambria Math"/>
                    <w:sz w:val="22"/>
                    <w:szCs w:val="22"/>
                  </w:rPr>
                  <m:t>0.70 (0.95</m:t>
                </m:r>
                <m:r>
                  <w:rPr>
                    <w:rFonts w:ascii="Cambria Math" w:eastAsiaTheme="minorEastAsia" w:hAnsi="Cambria Math"/>
                    <w:sz w:val="22"/>
                    <w:szCs w:val="22"/>
                  </w:rPr>
                  <m:t>-R</m:t>
                </m:r>
                <m:r>
                  <w:rPr>
                    <w:rFonts w:ascii="Cambria Math" w:hAnsi="Cambria Math"/>
                    <w:sz w:val="22"/>
                    <w:szCs w:val="22"/>
                  </w:rPr>
                  <m:t>)</m:t>
                </m:r>
              </m:oMath>
            </m:oMathPara>
          </w:p>
        </w:tc>
        <w:tc>
          <w:tcPr>
            <w:tcW w:w="1682" w:type="dxa"/>
            <w:vAlign w:val="center"/>
          </w:tcPr>
          <w:p w14:paraId="5D4B3907" w14:textId="77777777" w:rsidR="00B44535" w:rsidRPr="00BC31E0" w:rsidRDefault="00B44535" w:rsidP="004736F2">
            <w:pPr>
              <w:jc w:val="center"/>
              <w:rPr>
                <w:rFonts w:ascii="Cambria Math" w:hAnsi="Cambria Math"/>
                <w:sz w:val="22"/>
                <w:szCs w:val="22"/>
              </w:rPr>
            </w:pPr>
            <m:oMathPara>
              <m:oMath>
                <m:r>
                  <m:rPr>
                    <m:sty m:val="p"/>
                  </m:rPr>
                  <w:rPr>
                    <w:rFonts w:ascii="Cambria Math" w:hAnsi="Cambria Math"/>
                    <w:sz w:val="22"/>
                    <w:szCs w:val="22"/>
                  </w:rPr>
                  <m:t>2.0E</m:t>
                </m:r>
                <m:r>
                  <m:rPr>
                    <m:sty m:val="p"/>
                  </m:rPr>
                  <w:rPr>
                    <w:rFonts w:ascii="Cambria Math" w:eastAsiaTheme="minorEastAsia" w:hAnsi="Cambria Math"/>
                    <w:sz w:val="22"/>
                    <w:szCs w:val="22"/>
                  </w:rPr>
                  <m:t>-</m:t>
                </m:r>
                <m:r>
                  <m:rPr>
                    <m:sty m:val="p"/>
                  </m:rPr>
                  <w:rPr>
                    <w:rFonts w:ascii="Cambria Math" w:hAnsi="Cambria Math"/>
                    <w:sz w:val="22"/>
                    <w:szCs w:val="22"/>
                  </w:rPr>
                  <m:t>5</m:t>
                </m:r>
              </m:oMath>
            </m:oMathPara>
          </w:p>
        </w:tc>
      </w:tr>
      <w:tr w:rsidR="00B44535" w:rsidRPr="00BC31E0" w14:paraId="7FC30EDD" w14:textId="77777777" w:rsidTr="004736F2">
        <w:trPr>
          <w:trHeight w:val="567"/>
          <w:jc w:val="center"/>
        </w:trPr>
        <w:tc>
          <w:tcPr>
            <w:tcW w:w="3544" w:type="dxa"/>
            <w:vAlign w:val="center"/>
          </w:tcPr>
          <w:p w14:paraId="51F1D36F" w14:textId="77777777" w:rsidR="0044666F" w:rsidRPr="00BC31E0" w:rsidRDefault="00B44535" w:rsidP="0044666F">
            <w:pPr>
              <w:jc w:val="left"/>
              <w:rPr>
                <w:szCs w:val="20"/>
              </w:rPr>
            </w:pPr>
            <w:r w:rsidRPr="00BC31E0">
              <w:rPr>
                <w:rFonts w:hint="eastAsia"/>
                <w:szCs w:val="20"/>
              </w:rPr>
              <w:t>析出硬化</w:t>
            </w:r>
            <w:r w:rsidR="0044666F" w:rsidRPr="00BC31E0">
              <w:rPr>
                <w:rFonts w:hint="eastAsia"/>
                <w:szCs w:val="20"/>
              </w:rPr>
              <w:t>型ニッケル基合金</w:t>
            </w:r>
          </w:p>
        </w:tc>
        <w:tc>
          <w:tcPr>
            <w:tcW w:w="1559" w:type="dxa"/>
            <w:vAlign w:val="center"/>
          </w:tcPr>
          <w:p w14:paraId="45492470"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540</w:t>
            </w:r>
          </w:p>
        </w:tc>
        <w:tc>
          <w:tcPr>
            <w:tcW w:w="2251" w:type="dxa"/>
            <w:vAlign w:val="center"/>
          </w:tcPr>
          <w:p w14:paraId="2207B1BC" w14:textId="77777777" w:rsidR="00B44535" w:rsidRPr="00BC31E0" w:rsidRDefault="00B44535" w:rsidP="004736F2">
            <w:pPr>
              <w:jc w:val="center"/>
              <w:rPr>
                <w:rFonts w:ascii="Cambria Math" w:hAnsi="Cambria Math"/>
                <w:sz w:val="22"/>
                <w:szCs w:val="22"/>
              </w:rPr>
            </w:pPr>
            <m:oMathPara>
              <m:oMath>
                <m:r>
                  <w:rPr>
                    <w:rFonts w:ascii="Cambria Math" w:hAnsi="Cambria Math"/>
                    <w:sz w:val="22"/>
                    <w:szCs w:val="22"/>
                  </w:rPr>
                  <m:t>1.</m:t>
                </m:r>
                <m:r>
                  <w:rPr>
                    <w:rFonts w:ascii="Cambria Math" w:hAnsi="Cambria Math" w:hint="eastAsia"/>
                    <w:sz w:val="22"/>
                    <w:szCs w:val="22"/>
                  </w:rPr>
                  <m:t>0</m:t>
                </m:r>
                <m:r>
                  <w:rPr>
                    <w:rFonts w:ascii="Cambria Math" w:hAnsi="Cambria Math"/>
                    <w:sz w:val="22"/>
                    <w:szCs w:val="22"/>
                  </w:rPr>
                  <m:t>9 (0.93</m:t>
                </m:r>
                <m:r>
                  <w:rPr>
                    <w:rFonts w:ascii="Cambria Math" w:eastAsiaTheme="minorEastAsia" w:hAnsi="Cambria Math"/>
                    <w:sz w:val="22"/>
                    <w:szCs w:val="22"/>
                  </w:rPr>
                  <m:t>-R</m:t>
                </m:r>
                <m:r>
                  <w:rPr>
                    <w:rFonts w:ascii="Cambria Math" w:hAnsi="Cambria Math"/>
                    <w:sz w:val="22"/>
                    <w:szCs w:val="22"/>
                  </w:rPr>
                  <m:t>)</m:t>
                </m:r>
              </m:oMath>
            </m:oMathPara>
          </w:p>
        </w:tc>
        <w:tc>
          <w:tcPr>
            <w:tcW w:w="1682" w:type="dxa"/>
            <w:vAlign w:val="center"/>
          </w:tcPr>
          <w:p w14:paraId="1C3A32FF" w14:textId="77777777" w:rsidR="00B44535" w:rsidRPr="00BC31E0" w:rsidRDefault="00B44535" w:rsidP="004736F2">
            <w:pPr>
              <w:jc w:val="center"/>
              <w:rPr>
                <w:rFonts w:ascii="Cambria Math" w:hAnsi="Cambria Math"/>
                <w:sz w:val="22"/>
                <w:szCs w:val="22"/>
              </w:rPr>
            </w:pPr>
            <m:oMathPara>
              <m:oMath>
                <m:r>
                  <m:rPr>
                    <m:sty m:val="p"/>
                  </m:rPr>
                  <w:rPr>
                    <w:rFonts w:ascii="Cambria Math" w:hAnsi="Cambria Math"/>
                    <w:sz w:val="22"/>
                    <w:szCs w:val="22"/>
                  </w:rPr>
                  <m:t>2.0E</m:t>
                </m:r>
                <m:r>
                  <m:rPr>
                    <m:sty m:val="p"/>
                  </m:rPr>
                  <w:rPr>
                    <w:rFonts w:ascii="Cambria Math" w:eastAsiaTheme="minorEastAsia" w:hAnsi="Cambria Math"/>
                    <w:sz w:val="22"/>
                    <w:szCs w:val="22"/>
                  </w:rPr>
                  <m:t>-</m:t>
                </m:r>
                <m:r>
                  <m:rPr>
                    <m:sty m:val="p"/>
                  </m:rPr>
                  <w:rPr>
                    <w:rFonts w:ascii="Cambria Math" w:hAnsi="Cambria Math"/>
                    <w:sz w:val="22"/>
                    <w:szCs w:val="22"/>
                  </w:rPr>
                  <m:t>5</m:t>
                </m:r>
              </m:oMath>
            </m:oMathPara>
          </w:p>
        </w:tc>
      </w:tr>
      <w:tr w:rsidR="00B44535" w:rsidRPr="00BC31E0" w14:paraId="12C0FE4C" w14:textId="77777777" w:rsidTr="004736F2">
        <w:trPr>
          <w:trHeight w:val="567"/>
          <w:jc w:val="center"/>
        </w:trPr>
        <w:tc>
          <w:tcPr>
            <w:tcW w:w="3544" w:type="dxa"/>
            <w:vAlign w:val="center"/>
          </w:tcPr>
          <w:p w14:paraId="791E3742" w14:textId="77777777" w:rsidR="00B44535" w:rsidRPr="00BC31E0" w:rsidRDefault="00B44535" w:rsidP="004736F2">
            <w:pPr>
              <w:jc w:val="left"/>
              <w:rPr>
                <w:szCs w:val="20"/>
              </w:rPr>
            </w:pPr>
            <w:r w:rsidRPr="00BC31E0">
              <w:rPr>
                <w:rFonts w:hint="eastAsia"/>
                <w:szCs w:val="20"/>
              </w:rPr>
              <w:t>アルミニウム合金</w:t>
            </w:r>
          </w:p>
        </w:tc>
        <w:tc>
          <w:tcPr>
            <w:tcW w:w="1559" w:type="dxa"/>
            <w:vAlign w:val="center"/>
          </w:tcPr>
          <w:p w14:paraId="173ACC4D"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120</w:t>
            </w:r>
          </w:p>
        </w:tc>
        <w:tc>
          <w:tcPr>
            <w:tcW w:w="2251" w:type="dxa"/>
            <w:vAlign w:val="center"/>
          </w:tcPr>
          <w:p w14:paraId="45BC5A0C" w14:textId="77777777" w:rsidR="00B44535" w:rsidRPr="00BC31E0" w:rsidRDefault="00B44535" w:rsidP="004736F2">
            <w:pPr>
              <w:jc w:val="center"/>
              <w:rPr>
                <w:rFonts w:ascii="Cambria Math" w:hAnsi="Cambria Math"/>
                <w:sz w:val="22"/>
                <w:szCs w:val="22"/>
              </w:rPr>
            </w:pPr>
            <m:oMathPara>
              <m:oMath>
                <m:r>
                  <w:rPr>
                    <w:rFonts w:ascii="Cambria Math" w:hAnsi="Cambria Math"/>
                    <w:sz w:val="22"/>
                    <w:szCs w:val="22"/>
                  </w:rPr>
                  <m:t>0.52 (0.98</m:t>
                </m:r>
                <m:r>
                  <w:rPr>
                    <w:rFonts w:ascii="Cambria Math" w:eastAsiaTheme="minorEastAsia" w:hAnsi="Cambria Math"/>
                    <w:sz w:val="22"/>
                    <w:szCs w:val="22"/>
                  </w:rPr>
                  <m:t>-R</m:t>
                </m:r>
                <m:r>
                  <w:rPr>
                    <w:rFonts w:ascii="Cambria Math" w:hAnsi="Cambria Math"/>
                    <w:sz w:val="22"/>
                    <w:szCs w:val="22"/>
                  </w:rPr>
                  <m:t>)</m:t>
                </m:r>
              </m:oMath>
            </m:oMathPara>
          </w:p>
        </w:tc>
        <w:tc>
          <w:tcPr>
            <w:tcW w:w="1682" w:type="dxa"/>
            <w:vAlign w:val="center"/>
          </w:tcPr>
          <w:p w14:paraId="65D7616A" w14:textId="77777777" w:rsidR="00B44535" w:rsidRPr="00BC31E0" w:rsidRDefault="00B44535" w:rsidP="004736F2">
            <w:pPr>
              <w:jc w:val="center"/>
              <w:rPr>
                <w:rFonts w:ascii="Cambria Math" w:hAnsi="Cambria Math"/>
                <w:sz w:val="22"/>
                <w:szCs w:val="22"/>
              </w:rPr>
            </w:pPr>
            <m:oMathPara>
              <m:oMath>
                <m:r>
                  <m:rPr>
                    <m:sty m:val="p"/>
                  </m:rPr>
                  <w:rPr>
                    <w:rFonts w:ascii="Cambria Math" w:hAnsi="Cambria Math"/>
                    <w:sz w:val="22"/>
                    <w:szCs w:val="22"/>
                  </w:rPr>
                  <m:t>5.0E-6</m:t>
                </m:r>
              </m:oMath>
            </m:oMathPara>
          </w:p>
        </w:tc>
      </w:tr>
      <w:tr w:rsidR="00B44535" w:rsidRPr="00BC31E0" w14:paraId="2EFB683A" w14:textId="77777777" w:rsidTr="004736F2">
        <w:trPr>
          <w:trHeight w:val="567"/>
          <w:jc w:val="center"/>
        </w:trPr>
        <w:tc>
          <w:tcPr>
            <w:tcW w:w="3544" w:type="dxa"/>
            <w:vAlign w:val="center"/>
          </w:tcPr>
          <w:p w14:paraId="10E85479" w14:textId="77777777" w:rsidR="00B44535" w:rsidRPr="00BC31E0" w:rsidRDefault="00B44535" w:rsidP="004736F2">
            <w:pPr>
              <w:rPr>
                <w:szCs w:val="20"/>
              </w:rPr>
            </w:pPr>
            <w:r w:rsidRPr="00BC31E0">
              <w:rPr>
                <w:rFonts w:hint="eastAsia"/>
                <w:szCs w:val="20"/>
              </w:rPr>
              <w:t>銅合金</w:t>
            </w:r>
          </w:p>
        </w:tc>
        <w:tc>
          <w:tcPr>
            <w:tcW w:w="1559" w:type="dxa"/>
            <w:vAlign w:val="center"/>
          </w:tcPr>
          <w:p w14:paraId="3BFD5589" w14:textId="77777777" w:rsidR="00B44535" w:rsidRPr="00BC31E0" w:rsidRDefault="00B44535" w:rsidP="004736F2">
            <w:pPr>
              <w:jc w:val="center"/>
              <w:rPr>
                <w:rFonts w:ascii="Cambria Math" w:hAnsi="Cambria Math"/>
                <w:sz w:val="22"/>
                <w:szCs w:val="22"/>
              </w:rPr>
            </w:pPr>
            <w:r w:rsidRPr="00BC31E0">
              <w:rPr>
                <w:rFonts w:ascii="Cambria Math" w:hAnsi="Cambria Math" w:hint="eastAsia"/>
                <w:sz w:val="22"/>
                <w:szCs w:val="22"/>
              </w:rPr>
              <w:t>65</w:t>
            </w:r>
          </w:p>
        </w:tc>
        <w:tc>
          <w:tcPr>
            <w:tcW w:w="2251" w:type="dxa"/>
            <w:vAlign w:val="center"/>
          </w:tcPr>
          <w:p w14:paraId="00C74FBA" w14:textId="77777777" w:rsidR="00B44535" w:rsidRPr="00BC31E0" w:rsidRDefault="00B44535" w:rsidP="004736F2">
            <w:pPr>
              <w:jc w:val="center"/>
              <w:rPr>
                <w:rFonts w:ascii="Cambria Math" w:hAnsi="Cambria Math"/>
                <w:sz w:val="22"/>
                <w:szCs w:val="22"/>
              </w:rPr>
            </w:pPr>
            <m:oMathPara>
              <m:oMath>
                <m:r>
                  <w:rPr>
                    <w:rFonts w:ascii="Cambria Math" w:hAnsi="Cambria Math"/>
                    <w:sz w:val="22"/>
                    <w:szCs w:val="22"/>
                  </w:rPr>
                  <m:t>0.5</m:t>
                </m:r>
                <m:r>
                  <w:rPr>
                    <w:rFonts w:ascii="Cambria Math" w:hAnsi="Cambria Math" w:hint="eastAsia"/>
                    <w:sz w:val="22"/>
                    <w:szCs w:val="22"/>
                  </w:rPr>
                  <m:t>0</m:t>
                </m:r>
                <m:r>
                  <w:rPr>
                    <w:rFonts w:ascii="Cambria Math" w:hAnsi="Cambria Math"/>
                    <w:sz w:val="22"/>
                    <w:szCs w:val="22"/>
                  </w:rPr>
                  <m:t xml:space="preserve"> (</m:t>
                </m:r>
                <m:r>
                  <w:rPr>
                    <w:rFonts w:ascii="Cambria Math" w:hAnsi="Cambria Math" w:hint="eastAsia"/>
                    <w:sz w:val="22"/>
                    <w:szCs w:val="22"/>
                  </w:rPr>
                  <m:t>1.00</m:t>
                </m:r>
                <m:r>
                  <w:rPr>
                    <w:rFonts w:ascii="Cambria Math" w:eastAsiaTheme="minorEastAsia" w:hAnsi="Cambria Math"/>
                    <w:sz w:val="22"/>
                    <w:szCs w:val="22"/>
                  </w:rPr>
                  <m:t>-R</m:t>
                </m:r>
                <m:r>
                  <w:rPr>
                    <w:rFonts w:ascii="Cambria Math" w:hAnsi="Cambria Math"/>
                    <w:sz w:val="22"/>
                    <w:szCs w:val="22"/>
                  </w:rPr>
                  <m:t>)</m:t>
                </m:r>
              </m:oMath>
            </m:oMathPara>
          </w:p>
        </w:tc>
        <w:tc>
          <w:tcPr>
            <w:tcW w:w="1682" w:type="dxa"/>
            <w:vAlign w:val="center"/>
          </w:tcPr>
          <w:p w14:paraId="794A35B5" w14:textId="77777777" w:rsidR="00B44535" w:rsidRPr="00BC31E0" w:rsidRDefault="00B44535" w:rsidP="004736F2">
            <w:pPr>
              <w:jc w:val="center"/>
              <w:rPr>
                <w:rFonts w:ascii="Cambria Math" w:hAnsi="Cambria Math"/>
                <w:sz w:val="22"/>
                <w:szCs w:val="22"/>
              </w:rPr>
            </w:pPr>
            <m:oMathPara>
              <m:oMath>
                <m:r>
                  <m:rPr>
                    <m:sty m:val="p"/>
                  </m:rPr>
                  <w:rPr>
                    <w:rFonts w:ascii="Cambria Math" w:hAnsi="Cambria Math"/>
                    <w:sz w:val="22"/>
                    <w:szCs w:val="22"/>
                  </w:rPr>
                  <m:t>5.0E-6</m:t>
                </m:r>
              </m:oMath>
            </m:oMathPara>
          </w:p>
        </w:tc>
      </w:tr>
      <w:tr w:rsidR="00B44535" w:rsidRPr="00BC31E0" w14:paraId="4CD09EBF" w14:textId="77777777" w:rsidTr="004736F2">
        <w:trPr>
          <w:trHeight w:val="567"/>
          <w:jc w:val="center"/>
        </w:trPr>
        <w:tc>
          <w:tcPr>
            <w:tcW w:w="3544" w:type="dxa"/>
            <w:vAlign w:val="center"/>
          </w:tcPr>
          <w:p w14:paraId="7DDA47AB" w14:textId="77777777" w:rsidR="00B44535" w:rsidRPr="00BC31E0" w:rsidRDefault="00B44535" w:rsidP="004736F2">
            <w:pPr>
              <w:rPr>
                <w:szCs w:val="20"/>
              </w:rPr>
            </w:pPr>
            <w:r w:rsidRPr="00BC31E0">
              <w:rPr>
                <w:rFonts w:hint="eastAsia"/>
                <w:szCs w:val="20"/>
              </w:rPr>
              <w:t>チタン合金</w:t>
            </w:r>
          </w:p>
          <w:p w14:paraId="39FC59B7" w14:textId="77777777" w:rsidR="00B44535" w:rsidRPr="00BC31E0" w:rsidRDefault="00B44535" w:rsidP="004736F2">
            <w:pPr>
              <w:rPr>
                <w:szCs w:val="20"/>
              </w:rPr>
            </w:pPr>
            <w:r w:rsidRPr="00BC31E0">
              <w:rPr>
                <w:rFonts w:hint="eastAsia"/>
                <w:szCs w:val="20"/>
              </w:rPr>
              <w:t>ジルコニウム合金</w:t>
            </w:r>
          </w:p>
        </w:tc>
        <w:tc>
          <w:tcPr>
            <w:tcW w:w="1559" w:type="dxa"/>
            <w:vAlign w:val="center"/>
          </w:tcPr>
          <w:p w14:paraId="210A9F38" w14:textId="77777777" w:rsidR="00B44535" w:rsidRPr="00BC31E0" w:rsidRDefault="00B44535" w:rsidP="004736F2">
            <w:pPr>
              <w:jc w:val="center"/>
              <w:rPr>
                <w:rFonts w:ascii="Cambria Math" w:hAnsi="Cambria Math"/>
                <w:sz w:val="22"/>
                <w:szCs w:val="22"/>
              </w:rPr>
            </w:pPr>
            <w:r w:rsidRPr="00BC31E0">
              <w:rPr>
                <w:rFonts w:ascii="Cambria Math" w:hAnsi="Cambria Math" w:hint="eastAsia"/>
                <w:sz w:val="22"/>
                <w:szCs w:val="22"/>
              </w:rPr>
              <w:t>260</w:t>
            </w:r>
          </w:p>
        </w:tc>
        <w:tc>
          <w:tcPr>
            <w:tcW w:w="2251" w:type="dxa"/>
            <w:vAlign w:val="center"/>
          </w:tcPr>
          <w:p w14:paraId="2F8AE3BD" w14:textId="77777777" w:rsidR="00B44535" w:rsidRPr="00BC31E0" w:rsidRDefault="00B44535" w:rsidP="004736F2">
            <w:pPr>
              <w:jc w:val="center"/>
              <w:rPr>
                <w:rFonts w:ascii="Cambria Math" w:hAnsi="Cambria Math"/>
                <w:sz w:val="22"/>
                <w:szCs w:val="22"/>
              </w:rPr>
            </w:pPr>
            <m:oMathPara>
              <m:oMath>
                <m:r>
                  <w:rPr>
                    <w:rFonts w:ascii="Cambria Math" w:hAnsi="Cambria Math"/>
                    <w:sz w:val="22"/>
                    <w:szCs w:val="22"/>
                  </w:rPr>
                  <m:t>0.5</m:t>
                </m:r>
                <m:r>
                  <w:rPr>
                    <w:rFonts w:ascii="Cambria Math" w:hAnsi="Cambria Math" w:hint="eastAsia"/>
                    <w:sz w:val="22"/>
                    <w:szCs w:val="22"/>
                  </w:rPr>
                  <m:t>0</m:t>
                </m:r>
                <m:r>
                  <w:rPr>
                    <w:rFonts w:ascii="Cambria Math" w:hAnsi="Cambria Math"/>
                    <w:sz w:val="22"/>
                    <w:szCs w:val="22"/>
                  </w:rPr>
                  <m:t xml:space="preserve"> (0.98</m:t>
                </m:r>
                <m:r>
                  <w:rPr>
                    <w:rFonts w:ascii="Cambria Math" w:eastAsiaTheme="minorEastAsia" w:hAnsi="Cambria Math"/>
                    <w:sz w:val="22"/>
                    <w:szCs w:val="22"/>
                  </w:rPr>
                  <m:t>-R</m:t>
                </m:r>
                <m:r>
                  <w:rPr>
                    <w:rFonts w:ascii="Cambria Math" w:hAnsi="Cambria Math"/>
                    <w:sz w:val="22"/>
                    <w:szCs w:val="22"/>
                  </w:rPr>
                  <m:t>)</m:t>
                </m:r>
              </m:oMath>
            </m:oMathPara>
          </w:p>
        </w:tc>
        <w:tc>
          <w:tcPr>
            <w:tcW w:w="1682" w:type="dxa"/>
            <w:vAlign w:val="center"/>
          </w:tcPr>
          <w:p w14:paraId="7E4F8C91" w14:textId="77777777" w:rsidR="00B44535" w:rsidRPr="00BC31E0" w:rsidRDefault="00B44535" w:rsidP="004736F2">
            <w:pPr>
              <w:jc w:val="center"/>
              <w:rPr>
                <w:rFonts w:ascii="Cambria Math" w:hAnsi="Cambria Math"/>
                <w:sz w:val="22"/>
                <w:szCs w:val="22"/>
              </w:rPr>
            </w:pPr>
            <m:oMathPara>
              <m:oMath>
                <m:r>
                  <m:rPr>
                    <m:sty m:val="p"/>
                  </m:rPr>
                  <w:rPr>
                    <w:rFonts w:ascii="Cambria Math" w:hAnsi="Cambria Math" w:hint="eastAsia"/>
                    <w:sz w:val="22"/>
                    <w:szCs w:val="22"/>
                  </w:rPr>
                  <m:t>2</m:t>
                </m:r>
                <m:r>
                  <m:rPr>
                    <m:sty m:val="p"/>
                  </m:rPr>
                  <w:rPr>
                    <w:rFonts w:ascii="Cambria Math" w:hAnsi="Cambria Math"/>
                    <w:sz w:val="22"/>
                    <w:szCs w:val="22"/>
                  </w:rPr>
                  <m:t>.0E-5</m:t>
                </m:r>
              </m:oMath>
            </m:oMathPara>
          </w:p>
        </w:tc>
      </w:tr>
    </w:tbl>
    <w:p w14:paraId="7A66D9D4" w14:textId="77777777" w:rsidR="00B44535" w:rsidRPr="00BC31E0" w:rsidRDefault="00B44535" w:rsidP="002435BA">
      <w:pPr>
        <w:spacing w:before="60"/>
        <w:ind w:left="527" w:hangingChars="250" w:hanging="527"/>
        <w:rPr>
          <w:rFonts w:ascii="ＭＳ ゴシック" w:eastAsia="ＭＳ ゴシック" w:hAnsi="ＭＳ ゴシック"/>
          <w:b/>
        </w:rPr>
      </w:pPr>
      <w:r w:rsidRPr="00BC31E0">
        <w:rPr>
          <w:rFonts w:ascii="ＭＳ ゴシック" w:eastAsia="ＭＳ ゴシック" w:hAnsi="ＭＳ ゴシック" w:hint="eastAsia"/>
          <w:b/>
        </w:rPr>
        <w:t>注</w:t>
      </w:r>
      <w:r w:rsidRPr="00BC31E0">
        <w:rPr>
          <w:rFonts w:ascii="ＭＳ ゴシック" w:eastAsia="ＭＳ ゴシック" w:hAnsi="ＭＳ ゴシック" w:hint="eastAsia"/>
          <w:b/>
          <w:vertAlign w:val="superscript"/>
        </w:rPr>
        <w:t>a)</w:t>
      </w:r>
      <w:r w:rsidRPr="00BC31E0">
        <w:rPr>
          <w:rFonts w:ascii="ＭＳ 明朝" w:hAnsi="ＭＳ 明朝" w:hint="eastAsia"/>
        </w:rPr>
        <w:t xml:space="preserve"> 炭素鋼，低合金鋼，フェライト系ステンレス鋼，マルテンサイト系ステンレス鋼，鉄ベース時効硬化ステンレス鋼を含む。</w:t>
      </w:r>
    </w:p>
    <w:p w14:paraId="56BF8F0D" w14:textId="77777777" w:rsidR="00B44535" w:rsidRPr="00BC31E0" w:rsidRDefault="00B44535" w:rsidP="00B44535">
      <w:pPr>
        <w:rPr>
          <w:rFonts w:ascii="ＭＳ ゴシック" w:eastAsia="ＭＳ ゴシック" w:hAnsi="ＭＳ ゴシック"/>
          <w:b/>
        </w:rPr>
      </w:pPr>
    </w:p>
    <w:p w14:paraId="0DDFDB70" w14:textId="77777777" w:rsidR="00B44535" w:rsidRPr="00BC31E0" w:rsidRDefault="00B44535" w:rsidP="00B44535">
      <w:pPr>
        <w:widowControl/>
        <w:jc w:val="left"/>
        <w:rPr>
          <w:rFonts w:ascii="ＭＳ ゴシック" w:eastAsia="ＭＳ ゴシック" w:hAnsi="ＭＳ ゴシック"/>
          <w:b/>
        </w:rPr>
      </w:pPr>
      <w:r w:rsidRPr="00BC31E0">
        <w:rPr>
          <w:rFonts w:ascii="ＭＳ ゴシック" w:eastAsia="ＭＳ ゴシック" w:hAnsi="ＭＳ ゴシック"/>
          <w:b/>
        </w:rPr>
        <w:br w:type="page"/>
      </w:r>
    </w:p>
    <w:p w14:paraId="5FF218E0" w14:textId="77777777" w:rsidR="00B44535" w:rsidRPr="00BC31E0" w:rsidRDefault="00B44535" w:rsidP="00B44535">
      <w:pPr>
        <w:pStyle w:val="af4"/>
        <w:spacing w:after="60"/>
      </w:pPr>
      <w:r w:rsidRPr="00BC31E0">
        <w:rPr>
          <w:rFonts w:hint="eastAsia"/>
        </w:rPr>
        <w:lastRenderedPageBreak/>
        <w:t>表</w:t>
      </w:r>
      <w:r w:rsidRPr="00BC31E0">
        <w:t>D.2</w:t>
      </w:r>
      <w:r w:rsidRPr="00BC31E0">
        <w:rPr>
          <w:rFonts w:hint="eastAsia"/>
        </w:rPr>
        <w:t xml:space="preserve">　繰返し応力－ひずみ曲線の材料特性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30"/>
        <w:gridCol w:w="1295"/>
        <w:gridCol w:w="1217"/>
        <w:gridCol w:w="1482"/>
      </w:tblGrid>
      <w:tr w:rsidR="00B44535" w:rsidRPr="00BC31E0" w14:paraId="61748AB9" w14:textId="77777777" w:rsidTr="004736F2">
        <w:trPr>
          <w:jc w:val="center"/>
        </w:trPr>
        <w:tc>
          <w:tcPr>
            <w:tcW w:w="5130" w:type="dxa"/>
            <w:vAlign w:val="center"/>
          </w:tcPr>
          <w:p w14:paraId="65B12443" w14:textId="77777777" w:rsidR="00B44535" w:rsidRPr="00BC31E0" w:rsidRDefault="00B44535" w:rsidP="004736F2">
            <w:pPr>
              <w:snapToGrid w:val="0"/>
              <w:jc w:val="center"/>
            </w:pPr>
            <w:r w:rsidRPr="00BC31E0">
              <w:rPr>
                <w:rFonts w:hint="eastAsia"/>
              </w:rPr>
              <w:t>材　料</w:t>
            </w:r>
          </w:p>
        </w:tc>
        <w:tc>
          <w:tcPr>
            <w:tcW w:w="1295" w:type="dxa"/>
            <w:vAlign w:val="center"/>
          </w:tcPr>
          <w:p w14:paraId="57C904D7" w14:textId="77777777" w:rsidR="00B44535" w:rsidRPr="00BC31E0" w:rsidRDefault="00B44535" w:rsidP="004736F2">
            <w:pPr>
              <w:snapToGrid w:val="0"/>
              <w:jc w:val="center"/>
            </w:pPr>
            <w:r w:rsidRPr="00BC31E0">
              <w:rPr>
                <w:rFonts w:hint="eastAsia"/>
              </w:rPr>
              <w:t>温度</w:t>
            </w:r>
          </w:p>
          <w:p w14:paraId="55CB9887" w14:textId="77777777" w:rsidR="00B44535" w:rsidRPr="00BC31E0" w:rsidRDefault="00B44535" w:rsidP="004736F2">
            <w:pPr>
              <w:snapToGrid w:val="0"/>
              <w:jc w:val="center"/>
            </w:pPr>
            <w:r w:rsidRPr="00BC31E0">
              <w:t>(</w:t>
            </w:r>
            <w:r w:rsidRPr="00BC31E0">
              <w:rPr>
                <w:rFonts w:ascii="Cambria Math" w:eastAsiaTheme="minorEastAsia" w:hAnsi="Cambria Math"/>
              </w:rPr>
              <w:t>℃</w:t>
            </w:r>
            <w:r w:rsidRPr="00BC31E0">
              <w:t>)</w:t>
            </w:r>
          </w:p>
        </w:tc>
        <w:tc>
          <w:tcPr>
            <w:tcW w:w="1217" w:type="dxa"/>
            <w:vAlign w:val="center"/>
          </w:tcPr>
          <w:p w14:paraId="7EA74682" w14:textId="77777777" w:rsidR="00B44535" w:rsidRPr="00BC31E0" w:rsidRDefault="00A51873" w:rsidP="004736F2">
            <w:pPr>
              <w:snapToGrid w:val="0"/>
              <w:jc w:val="center"/>
            </w:pPr>
            <m:oMathPara>
              <m:oMath>
                <m:sSub>
                  <m:sSubPr>
                    <m:ctrlPr>
                      <w:rPr>
                        <w:rFonts w:ascii="Cambria Math" w:hAnsi="Cambria Math"/>
                      </w:rPr>
                    </m:ctrlPr>
                  </m:sSubPr>
                  <m:e>
                    <m:r>
                      <w:rPr>
                        <w:rFonts w:ascii="Cambria Math" w:hAnsi="Cambria Math" w:hint="eastAsia"/>
                      </w:rPr>
                      <m:t>n</m:t>
                    </m:r>
                  </m:e>
                  <m:sub>
                    <m:r>
                      <w:rPr>
                        <w:rFonts w:ascii="Cambria Math" w:hAnsi="Cambria Math"/>
                      </w:rPr>
                      <m:t>CSS</m:t>
                    </m:r>
                  </m:sub>
                </m:sSub>
              </m:oMath>
            </m:oMathPara>
          </w:p>
        </w:tc>
        <w:tc>
          <w:tcPr>
            <w:tcW w:w="1482" w:type="dxa"/>
            <w:vAlign w:val="center"/>
          </w:tcPr>
          <w:p w14:paraId="7248F6C3" w14:textId="77777777" w:rsidR="00B44535" w:rsidRPr="00BC31E0" w:rsidRDefault="00A51873" w:rsidP="004736F2">
            <w:pPr>
              <w:snapToGrid w:val="0"/>
              <w:jc w:val="center"/>
              <w:rPr>
                <w:vertAlign w:val="subscript"/>
              </w:rPr>
            </w:pPr>
            <m:oMathPara>
              <m:oMath>
                <m:sSub>
                  <m:sSubPr>
                    <m:ctrlPr>
                      <w:rPr>
                        <w:rFonts w:ascii="Cambria Math" w:hAnsi="Cambria Math"/>
                      </w:rPr>
                    </m:ctrlPr>
                  </m:sSubPr>
                  <m:e>
                    <m:r>
                      <w:rPr>
                        <w:rFonts w:ascii="Cambria Math" w:hAnsi="Cambria Math"/>
                      </w:rPr>
                      <m:t>K</m:t>
                    </m:r>
                  </m:e>
                  <m:sub>
                    <m:r>
                      <w:rPr>
                        <w:rFonts w:ascii="Cambria Math" w:hAnsi="Cambria Math"/>
                      </w:rPr>
                      <m:t>CSS</m:t>
                    </m:r>
                  </m:sub>
                </m:sSub>
              </m:oMath>
            </m:oMathPara>
          </w:p>
          <w:p w14:paraId="742F9BAF" w14:textId="77777777" w:rsidR="00B44535" w:rsidRPr="00BC31E0" w:rsidRDefault="00B44535" w:rsidP="004736F2">
            <w:pPr>
              <w:snapToGrid w:val="0"/>
              <w:jc w:val="center"/>
            </w:pPr>
            <w:r w:rsidRPr="00BC31E0">
              <w:rPr>
                <w:rFonts w:hint="eastAsia"/>
              </w:rPr>
              <w:t>(</w:t>
            </w:r>
            <w:r w:rsidRPr="00BC31E0">
              <w:rPr>
                <w:rFonts w:ascii="Cambria Math" w:hAnsi="Cambria Math"/>
              </w:rPr>
              <w:t>MPa</w:t>
            </w:r>
            <w:r w:rsidRPr="00BC31E0">
              <w:rPr>
                <w:rFonts w:hint="eastAsia"/>
              </w:rPr>
              <w:t>)</w:t>
            </w:r>
          </w:p>
        </w:tc>
      </w:tr>
      <w:tr w:rsidR="00B44535" w:rsidRPr="00BC31E0" w14:paraId="09F65C2D" w14:textId="77777777" w:rsidTr="004736F2">
        <w:trPr>
          <w:jc w:val="center"/>
        </w:trPr>
        <w:tc>
          <w:tcPr>
            <w:tcW w:w="5130" w:type="dxa"/>
            <w:vMerge w:val="restart"/>
            <w:vAlign w:val="center"/>
          </w:tcPr>
          <w:p w14:paraId="4EFAC8AD" w14:textId="77777777" w:rsidR="00B44535" w:rsidRPr="00BC31E0" w:rsidRDefault="00B44535" w:rsidP="004736F2">
            <w:pPr>
              <w:spacing w:line="360" w:lineRule="atLeast"/>
            </w:pPr>
            <w:r w:rsidRPr="00BC31E0">
              <w:t>炭素鋼</w:t>
            </w:r>
            <w:r w:rsidRPr="00BC31E0">
              <w:t xml:space="preserve"> (</w:t>
            </w:r>
            <w:r w:rsidRPr="00BC31E0">
              <w:t>厚さ</w:t>
            </w:r>
            <w:r w:rsidRPr="00BC31E0">
              <w:rPr>
                <w:rFonts w:ascii="Cambria Math" w:hAnsi="Cambria Math"/>
                <w:sz w:val="22"/>
                <w:szCs w:val="22"/>
              </w:rPr>
              <w:t>20 mm</w:t>
            </w:r>
            <w:r w:rsidRPr="00BC31E0">
              <w:t>，母材</w:t>
            </w:r>
            <w:r w:rsidRPr="00BC31E0">
              <w:t>)</w:t>
            </w:r>
          </w:p>
        </w:tc>
        <w:tc>
          <w:tcPr>
            <w:tcW w:w="1295" w:type="dxa"/>
            <w:vAlign w:val="center"/>
          </w:tcPr>
          <w:p w14:paraId="05F17D27"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20</w:t>
            </w:r>
          </w:p>
        </w:tc>
        <w:tc>
          <w:tcPr>
            <w:tcW w:w="1217" w:type="dxa"/>
            <w:vAlign w:val="center"/>
          </w:tcPr>
          <w:p w14:paraId="1C5AEEA7"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0.128</w:t>
            </w:r>
          </w:p>
        </w:tc>
        <w:tc>
          <w:tcPr>
            <w:tcW w:w="1482" w:type="dxa"/>
            <w:vAlign w:val="center"/>
          </w:tcPr>
          <w:p w14:paraId="678239F5"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757</w:t>
            </w:r>
          </w:p>
        </w:tc>
      </w:tr>
      <w:tr w:rsidR="00B44535" w:rsidRPr="00BC31E0" w14:paraId="097F202C" w14:textId="77777777" w:rsidTr="004736F2">
        <w:trPr>
          <w:jc w:val="center"/>
        </w:trPr>
        <w:tc>
          <w:tcPr>
            <w:tcW w:w="5130" w:type="dxa"/>
            <w:vMerge/>
            <w:vAlign w:val="center"/>
          </w:tcPr>
          <w:p w14:paraId="4B3ADA9A" w14:textId="77777777" w:rsidR="00B44535" w:rsidRPr="00BC31E0" w:rsidRDefault="00B44535" w:rsidP="004736F2">
            <w:pPr>
              <w:spacing w:line="360" w:lineRule="atLeast"/>
            </w:pPr>
          </w:p>
        </w:tc>
        <w:tc>
          <w:tcPr>
            <w:tcW w:w="1295" w:type="dxa"/>
            <w:vAlign w:val="center"/>
          </w:tcPr>
          <w:p w14:paraId="2BE11EE3"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200</w:t>
            </w:r>
          </w:p>
        </w:tc>
        <w:tc>
          <w:tcPr>
            <w:tcW w:w="1217" w:type="dxa"/>
            <w:vAlign w:val="center"/>
          </w:tcPr>
          <w:p w14:paraId="766AB53E"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0.134</w:t>
            </w:r>
          </w:p>
        </w:tc>
        <w:tc>
          <w:tcPr>
            <w:tcW w:w="1482" w:type="dxa"/>
            <w:vAlign w:val="center"/>
          </w:tcPr>
          <w:p w14:paraId="76B7F000"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728</w:t>
            </w:r>
          </w:p>
        </w:tc>
      </w:tr>
      <w:tr w:rsidR="00B44535" w:rsidRPr="00BC31E0" w14:paraId="08018E69" w14:textId="77777777" w:rsidTr="004736F2">
        <w:trPr>
          <w:jc w:val="center"/>
        </w:trPr>
        <w:tc>
          <w:tcPr>
            <w:tcW w:w="5130" w:type="dxa"/>
            <w:vMerge/>
            <w:vAlign w:val="center"/>
          </w:tcPr>
          <w:p w14:paraId="6D01E850" w14:textId="77777777" w:rsidR="00B44535" w:rsidRPr="00BC31E0" w:rsidRDefault="00B44535" w:rsidP="004736F2">
            <w:pPr>
              <w:spacing w:line="360" w:lineRule="atLeast"/>
            </w:pPr>
          </w:p>
        </w:tc>
        <w:tc>
          <w:tcPr>
            <w:tcW w:w="1295" w:type="dxa"/>
            <w:vAlign w:val="center"/>
          </w:tcPr>
          <w:p w14:paraId="7D3A24F8"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300</w:t>
            </w:r>
          </w:p>
        </w:tc>
        <w:tc>
          <w:tcPr>
            <w:tcW w:w="1217" w:type="dxa"/>
            <w:vAlign w:val="center"/>
          </w:tcPr>
          <w:p w14:paraId="3AA92B1D"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0.093</w:t>
            </w:r>
          </w:p>
        </w:tc>
        <w:tc>
          <w:tcPr>
            <w:tcW w:w="1482" w:type="dxa"/>
            <w:vAlign w:val="center"/>
          </w:tcPr>
          <w:p w14:paraId="06E7DC78"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741</w:t>
            </w:r>
          </w:p>
        </w:tc>
      </w:tr>
      <w:tr w:rsidR="00B44535" w:rsidRPr="00BC31E0" w14:paraId="2173917B" w14:textId="77777777" w:rsidTr="004736F2">
        <w:trPr>
          <w:jc w:val="center"/>
        </w:trPr>
        <w:tc>
          <w:tcPr>
            <w:tcW w:w="5130" w:type="dxa"/>
            <w:vMerge/>
            <w:vAlign w:val="center"/>
          </w:tcPr>
          <w:p w14:paraId="3EC10911" w14:textId="77777777" w:rsidR="00B44535" w:rsidRPr="00BC31E0" w:rsidRDefault="00B44535" w:rsidP="004736F2">
            <w:pPr>
              <w:spacing w:line="360" w:lineRule="atLeast"/>
            </w:pPr>
          </w:p>
        </w:tc>
        <w:tc>
          <w:tcPr>
            <w:tcW w:w="1295" w:type="dxa"/>
            <w:vAlign w:val="center"/>
          </w:tcPr>
          <w:p w14:paraId="0E85B07D"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400</w:t>
            </w:r>
          </w:p>
        </w:tc>
        <w:tc>
          <w:tcPr>
            <w:tcW w:w="1217" w:type="dxa"/>
            <w:vAlign w:val="center"/>
          </w:tcPr>
          <w:p w14:paraId="39D060AF"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0.109</w:t>
            </w:r>
          </w:p>
        </w:tc>
        <w:tc>
          <w:tcPr>
            <w:tcW w:w="1482" w:type="dxa"/>
            <w:vAlign w:val="center"/>
          </w:tcPr>
          <w:p w14:paraId="0A19F909"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666</w:t>
            </w:r>
          </w:p>
        </w:tc>
      </w:tr>
      <w:tr w:rsidR="00B44535" w:rsidRPr="00BC31E0" w14:paraId="3B48392F" w14:textId="77777777" w:rsidTr="004736F2">
        <w:trPr>
          <w:jc w:val="center"/>
        </w:trPr>
        <w:tc>
          <w:tcPr>
            <w:tcW w:w="5130" w:type="dxa"/>
            <w:vMerge w:val="restart"/>
            <w:vAlign w:val="center"/>
          </w:tcPr>
          <w:p w14:paraId="69A0F2E6" w14:textId="77777777" w:rsidR="00B44535" w:rsidRPr="00BC31E0" w:rsidRDefault="00B44535" w:rsidP="004736F2">
            <w:pPr>
              <w:spacing w:line="360" w:lineRule="atLeast"/>
            </w:pPr>
            <w:r w:rsidRPr="00BC31E0">
              <w:t>炭素鋼</w:t>
            </w:r>
            <w:r w:rsidRPr="00BC31E0">
              <w:t xml:space="preserve"> (</w:t>
            </w:r>
            <w:r w:rsidRPr="00BC31E0">
              <w:t>厚さ</w:t>
            </w:r>
            <w:r w:rsidRPr="00BC31E0">
              <w:rPr>
                <w:rFonts w:ascii="Cambria Math" w:hAnsi="Cambria Math"/>
                <w:sz w:val="22"/>
                <w:szCs w:val="22"/>
              </w:rPr>
              <w:t>20 mm</w:t>
            </w:r>
            <w:r w:rsidRPr="00BC31E0">
              <w:t>，溶接金属</w:t>
            </w:r>
            <w:r w:rsidRPr="00BC31E0">
              <w:t>)</w:t>
            </w:r>
          </w:p>
        </w:tc>
        <w:tc>
          <w:tcPr>
            <w:tcW w:w="1295" w:type="dxa"/>
            <w:vAlign w:val="center"/>
          </w:tcPr>
          <w:p w14:paraId="5E934BE0"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20</w:t>
            </w:r>
          </w:p>
        </w:tc>
        <w:tc>
          <w:tcPr>
            <w:tcW w:w="1217" w:type="dxa"/>
            <w:vAlign w:val="center"/>
          </w:tcPr>
          <w:p w14:paraId="53D2C6E9"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0.110</w:t>
            </w:r>
          </w:p>
        </w:tc>
        <w:tc>
          <w:tcPr>
            <w:tcW w:w="1482" w:type="dxa"/>
            <w:vAlign w:val="center"/>
          </w:tcPr>
          <w:p w14:paraId="5825C01F"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695</w:t>
            </w:r>
          </w:p>
        </w:tc>
      </w:tr>
      <w:tr w:rsidR="00B44535" w:rsidRPr="00BC31E0" w14:paraId="73B2D277" w14:textId="77777777" w:rsidTr="004736F2">
        <w:trPr>
          <w:jc w:val="center"/>
        </w:trPr>
        <w:tc>
          <w:tcPr>
            <w:tcW w:w="5130" w:type="dxa"/>
            <w:vMerge/>
            <w:vAlign w:val="center"/>
          </w:tcPr>
          <w:p w14:paraId="5CC68455" w14:textId="77777777" w:rsidR="00B44535" w:rsidRPr="00BC31E0" w:rsidRDefault="00B44535" w:rsidP="004736F2">
            <w:pPr>
              <w:spacing w:line="360" w:lineRule="atLeast"/>
            </w:pPr>
          </w:p>
        </w:tc>
        <w:tc>
          <w:tcPr>
            <w:tcW w:w="1295" w:type="dxa"/>
            <w:vAlign w:val="center"/>
          </w:tcPr>
          <w:p w14:paraId="46CF9CED"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200</w:t>
            </w:r>
          </w:p>
        </w:tc>
        <w:tc>
          <w:tcPr>
            <w:tcW w:w="1217" w:type="dxa"/>
            <w:vAlign w:val="center"/>
          </w:tcPr>
          <w:p w14:paraId="25C40717"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0.118</w:t>
            </w:r>
          </w:p>
        </w:tc>
        <w:tc>
          <w:tcPr>
            <w:tcW w:w="1482" w:type="dxa"/>
            <w:vAlign w:val="center"/>
          </w:tcPr>
          <w:p w14:paraId="6C50D2C5"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687</w:t>
            </w:r>
          </w:p>
        </w:tc>
      </w:tr>
      <w:tr w:rsidR="00B44535" w:rsidRPr="00BC31E0" w14:paraId="3FAF8A96" w14:textId="77777777" w:rsidTr="004736F2">
        <w:trPr>
          <w:jc w:val="center"/>
        </w:trPr>
        <w:tc>
          <w:tcPr>
            <w:tcW w:w="5130" w:type="dxa"/>
            <w:vMerge/>
            <w:vAlign w:val="center"/>
          </w:tcPr>
          <w:p w14:paraId="2E4105A9" w14:textId="77777777" w:rsidR="00B44535" w:rsidRPr="00BC31E0" w:rsidRDefault="00B44535" w:rsidP="004736F2">
            <w:pPr>
              <w:spacing w:line="360" w:lineRule="atLeast"/>
            </w:pPr>
          </w:p>
        </w:tc>
        <w:tc>
          <w:tcPr>
            <w:tcW w:w="1295" w:type="dxa"/>
            <w:vAlign w:val="center"/>
          </w:tcPr>
          <w:p w14:paraId="0F82E390"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300</w:t>
            </w:r>
          </w:p>
        </w:tc>
        <w:tc>
          <w:tcPr>
            <w:tcW w:w="1217" w:type="dxa"/>
            <w:vAlign w:val="center"/>
          </w:tcPr>
          <w:p w14:paraId="2B60C383"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0.066</w:t>
            </w:r>
          </w:p>
        </w:tc>
        <w:tc>
          <w:tcPr>
            <w:tcW w:w="1482" w:type="dxa"/>
            <w:vAlign w:val="center"/>
          </w:tcPr>
          <w:p w14:paraId="3A3934E8"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695</w:t>
            </w:r>
          </w:p>
        </w:tc>
      </w:tr>
      <w:tr w:rsidR="00B44535" w:rsidRPr="00BC31E0" w14:paraId="7B9BB821" w14:textId="77777777" w:rsidTr="004736F2">
        <w:trPr>
          <w:jc w:val="center"/>
        </w:trPr>
        <w:tc>
          <w:tcPr>
            <w:tcW w:w="5130" w:type="dxa"/>
            <w:vMerge/>
            <w:vAlign w:val="center"/>
          </w:tcPr>
          <w:p w14:paraId="4C648252" w14:textId="77777777" w:rsidR="00B44535" w:rsidRPr="00BC31E0" w:rsidRDefault="00B44535" w:rsidP="004736F2">
            <w:pPr>
              <w:spacing w:line="360" w:lineRule="atLeast"/>
            </w:pPr>
          </w:p>
        </w:tc>
        <w:tc>
          <w:tcPr>
            <w:tcW w:w="1295" w:type="dxa"/>
            <w:vAlign w:val="center"/>
          </w:tcPr>
          <w:p w14:paraId="46E857DC"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400</w:t>
            </w:r>
          </w:p>
        </w:tc>
        <w:tc>
          <w:tcPr>
            <w:tcW w:w="1217" w:type="dxa"/>
            <w:vAlign w:val="center"/>
          </w:tcPr>
          <w:p w14:paraId="5A7F651E"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0.067</w:t>
            </w:r>
          </w:p>
        </w:tc>
        <w:tc>
          <w:tcPr>
            <w:tcW w:w="1482" w:type="dxa"/>
            <w:vAlign w:val="center"/>
          </w:tcPr>
          <w:p w14:paraId="645713B3"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549</w:t>
            </w:r>
          </w:p>
        </w:tc>
      </w:tr>
      <w:tr w:rsidR="00B44535" w:rsidRPr="00BC31E0" w14:paraId="53CE00A6" w14:textId="77777777" w:rsidTr="004736F2">
        <w:trPr>
          <w:jc w:val="center"/>
        </w:trPr>
        <w:tc>
          <w:tcPr>
            <w:tcW w:w="5130" w:type="dxa"/>
            <w:vMerge w:val="restart"/>
            <w:vAlign w:val="center"/>
          </w:tcPr>
          <w:p w14:paraId="1FF3BEBB" w14:textId="77777777" w:rsidR="00B44535" w:rsidRPr="00BC31E0" w:rsidRDefault="00B44535" w:rsidP="004736F2">
            <w:pPr>
              <w:spacing w:line="360" w:lineRule="atLeast"/>
            </w:pPr>
            <w:r w:rsidRPr="00BC31E0">
              <w:t>炭素鋼</w:t>
            </w:r>
            <w:r w:rsidRPr="00BC31E0">
              <w:t xml:space="preserve"> (</w:t>
            </w:r>
            <w:r w:rsidRPr="00BC31E0">
              <w:t>厚さ</w:t>
            </w:r>
            <w:r w:rsidRPr="00BC31E0">
              <w:rPr>
                <w:rFonts w:ascii="Cambria Math" w:hAnsi="Cambria Math"/>
                <w:sz w:val="22"/>
                <w:szCs w:val="22"/>
              </w:rPr>
              <w:t>50 mm</w:t>
            </w:r>
            <w:r w:rsidRPr="00BC31E0">
              <w:t>，母材</w:t>
            </w:r>
            <w:r w:rsidRPr="00BC31E0">
              <w:t>)</w:t>
            </w:r>
          </w:p>
        </w:tc>
        <w:tc>
          <w:tcPr>
            <w:tcW w:w="1295" w:type="dxa"/>
            <w:vAlign w:val="center"/>
          </w:tcPr>
          <w:p w14:paraId="64E8BF68"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20</w:t>
            </w:r>
          </w:p>
        </w:tc>
        <w:tc>
          <w:tcPr>
            <w:tcW w:w="1217" w:type="dxa"/>
            <w:vAlign w:val="center"/>
          </w:tcPr>
          <w:p w14:paraId="5003F0D1"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0.126</w:t>
            </w:r>
          </w:p>
        </w:tc>
        <w:tc>
          <w:tcPr>
            <w:tcW w:w="1482" w:type="dxa"/>
            <w:vAlign w:val="center"/>
          </w:tcPr>
          <w:p w14:paraId="423A5B51"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693</w:t>
            </w:r>
          </w:p>
        </w:tc>
      </w:tr>
      <w:tr w:rsidR="00B44535" w:rsidRPr="00BC31E0" w14:paraId="086F9D55" w14:textId="77777777" w:rsidTr="004736F2">
        <w:trPr>
          <w:jc w:val="center"/>
        </w:trPr>
        <w:tc>
          <w:tcPr>
            <w:tcW w:w="5130" w:type="dxa"/>
            <w:vMerge/>
            <w:vAlign w:val="center"/>
          </w:tcPr>
          <w:p w14:paraId="20FBD26C" w14:textId="77777777" w:rsidR="00B44535" w:rsidRPr="00BC31E0" w:rsidRDefault="00B44535" w:rsidP="004736F2">
            <w:pPr>
              <w:spacing w:line="360" w:lineRule="atLeast"/>
            </w:pPr>
          </w:p>
        </w:tc>
        <w:tc>
          <w:tcPr>
            <w:tcW w:w="1295" w:type="dxa"/>
            <w:vAlign w:val="center"/>
          </w:tcPr>
          <w:p w14:paraId="77C44535"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200</w:t>
            </w:r>
          </w:p>
        </w:tc>
        <w:tc>
          <w:tcPr>
            <w:tcW w:w="1217" w:type="dxa"/>
            <w:vAlign w:val="center"/>
          </w:tcPr>
          <w:p w14:paraId="3FA00980"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0.113</w:t>
            </w:r>
          </w:p>
        </w:tc>
        <w:tc>
          <w:tcPr>
            <w:tcW w:w="1482" w:type="dxa"/>
            <w:vAlign w:val="center"/>
          </w:tcPr>
          <w:p w14:paraId="79994817"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636</w:t>
            </w:r>
          </w:p>
        </w:tc>
      </w:tr>
      <w:tr w:rsidR="00B44535" w:rsidRPr="00BC31E0" w14:paraId="7528BAED" w14:textId="77777777" w:rsidTr="004736F2">
        <w:trPr>
          <w:jc w:val="center"/>
        </w:trPr>
        <w:tc>
          <w:tcPr>
            <w:tcW w:w="5130" w:type="dxa"/>
            <w:vMerge/>
            <w:vAlign w:val="center"/>
          </w:tcPr>
          <w:p w14:paraId="3CF38CD6" w14:textId="77777777" w:rsidR="00B44535" w:rsidRPr="00BC31E0" w:rsidRDefault="00B44535" w:rsidP="004736F2">
            <w:pPr>
              <w:spacing w:line="360" w:lineRule="atLeast"/>
            </w:pPr>
          </w:p>
        </w:tc>
        <w:tc>
          <w:tcPr>
            <w:tcW w:w="1295" w:type="dxa"/>
            <w:vAlign w:val="center"/>
          </w:tcPr>
          <w:p w14:paraId="666EC81B"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300</w:t>
            </w:r>
          </w:p>
        </w:tc>
        <w:tc>
          <w:tcPr>
            <w:tcW w:w="1217" w:type="dxa"/>
            <w:vAlign w:val="center"/>
          </w:tcPr>
          <w:p w14:paraId="42FF8FE5"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0.082</w:t>
            </w:r>
          </w:p>
        </w:tc>
        <w:tc>
          <w:tcPr>
            <w:tcW w:w="1482" w:type="dxa"/>
            <w:vAlign w:val="center"/>
          </w:tcPr>
          <w:p w14:paraId="61402718"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741</w:t>
            </w:r>
          </w:p>
        </w:tc>
      </w:tr>
      <w:tr w:rsidR="00B44535" w:rsidRPr="00BC31E0" w14:paraId="710BEA32" w14:textId="77777777" w:rsidTr="004736F2">
        <w:trPr>
          <w:jc w:val="center"/>
        </w:trPr>
        <w:tc>
          <w:tcPr>
            <w:tcW w:w="5130" w:type="dxa"/>
            <w:vMerge/>
            <w:vAlign w:val="center"/>
          </w:tcPr>
          <w:p w14:paraId="369815ED" w14:textId="77777777" w:rsidR="00B44535" w:rsidRPr="00BC31E0" w:rsidRDefault="00B44535" w:rsidP="004736F2">
            <w:pPr>
              <w:spacing w:line="360" w:lineRule="atLeast"/>
            </w:pPr>
          </w:p>
        </w:tc>
        <w:tc>
          <w:tcPr>
            <w:tcW w:w="1295" w:type="dxa"/>
            <w:vAlign w:val="center"/>
          </w:tcPr>
          <w:p w14:paraId="038DFA72"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400</w:t>
            </w:r>
          </w:p>
        </w:tc>
        <w:tc>
          <w:tcPr>
            <w:tcW w:w="1217" w:type="dxa"/>
            <w:vAlign w:val="center"/>
          </w:tcPr>
          <w:p w14:paraId="78CD969E"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0.101</w:t>
            </w:r>
          </w:p>
        </w:tc>
        <w:tc>
          <w:tcPr>
            <w:tcW w:w="1482" w:type="dxa"/>
            <w:vAlign w:val="center"/>
          </w:tcPr>
          <w:p w14:paraId="021815E0"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643</w:t>
            </w:r>
          </w:p>
        </w:tc>
      </w:tr>
      <w:tr w:rsidR="00B44535" w:rsidRPr="00BC31E0" w14:paraId="2399E8BE" w14:textId="77777777" w:rsidTr="004736F2">
        <w:trPr>
          <w:jc w:val="center"/>
        </w:trPr>
        <w:tc>
          <w:tcPr>
            <w:tcW w:w="5130" w:type="dxa"/>
            <w:vMerge w:val="restart"/>
            <w:vAlign w:val="center"/>
          </w:tcPr>
          <w:p w14:paraId="7124665E" w14:textId="77777777" w:rsidR="00B44535" w:rsidRPr="00BC31E0" w:rsidRDefault="00B44535" w:rsidP="004736F2">
            <w:pPr>
              <w:spacing w:line="360" w:lineRule="atLeast"/>
            </w:pPr>
            <w:r w:rsidRPr="00BC31E0">
              <w:t>炭素鋼</w:t>
            </w:r>
            <w:r w:rsidRPr="00BC31E0">
              <w:t xml:space="preserve"> (</w:t>
            </w:r>
            <w:r w:rsidRPr="00BC31E0">
              <w:t>厚さ</w:t>
            </w:r>
            <w:r w:rsidRPr="00BC31E0">
              <w:rPr>
                <w:rFonts w:ascii="Cambria Math" w:hAnsi="Cambria Math"/>
                <w:sz w:val="22"/>
                <w:szCs w:val="22"/>
              </w:rPr>
              <w:t>100 mm</w:t>
            </w:r>
            <w:r w:rsidRPr="00BC31E0">
              <w:t>，母材</w:t>
            </w:r>
            <w:r w:rsidRPr="00BC31E0">
              <w:t>)</w:t>
            </w:r>
          </w:p>
        </w:tc>
        <w:tc>
          <w:tcPr>
            <w:tcW w:w="1295" w:type="dxa"/>
            <w:vAlign w:val="center"/>
          </w:tcPr>
          <w:p w14:paraId="1C780BC7"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20</w:t>
            </w:r>
          </w:p>
        </w:tc>
        <w:tc>
          <w:tcPr>
            <w:tcW w:w="1217" w:type="dxa"/>
            <w:vAlign w:val="center"/>
          </w:tcPr>
          <w:p w14:paraId="44688CDC"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0.137</w:t>
            </w:r>
          </w:p>
        </w:tc>
        <w:tc>
          <w:tcPr>
            <w:tcW w:w="1482" w:type="dxa"/>
            <w:vAlign w:val="center"/>
          </w:tcPr>
          <w:p w14:paraId="79F0BD45"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765</w:t>
            </w:r>
          </w:p>
        </w:tc>
      </w:tr>
      <w:tr w:rsidR="00B44535" w:rsidRPr="00BC31E0" w14:paraId="5839A7A1" w14:textId="77777777" w:rsidTr="004736F2">
        <w:trPr>
          <w:jc w:val="center"/>
        </w:trPr>
        <w:tc>
          <w:tcPr>
            <w:tcW w:w="5130" w:type="dxa"/>
            <w:vMerge/>
            <w:vAlign w:val="center"/>
          </w:tcPr>
          <w:p w14:paraId="6282916B" w14:textId="77777777" w:rsidR="00B44535" w:rsidRPr="00BC31E0" w:rsidRDefault="00B44535" w:rsidP="004736F2">
            <w:pPr>
              <w:spacing w:line="360" w:lineRule="atLeast"/>
            </w:pPr>
          </w:p>
        </w:tc>
        <w:tc>
          <w:tcPr>
            <w:tcW w:w="1295" w:type="dxa"/>
            <w:vAlign w:val="center"/>
          </w:tcPr>
          <w:p w14:paraId="4611B241"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200</w:t>
            </w:r>
          </w:p>
        </w:tc>
        <w:tc>
          <w:tcPr>
            <w:tcW w:w="1217" w:type="dxa"/>
            <w:vAlign w:val="center"/>
          </w:tcPr>
          <w:p w14:paraId="2FF02F2C"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0.156</w:t>
            </w:r>
          </w:p>
        </w:tc>
        <w:tc>
          <w:tcPr>
            <w:tcW w:w="1482" w:type="dxa"/>
            <w:vAlign w:val="center"/>
          </w:tcPr>
          <w:p w14:paraId="2C4E705F"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798</w:t>
            </w:r>
          </w:p>
        </w:tc>
      </w:tr>
      <w:tr w:rsidR="00B44535" w:rsidRPr="00BC31E0" w14:paraId="2FE786B0" w14:textId="77777777" w:rsidTr="004736F2">
        <w:trPr>
          <w:jc w:val="center"/>
        </w:trPr>
        <w:tc>
          <w:tcPr>
            <w:tcW w:w="5130" w:type="dxa"/>
            <w:vMerge/>
            <w:vAlign w:val="center"/>
          </w:tcPr>
          <w:p w14:paraId="36E0B164" w14:textId="77777777" w:rsidR="00B44535" w:rsidRPr="00BC31E0" w:rsidRDefault="00B44535" w:rsidP="004736F2">
            <w:pPr>
              <w:spacing w:line="360" w:lineRule="atLeast"/>
            </w:pPr>
          </w:p>
        </w:tc>
        <w:tc>
          <w:tcPr>
            <w:tcW w:w="1295" w:type="dxa"/>
            <w:vAlign w:val="center"/>
          </w:tcPr>
          <w:p w14:paraId="6502245D"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300</w:t>
            </w:r>
          </w:p>
        </w:tc>
        <w:tc>
          <w:tcPr>
            <w:tcW w:w="1217" w:type="dxa"/>
            <w:vAlign w:val="center"/>
          </w:tcPr>
          <w:p w14:paraId="1E39F83A"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0.100</w:t>
            </w:r>
          </w:p>
        </w:tc>
        <w:tc>
          <w:tcPr>
            <w:tcW w:w="1482" w:type="dxa"/>
            <w:vAlign w:val="center"/>
          </w:tcPr>
          <w:p w14:paraId="30F486E3"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748</w:t>
            </w:r>
          </w:p>
        </w:tc>
      </w:tr>
      <w:tr w:rsidR="00B44535" w:rsidRPr="00BC31E0" w14:paraId="36D0873C" w14:textId="77777777" w:rsidTr="004736F2">
        <w:trPr>
          <w:jc w:val="center"/>
        </w:trPr>
        <w:tc>
          <w:tcPr>
            <w:tcW w:w="5130" w:type="dxa"/>
            <w:vMerge/>
            <w:vAlign w:val="center"/>
          </w:tcPr>
          <w:p w14:paraId="6026C7B5" w14:textId="77777777" w:rsidR="00B44535" w:rsidRPr="00BC31E0" w:rsidRDefault="00B44535" w:rsidP="004736F2">
            <w:pPr>
              <w:spacing w:line="360" w:lineRule="atLeast"/>
            </w:pPr>
          </w:p>
        </w:tc>
        <w:tc>
          <w:tcPr>
            <w:tcW w:w="1295" w:type="dxa"/>
            <w:vAlign w:val="center"/>
          </w:tcPr>
          <w:p w14:paraId="4AC84651"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400</w:t>
            </w:r>
          </w:p>
        </w:tc>
        <w:tc>
          <w:tcPr>
            <w:tcW w:w="1217" w:type="dxa"/>
            <w:vAlign w:val="center"/>
          </w:tcPr>
          <w:p w14:paraId="003E69EC"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0.112</w:t>
            </w:r>
          </w:p>
        </w:tc>
        <w:tc>
          <w:tcPr>
            <w:tcW w:w="1482" w:type="dxa"/>
            <w:vAlign w:val="center"/>
          </w:tcPr>
          <w:p w14:paraId="757223B3"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668</w:t>
            </w:r>
          </w:p>
        </w:tc>
      </w:tr>
      <w:tr w:rsidR="00B44535" w:rsidRPr="00BC31E0" w14:paraId="3CDDFF5E" w14:textId="77777777" w:rsidTr="004736F2">
        <w:trPr>
          <w:jc w:val="center"/>
        </w:trPr>
        <w:tc>
          <w:tcPr>
            <w:tcW w:w="5130" w:type="dxa"/>
            <w:vMerge w:val="restart"/>
            <w:vAlign w:val="center"/>
          </w:tcPr>
          <w:p w14:paraId="78E0DEBD" w14:textId="77777777" w:rsidR="00B44535" w:rsidRPr="00BC31E0" w:rsidRDefault="00B44535" w:rsidP="004736F2">
            <w:pPr>
              <w:spacing w:line="360" w:lineRule="atLeast"/>
            </w:pPr>
            <w:r w:rsidRPr="00BC31E0">
              <w:t>1Cr</w:t>
            </w:r>
            <w:r w:rsidRPr="00BC31E0">
              <w:rPr>
                <w:rFonts w:ascii="ＭＳ 明朝" w:hAnsi="ＭＳ 明朝"/>
              </w:rPr>
              <w:t>-</w:t>
            </w:r>
            <w:r w:rsidRPr="00BC31E0">
              <w:t>0.5Mo (</w:t>
            </w:r>
            <w:r w:rsidRPr="00BC31E0">
              <w:t>厚さ</w:t>
            </w:r>
            <w:r w:rsidRPr="00BC31E0">
              <w:rPr>
                <w:rFonts w:ascii="Cambria Math" w:hAnsi="Cambria Math"/>
                <w:sz w:val="22"/>
                <w:szCs w:val="22"/>
              </w:rPr>
              <w:t>20 mm</w:t>
            </w:r>
            <w:r w:rsidRPr="00BC31E0">
              <w:t>，母材</w:t>
            </w:r>
            <w:r w:rsidRPr="00BC31E0">
              <w:t>)</w:t>
            </w:r>
          </w:p>
        </w:tc>
        <w:tc>
          <w:tcPr>
            <w:tcW w:w="1295" w:type="dxa"/>
            <w:vAlign w:val="center"/>
          </w:tcPr>
          <w:p w14:paraId="65CDDF9C"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20</w:t>
            </w:r>
          </w:p>
        </w:tc>
        <w:tc>
          <w:tcPr>
            <w:tcW w:w="1217" w:type="dxa"/>
            <w:vAlign w:val="center"/>
          </w:tcPr>
          <w:p w14:paraId="260853B1"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0.116</w:t>
            </w:r>
          </w:p>
        </w:tc>
        <w:tc>
          <w:tcPr>
            <w:tcW w:w="1482" w:type="dxa"/>
            <w:vAlign w:val="center"/>
          </w:tcPr>
          <w:p w14:paraId="287F75FC"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660</w:t>
            </w:r>
          </w:p>
        </w:tc>
      </w:tr>
      <w:tr w:rsidR="00B44535" w:rsidRPr="00BC31E0" w14:paraId="0A389765" w14:textId="77777777" w:rsidTr="004736F2">
        <w:trPr>
          <w:jc w:val="center"/>
        </w:trPr>
        <w:tc>
          <w:tcPr>
            <w:tcW w:w="5130" w:type="dxa"/>
            <w:vMerge/>
            <w:vAlign w:val="center"/>
          </w:tcPr>
          <w:p w14:paraId="2B9A832E" w14:textId="77777777" w:rsidR="00B44535" w:rsidRPr="00BC31E0" w:rsidRDefault="00B44535" w:rsidP="004736F2">
            <w:pPr>
              <w:spacing w:line="360" w:lineRule="atLeast"/>
            </w:pPr>
          </w:p>
        </w:tc>
        <w:tc>
          <w:tcPr>
            <w:tcW w:w="1295" w:type="dxa"/>
            <w:vAlign w:val="center"/>
          </w:tcPr>
          <w:p w14:paraId="61A740DE"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200</w:t>
            </w:r>
          </w:p>
        </w:tc>
        <w:tc>
          <w:tcPr>
            <w:tcW w:w="1217" w:type="dxa"/>
            <w:vAlign w:val="center"/>
          </w:tcPr>
          <w:p w14:paraId="68707796"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0.126</w:t>
            </w:r>
          </w:p>
        </w:tc>
        <w:tc>
          <w:tcPr>
            <w:tcW w:w="1482" w:type="dxa"/>
            <w:vAlign w:val="center"/>
          </w:tcPr>
          <w:p w14:paraId="3DA8A7C2"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656</w:t>
            </w:r>
          </w:p>
        </w:tc>
      </w:tr>
      <w:tr w:rsidR="00B44535" w:rsidRPr="00BC31E0" w14:paraId="1553C9E7" w14:textId="77777777" w:rsidTr="004736F2">
        <w:trPr>
          <w:jc w:val="center"/>
        </w:trPr>
        <w:tc>
          <w:tcPr>
            <w:tcW w:w="5130" w:type="dxa"/>
            <w:vMerge/>
            <w:vAlign w:val="center"/>
          </w:tcPr>
          <w:p w14:paraId="3814AFF8" w14:textId="77777777" w:rsidR="00B44535" w:rsidRPr="00BC31E0" w:rsidRDefault="00B44535" w:rsidP="004736F2">
            <w:pPr>
              <w:spacing w:line="360" w:lineRule="atLeast"/>
            </w:pPr>
          </w:p>
        </w:tc>
        <w:tc>
          <w:tcPr>
            <w:tcW w:w="1295" w:type="dxa"/>
            <w:vAlign w:val="center"/>
          </w:tcPr>
          <w:p w14:paraId="0CAF925E"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300</w:t>
            </w:r>
          </w:p>
        </w:tc>
        <w:tc>
          <w:tcPr>
            <w:tcW w:w="1217" w:type="dxa"/>
            <w:vAlign w:val="center"/>
          </w:tcPr>
          <w:p w14:paraId="468EC863"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0.094</w:t>
            </w:r>
          </w:p>
        </w:tc>
        <w:tc>
          <w:tcPr>
            <w:tcW w:w="1482" w:type="dxa"/>
            <w:vAlign w:val="center"/>
          </w:tcPr>
          <w:p w14:paraId="6EAA4631"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623</w:t>
            </w:r>
          </w:p>
        </w:tc>
      </w:tr>
      <w:tr w:rsidR="00B44535" w:rsidRPr="00BC31E0" w14:paraId="32676E6F" w14:textId="77777777" w:rsidTr="004736F2">
        <w:trPr>
          <w:jc w:val="center"/>
        </w:trPr>
        <w:tc>
          <w:tcPr>
            <w:tcW w:w="5130" w:type="dxa"/>
            <w:vMerge/>
            <w:vAlign w:val="center"/>
          </w:tcPr>
          <w:p w14:paraId="4A755F63" w14:textId="77777777" w:rsidR="00B44535" w:rsidRPr="00BC31E0" w:rsidRDefault="00B44535" w:rsidP="004736F2">
            <w:pPr>
              <w:spacing w:line="360" w:lineRule="atLeast"/>
            </w:pPr>
          </w:p>
        </w:tc>
        <w:tc>
          <w:tcPr>
            <w:tcW w:w="1295" w:type="dxa"/>
            <w:vAlign w:val="center"/>
          </w:tcPr>
          <w:p w14:paraId="13D922D9"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400</w:t>
            </w:r>
          </w:p>
        </w:tc>
        <w:tc>
          <w:tcPr>
            <w:tcW w:w="1217" w:type="dxa"/>
            <w:vAlign w:val="center"/>
          </w:tcPr>
          <w:p w14:paraId="0C1A960F"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0.087</w:t>
            </w:r>
          </w:p>
        </w:tc>
        <w:tc>
          <w:tcPr>
            <w:tcW w:w="1482" w:type="dxa"/>
            <w:vAlign w:val="center"/>
          </w:tcPr>
          <w:p w14:paraId="72FB6BE7"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626</w:t>
            </w:r>
          </w:p>
        </w:tc>
      </w:tr>
      <w:tr w:rsidR="00B44535" w:rsidRPr="00BC31E0" w14:paraId="09752C6A" w14:textId="77777777" w:rsidTr="004736F2">
        <w:trPr>
          <w:jc w:val="center"/>
        </w:trPr>
        <w:tc>
          <w:tcPr>
            <w:tcW w:w="5130" w:type="dxa"/>
            <w:vMerge w:val="restart"/>
            <w:vAlign w:val="center"/>
          </w:tcPr>
          <w:p w14:paraId="4504795B" w14:textId="77777777" w:rsidR="00B44535" w:rsidRPr="00BC31E0" w:rsidRDefault="00B44535" w:rsidP="004736F2">
            <w:pPr>
              <w:spacing w:line="360" w:lineRule="atLeast"/>
            </w:pPr>
            <w:r w:rsidRPr="00BC31E0">
              <w:t>1Cr</w:t>
            </w:r>
            <w:r w:rsidRPr="00BC31E0">
              <w:rPr>
                <w:rFonts w:ascii="ＭＳ 明朝" w:hAnsi="ＭＳ 明朝"/>
              </w:rPr>
              <w:t>-</w:t>
            </w:r>
            <w:r w:rsidRPr="00BC31E0">
              <w:t>0.5Mo (</w:t>
            </w:r>
            <w:r w:rsidRPr="00BC31E0">
              <w:t>厚さ</w:t>
            </w:r>
            <w:r w:rsidRPr="00BC31E0">
              <w:rPr>
                <w:rFonts w:ascii="Cambria Math" w:hAnsi="Cambria Math"/>
                <w:sz w:val="22"/>
                <w:szCs w:val="22"/>
              </w:rPr>
              <w:t>20 mm</w:t>
            </w:r>
            <w:r w:rsidRPr="00BC31E0">
              <w:t>，溶接金属</w:t>
            </w:r>
            <w:r w:rsidRPr="00BC31E0">
              <w:t>)</w:t>
            </w:r>
          </w:p>
        </w:tc>
        <w:tc>
          <w:tcPr>
            <w:tcW w:w="1295" w:type="dxa"/>
            <w:vAlign w:val="center"/>
          </w:tcPr>
          <w:p w14:paraId="57B07A83"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20</w:t>
            </w:r>
          </w:p>
        </w:tc>
        <w:tc>
          <w:tcPr>
            <w:tcW w:w="1217" w:type="dxa"/>
            <w:vAlign w:val="center"/>
          </w:tcPr>
          <w:p w14:paraId="2858E75B"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0.088</w:t>
            </w:r>
          </w:p>
        </w:tc>
        <w:tc>
          <w:tcPr>
            <w:tcW w:w="1482" w:type="dxa"/>
            <w:vAlign w:val="center"/>
          </w:tcPr>
          <w:p w14:paraId="75B059E2"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668</w:t>
            </w:r>
          </w:p>
        </w:tc>
      </w:tr>
      <w:tr w:rsidR="00B44535" w:rsidRPr="00BC31E0" w14:paraId="3BFE3BD8" w14:textId="77777777" w:rsidTr="004736F2">
        <w:trPr>
          <w:jc w:val="center"/>
        </w:trPr>
        <w:tc>
          <w:tcPr>
            <w:tcW w:w="5130" w:type="dxa"/>
            <w:vMerge/>
            <w:vAlign w:val="center"/>
          </w:tcPr>
          <w:p w14:paraId="6F3594FA" w14:textId="77777777" w:rsidR="00B44535" w:rsidRPr="00BC31E0" w:rsidRDefault="00B44535" w:rsidP="004736F2">
            <w:pPr>
              <w:spacing w:line="360" w:lineRule="atLeast"/>
            </w:pPr>
          </w:p>
        </w:tc>
        <w:tc>
          <w:tcPr>
            <w:tcW w:w="1295" w:type="dxa"/>
            <w:vAlign w:val="center"/>
          </w:tcPr>
          <w:p w14:paraId="75A13D0B"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200</w:t>
            </w:r>
          </w:p>
        </w:tc>
        <w:tc>
          <w:tcPr>
            <w:tcW w:w="1217" w:type="dxa"/>
            <w:vAlign w:val="center"/>
          </w:tcPr>
          <w:p w14:paraId="45AFC382"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0.114</w:t>
            </w:r>
          </w:p>
        </w:tc>
        <w:tc>
          <w:tcPr>
            <w:tcW w:w="1482" w:type="dxa"/>
            <w:vAlign w:val="center"/>
          </w:tcPr>
          <w:p w14:paraId="02EC3D74"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708</w:t>
            </w:r>
          </w:p>
        </w:tc>
      </w:tr>
      <w:tr w:rsidR="00B44535" w:rsidRPr="00BC31E0" w14:paraId="48D88EFE" w14:textId="77777777" w:rsidTr="004736F2">
        <w:trPr>
          <w:jc w:val="center"/>
        </w:trPr>
        <w:tc>
          <w:tcPr>
            <w:tcW w:w="5130" w:type="dxa"/>
            <w:vMerge/>
            <w:vAlign w:val="center"/>
          </w:tcPr>
          <w:p w14:paraId="234AA9DC" w14:textId="77777777" w:rsidR="00B44535" w:rsidRPr="00BC31E0" w:rsidRDefault="00B44535" w:rsidP="004736F2">
            <w:pPr>
              <w:spacing w:line="360" w:lineRule="atLeast"/>
            </w:pPr>
          </w:p>
        </w:tc>
        <w:tc>
          <w:tcPr>
            <w:tcW w:w="1295" w:type="dxa"/>
            <w:vAlign w:val="center"/>
          </w:tcPr>
          <w:p w14:paraId="026325FB"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300</w:t>
            </w:r>
          </w:p>
        </w:tc>
        <w:tc>
          <w:tcPr>
            <w:tcW w:w="1217" w:type="dxa"/>
            <w:vAlign w:val="center"/>
          </w:tcPr>
          <w:p w14:paraId="30B4C57B"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0.085</w:t>
            </w:r>
          </w:p>
        </w:tc>
        <w:tc>
          <w:tcPr>
            <w:tcW w:w="1482" w:type="dxa"/>
            <w:vAlign w:val="center"/>
          </w:tcPr>
          <w:p w14:paraId="2208DB7A"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683</w:t>
            </w:r>
          </w:p>
        </w:tc>
      </w:tr>
      <w:tr w:rsidR="00B44535" w:rsidRPr="00BC31E0" w14:paraId="4CC8E6A0" w14:textId="77777777" w:rsidTr="004736F2">
        <w:trPr>
          <w:jc w:val="center"/>
        </w:trPr>
        <w:tc>
          <w:tcPr>
            <w:tcW w:w="5130" w:type="dxa"/>
            <w:vMerge/>
            <w:vAlign w:val="center"/>
          </w:tcPr>
          <w:p w14:paraId="36F27E8A" w14:textId="77777777" w:rsidR="00B44535" w:rsidRPr="00BC31E0" w:rsidRDefault="00B44535" w:rsidP="004736F2">
            <w:pPr>
              <w:spacing w:line="360" w:lineRule="atLeast"/>
            </w:pPr>
          </w:p>
        </w:tc>
        <w:tc>
          <w:tcPr>
            <w:tcW w:w="1295" w:type="dxa"/>
            <w:vAlign w:val="center"/>
          </w:tcPr>
          <w:p w14:paraId="0FED4CED"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400</w:t>
            </w:r>
          </w:p>
        </w:tc>
        <w:tc>
          <w:tcPr>
            <w:tcW w:w="1217" w:type="dxa"/>
            <w:vAlign w:val="center"/>
          </w:tcPr>
          <w:p w14:paraId="1DACDCF1"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0.076</w:t>
            </w:r>
          </w:p>
        </w:tc>
        <w:tc>
          <w:tcPr>
            <w:tcW w:w="1482" w:type="dxa"/>
            <w:vAlign w:val="center"/>
          </w:tcPr>
          <w:p w14:paraId="0BA4CFE9"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599</w:t>
            </w:r>
          </w:p>
        </w:tc>
      </w:tr>
      <w:tr w:rsidR="00B44535" w:rsidRPr="00BC31E0" w14:paraId="198F54DB" w14:textId="77777777" w:rsidTr="004736F2">
        <w:trPr>
          <w:jc w:val="center"/>
        </w:trPr>
        <w:tc>
          <w:tcPr>
            <w:tcW w:w="5130" w:type="dxa"/>
            <w:vMerge w:val="restart"/>
            <w:vAlign w:val="center"/>
          </w:tcPr>
          <w:p w14:paraId="52445ED1" w14:textId="77777777" w:rsidR="00B44535" w:rsidRPr="00BC31E0" w:rsidRDefault="00B44535" w:rsidP="004736F2">
            <w:pPr>
              <w:spacing w:line="360" w:lineRule="atLeast"/>
            </w:pPr>
            <w:r w:rsidRPr="00BC31E0">
              <w:t>1Cr</w:t>
            </w:r>
            <w:r w:rsidRPr="00BC31E0">
              <w:rPr>
                <w:rFonts w:ascii="ＭＳ 明朝" w:hAnsi="ＭＳ 明朝"/>
              </w:rPr>
              <w:t>-</w:t>
            </w:r>
            <w:r w:rsidRPr="00BC31E0">
              <w:t>0.5Mo (</w:t>
            </w:r>
            <w:r w:rsidRPr="00BC31E0">
              <w:t>厚さ</w:t>
            </w:r>
            <w:r w:rsidRPr="00BC31E0">
              <w:rPr>
                <w:rFonts w:ascii="Cambria Math" w:hAnsi="Cambria Math"/>
                <w:sz w:val="22"/>
                <w:szCs w:val="22"/>
              </w:rPr>
              <w:t>50 mm</w:t>
            </w:r>
            <w:r w:rsidRPr="00BC31E0">
              <w:t>，母材</w:t>
            </w:r>
            <w:r w:rsidRPr="00BC31E0">
              <w:t>)</w:t>
            </w:r>
          </w:p>
        </w:tc>
        <w:tc>
          <w:tcPr>
            <w:tcW w:w="1295" w:type="dxa"/>
            <w:vAlign w:val="center"/>
          </w:tcPr>
          <w:p w14:paraId="23F657D6"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20</w:t>
            </w:r>
          </w:p>
        </w:tc>
        <w:tc>
          <w:tcPr>
            <w:tcW w:w="1217" w:type="dxa"/>
            <w:vAlign w:val="center"/>
          </w:tcPr>
          <w:p w14:paraId="3C947366"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0.105</w:t>
            </w:r>
          </w:p>
        </w:tc>
        <w:tc>
          <w:tcPr>
            <w:tcW w:w="1482" w:type="dxa"/>
            <w:vAlign w:val="center"/>
          </w:tcPr>
          <w:p w14:paraId="261BF4E9"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638</w:t>
            </w:r>
          </w:p>
        </w:tc>
      </w:tr>
      <w:tr w:rsidR="00B44535" w:rsidRPr="00BC31E0" w14:paraId="3F7A4664" w14:textId="77777777" w:rsidTr="004736F2">
        <w:trPr>
          <w:jc w:val="center"/>
        </w:trPr>
        <w:tc>
          <w:tcPr>
            <w:tcW w:w="5130" w:type="dxa"/>
            <w:vMerge/>
            <w:vAlign w:val="center"/>
          </w:tcPr>
          <w:p w14:paraId="2AB7109B" w14:textId="77777777" w:rsidR="00B44535" w:rsidRPr="00BC31E0" w:rsidRDefault="00B44535" w:rsidP="004736F2">
            <w:pPr>
              <w:spacing w:line="360" w:lineRule="atLeast"/>
            </w:pPr>
          </w:p>
        </w:tc>
        <w:tc>
          <w:tcPr>
            <w:tcW w:w="1295" w:type="dxa"/>
            <w:vAlign w:val="center"/>
          </w:tcPr>
          <w:p w14:paraId="4C04C2E1"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200</w:t>
            </w:r>
          </w:p>
        </w:tc>
        <w:tc>
          <w:tcPr>
            <w:tcW w:w="1217" w:type="dxa"/>
            <w:vAlign w:val="center"/>
          </w:tcPr>
          <w:p w14:paraId="6DB510E5"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0.133</w:t>
            </w:r>
          </w:p>
        </w:tc>
        <w:tc>
          <w:tcPr>
            <w:tcW w:w="1482" w:type="dxa"/>
            <w:vAlign w:val="center"/>
          </w:tcPr>
          <w:p w14:paraId="56561541"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684</w:t>
            </w:r>
          </w:p>
        </w:tc>
      </w:tr>
      <w:tr w:rsidR="00B44535" w:rsidRPr="00BC31E0" w14:paraId="501C0511" w14:textId="77777777" w:rsidTr="004736F2">
        <w:trPr>
          <w:jc w:val="center"/>
        </w:trPr>
        <w:tc>
          <w:tcPr>
            <w:tcW w:w="5130" w:type="dxa"/>
            <w:vMerge/>
            <w:vAlign w:val="center"/>
          </w:tcPr>
          <w:p w14:paraId="50EB33C2" w14:textId="77777777" w:rsidR="00B44535" w:rsidRPr="00BC31E0" w:rsidRDefault="00B44535" w:rsidP="004736F2">
            <w:pPr>
              <w:spacing w:line="360" w:lineRule="atLeast"/>
            </w:pPr>
          </w:p>
        </w:tc>
        <w:tc>
          <w:tcPr>
            <w:tcW w:w="1295" w:type="dxa"/>
            <w:vAlign w:val="center"/>
          </w:tcPr>
          <w:p w14:paraId="6A2D739D"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300</w:t>
            </w:r>
          </w:p>
        </w:tc>
        <w:tc>
          <w:tcPr>
            <w:tcW w:w="1217" w:type="dxa"/>
            <w:vAlign w:val="center"/>
          </w:tcPr>
          <w:p w14:paraId="6CB93B94"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0.086</w:t>
            </w:r>
          </w:p>
        </w:tc>
        <w:tc>
          <w:tcPr>
            <w:tcW w:w="1482" w:type="dxa"/>
            <w:vAlign w:val="center"/>
          </w:tcPr>
          <w:p w14:paraId="192F8C09"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607</w:t>
            </w:r>
          </w:p>
        </w:tc>
      </w:tr>
      <w:tr w:rsidR="00B44535" w:rsidRPr="00BC31E0" w14:paraId="1DEF7C77" w14:textId="77777777" w:rsidTr="004736F2">
        <w:trPr>
          <w:jc w:val="center"/>
        </w:trPr>
        <w:tc>
          <w:tcPr>
            <w:tcW w:w="5130" w:type="dxa"/>
            <w:vMerge/>
            <w:vAlign w:val="center"/>
          </w:tcPr>
          <w:p w14:paraId="5DFB482C" w14:textId="77777777" w:rsidR="00B44535" w:rsidRPr="00BC31E0" w:rsidRDefault="00B44535" w:rsidP="004736F2">
            <w:pPr>
              <w:spacing w:line="360" w:lineRule="atLeast"/>
            </w:pPr>
          </w:p>
        </w:tc>
        <w:tc>
          <w:tcPr>
            <w:tcW w:w="1295" w:type="dxa"/>
            <w:vAlign w:val="center"/>
          </w:tcPr>
          <w:p w14:paraId="0C0CA883"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400</w:t>
            </w:r>
          </w:p>
        </w:tc>
        <w:tc>
          <w:tcPr>
            <w:tcW w:w="1217" w:type="dxa"/>
            <w:vAlign w:val="center"/>
          </w:tcPr>
          <w:p w14:paraId="5CA96BFA"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0.079</w:t>
            </w:r>
          </w:p>
        </w:tc>
        <w:tc>
          <w:tcPr>
            <w:tcW w:w="1482" w:type="dxa"/>
            <w:vAlign w:val="center"/>
          </w:tcPr>
          <w:p w14:paraId="6AA02D1C"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577</w:t>
            </w:r>
          </w:p>
        </w:tc>
      </w:tr>
    </w:tbl>
    <w:p w14:paraId="0786AD49" w14:textId="77777777" w:rsidR="00B44535" w:rsidRPr="00BC31E0" w:rsidRDefault="00B44535" w:rsidP="00B44535">
      <w:pPr>
        <w:rPr>
          <w:rFonts w:ascii="ＭＳ ゴシック" w:eastAsia="ＭＳ ゴシック" w:hAnsi="ＭＳ ゴシック"/>
          <w:b/>
        </w:rPr>
      </w:pPr>
    </w:p>
    <w:p w14:paraId="54B28B02" w14:textId="77777777" w:rsidR="00A94C7D" w:rsidRPr="00BC31E0" w:rsidRDefault="00A94C7D">
      <w:pPr>
        <w:widowControl/>
        <w:jc w:val="left"/>
        <w:rPr>
          <w:rFonts w:ascii="ＭＳ ゴシック" w:eastAsia="ＭＳ ゴシック" w:hAnsi="ＭＳ ゴシック"/>
          <w:b/>
        </w:rPr>
      </w:pPr>
      <w:r w:rsidRPr="00BC31E0">
        <w:rPr>
          <w:rFonts w:ascii="ＭＳ ゴシック" w:eastAsia="ＭＳ ゴシック" w:hAnsi="ＭＳ ゴシック"/>
          <w:b/>
        </w:rPr>
        <w:br w:type="page"/>
      </w:r>
    </w:p>
    <w:p w14:paraId="608B9C1F" w14:textId="77777777" w:rsidR="00B44535" w:rsidRPr="00BC31E0" w:rsidRDefault="00B44535" w:rsidP="004D7103">
      <w:pPr>
        <w:pStyle w:val="af4"/>
      </w:pPr>
      <w:r w:rsidRPr="00BC31E0">
        <w:rPr>
          <w:rFonts w:hint="eastAsia"/>
        </w:rPr>
        <w:lastRenderedPageBreak/>
        <w:t>表</w:t>
      </w:r>
      <w:r w:rsidRPr="00BC31E0">
        <w:t>D.2</w:t>
      </w:r>
      <w:r w:rsidRPr="00BC31E0">
        <w:rPr>
          <w:rFonts w:hint="eastAsia"/>
        </w:rPr>
        <w:t xml:space="preserve">　繰返し応力－ひずみ曲線の材料特性</w:t>
      </w:r>
      <w:r w:rsidRPr="00BC31E0">
        <w:t>(</w:t>
      </w:r>
      <w:r w:rsidRPr="00BC31E0">
        <w:rPr>
          <w:rFonts w:hint="eastAsia"/>
        </w:rPr>
        <w:t>続き</w:t>
      </w:r>
      <w:r w:rsidRPr="00BC31E0">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02"/>
        <w:gridCol w:w="1115"/>
        <w:gridCol w:w="1437"/>
        <w:gridCol w:w="1413"/>
      </w:tblGrid>
      <w:tr w:rsidR="00B44535" w:rsidRPr="00BC31E0" w14:paraId="5B8EAEC0" w14:textId="77777777" w:rsidTr="004736F2">
        <w:trPr>
          <w:jc w:val="center"/>
        </w:trPr>
        <w:tc>
          <w:tcPr>
            <w:tcW w:w="5102" w:type="dxa"/>
            <w:vAlign w:val="center"/>
          </w:tcPr>
          <w:p w14:paraId="66F14DA4" w14:textId="77777777" w:rsidR="00B44535" w:rsidRPr="00BC31E0" w:rsidRDefault="00B44535" w:rsidP="004736F2">
            <w:pPr>
              <w:snapToGrid w:val="0"/>
              <w:jc w:val="center"/>
            </w:pPr>
            <w:r w:rsidRPr="00BC31E0">
              <w:rPr>
                <w:rFonts w:hint="eastAsia"/>
              </w:rPr>
              <w:t>材　料</w:t>
            </w:r>
          </w:p>
        </w:tc>
        <w:tc>
          <w:tcPr>
            <w:tcW w:w="1115" w:type="dxa"/>
            <w:vAlign w:val="center"/>
          </w:tcPr>
          <w:p w14:paraId="523C7A7F" w14:textId="77777777" w:rsidR="00B44535" w:rsidRPr="00BC31E0" w:rsidRDefault="00B44535" w:rsidP="004736F2">
            <w:pPr>
              <w:snapToGrid w:val="0"/>
              <w:jc w:val="center"/>
            </w:pPr>
            <w:r w:rsidRPr="00BC31E0">
              <w:rPr>
                <w:rFonts w:hint="eastAsia"/>
              </w:rPr>
              <w:t>温度</w:t>
            </w:r>
          </w:p>
          <w:p w14:paraId="753445E1" w14:textId="77777777" w:rsidR="00B44535" w:rsidRPr="00BC31E0" w:rsidRDefault="00B44535" w:rsidP="004736F2">
            <w:pPr>
              <w:snapToGrid w:val="0"/>
              <w:jc w:val="center"/>
            </w:pPr>
            <w:r w:rsidRPr="00BC31E0">
              <w:t>(</w:t>
            </w:r>
            <w:r w:rsidRPr="00BC31E0">
              <w:rPr>
                <w:rFonts w:ascii="Cambria Math" w:eastAsiaTheme="minorEastAsia" w:hAnsi="Cambria Math"/>
              </w:rPr>
              <w:t>℃</w:t>
            </w:r>
            <w:r w:rsidRPr="00BC31E0">
              <w:t>)</w:t>
            </w:r>
          </w:p>
        </w:tc>
        <w:tc>
          <w:tcPr>
            <w:tcW w:w="1437" w:type="dxa"/>
            <w:vAlign w:val="center"/>
          </w:tcPr>
          <w:p w14:paraId="7169D095" w14:textId="77777777" w:rsidR="00B44535" w:rsidRPr="00BC31E0" w:rsidRDefault="00A51873" w:rsidP="004736F2">
            <w:pPr>
              <w:snapToGrid w:val="0"/>
              <w:jc w:val="center"/>
            </w:pPr>
            <m:oMathPara>
              <m:oMath>
                <m:sSub>
                  <m:sSubPr>
                    <m:ctrlPr>
                      <w:rPr>
                        <w:rFonts w:ascii="Cambria Math" w:hAnsi="Cambria Math"/>
                      </w:rPr>
                    </m:ctrlPr>
                  </m:sSubPr>
                  <m:e>
                    <m:r>
                      <w:rPr>
                        <w:rFonts w:ascii="Cambria Math" w:hAnsi="Cambria Math" w:hint="eastAsia"/>
                      </w:rPr>
                      <m:t>n</m:t>
                    </m:r>
                  </m:e>
                  <m:sub>
                    <m:r>
                      <w:rPr>
                        <w:rFonts w:ascii="Cambria Math" w:hAnsi="Cambria Math"/>
                      </w:rPr>
                      <m:t>CSS</m:t>
                    </m:r>
                  </m:sub>
                </m:sSub>
              </m:oMath>
            </m:oMathPara>
          </w:p>
        </w:tc>
        <w:tc>
          <w:tcPr>
            <w:tcW w:w="1413" w:type="dxa"/>
            <w:vAlign w:val="center"/>
          </w:tcPr>
          <w:p w14:paraId="0373CA1C" w14:textId="77777777" w:rsidR="00B44535" w:rsidRPr="00BC31E0" w:rsidRDefault="00A51873" w:rsidP="004736F2">
            <w:pPr>
              <w:snapToGrid w:val="0"/>
              <w:jc w:val="center"/>
              <w:rPr>
                <w:vertAlign w:val="subscript"/>
              </w:rPr>
            </w:pPr>
            <m:oMathPara>
              <m:oMath>
                <m:sSub>
                  <m:sSubPr>
                    <m:ctrlPr>
                      <w:rPr>
                        <w:rFonts w:ascii="Cambria Math" w:hAnsi="Cambria Math"/>
                      </w:rPr>
                    </m:ctrlPr>
                  </m:sSubPr>
                  <m:e>
                    <m:r>
                      <w:rPr>
                        <w:rFonts w:ascii="Cambria Math" w:hAnsi="Cambria Math"/>
                      </w:rPr>
                      <m:t>K</m:t>
                    </m:r>
                  </m:e>
                  <m:sub>
                    <m:r>
                      <w:rPr>
                        <w:rFonts w:ascii="Cambria Math" w:hAnsi="Cambria Math"/>
                      </w:rPr>
                      <m:t>CSS</m:t>
                    </m:r>
                  </m:sub>
                </m:sSub>
              </m:oMath>
            </m:oMathPara>
          </w:p>
          <w:p w14:paraId="0C1D4FE5" w14:textId="77777777" w:rsidR="00B44535" w:rsidRPr="00BC31E0" w:rsidRDefault="00B44535" w:rsidP="004736F2">
            <w:pPr>
              <w:snapToGrid w:val="0"/>
              <w:jc w:val="center"/>
            </w:pPr>
            <w:r w:rsidRPr="00BC31E0">
              <w:rPr>
                <w:rFonts w:hint="eastAsia"/>
              </w:rPr>
              <w:t>(</w:t>
            </w:r>
            <w:r w:rsidRPr="00BC31E0">
              <w:rPr>
                <w:rFonts w:ascii="Cambria Math" w:hAnsi="Cambria Math"/>
              </w:rPr>
              <w:t>MPa</w:t>
            </w:r>
            <w:r w:rsidRPr="00BC31E0">
              <w:rPr>
                <w:rFonts w:hint="eastAsia"/>
              </w:rPr>
              <w:t>)</w:t>
            </w:r>
          </w:p>
        </w:tc>
      </w:tr>
      <w:tr w:rsidR="00B44535" w:rsidRPr="00BC31E0" w14:paraId="090E7873" w14:textId="77777777" w:rsidTr="004736F2">
        <w:trPr>
          <w:jc w:val="center"/>
        </w:trPr>
        <w:tc>
          <w:tcPr>
            <w:tcW w:w="5102" w:type="dxa"/>
            <w:vMerge w:val="restart"/>
            <w:vAlign w:val="center"/>
          </w:tcPr>
          <w:p w14:paraId="0BD2DC30" w14:textId="77777777" w:rsidR="00B44535" w:rsidRPr="00BC31E0" w:rsidRDefault="00B44535" w:rsidP="004736F2">
            <w:r w:rsidRPr="00BC31E0">
              <w:t>1Cr</w:t>
            </w:r>
            <w:r w:rsidRPr="00BC31E0">
              <w:rPr>
                <w:rFonts w:ascii="ＭＳ 明朝" w:hAnsi="ＭＳ 明朝"/>
              </w:rPr>
              <w:t>-</w:t>
            </w:r>
            <w:r w:rsidRPr="00BC31E0">
              <w:t>1Mo</w:t>
            </w:r>
            <w:r w:rsidRPr="00BC31E0">
              <w:rPr>
                <w:rFonts w:ascii="ＭＳ 明朝" w:hAnsi="ＭＳ 明朝"/>
              </w:rPr>
              <w:t>-</w:t>
            </w:r>
            <w:r w:rsidRPr="00BC31E0">
              <w:t>0.25V</w:t>
            </w:r>
          </w:p>
        </w:tc>
        <w:tc>
          <w:tcPr>
            <w:tcW w:w="1115" w:type="dxa"/>
            <w:vAlign w:val="center"/>
          </w:tcPr>
          <w:p w14:paraId="3355C826"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20</w:t>
            </w:r>
          </w:p>
        </w:tc>
        <w:tc>
          <w:tcPr>
            <w:tcW w:w="1437" w:type="dxa"/>
            <w:vAlign w:val="center"/>
          </w:tcPr>
          <w:p w14:paraId="7CEC21CF"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0.128</w:t>
            </w:r>
          </w:p>
        </w:tc>
        <w:tc>
          <w:tcPr>
            <w:tcW w:w="1413" w:type="dxa"/>
            <w:vAlign w:val="center"/>
          </w:tcPr>
          <w:p w14:paraId="09D9F165"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1,082</w:t>
            </w:r>
          </w:p>
        </w:tc>
      </w:tr>
      <w:tr w:rsidR="00B44535" w:rsidRPr="00BC31E0" w14:paraId="742D913D" w14:textId="77777777" w:rsidTr="004736F2">
        <w:trPr>
          <w:jc w:val="center"/>
        </w:trPr>
        <w:tc>
          <w:tcPr>
            <w:tcW w:w="5102" w:type="dxa"/>
            <w:vMerge/>
            <w:vAlign w:val="center"/>
          </w:tcPr>
          <w:p w14:paraId="0B2F9591" w14:textId="77777777" w:rsidR="00B44535" w:rsidRPr="00BC31E0" w:rsidRDefault="00B44535" w:rsidP="004736F2"/>
        </w:tc>
        <w:tc>
          <w:tcPr>
            <w:tcW w:w="1115" w:type="dxa"/>
            <w:vAlign w:val="center"/>
          </w:tcPr>
          <w:p w14:paraId="3B89A196"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400</w:t>
            </w:r>
          </w:p>
        </w:tc>
        <w:tc>
          <w:tcPr>
            <w:tcW w:w="1437" w:type="dxa"/>
            <w:vAlign w:val="center"/>
          </w:tcPr>
          <w:p w14:paraId="2A08BD07"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0.128</w:t>
            </w:r>
          </w:p>
        </w:tc>
        <w:tc>
          <w:tcPr>
            <w:tcW w:w="1413" w:type="dxa"/>
            <w:vAlign w:val="center"/>
          </w:tcPr>
          <w:p w14:paraId="2C487E99"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912</w:t>
            </w:r>
          </w:p>
        </w:tc>
      </w:tr>
      <w:tr w:rsidR="00B44535" w:rsidRPr="00BC31E0" w14:paraId="5A76D67E" w14:textId="77777777" w:rsidTr="004736F2">
        <w:trPr>
          <w:jc w:val="center"/>
        </w:trPr>
        <w:tc>
          <w:tcPr>
            <w:tcW w:w="5102" w:type="dxa"/>
            <w:vMerge/>
            <w:vAlign w:val="center"/>
          </w:tcPr>
          <w:p w14:paraId="1329D350" w14:textId="77777777" w:rsidR="00B44535" w:rsidRPr="00BC31E0" w:rsidRDefault="00B44535" w:rsidP="004736F2"/>
        </w:tc>
        <w:tc>
          <w:tcPr>
            <w:tcW w:w="1115" w:type="dxa"/>
            <w:vAlign w:val="center"/>
          </w:tcPr>
          <w:p w14:paraId="469C6B2B"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500</w:t>
            </w:r>
          </w:p>
        </w:tc>
        <w:tc>
          <w:tcPr>
            <w:tcW w:w="1437" w:type="dxa"/>
            <w:vAlign w:val="center"/>
          </w:tcPr>
          <w:p w14:paraId="79C838EB"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0.143</w:t>
            </w:r>
          </w:p>
        </w:tc>
        <w:tc>
          <w:tcPr>
            <w:tcW w:w="1413" w:type="dxa"/>
            <w:vAlign w:val="center"/>
          </w:tcPr>
          <w:p w14:paraId="113C8995"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815</w:t>
            </w:r>
          </w:p>
        </w:tc>
      </w:tr>
      <w:tr w:rsidR="00B44535" w:rsidRPr="00BC31E0" w14:paraId="1CADB427" w14:textId="77777777" w:rsidTr="004736F2">
        <w:trPr>
          <w:jc w:val="center"/>
        </w:trPr>
        <w:tc>
          <w:tcPr>
            <w:tcW w:w="5102" w:type="dxa"/>
            <w:vMerge/>
            <w:vAlign w:val="center"/>
          </w:tcPr>
          <w:p w14:paraId="1C0F96E9" w14:textId="77777777" w:rsidR="00B44535" w:rsidRPr="00BC31E0" w:rsidRDefault="00B44535" w:rsidP="004736F2"/>
        </w:tc>
        <w:tc>
          <w:tcPr>
            <w:tcW w:w="1115" w:type="dxa"/>
            <w:vAlign w:val="center"/>
          </w:tcPr>
          <w:p w14:paraId="1D1D3B25"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550</w:t>
            </w:r>
          </w:p>
        </w:tc>
        <w:tc>
          <w:tcPr>
            <w:tcW w:w="1437" w:type="dxa"/>
            <w:vAlign w:val="center"/>
          </w:tcPr>
          <w:p w14:paraId="0572AD66"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0.133</w:t>
            </w:r>
          </w:p>
        </w:tc>
        <w:tc>
          <w:tcPr>
            <w:tcW w:w="1413" w:type="dxa"/>
            <w:vAlign w:val="center"/>
          </w:tcPr>
          <w:p w14:paraId="1B72C2F3"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693</w:t>
            </w:r>
          </w:p>
        </w:tc>
      </w:tr>
      <w:tr w:rsidR="00B44535" w:rsidRPr="00BC31E0" w14:paraId="3B163C39" w14:textId="77777777" w:rsidTr="004736F2">
        <w:trPr>
          <w:jc w:val="center"/>
        </w:trPr>
        <w:tc>
          <w:tcPr>
            <w:tcW w:w="5102" w:type="dxa"/>
            <w:vMerge/>
            <w:vAlign w:val="center"/>
          </w:tcPr>
          <w:p w14:paraId="4EE507C5" w14:textId="77777777" w:rsidR="00B44535" w:rsidRPr="00BC31E0" w:rsidRDefault="00B44535" w:rsidP="004736F2"/>
        </w:tc>
        <w:tc>
          <w:tcPr>
            <w:tcW w:w="1115" w:type="dxa"/>
            <w:vAlign w:val="center"/>
          </w:tcPr>
          <w:p w14:paraId="4367F4F8"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600</w:t>
            </w:r>
          </w:p>
        </w:tc>
        <w:tc>
          <w:tcPr>
            <w:tcW w:w="1437" w:type="dxa"/>
            <w:vAlign w:val="center"/>
          </w:tcPr>
          <w:p w14:paraId="062DB739"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0.153</w:t>
            </w:r>
          </w:p>
        </w:tc>
        <w:tc>
          <w:tcPr>
            <w:tcW w:w="1413" w:type="dxa"/>
            <w:vAlign w:val="center"/>
          </w:tcPr>
          <w:p w14:paraId="22DAB31E"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556</w:t>
            </w:r>
          </w:p>
        </w:tc>
      </w:tr>
      <w:tr w:rsidR="00B44535" w:rsidRPr="00BC31E0" w14:paraId="017F8154" w14:textId="77777777" w:rsidTr="004736F2">
        <w:trPr>
          <w:jc w:val="center"/>
        </w:trPr>
        <w:tc>
          <w:tcPr>
            <w:tcW w:w="5102" w:type="dxa"/>
            <w:vMerge w:val="restart"/>
            <w:vAlign w:val="center"/>
          </w:tcPr>
          <w:p w14:paraId="5F1124A2" w14:textId="77777777" w:rsidR="00B44535" w:rsidRPr="00BC31E0" w:rsidRDefault="00B44535" w:rsidP="004736F2">
            <w:r w:rsidRPr="00BC31E0">
              <w:t>2.25Cr</w:t>
            </w:r>
            <w:r w:rsidRPr="00BC31E0">
              <w:rPr>
                <w:rFonts w:ascii="ＭＳ 明朝" w:hAnsi="ＭＳ 明朝"/>
              </w:rPr>
              <w:t>-</w:t>
            </w:r>
            <w:r w:rsidRPr="00BC31E0">
              <w:t>1Mo</w:t>
            </w:r>
          </w:p>
        </w:tc>
        <w:tc>
          <w:tcPr>
            <w:tcW w:w="1115" w:type="dxa"/>
            <w:vAlign w:val="center"/>
          </w:tcPr>
          <w:p w14:paraId="2FB73118"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20</w:t>
            </w:r>
          </w:p>
        </w:tc>
        <w:tc>
          <w:tcPr>
            <w:tcW w:w="1437" w:type="dxa"/>
            <w:vAlign w:val="center"/>
          </w:tcPr>
          <w:p w14:paraId="21E3422F"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0.100</w:t>
            </w:r>
          </w:p>
        </w:tc>
        <w:tc>
          <w:tcPr>
            <w:tcW w:w="1413" w:type="dxa"/>
            <w:vAlign w:val="center"/>
          </w:tcPr>
          <w:p w14:paraId="266EBE19"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796</w:t>
            </w:r>
          </w:p>
        </w:tc>
      </w:tr>
      <w:tr w:rsidR="00B44535" w:rsidRPr="00BC31E0" w14:paraId="53101799" w14:textId="77777777" w:rsidTr="004736F2">
        <w:trPr>
          <w:jc w:val="center"/>
        </w:trPr>
        <w:tc>
          <w:tcPr>
            <w:tcW w:w="5102" w:type="dxa"/>
            <w:vMerge/>
            <w:vAlign w:val="center"/>
          </w:tcPr>
          <w:p w14:paraId="1391287E" w14:textId="77777777" w:rsidR="00B44535" w:rsidRPr="00BC31E0" w:rsidRDefault="00B44535" w:rsidP="004736F2"/>
        </w:tc>
        <w:tc>
          <w:tcPr>
            <w:tcW w:w="1115" w:type="dxa"/>
            <w:vAlign w:val="center"/>
          </w:tcPr>
          <w:p w14:paraId="42CB2D5C"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300</w:t>
            </w:r>
          </w:p>
        </w:tc>
        <w:tc>
          <w:tcPr>
            <w:tcW w:w="1437" w:type="dxa"/>
            <w:vAlign w:val="center"/>
          </w:tcPr>
          <w:p w14:paraId="0798019F"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0.109</w:t>
            </w:r>
          </w:p>
        </w:tc>
        <w:tc>
          <w:tcPr>
            <w:tcW w:w="1413" w:type="dxa"/>
            <w:vAlign w:val="center"/>
          </w:tcPr>
          <w:p w14:paraId="6D82EECD"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741</w:t>
            </w:r>
          </w:p>
        </w:tc>
      </w:tr>
      <w:tr w:rsidR="00B44535" w:rsidRPr="00BC31E0" w14:paraId="37CC8F5A" w14:textId="77777777" w:rsidTr="004736F2">
        <w:trPr>
          <w:jc w:val="center"/>
        </w:trPr>
        <w:tc>
          <w:tcPr>
            <w:tcW w:w="5102" w:type="dxa"/>
            <w:vMerge/>
            <w:vAlign w:val="center"/>
          </w:tcPr>
          <w:p w14:paraId="2B661C6E" w14:textId="77777777" w:rsidR="00B44535" w:rsidRPr="00BC31E0" w:rsidRDefault="00B44535" w:rsidP="004736F2"/>
        </w:tc>
        <w:tc>
          <w:tcPr>
            <w:tcW w:w="1115" w:type="dxa"/>
            <w:vAlign w:val="center"/>
          </w:tcPr>
          <w:p w14:paraId="075D6542"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400</w:t>
            </w:r>
          </w:p>
        </w:tc>
        <w:tc>
          <w:tcPr>
            <w:tcW w:w="1437" w:type="dxa"/>
            <w:vAlign w:val="center"/>
          </w:tcPr>
          <w:p w14:paraId="2502386B"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0.096</w:t>
            </w:r>
          </w:p>
        </w:tc>
        <w:tc>
          <w:tcPr>
            <w:tcW w:w="1413" w:type="dxa"/>
            <w:vAlign w:val="center"/>
          </w:tcPr>
          <w:p w14:paraId="613B377D"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730</w:t>
            </w:r>
          </w:p>
        </w:tc>
      </w:tr>
      <w:tr w:rsidR="00B44535" w:rsidRPr="00BC31E0" w14:paraId="26615D74" w14:textId="77777777" w:rsidTr="004736F2">
        <w:trPr>
          <w:jc w:val="center"/>
        </w:trPr>
        <w:tc>
          <w:tcPr>
            <w:tcW w:w="5102" w:type="dxa"/>
            <w:vMerge/>
            <w:vAlign w:val="center"/>
          </w:tcPr>
          <w:p w14:paraId="3DA43A79" w14:textId="77777777" w:rsidR="00B44535" w:rsidRPr="00BC31E0" w:rsidRDefault="00B44535" w:rsidP="004736F2"/>
        </w:tc>
        <w:tc>
          <w:tcPr>
            <w:tcW w:w="1115" w:type="dxa"/>
            <w:vAlign w:val="center"/>
          </w:tcPr>
          <w:p w14:paraId="6064186F"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500</w:t>
            </w:r>
          </w:p>
        </w:tc>
        <w:tc>
          <w:tcPr>
            <w:tcW w:w="1437" w:type="dxa"/>
            <w:vAlign w:val="center"/>
          </w:tcPr>
          <w:p w14:paraId="7B0A4A6A"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0.105</w:t>
            </w:r>
          </w:p>
        </w:tc>
        <w:tc>
          <w:tcPr>
            <w:tcW w:w="1413" w:type="dxa"/>
            <w:vAlign w:val="center"/>
          </w:tcPr>
          <w:p w14:paraId="54D5BA85"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652</w:t>
            </w:r>
          </w:p>
        </w:tc>
      </w:tr>
      <w:tr w:rsidR="00B44535" w:rsidRPr="00BC31E0" w14:paraId="469D3317" w14:textId="77777777" w:rsidTr="004736F2">
        <w:trPr>
          <w:jc w:val="center"/>
        </w:trPr>
        <w:tc>
          <w:tcPr>
            <w:tcW w:w="5102" w:type="dxa"/>
            <w:vMerge/>
            <w:vAlign w:val="center"/>
          </w:tcPr>
          <w:p w14:paraId="004AFC84" w14:textId="77777777" w:rsidR="00B44535" w:rsidRPr="00BC31E0" w:rsidRDefault="00B44535" w:rsidP="004736F2"/>
        </w:tc>
        <w:tc>
          <w:tcPr>
            <w:tcW w:w="1115" w:type="dxa"/>
            <w:vAlign w:val="center"/>
          </w:tcPr>
          <w:p w14:paraId="57C61178"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600</w:t>
            </w:r>
          </w:p>
        </w:tc>
        <w:tc>
          <w:tcPr>
            <w:tcW w:w="1437" w:type="dxa"/>
            <w:vAlign w:val="center"/>
          </w:tcPr>
          <w:p w14:paraId="6499074D"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0.082</w:t>
            </w:r>
          </w:p>
        </w:tc>
        <w:tc>
          <w:tcPr>
            <w:tcW w:w="1413" w:type="dxa"/>
            <w:vAlign w:val="center"/>
          </w:tcPr>
          <w:p w14:paraId="5DBA13FA"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428</w:t>
            </w:r>
          </w:p>
        </w:tc>
      </w:tr>
      <w:tr w:rsidR="00B44535" w:rsidRPr="00BC31E0" w14:paraId="2F48A72C" w14:textId="77777777" w:rsidTr="004736F2">
        <w:trPr>
          <w:jc w:val="center"/>
        </w:trPr>
        <w:tc>
          <w:tcPr>
            <w:tcW w:w="5102" w:type="dxa"/>
            <w:vMerge w:val="restart"/>
            <w:vAlign w:val="center"/>
          </w:tcPr>
          <w:p w14:paraId="17BDC7F5" w14:textId="77777777" w:rsidR="00B44535" w:rsidRPr="00BC31E0" w:rsidRDefault="00B44535" w:rsidP="004736F2">
            <w:r w:rsidRPr="00BC31E0">
              <w:t>9Cr</w:t>
            </w:r>
            <w:r w:rsidRPr="00BC31E0">
              <w:rPr>
                <w:rFonts w:ascii="ＭＳ 明朝" w:hAnsi="ＭＳ 明朝"/>
              </w:rPr>
              <w:t>-</w:t>
            </w:r>
            <w:r w:rsidRPr="00BC31E0">
              <w:t>1Mo</w:t>
            </w:r>
          </w:p>
        </w:tc>
        <w:tc>
          <w:tcPr>
            <w:tcW w:w="1115" w:type="dxa"/>
            <w:vAlign w:val="center"/>
          </w:tcPr>
          <w:p w14:paraId="66ACCA3C"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20</w:t>
            </w:r>
          </w:p>
        </w:tc>
        <w:tc>
          <w:tcPr>
            <w:tcW w:w="1437" w:type="dxa"/>
            <w:vAlign w:val="center"/>
          </w:tcPr>
          <w:p w14:paraId="0DD73D89"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0.117</w:t>
            </w:r>
          </w:p>
        </w:tc>
        <w:tc>
          <w:tcPr>
            <w:tcW w:w="1413" w:type="dxa"/>
            <w:vAlign w:val="center"/>
          </w:tcPr>
          <w:p w14:paraId="15606D2A"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975</w:t>
            </w:r>
          </w:p>
        </w:tc>
      </w:tr>
      <w:tr w:rsidR="00B44535" w:rsidRPr="00BC31E0" w14:paraId="131054C8" w14:textId="77777777" w:rsidTr="004736F2">
        <w:trPr>
          <w:jc w:val="center"/>
        </w:trPr>
        <w:tc>
          <w:tcPr>
            <w:tcW w:w="5102" w:type="dxa"/>
            <w:vMerge/>
            <w:vAlign w:val="center"/>
          </w:tcPr>
          <w:p w14:paraId="1141FE55" w14:textId="77777777" w:rsidR="00B44535" w:rsidRPr="00BC31E0" w:rsidRDefault="00B44535" w:rsidP="004736F2"/>
        </w:tc>
        <w:tc>
          <w:tcPr>
            <w:tcW w:w="1115" w:type="dxa"/>
            <w:vAlign w:val="center"/>
          </w:tcPr>
          <w:p w14:paraId="2BC6B0F6"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500</w:t>
            </w:r>
          </w:p>
        </w:tc>
        <w:tc>
          <w:tcPr>
            <w:tcW w:w="1437" w:type="dxa"/>
            <w:vAlign w:val="center"/>
          </w:tcPr>
          <w:p w14:paraId="007F9C0C"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0.132</w:t>
            </w:r>
          </w:p>
        </w:tc>
        <w:tc>
          <w:tcPr>
            <w:tcW w:w="1413" w:type="dxa"/>
            <w:vAlign w:val="center"/>
          </w:tcPr>
          <w:p w14:paraId="3A922132"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693</w:t>
            </w:r>
          </w:p>
        </w:tc>
      </w:tr>
      <w:tr w:rsidR="00B44535" w:rsidRPr="00BC31E0" w14:paraId="14C9BBB6" w14:textId="77777777" w:rsidTr="004736F2">
        <w:trPr>
          <w:jc w:val="center"/>
        </w:trPr>
        <w:tc>
          <w:tcPr>
            <w:tcW w:w="5102" w:type="dxa"/>
            <w:vMerge/>
            <w:vAlign w:val="center"/>
          </w:tcPr>
          <w:p w14:paraId="749144E2" w14:textId="77777777" w:rsidR="00B44535" w:rsidRPr="00BC31E0" w:rsidRDefault="00B44535" w:rsidP="004736F2"/>
        </w:tc>
        <w:tc>
          <w:tcPr>
            <w:tcW w:w="1115" w:type="dxa"/>
            <w:vAlign w:val="center"/>
          </w:tcPr>
          <w:p w14:paraId="040C9634"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550</w:t>
            </w:r>
          </w:p>
        </w:tc>
        <w:tc>
          <w:tcPr>
            <w:tcW w:w="1437" w:type="dxa"/>
            <w:vAlign w:val="center"/>
          </w:tcPr>
          <w:p w14:paraId="71EB055B"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0.142</w:t>
            </w:r>
          </w:p>
        </w:tc>
        <w:tc>
          <w:tcPr>
            <w:tcW w:w="1413" w:type="dxa"/>
            <w:vAlign w:val="center"/>
          </w:tcPr>
          <w:p w14:paraId="6039644D"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609</w:t>
            </w:r>
          </w:p>
        </w:tc>
      </w:tr>
      <w:tr w:rsidR="00B44535" w:rsidRPr="00BC31E0" w14:paraId="333D77B4" w14:textId="77777777" w:rsidTr="004736F2">
        <w:trPr>
          <w:jc w:val="center"/>
        </w:trPr>
        <w:tc>
          <w:tcPr>
            <w:tcW w:w="5102" w:type="dxa"/>
            <w:vMerge/>
            <w:vAlign w:val="center"/>
          </w:tcPr>
          <w:p w14:paraId="1A32F183" w14:textId="77777777" w:rsidR="00B44535" w:rsidRPr="00BC31E0" w:rsidRDefault="00B44535" w:rsidP="004736F2"/>
        </w:tc>
        <w:tc>
          <w:tcPr>
            <w:tcW w:w="1115" w:type="dxa"/>
            <w:vAlign w:val="center"/>
          </w:tcPr>
          <w:p w14:paraId="2F67F181"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600</w:t>
            </w:r>
          </w:p>
        </w:tc>
        <w:tc>
          <w:tcPr>
            <w:tcW w:w="1437" w:type="dxa"/>
            <w:vAlign w:val="center"/>
          </w:tcPr>
          <w:p w14:paraId="41A89D35"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0.121</w:t>
            </w:r>
          </w:p>
        </w:tc>
        <w:tc>
          <w:tcPr>
            <w:tcW w:w="1413" w:type="dxa"/>
            <w:vAlign w:val="center"/>
          </w:tcPr>
          <w:p w14:paraId="7CA3CEB2"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443</w:t>
            </w:r>
          </w:p>
        </w:tc>
      </w:tr>
      <w:tr w:rsidR="00B44535" w:rsidRPr="00BC31E0" w14:paraId="3409E235" w14:textId="77777777" w:rsidTr="004736F2">
        <w:trPr>
          <w:jc w:val="center"/>
        </w:trPr>
        <w:tc>
          <w:tcPr>
            <w:tcW w:w="5102" w:type="dxa"/>
            <w:vMerge/>
            <w:vAlign w:val="center"/>
          </w:tcPr>
          <w:p w14:paraId="582603BD" w14:textId="77777777" w:rsidR="00B44535" w:rsidRPr="00BC31E0" w:rsidRDefault="00B44535" w:rsidP="004736F2"/>
        </w:tc>
        <w:tc>
          <w:tcPr>
            <w:tcW w:w="1115" w:type="dxa"/>
            <w:vAlign w:val="center"/>
          </w:tcPr>
          <w:p w14:paraId="456A5136"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650</w:t>
            </w:r>
          </w:p>
        </w:tc>
        <w:tc>
          <w:tcPr>
            <w:tcW w:w="1437" w:type="dxa"/>
            <w:vAlign w:val="center"/>
          </w:tcPr>
          <w:p w14:paraId="1ABA5F82"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0.125</w:t>
            </w:r>
          </w:p>
        </w:tc>
        <w:tc>
          <w:tcPr>
            <w:tcW w:w="1413" w:type="dxa"/>
            <w:vAlign w:val="center"/>
          </w:tcPr>
          <w:p w14:paraId="7AEEBE5D"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343</w:t>
            </w:r>
          </w:p>
        </w:tc>
      </w:tr>
      <w:tr w:rsidR="00B44535" w:rsidRPr="00BC31E0" w14:paraId="03E92815" w14:textId="77777777" w:rsidTr="004736F2">
        <w:trPr>
          <w:jc w:val="center"/>
        </w:trPr>
        <w:tc>
          <w:tcPr>
            <w:tcW w:w="5102" w:type="dxa"/>
            <w:vAlign w:val="center"/>
          </w:tcPr>
          <w:p w14:paraId="7A37DECC" w14:textId="77777777" w:rsidR="00B44535" w:rsidRPr="00BC31E0" w:rsidRDefault="00B44535" w:rsidP="004736F2">
            <w:r w:rsidRPr="00BC31E0">
              <w:t>0.40C</w:t>
            </w:r>
            <w:r w:rsidRPr="00BC31E0">
              <w:rPr>
                <w:rFonts w:ascii="ＭＳ 明朝" w:hAnsi="ＭＳ 明朝"/>
              </w:rPr>
              <w:t>-</w:t>
            </w:r>
            <w:r w:rsidRPr="00BC31E0">
              <w:t>1Cr (</w:t>
            </w:r>
            <w:r w:rsidRPr="00BC31E0">
              <w:t>焼戻し</w:t>
            </w:r>
            <w:r w:rsidRPr="00BC31E0">
              <w:rPr>
                <w:rFonts w:ascii="Cambria Math" w:hAnsi="Cambria Math"/>
                <w:sz w:val="22"/>
                <w:szCs w:val="22"/>
              </w:rPr>
              <w:t>550</w:t>
            </w:r>
            <w:r w:rsidRPr="00BC31E0">
              <w:rPr>
                <w:rFonts w:ascii="Cambria Math" w:hAnsi="Cambria Math" w:hint="eastAsia"/>
                <w:sz w:val="22"/>
                <w:szCs w:val="22"/>
              </w:rPr>
              <w:t xml:space="preserve"> </w:t>
            </w:r>
            <w:r w:rsidRPr="00BC31E0">
              <w:rPr>
                <w:rFonts w:ascii="Cambria Math" w:eastAsiaTheme="minorEastAsia" w:hAnsi="Cambria Math"/>
                <w:sz w:val="22"/>
                <w:szCs w:val="22"/>
              </w:rPr>
              <w:t>℃/</w:t>
            </w:r>
            <w:r w:rsidRPr="00BC31E0">
              <w:rPr>
                <w:rFonts w:ascii="Cambria Math" w:hAnsi="Cambria Math"/>
                <w:sz w:val="22"/>
                <w:szCs w:val="22"/>
              </w:rPr>
              <w:t>60 min</w:t>
            </w:r>
            <w:r w:rsidRPr="00BC31E0">
              <w:t xml:space="preserve"> </w:t>
            </w:r>
            <w:r w:rsidRPr="00BC31E0">
              <w:t>水冷</w:t>
            </w:r>
            <w:r w:rsidRPr="00BC31E0">
              <w:t>)</w:t>
            </w:r>
            <w:r w:rsidRPr="00BC31E0">
              <w:rPr>
                <w:rFonts w:eastAsia="ＭＳ ゴシック"/>
                <w:b/>
                <w:vertAlign w:val="superscript"/>
              </w:rPr>
              <w:t xml:space="preserve"> a)</w:t>
            </w:r>
          </w:p>
        </w:tc>
        <w:tc>
          <w:tcPr>
            <w:tcW w:w="1115" w:type="dxa"/>
            <w:vAlign w:val="center"/>
          </w:tcPr>
          <w:p w14:paraId="4C6B2641"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20</w:t>
            </w:r>
          </w:p>
        </w:tc>
        <w:tc>
          <w:tcPr>
            <w:tcW w:w="1437" w:type="dxa"/>
            <w:vAlign w:val="center"/>
          </w:tcPr>
          <w:p w14:paraId="45A7660D"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0.182</w:t>
            </w:r>
          </w:p>
        </w:tc>
        <w:tc>
          <w:tcPr>
            <w:tcW w:w="1413" w:type="dxa"/>
            <w:vAlign w:val="center"/>
          </w:tcPr>
          <w:p w14:paraId="4202E3C7"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1,838</w:t>
            </w:r>
          </w:p>
        </w:tc>
      </w:tr>
      <w:tr w:rsidR="00B44535" w:rsidRPr="00BC31E0" w14:paraId="5F77B361" w14:textId="77777777" w:rsidTr="004736F2">
        <w:trPr>
          <w:jc w:val="center"/>
        </w:trPr>
        <w:tc>
          <w:tcPr>
            <w:tcW w:w="5102" w:type="dxa"/>
            <w:vAlign w:val="center"/>
          </w:tcPr>
          <w:p w14:paraId="22B3587D" w14:textId="77777777" w:rsidR="00B44535" w:rsidRPr="00BC31E0" w:rsidRDefault="00B44535" w:rsidP="004736F2">
            <w:pPr>
              <w:rPr>
                <w:vertAlign w:val="superscript"/>
              </w:rPr>
            </w:pPr>
            <w:r w:rsidRPr="00BC31E0">
              <w:t>0.40C</w:t>
            </w:r>
            <w:r w:rsidRPr="00BC31E0">
              <w:rPr>
                <w:rFonts w:ascii="ＭＳ 明朝" w:hAnsi="ＭＳ 明朝"/>
              </w:rPr>
              <w:t>-</w:t>
            </w:r>
            <w:r w:rsidRPr="00BC31E0">
              <w:t>1Cr (</w:t>
            </w:r>
            <w:r w:rsidRPr="00BC31E0">
              <w:t>焼戻し</w:t>
            </w:r>
            <w:r w:rsidRPr="00BC31E0">
              <w:rPr>
                <w:rFonts w:ascii="Cambria Math" w:hAnsi="Cambria Math"/>
                <w:sz w:val="22"/>
                <w:szCs w:val="22"/>
              </w:rPr>
              <w:t>600</w:t>
            </w:r>
            <w:r w:rsidRPr="00BC31E0">
              <w:rPr>
                <w:rFonts w:ascii="Cambria Math" w:hAnsi="Cambria Math" w:hint="eastAsia"/>
                <w:sz w:val="22"/>
                <w:szCs w:val="22"/>
              </w:rPr>
              <w:t xml:space="preserve"> </w:t>
            </w:r>
            <w:r w:rsidRPr="00BC31E0">
              <w:rPr>
                <w:rFonts w:ascii="Cambria Math" w:eastAsiaTheme="minorEastAsia" w:hAnsi="Cambria Math"/>
                <w:sz w:val="22"/>
                <w:szCs w:val="22"/>
              </w:rPr>
              <w:t>℃</w:t>
            </w:r>
            <w:r w:rsidRPr="00BC31E0">
              <w:rPr>
                <w:rFonts w:ascii="Cambria Math" w:hAnsi="Cambria Math"/>
                <w:sz w:val="22"/>
                <w:szCs w:val="22"/>
              </w:rPr>
              <w:t>/60 min</w:t>
            </w:r>
            <w:r w:rsidRPr="00BC31E0">
              <w:t xml:space="preserve"> </w:t>
            </w:r>
            <w:r w:rsidRPr="00BC31E0">
              <w:t>水冷</w:t>
            </w:r>
            <w:r w:rsidRPr="00BC31E0">
              <w:t>)</w:t>
            </w:r>
            <w:r w:rsidRPr="00BC31E0">
              <w:rPr>
                <w:rFonts w:eastAsia="ＭＳ ゴシック"/>
                <w:b/>
                <w:vertAlign w:val="superscript"/>
              </w:rPr>
              <w:t xml:space="preserve"> a)</w:t>
            </w:r>
          </w:p>
        </w:tc>
        <w:tc>
          <w:tcPr>
            <w:tcW w:w="1115" w:type="dxa"/>
            <w:vAlign w:val="center"/>
          </w:tcPr>
          <w:p w14:paraId="5556895A"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20</w:t>
            </w:r>
          </w:p>
        </w:tc>
        <w:tc>
          <w:tcPr>
            <w:tcW w:w="1437" w:type="dxa"/>
            <w:vAlign w:val="center"/>
          </w:tcPr>
          <w:p w14:paraId="73E028A5"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0.175</w:t>
            </w:r>
          </w:p>
        </w:tc>
        <w:tc>
          <w:tcPr>
            <w:tcW w:w="1413" w:type="dxa"/>
            <w:vAlign w:val="center"/>
          </w:tcPr>
          <w:p w14:paraId="798431CE"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1,636</w:t>
            </w:r>
          </w:p>
        </w:tc>
      </w:tr>
      <w:tr w:rsidR="00B44535" w:rsidRPr="00BC31E0" w14:paraId="58100676" w14:textId="77777777" w:rsidTr="004736F2">
        <w:trPr>
          <w:jc w:val="center"/>
        </w:trPr>
        <w:tc>
          <w:tcPr>
            <w:tcW w:w="5102" w:type="dxa"/>
            <w:vAlign w:val="center"/>
          </w:tcPr>
          <w:p w14:paraId="0E2980B6" w14:textId="77777777" w:rsidR="00B44535" w:rsidRPr="00BC31E0" w:rsidRDefault="00B44535" w:rsidP="004736F2">
            <w:r w:rsidRPr="00BC31E0">
              <w:t>0.40C</w:t>
            </w:r>
            <w:r w:rsidRPr="00BC31E0">
              <w:rPr>
                <w:rFonts w:ascii="ＭＳ 明朝" w:hAnsi="ＭＳ 明朝"/>
              </w:rPr>
              <w:t>-</w:t>
            </w:r>
            <w:r w:rsidRPr="00BC31E0">
              <w:t>1Cr (</w:t>
            </w:r>
            <w:r w:rsidRPr="00BC31E0">
              <w:t>焼戻し</w:t>
            </w:r>
            <w:r w:rsidRPr="00BC31E0">
              <w:rPr>
                <w:rFonts w:ascii="Cambria Math" w:hAnsi="Cambria Math"/>
                <w:sz w:val="22"/>
                <w:szCs w:val="22"/>
              </w:rPr>
              <w:t>650</w:t>
            </w:r>
            <w:r w:rsidRPr="00BC31E0">
              <w:rPr>
                <w:rFonts w:ascii="Cambria Math" w:hAnsi="Cambria Math" w:hint="eastAsia"/>
                <w:sz w:val="22"/>
                <w:szCs w:val="22"/>
              </w:rPr>
              <w:t xml:space="preserve"> </w:t>
            </w:r>
            <w:r w:rsidRPr="00BC31E0">
              <w:rPr>
                <w:rFonts w:ascii="Cambria Math" w:eastAsiaTheme="minorEastAsia" w:hAnsi="Cambria Math"/>
                <w:sz w:val="22"/>
                <w:szCs w:val="22"/>
              </w:rPr>
              <w:t>℃</w:t>
            </w:r>
            <w:r w:rsidRPr="00BC31E0">
              <w:rPr>
                <w:rFonts w:ascii="Cambria Math" w:hAnsi="Cambria Math"/>
                <w:sz w:val="22"/>
                <w:szCs w:val="22"/>
              </w:rPr>
              <w:t>/60 min</w:t>
            </w:r>
            <w:r w:rsidRPr="00BC31E0">
              <w:t xml:space="preserve"> </w:t>
            </w:r>
            <w:r w:rsidRPr="00BC31E0">
              <w:t>水冷</w:t>
            </w:r>
            <w:r w:rsidRPr="00BC31E0">
              <w:t>)</w:t>
            </w:r>
            <w:r w:rsidRPr="00BC31E0">
              <w:rPr>
                <w:rFonts w:eastAsia="ＭＳ ゴシック"/>
                <w:b/>
                <w:vertAlign w:val="superscript"/>
              </w:rPr>
              <w:t xml:space="preserve"> a)</w:t>
            </w:r>
          </w:p>
        </w:tc>
        <w:tc>
          <w:tcPr>
            <w:tcW w:w="1115" w:type="dxa"/>
            <w:vAlign w:val="center"/>
          </w:tcPr>
          <w:p w14:paraId="693B6BE1"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20</w:t>
            </w:r>
          </w:p>
        </w:tc>
        <w:tc>
          <w:tcPr>
            <w:tcW w:w="1437" w:type="dxa"/>
            <w:vAlign w:val="center"/>
          </w:tcPr>
          <w:p w14:paraId="27A6858F"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0.164</w:t>
            </w:r>
          </w:p>
        </w:tc>
        <w:tc>
          <w:tcPr>
            <w:tcW w:w="1413" w:type="dxa"/>
            <w:vAlign w:val="center"/>
          </w:tcPr>
          <w:p w14:paraId="3A5E8B3A"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1,398</w:t>
            </w:r>
          </w:p>
        </w:tc>
      </w:tr>
      <w:tr w:rsidR="00B44535" w:rsidRPr="00BC31E0" w14:paraId="7CC381C6" w14:textId="77777777" w:rsidTr="004736F2">
        <w:trPr>
          <w:jc w:val="center"/>
        </w:trPr>
        <w:tc>
          <w:tcPr>
            <w:tcW w:w="5102" w:type="dxa"/>
            <w:vAlign w:val="center"/>
          </w:tcPr>
          <w:p w14:paraId="79D4C743" w14:textId="77777777" w:rsidR="00B44535" w:rsidRPr="00BC31E0" w:rsidRDefault="00B44535" w:rsidP="004736F2">
            <w:r w:rsidRPr="00BC31E0">
              <w:t>0.35C</w:t>
            </w:r>
            <w:r w:rsidRPr="00BC31E0">
              <w:rPr>
                <w:rFonts w:ascii="ＭＳ 明朝" w:hAnsi="ＭＳ 明朝"/>
              </w:rPr>
              <w:t>-</w:t>
            </w:r>
            <w:r w:rsidRPr="00BC31E0">
              <w:t>1Cr</w:t>
            </w:r>
            <w:r w:rsidRPr="00BC31E0">
              <w:rPr>
                <w:rFonts w:ascii="ＭＳ 明朝" w:hAnsi="ＭＳ 明朝"/>
              </w:rPr>
              <w:t>-</w:t>
            </w:r>
            <w:r w:rsidRPr="00BC31E0">
              <w:t>0.2Mo (</w:t>
            </w:r>
            <w:r w:rsidRPr="00BC31E0">
              <w:t>焼戻し</w:t>
            </w:r>
            <w:r w:rsidRPr="00BC31E0">
              <w:rPr>
                <w:rFonts w:ascii="Cambria Math" w:hAnsi="Cambria Math"/>
                <w:sz w:val="22"/>
                <w:szCs w:val="22"/>
              </w:rPr>
              <w:t>550</w:t>
            </w:r>
            <w:r w:rsidRPr="00BC31E0">
              <w:rPr>
                <w:rFonts w:ascii="Cambria Math" w:hAnsi="Cambria Math" w:hint="eastAsia"/>
                <w:sz w:val="22"/>
                <w:szCs w:val="22"/>
              </w:rPr>
              <w:t xml:space="preserve"> </w:t>
            </w:r>
            <w:r w:rsidRPr="00BC31E0">
              <w:rPr>
                <w:rFonts w:ascii="Cambria Math" w:hAnsi="Cambria Math"/>
                <w:sz w:val="22"/>
                <w:szCs w:val="22"/>
              </w:rPr>
              <w:t>℃/60</w:t>
            </w:r>
            <w:r w:rsidRPr="00BC31E0">
              <w:rPr>
                <w:rFonts w:ascii="Cambria Math" w:hAnsi="Cambria Math" w:hint="eastAsia"/>
                <w:sz w:val="22"/>
                <w:szCs w:val="22"/>
              </w:rPr>
              <w:t xml:space="preserve"> </w:t>
            </w:r>
            <w:r w:rsidRPr="00BC31E0">
              <w:rPr>
                <w:rFonts w:ascii="Cambria Math" w:hAnsi="Cambria Math"/>
                <w:sz w:val="22"/>
                <w:szCs w:val="22"/>
              </w:rPr>
              <w:t>min</w:t>
            </w:r>
            <w:r w:rsidRPr="00BC31E0">
              <w:t xml:space="preserve"> </w:t>
            </w:r>
            <w:r w:rsidRPr="00BC31E0">
              <w:t>水冷</w:t>
            </w:r>
            <w:r w:rsidRPr="00BC31E0">
              <w:t>)</w:t>
            </w:r>
            <w:r w:rsidRPr="00BC31E0">
              <w:rPr>
                <w:rFonts w:eastAsia="ＭＳ ゴシック"/>
                <w:b/>
                <w:vertAlign w:val="superscript"/>
              </w:rPr>
              <w:t xml:space="preserve"> a)</w:t>
            </w:r>
          </w:p>
        </w:tc>
        <w:tc>
          <w:tcPr>
            <w:tcW w:w="1115" w:type="dxa"/>
            <w:vAlign w:val="center"/>
          </w:tcPr>
          <w:p w14:paraId="72ED52D8"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20</w:t>
            </w:r>
          </w:p>
        </w:tc>
        <w:tc>
          <w:tcPr>
            <w:tcW w:w="1437" w:type="dxa"/>
            <w:vAlign w:val="center"/>
          </w:tcPr>
          <w:p w14:paraId="15900BE7"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0.187</w:t>
            </w:r>
          </w:p>
        </w:tc>
        <w:tc>
          <w:tcPr>
            <w:tcW w:w="1413" w:type="dxa"/>
            <w:vAlign w:val="center"/>
          </w:tcPr>
          <w:p w14:paraId="522551E4"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1,970</w:t>
            </w:r>
          </w:p>
        </w:tc>
      </w:tr>
      <w:tr w:rsidR="00B44535" w:rsidRPr="00BC31E0" w14:paraId="5274AF4A" w14:textId="77777777" w:rsidTr="004736F2">
        <w:trPr>
          <w:jc w:val="center"/>
        </w:trPr>
        <w:tc>
          <w:tcPr>
            <w:tcW w:w="5102" w:type="dxa"/>
            <w:vAlign w:val="center"/>
          </w:tcPr>
          <w:p w14:paraId="735682FC" w14:textId="77777777" w:rsidR="00B44535" w:rsidRPr="00BC31E0" w:rsidRDefault="00B44535" w:rsidP="004736F2">
            <w:r w:rsidRPr="00BC31E0">
              <w:t>0.35C</w:t>
            </w:r>
            <w:r w:rsidRPr="00BC31E0">
              <w:rPr>
                <w:rFonts w:ascii="ＭＳ 明朝" w:hAnsi="ＭＳ 明朝"/>
              </w:rPr>
              <w:t>-</w:t>
            </w:r>
            <w:r w:rsidRPr="00BC31E0">
              <w:t>1Cr</w:t>
            </w:r>
            <w:r w:rsidRPr="00BC31E0">
              <w:rPr>
                <w:rFonts w:ascii="ＭＳ 明朝" w:hAnsi="ＭＳ 明朝"/>
              </w:rPr>
              <w:t>-</w:t>
            </w:r>
            <w:r w:rsidRPr="00BC31E0">
              <w:t>0.2Mo (</w:t>
            </w:r>
            <w:r w:rsidRPr="00BC31E0">
              <w:t>焼戻し</w:t>
            </w:r>
            <w:r w:rsidRPr="00BC31E0">
              <w:rPr>
                <w:rFonts w:ascii="Cambria Math" w:hAnsi="Cambria Math"/>
                <w:sz w:val="22"/>
                <w:szCs w:val="22"/>
              </w:rPr>
              <w:t>600</w:t>
            </w:r>
            <w:r w:rsidRPr="00BC31E0">
              <w:rPr>
                <w:rFonts w:ascii="Cambria Math" w:hAnsi="Cambria Math" w:hint="eastAsia"/>
                <w:sz w:val="22"/>
                <w:szCs w:val="22"/>
              </w:rPr>
              <w:t xml:space="preserve"> </w:t>
            </w:r>
            <w:r w:rsidRPr="00BC31E0">
              <w:rPr>
                <w:rFonts w:ascii="Cambria Math" w:eastAsiaTheme="minorEastAsia" w:hAnsi="Cambria Math"/>
                <w:sz w:val="22"/>
                <w:szCs w:val="22"/>
              </w:rPr>
              <w:t>℃</w:t>
            </w:r>
            <w:r w:rsidRPr="00BC31E0">
              <w:rPr>
                <w:rFonts w:ascii="Cambria Math" w:hAnsi="Cambria Math"/>
                <w:sz w:val="22"/>
                <w:szCs w:val="22"/>
              </w:rPr>
              <w:t>/60 min</w:t>
            </w:r>
            <w:r w:rsidRPr="00BC31E0">
              <w:t xml:space="preserve"> </w:t>
            </w:r>
            <w:r w:rsidRPr="00BC31E0">
              <w:t>水冷</w:t>
            </w:r>
            <w:r w:rsidRPr="00BC31E0">
              <w:t>)</w:t>
            </w:r>
            <w:r w:rsidRPr="00BC31E0">
              <w:rPr>
                <w:rFonts w:eastAsia="ＭＳ ゴシック"/>
                <w:b/>
                <w:vertAlign w:val="superscript"/>
              </w:rPr>
              <w:t xml:space="preserve"> a)</w:t>
            </w:r>
          </w:p>
        </w:tc>
        <w:tc>
          <w:tcPr>
            <w:tcW w:w="1115" w:type="dxa"/>
            <w:vAlign w:val="center"/>
          </w:tcPr>
          <w:p w14:paraId="58EBF9B4"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20</w:t>
            </w:r>
          </w:p>
        </w:tc>
        <w:tc>
          <w:tcPr>
            <w:tcW w:w="1437" w:type="dxa"/>
            <w:vAlign w:val="center"/>
          </w:tcPr>
          <w:p w14:paraId="6FD7477A"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0.183</w:t>
            </w:r>
          </w:p>
        </w:tc>
        <w:tc>
          <w:tcPr>
            <w:tcW w:w="1413" w:type="dxa"/>
            <w:vAlign w:val="center"/>
          </w:tcPr>
          <w:p w14:paraId="30DE1266"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1,754</w:t>
            </w:r>
          </w:p>
        </w:tc>
      </w:tr>
      <w:tr w:rsidR="00B44535" w:rsidRPr="00BC31E0" w14:paraId="17C68E04" w14:textId="77777777" w:rsidTr="004736F2">
        <w:trPr>
          <w:jc w:val="center"/>
        </w:trPr>
        <w:tc>
          <w:tcPr>
            <w:tcW w:w="5102" w:type="dxa"/>
            <w:vAlign w:val="center"/>
          </w:tcPr>
          <w:p w14:paraId="61759AB9" w14:textId="77777777" w:rsidR="00B44535" w:rsidRPr="00BC31E0" w:rsidRDefault="00B44535" w:rsidP="004736F2">
            <w:r w:rsidRPr="00BC31E0">
              <w:t>0.35C</w:t>
            </w:r>
            <w:r w:rsidRPr="00BC31E0">
              <w:rPr>
                <w:rFonts w:ascii="ＭＳ 明朝" w:hAnsi="ＭＳ 明朝"/>
              </w:rPr>
              <w:t>-</w:t>
            </w:r>
            <w:r w:rsidRPr="00BC31E0">
              <w:t>1Cr</w:t>
            </w:r>
            <w:r w:rsidRPr="00BC31E0">
              <w:rPr>
                <w:rFonts w:ascii="ＭＳ 明朝" w:hAnsi="ＭＳ 明朝"/>
              </w:rPr>
              <w:t>-</w:t>
            </w:r>
            <w:r w:rsidRPr="00BC31E0">
              <w:t>0.2Mo (</w:t>
            </w:r>
            <w:r w:rsidRPr="00BC31E0">
              <w:t>焼戻し</w:t>
            </w:r>
            <w:r w:rsidRPr="00BC31E0">
              <w:rPr>
                <w:rFonts w:ascii="Cambria Math" w:hAnsi="Cambria Math"/>
                <w:sz w:val="22"/>
                <w:szCs w:val="22"/>
              </w:rPr>
              <w:t>650</w:t>
            </w:r>
            <w:r w:rsidRPr="00BC31E0">
              <w:rPr>
                <w:rFonts w:ascii="Cambria Math" w:eastAsiaTheme="minorEastAsia" w:hAnsi="Cambria Math"/>
                <w:sz w:val="22"/>
                <w:szCs w:val="22"/>
              </w:rPr>
              <w:t>℃</w:t>
            </w:r>
            <w:r w:rsidRPr="00BC31E0">
              <w:rPr>
                <w:rFonts w:ascii="Cambria Math" w:hAnsi="Cambria Math"/>
                <w:sz w:val="22"/>
                <w:szCs w:val="22"/>
              </w:rPr>
              <w:t>/60 min</w:t>
            </w:r>
            <w:r w:rsidRPr="00BC31E0">
              <w:t xml:space="preserve"> </w:t>
            </w:r>
            <w:r w:rsidRPr="00BC31E0">
              <w:t>水冷</w:t>
            </w:r>
            <w:r w:rsidRPr="00BC31E0">
              <w:t>)</w:t>
            </w:r>
            <w:r w:rsidRPr="00BC31E0">
              <w:rPr>
                <w:rFonts w:eastAsia="ＭＳ ゴシック"/>
                <w:b/>
                <w:vertAlign w:val="superscript"/>
              </w:rPr>
              <w:t xml:space="preserve"> a)</w:t>
            </w:r>
          </w:p>
        </w:tc>
        <w:tc>
          <w:tcPr>
            <w:tcW w:w="1115" w:type="dxa"/>
            <w:vAlign w:val="center"/>
          </w:tcPr>
          <w:p w14:paraId="77BD9A2C"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20</w:t>
            </w:r>
          </w:p>
        </w:tc>
        <w:tc>
          <w:tcPr>
            <w:tcW w:w="1437" w:type="dxa"/>
            <w:vAlign w:val="center"/>
          </w:tcPr>
          <w:p w14:paraId="3FD08A90"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0.150</w:t>
            </w:r>
          </w:p>
        </w:tc>
        <w:tc>
          <w:tcPr>
            <w:tcW w:w="1413" w:type="dxa"/>
            <w:vAlign w:val="center"/>
          </w:tcPr>
          <w:p w14:paraId="3E608477"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1,345</w:t>
            </w:r>
          </w:p>
        </w:tc>
      </w:tr>
      <w:tr w:rsidR="00B44535" w:rsidRPr="00BC31E0" w14:paraId="594AA99A" w14:textId="77777777" w:rsidTr="004736F2">
        <w:trPr>
          <w:jc w:val="center"/>
        </w:trPr>
        <w:tc>
          <w:tcPr>
            <w:tcW w:w="5102" w:type="dxa"/>
            <w:vAlign w:val="center"/>
          </w:tcPr>
          <w:p w14:paraId="3742FF8D" w14:textId="77777777" w:rsidR="00B44535" w:rsidRPr="00BC31E0" w:rsidRDefault="00B44535" w:rsidP="004736F2">
            <w:r w:rsidRPr="00BC31E0">
              <w:t>0.39C</w:t>
            </w:r>
            <w:r w:rsidRPr="00BC31E0">
              <w:rPr>
                <w:rFonts w:ascii="ＭＳ 明朝" w:hAnsi="ＭＳ 明朝"/>
              </w:rPr>
              <w:t>-</w:t>
            </w:r>
            <w:r w:rsidRPr="00BC31E0">
              <w:t>1.8Ni</w:t>
            </w:r>
            <w:r w:rsidRPr="00BC31E0">
              <w:rPr>
                <w:rFonts w:ascii="ＭＳ 明朝" w:hAnsi="ＭＳ 明朝"/>
              </w:rPr>
              <w:t>-</w:t>
            </w:r>
            <w:r w:rsidRPr="00BC31E0">
              <w:t>0.8Cr</w:t>
            </w:r>
            <w:r w:rsidRPr="00BC31E0">
              <w:rPr>
                <w:rFonts w:ascii="ＭＳ 明朝" w:hAnsi="ＭＳ 明朝"/>
              </w:rPr>
              <w:t>-</w:t>
            </w:r>
            <w:r w:rsidRPr="00BC31E0">
              <w:t>0.2Mo</w:t>
            </w:r>
          </w:p>
          <w:p w14:paraId="2052A4BC" w14:textId="77777777" w:rsidR="00B44535" w:rsidRPr="00BC31E0" w:rsidRDefault="00B44535" w:rsidP="004736F2">
            <w:r w:rsidRPr="00BC31E0">
              <w:t>(</w:t>
            </w:r>
            <w:r w:rsidRPr="00BC31E0">
              <w:t>焼戻し</w:t>
            </w:r>
            <w:r w:rsidRPr="00BC31E0">
              <w:rPr>
                <w:rFonts w:ascii="Cambria Math" w:hAnsi="Cambria Math"/>
                <w:sz w:val="22"/>
                <w:szCs w:val="22"/>
              </w:rPr>
              <w:t>580</w:t>
            </w:r>
            <w:r w:rsidRPr="00BC31E0">
              <w:rPr>
                <w:rFonts w:ascii="Cambria Math" w:hAnsi="Cambria Math" w:hint="eastAsia"/>
                <w:sz w:val="22"/>
                <w:szCs w:val="22"/>
              </w:rPr>
              <w:t xml:space="preserve"> </w:t>
            </w:r>
            <w:r w:rsidRPr="00BC31E0">
              <w:rPr>
                <w:rFonts w:ascii="Cambria Math" w:eastAsiaTheme="minorEastAsia" w:hAnsi="Cambria Math"/>
                <w:sz w:val="22"/>
                <w:szCs w:val="22"/>
              </w:rPr>
              <w:t>℃</w:t>
            </w:r>
            <w:r w:rsidRPr="00BC31E0">
              <w:rPr>
                <w:rFonts w:ascii="Cambria Math" w:hAnsi="Cambria Math"/>
                <w:sz w:val="22"/>
                <w:szCs w:val="22"/>
              </w:rPr>
              <w:t>/60 min</w:t>
            </w:r>
            <w:r w:rsidRPr="00BC31E0">
              <w:t xml:space="preserve"> </w:t>
            </w:r>
            <w:r w:rsidRPr="00BC31E0">
              <w:t>水冷</w:t>
            </w:r>
            <w:r w:rsidRPr="00BC31E0">
              <w:t>)</w:t>
            </w:r>
            <w:r w:rsidRPr="00BC31E0">
              <w:rPr>
                <w:rFonts w:eastAsia="ＭＳ ゴシック"/>
                <w:b/>
                <w:vertAlign w:val="superscript"/>
              </w:rPr>
              <w:t xml:space="preserve"> b)</w:t>
            </w:r>
          </w:p>
        </w:tc>
        <w:tc>
          <w:tcPr>
            <w:tcW w:w="1115" w:type="dxa"/>
            <w:vAlign w:val="center"/>
          </w:tcPr>
          <w:p w14:paraId="1D8671FA"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20</w:t>
            </w:r>
          </w:p>
        </w:tc>
        <w:tc>
          <w:tcPr>
            <w:tcW w:w="1437" w:type="dxa"/>
            <w:vAlign w:val="center"/>
          </w:tcPr>
          <w:p w14:paraId="49CF47B4"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0.130</w:t>
            </w:r>
          </w:p>
        </w:tc>
        <w:tc>
          <w:tcPr>
            <w:tcW w:w="1413" w:type="dxa"/>
            <w:vAlign w:val="center"/>
          </w:tcPr>
          <w:p w14:paraId="2FFEB3F6"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1,698</w:t>
            </w:r>
          </w:p>
        </w:tc>
      </w:tr>
      <w:tr w:rsidR="00B44535" w:rsidRPr="00BC31E0" w14:paraId="74E940F1" w14:textId="77777777" w:rsidTr="004736F2">
        <w:trPr>
          <w:jc w:val="center"/>
        </w:trPr>
        <w:tc>
          <w:tcPr>
            <w:tcW w:w="5102" w:type="dxa"/>
            <w:vAlign w:val="center"/>
          </w:tcPr>
          <w:p w14:paraId="20594C7E" w14:textId="77777777" w:rsidR="00B44535" w:rsidRPr="00BC31E0" w:rsidRDefault="00B44535" w:rsidP="004736F2">
            <w:r w:rsidRPr="00BC31E0">
              <w:t>0.39C</w:t>
            </w:r>
            <w:r w:rsidRPr="00BC31E0">
              <w:rPr>
                <w:rFonts w:ascii="ＭＳ 明朝" w:hAnsi="ＭＳ 明朝"/>
              </w:rPr>
              <w:t>-</w:t>
            </w:r>
            <w:r w:rsidRPr="00BC31E0">
              <w:t>1.8Ni</w:t>
            </w:r>
            <w:r w:rsidRPr="00BC31E0">
              <w:rPr>
                <w:rFonts w:ascii="ＭＳ 明朝" w:hAnsi="ＭＳ 明朝"/>
              </w:rPr>
              <w:t>-</w:t>
            </w:r>
            <w:r w:rsidRPr="00BC31E0">
              <w:t>0.8Cr</w:t>
            </w:r>
            <w:r w:rsidRPr="00BC31E0">
              <w:rPr>
                <w:rFonts w:ascii="ＭＳ 明朝" w:hAnsi="ＭＳ 明朝"/>
              </w:rPr>
              <w:t>-</w:t>
            </w:r>
            <w:r w:rsidRPr="00BC31E0">
              <w:t>0.2Mo</w:t>
            </w:r>
          </w:p>
          <w:p w14:paraId="1CD8458F" w14:textId="77777777" w:rsidR="00B44535" w:rsidRPr="00BC31E0" w:rsidRDefault="00B44535" w:rsidP="004736F2">
            <w:r w:rsidRPr="00BC31E0">
              <w:t>(</w:t>
            </w:r>
            <w:r w:rsidRPr="00BC31E0">
              <w:t>焼戻し</w:t>
            </w:r>
            <w:r w:rsidRPr="00BC31E0">
              <w:rPr>
                <w:rFonts w:ascii="Cambria Math" w:hAnsi="Cambria Math"/>
                <w:sz w:val="22"/>
                <w:szCs w:val="22"/>
              </w:rPr>
              <w:t>630</w:t>
            </w:r>
            <w:r w:rsidRPr="00BC31E0">
              <w:rPr>
                <w:rFonts w:ascii="Cambria Math" w:hAnsi="Cambria Math" w:hint="eastAsia"/>
                <w:sz w:val="22"/>
                <w:szCs w:val="22"/>
              </w:rPr>
              <w:t xml:space="preserve"> </w:t>
            </w:r>
            <w:r w:rsidRPr="00BC31E0">
              <w:rPr>
                <w:rFonts w:ascii="Cambria Math" w:eastAsiaTheme="minorEastAsia" w:hAnsi="Cambria Math"/>
                <w:sz w:val="22"/>
                <w:szCs w:val="22"/>
              </w:rPr>
              <w:t>℃</w:t>
            </w:r>
            <w:r w:rsidRPr="00BC31E0">
              <w:rPr>
                <w:rFonts w:ascii="Cambria Math" w:hAnsi="Cambria Math"/>
                <w:sz w:val="22"/>
                <w:szCs w:val="22"/>
              </w:rPr>
              <w:t>/60 min</w:t>
            </w:r>
            <w:r w:rsidRPr="00BC31E0">
              <w:t xml:space="preserve"> </w:t>
            </w:r>
            <w:r w:rsidRPr="00BC31E0">
              <w:t>水冷</w:t>
            </w:r>
            <w:r w:rsidRPr="00BC31E0">
              <w:t>)</w:t>
            </w:r>
            <w:r w:rsidRPr="00BC31E0">
              <w:rPr>
                <w:rFonts w:eastAsia="ＭＳ ゴシック"/>
                <w:b/>
                <w:vertAlign w:val="superscript"/>
              </w:rPr>
              <w:t xml:space="preserve"> b)</w:t>
            </w:r>
          </w:p>
        </w:tc>
        <w:tc>
          <w:tcPr>
            <w:tcW w:w="1115" w:type="dxa"/>
            <w:vAlign w:val="center"/>
          </w:tcPr>
          <w:p w14:paraId="2FF132E0"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20</w:t>
            </w:r>
          </w:p>
        </w:tc>
        <w:tc>
          <w:tcPr>
            <w:tcW w:w="1437" w:type="dxa"/>
            <w:vAlign w:val="center"/>
          </w:tcPr>
          <w:p w14:paraId="5339907E"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0.139</w:t>
            </w:r>
          </w:p>
        </w:tc>
        <w:tc>
          <w:tcPr>
            <w:tcW w:w="1413" w:type="dxa"/>
            <w:vAlign w:val="center"/>
          </w:tcPr>
          <w:p w14:paraId="626918CC"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1,541</w:t>
            </w:r>
          </w:p>
        </w:tc>
      </w:tr>
      <w:tr w:rsidR="00B44535" w:rsidRPr="00BC31E0" w14:paraId="6C0B4E1E" w14:textId="77777777" w:rsidTr="004736F2">
        <w:trPr>
          <w:jc w:val="center"/>
        </w:trPr>
        <w:tc>
          <w:tcPr>
            <w:tcW w:w="5102" w:type="dxa"/>
            <w:vAlign w:val="center"/>
          </w:tcPr>
          <w:p w14:paraId="336D60E7" w14:textId="77777777" w:rsidR="00B44535" w:rsidRPr="00BC31E0" w:rsidRDefault="00B44535" w:rsidP="004736F2">
            <w:r w:rsidRPr="00BC31E0">
              <w:t>0.39C</w:t>
            </w:r>
            <w:r w:rsidRPr="00BC31E0">
              <w:rPr>
                <w:rFonts w:ascii="ＭＳ 明朝" w:hAnsi="ＭＳ 明朝"/>
              </w:rPr>
              <w:t>-</w:t>
            </w:r>
            <w:r w:rsidRPr="00BC31E0">
              <w:t>1.8Ni</w:t>
            </w:r>
            <w:r w:rsidRPr="00BC31E0">
              <w:rPr>
                <w:rFonts w:ascii="ＭＳ 明朝" w:hAnsi="ＭＳ 明朝"/>
              </w:rPr>
              <w:t>-</w:t>
            </w:r>
            <w:r w:rsidRPr="00BC31E0">
              <w:t>0.8Cr</w:t>
            </w:r>
            <w:r w:rsidRPr="00BC31E0">
              <w:rPr>
                <w:rFonts w:ascii="ＭＳ 明朝" w:hAnsi="ＭＳ 明朝"/>
              </w:rPr>
              <w:t>-</w:t>
            </w:r>
            <w:r w:rsidRPr="00BC31E0">
              <w:t>0.2Mo</w:t>
            </w:r>
          </w:p>
          <w:p w14:paraId="062B416F" w14:textId="77777777" w:rsidR="00B44535" w:rsidRPr="00BC31E0" w:rsidRDefault="00B44535" w:rsidP="004736F2">
            <w:r w:rsidRPr="00BC31E0">
              <w:t>(</w:t>
            </w:r>
            <w:r w:rsidRPr="00BC31E0">
              <w:t>焼戻し</w:t>
            </w:r>
            <w:r w:rsidRPr="00BC31E0">
              <w:rPr>
                <w:rFonts w:ascii="Cambria Math" w:hAnsi="Cambria Math"/>
                <w:sz w:val="22"/>
                <w:szCs w:val="22"/>
              </w:rPr>
              <w:t>680</w:t>
            </w:r>
            <w:r w:rsidRPr="00BC31E0">
              <w:rPr>
                <w:rFonts w:ascii="Cambria Math" w:hAnsi="Cambria Math" w:hint="eastAsia"/>
                <w:sz w:val="22"/>
                <w:szCs w:val="22"/>
              </w:rPr>
              <w:t xml:space="preserve"> </w:t>
            </w:r>
            <w:r w:rsidRPr="00BC31E0">
              <w:rPr>
                <w:rFonts w:ascii="Cambria Math" w:eastAsiaTheme="minorEastAsia" w:hAnsi="Cambria Math"/>
                <w:sz w:val="22"/>
                <w:szCs w:val="22"/>
              </w:rPr>
              <w:t>℃</w:t>
            </w:r>
            <w:r w:rsidRPr="00BC31E0">
              <w:rPr>
                <w:rFonts w:ascii="Cambria Math" w:hAnsi="Cambria Math"/>
                <w:sz w:val="22"/>
                <w:szCs w:val="22"/>
              </w:rPr>
              <w:t>/60 min</w:t>
            </w:r>
            <w:r w:rsidRPr="00BC31E0">
              <w:t xml:space="preserve"> </w:t>
            </w:r>
            <w:r w:rsidRPr="00BC31E0">
              <w:t>水冷</w:t>
            </w:r>
            <w:r w:rsidRPr="00BC31E0">
              <w:t>)</w:t>
            </w:r>
            <w:r w:rsidRPr="00BC31E0">
              <w:rPr>
                <w:rFonts w:eastAsia="ＭＳ ゴシック"/>
                <w:b/>
                <w:vertAlign w:val="superscript"/>
              </w:rPr>
              <w:t xml:space="preserve"> b)</w:t>
            </w:r>
          </w:p>
        </w:tc>
        <w:tc>
          <w:tcPr>
            <w:tcW w:w="1115" w:type="dxa"/>
            <w:vAlign w:val="center"/>
          </w:tcPr>
          <w:p w14:paraId="4479E5B0"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20</w:t>
            </w:r>
          </w:p>
        </w:tc>
        <w:tc>
          <w:tcPr>
            <w:tcW w:w="1437" w:type="dxa"/>
            <w:vAlign w:val="center"/>
          </w:tcPr>
          <w:p w14:paraId="136D6AC8"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0.136</w:t>
            </w:r>
          </w:p>
        </w:tc>
        <w:tc>
          <w:tcPr>
            <w:tcW w:w="1413" w:type="dxa"/>
            <w:vAlign w:val="center"/>
          </w:tcPr>
          <w:p w14:paraId="67A625F6"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1,345</w:t>
            </w:r>
          </w:p>
        </w:tc>
      </w:tr>
      <w:tr w:rsidR="00B44535" w:rsidRPr="00BC31E0" w14:paraId="785D58BA" w14:textId="77777777" w:rsidTr="004736F2">
        <w:trPr>
          <w:jc w:val="center"/>
        </w:trPr>
        <w:tc>
          <w:tcPr>
            <w:tcW w:w="5102" w:type="dxa"/>
            <w:vAlign w:val="center"/>
          </w:tcPr>
          <w:p w14:paraId="08C0C97E" w14:textId="77777777" w:rsidR="00B44535" w:rsidRPr="00BC31E0" w:rsidRDefault="00B44535" w:rsidP="004736F2">
            <w:r w:rsidRPr="00BC31E0">
              <w:t>0.13C</w:t>
            </w:r>
            <w:r w:rsidRPr="00BC31E0">
              <w:rPr>
                <w:rFonts w:ascii="ＭＳ 明朝" w:hAnsi="ＭＳ 明朝"/>
              </w:rPr>
              <w:t>-</w:t>
            </w:r>
            <w:r w:rsidRPr="00BC31E0">
              <w:t>1.2Mn</w:t>
            </w:r>
            <w:r w:rsidRPr="00BC31E0">
              <w:rPr>
                <w:rFonts w:ascii="ＭＳ 明朝" w:hAnsi="ＭＳ 明朝"/>
              </w:rPr>
              <w:t>-</w:t>
            </w:r>
            <w:r w:rsidRPr="00BC31E0">
              <w:t>0.28Si (</w:t>
            </w:r>
            <w:r w:rsidRPr="00BC31E0">
              <w:t>母材</w:t>
            </w:r>
            <w:r w:rsidRPr="00BC31E0">
              <w:t>)</w:t>
            </w:r>
          </w:p>
        </w:tc>
        <w:tc>
          <w:tcPr>
            <w:tcW w:w="1115" w:type="dxa"/>
            <w:vAlign w:val="center"/>
          </w:tcPr>
          <w:p w14:paraId="66FE8C29"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20</w:t>
            </w:r>
          </w:p>
        </w:tc>
        <w:tc>
          <w:tcPr>
            <w:tcW w:w="1437" w:type="dxa"/>
            <w:vAlign w:val="center"/>
          </w:tcPr>
          <w:p w14:paraId="4E53F33C"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0.134</w:t>
            </w:r>
          </w:p>
        </w:tc>
        <w:tc>
          <w:tcPr>
            <w:tcW w:w="1413" w:type="dxa"/>
            <w:vAlign w:val="center"/>
          </w:tcPr>
          <w:p w14:paraId="05A725AF"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902</w:t>
            </w:r>
          </w:p>
        </w:tc>
      </w:tr>
      <w:tr w:rsidR="00B44535" w:rsidRPr="00BC31E0" w14:paraId="05A354E4" w14:textId="77777777" w:rsidTr="004736F2">
        <w:trPr>
          <w:jc w:val="center"/>
        </w:trPr>
        <w:tc>
          <w:tcPr>
            <w:tcW w:w="5102" w:type="dxa"/>
            <w:vAlign w:val="center"/>
          </w:tcPr>
          <w:p w14:paraId="3021D394" w14:textId="77777777" w:rsidR="00B44535" w:rsidRPr="00BC31E0" w:rsidRDefault="00B44535" w:rsidP="004736F2">
            <w:r w:rsidRPr="00BC31E0">
              <w:t>0.13C</w:t>
            </w:r>
            <w:r w:rsidRPr="00BC31E0">
              <w:rPr>
                <w:rFonts w:ascii="ＭＳ 明朝" w:hAnsi="ＭＳ 明朝"/>
              </w:rPr>
              <w:t>-</w:t>
            </w:r>
            <w:r w:rsidRPr="00BC31E0">
              <w:t>1.2Mn</w:t>
            </w:r>
            <w:r w:rsidRPr="00BC31E0">
              <w:rPr>
                <w:rFonts w:ascii="ＭＳ 明朝" w:hAnsi="ＭＳ 明朝"/>
              </w:rPr>
              <w:t>-</w:t>
            </w:r>
            <w:r w:rsidRPr="00BC31E0">
              <w:t>0.28Si (</w:t>
            </w:r>
            <w:r w:rsidRPr="00BC31E0">
              <w:t>溶接金属</w:t>
            </w:r>
            <w:r w:rsidRPr="00BC31E0">
              <w:t>)</w:t>
            </w:r>
          </w:p>
        </w:tc>
        <w:tc>
          <w:tcPr>
            <w:tcW w:w="1115" w:type="dxa"/>
            <w:vAlign w:val="center"/>
          </w:tcPr>
          <w:p w14:paraId="1CBE9FEC"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20</w:t>
            </w:r>
          </w:p>
        </w:tc>
        <w:tc>
          <w:tcPr>
            <w:tcW w:w="1437" w:type="dxa"/>
            <w:vAlign w:val="center"/>
          </w:tcPr>
          <w:p w14:paraId="5809DB54"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0.107</w:t>
            </w:r>
          </w:p>
        </w:tc>
        <w:tc>
          <w:tcPr>
            <w:tcW w:w="1413" w:type="dxa"/>
            <w:vAlign w:val="center"/>
          </w:tcPr>
          <w:p w14:paraId="0D300102"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874</w:t>
            </w:r>
          </w:p>
        </w:tc>
      </w:tr>
      <w:tr w:rsidR="00B44535" w:rsidRPr="00BC31E0" w14:paraId="370C6B88" w14:textId="77777777" w:rsidTr="004736F2">
        <w:trPr>
          <w:jc w:val="center"/>
        </w:trPr>
        <w:tc>
          <w:tcPr>
            <w:tcW w:w="5102" w:type="dxa"/>
            <w:vAlign w:val="center"/>
          </w:tcPr>
          <w:p w14:paraId="65FC53EA" w14:textId="77777777" w:rsidR="00B44535" w:rsidRPr="00BC31E0" w:rsidRDefault="00B44535" w:rsidP="004736F2">
            <w:r w:rsidRPr="00BC31E0">
              <w:t>0.13C</w:t>
            </w:r>
            <w:r w:rsidRPr="00BC31E0">
              <w:rPr>
                <w:rFonts w:ascii="ＭＳ 明朝" w:hAnsi="ＭＳ 明朝"/>
              </w:rPr>
              <w:t>-</w:t>
            </w:r>
            <w:r w:rsidRPr="00BC31E0">
              <w:t>1.2Mn</w:t>
            </w:r>
            <w:r w:rsidRPr="00BC31E0">
              <w:rPr>
                <w:rFonts w:ascii="ＭＳ 明朝" w:hAnsi="ＭＳ 明朝"/>
              </w:rPr>
              <w:t>-</w:t>
            </w:r>
            <w:r w:rsidRPr="00BC31E0">
              <w:t>0.28Si (</w:t>
            </w:r>
            <w:r w:rsidRPr="00BC31E0">
              <w:t>熱影響部</w:t>
            </w:r>
            <w:r w:rsidRPr="00BC31E0">
              <w:t>)</w:t>
            </w:r>
          </w:p>
        </w:tc>
        <w:tc>
          <w:tcPr>
            <w:tcW w:w="1115" w:type="dxa"/>
            <w:vAlign w:val="center"/>
          </w:tcPr>
          <w:p w14:paraId="1C2C34D7"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20</w:t>
            </w:r>
          </w:p>
        </w:tc>
        <w:tc>
          <w:tcPr>
            <w:tcW w:w="1437" w:type="dxa"/>
            <w:vAlign w:val="center"/>
          </w:tcPr>
          <w:p w14:paraId="66F3E71B"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0.121</w:t>
            </w:r>
          </w:p>
        </w:tc>
        <w:tc>
          <w:tcPr>
            <w:tcW w:w="1413" w:type="dxa"/>
            <w:vAlign w:val="center"/>
          </w:tcPr>
          <w:p w14:paraId="35F5F032"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882</w:t>
            </w:r>
          </w:p>
        </w:tc>
      </w:tr>
    </w:tbl>
    <w:p w14:paraId="7286112D" w14:textId="77777777" w:rsidR="00B44535" w:rsidRPr="00BC31E0" w:rsidRDefault="00B44535" w:rsidP="00804C08"/>
    <w:p w14:paraId="1C4DE436" w14:textId="77777777" w:rsidR="00A94C7D" w:rsidRPr="00BC31E0" w:rsidRDefault="00A94C7D">
      <w:pPr>
        <w:widowControl/>
        <w:jc w:val="left"/>
      </w:pPr>
      <w:r w:rsidRPr="00BC31E0">
        <w:br w:type="page"/>
      </w:r>
    </w:p>
    <w:p w14:paraId="73389EA4" w14:textId="77777777" w:rsidR="00B44535" w:rsidRPr="00BC31E0" w:rsidRDefault="00B44535" w:rsidP="00B44535">
      <w:pPr>
        <w:pStyle w:val="af4"/>
        <w:spacing w:after="60"/>
      </w:pPr>
      <w:r w:rsidRPr="00BC31E0">
        <w:rPr>
          <w:rFonts w:hint="eastAsia"/>
        </w:rPr>
        <w:lastRenderedPageBreak/>
        <w:t>表</w:t>
      </w:r>
      <w:r w:rsidRPr="00BC31E0">
        <w:t>D.2</w:t>
      </w:r>
      <w:r w:rsidRPr="00BC31E0">
        <w:rPr>
          <w:rFonts w:hint="eastAsia"/>
        </w:rPr>
        <w:t xml:space="preserve">　繰返し応力－ひずみ曲線の材料特性</w:t>
      </w:r>
      <w:r w:rsidRPr="00BC31E0">
        <w:t>(</w:t>
      </w:r>
      <w:r w:rsidRPr="00BC31E0">
        <w:rPr>
          <w:rFonts w:hint="eastAsia"/>
        </w:rPr>
        <w:t>続き</w:t>
      </w:r>
      <w:r w:rsidRPr="00BC31E0">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4"/>
        <w:gridCol w:w="1125"/>
        <w:gridCol w:w="1143"/>
        <w:gridCol w:w="1556"/>
      </w:tblGrid>
      <w:tr w:rsidR="00B44535" w:rsidRPr="00BC31E0" w14:paraId="56960A3A" w14:textId="77777777" w:rsidTr="004736F2">
        <w:trPr>
          <w:jc w:val="center"/>
        </w:trPr>
        <w:tc>
          <w:tcPr>
            <w:tcW w:w="5244" w:type="dxa"/>
            <w:vAlign w:val="center"/>
          </w:tcPr>
          <w:p w14:paraId="5E2AEE2A" w14:textId="77777777" w:rsidR="00B44535" w:rsidRPr="00BC31E0" w:rsidRDefault="00B44535" w:rsidP="004736F2">
            <w:pPr>
              <w:snapToGrid w:val="0"/>
              <w:jc w:val="center"/>
              <w:rPr>
                <w:szCs w:val="20"/>
              </w:rPr>
            </w:pPr>
            <w:r w:rsidRPr="00BC31E0">
              <w:rPr>
                <w:rFonts w:hint="eastAsia"/>
                <w:szCs w:val="20"/>
              </w:rPr>
              <w:t>材　料</w:t>
            </w:r>
          </w:p>
        </w:tc>
        <w:tc>
          <w:tcPr>
            <w:tcW w:w="1125" w:type="dxa"/>
            <w:vAlign w:val="center"/>
          </w:tcPr>
          <w:p w14:paraId="2FFFB360" w14:textId="77777777" w:rsidR="00B44535" w:rsidRPr="00BC31E0" w:rsidRDefault="00B44535" w:rsidP="004736F2">
            <w:pPr>
              <w:snapToGrid w:val="0"/>
              <w:jc w:val="center"/>
            </w:pPr>
            <w:r w:rsidRPr="00BC31E0">
              <w:rPr>
                <w:rFonts w:hint="eastAsia"/>
              </w:rPr>
              <w:t>温度</w:t>
            </w:r>
          </w:p>
          <w:p w14:paraId="7F9135D9" w14:textId="77777777" w:rsidR="00B44535" w:rsidRPr="00BC31E0" w:rsidRDefault="00B44535" w:rsidP="004736F2">
            <w:pPr>
              <w:snapToGrid w:val="0"/>
              <w:jc w:val="center"/>
            </w:pPr>
            <w:r w:rsidRPr="00BC31E0">
              <w:t>(</w:t>
            </w:r>
            <w:r w:rsidRPr="00BC31E0">
              <w:rPr>
                <w:rFonts w:ascii="Cambria Math" w:eastAsiaTheme="minorEastAsia" w:hAnsi="Cambria Math"/>
              </w:rPr>
              <w:t>℃</w:t>
            </w:r>
            <w:r w:rsidRPr="00BC31E0">
              <w:t>)</w:t>
            </w:r>
          </w:p>
        </w:tc>
        <w:tc>
          <w:tcPr>
            <w:tcW w:w="1143" w:type="dxa"/>
            <w:vAlign w:val="center"/>
          </w:tcPr>
          <w:p w14:paraId="00CBCD15" w14:textId="77777777" w:rsidR="00B44535" w:rsidRPr="00BC31E0" w:rsidRDefault="00A51873" w:rsidP="004736F2">
            <w:pPr>
              <w:snapToGrid w:val="0"/>
              <w:jc w:val="center"/>
            </w:pPr>
            <m:oMathPara>
              <m:oMath>
                <m:sSub>
                  <m:sSubPr>
                    <m:ctrlPr>
                      <w:rPr>
                        <w:rFonts w:ascii="Cambria Math" w:hAnsi="Cambria Math"/>
                      </w:rPr>
                    </m:ctrlPr>
                  </m:sSubPr>
                  <m:e>
                    <m:r>
                      <w:rPr>
                        <w:rFonts w:ascii="Cambria Math" w:hAnsi="Cambria Math" w:hint="eastAsia"/>
                      </w:rPr>
                      <m:t>n</m:t>
                    </m:r>
                  </m:e>
                  <m:sub>
                    <m:r>
                      <w:rPr>
                        <w:rFonts w:ascii="Cambria Math" w:hAnsi="Cambria Math"/>
                      </w:rPr>
                      <m:t>CSS</m:t>
                    </m:r>
                  </m:sub>
                </m:sSub>
              </m:oMath>
            </m:oMathPara>
          </w:p>
        </w:tc>
        <w:tc>
          <w:tcPr>
            <w:tcW w:w="1556" w:type="dxa"/>
            <w:vAlign w:val="center"/>
          </w:tcPr>
          <w:p w14:paraId="25874CDD" w14:textId="77777777" w:rsidR="00B44535" w:rsidRPr="00BC31E0" w:rsidRDefault="00A51873" w:rsidP="004736F2">
            <w:pPr>
              <w:snapToGrid w:val="0"/>
              <w:jc w:val="center"/>
              <w:rPr>
                <w:vertAlign w:val="subscript"/>
              </w:rPr>
            </w:pPr>
            <m:oMathPara>
              <m:oMath>
                <m:sSub>
                  <m:sSubPr>
                    <m:ctrlPr>
                      <w:rPr>
                        <w:rFonts w:ascii="Cambria Math" w:hAnsi="Cambria Math"/>
                      </w:rPr>
                    </m:ctrlPr>
                  </m:sSubPr>
                  <m:e>
                    <m:r>
                      <w:rPr>
                        <w:rFonts w:ascii="Cambria Math" w:hAnsi="Cambria Math"/>
                      </w:rPr>
                      <m:t>K</m:t>
                    </m:r>
                  </m:e>
                  <m:sub>
                    <m:r>
                      <w:rPr>
                        <w:rFonts w:ascii="Cambria Math" w:hAnsi="Cambria Math"/>
                      </w:rPr>
                      <m:t>CSS</m:t>
                    </m:r>
                  </m:sub>
                </m:sSub>
              </m:oMath>
            </m:oMathPara>
          </w:p>
          <w:p w14:paraId="529C7089" w14:textId="77777777" w:rsidR="00B44535" w:rsidRPr="00BC31E0" w:rsidRDefault="00B44535" w:rsidP="004736F2">
            <w:pPr>
              <w:snapToGrid w:val="0"/>
              <w:jc w:val="center"/>
            </w:pPr>
            <w:r w:rsidRPr="00BC31E0">
              <w:rPr>
                <w:rFonts w:hint="eastAsia"/>
              </w:rPr>
              <w:t>(</w:t>
            </w:r>
            <w:r w:rsidRPr="00BC31E0">
              <w:rPr>
                <w:rFonts w:ascii="Cambria Math" w:hAnsi="Cambria Math"/>
              </w:rPr>
              <w:t>MPa</w:t>
            </w:r>
            <w:r w:rsidRPr="00BC31E0">
              <w:rPr>
                <w:rFonts w:hint="eastAsia"/>
              </w:rPr>
              <w:t>)</w:t>
            </w:r>
          </w:p>
        </w:tc>
      </w:tr>
      <w:tr w:rsidR="00B44535" w:rsidRPr="00BC31E0" w14:paraId="77387FD3" w14:textId="77777777" w:rsidTr="004736F2">
        <w:trPr>
          <w:jc w:val="center"/>
        </w:trPr>
        <w:tc>
          <w:tcPr>
            <w:tcW w:w="5244" w:type="dxa"/>
            <w:vMerge w:val="restart"/>
            <w:vAlign w:val="center"/>
          </w:tcPr>
          <w:p w14:paraId="55133C1E" w14:textId="77777777" w:rsidR="00B44535" w:rsidRPr="00BC31E0" w:rsidRDefault="00B44535" w:rsidP="004736F2">
            <w:pPr>
              <w:jc w:val="left"/>
              <w:rPr>
                <w:szCs w:val="20"/>
              </w:rPr>
            </w:pPr>
            <w:r w:rsidRPr="00BC31E0">
              <w:rPr>
                <w:szCs w:val="20"/>
              </w:rPr>
              <w:t>SUS310S</w:t>
            </w:r>
          </w:p>
        </w:tc>
        <w:tc>
          <w:tcPr>
            <w:tcW w:w="1125" w:type="dxa"/>
            <w:vAlign w:val="center"/>
          </w:tcPr>
          <w:p w14:paraId="5DF63E10"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20</w:t>
            </w:r>
          </w:p>
        </w:tc>
        <w:tc>
          <w:tcPr>
            <w:tcW w:w="1143" w:type="dxa"/>
            <w:vAlign w:val="center"/>
          </w:tcPr>
          <w:p w14:paraId="4AB7CC9F"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0.087</w:t>
            </w:r>
          </w:p>
        </w:tc>
        <w:tc>
          <w:tcPr>
            <w:tcW w:w="1556" w:type="dxa"/>
            <w:vAlign w:val="center"/>
          </w:tcPr>
          <w:p w14:paraId="0831BD51"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634</w:t>
            </w:r>
          </w:p>
        </w:tc>
      </w:tr>
      <w:tr w:rsidR="00B44535" w:rsidRPr="00BC31E0" w14:paraId="0B800F29" w14:textId="77777777" w:rsidTr="004736F2">
        <w:trPr>
          <w:jc w:val="center"/>
        </w:trPr>
        <w:tc>
          <w:tcPr>
            <w:tcW w:w="5244" w:type="dxa"/>
            <w:vMerge/>
            <w:vAlign w:val="center"/>
          </w:tcPr>
          <w:p w14:paraId="4D8CB2B8" w14:textId="77777777" w:rsidR="00B44535" w:rsidRPr="00BC31E0" w:rsidRDefault="00B44535" w:rsidP="004736F2">
            <w:pPr>
              <w:jc w:val="left"/>
              <w:rPr>
                <w:szCs w:val="20"/>
              </w:rPr>
            </w:pPr>
          </w:p>
        </w:tc>
        <w:tc>
          <w:tcPr>
            <w:tcW w:w="1125" w:type="dxa"/>
            <w:vAlign w:val="center"/>
          </w:tcPr>
          <w:p w14:paraId="29B11A6E"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400</w:t>
            </w:r>
          </w:p>
        </w:tc>
        <w:tc>
          <w:tcPr>
            <w:tcW w:w="1143" w:type="dxa"/>
            <w:vAlign w:val="center"/>
          </w:tcPr>
          <w:p w14:paraId="0A4FC2C9"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0.131</w:t>
            </w:r>
          </w:p>
        </w:tc>
        <w:tc>
          <w:tcPr>
            <w:tcW w:w="1556" w:type="dxa"/>
            <w:vAlign w:val="center"/>
          </w:tcPr>
          <w:p w14:paraId="30F03DD0"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666</w:t>
            </w:r>
          </w:p>
        </w:tc>
      </w:tr>
      <w:tr w:rsidR="00B44535" w:rsidRPr="00BC31E0" w14:paraId="67899DD6" w14:textId="77777777" w:rsidTr="004736F2">
        <w:trPr>
          <w:jc w:val="center"/>
        </w:trPr>
        <w:tc>
          <w:tcPr>
            <w:tcW w:w="5244" w:type="dxa"/>
            <w:vMerge/>
            <w:vAlign w:val="center"/>
          </w:tcPr>
          <w:p w14:paraId="4AD24D05" w14:textId="77777777" w:rsidR="00B44535" w:rsidRPr="00BC31E0" w:rsidRDefault="00B44535" w:rsidP="004736F2">
            <w:pPr>
              <w:jc w:val="left"/>
              <w:rPr>
                <w:szCs w:val="20"/>
              </w:rPr>
            </w:pPr>
          </w:p>
        </w:tc>
        <w:tc>
          <w:tcPr>
            <w:tcW w:w="1125" w:type="dxa"/>
            <w:vAlign w:val="center"/>
          </w:tcPr>
          <w:p w14:paraId="00E18A58"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600</w:t>
            </w:r>
          </w:p>
        </w:tc>
        <w:tc>
          <w:tcPr>
            <w:tcW w:w="1143" w:type="dxa"/>
            <w:vAlign w:val="center"/>
          </w:tcPr>
          <w:p w14:paraId="6784F70E"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0.101</w:t>
            </w:r>
          </w:p>
        </w:tc>
        <w:tc>
          <w:tcPr>
            <w:tcW w:w="1556" w:type="dxa"/>
            <w:vAlign w:val="center"/>
          </w:tcPr>
          <w:p w14:paraId="7306D0EA"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615</w:t>
            </w:r>
          </w:p>
        </w:tc>
      </w:tr>
      <w:tr w:rsidR="00B44535" w:rsidRPr="00BC31E0" w14:paraId="6625C7F1" w14:textId="77777777" w:rsidTr="004736F2">
        <w:trPr>
          <w:jc w:val="center"/>
        </w:trPr>
        <w:tc>
          <w:tcPr>
            <w:tcW w:w="5244" w:type="dxa"/>
            <w:vMerge/>
            <w:tcBorders>
              <w:bottom w:val="single" w:sz="4" w:space="0" w:color="auto"/>
            </w:tcBorders>
            <w:vAlign w:val="center"/>
          </w:tcPr>
          <w:p w14:paraId="25790C43" w14:textId="77777777" w:rsidR="00B44535" w:rsidRPr="00BC31E0" w:rsidRDefault="00B44535" w:rsidP="004736F2">
            <w:pPr>
              <w:jc w:val="left"/>
              <w:rPr>
                <w:szCs w:val="20"/>
              </w:rPr>
            </w:pPr>
          </w:p>
        </w:tc>
        <w:tc>
          <w:tcPr>
            <w:tcW w:w="1125" w:type="dxa"/>
            <w:vAlign w:val="center"/>
          </w:tcPr>
          <w:p w14:paraId="2FD820EF"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700</w:t>
            </w:r>
          </w:p>
        </w:tc>
        <w:tc>
          <w:tcPr>
            <w:tcW w:w="1143" w:type="dxa"/>
            <w:vAlign w:val="center"/>
          </w:tcPr>
          <w:p w14:paraId="11744C51"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0.105</w:t>
            </w:r>
          </w:p>
        </w:tc>
        <w:tc>
          <w:tcPr>
            <w:tcW w:w="1556" w:type="dxa"/>
            <w:vAlign w:val="center"/>
          </w:tcPr>
          <w:p w14:paraId="35A06A96"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455</w:t>
            </w:r>
          </w:p>
        </w:tc>
      </w:tr>
      <w:tr w:rsidR="00B44535" w:rsidRPr="00BC31E0" w14:paraId="2DDD9FA9" w14:textId="77777777" w:rsidTr="004736F2">
        <w:trPr>
          <w:jc w:val="center"/>
        </w:trPr>
        <w:tc>
          <w:tcPr>
            <w:tcW w:w="5244" w:type="dxa"/>
            <w:vMerge w:val="restart"/>
            <w:vAlign w:val="center"/>
          </w:tcPr>
          <w:p w14:paraId="52746561" w14:textId="77777777" w:rsidR="00B44535" w:rsidRPr="00BC31E0" w:rsidRDefault="00B44535" w:rsidP="004736F2">
            <w:pPr>
              <w:jc w:val="left"/>
              <w:rPr>
                <w:szCs w:val="20"/>
              </w:rPr>
            </w:pPr>
            <w:r w:rsidRPr="00BC31E0">
              <w:rPr>
                <w:szCs w:val="20"/>
              </w:rPr>
              <w:t>SUS304</w:t>
            </w:r>
          </w:p>
        </w:tc>
        <w:tc>
          <w:tcPr>
            <w:tcW w:w="1125" w:type="dxa"/>
            <w:vAlign w:val="center"/>
          </w:tcPr>
          <w:p w14:paraId="56622B9B"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20</w:t>
            </w:r>
          </w:p>
        </w:tc>
        <w:tc>
          <w:tcPr>
            <w:tcW w:w="1143" w:type="dxa"/>
            <w:vAlign w:val="center"/>
          </w:tcPr>
          <w:p w14:paraId="0F2FAC55"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0.171</w:t>
            </w:r>
          </w:p>
        </w:tc>
        <w:tc>
          <w:tcPr>
            <w:tcW w:w="1556" w:type="dxa"/>
            <w:vAlign w:val="center"/>
          </w:tcPr>
          <w:p w14:paraId="32F2F63F"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1</w:t>
            </w:r>
            <w:r w:rsidRPr="00BC31E0">
              <w:rPr>
                <w:rFonts w:ascii="Cambria Math" w:hAnsi="Cambria Math" w:hint="eastAsia"/>
                <w:sz w:val="22"/>
                <w:szCs w:val="22"/>
              </w:rPr>
              <w:t>,</w:t>
            </w:r>
            <w:r w:rsidRPr="00BC31E0">
              <w:rPr>
                <w:rFonts w:ascii="Cambria Math" w:hAnsi="Cambria Math"/>
                <w:sz w:val="22"/>
                <w:szCs w:val="22"/>
              </w:rPr>
              <w:t>227</w:t>
            </w:r>
          </w:p>
        </w:tc>
      </w:tr>
      <w:tr w:rsidR="00B44535" w:rsidRPr="00BC31E0" w14:paraId="4B902185" w14:textId="77777777" w:rsidTr="004736F2">
        <w:trPr>
          <w:jc w:val="center"/>
        </w:trPr>
        <w:tc>
          <w:tcPr>
            <w:tcW w:w="5244" w:type="dxa"/>
            <w:vMerge/>
            <w:vAlign w:val="center"/>
          </w:tcPr>
          <w:p w14:paraId="2A42E8E4" w14:textId="77777777" w:rsidR="00B44535" w:rsidRPr="00BC31E0" w:rsidRDefault="00B44535" w:rsidP="004736F2">
            <w:pPr>
              <w:jc w:val="left"/>
              <w:rPr>
                <w:szCs w:val="20"/>
              </w:rPr>
            </w:pPr>
          </w:p>
        </w:tc>
        <w:tc>
          <w:tcPr>
            <w:tcW w:w="1125" w:type="dxa"/>
            <w:vAlign w:val="center"/>
          </w:tcPr>
          <w:p w14:paraId="63ED4C24"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400</w:t>
            </w:r>
          </w:p>
        </w:tc>
        <w:tc>
          <w:tcPr>
            <w:tcW w:w="1143" w:type="dxa"/>
            <w:vAlign w:val="center"/>
          </w:tcPr>
          <w:p w14:paraId="218EEEB3"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0.095</w:t>
            </w:r>
          </w:p>
        </w:tc>
        <w:tc>
          <w:tcPr>
            <w:tcW w:w="1556" w:type="dxa"/>
            <w:vAlign w:val="center"/>
          </w:tcPr>
          <w:p w14:paraId="036818E8"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590</w:t>
            </w:r>
          </w:p>
        </w:tc>
      </w:tr>
      <w:tr w:rsidR="00B44535" w:rsidRPr="00BC31E0" w14:paraId="1F27656D" w14:textId="77777777" w:rsidTr="004736F2">
        <w:trPr>
          <w:jc w:val="center"/>
        </w:trPr>
        <w:tc>
          <w:tcPr>
            <w:tcW w:w="5244" w:type="dxa"/>
            <w:vMerge/>
            <w:vAlign w:val="center"/>
          </w:tcPr>
          <w:p w14:paraId="7362CFB8" w14:textId="77777777" w:rsidR="00B44535" w:rsidRPr="00BC31E0" w:rsidRDefault="00B44535" w:rsidP="004736F2">
            <w:pPr>
              <w:jc w:val="left"/>
              <w:rPr>
                <w:szCs w:val="20"/>
              </w:rPr>
            </w:pPr>
          </w:p>
        </w:tc>
        <w:tc>
          <w:tcPr>
            <w:tcW w:w="1125" w:type="dxa"/>
            <w:vAlign w:val="center"/>
          </w:tcPr>
          <w:p w14:paraId="30C7AEF8"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500</w:t>
            </w:r>
          </w:p>
        </w:tc>
        <w:tc>
          <w:tcPr>
            <w:tcW w:w="1143" w:type="dxa"/>
            <w:vAlign w:val="center"/>
          </w:tcPr>
          <w:p w14:paraId="779033EF"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0.085</w:t>
            </w:r>
          </w:p>
        </w:tc>
        <w:tc>
          <w:tcPr>
            <w:tcW w:w="1556" w:type="dxa"/>
            <w:vAlign w:val="center"/>
          </w:tcPr>
          <w:p w14:paraId="722561D7"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550</w:t>
            </w:r>
          </w:p>
        </w:tc>
      </w:tr>
      <w:tr w:rsidR="00B44535" w:rsidRPr="00BC31E0" w14:paraId="0BAD0259" w14:textId="77777777" w:rsidTr="004736F2">
        <w:trPr>
          <w:jc w:val="center"/>
        </w:trPr>
        <w:tc>
          <w:tcPr>
            <w:tcW w:w="5244" w:type="dxa"/>
            <w:vMerge/>
            <w:vAlign w:val="center"/>
          </w:tcPr>
          <w:p w14:paraId="456AC4DD" w14:textId="77777777" w:rsidR="00B44535" w:rsidRPr="00BC31E0" w:rsidRDefault="00B44535" w:rsidP="004736F2">
            <w:pPr>
              <w:jc w:val="left"/>
              <w:rPr>
                <w:szCs w:val="20"/>
              </w:rPr>
            </w:pPr>
          </w:p>
        </w:tc>
        <w:tc>
          <w:tcPr>
            <w:tcW w:w="1125" w:type="dxa"/>
            <w:vAlign w:val="center"/>
          </w:tcPr>
          <w:p w14:paraId="2C0F29F4"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600</w:t>
            </w:r>
          </w:p>
        </w:tc>
        <w:tc>
          <w:tcPr>
            <w:tcW w:w="1143" w:type="dxa"/>
            <w:vAlign w:val="center"/>
          </w:tcPr>
          <w:p w14:paraId="5CC93D0C"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0.090</w:t>
            </w:r>
          </w:p>
        </w:tc>
        <w:tc>
          <w:tcPr>
            <w:tcW w:w="1556" w:type="dxa"/>
            <w:vAlign w:val="center"/>
          </w:tcPr>
          <w:p w14:paraId="2F37D32C"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450</w:t>
            </w:r>
          </w:p>
        </w:tc>
      </w:tr>
      <w:tr w:rsidR="00B44535" w:rsidRPr="00BC31E0" w14:paraId="656A7C69" w14:textId="77777777" w:rsidTr="004736F2">
        <w:trPr>
          <w:jc w:val="center"/>
        </w:trPr>
        <w:tc>
          <w:tcPr>
            <w:tcW w:w="5244" w:type="dxa"/>
            <w:vMerge/>
            <w:vAlign w:val="center"/>
          </w:tcPr>
          <w:p w14:paraId="073FCF20" w14:textId="77777777" w:rsidR="00B44535" w:rsidRPr="00BC31E0" w:rsidRDefault="00B44535" w:rsidP="004736F2">
            <w:pPr>
              <w:jc w:val="left"/>
              <w:rPr>
                <w:szCs w:val="20"/>
              </w:rPr>
            </w:pPr>
          </w:p>
        </w:tc>
        <w:tc>
          <w:tcPr>
            <w:tcW w:w="1125" w:type="dxa"/>
            <w:vAlign w:val="center"/>
          </w:tcPr>
          <w:p w14:paraId="35F9BA58"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700</w:t>
            </w:r>
          </w:p>
        </w:tc>
        <w:tc>
          <w:tcPr>
            <w:tcW w:w="1143" w:type="dxa"/>
            <w:vAlign w:val="center"/>
          </w:tcPr>
          <w:p w14:paraId="486E92E4"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0.094</w:t>
            </w:r>
          </w:p>
        </w:tc>
        <w:tc>
          <w:tcPr>
            <w:tcW w:w="1556" w:type="dxa"/>
            <w:vAlign w:val="center"/>
          </w:tcPr>
          <w:p w14:paraId="55061543"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306</w:t>
            </w:r>
          </w:p>
        </w:tc>
      </w:tr>
      <w:tr w:rsidR="00B44535" w:rsidRPr="00BC31E0" w14:paraId="1751547C" w14:textId="77777777" w:rsidTr="004736F2">
        <w:trPr>
          <w:jc w:val="center"/>
        </w:trPr>
        <w:tc>
          <w:tcPr>
            <w:tcW w:w="5244" w:type="dxa"/>
            <w:vAlign w:val="center"/>
          </w:tcPr>
          <w:p w14:paraId="4133B684" w14:textId="77777777" w:rsidR="00B44535" w:rsidRPr="00BC31E0" w:rsidRDefault="00B44535" w:rsidP="004736F2">
            <w:pPr>
              <w:jc w:val="left"/>
              <w:rPr>
                <w:szCs w:val="20"/>
              </w:rPr>
            </w:pPr>
            <w:r w:rsidRPr="00BC31E0">
              <w:rPr>
                <w:szCs w:val="20"/>
              </w:rPr>
              <w:t xml:space="preserve">SUS304 </w:t>
            </w:r>
            <w:r w:rsidRPr="00BC31E0">
              <w:rPr>
                <w:rFonts w:asciiTheme="minorHAnsi" w:hAnsiTheme="minorHAnsi"/>
                <w:szCs w:val="20"/>
              </w:rPr>
              <w:t>(</w:t>
            </w:r>
            <w:r w:rsidRPr="00BC31E0">
              <w:rPr>
                <w:rFonts w:hint="eastAsia"/>
                <w:szCs w:val="20"/>
              </w:rPr>
              <w:t>アニール材</w:t>
            </w:r>
            <w:r w:rsidRPr="00BC31E0">
              <w:rPr>
                <w:rFonts w:asciiTheme="minorHAnsi" w:hAnsiTheme="minorHAnsi"/>
                <w:szCs w:val="20"/>
              </w:rPr>
              <w:t>)</w:t>
            </w:r>
          </w:p>
        </w:tc>
        <w:tc>
          <w:tcPr>
            <w:tcW w:w="1125" w:type="dxa"/>
            <w:vAlign w:val="center"/>
          </w:tcPr>
          <w:p w14:paraId="77EDAEC8"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20</w:t>
            </w:r>
          </w:p>
        </w:tc>
        <w:tc>
          <w:tcPr>
            <w:tcW w:w="1143" w:type="dxa"/>
            <w:vAlign w:val="center"/>
          </w:tcPr>
          <w:p w14:paraId="74571DC6"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0.334</w:t>
            </w:r>
          </w:p>
        </w:tc>
        <w:tc>
          <w:tcPr>
            <w:tcW w:w="1556" w:type="dxa"/>
            <w:vAlign w:val="center"/>
          </w:tcPr>
          <w:p w14:paraId="4D1E1D28"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2</w:t>
            </w:r>
            <w:r w:rsidRPr="00BC31E0">
              <w:rPr>
                <w:rFonts w:ascii="Cambria Math" w:hAnsi="Cambria Math" w:hint="eastAsia"/>
                <w:sz w:val="22"/>
                <w:szCs w:val="22"/>
              </w:rPr>
              <w:t>,</w:t>
            </w:r>
            <w:r w:rsidRPr="00BC31E0">
              <w:rPr>
                <w:rFonts w:ascii="Cambria Math" w:hAnsi="Cambria Math"/>
                <w:sz w:val="22"/>
                <w:szCs w:val="22"/>
              </w:rPr>
              <w:t>275</w:t>
            </w:r>
          </w:p>
        </w:tc>
      </w:tr>
      <w:tr w:rsidR="00B44535" w:rsidRPr="00BC31E0" w14:paraId="6011EA0B" w14:textId="77777777" w:rsidTr="004736F2">
        <w:trPr>
          <w:jc w:val="center"/>
        </w:trPr>
        <w:tc>
          <w:tcPr>
            <w:tcW w:w="5244" w:type="dxa"/>
            <w:vMerge w:val="restart"/>
            <w:vAlign w:val="center"/>
          </w:tcPr>
          <w:p w14:paraId="2622E16E" w14:textId="77777777" w:rsidR="00B44535" w:rsidRPr="00BC31E0" w:rsidRDefault="00B44535" w:rsidP="004736F2">
            <w:pPr>
              <w:jc w:val="left"/>
              <w:rPr>
                <w:szCs w:val="20"/>
              </w:rPr>
            </w:pPr>
            <w:r w:rsidRPr="00BC31E0">
              <w:rPr>
                <w:szCs w:val="20"/>
              </w:rPr>
              <w:t>21Cr</w:t>
            </w:r>
            <w:r w:rsidRPr="00BC31E0">
              <w:rPr>
                <w:rFonts w:ascii="ＭＳ 明朝"/>
                <w:szCs w:val="20"/>
              </w:rPr>
              <w:t>-</w:t>
            </w:r>
            <w:r w:rsidRPr="00BC31E0">
              <w:rPr>
                <w:szCs w:val="20"/>
              </w:rPr>
              <w:t>33Ni</w:t>
            </w:r>
            <w:r w:rsidRPr="00BC31E0">
              <w:rPr>
                <w:rFonts w:ascii="ＭＳ 明朝"/>
                <w:szCs w:val="20"/>
              </w:rPr>
              <w:t>-</w:t>
            </w:r>
            <w:r w:rsidRPr="00BC31E0">
              <w:rPr>
                <w:szCs w:val="20"/>
              </w:rPr>
              <w:t>42Fe (NCF800H)</w:t>
            </w:r>
          </w:p>
        </w:tc>
        <w:tc>
          <w:tcPr>
            <w:tcW w:w="1125" w:type="dxa"/>
            <w:vAlign w:val="center"/>
          </w:tcPr>
          <w:p w14:paraId="232EFE46"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20</w:t>
            </w:r>
          </w:p>
        </w:tc>
        <w:tc>
          <w:tcPr>
            <w:tcW w:w="1143" w:type="dxa"/>
            <w:vAlign w:val="center"/>
          </w:tcPr>
          <w:p w14:paraId="5CDD7794"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0.070</w:t>
            </w:r>
          </w:p>
        </w:tc>
        <w:tc>
          <w:tcPr>
            <w:tcW w:w="1556" w:type="dxa"/>
            <w:vAlign w:val="center"/>
          </w:tcPr>
          <w:p w14:paraId="374152CA"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631</w:t>
            </w:r>
          </w:p>
        </w:tc>
      </w:tr>
      <w:tr w:rsidR="00B44535" w:rsidRPr="00BC31E0" w14:paraId="0F599AC0" w14:textId="77777777" w:rsidTr="004736F2">
        <w:trPr>
          <w:jc w:val="center"/>
        </w:trPr>
        <w:tc>
          <w:tcPr>
            <w:tcW w:w="5244" w:type="dxa"/>
            <w:vMerge/>
            <w:vAlign w:val="center"/>
          </w:tcPr>
          <w:p w14:paraId="2A4C9FF5" w14:textId="77777777" w:rsidR="00B44535" w:rsidRPr="00BC31E0" w:rsidRDefault="00B44535" w:rsidP="004736F2">
            <w:pPr>
              <w:jc w:val="left"/>
              <w:rPr>
                <w:szCs w:val="20"/>
              </w:rPr>
            </w:pPr>
          </w:p>
        </w:tc>
        <w:tc>
          <w:tcPr>
            <w:tcW w:w="1125" w:type="dxa"/>
            <w:vAlign w:val="center"/>
          </w:tcPr>
          <w:p w14:paraId="58A14C6D"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500</w:t>
            </w:r>
          </w:p>
        </w:tc>
        <w:tc>
          <w:tcPr>
            <w:tcW w:w="1143" w:type="dxa"/>
            <w:vAlign w:val="center"/>
          </w:tcPr>
          <w:p w14:paraId="3EFDC3F2"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0.085</w:t>
            </w:r>
          </w:p>
        </w:tc>
        <w:tc>
          <w:tcPr>
            <w:tcW w:w="1556" w:type="dxa"/>
            <w:vAlign w:val="center"/>
          </w:tcPr>
          <w:p w14:paraId="2852E64B"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762</w:t>
            </w:r>
          </w:p>
        </w:tc>
      </w:tr>
      <w:tr w:rsidR="00B44535" w:rsidRPr="00BC31E0" w14:paraId="1AB04B53" w14:textId="77777777" w:rsidTr="004736F2">
        <w:trPr>
          <w:jc w:val="center"/>
        </w:trPr>
        <w:tc>
          <w:tcPr>
            <w:tcW w:w="5244" w:type="dxa"/>
            <w:vMerge/>
            <w:vAlign w:val="center"/>
          </w:tcPr>
          <w:p w14:paraId="7B926082" w14:textId="77777777" w:rsidR="00B44535" w:rsidRPr="00BC31E0" w:rsidRDefault="00B44535" w:rsidP="004736F2">
            <w:pPr>
              <w:jc w:val="left"/>
              <w:rPr>
                <w:szCs w:val="20"/>
              </w:rPr>
            </w:pPr>
          </w:p>
        </w:tc>
        <w:tc>
          <w:tcPr>
            <w:tcW w:w="1125" w:type="dxa"/>
            <w:vAlign w:val="center"/>
          </w:tcPr>
          <w:p w14:paraId="398D543D"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600</w:t>
            </w:r>
          </w:p>
        </w:tc>
        <w:tc>
          <w:tcPr>
            <w:tcW w:w="1143" w:type="dxa"/>
            <w:vAlign w:val="center"/>
          </w:tcPr>
          <w:p w14:paraId="7DE5691F"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0.088</w:t>
            </w:r>
          </w:p>
        </w:tc>
        <w:tc>
          <w:tcPr>
            <w:tcW w:w="1556" w:type="dxa"/>
            <w:vAlign w:val="center"/>
          </w:tcPr>
          <w:p w14:paraId="64FEB69B"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729</w:t>
            </w:r>
          </w:p>
        </w:tc>
      </w:tr>
      <w:tr w:rsidR="00B44535" w:rsidRPr="00BC31E0" w14:paraId="27A084A4" w14:textId="77777777" w:rsidTr="004736F2">
        <w:trPr>
          <w:jc w:val="center"/>
        </w:trPr>
        <w:tc>
          <w:tcPr>
            <w:tcW w:w="5244" w:type="dxa"/>
            <w:vMerge/>
            <w:vAlign w:val="center"/>
          </w:tcPr>
          <w:p w14:paraId="78468205" w14:textId="77777777" w:rsidR="00B44535" w:rsidRPr="00BC31E0" w:rsidRDefault="00B44535" w:rsidP="004736F2">
            <w:pPr>
              <w:jc w:val="left"/>
              <w:rPr>
                <w:szCs w:val="20"/>
              </w:rPr>
            </w:pPr>
          </w:p>
        </w:tc>
        <w:tc>
          <w:tcPr>
            <w:tcW w:w="1125" w:type="dxa"/>
            <w:vAlign w:val="center"/>
          </w:tcPr>
          <w:p w14:paraId="43F6F5F9"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700</w:t>
            </w:r>
          </w:p>
        </w:tc>
        <w:tc>
          <w:tcPr>
            <w:tcW w:w="1143" w:type="dxa"/>
            <w:vAlign w:val="center"/>
          </w:tcPr>
          <w:p w14:paraId="74472A8B"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0.092</w:t>
            </w:r>
          </w:p>
        </w:tc>
        <w:tc>
          <w:tcPr>
            <w:tcW w:w="1556" w:type="dxa"/>
            <w:vAlign w:val="center"/>
          </w:tcPr>
          <w:p w14:paraId="69381593"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553</w:t>
            </w:r>
          </w:p>
        </w:tc>
      </w:tr>
      <w:tr w:rsidR="00B44535" w:rsidRPr="00BC31E0" w14:paraId="3D866D69" w14:textId="77777777" w:rsidTr="004736F2">
        <w:trPr>
          <w:jc w:val="center"/>
        </w:trPr>
        <w:tc>
          <w:tcPr>
            <w:tcW w:w="5244" w:type="dxa"/>
            <w:vMerge/>
            <w:vAlign w:val="center"/>
          </w:tcPr>
          <w:p w14:paraId="540D520E" w14:textId="77777777" w:rsidR="00B44535" w:rsidRPr="00BC31E0" w:rsidRDefault="00B44535" w:rsidP="004736F2">
            <w:pPr>
              <w:jc w:val="left"/>
              <w:rPr>
                <w:szCs w:val="20"/>
              </w:rPr>
            </w:pPr>
          </w:p>
        </w:tc>
        <w:tc>
          <w:tcPr>
            <w:tcW w:w="1125" w:type="dxa"/>
            <w:vAlign w:val="center"/>
          </w:tcPr>
          <w:p w14:paraId="1E11D20F"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800</w:t>
            </w:r>
          </w:p>
        </w:tc>
        <w:tc>
          <w:tcPr>
            <w:tcW w:w="1143" w:type="dxa"/>
            <w:vAlign w:val="center"/>
          </w:tcPr>
          <w:p w14:paraId="2CB43D4D"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0.080</w:t>
            </w:r>
          </w:p>
        </w:tc>
        <w:tc>
          <w:tcPr>
            <w:tcW w:w="1556" w:type="dxa"/>
            <w:vAlign w:val="center"/>
          </w:tcPr>
          <w:p w14:paraId="19A08120" w14:textId="77777777" w:rsidR="00B44535" w:rsidRPr="00BC31E0" w:rsidRDefault="00B44535" w:rsidP="004736F2">
            <w:pPr>
              <w:jc w:val="center"/>
              <w:rPr>
                <w:rFonts w:ascii="Cambria Math" w:hAnsi="Cambria Math"/>
                <w:sz w:val="22"/>
                <w:szCs w:val="22"/>
              </w:rPr>
            </w:pPr>
            <w:r w:rsidRPr="00BC31E0">
              <w:rPr>
                <w:rFonts w:ascii="Cambria Math" w:hAnsi="Cambria Math"/>
                <w:sz w:val="22"/>
                <w:szCs w:val="22"/>
              </w:rPr>
              <w:t>315</w:t>
            </w:r>
          </w:p>
        </w:tc>
      </w:tr>
      <w:tr w:rsidR="00B44535" w:rsidRPr="00BC31E0" w14:paraId="0654B077" w14:textId="77777777" w:rsidTr="004736F2">
        <w:trPr>
          <w:jc w:val="center"/>
        </w:trPr>
        <w:tc>
          <w:tcPr>
            <w:tcW w:w="5244" w:type="dxa"/>
            <w:vAlign w:val="center"/>
          </w:tcPr>
          <w:p w14:paraId="6920253E" w14:textId="77777777" w:rsidR="00B44535" w:rsidRPr="00BC31E0" w:rsidRDefault="00B44535" w:rsidP="004736F2">
            <w:pPr>
              <w:jc w:val="left"/>
              <w:rPr>
                <w:szCs w:val="20"/>
              </w:rPr>
            </w:pPr>
            <w:r w:rsidRPr="00BC31E0">
              <w:rPr>
                <w:rFonts w:hint="eastAsia"/>
                <w:szCs w:val="20"/>
              </w:rPr>
              <w:t>アルミニウム合金</w:t>
            </w:r>
            <w:r w:rsidRPr="00BC31E0">
              <w:rPr>
                <w:rFonts w:hint="eastAsia"/>
                <w:szCs w:val="20"/>
              </w:rPr>
              <w:t xml:space="preserve"> (Al</w:t>
            </w:r>
            <w:r w:rsidRPr="00BC31E0">
              <w:rPr>
                <w:rFonts w:asciiTheme="minorEastAsia" w:eastAsiaTheme="minorEastAsia" w:hAnsiTheme="minorEastAsia" w:hint="eastAsia"/>
                <w:szCs w:val="20"/>
              </w:rPr>
              <w:t>-</w:t>
            </w:r>
            <w:r w:rsidRPr="00BC31E0">
              <w:rPr>
                <w:rFonts w:hint="eastAsia"/>
                <w:szCs w:val="20"/>
              </w:rPr>
              <w:t>4.5Zn</w:t>
            </w:r>
            <w:r w:rsidRPr="00BC31E0">
              <w:rPr>
                <w:rFonts w:asciiTheme="minorEastAsia" w:eastAsiaTheme="minorEastAsia" w:hAnsiTheme="minorEastAsia" w:hint="eastAsia"/>
                <w:szCs w:val="20"/>
              </w:rPr>
              <w:t>-</w:t>
            </w:r>
            <w:r w:rsidRPr="00BC31E0">
              <w:rPr>
                <w:rFonts w:hint="eastAsia"/>
                <w:szCs w:val="20"/>
              </w:rPr>
              <w:t>0.6Mn)</w:t>
            </w:r>
          </w:p>
        </w:tc>
        <w:tc>
          <w:tcPr>
            <w:tcW w:w="1125" w:type="dxa"/>
            <w:vAlign w:val="center"/>
          </w:tcPr>
          <w:p w14:paraId="11419C09" w14:textId="77777777" w:rsidR="00B44535" w:rsidRPr="00BC31E0" w:rsidRDefault="00B44535" w:rsidP="004736F2">
            <w:pPr>
              <w:jc w:val="center"/>
              <w:rPr>
                <w:rFonts w:ascii="Cambria Math" w:hAnsi="Cambria Math"/>
                <w:sz w:val="22"/>
                <w:szCs w:val="22"/>
              </w:rPr>
            </w:pPr>
            <w:r w:rsidRPr="00BC31E0">
              <w:rPr>
                <w:rFonts w:ascii="Cambria Math" w:hAnsi="Cambria Math" w:hint="eastAsia"/>
                <w:sz w:val="22"/>
                <w:szCs w:val="22"/>
              </w:rPr>
              <w:t>20</w:t>
            </w:r>
          </w:p>
        </w:tc>
        <w:tc>
          <w:tcPr>
            <w:tcW w:w="1143" w:type="dxa"/>
            <w:vAlign w:val="center"/>
          </w:tcPr>
          <w:p w14:paraId="1D0BB6F3" w14:textId="77777777" w:rsidR="00B44535" w:rsidRPr="00BC31E0" w:rsidRDefault="00B44535" w:rsidP="004736F2">
            <w:pPr>
              <w:jc w:val="center"/>
              <w:rPr>
                <w:rFonts w:ascii="Cambria Math" w:hAnsi="Cambria Math"/>
                <w:sz w:val="22"/>
                <w:szCs w:val="22"/>
              </w:rPr>
            </w:pPr>
            <w:r w:rsidRPr="00BC31E0">
              <w:rPr>
                <w:rFonts w:ascii="Cambria Math" w:hAnsi="Cambria Math" w:hint="eastAsia"/>
                <w:sz w:val="22"/>
                <w:szCs w:val="22"/>
              </w:rPr>
              <w:t>0.058</w:t>
            </w:r>
          </w:p>
        </w:tc>
        <w:tc>
          <w:tcPr>
            <w:tcW w:w="1556" w:type="dxa"/>
            <w:vAlign w:val="center"/>
          </w:tcPr>
          <w:p w14:paraId="65764C29" w14:textId="77777777" w:rsidR="00B44535" w:rsidRPr="00BC31E0" w:rsidRDefault="00B44535" w:rsidP="004736F2">
            <w:pPr>
              <w:jc w:val="center"/>
              <w:rPr>
                <w:rFonts w:ascii="Cambria Math" w:hAnsi="Cambria Math"/>
                <w:sz w:val="22"/>
                <w:szCs w:val="22"/>
              </w:rPr>
            </w:pPr>
            <w:r w:rsidRPr="00BC31E0">
              <w:rPr>
                <w:rFonts w:ascii="Cambria Math" w:hAnsi="Cambria Math" w:hint="eastAsia"/>
                <w:sz w:val="22"/>
                <w:szCs w:val="22"/>
              </w:rPr>
              <w:t>453</w:t>
            </w:r>
          </w:p>
        </w:tc>
      </w:tr>
      <w:tr w:rsidR="00B44535" w:rsidRPr="00BC31E0" w14:paraId="353779D0" w14:textId="77777777" w:rsidTr="004736F2">
        <w:trPr>
          <w:jc w:val="center"/>
        </w:trPr>
        <w:tc>
          <w:tcPr>
            <w:tcW w:w="5244" w:type="dxa"/>
            <w:vAlign w:val="center"/>
          </w:tcPr>
          <w:p w14:paraId="7A028A76" w14:textId="77777777" w:rsidR="00B44535" w:rsidRPr="00BC31E0" w:rsidRDefault="00B44535" w:rsidP="004736F2">
            <w:pPr>
              <w:jc w:val="left"/>
              <w:rPr>
                <w:rFonts w:asciiTheme="minorEastAsia" w:eastAsiaTheme="minorEastAsia" w:hAnsiTheme="minorEastAsia"/>
                <w:szCs w:val="20"/>
              </w:rPr>
            </w:pPr>
            <w:r w:rsidRPr="00BC31E0">
              <w:rPr>
                <w:rFonts w:hint="eastAsia"/>
                <w:szCs w:val="20"/>
              </w:rPr>
              <w:t>アルミニウム合金</w:t>
            </w:r>
            <w:r w:rsidRPr="00BC31E0">
              <w:rPr>
                <w:rFonts w:hint="eastAsia"/>
                <w:szCs w:val="20"/>
              </w:rPr>
              <w:t xml:space="preserve"> (Al</w:t>
            </w:r>
            <w:r w:rsidRPr="00BC31E0">
              <w:rPr>
                <w:rFonts w:asciiTheme="minorEastAsia" w:eastAsiaTheme="minorEastAsia" w:hAnsiTheme="minorEastAsia" w:hint="eastAsia"/>
                <w:szCs w:val="20"/>
              </w:rPr>
              <w:t>-</w:t>
            </w:r>
            <w:r w:rsidRPr="00BC31E0">
              <w:rPr>
                <w:rFonts w:hint="eastAsia"/>
                <w:szCs w:val="20"/>
              </w:rPr>
              <w:t>4.5Zn</w:t>
            </w:r>
            <w:r w:rsidRPr="00BC31E0">
              <w:rPr>
                <w:rFonts w:asciiTheme="minorEastAsia" w:eastAsiaTheme="minorEastAsia" w:hAnsiTheme="minorEastAsia" w:hint="eastAsia"/>
                <w:szCs w:val="20"/>
              </w:rPr>
              <w:t>-</w:t>
            </w:r>
            <w:r w:rsidRPr="00BC31E0">
              <w:rPr>
                <w:rFonts w:hint="eastAsia"/>
                <w:szCs w:val="20"/>
              </w:rPr>
              <w:t>1.5Mg)</w:t>
            </w:r>
          </w:p>
        </w:tc>
        <w:tc>
          <w:tcPr>
            <w:tcW w:w="1125" w:type="dxa"/>
            <w:vAlign w:val="center"/>
          </w:tcPr>
          <w:p w14:paraId="4E86CAC6" w14:textId="77777777" w:rsidR="00B44535" w:rsidRPr="00BC31E0" w:rsidRDefault="00B44535" w:rsidP="004736F2">
            <w:pPr>
              <w:jc w:val="center"/>
              <w:rPr>
                <w:rFonts w:ascii="Cambria Math" w:hAnsi="Cambria Math"/>
                <w:sz w:val="22"/>
                <w:szCs w:val="22"/>
              </w:rPr>
            </w:pPr>
            <w:r w:rsidRPr="00BC31E0">
              <w:rPr>
                <w:rFonts w:ascii="Cambria Math" w:hAnsi="Cambria Math" w:hint="eastAsia"/>
                <w:sz w:val="22"/>
                <w:szCs w:val="22"/>
              </w:rPr>
              <w:t>20</w:t>
            </w:r>
          </w:p>
        </w:tc>
        <w:tc>
          <w:tcPr>
            <w:tcW w:w="1143" w:type="dxa"/>
            <w:vAlign w:val="center"/>
          </w:tcPr>
          <w:p w14:paraId="241DFC27" w14:textId="77777777" w:rsidR="00B44535" w:rsidRPr="00BC31E0" w:rsidRDefault="00B44535" w:rsidP="004736F2">
            <w:pPr>
              <w:jc w:val="center"/>
              <w:rPr>
                <w:rFonts w:ascii="Cambria Math" w:hAnsi="Cambria Math"/>
                <w:sz w:val="22"/>
                <w:szCs w:val="22"/>
              </w:rPr>
            </w:pPr>
            <w:r w:rsidRPr="00BC31E0">
              <w:rPr>
                <w:rFonts w:ascii="Cambria Math" w:hAnsi="Cambria Math" w:hint="eastAsia"/>
                <w:sz w:val="22"/>
                <w:szCs w:val="22"/>
              </w:rPr>
              <w:t>0.047</w:t>
            </w:r>
          </w:p>
        </w:tc>
        <w:tc>
          <w:tcPr>
            <w:tcW w:w="1556" w:type="dxa"/>
            <w:vAlign w:val="center"/>
          </w:tcPr>
          <w:p w14:paraId="2D5F1F10" w14:textId="77777777" w:rsidR="00B44535" w:rsidRPr="00BC31E0" w:rsidRDefault="00B44535" w:rsidP="004736F2">
            <w:pPr>
              <w:jc w:val="center"/>
              <w:rPr>
                <w:rFonts w:ascii="Cambria Math" w:hAnsi="Cambria Math"/>
                <w:sz w:val="22"/>
                <w:szCs w:val="22"/>
              </w:rPr>
            </w:pPr>
            <w:r w:rsidRPr="00BC31E0">
              <w:rPr>
                <w:rFonts w:ascii="Cambria Math" w:hAnsi="Cambria Math" w:hint="eastAsia"/>
                <w:sz w:val="22"/>
                <w:szCs w:val="22"/>
              </w:rPr>
              <w:t>511</w:t>
            </w:r>
          </w:p>
        </w:tc>
      </w:tr>
      <w:tr w:rsidR="00B44535" w:rsidRPr="00BC31E0" w14:paraId="3B11CDA7" w14:textId="77777777" w:rsidTr="004736F2">
        <w:trPr>
          <w:jc w:val="center"/>
        </w:trPr>
        <w:tc>
          <w:tcPr>
            <w:tcW w:w="5244" w:type="dxa"/>
            <w:vAlign w:val="center"/>
          </w:tcPr>
          <w:p w14:paraId="2C48E19A" w14:textId="77777777" w:rsidR="00B44535" w:rsidRPr="00BC31E0" w:rsidRDefault="00B44535" w:rsidP="004736F2">
            <w:pPr>
              <w:jc w:val="left"/>
              <w:rPr>
                <w:szCs w:val="20"/>
              </w:rPr>
            </w:pPr>
            <w:r w:rsidRPr="00BC31E0">
              <w:rPr>
                <w:rFonts w:hint="eastAsia"/>
                <w:szCs w:val="20"/>
              </w:rPr>
              <w:t>アルミニウム合金</w:t>
            </w:r>
            <w:r w:rsidRPr="00BC31E0">
              <w:rPr>
                <w:rFonts w:hint="eastAsia"/>
                <w:szCs w:val="20"/>
              </w:rPr>
              <w:t xml:space="preserve"> (1100</w:t>
            </w:r>
            <w:r w:rsidRPr="00BC31E0">
              <w:rPr>
                <w:rFonts w:asciiTheme="minorEastAsia" w:eastAsiaTheme="minorEastAsia" w:hAnsiTheme="minorEastAsia" w:hint="eastAsia"/>
                <w:szCs w:val="20"/>
              </w:rPr>
              <w:t>-</w:t>
            </w:r>
            <w:r w:rsidRPr="00BC31E0">
              <w:rPr>
                <w:rFonts w:hint="eastAsia"/>
                <w:szCs w:val="20"/>
              </w:rPr>
              <w:t>T6)</w:t>
            </w:r>
          </w:p>
        </w:tc>
        <w:tc>
          <w:tcPr>
            <w:tcW w:w="1125" w:type="dxa"/>
            <w:vAlign w:val="center"/>
          </w:tcPr>
          <w:p w14:paraId="03039DE7" w14:textId="77777777" w:rsidR="00B44535" w:rsidRPr="00BC31E0" w:rsidRDefault="00B44535" w:rsidP="004736F2">
            <w:pPr>
              <w:jc w:val="center"/>
              <w:rPr>
                <w:rFonts w:ascii="Cambria Math" w:hAnsi="Cambria Math"/>
                <w:sz w:val="22"/>
                <w:szCs w:val="22"/>
              </w:rPr>
            </w:pPr>
            <w:r w:rsidRPr="00BC31E0">
              <w:rPr>
                <w:rFonts w:ascii="Cambria Math" w:hAnsi="Cambria Math" w:hint="eastAsia"/>
                <w:sz w:val="22"/>
                <w:szCs w:val="22"/>
              </w:rPr>
              <w:t>20</w:t>
            </w:r>
          </w:p>
        </w:tc>
        <w:tc>
          <w:tcPr>
            <w:tcW w:w="1143" w:type="dxa"/>
            <w:vAlign w:val="center"/>
          </w:tcPr>
          <w:p w14:paraId="3CCD48F0" w14:textId="77777777" w:rsidR="00B44535" w:rsidRPr="00BC31E0" w:rsidRDefault="00B44535" w:rsidP="004736F2">
            <w:pPr>
              <w:jc w:val="center"/>
              <w:rPr>
                <w:rFonts w:ascii="Cambria Math" w:hAnsi="Cambria Math"/>
                <w:sz w:val="22"/>
                <w:szCs w:val="22"/>
              </w:rPr>
            </w:pPr>
            <w:r w:rsidRPr="00BC31E0">
              <w:rPr>
                <w:rFonts w:ascii="Cambria Math" w:hAnsi="Cambria Math" w:hint="eastAsia"/>
                <w:sz w:val="22"/>
                <w:szCs w:val="22"/>
              </w:rPr>
              <w:t>0.144</w:t>
            </w:r>
          </w:p>
        </w:tc>
        <w:tc>
          <w:tcPr>
            <w:tcW w:w="1556" w:type="dxa"/>
            <w:vAlign w:val="center"/>
          </w:tcPr>
          <w:p w14:paraId="2A73E480" w14:textId="77777777" w:rsidR="00B44535" w:rsidRPr="00BC31E0" w:rsidRDefault="00B44535" w:rsidP="004736F2">
            <w:pPr>
              <w:jc w:val="center"/>
              <w:rPr>
                <w:rFonts w:ascii="Cambria Math" w:hAnsi="Cambria Math"/>
                <w:sz w:val="22"/>
                <w:szCs w:val="22"/>
              </w:rPr>
            </w:pPr>
            <w:r w:rsidRPr="00BC31E0">
              <w:rPr>
                <w:rFonts w:ascii="Cambria Math" w:hAnsi="Cambria Math" w:hint="eastAsia"/>
                <w:sz w:val="22"/>
                <w:szCs w:val="22"/>
              </w:rPr>
              <w:t>154</w:t>
            </w:r>
          </w:p>
        </w:tc>
      </w:tr>
      <w:tr w:rsidR="00B44535" w:rsidRPr="00BC31E0" w14:paraId="168B9BE3" w14:textId="77777777" w:rsidTr="004736F2">
        <w:trPr>
          <w:jc w:val="center"/>
        </w:trPr>
        <w:tc>
          <w:tcPr>
            <w:tcW w:w="5244" w:type="dxa"/>
            <w:vAlign w:val="center"/>
          </w:tcPr>
          <w:p w14:paraId="350B60A0" w14:textId="77777777" w:rsidR="00B44535" w:rsidRPr="00BC31E0" w:rsidRDefault="00B44535" w:rsidP="004736F2">
            <w:pPr>
              <w:jc w:val="left"/>
              <w:rPr>
                <w:szCs w:val="20"/>
              </w:rPr>
            </w:pPr>
            <w:r w:rsidRPr="00BC31E0">
              <w:rPr>
                <w:rFonts w:hint="eastAsia"/>
                <w:szCs w:val="20"/>
              </w:rPr>
              <w:t>アルミニウム合金</w:t>
            </w:r>
            <w:r w:rsidRPr="00BC31E0">
              <w:rPr>
                <w:rFonts w:hint="eastAsia"/>
                <w:szCs w:val="20"/>
              </w:rPr>
              <w:t xml:space="preserve"> (2014</w:t>
            </w:r>
            <w:r w:rsidRPr="00BC31E0">
              <w:rPr>
                <w:rFonts w:asciiTheme="minorEastAsia" w:eastAsiaTheme="minorEastAsia" w:hAnsiTheme="minorEastAsia" w:hint="eastAsia"/>
                <w:szCs w:val="20"/>
              </w:rPr>
              <w:t>-</w:t>
            </w:r>
            <w:r w:rsidRPr="00BC31E0">
              <w:rPr>
                <w:rFonts w:hint="eastAsia"/>
                <w:szCs w:val="20"/>
              </w:rPr>
              <w:t>T6)</w:t>
            </w:r>
          </w:p>
        </w:tc>
        <w:tc>
          <w:tcPr>
            <w:tcW w:w="1125" w:type="dxa"/>
            <w:vAlign w:val="center"/>
          </w:tcPr>
          <w:p w14:paraId="1086B59E" w14:textId="77777777" w:rsidR="00B44535" w:rsidRPr="00BC31E0" w:rsidRDefault="00B44535" w:rsidP="004736F2">
            <w:pPr>
              <w:jc w:val="center"/>
              <w:rPr>
                <w:rFonts w:ascii="Cambria Math" w:hAnsi="Cambria Math"/>
                <w:sz w:val="22"/>
                <w:szCs w:val="22"/>
              </w:rPr>
            </w:pPr>
            <w:r w:rsidRPr="00BC31E0">
              <w:rPr>
                <w:rFonts w:ascii="Cambria Math" w:hAnsi="Cambria Math" w:hint="eastAsia"/>
                <w:sz w:val="22"/>
                <w:szCs w:val="22"/>
              </w:rPr>
              <w:t>20</w:t>
            </w:r>
          </w:p>
        </w:tc>
        <w:tc>
          <w:tcPr>
            <w:tcW w:w="1143" w:type="dxa"/>
            <w:vAlign w:val="center"/>
          </w:tcPr>
          <w:p w14:paraId="1AF2198F" w14:textId="77777777" w:rsidR="00B44535" w:rsidRPr="00BC31E0" w:rsidRDefault="00B44535" w:rsidP="004736F2">
            <w:pPr>
              <w:jc w:val="center"/>
              <w:rPr>
                <w:rFonts w:ascii="Cambria Math" w:hAnsi="Cambria Math"/>
                <w:sz w:val="22"/>
                <w:szCs w:val="22"/>
              </w:rPr>
            </w:pPr>
            <w:r w:rsidRPr="00BC31E0">
              <w:rPr>
                <w:rFonts w:ascii="Cambria Math" w:hAnsi="Cambria Math" w:hint="eastAsia"/>
                <w:sz w:val="22"/>
                <w:szCs w:val="22"/>
              </w:rPr>
              <w:t>0.132</w:t>
            </w:r>
          </w:p>
        </w:tc>
        <w:tc>
          <w:tcPr>
            <w:tcW w:w="1556" w:type="dxa"/>
            <w:vAlign w:val="center"/>
          </w:tcPr>
          <w:p w14:paraId="54CB4E67" w14:textId="77777777" w:rsidR="00B44535" w:rsidRPr="00BC31E0" w:rsidRDefault="00B44535" w:rsidP="004736F2">
            <w:pPr>
              <w:jc w:val="center"/>
              <w:rPr>
                <w:rFonts w:ascii="Cambria Math" w:hAnsi="Cambria Math"/>
                <w:sz w:val="22"/>
                <w:szCs w:val="22"/>
              </w:rPr>
            </w:pPr>
            <w:r w:rsidRPr="00BC31E0">
              <w:rPr>
                <w:rFonts w:ascii="Cambria Math" w:hAnsi="Cambria Math" w:hint="eastAsia"/>
                <w:sz w:val="22"/>
                <w:szCs w:val="22"/>
              </w:rPr>
              <w:t>963</w:t>
            </w:r>
          </w:p>
        </w:tc>
      </w:tr>
      <w:tr w:rsidR="00B44535" w:rsidRPr="00BC31E0" w14:paraId="0C751A52" w14:textId="77777777" w:rsidTr="004736F2">
        <w:trPr>
          <w:jc w:val="center"/>
        </w:trPr>
        <w:tc>
          <w:tcPr>
            <w:tcW w:w="5244" w:type="dxa"/>
            <w:vAlign w:val="center"/>
          </w:tcPr>
          <w:p w14:paraId="04E81E79" w14:textId="77777777" w:rsidR="00B44535" w:rsidRPr="00BC31E0" w:rsidRDefault="00B44535" w:rsidP="004736F2">
            <w:pPr>
              <w:jc w:val="left"/>
              <w:rPr>
                <w:szCs w:val="20"/>
              </w:rPr>
            </w:pPr>
            <w:r w:rsidRPr="00BC31E0">
              <w:rPr>
                <w:rFonts w:hint="eastAsia"/>
                <w:szCs w:val="20"/>
              </w:rPr>
              <w:t>アルミニウム合金</w:t>
            </w:r>
            <w:r w:rsidRPr="00BC31E0">
              <w:rPr>
                <w:rFonts w:hint="eastAsia"/>
                <w:szCs w:val="20"/>
              </w:rPr>
              <w:t xml:space="preserve"> (5086)</w:t>
            </w:r>
          </w:p>
        </w:tc>
        <w:tc>
          <w:tcPr>
            <w:tcW w:w="1125" w:type="dxa"/>
            <w:vAlign w:val="center"/>
          </w:tcPr>
          <w:p w14:paraId="57E5B49D" w14:textId="77777777" w:rsidR="00B44535" w:rsidRPr="00BC31E0" w:rsidRDefault="00B44535" w:rsidP="004736F2">
            <w:pPr>
              <w:jc w:val="center"/>
              <w:rPr>
                <w:rFonts w:ascii="Cambria Math" w:hAnsi="Cambria Math"/>
                <w:sz w:val="22"/>
                <w:szCs w:val="22"/>
              </w:rPr>
            </w:pPr>
            <w:r w:rsidRPr="00BC31E0">
              <w:rPr>
                <w:rFonts w:ascii="Cambria Math" w:hAnsi="Cambria Math" w:hint="eastAsia"/>
                <w:sz w:val="22"/>
                <w:szCs w:val="22"/>
              </w:rPr>
              <w:t>20</w:t>
            </w:r>
          </w:p>
        </w:tc>
        <w:tc>
          <w:tcPr>
            <w:tcW w:w="1143" w:type="dxa"/>
            <w:vAlign w:val="center"/>
          </w:tcPr>
          <w:p w14:paraId="224ECEC4" w14:textId="77777777" w:rsidR="00B44535" w:rsidRPr="00BC31E0" w:rsidRDefault="00B44535" w:rsidP="004736F2">
            <w:pPr>
              <w:jc w:val="center"/>
              <w:rPr>
                <w:rFonts w:ascii="Cambria Math" w:hAnsi="Cambria Math"/>
                <w:sz w:val="22"/>
                <w:szCs w:val="22"/>
              </w:rPr>
            </w:pPr>
            <w:r w:rsidRPr="00BC31E0">
              <w:rPr>
                <w:rFonts w:ascii="Cambria Math" w:hAnsi="Cambria Math" w:hint="eastAsia"/>
                <w:sz w:val="22"/>
                <w:szCs w:val="22"/>
              </w:rPr>
              <w:t>0.139</w:t>
            </w:r>
          </w:p>
        </w:tc>
        <w:tc>
          <w:tcPr>
            <w:tcW w:w="1556" w:type="dxa"/>
            <w:vAlign w:val="center"/>
          </w:tcPr>
          <w:p w14:paraId="445F05FA" w14:textId="77777777" w:rsidR="00B44535" w:rsidRPr="00BC31E0" w:rsidRDefault="00B44535" w:rsidP="004736F2">
            <w:pPr>
              <w:jc w:val="center"/>
              <w:rPr>
                <w:rFonts w:ascii="Cambria Math" w:hAnsi="Cambria Math"/>
                <w:sz w:val="22"/>
                <w:szCs w:val="22"/>
              </w:rPr>
            </w:pPr>
            <w:r w:rsidRPr="00BC31E0">
              <w:rPr>
                <w:rFonts w:ascii="Cambria Math" w:hAnsi="Cambria Math" w:hint="eastAsia"/>
                <w:sz w:val="22"/>
                <w:szCs w:val="22"/>
              </w:rPr>
              <w:t>662</w:t>
            </w:r>
          </w:p>
        </w:tc>
      </w:tr>
      <w:tr w:rsidR="00B44535" w:rsidRPr="00BC31E0" w14:paraId="7D3C9DB4" w14:textId="77777777" w:rsidTr="004736F2">
        <w:trPr>
          <w:jc w:val="center"/>
        </w:trPr>
        <w:tc>
          <w:tcPr>
            <w:tcW w:w="5244" w:type="dxa"/>
            <w:vAlign w:val="center"/>
          </w:tcPr>
          <w:p w14:paraId="037F6EBF" w14:textId="77777777" w:rsidR="00B44535" w:rsidRPr="00BC31E0" w:rsidRDefault="00B44535" w:rsidP="004736F2">
            <w:pPr>
              <w:jc w:val="left"/>
              <w:rPr>
                <w:szCs w:val="20"/>
              </w:rPr>
            </w:pPr>
            <w:r w:rsidRPr="00BC31E0">
              <w:rPr>
                <w:rFonts w:hint="eastAsia"/>
                <w:szCs w:val="20"/>
              </w:rPr>
              <w:t>アルミニウム合金</w:t>
            </w:r>
            <w:r w:rsidRPr="00BC31E0">
              <w:rPr>
                <w:rFonts w:hint="eastAsia"/>
                <w:szCs w:val="20"/>
              </w:rPr>
              <w:t xml:space="preserve"> (6009</w:t>
            </w:r>
            <w:r w:rsidRPr="00BC31E0">
              <w:rPr>
                <w:rFonts w:asciiTheme="minorEastAsia" w:eastAsiaTheme="minorEastAsia" w:hAnsiTheme="minorEastAsia" w:hint="eastAsia"/>
                <w:szCs w:val="20"/>
              </w:rPr>
              <w:t>-</w:t>
            </w:r>
            <w:r w:rsidRPr="00BC31E0">
              <w:rPr>
                <w:rFonts w:hint="eastAsia"/>
                <w:szCs w:val="20"/>
              </w:rPr>
              <w:t>T4)</w:t>
            </w:r>
          </w:p>
        </w:tc>
        <w:tc>
          <w:tcPr>
            <w:tcW w:w="1125" w:type="dxa"/>
            <w:vAlign w:val="center"/>
          </w:tcPr>
          <w:p w14:paraId="4AC83648" w14:textId="77777777" w:rsidR="00B44535" w:rsidRPr="00BC31E0" w:rsidRDefault="00B44535" w:rsidP="004736F2">
            <w:pPr>
              <w:jc w:val="center"/>
              <w:rPr>
                <w:rFonts w:ascii="Cambria Math" w:hAnsi="Cambria Math"/>
                <w:sz w:val="22"/>
                <w:szCs w:val="22"/>
              </w:rPr>
            </w:pPr>
            <w:r w:rsidRPr="00BC31E0">
              <w:rPr>
                <w:rFonts w:ascii="Cambria Math" w:hAnsi="Cambria Math" w:hint="eastAsia"/>
                <w:sz w:val="22"/>
                <w:szCs w:val="22"/>
              </w:rPr>
              <w:t>20</w:t>
            </w:r>
          </w:p>
        </w:tc>
        <w:tc>
          <w:tcPr>
            <w:tcW w:w="1143" w:type="dxa"/>
            <w:vAlign w:val="center"/>
          </w:tcPr>
          <w:p w14:paraId="7DD73807" w14:textId="77777777" w:rsidR="00B44535" w:rsidRPr="00BC31E0" w:rsidRDefault="00B44535" w:rsidP="004736F2">
            <w:pPr>
              <w:jc w:val="center"/>
              <w:rPr>
                <w:rFonts w:ascii="Cambria Math" w:hAnsi="Cambria Math"/>
                <w:sz w:val="22"/>
                <w:szCs w:val="22"/>
              </w:rPr>
            </w:pPr>
            <w:r w:rsidRPr="00BC31E0">
              <w:rPr>
                <w:rFonts w:ascii="Cambria Math" w:hAnsi="Cambria Math" w:hint="eastAsia"/>
                <w:sz w:val="22"/>
                <w:szCs w:val="22"/>
              </w:rPr>
              <w:t>0.124</w:t>
            </w:r>
          </w:p>
        </w:tc>
        <w:tc>
          <w:tcPr>
            <w:tcW w:w="1556" w:type="dxa"/>
            <w:vAlign w:val="center"/>
          </w:tcPr>
          <w:p w14:paraId="448D5682" w14:textId="77777777" w:rsidR="00B44535" w:rsidRPr="00BC31E0" w:rsidRDefault="00B44535" w:rsidP="004736F2">
            <w:pPr>
              <w:jc w:val="center"/>
              <w:rPr>
                <w:rFonts w:ascii="Cambria Math" w:hAnsi="Cambria Math"/>
                <w:sz w:val="22"/>
                <w:szCs w:val="22"/>
              </w:rPr>
            </w:pPr>
            <w:r w:rsidRPr="00BC31E0">
              <w:rPr>
                <w:rFonts w:ascii="Cambria Math" w:hAnsi="Cambria Math" w:hint="eastAsia"/>
                <w:sz w:val="22"/>
                <w:szCs w:val="22"/>
              </w:rPr>
              <w:t>577</w:t>
            </w:r>
          </w:p>
        </w:tc>
      </w:tr>
      <w:tr w:rsidR="00B44535" w:rsidRPr="00BC31E0" w14:paraId="39B7B488" w14:textId="77777777" w:rsidTr="004736F2">
        <w:trPr>
          <w:jc w:val="center"/>
        </w:trPr>
        <w:tc>
          <w:tcPr>
            <w:tcW w:w="5244" w:type="dxa"/>
            <w:vAlign w:val="center"/>
          </w:tcPr>
          <w:p w14:paraId="197AF27C" w14:textId="77777777" w:rsidR="00B44535" w:rsidRPr="00BC31E0" w:rsidRDefault="00B44535" w:rsidP="004736F2">
            <w:pPr>
              <w:jc w:val="left"/>
              <w:rPr>
                <w:szCs w:val="20"/>
              </w:rPr>
            </w:pPr>
            <w:r w:rsidRPr="00BC31E0">
              <w:rPr>
                <w:rFonts w:hint="eastAsia"/>
                <w:szCs w:val="20"/>
              </w:rPr>
              <w:t>アルミニウム合金</w:t>
            </w:r>
            <w:r w:rsidRPr="00BC31E0">
              <w:rPr>
                <w:rFonts w:hint="eastAsia"/>
                <w:szCs w:val="20"/>
              </w:rPr>
              <w:t xml:space="preserve"> (6009</w:t>
            </w:r>
            <w:r w:rsidRPr="00BC31E0">
              <w:rPr>
                <w:rFonts w:asciiTheme="minorEastAsia" w:eastAsiaTheme="minorEastAsia" w:hAnsiTheme="minorEastAsia" w:hint="eastAsia"/>
                <w:szCs w:val="20"/>
              </w:rPr>
              <w:t>-</w:t>
            </w:r>
            <w:r w:rsidRPr="00BC31E0">
              <w:rPr>
                <w:rFonts w:hint="eastAsia"/>
                <w:szCs w:val="20"/>
              </w:rPr>
              <w:t>T6)</w:t>
            </w:r>
          </w:p>
        </w:tc>
        <w:tc>
          <w:tcPr>
            <w:tcW w:w="1125" w:type="dxa"/>
            <w:vAlign w:val="center"/>
          </w:tcPr>
          <w:p w14:paraId="1CB54EB3" w14:textId="77777777" w:rsidR="00B44535" w:rsidRPr="00BC31E0" w:rsidRDefault="00B44535" w:rsidP="004736F2">
            <w:pPr>
              <w:jc w:val="center"/>
              <w:rPr>
                <w:rFonts w:ascii="Cambria Math" w:hAnsi="Cambria Math"/>
                <w:sz w:val="22"/>
                <w:szCs w:val="22"/>
              </w:rPr>
            </w:pPr>
            <w:r w:rsidRPr="00BC31E0">
              <w:rPr>
                <w:rFonts w:ascii="Cambria Math" w:hAnsi="Cambria Math" w:hint="eastAsia"/>
                <w:sz w:val="22"/>
                <w:szCs w:val="22"/>
              </w:rPr>
              <w:t>20</w:t>
            </w:r>
          </w:p>
        </w:tc>
        <w:tc>
          <w:tcPr>
            <w:tcW w:w="1143" w:type="dxa"/>
            <w:vAlign w:val="center"/>
          </w:tcPr>
          <w:p w14:paraId="7298DFB9" w14:textId="77777777" w:rsidR="00B44535" w:rsidRPr="00BC31E0" w:rsidRDefault="00B44535" w:rsidP="004736F2">
            <w:pPr>
              <w:jc w:val="center"/>
              <w:rPr>
                <w:rFonts w:ascii="Cambria Math" w:hAnsi="Cambria Math"/>
                <w:sz w:val="22"/>
                <w:szCs w:val="22"/>
              </w:rPr>
            </w:pPr>
            <w:r w:rsidRPr="00BC31E0">
              <w:rPr>
                <w:rFonts w:ascii="Cambria Math" w:hAnsi="Cambria Math" w:hint="eastAsia"/>
                <w:sz w:val="22"/>
                <w:szCs w:val="22"/>
              </w:rPr>
              <w:t>0.128</w:t>
            </w:r>
          </w:p>
        </w:tc>
        <w:tc>
          <w:tcPr>
            <w:tcW w:w="1556" w:type="dxa"/>
            <w:vAlign w:val="center"/>
          </w:tcPr>
          <w:p w14:paraId="6DCBACF9" w14:textId="77777777" w:rsidR="00B44535" w:rsidRPr="00BC31E0" w:rsidRDefault="00B44535" w:rsidP="004736F2">
            <w:pPr>
              <w:jc w:val="center"/>
              <w:rPr>
                <w:rFonts w:ascii="Cambria Math" w:hAnsi="Cambria Math"/>
                <w:sz w:val="22"/>
                <w:szCs w:val="22"/>
              </w:rPr>
            </w:pPr>
            <w:r w:rsidRPr="00BC31E0">
              <w:rPr>
                <w:rFonts w:ascii="Cambria Math" w:hAnsi="Cambria Math" w:hint="eastAsia"/>
                <w:sz w:val="22"/>
                <w:szCs w:val="22"/>
              </w:rPr>
              <w:t>633</w:t>
            </w:r>
          </w:p>
        </w:tc>
      </w:tr>
      <w:tr w:rsidR="00B44535" w:rsidRPr="00BC31E0" w14:paraId="40AF391B" w14:textId="77777777" w:rsidTr="004736F2">
        <w:trPr>
          <w:jc w:val="center"/>
        </w:trPr>
        <w:tc>
          <w:tcPr>
            <w:tcW w:w="5244" w:type="dxa"/>
            <w:vAlign w:val="center"/>
          </w:tcPr>
          <w:p w14:paraId="5795AAC8" w14:textId="77777777" w:rsidR="00B44535" w:rsidRPr="00BC31E0" w:rsidRDefault="00B44535" w:rsidP="004736F2">
            <w:pPr>
              <w:jc w:val="left"/>
              <w:rPr>
                <w:szCs w:val="20"/>
              </w:rPr>
            </w:pPr>
            <w:r w:rsidRPr="00BC31E0">
              <w:rPr>
                <w:rFonts w:hint="eastAsia"/>
                <w:szCs w:val="20"/>
              </w:rPr>
              <w:t>銅合金</w:t>
            </w:r>
          </w:p>
        </w:tc>
        <w:tc>
          <w:tcPr>
            <w:tcW w:w="1125" w:type="dxa"/>
            <w:vAlign w:val="center"/>
          </w:tcPr>
          <w:p w14:paraId="23C5B1A5" w14:textId="77777777" w:rsidR="00B44535" w:rsidRPr="00BC31E0" w:rsidRDefault="00B44535" w:rsidP="004736F2">
            <w:pPr>
              <w:jc w:val="center"/>
              <w:rPr>
                <w:rFonts w:ascii="Cambria Math" w:hAnsi="Cambria Math"/>
                <w:sz w:val="22"/>
                <w:szCs w:val="22"/>
              </w:rPr>
            </w:pPr>
            <w:r w:rsidRPr="00BC31E0">
              <w:rPr>
                <w:rFonts w:ascii="Cambria Math" w:hAnsi="Cambria Math" w:hint="eastAsia"/>
                <w:sz w:val="22"/>
                <w:szCs w:val="22"/>
              </w:rPr>
              <w:t>20</w:t>
            </w:r>
          </w:p>
        </w:tc>
        <w:tc>
          <w:tcPr>
            <w:tcW w:w="1143" w:type="dxa"/>
            <w:vAlign w:val="center"/>
          </w:tcPr>
          <w:p w14:paraId="723CCB80" w14:textId="77777777" w:rsidR="00B44535" w:rsidRPr="00BC31E0" w:rsidRDefault="00B44535" w:rsidP="004736F2">
            <w:pPr>
              <w:jc w:val="center"/>
              <w:rPr>
                <w:rFonts w:ascii="Cambria Math" w:hAnsi="Cambria Math"/>
                <w:sz w:val="22"/>
                <w:szCs w:val="22"/>
              </w:rPr>
            </w:pPr>
            <w:r w:rsidRPr="00BC31E0">
              <w:rPr>
                <w:rFonts w:ascii="Cambria Math" w:hAnsi="Cambria Math" w:hint="eastAsia"/>
                <w:sz w:val="22"/>
                <w:szCs w:val="22"/>
              </w:rPr>
              <w:t>0.263</w:t>
            </w:r>
          </w:p>
        </w:tc>
        <w:tc>
          <w:tcPr>
            <w:tcW w:w="1556" w:type="dxa"/>
            <w:vAlign w:val="center"/>
          </w:tcPr>
          <w:p w14:paraId="2157CF0F" w14:textId="77777777" w:rsidR="00B44535" w:rsidRPr="00BC31E0" w:rsidRDefault="00B44535" w:rsidP="004736F2">
            <w:pPr>
              <w:jc w:val="center"/>
              <w:rPr>
                <w:rFonts w:ascii="Cambria Math" w:hAnsi="Cambria Math"/>
                <w:sz w:val="22"/>
                <w:szCs w:val="22"/>
              </w:rPr>
            </w:pPr>
            <w:r w:rsidRPr="00BC31E0">
              <w:rPr>
                <w:rFonts w:ascii="Cambria Math" w:hAnsi="Cambria Math" w:hint="eastAsia"/>
                <w:sz w:val="22"/>
                <w:szCs w:val="22"/>
              </w:rPr>
              <w:t>683</w:t>
            </w:r>
          </w:p>
        </w:tc>
      </w:tr>
    </w:tbl>
    <w:p w14:paraId="1D2EA5AA" w14:textId="77777777" w:rsidR="00B44535" w:rsidRPr="00BC31E0" w:rsidRDefault="00B44535" w:rsidP="00B44535">
      <w:pPr>
        <w:spacing w:before="60"/>
        <w:rPr>
          <w:vertAlign w:val="superscript"/>
        </w:rPr>
      </w:pPr>
      <w:r w:rsidRPr="00BC31E0">
        <w:rPr>
          <w:rFonts w:ascii="ＭＳ ゴシック" w:eastAsia="ＭＳ ゴシック" w:hAnsi="ＭＳ ゴシック" w:hint="eastAsia"/>
          <w:b/>
        </w:rPr>
        <w:t>注記</w:t>
      </w:r>
      <w:r w:rsidRPr="00BC31E0">
        <w:rPr>
          <w:rFonts w:ascii="ＭＳ 明朝" w:hAnsi="ＭＳ 明朝" w:hint="eastAsia"/>
        </w:rPr>
        <w:t xml:space="preserve">　中間の温度においては，線形補間により材料特性を求める。</w:t>
      </w:r>
    </w:p>
    <w:p w14:paraId="219630F8" w14:textId="77777777" w:rsidR="00B44535" w:rsidRPr="00BC31E0" w:rsidRDefault="00B44535" w:rsidP="00B44535">
      <w:pPr>
        <w:rPr>
          <w:rFonts w:hAnsi="ＭＳ 明朝"/>
          <w:b/>
        </w:rPr>
      </w:pPr>
      <w:r w:rsidRPr="00BC31E0">
        <w:rPr>
          <w:rFonts w:ascii="ＭＳ ゴシック" w:eastAsia="ＭＳ ゴシック" w:hAnsi="ＭＳ ゴシック" w:hint="eastAsia"/>
          <w:b/>
        </w:rPr>
        <w:t>注</w:t>
      </w:r>
      <w:r w:rsidRPr="00BC31E0">
        <w:rPr>
          <w:rFonts w:ascii="ＭＳ ゴシック" w:eastAsia="ＭＳ ゴシック" w:hAnsi="ＭＳ ゴシック"/>
          <w:b/>
          <w:vertAlign w:val="superscript"/>
        </w:rPr>
        <w:t>a)</w:t>
      </w:r>
      <w:r w:rsidRPr="00BC31E0">
        <w:rPr>
          <w:rFonts w:ascii="ＭＳ ゴシック" w:eastAsia="ＭＳ ゴシック" w:hAnsi="ＭＳ ゴシック" w:hint="eastAsia"/>
          <w:b/>
        </w:rPr>
        <w:t xml:space="preserve">　</w:t>
      </w:r>
      <w:r w:rsidRPr="00BC31E0">
        <w:rPr>
          <w:rFonts w:hAnsi="ＭＳ 明朝" w:hint="eastAsia"/>
        </w:rPr>
        <w:t>焼ならし</w:t>
      </w:r>
      <w:r w:rsidRPr="00BC31E0">
        <w:t xml:space="preserve"> </w:t>
      </w:r>
      <w:r w:rsidRPr="00BC31E0">
        <w:rPr>
          <w:rFonts w:ascii="Cambria Math" w:hAnsi="Cambria Math"/>
          <w:sz w:val="22"/>
          <w:szCs w:val="22"/>
        </w:rPr>
        <w:t>870</w:t>
      </w:r>
      <w:r w:rsidRPr="00BC31E0">
        <w:rPr>
          <w:rFonts w:ascii="Cambria Math" w:hAnsi="Cambria Math" w:hint="eastAsia"/>
          <w:sz w:val="22"/>
          <w:szCs w:val="22"/>
        </w:rPr>
        <w:t xml:space="preserve"> </w:t>
      </w:r>
      <w:r w:rsidRPr="00BC31E0">
        <w:rPr>
          <w:rFonts w:ascii="Cambria Math" w:eastAsiaTheme="minorEastAsia" w:hAnsi="Cambria Math"/>
          <w:sz w:val="22"/>
          <w:szCs w:val="22"/>
        </w:rPr>
        <w:t>℃</w:t>
      </w:r>
      <w:r w:rsidRPr="00BC31E0">
        <w:rPr>
          <w:rFonts w:ascii="Cambria Math" w:hAnsi="Cambria Math"/>
          <w:sz w:val="22"/>
          <w:szCs w:val="22"/>
        </w:rPr>
        <w:t>/30 min</w:t>
      </w:r>
      <w:r w:rsidRPr="00BC31E0">
        <w:t xml:space="preserve"> </w:t>
      </w:r>
      <w:r w:rsidRPr="00BC31E0">
        <w:rPr>
          <w:rFonts w:hAnsi="ＭＳ 明朝" w:hint="eastAsia"/>
        </w:rPr>
        <w:t>空冷，</w:t>
      </w:r>
      <w:r w:rsidRPr="00BC31E0">
        <w:rPr>
          <w:rFonts w:ascii="Cambria Math" w:hAnsi="Cambria Math"/>
          <w:sz w:val="22"/>
          <w:szCs w:val="22"/>
        </w:rPr>
        <w:t>855</w:t>
      </w:r>
      <w:r w:rsidRPr="00BC31E0">
        <w:rPr>
          <w:rFonts w:ascii="Cambria Math" w:hAnsi="Cambria Math" w:hint="eastAsia"/>
          <w:sz w:val="22"/>
          <w:szCs w:val="22"/>
        </w:rPr>
        <w:t xml:space="preserve"> </w:t>
      </w:r>
      <w:r w:rsidRPr="00BC31E0">
        <w:rPr>
          <w:rFonts w:ascii="Cambria Math" w:eastAsiaTheme="minorEastAsia" w:hAnsi="Cambria Math"/>
          <w:sz w:val="22"/>
          <w:szCs w:val="22"/>
        </w:rPr>
        <w:t>℃</w:t>
      </w:r>
      <w:r w:rsidRPr="00BC31E0">
        <w:rPr>
          <w:rFonts w:ascii="Cambria Math" w:hAnsi="Cambria Math"/>
          <w:sz w:val="22"/>
          <w:szCs w:val="22"/>
        </w:rPr>
        <w:t>/30 min</w:t>
      </w:r>
      <w:r w:rsidRPr="00BC31E0">
        <w:t xml:space="preserve"> </w:t>
      </w:r>
      <w:r w:rsidRPr="00BC31E0">
        <w:rPr>
          <w:rFonts w:hAnsi="ＭＳ 明朝" w:hint="eastAsia"/>
        </w:rPr>
        <w:t>油焼入れ</w:t>
      </w:r>
    </w:p>
    <w:p w14:paraId="19E15524" w14:textId="77777777" w:rsidR="00B44535" w:rsidRPr="00BC31E0" w:rsidRDefault="00B44535" w:rsidP="00B44535">
      <w:pPr>
        <w:ind w:left="284"/>
      </w:pPr>
      <w:r w:rsidRPr="00BC31E0">
        <w:rPr>
          <w:rFonts w:ascii="ＭＳ ゴシック" w:eastAsia="ＭＳ ゴシック" w:hAnsi="ＭＳ ゴシック"/>
          <w:b/>
          <w:vertAlign w:val="superscript"/>
        </w:rPr>
        <w:t>b)</w:t>
      </w:r>
      <w:r w:rsidRPr="00BC31E0">
        <w:rPr>
          <w:rFonts w:ascii="ＭＳ ゴシック" w:eastAsia="ＭＳ ゴシック" w:hAnsi="ＭＳ ゴシック" w:hint="eastAsia"/>
          <w:b/>
        </w:rPr>
        <w:t xml:space="preserve">　</w:t>
      </w:r>
      <w:r w:rsidRPr="00BC31E0">
        <w:rPr>
          <w:rFonts w:hAnsi="ＭＳ 明朝" w:hint="eastAsia"/>
        </w:rPr>
        <w:t>焼ならし</w:t>
      </w:r>
      <w:r w:rsidRPr="00BC31E0">
        <w:t xml:space="preserve"> </w:t>
      </w:r>
      <w:r w:rsidRPr="00BC31E0">
        <w:rPr>
          <w:rFonts w:ascii="Cambria Math" w:hAnsi="Cambria Math"/>
          <w:sz w:val="22"/>
          <w:szCs w:val="22"/>
        </w:rPr>
        <w:t>870</w:t>
      </w:r>
      <w:r w:rsidRPr="00BC31E0">
        <w:rPr>
          <w:rFonts w:ascii="Cambria Math" w:hAnsi="Cambria Math" w:hint="eastAsia"/>
          <w:sz w:val="22"/>
          <w:szCs w:val="22"/>
        </w:rPr>
        <w:t xml:space="preserve"> </w:t>
      </w:r>
      <w:r w:rsidRPr="00BC31E0">
        <w:rPr>
          <w:rFonts w:ascii="Cambria Math" w:eastAsiaTheme="minorEastAsia" w:hAnsi="Cambria Math"/>
          <w:sz w:val="22"/>
          <w:szCs w:val="22"/>
        </w:rPr>
        <w:t>℃</w:t>
      </w:r>
      <w:r w:rsidRPr="00BC31E0">
        <w:rPr>
          <w:rFonts w:ascii="Cambria Math" w:hAnsi="Cambria Math"/>
          <w:sz w:val="22"/>
          <w:szCs w:val="22"/>
        </w:rPr>
        <w:t>/30 min</w:t>
      </w:r>
      <w:r w:rsidRPr="00BC31E0">
        <w:t xml:space="preserve"> </w:t>
      </w:r>
      <w:r w:rsidRPr="00BC31E0">
        <w:rPr>
          <w:rFonts w:hAnsi="ＭＳ 明朝" w:hint="eastAsia"/>
        </w:rPr>
        <w:t>空冷，</w:t>
      </w:r>
      <w:r w:rsidRPr="00BC31E0">
        <w:rPr>
          <w:rFonts w:ascii="Cambria Math" w:hAnsi="Cambria Math"/>
          <w:sz w:val="22"/>
          <w:szCs w:val="22"/>
        </w:rPr>
        <w:t>845</w:t>
      </w:r>
      <w:r w:rsidRPr="00BC31E0">
        <w:rPr>
          <w:rFonts w:ascii="Cambria Math" w:hAnsi="Cambria Math" w:hint="eastAsia"/>
          <w:sz w:val="22"/>
          <w:szCs w:val="22"/>
        </w:rPr>
        <w:t xml:space="preserve"> </w:t>
      </w:r>
      <w:r w:rsidRPr="00BC31E0">
        <w:rPr>
          <w:rFonts w:ascii="Cambria Math" w:eastAsiaTheme="minorEastAsia" w:hAnsi="Cambria Math"/>
          <w:sz w:val="22"/>
          <w:szCs w:val="22"/>
        </w:rPr>
        <w:t>℃</w:t>
      </w:r>
      <w:r w:rsidRPr="00BC31E0">
        <w:rPr>
          <w:rFonts w:ascii="Cambria Math" w:hAnsi="Cambria Math"/>
          <w:sz w:val="22"/>
          <w:szCs w:val="22"/>
        </w:rPr>
        <w:t>/30 min</w:t>
      </w:r>
      <w:r w:rsidRPr="00BC31E0">
        <w:t xml:space="preserve"> </w:t>
      </w:r>
      <w:r w:rsidRPr="00BC31E0">
        <w:rPr>
          <w:rFonts w:hAnsi="ＭＳ 明朝" w:hint="eastAsia"/>
        </w:rPr>
        <w:t>油焼入れ</w:t>
      </w:r>
    </w:p>
    <w:p w14:paraId="748BFEA5" w14:textId="77777777" w:rsidR="00B44535" w:rsidRPr="00BC31E0" w:rsidRDefault="00B44535" w:rsidP="00B44535">
      <w:pPr>
        <w:widowControl/>
        <w:jc w:val="left"/>
        <w:rPr>
          <w:rFonts w:asciiTheme="minorHAnsi" w:eastAsiaTheme="minorEastAsia" w:hAnsiTheme="minorHAnsi"/>
        </w:rPr>
      </w:pPr>
    </w:p>
    <w:p w14:paraId="39B50577" w14:textId="77777777" w:rsidR="00804C08" w:rsidRPr="00BC31E0" w:rsidRDefault="00804C08">
      <w:pPr>
        <w:widowControl/>
        <w:jc w:val="left"/>
      </w:pPr>
      <w:r w:rsidRPr="00BC31E0">
        <w:br w:type="page"/>
      </w:r>
    </w:p>
    <w:p w14:paraId="709F7414" w14:textId="77777777" w:rsidR="00AB1F3F" w:rsidRPr="00BC31E0" w:rsidRDefault="00AB1F3F" w:rsidP="008E5A56">
      <w:pPr>
        <w:pStyle w:val="aff6"/>
      </w:pPr>
      <w:bookmarkStart w:id="158" w:name="_Toc284409064"/>
      <w:bookmarkStart w:id="159" w:name="_Toc357672129"/>
      <w:bookmarkStart w:id="160" w:name="_Toc120092565"/>
      <w:r w:rsidRPr="00BC31E0">
        <w:rPr>
          <w:rFonts w:hint="eastAsia"/>
        </w:rPr>
        <w:lastRenderedPageBreak/>
        <w:t>附属書</w:t>
      </w:r>
      <w:r w:rsidRPr="00BC31E0">
        <w:t>E</w:t>
      </w:r>
      <w:r w:rsidRPr="00BC31E0">
        <w:rPr>
          <w:rFonts w:ascii="ＭＳ ゴシック" w:hAnsi="ＭＳ ゴシック" w:hint="eastAsia"/>
        </w:rPr>
        <w:t>(規定)</w:t>
      </w:r>
      <w:r w:rsidRPr="00BC31E0">
        <w:rPr>
          <w:rFonts w:hint="eastAsia"/>
        </w:rPr>
        <w:t xml:space="preserve">　穴補強</w:t>
      </w:r>
      <w:bookmarkEnd w:id="158"/>
      <w:bookmarkEnd w:id="159"/>
      <w:bookmarkEnd w:id="160"/>
    </w:p>
    <w:p w14:paraId="303518E8" w14:textId="77777777" w:rsidR="00AB1F3F" w:rsidRPr="00BC31E0" w:rsidRDefault="00AB1F3F" w:rsidP="008E5A56">
      <w:pPr>
        <w:pStyle w:val="afb"/>
        <w:spacing w:line="240" w:lineRule="auto"/>
      </w:pPr>
      <w:r w:rsidRPr="00BC31E0">
        <w:rPr>
          <w:rFonts w:hint="eastAsia"/>
        </w:rPr>
        <w:t>序文</w:t>
      </w:r>
    </w:p>
    <w:p w14:paraId="000936A8" w14:textId="77777777" w:rsidR="00AB1F3F" w:rsidRPr="00BC31E0" w:rsidRDefault="00AB1F3F" w:rsidP="008E5A56">
      <w:pPr>
        <w:pStyle w:val="15"/>
        <w:ind w:firstLine="210"/>
      </w:pPr>
      <w:r w:rsidRPr="00BC31E0">
        <w:rPr>
          <w:rFonts w:hint="eastAsia"/>
        </w:rPr>
        <w:t>この附属書は，穴補強の設計手法を規定する。</w:t>
      </w:r>
    </w:p>
    <w:p w14:paraId="7C826B3F" w14:textId="77777777" w:rsidR="00AB1F3F" w:rsidRPr="00BC31E0" w:rsidRDefault="00AB1F3F" w:rsidP="008E5A56">
      <w:pPr>
        <w:autoSpaceDE w:val="0"/>
        <w:autoSpaceDN w:val="0"/>
        <w:rPr>
          <w:b/>
          <w:bCs/>
        </w:rPr>
      </w:pPr>
    </w:p>
    <w:p w14:paraId="32595423" w14:textId="77777777" w:rsidR="00AB1F3F" w:rsidRPr="00BC31E0" w:rsidRDefault="00AB1F3F" w:rsidP="00736130">
      <w:pPr>
        <w:pStyle w:val="1f9"/>
        <w:numPr>
          <w:ilvl w:val="0"/>
          <w:numId w:val="226"/>
        </w:numPr>
        <w:adjustRightInd/>
        <w:snapToGrid/>
        <w:spacing w:line="240" w:lineRule="auto"/>
        <w:ind w:left="340" w:hanging="340"/>
        <w:jc w:val="both"/>
      </w:pPr>
      <w:r w:rsidRPr="00BC31E0">
        <w:rPr>
          <w:rFonts w:hint="eastAsia"/>
        </w:rPr>
        <w:t>適用範囲</w:t>
      </w:r>
    </w:p>
    <w:p w14:paraId="27FD9AC2" w14:textId="77777777" w:rsidR="00AB1F3F" w:rsidRPr="00BC31E0" w:rsidRDefault="00AB1F3F" w:rsidP="008E5A56">
      <w:pPr>
        <w:pStyle w:val="15"/>
        <w:ind w:firstLine="210"/>
      </w:pPr>
      <w:r w:rsidRPr="00BC31E0">
        <w:rPr>
          <w:rFonts w:hint="eastAsia"/>
        </w:rPr>
        <w:t>圧力荷重のみを受ける耐圧胴の穴に対して，その形状，補強とその分布をもとに穴補強設計する方法を規定する。本体の</w:t>
      </w:r>
      <w:r w:rsidRPr="00BC31E0">
        <w:rPr>
          <w:rFonts w:ascii="ＭＳ ゴシック" w:eastAsia="ＭＳ ゴシック" w:hAnsi="ＭＳ ゴシック"/>
          <w:b/>
          <w:bCs/>
        </w:rPr>
        <w:t>6.2</w:t>
      </w:r>
      <w:r w:rsidRPr="00BC31E0">
        <w:rPr>
          <w:rFonts w:ascii="ＭＳ ゴシック" w:eastAsia="ＭＳ ゴシック" w:hAnsi="ＭＳ ゴシック" w:hint="eastAsia"/>
        </w:rPr>
        <w:t>，</w:t>
      </w:r>
      <w:r w:rsidRPr="00BC31E0">
        <w:rPr>
          <w:rFonts w:ascii="ＭＳ ゴシック" w:eastAsia="ＭＳ ゴシック" w:hAnsi="ＭＳ ゴシック"/>
          <w:b/>
          <w:bCs/>
        </w:rPr>
        <w:t>6.3</w:t>
      </w:r>
      <w:r w:rsidRPr="00BC31E0">
        <w:rPr>
          <w:rFonts w:ascii="ＭＳ ゴシック" w:eastAsia="ＭＳ ゴシック" w:hAnsi="ＭＳ ゴシック" w:hint="eastAsia"/>
        </w:rPr>
        <w:t>，</w:t>
      </w:r>
      <w:r w:rsidRPr="00BC31E0">
        <w:rPr>
          <w:rFonts w:ascii="ＭＳ ゴシック" w:eastAsia="ＭＳ ゴシック" w:hAnsi="ＭＳ ゴシック"/>
          <w:b/>
          <w:bCs/>
        </w:rPr>
        <w:t>6.4</w:t>
      </w:r>
      <w:r w:rsidRPr="00BC31E0">
        <w:rPr>
          <w:rFonts w:hint="eastAsia"/>
        </w:rPr>
        <w:t>に対しても満足しなければならない。ここではノズル又は胴に加わる配管荷重に対する規定は含まない。</w:t>
      </w:r>
    </w:p>
    <w:p w14:paraId="4726C85D" w14:textId="77777777" w:rsidR="00AB1F3F" w:rsidRPr="00BC31E0" w:rsidRDefault="00AB1F3F" w:rsidP="008E5A56">
      <w:pPr>
        <w:autoSpaceDE w:val="0"/>
        <w:autoSpaceDN w:val="0"/>
        <w:rPr>
          <w:b/>
          <w:bCs/>
        </w:rPr>
      </w:pPr>
    </w:p>
    <w:p w14:paraId="35E160FE" w14:textId="77777777" w:rsidR="00AB1F3F" w:rsidRPr="00BC31E0" w:rsidRDefault="00AB1F3F" w:rsidP="00736130">
      <w:pPr>
        <w:pStyle w:val="1f9"/>
        <w:numPr>
          <w:ilvl w:val="0"/>
          <w:numId w:val="225"/>
        </w:numPr>
        <w:adjustRightInd/>
        <w:snapToGrid/>
        <w:spacing w:line="240" w:lineRule="auto"/>
        <w:ind w:left="340" w:hanging="340"/>
        <w:jc w:val="both"/>
      </w:pPr>
      <w:r w:rsidRPr="00BC31E0">
        <w:rPr>
          <w:rFonts w:hint="eastAsia"/>
        </w:rPr>
        <w:t>穴の形状及び寸法</w:t>
      </w:r>
    </w:p>
    <w:p w14:paraId="2252B582" w14:textId="77777777" w:rsidR="00AB1F3F" w:rsidRPr="00BC31E0" w:rsidRDefault="00AB1F3F" w:rsidP="008E5A56">
      <w:pPr>
        <w:pStyle w:val="15"/>
        <w:ind w:firstLine="210"/>
      </w:pPr>
      <w:r w:rsidRPr="00BC31E0">
        <w:rPr>
          <w:rFonts w:hint="eastAsia"/>
        </w:rPr>
        <w:t>穴は円筒胴又は円筒容器との接合断面で，次の</w:t>
      </w:r>
      <w:r w:rsidRPr="00BC31E0">
        <w:rPr>
          <w:rFonts w:ascii="ＭＳ ゴシック" w:hAnsi="ＭＳ ゴシック" w:hint="eastAsia"/>
          <w:b/>
        </w:rPr>
        <w:t>a)</w:t>
      </w:r>
      <w:r w:rsidRPr="00BC31E0">
        <w:rPr>
          <w:rFonts w:hint="eastAsia"/>
        </w:rPr>
        <w:t>～</w:t>
      </w:r>
      <w:r w:rsidRPr="00BC31E0">
        <w:rPr>
          <w:rFonts w:ascii="ＭＳ ゴシック" w:hAnsi="ＭＳ ゴシック" w:hint="eastAsia"/>
          <w:b/>
        </w:rPr>
        <w:t>d)</w:t>
      </w:r>
      <w:r w:rsidRPr="00BC31E0">
        <w:rPr>
          <w:rFonts w:hint="eastAsia"/>
        </w:rPr>
        <w:t>の制限による円形又は楕円形状とする。</w:t>
      </w:r>
    </w:p>
    <w:p w14:paraId="5A0A0FC5" w14:textId="77777777" w:rsidR="00A94C7D" w:rsidRPr="00BC31E0" w:rsidRDefault="00AB1F3F" w:rsidP="00736130">
      <w:pPr>
        <w:pStyle w:val="a4"/>
        <w:numPr>
          <w:ilvl w:val="0"/>
          <w:numId w:val="625"/>
        </w:numPr>
        <w:ind w:leftChars="0" w:left="454" w:hanging="454"/>
      </w:pPr>
      <w:r w:rsidRPr="00BC31E0">
        <w:rPr>
          <w:rFonts w:hint="eastAsia"/>
        </w:rPr>
        <w:t>穴内径の長軸が短軸の</w:t>
      </w:r>
      <w:r w:rsidRPr="00BC31E0">
        <w:t>1.5</w:t>
      </w:r>
      <w:r w:rsidRPr="00BC31E0">
        <w:rPr>
          <w:rFonts w:hint="eastAsia"/>
        </w:rPr>
        <w:t>倍以内</w:t>
      </w:r>
    </w:p>
    <w:p w14:paraId="4F0BE6B6" w14:textId="77777777" w:rsidR="00A94C7D" w:rsidRPr="00BC31E0" w:rsidRDefault="00AB1F3F" w:rsidP="00736130">
      <w:pPr>
        <w:pStyle w:val="a4"/>
        <w:numPr>
          <w:ilvl w:val="0"/>
          <w:numId w:val="625"/>
        </w:numPr>
        <w:ind w:leftChars="0" w:left="454" w:hanging="454"/>
      </w:pPr>
      <w:r w:rsidRPr="00BC31E0">
        <w:rPr>
          <w:rFonts w:hint="eastAsia"/>
        </w:rPr>
        <w:t>穴の最大内径は胴部内径の</w:t>
      </w:r>
      <w:r w:rsidRPr="00BC31E0">
        <w:t>1/2</w:t>
      </w:r>
      <w:r w:rsidRPr="00BC31E0">
        <w:rPr>
          <w:rFonts w:hint="eastAsia"/>
        </w:rPr>
        <w:t>以下</w:t>
      </w:r>
    </w:p>
    <w:p w14:paraId="169EAE69" w14:textId="77777777" w:rsidR="00AB1F3F" w:rsidRPr="00BC31E0" w:rsidRDefault="00AB1F3F" w:rsidP="00736130">
      <w:pPr>
        <w:pStyle w:val="a4"/>
        <w:numPr>
          <w:ilvl w:val="0"/>
          <w:numId w:val="625"/>
        </w:numPr>
        <w:ind w:leftChars="0" w:left="454" w:hanging="454"/>
      </w:pPr>
      <w:r w:rsidRPr="00BC31E0">
        <w:rPr>
          <w:rFonts w:hint="eastAsia"/>
        </w:rPr>
        <w:t>内面で測った近接穴の中心間弧の距離は，次の</w:t>
      </w:r>
      <w:r w:rsidRPr="00BC31E0">
        <w:rPr>
          <w:rFonts w:asciiTheme="majorEastAsia" w:eastAsiaTheme="majorEastAsia" w:hAnsiTheme="majorEastAsia" w:hint="eastAsia"/>
          <w:b/>
          <w:bCs/>
        </w:rPr>
        <w:t>1)</w:t>
      </w:r>
      <w:r w:rsidRPr="00BC31E0">
        <w:rPr>
          <w:rFonts w:hint="eastAsia"/>
        </w:rPr>
        <w:t>～</w:t>
      </w:r>
      <w:r w:rsidRPr="00BC31E0">
        <w:rPr>
          <w:rFonts w:asciiTheme="majorEastAsia" w:eastAsiaTheme="majorEastAsia" w:hAnsiTheme="majorEastAsia" w:hint="eastAsia"/>
          <w:b/>
          <w:bCs/>
        </w:rPr>
        <w:t>3)</w:t>
      </w:r>
      <w:r w:rsidRPr="00BC31E0">
        <w:rPr>
          <w:rFonts w:hint="eastAsia"/>
        </w:rPr>
        <w:t>による。</w:t>
      </w:r>
    </w:p>
    <w:p w14:paraId="6095A0E6" w14:textId="77777777" w:rsidR="00377355" w:rsidRPr="00BC31E0" w:rsidRDefault="00AB1F3F" w:rsidP="00736130">
      <w:pPr>
        <w:pStyle w:val="a4"/>
        <w:numPr>
          <w:ilvl w:val="0"/>
          <w:numId w:val="375"/>
        </w:numPr>
        <w:ind w:leftChars="0" w:left="738" w:hanging="454"/>
      </w:pPr>
      <w:r w:rsidRPr="00BC31E0">
        <w:rPr>
          <w:rFonts w:asciiTheme="majorEastAsia" w:eastAsiaTheme="majorEastAsia" w:hAnsiTheme="majorEastAsia" w:hint="eastAsia"/>
          <w:b/>
          <w:bCs/>
        </w:rPr>
        <w:t>鏡板に穴がある場合</w:t>
      </w:r>
      <w:r w:rsidRPr="00BC31E0">
        <w:rPr>
          <w:rFonts w:hint="eastAsia"/>
        </w:rPr>
        <w:t xml:space="preserve">　穴内半径の和の</w:t>
      </w:r>
      <w:r w:rsidRPr="00BC31E0">
        <w:t>3</w:t>
      </w:r>
      <w:r w:rsidRPr="00BC31E0">
        <w:rPr>
          <w:rFonts w:hint="eastAsia"/>
        </w:rPr>
        <w:t>倍以上</w:t>
      </w:r>
    </w:p>
    <w:p w14:paraId="674A7E94" w14:textId="77777777" w:rsidR="00377355" w:rsidRPr="00BC31E0" w:rsidRDefault="00AB1F3F" w:rsidP="00736130">
      <w:pPr>
        <w:pStyle w:val="a4"/>
        <w:numPr>
          <w:ilvl w:val="0"/>
          <w:numId w:val="375"/>
        </w:numPr>
        <w:ind w:leftChars="0" w:left="738" w:hanging="454"/>
      </w:pPr>
      <w:r w:rsidRPr="00BC31E0">
        <w:rPr>
          <w:rFonts w:asciiTheme="majorEastAsia" w:eastAsiaTheme="majorEastAsia" w:hAnsiTheme="majorEastAsia" w:hint="eastAsia"/>
          <w:b/>
        </w:rPr>
        <w:t>円筒胴に穴がある場合</w:t>
      </w:r>
      <w:r w:rsidRPr="00BC31E0">
        <w:rPr>
          <w:rFonts w:hint="eastAsia"/>
        </w:rPr>
        <w:t xml:space="preserve">　容器の長手方向に対しては周方向に測った穴内半径の和の</w:t>
      </w:r>
      <w:r w:rsidRPr="00BC31E0">
        <w:t>2</w:t>
      </w:r>
      <w:r w:rsidRPr="00BC31E0">
        <w:rPr>
          <w:rFonts w:hint="eastAsia"/>
        </w:rPr>
        <w:t>倍以上</w:t>
      </w:r>
    </w:p>
    <w:p w14:paraId="2FE6EA9A" w14:textId="77777777" w:rsidR="00AB1F3F" w:rsidRPr="00BC31E0" w:rsidRDefault="00AB1F3F" w:rsidP="00736130">
      <w:pPr>
        <w:pStyle w:val="a4"/>
        <w:numPr>
          <w:ilvl w:val="0"/>
          <w:numId w:val="375"/>
        </w:numPr>
        <w:ind w:leftChars="0" w:left="738" w:hanging="454"/>
      </w:pPr>
      <w:r w:rsidRPr="00BC31E0">
        <w:rPr>
          <w:rFonts w:asciiTheme="majorEastAsia" w:eastAsiaTheme="majorEastAsia" w:hAnsiTheme="majorEastAsia" w:hint="eastAsia"/>
          <w:b/>
        </w:rPr>
        <w:t>二つのノズルが長手でも周でもないラインにある場合</w:t>
      </w:r>
      <w:r w:rsidRPr="00BC31E0">
        <w:rPr>
          <w:rFonts w:hint="eastAsia"/>
        </w:rPr>
        <w:t xml:space="preserve">　</w:t>
      </w:r>
      <m:oMath>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c</m:t>
                            </m:r>
                          </m:sub>
                        </m:sSub>
                      </m:num>
                      <m:den>
                        <m:r>
                          <w:rPr>
                            <w:rFonts w:ascii="Cambria Math" w:hAnsi="Cambria Math"/>
                          </w:rPr>
                          <m:t>2</m:t>
                        </m:r>
                      </m:den>
                    </m:f>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l</m:t>
                            </m:r>
                          </m:sub>
                        </m:sSub>
                      </m:num>
                      <m:den>
                        <m:r>
                          <w:rPr>
                            <w:rFonts w:ascii="Cambria Math" w:hAnsi="Cambria Math"/>
                          </w:rPr>
                          <m:t>3</m:t>
                        </m:r>
                      </m:den>
                    </m:f>
                  </m:e>
                </m:d>
              </m:e>
              <m:sup>
                <m:r>
                  <w:rPr>
                    <w:rFonts w:ascii="Cambria Math" w:hAnsi="Cambria Math"/>
                  </w:rPr>
                  <m:t>2</m:t>
                </m:r>
              </m:sup>
            </m:sSup>
            <m:r>
              <w:rPr>
                <w:rFonts w:ascii="Cambria Math" w:hAnsi="Cambria Math"/>
              </w:rPr>
              <m:t xml:space="preserve"> </m:t>
            </m:r>
          </m:e>
        </m:rad>
        <m:r>
          <w:rPr>
            <w:rFonts w:ascii="Cambria Math" w:hAnsi="Cambria Math"/>
          </w:rPr>
          <m:t xml:space="preserve"> </m:t>
        </m:r>
      </m:oMath>
      <w:r w:rsidRPr="00BC31E0">
        <w:rPr>
          <w:rFonts w:hint="eastAsia"/>
        </w:rPr>
        <w:t>の距離が穴内半径の和以上</w:t>
      </w:r>
    </w:p>
    <w:p w14:paraId="48C2F2EE" w14:textId="77777777" w:rsidR="00AB1F3F" w:rsidRPr="00BC31E0" w:rsidRDefault="00AB1F3F" w:rsidP="008E5A56">
      <w:pPr>
        <w:pStyle w:val="6"/>
        <w:numPr>
          <w:ilvl w:val="0"/>
          <w:numId w:val="0"/>
        </w:numPr>
        <w:ind w:left="737" w:firstLineChars="100" w:firstLine="210"/>
        <w:rPr>
          <w:rFonts w:ascii="Century" w:eastAsia="ＭＳ 明朝"/>
          <w:b w:val="0"/>
        </w:rPr>
      </w:pPr>
      <w:r w:rsidRPr="00BC31E0">
        <w:rPr>
          <w:rFonts w:ascii="Century" w:eastAsia="ＭＳ 明朝" w:hint="eastAsia"/>
          <w:b w:val="0"/>
        </w:rPr>
        <w:t>ここで，</w:t>
      </w:r>
    </w:p>
    <w:p w14:paraId="79EE7E42" w14:textId="77777777" w:rsidR="00AB1F3F" w:rsidRPr="00BC31E0" w:rsidRDefault="00A51873" w:rsidP="008E5A56">
      <w:pPr>
        <w:ind w:leftChars="700" w:left="1470"/>
        <w:rPr>
          <w:rFonts w:ascii="ＭＳ 明朝"/>
        </w:rPr>
      </w:pPr>
      <m:oMath>
        <m:sSub>
          <m:sSubPr>
            <m:ctrlPr>
              <w:rPr>
                <w:rFonts w:ascii="Cambria Math" w:hAnsi="Cambria Math"/>
              </w:rPr>
            </m:ctrlPr>
          </m:sSubPr>
          <m:e>
            <m:r>
              <w:rPr>
                <w:rFonts w:ascii="Cambria Math" w:hAnsi="Cambria Math"/>
              </w:rPr>
              <m:t>l</m:t>
            </m:r>
          </m:e>
          <m:sub>
            <m:r>
              <w:rPr>
                <w:rFonts w:ascii="Cambria Math" w:hAnsi="Cambria Math"/>
              </w:rPr>
              <m:t>c</m:t>
            </m:r>
          </m:sub>
        </m:sSub>
      </m:oMath>
      <w:r w:rsidR="00AB1F3F" w:rsidRPr="00BC31E0">
        <w:rPr>
          <w:rFonts w:ascii="ＭＳ 明朝" w:hint="eastAsia"/>
        </w:rPr>
        <w:t>，</w:t>
      </w:r>
      <m:oMath>
        <m:sSub>
          <m:sSubPr>
            <m:ctrlPr>
              <w:rPr>
                <w:rFonts w:ascii="Cambria Math" w:hAnsi="Cambria Math"/>
              </w:rPr>
            </m:ctrlPr>
          </m:sSubPr>
          <m:e>
            <m:r>
              <w:rPr>
                <w:rFonts w:ascii="Cambria Math" w:hAnsi="Cambria Math"/>
              </w:rPr>
              <m:t>l</m:t>
            </m:r>
          </m:e>
          <m:sub>
            <m:r>
              <w:rPr>
                <w:rFonts w:ascii="Cambria Math" w:hAnsi="Cambria Math"/>
              </w:rPr>
              <m:t>l</m:t>
            </m:r>
          </m:sub>
        </m:sSub>
        <m:r>
          <m:rPr>
            <m:sty m:val="p"/>
          </m:rPr>
          <w:rPr>
            <w:rFonts w:ascii="Cambria Math" w:hAnsi="Cambria Math"/>
          </w:rPr>
          <m:t xml:space="preserve"> </m:t>
        </m:r>
        <m:r>
          <m:rPr>
            <m:sty m:val="p"/>
          </m:rPr>
          <w:rPr>
            <w:rFonts w:ascii="Cambria Math" w:hAnsi="Cambria Math" w:hint="eastAsia"/>
          </w:rPr>
          <m:t xml:space="preserve"> </m:t>
        </m:r>
      </m:oMath>
      <w:r w:rsidR="00AB1F3F" w:rsidRPr="00BC31E0">
        <w:rPr>
          <w:rFonts w:ascii="ＭＳ 明朝" w:hint="eastAsia"/>
        </w:rPr>
        <w:t>： 周及び長手方向成分の内面側表面に沿ったノズル中心間距離</w:t>
      </w:r>
      <w:r w:rsidR="00AB1F3F" w:rsidRPr="00BC31E0">
        <w:t>(</w:t>
      </w:r>
      <w:r w:rsidR="00AB1F3F" w:rsidRPr="00BC31E0">
        <w:rPr>
          <w:rFonts w:hAnsi="Cambria Math"/>
        </w:rPr>
        <w:t>mm</w:t>
      </w:r>
      <w:r w:rsidR="00AB1F3F" w:rsidRPr="00BC31E0">
        <w:t>)</w:t>
      </w:r>
    </w:p>
    <w:p w14:paraId="4D6E9619" w14:textId="77777777" w:rsidR="00AB1F3F" w:rsidRPr="00BC31E0" w:rsidRDefault="00AB1F3F" w:rsidP="00736130">
      <w:pPr>
        <w:pStyle w:val="a4"/>
        <w:numPr>
          <w:ilvl w:val="0"/>
          <w:numId w:val="341"/>
        </w:numPr>
        <w:ind w:leftChars="0" w:left="454" w:hanging="454"/>
      </w:pPr>
      <w:r w:rsidRPr="00BC31E0">
        <w:rPr>
          <w:rFonts w:hint="eastAsia"/>
        </w:rPr>
        <w:t>補強は穴端に，その中心を通る</w:t>
      </w:r>
      <w:r w:rsidR="00DC160D" w:rsidRPr="00BC31E0">
        <w:rPr>
          <w:rFonts w:hint="eastAsia"/>
        </w:rPr>
        <w:t>全</w:t>
      </w:r>
      <w:r w:rsidRPr="00BC31E0">
        <w:rPr>
          <w:rFonts w:hint="eastAsia"/>
        </w:rPr>
        <w:t>ての面に対して面積規定及び分布規定を満足しなければならない。</w:t>
      </w:r>
    </w:p>
    <w:p w14:paraId="26811B1E" w14:textId="77777777" w:rsidR="00AB1F3F" w:rsidRPr="00BC31E0" w:rsidRDefault="00AB1F3F" w:rsidP="008E5A56"/>
    <w:p w14:paraId="41FA262A" w14:textId="77777777" w:rsidR="00AB1F3F" w:rsidRPr="00BC31E0" w:rsidRDefault="00AB1F3F" w:rsidP="00736130">
      <w:pPr>
        <w:pStyle w:val="1f9"/>
        <w:numPr>
          <w:ilvl w:val="0"/>
          <w:numId w:val="223"/>
        </w:numPr>
        <w:tabs>
          <w:tab w:val="clear" w:pos="284"/>
        </w:tabs>
        <w:adjustRightInd/>
        <w:snapToGrid/>
        <w:spacing w:line="240" w:lineRule="auto"/>
        <w:ind w:left="340" w:hanging="340"/>
        <w:jc w:val="both"/>
      </w:pPr>
      <w:r w:rsidRPr="00BC31E0">
        <w:rPr>
          <w:rFonts w:hint="eastAsia"/>
        </w:rPr>
        <w:t>補強を必要としない円形穴</w:t>
      </w:r>
    </w:p>
    <w:p w14:paraId="3496F20D" w14:textId="77777777" w:rsidR="00AB1F3F" w:rsidRPr="00BC31E0" w:rsidRDefault="00AB1F3F" w:rsidP="008E5A56">
      <w:pPr>
        <w:pStyle w:val="15"/>
        <w:ind w:firstLine="210"/>
      </w:pPr>
      <w:r w:rsidRPr="00BC31E0">
        <w:rPr>
          <w:rFonts w:hint="eastAsia"/>
        </w:rPr>
        <w:t>次の</w:t>
      </w:r>
      <w:r w:rsidRPr="00BC31E0">
        <w:rPr>
          <w:rFonts w:asciiTheme="majorEastAsia" w:eastAsiaTheme="majorEastAsia" w:hAnsiTheme="majorEastAsia" w:hint="eastAsia"/>
          <w:b/>
        </w:rPr>
        <w:t>a)</w:t>
      </w:r>
      <w:r w:rsidRPr="00BC31E0">
        <w:rPr>
          <w:rFonts w:hint="eastAsia"/>
        </w:rPr>
        <w:t>～</w:t>
      </w:r>
      <w:r w:rsidRPr="00BC31E0">
        <w:rPr>
          <w:rFonts w:asciiTheme="majorEastAsia" w:eastAsiaTheme="majorEastAsia" w:hAnsiTheme="majorEastAsia" w:hint="eastAsia"/>
          <w:b/>
        </w:rPr>
        <w:t>c)</w:t>
      </w:r>
      <w:r w:rsidRPr="00BC31E0">
        <w:rPr>
          <w:rFonts w:hint="eastAsia"/>
        </w:rPr>
        <w:t>を満足する円形穴は，補強を必要としない。</w:t>
      </w:r>
    </w:p>
    <w:p w14:paraId="1DD09991" w14:textId="77777777" w:rsidR="00B3789A" w:rsidRPr="00BC31E0" w:rsidRDefault="00AB1F3F" w:rsidP="00736130">
      <w:pPr>
        <w:pStyle w:val="a4"/>
        <w:numPr>
          <w:ilvl w:val="0"/>
          <w:numId w:val="376"/>
        </w:numPr>
        <w:ind w:leftChars="0" w:left="454" w:hanging="454"/>
        <w:rPr>
          <w:rFonts w:ascii="ＭＳ 明朝" w:hAnsi="ＭＳ 明朝"/>
          <w:b/>
          <w:bCs/>
        </w:rPr>
      </w:pPr>
      <w:r w:rsidRPr="00BC31E0">
        <w:rPr>
          <w:rFonts w:asciiTheme="minorHAnsi" w:eastAsiaTheme="majorEastAsia"/>
          <w:b/>
        </w:rPr>
        <w:t>単一穴</w:t>
      </w:r>
      <w:r w:rsidRPr="00BC31E0">
        <w:rPr>
          <w:rFonts w:asciiTheme="minorHAnsi" w:eastAsiaTheme="minorEastAsia" w:hAnsiTheme="minorEastAsia"/>
        </w:rPr>
        <w:t xml:space="preserve">　</w:t>
      </w:r>
      <m:oMath>
        <m:sSub>
          <m:sSubPr>
            <m:ctrlPr>
              <w:rPr>
                <w:rFonts w:ascii="Cambria Math" w:eastAsiaTheme="minorEastAsia" w:hAnsiTheme="minorHAnsi"/>
                <w:bCs/>
                <w:i/>
              </w:rPr>
            </m:ctrlPr>
          </m:sSubPr>
          <m:e>
            <m:r>
              <w:rPr>
                <w:rFonts w:ascii="Cambria Math" w:eastAsiaTheme="minorEastAsia" w:hAnsi="Cambria Math"/>
              </w:rPr>
              <m:t>D</m:t>
            </m:r>
          </m:e>
          <m:sub>
            <m:r>
              <w:rPr>
                <w:rFonts w:ascii="Cambria Math" w:eastAsiaTheme="minorEastAsia" w:hAnsi="Cambria Math"/>
              </w:rPr>
              <m:t>i</m:t>
            </m:r>
          </m:sub>
        </m:sSub>
        <m:d>
          <m:dPr>
            <m:ctrlPr>
              <w:rPr>
                <w:rFonts w:ascii="Cambria Math" w:eastAsiaTheme="minorEastAsia" w:hAnsiTheme="minorHAnsi"/>
                <w:bCs/>
                <w:i/>
              </w:rPr>
            </m:ctrlPr>
          </m:dPr>
          <m:e>
            <m:r>
              <w:rPr>
                <w:rFonts w:ascii="Cambria Math" w:eastAsiaTheme="minorEastAsia" w:hAnsiTheme="minorHAnsi"/>
              </w:rPr>
              <m:t xml:space="preserve">0.077 </m:t>
            </m:r>
            <m:r>
              <w:rPr>
                <w:rFonts w:ascii="Cambria Math" w:eastAsiaTheme="minorEastAsia" w:hAnsi="Cambria Math"/>
              </w:rPr>
              <m:t>Y-</m:t>
            </m:r>
            <m:r>
              <w:rPr>
                <w:rFonts w:ascii="Cambria Math" w:eastAsiaTheme="minorEastAsia" w:hAnsiTheme="minorHAnsi"/>
              </w:rPr>
              <m:t>0.0725</m:t>
            </m:r>
          </m:e>
        </m:d>
        <m:r>
          <w:rPr>
            <w:rFonts w:ascii="Cambria Math" w:eastAsiaTheme="minorEastAsia" w:hAnsiTheme="minorHAnsi"/>
          </w:rPr>
          <m:t xml:space="preserve"> </m:t>
        </m:r>
      </m:oMath>
      <w:r w:rsidRPr="00BC31E0">
        <w:rPr>
          <w:rFonts w:asciiTheme="minorHAnsi" w:eastAsiaTheme="minorEastAsia" w:hAnsiTheme="minorEastAsia"/>
          <w:bCs/>
        </w:rPr>
        <w:t>以下の直径の穴</w:t>
      </w:r>
    </w:p>
    <w:p w14:paraId="66A01608" w14:textId="77777777" w:rsidR="00AB1F3F" w:rsidRPr="00BC31E0" w:rsidRDefault="00AB1F3F" w:rsidP="00736130">
      <w:pPr>
        <w:pStyle w:val="a4"/>
        <w:numPr>
          <w:ilvl w:val="0"/>
          <w:numId w:val="376"/>
        </w:numPr>
        <w:ind w:leftChars="0" w:left="454" w:hanging="454"/>
        <w:rPr>
          <w:rFonts w:ascii="ＭＳ 明朝" w:hAnsi="ＭＳ 明朝"/>
          <w:b/>
          <w:bCs/>
        </w:rPr>
      </w:pPr>
      <w:r w:rsidRPr="00BC31E0">
        <w:rPr>
          <w:rFonts w:asciiTheme="majorEastAsia" w:eastAsiaTheme="majorEastAsia" w:hAnsiTheme="majorEastAsia" w:hint="eastAsia"/>
          <w:b/>
        </w:rPr>
        <w:t>複数穴</w:t>
      </w:r>
      <w:r w:rsidRPr="00BC31E0">
        <w:rPr>
          <w:rFonts w:asciiTheme="minorHAnsi" w:eastAsiaTheme="minorEastAsia" w:hAnsiTheme="minorEastAsia"/>
        </w:rPr>
        <w:t xml:space="preserve">　</w:t>
      </w:r>
      <w:r w:rsidRPr="00BC31E0">
        <w:rPr>
          <w:rFonts w:asciiTheme="minorHAnsi" w:eastAsiaTheme="minorEastAsia" w:hAnsiTheme="minorEastAsia"/>
          <w:bCs/>
        </w:rPr>
        <w:t>直径</w:t>
      </w:r>
      <m:oMath>
        <m:r>
          <w:rPr>
            <w:rFonts w:ascii="Cambria Math" w:eastAsiaTheme="minorEastAsia" w:hAnsiTheme="minorHAnsi"/>
          </w:rPr>
          <m:t xml:space="preserve"> 0.887 </m:t>
        </m:r>
        <m:sSub>
          <m:sSubPr>
            <m:ctrlPr>
              <w:rPr>
                <w:rFonts w:ascii="Cambria Math" w:eastAsiaTheme="minorEastAsia" w:hAnsiTheme="minorHAnsi"/>
                <w:bCs/>
                <w:i/>
              </w:rPr>
            </m:ctrlPr>
          </m:sSubPr>
          <m:e>
            <m:r>
              <w:rPr>
                <w:rFonts w:ascii="Cambria Math" w:eastAsiaTheme="minorEastAsia" w:hAnsi="Cambria Math"/>
              </w:rPr>
              <m:t>D</m:t>
            </m:r>
          </m:e>
          <m:sub>
            <m:r>
              <w:rPr>
                <w:rFonts w:ascii="Cambria Math" w:eastAsiaTheme="minorEastAsia" w:hAnsi="Cambria Math"/>
              </w:rPr>
              <m:t>i</m:t>
            </m:r>
          </m:sub>
        </m:sSub>
        <m:r>
          <w:rPr>
            <w:rFonts w:ascii="Cambria Math" w:eastAsiaTheme="minorEastAsia" w:hAnsiTheme="minorHAnsi"/>
          </w:rPr>
          <m:t xml:space="preserve"> </m:t>
        </m:r>
        <m:rad>
          <m:radPr>
            <m:degHide m:val="1"/>
            <m:ctrlPr>
              <w:rPr>
                <w:rFonts w:ascii="Cambria Math" w:eastAsiaTheme="minorEastAsia" w:hAnsiTheme="minorHAnsi"/>
                <w:bCs/>
                <w:i/>
              </w:rPr>
            </m:ctrlPr>
          </m:radPr>
          <m:deg/>
          <m:e>
            <m:sSup>
              <m:sSupPr>
                <m:ctrlPr>
                  <w:rPr>
                    <w:rFonts w:ascii="Cambria Math" w:eastAsiaTheme="minorEastAsia" w:hAnsiTheme="minorHAnsi"/>
                    <w:bCs/>
                    <w:i/>
                  </w:rPr>
                </m:ctrlPr>
              </m:sSupPr>
              <m:e>
                <m:r>
                  <w:rPr>
                    <w:rFonts w:ascii="Cambria Math" w:eastAsiaTheme="minorEastAsia" w:hAnsi="Cambria Math"/>
                  </w:rPr>
                  <m:t>Y</m:t>
                </m:r>
              </m:e>
              <m:sup>
                <m:r>
                  <w:rPr>
                    <w:rFonts w:ascii="Cambria Math" w:eastAsiaTheme="minorEastAsia" w:hAnsiTheme="minorHAnsi"/>
                  </w:rPr>
                  <m:t>2</m:t>
                </m:r>
              </m:sup>
            </m:sSup>
            <m:r>
              <w:rPr>
                <w:rFonts w:ascii="Cambria Math" w:eastAsiaTheme="minorEastAsia" w:hAnsi="Cambria Math"/>
              </w:rPr>
              <m:t>-</m:t>
            </m:r>
            <m:r>
              <w:rPr>
                <w:rFonts w:ascii="Cambria Math" w:eastAsiaTheme="minorEastAsia" w:hAnsiTheme="minorHAnsi"/>
              </w:rPr>
              <m:t>1</m:t>
            </m:r>
          </m:e>
        </m:rad>
        <m:r>
          <w:rPr>
            <w:rFonts w:ascii="Cambria Math" w:eastAsiaTheme="minorEastAsia" w:hAnsiTheme="minorHAnsi"/>
          </w:rPr>
          <m:t xml:space="preserve">  </m:t>
        </m:r>
      </m:oMath>
      <w:r w:rsidRPr="00BC31E0">
        <w:rPr>
          <w:rFonts w:asciiTheme="minorHAnsi" w:eastAsiaTheme="minorEastAsia" w:hAnsiTheme="minorEastAsia"/>
          <w:bCs/>
        </w:rPr>
        <w:t>の円内に位置し，補強しない穴の直径の和が</w:t>
      </w:r>
      <m:oMath>
        <m:sSub>
          <m:sSubPr>
            <m:ctrlPr>
              <w:rPr>
                <w:rFonts w:ascii="Cambria Math" w:eastAsiaTheme="minorEastAsia" w:hAnsiTheme="minorHAnsi"/>
                <w:bCs/>
                <w:i/>
              </w:rPr>
            </m:ctrlPr>
          </m:sSubPr>
          <m:e>
            <m:r>
              <w:rPr>
                <w:rFonts w:ascii="Cambria Math" w:eastAsiaTheme="minorEastAsia" w:hAnsiTheme="minorHAnsi"/>
              </w:rPr>
              <m:t xml:space="preserve"> </m:t>
            </m:r>
            <m:r>
              <w:rPr>
                <w:rFonts w:ascii="Cambria Math" w:eastAsiaTheme="minorEastAsia" w:hAnsi="Cambria Math"/>
              </w:rPr>
              <m:t>D</m:t>
            </m:r>
          </m:e>
          <m:sub>
            <m:r>
              <w:rPr>
                <w:rFonts w:ascii="Cambria Math" w:eastAsiaTheme="minorEastAsia" w:hAnsi="Cambria Math"/>
              </w:rPr>
              <m:t>i</m:t>
            </m:r>
          </m:sub>
        </m:sSub>
        <m:d>
          <m:dPr>
            <m:ctrlPr>
              <w:rPr>
                <w:rFonts w:ascii="Cambria Math" w:eastAsiaTheme="minorEastAsia" w:hAnsiTheme="minorHAnsi"/>
                <w:bCs/>
                <w:i/>
              </w:rPr>
            </m:ctrlPr>
          </m:dPr>
          <m:e>
            <m:r>
              <w:rPr>
                <w:rFonts w:ascii="Cambria Math" w:eastAsiaTheme="minorEastAsia" w:hAnsiTheme="minorHAnsi"/>
              </w:rPr>
              <m:t xml:space="preserve">0.09624 </m:t>
            </m:r>
            <m:r>
              <w:rPr>
                <w:rFonts w:ascii="Cambria Math" w:eastAsiaTheme="minorEastAsia" w:hAnsi="Cambria Math"/>
              </w:rPr>
              <m:t>Y-</m:t>
            </m:r>
            <m:r>
              <w:rPr>
                <w:rFonts w:ascii="Cambria Math" w:eastAsiaTheme="minorEastAsia" w:hAnsiTheme="minorHAnsi"/>
              </w:rPr>
              <m:t>0.0906</m:t>
            </m:r>
          </m:e>
        </m:d>
        <m:r>
          <w:rPr>
            <w:rFonts w:ascii="Cambria Math" w:eastAsiaTheme="minorEastAsia" w:hAnsiTheme="minorHAnsi"/>
          </w:rPr>
          <m:t xml:space="preserve"> </m:t>
        </m:r>
      </m:oMath>
      <w:r w:rsidRPr="00BC31E0">
        <w:rPr>
          <w:rFonts w:asciiTheme="minorHAnsi" w:eastAsiaTheme="minorEastAsia" w:hAnsiTheme="minorEastAsia"/>
          <w:bCs/>
        </w:rPr>
        <w:t>以下の複数穴</w:t>
      </w:r>
    </w:p>
    <w:p w14:paraId="267A2040" w14:textId="77777777" w:rsidR="00AB1F3F" w:rsidRPr="00BC31E0" w:rsidRDefault="00AB1F3F" w:rsidP="008E5A56">
      <w:pPr>
        <w:tabs>
          <w:tab w:val="left" w:pos="1560"/>
          <w:tab w:val="left" w:pos="1843"/>
        </w:tabs>
        <w:ind w:left="454" w:firstLineChars="100" w:firstLine="210"/>
      </w:pPr>
      <w:r w:rsidRPr="00BC31E0">
        <w:rPr>
          <w:rFonts w:hint="eastAsia"/>
        </w:rPr>
        <w:t>ここで，</w:t>
      </w:r>
      <w:r w:rsidRPr="00BC31E0">
        <w:rPr>
          <w:rFonts w:hint="eastAsia"/>
        </w:rPr>
        <w:tab/>
      </w:r>
    </w:p>
    <w:p w14:paraId="36340DF1" w14:textId="77777777" w:rsidR="00AB1F3F" w:rsidRPr="00BC31E0" w:rsidRDefault="00A51873" w:rsidP="008E5A56">
      <w:pPr>
        <w:tabs>
          <w:tab w:val="left" w:pos="1418"/>
        </w:tabs>
        <w:ind w:leftChars="550" w:left="1155"/>
      </w:pPr>
      <m:oMath>
        <m:sSub>
          <m:sSubPr>
            <m:ctrlPr>
              <w:rPr>
                <w:rFonts w:ascii="Cambria Math" w:hAnsi="Cambria Math"/>
              </w:rPr>
            </m:ctrlPr>
          </m:sSubPr>
          <m:e>
            <m:r>
              <w:rPr>
                <w:rFonts w:ascii="Cambria Math" w:hAnsi="Cambria Math"/>
              </w:rPr>
              <m:t>D</m:t>
            </m:r>
          </m:e>
          <m:sub>
            <m:r>
              <w:rPr>
                <w:rFonts w:ascii="Cambria Math" w:hAnsi="Cambria Math"/>
              </w:rPr>
              <m:t>i</m:t>
            </m:r>
          </m:sub>
        </m:sSub>
      </m:oMath>
      <w:r w:rsidR="00AB1F3F" w:rsidRPr="00BC31E0">
        <w:rPr>
          <w:rFonts w:hint="eastAsia"/>
        </w:rPr>
        <w:tab/>
      </w:r>
      <w:r w:rsidR="00AB1F3F" w:rsidRPr="00BC31E0">
        <w:rPr>
          <w:rFonts w:hint="eastAsia"/>
        </w:rPr>
        <w:t>：</w:t>
      </w:r>
      <w:r w:rsidR="00AB1F3F" w:rsidRPr="00BC31E0">
        <w:rPr>
          <w:rFonts w:hint="eastAsia"/>
        </w:rPr>
        <w:t xml:space="preserve"> </w:t>
      </w:r>
      <w:r w:rsidR="00AB1F3F" w:rsidRPr="00BC31E0">
        <w:rPr>
          <w:rFonts w:hint="eastAsia"/>
        </w:rPr>
        <w:t>穴の位置における容器胴の内径</w:t>
      </w:r>
      <w:r w:rsidR="00AB1F3F" w:rsidRPr="00BC31E0">
        <w:t>(</w:t>
      </w:r>
      <w:r w:rsidR="00AB1F3F" w:rsidRPr="00BC31E0">
        <w:rPr>
          <w:rFonts w:ascii="Cambria Math" w:hAnsi="Cambria Math"/>
        </w:rPr>
        <w:t>mm</w:t>
      </w:r>
      <w:r w:rsidR="00AB1F3F" w:rsidRPr="00BC31E0">
        <w:t>)</w:t>
      </w:r>
    </w:p>
    <w:p w14:paraId="0607B676" w14:textId="77777777" w:rsidR="00AB1F3F" w:rsidRPr="00BC31E0" w:rsidRDefault="00AB1F3F" w:rsidP="008E5A56">
      <w:pPr>
        <w:tabs>
          <w:tab w:val="left" w:pos="1418"/>
        </w:tabs>
        <w:ind w:leftChars="550" w:left="1155"/>
      </w:pPr>
      <m:oMath>
        <m:r>
          <w:rPr>
            <w:rFonts w:ascii="Cambria Math" w:hAnsi="Cambria Math"/>
          </w:rPr>
          <m:t>Y</m:t>
        </m:r>
        <m:r>
          <m:rPr>
            <m:sty m:val="p"/>
          </m:rPr>
          <w:rPr>
            <w:rFonts w:ascii="Cambria Math" w:hAnsi="Cambria Math"/>
          </w:rPr>
          <m:t xml:space="preserve"> </m:t>
        </m:r>
      </m:oMath>
      <w:r w:rsidRPr="00BC31E0">
        <w:rPr>
          <w:rFonts w:hint="eastAsia"/>
        </w:rPr>
        <w:tab/>
      </w:r>
      <w:r w:rsidRPr="00BC31E0">
        <w:rPr>
          <w:rFonts w:hint="eastAsia"/>
        </w:rPr>
        <w:t>：</w:t>
      </w:r>
      <w:r w:rsidRPr="00BC31E0">
        <w:rPr>
          <w:rFonts w:hint="eastAsia"/>
        </w:rPr>
        <w:t xml:space="preserve"> </w:t>
      </w:r>
      <w:r w:rsidRPr="00BC31E0">
        <w:rPr>
          <w:rFonts w:hint="eastAsia"/>
        </w:rPr>
        <w:t>容器胴の内外径比</w:t>
      </w:r>
      <w:r w:rsidRPr="00BC31E0">
        <w:t>(</w:t>
      </w:r>
      <w:r w:rsidRPr="00BC31E0">
        <w:rPr>
          <w:rFonts w:hint="eastAsia"/>
        </w:rPr>
        <w:t>外径／内径</w:t>
      </w:r>
      <w:r w:rsidRPr="00BC31E0">
        <w:t>)</w:t>
      </w:r>
    </w:p>
    <w:p w14:paraId="70EF9386" w14:textId="77777777" w:rsidR="00AB1F3F" w:rsidRPr="00BC31E0" w:rsidRDefault="00AB1F3F" w:rsidP="00736130">
      <w:pPr>
        <w:pStyle w:val="a4"/>
        <w:numPr>
          <w:ilvl w:val="0"/>
          <w:numId w:val="377"/>
        </w:numPr>
        <w:ind w:leftChars="0" w:left="454" w:hanging="454"/>
        <w:rPr>
          <w:rFonts w:ascii="ＭＳ 明朝" w:hAnsi="ＭＳ 明朝"/>
          <w:b/>
          <w:bCs/>
        </w:rPr>
      </w:pPr>
      <w:r w:rsidRPr="00BC31E0">
        <w:rPr>
          <w:rFonts w:asciiTheme="majorEastAsia" w:eastAsiaTheme="majorEastAsia" w:hAnsiTheme="majorEastAsia" w:hint="eastAsia"/>
          <w:b/>
        </w:rPr>
        <w:t>穴の中心間距離が内面で測った距離でその直径の和の</w:t>
      </w:r>
      <w:r w:rsidRPr="00BC31E0">
        <w:rPr>
          <w:rFonts w:asciiTheme="majorEastAsia" w:eastAsiaTheme="majorEastAsia" w:hAnsiTheme="majorEastAsia"/>
          <w:b/>
        </w:rPr>
        <w:t>1.5</w:t>
      </w:r>
      <w:r w:rsidRPr="00BC31E0">
        <w:rPr>
          <w:rFonts w:asciiTheme="majorEastAsia" w:eastAsiaTheme="majorEastAsia" w:hAnsiTheme="majorEastAsia" w:hint="eastAsia"/>
          <w:b/>
        </w:rPr>
        <w:t>倍以上の二つの穴</w:t>
      </w:r>
      <w:r w:rsidRPr="00BC31E0">
        <w:rPr>
          <w:rFonts w:asciiTheme="minorHAnsi" w:eastAsiaTheme="minorEastAsia" w:hAnsiTheme="minorEastAsia"/>
        </w:rPr>
        <w:t xml:space="preserve">　</w:t>
      </w:r>
      <w:r w:rsidRPr="00BC31E0">
        <w:rPr>
          <w:rFonts w:asciiTheme="minorHAnsi" w:eastAsiaTheme="minorEastAsia" w:hAnsiTheme="minorEastAsia"/>
          <w:bCs/>
        </w:rPr>
        <w:t>補強されない穴の中心から局部応力集中域との距離が</w:t>
      </w:r>
      <m:oMath>
        <m:r>
          <w:rPr>
            <w:rFonts w:ascii="Cambria Math" w:eastAsiaTheme="minorEastAsia" w:hAnsiTheme="minorHAnsi"/>
          </w:rPr>
          <m:t xml:space="preserve"> 0.887 </m:t>
        </m:r>
        <m:sSub>
          <m:sSubPr>
            <m:ctrlPr>
              <w:rPr>
                <w:rFonts w:ascii="Cambria Math" w:eastAsiaTheme="minorEastAsia" w:hAnsiTheme="minorHAnsi"/>
                <w:bCs/>
                <w:i/>
              </w:rPr>
            </m:ctrlPr>
          </m:sSubPr>
          <m:e>
            <m:r>
              <w:rPr>
                <w:rFonts w:ascii="Cambria Math" w:eastAsiaTheme="minorEastAsia" w:hAnsi="Cambria Math"/>
              </w:rPr>
              <m:t>D</m:t>
            </m:r>
          </m:e>
          <m:sub>
            <m:r>
              <w:rPr>
                <w:rFonts w:ascii="Cambria Math" w:eastAsiaTheme="minorEastAsia" w:hAnsi="Cambria Math"/>
              </w:rPr>
              <m:t>i</m:t>
            </m:r>
          </m:sub>
        </m:sSub>
        <m:r>
          <w:rPr>
            <w:rFonts w:ascii="Cambria Math" w:eastAsiaTheme="minorEastAsia" w:hAnsiTheme="minorHAnsi"/>
          </w:rPr>
          <m:t xml:space="preserve"> </m:t>
        </m:r>
        <m:rad>
          <m:radPr>
            <m:degHide m:val="1"/>
            <m:ctrlPr>
              <w:rPr>
                <w:rFonts w:ascii="Cambria Math" w:eastAsiaTheme="minorEastAsia" w:hAnsiTheme="minorHAnsi"/>
                <w:bCs/>
                <w:i/>
              </w:rPr>
            </m:ctrlPr>
          </m:radPr>
          <m:deg/>
          <m:e>
            <m:sSup>
              <m:sSupPr>
                <m:ctrlPr>
                  <w:rPr>
                    <w:rFonts w:ascii="Cambria Math" w:eastAsiaTheme="minorEastAsia" w:hAnsiTheme="minorHAnsi"/>
                    <w:bCs/>
                    <w:i/>
                  </w:rPr>
                </m:ctrlPr>
              </m:sSupPr>
              <m:e>
                <m:r>
                  <w:rPr>
                    <w:rFonts w:ascii="Cambria Math" w:eastAsiaTheme="minorEastAsia" w:hAnsi="Cambria Math"/>
                  </w:rPr>
                  <m:t>Y</m:t>
                </m:r>
              </m:e>
              <m:sup>
                <m:r>
                  <w:rPr>
                    <w:rFonts w:ascii="Cambria Math" w:eastAsiaTheme="minorEastAsia" w:hAnsiTheme="minorHAnsi"/>
                  </w:rPr>
                  <m:t>2</m:t>
                </m:r>
              </m:sup>
            </m:sSup>
            <m:r>
              <w:rPr>
                <w:rFonts w:ascii="Cambria Math" w:eastAsiaTheme="minorEastAsia" w:hAnsi="Cambria Math"/>
              </w:rPr>
              <m:t>-</m:t>
            </m:r>
            <m:r>
              <w:rPr>
                <w:rFonts w:ascii="Cambria Math" w:eastAsiaTheme="minorEastAsia" w:hAnsiTheme="minorHAnsi"/>
              </w:rPr>
              <m:t>1</m:t>
            </m:r>
          </m:e>
        </m:rad>
        <m:r>
          <w:rPr>
            <w:rFonts w:ascii="Cambria Math" w:eastAsiaTheme="minorEastAsia" w:hAnsiTheme="minorHAnsi"/>
          </w:rPr>
          <m:t xml:space="preserve">  </m:t>
        </m:r>
      </m:oMath>
      <w:r w:rsidRPr="00BC31E0">
        <w:rPr>
          <w:rFonts w:asciiTheme="minorHAnsi" w:eastAsiaTheme="minorEastAsia" w:hAnsiTheme="minorEastAsia"/>
          <w:bCs/>
        </w:rPr>
        <w:t>以上の二つの穴</w:t>
      </w:r>
    </w:p>
    <w:p w14:paraId="31FB6089" w14:textId="77777777" w:rsidR="00AB1F3F" w:rsidRPr="00BC31E0" w:rsidRDefault="00AB1F3F" w:rsidP="008E5A56">
      <w:pPr>
        <w:ind w:left="454" w:firstLineChars="100" w:firstLine="210"/>
      </w:pPr>
      <w:r w:rsidRPr="00BC31E0">
        <w:rPr>
          <w:rFonts w:hint="eastAsia"/>
        </w:rPr>
        <w:t>局部応力集中域とは，一次局部膜応力が</w:t>
      </w:r>
      <m:oMath>
        <m:r>
          <w:rPr>
            <w:rFonts w:ascii="Cambria Math" w:hAnsi="Cambria Math"/>
          </w:rPr>
          <m:t xml:space="preserve"> 0.73 </m:t>
        </m:r>
        <m:sSub>
          <m:sSubPr>
            <m:ctrlPr>
              <w:rPr>
                <w:rFonts w:ascii="Cambria Math" w:hAnsi="Cambria Math"/>
                <w:i/>
              </w:rPr>
            </m:ctrlPr>
          </m:sSubPr>
          <m:e>
            <m:r>
              <w:rPr>
                <w:rFonts w:ascii="Cambria Math" w:hAnsi="Cambria Math"/>
              </w:rPr>
              <m:t>S</m:t>
            </m:r>
          </m:e>
          <m:sub>
            <m:r>
              <w:rPr>
                <w:rFonts w:ascii="Cambria Math" w:hAnsi="Cambria Math"/>
              </w:rPr>
              <m:t xml:space="preserve">y </m:t>
            </m:r>
          </m:sub>
        </m:sSub>
      </m:oMath>
      <w:r w:rsidRPr="00BC31E0">
        <w:rPr>
          <w:rFonts w:hint="eastAsia"/>
        </w:rPr>
        <w:t>を越える部分である。ただし，補強されない穴によって生じる一次局部膜応力部分はこの局部応力集中域とみなさない。</w:t>
      </w:r>
    </w:p>
    <w:p w14:paraId="13B32E21" w14:textId="77777777" w:rsidR="00AB1F3F" w:rsidRPr="00BC31E0" w:rsidRDefault="00AB1F3F" w:rsidP="008E5A56">
      <w:pPr>
        <w:autoSpaceDE w:val="0"/>
        <w:autoSpaceDN w:val="0"/>
        <w:ind w:left="420" w:hangingChars="200" w:hanging="420"/>
      </w:pPr>
    </w:p>
    <w:p w14:paraId="5BFD70F8" w14:textId="77777777" w:rsidR="00AB1F3F" w:rsidRPr="00BC31E0" w:rsidRDefault="00AB1F3F" w:rsidP="00736130">
      <w:pPr>
        <w:pStyle w:val="1f9"/>
        <w:numPr>
          <w:ilvl w:val="0"/>
          <w:numId w:val="223"/>
        </w:numPr>
        <w:tabs>
          <w:tab w:val="clear" w:pos="284"/>
        </w:tabs>
        <w:adjustRightInd/>
        <w:snapToGrid/>
        <w:spacing w:line="240" w:lineRule="auto"/>
        <w:ind w:left="340" w:hanging="340"/>
        <w:jc w:val="both"/>
      </w:pPr>
      <w:r w:rsidRPr="00BC31E0">
        <w:rPr>
          <w:rFonts w:hint="eastAsia"/>
        </w:rPr>
        <w:lastRenderedPageBreak/>
        <w:t>胴及び鏡板の穴の補強に必要な面積</w:t>
      </w:r>
    </w:p>
    <w:p w14:paraId="24E3B0CA" w14:textId="77777777" w:rsidR="00AB1F3F" w:rsidRPr="00BC31E0" w:rsidRDefault="00AB1F3F" w:rsidP="008E5A56">
      <w:pPr>
        <w:pStyle w:val="15"/>
        <w:ind w:firstLine="210"/>
      </w:pPr>
      <w:r w:rsidRPr="00BC31E0">
        <w:rPr>
          <w:rFonts w:hint="eastAsia"/>
        </w:rPr>
        <w:t>胴及び成形鏡板の穴の補強に必要な最小断面積は，次の</w:t>
      </w:r>
      <w:r w:rsidRPr="00BC31E0">
        <w:rPr>
          <w:rFonts w:asciiTheme="majorEastAsia" w:eastAsiaTheme="majorEastAsia" w:hAnsiTheme="majorEastAsia" w:hint="eastAsia"/>
          <w:b/>
        </w:rPr>
        <w:t>a)</w:t>
      </w:r>
      <w:r w:rsidRPr="00BC31E0">
        <w:rPr>
          <w:rFonts w:hint="eastAsia"/>
        </w:rPr>
        <w:t>，</w:t>
      </w:r>
      <w:r w:rsidRPr="00BC31E0">
        <w:rPr>
          <w:rFonts w:asciiTheme="majorEastAsia" w:eastAsiaTheme="majorEastAsia" w:hAnsiTheme="majorEastAsia" w:hint="eastAsia"/>
          <w:b/>
        </w:rPr>
        <w:t>b)</w:t>
      </w:r>
      <w:r w:rsidRPr="00BC31E0">
        <w:rPr>
          <w:rFonts w:hint="eastAsia"/>
        </w:rPr>
        <w:t>による。</w:t>
      </w:r>
    </w:p>
    <w:p w14:paraId="4E01EEED" w14:textId="77777777" w:rsidR="00AB1F3F" w:rsidRPr="00BC31E0" w:rsidRDefault="00AB1F3F" w:rsidP="00736130">
      <w:pPr>
        <w:pStyle w:val="a4"/>
        <w:numPr>
          <w:ilvl w:val="0"/>
          <w:numId w:val="378"/>
        </w:numPr>
        <w:spacing w:after="120"/>
        <w:ind w:leftChars="0" w:left="454" w:hanging="454"/>
      </w:pPr>
      <w:r w:rsidRPr="00BC31E0">
        <w:rPr>
          <w:rFonts w:asciiTheme="majorEastAsia" w:eastAsiaTheme="majorEastAsia" w:hAnsiTheme="majorEastAsia"/>
          <w:b/>
        </w:rPr>
        <w:t>内圧に対する設計</w:t>
      </w:r>
      <w:r w:rsidRPr="00BC31E0">
        <w:rPr>
          <w:rFonts w:hint="eastAsia"/>
        </w:rPr>
        <w:t xml:space="preserve">　</w:t>
      </w:r>
      <w:r w:rsidRPr="00BC31E0">
        <w:rPr>
          <w:rFonts w:ascii="ＭＳ 明朝" w:hAnsi="ＭＳ 明朝" w:hint="eastAsia"/>
        </w:rPr>
        <w:t>穴の補強に必要な最小断面積は次式による。</w:t>
      </w:r>
    </w:p>
    <w:tbl>
      <w:tblPr>
        <w:tblStyle w:val="afff2"/>
        <w:tblW w:w="6095" w:type="dxa"/>
        <w:tblInd w:w="29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
        <w:gridCol w:w="5156"/>
      </w:tblGrid>
      <w:tr w:rsidR="00AB1F3F" w:rsidRPr="00BC31E0" w14:paraId="229C0853" w14:textId="77777777" w:rsidTr="004736F2">
        <w:tc>
          <w:tcPr>
            <w:tcW w:w="0" w:type="auto"/>
            <w:tcMar>
              <w:left w:w="0" w:type="dxa"/>
              <w:right w:w="0" w:type="dxa"/>
            </w:tcMar>
            <w:vAlign w:val="center"/>
          </w:tcPr>
          <w:p w14:paraId="3B37E71E" w14:textId="77777777" w:rsidR="00AB1F3F" w:rsidRPr="00BC31E0" w:rsidRDefault="00AB1F3F" w:rsidP="008E5A56">
            <w:pPr>
              <w:jc w:val="left"/>
              <w:rPr>
                <w:rFonts w:asciiTheme="minorHAnsi" w:hAnsiTheme="minorHAnsi"/>
              </w:rPr>
            </w:pPr>
            <m:oMathPara>
              <m:oMathParaPr>
                <m:jc m:val="left"/>
              </m:oMathParaPr>
              <m:oMath>
                <m:r>
                  <w:rPr>
                    <w:rFonts w:ascii="Cambria Math" w:hAnsi="Cambria Math"/>
                  </w:rPr>
                  <m:t xml:space="preserve">A=d </m:t>
                </m:r>
                <m:sSub>
                  <m:sSubPr>
                    <m:ctrlPr>
                      <w:rPr>
                        <w:rFonts w:ascii="Cambria Math" w:hAnsi="Cambria Math"/>
                      </w:rPr>
                    </m:ctrlPr>
                  </m:sSubPr>
                  <m:e>
                    <m:r>
                      <w:rPr>
                        <w:rFonts w:ascii="Cambria Math" w:hAnsi="Cambria Math"/>
                      </w:rPr>
                      <m:t>t</m:t>
                    </m:r>
                  </m:e>
                  <m:sub>
                    <m:r>
                      <w:rPr>
                        <w:rFonts w:ascii="Cambria Math" w:hAnsi="Cambria Math"/>
                      </w:rPr>
                      <m:t>r</m:t>
                    </m:r>
                  </m:sub>
                </m:sSub>
                <m:r>
                  <w:rPr>
                    <w:rFonts w:ascii="Cambria Math" w:hAnsi="Cambria Math"/>
                  </w:rPr>
                  <m:t xml:space="preserve"> F</m:t>
                </m:r>
              </m:oMath>
            </m:oMathPara>
          </w:p>
        </w:tc>
        <w:tc>
          <w:tcPr>
            <w:tcW w:w="5156" w:type="dxa"/>
            <w:tcMar>
              <w:left w:w="0" w:type="dxa"/>
              <w:right w:w="0" w:type="dxa"/>
            </w:tcMar>
            <w:vAlign w:val="center"/>
          </w:tcPr>
          <w:p w14:paraId="6AAA4EC0" w14:textId="77777777" w:rsidR="00AB1F3F" w:rsidRPr="00BC31E0" w:rsidRDefault="00AB1F3F" w:rsidP="008E5A56">
            <w:pPr>
              <w:tabs>
                <w:tab w:val="left" w:leader="middleDot" w:pos="4731"/>
              </w:tabs>
              <w:jc w:val="left"/>
            </w:pPr>
            <w:r w:rsidRPr="00BC31E0">
              <w:rPr>
                <w:rFonts w:hint="eastAsia"/>
              </w:rPr>
              <w:tab/>
              <w:t>(1)</w:t>
            </w:r>
          </w:p>
        </w:tc>
      </w:tr>
    </w:tbl>
    <w:p w14:paraId="56F81332" w14:textId="77777777" w:rsidR="00AB1F3F" w:rsidRPr="00BC31E0" w:rsidRDefault="00AB1F3F" w:rsidP="008E5A56">
      <w:pPr>
        <w:ind w:left="454" w:firstLineChars="100" w:firstLine="210"/>
      </w:pPr>
      <w:r w:rsidRPr="00BC31E0">
        <w:rPr>
          <w:rFonts w:hint="eastAsia"/>
        </w:rPr>
        <w:t>ここで，</w:t>
      </w:r>
    </w:p>
    <w:p w14:paraId="0605441A" w14:textId="77777777" w:rsidR="00AB1F3F" w:rsidRPr="00BC31E0" w:rsidRDefault="00AB1F3F" w:rsidP="008E5A56">
      <w:pPr>
        <w:tabs>
          <w:tab w:val="left" w:pos="1418"/>
        </w:tabs>
        <w:ind w:leftChars="550" w:left="1155"/>
      </w:pPr>
      <m:oMath>
        <m:r>
          <w:rPr>
            <w:rFonts w:ascii="Cambria Math" w:hAnsi="Cambria Math"/>
          </w:rPr>
          <m:t>A</m:t>
        </m:r>
      </m:oMath>
      <w:r w:rsidRPr="00BC31E0">
        <w:rPr>
          <w:rFonts w:ascii="Cambria Math" w:hAnsi="Cambria Math" w:hint="eastAsia"/>
        </w:rPr>
        <w:tab/>
      </w:r>
      <w:r w:rsidRPr="00BC31E0">
        <w:rPr>
          <w:rFonts w:hint="eastAsia"/>
        </w:rPr>
        <w:t>：</w:t>
      </w:r>
      <w:r w:rsidRPr="00BC31E0">
        <w:rPr>
          <w:rFonts w:hint="eastAsia"/>
        </w:rPr>
        <w:t xml:space="preserve"> </w:t>
      </w:r>
      <w:r w:rsidRPr="00BC31E0">
        <w:rPr>
          <w:rFonts w:hint="eastAsia"/>
        </w:rPr>
        <w:t>穴の補強に必要な最小断面積</w:t>
      </w:r>
      <w:r w:rsidRPr="00BC31E0">
        <w:rPr>
          <w:rFonts w:hint="eastAsia"/>
        </w:rPr>
        <w:t>(</w:t>
      </w:r>
      <w:r w:rsidRPr="00BC31E0">
        <w:rPr>
          <w:rFonts w:ascii="Cambria Math" w:hAnsi="Cambria Math"/>
        </w:rPr>
        <w:t>mm</w:t>
      </w:r>
      <w:r w:rsidRPr="00BC31E0">
        <w:rPr>
          <w:rFonts w:ascii="Cambria Math" w:hAnsi="Cambria Math"/>
          <w:vertAlign w:val="superscript"/>
        </w:rPr>
        <w:t>2</w:t>
      </w:r>
      <w:r w:rsidRPr="00BC31E0">
        <w:rPr>
          <w:rFonts w:hint="eastAsia"/>
        </w:rPr>
        <w:t>)</w:t>
      </w:r>
    </w:p>
    <w:p w14:paraId="1312523E" w14:textId="77777777" w:rsidR="00AB1F3F" w:rsidRPr="00BC31E0" w:rsidRDefault="00AB1F3F" w:rsidP="008E5A56">
      <w:pPr>
        <w:tabs>
          <w:tab w:val="left" w:pos="1418"/>
        </w:tabs>
        <w:ind w:leftChars="550" w:left="1155"/>
      </w:pPr>
      <m:oMath>
        <m:r>
          <w:rPr>
            <w:rFonts w:ascii="Cambria Math" w:hAnsi="Cambria Math"/>
          </w:rPr>
          <m:t>d</m:t>
        </m:r>
      </m:oMath>
      <w:r w:rsidRPr="00BC31E0">
        <w:rPr>
          <w:rFonts w:ascii="Cambria Math" w:hAnsi="Cambria Math" w:hint="eastAsia"/>
        </w:rPr>
        <w:tab/>
      </w:r>
      <w:r w:rsidRPr="00BC31E0">
        <w:rPr>
          <w:rFonts w:hint="eastAsia"/>
        </w:rPr>
        <w:t>：</w:t>
      </w:r>
      <w:r w:rsidRPr="00BC31E0">
        <w:rPr>
          <w:rFonts w:hint="eastAsia"/>
        </w:rPr>
        <w:t xml:space="preserve"> </w:t>
      </w:r>
      <w:r w:rsidRPr="00BC31E0">
        <w:rPr>
          <w:rFonts w:hint="eastAsia"/>
        </w:rPr>
        <w:t>補強が必要な穴の内径</w:t>
      </w:r>
      <w:r w:rsidRPr="00BC31E0">
        <w:rPr>
          <w:rFonts w:hint="eastAsia"/>
        </w:rPr>
        <w:t>(</w:t>
      </w:r>
      <w:r w:rsidRPr="00BC31E0">
        <w:rPr>
          <w:rFonts w:ascii="Cambria Math" w:hAnsi="Cambria Math"/>
        </w:rPr>
        <w:t>mm</w:t>
      </w:r>
      <w:r w:rsidRPr="00BC31E0">
        <w:rPr>
          <w:rFonts w:hint="eastAsia"/>
        </w:rPr>
        <w:t>)</w:t>
      </w:r>
    </w:p>
    <w:p w14:paraId="40E9E239" w14:textId="77777777" w:rsidR="00AB1F3F" w:rsidRPr="00BC31E0" w:rsidRDefault="00A51873" w:rsidP="008E5A56">
      <w:pPr>
        <w:tabs>
          <w:tab w:val="left" w:pos="1418"/>
        </w:tabs>
        <w:ind w:leftChars="550" w:left="1155"/>
      </w:pPr>
      <m:oMath>
        <m:sSub>
          <m:sSubPr>
            <m:ctrlPr>
              <w:rPr>
                <w:rFonts w:ascii="Cambria Math" w:hAnsi="Cambria Math"/>
              </w:rPr>
            </m:ctrlPr>
          </m:sSubPr>
          <m:e>
            <m:r>
              <w:rPr>
                <w:rFonts w:ascii="Cambria Math" w:hAnsi="Cambria Math"/>
              </w:rPr>
              <m:t>t</m:t>
            </m:r>
          </m:e>
          <m:sub>
            <m:r>
              <w:rPr>
                <w:rFonts w:ascii="Cambria Math" w:hAnsi="Cambria Math"/>
              </w:rPr>
              <m:t>r</m:t>
            </m:r>
          </m:sub>
        </m:sSub>
      </m:oMath>
      <w:r w:rsidR="00AB1F3F" w:rsidRPr="00BC31E0">
        <w:rPr>
          <w:rFonts w:ascii="Cambria Math" w:hAnsi="Cambria Math" w:hint="eastAsia"/>
        </w:rPr>
        <w:tab/>
      </w:r>
      <w:r w:rsidR="00AB1F3F" w:rsidRPr="00BC31E0">
        <w:rPr>
          <w:rFonts w:hint="eastAsia"/>
        </w:rPr>
        <w:t>：</w:t>
      </w:r>
      <w:r w:rsidR="00AB1F3F" w:rsidRPr="00BC31E0">
        <w:rPr>
          <w:rFonts w:hint="eastAsia"/>
        </w:rPr>
        <w:t xml:space="preserve"> </w:t>
      </w:r>
      <w:r w:rsidR="00AB1F3F" w:rsidRPr="00BC31E0">
        <w:rPr>
          <w:rFonts w:hint="eastAsia"/>
        </w:rPr>
        <w:t>穴がない場合の最小厚さ</w:t>
      </w:r>
      <w:r w:rsidR="00AB1F3F" w:rsidRPr="00BC31E0">
        <w:rPr>
          <w:rFonts w:hint="eastAsia"/>
        </w:rPr>
        <w:t>(</w:t>
      </w:r>
      <w:r w:rsidR="00AB1F3F" w:rsidRPr="00BC31E0">
        <w:rPr>
          <w:rFonts w:ascii="Cambria Math" w:hAnsi="Cambria Math"/>
        </w:rPr>
        <w:t>mm</w:t>
      </w:r>
      <w:r w:rsidR="00AB1F3F" w:rsidRPr="00BC31E0">
        <w:rPr>
          <w:rFonts w:hint="eastAsia"/>
        </w:rPr>
        <w:t>)</w:t>
      </w:r>
    </w:p>
    <w:p w14:paraId="67988C68" w14:textId="77777777" w:rsidR="00AB1F3F" w:rsidRPr="00BC31E0" w:rsidRDefault="00AB1F3F" w:rsidP="008E5A56">
      <w:pPr>
        <w:tabs>
          <w:tab w:val="left" w:pos="1418"/>
        </w:tabs>
        <w:ind w:leftChars="550" w:left="1722" w:hanging="567"/>
      </w:pPr>
      <m:oMath>
        <m:r>
          <w:rPr>
            <w:rFonts w:ascii="Cambria Math" w:hAnsi="Cambria Math"/>
          </w:rPr>
          <m:t>F</m:t>
        </m:r>
      </m:oMath>
      <w:r w:rsidRPr="00BC31E0">
        <w:rPr>
          <w:rFonts w:ascii="Cambria Math" w:hAnsi="Cambria Math" w:hint="eastAsia"/>
        </w:rPr>
        <w:tab/>
      </w:r>
      <w:r w:rsidRPr="00BC31E0">
        <w:rPr>
          <w:rFonts w:hint="eastAsia"/>
        </w:rPr>
        <w:t>：</w:t>
      </w:r>
      <w:r w:rsidRPr="00BC31E0">
        <w:rPr>
          <w:rFonts w:hint="eastAsia"/>
        </w:rPr>
        <w:t xml:space="preserve"> </w:t>
      </w:r>
      <w:r w:rsidRPr="00BC31E0">
        <w:rPr>
          <w:rFonts w:hint="eastAsia"/>
        </w:rPr>
        <w:t>穴補強の計算に用いる修正係数であって，</w:t>
      </w:r>
      <w:r w:rsidRPr="00BC31E0">
        <w:rPr>
          <w:rFonts w:asciiTheme="majorEastAsia" w:eastAsiaTheme="majorEastAsia" w:hAnsiTheme="majorEastAsia" w:hint="eastAsia"/>
          <w:b/>
        </w:rPr>
        <w:t>図E.1</w:t>
      </w:r>
      <w:r w:rsidRPr="00BC31E0">
        <w:rPr>
          <w:rFonts w:hint="eastAsia"/>
        </w:rPr>
        <w:t>に示すように，考える断面が円筒胴の長手軸となす角度</w:t>
      </w:r>
      <m:oMath>
        <m:r>
          <w:rPr>
            <w:rFonts w:ascii="Cambria Math" w:hAnsi="Cambria Math"/>
          </w:rPr>
          <m:t xml:space="preserve"> θ </m:t>
        </m:r>
      </m:oMath>
      <w:r w:rsidRPr="00BC31E0">
        <w:rPr>
          <w:rFonts w:hint="eastAsia"/>
        </w:rPr>
        <w:t>によって</w:t>
      </w:r>
      <w:r w:rsidRPr="00BC31E0">
        <w:rPr>
          <w:rFonts w:asciiTheme="majorEastAsia" w:eastAsiaTheme="majorEastAsia" w:hAnsiTheme="majorEastAsia" w:hint="eastAsia"/>
          <w:b/>
        </w:rPr>
        <w:t>表</w:t>
      </w:r>
      <w:r w:rsidRPr="00BC31E0">
        <w:rPr>
          <w:rFonts w:asciiTheme="majorEastAsia" w:eastAsiaTheme="majorEastAsia" w:hAnsiTheme="majorEastAsia"/>
          <w:b/>
          <w:bCs/>
        </w:rPr>
        <w:t>E.1</w:t>
      </w:r>
      <w:r w:rsidRPr="00BC31E0">
        <w:rPr>
          <w:rFonts w:hint="eastAsia"/>
        </w:rPr>
        <w:t>の値を用いる。当該断面が鏡板の球部にある場合は，</w:t>
      </w:r>
      <w:r w:rsidRPr="00BC31E0">
        <w:rPr>
          <w:rFonts w:asciiTheme="minorHAnsi" w:hAnsiTheme="minorHAnsi"/>
        </w:rPr>
        <w:t>1.0</w:t>
      </w:r>
      <w:r w:rsidRPr="00BC31E0">
        <w:rPr>
          <w:rFonts w:hint="eastAsia"/>
        </w:rPr>
        <w:t>とする。</w:t>
      </w:r>
    </w:p>
    <w:p w14:paraId="624F5A9B" w14:textId="77777777" w:rsidR="00AB1F3F" w:rsidRPr="00BC31E0" w:rsidRDefault="00AB1F3F" w:rsidP="00736130">
      <w:pPr>
        <w:pStyle w:val="a4"/>
        <w:numPr>
          <w:ilvl w:val="0"/>
          <w:numId w:val="379"/>
        </w:numPr>
        <w:spacing w:before="120"/>
        <w:ind w:leftChars="0" w:left="454" w:hanging="454"/>
      </w:pPr>
      <w:r w:rsidRPr="00BC31E0">
        <w:rPr>
          <w:rFonts w:asciiTheme="majorEastAsia" w:eastAsiaTheme="majorEastAsia" w:hAnsiTheme="majorEastAsia" w:hint="eastAsia"/>
          <w:b/>
        </w:rPr>
        <w:t>外圧に対する設計</w:t>
      </w:r>
      <w:r w:rsidRPr="00BC31E0">
        <w:rPr>
          <w:rFonts w:hint="eastAsia"/>
        </w:rPr>
        <w:t xml:space="preserve">　上記</w:t>
      </w:r>
      <w:r w:rsidRPr="00BC31E0">
        <w:rPr>
          <w:rFonts w:asciiTheme="majorEastAsia" w:eastAsiaTheme="majorEastAsia" w:hAnsiTheme="majorEastAsia"/>
          <w:b/>
        </w:rPr>
        <w:t>a)</w:t>
      </w:r>
      <w:r w:rsidRPr="00BC31E0">
        <w:rPr>
          <w:rFonts w:hint="eastAsia"/>
        </w:rPr>
        <w:t>によって算出した最小断面積の</w:t>
      </w:r>
      <w:r w:rsidRPr="00BC31E0">
        <w:t>50%</w:t>
      </w:r>
      <w:r w:rsidRPr="00BC31E0">
        <w:rPr>
          <w:rFonts w:hint="eastAsia"/>
        </w:rPr>
        <w:t>とする。</w:t>
      </w:r>
    </w:p>
    <w:p w14:paraId="1953CA92" w14:textId="77777777" w:rsidR="00AB1F3F" w:rsidRPr="00BC31E0" w:rsidRDefault="00AB1F3F" w:rsidP="008E5A56">
      <w:pPr>
        <w:tabs>
          <w:tab w:val="left" w:pos="6379"/>
        </w:tabs>
        <w:autoSpaceDE w:val="0"/>
        <w:autoSpaceDN w:val="0"/>
      </w:pPr>
    </w:p>
    <w:p w14:paraId="3E8F09D9" w14:textId="77777777" w:rsidR="00AB1F3F" w:rsidRPr="00BC31E0" w:rsidRDefault="00AB1F3F" w:rsidP="00AB1F3F">
      <w:pPr>
        <w:tabs>
          <w:tab w:val="left" w:pos="6237"/>
        </w:tabs>
        <w:autoSpaceDE w:val="0"/>
        <w:autoSpaceDN w:val="0"/>
        <w:rPr>
          <w:rFonts w:ascii="ＭＳ ゴシック" w:eastAsia="ＭＳ ゴシック" w:hAnsi="ＭＳ ゴシック"/>
          <w:b/>
        </w:rPr>
      </w:pPr>
      <w:r w:rsidRPr="00BC31E0">
        <w:rPr>
          <w:rFonts w:hint="eastAsia"/>
        </w:rPr>
        <w:tab/>
      </w:r>
      <w:r w:rsidRPr="00BC31E0">
        <w:rPr>
          <w:rFonts w:ascii="ＭＳ ゴシック" w:eastAsia="ＭＳ ゴシック" w:hAnsi="ＭＳ ゴシック" w:hint="eastAsia"/>
          <w:b/>
        </w:rPr>
        <w:t xml:space="preserve">表E.1　</w:t>
      </w:r>
      <m:oMath>
        <m:r>
          <m:rPr>
            <m:sty m:val="bi"/>
          </m:rPr>
          <w:rPr>
            <w:rFonts w:ascii="Cambria Math" w:eastAsia="ＭＳ ゴシック" w:hAnsi="Cambria Math"/>
          </w:rPr>
          <m:t xml:space="preserve">F </m:t>
        </m:r>
      </m:oMath>
      <w:r w:rsidRPr="00BC31E0">
        <w:rPr>
          <w:rFonts w:ascii="ＭＳ ゴシック" w:eastAsia="ＭＳ ゴシック" w:hAnsi="ＭＳ ゴシック" w:hint="eastAsia"/>
          <w:b/>
        </w:rPr>
        <w:t>の値</w:t>
      </w:r>
    </w:p>
    <w:tbl>
      <w:tblPr>
        <w:tblW w:w="793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8"/>
        <w:gridCol w:w="567"/>
        <w:gridCol w:w="1134"/>
        <w:gridCol w:w="1559"/>
      </w:tblGrid>
      <w:tr w:rsidR="00AB1F3F" w:rsidRPr="00BC31E0" w14:paraId="4D868B25" w14:textId="77777777" w:rsidTr="004736F2">
        <w:tc>
          <w:tcPr>
            <w:tcW w:w="4678" w:type="dxa"/>
            <w:vMerge w:val="restart"/>
            <w:tcBorders>
              <w:top w:val="nil"/>
              <w:left w:val="nil"/>
              <w:bottom w:val="nil"/>
              <w:right w:val="nil"/>
            </w:tcBorders>
            <w:vAlign w:val="center"/>
          </w:tcPr>
          <w:p w14:paraId="10799643" w14:textId="77777777" w:rsidR="00AB1F3F" w:rsidRPr="00BC31E0" w:rsidRDefault="00AB1F3F" w:rsidP="004736F2">
            <w:pPr>
              <w:autoSpaceDE w:val="0"/>
              <w:autoSpaceDN w:val="0"/>
              <w:jc w:val="center"/>
              <w:rPr>
                <w:rFonts w:asciiTheme="minorHAnsi" w:hAnsiTheme="minorHAnsi"/>
              </w:rPr>
            </w:pPr>
            <w:r w:rsidRPr="00BC31E0">
              <w:rPr>
                <w:rFonts w:asciiTheme="minorHAnsi" w:hAnsiTheme="minorHAnsi"/>
                <w:noProof/>
              </w:rPr>
              <w:drawing>
                <wp:inline distT="0" distB="0" distL="0" distR="0" wp14:anchorId="60C7BD27" wp14:editId="69B05B4E">
                  <wp:extent cx="2466340" cy="2013585"/>
                  <wp:effectExtent l="19050" t="0" r="0" b="0"/>
                  <wp:docPr id="1482" name="図 1482" descr="図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descr="図E"/>
                          <pic:cNvPicPr>
                            <a:picLocks noChangeAspect="1" noChangeArrowheads="1"/>
                          </pic:cNvPicPr>
                        </pic:nvPicPr>
                        <pic:blipFill>
                          <a:blip r:embed="rId134" cstate="print"/>
                          <a:srcRect/>
                          <a:stretch>
                            <a:fillRect/>
                          </a:stretch>
                        </pic:blipFill>
                        <pic:spPr bwMode="auto">
                          <a:xfrm>
                            <a:off x="0" y="0"/>
                            <a:ext cx="2466340" cy="2013585"/>
                          </a:xfrm>
                          <a:prstGeom prst="rect">
                            <a:avLst/>
                          </a:prstGeom>
                          <a:noFill/>
                          <a:ln w="9525">
                            <a:noFill/>
                            <a:miter lim="800000"/>
                            <a:headEnd/>
                            <a:tailEnd/>
                          </a:ln>
                        </pic:spPr>
                      </pic:pic>
                    </a:graphicData>
                  </a:graphic>
                </wp:inline>
              </w:drawing>
            </w:r>
          </w:p>
        </w:tc>
        <w:tc>
          <w:tcPr>
            <w:tcW w:w="567" w:type="dxa"/>
            <w:tcBorders>
              <w:top w:val="nil"/>
              <w:left w:val="nil"/>
              <w:bottom w:val="nil"/>
              <w:right w:val="single" w:sz="6" w:space="0" w:color="000000"/>
            </w:tcBorders>
          </w:tcPr>
          <w:p w14:paraId="2386464F" w14:textId="77777777" w:rsidR="00AB1F3F" w:rsidRPr="00BC31E0" w:rsidRDefault="00AB1F3F" w:rsidP="004736F2">
            <w:pPr>
              <w:autoSpaceDE w:val="0"/>
              <w:autoSpaceDN w:val="0"/>
              <w:jc w:val="center"/>
              <w:rPr>
                <w:rFonts w:ascii="Cambria Math" w:hAnsi="Cambria Math"/>
              </w:rPr>
            </w:pPr>
          </w:p>
        </w:tc>
        <w:tc>
          <w:tcPr>
            <w:tcW w:w="1134" w:type="dxa"/>
            <w:tcBorders>
              <w:top w:val="single" w:sz="6" w:space="0" w:color="000000"/>
              <w:left w:val="single" w:sz="6" w:space="0" w:color="000000"/>
              <w:bottom w:val="single" w:sz="6" w:space="0" w:color="000000"/>
              <w:right w:val="single" w:sz="6" w:space="0" w:color="000000"/>
            </w:tcBorders>
          </w:tcPr>
          <w:p w14:paraId="7144007D" w14:textId="77777777" w:rsidR="00AB1F3F" w:rsidRPr="00BC31E0" w:rsidRDefault="00AB1F3F" w:rsidP="004736F2">
            <w:pPr>
              <w:autoSpaceDE w:val="0"/>
              <w:autoSpaceDN w:val="0"/>
              <w:jc w:val="center"/>
            </w:pPr>
            <m:oMath>
              <m:r>
                <w:rPr>
                  <w:rFonts w:ascii="Cambria Math" w:hAnsi="Cambria Math"/>
                </w:rPr>
                <m:t xml:space="preserve">θ </m:t>
              </m:r>
            </m:oMath>
            <w:r w:rsidRPr="00BC31E0">
              <w:rPr>
                <w:rFonts w:hint="eastAsia"/>
              </w:rPr>
              <w:t>(</w:t>
            </w:r>
            <w:r w:rsidRPr="00BC31E0">
              <w:rPr>
                <w:rFonts w:ascii="Cambria Math" w:hAnsi="Cambria Math" w:hint="eastAsia"/>
              </w:rPr>
              <w:t>度</w:t>
            </w:r>
            <w:r w:rsidRPr="00BC31E0">
              <w:rPr>
                <w:rFonts w:hint="eastAsia"/>
              </w:rPr>
              <w:t>)</w:t>
            </w:r>
          </w:p>
        </w:tc>
        <w:tc>
          <w:tcPr>
            <w:tcW w:w="1559" w:type="dxa"/>
            <w:tcBorders>
              <w:top w:val="single" w:sz="6" w:space="0" w:color="000000"/>
              <w:left w:val="single" w:sz="6" w:space="0" w:color="000000"/>
              <w:bottom w:val="single" w:sz="6" w:space="0" w:color="000000"/>
              <w:right w:val="single" w:sz="6" w:space="0" w:color="000000"/>
            </w:tcBorders>
          </w:tcPr>
          <w:p w14:paraId="58D3B9AA" w14:textId="77777777" w:rsidR="00AB1F3F" w:rsidRPr="00BC31E0" w:rsidRDefault="00AB1F3F" w:rsidP="004736F2">
            <w:pPr>
              <w:autoSpaceDE w:val="0"/>
              <w:autoSpaceDN w:val="0"/>
              <w:jc w:val="center"/>
            </w:pPr>
            <m:oMathPara>
              <m:oMath>
                <m:r>
                  <w:rPr>
                    <w:rFonts w:ascii="Cambria Math" w:hAnsi="Cambria Math"/>
                  </w:rPr>
                  <m:t>F</m:t>
                </m:r>
                <m:r>
                  <m:rPr>
                    <m:sty m:val="p"/>
                  </m:rPr>
                  <w:rPr>
                    <w:rFonts w:ascii="Cambria Math" w:hAnsi="Cambria Math"/>
                  </w:rPr>
                  <m:t xml:space="preserve"> </m:t>
                </m:r>
              </m:oMath>
            </m:oMathPara>
          </w:p>
        </w:tc>
      </w:tr>
      <w:tr w:rsidR="00AB1F3F" w:rsidRPr="00BC31E0" w14:paraId="3DCBA978" w14:textId="77777777" w:rsidTr="004736F2">
        <w:tc>
          <w:tcPr>
            <w:tcW w:w="4678" w:type="dxa"/>
            <w:vMerge/>
            <w:tcBorders>
              <w:top w:val="nil"/>
              <w:left w:val="nil"/>
              <w:bottom w:val="nil"/>
              <w:right w:val="nil"/>
            </w:tcBorders>
            <w:vAlign w:val="center"/>
          </w:tcPr>
          <w:p w14:paraId="3D94E2DB" w14:textId="77777777" w:rsidR="00AB1F3F" w:rsidRPr="00BC31E0" w:rsidRDefault="00AB1F3F" w:rsidP="004736F2">
            <w:pPr>
              <w:autoSpaceDE w:val="0"/>
              <w:autoSpaceDN w:val="0"/>
              <w:jc w:val="center"/>
            </w:pPr>
          </w:p>
        </w:tc>
        <w:tc>
          <w:tcPr>
            <w:tcW w:w="567" w:type="dxa"/>
            <w:tcBorders>
              <w:top w:val="nil"/>
              <w:left w:val="nil"/>
              <w:bottom w:val="nil"/>
              <w:right w:val="single" w:sz="6" w:space="0" w:color="000000"/>
            </w:tcBorders>
          </w:tcPr>
          <w:p w14:paraId="13CFD24A" w14:textId="77777777" w:rsidR="00AB1F3F" w:rsidRPr="00BC31E0" w:rsidRDefault="00AB1F3F" w:rsidP="004736F2">
            <w:pPr>
              <w:autoSpaceDE w:val="0"/>
              <w:autoSpaceDN w:val="0"/>
              <w:jc w:val="center"/>
            </w:pPr>
          </w:p>
        </w:tc>
        <w:tc>
          <w:tcPr>
            <w:tcW w:w="1134" w:type="dxa"/>
            <w:tcBorders>
              <w:top w:val="single" w:sz="6" w:space="0" w:color="000000"/>
              <w:left w:val="single" w:sz="6" w:space="0" w:color="000000"/>
              <w:bottom w:val="single" w:sz="6" w:space="0" w:color="000000"/>
              <w:right w:val="single" w:sz="6" w:space="0" w:color="000000"/>
            </w:tcBorders>
          </w:tcPr>
          <w:p w14:paraId="26C3157C" w14:textId="77777777" w:rsidR="00AB1F3F" w:rsidRPr="00BC31E0" w:rsidRDefault="00AB1F3F" w:rsidP="004736F2">
            <w:pPr>
              <w:autoSpaceDE w:val="0"/>
              <w:autoSpaceDN w:val="0"/>
              <w:jc w:val="center"/>
              <w:rPr>
                <w:rFonts w:ascii="Cambria Math" w:hAnsi="Cambria Math"/>
              </w:rPr>
            </w:pPr>
            <w:r w:rsidRPr="00BC31E0">
              <w:rPr>
                <w:rFonts w:ascii="Cambria Math" w:hAnsi="Cambria Math"/>
              </w:rPr>
              <w:t>0</w:t>
            </w:r>
          </w:p>
        </w:tc>
        <w:tc>
          <w:tcPr>
            <w:tcW w:w="1559" w:type="dxa"/>
            <w:tcBorders>
              <w:top w:val="single" w:sz="6" w:space="0" w:color="000000"/>
              <w:left w:val="single" w:sz="6" w:space="0" w:color="000000"/>
              <w:bottom w:val="single" w:sz="6" w:space="0" w:color="000000"/>
              <w:right w:val="single" w:sz="6" w:space="0" w:color="000000"/>
            </w:tcBorders>
          </w:tcPr>
          <w:p w14:paraId="251BFD28" w14:textId="77777777" w:rsidR="00AB1F3F" w:rsidRPr="00BC31E0" w:rsidRDefault="00AB1F3F" w:rsidP="004736F2">
            <w:pPr>
              <w:autoSpaceDE w:val="0"/>
              <w:autoSpaceDN w:val="0"/>
              <w:jc w:val="center"/>
              <w:rPr>
                <w:rFonts w:ascii="Cambria Math" w:hAnsi="Cambria Math"/>
              </w:rPr>
            </w:pPr>
            <w:r w:rsidRPr="00BC31E0">
              <w:rPr>
                <w:rFonts w:ascii="Cambria Math" w:hAnsi="Cambria Math"/>
              </w:rPr>
              <w:t>1.000</w:t>
            </w:r>
          </w:p>
        </w:tc>
      </w:tr>
      <w:tr w:rsidR="00AB1F3F" w:rsidRPr="00BC31E0" w14:paraId="0B273EC0" w14:textId="77777777" w:rsidTr="004736F2">
        <w:tc>
          <w:tcPr>
            <w:tcW w:w="4678" w:type="dxa"/>
            <w:vMerge/>
            <w:tcBorders>
              <w:top w:val="nil"/>
              <w:left w:val="nil"/>
              <w:bottom w:val="nil"/>
              <w:right w:val="nil"/>
            </w:tcBorders>
            <w:vAlign w:val="center"/>
          </w:tcPr>
          <w:p w14:paraId="49313470" w14:textId="77777777" w:rsidR="00AB1F3F" w:rsidRPr="00BC31E0" w:rsidRDefault="00AB1F3F" w:rsidP="004736F2">
            <w:pPr>
              <w:autoSpaceDE w:val="0"/>
              <w:autoSpaceDN w:val="0"/>
              <w:jc w:val="center"/>
            </w:pPr>
          </w:p>
        </w:tc>
        <w:tc>
          <w:tcPr>
            <w:tcW w:w="567" w:type="dxa"/>
            <w:tcBorders>
              <w:top w:val="nil"/>
              <w:left w:val="nil"/>
              <w:bottom w:val="nil"/>
              <w:right w:val="single" w:sz="6" w:space="0" w:color="000000"/>
            </w:tcBorders>
          </w:tcPr>
          <w:p w14:paraId="7FB59057" w14:textId="77777777" w:rsidR="00AB1F3F" w:rsidRPr="00BC31E0" w:rsidRDefault="00AB1F3F" w:rsidP="004736F2">
            <w:pPr>
              <w:autoSpaceDE w:val="0"/>
              <w:autoSpaceDN w:val="0"/>
              <w:jc w:val="center"/>
            </w:pPr>
          </w:p>
        </w:tc>
        <w:tc>
          <w:tcPr>
            <w:tcW w:w="1134" w:type="dxa"/>
            <w:tcBorders>
              <w:top w:val="single" w:sz="6" w:space="0" w:color="000000"/>
              <w:left w:val="single" w:sz="6" w:space="0" w:color="000000"/>
              <w:bottom w:val="single" w:sz="6" w:space="0" w:color="000000"/>
              <w:right w:val="single" w:sz="6" w:space="0" w:color="000000"/>
            </w:tcBorders>
          </w:tcPr>
          <w:p w14:paraId="736F49C5" w14:textId="77777777" w:rsidR="00AB1F3F" w:rsidRPr="00BC31E0" w:rsidRDefault="00AB1F3F" w:rsidP="004736F2">
            <w:pPr>
              <w:autoSpaceDE w:val="0"/>
              <w:autoSpaceDN w:val="0"/>
              <w:jc w:val="center"/>
              <w:rPr>
                <w:rFonts w:ascii="Cambria Math" w:hAnsi="Cambria Math"/>
              </w:rPr>
            </w:pPr>
            <w:r w:rsidRPr="00BC31E0">
              <w:rPr>
                <w:rFonts w:ascii="Cambria Math" w:hAnsi="Cambria Math"/>
              </w:rPr>
              <w:t>10</w:t>
            </w:r>
          </w:p>
        </w:tc>
        <w:tc>
          <w:tcPr>
            <w:tcW w:w="1559" w:type="dxa"/>
            <w:tcBorders>
              <w:top w:val="single" w:sz="6" w:space="0" w:color="000000"/>
              <w:left w:val="single" w:sz="6" w:space="0" w:color="000000"/>
              <w:bottom w:val="single" w:sz="6" w:space="0" w:color="000000"/>
              <w:right w:val="single" w:sz="6" w:space="0" w:color="000000"/>
            </w:tcBorders>
          </w:tcPr>
          <w:p w14:paraId="0F6E07A0" w14:textId="77777777" w:rsidR="00AB1F3F" w:rsidRPr="00BC31E0" w:rsidRDefault="00AB1F3F" w:rsidP="004736F2">
            <w:pPr>
              <w:autoSpaceDE w:val="0"/>
              <w:autoSpaceDN w:val="0"/>
              <w:jc w:val="center"/>
              <w:rPr>
                <w:rFonts w:ascii="Cambria Math" w:hAnsi="Cambria Math"/>
              </w:rPr>
            </w:pPr>
            <w:r w:rsidRPr="00BC31E0">
              <w:rPr>
                <w:rFonts w:ascii="Cambria Math" w:hAnsi="Cambria Math"/>
              </w:rPr>
              <w:t>0.985</w:t>
            </w:r>
          </w:p>
        </w:tc>
      </w:tr>
      <w:tr w:rsidR="00AB1F3F" w:rsidRPr="00BC31E0" w14:paraId="2FF04BCC" w14:textId="77777777" w:rsidTr="004736F2">
        <w:tc>
          <w:tcPr>
            <w:tcW w:w="4678" w:type="dxa"/>
            <w:vMerge/>
            <w:tcBorders>
              <w:top w:val="nil"/>
              <w:left w:val="nil"/>
              <w:bottom w:val="nil"/>
              <w:right w:val="nil"/>
            </w:tcBorders>
            <w:vAlign w:val="center"/>
          </w:tcPr>
          <w:p w14:paraId="7B9EF302" w14:textId="77777777" w:rsidR="00AB1F3F" w:rsidRPr="00BC31E0" w:rsidRDefault="00AB1F3F" w:rsidP="004736F2">
            <w:pPr>
              <w:autoSpaceDE w:val="0"/>
              <w:autoSpaceDN w:val="0"/>
              <w:jc w:val="center"/>
            </w:pPr>
          </w:p>
        </w:tc>
        <w:tc>
          <w:tcPr>
            <w:tcW w:w="567" w:type="dxa"/>
            <w:tcBorders>
              <w:top w:val="nil"/>
              <w:left w:val="nil"/>
              <w:bottom w:val="nil"/>
              <w:right w:val="single" w:sz="6" w:space="0" w:color="000000"/>
            </w:tcBorders>
          </w:tcPr>
          <w:p w14:paraId="1BDD9AD3" w14:textId="77777777" w:rsidR="00AB1F3F" w:rsidRPr="00BC31E0" w:rsidRDefault="00AB1F3F" w:rsidP="004736F2">
            <w:pPr>
              <w:autoSpaceDE w:val="0"/>
              <w:autoSpaceDN w:val="0"/>
              <w:jc w:val="center"/>
            </w:pPr>
          </w:p>
        </w:tc>
        <w:tc>
          <w:tcPr>
            <w:tcW w:w="1134" w:type="dxa"/>
            <w:tcBorders>
              <w:top w:val="single" w:sz="6" w:space="0" w:color="000000"/>
              <w:left w:val="single" w:sz="6" w:space="0" w:color="000000"/>
              <w:bottom w:val="single" w:sz="6" w:space="0" w:color="000000"/>
              <w:right w:val="single" w:sz="6" w:space="0" w:color="000000"/>
            </w:tcBorders>
          </w:tcPr>
          <w:p w14:paraId="1F895750" w14:textId="77777777" w:rsidR="00AB1F3F" w:rsidRPr="00BC31E0" w:rsidRDefault="00AB1F3F" w:rsidP="004736F2">
            <w:pPr>
              <w:autoSpaceDE w:val="0"/>
              <w:autoSpaceDN w:val="0"/>
              <w:jc w:val="center"/>
              <w:rPr>
                <w:rFonts w:ascii="Cambria Math" w:hAnsi="Cambria Math"/>
              </w:rPr>
            </w:pPr>
            <w:r w:rsidRPr="00BC31E0">
              <w:rPr>
                <w:rFonts w:ascii="Cambria Math" w:hAnsi="Cambria Math"/>
              </w:rPr>
              <w:t>20</w:t>
            </w:r>
          </w:p>
        </w:tc>
        <w:tc>
          <w:tcPr>
            <w:tcW w:w="1559" w:type="dxa"/>
            <w:tcBorders>
              <w:top w:val="single" w:sz="6" w:space="0" w:color="000000"/>
              <w:left w:val="single" w:sz="6" w:space="0" w:color="000000"/>
              <w:bottom w:val="single" w:sz="6" w:space="0" w:color="000000"/>
              <w:right w:val="single" w:sz="6" w:space="0" w:color="000000"/>
            </w:tcBorders>
          </w:tcPr>
          <w:p w14:paraId="72E7568D" w14:textId="77777777" w:rsidR="00AB1F3F" w:rsidRPr="00BC31E0" w:rsidRDefault="00AB1F3F" w:rsidP="004736F2">
            <w:pPr>
              <w:autoSpaceDE w:val="0"/>
              <w:autoSpaceDN w:val="0"/>
              <w:jc w:val="center"/>
              <w:rPr>
                <w:rFonts w:ascii="Cambria Math" w:hAnsi="Cambria Math"/>
              </w:rPr>
            </w:pPr>
            <w:r w:rsidRPr="00BC31E0">
              <w:rPr>
                <w:rFonts w:ascii="Cambria Math" w:hAnsi="Cambria Math"/>
              </w:rPr>
              <w:t>0.942</w:t>
            </w:r>
          </w:p>
        </w:tc>
      </w:tr>
      <w:tr w:rsidR="00AB1F3F" w:rsidRPr="00BC31E0" w14:paraId="3C06B6CC" w14:textId="77777777" w:rsidTr="004736F2">
        <w:tc>
          <w:tcPr>
            <w:tcW w:w="4678" w:type="dxa"/>
            <w:vMerge/>
            <w:tcBorders>
              <w:top w:val="nil"/>
              <w:left w:val="nil"/>
              <w:bottom w:val="nil"/>
              <w:right w:val="nil"/>
            </w:tcBorders>
            <w:vAlign w:val="center"/>
          </w:tcPr>
          <w:p w14:paraId="30988C3B" w14:textId="77777777" w:rsidR="00AB1F3F" w:rsidRPr="00BC31E0" w:rsidRDefault="00AB1F3F" w:rsidP="004736F2">
            <w:pPr>
              <w:autoSpaceDE w:val="0"/>
              <w:autoSpaceDN w:val="0"/>
              <w:jc w:val="center"/>
            </w:pPr>
          </w:p>
        </w:tc>
        <w:tc>
          <w:tcPr>
            <w:tcW w:w="567" w:type="dxa"/>
            <w:tcBorders>
              <w:top w:val="nil"/>
              <w:left w:val="nil"/>
              <w:bottom w:val="nil"/>
              <w:right w:val="single" w:sz="6" w:space="0" w:color="000000"/>
            </w:tcBorders>
          </w:tcPr>
          <w:p w14:paraId="674872F9" w14:textId="77777777" w:rsidR="00AB1F3F" w:rsidRPr="00BC31E0" w:rsidRDefault="00AB1F3F" w:rsidP="004736F2">
            <w:pPr>
              <w:autoSpaceDE w:val="0"/>
              <w:autoSpaceDN w:val="0"/>
              <w:jc w:val="center"/>
            </w:pPr>
          </w:p>
        </w:tc>
        <w:tc>
          <w:tcPr>
            <w:tcW w:w="1134" w:type="dxa"/>
            <w:tcBorders>
              <w:top w:val="single" w:sz="6" w:space="0" w:color="000000"/>
              <w:left w:val="single" w:sz="6" w:space="0" w:color="000000"/>
              <w:bottom w:val="single" w:sz="6" w:space="0" w:color="000000"/>
              <w:right w:val="single" w:sz="6" w:space="0" w:color="000000"/>
            </w:tcBorders>
          </w:tcPr>
          <w:p w14:paraId="616F957E" w14:textId="77777777" w:rsidR="00AB1F3F" w:rsidRPr="00BC31E0" w:rsidRDefault="00AB1F3F" w:rsidP="004736F2">
            <w:pPr>
              <w:autoSpaceDE w:val="0"/>
              <w:autoSpaceDN w:val="0"/>
              <w:jc w:val="center"/>
              <w:rPr>
                <w:rFonts w:ascii="Cambria Math" w:hAnsi="Cambria Math"/>
              </w:rPr>
            </w:pPr>
            <w:r w:rsidRPr="00BC31E0">
              <w:rPr>
                <w:rFonts w:ascii="Cambria Math" w:hAnsi="Cambria Math"/>
              </w:rPr>
              <w:t>30</w:t>
            </w:r>
          </w:p>
        </w:tc>
        <w:tc>
          <w:tcPr>
            <w:tcW w:w="1559" w:type="dxa"/>
            <w:tcBorders>
              <w:top w:val="single" w:sz="6" w:space="0" w:color="000000"/>
              <w:left w:val="single" w:sz="6" w:space="0" w:color="000000"/>
              <w:bottom w:val="single" w:sz="6" w:space="0" w:color="000000"/>
              <w:right w:val="single" w:sz="6" w:space="0" w:color="000000"/>
            </w:tcBorders>
          </w:tcPr>
          <w:p w14:paraId="10C6F737" w14:textId="77777777" w:rsidR="00AB1F3F" w:rsidRPr="00BC31E0" w:rsidRDefault="00AB1F3F" w:rsidP="004736F2">
            <w:pPr>
              <w:autoSpaceDE w:val="0"/>
              <w:autoSpaceDN w:val="0"/>
              <w:jc w:val="center"/>
              <w:rPr>
                <w:rFonts w:ascii="Cambria Math" w:hAnsi="Cambria Math"/>
              </w:rPr>
            </w:pPr>
            <w:r w:rsidRPr="00BC31E0">
              <w:rPr>
                <w:rFonts w:ascii="Cambria Math" w:hAnsi="Cambria Math"/>
              </w:rPr>
              <w:t>0.875</w:t>
            </w:r>
          </w:p>
        </w:tc>
      </w:tr>
      <w:tr w:rsidR="00AB1F3F" w:rsidRPr="00BC31E0" w14:paraId="49D59A69" w14:textId="77777777" w:rsidTr="004736F2">
        <w:tc>
          <w:tcPr>
            <w:tcW w:w="4678" w:type="dxa"/>
            <w:vMerge/>
            <w:tcBorders>
              <w:top w:val="nil"/>
              <w:left w:val="nil"/>
              <w:bottom w:val="nil"/>
              <w:right w:val="nil"/>
            </w:tcBorders>
            <w:vAlign w:val="center"/>
          </w:tcPr>
          <w:p w14:paraId="689F8454" w14:textId="77777777" w:rsidR="00AB1F3F" w:rsidRPr="00BC31E0" w:rsidRDefault="00AB1F3F" w:rsidP="004736F2">
            <w:pPr>
              <w:autoSpaceDE w:val="0"/>
              <w:autoSpaceDN w:val="0"/>
              <w:jc w:val="center"/>
            </w:pPr>
          </w:p>
        </w:tc>
        <w:tc>
          <w:tcPr>
            <w:tcW w:w="567" w:type="dxa"/>
            <w:tcBorders>
              <w:top w:val="nil"/>
              <w:left w:val="nil"/>
              <w:bottom w:val="nil"/>
              <w:right w:val="single" w:sz="6" w:space="0" w:color="000000"/>
            </w:tcBorders>
          </w:tcPr>
          <w:p w14:paraId="4AA46AA6" w14:textId="77777777" w:rsidR="00AB1F3F" w:rsidRPr="00BC31E0" w:rsidRDefault="00AB1F3F" w:rsidP="004736F2">
            <w:pPr>
              <w:autoSpaceDE w:val="0"/>
              <w:autoSpaceDN w:val="0"/>
              <w:jc w:val="center"/>
            </w:pPr>
          </w:p>
        </w:tc>
        <w:tc>
          <w:tcPr>
            <w:tcW w:w="1134" w:type="dxa"/>
            <w:tcBorders>
              <w:top w:val="single" w:sz="6" w:space="0" w:color="000000"/>
              <w:left w:val="single" w:sz="6" w:space="0" w:color="000000"/>
              <w:bottom w:val="single" w:sz="6" w:space="0" w:color="000000"/>
              <w:right w:val="single" w:sz="6" w:space="0" w:color="000000"/>
            </w:tcBorders>
          </w:tcPr>
          <w:p w14:paraId="209C3DDF" w14:textId="77777777" w:rsidR="00AB1F3F" w:rsidRPr="00BC31E0" w:rsidRDefault="00AB1F3F" w:rsidP="004736F2">
            <w:pPr>
              <w:autoSpaceDE w:val="0"/>
              <w:autoSpaceDN w:val="0"/>
              <w:jc w:val="center"/>
              <w:rPr>
                <w:rFonts w:ascii="Cambria Math" w:hAnsi="Cambria Math"/>
              </w:rPr>
            </w:pPr>
            <w:r w:rsidRPr="00BC31E0">
              <w:rPr>
                <w:rFonts w:ascii="Cambria Math" w:hAnsi="Cambria Math"/>
              </w:rPr>
              <w:t>40</w:t>
            </w:r>
          </w:p>
        </w:tc>
        <w:tc>
          <w:tcPr>
            <w:tcW w:w="1559" w:type="dxa"/>
            <w:tcBorders>
              <w:top w:val="single" w:sz="6" w:space="0" w:color="000000"/>
              <w:left w:val="single" w:sz="6" w:space="0" w:color="000000"/>
              <w:bottom w:val="single" w:sz="6" w:space="0" w:color="000000"/>
              <w:right w:val="single" w:sz="6" w:space="0" w:color="000000"/>
            </w:tcBorders>
          </w:tcPr>
          <w:p w14:paraId="24FE4624" w14:textId="77777777" w:rsidR="00AB1F3F" w:rsidRPr="00BC31E0" w:rsidRDefault="00AB1F3F" w:rsidP="004736F2">
            <w:pPr>
              <w:autoSpaceDE w:val="0"/>
              <w:autoSpaceDN w:val="0"/>
              <w:jc w:val="center"/>
              <w:rPr>
                <w:rFonts w:ascii="Cambria Math" w:hAnsi="Cambria Math"/>
              </w:rPr>
            </w:pPr>
            <w:r w:rsidRPr="00BC31E0">
              <w:rPr>
                <w:rFonts w:ascii="Cambria Math" w:hAnsi="Cambria Math"/>
              </w:rPr>
              <w:t>0.794</w:t>
            </w:r>
          </w:p>
        </w:tc>
      </w:tr>
      <w:tr w:rsidR="00AB1F3F" w:rsidRPr="00BC31E0" w14:paraId="7B3910AB" w14:textId="77777777" w:rsidTr="004736F2">
        <w:tc>
          <w:tcPr>
            <w:tcW w:w="4678" w:type="dxa"/>
            <w:vMerge/>
            <w:tcBorders>
              <w:top w:val="nil"/>
              <w:left w:val="nil"/>
              <w:bottom w:val="nil"/>
              <w:right w:val="nil"/>
            </w:tcBorders>
            <w:vAlign w:val="center"/>
          </w:tcPr>
          <w:p w14:paraId="229184FD" w14:textId="77777777" w:rsidR="00AB1F3F" w:rsidRPr="00BC31E0" w:rsidRDefault="00AB1F3F" w:rsidP="004736F2">
            <w:pPr>
              <w:autoSpaceDE w:val="0"/>
              <w:autoSpaceDN w:val="0"/>
              <w:jc w:val="center"/>
            </w:pPr>
          </w:p>
        </w:tc>
        <w:tc>
          <w:tcPr>
            <w:tcW w:w="567" w:type="dxa"/>
            <w:tcBorders>
              <w:top w:val="nil"/>
              <w:left w:val="nil"/>
              <w:bottom w:val="nil"/>
              <w:right w:val="single" w:sz="6" w:space="0" w:color="000000"/>
            </w:tcBorders>
          </w:tcPr>
          <w:p w14:paraId="43A7A564" w14:textId="77777777" w:rsidR="00AB1F3F" w:rsidRPr="00BC31E0" w:rsidRDefault="00AB1F3F" w:rsidP="004736F2">
            <w:pPr>
              <w:autoSpaceDE w:val="0"/>
              <w:autoSpaceDN w:val="0"/>
              <w:jc w:val="center"/>
            </w:pPr>
          </w:p>
        </w:tc>
        <w:tc>
          <w:tcPr>
            <w:tcW w:w="1134" w:type="dxa"/>
            <w:tcBorders>
              <w:top w:val="single" w:sz="6" w:space="0" w:color="000000"/>
              <w:left w:val="single" w:sz="6" w:space="0" w:color="000000"/>
              <w:bottom w:val="single" w:sz="6" w:space="0" w:color="000000"/>
              <w:right w:val="single" w:sz="6" w:space="0" w:color="000000"/>
            </w:tcBorders>
          </w:tcPr>
          <w:p w14:paraId="1180D21C" w14:textId="77777777" w:rsidR="00AB1F3F" w:rsidRPr="00BC31E0" w:rsidRDefault="00AB1F3F" w:rsidP="004736F2">
            <w:pPr>
              <w:autoSpaceDE w:val="0"/>
              <w:autoSpaceDN w:val="0"/>
              <w:jc w:val="center"/>
              <w:rPr>
                <w:rFonts w:ascii="Cambria Math" w:hAnsi="Cambria Math"/>
              </w:rPr>
            </w:pPr>
            <w:r w:rsidRPr="00BC31E0">
              <w:rPr>
                <w:rFonts w:ascii="Cambria Math" w:hAnsi="Cambria Math"/>
              </w:rPr>
              <w:t>45</w:t>
            </w:r>
          </w:p>
        </w:tc>
        <w:tc>
          <w:tcPr>
            <w:tcW w:w="1559" w:type="dxa"/>
            <w:tcBorders>
              <w:top w:val="single" w:sz="6" w:space="0" w:color="000000"/>
              <w:left w:val="single" w:sz="6" w:space="0" w:color="000000"/>
              <w:bottom w:val="single" w:sz="6" w:space="0" w:color="000000"/>
              <w:right w:val="single" w:sz="6" w:space="0" w:color="000000"/>
            </w:tcBorders>
          </w:tcPr>
          <w:p w14:paraId="16093B6A" w14:textId="77777777" w:rsidR="00AB1F3F" w:rsidRPr="00BC31E0" w:rsidRDefault="00AB1F3F" w:rsidP="004736F2">
            <w:pPr>
              <w:autoSpaceDE w:val="0"/>
              <w:autoSpaceDN w:val="0"/>
              <w:jc w:val="center"/>
              <w:rPr>
                <w:rFonts w:ascii="Cambria Math" w:hAnsi="Cambria Math"/>
              </w:rPr>
            </w:pPr>
            <w:r w:rsidRPr="00BC31E0">
              <w:rPr>
                <w:rFonts w:ascii="Cambria Math" w:hAnsi="Cambria Math"/>
              </w:rPr>
              <w:t>0.750</w:t>
            </w:r>
          </w:p>
        </w:tc>
      </w:tr>
      <w:tr w:rsidR="00AB1F3F" w:rsidRPr="00BC31E0" w14:paraId="5500081C" w14:textId="77777777" w:rsidTr="004736F2">
        <w:tc>
          <w:tcPr>
            <w:tcW w:w="4678" w:type="dxa"/>
            <w:vMerge/>
            <w:tcBorders>
              <w:top w:val="nil"/>
              <w:left w:val="nil"/>
              <w:bottom w:val="nil"/>
              <w:right w:val="nil"/>
            </w:tcBorders>
            <w:vAlign w:val="center"/>
          </w:tcPr>
          <w:p w14:paraId="5741750B" w14:textId="77777777" w:rsidR="00AB1F3F" w:rsidRPr="00BC31E0" w:rsidRDefault="00AB1F3F" w:rsidP="004736F2">
            <w:pPr>
              <w:autoSpaceDE w:val="0"/>
              <w:autoSpaceDN w:val="0"/>
              <w:jc w:val="center"/>
            </w:pPr>
          </w:p>
        </w:tc>
        <w:tc>
          <w:tcPr>
            <w:tcW w:w="567" w:type="dxa"/>
            <w:tcBorders>
              <w:top w:val="nil"/>
              <w:left w:val="nil"/>
              <w:bottom w:val="nil"/>
              <w:right w:val="single" w:sz="6" w:space="0" w:color="000000"/>
            </w:tcBorders>
          </w:tcPr>
          <w:p w14:paraId="053409D5" w14:textId="77777777" w:rsidR="00AB1F3F" w:rsidRPr="00BC31E0" w:rsidRDefault="00AB1F3F" w:rsidP="004736F2">
            <w:pPr>
              <w:autoSpaceDE w:val="0"/>
              <w:autoSpaceDN w:val="0"/>
              <w:jc w:val="center"/>
            </w:pPr>
          </w:p>
        </w:tc>
        <w:tc>
          <w:tcPr>
            <w:tcW w:w="1134" w:type="dxa"/>
            <w:tcBorders>
              <w:top w:val="single" w:sz="6" w:space="0" w:color="000000"/>
              <w:left w:val="single" w:sz="6" w:space="0" w:color="000000"/>
              <w:bottom w:val="single" w:sz="6" w:space="0" w:color="000000"/>
              <w:right w:val="single" w:sz="6" w:space="0" w:color="000000"/>
            </w:tcBorders>
          </w:tcPr>
          <w:p w14:paraId="3869D3E5" w14:textId="77777777" w:rsidR="00AB1F3F" w:rsidRPr="00BC31E0" w:rsidRDefault="00AB1F3F" w:rsidP="004736F2">
            <w:pPr>
              <w:autoSpaceDE w:val="0"/>
              <w:autoSpaceDN w:val="0"/>
              <w:jc w:val="center"/>
              <w:rPr>
                <w:rFonts w:ascii="Cambria Math" w:hAnsi="Cambria Math"/>
              </w:rPr>
            </w:pPr>
            <w:r w:rsidRPr="00BC31E0">
              <w:rPr>
                <w:rFonts w:ascii="Cambria Math" w:hAnsi="Cambria Math"/>
              </w:rPr>
              <w:t>50</w:t>
            </w:r>
          </w:p>
        </w:tc>
        <w:tc>
          <w:tcPr>
            <w:tcW w:w="1559" w:type="dxa"/>
            <w:tcBorders>
              <w:top w:val="single" w:sz="6" w:space="0" w:color="000000"/>
              <w:left w:val="single" w:sz="6" w:space="0" w:color="000000"/>
              <w:bottom w:val="single" w:sz="6" w:space="0" w:color="000000"/>
              <w:right w:val="single" w:sz="6" w:space="0" w:color="000000"/>
            </w:tcBorders>
          </w:tcPr>
          <w:p w14:paraId="4EF2D5C7" w14:textId="77777777" w:rsidR="00AB1F3F" w:rsidRPr="00BC31E0" w:rsidRDefault="00AB1F3F" w:rsidP="004736F2">
            <w:pPr>
              <w:autoSpaceDE w:val="0"/>
              <w:autoSpaceDN w:val="0"/>
              <w:jc w:val="center"/>
              <w:rPr>
                <w:rFonts w:ascii="Cambria Math" w:hAnsi="Cambria Math"/>
              </w:rPr>
            </w:pPr>
            <w:r w:rsidRPr="00BC31E0">
              <w:rPr>
                <w:rFonts w:ascii="Cambria Math" w:hAnsi="Cambria Math"/>
              </w:rPr>
              <w:t>0.707</w:t>
            </w:r>
          </w:p>
        </w:tc>
      </w:tr>
      <w:tr w:rsidR="00AB1F3F" w:rsidRPr="00BC31E0" w14:paraId="10F26689" w14:textId="77777777" w:rsidTr="004736F2">
        <w:tc>
          <w:tcPr>
            <w:tcW w:w="4678" w:type="dxa"/>
            <w:vMerge/>
            <w:tcBorders>
              <w:top w:val="nil"/>
              <w:left w:val="nil"/>
              <w:bottom w:val="nil"/>
              <w:right w:val="nil"/>
            </w:tcBorders>
            <w:vAlign w:val="center"/>
          </w:tcPr>
          <w:p w14:paraId="7D440BAF" w14:textId="77777777" w:rsidR="00AB1F3F" w:rsidRPr="00BC31E0" w:rsidRDefault="00AB1F3F" w:rsidP="004736F2">
            <w:pPr>
              <w:autoSpaceDE w:val="0"/>
              <w:autoSpaceDN w:val="0"/>
              <w:jc w:val="center"/>
            </w:pPr>
          </w:p>
        </w:tc>
        <w:tc>
          <w:tcPr>
            <w:tcW w:w="567" w:type="dxa"/>
            <w:tcBorders>
              <w:top w:val="nil"/>
              <w:left w:val="nil"/>
              <w:bottom w:val="nil"/>
              <w:right w:val="single" w:sz="6" w:space="0" w:color="000000"/>
            </w:tcBorders>
          </w:tcPr>
          <w:p w14:paraId="36813FE5" w14:textId="77777777" w:rsidR="00AB1F3F" w:rsidRPr="00BC31E0" w:rsidRDefault="00AB1F3F" w:rsidP="004736F2">
            <w:pPr>
              <w:autoSpaceDE w:val="0"/>
              <w:autoSpaceDN w:val="0"/>
              <w:jc w:val="center"/>
            </w:pPr>
          </w:p>
        </w:tc>
        <w:tc>
          <w:tcPr>
            <w:tcW w:w="1134" w:type="dxa"/>
            <w:tcBorders>
              <w:top w:val="single" w:sz="6" w:space="0" w:color="000000"/>
              <w:left w:val="single" w:sz="6" w:space="0" w:color="000000"/>
              <w:bottom w:val="single" w:sz="6" w:space="0" w:color="000000"/>
              <w:right w:val="single" w:sz="6" w:space="0" w:color="000000"/>
            </w:tcBorders>
          </w:tcPr>
          <w:p w14:paraId="177D0FD5" w14:textId="77777777" w:rsidR="00AB1F3F" w:rsidRPr="00BC31E0" w:rsidRDefault="00AB1F3F" w:rsidP="004736F2">
            <w:pPr>
              <w:autoSpaceDE w:val="0"/>
              <w:autoSpaceDN w:val="0"/>
              <w:jc w:val="center"/>
              <w:rPr>
                <w:rFonts w:ascii="Cambria Math" w:hAnsi="Cambria Math"/>
              </w:rPr>
            </w:pPr>
            <w:r w:rsidRPr="00BC31E0">
              <w:rPr>
                <w:rFonts w:ascii="Cambria Math" w:hAnsi="Cambria Math"/>
              </w:rPr>
              <w:t>60</w:t>
            </w:r>
          </w:p>
        </w:tc>
        <w:tc>
          <w:tcPr>
            <w:tcW w:w="1559" w:type="dxa"/>
            <w:tcBorders>
              <w:top w:val="single" w:sz="6" w:space="0" w:color="000000"/>
              <w:left w:val="single" w:sz="6" w:space="0" w:color="000000"/>
              <w:bottom w:val="single" w:sz="6" w:space="0" w:color="000000"/>
              <w:right w:val="single" w:sz="6" w:space="0" w:color="000000"/>
            </w:tcBorders>
          </w:tcPr>
          <w:p w14:paraId="33D5177A" w14:textId="77777777" w:rsidR="00AB1F3F" w:rsidRPr="00BC31E0" w:rsidRDefault="00AB1F3F" w:rsidP="004736F2">
            <w:pPr>
              <w:autoSpaceDE w:val="0"/>
              <w:autoSpaceDN w:val="0"/>
              <w:jc w:val="center"/>
              <w:rPr>
                <w:rFonts w:ascii="Cambria Math" w:hAnsi="Cambria Math"/>
              </w:rPr>
            </w:pPr>
            <w:r w:rsidRPr="00BC31E0">
              <w:rPr>
                <w:rFonts w:ascii="Cambria Math" w:hAnsi="Cambria Math"/>
              </w:rPr>
              <w:t>0.625</w:t>
            </w:r>
          </w:p>
        </w:tc>
      </w:tr>
      <w:tr w:rsidR="00AB1F3F" w:rsidRPr="00BC31E0" w14:paraId="33FF0238" w14:textId="77777777" w:rsidTr="004736F2">
        <w:tc>
          <w:tcPr>
            <w:tcW w:w="4678" w:type="dxa"/>
            <w:vMerge/>
            <w:tcBorders>
              <w:top w:val="nil"/>
              <w:left w:val="nil"/>
              <w:bottom w:val="nil"/>
              <w:right w:val="nil"/>
            </w:tcBorders>
            <w:vAlign w:val="center"/>
          </w:tcPr>
          <w:p w14:paraId="3E5446A0" w14:textId="77777777" w:rsidR="00AB1F3F" w:rsidRPr="00BC31E0" w:rsidRDefault="00AB1F3F" w:rsidP="004736F2">
            <w:pPr>
              <w:autoSpaceDE w:val="0"/>
              <w:autoSpaceDN w:val="0"/>
              <w:jc w:val="center"/>
            </w:pPr>
          </w:p>
        </w:tc>
        <w:tc>
          <w:tcPr>
            <w:tcW w:w="567" w:type="dxa"/>
            <w:tcBorders>
              <w:top w:val="nil"/>
              <w:left w:val="nil"/>
              <w:bottom w:val="nil"/>
              <w:right w:val="single" w:sz="6" w:space="0" w:color="000000"/>
            </w:tcBorders>
          </w:tcPr>
          <w:p w14:paraId="42262C16" w14:textId="77777777" w:rsidR="00AB1F3F" w:rsidRPr="00BC31E0" w:rsidRDefault="00AB1F3F" w:rsidP="004736F2">
            <w:pPr>
              <w:autoSpaceDE w:val="0"/>
              <w:autoSpaceDN w:val="0"/>
              <w:jc w:val="center"/>
            </w:pPr>
          </w:p>
        </w:tc>
        <w:tc>
          <w:tcPr>
            <w:tcW w:w="1134" w:type="dxa"/>
            <w:tcBorders>
              <w:top w:val="single" w:sz="6" w:space="0" w:color="000000"/>
              <w:left w:val="single" w:sz="6" w:space="0" w:color="000000"/>
              <w:bottom w:val="single" w:sz="6" w:space="0" w:color="000000"/>
              <w:right w:val="single" w:sz="6" w:space="0" w:color="000000"/>
            </w:tcBorders>
          </w:tcPr>
          <w:p w14:paraId="4D76182A" w14:textId="77777777" w:rsidR="00AB1F3F" w:rsidRPr="00BC31E0" w:rsidRDefault="00AB1F3F" w:rsidP="004736F2">
            <w:pPr>
              <w:autoSpaceDE w:val="0"/>
              <w:autoSpaceDN w:val="0"/>
              <w:jc w:val="center"/>
              <w:rPr>
                <w:rFonts w:ascii="Cambria Math" w:hAnsi="Cambria Math"/>
              </w:rPr>
            </w:pPr>
            <w:r w:rsidRPr="00BC31E0">
              <w:rPr>
                <w:rFonts w:ascii="Cambria Math" w:hAnsi="Cambria Math"/>
              </w:rPr>
              <w:t>70</w:t>
            </w:r>
          </w:p>
        </w:tc>
        <w:tc>
          <w:tcPr>
            <w:tcW w:w="1559" w:type="dxa"/>
            <w:tcBorders>
              <w:top w:val="single" w:sz="6" w:space="0" w:color="000000"/>
              <w:left w:val="single" w:sz="6" w:space="0" w:color="000000"/>
              <w:bottom w:val="single" w:sz="6" w:space="0" w:color="000000"/>
              <w:right w:val="single" w:sz="6" w:space="0" w:color="000000"/>
            </w:tcBorders>
          </w:tcPr>
          <w:p w14:paraId="4689EABC" w14:textId="77777777" w:rsidR="00AB1F3F" w:rsidRPr="00BC31E0" w:rsidRDefault="00AB1F3F" w:rsidP="004736F2">
            <w:pPr>
              <w:autoSpaceDE w:val="0"/>
              <w:autoSpaceDN w:val="0"/>
              <w:jc w:val="center"/>
              <w:rPr>
                <w:rFonts w:ascii="Cambria Math" w:hAnsi="Cambria Math"/>
              </w:rPr>
            </w:pPr>
            <w:r w:rsidRPr="00BC31E0">
              <w:rPr>
                <w:rFonts w:ascii="Cambria Math" w:hAnsi="Cambria Math"/>
              </w:rPr>
              <w:t>0.559</w:t>
            </w:r>
          </w:p>
        </w:tc>
      </w:tr>
      <w:tr w:rsidR="00AB1F3F" w:rsidRPr="00BC31E0" w14:paraId="5DAB8BCC" w14:textId="77777777" w:rsidTr="004736F2">
        <w:tc>
          <w:tcPr>
            <w:tcW w:w="4678" w:type="dxa"/>
            <w:tcBorders>
              <w:top w:val="nil"/>
              <w:left w:val="nil"/>
              <w:bottom w:val="nil"/>
              <w:right w:val="nil"/>
            </w:tcBorders>
            <w:vAlign w:val="center"/>
          </w:tcPr>
          <w:p w14:paraId="5904E29A" w14:textId="77777777" w:rsidR="00AB1F3F" w:rsidRPr="00BC31E0" w:rsidRDefault="00AB1F3F" w:rsidP="004736F2">
            <w:pPr>
              <w:autoSpaceDE w:val="0"/>
              <w:autoSpaceDN w:val="0"/>
              <w:jc w:val="center"/>
            </w:pPr>
            <w:r w:rsidRPr="00BC31E0">
              <w:rPr>
                <w:rFonts w:ascii="ＭＳ ゴシック" w:eastAsia="ＭＳ ゴシック" w:hAnsi="ＭＳ ゴシック" w:hint="eastAsia"/>
                <w:b/>
              </w:rPr>
              <w:t>図</w:t>
            </w:r>
            <w:r w:rsidRPr="00BC31E0">
              <w:rPr>
                <w:rFonts w:ascii="ＭＳ ゴシック" w:eastAsia="ＭＳ ゴシック" w:hAnsi="ＭＳ ゴシック"/>
                <w:b/>
              </w:rPr>
              <w:t>E.1</w:t>
            </w:r>
            <w:r w:rsidRPr="00BC31E0">
              <w:rPr>
                <w:rFonts w:ascii="ＭＳ ゴシック" w:eastAsia="ＭＳ ゴシック" w:hAnsi="ＭＳ ゴシック" w:hint="eastAsia"/>
                <w:b/>
              </w:rPr>
              <w:t xml:space="preserve">　穴の補強</w:t>
            </w:r>
          </w:p>
        </w:tc>
        <w:tc>
          <w:tcPr>
            <w:tcW w:w="567" w:type="dxa"/>
            <w:tcBorders>
              <w:top w:val="nil"/>
              <w:left w:val="nil"/>
              <w:bottom w:val="nil"/>
              <w:right w:val="single" w:sz="6" w:space="0" w:color="000000"/>
            </w:tcBorders>
          </w:tcPr>
          <w:p w14:paraId="2B7619FE" w14:textId="77777777" w:rsidR="00AB1F3F" w:rsidRPr="00BC31E0" w:rsidRDefault="00AB1F3F" w:rsidP="004736F2">
            <w:pPr>
              <w:autoSpaceDE w:val="0"/>
              <w:autoSpaceDN w:val="0"/>
              <w:jc w:val="center"/>
            </w:pPr>
          </w:p>
        </w:tc>
        <w:tc>
          <w:tcPr>
            <w:tcW w:w="1134" w:type="dxa"/>
            <w:tcBorders>
              <w:top w:val="single" w:sz="6" w:space="0" w:color="000000"/>
              <w:left w:val="single" w:sz="6" w:space="0" w:color="000000"/>
              <w:bottom w:val="single" w:sz="6" w:space="0" w:color="000000"/>
              <w:right w:val="single" w:sz="6" w:space="0" w:color="000000"/>
            </w:tcBorders>
          </w:tcPr>
          <w:p w14:paraId="6CCFFC43" w14:textId="77777777" w:rsidR="00AB1F3F" w:rsidRPr="00BC31E0" w:rsidRDefault="00AB1F3F" w:rsidP="004736F2">
            <w:pPr>
              <w:autoSpaceDE w:val="0"/>
              <w:autoSpaceDN w:val="0"/>
              <w:jc w:val="center"/>
              <w:rPr>
                <w:rFonts w:ascii="Cambria Math" w:hAnsi="Cambria Math"/>
              </w:rPr>
            </w:pPr>
            <w:r w:rsidRPr="00BC31E0">
              <w:rPr>
                <w:rFonts w:ascii="Cambria Math" w:hAnsi="Cambria Math"/>
              </w:rPr>
              <w:t>80</w:t>
            </w:r>
          </w:p>
        </w:tc>
        <w:tc>
          <w:tcPr>
            <w:tcW w:w="1559" w:type="dxa"/>
            <w:tcBorders>
              <w:top w:val="single" w:sz="6" w:space="0" w:color="000000"/>
              <w:left w:val="single" w:sz="6" w:space="0" w:color="000000"/>
              <w:bottom w:val="single" w:sz="6" w:space="0" w:color="000000"/>
              <w:right w:val="single" w:sz="6" w:space="0" w:color="000000"/>
            </w:tcBorders>
          </w:tcPr>
          <w:p w14:paraId="020D9220" w14:textId="77777777" w:rsidR="00AB1F3F" w:rsidRPr="00BC31E0" w:rsidRDefault="00AB1F3F" w:rsidP="004736F2">
            <w:pPr>
              <w:autoSpaceDE w:val="0"/>
              <w:autoSpaceDN w:val="0"/>
              <w:jc w:val="center"/>
              <w:rPr>
                <w:rFonts w:ascii="Cambria Math" w:hAnsi="Cambria Math"/>
              </w:rPr>
            </w:pPr>
            <w:r w:rsidRPr="00BC31E0">
              <w:rPr>
                <w:rFonts w:ascii="Cambria Math" w:hAnsi="Cambria Math"/>
              </w:rPr>
              <w:t>0.515</w:t>
            </w:r>
          </w:p>
        </w:tc>
      </w:tr>
      <w:tr w:rsidR="00AB1F3F" w:rsidRPr="00BC31E0" w14:paraId="7A6A90F4" w14:textId="77777777" w:rsidTr="004736F2">
        <w:tc>
          <w:tcPr>
            <w:tcW w:w="4678" w:type="dxa"/>
            <w:tcBorders>
              <w:top w:val="nil"/>
              <w:left w:val="nil"/>
              <w:bottom w:val="nil"/>
              <w:right w:val="nil"/>
            </w:tcBorders>
          </w:tcPr>
          <w:p w14:paraId="191EF777" w14:textId="77777777" w:rsidR="00AB1F3F" w:rsidRPr="00BC31E0" w:rsidRDefault="00AB1F3F" w:rsidP="004736F2">
            <w:pPr>
              <w:autoSpaceDE w:val="0"/>
              <w:autoSpaceDN w:val="0"/>
              <w:jc w:val="center"/>
            </w:pPr>
          </w:p>
        </w:tc>
        <w:tc>
          <w:tcPr>
            <w:tcW w:w="567" w:type="dxa"/>
            <w:tcBorders>
              <w:top w:val="nil"/>
              <w:left w:val="nil"/>
              <w:bottom w:val="nil"/>
              <w:right w:val="single" w:sz="6" w:space="0" w:color="000000"/>
            </w:tcBorders>
          </w:tcPr>
          <w:p w14:paraId="54085F5B" w14:textId="77777777" w:rsidR="00AB1F3F" w:rsidRPr="00BC31E0" w:rsidRDefault="00AB1F3F" w:rsidP="004736F2">
            <w:pPr>
              <w:autoSpaceDE w:val="0"/>
              <w:autoSpaceDN w:val="0"/>
              <w:jc w:val="center"/>
            </w:pPr>
          </w:p>
        </w:tc>
        <w:tc>
          <w:tcPr>
            <w:tcW w:w="1134" w:type="dxa"/>
            <w:tcBorders>
              <w:top w:val="single" w:sz="6" w:space="0" w:color="000000"/>
              <w:left w:val="single" w:sz="6" w:space="0" w:color="000000"/>
              <w:bottom w:val="single" w:sz="6" w:space="0" w:color="000000"/>
              <w:right w:val="single" w:sz="6" w:space="0" w:color="000000"/>
            </w:tcBorders>
          </w:tcPr>
          <w:p w14:paraId="603EF8B4" w14:textId="77777777" w:rsidR="00AB1F3F" w:rsidRPr="00BC31E0" w:rsidRDefault="00AB1F3F" w:rsidP="004736F2">
            <w:pPr>
              <w:autoSpaceDE w:val="0"/>
              <w:autoSpaceDN w:val="0"/>
              <w:jc w:val="center"/>
              <w:rPr>
                <w:rFonts w:ascii="Cambria Math" w:hAnsi="Cambria Math"/>
              </w:rPr>
            </w:pPr>
            <w:r w:rsidRPr="00BC31E0">
              <w:rPr>
                <w:rFonts w:ascii="Cambria Math" w:hAnsi="Cambria Math"/>
              </w:rPr>
              <w:t>90</w:t>
            </w:r>
          </w:p>
        </w:tc>
        <w:tc>
          <w:tcPr>
            <w:tcW w:w="1559" w:type="dxa"/>
            <w:tcBorders>
              <w:top w:val="single" w:sz="6" w:space="0" w:color="000000"/>
              <w:left w:val="single" w:sz="6" w:space="0" w:color="000000"/>
              <w:bottom w:val="single" w:sz="6" w:space="0" w:color="000000"/>
              <w:right w:val="single" w:sz="6" w:space="0" w:color="000000"/>
            </w:tcBorders>
          </w:tcPr>
          <w:p w14:paraId="6AD7F8A4" w14:textId="77777777" w:rsidR="00AB1F3F" w:rsidRPr="00BC31E0" w:rsidRDefault="00AB1F3F" w:rsidP="004736F2">
            <w:pPr>
              <w:autoSpaceDE w:val="0"/>
              <w:autoSpaceDN w:val="0"/>
              <w:jc w:val="center"/>
              <w:rPr>
                <w:rFonts w:ascii="Cambria Math" w:hAnsi="Cambria Math"/>
              </w:rPr>
            </w:pPr>
            <w:r w:rsidRPr="00BC31E0">
              <w:rPr>
                <w:rFonts w:ascii="Cambria Math" w:hAnsi="Cambria Math"/>
              </w:rPr>
              <w:t>0.500</w:t>
            </w:r>
          </w:p>
        </w:tc>
      </w:tr>
      <w:tr w:rsidR="00AB1F3F" w:rsidRPr="00BC31E0" w14:paraId="462D90F9" w14:textId="77777777" w:rsidTr="004736F2">
        <w:tc>
          <w:tcPr>
            <w:tcW w:w="4678" w:type="dxa"/>
            <w:tcBorders>
              <w:top w:val="nil"/>
              <w:left w:val="nil"/>
              <w:bottom w:val="nil"/>
              <w:right w:val="nil"/>
            </w:tcBorders>
          </w:tcPr>
          <w:p w14:paraId="6547D7B3" w14:textId="77777777" w:rsidR="00AB1F3F" w:rsidRPr="00BC31E0" w:rsidRDefault="00AB1F3F" w:rsidP="004736F2">
            <w:pPr>
              <w:autoSpaceDE w:val="0"/>
              <w:autoSpaceDN w:val="0"/>
              <w:jc w:val="center"/>
            </w:pPr>
          </w:p>
        </w:tc>
        <w:tc>
          <w:tcPr>
            <w:tcW w:w="567" w:type="dxa"/>
            <w:tcBorders>
              <w:top w:val="nil"/>
              <w:left w:val="nil"/>
              <w:bottom w:val="nil"/>
              <w:right w:val="nil"/>
            </w:tcBorders>
          </w:tcPr>
          <w:p w14:paraId="102ADFFF" w14:textId="77777777" w:rsidR="00AB1F3F" w:rsidRPr="00BC31E0" w:rsidRDefault="00AB1F3F" w:rsidP="004736F2">
            <w:pPr>
              <w:autoSpaceDE w:val="0"/>
              <w:autoSpaceDN w:val="0"/>
              <w:jc w:val="center"/>
            </w:pPr>
          </w:p>
        </w:tc>
        <w:tc>
          <w:tcPr>
            <w:tcW w:w="2693" w:type="dxa"/>
            <w:gridSpan w:val="2"/>
            <w:tcBorders>
              <w:top w:val="single" w:sz="6" w:space="0" w:color="000000"/>
              <w:left w:val="nil"/>
              <w:bottom w:val="nil"/>
              <w:right w:val="nil"/>
            </w:tcBorders>
          </w:tcPr>
          <w:p w14:paraId="57DFF7AD" w14:textId="77777777" w:rsidR="00AB1F3F" w:rsidRPr="00BC31E0" w:rsidRDefault="00AB1F3F" w:rsidP="004736F2">
            <w:pPr>
              <w:autoSpaceDE w:val="0"/>
              <w:autoSpaceDN w:val="0"/>
              <w:jc w:val="left"/>
            </w:pPr>
            <w:r w:rsidRPr="00BC31E0">
              <w:rPr>
                <w:rFonts w:ascii="ＭＳ ゴシック" w:eastAsia="ＭＳ ゴシック" w:hAnsi="ＭＳ ゴシック" w:hint="eastAsia"/>
                <w:b/>
              </w:rPr>
              <w:t xml:space="preserve">注記　</w:t>
            </w:r>
            <m:oMath>
              <m:r>
                <w:rPr>
                  <w:rFonts w:ascii="Cambria Math" w:hAnsi="Cambria Math"/>
                </w:rPr>
                <m:t>F=</m:t>
              </m:r>
              <m:f>
                <m:fPr>
                  <m:type m:val="lin"/>
                  <m:ctrlPr>
                    <w:rPr>
                      <w:rFonts w:ascii="Cambria Math" w:hAnsi="Cambria Math"/>
                    </w:rPr>
                  </m:ctrlPr>
                </m:fPr>
                <m:num>
                  <m:d>
                    <m:dPr>
                      <m:ctrlPr>
                        <w:rPr>
                          <w:rFonts w:ascii="Cambria Math" w:hAnsi="Cambria Math"/>
                        </w:rPr>
                      </m:ctrlPr>
                    </m:dPr>
                    <m:e>
                      <m:r>
                        <w:rPr>
                          <w:rFonts w:ascii="Cambria Math" w:hAnsi="Cambria Math"/>
                        </w:rPr>
                        <m:t>1+</m:t>
                      </m:r>
                      <m:sSup>
                        <m:sSupPr>
                          <m:ctrlPr>
                            <w:rPr>
                              <w:rFonts w:ascii="Cambria Math" w:hAnsi="Cambria Math"/>
                            </w:rPr>
                          </m:ctrlPr>
                        </m:sSupPr>
                        <m:e>
                          <m:r>
                            <m:rPr>
                              <m:sty m:val="bi"/>
                            </m:rPr>
                            <w:rPr>
                              <w:rFonts w:ascii="Cambria Math" w:hAnsi="Cambria Math"/>
                            </w:rPr>
                            <m:t>cos</m:t>
                          </m:r>
                        </m:e>
                        <m:sup>
                          <m:r>
                            <w:rPr>
                              <w:rFonts w:ascii="Cambria Math" w:hAnsi="Cambria Math"/>
                            </w:rPr>
                            <m:t>2</m:t>
                          </m:r>
                        </m:sup>
                      </m:sSup>
                      <m:r>
                        <w:rPr>
                          <w:rFonts w:ascii="Cambria Math" w:hAnsi="Cambria Math"/>
                        </w:rPr>
                        <m:t>θ</m:t>
                      </m:r>
                    </m:e>
                  </m:d>
                </m:num>
                <m:den>
                  <m:r>
                    <w:rPr>
                      <w:rFonts w:ascii="Cambria Math" w:hAnsi="Cambria Math"/>
                    </w:rPr>
                    <m:t>2</m:t>
                  </m:r>
                </m:den>
              </m:f>
            </m:oMath>
          </w:p>
        </w:tc>
      </w:tr>
    </w:tbl>
    <w:p w14:paraId="5D1F743A" w14:textId="77777777" w:rsidR="00AB1F3F" w:rsidRPr="00BC31E0" w:rsidRDefault="00AB1F3F" w:rsidP="008E5A56">
      <w:pPr>
        <w:autoSpaceDE w:val="0"/>
        <w:autoSpaceDN w:val="0"/>
      </w:pPr>
    </w:p>
    <w:p w14:paraId="1ABAB1C2" w14:textId="77777777" w:rsidR="00AB1F3F" w:rsidRPr="00BC31E0" w:rsidRDefault="00AB1F3F" w:rsidP="00736130">
      <w:pPr>
        <w:pStyle w:val="1f9"/>
        <w:numPr>
          <w:ilvl w:val="0"/>
          <w:numId w:val="223"/>
        </w:numPr>
        <w:tabs>
          <w:tab w:val="clear" w:pos="284"/>
        </w:tabs>
        <w:adjustRightInd/>
        <w:snapToGrid/>
        <w:spacing w:line="240" w:lineRule="auto"/>
        <w:ind w:left="340" w:hanging="340"/>
        <w:jc w:val="both"/>
      </w:pPr>
      <w:r w:rsidRPr="00BC31E0">
        <w:rPr>
          <w:rFonts w:hint="eastAsia"/>
        </w:rPr>
        <w:t>平鏡板穴の補強</w:t>
      </w:r>
    </w:p>
    <w:p w14:paraId="07422D68" w14:textId="77777777" w:rsidR="00AB1F3F" w:rsidRPr="00BC31E0" w:rsidRDefault="00AB1F3F" w:rsidP="008E5A56">
      <w:pPr>
        <w:pStyle w:val="15"/>
        <w:ind w:firstLine="210"/>
      </w:pPr>
      <w:r w:rsidRPr="00BC31E0">
        <w:rPr>
          <w:rFonts w:hint="eastAsia"/>
        </w:rPr>
        <w:t>平鏡板の取付く円筒胴の内径の半分を超えない直径の穴をもつ平鏡板の補強に必要な最小断面積は，次式による。</w:t>
      </w:r>
    </w:p>
    <w:tbl>
      <w:tblPr>
        <w:tblStyle w:val="afff2"/>
        <w:tblW w:w="5811" w:type="dxa"/>
        <w:tblInd w:w="3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
        <w:gridCol w:w="4733"/>
      </w:tblGrid>
      <w:tr w:rsidR="00AB1F3F" w:rsidRPr="00BC31E0" w14:paraId="349CD1F1" w14:textId="77777777" w:rsidTr="004736F2">
        <w:tc>
          <w:tcPr>
            <w:tcW w:w="0" w:type="auto"/>
            <w:tcMar>
              <w:left w:w="0" w:type="dxa"/>
              <w:right w:w="0" w:type="dxa"/>
            </w:tcMar>
            <w:vAlign w:val="center"/>
          </w:tcPr>
          <w:p w14:paraId="10D49EAA" w14:textId="77777777" w:rsidR="00AB1F3F" w:rsidRPr="00BC31E0" w:rsidRDefault="00AB1F3F" w:rsidP="008E5A56">
            <w:pPr>
              <w:tabs>
                <w:tab w:val="left" w:pos="2977"/>
                <w:tab w:val="left" w:leader="middleDot" w:pos="8505"/>
              </w:tabs>
              <w:autoSpaceDE w:val="0"/>
              <w:autoSpaceDN w:val="0"/>
              <w:jc w:val="left"/>
              <w:rPr>
                <w:rFonts w:asciiTheme="minorHAnsi" w:hAnsiTheme="minorHAnsi"/>
              </w:rPr>
            </w:pPr>
            <m:oMathPara>
              <m:oMathParaPr>
                <m:jc m:val="left"/>
              </m:oMathParaPr>
              <m:oMath>
                <m:r>
                  <w:rPr>
                    <w:rFonts w:ascii="Cambria Math" w:hAnsi="Cambria Math"/>
                  </w:rPr>
                  <m:t xml:space="preserve">A=0.5 d </m:t>
                </m:r>
                <m:sSub>
                  <m:sSubPr>
                    <m:ctrlPr>
                      <w:rPr>
                        <w:rFonts w:ascii="Cambria Math" w:hAnsi="Cambria Math"/>
                      </w:rPr>
                    </m:ctrlPr>
                  </m:sSubPr>
                  <m:e>
                    <m:r>
                      <w:rPr>
                        <w:rFonts w:ascii="Cambria Math" w:hAnsi="Cambria Math"/>
                      </w:rPr>
                      <m:t>t</m:t>
                    </m:r>
                  </m:e>
                  <m:sub>
                    <m:r>
                      <w:rPr>
                        <w:rFonts w:ascii="Cambria Math" w:hAnsi="Cambria Math"/>
                      </w:rPr>
                      <m:t>r</m:t>
                    </m:r>
                  </m:sub>
                </m:sSub>
              </m:oMath>
            </m:oMathPara>
          </w:p>
        </w:tc>
        <w:tc>
          <w:tcPr>
            <w:tcW w:w="4733" w:type="dxa"/>
            <w:tcMar>
              <w:left w:w="0" w:type="dxa"/>
              <w:right w:w="0" w:type="dxa"/>
            </w:tcMar>
            <w:vAlign w:val="center"/>
          </w:tcPr>
          <w:p w14:paraId="47D795DB" w14:textId="77777777" w:rsidR="00AB1F3F" w:rsidRPr="00BC31E0" w:rsidRDefault="00AB1F3F" w:rsidP="008E5A56">
            <w:pPr>
              <w:tabs>
                <w:tab w:val="left" w:leader="middleDot" w:pos="4308"/>
              </w:tabs>
              <w:autoSpaceDE w:val="0"/>
              <w:autoSpaceDN w:val="0"/>
              <w:jc w:val="left"/>
              <w:rPr>
                <w:rFonts w:asciiTheme="minorHAnsi" w:hAnsiTheme="minorHAnsi"/>
              </w:rPr>
            </w:pPr>
            <w:r w:rsidRPr="00BC31E0">
              <w:rPr>
                <w:rFonts w:asciiTheme="minorHAnsi" w:hAnsiTheme="minorHAnsi" w:hint="eastAsia"/>
              </w:rPr>
              <w:tab/>
              <w:t>(2)</w:t>
            </w:r>
          </w:p>
        </w:tc>
      </w:tr>
    </w:tbl>
    <w:p w14:paraId="7F2EED27" w14:textId="77777777" w:rsidR="00AB1F3F" w:rsidRPr="00BC31E0" w:rsidRDefault="00AB1F3F" w:rsidP="008E5A56">
      <w:pPr>
        <w:autoSpaceDE w:val="0"/>
        <w:autoSpaceDN w:val="0"/>
        <w:rPr>
          <w:sz w:val="18"/>
        </w:rPr>
      </w:pPr>
    </w:p>
    <w:p w14:paraId="464CF2DE" w14:textId="77777777" w:rsidR="00AB1F3F" w:rsidRPr="00BC31E0" w:rsidRDefault="00AB1F3F" w:rsidP="00736130">
      <w:pPr>
        <w:pStyle w:val="1f9"/>
        <w:numPr>
          <w:ilvl w:val="0"/>
          <w:numId w:val="223"/>
        </w:numPr>
        <w:tabs>
          <w:tab w:val="clear" w:pos="284"/>
        </w:tabs>
        <w:adjustRightInd/>
        <w:snapToGrid/>
        <w:spacing w:line="240" w:lineRule="auto"/>
        <w:ind w:left="340" w:hanging="340"/>
        <w:jc w:val="both"/>
      </w:pPr>
      <w:r w:rsidRPr="00BC31E0">
        <w:rPr>
          <w:rFonts w:hint="eastAsia"/>
        </w:rPr>
        <w:t>補強の条件</w:t>
      </w:r>
    </w:p>
    <w:p w14:paraId="110E18AD" w14:textId="77777777" w:rsidR="00AB1F3F" w:rsidRPr="00BC31E0" w:rsidRDefault="00AB1F3F" w:rsidP="008E5A56">
      <w:pPr>
        <w:pStyle w:val="15"/>
        <w:ind w:firstLine="210"/>
      </w:pPr>
      <w:r w:rsidRPr="00BC31E0">
        <w:rPr>
          <w:rFonts w:hint="eastAsia"/>
        </w:rPr>
        <w:t>穴中心を含み，かつ，垂直な断面について，有効とみなされる補強の範囲は次の規定を満足しなければならない。ノズルの記号及び寸法は</w:t>
      </w:r>
      <w:r w:rsidRPr="00BC31E0">
        <w:rPr>
          <w:rFonts w:ascii="ＭＳ ゴシック" w:eastAsia="ＭＳ ゴシック" w:hAnsi="ＭＳ ゴシック" w:hint="eastAsia"/>
          <w:b/>
        </w:rPr>
        <w:t>図E.2</w:t>
      </w:r>
      <w:r w:rsidRPr="00BC31E0">
        <w:rPr>
          <w:rFonts w:hint="eastAsia"/>
        </w:rPr>
        <w:t>による。</w:t>
      </w:r>
    </w:p>
    <w:p w14:paraId="64D55925" w14:textId="77777777" w:rsidR="00AB1F3F" w:rsidRPr="00BC31E0" w:rsidRDefault="00AB1F3F" w:rsidP="00736130">
      <w:pPr>
        <w:pStyle w:val="110"/>
        <w:numPr>
          <w:ilvl w:val="1"/>
          <w:numId w:val="223"/>
        </w:numPr>
        <w:tabs>
          <w:tab w:val="clear" w:pos="510"/>
        </w:tabs>
        <w:spacing w:line="240" w:lineRule="auto"/>
        <w:ind w:left="567" w:hanging="567"/>
      </w:pPr>
      <w:r w:rsidRPr="00BC31E0">
        <w:rPr>
          <w:rFonts w:hint="eastAsia"/>
        </w:rPr>
        <w:lastRenderedPageBreak/>
        <w:t>容器壁に沿った有効範囲</w:t>
      </w:r>
    </w:p>
    <w:p w14:paraId="67C9D866" w14:textId="77777777" w:rsidR="00AB1F3F" w:rsidRPr="00BC31E0" w:rsidRDefault="00AB1F3F" w:rsidP="008E5A56">
      <w:pPr>
        <w:pStyle w:val="113"/>
        <w:ind w:firstLine="210"/>
      </w:pPr>
      <w:r w:rsidRPr="00BC31E0">
        <w:rPr>
          <w:rFonts w:hint="eastAsia"/>
        </w:rPr>
        <w:t>容器壁の公称肉厚の中心面に沿って測った補強の有効範囲は，次の</w:t>
      </w:r>
      <w:r w:rsidRPr="00BC31E0">
        <w:rPr>
          <w:rFonts w:ascii="ＭＳ ゴシック" w:hAnsi="ＭＳ ゴシック" w:hint="eastAsia"/>
          <w:b/>
        </w:rPr>
        <w:t>a)</w:t>
      </w:r>
      <w:r w:rsidRPr="00BC31E0">
        <w:rPr>
          <w:rFonts w:hint="eastAsia"/>
        </w:rPr>
        <w:t>，</w:t>
      </w:r>
      <w:r w:rsidRPr="00BC31E0">
        <w:rPr>
          <w:rFonts w:ascii="ＭＳ ゴシック" w:hAnsi="ＭＳ ゴシック" w:hint="eastAsia"/>
          <w:b/>
        </w:rPr>
        <w:t>b)</w:t>
      </w:r>
      <w:r w:rsidRPr="00BC31E0">
        <w:rPr>
          <w:rFonts w:hint="eastAsia"/>
        </w:rPr>
        <w:t>の条件を満足しなければならない。</w:t>
      </w:r>
    </w:p>
    <w:p w14:paraId="457FB9D7" w14:textId="77777777" w:rsidR="00AB1F3F" w:rsidRPr="00BC31E0" w:rsidRDefault="00AB1F3F" w:rsidP="00736130">
      <w:pPr>
        <w:pStyle w:val="a4"/>
        <w:numPr>
          <w:ilvl w:val="0"/>
          <w:numId w:val="380"/>
        </w:numPr>
        <w:ind w:leftChars="0" w:left="454" w:hanging="454"/>
      </w:pPr>
      <w:r w:rsidRPr="00BC31E0">
        <w:rPr>
          <w:rFonts w:hint="eastAsia"/>
        </w:rPr>
        <w:t>必要な補強の</w:t>
      </w:r>
      <w:r w:rsidRPr="00BC31E0">
        <w:t>100%</w:t>
      </w:r>
      <w:r w:rsidRPr="00BC31E0">
        <w:rPr>
          <w:rFonts w:hint="eastAsia"/>
        </w:rPr>
        <w:t>が，穴の中心軸のそれぞれの側に対して，次のいずれか大きい方の距離以内になければならない。</w:t>
      </w:r>
    </w:p>
    <w:p w14:paraId="50093F73" w14:textId="77777777" w:rsidR="00AB1F3F" w:rsidRPr="00BC31E0" w:rsidRDefault="00AB1F3F" w:rsidP="00736130">
      <w:pPr>
        <w:pStyle w:val="a4"/>
        <w:numPr>
          <w:ilvl w:val="0"/>
          <w:numId w:val="231"/>
        </w:numPr>
        <w:ind w:leftChars="0" w:left="738" w:hanging="454"/>
      </w:pPr>
      <w:r w:rsidRPr="00BC31E0">
        <w:rPr>
          <w:rFonts w:hint="eastAsia"/>
        </w:rPr>
        <w:t>腐れ代を除いた穴の直径</w:t>
      </w:r>
    </w:p>
    <w:p w14:paraId="0DD41086" w14:textId="77777777" w:rsidR="00AB1F3F" w:rsidRPr="00BC31E0" w:rsidRDefault="00AB1F3F" w:rsidP="00736130">
      <w:pPr>
        <w:pStyle w:val="a4"/>
        <w:numPr>
          <w:ilvl w:val="0"/>
          <w:numId w:val="231"/>
        </w:numPr>
        <w:ind w:leftChars="0" w:left="738" w:hanging="454"/>
      </w:pPr>
      <w:r w:rsidRPr="00BC31E0">
        <w:rPr>
          <w:rFonts w:hint="eastAsia"/>
        </w:rPr>
        <w:t>腐れ代を除いた穴の半径，容器壁の厚さ及びノズルネックの厚さの合計</w:t>
      </w:r>
    </w:p>
    <w:p w14:paraId="1B8A8DD1" w14:textId="77777777" w:rsidR="00AB1F3F" w:rsidRPr="00BC31E0" w:rsidRDefault="00AB1F3F" w:rsidP="00736130">
      <w:pPr>
        <w:pStyle w:val="a4"/>
        <w:numPr>
          <w:ilvl w:val="0"/>
          <w:numId w:val="381"/>
        </w:numPr>
        <w:ind w:leftChars="0" w:left="454" w:hanging="454"/>
      </w:pPr>
      <w:r w:rsidRPr="00BC31E0">
        <w:rPr>
          <w:rFonts w:hint="eastAsia"/>
        </w:rPr>
        <w:t>必要な補強の</w:t>
      </w:r>
      <w:r w:rsidRPr="00BC31E0">
        <w:t>2/3</w:t>
      </w:r>
      <w:r w:rsidRPr="00BC31E0">
        <w:rPr>
          <w:rFonts w:hint="eastAsia"/>
        </w:rPr>
        <w:t>が穴の中心軸のそれぞれの側に対して，次のいずれか大きい方の距離以内になければならない。</w:t>
      </w:r>
    </w:p>
    <w:p w14:paraId="2D6F5A0D" w14:textId="77777777" w:rsidR="00AB1F3F" w:rsidRPr="00BC31E0" w:rsidRDefault="00AB1F3F" w:rsidP="00736130">
      <w:pPr>
        <w:pStyle w:val="a4"/>
        <w:numPr>
          <w:ilvl w:val="0"/>
          <w:numId w:val="232"/>
        </w:numPr>
        <w:ind w:leftChars="0" w:left="738" w:hanging="454"/>
        <w:rPr>
          <w:rFonts w:asciiTheme="minorEastAsia"/>
        </w:rPr>
      </w:pPr>
      <m:oMath>
        <m:r>
          <w:rPr>
            <w:rFonts w:ascii="Cambria Math" w:hAnsi="Cambria Math"/>
          </w:rPr>
          <m:t>r</m:t>
        </m:r>
        <m:r>
          <m:rPr>
            <m:sty m:val="p"/>
          </m:rPr>
          <w:rPr>
            <w:rFonts w:ascii="Cambria Math"/>
          </w:rPr>
          <m:t xml:space="preserve">+0.5 </m:t>
        </m:r>
        <m:rad>
          <m:radPr>
            <m:degHide m:val="1"/>
            <m:ctrlPr>
              <w:rPr>
                <w:rFonts w:ascii="Cambria Math" w:hAnsi="Cambria Math"/>
              </w:rPr>
            </m:ctrlPr>
          </m:radPr>
          <m:deg/>
          <m:e>
            <m:sSub>
              <m:sSubPr>
                <m:ctrlPr>
                  <w:rPr>
                    <w:rFonts w:ascii="Cambria Math" w:hAnsi="Cambria Math"/>
                  </w:rPr>
                </m:ctrlPr>
              </m:sSubPr>
              <m:e>
                <m:r>
                  <w:rPr>
                    <w:rFonts w:ascii="Cambria Math" w:hAnsi="Cambria Math"/>
                  </w:rPr>
                  <m:t>R</m:t>
                </m:r>
              </m:e>
              <m:sub>
                <m:r>
                  <w:rPr>
                    <w:rFonts w:ascii="Cambria Math" w:hAnsi="Cambria Math"/>
                  </w:rPr>
                  <m:t>m</m:t>
                </m:r>
              </m:sub>
            </m:sSub>
            <m:r>
              <m:rPr>
                <m:sty m:val="p"/>
              </m:rPr>
              <w:rPr>
                <w:rFonts w:ascii="Cambria Math"/>
              </w:rPr>
              <m:t xml:space="preserve"> </m:t>
            </m:r>
            <m:r>
              <w:rPr>
                <w:rFonts w:ascii="Cambria Math" w:hAnsi="Cambria Math"/>
              </w:rPr>
              <m:t>t</m:t>
            </m:r>
          </m:e>
        </m:rad>
      </m:oMath>
      <w:r w:rsidRPr="00BC31E0">
        <w:rPr>
          <w:rFonts w:asciiTheme="minorEastAsia"/>
        </w:rPr>
        <w:t xml:space="preserve"> </w:t>
      </w:r>
    </w:p>
    <w:p w14:paraId="23DE775F" w14:textId="77777777" w:rsidR="00AB1F3F" w:rsidRPr="00BC31E0" w:rsidRDefault="00AB1F3F" w:rsidP="00736130">
      <w:pPr>
        <w:pStyle w:val="a4"/>
        <w:numPr>
          <w:ilvl w:val="0"/>
          <w:numId w:val="232"/>
        </w:numPr>
        <w:ind w:leftChars="0" w:left="738" w:hanging="454"/>
        <w:rPr>
          <w:rFonts w:ascii="ＭＳ 明朝" w:hAnsi="ＭＳ 明朝"/>
        </w:rPr>
      </w:pPr>
      <w:r w:rsidRPr="00BC31E0">
        <w:rPr>
          <w:rFonts w:ascii="ＭＳ 明朝" w:hAnsi="ＭＳ 明朝" w:hint="eastAsia"/>
        </w:rPr>
        <w:t>腐れ代を除いた穴の半径，容器壁の計算に用いる厚さ及びノズルネックの計算に用いる厚さの合計</w:t>
      </w:r>
    </w:p>
    <w:p w14:paraId="28963867" w14:textId="77777777" w:rsidR="00AB1F3F" w:rsidRPr="00BC31E0" w:rsidRDefault="00AB1F3F" w:rsidP="00736130">
      <w:pPr>
        <w:pStyle w:val="110"/>
        <w:numPr>
          <w:ilvl w:val="1"/>
          <w:numId w:val="223"/>
        </w:numPr>
        <w:tabs>
          <w:tab w:val="clear" w:pos="510"/>
        </w:tabs>
        <w:spacing w:line="240" w:lineRule="auto"/>
        <w:ind w:left="567" w:hanging="567"/>
      </w:pPr>
      <w:r w:rsidRPr="00BC31E0">
        <w:rPr>
          <w:rFonts w:hint="eastAsia"/>
        </w:rPr>
        <w:t>容器壁に垂直方向の有効範囲</w:t>
      </w:r>
    </w:p>
    <w:p w14:paraId="25FE866F" w14:textId="77777777" w:rsidR="00AB1F3F" w:rsidRPr="00BC31E0" w:rsidRDefault="00AB1F3F" w:rsidP="008E5A56">
      <w:pPr>
        <w:pStyle w:val="113"/>
        <w:ind w:firstLine="210"/>
      </w:pPr>
      <w:r w:rsidRPr="00BC31E0">
        <w:rPr>
          <w:rFonts w:hint="eastAsia"/>
        </w:rPr>
        <w:t>容器壁に垂直方向に測った補強の有効範囲は，次の</w:t>
      </w:r>
      <w:r w:rsidRPr="00BC31E0">
        <w:rPr>
          <w:rFonts w:ascii="ＭＳ ゴシック" w:hAnsi="ＭＳ ゴシック" w:hint="eastAsia"/>
          <w:b/>
        </w:rPr>
        <w:t>a)</w:t>
      </w:r>
      <w:r w:rsidRPr="00BC31E0">
        <w:rPr>
          <w:rFonts w:hint="eastAsia"/>
        </w:rPr>
        <w:t>～</w:t>
      </w:r>
      <w:r w:rsidRPr="00BC31E0">
        <w:rPr>
          <w:rFonts w:ascii="ＭＳ ゴシック" w:hAnsi="ＭＳ ゴシック" w:hint="eastAsia"/>
          <w:b/>
        </w:rPr>
        <w:t>c)</w:t>
      </w:r>
      <w:r w:rsidRPr="00BC31E0">
        <w:rPr>
          <w:rFonts w:hint="eastAsia"/>
        </w:rPr>
        <w:t>による。</w:t>
      </w:r>
    </w:p>
    <w:p w14:paraId="307820F3" w14:textId="77777777" w:rsidR="00AB1F3F" w:rsidRPr="00BC31E0" w:rsidRDefault="00AB1F3F" w:rsidP="00736130">
      <w:pPr>
        <w:pStyle w:val="a4"/>
        <w:numPr>
          <w:ilvl w:val="0"/>
          <w:numId w:val="626"/>
        </w:numPr>
        <w:spacing w:after="120"/>
        <w:ind w:leftChars="0" w:left="454" w:hanging="454"/>
      </w:pPr>
      <w:r w:rsidRPr="00BC31E0">
        <w:rPr>
          <w:rFonts w:asciiTheme="majorEastAsia" w:eastAsiaTheme="majorEastAsia" w:hAnsiTheme="majorEastAsia" w:hint="eastAsia"/>
          <w:b/>
        </w:rPr>
        <w:t>図</w:t>
      </w:r>
      <w:r w:rsidRPr="00BC31E0">
        <w:rPr>
          <w:rFonts w:asciiTheme="majorEastAsia" w:eastAsiaTheme="majorEastAsia" w:hAnsiTheme="majorEastAsia"/>
          <w:b/>
        </w:rPr>
        <w:t>E.2</w:t>
      </w:r>
      <w:r w:rsidRPr="00BC31E0">
        <w:rPr>
          <w:rFonts w:asciiTheme="majorEastAsia" w:eastAsiaTheme="majorEastAsia" w:hAnsiTheme="majorEastAsia" w:hint="eastAsia"/>
          <w:b/>
        </w:rPr>
        <w:t xml:space="preserve"> </w:t>
      </w:r>
      <w:r w:rsidRPr="00BC31E0">
        <w:rPr>
          <w:rFonts w:asciiTheme="majorEastAsia" w:eastAsiaTheme="majorEastAsia" w:hAnsiTheme="majorEastAsia"/>
          <w:b/>
        </w:rPr>
        <w:t>a)</w:t>
      </w:r>
      <w:r w:rsidRPr="00BC31E0">
        <w:rPr>
          <w:rFonts w:asciiTheme="majorEastAsia" w:eastAsiaTheme="majorEastAsia" w:hAnsiTheme="majorEastAsia" w:hint="eastAsia"/>
          <w:b/>
        </w:rPr>
        <w:t>，</w:t>
      </w:r>
      <w:r w:rsidRPr="00BC31E0">
        <w:rPr>
          <w:rFonts w:asciiTheme="majorEastAsia" w:eastAsiaTheme="majorEastAsia" w:hAnsiTheme="majorEastAsia"/>
          <w:b/>
        </w:rPr>
        <w:t>b)</w:t>
      </w:r>
      <w:r w:rsidRPr="00BC31E0">
        <w:rPr>
          <w:rFonts w:hint="eastAsia"/>
        </w:rPr>
        <w:t>に対しては，次のいずれか大きい方の値とする。</w:t>
      </w:r>
    </w:p>
    <w:p w14:paraId="0B94CED7" w14:textId="77777777" w:rsidR="00AB1F3F" w:rsidRPr="00BC31E0" w:rsidRDefault="00AB1F3F" w:rsidP="008E5A56">
      <w:pPr>
        <w:jc w:val="center"/>
      </w:pPr>
      <m:oMath>
        <m:r>
          <m:rPr>
            <m:sty m:val="p"/>
          </m:rPr>
          <w:rPr>
            <w:rFonts w:ascii="Cambria Math" w:hAnsi="Cambria Math" w:hint="eastAsia"/>
          </w:rPr>
          <m:t>0.5</m:t>
        </m:r>
        <m:r>
          <m:rPr>
            <m:sty m:val="p"/>
          </m:rPr>
          <w:rPr>
            <w:rFonts w:ascii="Cambria Math" w:hAnsi="Cambria Math"/>
          </w:rPr>
          <m:t xml:space="preserve"> </m:t>
        </m:r>
        <m:rad>
          <m:radPr>
            <m:degHide m:val="1"/>
            <m:ctrlPr>
              <w:rPr>
                <w:rFonts w:ascii="Cambria Math" w:hAnsi="Cambria Math"/>
              </w:rPr>
            </m:ctrlPr>
          </m:radPr>
          <m:deg/>
          <m:e>
            <m:sSub>
              <m:sSubPr>
                <m:ctrlPr>
                  <w:rPr>
                    <w:rFonts w:ascii="Cambria Math" w:hAnsi="Cambria Math"/>
                  </w:rPr>
                </m:ctrlPr>
              </m:sSubPr>
              <m:e>
                <m:r>
                  <w:rPr>
                    <w:rFonts w:ascii="Cambria Math" w:hAnsi="Cambria Math"/>
                  </w:rPr>
                  <m:t>r</m:t>
                </m:r>
              </m:e>
              <m:sub>
                <m:r>
                  <w:rPr>
                    <w:rFonts w:ascii="Cambria Math" w:hAnsi="Cambria Math"/>
                  </w:rPr>
                  <m:t>m</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e>
        </m:rad>
        <m:r>
          <m:rPr>
            <m:sty m:val="p"/>
          </m:rPr>
          <w:rPr>
            <w:rFonts w:ascii="Cambria Math" w:hAnsi="Cambria Math"/>
          </w:rPr>
          <m:t>+</m:t>
        </m:r>
        <m:r>
          <w:rPr>
            <w:rFonts w:ascii="Cambria Math" w:hAnsi="Cambria Math"/>
          </w:rPr>
          <m:t>K</m:t>
        </m:r>
      </m:oMath>
      <w:r w:rsidRPr="00BC31E0">
        <w:rPr>
          <w:rFonts w:hint="eastAsia"/>
          <w:position w:val="-12"/>
        </w:rPr>
        <w:t xml:space="preserve">　</w:t>
      </w:r>
      <w:r w:rsidRPr="00BC31E0">
        <w:rPr>
          <w:rFonts w:hint="eastAsia"/>
        </w:rPr>
        <w:t xml:space="preserve">又は　</w:t>
      </w:r>
      <m:oMath>
        <m:r>
          <m:rPr>
            <m:sty m:val="p"/>
          </m:rPr>
          <w:rPr>
            <w:rFonts w:ascii="Cambria Math" w:hAnsi="Cambria Math"/>
          </w:rPr>
          <m:t xml:space="preserve">1.73 </m:t>
        </m:r>
        <m:r>
          <w:rPr>
            <w:rFonts w:ascii="Cambria Math" w:hAnsi="Cambria Math"/>
          </w:rPr>
          <m:t>x</m:t>
        </m:r>
        <m:r>
          <m:rPr>
            <m:sty m:val="p"/>
          </m:rPr>
          <w:rPr>
            <w:rFonts w:ascii="Cambria Math" w:hAnsi="Cambria Math"/>
          </w:rPr>
          <m:t>+2.5</m:t>
        </m:r>
        <m:sSub>
          <m:sSubPr>
            <m:ctrlPr>
              <w:rPr>
                <w:rFonts w:ascii="Cambria Math" w:hAnsi="Cambria Math"/>
              </w:rPr>
            </m:ctrlPr>
          </m:sSubPr>
          <m:e>
            <m:r>
              <m:rPr>
                <m:sty m:val="p"/>
              </m:rPr>
              <w:rPr>
                <w:rFonts w:ascii="Cambria Math" w:hAnsi="Cambria Math"/>
              </w:rPr>
              <m:t xml:space="preserve"> </m:t>
            </m:r>
            <m:r>
              <w:rPr>
                <w:rFonts w:ascii="Cambria Math" w:hAnsi="Cambria Math"/>
              </w:rPr>
              <m:t>t</m:t>
            </m:r>
          </m:e>
          <m:sub>
            <m:r>
              <w:rPr>
                <w:rFonts w:ascii="Cambria Math" w:hAnsi="Cambria Math"/>
              </w:rPr>
              <m:t>p</m:t>
            </m:r>
          </m:sub>
        </m:sSub>
        <m:r>
          <m:rPr>
            <m:sty m:val="p"/>
          </m:rPr>
          <w:rPr>
            <w:rFonts w:ascii="Cambria Math" w:hAnsi="Cambria Math"/>
          </w:rPr>
          <m:t>+</m:t>
        </m:r>
        <m:r>
          <w:rPr>
            <w:rFonts w:ascii="Cambria Math" w:hAnsi="Cambria Math"/>
          </w:rPr>
          <m:t>K</m:t>
        </m:r>
      </m:oMath>
    </w:p>
    <w:p w14:paraId="66CFC94C" w14:textId="77777777" w:rsidR="00AB1F3F" w:rsidRPr="00BC31E0" w:rsidRDefault="00AB1F3F" w:rsidP="008E5A56">
      <w:pPr>
        <w:spacing w:before="120"/>
        <w:ind w:left="454"/>
      </w:pPr>
      <w:r w:rsidRPr="00BC31E0">
        <w:rPr>
          <w:rFonts w:hint="eastAsia"/>
        </w:rPr>
        <w:t>ただし，この有効範囲は，</w:t>
      </w:r>
      <m:oMath>
        <m:r>
          <w:rPr>
            <w:rFonts w:ascii="Cambria Math" w:hAnsi="Cambria Math"/>
          </w:rPr>
          <m:t xml:space="preserve"> 2.5 t </m:t>
        </m:r>
      </m:oMath>
      <w:r w:rsidRPr="00BC31E0">
        <w:rPr>
          <w:rFonts w:hint="eastAsia"/>
        </w:rPr>
        <w:t>又は</w:t>
      </w:r>
      <m:oMath>
        <m:r>
          <m:rPr>
            <m:sty m:val="p"/>
          </m:rPr>
          <w:rPr>
            <w:rFonts w:ascii="Cambria Math" w:hAnsi="Cambria Math"/>
          </w:rPr>
          <m:t xml:space="preserve"> </m:t>
        </m:r>
        <m:r>
          <w:rPr>
            <w:rFonts w:ascii="Cambria Math" w:hAnsi="Cambria Math"/>
          </w:rPr>
          <m:t xml:space="preserve">L+2.5 </m:t>
        </m:r>
        <m:sSub>
          <m:sSubPr>
            <m:ctrlPr>
              <w:rPr>
                <w:rFonts w:ascii="Cambria Math" w:hAnsi="Cambria Math"/>
              </w:rPr>
            </m:ctrlPr>
          </m:sSubPr>
          <m:e>
            <m:r>
              <w:rPr>
                <w:rFonts w:ascii="Cambria Math" w:hAnsi="Cambria Math"/>
              </w:rPr>
              <m:t>t</m:t>
            </m:r>
          </m:e>
          <m:sub>
            <m:r>
              <w:rPr>
                <w:rFonts w:ascii="Cambria Math" w:hAnsi="Cambria Math"/>
              </w:rPr>
              <m:t xml:space="preserve">p </m:t>
            </m:r>
          </m:sub>
        </m:sSub>
      </m:oMath>
      <w:r w:rsidRPr="00BC31E0">
        <w:rPr>
          <w:rFonts w:hint="eastAsia"/>
        </w:rPr>
        <w:t>のいずれかを超えてはならない。</w:t>
      </w:r>
    </w:p>
    <w:p w14:paraId="4C6A557B" w14:textId="77777777" w:rsidR="00AB1F3F" w:rsidRPr="00BC31E0" w:rsidRDefault="00AB1F3F" w:rsidP="008E5A56">
      <w:pPr>
        <w:ind w:left="454" w:firstLineChars="100" w:firstLine="210"/>
      </w:pPr>
      <w:r w:rsidRPr="00BC31E0">
        <w:rPr>
          <w:rFonts w:hint="eastAsia"/>
        </w:rPr>
        <w:t>ここで，</w:t>
      </w:r>
    </w:p>
    <w:p w14:paraId="265E269A" w14:textId="77777777" w:rsidR="00AB1F3F" w:rsidRPr="00BC31E0" w:rsidRDefault="00AB1F3F" w:rsidP="008E5A56">
      <w:pPr>
        <w:ind w:leftChars="600" w:left="1260"/>
      </w:pPr>
      <m:oMath>
        <m:r>
          <w:rPr>
            <w:rFonts w:ascii="Cambria Math" w:hAnsi="Cambria Math"/>
          </w:rPr>
          <m:t>K</m:t>
        </m:r>
        <m:r>
          <m:rPr>
            <m:sty m:val="p"/>
          </m:rPr>
          <w:rPr>
            <w:rFonts w:ascii="Cambria Math" w:hAnsi="Cambria Math"/>
          </w:rPr>
          <m:t>=0.73</m:t>
        </m:r>
        <m:sSub>
          <m:sSubPr>
            <m:ctrlPr>
              <w:rPr>
                <w:rFonts w:ascii="Cambria Math" w:hAnsi="Cambria Math"/>
              </w:rPr>
            </m:ctrlPr>
          </m:sSubPr>
          <m:e>
            <m:r>
              <m:rPr>
                <m:sty m:val="p"/>
              </m:rPr>
              <w:rPr>
                <w:rFonts w:ascii="Cambria Math" w:hAnsi="Cambria Math"/>
              </w:rPr>
              <m:t xml:space="preserve"> </m:t>
            </m:r>
            <m:r>
              <w:rPr>
                <w:rFonts w:ascii="Cambria Math" w:hAnsi="Cambria Math"/>
              </w:rPr>
              <m:t>r</m:t>
            </m:r>
          </m:e>
          <m:sub>
            <m:r>
              <m:rPr>
                <m:sty m:val="p"/>
              </m:rPr>
              <w:rPr>
                <w:rFonts w:ascii="Cambria Math" w:hAnsi="Cambria Math"/>
              </w:rPr>
              <m:t>2</m:t>
            </m:r>
          </m:sub>
        </m:sSub>
      </m:oMath>
      <w:r w:rsidRPr="00BC31E0">
        <w:t xml:space="preserve"> </w:t>
      </w:r>
    </w:p>
    <w:p w14:paraId="04FBB066" w14:textId="77777777" w:rsidR="00AB1F3F" w:rsidRPr="00BC31E0" w:rsidRDefault="00AB1F3F" w:rsidP="008E5A56">
      <w:pPr>
        <w:ind w:leftChars="600" w:left="1260"/>
      </w:pPr>
      <m:oMath>
        <m:r>
          <w:rPr>
            <w:rFonts w:ascii="Cambria Math" w:hAnsi="Cambria Math"/>
          </w:rPr>
          <m:t>L</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n</m:t>
            </m:r>
          </m:sub>
        </m:sSub>
        <m:r>
          <m:rPr>
            <m:sty m:val="p"/>
          </m:rPr>
          <w:rPr>
            <w:rFonts w:ascii="Cambria Math" w:hAnsi="Cambria Math"/>
          </w:rPr>
          <m:t>+</m:t>
        </m:r>
      </m:oMath>
      <w:r w:rsidRPr="00BC31E0">
        <w:rPr>
          <w:rFonts w:hint="eastAsia"/>
        </w:rPr>
        <w:t>テーパ部の長さ</w:t>
      </w:r>
    </w:p>
    <w:p w14:paraId="46AAF359" w14:textId="77777777" w:rsidR="00AB1F3F" w:rsidRPr="00BC31E0" w:rsidRDefault="00AB1F3F" w:rsidP="00736130">
      <w:pPr>
        <w:pStyle w:val="a4"/>
        <w:numPr>
          <w:ilvl w:val="0"/>
          <w:numId w:val="627"/>
        </w:numPr>
        <w:spacing w:before="120"/>
        <w:ind w:leftChars="0" w:left="454" w:hanging="454"/>
      </w:pPr>
      <w:r w:rsidRPr="00BC31E0">
        <w:rPr>
          <w:rFonts w:asciiTheme="majorEastAsia" w:eastAsiaTheme="majorEastAsia" w:hAnsiTheme="majorEastAsia" w:hint="eastAsia"/>
          <w:b/>
        </w:rPr>
        <w:t>図</w:t>
      </w:r>
      <w:r w:rsidRPr="00BC31E0">
        <w:rPr>
          <w:rFonts w:asciiTheme="majorEastAsia" w:eastAsiaTheme="majorEastAsia" w:hAnsiTheme="majorEastAsia"/>
          <w:b/>
        </w:rPr>
        <w:t>E.2 c)</w:t>
      </w:r>
      <w:r w:rsidRPr="00BC31E0">
        <w:rPr>
          <w:rFonts w:hint="eastAsia"/>
        </w:rPr>
        <w:t>に対しては，次の</w:t>
      </w:r>
      <w:r w:rsidRPr="00BC31E0">
        <w:rPr>
          <w:rFonts w:asciiTheme="majorEastAsia" w:eastAsiaTheme="majorEastAsia" w:hAnsiTheme="majorEastAsia" w:hint="eastAsia"/>
          <w:b/>
        </w:rPr>
        <w:t>1)</w:t>
      </w:r>
      <w:r w:rsidRPr="00BC31E0">
        <w:rPr>
          <w:rFonts w:hint="eastAsia"/>
        </w:rPr>
        <w:t>，</w:t>
      </w:r>
      <w:r w:rsidRPr="00BC31E0">
        <w:rPr>
          <w:rFonts w:asciiTheme="majorEastAsia" w:eastAsiaTheme="majorEastAsia" w:hAnsiTheme="majorEastAsia" w:hint="eastAsia"/>
          <w:b/>
        </w:rPr>
        <w:t>2)</w:t>
      </w:r>
      <w:r w:rsidRPr="00BC31E0">
        <w:rPr>
          <w:rFonts w:hint="eastAsia"/>
        </w:rPr>
        <w:t>による。</w:t>
      </w:r>
    </w:p>
    <w:p w14:paraId="27468350" w14:textId="77777777" w:rsidR="00AB1F3F" w:rsidRPr="00BC31E0" w:rsidRDefault="00AB1F3F" w:rsidP="00736130">
      <w:pPr>
        <w:pStyle w:val="a4"/>
        <w:numPr>
          <w:ilvl w:val="0"/>
          <w:numId w:val="233"/>
        </w:numPr>
        <w:spacing w:after="120"/>
        <w:ind w:leftChars="0" w:left="738" w:hanging="454"/>
      </w:pPr>
      <m:oMath>
        <m:r>
          <w:rPr>
            <w:rFonts w:ascii="Cambria Math" w:hAnsi="Cambria Math"/>
          </w:rPr>
          <m:t>30°</m:t>
        </m:r>
        <m:r>
          <m:rPr>
            <m:sty m:val="p"/>
          </m:rPr>
          <w:rPr>
            <w:rFonts w:ascii="Cambria Math" w:hAnsi="Cambria Math" w:hint="eastAsia"/>
          </w:rPr>
          <m:t>≦</m:t>
        </m:r>
        <m:r>
          <w:rPr>
            <w:rFonts w:ascii="Cambria Math" w:hAnsi="Cambria Math"/>
          </w:rPr>
          <m:t>θ</m:t>
        </m:r>
        <m:r>
          <m:rPr>
            <m:sty m:val="p"/>
          </m:rPr>
          <w:rPr>
            <w:rFonts w:ascii="Cambria Math" w:hAnsi="Cambria Math" w:hint="eastAsia"/>
          </w:rPr>
          <m:t>≦</m:t>
        </m:r>
        <m:r>
          <w:rPr>
            <w:rFonts w:ascii="Cambria Math" w:hAnsi="Cambria Math"/>
          </w:rPr>
          <m:t xml:space="preserve">45° </m:t>
        </m:r>
      </m:oMath>
      <w:r w:rsidRPr="00BC31E0">
        <w:rPr>
          <w:rFonts w:hint="eastAsia"/>
        </w:rPr>
        <w:t>の場合，次のいずれか大きい方の値とする。</w:t>
      </w:r>
    </w:p>
    <w:p w14:paraId="57284FB4" w14:textId="77777777" w:rsidR="00AB1F3F" w:rsidRPr="00BC31E0" w:rsidRDefault="00AB1F3F" w:rsidP="008E5A56">
      <w:pPr>
        <w:jc w:val="center"/>
      </w:pPr>
      <m:oMath>
        <m:r>
          <m:rPr>
            <m:sty m:val="p"/>
          </m:rPr>
          <w:rPr>
            <w:rFonts w:ascii="Cambria Math" w:hAnsi="Cambria Math" w:hint="eastAsia"/>
          </w:rPr>
          <m:t>0.5</m:t>
        </m:r>
        <m:r>
          <m:rPr>
            <m:sty m:val="p"/>
          </m:rPr>
          <w:rPr>
            <w:rFonts w:ascii="Cambria Math" w:hAnsi="Cambria Math"/>
          </w:rPr>
          <m:t xml:space="preserve"> </m:t>
        </m:r>
        <m:rad>
          <m:radPr>
            <m:degHide m:val="1"/>
            <m:ctrlPr>
              <w:rPr>
                <w:rFonts w:ascii="Cambria Math" w:hAnsi="Cambria Math"/>
              </w:rPr>
            </m:ctrlPr>
          </m:radPr>
          <m:deg/>
          <m:e>
            <m:sSub>
              <m:sSubPr>
                <m:ctrlPr>
                  <w:rPr>
                    <w:rFonts w:ascii="Cambria Math" w:hAnsi="Cambria Math"/>
                  </w:rPr>
                </m:ctrlPr>
              </m:sSubPr>
              <m:e>
                <m:r>
                  <w:rPr>
                    <w:rFonts w:ascii="Cambria Math" w:hAnsi="Cambria Math"/>
                  </w:rPr>
                  <m:t>r</m:t>
                </m:r>
              </m:e>
              <m:sub>
                <m:r>
                  <w:rPr>
                    <w:rFonts w:ascii="Cambria Math" w:hAnsi="Cambria Math"/>
                  </w:rPr>
                  <m:t>m</m:t>
                </m:r>
              </m:sub>
            </m:sSub>
            <m:r>
              <m:rPr>
                <m:sty m:val="p"/>
              </m:rPr>
              <w:rPr>
                <w:rFonts w:ascii="Cambria Math" w:hAnsi="Cambria Math"/>
              </w:rPr>
              <m:t xml:space="preserve"> </m:t>
            </m:r>
            <m:sSup>
              <m:sSupPr>
                <m:ctrlPr>
                  <w:rPr>
                    <w:rFonts w:ascii="Cambria Math" w:hAnsi="Cambria Math"/>
                  </w:rPr>
                </m:ctrlPr>
              </m:sSupPr>
              <m:e>
                <m:sSub>
                  <m:sSubPr>
                    <m:ctrlPr>
                      <w:rPr>
                        <w:rFonts w:ascii="Cambria Math" w:hAnsi="Cambria Math"/>
                      </w:rPr>
                    </m:ctrlPr>
                  </m:sSubPr>
                  <m:e>
                    <m:r>
                      <w:rPr>
                        <w:rFonts w:ascii="Cambria Math" w:hAnsi="Cambria Math"/>
                      </w:rPr>
                      <m:t>t</m:t>
                    </m:r>
                  </m:e>
                  <m:sub>
                    <m:r>
                      <w:rPr>
                        <w:rFonts w:ascii="Cambria Math" w:hAnsi="Cambria Math"/>
                      </w:rPr>
                      <m:t>n</m:t>
                    </m:r>
                  </m:sub>
                </m:sSub>
              </m:e>
              <m:sup>
                <m:r>
                  <m:rPr>
                    <m:sty m:val="p"/>
                  </m:rPr>
                  <w:rPr>
                    <w:rFonts w:ascii="Cambria Math" w:hAnsi="Cambria Math"/>
                  </w:rPr>
                  <m:t>'</m:t>
                </m:r>
              </m:sup>
            </m:sSup>
          </m:e>
        </m:rad>
      </m:oMath>
      <w:r w:rsidRPr="00BC31E0">
        <w:rPr>
          <w:rFonts w:hint="eastAsia"/>
          <w:position w:val="-12"/>
        </w:rPr>
        <w:t xml:space="preserve">　</w:t>
      </w:r>
      <w:r w:rsidRPr="00BC31E0">
        <w:rPr>
          <w:rFonts w:hAnsi="ＭＳ 明朝" w:hint="eastAsia"/>
        </w:rPr>
        <w:t xml:space="preserve">又は　</w:t>
      </w:r>
      <m:oMath>
        <m:sSup>
          <m:sSupPr>
            <m:ctrlPr>
              <w:rPr>
                <w:rFonts w:ascii="Cambria Math" w:hAnsi="Cambria Math"/>
              </w:rPr>
            </m:ctrlPr>
          </m:sSupPr>
          <m:e>
            <m:r>
              <w:rPr>
                <w:rFonts w:ascii="Cambria Math" w:hAnsi="Cambria Math"/>
              </w:rPr>
              <m:t>L</m:t>
            </m:r>
          </m:e>
          <m:sup>
            <m:r>
              <m:rPr>
                <m:sty m:val="p"/>
              </m:rPr>
              <w:rPr>
                <w:rFonts w:ascii="Cambria Math" w:hAnsi="Cambria Math"/>
              </w:rPr>
              <m:t>'</m:t>
            </m:r>
          </m:sup>
        </m:sSup>
        <m:r>
          <m:rPr>
            <m:sty m:val="p"/>
          </m:rPr>
          <w:rPr>
            <w:rFonts w:ascii="Cambria Math" w:hAnsi="Cambria Math"/>
          </w:rPr>
          <m:t xml:space="preserve">+2.5 </m:t>
        </m:r>
        <m:sSub>
          <m:sSubPr>
            <m:ctrlPr>
              <w:rPr>
                <w:rFonts w:ascii="Cambria Math" w:hAnsi="Cambria Math"/>
              </w:rPr>
            </m:ctrlPr>
          </m:sSubPr>
          <m:e>
            <m:r>
              <w:rPr>
                <w:rFonts w:ascii="Cambria Math" w:hAnsi="Cambria Math"/>
              </w:rPr>
              <m:t>t</m:t>
            </m:r>
          </m:e>
          <m:sub>
            <m:r>
              <w:rPr>
                <w:rFonts w:ascii="Cambria Math" w:hAnsi="Cambria Math"/>
              </w:rPr>
              <m:t>p</m:t>
            </m:r>
          </m:sub>
        </m:sSub>
        <m:r>
          <m:rPr>
            <m:sty m:val="p"/>
          </m:rPr>
          <w:rPr>
            <w:rFonts w:ascii="Cambria Math" w:hAnsi="Cambria Math" w:hint="eastAsia"/>
          </w:rPr>
          <m:t>≦</m:t>
        </m:r>
        <m:r>
          <m:rPr>
            <m:sty m:val="p"/>
          </m:rPr>
          <w:rPr>
            <w:rFonts w:ascii="Cambria Math" w:hAnsi="Cambria Math"/>
          </w:rPr>
          <m:t xml:space="preserve"> </m:t>
        </m:r>
        <m:r>
          <w:rPr>
            <w:rFonts w:ascii="Cambria Math" w:hAnsi="Cambria Math"/>
          </w:rPr>
          <m:t>t</m:t>
        </m:r>
      </m:oMath>
    </w:p>
    <w:p w14:paraId="40869CB5" w14:textId="77777777" w:rsidR="00AB1F3F" w:rsidRPr="00BC31E0" w:rsidRDefault="00AB1F3F" w:rsidP="00736130">
      <w:pPr>
        <w:pStyle w:val="a4"/>
        <w:numPr>
          <w:ilvl w:val="0"/>
          <w:numId w:val="233"/>
        </w:numPr>
        <w:spacing w:before="120" w:after="120"/>
        <w:ind w:leftChars="0" w:left="738" w:hanging="454"/>
      </w:pPr>
      <m:oMath>
        <m:r>
          <w:rPr>
            <w:rFonts w:ascii="Cambria Math" w:hAnsi="Cambria Math"/>
          </w:rPr>
          <m:t>θ</m:t>
        </m:r>
        <m:r>
          <m:rPr>
            <m:sty m:val="p"/>
          </m:rPr>
          <w:rPr>
            <w:rFonts w:ascii="Cambria Math" w:hAnsi="Cambria Math"/>
          </w:rPr>
          <m:t>&lt;</m:t>
        </m:r>
        <m:r>
          <w:rPr>
            <w:rFonts w:ascii="Cambria Math" w:hAnsi="Cambria Math"/>
          </w:rPr>
          <m:t xml:space="preserve">30° </m:t>
        </m:r>
      </m:oMath>
      <w:r w:rsidRPr="00BC31E0">
        <w:rPr>
          <w:rFonts w:hint="eastAsia"/>
        </w:rPr>
        <w:t>の場合，次のいずれか大きい方の値とする。</w:t>
      </w:r>
    </w:p>
    <w:p w14:paraId="0736B050" w14:textId="77777777" w:rsidR="00AB1F3F" w:rsidRPr="00BC31E0" w:rsidRDefault="00AB1F3F" w:rsidP="008E5A56">
      <w:pPr>
        <w:jc w:val="center"/>
      </w:pPr>
      <m:oMath>
        <m:r>
          <m:rPr>
            <m:sty m:val="p"/>
          </m:rPr>
          <w:rPr>
            <w:rFonts w:ascii="Cambria Math" w:hAnsi="Cambria Math" w:hint="eastAsia"/>
          </w:rPr>
          <m:t>0.5</m:t>
        </m:r>
        <m:r>
          <m:rPr>
            <m:sty m:val="p"/>
          </m:rPr>
          <w:rPr>
            <w:rFonts w:ascii="Cambria Math" w:hAnsi="Cambria Math"/>
          </w:rPr>
          <m:t xml:space="preserve"> </m:t>
        </m:r>
        <m:rad>
          <m:radPr>
            <m:degHide m:val="1"/>
            <m:ctrlPr>
              <w:rPr>
                <w:rFonts w:ascii="Cambria Math" w:hAnsi="Cambria Math"/>
              </w:rPr>
            </m:ctrlPr>
          </m:radPr>
          <m:deg/>
          <m:e>
            <m:sSub>
              <m:sSubPr>
                <m:ctrlPr>
                  <w:rPr>
                    <w:rFonts w:ascii="Cambria Math" w:hAnsi="Cambria Math"/>
                  </w:rPr>
                </m:ctrlPr>
              </m:sSubPr>
              <m:e>
                <m:r>
                  <w:rPr>
                    <w:rFonts w:ascii="Cambria Math" w:hAnsi="Cambria Math"/>
                  </w:rPr>
                  <m:t>r</m:t>
                </m:r>
              </m:e>
              <m:sub>
                <m:r>
                  <w:rPr>
                    <w:rFonts w:ascii="Cambria Math" w:hAnsi="Cambria Math"/>
                  </w:rPr>
                  <m:t>m</m:t>
                </m:r>
              </m:sub>
            </m:sSub>
            <m:r>
              <m:rPr>
                <m:sty m:val="p"/>
              </m:rPr>
              <w:rPr>
                <w:rFonts w:ascii="Cambria Math" w:hAnsi="Cambria Math"/>
              </w:rPr>
              <m:t xml:space="preserve"> </m:t>
            </m:r>
            <m:sSup>
              <m:sSupPr>
                <m:ctrlPr>
                  <w:rPr>
                    <w:rFonts w:ascii="Cambria Math" w:hAnsi="Cambria Math"/>
                  </w:rPr>
                </m:ctrlPr>
              </m:sSupPr>
              <m:e>
                <m:sSub>
                  <m:sSubPr>
                    <m:ctrlPr>
                      <w:rPr>
                        <w:rFonts w:ascii="Cambria Math" w:hAnsi="Cambria Math"/>
                      </w:rPr>
                    </m:ctrlPr>
                  </m:sSubPr>
                  <m:e>
                    <m:r>
                      <w:rPr>
                        <w:rFonts w:ascii="Cambria Math" w:hAnsi="Cambria Math"/>
                      </w:rPr>
                      <m:t>t</m:t>
                    </m:r>
                  </m:e>
                  <m:sub>
                    <m:r>
                      <w:rPr>
                        <w:rFonts w:ascii="Cambria Math" w:hAnsi="Cambria Math"/>
                      </w:rPr>
                      <m:t>n</m:t>
                    </m:r>
                  </m:sub>
                </m:sSub>
              </m:e>
              <m:sup>
                <m:r>
                  <m:rPr>
                    <m:sty m:val="p"/>
                  </m:rPr>
                  <w:rPr>
                    <w:rFonts w:ascii="Cambria Math" w:hAnsi="Cambria Math"/>
                  </w:rPr>
                  <m:t>'</m:t>
                </m:r>
              </m:sup>
            </m:sSup>
          </m:e>
        </m:rad>
      </m:oMath>
      <w:r w:rsidRPr="00BC31E0">
        <w:rPr>
          <w:rFonts w:hint="eastAsia"/>
          <w:position w:val="-12"/>
        </w:rPr>
        <w:t xml:space="preserve">　</w:t>
      </w:r>
      <w:r w:rsidRPr="00BC31E0">
        <w:rPr>
          <w:rFonts w:hAnsi="ＭＳ 明朝" w:hint="eastAsia"/>
        </w:rPr>
        <w:t xml:space="preserve">又は　</w:t>
      </w:r>
      <m:oMath>
        <m:r>
          <m:rPr>
            <m:sty m:val="p"/>
          </m:rPr>
          <w:rPr>
            <w:rFonts w:ascii="Cambria Math" w:hAnsi="Cambria Math"/>
          </w:rPr>
          <m:t xml:space="preserve">1.73 </m:t>
        </m:r>
        <m:r>
          <w:rPr>
            <w:rFonts w:ascii="Cambria Math" w:hAnsi="Cambria Math"/>
          </w:rPr>
          <m:t>x</m:t>
        </m:r>
        <m:r>
          <m:rPr>
            <m:sty m:val="p"/>
          </m:rPr>
          <w:rPr>
            <w:rFonts w:ascii="Cambria Math" w:hAnsi="Cambria Math"/>
          </w:rPr>
          <m:t>+2.5</m:t>
        </m:r>
        <m:sSub>
          <m:sSubPr>
            <m:ctrlPr>
              <w:rPr>
                <w:rFonts w:ascii="Cambria Math" w:hAnsi="Cambria Math"/>
              </w:rPr>
            </m:ctrlPr>
          </m:sSubPr>
          <m:e>
            <m:r>
              <m:rPr>
                <m:sty m:val="p"/>
              </m:rPr>
              <w:rPr>
                <w:rFonts w:ascii="Cambria Math" w:hAnsi="Cambria Math"/>
              </w:rPr>
              <m:t xml:space="preserve"> </m:t>
            </m:r>
            <m:r>
              <w:rPr>
                <w:rFonts w:ascii="Cambria Math" w:hAnsi="Cambria Math"/>
              </w:rPr>
              <m:t>t</m:t>
            </m:r>
          </m:e>
          <m:sub>
            <m:r>
              <w:rPr>
                <w:rFonts w:ascii="Cambria Math" w:hAnsi="Cambria Math"/>
              </w:rPr>
              <m:t>p</m:t>
            </m:r>
          </m:sub>
        </m:sSub>
        <m:r>
          <m:rPr>
            <m:sty m:val="p"/>
          </m:rPr>
          <w:rPr>
            <w:rFonts w:ascii="Cambria Math" w:hAnsi="Cambria Math" w:hint="eastAsia"/>
          </w:rPr>
          <m:t>≦</m:t>
        </m:r>
        <m:r>
          <m:rPr>
            <m:sty m:val="p"/>
          </m:rPr>
          <w:rPr>
            <w:rFonts w:ascii="Cambria Math" w:hAnsi="Cambria Math"/>
          </w:rPr>
          <m:t xml:space="preserve">2.5 </m:t>
        </m:r>
        <m:r>
          <w:rPr>
            <w:rFonts w:ascii="Cambria Math" w:hAnsi="Cambria Math"/>
          </w:rPr>
          <m:t>t</m:t>
        </m:r>
      </m:oMath>
    </w:p>
    <w:p w14:paraId="58169765" w14:textId="77777777" w:rsidR="00AB1F3F" w:rsidRPr="00BC31E0" w:rsidRDefault="00AB1F3F" w:rsidP="004A58EF">
      <w:pPr>
        <w:ind w:left="454" w:firstLineChars="100" w:firstLine="210"/>
      </w:pPr>
      <w:r w:rsidRPr="00BC31E0">
        <w:rPr>
          <w:rFonts w:hint="eastAsia"/>
        </w:rPr>
        <w:t>ここで，</w:t>
      </w:r>
    </w:p>
    <w:p w14:paraId="75BAEF94" w14:textId="77777777" w:rsidR="00AB1F3F" w:rsidRPr="00BC31E0" w:rsidRDefault="00A51873" w:rsidP="008E5A56">
      <w:pPr>
        <w:ind w:leftChars="600" w:left="1260"/>
      </w:pPr>
      <m:oMath>
        <m:sSup>
          <m:sSupPr>
            <m:ctrlPr>
              <w:rPr>
                <w:rFonts w:ascii="Cambria Math" w:hAnsi="Cambria Math"/>
              </w:rPr>
            </m:ctrlPr>
          </m:sSupPr>
          <m:e>
            <m:sSub>
              <m:sSubPr>
                <m:ctrlPr>
                  <w:rPr>
                    <w:rFonts w:ascii="Cambria Math" w:hAnsi="Cambria Math"/>
                  </w:rPr>
                </m:ctrlPr>
              </m:sSubPr>
              <m:e>
                <m:r>
                  <w:rPr>
                    <w:rFonts w:ascii="Cambria Math" w:hAnsi="Cambria Math"/>
                  </w:rPr>
                  <m:t>t</m:t>
                </m:r>
              </m:e>
              <m:sub>
                <m:r>
                  <w:rPr>
                    <w:rFonts w:ascii="Cambria Math" w:hAnsi="Cambria Math"/>
                  </w:rPr>
                  <m:t>n</m:t>
                </m:r>
              </m:sub>
            </m:sSub>
          </m:e>
          <m:sup>
            <m:r>
              <m:rPr>
                <m:sty m:val="p"/>
              </m:rPr>
              <w:rPr>
                <w:rFonts w:ascii="Cambria Math" w:hAnsi="Cambria Math"/>
              </w:rPr>
              <m:t>'</m:t>
            </m:r>
          </m:sup>
        </m:sSup>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p</m:t>
            </m:r>
          </m:sub>
        </m:sSub>
        <m:r>
          <m:rPr>
            <m:sty m:val="p"/>
          </m:rPr>
          <w:rPr>
            <w:rFonts w:ascii="Cambria Math" w:hAnsi="Cambria Math"/>
          </w:rPr>
          <m:t xml:space="preserve">+0.667 </m:t>
        </m:r>
        <m:r>
          <w:rPr>
            <w:rFonts w:ascii="Cambria Math" w:hAnsi="Cambria Math"/>
          </w:rPr>
          <m:t>x</m:t>
        </m:r>
      </m:oMath>
      <w:r w:rsidR="00AB1F3F" w:rsidRPr="00BC31E0">
        <w:t xml:space="preserve"> </w:t>
      </w:r>
    </w:p>
    <w:p w14:paraId="1F860491" w14:textId="77777777" w:rsidR="00AB1F3F" w:rsidRPr="00BC31E0" w:rsidRDefault="00A51873" w:rsidP="008E5A56">
      <w:pPr>
        <w:ind w:leftChars="600" w:left="1260"/>
      </w:pPr>
      <m:oMath>
        <m:sSub>
          <m:sSubPr>
            <m:ctrlPr>
              <w:rPr>
                <w:rFonts w:ascii="Cambria Math" w:hAnsi="Cambria Math"/>
              </w:rPr>
            </m:ctrlPr>
          </m:sSubPr>
          <m:e>
            <m:r>
              <w:rPr>
                <w:rFonts w:ascii="Cambria Math" w:hAnsi="Cambria Math"/>
              </w:rPr>
              <m:t>r</m:t>
            </m:r>
          </m:e>
          <m:sub>
            <m:r>
              <w:rPr>
                <w:rFonts w:ascii="Cambria Math" w:hAnsi="Cambria Math"/>
              </w:rPr>
              <m:t>m</m:t>
            </m:r>
          </m:sub>
        </m:sSub>
        <m:r>
          <m:rPr>
            <m:sty m:val="p"/>
          </m:rPr>
          <w:rPr>
            <w:rFonts w:ascii="Cambria Math" w:hAnsi="Cambria Math"/>
          </w:rPr>
          <m:t>=</m:t>
        </m:r>
        <m:r>
          <w:rPr>
            <w:rFonts w:ascii="Cambria Math" w:hAnsi="Cambria Math"/>
          </w:rPr>
          <m:t>r</m:t>
        </m:r>
        <m:r>
          <m:rPr>
            <m:sty m:val="p"/>
          </m:rPr>
          <w:rPr>
            <w:rFonts w:ascii="Cambria Math" w:hAnsi="Cambria Math"/>
          </w:rPr>
          <m:t xml:space="preserve">+0.5 </m:t>
        </m:r>
        <m:sSup>
          <m:sSupPr>
            <m:ctrlPr>
              <w:rPr>
                <w:rFonts w:ascii="Cambria Math" w:hAnsi="Cambria Math"/>
              </w:rPr>
            </m:ctrlPr>
          </m:sSupPr>
          <m:e>
            <m:sSub>
              <m:sSubPr>
                <m:ctrlPr>
                  <w:rPr>
                    <w:rFonts w:ascii="Cambria Math" w:hAnsi="Cambria Math"/>
                  </w:rPr>
                </m:ctrlPr>
              </m:sSubPr>
              <m:e>
                <m:r>
                  <w:rPr>
                    <w:rFonts w:ascii="Cambria Math" w:hAnsi="Cambria Math"/>
                  </w:rPr>
                  <m:t>t</m:t>
                </m:r>
              </m:e>
              <m:sub>
                <m:r>
                  <w:rPr>
                    <w:rFonts w:ascii="Cambria Math" w:hAnsi="Cambria Math"/>
                  </w:rPr>
                  <m:t>n</m:t>
                </m:r>
              </m:sub>
            </m:sSub>
          </m:e>
          <m:sup>
            <m:r>
              <m:rPr>
                <m:sty m:val="p"/>
              </m:rPr>
              <w:rPr>
                <w:rFonts w:ascii="Cambria Math" w:hAnsi="Cambria Math"/>
              </w:rPr>
              <m:t>'</m:t>
            </m:r>
          </m:sup>
        </m:sSup>
      </m:oMath>
      <w:r w:rsidR="00AB1F3F" w:rsidRPr="00BC31E0">
        <w:t xml:space="preserve"> </w:t>
      </w:r>
    </w:p>
    <w:p w14:paraId="7369F5A1" w14:textId="77777777" w:rsidR="00AB1F3F" w:rsidRPr="00BC31E0" w:rsidRDefault="00AB1F3F" w:rsidP="008E5A56">
      <w:pPr>
        <w:ind w:leftChars="600" w:left="1260"/>
      </w:pPr>
      <w:r w:rsidRPr="00BC31E0">
        <w:rPr>
          <w:rFonts w:hint="eastAsia"/>
        </w:rPr>
        <w:t>その他は，</w:t>
      </w:r>
      <w:r w:rsidRPr="00BC31E0">
        <w:rPr>
          <w:rFonts w:asciiTheme="majorEastAsia" w:eastAsiaTheme="majorEastAsia" w:hAnsiTheme="majorEastAsia" w:hint="eastAsia"/>
          <w:b/>
        </w:rPr>
        <w:t>図</w:t>
      </w:r>
      <w:r w:rsidRPr="00BC31E0">
        <w:rPr>
          <w:rFonts w:asciiTheme="majorEastAsia" w:eastAsiaTheme="majorEastAsia" w:hAnsiTheme="majorEastAsia"/>
          <w:b/>
        </w:rPr>
        <w:t>E.2</w:t>
      </w:r>
      <w:r w:rsidRPr="00BC31E0">
        <w:rPr>
          <w:rFonts w:asciiTheme="majorEastAsia" w:eastAsiaTheme="majorEastAsia" w:hAnsiTheme="majorEastAsia" w:hint="eastAsia"/>
          <w:b/>
        </w:rPr>
        <w:t xml:space="preserve"> </w:t>
      </w:r>
      <w:r w:rsidRPr="00BC31E0">
        <w:rPr>
          <w:rFonts w:asciiTheme="majorEastAsia" w:eastAsiaTheme="majorEastAsia" w:hAnsiTheme="majorEastAsia"/>
          <w:b/>
        </w:rPr>
        <w:t>c)</w:t>
      </w:r>
      <w:r w:rsidRPr="00BC31E0">
        <w:rPr>
          <w:rFonts w:hint="eastAsia"/>
        </w:rPr>
        <w:t>を参照</w:t>
      </w:r>
    </w:p>
    <w:p w14:paraId="43012237" w14:textId="77777777" w:rsidR="00AB1F3F" w:rsidRPr="00BC31E0" w:rsidRDefault="00AB1F3F" w:rsidP="00736130">
      <w:pPr>
        <w:pStyle w:val="a4"/>
        <w:numPr>
          <w:ilvl w:val="0"/>
          <w:numId w:val="612"/>
        </w:numPr>
        <w:spacing w:before="120" w:after="120"/>
        <w:ind w:leftChars="0" w:left="454" w:hanging="454"/>
      </w:pPr>
      <w:r w:rsidRPr="00BC31E0">
        <w:rPr>
          <w:rFonts w:asciiTheme="majorEastAsia" w:eastAsiaTheme="majorEastAsia" w:hAnsiTheme="majorEastAsia" w:hint="eastAsia"/>
          <w:b/>
        </w:rPr>
        <w:t>図</w:t>
      </w:r>
      <w:r w:rsidRPr="00BC31E0">
        <w:rPr>
          <w:rFonts w:asciiTheme="majorEastAsia" w:eastAsiaTheme="majorEastAsia" w:hAnsiTheme="majorEastAsia"/>
          <w:b/>
        </w:rPr>
        <w:t>E.2 d)</w:t>
      </w:r>
      <w:r w:rsidRPr="00BC31E0">
        <w:rPr>
          <w:rFonts w:hint="eastAsia"/>
        </w:rPr>
        <w:t>に対しては，次のいずれか大きい方の値とする。</w:t>
      </w:r>
    </w:p>
    <w:p w14:paraId="1D8A7438" w14:textId="77777777" w:rsidR="00AB1F3F" w:rsidRPr="00BC31E0" w:rsidRDefault="00AB1F3F" w:rsidP="008E5A56">
      <w:pPr>
        <w:jc w:val="center"/>
      </w:pPr>
      <m:oMath>
        <m:r>
          <m:rPr>
            <m:sty m:val="p"/>
          </m:rPr>
          <w:rPr>
            <w:rFonts w:ascii="Cambria Math" w:hAnsi="Cambria Math"/>
          </w:rPr>
          <m:t xml:space="preserve">0.5 </m:t>
        </m:r>
        <m:rad>
          <m:radPr>
            <m:degHide m:val="1"/>
            <m:ctrlPr>
              <w:rPr>
                <w:rFonts w:ascii="Cambria Math" w:hAnsi="Cambria Math"/>
              </w:rPr>
            </m:ctrlPr>
          </m:radPr>
          <m:deg/>
          <m:e>
            <m:sSub>
              <m:sSubPr>
                <m:ctrlPr>
                  <w:rPr>
                    <w:rFonts w:ascii="Cambria Math" w:hAnsi="Cambria Math"/>
                  </w:rPr>
                </m:ctrlPr>
              </m:sSubPr>
              <m:e>
                <m:r>
                  <w:rPr>
                    <w:rFonts w:ascii="Cambria Math" w:hAnsi="Cambria Math"/>
                  </w:rPr>
                  <m:t>r</m:t>
                </m:r>
              </m:e>
              <m:sub>
                <m:r>
                  <w:rPr>
                    <w:rFonts w:ascii="Cambria Math" w:hAnsi="Cambria Math"/>
                  </w:rPr>
                  <m:t>m</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e>
        </m:rad>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e</m:t>
            </m:r>
          </m:sub>
        </m:sSub>
      </m:oMath>
      <w:r w:rsidRPr="00BC31E0">
        <w:rPr>
          <w:rFonts w:hint="eastAsia"/>
          <w:position w:val="-12"/>
        </w:rPr>
        <w:t xml:space="preserve">　</w:t>
      </w:r>
      <w:r w:rsidRPr="00BC31E0">
        <w:rPr>
          <w:rFonts w:hint="eastAsia"/>
        </w:rPr>
        <w:t xml:space="preserve">又は　</w:t>
      </w:r>
      <m:oMath>
        <m:r>
          <m:rPr>
            <m:sty m:val="p"/>
          </m:rPr>
          <w:rPr>
            <w:rFonts w:ascii="Cambria Math" w:hAnsi="Cambria Math"/>
          </w:rPr>
          <m:t xml:space="preserve">2.5 </m:t>
        </m:r>
        <m:sSub>
          <m:sSubPr>
            <m:ctrlPr>
              <w:rPr>
                <w:rFonts w:ascii="Cambria Math" w:hAnsi="Cambria Math"/>
              </w:rPr>
            </m:ctrlPr>
          </m:sSubPr>
          <m:e>
            <m:r>
              <w:rPr>
                <w:rFonts w:ascii="Cambria Math" w:hAnsi="Cambria Math"/>
              </w:rPr>
              <m:t>t</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e</m:t>
            </m:r>
          </m:sub>
        </m:sSub>
        <m:r>
          <m:rPr>
            <m:sty m:val="p"/>
          </m:rPr>
          <w:rPr>
            <w:rFonts w:ascii="Cambria Math" w:hAnsi="Cambria Math" w:hint="eastAsia"/>
          </w:rPr>
          <m:t>≦</m:t>
        </m:r>
        <m:r>
          <m:rPr>
            <m:sty m:val="p"/>
          </m:rPr>
          <w:rPr>
            <w:rFonts w:ascii="Cambria Math" w:hAnsi="Cambria Math"/>
          </w:rPr>
          <m:t xml:space="preserve">2.5 </m:t>
        </m:r>
        <m:r>
          <w:rPr>
            <w:rFonts w:ascii="Cambria Math" w:hAnsi="Cambria Math"/>
          </w:rPr>
          <m:t>t</m:t>
        </m:r>
      </m:oMath>
    </w:p>
    <w:p w14:paraId="639952D2" w14:textId="77777777" w:rsidR="00AB1F3F" w:rsidRPr="00BC31E0" w:rsidRDefault="00AB1F3F" w:rsidP="008E5A56">
      <w:pPr>
        <w:spacing w:before="120"/>
        <w:ind w:left="454"/>
      </w:pPr>
      <w:r w:rsidRPr="00BC31E0">
        <w:rPr>
          <w:rFonts w:hint="eastAsia"/>
        </w:rPr>
        <w:t>ただし，</w:t>
      </w:r>
      <m:oMath>
        <m:sSub>
          <m:sSubPr>
            <m:ctrlPr>
              <w:rPr>
                <w:rFonts w:ascii="Cambria Math" w:hAnsi="Cambria Math"/>
              </w:rPr>
            </m:ctrlPr>
          </m:sSubPr>
          <m:e>
            <m:r>
              <w:rPr>
                <w:rFonts w:ascii="Cambria Math" w:hAnsi="Cambria Math"/>
              </w:rPr>
              <m:t>t</m:t>
            </m:r>
          </m:e>
          <m:sub>
            <m:r>
              <w:rPr>
                <w:rFonts w:ascii="Cambria Math" w:hAnsi="Cambria Math"/>
              </w:rPr>
              <m:t>e</m:t>
            </m:r>
          </m:sub>
        </m:sSub>
        <m:r>
          <m:rPr>
            <m:sty m:val="p"/>
          </m:rPr>
          <w:rPr>
            <w:rFonts w:ascii="Cambria Math" w:hAnsi="Cambria Math"/>
          </w:rPr>
          <m:t xml:space="preserve"> </m:t>
        </m:r>
      </m:oMath>
      <w:r w:rsidRPr="00BC31E0">
        <w:rPr>
          <w:rFonts w:hint="eastAsia"/>
        </w:rPr>
        <w:t>は，</w:t>
      </w:r>
      <m:oMath>
        <m:r>
          <w:rPr>
            <w:rFonts w:ascii="Cambria Math" w:hAnsi="Cambria Math"/>
          </w:rPr>
          <m:t xml:space="preserve">1.5 t </m:t>
        </m:r>
      </m:oMath>
      <w:r w:rsidRPr="00BC31E0">
        <w:rPr>
          <w:rFonts w:hint="eastAsia"/>
        </w:rPr>
        <w:t>又は</w:t>
      </w:r>
      <m:oMath>
        <m:r>
          <m:rPr>
            <m:sty m:val="p"/>
          </m:rPr>
          <w:rPr>
            <w:rFonts w:ascii="Cambria Math" w:hAnsi="Cambria Math"/>
          </w:rPr>
          <m:t xml:space="preserve"> </m:t>
        </m:r>
        <m:r>
          <w:rPr>
            <w:rFonts w:ascii="Cambria Math" w:hAnsi="Cambria Math"/>
          </w:rPr>
          <m:t xml:space="preserve">1.73 W </m:t>
        </m:r>
      </m:oMath>
      <w:r w:rsidRPr="00BC31E0">
        <w:rPr>
          <w:rFonts w:hint="eastAsia"/>
        </w:rPr>
        <w:t>を超えてはならない。ここで，</w:t>
      </w:r>
      <m:oMath>
        <m:r>
          <w:rPr>
            <w:rFonts w:ascii="Cambria Math" w:hAnsi="Cambria Math"/>
          </w:rPr>
          <m:t xml:space="preserve">W </m:t>
        </m:r>
      </m:oMath>
      <w:r w:rsidRPr="00BC31E0">
        <w:rPr>
          <w:rFonts w:hint="eastAsia"/>
        </w:rPr>
        <w:t>は付加された強め材の幅である。</w:t>
      </w:r>
    </w:p>
    <w:p w14:paraId="0C0B3143" w14:textId="77777777" w:rsidR="00AB1F3F" w:rsidRPr="00BC31E0" w:rsidRDefault="00AB1F3F" w:rsidP="008E5A56">
      <w:pPr>
        <w:autoSpaceDE w:val="0"/>
        <w:autoSpaceDN w:val="0"/>
      </w:pPr>
    </w:p>
    <w:p w14:paraId="246D8B31" w14:textId="77777777" w:rsidR="00AB1F3F" w:rsidRPr="00BC31E0" w:rsidRDefault="00AB1F3F" w:rsidP="00736130">
      <w:pPr>
        <w:pStyle w:val="1f9"/>
        <w:numPr>
          <w:ilvl w:val="0"/>
          <w:numId w:val="223"/>
        </w:numPr>
        <w:tabs>
          <w:tab w:val="clear" w:pos="284"/>
        </w:tabs>
        <w:adjustRightInd/>
        <w:snapToGrid/>
        <w:spacing w:line="240" w:lineRule="auto"/>
        <w:ind w:left="340" w:hanging="340"/>
        <w:jc w:val="both"/>
      </w:pPr>
      <w:r w:rsidRPr="00BC31E0">
        <w:rPr>
          <w:rFonts w:hint="eastAsia"/>
        </w:rPr>
        <w:t>補強強め材として算入できる部分の面積</w:t>
      </w:r>
    </w:p>
    <w:p w14:paraId="1981A4F4" w14:textId="77777777" w:rsidR="00AB1F3F" w:rsidRPr="00BC31E0" w:rsidRDefault="00AB1F3F" w:rsidP="008E5A56">
      <w:pPr>
        <w:pStyle w:val="15"/>
        <w:ind w:firstLine="210"/>
      </w:pPr>
      <w:r w:rsidRPr="00BC31E0">
        <w:rPr>
          <w:rFonts w:hint="eastAsia"/>
        </w:rPr>
        <w:lastRenderedPageBreak/>
        <w:t>補強強め材として算入できる部分の面積は，次の</w:t>
      </w:r>
      <w:r w:rsidRPr="00BC31E0">
        <w:rPr>
          <w:rFonts w:ascii="ＭＳ ゴシック" w:hAnsi="ＭＳ ゴシック" w:hint="eastAsia"/>
          <w:b/>
        </w:rPr>
        <w:t>a)</w:t>
      </w:r>
      <w:r w:rsidRPr="00BC31E0">
        <w:rPr>
          <w:rFonts w:hint="eastAsia"/>
        </w:rPr>
        <w:t>～</w:t>
      </w:r>
      <w:r w:rsidRPr="00BC31E0">
        <w:rPr>
          <w:rFonts w:ascii="ＭＳ ゴシック" w:hAnsi="ＭＳ ゴシック" w:hint="eastAsia"/>
          <w:b/>
        </w:rPr>
        <w:t>e)</w:t>
      </w:r>
      <w:r w:rsidRPr="00BC31E0">
        <w:rPr>
          <w:rFonts w:hint="eastAsia"/>
        </w:rPr>
        <w:t>による。</w:t>
      </w:r>
    </w:p>
    <w:p w14:paraId="1DA1E96D" w14:textId="77777777" w:rsidR="0090564D" w:rsidRPr="00BC31E0" w:rsidRDefault="00AB1F3F" w:rsidP="00736130">
      <w:pPr>
        <w:pStyle w:val="a4"/>
        <w:numPr>
          <w:ilvl w:val="0"/>
          <w:numId w:val="628"/>
        </w:numPr>
        <w:ind w:leftChars="0" w:left="454" w:hanging="454"/>
      </w:pPr>
      <w:r w:rsidRPr="00BC31E0">
        <w:rPr>
          <w:rFonts w:hint="eastAsia"/>
        </w:rPr>
        <w:t>厚さから本体の</w:t>
      </w:r>
      <w:r w:rsidRPr="00BC31E0">
        <w:rPr>
          <w:rFonts w:asciiTheme="majorEastAsia" w:eastAsiaTheme="majorEastAsia" w:hAnsiTheme="majorEastAsia"/>
          <w:b/>
        </w:rPr>
        <w:t>6.2</w:t>
      </w:r>
      <w:r w:rsidRPr="00BC31E0">
        <w:rPr>
          <w:rFonts w:hint="eastAsia"/>
        </w:rPr>
        <w:t>に示す静的設計規定を満足する最小厚さを差し引いた腐れ代を除く部分</w:t>
      </w:r>
    </w:p>
    <w:p w14:paraId="6784CAB2" w14:textId="77777777" w:rsidR="0090564D" w:rsidRPr="00BC31E0" w:rsidRDefault="00AB1F3F" w:rsidP="00736130">
      <w:pPr>
        <w:pStyle w:val="a4"/>
        <w:numPr>
          <w:ilvl w:val="0"/>
          <w:numId w:val="628"/>
        </w:numPr>
        <w:ind w:leftChars="0" w:left="454" w:hanging="454"/>
      </w:pPr>
      <w:r w:rsidRPr="00BC31E0">
        <w:rPr>
          <w:rFonts w:hint="eastAsia"/>
        </w:rPr>
        <w:t>ノズルネックの厚さから最小厚さを差し引いた腐れ代を除く部分，ただし，ノズルが容器と一体形又は完全とけ込み溶接で取り付けられた場合に限る。</w:t>
      </w:r>
    </w:p>
    <w:p w14:paraId="6C60EF2B" w14:textId="77777777" w:rsidR="0090564D" w:rsidRPr="00BC31E0" w:rsidRDefault="00AB1F3F" w:rsidP="00736130">
      <w:pPr>
        <w:pStyle w:val="a4"/>
        <w:numPr>
          <w:ilvl w:val="0"/>
          <w:numId w:val="628"/>
        </w:numPr>
        <w:ind w:leftChars="0" w:left="454" w:hanging="454"/>
      </w:pPr>
      <w:r w:rsidRPr="00BC31E0">
        <w:rPr>
          <w:rFonts w:hint="eastAsia"/>
        </w:rPr>
        <w:t>容器壁，ノズル又はその両方と完全に連続した金属部分</w:t>
      </w:r>
    </w:p>
    <w:p w14:paraId="5DC44306" w14:textId="77777777" w:rsidR="00AB1F3F" w:rsidRPr="00BC31E0" w:rsidRDefault="00AB1F3F" w:rsidP="00736130">
      <w:pPr>
        <w:pStyle w:val="a4"/>
        <w:numPr>
          <w:ilvl w:val="0"/>
          <w:numId w:val="628"/>
        </w:numPr>
        <w:spacing w:after="120"/>
        <w:ind w:leftChars="0" w:left="454" w:hanging="454"/>
      </w:pPr>
      <w:r w:rsidRPr="00BC31E0">
        <w:rPr>
          <w:rFonts w:hint="eastAsia"/>
        </w:rPr>
        <w:t>上記</w:t>
      </w:r>
      <w:r w:rsidRPr="00BC31E0">
        <w:rPr>
          <w:rFonts w:asciiTheme="majorEastAsia" w:eastAsiaTheme="majorEastAsia" w:hAnsiTheme="majorEastAsia"/>
          <w:b/>
        </w:rPr>
        <w:t>b</w:t>
      </w:r>
      <w:r w:rsidRPr="00BC31E0">
        <w:rPr>
          <w:rFonts w:asciiTheme="majorEastAsia" w:eastAsiaTheme="majorEastAsia" w:hAnsiTheme="majorEastAsia" w:hint="eastAsia"/>
          <w:b/>
        </w:rPr>
        <w:t>）</w:t>
      </w:r>
      <w:r w:rsidRPr="00BC31E0">
        <w:rPr>
          <w:rFonts w:hint="eastAsia"/>
          <w:bCs/>
        </w:rPr>
        <w:t>，</w:t>
      </w:r>
      <w:r w:rsidRPr="00BC31E0">
        <w:rPr>
          <w:rFonts w:asciiTheme="majorEastAsia" w:eastAsiaTheme="majorEastAsia" w:hAnsiTheme="majorEastAsia"/>
          <w:b/>
        </w:rPr>
        <w:t>c)</w:t>
      </w:r>
      <w:r w:rsidRPr="00BC31E0">
        <w:rPr>
          <w:rFonts w:hint="eastAsia"/>
        </w:rPr>
        <w:t>に規定される補強として考える金属は，次の制限を満足しなければならない。</w:t>
      </w:r>
    </w:p>
    <w:tbl>
      <w:tblPr>
        <w:tblStyle w:val="afff2"/>
        <w:tblW w:w="5670" w:type="dxa"/>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1"/>
        <w:gridCol w:w="3379"/>
      </w:tblGrid>
      <w:tr w:rsidR="00AB1F3F" w:rsidRPr="00BC31E0" w14:paraId="3DCF50BF" w14:textId="77777777" w:rsidTr="00BA339F">
        <w:tc>
          <w:tcPr>
            <w:tcW w:w="0" w:type="auto"/>
            <w:tcMar>
              <w:left w:w="0" w:type="dxa"/>
              <w:right w:w="0" w:type="dxa"/>
            </w:tcMar>
            <w:vAlign w:val="center"/>
          </w:tcPr>
          <w:p w14:paraId="4D4C2781" w14:textId="77777777" w:rsidR="00AB1F3F" w:rsidRPr="00BC31E0" w:rsidRDefault="00A51873" w:rsidP="00BA339F">
            <w:pPr>
              <w:tabs>
                <w:tab w:val="left" w:leader="middleDot" w:pos="8505"/>
              </w:tabs>
              <w:jc w:val="left"/>
              <w:rPr>
                <w:rFonts w:asciiTheme="minorHAnsi" w:hAnsiTheme="minorHAnsi"/>
              </w:rPr>
            </w:pPr>
            <m:oMathPara>
              <m:oMathParaPr>
                <m:jc m:val="left"/>
              </m:oMathParaPr>
              <m:oMath>
                <m:d>
                  <m:dPr>
                    <m:begChr m:val="|"/>
                    <m:endChr m:val="|"/>
                    <m:ctrlPr>
                      <w:rPr>
                        <w:rFonts w:ascii="Cambria Math" w:hAnsi="Cambria Math"/>
                      </w:rPr>
                    </m:ctrlPr>
                  </m:dPr>
                  <m:e>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α</m:t>
                            </m:r>
                          </m:e>
                          <m:sub>
                            <m:r>
                              <w:rPr>
                                <w:rFonts w:ascii="Cambria Math" w:hAnsi="Cambria Math"/>
                              </w:rPr>
                              <m:t>r</m:t>
                            </m:r>
                          </m:sub>
                        </m:sSub>
                        <m: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v</m:t>
                            </m:r>
                          </m:sub>
                        </m:sSub>
                      </m:e>
                    </m:d>
                    <m:r>
                      <w:rPr>
                        <w:rFonts w:ascii="Cambria Math" w:hAnsi="Cambria Math"/>
                      </w:rPr>
                      <m:t xml:space="preserve"> ∆T </m:t>
                    </m:r>
                  </m:e>
                </m:d>
                <m:r>
                  <w:rPr>
                    <w:rFonts w:ascii="Cambria Math" w:hAnsi="Cambria Math" w:hint="eastAsia"/>
                  </w:rPr>
                  <m:t>≦</m:t>
                </m:r>
                <m:r>
                  <w:rPr>
                    <w:rFonts w:ascii="Cambria Math" w:hAnsi="Cambria Math"/>
                  </w:rPr>
                  <m:t>0.0008</m:t>
                </m:r>
              </m:oMath>
            </m:oMathPara>
          </w:p>
        </w:tc>
        <w:tc>
          <w:tcPr>
            <w:tcW w:w="3379" w:type="dxa"/>
            <w:tcMar>
              <w:left w:w="0" w:type="dxa"/>
              <w:right w:w="0" w:type="dxa"/>
            </w:tcMar>
            <w:vAlign w:val="center"/>
          </w:tcPr>
          <w:p w14:paraId="7D945008" w14:textId="77777777" w:rsidR="00AB1F3F" w:rsidRPr="00BC31E0" w:rsidRDefault="00AB1F3F" w:rsidP="00BA339F">
            <w:pPr>
              <w:tabs>
                <w:tab w:val="left" w:leader="middleDot" w:pos="2954"/>
              </w:tabs>
              <w:jc w:val="left"/>
              <w:rPr>
                <w:rFonts w:asciiTheme="minorHAnsi" w:hAnsiTheme="minorHAnsi"/>
              </w:rPr>
            </w:pPr>
            <w:r w:rsidRPr="00BC31E0">
              <w:rPr>
                <w:rFonts w:asciiTheme="minorHAnsi" w:hAnsiTheme="minorHAnsi" w:hint="eastAsia"/>
              </w:rPr>
              <w:tab/>
              <w:t>(3)</w:t>
            </w:r>
          </w:p>
        </w:tc>
      </w:tr>
    </w:tbl>
    <w:p w14:paraId="55598361" w14:textId="77777777" w:rsidR="00AB1F3F" w:rsidRPr="00BC31E0" w:rsidRDefault="00AB1F3F" w:rsidP="008C1F29">
      <w:pPr>
        <w:tabs>
          <w:tab w:val="left" w:pos="1308"/>
          <w:tab w:val="left" w:pos="1701"/>
        </w:tabs>
        <w:ind w:left="284" w:firstLineChars="100" w:firstLine="210"/>
      </w:pPr>
      <w:r w:rsidRPr="00BC31E0">
        <w:rPr>
          <w:rFonts w:hint="eastAsia"/>
        </w:rPr>
        <w:t>ここで，</w:t>
      </w:r>
    </w:p>
    <w:p w14:paraId="661211D4" w14:textId="77777777" w:rsidR="00AB1F3F" w:rsidRPr="00BC31E0" w:rsidRDefault="00A51873" w:rsidP="008C1F29">
      <w:pPr>
        <w:tabs>
          <w:tab w:val="left" w:pos="1418"/>
        </w:tabs>
        <w:ind w:leftChars="500" w:left="1050"/>
      </w:pPr>
      <m:oMath>
        <m:sSub>
          <m:sSubPr>
            <m:ctrlPr>
              <w:rPr>
                <w:rFonts w:ascii="Cambria Math" w:hAnsi="Cambria Math"/>
              </w:rPr>
            </m:ctrlPr>
          </m:sSubPr>
          <m:e>
            <m:r>
              <w:rPr>
                <w:rFonts w:ascii="Cambria Math" w:hAnsi="Cambria Math"/>
              </w:rPr>
              <m:t>α</m:t>
            </m:r>
          </m:e>
          <m:sub>
            <m:r>
              <w:rPr>
                <w:rFonts w:ascii="Cambria Math" w:hAnsi="Cambria Math"/>
              </w:rPr>
              <m:t>r</m:t>
            </m:r>
          </m:sub>
        </m:sSub>
      </m:oMath>
      <w:r w:rsidR="00AB1F3F" w:rsidRPr="00BC31E0">
        <w:rPr>
          <w:rFonts w:hint="eastAsia"/>
        </w:rPr>
        <w:tab/>
      </w:r>
      <w:r w:rsidR="00AB1F3F" w:rsidRPr="00BC31E0">
        <w:rPr>
          <w:rFonts w:hint="eastAsia"/>
        </w:rPr>
        <w:t>：</w:t>
      </w:r>
      <w:r w:rsidR="00AB1F3F" w:rsidRPr="00BC31E0">
        <w:rPr>
          <w:rFonts w:hint="eastAsia"/>
        </w:rPr>
        <w:t xml:space="preserve"> </w:t>
      </w:r>
      <w:r w:rsidR="00AB1F3F" w:rsidRPr="00BC31E0">
        <w:rPr>
          <w:rFonts w:hint="eastAsia"/>
        </w:rPr>
        <w:t>補強金属の設計温度での平均線膨張係数</w:t>
      </w:r>
      <w:r w:rsidR="00AB1F3F" w:rsidRPr="00BC31E0">
        <w:rPr>
          <w:rFonts w:hint="eastAsia"/>
        </w:rPr>
        <w:t>(</w:t>
      </w:r>
      <w:r w:rsidR="00AB1F3F" w:rsidRPr="00BC31E0">
        <w:rPr>
          <w:rFonts w:ascii="Cambria Math" w:hAnsi="Cambria Math"/>
        </w:rPr>
        <w:t>mm/mm</w:t>
      </w:r>
      <w:r w:rsidR="007D6884" w:rsidRPr="00BC31E0">
        <w:rPr>
          <w:rFonts w:ascii="Cambria Math" w:hAnsi="Cambria Math" w:hint="eastAsia"/>
        </w:rPr>
        <w:t>℃</w:t>
      </w:r>
      <w:r w:rsidR="00AB1F3F" w:rsidRPr="00BC31E0">
        <w:rPr>
          <w:rFonts w:hint="eastAsia"/>
        </w:rPr>
        <w:t>)</w:t>
      </w:r>
    </w:p>
    <w:p w14:paraId="5E42D9F1" w14:textId="77777777" w:rsidR="00AB1F3F" w:rsidRPr="00BC31E0" w:rsidRDefault="00A51873" w:rsidP="008C1F29">
      <w:pPr>
        <w:tabs>
          <w:tab w:val="left" w:pos="1418"/>
        </w:tabs>
        <w:ind w:leftChars="500" w:left="1050"/>
      </w:pPr>
      <m:oMath>
        <m:sSub>
          <m:sSubPr>
            <m:ctrlPr>
              <w:rPr>
                <w:rFonts w:ascii="Cambria Math" w:hAnsi="Cambria Math"/>
              </w:rPr>
            </m:ctrlPr>
          </m:sSubPr>
          <m:e>
            <m:r>
              <w:rPr>
                <w:rFonts w:ascii="Cambria Math" w:hAnsi="Cambria Math"/>
              </w:rPr>
              <m:t>α</m:t>
            </m:r>
          </m:e>
          <m:sub>
            <m:r>
              <w:rPr>
                <w:rFonts w:ascii="Cambria Math" w:hAnsi="Cambria Math"/>
              </w:rPr>
              <m:t>v</m:t>
            </m:r>
          </m:sub>
        </m:sSub>
      </m:oMath>
      <w:r w:rsidR="00AB1F3F" w:rsidRPr="00BC31E0">
        <w:rPr>
          <w:rFonts w:hint="eastAsia"/>
        </w:rPr>
        <w:tab/>
      </w:r>
      <w:r w:rsidR="00AB1F3F" w:rsidRPr="00BC31E0">
        <w:rPr>
          <w:rFonts w:hint="eastAsia"/>
        </w:rPr>
        <w:t>：</w:t>
      </w:r>
      <w:r w:rsidR="00AB1F3F" w:rsidRPr="00BC31E0">
        <w:rPr>
          <w:rFonts w:hint="eastAsia"/>
        </w:rPr>
        <w:t xml:space="preserve"> </w:t>
      </w:r>
      <w:r w:rsidR="00AB1F3F" w:rsidRPr="00BC31E0">
        <w:rPr>
          <w:rFonts w:hint="eastAsia"/>
        </w:rPr>
        <w:t>容器金属の設計温度での平均線膨張係数</w:t>
      </w:r>
      <w:r w:rsidR="00AB1F3F" w:rsidRPr="00BC31E0">
        <w:rPr>
          <w:rFonts w:hint="eastAsia"/>
        </w:rPr>
        <w:t>(</w:t>
      </w:r>
      <w:r w:rsidR="00AB1F3F" w:rsidRPr="00BC31E0">
        <w:rPr>
          <w:rFonts w:ascii="Cambria Math" w:hAnsi="Cambria Math"/>
        </w:rPr>
        <w:t>mm/mm</w:t>
      </w:r>
      <w:r w:rsidR="007D6884" w:rsidRPr="00BC31E0">
        <w:rPr>
          <w:rFonts w:ascii="Cambria Math" w:hAnsi="Cambria Math" w:hint="eastAsia"/>
        </w:rPr>
        <w:t>℃</w:t>
      </w:r>
      <w:r w:rsidR="00AB1F3F" w:rsidRPr="00BC31E0">
        <w:rPr>
          <w:rFonts w:hint="eastAsia"/>
        </w:rPr>
        <w:t>)</w:t>
      </w:r>
    </w:p>
    <w:p w14:paraId="45AFC9EB" w14:textId="77777777" w:rsidR="00AB1F3F" w:rsidRPr="00BC31E0" w:rsidRDefault="00AB1F3F" w:rsidP="008C1F29">
      <w:pPr>
        <w:tabs>
          <w:tab w:val="left" w:pos="1418"/>
        </w:tabs>
        <w:ind w:leftChars="500" w:left="1680" w:hangingChars="300" w:hanging="630"/>
      </w:pPr>
      <m:oMath>
        <m:r>
          <w:rPr>
            <w:rFonts w:ascii="Cambria Math" w:hAnsi="Cambria Math"/>
          </w:rPr>
          <m:t>∆T</m:t>
        </m:r>
      </m:oMath>
      <w:r w:rsidRPr="00BC31E0">
        <w:rPr>
          <w:rFonts w:hint="eastAsia"/>
        </w:rPr>
        <w:tab/>
      </w:r>
      <w:r w:rsidRPr="00BC31E0">
        <w:rPr>
          <w:rFonts w:hint="eastAsia"/>
        </w:rPr>
        <w:t>：</w:t>
      </w:r>
      <w:r w:rsidRPr="00BC31E0">
        <w:rPr>
          <w:rFonts w:hint="eastAsia"/>
        </w:rPr>
        <w:t xml:space="preserve"> </w:t>
      </w:r>
      <w:r w:rsidRPr="00BC31E0">
        <w:rPr>
          <w:rFonts w:asciiTheme="minorHAnsi" w:hAnsiTheme="minorHAnsi"/>
        </w:rPr>
        <w:t>21</w:t>
      </w:r>
      <w:r w:rsidRPr="00BC31E0">
        <w:rPr>
          <w:rFonts w:asciiTheme="minorEastAsia" w:eastAsiaTheme="minorEastAsia" w:hAnsiTheme="minorEastAsia"/>
        </w:rPr>
        <w:t>℃</w:t>
      </w:r>
      <w:r w:rsidRPr="00BC31E0">
        <w:rPr>
          <w:rFonts w:hint="eastAsia"/>
        </w:rPr>
        <w:t>から運転温度までの温度差，又は最低運転温度と最高運転温度との温度差のいずれか大きい方の値</w:t>
      </w:r>
    </w:p>
    <w:p w14:paraId="03E20E46" w14:textId="77777777" w:rsidR="00AB1F3F" w:rsidRPr="00BC31E0" w:rsidRDefault="00AB1F3F" w:rsidP="001860DE">
      <w:pPr>
        <w:spacing w:before="120"/>
        <w:ind w:left="454" w:firstLineChars="100" w:firstLine="210"/>
      </w:pPr>
      <w:r w:rsidRPr="00BC31E0">
        <w:rPr>
          <w:rFonts w:hint="eastAsia"/>
        </w:rPr>
        <w:t>この制限を超える設計に対しては，ノズルの補強範囲内にある</w:t>
      </w:r>
      <w:r w:rsidR="001860DE" w:rsidRPr="00BC31E0">
        <w:rPr>
          <w:rFonts w:hint="eastAsia"/>
        </w:rPr>
        <w:t>金属</w:t>
      </w:r>
      <w:r w:rsidRPr="00BC31E0">
        <w:rPr>
          <w:rFonts w:hint="eastAsia"/>
        </w:rPr>
        <w:t>であっても</w:t>
      </w:r>
      <w:r w:rsidR="001860DE" w:rsidRPr="00BC31E0">
        <w:rPr>
          <w:rFonts w:hint="eastAsia"/>
        </w:rPr>
        <w:t>，</w:t>
      </w:r>
      <w:r w:rsidRPr="00BC31E0">
        <w:rPr>
          <w:rFonts w:hint="eastAsia"/>
        </w:rPr>
        <w:t>補強として扱ってはいけない。</w:t>
      </w:r>
    </w:p>
    <w:p w14:paraId="124A3500" w14:textId="77777777" w:rsidR="00AB1F3F" w:rsidRPr="00BC31E0" w:rsidRDefault="00AB1F3F" w:rsidP="008C1F29">
      <w:pPr>
        <w:ind w:left="454"/>
      </w:pPr>
      <w:r w:rsidRPr="00BC31E0">
        <w:rPr>
          <w:rFonts w:eastAsia="ＭＳ ゴシック" w:hint="eastAsia"/>
          <w:b/>
          <w:bCs/>
        </w:rPr>
        <w:t xml:space="preserve">注記　</w:t>
      </w:r>
      <w:r w:rsidRPr="00BC31E0">
        <w:rPr>
          <w:rFonts w:ascii="ＭＳ ゴシック" w:eastAsia="ＭＳ ゴシック"/>
          <w:b/>
          <w:bCs/>
        </w:rPr>
        <w:t>d)</w:t>
      </w:r>
      <w:r w:rsidRPr="00BC31E0">
        <w:rPr>
          <w:rFonts w:hint="eastAsia"/>
        </w:rPr>
        <w:t>の制限を超える場合は，疲労解析の結果も満足しないであろう。</w:t>
      </w:r>
    </w:p>
    <w:p w14:paraId="43E002DD" w14:textId="77777777" w:rsidR="00AB1F3F" w:rsidRPr="00BC31E0" w:rsidRDefault="00AB1F3F" w:rsidP="00736130">
      <w:pPr>
        <w:pStyle w:val="a4"/>
        <w:numPr>
          <w:ilvl w:val="0"/>
          <w:numId w:val="629"/>
        </w:numPr>
        <w:ind w:leftChars="0" w:left="454" w:hanging="454"/>
      </w:pPr>
      <w:r w:rsidRPr="00BC31E0">
        <w:rPr>
          <w:rFonts w:hint="eastAsia"/>
        </w:rPr>
        <w:t>補強に適用される金属は，二つ以上の穴に共通して適用してはならない。</w:t>
      </w:r>
    </w:p>
    <w:p w14:paraId="03DAA52A" w14:textId="77777777" w:rsidR="00AB1F3F" w:rsidRPr="00BC31E0" w:rsidRDefault="00AB1F3F" w:rsidP="008C1F29"/>
    <w:p w14:paraId="75FEFDAB" w14:textId="77777777" w:rsidR="00AB1F3F" w:rsidRPr="00BC31E0" w:rsidRDefault="00AB1F3F" w:rsidP="00736130">
      <w:pPr>
        <w:pStyle w:val="1f9"/>
        <w:numPr>
          <w:ilvl w:val="0"/>
          <w:numId w:val="223"/>
        </w:numPr>
        <w:tabs>
          <w:tab w:val="clear" w:pos="284"/>
        </w:tabs>
        <w:adjustRightInd/>
        <w:snapToGrid/>
        <w:spacing w:line="240" w:lineRule="auto"/>
        <w:ind w:left="340" w:hanging="340"/>
        <w:jc w:val="both"/>
      </w:pPr>
      <w:r w:rsidRPr="00BC31E0">
        <w:rPr>
          <w:rFonts w:hint="eastAsia"/>
        </w:rPr>
        <w:t>強め材の強度</w:t>
      </w:r>
    </w:p>
    <w:p w14:paraId="525678EA" w14:textId="77777777" w:rsidR="00AB1F3F" w:rsidRPr="00BC31E0" w:rsidRDefault="00AB1F3F" w:rsidP="008C1F29">
      <w:pPr>
        <w:pStyle w:val="15"/>
        <w:ind w:firstLine="210"/>
      </w:pPr>
      <w:r w:rsidRPr="00BC31E0">
        <w:rPr>
          <w:rFonts w:hint="eastAsia"/>
        </w:rPr>
        <w:t>ノズル材の設計温度での降伏強さは，容器壁の設計温度での降伏強さの</w:t>
      </w:r>
      <w:r w:rsidRPr="00BC31E0">
        <w:rPr>
          <w:rFonts w:asciiTheme="minorHAnsi" w:hAnsiTheme="minorHAnsi"/>
        </w:rPr>
        <w:t>80%</w:t>
      </w:r>
      <w:r w:rsidRPr="00BC31E0">
        <w:rPr>
          <w:rFonts w:hint="eastAsia"/>
        </w:rPr>
        <w:t>以上なければならない。低い降伏強さの材料を使う場合は，容器壁とノズルの降伏強さに比例して必要補強面積を増加させる。その逆の場合は，補強面積を減少</w:t>
      </w:r>
      <w:r w:rsidR="007C1E74" w:rsidRPr="00BC31E0">
        <w:rPr>
          <w:rFonts w:hint="eastAsia"/>
        </w:rPr>
        <w:t>させない</w:t>
      </w:r>
      <w:r w:rsidRPr="00BC31E0">
        <w:rPr>
          <w:rFonts w:hint="eastAsia"/>
        </w:rPr>
        <w:t>。疲労解析には，当該箇所の材料強度を使用しなければならない。</w:t>
      </w:r>
    </w:p>
    <w:p w14:paraId="5A698325" w14:textId="77777777" w:rsidR="00AB1F3F" w:rsidRPr="00BC31E0" w:rsidRDefault="00AB1F3F" w:rsidP="008C1F29">
      <w:pPr>
        <w:pStyle w:val="15"/>
        <w:ind w:firstLine="210"/>
      </w:pPr>
    </w:p>
    <w:p w14:paraId="1CD90FFD" w14:textId="77777777" w:rsidR="004A58EF" w:rsidRPr="00BC31E0" w:rsidRDefault="004A58EF">
      <w:pPr>
        <w:widowControl/>
        <w:jc w:val="left"/>
        <w:rPr>
          <w:szCs w:val="20"/>
        </w:rPr>
      </w:pPr>
      <w:r w:rsidRPr="00BC31E0">
        <w:br w:type="page"/>
      </w:r>
    </w:p>
    <w:p w14:paraId="4E4725D1" w14:textId="77777777" w:rsidR="00AB1F3F" w:rsidRPr="00BC31E0" w:rsidRDefault="00A51873" w:rsidP="002435BA">
      <w:pPr>
        <w:pStyle w:val="15"/>
        <w:ind w:firstLine="210"/>
        <w:jc w:val="center"/>
      </w:pPr>
      <w:r>
        <w:pict w14:anchorId="2E142302">
          <v:group id="_x0000_s3331" style="width:329.55pt;height:555.8pt;mso-position-horizontal-relative:char;mso-position-vertical-relative:line" coordorigin="1597,2758" coordsize="6591,11116">
            <v:shape id="_x0000_s3338" type="#_x0000_t75" style="position:absolute;left:1597;top:2758;width:6591;height:11116">
              <v:imagedata r:id="rId135" o:title="" cropright="2734f"/>
            </v:shape>
            <v:rect id="_x0000_s3337" style="position:absolute;left:5678;top:11408;width:1522;height:675" strokecolor="white">
              <v:textbox inset="5.85pt,.7pt,5.85pt,.7pt"/>
            </v:rect>
            <v:rect id="_x0000_s3336" style="position:absolute;left:4531;top:12136;width:1147;height:584" strokecolor="white">
              <v:textbox inset="5.85pt,.7pt,5.85pt,.7pt"/>
            </v:rect>
            <v:shapetype id="_x0000_t6" coordsize="21600,21600" o:spt="6" path="m,l,21600r21600,xe">
              <v:stroke joinstyle="miter"/>
              <v:path gradientshapeok="t" o:connecttype="custom" o:connectlocs="0,0;0,10800;0,21600;10800,21600;21600,21600;10800,10800" textboxrect="1800,12600,12600,19800"/>
            </v:shapetype>
            <v:shape id="_x0000_s3335" type="#_x0000_t6" style="position:absolute;left:5642;top:12139;width:943;height:401" strokecolor="white">
              <v:textbox inset="5.85pt,.7pt,5.85pt,.7pt"/>
            </v:shape>
            <v:shape id="_x0000_s3334" type="#_x0000_t6" style="position:absolute;left:5728;top:12128;width:405;height:135;rotation:180" strokecolor="white">
              <v:textbox inset="5.85pt,.7pt,5.85pt,.7pt"/>
            </v:shape>
            <v:rect id="_x0000_s3333" style="position:absolute;left:3966;top:12002;width:93;height:786" strokecolor="white">
              <v:textbox inset="5.85pt,.7pt,5.85pt,.7pt"/>
            </v:rect>
            <v:rect id="_x0000_s3332" style="position:absolute;left:4039;top:12362;width:450;height:143" strokecolor="white">
              <v:textbox inset="5.85pt,.7pt,5.85pt,.7pt"/>
            </v:rect>
            <w10:anchorlock/>
          </v:group>
          <o:OLEObject Type="Embed" ProgID="Photoshop.Image.6" ShapeID="_x0000_s3338" DrawAspect="Content" ObjectID="_1731233647" r:id="rId136">
            <o:FieldCodes>\s</o:FieldCodes>
          </o:OLEObject>
        </w:pict>
      </w:r>
    </w:p>
    <w:p w14:paraId="1A8292A7" w14:textId="77777777" w:rsidR="00AB1F3F" w:rsidRPr="00BC31E0" w:rsidRDefault="00AB1F3F" w:rsidP="00432E87">
      <w:pPr>
        <w:pStyle w:val="af4"/>
      </w:pPr>
      <w:r w:rsidRPr="00BC31E0">
        <w:rPr>
          <w:rFonts w:hint="eastAsia"/>
        </w:rPr>
        <w:t>図E.2　ノズルの記号及び寸法</w:t>
      </w:r>
      <w:r w:rsidRPr="00BC31E0">
        <w:rPr>
          <w:rFonts w:ascii="ＭＳ 明朝" w:hAnsi="ＭＳ 明朝" w:hint="eastAsia"/>
          <w:vertAlign w:val="superscript"/>
        </w:rPr>
        <w:t>†</w:t>
      </w:r>
    </w:p>
    <w:p w14:paraId="1E40CE56" w14:textId="77777777" w:rsidR="00AB1F3F" w:rsidRPr="00BC31E0" w:rsidRDefault="00AB1F3F" w:rsidP="00EA2E55">
      <w:pPr>
        <w:pStyle w:val="15"/>
        <w:ind w:firstLineChars="0" w:firstLine="0"/>
        <w:rPr>
          <w:rFonts w:ascii="ＭＳ 明朝" w:hAnsi="ＭＳ 明朝"/>
        </w:rPr>
      </w:pPr>
    </w:p>
    <w:p w14:paraId="37387F87" w14:textId="77777777" w:rsidR="00EA2E55" w:rsidRPr="00BC31E0" w:rsidRDefault="00EA2E55">
      <w:pPr>
        <w:widowControl/>
        <w:jc w:val="left"/>
        <w:rPr>
          <w:rFonts w:ascii="ＭＳ 明朝" w:hAnsi="ＭＳ 明朝"/>
          <w:b/>
          <w:vertAlign w:val="superscript"/>
        </w:rPr>
      </w:pPr>
      <w:r w:rsidRPr="00BC31E0">
        <w:rPr>
          <w:rFonts w:ascii="ＭＳ 明朝" w:hAnsi="ＭＳ 明朝"/>
          <w:vertAlign w:val="superscript"/>
        </w:rPr>
        <w:br w:type="page"/>
      </w:r>
    </w:p>
    <w:p w14:paraId="0D81200F" w14:textId="77777777" w:rsidR="00473797" w:rsidRPr="00BC31E0" w:rsidRDefault="00473797" w:rsidP="001D553B">
      <w:pPr>
        <w:pStyle w:val="afff3"/>
        <w:spacing w:line="240" w:lineRule="auto"/>
      </w:pPr>
      <w:bookmarkStart w:id="161" w:name="_Toc284409065"/>
      <w:bookmarkStart w:id="162" w:name="_Toc357672130"/>
      <w:bookmarkStart w:id="163" w:name="_Toc120092566"/>
      <w:r w:rsidRPr="00BC31E0">
        <w:rPr>
          <w:rFonts w:hint="eastAsia"/>
        </w:rPr>
        <w:lastRenderedPageBreak/>
        <w:t>附属書</w:t>
      </w:r>
      <w:r w:rsidRPr="00BC31E0">
        <w:t>F</w:t>
      </w:r>
      <w:r w:rsidRPr="00BC31E0">
        <w:rPr>
          <w:rFonts w:hint="eastAsia"/>
        </w:rPr>
        <w:t>(規定)　交差穴の応力集中係数</w:t>
      </w:r>
      <w:bookmarkEnd w:id="161"/>
      <w:bookmarkEnd w:id="162"/>
      <w:bookmarkEnd w:id="163"/>
    </w:p>
    <w:p w14:paraId="2DB793E7" w14:textId="77777777" w:rsidR="00473797" w:rsidRPr="00BC31E0" w:rsidRDefault="00473797" w:rsidP="001D553B">
      <w:pPr>
        <w:pStyle w:val="afb"/>
        <w:spacing w:line="240" w:lineRule="auto"/>
      </w:pPr>
      <w:r w:rsidRPr="00BC31E0">
        <w:rPr>
          <w:rFonts w:hint="eastAsia"/>
        </w:rPr>
        <w:t>序文</w:t>
      </w:r>
    </w:p>
    <w:p w14:paraId="76B1BE16" w14:textId="77777777" w:rsidR="00473797" w:rsidRPr="00BC31E0" w:rsidRDefault="00473797" w:rsidP="001D553B">
      <w:pPr>
        <w:pStyle w:val="15"/>
        <w:ind w:firstLine="210"/>
      </w:pPr>
      <w:r w:rsidRPr="00BC31E0">
        <w:rPr>
          <w:rFonts w:hint="eastAsia"/>
        </w:rPr>
        <w:t>この附属書は，交差穴の応力集中係数について規定する。</w:t>
      </w:r>
    </w:p>
    <w:p w14:paraId="1BD64289" w14:textId="77777777" w:rsidR="00473797" w:rsidRPr="00BC31E0" w:rsidRDefault="00473797" w:rsidP="001D553B">
      <w:pPr>
        <w:pStyle w:val="15"/>
        <w:ind w:firstLineChars="0" w:firstLine="0"/>
      </w:pPr>
    </w:p>
    <w:p w14:paraId="05C35505" w14:textId="77777777" w:rsidR="00473797" w:rsidRPr="00BC31E0" w:rsidRDefault="00473797" w:rsidP="00736130">
      <w:pPr>
        <w:pStyle w:val="1f9"/>
        <w:numPr>
          <w:ilvl w:val="0"/>
          <w:numId w:val="228"/>
        </w:numPr>
        <w:adjustRightInd/>
        <w:snapToGrid/>
        <w:spacing w:line="240" w:lineRule="auto"/>
        <w:ind w:left="340" w:hanging="340"/>
        <w:jc w:val="both"/>
      </w:pPr>
      <w:r w:rsidRPr="00BC31E0">
        <w:rPr>
          <w:rFonts w:hint="eastAsia"/>
        </w:rPr>
        <w:t>適用範囲</w:t>
      </w:r>
    </w:p>
    <w:p w14:paraId="31A14CBA" w14:textId="77777777" w:rsidR="00473797" w:rsidRPr="00BC31E0" w:rsidRDefault="00473797" w:rsidP="001D553B">
      <w:pPr>
        <w:pStyle w:val="15"/>
        <w:ind w:firstLine="210"/>
      </w:pPr>
      <w:r w:rsidRPr="00BC31E0">
        <w:rPr>
          <w:rFonts w:hint="eastAsia"/>
        </w:rPr>
        <w:t>圧力荷重を受ける端部の閉じた円筒形状又はブロック形状の耐圧胴の穴に対して，交差部の応力集中係数を与える。この附属書では穴の補強は考慮しない。補強の必要性は</w:t>
      </w:r>
      <w:r w:rsidRPr="00BC31E0">
        <w:rPr>
          <w:rFonts w:ascii="ＭＳ ゴシック" w:eastAsia="ＭＳ ゴシック" w:hint="eastAsia"/>
          <w:b/>
        </w:rPr>
        <w:t>附属書E</w:t>
      </w:r>
      <w:r w:rsidRPr="00BC31E0">
        <w:rPr>
          <w:rFonts w:hint="eastAsia"/>
        </w:rPr>
        <w:t>による。</w:t>
      </w:r>
    </w:p>
    <w:p w14:paraId="14093FFC" w14:textId="77777777" w:rsidR="00473797" w:rsidRPr="00BC31E0" w:rsidRDefault="00473797" w:rsidP="001D553B"/>
    <w:p w14:paraId="41E853CE" w14:textId="77777777" w:rsidR="00473797" w:rsidRPr="00BC31E0" w:rsidRDefault="00473797" w:rsidP="00736130">
      <w:pPr>
        <w:pStyle w:val="1f9"/>
        <w:numPr>
          <w:ilvl w:val="0"/>
          <w:numId w:val="229"/>
        </w:numPr>
        <w:adjustRightInd/>
        <w:snapToGrid/>
        <w:spacing w:line="240" w:lineRule="auto"/>
        <w:ind w:left="340" w:hanging="340"/>
        <w:jc w:val="both"/>
      </w:pPr>
      <w:r w:rsidRPr="00BC31E0">
        <w:rPr>
          <w:rFonts w:hint="eastAsia"/>
        </w:rPr>
        <w:t>交差穴応力集中係数</w:t>
      </w:r>
    </w:p>
    <w:p w14:paraId="08E3D497" w14:textId="77777777" w:rsidR="00473797" w:rsidRPr="00BC31E0" w:rsidRDefault="00473797" w:rsidP="001D553B">
      <w:pPr>
        <w:pStyle w:val="15"/>
        <w:ind w:firstLine="211"/>
      </w:pPr>
      <w:r w:rsidRPr="00BC31E0">
        <w:rPr>
          <w:rFonts w:ascii="ＭＳ ゴシック" w:eastAsia="ＭＳ ゴシック" w:hAnsi="ＭＳ ゴシック" w:hint="eastAsia"/>
          <w:b/>
        </w:rPr>
        <w:t>図</w:t>
      </w:r>
      <w:r w:rsidRPr="00BC31E0">
        <w:rPr>
          <w:rFonts w:ascii="ＭＳ ゴシック" w:eastAsia="ＭＳ ゴシック" w:hAnsi="ＭＳ ゴシック"/>
          <w:b/>
        </w:rPr>
        <w:t>F.1</w:t>
      </w:r>
      <w:r w:rsidRPr="00BC31E0">
        <w:rPr>
          <w:rFonts w:hint="eastAsia"/>
        </w:rPr>
        <w:t>に示すような，円筒形状</w:t>
      </w:r>
      <w:r w:rsidR="0053419A" w:rsidRPr="00BC31E0">
        <w:rPr>
          <w:rFonts w:hint="eastAsia"/>
        </w:rPr>
        <w:t>又は</w:t>
      </w:r>
      <w:r w:rsidRPr="00BC31E0">
        <w:rPr>
          <w:rFonts w:hint="eastAsia"/>
        </w:rPr>
        <w:t>ブロック形状の耐圧胴の交差穴に対して，応力集中部の応力は，</w:t>
      </w:r>
      <w:r w:rsidRPr="00BC31E0">
        <w:rPr>
          <w:rFonts w:ascii="ＭＳ ゴシック" w:eastAsia="ＭＳ ゴシック" w:hAnsi="ＭＳ ゴシック" w:hint="eastAsia"/>
          <w:b/>
        </w:rPr>
        <w:t>附属書J</w:t>
      </w:r>
      <w:r w:rsidRPr="00BC31E0">
        <w:rPr>
          <w:rFonts w:hint="eastAsia"/>
        </w:rPr>
        <w:t>の</w:t>
      </w:r>
      <w:r w:rsidRPr="00BC31E0">
        <w:rPr>
          <w:rFonts w:ascii="ＭＳ ゴシック" w:eastAsia="ＭＳ ゴシック" w:hAnsi="ＭＳ ゴシック" w:hint="eastAsia"/>
          <w:b/>
        </w:rPr>
        <w:t>式</w:t>
      </w:r>
      <w:r w:rsidRPr="00BC31E0">
        <w:rPr>
          <w:rFonts w:ascii="ＭＳ ゴシック" w:eastAsia="ＭＳ ゴシック" w:hAnsi="ＭＳ ゴシック"/>
          <w:b/>
        </w:rPr>
        <w:t xml:space="preserve"> (16)</w:t>
      </w:r>
      <w:r w:rsidRPr="00BC31E0">
        <w:rPr>
          <w:rFonts w:hint="eastAsia"/>
        </w:rPr>
        <w:t>に応力集中係数</w:t>
      </w:r>
      <m:oMath>
        <m:sSub>
          <m:sSubPr>
            <m:ctrlPr>
              <w:rPr>
                <w:rFonts w:ascii="Cambria Math" w:hAnsi="Cambria Math"/>
              </w:rPr>
            </m:ctrlPr>
          </m:sSubPr>
          <m:e>
            <m:r>
              <w:rPr>
                <w:rFonts w:ascii="Cambria Math" w:hAnsi="Cambria Math"/>
              </w:rPr>
              <m:t xml:space="preserve"> K</m:t>
            </m:r>
          </m:e>
          <m:sub>
            <m:r>
              <w:rPr>
                <w:rFonts w:ascii="Cambria Math" w:hAnsi="Cambria Math"/>
              </w:rPr>
              <m:t>t</m:t>
            </m:r>
          </m:sub>
        </m:sSub>
        <m:r>
          <m:rPr>
            <m:sty m:val="p"/>
          </m:rPr>
          <w:rPr>
            <w:rFonts w:ascii="Cambria Math" w:hAnsi="Cambria Math"/>
          </w:rPr>
          <m:t xml:space="preserve"> </m:t>
        </m:r>
      </m:oMath>
      <w:r w:rsidRPr="00BC31E0">
        <w:rPr>
          <w:rFonts w:hint="eastAsia"/>
        </w:rPr>
        <w:t>を乗じることにより求められる。応力集中係数</w:t>
      </w:r>
      <m:oMath>
        <m:sSub>
          <m:sSubPr>
            <m:ctrlPr>
              <w:rPr>
                <w:rFonts w:ascii="Cambria Math" w:hAnsi="Cambria Math"/>
              </w:rPr>
            </m:ctrlPr>
          </m:sSubPr>
          <m:e>
            <m:r>
              <w:rPr>
                <w:rFonts w:ascii="Cambria Math" w:hAnsi="Cambria Math"/>
              </w:rPr>
              <m:t xml:space="preserve"> K</m:t>
            </m:r>
          </m:e>
          <m:sub>
            <m:r>
              <w:rPr>
                <w:rFonts w:ascii="Cambria Math" w:hAnsi="Cambria Math"/>
              </w:rPr>
              <m:t xml:space="preserve">t  </m:t>
            </m:r>
          </m:sub>
        </m:sSub>
      </m:oMath>
      <w:r w:rsidRPr="00BC31E0">
        <w:rPr>
          <w:rFonts w:hint="eastAsia"/>
        </w:rPr>
        <w:t>は，</w:t>
      </w:r>
      <w:r w:rsidRPr="00BC31E0">
        <w:rPr>
          <w:rFonts w:ascii="ＭＳ ゴシック" w:eastAsia="ＭＳ ゴシック" w:hint="eastAsia"/>
          <w:b/>
        </w:rPr>
        <w:t>図F.2</w:t>
      </w:r>
      <w:r w:rsidRPr="00BC31E0">
        <w:rPr>
          <w:rFonts w:hint="eastAsia"/>
        </w:rPr>
        <w:t>，</w:t>
      </w:r>
      <w:r w:rsidRPr="00BC31E0">
        <w:rPr>
          <w:rFonts w:ascii="ＭＳ ゴシック" w:eastAsia="ＭＳ ゴシック" w:hint="eastAsia"/>
          <w:b/>
        </w:rPr>
        <w:t>図F.3</w:t>
      </w:r>
      <w:r w:rsidRPr="00BC31E0">
        <w:rPr>
          <w:rFonts w:hint="eastAsia"/>
        </w:rPr>
        <w:t>及び</w:t>
      </w:r>
      <w:r w:rsidRPr="00BC31E0">
        <w:rPr>
          <w:rFonts w:ascii="ＭＳ ゴシック" w:eastAsia="ＭＳ ゴシック" w:hAnsi="ＭＳ ゴシック" w:hint="eastAsia"/>
          <w:b/>
        </w:rPr>
        <w:t>表</w:t>
      </w:r>
      <w:r w:rsidRPr="00BC31E0">
        <w:rPr>
          <w:rFonts w:ascii="ＭＳ ゴシック" w:eastAsia="ＭＳ ゴシック" w:hAnsi="ＭＳ ゴシック"/>
          <w:b/>
        </w:rPr>
        <w:t>F.1</w:t>
      </w:r>
      <w:r w:rsidRPr="00BC31E0">
        <w:rPr>
          <w:rFonts w:hint="eastAsia"/>
        </w:rPr>
        <w:t>，</w:t>
      </w:r>
      <w:r w:rsidRPr="00BC31E0">
        <w:rPr>
          <w:rFonts w:ascii="ＭＳ ゴシック" w:eastAsia="ＭＳ ゴシック" w:hAnsi="ＭＳ ゴシック" w:hint="eastAsia"/>
          <w:b/>
        </w:rPr>
        <w:t>表</w:t>
      </w:r>
      <w:r w:rsidRPr="00BC31E0">
        <w:rPr>
          <w:rFonts w:ascii="ＭＳ ゴシック" w:eastAsia="ＭＳ ゴシック" w:hAnsi="ＭＳ ゴシック"/>
          <w:b/>
        </w:rPr>
        <w:t>F.2</w:t>
      </w:r>
      <w:r w:rsidRPr="00BC31E0">
        <w:rPr>
          <w:rFonts w:hint="eastAsia"/>
        </w:rPr>
        <w:t>による。表に示す</w:t>
      </w:r>
      <m:oMath>
        <m:f>
          <m:fPr>
            <m:type m:val="lin"/>
            <m:ctrlPr>
              <w:rPr>
                <w:rFonts w:ascii="Cambria Math" w:hAnsi="Cambria Math"/>
              </w:rPr>
            </m:ctrlPr>
          </m:fPr>
          <m:num>
            <m:sSub>
              <m:sSubPr>
                <m:ctrlPr>
                  <w:rPr>
                    <w:rFonts w:ascii="Cambria Math" w:hAnsi="Cambria Math"/>
                  </w:rPr>
                </m:ctrlPr>
              </m:sSubPr>
              <m:e>
                <m:r>
                  <w:rPr>
                    <w:rFonts w:ascii="Cambria Math" w:hAnsi="Cambria Math"/>
                  </w:rPr>
                  <m:t xml:space="preserve"> D</m:t>
                </m:r>
              </m:e>
              <m:sub>
                <m:r>
                  <w:rPr>
                    <w:rFonts w:ascii="Cambria Math" w:hAnsi="Cambria Math"/>
                  </w:rPr>
                  <m:t>H</m:t>
                </m:r>
              </m:sub>
            </m:sSub>
          </m:num>
          <m:den>
            <m:sSub>
              <m:sSubPr>
                <m:ctrlPr>
                  <w:rPr>
                    <w:rFonts w:ascii="Cambria Math" w:hAnsi="Cambria Math"/>
                  </w:rPr>
                </m:ctrlPr>
              </m:sSubPr>
              <m:e>
                <m:r>
                  <w:rPr>
                    <w:rFonts w:ascii="Cambria Math" w:hAnsi="Cambria Math"/>
                  </w:rPr>
                  <m:t>D</m:t>
                </m:r>
              </m:e>
              <m:sub>
                <m:r>
                  <w:rPr>
                    <w:rFonts w:ascii="Cambria Math" w:hAnsi="Cambria Math"/>
                  </w:rPr>
                  <m:t>I</m:t>
                </m:r>
              </m:sub>
            </m:sSub>
          </m:den>
        </m:f>
      </m:oMath>
      <w:r w:rsidRPr="00BC31E0">
        <w:rPr>
          <w:rFonts w:hint="eastAsia"/>
        </w:rPr>
        <w:t>，</w:t>
      </w:r>
      <m:oMath>
        <m:r>
          <w:rPr>
            <w:rFonts w:ascii="Cambria Math" w:hAnsi="Cambria Math"/>
          </w:rPr>
          <m:t>Y</m:t>
        </m:r>
        <m:d>
          <m:dPr>
            <m:ctrlPr>
              <w:rPr>
                <w:rFonts w:ascii="Cambria Math" w:hAnsi="Cambria Math"/>
              </w:rPr>
            </m:ctrlPr>
          </m:dPr>
          <m:e>
            <m: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O</m:t>
                    </m:r>
                  </m:sub>
                </m:sSub>
              </m:num>
              <m:den>
                <m:sSub>
                  <m:sSubPr>
                    <m:ctrlPr>
                      <w:rPr>
                        <w:rFonts w:ascii="Cambria Math" w:hAnsi="Cambria Math"/>
                      </w:rPr>
                    </m:ctrlPr>
                  </m:sSubPr>
                  <m:e>
                    <m:r>
                      <w:rPr>
                        <w:rFonts w:ascii="Cambria Math" w:hAnsi="Cambria Math"/>
                      </w:rPr>
                      <m:t>D</m:t>
                    </m:r>
                  </m:e>
                  <m:sub>
                    <m:r>
                      <w:rPr>
                        <w:rFonts w:ascii="Cambria Math" w:hAnsi="Cambria Math"/>
                      </w:rPr>
                      <m:t>I</m:t>
                    </m:r>
                  </m:sub>
                </m:sSub>
              </m:den>
            </m:f>
          </m:e>
        </m:d>
        <m:r>
          <m:rPr>
            <m:sty m:val="p"/>
          </m:rPr>
          <w:rPr>
            <w:rFonts w:ascii="Cambria Math" w:hAnsi="Cambria Math"/>
          </w:rPr>
          <m:t xml:space="preserve"> </m:t>
        </m:r>
      </m:oMath>
      <w:r w:rsidRPr="00BC31E0">
        <w:rPr>
          <w:rFonts w:hint="eastAsia"/>
        </w:rPr>
        <w:t>の値の中間にある場合は，内そうで求めてよい。</w:t>
      </w:r>
    </w:p>
    <w:p w14:paraId="275F54A9" w14:textId="77777777" w:rsidR="00473797" w:rsidRPr="00BC31E0" w:rsidRDefault="00473797" w:rsidP="001D553B">
      <w:pPr>
        <w:tabs>
          <w:tab w:val="left" w:pos="1134"/>
          <w:tab w:val="left" w:pos="1560"/>
        </w:tabs>
        <w:ind w:firstLineChars="100" w:firstLine="210"/>
      </w:pPr>
      <w:r w:rsidRPr="00BC31E0">
        <w:rPr>
          <w:rFonts w:hint="eastAsia"/>
        </w:rPr>
        <w:t>ここで，</w:t>
      </w:r>
    </w:p>
    <w:p w14:paraId="0F3FACE4" w14:textId="77777777" w:rsidR="00473797" w:rsidRPr="00BC31E0" w:rsidRDefault="00A51873" w:rsidP="001D553B">
      <w:pPr>
        <w:tabs>
          <w:tab w:val="left" w:pos="1134"/>
        </w:tabs>
        <w:ind w:leftChars="350" w:left="735"/>
      </w:pPr>
      <m:oMath>
        <m:sSub>
          <m:sSubPr>
            <m:ctrlPr>
              <w:rPr>
                <w:rFonts w:ascii="Cambria Math" w:hAnsi="Cambria Math"/>
                <w:szCs w:val="20"/>
              </w:rPr>
            </m:ctrlPr>
          </m:sSubPr>
          <m:e>
            <m:r>
              <w:rPr>
                <w:rFonts w:ascii="Cambria Math" w:hAnsi="Cambria Math"/>
              </w:rPr>
              <m:t>D</m:t>
            </m:r>
          </m:e>
          <m:sub>
            <m:r>
              <w:rPr>
                <w:rFonts w:ascii="Cambria Math" w:hAnsi="Cambria Math"/>
              </w:rPr>
              <m:t>O</m:t>
            </m:r>
          </m:sub>
        </m:sSub>
      </m:oMath>
      <w:r w:rsidR="00473797" w:rsidRPr="00BC31E0">
        <w:rPr>
          <w:rFonts w:ascii="Cambria Math" w:hAnsi="Cambria Math" w:hint="eastAsia"/>
          <w:vertAlign w:val="subscript"/>
        </w:rPr>
        <w:tab/>
      </w:r>
      <w:r w:rsidR="00473797" w:rsidRPr="00BC31E0">
        <w:rPr>
          <w:rFonts w:hint="eastAsia"/>
        </w:rPr>
        <w:t>：</w:t>
      </w:r>
      <w:r w:rsidR="00473797" w:rsidRPr="00BC31E0">
        <w:rPr>
          <w:rFonts w:hint="eastAsia"/>
        </w:rPr>
        <w:t xml:space="preserve"> </w:t>
      </w:r>
      <w:r w:rsidR="00473797" w:rsidRPr="00BC31E0">
        <w:rPr>
          <w:rFonts w:hint="eastAsia"/>
        </w:rPr>
        <w:t>円筒形状の場合は外径，ブロック形状の場合は</w:t>
      </w:r>
      <w:r w:rsidR="00473797" w:rsidRPr="00BC31E0">
        <w:rPr>
          <w:rFonts w:ascii="ＭＳ ゴシック" w:eastAsia="ＭＳ ゴシック" w:hAnsi="ＭＳ ゴシック" w:hint="eastAsia"/>
          <w:b/>
        </w:rPr>
        <w:t>図F.1(b)</w:t>
      </w:r>
      <w:r w:rsidR="00473797" w:rsidRPr="00BC31E0">
        <w:rPr>
          <w:rFonts w:hint="eastAsia"/>
        </w:rPr>
        <w:t>の寸法</w:t>
      </w:r>
    </w:p>
    <w:p w14:paraId="18D863F9" w14:textId="77777777" w:rsidR="00473797" w:rsidRPr="00BC31E0" w:rsidRDefault="00473797" w:rsidP="001D553B">
      <w:pPr>
        <w:ind w:left="1644"/>
      </w:pPr>
      <w:r w:rsidRPr="00BC31E0">
        <w:rPr>
          <w:rFonts w:hint="eastAsia"/>
        </w:rPr>
        <w:t>(</w:t>
      </w:r>
      <w:r w:rsidRPr="00BC31E0">
        <w:rPr>
          <w:rFonts w:hint="eastAsia"/>
        </w:rPr>
        <w:t>長方形ブロックの場合は短い方の辺の幅</w:t>
      </w:r>
      <w:r w:rsidRPr="00BC31E0">
        <w:rPr>
          <w:rFonts w:hint="eastAsia"/>
        </w:rPr>
        <w:t>)(</w:t>
      </w:r>
      <w:r w:rsidRPr="00BC31E0">
        <w:rPr>
          <w:rFonts w:ascii="Cambria Math" w:hAnsi="Cambria Math"/>
        </w:rPr>
        <w:t>mm</w:t>
      </w:r>
      <w:r w:rsidRPr="00BC31E0">
        <w:rPr>
          <w:rFonts w:hint="eastAsia"/>
        </w:rPr>
        <w:t>)</w:t>
      </w:r>
    </w:p>
    <w:p w14:paraId="40800353" w14:textId="77777777" w:rsidR="00473797" w:rsidRPr="00BC31E0" w:rsidRDefault="00A51873" w:rsidP="001D553B">
      <w:pPr>
        <w:tabs>
          <w:tab w:val="left" w:pos="1134"/>
        </w:tabs>
        <w:ind w:leftChars="350" w:left="735"/>
      </w:pPr>
      <m:oMath>
        <m:sSub>
          <m:sSubPr>
            <m:ctrlPr>
              <w:rPr>
                <w:rFonts w:ascii="Cambria Math" w:hAnsi="Cambria Math"/>
                <w:szCs w:val="20"/>
              </w:rPr>
            </m:ctrlPr>
          </m:sSubPr>
          <m:e>
            <m:r>
              <w:rPr>
                <w:rFonts w:ascii="Cambria Math" w:hAnsi="Cambria Math"/>
              </w:rPr>
              <m:t>D</m:t>
            </m:r>
          </m:e>
          <m:sub>
            <m:r>
              <w:rPr>
                <w:rFonts w:ascii="Cambria Math" w:hAnsi="Cambria Math"/>
              </w:rPr>
              <m:t>I</m:t>
            </m:r>
          </m:sub>
        </m:sSub>
      </m:oMath>
      <w:r w:rsidR="00473797" w:rsidRPr="00BC31E0">
        <w:rPr>
          <w:rFonts w:ascii="Cambria Math" w:hAnsi="Cambria Math" w:hint="eastAsia"/>
          <w:vertAlign w:val="subscript"/>
        </w:rPr>
        <w:tab/>
      </w:r>
      <w:r w:rsidR="00473797" w:rsidRPr="00BC31E0">
        <w:rPr>
          <w:rFonts w:hint="eastAsia"/>
        </w:rPr>
        <w:t>：</w:t>
      </w:r>
      <w:r w:rsidR="00473797" w:rsidRPr="00BC31E0">
        <w:rPr>
          <w:rFonts w:hint="eastAsia"/>
        </w:rPr>
        <w:t xml:space="preserve"> </w:t>
      </w:r>
      <w:r w:rsidR="00473797" w:rsidRPr="00BC31E0">
        <w:rPr>
          <w:rFonts w:hint="eastAsia"/>
        </w:rPr>
        <w:t>主穴の内径</w:t>
      </w:r>
      <w:r w:rsidR="00473797" w:rsidRPr="00BC31E0">
        <w:rPr>
          <w:rFonts w:hint="eastAsia"/>
        </w:rPr>
        <w:t>(</w:t>
      </w:r>
      <w:r w:rsidR="00473797" w:rsidRPr="00BC31E0">
        <w:rPr>
          <w:rFonts w:hint="eastAsia"/>
        </w:rPr>
        <w:t>容器の胴の内径</w:t>
      </w:r>
      <w:r w:rsidR="00473797" w:rsidRPr="00BC31E0">
        <w:rPr>
          <w:rFonts w:hint="eastAsia"/>
        </w:rPr>
        <w:t>)(</w:t>
      </w:r>
      <w:r w:rsidR="00473797" w:rsidRPr="00BC31E0">
        <w:rPr>
          <w:rFonts w:ascii="Cambria Math" w:hAnsi="Cambria Math"/>
        </w:rPr>
        <w:t>mm</w:t>
      </w:r>
      <w:r w:rsidR="00473797" w:rsidRPr="00BC31E0">
        <w:rPr>
          <w:rFonts w:hint="eastAsia"/>
        </w:rPr>
        <w:t>)</w:t>
      </w:r>
    </w:p>
    <w:p w14:paraId="0A0C6604" w14:textId="77777777" w:rsidR="00473797" w:rsidRPr="00BC31E0" w:rsidRDefault="00A51873" w:rsidP="001D553B">
      <w:pPr>
        <w:tabs>
          <w:tab w:val="left" w:pos="1134"/>
        </w:tabs>
        <w:ind w:leftChars="350" w:left="735"/>
      </w:pPr>
      <m:oMath>
        <m:sSub>
          <m:sSubPr>
            <m:ctrlPr>
              <w:rPr>
                <w:rFonts w:ascii="Cambria Math" w:hAnsi="Cambria Math"/>
                <w:szCs w:val="20"/>
              </w:rPr>
            </m:ctrlPr>
          </m:sSubPr>
          <m:e>
            <m:r>
              <w:rPr>
                <w:rFonts w:ascii="Cambria Math" w:hAnsi="Cambria Math"/>
              </w:rPr>
              <m:t>D</m:t>
            </m:r>
          </m:e>
          <m:sub>
            <m:r>
              <w:rPr>
                <w:rFonts w:ascii="Cambria Math" w:hAnsi="Cambria Math"/>
              </w:rPr>
              <m:t>H</m:t>
            </m:r>
          </m:sub>
        </m:sSub>
      </m:oMath>
      <w:r w:rsidR="00473797" w:rsidRPr="00BC31E0">
        <w:rPr>
          <w:rFonts w:ascii="Cambria Math" w:hAnsi="Cambria Math" w:hint="eastAsia"/>
          <w:vertAlign w:val="subscript"/>
        </w:rPr>
        <w:tab/>
      </w:r>
      <w:r w:rsidR="00473797" w:rsidRPr="00BC31E0">
        <w:rPr>
          <w:rFonts w:hint="eastAsia"/>
        </w:rPr>
        <w:t>：</w:t>
      </w:r>
      <w:r w:rsidR="00473797" w:rsidRPr="00BC31E0">
        <w:rPr>
          <w:rFonts w:hint="eastAsia"/>
        </w:rPr>
        <w:t xml:space="preserve"> </w:t>
      </w:r>
      <w:r w:rsidR="00473797" w:rsidRPr="00BC31E0">
        <w:rPr>
          <w:rFonts w:hint="eastAsia"/>
        </w:rPr>
        <w:t>副穴の内径</w:t>
      </w:r>
      <w:r w:rsidR="00473797" w:rsidRPr="00BC31E0">
        <w:rPr>
          <w:rFonts w:hint="eastAsia"/>
        </w:rPr>
        <w:t>(</w:t>
      </w:r>
      <w:r w:rsidR="00473797" w:rsidRPr="00BC31E0">
        <w:rPr>
          <w:rFonts w:hint="eastAsia"/>
        </w:rPr>
        <w:t>容器の胴の穴の内径</w:t>
      </w:r>
      <w:r w:rsidR="00473797" w:rsidRPr="00BC31E0">
        <w:rPr>
          <w:rFonts w:hint="eastAsia"/>
        </w:rPr>
        <w:t>)(</w:t>
      </w:r>
      <w:r w:rsidR="00473797" w:rsidRPr="00BC31E0">
        <w:rPr>
          <w:rFonts w:ascii="Cambria Math" w:hAnsi="Cambria Math"/>
        </w:rPr>
        <w:t>mm</w:t>
      </w:r>
      <w:r w:rsidR="00473797" w:rsidRPr="00BC31E0">
        <w:rPr>
          <w:rFonts w:hint="eastAsia"/>
        </w:rPr>
        <w:t>)</w:t>
      </w:r>
    </w:p>
    <w:p w14:paraId="18B25948" w14:textId="77777777" w:rsidR="00473797" w:rsidRPr="00BC31E0" w:rsidRDefault="00A51873" w:rsidP="001D553B">
      <w:pPr>
        <w:tabs>
          <w:tab w:val="left" w:pos="1134"/>
        </w:tabs>
        <w:ind w:leftChars="350" w:left="1472" w:hanging="737"/>
      </w:pPr>
      <m:oMath>
        <m:sSub>
          <m:sSubPr>
            <m:ctrlPr>
              <w:rPr>
                <w:rFonts w:ascii="Cambria Math" w:hAnsi="Cambria Math"/>
                <w:szCs w:val="20"/>
              </w:rPr>
            </m:ctrlPr>
          </m:sSubPr>
          <m:e>
            <m:r>
              <w:rPr>
                <w:rFonts w:ascii="Cambria Math" w:hAnsi="Cambria Math"/>
              </w:rPr>
              <m:t>K</m:t>
            </m:r>
          </m:e>
          <m:sub>
            <m:r>
              <w:rPr>
                <w:rFonts w:ascii="Cambria Math" w:hAnsi="Cambria Math"/>
              </w:rPr>
              <m:t>t</m:t>
            </m:r>
          </m:sub>
        </m:sSub>
      </m:oMath>
      <w:r w:rsidR="00473797" w:rsidRPr="00BC31E0">
        <w:rPr>
          <w:rFonts w:ascii="Cambria Math" w:hAnsi="Cambria Math" w:hint="eastAsia"/>
          <w:vertAlign w:val="subscript"/>
        </w:rPr>
        <w:tab/>
      </w:r>
      <w:r w:rsidR="00473797" w:rsidRPr="00BC31E0">
        <w:rPr>
          <w:rFonts w:hint="eastAsia"/>
        </w:rPr>
        <w:t>：</w:t>
      </w:r>
      <w:r w:rsidR="00473797" w:rsidRPr="00BC31E0">
        <w:rPr>
          <w:rFonts w:hint="eastAsia"/>
        </w:rPr>
        <w:t xml:space="preserve"> </w:t>
      </w:r>
      <w:r w:rsidR="00473797" w:rsidRPr="00BC31E0">
        <w:rPr>
          <w:rFonts w:hint="eastAsia"/>
        </w:rPr>
        <w:t>応力集中係数で，交差穴が無い胴の内面の周方向応力に対する，交差穴における最大応力の比</w:t>
      </w:r>
    </w:p>
    <w:p w14:paraId="0D17F0FB" w14:textId="77777777" w:rsidR="00473797" w:rsidRPr="00BC31E0" w:rsidRDefault="00473797" w:rsidP="001D553B"/>
    <w:p w14:paraId="6A848E25" w14:textId="77777777" w:rsidR="00473797" w:rsidRPr="00BC31E0" w:rsidRDefault="00473797" w:rsidP="001D553B"/>
    <w:p w14:paraId="7A4E0DC9" w14:textId="77777777" w:rsidR="00473797" w:rsidRPr="00BC31E0" w:rsidRDefault="00473797" w:rsidP="001D553B"/>
    <w:p w14:paraId="1F73CAE3" w14:textId="77777777" w:rsidR="00473797" w:rsidRPr="00BC31E0" w:rsidRDefault="00473797" w:rsidP="00473797">
      <w:pPr>
        <w:jc w:val="center"/>
      </w:pPr>
      <w:r w:rsidRPr="00BC31E0">
        <w:rPr>
          <w:noProof/>
        </w:rPr>
        <w:drawing>
          <wp:inline distT="0" distB="0" distL="0" distR="0" wp14:anchorId="558FD373" wp14:editId="09AFC6CF">
            <wp:extent cx="5279390" cy="2503170"/>
            <wp:effectExtent l="0" t="0" r="0" b="0"/>
            <wp:docPr id="410" name="図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37" cstate="print"/>
                    <a:srcRect/>
                    <a:stretch>
                      <a:fillRect/>
                    </a:stretch>
                  </pic:blipFill>
                  <pic:spPr bwMode="auto">
                    <a:xfrm>
                      <a:off x="0" y="0"/>
                      <a:ext cx="5279390" cy="2503170"/>
                    </a:xfrm>
                    <a:prstGeom prst="rect">
                      <a:avLst/>
                    </a:prstGeom>
                    <a:noFill/>
                    <a:ln w="9525">
                      <a:noFill/>
                      <a:miter lim="800000"/>
                      <a:headEnd/>
                      <a:tailEnd/>
                    </a:ln>
                  </pic:spPr>
                </pic:pic>
              </a:graphicData>
            </a:graphic>
          </wp:inline>
        </w:drawing>
      </w:r>
    </w:p>
    <w:p w14:paraId="383B2B79" w14:textId="77777777" w:rsidR="00473797" w:rsidRPr="00BC31E0" w:rsidRDefault="00473797" w:rsidP="00473797">
      <w:pPr>
        <w:pStyle w:val="af4"/>
      </w:pPr>
      <w:r w:rsidRPr="00BC31E0">
        <w:rPr>
          <w:rFonts w:hint="eastAsia"/>
        </w:rPr>
        <w:t>図F.1　円筒及びブロック形状</w:t>
      </w:r>
    </w:p>
    <w:p w14:paraId="50FFA5F6" w14:textId="77777777" w:rsidR="00473797" w:rsidRPr="00BC31E0" w:rsidRDefault="00473797" w:rsidP="00473797">
      <w:pPr>
        <w:rPr>
          <w:b/>
        </w:rPr>
      </w:pPr>
    </w:p>
    <w:p w14:paraId="7A8EA282" w14:textId="77777777" w:rsidR="00473797" w:rsidRPr="00BC31E0" w:rsidRDefault="00473797" w:rsidP="00473797"/>
    <w:p w14:paraId="4CFD54C1" w14:textId="77777777" w:rsidR="00473797" w:rsidRPr="00BC31E0" w:rsidRDefault="00473797" w:rsidP="00473797">
      <w:pPr>
        <w:jc w:val="center"/>
        <w:rPr>
          <w:rFonts w:ascii="ＭＳ ゴシック" w:eastAsia="ＭＳ ゴシック" w:hAnsi="ＭＳ ゴシック"/>
          <w:b/>
        </w:rPr>
      </w:pPr>
      <w:r w:rsidRPr="00BC31E0">
        <w:rPr>
          <w:noProof/>
        </w:rPr>
        <w:lastRenderedPageBreak/>
        <w:drawing>
          <wp:inline distT="0" distB="0" distL="0" distR="0" wp14:anchorId="376AB97C" wp14:editId="145A8C10">
            <wp:extent cx="5603875" cy="3657600"/>
            <wp:effectExtent l="0" t="0" r="0" b="0"/>
            <wp:docPr id="1517" name="図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138" cstate="print"/>
                    <a:srcRect/>
                    <a:stretch>
                      <a:fillRect/>
                    </a:stretch>
                  </pic:blipFill>
                  <pic:spPr bwMode="auto">
                    <a:xfrm>
                      <a:off x="0" y="0"/>
                      <a:ext cx="5603875" cy="3657600"/>
                    </a:xfrm>
                    <a:prstGeom prst="rect">
                      <a:avLst/>
                    </a:prstGeom>
                    <a:noFill/>
                    <a:ln w="9525">
                      <a:noFill/>
                      <a:miter lim="800000"/>
                      <a:headEnd/>
                      <a:tailEnd/>
                    </a:ln>
                  </pic:spPr>
                </pic:pic>
              </a:graphicData>
            </a:graphic>
          </wp:inline>
        </w:drawing>
      </w:r>
    </w:p>
    <w:p w14:paraId="2DA94FF3" w14:textId="77777777" w:rsidR="00473797" w:rsidRPr="00BC31E0" w:rsidRDefault="00473797" w:rsidP="00473797">
      <w:pPr>
        <w:pStyle w:val="af4"/>
      </w:pPr>
      <w:r w:rsidRPr="00BC31E0">
        <w:rPr>
          <w:rFonts w:hint="eastAsia"/>
        </w:rPr>
        <w:t>図F.2 円筒形状の交差穴応力集中係数</w:t>
      </w:r>
      <m:oMath>
        <m:sSub>
          <m:sSubPr>
            <m:ctrlPr>
              <w:rPr>
                <w:rFonts w:ascii="Cambria Math" w:hAnsi="Cambria Math"/>
                <w:i/>
              </w:rPr>
            </m:ctrlPr>
          </m:sSubPr>
          <m:e>
            <m:r>
              <m:rPr>
                <m:sty m:val="bi"/>
              </m:rPr>
              <w:rPr>
                <w:rFonts w:ascii="Cambria Math" w:hAnsi="Cambria Math"/>
              </w:rPr>
              <m:t xml:space="preserve"> </m:t>
            </m:r>
            <m:r>
              <m:rPr>
                <m:sty m:val="bi"/>
              </m:rPr>
              <w:rPr>
                <w:rFonts w:ascii="Cambria Math" w:hAnsi="Cambria Math" w:hint="eastAsia"/>
              </w:rPr>
              <m:t>K</m:t>
            </m:r>
          </m:e>
          <m:sub>
            <m:r>
              <m:rPr>
                <m:sty m:val="bi"/>
              </m:rPr>
              <w:rPr>
                <w:rFonts w:ascii="Cambria Math" w:hAnsi="Cambria Math"/>
              </w:rPr>
              <m:t>t</m:t>
            </m:r>
          </m:sub>
        </m:sSub>
      </m:oMath>
    </w:p>
    <w:p w14:paraId="536CDCF7" w14:textId="77777777" w:rsidR="00473797" w:rsidRPr="00BC31E0" w:rsidRDefault="00473797" w:rsidP="00473797">
      <w:pPr>
        <w:jc w:val="left"/>
        <w:rPr>
          <w:szCs w:val="20"/>
        </w:rPr>
      </w:pPr>
    </w:p>
    <w:p w14:paraId="1265D8B5" w14:textId="77777777" w:rsidR="00473797" w:rsidRPr="00BC31E0" w:rsidRDefault="00473797" w:rsidP="00473797">
      <w:pPr>
        <w:jc w:val="left"/>
        <w:rPr>
          <w:szCs w:val="20"/>
        </w:rPr>
      </w:pPr>
    </w:p>
    <w:p w14:paraId="68375D96" w14:textId="77777777" w:rsidR="00473797" w:rsidRPr="00BC31E0" w:rsidRDefault="00473797" w:rsidP="00473797">
      <w:pPr>
        <w:jc w:val="center"/>
        <w:rPr>
          <w:szCs w:val="20"/>
        </w:rPr>
      </w:pPr>
      <w:r w:rsidRPr="00BC31E0">
        <w:rPr>
          <w:noProof/>
        </w:rPr>
        <w:drawing>
          <wp:inline distT="0" distB="0" distL="0" distR="0" wp14:anchorId="70BBF642" wp14:editId="75E347DF">
            <wp:extent cx="5603875" cy="3657600"/>
            <wp:effectExtent l="0" t="0" r="0" b="0"/>
            <wp:docPr id="1518" name="図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139" cstate="print"/>
                    <a:srcRect/>
                    <a:stretch>
                      <a:fillRect/>
                    </a:stretch>
                  </pic:blipFill>
                  <pic:spPr bwMode="auto">
                    <a:xfrm>
                      <a:off x="0" y="0"/>
                      <a:ext cx="5603875" cy="3657600"/>
                    </a:xfrm>
                    <a:prstGeom prst="rect">
                      <a:avLst/>
                    </a:prstGeom>
                    <a:noFill/>
                    <a:ln w="9525">
                      <a:noFill/>
                      <a:miter lim="800000"/>
                      <a:headEnd/>
                      <a:tailEnd/>
                    </a:ln>
                  </pic:spPr>
                </pic:pic>
              </a:graphicData>
            </a:graphic>
          </wp:inline>
        </w:drawing>
      </w:r>
    </w:p>
    <w:p w14:paraId="2F0E286C" w14:textId="77777777" w:rsidR="00473797" w:rsidRPr="00BC31E0" w:rsidRDefault="00473797" w:rsidP="00473797">
      <w:pPr>
        <w:pStyle w:val="af4"/>
      </w:pPr>
      <w:r w:rsidRPr="00BC31E0">
        <w:rPr>
          <w:rFonts w:hint="eastAsia"/>
        </w:rPr>
        <w:t>図F.3 ブロック形状の交差穴応力集中係数</w:t>
      </w:r>
      <m:oMath>
        <m:sSub>
          <m:sSubPr>
            <m:ctrlPr>
              <w:rPr>
                <w:rFonts w:ascii="Cambria Math" w:hAnsi="Cambria Math"/>
                <w:i/>
              </w:rPr>
            </m:ctrlPr>
          </m:sSubPr>
          <m:e>
            <m:r>
              <m:rPr>
                <m:sty m:val="bi"/>
              </m:rPr>
              <w:rPr>
                <w:rFonts w:ascii="Cambria Math" w:hAnsi="Cambria Math"/>
              </w:rPr>
              <m:t xml:space="preserve"> </m:t>
            </m:r>
            <m:r>
              <m:rPr>
                <m:sty m:val="bi"/>
              </m:rPr>
              <w:rPr>
                <w:rFonts w:ascii="Cambria Math" w:hAnsi="Cambria Math" w:hint="eastAsia"/>
              </w:rPr>
              <m:t>K</m:t>
            </m:r>
          </m:e>
          <m:sub>
            <m:r>
              <m:rPr>
                <m:sty m:val="bi"/>
              </m:rPr>
              <w:rPr>
                <w:rFonts w:ascii="Cambria Math" w:hAnsi="Cambria Math"/>
              </w:rPr>
              <m:t>t</m:t>
            </m:r>
          </m:sub>
        </m:sSub>
      </m:oMath>
    </w:p>
    <w:p w14:paraId="4D318469" w14:textId="77777777" w:rsidR="00473797" w:rsidRPr="00BC31E0" w:rsidRDefault="00473797" w:rsidP="00473797">
      <w:pPr>
        <w:spacing w:line="360" w:lineRule="exact"/>
        <w:jc w:val="left"/>
        <w:rPr>
          <w:szCs w:val="20"/>
        </w:rPr>
      </w:pPr>
    </w:p>
    <w:p w14:paraId="7FB18D6D" w14:textId="77777777" w:rsidR="00473797" w:rsidRPr="00BC31E0" w:rsidRDefault="00473797" w:rsidP="00473797">
      <w:pPr>
        <w:spacing w:line="360" w:lineRule="exact"/>
        <w:jc w:val="left"/>
        <w:rPr>
          <w:szCs w:val="20"/>
        </w:rPr>
      </w:pPr>
    </w:p>
    <w:p w14:paraId="598B9445" w14:textId="77777777" w:rsidR="00473797" w:rsidRPr="00BC31E0" w:rsidRDefault="00473797" w:rsidP="00473797">
      <w:pPr>
        <w:pStyle w:val="af4"/>
      </w:pPr>
      <w:r w:rsidRPr="00BC31E0">
        <w:rPr>
          <w:rFonts w:hint="eastAsia"/>
        </w:rPr>
        <w:lastRenderedPageBreak/>
        <w:t>表F.1 円筒形状の交差穴応力集中係数</w:t>
      </w:r>
      <m:oMath>
        <m:sSub>
          <m:sSubPr>
            <m:ctrlPr>
              <w:rPr>
                <w:rFonts w:ascii="Cambria Math" w:hAnsi="Cambria Math"/>
                <w:i/>
              </w:rPr>
            </m:ctrlPr>
          </m:sSubPr>
          <m:e>
            <m:r>
              <m:rPr>
                <m:sty m:val="bi"/>
              </m:rPr>
              <w:rPr>
                <w:rFonts w:ascii="Cambria Math" w:hAnsi="Cambria Math"/>
              </w:rPr>
              <m:t xml:space="preserve"> </m:t>
            </m:r>
            <m:r>
              <m:rPr>
                <m:sty m:val="bi"/>
              </m:rPr>
              <w:rPr>
                <w:rFonts w:ascii="Cambria Math" w:hAnsi="Cambria Math" w:hint="eastAsia"/>
              </w:rPr>
              <m:t>K</m:t>
            </m:r>
          </m:e>
          <m:sub>
            <m:r>
              <m:rPr>
                <m:sty m:val="bi"/>
              </m:rPr>
              <w:rPr>
                <w:rFonts w:ascii="Cambria Math" w:hAnsi="Cambria Math"/>
              </w:rPr>
              <m:t>t</m:t>
            </m:r>
          </m:sub>
        </m:sSub>
      </m:oMath>
    </w:p>
    <w:p w14:paraId="5AC3F6B4" w14:textId="77777777" w:rsidR="00473797" w:rsidRPr="00BC31E0" w:rsidRDefault="00473797" w:rsidP="00473797">
      <w:pPr>
        <w:jc w:val="center"/>
        <w:rPr>
          <w:szCs w:val="20"/>
        </w:rPr>
      </w:pPr>
      <w:r w:rsidRPr="00BC31E0">
        <w:rPr>
          <w:noProof/>
        </w:rPr>
        <w:drawing>
          <wp:inline distT="0" distB="0" distL="0" distR="0" wp14:anchorId="2B4926A1" wp14:editId="305BC8A1">
            <wp:extent cx="4672965" cy="1938020"/>
            <wp:effectExtent l="19050" t="0" r="0" b="0"/>
            <wp:docPr id="1519" name="図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140" cstate="print"/>
                    <a:srcRect/>
                    <a:stretch>
                      <a:fillRect/>
                    </a:stretch>
                  </pic:blipFill>
                  <pic:spPr bwMode="auto">
                    <a:xfrm>
                      <a:off x="0" y="0"/>
                      <a:ext cx="4672965" cy="1938020"/>
                    </a:xfrm>
                    <a:prstGeom prst="rect">
                      <a:avLst/>
                    </a:prstGeom>
                    <a:noFill/>
                    <a:ln w="9525">
                      <a:noFill/>
                      <a:miter lim="800000"/>
                      <a:headEnd/>
                      <a:tailEnd/>
                    </a:ln>
                  </pic:spPr>
                </pic:pic>
              </a:graphicData>
            </a:graphic>
          </wp:inline>
        </w:drawing>
      </w:r>
    </w:p>
    <w:p w14:paraId="2ADC36DA" w14:textId="77777777" w:rsidR="00473797" w:rsidRPr="00BC31E0" w:rsidRDefault="00473797" w:rsidP="00473797">
      <w:pPr>
        <w:jc w:val="left"/>
        <w:rPr>
          <w:szCs w:val="20"/>
        </w:rPr>
      </w:pPr>
    </w:p>
    <w:p w14:paraId="5D310C68" w14:textId="77777777" w:rsidR="00473797" w:rsidRPr="00BC31E0" w:rsidRDefault="00473797" w:rsidP="00473797">
      <w:pPr>
        <w:jc w:val="left"/>
        <w:rPr>
          <w:szCs w:val="20"/>
        </w:rPr>
      </w:pPr>
    </w:p>
    <w:p w14:paraId="3DB5C900" w14:textId="77777777" w:rsidR="00473797" w:rsidRPr="00BC31E0" w:rsidRDefault="00473797" w:rsidP="00473797">
      <w:pPr>
        <w:jc w:val="left"/>
        <w:rPr>
          <w:szCs w:val="20"/>
        </w:rPr>
      </w:pPr>
    </w:p>
    <w:p w14:paraId="01ECC8F7" w14:textId="77777777" w:rsidR="00473797" w:rsidRPr="00BC31E0" w:rsidRDefault="00473797" w:rsidP="00473797">
      <w:pPr>
        <w:jc w:val="center"/>
        <w:rPr>
          <w:rFonts w:ascii="ＭＳ ゴシック" w:eastAsia="ＭＳ ゴシック" w:hAnsi="ＭＳ ゴシック"/>
          <w:b/>
          <w:szCs w:val="20"/>
        </w:rPr>
      </w:pPr>
      <w:r w:rsidRPr="00BC31E0">
        <w:rPr>
          <w:rFonts w:ascii="ＭＳ ゴシック" w:eastAsia="ＭＳ ゴシック" w:hAnsi="ＭＳ ゴシック" w:hint="eastAsia"/>
          <w:b/>
          <w:szCs w:val="20"/>
        </w:rPr>
        <w:t>表F.2 ブロック形状の交差穴応力集中係数</w:t>
      </w:r>
      <m:oMath>
        <m:sSub>
          <m:sSubPr>
            <m:ctrlPr>
              <w:rPr>
                <w:rFonts w:ascii="Cambria Math" w:eastAsia="ＭＳ ゴシック" w:hAnsi="Cambria Math"/>
                <w:b/>
                <w:i/>
                <w:szCs w:val="20"/>
              </w:rPr>
            </m:ctrlPr>
          </m:sSubPr>
          <m:e>
            <m:r>
              <m:rPr>
                <m:sty m:val="bi"/>
              </m:rPr>
              <w:rPr>
                <w:rFonts w:ascii="Cambria Math" w:eastAsia="ＭＳ ゴシック" w:hAnsi="Cambria Math"/>
                <w:szCs w:val="20"/>
              </w:rPr>
              <m:t xml:space="preserve"> </m:t>
            </m:r>
            <m:r>
              <m:rPr>
                <m:sty m:val="bi"/>
              </m:rPr>
              <w:rPr>
                <w:rFonts w:ascii="Cambria Math" w:eastAsia="ＭＳ ゴシック" w:hAnsi="Cambria Math" w:hint="eastAsia"/>
                <w:szCs w:val="20"/>
              </w:rPr>
              <m:t>K</m:t>
            </m:r>
          </m:e>
          <m:sub>
            <m:r>
              <m:rPr>
                <m:sty m:val="bi"/>
              </m:rPr>
              <w:rPr>
                <w:rFonts w:ascii="Cambria Math" w:eastAsia="ＭＳ ゴシック" w:hAnsi="Cambria Math"/>
                <w:szCs w:val="20"/>
              </w:rPr>
              <m:t>t</m:t>
            </m:r>
          </m:sub>
        </m:sSub>
      </m:oMath>
    </w:p>
    <w:p w14:paraId="73E6558A" w14:textId="77777777" w:rsidR="00473797" w:rsidRPr="00BC31E0" w:rsidRDefault="00473797" w:rsidP="00473797">
      <w:pPr>
        <w:jc w:val="center"/>
        <w:rPr>
          <w:szCs w:val="20"/>
        </w:rPr>
      </w:pPr>
      <w:r w:rsidRPr="00BC31E0">
        <w:rPr>
          <w:noProof/>
        </w:rPr>
        <w:drawing>
          <wp:inline distT="0" distB="0" distL="0" distR="0" wp14:anchorId="4C2C8FAB" wp14:editId="64908263">
            <wp:extent cx="4622165" cy="3573780"/>
            <wp:effectExtent l="19050" t="0" r="6985" b="0"/>
            <wp:docPr id="1520" name="図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141" cstate="print"/>
                    <a:srcRect/>
                    <a:stretch>
                      <a:fillRect/>
                    </a:stretch>
                  </pic:blipFill>
                  <pic:spPr bwMode="auto">
                    <a:xfrm>
                      <a:off x="0" y="0"/>
                      <a:ext cx="4622165" cy="3573780"/>
                    </a:xfrm>
                    <a:prstGeom prst="rect">
                      <a:avLst/>
                    </a:prstGeom>
                    <a:noFill/>
                    <a:ln w="9525">
                      <a:noFill/>
                      <a:miter lim="800000"/>
                      <a:headEnd/>
                      <a:tailEnd/>
                    </a:ln>
                  </pic:spPr>
                </pic:pic>
              </a:graphicData>
            </a:graphic>
          </wp:inline>
        </w:drawing>
      </w:r>
    </w:p>
    <w:p w14:paraId="666C769C" w14:textId="77777777" w:rsidR="00473797" w:rsidRPr="00BC31E0" w:rsidRDefault="00473797" w:rsidP="002F3E44">
      <w:pPr>
        <w:jc w:val="left"/>
        <w:rPr>
          <w:szCs w:val="20"/>
        </w:rPr>
      </w:pPr>
    </w:p>
    <w:p w14:paraId="6A0F2998" w14:textId="77777777" w:rsidR="002F3E44" w:rsidRPr="00BC31E0" w:rsidRDefault="002F3E44" w:rsidP="002F3E44">
      <w:pPr>
        <w:widowControl/>
        <w:jc w:val="left"/>
        <w:rPr>
          <w:szCs w:val="20"/>
        </w:rPr>
      </w:pPr>
      <w:r w:rsidRPr="00BC31E0">
        <w:rPr>
          <w:szCs w:val="20"/>
        </w:rPr>
        <w:br w:type="page"/>
      </w:r>
    </w:p>
    <w:p w14:paraId="62BB8DC6" w14:textId="77777777" w:rsidR="00F87ADB" w:rsidRPr="00BC31E0" w:rsidRDefault="00F87ADB" w:rsidP="00483D57">
      <w:pPr>
        <w:pStyle w:val="afff3"/>
        <w:spacing w:line="240" w:lineRule="auto"/>
      </w:pPr>
      <w:bookmarkStart w:id="164" w:name="_Toc284409066"/>
      <w:bookmarkStart w:id="165" w:name="_Toc357672131"/>
      <w:bookmarkStart w:id="166" w:name="_Toc120092567"/>
      <w:r w:rsidRPr="00BC31E0">
        <w:rPr>
          <w:rFonts w:hint="eastAsia"/>
        </w:rPr>
        <w:lastRenderedPageBreak/>
        <w:t>附属書</w:t>
      </w:r>
      <w:r w:rsidRPr="00BC31E0">
        <w:t>G</w:t>
      </w:r>
      <w:r w:rsidRPr="00BC31E0">
        <w:rPr>
          <w:rFonts w:hAnsi="ＭＳ ゴシック" w:hint="eastAsia"/>
        </w:rPr>
        <w:t>(規定)</w:t>
      </w:r>
      <w:r w:rsidRPr="00BC31E0">
        <w:rPr>
          <w:rFonts w:hint="eastAsia"/>
        </w:rPr>
        <w:t xml:space="preserve">　円筒胴の</w:t>
      </w:r>
      <w:bookmarkEnd w:id="164"/>
      <w:r w:rsidRPr="00BC31E0">
        <w:rPr>
          <w:rFonts w:hint="eastAsia"/>
        </w:rPr>
        <w:t>平鏡板</w:t>
      </w:r>
      <w:bookmarkEnd w:id="165"/>
      <w:bookmarkEnd w:id="166"/>
    </w:p>
    <w:p w14:paraId="503AD1CD" w14:textId="77777777" w:rsidR="00F87ADB" w:rsidRPr="00BC31E0" w:rsidRDefault="00F87ADB" w:rsidP="00F97F11">
      <w:pPr>
        <w:pStyle w:val="afb"/>
        <w:spacing w:line="240" w:lineRule="auto"/>
      </w:pPr>
      <w:r w:rsidRPr="00BC31E0">
        <w:rPr>
          <w:rFonts w:hint="eastAsia"/>
        </w:rPr>
        <w:t>序文</w:t>
      </w:r>
    </w:p>
    <w:p w14:paraId="7B8F7C63" w14:textId="77777777" w:rsidR="00F87ADB" w:rsidRPr="00BC31E0" w:rsidRDefault="00F87ADB" w:rsidP="00F97F11">
      <w:pPr>
        <w:pStyle w:val="15"/>
        <w:ind w:firstLine="210"/>
      </w:pPr>
      <w:r w:rsidRPr="00BC31E0">
        <w:rPr>
          <w:rFonts w:hint="eastAsia"/>
        </w:rPr>
        <w:t>この附属書は，内圧荷重に対して円筒胴の一体型平鏡板の厚さと形状を規定する。ただし，弾塑性解析</w:t>
      </w:r>
      <w:r w:rsidRPr="00BC31E0">
        <w:rPr>
          <w:rFonts w:hint="eastAsia"/>
        </w:rPr>
        <w:t>(</w:t>
      </w:r>
      <w:r w:rsidRPr="00BC31E0">
        <w:rPr>
          <w:rFonts w:asciiTheme="majorEastAsia" w:eastAsiaTheme="majorEastAsia" w:hAnsiTheme="majorEastAsia" w:hint="eastAsia"/>
          <w:b/>
        </w:rPr>
        <w:t>6.2.3</w:t>
      </w:r>
      <w:r w:rsidRPr="00BC31E0">
        <w:rPr>
          <w:rFonts w:hint="eastAsia"/>
        </w:rPr>
        <w:t>)</w:t>
      </w:r>
      <w:r w:rsidRPr="00BC31E0">
        <w:rPr>
          <w:rFonts w:hint="eastAsia"/>
        </w:rPr>
        <w:t>や弾性解析</w:t>
      </w:r>
      <w:r w:rsidRPr="00BC31E0">
        <w:rPr>
          <w:rFonts w:hint="eastAsia"/>
        </w:rPr>
        <w:t>(</w:t>
      </w:r>
      <w:r w:rsidRPr="00BC31E0">
        <w:rPr>
          <w:rFonts w:asciiTheme="majorEastAsia" w:eastAsiaTheme="majorEastAsia" w:hAnsiTheme="majorEastAsia" w:hint="eastAsia"/>
          <w:b/>
        </w:rPr>
        <w:t>附属書J</w:t>
      </w:r>
      <w:r w:rsidRPr="00BC31E0">
        <w:rPr>
          <w:rFonts w:hint="eastAsia"/>
        </w:rPr>
        <w:t>)</w:t>
      </w:r>
      <w:r w:rsidRPr="00BC31E0">
        <w:rPr>
          <w:rFonts w:hint="eastAsia"/>
        </w:rPr>
        <w:t>により設計した場合にはこの規定に従う必要はない。</w:t>
      </w:r>
    </w:p>
    <w:p w14:paraId="4AA3D6C7" w14:textId="77777777" w:rsidR="00F87ADB" w:rsidRPr="00BC31E0" w:rsidRDefault="00F87ADB" w:rsidP="00483D57">
      <w:pPr>
        <w:rPr>
          <w:szCs w:val="20"/>
        </w:rPr>
      </w:pPr>
    </w:p>
    <w:p w14:paraId="0A737107" w14:textId="77777777" w:rsidR="00F87ADB" w:rsidRPr="00BC31E0" w:rsidRDefault="00F87ADB" w:rsidP="00736130">
      <w:pPr>
        <w:pStyle w:val="13"/>
        <w:numPr>
          <w:ilvl w:val="0"/>
          <w:numId w:val="245"/>
        </w:numPr>
        <w:adjustRightInd/>
        <w:snapToGrid/>
        <w:spacing w:line="240" w:lineRule="auto"/>
        <w:ind w:left="340" w:hanging="340"/>
      </w:pPr>
      <w:r w:rsidRPr="00BC31E0">
        <w:rPr>
          <w:rFonts w:hint="eastAsia"/>
        </w:rPr>
        <w:t>厚肉容器(容器の内外径比</w:t>
      </w:r>
      <m:oMath>
        <m:f>
          <m:fPr>
            <m:type m:val="lin"/>
            <m:ctrlPr>
              <w:rPr>
                <w:rFonts w:ascii="Cambria Math" w:hAnsi="Cambria Math"/>
              </w:rPr>
            </m:ctrlPr>
          </m:fPr>
          <m:num>
            <m:sSub>
              <m:sSubPr>
                <m:ctrlPr>
                  <w:rPr>
                    <w:rFonts w:ascii="Cambria Math" w:hAnsi="Cambria Math"/>
                  </w:rPr>
                </m:ctrlPr>
              </m:sSubPr>
              <m:e>
                <m:r>
                  <m:rPr>
                    <m:sty m:val="bi"/>
                  </m:rPr>
                  <w:rPr>
                    <w:rFonts w:ascii="Cambria Math" w:hAnsi="Cambria Math"/>
                  </w:rPr>
                  <m:t xml:space="preserve"> D</m:t>
                </m:r>
              </m:e>
              <m:sub>
                <m:r>
                  <m:rPr>
                    <m:sty m:val="bi"/>
                  </m:rPr>
                  <w:rPr>
                    <w:rFonts w:ascii="Cambria Math" w:hAnsi="Cambria Math"/>
                  </w:rPr>
                  <m:t>O</m:t>
                </m:r>
              </m:sub>
            </m:sSub>
          </m:num>
          <m:den>
            <m:sSub>
              <m:sSubPr>
                <m:ctrlPr>
                  <w:rPr>
                    <w:rFonts w:ascii="Cambria Math" w:hAnsi="Cambria Math"/>
                  </w:rPr>
                </m:ctrlPr>
              </m:sSubPr>
              <m:e>
                <m:r>
                  <m:rPr>
                    <m:sty m:val="bi"/>
                  </m:rPr>
                  <w:rPr>
                    <w:rFonts w:ascii="Cambria Math" w:hAnsi="Cambria Math"/>
                  </w:rPr>
                  <m:t>D</m:t>
                </m:r>
              </m:e>
              <m:sub>
                <m:r>
                  <m:rPr>
                    <m:sty m:val="bi"/>
                  </m:rPr>
                  <w:rPr>
                    <w:rFonts w:ascii="Cambria Math" w:hAnsi="Cambria Math"/>
                  </w:rPr>
                  <m:t>I</m:t>
                </m:r>
              </m:sub>
            </m:sSub>
          </m:den>
        </m:f>
        <m:r>
          <m:rPr>
            <m:sty m:val="b"/>
          </m:rPr>
          <w:rPr>
            <w:rFonts w:ascii="Cambria Math" w:hAnsi="Cambria Math"/>
          </w:rPr>
          <m:t xml:space="preserve"> </m:t>
        </m:r>
      </m:oMath>
      <w:r w:rsidRPr="00BC31E0">
        <w:rPr>
          <w:rFonts w:hint="eastAsia"/>
        </w:rPr>
        <w:t>が</w:t>
      </w:r>
      <w:r w:rsidRPr="00BC31E0">
        <w:rPr>
          <w:rFonts w:asciiTheme="majorEastAsia" w:eastAsiaTheme="majorEastAsia" w:hAnsiTheme="majorEastAsia"/>
        </w:rPr>
        <w:t>1.25</w:t>
      </w:r>
      <w:r w:rsidRPr="00BC31E0">
        <w:rPr>
          <w:rFonts w:hint="eastAsia"/>
        </w:rPr>
        <w:t>以上の場合)の一体型平鏡板</w:t>
      </w:r>
    </w:p>
    <w:p w14:paraId="09C3E021" w14:textId="77777777" w:rsidR="00F87ADB" w:rsidRPr="00BC31E0" w:rsidRDefault="00F87ADB" w:rsidP="00483D57">
      <w:pPr>
        <w:pStyle w:val="110"/>
        <w:spacing w:line="240" w:lineRule="auto"/>
        <w:ind w:left="567" w:hanging="567"/>
      </w:pPr>
      <w:r w:rsidRPr="00BC31E0">
        <w:rPr>
          <w:rFonts w:hint="eastAsia"/>
        </w:rPr>
        <w:t>制限</w:t>
      </w:r>
    </w:p>
    <w:p w14:paraId="3A7A0983" w14:textId="77777777" w:rsidR="00F87ADB" w:rsidRPr="00BC31E0" w:rsidRDefault="00F87ADB" w:rsidP="00F97F11">
      <w:pPr>
        <w:pStyle w:val="113"/>
        <w:ind w:firstLine="210"/>
      </w:pPr>
      <w:r w:rsidRPr="00BC31E0">
        <w:rPr>
          <w:rFonts w:hint="eastAsia"/>
        </w:rPr>
        <w:t>内圧荷重に対して本体の</w:t>
      </w:r>
      <w:r w:rsidRPr="00BC31E0">
        <w:rPr>
          <w:rFonts w:asciiTheme="majorEastAsia" w:eastAsiaTheme="majorEastAsia" w:hAnsiTheme="majorEastAsia" w:hint="eastAsia"/>
          <w:b/>
        </w:rPr>
        <w:t>6.2.3</w:t>
      </w:r>
      <w:r w:rsidRPr="00BC31E0">
        <w:rPr>
          <w:rFonts w:hint="eastAsia"/>
        </w:rPr>
        <w:t>又は</w:t>
      </w:r>
      <w:r w:rsidRPr="00BC31E0">
        <w:rPr>
          <w:rFonts w:ascii="ＭＳ ゴシック" w:eastAsia="ＭＳ ゴシック" w:hAnsi="ＭＳ ゴシック" w:hint="eastAsia"/>
          <w:b/>
        </w:rPr>
        <w:t>附属書J</w:t>
      </w:r>
      <w:r w:rsidRPr="00BC31E0">
        <w:rPr>
          <w:rFonts w:hint="eastAsia"/>
        </w:rPr>
        <w:t>により設計を行わない場合，一体型平鏡板形状は，次の</w:t>
      </w:r>
      <w:r w:rsidRPr="00BC31E0">
        <w:rPr>
          <w:rFonts w:asciiTheme="majorEastAsia" w:eastAsiaTheme="majorEastAsia" w:hAnsiTheme="majorEastAsia" w:hint="eastAsia"/>
          <w:b/>
        </w:rPr>
        <w:t>a)</w:t>
      </w:r>
      <w:r w:rsidRPr="00BC31E0">
        <w:rPr>
          <w:rFonts w:hint="eastAsia"/>
        </w:rPr>
        <w:t>～</w:t>
      </w:r>
      <w:r w:rsidRPr="00BC31E0">
        <w:rPr>
          <w:rFonts w:asciiTheme="majorEastAsia" w:eastAsiaTheme="majorEastAsia" w:hAnsiTheme="majorEastAsia" w:hint="eastAsia"/>
          <w:b/>
        </w:rPr>
        <w:t>e)</w:t>
      </w:r>
      <w:r w:rsidRPr="00BC31E0">
        <w:rPr>
          <w:rFonts w:hint="eastAsia"/>
        </w:rPr>
        <w:t>の制限を受ける</w:t>
      </w:r>
      <w:r w:rsidRPr="00BC31E0">
        <w:rPr>
          <w:rFonts w:hint="eastAsia"/>
        </w:rPr>
        <w:t>(</w:t>
      </w:r>
      <w:r w:rsidRPr="00BC31E0">
        <w:rPr>
          <w:rFonts w:asciiTheme="majorEastAsia" w:eastAsiaTheme="majorEastAsia" w:hAnsiTheme="majorEastAsia" w:hint="eastAsia"/>
          <w:b/>
        </w:rPr>
        <w:t>図</w:t>
      </w:r>
      <w:r w:rsidRPr="00BC31E0">
        <w:rPr>
          <w:rFonts w:asciiTheme="majorEastAsia" w:eastAsiaTheme="majorEastAsia" w:hAnsiTheme="majorEastAsia"/>
          <w:b/>
        </w:rPr>
        <w:t>G.1</w:t>
      </w:r>
      <w:r w:rsidRPr="00BC31E0">
        <w:rPr>
          <w:rFonts w:ascii="ＭＳ 明朝" w:hAnsi="ＭＳ 明朝" w:hint="eastAsia"/>
        </w:rPr>
        <w:t>を</w:t>
      </w:r>
      <w:r w:rsidRPr="00BC31E0">
        <w:rPr>
          <w:rFonts w:hint="eastAsia"/>
        </w:rPr>
        <w:t>参照</w:t>
      </w:r>
      <w:r w:rsidRPr="00BC31E0">
        <w:rPr>
          <w:rFonts w:hint="eastAsia"/>
        </w:rPr>
        <w:t>)</w:t>
      </w:r>
      <w:r w:rsidRPr="00BC31E0">
        <w:rPr>
          <w:rFonts w:hint="eastAsia"/>
        </w:rPr>
        <w:t>。</w:t>
      </w:r>
    </w:p>
    <w:p w14:paraId="76CBB0EA" w14:textId="77777777" w:rsidR="00F97F11" w:rsidRPr="00BC31E0" w:rsidRDefault="00F87ADB" w:rsidP="00736130">
      <w:pPr>
        <w:pStyle w:val="a4"/>
        <w:numPr>
          <w:ilvl w:val="0"/>
          <w:numId w:val="382"/>
        </w:numPr>
        <w:ind w:leftChars="0" w:left="454" w:hanging="454"/>
      </w:pPr>
      <w:r w:rsidRPr="00BC31E0">
        <w:rPr>
          <w:rFonts w:hint="eastAsia"/>
        </w:rPr>
        <w:t>最小内側コーナー半径</w:t>
      </w:r>
      <m:oMath>
        <m:sSub>
          <m:sSubPr>
            <m:ctrlPr>
              <w:rPr>
                <w:rFonts w:ascii="Cambria Math" w:hAnsi="Cambria Math"/>
                <w:i/>
              </w:rPr>
            </m:ctrlPr>
          </m:sSubPr>
          <m:e>
            <m:r>
              <w:rPr>
                <w:rFonts w:ascii="Cambria Math" w:hAnsi="Cambria Math"/>
              </w:rPr>
              <m:t xml:space="preserve"> R</m:t>
            </m:r>
          </m:e>
          <m:sub>
            <m:r>
              <w:rPr>
                <w:rFonts w:ascii="Cambria Math" w:hAnsi="Cambria Math"/>
              </w:rPr>
              <m:t>c</m:t>
            </m:r>
          </m:sub>
        </m:sSub>
        <m:r>
          <w:rPr>
            <w:rFonts w:ascii="Cambria Math" w:hAnsi="Cambria Math"/>
          </w:rPr>
          <m:t xml:space="preserve"> </m:t>
        </m:r>
      </m:oMath>
      <w:r w:rsidRPr="00BC31E0">
        <w:rPr>
          <w:rFonts w:hint="eastAsia"/>
        </w:rPr>
        <w:t>は，胴の厚さの</w:t>
      </w:r>
      <w:r w:rsidRPr="00BC31E0">
        <w:t>25%</w:t>
      </w:r>
      <w:r w:rsidRPr="00BC31E0">
        <w:rPr>
          <w:rFonts w:hint="eastAsia"/>
        </w:rPr>
        <w:t>とする。</w:t>
      </w:r>
    </w:p>
    <w:p w14:paraId="7F4F0866" w14:textId="77777777" w:rsidR="00F97F11" w:rsidRPr="00BC31E0" w:rsidRDefault="00F87ADB" w:rsidP="00736130">
      <w:pPr>
        <w:pStyle w:val="a4"/>
        <w:numPr>
          <w:ilvl w:val="0"/>
          <w:numId w:val="382"/>
        </w:numPr>
        <w:ind w:leftChars="0" w:left="454" w:hanging="454"/>
      </w:pPr>
      <w:r w:rsidRPr="00BC31E0">
        <w:rPr>
          <w:rFonts w:hint="eastAsia"/>
        </w:rPr>
        <w:t>内側コーナーの接線からの一体型平鏡板の厚さ</w:t>
      </w:r>
      <m:oMath>
        <m:sSub>
          <m:sSubPr>
            <m:ctrlPr>
              <w:rPr>
                <w:rFonts w:ascii="Cambria Math" w:hAnsi="Cambria Math"/>
                <w:i/>
              </w:rPr>
            </m:ctrlPr>
          </m:sSubPr>
          <m:e>
            <m:r>
              <w:rPr>
                <w:rFonts w:ascii="Cambria Math" w:hAnsi="Cambria Math"/>
              </w:rPr>
              <m:t xml:space="preserve"> t</m:t>
            </m:r>
          </m:e>
          <m:sub>
            <m:r>
              <w:rPr>
                <w:rFonts w:ascii="Cambria Math" w:hAnsi="Cambria Math"/>
              </w:rPr>
              <m:t>b</m:t>
            </m:r>
          </m:sub>
        </m:sSub>
        <m:r>
          <w:rPr>
            <w:rFonts w:ascii="Cambria Math" w:hAnsi="Cambria Math"/>
          </w:rPr>
          <m:t xml:space="preserve"> </m:t>
        </m:r>
      </m:oMath>
      <w:r w:rsidRPr="00BC31E0">
        <w:rPr>
          <w:rFonts w:hint="eastAsia"/>
        </w:rPr>
        <w:t>は</w:t>
      </w:r>
      <w:r w:rsidRPr="00BC31E0">
        <w:rPr>
          <w:rFonts w:hint="eastAsia"/>
        </w:rPr>
        <w:t>(</w:t>
      </w:r>
      <w:r w:rsidRPr="00BC31E0">
        <w:rPr>
          <w:rFonts w:asciiTheme="majorEastAsia" w:eastAsiaTheme="majorEastAsia" w:hAnsiTheme="majorEastAsia" w:hint="eastAsia"/>
          <w:b/>
          <w:bCs/>
        </w:rPr>
        <w:t>図G.1</w:t>
      </w:r>
      <w:r w:rsidRPr="00BC31E0">
        <w:rPr>
          <w:rFonts w:hint="eastAsia"/>
        </w:rPr>
        <w:t>による</w:t>
      </w:r>
      <w:r w:rsidRPr="00BC31E0">
        <w:rPr>
          <w:rFonts w:hint="eastAsia"/>
        </w:rPr>
        <w:t>)</w:t>
      </w:r>
      <w:r w:rsidRPr="00BC31E0">
        <w:rPr>
          <w:rFonts w:hint="eastAsia"/>
        </w:rPr>
        <w:t>，胴の厚さ以上とする。また，胴の厚さ</w:t>
      </w:r>
      <m:oMath>
        <m:sSub>
          <m:sSubPr>
            <m:ctrlPr>
              <w:rPr>
                <w:rFonts w:ascii="Cambria Math" w:hAnsi="Cambria Math"/>
                <w:i/>
              </w:rPr>
            </m:ctrlPr>
          </m:sSubPr>
          <m:e>
            <m:r>
              <w:rPr>
                <w:rFonts w:ascii="Cambria Math" w:hAnsi="Cambria Math"/>
              </w:rPr>
              <m:t xml:space="preserve"> t</m:t>
            </m:r>
          </m:e>
          <m:sub>
            <m:r>
              <w:rPr>
                <w:rFonts w:ascii="Cambria Math" w:hAnsi="Cambria Math"/>
              </w:rPr>
              <m:t>w</m:t>
            </m:r>
          </m:sub>
        </m:sSub>
        <m:r>
          <w:rPr>
            <w:rFonts w:ascii="Cambria Math" w:hAnsi="Cambria Math"/>
          </w:rPr>
          <m:t xml:space="preserve"> </m:t>
        </m:r>
      </m:oMath>
      <w:r w:rsidRPr="00BC31E0">
        <w:rPr>
          <w:rFonts w:hint="eastAsia"/>
        </w:rPr>
        <w:t>の</w:t>
      </w:r>
      <w:r w:rsidRPr="00BC31E0">
        <w:t>2</w:t>
      </w:r>
      <w:r w:rsidRPr="00BC31E0">
        <w:rPr>
          <w:rFonts w:hint="eastAsia"/>
        </w:rPr>
        <w:t>倍を超えてはならない。</w:t>
      </w:r>
    </w:p>
    <w:p w14:paraId="160239F4" w14:textId="77777777" w:rsidR="00F87ADB" w:rsidRPr="00BC31E0" w:rsidRDefault="00F87ADB" w:rsidP="00736130">
      <w:pPr>
        <w:pStyle w:val="a4"/>
        <w:numPr>
          <w:ilvl w:val="0"/>
          <w:numId w:val="382"/>
        </w:numPr>
        <w:ind w:leftChars="0" w:left="454" w:hanging="454"/>
      </w:pPr>
      <w:r w:rsidRPr="00BC31E0">
        <w:rPr>
          <w:rFonts w:hint="eastAsia"/>
        </w:rPr>
        <w:t>一体型平鏡板の厚さは次式で計算する。</w:t>
      </w:r>
    </w:p>
    <w:p w14:paraId="6E75F3B8" w14:textId="77777777" w:rsidR="00F87ADB" w:rsidRPr="00BC31E0" w:rsidRDefault="00F97F11" w:rsidP="00F97F11">
      <w:pPr>
        <w:spacing w:after="120"/>
        <w:ind w:left="454"/>
        <w:rPr>
          <w:rFonts w:asciiTheme="minorHAnsi" w:eastAsiaTheme="minorEastAsia" w:hAnsiTheme="minorHAnsi"/>
        </w:rPr>
      </w:pPr>
      <m:oMath>
        <m:r>
          <m:rPr>
            <m:sty m:val="p"/>
          </m:rPr>
          <w:rPr>
            <w:rFonts w:ascii="Cambria Math" w:eastAsiaTheme="minorEastAsia" w:hAnsiTheme="minorHAnsi"/>
          </w:rPr>
          <m:t>1.5</m:t>
        </m:r>
        <m:r>
          <m:rPr>
            <m:sty m:val="p"/>
          </m:rPr>
          <w:rPr>
            <w:rFonts w:asciiTheme="minorHAnsi" w:eastAsiaTheme="minorEastAsia" w:hAnsiTheme="minorEastAsia"/>
          </w:rPr>
          <m:t>≦</m:t>
        </m:r>
        <m:r>
          <w:rPr>
            <w:rFonts w:ascii="Cambria Math" w:eastAsiaTheme="minorEastAsia" w:hAnsi="Cambria Math"/>
          </w:rPr>
          <m:t>Y</m:t>
        </m:r>
        <m:r>
          <m:rPr>
            <m:sty m:val="p"/>
          </m:rPr>
          <w:rPr>
            <w:rFonts w:asciiTheme="minorHAnsi" w:eastAsiaTheme="minorEastAsia" w:hAnsiTheme="minorEastAsia"/>
          </w:rPr>
          <m:t>≦</m:t>
        </m:r>
        <m:r>
          <m:rPr>
            <m:sty m:val="p"/>
          </m:rPr>
          <w:rPr>
            <w:rFonts w:ascii="Cambria Math" w:eastAsiaTheme="minorEastAsia" w:hAnsiTheme="minorHAnsi"/>
          </w:rPr>
          <m:t>2.25</m:t>
        </m:r>
        <m:r>
          <m:rPr>
            <m:sty m:val="p"/>
          </m:rPr>
          <w:rPr>
            <w:rFonts w:asciiTheme="minorHAnsi" w:eastAsiaTheme="minorEastAsia" w:hAnsiTheme="minorEastAsia"/>
          </w:rPr>
          <m:t>，かつ</m:t>
        </m:r>
        <m:sSub>
          <m:sSubPr>
            <m:ctrlPr>
              <w:rPr>
                <w:rFonts w:ascii="Cambria Math" w:eastAsiaTheme="minorEastAsia" w:hAnsiTheme="minorHAnsi"/>
              </w:rPr>
            </m:ctrlPr>
          </m:sSubPr>
          <m:e>
            <m:r>
              <m:rPr>
                <m:sty m:val="p"/>
              </m:rPr>
              <w:rPr>
                <w:rFonts w:ascii="Cambria Math" w:eastAsiaTheme="minorEastAsia" w:hAnsiTheme="minorHAnsi"/>
              </w:rPr>
              <m:t xml:space="preserve"> </m:t>
            </m:r>
            <m:r>
              <w:rPr>
                <w:rFonts w:ascii="Cambria Math" w:eastAsiaTheme="minorEastAsia" w:hAnsi="Cambria Math"/>
              </w:rPr>
              <m:t>R</m:t>
            </m:r>
          </m:e>
          <m:sub>
            <m:r>
              <w:rPr>
                <w:rFonts w:ascii="Cambria Math" w:eastAsiaTheme="minorEastAsia" w:hAnsi="Cambria Math"/>
              </w:rPr>
              <m:t>c</m:t>
            </m:r>
          </m:sub>
        </m:sSub>
        <m:r>
          <m:rPr>
            <m:sty m:val="p"/>
          </m:rPr>
          <w:rPr>
            <w:rFonts w:ascii="Cambria Math" w:eastAsiaTheme="minorEastAsia" w:hAnsiTheme="minorHAnsi"/>
          </w:rPr>
          <m:t xml:space="preserve">=0.25 </m:t>
        </m:r>
        <m:sSub>
          <m:sSubPr>
            <m:ctrlPr>
              <w:rPr>
                <w:rFonts w:ascii="Cambria Math" w:eastAsiaTheme="minorEastAsia" w:hAnsiTheme="minorHAnsi"/>
              </w:rPr>
            </m:ctrlPr>
          </m:sSubPr>
          <m:e>
            <m:r>
              <w:rPr>
                <w:rFonts w:ascii="Cambria Math" w:eastAsiaTheme="minorEastAsia" w:hAnsi="Cambria Math"/>
              </w:rPr>
              <m:t>t</m:t>
            </m:r>
          </m:e>
          <m:sub>
            <m:r>
              <w:rPr>
                <w:rFonts w:ascii="Cambria Math" w:eastAsiaTheme="minorEastAsia" w:hAnsi="Cambria Math"/>
              </w:rPr>
              <m:t>w</m:t>
            </m:r>
          </m:sub>
        </m:sSub>
        <m:r>
          <m:rPr>
            <m:sty m:val="p"/>
          </m:rPr>
          <w:rPr>
            <w:rFonts w:ascii="Cambria Math" w:eastAsiaTheme="minorEastAsia" w:hAnsiTheme="minorHAnsi"/>
          </w:rPr>
          <m:t xml:space="preserve"> </m:t>
        </m:r>
      </m:oMath>
      <w:r w:rsidR="00F87ADB" w:rsidRPr="00BC31E0">
        <w:rPr>
          <w:rFonts w:asciiTheme="minorHAnsi" w:eastAsiaTheme="minorEastAsia" w:hAnsiTheme="minorEastAsia"/>
        </w:rPr>
        <w:t>のとき，</w:t>
      </w:r>
    </w:p>
    <w:p w14:paraId="3E13CEE2" w14:textId="77777777" w:rsidR="00F87ADB" w:rsidRPr="00BC31E0" w:rsidRDefault="00F97F11" w:rsidP="00F97F11">
      <w:pPr>
        <w:tabs>
          <w:tab w:val="left" w:pos="2268"/>
          <w:tab w:val="left" w:leader="middleDot" w:pos="8505"/>
        </w:tabs>
        <w:rPr>
          <w:b/>
        </w:rPr>
      </w:pPr>
      <w:r w:rsidRPr="00BC31E0">
        <w:rPr>
          <w:rFonts w:asciiTheme="minorHAnsi" w:eastAsiaTheme="minorEastAsia" w:hAnsiTheme="minorHAnsi" w:hint="eastAsia"/>
          <w:b/>
        </w:rPr>
        <w:tab/>
      </w:r>
      <m:oMath>
        <m:sSub>
          <m:sSubPr>
            <m:ctrlPr>
              <w:rPr>
                <w:rFonts w:ascii="Cambria Math" w:hAnsi="Cambria Math"/>
                <w:i/>
              </w:rPr>
            </m:ctrlPr>
          </m:sSubPr>
          <m:e>
            <m:r>
              <w:rPr>
                <w:rFonts w:ascii="Cambria Math" w:hAnsi="Cambria Math"/>
              </w:rPr>
              <m:t>t</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w</m:t>
            </m:r>
          </m:sub>
        </m:sSub>
        <m:d>
          <m:dPr>
            <m:ctrlPr>
              <w:rPr>
                <w:rFonts w:ascii="Cambria Math" w:hAnsi="Cambria Math"/>
                <w:i/>
              </w:rPr>
            </m:ctrlPr>
          </m:dPr>
          <m:e>
            <m:r>
              <w:rPr>
                <w:rFonts w:ascii="Cambria Math" w:hAnsi="Cambria Math"/>
              </w:rPr>
              <m:t xml:space="preserve">-1.0667 </m:t>
            </m:r>
            <m:sSup>
              <m:sSupPr>
                <m:ctrlPr>
                  <w:rPr>
                    <w:rFonts w:ascii="Cambria Math" w:hAnsi="Cambria Math"/>
                    <w:i/>
                  </w:rPr>
                </m:ctrlPr>
              </m:sSupPr>
              <m:e>
                <m:r>
                  <w:rPr>
                    <w:rFonts w:ascii="Cambria Math" w:hAnsi="Cambria Math"/>
                  </w:rPr>
                  <m:t>Y</m:t>
                </m:r>
              </m:e>
              <m:sup>
                <m:r>
                  <w:rPr>
                    <w:rFonts w:ascii="Cambria Math" w:hAnsi="Cambria Math"/>
                  </w:rPr>
                  <m:t>3</m:t>
                </m:r>
              </m:sup>
            </m:sSup>
            <m:r>
              <w:rPr>
                <w:rFonts w:ascii="Cambria Math" w:hAnsi="Cambria Math"/>
              </w:rPr>
              <m:t xml:space="preserve">+6.80 </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-15.433 Y+13.45</m:t>
            </m:r>
          </m:e>
        </m:d>
      </m:oMath>
      <w:r w:rsidR="00F87ADB" w:rsidRPr="00BC31E0">
        <w:rPr>
          <w:rFonts w:asciiTheme="minorHAnsi" w:hAnsiTheme="minorHAnsi"/>
        </w:rPr>
        <w:tab/>
        <w:t>(1)</w:t>
      </w:r>
    </w:p>
    <w:p w14:paraId="18F48374" w14:textId="77777777" w:rsidR="00F87ADB" w:rsidRPr="00BC31E0" w:rsidRDefault="00F97F11" w:rsidP="00F97F11">
      <w:pPr>
        <w:spacing w:before="120"/>
        <w:ind w:left="454"/>
        <w:rPr>
          <w:rFonts w:asciiTheme="minorHAnsi" w:eastAsiaTheme="minorEastAsia" w:hAnsiTheme="minorHAnsi" w:cs="Batang"/>
        </w:rPr>
      </w:pPr>
      <m:oMath>
        <m:r>
          <w:rPr>
            <w:rFonts w:ascii="Cambria Math" w:eastAsiaTheme="minorEastAsia" w:hAnsi="Cambria Math"/>
          </w:rPr>
          <m:t>Y</m:t>
        </m:r>
        <m:r>
          <w:rPr>
            <w:rFonts w:ascii="Cambria Math" w:eastAsiaTheme="minorEastAsia" w:hAnsiTheme="minorHAnsi"/>
          </w:rPr>
          <m:t>&gt;2.25</m:t>
        </m:r>
      </m:oMath>
      <w:r w:rsidR="00F87ADB" w:rsidRPr="00BC31E0">
        <w:rPr>
          <w:rFonts w:asciiTheme="minorHAnsi" w:eastAsiaTheme="minorEastAsia" w:hAnsiTheme="minorEastAsia"/>
        </w:rPr>
        <w:t>，かつ</w:t>
      </w:r>
      <m:oMath>
        <m:sSub>
          <m:sSubPr>
            <m:ctrlPr>
              <w:rPr>
                <w:rFonts w:ascii="Cambria Math" w:eastAsiaTheme="minorEastAsia" w:hAnsiTheme="minorHAnsi"/>
                <w:i/>
              </w:rPr>
            </m:ctrlPr>
          </m:sSubPr>
          <m:e>
            <m:r>
              <w:rPr>
                <w:rFonts w:ascii="Cambria Math" w:eastAsiaTheme="minorEastAsia" w:hAnsiTheme="minorHAnsi"/>
              </w:rPr>
              <m:t xml:space="preserve"> </m:t>
            </m:r>
            <m:r>
              <w:rPr>
                <w:rFonts w:ascii="Cambria Math" w:eastAsiaTheme="minorEastAsia" w:hAnsi="Cambria Math"/>
              </w:rPr>
              <m:t>R</m:t>
            </m:r>
          </m:e>
          <m:sub>
            <m:r>
              <w:rPr>
                <w:rFonts w:ascii="Cambria Math" w:eastAsiaTheme="minorEastAsia" w:hAnsi="Cambria Math"/>
              </w:rPr>
              <m:t>c</m:t>
            </m:r>
          </m:sub>
        </m:sSub>
        <m:r>
          <w:rPr>
            <w:rFonts w:ascii="Cambria Math" w:eastAsiaTheme="minorEastAsia" w:hAnsi="Cambria Math"/>
          </w:rPr>
          <m:t>≧</m:t>
        </m:r>
        <m:r>
          <w:rPr>
            <w:rFonts w:ascii="Cambria Math" w:eastAsiaTheme="minorEastAsia" w:hAnsiTheme="minorHAnsi"/>
          </w:rPr>
          <m:t xml:space="preserve">0.25 </m:t>
        </m:r>
        <m:sSub>
          <m:sSubPr>
            <m:ctrlPr>
              <w:rPr>
                <w:rFonts w:ascii="Cambria Math" w:eastAsiaTheme="minorEastAsia" w:hAnsiTheme="minorHAnsi"/>
                <w:i/>
              </w:rPr>
            </m:ctrlPr>
          </m:sSubPr>
          <m:e>
            <m:r>
              <w:rPr>
                <w:rFonts w:ascii="Cambria Math" w:eastAsiaTheme="minorEastAsia" w:hAnsi="Cambria Math"/>
              </w:rPr>
              <m:t>t</m:t>
            </m:r>
          </m:e>
          <m:sub>
            <m:r>
              <w:rPr>
                <w:rFonts w:ascii="Cambria Math" w:eastAsiaTheme="minorEastAsia" w:hAnsi="Cambria Math"/>
              </w:rPr>
              <m:t>w</m:t>
            </m:r>
          </m:sub>
        </m:sSub>
        <m:r>
          <w:rPr>
            <w:rFonts w:ascii="Cambria Math" w:eastAsiaTheme="minorEastAsia" w:hAnsiTheme="minorHAnsi"/>
          </w:rPr>
          <m:t xml:space="preserve"> </m:t>
        </m:r>
      </m:oMath>
      <w:r w:rsidR="00F87ADB" w:rsidRPr="00BC31E0">
        <w:rPr>
          <w:rFonts w:asciiTheme="minorHAnsi" w:eastAsiaTheme="minorEastAsia" w:hAnsiTheme="minorEastAsia" w:cs="Batang"/>
        </w:rPr>
        <w:t>のとき，</w:t>
      </w:r>
    </w:p>
    <w:p w14:paraId="7763BA53" w14:textId="77777777" w:rsidR="00F87ADB" w:rsidRPr="00BC31E0" w:rsidRDefault="00F97F11" w:rsidP="00F97F11">
      <w:pPr>
        <w:tabs>
          <w:tab w:val="left" w:pos="4111"/>
          <w:tab w:val="left" w:leader="middleDot" w:pos="8505"/>
        </w:tabs>
        <w:rPr>
          <w:rFonts w:cs="Batang"/>
          <w:b/>
        </w:rPr>
      </w:pPr>
      <w:r w:rsidRPr="00BC31E0">
        <w:rPr>
          <w:rFonts w:asciiTheme="minorHAnsi" w:eastAsiaTheme="minorEastAsia" w:hAnsiTheme="minorHAnsi" w:cs="Batang" w:hint="eastAsia"/>
          <w:b/>
        </w:rPr>
        <w:tab/>
      </w:r>
      <m:oMath>
        <m:sSub>
          <m:sSubPr>
            <m:ctrlPr>
              <w:rPr>
                <w:rFonts w:ascii="Cambria Math" w:hAnsi="Cambria Math"/>
                <w:i/>
              </w:rPr>
            </m:ctrlPr>
          </m:sSubPr>
          <m:e>
            <m:r>
              <w:rPr>
                <w:rFonts w:ascii="Cambria Math" w:hAnsi="Cambria Math"/>
              </w:rPr>
              <m:t>t</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w</m:t>
            </m:r>
          </m:sub>
        </m:sSub>
      </m:oMath>
      <w:r w:rsidRPr="00BC31E0">
        <w:rPr>
          <w:rFonts w:asciiTheme="minorHAnsi" w:hAnsiTheme="minorHAnsi" w:cs="Batang"/>
        </w:rPr>
        <w:tab/>
      </w:r>
      <w:r w:rsidR="00F87ADB" w:rsidRPr="00BC31E0">
        <w:rPr>
          <w:rFonts w:asciiTheme="minorHAnsi" w:hAnsiTheme="minorHAnsi" w:cs="Batang"/>
        </w:rPr>
        <w:t>(2)</w:t>
      </w:r>
    </w:p>
    <w:p w14:paraId="47F00367" w14:textId="77777777" w:rsidR="00F97F11" w:rsidRPr="00BC31E0" w:rsidRDefault="00F87ADB" w:rsidP="00736130">
      <w:pPr>
        <w:pStyle w:val="a4"/>
        <w:numPr>
          <w:ilvl w:val="0"/>
          <w:numId w:val="377"/>
        </w:numPr>
        <w:spacing w:before="120"/>
        <w:ind w:leftChars="0" w:left="454" w:hanging="454"/>
      </w:pPr>
      <w:r w:rsidRPr="00BC31E0">
        <w:rPr>
          <w:rFonts w:asciiTheme="majorEastAsia" w:eastAsiaTheme="majorEastAsia" w:hAnsiTheme="majorEastAsia" w:hint="eastAsia"/>
          <w:b/>
          <w:bCs/>
        </w:rPr>
        <w:t>図G.1</w:t>
      </w:r>
      <w:r w:rsidRPr="00BC31E0">
        <w:rPr>
          <w:rFonts w:hint="eastAsia"/>
        </w:rPr>
        <w:t>に示す角度</w:t>
      </w:r>
      <m:oMath>
        <m:r>
          <m:rPr>
            <m:sty m:val="p"/>
          </m:rPr>
          <w:rPr>
            <w:rFonts w:ascii="Cambria Math" w:hAnsi="Cambria Math"/>
          </w:rPr>
          <m:t xml:space="preserve"> </m:t>
        </m:r>
        <m:r>
          <w:rPr>
            <w:rFonts w:ascii="Cambria Math" w:hAnsi="Cambria Math"/>
          </w:rPr>
          <m:t>α</m:t>
        </m:r>
        <m:r>
          <m:rPr>
            <m:sty m:val="p"/>
          </m:rPr>
          <w:rPr>
            <w:rFonts w:ascii="Cambria Math" w:hAnsi="Cambria Math"/>
          </w:rPr>
          <m:t xml:space="preserve"> </m:t>
        </m:r>
      </m:oMath>
      <w:r w:rsidRPr="00BC31E0">
        <w:rPr>
          <w:rFonts w:hint="eastAsia"/>
        </w:rPr>
        <w:t>は，最大</w:t>
      </w:r>
      <w:r w:rsidRPr="00BC31E0">
        <w:t>10°</w:t>
      </w:r>
      <w:r w:rsidRPr="00BC31E0">
        <w:rPr>
          <w:rFonts w:hint="eastAsia"/>
        </w:rPr>
        <w:t>とする。</w:t>
      </w:r>
    </w:p>
    <w:p w14:paraId="5DBF6CFE" w14:textId="77777777" w:rsidR="00F87ADB" w:rsidRPr="00BC31E0" w:rsidRDefault="00F87ADB" w:rsidP="00736130">
      <w:pPr>
        <w:pStyle w:val="a4"/>
        <w:numPr>
          <w:ilvl w:val="0"/>
          <w:numId w:val="377"/>
        </w:numPr>
        <w:ind w:leftChars="0" w:left="454" w:hanging="454"/>
      </w:pPr>
      <w:r w:rsidRPr="00BC31E0">
        <w:rPr>
          <w:rFonts w:hint="eastAsia"/>
        </w:rPr>
        <w:t>一体型平鏡板の穴の径</w:t>
      </w:r>
      <m:oMath>
        <m:sSub>
          <m:sSubPr>
            <m:ctrlPr>
              <w:rPr>
                <w:rFonts w:ascii="Cambria Math" w:hAnsi="Cambria Math"/>
                <w:i/>
              </w:rPr>
            </m:ctrlPr>
          </m:sSubPr>
          <m:e>
            <m:r>
              <w:rPr>
                <w:rFonts w:ascii="Cambria Math" w:hAnsi="Cambria Math"/>
              </w:rPr>
              <m:t xml:space="preserve"> D</m:t>
            </m:r>
          </m:e>
          <m:sub>
            <m:r>
              <w:rPr>
                <w:rFonts w:ascii="Cambria Math" w:hAnsi="Cambria Math"/>
              </w:rPr>
              <m:t xml:space="preserve">op </m:t>
            </m:r>
          </m:sub>
        </m:sSub>
      </m:oMath>
      <w:r w:rsidRPr="00BC31E0">
        <w:rPr>
          <w:rFonts w:hint="eastAsia"/>
        </w:rPr>
        <w:t>は容器内径の</w:t>
      </w:r>
      <w:r w:rsidRPr="00BC31E0">
        <w:t>15%</w:t>
      </w:r>
      <w:r w:rsidRPr="00BC31E0">
        <w:rPr>
          <w:rFonts w:hint="eastAsia"/>
        </w:rPr>
        <w:t>を越えてはならない。また，穴は容器の中心線に設ける。</w:t>
      </w:r>
    </w:p>
    <w:p w14:paraId="13C53FAB" w14:textId="77777777" w:rsidR="00F87ADB" w:rsidRPr="00BC31E0" w:rsidRDefault="00F87ADB" w:rsidP="00483D57">
      <w:pPr>
        <w:pStyle w:val="110"/>
        <w:spacing w:line="240" w:lineRule="auto"/>
        <w:ind w:left="567" w:hanging="567"/>
      </w:pPr>
      <w:r w:rsidRPr="00BC31E0">
        <w:rPr>
          <w:rFonts w:hint="eastAsia"/>
        </w:rPr>
        <w:t>疲労解析に用いる応力</w:t>
      </w:r>
    </w:p>
    <w:p w14:paraId="11282C1C" w14:textId="77777777" w:rsidR="00F87ADB" w:rsidRPr="00BC31E0" w:rsidRDefault="00F87ADB" w:rsidP="00483D57">
      <w:pPr>
        <w:pStyle w:val="113"/>
        <w:spacing w:after="120"/>
        <w:ind w:firstLine="210"/>
      </w:pPr>
      <w:r w:rsidRPr="00BC31E0">
        <w:rPr>
          <w:rFonts w:hint="eastAsia"/>
        </w:rPr>
        <w:t>本体の</w:t>
      </w:r>
      <w:r w:rsidRPr="00BC31E0">
        <w:rPr>
          <w:rFonts w:ascii="ＭＳ ゴシック" w:eastAsia="ＭＳ ゴシック" w:hAnsi="ＭＳ ゴシック"/>
          <w:b/>
          <w:bCs/>
        </w:rPr>
        <w:t>6.3</w:t>
      </w:r>
      <w:r w:rsidRPr="00BC31E0">
        <w:rPr>
          <w:rFonts w:hint="eastAsia"/>
        </w:rPr>
        <w:t>により疲労評価されるコーナー部の主応力は，</w:t>
      </w:r>
      <m:oMath>
        <m:r>
          <w:rPr>
            <w:rFonts w:ascii="Cambria Math" w:hAnsi="Cambria Math"/>
          </w:rPr>
          <m:t>1.25</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4.0</m:t>
        </m:r>
      </m:oMath>
      <w:r w:rsidRPr="00BC31E0">
        <w:rPr>
          <w:rFonts w:hint="eastAsia"/>
        </w:rPr>
        <w:t>，かつ，</w:t>
      </w:r>
      <m:oMath>
        <m:sSub>
          <m:sSubPr>
            <m:ctrlPr>
              <w:rPr>
                <w:rFonts w:ascii="Cambria Math" w:hAnsiTheme="minorHAnsi"/>
                <w:i/>
              </w:rPr>
            </m:ctrlPr>
          </m:sSubPr>
          <m:e>
            <m:r>
              <w:rPr>
                <w:rFonts w:ascii="Cambria Math" w:hAnsi="Cambria Math"/>
              </w:rPr>
              <m:t>R</m:t>
            </m:r>
          </m:e>
          <m:sub>
            <m:r>
              <w:rPr>
                <w:rFonts w:ascii="Cambria Math" w:hAnsi="Cambria Math"/>
              </w:rPr>
              <m:t>c</m:t>
            </m:r>
          </m:sub>
        </m:sSub>
        <m:r>
          <w:rPr>
            <w:rFonts w:ascii="Cambria Math" w:hAnsiTheme="minorHAnsi"/>
          </w:rPr>
          <m:t>=</m:t>
        </m:r>
        <m:r>
          <w:rPr>
            <w:rFonts w:ascii="Cambria Math" w:hAnsi="Cambria Math"/>
          </w:rPr>
          <m:t>0</m:t>
        </m:r>
        <m:r>
          <w:rPr>
            <w:rFonts w:ascii="Cambria Math" w:hAnsiTheme="minorHAnsi"/>
          </w:rPr>
          <m:t>.</m:t>
        </m:r>
        <m:r>
          <w:rPr>
            <w:rFonts w:ascii="Cambria Math" w:hAnsi="Cambria Math"/>
          </w:rPr>
          <m:t>25</m:t>
        </m:r>
        <m:r>
          <w:rPr>
            <w:rFonts w:ascii="Cambria Math" w:hAnsiTheme="minorHAnsi"/>
          </w:rPr>
          <m:t xml:space="preserve"> </m:t>
        </m:r>
        <m:sSub>
          <m:sSubPr>
            <m:ctrlPr>
              <w:rPr>
                <w:rFonts w:ascii="Cambria Math" w:hAnsiTheme="minorHAnsi"/>
                <w:i/>
              </w:rPr>
            </m:ctrlPr>
          </m:sSubPr>
          <m:e>
            <m:r>
              <w:rPr>
                <w:rFonts w:ascii="Cambria Math" w:hAnsi="Cambria Math"/>
              </w:rPr>
              <m:t>t</m:t>
            </m:r>
          </m:e>
          <m:sub>
            <m:r>
              <w:rPr>
                <w:rFonts w:ascii="Cambria Math" w:hAnsi="Cambria Math"/>
              </w:rPr>
              <m:t>w</m:t>
            </m:r>
          </m:sub>
        </m:sSub>
        <m:r>
          <w:rPr>
            <w:rFonts w:ascii="Cambria Math" w:hAnsiTheme="minorHAnsi"/>
          </w:rPr>
          <m:t xml:space="preserve"> </m:t>
        </m:r>
      </m:oMath>
      <w:r w:rsidRPr="00BC31E0">
        <w:rPr>
          <w:rFonts w:hint="eastAsia"/>
        </w:rPr>
        <w:t>のときに次式で計算する。</w:t>
      </w:r>
    </w:p>
    <w:tbl>
      <w:tblPr>
        <w:tblStyle w:val="200"/>
        <w:tblW w:w="8099"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
        <w:gridCol w:w="6002"/>
        <w:gridCol w:w="1295"/>
      </w:tblGrid>
      <w:tr w:rsidR="00F87ADB" w:rsidRPr="00BC31E0" w14:paraId="74FCF833" w14:textId="77777777" w:rsidTr="004736F2">
        <w:tc>
          <w:tcPr>
            <w:tcW w:w="6804" w:type="dxa"/>
            <w:gridSpan w:val="2"/>
            <w:tcMar>
              <w:left w:w="0" w:type="dxa"/>
              <w:right w:w="0" w:type="dxa"/>
            </w:tcMar>
            <w:vAlign w:val="center"/>
          </w:tcPr>
          <w:p w14:paraId="4D30EF5C" w14:textId="77777777" w:rsidR="00F87ADB" w:rsidRPr="00BC31E0" w:rsidRDefault="00A51873" w:rsidP="00F97F11">
            <w:pPr>
              <w:jc w:val="left"/>
              <w:rPr>
                <w:rFonts w:asciiTheme="minorHAnsi" w:hAnsiTheme="minorHAnsi"/>
              </w:rPr>
            </w:pPr>
            <m:oMathPara>
              <m:oMathParaPr>
                <m:jc m:val="left"/>
              </m:oMathParaPr>
              <m:oMath>
                <m:sSub>
                  <m:sSubPr>
                    <m:ctrlPr>
                      <w:rPr>
                        <w:rFonts w:ascii="Cambria Math" w:hAnsi="Cambria Math"/>
                      </w:rPr>
                    </m:ctrlPr>
                  </m:sSubPr>
                  <m:e>
                    <m:r>
                      <w:rPr>
                        <w:rFonts w:ascii="Cambria Math" w:hAnsi="Cambria Math"/>
                      </w:rPr>
                      <m:t>σ</m:t>
                    </m:r>
                  </m:e>
                  <m:sub>
                    <m:r>
                      <w:rPr>
                        <w:rFonts w:ascii="Cambria Math" w:hAnsi="Cambria Math"/>
                      </w:rPr>
                      <m:t>1</m:t>
                    </m:r>
                  </m:sub>
                </m:sSub>
                <m:r>
                  <w:rPr>
                    <w:rFonts w:ascii="Cambria Math" w:hAnsi="Cambria Math"/>
                  </w:rPr>
                  <m:t>=P</m:t>
                </m:r>
                <m:d>
                  <m:dPr>
                    <m:begChr m:val="{"/>
                    <m:endChr m:val="}"/>
                    <m:ctrlPr>
                      <w:rPr>
                        <w:rFonts w:ascii="Cambria Math" w:hAnsi="Cambria Math"/>
                      </w:rPr>
                    </m:ctrlPr>
                  </m:dPr>
                  <m:e>
                    <m:r>
                      <w:rPr>
                        <w:rFonts w:ascii="Cambria Math" w:hAnsi="Cambria Math"/>
                      </w:rPr>
                      <m:t>0.6322-1.516 Y+4.5731</m:t>
                    </m:r>
                    <m:f>
                      <m:fPr>
                        <m:ctrlPr>
                          <w:rPr>
                            <w:rFonts w:ascii="Cambria Math" w:hAnsi="Cambria Math"/>
                          </w:rPr>
                        </m:ctrlPr>
                      </m:fPr>
                      <m:num>
                        <m:r>
                          <w:rPr>
                            <w:rFonts w:ascii="Cambria Math" w:hAnsi="Cambria Math"/>
                          </w:rPr>
                          <m:t>Y</m:t>
                        </m:r>
                      </m:num>
                      <m:den>
                        <m:func>
                          <m:funcPr>
                            <m:ctrlPr>
                              <w:rPr>
                                <w:rFonts w:ascii="Cambria Math" w:hAnsi="Cambria Math"/>
                              </w:rPr>
                            </m:ctrlPr>
                          </m:funcPr>
                          <m:fName>
                            <m:r>
                              <m:rPr>
                                <m:sty m:val="bi"/>
                              </m:rPr>
                              <w:rPr>
                                <w:rFonts w:ascii="Cambria Math" w:hAnsi="Cambria Math"/>
                              </w:rPr>
                              <m:t>ln</m:t>
                            </m:r>
                          </m:fName>
                          <m:e>
                            <m:d>
                              <m:dPr>
                                <m:ctrlPr>
                                  <w:rPr>
                                    <w:rFonts w:ascii="Cambria Math" w:hAnsi="Cambria Math"/>
                                  </w:rPr>
                                </m:ctrlPr>
                              </m:dPr>
                              <m:e>
                                <m:r>
                                  <w:rPr>
                                    <w:rFonts w:ascii="Cambria Math" w:hAnsi="Cambria Math"/>
                                  </w:rPr>
                                  <m:t>Y</m:t>
                                </m:r>
                              </m:e>
                            </m:d>
                          </m:e>
                        </m:func>
                      </m:den>
                    </m:f>
                    <m:r>
                      <w:rPr>
                        <w:rFonts w:ascii="Cambria Math" w:hAnsi="Cambria Math"/>
                      </w:rPr>
                      <m:t>-19.1428</m:t>
                    </m:r>
                    <m:f>
                      <m:fPr>
                        <m:ctrlPr>
                          <w:rPr>
                            <w:rFonts w:ascii="Cambria Math" w:hAnsi="Cambria Math"/>
                          </w:rPr>
                        </m:ctrlPr>
                      </m:fPr>
                      <m:num>
                        <m:r>
                          <w:rPr>
                            <w:rFonts w:ascii="Cambria Math" w:hAnsi="Cambria Math"/>
                          </w:rPr>
                          <m:t>1</m:t>
                        </m:r>
                      </m:num>
                      <m:den>
                        <m:rad>
                          <m:radPr>
                            <m:degHide m:val="1"/>
                            <m:ctrlPr>
                              <w:rPr>
                                <w:rFonts w:ascii="Cambria Math" w:hAnsi="Cambria Math"/>
                              </w:rPr>
                            </m:ctrlPr>
                          </m:radPr>
                          <m:deg/>
                          <m:e>
                            <m:r>
                              <w:rPr>
                                <w:rFonts w:ascii="Cambria Math" w:hAnsi="Cambria Math"/>
                              </w:rPr>
                              <m:t>Y</m:t>
                            </m:r>
                          </m:e>
                        </m:rad>
                      </m:den>
                    </m:f>
                    <m:r>
                      <w:rPr>
                        <w:rFonts w:ascii="Cambria Math" w:hAnsi="Cambria Math"/>
                      </w:rPr>
                      <m:t>+31.0567</m:t>
                    </m:r>
                    <m:f>
                      <m:fPr>
                        <m:ctrlPr>
                          <w:rPr>
                            <w:rFonts w:ascii="Cambria Math" w:hAnsi="Cambria Math"/>
                          </w:rPr>
                        </m:ctrlPr>
                      </m:fPr>
                      <m:num>
                        <m:func>
                          <m:funcPr>
                            <m:ctrlPr>
                              <w:rPr>
                                <w:rFonts w:ascii="Cambria Math" w:hAnsi="Cambria Math"/>
                              </w:rPr>
                            </m:ctrlPr>
                          </m:funcPr>
                          <m:fName>
                            <m:r>
                              <m:rPr>
                                <m:sty m:val="bi"/>
                              </m:rPr>
                              <w:rPr>
                                <w:rFonts w:ascii="Cambria Math" w:hAnsi="Cambria Math"/>
                              </w:rPr>
                              <m:t>ln</m:t>
                            </m:r>
                          </m:fName>
                          <m:e>
                            <m:d>
                              <m:dPr>
                                <m:ctrlPr>
                                  <w:rPr>
                                    <w:rFonts w:ascii="Cambria Math" w:hAnsi="Cambria Math"/>
                                  </w:rPr>
                                </m:ctrlPr>
                              </m:dPr>
                              <m:e>
                                <m:r>
                                  <w:rPr>
                                    <w:rFonts w:ascii="Cambria Math" w:hAnsi="Cambria Math"/>
                                  </w:rPr>
                                  <m:t>Y</m:t>
                                </m:r>
                              </m:e>
                            </m:d>
                          </m:e>
                        </m:func>
                      </m:num>
                      <m:den>
                        <m:sSup>
                          <m:sSupPr>
                            <m:ctrlPr>
                              <w:rPr>
                                <w:rFonts w:ascii="Cambria Math" w:hAnsi="Cambria Math"/>
                              </w:rPr>
                            </m:ctrlPr>
                          </m:sSupPr>
                          <m:e>
                            <m:r>
                              <w:rPr>
                                <w:rFonts w:ascii="Cambria Math" w:hAnsi="Cambria Math"/>
                              </w:rPr>
                              <m:t>Y</m:t>
                            </m:r>
                          </m:e>
                          <m:sup>
                            <m:r>
                              <w:rPr>
                                <w:rFonts w:ascii="Cambria Math" w:hAnsi="Cambria Math"/>
                              </w:rPr>
                              <m:t>2</m:t>
                            </m:r>
                          </m:sup>
                        </m:sSup>
                      </m:den>
                    </m:f>
                    <m:r>
                      <w:rPr>
                        <w:rFonts w:ascii="Cambria Math" w:hAnsi="Cambria Math"/>
                      </w:rPr>
                      <m:t xml:space="preserve"> </m:t>
                    </m:r>
                  </m:e>
                </m:d>
              </m:oMath>
            </m:oMathPara>
          </w:p>
        </w:tc>
        <w:tc>
          <w:tcPr>
            <w:tcW w:w="1295" w:type="dxa"/>
            <w:tcMar>
              <w:left w:w="0" w:type="dxa"/>
              <w:right w:w="0" w:type="dxa"/>
            </w:tcMar>
            <w:vAlign w:val="center"/>
          </w:tcPr>
          <w:p w14:paraId="695B774F" w14:textId="77777777" w:rsidR="00F87ADB" w:rsidRPr="00BC31E0" w:rsidRDefault="00F87ADB" w:rsidP="00F97F11">
            <w:pPr>
              <w:tabs>
                <w:tab w:val="left" w:leader="middleDot" w:pos="749"/>
              </w:tabs>
              <w:jc w:val="left"/>
              <w:rPr>
                <w:rFonts w:asciiTheme="minorHAnsi" w:hAnsiTheme="minorHAnsi"/>
              </w:rPr>
            </w:pPr>
            <w:r w:rsidRPr="00BC31E0">
              <w:rPr>
                <w:rFonts w:asciiTheme="minorHAnsi" w:hAnsiTheme="minorHAnsi" w:hint="eastAsia"/>
              </w:rPr>
              <w:tab/>
              <w:t>(3)</w:t>
            </w:r>
          </w:p>
        </w:tc>
      </w:tr>
      <w:tr w:rsidR="00F87ADB" w:rsidRPr="00BC31E0" w14:paraId="7F43776E" w14:textId="77777777" w:rsidTr="004736F2">
        <w:tc>
          <w:tcPr>
            <w:tcW w:w="6804" w:type="dxa"/>
            <w:gridSpan w:val="2"/>
            <w:tcMar>
              <w:left w:w="0" w:type="dxa"/>
              <w:right w:w="0" w:type="dxa"/>
            </w:tcMar>
            <w:vAlign w:val="center"/>
          </w:tcPr>
          <w:p w14:paraId="27CAA8F3" w14:textId="77777777" w:rsidR="00F87ADB" w:rsidRPr="00BC31E0" w:rsidRDefault="00A51873" w:rsidP="001B48B4">
            <w:pPr>
              <w:spacing w:before="240"/>
              <w:jc w:val="left"/>
            </w:pPr>
            <m:oMathPara>
              <m:oMathParaPr>
                <m:jc m:val="left"/>
              </m:oMathParaPr>
              <m:oMath>
                <m:sSub>
                  <m:sSubPr>
                    <m:ctrlPr>
                      <w:rPr>
                        <w:rFonts w:ascii="Cambria Math" w:hAnsi="Cambria Math"/>
                      </w:rPr>
                    </m:ctrlPr>
                  </m:sSubPr>
                  <m:e>
                    <m:r>
                      <w:rPr>
                        <w:rFonts w:ascii="Cambria Math" w:hAnsi="Cambria Math"/>
                      </w:rPr>
                      <m:t>σ</m:t>
                    </m:r>
                  </m:e>
                  <m:sub>
                    <m:r>
                      <w:rPr>
                        <w:rFonts w:ascii="Cambria Math" w:hAnsi="Cambria Math"/>
                      </w:rPr>
                      <m:t>2</m:t>
                    </m:r>
                  </m:sub>
                </m:sSub>
                <m:r>
                  <w:rPr>
                    <w:rFonts w:ascii="Cambria Math" w:hAnsi="Cambria Math"/>
                  </w:rPr>
                  <m:t>=P</m:t>
                </m:r>
                <m:d>
                  <m:dPr>
                    <m:begChr m:val="{"/>
                    <m:endChr m:val="}"/>
                    <m:ctrlPr>
                      <w:rPr>
                        <w:rFonts w:ascii="Cambria Math" w:hAnsi="Cambria Math"/>
                      </w:rPr>
                    </m:ctrlPr>
                  </m:dPr>
                  <m:e>
                    <m:r>
                      <w:rPr>
                        <w:rFonts w:ascii="Cambria Math" w:hAnsi="Cambria Math"/>
                      </w:rPr>
                      <m:t>-0.5718+0.1141 Y+1.0208</m:t>
                    </m:r>
                    <m:f>
                      <m:fPr>
                        <m:ctrlPr>
                          <w:rPr>
                            <w:rFonts w:ascii="Cambria Math" w:hAnsi="Cambria Math"/>
                          </w:rPr>
                        </m:ctrlPr>
                      </m:fPr>
                      <m:num>
                        <m:r>
                          <w:rPr>
                            <w:rFonts w:ascii="Cambria Math" w:hAnsi="Cambria Math"/>
                          </w:rPr>
                          <m:t>1</m:t>
                        </m:r>
                      </m:num>
                      <m:den>
                        <m:func>
                          <m:funcPr>
                            <m:ctrlPr>
                              <w:rPr>
                                <w:rFonts w:ascii="Cambria Math" w:hAnsi="Cambria Math"/>
                              </w:rPr>
                            </m:ctrlPr>
                          </m:funcPr>
                          <m:fName>
                            <m:r>
                              <m:rPr>
                                <m:sty m:val="bi"/>
                              </m:rPr>
                              <w:rPr>
                                <w:rFonts w:ascii="Cambria Math" w:hAnsi="Cambria Math"/>
                              </w:rPr>
                              <m:t>ln</m:t>
                            </m:r>
                          </m:fName>
                          <m:e>
                            <m:d>
                              <m:dPr>
                                <m:ctrlPr>
                                  <w:rPr>
                                    <w:rFonts w:ascii="Cambria Math" w:hAnsi="Cambria Math"/>
                                  </w:rPr>
                                </m:ctrlPr>
                              </m:dPr>
                              <m:e>
                                <m:r>
                                  <w:rPr>
                                    <w:rFonts w:ascii="Cambria Math" w:hAnsi="Cambria Math"/>
                                  </w:rPr>
                                  <m:t>Y</m:t>
                                </m:r>
                              </m:e>
                            </m:d>
                          </m:e>
                        </m:func>
                      </m:den>
                    </m:f>
                    <m:r>
                      <w:rPr>
                        <w:rFonts w:ascii="Cambria Math" w:hAnsi="Cambria Math"/>
                      </w:rPr>
                      <m:t>+1.6096</m:t>
                    </m:r>
                    <m:f>
                      <m:fPr>
                        <m:ctrlPr>
                          <w:rPr>
                            <w:rFonts w:ascii="Cambria Math" w:hAnsi="Cambria Math"/>
                          </w:rPr>
                        </m:ctrlPr>
                      </m:fPr>
                      <m:num>
                        <m:func>
                          <m:funcPr>
                            <m:ctrlPr>
                              <w:rPr>
                                <w:rFonts w:ascii="Cambria Math" w:hAnsi="Cambria Math"/>
                              </w:rPr>
                            </m:ctrlPr>
                          </m:funcPr>
                          <m:fName>
                            <m:r>
                              <m:rPr>
                                <m:sty m:val="bi"/>
                              </m:rPr>
                              <w:rPr>
                                <w:rFonts w:ascii="Cambria Math" w:hAnsi="Cambria Math"/>
                              </w:rPr>
                              <m:t>ln</m:t>
                            </m:r>
                          </m:fName>
                          <m:e>
                            <m:d>
                              <m:dPr>
                                <m:ctrlPr>
                                  <w:rPr>
                                    <w:rFonts w:ascii="Cambria Math" w:hAnsi="Cambria Math"/>
                                  </w:rPr>
                                </m:ctrlPr>
                              </m:dPr>
                              <m:e>
                                <m:r>
                                  <w:rPr>
                                    <w:rFonts w:ascii="Cambria Math" w:hAnsi="Cambria Math"/>
                                  </w:rPr>
                                  <m:t>Y</m:t>
                                </m:r>
                              </m:e>
                            </m:d>
                          </m:e>
                        </m:func>
                      </m:num>
                      <m:den>
                        <m:sSup>
                          <m:sSupPr>
                            <m:ctrlPr>
                              <w:rPr>
                                <w:rFonts w:ascii="Cambria Math" w:hAnsi="Cambria Math"/>
                              </w:rPr>
                            </m:ctrlPr>
                          </m:sSupPr>
                          <m:e>
                            <m:r>
                              <w:rPr>
                                <w:rFonts w:ascii="Cambria Math" w:hAnsi="Cambria Math"/>
                              </w:rPr>
                              <m:t>Y</m:t>
                            </m:r>
                          </m:e>
                          <m:sup>
                            <m:r>
                              <w:rPr>
                                <w:rFonts w:ascii="Cambria Math" w:hAnsi="Cambria Math"/>
                              </w:rPr>
                              <m:t>2</m:t>
                            </m:r>
                          </m:sup>
                        </m:sSup>
                      </m:den>
                    </m:f>
                    <m:r>
                      <w:rPr>
                        <w:rFonts w:ascii="Cambria Math" w:hAnsi="Cambria Math"/>
                      </w:rPr>
                      <m:t>-1.3667</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w:rPr>
                                <w:rFonts w:ascii="Cambria Math" w:hAnsi="Cambria Math"/>
                              </w:rPr>
                              <m:t>Y</m:t>
                            </m:r>
                          </m:e>
                          <m:sup>
                            <m:r>
                              <w:rPr>
                                <w:rFonts w:ascii="Cambria Math" w:hAnsi="Cambria Math"/>
                              </w:rPr>
                              <m:t>2</m:t>
                            </m:r>
                          </m:sup>
                        </m:sSup>
                      </m:den>
                    </m:f>
                    <m:r>
                      <w:rPr>
                        <w:rFonts w:ascii="Cambria Math" w:hAnsi="Cambria Math"/>
                      </w:rPr>
                      <m:t xml:space="preserve"> </m:t>
                    </m:r>
                  </m:e>
                </m:d>
              </m:oMath>
            </m:oMathPara>
          </w:p>
        </w:tc>
        <w:tc>
          <w:tcPr>
            <w:tcW w:w="1295" w:type="dxa"/>
            <w:tcMar>
              <w:left w:w="0" w:type="dxa"/>
              <w:right w:w="0" w:type="dxa"/>
            </w:tcMar>
            <w:vAlign w:val="center"/>
          </w:tcPr>
          <w:p w14:paraId="24C045D3" w14:textId="77777777" w:rsidR="00F87ADB" w:rsidRPr="00BC31E0" w:rsidRDefault="00F87ADB" w:rsidP="001B48B4">
            <w:pPr>
              <w:tabs>
                <w:tab w:val="left" w:leader="middleDot" w:pos="750"/>
              </w:tabs>
              <w:spacing w:before="240"/>
              <w:jc w:val="left"/>
              <w:rPr>
                <w:rFonts w:asciiTheme="minorHAnsi" w:hAnsiTheme="minorHAnsi"/>
              </w:rPr>
            </w:pPr>
            <w:r w:rsidRPr="00BC31E0">
              <w:rPr>
                <w:rFonts w:asciiTheme="minorHAnsi" w:hAnsiTheme="minorHAnsi"/>
              </w:rPr>
              <w:tab/>
            </w:r>
            <w:r w:rsidRPr="00BC31E0">
              <w:rPr>
                <w:rFonts w:asciiTheme="minorHAnsi" w:hAnsiTheme="minorHAnsi" w:hint="eastAsia"/>
              </w:rPr>
              <w:t>(4)</w:t>
            </w:r>
          </w:p>
        </w:tc>
      </w:tr>
      <w:tr w:rsidR="00F87ADB" w:rsidRPr="00BC31E0" w14:paraId="35EEBA11" w14:textId="77777777" w:rsidTr="004736F2">
        <w:tc>
          <w:tcPr>
            <w:tcW w:w="802" w:type="dxa"/>
            <w:tcMar>
              <w:left w:w="0" w:type="dxa"/>
              <w:right w:w="0" w:type="dxa"/>
            </w:tcMar>
            <w:vAlign w:val="center"/>
          </w:tcPr>
          <w:p w14:paraId="5A49B79D" w14:textId="77777777" w:rsidR="00F87ADB" w:rsidRPr="00BC31E0" w:rsidRDefault="00A51873" w:rsidP="001B48B4">
            <w:pPr>
              <w:spacing w:before="240"/>
              <w:jc w:val="left"/>
            </w:pPr>
            <m:oMathPara>
              <m:oMathParaPr>
                <m:jc m:val="left"/>
              </m:oMathParaPr>
              <m:oMath>
                <m:sSub>
                  <m:sSubPr>
                    <m:ctrlPr>
                      <w:rPr>
                        <w:rFonts w:ascii="Cambria Math" w:hAnsi="Cambria Math"/>
                      </w:rPr>
                    </m:ctrlPr>
                  </m:sSubPr>
                  <m:e>
                    <m:r>
                      <w:rPr>
                        <w:rFonts w:ascii="Cambria Math" w:hAnsi="Cambria Math"/>
                      </w:rPr>
                      <m:t>σ</m:t>
                    </m:r>
                  </m:e>
                  <m:sub>
                    <m:r>
                      <w:rPr>
                        <w:rFonts w:ascii="Cambria Math" w:hAnsi="Cambria Math"/>
                      </w:rPr>
                      <m:t>3</m:t>
                    </m:r>
                  </m:sub>
                </m:sSub>
                <m:r>
                  <w:rPr>
                    <w:rFonts w:ascii="Cambria Math" w:hAnsi="Cambria Math"/>
                  </w:rPr>
                  <m:t>=-P</m:t>
                </m:r>
              </m:oMath>
            </m:oMathPara>
          </w:p>
        </w:tc>
        <w:tc>
          <w:tcPr>
            <w:tcW w:w="7297" w:type="dxa"/>
            <w:gridSpan w:val="2"/>
            <w:tcMar>
              <w:left w:w="0" w:type="dxa"/>
              <w:right w:w="0" w:type="dxa"/>
            </w:tcMar>
            <w:vAlign w:val="center"/>
          </w:tcPr>
          <w:p w14:paraId="5915D73A" w14:textId="77777777" w:rsidR="00F87ADB" w:rsidRPr="00BC31E0" w:rsidRDefault="00F87ADB" w:rsidP="001B48B4">
            <w:pPr>
              <w:tabs>
                <w:tab w:val="left" w:leader="middleDot" w:pos="6752"/>
              </w:tabs>
              <w:spacing w:before="240"/>
              <w:jc w:val="left"/>
              <w:rPr>
                <w:rFonts w:asciiTheme="minorHAnsi" w:hAnsiTheme="minorHAnsi"/>
              </w:rPr>
            </w:pPr>
            <w:r w:rsidRPr="00BC31E0">
              <w:rPr>
                <w:rFonts w:asciiTheme="minorHAnsi" w:hAnsiTheme="minorHAnsi" w:hint="eastAsia"/>
              </w:rPr>
              <w:tab/>
              <w:t>(5)</w:t>
            </w:r>
          </w:p>
        </w:tc>
      </w:tr>
    </w:tbl>
    <w:p w14:paraId="2264EA88" w14:textId="77777777" w:rsidR="00F87ADB" w:rsidRPr="00BC31E0" w:rsidRDefault="00F87ADB" w:rsidP="00F97F11"/>
    <w:p w14:paraId="14861A68" w14:textId="77777777" w:rsidR="00F87ADB" w:rsidRPr="00BC31E0" w:rsidRDefault="00F87ADB" w:rsidP="005A5177">
      <w:pPr>
        <w:pStyle w:val="13"/>
        <w:adjustRightInd/>
        <w:snapToGrid/>
        <w:spacing w:line="240" w:lineRule="auto"/>
        <w:ind w:left="340" w:hanging="340"/>
      </w:pPr>
      <w:r w:rsidRPr="00BC31E0">
        <w:rPr>
          <w:rFonts w:hint="eastAsia"/>
        </w:rPr>
        <w:t>薄肉容器(容器の内外径比</w:t>
      </w:r>
      <m:oMath>
        <m:r>
          <m:rPr>
            <m:sty m:val="b"/>
          </m:rPr>
          <w:rPr>
            <w:rFonts w:ascii="Cambria Math" w:hAnsi="Cambria Math"/>
          </w:rPr>
          <m:t xml:space="preserve"> </m:t>
        </m:r>
        <m:f>
          <m:fPr>
            <m:type m:val="lin"/>
            <m:ctrlPr>
              <w:rPr>
                <w:rFonts w:ascii="Cambria Math" w:hAnsi="Cambria Math"/>
              </w:rPr>
            </m:ctrlPr>
          </m:fPr>
          <m:num>
            <m:sSub>
              <m:sSubPr>
                <m:ctrlPr>
                  <w:rPr>
                    <w:rFonts w:ascii="Cambria Math" w:hAnsi="Cambria Math"/>
                  </w:rPr>
                </m:ctrlPr>
              </m:sSubPr>
              <m:e>
                <m:r>
                  <m:rPr>
                    <m:sty m:val="bi"/>
                  </m:rPr>
                  <w:rPr>
                    <w:rFonts w:ascii="Cambria Math" w:hAnsi="Cambria Math"/>
                  </w:rPr>
                  <m:t>D</m:t>
                </m:r>
              </m:e>
              <m:sub>
                <m:r>
                  <m:rPr>
                    <m:sty m:val="bi"/>
                  </m:rPr>
                  <w:rPr>
                    <w:rFonts w:ascii="Cambria Math" w:hAnsi="Cambria Math"/>
                  </w:rPr>
                  <m:t>O</m:t>
                </m:r>
              </m:sub>
            </m:sSub>
          </m:num>
          <m:den>
            <m:sSub>
              <m:sSubPr>
                <m:ctrlPr>
                  <w:rPr>
                    <w:rFonts w:ascii="Cambria Math" w:hAnsi="Cambria Math"/>
                  </w:rPr>
                </m:ctrlPr>
              </m:sSubPr>
              <m:e>
                <m:r>
                  <m:rPr>
                    <m:sty m:val="bi"/>
                  </m:rPr>
                  <w:rPr>
                    <w:rFonts w:ascii="Cambria Math" w:hAnsi="Cambria Math"/>
                  </w:rPr>
                  <m:t>D</m:t>
                </m:r>
              </m:e>
              <m:sub>
                <m:r>
                  <m:rPr>
                    <m:sty m:val="bi"/>
                  </m:rPr>
                  <w:rPr>
                    <w:rFonts w:ascii="Cambria Math" w:hAnsi="Cambria Math"/>
                  </w:rPr>
                  <m:t>I</m:t>
                </m:r>
              </m:sub>
            </m:sSub>
          </m:den>
        </m:f>
        <m:r>
          <m:rPr>
            <m:sty m:val="b"/>
          </m:rPr>
          <w:rPr>
            <w:rFonts w:ascii="Cambria Math" w:hAnsi="Cambria Math"/>
          </w:rPr>
          <m:t xml:space="preserve"> </m:t>
        </m:r>
      </m:oMath>
      <w:r w:rsidRPr="00BC31E0">
        <w:rPr>
          <w:rFonts w:hint="eastAsia"/>
        </w:rPr>
        <w:t>が</w:t>
      </w:r>
      <w:r w:rsidRPr="00BC31E0">
        <w:rPr>
          <w:rFonts w:asciiTheme="majorEastAsia" w:eastAsiaTheme="majorEastAsia" w:hAnsiTheme="majorEastAsia"/>
        </w:rPr>
        <w:t>1.25</w:t>
      </w:r>
      <w:r w:rsidRPr="00BC31E0">
        <w:rPr>
          <w:rFonts w:hint="eastAsia"/>
        </w:rPr>
        <w:t>未満の場合)の一体型平鏡板</w:t>
      </w:r>
    </w:p>
    <w:p w14:paraId="77AFC7B1" w14:textId="77777777" w:rsidR="00F87ADB" w:rsidRPr="00BC31E0" w:rsidRDefault="00A51873" w:rsidP="005A5177">
      <w:pPr>
        <w:pStyle w:val="110"/>
        <w:spacing w:line="240" w:lineRule="auto"/>
        <w:ind w:left="567" w:hanging="567"/>
      </w:pPr>
      <w:r>
        <w:rPr>
          <w:noProof/>
        </w:rPr>
        <w:object w:dxaOrig="1440" w:dyaOrig="1440" w14:anchorId="16E7060E">
          <v:shape id="_x0000_s3330" type="#_x0000_t75" style="position:absolute;left:0;text-align:left;margin-left:362.25pt;margin-top:0;width:1.1pt;height:.85pt;z-index:251703808">
            <v:imagedata r:id="rId142" o:title=""/>
          </v:shape>
          <o:OLEObject Type="Embed" ProgID="Equation.3" ShapeID="_x0000_s3330" DrawAspect="Content" ObjectID="_1731233648" r:id="rId143"/>
        </w:object>
      </w:r>
      <w:r w:rsidR="00F87ADB" w:rsidRPr="00BC31E0">
        <w:rPr>
          <w:rFonts w:hint="eastAsia"/>
        </w:rPr>
        <w:t>制限</w:t>
      </w:r>
    </w:p>
    <w:p w14:paraId="2D8CCF2F" w14:textId="77777777" w:rsidR="00F87ADB" w:rsidRPr="00BC31E0" w:rsidRDefault="00F87ADB" w:rsidP="00F97F11">
      <w:pPr>
        <w:pStyle w:val="113"/>
        <w:ind w:firstLine="210"/>
      </w:pPr>
      <w:r w:rsidRPr="00BC31E0">
        <w:rPr>
          <w:rFonts w:hint="eastAsia"/>
        </w:rPr>
        <w:t>一体型平鏡板形状は，次の</w:t>
      </w:r>
      <w:r w:rsidRPr="00BC31E0">
        <w:rPr>
          <w:rFonts w:asciiTheme="majorEastAsia" w:eastAsiaTheme="majorEastAsia" w:hAnsiTheme="majorEastAsia" w:hint="eastAsia"/>
          <w:b/>
        </w:rPr>
        <w:t>a)</w:t>
      </w:r>
      <w:r w:rsidRPr="00BC31E0">
        <w:rPr>
          <w:rFonts w:hint="eastAsia"/>
        </w:rPr>
        <w:t>～</w:t>
      </w:r>
      <w:r w:rsidRPr="00BC31E0">
        <w:rPr>
          <w:rFonts w:asciiTheme="majorEastAsia" w:eastAsiaTheme="majorEastAsia" w:hAnsiTheme="majorEastAsia" w:hint="eastAsia"/>
          <w:b/>
        </w:rPr>
        <w:t>d)</w:t>
      </w:r>
      <w:r w:rsidRPr="00BC31E0">
        <w:rPr>
          <w:rFonts w:hint="eastAsia"/>
        </w:rPr>
        <w:t>の制限を受ける。</w:t>
      </w:r>
    </w:p>
    <w:p w14:paraId="0DF4F78C" w14:textId="77777777" w:rsidR="00F87ADB" w:rsidRPr="00BC31E0" w:rsidRDefault="00F87ADB" w:rsidP="00736130">
      <w:pPr>
        <w:pStyle w:val="a4"/>
        <w:numPr>
          <w:ilvl w:val="0"/>
          <w:numId w:val="385"/>
        </w:numPr>
        <w:spacing w:after="120"/>
        <w:ind w:leftChars="0" w:left="454" w:hanging="454"/>
      </w:pPr>
      <w:r w:rsidRPr="00BC31E0">
        <w:rPr>
          <w:rFonts w:hint="eastAsia"/>
        </w:rPr>
        <w:t>一体型平鏡板の最小厚さは，次式による</w:t>
      </w:r>
      <w:r w:rsidRPr="00BC31E0">
        <w:rPr>
          <w:rFonts w:hint="eastAsia"/>
        </w:rPr>
        <w:t>(</w:t>
      </w:r>
      <w:r w:rsidRPr="00BC31E0">
        <w:rPr>
          <w:rFonts w:asciiTheme="majorEastAsia" w:eastAsiaTheme="majorEastAsia" w:hAnsiTheme="majorEastAsia" w:hint="eastAsia"/>
          <w:b/>
        </w:rPr>
        <w:t>図</w:t>
      </w:r>
      <w:r w:rsidRPr="00BC31E0">
        <w:rPr>
          <w:rFonts w:asciiTheme="majorEastAsia" w:eastAsiaTheme="majorEastAsia" w:hAnsiTheme="majorEastAsia"/>
          <w:b/>
        </w:rPr>
        <w:t>G.2</w:t>
      </w:r>
      <w:r w:rsidRPr="00BC31E0">
        <w:rPr>
          <w:rFonts w:hint="eastAsia"/>
        </w:rPr>
        <w:t>を参照</w:t>
      </w:r>
      <w:r w:rsidRPr="00BC31E0">
        <w:t>)</w:t>
      </w:r>
      <w:r w:rsidRPr="00BC31E0">
        <w:rPr>
          <w:rFonts w:hint="eastAsia"/>
        </w:rPr>
        <w:t>。応力解析による評価は必要ない。</w:t>
      </w:r>
    </w:p>
    <w:p w14:paraId="09C9758D" w14:textId="77777777" w:rsidR="00F87ADB" w:rsidRPr="00BC31E0" w:rsidRDefault="00F87ADB" w:rsidP="00F97F11">
      <w:pPr>
        <w:tabs>
          <w:tab w:val="left" w:pos="2977"/>
          <w:tab w:val="left" w:leader="middleDot" w:pos="8505"/>
        </w:tabs>
      </w:pPr>
      <w:r w:rsidRPr="00BC31E0">
        <w:rPr>
          <w:rFonts w:hint="eastAsia"/>
        </w:rPr>
        <w:tab/>
      </w:r>
      <m:oMath>
        <m:sSub>
          <m:sSubPr>
            <m:ctrlPr>
              <w:rPr>
                <w:rFonts w:ascii="Cambria Math" w:hAnsi="Cambria Math"/>
              </w:rPr>
            </m:ctrlPr>
          </m:sSubPr>
          <m:e>
            <m:r>
              <w:rPr>
                <w:rFonts w:ascii="Cambria Math" w:hAnsi="Cambria Math"/>
              </w:rPr>
              <m:t>t</m:t>
            </m:r>
          </m:e>
          <m:sub>
            <m:r>
              <w:rPr>
                <w:rFonts w:ascii="Cambria Math" w:hAnsi="Cambria Math"/>
              </w:rPr>
              <m:t>b</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I</m:t>
            </m:r>
          </m:sub>
        </m:sSub>
        <m:sSup>
          <m:sSupPr>
            <m:ctrlPr>
              <w:rPr>
                <w:rFonts w:ascii="Cambria Math" w:hAnsi="Cambria Math"/>
              </w:rPr>
            </m:ctrlPr>
          </m:sSupPr>
          <m:e>
            <m:d>
              <m:dPr>
                <m:ctrlPr>
                  <w:rPr>
                    <w:rFonts w:ascii="Cambria Math" w:hAnsi="Cambria Math"/>
                  </w:rPr>
                </m:ctrlPr>
              </m:dPr>
              <m:e>
                <m:f>
                  <m:fPr>
                    <m:type m:val="lin"/>
                    <m:ctrlPr>
                      <w:rPr>
                        <w:rFonts w:ascii="Cambria Math" w:hAnsi="Cambria Math"/>
                      </w:rPr>
                    </m:ctrlPr>
                  </m:fPr>
                  <m:num>
                    <m:r>
                      <w:rPr>
                        <w:rFonts w:ascii="Cambria Math" w:hAnsi="Cambria Math"/>
                      </w:rPr>
                      <m:t>1.5 C P</m:t>
                    </m:r>
                  </m:num>
                  <m:den>
                    <m:sSub>
                      <m:sSubPr>
                        <m:ctrlPr>
                          <w:rPr>
                            <w:rFonts w:ascii="Cambria Math" w:hAnsi="Cambria Math"/>
                          </w:rPr>
                        </m:ctrlPr>
                      </m:sSubPr>
                      <m:e>
                        <m:r>
                          <w:rPr>
                            <w:rFonts w:ascii="Cambria Math" w:hAnsi="Cambria Math"/>
                          </w:rPr>
                          <m:t>S</m:t>
                        </m:r>
                      </m:e>
                      <m:sub>
                        <m:r>
                          <w:rPr>
                            <w:rFonts w:ascii="Cambria Math" w:hAnsi="Cambria Math"/>
                          </w:rPr>
                          <m:t>y</m:t>
                        </m:r>
                      </m:sub>
                    </m:sSub>
                  </m:den>
                </m:f>
              </m:e>
            </m:d>
          </m:e>
          <m:sup>
            <m:r>
              <w:rPr>
                <w:rFonts w:ascii="Cambria Math" w:hAnsi="Cambria Math"/>
              </w:rPr>
              <m:t>0.5</m:t>
            </m:r>
          </m:sup>
        </m:sSup>
      </m:oMath>
      <w:r w:rsidRPr="00BC31E0">
        <w:rPr>
          <w:rFonts w:hint="eastAsia"/>
        </w:rPr>
        <w:tab/>
        <w:t>(6)</w:t>
      </w:r>
    </w:p>
    <w:p w14:paraId="10AF64D6" w14:textId="77777777" w:rsidR="00F87ADB" w:rsidRPr="00BC31E0" w:rsidRDefault="00F87ADB" w:rsidP="00736130">
      <w:pPr>
        <w:pStyle w:val="a4"/>
        <w:numPr>
          <w:ilvl w:val="0"/>
          <w:numId w:val="383"/>
        </w:numPr>
        <w:spacing w:before="120" w:after="120"/>
        <w:ind w:leftChars="0" w:left="454" w:hanging="454"/>
      </w:pPr>
      <w:r w:rsidRPr="00BC31E0">
        <w:rPr>
          <w:rFonts w:hint="eastAsia"/>
        </w:rPr>
        <w:lastRenderedPageBreak/>
        <w:t>疲労評価と破壊力学評価に用いるコーナー部の応力強さ</w:t>
      </w:r>
      <m:oMath>
        <m:r>
          <m:rPr>
            <m:sty m:val="p"/>
          </m:rPr>
          <w:rPr>
            <w:rFonts w:ascii="Cambria Math" w:hAnsi="Cambria Math"/>
          </w:rPr>
          <m:t xml:space="preserve"> </m:t>
        </m:r>
        <m:r>
          <w:rPr>
            <w:rFonts w:ascii="Cambria Math" w:hAnsi="Cambria Math"/>
          </w:rPr>
          <m:t>S</m:t>
        </m:r>
        <m:r>
          <m:rPr>
            <m:sty m:val="p"/>
          </m:rPr>
          <w:rPr>
            <w:rFonts w:ascii="Cambria Math" w:hAnsi="Cambria Math"/>
          </w:rPr>
          <m:t xml:space="preserve"> </m:t>
        </m:r>
      </m:oMath>
      <w:r w:rsidRPr="00BC31E0">
        <w:rPr>
          <w:rFonts w:hint="eastAsia"/>
        </w:rPr>
        <w:t>(</w:t>
      </w:r>
      <w:r w:rsidRPr="00BC31E0">
        <w:t>MPa</w:t>
      </w:r>
      <w:r w:rsidRPr="00BC31E0">
        <w:rPr>
          <w:rFonts w:hint="eastAsia"/>
        </w:rPr>
        <w:t xml:space="preserve">) </w:t>
      </w:r>
      <w:r w:rsidRPr="00BC31E0">
        <w:rPr>
          <w:rFonts w:hint="eastAsia"/>
        </w:rPr>
        <w:t>は次式による。</w:t>
      </w:r>
    </w:p>
    <w:p w14:paraId="33BC2B94" w14:textId="77777777" w:rsidR="00F87ADB" w:rsidRPr="00BC31E0" w:rsidRDefault="00F87ADB" w:rsidP="00F97F11">
      <w:pPr>
        <w:tabs>
          <w:tab w:val="left" w:pos="2977"/>
          <w:tab w:val="left" w:leader="middleDot" w:pos="8505"/>
        </w:tabs>
      </w:pPr>
      <w:r w:rsidRPr="00BC31E0">
        <w:rPr>
          <w:rFonts w:hint="eastAsia"/>
        </w:rPr>
        <w:tab/>
      </w:r>
      <m:oMath>
        <m:r>
          <w:rPr>
            <w:rFonts w:ascii="Cambria Math" w:hAnsi="Cambria Math"/>
          </w:rPr>
          <m:t>S=1.8 C P</m:t>
        </m:r>
        <m:sSup>
          <m:sSupPr>
            <m:ctrlPr>
              <w:rPr>
                <w:rFonts w:ascii="Cambria Math" w:hAnsi="Cambria Math"/>
              </w:rPr>
            </m:ctrlPr>
          </m:sSupPr>
          <m:e>
            <m:d>
              <m:dPr>
                <m:ctrlPr>
                  <w:rPr>
                    <w:rFonts w:ascii="Cambria Math" w:hAnsi="Cambria Math"/>
                  </w:rPr>
                </m:ctrlPr>
              </m:dPr>
              <m:e>
                <m:f>
                  <m:fPr>
                    <m:type m:val="lin"/>
                    <m:ctrlPr>
                      <w:rPr>
                        <w:rFonts w:ascii="Cambria Math" w:hAnsi="Cambria Math"/>
                      </w:rPr>
                    </m:ctrlPr>
                  </m:fPr>
                  <m:num>
                    <m:sSub>
                      <m:sSubPr>
                        <m:ctrlPr>
                          <w:rPr>
                            <w:rFonts w:ascii="Cambria Math" w:hAnsi="Cambria Math"/>
                            <w:i/>
                          </w:rPr>
                        </m:ctrlPr>
                      </m:sSubPr>
                      <m:e>
                        <m:r>
                          <w:rPr>
                            <w:rFonts w:ascii="Cambria Math" w:hAnsi="Cambria Math"/>
                          </w:rPr>
                          <m:t>D</m:t>
                        </m:r>
                      </m:e>
                      <m:sub>
                        <m:r>
                          <w:rPr>
                            <w:rFonts w:ascii="Cambria Math" w:hAnsi="Cambria Math"/>
                          </w:rPr>
                          <m:t>I</m:t>
                        </m:r>
                      </m:sub>
                    </m:sSub>
                  </m:num>
                  <m:den>
                    <m:sSub>
                      <m:sSubPr>
                        <m:ctrlPr>
                          <w:rPr>
                            <w:rFonts w:ascii="Cambria Math" w:hAnsi="Cambria Math"/>
                          </w:rPr>
                        </m:ctrlPr>
                      </m:sSubPr>
                      <m:e>
                        <m:r>
                          <w:rPr>
                            <w:rFonts w:ascii="Cambria Math" w:hAnsi="Cambria Math"/>
                          </w:rPr>
                          <m:t>t</m:t>
                        </m:r>
                      </m:e>
                      <m:sub>
                        <m:r>
                          <w:rPr>
                            <w:rFonts w:ascii="Cambria Math" w:hAnsi="Cambria Math"/>
                          </w:rPr>
                          <m:t>b</m:t>
                        </m:r>
                      </m:sub>
                    </m:sSub>
                  </m:den>
                </m:f>
              </m:e>
            </m:d>
          </m:e>
          <m:sup>
            <m:r>
              <w:rPr>
                <w:rFonts w:ascii="Cambria Math" w:hAnsi="Cambria Math"/>
              </w:rPr>
              <m:t>2</m:t>
            </m:r>
          </m:sup>
        </m:sSup>
      </m:oMath>
      <w:r w:rsidRPr="00BC31E0">
        <w:rPr>
          <w:rFonts w:hint="eastAsia"/>
        </w:rPr>
        <w:tab/>
        <w:t>(7)</w:t>
      </w:r>
    </w:p>
    <w:p w14:paraId="54E08B54" w14:textId="77777777" w:rsidR="00F87ADB" w:rsidRPr="00BC31E0" w:rsidRDefault="00F87ADB" w:rsidP="00736130">
      <w:pPr>
        <w:pStyle w:val="a4"/>
        <w:numPr>
          <w:ilvl w:val="0"/>
          <w:numId w:val="384"/>
        </w:numPr>
        <w:spacing w:before="120"/>
        <w:ind w:leftChars="0" w:left="454" w:hanging="454"/>
      </w:pPr>
      <w:r w:rsidRPr="00BC31E0">
        <w:rPr>
          <w:rFonts w:asciiTheme="majorEastAsia" w:eastAsiaTheme="majorEastAsia" w:hAnsiTheme="majorEastAsia" w:hint="eastAsia"/>
          <w:b/>
        </w:rPr>
        <w:t>式</w:t>
      </w:r>
      <w:r w:rsidRPr="00BC31E0">
        <w:rPr>
          <w:rFonts w:asciiTheme="majorEastAsia" w:eastAsiaTheme="majorEastAsia" w:hAnsiTheme="majorEastAsia"/>
          <w:b/>
        </w:rPr>
        <w:t>(6)</w:t>
      </w:r>
      <w:r w:rsidRPr="00BC31E0">
        <w:rPr>
          <w:rFonts w:hint="eastAsia"/>
          <w:bCs/>
        </w:rPr>
        <w:t>と</w:t>
      </w:r>
      <w:r w:rsidRPr="00BC31E0">
        <w:rPr>
          <w:rFonts w:asciiTheme="majorEastAsia" w:eastAsiaTheme="majorEastAsia" w:hAnsiTheme="majorEastAsia" w:hint="eastAsia"/>
          <w:b/>
        </w:rPr>
        <w:t>式</w:t>
      </w:r>
      <w:r w:rsidRPr="00BC31E0">
        <w:rPr>
          <w:rFonts w:asciiTheme="majorEastAsia" w:eastAsiaTheme="majorEastAsia" w:hAnsiTheme="majorEastAsia"/>
          <w:b/>
        </w:rPr>
        <w:t>(7)</w:t>
      </w:r>
      <w:r w:rsidRPr="00BC31E0">
        <w:rPr>
          <w:rFonts w:hint="eastAsia"/>
        </w:rPr>
        <w:t>で使われる</w:t>
      </w:r>
      <m:oMath>
        <m:r>
          <m:rPr>
            <m:sty m:val="p"/>
          </m:rPr>
          <w:rPr>
            <w:rFonts w:ascii="Cambria Math" w:hAnsi="Cambria Math"/>
          </w:rPr>
          <m:t xml:space="preserve"> </m:t>
        </m:r>
        <m:r>
          <w:rPr>
            <w:rFonts w:ascii="Cambria Math" w:hAnsi="Cambria Math"/>
          </w:rPr>
          <m:t>C</m:t>
        </m:r>
        <m:r>
          <m:rPr>
            <m:sty m:val="p"/>
          </m:rPr>
          <w:rPr>
            <w:rFonts w:ascii="Cambria Math" w:hAnsi="Cambria Math"/>
          </w:rPr>
          <m:t xml:space="preserve"> </m:t>
        </m:r>
      </m:oMath>
      <w:r w:rsidRPr="00BC31E0">
        <w:rPr>
          <w:rFonts w:hint="eastAsia"/>
        </w:rPr>
        <w:t>の値は，次による。</w:t>
      </w:r>
    </w:p>
    <w:p w14:paraId="454E090E" w14:textId="77777777" w:rsidR="00F97F11" w:rsidRPr="00BC31E0" w:rsidRDefault="00F87ADB" w:rsidP="00736130">
      <w:pPr>
        <w:pStyle w:val="a4"/>
        <w:numPr>
          <w:ilvl w:val="0"/>
          <w:numId w:val="386"/>
        </w:numPr>
        <w:ind w:leftChars="0" w:left="738" w:hanging="454"/>
      </w:pPr>
      <w:r w:rsidRPr="00BC31E0">
        <w:rPr>
          <w:rFonts w:hint="eastAsia"/>
        </w:rPr>
        <w:t>内側コーナー半径が平鏡板の最小必要厚さの</w:t>
      </w:r>
      <w:r w:rsidRPr="00BC31E0">
        <w:t>3</w:t>
      </w:r>
      <w:r w:rsidRPr="00BC31E0">
        <w:rPr>
          <w:rFonts w:hint="eastAsia"/>
        </w:rPr>
        <w:t>倍以上の場合には，</w:t>
      </w:r>
      <m:oMath>
        <m:r>
          <w:rPr>
            <w:rFonts w:ascii="Cambria Math" w:hAnsi="Cambria Math"/>
          </w:rPr>
          <m:t xml:space="preserve">C=0.22 </m:t>
        </m:r>
      </m:oMath>
      <w:r w:rsidRPr="00BC31E0">
        <w:rPr>
          <w:rFonts w:hint="eastAsia"/>
        </w:rPr>
        <w:t>とする。</w:t>
      </w:r>
    </w:p>
    <w:p w14:paraId="5DBE3B5F" w14:textId="77777777" w:rsidR="00F87ADB" w:rsidRPr="00BC31E0" w:rsidRDefault="00F87ADB" w:rsidP="00736130">
      <w:pPr>
        <w:pStyle w:val="a4"/>
        <w:numPr>
          <w:ilvl w:val="0"/>
          <w:numId w:val="386"/>
        </w:numPr>
        <w:ind w:leftChars="0" w:left="738" w:hanging="454"/>
      </w:pPr>
      <w:r w:rsidRPr="00BC31E0">
        <w:rPr>
          <w:rFonts w:hint="eastAsia"/>
        </w:rPr>
        <w:t>内側コーナー半径が平鏡板の最小必要厚さの</w:t>
      </w:r>
      <w:r w:rsidRPr="00BC31E0">
        <w:t>3</w:t>
      </w:r>
      <w:r w:rsidRPr="00BC31E0">
        <w:rPr>
          <w:rFonts w:hint="eastAsia"/>
        </w:rPr>
        <w:t>倍未満の場合には，</w:t>
      </w:r>
      <m:oMath>
        <m:r>
          <w:rPr>
            <w:rFonts w:ascii="Cambria Math" w:hAnsi="Cambria Math"/>
          </w:rPr>
          <m:t xml:space="preserve">C=0.44 </m:t>
        </m:r>
      </m:oMath>
      <w:r w:rsidRPr="00BC31E0">
        <w:rPr>
          <w:rFonts w:hint="eastAsia"/>
        </w:rPr>
        <w:t>とする。ただし，内側コーナー半径は胴の厚さ</w:t>
      </w:r>
      <m:oMath>
        <m:sSub>
          <m:sSubPr>
            <m:ctrlPr>
              <w:rPr>
                <w:rFonts w:ascii="Cambria Math" w:hAnsi="Cambria Math"/>
                <w:i/>
              </w:rPr>
            </m:ctrlPr>
          </m:sSubPr>
          <m:e>
            <m:r>
              <w:rPr>
                <w:rFonts w:ascii="Cambria Math" w:hAnsi="Cambria Math"/>
              </w:rPr>
              <m:t xml:space="preserve"> t</m:t>
            </m:r>
          </m:e>
          <m:sub>
            <m:r>
              <w:rPr>
                <w:rFonts w:ascii="Cambria Math" w:hAnsi="Cambria Math"/>
              </w:rPr>
              <m:t>w</m:t>
            </m:r>
          </m:sub>
        </m:sSub>
        <m:r>
          <w:rPr>
            <w:rFonts w:ascii="Cambria Math" w:hAnsi="Cambria Math"/>
          </w:rPr>
          <m:t xml:space="preserve"> </m:t>
        </m:r>
      </m:oMath>
      <w:r w:rsidRPr="00BC31E0">
        <w:rPr>
          <w:rFonts w:hint="eastAsia"/>
        </w:rPr>
        <w:t>の</w:t>
      </w:r>
      <w:r w:rsidRPr="00BC31E0">
        <w:t>25%</w:t>
      </w:r>
      <w:r w:rsidRPr="00BC31E0">
        <w:rPr>
          <w:rFonts w:hint="eastAsia"/>
        </w:rPr>
        <w:t>以上とする。</w:t>
      </w:r>
    </w:p>
    <w:p w14:paraId="65F88AD2" w14:textId="77777777" w:rsidR="00F87ADB" w:rsidRPr="00BC31E0" w:rsidRDefault="00F87ADB" w:rsidP="00736130">
      <w:pPr>
        <w:pStyle w:val="a4"/>
        <w:numPr>
          <w:ilvl w:val="0"/>
          <w:numId w:val="384"/>
        </w:numPr>
        <w:ind w:leftChars="0" w:left="454" w:hanging="454"/>
      </w:pPr>
      <w:r w:rsidRPr="00BC31E0">
        <w:rPr>
          <w:rFonts w:hint="eastAsia"/>
        </w:rPr>
        <w:t>厚さの異なる円筒胴の場合，円筒胴長さについて特別な要求事項はない。両者の厚さが異なる場合には，</w:t>
      </w:r>
      <w:r w:rsidRPr="00BC31E0">
        <w:t>3</w:t>
      </w:r>
      <w:r w:rsidRPr="00BC31E0">
        <w:t>：</w:t>
      </w:r>
      <w:r w:rsidRPr="00BC31E0">
        <w:t>1</w:t>
      </w:r>
      <w:r w:rsidRPr="00BC31E0">
        <w:rPr>
          <w:rFonts w:hint="eastAsia"/>
        </w:rPr>
        <w:t>のテーパを設ける。</w:t>
      </w:r>
    </w:p>
    <w:p w14:paraId="0AF275EE" w14:textId="77777777" w:rsidR="00F87ADB" w:rsidRPr="00BC31E0" w:rsidRDefault="00F87ADB" w:rsidP="00DF523E"/>
    <w:p w14:paraId="12A2E48F" w14:textId="77777777" w:rsidR="00F87ADB" w:rsidRPr="00BC31E0" w:rsidRDefault="00F87ADB" w:rsidP="005A5177">
      <w:pPr>
        <w:pStyle w:val="13"/>
        <w:adjustRightInd/>
        <w:snapToGrid/>
        <w:spacing w:line="240" w:lineRule="auto"/>
        <w:ind w:left="340" w:hanging="340"/>
      </w:pPr>
      <w:r w:rsidRPr="00BC31E0">
        <w:rPr>
          <w:rFonts w:hint="eastAsia"/>
        </w:rPr>
        <w:t>ねじ込みふたのねじの荷重分担</w:t>
      </w:r>
    </w:p>
    <w:p w14:paraId="0E27052A" w14:textId="77777777" w:rsidR="00F87ADB" w:rsidRPr="00BC31E0" w:rsidRDefault="00F87ADB" w:rsidP="00DF523E">
      <w:pPr>
        <w:pStyle w:val="15"/>
        <w:ind w:firstLine="210"/>
      </w:pPr>
      <w:r w:rsidRPr="00BC31E0">
        <w:rPr>
          <w:rFonts w:hint="eastAsia"/>
        </w:rPr>
        <w:t>ねじ込みふたのねじの荷重分担は，次の</w:t>
      </w:r>
      <w:r w:rsidRPr="00BC31E0">
        <w:rPr>
          <w:rFonts w:asciiTheme="majorEastAsia" w:eastAsiaTheme="majorEastAsia" w:hAnsiTheme="majorEastAsia" w:hint="eastAsia"/>
          <w:b/>
        </w:rPr>
        <w:t>a)</w:t>
      </w:r>
      <w:r w:rsidRPr="00BC31E0">
        <w:rPr>
          <w:rFonts w:hint="eastAsia"/>
        </w:rPr>
        <w:t>～</w:t>
      </w:r>
      <w:r w:rsidRPr="00BC31E0">
        <w:rPr>
          <w:rFonts w:asciiTheme="majorEastAsia" w:eastAsiaTheme="majorEastAsia" w:hAnsiTheme="majorEastAsia" w:hint="eastAsia"/>
          <w:b/>
        </w:rPr>
        <w:t>f)</w:t>
      </w:r>
      <w:r w:rsidRPr="00BC31E0">
        <w:rPr>
          <w:rFonts w:hint="eastAsia"/>
        </w:rPr>
        <w:t>を満足する場合には，</w:t>
      </w:r>
      <w:r w:rsidRPr="00BC31E0">
        <w:rPr>
          <w:rFonts w:ascii="ＭＳ ゴシック" w:hAnsi="ＭＳ ゴシック" w:hint="eastAsia"/>
          <w:b/>
        </w:rPr>
        <w:t>5</w:t>
      </w:r>
      <w:r w:rsidRPr="00BC31E0">
        <w:rPr>
          <w:rFonts w:hint="eastAsia"/>
        </w:rPr>
        <w:t>に示した式を用いて計算する。</w:t>
      </w:r>
    </w:p>
    <w:p w14:paraId="09FDCD1D" w14:textId="77777777" w:rsidR="005A5177" w:rsidRPr="00BC31E0" w:rsidRDefault="00F87ADB" w:rsidP="00736130">
      <w:pPr>
        <w:pStyle w:val="a4"/>
        <w:numPr>
          <w:ilvl w:val="0"/>
          <w:numId w:val="630"/>
        </w:numPr>
        <w:ind w:leftChars="0" w:left="454" w:hanging="454"/>
      </w:pPr>
      <w:r w:rsidRPr="00BC31E0">
        <w:rPr>
          <w:rFonts w:hint="eastAsia"/>
        </w:rPr>
        <w:t>ねじ部とねじ込みふた板についての要求事項は，本体の</w:t>
      </w:r>
      <w:r w:rsidRPr="00BC31E0">
        <w:rPr>
          <w:rFonts w:asciiTheme="majorEastAsia" w:eastAsiaTheme="majorEastAsia" w:hAnsiTheme="majorEastAsia"/>
          <w:b/>
          <w:bCs/>
        </w:rPr>
        <w:t>6.6</w:t>
      </w:r>
      <w:r w:rsidRPr="00BC31E0">
        <w:rPr>
          <w:rFonts w:hint="eastAsia"/>
        </w:rPr>
        <w:t>で与えられる。</w:t>
      </w:r>
    </w:p>
    <w:p w14:paraId="68B2957E" w14:textId="77777777" w:rsidR="005A5177" w:rsidRPr="00BC31E0" w:rsidRDefault="00F87ADB" w:rsidP="00736130">
      <w:pPr>
        <w:pStyle w:val="a4"/>
        <w:numPr>
          <w:ilvl w:val="0"/>
          <w:numId w:val="630"/>
        </w:numPr>
        <w:ind w:leftChars="0" w:left="454" w:hanging="454"/>
      </w:pPr>
      <w:r w:rsidRPr="00BC31E0">
        <w:rPr>
          <w:rFonts w:hint="eastAsia"/>
        </w:rPr>
        <w:t>ねじ</w:t>
      </w:r>
      <w:r w:rsidRPr="00BC31E0">
        <w:t>1</w:t>
      </w:r>
      <w:r w:rsidRPr="00BC31E0">
        <w:rPr>
          <w:rFonts w:hint="eastAsia"/>
        </w:rPr>
        <w:t>山は，全断面について</w:t>
      </w:r>
      <w:r w:rsidRPr="00BC31E0">
        <w:t>360°</w:t>
      </w:r>
      <w:r w:rsidRPr="00BC31E0">
        <w:rPr>
          <w:rFonts w:hint="eastAsia"/>
        </w:rPr>
        <w:t>を</w:t>
      </w:r>
      <w:r w:rsidRPr="00BC31E0">
        <w:t>1</w:t>
      </w:r>
      <w:r w:rsidRPr="00BC31E0">
        <w:rPr>
          <w:rFonts w:hint="eastAsia"/>
        </w:rPr>
        <w:t>回転分と考える。ねじ山数は</w:t>
      </w:r>
      <w:r w:rsidRPr="00BC31E0">
        <w:t>20</w:t>
      </w:r>
      <w:r w:rsidRPr="00BC31E0">
        <w:rPr>
          <w:rFonts w:hint="eastAsia"/>
        </w:rPr>
        <w:t>以下とするが，最小数は</w:t>
      </w:r>
      <w:r w:rsidRPr="00BC31E0">
        <w:t>4</w:t>
      </w:r>
      <w:r w:rsidRPr="00BC31E0">
        <w:rPr>
          <w:rFonts w:hint="eastAsia"/>
        </w:rPr>
        <w:t>山とする。</w:t>
      </w:r>
    </w:p>
    <w:p w14:paraId="261DF950" w14:textId="77777777" w:rsidR="005A5177" w:rsidRPr="00BC31E0" w:rsidRDefault="00F87ADB" w:rsidP="00736130">
      <w:pPr>
        <w:pStyle w:val="a4"/>
        <w:numPr>
          <w:ilvl w:val="0"/>
          <w:numId w:val="630"/>
        </w:numPr>
        <w:ind w:leftChars="0" w:left="454" w:hanging="454"/>
      </w:pPr>
      <w:r w:rsidRPr="00BC31E0">
        <w:rPr>
          <w:rFonts w:hint="eastAsia"/>
        </w:rPr>
        <w:t>ねじ山の螺旋角度は，</w:t>
      </w:r>
      <w:r w:rsidRPr="00BC31E0">
        <w:t>2°</w:t>
      </w:r>
      <w:r w:rsidRPr="00BC31E0">
        <w:rPr>
          <w:rFonts w:hint="eastAsia"/>
        </w:rPr>
        <w:t>を超えてはならない。</w:t>
      </w:r>
    </w:p>
    <w:p w14:paraId="66F2332C" w14:textId="77777777" w:rsidR="005A5177" w:rsidRPr="00BC31E0" w:rsidRDefault="00F87ADB" w:rsidP="00736130">
      <w:pPr>
        <w:pStyle w:val="a4"/>
        <w:numPr>
          <w:ilvl w:val="0"/>
          <w:numId w:val="630"/>
        </w:numPr>
        <w:ind w:leftChars="0" w:left="454" w:hanging="454"/>
      </w:pPr>
      <w:r w:rsidRPr="00BC31E0">
        <w:rPr>
          <w:rFonts w:hint="eastAsia"/>
        </w:rPr>
        <w:t>めねじは，大きくアンダーカットを設ける。</w:t>
      </w:r>
    </w:p>
    <w:p w14:paraId="74A21944" w14:textId="77777777" w:rsidR="005A5177" w:rsidRPr="00BC31E0" w:rsidRDefault="00F87ADB" w:rsidP="00736130">
      <w:pPr>
        <w:pStyle w:val="a4"/>
        <w:numPr>
          <w:ilvl w:val="0"/>
          <w:numId w:val="630"/>
        </w:numPr>
        <w:ind w:leftChars="0" w:left="454" w:hanging="454"/>
      </w:pPr>
      <w:r w:rsidRPr="00BC31E0">
        <w:rPr>
          <w:rFonts w:hint="eastAsia"/>
        </w:rPr>
        <w:t>おねじのねじ部は，めねじのねじ部よりも最小</w:t>
      </w:r>
      <w:r w:rsidRPr="00BC31E0">
        <w:t>1</w:t>
      </w:r>
      <w:r w:rsidRPr="00BC31E0">
        <w:rPr>
          <w:rFonts w:hint="eastAsia"/>
        </w:rPr>
        <w:t>山ピッチ分長くする。</w:t>
      </w:r>
    </w:p>
    <w:p w14:paraId="09B03054" w14:textId="77777777" w:rsidR="00F87ADB" w:rsidRPr="00BC31E0" w:rsidRDefault="00F87ADB" w:rsidP="00736130">
      <w:pPr>
        <w:pStyle w:val="a4"/>
        <w:numPr>
          <w:ilvl w:val="0"/>
          <w:numId w:val="630"/>
        </w:numPr>
        <w:ind w:leftChars="0" w:left="454" w:hanging="454"/>
      </w:pPr>
      <w:r w:rsidRPr="00BC31E0">
        <w:rPr>
          <w:rFonts w:hint="eastAsia"/>
        </w:rPr>
        <w:t>ねじ部は軸荷重を一様に受けておらず，アンダーカット部に最も近いめねじのねじ山に最大荷重を受ける。なお，ねじ山の番号はアンダーカットから採番する。</w:t>
      </w:r>
    </w:p>
    <w:p w14:paraId="473ACC46" w14:textId="77777777" w:rsidR="00F87ADB" w:rsidRPr="00BC31E0" w:rsidRDefault="00F87ADB" w:rsidP="00DF523E">
      <w:pPr>
        <w:rPr>
          <w:szCs w:val="20"/>
        </w:rPr>
      </w:pPr>
    </w:p>
    <w:p w14:paraId="35BB7764" w14:textId="77777777" w:rsidR="00F87ADB" w:rsidRPr="00BC31E0" w:rsidRDefault="00F87ADB" w:rsidP="005A5177">
      <w:pPr>
        <w:pStyle w:val="13"/>
        <w:adjustRightInd/>
        <w:snapToGrid/>
        <w:spacing w:line="240" w:lineRule="auto"/>
        <w:ind w:left="340" w:hanging="340"/>
      </w:pPr>
      <w:r w:rsidRPr="00BC31E0">
        <w:rPr>
          <w:rFonts w:hint="eastAsia"/>
        </w:rPr>
        <w:t>記号(図</w:t>
      </w:r>
      <w:r w:rsidRPr="00BC31E0">
        <w:t>G.3</w:t>
      </w:r>
      <w:r w:rsidRPr="00BC31E0">
        <w:rPr>
          <w:rFonts w:ascii="ＭＳ 明朝" w:hAnsi="ＭＳ 明朝" w:hint="eastAsia"/>
        </w:rPr>
        <w:t>，</w:t>
      </w:r>
      <w:r w:rsidRPr="00BC31E0">
        <w:rPr>
          <w:rFonts w:hint="eastAsia"/>
        </w:rPr>
        <w:t>図</w:t>
      </w:r>
      <w:r w:rsidRPr="00BC31E0">
        <w:t>G.4</w:t>
      </w:r>
      <w:r w:rsidRPr="00BC31E0">
        <w:rPr>
          <w:rFonts w:ascii="ＭＳ 明朝" w:hAnsi="ＭＳ 明朝" w:hint="eastAsia"/>
        </w:rPr>
        <w:t>，</w:t>
      </w:r>
      <w:r w:rsidRPr="00BC31E0">
        <w:rPr>
          <w:rFonts w:hint="eastAsia"/>
        </w:rPr>
        <w:t>図</w:t>
      </w:r>
      <w:r w:rsidRPr="00BC31E0">
        <w:t>G.5</w:t>
      </w:r>
      <w:r w:rsidRPr="00BC31E0">
        <w:rPr>
          <w:rFonts w:hint="eastAsia"/>
        </w:rPr>
        <w:t>を参照)</w:t>
      </w:r>
    </w:p>
    <w:p w14:paraId="73E0089F" w14:textId="77777777" w:rsidR="00F87ADB" w:rsidRPr="00BC31E0" w:rsidRDefault="00A51873" w:rsidP="00DF523E">
      <w:pPr>
        <w:tabs>
          <w:tab w:val="left" w:pos="709"/>
        </w:tabs>
        <w:ind w:left="340"/>
      </w:pPr>
      <m:oMath>
        <m:sSub>
          <m:sSubPr>
            <m:ctrlPr>
              <w:rPr>
                <w:rFonts w:ascii="Cambria Math" w:hAnsi="Cambria Math"/>
                <w:i/>
              </w:rPr>
            </m:ctrlPr>
          </m:sSubPr>
          <m:e>
            <m:r>
              <w:rPr>
                <w:rFonts w:ascii="Cambria Math" w:hAnsi="Cambria Math"/>
              </w:rPr>
              <m:t>A</m:t>
            </m:r>
          </m:e>
          <m:sub>
            <m:r>
              <w:rPr>
                <w:rFonts w:ascii="Cambria Math" w:hAnsi="Cambria Math"/>
              </w:rPr>
              <m:t>B</m:t>
            </m:r>
          </m:sub>
        </m:sSub>
      </m:oMath>
      <w:r w:rsidR="00F87ADB" w:rsidRPr="00BC31E0">
        <w:rPr>
          <w:rFonts w:hint="eastAsia"/>
        </w:rPr>
        <w:tab/>
      </w:r>
      <w:r w:rsidR="00F87ADB" w:rsidRPr="00BC31E0">
        <w:rPr>
          <w:rFonts w:hint="eastAsia"/>
        </w:rPr>
        <w:t>：</w:t>
      </w:r>
      <w:r w:rsidR="00F87ADB" w:rsidRPr="00BC31E0">
        <w:rPr>
          <w:rFonts w:hint="eastAsia"/>
        </w:rPr>
        <w:t xml:space="preserve"> </w:t>
      </w:r>
      <w:r w:rsidR="00F87ADB" w:rsidRPr="00BC31E0">
        <w:rPr>
          <w:rFonts w:hint="eastAsia"/>
        </w:rPr>
        <w:t>容器軸に沿っためねじ部材の横断面積</w:t>
      </w:r>
      <w:r w:rsidR="00F87ADB" w:rsidRPr="00BC31E0">
        <w:rPr>
          <w:rFonts w:hint="eastAsia"/>
        </w:rPr>
        <w:t>(</w:t>
      </w:r>
      <w:r w:rsidR="00F87ADB" w:rsidRPr="00BC31E0">
        <w:rPr>
          <w:rFonts w:ascii="Cambria Math" w:hAnsi="Cambria Math"/>
        </w:rPr>
        <w:t>mm</w:t>
      </w:r>
      <w:r w:rsidR="00F87ADB" w:rsidRPr="00BC31E0">
        <w:rPr>
          <w:rFonts w:ascii="Cambria Math" w:hAnsi="Cambria Math"/>
          <w:vertAlign w:val="superscript"/>
        </w:rPr>
        <w:t>2</w:t>
      </w:r>
      <w:r w:rsidR="00F87ADB" w:rsidRPr="00BC31E0">
        <w:rPr>
          <w:rFonts w:hint="eastAsia"/>
        </w:rPr>
        <w:t>)</w:t>
      </w:r>
    </w:p>
    <w:p w14:paraId="74B7BF08" w14:textId="77777777" w:rsidR="00F87ADB" w:rsidRPr="00BC31E0" w:rsidRDefault="00F87ADB" w:rsidP="00DF523E">
      <w:pPr>
        <w:ind w:left="1021"/>
      </w:pPr>
      <m:oMath>
        <m:r>
          <w:rPr>
            <w:rFonts w:ascii="Cambria Math" w:hAnsi="Cambria Math"/>
          </w:rPr>
          <m:t>=π</m:t>
        </m:r>
        <m:f>
          <m:fPr>
            <m:type m:val="lin"/>
            <m:ctrlPr>
              <w:rPr>
                <w:rFonts w:ascii="Cambria Math" w:hAnsi="Cambria Math"/>
                <w:i/>
              </w:rPr>
            </m:ctrlPr>
          </m:fPr>
          <m:num>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O</m:t>
                        </m:r>
                      </m:sub>
                    </m:sSub>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p</m:t>
                        </m:r>
                      </m:sub>
                    </m:sSub>
                  </m:e>
                  <m:sup>
                    <m:r>
                      <w:rPr>
                        <w:rFonts w:ascii="Cambria Math" w:hAnsi="Cambria Math"/>
                      </w:rPr>
                      <m:t>2</m:t>
                    </m:r>
                  </m:sup>
                </m:sSup>
              </m:e>
            </m:d>
          </m:num>
          <m:den>
            <m:r>
              <w:rPr>
                <w:rFonts w:ascii="Cambria Math" w:hAnsi="Cambria Math"/>
              </w:rPr>
              <m:t>4</m:t>
            </m:r>
          </m:den>
        </m:f>
      </m:oMath>
      <w:r w:rsidRPr="00BC31E0">
        <w:t xml:space="preserve"> </w:t>
      </w:r>
    </w:p>
    <w:p w14:paraId="48289F1A" w14:textId="77777777" w:rsidR="00F87ADB" w:rsidRPr="00BC31E0" w:rsidRDefault="00A51873" w:rsidP="00DF523E">
      <w:pPr>
        <w:tabs>
          <w:tab w:val="left" w:pos="709"/>
        </w:tabs>
        <w:ind w:left="340"/>
      </w:pPr>
      <m:oMath>
        <m:sSub>
          <m:sSubPr>
            <m:ctrlPr>
              <w:rPr>
                <w:rFonts w:ascii="Cambria Math" w:hAnsi="Cambria Math"/>
                <w:i/>
              </w:rPr>
            </m:ctrlPr>
          </m:sSubPr>
          <m:e>
            <m:r>
              <w:rPr>
                <w:rFonts w:ascii="Cambria Math" w:hAnsi="Cambria Math"/>
              </w:rPr>
              <m:t>A</m:t>
            </m:r>
          </m:e>
          <m:sub>
            <m:r>
              <w:rPr>
                <w:rFonts w:ascii="Cambria Math" w:hAnsi="Cambria Math"/>
              </w:rPr>
              <m:t>C</m:t>
            </m:r>
          </m:sub>
        </m:sSub>
      </m:oMath>
      <w:r w:rsidR="00F87ADB" w:rsidRPr="00BC31E0">
        <w:rPr>
          <w:rFonts w:hint="eastAsia"/>
        </w:rPr>
        <w:tab/>
      </w:r>
      <w:r w:rsidR="00F87ADB" w:rsidRPr="00BC31E0">
        <w:rPr>
          <w:rFonts w:hint="eastAsia"/>
        </w:rPr>
        <w:t>：</w:t>
      </w:r>
      <w:r w:rsidR="00F87ADB" w:rsidRPr="00BC31E0">
        <w:rPr>
          <w:rFonts w:hint="eastAsia"/>
        </w:rPr>
        <w:t xml:space="preserve"> </w:t>
      </w:r>
      <w:r w:rsidR="00F87ADB" w:rsidRPr="00BC31E0">
        <w:rPr>
          <w:rFonts w:hint="eastAsia"/>
        </w:rPr>
        <w:t>容器軸に沿ったおねじ部材の横断面積</w:t>
      </w:r>
      <w:r w:rsidR="00F87ADB" w:rsidRPr="00BC31E0">
        <w:rPr>
          <w:rFonts w:hint="eastAsia"/>
        </w:rPr>
        <w:t>(</w:t>
      </w:r>
      <w:r w:rsidR="00F87ADB" w:rsidRPr="00BC31E0">
        <w:rPr>
          <w:rFonts w:ascii="Cambria Math" w:hAnsi="Cambria Math"/>
        </w:rPr>
        <w:t>mm</w:t>
      </w:r>
      <w:r w:rsidR="00F87ADB" w:rsidRPr="00BC31E0">
        <w:rPr>
          <w:rFonts w:ascii="Cambria Math" w:hAnsi="Cambria Math"/>
          <w:vertAlign w:val="superscript"/>
        </w:rPr>
        <w:t>2</w:t>
      </w:r>
      <w:r w:rsidR="00F87ADB" w:rsidRPr="00BC31E0">
        <w:rPr>
          <w:rFonts w:hint="eastAsia"/>
        </w:rPr>
        <w:t>)</w:t>
      </w:r>
    </w:p>
    <w:p w14:paraId="596C7266" w14:textId="77777777" w:rsidR="00F87ADB" w:rsidRPr="00BC31E0" w:rsidRDefault="00F87ADB" w:rsidP="00DF523E">
      <w:pPr>
        <w:ind w:left="1021"/>
      </w:pPr>
      <m:oMath>
        <m:r>
          <w:rPr>
            <w:rFonts w:ascii="Cambria Math" w:hAnsi="Cambria Math"/>
          </w:rPr>
          <m:t>=</m:t>
        </m:r>
        <m:f>
          <m:fPr>
            <m:type m:val="lin"/>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π D</m:t>
                    </m:r>
                  </m:e>
                  <m:sub>
                    <m:r>
                      <w:rPr>
                        <w:rFonts w:ascii="Cambria Math" w:hAnsi="Cambria Math"/>
                      </w:rPr>
                      <m:t>p</m:t>
                    </m:r>
                  </m:sub>
                </m:sSub>
              </m:e>
              <m:sup>
                <m:r>
                  <w:rPr>
                    <w:rFonts w:ascii="Cambria Math" w:hAnsi="Cambria Math"/>
                  </w:rPr>
                  <m:t>2</m:t>
                </m:r>
              </m:sup>
            </m:sSup>
          </m:num>
          <m:den>
            <m:r>
              <w:rPr>
                <w:rFonts w:ascii="Cambria Math" w:hAnsi="Cambria Math"/>
              </w:rPr>
              <m:t>4</m:t>
            </m:r>
          </m:den>
        </m:f>
      </m:oMath>
      <w:r w:rsidRPr="00BC31E0">
        <w:t xml:space="preserve"> </w:t>
      </w:r>
    </w:p>
    <w:p w14:paraId="306D979C" w14:textId="77777777" w:rsidR="00F87ADB" w:rsidRPr="00BC31E0" w:rsidRDefault="00A51873" w:rsidP="00DF523E">
      <w:pPr>
        <w:tabs>
          <w:tab w:val="left" w:pos="709"/>
        </w:tabs>
        <w:ind w:left="340"/>
      </w:pPr>
      <m:oMath>
        <m:sSub>
          <m:sSubPr>
            <m:ctrlPr>
              <w:rPr>
                <w:rFonts w:ascii="Cambria Math" w:hAnsi="Cambria Math"/>
                <w:i/>
              </w:rPr>
            </m:ctrlPr>
          </m:sSubPr>
          <m:e>
            <m:r>
              <w:rPr>
                <w:rFonts w:ascii="Cambria Math" w:hAnsi="Cambria Math"/>
              </w:rPr>
              <m:t>C</m:t>
            </m:r>
          </m:e>
          <m:sub>
            <m:r>
              <w:rPr>
                <w:rFonts w:ascii="Cambria Math" w:hAnsi="Cambria Math"/>
              </w:rPr>
              <m:t>M</m:t>
            </m:r>
          </m:sub>
        </m:sSub>
      </m:oMath>
      <w:r w:rsidR="00F87ADB" w:rsidRPr="00BC31E0">
        <w:rPr>
          <w:rFonts w:hint="eastAsia"/>
        </w:rPr>
        <w:tab/>
      </w:r>
      <w:r w:rsidR="00F87ADB" w:rsidRPr="00BC31E0">
        <w:rPr>
          <w:rFonts w:hint="eastAsia"/>
        </w:rPr>
        <w:t>：</w:t>
      </w:r>
      <w:r w:rsidR="00F87ADB" w:rsidRPr="00BC31E0">
        <w:rPr>
          <w:rFonts w:hint="eastAsia"/>
        </w:rPr>
        <w:t xml:space="preserve"> </w:t>
      </w:r>
      <w:r w:rsidR="00F87ADB" w:rsidRPr="00BC31E0">
        <w:rPr>
          <w:rFonts w:hint="eastAsia"/>
        </w:rPr>
        <w:t>ふた板と容器の相乗たわみ係数</w:t>
      </w:r>
      <w:r w:rsidR="00F87ADB" w:rsidRPr="00BC31E0">
        <w:rPr>
          <w:rFonts w:hint="eastAsia"/>
        </w:rPr>
        <w:t>(</w:t>
      </w:r>
      <w:r w:rsidR="00F87ADB" w:rsidRPr="00BC31E0">
        <w:rPr>
          <w:rFonts w:ascii="Cambria Math" w:hAnsi="Cambria Math"/>
        </w:rPr>
        <w:t>1/mm</w:t>
      </w:r>
      <w:r w:rsidR="00F87ADB" w:rsidRPr="00BC31E0">
        <w:rPr>
          <w:rFonts w:hint="eastAsia"/>
        </w:rPr>
        <w:t>)</w:t>
      </w:r>
    </w:p>
    <w:tbl>
      <w:tblPr>
        <w:tblStyle w:val="200"/>
        <w:tblW w:w="0" w:type="auto"/>
        <w:tblInd w:w="10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6"/>
      </w:tblGrid>
      <w:tr w:rsidR="00F87ADB" w:rsidRPr="00BC31E0" w14:paraId="6E0D6409" w14:textId="77777777" w:rsidTr="004736F2">
        <w:tc>
          <w:tcPr>
            <w:tcW w:w="0" w:type="auto"/>
            <w:tcMar>
              <w:left w:w="0" w:type="dxa"/>
              <w:right w:w="0" w:type="dxa"/>
            </w:tcMar>
            <w:vAlign w:val="center"/>
          </w:tcPr>
          <w:p w14:paraId="775E0C5E" w14:textId="77777777" w:rsidR="00F87ADB" w:rsidRPr="00BC31E0" w:rsidRDefault="00F87ADB" w:rsidP="00DF523E">
            <w:pPr>
              <w:rPr>
                <w:i/>
              </w:rPr>
            </w:pPr>
            <m:oMathPara>
              <m:oMathParaPr>
                <m:jc m:val="left"/>
              </m:oMathParaPr>
              <m:oMath>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B</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C</m:t>
                            </m:r>
                          </m:sub>
                        </m:sSub>
                      </m:den>
                    </m:f>
                  </m:e>
                </m:d>
                <m:sSub>
                  <m:sSubPr>
                    <m:ctrlPr>
                      <w:rPr>
                        <w:rFonts w:ascii="Cambria Math" w:hAnsi="Cambria Math"/>
                        <w:i/>
                      </w:rPr>
                    </m:ctrlPr>
                  </m:sSubPr>
                  <m:e>
                    <m:r>
                      <w:rPr>
                        <w:rFonts w:ascii="Cambria Math" w:hAnsi="Cambria Math"/>
                      </w:rPr>
                      <m:t>P</m:t>
                    </m:r>
                  </m:e>
                  <m:sub>
                    <m:r>
                      <w:rPr>
                        <w:rFonts w:ascii="Cambria Math" w:hAnsi="Cambria Math"/>
                      </w:rPr>
                      <m:t>T</m:t>
                    </m:r>
                  </m:sub>
                </m:sSub>
              </m:oMath>
            </m:oMathPara>
          </w:p>
        </w:tc>
      </w:tr>
    </w:tbl>
    <w:p w14:paraId="12C3B112" w14:textId="77777777" w:rsidR="00F87ADB" w:rsidRPr="00BC31E0" w:rsidRDefault="00A51873" w:rsidP="00DF523E">
      <w:pPr>
        <w:tabs>
          <w:tab w:val="left" w:pos="709"/>
        </w:tabs>
        <w:ind w:left="340"/>
      </w:pP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F87ADB" w:rsidRPr="00BC31E0">
        <w:rPr>
          <w:rFonts w:ascii="Cambria Math" w:hAnsi="Cambria Math" w:hint="eastAsia"/>
        </w:rPr>
        <w:tab/>
      </w:r>
      <w:r w:rsidR="00F87ADB" w:rsidRPr="00BC31E0">
        <w:rPr>
          <w:rFonts w:hint="eastAsia"/>
        </w:rPr>
        <w:t>：</w:t>
      </w:r>
      <w:r w:rsidR="00F87ADB" w:rsidRPr="00BC31E0">
        <w:rPr>
          <w:rFonts w:hint="eastAsia"/>
        </w:rPr>
        <w:t xml:space="preserve"> </w:t>
      </w:r>
      <w:r w:rsidR="00F87ADB" w:rsidRPr="00BC31E0">
        <w:rPr>
          <w:rFonts w:hint="eastAsia"/>
        </w:rPr>
        <w:t>ねじ部のたわみ係数</w:t>
      </w:r>
      <w:r w:rsidR="00F87ADB" w:rsidRPr="00BC31E0">
        <w:rPr>
          <w:rFonts w:hint="eastAsia"/>
        </w:rPr>
        <w:t>(</w:t>
      </w:r>
      <w:r w:rsidR="00F87ADB" w:rsidRPr="00BC31E0">
        <w:rPr>
          <w:rFonts w:ascii="Cambria Math" w:hAnsi="Cambria Math"/>
        </w:rPr>
        <w:t>1/mm</w:t>
      </w:r>
      <w:r w:rsidR="00F87ADB" w:rsidRPr="00BC31E0">
        <w:rPr>
          <w:rFonts w:hint="eastAsia"/>
        </w:rPr>
        <w:t>)</w:t>
      </w:r>
    </w:p>
    <w:p w14:paraId="786CC67E" w14:textId="77777777" w:rsidR="00F87ADB" w:rsidRPr="00BC31E0" w:rsidRDefault="00F87ADB" w:rsidP="00DF523E">
      <w:pPr>
        <w:ind w:left="1021"/>
      </w:pPr>
      <m:oMath>
        <m:r>
          <w:rPr>
            <w:rFonts w:ascii="Cambria Math" w:hAnsi="Cambria Math"/>
          </w:rPr>
          <m:t>=</m:t>
        </m:r>
        <m:f>
          <m:fPr>
            <m:type m:val="lin"/>
            <m:ctrlPr>
              <w:rPr>
                <w:rFonts w:ascii="Cambria Math" w:hAnsi="Cambria Math"/>
              </w:rPr>
            </m:ctrlPr>
          </m:fPr>
          <m:num>
            <m:r>
              <w:rPr>
                <w:rFonts w:ascii="Cambria Math" w:hAnsi="Cambria Math"/>
              </w:rPr>
              <m:t>2</m:t>
            </m:r>
          </m:num>
          <m:den>
            <m:sSub>
              <m:sSubPr>
                <m:ctrlPr>
                  <w:rPr>
                    <w:rFonts w:ascii="Cambria Math" w:hAnsi="Cambria Math"/>
                  </w:rPr>
                </m:ctrlPr>
              </m:sSubPr>
              <m:e>
                <m:r>
                  <w:rPr>
                    <w:rFonts w:ascii="Cambria Math" w:hAnsi="Cambria Math"/>
                  </w:rPr>
                  <m:t>D</m:t>
                </m:r>
              </m:e>
              <m:sub>
                <m:r>
                  <w:rPr>
                    <w:rFonts w:ascii="Cambria Math" w:hAnsi="Cambria Math"/>
                  </w:rPr>
                  <m:t>p</m:t>
                </m:r>
              </m:sub>
            </m:sSub>
          </m:den>
        </m:f>
      </m:oMath>
      <w:r w:rsidRPr="00BC31E0">
        <w:t xml:space="preserve"> </w:t>
      </w:r>
    </w:p>
    <w:p w14:paraId="0007D081" w14:textId="77777777" w:rsidR="00F87ADB" w:rsidRPr="00BC31E0" w:rsidRDefault="00A51873" w:rsidP="00DF523E">
      <w:pPr>
        <w:tabs>
          <w:tab w:val="left" w:pos="709"/>
        </w:tabs>
        <w:ind w:left="340"/>
      </w:pPr>
      <m:oMath>
        <m:sSub>
          <m:sSubPr>
            <m:ctrlPr>
              <w:rPr>
                <w:rFonts w:ascii="Cambria Math" w:hAnsi="Cambria Math"/>
                <w:i/>
              </w:rPr>
            </m:ctrlPr>
          </m:sSubPr>
          <m:e>
            <m:r>
              <w:rPr>
                <w:rFonts w:ascii="Cambria Math" w:hAnsi="Cambria Math"/>
              </w:rPr>
              <m:t>D</m:t>
            </m:r>
          </m:e>
          <m:sub>
            <m:r>
              <w:rPr>
                <w:rFonts w:ascii="Cambria Math" w:hAnsi="Cambria Math"/>
              </w:rPr>
              <m:t>O</m:t>
            </m:r>
          </m:sub>
        </m:sSub>
      </m:oMath>
      <w:r w:rsidR="00F87ADB" w:rsidRPr="00BC31E0">
        <w:rPr>
          <w:rFonts w:hint="eastAsia"/>
        </w:rPr>
        <w:tab/>
      </w:r>
      <w:r w:rsidR="00F87ADB" w:rsidRPr="00BC31E0">
        <w:rPr>
          <w:rFonts w:hint="eastAsia"/>
        </w:rPr>
        <w:t>：</w:t>
      </w:r>
      <w:r w:rsidR="00F87ADB" w:rsidRPr="00BC31E0">
        <w:rPr>
          <w:rFonts w:hint="eastAsia"/>
        </w:rPr>
        <w:t xml:space="preserve"> </w:t>
      </w:r>
      <w:r w:rsidR="00F87ADB" w:rsidRPr="00BC31E0">
        <w:rPr>
          <w:rFonts w:hint="eastAsia"/>
        </w:rPr>
        <w:t>容器の外径</w:t>
      </w:r>
      <w:r w:rsidR="00F87ADB" w:rsidRPr="00BC31E0">
        <w:rPr>
          <w:rFonts w:hint="eastAsia"/>
        </w:rPr>
        <w:t>(</w:t>
      </w:r>
      <w:r w:rsidR="00F87ADB" w:rsidRPr="00BC31E0">
        <w:rPr>
          <w:rFonts w:ascii="Cambria Math" w:hAnsi="Cambria Math"/>
        </w:rPr>
        <w:t>mm</w:t>
      </w:r>
      <w:r w:rsidR="00F87ADB" w:rsidRPr="00BC31E0">
        <w:rPr>
          <w:rFonts w:hint="eastAsia"/>
        </w:rPr>
        <w:t>)</w:t>
      </w:r>
    </w:p>
    <w:p w14:paraId="46D69ABD" w14:textId="77777777" w:rsidR="00F87ADB" w:rsidRPr="00BC31E0" w:rsidRDefault="00A51873" w:rsidP="00DF523E">
      <w:pPr>
        <w:tabs>
          <w:tab w:val="left" w:pos="709"/>
        </w:tabs>
        <w:ind w:left="340"/>
      </w:pPr>
      <m:oMath>
        <m:sSub>
          <m:sSubPr>
            <m:ctrlPr>
              <w:rPr>
                <w:rFonts w:ascii="Cambria Math" w:hAnsi="Cambria Math"/>
              </w:rPr>
            </m:ctrlPr>
          </m:sSubPr>
          <m:e>
            <m:r>
              <w:rPr>
                <w:rFonts w:ascii="Cambria Math" w:hAnsi="Cambria Math"/>
              </w:rPr>
              <m:t>D</m:t>
            </m:r>
          </m:e>
          <m:sub>
            <m:r>
              <w:rPr>
                <w:rFonts w:ascii="Cambria Math" w:hAnsi="Cambria Math"/>
              </w:rPr>
              <m:t>p</m:t>
            </m:r>
          </m:sub>
        </m:sSub>
      </m:oMath>
      <w:r w:rsidR="00F87ADB" w:rsidRPr="00BC31E0">
        <w:rPr>
          <w:rFonts w:hint="eastAsia"/>
        </w:rPr>
        <w:tab/>
      </w:r>
      <w:r w:rsidR="00F87ADB" w:rsidRPr="00BC31E0">
        <w:rPr>
          <w:rFonts w:hint="eastAsia"/>
        </w:rPr>
        <w:t>：</w:t>
      </w:r>
      <w:r w:rsidR="00F87ADB" w:rsidRPr="00BC31E0">
        <w:rPr>
          <w:rFonts w:hint="eastAsia"/>
        </w:rPr>
        <w:t xml:space="preserve"> </w:t>
      </w:r>
      <w:r w:rsidR="00F87ADB" w:rsidRPr="00BC31E0">
        <w:rPr>
          <w:rFonts w:hint="eastAsia"/>
        </w:rPr>
        <w:t>ねじ部のピッチ径</w:t>
      </w:r>
      <w:r w:rsidR="00F87ADB" w:rsidRPr="00BC31E0">
        <w:rPr>
          <w:rFonts w:hint="eastAsia"/>
        </w:rPr>
        <w:t>(</w:t>
      </w:r>
      <w:r w:rsidR="00F87ADB" w:rsidRPr="00BC31E0">
        <w:rPr>
          <w:rFonts w:ascii="Cambria Math" w:hAnsi="Cambria Math"/>
        </w:rPr>
        <w:t>mm</w:t>
      </w:r>
      <w:r w:rsidR="00F87ADB" w:rsidRPr="00BC31E0">
        <w:rPr>
          <w:rFonts w:hint="eastAsia"/>
        </w:rPr>
        <w:t>)</w:t>
      </w:r>
    </w:p>
    <w:p w14:paraId="31FB0F24" w14:textId="77777777" w:rsidR="00F87ADB" w:rsidRPr="00BC31E0" w:rsidRDefault="00A51873" w:rsidP="00DF523E">
      <w:pPr>
        <w:tabs>
          <w:tab w:val="left" w:pos="709"/>
        </w:tabs>
        <w:ind w:left="340"/>
      </w:pP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00F87ADB" w:rsidRPr="00BC31E0">
        <w:rPr>
          <w:rFonts w:hint="eastAsia"/>
        </w:rPr>
        <w:tab/>
      </w:r>
      <w:r w:rsidR="00F87ADB" w:rsidRPr="00BC31E0">
        <w:rPr>
          <w:rFonts w:hint="eastAsia"/>
        </w:rPr>
        <w:t>：</w:t>
      </w:r>
      <w:r w:rsidR="00F87ADB" w:rsidRPr="00BC31E0">
        <w:rPr>
          <w:rFonts w:hint="eastAsia"/>
        </w:rPr>
        <w:t xml:space="preserve"> </w:t>
      </w:r>
      <w:r w:rsidR="00F87ADB" w:rsidRPr="00BC31E0">
        <w:rPr>
          <w:rFonts w:asciiTheme="minorHAnsi" w:hAnsiTheme="minorHAnsi"/>
        </w:rPr>
        <w:t>1</w:t>
      </w:r>
      <w:r w:rsidR="00F87ADB" w:rsidRPr="00BC31E0">
        <w:rPr>
          <w:rFonts w:hint="eastAsia"/>
        </w:rPr>
        <w:t>山目のねじ山にかかる荷重</w:t>
      </w:r>
      <w:r w:rsidR="00F87ADB" w:rsidRPr="00BC31E0">
        <w:rPr>
          <w:rFonts w:hint="eastAsia"/>
        </w:rPr>
        <w:t>(</w:t>
      </w:r>
      <w:r w:rsidR="00F87ADB" w:rsidRPr="00BC31E0">
        <w:rPr>
          <w:rFonts w:ascii="Cambria Math" w:hAnsi="Cambria Math"/>
        </w:rPr>
        <w:t>N</w:t>
      </w:r>
      <w:r w:rsidR="00F87ADB" w:rsidRPr="00BC31E0">
        <w:rPr>
          <w:rFonts w:hint="eastAsia"/>
        </w:rPr>
        <w:t>)</w:t>
      </w:r>
    </w:p>
    <w:p w14:paraId="0780AE53" w14:textId="77777777" w:rsidR="00F87ADB" w:rsidRPr="00BC31E0" w:rsidRDefault="00A51873" w:rsidP="00DF523E">
      <w:pPr>
        <w:tabs>
          <w:tab w:val="left" w:pos="709"/>
        </w:tabs>
        <w:ind w:left="340"/>
      </w:pPr>
      <m:oMath>
        <m:sSub>
          <m:sSubPr>
            <m:ctrlPr>
              <w:rPr>
                <w:rFonts w:ascii="Cambria Math" w:hAnsi="Cambria Math"/>
                <w:i/>
              </w:rPr>
            </m:ctrlPr>
          </m:sSubPr>
          <m:e>
            <m:r>
              <w:rPr>
                <w:rFonts w:ascii="Cambria Math" w:hAnsi="Cambria Math"/>
              </w:rPr>
              <m:t>F</m:t>
            </m:r>
          </m:e>
          <m:sub>
            <m:r>
              <w:rPr>
                <w:rFonts w:ascii="Cambria Math" w:hAnsi="Cambria Math"/>
              </w:rPr>
              <m:t>2</m:t>
            </m:r>
          </m:sub>
        </m:sSub>
      </m:oMath>
      <w:r w:rsidR="00F87ADB" w:rsidRPr="00BC31E0">
        <w:rPr>
          <w:rFonts w:hint="eastAsia"/>
        </w:rPr>
        <w:tab/>
      </w:r>
      <w:r w:rsidR="00F87ADB" w:rsidRPr="00BC31E0">
        <w:rPr>
          <w:rFonts w:hint="eastAsia"/>
        </w:rPr>
        <w:t>：</w:t>
      </w:r>
      <w:r w:rsidR="00F87ADB" w:rsidRPr="00BC31E0">
        <w:rPr>
          <w:rFonts w:hint="eastAsia"/>
        </w:rPr>
        <w:t xml:space="preserve"> </w:t>
      </w:r>
      <w:r w:rsidR="00F87ADB" w:rsidRPr="00BC31E0">
        <w:rPr>
          <w:rFonts w:asciiTheme="minorHAnsi" w:hAnsiTheme="minorHAnsi"/>
        </w:rPr>
        <w:t>2</w:t>
      </w:r>
      <w:r w:rsidR="00F87ADB" w:rsidRPr="00BC31E0">
        <w:rPr>
          <w:rFonts w:hint="eastAsia"/>
        </w:rPr>
        <w:t>山目のねじ山にかかる荷重</w:t>
      </w:r>
      <w:r w:rsidR="00F87ADB" w:rsidRPr="00BC31E0">
        <w:rPr>
          <w:rFonts w:hint="eastAsia"/>
        </w:rPr>
        <w:t>(</w:t>
      </w:r>
      <w:r w:rsidR="00F87ADB" w:rsidRPr="00BC31E0">
        <w:rPr>
          <w:rFonts w:ascii="Cambria Math" w:hAnsi="Cambria Math"/>
        </w:rPr>
        <w:t>N</w:t>
      </w:r>
      <w:r w:rsidR="00F87ADB" w:rsidRPr="00BC31E0">
        <w:rPr>
          <w:rFonts w:hint="eastAsia"/>
        </w:rPr>
        <w:t xml:space="preserve">) </w:t>
      </w:r>
    </w:p>
    <w:p w14:paraId="6EAC5C40" w14:textId="77777777" w:rsidR="00F87ADB" w:rsidRPr="00BC31E0" w:rsidRDefault="00A51873" w:rsidP="00DF523E">
      <w:pPr>
        <w:tabs>
          <w:tab w:val="left" w:pos="709"/>
        </w:tabs>
        <w:ind w:left="340"/>
      </w:pPr>
      <m:oMath>
        <m:sSub>
          <m:sSubPr>
            <m:ctrlPr>
              <w:rPr>
                <w:rFonts w:ascii="Cambria Math" w:hAnsi="Cambria Math"/>
                <w:i/>
              </w:rPr>
            </m:ctrlPr>
          </m:sSubPr>
          <m:e>
            <m:r>
              <w:rPr>
                <w:rFonts w:ascii="Cambria Math" w:hAnsi="Cambria Math"/>
              </w:rPr>
              <m:t>F</m:t>
            </m:r>
          </m:e>
          <m:sub>
            <m:r>
              <w:rPr>
                <w:rFonts w:ascii="Cambria Math" w:hAnsi="Cambria Math"/>
              </w:rPr>
              <m:t>i</m:t>
            </m:r>
          </m:sub>
        </m:sSub>
      </m:oMath>
      <w:r w:rsidR="00F87ADB" w:rsidRPr="00BC31E0">
        <w:rPr>
          <w:rFonts w:hint="eastAsia"/>
        </w:rPr>
        <w:tab/>
      </w:r>
      <w:r w:rsidR="00F87ADB" w:rsidRPr="00BC31E0">
        <w:rPr>
          <w:rFonts w:hint="eastAsia"/>
        </w:rPr>
        <w:t>：</w:t>
      </w:r>
      <w:r w:rsidR="00F87ADB" w:rsidRPr="00BC31E0">
        <w:rPr>
          <w:rFonts w:hint="eastAsia"/>
        </w:rPr>
        <w:t xml:space="preserve"> </w:t>
      </w:r>
      <m:oMath>
        <m:r>
          <w:rPr>
            <w:rFonts w:ascii="Cambria Math" w:hAnsi="Cambria Math"/>
          </w:rPr>
          <m:t xml:space="preserve">i </m:t>
        </m:r>
      </m:oMath>
      <w:r w:rsidR="00F87ADB" w:rsidRPr="00BC31E0">
        <w:rPr>
          <w:rFonts w:hint="eastAsia"/>
        </w:rPr>
        <w:t>山目のねじ山にかかる荷重</w:t>
      </w:r>
      <w:r w:rsidR="00F87ADB" w:rsidRPr="00BC31E0">
        <w:rPr>
          <w:rFonts w:hint="eastAsia"/>
        </w:rPr>
        <w:t>(</w:t>
      </w:r>
      <w:r w:rsidR="00F87ADB" w:rsidRPr="00BC31E0">
        <w:rPr>
          <w:rFonts w:ascii="Cambria Math" w:hAnsi="Cambria Math"/>
        </w:rPr>
        <w:t>N</w:t>
      </w:r>
      <w:r w:rsidR="00F87ADB" w:rsidRPr="00BC31E0">
        <w:rPr>
          <w:rFonts w:hint="eastAsia"/>
        </w:rPr>
        <w:t>)</w:t>
      </w:r>
    </w:p>
    <w:p w14:paraId="655BE2A2" w14:textId="77777777" w:rsidR="00F87ADB" w:rsidRPr="00BC31E0" w:rsidRDefault="00A51873" w:rsidP="00DF523E">
      <w:pPr>
        <w:tabs>
          <w:tab w:val="left" w:pos="709"/>
        </w:tabs>
        <w:ind w:left="340"/>
      </w:pPr>
      <m:oMath>
        <m:sSub>
          <m:sSubPr>
            <m:ctrlPr>
              <w:rPr>
                <w:rFonts w:ascii="Cambria Math" w:hAnsi="Cambria Math"/>
                <w:i/>
              </w:rPr>
            </m:ctrlPr>
          </m:sSubPr>
          <m:e>
            <m:r>
              <w:rPr>
                <w:rFonts w:ascii="Cambria Math" w:hAnsi="Cambria Math"/>
              </w:rPr>
              <m:t>F</m:t>
            </m:r>
          </m:e>
          <m:sub>
            <m:r>
              <w:rPr>
                <w:rFonts w:ascii="Cambria Math" w:hAnsi="Cambria Math"/>
              </w:rPr>
              <m:t>n</m:t>
            </m:r>
          </m:sub>
        </m:sSub>
      </m:oMath>
      <w:r w:rsidR="00F87ADB" w:rsidRPr="00BC31E0">
        <w:rPr>
          <w:rFonts w:hint="eastAsia"/>
        </w:rPr>
        <w:tab/>
      </w:r>
      <w:r w:rsidR="00F87ADB" w:rsidRPr="00BC31E0">
        <w:rPr>
          <w:rFonts w:hint="eastAsia"/>
        </w:rPr>
        <w:t>：</w:t>
      </w:r>
      <w:r w:rsidR="00F87ADB" w:rsidRPr="00BC31E0">
        <w:rPr>
          <w:rFonts w:hint="eastAsia"/>
        </w:rPr>
        <w:t xml:space="preserve"> </w:t>
      </w:r>
      <w:r w:rsidR="00F87ADB" w:rsidRPr="00BC31E0">
        <w:rPr>
          <w:rFonts w:hint="eastAsia"/>
        </w:rPr>
        <w:t>最終ねじ山にかかる荷重</w:t>
      </w:r>
      <w:r w:rsidR="00F87ADB" w:rsidRPr="00BC31E0">
        <w:rPr>
          <w:rFonts w:hint="eastAsia"/>
        </w:rPr>
        <w:t>(</w:t>
      </w:r>
      <w:r w:rsidR="00F87ADB" w:rsidRPr="00BC31E0">
        <w:rPr>
          <w:rFonts w:ascii="Cambria Math" w:hAnsi="Cambria Math"/>
        </w:rPr>
        <w:t>N</w:t>
      </w:r>
      <w:r w:rsidR="00F87ADB" w:rsidRPr="00BC31E0">
        <w:rPr>
          <w:rFonts w:hint="eastAsia"/>
        </w:rPr>
        <w:t>)</w:t>
      </w:r>
    </w:p>
    <w:p w14:paraId="11124389" w14:textId="77777777" w:rsidR="00F87ADB" w:rsidRPr="00BC31E0" w:rsidRDefault="00A51873" w:rsidP="00DF523E">
      <w:pPr>
        <w:tabs>
          <w:tab w:val="left" w:pos="709"/>
        </w:tabs>
        <w:ind w:left="340"/>
      </w:pPr>
      <m:oMath>
        <m:sSub>
          <m:sSubPr>
            <m:ctrlPr>
              <w:rPr>
                <w:rFonts w:ascii="Cambria Math" w:hAnsi="Cambria Math"/>
                <w:i/>
              </w:rPr>
            </m:ctrlPr>
          </m:sSubPr>
          <m:e>
            <m:r>
              <w:rPr>
                <w:rFonts w:ascii="Cambria Math" w:hAnsi="Cambria Math"/>
              </w:rPr>
              <m:t>F</m:t>
            </m:r>
          </m:e>
          <m:sub>
            <m:r>
              <w:rPr>
                <w:rFonts w:ascii="Cambria Math" w:hAnsi="Cambria Math"/>
              </w:rPr>
              <m:t>T</m:t>
            </m:r>
          </m:sub>
        </m:sSub>
      </m:oMath>
      <w:r w:rsidR="00F87ADB" w:rsidRPr="00BC31E0">
        <w:rPr>
          <w:rFonts w:hint="eastAsia"/>
        </w:rPr>
        <w:tab/>
      </w:r>
      <w:r w:rsidR="00F87ADB" w:rsidRPr="00BC31E0">
        <w:rPr>
          <w:rFonts w:hint="eastAsia"/>
        </w:rPr>
        <w:t>：</w:t>
      </w:r>
      <w:r w:rsidR="00F87ADB" w:rsidRPr="00BC31E0">
        <w:rPr>
          <w:rFonts w:hint="eastAsia"/>
        </w:rPr>
        <w:t xml:space="preserve"> </w:t>
      </w:r>
      <w:r w:rsidR="00F87ADB" w:rsidRPr="00BC31E0">
        <w:rPr>
          <w:rFonts w:hint="eastAsia"/>
        </w:rPr>
        <w:t>全ねじ山の総荷重</w:t>
      </w:r>
      <w:r w:rsidR="00F87ADB" w:rsidRPr="00BC31E0">
        <w:rPr>
          <w:rFonts w:hint="eastAsia"/>
        </w:rPr>
        <w:t>(</w:t>
      </w:r>
      <w:r w:rsidR="00F87ADB" w:rsidRPr="00BC31E0">
        <w:rPr>
          <w:rFonts w:ascii="Cambria Math" w:hAnsi="Cambria Math"/>
        </w:rPr>
        <w:t>N</w:t>
      </w:r>
      <w:r w:rsidR="00F87ADB" w:rsidRPr="00BC31E0">
        <w:rPr>
          <w:rFonts w:hint="eastAsia"/>
        </w:rPr>
        <w:t>)</w:t>
      </w:r>
    </w:p>
    <w:p w14:paraId="04B59AB7" w14:textId="77777777" w:rsidR="00F87ADB" w:rsidRPr="00BC31E0" w:rsidRDefault="00A51873" w:rsidP="00DF523E">
      <w:pPr>
        <w:tabs>
          <w:tab w:val="left" w:pos="709"/>
        </w:tabs>
        <w:ind w:left="340"/>
      </w:pPr>
      <m:oMath>
        <m:sSub>
          <m:sSubPr>
            <m:ctrlPr>
              <w:rPr>
                <w:rFonts w:ascii="Cambria Math" w:hAnsi="Cambria Math"/>
                <w:i/>
              </w:rPr>
            </m:ctrlPr>
          </m:sSubPr>
          <m:e>
            <m:r>
              <w:rPr>
                <w:rFonts w:ascii="Cambria Math" w:hAnsi="Cambria Math"/>
              </w:rPr>
              <m:t>P</m:t>
            </m:r>
          </m:e>
          <m:sub>
            <m:r>
              <w:rPr>
                <w:rFonts w:ascii="Cambria Math" w:hAnsi="Cambria Math"/>
              </w:rPr>
              <m:t>T</m:t>
            </m:r>
          </m:sub>
        </m:sSub>
      </m:oMath>
      <w:r w:rsidR="00F87ADB" w:rsidRPr="00BC31E0">
        <w:rPr>
          <w:rFonts w:hint="eastAsia"/>
        </w:rPr>
        <w:tab/>
      </w:r>
      <w:r w:rsidR="00F87ADB" w:rsidRPr="00BC31E0">
        <w:rPr>
          <w:rFonts w:hint="eastAsia"/>
        </w:rPr>
        <w:t>：</w:t>
      </w:r>
      <w:r w:rsidR="00F87ADB" w:rsidRPr="00BC31E0">
        <w:rPr>
          <w:rFonts w:hint="eastAsia"/>
        </w:rPr>
        <w:t xml:space="preserve"> </w:t>
      </w:r>
      <w:r w:rsidR="00F87ADB" w:rsidRPr="00BC31E0">
        <w:rPr>
          <w:rFonts w:hint="eastAsia"/>
        </w:rPr>
        <w:t>ねじのピッチ</w:t>
      </w:r>
      <w:r w:rsidR="00F87ADB" w:rsidRPr="00BC31E0">
        <w:rPr>
          <w:rFonts w:hint="eastAsia"/>
        </w:rPr>
        <w:t>(</w:t>
      </w:r>
      <w:r w:rsidR="00F87ADB" w:rsidRPr="00BC31E0">
        <w:rPr>
          <w:rFonts w:ascii="Cambria Math" w:hAnsi="Cambria Math"/>
        </w:rPr>
        <w:t>mm</w:t>
      </w:r>
      <w:r w:rsidR="00F87ADB" w:rsidRPr="00BC31E0">
        <w:rPr>
          <w:rFonts w:hint="eastAsia"/>
        </w:rPr>
        <w:t>)</w:t>
      </w:r>
    </w:p>
    <w:p w14:paraId="45FD1DF2" w14:textId="77777777" w:rsidR="00F87ADB" w:rsidRPr="00BC31E0" w:rsidRDefault="00F87ADB" w:rsidP="00DF523E">
      <w:pPr>
        <w:tabs>
          <w:tab w:val="left" w:pos="709"/>
        </w:tabs>
        <w:ind w:left="340"/>
      </w:pPr>
      <m:oMath>
        <m:r>
          <w:rPr>
            <w:rFonts w:ascii="Cambria Math" w:hAnsi="Cambria Math"/>
          </w:rPr>
          <m:t>S</m:t>
        </m:r>
      </m:oMath>
      <w:r w:rsidRPr="00BC31E0">
        <w:rPr>
          <w:rFonts w:hint="eastAsia"/>
        </w:rPr>
        <w:tab/>
      </w:r>
      <w:r w:rsidRPr="00BC31E0">
        <w:rPr>
          <w:rFonts w:hint="eastAsia"/>
        </w:rPr>
        <w:t>：</w:t>
      </w:r>
      <w:r w:rsidRPr="00BC31E0">
        <w:rPr>
          <w:rFonts w:hint="eastAsia"/>
        </w:rPr>
        <w:t xml:space="preserve"> </w:t>
      </w:r>
      <w:r w:rsidRPr="00BC31E0">
        <w:rPr>
          <w:rFonts w:asciiTheme="minorHAnsi" w:hAnsiTheme="minorHAnsi"/>
        </w:rPr>
        <w:t>1</w:t>
      </w:r>
      <w:r w:rsidRPr="00BC31E0">
        <w:rPr>
          <w:rFonts w:hint="eastAsia"/>
        </w:rPr>
        <w:t>ピッチの荷重を受けもつ断続ねじの分割数</w:t>
      </w:r>
    </w:p>
    <w:p w14:paraId="1A72A0FC" w14:textId="77777777" w:rsidR="00F87ADB" w:rsidRPr="00BC31E0" w:rsidRDefault="00A51873" w:rsidP="00DF523E">
      <w:pPr>
        <w:tabs>
          <w:tab w:val="left" w:pos="709"/>
        </w:tabs>
        <w:ind w:left="340"/>
      </w:pPr>
      <m:oMath>
        <m:sSub>
          <m:sSubPr>
            <m:ctrlPr>
              <w:rPr>
                <w:rFonts w:ascii="Cambria Math" w:hAnsi="Cambria Math"/>
                <w:i/>
              </w:rPr>
            </m:ctrlPr>
          </m:sSubPr>
          <m:e>
            <m:r>
              <w:rPr>
                <w:rFonts w:ascii="Cambria Math" w:hAnsi="Cambria Math"/>
              </w:rPr>
              <m:t>S</m:t>
            </m:r>
          </m:e>
          <m:sub>
            <m:r>
              <w:rPr>
                <w:rFonts w:ascii="Cambria Math" w:hAnsi="Cambria Math"/>
              </w:rPr>
              <m:t>i</m:t>
            </m:r>
          </m:sub>
        </m:sSub>
      </m:oMath>
      <w:r w:rsidR="00F87ADB" w:rsidRPr="00BC31E0">
        <w:rPr>
          <w:rFonts w:hint="eastAsia"/>
        </w:rPr>
        <w:tab/>
      </w:r>
      <w:r w:rsidR="00F87ADB" w:rsidRPr="00BC31E0">
        <w:rPr>
          <w:rFonts w:hint="eastAsia"/>
        </w:rPr>
        <w:t>：</w:t>
      </w:r>
      <w:r w:rsidR="00F87ADB" w:rsidRPr="00BC31E0">
        <w:rPr>
          <w:rFonts w:hint="eastAsia"/>
        </w:rPr>
        <w:t xml:space="preserve"> </w:t>
      </w:r>
      <w:r w:rsidR="00F87ADB" w:rsidRPr="00BC31E0">
        <w:rPr>
          <w:rFonts w:hint="eastAsia"/>
        </w:rPr>
        <w:t>断続ねじ荷重</w:t>
      </w:r>
      <w:r w:rsidR="00F87ADB" w:rsidRPr="00BC31E0">
        <w:rPr>
          <w:rFonts w:hint="eastAsia"/>
        </w:rPr>
        <w:t>(</w:t>
      </w:r>
      <w:r w:rsidR="00F87ADB" w:rsidRPr="00BC31E0">
        <w:rPr>
          <w:rFonts w:ascii="Cambria Math" w:hAnsi="Cambria Math"/>
        </w:rPr>
        <w:t>N</w:t>
      </w:r>
      <w:r w:rsidR="00F87ADB" w:rsidRPr="00BC31E0">
        <w:rPr>
          <w:rFonts w:hint="eastAsia"/>
        </w:rPr>
        <w:t>)</w:t>
      </w:r>
    </w:p>
    <w:p w14:paraId="3A96B5BE" w14:textId="77777777" w:rsidR="00F87ADB" w:rsidRPr="00BC31E0" w:rsidRDefault="00A51873" w:rsidP="00DF523E">
      <w:pPr>
        <w:tabs>
          <w:tab w:val="left" w:pos="709"/>
        </w:tabs>
        <w:ind w:left="340"/>
      </w:pPr>
      <m:oMath>
        <m:sSub>
          <m:sSubPr>
            <m:ctrlPr>
              <w:rPr>
                <w:rFonts w:ascii="Cambria Math" w:hAnsi="Cambria Math"/>
                <w:i/>
              </w:rPr>
            </m:ctrlPr>
          </m:sSubPr>
          <m:e>
            <m:r>
              <w:rPr>
                <w:rFonts w:ascii="Cambria Math" w:hAnsi="Cambria Math"/>
              </w:rPr>
              <m:t>S</m:t>
            </m:r>
          </m:e>
          <m:sub>
            <m:r>
              <w:rPr>
                <w:rFonts w:ascii="Cambria Math" w:hAnsi="Cambria Math"/>
              </w:rPr>
              <m:t>M</m:t>
            </m:r>
          </m:sub>
        </m:sSub>
      </m:oMath>
      <w:r w:rsidR="00F87ADB" w:rsidRPr="00BC31E0">
        <w:rPr>
          <w:rFonts w:hint="eastAsia"/>
        </w:rPr>
        <w:tab/>
      </w:r>
      <w:r w:rsidR="00F87ADB" w:rsidRPr="00BC31E0">
        <w:rPr>
          <w:rFonts w:hint="eastAsia"/>
        </w:rPr>
        <w:t>：</w:t>
      </w:r>
      <w:r w:rsidR="00F87ADB" w:rsidRPr="00BC31E0">
        <w:rPr>
          <w:rFonts w:hint="eastAsia"/>
        </w:rPr>
        <w:t xml:space="preserve"> </w:t>
      </w:r>
      <w:r w:rsidR="00F87ADB" w:rsidRPr="00BC31E0">
        <w:rPr>
          <w:rFonts w:hint="eastAsia"/>
        </w:rPr>
        <w:t>ねじ込みふたとねじ加工を有する胴部の相乗たわみ係数</w:t>
      </w:r>
      <w:r w:rsidR="00F87ADB" w:rsidRPr="00BC31E0">
        <w:rPr>
          <w:rFonts w:hint="eastAsia"/>
        </w:rPr>
        <w:t>(</w:t>
      </w:r>
      <w:r w:rsidR="00F87ADB" w:rsidRPr="00BC31E0">
        <w:rPr>
          <w:rFonts w:ascii="Cambria Math" w:hAnsi="Cambria Math"/>
        </w:rPr>
        <w:t>1/mm</w:t>
      </w:r>
      <w:r w:rsidR="00F87ADB" w:rsidRPr="00BC31E0">
        <w:rPr>
          <w:rFonts w:hint="eastAsia"/>
        </w:rPr>
        <w:t>)</w:t>
      </w:r>
    </w:p>
    <w:p w14:paraId="42C71DD4" w14:textId="77777777" w:rsidR="00F87ADB" w:rsidRPr="00BC31E0" w:rsidRDefault="00F87ADB" w:rsidP="00DF523E">
      <w:pPr>
        <w:ind w:left="1021"/>
      </w:pPr>
      <m:oMath>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M</m:t>
                </m:r>
              </m:sub>
            </m:sSub>
          </m:num>
          <m:den>
            <m:r>
              <w:rPr>
                <w:rFonts w:ascii="Cambria Math" w:hAnsi="Cambria Math"/>
              </w:rPr>
              <m:t>S</m:t>
            </m:r>
          </m:den>
        </m:f>
      </m:oMath>
      <w:r w:rsidRPr="00BC31E0">
        <w:rPr>
          <w:i/>
        </w:rPr>
        <w:t xml:space="preserve"> </w:t>
      </w:r>
    </w:p>
    <w:p w14:paraId="6BD025C1" w14:textId="77777777" w:rsidR="00F87ADB" w:rsidRPr="00BC31E0" w:rsidRDefault="00A51873" w:rsidP="00DF523E">
      <w:pPr>
        <w:tabs>
          <w:tab w:val="left" w:pos="709"/>
        </w:tabs>
        <w:ind w:left="340"/>
      </w:pPr>
      <m:oMath>
        <m:sSub>
          <m:sSubPr>
            <m:ctrlPr>
              <w:rPr>
                <w:rFonts w:ascii="Cambria Math" w:hAnsi="Cambria Math"/>
                <w:i/>
              </w:rPr>
            </m:ctrlPr>
          </m:sSubPr>
          <m:e>
            <m:r>
              <w:rPr>
                <w:rFonts w:ascii="Cambria Math" w:hAnsi="Cambria Math"/>
              </w:rPr>
              <m:t>S</m:t>
            </m:r>
          </m:e>
          <m:sub>
            <m:r>
              <w:rPr>
                <w:rFonts w:ascii="Cambria Math" w:hAnsi="Cambria Math"/>
              </w:rPr>
              <m:t>T</m:t>
            </m:r>
          </m:sub>
        </m:sSub>
      </m:oMath>
      <w:r w:rsidR="00F87ADB" w:rsidRPr="00BC31E0">
        <w:rPr>
          <w:rFonts w:hint="eastAsia"/>
        </w:rPr>
        <w:tab/>
      </w:r>
      <w:r w:rsidR="00F87ADB" w:rsidRPr="00BC31E0">
        <w:rPr>
          <w:rFonts w:hint="eastAsia"/>
        </w:rPr>
        <w:t>：</w:t>
      </w:r>
      <w:r w:rsidR="00F87ADB" w:rsidRPr="00BC31E0">
        <w:rPr>
          <w:rFonts w:hint="eastAsia"/>
        </w:rPr>
        <w:t xml:space="preserve"> </w:t>
      </w:r>
      <w:r w:rsidR="00F87ADB" w:rsidRPr="00BC31E0">
        <w:rPr>
          <w:rFonts w:hint="eastAsia"/>
        </w:rPr>
        <w:t>ねじ部のたわみ係数</w:t>
      </w:r>
      <w:r w:rsidR="00F87ADB" w:rsidRPr="00BC31E0">
        <w:rPr>
          <w:rFonts w:hint="eastAsia"/>
        </w:rPr>
        <w:t>(</w:t>
      </w:r>
      <w:r w:rsidR="00F87ADB" w:rsidRPr="00BC31E0">
        <w:rPr>
          <w:rFonts w:ascii="Cambria Math" w:hAnsi="Cambria Math"/>
        </w:rPr>
        <w:t>1/mm</w:t>
      </w:r>
      <w:r w:rsidR="00F87ADB" w:rsidRPr="00BC31E0">
        <w:rPr>
          <w:rFonts w:hint="eastAsia"/>
        </w:rPr>
        <w:t>)</w:t>
      </w:r>
    </w:p>
    <w:p w14:paraId="2B4551DA" w14:textId="77777777" w:rsidR="00F87ADB" w:rsidRPr="00BC31E0" w:rsidRDefault="00F87ADB" w:rsidP="00DF523E">
      <w:pPr>
        <w:ind w:left="1021"/>
      </w:pPr>
      <m:oMath>
        <m:r>
          <w:rPr>
            <w:rFonts w:ascii="Cambria Math" w:hAnsi="Cambria Math"/>
          </w:rPr>
          <m:t xml:space="preserve">=2 </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 xml:space="preserve"> S</m:t>
        </m:r>
      </m:oMath>
      <w:r w:rsidRPr="00BC31E0">
        <w:rPr>
          <w:i/>
        </w:rPr>
        <w:t xml:space="preserve"> </w:t>
      </w:r>
    </w:p>
    <w:p w14:paraId="1D61F209" w14:textId="77777777" w:rsidR="00F87ADB" w:rsidRPr="00BC31E0" w:rsidRDefault="00F87ADB" w:rsidP="00DF523E">
      <w:pPr>
        <w:tabs>
          <w:tab w:val="left" w:pos="709"/>
        </w:tabs>
        <w:ind w:left="340"/>
      </w:pPr>
      <m:oMath>
        <m:r>
          <w:rPr>
            <w:rFonts w:ascii="Cambria Math" w:hAnsi="Cambria Math"/>
          </w:rPr>
          <m:t>n</m:t>
        </m:r>
      </m:oMath>
      <w:r w:rsidRPr="00BC31E0">
        <w:rPr>
          <w:rFonts w:hint="eastAsia"/>
          <w:i/>
        </w:rPr>
        <w:tab/>
      </w:r>
      <w:r w:rsidRPr="00BC31E0">
        <w:rPr>
          <w:rFonts w:hint="eastAsia"/>
        </w:rPr>
        <w:t>：</w:t>
      </w:r>
      <w:r w:rsidRPr="00BC31E0">
        <w:rPr>
          <w:rFonts w:hint="eastAsia"/>
        </w:rPr>
        <w:t xml:space="preserve"> </w:t>
      </w:r>
      <w:r w:rsidRPr="00BC31E0">
        <w:rPr>
          <w:rFonts w:hint="eastAsia"/>
        </w:rPr>
        <w:t>ねじ山総数</w:t>
      </w:r>
    </w:p>
    <w:p w14:paraId="518F14F1" w14:textId="77777777" w:rsidR="00F87ADB" w:rsidRPr="00BC31E0" w:rsidRDefault="00F87ADB" w:rsidP="00DF523E"/>
    <w:p w14:paraId="79233AF0" w14:textId="77777777" w:rsidR="00F87ADB" w:rsidRPr="00BC31E0" w:rsidRDefault="00F87ADB" w:rsidP="00E8662A">
      <w:pPr>
        <w:pStyle w:val="13"/>
        <w:adjustRightInd/>
        <w:snapToGrid/>
        <w:spacing w:line="240" w:lineRule="auto"/>
        <w:ind w:left="340" w:hanging="340"/>
      </w:pPr>
      <w:r w:rsidRPr="00BC31E0">
        <w:rPr>
          <w:rFonts w:hint="eastAsia"/>
        </w:rPr>
        <w:t>ねじの分担荷重</w:t>
      </w:r>
    </w:p>
    <w:p w14:paraId="5798FDC6" w14:textId="77777777" w:rsidR="00F87ADB" w:rsidRPr="00BC31E0" w:rsidRDefault="00F87ADB" w:rsidP="00E8662A">
      <w:pPr>
        <w:pStyle w:val="110"/>
        <w:spacing w:line="240" w:lineRule="auto"/>
        <w:ind w:left="567" w:hanging="567"/>
      </w:pPr>
      <w:r w:rsidRPr="00BC31E0">
        <w:rPr>
          <w:rFonts w:hint="eastAsia"/>
        </w:rPr>
        <w:t>連続ねじ部</w:t>
      </w:r>
    </w:p>
    <w:p w14:paraId="234C870C" w14:textId="77777777" w:rsidR="00F87ADB" w:rsidRPr="00BC31E0" w:rsidRDefault="00F87ADB" w:rsidP="00DF523E">
      <w:pPr>
        <w:pStyle w:val="113"/>
        <w:ind w:firstLine="210"/>
      </w:pPr>
      <w:r w:rsidRPr="00BC31E0">
        <w:rPr>
          <w:rFonts w:hint="eastAsia"/>
        </w:rPr>
        <w:t>ねじの分担荷重は次式による</w:t>
      </w:r>
      <w:r w:rsidRPr="00BC31E0">
        <w:rPr>
          <w:rFonts w:ascii="ＭＳ ゴシック" w:eastAsia="ＭＳ ゴシック" w:hAnsi="ＭＳ ゴシック" w:hint="eastAsia"/>
          <w:b/>
          <w:vertAlign w:val="superscript"/>
        </w:rPr>
        <w:t>1)</w:t>
      </w:r>
      <w:r w:rsidRPr="00BC31E0">
        <w:rPr>
          <w:rFonts w:hint="eastAsia"/>
        </w:rPr>
        <w:t>。</w:t>
      </w:r>
    </w:p>
    <w:tbl>
      <w:tblPr>
        <w:tblStyle w:val="200"/>
        <w:tblW w:w="5670" w:type="dxa"/>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5"/>
        <w:gridCol w:w="3905"/>
      </w:tblGrid>
      <w:tr w:rsidR="00F87ADB" w:rsidRPr="00BC31E0" w14:paraId="7229CF24" w14:textId="77777777" w:rsidTr="004736F2">
        <w:tc>
          <w:tcPr>
            <w:tcW w:w="0" w:type="auto"/>
            <w:tcMar>
              <w:left w:w="0" w:type="dxa"/>
              <w:right w:w="0" w:type="dxa"/>
            </w:tcMar>
            <w:vAlign w:val="center"/>
          </w:tcPr>
          <w:p w14:paraId="49E5A356" w14:textId="77777777" w:rsidR="00F87ADB" w:rsidRPr="00BC31E0" w:rsidRDefault="00A51873" w:rsidP="00DF523E">
            <w:pPr>
              <w:tabs>
                <w:tab w:val="left" w:pos="2127"/>
                <w:tab w:val="left" w:leader="middleDot" w:pos="8520"/>
              </w:tabs>
              <w:jc w:val="left"/>
              <w:rPr>
                <w:rFonts w:asciiTheme="minorHAnsi" w:hAnsiTheme="minorHAnsi"/>
              </w:rPr>
            </w:pPr>
            <m:oMathPara>
              <m:oMathParaPr>
                <m:jc m:val="left"/>
              </m:oMathParaPr>
              <m:oMath>
                <m:sSub>
                  <m:sSubPr>
                    <m:ctrlPr>
                      <w:rPr>
                        <w:rFonts w:ascii="Cambria Math" w:hAnsi="Cambria Math"/>
                      </w:rPr>
                    </m:ctrlPr>
                  </m:sSubPr>
                  <m:e>
                    <m:r>
                      <w:rPr>
                        <w:rFonts w:ascii="Cambria Math" w:hAnsi="Cambria Math"/>
                      </w:rPr>
                      <m:t>F</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i+1</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M</m:t>
                        </m:r>
                      </m:sub>
                    </m:sSub>
                  </m:num>
                  <m:den>
                    <m:sSub>
                      <m:sSubPr>
                        <m:ctrlPr>
                          <w:rPr>
                            <w:rFonts w:ascii="Cambria Math" w:hAnsi="Cambria Math"/>
                          </w:rPr>
                        </m:ctrlPr>
                      </m:sSubPr>
                      <m:e>
                        <m:r>
                          <w:rPr>
                            <w:rFonts w:ascii="Cambria Math" w:hAnsi="Cambria Math"/>
                          </w:rPr>
                          <m:t>C</m:t>
                        </m:r>
                      </m:e>
                      <m:sub>
                        <m:r>
                          <w:rPr>
                            <w:rFonts w:ascii="Cambria Math" w:hAnsi="Cambria Math"/>
                          </w:rPr>
                          <m:t>T</m:t>
                        </m:r>
                      </m:sub>
                    </m:sSub>
                  </m:den>
                </m:f>
                <m:sSub>
                  <m:sSubPr>
                    <m:ctrlPr>
                      <w:rPr>
                        <w:rFonts w:ascii="Cambria Math" w:hAnsi="Cambria Math"/>
                      </w:rPr>
                    </m:ctrlPr>
                  </m:sSubPr>
                  <m:e>
                    <m:r>
                      <w:rPr>
                        <w:rFonts w:ascii="Cambria Math" w:hAnsi="Cambria Math"/>
                      </w:rPr>
                      <m:t>F</m:t>
                    </m:r>
                  </m:e>
                  <m:sub>
                    <m:r>
                      <m:rPr>
                        <m:sty m:val="p"/>
                      </m:rPr>
                      <w:rPr>
                        <w:rFonts w:ascii="Cambria Math" w:hAnsi="Cambria Math"/>
                      </w:rPr>
                      <m:t>sum</m:t>
                    </m:r>
                  </m:sub>
                </m:sSub>
              </m:oMath>
            </m:oMathPara>
          </w:p>
        </w:tc>
        <w:tc>
          <w:tcPr>
            <w:tcW w:w="3905" w:type="dxa"/>
            <w:tcMar>
              <w:left w:w="0" w:type="dxa"/>
              <w:right w:w="0" w:type="dxa"/>
            </w:tcMar>
            <w:vAlign w:val="center"/>
          </w:tcPr>
          <w:p w14:paraId="09B7FB21" w14:textId="77777777" w:rsidR="00F87ADB" w:rsidRPr="00BC31E0" w:rsidRDefault="00F87ADB" w:rsidP="00DF523E">
            <w:pPr>
              <w:tabs>
                <w:tab w:val="left" w:leader="middleDot" w:pos="3338"/>
              </w:tabs>
              <w:jc w:val="left"/>
              <w:rPr>
                <w:rFonts w:asciiTheme="minorHAnsi" w:hAnsiTheme="minorHAnsi"/>
              </w:rPr>
            </w:pPr>
            <w:r w:rsidRPr="00BC31E0">
              <w:rPr>
                <w:rFonts w:asciiTheme="minorHAnsi" w:hAnsiTheme="minorHAnsi" w:hint="eastAsia"/>
              </w:rPr>
              <w:tab/>
              <w:t>(8)</w:t>
            </w:r>
          </w:p>
        </w:tc>
      </w:tr>
    </w:tbl>
    <w:p w14:paraId="48FC9416" w14:textId="77777777" w:rsidR="00F87ADB" w:rsidRPr="00BC31E0" w:rsidRDefault="00F87ADB" w:rsidP="00E8662A">
      <w:pPr>
        <w:ind w:firstLineChars="200" w:firstLine="420"/>
      </w:pPr>
      <w:r w:rsidRPr="00BC31E0">
        <w:rPr>
          <w:rFonts w:hint="eastAsia"/>
        </w:rPr>
        <w:t>ここで，</w:t>
      </w:r>
    </w:p>
    <w:tbl>
      <w:tblPr>
        <w:tblStyle w:val="200"/>
        <w:tblW w:w="5670" w:type="dxa"/>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7"/>
        <w:gridCol w:w="4343"/>
      </w:tblGrid>
      <w:tr w:rsidR="00F87ADB" w:rsidRPr="00BC31E0" w14:paraId="3301538B" w14:textId="77777777" w:rsidTr="004736F2">
        <w:tc>
          <w:tcPr>
            <w:tcW w:w="0" w:type="auto"/>
            <w:tcMar>
              <w:left w:w="0" w:type="dxa"/>
              <w:right w:w="0" w:type="dxa"/>
            </w:tcMar>
            <w:vAlign w:val="center"/>
          </w:tcPr>
          <w:p w14:paraId="1CC9DB26" w14:textId="77777777" w:rsidR="00F87ADB" w:rsidRPr="00BC31E0" w:rsidRDefault="00A51873" w:rsidP="00DF523E">
            <w:pPr>
              <w:tabs>
                <w:tab w:val="left" w:pos="2127"/>
                <w:tab w:val="left" w:leader="middleDot" w:pos="8520"/>
              </w:tabs>
              <w:jc w:val="left"/>
              <w:rPr>
                <w:rFonts w:asciiTheme="minorHAnsi" w:hAnsiTheme="minorHAnsi"/>
              </w:rPr>
            </w:pPr>
            <m:oMathPara>
              <m:oMathParaPr>
                <m:jc m:val="left"/>
              </m:oMathParaPr>
              <m:oMath>
                <m:sSub>
                  <m:sSubPr>
                    <m:ctrlPr>
                      <w:rPr>
                        <w:rFonts w:ascii="Cambria Math" w:hAnsi="Cambria Math"/>
                      </w:rPr>
                    </m:ctrlPr>
                  </m:sSubPr>
                  <m:e>
                    <m:r>
                      <w:rPr>
                        <w:rFonts w:ascii="Cambria Math" w:hAnsi="Cambria Math"/>
                      </w:rPr>
                      <m:t>F</m:t>
                    </m:r>
                  </m:e>
                  <m:sub>
                    <m:r>
                      <m:rPr>
                        <m:sty m:val="p"/>
                      </m:rPr>
                      <w:rPr>
                        <w:rFonts w:ascii="Cambria Math" w:hAnsi="Cambria Math"/>
                      </w:rPr>
                      <m:t>sum</m:t>
                    </m:r>
                  </m:sub>
                </m:sSub>
                <m:r>
                  <w:rPr>
                    <w:rFonts w:ascii="Cambria Math" w:hAnsi="Cambria Math"/>
                  </w:rPr>
                  <m:t>=</m:t>
                </m:r>
                <m:nary>
                  <m:naryPr>
                    <m:chr m:val="∑"/>
                    <m:limLoc m:val="undOvr"/>
                    <m:ctrlPr>
                      <w:rPr>
                        <w:rFonts w:ascii="Cambria Math" w:hAnsi="Cambria Math"/>
                      </w:rPr>
                    </m:ctrlPr>
                  </m:naryPr>
                  <m:sub>
                    <m:r>
                      <w:rPr>
                        <w:rFonts w:ascii="Cambria Math" w:hAnsi="Cambria Math"/>
                      </w:rPr>
                      <m:t>j=i+1</m:t>
                    </m:r>
                  </m:sub>
                  <m:sup>
                    <m:r>
                      <w:rPr>
                        <w:rFonts w:ascii="Cambria Math" w:hAnsi="Cambria Math"/>
                      </w:rPr>
                      <m:t>n</m:t>
                    </m:r>
                  </m:sup>
                  <m:e>
                    <m:sSub>
                      <m:sSubPr>
                        <m:ctrlPr>
                          <w:rPr>
                            <w:rFonts w:ascii="Cambria Math" w:hAnsi="Cambria Math"/>
                          </w:rPr>
                        </m:ctrlPr>
                      </m:sSubPr>
                      <m:e>
                        <m:r>
                          <w:rPr>
                            <w:rFonts w:ascii="Cambria Math" w:hAnsi="Cambria Math"/>
                          </w:rPr>
                          <m:t>F</m:t>
                        </m:r>
                      </m:e>
                      <m:sub>
                        <m:r>
                          <w:rPr>
                            <w:rFonts w:ascii="Cambria Math" w:hAnsi="Cambria Math"/>
                          </w:rPr>
                          <m:t>j</m:t>
                        </m:r>
                      </m:sub>
                    </m:sSub>
                  </m:e>
                </m:nary>
              </m:oMath>
            </m:oMathPara>
          </w:p>
        </w:tc>
        <w:tc>
          <w:tcPr>
            <w:tcW w:w="4343" w:type="dxa"/>
            <w:tcMar>
              <w:left w:w="0" w:type="dxa"/>
              <w:right w:w="0" w:type="dxa"/>
            </w:tcMar>
            <w:vAlign w:val="center"/>
          </w:tcPr>
          <w:p w14:paraId="06E8FB67" w14:textId="77777777" w:rsidR="00F87ADB" w:rsidRPr="00BC31E0" w:rsidRDefault="00F87ADB" w:rsidP="00DF523E">
            <w:pPr>
              <w:tabs>
                <w:tab w:val="left" w:leader="middleDot" w:pos="3776"/>
              </w:tabs>
              <w:jc w:val="left"/>
              <w:rPr>
                <w:rFonts w:asciiTheme="minorHAnsi" w:hAnsiTheme="minorHAnsi"/>
              </w:rPr>
            </w:pPr>
            <w:r w:rsidRPr="00BC31E0">
              <w:rPr>
                <w:rFonts w:asciiTheme="minorHAnsi" w:hAnsiTheme="minorHAnsi" w:hint="eastAsia"/>
              </w:rPr>
              <w:tab/>
              <w:t>(9)</w:t>
            </w:r>
          </w:p>
        </w:tc>
      </w:tr>
    </w:tbl>
    <w:p w14:paraId="54EECD04" w14:textId="77777777" w:rsidR="00F87ADB" w:rsidRPr="00BC31E0" w:rsidRDefault="00F87ADB" w:rsidP="00DF523E">
      <w:pPr>
        <w:spacing w:before="120"/>
        <w:ind w:firstLineChars="100" w:firstLine="210"/>
      </w:pPr>
      <w:r w:rsidRPr="00BC31E0">
        <w:rPr>
          <w:rFonts w:hint="eastAsia"/>
        </w:rPr>
        <w:t>最終ねじ山の荷重</w:t>
      </w:r>
      <m:oMath>
        <m:sSub>
          <m:sSubPr>
            <m:ctrlPr>
              <w:rPr>
                <w:rFonts w:ascii="Cambria Math" w:hAnsi="Cambria Math"/>
              </w:rPr>
            </m:ctrlPr>
          </m:sSubPr>
          <m:e>
            <m:r>
              <w:rPr>
                <w:rFonts w:ascii="Cambria Math" w:hAnsi="Cambria Math"/>
              </w:rPr>
              <m:t xml:space="preserve"> F</m:t>
            </m:r>
          </m:e>
          <m:sub>
            <m:r>
              <w:rPr>
                <w:rFonts w:ascii="Cambria Math" w:hAnsi="Cambria Math"/>
              </w:rPr>
              <m:t>n</m:t>
            </m:r>
          </m:sub>
        </m:sSub>
        <m:r>
          <m:rPr>
            <m:sty m:val="p"/>
          </m:rPr>
          <w:rPr>
            <w:rFonts w:ascii="Cambria Math" w:hAnsi="Cambria Math"/>
          </w:rPr>
          <m:t xml:space="preserve"> </m:t>
        </m:r>
      </m:oMath>
      <w:r w:rsidRPr="00BC31E0">
        <w:rPr>
          <w:rFonts w:hint="eastAsia"/>
        </w:rPr>
        <w:t>から始め，その前のねじ山の</w:t>
      </w:r>
      <m:oMath>
        <m:sSub>
          <m:sSubPr>
            <m:ctrlPr>
              <w:rPr>
                <w:rFonts w:ascii="Cambria Math" w:hAnsi="Cambria Math"/>
              </w:rPr>
            </m:ctrlPr>
          </m:sSubPr>
          <m:e>
            <m:r>
              <w:rPr>
                <w:rFonts w:ascii="Cambria Math" w:hAnsi="Cambria Math"/>
              </w:rPr>
              <m:t xml:space="preserve"> F</m:t>
            </m:r>
          </m:e>
          <m:sub>
            <m:r>
              <w:rPr>
                <w:rFonts w:ascii="Cambria Math" w:hAnsi="Cambria Math"/>
              </w:rPr>
              <m:t>n-1</m:t>
            </m:r>
          </m:sub>
        </m:sSub>
      </m:oMath>
      <w:r w:rsidRPr="00BC31E0">
        <w:rPr>
          <w:rFonts w:hint="eastAsia"/>
        </w:rPr>
        <w:t>，</w:t>
      </w:r>
      <m:oMath>
        <m:sSub>
          <m:sSubPr>
            <m:ctrlPr>
              <w:rPr>
                <w:rFonts w:ascii="Cambria Math" w:hAnsi="Cambria Math"/>
              </w:rPr>
            </m:ctrlPr>
          </m:sSubPr>
          <m:e>
            <m:r>
              <w:rPr>
                <w:rFonts w:ascii="Cambria Math" w:hAnsi="Cambria Math"/>
              </w:rPr>
              <m:t>F</m:t>
            </m:r>
          </m:e>
          <m:sub>
            <m:r>
              <w:rPr>
                <w:rFonts w:ascii="Cambria Math" w:hAnsi="Cambria Math"/>
              </w:rPr>
              <m:t>n-2</m:t>
            </m:r>
          </m:sub>
        </m:sSub>
        <m:r>
          <m:rPr>
            <m:sty m:val="p"/>
          </m:rPr>
          <w:rPr>
            <w:rFonts w:ascii="Cambria Math" w:hAnsi="Cambria Math"/>
          </w:rPr>
          <m:t xml:space="preserve"> </m:t>
        </m:r>
      </m:oMath>
      <w:r w:rsidRPr="00BC31E0">
        <w:rPr>
          <w:rFonts w:hint="eastAsia"/>
        </w:rPr>
        <w:t>の順に荷重を算出する。</w:t>
      </w:r>
    </w:p>
    <w:p w14:paraId="683C0444" w14:textId="77777777" w:rsidR="00F87ADB" w:rsidRPr="00BC31E0" w:rsidRDefault="00F87ADB" w:rsidP="00DF523E">
      <w:pPr>
        <w:pStyle w:val="110"/>
        <w:spacing w:line="240" w:lineRule="auto"/>
        <w:ind w:left="567" w:hanging="567"/>
      </w:pPr>
      <w:r w:rsidRPr="00BC31E0">
        <w:rPr>
          <w:rFonts w:hint="eastAsia"/>
        </w:rPr>
        <w:t>断続ねじ部</w:t>
      </w:r>
    </w:p>
    <w:p w14:paraId="617CA188" w14:textId="77777777" w:rsidR="00F87ADB" w:rsidRPr="00BC31E0" w:rsidRDefault="00F87ADB" w:rsidP="00DF523E">
      <w:pPr>
        <w:pStyle w:val="113"/>
        <w:ind w:firstLine="210"/>
      </w:pPr>
      <w:r w:rsidRPr="00BC31E0">
        <w:rPr>
          <w:rFonts w:hint="eastAsia"/>
        </w:rPr>
        <w:t>連続したねじ部と同様の式で分担荷重は与えられる。</w:t>
      </w:r>
    </w:p>
    <w:tbl>
      <w:tblPr>
        <w:tblStyle w:val="200"/>
        <w:tblW w:w="5670" w:type="dxa"/>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2"/>
        <w:gridCol w:w="3908"/>
      </w:tblGrid>
      <w:tr w:rsidR="00F87ADB" w:rsidRPr="00BC31E0" w14:paraId="553F9B02" w14:textId="77777777" w:rsidTr="004736F2">
        <w:tc>
          <w:tcPr>
            <w:tcW w:w="0" w:type="auto"/>
            <w:tcMar>
              <w:left w:w="0" w:type="dxa"/>
              <w:right w:w="0" w:type="dxa"/>
            </w:tcMar>
            <w:vAlign w:val="center"/>
          </w:tcPr>
          <w:p w14:paraId="054DCFC7" w14:textId="77777777" w:rsidR="00F87ADB" w:rsidRPr="00BC31E0" w:rsidRDefault="00A51873" w:rsidP="00DF523E">
            <w:pPr>
              <w:tabs>
                <w:tab w:val="left" w:pos="2127"/>
                <w:tab w:val="left" w:leader="middleDot" w:pos="8520"/>
              </w:tabs>
              <w:jc w:val="left"/>
              <w:rPr>
                <w:rFonts w:asciiTheme="minorHAnsi" w:hAnsiTheme="minorHAnsi"/>
              </w:rPr>
            </w:pPr>
            <m:oMathPara>
              <m:oMathParaPr>
                <m:jc m:val="left"/>
              </m:oMathParaPr>
              <m:oMath>
                <m:sSub>
                  <m:sSubPr>
                    <m:ctrlPr>
                      <w:rPr>
                        <w:rFonts w:ascii="Cambria Math" w:hAnsi="Cambria Math"/>
                      </w:rPr>
                    </m:ctrlPr>
                  </m:sSubPr>
                  <m:e>
                    <m:r>
                      <w:rPr>
                        <w:rFonts w:ascii="Cambria Math" w:hAnsi="Cambria Math"/>
                      </w:rPr>
                      <m:t>S</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i+1</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S</m:t>
                        </m:r>
                      </m:e>
                      <m:sub>
                        <m:r>
                          <w:rPr>
                            <w:rFonts w:ascii="Cambria Math" w:hAnsi="Cambria Math"/>
                          </w:rPr>
                          <m:t>M</m:t>
                        </m:r>
                      </m:sub>
                    </m:sSub>
                  </m:num>
                  <m:den>
                    <m:sSub>
                      <m:sSubPr>
                        <m:ctrlPr>
                          <w:rPr>
                            <w:rFonts w:ascii="Cambria Math" w:hAnsi="Cambria Math"/>
                          </w:rPr>
                        </m:ctrlPr>
                      </m:sSubPr>
                      <m:e>
                        <m:r>
                          <w:rPr>
                            <w:rFonts w:ascii="Cambria Math" w:hAnsi="Cambria Math"/>
                          </w:rPr>
                          <m:t>S</m:t>
                        </m:r>
                      </m:e>
                      <m:sub>
                        <m:r>
                          <w:rPr>
                            <w:rFonts w:ascii="Cambria Math" w:hAnsi="Cambria Math"/>
                          </w:rPr>
                          <m:t>T</m:t>
                        </m:r>
                      </m:sub>
                    </m:sSub>
                  </m:den>
                </m:f>
                <m:sSub>
                  <m:sSubPr>
                    <m:ctrlPr>
                      <w:rPr>
                        <w:rFonts w:ascii="Cambria Math" w:hAnsi="Cambria Math"/>
                      </w:rPr>
                    </m:ctrlPr>
                  </m:sSubPr>
                  <m:e>
                    <m:r>
                      <w:rPr>
                        <w:rFonts w:ascii="Cambria Math" w:hAnsi="Cambria Math"/>
                      </w:rPr>
                      <m:t>S</m:t>
                    </m:r>
                  </m:e>
                  <m:sub>
                    <m:r>
                      <m:rPr>
                        <m:sty m:val="p"/>
                      </m:rPr>
                      <w:rPr>
                        <w:rFonts w:ascii="Cambria Math" w:hAnsi="Cambria Math"/>
                      </w:rPr>
                      <m:t>sum</m:t>
                    </m:r>
                  </m:sub>
                </m:sSub>
              </m:oMath>
            </m:oMathPara>
          </w:p>
        </w:tc>
        <w:tc>
          <w:tcPr>
            <w:tcW w:w="3908" w:type="dxa"/>
            <w:tcMar>
              <w:left w:w="0" w:type="dxa"/>
              <w:right w:w="0" w:type="dxa"/>
            </w:tcMar>
            <w:vAlign w:val="center"/>
          </w:tcPr>
          <w:p w14:paraId="1528B1F4" w14:textId="77777777" w:rsidR="00F87ADB" w:rsidRPr="00BC31E0" w:rsidRDefault="00F87ADB" w:rsidP="00DF523E">
            <w:pPr>
              <w:tabs>
                <w:tab w:val="left" w:leader="middleDot" w:pos="3338"/>
              </w:tabs>
              <w:jc w:val="left"/>
              <w:rPr>
                <w:rFonts w:asciiTheme="minorHAnsi" w:hAnsiTheme="minorHAnsi"/>
              </w:rPr>
            </w:pPr>
            <w:r w:rsidRPr="00BC31E0">
              <w:rPr>
                <w:rFonts w:asciiTheme="minorHAnsi" w:hAnsiTheme="minorHAnsi" w:hint="eastAsia"/>
              </w:rPr>
              <w:tab/>
              <w:t>(10)</w:t>
            </w:r>
          </w:p>
        </w:tc>
      </w:tr>
    </w:tbl>
    <w:p w14:paraId="042A6C81" w14:textId="77777777" w:rsidR="00F87ADB" w:rsidRPr="00BC31E0" w:rsidRDefault="00F87ADB" w:rsidP="00E8662A">
      <w:pPr>
        <w:ind w:firstLineChars="200" w:firstLine="420"/>
      </w:pPr>
      <w:r w:rsidRPr="00BC31E0">
        <w:rPr>
          <w:rFonts w:hint="eastAsia"/>
        </w:rPr>
        <w:t>ここで，</w:t>
      </w:r>
    </w:p>
    <w:tbl>
      <w:tblPr>
        <w:tblStyle w:val="200"/>
        <w:tblW w:w="5670" w:type="dxa"/>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9"/>
        <w:gridCol w:w="4331"/>
      </w:tblGrid>
      <w:tr w:rsidR="00F87ADB" w:rsidRPr="00BC31E0" w14:paraId="3A4BE6E6" w14:textId="77777777" w:rsidTr="004736F2">
        <w:tc>
          <w:tcPr>
            <w:tcW w:w="0" w:type="auto"/>
            <w:tcMar>
              <w:left w:w="0" w:type="dxa"/>
              <w:right w:w="0" w:type="dxa"/>
            </w:tcMar>
            <w:vAlign w:val="center"/>
          </w:tcPr>
          <w:p w14:paraId="6A913CFE" w14:textId="77777777" w:rsidR="00F87ADB" w:rsidRPr="00BC31E0" w:rsidRDefault="00A51873" w:rsidP="00DF523E">
            <w:pPr>
              <w:tabs>
                <w:tab w:val="left" w:pos="2127"/>
                <w:tab w:val="left" w:leader="middleDot" w:pos="8520"/>
              </w:tabs>
              <w:jc w:val="left"/>
              <w:rPr>
                <w:rFonts w:asciiTheme="minorHAnsi" w:hAnsiTheme="minorHAnsi"/>
              </w:rPr>
            </w:pPr>
            <m:oMathPara>
              <m:oMathParaPr>
                <m:jc m:val="left"/>
              </m:oMathParaPr>
              <m:oMath>
                <m:sSub>
                  <m:sSubPr>
                    <m:ctrlPr>
                      <w:rPr>
                        <w:rFonts w:ascii="Cambria Math" w:hAnsi="Cambria Math"/>
                      </w:rPr>
                    </m:ctrlPr>
                  </m:sSubPr>
                  <m:e>
                    <m:r>
                      <w:rPr>
                        <w:rFonts w:ascii="Cambria Math" w:hAnsi="Cambria Math"/>
                      </w:rPr>
                      <m:t>S</m:t>
                    </m:r>
                  </m:e>
                  <m:sub>
                    <m:r>
                      <m:rPr>
                        <m:sty m:val="p"/>
                      </m:rPr>
                      <w:rPr>
                        <w:rFonts w:ascii="Cambria Math" w:hAnsi="Cambria Math"/>
                      </w:rPr>
                      <m:t>sum</m:t>
                    </m:r>
                  </m:sub>
                </m:sSub>
                <m:r>
                  <w:rPr>
                    <w:rFonts w:ascii="Cambria Math" w:hAnsi="Cambria Math"/>
                  </w:rPr>
                  <m:t>=</m:t>
                </m:r>
                <m:nary>
                  <m:naryPr>
                    <m:chr m:val="∑"/>
                    <m:limLoc m:val="undOvr"/>
                    <m:ctrlPr>
                      <w:rPr>
                        <w:rFonts w:ascii="Cambria Math" w:hAnsi="Cambria Math"/>
                      </w:rPr>
                    </m:ctrlPr>
                  </m:naryPr>
                  <m:sub>
                    <m:r>
                      <w:rPr>
                        <w:rFonts w:ascii="Cambria Math" w:hAnsi="Cambria Math"/>
                      </w:rPr>
                      <m:t>j=i+1</m:t>
                    </m:r>
                  </m:sub>
                  <m:sup>
                    <m:r>
                      <w:rPr>
                        <w:rFonts w:ascii="Cambria Math" w:hAnsi="Cambria Math"/>
                      </w:rPr>
                      <m:t>n</m:t>
                    </m:r>
                  </m:sup>
                  <m:e>
                    <m:sSub>
                      <m:sSubPr>
                        <m:ctrlPr>
                          <w:rPr>
                            <w:rFonts w:ascii="Cambria Math" w:hAnsi="Cambria Math"/>
                          </w:rPr>
                        </m:ctrlPr>
                      </m:sSubPr>
                      <m:e>
                        <m:r>
                          <w:rPr>
                            <w:rFonts w:ascii="Cambria Math" w:hAnsi="Cambria Math"/>
                          </w:rPr>
                          <m:t>S</m:t>
                        </m:r>
                      </m:e>
                      <m:sub>
                        <m:r>
                          <w:rPr>
                            <w:rFonts w:ascii="Cambria Math" w:hAnsi="Cambria Math"/>
                          </w:rPr>
                          <m:t>j</m:t>
                        </m:r>
                      </m:sub>
                    </m:sSub>
                  </m:e>
                </m:nary>
              </m:oMath>
            </m:oMathPara>
          </w:p>
        </w:tc>
        <w:tc>
          <w:tcPr>
            <w:tcW w:w="4331" w:type="dxa"/>
            <w:tcMar>
              <w:left w:w="0" w:type="dxa"/>
              <w:right w:w="0" w:type="dxa"/>
            </w:tcMar>
            <w:vAlign w:val="center"/>
          </w:tcPr>
          <w:p w14:paraId="60DDDBF3" w14:textId="77777777" w:rsidR="00F87ADB" w:rsidRPr="00BC31E0" w:rsidRDefault="00F87ADB" w:rsidP="00DF523E">
            <w:pPr>
              <w:tabs>
                <w:tab w:val="left" w:leader="middleDot" w:pos="3772"/>
              </w:tabs>
              <w:jc w:val="left"/>
              <w:rPr>
                <w:rFonts w:asciiTheme="minorHAnsi" w:hAnsiTheme="minorHAnsi"/>
              </w:rPr>
            </w:pPr>
            <w:r w:rsidRPr="00BC31E0">
              <w:rPr>
                <w:rFonts w:asciiTheme="minorHAnsi" w:hAnsiTheme="minorHAnsi" w:hint="eastAsia"/>
              </w:rPr>
              <w:tab/>
              <w:t>(11)</w:t>
            </w:r>
          </w:p>
        </w:tc>
      </w:tr>
    </w:tbl>
    <w:p w14:paraId="0CE5D56F" w14:textId="77777777" w:rsidR="00F87ADB" w:rsidRPr="00BC31E0" w:rsidRDefault="00F87ADB" w:rsidP="00DF523E">
      <w:pPr>
        <w:pStyle w:val="110"/>
        <w:spacing w:line="240" w:lineRule="auto"/>
        <w:ind w:left="567" w:hanging="567"/>
      </w:pPr>
      <w:r w:rsidRPr="00BC31E0">
        <w:rPr>
          <w:rFonts w:hint="eastAsia"/>
        </w:rPr>
        <w:t>例</w:t>
      </w:r>
    </w:p>
    <w:p w14:paraId="6839A890" w14:textId="77777777" w:rsidR="00F87ADB" w:rsidRPr="00BC31E0" w:rsidRDefault="00DF523E" w:rsidP="00736130">
      <w:pPr>
        <w:pStyle w:val="a4"/>
        <w:numPr>
          <w:ilvl w:val="0"/>
          <w:numId w:val="388"/>
        </w:numPr>
        <w:ind w:leftChars="0" w:left="454" w:hanging="454"/>
      </w:pPr>
      <w:r w:rsidRPr="00BC31E0">
        <w:rPr>
          <w:rFonts w:asciiTheme="majorEastAsia" w:eastAsiaTheme="majorEastAsia" w:hAnsiTheme="majorEastAsia" w:hint="eastAsia"/>
          <w:b/>
        </w:rPr>
        <w:t>連続ねじ部の場合</w:t>
      </w:r>
      <w:r w:rsidRPr="00BC31E0">
        <w:rPr>
          <w:rFonts w:hint="eastAsia"/>
        </w:rPr>
        <w:t xml:space="preserve">　一体である最終ねじ部の荷重は，</w:t>
      </w:r>
      <w:r w:rsidRPr="00BC31E0">
        <w:rPr>
          <w:rFonts w:asciiTheme="majorEastAsia" w:eastAsiaTheme="majorEastAsia" w:hAnsiTheme="majorEastAsia" w:hint="eastAsia"/>
          <w:b/>
        </w:rPr>
        <w:t>表G.1</w:t>
      </w:r>
      <w:r w:rsidRPr="00BC31E0">
        <w:rPr>
          <w:rFonts w:hint="eastAsia"/>
        </w:rPr>
        <w:t>に示す値を用いると次のようになる。</w:t>
      </w:r>
    </w:p>
    <w:p w14:paraId="070480B8" w14:textId="77777777" w:rsidR="00F87ADB" w:rsidRPr="00BC31E0" w:rsidRDefault="00A51873" w:rsidP="00DF523E">
      <w:pPr>
        <w:tabs>
          <w:tab w:val="left" w:pos="851"/>
        </w:tabs>
        <w:ind w:left="454"/>
      </w:pPr>
      <m:oMath>
        <m:sSub>
          <m:sSubPr>
            <m:ctrlPr>
              <w:rPr>
                <w:rFonts w:ascii="Cambria Math" w:hAnsi="Cambria Math"/>
              </w:rPr>
            </m:ctrlPr>
          </m:sSubPr>
          <m:e>
            <m:r>
              <w:rPr>
                <w:rFonts w:ascii="Cambria Math" w:hAnsi="Cambria Math"/>
              </w:rPr>
              <m:t>D</m:t>
            </m:r>
          </m:e>
          <m:sub>
            <m:r>
              <w:rPr>
                <w:rFonts w:ascii="Cambria Math" w:hAnsi="Cambria Math"/>
              </w:rPr>
              <m:t>O</m:t>
            </m:r>
          </m:sub>
        </m:sSub>
      </m:oMath>
      <w:r w:rsidR="00F87ADB" w:rsidRPr="00BC31E0">
        <w:rPr>
          <w:rFonts w:hint="eastAsia"/>
          <w:vertAlign w:val="subscript"/>
        </w:rPr>
        <w:tab/>
      </w:r>
      <w:r w:rsidR="00F87ADB" w:rsidRPr="00BC31E0">
        <w:rPr>
          <w:rFonts w:hint="eastAsia"/>
        </w:rPr>
        <w:t>：</w:t>
      </w:r>
      <w:r w:rsidR="00F87ADB" w:rsidRPr="00BC31E0">
        <w:rPr>
          <w:rFonts w:hint="eastAsia"/>
        </w:rPr>
        <w:t xml:space="preserve"> </w:t>
      </w:r>
      <w:r w:rsidR="00F87ADB" w:rsidRPr="00BC31E0">
        <w:rPr>
          <w:rFonts w:ascii="Cambria Math" w:hAnsi="Cambria Math"/>
        </w:rPr>
        <w:t>26</w:t>
      </w:r>
    </w:p>
    <w:p w14:paraId="52CAD59B" w14:textId="77777777" w:rsidR="00F87ADB" w:rsidRPr="00BC31E0" w:rsidRDefault="00A51873" w:rsidP="00DF523E">
      <w:pPr>
        <w:tabs>
          <w:tab w:val="left" w:pos="851"/>
        </w:tabs>
        <w:ind w:left="454"/>
      </w:pPr>
      <m:oMath>
        <m:sSub>
          <m:sSubPr>
            <m:ctrlPr>
              <w:rPr>
                <w:rFonts w:ascii="Cambria Math" w:hAnsi="Cambria Math"/>
              </w:rPr>
            </m:ctrlPr>
          </m:sSubPr>
          <m:e>
            <m:r>
              <w:rPr>
                <w:rFonts w:ascii="Cambria Math" w:hAnsi="Cambria Math"/>
              </w:rPr>
              <m:t>D</m:t>
            </m:r>
          </m:e>
          <m:sub>
            <m:r>
              <w:rPr>
                <w:rFonts w:ascii="Cambria Math" w:hAnsi="Cambria Math"/>
              </w:rPr>
              <m:t>p</m:t>
            </m:r>
          </m:sub>
        </m:sSub>
      </m:oMath>
      <w:r w:rsidR="00F87ADB" w:rsidRPr="00BC31E0">
        <w:rPr>
          <w:rFonts w:hint="eastAsia"/>
          <w:vertAlign w:val="subscript"/>
        </w:rPr>
        <w:tab/>
      </w:r>
      <w:r w:rsidR="00F87ADB" w:rsidRPr="00BC31E0">
        <w:rPr>
          <w:rFonts w:hint="eastAsia"/>
        </w:rPr>
        <w:t>：</w:t>
      </w:r>
      <w:r w:rsidR="00F87ADB" w:rsidRPr="00BC31E0">
        <w:rPr>
          <w:rFonts w:hint="eastAsia"/>
        </w:rPr>
        <w:t xml:space="preserve"> </w:t>
      </w:r>
      <w:r w:rsidR="00F87ADB" w:rsidRPr="00BC31E0">
        <w:rPr>
          <w:rFonts w:ascii="Cambria Math" w:hAnsi="Cambria Math"/>
        </w:rPr>
        <w:t>13</w:t>
      </w:r>
    </w:p>
    <w:p w14:paraId="4A716F14" w14:textId="77777777" w:rsidR="00F87ADB" w:rsidRPr="00BC31E0" w:rsidRDefault="00A51873" w:rsidP="00DF523E">
      <w:pPr>
        <w:tabs>
          <w:tab w:val="left" w:pos="851"/>
        </w:tabs>
        <w:ind w:left="454"/>
      </w:pPr>
      <m:oMath>
        <m:sSub>
          <m:sSubPr>
            <m:ctrlPr>
              <w:rPr>
                <w:rFonts w:ascii="Cambria Math" w:hAnsi="Cambria Math"/>
              </w:rPr>
            </m:ctrlPr>
          </m:sSubPr>
          <m:e>
            <m:r>
              <w:rPr>
                <w:rFonts w:ascii="Cambria Math" w:hAnsi="Cambria Math"/>
              </w:rPr>
              <m:t>P</m:t>
            </m:r>
          </m:e>
          <m:sub>
            <m:r>
              <w:rPr>
                <w:rFonts w:ascii="Cambria Math" w:hAnsi="Cambria Math"/>
              </w:rPr>
              <m:t>T</m:t>
            </m:r>
          </m:sub>
        </m:sSub>
      </m:oMath>
      <w:r w:rsidR="00F87ADB" w:rsidRPr="00BC31E0">
        <w:rPr>
          <w:rFonts w:hint="eastAsia"/>
          <w:vertAlign w:val="subscript"/>
        </w:rPr>
        <w:tab/>
      </w:r>
      <w:r w:rsidR="00F87ADB" w:rsidRPr="00BC31E0">
        <w:rPr>
          <w:rFonts w:hint="eastAsia"/>
        </w:rPr>
        <w:t>：</w:t>
      </w:r>
      <w:r w:rsidR="00F87ADB" w:rsidRPr="00BC31E0">
        <w:rPr>
          <w:rFonts w:hint="eastAsia"/>
        </w:rPr>
        <w:t xml:space="preserve"> </w:t>
      </w:r>
      <w:r w:rsidR="00F87ADB" w:rsidRPr="00BC31E0">
        <w:rPr>
          <w:rFonts w:ascii="Cambria Math" w:hAnsi="Cambria Math"/>
        </w:rPr>
        <w:t>1</w:t>
      </w:r>
    </w:p>
    <w:p w14:paraId="7CBF2EF3" w14:textId="77777777" w:rsidR="00F87ADB" w:rsidRPr="00BC31E0" w:rsidRDefault="00F87ADB" w:rsidP="00DF523E">
      <w:pPr>
        <w:tabs>
          <w:tab w:val="left" w:pos="851"/>
        </w:tabs>
        <w:ind w:left="454"/>
      </w:pPr>
      <m:oMath>
        <m:r>
          <w:rPr>
            <w:rFonts w:ascii="Cambria Math" w:hAnsi="Cambria Math"/>
          </w:rPr>
          <m:t>n</m:t>
        </m:r>
      </m:oMath>
      <w:r w:rsidRPr="00BC31E0">
        <w:rPr>
          <w:rFonts w:hint="eastAsia"/>
          <w:i/>
        </w:rPr>
        <w:tab/>
      </w:r>
      <w:r w:rsidRPr="00BC31E0">
        <w:rPr>
          <w:rFonts w:hint="eastAsia"/>
        </w:rPr>
        <w:t>：</w:t>
      </w:r>
      <w:r w:rsidRPr="00BC31E0">
        <w:rPr>
          <w:rFonts w:hint="eastAsia"/>
        </w:rPr>
        <w:t xml:space="preserve"> </w:t>
      </w:r>
      <w:r w:rsidRPr="00BC31E0">
        <w:rPr>
          <w:rFonts w:ascii="Cambria Math" w:hAnsi="Cambria Math"/>
        </w:rPr>
        <w:t>10</w:t>
      </w:r>
    </w:p>
    <w:p w14:paraId="4D791491" w14:textId="77777777" w:rsidR="00F87ADB" w:rsidRPr="00BC31E0" w:rsidRDefault="00A51873" w:rsidP="00DF523E">
      <w:pPr>
        <w:tabs>
          <w:tab w:val="left" w:pos="851"/>
        </w:tabs>
        <w:ind w:left="454"/>
      </w:pPr>
      <m:oMath>
        <m:sSub>
          <m:sSubPr>
            <m:ctrlPr>
              <w:rPr>
                <w:rFonts w:ascii="Cambria Math" w:hAnsi="Cambria Math"/>
              </w:rPr>
            </m:ctrlPr>
          </m:sSubPr>
          <m:e>
            <m:r>
              <w:rPr>
                <w:rFonts w:ascii="Cambria Math" w:hAnsi="Cambria Math"/>
              </w:rPr>
              <m:t>A</m:t>
            </m:r>
          </m:e>
          <m:sub>
            <m:r>
              <w:rPr>
                <w:rFonts w:ascii="Cambria Math" w:hAnsi="Cambria Math"/>
              </w:rPr>
              <m:t>B</m:t>
            </m:r>
          </m:sub>
        </m:sSub>
      </m:oMath>
      <w:r w:rsidR="00F87ADB" w:rsidRPr="00BC31E0">
        <w:rPr>
          <w:rFonts w:hint="eastAsia"/>
          <w:vertAlign w:val="subscript"/>
        </w:rPr>
        <w:tab/>
      </w:r>
      <w:r w:rsidR="00F87ADB" w:rsidRPr="00BC31E0">
        <w:rPr>
          <w:rFonts w:hint="eastAsia"/>
        </w:rPr>
        <w:t>：</w:t>
      </w:r>
      <w:r w:rsidR="00F87ADB" w:rsidRPr="00BC31E0">
        <w:rPr>
          <w:rFonts w:hint="eastAsia"/>
        </w:rPr>
        <w:t xml:space="preserve"> </w:t>
      </w:r>
      <w:r w:rsidR="00F87ADB" w:rsidRPr="00BC31E0">
        <w:rPr>
          <w:rFonts w:ascii="Cambria Math" w:hAnsi="Cambria Math"/>
        </w:rPr>
        <w:t>398.197</w:t>
      </w:r>
    </w:p>
    <w:p w14:paraId="3916D4EB" w14:textId="77777777" w:rsidR="00F87ADB" w:rsidRPr="00BC31E0" w:rsidRDefault="00A51873" w:rsidP="00DF523E">
      <w:pPr>
        <w:tabs>
          <w:tab w:val="left" w:pos="851"/>
        </w:tabs>
        <w:ind w:left="454"/>
      </w:pPr>
      <m:oMath>
        <m:sSub>
          <m:sSubPr>
            <m:ctrlPr>
              <w:rPr>
                <w:rFonts w:ascii="Cambria Math" w:hAnsi="Cambria Math"/>
              </w:rPr>
            </m:ctrlPr>
          </m:sSubPr>
          <m:e>
            <m:r>
              <w:rPr>
                <w:rFonts w:ascii="Cambria Math" w:hAnsi="Cambria Math"/>
              </w:rPr>
              <m:t>A</m:t>
            </m:r>
          </m:e>
          <m:sub>
            <m:r>
              <w:rPr>
                <w:rFonts w:ascii="Cambria Math" w:hAnsi="Cambria Math"/>
              </w:rPr>
              <m:t>C</m:t>
            </m:r>
          </m:sub>
        </m:sSub>
      </m:oMath>
      <w:r w:rsidR="00F87ADB" w:rsidRPr="00BC31E0">
        <w:rPr>
          <w:rFonts w:hint="eastAsia"/>
          <w:vertAlign w:val="subscript"/>
        </w:rPr>
        <w:tab/>
      </w:r>
      <w:r w:rsidR="00F87ADB" w:rsidRPr="00BC31E0">
        <w:rPr>
          <w:rFonts w:hint="eastAsia"/>
        </w:rPr>
        <w:t>：</w:t>
      </w:r>
      <w:r w:rsidR="00F87ADB" w:rsidRPr="00BC31E0">
        <w:rPr>
          <w:rFonts w:hint="eastAsia"/>
        </w:rPr>
        <w:t xml:space="preserve"> </w:t>
      </w:r>
      <w:r w:rsidR="00F87ADB" w:rsidRPr="00BC31E0">
        <w:rPr>
          <w:rFonts w:ascii="Cambria Math" w:hAnsi="Cambria Math"/>
        </w:rPr>
        <w:t>132.732</w:t>
      </w:r>
    </w:p>
    <w:p w14:paraId="3BF317D5" w14:textId="77777777" w:rsidR="00F87ADB" w:rsidRPr="00BC31E0" w:rsidRDefault="00A51873" w:rsidP="00DF523E">
      <w:pPr>
        <w:tabs>
          <w:tab w:val="left" w:pos="851"/>
        </w:tabs>
        <w:ind w:left="454"/>
      </w:pPr>
      <m:oMath>
        <m:sSub>
          <m:sSubPr>
            <m:ctrlPr>
              <w:rPr>
                <w:rFonts w:ascii="Cambria Math" w:hAnsi="Cambria Math"/>
              </w:rPr>
            </m:ctrlPr>
          </m:sSubPr>
          <m:e>
            <m:r>
              <w:rPr>
                <w:rFonts w:ascii="Cambria Math" w:hAnsi="Cambria Math"/>
              </w:rPr>
              <m:t>C</m:t>
            </m:r>
          </m:e>
          <m:sub>
            <m:r>
              <w:rPr>
                <w:rFonts w:ascii="Cambria Math" w:hAnsi="Cambria Math"/>
              </w:rPr>
              <m:t>M</m:t>
            </m:r>
          </m:sub>
        </m:sSub>
      </m:oMath>
      <w:r w:rsidR="00F87ADB" w:rsidRPr="00BC31E0">
        <w:rPr>
          <w:rFonts w:hint="eastAsia"/>
          <w:vertAlign w:val="subscript"/>
        </w:rPr>
        <w:tab/>
      </w:r>
      <w:r w:rsidR="00F87ADB" w:rsidRPr="00BC31E0">
        <w:rPr>
          <w:rFonts w:hint="eastAsia"/>
        </w:rPr>
        <w:t>：</w:t>
      </w:r>
      <w:r w:rsidR="00F87ADB" w:rsidRPr="00BC31E0">
        <w:rPr>
          <w:rFonts w:hint="eastAsia"/>
        </w:rPr>
        <w:t xml:space="preserve"> </w:t>
      </w:r>
      <w:r w:rsidR="00F87ADB" w:rsidRPr="00BC31E0">
        <w:rPr>
          <w:rFonts w:ascii="Cambria Math" w:hAnsi="Cambria Math"/>
        </w:rPr>
        <w:t>0.01</w:t>
      </w:r>
    </w:p>
    <w:p w14:paraId="77E625C2" w14:textId="77777777" w:rsidR="00F87ADB" w:rsidRPr="00BC31E0" w:rsidRDefault="00A51873" w:rsidP="00DF523E">
      <w:pPr>
        <w:tabs>
          <w:tab w:val="left" w:pos="851"/>
        </w:tabs>
        <w:ind w:left="454"/>
      </w:pPr>
      <m:oMath>
        <m:sSub>
          <m:sSubPr>
            <m:ctrlPr>
              <w:rPr>
                <w:rFonts w:ascii="Cambria Math" w:hAnsi="Cambria Math"/>
              </w:rPr>
            </m:ctrlPr>
          </m:sSubPr>
          <m:e>
            <m:r>
              <w:rPr>
                <w:rFonts w:ascii="Cambria Math" w:hAnsi="Cambria Math"/>
              </w:rPr>
              <m:t>C</m:t>
            </m:r>
          </m:e>
          <m:sub>
            <m:r>
              <w:rPr>
                <w:rFonts w:ascii="Cambria Math" w:hAnsi="Cambria Math"/>
              </w:rPr>
              <m:t>T</m:t>
            </m:r>
          </m:sub>
        </m:sSub>
      </m:oMath>
      <w:r w:rsidR="00F87ADB" w:rsidRPr="00BC31E0">
        <w:rPr>
          <w:rFonts w:hint="eastAsia"/>
          <w:vertAlign w:val="subscript"/>
        </w:rPr>
        <w:tab/>
      </w:r>
      <w:r w:rsidR="00F87ADB" w:rsidRPr="00BC31E0">
        <w:rPr>
          <w:rFonts w:hint="eastAsia"/>
        </w:rPr>
        <w:t>：</w:t>
      </w:r>
      <w:r w:rsidR="00F87ADB" w:rsidRPr="00BC31E0">
        <w:rPr>
          <w:rFonts w:hint="eastAsia"/>
        </w:rPr>
        <w:t xml:space="preserve"> </w:t>
      </w:r>
      <w:r w:rsidR="00F87ADB" w:rsidRPr="00BC31E0">
        <w:rPr>
          <w:rFonts w:ascii="Cambria Math" w:hAnsi="Cambria Math"/>
        </w:rPr>
        <w:t>0.154</w:t>
      </w:r>
    </w:p>
    <w:p w14:paraId="53438C72" w14:textId="77777777" w:rsidR="00F87ADB" w:rsidRPr="00BC31E0" w:rsidRDefault="00F87ADB" w:rsidP="00736130">
      <w:pPr>
        <w:pStyle w:val="a4"/>
        <w:numPr>
          <w:ilvl w:val="0"/>
          <w:numId w:val="387"/>
        </w:numPr>
        <w:ind w:leftChars="0" w:left="454" w:hanging="454"/>
      </w:pPr>
      <w:r w:rsidRPr="00BC31E0">
        <w:rPr>
          <w:rFonts w:asciiTheme="majorEastAsia" w:eastAsiaTheme="majorEastAsia" w:hAnsiTheme="majorEastAsia" w:hint="eastAsia"/>
          <w:b/>
        </w:rPr>
        <w:lastRenderedPageBreak/>
        <w:t>断続ねじ部の場合</w:t>
      </w:r>
      <w:r w:rsidRPr="00BC31E0">
        <w:rPr>
          <w:rFonts w:asciiTheme="minorHAnsi" w:eastAsiaTheme="minorEastAsia" w:hAnsiTheme="minorEastAsia"/>
        </w:rPr>
        <w:t xml:space="preserve">　</w:t>
      </w:r>
      <m:oMath>
        <m:r>
          <w:rPr>
            <w:rFonts w:ascii="Cambria Math" w:eastAsiaTheme="minorEastAsia" w:hAnsi="Cambria Math"/>
          </w:rPr>
          <m:t>S</m:t>
        </m:r>
        <m:r>
          <w:rPr>
            <w:rFonts w:ascii="Cambria Math" w:eastAsiaTheme="minorEastAsia" w:hAnsiTheme="minorHAnsi"/>
          </w:rPr>
          <m:t>=4</m:t>
        </m:r>
      </m:oMath>
      <w:r w:rsidRPr="00BC31E0">
        <w:rPr>
          <w:rFonts w:asciiTheme="minorHAnsi" w:eastAsiaTheme="minorEastAsia" w:hAnsiTheme="minorHAnsi"/>
        </w:rPr>
        <w:t xml:space="preserve"> (1/8</w:t>
      </w:r>
      <w:r w:rsidRPr="00BC31E0">
        <w:rPr>
          <w:rFonts w:asciiTheme="minorHAnsi" w:eastAsiaTheme="minorEastAsia" w:hAnsiTheme="minorEastAsia"/>
        </w:rPr>
        <w:t>回転で取り出せるタイプ</w:t>
      </w:r>
      <w:r w:rsidRPr="00BC31E0">
        <w:rPr>
          <w:rFonts w:asciiTheme="minorHAnsi" w:eastAsiaTheme="minorEastAsia" w:hAnsiTheme="minorHAnsi"/>
        </w:rPr>
        <w:t>)</w:t>
      </w:r>
      <w:r w:rsidRPr="00BC31E0">
        <w:rPr>
          <w:rFonts w:asciiTheme="minorHAnsi" w:eastAsiaTheme="minorEastAsia" w:hAnsiTheme="minorEastAsia"/>
        </w:rPr>
        <w:t>として，</w:t>
      </w:r>
      <w:r w:rsidRPr="00BC31E0">
        <w:rPr>
          <w:rFonts w:asciiTheme="majorEastAsia" w:eastAsiaTheme="majorEastAsia" w:hAnsiTheme="majorEastAsia"/>
          <w:b/>
        </w:rPr>
        <w:t>表G.2</w:t>
      </w:r>
      <w:r w:rsidRPr="00BC31E0">
        <w:rPr>
          <w:rFonts w:asciiTheme="minorHAnsi" w:eastAsiaTheme="minorEastAsia" w:hAnsiTheme="minorEastAsia"/>
        </w:rPr>
        <w:t>に示す値となる。</w:t>
      </w:r>
    </w:p>
    <w:p w14:paraId="616FCCC0" w14:textId="77777777" w:rsidR="00E75082" w:rsidRPr="00BC31E0" w:rsidRDefault="00E75082" w:rsidP="00F50D00">
      <w:pPr>
        <w:rPr>
          <w:rFonts w:ascii="ＭＳ 明朝" w:hAnsi="ＭＳ 明朝"/>
          <w:u w:val="single"/>
        </w:rPr>
      </w:pPr>
    </w:p>
    <w:p w14:paraId="190ECBB4" w14:textId="77777777" w:rsidR="00F87ADB" w:rsidRPr="00BC31E0" w:rsidRDefault="00F87ADB" w:rsidP="00F50D00">
      <w:pPr>
        <w:rPr>
          <w:rFonts w:ascii="ＭＳ 明朝"/>
          <w:u w:val="single"/>
        </w:rPr>
      </w:pPr>
      <w:r w:rsidRPr="00BC31E0">
        <w:rPr>
          <w:rFonts w:ascii="ＭＳ 明朝" w:hAnsi="ＭＳ 明朝" w:hint="eastAsia"/>
          <w:u w:val="single"/>
        </w:rPr>
        <w:t xml:space="preserve">　　　　　　　　　　　　　　　　　　　　　　　　　　　　　　　　　　　　　　　　　　　</w:t>
      </w:r>
    </w:p>
    <w:p w14:paraId="67A965B8" w14:textId="77777777" w:rsidR="00F87ADB" w:rsidRPr="00BC31E0" w:rsidRDefault="00F87ADB" w:rsidP="00F50D00">
      <w:pPr>
        <w:jc w:val="left"/>
        <w:rPr>
          <w:rFonts w:eastAsia="ＭＳ ゴシック"/>
          <w:b/>
        </w:rPr>
      </w:pPr>
      <w:r w:rsidRPr="00BC31E0">
        <w:rPr>
          <w:rFonts w:eastAsia="ＭＳ ゴシック" w:hint="eastAsia"/>
          <w:b/>
        </w:rPr>
        <w:t>参考文献</w:t>
      </w:r>
    </w:p>
    <w:p w14:paraId="68B03FEC" w14:textId="77777777" w:rsidR="00F87ADB" w:rsidRPr="00BC31E0" w:rsidRDefault="00F87ADB" w:rsidP="00210E18">
      <w:pPr>
        <w:pStyle w:val="a4"/>
        <w:numPr>
          <w:ilvl w:val="0"/>
          <w:numId w:val="651"/>
        </w:numPr>
        <w:ind w:leftChars="0" w:left="454" w:hanging="454"/>
        <w:jc w:val="left"/>
        <w:rPr>
          <w:rFonts w:asciiTheme="minorHAnsi" w:eastAsiaTheme="minorEastAsia" w:hAnsiTheme="minorHAnsi"/>
          <w:b/>
        </w:rPr>
      </w:pPr>
      <w:r w:rsidRPr="00BC31E0">
        <w:rPr>
          <w:rFonts w:asciiTheme="minorHAnsi" w:eastAsiaTheme="minorEastAsia" w:hAnsiTheme="minorHAnsi"/>
        </w:rPr>
        <w:t>Crum</w:t>
      </w:r>
      <w:r w:rsidR="0000129D" w:rsidRPr="00BC31E0">
        <w:rPr>
          <w:rFonts w:asciiTheme="minorHAnsi" w:eastAsiaTheme="minorEastAsia" w:hAnsiTheme="minorHAnsi"/>
        </w:rPr>
        <w:t xml:space="preserve">, </w:t>
      </w:r>
      <w:r w:rsidRPr="00BC31E0">
        <w:rPr>
          <w:rFonts w:asciiTheme="minorHAnsi" w:eastAsiaTheme="minorEastAsia" w:hAnsiTheme="minorHAnsi"/>
        </w:rPr>
        <w:t>A. S. D.</w:t>
      </w:r>
      <w:r w:rsidR="0000129D" w:rsidRPr="00BC31E0">
        <w:rPr>
          <w:rFonts w:asciiTheme="minorHAnsi" w:eastAsiaTheme="minorEastAsia" w:hAnsiTheme="minorHAnsi"/>
        </w:rPr>
        <w:t xml:space="preserve">, </w:t>
      </w:r>
      <w:r w:rsidRPr="00BC31E0">
        <w:rPr>
          <w:rFonts w:asciiTheme="minorHAnsi" w:eastAsiaTheme="minorEastAsia" w:hAnsiTheme="minorHAnsi"/>
        </w:rPr>
        <w:t>High Pressure Technology</w:t>
      </w:r>
      <w:r w:rsidR="0000129D" w:rsidRPr="00BC31E0">
        <w:rPr>
          <w:rFonts w:asciiTheme="minorHAnsi" w:eastAsiaTheme="minorEastAsia" w:hAnsiTheme="minorHAnsi"/>
        </w:rPr>
        <w:t xml:space="preserve">, </w:t>
      </w:r>
      <w:r w:rsidRPr="00BC31E0">
        <w:rPr>
          <w:rFonts w:asciiTheme="minorHAnsi" w:eastAsiaTheme="minorEastAsia" w:hAnsiTheme="minorHAnsi"/>
        </w:rPr>
        <w:t>ASME PVP</w:t>
      </w:r>
      <w:r w:rsidR="0000129D" w:rsidRPr="00BC31E0">
        <w:rPr>
          <w:rFonts w:asciiTheme="minorHAnsi" w:eastAsiaTheme="minorEastAsia" w:hAnsiTheme="minorHAnsi"/>
        </w:rPr>
        <w:t xml:space="preserve">, </w:t>
      </w:r>
      <w:r w:rsidRPr="00BC31E0">
        <w:rPr>
          <w:rFonts w:asciiTheme="minorHAnsi" w:eastAsiaTheme="minorEastAsia" w:hAnsiTheme="minorHAnsi"/>
        </w:rPr>
        <w:t>Vol.148</w:t>
      </w:r>
      <w:r w:rsidR="0000129D" w:rsidRPr="00BC31E0">
        <w:rPr>
          <w:rFonts w:asciiTheme="minorHAnsi" w:eastAsiaTheme="minorEastAsia" w:hAnsiTheme="minorHAnsi"/>
        </w:rPr>
        <w:t xml:space="preserve">, </w:t>
      </w:r>
      <w:r w:rsidRPr="00BC31E0">
        <w:rPr>
          <w:rFonts w:asciiTheme="minorHAnsi" w:eastAsiaTheme="minorEastAsia" w:hAnsiTheme="minorHAnsi"/>
        </w:rPr>
        <w:t>pp.43-53</w:t>
      </w:r>
      <w:r w:rsidR="0000129D" w:rsidRPr="00BC31E0">
        <w:rPr>
          <w:rFonts w:asciiTheme="minorHAnsi" w:eastAsiaTheme="minorEastAsia" w:hAnsiTheme="minorHAnsi"/>
        </w:rPr>
        <w:t xml:space="preserve">, </w:t>
      </w:r>
      <w:r w:rsidRPr="00BC31E0">
        <w:rPr>
          <w:rFonts w:asciiTheme="minorHAnsi" w:eastAsiaTheme="minorEastAsia" w:hAnsiTheme="minorHAnsi"/>
        </w:rPr>
        <w:t>(1988)</w:t>
      </w:r>
    </w:p>
    <w:p w14:paraId="4C913925" w14:textId="77777777" w:rsidR="00F87ADB" w:rsidRPr="00BC31E0" w:rsidRDefault="00F87ADB" w:rsidP="00F50D00">
      <w:pPr>
        <w:jc w:val="left"/>
        <w:rPr>
          <w:szCs w:val="20"/>
        </w:rPr>
      </w:pPr>
    </w:p>
    <w:p w14:paraId="7A4A164E" w14:textId="77777777" w:rsidR="00F87ADB" w:rsidRPr="00BC31E0" w:rsidRDefault="00A51873" w:rsidP="00F50D00">
      <w:pPr>
        <w:jc w:val="center"/>
        <w:rPr>
          <w:rFonts w:ascii="ＭＳ ゴシック" w:eastAsia="ＭＳ ゴシック" w:hAnsi="ＭＳ ゴシック"/>
          <w:b/>
        </w:rPr>
      </w:pPr>
      <w:r>
        <w:rPr>
          <w:noProof/>
        </w:rPr>
        <w:pict w14:anchorId="37E004C1">
          <v:shape id="Text Box 11515" o:spid="_x0000_s1721" type="#_x0000_t202" style="position:absolute;left:0;text-align:left;margin-left:128.55pt;margin-top:33.9pt;width:32.15pt;height:16.55pt;z-index:2517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" stroked="f">
            <v:textbox>
              <w:txbxContent>
                <w:p w14:paraId="0D9A21D0" w14:textId="77777777" w:rsidR="003B0864" w:rsidRPr="00885010" w:rsidRDefault="003B0864" w:rsidP="00F87ADB">
                  <w:pPr>
                    <w:rPr>
                      <w:rFonts w:ascii="ＭＳ ゴシック" w:eastAsia="ＭＳ ゴシック" w:hAnsi="ＭＳ ゴシック"/>
                      <w:b/>
                      <w:vertAlign w:val="superscript"/>
                    </w:rPr>
                  </w:pPr>
                  <w:r w:rsidRPr="00885010">
                    <w:rPr>
                      <w:rFonts w:ascii="ＭＳ ゴシック" w:eastAsia="ＭＳ ゴシック" w:hAnsi="ＭＳ ゴシック" w:hint="eastAsia"/>
                      <w:b/>
                      <w:vertAlign w:val="superscript"/>
                    </w:rPr>
                    <w:t>a)</w:t>
                  </w:r>
                </w:p>
              </w:txbxContent>
            </v:textbox>
          </v:shape>
        </w:pict>
      </w:r>
      <w:r w:rsidR="00F87ADB" w:rsidRPr="00BC31E0">
        <w:rPr>
          <w:rFonts w:ascii="ＭＳ ゴシック" w:eastAsia="ＭＳ ゴシック" w:hAnsi="ＭＳ ゴシック" w:hint="eastAsia"/>
          <w:b/>
        </w:rPr>
        <w:t>表</w:t>
      </w:r>
      <w:r w:rsidR="00F87ADB" w:rsidRPr="00BC31E0">
        <w:rPr>
          <w:rFonts w:ascii="ＭＳ ゴシック" w:eastAsia="ＭＳ ゴシック" w:hAnsi="ＭＳ ゴシック"/>
          <w:b/>
        </w:rPr>
        <w:t>G.1</w:t>
      </w:r>
      <w:r w:rsidR="00F87ADB" w:rsidRPr="00BC31E0">
        <w:rPr>
          <w:rFonts w:ascii="ＭＳ ゴシック" w:eastAsia="ＭＳ ゴシック" w:hAnsi="ＭＳ ゴシック" w:hint="eastAsia"/>
          <w:b/>
        </w:rPr>
        <w:t xml:space="preserve">　連続ねじの例</w:t>
      </w:r>
      <w:r w:rsidR="00F87ADB" w:rsidRPr="00BC31E0">
        <w:rPr>
          <w:rFonts w:ascii="ＭＳ ゴシック" w:eastAsia="ＭＳ ゴシック" w:hAnsi="ＭＳ ゴシック" w:hint="eastAsia"/>
          <w:b/>
          <w:vertAlign w:val="superscript"/>
        </w:rPr>
        <w:t>†</w:t>
      </w:r>
    </w:p>
    <w:p w14:paraId="0746B4B0" w14:textId="77777777" w:rsidR="00F87ADB" w:rsidRPr="00BC31E0" w:rsidRDefault="00F87ADB" w:rsidP="00F50D00">
      <w:pPr>
        <w:jc w:val="center"/>
      </w:pPr>
      <w:r w:rsidRPr="00BC31E0">
        <w:rPr>
          <w:noProof/>
        </w:rPr>
        <w:drawing>
          <wp:inline distT="0" distB="0" distL="0" distR="0" wp14:anchorId="28232666" wp14:editId="6784D910">
            <wp:extent cx="5301615" cy="2256790"/>
            <wp:effectExtent l="19050" t="0" r="0" b="0"/>
            <wp:docPr id="1568" name="図 1784" descr="表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84" descr="表１"/>
                    <pic:cNvPicPr>
                      <a:picLocks noChangeAspect="1" noChangeArrowheads="1"/>
                    </pic:cNvPicPr>
                  </pic:nvPicPr>
                  <pic:blipFill>
                    <a:blip r:embed="rId144" cstate="print"/>
                    <a:srcRect b="21533"/>
                    <a:stretch>
                      <a:fillRect/>
                    </a:stretch>
                  </pic:blipFill>
                  <pic:spPr bwMode="auto">
                    <a:xfrm>
                      <a:off x="0" y="0"/>
                      <a:ext cx="5301615" cy="2256790"/>
                    </a:xfrm>
                    <a:prstGeom prst="rect">
                      <a:avLst/>
                    </a:prstGeom>
                    <a:noFill/>
                    <a:ln w="9525">
                      <a:noFill/>
                      <a:miter lim="800000"/>
                      <a:headEnd/>
                      <a:tailEnd/>
                    </a:ln>
                  </pic:spPr>
                </pic:pic>
              </a:graphicData>
            </a:graphic>
          </wp:inline>
        </w:drawing>
      </w:r>
    </w:p>
    <w:p w14:paraId="3E8E6B46" w14:textId="77777777" w:rsidR="00F87ADB" w:rsidRPr="00BC31E0" w:rsidRDefault="00A51873" w:rsidP="00F50D00">
      <w:pPr>
        <w:ind w:left="567"/>
      </w:pPr>
      <w:r>
        <w:rPr>
          <w:noProof/>
        </w:rPr>
        <w:pict w14:anchorId="6E883BFD">
          <v:rect id="Rectangle 11513" o:spid="_x0000_s3329" style="position:absolute;left:0;text-align:left;margin-left:313.15pt;margin-top:12.3pt;width:5.8pt;height:9pt;z-index:25170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" stroked="f">
            <v:textbox inset="5.85pt,.7pt,5.85pt,.7pt"/>
          </v:rect>
        </w:pict>
      </w:r>
      <w:r>
        <w:rPr>
          <w:noProof/>
        </w:rPr>
        <w:pict w14:anchorId="7B723871">
          <v:rect id="Rectangle 11512" o:spid="_x0000_s3328" style="position:absolute;left:0;text-align:left;margin-left:299.05pt;margin-top:10.5pt;width:5.8pt;height:9pt;z-index:25170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" stroked="f">
            <v:textbox inset="5.85pt,.7pt,5.85pt,.7pt"/>
          </v:rect>
        </w:pict>
      </w:r>
      <w:r>
        <w:rPr>
          <w:noProof/>
        </w:rPr>
        <w:pict w14:anchorId="67EC37AA">
          <v:rect id="Rectangle 11511" o:spid="_x0000_s3327" style="position:absolute;left:0;text-align:left;margin-left:334pt;margin-top:9.15pt;width:26.25pt;height:9pt;z-index:25170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" stroked="f">
            <v:textbox inset="5.85pt,.7pt,5.85pt,.7pt"/>
          </v:rect>
        </w:pict>
      </w:r>
      <w:r>
        <w:rPr>
          <w:noProof/>
        </w:rPr>
        <w:pict w14:anchorId="6C207542">
          <v:rect id="Rectangle 11510" o:spid="_x0000_s3326" style="position:absolute;left:0;text-align:left;margin-left:218.6pt;margin-top:12.6pt;width:11.1pt;height:8.95pt;z-index:25170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" stroked="f">
            <v:textbox inset="5.85pt,.7pt,5.85pt,.7pt"/>
          </v:rect>
        </w:pict>
      </w:r>
      <w:r w:rsidR="00F87ADB" w:rsidRPr="00BC31E0">
        <w:rPr>
          <w:rFonts w:ascii="ＭＳ ゴシック" w:eastAsia="ＭＳ ゴシック" w:hint="eastAsia"/>
          <w:b/>
        </w:rPr>
        <w:t>注記</w:t>
      </w:r>
      <w:r w:rsidR="00F87ADB" w:rsidRPr="00BC31E0">
        <w:rPr>
          <w:rFonts w:ascii="ＭＳ ゴシック" w:eastAsia="ＭＳ ゴシック" w:hint="eastAsia"/>
          <w:b/>
          <w:vertAlign w:val="superscript"/>
        </w:rPr>
        <w:t>a)</w:t>
      </w:r>
      <w:r w:rsidR="00F87ADB" w:rsidRPr="00BC31E0">
        <w:rPr>
          <w:rFonts w:hint="eastAsia"/>
        </w:rPr>
        <w:t xml:space="preserve">　</w:t>
      </w:r>
      <m:oMath>
        <m:sSub>
          <m:sSubPr>
            <m:ctrlPr>
              <w:rPr>
                <w:rFonts w:ascii="Cambria Math" w:hAnsi="Cambria Math"/>
              </w:rPr>
            </m:ctrlPr>
          </m:sSubPr>
          <m:e>
            <m:r>
              <w:rPr>
                <w:rFonts w:ascii="Cambria Math" w:hAnsi="Cambria Math"/>
              </w:rPr>
              <m:t>F</m:t>
            </m:r>
          </m:e>
          <m:sub>
            <m:r>
              <w:rPr>
                <w:rFonts w:ascii="Cambria Math" w:hAnsi="Cambria Math"/>
              </w:rPr>
              <m:t>t</m:t>
            </m:r>
          </m:sub>
        </m:sSub>
        <m:r>
          <w:rPr>
            <w:rFonts w:ascii="Cambria Math" w:hAnsi="Cambria Math"/>
          </w:rPr>
          <m:t xml:space="preserve">=24.666 </m:t>
        </m:r>
      </m:oMath>
      <w:r w:rsidR="00F87ADB" w:rsidRPr="00BC31E0">
        <w:t>(</w:t>
      </w:r>
      <m:oMath>
        <m:sSub>
          <m:sSubPr>
            <m:ctrlPr>
              <w:rPr>
                <w:rFonts w:ascii="Cambria Math" w:hAnsi="Cambria Math"/>
              </w:rPr>
            </m:ctrlPr>
          </m:sSubPr>
          <m:e>
            <m:r>
              <w:rPr>
                <w:rFonts w:ascii="Cambria Math" w:hAnsi="Cambria Math"/>
              </w:rPr>
              <m:t>F</m:t>
            </m:r>
          </m:e>
          <m:sub>
            <m:r>
              <w:rPr>
                <w:rFonts w:ascii="Cambria Math" w:hAnsi="Cambria Math"/>
              </w:rPr>
              <m:t>i</m:t>
            </m:r>
          </m:sub>
        </m:sSub>
        <m:r>
          <m:rPr>
            <m:sty m:val="p"/>
          </m:rPr>
          <w:rPr>
            <w:rFonts w:ascii="Cambria Math" w:hAnsi="Cambria Math"/>
          </w:rPr>
          <m:t xml:space="preserve"> </m:t>
        </m:r>
      </m:oMath>
      <w:r w:rsidR="00F87ADB" w:rsidRPr="00BC31E0">
        <w:rPr>
          <w:rFonts w:hint="eastAsia"/>
        </w:rPr>
        <w:t>の合計</w:t>
      </w:r>
      <w:r w:rsidR="00F87ADB" w:rsidRPr="00BC31E0">
        <w:t>)</w:t>
      </w:r>
    </w:p>
    <w:p w14:paraId="78B64421" w14:textId="77777777" w:rsidR="00F87ADB" w:rsidRPr="00BC31E0" w:rsidRDefault="00F87ADB" w:rsidP="00F50D00"/>
    <w:p w14:paraId="03608ED1" w14:textId="77777777" w:rsidR="00F87ADB" w:rsidRPr="00BC31E0" w:rsidRDefault="00A51873" w:rsidP="00F50D00">
      <w:r>
        <w:rPr>
          <w:noProof/>
        </w:rPr>
        <w:pict w14:anchorId="343F5286">
          <v:shape id="Text Box 11514" o:spid="_x0000_s1722" type="#_x0000_t202" style="position:absolute;left:0;text-align:left;margin-left:264.25pt;margin-top:69.05pt;width:185.35pt;height:171pt;z-index:25170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" filled="f" stroked="f">
            <v:textbox>
              <w:txbxContent>
                <w:p w14:paraId="148A7C88" w14:textId="77777777" w:rsidR="003B0864" w:rsidRPr="00DC4364" w:rsidRDefault="00A51873" w:rsidP="00F87ADB">
                  <w:pPr>
                    <w:tabs>
                      <w:tab w:val="left" w:pos="426"/>
                    </w:tabs>
                  </w:pPr>
                  <m:oMath>
                    <m:sSub>
                      <m:sSubPr>
                        <m:ctrlPr>
                          <w:rPr>
                            <w:rFonts w:ascii="Cambria Math" w:hAnsi="Cambria Math"/>
                          </w:rPr>
                        </m:ctrlPr>
                      </m:sSubPr>
                      <m:e>
                        <m:r>
                          <w:rPr>
                            <w:rFonts w:ascii="Cambria Math" w:hAnsi="Cambria Math"/>
                          </w:rPr>
                          <m:t>D</m:t>
                        </m:r>
                      </m:e>
                      <m:sub>
                        <m:r>
                          <w:rPr>
                            <w:rFonts w:ascii="Cambria Math" w:hAnsi="Cambria Math"/>
                          </w:rPr>
                          <m:t>c</m:t>
                        </m:r>
                      </m:sub>
                    </m:sSub>
                  </m:oMath>
                  <w:r w:rsidR="003B0864" w:rsidRPr="00773A1D">
                    <w:rPr>
                      <w:rFonts w:ascii="Cambria Math" w:hAnsi="Cambria Math" w:hint="eastAsia"/>
                    </w:rPr>
                    <w:tab/>
                  </w:r>
                  <w:r w:rsidR="003B0864" w:rsidRPr="00DC4364">
                    <w:rPr>
                      <w:rFonts w:hint="eastAsia"/>
                    </w:rPr>
                    <w:t>：</w:t>
                  </w:r>
                  <w:r w:rsidR="003B0864">
                    <w:rPr>
                      <w:rFonts w:hint="eastAsia"/>
                    </w:rPr>
                    <w:t xml:space="preserve"> </w:t>
                  </w:r>
                  <w:r w:rsidR="003B0864" w:rsidRPr="00DC4364">
                    <w:rPr>
                      <w:rFonts w:hint="eastAsia"/>
                    </w:rPr>
                    <w:t>コーナ</w:t>
                  </w:r>
                  <w:r w:rsidR="003B0864">
                    <w:rPr>
                      <w:rFonts w:hint="eastAsia"/>
                    </w:rPr>
                    <w:t>ー</w:t>
                  </w:r>
                  <w:r w:rsidR="003B0864" w:rsidRPr="00DC4364">
                    <w:rPr>
                      <w:rFonts w:hint="eastAsia"/>
                    </w:rPr>
                    <w:t>部の直径</w:t>
                  </w:r>
                  <w:r w:rsidR="003B0864">
                    <w:rPr>
                      <w:rFonts w:hint="eastAsia"/>
                    </w:rPr>
                    <w:t>(</w:t>
                  </w:r>
                  <w:r w:rsidR="003B0864" w:rsidRPr="00E8619C">
                    <w:rPr>
                      <w:rFonts w:ascii="Cambria Math" w:hAnsi="Cambria Math"/>
                    </w:rPr>
                    <w:t>mm</w:t>
                  </w:r>
                  <w:r w:rsidR="003B0864">
                    <w:rPr>
                      <w:rFonts w:hint="eastAsia"/>
                    </w:rPr>
                    <w:t>)</w:t>
                  </w:r>
                </w:p>
                <w:p w14:paraId="1FD82E12" w14:textId="77777777" w:rsidR="003B0864" w:rsidRPr="00DC4364" w:rsidRDefault="00A51873" w:rsidP="00F87ADB">
                  <w:pPr>
                    <w:tabs>
                      <w:tab w:val="left" w:pos="426"/>
                    </w:tabs>
                  </w:pPr>
                  <m:oMath>
                    <m:sSub>
                      <m:sSubPr>
                        <m:ctrlPr>
                          <w:rPr>
                            <w:rFonts w:ascii="Cambria Math" w:hAnsi="Cambria Math"/>
                          </w:rPr>
                        </m:ctrlPr>
                      </m:sSubPr>
                      <m:e>
                        <m:r>
                          <w:rPr>
                            <w:rFonts w:ascii="Cambria Math" w:hAnsi="Cambria Math"/>
                          </w:rPr>
                          <m:t>D</m:t>
                        </m:r>
                      </m:e>
                      <m:sub>
                        <m:r>
                          <w:rPr>
                            <w:rFonts w:ascii="Cambria Math" w:hAnsi="Cambria Math"/>
                          </w:rPr>
                          <m:t>op</m:t>
                        </m:r>
                      </m:sub>
                    </m:sSub>
                  </m:oMath>
                  <w:r w:rsidR="003B0864" w:rsidRPr="00773A1D">
                    <w:rPr>
                      <w:rFonts w:ascii="Cambria Math" w:hAnsi="Cambria Math" w:hint="eastAsia"/>
                    </w:rPr>
                    <w:tab/>
                  </w:r>
                  <w:r w:rsidR="003B0864" w:rsidRPr="00DC4364">
                    <w:rPr>
                      <w:rFonts w:hint="eastAsia"/>
                    </w:rPr>
                    <w:t>：</w:t>
                  </w:r>
                  <w:r w:rsidR="003B0864">
                    <w:rPr>
                      <w:rFonts w:hint="eastAsia"/>
                    </w:rPr>
                    <w:t xml:space="preserve"> </w:t>
                  </w:r>
                  <w:r w:rsidR="003B0864">
                    <w:rPr>
                      <w:rFonts w:hint="eastAsia"/>
                    </w:rPr>
                    <w:t>穴</w:t>
                  </w:r>
                  <w:r w:rsidR="003B0864" w:rsidRPr="00DC4364">
                    <w:rPr>
                      <w:rFonts w:hint="eastAsia"/>
                    </w:rPr>
                    <w:t>の直径</w:t>
                  </w:r>
                  <w:r w:rsidR="003B0864">
                    <w:rPr>
                      <w:rFonts w:hint="eastAsia"/>
                    </w:rPr>
                    <w:t>(</w:t>
                  </w:r>
                  <w:r w:rsidR="003B0864" w:rsidRPr="00DC4364">
                    <w:rPr>
                      <w:rFonts w:hint="eastAsia"/>
                    </w:rPr>
                    <w:t>最大</w:t>
                  </w:r>
                  <w:r w:rsidR="003B0864">
                    <w:t>0.15</w:t>
                  </w:r>
                  <w:r w:rsidR="003B0864" w:rsidRPr="00207960">
                    <w:rPr>
                      <w:rFonts w:ascii="Cambria Math" w:hAnsi="Cambria Math"/>
                      <w:i/>
                    </w:rPr>
                    <w:t>D</w:t>
                  </w:r>
                  <w:r w:rsidR="003B0864" w:rsidRPr="00773A1D">
                    <w:rPr>
                      <w:rFonts w:ascii="Cambria Math" w:hAnsi="Cambria Math"/>
                      <w:i/>
                      <w:vertAlign w:val="subscript"/>
                    </w:rPr>
                    <w:t>I</w:t>
                  </w:r>
                  <w:r w:rsidR="003B0864">
                    <w:rPr>
                      <w:rFonts w:hint="eastAsia"/>
                    </w:rPr>
                    <w:t>)(</w:t>
                  </w:r>
                  <w:r w:rsidR="003B0864" w:rsidRPr="00E8619C">
                    <w:rPr>
                      <w:rFonts w:ascii="Cambria Math" w:hAnsi="Cambria Math"/>
                    </w:rPr>
                    <w:t>mm</w:t>
                  </w:r>
                  <w:r w:rsidR="003B0864">
                    <w:rPr>
                      <w:rFonts w:hint="eastAsia"/>
                    </w:rPr>
                    <w:t>)</w:t>
                  </w:r>
                </w:p>
                <w:p w14:paraId="436C3903" w14:textId="77777777" w:rsidR="003B0864" w:rsidRPr="00DC4364" w:rsidRDefault="00A51873" w:rsidP="00F87ADB">
                  <w:pPr>
                    <w:tabs>
                      <w:tab w:val="left" w:pos="426"/>
                    </w:tabs>
                  </w:pPr>
                  <m:oMath>
                    <m:sSub>
                      <m:sSubPr>
                        <m:ctrlPr>
                          <w:rPr>
                            <w:rFonts w:ascii="Cambria Math" w:hAnsi="Cambria Math"/>
                          </w:rPr>
                        </m:ctrlPr>
                      </m:sSubPr>
                      <m:e>
                        <m:r>
                          <w:rPr>
                            <w:rFonts w:ascii="Cambria Math" w:hAnsi="Cambria Math" w:hint="eastAsia"/>
                          </w:rPr>
                          <m:t>R</m:t>
                        </m:r>
                      </m:e>
                      <m:sub>
                        <m:r>
                          <w:rPr>
                            <w:rFonts w:ascii="Cambria Math" w:hAnsi="Cambria Math"/>
                          </w:rPr>
                          <m:t>c</m:t>
                        </m:r>
                      </m:sub>
                    </m:sSub>
                  </m:oMath>
                  <w:r w:rsidR="003B0864">
                    <w:rPr>
                      <w:rFonts w:hint="eastAsia"/>
                    </w:rPr>
                    <w:tab/>
                  </w:r>
                  <w:r w:rsidR="003B0864" w:rsidRPr="00DC4364">
                    <w:rPr>
                      <w:rFonts w:hint="eastAsia"/>
                    </w:rPr>
                    <w:t>：</w:t>
                  </w:r>
                  <w:r w:rsidR="003B0864">
                    <w:rPr>
                      <w:rFonts w:hint="eastAsia"/>
                    </w:rPr>
                    <w:t xml:space="preserve"> </w:t>
                  </w:r>
                  <w:r w:rsidR="003B0864" w:rsidRPr="00DC4364">
                    <w:rPr>
                      <w:rFonts w:hint="eastAsia"/>
                    </w:rPr>
                    <w:t>コーナ</w:t>
                  </w:r>
                  <w:r w:rsidR="003B0864">
                    <w:rPr>
                      <w:rFonts w:hint="eastAsia"/>
                    </w:rPr>
                    <w:t>ー</w:t>
                  </w:r>
                  <w:r w:rsidR="003B0864" w:rsidRPr="00DC4364">
                    <w:rPr>
                      <w:rFonts w:hint="eastAsia"/>
                    </w:rPr>
                    <w:t>半径</w:t>
                  </w:r>
                  <w:r w:rsidR="003B0864">
                    <w:rPr>
                      <w:rFonts w:hint="eastAsia"/>
                    </w:rPr>
                    <w:t>(</w:t>
                  </w:r>
                  <w:r w:rsidR="003B0864" w:rsidRPr="00E8619C">
                    <w:rPr>
                      <w:rFonts w:ascii="Cambria Math" w:hAnsi="Cambria Math"/>
                    </w:rPr>
                    <w:t>mm</w:t>
                  </w:r>
                  <w:r w:rsidR="003B0864">
                    <w:rPr>
                      <w:rFonts w:hint="eastAsia"/>
                    </w:rPr>
                    <w:t>)</w:t>
                  </w:r>
                </w:p>
                <w:p w14:paraId="29D40514" w14:textId="77777777" w:rsidR="003B0864" w:rsidRDefault="00A51873" w:rsidP="00F87ADB">
                  <w:pPr>
                    <w:tabs>
                      <w:tab w:val="left" w:pos="426"/>
                    </w:tabs>
                  </w:pPr>
                  <m:oMath>
                    <m:sSub>
                      <m:sSubPr>
                        <m:ctrlPr>
                          <w:rPr>
                            <w:rFonts w:ascii="Cambria Math" w:hAnsi="Cambria Math"/>
                          </w:rPr>
                        </m:ctrlPr>
                      </m:sSubPr>
                      <m:e>
                        <m:r>
                          <w:rPr>
                            <w:rFonts w:ascii="Cambria Math" w:hAnsi="Cambria Math"/>
                          </w:rPr>
                          <m:t>t</m:t>
                        </m:r>
                      </m:e>
                      <m:sub>
                        <m:r>
                          <w:rPr>
                            <w:rFonts w:ascii="Cambria Math" w:hAnsi="Cambria Math"/>
                          </w:rPr>
                          <m:t>b</m:t>
                        </m:r>
                      </m:sub>
                    </m:sSub>
                  </m:oMath>
                  <w:r w:rsidR="003B0864" w:rsidRPr="00773A1D">
                    <w:rPr>
                      <w:rFonts w:ascii="Cambria Math" w:hAnsi="Cambria Math" w:hint="eastAsia"/>
                    </w:rPr>
                    <w:tab/>
                  </w:r>
                  <w:r w:rsidR="003B0864" w:rsidRPr="00DC4364">
                    <w:rPr>
                      <w:rFonts w:hint="eastAsia"/>
                    </w:rPr>
                    <w:t>：</w:t>
                  </w:r>
                  <w:r w:rsidR="003B0864">
                    <w:rPr>
                      <w:rFonts w:hint="eastAsia"/>
                    </w:rPr>
                    <w:t xml:space="preserve"> </w:t>
                  </w:r>
                  <w:r w:rsidR="003B0864">
                    <w:rPr>
                      <w:rFonts w:hint="eastAsia"/>
                    </w:rPr>
                    <w:t>一体型平鏡板の厚さ</w:t>
                  </w:r>
                  <w:r w:rsidR="003B0864">
                    <w:rPr>
                      <w:rFonts w:hint="eastAsia"/>
                    </w:rPr>
                    <w:t>(</w:t>
                  </w:r>
                  <w:r w:rsidR="003B0864" w:rsidRPr="00E8619C">
                    <w:rPr>
                      <w:rFonts w:ascii="Cambria Math" w:hAnsi="Cambria Math"/>
                    </w:rPr>
                    <w:t>mm</w:t>
                  </w:r>
                  <w:r w:rsidR="003B0864">
                    <w:rPr>
                      <w:rFonts w:hint="eastAsia"/>
                    </w:rPr>
                    <w:t>)</w:t>
                  </w:r>
                </w:p>
                <w:p w14:paraId="45D393B3" w14:textId="77777777" w:rsidR="003B0864" w:rsidRPr="00DC4364" w:rsidRDefault="003B0864" w:rsidP="00F87ADB">
                  <w:pPr>
                    <w:tabs>
                      <w:tab w:val="left" w:pos="630"/>
                    </w:tabs>
                    <w:ind w:left="737"/>
                  </w:pPr>
                  <w:r>
                    <w:rPr>
                      <w:rFonts w:hint="eastAsia"/>
                    </w:rPr>
                    <w:t>(</w:t>
                  </w:r>
                  <w:r w:rsidRPr="00DC4364">
                    <w:rPr>
                      <w:rFonts w:hint="eastAsia"/>
                    </w:rPr>
                    <w:t>最小</w:t>
                  </w:r>
                  <m:oMath>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w</m:t>
                        </m:r>
                      </m:sub>
                    </m:sSub>
                  </m:oMath>
                  <w:r w:rsidRPr="00DC4364">
                    <w:rPr>
                      <w:rFonts w:hint="eastAsia"/>
                    </w:rPr>
                    <w:t>，最大</w:t>
                  </w:r>
                  <m:oMath>
                    <m:sSub>
                      <m:sSubPr>
                        <m:ctrlPr>
                          <w:rPr>
                            <w:rFonts w:ascii="Cambria Math" w:hAnsi="Cambria Math"/>
                          </w:rPr>
                        </m:ctrlPr>
                      </m:sSubPr>
                      <m:e>
                        <m:r>
                          <w:rPr>
                            <w:rFonts w:ascii="Cambria Math" w:hAnsi="Cambria Math"/>
                          </w:rPr>
                          <m:t xml:space="preserve"> 2 t</m:t>
                        </m:r>
                      </m:e>
                      <m:sub>
                        <m:r>
                          <w:rPr>
                            <w:rFonts w:ascii="Cambria Math" w:hAnsi="Cambria Math"/>
                          </w:rPr>
                          <m:t>w</m:t>
                        </m:r>
                      </m:sub>
                    </m:sSub>
                  </m:oMath>
                  <w:r>
                    <w:rPr>
                      <w:rFonts w:hint="eastAsia"/>
                    </w:rPr>
                    <w:t>)</w:t>
                  </w:r>
                </w:p>
                <w:p w14:paraId="60D62626" w14:textId="77777777" w:rsidR="003B0864" w:rsidRPr="00DC4364" w:rsidRDefault="00A51873" w:rsidP="00F87ADB">
                  <w:pPr>
                    <w:tabs>
                      <w:tab w:val="left" w:pos="426"/>
                    </w:tabs>
                  </w:pPr>
                  <m:oMath>
                    <m:sSub>
                      <m:sSubPr>
                        <m:ctrlPr>
                          <w:rPr>
                            <w:rFonts w:ascii="Cambria Math" w:hAnsi="Cambria Math"/>
                          </w:rPr>
                        </m:ctrlPr>
                      </m:sSubPr>
                      <m:e>
                        <m:r>
                          <w:rPr>
                            <w:rFonts w:ascii="Cambria Math" w:hAnsi="Cambria Math"/>
                          </w:rPr>
                          <m:t>t</m:t>
                        </m:r>
                      </m:e>
                      <m:sub>
                        <m:r>
                          <w:rPr>
                            <w:rFonts w:ascii="Cambria Math" w:hAnsi="Cambria Math"/>
                          </w:rPr>
                          <m:t>c</m:t>
                        </m:r>
                      </m:sub>
                    </m:sSub>
                  </m:oMath>
                  <w:r w:rsidR="003B0864" w:rsidRPr="00773A1D">
                    <w:rPr>
                      <w:rFonts w:ascii="Cambria Math" w:hAnsi="Cambria Math" w:hint="eastAsia"/>
                    </w:rPr>
                    <w:tab/>
                  </w:r>
                  <w:r w:rsidR="003B0864" w:rsidRPr="00DC4364">
                    <w:rPr>
                      <w:rFonts w:hint="eastAsia"/>
                    </w:rPr>
                    <w:t>：</w:t>
                  </w:r>
                  <w:r w:rsidR="003B0864">
                    <w:rPr>
                      <w:rFonts w:hint="eastAsia"/>
                    </w:rPr>
                    <w:t xml:space="preserve"> </w:t>
                  </w:r>
                  <w:r w:rsidR="003B0864" w:rsidRPr="00DC4364">
                    <w:rPr>
                      <w:rFonts w:hint="eastAsia"/>
                    </w:rPr>
                    <w:t>コーナ</w:t>
                  </w:r>
                  <w:r w:rsidR="003B0864">
                    <w:rPr>
                      <w:rFonts w:hint="eastAsia"/>
                    </w:rPr>
                    <w:t>ー</w:t>
                  </w:r>
                  <w:r w:rsidR="003B0864" w:rsidRPr="00DC4364">
                    <w:rPr>
                      <w:rFonts w:hint="eastAsia"/>
                    </w:rPr>
                    <w:t>部の板厚</w:t>
                  </w:r>
                  <w:r w:rsidR="003B0864">
                    <w:rPr>
                      <w:rFonts w:hint="eastAsia"/>
                    </w:rPr>
                    <w:t>(</w:t>
                  </w:r>
                  <w:r w:rsidR="003B0864" w:rsidRPr="00E8619C">
                    <w:rPr>
                      <w:rFonts w:ascii="Cambria Math" w:hAnsi="Cambria Math"/>
                    </w:rPr>
                    <w:t>mm</w:t>
                  </w:r>
                  <w:r w:rsidR="003B0864">
                    <w:rPr>
                      <w:rFonts w:hint="eastAsia"/>
                    </w:rPr>
                    <w:t>)</w:t>
                  </w:r>
                </w:p>
                <w:p w14:paraId="12825DC5" w14:textId="77777777" w:rsidR="003B0864" w:rsidRPr="00DC4364" w:rsidRDefault="00A51873" w:rsidP="00F87ADB">
                  <w:pPr>
                    <w:tabs>
                      <w:tab w:val="left" w:pos="426"/>
                    </w:tabs>
                  </w:pPr>
                  <m:oMath>
                    <m:sSub>
                      <m:sSubPr>
                        <m:ctrlPr>
                          <w:rPr>
                            <w:rFonts w:ascii="Cambria Math" w:hAnsi="Cambria Math"/>
                          </w:rPr>
                        </m:ctrlPr>
                      </m:sSubPr>
                      <m:e>
                        <m:r>
                          <w:rPr>
                            <w:rFonts w:ascii="Cambria Math" w:hAnsi="Cambria Math"/>
                          </w:rPr>
                          <m:t>t</m:t>
                        </m:r>
                      </m:e>
                      <m:sub>
                        <m:r>
                          <w:rPr>
                            <w:rFonts w:ascii="Cambria Math" w:hAnsi="Cambria Math"/>
                          </w:rPr>
                          <m:t>w</m:t>
                        </m:r>
                      </m:sub>
                    </m:sSub>
                  </m:oMath>
                  <w:r w:rsidR="003B0864" w:rsidRPr="00773A1D">
                    <w:rPr>
                      <w:rFonts w:ascii="Cambria Math" w:hAnsi="Cambria Math" w:hint="eastAsia"/>
                    </w:rPr>
                    <w:tab/>
                  </w:r>
                  <w:r w:rsidR="003B0864" w:rsidRPr="00DC4364">
                    <w:rPr>
                      <w:rFonts w:hint="eastAsia"/>
                    </w:rPr>
                    <w:t>：</w:t>
                  </w:r>
                  <w:r w:rsidR="003B0864">
                    <w:rPr>
                      <w:rFonts w:hint="eastAsia"/>
                    </w:rPr>
                    <w:t xml:space="preserve"> </w:t>
                  </w:r>
                  <w:r w:rsidR="003B0864">
                    <w:rPr>
                      <w:rFonts w:hint="eastAsia"/>
                    </w:rPr>
                    <w:t>胴の</w:t>
                  </w:r>
                  <w:r w:rsidR="003B0864" w:rsidRPr="00DC4364">
                    <w:rPr>
                      <w:rFonts w:hint="eastAsia"/>
                    </w:rPr>
                    <w:t>厚</w:t>
                  </w:r>
                  <w:r w:rsidR="003B0864">
                    <w:rPr>
                      <w:rFonts w:hint="eastAsia"/>
                    </w:rPr>
                    <w:t>さ</w:t>
                  </w:r>
                  <w:r w:rsidR="003B0864">
                    <w:rPr>
                      <w:rFonts w:hint="eastAsia"/>
                    </w:rPr>
                    <w:t>(</w:t>
                  </w:r>
                  <w:r w:rsidR="003B0864" w:rsidRPr="00E8619C">
                    <w:rPr>
                      <w:rFonts w:ascii="Cambria Math" w:hAnsi="Cambria Math"/>
                    </w:rPr>
                    <w:t>mm</w:t>
                  </w:r>
                  <w:r w:rsidR="003B0864">
                    <w:rPr>
                      <w:rFonts w:hint="eastAsia"/>
                    </w:rPr>
                    <w:t>)</w:t>
                  </w:r>
                </w:p>
                <w:p w14:paraId="2E53F980" w14:textId="77777777" w:rsidR="003B0864" w:rsidRPr="00DC4364" w:rsidRDefault="003B0864" w:rsidP="00F87ADB">
                  <w:pPr>
                    <w:tabs>
                      <w:tab w:val="left" w:pos="426"/>
                    </w:tabs>
                  </w:pPr>
                  <m:oMath>
                    <m:r>
                      <w:rPr>
                        <w:rFonts w:ascii="Cambria Math" w:hAnsi="Cambria Math"/>
                      </w:rPr>
                      <m:t>Y</m:t>
                    </m:r>
                  </m:oMath>
                  <w:r w:rsidRPr="00773A1D">
                    <w:rPr>
                      <w:rFonts w:ascii="Cambria Math" w:hAnsi="Cambria Math" w:hint="eastAsia"/>
                    </w:rPr>
                    <w:tab/>
                  </w:r>
                  <w:r w:rsidRPr="00DC4364">
                    <w:rPr>
                      <w:rFonts w:hint="eastAsia"/>
                    </w:rPr>
                    <w:t>：</w:t>
                  </w:r>
                  <w:r>
                    <w:rPr>
                      <w:rFonts w:hint="eastAsia"/>
                    </w:rPr>
                    <w:t xml:space="preserve"> </w:t>
                  </w:r>
                  <w:r>
                    <w:rPr>
                      <w:rFonts w:hint="eastAsia"/>
                    </w:rPr>
                    <w:t>内外径比</w:t>
                  </w:r>
                  <w:r>
                    <w:rPr>
                      <w:rFonts w:hint="eastAsia"/>
                    </w:rPr>
                    <w:t xml:space="preserve"> </w:t>
                  </w:r>
                  <m:oMath>
                    <m:f>
                      <m:fPr>
                        <m:type m:val="lin"/>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O</m:t>
                            </m:r>
                          </m:sub>
                        </m:sSub>
                      </m:num>
                      <m:den>
                        <m:sSub>
                          <m:sSubPr>
                            <m:ctrlPr>
                              <w:rPr>
                                <w:rFonts w:ascii="Cambria Math" w:hAnsi="Cambria Math"/>
                              </w:rPr>
                            </m:ctrlPr>
                          </m:sSubPr>
                          <m:e>
                            <m:r>
                              <w:rPr>
                                <w:rFonts w:ascii="Cambria Math" w:hAnsi="Cambria Math"/>
                              </w:rPr>
                              <m:t>D</m:t>
                            </m:r>
                          </m:e>
                          <m:sub>
                            <m:r>
                              <w:rPr>
                                <w:rFonts w:ascii="Cambria Math" w:hAnsi="Cambria Math"/>
                              </w:rPr>
                              <m:t>I</m:t>
                            </m:r>
                          </m:sub>
                        </m:sSub>
                      </m:den>
                    </m:f>
                  </m:oMath>
                </w:p>
                <w:p w14:paraId="66978069" w14:textId="77777777" w:rsidR="003B0864" w:rsidRPr="00DC4364" w:rsidRDefault="003B0864" w:rsidP="00F87ADB">
                  <w:pPr>
                    <w:tabs>
                      <w:tab w:val="left" w:pos="426"/>
                    </w:tabs>
                  </w:pPr>
                  <m:oMath>
                    <m:r>
                      <w:rPr>
                        <w:rFonts w:ascii="Cambria Math" w:hAnsi="Cambria Math"/>
                      </w:rPr>
                      <m:t>α</m:t>
                    </m:r>
                  </m:oMath>
                  <w:r w:rsidRPr="00773A1D">
                    <w:rPr>
                      <w:rFonts w:hint="eastAsia"/>
                    </w:rPr>
                    <w:tab/>
                  </w:r>
                  <w:r w:rsidRPr="00DC4364">
                    <w:rPr>
                      <w:rFonts w:hint="eastAsia"/>
                    </w:rPr>
                    <w:t>：</w:t>
                  </w:r>
                  <w:r>
                    <w:rPr>
                      <w:rFonts w:hint="eastAsia"/>
                    </w:rPr>
                    <w:t xml:space="preserve"> </w:t>
                  </w:r>
                  <w:r w:rsidRPr="00DC4364">
                    <w:rPr>
                      <w:rFonts w:hint="eastAsia"/>
                    </w:rPr>
                    <w:t>最大</w:t>
                  </w:r>
                  <w:r w:rsidRPr="00E8619C">
                    <w:rPr>
                      <w:rFonts w:ascii="Cambria Math" w:hAnsi="Cambria Math"/>
                    </w:rPr>
                    <w:t>10°</w:t>
                  </w:r>
                </w:p>
              </w:txbxContent>
            </v:textbox>
          </v:shape>
        </w:pict>
      </w:r>
      <w:r>
        <w:rPr>
          <w:noProof/>
        </w:rPr>
      </w:r>
      <w:r>
        <w:rPr>
          <w:noProof/>
        </w:rPr>
        <w:pict w14:anchorId="4A28B4F5">
          <v:group id="キャンバス 11420" o:spid="_x0000_s1723" editas="canvas" style="width:261.25pt;height:317.1pt;mso-position-horizontal-relative:char;mso-position-vertical-relative:line" coordsize="33178,40271">
            <v:shape id="_x0000_s1724" type="#_x0000_t75" style="position:absolute;width:33178;height:40271;visibility:visible">
              <v:fill o:detectmouseclick="t"/>
              <v:path o:connecttype="none"/>
            </v:shape>
            <v:rect id="Rectangle 11422" o:spid="_x0000_s1725" style="position:absolute;top:37985;width:673;height:228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" filled="f" stroked="f">
              <v:textbox style="mso-fit-shape-to-text:t" inset="0,0,0,0">
                <w:txbxContent>
                  <w:p w14:paraId="1A7F26B4" w14:textId="77777777" w:rsidR="003B0864" w:rsidRDefault="003B0864" w:rsidP="00F87ADB">
                    <w:r>
                      <w:rPr>
                        <w:rFonts w:cs="Century"/>
                        <w:color w:val="000000"/>
                      </w:rPr>
                      <w:t xml:space="preserve"> </w:t>
                    </w:r>
                  </w:p>
                </w:txbxContent>
              </v:textbox>
            </v:rect>
            <v:rect id="Rectangle 11423" o:spid="_x0000_s1726" style="position:absolute;left:21901;top:15265;width:1987;height:229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" filled="f" stroked="f">
              <v:textbox style="mso-fit-shape-to-text:t" inset="0,0,0,0">
                <w:txbxContent>
                  <w:p w14:paraId="639221DA" w14:textId="77777777" w:rsidR="003B0864" w:rsidRPr="000A0B7C" w:rsidRDefault="003B0864" w:rsidP="00F87ADB">
                    <w:pPr>
                      <w:rPr>
                        <w:rFonts w:ascii="Cambria Math" w:hAnsi="Cambria Math"/>
                      </w:rPr>
                    </w:pPr>
                    <w:r w:rsidRPr="000A0B7C">
                      <w:rPr>
                        <w:rFonts w:ascii="Cambria Math" w:hAnsi="Cambria Math"/>
                        <w:color w:val="000000"/>
                        <w:szCs w:val="22"/>
                      </w:rPr>
                      <w:t>45°</w:t>
                    </w:r>
                  </w:p>
                </w:txbxContent>
              </v:textbox>
            </v:rect>
            <v:rect id="Rectangle 11424" o:spid="_x0000_s1727" style="position:absolute;left:9334;top:21717;width:845;height:229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" filled="f" stroked="f">
              <v:textbox style="mso-fit-shape-to-text:t" inset="0,0,0,0">
                <w:txbxContent>
                  <w:p w14:paraId="6EFABC12" w14:textId="77777777" w:rsidR="003B0864" w:rsidRPr="007E3720" w:rsidRDefault="003B0864" w:rsidP="00F87ADB">
                    <w:pPr>
                      <w:rPr>
                        <w:rFonts w:ascii="ＭＳ 明朝"/>
                        <w:i/>
                      </w:rPr>
                    </w:pPr>
                    <m:oMathPara>
                      <m:oMath>
                        <m:r>
                          <w:rPr>
                            <w:rFonts w:ascii="Cambria Math" w:hAnsi="Cambria Math"/>
                          </w:rPr>
                          <m:t>α</m:t>
                        </m:r>
                      </m:oMath>
                    </m:oMathPara>
                  </w:p>
                </w:txbxContent>
              </v:textbox>
            </v:rect>
            <v:rect id="Rectangle 11425" o:spid="_x0000_s1728" style="position:absolute;left:20891;top:27895;width:1149;height:229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" stroked="f">
              <v:textbox style="mso-fit-shape-to-text:t" inset="0,0,0,0">
                <w:txbxContent>
                  <w:p w14:paraId="48378DAB" w14:textId="77777777" w:rsidR="003B0864" w:rsidRPr="00207960" w:rsidRDefault="00A51873" w:rsidP="00F87ADB">
                    <w:pPr>
                      <w:rPr>
                        <w:rFonts w:ascii="Cambria Math" w:hAnsi="Cambria Math"/>
                        <w:i/>
                      </w:rPr>
                    </w:pPr>
                    <m:oMathPara>
                      <m:oMath>
                        <m:sSub>
                          <m:sSubPr>
                            <m:ctrlPr>
                              <w:rPr>
                                <w:rFonts w:ascii="Cambria Math" w:hAnsi="Cambria Math"/>
                              </w:rPr>
                            </m:ctrlPr>
                          </m:sSubPr>
                          <m:e>
                            <m:r>
                              <w:rPr>
                                <w:rFonts w:ascii="Cambria Math" w:hAnsi="Cambria Math"/>
                              </w:rPr>
                              <m:t>t</m:t>
                            </m:r>
                          </m:e>
                          <m:sub>
                            <m:r>
                              <w:rPr>
                                <w:rFonts w:ascii="Cambria Math" w:hAnsi="Cambria Math"/>
                              </w:rPr>
                              <m:t>b</m:t>
                            </m:r>
                          </m:sub>
                        </m:sSub>
                      </m:oMath>
                    </m:oMathPara>
                  </w:p>
                </w:txbxContent>
              </v:textbox>
            </v:rect>
            <v:rect id="Rectangle 11426" o:spid="_x0000_s1729" style="position:absolute;left:6642;top:29933;width:2076;height:229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" filled="f" stroked="f">
              <v:textbox style="mso-fit-shape-to-text:t" inset="0,0,0,0">
                <w:txbxContent>
                  <w:p w14:paraId="157F9412" w14:textId="77777777" w:rsidR="003B0864" w:rsidRPr="00207960" w:rsidRDefault="00A51873" w:rsidP="00F87ADB">
                    <w:pPr>
                      <w:rPr>
                        <w:rFonts w:ascii="Cambria Math" w:hAnsi="Cambria Math"/>
                        <w:i/>
                      </w:rPr>
                    </w:pPr>
                    <m:oMathPara>
                      <m:oMath>
                        <m:sSub>
                          <m:sSubPr>
                            <m:ctrlPr>
                              <w:rPr>
                                <w:rFonts w:ascii="Cambria Math" w:hAnsi="Cambria Math"/>
                              </w:rPr>
                            </m:ctrlPr>
                          </m:sSubPr>
                          <m:e>
                            <m:r>
                              <w:rPr>
                                <w:rFonts w:ascii="Cambria Math" w:hAnsi="Cambria Math"/>
                              </w:rPr>
                              <m:t>D</m:t>
                            </m:r>
                          </m:e>
                          <m:sub>
                            <m:r>
                              <w:rPr>
                                <w:rFonts w:ascii="Cambria Math" w:hAnsi="Cambria Math"/>
                              </w:rPr>
                              <m:t>op</m:t>
                            </m:r>
                          </m:sub>
                        </m:sSub>
                      </m:oMath>
                    </m:oMathPara>
                  </w:p>
                </w:txbxContent>
              </v:textbox>
            </v:rect>
            <v:rect id="Rectangle 11427" o:spid="_x0000_s1730" style="position:absolute;left:6216;top:3200;width:241;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" fillcolor="black" stroked="f"/>
            <v:rect id="Rectangle 11428" o:spid="_x0000_s1731" style="position:absolute;left:6216;top:4343;width:241;height:10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" fillcolor="black" stroked="f"/>
            <v:rect id="Rectangle 11429" o:spid="_x0000_s1732" style="position:absolute;left:6216;top:6515;width:241;height:10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" fillcolor="black" stroked="f"/>
            <v:rect id="Rectangle 11430" o:spid="_x0000_s1733" style="position:absolute;left:6216;top:8686;width:241;height:10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" fillcolor="black" stroked="f"/>
            <v:rect id="Rectangle 11431" o:spid="_x0000_s1734" style="position:absolute;left:6216;top:10864;width:241;height:10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" fillcolor="black" stroked="f"/>
            <v:rect id="Rectangle 11432" o:spid="_x0000_s1735" style="position:absolute;left:6216;top:13036;width:241;height:10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" fillcolor="black" stroked="f"/>
            <v:rect id="Rectangle 11433" o:spid="_x0000_s1736" style="position:absolute;left:6216;top:15208;width:241;height:10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" fillcolor="black" stroked="f"/>
            <v:rect id="Rectangle 11434" o:spid="_x0000_s1737" style="position:absolute;left:6216;top:17379;width:241;height:10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" fillcolor="black" stroked="f"/>
            <v:rect id="Rectangle 11435" o:spid="_x0000_s1738" style="position:absolute;left:6216;top:19551;width:241;height:10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" fillcolor="black" stroked="f"/>
            <v:rect id="Rectangle 11436" o:spid="_x0000_s1739" style="position:absolute;left:6216;top:21723;width:241;height:10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" fillcolor="black" stroked="f"/>
            <v:rect id="Rectangle 11437" o:spid="_x0000_s1740" style="position:absolute;left:6216;top:23895;width:241;height:10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" fillcolor="black" stroked="f"/>
            <v:rect id="Rectangle 11438" o:spid="_x0000_s1741" style="position:absolute;left:6216;top:26066;width:241;height:10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" fillcolor="black" stroked="f"/>
            <v:rect id="Rectangle 11439" o:spid="_x0000_s1742" style="position:absolute;left:6216;top:28244;width:241;height:10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" fillcolor="black" stroked="f"/>
            <v:rect id="Rectangle 11440" o:spid="_x0000_s1743" style="position:absolute;left:6216;top:30416;width:241;height:10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" fillcolor="black" stroked="f"/>
            <v:rect id="Rectangle 11441" o:spid="_x0000_s1744" style="position:absolute;left:6216;top:32588;width:241;height:10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" fillcolor="black" stroked="f"/>
            <v:rect id="Rectangle 11442" o:spid="_x0000_s1745" style="position:absolute;left:6216;top:3619;width:241;height:3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" fillcolor="black" stroked="f"/>
            <v:rect id="Rectangle 11443" o:spid="_x0000_s1746" style="position:absolute;left:6216;top:5791;width:241;height:3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" fillcolor="black" stroked="f"/>
            <v:rect id="Rectangle 11444" o:spid="_x0000_s1747" style="position:absolute;left:6216;top:7962;width:241;height:3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" fillcolor="black" stroked="f"/>
            <v:rect id="Rectangle 11445" o:spid="_x0000_s1748" style="position:absolute;left:6216;top:10140;width:241;height:3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" fillcolor="black" stroked="f"/>
            <v:rect id="Rectangle 11446" o:spid="_x0000_s1749" style="position:absolute;left:6216;top:12312;width:241;height:3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" fillcolor="black" stroked="f"/>
            <v:rect id="Rectangle 11447" o:spid="_x0000_s1750" style="position:absolute;left:6216;top:14484;width:241;height:3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" fillcolor="black" stroked="f"/>
            <v:rect id="Rectangle 11448" o:spid="_x0000_s1751" style="position:absolute;left:6216;top:16656;width:241;height:3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" fillcolor="black" stroked="f"/>
            <v:rect id="Rectangle 11449" o:spid="_x0000_s1752" style="position:absolute;left:6216;top:18827;width:241;height:3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" fillcolor="black" stroked="f"/>
            <v:rect id="Rectangle 11450" o:spid="_x0000_s1753" style="position:absolute;left:6216;top:20999;width:241;height:3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" fillcolor="black" stroked="f"/>
            <v:rect id="Rectangle 11451" o:spid="_x0000_s1754" style="position:absolute;left:6216;top:23171;width:241;height:3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" fillcolor="black" stroked="f"/>
            <v:rect id="Rectangle 11452" o:spid="_x0000_s1755" style="position:absolute;left:6216;top:25342;width:241;height:3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" fillcolor="black" stroked="f"/>
            <v:rect id="Rectangle 11453" o:spid="_x0000_s1756" style="position:absolute;left:6216;top:27514;width:241;height:3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" fillcolor="black" stroked="f"/>
            <v:rect id="Rectangle 11454" o:spid="_x0000_s1757" style="position:absolute;left:6216;top:29692;width:241;height:3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" fillcolor="black" stroked="f"/>
            <v:rect id="Rectangle 11455" o:spid="_x0000_s1758" style="position:absolute;left:6216;top:31864;width:241;height:3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" fillcolor="black" stroked="f"/>
            <v:rect id="Rectangle 11456" o:spid="_x0000_s1759" style="position:absolute;left:6216;top:34036;width:241;height:2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" fillcolor="black" stroked="f"/>
            <v:rect id="Rectangle 11457" o:spid="_x0000_s1760" style="position:absolute;left:6216;top:34759;width:241;height:10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" fillcolor="black" stroked="f"/>
            <v:rect id="Rectangle 11458" o:spid="_x0000_s1761" style="position:absolute;left:26752;top:4768;width:241;height:280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" fillcolor="black" stroked="f"/>
            <v:rect id="Rectangle 11459" o:spid="_x0000_s1762" style="position:absolute;left:20478;top:8235;width:242;height:116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" fillcolor="black" stroked="f"/>
            <v:line id="Line 11460" o:spid="_x0000_s1763" style="position:absolute;visibility:visible" from="18884,13277" to="18884,23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" strokeweight="0"/>
            <v:rect id="Rectangle 11461" o:spid="_x0000_s1764" style="position:absolute;left:18884;top:13277;width:121;height:101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" fillcolor="black" stroked="f"/>
            <v:rect id="Rectangle 11462" o:spid="_x0000_s1765" style="position:absolute;left:11525;top:26066;width:241;height:10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" fillcolor="black" stroked="f"/>
            <v:rect id="Rectangle 11463" o:spid="_x0000_s1766" style="position:absolute;left:11525;top:27514;width:241;height:10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" fillcolor="black" stroked="f"/>
            <v:rect id="Rectangle 11464" o:spid="_x0000_s1767" style="position:absolute;left:11525;top:28968;width:241;height:10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" fillcolor="black" stroked="f"/>
            <v:rect id="Rectangle 11465" o:spid="_x0000_s1768" style="position:absolute;left:11525;top:30416;width:241;height:10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" fillcolor="black" stroked="f"/>
            <v:rect id="Rectangle 11466" o:spid="_x0000_s1769" style="position:absolute;left:11525;top:31864;width:241;height:10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" fillcolor="black" stroked="f"/>
            <v:rect id="Rectangle 11467" o:spid="_x0000_s1770" style="position:absolute;left:11525;top:33312;width:241;height:1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" fillcolor="black" stroked="f"/>
            <v:line id="Line 11468" o:spid="_x0000_s1771" style="position:absolute;visibility:visible" from="19005,23291" to="25698,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" strokeweight="0"/>
            <v:rect id="Rectangle 11469" o:spid="_x0000_s1772" style="position:absolute;left:19005;top:23291;width:6693;height:1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" fillcolor="black" stroked="f"/>
            <v:line id="Line 11470" o:spid="_x0000_s1773" style="position:absolute;visibility:visible" from="6457,24860" to="21717,2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" strokeweight="0"/>
            <v:rect id="Rectangle 11471" o:spid="_x0000_s1774" style="position:absolute;left:6457;top:24860;width:15260;height: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" fillcolor="black" stroked="f"/>
            <v:rect id="Rectangle 11472" o:spid="_x0000_s1775" style="position:absolute;left:6216;top:34334;width:17761;height:2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" fillcolor="black" stroked="f"/>
            <v:shape id="Freeform 11473" o:spid="_x0000_s1776" style="position:absolute;left:20542;top:4889;width:6274;height:3378;visibility:visible;mso-wrap-style:square;v-text-anchor:top" coordsize="98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" path="m,532l24,518,47,508r48,-9l147,489r52,-14l218,427r19,-38l256,351r24,-28l337,275r62,-33l465,214r72,-19l613,171r80,-24l717,114,750,95,788,81,826,66r43,-9l912,47,955,28,988,e" filled="f" strokeweight=".7pt">
              <v:path arrowok="t" o:connecttype="custom" o:connectlocs="0,337820;15240,328930;29845,322580;60325,316865;93345,310515;126365,301625;138430,271145;150495,247015;162560,222885;177800,205105;213995,174625;253365,153670;295275,135890;340995,123825;389255,108585;440055,93345;455295,72390;476250,60325;500380,51435;524510,41910;551815,36195;579120,29845;606425,17780;627380,0" o:connectangles="0,0,0,0,0,0,0,0,0,0,0,0,0,0,0,0,0,0,0,0,0,0,0,0"/>
            </v:shape>
            <v:shape id="Freeform 11474" o:spid="_x0000_s1777" style="position:absolute;left:23831;top:32734;width:3016;height:1752;visibility:visible;mso-wrap-style:square;v-text-anchor:top" coordsize="47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" path="m,248r9,28l475,29,465,,,248xe" fillcolor="black" stroked="f">
              <v:path arrowok="t" o:connecttype="custom" o:connectlocs="0,157480;5715,175260;301625,18415;295275,0;0,157480" o:connectangles="0,0,0,0,0"/>
            </v:shape>
            <v:group id="Group 11475" o:spid="_x0000_s1778" style="position:absolute;left:8915;top:30778;width:2654;height:991" coordorigin="1377,4847" coordsize="41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line id="Line 11476" o:spid="_x0000_s1779" style="position:absolute;visibility:visible" from="1377,4923" to="1648,4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" strokeweight=".7pt"/>
              <v:shape id="Freeform 11477" o:spid="_x0000_s1780" style="position:absolute;left:1639;top:4847;width:156;height:156;visibility:visible;mso-wrap-style:square;v-text-anchor:top"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" path="m,156l156,76,,,,156xe" fillcolor="black" stroked="f">
                <v:path arrowok="t" o:connecttype="custom" o:connectlocs="0,156;156,76;0,0;0,156" o:connectangles="0,0,0,0"/>
              </v:shape>
            </v:group>
            <v:line id="Line 11478" o:spid="_x0000_s1781" style="position:absolute;flip:y;visibility:visible" from="18884,17983" to="24130,2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" strokeweight=".7pt"/>
            <v:line id="Line 11479" o:spid="_x0000_s1782" style="position:absolute;flip:x;visibility:visible" from="15322,23564" to="18884,2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" strokeweight=".7pt"/>
            <v:group id="Group 11480" o:spid="_x0000_s1783" style="position:absolute;left:16440;top:21723;width:2349;height:1568" coordorigin="2584,3421" coordsize="37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line id="Line 11481" o:spid="_x0000_s1784" style="position:absolute;visibility:visible" from="2584,3421" to="2836,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" strokeweight=".7pt"/>
              <v:shape id="Freeform 11482" o:spid="_x0000_s1785" style="position:absolute;left:2783;top:3521;width:171;height:147;visibility:visible;mso-wrap-style:square;v-text-anchor:top" coordsize="17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" path="m,128r171,19l86,,,128xe" fillcolor="black" stroked="f">
                <v:path arrowok="t" o:connecttype="custom" o:connectlocs="0,128;171,147;86,0;0,128" o:connectangles="0,0,0,0"/>
              </v:shape>
            </v:group>
            <v:shape id="Freeform 11483" o:spid="_x0000_s1786" style="position:absolute;left:6362;top:24771;width:9684;height:1899;visibility:visible;mso-wrap-style:square;v-text-anchor:top" coordsize="152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" path="m,271r5,28l1525,29,1520,,,271xe" fillcolor="black" stroked="f">
              <v:path arrowok="t" o:connecttype="custom" o:connectlocs="0,172085;3175,189865;968375,18415;965200,0;0,172085" o:connectangles="0,0,0,0,0"/>
            </v:shape>
            <v:shape id="Freeform 11484" o:spid="_x0000_s1787" style="position:absolute;left:15925;top:23412;width:3201;height:1543;visibility:visible;mso-wrap-style:square;v-text-anchor:top" coordsize="50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" path="m,214r5,29l143,200,280,162r34,-19l318,143r43,-24l375,105,394,95r10,-4l404,86r9,l432,62,418,53r10,14l447,53,470,38,504,24,489,,456,14,432,29,413,43r-4,5l390,72r9,4l394,67r-4,l380,72r-19,9l347,95r-43,24l309,129r,-15l276,133,138,171,,214xe" fillcolor="black" stroked="f">
              <v:path arrowok="t" o:connecttype="custom" o:connectlocs="0,135890;3175,154305;90805,127000;177800,102870;199390,90805;201930,90805;229235,75565;238125,66675;250190,60325;256540,57785;256540,57785;256540,54610;262255,54610;274320,39370;265430,33655;271780,42545;283845,33655;298450,24130;320040,15240;310515,0;289560,8890;274320,18415;262255,27305;259715,30480;247650,45720;253365,48260;250190,42545;247650,42545;241300,45720;229235,51435;220345,60325;193040,75565;196215,81915;196215,72390;175260,84455;87630,108585;0,135890" o:connectangles="0,0,0,0,0,0,0,0,0,0,0,0,0,0,0,0,0,0,0,0,0,0,0,0,0,0,0,0,0,0,0,0,0,0,0,0,0"/>
            </v:shape>
            <v:shape id="Freeform 11485" o:spid="_x0000_s1788" style="position:absolute;left:18910;top:19824;width:1810;height:3709;visibility:visible;mso-wrap-style:square;v-text-anchor:top" coordsize="285,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" path="m271,l243,5r9,38l257,85r14,-4l257,81r-5,76l233,237r-33,72l214,313r-9,-9l162,375r-52,71l57,508,,565r19,19l81,522r52,-61l186,389r42,-71l228,313r34,-71l281,161r4,-76l285,81,281,38,271,xe" fillcolor="black" stroked="f">
              <v:path arrowok="t" o:connecttype="custom" o:connectlocs="172085,0;154305,3175;160020,27305;163195,53975;172085,51435;163195,51435;160020,99695;147955,150495;127000,196215;135890,198755;130175,193040;102870,238125;69850,283210;36195,322580;0,358775;12065,370840;51435,331470;84455,292735;118110,247015;144780,201930;144780,198755;166370,153670;178435,102235;180975,53975;180975,51435;180975,51435;178435,24130;172085,0" o:connectangles="0,0,0,0,0,0,0,0,0,0,0,0,0,0,0,0,0,0,0,0,0,0,0,0,0,0,0,0"/>
            </v:shape>
            <v:group id="Group 11486" o:spid="_x0000_s1789" style="position:absolute;left:8051;top:22599;width:997;height:2204" coordorigin="1263,3559" coordsize="157,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line id="Line 11487" o:spid="_x0000_s1790" style="position:absolute;visibility:visible" from="1339,3559" to="1339,3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" strokeweight=".7pt"/>
              <v:shape id="Freeform 11488" o:spid="_x0000_s1791" style="position:absolute;left:1263;top:3749;width:157;height:157;visibility:visible;mso-wrap-style:square;v-text-anchor:top" coordsize="15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" path="m,l76,157,157,,,xe" fillcolor="black" stroked="f">
                <v:path arrowok="t" o:connecttype="custom" o:connectlocs="0,0;76,157;157,0;0,0" o:connectangles="0,0,0,0"/>
              </v:shape>
            </v:group>
            <v:group id="Group 11489" o:spid="_x0000_s1792" style="position:absolute;left:8451;top:26079;width:940;height:2172" coordorigin="1396,4077" coordsize="148,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line id="Line 11490" o:spid="_x0000_s1793" style="position:absolute;flip:x y;visibility:visible" from="1468,4210" to="1529,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" strokeweight=".7pt"/>
              <v:shape id="Freeform 11491" o:spid="_x0000_s1794" style="position:absolute;left:1396;top:4077;width:148;height:176;visibility:visible;mso-wrap-style:square;v-text-anchor:top" coordsize="14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" path="m148,123l29,,,176,148,123xe" fillcolor="black" stroked="f">
                <v:path arrowok="t" o:connecttype="custom" o:connectlocs="148,123;29,0;0,176;148,123" o:connectangles="0,0,0,0"/>
              </v:shape>
            </v:group>
            <v:line id="Line 11492" o:spid="_x0000_s1795" style="position:absolute;rotation:-1054363fd;visibility:visible" from="22669,17145" to="24003,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">
              <v:stroke endarrow="block"/>
            </v:line>
            <v:line id="Line 11493" o:spid="_x0000_s1796" style="position:absolute;rotation:10;flip:x y;visibility:visible" from="20656,17145" to="22656,17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">
              <v:stroke endarrow="block"/>
            </v:line>
            <v:shape id="Text Box 11494" o:spid="_x0000_s1797" type="#_x0000_t202" style="position:absolute;left:14287;top:5334;width:3334;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" filled="f" stroked="f">
              <v:textbox inset="5.85pt,.7pt,5.85pt,.7pt">
                <w:txbxContent>
                  <w:p w14:paraId="38BF7007" w14:textId="77777777" w:rsidR="003B0864" w:rsidRPr="00207960" w:rsidRDefault="00A51873" w:rsidP="00F87ADB">
                    <w:pPr>
                      <w:rPr>
                        <w:rFonts w:ascii="Cambria Math" w:hAnsi="Cambria Math"/>
                      </w:rPr>
                    </w:pPr>
                    <m:oMathPara>
                      <m:oMath>
                        <m:sSub>
                          <m:sSubPr>
                            <m:ctrlPr>
                              <w:rPr>
                                <w:rFonts w:ascii="Cambria Math" w:hAnsi="Cambria Math"/>
                              </w:rPr>
                            </m:ctrlPr>
                          </m:sSubPr>
                          <m:e>
                            <m:r>
                              <w:rPr>
                                <w:rFonts w:ascii="Cambria Math" w:hAnsi="Cambria Math"/>
                              </w:rPr>
                              <m:t>D</m:t>
                            </m:r>
                          </m:e>
                          <m:sub>
                            <m:r>
                              <w:rPr>
                                <w:rFonts w:ascii="Cambria Math" w:hAnsi="Cambria Math"/>
                              </w:rPr>
                              <m:t>O</m:t>
                            </m:r>
                          </m:sub>
                        </m:sSub>
                      </m:oMath>
                    </m:oMathPara>
                  </w:p>
                </w:txbxContent>
              </v:textbox>
            </v:shape>
            <v:rect id="Rectangle 11495" o:spid="_x0000_s1798" style="position:absolute;left:14001;top:6858;width:667;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" stroked="f">
              <v:textbox inset="5.85pt,.7pt,5.85pt,.7pt"/>
            </v:rect>
            <v:shape id="Text Box 11496" o:spid="_x0000_s1799" type="#_x0000_t202" style="position:absolute;left:13214;top:9093;width:4000;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" filled="f" stroked="f">
              <v:textbox inset="5.85pt,.7pt,5.85pt,.7pt">
                <w:txbxContent>
                  <w:p w14:paraId="723FAB4C" w14:textId="77777777" w:rsidR="003B0864" w:rsidRPr="00E8619C" w:rsidRDefault="00A51873" w:rsidP="00F87ADB">
                    <m:oMathPara>
                      <m:oMath>
                        <m:sSub>
                          <m:sSubPr>
                            <m:ctrlPr>
                              <w:rPr>
                                <w:rFonts w:ascii="Cambria Math" w:hAnsi="Cambria Math"/>
                              </w:rPr>
                            </m:ctrlPr>
                          </m:sSubPr>
                          <m:e>
                            <m:r>
                              <w:rPr>
                                <w:rFonts w:ascii="Cambria Math" w:hAnsi="Cambria Math"/>
                              </w:rPr>
                              <m:t>D</m:t>
                            </m:r>
                          </m:e>
                          <m:sub>
                            <m:r>
                              <w:rPr>
                                <w:rFonts w:ascii="Cambria Math" w:hAnsi="Cambria Math"/>
                              </w:rPr>
                              <m:t>I</m:t>
                            </m:r>
                          </m:sub>
                        </m:sSub>
                      </m:oMath>
                    </m:oMathPara>
                  </w:p>
                </w:txbxContent>
              </v:textbox>
            </v:shape>
            <v:shape id="Text Box 11497" o:spid="_x0000_s1800" type="#_x0000_t202" style="position:absolute;left:10788;top:14039;width:4001;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" filled="f" stroked="f">
              <v:textbox inset="5.85pt,.7pt,5.85pt,.7pt">
                <w:txbxContent>
                  <w:p w14:paraId="5BD698A8" w14:textId="77777777" w:rsidR="003B0864" w:rsidRPr="00207960" w:rsidRDefault="00A51873" w:rsidP="00F87ADB">
                    <w:pPr>
                      <w:rPr>
                        <w:rFonts w:ascii="Cambria Math" w:hAnsi="Cambria Math"/>
                        <w:i/>
                      </w:rPr>
                    </w:pPr>
                    <m:oMathPara>
                      <m:oMath>
                        <m:sSub>
                          <m:sSubPr>
                            <m:ctrlPr>
                              <w:rPr>
                                <w:rFonts w:ascii="Cambria Math" w:hAnsi="Cambria Math"/>
                              </w:rPr>
                            </m:ctrlPr>
                          </m:sSubPr>
                          <m:e>
                            <m:r>
                              <w:rPr>
                                <w:rFonts w:ascii="Cambria Math" w:hAnsi="Cambria Math"/>
                              </w:rPr>
                              <m:t>D</m:t>
                            </m:r>
                          </m:e>
                          <m:sub>
                            <m:r>
                              <w:rPr>
                                <w:rFonts w:ascii="Cambria Math" w:hAnsi="Cambria Math"/>
                              </w:rPr>
                              <m:t>c</m:t>
                            </m:r>
                          </m:sub>
                        </m:sSub>
                      </m:oMath>
                    </m:oMathPara>
                  </w:p>
                </w:txbxContent>
              </v:textbox>
            </v:shape>
            <v:shape id="Text Box 11498" o:spid="_x0000_s1801" type="#_x0000_t202" style="position:absolute;left:13614;top:19538;width:4000;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" filled="f" stroked="f">
              <v:textbox inset="5.85pt,.7pt,5.85pt,.7pt">
                <w:txbxContent>
                  <w:p w14:paraId="0F91D76F" w14:textId="77777777" w:rsidR="003B0864" w:rsidRPr="000A0B7C" w:rsidRDefault="00A51873" w:rsidP="00F87ADB">
                    <m:oMathPara>
                      <m:oMath>
                        <m:sSub>
                          <m:sSubPr>
                            <m:ctrlPr>
                              <w:rPr>
                                <w:rFonts w:ascii="Cambria Math" w:hAnsi="Cambria Math"/>
                              </w:rPr>
                            </m:ctrlPr>
                          </m:sSubPr>
                          <m:e>
                            <m:r>
                              <w:rPr>
                                <w:rFonts w:ascii="Cambria Math" w:hAnsi="Cambria Math" w:hint="eastAsia"/>
                              </w:rPr>
                              <m:t>R</m:t>
                            </m:r>
                          </m:e>
                          <m:sub>
                            <m:r>
                              <w:rPr>
                                <w:rFonts w:ascii="Cambria Math" w:hAnsi="Cambria Math"/>
                              </w:rPr>
                              <m:t>c</m:t>
                            </m:r>
                          </m:sub>
                        </m:sSub>
                      </m:oMath>
                    </m:oMathPara>
                  </w:p>
                </w:txbxContent>
              </v:textbox>
            </v:shape>
            <v:shape id="Text Box 11499" o:spid="_x0000_s1802" type="#_x0000_t202" style="position:absolute;left:21844;top:9017;width:3333;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" stroked="f">
              <v:textbox inset="5.85pt,.7pt,5.85pt,.7pt">
                <w:txbxContent>
                  <w:p w14:paraId="215FEF99" w14:textId="77777777" w:rsidR="003B0864" w:rsidRPr="00207960" w:rsidRDefault="00A51873" w:rsidP="00F87ADB">
                    <w:pPr>
                      <w:rPr>
                        <w:rFonts w:ascii="Cambria Math" w:hAnsi="Cambria Math"/>
                        <w:i/>
                      </w:rPr>
                    </w:pPr>
                    <m:oMathPara>
                      <m:oMath>
                        <m:sSub>
                          <m:sSubPr>
                            <m:ctrlPr>
                              <w:rPr>
                                <w:rFonts w:ascii="Cambria Math" w:hAnsi="Cambria Math"/>
                              </w:rPr>
                            </m:ctrlPr>
                          </m:sSubPr>
                          <m:e>
                            <m:r>
                              <w:rPr>
                                <w:rFonts w:ascii="Cambria Math" w:hAnsi="Cambria Math"/>
                              </w:rPr>
                              <m:t>t</m:t>
                            </m:r>
                          </m:e>
                          <m:sub>
                            <m:r>
                              <w:rPr>
                                <w:rFonts w:ascii="Cambria Math" w:hAnsi="Cambria Math"/>
                              </w:rPr>
                              <m:t>w</m:t>
                            </m:r>
                          </m:sub>
                        </m:sSub>
                      </m:oMath>
                    </m:oMathPara>
                  </w:p>
                </w:txbxContent>
              </v:textbox>
            </v:shape>
            <v:shape id="Text Box 11500" o:spid="_x0000_s1803" type="#_x0000_t202" style="position:absolute;left:22701;top:27038;width:2559;height:247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" stroked="f">
              <v:textbox style="mso-fit-shape-to-text:t" inset="5.85pt,.7pt,5.85pt,.7pt">
                <w:txbxContent>
                  <w:p w14:paraId="1D63AA51" w14:textId="77777777" w:rsidR="003B0864" w:rsidRPr="00207960" w:rsidRDefault="00A51873" w:rsidP="00F87ADB">
                    <w:pPr>
                      <w:jc w:val="center"/>
                      <w:rPr>
                        <w:rFonts w:ascii="Cambria Math" w:hAnsi="Cambria Math"/>
                        <w:i/>
                      </w:rPr>
                    </w:pPr>
                    <m:oMathPara>
                      <m:oMath>
                        <m:sSub>
                          <m:sSubPr>
                            <m:ctrlPr>
                              <w:rPr>
                                <w:rFonts w:ascii="Cambria Math" w:hAnsi="Cambria Math"/>
                              </w:rPr>
                            </m:ctrlPr>
                          </m:sSubPr>
                          <m:e>
                            <m:r>
                              <w:rPr>
                                <w:rFonts w:ascii="Cambria Math" w:hAnsi="Cambria Math"/>
                              </w:rPr>
                              <m:t>t</m:t>
                            </m:r>
                          </m:e>
                          <m:sub>
                            <m:r>
                              <w:rPr>
                                <w:rFonts w:ascii="Cambria Math" w:hAnsi="Cambria Math"/>
                              </w:rPr>
                              <m:t>c</m:t>
                            </m:r>
                          </m:sub>
                        </m:sSub>
                      </m:oMath>
                    </m:oMathPara>
                  </w:p>
                </w:txbxContent>
              </v:textbox>
            </v:shape>
            <v:line id="Line 11501" o:spid="_x0000_s1804" style="position:absolute;visibility:visible" from="24003,29718" to="24003,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">
              <v:stroke endarrow="block"/>
            </v:line>
            <v:line id="Line 11502" o:spid="_x0000_s1805" style="position:absolute;visibility:visible" from="21336,30861" to="21336,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">
              <v:stroke endarrow="block"/>
            </v:line>
            <v:line id="Line 11503" o:spid="_x0000_s1806" style="position:absolute;flip:y;visibility:visible" from="21336,25069" to="21342,27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">
              <v:stroke endarrow="block"/>
            </v:line>
            <v:line id="Line 11504" o:spid="_x0000_s1807" style="position:absolute;flip:y;visibility:visible" from="24003,23450" to="24009,26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">
              <v:stroke endarrow="block"/>
            </v:line>
            <v:line id="Line 11505" o:spid="_x0000_s1808" style="position:absolute;visibility:visible" from="26670,10287" to="31337,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" stroked="f">
              <v:stroke endarrow="block"/>
            </v:line>
            <v:line id="Line 11506" o:spid="_x0000_s1809" style="position:absolute;flip:x;visibility:visible" from="26841,10287" to="30175,10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">
              <v:stroke endarrow="block"/>
            </v:line>
            <v:line id="Line 11507" o:spid="_x0000_s1810" style="position:absolute;visibility:visible" from="16605,10287" to="20605,10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">
              <v:stroke endarrow="block"/>
            </v:line>
            <v:line id="Line 11508" o:spid="_x0000_s1811" style="position:absolute;visibility:visible" from="17703,6705" to="26670,6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">
              <v:stroke endarrow="block"/>
            </v:line>
            <v:line id="Line 11509" o:spid="_x0000_s1812" style="position:absolute;visibility:visible" from="14414,15265" to="18884,15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">
              <v:stroke endarrow="block"/>
            </v:line>
            <w10:anchorlock/>
          </v:group>
        </w:pict>
      </w:r>
    </w:p>
    <w:p w14:paraId="2A539FE6" w14:textId="77777777" w:rsidR="00F87ADB" w:rsidRPr="00BC31E0" w:rsidRDefault="00F87ADB" w:rsidP="00F50D00">
      <w:pPr>
        <w:pStyle w:val="af4"/>
      </w:pPr>
      <w:r w:rsidRPr="00BC31E0">
        <w:rPr>
          <w:rFonts w:hint="eastAsia"/>
        </w:rPr>
        <w:t>図</w:t>
      </w:r>
      <w:r w:rsidRPr="00BC31E0">
        <w:t>G.1</w:t>
      </w:r>
      <w:r w:rsidRPr="00BC31E0">
        <w:rPr>
          <w:rFonts w:hint="eastAsia"/>
        </w:rPr>
        <w:t xml:space="preserve">　厚肉容器の一体型平鏡板</w:t>
      </w:r>
    </w:p>
    <w:p w14:paraId="652A0854" w14:textId="77777777" w:rsidR="00F87ADB" w:rsidRPr="00BC31E0" w:rsidRDefault="00F87ADB" w:rsidP="00F87ADB">
      <w:pPr>
        <w:jc w:val="center"/>
        <w:rPr>
          <w:rFonts w:ascii="ＭＳ ゴシック" w:eastAsia="ＭＳ ゴシック"/>
          <w:b/>
        </w:rPr>
      </w:pPr>
      <w:r w:rsidRPr="00BC31E0">
        <w:rPr>
          <w:rFonts w:ascii="ＭＳ 明朝" w:hAnsi="ＭＳ 明朝"/>
          <w:b/>
        </w:rPr>
        <w:br w:type="page"/>
      </w:r>
      <w:r w:rsidRPr="00BC31E0">
        <w:rPr>
          <w:rFonts w:ascii="ＭＳ ゴシック" w:eastAsia="ＭＳ ゴシック"/>
          <w:b/>
          <w:noProof/>
        </w:rPr>
        <w:lastRenderedPageBreak/>
        <w:drawing>
          <wp:inline distT="0" distB="0" distL="0" distR="0" wp14:anchorId="16B2F6F2" wp14:editId="6AB85084">
            <wp:extent cx="4756785" cy="2768600"/>
            <wp:effectExtent l="0" t="0" r="0" b="0"/>
            <wp:docPr id="1570" name="図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86"/>
                    <pic:cNvPicPr>
                      <a:picLocks noChangeAspect="1" noChangeArrowheads="1"/>
                    </pic:cNvPicPr>
                  </pic:nvPicPr>
                  <pic:blipFill>
                    <a:blip r:embed="rId145" cstate="print"/>
                    <a:srcRect/>
                    <a:stretch>
                      <a:fillRect/>
                    </a:stretch>
                  </pic:blipFill>
                  <pic:spPr bwMode="auto">
                    <a:xfrm>
                      <a:off x="0" y="0"/>
                      <a:ext cx="4756785" cy="2768600"/>
                    </a:xfrm>
                    <a:prstGeom prst="rect">
                      <a:avLst/>
                    </a:prstGeom>
                    <a:noFill/>
                    <a:ln w="9525">
                      <a:noFill/>
                      <a:miter lim="800000"/>
                      <a:headEnd/>
                      <a:tailEnd/>
                    </a:ln>
                  </pic:spPr>
                </pic:pic>
              </a:graphicData>
            </a:graphic>
          </wp:inline>
        </w:drawing>
      </w:r>
    </w:p>
    <w:p w14:paraId="188E6D30" w14:textId="77777777" w:rsidR="00F87ADB" w:rsidRPr="00BC31E0" w:rsidRDefault="00F87ADB" w:rsidP="00F87ADB">
      <w:pPr>
        <w:jc w:val="center"/>
        <w:rPr>
          <w:rFonts w:ascii="ＭＳ ゴシック" w:eastAsia="ＭＳ ゴシック"/>
          <w:b/>
        </w:rPr>
      </w:pPr>
      <w:r w:rsidRPr="00BC31E0">
        <w:rPr>
          <w:rFonts w:ascii="ＭＳ ゴシック" w:eastAsia="ＭＳ ゴシック" w:hint="eastAsia"/>
          <w:b/>
        </w:rPr>
        <w:t>図</w:t>
      </w:r>
      <w:r w:rsidRPr="00BC31E0">
        <w:rPr>
          <w:rFonts w:ascii="ＭＳ ゴシック" w:eastAsia="ＭＳ ゴシック"/>
          <w:b/>
        </w:rPr>
        <w:t>G.2</w:t>
      </w:r>
      <w:r w:rsidRPr="00BC31E0">
        <w:rPr>
          <w:rFonts w:ascii="ＭＳ ゴシック" w:eastAsia="ＭＳ ゴシック" w:hint="eastAsia"/>
          <w:b/>
        </w:rPr>
        <w:t xml:space="preserve">　応力解析を必要としない薄肉容器の一体型平鏡板</w:t>
      </w:r>
    </w:p>
    <w:p w14:paraId="2AFF88C8" w14:textId="77777777" w:rsidR="00F87ADB" w:rsidRPr="00BC31E0" w:rsidRDefault="00F87ADB" w:rsidP="00F87ADB">
      <w:pPr>
        <w:rPr>
          <w:rFonts w:ascii="ＭＳ ゴシック" w:eastAsia="ＭＳ ゴシック"/>
          <w:b/>
        </w:rPr>
      </w:pPr>
    </w:p>
    <w:p w14:paraId="282F18EE" w14:textId="77777777" w:rsidR="00F87ADB" w:rsidRPr="00BC31E0" w:rsidRDefault="00A51873" w:rsidP="00F87ADB">
      <w:pPr>
        <w:jc w:val="center"/>
        <w:rPr>
          <w:rFonts w:ascii="ＭＳ ゴシック" w:eastAsia="ＭＳ ゴシック"/>
          <w:b/>
        </w:rPr>
      </w:pPr>
      <w:r>
        <w:rPr>
          <w:rFonts w:ascii="ＭＳ ゴシック" w:eastAsia="ＭＳ ゴシック"/>
          <w:b/>
          <w:noProof/>
        </w:rPr>
      </w:r>
      <w:r>
        <w:rPr>
          <w:rFonts w:ascii="ＭＳ ゴシック" w:eastAsia="ＭＳ ゴシック"/>
          <w:b/>
          <w:noProof/>
        </w:rPr>
        <w:pict w14:anchorId="6155897F">
          <v:group id="Group 11966" o:spid="_x0000_s1813" style="width:257.7pt;height:171.15pt;mso-position-horizontal-relative:char;mso-position-vertical-relative:line" coordorigin="799,7141" coordsize="5154,3423">
            <v:shape id="Picture 11967" o:spid="_x0000_s1814" type="#_x0000_t75" style="position:absolute;left:799;top:7333;width:5154;height:3231;rotation:-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">
              <v:imagedata r:id="rId146" o:title=""/>
            </v:shape>
            <v:shape id="Text Box 11968" o:spid="_x0000_s1815" type="#_x0000_t202" style="position:absolute;left:1324;top:7534;width:1155;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" stroked="f">
              <v:textbox>
                <w:txbxContent>
                  <w:p w14:paraId="2339CAE2" w14:textId="77777777" w:rsidR="003B0864" w:rsidRPr="00660D48" w:rsidRDefault="003B0864" w:rsidP="00F87ADB">
                    <w:pPr>
                      <w:pStyle w:val="af4"/>
                      <w:jc w:val="both"/>
                      <w:rPr>
                        <w:rFonts w:ascii="ＭＳ 明朝" w:eastAsia="ＭＳ 明朝"/>
                        <w:b w:val="0"/>
                      </w:rPr>
                    </w:pPr>
                    <w:r>
                      <w:rPr>
                        <w:rFonts w:ascii="ＭＳ 明朝" w:eastAsia="ＭＳ 明朝" w:hint="eastAsia"/>
                        <w:b w:val="0"/>
                      </w:rPr>
                      <w:t>主ナット</w:t>
                    </w:r>
                  </w:p>
                  <w:p w14:paraId="7B28F8F8" w14:textId="77777777" w:rsidR="003B0864" w:rsidRPr="00485482" w:rsidRDefault="003B0864" w:rsidP="00F87ADB">
                    <w:pPr>
                      <w:pStyle w:val="af4"/>
                      <w:jc w:val="both"/>
                      <w:rPr>
                        <w:rFonts w:ascii="ＭＳ 明朝" w:eastAsia="ＭＳ 明朝"/>
                        <w:b w:val="0"/>
                      </w:rPr>
                    </w:pPr>
                  </w:p>
                </w:txbxContent>
              </v:textbox>
            </v:shape>
            <v:shape id="Text Box 11969" o:spid="_x0000_s1816" type="#_x0000_t202" style="position:absolute;left:1009;top:9275;width:1155;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" stroked="f">
              <v:textbox>
                <w:txbxContent>
                  <w:p w14:paraId="6809D85A" w14:textId="77777777" w:rsidR="003B0864" w:rsidRPr="00485482" w:rsidRDefault="003B0864" w:rsidP="00F87ADB">
                    <w:pPr>
                      <w:pStyle w:val="af4"/>
                      <w:jc w:val="both"/>
                      <w:rPr>
                        <w:rFonts w:ascii="ＭＳ 明朝" w:eastAsia="ＭＳ 明朝"/>
                        <w:b w:val="0"/>
                      </w:rPr>
                    </w:pPr>
                    <w:r>
                      <w:rPr>
                        <w:rFonts w:ascii="ＭＳ 明朝" w:eastAsia="ＭＳ 明朝" w:hint="eastAsia"/>
                        <w:b w:val="0"/>
                      </w:rPr>
                      <w:t>胴体外筒</w:t>
                    </w:r>
                  </w:p>
                </w:txbxContent>
              </v:textbox>
            </v:shape>
            <v:shape id="Text Box 11970" o:spid="_x0000_s1817" type="#_x0000_t202" style="position:absolute;left:1009;top:9639;width:1155;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" stroked="f">
              <v:textbox>
                <w:txbxContent>
                  <w:p w14:paraId="7D0FFCBE" w14:textId="77777777" w:rsidR="003B0864" w:rsidRPr="00660D48" w:rsidRDefault="003B0864" w:rsidP="00F87ADB">
                    <w:pPr>
                      <w:pStyle w:val="af4"/>
                      <w:jc w:val="both"/>
                      <w:rPr>
                        <w:rFonts w:ascii="ＭＳ 明朝" w:eastAsia="ＭＳ 明朝"/>
                        <w:b w:val="0"/>
                      </w:rPr>
                    </w:pPr>
                    <w:r>
                      <w:rPr>
                        <w:rFonts w:ascii="ＭＳ 明朝" w:eastAsia="ＭＳ 明朝" w:hint="eastAsia"/>
                        <w:b w:val="0"/>
                      </w:rPr>
                      <w:t>胴体内筒</w:t>
                    </w:r>
                  </w:p>
                  <w:p w14:paraId="69600094" w14:textId="77777777" w:rsidR="003B0864" w:rsidRPr="00485482" w:rsidRDefault="003B0864" w:rsidP="00F87ADB">
                    <w:pPr>
                      <w:pStyle w:val="af4"/>
                      <w:jc w:val="both"/>
                      <w:rPr>
                        <w:rFonts w:ascii="ＭＳ 明朝" w:eastAsia="ＭＳ 明朝"/>
                        <w:b w:val="0"/>
                      </w:rPr>
                    </w:pPr>
                  </w:p>
                </w:txbxContent>
              </v:textbox>
            </v:shape>
            <v:shape id="Text Box 11971" o:spid="_x0000_s1818" type="#_x0000_t202" style="position:absolute;left:4789;top:8783;width:1155;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" stroked="f">
              <v:textbox>
                <w:txbxContent>
                  <w:p w14:paraId="494FB410" w14:textId="77777777" w:rsidR="003B0864" w:rsidRPr="00660D48" w:rsidRDefault="003B0864" w:rsidP="00F87ADB">
                    <w:pPr>
                      <w:pStyle w:val="af4"/>
                      <w:jc w:val="both"/>
                      <w:rPr>
                        <w:rFonts w:ascii="ＭＳ 明朝" w:eastAsia="ＭＳ 明朝"/>
                        <w:b w:val="0"/>
                      </w:rPr>
                    </w:pPr>
                    <w:r>
                      <w:rPr>
                        <w:rFonts w:ascii="ＭＳ 明朝" w:eastAsia="ＭＳ 明朝" w:hint="eastAsia"/>
                        <w:b w:val="0"/>
                      </w:rPr>
                      <w:t>ｽﾗｽﾄﾘﾝｸﾞ</w:t>
                    </w:r>
                  </w:p>
                  <w:p w14:paraId="11BBA30E" w14:textId="77777777" w:rsidR="003B0864" w:rsidRPr="00485482" w:rsidRDefault="003B0864" w:rsidP="00F87ADB">
                    <w:pPr>
                      <w:pStyle w:val="af4"/>
                      <w:jc w:val="both"/>
                      <w:rPr>
                        <w:rFonts w:ascii="ＭＳ 明朝" w:eastAsia="ＭＳ 明朝"/>
                        <w:b w:val="0"/>
                      </w:rPr>
                    </w:pPr>
                  </w:p>
                </w:txbxContent>
              </v:textbox>
            </v:shape>
            <v:shape id="Text Box 11972" o:spid="_x0000_s1819" type="#_x0000_t202" style="position:absolute;left:4789;top:9209;width:1155;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" stroked="f">
              <v:textbox>
                <w:txbxContent>
                  <w:p w14:paraId="346006DF" w14:textId="77777777" w:rsidR="003B0864" w:rsidRPr="00660D48" w:rsidRDefault="003B0864" w:rsidP="00F87ADB">
                    <w:pPr>
                      <w:pStyle w:val="af4"/>
                      <w:jc w:val="both"/>
                      <w:rPr>
                        <w:rFonts w:ascii="ＭＳ 明朝" w:eastAsia="ＭＳ 明朝"/>
                        <w:b w:val="0"/>
                      </w:rPr>
                    </w:pPr>
                    <w:r>
                      <w:rPr>
                        <w:rFonts w:ascii="ＭＳ 明朝" w:eastAsia="ＭＳ 明朝" w:hint="eastAsia"/>
                        <w:b w:val="0"/>
                      </w:rPr>
                      <w:t>Oﾘﾝｸﾞ</w:t>
                    </w:r>
                  </w:p>
                  <w:p w14:paraId="62F4643D" w14:textId="77777777" w:rsidR="003B0864" w:rsidRPr="00485482" w:rsidRDefault="003B0864" w:rsidP="00F87ADB">
                    <w:pPr>
                      <w:pStyle w:val="af4"/>
                      <w:jc w:val="both"/>
                      <w:rPr>
                        <w:rFonts w:ascii="ＭＳ 明朝" w:eastAsia="ＭＳ 明朝"/>
                        <w:b w:val="0"/>
                      </w:rPr>
                    </w:pPr>
                  </w:p>
                </w:txbxContent>
              </v:textbox>
            </v:shape>
            <v:shape id="Text Box 11973" o:spid="_x0000_s1820" type="#_x0000_t202" style="position:absolute;left:2269;top:7141;width:12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" stroked="f">
              <v:textbox>
                <w:txbxContent>
                  <w:p w14:paraId="7391035B" w14:textId="77777777" w:rsidR="003B0864" w:rsidRPr="00660D48" w:rsidRDefault="003B0864" w:rsidP="00F87ADB">
                    <w:pPr>
                      <w:pStyle w:val="af4"/>
                      <w:jc w:val="both"/>
                      <w:rPr>
                        <w:rFonts w:ascii="ＭＳ 明朝" w:eastAsia="ＭＳ 明朝"/>
                        <w:b w:val="0"/>
                      </w:rPr>
                    </w:pPr>
                    <w:r>
                      <w:rPr>
                        <w:rFonts w:ascii="ＭＳ 明朝" w:eastAsia="ＭＳ 明朝" w:hint="eastAsia"/>
                        <w:b w:val="0"/>
                      </w:rPr>
                      <w:t xml:space="preserve">カバー　　</w:t>
                    </w:r>
                  </w:p>
                  <w:p w14:paraId="1D3AB252" w14:textId="77777777" w:rsidR="003B0864" w:rsidRPr="00485482" w:rsidRDefault="003B0864" w:rsidP="00F87ADB">
                    <w:pPr>
                      <w:pStyle w:val="af4"/>
                      <w:jc w:val="both"/>
                      <w:rPr>
                        <w:rFonts w:ascii="ＭＳ 明朝" w:eastAsia="ＭＳ 明朝"/>
                        <w:b w:val="0"/>
                      </w:rPr>
                    </w:pPr>
                  </w:p>
                </w:txbxContent>
              </v:textbox>
            </v:shape>
            <v:line id="Line 11974" o:spid="_x0000_s1821" style="position:absolute;visibility:visible" from="2309,7512" to="3044,7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" strokeweight="1pt"/>
            <v:line id="Line 11975" o:spid="_x0000_s1822" style="position:absolute;flip:x y;visibility:visible" from="3035,7512" to="3529,7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" strokeweight="1pt"/>
            <w10:anchorlock/>
          </v:group>
        </w:pict>
      </w:r>
      <w:r w:rsidR="00F87ADB" w:rsidRPr="00BC31E0">
        <w:rPr>
          <w:rFonts w:ascii="ＭＳ ゴシック" w:eastAsia="ＭＳ ゴシック" w:hint="eastAsia"/>
          <w:b/>
        </w:rPr>
        <w:t xml:space="preserve">  </w:t>
      </w:r>
      <w:r>
        <w:rPr>
          <w:rFonts w:ascii="ＭＳ ゴシック" w:eastAsia="ＭＳ ゴシック"/>
          <w:b/>
          <w:noProof/>
        </w:rPr>
      </w:r>
      <w:r>
        <w:rPr>
          <w:rFonts w:ascii="ＭＳ ゴシック" w:eastAsia="ＭＳ ゴシック"/>
          <w:b/>
          <w:noProof/>
        </w:rPr>
        <w:pict w14:anchorId="7AD6925A">
          <v:group id="Group 11965" o:spid="_x0000_s1823" style="width:141.3pt;height:164.4pt;mso-position-horizontal-relative:char;mso-position-vertical-relative:line" coordorigin="7463,7321" coordsize="2826,3288">
            <v:shape id="図 1780" o:spid="_x0000_s1824" type="#_x0000_t75" style="position:absolute;left:7463;top:7321;width:2826;height:3288;rotation:-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">
              <v:imagedata r:id="rId147" o:title=""/>
            </v:shape>
            <v:shape id="Text Box 11962" o:spid="_x0000_s1825" type="#_x0000_t202" style="position:absolute;left:8160;top:9464;width:491;height:5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" stroked="f">
              <v:textbox style="mso-fit-shape-to-text:t">
                <w:txbxContent>
                  <w:p w14:paraId="424C49F1" w14:textId="77777777" w:rsidR="003B0864" w:rsidRPr="00207960" w:rsidRDefault="003B0864" w:rsidP="00F87ADB">
                    <w:pPr>
                      <w:snapToGrid w:val="0"/>
                      <w:jc w:val="right"/>
                      <w:rPr>
                        <w:rFonts w:ascii="Cambria Math" w:hAnsi="Cambria Math"/>
                        <w:sz w:val="18"/>
                        <w:szCs w:val="18"/>
                      </w:rPr>
                    </w:pPr>
                    <w:r w:rsidRPr="00207960">
                      <w:rPr>
                        <w:rFonts w:ascii="Cambria Math" w:hAnsi="Cambria Math"/>
                        <w:sz w:val="18"/>
                        <w:szCs w:val="18"/>
                      </w:rPr>
                      <w:t>F</w:t>
                    </w:r>
                    <w:r w:rsidRPr="00207960">
                      <w:rPr>
                        <w:rFonts w:ascii="Cambria Math" w:hAnsi="Cambria Math"/>
                        <w:sz w:val="18"/>
                        <w:szCs w:val="18"/>
                        <w:vertAlign w:val="subscript"/>
                      </w:rPr>
                      <w:t>2</w:t>
                    </w:r>
                  </w:p>
                  <w:p w14:paraId="03BD6B4F" w14:textId="77777777" w:rsidR="003B0864" w:rsidRPr="00207960" w:rsidRDefault="003B0864" w:rsidP="00F87ADB">
                    <w:pPr>
                      <w:snapToGrid w:val="0"/>
                      <w:jc w:val="right"/>
                      <w:rPr>
                        <w:rFonts w:ascii="Cambria Math" w:hAnsi="Cambria Math"/>
                        <w:sz w:val="18"/>
                        <w:szCs w:val="18"/>
                      </w:rPr>
                    </w:pPr>
                    <w:r w:rsidRPr="00207960">
                      <w:rPr>
                        <w:rFonts w:ascii="Cambria Math" w:hAnsi="Cambria Math"/>
                        <w:sz w:val="18"/>
                        <w:szCs w:val="18"/>
                      </w:rPr>
                      <w:t>F</w:t>
                    </w:r>
                    <w:r w:rsidRPr="00207960">
                      <w:rPr>
                        <w:rFonts w:ascii="Cambria Math" w:hAnsi="Cambria Math"/>
                        <w:sz w:val="18"/>
                        <w:szCs w:val="18"/>
                        <w:vertAlign w:val="subscript"/>
                      </w:rPr>
                      <w:t>1</w:t>
                    </w:r>
                  </w:p>
                </w:txbxContent>
              </v:textbox>
            </v:shape>
            <w10:anchorlock/>
          </v:group>
        </w:pict>
      </w:r>
      <w:r w:rsidR="00F87ADB" w:rsidRPr="00BC31E0">
        <w:rPr>
          <w:rFonts w:ascii="ＭＳ ゴシック" w:eastAsia="ＭＳ ゴシック" w:hint="eastAsia"/>
          <w:b/>
        </w:rPr>
        <w:t xml:space="preserve">　　　</w:t>
      </w:r>
    </w:p>
    <w:p w14:paraId="31DC25BF" w14:textId="77777777" w:rsidR="00F87ADB" w:rsidRPr="00BC31E0" w:rsidRDefault="00A51873" w:rsidP="00F87ADB">
      <w:pPr>
        <w:jc w:val="left"/>
        <w:rPr>
          <w:rFonts w:ascii="ＭＳ ゴシック" w:eastAsia="ＭＳ ゴシック"/>
          <w:b/>
        </w:rPr>
      </w:pPr>
      <w:r>
        <w:rPr>
          <w:rFonts w:ascii="ＭＳ ゴシック" w:eastAsia="ＭＳ ゴシック"/>
          <w:b/>
          <w:noProof/>
        </w:rPr>
        <w:pict w14:anchorId="14B975AB">
          <v:rect id="Rectangle 11580" o:spid="_x0000_s3325" style="position:absolute;margin-left:272.3pt;margin-top:43.8pt;width:5.25pt;height:9pt;z-index:25171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" stroked="f">
            <v:textbox inset="5.85pt,.7pt,5.85pt,.7pt"/>
          </v:rect>
        </w:pict>
      </w:r>
      <w:r>
        <w:rPr>
          <w:rFonts w:ascii="ＭＳ ゴシック" w:eastAsia="ＭＳ ゴシック"/>
          <w:b/>
          <w:noProof/>
        </w:rPr>
        <w:pict w14:anchorId="29E3D50C">
          <v:rect id="Rectangle 11579" o:spid="_x0000_s3324" style="position:absolute;margin-left:98.45pt;margin-top:74.85pt;width:4.15pt;height:11.15pt;z-index:25171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" stroked="f">
            <v:textbox inset="5.85pt,.7pt,5.85pt,.7pt"/>
          </v:rect>
        </w:pict>
      </w:r>
      <w:r w:rsidR="00F87ADB" w:rsidRPr="00BC31E0">
        <w:rPr>
          <w:rFonts w:ascii="ＭＳ ゴシック" w:eastAsia="ＭＳ ゴシック" w:hint="eastAsia"/>
          <w:b/>
        </w:rPr>
        <w:t xml:space="preserve">　　　　　　　　図G.3 　ねじを有するふた板　　　　　　　　　 図G.4 ねじの分担荷重</w:t>
      </w:r>
    </w:p>
    <w:p w14:paraId="65A0EE92" w14:textId="77777777" w:rsidR="00F87ADB" w:rsidRPr="00BC31E0" w:rsidRDefault="00F87ADB" w:rsidP="00F87ADB"/>
    <w:p w14:paraId="69ED3D3D" w14:textId="77777777" w:rsidR="00F87ADB" w:rsidRPr="00BC31E0" w:rsidRDefault="00A51873" w:rsidP="00F87ADB">
      <w:pPr>
        <w:jc w:val="center"/>
      </w:pPr>
      <w:r>
        <w:rPr>
          <w:noProof/>
        </w:rPr>
      </w:r>
      <w:r>
        <w:rPr>
          <w:noProof/>
        </w:rPr>
        <w:pict w14:anchorId="1E78E959">
          <v:group id="Group 11517" o:spid="_x0000_s1826" style="width:144.55pt;height:127.15pt;mso-position-horizontal-relative:char;mso-position-vertical-relative:line" coordorigin="4001,12218" coordsize="2891,2543">
            <v:shape id="Text Box 11518" o:spid="_x0000_s1827" type="#_x0000_t202" style="position:absolute;left:4043;top:12878;width:525;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" stroked="f">
              <v:textbox>
                <w:txbxContent>
                  <w:p w14:paraId="3656BC52" w14:textId="77777777" w:rsidR="003B0864" w:rsidRPr="00207960" w:rsidRDefault="003B0864" w:rsidP="00F87ADB">
                    <w:pPr>
                      <w:pStyle w:val="af4"/>
                      <w:jc w:val="both"/>
                      <w:rPr>
                        <w:rFonts w:ascii="Cambria Math" w:eastAsia="ＭＳ 明朝" w:hAnsi="Cambria Math"/>
                        <w:b w:val="0"/>
                      </w:rPr>
                    </w:pPr>
                    <w:r w:rsidRPr="00207960">
                      <w:rPr>
                        <w:rFonts w:ascii="Cambria Math" w:eastAsia="ＭＳ 明朝" w:hAnsi="Cambria Math"/>
                        <w:b w:val="0"/>
                        <w:i/>
                      </w:rPr>
                      <w:t>P</w:t>
                    </w:r>
                    <w:r w:rsidRPr="00207960">
                      <w:rPr>
                        <w:rFonts w:ascii="Cambria Math" w:eastAsia="ＭＳ 明朝" w:hAnsi="Cambria Math"/>
                        <w:b w:val="0"/>
                        <w:vertAlign w:val="subscript"/>
                      </w:rPr>
                      <w:t>T</w:t>
                    </w:r>
                  </w:p>
                  <w:p w14:paraId="38835B53" w14:textId="77777777" w:rsidR="003B0864" w:rsidRPr="00207960" w:rsidRDefault="003B0864" w:rsidP="00F87ADB">
                    <w:pPr>
                      <w:pStyle w:val="af4"/>
                      <w:jc w:val="both"/>
                      <w:rPr>
                        <w:rFonts w:ascii="Cambria Math" w:eastAsia="ＭＳ 明朝" w:hAnsi="Cambria Math"/>
                        <w:b w:val="0"/>
                      </w:rPr>
                    </w:pPr>
                  </w:p>
                </w:txbxContent>
              </v:textbox>
            </v:shape>
            <v:shape id="Text Box 11519" o:spid="_x0000_s1828" type="#_x0000_t202" style="position:absolute;left:4163;top:14171;width:525;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" stroked="f">
              <v:textbox>
                <w:txbxContent>
                  <w:p w14:paraId="7005F6E9" w14:textId="77777777" w:rsidR="003B0864" w:rsidRPr="00207960" w:rsidRDefault="003B0864" w:rsidP="00F87ADB">
                    <w:pPr>
                      <w:pStyle w:val="af4"/>
                      <w:jc w:val="both"/>
                      <w:rPr>
                        <w:rFonts w:ascii="Cambria Math" w:eastAsia="ＭＳ 明朝" w:hAnsi="Cambria Math"/>
                        <w:b w:val="0"/>
                      </w:rPr>
                    </w:pPr>
                    <w:r w:rsidRPr="00207960">
                      <w:rPr>
                        <w:rFonts w:ascii="Cambria Math" w:eastAsia="ＭＳ 明朝" w:hAnsi="Cambria Math"/>
                        <w:b w:val="0"/>
                        <w:i/>
                      </w:rPr>
                      <w:t>D</w:t>
                    </w:r>
                    <w:r w:rsidRPr="00207960">
                      <w:rPr>
                        <w:rFonts w:ascii="Cambria Math" w:eastAsia="ＭＳ 明朝" w:hAnsi="Cambria Math"/>
                        <w:b w:val="0"/>
                        <w:vertAlign w:val="subscript"/>
                      </w:rPr>
                      <w:t>P</w:t>
                    </w:r>
                  </w:p>
                </w:txbxContent>
              </v:textbox>
            </v:shape>
            <v:group id="Group 11520" o:spid="_x0000_s1829" style="position:absolute;left:4001;top:12218;width:2891;height:2543" coordorigin="4001,12218" coordsize="2891,2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">
              <v:rect id="Rectangle 11521" o:spid="_x0000_s1830" style="position:absolute;left:5479;top:12873;width:103;height:36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" filled="f" stroked="f">
                <v:textbox style="mso-fit-shape-to-text:t" inset="0,0,0,0">
                  <w:txbxContent>
                    <w:p w14:paraId="7DE83B36" w14:textId="77777777" w:rsidR="003B0864" w:rsidRPr="00207960" w:rsidRDefault="003B0864" w:rsidP="00F87ADB">
                      <w:pPr>
                        <w:rPr>
                          <w:rFonts w:ascii="Cambria Math" w:hAnsi="Cambria Math"/>
                          <w:i/>
                        </w:rPr>
                      </w:pPr>
                      <w:r w:rsidRPr="00207960">
                        <w:rPr>
                          <w:rFonts w:ascii="Cambria Math" w:eastAsia="ＭＳ Ｐゴシック" w:hAnsi="Cambria Math"/>
                          <w:i/>
                          <w:color w:val="000000"/>
                          <w:sz w:val="14"/>
                          <w:szCs w:val="14"/>
                        </w:rPr>
                        <w:t>F</w:t>
                      </w:r>
                    </w:p>
                  </w:txbxContent>
                </v:textbox>
              </v:rect>
              <v:rect id="Rectangle 11522" o:spid="_x0000_s1831" style="position:absolute;left:5554;top:12939;width:51;height:3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" filled="f" stroked="f">
                <v:textbox style="mso-fit-shape-to-text:t" inset="0,0,0,0">
                  <w:txbxContent>
                    <w:p w14:paraId="694FBF00" w14:textId="77777777" w:rsidR="003B0864" w:rsidRDefault="003B0864" w:rsidP="00F87ADB">
                      <w:r>
                        <w:rPr>
                          <w:rFonts w:ascii="ＭＳ Ｐゴシック" w:eastAsia="ＭＳ Ｐゴシック" w:cs="ＭＳ Ｐゴシック"/>
                          <w:color w:val="000000"/>
                          <w:sz w:val="10"/>
                          <w:szCs w:val="10"/>
                        </w:rPr>
                        <w:t>1</w:t>
                      </w:r>
                    </w:p>
                  </w:txbxContent>
                </v:textbox>
              </v:rect>
              <v:rect id="Rectangle 11523" o:spid="_x0000_s1832" style="position:absolute;left:5479;top:13621;width:173;height:36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" filled="f" stroked="f">
                <v:textbox style="mso-fit-shape-to-text:t" inset="0,0,0,0">
                  <w:txbxContent>
                    <w:p w14:paraId="692664D5" w14:textId="77777777" w:rsidR="003B0864" w:rsidRPr="00207960" w:rsidRDefault="003B0864" w:rsidP="00F87ADB">
                      <w:pPr>
                        <w:rPr>
                          <w:rFonts w:ascii="Cambria Math" w:hAnsi="Cambria Math"/>
                          <w:i/>
                        </w:rPr>
                      </w:pPr>
                      <w:r w:rsidRPr="00207960">
                        <w:rPr>
                          <w:rFonts w:ascii="Cambria Math" w:eastAsia="ＭＳ Ｐゴシック" w:hAnsi="Cambria Math"/>
                          <w:color w:val="000000"/>
                          <w:sz w:val="14"/>
                          <w:szCs w:val="14"/>
                        </w:rPr>
                        <w:t xml:space="preserve"> </w:t>
                      </w:r>
                      <w:r w:rsidRPr="00207960">
                        <w:rPr>
                          <w:rFonts w:ascii="Cambria Math" w:eastAsia="ＭＳ Ｐゴシック" w:hAnsi="Cambria Math"/>
                          <w:i/>
                          <w:color w:val="000000"/>
                          <w:sz w:val="14"/>
                          <w:szCs w:val="14"/>
                        </w:rPr>
                        <w:t>F</w:t>
                      </w:r>
                    </w:p>
                  </w:txbxContent>
                </v:textbox>
              </v:rect>
              <v:rect id="Rectangle 11524" o:spid="_x0000_s1833" style="position:absolute;left:5596;top:13688;width:51;height:3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" filled="f" stroked="f">
                <v:textbox style="mso-fit-shape-to-text:t" inset="0,0,0,0">
                  <w:txbxContent>
                    <w:p w14:paraId="27D36E5D" w14:textId="77777777" w:rsidR="003B0864" w:rsidRDefault="003B0864" w:rsidP="00F87ADB">
                      <w:r>
                        <w:rPr>
                          <w:rFonts w:ascii="ＭＳ Ｐゴシック" w:eastAsia="ＭＳ Ｐゴシック" w:cs="ＭＳ Ｐゴシック"/>
                          <w:color w:val="000000"/>
                          <w:sz w:val="10"/>
                          <w:szCs w:val="10"/>
                        </w:rPr>
                        <w:t>1</w:t>
                      </w:r>
                    </w:p>
                  </w:txbxContent>
                </v:textbox>
              </v:rect>
              <v:line id="Line 11525" o:spid="_x0000_s1834" style="position:absolute;visibility:visible" from="4662,12218" to="5443,1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" strokeweight="0"/>
              <v:rect id="Rectangle 11526" o:spid="_x0000_s1835" style="position:absolute;left:4662;top:12218;width:781;height: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" fillcolor="black" stroked="f"/>
              <v:line id="Line 11527" o:spid="_x0000_s1836" style="position:absolute;visibility:visible" from="4330,12542" to="4330,13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" strokeweight="0"/>
              <v:rect id="Rectangle 11528" o:spid="_x0000_s1837" style="position:absolute;left:4330;top:12542;width:12;height:4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" fillcolor="black" stroked="f"/>
              <v:rect id="Rectangle 11529" o:spid="_x0000_s1838" style="position:absolute;left:5443;top:12218;width:24;height:3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" fillcolor="black" stroked="f"/>
              <v:rect id="Rectangle 11530" o:spid="_x0000_s1839" style="position:absolute;left:5623;top:13228;width:24;height:3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" fillcolor="black" stroked="f"/>
              <v:rect id="Rectangle 11531" o:spid="_x0000_s1840" style="position:absolute;left:5443;top:13441;width:24;height:3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" fillcolor="black" stroked="f"/>
              <v:line id="Line 11532" o:spid="_x0000_s1841" style="position:absolute;visibility:visible" from="4330,13228" to="4330,1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" strokeweight="0"/>
              <v:rect id="Rectangle 11533" o:spid="_x0000_s1842" style="position:absolute;left:4330;top:13228;width:12;height:5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" fillcolor="black" stroked="f"/>
              <v:line id="Line 11534" o:spid="_x0000_s1843" style="position:absolute;visibility:visible" from="5784,13038" to="5784,13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" strokeweight="0"/>
              <v:rect id="Rectangle 11535" o:spid="_x0000_s1844" style="position:absolute;left:5784;top:13038;width:12;height:2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" fillcolor="black" stroked="f"/>
              <v:rect id="Rectangle 11536" o:spid="_x0000_s1845" style="position:absolute;left:5623;top:13943;width:24;height: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" fillcolor="black" stroked="f"/>
              <v:rect id="Rectangle 11537" o:spid="_x0000_s1846" style="position:absolute;left:5623;top:14069;width:24;height:1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" fillcolor="black" stroked="f"/>
              <v:rect id="Rectangle 11538" o:spid="_x0000_s1847" style="position:absolute;left:5623;top:14286;width:24;height:1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" fillcolor="black" stroked="f"/>
              <v:rect id="Rectangle 11539" o:spid="_x0000_s1848" style="position:absolute;left:5623;top:14502;width:24;height:1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" fillcolor="black" stroked="f"/>
              <v:rect id="Rectangle 11540" o:spid="_x0000_s1849" style="position:absolute;left:5623;top:14719;width:24;height: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" fillcolor="black" stroked="f"/>
              <v:rect id="Rectangle 11541" o:spid="_x0000_s1850" style="position:absolute;left:5623;top:13997;width:24;height: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" fillcolor="black" stroked="f"/>
              <v:rect id="Rectangle 11542" o:spid="_x0000_s1851" style="position:absolute;left:5623;top:14214;width:24;height: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" fillcolor="black" stroked="f"/>
              <v:rect id="Rectangle 11543" o:spid="_x0000_s1852" style="position:absolute;left:5623;top:14430;width:24;height: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" fillcolor="black" stroked="f"/>
              <v:rect id="Rectangle 11544" o:spid="_x0000_s1853" style="position:absolute;left:5623;top:14646;width:24;height: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" fillcolor="black" stroked="f"/>
              <v:line id="Line 11545" o:spid="_x0000_s1854" style="position:absolute;visibility:visible" from="5467,12218" to="6883,1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" strokeweight="0"/>
              <v:rect id="Rectangle 11546" o:spid="_x0000_s1855" style="position:absolute;left:5467;top:12218;width:1416;height: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" fillcolor="black" stroked="f"/>
              <v:line id="Line 11547" o:spid="_x0000_s1856" style="position:absolute;visibility:visible" from="4001,12530" to="5285,12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" strokeweight="0"/>
              <v:rect id="Rectangle 11548" o:spid="_x0000_s1857" style="position:absolute;left:4001;top:12530;width:1284;height: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" fillcolor="black" stroked="f"/>
              <v:line id="Line 11549" o:spid="_x0000_s1858" style="position:absolute;visibility:visible" from="4001,13781" to="5285,13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" strokeweight="0"/>
              <v:rect id="Rectangle 11550" o:spid="_x0000_s1859" style="position:absolute;left:4001;top:13781;width:1284;height: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" fillcolor="black" stroked="f"/>
              <v:line id="Line 11551" o:spid="_x0000_s1860" style="position:absolute;visibility:visible" from="4662,14439" to="5623,14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" strokeweight="0"/>
              <v:rect id="Rectangle 11552" o:spid="_x0000_s1861" style="position:absolute;left:4662;top:14439;width:961;height: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" fillcolor="black" stroked="f"/>
              <v:shape id="Freeform 11553" o:spid="_x0000_s1862" style="position:absolute;left:5419;top:13760;width:398;height:360;visibility:visible;mso-wrap-style:square;v-text-anchor:top" coordsize="39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" path="m9,l,15,389,360r9,-15l9,xe" fillcolor="black" stroked="f">
                <v:path arrowok="t" o:connecttype="custom" o:connectlocs="9,0;0,15;389,360;398,345;9,0" o:connectangles="0,0,0,0,0"/>
              </v:shape>
              <v:shape id="Freeform 11554" o:spid="_x0000_s1863" style="position:absolute;left:5449;top:13315;width:356;height:147;visibility:visible;mso-wrap-style:square;v-text-anchor:top" coordsize="35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" path="m,129r3,18l356,18,353,,,129xe" fillcolor="black" stroked="f">
                <v:path arrowok="t" o:connecttype="custom" o:connectlocs="0,129;3,147;356,18;353,0;0,129" o:connectangles="0,0,0,0,0"/>
              </v:shape>
              <v:shape id="Freeform 11555" o:spid="_x0000_s1864" style="position:absolute;left:5297;top:12398;width:616;height:788;visibility:visible;mso-wrap-style:square;v-text-anchor:top" coordsize="61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" path="m15,l,9,601,788r15,-9l15,xe" fillcolor="black" stroked="f">
                <v:path arrowok="t" o:connecttype="custom" o:connectlocs="15,0;0,9;601,788;616,779;15,0" o:connectangles="0,0,0,0,0"/>
              </v:shape>
              <v:shape id="Freeform 11556" o:spid="_x0000_s1865" style="position:absolute;left:6805;top:12227;width:87;height:1866;visibility:visible;mso-wrap-style:square;v-text-anchor:top" coordsize="87,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" path="m78,l72,24,63,45,54,66,42,90r-6,15l33,123r-3,15l27,144r3,108l27,363r,115l27,595r6,117l42,826,60,935r27,105l87,1103r,63l84,1229r-6,63l75,1316r-9,27l57,1370r-15,27l15,1455r-9,27l,1509r15,105l27,1722r,21l24,1758r,15l21,1782r,15l18,1809r,6l18,1827r,15l18,1851r,15e" filled="f" strokeweight=".45pt">
                <v:path arrowok="t" o:connecttype="custom" o:connectlocs="78,0;72,24;63,45;54,66;42,90;36,105;33,123;30,138;27,144;27,144;30,252;27,363;27,478;27,595;33,712;42,826;60,935;87,1040;87,1103;87,1166;84,1229;78,1292;75,1316;66,1343;57,1370;42,1397;15,1455;6,1482;0,1509;15,1614;27,1722;27,1743;24,1758;24,1773;21,1782;21,1797;18,1809;18,1815;18,1827;18,1842;18,1851;18,1866" o:connectangles="0,0,0,0,0,0,0,0,0,0,0,0,0,0,0,0,0,0,0,0,0,0,0,0,0,0,0,0,0,0,0,0,0,0,0,0,0,0,0,0,0,0"/>
              </v:shape>
              <v:shape id="Freeform 11557" o:spid="_x0000_s1866" style="position:absolute;left:5820;top:14033;width:1012;height:87;visibility:visible;mso-wrap-style:square;v-text-anchor:top" coordsize="10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" path="m,87l15,81,30,75,48,69,60,66,72,63r15,l99,63r12,l126,63r21,l171,60r27,l258,48,315,33,365,18,419,r57,15l533,36r54,18l644,69r39,l721,66r36,-3l796,60r39,-3l874,48r15,-3l904,39r9,-3l916,36r9,l937,39r27,9l991,57r12,3l1012,60e" filled="f" strokeweight=".45pt">
                <v:path arrowok="t" o:connecttype="custom" o:connectlocs="0,87;15,81;30,75;48,69;60,66;72,63;87,63;99,63;111,63;126,63;147,63;171,60;198,60;258,48;315,33;365,18;419,0;476,15;533,36;587,54;644,69;683,69;721,66;757,63;796,60;835,57;874,48;889,45;904,39;913,36;916,36;925,36;937,39;964,48;991,57;1003,60;1012,60" o:connectangles="0,0,0,0,0,0,0,0,0,0,0,0,0,0,0,0,0,0,0,0,0,0,0,0,0,0,0,0,0,0,0,0,0,0,0,0,0"/>
              </v:shape>
              <v:group id="Group 11558" o:spid="_x0000_s1867" style="position:absolute;left:5431;top:14391;width:195;height:99" coordorigin="5460,13859" coordsize="19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line id="Line 11559" o:spid="_x0000_s1868" style="position:absolute;visibility:visible" from="5460,13907" to="5562,13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" strokeweight=".45pt"/>
                <v:shape id="Freeform 11560" o:spid="_x0000_s1869" style="position:absolute;left:5556;top:13859;width:99;height:99;visibility:visible;mso-wrap-style:square;v-text-anchor:top" coordsize="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" path="m,99l99,51,,,,99xe" fillcolor="black" stroked="f">
                  <v:path arrowok="t" o:connecttype="custom" o:connectlocs="0,99;99,51;0,0;0,99" o:connectangles="0,0,0,0"/>
                </v:shape>
              </v:group>
              <v:group id="Group 11561" o:spid="_x0000_s1870" style="position:absolute;left:4282;top:12524;width:99;height:172" coordorigin="4311,11992" coordsize="9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line id="Line 11562" o:spid="_x0000_s1871" style="position:absolute;flip:y;visibility:visible" from="4359,12079" to="4359,12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" strokeweight=".45pt"/>
                <v:shape id="Freeform 11563" o:spid="_x0000_s1872" style="position:absolute;left:4311;top:11992;width:99;height:96;visibility:visible;mso-wrap-style:square;v-text-anchor:top" coordsize="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" path="m99,96l51,,,96r99,xe" fillcolor="black" stroked="f">
                  <v:path arrowok="t" o:connecttype="custom" o:connectlocs="99,96;51,0;0,96;99,96" o:connectangles="0,0,0,0"/>
                </v:shape>
              </v:group>
              <v:group id="Group 11564" o:spid="_x0000_s1873" style="position:absolute;left:4288;top:13600;width:99;height:181" coordorigin="4317,13068" coordsize="99,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line id="Line 11565" o:spid="_x0000_s1874" style="position:absolute;flip:x;visibility:visible" from="4365,13068" to="4368,13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" strokeweight=".45pt"/>
                <v:shape id="Freeform 11566" o:spid="_x0000_s1875" style="position:absolute;left:4317;top:13150;width:99;height:99;visibility:visible;mso-wrap-style:square;v-text-anchor:top" coordsize="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" path="m,l45,99,99,6,,xe" fillcolor="black" stroked="f">
                  <v:path arrowok="t" o:connecttype="custom" o:connectlocs="0,0;45,99;99,6;0,0" o:connectangles="0,0,0,0"/>
                </v:shape>
              </v:group>
              <v:shape id="Freeform 11567" o:spid="_x0000_s1876" style="position:absolute;left:4599;top:12227;width:108;height:1866;visibility:visible;mso-wrap-style:square;v-text-anchor:top" coordsize="108,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" path="m57,r3,18l66,36r6,27l75,96r-3,18l66,135r-3,15l57,168r-6,15l48,189r15,63l78,315r18,60l108,439r-3,42l102,517r-3,15l93,547,81,562,66,574r-9,24l54,616r-3,9l48,634r-3,9l45,655r,18l42,685r,15l45,760r6,57l60,871r15,54l78,941r6,15l96,992r3,15l105,1019r3,9l108,1031r-9,111l93,1196r-9,51l69,1298r-15,51l33,1397,6,1446,,1479r,30l3,1563r9,51l27,1662r18,48l60,1758r12,51l75,1866e" filled="f" strokeweight=".45pt">
                <v:path arrowok="t" o:connecttype="custom" o:connectlocs="57,0;60,18;66,36;72,63;75,96;72,114;66,135;63,150;57,168;51,183;48,189;48,189;63,252;78,315;96,375;108,439;105,481;102,517;99,532;93,547;81,562;66,574;57,598;54,616;51,625;48,634;45,643;45,655;45,673;42,685;42,700;45,760;51,817;60,871;75,925;78,941;84,956;96,992;99,1007;105,1019;108,1028;108,1031;99,1142;93,1196;84,1247;69,1298;54,1349;33,1397;6,1446;0,1479;0,1509;3,1563;12,1614;27,1662;45,1710;60,1758;72,1809;75,1866" o:connectangles="0,0,0,0,0,0,0,0,0,0,0,0,0,0,0,0,0,0,0,0,0,0,0,0,0,0,0,0,0,0,0,0,0,0,0,0,0,0,0,0,0,0,0,0,0,0,0,0,0,0,0,0,0,0,0,0,0,0"/>
              </v:shape>
              <v:shape id="Freeform 11568" o:spid="_x0000_s1877" style="position:absolute;left:4683;top:14042;width:1033;height:93;visibility:visible;mso-wrap-style:square;v-text-anchor:top" coordsize="10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" path="m,51l45,45,87,39r45,-9l180,24r24,-6l228,9,240,6r9,-3l255,r3,l296,3r36,6l395,21r60,15l509,51r57,12l626,78r68,9l733,90r42,3l805,90r36,-6l913,72r36,-9l982,51r30,-15l1033,18e" filled="f" strokeweight=".45pt">
                <v:path arrowok="t" o:connecttype="custom" o:connectlocs="0,51;45,45;87,39;132,30;180,24;204,18;228,9;240,6;249,3;255,0;258,0;296,3;332,9;395,21;455,36;509,51;566,63;626,78;694,87;733,90;775,93;805,90;841,84;913,72;949,63;982,51;1012,36;1033,18" o:connectangles="0,0,0,0,0,0,0,0,0,0,0,0,0,0,0,0,0,0,0,0,0,0,0,0,0,0,0,0"/>
              </v:shape>
              <v:group id="Group 11569" o:spid="_x0000_s1878" style="position:absolute;left:5578;top:13113;width:99;height:211" coordorigin="5607,12581" coordsize="99,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line id="Line 11570" o:spid="_x0000_s1879" style="position:absolute;flip:y;visibility:visible" from="5652,12669" to="5655,12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" strokeweight=".45pt"/>
                <v:shape id="Freeform 11571" o:spid="_x0000_s1880" style="position:absolute;left:5607;top:12581;width:99;height:100;visibility:visible;mso-wrap-style:square;v-text-anchor:top" coordsize="9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" path="m99,100l54,,,97r99,3xe" fillcolor="black" stroked="f">
                  <v:path arrowok="t" o:connecttype="custom" o:connectlocs="99,100;54,0;0,97;99,100" o:connectangles="0,0,0,0"/>
                </v:shape>
              </v:group>
              <v:group id="Group 11572" o:spid="_x0000_s1881" style="position:absolute;left:5569;top:13453;width:99;height:177" coordorigin="5598,12921" coordsize="9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line id="Line 11573" o:spid="_x0000_s1882" style="position:absolute;visibility:visible" from="5643,12921" to="5646,13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" strokeweight=".45pt"/>
                <v:shape id="Freeform 11574" o:spid="_x0000_s1883" style="position:absolute;left:5598;top:12996;width:99;height:10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" path="m,6r57,96l99,,,6xe" fillcolor="black" stroked="f">
                  <v:path arrowok="t" o:connecttype="custom" o:connectlocs="0,6;57,102;99,0;0,6" o:connectangles="0,0,0,0"/>
                </v:shape>
              </v:group>
              <v:shape id="Freeform 11575" o:spid="_x0000_s1884" style="position:absolute;left:5282;top:13444;width:185;height:262;visibility:visible;mso-wrap-style:square;v-text-anchor:top" coordsize="18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" path="m12,262l3,216,,192,3,168,6,147r9,-21l27,111,45,96,57,78,75,60,98,48,122,36,146,24r21,-9l179,6,185,e" filled="f" strokeweight=".45pt">
                <v:path arrowok="t" o:connecttype="custom" o:connectlocs="12,262;3,216;0,192;3,168;6,147;15,126;27,111;45,96;57,78;75,60;98,48;122,36;146,24;167,15;179,6;185,0" o:connectangles="0,0,0,0,0,0,0,0,0,0,0,0,0,0,0,0"/>
              </v:shape>
              <v:shape id="Freeform 11576" o:spid="_x0000_s1885" style="position:absolute;left:5294;top:12227;width:155;height:174;visibility:visible;mso-wrap-style:square;v-text-anchor:top" coordsize="15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" path="m9,174l,135,,117,3,99,12,81,21,66,33,54,51,42,66,36,83,30,116,15,131,9,143,6,152,r3,e" filled="f" strokeweight=".45pt">
                <v:path arrowok="t" o:connecttype="custom" o:connectlocs="9,174;0,135;0,117;3,99;12,81;21,66;33,54;51,42;66,36;83,30;116,15;131,9;143,6;152,0;155,0" o:connectangles="0,0,0,0,0,0,0,0,0,0,0,0,0,0,0"/>
              </v:shape>
              <v:shape id="Freeform 11577" o:spid="_x0000_s1886" style="position:absolute;left:5763;top:13158;width:141;height:193;visibility:visible;mso-wrap-style:square;v-text-anchor:top" coordsize="14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" path="m132,l114,7r6,24l123,55r9,-3l123,52r-6,21l111,94r9,l111,91,99,109,84,124r6,6l87,121,51,151r-15,6l18,166,3,175r-3,l6,193r3,-3l12,190r15,-9l45,172r12,-6l96,136r3,-3l114,118r12,-18l129,97r6,-21l141,55r,-3l138,28,132,xe" fillcolor="black" stroked="f">
                <v:path arrowok="t" o:connecttype="custom" o:connectlocs="132,0;114,7;120,31;123,55;132,52;123,52;117,73;111,94;120,94;111,91;99,109;84,124;90,130;87,121;51,151;36,157;18,166;3,175;0,175;0,175;6,193;9,190;12,190;27,181;45,172;57,166;96,136;99,133;114,118;126,100;129,97;135,76;141,55;141,52;141,52;138,28;132,0" o:connectangles="0,0,0,0,0,0,0,0,0,0,0,0,0,0,0,0,0,0,0,0,0,0,0,0,0,0,0,0,0,0,0,0,0,0,0,0,0"/>
              </v:shape>
              <v:line id="Line 11578" o:spid="_x0000_s1887" style="position:absolute;visibility:visible" from="5285,13670" to="5431,13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" strokeweight=".45pt"/>
            </v:group>
            <w10:anchorlock/>
          </v:group>
        </w:pict>
      </w:r>
      <w:r>
        <w:rPr>
          <w:noProof/>
        </w:rPr>
        <w:pict w14:anchorId="1F9CCBCF">
          <v:rect id="Rectangle 11581" o:spid="_x0000_s1888" style="position:absolute;left:0;text-align:left;margin-left:305.8pt;margin-top:15.3pt;width:5.55pt;height:18.05pt;z-index:251713024;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" filled="f" stroked="f">
            <v:textbox style="mso-fit-shape-to-text:t" inset="0,0,0,0">
              <w:txbxContent>
                <w:p w14:paraId="5AAB744B" w14:textId="77777777" w:rsidR="003B0864" w:rsidRDefault="003B0864" w:rsidP="00F87ADB">
                  <w:r>
                    <w:rPr>
                      <w:rFonts w:cs="Century"/>
                      <w:color w:val="000000"/>
                      <w:sz w:val="22"/>
                      <w:szCs w:val="22"/>
                    </w:rPr>
                    <w:t xml:space="preserve"> </w:t>
                  </w:r>
                </w:p>
              </w:txbxContent>
            </v:textbox>
          </v:rect>
        </w:pict>
      </w:r>
    </w:p>
    <w:p w14:paraId="4D534412" w14:textId="77777777" w:rsidR="00F87ADB" w:rsidRPr="00BC31E0" w:rsidRDefault="00F87ADB" w:rsidP="00BC31E0">
      <w:pPr>
        <w:spacing w:beforeLines="50" w:before="180"/>
        <w:jc w:val="center"/>
        <w:rPr>
          <w:rFonts w:ascii="ＭＳ ゴシック" w:eastAsia="ＭＳ ゴシック"/>
          <w:b/>
        </w:rPr>
      </w:pPr>
      <w:r w:rsidRPr="00BC31E0">
        <w:rPr>
          <w:rFonts w:ascii="ＭＳ ゴシック" w:eastAsia="ＭＳ ゴシック" w:hint="eastAsia"/>
          <w:b/>
        </w:rPr>
        <w:t>図</w:t>
      </w:r>
      <w:r w:rsidRPr="00BC31E0">
        <w:rPr>
          <w:rFonts w:ascii="ＭＳ ゴシック" w:eastAsia="ＭＳ ゴシック"/>
          <w:b/>
        </w:rPr>
        <w:t>G.5</w:t>
      </w:r>
      <w:r w:rsidRPr="00BC31E0">
        <w:rPr>
          <w:rFonts w:ascii="ＭＳ ゴシック" w:eastAsia="ＭＳ ゴシック" w:hint="eastAsia"/>
          <w:b/>
        </w:rPr>
        <w:t xml:space="preserve">　第1番目のねじ山詳細</w:t>
      </w:r>
    </w:p>
    <w:p w14:paraId="0E674A7F" w14:textId="77777777" w:rsidR="00F87ADB" w:rsidRPr="00BC31E0" w:rsidRDefault="00F87ADB" w:rsidP="00F87ADB">
      <w:pPr>
        <w:jc w:val="center"/>
        <w:rPr>
          <w:rFonts w:ascii="ＭＳ ゴシック" w:eastAsia="ＭＳ ゴシック"/>
          <w:b/>
        </w:rPr>
      </w:pPr>
      <w:r w:rsidRPr="00BC31E0">
        <w:rPr>
          <w:rFonts w:ascii="ＭＳ ゴシック" w:eastAsia="ＭＳ ゴシック"/>
          <w:b/>
        </w:rPr>
        <w:br w:type="page"/>
      </w:r>
      <w:r w:rsidRPr="00BC31E0">
        <w:rPr>
          <w:rFonts w:ascii="ＭＳ ゴシック" w:eastAsia="ＭＳ ゴシック" w:hint="eastAsia"/>
          <w:b/>
        </w:rPr>
        <w:lastRenderedPageBreak/>
        <w:t>表G.2 断続ねじの例</w:t>
      </w:r>
      <w:r w:rsidRPr="00BC31E0">
        <w:rPr>
          <w:rFonts w:ascii="ＭＳ ゴシック" w:eastAsia="ＭＳ ゴシック" w:hint="eastAsia"/>
          <w:b/>
          <w:vertAlign w:val="superscript"/>
        </w:rPr>
        <w:t>†</w:t>
      </w:r>
    </w:p>
    <w:p w14:paraId="2BA1A974" w14:textId="77777777" w:rsidR="00DF7883" w:rsidRPr="00BC31E0" w:rsidRDefault="00F87ADB" w:rsidP="00F14C2E">
      <w:pPr>
        <w:ind w:left="-397"/>
        <w:jc w:val="left"/>
        <w:rPr>
          <w:rFonts w:asciiTheme="minorEastAsia" w:eastAsiaTheme="minorEastAsia" w:hAnsiTheme="minorEastAsia"/>
        </w:rPr>
      </w:pPr>
      <w:r w:rsidRPr="00BC31E0">
        <w:rPr>
          <w:rFonts w:asciiTheme="minorEastAsia" w:eastAsiaTheme="minorEastAsia" w:hAnsiTheme="minorEastAsia"/>
          <w:noProof/>
        </w:rPr>
        <w:drawing>
          <wp:anchor distT="0" distB="0" distL="114300" distR="114300" simplePos="0" relativeHeight="251855360" behindDoc="1" locked="0" layoutInCell="1" allowOverlap="1" wp14:anchorId="5D437AD2" wp14:editId="00CBB418">
            <wp:simplePos x="0" y="0"/>
            <wp:positionH relativeFrom="column">
              <wp:posOffset>-229373</wp:posOffset>
            </wp:positionH>
            <wp:positionV relativeFrom="paragraph">
              <wp:posOffset>50303</wp:posOffset>
            </wp:positionV>
            <wp:extent cx="6342380" cy="6769735"/>
            <wp:effectExtent l="0" t="0" r="1270" b="0"/>
            <wp:wrapTight wrapText="bothSides">
              <wp:wrapPolygon edited="0">
                <wp:start x="0" y="0"/>
                <wp:lineTo x="0" y="21517"/>
                <wp:lineTo x="21539" y="21517"/>
                <wp:lineTo x="21539" y="0"/>
                <wp:lineTo x="0" y="0"/>
              </wp:wrapPolygon>
            </wp:wrapTight>
            <wp:docPr id="1574" name="図 1790" descr="表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90" descr="表２"/>
                    <pic:cNvPicPr>
                      <a:picLocks noChangeAspect="1" noChangeArrowheads="1"/>
                    </pic:cNvPicPr>
                  </pic:nvPicPr>
                  <pic:blipFill>
                    <a:blip r:embed="rId148" cstate="print">
                      <a:extLst>
                        <a:ext uri="{28A0092B-C50C-407E-A947-70E740481C1C}">
                          <a14:useLocalDpi xmlns:a14="http://schemas.microsoft.com/office/drawing/2010/main" val="0"/>
                        </a:ext>
                      </a:extLst>
                    </a:blip>
                    <a:srcRect r="565"/>
                    <a:stretch>
                      <a:fillRect/>
                    </a:stretch>
                  </pic:blipFill>
                  <pic:spPr bwMode="auto">
                    <a:xfrm>
                      <a:off x="0" y="0"/>
                      <a:ext cx="6342380" cy="6769735"/>
                    </a:xfrm>
                    <a:prstGeom prst="rect">
                      <a:avLst/>
                    </a:prstGeom>
                    <a:noFill/>
                    <a:ln w="9525">
                      <a:noFill/>
                      <a:miter lim="800000"/>
                      <a:headEnd/>
                      <a:tailEnd/>
                    </a:ln>
                  </pic:spPr>
                </pic:pic>
              </a:graphicData>
            </a:graphic>
          </wp:anchor>
        </w:drawing>
      </w:r>
    </w:p>
    <w:p w14:paraId="73EE8D45" w14:textId="77777777" w:rsidR="00F14C2E" w:rsidRPr="00BC31E0" w:rsidRDefault="00F14C2E">
      <w:pPr>
        <w:widowControl/>
        <w:jc w:val="left"/>
        <w:rPr>
          <w:rFonts w:asciiTheme="minorEastAsia" w:eastAsiaTheme="minorEastAsia" w:hAnsiTheme="minorEastAsia"/>
        </w:rPr>
      </w:pPr>
      <w:r w:rsidRPr="00BC31E0">
        <w:rPr>
          <w:rFonts w:asciiTheme="minorEastAsia" w:eastAsiaTheme="minorEastAsia" w:hAnsiTheme="minorEastAsia"/>
        </w:rPr>
        <w:br w:type="page"/>
      </w:r>
    </w:p>
    <w:p w14:paraId="21AE90DF" w14:textId="77777777" w:rsidR="00FF57A8" w:rsidRPr="00BC31E0" w:rsidRDefault="00FF57A8" w:rsidP="001B7872">
      <w:pPr>
        <w:pStyle w:val="afff3"/>
        <w:spacing w:line="240" w:lineRule="auto"/>
      </w:pPr>
      <w:bookmarkStart w:id="167" w:name="_Toc357672132"/>
      <w:bookmarkStart w:id="168" w:name="_Toc120092568"/>
      <w:r w:rsidRPr="00BC31E0">
        <w:rPr>
          <w:rFonts w:hint="eastAsia"/>
        </w:rPr>
        <w:lastRenderedPageBreak/>
        <w:t>附属書</w:t>
      </w:r>
      <w:r w:rsidRPr="00BC31E0">
        <w:t>H</w:t>
      </w:r>
      <w:r w:rsidRPr="00BC31E0">
        <w:rPr>
          <w:rFonts w:hint="eastAsia"/>
        </w:rPr>
        <w:t>(規定)　クランプ継手の設計</w:t>
      </w:r>
      <w:bookmarkEnd w:id="167"/>
      <w:bookmarkEnd w:id="168"/>
    </w:p>
    <w:p w14:paraId="40F877C7" w14:textId="77777777" w:rsidR="00FF57A8" w:rsidRPr="00BC31E0" w:rsidRDefault="00FF57A8" w:rsidP="001B7872">
      <w:pPr>
        <w:pStyle w:val="afb"/>
        <w:spacing w:line="240" w:lineRule="auto"/>
      </w:pPr>
      <w:r w:rsidRPr="00BC31E0">
        <w:rPr>
          <w:rFonts w:hint="eastAsia"/>
        </w:rPr>
        <w:t>序文</w:t>
      </w:r>
    </w:p>
    <w:p w14:paraId="1717F30C" w14:textId="77777777" w:rsidR="00FF57A8" w:rsidRPr="00BC31E0" w:rsidRDefault="00FF57A8" w:rsidP="001B7872">
      <w:pPr>
        <w:pStyle w:val="15"/>
        <w:ind w:firstLine="210"/>
      </w:pPr>
      <w:r w:rsidRPr="00BC31E0">
        <w:rPr>
          <w:rFonts w:hint="eastAsia"/>
        </w:rPr>
        <w:t>この附属書は，圧力容器蓋部や配管の接続に使用される分割型クランプ継手の設計について規定する。設計荷重は</w:t>
      </w:r>
      <w:r w:rsidR="00653956" w:rsidRPr="00BC31E0">
        <w:rPr>
          <w:rFonts w:hint="eastAsia"/>
        </w:rPr>
        <w:t>本体の</w:t>
      </w:r>
      <w:r w:rsidRPr="00BC31E0">
        <w:rPr>
          <w:rFonts w:asciiTheme="majorEastAsia" w:eastAsiaTheme="majorEastAsia" w:hAnsiTheme="majorEastAsia" w:hint="eastAsia"/>
          <w:b/>
          <w:bCs/>
        </w:rPr>
        <w:t>6.1.4</w:t>
      </w:r>
      <w:r w:rsidR="00263EC4" w:rsidRPr="00BC31E0">
        <w:rPr>
          <w:rFonts w:hint="eastAsia"/>
        </w:rPr>
        <w:t>に</w:t>
      </w:r>
      <w:r w:rsidR="00B771CB" w:rsidRPr="00BC31E0">
        <w:rPr>
          <w:rFonts w:hint="eastAsia"/>
        </w:rPr>
        <w:t>規定する</w:t>
      </w:r>
      <w:r w:rsidR="004D0212" w:rsidRPr="00BC31E0">
        <w:rPr>
          <w:rFonts w:hint="eastAsia"/>
        </w:rPr>
        <w:t>ように，</w:t>
      </w:r>
      <w:r w:rsidRPr="00BC31E0">
        <w:rPr>
          <w:rFonts w:hint="eastAsia"/>
        </w:rPr>
        <w:t>内圧だけでなく，外力なども考慮する必要がある。その場合は</w:t>
      </w:r>
      <w:r w:rsidR="00B771CB" w:rsidRPr="00BC31E0">
        <w:rPr>
          <w:rFonts w:hint="eastAsia"/>
        </w:rPr>
        <w:t>，</w:t>
      </w:r>
      <w:r w:rsidRPr="00BC31E0">
        <w:rPr>
          <w:rFonts w:asciiTheme="majorEastAsia" w:eastAsiaTheme="majorEastAsia" w:hAnsiTheme="majorEastAsia" w:hint="eastAsia"/>
          <w:b/>
          <w:bCs/>
        </w:rPr>
        <w:t xml:space="preserve">ASME　Sec.Ⅷ </w:t>
      </w:r>
      <w:r w:rsidRPr="00BC31E0">
        <w:rPr>
          <w:rFonts w:asciiTheme="majorEastAsia" w:eastAsiaTheme="majorEastAsia" w:hAnsiTheme="majorEastAsia"/>
          <w:b/>
          <w:bCs/>
        </w:rPr>
        <w:t>Div.1 UG-44</w:t>
      </w:r>
      <w:r w:rsidRPr="00BC31E0">
        <w:rPr>
          <w:rFonts w:hint="eastAsia"/>
        </w:rPr>
        <w:t>又は有限要素法解析</w:t>
      </w:r>
      <w:r w:rsidR="004D0212" w:rsidRPr="00BC31E0">
        <w:rPr>
          <w:rFonts w:hint="eastAsia"/>
        </w:rPr>
        <w:t>など</w:t>
      </w:r>
      <w:r w:rsidRPr="00BC31E0">
        <w:rPr>
          <w:rFonts w:hint="eastAsia"/>
        </w:rPr>
        <w:t>で評価しなければならない。</w:t>
      </w:r>
    </w:p>
    <w:p w14:paraId="0CD3E077" w14:textId="77777777" w:rsidR="00FF57A8" w:rsidRPr="00BC31E0" w:rsidRDefault="00FF57A8" w:rsidP="001B7872"/>
    <w:p w14:paraId="3756E52F" w14:textId="77777777" w:rsidR="00FF57A8" w:rsidRPr="00BC31E0" w:rsidRDefault="00FF57A8" w:rsidP="00736130">
      <w:pPr>
        <w:pStyle w:val="1f9"/>
        <w:numPr>
          <w:ilvl w:val="0"/>
          <w:numId w:val="227"/>
        </w:numPr>
        <w:tabs>
          <w:tab w:val="clear" w:pos="284"/>
        </w:tabs>
        <w:adjustRightInd/>
        <w:snapToGrid/>
        <w:spacing w:line="240" w:lineRule="auto"/>
        <w:ind w:left="340" w:hanging="340"/>
      </w:pPr>
      <w:r w:rsidRPr="00BC31E0">
        <w:rPr>
          <w:rFonts w:hint="eastAsia"/>
        </w:rPr>
        <w:t>一般要求</w:t>
      </w:r>
    </w:p>
    <w:p w14:paraId="1BA31F82" w14:textId="77777777" w:rsidR="00FF57A8" w:rsidRPr="00BC31E0" w:rsidRDefault="00FF57A8" w:rsidP="001B7872">
      <w:pPr>
        <w:pStyle w:val="15"/>
        <w:ind w:firstLine="210"/>
      </w:pPr>
      <w:r w:rsidRPr="00BC31E0">
        <w:rPr>
          <w:rFonts w:hint="eastAsia"/>
        </w:rPr>
        <w:t>一般要求は，次の</w:t>
      </w:r>
      <w:r w:rsidRPr="00BC31E0">
        <w:rPr>
          <w:rFonts w:ascii="ＭＳ ゴシック" w:hAnsi="ＭＳ ゴシック" w:hint="eastAsia"/>
          <w:b/>
        </w:rPr>
        <w:t>a)</w:t>
      </w:r>
      <w:r w:rsidRPr="00BC31E0">
        <w:rPr>
          <w:rFonts w:hint="eastAsia"/>
        </w:rPr>
        <w:t>～</w:t>
      </w:r>
      <w:r w:rsidRPr="00BC31E0">
        <w:rPr>
          <w:rFonts w:ascii="ＭＳ ゴシック" w:hAnsi="ＭＳ ゴシック" w:hint="eastAsia"/>
          <w:b/>
        </w:rPr>
        <w:t>d)</w:t>
      </w:r>
      <w:r w:rsidRPr="00BC31E0">
        <w:rPr>
          <w:rFonts w:hint="eastAsia"/>
        </w:rPr>
        <w:t>による。</w:t>
      </w:r>
    </w:p>
    <w:p w14:paraId="5BFC7320" w14:textId="77777777" w:rsidR="00FF57A8" w:rsidRPr="00BC31E0" w:rsidRDefault="00FF57A8" w:rsidP="00736130">
      <w:pPr>
        <w:pStyle w:val="a4"/>
        <w:numPr>
          <w:ilvl w:val="0"/>
          <w:numId w:val="234"/>
        </w:numPr>
        <w:ind w:leftChars="0" w:left="454" w:hanging="454"/>
      </w:pPr>
      <w:r w:rsidRPr="00BC31E0">
        <w:rPr>
          <w:rFonts w:hint="eastAsia"/>
        </w:rPr>
        <w:t>ガスケットは</w:t>
      </w:r>
      <w:r w:rsidRPr="00BC31E0">
        <w:rPr>
          <w:rFonts w:ascii="ＭＳ ゴシック" w:eastAsia="ＭＳ ゴシック" w:hint="eastAsia"/>
          <w:b/>
        </w:rPr>
        <w:t>図</w:t>
      </w:r>
      <w:r w:rsidRPr="00BC31E0">
        <w:rPr>
          <w:rFonts w:ascii="ＭＳ ゴシック" w:eastAsia="ＭＳ ゴシック"/>
          <w:b/>
        </w:rPr>
        <w:t>H.1</w:t>
      </w:r>
      <w:r w:rsidRPr="00BC31E0">
        <w:rPr>
          <w:rFonts w:ascii="ＭＳ ゴシック" w:eastAsia="ＭＳ ゴシック" w:hint="eastAsia"/>
          <w:b/>
        </w:rPr>
        <w:t>(</w:t>
      </w:r>
      <w:r w:rsidRPr="00BC31E0">
        <w:rPr>
          <w:rFonts w:ascii="ＭＳ ゴシック" w:eastAsia="ＭＳ ゴシック"/>
          <w:b/>
        </w:rPr>
        <w:t>a</w:t>
      </w:r>
      <w:r w:rsidRPr="00BC31E0">
        <w:rPr>
          <w:rFonts w:ascii="ＭＳ ゴシック" w:eastAsia="ＭＳ ゴシック" w:hint="eastAsia"/>
          <w:b/>
        </w:rPr>
        <w:t>)</w:t>
      </w:r>
      <w:r w:rsidRPr="00BC31E0">
        <w:rPr>
          <w:rFonts w:hint="eastAsia"/>
        </w:rPr>
        <w:t>に示すような，自緊型ガスケットを使用することが推奨される。自緊型ガスケット以外のものに対してのガスケット係数</w:t>
      </w:r>
      <m:oMath>
        <m:r>
          <w:rPr>
            <w:rFonts w:ascii="Cambria Math" w:hAnsi="Cambria Math"/>
          </w:rPr>
          <m:t xml:space="preserve"> m </m:t>
        </m:r>
      </m:oMath>
      <w:r w:rsidRPr="00BC31E0">
        <w:rPr>
          <w:rFonts w:hint="eastAsia"/>
        </w:rPr>
        <w:t>は，他</w:t>
      </w:r>
      <w:r w:rsidR="00CF0AA7" w:rsidRPr="00BC31E0">
        <w:rPr>
          <w:rFonts w:hint="eastAsia"/>
        </w:rPr>
        <w:t>の</w:t>
      </w:r>
      <w:r w:rsidRPr="00BC31E0">
        <w:rPr>
          <w:rFonts w:hint="eastAsia"/>
        </w:rPr>
        <w:t>規格</w:t>
      </w:r>
      <w:r w:rsidR="00653956" w:rsidRPr="00BC31E0">
        <w:rPr>
          <w:rFonts w:hint="eastAsia"/>
        </w:rPr>
        <w:t>を用いてもよい</w:t>
      </w:r>
      <w:r w:rsidRPr="00BC31E0">
        <w:rPr>
          <w:rFonts w:hint="eastAsia"/>
        </w:rPr>
        <w:t>。ガスケット接触面の変形を考慮して，ハブ面はガスケットシール側外面で金属接触するように設計することが望ましい。このためにハブ面にくぼみをつけるか，金属のスペーサを使用してもよい。この場合，運転と組立時の荷重でハブ面，又はスペーサに降伏が起きないように，接触面積を十分設けなければならない。</w:t>
      </w:r>
    </w:p>
    <w:p w14:paraId="7ED9759A" w14:textId="77777777" w:rsidR="00FF57A8" w:rsidRPr="00BC31E0" w:rsidRDefault="00FF57A8" w:rsidP="00736130">
      <w:pPr>
        <w:pStyle w:val="a4"/>
        <w:numPr>
          <w:ilvl w:val="0"/>
          <w:numId w:val="234"/>
        </w:numPr>
        <w:ind w:leftChars="0" w:left="454" w:hanging="454"/>
      </w:pPr>
      <w:r w:rsidRPr="00BC31E0">
        <w:rPr>
          <w:rFonts w:hint="eastAsia"/>
        </w:rPr>
        <w:t>クランプの内表面とハブ外表面と平行で，締付時のくさび効果を利用しないクランプを設計してもよいが，その場合はクランプ角</w:t>
      </w:r>
      <w:r w:rsidRPr="00BC31E0">
        <w:t>10°</w:t>
      </w:r>
      <w:r w:rsidRPr="00BC31E0">
        <w:rPr>
          <w:rFonts w:hint="eastAsia"/>
        </w:rPr>
        <w:t>に対して設計したクランプ継手のクランプとハブの要求とボルト締めの条件を満たさなければならない。</w:t>
      </w:r>
    </w:p>
    <w:p w14:paraId="7781931F" w14:textId="77777777" w:rsidR="00FF57A8" w:rsidRPr="00BC31E0" w:rsidRDefault="00FF57A8" w:rsidP="00736130">
      <w:pPr>
        <w:pStyle w:val="a4"/>
        <w:numPr>
          <w:ilvl w:val="0"/>
          <w:numId w:val="234"/>
        </w:numPr>
        <w:ind w:leftChars="0" w:left="454" w:hanging="454"/>
      </w:pPr>
      <w:r w:rsidRPr="00BC31E0">
        <w:rPr>
          <w:rFonts w:hint="eastAsia"/>
        </w:rPr>
        <w:t>この附属書によって設計したクランプは，分割部</w:t>
      </w:r>
      <w:r w:rsidR="00A82C2A" w:rsidRPr="00BC31E0">
        <w:rPr>
          <w:rFonts w:hint="eastAsia"/>
        </w:rPr>
        <w:t>ごと</w:t>
      </w:r>
      <w:r w:rsidRPr="00BC31E0">
        <w:rPr>
          <w:rFonts w:hint="eastAsia"/>
        </w:rPr>
        <w:t>に</w:t>
      </w:r>
      <w:r w:rsidRPr="00BC31E0">
        <w:rPr>
          <w:rFonts w:asciiTheme="minorHAnsi" w:hAnsiTheme="minorHAnsi"/>
        </w:rPr>
        <w:t>2</w:t>
      </w:r>
      <w:r w:rsidRPr="00BC31E0">
        <w:rPr>
          <w:rFonts w:hint="eastAsia"/>
        </w:rPr>
        <w:t>本以上のボルトを設ける。</w:t>
      </w:r>
    </w:p>
    <w:p w14:paraId="40F607F8" w14:textId="77777777" w:rsidR="00FF57A8" w:rsidRPr="00BC31E0" w:rsidRDefault="00FF57A8" w:rsidP="00736130">
      <w:pPr>
        <w:pStyle w:val="a4"/>
        <w:numPr>
          <w:ilvl w:val="0"/>
          <w:numId w:val="235"/>
        </w:numPr>
        <w:ind w:leftChars="0" w:left="454" w:hanging="454"/>
      </w:pPr>
      <w:r w:rsidRPr="00BC31E0">
        <w:rPr>
          <w:rFonts w:hint="eastAsia"/>
        </w:rPr>
        <w:t>ハブ面とクランプの設計は，ハブとクランプのオーバーストレスを防ぐため，ガスケットからの漏れがあった場合，適切なサイズで圧力を逃すような通気孔と検知孔を設ける。</w:t>
      </w:r>
    </w:p>
    <w:p w14:paraId="399C8ABD" w14:textId="77777777" w:rsidR="00FF57A8" w:rsidRPr="00BC31E0" w:rsidRDefault="00FF57A8" w:rsidP="001B7872">
      <w:pPr>
        <w:autoSpaceDE w:val="0"/>
        <w:autoSpaceDN w:val="0"/>
        <w:rPr>
          <w:rFonts w:ascii="ＭＳ 明朝"/>
          <w:bCs/>
        </w:rPr>
      </w:pPr>
    </w:p>
    <w:p w14:paraId="45833FBD" w14:textId="77777777" w:rsidR="00FF57A8" w:rsidRPr="00BC31E0" w:rsidRDefault="00FF57A8" w:rsidP="001B7872">
      <w:pPr>
        <w:pStyle w:val="1f9"/>
        <w:numPr>
          <w:ilvl w:val="0"/>
          <w:numId w:val="2"/>
        </w:numPr>
        <w:adjustRightInd/>
        <w:snapToGrid/>
        <w:spacing w:line="240" w:lineRule="auto"/>
        <w:ind w:left="340" w:hanging="340"/>
      </w:pPr>
      <w:r w:rsidRPr="00BC31E0">
        <w:rPr>
          <w:rFonts w:hint="eastAsia"/>
        </w:rPr>
        <w:t>材料</w:t>
      </w:r>
    </w:p>
    <w:p w14:paraId="57310FA6" w14:textId="77777777" w:rsidR="00FF57A8" w:rsidRPr="00BC31E0" w:rsidRDefault="00FF57A8" w:rsidP="001B7872">
      <w:pPr>
        <w:pStyle w:val="15"/>
        <w:ind w:firstLine="210"/>
      </w:pPr>
      <w:r w:rsidRPr="00BC31E0">
        <w:rPr>
          <w:rFonts w:hint="eastAsia"/>
        </w:rPr>
        <w:t>クランプ継手の材料は次の</w:t>
      </w:r>
      <w:r w:rsidRPr="00BC31E0">
        <w:rPr>
          <w:rFonts w:ascii="ＭＳ ゴシック" w:eastAsia="ＭＳ ゴシック" w:hint="eastAsia"/>
          <w:b/>
        </w:rPr>
        <w:t>a)</w:t>
      </w:r>
      <w:r w:rsidRPr="00BC31E0">
        <w:rPr>
          <w:rFonts w:hint="eastAsia"/>
        </w:rPr>
        <w:t>，</w:t>
      </w:r>
      <w:r w:rsidRPr="00BC31E0">
        <w:rPr>
          <w:rFonts w:ascii="ＭＳ ゴシック" w:eastAsia="ＭＳ ゴシック" w:hint="eastAsia"/>
          <w:b/>
        </w:rPr>
        <w:t>b)</w:t>
      </w:r>
      <w:r w:rsidRPr="00BC31E0">
        <w:rPr>
          <w:rFonts w:hint="eastAsia"/>
        </w:rPr>
        <w:t>による。</w:t>
      </w:r>
    </w:p>
    <w:p w14:paraId="103232EB" w14:textId="77777777" w:rsidR="00FF57A8" w:rsidRPr="00BC31E0" w:rsidRDefault="00FF57A8" w:rsidP="00736130">
      <w:pPr>
        <w:pStyle w:val="a4"/>
        <w:numPr>
          <w:ilvl w:val="0"/>
          <w:numId w:val="236"/>
        </w:numPr>
        <w:ind w:leftChars="0" w:left="454" w:hanging="454"/>
      </w:pPr>
      <w:r w:rsidRPr="00BC31E0">
        <w:rPr>
          <w:rFonts w:hint="eastAsia"/>
        </w:rPr>
        <w:t>ハブ及びクランプに使用する材料は，この規格の要求事項に従わなければならない。また，板材から加工してはいけない。</w:t>
      </w:r>
    </w:p>
    <w:p w14:paraId="70D80C27" w14:textId="77777777" w:rsidR="00FF57A8" w:rsidRPr="00BC31E0" w:rsidRDefault="00FF57A8" w:rsidP="00736130">
      <w:pPr>
        <w:pStyle w:val="a4"/>
        <w:numPr>
          <w:ilvl w:val="0"/>
          <w:numId w:val="236"/>
        </w:numPr>
        <w:ind w:leftChars="0" w:left="454" w:hanging="454"/>
      </w:pPr>
      <w:r w:rsidRPr="00BC31E0">
        <w:rPr>
          <w:rFonts w:hint="eastAsia"/>
        </w:rPr>
        <w:t>ボルトの最小径は</w:t>
      </w:r>
      <w:r w:rsidRPr="00BC31E0">
        <w:rPr>
          <w:rFonts w:ascii="Cambria Math" w:hAnsi="Cambria Math" w:hint="eastAsia"/>
        </w:rPr>
        <w:t>13</w:t>
      </w:r>
      <w:r w:rsidRPr="00BC31E0">
        <w:rPr>
          <w:rFonts w:ascii="Cambria Math" w:hAnsi="Cambria Math"/>
        </w:rPr>
        <w:t>mm</w:t>
      </w:r>
      <w:r w:rsidRPr="00BC31E0">
        <w:rPr>
          <w:rFonts w:hint="eastAsia"/>
        </w:rPr>
        <w:t>として，スタッド，ナット及び座金は本体の</w:t>
      </w:r>
      <w:r w:rsidRPr="00BC31E0">
        <w:rPr>
          <w:rFonts w:ascii="ＭＳ ゴシック" w:eastAsia="ＭＳ ゴシック" w:hint="eastAsia"/>
          <w:b/>
        </w:rPr>
        <w:t>5.3</w:t>
      </w:r>
      <w:r w:rsidRPr="00BC31E0">
        <w:rPr>
          <w:rFonts w:asciiTheme="minorEastAsia" w:eastAsiaTheme="minorEastAsia" w:hAnsiTheme="minorEastAsia" w:hint="eastAsia"/>
          <w:bCs/>
        </w:rPr>
        <w:t>及び</w:t>
      </w:r>
      <w:r w:rsidRPr="00BC31E0">
        <w:rPr>
          <w:rFonts w:ascii="ＭＳ ゴシック" w:eastAsia="ＭＳ ゴシック" w:hint="eastAsia"/>
          <w:b/>
        </w:rPr>
        <w:t>6.5</w:t>
      </w:r>
      <w:r w:rsidRPr="00BC31E0">
        <w:rPr>
          <w:rFonts w:hint="eastAsia"/>
        </w:rPr>
        <w:t>による。</w:t>
      </w:r>
    </w:p>
    <w:p w14:paraId="2B572982" w14:textId="77777777" w:rsidR="00FF57A8" w:rsidRPr="00BC31E0" w:rsidRDefault="00FF57A8" w:rsidP="001B7872">
      <w:pPr>
        <w:tabs>
          <w:tab w:val="left" w:pos="567"/>
        </w:tabs>
        <w:autoSpaceDE w:val="0"/>
        <w:autoSpaceDN w:val="0"/>
        <w:ind w:left="284" w:hanging="312"/>
        <w:rPr>
          <w:bCs/>
        </w:rPr>
      </w:pPr>
    </w:p>
    <w:p w14:paraId="49E02516" w14:textId="77777777" w:rsidR="00FF57A8" w:rsidRPr="00BC31E0" w:rsidRDefault="00FF57A8" w:rsidP="001B7872">
      <w:pPr>
        <w:pStyle w:val="1f9"/>
        <w:numPr>
          <w:ilvl w:val="0"/>
          <w:numId w:val="2"/>
        </w:numPr>
        <w:adjustRightInd/>
        <w:snapToGrid/>
        <w:spacing w:line="240" w:lineRule="auto"/>
        <w:ind w:left="340" w:hanging="340"/>
      </w:pPr>
      <w:r w:rsidRPr="00BC31E0">
        <w:rPr>
          <w:rFonts w:hint="eastAsia"/>
        </w:rPr>
        <w:t>記号</w:t>
      </w:r>
    </w:p>
    <w:p w14:paraId="36FB940F" w14:textId="77777777" w:rsidR="00FF57A8" w:rsidRPr="00BC31E0" w:rsidRDefault="00FF57A8" w:rsidP="001B7872">
      <w:pPr>
        <w:ind w:firstLineChars="100" w:firstLine="210"/>
      </w:pPr>
      <w:r w:rsidRPr="00BC31E0">
        <w:rPr>
          <w:rFonts w:hint="eastAsia"/>
        </w:rPr>
        <w:t>クランプ継手の設計に使用される式には，次に示す記号を用いる。</w:t>
      </w:r>
    </w:p>
    <w:p w14:paraId="6C6BDFD5" w14:textId="77777777" w:rsidR="00FF57A8" w:rsidRPr="00BC31E0" w:rsidRDefault="00A51873" w:rsidP="001B7872">
      <w:pPr>
        <w:tabs>
          <w:tab w:val="left" w:pos="709"/>
        </w:tabs>
        <w:ind w:leftChars="100" w:left="210"/>
      </w:pPr>
      <m:oMath>
        <m:sSub>
          <m:sSubPr>
            <m:ctrlPr>
              <w:rPr>
                <w:rFonts w:ascii="Cambria Math" w:hAnsi="Cambria Math"/>
                <w:i/>
              </w:rPr>
            </m:ctrlPr>
          </m:sSubPr>
          <m:e>
            <m:r>
              <w:rPr>
                <w:rFonts w:ascii="Cambria Math" w:hAnsi="Cambria Math"/>
              </w:rPr>
              <m:t>A</m:t>
            </m:r>
          </m:e>
          <m:sub>
            <m:r>
              <w:rPr>
                <w:rFonts w:ascii="Cambria Math" w:hAnsi="Cambria Math"/>
              </w:rPr>
              <m:t>b</m:t>
            </m:r>
          </m:sub>
        </m:sSub>
      </m:oMath>
      <w:r w:rsidR="00FF57A8" w:rsidRPr="00BC31E0">
        <w:tab/>
      </w:r>
      <w:r w:rsidR="00FF57A8" w:rsidRPr="00BC31E0">
        <w:rPr>
          <w:rFonts w:hint="eastAsia"/>
        </w:rPr>
        <w:t>：</w:t>
      </w:r>
      <w:r w:rsidR="00FF57A8" w:rsidRPr="00BC31E0">
        <w:rPr>
          <w:rFonts w:hint="eastAsia"/>
        </w:rPr>
        <w:t xml:space="preserve"> </w:t>
      </w:r>
      <w:r w:rsidR="00FF57A8" w:rsidRPr="00BC31E0">
        <w:rPr>
          <w:rFonts w:hint="eastAsia"/>
        </w:rPr>
        <w:t>実際に使用されるクランプラグ毎のボルトの合計断面積</w:t>
      </w:r>
      <w:r w:rsidR="00FF57A8" w:rsidRPr="00BC31E0">
        <w:rPr>
          <w:rFonts w:hint="eastAsia"/>
        </w:rPr>
        <w:t>(</w:t>
      </w:r>
      <w:r w:rsidR="00FF57A8" w:rsidRPr="00BC31E0">
        <w:rPr>
          <w:rFonts w:ascii="Cambria Math" w:hAnsi="Cambria Math"/>
        </w:rPr>
        <w:t>mm</w:t>
      </w:r>
      <w:r w:rsidR="00FF57A8" w:rsidRPr="00BC31E0">
        <w:rPr>
          <w:rFonts w:ascii="Cambria Math" w:hAnsi="Cambria Math"/>
          <w:vertAlign w:val="superscript"/>
        </w:rPr>
        <w:t>2</w:t>
      </w:r>
      <w:r w:rsidR="00FF57A8" w:rsidRPr="00BC31E0">
        <w:rPr>
          <w:rFonts w:hint="eastAsia"/>
        </w:rPr>
        <w:t>)</w:t>
      </w:r>
    </w:p>
    <w:p w14:paraId="0176ED29" w14:textId="77777777" w:rsidR="00FF57A8" w:rsidRPr="00BC31E0" w:rsidRDefault="00A51873" w:rsidP="001B7872">
      <w:pPr>
        <w:tabs>
          <w:tab w:val="left" w:pos="709"/>
        </w:tabs>
        <w:ind w:leftChars="100" w:left="210"/>
      </w:pPr>
      <m:oMath>
        <m:sSub>
          <m:sSubPr>
            <m:ctrlPr>
              <w:rPr>
                <w:rFonts w:ascii="Cambria Math" w:hAnsi="Cambria Math"/>
                <w:i/>
              </w:rPr>
            </m:ctrlPr>
          </m:sSubPr>
          <m:e>
            <m:r>
              <w:rPr>
                <w:rFonts w:ascii="Cambria Math" w:hAnsi="Cambria Math"/>
              </w:rPr>
              <m:t>A</m:t>
            </m:r>
          </m:e>
          <m:sub>
            <m:r>
              <w:rPr>
                <w:rFonts w:ascii="Cambria Math" w:hAnsi="Cambria Math"/>
              </w:rPr>
              <m:t>c</m:t>
            </m:r>
          </m:sub>
        </m:sSub>
      </m:oMath>
      <w:r w:rsidR="00FF57A8" w:rsidRPr="00BC31E0">
        <w:tab/>
      </w:r>
      <w:r w:rsidR="00FF57A8" w:rsidRPr="00BC31E0">
        <w:rPr>
          <w:rFonts w:hint="eastAsia"/>
        </w:rPr>
        <w:t>：</w:t>
      </w:r>
      <w:r w:rsidR="00FF57A8" w:rsidRPr="00BC31E0">
        <w:rPr>
          <w:rFonts w:hint="eastAsia"/>
        </w:rPr>
        <w:t xml:space="preserve"> </w:t>
      </w:r>
      <w:r w:rsidR="00FF57A8" w:rsidRPr="00BC31E0">
        <w:rPr>
          <w:rFonts w:hint="eastAsia"/>
        </w:rPr>
        <w:t>クランプの合計断面積</w:t>
      </w:r>
      <w:r w:rsidR="00FF57A8" w:rsidRPr="00BC31E0">
        <w:rPr>
          <w:rFonts w:hint="eastAsia"/>
        </w:rPr>
        <w:t>(</w:t>
      </w:r>
      <w:r w:rsidR="00FF57A8" w:rsidRPr="00BC31E0">
        <w:rPr>
          <w:rFonts w:ascii="Cambria Math" w:hAnsi="Cambria Math"/>
        </w:rPr>
        <w:t>mm</w:t>
      </w:r>
      <w:r w:rsidR="00FF57A8" w:rsidRPr="00BC31E0">
        <w:rPr>
          <w:rFonts w:ascii="Cambria Math" w:hAnsi="Cambria Math"/>
          <w:vertAlign w:val="superscript"/>
        </w:rPr>
        <w:t>2</w:t>
      </w:r>
      <w:r w:rsidR="00FF57A8" w:rsidRPr="00BC31E0">
        <w:rPr>
          <w:rFonts w:hint="eastAsia"/>
        </w:rPr>
        <w:t>)</w:t>
      </w:r>
    </w:p>
    <w:p w14:paraId="4A74FE42" w14:textId="77777777" w:rsidR="00FF57A8" w:rsidRPr="00BC31E0" w:rsidRDefault="00FF57A8" w:rsidP="001B7872">
      <w:pPr>
        <w:ind w:left="1077"/>
      </w:pPr>
      <m:oMath>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c1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c2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c3</m:t>
            </m:r>
          </m:sub>
        </m:sSub>
      </m:oMath>
      <w:r w:rsidRPr="00BC31E0">
        <w:rPr>
          <w:i/>
        </w:rPr>
        <w:t xml:space="preserve"> </w:t>
      </w:r>
    </w:p>
    <w:p w14:paraId="054B04F2" w14:textId="77777777" w:rsidR="00FF57A8" w:rsidRPr="00BC31E0" w:rsidRDefault="00A51873" w:rsidP="001B7872">
      <w:pPr>
        <w:tabs>
          <w:tab w:val="left" w:pos="709"/>
        </w:tabs>
        <w:ind w:leftChars="100" w:left="210"/>
      </w:pPr>
      <m:oMath>
        <m:sSub>
          <m:sSubPr>
            <m:ctrlPr>
              <w:rPr>
                <w:rFonts w:ascii="Cambria Math" w:hAnsi="Cambria Math"/>
                <w:i/>
              </w:rPr>
            </m:ctrlPr>
          </m:sSubPr>
          <m:e>
            <m:r>
              <w:rPr>
                <w:rFonts w:ascii="Cambria Math" w:hAnsi="Cambria Math"/>
              </w:rPr>
              <m:t>A</m:t>
            </m:r>
          </m:e>
          <m:sub>
            <m:r>
              <w:rPr>
                <w:rFonts w:ascii="Cambria Math" w:hAnsi="Cambria Math"/>
              </w:rPr>
              <m:t>c1</m:t>
            </m:r>
          </m:sub>
        </m:sSub>
      </m:oMath>
      <w:r w:rsidR="00FF57A8" w:rsidRPr="00BC31E0">
        <w:rPr>
          <w:rFonts w:hint="eastAsia"/>
          <w:i/>
        </w:rPr>
        <w:tab/>
      </w:r>
      <w:r w:rsidR="00FF57A8" w:rsidRPr="00BC31E0">
        <w:rPr>
          <w:rFonts w:hint="eastAsia"/>
        </w:rPr>
        <w:t>：</w:t>
      </w:r>
      <w:r w:rsidR="00FF57A8" w:rsidRPr="00BC31E0">
        <w:rPr>
          <w:rFonts w:hint="eastAsia"/>
        </w:rPr>
        <w:t xml:space="preserve"> </w:t>
      </w:r>
      <w:r w:rsidR="00FF57A8" w:rsidRPr="00BC31E0">
        <w:rPr>
          <w:rFonts w:hint="eastAsia"/>
        </w:rPr>
        <w:t>クランプの部分断面積</w:t>
      </w:r>
      <w:r w:rsidR="00FF57A8" w:rsidRPr="00BC31E0">
        <w:rPr>
          <w:rFonts w:hint="eastAsia"/>
        </w:rPr>
        <w:t>(</w:t>
      </w:r>
      <w:r w:rsidR="00FF57A8" w:rsidRPr="00BC31E0">
        <w:rPr>
          <w:rFonts w:ascii="Cambria Math" w:hAnsi="Cambria Math"/>
        </w:rPr>
        <w:t>mm</w:t>
      </w:r>
      <w:r w:rsidR="00FF57A8" w:rsidRPr="00BC31E0">
        <w:rPr>
          <w:rFonts w:ascii="Cambria Math" w:hAnsi="Cambria Math"/>
          <w:vertAlign w:val="superscript"/>
        </w:rPr>
        <w:t>2</w:t>
      </w:r>
      <w:r w:rsidR="00FF57A8" w:rsidRPr="00BC31E0">
        <w:rPr>
          <w:rFonts w:hint="eastAsia"/>
        </w:rPr>
        <w:t>)</w:t>
      </w:r>
    </w:p>
    <w:p w14:paraId="2A096420" w14:textId="77777777" w:rsidR="00FF57A8" w:rsidRPr="00BC31E0" w:rsidRDefault="00FF57A8" w:rsidP="001B7872">
      <w:pPr>
        <w:ind w:left="1077"/>
      </w:pPr>
      <m:oMath>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w</m:t>
                </m:r>
              </m:sub>
            </m:sSub>
            <m:r>
              <w:rPr>
                <w:rFonts w:ascii="Cambria Math" w:hAnsi="Cambria Math"/>
              </w:rPr>
              <m:t>-2</m:t>
            </m:r>
            <m:sSub>
              <m:sSubPr>
                <m:ctrlPr>
                  <w:rPr>
                    <w:rFonts w:ascii="Cambria Math" w:hAnsi="Cambria Math"/>
                    <w:i/>
                  </w:rPr>
                </m:ctrlPr>
              </m:sSubPr>
              <m:e>
                <m:r>
                  <w:rPr>
                    <w:rFonts w:ascii="Cambria Math" w:hAnsi="Cambria Math"/>
                  </w:rPr>
                  <m:t xml:space="preserve"> C</m:t>
                </m:r>
              </m:e>
              <m:sub>
                <m:r>
                  <w:rPr>
                    <w:rFonts w:ascii="Cambria Math" w:hAnsi="Cambria Math"/>
                  </w:rPr>
                  <m:t>t</m:t>
                </m:r>
              </m:sub>
            </m:sSub>
          </m:e>
        </m:d>
        <m:sSub>
          <m:sSubPr>
            <m:ctrlPr>
              <w:rPr>
                <w:rFonts w:ascii="Cambria Math" w:hAnsi="Cambria Math"/>
                <w:i/>
              </w:rPr>
            </m:ctrlPr>
          </m:sSubPr>
          <m:e>
            <m:r>
              <w:rPr>
                <w:rFonts w:ascii="Cambria Math" w:hAnsi="Cambria Math"/>
              </w:rPr>
              <m:t xml:space="preserve"> C</m:t>
            </m:r>
          </m:e>
          <m:sub>
            <m:r>
              <w:rPr>
                <w:rFonts w:ascii="Cambria Math" w:hAnsi="Cambria Math"/>
              </w:rPr>
              <m:t>t</m:t>
            </m:r>
          </m:sub>
        </m:sSub>
      </m:oMath>
      <w:r w:rsidRPr="00BC31E0">
        <w:rPr>
          <w:i/>
        </w:rPr>
        <w:t xml:space="preserve"> </w:t>
      </w:r>
    </w:p>
    <w:p w14:paraId="4552D98B" w14:textId="77777777" w:rsidR="00FF57A8" w:rsidRPr="00BC31E0" w:rsidRDefault="00A51873" w:rsidP="001B7872">
      <w:pPr>
        <w:tabs>
          <w:tab w:val="left" w:pos="709"/>
        </w:tabs>
        <w:ind w:leftChars="100" w:left="210"/>
      </w:pPr>
      <m:oMath>
        <m:sSub>
          <m:sSubPr>
            <m:ctrlPr>
              <w:rPr>
                <w:rFonts w:ascii="Cambria Math" w:hAnsi="Cambria Math"/>
                <w:i/>
              </w:rPr>
            </m:ctrlPr>
          </m:sSubPr>
          <m:e>
            <m:r>
              <w:rPr>
                <w:rFonts w:ascii="Cambria Math" w:hAnsi="Cambria Math"/>
              </w:rPr>
              <m:t>A</m:t>
            </m:r>
          </m:e>
          <m:sub>
            <m:r>
              <w:rPr>
                <w:rFonts w:ascii="Cambria Math" w:hAnsi="Cambria Math"/>
              </w:rPr>
              <m:t>c2</m:t>
            </m:r>
          </m:sub>
        </m:sSub>
      </m:oMath>
      <w:r w:rsidR="00FF57A8" w:rsidRPr="00BC31E0">
        <w:rPr>
          <w:rFonts w:hint="eastAsia"/>
          <w:i/>
        </w:rPr>
        <w:tab/>
      </w:r>
      <w:r w:rsidR="00FF57A8" w:rsidRPr="00BC31E0">
        <w:rPr>
          <w:rFonts w:hint="eastAsia"/>
        </w:rPr>
        <w:t>：</w:t>
      </w:r>
      <w:r w:rsidR="00FF57A8" w:rsidRPr="00BC31E0">
        <w:rPr>
          <w:rFonts w:hint="eastAsia"/>
        </w:rPr>
        <w:t xml:space="preserve"> </w:t>
      </w:r>
      <w:r w:rsidR="00FF57A8" w:rsidRPr="00BC31E0">
        <w:rPr>
          <w:rFonts w:hint="eastAsia"/>
        </w:rPr>
        <w:t>クランプの部分断面積</w:t>
      </w:r>
      <w:r w:rsidR="00FF57A8" w:rsidRPr="00BC31E0">
        <w:rPr>
          <w:rFonts w:hint="eastAsia"/>
        </w:rPr>
        <w:t>(</w:t>
      </w:r>
      <w:r w:rsidR="00FF57A8" w:rsidRPr="00BC31E0">
        <w:rPr>
          <w:rFonts w:ascii="Cambria Math" w:hAnsi="Cambria Math"/>
        </w:rPr>
        <w:t>mm</w:t>
      </w:r>
      <w:r w:rsidR="00FF57A8" w:rsidRPr="00BC31E0">
        <w:rPr>
          <w:rFonts w:ascii="Cambria Math" w:hAnsi="Cambria Math"/>
          <w:vertAlign w:val="superscript"/>
        </w:rPr>
        <w:t>2</w:t>
      </w:r>
      <w:r w:rsidR="00FF57A8" w:rsidRPr="00BC31E0">
        <w:rPr>
          <w:rFonts w:hint="eastAsia"/>
        </w:rPr>
        <w:t>)</w:t>
      </w:r>
    </w:p>
    <w:tbl>
      <w:tblPr>
        <w:tblStyle w:val="afff2"/>
        <w:tblW w:w="0" w:type="auto"/>
        <w:tblInd w:w="1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8"/>
      </w:tblGrid>
      <w:tr w:rsidR="00FF57A8" w:rsidRPr="00BC31E0" w14:paraId="77C410E2" w14:textId="77777777" w:rsidTr="004736F2">
        <w:tc>
          <w:tcPr>
            <w:tcW w:w="0" w:type="auto"/>
            <w:tcMar>
              <w:left w:w="0" w:type="dxa"/>
              <w:right w:w="0" w:type="dxa"/>
            </w:tcMar>
            <w:vAlign w:val="center"/>
          </w:tcPr>
          <w:p w14:paraId="167092FF" w14:textId="77777777" w:rsidR="00FF57A8" w:rsidRPr="00BC31E0" w:rsidRDefault="00FF57A8" w:rsidP="001B7872">
            <w:pPr>
              <w:rPr>
                <w:rFonts w:asciiTheme="minorHAnsi" w:hAnsiTheme="minorHAnsi"/>
                <w:i/>
              </w:rPr>
            </w:pPr>
            <m:oMathPara>
              <m:oMathParaPr>
                <m:jc m:val="left"/>
              </m:oMathParaPr>
              <m:oMath>
                <m:r>
                  <w:rPr>
                    <w:rFonts w:ascii="Cambria Math" w:hAnsi="Cambria Math"/>
                  </w:rPr>
                  <w:lastRenderedPageBreak/>
                  <m:t xml:space="preserve">=2 </m:t>
                </m:r>
                <m:sSup>
                  <m:sSupPr>
                    <m:ctrlPr>
                      <w:rPr>
                        <w:rFonts w:ascii="Cambria Math" w:hAnsi="Cambria Math"/>
                        <w:i/>
                      </w:rPr>
                    </m:ctrlPr>
                  </m:sSupPr>
                  <m:e>
                    <m:sSub>
                      <m:sSubPr>
                        <m:ctrlPr>
                          <w:rPr>
                            <w:rFonts w:ascii="Cambria Math" w:hAnsi="Cambria Math"/>
                            <w:i/>
                          </w:rPr>
                        </m:ctrlPr>
                      </m:sSubPr>
                      <m:e>
                        <m:r>
                          <w:rPr>
                            <w:rFonts w:ascii="Cambria Math" w:hAnsi="Cambria Math"/>
                          </w:rPr>
                          <m:t>C</m:t>
                        </m:r>
                      </m:e>
                      <m:sub>
                        <m:r>
                          <w:rPr>
                            <w:rFonts w:ascii="Cambria Math" w:hAnsi="Cambria Math"/>
                          </w:rPr>
                          <m:t>t</m:t>
                        </m:r>
                      </m:sub>
                    </m:sSub>
                  </m:e>
                  <m:sup>
                    <m:r>
                      <w:rPr>
                        <w:rFonts w:ascii="Cambria Math" w:hAnsi="Cambria Math"/>
                      </w:rPr>
                      <m:t>2</m:t>
                    </m:r>
                  </m:sup>
                </m:sSup>
                <m:r>
                  <w:rPr>
                    <w:rFonts w:ascii="Cambria Math" w:hAnsi="Cambria Math"/>
                  </w:rPr>
                  <m:t>-</m:t>
                </m:r>
                <m:d>
                  <m:dPr>
                    <m:ctrlPr>
                      <w:rPr>
                        <w:rFonts w:ascii="Cambria Math" w:hAnsi="Cambria Math"/>
                        <w:i/>
                      </w:rPr>
                    </m:ctrlPr>
                  </m:dPr>
                  <m:e>
                    <m:r>
                      <w:rPr>
                        <w:rFonts w:ascii="Cambria Math" w:hAnsi="Cambria Math"/>
                      </w:rPr>
                      <m:t>2-</m:t>
                    </m:r>
                    <m:f>
                      <m:fPr>
                        <m:ctrlPr>
                          <w:rPr>
                            <w:rFonts w:ascii="Cambria Math" w:hAnsi="Cambria Math"/>
                            <w:i/>
                          </w:rPr>
                        </m:ctrlPr>
                      </m:fPr>
                      <m:num>
                        <m:r>
                          <w:rPr>
                            <w:rFonts w:ascii="Cambria Math" w:hAnsi="Cambria Math"/>
                          </w:rPr>
                          <m:t>π</m:t>
                        </m:r>
                      </m:num>
                      <m:den>
                        <m:r>
                          <w:rPr>
                            <w:rFonts w:ascii="Cambria Math" w:hAnsi="Cambria Math"/>
                          </w:rPr>
                          <m:t>2</m:t>
                        </m:r>
                      </m:den>
                    </m:f>
                  </m:e>
                </m:d>
                <m:sSup>
                  <m:sSupPr>
                    <m:ctrlPr>
                      <w:rPr>
                        <w:rFonts w:ascii="Cambria Math" w:hAnsi="Cambria Math"/>
                        <w:i/>
                      </w:rPr>
                    </m:ctrlPr>
                  </m:sSupPr>
                  <m:e>
                    <m:r>
                      <w:rPr>
                        <w:rFonts w:ascii="Cambria Math" w:hAnsi="Cambria Math"/>
                      </w:rPr>
                      <m:t>r</m:t>
                    </m:r>
                  </m:e>
                  <m:sup>
                    <m:r>
                      <w:rPr>
                        <w:rFonts w:ascii="Cambria Math" w:hAnsi="Cambria Math"/>
                      </w:rPr>
                      <m:t>2</m:t>
                    </m:r>
                  </m:sup>
                </m:sSup>
              </m:oMath>
            </m:oMathPara>
          </w:p>
        </w:tc>
      </w:tr>
    </w:tbl>
    <w:p w14:paraId="37C89C8C" w14:textId="77777777" w:rsidR="00FF57A8" w:rsidRPr="00BC31E0" w:rsidRDefault="00A51873" w:rsidP="001B7872">
      <w:pPr>
        <w:tabs>
          <w:tab w:val="left" w:pos="709"/>
        </w:tabs>
        <w:ind w:leftChars="100" w:left="210"/>
      </w:pPr>
      <m:oMath>
        <m:sSub>
          <m:sSubPr>
            <m:ctrlPr>
              <w:rPr>
                <w:rFonts w:ascii="Cambria Math" w:hAnsi="Cambria Math"/>
                <w:i/>
              </w:rPr>
            </m:ctrlPr>
          </m:sSubPr>
          <m:e>
            <m:r>
              <w:rPr>
                <w:rFonts w:ascii="Cambria Math" w:hAnsi="Cambria Math"/>
              </w:rPr>
              <m:t>A</m:t>
            </m:r>
          </m:e>
          <m:sub>
            <m:r>
              <w:rPr>
                <w:rFonts w:ascii="Cambria Math" w:hAnsi="Cambria Math"/>
              </w:rPr>
              <m:t>c3</m:t>
            </m:r>
          </m:sub>
        </m:sSub>
      </m:oMath>
      <w:r w:rsidR="00FF57A8" w:rsidRPr="00BC31E0">
        <w:tab/>
      </w:r>
      <w:r w:rsidR="00FF57A8" w:rsidRPr="00BC31E0">
        <w:rPr>
          <w:rFonts w:hint="eastAsia"/>
        </w:rPr>
        <w:t>：</w:t>
      </w:r>
      <w:r w:rsidR="00FF57A8" w:rsidRPr="00BC31E0">
        <w:rPr>
          <w:rFonts w:hint="eastAsia"/>
        </w:rPr>
        <w:t xml:space="preserve"> </w:t>
      </w:r>
      <w:r w:rsidR="00FF57A8" w:rsidRPr="00BC31E0">
        <w:rPr>
          <w:rFonts w:hint="eastAsia"/>
        </w:rPr>
        <w:t>クランプの部分断面積</w:t>
      </w:r>
      <w:r w:rsidR="00FF57A8" w:rsidRPr="00BC31E0">
        <w:rPr>
          <w:rFonts w:hint="eastAsia"/>
        </w:rPr>
        <w:t>(</w:t>
      </w:r>
      <w:r w:rsidR="00FF57A8" w:rsidRPr="00BC31E0">
        <w:rPr>
          <w:rFonts w:ascii="Cambria Math" w:hAnsi="Cambria Math"/>
        </w:rPr>
        <w:t>mm</w:t>
      </w:r>
      <w:r w:rsidR="00FF57A8" w:rsidRPr="00BC31E0">
        <w:rPr>
          <w:rFonts w:ascii="Cambria Math" w:hAnsi="Cambria Math"/>
          <w:vertAlign w:val="superscript"/>
        </w:rPr>
        <w:t>2</w:t>
      </w:r>
      <w:r w:rsidR="00FF57A8" w:rsidRPr="00BC31E0">
        <w:rPr>
          <w:rFonts w:hint="eastAsia"/>
        </w:rPr>
        <w:t>)</w:t>
      </w:r>
    </w:p>
    <w:p w14:paraId="262A76CF" w14:textId="77777777" w:rsidR="00FF57A8" w:rsidRPr="00BC31E0" w:rsidRDefault="00FF57A8" w:rsidP="001B7872">
      <w:pPr>
        <w:ind w:left="1077"/>
      </w:pPr>
      <m:oMath>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g</m:t>
                </m:r>
              </m:sub>
            </m:sSub>
          </m:e>
        </m:d>
        <m:sSub>
          <m:sSubPr>
            <m:ctrlPr>
              <w:rPr>
                <w:rFonts w:ascii="Cambria Math" w:hAnsi="Cambria Math"/>
                <w:i/>
              </w:rPr>
            </m:ctrlPr>
          </m:sSubPr>
          <m:e>
            <m:r>
              <w:rPr>
                <w:rFonts w:ascii="Cambria Math" w:hAnsi="Cambria Math"/>
              </w:rPr>
              <m:t xml:space="preserve"> l</m:t>
            </m:r>
          </m:e>
          <m:sub>
            <m:r>
              <w:rPr>
                <w:rFonts w:ascii="Cambria Math" w:hAnsi="Cambria Math"/>
              </w:rPr>
              <m:t>c</m:t>
            </m:r>
          </m:sub>
        </m:sSub>
      </m:oMath>
      <w:r w:rsidRPr="00BC31E0">
        <w:rPr>
          <w:i/>
        </w:rPr>
        <w:t xml:space="preserve"> </w:t>
      </w:r>
    </w:p>
    <w:p w14:paraId="461CB5C5" w14:textId="77777777" w:rsidR="00FF57A8" w:rsidRPr="00BC31E0" w:rsidRDefault="00A51873" w:rsidP="001B7872">
      <w:pPr>
        <w:tabs>
          <w:tab w:val="left" w:pos="709"/>
        </w:tabs>
        <w:ind w:leftChars="100" w:left="210"/>
      </w:pPr>
      <m:oMath>
        <m:sSub>
          <m:sSubPr>
            <m:ctrlPr>
              <w:rPr>
                <w:rFonts w:ascii="Cambria Math" w:hAnsi="Cambria Math"/>
                <w:i/>
              </w:rPr>
            </m:ctrlPr>
          </m:sSubPr>
          <m:e>
            <m:r>
              <w:rPr>
                <w:rFonts w:ascii="Cambria Math" w:hAnsi="Cambria Math"/>
              </w:rPr>
              <m:t>A</m:t>
            </m:r>
          </m:e>
          <m:sub>
            <m:r>
              <w:rPr>
                <w:rFonts w:ascii="Cambria Math" w:hAnsi="Cambria Math"/>
              </w:rPr>
              <m:t>m</m:t>
            </m:r>
          </m:sub>
        </m:sSub>
      </m:oMath>
      <w:r w:rsidR="00FF57A8" w:rsidRPr="00BC31E0">
        <w:rPr>
          <w:rFonts w:hint="eastAsia"/>
        </w:rPr>
        <w:tab/>
      </w:r>
      <w:r w:rsidR="00FF57A8" w:rsidRPr="00BC31E0">
        <w:rPr>
          <w:rFonts w:hint="eastAsia"/>
        </w:rPr>
        <w:t>：</w:t>
      </w:r>
      <w:r w:rsidR="00FF57A8" w:rsidRPr="00BC31E0">
        <w:rPr>
          <w:rFonts w:hint="eastAsia"/>
        </w:rPr>
        <w:t xml:space="preserve"> </w:t>
      </w:r>
      <w:r w:rsidR="00FF57A8" w:rsidRPr="00BC31E0">
        <w:rPr>
          <w:rFonts w:hint="eastAsia"/>
        </w:rPr>
        <w:t>クランプラグ毎のボルトの所要総有効断面積で，</w:t>
      </w:r>
      <m:oMath>
        <m:sSub>
          <m:sSubPr>
            <m:ctrlPr>
              <w:rPr>
                <w:rFonts w:ascii="Cambria Math" w:hAnsi="Cambria Math"/>
                <w:i/>
              </w:rPr>
            </m:ctrlPr>
          </m:sSubPr>
          <m:e>
            <m:r>
              <w:rPr>
                <w:rFonts w:ascii="Cambria Math" w:hAnsi="Cambria Math"/>
              </w:rPr>
              <m:t>A</m:t>
            </m:r>
          </m:e>
          <m:sub>
            <m:r>
              <w:rPr>
                <w:rFonts w:ascii="Cambria Math" w:hAnsi="Cambria Math"/>
              </w:rPr>
              <m:t>m1</m:t>
            </m:r>
          </m:sub>
        </m:sSub>
      </m:oMath>
      <w:r w:rsidR="00FF57A8" w:rsidRPr="00BC31E0">
        <w:rPr>
          <w:rFonts w:hint="eastAsia"/>
        </w:rPr>
        <w:t>と</w:t>
      </w:r>
      <m:oMath>
        <m:sSub>
          <m:sSubPr>
            <m:ctrlPr>
              <w:rPr>
                <w:rFonts w:ascii="Cambria Math" w:hAnsi="Cambria Math"/>
                <w:i/>
              </w:rPr>
            </m:ctrlPr>
          </m:sSubPr>
          <m:e>
            <m:r>
              <w:rPr>
                <w:rFonts w:ascii="Cambria Math" w:hAnsi="Cambria Math"/>
              </w:rPr>
              <m:t>A</m:t>
            </m:r>
          </m:e>
          <m:sub>
            <m:r>
              <w:rPr>
                <w:rFonts w:ascii="Cambria Math" w:hAnsi="Cambria Math"/>
              </w:rPr>
              <m:t xml:space="preserve">m2 </m:t>
            </m:r>
          </m:sub>
        </m:sSub>
      </m:oMath>
      <w:r w:rsidR="00FF57A8" w:rsidRPr="00BC31E0">
        <w:rPr>
          <w:rFonts w:hint="eastAsia"/>
        </w:rPr>
        <w:t>のうち大きい方の値</w:t>
      </w:r>
      <w:r w:rsidR="00FF57A8" w:rsidRPr="00BC31E0">
        <w:rPr>
          <w:rFonts w:hint="eastAsia"/>
        </w:rPr>
        <w:t>(</w:t>
      </w:r>
      <w:r w:rsidR="00FF57A8" w:rsidRPr="00BC31E0">
        <w:rPr>
          <w:rFonts w:ascii="Cambria Math" w:hAnsi="Cambria Math"/>
        </w:rPr>
        <w:t>mm</w:t>
      </w:r>
      <w:r w:rsidR="00FF57A8" w:rsidRPr="00BC31E0">
        <w:rPr>
          <w:rFonts w:ascii="Cambria Math" w:hAnsi="Cambria Math"/>
          <w:vertAlign w:val="superscript"/>
        </w:rPr>
        <w:t>2</w:t>
      </w:r>
      <w:r w:rsidR="00FF57A8" w:rsidRPr="00BC31E0">
        <w:rPr>
          <w:rFonts w:hint="eastAsia"/>
        </w:rPr>
        <w:t>)</w:t>
      </w:r>
    </w:p>
    <w:p w14:paraId="567626D9" w14:textId="77777777" w:rsidR="00FF57A8" w:rsidRPr="00BC31E0" w:rsidRDefault="00A51873" w:rsidP="001B7872">
      <w:pPr>
        <w:tabs>
          <w:tab w:val="left" w:pos="709"/>
        </w:tabs>
        <w:ind w:leftChars="100" w:left="210"/>
      </w:pPr>
      <m:oMath>
        <m:sSub>
          <m:sSubPr>
            <m:ctrlPr>
              <w:rPr>
                <w:rFonts w:ascii="Cambria Math" w:hAnsi="Cambria Math"/>
                <w:i/>
              </w:rPr>
            </m:ctrlPr>
          </m:sSubPr>
          <m:e>
            <m:r>
              <w:rPr>
                <w:rFonts w:ascii="Cambria Math" w:hAnsi="Cambria Math"/>
              </w:rPr>
              <m:t>A</m:t>
            </m:r>
          </m:e>
          <m:sub>
            <m:r>
              <w:rPr>
                <w:rFonts w:ascii="Cambria Math" w:hAnsi="Cambria Math"/>
              </w:rPr>
              <m:t>m1</m:t>
            </m:r>
          </m:sub>
        </m:sSub>
      </m:oMath>
      <w:r w:rsidR="00FF57A8" w:rsidRPr="00BC31E0">
        <w:tab/>
      </w:r>
      <w:r w:rsidR="00FF57A8" w:rsidRPr="00BC31E0">
        <w:rPr>
          <w:rFonts w:hint="eastAsia"/>
        </w:rPr>
        <w:t>：</w:t>
      </w:r>
      <w:r w:rsidR="00FF57A8" w:rsidRPr="00BC31E0">
        <w:rPr>
          <w:rFonts w:hint="eastAsia"/>
        </w:rPr>
        <w:t xml:space="preserve"> </w:t>
      </w:r>
      <w:r w:rsidR="00FF57A8" w:rsidRPr="00BC31E0">
        <w:rPr>
          <w:rFonts w:hint="eastAsia"/>
        </w:rPr>
        <w:t>運転条件でのクランプラグ毎のボルトの所要総有効断面積</w:t>
      </w:r>
      <w:r w:rsidR="00FF57A8" w:rsidRPr="00BC31E0">
        <w:rPr>
          <w:rFonts w:hint="eastAsia"/>
        </w:rPr>
        <w:t>(</w:t>
      </w:r>
      <w:r w:rsidR="00FF57A8" w:rsidRPr="00BC31E0">
        <w:rPr>
          <w:rFonts w:ascii="Cambria Math" w:hAnsi="Cambria Math"/>
        </w:rPr>
        <w:t>mm</w:t>
      </w:r>
      <w:r w:rsidR="00FF57A8" w:rsidRPr="00BC31E0">
        <w:rPr>
          <w:rFonts w:ascii="Cambria Math" w:hAnsi="Cambria Math"/>
          <w:vertAlign w:val="superscript"/>
        </w:rPr>
        <w:t>2</w:t>
      </w:r>
      <w:r w:rsidR="00FF57A8" w:rsidRPr="00BC31E0">
        <w:rPr>
          <w:rFonts w:hint="eastAsia"/>
        </w:rPr>
        <w:t>)</w:t>
      </w:r>
    </w:p>
    <w:p w14:paraId="0DBD3C56" w14:textId="77777777" w:rsidR="00FF57A8" w:rsidRPr="00BC31E0" w:rsidRDefault="00FF57A8" w:rsidP="001B7872">
      <w:pPr>
        <w:autoSpaceDE w:val="0"/>
        <w:autoSpaceDN w:val="0"/>
        <w:ind w:left="1077"/>
      </w:pPr>
      <m:oMath>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m1</m:t>
                </m:r>
              </m:sub>
            </m:sSub>
          </m:num>
          <m:den>
            <m:r>
              <w:rPr>
                <w:rFonts w:ascii="Cambria Math" w:hAnsi="Cambria Math"/>
              </w:rPr>
              <m:t>2</m:t>
            </m:r>
            <m:sSub>
              <m:sSubPr>
                <m:ctrlPr>
                  <w:rPr>
                    <w:rFonts w:ascii="Cambria Math" w:hAnsi="Cambria Math"/>
                    <w:i/>
                  </w:rPr>
                </m:ctrlPr>
              </m:sSubPr>
              <m:e>
                <m:r>
                  <w:rPr>
                    <w:rFonts w:ascii="Cambria Math" w:hAnsi="Cambria Math"/>
                  </w:rPr>
                  <m:t>S</m:t>
                </m:r>
              </m:e>
              <m:sub>
                <m:r>
                  <w:rPr>
                    <w:rFonts w:ascii="Cambria Math" w:hAnsi="Cambria Math"/>
                  </w:rPr>
                  <m:t>b</m:t>
                </m:r>
              </m:sub>
            </m:sSub>
          </m:den>
        </m:f>
      </m:oMath>
      <w:r w:rsidRPr="00BC31E0">
        <w:rPr>
          <w:i/>
          <w:vertAlign w:val="subscript"/>
        </w:rPr>
        <w:t xml:space="preserve"> </w:t>
      </w:r>
    </w:p>
    <w:p w14:paraId="2FC05921"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A</m:t>
            </m:r>
          </m:e>
          <m:sub>
            <m:r>
              <w:rPr>
                <w:rFonts w:ascii="Cambria Math" w:hAnsi="Cambria Math"/>
              </w:rPr>
              <m:t>m2</m:t>
            </m:r>
          </m:sub>
        </m:sSub>
      </m:oMath>
      <w:r w:rsidR="00FF57A8" w:rsidRPr="00BC31E0">
        <w:tab/>
      </w:r>
      <w:r w:rsidR="00FF57A8" w:rsidRPr="00BC31E0">
        <w:rPr>
          <w:rFonts w:hint="eastAsia"/>
        </w:rPr>
        <w:t>：</w:t>
      </w:r>
      <w:r w:rsidR="00FF57A8" w:rsidRPr="00BC31E0">
        <w:rPr>
          <w:rFonts w:hint="eastAsia"/>
        </w:rPr>
        <w:t xml:space="preserve"> </w:t>
      </w:r>
      <w:r w:rsidR="00FF57A8" w:rsidRPr="00BC31E0">
        <w:rPr>
          <w:rFonts w:hint="eastAsia"/>
        </w:rPr>
        <w:t>締付条件でのクランプラグ毎のボルトの所要総有効断面積</w:t>
      </w:r>
      <w:r w:rsidR="00FF57A8" w:rsidRPr="00BC31E0">
        <w:rPr>
          <w:rFonts w:hint="eastAsia"/>
        </w:rPr>
        <w:t>(</w:t>
      </w:r>
      <w:r w:rsidR="00FF57A8" w:rsidRPr="00BC31E0">
        <w:rPr>
          <w:rFonts w:ascii="Cambria Math" w:hAnsi="Cambria Math"/>
        </w:rPr>
        <w:t>mm</w:t>
      </w:r>
      <w:r w:rsidR="00FF57A8" w:rsidRPr="00BC31E0">
        <w:rPr>
          <w:rFonts w:ascii="Cambria Math" w:hAnsi="Cambria Math"/>
          <w:vertAlign w:val="superscript"/>
        </w:rPr>
        <w:t>2</w:t>
      </w:r>
      <w:r w:rsidR="00FF57A8" w:rsidRPr="00BC31E0">
        <w:rPr>
          <w:rFonts w:hint="eastAsia"/>
        </w:rPr>
        <w:t>)</w:t>
      </w:r>
    </w:p>
    <w:p w14:paraId="01280F13" w14:textId="77777777" w:rsidR="00FF57A8" w:rsidRPr="00BC31E0" w:rsidRDefault="00FF57A8" w:rsidP="001B7872">
      <w:pPr>
        <w:autoSpaceDE w:val="0"/>
        <w:autoSpaceDN w:val="0"/>
        <w:ind w:left="1077"/>
      </w:pPr>
      <m:oMath>
        <m: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W</m:t>
                </m:r>
              </m:e>
              <m:sub>
                <m:r>
                  <w:rPr>
                    <w:rFonts w:ascii="Cambria Math" w:hAnsi="Cambria Math"/>
                  </w:rPr>
                  <m:t>m2</m:t>
                </m:r>
              </m:sub>
            </m:sSub>
          </m:num>
          <m:den>
            <m:r>
              <w:rPr>
                <w:rFonts w:ascii="Cambria Math" w:hAnsi="Cambria Math"/>
              </w:rPr>
              <m:t>2</m:t>
            </m:r>
            <m:sSub>
              <m:sSubPr>
                <m:ctrlPr>
                  <w:rPr>
                    <w:rFonts w:ascii="Cambria Math" w:hAnsi="Cambria Math"/>
                  </w:rPr>
                </m:ctrlPr>
              </m:sSubPr>
              <m:e>
                <m:r>
                  <w:rPr>
                    <w:rFonts w:ascii="Cambria Math" w:hAnsi="Cambria Math"/>
                  </w:rPr>
                  <m:t>S</m:t>
                </m:r>
              </m:e>
              <m:sub>
                <m:r>
                  <w:rPr>
                    <w:rFonts w:ascii="Cambria Math" w:hAnsi="Cambria Math"/>
                  </w:rPr>
                  <m:t>a</m:t>
                </m:r>
              </m:sub>
            </m:sSub>
          </m:den>
        </m:f>
      </m:oMath>
      <w:r w:rsidRPr="00BC31E0">
        <w:t xml:space="preserve"> </w:t>
      </w:r>
    </w:p>
    <w:p w14:paraId="78D6F556"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A</m:t>
            </m:r>
          </m:e>
          <m:sub>
            <m:r>
              <w:rPr>
                <w:rFonts w:ascii="Cambria Math" w:hAnsi="Cambria Math"/>
              </w:rPr>
              <m:t>o</m:t>
            </m:r>
          </m:sub>
        </m:sSub>
      </m:oMath>
      <w:r w:rsidR="00FF57A8" w:rsidRPr="00BC31E0">
        <w:tab/>
      </w:r>
      <w:r w:rsidR="00FF57A8" w:rsidRPr="00BC31E0">
        <w:rPr>
          <w:rFonts w:hint="eastAsia"/>
        </w:rPr>
        <w:t>：</w:t>
      </w:r>
      <w:r w:rsidR="00FF57A8" w:rsidRPr="00BC31E0">
        <w:rPr>
          <w:rFonts w:hint="eastAsia"/>
        </w:rPr>
        <w:t xml:space="preserve"> </w:t>
      </w:r>
      <w:r w:rsidR="00FF57A8" w:rsidRPr="00BC31E0">
        <w:rPr>
          <w:rFonts w:hint="eastAsia"/>
        </w:rPr>
        <w:t>ハブリップの外径</w:t>
      </w:r>
      <w:r w:rsidR="00FF57A8" w:rsidRPr="00BC31E0">
        <w:rPr>
          <w:rFonts w:hint="eastAsia"/>
        </w:rPr>
        <w:t>(</w:t>
      </w:r>
      <w:r w:rsidR="00FF57A8" w:rsidRPr="00BC31E0">
        <w:rPr>
          <w:rFonts w:ascii="Cambria Math" w:hAnsi="Cambria Math"/>
        </w:rPr>
        <w:t>mm</w:t>
      </w:r>
      <w:r w:rsidR="00FF57A8" w:rsidRPr="00BC31E0">
        <w:rPr>
          <w:rFonts w:hint="eastAsia"/>
        </w:rPr>
        <w:t>)</w:t>
      </w:r>
    </w:p>
    <w:p w14:paraId="698ECF3D"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A</m:t>
            </m:r>
          </m:e>
          <m:sub>
            <m:r>
              <w:rPr>
                <w:rFonts w:ascii="Cambria Math" w:hAnsi="Cambria Math"/>
              </w:rPr>
              <m:t>or</m:t>
            </m:r>
          </m:sub>
        </m:sSub>
      </m:oMath>
      <w:r w:rsidR="00FF57A8" w:rsidRPr="00BC31E0">
        <w:tab/>
      </w:r>
      <w:r w:rsidR="00FF57A8" w:rsidRPr="00BC31E0">
        <w:rPr>
          <w:rFonts w:hint="eastAsia"/>
        </w:rPr>
        <w:t>：</w:t>
      </w:r>
      <w:r w:rsidR="00FF57A8" w:rsidRPr="00BC31E0">
        <w:rPr>
          <w:rFonts w:hint="eastAsia"/>
        </w:rPr>
        <w:t xml:space="preserve"> </w:t>
      </w:r>
      <w:r w:rsidR="00FF57A8" w:rsidRPr="00BC31E0">
        <w:rPr>
          <w:rFonts w:hint="eastAsia"/>
        </w:rPr>
        <w:t>クランプリップとハブ肩部との接触面の外径</w:t>
      </w:r>
      <w:r w:rsidR="00FF57A8" w:rsidRPr="00BC31E0">
        <w:rPr>
          <w:rFonts w:hint="eastAsia"/>
        </w:rPr>
        <w:t>(</w:t>
      </w:r>
      <w:r w:rsidR="00FF57A8" w:rsidRPr="00BC31E0">
        <w:rPr>
          <w:rFonts w:ascii="Cambria Math" w:hAnsi="Cambria Math"/>
        </w:rPr>
        <w:t>mm</w:t>
      </w:r>
      <w:r w:rsidR="00FF57A8" w:rsidRPr="00BC31E0">
        <w:rPr>
          <w:rFonts w:hint="eastAsia"/>
        </w:rPr>
        <w:t>)</w:t>
      </w:r>
    </w:p>
    <w:p w14:paraId="26B14B3A" w14:textId="77777777" w:rsidR="00FF57A8" w:rsidRPr="00BC31E0" w:rsidRDefault="00FF57A8" w:rsidP="001B7872">
      <w:pPr>
        <w:autoSpaceDE w:val="0"/>
        <w:autoSpaceDN w:val="0"/>
        <w:ind w:left="1077"/>
      </w:pPr>
      <m:oMath>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o</m:t>
            </m:r>
          </m:sub>
        </m:sSub>
        <m:r>
          <w:rPr>
            <w:rFonts w:ascii="Cambria Math" w:hAnsi="Cambria Math"/>
          </w:rPr>
          <m:t xml:space="preserve">-2 </m:t>
        </m:r>
        <m:sSub>
          <m:sSubPr>
            <m:ctrlPr>
              <w:rPr>
                <w:rFonts w:ascii="Cambria Math" w:hAnsi="Cambria Math"/>
                <w:i/>
              </w:rPr>
            </m:ctrlPr>
          </m:sSubPr>
          <m:e>
            <m:r>
              <w:rPr>
                <w:rFonts w:ascii="Cambria Math" w:hAnsi="Cambria Math"/>
              </w:rPr>
              <m:t>r</m:t>
            </m:r>
          </m:e>
          <m:sub>
            <m:r>
              <w:rPr>
                <w:rFonts w:ascii="Cambria Math" w:hAnsi="Cambria Math"/>
              </w:rPr>
              <m:t>h</m:t>
            </m:r>
          </m:sub>
        </m:sSub>
      </m:oMath>
      <w:r w:rsidRPr="00BC31E0">
        <w:rPr>
          <w:i/>
        </w:rPr>
        <w:t xml:space="preserve"> </w:t>
      </w:r>
    </w:p>
    <w:p w14:paraId="7A9FB168"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A</m:t>
            </m:r>
          </m:e>
          <m:sub>
            <m:r>
              <w:rPr>
                <w:rFonts w:ascii="Cambria Math" w:hAnsi="Cambria Math"/>
              </w:rPr>
              <m:t>3</m:t>
            </m:r>
          </m:sub>
        </m:sSub>
      </m:oMath>
      <w:r w:rsidR="00FF57A8" w:rsidRPr="00BC31E0">
        <w:tab/>
      </w:r>
      <w:r w:rsidR="00FF57A8" w:rsidRPr="00BC31E0">
        <w:rPr>
          <w:rFonts w:hint="eastAsia"/>
        </w:rPr>
        <w:t>：</w:t>
      </w:r>
      <w:r w:rsidR="00FF57A8" w:rsidRPr="00BC31E0">
        <w:rPr>
          <w:rFonts w:hint="eastAsia"/>
        </w:rPr>
        <w:t xml:space="preserve"> </w:t>
      </w:r>
      <w:r w:rsidR="00FF57A8" w:rsidRPr="00BC31E0">
        <w:rPr>
          <w:rFonts w:hint="eastAsia"/>
        </w:rPr>
        <w:t>ハブの長手方向せん断断面積で，</w:t>
      </w:r>
      <m:oMath>
        <m:sSub>
          <m:sSubPr>
            <m:ctrlPr>
              <w:rPr>
                <w:rFonts w:ascii="Cambria Math" w:hAnsi="Cambria Math"/>
                <w:i/>
              </w:rPr>
            </m:ctrlPr>
          </m:sSubPr>
          <m:e>
            <m:r>
              <w:rPr>
                <w:rFonts w:ascii="Cambria Math" w:hAnsi="Cambria Math"/>
              </w:rPr>
              <m:t>A</m:t>
            </m:r>
          </m:e>
          <m:sub>
            <m:r>
              <w:rPr>
                <w:rFonts w:ascii="Cambria Math" w:hAnsi="Cambria Math"/>
              </w:rPr>
              <m:t>3a</m:t>
            </m:r>
          </m:sub>
        </m:sSub>
      </m:oMath>
      <w:r w:rsidR="00FF57A8" w:rsidRPr="00BC31E0">
        <w:rPr>
          <w:rFonts w:hint="eastAsia"/>
        </w:rPr>
        <w:t>と</w:t>
      </w:r>
      <m:oMath>
        <m:sSub>
          <m:sSubPr>
            <m:ctrlPr>
              <w:rPr>
                <w:rFonts w:ascii="Cambria Math" w:hAnsi="Cambria Math"/>
                <w:i/>
              </w:rPr>
            </m:ctrlPr>
          </m:sSubPr>
          <m:e>
            <m:r>
              <w:rPr>
                <w:rFonts w:ascii="Cambria Math" w:hAnsi="Cambria Math"/>
              </w:rPr>
              <m:t>A</m:t>
            </m:r>
          </m:e>
          <m:sub>
            <m:r>
              <w:rPr>
                <w:rFonts w:ascii="Cambria Math" w:hAnsi="Cambria Math"/>
              </w:rPr>
              <m:t>3b</m:t>
            </m:r>
          </m:sub>
        </m:sSub>
      </m:oMath>
      <w:r w:rsidR="00FF57A8" w:rsidRPr="00BC31E0">
        <w:rPr>
          <w:rFonts w:hint="eastAsia"/>
        </w:rPr>
        <w:t>の小さい値</w:t>
      </w:r>
      <w:r w:rsidR="00FF57A8" w:rsidRPr="00BC31E0">
        <w:rPr>
          <w:rFonts w:hint="eastAsia"/>
        </w:rPr>
        <w:t>(</w:t>
      </w:r>
      <w:r w:rsidR="00FF57A8" w:rsidRPr="00BC31E0">
        <w:rPr>
          <w:rFonts w:ascii="Cambria Math" w:hAnsi="Cambria Math"/>
        </w:rPr>
        <w:t>mm</w:t>
      </w:r>
      <w:r w:rsidR="00FF57A8" w:rsidRPr="00BC31E0">
        <w:rPr>
          <w:rFonts w:ascii="Cambria Math" w:hAnsi="Cambria Math"/>
          <w:vertAlign w:val="superscript"/>
        </w:rPr>
        <w:t>2</w:t>
      </w:r>
      <w:r w:rsidR="00FF57A8" w:rsidRPr="00BC31E0">
        <w:rPr>
          <w:rFonts w:hint="eastAsia"/>
        </w:rPr>
        <w:t>)</w:t>
      </w:r>
    </w:p>
    <w:p w14:paraId="5B65CB9B" w14:textId="77777777" w:rsidR="00FF57A8" w:rsidRPr="00BC31E0" w:rsidRDefault="00A51873" w:rsidP="001B7872">
      <w:pPr>
        <w:tabs>
          <w:tab w:val="left" w:pos="709"/>
        </w:tabs>
        <w:autoSpaceDE w:val="0"/>
        <w:autoSpaceDN w:val="0"/>
        <w:ind w:leftChars="100" w:left="1050" w:hangingChars="400" w:hanging="840"/>
      </w:pPr>
      <m:oMath>
        <m:sSub>
          <m:sSubPr>
            <m:ctrlPr>
              <w:rPr>
                <w:rFonts w:ascii="Cambria Math" w:hAnsi="Cambria Math"/>
                <w:i/>
              </w:rPr>
            </m:ctrlPr>
          </m:sSubPr>
          <m:e>
            <m:r>
              <w:rPr>
                <w:rFonts w:ascii="Cambria Math" w:hAnsi="Cambria Math"/>
              </w:rPr>
              <m:t>A</m:t>
            </m:r>
          </m:e>
          <m:sub>
            <m:r>
              <w:rPr>
                <w:rFonts w:ascii="Cambria Math" w:hAnsi="Cambria Math"/>
              </w:rPr>
              <m:t>3a</m:t>
            </m:r>
          </m:sub>
        </m:sSub>
      </m:oMath>
      <w:r w:rsidR="00FF57A8" w:rsidRPr="00BC31E0">
        <w:rPr>
          <w:rFonts w:hint="eastAsia"/>
          <w:i/>
        </w:rPr>
        <w:tab/>
      </w:r>
      <w:r w:rsidR="00FF57A8" w:rsidRPr="00BC31E0">
        <w:rPr>
          <w:rFonts w:hint="eastAsia"/>
        </w:rPr>
        <w:t>：</w:t>
      </w:r>
      <w:r w:rsidR="00FF57A8" w:rsidRPr="00BC31E0">
        <w:rPr>
          <w:rFonts w:hint="eastAsia"/>
        </w:rPr>
        <w:t xml:space="preserve"> </w:t>
      </w:r>
      <w:r w:rsidR="00FF57A8" w:rsidRPr="00BC31E0">
        <w:rPr>
          <w:rFonts w:hint="eastAsia"/>
        </w:rPr>
        <w:t>クランプとハブとの接触面におけるハブの周－長手方向面での長手方向せん断断面積</w:t>
      </w:r>
      <w:r w:rsidR="00FF57A8" w:rsidRPr="00BC31E0">
        <w:rPr>
          <w:rFonts w:hint="eastAsia"/>
        </w:rPr>
        <w:t>(</w:t>
      </w:r>
      <w:r w:rsidR="00FF57A8" w:rsidRPr="00BC31E0">
        <w:rPr>
          <w:rFonts w:ascii="Cambria Math" w:hAnsi="Cambria Math"/>
        </w:rPr>
        <w:t>mm</w:t>
      </w:r>
      <w:r w:rsidR="00FF57A8" w:rsidRPr="00BC31E0">
        <w:rPr>
          <w:rFonts w:ascii="Cambria Math" w:hAnsi="Cambria Math"/>
          <w:vertAlign w:val="superscript"/>
        </w:rPr>
        <w:t>2</w:t>
      </w:r>
      <w:r w:rsidR="00FF57A8" w:rsidRPr="00BC31E0">
        <w:rPr>
          <w:rFonts w:hint="eastAsia"/>
        </w:rPr>
        <w:t>)</w:t>
      </w:r>
    </w:p>
    <w:p w14:paraId="6B40D7A4" w14:textId="77777777" w:rsidR="00FF57A8" w:rsidRPr="00BC31E0" w:rsidRDefault="00FF57A8" w:rsidP="001B7872">
      <w:pPr>
        <w:autoSpaceDE w:val="0"/>
        <w:autoSpaceDN w:val="0"/>
        <w:ind w:left="1077"/>
      </w:pPr>
      <m:oMath>
        <m:r>
          <w:rPr>
            <w:rFonts w:ascii="Cambria Math" w:hAnsi="Cambria Math"/>
          </w:rPr>
          <m:t xml:space="preserve">=π </m:t>
        </m:r>
        <m:sSub>
          <m:sSubPr>
            <m:ctrlPr>
              <w:rPr>
                <w:rFonts w:ascii="Cambria Math" w:hAnsi="Cambria Math"/>
                <w:i/>
              </w:rPr>
            </m:ctrlPr>
          </m:sSubPr>
          <m:e>
            <m:r>
              <w:rPr>
                <w:rFonts w:ascii="Cambria Math" w:hAnsi="Cambria Math"/>
              </w:rPr>
              <m:t>C</m:t>
            </m:r>
          </m:e>
          <m:sub>
            <m:r>
              <w:rPr>
                <w:rFonts w:ascii="Cambria Math" w:hAnsi="Cambria Math"/>
              </w:rPr>
              <m:t>ir</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h</m:t>
            </m:r>
          </m:sub>
        </m:sSub>
      </m:oMath>
      <w:r w:rsidRPr="00BC31E0">
        <w:rPr>
          <w:i/>
        </w:rPr>
        <w:t xml:space="preserve"> </w:t>
      </w:r>
    </w:p>
    <w:p w14:paraId="319DA2B8"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A</m:t>
            </m:r>
          </m:e>
          <m:sub>
            <m:r>
              <w:rPr>
                <w:rFonts w:ascii="Cambria Math" w:hAnsi="Cambria Math"/>
              </w:rPr>
              <m:t>3b</m:t>
            </m:r>
          </m:sub>
        </m:sSub>
      </m:oMath>
      <w:r w:rsidR="00FF57A8" w:rsidRPr="00BC31E0">
        <w:rPr>
          <w:rFonts w:hint="eastAsia"/>
          <w:i/>
        </w:rPr>
        <w:tab/>
      </w:r>
      <w:r w:rsidR="00FF57A8" w:rsidRPr="00BC31E0">
        <w:rPr>
          <w:rFonts w:hint="eastAsia"/>
        </w:rPr>
        <w:t>：</w:t>
      </w:r>
      <w:r w:rsidR="00FF57A8" w:rsidRPr="00BC31E0">
        <w:rPr>
          <w:rFonts w:hint="eastAsia"/>
        </w:rPr>
        <w:t xml:space="preserve"> </w:t>
      </w:r>
      <w:r w:rsidR="00FF57A8" w:rsidRPr="00BC31E0">
        <w:rPr>
          <w:rFonts w:ascii="Cambria Math" w:hAnsi="Cambria Math"/>
        </w:rPr>
        <w:t>45°</w:t>
      </w:r>
      <w:r w:rsidR="00FF57A8" w:rsidRPr="00BC31E0">
        <w:rPr>
          <w:rFonts w:hint="eastAsia"/>
        </w:rPr>
        <w:t>円すい面におけるハブの長手方向せん断断面積</w:t>
      </w:r>
      <w:r w:rsidR="00FF57A8" w:rsidRPr="00BC31E0">
        <w:rPr>
          <w:rFonts w:hint="eastAsia"/>
        </w:rPr>
        <w:t>(</w:t>
      </w:r>
      <w:r w:rsidR="00FF57A8" w:rsidRPr="00BC31E0">
        <w:rPr>
          <w:rFonts w:ascii="Cambria Math" w:hAnsi="Cambria Math"/>
        </w:rPr>
        <w:t>mm</w:t>
      </w:r>
      <w:r w:rsidR="00FF57A8" w:rsidRPr="00BC31E0">
        <w:rPr>
          <w:rFonts w:ascii="Cambria Math" w:hAnsi="Cambria Math"/>
          <w:vertAlign w:val="superscript"/>
        </w:rPr>
        <w:t>2</w:t>
      </w:r>
      <w:r w:rsidR="00FF57A8" w:rsidRPr="00BC31E0">
        <w:rPr>
          <w:rFonts w:hint="eastAsia"/>
        </w:rPr>
        <w:t>)</w:t>
      </w:r>
    </w:p>
    <w:tbl>
      <w:tblPr>
        <w:tblStyle w:val="afff2"/>
        <w:tblW w:w="0" w:type="auto"/>
        <w:tblInd w:w="1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2"/>
      </w:tblGrid>
      <w:tr w:rsidR="00FF57A8" w:rsidRPr="00BC31E0" w14:paraId="29A19740" w14:textId="77777777" w:rsidTr="004736F2">
        <w:tc>
          <w:tcPr>
            <w:tcW w:w="0" w:type="auto"/>
            <w:tcMar>
              <w:left w:w="0" w:type="dxa"/>
              <w:right w:w="0" w:type="dxa"/>
            </w:tcMar>
            <w:vAlign w:val="center"/>
          </w:tcPr>
          <w:p w14:paraId="0778354E" w14:textId="77777777" w:rsidR="00FF57A8" w:rsidRPr="00BC31E0" w:rsidRDefault="00FF57A8" w:rsidP="001B7872">
            <w:pPr>
              <w:autoSpaceDE w:val="0"/>
              <w:autoSpaceDN w:val="0"/>
              <w:jc w:val="left"/>
              <w:rPr>
                <w:rFonts w:asciiTheme="minorHAnsi" w:hAnsiTheme="minorHAnsi"/>
              </w:rPr>
            </w:pPr>
            <m:oMathPara>
              <m:oMathParaPr>
                <m:jc m:val="left"/>
              </m:oMathParaPr>
              <m:oMath>
                <m:r>
                  <w:rPr>
                    <w:rFonts w:ascii="Cambria Math" w:hAnsi="Cambria Math"/>
                  </w:rPr>
                  <m:t>=</m:t>
                </m:r>
                <m:f>
                  <m:fPr>
                    <m:ctrlPr>
                      <w:rPr>
                        <w:rFonts w:ascii="Cambria Math" w:hAnsi="Cambria Math"/>
                        <w:i/>
                      </w:rPr>
                    </m:ctrlPr>
                  </m:fPr>
                  <m:num>
                    <m:r>
                      <w:rPr>
                        <w:rFonts w:ascii="Cambria Math" w:hAnsi="Cambria Math"/>
                      </w:rPr>
                      <m:t xml:space="preserve">π </m:t>
                    </m:r>
                    <m:rad>
                      <m:radPr>
                        <m:degHide m:val="1"/>
                        <m:ctrlPr>
                          <w:rPr>
                            <w:rFonts w:ascii="Cambria Math" w:hAnsi="Cambria Math"/>
                            <w:i/>
                          </w:rPr>
                        </m:ctrlPr>
                      </m:radPr>
                      <m:deg/>
                      <m:e>
                        <m:r>
                          <w:rPr>
                            <w:rFonts w:ascii="Cambria Math" w:hAnsi="Cambria Math"/>
                          </w:rPr>
                          <m:t>2</m:t>
                        </m:r>
                      </m:e>
                    </m:rad>
                  </m:num>
                  <m:den>
                    <m:r>
                      <w:rPr>
                        <w:rFonts w:ascii="Cambria Math" w:hAnsi="Cambria Math"/>
                      </w:rPr>
                      <m:t>4</m:t>
                    </m:r>
                  </m:den>
                </m:f>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o</m:t>
                            </m:r>
                          </m:sub>
                        </m:sSub>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C</m:t>
                            </m:r>
                          </m:e>
                          <m:sub>
                            <m:r>
                              <w:rPr>
                                <w:rFonts w:ascii="Cambria Math" w:hAnsi="Cambria Math"/>
                              </w:rPr>
                              <m:t>ir</m:t>
                            </m:r>
                          </m:sub>
                        </m:sSub>
                      </m:e>
                      <m:sup>
                        <m:r>
                          <w:rPr>
                            <w:rFonts w:ascii="Cambria Math" w:hAnsi="Cambria Math"/>
                          </w:rPr>
                          <m:t>2</m:t>
                        </m:r>
                      </m:sup>
                    </m:sSup>
                  </m:e>
                </m:d>
              </m:oMath>
            </m:oMathPara>
          </w:p>
        </w:tc>
      </w:tr>
    </w:tbl>
    <w:p w14:paraId="373448A5"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A</m:t>
            </m:r>
          </m:e>
          <m:sub>
            <m:r>
              <w:rPr>
                <w:rFonts w:ascii="Cambria Math" w:hAnsi="Cambria Math"/>
              </w:rPr>
              <m:t>5</m:t>
            </m:r>
          </m:sub>
        </m:sSub>
      </m:oMath>
      <w:r w:rsidR="00FF57A8" w:rsidRPr="00BC31E0">
        <w:rPr>
          <w:vertAlign w:val="subscript"/>
        </w:rPr>
        <w:tab/>
      </w:r>
      <w:r w:rsidR="00FF57A8" w:rsidRPr="00BC31E0">
        <w:rPr>
          <w:rFonts w:hint="eastAsia"/>
        </w:rPr>
        <w:t>：</w:t>
      </w:r>
      <w:r w:rsidR="00FF57A8" w:rsidRPr="00BC31E0">
        <w:rPr>
          <w:rFonts w:hint="eastAsia"/>
        </w:rPr>
        <w:t xml:space="preserve"> </w:t>
      </w:r>
      <w:r w:rsidR="00FF57A8" w:rsidRPr="00BC31E0">
        <w:rPr>
          <w:rFonts w:hint="eastAsia"/>
        </w:rPr>
        <w:t>半径－周方向面における最小クランプ断面積</w:t>
      </w:r>
      <w:r w:rsidR="00FF57A8" w:rsidRPr="00BC31E0">
        <w:rPr>
          <w:rFonts w:hint="eastAsia"/>
        </w:rPr>
        <w:t>(</w:t>
      </w:r>
      <w:r w:rsidR="00FF57A8" w:rsidRPr="00BC31E0">
        <w:rPr>
          <w:rFonts w:ascii="Cambria Math" w:hAnsi="Cambria Math"/>
        </w:rPr>
        <w:t>mm</w:t>
      </w:r>
      <w:r w:rsidR="00FF57A8" w:rsidRPr="00BC31E0">
        <w:rPr>
          <w:rFonts w:ascii="Cambria Math" w:hAnsi="Cambria Math"/>
          <w:vertAlign w:val="superscript"/>
        </w:rPr>
        <w:t>2</w:t>
      </w:r>
      <w:r w:rsidR="00FF57A8" w:rsidRPr="00BC31E0">
        <w:rPr>
          <w:rFonts w:hint="eastAsia"/>
        </w:rPr>
        <w:t>)</w:t>
      </w:r>
    </w:p>
    <w:p w14:paraId="6BD3A5F9" w14:textId="77777777" w:rsidR="00FF57A8" w:rsidRPr="00BC31E0" w:rsidRDefault="00FF57A8" w:rsidP="001B7872">
      <w:pPr>
        <w:autoSpaceDE w:val="0"/>
        <w:autoSpaceDN w:val="0"/>
        <w:ind w:left="1077"/>
      </w:pPr>
      <m:oMath>
        <m:r>
          <w:rPr>
            <w:rFonts w:ascii="Cambria Math" w:hAnsi="Cambria Math"/>
          </w:rPr>
          <m:t xml:space="preserve">=π </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e>
        </m:d>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5b</m:t>
            </m:r>
          </m:sub>
        </m:sSub>
      </m:oMath>
      <w:r w:rsidRPr="00BC31E0">
        <w:rPr>
          <w:i/>
        </w:rPr>
        <w:t xml:space="preserve"> </w:t>
      </w:r>
    </w:p>
    <w:p w14:paraId="31933EF7" w14:textId="77777777" w:rsidR="00FF57A8" w:rsidRPr="00BC31E0" w:rsidRDefault="00A51873" w:rsidP="001B7872">
      <w:pPr>
        <w:tabs>
          <w:tab w:val="left" w:pos="709"/>
        </w:tabs>
        <w:autoSpaceDE w:val="0"/>
        <w:autoSpaceDN w:val="0"/>
        <w:ind w:leftChars="100" w:left="1004" w:hanging="794"/>
      </w:pPr>
      <m:oMath>
        <m:sSub>
          <m:sSubPr>
            <m:ctrlPr>
              <w:rPr>
                <w:rFonts w:ascii="Cambria Math" w:hAnsi="Cambria Math"/>
                <w:i/>
              </w:rPr>
            </m:ctrlPr>
          </m:sSubPr>
          <m:e>
            <m:r>
              <w:rPr>
                <w:rFonts w:ascii="Cambria Math" w:hAnsi="Cambria Math"/>
              </w:rPr>
              <m:t>A</m:t>
            </m:r>
          </m:e>
          <m:sub>
            <m:r>
              <w:rPr>
                <w:rFonts w:ascii="Cambria Math" w:hAnsi="Cambria Math"/>
              </w:rPr>
              <m:t>5b</m:t>
            </m:r>
          </m:sub>
        </m:sSub>
      </m:oMath>
      <w:r w:rsidR="00FF57A8" w:rsidRPr="00BC31E0">
        <w:rPr>
          <w:rFonts w:hint="eastAsia"/>
          <w:i/>
        </w:rPr>
        <w:tab/>
      </w:r>
      <w:r w:rsidR="00FF57A8" w:rsidRPr="00BC31E0">
        <w:rPr>
          <w:rFonts w:hint="eastAsia"/>
        </w:rPr>
        <w:t>：</w:t>
      </w:r>
      <w:r w:rsidR="00FF57A8" w:rsidRPr="00BC31E0">
        <w:rPr>
          <w:rFonts w:hint="eastAsia"/>
        </w:rPr>
        <w:t xml:space="preserve"> </w:t>
      </w:r>
      <w:r w:rsidR="00FF57A8" w:rsidRPr="00BC31E0">
        <w:rPr>
          <w:rFonts w:hint="eastAsia"/>
        </w:rPr>
        <w:t>外付けラグが使用されずクランプ本体にボルトが植え込まれた時の，半径－周方向面におけるクランプボルト穴の総断面積</w:t>
      </w:r>
      <w:r w:rsidR="00FF57A8" w:rsidRPr="00BC31E0">
        <w:rPr>
          <w:rFonts w:hint="eastAsia"/>
        </w:rPr>
        <w:t>(</w:t>
      </w:r>
      <w:r w:rsidR="00FF57A8" w:rsidRPr="00BC31E0">
        <w:rPr>
          <w:rFonts w:ascii="Cambria Math" w:hAnsi="Cambria Math"/>
        </w:rPr>
        <w:t>mm</w:t>
      </w:r>
      <w:r w:rsidR="00FF57A8" w:rsidRPr="00BC31E0">
        <w:rPr>
          <w:rFonts w:ascii="Cambria Math" w:hAnsi="Cambria Math"/>
          <w:vertAlign w:val="superscript"/>
        </w:rPr>
        <w:t>2</w:t>
      </w:r>
      <w:r w:rsidR="00FF57A8" w:rsidRPr="00BC31E0">
        <w:rPr>
          <w:rFonts w:hint="eastAsia"/>
        </w:rPr>
        <w:t>)</w:t>
      </w:r>
    </w:p>
    <w:tbl>
      <w:tblPr>
        <w:tblStyle w:val="afff2"/>
        <w:tblW w:w="0" w:type="auto"/>
        <w:tblInd w:w="1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5"/>
        <w:gridCol w:w="4906"/>
        <w:gridCol w:w="713"/>
        <w:gridCol w:w="910"/>
      </w:tblGrid>
      <w:tr w:rsidR="00FF57A8" w:rsidRPr="00BC31E0" w14:paraId="25921CFB" w14:textId="77777777" w:rsidTr="004736F2">
        <w:tc>
          <w:tcPr>
            <w:tcW w:w="0" w:type="auto"/>
            <w:tcMar>
              <w:left w:w="0" w:type="dxa"/>
              <w:right w:w="0" w:type="dxa"/>
            </w:tcMar>
            <w:vAlign w:val="center"/>
          </w:tcPr>
          <w:p w14:paraId="78E346CB" w14:textId="77777777" w:rsidR="00FF57A8" w:rsidRPr="00BC31E0" w:rsidRDefault="00FF57A8" w:rsidP="001B7872">
            <w:pPr>
              <w:autoSpaceDE w:val="0"/>
              <w:autoSpaceDN w:val="0"/>
              <w:jc w:val="left"/>
              <w:rPr>
                <w:rFonts w:asciiTheme="minorHAnsi" w:hAnsiTheme="minorHAnsi"/>
                <w:i/>
                <w:vertAlign w:val="subscript"/>
              </w:rPr>
            </w:pPr>
            <m:oMathPara>
              <m:oMathParaPr>
                <m:jc m:val="left"/>
              </m:oMathParaPr>
              <m:oMath>
                <m:r>
                  <w:rPr>
                    <w:rFonts w:ascii="Cambria Math" w:hAnsi="Cambria Math"/>
                  </w:rPr>
                  <m:t>=</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A</m:t>
                        </m:r>
                      </m:e>
                      <m:sub>
                        <m:r>
                          <w:rPr>
                            <w:rFonts w:ascii="Cambria Math" w:hAnsi="Cambria Math"/>
                          </w:rPr>
                          <m:t>5i</m:t>
                        </m:r>
                      </m:sub>
                    </m:sSub>
                    <m:r>
                      <w:rPr>
                        <w:rFonts w:ascii="Cambria Math" w:hAnsi="Cambria Math" w:hint="eastAsia"/>
                      </w:rPr>
                      <m:t xml:space="preserve">　</m:t>
                    </m:r>
                  </m:e>
                </m:nary>
              </m:oMath>
            </m:oMathPara>
          </w:p>
        </w:tc>
        <w:tc>
          <w:tcPr>
            <w:tcW w:w="0" w:type="auto"/>
            <w:tcMar>
              <w:left w:w="0" w:type="dxa"/>
              <w:right w:w="0" w:type="dxa"/>
            </w:tcMar>
            <w:vAlign w:val="center"/>
          </w:tcPr>
          <w:p w14:paraId="421FDB5F" w14:textId="77777777" w:rsidR="00FF57A8" w:rsidRPr="00BC31E0" w:rsidRDefault="00FF57A8" w:rsidP="001B7872">
            <w:pPr>
              <w:autoSpaceDE w:val="0"/>
              <w:autoSpaceDN w:val="0"/>
              <w:jc w:val="left"/>
              <w:rPr>
                <w:rFonts w:asciiTheme="minorHAnsi" w:hAnsiTheme="minorHAnsi"/>
              </w:rPr>
            </w:pPr>
            <w:r w:rsidRPr="00BC31E0">
              <w:rPr>
                <w:rFonts w:asciiTheme="minorHAnsi" w:hAnsiTheme="minorHAnsi" w:hint="eastAsia"/>
              </w:rPr>
              <w:t>(</w:t>
            </w:r>
            <w:r w:rsidRPr="00BC31E0">
              <w:rPr>
                <w:rFonts w:asciiTheme="majorEastAsia" w:eastAsiaTheme="majorEastAsia" w:hAnsiTheme="majorEastAsia" w:hint="eastAsia"/>
                <w:b/>
              </w:rPr>
              <w:t>図H.1(c)</w:t>
            </w:r>
            <w:r w:rsidRPr="00BC31E0">
              <w:rPr>
                <w:rFonts w:asciiTheme="minorHAnsi" w:hAnsiTheme="minorHAnsi" w:hint="eastAsia"/>
              </w:rPr>
              <w:t>に示される外付けボルト用ラグの場合は，</w:t>
            </w:r>
          </w:p>
        </w:tc>
        <w:tc>
          <w:tcPr>
            <w:tcW w:w="0" w:type="auto"/>
            <w:tcMar>
              <w:left w:w="0" w:type="dxa"/>
              <w:right w:w="0" w:type="dxa"/>
            </w:tcMar>
            <w:vAlign w:val="center"/>
          </w:tcPr>
          <w:p w14:paraId="5B2FAEA4" w14:textId="77777777" w:rsidR="00FF57A8" w:rsidRPr="00BC31E0" w:rsidRDefault="00A51873" w:rsidP="001B7872">
            <w:pPr>
              <w:autoSpaceDE w:val="0"/>
              <w:autoSpaceDN w:val="0"/>
              <w:jc w:val="left"/>
              <w:rPr>
                <w:rFonts w:asciiTheme="minorHAnsi" w:hAnsiTheme="minorHAnsi"/>
                <w:i/>
                <w:vertAlign w:val="subscript"/>
              </w:rPr>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5b</m:t>
                    </m:r>
                  </m:sub>
                </m:sSub>
                <m:r>
                  <w:rPr>
                    <w:rFonts w:ascii="Cambria Math" w:hAnsi="Cambria Math"/>
                  </w:rPr>
                  <m:t>=0</m:t>
                </m:r>
              </m:oMath>
            </m:oMathPara>
          </w:p>
        </w:tc>
        <w:tc>
          <w:tcPr>
            <w:tcW w:w="0" w:type="auto"/>
            <w:tcMar>
              <w:left w:w="0" w:type="dxa"/>
              <w:right w:w="0" w:type="dxa"/>
            </w:tcMar>
            <w:vAlign w:val="center"/>
          </w:tcPr>
          <w:p w14:paraId="4F4BAF55" w14:textId="77777777" w:rsidR="00FF57A8" w:rsidRPr="00BC31E0" w:rsidRDefault="00FF57A8" w:rsidP="001B7872">
            <w:pPr>
              <w:autoSpaceDE w:val="0"/>
              <w:autoSpaceDN w:val="0"/>
              <w:jc w:val="left"/>
              <w:rPr>
                <w:rFonts w:asciiTheme="minorHAnsi" w:hAnsiTheme="minorHAnsi"/>
              </w:rPr>
            </w:pPr>
            <w:r w:rsidRPr="00BC31E0">
              <w:rPr>
                <w:rFonts w:asciiTheme="minorHAnsi" w:hAnsiTheme="minorHAnsi" w:hint="eastAsia"/>
              </w:rPr>
              <w:t>とする。</w:t>
            </w:r>
            <w:r w:rsidRPr="00BC31E0">
              <w:rPr>
                <w:rFonts w:asciiTheme="minorHAnsi" w:hAnsiTheme="minorHAnsi" w:hint="eastAsia"/>
              </w:rPr>
              <w:t>)</w:t>
            </w:r>
          </w:p>
        </w:tc>
      </w:tr>
    </w:tbl>
    <w:p w14:paraId="716E9F80"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A</m:t>
            </m:r>
          </m:e>
          <m:sub>
            <m:r>
              <w:rPr>
                <w:rFonts w:ascii="Cambria Math" w:hAnsi="Cambria Math"/>
              </w:rPr>
              <m:t>5i</m:t>
            </m:r>
          </m:sub>
        </m:sSub>
      </m:oMath>
      <w:r w:rsidR="00FF57A8" w:rsidRPr="00BC31E0">
        <w:tab/>
      </w:r>
      <w:r w:rsidR="00FF57A8" w:rsidRPr="00BC31E0">
        <w:rPr>
          <w:rFonts w:hint="eastAsia"/>
        </w:rPr>
        <w:t>：</w:t>
      </w:r>
      <w:r w:rsidR="00FF57A8" w:rsidRPr="00BC31E0">
        <w:rPr>
          <w:rFonts w:hint="eastAsia"/>
        </w:rPr>
        <w:t xml:space="preserve"> </w:t>
      </w:r>
      <w:r w:rsidR="00FF57A8" w:rsidRPr="00BC31E0">
        <w:rPr>
          <w:rFonts w:hint="eastAsia"/>
        </w:rPr>
        <w:t>半径－周方向面における個々のボルト穴の断面積</w:t>
      </w:r>
      <w:r w:rsidR="00FF57A8" w:rsidRPr="00BC31E0">
        <w:rPr>
          <w:rFonts w:hint="eastAsia"/>
        </w:rPr>
        <w:t>(</w:t>
      </w:r>
      <w:r w:rsidR="00FF57A8" w:rsidRPr="00BC31E0">
        <w:rPr>
          <w:rFonts w:ascii="Cambria Math" w:hAnsi="Cambria Math"/>
        </w:rPr>
        <w:t>mm</w:t>
      </w:r>
      <w:r w:rsidR="00FF57A8" w:rsidRPr="00BC31E0">
        <w:rPr>
          <w:rFonts w:ascii="Cambria Math" w:hAnsi="Cambria Math"/>
          <w:vertAlign w:val="superscript"/>
        </w:rPr>
        <w:t>2</w:t>
      </w:r>
      <w:r w:rsidR="00FF57A8" w:rsidRPr="00BC31E0">
        <w:rPr>
          <w:rFonts w:hint="eastAsia"/>
        </w:rPr>
        <w:t>)</w:t>
      </w:r>
    </w:p>
    <w:p w14:paraId="3BE9D4EE"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A</m:t>
            </m:r>
          </m:e>
          <m:sub>
            <m:r>
              <w:rPr>
                <w:rFonts w:ascii="Cambria Math" w:hAnsi="Cambria Math"/>
              </w:rPr>
              <m:t>6</m:t>
            </m:r>
          </m:sub>
        </m:sSub>
      </m:oMath>
      <w:r w:rsidR="00FF57A8" w:rsidRPr="00BC31E0">
        <w:tab/>
      </w:r>
      <w:r w:rsidR="00FF57A8" w:rsidRPr="00BC31E0">
        <w:rPr>
          <w:rFonts w:hint="eastAsia"/>
        </w:rPr>
        <w:t>：</w:t>
      </w:r>
      <w:r w:rsidR="00FF57A8" w:rsidRPr="00BC31E0">
        <w:rPr>
          <w:rFonts w:hint="eastAsia"/>
        </w:rPr>
        <w:t xml:space="preserve"> </w:t>
      </w:r>
      <w:r w:rsidR="00FF57A8" w:rsidRPr="00BC31E0">
        <w:rPr>
          <w:rFonts w:hint="eastAsia"/>
        </w:rPr>
        <w:t>半径－長手方向面の最小クランプ断面積</w:t>
      </w:r>
      <w:r w:rsidR="00FF57A8" w:rsidRPr="00BC31E0">
        <w:rPr>
          <w:rFonts w:hint="eastAsia"/>
        </w:rPr>
        <w:t>(</w:t>
      </w:r>
      <w:r w:rsidR="00FF57A8" w:rsidRPr="00BC31E0">
        <w:rPr>
          <w:rFonts w:ascii="Cambria Math" w:hAnsi="Cambria Math"/>
        </w:rPr>
        <w:t>mm</w:t>
      </w:r>
      <w:r w:rsidR="00FF57A8" w:rsidRPr="00BC31E0">
        <w:rPr>
          <w:rFonts w:ascii="Cambria Math" w:hAnsi="Cambria Math"/>
          <w:vertAlign w:val="superscript"/>
        </w:rPr>
        <w:t>2</w:t>
      </w:r>
      <w:r w:rsidR="00FF57A8" w:rsidRPr="00BC31E0">
        <w:rPr>
          <w:rFonts w:hint="eastAsia"/>
        </w:rPr>
        <w:t>)</w:t>
      </w:r>
    </w:p>
    <w:p w14:paraId="149A89CD" w14:textId="77777777" w:rsidR="00FF57A8" w:rsidRPr="00BC31E0" w:rsidRDefault="00FF57A8" w:rsidP="001B7872">
      <w:pPr>
        <w:autoSpaceDE w:val="0"/>
        <w:autoSpaceDN w:val="0"/>
        <w:ind w:left="1077"/>
        <w:rPr>
          <w:i/>
        </w:rPr>
      </w:pPr>
      <m:oMath>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6b</m:t>
            </m:r>
          </m:sub>
        </m:sSub>
      </m:oMath>
      <w:r w:rsidRPr="00BC31E0">
        <w:rPr>
          <w:i/>
        </w:rPr>
        <w:t xml:space="preserve"> </w:t>
      </w:r>
    </w:p>
    <w:p w14:paraId="07A54110" w14:textId="77777777" w:rsidR="00FF57A8" w:rsidRPr="00BC31E0" w:rsidRDefault="00A51873" w:rsidP="001B7872">
      <w:pPr>
        <w:tabs>
          <w:tab w:val="left" w:pos="709"/>
        </w:tabs>
        <w:autoSpaceDE w:val="0"/>
        <w:autoSpaceDN w:val="0"/>
        <w:ind w:leftChars="100" w:left="1004" w:hanging="794"/>
      </w:pPr>
      <m:oMath>
        <m:sSub>
          <m:sSubPr>
            <m:ctrlPr>
              <w:rPr>
                <w:rFonts w:ascii="Cambria Math" w:hAnsi="Cambria Math"/>
                <w:i/>
              </w:rPr>
            </m:ctrlPr>
          </m:sSubPr>
          <m:e>
            <m:r>
              <w:rPr>
                <w:rFonts w:ascii="Cambria Math" w:hAnsi="Cambria Math"/>
              </w:rPr>
              <m:t>A</m:t>
            </m:r>
          </m:e>
          <m:sub>
            <m:r>
              <w:rPr>
                <w:rFonts w:ascii="Cambria Math" w:hAnsi="Cambria Math"/>
              </w:rPr>
              <m:t>6b</m:t>
            </m:r>
          </m:sub>
        </m:sSub>
      </m:oMath>
      <w:r w:rsidR="00FF57A8" w:rsidRPr="00BC31E0">
        <w:rPr>
          <w:vertAlign w:val="subscript"/>
        </w:rPr>
        <w:tab/>
      </w:r>
      <w:r w:rsidR="00FF57A8" w:rsidRPr="00BC31E0">
        <w:rPr>
          <w:rFonts w:hint="eastAsia"/>
        </w:rPr>
        <w:t>：</w:t>
      </w:r>
      <w:r w:rsidR="00FF57A8" w:rsidRPr="00BC31E0">
        <w:rPr>
          <w:rFonts w:hint="eastAsia"/>
        </w:rPr>
        <w:t xml:space="preserve"> </w:t>
      </w:r>
      <w:r w:rsidR="00FF57A8" w:rsidRPr="00BC31E0">
        <w:rPr>
          <w:rFonts w:hint="eastAsia"/>
        </w:rPr>
        <w:t>クランプ本体にボルトが植え込まれた場合の半径－長手方向面におけるクランプボルト穴の総断面積</w:t>
      </w:r>
      <w:r w:rsidR="00FF57A8" w:rsidRPr="00BC31E0">
        <w:rPr>
          <w:rFonts w:hint="eastAsia"/>
        </w:rPr>
        <w:t>(</w:t>
      </w:r>
      <w:r w:rsidR="00FF57A8" w:rsidRPr="00BC31E0">
        <w:rPr>
          <w:rFonts w:ascii="Cambria Math" w:hAnsi="Cambria Math"/>
        </w:rPr>
        <w:t>mm</w:t>
      </w:r>
      <w:r w:rsidR="00FF57A8" w:rsidRPr="00BC31E0">
        <w:rPr>
          <w:rFonts w:ascii="Cambria Math" w:hAnsi="Cambria Math"/>
          <w:vertAlign w:val="superscript"/>
        </w:rPr>
        <w:t>2</w:t>
      </w:r>
      <w:r w:rsidR="00FF57A8" w:rsidRPr="00BC31E0">
        <w:rPr>
          <w:rFonts w:hint="eastAsia"/>
        </w:rPr>
        <w:t>)</w:t>
      </w:r>
    </w:p>
    <w:tbl>
      <w:tblPr>
        <w:tblStyle w:val="afff2"/>
        <w:tblW w:w="0" w:type="auto"/>
        <w:tblInd w:w="1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5"/>
        <w:gridCol w:w="4906"/>
        <w:gridCol w:w="713"/>
        <w:gridCol w:w="910"/>
      </w:tblGrid>
      <w:tr w:rsidR="00FF57A8" w:rsidRPr="00BC31E0" w14:paraId="0748EADC" w14:textId="77777777" w:rsidTr="004736F2">
        <w:tc>
          <w:tcPr>
            <w:tcW w:w="0" w:type="auto"/>
            <w:tcMar>
              <w:left w:w="0" w:type="dxa"/>
              <w:right w:w="0" w:type="dxa"/>
            </w:tcMar>
            <w:vAlign w:val="center"/>
          </w:tcPr>
          <w:p w14:paraId="69BDB024" w14:textId="77777777" w:rsidR="00FF57A8" w:rsidRPr="00BC31E0" w:rsidRDefault="00FF57A8" w:rsidP="001B7872">
            <w:pPr>
              <w:autoSpaceDE w:val="0"/>
              <w:autoSpaceDN w:val="0"/>
              <w:jc w:val="left"/>
              <w:rPr>
                <w:rFonts w:asciiTheme="minorHAnsi" w:hAnsiTheme="minorHAnsi"/>
                <w:i/>
                <w:vertAlign w:val="subscript"/>
              </w:rPr>
            </w:pPr>
            <m:oMathPara>
              <m:oMathParaPr>
                <m:jc m:val="left"/>
              </m:oMathParaPr>
              <m:oMath>
                <m:r>
                  <w:rPr>
                    <w:rFonts w:ascii="Cambria Math" w:hAnsi="Cambria Math"/>
                  </w:rPr>
                  <m:t>=</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A</m:t>
                        </m:r>
                      </m:e>
                      <m:sub>
                        <m:r>
                          <w:rPr>
                            <w:rFonts w:ascii="Cambria Math" w:hAnsi="Cambria Math"/>
                          </w:rPr>
                          <m:t>6i</m:t>
                        </m:r>
                      </m:sub>
                    </m:sSub>
                    <m:r>
                      <w:rPr>
                        <w:rFonts w:ascii="Cambria Math" w:hAnsi="Cambria Math" w:hint="eastAsia"/>
                      </w:rPr>
                      <m:t xml:space="preserve">　</m:t>
                    </m:r>
                  </m:e>
                </m:nary>
              </m:oMath>
            </m:oMathPara>
          </w:p>
        </w:tc>
        <w:tc>
          <w:tcPr>
            <w:tcW w:w="0" w:type="auto"/>
            <w:tcMar>
              <w:left w:w="0" w:type="dxa"/>
              <w:right w:w="0" w:type="dxa"/>
            </w:tcMar>
            <w:vAlign w:val="center"/>
          </w:tcPr>
          <w:p w14:paraId="2D1B5129" w14:textId="77777777" w:rsidR="00FF57A8" w:rsidRPr="00BC31E0" w:rsidRDefault="00FF57A8" w:rsidP="001B7872">
            <w:pPr>
              <w:autoSpaceDE w:val="0"/>
              <w:autoSpaceDN w:val="0"/>
              <w:jc w:val="left"/>
              <w:rPr>
                <w:rFonts w:asciiTheme="minorHAnsi" w:hAnsiTheme="minorHAnsi"/>
              </w:rPr>
            </w:pPr>
            <w:r w:rsidRPr="00BC31E0">
              <w:rPr>
                <w:rFonts w:asciiTheme="minorHAnsi" w:hAnsiTheme="minorHAnsi" w:hint="eastAsia"/>
              </w:rPr>
              <w:t>(</w:t>
            </w:r>
            <w:r w:rsidRPr="00BC31E0">
              <w:rPr>
                <w:rFonts w:asciiTheme="majorEastAsia" w:eastAsiaTheme="majorEastAsia" w:hAnsiTheme="majorEastAsia" w:hint="eastAsia"/>
                <w:b/>
              </w:rPr>
              <w:t>図H.1(c)</w:t>
            </w:r>
            <w:r w:rsidRPr="00BC31E0">
              <w:rPr>
                <w:rFonts w:asciiTheme="minorHAnsi" w:hAnsiTheme="minorHAnsi" w:hint="eastAsia"/>
              </w:rPr>
              <w:t>に示される外付けボルト用ラグの場合は，</w:t>
            </w:r>
          </w:p>
        </w:tc>
        <w:tc>
          <w:tcPr>
            <w:tcW w:w="0" w:type="auto"/>
            <w:tcMar>
              <w:left w:w="0" w:type="dxa"/>
              <w:right w:w="0" w:type="dxa"/>
            </w:tcMar>
            <w:vAlign w:val="center"/>
          </w:tcPr>
          <w:p w14:paraId="0C0563F2" w14:textId="77777777" w:rsidR="00FF57A8" w:rsidRPr="00BC31E0" w:rsidRDefault="00A51873" w:rsidP="001B7872">
            <w:pPr>
              <w:autoSpaceDE w:val="0"/>
              <w:autoSpaceDN w:val="0"/>
              <w:jc w:val="left"/>
              <w:rPr>
                <w:rFonts w:asciiTheme="minorHAnsi" w:hAnsiTheme="minorHAnsi"/>
                <w:i/>
                <w:vertAlign w:val="subscript"/>
              </w:rPr>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6b</m:t>
                    </m:r>
                  </m:sub>
                </m:sSub>
                <m:r>
                  <w:rPr>
                    <w:rFonts w:ascii="Cambria Math" w:hAnsi="Cambria Math"/>
                  </w:rPr>
                  <m:t>=0</m:t>
                </m:r>
              </m:oMath>
            </m:oMathPara>
          </w:p>
        </w:tc>
        <w:tc>
          <w:tcPr>
            <w:tcW w:w="0" w:type="auto"/>
            <w:tcMar>
              <w:left w:w="0" w:type="dxa"/>
              <w:right w:w="0" w:type="dxa"/>
            </w:tcMar>
            <w:vAlign w:val="center"/>
          </w:tcPr>
          <w:p w14:paraId="45D7EA6B" w14:textId="77777777" w:rsidR="00FF57A8" w:rsidRPr="00BC31E0" w:rsidRDefault="00FF57A8" w:rsidP="001B7872">
            <w:pPr>
              <w:autoSpaceDE w:val="0"/>
              <w:autoSpaceDN w:val="0"/>
              <w:jc w:val="left"/>
              <w:rPr>
                <w:rFonts w:asciiTheme="minorHAnsi" w:hAnsiTheme="minorHAnsi"/>
              </w:rPr>
            </w:pPr>
            <w:r w:rsidRPr="00BC31E0">
              <w:rPr>
                <w:rFonts w:asciiTheme="minorHAnsi" w:hAnsiTheme="minorHAnsi" w:hint="eastAsia"/>
              </w:rPr>
              <w:t>とする。</w:t>
            </w:r>
            <w:r w:rsidRPr="00BC31E0">
              <w:rPr>
                <w:rFonts w:asciiTheme="minorHAnsi" w:hAnsiTheme="minorHAnsi" w:hint="eastAsia"/>
              </w:rPr>
              <w:t>)</w:t>
            </w:r>
          </w:p>
        </w:tc>
      </w:tr>
    </w:tbl>
    <w:p w14:paraId="1366A130"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A</m:t>
            </m:r>
          </m:e>
          <m:sub>
            <m:r>
              <w:rPr>
                <w:rFonts w:ascii="Cambria Math" w:hAnsi="Cambria Math"/>
              </w:rPr>
              <m:t>6i</m:t>
            </m:r>
          </m:sub>
        </m:sSub>
      </m:oMath>
      <w:r w:rsidR="00FF57A8" w:rsidRPr="00BC31E0">
        <w:tab/>
      </w:r>
      <w:r w:rsidR="00FF57A8" w:rsidRPr="00BC31E0">
        <w:rPr>
          <w:rFonts w:hint="eastAsia"/>
        </w:rPr>
        <w:t>：</w:t>
      </w:r>
      <w:r w:rsidR="00FF57A8" w:rsidRPr="00BC31E0">
        <w:rPr>
          <w:rFonts w:hint="eastAsia"/>
        </w:rPr>
        <w:t xml:space="preserve"> </w:t>
      </w:r>
      <w:r w:rsidR="00FF57A8" w:rsidRPr="00BC31E0">
        <w:rPr>
          <w:rFonts w:hint="eastAsia"/>
        </w:rPr>
        <w:t>半径－長手方向面における個々のボルト穴の断面積</w:t>
      </w:r>
      <w:r w:rsidR="00FF57A8" w:rsidRPr="00BC31E0">
        <w:rPr>
          <w:rFonts w:hint="eastAsia"/>
        </w:rPr>
        <w:t>(</w:t>
      </w:r>
      <w:r w:rsidR="00FF57A8" w:rsidRPr="00BC31E0">
        <w:rPr>
          <w:rFonts w:ascii="Cambria Math" w:hAnsi="Cambria Math"/>
        </w:rPr>
        <w:t>mm</w:t>
      </w:r>
      <w:r w:rsidR="00FF57A8" w:rsidRPr="00BC31E0">
        <w:rPr>
          <w:rFonts w:ascii="Cambria Math" w:hAnsi="Cambria Math"/>
          <w:vertAlign w:val="superscript"/>
        </w:rPr>
        <w:t>2</w:t>
      </w:r>
      <w:r w:rsidR="00FF57A8" w:rsidRPr="00BC31E0">
        <w:rPr>
          <w:rFonts w:hint="eastAsia"/>
        </w:rPr>
        <w:t>)</w:t>
      </w:r>
    </w:p>
    <w:p w14:paraId="634268CE"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A</m:t>
            </m:r>
          </m:e>
          <m:sub>
            <m:r>
              <w:rPr>
                <w:rFonts w:ascii="Cambria Math" w:hAnsi="Cambria Math"/>
              </w:rPr>
              <m:t>7</m:t>
            </m:r>
          </m:sub>
        </m:sSub>
      </m:oMath>
      <w:r w:rsidR="00FF57A8" w:rsidRPr="00BC31E0">
        <w:tab/>
      </w:r>
      <w:r w:rsidR="00FF57A8" w:rsidRPr="00BC31E0">
        <w:rPr>
          <w:rFonts w:hint="eastAsia"/>
        </w:rPr>
        <w:t>：</w:t>
      </w:r>
      <w:r w:rsidR="00FF57A8" w:rsidRPr="00BC31E0">
        <w:rPr>
          <w:rFonts w:hint="eastAsia"/>
        </w:rPr>
        <w:t xml:space="preserve"> </w:t>
      </w:r>
      <w:r w:rsidR="00FF57A8" w:rsidRPr="00BC31E0">
        <w:rPr>
          <w:rFonts w:hint="eastAsia"/>
        </w:rPr>
        <w:t>クランプリップの長手方向せん断断面積で，</w:t>
      </w:r>
      <m:oMath>
        <m:sSub>
          <m:sSubPr>
            <m:ctrlPr>
              <w:rPr>
                <w:rFonts w:ascii="Cambria Math" w:hAnsi="Cambria Math"/>
              </w:rPr>
            </m:ctrlPr>
          </m:sSubPr>
          <m:e>
            <m:r>
              <w:rPr>
                <w:rFonts w:ascii="Cambria Math" w:hAnsi="Cambria Math"/>
              </w:rPr>
              <m:t>A</m:t>
            </m:r>
          </m:e>
          <m:sub>
            <m:r>
              <w:rPr>
                <w:rFonts w:ascii="Cambria Math" w:hAnsi="Cambria Math"/>
              </w:rPr>
              <m:t>7a</m:t>
            </m:r>
          </m:sub>
        </m:sSub>
      </m:oMath>
      <w:r w:rsidR="00FF57A8" w:rsidRPr="00BC31E0">
        <w:rPr>
          <w:rFonts w:hint="eastAsia"/>
        </w:rPr>
        <w:t>と</w:t>
      </w:r>
      <m:oMath>
        <m:sSub>
          <m:sSubPr>
            <m:ctrlPr>
              <w:rPr>
                <w:rFonts w:ascii="Cambria Math" w:hAnsi="Cambria Math"/>
              </w:rPr>
            </m:ctrlPr>
          </m:sSubPr>
          <m:e>
            <m:r>
              <w:rPr>
                <w:rFonts w:ascii="Cambria Math" w:hAnsi="Cambria Math"/>
              </w:rPr>
              <m:t>A</m:t>
            </m:r>
          </m:e>
          <m:sub>
            <m:r>
              <w:rPr>
                <w:rFonts w:ascii="Cambria Math" w:hAnsi="Cambria Math"/>
              </w:rPr>
              <m:t>7b</m:t>
            </m:r>
          </m:sub>
        </m:sSub>
      </m:oMath>
      <w:r w:rsidR="00FF57A8" w:rsidRPr="00BC31E0">
        <w:rPr>
          <w:rFonts w:hint="eastAsia"/>
        </w:rPr>
        <w:t>の小さい方の値</w:t>
      </w:r>
      <w:r w:rsidR="00FF57A8" w:rsidRPr="00BC31E0">
        <w:rPr>
          <w:rFonts w:hint="eastAsia"/>
        </w:rPr>
        <w:t>(</w:t>
      </w:r>
      <w:r w:rsidR="00FF57A8" w:rsidRPr="00BC31E0">
        <w:rPr>
          <w:rFonts w:ascii="Cambria Math" w:hAnsi="Cambria Math"/>
        </w:rPr>
        <w:t>mm</w:t>
      </w:r>
      <w:r w:rsidR="00FF57A8" w:rsidRPr="00BC31E0">
        <w:rPr>
          <w:rFonts w:ascii="Cambria Math" w:hAnsi="Cambria Math"/>
          <w:vertAlign w:val="superscript"/>
        </w:rPr>
        <w:t>2</w:t>
      </w:r>
      <w:r w:rsidR="00FF57A8" w:rsidRPr="00BC31E0">
        <w:rPr>
          <w:rFonts w:hint="eastAsia"/>
        </w:rPr>
        <w:t>)</w:t>
      </w:r>
    </w:p>
    <w:p w14:paraId="05BB93C9"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A</m:t>
            </m:r>
          </m:e>
          <m:sub>
            <m:r>
              <w:rPr>
                <w:rFonts w:ascii="Cambria Math" w:hAnsi="Cambria Math"/>
              </w:rPr>
              <m:t>7a</m:t>
            </m:r>
          </m:sub>
        </m:sSub>
      </m:oMath>
      <w:r w:rsidR="00FF57A8" w:rsidRPr="00BC31E0">
        <w:rPr>
          <w:rFonts w:hint="eastAsia"/>
          <w:i/>
        </w:rPr>
        <w:tab/>
      </w:r>
      <w:r w:rsidR="00FF57A8" w:rsidRPr="00BC31E0">
        <w:rPr>
          <w:rFonts w:hint="eastAsia"/>
        </w:rPr>
        <w:t>：</w:t>
      </w:r>
      <w:r w:rsidR="00FF57A8" w:rsidRPr="00BC31E0">
        <w:rPr>
          <w:rFonts w:hint="eastAsia"/>
        </w:rPr>
        <w:t xml:space="preserve"> </w:t>
      </w:r>
      <w:r w:rsidR="00FF57A8" w:rsidRPr="00BC31E0">
        <w:rPr>
          <w:rFonts w:hint="eastAsia"/>
        </w:rPr>
        <w:t>周－長手方向面における直せん断面のクランプリップの長手方向せん断断面積</w:t>
      </w:r>
      <w:r w:rsidR="00FF57A8" w:rsidRPr="00BC31E0">
        <w:rPr>
          <w:rFonts w:hint="eastAsia"/>
        </w:rPr>
        <w:t>(</w:t>
      </w:r>
      <w:r w:rsidR="00FF57A8" w:rsidRPr="00BC31E0">
        <w:rPr>
          <w:rFonts w:ascii="Cambria Math" w:hAnsi="Cambria Math"/>
        </w:rPr>
        <w:t>mm</w:t>
      </w:r>
      <w:r w:rsidR="00FF57A8" w:rsidRPr="00BC31E0">
        <w:rPr>
          <w:rFonts w:ascii="Cambria Math" w:hAnsi="Cambria Math"/>
          <w:vertAlign w:val="superscript"/>
        </w:rPr>
        <w:t>2</w:t>
      </w:r>
      <w:r w:rsidR="00FF57A8" w:rsidRPr="00BC31E0">
        <w:rPr>
          <w:rFonts w:hint="eastAsia"/>
        </w:rPr>
        <w:t>)</w:t>
      </w:r>
    </w:p>
    <w:p w14:paraId="08213D8C" w14:textId="77777777" w:rsidR="00FF57A8" w:rsidRPr="00BC31E0" w:rsidRDefault="00FF57A8" w:rsidP="001B7872">
      <w:pPr>
        <w:autoSpaceDE w:val="0"/>
        <w:autoSpaceDN w:val="0"/>
        <w:ind w:left="1077"/>
      </w:pPr>
      <m:oMath>
        <m:r>
          <w:rPr>
            <w:rFonts w:ascii="Cambria Math" w:hAnsi="Cambria Math"/>
          </w:rPr>
          <m:t xml:space="preserve">=π </m:t>
        </m:r>
        <m:sSub>
          <m:sSubPr>
            <m:ctrlPr>
              <w:rPr>
                <w:rFonts w:ascii="Cambria Math" w:hAnsi="Cambria Math"/>
                <w:i/>
              </w:rPr>
            </m:ctrlPr>
          </m:sSubPr>
          <m:e>
            <m:r>
              <w:rPr>
                <w:rFonts w:ascii="Cambria Math" w:hAnsi="Cambria Math"/>
              </w:rPr>
              <m:t>A</m:t>
            </m:r>
          </m:e>
          <m:sub>
            <m:r>
              <w:rPr>
                <w:rFonts w:ascii="Cambria Math" w:hAnsi="Cambria Math"/>
              </w:rPr>
              <m:t>or</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c</m:t>
            </m:r>
          </m:sub>
        </m:sSub>
      </m:oMath>
      <w:r w:rsidRPr="00BC31E0">
        <w:rPr>
          <w:i/>
        </w:rPr>
        <w:t xml:space="preserve"> </w:t>
      </w:r>
    </w:p>
    <w:p w14:paraId="7E42C7D2"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A</m:t>
            </m:r>
          </m:e>
          <m:sub>
            <m:r>
              <w:rPr>
                <w:rFonts w:ascii="Cambria Math" w:hAnsi="Cambria Math"/>
              </w:rPr>
              <m:t>7b</m:t>
            </m:r>
          </m:sub>
        </m:sSub>
      </m:oMath>
      <w:r w:rsidR="00FF57A8" w:rsidRPr="00BC31E0">
        <w:tab/>
      </w:r>
      <w:r w:rsidR="00FF57A8" w:rsidRPr="00BC31E0">
        <w:rPr>
          <w:rFonts w:hint="eastAsia"/>
        </w:rPr>
        <w:t>：</w:t>
      </w:r>
      <w:r w:rsidR="00FF57A8" w:rsidRPr="00BC31E0">
        <w:rPr>
          <w:rFonts w:hint="eastAsia"/>
        </w:rPr>
        <w:t xml:space="preserve"> </w:t>
      </w:r>
      <w:r w:rsidR="00FF57A8" w:rsidRPr="00BC31E0">
        <w:rPr>
          <w:rFonts w:ascii="Cambria Math" w:hAnsi="Cambria Math"/>
        </w:rPr>
        <w:t>45°</w:t>
      </w:r>
      <w:r w:rsidR="00FF57A8" w:rsidRPr="00BC31E0">
        <w:rPr>
          <w:rFonts w:hint="eastAsia"/>
        </w:rPr>
        <w:t>円すい面におけるクランプリップの長手方向せん断断面積</w:t>
      </w:r>
      <w:r w:rsidR="00FF57A8" w:rsidRPr="00BC31E0">
        <w:rPr>
          <w:rFonts w:hint="eastAsia"/>
        </w:rPr>
        <w:t>(</w:t>
      </w:r>
      <w:r w:rsidR="00FF57A8" w:rsidRPr="00BC31E0">
        <w:rPr>
          <w:rFonts w:ascii="Cambria Math" w:hAnsi="Cambria Math"/>
        </w:rPr>
        <w:t>mm</w:t>
      </w:r>
      <w:r w:rsidR="00FF57A8" w:rsidRPr="00BC31E0">
        <w:rPr>
          <w:rFonts w:ascii="Cambria Math" w:hAnsi="Cambria Math"/>
          <w:vertAlign w:val="superscript"/>
        </w:rPr>
        <w:t>2</w:t>
      </w:r>
      <w:r w:rsidR="00FF57A8" w:rsidRPr="00BC31E0">
        <w:rPr>
          <w:rFonts w:hint="eastAsia"/>
        </w:rPr>
        <w:t>)</w:t>
      </w:r>
    </w:p>
    <w:tbl>
      <w:tblPr>
        <w:tblStyle w:val="afff2"/>
        <w:tblW w:w="0" w:type="auto"/>
        <w:tblInd w:w="1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tblGrid>
      <w:tr w:rsidR="00FF57A8" w:rsidRPr="00BC31E0" w14:paraId="7D847E1A" w14:textId="77777777" w:rsidTr="004736F2">
        <w:tc>
          <w:tcPr>
            <w:tcW w:w="0" w:type="auto"/>
            <w:tcMar>
              <w:left w:w="0" w:type="dxa"/>
              <w:right w:w="0" w:type="dxa"/>
            </w:tcMar>
            <w:vAlign w:val="center"/>
          </w:tcPr>
          <w:p w14:paraId="62F8CAAF" w14:textId="77777777" w:rsidR="00FF57A8" w:rsidRPr="00BC31E0" w:rsidRDefault="00FF57A8" w:rsidP="001B7872">
            <w:pPr>
              <w:autoSpaceDE w:val="0"/>
              <w:autoSpaceDN w:val="0"/>
              <w:jc w:val="left"/>
              <w:rPr>
                <w:rFonts w:asciiTheme="minorHAnsi" w:hAnsiTheme="minorHAnsi"/>
                <w:i/>
              </w:rPr>
            </w:pPr>
            <m:oMathPara>
              <m:oMathParaPr>
                <m:jc m:val="left"/>
              </m:oMathParaPr>
              <m:oMath>
                <m:r>
                  <w:rPr>
                    <w:rFonts w:ascii="Cambria Math" w:hAnsi="Cambria Math"/>
                  </w:rPr>
                  <w:lastRenderedPageBreak/>
                  <m:t>=</m:t>
                </m:r>
                <m:f>
                  <m:fPr>
                    <m:ctrlPr>
                      <w:rPr>
                        <w:rFonts w:ascii="Cambria Math" w:hAnsi="Cambria Math"/>
                        <w:i/>
                      </w:rPr>
                    </m:ctrlPr>
                  </m:fPr>
                  <m:num>
                    <m:r>
                      <w:rPr>
                        <w:rFonts w:ascii="Cambria Math" w:hAnsi="Cambria Math"/>
                      </w:rPr>
                      <m:t xml:space="preserve">π </m:t>
                    </m:r>
                    <m:rad>
                      <m:radPr>
                        <m:degHide m:val="1"/>
                        <m:ctrlPr>
                          <w:rPr>
                            <w:rFonts w:ascii="Cambria Math" w:hAnsi="Cambria Math"/>
                            <w:i/>
                          </w:rPr>
                        </m:ctrlPr>
                      </m:radPr>
                      <m:deg/>
                      <m:e>
                        <m:r>
                          <w:rPr>
                            <w:rFonts w:ascii="Cambria Math" w:hAnsi="Cambria Math"/>
                          </w:rPr>
                          <m:t>2</m:t>
                        </m:r>
                      </m:e>
                    </m:rad>
                  </m:num>
                  <m:den>
                    <m:r>
                      <w:rPr>
                        <w:rFonts w:ascii="Cambria Math" w:hAnsi="Cambria Math"/>
                      </w:rPr>
                      <m:t>4</m:t>
                    </m:r>
                  </m:den>
                </m:f>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or</m:t>
                            </m:r>
                          </m:sub>
                        </m:sSub>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C</m:t>
                            </m:r>
                          </m:e>
                          <m:sub>
                            <m:r>
                              <w:rPr>
                                <w:rFonts w:ascii="Cambria Math" w:hAnsi="Cambria Math"/>
                              </w:rPr>
                              <m:t>i</m:t>
                            </m:r>
                          </m:sub>
                        </m:sSub>
                      </m:e>
                      <m:sup>
                        <m:r>
                          <w:rPr>
                            <w:rFonts w:ascii="Cambria Math" w:hAnsi="Cambria Math"/>
                          </w:rPr>
                          <m:t>2</m:t>
                        </m:r>
                      </m:sup>
                    </m:sSup>
                  </m:e>
                </m:d>
              </m:oMath>
            </m:oMathPara>
          </w:p>
        </w:tc>
      </w:tr>
    </w:tbl>
    <w:p w14:paraId="5EE6A62D" w14:textId="77777777" w:rsidR="00FF57A8" w:rsidRPr="00BC31E0" w:rsidRDefault="00FF57A8" w:rsidP="001B7872">
      <w:pPr>
        <w:tabs>
          <w:tab w:val="left" w:pos="709"/>
        </w:tabs>
        <w:autoSpaceDE w:val="0"/>
        <w:autoSpaceDN w:val="0"/>
        <w:ind w:leftChars="100" w:left="210"/>
      </w:pPr>
      <m:oMath>
        <m:r>
          <w:rPr>
            <w:rFonts w:ascii="Cambria Math" w:hAnsi="Cambria Math"/>
          </w:rPr>
          <m:t>B</m:t>
        </m:r>
      </m:oMath>
      <w:r w:rsidRPr="00BC31E0">
        <w:rPr>
          <w:rFonts w:hint="eastAsia"/>
          <w:i/>
        </w:rPr>
        <w:tab/>
      </w:r>
      <w:r w:rsidRPr="00BC31E0">
        <w:rPr>
          <w:rFonts w:hint="eastAsia"/>
        </w:rPr>
        <w:t>：</w:t>
      </w:r>
      <w:r w:rsidRPr="00BC31E0">
        <w:rPr>
          <w:rFonts w:hint="eastAsia"/>
        </w:rPr>
        <w:t xml:space="preserve"> </w:t>
      </w:r>
      <w:r w:rsidRPr="00BC31E0">
        <w:rPr>
          <w:rFonts w:hint="eastAsia"/>
        </w:rPr>
        <w:t>ハブの内径（</w:t>
      </w:r>
      <w:r w:rsidRPr="00BC31E0">
        <w:rPr>
          <w:rFonts w:ascii="Cambria Math" w:hAnsi="Cambria Math"/>
        </w:rPr>
        <w:t>mm</w:t>
      </w:r>
      <w:r w:rsidRPr="00BC31E0">
        <w:rPr>
          <w:rFonts w:hint="eastAsia"/>
        </w:rPr>
        <w:t>）</w:t>
      </w:r>
    </w:p>
    <w:p w14:paraId="5181FA91"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B</m:t>
            </m:r>
          </m:e>
          <m:sub>
            <m:r>
              <w:rPr>
                <w:rFonts w:ascii="Cambria Math" w:hAnsi="Cambria Math"/>
              </w:rPr>
              <m:t>c</m:t>
            </m:r>
          </m:sub>
        </m:sSub>
      </m:oMath>
      <w:r w:rsidR="00FF57A8" w:rsidRPr="00BC31E0">
        <w:tab/>
      </w:r>
      <w:r w:rsidR="00FF57A8" w:rsidRPr="00BC31E0">
        <w:rPr>
          <w:rFonts w:hint="eastAsia"/>
        </w:rPr>
        <w:t>：</w:t>
      </w:r>
      <w:r w:rsidR="00FF57A8" w:rsidRPr="00BC31E0">
        <w:rPr>
          <w:rFonts w:hint="eastAsia"/>
        </w:rPr>
        <w:t xml:space="preserve"> </w:t>
      </w:r>
      <w:r w:rsidR="00FF57A8" w:rsidRPr="00BC31E0">
        <w:rPr>
          <w:rFonts w:hint="eastAsia"/>
        </w:rPr>
        <w:t>軸中心からボルト中心間の距離</w:t>
      </w:r>
      <w:r w:rsidR="00FF57A8" w:rsidRPr="00BC31E0">
        <w:rPr>
          <w:rFonts w:hint="eastAsia"/>
        </w:rPr>
        <w:t>(</w:t>
      </w:r>
      <w:r w:rsidR="00FF57A8" w:rsidRPr="00BC31E0">
        <w:rPr>
          <w:rFonts w:ascii="Cambria Math" w:hAnsi="Cambria Math"/>
        </w:rPr>
        <w:t>mm</w:t>
      </w:r>
      <w:r w:rsidR="00FF57A8" w:rsidRPr="00BC31E0">
        <w:rPr>
          <w:rFonts w:hint="eastAsia"/>
        </w:rPr>
        <w:t>)</w:t>
      </w:r>
    </w:p>
    <w:p w14:paraId="02766DF0" w14:textId="77777777" w:rsidR="00FF57A8" w:rsidRPr="00BC31E0" w:rsidRDefault="00FF57A8" w:rsidP="001B7872">
      <w:pPr>
        <w:tabs>
          <w:tab w:val="left" w:pos="709"/>
        </w:tabs>
        <w:autoSpaceDE w:val="0"/>
        <w:autoSpaceDN w:val="0"/>
        <w:ind w:leftChars="100" w:left="210"/>
      </w:pPr>
      <m:oMath>
        <m:r>
          <w:rPr>
            <w:rFonts w:ascii="Cambria Math" w:hAnsi="Cambria Math"/>
          </w:rPr>
          <m:t>C</m:t>
        </m:r>
      </m:oMath>
      <w:r w:rsidRPr="00BC31E0">
        <w:rPr>
          <w:rFonts w:hint="eastAsia"/>
          <w:i/>
        </w:rPr>
        <w:tab/>
      </w:r>
      <w:r w:rsidRPr="00BC31E0">
        <w:rPr>
          <w:rFonts w:hint="eastAsia"/>
        </w:rPr>
        <w:t>：</w:t>
      </w:r>
      <w:r w:rsidRPr="00BC31E0">
        <w:rPr>
          <w:rFonts w:hint="eastAsia"/>
        </w:rPr>
        <w:t xml:space="preserve"> </w:t>
      </w:r>
      <w:r w:rsidRPr="00BC31E0">
        <w:rPr>
          <w:rFonts w:hint="eastAsia"/>
        </w:rPr>
        <w:t>有効クランプ－ハブ接触円の直径</w:t>
      </w:r>
      <w:r w:rsidRPr="00BC31E0">
        <w:rPr>
          <w:rFonts w:hint="eastAsia"/>
        </w:rPr>
        <w:t>(</w:t>
      </w:r>
      <w:r w:rsidRPr="00BC31E0">
        <w:rPr>
          <w:rFonts w:ascii="Cambria Math" w:hAnsi="Cambria Math"/>
        </w:rPr>
        <w:t>mm</w:t>
      </w:r>
      <w:r w:rsidRPr="00BC31E0">
        <w:rPr>
          <w:rFonts w:hint="eastAsia"/>
        </w:rPr>
        <w:t>)</w:t>
      </w:r>
    </w:p>
    <w:p w14:paraId="14643AD3" w14:textId="77777777" w:rsidR="00FF57A8" w:rsidRPr="00BC31E0" w:rsidRDefault="00FF57A8" w:rsidP="001B7872">
      <w:pPr>
        <w:autoSpaceDE w:val="0"/>
        <w:autoSpaceDN w:val="0"/>
        <w:ind w:left="1077"/>
      </w:pPr>
      <m:oMath>
        <m:r>
          <w:rPr>
            <w:rFonts w:ascii="Cambria Math" w:hAnsi="Cambria Math"/>
          </w:rPr>
          <m:t>=</m:t>
        </m:r>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or</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ir</m:t>
                    </m:r>
                  </m:sub>
                </m:sSub>
              </m:e>
            </m:d>
          </m:num>
          <m:den>
            <m:r>
              <w:rPr>
                <w:rFonts w:ascii="Cambria Math" w:hAnsi="Cambria Math"/>
              </w:rPr>
              <m:t>2</m:t>
            </m:r>
          </m:den>
        </m:f>
      </m:oMath>
      <w:r w:rsidRPr="00BC31E0">
        <w:rPr>
          <w:i/>
        </w:rPr>
        <w:t xml:space="preserve"> </w:t>
      </w:r>
    </w:p>
    <w:p w14:paraId="643171B1"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C</m:t>
            </m:r>
          </m:e>
          <m:sub>
            <m:r>
              <w:rPr>
                <w:rFonts w:ascii="Cambria Math" w:hAnsi="Cambria Math"/>
              </w:rPr>
              <m:t>g</m:t>
            </m:r>
          </m:sub>
        </m:sSub>
      </m:oMath>
      <w:r w:rsidR="00FF57A8" w:rsidRPr="00BC31E0">
        <w:rPr>
          <w:vertAlign w:val="subscript"/>
        </w:rPr>
        <w:tab/>
      </w:r>
      <w:r w:rsidR="00FF57A8" w:rsidRPr="00BC31E0">
        <w:rPr>
          <w:rFonts w:hint="eastAsia"/>
        </w:rPr>
        <w:t>：</w:t>
      </w:r>
      <w:r w:rsidR="00FF57A8" w:rsidRPr="00BC31E0">
        <w:rPr>
          <w:rFonts w:hint="eastAsia"/>
        </w:rPr>
        <w:t xml:space="preserve"> </w:t>
      </w:r>
      <w:r w:rsidR="00FF57A8" w:rsidRPr="00BC31E0">
        <w:rPr>
          <w:rFonts w:hint="eastAsia"/>
        </w:rPr>
        <w:t>有効クランプ間隙</w:t>
      </w:r>
      <w:r w:rsidR="00FF57A8" w:rsidRPr="00BC31E0">
        <w:rPr>
          <w:rFonts w:hint="eastAsia"/>
        </w:rPr>
        <w:t>(</w:t>
      </w:r>
      <w:r w:rsidR="00FF57A8" w:rsidRPr="00BC31E0">
        <w:rPr>
          <w:rFonts w:ascii="Cambria Math" w:hAnsi="Cambria Math"/>
        </w:rPr>
        <w:t>mm</w:t>
      </w:r>
      <w:r w:rsidR="00FF57A8" w:rsidRPr="00BC31E0">
        <w:rPr>
          <w:rFonts w:hint="eastAsia"/>
        </w:rPr>
        <w:t>)</w:t>
      </w:r>
    </w:p>
    <w:p w14:paraId="57E37741"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00FF57A8" w:rsidRPr="00BC31E0">
        <w:tab/>
      </w:r>
      <w:r w:rsidR="00FF57A8" w:rsidRPr="00BC31E0">
        <w:rPr>
          <w:rFonts w:hint="eastAsia"/>
        </w:rPr>
        <w:t>：</w:t>
      </w:r>
      <w:r w:rsidR="00FF57A8" w:rsidRPr="00BC31E0">
        <w:rPr>
          <w:rFonts w:hint="eastAsia"/>
        </w:rPr>
        <w:t xml:space="preserve"> </w:t>
      </w:r>
      <w:r w:rsidR="00FF57A8" w:rsidRPr="00BC31E0">
        <w:rPr>
          <w:rFonts w:hint="eastAsia"/>
        </w:rPr>
        <w:t>クランプの支圧部内径</w:t>
      </w:r>
      <w:r w:rsidR="00FF57A8" w:rsidRPr="00BC31E0">
        <w:rPr>
          <w:rFonts w:hint="eastAsia"/>
        </w:rPr>
        <w:t>(</w:t>
      </w:r>
      <w:r w:rsidR="00FF57A8" w:rsidRPr="00BC31E0">
        <w:rPr>
          <w:rFonts w:ascii="Cambria Math" w:hAnsi="Cambria Math"/>
        </w:rPr>
        <w:t>mm</w:t>
      </w:r>
      <w:r w:rsidR="00FF57A8" w:rsidRPr="00BC31E0">
        <w:rPr>
          <w:rFonts w:hint="eastAsia"/>
        </w:rPr>
        <w:t>)</w:t>
      </w:r>
    </w:p>
    <w:p w14:paraId="4C62DE4A"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C</m:t>
            </m:r>
          </m:e>
          <m:sub>
            <m:r>
              <w:rPr>
                <w:rFonts w:ascii="Cambria Math" w:hAnsi="Cambria Math"/>
              </w:rPr>
              <m:t>ir</m:t>
            </m:r>
          </m:sub>
        </m:sSub>
      </m:oMath>
      <w:r w:rsidR="00FF57A8" w:rsidRPr="00BC31E0">
        <w:tab/>
      </w:r>
      <w:r w:rsidR="00FF57A8" w:rsidRPr="00BC31E0">
        <w:rPr>
          <w:rFonts w:hint="eastAsia"/>
        </w:rPr>
        <w:t>：</w:t>
      </w:r>
      <w:r w:rsidR="00FF57A8" w:rsidRPr="00BC31E0">
        <w:rPr>
          <w:rFonts w:hint="eastAsia"/>
        </w:rPr>
        <w:t xml:space="preserve"> </w:t>
      </w:r>
      <w:r w:rsidR="00FF57A8" w:rsidRPr="00BC31E0">
        <w:rPr>
          <w:rFonts w:hint="eastAsia"/>
        </w:rPr>
        <w:t>クランプリップとハブ肩部との接触面の内径</w:t>
      </w:r>
      <w:r w:rsidR="00FF57A8" w:rsidRPr="00BC31E0">
        <w:rPr>
          <w:rFonts w:hint="eastAsia"/>
        </w:rPr>
        <w:t>(</w:t>
      </w:r>
      <w:r w:rsidR="00FF57A8" w:rsidRPr="00BC31E0">
        <w:rPr>
          <w:rFonts w:ascii="Cambria Math" w:hAnsi="Cambria Math"/>
        </w:rPr>
        <w:t>mm</w:t>
      </w:r>
      <w:r w:rsidR="00FF57A8" w:rsidRPr="00BC31E0">
        <w:rPr>
          <w:rFonts w:hint="eastAsia"/>
        </w:rPr>
        <w:t>)</w:t>
      </w:r>
    </w:p>
    <w:p w14:paraId="07F6A962" w14:textId="77777777" w:rsidR="00FF57A8" w:rsidRPr="00BC31E0" w:rsidRDefault="00FF57A8" w:rsidP="001B7872">
      <w:pPr>
        <w:autoSpaceDE w:val="0"/>
        <w:autoSpaceDN w:val="0"/>
        <w:ind w:left="1077"/>
      </w:pPr>
      <m:oMath>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 xml:space="preserve">+2 </m:t>
        </m:r>
        <m:sSub>
          <m:sSubPr>
            <m:ctrlPr>
              <w:rPr>
                <w:rFonts w:ascii="Cambria Math" w:hAnsi="Cambria Math"/>
                <w:i/>
              </w:rPr>
            </m:ctrlPr>
          </m:sSubPr>
          <m:e>
            <m:r>
              <w:rPr>
                <w:rFonts w:ascii="Cambria Math" w:hAnsi="Cambria Math"/>
              </w:rPr>
              <m:t>r</m:t>
            </m:r>
          </m:e>
          <m:sub>
            <m:r>
              <w:rPr>
                <w:rFonts w:ascii="Cambria Math" w:hAnsi="Cambria Math"/>
              </w:rPr>
              <m:t>c</m:t>
            </m:r>
          </m:sub>
        </m:sSub>
      </m:oMath>
      <w:r w:rsidRPr="00BC31E0">
        <w:rPr>
          <w:i/>
        </w:rPr>
        <w:t xml:space="preserve"> </w:t>
      </w:r>
    </w:p>
    <w:p w14:paraId="1CCCC8AE"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C</m:t>
            </m:r>
          </m:e>
          <m:sub>
            <m:r>
              <w:rPr>
                <w:rFonts w:ascii="Cambria Math" w:hAnsi="Cambria Math"/>
              </w:rPr>
              <m:t>n</m:t>
            </m:r>
          </m:sub>
        </m:sSub>
      </m:oMath>
      <w:r w:rsidR="00FF57A8" w:rsidRPr="00BC31E0">
        <w:tab/>
      </w:r>
      <w:r w:rsidR="00FF57A8" w:rsidRPr="00BC31E0">
        <w:rPr>
          <w:rFonts w:hint="eastAsia"/>
        </w:rPr>
        <w:t>：</w:t>
      </w:r>
      <w:r w:rsidR="00FF57A8" w:rsidRPr="00BC31E0">
        <w:rPr>
          <w:rFonts w:hint="eastAsia"/>
        </w:rPr>
        <w:t xml:space="preserve"> </w:t>
      </w:r>
      <w:r w:rsidR="00FF57A8" w:rsidRPr="00BC31E0">
        <w:rPr>
          <w:rFonts w:hint="eastAsia"/>
        </w:rPr>
        <w:t>クランプネック部の内径</w:t>
      </w:r>
      <w:r w:rsidR="00FF57A8" w:rsidRPr="00BC31E0">
        <w:rPr>
          <w:rFonts w:hint="eastAsia"/>
        </w:rPr>
        <w:t>(</w:t>
      </w:r>
      <w:r w:rsidR="00FF57A8" w:rsidRPr="00BC31E0">
        <w:rPr>
          <w:rFonts w:ascii="Cambria Math" w:hAnsi="Cambria Math"/>
        </w:rPr>
        <w:t>mm</w:t>
      </w:r>
      <w:r w:rsidR="00FF57A8" w:rsidRPr="00BC31E0">
        <w:rPr>
          <w:rFonts w:hint="eastAsia"/>
        </w:rPr>
        <w:t>)</w:t>
      </w:r>
    </w:p>
    <w:p w14:paraId="773B77E6"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FF57A8" w:rsidRPr="00BC31E0">
        <w:tab/>
      </w:r>
      <w:r w:rsidR="00FF57A8" w:rsidRPr="00BC31E0">
        <w:rPr>
          <w:rFonts w:hint="eastAsia"/>
        </w:rPr>
        <w:t>：</w:t>
      </w:r>
      <w:r w:rsidR="00FF57A8" w:rsidRPr="00BC31E0">
        <w:rPr>
          <w:rFonts w:hint="eastAsia"/>
        </w:rPr>
        <w:t xml:space="preserve"> </w:t>
      </w:r>
      <w:r w:rsidR="00FF57A8" w:rsidRPr="00BC31E0">
        <w:rPr>
          <w:rFonts w:hint="eastAsia"/>
        </w:rPr>
        <w:t>有効クランプ厚さ</w:t>
      </w:r>
      <w:r w:rsidR="00FF57A8" w:rsidRPr="00BC31E0">
        <w:rPr>
          <w:rFonts w:hint="eastAsia"/>
        </w:rPr>
        <w:t>(</w:t>
      </w:r>
      <w:r w:rsidR="00FF57A8" w:rsidRPr="00BC31E0">
        <w:rPr>
          <w:rFonts w:ascii="Cambria Math" w:hAnsi="Cambria Math"/>
        </w:rPr>
        <w:t>mm</w:t>
      </w:r>
      <w:r w:rsidR="00FF57A8" w:rsidRPr="00BC31E0">
        <w:rPr>
          <w:rFonts w:hint="eastAsia"/>
        </w:rPr>
        <w:t>)</w:t>
      </w:r>
      <w:r w:rsidR="00FF57A8" w:rsidRPr="00BC31E0">
        <w:rPr>
          <w:rFonts w:hint="eastAsia"/>
        </w:rPr>
        <w:t xml:space="preserve">　</w:t>
      </w:r>
      <w:r w:rsidR="00FF57A8" w:rsidRPr="00BC31E0">
        <w:rPr>
          <w:rFonts w:hint="eastAsia"/>
        </w:rPr>
        <w:t>(</w:t>
      </w:r>
      <m:oMath>
        <m:sSub>
          <m:sSubPr>
            <m:ctrlPr>
              <w:rPr>
                <w:rFonts w:ascii="Cambria Math" w:hAnsi="Cambria Math"/>
                <w:i/>
              </w:rPr>
            </m:ctrlPr>
          </m:sSubPr>
          <m:e>
            <m:r>
              <w:rPr>
                <w:rFonts w:ascii="Cambria Math" w:hAnsi="Cambria Math"/>
              </w:rPr>
              <m:t>C</m:t>
            </m:r>
          </m:e>
          <m:sub>
            <m:r>
              <w:rPr>
                <w:rFonts w:ascii="Cambria Math" w:hAnsi="Cambria Math"/>
              </w:rPr>
              <m:t>t</m:t>
            </m:r>
          </m:sub>
        </m:sSub>
        <m:r>
          <m:rPr>
            <m:sty m:val="p"/>
          </m:rPr>
          <w:rPr>
            <w:rFonts w:ascii="Cambria Math" w:hAnsi="Cambria Math"/>
          </w:rPr>
          <m:t xml:space="preserve"> </m:t>
        </m:r>
      </m:oMath>
      <w:r w:rsidR="00FF57A8" w:rsidRPr="00BC31E0">
        <w:rPr>
          <w:rFonts w:hint="eastAsia"/>
        </w:rPr>
        <w:t>は</w:t>
      </w:r>
      <m:oMath>
        <m:r>
          <m:rPr>
            <m:sty m:val="p"/>
          </m:rPr>
          <w:rPr>
            <w:rFonts w:ascii="Cambria Math" w:hAnsi="Cambria Math"/>
          </w:rPr>
          <m:t xml:space="preserve"> </m:t>
        </m:r>
        <m:r>
          <w:rPr>
            <w:rFonts w:ascii="Cambria Math" w:hAnsi="Cambria Math"/>
          </w:rPr>
          <m:t>r</m:t>
        </m:r>
        <m:r>
          <m:rPr>
            <m:sty m:val="p"/>
          </m:rPr>
          <w:rPr>
            <w:rFonts w:ascii="Cambria Math" w:hAnsi="Cambria Math"/>
          </w:rPr>
          <m:t xml:space="preserve"> </m:t>
        </m:r>
      </m:oMath>
      <w:r w:rsidR="00FF57A8" w:rsidRPr="00BC31E0">
        <w:rPr>
          <w:rFonts w:hint="eastAsia"/>
        </w:rPr>
        <w:t>以上とする。</w:t>
      </w:r>
      <w:r w:rsidR="00FF57A8" w:rsidRPr="00BC31E0">
        <w:rPr>
          <w:rFonts w:hint="eastAsia"/>
        </w:rPr>
        <w:t>)</w:t>
      </w:r>
    </w:p>
    <w:p w14:paraId="3F73B7B4"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C</m:t>
            </m:r>
          </m:e>
          <m:sub>
            <m:r>
              <w:rPr>
                <w:rFonts w:ascii="Cambria Math" w:hAnsi="Cambria Math"/>
              </w:rPr>
              <m:t>w</m:t>
            </m:r>
          </m:sub>
        </m:sSub>
      </m:oMath>
      <w:r w:rsidR="00FF57A8" w:rsidRPr="00BC31E0">
        <w:tab/>
      </w:r>
      <w:r w:rsidR="00FF57A8" w:rsidRPr="00BC31E0">
        <w:rPr>
          <w:rFonts w:hint="eastAsia"/>
        </w:rPr>
        <w:t>：</w:t>
      </w:r>
      <w:r w:rsidR="00FF57A8" w:rsidRPr="00BC31E0">
        <w:rPr>
          <w:rFonts w:hint="eastAsia"/>
        </w:rPr>
        <w:t xml:space="preserve"> </w:t>
      </w:r>
      <w:r w:rsidR="00FF57A8" w:rsidRPr="00BC31E0">
        <w:rPr>
          <w:rFonts w:hint="eastAsia"/>
        </w:rPr>
        <w:t>クランプ幅</w:t>
      </w:r>
      <w:r w:rsidR="00FF57A8" w:rsidRPr="00BC31E0">
        <w:rPr>
          <w:rFonts w:hint="eastAsia"/>
        </w:rPr>
        <w:t>(</w:t>
      </w:r>
      <w:r w:rsidR="00FF57A8" w:rsidRPr="00BC31E0">
        <w:rPr>
          <w:rFonts w:ascii="Cambria Math" w:hAnsi="Cambria Math"/>
        </w:rPr>
        <w:t>mm</w:t>
      </w:r>
      <w:r w:rsidR="00FF57A8" w:rsidRPr="00BC31E0">
        <w:rPr>
          <w:rFonts w:hint="eastAsia"/>
        </w:rPr>
        <w:t>)</w:t>
      </w:r>
    </w:p>
    <w:p w14:paraId="555B45B0"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C</m:t>
            </m:r>
          </m:e>
          <m:sub>
            <m:r>
              <w:rPr>
                <w:rFonts w:ascii="Cambria Math" w:hAnsi="Cambria Math"/>
              </w:rPr>
              <m:t>6</m:t>
            </m:r>
          </m:sub>
        </m:sSub>
      </m:oMath>
      <w:r w:rsidR="00FF57A8" w:rsidRPr="00BC31E0">
        <w:rPr>
          <w:vertAlign w:val="subscript"/>
        </w:rPr>
        <w:tab/>
      </w:r>
      <w:r w:rsidR="00FF57A8" w:rsidRPr="00BC31E0">
        <w:rPr>
          <w:rFonts w:hint="eastAsia"/>
        </w:rPr>
        <w:t>：</w:t>
      </w:r>
      <w:r w:rsidR="00FF57A8" w:rsidRPr="00BC31E0">
        <w:rPr>
          <w:rFonts w:hint="eastAsia"/>
        </w:rPr>
        <w:t xml:space="preserve"> </w:t>
      </w:r>
      <w:r w:rsidR="00FF57A8" w:rsidRPr="00BC31E0">
        <w:rPr>
          <w:rFonts w:hint="eastAsia"/>
        </w:rPr>
        <w:t>周方向曲げモーメントのアーム長さ</w:t>
      </w:r>
      <w:r w:rsidR="00FF57A8" w:rsidRPr="00BC31E0">
        <w:rPr>
          <w:rFonts w:hint="eastAsia"/>
        </w:rPr>
        <w:t>(</w:t>
      </w:r>
      <w:r w:rsidR="00FF57A8" w:rsidRPr="00BC31E0">
        <w:rPr>
          <w:rFonts w:ascii="Cambria Math" w:hAnsi="Cambria Math"/>
        </w:rPr>
        <w:t>mm</w:t>
      </w:r>
      <w:r w:rsidR="00FF57A8" w:rsidRPr="00BC31E0">
        <w:rPr>
          <w:rFonts w:hint="eastAsia"/>
        </w:rPr>
        <w:t>)</w:t>
      </w:r>
    </w:p>
    <w:p w14:paraId="298D4DDA" w14:textId="77777777" w:rsidR="00FF57A8" w:rsidRPr="00BC31E0" w:rsidRDefault="00FF57A8" w:rsidP="001B7872">
      <w:pPr>
        <w:autoSpaceDE w:val="0"/>
        <w:autoSpaceDN w:val="0"/>
        <w:ind w:left="1077"/>
      </w:pPr>
      <m:oMath>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6</m:t>
            </m:r>
          </m:sub>
        </m:sSub>
      </m:oMath>
      <w:r w:rsidRPr="00BC31E0">
        <w:rPr>
          <w:rFonts w:hint="eastAsia"/>
        </w:rPr>
        <w:t xml:space="preserve">　</w:t>
      </w:r>
      <w:r w:rsidRPr="00BC31E0">
        <w:rPr>
          <w:rFonts w:hint="eastAsia"/>
        </w:rPr>
        <w:t>(</w:t>
      </w:r>
      <m:oMath>
        <m:sSub>
          <m:sSubPr>
            <m:ctrlPr>
              <w:rPr>
                <w:rFonts w:ascii="Cambria Math" w:hAnsi="Cambria Math"/>
                <w:i/>
              </w:rPr>
            </m:ctrlPr>
          </m:sSubPr>
          <m:e>
            <m:r>
              <w:rPr>
                <w:rFonts w:ascii="Cambria Math" w:hAnsi="Cambria Math"/>
              </w:rPr>
              <m:t>e</m:t>
            </m:r>
          </m:e>
          <m:sub>
            <m:r>
              <w:rPr>
                <w:rFonts w:ascii="Cambria Math" w:hAnsi="Cambria Math"/>
              </w:rPr>
              <m:t>b</m:t>
            </m:r>
          </m:sub>
        </m:sSub>
        <m:r>
          <w:rPr>
            <w:rFonts w:ascii="Cambria Math" w:hAnsi="Cambria Math"/>
          </w:rPr>
          <m:t xml:space="preserve">&lt;0 </m:t>
        </m:r>
      </m:oMath>
      <w:r w:rsidRPr="00BC31E0">
        <w:rPr>
          <w:rFonts w:hint="eastAsia"/>
        </w:rPr>
        <w:t>の場合は，</w:t>
      </w:r>
      <m:oMath>
        <m:sSub>
          <m:sSubPr>
            <m:ctrlPr>
              <w:rPr>
                <w:rFonts w:ascii="Cambria Math" w:hAnsi="Cambria Math"/>
                <w:i/>
              </w:rPr>
            </m:ctrlPr>
          </m:sSubPr>
          <m:e>
            <m:r>
              <w:rPr>
                <w:rFonts w:ascii="Cambria Math" w:hAnsi="Cambria Math"/>
              </w:rPr>
              <m:t>C</m:t>
            </m:r>
          </m:e>
          <m:sub>
            <m:r>
              <w:rPr>
                <w:rFonts w:ascii="Cambria Math" w:hAnsi="Cambria Math"/>
              </w:rPr>
              <m:t>6</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6</m:t>
            </m:r>
          </m:sub>
        </m:sSub>
        <m:r>
          <w:rPr>
            <w:rFonts w:ascii="Cambria Math" w:hAnsi="Cambria Math"/>
          </w:rPr>
          <m:t xml:space="preserve"> </m:t>
        </m:r>
      </m:oMath>
      <w:r w:rsidRPr="00BC31E0">
        <w:rPr>
          <w:rFonts w:hint="eastAsia"/>
        </w:rPr>
        <w:t>とする。</w:t>
      </w:r>
      <w:r w:rsidRPr="00BC31E0">
        <w:rPr>
          <w:rFonts w:hint="eastAsia"/>
        </w:rPr>
        <w:t>)</w:t>
      </w:r>
    </w:p>
    <w:p w14:paraId="2CF060AA" w14:textId="77777777" w:rsidR="00FF57A8" w:rsidRPr="00BC31E0" w:rsidRDefault="00FF57A8" w:rsidP="001B7872">
      <w:pPr>
        <w:tabs>
          <w:tab w:val="left" w:pos="709"/>
        </w:tabs>
        <w:autoSpaceDE w:val="0"/>
        <w:autoSpaceDN w:val="0"/>
        <w:ind w:leftChars="100" w:left="210"/>
      </w:pPr>
      <m:oMath>
        <m:r>
          <w:rPr>
            <w:rFonts w:ascii="Cambria Math" w:hAnsi="Cambria Math"/>
          </w:rPr>
          <m:t>G</m:t>
        </m:r>
      </m:oMath>
      <w:r w:rsidRPr="00BC31E0">
        <w:tab/>
      </w:r>
      <w:r w:rsidRPr="00BC31E0">
        <w:rPr>
          <w:rFonts w:hint="eastAsia"/>
        </w:rPr>
        <w:t>：</w:t>
      </w:r>
      <w:r w:rsidRPr="00BC31E0">
        <w:rPr>
          <w:rFonts w:hint="eastAsia"/>
        </w:rPr>
        <w:t xml:space="preserve"> </w:t>
      </w:r>
      <w:r w:rsidRPr="00BC31E0">
        <w:rPr>
          <w:rFonts w:hint="eastAsia"/>
        </w:rPr>
        <w:t>ガスケット反力円の直径</w:t>
      </w:r>
      <w:r w:rsidRPr="00BC31E0">
        <w:rPr>
          <w:rFonts w:hint="eastAsia"/>
        </w:rPr>
        <w:t>(</w:t>
      </w:r>
      <w:r w:rsidRPr="00BC31E0">
        <w:rPr>
          <w:rFonts w:ascii="Cambria Math" w:hAnsi="Cambria Math"/>
        </w:rPr>
        <w:t>mm</w:t>
      </w:r>
      <w:r w:rsidRPr="00BC31E0">
        <w:rPr>
          <w:rFonts w:hint="eastAsia"/>
        </w:rPr>
        <w:t>)  (</w:t>
      </w:r>
      <w:r w:rsidRPr="00BC31E0">
        <w:rPr>
          <w:rFonts w:ascii="ＭＳ ゴシック" w:eastAsia="ＭＳ ゴシック" w:hint="eastAsia"/>
          <w:b/>
        </w:rPr>
        <w:t>図</w:t>
      </w:r>
      <w:r w:rsidRPr="00BC31E0">
        <w:rPr>
          <w:rFonts w:ascii="ＭＳ ゴシック" w:eastAsia="ＭＳ ゴシック"/>
          <w:b/>
        </w:rPr>
        <w:t>H.1</w:t>
      </w:r>
      <w:r w:rsidRPr="00BC31E0">
        <w:rPr>
          <w:rFonts w:ascii="ＭＳ ゴシック" w:eastAsia="ＭＳ ゴシック" w:hint="eastAsia"/>
          <w:b/>
        </w:rPr>
        <w:t>(a)</w:t>
      </w:r>
      <w:r w:rsidRPr="00BC31E0">
        <w:rPr>
          <w:rFonts w:ascii="ＭＳ 明朝" w:hAnsi="ＭＳ 明朝" w:hint="eastAsia"/>
        </w:rPr>
        <w:t>を</w:t>
      </w:r>
      <w:r w:rsidRPr="00BC31E0">
        <w:rPr>
          <w:rFonts w:hint="eastAsia"/>
        </w:rPr>
        <w:t>参照</w:t>
      </w:r>
      <w:r w:rsidRPr="00BC31E0">
        <w:rPr>
          <w:rFonts w:hint="eastAsia"/>
        </w:rPr>
        <w:t>)</w:t>
      </w:r>
    </w:p>
    <w:p w14:paraId="1CB923A4" w14:textId="77777777" w:rsidR="00FF57A8" w:rsidRPr="00BC31E0" w:rsidRDefault="00FF57A8" w:rsidP="001B7872">
      <w:pPr>
        <w:tabs>
          <w:tab w:val="left" w:pos="709"/>
        </w:tabs>
        <w:autoSpaceDE w:val="0"/>
        <w:autoSpaceDN w:val="0"/>
        <w:ind w:leftChars="100" w:left="210"/>
      </w:pPr>
      <m:oMath>
        <m:r>
          <w:rPr>
            <w:rFonts w:ascii="Cambria Math" w:hAnsi="Cambria Math"/>
          </w:rPr>
          <m:t>H</m:t>
        </m:r>
      </m:oMath>
      <w:r w:rsidRPr="00BC31E0">
        <w:tab/>
      </w:r>
      <w:r w:rsidRPr="00BC31E0">
        <w:rPr>
          <w:rFonts w:hint="eastAsia"/>
        </w:rPr>
        <w:t>：</w:t>
      </w:r>
      <w:r w:rsidRPr="00BC31E0">
        <w:rPr>
          <w:rFonts w:hint="eastAsia"/>
        </w:rPr>
        <w:t xml:space="preserve"> </w:t>
      </w:r>
      <w:r w:rsidRPr="00BC31E0">
        <w:rPr>
          <w:rFonts w:hint="eastAsia"/>
        </w:rPr>
        <w:t>運転条件又は締付条件に必要な長手方向荷重</w:t>
      </w:r>
      <w:r w:rsidRPr="00BC31E0">
        <w:rPr>
          <w:rFonts w:hint="eastAsia"/>
        </w:rPr>
        <w:t>(</w:t>
      </w:r>
      <w:r w:rsidRPr="00BC31E0">
        <w:rPr>
          <w:rFonts w:ascii="Cambria Math" w:hAnsi="Cambria Math"/>
        </w:rPr>
        <w:t>N</w:t>
      </w:r>
      <w:r w:rsidRPr="00BC31E0">
        <w:rPr>
          <w:rFonts w:hint="eastAsia"/>
        </w:rPr>
        <w:t>)</w:t>
      </w:r>
    </w:p>
    <w:p w14:paraId="059901CE"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H</m:t>
            </m:r>
          </m:e>
          <m:sub>
            <m:r>
              <w:rPr>
                <w:rFonts w:ascii="Cambria Math" w:hAnsi="Cambria Math"/>
              </w:rPr>
              <m:t>D</m:t>
            </m:r>
          </m:sub>
        </m:sSub>
      </m:oMath>
      <w:r w:rsidR="00FF57A8" w:rsidRPr="00BC31E0">
        <w:tab/>
      </w:r>
      <w:r w:rsidR="00FF57A8" w:rsidRPr="00BC31E0">
        <w:rPr>
          <w:rFonts w:hint="eastAsia"/>
        </w:rPr>
        <w:t>：</w:t>
      </w:r>
      <w:r w:rsidR="00FF57A8" w:rsidRPr="00BC31E0">
        <w:rPr>
          <w:rFonts w:hint="eastAsia"/>
        </w:rPr>
        <w:t xml:space="preserve"> </w:t>
      </w:r>
      <w:r w:rsidR="00FF57A8" w:rsidRPr="00BC31E0">
        <w:rPr>
          <w:rFonts w:hint="eastAsia"/>
        </w:rPr>
        <w:t>内圧によってハブ内径面に作用する荷重</w:t>
      </w:r>
      <w:r w:rsidR="00FF57A8" w:rsidRPr="00BC31E0">
        <w:rPr>
          <w:rFonts w:hint="eastAsia"/>
        </w:rPr>
        <w:t>(</w:t>
      </w:r>
      <w:r w:rsidR="00FF57A8" w:rsidRPr="00BC31E0">
        <w:rPr>
          <w:rFonts w:ascii="Cambria Math" w:hAnsi="Cambria Math"/>
        </w:rPr>
        <w:t>N</w:t>
      </w:r>
      <w:r w:rsidR="00FF57A8" w:rsidRPr="00BC31E0">
        <w:rPr>
          <w:rFonts w:hint="eastAsia"/>
        </w:rPr>
        <w:t>)</w:t>
      </w:r>
    </w:p>
    <w:p w14:paraId="59E6EA4A" w14:textId="77777777" w:rsidR="00FF57A8" w:rsidRPr="00BC31E0" w:rsidRDefault="00FF57A8" w:rsidP="001B7872">
      <w:pPr>
        <w:autoSpaceDE w:val="0"/>
        <w:autoSpaceDN w:val="0"/>
        <w:ind w:left="1077"/>
      </w:pPr>
      <m:oMath>
        <m:r>
          <w:rPr>
            <w:rFonts w:ascii="Cambria Math" w:hAnsi="Cambria Math"/>
          </w:rPr>
          <m:t>=</m:t>
        </m:r>
        <m:f>
          <m:fPr>
            <m:type m:val="lin"/>
            <m:ctrlPr>
              <w:rPr>
                <w:rFonts w:ascii="Cambria Math" w:hAnsi="Cambria Math"/>
                <w:i/>
              </w:rPr>
            </m:ctrlPr>
          </m:fPr>
          <m:num>
            <m:r>
              <w:rPr>
                <w:rFonts w:ascii="Cambria Math" w:hAnsi="Cambria Math"/>
              </w:rPr>
              <m:t xml:space="preserve">π </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 xml:space="preserve"> P</m:t>
            </m:r>
          </m:num>
          <m:den>
            <m:r>
              <w:rPr>
                <w:rFonts w:ascii="Cambria Math" w:hAnsi="Cambria Math"/>
              </w:rPr>
              <m:t>4</m:t>
            </m:r>
          </m:den>
        </m:f>
      </m:oMath>
      <w:r w:rsidRPr="00BC31E0">
        <w:rPr>
          <w:i/>
        </w:rPr>
        <w:t xml:space="preserve"> </w:t>
      </w:r>
    </w:p>
    <w:p w14:paraId="0AB70A67"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H</m:t>
            </m:r>
          </m:e>
          <m:sub>
            <m:r>
              <w:rPr>
                <w:rFonts w:ascii="Cambria Math" w:hAnsi="Cambria Math"/>
              </w:rPr>
              <m:t>e</m:t>
            </m:r>
          </m:sub>
        </m:sSub>
      </m:oMath>
      <w:r w:rsidR="00FF57A8" w:rsidRPr="00BC31E0">
        <w:tab/>
      </w:r>
      <w:r w:rsidR="00FF57A8" w:rsidRPr="00BC31E0">
        <w:rPr>
          <w:rFonts w:hint="eastAsia"/>
        </w:rPr>
        <w:t>：</w:t>
      </w:r>
      <w:r w:rsidR="00FF57A8" w:rsidRPr="00BC31E0">
        <w:rPr>
          <w:rFonts w:hint="eastAsia"/>
        </w:rPr>
        <w:t xml:space="preserve"> </w:t>
      </w:r>
      <w:r w:rsidR="00FF57A8" w:rsidRPr="00BC31E0">
        <w:rPr>
          <w:rFonts w:hint="eastAsia"/>
        </w:rPr>
        <w:t>内圧によって作用する全荷重</w:t>
      </w:r>
      <w:r w:rsidR="00FF57A8" w:rsidRPr="00BC31E0">
        <w:rPr>
          <w:rFonts w:hint="eastAsia"/>
        </w:rPr>
        <w:t>(</w:t>
      </w:r>
      <w:r w:rsidR="00FF57A8" w:rsidRPr="00BC31E0">
        <w:rPr>
          <w:rFonts w:ascii="Cambria Math" w:hAnsi="Cambria Math"/>
        </w:rPr>
        <w:t>N</w:t>
      </w:r>
      <w:r w:rsidR="00FF57A8" w:rsidRPr="00BC31E0">
        <w:rPr>
          <w:rFonts w:hint="eastAsia"/>
        </w:rPr>
        <w:t>)</w:t>
      </w:r>
    </w:p>
    <w:p w14:paraId="2B16CC03" w14:textId="77777777" w:rsidR="00FF57A8" w:rsidRPr="00BC31E0" w:rsidRDefault="00FF57A8" w:rsidP="001B7872">
      <w:pPr>
        <w:autoSpaceDE w:val="0"/>
        <w:autoSpaceDN w:val="0"/>
        <w:ind w:left="1077"/>
      </w:pPr>
      <m:oMath>
        <m:r>
          <w:rPr>
            <w:rFonts w:ascii="Cambria Math" w:hAnsi="Cambria Math"/>
          </w:rPr>
          <m:t>=</m:t>
        </m:r>
        <m:f>
          <m:fPr>
            <m:type m:val="lin"/>
            <m:ctrlPr>
              <w:rPr>
                <w:rFonts w:ascii="Cambria Math" w:hAnsi="Cambria Math"/>
                <w:i/>
              </w:rPr>
            </m:ctrlPr>
          </m:fPr>
          <m:num>
            <m:r>
              <w:rPr>
                <w:rFonts w:ascii="Cambria Math" w:hAnsi="Cambria Math"/>
              </w:rPr>
              <m:t xml:space="preserve">π </m:t>
            </m:r>
            <m:sSup>
              <m:sSupPr>
                <m:ctrlPr>
                  <w:rPr>
                    <w:rFonts w:ascii="Cambria Math" w:hAnsi="Cambria Math"/>
                    <w:i/>
                  </w:rPr>
                </m:ctrlPr>
              </m:sSupPr>
              <m:e>
                <m:r>
                  <w:rPr>
                    <w:rFonts w:ascii="Cambria Math" w:hAnsi="Cambria Math"/>
                  </w:rPr>
                  <m:t>G</m:t>
                </m:r>
              </m:e>
              <m:sup>
                <m:r>
                  <w:rPr>
                    <w:rFonts w:ascii="Cambria Math" w:hAnsi="Cambria Math"/>
                  </w:rPr>
                  <m:t>2</m:t>
                </m:r>
              </m:sup>
            </m:sSup>
            <m:r>
              <w:rPr>
                <w:rFonts w:ascii="Cambria Math" w:hAnsi="Cambria Math"/>
              </w:rPr>
              <m:t xml:space="preserve"> P</m:t>
            </m:r>
          </m:num>
          <m:den>
            <m:r>
              <w:rPr>
                <w:rFonts w:ascii="Cambria Math" w:hAnsi="Cambria Math"/>
              </w:rPr>
              <m:t>4</m:t>
            </m:r>
          </m:den>
        </m:f>
      </m:oMath>
      <w:r w:rsidRPr="00BC31E0">
        <w:rPr>
          <w:i/>
        </w:rPr>
        <w:t xml:space="preserve"> </w:t>
      </w:r>
    </w:p>
    <w:p w14:paraId="249D6A94"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H</m:t>
            </m:r>
          </m:e>
          <m:sub>
            <m:r>
              <w:rPr>
                <w:rFonts w:ascii="Cambria Math" w:hAnsi="Cambria Math"/>
              </w:rPr>
              <m:t>G</m:t>
            </m:r>
          </m:sub>
        </m:sSub>
      </m:oMath>
      <w:r w:rsidR="00FF57A8" w:rsidRPr="00BC31E0">
        <w:rPr>
          <w:rFonts w:hint="eastAsia"/>
          <w:i/>
        </w:rPr>
        <w:tab/>
      </w:r>
      <w:r w:rsidR="00FF57A8" w:rsidRPr="00BC31E0">
        <w:rPr>
          <w:rFonts w:hint="eastAsia"/>
        </w:rPr>
        <w:t>：</w:t>
      </w:r>
      <w:r w:rsidR="00FF57A8" w:rsidRPr="00BC31E0">
        <w:rPr>
          <w:rFonts w:hint="eastAsia"/>
        </w:rPr>
        <w:t xml:space="preserve"> </w:t>
      </w:r>
      <w:r w:rsidR="00FF57A8" w:rsidRPr="00BC31E0">
        <w:rPr>
          <w:rFonts w:hint="eastAsia"/>
        </w:rPr>
        <w:t>ガスケット荷重で次の式による</w:t>
      </w:r>
      <w:r w:rsidR="00FF57A8" w:rsidRPr="00BC31E0">
        <w:rPr>
          <w:rFonts w:hint="eastAsia"/>
        </w:rPr>
        <w:t>(</w:t>
      </w:r>
      <w:r w:rsidR="00FF57A8" w:rsidRPr="00BC31E0">
        <w:rPr>
          <w:rFonts w:ascii="Cambria Math" w:hAnsi="Cambria Math"/>
        </w:rPr>
        <w:t>N</w:t>
      </w:r>
      <w:r w:rsidR="00FF57A8" w:rsidRPr="00BC31E0">
        <w:rPr>
          <w:rFonts w:hint="eastAsia"/>
        </w:rPr>
        <w:t>)</w:t>
      </w:r>
    </w:p>
    <w:p w14:paraId="460E814A" w14:textId="77777777" w:rsidR="00FF57A8" w:rsidRPr="00BC31E0" w:rsidRDefault="00FF57A8" w:rsidP="001B7872">
      <w:pPr>
        <w:autoSpaceDE w:val="0"/>
        <w:autoSpaceDN w:val="0"/>
        <w:ind w:left="1077"/>
      </w:pPr>
      <m:oMath>
        <m:r>
          <w:rPr>
            <w:rFonts w:ascii="Cambria Math" w:hAnsi="Cambria Math"/>
          </w:rPr>
          <m:t>=</m:t>
        </m:r>
        <m:d>
          <m:dPr>
            <m:begChr m:val="["/>
            <m:endChr m:val="]"/>
            <m:ctrlPr>
              <w:rPr>
                <w:rFonts w:ascii="Cambria Math" w:hAnsi="Cambria Math"/>
                <w:i/>
              </w:rPr>
            </m:ctrlPr>
          </m:dPr>
          <m:e>
            <m:f>
              <m:fPr>
                <m:type m:val="lin"/>
                <m:ctrlPr>
                  <w:rPr>
                    <w:rFonts w:ascii="Cambria Math" w:hAnsi="Cambria Math"/>
                    <w:i/>
                  </w:rPr>
                </m:ctrlPr>
              </m:fPr>
              <m:num>
                <m:r>
                  <w:rPr>
                    <w:rFonts w:ascii="Cambria Math" w:hAnsi="Cambria Math"/>
                  </w:rPr>
                  <m:t xml:space="preserve"> π W</m:t>
                </m:r>
              </m:num>
              <m:den>
                <m:d>
                  <m:dPr>
                    <m:begChr m:val="{"/>
                    <m:endChr m:val="}"/>
                    <m:ctrlPr>
                      <w:rPr>
                        <w:rFonts w:ascii="Cambria Math" w:hAnsi="Cambria Math"/>
                        <w:i/>
                      </w:rPr>
                    </m:ctrlPr>
                  </m:dPr>
                  <m:e>
                    <m:r>
                      <w:rPr>
                        <w:rFonts w:ascii="Cambria Math" w:hAnsi="Cambria Math"/>
                      </w:rPr>
                      <m:t xml:space="preserve">2 </m:t>
                    </m:r>
                    <m:func>
                      <m:funcPr>
                        <m:ctrlPr>
                          <w:rPr>
                            <w:rFonts w:ascii="Cambria Math" w:hAnsi="Cambria Math"/>
                            <w:i/>
                          </w:rPr>
                        </m:ctrlPr>
                      </m:funcPr>
                      <m:fName>
                        <m:r>
                          <m:rPr>
                            <m:sty m:val="bi"/>
                          </m:rPr>
                          <w:rPr>
                            <w:rFonts w:ascii="Cambria Math" w:hAnsi="Cambria Math"/>
                          </w:rPr>
                          <m:t>tan</m:t>
                        </m:r>
                      </m:fName>
                      <m:e>
                        <m:d>
                          <m:dPr>
                            <m:ctrlPr>
                              <w:rPr>
                                <w:rFonts w:ascii="Cambria Math" w:hAnsi="Cambria Math"/>
                                <w:i/>
                              </w:rPr>
                            </m:ctrlPr>
                          </m:dPr>
                          <m:e>
                            <m:r>
                              <w:rPr>
                                <w:rFonts w:ascii="Cambria Math" w:hAnsi="Cambria Math"/>
                              </w:rPr>
                              <m:t>ϕ+μ</m:t>
                            </m:r>
                          </m:e>
                        </m:d>
                      </m:e>
                    </m:func>
                  </m:e>
                </m:d>
              </m:den>
            </m:f>
            <m:r>
              <w:rPr>
                <w:rFonts w:ascii="Cambria Math" w:hAnsi="Cambria Math"/>
              </w:rPr>
              <m:t xml:space="preserve"> </m:t>
            </m:r>
          </m:e>
        </m:d>
        <m:r>
          <w:rPr>
            <w:rFonts w:ascii="Cambria Math" w:hAnsi="Cambria Math"/>
          </w:rPr>
          <m:t>–</m:t>
        </m:r>
        <m:d>
          <m:dPr>
            <m:ctrlPr>
              <w:rPr>
                <w:rFonts w:ascii="Cambria Math" w:hAnsi="Cambria Math"/>
                <w:i/>
              </w:rPr>
            </m:ctrlPr>
          </m:dPr>
          <m:e>
            <m:r>
              <w:rPr>
                <w:rFonts w:ascii="Cambria Math" w:hAnsi="Cambria Math"/>
              </w:rPr>
              <m:t>H+</m:t>
            </m:r>
            <m:sSub>
              <m:sSubPr>
                <m:ctrlPr>
                  <w:rPr>
                    <w:rFonts w:ascii="Cambria Math" w:hAnsi="Cambria Math"/>
                    <w:i/>
                  </w:rPr>
                </m:ctrlPr>
              </m:sSubPr>
              <m:e>
                <m:r>
                  <w:rPr>
                    <w:rFonts w:ascii="Cambria Math" w:hAnsi="Cambria Math"/>
                  </w:rPr>
                  <m:t>H</m:t>
                </m:r>
              </m:e>
              <m:sub>
                <m:r>
                  <w:rPr>
                    <w:rFonts w:ascii="Cambria Math" w:hAnsi="Cambria Math"/>
                  </w:rPr>
                  <m:t>p</m:t>
                </m:r>
              </m:sub>
            </m:sSub>
          </m:e>
        </m:d>
      </m:oMath>
      <w:r w:rsidRPr="00BC31E0">
        <w:rPr>
          <w:i/>
        </w:rPr>
        <w:t xml:space="preserve"> </w:t>
      </w:r>
    </w:p>
    <w:p w14:paraId="3582BF56"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H</m:t>
            </m:r>
          </m:e>
          <m:sub>
            <m:r>
              <w:rPr>
                <w:rFonts w:ascii="Cambria Math" w:hAnsi="Cambria Math"/>
              </w:rPr>
              <m:t>m</m:t>
            </m:r>
          </m:sub>
        </m:sSub>
      </m:oMath>
      <w:r w:rsidR="00FF57A8" w:rsidRPr="00BC31E0">
        <w:tab/>
      </w:r>
      <w:r w:rsidR="00FF57A8" w:rsidRPr="00BC31E0">
        <w:rPr>
          <w:rFonts w:hint="eastAsia"/>
        </w:rPr>
        <w:t>：</w:t>
      </w:r>
      <w:r w:rsidR="00FF57A8" w:rsidRPr="00BC31E0">
        <w:rPr>
          <w:rFonts w:hint="eastAsia"/>
        </w:rPr>
        <w:t xml:space="preserve"> </w:t>
      </w:r>
      <w:r w:rsidR="00FF57A8" w:rsidRPr="00BC31E0">
        <w:rPr>
          <w:rFonts w:hint="eastAsia"/>
        </w:rPr>
        <w:t>ガスケット締付要求値</w:t>
      </w:r>
      <w:r w:rsidR="00FF57A8" w:rsidRPr="00BC31E0">
        <w:rPr>
          <w:rFonts w:hint="eastAsia"/>
        </w:rPr>
        <w:t>(</w:t>
      </w:r>
      <w:r w:rsidR="00FF57A8" w:rsidRPr="00BC31E0">
        <w:rPr>
          <w:rFonts w:ascii="Cambria Math" w:hAnsi="Cambria Math"/>
        </w:rPr>
        <w:t>N</w:t>
      </w:r>
      <w:r w:rsidR="00FF57A8" w:rsidRPr="00BC31E0">
        <w:rPr>
          <w:rFonts w:hint="eastAsia"/>
        </w:rPr>
        <w:t>)</w:t>
      </w:r>
    </w:p>
    <w:p w14:paraId="73F31CB5" w14:textId="77777777" w:rsidR="00FF57A8" w:rsidRPr="00BC31E0" w:rsidRDefault="00FF57A8" w:rsidP="001B7872">
      <w:pPr>
        <w:autoSpaceDE w:val="0"/>
        <w:autoSpaceDN w:val="0"/>
        <w:ind w:left="1077"/>
      </w:pPr>
      <m:oMath>
        <m:r>
          <w:rPr>
            <w:rFonts w:ascii="Cambria Math" w:hAnsi="Cambria Math"/>
          </w:rPr>
          <m:t>=π b G y</m:t>
        </m:r>
      </m:oMath>
      <w:r w:rsidRPr="00BC31E0">
        <w:t xml:space="preserve"> </w:t>
      </w:r>
    </w:p>
    <w:p w14:paraId="50A13D1F"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H</m:t>
            </m:r>
          </m:e>
          <m:sub>
            <m:r>
              <w:rPr>
                <w:rFonts w:ascii="Cambria Math" w:hAnsi="Cambria Math"/>
              </w:rPr>
              <m:t>p</m:t>
            </m:r>
          </m:sub>
        </m:sSub>
      </m:oMath>
      <w:r w:rsidR="00FF57A8" w:rsidRPr="00BC31E0">
        <w:tab/>
      </w:r>
      <w:r w:rsidR="00FF57A8" w:rsidRPr="00BC31E0">
        <w:rPr>
          <w:rFonts w:hint="eastAsia"/>
        </w:rPr>
        <w:t>：</w:t>
      </w:r>
      <w:r w:rsidR="00FF57A8" w:rsidRPr="00BC31E0">
        <w:rPr>
          <w:rFonts w:hint="eastAsia"/>
        </w:rPr>
        <w:t xml:space="preserve"> </w:t>
      </w:r>
      <w:r w:rsidR="00FF57A8" w:rsidRPr="00BC31E0">
        <w:rPr>
          <w:rFonts w:hint="eastAsia"/>
        </w:rPr>
        <w:t>継手接触面圧荷重</w:t>
      </w:r>
      <w:r w:rsidR="00FF57A8" w:rsidRPr="00BC31E0">
        <w:rPr>
          <w:rFonts w:hint="eastAsia"/>
        </w:rPr>
        <w:t>(</w:t>
      </w:r>
      <w:r w:rsidR="00FF57A8" w:rsidRPr="00BC31E0">
        <w:rPr>
          <w:rFonts w:ascii="Cambria Math" w:hAnsi="Cambria Math"/>
        </w:rPr>
        <w:t>N</w:t>
      </w:r>
      <w:r w:rsidR="00FF57A8" w:rsidRPr="00BC31E0">
        <w:rPr>
          <w:rFonts w:hint="eastAsia"/>
        </w:rPr>
        <w:t>)</w:t>
      </w:r>
    </w:p>
    <w:p w14:paraId="54B2A15B" w14:textId="77777777" w:rsidR="00FF57A8" w:rsidRPr="00BC31E0" w:rsidRDefault="00FF57A8" w:rsidP="001B7872">
      <w:pPr>
        <w:autoSpaceDE w:val="0"/>
        <w:autoSpaceDN w:val="0"/>
        <w:ind w:left="1077"/>
      </w:pPr>
      <m:oMath>
        <m:r>
          <w:rPr>
            <w:rFonts w:ascii="Cambria Math" w:hAnsi="Cambria Math"/>
          </w:rPr>
          <m:t>=2 π b G m P</m:t>
        </m:r>
      </m:oMath>
      <w:r w:rsidRPr="00BC31E0">
        <w:rPr>
          <w:rFonts w:hint="eastAsia"/>
        </w:rPr>
        <w:t xml:space="preserve">　</w:t>
      </w:r>
      <w:r w:rsidRPr="00BC31E0">
        <w:rPr>
          <w:rFonts w:hint="eastAsia"/>
        </w:rPr>
        <w:t>(</w:t>
      </w:r>
      <w:r w:rsidRPr="00BC31E0">
        <w:rPr>
          <w:rFonts w:hint="eastAsia"/>
        </w:rPr>
        <w:t>自緊ガスケットでは</w:t>
      </w:r>
      <m:oMath>
        <m:sSub>
          <m:sSubPr>
            <m:ctrlPr>
              <w:rPr>
                <w:rFonts w:ascii="Cambria Math" w:hAnsi="Cambria Math"/>
                <w:i/>
              </w:rPr>
            </m:ctrlPr>
          </m:sSubPr>
          <m:e>
            <m:r>
              <w:rPr>
                <w:rFonts w:ascii="Cambria Math" w:hAnsi="Cambria Math"/>
              </w:rPr>
              <m:t xml:space="preserve"> H</m:t>
            </m:r>
          </m:e>
          <m:sub>
            <m:r>
              <w:rPr>
                <w:rFonts w:ascii="Cambria Math" w:hAnsi="Cambria Math"/>
              </w:rPr>
              <m:t>p</m:t>
            </m:r>
          </m:sub>
        </m:sSub>
        <m:r>
          <w:rPr>
            <w:rFonts w:ascii="Cambria Math" w:hAnsi="Cambria Math"/>
          </w:rPr>
          <m:t>=0</m:t>
        </m:r>
      </m:oMath>
      <w:r w:rsidRPr="00BC31E0">
        <w:rPr>
          <w:rFonts w:hint="eastAsia"/>
        </w:rPr>
        <w:t>，又は実際の保持力とする。</w:t>
      </w:r>
      <w:r w:rsidRPr="00BC31E0">
        <w:rPr>
          <w:rFonts w:hint="eastAsia"/>
        </w:rPr>
        <w:t>)</w:t>
      </w:r>
    </w:p>
    <w:p w14:paraId="63E50AC1"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H</m:t>
            </m:r>
          </m:e>
          <m:sub>
            <m:r>
              <w:rPr>
                <w:rFonts w:ascii="Cambria Math" w:hAnsi="Cambria Math"/>
              </w:rPr>
              <m:t>T</m:t>
            </m:r>
          </m:sub>
        </m:sSub>
      </m:oMath>
      <w:r w:rsidR="00FF57A8" w:rsidRPr="00BC31E0">
        <w:tab/>
      </w:r>
      <w:r w:rsidR="00FF57A8" w:rsidRPr="00BC31E0">
        <w:rPr>
          <w:rFonts w:hint="eastAsia"/>
        </w:rPr>
        <w:t>：</w:t>
      </w:r>
      <w:r w:rsidR="00FF57A8" w:rsidRPr="00BC31E0">
        <w:rPr>
          <w:rFonts w:hint="eastAsia"/>
        </w:rPr>
        <w:t xml:space="preserve"> </w:t>
      </w:r>
      <w:r w:rsidR="00FF57A8" w:rsidRPr="00BC31E0">
        <w:rPr>
          <w:rFonts w:hint="eastAsia"/>
        </w:rPr>
        <w:t>長手方向荷重とハブ内径面に作用する荷重との差</w:t>
      </w:r>
      <w:r w:rsidR="00FF57A8" w:rsidRPr="00BC31E0">
        <w:rPr>
          <w:rFonts w:hint="eastAsia"/>
        </w:rPr>
        <w:t>(</w:t>
      </w:r>
      <w:r w:rsidR="00FF57A8" w:rsidRPr="00BC31E0">
        <w:rPr>
          <w:rFonts w:ascii="Cambria Math" w:hAnsi="Cambria Math"/>
        </w:rPr>
        <w:t>N</w:t>
      </w:r>
      <w:r w:rsidR="00FF57A8" w:rsidRPr="00BC31E0">
        <w:rPr>
          <w:rFonts w:hint="eastAsia"/>
        </w:rPr>
        <w:t>)</w:t>
      </w:r>
    </w:p>
    <w:p w14:paraId="64DA8120" w14:textId="77777777" w:rsidR="00FF57A8" w:rsidRPr="00BC31E0" w:rsidRDefault="00FF57A8" w:rsidP="001B7872">
      <w:pPr>
        <w:autoSpaceDE w:val="0"/>
        <w:autoSpaceDN w:val="0"/>
        <w:ind w:left="1077"/>
      </w:pPr>
      <m:oMath>
        <m:r>
          <w:rPr>
            <w:rFonts w:ascii="Cambria Math" w:hAnsi="Cambria Math"/>
          </w:rPr>
          <m:t>=H-</m:t>
        </m:r>
        <m:sSub>
          <m:sSubPr>
            <m:ctrlPr>
              <w:rPr>
                <w:rFonts w:ascii="Cambria Math" w:hAnsi="Cambria Math"/>
                <w:i/>
              </w:rPr>
            </m:ctrlPr>
          </m:sSubPr>
          <m:e>
            <m:r>
              <w:rPr>
                <w:rFonts w:ascii="Cambria Math" w:hAnsi="Cambria Math"/>
              </w:rPr>
              <m:t>H</m:t>
            </m:r>
          </m:e>
          <m:sub>
            <m:r>
              <w:rPr>
                <w:rFonts w:ascii="Cambria Math" w:hAnsi="Cambria Math"/>
              </w:rPr>
              <m:t>D</m:t>
            </m:r>
          </m:sub>
        </m:sSub>
      </m:oMath>
      <w:r w:rsidRPr="00BC31E0">
        <w:rPr>
          <w:i/>
        </w:rPr>
        <w:t xml:space="preserve"> </w:t>
      </w:r>
    </w:p>
    <w:p w14:paraId="2D98A1DC"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I</m:t>
            </m:r>
          </m:e>
          <m:sub>
            <m:r>
              <w:rPr>
                <w:rFonts w:ascii="Cambria Math" w:hAnsi="Cambria Math"/>
              </w:rPr>
              <m:t>c</m:t>
            </m:r>
          </m:sub>
        </m:sSub>
      </m:oMath>
      <w:r w:rsidR="00FF57A8" w:rsidRPr="00BC31E0">
        <w:rPr>
          <w:rFonts w:hint="eastAsia"/>
          <w:i/>
        </w:rPr>
        <w:tab/>
      </w:r>
      <w:r w:rsidR="00FF57A8" w:rsidRPr="00BC31E0">
        <w:rPr>
          <w:rFonts w:hint="eastAsia"/>
        </w:rPr>
        <w:t>：</w:t>
      </w:r>
      <w:r w:rsidR="00FF57A8" w:rsidRPr="00BC31E0">
        <w:rPr>
          <w:rFonts w:hint="eastAsia"/>
        </w:rPr>
        <w:t xml:space="preserve"> </w:t>
      </w:r>
      <w:r w:rsidR="00FF57A8" w:rsidRPr="00BC31E0">
        <w:rPr>
          <w:rFonts w:hint="eastAsia"/>
        </w:rPr>
        <w:t>クランプ中立軸の断面二次モーメント</w:t>
      </w:r>
      <w:r w:rsidR="00FF57A8" w:rsidRPr="00BC31E0">
        <w:rPr>
          <w:rFonts w:hint="eastAsia"/>
        </w:rPr>
        <w:t>(</w:t>
      </w:r>
      <w:r w:rsidR="00FF57A8" w:rsidRPr="00BC31E0">
        <w:rPr>
          <w:rFonts w:ascii="Cambria Math" w:hAnsi="Cambria Math"/>
        </w:rPr>
        <w:t>mm</w:t>
      </w:r>
      <w:r w:rsidR="00FF57A8" w:rsidRPr="00BC31E0">
        <w:rPr>
          <w:rFonts w:ascii="Cambria Math" w:hAnsi="Cambria Math"/>
          <w:vertAlign w:val="superscript"/>
        </w:rPr>
        <w:t>4</w:t>
      </w:r>
      <w:r w:rsidR="00FF57A8" w:rsidRPr="00BC31E0">
        <w:rPr>
          <w:rFonts w:hint="eastAsia"/>
        </w:rPr>
        <w:t>)</w:t>
      </w:r>
    </w:p>
    <w:tbl>
      <w:tblPr>
        <w:tblStyle w:val="afff2"/>
        <w:tblW w:w="0" w:type="auto"/>
        <w:tblInd w:w="1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tblGrid>
      <w:tr w:rsidR="00FF57A8" w:rsidRPr="00BC31E0" w14:paraId="61ED277E" w14:textId="77777777" w:rsidTr="004736F2">
        <w:tc>
          <w:tcPr>
            <w:tcW w:w="0" w:type="auto"/>
            <w:tcMar>
              <w:left w:w="0" w:type="dxa"/>
              <w:right w:w="0" w:type="dxa"/>
            </w:tcMar>
            <w:vAlign w:val="center"/>
          </w:tcPr>
          <w:p w14:paraId="53864AB7" w14:textId="77777777" w:rsidR="00FF57A8" w:rsidRPr="00BC31E0" w:rsidRDefault="00FF57A8" w:rsidP="001B7872">
            <w:pPr>
              <w:autoSpaceDE w:val="0"/>
              <w:autoSpaceDN w:val="0"/>
              <w:jc w:val="left"/>
              <w:rPr>
                <w:rFonts w:asciiTheme="minorHAnsi" w:hAnsiTheme="minorHAnsi"/>
                <w:i/>
              </w:rPr>
            </w:pPr>
            <m:oMathPara>
              <m:oMathParaPr>
                <m:jc m:val="left"/>
              </m:oMathParaP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c1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c2</m:t>
                            </m:r>
                          </m:sub>
                        </m:sSub>
                      </m:e>
                    </m:d>
                    <m:r>
                      <w:rPr>
                        <w:rFonts w:ascii="Cambria Math" w:hAnsi="Cambria Math"/>
                      </w:rPr>
                      <m:t xml:space="preserve"> </m:t>
                    </m:r>
                    <m:sSup>
                      <m:sSupPr>
                        <m:ctrlPr>
                          <w:rPr>
                            <w:rFonts w:ascii="Cambria Math" w:hAnsi="Cambria Math"/>
                            <w:i/>
                          </w:rPr>
                        </m:ctrlPr>
                      </m:sSupPr>
                      <m:e>
                        <m:sSub>
                          <m:sSubPr>
                            <m:ctrlPr>
                              <w:rPr>
                                <w:rFonts w:ascii="Cambria Math" w:hAnsi="Cambria Math"/>
                                <w:i/>
                              </w:rPr>
                            </m:ctrlPr>
                          </m:sSubPr>
                          <m:e>
                            <m:r>
                              <w:rPr>
                                <w:rFonts w:ascii="Cambria Math" w:hAnsi="Cambria Math"/>
                              </w:rPr>
                              <m:t>C</m:t>
                            </m:r>
                          </m:e>
                          <m:sub>
                            <m:r>
                              <w:rPr>
                                <w:rFonts w:ascii="Cambria Math" w:hAnsi="Cambria Math"/>
                              </w:rPr>
                              <m:t>t</m:t>
                            </m:r>
                          </m:sub>
                        </m:sSub>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c3</m:t>
                        </m:r>
                      </m:sub>
                    </m:sSub>
                    <m:sSup>
                      <m:sSupPr>
                        <m:ctrlPr>
                          <w:rPr>
                            <w:rFonts w:ascii="Cambria Math" w:hAnsi="Cambria Math"/>
                            <w:i/>
                          </w:rPr>
                        </m:ctrlPr>
                      </m:sSupPr>
                      <m:e>
                        <m:sSub>
                          <m:sSubPr>
                            <m:ctrlPr>
                              <w:rPr>
                                <w:rFonts w:ascii="Cambria Math" w:hAnsi="Cambria Math"/>
                                <w:i/>
                              </w:rPr>
                            </m:ctrlPr>
                          </m:sSubPr>
                          <m:e>
                            <m:r>
                              <w:rPr>
                                <w:rFonts w:ascii="Cambria Math" w:hAnsi="Cambria Math"/>
                              </w:rPr>
                              <m:t xml:space="preserve"> l</m:t>
                            </m:r>
                          </m:e>
                          <m:sub>
                            <m:r>
                              <w:rPr>
                                <w:rFonts w:ascii="Cambria Math" w:hAnsi="Cambria Math"/>
                              </w:rPr>
                              <m:t>c</m:t>
                            </m:r>
                          </m:sub>
                        </m:sSub>
                      </m:e>
                      <m:sup>
                        <m:r>
                          <w:rPr>
                            <w:rFonts w:ascii="Cambria Math" w:hAnsi="Cambria Math"/>
                          </w:rPr>
                          <m:t>2</m:t>
                        </m:r>
                      </m:sup>
                    </m:sSup>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c</m:t>
                    </m:r>
                  </m:sub>
                </m:sSub>
                <m:r>
                  <w:rPr>
                    <w:rFonts w:ascii="Cambria Math" w:hAnsi="Cambria Math"/>
                  </w:rPr>
                  <m:t xml:space="preserve"> </m:t>
                </m:r>
                <m:sSup>
                  <m:sSupPr>
                    <m:ctrlPr>
                      <w:rPr>
                        <w:rFonts w:ascii="Cambria Math" w:hAnsi="Cambria Math"/>
                        <w:i/>
                      </w:rPr>
                    </m:ctrlPr>
                  </m:sSupPr>
                  <m:e>
                    <m:sSub>
                      <m:sSubPr>
                        <m:ctrlPr>
                          <w:rPr>
                            <w:rFonts w:ascii="Cambria Math" w:hAnsi="Cambria Math"/>
                            <w:i/>
                          </w:rPr>
                        </m:ctrlPr>
                      </m:sSubPr>
                      <m:e>
                        <m:r>
                          <w:rPr>
                            <w:rFonts w:ascii="Cambria Math" w:hAnsi="Cambria Math"/>
                          </w:rPr>
                          <m:t>X</m:t>
                        </m:r>
                      </m:e>
                      <m:sub>
                        <m:r>
                          <w:rPr>
                            <w:rFonts w:ascii="Cambria Math" w:hAnsi="Cambria Math"/>
                          </w:rPr>
                          <m:t>b</m:t>
                        </m:r>
                      </m:sub>
                    </m:sSub>
                  </m:e>
                  <m:sup>
                    <m:r>
                      <w:rPr>
                        <w:rFonts w:ascii="Cambria Math" w:hAnsi="Cambria Math"/>
                      </w:rPr>
                      <m:t>2</m:t>
                    </m:r>
                  </m:sup>
                </m:sSup>
              </m:oMath>
            </m:oMathPara>
          </w:p>
        </w:tc>
      </w:tr>
    </w:tbl>
    <w:p w14:paraId="621104E2"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I</m:t>
            </m:r>
          </m:e>
          <m:sub>
            <m:r>
              <w:rPr>
                <w:rFonts w:ascii="Cambria Math" w:hAnsi="Cambria Math"/>
              </w:rPr>
              <m:t>h</m:t>
            </m:r>
          </m:sub>
        </m:sSub>
      </m:oMath>
      <w:r w:rsidR="00FF57A8" w:rsidRPr="00BC31E0">
        <w:rPr>
          <w:vertAlign w:val="subscript"/>
        </w:rPr>
        <w:tab/>
      </w:r>
      <w:r w:rsidR="00FF57A8" w:rsidRPr="00BC31E0">
        <w:rPr>
          <w:rFonts w:hint="eastAsia"/>
        </w:rPr>
        <w:t>：</w:t>
      </w:r>
      <w:r w:rsidR="00FF57A8" w:rsidRPr="00BC31E0">
        <w:rPr>
          <w:rFonts w:hint="eastAsia"/>
        </w:rPr>
        <w:t xml:space="preserve"> </w:t>
      </w:r>
      <w:r w:rsidR="00FF57A8" w:rsidRPr="00BC31E0">
        <w:rPr>
          <w:rFonts w:hint="eastAsia"/>
        </w:rPr>
        <w:t>ハブ肩部の中立軸の断面二次モーメント</w:t>
      </w:r>
      <w:r w:rsidR="00FF57A8" w:rsidRPr="00BC31E0">
        <w:rPr>
          <w:rFonts w:hint="eastAsia"/>
        </w:rPr>
        <w:t>(</w:t>
      </w:r>
      <w:r w:rsidR="00FF57A8" w:rsidRPr="00BC31E0">
        <w:rPr>
          <w:rFonts w:ascii="Cambria Math" w:hAnsi="Cambria Math"/>
        </w:rPr>
        <w:t>mm</w:t>
      </w:r>
      <w:r w:rsidR="00FF57A8" w:rsidRPr="00BC31E0">
        <w:rPr>
          <w:rFonts w:ascii="Cambria Math" w:hAnsi="Cambria Math"/>
          <w:vertAlign w:val="superscript"/>
        </w:rPr>
        <w:t>4</w:t>
      </w:r>
      <w:r w:rsidR="00FF57A8" w:rsidRPr="00BC31E0">
        <w:rPr>
          <w:rFonts w:hint="eastAsia"/>
        </w:rPr>
        <w:t>)</w:t>
      </w:r>
    </w:p>
    <w:tbl>
      <w:tblPr>
        <w:tblStyle w:val="afff2"/>
        <w:tblW w:w="0" w:type="auto"/>
        <w:tblInd w:w="1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0"/>
      </w:tblGrid>
      <w:tr w:rsidR="00FF57A8" w:rsidRPr="00BC31E0" w14:paraId="769DA2F8" w14:textId="77777777" w:rsidTr="004736F2">
        <w:tc>
          <w:tcPr>
            <w:tcW w:w="0" w:type="auto"/>
            <w:tcMar>
              <w:left w:w="0" w:type="dxa"/>
              <w:right w:w="0" w:type="dxa"/>
            </w:tcMar>
            <w:vAlign w:val="center"/>
          </w:tcPr>
          <w:p w14:paraId="41F53276" w14:textId="77777777" w:rsidR="00FF57A8" w:rsidRPr="00BC31E0" w:rsidRDefault="00FF57A8" w:rsidP="001B7872">
            <w:pPr>
              <w:autoSpaceDE w:val="0"/>
              <w:autoSpaceDN w:val="0"/>
              <w:jc w:val="left"/>
              <w:rPr>
                <w:rFonts w:asciiTheme="minorHAnsi" w:hAnsiTheme="minorHAnsi"/>
                <w:i/>
              </w:rPr>
            </w:pPr>
            <m:oMathPara>
              <m:oMathParaPr>
                <m:jc m:val="left"/>
              </m:oMathParaPr>
              <m:oMath>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g</m:t>
                        </m:r>
                      </m:e>
                      <m:sub>
                        <m:r>
                          <w:rPr>
                            <w:rFonts w:ascii="Cambria Math" w:hAnsi="Cambria Math"/>
                          </w:rPr>
                          <m:t xml:space="preserve">1 </m:t>
                        </m:r>
                      </m:sub>
                    </m:sSub>
                    <m:sSup>
                      <m:sSupPr>
                        <m:ctrlPr>
                          <w:rPr>
                            <w:rFonts w:ascii="Cambria Math" w:hAnsi="Cambria Math"/>
                            <w:i/>
                          </w:rPr>
                        </m:ctrlPr>
                      </m:sSupPr>
                      <m:e>
                        <m:r>
                          <w:rPr>
                            <w:rFonts w:ascii="Cambria Math" w:hAnsi="Cambria Math"/>
                          </w:rPr>
                          <m:t>T</m:t>
                        </m:r>
                      </m:e>
                      <m:sup>
                        <m:r>
                          <w:rPr>
                            <w:rFonts w:ascii="Cambria Math" w:hAnsi="Cambria Math"/>
                          </w:rPr>
                          <m:t>3</m:t>
                        </m:r>
                      </m:sup>
                    </m:sSup>
                  </m:num>
                  <m:den>
                    <m:r>
                      <w:rPr>
                        <w:rFonts w:ascii="Cambria Math" w:hAnsi="Cambria Math"/>
                      </w:rPr>
                      <m:t>3</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g</m:t>
                        </m:r>
                      </m:e>
                      <m:sub>
                        <m:r>
                          <w:rPr>
                            <w:rFonts w:ascii="Cambria Math" w:hAnsi="Cambria Math"/>
                          </w:rPr>
                          <m:t xml:space="preserve">2 </m:t>
                        </m:r>
                      </m:sub>
                    </m:sSub>
                    <m:sSup>
                      <m:sSupPr>
                        <m:ctrlPr>
                          <w:rPr>
                            <w:rFonts w:ascii="Cambria Math" w:hAnsi="Cambria Math"/>
                            <w:i/>
                          </w:rPr>
                        </m:ctrlPr>
                      </m:sSupPr>
                      <m:e>
                        <m:sSub>
                          <m:sSubPr>
                            <m:ctrlPr>
                              <w:rPr>
                                <w:rFonts w:ascii="Cambria Math" w:hAnsi="Cambria Math"/>
                                <w:i/>
                              </w:rPr>
                            </m:ctrlPr>
                          </m:sSubPr>
                          <m:e>
                            <m:r>
                              <w:rPr>
                                <w:rFonts w:ascii="Cambria Math" w:hAnsi="Cambria Math"/>
                              </w:rPr>
                              <m:t>h</m:t>
                            </m:r>
                          </m:e>
                          <m:sub>
                            <m:r>
                              <w:rPr>
                                <w:rFonts w:ascii="Cambria Math" w:hAnsi="Cambria Math"/>
                              </w:rPr>
                              <m:t>2</m:t>
                            </m:r>
                          </m:sub>
                        </m:sSub>
                      </m:e>
                      <m:sup>
                        <m:r>
                          <w:rPr>
                            <w:rFonts w:ascii="Cambria Math" w:hAnsi="Cambria Math"/>
                          </w:rPr>
                          <m:t>3</m:t>
                        </m:r>
                      </m:sup>
                    </m:sSup>
                  </m:num>
                  <m:den>
                    <m:r>
                      <w:rPr>
                        <w:rFonts w:ascii="Cambria Math" w:hAnsi="Cambria Math"/>
                      </w:rPr>
                      <m:t>3</m:t>
                    </m:r>
                  </m:den>
                </m:f>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r>
                      <w:rPr>
                        <w:rFonts w:ascii="Cambria Math" w:hAnsi="Cambria Math"/>
                      </w:rPr>
                      <m:t xml:space="preserve"> T</m:t>
                    </m:r>
                  </m:e>
                </m:d>
                <m:r>
                  <w:rPr>
                    <w:rFonts w:ascii="Cambria Math" w:hAnsi="Cambria Math"/>
                  </w:rPr>
                  <m:t xml:space="preserve"> </m:t>
                </m:r>
                <m:sSup>
                  <m:sSupPr>
                    <m:ctrlPr>
                      <w:rPr>
                        <w:rFonts w:ascii="Cambria Math" w:hAnsi="Cambria Math"/>
                        <w:i/>
                      </w:rPr>
                    </m:ctrlPr>
                  </m:sSupPr>
                  <m:e>
                    <m:bar>
                      <m:barPr>
                        <m:pos m:val="top"/>
                        <m:ctrlPr>
                          <w:rPr>
                            <w:rFonts w:ascii="Cambria Math" w:hAnsi="Cambria Math"/>
                            <w:i/>
                          </w:rPr>
                        </m:ctrlPr>
                      </m:barPr>
                      <m:e>
                        <m:r>
                          <w:rPr>
                            <w:rFonts w:ascii="Cambria Math" w:hAnsi="Cambria Math"/>
                          </w:rPr>
                          <m:t>h</m:t>
                        </m:r>
                      </m:e>
                    </m:bar>
                  </m:e>
                  <m:sup>
                    <m:r>
                      <w:rPr>
                        <w:rFonts w:ascii="Cambria Math" w:hAnsi="Cambria Math"/>
                      </w:rPr>
                      <m:t>2</m:t>
                    </m:r>
                  </m:sup>
                </m:sSup>
              </m:oMath>
            </m:oMathPara>
          </w:p>
        </w:tc>
      </w:tr>
    </w:tbl>
    <w:p w14:paraId="1881F696"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I</m:t>
            </m:r>
          </m:e>
          <m:sub>
            <m:r>
              <w:rPr>
                <w:rFonts w:ascii="Cambria Math" w:hAnsi="Cambria Math"/>
              </w:rPr>
              <m:t>5</m:t>
            </m:r>
          </m:sub>
        </m:sSub>
      </m:oMath>
      <w:r w:rsidR="00FF57A8" w:rsidRPr="00BC31E0">
        <w:tab/>
      </w:r>
      <w:r w:rsidR="00FF57A8" w:rsidRPr="00BC31E0">
        <w:rPr>
          <w:rFonts w:hint="eastAsia"/>
        </w:rPr>
        <w:t>：</w:t>
      </w:r>
      <w:r w:rsidR="00FF57A8" w:rsidRPr="00BC31E0">
        <w:rPr>
          <w:rFonts w:hint="eastAsia"/>
        </w:rPr>
        <w:t xml:space="preserve"> </w:t>
      </w:r>
      <w:r w:rsidR="00FF57A8" w:rsidRPr="00BC31E0">
        <w:rPr>
          <w:rFonts w:hint="eastAsia"/>
        </w:rPr>
        <w:t>任意の半径－周方向面におけるクランプの断面二次モーメントの最小値</w:t>
      </w:r>
      <w:r w:rsidR="00FF57A8" w:rsidRPr="00BC31E0">
        <w:rPr>
          <w:rFonts w:hint="eastAsia"/>
        </w:rPr>
        <w:t>(</w:t>
      </w:r>
      <w:r w:rsidR="00FF57A8" w:rsidRPr="00BC31E0">
        <w:rPr>
          <w:rFonts w:ascii="Cambria Math" w:hAnsi="Cambria Math"/>
        </w:rPr>
        <w:t>mm</w:t>
      </w:r>
      <w:r w:rsidR="00FF57A8" w:rsidRPr="00BC31E0">
        <w:rPr>
          <w:rFonts w:ascii="Cambria Math" w:hAnsi="Cambria Math"/>
          <w:vertAlign w:val="superscript"/>
        </w:rPr>
        <w:t>4</w:t>
      </w:r>
      <w:r w:rsidR="00FF57A8" w:rsidRPr="00BC31E0">
        <w:rPr>
          <w:rFonts w:hint="eastAsia"/>
        </w:rPr>
        <w:t>)</w:t>
      </w:r>
    </w:p>
    <w:p w14:paraId="4CDDA0F3" w14:textId="77777777" w:rsidR="00FF57A8" w:rsidRPr="00BC31E0" w:rsidRDefault="00FF57A8" w:rsidP="001B7872">
      <w:pPr>
        <w:autoSpaceDE w:val="0"/>
        <w:autoSpaceDN w:val="0"/>
        <w:ind w:left="1077"/>
      </w:pPr>
      <m:oMath>
        <m:r>
          <w:rPr>
            <w:rFonts w:ascii="Cambria Math" w:hAnsi="Cambria Math"/>
          </w:rPr>
          <m:t>=</m:t>
        </m:r>
        <m:d>
          <m:dPr>
            <m:begChr m:val="{"/>
            <m:endChr m:val="}"/>
            <m:ctrlPr>
              <w:rPr>
                <w:rFonts w:ascii="Cambria Math" w:hAnsi="Cambria Math"/>
                <w:i/>
              </w:rPr>
            </m:ctrlPr>
          </m:dPr>
          <m:e>
            <m:f>
              <m:fPr>
                <m:type m:val="lin"/>
                <m:ctrlPr>
                  <w:rPr>
                    <w:rFonts w:ascii="Cambria Math" w:hAnsi="Cambria Math"/>
                    <w:i/>
                  </w:rPr>
                </m:ctrlPr>
              </m:fPr>
              <m:num>
                <m:r>
                  <w:rPr>
                    <w:rFonts w:ascii="Cambria Math" w:hAnsi="Cambria Math"/>
                  </w:rPr>
                  <m:t xml:space="preserve">π </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e>
                </m:d>
                <m:r>
                  <w:rPr>
                    <w:rFonts w:ascii="Cambria Math" w:hAnsi="Cambria Math"/>
                  </w:rPr>
                  <m:t xml:space="preserve"> </m:t>
                </m:r>
                <m:sSup>
                  <m:sSupPr>
                    <m:ctrlPr>
                      <w:rPr>
                        <w:rFonts w:ascii="Cambria Math" w:hAnsi="Cambria Math"/>
                        <w:i/>
                      </w:rPr>
                    </m:ctrlPr>
                  </m:sSupPr>
                  <m:e>
                    <m:sSub>
                      <m:sSubPr>
                        <m:ctrlPr>
                          <w:rPr>
                            <w:rFonts w:ascii="Cambria Math" w:hAnsi="Cambria Math"/>
                            <w:i/>
                          </w:rPr>
                        </m:ctrlPr>
                      </m:sSubPr>
                      <m:e>
                        <m:r>
                          <w:rPr>
                            <w:rFonts w:ascii="Cambria Math" w:hAnsi="Cambria Math"/>
                          </w:rPr>
                          <m:t>C</m:t>
                        </m:r>
                      </m:e>
                      <m:sub>
                        <m:r>
                          <w:rPr>
                            <w:rFonts w:ascii="Cambria Math" w:hAnsi="Cambria Math"/>
                          </w:rPr>
                          <m:t>t</m:t>
                        </m:r>
                      </m:sub>
                    </m:sSub>
                  </m:e>
                  <m:sup>
                    <m:r>
                      <w:rPr>
                        <w:rFonts w:ascii="Cambria Math" w:hAnsi="Cambria Math"/>
                      </w:rPr>
                      <m:t>3</m:t>
                    </m:r>
                  </m:sup>
                </m:sSup>
              </m:num>
              <m:den>
                <m:r>
                  <w:rPr>
                    <w:rFonts w:ascii="Cambria Math" w:hAnsi="Cambria Math"/>
                  </w:rPr>
                  <m:t>3</m:t>
                </m:r>
              </m:den>
            </m:f>
          </m:e>
        </m:d>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5b</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5</m:t>
            </m:r>
          </m:sub>
        </m:sSub>
        <m:r>
          <w:rPr>
            <w:rFonts w:ascii="Cambria Math" w:hAnsi="Cambria Math"/>
          </w:rPr>
          <m:t xml:space="preserve"> </m:t>
        </m:r>
        <m:sSup>
          <m:sSupPr>
            <m:ctrlPr>
              <w:rPr>
                <w:rFonts w:ascii="Cambria Math" w:hAnsi="Cambria Math"/>
                <w:i/>
              </w:rPr>
            </m:ctrlPr>
          </m:sSupPr>
          <m:e>
            <m:sSub>
              <m:sSubPr>
                <m:ctrlPr>
                  <w:rPr>
                    <w:rFonts w:ascii="Cambria Math" w:hAnsi="Cambria Math"/>
                    <w:i/>
                  </w:rPr>
                </m:ctrlPr>
              </m:sSubPr>
              <m:e>
                <m:r>
                  <w:rPr>
                    <w:rFonts w:ascii="Cambria Math" w:hAnsi="Cambria Math"/>
                  </w:rPr>
                  <m:t>X</m:t>
                </m:r>
              </m:e>
              <m:sub>
                <m:r>
                  <w:rPr>
                    <w:rFonts w:ascii="Cambria Math" w:hAnsi="Cambria Math"/>
                  </w:rPr>
                  <m:t>5</m:t>
                </m:r>
              </m:sub>
            </m:sSub>
          </m:e>
          <m:sup>
            <m:r>
              <w:rPr>
                <w:rFonts w:ascii="Cambria Math" w:hAnsi="Cambria Math"/>
              </w:rPr>
              <m:t>2</m:t>
            </m:r>
          </m:sup>
        </m:sSup>
      </m:oMath>
      <w:r w:rsidRPr="00BC31E0">
        <w:rPr>
          <w:i/>
        </w:rPr>
        <w:t xml:space="preserve"> </w:t>
      </w:r>
    </w:p>
    <w:p w14:paraId="6D74568D" w14:textId="77777777" w:rsidR="00FF57A8" w:rsidRPr="00BC31E0" w:rsidRDefault="00A51873" w:rsidP="001B7872">
      <w:pPr>
        <w:tabs>
          <w:tab w:val="left" w:pos="709"/>
        </w:tabs>
        <w:autoSpaceDE w:val="0"/>
        <w:autoSpaceDN w:val="0"/>
        <w:ind w:leftChars="100" w:left="1004" w:hanging="794"/>
      </w:pPr>
      <m:oMath>
        <m:sSub>
          <m:sSubPr>
            <m:ctrlPr>
              <w:rPr>
                <w:rFonts w:ascii="Cambria Math" w:hAnsi="Cambria Math"/>
                <w:i/>
              </w:rPr>
            </m:ctrlPr>
          </m:sSubPr>
          <m:e>
            <m:r>
              <w:rPr>
                <w:rFonts w:ascii="Cambria Math" w:hAnsi="Cambria Math"/>
              </w:rPr>
              <m:t>I</m:t>
            </m:r>
          </m:e>
          <m:sub>
            <m:r>
              <w:rPr>
                <w:rFonts w:ascii="Cambria Math" w:hAnsi="Cambria Math"/>
              </w:rPr>
              <m:t>5b</m:t>
            </m:r>
          </m:sub>
        </m:sSub>
      </m:oMath>
      <w:r w:rsidR="00FF57A8" w:rsidRPr="00BC31E0">
        <w:tab/>
      </w:r>
      <w:r w:rsidR="00FF57A8" w:rsidRPr="00BC31E0">
        <w:rPr>
          <w:rFonts w:hint="eastAsia"/>
        </w:rPr>
        <w:t>：</w:t>
      </w:r>
      <w:r w:rsidR="00FF57A8" w:rsidRPr="00BC31E0">
        <w:rPr>
          <w:rFonts w:hint="eastAsia"/>
        </w:rPr>
        <w:t xml:space="preserve"> </w:t>
      </w:r>
      <w:r w:rsidR="00FF57A8" w:rsidRPr="00BC31E0">
        <w:rPr>
          <w:rFonts w:hint="eastAsia"/>
        </w:rPr>
        <w:t>ボルト穴による任意の半径</w:t>
      </w:r>
      <w:r w:rsidR="00FF57A8" w:rsidRPr="00BC31E0">
        <w:t>-</w:t>
      </w:r>
      <w:r w:rsidR="00FF57A8" w:rsidRPr="00BC31E0">
        <w:rPr>
          <w:rFonts w:hint="eastAsia"/>
        </w:rPr>
        <w:t>周方向面におけるクランプの断面二次モーメントの最大値</w:t>
      </w:r>
      <w:r w:rsidR="00FF57A8" w:rsidRPr="00BC31E0">
        <w:rPr>
          <w:rFonts w:hint="eastAsia"/>
        </w:rPr>
        <w:lastRenderedPageBreak/>
        <w:t>(</w:t>
      </w:r>
      <w:r w:rsidR="00FF57A8" w:rsidRPr="00BC31E0">
        <w:rPr>
          <w:rFonts w:ascii="Cambria Math" w:hAnsi="Cambria Math"/>
        </w:rPr>
        <w:t>mm</w:t>
      </w:r>
      <w:r w:rsidR="00FF57A8" w:rsidRPr="00BC31E0">
        <w:rPr>
          <w:rFonts w:ascii="Cambria Math" w:hAnsi="Cambria Math"/>
          <w:vertAlign w:val="superscript"/>
        </w:rPr>
        <w:t>4</w:t>
      </w:r>
      <w:r w:rsidR="00FF57A8" w:rsidRPr="00BC31E0">
        <w:rPr>
          <w:rFonts w:hint="eastAsia"/>
        </w:rPr>
        <w:t>)</w:t>
      </w:r>
    </w:p>
    <w:tbl>
      <w:tblPr>
        <w:tblStyle w:val="afff2"/>
        <w:tblW w:w="0" w:type="auto"/>
        <w:tblInd w:w="1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9"/>
        <w:gridCol w:w="3868"/>
      </w:tblGrid>
      <w:tr w:rsidR="00FF57A8" w:rsidRPr="00BC31E0" w14:paraId="7F72CB5A" w14:textId="77777777" w:rsidTr="004736F2">
        <w:tc>
          <w:tcPr>
            <w:tcW w:w="0" w:type="auto"/>
            <w:tcMar>
              <w:left w:w="0" w:type="dxa"/>
              <w:right w:w="0" w:type="dxa"/>
            </w:tcMar>
            <w:vAlign w:val="center"/>
          </w:tcPr>
          <w:p w14:paraId="23295BFB" w14:textId="77777777" w:rsidR="00FF57A8" w:rsidRPr="00BC31E0" w:rsidRDefault="00FF57A8" w:rsidP="001B7872">
            <w:pPr>
              <w:autoSpaceDE w:val="0"/>
              <w:autoSpaceDN w:val="0"/>
              <w:jc w:val="left"/>
              <w:rPr>
                <w:rFonts w:asciiTheme="minorHAnsi" w:hAnsiTheme="minorHAnsi"/>
                <w:i/>
              </w:rPr>
            </w:pPr>
            <m:oMathPara>
              <m:oMathParaPr>
                <m:jc m:val="left"/>
              </m:oMathParaPr>
              <m:oMath>
                <m:r>
                  <w:rPr>
                    <w:rFonts w:ascii="Cambria Math" w:hAnsiTheme="minorHAnsi"/>
                  </w:rPr>
                  <m:t>=</m:t>
                </m:r>
                <m:nary>
                  <m:naryPr>
                    <m:chr m:val="∑"/>
                    <m:limLoc m:val="undOvr"/>
                    <m:subHide m:val="1"/>
                    <m:supHide m:val="1"/>
                    <m:ctrlPr>
                      <w:rPr>
                        <w:rFonts w:ascii="Cambria Math" w:hAnsiTheme="minorHAnsi"/>
                        <w:i/>
                      </w:rPr>
                    </m:ctrlPr>
                  </m:naryPr>
                  <m:sub/>
                  <m:sup/>
                  <m:e>
                    <m:d>
                      <m:dPr>
                        <m:ctrlPr>
                          <w:rPr>
                            <w:rFonts w:ascii="Cambria Math" w:hAnsiTheme="minorHAnsi"/>
                            <w:i/>
                          </w:rPr>
                        </m:ctrlPr>
                      </m:dPr>
                      <m:e>
                        <m:sSub>
                          <m:sSubPr>
                            <m:ctrlPr>
                              <w:rPr>
                                <w:rFonts w:ascii="Cambria Math" w:hAnsiTheme="minorHAnsi"/>
                                <w:i/>
                              </w:rPr>
                            </m:ctrlPr>
                          </m:sSubPr>
                          <m:e>
                            <m:r>
                              <w:rPr>
                                <w:rFonts w:ascii="Cambria Math" w:hAnsi="Cambria Math"/>
                              </w:rPr>
                              <m:t>A</m:t>
                            </m:r>
                          </m:e>
                          <m:sub>
                            <m:r>
                              <w:rPr>
                                <w:rFonts w:ascii="Cambria Math" w:hAnsiTheme="minorHAnsi"/>
                              </w:rPr>
                              <m:t>5</m:t>
                            </m:r>
                            <m:r>
                              <w:rPr>
                                <w:rFonts w:ascii="Cambria Math" w:hAnsi="Cambria Math"/>
                              </w:rPr>
                              <m:t>i</m:t>
                            </m:r>
                          </m:sub>
                        </m:sSub>
                      </m:e>
                    </m:d>
                    <m:sSup>
                      <m:sSupPr>
                        <m:ctrlPr>
                          <w:rPr>
                            <w:rFonts w:ascii="Cambria Math" w:hAnsiTheme="minorHAnsi"/>
                            <w:i/>
                          </w:rPr>
                        </m:ctrlPr>
                      </m:sSupPr>
                      <m:e>
                        <m:d>
                          <m:dPr>
                            <m:ctrlPr>
                              <w:rPr>
                                <w:rFonts w:ascii="Cambria Math" w:hAnsiTheme="minorHAnsi"/>
                                <w:i/>
                              </w:rPr>
                            </m:ctrlPr>
                          </m:dPr>
                          <m:e>
                            <m:sSub>
                              <m:sSubPr>
                                <m:ctrlPr>
                                  <w:rPr>
                                    <w:rFonts w:ascii="Cambria Math" w:hAnsiTheme="minorHAnsi"/>
                                    <w:i/>
                                  </w:rPr>
                                </m:ctrlPr>
                              </m:sSubPr>
                              <m:e>
                                <m:r>
                                  <w:rPr>
                                    <w:rFonts w:ascii="Cambria Math" w:hAnsi="Cambria Math"/>
                                  </w:rPr>
                                  <m:t>X</m:t>
                                </m:r>
                              </m:e>
                              <m:sub>
                                <m:r>
                                  <w:rPr>
                                    <w:rFonts w:ascii="Cambria Math" w:hAnsi="Cambria Math"/>
                                  </w:rPr>
                                  <m:t>i</m:t>
                                </m:r>
                              </m:sub>
                            </m:sSub>
                          </m:e>
                        </m:d>
                      </m:e>
                      <m:sup>
                        <m:r>
                          <w:rPr>
                            <w:rFonts w:ascii="Cambria Math" w:hAnsiTheme="minorHAnsi"/>
                          </w:rPr>
                          <m:t>2</m:t>
                        </m:r>
                      </m:sup>
                    </m:sSup>
                    <m:r>
                      <w:rPr>
                        <w:rFonts w:ascii="Cambria Math" w:hAnsiTheme="minorHAnsi"/>
                      </w:rPr>
                      <m:t>+</m:t>
                    </m:r>
                    <m:nary>
                      <m:naryPr>
                        <m:chr m:val="∑"/>
                        <m:limLoc m:val="undOvr"/>
                        <m:subHide m:val="1"/>
                        <m:supHide m:val="1"/>
                        <m:ctrlPr>
                          <w:rPr>
                            <w:rFonts w:ascii="Cambria Math" w:hAnsiTheme="minorHAnsi"/>
                            <w:i/>
                          </w:rPr>
                        </m:ctrlPr>
                      </m:naryPr>
                      <m:sub/>
                      <m:sup/>
                      <m:e>
                        <m:r>
                          <w:rPr>
                            <w:rFonts w:ascii="Cambria Math" w:hAnsiTheme="minorHAnsi"/>
                          </w:rPr>
                          <m:t>(</m:t>
                        </m:r>
                        <m:sSub>
                          <m:sSubPr>
                            <m:ctrlPr>
                              <w:rPr>
                                <w:rFonts w:ascii="Cambria Math" w:hAnsiTheme="minorHAnsi"/>
                                <w:i/>
                              </w:rPr>
                            </m:ctrlPr>
                          </m:sSubPr>
                          <m:e>
                            <m:r>
                              <w:rPr>
                                <w:rFonts w:ascii="Cambria Math" w:hAnsi="Cambria Math"/>
                              </w:rPr>
                              <m:t>A</m:t>
                            </m:r>
                          </m:e>
                          <m:sub>
                            <m:r>
                              <w:rPr>
                                <w:rFonts w:ascii="Cambria Math" w:hAnsiTheme="minorHAnsi"/>
                              </w:rPr>
                              <m:t>5</m:t>
                            </m:r>
                            <m:r>
                              <w:rPr>
                                <w:rFonts w:ascii="Cambria Math" w:hAnsi="Cambria Math"/>
                              </w:rPr>
                              <m:t>i</m:t>
                            </m:r>
                          </m:sub>
                        </m:sSub>
                      </m:e>
                    </m:nary>
                  </m:e>
                </m:nary>
              </m:oMath>
            </m:oMathPara>
          </w:p>
        </w:tc>
        <w:tc>
          <w:tcPr>
            <w:tcW w:w="0" w:type="auto"/>
            <w:tcMar>
              <w:left w:w="0" w:type="dxa"/>
              <w:right w:w="0" w:type="dxa"/>
            </w:tcMar>
            <w:vAlign w:val="center"/>
          </w:tcPr>
          <w:p w14:paraId="04BA704C" w14:textId="77777777" w:rsidR="00FF57A8" w:rsidRPr="00BC31E0" w:rsidRDefault="00FF57A8" w:rsidP="001B7872">
            <w:pPr>
              <w:autoSpaceDE w:val="0"/>
              <w:autoSpaceDN w:val="0"/>
              <w:jc w:val="left"/>
              <w:rPr>
                <w:rFonts w:asciiTheme="minorHAnsi" w:hAnsiTheme="minorHAnsi"/>
              </w:rPr>
            </w:pPr>
            <w:r w:rsidRPr="00BC31E0">
              <w:rPr>
                <w:rFonts w:asciiTheme="minorHAnsi" w:hAnsiTheme="minorHAnsi" w:hint="eastAsia"/>
              </w:rPr>
              <w:t>の図心における局部断面二次モーメント</w:t>
            </w:r>
            <w:r w:rsidRPr="00BC31E0">
              <w:rPr>
                <w:rFonts w:ascii="Cambria Math" w:hAnsi="Cambria Math"/>
                <w:position w:val="2"/>
              </w:rPr>
              <w:t>)</w:t>
            </w:r>
          </w:p>
        </w:tc>
      </w:tr>
    </w:tbl>
    <w:p w14:paraId="71F0414A" w14:textId="77777777" w:rsidR="00FF57A8" w:rsidRPr="00BC31E0" w:rsidRDefault="00FF57A8" w:rsidP="001B7872">
      <w:pPr>
        <w:autoSpaceDE w:val="0"/>
        <w:autoSpaceDN w:val="0"/>
        <w:ind w:left="1077"/>
      </w:pPr>
      <w:r w:rsidRPr="00BC31E0">
        <w:rPr>
          <w:rFonts w:hint="eastAsia"/>
        </w:rPr>
        <w:t>(</w:t>
      </w:r>
      <w:r w:rsidRPr="00BC31E0">
        <w:rPr>
          <w:rFonts w:hint="eastAsia"/>
        </w:rPr>
        <w:t>第</w:t>
      </w:r>
      <w:r w:rsidRPr="00BC31E0">
        <w:rPr>
          <w:rFonts w:hint="eastAsia"/>
        </w:rPr>
        <w:t>2</w:t>
      </w:r>
      <w:r w:rsidRPr="00BC31E0">
        <w:rPr>
          <w:rFonts w:hint="eastAsia"/>
        </w:rPr>
        <w:t>項は，通常は無視してもよい。</w:t>
      </w:r>
      <w:r w:rsidRPr="00BC31E0">
        <w:rPr>
          <w:rFonts w:hint="eastAsia"/>
        </w:rPr>
        <w:t>)</w:t>
      </w:r>
    </w:p>
    <w:p w14:paraId="2905AEFE" w14:textId="77777777" w:rsidR="00FF57A8" w:rsidRPr="00BC31E0" w:rsidRDefault="00FF57A8" w:rsidP="001B7872">
      <w:pPr>
        <w:autoSpaceDE w:val="0"/>
        <w:autoSpaceDN w:val="0"/>
        <w:ind w:left="1077"/>
      </w:pPr>
      <w:r w:rsidRPr="00BC31E0">
        <w:rPr>
          <w:rFonts w:hint="eastAsia"/>
        </w:rPr>
        <w:t>(</w:t>
      </w:r>
      <w:r w:rsidRPr="00BC31E0">
        <w:rPr>
          <w:rFonts w:ascii="ＭＳ ゴシック" w:eastAsia="ＭＳ ゴシック" w:hAnsi="ＭＳ ゴシック" w:hint="eastAsia"/>
          <w:b/>
        </w:rPr>
        <w:t>図H.1(d)</w:t>
      </w:r>
      <w:r w:rsidRPr="00BC31E0">
        <w:rPr>
          <w:rFonts w:hint="eastAsia"/>
        </w:rPr>
        <w:t>に示されるような外付けボルトラグを使用したときは，</w:t>
      </w:r>
      <m:oMath>
        <m:sSub>
          <m:sSubPr>
            <m:ctrlPr>
              <w:rPr>
                <w:rFonts w:ascii="Cambria Math" w:hAnsi="Cambria Math"/>
                <w:i/>
              </w:rPr>
            </m:ctrlPr>
          </m:sSubPr>
          <m:e>
            <m:r>
              <w:rPr>
                <w:rFonts w:ascii="Cambria Math" w:hAnsi="Cambria Math"/>
              </w:rPr>
              <m:t>I</m:t>
            </m:r>
          </m:e>
          <m:sub>
            <m:r>
              <w:rPr>
                <w:rFonts w:ascii="Cambria Math" w:hAnsi="Cambria Math"/>
              </w:rPr>
              <m:t>5b</m:t>
            </m:r>
          </m:sub>
        </m:sSub>
        <m:r>
          <w:rPr>
            <w:rFonts w:ascii="Cambria Math" w:hAnsi="Cambria Math"/>
          </w:rPr>
          <m:t xml:space="preserve">=0 </m:t>
        </m:r>
      </m:oMath>
      <w:r w:rsidRPr="00BC31E0">
        <w:rPr>
          <w:rFonts w:hint="eastAsia"/>
        </w:rPr>
        <w:t>とする。</w:t>
      </w:r>
      <w:r w:rsidRPr="00BC31E0">
        <w:rPr>
          <w:rFonts w:hint="eastAsia"/>
        </w:rPr>
        <w:t>)</w:t>
      </w:r>
    </w:p>
    <w:p w14:paraId="5A170A88"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I</m:t>
            </m:r>
          </m:e>
          <m:sub>
            <m:r>
              <w:rPr>
                <w:rFonts w:ascii="Cambria Math" w:hAnsi="Cambria Math"/>
              </w:rPr>
              <m:t>6</m:t>
            </m:r>
          </m:sub>
        </m:sSub>
      </m:oMath>
      <w:r w:rsidR="00FF57A8" w:rsidRPr="00BC31E0">
        <w:tab/>
      </w:r>
      <w:r w:rsidR="00FF57A8" w:rsidRPr="00BC31E0">
        <w:rPr>
          <w:rFonts w:hint="eastAsia"/>
        </w:rPr>
        <w:t>：</w:t>
      </w:r>
      <w:r w:rsidR="00FF57A8" w:rsidRPr="00BC31E0">
        <w:rPr>
          <w:rFonts w:hint="eastAsia"/>
        </w:rPr>
        <w:t xml:space="preserve"> </w:t>
      </w:r>
      <w:r w:rsidR="00FF57A8" w:rsidRPr="00BC31E0">
        <w:rPr>
          <w:rFonts w:hint="eastAsia"/>
        </w:rPr>
        <w:t>任意の周－長手方向面におけるクランプの断面二次モーメントの最小値</w:t>
      </w:r>
      <w:r w:rsidR="00FF57A8" w:rsidRPr="00BC31E0">
        <w:rPr>
          <w:rFonts w:hint="eastAsia"/>
        </w:rPr>
        <w:t>(</w:t>
      </w:r>
      <w:r w:rsidR="00FF57A8" w:rsidRPr="00BC31E0">
        <w:rPr>
          <w:rFonts w:ascii="Cambria Math" w:hAnsi="Cambria Math"/>
        </w:rPr>
        <w:t>mm</w:t>
      </w:r>
      <w:r w:rsidR="00FF57A8" w:rsidRPr="00BC31E0">
        <w:rPr>
          <w:rFonts w:ascii="Cambria Math" w:hAnsi="Cambria Math"/>
          <w:vertAlign w:val="superscript"/>
        </w:rPr>
        <w:t>4</w:t>
      </w:r>
      <w:r w:rsidR="00FF57A8" w:rsidRPr="00BC31E0">
        <w:rPr>
          <w:rFonts w:hint="eastAsia"/>
        </w:rPr>
        <w:t>)</w:t>
      </w:r>
    </w:p>
    <w:p w14:paraId="40FBEF74" w14:textId="77777777" w:rsidR="00FF57A8" w:rsidRPr="00BC31E0" w:rsidRDefault="00FF57A8" w:rsidP="001B7872">
      <w:pPr>
        <w:autoSpaceDE w:val="0"/>
        <w:autoSpaceDN w:val="0"/>
        <w:ind w:left="1077"/>
        <w:rPr>
          <w:vertAlign w:val="superscript"/>
        </w:rPr>
      </w:pPr>
      <m:oMath>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6b</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6</m:t>
            </m:r>
          </m:sub>
        </m:sSub>
        <m:r>
          <w:rPr>
            <w:rFonts w:ascii="Cambria Math" w:hAnsi="Cambria Math"/>
          </w:rPr>
          <m:t xml:space="preserve"> </m:t>
        </m:r>
        <m:sSup>
          <m:sSupPr>
            <m:ctrlPr>
              <w:rPr>
                <w:rFonts w:ascii="Cambria Math" w:hAnsi="Cambria Math"/>
                <w:i/>
              </w:rPr>
            </m:ctrlPr>
          </m:sSupPr>
          <m:e>
            <m:sSub>
              <m:sSubPr>
                <m:ctrlPr>
                  <w:rPr>
                    <w:rFonts w:ascii="Cambria Math" w:hAnsi="Cambria Math"/>
                    <w:i/>
                  </w:rPr>
                </m:ctrlPr>
              </m:sSubPr>
              <m:e>
                <m:r>
                  <w:rPr>
                    <w:rFonts w:ascii="Cambria Math" w:hAnsi="Cambria Math"/>
                  </w:rPr>
                  <m:t>X</m:t>
                </m:r>
              </m:e>
              <m:sub>
                <m:r>
                  <w:rPr>
                    <w:rFonts w:ascii="Cambria Math" w:hAnsi="Cambria Math"/>
                  </w:rPr>
                  <m:t>6</m:t>
                </m:r>
              </m:sub>
            </m:sSub>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c</m:t>
            </m:r>
          </m:sub>
        </m:sSub>
        <m:r>
          <w:rPr>
            <w:rFonts w:ascii="Cambria Math" w:hAnsi="Cambria Math"/>
          </w:rPr>
          <m:t xml:space="preserve"> </m:t>
        </m:r>
        <m:sSup>
          <m:sSupPr>
            <m:ctrlPr>
              <w:rPr>
                <w:rFonts w:ascii="Cambria Math" w:hAnsi="Cambria Math"/>
                <w:i/>
              </w:rPr>
            </m:ctrlPr>
          </m:sSupPr>
          <m:e>
            <m:sSub>
              <m:sSubPr>
                <m:ctrlPr>
                  <w:rPr>
                    <w:rFonts w:ascii="Cambria Math" w:hAnsi="Cambria Math"/>
                    <w:i/>
                  </w:rPr>
                </m:ctrlPr>
              </m:sSubPr>
              <m:e>
                <m:r>
                  <w:rPr>
                    <w:rFonts w:ascii="Cambria Math" w:hAnsi="Cambria Math"/>
                  </w:rPr>
                  <m:t>X</m:t>
                </m:r>
              </m:e>
              <m:sub>
                <m:r>
                  <w:rPr>
                    <w:rFonts w:ascii="Cambria Math" w:hAnsi="Cambria Math"/>
                  </w:rPr>
                  <m:t>b</m:t>
                </m:r>
              </m:sub>
            </m:sSub>
          </m:e>
          <m:sup>
            <m:r>
              <w:rPr>
                <w:rFonts w:ascii="Cambria Math" w:hAnsi="Cambria Math"/>
              </w:rPr>
              <m:t>2</m:t>
            </m:r>
          </m:sup>
        </m:sSup>
      </m:oMath>
      <w:r w:rsidRPr="00BC31E0">
        <w:rPr>
          <w:rFonts w:hint="eastAsia"/>
          <w:i/>
        </w:rPr>
        <w:t xml:space="preserve"> </w:t>
      </w:r>
    </w:p>
    <w:p w14:paraId="1C1E0C23"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I</m:t>
            </m:r>
          </m:e>
          <m:sub>
            <m:r>
              <w:rPr>
                <w:rFonts w:ascii="Cambria Math" w:hAnsi="Cambria Math"/>
              </w:rPr>
              <m:t>6b</m:t>
            </m:r>
          </m:sub>
        </m:sSub>
      </m:oMath>
      <w:r w:rsidR="00FF57A8" w:rsidRPr="00BC31E0">
        <w:tab/>
      </w:r>
      <w:r w:rsidR="00FF57A8" w:rsidRPr="00BC31E0">
        <w:rPr>
          <w:rFonts w:hint="eastAsia"/>
        </w:rPr>
        <w:t>：</w:t>
      </w:r>
      <w:r w:rsidR="00FF57A8" w:rsidRPr="00BC31E0">
        <w:rPr>
          <w:rFonts w:hint="eastAsia"/>
        </w:rPr>
        <w:t xml:space="preserve"> </w:t>
      </w:r>
      <w:r w:rsidR="00FF57A8" w:rsidRPr="00BC31E0">
        <w:rPr>
          <w:rFonts w:hint="eastAsia"/>
        </w:rPr>
        <w:t>任意の周－長手方向面におけるクランプの断面二次モーメントの最大値</w:t>
      </w:r>
      <w:r w:rsidR="00FF57A8" w:rsidRPr="00BC31E0">
        <w:rPr>
          <w:rFonts w:hint="eastAsia"/>
        </w:rPr>
        <w:t>(</w:t>
      </w:r>
      <w:r w:rsidR="00FF57A8" w:rsidRPr="00BC31E0">
        <w:rPr>
          <w:rFonts w:ascii="Cambria Math" w:hAnsi="Cambria Math"/>
        </w:rPr>
        <w:t>mm</w:t>
      </w:r>
      <w:r w:rsidR="00FF57A8" w:rsidRPr="00BC31E0">
        <w:rPr>
          <w:rFonts w:ascii="Cambria Math" w:hAnsi="Cambria Math"/>
          <w:vertAlign w:val="superscript"/>
        </w:rPr>
        <w:t>4</w:t>
      </w:r>
      <w:r w:rsidR="00FF57A8" w:rsidRPr="00BC31E0">
        <w:rPr>
          <w:rFonts w:hint="eastAsia"/>
        </w:rPr>
        <w:t>)</w:t>
      </w:r>
    </w:p>
    <w:tbl>
      <w:tblPr>
        <w:tblStyle w:val="afff2"/>
        <w:tblW w:w="0" w:type="auto"/>
        <w:tblInd w:w="1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9"/>
        <w:gridCol w:w="3868"/>
      </w:tblGrid>
      <w:tr w:rsidR="00FF57A8" w:rsidRPr="00BC31E0" w14:paraId="7E04B6CB" w14:textId="77777777" w:rsidTr="004736F2">
        <w:tc>
          <w:tcPr>
            <w:tcW w:w="0" w:type="auto"/>
            <w:tcMar>
              <w:left w:w="0" w:type="dxa"/>
              <w:right w:w="0" w:type="dxa"/>
            </w:tcMar>
            <w:vAlign w:val="center"/>
          </w:tcPr>
          <w:p w14:paraId="47C449C5" w14:textId="77777777" w:rsidR="00FF57A8" w:rsidRPr="00BC31E0" w:rsidRDefault="00FF57A8" w:rsidP="001B7872">
            <w:pPr>
              <w:autoSpaceDE w:val="0"/>
              <w:autoSpaceDN w:val="0"/>
              <w:jc w:val="left"/>
              <w:rPr>
                <w:rFonts w:asciiTheme="minorHAnsi" w:hAnsiTheme="minorHAnsi"/>
                <w:i/>
              </w:rPr>
            </w:pPr>
            <m:oMathPara>
              <m:oMathParaPr>
                <m:jc m:val="left"/>
              </m:oMathParaPr>
              <m:oMath>
                <m:r>
                  <w:rPr>
                    <w:rFonts w:ascii="Cambria Math" w:hAnsi="Cambria Math"/>
                  </w:rPr>
                  <m:t>=</m:t>
                </m:r>
                <m:nary>
                  <m:naryPr>
                    <m:chr m:val="∑"/>
                    <m:limLoc m:val="undOvr"/>
                    <m:subHide m:val="1"/>
                    <m:supHide m:val="1"/>
                    <m:ctrlPr>
                      <w:rPr>
                        <w:rFonts w:ascii="Cambria Math" w:hAnsi="Cambria Math"/>
                        <w:i/>
                      </w:rPr>
                    </m:ctrlPr>
                  </m:naryPr>
                  <m:sub/>
                  <m:sup/>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6i</m:t>
                            </m:r>
                          </m:sub>
                        </m:sSub>
                      </m:e>
                    </m:d>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e>
                      <m:sup>
                        <m:r>
                          <w:rPr>
                            <w:rFonts w:ascii="Cambria Math" w:hAnsi="Cambria Math"/>
                          </w:rPr>
                          <m:t>2</m:t>
                        </m:r>
                      </m:sup>
                    </m:sSup>
                    <m:r>
                      <w:rPr>
                        <w:rFonts w:ascii="Cambria Math" w:hAnsi="Cambria Math"/>
                      </w:rPr>
                      <m:t>+</m:t>
                    </m:r>
                    <m:nary>
                      <m:naryPr>
                        <m:chr m:val="∑"/>
                        <m:limLoc m:val="undOvr"/>
                        <m:subHide m:val="1"/>
                        <m:supHide m:val="1"/>
                        <m:ctrlPr>
                          <w:rPr>
                            <w:rFonts w:ascii="Cambria Math" w:hAnsi="Cambria Math"/>
                            <w:i/>
                          </w:rPr>
                        </m:ctrlPr>
                      </m:naryPr>
                      <m:sub/>
                      <m:sup/>
                      <m:e>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6i</m:t>
                            </m:r>
                          </m:sub>
                        </m:sSub>
                      </m:e>
                    </m:nary>
                  </m:e>
                </m:nary>
              </m:oMath>
            </m:oMathPara>
          </w:p>
        </w:tc>
        <w:tc>
          <w:tcPr>
            <w:tcW w:w="0" w:type="auto"/>
            <w:tcMar>
              <w:left w:w="0" w:type="dxa"/>
              <w:right w:w="0" w:type="dxa"/>
            </w:tcMar>
            <w:vAlign w:val="center"/>
          </w:tcPr>
          <w:p w14:paraId="504EE71A" w14:textId="77777777" w:rsidR="00FF57A8" w:rsidRPr="00BC31E0" w:rsidRDefault="00FF57A8" w:rsidP="001B7872">
            <w:pPr>
              <w:autoSpaceDE w:val="0"/>
              <w:autoSpaceDN w:val="0"/>
              <w:jc w:val="left"/>
              <w:rPr>
                <w:rFonts w:asciiTheme="minorHAnsi" w:hAnsiTheme="minorHAnsi"/>
              </w:rPr>
            </w:pPr>
            <w:r w:rsidRPr="00BC31E0">
              <w:rPr>
                <w:rFonts w:asciiTheme="minorHAnsi" w:hAnsiTheme="minorHAnsi" w:hint="eastAsia"/>
              </w:rPr>
              <w:t>の図心における局部断面二次モーメント</w:t>
            </w:r>
            <w:r w:rsidRPr="00BC31E0">
              <w:rPr>
                <w:rFonts w:ascii="Cambria Math" w:hAnsi="Cambria Math"/>
                <w:position w:val="2"/>
              </w:rPr>
              <w:t>)</w:t>
            </w:r>
          </w:p>
        </w:tc>
      </w:tr>
    </w:tbl>
    <w:p w14:paraId="15E58E99" w14:textId="77777777" w:rsidR="00FF57A8" w:rsidRPr="00BC31E0" w:rsidRDefault="00FF57A8" w:rsidP="001B7872">
      <w:pPr>
        <w:autoSpaceDE w:val="0"/>
        <w:autoSpaceDN w:val="0"/>
        <w:ind w:left="1077"/>
      </w:pPr>
      <w:r w:rsidRPr="00BC31E0">
        <w:rPr>
          <w:rFonts w:hint="eastAsia"/>
        </w:rPr>
        <w:t>(</w:t>
      </w:r>
      <w:r w:rsidRPr="00BC31E0">
        <w:rPr>
          <w:rFonts w:hint="eastAsia"/>
        </w:rPr>
        <w:t>第</w:t>
      </w:r>
      <w:r w:rsidRPr="00BC31E0">
        <w:rPr>
          <w:rFonts w:hint="eastAsia"/>
        </w:rPr>
        <w:t>2</w:t>
      </w:r>
      <w:r w:rsidRPr="00BC31E0">
        <w:rPr>
          <w:rFonts w:hint="eastAsia"/>
        </w:rPr>
        <w:t>項は，通常は無視してもよい。</w:t>
      </w:r>
      <w:r w:rsidRPr="00BC31E0">
        <w:rPr>
          <w:rFonts w:hint="eastAsia"/>
        </w:rPr>
        <w:t>)</w:t>
      </w:r>
    </w:p>
    <w:p w14:paraId="229C3902" w14:textId="77777777" w:rsidR="00FF57A8" w:rsidRPr="00BC31E0" w:rsidRDefault="00FF57A8" w:rsidP="001B7872">
      <w:pPr>
        <w:autoSpaceDE w:val="0"/>
        <w:autoSpaceDN w:val="0"/>
        <w:ind w:left="1077"/>
      </w:pPr>
      <w:r w:rsidRPr="00BC31E0">
        <w:rPr>
          <w:rFonts w:hint="eastAsia"/>
        </w:rPr>
        <w:t>(</w:t>
      </w:r>
      <w:r w:rsidRPr="00BC31E0">
        <w:rPr>
          <w:rFonts w:ascii="ＭＳ ゴシック" w:eastAsia="ＭＳ ゴシック" w:hint="eastAsia"/>
          <w:b/>
        </w:rPr>
        <w:t>図</w:t>
      </w:r>
      <w:r w:rsidRPr="00BC31E0">
        <w:rPr>
          <w:rFonts w:ascii="ＭＳ ゴシック" w:eastAsia="ＭＳ ゴシック"/>
          <w:b/>
        </w:rPr>
        <w:t>H.1</w:t>
      </w:r>
      <w:r w:rsidRPr="00BC31E0">
        <w:rPr>
          <w:rFonts w:ascii="ＭＳ ゴシック" w:eastAsia="ＭＳ ゴシック" w:hint="eastAsia"/>
          <w:b/>
        </w:rPr>
        <w:t>(</w:t>
      </w:r>
      <w:r w:rsidRPr="00BC31E0">
        <w:rPr>
          <w:rFonts w:ascii="ＭＳ ゴシック" w:eastAsia="ＭＳ ゴシック"/>
          <w:b/>
        </w:rPr>
        <w:t>d</w:t>
      </w:r>
      <w:r w:rsidRPr="00BC31E0">
        <w:rPr>
          <w:rFonts w:ascii="ＭＳ ゴシック" w:eastAsia="ＭＳ ゴシック" w:hint="eastAsia"/>
          <w:b/>
        </w:rPr>
        <w:t>)</w:t>
      </w:r>
      <w:r w:rsidRPr="00BC31E0">
        <w:rPr>
          <w:rFonts w:hint="eastAsia"/>
        </w:rPr>
        <w:t>に示されるような外付けボルトラグを使用したときは，</w:t>
      </w:r>
      <m:oMath>
        <m:sSub>
          <m:sSubPr>
            <m:ctrlPr>
              <w:rPr>
                <w:rFonts w:ascii="Cambria Math" w:hAnsi="Cambria Math"/>
                <w:i/>
              </w:rPr>
            </m:ctrlPr>
          </m:sSubPr>
          <m:e>
            <m:r>
              <w:rPr>
                <w:rFonts w:ascii="Cambria Math" w:hAnsi="Cambria Math"/>
              </w:rPr>
              <m:t>I</m:t>
            </m:r>
          </m:e>
          <m:sub>
            <m:r>
              <w:rPr>
                <w:rFonts w:ascii="Cambria Math" w:hAnsi="Cambria Math"/>
              </w:rPr>
              <m:t>6b</m:t>
            </m:r>
          </m:sub>
        </m:sSub>
        <m:r>
          <w:rPr>
            <w:rFonts w:ascii="Cambria Math" w:hAnsi="Cambria Math"/>
          </w:rPr>
          <m:t>=0</m:t>
        </m:r>
      </m:oMath>
      <w:r w:rsidRPr="00BC31E0">
        <w:rPr>
          <w:rFonts w:hint="eastAsia"/>
        </w:rPr>
        <w:t>とする。</w:t>
      </w:r>
      <w:r w:rsidRPr="00BC31E0">
        <w:rPr>
          <w:rFonts w:hint="eastAsia"/>
        </w:rPr>
        <w:t>)</w:t>
      </w:r>
    </w:p>
    <w:p w14:paraId="5E43C8C2"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L</m:t>
            </m:r>
          </m:e>
          <m:sub>
            <m:r>
              <w:rPr>
                <w:rFonts w:ascii="Cambria Math" w:hAnsi="Cambria Math"/>
              </w:rPr>
              <m:t>a</m:t>
            </m:r>
          </m:sub>
        </m:sSub>
      </m:oMath>
      <w:r w:rsidR="00FF57A8" w:rsidRPr="00BC31E0">
        <w:tab/>
      </w:r>
      <w:r w:rsidR="00FF57A8" w:rsidRPr="00BC31E0">
        <w:rPr>
          <w:rFonts w:hint="eastAsia"/>
        </w:rPr>
        <w:t>：</w:t>
      </w:r>
      <w:r w:rsidR="00FF57A8" w:rsidRPr="00BC31E0">
        <w:rPr>
          <w:rFonts w:hint="eastAsia"/>
        </w:rPr>
        <w:t xml:space="preserve"> </w:t>
      </w:r>
      <w:r w:rsidR="00FF57A8" w:rsidRPr="00BC31E0">
        <w:rPr>
          <w:rFonts w:hint="eastAsia"/>
        </w:rPr>
        <w:t>クランプボルト中心径からクランプラグジョイント体までの距離</w:t>
      </w:r>
      <w:r w:rsidR="00FF57A8" w:rsidRPr="00BC31E0">
        <w:rPr>
          <w:rFonts w:hint="eastAsia"/>
        </w:rPr>
        <w:t>(</w:t>
      </w:r>
      <w:r w:rsidR="00FF57A8" w:rsidRPr="00BC31E0">
        <w:rPr>
          <w:rFonts w:ascii="Cambria Math" w:hAnsi="Cambria Math"/>
        </w:rPr>
        <w:t>mm</w:t>
      </w:r>
      <w:r w:rsidR="00FF57A8" w:rsidRPr="00BC31E0">
        <w:rPr>
          <w:rFonts w:hint="eastAsia"/>
        </w:rPr>
        <w:t xml:space="preserve">) </w:t>
      </w:r>
    </w:p>
    <w:p w14:paraId="69799BCE" w14:textId="77777777" w:rsidR="00FF57A8" w:rsidRPr="00BC31E0" w:rsidRDefault="00FF57A8" w:rsidP="001B7872">
      <w:pPr>
        <w:autoSpaceDE w:val="0"/>
        <w:autoSpaceDN w:val="0"/>
        <w:ind w:left="1077"/>
      </w:pPr>
      <w:r w:rsidRPr="00BC31E0">
        <w:rPr>
          <w:rFonts w:hint="eastAsia"/>
        </w:rPr>
        <w:t>(</w:t>
      </w:r>
      <w:r w:rsidRPr="00BC31E0">
        <w:rPr>
          <w:rFonts w:ascii="ＭＳ ゴシック" w:eastAsia="ＭＳ ゴシック" w:hint="eastAsia"/>
          <w:b/>
        </w:rPr>
        <w:t>図</w:t>
      </w:r>
      <w:r w:rsidRPr="00BC31E0">
        <w:rPr>
          <w:rFonts w:ascii="ＭＳ ゴシック" w:eastAsia="ＭＳ ゴシック"/>
          <w:b/>
        </w:rPr>
        <w:t>H.1</w:t>
      </w:r>
      <w:r w:rsidRPr="00BC31E0">
        <w:rPr>
          <w:rFonts w:ascii="ＭＳ ゴシック" w:eastAsia="ＭＳ ゴシック" w:hint="eastAsia"/>
          <w:b/>
        </w:rPr>
        <w:t>(c)</w:t>
      </w:r>
      <w:r w:rsidRPr="00BC31E0">
        <w:rPr>
          <w:rFonts w:ascii="ＭＳ 明朝" w:hAnsi="ＭＳ 明朝" w:hint="eastAsia"/>
        </w:rPr>
        <w:t>を</w:t>
      </w:r>
      <w:r w:rsidRPr="00BC31E0">
        <w:rPr>
          <w:rFonts w:hint="eastAsia"/>
        </w:rPr>
        <w:t>参照</w:t>
      </w:r>
      <w:r w:rsidRPr="00BC31E0">
        <w:rPr>
          <w:rFonts w:hint="eastAsia"/>
        </w:rPr>
        <w:t>)</w:t>
      </w:r>
    </w:p>
    <w:p w14:paraId="795B2C29"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L</m:t>
            </m:r>
          </m:e>
          <m:sub>
            <m:r>
              <w:rPr>
                <w:rFonts w:ascii="Cambria Math" w:hAnsi="Cambria Math"/>
              </w:rPr>
              <m:t>h</m:t>
            </m:r>
          </m:sub>
        </m:sSub>
      </m:oMath>
      <w:r w:rsidR="00FF57A8" w:rsidRPr="00BC31E0">
        <w:tab/>
      </w:r>
      <w:r w:rsidR="00FF57A8" w:rsidRPr="00BC31E0">
        <w:rPr>
          <w:rFonts w:hint="eastAsia"/>
        </w:rPr>
        <w:t>：</w:t>
      </w:r>
      <w:r w:rsidR="00FF57A8" w:rsidRPr="00BC31E0">
        <w:rPr>
          <w:rFonts w:hint="eastAsia"/>
        </w:rPr>
        <w:t xml:space="preserve"> </w:t>
      </w:r>
      <w:r w:rsidR="00FF57A8" w:rsidRPr="00BC31E0">
        <w:rPr>
          <w:rFonts w:hint="eastAsia"/>
        </w:rPr>
        <w:t>クランプラグ高さ</w:t>
      </w:r>
      <w:r w:rsidR="00FF57A8" w:rsidRPr="00BC31E0">
        <w:rPr>
          <w:rFonts w:hint="eastAsia"/>
        </w:rPr>
        <w:t>(</w:t>
      </w:r>
      <w:r w:rsidR="00FF57A8" w:rsidRPr="00BC31E0">
        <w:rPr>
          <w:rFonts w:ascii="Cambria Math" w:hAnsi="Cambria Math"/>
        </w:rPr>
        <w:t>mm</w:t>
      </w:r>
      <w:r w:rsidR="00FF57A8" w:rsidRPr="00BC31E0">
        <w:rPr>
          <w:rFonts w:hint="eastAsia"/>
        </w:rPr>
        <w:t>) (</w:t>
      </w:r>
      <w:r w:rsidR="00FF57A8" w:rsidRPr="00BC31E0">
        <w:rPr>
          <w:rFonts w:ascii="ＭＳ ゴシック" w:eastAsia="ＭＳ ゴシック" w:hint="eastAsia"/>
          <w:b/>
        </w:rPr>
        <w:t>図</w:t>
      </w:r>
      <w:r w:rsidR="00FF57A8" w:rsidRPr="00BC31E0">
        <w:rPr>
          <w:rFonts w:ascii="ＭＳ ゴシック" w:eastAsia="ＭＳ ゴシック"/>
          <w:b/>
        </w:rPr>
        <w:t>H.1</w:t>
      </w:r>
      <w:r w:rsidR="00FF57A8" w:rsidRPr="00BC31E0">
        <w:rPr>
          <w:rFonts w:ascii="ＭＳ ゴシック" w:eastAsia="ＭＳ ゴシック" w:hint="eastAsia"/>
          <w:b/>
        </w:rPr>
        <w:t>(c)</w:t>
      </w:r>
      <w:r w:rsidR="00FF57A8" w:rsidRPr="00BC31E0">
        <w:rPr>
          <w:rFonts w:ascii="ＭＳ 明朝" w:hAnsi="ＭＳ 明朝" w:hint="eastAsia"/>
        </w:rPr>
        <w:t>を</w:t>
      </w:r>
      <w:r w:rsidR="00FF57A8" w:rsidRPr="00BC31E0">
        <w:rPr>
          <w:rFonts w:hint="eastAsia"/>
        </w:rPr>
        <w:t>参照</w:t>
      </w:r>
      <w:r w:rsidR="00FF57A8" w:rsidRPr="00BC31E0">
        <w:rPr>
          <w:rFonts w:hint="eastAsia"/>
        </w:rPr>
        <w:t>)</w:t>
      </w:r>
    </w:p>
    <w:p w14:paraId="39BA2A8A"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L</m:t>
            </m:r>
          </m:e>
          <m:sub>
            <m:r>
              <w:rPr>
                <w:rFonts w:ascii="Cambria Math" w:hAnsi="Cambria Math"/>
              </w:rPr>
              <m:t>w</m:t>
            </m:r>
          </m:sub>
        </m:sSub>
      </m:oMath>
      <w:r w:rsidR="00FF57A8" w:rsidRPr="00BC31E0">
        <w:tab/>
      </w:r>
      <w:r w:rsidR="00FF57A8" w:rsidRPr="00BC31E0">
        <w:rPr>
          <w:rFonts w:hint="eastAsia"/>
        </w:rPr>
        <w:t>：</w:t>
      </w:r>
      <w:r w:rsidR="00FF57A8" w:rsidRPr="00BC31E0">
        <w:rPr>
          <w:rFonts w:hint="eastAsia"/>
        </w:rPr>
        <w:t xml:space="preserve"> </w:t>
      </w:r>
      <w:r w:rsidR="00FF57A8" w:rsidRPr="00BC31E0">
        <w:rPr>
          <w:rFonts w:hint="eastAsia"/>
        </w:rPr>
        <w:t>クランプラグ幅</w:t>
      </w:r>
      <w:r w:rsidR="00FF57A8" w:rsidRPr="00BC31E0">
        <w:rPr>
          <w:rFonts w:hint="eastAsia"/>
        </w:rPr>
        <w:t>(</w:t>
      </w:r>
      <w:r w:rsidR="00FF57A8" w:rsidRPr="00BC31E0">
        <w:rPr>
          <w:rFonts w:ascii="Cambria Math" w:hAnsi="Cambria Math"/>
        </w:rPr>
        <w:t>mm</w:t>
      </w:r>
      <w:r w:rsidR="00FF57A8" w:rsidRPr="00BC31E0">
        <w:rPr>
          <w:rFonts w:hint="eastAsia"/>
        </w:rPr>
        <w:t>) (</w:t>
      </w:r>
      <w:r w:rsidR="00FF57A8" w:rsidRPr="00BC31E0">
        <w:rPr>
          <w:rFonts w:ascii="ＭＳ ゴシック" w:eastAsia="ＭＳ ゴシック" w:hint="eastAsia"/>
          <w:b/>
        </w:rPr>
        <w:t>図</w:t>
      </w:r>
      <w:r w:rsidR="00FF57A8" w:rsidRPr="00BC31E0">
        <w:rPr>
          <w:rFonts w:ascii="ＭＳ ゴシック" w:eastAsia="ＭＳ ゴシック"/>
          <w:b/>
        </w:rPr>
        <w:t>H.1</w:t>
      </w:r>
      <w:r w:rsidR="00FF57A8" w:rsidRPr="00BC31E0">
        <w:rPr>
          <w:rFonts w:ascii="ＭＳ ゴシック" w:eastAsia="ＭＳ ゴシック" w:hint="eastAsia"/>
          <w:b/>
        </w:rPr>
        <w:t>(</w:t>
      </w:r>
      <w:r w:rsidR="00FF57A8" w:rsidRPr="00BC31E0">
        <w:rPr>
          <w:rFonts w:ascii="ＭＳ ゴシック" w:eastAsia="ＭＳ ゴシック"/>
          <w:b/>
        </w:rPr>
        <w:t>d</w:t>
      </w:r>
      <w:r w:rsidR="00FF57A8" w:rsidRPr="00BC31E0">
        <w:rPr>
          <w:rFonts w:ascii="ＭＳ ゴシック" w:eastAsia="ＭＳ ゴシック" w:hint="eastAsia"/>
          <w:b/>
        </w:rPr>
        <w:t>)</w:t>
      </w:r>
      <w:r w:rsidR="00FF57A8" w:rsidRPr="00BC31E0">
        <w:rPr>
          <w:rFonts w:ascii="ＭＳ 明朝" w:hAnsi="ＭＳ 明朝" w:hint="eastAsia"/>
        </w:rPr>
        <w:t>を</w:t>
      </w:r>
      <w:r w:rsidR="00FF57A8" w:rsidRPr="00BC31E0">
        <w:rPr>
          <w:rFonts w:hint="eastAsia"/>
        </w:rPr>
        <w:t>参照</w:t>
      </w:r>
      <w:r w:rsidR="00FF57A8" w:rsidRPr="00BC31E0">
        <w:rPr>
          <w:rFonts w:hint="eastAsia"/>
        </w:rPr>
        <w:t>)</w:t>
      </w:r>
    </w:p>
    <w:p w14:paraId="35FEBD89"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M</m:t>
            </m:r>
          </m:e>
          <m:sub>
            <m:r>
              <w:rPr>
                <w:rFonts w:ascii="Cambria Math" w:hAnsi="Cambria Math"/>
              </w:rPr>
              <m:t>D</m:t>
            </m:r>
          </m:sub>
        </m:sSub>
      </m:oMath>
      <w:r w:rsidR="00FF57A8" w:rsidRPr="00BC31E0">
        <w:rPr>
          <w:vertAlign w:val="subscript"/>
        </w:rPr>
        <w:tab/>
      </w:r>
      <w:r w:rsidR="00FF57A8" w:rsidRPr="00BC31E0">
        <w:rPr>
          <w:rFonts w:hint="eastAsia"/>
        </w:rPr>
        <w:t>：</w:t>
      </w:r>
      <w:r w:rsidR="00FF57A8" w:rsidRPr="00BC31E0">
        <w:rPr>
          <w:rFonts w:hint="eastAsia"/>
        </w:rPr>
        <w:t xml:space="preserve"> </w:t>
      </w:r>
      <m:oMath>
        <m:sSub>
          <m:sSubPr>
            <m:ctrlPr>
              <w:rPr>
                <w:rFonts w:ascii="Cambria Math" w:hAnsi="Cambria Math"/>
                <w:i/>
              </w:rPr>
            </m:ctrlPr>
          </m:sSubPr>
          <m:e>
            <m:r>
              <w:rPr>
                <w:rFonts w:ascii="Cambria Math" w:hAnsi="Cambria Math"/>
              </w:rPr>
              <m:t>H</m:t>
            </m:r>
          </m:e>
          <m:sub>
            <m:r>
              <w:rPr>
                <w:rFonts w:ascii="Cambria Math" w:hAnsi="Cambria Math"/>
              </w:rPr>
              <m:t>D</m:t>
            </m:r>
          </m:sub>
        </m:sSub>
        <m:r>
          <w:rPr>
            <w:rFonts w:ascii="Cambria Math" w:hAnsi="Cambria Math"/>
          </w:rPr>
          <m:t xml:space="preserve"> </m:t>
        </m:r>
      </m:oMath>
      <w:r w:rsidR="00FF57A8" w:rsidRPr="00BC31E0">
        <w:rPr>
          <w:rFonts w:hint="eastAsia"/>
        </w:rPr>
        <w:t>によるモーメント</w:t>
      </w:r>
      <w:r w:rsidR="00FF57A8" w:rsidRPr="00BC31E0">
        <w:rPr>
          <w:rFonts w:hint="eastAsia"/>
        </w:rPr>
        <w:t>(</w:t>
      </w:r>
      <w:r w:rsidR="00FF57A8" w:rsidRPr="00BC31E0">
        <w:rPr>
          <w:rFonts w:ascii="Cambria Math" w:hAnsi="Cambria Math"/>
        </w:rPr>
        <w:t>Nmm</w:t>
      </w:r>
      <w:r w:rsidR="00FF57A8" w:rsidRPr="00BC31E0">
        <w:rPr>
          <w:rFonts w:hint="eastAsia"/>
        </w:rPr>
        <w:t>)</w:t>
      </w:r>
    </w:p>
    <w:p w14:paraId="08B9FC9A" w14:textId="77777777" w:rsidR="00FF57A8" w:rsidRPr="00BC31E0" w:rsidRDefault="00FF57A8" w:rsidP="001B7872">
      <w:pPr>
        <w:autoSpaceDE w:val="0"/>
        <w:autoSpaceDN w:val="0"/>
        <w:ind w:left="1077"/>
      </w:pPr>
      <m:oMath>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D</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D</m:t>
            </m:r>
          </m:sub>
        </m:sSub>
      </m:oMath>
      <w:r w:rsidRPr="00BC31E0">
        <w:rPr>
          <w:i/>
        </w:rPr>
        <w:t xml:space="preserve"> </w:t>
      </w:r>
    </w:p>
    <w:p w14:paraId="621C4C87"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M</m:t>
            </m:r>
          </m:e>
          <m:sub>
            <m:r>
              <w:rPr>
                <w:rFonts w:ascii="Cambria Math" w:hAnsi="Cambria Math"/>
              </w:rPr>
              <m:t>F</m:t>
            </m:r>
          </m:sub>
        </m:sSub>
      </m:oMath>
      <w:r w:rsidR="00FF57A8" w:rsidRPr="00BC31E0">
        <w:tab/>
      </w:r>
      <w:r w:rsidR="00FF57A8" w:rsidRPr="00BC31E0">
        <w:rPr>
          <w:rFonts w:hint="eastAsia"/>
        </w:rPr>
        <w:t>：</w:t>
      </w:r>
      <w:r w:rsidR="00FF57A8" w:rsidRPr="00BC31E0">
        <w:rPr>
          <w:rFonts w:hint="eastAsia"/>
        </w:rPr>
        <w:t xml:space="preserve"> </w:t>
      </w:r>
      <w:r w:rsidR="00FF57A8" w:rsidRPr="00BC31E0">
        <w:rPr>
          <w:rFonts w:hint="eastAsia"/>
        </w:rPr>
        <w:t>オフセットモーメント</w:t>
      </w:r>
      <w:r w:rsidR="00FF57A8" w:rsidRPr="00BC31E0">
        <w:rPr>
          <w:rFonts w:hint="eastAsia"/>
        </w:rPr>
        <w:t>(</w:t>
      </w:r>
      <w:r w:rsidR="00FF57A8" w:rsidRPr="00BC31E0">
        <w:rPr>
          <w:rFonts w:ascii="Cambria Math" w:hAnsi="Cambria Math"/>
        </w:rPr>
        <w:t>Nmm</w:t>
      </w:r>
      <w:r w:rsidR="00FF57A8" w:rsidRPr="00BC31E0">
        <w:rPr>
          <w:rFonts w:hint="eastAsia"/>
        </w:rPr>
        <w:t>)</w:t>
      </w:r>
    </w:p>
    <w:p w14:paraId="72B0B3CD" w14:textId="77777777" w:rsidR="00FF57A8" w:rsidRPr="00BC31E0" w:rsidRDefault="00FF57A8" w:rsidP="001B7872">
      <w:pPr>
        <w:autoSpaceDE w:val="0"/>
        <w:autoSpaceDN w:val="0"/>
        <w:ind w:left="1077"/>
      </w:pPr>
      <m:oMath>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 xml:space="preserve">D </m:t>
                </m:r>
              </m:sub>
            </m:sSub>
            <m:d>
              <m:dPr>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0</m:t>
                    </m:r>
                  </m:sub>
                </m:sSub>
              </m:e>
            </m:d>
          </m:num>
          <m:den>
            <m:r>
              <w:rPr>
                <w:rFonts w:ascii="Cambria Math" w:hAnsi="Cambria Math"/>
              </w:rPr>
              <m:t>2</m:t>
            </m:r>
          </m:den>
        </m:f>
      </m:oMath>
      <w:r w:rsidRPr="00BC31E0">
        <w:rPr>
          <w:i/>
        </w:rPr>
        <w:t xml:space="preserve"> </w:t>
      </w:r>
    </w:p>
    <w:p w14:paraId="7FEEBABA"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M</m:t>
            </m:r>
          </m:e>
          <m:sub>
            <m:r>
              <w:rPr>
                <w:rFonts w:ascii="Cambria Math" w:hAnsi="Cambria Math"/>
              </w:rPr>
              <m:t>G</m:t>
            </m:r>
          </m:sub>
        </m:sSub>
      </m:oMath>
      <w:r w:rsidR="00FF57A8" w:rsidRPr="00BC31E0">
        <w:tab/>
      </w:r>
      <w:r w:rsidR="00FF57A8" w:rsidRPr="00BC31E0">
        <w:rPr>
          <w:rFonts w:hint="eastAsia"/>
        </w:rPr>
        <w:t>：</w:t>
      </w:r>
      <w:r w:rsidR="00FF57A8" w:rsidRPr="00BC31E0">
        <w:rPr>
          <w:rFonts w:hint="eastAsia"/>
        </w:rPr>
        <w:t xml:space="preserve"> </w:t>
      </w:r>
      <m:oMath>
        <m:sSub>
          <m:sSubPr>
            <m:ctrlPr>
              <w:rPr>
                <w:rFonts w:ascii="Cambria Math" w:hAnsi="Cambria Math"/>
                <w:i/>
              </w:rPr>
            </m:ctrlPr>
          </m:sSubPr>
          <m:e>
            <m:r>
              <w:rPr>
                <w:rFonts w:ascii="Cambria Math" w:hAnsi="Cambria Math"/>
              </w:rPr>
              <m:t>H</m:t>
            </m:r>
          </m:e>
          <m:sub>
            <m:r>
              <w:rPr>
                <w:rFonts w:ascii="Cambria Math" w:hAnsi="Cambria Math"/>
              </w:rPr>
              <m:t>G</m:t>
            </m:r>
          </m:sub>
        </m:sSub>
      </m:oMath>
      <w:r w:rsidR="00FF57A8" w:rsidRPr="00BC31E0">
        <w:rPr>
          <w:rFonts w:hint="eastAsia"/>
        </w:rPr>
        <w:t>によるモーメント</w:t>
      </w:r>
      <w:r w:rsidR="00FF57A8" w:rsidRPr="00BC31E0">
        <w:rPr>
          <w:rFonts w:hint="eastAsia"/>
        </w:rPr>
        <w:t>(</w:t>
      </w:r>
      <w:r w:rsidR="00FF57A8" w:rsidRPr="00BC31E0">
        <w:rPr>
          <w:rFonts w:ascii="Cambria Math" w:hAnsi="Cambria Math"/>
        </w:rPr>
        <w:t>Nmm</w:t>
      </w:r>
      <w:r w:rsidR="00FF57A8" w:rsidRPr="00BC31E0">
        <w:rPr>
          <w:rFonts w:hint="eastAsia"/>
        </w:rPr>
        <w:t>)</w:t>
      </w:r>
    </w:p>
    <w:p w14:paraId="047E6A22" w14:textId="77777777" w:rsidR="00FF57A8" w:rsidRPr="00BC31E0" w:rsidRDefault="00FF57A8" w:rsidP="001B7872">
      <w:pPr>
        <w:autoSpaceDE w:val="0"/>
        <w:autoSpaceDN w:val="0"/>
        <w:ind w:left="1077"/>
      </w:pPr>
      <m:oMath>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G</m:t>
            </m:r>
          </m:sub>
        </m:sSub>
        <m:r>
          <w:rPr>
            <w:rFonts w:ascii="Cambria Math" w:hAnsi="Cambria Math"/>
          </w:rPr>
          <m:t xml:space="preserve"> </m:t>
        </m:r>
        <m:sSub>
          <m:sSubPr>
            <m:ctrlPr>
              <w:rPr>
                <w:rFonts w:ascii="Cambria Math" w:hAnsi="Cambria Math"/>
              </w:rPr>
            </m:ctrlPr>
          </m:sSubPr>
          <m:e>
            <m:r>
              <w:rPr>
                <w:rFonts w:ascii="Cambria Math" w:hAnsi="Cambria Math"/>
              </w:rPr>
              <m:t>h</m:t>
            </m:r>
          </m:e>
          <m:sub>
            <m:r>
              <w:rPr>
                <w:rFonts w:ascii="Cambria Math" w:hAnsi="Cambria Math"/>
              </w:rPr>
              <m:t>G</m:t>
            </m:r>
          </m:sub>
        </m:sSub>
      </m:oMath>
      <w:r w:rsidRPr="00BC31E0">
        <w:t xml:space="preserve"> </w:t>
      </w:r>
    </w:p>
    <w:p w14:paraId="00BA57DF"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M</m:t>
            </m:r>
          </m:e>
          <m:sub>
            <m:r>
              <w:rPr>
                <w:rFonts w:ascii="Cambria Math" w:hAnsi="Cambria Math"/>
              </w:rPr>
              <m:t>H</m:t>
            </m:r>
          </m:sub>
        </m:sSub>
      </m:oMath>
      <w:r w:rsidR="00FF57A8" w:rsidRPr="00BC31E0">
        <w:rPr>
          <w:rFonts w:hint="eastAsia"/>
          <w:i/>
        </w:rPr>
        <w:tab/>
      </w:r>
      <w:r w:rsidR="00FF57A8" w:rsidRPr="00BC31E0">
        <w:rPr>
          <w:rFonts w:hint="eastAsia"/>
        </w:rPr>
        <w:t>：</w:t>
      </w:r>
      <w:r w:rsidR="00FF57A8" w:rsidRPr="00BC31E0">
        <w:rPr>
          <w:rFonts w:hint="eastAsia"/>
        </w:rPr>
        <w:t xml:space="preserve"> </w:t>
      </w:r>
      <w:r w:rsidR="00FF57A8" w:rsidRPr="00BC31E0">
        <w:rPr>
          <w:rFonts w:hint="eastAsia"/>
        </w:rPr>
        <w:t>ハブネックに作用するモーメント</w:t>
      </w:r>
      <w:r w:rsidR="00FF57A8" w:rsidRPr="00BC31E0">
        <w:rPr>
          <w:rFonts w:hint="eastAsia"/>
        </w:rPr>
        <w:t>(</w:t>
      </w:r>
      <w:r w:rsidR="00FF57A8" w:rsidRPr="00BC31E0">
        <w:rPr>
          <w:rFonts w:ascii="Cambria Math" w:hAnsi="Cambria Math"/>
        </w:rPr>
        <w:t>Nmm</w:t>
      </w:r>
      <w:r w:rsidR="00FF57A8" w:rsidRPr="00BC31E0">
        <w:rPr>
          <w:rFonts w:hint="eastAsia"/>
        </w:rPr>
        <w:t>)</w:t>
      </w:r>
    </w:p>
    <w:tbl>
      <w:tblPr>
        <w:tblStyle w:val="afff2"/>
        <w:tblW w:w="0" w:type="auto"/>
        <w:tblInd w:w="1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7"/>
      </w:tblGrid>
      <w:tr w:rsidR="00FF57A8" w:rsidRPr="00BC31E0" w14:paraId="619899AD" w14:textId="77777777" w:rsidTr="004736F2">
        <w:tc>
          <w:tcPr>
            <w:tcW w:w="0" w:type="auto"/>
            <w:tcMar>
              <w:left w:w="0" w:type="dxa"/>
              <w:right w:w="0" w:type="dxa"/>
            </w:tcMar>
            <w:vAlign w:val="center"/>
          </w:tcPr>
          <w:p w14:paraId="07C9BE5D" w14:textId="77777777" w:rsidR="00FF57A8" w:rsidRPr="00BC31E0" w:rsidRDefault="00FF57A8" w:rsidP="001B7872">
            <w:pPr>
              <w:autoSpaceDE w:val="0"/>
              <w:autoSpaceDN w:val="0"/>
              <w:jc w:val="left"/>
              <w:rPr>
                <w:rFonts w:asciiTheme="minorHAnsi" w:hAnsiTheme="minorHAnsi"/>
                <w:i/>
              </w:rPr>
            </w:pPr>
            <m:oMathPara>
              <m:oMathParaPr>
                <m:jc m:val="left"/>
              </m:oMathParaPr>
              <m:oMath>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O</m:t>
                        </m:r>
                      </m:sub>
                    </m:sSub>
                  </m:num>
                  <m:den>
                    <m:r>
                      <w:rPr>
                        <w:rFonts w:ascii="Cambria Math" w:hAnsi="Cambria Math"/>
                      </w:rPr>
                      <m:t>1+</m:t>
                    </m:r>
                    <m:f>
                      <m:fPr>
                        <m:ctrlPr>
                          <w:rPr>
                            <w:rFonts w:ascii="Cambria Math" w:hAnsi="Cambria Math"/>
                            <w:i/>
                          </w:rPr>
                        </m:ctrlPr>
                      </m:fPr>
                      <m:num>
                        <m:r>
                          <w:rPr>
                            <w:rFonts w:ascii="Cambria Math" w:hAnsi="Cambria Math"/>
                          </w:rPr>
                          <m:t>1.818</m:t>
                        </m:r>
                      </m:num>
                      <m:den>
                        <m:rad>
                          <m:radPr>
                            <m:degHide m:val="1"/>
                            <m:ctrlPr>
                              <w:rPr>
                                <w:rFonts w:ascii="Cambria Math" w:hAnsi="Cambria Math"/>
                                <w:i/>
                              </w:rPr>
                            </m:ctrlPr>
                          </m:radPr>
                          <m:deg/>
                          <m:e>
                            <m:r>
                              <w:rPr>
                                <w:rFonts w:ascii="Cambria Math" w:hAnsi="Cambria Math"/>
                              </w:rPr>
                              <m:t xml:space="preserve">B </m:t>
                            </m:r>
                            <m:sSub>
                              <m:sSubPr>
                                <m:ctrlPr>
                                  <w:rPr>
                                    <w:rFonts w:ascii="Cambria Math" w:hAnsi="Cambria Math"/>
                                    <w:i/>
                                  </w:rPr>
                                </m:ctrlPr>
                              </m:sSubPr>
                              <m:e>
                                <m:r>
                                  <w:rPr>
                                    <w:rFonts w:ascii="Cambria Math" w:hAnsi="Cambria Math"/>
                                  </w:rPr>
                                  <m:t>g</m:t>
                                </m:r>
                              </m:e>
                              <m:sub>
                                <m:r>
                                  <w:rPr>
                                    <w:rFonts w:ascii="Cambria Math" w:hAnsi="Cambria Math"/>
                                  </w:rPr>
                                  <m:t>1</m:t>
                                </m:r>
                              </m:sub>
                            </m:sSub>
                          </m:e>
                        </m:rad>
                      </m:den>
                    </m:f>
                    <m:d>
                      <m:dPr>
                        <m:begChr m:val="{"/>
                        <m:endChr m:val="}"/>
                        <m:ctrlPr>
                          <w:rPr>
                            <w:rFonts w:ascii="Cambria Math" w:hAnsi="Cambria Math"/>
                            <w:i/>
                          </w:rPr>
                        </m:ctrlPr>
                      </m:dPr>
                      <m:e>
                        <m:r>
                          <w:rPr>
                            <w:rFonts w:ascii="Cambria Math" w:hAnsi="Cambria Math"/>
                          </w:rPr>
                          <m:t xml:space="preserve"> T-</m:t>
                        </m:r>
                        <m:bar>
                          <m:barPr>
                            <m:pos m:val="top"/>
                            <m:ctrlPr>
                              <w:rPr>
                                <w:rFonts w:ascii="Cambria Math" w:hAnsi="Cambria Math"/>
                                <w:i/>
                              </w:rPr>
                            </m:ctrlPr>
                          </m:barPr>
                          <m:e>
                            <m:r>
                              <w:rPr>
                                <w:rFonts w:ascii="Cambria Math" w:hAnsi="Cambria Math"/>
                              </w:rPr>
                              <m:t>h</m:t>
                            </m:r>
                          </m:e>
                        </m:bar>
                        <m:r>
                          <w:rPr>
                            <w:rFonts w:ascii="Cambria Math" w:hAnsi="Cambria Math"/>
                          </w:rPr>
                          <m:t>+</m:t>
                        </m:r>
                        <m:f>
                          <m:fPr>
                            <m:ctrlPr>
                              <w:rPr>
                                <w:rFonts w:ascii="Cambria Math" w:hAnsi="Cambria Math"/>
                                <w:i/>
                              </w:rPr>
                            </m:ctrlPr>
                          </m:fPr>
                          <m:num>
                            <m:r>
                              <w:rPr>
                                <w:rFonts w:ascii="Cambria Math" w:hAnsi="Cambria Math"/>
                              </w:rPr>
                              <m:t xml:space="preserve">3.305 </m:t>
                            </m:r>
                            <m:sSub>
                              <m:sSubPr>
                                <m:ctrlPr>
                                  <w:rPr>
                                    <w:rFonts w:ascii="Cambria Math" w:hAnsi="Cambria Math"/>
                                    <w:i/>
                                  </w:rPr>
                                </m:ctrlPr>
                              </m:sSubPr>
                              <m:e>
                                <m:r>
                                  <w:rPr>
                                    <w:rFonts w:ascii="Cambria Math" w:hAnsi="Cambria Math"/>
                                  </w:rPr>
                                  <m:t>I</m:t>
                                </m:r>
                              </m:e>
                              <m:sub>
                                <m:r>
                                  <w:rPr>
                                    <w:rFonts w:ascii="Cambria Math" w:hAnsi="Cambria Math"/>
                                  </w:rPr>
                                  <m:t>h</m:t>
                                </m:r>
                              </m:sub>
                            </m:sSub>
                          </m:num>
                          <m:den>
                            <m:sSup>
                              <m:sSupPr>
                                <m:ctrlPr>
                                  <w:rPr>
                                    <w:rFonts w:ascii="Cambria Math" w:hAnsi="Cambria Math"/>
                                    <w:i/>
                                  </w:rPr>
                                </m:ctrlPr>
                              </m:sSupPr>
                              <m:e>
                                <m:sSub>
                                  <m:sSubPr>
                                    <m:ctrlPr>
                                      <w:rPr>
                                        <w:rFonts w:ascii="Cambria Math" w:hAnsi="Cambria Math"/>
                                        <w:i/>
                                      </w:rPr>
                                    </m:ctrlPr>
                                  </m:sSubPr>
                                  <m:e>
                                    <m:r>
                                      <w:rPr>
                                        <w:rFonts w:ascii="Cambria Math" w:hAnsi="Cambria Math"/>
                                      </w:rPr>
                                      <m:t>g</m:t>
                                    </m:r>
                                  </m:e>
                                  <m:sub>
                                    <m:r>
                                      <w:rPr>
                                        <w:rFonts w:ascii="Cambria Math" w:hAnsi="Cambria Math"/>
                                      </w:rPr>
                                      <m:t>1</m:t>
                                    </m:r>
                                  </m:sub>
                                </m:sSub>
                              </m:e>
                              <m:sup>
                                <m:r>
                                  <w:rPr>
                                    <w:rFonts w:ascii="Cambria Math" w:hAnsi="Cambria Math"/>
                                  </w:rPr>
                                  <m:t>2</m:t>
                                </m:r>
                              </m:sup>
                            </m:sSup>
                            <m:r>
                              <w:rPr>
                                <w:rFonts w:ascii="Cambria Math" w:hAnsi="Cambria Math"/>
                              </w:rPr>
                              <m:t xml:space="preserve"> </m:t>
                            </m:r>
                            <m:d>
                              <m:dPr>
                                <m:ctrlPr>
                                  <w:rPr>
                                    <w:rFonts w:ascii="Cambria Math" w:hAnsi="Cambria Math"/>
                                    <w:i/>
                                  </w:rPr>
                                </m:ctrlPr>
                              </m:dPr>
                              <m:e>
                                <m:f>
                                  <m:fPr>
                                    <m:type m:val="lin"/>
                                    <m:ctrlPr>
                                      <w:rPr>
                                        <w:rFonts w:ascii="Cambria Math" w:hAnsi="Cambria Math"/>
                                        <w:i/>
                                      </w:rPr>
                                    </m:ctrlPr>
                                  </m:fPr>
                                  <m:num>
                                    <m:r>
                                      <w:rPr>
                                        <w:rFonts w:ascii="Cambria Math" w:hAnsi="Cambria Math"/>
                                      </w:rPr>
                                      <m:t>B</m:t>
                                    </m:r>
                                  </m:num>
                                  <m:den>
                                    <m:r>
                                      <w:rPr>
                                        <w:rFonts w:ascii="Cambria Math" w:hAnsi="Cambria Math"/>
                                      </w:rPr>
                                      <m:t>2</m:t>
                                    </m:r>
                                  </m:den>
                                </m:f>
                                <m:r>
                                  <w:rPr>
                                    <w:rFonts w:ascii="Cambria Math" w:hAnsi="Cambria Math"/>
                                  </w:rPr>
                                  <m:t>+</m:t>
                                </m:r>
                                <m:bar>
                                  <m:barPr>
                                    <m:pos m:val="top"/>
                                    <m:ctrlPr>
                                      <w:rPr>
                                        <w:rFonts w:ascii="Cambria Math" w:hAnsi="Cambria Math"/>
                                        <w:i/>
                                      </w:rPr>
                                    </m:ctrlPr>
                                  </m:barPr>
                                  <m:e>
                                    <m:r>
                                      <w:rPr>
                                        <w:rFonts w:ascii="Cambria Math" w:hAnsi="Cambria Math"/>
                                      </w:rPr>
                                      <m:t>g</m:t>
                                    </m:r>
                                  </m:e>
                                </m:bar>
                              </m:e>
                            </m:d>
                          </m:den>
                        </m:f>
                        <m:r>
                          <w:rPr>
                            <w:rFonts w:ascii="Cambria Math" w:hAnsi="Cambria Math"/>
                          </w:rPr>
                          <m:t xml:space="preserve"> </m:t>
                        </m:r>
                      </m:e>
                    </m:d>
                  </m:den>
                </m:f>
              </m:oMath>
            </m:oMathPara>
          </w:p>
        </w:tc>
      </w:tr>
    </w:tbl>
    <w:p w14:paraId="364C676A"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M</m:t>
            </m:r>
          </m:e>
          <m:sub>
            <m:r>
              <w:rPr>
                <w:rFonts w:ascii="Cambria Math" w:hAnsi="Cambria Math"/>
              </w:rPr>
              <m:t>O</m:t>
            </m:r>
          </m:sub>
        </m:sSub>
      </m:oMath>
      <w:r w:rsidR="00FF57A8" w:rsidRPr="00BC31E0">
        <w:tab/>
      </w:r>
      <w:r w:rsidR="00FF57A8" w:rsidRPr="00BC31E0">
        <w:rPr>
          <w:rFonts w:hint="eastAsia"/>
        </w:rPr>
        <w:t>：</w:t>
      </w:r>
      <w:r w:rsidR="00FF57A8" w:rsidRPr="00BC31E0">
        <w:rPr>
          <w:rFonts w:hint="eastAsia"/>
        </w:rPr>
        <w:t xml:space="preserve"> </w:t>
      </w:r>
      <w:r w:rsidR="00FF57A8" w:rsidRPr="00BC31E0">
        <w:rPr>
          <w:rFonts w:hint="eastAsia"/>
        </w:rPr>
        <w:t>ハブに対する合計回転モーメント</w:t>
      </w:r>
      <w:r w:rsidR="00FF57A8" w:rsidRPr="00BC31E0">
        <w:rPr>
          <w:rFonts w:hint="eastAsia"/>
        </w:rPr>
        <w:t>(</w:t>
      </w:r>
      <w:r w:rsidR="00FF57A8" w:rsidRPr="00BC31E0">
        <w:rPr>
          <w:rFonts w:ascii="Cambria Math" w:hAnsi="Cambria Math"/>
        </w:rPr>
        <w:t>Nmm</w:t>
      </w:r>
      <w:r w:rsidR="00FF57A8" w:rsidRPr="00BC31E0">
        <w:rPr>
          <w:rFonts w:hint="eastAsia"/>
        </w:rPr>
        <w:t>)</w:t>
      </w:r>
    </w:p>
    <w:p w14:paraId="2C281C55"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M</m:t>
            </m:r>
          </m:e>
          <m:sub>
            <m:r>
              <w:rPr>
                <w:rFonts w:ascii="Cambria Math" w:hAnsi="Cambria Math"/>
              </w:rPr>
              <m:t>P</m:t>
            </m:r>
          </m:sub>
        </m:sSub>
      </m:oMath>
      <w:r w:rsidR="00FF57A8" w:rsidRPr="00BC31E0">
        <w:tab/>
      </w:r>
      <w:r w:rsidR="00FF57A8" w:rsidRPr="00BC31E0">
        <w:rPr>
          <w:rFonts w:hint="eastAsia"/>
        </w:rPr>
        <w:t>：</w:t>
      </w:r>
      <w:r w:rsidR="00FF57A8" w:rsidRPr="00BC31E0">
        <w:rPr>
          <w:rFonts w:hint="eastAsia"/>
        </w:rPr>
        <w:t xml:space="preserve"> </w:t>
      </w:r>
      <w:r w:rsidR="00FF57A8" w:rsidRPr="00BC31E0">
        <w:rPr>
          <w:rFonts w:hint="eastAsia"/>
        </w:rPr>
        <w:t>圧力モーメント</w:t>
      </w:r>
      <w:r w:rsidR="00FF57A8" w:rsidRPr="00BC31E0">
        <w:rPr>
          <w:rFonts w:hint="eastAsia"/>
        </w:rPr>
        <w:t>(</w:t>
      </w:r>
      <w:r w:rsidR="00FF57A8" w:rsidRPr="00BC31E0">
        <w:rPr>
          <w:rFonts w:ascii="Cambria Math" w:hAnsi="Cambria Math"/>
        </w:rPr>
        <w:t>Nmm</w:t>
      </w:r>
      <w:r w:rsidR="00FF57A8" w:rsidRPr="00BC31E0">
        <w:rPr>
          <w:rFonts w:hint="eastAsia"/>
        </w:rPr>
        <w:t>)</w:t>
      </w:r>
    </w:p>
    <w:p w14:paraId="19D3C604" w14:textId="77777777" w:rsidR="00FF57A8" w:rsidRPr="00BC31E0" w:rsidRDefault="00FF57A8" w:rsidP="001B7872">
      <w:pPr>
        <w:tabs>
          <w:tab w:val="left" w:pos="567"/>
        </w:tabs>
        <w:autoSpaceDE w:val="0"/>
        <w:autoSpaceDN w:val="0"/>
        <w:ind w:left="1077"/>
      </w:pPr>
      <m:oMath>
        <m:r>
          <w:rPr>
            <w:rFonts w:ascii="Cambria Math" w:hAnsi="Cambria Math"/>
          </w:rPr>
          <m:t xml:space="preserve">=π P B T </m:t>
        </m:r>
        <m:d>
          <m:dPr>
            <m:ctrlPr>
              <w:rPr>
                <w:rFonts w:ascii="Cambria Math" w:hAnsi="Cambria Math"/>
                <w:i/>
              </w:rPr>
            </m:ctrlPr>
          </m:dPr>
          <m:e>
            <m:f>
              <m:fPr>
                <m:type m:val="lin"/>
                <m:ctrlPr>
                  <w:rPr>
                    <w:rFonts w:ascii="Cambria Math" w:hAnsi="Cambria Math"/>
                    <w:i/>
                  </w:rPr>
                </m:ctrlPr>
              </m:fPr>
              <m:num>
                <m:r>
                  <w:rPr>
                    <w:rFonts w:ascii="Cambria Math" w:hAnsi="Cambria Math"/>
                  </w:rPr>
                  <m:t>T</m:t>
                </m:r>
              </m:num>
              <m:den>
                <m:r>
                  <w:rPr>
                    <w:rFonts w:ascii="Cambria Math" w:hAnsi="Cambria Math"/>
                  </w:rPr>
                  <m:t>2</m:t>
                </m:r>
              </m:den>
            </m:f>
            <m:r>
              <w:rPr>
                <w:rFonts w:ascii="Cambria Math" w:hAnsi="Cambria Math"/>
              </w:rPr>
              <m:t>-</m:t>
            </m:r>
            <m:bar>
              <m:barPr>
                <m:pos m:val="top"/>
                <m:ctrlPr>
                  <w:rPr>
                    <w:rFonts w:ascii="Cambria Math" w:hAnsi="Cambria Math"/>
                    <w:i/>
                  </w:rPr>
                </m:ctrlPr>
              </m:barPr>
              <m:e>
                <m:r>
                  <w:rPr>
                    <w:rFonts w:ascii="Cambria Math" w:hAnsi="Cambria Math"/>
                  </w:rPr>
                  <m:t>h</m:t>
                </m:r>
              </m:e>
            </m:bar>
          </m:e>
        </m:d>
      </m:oMath>
      <w:r w:rsidRPr="00BC31E0">
        <w:rPr>
          <w:i/>
        </w:rPr>
        <w:t xml:space="preserve"> </w:t>
      </w:r>
    </w:p>
    <w:p w14:paraId="6C6058D3"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M</m:t>
            </m:r>
          </m:e>
          <m:sub>
            <m:r>
              <w:rPr>
                <w:rFonts w:ascii="Cambria Math" w:hAnsi="Cambria Math"/>
              </w:rPr>
              <m:t>R</m:t>
            </m:r>
          </m:sub>
        </m:sSub>
      </m:oMath>
      <w:r w:rsidR="00FF57A8" w:rsidRPr="00BC31E0">
        <w:rPr>
          <w:rFonts w:hint="eastAsia"/>
        </w:rPr>
        <w:tab/>
      </w:r>
      <w:r w:rsidR="00FF57A8" w:rsidRPr="00BC31E0">
        <w:rPr>
          <w:rFonts w:hint="eastAsia"/>
        </w:rPr>
        <w:t>：</w:t>
      </w:r>
      <w:r w:rsidR="00FF57A8" w:rsidRPr="00BC31E0">
        <w:rPr>
          <w:rFonts w:hint="eastAsia"/>
        </w:rPr>
        <w:t xml:space="preserve"> </w:t>
      </w:r>
      <w:r w:rsidR="00FF57A8" w:rsidRPr="00BC31E0">
        <w:rPr>
          <w:rFonts w:hint="eastAsia"/>
        </w:rPr>
        <w:t>半径方向クランプ平衡モーメント</w:t>
      </w:r>
      <w:r w:rsidR="00FF57A8" w:rsidRPr="00BC31E0">
        <w:rPr>
          <w:rFonts w:hint="eastAsia"/>
        </w:rPr>
        <w:t>(</w:t>
      </w:r>
      <w:r w:rsidR="00FF57A8" w:rsidRPr="00BC31E0">
        <w:rPr>
          <w:rFonts w:ascii="Cambria Math" w:hAnsi="Cambria Math"/>
        </w:rPr>
        <w:t>Nmm</w:t>
      </w:r>
      <w:r w:rsidR="00FF57A8" w:rsidRPr="00BC31E0">
        <w:rPr>
          <w:rFonts w:hint="eastAsia"/>
        </w:rPr>
        <w:t>)</w:t>
      </w:r>
    </w:p>
    <w:p w14:paraId="473C7A88" w14:textId="77777777" w:rsidR="00FF57A8" w:rsidRPr="00BC31E0" w:rsidRDefault="00FF57A8" w:rsidP="001B7872">
      <w:pPr>
        <w:autoSpaceDE w:val="0"/>
        <w:autoSpaceDN w:val="0"/>
        <w:ind w:left="1077"/>
      </w:pPr>
      <m:oMath>
        <m:r>
          <w:rPr>
            <w:rFonts w:ascii="Cambria Math" w:hAnsi="Cambria Math"/>
          </w:rPr>
          <m:t>=</m:t>
        </m:r>
        <m:d>
          <m:dPr>
            <m:ctrlPr>
              <w:rPr>
                <w:rFonts w:ascii="Cambria Math" w:hAnsi="Cambria Math"/>
                <w:i/>
              </w:rPr>
            </m:ctrlPr>
          </m:dPr>
          <m:e>
            <m:f>
              <m:fPr>
                <m:type m:val="lin"/>
                <m:ctrlPr>
                  <w:rPr>
                    <w:rFonts w:ascii="Cambria Math" w:hAnsi="Cambria Math"/>
                    <w:i/>
                  </w:rPr>
                </m:ctrlPr>
              </m:fPr>
              <m:num>
                <m:r>
                  <w:rPr>
                    <w:rFonts w:ascii="Cambria Math" w:hAnsi="Cambria Math"/>
                  </w:rPr>
                  <m:t>π W</m:t>
                </m:r>
              </m:num>
              <m:den>
                <m:r>
                  <w:rPr>
                    <w:rFonts w:ascii="Cambria Math" w:hAnsi="Cambria Math"/>
                  </w:rPr>
                  <m:t>2</m:t>
                </m:r>
              </m:den>
            </m:f>
          </m:e>
        </m:d>
        <m:d>
          <m:dPr>
            <m:begChr m:val="["/>
            <m:endChr m:val="]"/>
            <m:ctrlPr>
              <w:rPr>
                <w:rFonts w:ascii="Cambria Math" w:hAnsi="Cambria Math"/>
                <w:i/>
              </w:rPr>
            </m:ctrlPr>
          </m:dPr>
          <m:e>
            <m:r>
              <w:rPr>
                <w:rFonts w:ascii="Cambria Math" w:hAnsi="Cambria Math"/>
              </w:rPr>
              <m:t xml:space="preserve"> </m:t>
            </m:r>
            <m:bar>
              <m:barPr>
                <m:pos m:val="top"/>
                <m:ctrlPr>
                  <w:rPr>
                    <w:rFonts w:ascii="Cambria Math" w:hAnsi="Cambria Math"/>
                    <w:i/>
                  </w:rPr>
                </m:ctrlPr>
              </m:barPr>
              <m:e>
                <m:r>
                  <w:rPr>
                    <w:rFonts w:ascii="Cambria Math" w:hAnsi="Cambria Math"/>
                  </w:rPr>
                  <m:t>h</m:t>
                </m:r>
              </m:e>
            </m:bar>
            <m:r>
              <w:rPr>
                <w:rFonts w:ascii="Cambria Math" w:hAnsi="Cambria Math"/>
              </w:rPr>
              <m:t>-T+</m:t>
            </m:r>
            <m:f>
              <m:fPr>
                <m:type m:val="lin"/>
                <m:ctrlPr>
                  <w:rPr>
                    <w:rFonts w:ascii="Cambria Math" w:hAnsi="Cambria Math"/>
                    <w:i/>
                  </w:rPr>
                </m:ctrlPr>
              </m:fPr>
              <m:num>
                <m:d>
                  <m:dPr>
                    <m:begChr m:val="{"/>
                    <m:endChr m:val="}"/>
                    <m:ctrlPr>
                      <w:rPr>
                        <w:rFonts w:ascii="Cambria Math" w:hAnsi="Cambria Math"/>
                        <w:i/>
                      </w:rPr>
                    </m:ctrlPr>
                  </m:dPr>
                  <m:e>
                    <m:d>
                      <m:dPr>
                        <m:ctrlPr>
                          <w:rPr>
                            <w:rFonts w:ascii="Cambria Math" w:hAnsi="Cambria Math"/>
                            <w:i/>
                          </w:rPr>
                        </m:ctrlPr>
                      </m:dPr>
                      <m:e>
                        <m:r>
                          <w:rPr>
                            <w:rFonts w:ascii="Cambria Math" w:hAnsi="Cambria Math"/>
                          </w:rPr>
                          <m:t>C-</m:t>
                        </m:r>
                        <m:sSub>
                          <m:sSubPr>
                            <m:ctrlPr>
                              <w:rPr>
                                <w:rFonts w:ascii="Cambria Math" w:hAnsi="Cambria Math"/>
                                <w:i/>
                              </w:rPr>
                            </m:ctrlPr>
                          </m:sSubPr>
                          <m:e>
                            <m:r>
                              <w:rPr>
                                <w:rFonts w:ascii="Cambria Math" w:hAnsi="Cambria Math"/>
                              </w:rPr>
                              <m:t>N</m:t>
                            </m:r>
                          </m:e>
                          <m:sub>
                            <m:r>
                              <w:rPr>
                                <w:rFonts w:ascii="Cambria Math" w:hAnsi="Cambria Math"/>
                              </w:rPr>
                              <m:t>H</m:t>
                            </m:r>
                          </m:sub>
                        </m:sSub>
                      </m:e>
                    </m:d>
                    <m:func>
                      <m:funcPr>
                        <m:ctrlPr>
                          <w:rPr>
                            <w:rFonts w:ascii="Cambria Math" w:hAnsi="Cambria Math"/>
                            <w:i/>
                          </w:rPr>
                        </m:ctrlPr>
                      </m:funcPr>
                      <m:fName>
                        <m:r>
                          <m:rPr>
                            <m:sty m:val="bi"/>
                          </m:rPr>
                          <w:rPr>
                            <w:rFonts w:ascii="Cambria Math" w:hAnsi="Cambria Math"/>
                          </w:rPr>
                          <m:t>tan</m:t>
                        </m:r>
                      </m:fName>
                      <m:e>
                        <m:r>
                          <w:rPr>
                            <w:rFonts w:ascii="Cambria Math" w:hAnsi="Cambria Math"/>
                          </w:rPr>
                          <m:t>ϕ</m:t>
                        </m:r>
                      </m:e>
                    </m:func>
                  </m:e>
                </m:d>
              </m:num>
              <m:den>
                <m:r>
                  <w:rPr>
                    <w:rFonts w:ascii="Cambria Math" w:hAnsi="Cambria Math"/>
                  </w:rPr>
                  <m:t xml:space="preserve">2 </m:t>
                </m:r>
              </m:den>
            </m:f>
          </m:e>
        </m:d>
      </m:oMath>
      <w:r w:rsidRPr="00BC31E0">
        <w:rPr>
          <w:i/>
        </w:rPr>
        <w:t xml:space="preserve"> </w:t>
      </w:r>
    </w:p>
    <w:p w14:paraId="76359230"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M</m:t>
            </m:r>
          </m:e>
          <m:sub>
            <m:r>
              <w:rPr>
                <w:rFonts w:ascii="Cambria Math" w:hAnsi="Cambria Math"/>
              </w:rPr>
              <m:t>T</m:t>
            </m:r>
          </m:sub>
        </m:sSub>
      </m:oMath>
      <w:r w:rsidR="00FF57A8" w:rsidRPr="00BC31E0">
        <w:rPr>
          <w:rFonts w:hint="eastAsia"/>
          <w:i/>
        </w:rPr>
        <w:tab/>
      </w:r>
      <w:r w:rsidR="00FF57A8" w:rsidRPr="00BC31E0">
        <w:rPr>
          <w:rFonts w:hint="eastAsia"/>
        </w:rPr>
        <w:t>：</w:t>
      </w:r>
      <w:r w:rsidR="00FF57A8" w:rsidRPr="00BC31E0">
        <w:rPr>
          <w:rFonts w:hint="eastAsia"/>
        </w:rPr>
        <w:t xml:space="preserve"> </w:t>
      </w:r>
      <m:oMath>
        <m:sSub>
          <m:sSubPr>
            <m:ctrlPr>
              <w:rPr>
                <w:rFonts w:ascii="Cambria Math" w:hAnsi="Cambria Math"/>
                <w:i/>
              </w:rPr>
            </m:ctrlPr>
          </m:sSubPr>
          <m:e>
            <m:r>
              <w:rPr>
                <w:rFonts w:ascii="Cambria Math" w:hAnsi="Cambria Math"/>
              </w:rPr>
              <m:t>H</m:t>
            </m:r>
          </m:e>
          <m:sub>
            <m:r>
              <w:rPr>
                <w:rFonts w:ascii="Cambria Math" w:hAnsi="Cambria Math"/>
              </w:rPr>
              <m:t xml:space="preserve">T </m:t>
            </m:r>
          </m:sub>
        </m:sSub>
      </m:oMath>
      <w:r w:rsidR="00FF57A8" w:rsidRPr="00BC31E0">
        <w:rPr>
          <w:rFonts w:hint="eastAsia"/>
        </w:rPr>
        <w:t>によるモーメント</w:t>
      </w:r>
      <w:r w:rsidR="00FF57A8" w:rsidRPr="00BC31E0">
        <w:rPr>
          <w:rFonts w:hint="eastAsia"/>
        </w:rPr>
        <w:t>(</w:t>
      </w:r>
      <w:r w:rsidR="00FF57A8" w:rsidRPr="00BC31E0">
        <w:rPr>
          <w:rFonts w:ascii="Cambria Math" w:hAnsi="Cambria Math"/>
        </w:rPr>
        <w:t>Nmm</w:t>
      </w:r>
      <w:r w:rsidR="00FF57A8" w:rsidRPr="00BC31E0">
        <w:rPr>
          <w:rFonts w:hint="eastAsia"/>
        </w:rPr>
        <w:t>)</w:t>
      </w:r>
    </w:p>
    <w:p w14:paraId="00363307" w14:textId="77777777" w:rsidR="00FF57A8" w:rsidRPr="00BC31E0" w:rsidRDefault="00FF57A8" w:rsidP="001B7872">
      <w:pPr>
        <w:tabs>
          <w:tab w:val="left" w:pos="567"/>
          <w:tab w:val="left" w:pos="851"/>
        </w:tabs>
        <w:autoSpaceDE w:val="0"/>
        <w:autoSpaceDN w:val="0"/>
        <w:ind w:left="1077"/>
      </w:pPr>
      <m:oMath>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T</m:t>
            </m:r>
          </m:sub>
        </m:sSub>
      </m:oMath>
      <w:r w:rsidRPr="00BC31E0">
        <w:rPr>
          <w:i/>
          <w:vertAlign w:val="subscript"/>
        </w:rPr>
        <w:t xml:space="preserve"> </w:t>
      </w:r>
    </w:p>
    <w:p w14:paraId="3A504320"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M</m:t>
            </m:r>
          </m:e>
          <m:sub>
            <m:r>
              <w:rPr>
                <w:rFonts w:ascii="Cambria Math" w:hAnsi="Cambria Math"/>
              </w:rPr>
              <m:t>5</m:t>
            </m:r>
          </m:sub>
        </m:sSub>
      </m:oMath>
      <w:r w:rsidR="00FF57A8" w:rsidRPr="00BC31E0">
        <w:tab/>
      </w:r>
      <w:r w:rsidR="00FF57A8" w:rsidRPr="00BC31E0">
        <w:rPr>
          <w:rFonts w:hint="eastAsia"/>
        </w:rPr>
        <w:t>：</w:t>
      </w:r>
      <w:r w:rsidR="00FF57A8" w:rsidRPr="00BC31E0">
        <w:rPr>
          <w:rFonts w:hint="eastAsia"/>
        </w:rPr>
        <w:t xml:space="preserve"> </w:t>
      </w:r>
      <w:r w:rsidR="00FF57A8" w:rsidRPr="00BC31E0">
        <w:rPr>
          <w:rFonts w:hint="eastAsia"/>
        </w:rPr>
        <w:t>クランプの長手方向応力による曲げモーメント</w:t>
      </w:r>
      <w:r w:rsidR="00FF57A8" w:rsidRPr="00BC31E0">
        <w:rPr>
          <w:rFonts w:hint="eastAsia"/>
        </w:rPr>
        <w:t>(</w:t>
      </w:r>
      <w:r w:rsidR="00FF57A8" w:rsidRPr="00BC31E0">
        <w:rPr>
          <w:rFonts w:ascii="Cambria Math" w:hAnsi="Cambria Math"/>
        </w:rPr>
        <w:t>Nmm</w:t>
      </w:r>
      <w:r w:rsidR="00FF57A8" w:rsidRPr="00BC31E0">
        <w:rPr>
          <w:rFonts w:hint="eastAsia"/>
        </w:rPr>
        <w:t>)</w:t>
      </w:r>
    </w:p>
    <w:p w14:paraId="342BE337" w14:textId="77777777" w:rsidR="00FF57A8" w:rsidRPr="00BC31E0" w:rsidRDefault="00FF57A8" w:rsidP="001B7872">
      <w:pPr>
        <w:autoSpaceDE w:val="0"/>
        <w:autoSpaceDN w:val="0"/>
        <w:ind w:left="1077"/>
      </w:pPr>
      <m:oMath>
        <m:r>
          <w:rPr>
            <w:rFonts w:ascii="Cambria Math" w:hAnsi="Cambria Math"/>
          </w:rPr>
          <m:t xml:space="preserve">=H </m:t>
        </m:r>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5</m:t>
                </m:r>
              </m:sub>
            </m:sSub>
          </m:e>
        </m:d>
        <m:r>
          <w:rPr>
            <w:rFonts w:ascii="Cambria Math" w:hAnsi="Cambria Math"/>
          </w:rPr>
          <m:t>+</m:t>
        </m:r>
        <m:d>
          <m:dPr>
            <m:ctrlPr>
              <w:rPr>
                <w:rFonts w:ascii="Cambria Math" w:hAnsi="Cambria Math"/>
                <w:i/>
              </w:rPr>
            </m:ctrlPr>
          </m:dPr>
          <m:e>
            <m:f>
              <m:fPr>
                <m:type m:val="lin"/>
                <m:ctrlPr>
                  <w:rPr>
                    <w:rFonts w:ascii="Cambria Math" w:hAnsi="Cambria Math"/>
                    <w:i/>
                  </w:rPr>
                </m:ctrlPr>
              </m:fPr>
              <m:num>
                <m:r>
                  <w:rPr>
                    <w:rFonts w:ascii="Cambria Math" w:hAnsi="Cambria Math"/>
                  </w:rPr>
                  <m:t>π W</m:t>
                </m:r>
              </m:num>
              <m:den>
                <m:r>
                  <w:rPr>
                    <w:rFonts w:ascii="Cambria Math" w:hAnsi="Cambria Math"/>
                  </w:rPr>
                  <m:t>2</m:t>
                </m:r>
              </m:den>
            </m:f>
          </m:e>
        </m:d>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g</m:t>
                    </m:r>
                  </m:sub>
                </m:sSub>
              </m:num>
              <m:den>
                <m:r>
                  <w:rPr>
                    <w:rFonts w:ascii="Cambria Math" w:hAnsi="Cambria Math"/>
                  </w:rPr>
                  <m:t>2</m:t>
                </m:r>
              </m:den>
            </m:f>
          </m:e>
        </m:d>
      </m:oMath>
      <w:r w:rsidRPr="00BC31E0">
        <w:rPr>
          <w:i/>
        </w:rPr>
        <w:t xml:space="preserve"> </w:t>
      </w:r>
    </w:p>
    <w:p w14:paraId="12B88CE0"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M</m:t>
            </m:r>
          </m:e>
          <m:sub>
            <m:r>
              <w:rPr>
                <w:rFonts w:ascii="Cambria Math" w:hAnsi="Cambria Math"/>
              </w:rPr>
              <m:t>6</m:t>
            </m:r>
          </m:sub>
        </m:sSub>
      </m:oMath>
      <w:r w:rsidR="00FF57A8" w:rsidRPr="00BC31E0">
        <w:tab/>
      </w:r>
      <w:r w:rsidR="00FF57A8" w:rsidRPr="00BC31E0">
        <w:rPr>
          <w:rFonts w:hint="eastAsia"/>
        </w:rPr>
        <w:t>：</w:t>
      </w:r>
      <w:r w:rsidR="00FF57A8" w:rsidRPr="00BC31E0">
        <w:rPr>
          <w:rFonts w:hint="eastAsia"/>
        </w:rPr>
        <w:t xml:space="preserve"> </w:t>
      </w:r>
      <w:r w:rsidR="00FF57A8" w:rsidRPr="00BC31E0">
        <w:rPr>
          <w:rFonts w:hint="eastAsia"/>
        </w:rPr>
        <w:t>クランプの周方向応力による曲げモーメント</w:t>
      </w:r>
      <w:r w:rsidR="00FF57A8" w:rsidRPr="00BC31E0">
        <w:rPr>
          <w:rFonts w:hint="eastAsia"/>
        </w:rPr>
        <w:t>(</w:t>
      </w:r>
      <w:r w:rsidR="00FF57A8" w:rsidRPr="00BC31E0">
        <w:rPr>
          <w:rFonts w:ascii="Cambria Math" w:hAnsi="Cambria Math"/>
        </w:rPr>
        <w:t>Nmm</w:t>
      </w:r>
      <w:r w:rsidR="00FF57A8" w:rsidRPr="00BC31E0">
        <w:rPr>
          <w:rFonts w:hint="eastAsia"/>
        </w:rPr>
        <w:t>)</w:t>
      </w:r>
    </w:p>
    <w:p w14:paraId="4D012353" w14:textId="77777777" w:rsidR="00FF57A8" w:rsidRPr="00BC31E0" w:rsidRDefault="00FF57A8" w:rsidP="001B7872">
      <w:pPr>
        <w:autoSpaceDE w:val="0"/>
        <w:autoSpaceDN w:val="0"/>
        <w:ind w:left="1077"/>
      </w:pPr>
      <m:oMath>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b</m:t>
                </m:r>
              </m:sub>
            </m:sSub>
          </m:e>
        </m:d>
        <m:f>
          <m:fPr>
            <m:type m:val="lin"/>
            <m:ctrlPr>
              <w:rPr>
                <w:rFonts w:ascii="Cambria Math" w:hAnsi="Cambria Math"/>
                <w:i/>
              </w:rPr>
            </m:ctrlPr>
          </m:fPr>
          <m:num>
            <m:r>
              <w:rPr>
                <w:rFonts w:ascii="Cambria Math" w:hAnsi="Cambria Math"/>
              </w:rPr>
              <m:t>W</m:t>
            </m:r>
          </m:num>
          <m:den>
            <m:r>
              <w:rPr>
                <w:rFonts w:ascii="Cambria Math" w:hAnsi="Cambria Math"/>
              </w:rPr>
              <m:t>2</m:t>
            </m:r>
          </m:den>
        </m:f>
      </m:oMath>
      <w:r w:rsidRPr="00BC31E0">
        <w:rPr>
          <w:i/>
        </w:rPr>
        <w:t xml:space="preserve"> </w:t>
      </w:r>
    </w:p>
    <w:p w14:paraId="3FB4F89A"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N</m:t>
            </m:r>
          </m:e>
          <m:sub>
            <m:r>
              <w:rPr>
                <w:rFonts w:ascii="Cambria Math" w:hAnsi="Cambria Math"/>
              </w:rPr>
              <m:t>H</m:t>
            </m:r>
          </m:sub>
        </m:sSub>
      </m:oMath>
      <w:r w:rsidR="00FF57A8" w:rsidRPr="00BC31E0">
        <w:tab/>
      </w:r>
      <w:r w:rsidR="00FF57A8" w:rsidRPr="00BC31E0">
        <w:rPr>
          <w:rFonts w:hint="eastAsia"/>
        </w:rPr>
        <w:t>：</w:t>
      </w:r>
      <w:r w:rsidR="00FF57A8" w:rsidRPr="00BC31E0">
        <w:rPr>
          <w:rFonts w:hint="eastAsia"/>
        </w:rPr>
        <w:t xml:space="preserve"> </w:t>
      </w:r>
      <w:r w:rsidR="00FF57A8" w:rsidRPr="00BC31E0">
        <w:rPr>
          <w:rFonts w:hint="eastAsia"/>
        </w:rPr>
        <w:t>ハブネックの外径</w:t>
      </w:r>
      <w:r w:rsidR="00FF57A8" w:rsidRPr="00BC31E0">
        <w:rPr>
          <w:rFonts w:hint="eastAsia"/>
        </w:rPr>
        <w:t>(</w:t>
      </w:r>
      <w:r w:rsidR="00FF57A8" w:rsidRPr="00BC31E0">
        <w:rPr>
          <w:rFonts w:ascii="Cambria Math" w:hAnsi="Cambria Math"/>
        </w:rPr>
        <w:t>mm</w:t>
      </w:r>
      <w:r w:rsidR="00FF57A8" w:rsidRPr="00BC31E0">
        <w:rPr>
          <w:rFonts w:hint="eastAsia"/>
        </w:rPr>
        <w:t>)</w:t>
      </w:r>
    </w:p>
    <w:p w14:paraId="1CB1F06F" w14:textId="77777777" w:rsidR="00FF57A8" w:rsidRPr="00BC31E0" w:rsidRDefault="00FF57A8" w:rsidP="001B7872">
      <w:pPr>
        <w:tabs>
          <w:tab w:val="left" w:pos="709"/>
        </w:tabs>
        <w:autoSpaceDE w:val="0"/>
        <w:autoSpaceDN w:val="0"/>
        <w:ind w:leftChars="100" w:left="210"/>
      </w:pPr>
      <m:oMath>
        <m:r>
          <w:rPr>
            <w:rFonts w:ascii="Cambria Math" w:hAnsi="Cambria Math"/>
          </w:rPr>
          <w:lastRenderedPageBreak/>
          <m:t>P</m:t>
        </m:r>
      </m:oMath>
      <w:r w:rsidRPr="00BC31E0">
        <w:tab/>
      </w:r>
      <w:r w:rsidRPr="00BC31E0">
        <w:rPr>
          <w:rFonts w:hint="eastAsia"/>
        </w:rPr>
        <w:t>：</w:t>
      </w:r>
      <w:r w:rsidRPr="00BC31E0">
        <w:rPr>
          <w:rFonts w:hint="eastAsia"/>
        </w:rPr>
        <w:t xml:space="preserve"> </w:t>
      </w:r>
      <w:r w:rsidRPr="00BC31E0">
        <w:rPr>
          <w:rFonts w:hint="eastAsia"/>
        </w:rPr>
        <w:t>設計圧力</w:t>
      </w:r>
      <w:r w:rsidRPr="00BC31E0">
        <w:rPr>
          <w:rFonts w:hint="eastAsia"/>
        </w:rPr>
        <w:t>(</w:t>
      </w:r>
      <w:r w:rsidRPr="00BC31E0">
        <w:rPr>
          <w:rFonts w:ascii="Cambria Math" w:hAnsi="Cambria Math"/>
        </w:rPr>
        <w:t>MPa</w:t>
      </w:r>
      <w:r w:rsidRPr="00BC31E0">
        <w:rPr>
          <w:rFonts w:hint="eastAsia"/>
        </w:rPr>
        <w:t>)</w:t>
      </w:r>
    </w:p>
    <w:p w14:paraId="7161868C" w14:textId="77777777" w:rsidR="00FF57A8" w:rsidRPr="00BC31E0" w:rsidRDefault="00FF57A8" w:rsidP="001B7872">
      <w:pPr>
        <w:tabs>
          <w:tab w:val="left" w:pos="709"/>
        </w:tabs>
        <w:autoSpaceDE w:val="0"/>
        <w:autoSpaceDN w:val="0"/>
        <w:ind w:leftChars="100" w:left="210"/>
      </w:pPr>
      <m:oMath>
        <m:r>
          <w:rPr>
            <w:rFonts w:ascii="Cambria Math" w:hAnsi="Cambria Math"/>
          </w:rPr>
          <m:t>Q</m:t>
        </m:r>
      </m:oMath>
      <w:r w:rsidRPr="00BC31E0">
        <w:tab/>
      </w:r>
      <w:r w:rsidRPr="00BC31E0">
        <w:rPr>
          <w:rFonts w:hint="eastAsia"/>
        </w:rPr>
        <w:t>：</w:t>
      </w:r>
      <w:r w:rsidRPr="00BC31E0">
        <w:rPr>
          <w:rFonts w:hint="eastAsia"/>
        </w:rPr>
        <w:t xml:space="preserve"> </w:t>
      </w:r>
      <w:r w:rsidRPr="00BC31E0">
        <w:rPr>
          <w:rFonts w:hint="eastAsia"/>
        </w:rPr>
        <w:t>ハブネックに作用するせん断力</w:t>
      </w:r>
      <w:r w:rsidRPr="00BC31E0">
        <w:rPr>
          <w:rFonts w:hint="eastAsia"/>
        </w:rPr>
        <w:t>(</w:t>
      </w:r>
      <w:r w:rsidRPr="00BC31E0">
        <w:rPr>
          <w:rFonts w:ascii="Cambria Math" w:hAnsi="Cambria Math"/>
        </w:rPr>
        <w:t>N</w:t>
      </w:r>
      <w:r w:rsidRPr="00BC31E0">
        <w:rPr>
          <w:rFonts w:hint="eastAsia"/>
        </w:rPr>
        <w:t>)</w:t>
      </w:r>
    </w:p>
    <w:tbl>
      <w:tblPr>
        <w:tblStyle w:val="afff2"/>
        <w:tblW w:w="0" w:type="auto"/>
        <w:tblInd w:w="1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2"/>
      </w:tblGrid>
      <w:tr w:rsidR="00FF57A8" w:rsidRPr="00BC31E0" w14:paraId="7EE216BC" w14:textId="77777777" w:rsidTr="004736F2">
        <w:tc>
          <w:tcPr>
            <w:tcW w:w="0" w:type="auto"/>
            <w:tcMar>
              <w:left w:w="0" w:type="dxa"/>
              <w:right w:w="0" w:type="dxa"/>
            </w:tcMar>
            <w:vAlign w:val="center"/>
          </w:tcPr>
          <w:p w14:paraId="457399DA" w14:textId="77777777" w:rsidR="00FF57A8" w:rsidRPr="00BC31E0" w:rsidRDefault="00FF57A8" w:rsidP="001B7872">
            <w:pPr>
              <w:autoSpaceDE w:val="0"/>
              <w:autoSpaceDN w:val="0"/>
              <w:jc w:val="left"/>
              <w:rPr>
                <w:rFonts w:asciiTheme="minorHAnsi" w:hAnsiTheme="minorHAnsi"/>
                <w:i/>
              </w:rPr>
            </w:pPr>
            <m:oMathPara>
              <m:oMathParaPr>
                <m:jc m:val="left"/>
              </m:oMathParaPr>
              <m:oMath>
                <m:r>
                  <w:rPr>
                    <w:rFonts w:ascii="Cambria Math" w:hAnsi="Cambria Math"/>
                  </w:rPr>
                  <m:t>=</m:t>
                </m:r>
                <m:f>
                  <m:fPr>
                    <m:ctrlPr>
                      <w:rPr>
                        <w:rFonts w:ascii="Cambria Math" w:hAnsi="Cambria Math"/>
                        <w:i/>
                      </w:rPr>
                    </m:ctrlPr>
                  </m:fPr>
                  <m:num>
                    <m:r>
                      <w:rPr>
                        <w:rFonts w:ascii="Cambria Math" w:hAnsi="Cambria Math"/>
                      </w:rPr>
                      <m:t xml:space="preserve">1.818 </m:t>
                    </m:r>
                    <m:sSub>
                      <m:sSubPr>
                        <m:ctrlPr>
                          <w:rPr>
                            <w:rFonts w:ascii="Cambria Math" w:hAnsi="Cambria Math"/>
                            <w:i/>
                          </w:rPr>
                        </m:ctrlPr>
                      </m:sSubPr>
                      <m:e>
                        <m:r>
                          <w:rPr>
                            <w:rFonts w:ascii="Cambria Math" w:hAnsi="Cambria Math"/>
                          </w:rPr>
                          <m:t>M</m:t>
                        </m:r>
                      </m:e>
                      <m:sub>
                        <m:r>
                          <w:rPr>
                            <w:rFonts w:ascii="Cambria Math" w:hAnsi="Cambria Math"/>
                          </w:rPr>
                          <m:t>H</m:t>
                        </m:r>
                      </m:sub>
                    </m:sSub>
                  </m:num>
                  <m:den>
                    <m:rad>
                      <m:radPr>
                        <m:degHide m:val="1"/>
                        <m:ctrlPr>
                          <w:rPr>
                            <w:rFonts w:ascii="Cambria Math" w:hAnsi="Cambria Math"/>
                            <w:i/>
                          </w:rPr>
                        </m:ctrlPr>
                      </m:radPr>
                      <m:deg/>
                      <m:e>
                        <m:r>
                          <w:rPr>
                            <w:rFonts w:ascii="Cambria Math" w:hAnsi="Cambria Math"/>
                          </w:rPr>
                          <m:t xml:space="preserve">B </m:t>
                        </m:r>
                        <m:sSub>
                          <m:sSubPr>
                            <m:ctrlPr>
                              <w:rPr>
                                <w:rFonts w:ascii="Cambria Math" w:hAnsi="Cambria Math"/>
                                <w:i/>
                              </w:rPr>
                            </m:ctrlPr>
                          </m:sSubPr>
                          <m:e>
                            <m:r>
                              <w:rPr>
                                <w:rFonts w:ascii="Cambria Math" w:hAnsi="Cambria Math"/>
                              </w:rPr>
                              <m:t>g</m:t>
                            </m:r>
                          </m:e>
                          <m:sub>
                            <m:r>
                              <w:rPr>
                                <w:rFonts w:ascii="Cambria Math" w:hAnsi="Cambria Math"/>
                              </w:rPr>
                              <m:t>1</m:t>
                            </m:r>
                          </m:sub>
                        </m:sSub>
                      </m:e>
                    </m:rad>
                  </m:den>
                </m:f>
              </m:oMath>
            </m:oMathPara>
          </w:p>
        </w:tc>
      </w:tr>
    </w:tbl>
    <w:p w14:paraId="428F22A2"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S</m:t>
            </m:r>
          </m:e>
          <m:sub>
            <m:r>
              <w:rPr>
                <w:rFonts w:ascii="Cambria Math" w:hAnsi="Cambria Math"/>
              </w:rPr>
              <m:t>a</m:t>
            </m:r>
          </m:sub>
        </m:sSub>
      </m:oMath>
      <w:r w:rsidR="00FF57A8" w:rsidRPr="00BC31E0">
        <w:tab/>
      </w:r>
      <w:r w:rsidR="00FF57A8" w:rsidRPr="00BC31E0">
        <w:rPr>
          <w:rFonts w:hint="eastAsia"/>
        </w:rPr>
        <w:t>：</w:t>
      </w:r>
      <w:r w:rsidR="00FF57A8" w:rsidRPr="00BC31E0">
        <w:rPr>
          <w:rFonts w:hint="eastAsia"/>
        </w:rPr>
        <w:t xml:space="preserve"> </w:t>
      </w:r>
      <w:r w:rsidR="00FF57A8" w:rsidRPr="00BC31E0">
        <w:rPr>
          <w:rFonts w:hint="eastAsia"/>
        </w:rPr>
        <w:t>室温における許容ボルト応力</w:t>
      </w:r>
      <w:r w:rsidR="00FF57A8" w:rsidRPr="00BC31E0">
        <w:rPr>
          <w:rFonts w:hint="eastAsia"/>
        </w:rPr>
        <w:t>(</w:t>
      </w:r>
      <w:r w:rsidR="00FF57A8" w:rsidRPr="00BC31E0">
        <w:rPr>
          <w:rFonts w:ascii="Cambria Math" w:hAnsi="Cambria Math"/>
        </w:rPr>
        <w:t>MPa</w:t>
      </w:r>
      <w:r w:rsidR="00FF57A8" w:rsidRPr="00BC31E0">
        <w:rPr>
          <w:rFonts w:hint="eastAsia"/>
        </w:rPr>
        <w:t>)</w:t>
      </w:r>
    </w:p>
    <w:p w14:paraId="08306FE8"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S</m:t>
            </m:r>
          </m:e>
          <m:sub>
            <m:r>
              <w:rPr>
                <w:rFonts w:ascii="Cambria Math" w:hAnsi="Cambria Math"/>
              </w:rPr>
              <m:t>b</m:t>
            </m:r>
          </m:sub>
        </m:sSub>
      </m:oMath>
      <w:r w:rsidR="00FF57A8" w:rsidRPr="00BC31E0">
        <w:tab/>
      </w:r>
      <w:r w:rsidR="00FF57A8" w:rsidRPr="00BC31E0">
        <w:rPr>
          <w:rFonts w:hint="eastAsia"/>
        </w:rPr>
        <w:t>：</w:t>
      </w:r>
      <w:r w:rsidR="00FF57A8" w:rsidRPr="00BC31E0">
        <w:rPr>
          <w:rFonts w:hint="eastAsia"/>
        </w:rPr>
        <w:t xml:space="preserve"> </w:t>
      </w:r>
      <w:r w:rsidR="00FF57A8" w:rsidRPr="00BC31E0">
        <w:rPr>
          <w:rFonts w:hint="eastAsia"/>
        </w:rPr>
        <w:t>設計温度における許容ボルト応力</w:t>
      </w:r>
      <w:r w:rsidR="00FF57A8" w:rsidRPr="00BC31E0">
        <w:rPr>
          <w:rFonts w:hint="eastAsia"/>
        </w:rPr>
        <w:t>(</w:t>
      </w:r>
      <w:r w:rsidR="00FF57A8" w:rsidRPr="00BC31E0">
        <w:rPr>
          <w:rFonts w:ascii="Cambria Math" w:hAnsi="Cambria Math"/>
        </w:rPr>
        <w:t>MPa</w:t>
      </w:r>
      <w:r w:rsidR="00FF57A8" w:rsidRPr="00BC31E0">
        <w:rPr>
          <w:rFonts w:hint="eastAsia"/>
        </w:rPr>
        <w:t>)</w:t>
      </w:r>
    </w:p>
    <w:p w14:paraId="4541BC98"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S</m:t>
            </m:r>
          </m:e>
          <m:sub>
            <m:r>
              <w:rPr>
                <w:rFonts w:ascii="Cambria Math" w:hAnsi="Cambria Math"/>
              </w:rPr>
              <m:t>YAC</m:t>
            </m:r>
          </m:sub>
        </m:sSub>
      </m:oMath>
      <w:r w:rsidR="00FF57A8" w:rsidRPr="00BC31E0">
        <w:rPr>
          <w:rFonts w:hint="eastAsia"/>
          <w:i/>
        </w:rPr>
        <w:tab/>
      </w:r>
      <w:r w:rsidR="00FF57A8" w:rsidRPr="00BC31E0">
        <w:rPr>
          <w:rFonts w:hint="eastAsia"/>
        </w:rPr>
        <w:t>：</w:t>
      </w:r>
      <w:r w:rsidR="00FF57A8" w:rsidRPr="00BC31E0">
        <w:rPr>
          <w:rFonts w:hint="eastAsia"/>
        </w:rPr>
        <w:t xml:space="preserve"> </w:t>
      </w:r>
      <w:r w:rsidR="00FF57A8" w:rsidRPr="00BC31E0">
        <w:rPr>
          <w:rFonts w:hint="eastAsia"/>
        </w:rPr>
        <w:t>室温</w:t>
      </w:r>
      <w:r w:rsidR="00FF57A8" w:rsidRPr="00BC31E0">
        <w:rPr>
          <w:rFonts w:hint="eastAsia"/>
        </w:rPr>
        <w:t>(</w:t>
      </w:r>
      <w:r w:rsidR="00FF57A8" w:rsidRPr="00BC31E0">
        <w:rPr>
          <w:rFonts w:hint="eastAsia"/>
        </w:rPr>
        <w:t>ガスケット締付条件</w:t>
      </w:r>
      <w:r w:rsidR="00FF57A8" w:rsidRPr="00BC31E0">
        <w:rPr>
          <w:rFonts w:hint="eastAsia"/>
        </w:rPr>
        <w:t>)</w:t>
      </w:r>
      <w:r w:rsidR="00FF57A8" w:rsidRPr="00BC31E0">
        <w:rPr>
          <w:rFonts w:hint="eastAsia"/>
        </w:rPr>
        <w:t>におけるクランプ材料の降伏強さ</w:t>
      </w:r>
      <w:r w:rsidR="00FF57A8" w:rsidRPr="00BC31E0">
        <w:rPr>
          <w:rFonts w:hint="eastAsia"/>
        </w:rPr>
        <w:t>(</w:t>
      </w:r>
      <w:r w:rsidR="00FF57A8" w:rsidRPr="00BC31E0">
        <w:rPr>
          <w:rFonts w:ascii="Cambria Math" w:hAnsi="Cambria Math"/>
        </w:rPr>
        <w:t>MPa</w:t>
      </w:r>
      <w:r w:rsidR="00FF57A8" w:rsidRPr="00BC31E0">
        <w:rPr>
          <w:rFonts w:hint="eastAsia"/>
        </w:rPr>
        <w:t>)</w:t>
      </w:r>
    </w:p>
    <w:p w14:paraId="05ECFE98"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S</m:t>
            </m:r>
          </m:e>
          <m:sub>
            <m:r>
              <w:rPr>
                <w:rFonts w:ascii="Cambria Math" w:hAnsi="Cambria Math"/>
              </w:rPr>
              <m:t>YAH</m:t>
            </m:r>
          </m:sub>
        </m:sSub>
      </m:oMath>
      <w:r w:rsidR="00FF57A8" w:rsidRPr="00BC31E0">
        <w:rPr>
          <w:rFonts w:hint="eastAsia"/>
          <w:bCs/>
          <w:position w:val="-4"/>
          <w:vertAlign w:val="subscript"/>
        </w:rPr>
        <w:tab/>
      </w:r>
      <w:r w:rsidR="00FF57A8" w:rsidRPr="00BC31E0">
        <w:rPr>
          <w:rFonts w:hint="eastAsia"/>
        </w:rPr>
        <w:t>：</w:t>
      </w:r>
      <w:r w:rsidR="00FF57A8" w:rsidRPr="00BC31E0">
        <w:rPr>
          <w:rFonts w:hint="eastAsia"/>
        </w:rPr>
        <w:t xml:space="preserve"> </w:t>
      </w:r>
      <w:r w:rsidR="00FF57A8" w:rsidRPr="00BC31E0">
        <w:rPr>
          <w:rFonts w:hint="eastAsia"/>
        </w:rPr>
        <w:t>室温</w:t>
      </w:r>
      <w:r w:rsidR="00FF57A8" w:rsidRPr="00BC31E0">
        <w:rPr>
          <w:rFonts w:hint="eastAsia"/>
        </w:rPr>
        <w:t>(</w:t>
      </w:r>
      <w:r w:rsidR="00FF57A8" w:rsidRPr="00BC31E0">
        <w:rPr>
          <w:rFonts w:hint="eastAsia"/>
        </w:rPr>
        <w:t>ガスケット締付条件</w:t>
      </w:r>
      <w:r w:rsidR="00FF57A8" w:rsidRPr="00BC31E0">
        <w:rPr>
          <w:rFonts w:hint="eastAsia"/>
        </w:rPr>
        <w:t>)</w:t>
      </w:r>
      <w:r w:rsidR="00FF57A8" w:rsidRPr="00BC31E0">
        <w:rPr>
          <w:rFonts w:hint="eastAsia"/>
        </w:rPr>
        <w:t>におけるハブ材料の降伏強さ</w:t>
      </w:r>
      <w:r w:rsidR="00FF57A8" w:rsidRPr="00BC31E0">
        <w:rPr>
          <w:rFonts w:hint="eastAsia"/>
        </w:rPr>
        <w:t>(</w:t>
      </w:r>
      <w:r w:rsidR="00FF57A8" w:rsidRPr="00BC31E0">
        <w:rPr>
          <w:rFonts w:ascii="Cambria Math" w:hAnsi="Cambria Math"/>
        </w:rPr>
        <w:t>MPa</w:t>
      </w:r>
      <w:r w:rsidR="00FF57A8" w:rsidRPr="00BC31E0">
        <w:rPr>
          <w:rFonts w:hint="eastAsia"/>
        </w:rPr>
        <w:t>)</w:t>
      </w:r>
    </w:p>
    <w:p w14:paraId="6FEFCBDB"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S</m:t>
            </m:r>
          </m:e>
          <m:sub>
            <m:r>
              <w:rPr>
                <w:rFonts w:ascii="Cambria Math" w:hAnsi="Cambria Math"/>
              </w:rPr>
              <m:t>YOC</m:t>
            </m:r>
          </m:sub>
        </m:sSub>
      </m:oMath>
      <w:r w:rsidR="00FF57A8" w:rsidRPr="00BC31E0">
        <w:tab/>
      </w:r>
      <w:r w:rsidR="00FF57A8" w:rsidRPr="00BC31E0">
        <w:rPr>
          <w:rFonts w:hint="eastAsia"/>
        </w:rPr>
        <w:t>：</w:t>
      </w:r>
      <w:r w:rsidR="00FF57A8" w:rsidRPr="00BC31E0">
        <w:rPr>
          <w:rFonts w:hint="eastAsia"/>
        </w:rPr>
        <w:t xml:space="preserve"> </w:t>
      </w:r>
      <w:r w:rsidR="00FF57A8" w:rsidRPr="00BC31E0">
        <w:rPr>
          <w:rFonts w:hint="eastAsia"/>
        </w:rPr>
        <w:t>設計温度</w:t>
      </w:r>
      <w:r w:rsidR="00FF57A8" w:rsidRPr="00BC31E0">
        <w:rPr>
          <w:rFonts w:hint="eastAsia"/>
        </w:rPr>
        <w:t>(</w:t>
      </w:r>
      <w:r w:rsidR="00FF57A8" w:rsidRPr="00BC31E0">
        <w:rPr>
          <w:rFonts w:hint="eastAsia"/>
        </w:rPr>
        <w:t>運転条件</w:t>
      </w:r>
      <w:r w:rsidR="00FF57A8" w:rsidRPr="00BC31E0">
        <w:rPr>
          <w:rFonts w:hint="eastAsia"/>
        </w:rPr>
        <w:t>)</w:t>
      </w:r>
      <w:r w:rsidR="00FF57A8" w:rsidRPr="00BC31E0">
        <w:rPr>
          <w:rFonts w:hint="eastAsia"/>
        </w:rPr>
        <w:t>におけるクランプ材料の降伏強さ</w:t>
      </w:r>
      <w:r w:rsidR="00FF57A8" w:rsidRPr="00BC31E0">
        <w:rPr>
          <w:rFonts w:hint="eastAsia"/>
        </w:rPr>
        <w:t>(</w:t>
      </w:r>
      <w:r w:rsidR="00FF57A8" w:rsidRPr="00BC31E0">
        <w:rPr>
          <w:rFonts w:ascii="Cambria Math" w:hAnsi="Cambria Math"/>
        </w:rPr>
        <w:t>MPa</w:t>
      </w:r>
      <w:r w:rsidR="00FF57A8" w:rsidRPr="00BC31E0">
        <w:rPr>
          <w:rFonts w:hint="eastAsia"/>
        </w:rPr>
        <w:t>)</w:t>
      </w:r>
    </w:p>
    <w:p w14:paraId="5D6C8B11"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S</m:t>
            </m:r>
          </m:e>
          <m:sub>
            <m:r>
              <w:rPr>
                <w:rFonts w:ascii="Cambria Math" w:hAnsi="Cambria Math"/>
              </w:rPr>
              <m:t>YOH</m:t>
            </m:r>
          </m:sub>
        </m:sSub>
      </m:oMath>
      <w:r w:rsidR="00FF57A8" w:rsidRPr="00BC31E0">
        <w:rPr>
          <w:vertAlign w:val="subscript"/>
        </w:rPr>
        <w:tab/>
      </w:r>
      <w:r w:rsidR="00FF57A8" w:rsidRPr="00BC31E0">
        <w:rPr>
          <w:rFonts w:hint="eastAsia"/>
        </w:rPr>
        <w:t>：</w:t>
      </w:r>
      <w:r w:rsidR="00FF57A8" w:rsidRPr="00BC31E0">
        <w:rPr>
          <w:rFonts w:hint="eastAsia"/>
        </w:rPr>
        <w:t xml:space="preserve"> </w:t>
      </w:r>
      <w:r w:rsidR="00FF57A8" w:rsidRPr="00BC31E0">
        <w:rPr>
          <w:rFonts w:hint="eastAsia"/>
        </w:rPr>
        <w:t>設計温度</w:t>
      </w:r>
      <w:r w:rsidR="00FF57A8" w:rsidRPr="00BC31E0">
        <w:rPr>
          <w:rFonts w:hint="eastAsia"/>
        </w:rPr>
        <w:t>(</w:t>
      </w:r>
      <w:r w:rsidR="00FF57A8" w:rsidRPr="00BC31E0">
        <w:rPr>
          <w:rFonts w:hint="eastAsia"/>
        </w:rPr>
        <w:t>運転条件</w:t>
      </w:r>
      <w:r w:rsidR="00FF57A8" w:rsidRPr="00BC31E0">
        <w:rPr>
          <w:rFonts w:hint="eastAsia"/>
        </w:rPr>
        <w:t>)</w:t>
      </w:r>
      <w:r w:rsidR="00FF57A8" w:rsidRPr="00BC31E0">
        <w:rPr>
          <w:rFonts w:hint="eastAsia"/>
        </w:rPr>
        <w:t>におけるハブ材料の降伏強さ</w:t>
      </w:r>
      <w:r w:rsidR="00FF57A8" w:rsidRPr="00BC31E0">
        <w:rPr>
          <w:rFonts w:hint="eastAsia"/>
        </w:rPr>
        <w:t>(</w:t>
      </w:r>
      <w:r w:rsidR="00FF57A8" w:rsidRPr="00BC31E0">
        <w:rPr>
          <w:rFonts w:ascii="Cambria Math" w:hAnsi="Cambria Math"/>
        </w:rPr>
        <w:t>MPa</w:t>
      </w:r>
      <w:r w:rsidR="00FF57A8" w:rsidRPr="00BC31E0">
        <w:rPr>
          <w:rFonts w:hint="eastAsia"/>
        </w:rPr>
        <w:t>)</w:t>
      </w:r>
    </w:p>
    <w:p w14:paraId="281FE46B"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S</m:t>
            </m:r>
          </m:e>
          <m:sub>
            <m:r>
              <w:rPr>
                <w:rFonts w:ascii="Cambria Math" w:hAnsi="Cambria Math"/>
              </w:rPr>
              <m:t>1</m:t>
            </m:r>
          </m:sub>
        </m:sSub>
      </m:oMath>
      <w:r w:rsidR="00FF57A8" w:rsidRPr="00BC31E0">
        <w:rPr>
          <w:bCs/>
        </w:rPr>
        <w:tab/>
      </w:r>
      <w:r w:rsidR="00FF57A8" w:rsidRPr="00BC31E0">
        <w:rPr>
          <w:rFonts w:hint="eastAsia"/>
        </w:rPr>
        <w:t>：</w:t>
      </w:r>
      <w:r w:rsidR="00FF57A8" w:rsidRPr="00BC31E0">
        <w:rPr>
          <w:rFonts w:hint="eastAsia"/>
        </w:rPr>
        <w:t xml:space="preserve"> </w:t>
      </w:r>
      <w:r w:rsidR="00FF57A8" w:rsidRPr="00BC31E0">
        <w:rPr>
          <w:rFonts w:hint="eastAsia"/>
        </w:rPr>
        <w:t>ハブネック外側における長手方向応力</w:t>
      </w:r>
      <w:r w:rsidR="00FF57A8" w:rsidRPr="00BC31E0">
        <w:rPr>
          <w:rFonts w:hint="eastAsia"/>
        </w:rPr>
        <w:t>(</w:t>
      </w:r>
      <w:r w:rsidR="00FF57A8" w:rsidRPr="00BC31E0">
        <w:rPr>
          <w:rFonts w:ascii="Cambria Math" w:hAnsi="Cambria Math"/>
        </w:rPr>
        <w:t>MPa</w:t>
      </w:r>
      <w:r w:rsidR="00FF57A8" w:rsidRPr="00BC31E0">
        <w:rPr>
          <w:rFonts w:hint="eastAsia"/>
        </w:rPr>
        <w:t>)</w:t>
      </w:r>
    </w:p>
    <w:p w14:paraId="6A8A9D28"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S</m:t>
            </m:r>
          </m:e>
          <m:sub>
            <m:r>
              <w:rPr>
                <w:rFonts w:ascii="Cambria Math" w:hAnsi="Cambria Math"/>
              </w:rPr>
              <m:t>2</m:t>
            </m:r>
          </m:sub>
        </m:sSub>
      </m:oMath>
      <w:r w:rsidR="00FF57A8" w:rsidRPr="00BC31E0">
        <w:rPr>
          <w:bCs/>
        </w:rPr>
        <w:tab/>
      </w:r>
      <w:r w:rsidR="00FF57A8" w:rsidRPr="00BC31E0">
        <w:rPr>
          <w:rFonts w:hint="eastAsia"/>
        </w:rPr>
        <w:t>：</w:t>
      </w:r>
      <w:r w:rsidR="00FF57A8" w:rsidRPr="00BC31E0">
        <w:rPr>
          <w:rFonts w:hint="eastAsia"/>
        </w:rPr>
        <w:t xml:space="preserve"> </w:t>
      </w:r>
      <w:r w:rsidR="00FF57A8" w:rsidRPr="00BC31E0">
        <w:rPr>
          <w:rFonts w:hint="eastAsia"/>
        </w:rPr>
        <w:t>ハブ内面における</w:t>
      </w:r>
      <w:r w:rsidR="00FF57A8" w:rsidRPr="00BC31E0">
        <w:t>Láme</w:t>
      </w:r>
      <w:r w:rsidR="00FF57A8" w:rsidRPr="00BC31E0">
        <w:rPr>
          <w:rFonts w:hint="eastAsia"/>
        </w:rPr>
        <w:t>の最大周方向応力</w:t>
      </w:r>
      <w:r w:rsidR="00FF57A8" w:rsidRPr="00BC31E0">
        <w:rPr>
          <w:rFonts w:hint="eastAsia"/>
        </w:rPr>
        <w:t>(</w:t>
      </w:r>
      <w:r w:rsidR="00FF57A8" w:rsidRPr="00BC31E0">
        <w:rPr>
          <w:rFonts w:ascii="Cambria Math" w:hAnsi="Cambria Math"/>
        </w:rPr>
        <w:t>MPa</w:t>
      </w:r>
      <w:r w:rsidR="00FF57A8" w:rsidRPr="00BC31E0">
        <w:rPr>
          <w:rFonts w:hint="eastAsia"/>
        </w:rPr>
        <w:t>)</w:t>
      </w:r>
    </w:p>
    <w:p w14:paraId="62BC01E3"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S</m:t>
            </m:r>
          </m:e>
          <m:sub>
            <m:r>
              <w:rPr>
                <w:rFonts w:ascii="Cambria Math" w:hAnsi="Cambria Math"/>
              </w:rPr>
              <m:t>3</m:t>
            </m:r>
          </m:sub>
        </m:sSub>
      </m:oMath>
      <w:r w:rsidR="00FF57A8" w:rsidRPr="00BC31E0">
        <w:rPr>
          <w:bCs/>
        </w:rPr>
        <w:tab/>
      </w:r>
      <w:r w:rsidR="00FF57A8" w:rsidRPr="00BC31E0">
        <w:rPr>
          <w:rFonts w:hint="eastAsia"/>
        </w:rPr>
        <w:t>：</w:t>
      </w:r>
      <w:r w:rsidR="00FF57A8" w:rsidRPr="00BC31E0">
        <w:rPr>
          <w:rFonts w:hint="eastAsia"/>
        </w:rPr>
        <w:t xml:space="preserve"> </w:t>
      </w:r>
      <w:r w:rsidR="00FF57A8" w:rsidRPr="00BC31E0">
        <w:rPr>
          <w:rFonts w:hint="eastAsia"/>
        </w:rPr>
        <w:t>ハブ長手方向せん断応力</w:t>
      </w:r>
      <w:r w:rsidR="00FF57A8" w:rsidRPr="00BC31E0">
        <w:rPr>
          <w:rFonts w:hint="eastAsia"/>
        </w:rPr>
        <w:t>(</w:t>
      </w:r>
      <w:r w:rsidR="00FF57A8" w:rsidRPr="00BC31E0">
        <w:rPr>
          <w:rFonts w:ascii="Cambria Math" w:hAnsi="Cambria Math"/>
        </w:rPr>
        <w:t>MPa</w:t>
      </w:r>
      <w:r w:rsidR="00FF57A8" w:rsidRPr="00BC31E0">
        <w:rPr>
          <w:rFonts w:hint="eastAsia"/>
        </w:rPr>
        <w:t>)</w:t>
      </w:r>
    </w:p>
    <w:p w14:paraId="61A1530E"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S</m:t>
            </m:r>
          </m:e>
          <m:sub>
            <m:r>
              <w:rPr>
                <w:rFonts w:ascii="Cambria Math" w:hAnsi="Cambria Math"/>
              </w:rPr>
              <m:t>4</m:t>
            </m:r>
          </m:sub>
        </m:sSub>
      </m:oMath>
      <w:r w:rsidR="00FF57A8" w:rsidRPr="00BC31E0">
        <w:rPr>
          <w:bCs/>
        </w:rPr>
        <w:tab/>
      </w:r>
      <w:r w:rsidR="00FF57A8" w:rsidRPr="00BC31E0">
        <w:rPr>
          <w:rFonts w:hint="eastAsia"/>
        </w:rPr>
        <w:t>：</w:t>
      </w:r>
      <w:r w:rsidR="00FF57A8" w:rsidRPr="00BC31E0">
        <w:rPr>
          <w:rFonts w:hint="eastAsia"/>
        </w:rPr>
        <w:t xml:space="preserve"> </w:t>
      </w:r>
      <w:r w:rsidR="00FF57A8" w:rsidRPr="00BC31E0">
        <w:rPr>
          <w:rFonts w:hint="eastAsia"/>
        </w:rPr>
        <w:t>ハブネックにおけるハブ半径方向せん断応力</w:t>
      </w:r>
      <w:r w:rsidR="00FF57A8" w:rsidRPr="00BC31E0">
        <w:rPr>
          <w:rFonts w:hint="eastAsia"/>
        </w:rPr>
        <w:t>(</w:t>
      </w:r>
      <w:r w:rsidR="00FF57A8" w:rsidRPr="00BC31E0">
        <w:rPr>
          <w:rFonts w:ascii="Cambria Math" w:hAnsi="Cambria Math"/>
        </w:rPr>
        <w:t>MPa</w:t>
      </w:r>
      <w:r w:rsidR="00FF57A8" w:rsidRPr="00BC31E0">
        <w:rPr>
          <w:rFonts w:hint="eastAsia"/>
        </w:rPr>
        <w:t>)</w:t>
      </w:r>
    </w:p>
    <w:p w14:paraId="04FC2804"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S</m:t>
            </m:r>
          </m:e>
          <m:sub>
            <m:r>
              <w:rPr>
                <w:rFonts w:ascii="Cambria Math" w:hAnsi="Cambria Math"/>
              </w:rPr>
              <m:t>5</m:t>
            </m:r>
          </m:sub>
        </m:sSub>
      </m:oMath>
      <w:r w:rsidR="00FF57A8" w:rsidRPr="00BC31E0">
        <w:rPr>
          <w:bCs/>
        </w:rPr>
        <w:tab/>
      </w:r>
      <w:r w:rsidR="00FF57A8" w:rsidRPr="00BC31E0">
        <w:rPr>
          <w:rFonts w:hint="eastAsia"/>
        </w:rPr>
        <w:t>：</w:t>
      </w:r>
      <w:r w:rsidR="00FF57A8" w:rsidRPr="00BC31E0">
        <w:rPr>
          <w:rFonts w:hint="eastAsia"/>
        </w:rPr>
        <w:t xml:space="preserve"> </w:t>
      </w:r>
      <w:r w:rsidR="00FF57A8" w:rsidRPr="00BC31E0">
        <w:rPr>
          <w:rFonts w:hint="eastAsia"/>
        </w:rPr>
        <w:t>クランプボディ内径におけるクランプ長手方向応力</w:t>
      </w:r>
      <w:r w:rsidR="00FF57A8" w:rsidRPr="00BC31E0">
        <w:rPr>
          <w:rFonts w:hint="eastAsia"/>
        </w:rPr>
        <w:t>(</w:t>
      </w:r>
      <w:r w:rsidR="00FF57A8" w:rsidRPr="00BC31E0">
        <w:rPr>
          <w:rFonts w:ascii="Cambria Math" w:hAnsi="Cambria Math"/>
        </w:rPr>
        <w:t>MPa</w:t>
      </w:r>
      <w:r w:rsidR="00FF57A8" w:rsidRPr="00BC31E0">
        <w:rPr>
          <w:rFonts w:hint="eastAsia"/>
        </w:rPr>
        <w:t>)</w:t>
      </w:r>
    </w:p>
    <w:p w14:paraId="5897D274" w14:textId="77777777" w:rsidR="00FF57A8" w:rsidRPr="00BC31E0" w:rsidRDefault="00A51873" w:rsidP="001B7872">
      <w:pPr>
        <w:tabs>
          <w:tab w:val="left" w:pos="709"/>
        </w:tabs>
        <w:autoSpaceDE w:val="0"/>
        <w:autoSpaceDN w:val="0"/>
        <w:ind w:leftChars="100" w:left="210"/>
        <w:rPr>
          <w:bCs/>
        </w:rPr>
      </w:pPr>
      <m:oMath>
        <m:sSub>
          <m:sSubPr>
            <m:ctrlPr>
              <w:rPr>
                <w:rFonts w:ascii="Cambria Math" w:hAnsi="Cambria Math"/>
                <w:i/>
              </w:rPr>
            </m:ctrlPr>
          </m:sSubPr>
          <m:e>
            <m:r>
              <w:rPr>
                <w:rFonts w:ascii="Cambria Math" w:hAnsi="Cambria Math"/>
              </w:rPr>
              <m:t>S</m:t>
            </m:r>
          </m:e>
          <m:sub>
            <m:r>
              <w:rPr>
                <w:rFonts w:ascii="Cambria Math" w:hAnsi="Cambria Math"/>
              </w:rPr>
              <m:t>6</m:t>
            </m:r>
          </m:sub>
        </m:sSub>
      </m:oMath>
      <w:r w:rsidR="00FF57A8" w:rsidRPr="00BC31E0">
        <w:rPr>
          <w:bCs/>
          <w:vertAlign w:val="subscript"/>
        </w:rPr>
        <w:tab/>
      </w:r>
      <w:r w:rsidR="00FF57A8" w:rsidRPr="00BC31E0">
        <w:rPr>
          <w:rFonts w:hint="eastAsia"/>
          <w:bCs/>
        </w:rPr>
        <w:t>：</w:t>
      </w:r>
      <w:r w:rsidR="00FF57A8" w:rsidRPr="00BC31E0">
        <w:rPr>
          <w:rFonts w:hint="eastAsia"/>
          <w:bCs/>
        </w:rPr>
        <w:t xml:space="preserve"> </w:t>
      </w:r>
      <w:r w:rsidR="00FF57A8" w:rsidRPr="00BC31E0">
        <w:rPr>
          <w:rFonts w:hint="eastAsia"/>
        </w:rPr>
        <w:t>クランプボディ外径におけるクランプ周方向応力</w:t>
      </w:r>
      <w:r w:rsidR="00FF57A8" w:rsidRPr="00BC31E0">
        <w:rPr>
          <w:rFonts w:hint="eastAsia"/>
        </w:rPr>
        <w:t>(</w:t>
      </w:r>
      <w:r w:rsidR="00FF57A8" w:rsidRPr="00BC31E0">
        <w:rPr>
          <w:rFonts w:ascii="Cambria Math" w:hAnsi="Cambria Math"/>
        </w:rPr>
        <w:t>MPa</w:t>
      </w:r>
      <w:r w:rsidR="00FF57A8" w:rsidRPr="00BC31E0">
        <w:rPr>
          <w:rFonts w:hint="eastAsia"/>
        </w:rPr>
        <w:t>)</w:t>
      </w:r>
    </w:p>
    <w:p w14:paraId="5371A466"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S</m:t>
            </m:r>
          </m:e>
          <m:sub>
            <m:r>
              <w:rPr>
                <w:rFonts w:ascii="Cambria Math" w:hAnsi="Cambria Math"/>
              </w:rPr>
              <m:t>7</m:t>
            </m:r>
          </m:sub>
        </m:sSub>
      </m:oMath>
      <w:r w:rsidR="00FF57A8" w:rsidRPr="00BC31E0">
        <w:tab/>
      </w:r>
      <w:r w:rsidR="00FF57A8" w:rsidRPr="00BC31E0">
        <w:rPr>
          <w:rFonts w:hint="eastAsia"/>
        </w:rPr>
        <w:t>：</w:t>
      </w:r>
      <w:r w:rsidR="00FF57A8" w:rsidRPr="00BC31E0">
        <w:rPr>
          <w:rFonts w:hint="eastAsia"/>
        </w:rPr>
        <w:t xml:space="preserve"> </w:t>
      </w:r>
      <w:r w:rsidR="00FF57A8" w:rsidRPr="00BC31E0">
        <w:rPr>
          <w:rFonts w:hint="eastAsia"/>
        </w:rPr>
        <w:t>クランプリップにおける最大せん断応力</w:t>
      </w:r>
      <w:r w:rsidR="00FF57A8" w:rsidRPr="00BC31E0">
        <w:rPr>
          <w:rFonts w:hint="eastAsia"/>
        </w:rPr>
        <w:t>(</w:t>
      </w:r>
      <w:r w:rsidR="00FF57A8" w:rsidRPr="00BC31E0">
        <w:rPr>
          <w:rFonts w:ascii="Cambria Math" w:hAnsi="Cambria Math"/>
        </w:rPr>
        <w:t>MPa</w:t>
      </w:r>
      <w:r w:rsidR="00FF57A8" w:rsidRPr="00BC31E0">
        <w:rPr>
          <w:rFonts w:hint="eastAsia"/>
        </w:rPr>
        <w:t>)</w:t>
      </w:r>
    </w:p>
    <w:p w14:paraId="49BCCB59"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S</m:t>
            </m:r>
          </m:e>
          <m:sub>
            <m:r>
              <w:rPr>
                <w:rFonts w:ascii="Cambria Math" w:hAnsi="Cambria Math"/>
              </w:rPr>
              <m:t>8</m:t>
            </m:r>
          </m:sub>
        </m:sSub>
      </m:oMath>
      <w:r w:rsidR="00FF57A8" w:rsidRPr="00BC31E0">
        <w:tab/>
      </w:r>
      <w:r w:rsidR="00FF57A8" w:rsidRPr="00BC31E0">
        <w:rPr>
          <w:rFonts w:hint="eastAsia"/>
        </w:rPr>
        <w:t>：</w:t>
      </w:r>
      <w:r w:rsidR="00FF57A8" w:rsidRPr="00BC31E0">
        <w:rPr>
          <w:rFonts w:hint="eastAsia"/>
        </w:rPr>
        <w:t xml:space="preserve"> </w:t>
      </w:r>
      <w:r w:rsidR="00FF57A8" w:rsidRPr="00BC31E0">
        <w:rPr>
          <w:rFonts w:hint="eastAsia"/>
        </w:rPr>
        <w:t>クランプリップの曲げ応力</w:t>
      </w:r>
      <w:r w:rsidR="00FF57A8" w:rsidRPr="00BC31E0">
        <w:rPr>
          <w:rFonts w:hint="eastAsia"/>
        </w:rPr>
        <w:t>(</w:t>
      </w:r>
      <w:r w:rsidR="00FF57A8" w:rsidRPr="00BC31E0">
        <w:rPr>
          <w:rFonts w:ascii="Cambria Math" w:hAnsi="Cambria Math"/>
        </w:rPr>
        <w:t>MPa</w:t>
      </w:r>
      <w:r w:rsidR="00FF57A8" w:rsidRPr="00BC31E0">
        <w:rPr>
          <w:rFonts w:hint="eastAsia"/>
        </w:rPr>
        <w:t>)</w:t>
      </w:r>
    </w:p>
    <w:p w14:paraId="6AD1FD8E"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S</m:t>
            </m:r>
          </m:e>
          <m:sub>
            <m:r>
              <w:rPr>
                <w:rFonts w:ascii="Cambria Math" w:hAnsi="Cambria Math"/>
              </w:rPr>
              <m:t>9</m:t>
            </m:r>
          </m:sub>
        </m:sSub>
      </m:oMath>
      <w:r w:rsidR="00FF57A8" w:rsidRPr="00BC31E0">
        <w:tab/>
      </w:r>
      <w:r w:rsidR="00FF57A8" w:rsidRPr="00BC31E0">
        <w:rPr>
          <w:rFonts w:hint="eastAsia"/>
        </w:rPr>
        <w:t>：</w:t>
      </w:r>
      <w:r w:rsidR="00FF57A8" w:rsidRPr="00BC31E0">
        <w:rPr>
          <w:rFonts w:hint="eastAsia"/>
        </w:rPr>
        <w:t xml:space="preserve"> </w:t>
      </w:r>
      <w:r w:rsidR="00FF57A8" w:rsidRPr="00BC31E0">
        <w:rPr>
          <w:rFonts w:hint="eastAsia"/>
        </w:rPr>
        <w:t>クランプラグの曲げ応力</w:t>
      </w:r>
      <w:r w:rsidR="00FF57A8" w:rsidRPr="00BC31E0">
        <w:rPr>
          <w:rFonts w:hint="eastAsia"/>
        </w:rPr>
        <w:t>(</w:t>
      </w:r>
      <w:r w:rsidR="00FF57A8" w:rsidRPr="00BC31E0">
        <w:rPr>
          <w:rFonts w:ascii="Cambria Math" w:hAnsi="Cambria Math"/>
        </w:rPr>
        <w:t>MPa</w:t>
      </w:r>
      <w:r w:rsidR="00FF57A8" w:rsidRPr="00BC31E0">
        <w:rPr>
          <w:rFonts w:hint="eastAsia"/>
        </w:rPr>
        <w:t>)</w:t>
      </w:r>
    </w:p>
    <w:p w14:paraId="14F923D4"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S</m:t>
            </m:r>
          </m:e>
          <m:sub>
            <m:r>
              <w:rPr>
                <w:rFonts w:ascii="Cambria Math" w:hAnsi="Cambria Math"/>
              </w:rPr>
              <m:t>10</m:t>
            </m:r>
          </m:sub>
        </m:sSub>
      </m:oMath>
      <w:r w:rsidR="00FF57A8" w:rsidRPr="00BC31E0">
        <w:tab/>
      </w:r>
      <w:r w:rsidR="00FF57A8" w:rsidRPr="00BC31E0">
        <w:rPr>
          <w:rFonts w:hint="eastAsia"/>
        </w:rPr>
        <w:t>：</w:t>
      </w:r>
      <w:r w:rsidR="00FF57A8" w:rsidRPr="00BC31E0">
        <w:rPr>
          <w:rFonts w:hint="eastAsia"/>
        </w:rPr>
        <w:t xml:space="preserve"> </w:t>
      </w:r>
      <w:r w:rsidR="00FF57A8" w:rsidRPr="00BC31E0">
        <w:rPr>
          <w:rFonts w:hint="eastAsia"/>
        </w:rPr>
        <w:t>クランプラグの最大せん断応力</w:t>
      </w:r>
      <w:r w:rsidR="00FF57A8" w:rsidRPr="00BC31E0">
        <w:rPr>
          <w:rFonts w:hint="eastAsia"/>
        </w:rPr>
        <w:t>(</w:t>
      </w:r>
      <w:r w:rsidR="00FF57A8" w:rsidRPr="00BC31E0">
        <w:rPr>
          <w:rFonts w:ascii="Cambria Math" w:hAnsi="Cambria Math"/>
        </w:rPr>
        <w:t>MPa</w:t>
      </w:r>
      <w:r w:rsidR="00FF57A8" w:rsidRPr="00BC31E0">
        <w:rPr>
          <w:rFonts w:hint="eastAsia"/>
        </w:rPr>
        <w:t>)</w:t>
      </w:r>
    </w:p>
    <w:p w14:paraId="34E03D94"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S</m:t>
            </m:r>
          </m:e>
          <m:sub>
            <m:r>
              <w:rPr>
                <w:rFonts w:ascii="Cambria Math" w:hAnsi="Cambria Math"/>
              </w:rPr>
              <m:t>11</m:t>
            </m:r>
          </m:sub>
        </m:sSub>
      </m:oMath>
      <w:r w:rsidR="00FF57A8" w:rsidRPr="00BC31E0">
        <w:tab/>
      </w:r>
      <w:r w:rsidR="00FF57A8" w:rsidRPr="00BC31E0">
        <w:rPr>
          <w:rFonts w:hint="eastAsia"/>
        </w:rPr>
        <w:t>：</w:t>
      </w:r>
      <w:r w:rsidR="00FF57A8" w:rsidRPr="00BC31E0">
        <w:rPr>
          <w:rFonts w:hint="eastAsia"/>
        </w:rPr>
        <w:t xml:space="preserve"> </w:t>
      </w:r>
      <w:r w:rsidR="00FF57A8" w:rsidRPr="00BC31E0">
        <w:rPr>
          <w:rFonts w:hint="eastAsia"/>
        </w:rPr>
        <w:t>クランプとハブの間の有効支圧応力</w:t>
      </w:r>
      <w:r w:rsidR="00FF57A8" w:rsidRPr="00BC31E0">
        <w:rPr>
          <w:rFonts w:hint="eastAsia"/>
        </w:rPr>
        <w:t>(</w:t>
      </w:r>
      <w:r w:rsidR="00FF57A8" w:rsidRPr="00BC31E0">
        <w:rPr>
          <w:rFonts w:ascii="Cambria Math" w:hAnsi="Cambria Math"/>
        </w:rPr>
        <w:t>MPa</w:t>
      </w:r>
      <w:r w:rsidR="00FF57A8" w:rsidRPr="00BC31E0">
        <w:rPr>
          <w:rFonts w:hint="eastAsia"/>
        </w:rPr>
        <w:t>)</w:t>
      </w:r>
    </w:p>
    <w:p w14:paraId="19A72E22" w14:textId="77777777" w:rsidR="00FF57A8" w:rsidRPr="00BC31E0" w:rsidRDefault="00FF57A8" w:rsidP="001B7872">
      <w:pPr>
        <w:tabs>
          <w:tab w:val="left" w:pos="709"/>
        </w:tabs>
        <w:autoSpaceDE w:val="0"/>
        <w:autoSpaceDN w:val="0"/>
        <w:ind w:leftChars="100" w:left="210"/>
      </w:pPr>
      <m:oMath>
        <m:r>
          <w:rPr>
            <w:rFonts w:ascii="Cambria Math" w:hAnsi="Cambria Math"/>
          </w:rPr>
          <m:t>T</m:t>
        </m:r>
      </m:oMath>
      <w:r w:rsidRPr="00BC31E0">
        <w:rPr>
          <w:rFonts w:hint="eastAsia"/>
          <w:i/>
        </w:rPr>
        <w:tab/>
      </w:r>
      <w:r w:rsidRPr="00BC31E0">
        <w:rPr>
          <w:rFonts w:hint="eastAsia"/>
        </w:rPr>
        <w:t>：</w:t>
      </w:r>
      <w:r w:rsidRPr="00BC31E0">
        <w:rPr>
          <w:rFonts w:hint="eastAsia"/>
        </w:rPr>
        <w:t xml:space="preserve"> </w:t>
      </w:r>
      <w:r w:rsidRPr="00BC31E0">
        <w:rPr>
          <w:rFonts w:hint="eastAsia"/>
        </w:rPr>
        <w:t>ハブ肩部の厚さ</w:t>
      </w:r>
      <w:r w:rsidRPr="00BC31E0">
        <w:rPr>
          <w:rFonts w:hint="eastAsia"/>
        </w:rPr>
        <w:t>(</w:t>
      </w:r>
      <w:r w:rsidRPr="00BC31E0">
        <w:rPr>
          <w:rFonts w:ascii="Cambria Math" w:hAnsi="Cambria Math"/>
        </w:rPr>
        <w:t>mm</w:t>
      </w:r>
      <w:r w:rsidRPr="00BC31E0">
        <w:rPr>
          <w:rFonts w:hint="eastAsia"/>
        </w:rPr>
        <w:t>)</w:t>
      </w:r>
    </w:p>
    <w:p w14:paraId="3DA1A040"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T</m:t>
            </m:r>
          </m:e>
          <m:sub>
            <m:r>
              <w:rPr>
                <w:rFonts w:ascii="Cambria Math" w:hAnsi="Cambria Math"/>
              </w:rPr>
              <m:t>c</m:t>
            </m:r>
          </m:sub>
        </m:sSub>
      </m:oMath>
      <w:r w:rsidR="00FF57A8" w:rsidRPr="00BC31E0">
        <w:tab/>
      </w:r>
      <w:r w:rsidR="00FF57A8" w:rsidRPr="00BC31E0">
        <w:rPr>
          <w:rFonts w:hint="eastAsia"/>
        </w:rPr>
        <w:t>：</w:t>
      </w:r>
      <w:r w:rsidR="00FF57A8" w:rsidRPr="00BC31E0">
        <w:rPr>
          <w:rFonts w:hint="eastAsia"/>
        </w:rPr>
        <w:t xml:space="preserve"> </w:t>
      </w:r>
      <w:r w:rsidR="00FF57A8" w:rsidRPr="00BC31E0">
        <w:rPr>
          <w:rFonts w:hint="eastAsia"/>
        </w:rPr>
        <w:t>ハブの外側角部下のクランプリップ厚さ</w:t>
      </w:r>
      <w:r w:rsidR="00FF57A8" w:rsidRPr="00BC31E0">
        <w:rPr>
          <w:rFonts w:hint="eastAsia"/>
        </w:rPr>
        <w:t>(</w:t>
      </w:r>
      <w:r w:rsidR="00FF57A8" w:rsidRPr="00BC31E0">
        <w:rPr>
          <w:rFonts w:ascii="Cambria Math" w:hAnsi="Cambria Math"/>
        </w:rPr>
        <w:t>mm</w:t>
      </w:r>
      <w:r w:rsidR="00FF57A8" w:rsidRPr="00BC31E0">
        <w:rPr>
          <w:rFonts w:hint="eastAsia"/>
        </w:rPr>
        <w:t>)</w:t>
      </w:r>
    </w:p>
    <w:tbl>
      <w:tblPr>
        <w:tblStyle w:val="afff2"/>
        <w:tblW w:w="0" w:type="auto"/>
        <w:tblInd w:w="1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8"/>
      </w:tblGrid>
      <w:tr w:rsidR="00FF57A8" w:rsidRPr="00BC31E0" w14:paraId="5B54EFEF" w14:textId="77777777" w:rsidTr="004736F2">
        <w:tc>
          <w:tcPr>
            <w:tcW w:w="0" w:type="auto"/>
            <w:tcMar>
              <w:left w:w="0" w:type="dxa"/>
              <w:right w:w="0" w:type="dxa"/>
            </w:tcMar>
            <w:vAlign w:val="center"/>
          </w:tcPr>
          <w:p w14:paraId="7C8D7F2E" w14:textId="77777777" w:rsidR="00FF57A8" w:rsidRPr="00BC31E0" w:rsidRDefault="00FF57A8" w:rsidP="001B7872">
            <w:pPr>
              <w:autoSpaceDE w:val="0"/>
              <w:autoSpaceDN w:val="0"/>
              <w:jc w:val="left"/>
              <w:rPr>
                <w:rFonts w:asciiTheme="minorHAnsi" w:hAnsiTheme="minorHAnsi"/>
                <w:i/>
              </w:rPr>
            </w:pPr>
            <m:oMathPara>
              <m:oMathParaPr>
                <m:jc m:val="left"/>
              </m:oMathParaP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g</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or</m:t>
                            </m:r>
                          </m:sub>
                        </m:sSub>
                        <m:r>
                          <w:rPr>
                            <w:rFonts w:ascii="Cambria Math" w:hAnsi="Cambria Math"/>
                          </w:rPr>
                          <m:t>-C</m:t>
                        </m:r>
                      </m:e>
                    </m:d>
                    <m:func>
                      <m:funcPr>
                        <m:ctrlPr>
                          <w:rPr>
                            <w:rFonts w:ascii="Cambria Math" w:hAnsi="Cambria Math"/>
                            <w:i/>
                          </w:rPr>
                        </m:ctrlPr>
                      </m:funcPr>
                      <m:fName>
                        <m:r>
                          <m:rPr>
                            <m:sty m:val="bi"/>
                          </m:rPr>
                          <w:rPr>
                            <w:rFonts w:ascii="Cambria Math" w:hAnsi="Cambria Math"/>
                          </w:rPr>
                          <m:t>tan</m:t>
                        </m:r>
                      </m:fName>
                      <m:e>
                        <m:r>
                          <w:rPr>
                            <w:rFonts w:ascii="Cambria Math" w:hAnsi="Cambria Math"/>
                          </w:rPr>
                          <m:t>ϕ</m:t>
                        </m:r>
                      </m:e>
                    </m:func>
                  </m:e>
                </m:d>
              </m:oMath>
            </m:oMathPara>
          </w:p>
        </w:tc>
      </w:tr>
    </w:tbl>
    <w:p w14:paraId="64859723"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T</m:t>
            </m:r>
          </m:e>
          <m:sub>
            <m:r>
              <w:rPr>
                <w:rFonts w:ascii="Cambria Math" w:hAnsi="Cambria Math"/>
              </w:rPr>
              <m:t>h</m:t>
            </m:r>
          </m:sub>
        </m:sSub>
      </m:oMath>
      <w:r w:rsidR="00FF57A8" w:rsidRPr="00BC31E0">
        <w:tab/>
      </w:r>
      <w:r w:rsidR="00FF57A8" w:rsidRPr="00BC31E0">
        <w:rPr>
          <w:rFonts w:hint="eastAsia"/>
        </w:rPr>
        <w:t>：</w:t>
      </w:r>
      <w:r w:rsidR="00FF57A8" w:rsidRPr="00BC31E0">
        <w:rPr>
          <w:rFonts w:hint="eastAsia"/>
        </w:rPr>
        <w:t xml:space="preserve"> </w:t>
      </w:r>
      <w:r w:rsidR="00FF57A8" w:rsidRPr="00BC31E0">
        <w:rPr>
          <w:rFonts w:hint="eastAsia"/>
        </w:rPr>
        <w:t>クランプの内側角部下のハブ肩部厚さ</w:t>
      </w:r>
      <w:r w:rsidR="00FF57A8" w:rsidRPr="00BC31E0">
        <w:rPr>
          <w:rFonts w:hint="eastAsia"/>
        </w:rPr>
        <w:t>(</w:t>
      </w:r>
      <w:r w:rsidR="00FF57A8" w:rsidRPr="00BC31E0">
        <w:rPr>
          <w:rFonts w:ascii="Cambria Math" w:hAnsi="Cambria Math"/>
        </w:rPr>
        <w:t>mm</w:t>
      </w:r>
      <w:r w:rsidR="00FF57A8" w:rsidRPr="00BC31E0">
        <w:rPr>
          <w:rFonts w:hint="eastAsia"/>
        </w:rPr>
        <w:t>)</w:t>
      </w:r>
    </w:p>
    <w:tbl>
      <w:tblPr>
        <w:tblStyle w:val="afff2"/>
        <w:tblW w:w="0" w:type="auto"/>
        <w:tblInd w:w="1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4"/>
      </w:tblGrid>
      <w:tr w:rsidR="00FF57A8" w:rsidRPr="00BC31E0" w14:paraId="59C55C2D" w14:textId="77777777" w:rsidTr="004736F2">
        <w:tc>
          <w:tcPr>
            <w:tcW w:w="0" w:type="auto"/>
            <w:tcMar>
              <w:left w:w="0" w:type="dxa"/>
              <w:right w:w="0" w:type="dxa"/>
            </w:tcMar>
            <w:vAlign w:val="center"/>
          </w:tcPr>
          <w:p w14:paraId="74040875" w14:textId="77777777" w:rsidR="00FF57A8" w:rsidRPr="00BC31E0" w:rsidRDefault="00FF57A8" w:rsidP="001B7872">
            <w:pPr>
              <w:autoSpaceDE w:val="0"/>
              <w:autoSpaceDN w:val="0"/>
              <w:jc w:val="left"/>
              <w:rPr>
                <w:rFonts w:asciiTheme="minorHAnsi" w:hAnsiTheme="minorHAnsi"/>
                <w:i/>
              </w:rPr>
            </w:pPr>
            <m:oMathPara>
              <m:oMathParaPr>
                <m:jc m:val="left"/>
              </m:oMathParaPr>
              <m:oMath>
                <m:r>
                  <w:rPr>
                    <w:rFonts w:ascii="Cambria Math" w:hAnsi="Cambria Math"/>
                  </w:rPr>
                  <m:t>=T-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ir</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o</m:t>
                            </m:r>
                          </m:sub>
                        </m:sSub>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e>
                </m:d>
                <m:func>
                  <m:funcPr>
                    <m:ctrlPr>
                      <w:rPr>
                        <w:rFonts w:ascii="Cambria Math" w:hAnsi="Cambria Math"/>
                        <w:i/>
                      </w:rPr>
                    </m:ctrlPr>
                  </m:funcPr>
                  <m:fName>
                    <m:r>
                      <m:rPr>
                        <m:sty m:val="bi"/>
                      </m:rPr>
                      <w:rPr>
                        <w:rFonts w:ascii="Cambria Math" w:hAnsi="Cambria Math"/>
                      </w:rPr>
                      <m:t>tan</m:t>
                    </m:r>
                  </m:fName>
                  <m:e>
                    <m:r>
                      <w:rPr>
                        <w:rFonts w:ascii="Cambria Math" w:hAnsi="Cambria Math"/>
                      </w:rPr>
                      <m:t>ϕ</m:t>
                    </m:r>
                  </m:e>
                </m:func>
              </m:oMath>
            </m:oMathPara>
          </w:p>
        </w:tc>
      </w:tr>
    </w:tbl>
    <w:p w14:paraId="036E04F1" w14:textId="77777777" w:rsidR="00FF57A8" w:rsidRPr="00BC31E0" w:rsidRDefault="00FF57A8" w:rsidP="001B7872">
      <w:pPr>
        <w:tabs>
          <w:tab w:val="left" w:pos="709"/>
        </w:tabs>
        <w:autoSpaceDE w:val="0"/>
        <w:autoSpaceDN w:val="0"/>
        <w:ind w:leftChars="100" w:left="210"/>
      </w:pPr>
      <m:oMath>
        <m:r>
          <w:rPr>
            <w:rFonts w:ascii="Cambria Math" w:hAnsi="Cambria Math"/>
          </w:rPr>
          <m:t>W</m:t>
        </m:r>
      </m:oMath>
      <w:r w:rsidRPr="00BC31E0">
        <w:tab/>
      </w:r>
      <w:r w:rsidRPr="00BC31E0">
        <w:rPr>
          <w:rFonts w:hint="eastAsia"/>
        </w:rPr>
        <w:t>：</w:t>
      </w:r>
      <w:r w:rsidRPr="00BC31E0">
        <w:rPr>
          <w:rFonts w:hint="eastAsia"/>
        </w:rPr>
        <w:t xml:space="preserve"> </w:t>
      </w:r>
      <w:r w:rsidRPr="00BC31E0">
        <w:rPr>
          <w:rFonts w:hint="eastAsia"/>
        </w:rPr>
        <w:t>適用する運転条件又はガスケット締付条件に必要な合計設計ボルト荷重</w:t>
      </w:r>
      <w:r w:rsidRPr="00BC31E0">
        <w:rPr>
          <w:rFonts w:hint="eastAsia"/>
        </w:rPr>
        <w:t>(</w:t>
      </w:r>
      <w:r w:rsidRPr="00BC31E0">
        <w:rPr>
          <w:rFonts w:ascii="Cambria Math" w:hAnsi="Cambria Math"/>
        </w:rPr>
        <w:t>N</w:t>
      </w:r>
      <w:r w:rsidRPr="00BC31E0">
        <w:rPr>
          <w:rFonts w:hint="eastAsia"/>
        </w:rPr>
        <w:t>)</w:t>
      </w:r>
    </w:p>
    <w:p w14:paraId="2EC035D1"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W</m:t>
            </m:r>
          </m:e>
          <m:sub>
            <m:r>
              <w:rPr>
                <w:rFonts w:ascii="Cambria Math" w:hAnsi="Cambria Math"/>
              </w:rPr>
              <m:t>c</m:t>
            </m:r>
          </m:sub>
        </m:sSub>
      </m:oMath>
      <w:r w:rsidR="00FF57A8" w:rsidRPr="00BC31E0">
        <w:tab/>
      </w:r>
      <w:r w:rsidR="00FF57A8" w:rsidRPr="00BC31E0">
        <w:rPr>
          <w:rFonts w:hint="eastAsia"/>
        </w:rPr>
        <w:t>：</w:t>
      </w:r>
      <w:r w:rsidR="00FF57A8" w:rsidRPr="00BC31E0">
        <w:rPr>
          <w:rFonts w:hint="eastAsia"/>
        </w:rPr>
        <w:t xml:space="preserve"> </w:t>
      </w:r>
      <w:r w:rsidR="00FF57A8" w:rsidRPr="00BC31E0">
        <w:rPr>
          <w:rFonts w:hint="eastAsia"/>
        </w:rPr>
        <w:t>一つのリップに対する合計有効クランプ締付荷重</w:t>
      </w:r>
      <w:r w:rsidR="00FF57A8" w:rsidRPr="00BC31E0">
        <w:rPr>
          <w:rFonts w:hint="eastAsia"/>
        </w:rPr>
        <w:t>(</w:t>
      </w:r>
      <w:r w:rsidR="00FF57A8" w:rsidRPr="00BC31E0">
        <w:rPr>
          <w:rFonts w:ascii="Cambria Math" w:hAnsi="Cambria Math"/>
        </w:rPr>
        <w:t>N</w:t>
      </w:r>
      <w:r w:rsidR="00FF57A8" w:rsidRPr="00BC31E0">
        <w:rPr>
          <w:rFonts w:hint="eastAsia"/>
        </w:rPr>
        <w:t>)</w:t>
      </w:r>
    </w:p>
    <w:p w14:paraId="1EDD6978" w14:textId="77777777" w:rsidR="00FF57A8" w:rsidRPr="00BC31E0" w:rsidRDefault="00FF57A8" w:rsidP="001B7872">
      <w:pPr>
        <w:autoSpaceDE w:val="0"/>
        <w:autoSpaceDN w:val="0"/>
        <w:ind w:left="1077"/>
      </w:pPr>
      <m:oMath>
        <m:r>
          <w:rPr>
            <w:rFonts w:ascii="Cambria Math" w:hAnsi="Cambria Math"/>
          </w:rPr>
          <m:t>=</m:t>
        </m:r>
        <m:f>
          <m:fPr>
            <m:type m:val="lin"/>
            <m:ctrlPr>
              <w:rPr>
                <w:rFonts w:ascii="Cambria Math" w:hAnsi="Cambria Math"/>
                <w:i/>
              </w:rPr>
            </m:ctrlPr>
          </m:fPr>
          <m:num>
            <m:r>
              <w:rPr>
                <w:rFonts w:ascii="Cambria Math" w:hAnsi="Cambria Math"/>
              </w:rPr>
              <m:t>π W</m:t>
            </m:r>
          </m:num>
          <m:den>
            <m:d>
              <m:dPr>
                <m:begChr m:val="{"/>
                <m:endChr m:val="}"/>
                <m:ctrlPr>
                  <w:rPr>
                    <w:rFonts w:ascii="Cambria Math" w:hAnsi="Cambria Math"/>
                    <w:i/>
                  </w:rPr>
                </m:ctrlPr>
              </m:dPr>
              <m:e>
                <m:r>
                  <w:rPr>
                    <w:rFonts w:ascii="Cambria Math" w:hAnsi="Cambria Math"/>
                  </w:rPr>
                  <m:t xml:space="preserve">2 </m:t>
                </m:r>
                <m:func>
                  <m:funcPr>
                    <m:ctrlPr>
                      <w:rPr>
                        <w:rFonts w:ascii="Cambria Math" w:hAnsi="Cambria Math"/>
                        <w:i/>
                      </w:rPr>
                    </m:ctrlPr>
                  </m:funcPr>
                  <m:fName>
                    <m:r>
                      <m:rPr>
                        <m:sty m:val="bi"/>
                      </m:rPr>
                      <w:rPr>
                        <w:rFonts w:ascii="Cambria Math" w:hAnsi="Cambria Math"/>
                      </w:rPr>
                      <m:t>tan</m:t>
                    </m:r>
                  </m:fName>
                  <m:e>
                    <m:d>
                      <m:dPr>
                        <m:ctrlPr>
                          <w:rPr>
                            <w:rFonts w:ascii="Cambria Math" w:hAnsi="Cambria Math"/>
                            <w:i/>
                          </w:rPr>
                        </m:ctrlPr>
                      </m:dPr>
                      <m:e>
                        <m:r>
                          <w:rPr>
                            <w:rFonts w:ascii="Cambria Math" w:hAnsi="Cambria Math"/>
                          </w:rPr>
                          <m:t>ϕ+μ</m:t>
                        </m:r>
                      </m:e>
                    </m:d>
                  </m:e>
                </m:func>
              </m:e>
            </m:d>
          </m:den>
        </m:f>
      </m:oMath>
      <w:r w:rsidRPr="00BC31E0">
        <w:rPr>
          <w:i/>
        </w:rPr>
        <w:t xml:space="preserve"> </w:t>
      </w:r>
    </w:p>
    <w:p w14:paraId="2F23F291"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W</m:t>
            </m:r>
          </m:e>
          <m:sub>
            <m:r>
              <w:rPr>
                <w:rFonts w:ascii="Cambria Math" w:hAnsi="Cambria Math"/>
              </w:rPr>
              <m:t>m1</m:t>
            </m:r>
          </m:sub>
        </m:sSub>
      </m:oMath>
      <w:r w:rsidR="00FF57A8" w:rsidRPr="00BC31E0">
        <w:tab/>
      </w:r>
      <w:r w:rsidR="00FF57A8" w:rsidRPr="00BC31E0">
        <w:rPr>
          <w:rFonts w:hint="eastAsia"/>
        </w:rPr>
        <w:t>：</w:t>
      </w:r>
      <w:r w:rsidR="00FF57A8" w:rsidRPr="00BC31E0">
        <w:rPr>
          <w:rFonts w:hint="eastAsia"/>
        </w:rPr>
        <w:t xml:space="preserve"> </w:t>
      </w:r>
      <w:r w:rsidR="00FF57A8" w:rsidRPr="00BC31E0">
        <w:rPr>
          <w:rFonts w:hint="eastAsia"/>
        </w:rPr>
        <w:t>運転条件で必要な最小必要ボルト荷重</w:t>
      </w:r>
      <w:r w:rsidR="00FF57A8" w:rsidRPr="00BC31E0">
        <w:rPr>
          <w:rFonts w:hint="eastAsia"/>
        </w:rPr>
        <w:t>(</w:t>
      </w:r>
      <w:r w:rsidR="00FF57A8" w:rsidRPr="00BC31E0">
        <w:rPr>
          <w:rFonts w:ascii="Cambria Math" w:hAnsi="Cambria Math"/>
        </w:rPr>
        <w:t>N</w:t>
      </w:r>
      <w:r w:rsidR="00FF57A8" w:rsidRPr="00BC31E0">
        <w:rPr>
          <w:rFonts w:hint="eastAsia"/>
        </w:rPr>
        <w:t>)</w:t>
      </w:r>
    </w:p>
    <w:p w14:paraId="111D7394"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W</m:t>
            </m:r>
          </m:e>
          <m:sub>
            <m:r>
              <w:rPr>
                <w:rFonts w:ascii="Cambria Math" w:hAnsi="Cambria Math"/>
              </w:rPr>
              <m:t>m2</m:t>
            </m:r>
          </m:sub>
        </m:sSub>
      </m:oMath>
      <w:r w:rsidR="00FF57A8" w:rsidRPr="00BC31E0">
        <w:rPr>
          <w:vertAlign w:val="subscript"/>
        </w:rPr>
        <w:tab/>
      </w:r>
      <w:r w:rsidR="00FF57A8" w:rsidRPr="00BC31E0">
        <w:rPr>
          <w:rFonts w:hint="eastAsia"/>
        </w:rPr>
        <w:t>：</w:t>
      </w:r>
      <w:r w:rsidR="00FF57A8" w:rsidRPr="00BC31E0">
        <w:rPr>
          <w:rFonts w:hint="eastAsia"/>
        </w:rPr>
        <w:t xml:space="preserve"> </w:t>
      </w:r>
      <w:r w:rsidR="00FF57A8" w:rsidRPr="00BC31E0">
        <w:rPr>
          <w:rFonts w:hint="eastAsia"/>
        </w:rPr>
        <w:t>ガスケット締付条件で必要な最小ボルト荷重</w:t>
      </w:r>
      <w:r w:rsidR="00FF57A8" w:rsidRPr="00BC31E0">
        <w:rPr>
          <w:rFonts w:hint="eastAsia"/>
        </w:rPr>
        <w:t>(</w:t>
      </w:r>
      <w:r w:rsidR="00FF57A8" w:rsidRPr="00BC31E0">
        <w:rPr>
          <w:rFonts w:ascii="Cambria Math" w:hAnsi="Cambria Math"/>
        </w:rPr>
        <w:t>N</w:t>
      </w:r>
      <w:r w:rsidR="00FF57A8" w:rsidRPr="00BC31E0">
        <w:rPr>
          <w:rFonts w:hint="eastAsia"/>
        </w:rPr>
        <w:t>)</w:t>
      </w:r>
    </w:p>
    <w:p w14:paraId="31E7B282" w14:textId="77777777" w:rsidR="00FF57A8" w:rsidRPr="00BC31E0" w:rsidRDefault="00A51873" w:rsidP="001B7872">
      <w:pPr>
        <w:tabs>
          <w:tab w:val="left" w:pos="709"/>
        </w:tabs>
        <w:autoSpaceDE w:val="0"/>
        <w:autoSpaceDN w:val="0"/>
        <w:ind w:leftChars="100" w:left="947" w:hanging="737"/>
      </w:pPr>
      <m:oMath>
        <m:sSub>
          <m:sSubPr>
            <m:ctrlPr>
              <w:rPr>
                <w:rFonts w:ascii="Cambria Math" w:hAnsi="Cambria Math"/>
                <w:i/>
              </w:rPr>
            </m:ctrlPr>
          </m:sSubPr>
          <m:e>
            <m:r>
              <w:rPr>
                <w:rFonts w:ascii="Cambria Math" w:hAnsi="Cambria Math"/>
              </w:rPr>
              <m:t>X</m:t>
            </m:r>
          </m:e>
          <m:sub>
            <m:r>
              <w:rPr>
                <w:rFonts w:ascii="Cambria Math" w:hAnsi="Cambria Math"/>
              </w:rPr>
              <m:t>b</m:t>
            </m:r>
          </m:sub>
        </m:sSub>
      </m:oMath>
      <w:r w:rsidR="00FF57A8" w:rsidRPr="00BC31E0">
        <w:rPr>
          <w:rFonts w:hint="eastAsia"/>
          <w:i/>
        </w:rPr>
        <w:tab/>
      </w:r>
      <w:r w:rsidR="00FF57A8" w:rsidRPr="00BC31E0">
        <w:rPr>
          <w:rFonts w:hint="eastAsia"/>
        </w:rPr>
        <w:t>：</w:t>
      </w:r>
      <w:r w:rsidR="00FF57A8" w:rsidRPr="00BC31E0">
        <w:rPr>
          <w:rFonts w:hint="eastAsia"/>
        </w:rPr>
        <w:t xml:space="preserve"> </w:t>
      </w:r>
      <w:r w:rsidR="00FF57A8" w:rsidRPr="00BC31E0">
        <w:rPr>
          <w:rFonts w:hint="eastAsia"/>
        </w:rPr>
        <w:t>クランプボディのボルト穴を除く長手－半径方向面における中立軸から</w:t>
      </w:r>
      <m:oMath>
        <m:sSub>
          <m:sSubPr>
            <m:ctrlPr>
              <w:rPr>
                <w:rFonts w:ascii="Cambria Math" w:hAnsi="Cambria Math"/>
                <w:i/>
              </w:rPr>
            </m:ctrlPr>
          </m:sSubPr>
          <m:e>
            <m:r>
              <w:rPr>
                <w:rFonts w:ascii="Cambria Math" w:hAnsi="Cambria Math"/>
              </w:rPr>
              <m:t xml:space="preserve"> C</m:t>
            </m:r>
          </m:e>
          <m:sub>
            <m:r>
              <w:rPr>
                <w:rFonts w:ascii="Cambria Math" w:hAnsi="Cambria Math"/>
              </w:rPr>
              <m:t xml:space="preserve">n </m:t>
            </m:r>
          </m:sub>
        </m:sSub>
      </m:oMath>
      <w:r w:rsidR="00FF57A8" w:rsidRPr="00BC31E0">
        <w:rPr>
          <w:rFonts w:hint="eastAsia"/>
        </w:rPr>
        <w:t>で示されるクランプネックの内径までの基本クランプ寸法</w:t>
      </w:r>
      <w:r w:rsidR="00FF57A8" w:rsidRPr="00BC31E0">
        <w:rPr>
          <w:rFonts w:hint="eastAsia"/>
        </w:rPr>
        <w:t>(</w:t>
      </w:r>
      <w:r w:rsidR="00FF57A8" w:rsidRPr="00BC31E0">
        <w:rPr>
          <w:rFonts w:ascii="Cambria Math" w:hAnsi="Cambria Math"/>
        </w:rPr>
        <w:t>mm</w:t>
      </w:r>
      <w:r w:rsidR="00FF57A8" w:rsidRPr="00BC31E0">
        <w:rPr>
          <w:rFonts w:hint="eastAsia"/>
        </w:rPr>
        <w:t>)</w:t>
      </w:r>
    </w:p>
    <w:tbl>
      <w:tblPr>
        <w:tblStyle w:val="afff2"/>
        <w:tblW w:w="0" w:type="auto"/>
        <w:tblInd w:w="1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3"/>
      </w:tblGrid>
      <w:tr w:rsidR="00FF57A8" w:rsidRPr="00BC31E0" w14:paraId="4BDE1693" w14:textId="77777777" w:rsidTr="004736F2">
        <w:tc>
          <w:tcPr>
            <w:tcW w:w="0" w:type="auto"/>
            <w:tcMar>
              <w:left w:w="0" w:type="dxa"/>
              <w:right w:w="0" w:type="dxa"/>
            </w:tcMar>
            <w:vAlign w:val="center"/>
          </w:tcPr>
          <w:p w14:paraId="20B7F27B" w14:textId="77777777" w:rsidR="00FF57A8" w:rsidRPr="00BC31E0" w:rsidRDefault="00FF57A8" w:rsidP="001B7872">
            <w:pPr>
              <w:autoSpaceDE w:val="0"/>
              <w:autoSpaceDN w:val="0"/>
              <w:jc w:val="left"/>
              <w:rPr>
                <w:rFonts w:asciiTheme="minorHAnsi" w:hAnsiTheme="minorHAnsi"/>
                <w:i/>
              </w:rPr>
            </w:pPr>
            <m:oMathPara>
              <m:oMathParaPr>
                <m:jc m:val="left"/>
              </m:oMathParaPr>
              <m:oMath>
                <m:r>
                  <w:rPr>
                    <w:rFonts w:ascii="Cambria Math" w:hAnsi="Cambria Math"/>
                  </w:rPr>
                  <m:t>=</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c1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c2</m:t>
                            </m:r>
                          </m:sub>
                        </m:sSub>
                      </m:e>
                    </m:d>
                    <m:sSub>
                      <m:sSubPr>
                        <m:ctrlPr>
                          <w:rPr>
                            <w:rFonts w:ascii="Cambria Math" w:hAnsi="Cambria Math"/>
                            <w:i/>
                          </w:rPr>
                        </m:ctrlPr>
                      </m:sSubPr>
                      <m:e>
                        <m:r>
                          <w:rPr>
                            <w:rFonts w:ascii="Cambria Math" w:hAnsi="Cambria Math"/>
                          </w:rPr>
                          <m:t xml:space="preserve"> 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c3</m:t>
                        </m:r>
                      </m:sub>
                    </m:sSub>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c</m:t>
                        </m:r>
                      </m:sub>
                    </m:sSub>
                  </m:num>
                  <m:den>
                    <m:r>
                      <w:rPr>
                        <w:rFonts w:ascii="Cambria Math" w:hAnsi="Cambria Math"/>
                      </w:rPr>
                      <m:t xml:space="preserve">2 </m:t>
                    </m:r>
                    <m:sSub>
                      <m:sSubPr>
                        <m:ctrlPr>
                          <w:rPr>
                            <w:rFonts w:ascii="Cambria Math" w:hAnsi="Cambria Math"/>
                            <w:i/>
                          </w:rPr>
                        </m:ctrlPr>
                      </m:sSubPr>
                      <m:e>
                        <m:r>
                          <w:rPr>
                            <w:rFonts w:ascii="Cambria Math" w:hAnsi="Cambria Math"/>
                          </w:rPr>
                          <m:t>A</m:t>
                        </m:r>
                      </m:e>
                      <m:sub>
                        <m:r>
                          <w:rPr>
                            <w:rFonts w:ascii="Cambria Math" w:hAnsi="Cambria Math"/>
                          </w:rPr>
                          <m:t>c</m:t>
                        </m:r>
                      </m:sub>
                    </m:sSub>
                  </m:den>
                </m:f>
              </m:oMath>
            </m:oMathPara>
          </w:p>
        </w:tc>
      </w:tr>
    </w:tbl>
    <w:p w14:paraId="2214E098"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00FF57A8" w:rsidRPr="00BC31E0">
        <w:tab/>
      </w:r>
      <w:r w:rsidR="00FF57A8" w:rsidRPr="00BC31E0">
        <w:rPr>
          <w:rFonts w:hint="eastAsia"/>
        </w:rPr>
        <w:t>：</w:t>
      </w:r>
      <w:r w:rsidR="00FF57A8" w:rsidRPr="00BC31E0">
        <w:rPr>
          <w:rFonts w:hint="eastAsia"/>
        </w:rPr>
        <w:t xml:space="preserve"> </w:t>
      </w:r>
      <w:r w:rsidR="00FF57A8" w:rsidRPr="00BC31E0">
        <w:rPr>
          <w:rFonts w:hint="eastAsia"/>
        </w:rPr>
        <w:t>ボルト穴部から</w:t>
      </w:r>
      <m:oMath>
        <m:sSub>
          <m:sSubPr>
            <m:ctrlPr>
              <w:rPr>
                <w:rFonts w:ascii="Cambria Math" w:hAnsi="Cambria Math"/>
                <w:i/>
              </w:rPr>
            </m:ctrlPr>
          </m:sSubPr>
          <m:e>
            <m:r>
              <w:rPr>
                <w:rFonts w:ascii="Cambria Math" w:hAnsi="Cambria Math"/>
              </w:rPr>
              <m:t xml:space="preserve"> C</m:t>
            </m:r>
          </m:e>
          <m:sub>
            <m:r>
              <w:rPr>
                <w:rFonts w:ascii="Cambria Math" w:hAnsi="Cambria Math"/>
              </w:rPr>
              <m:t xml:space="preserve">n </m:t>
            </m:r>
          </m:sub>
        </m:sSub>
      </m:oMath>
      <w:r w:rsidR="00FF57A8" w:rsidRPr="00BC31E0">
        <w:rPr>
          <w:rFonts w:hint="eastAsia"/>
        </w:rPr>
        <w:t>で示されるクランプネックの内径までの半径方向平均距離</w:t>
      </w:r>
      <w:r w:rsidR="00FF57A8" w:rsidRPr="00BC31E0">
        <w:rPr>
          <w:rFonts w:hint="eastAsia"/>
        </w:rPr>
        <w:t>(</w:t>
      </w:r>
      <w:r w:rsidR="00FF57A8" w:rsidRPr="00BC31E0">
        <w:rPr>
          <w:rFonts w:ascii="Cambria Math" w:hAnsi="Cambria Math"/>
        </w:rPr>
        <w:t>mm</w:t>
      </w:r>
      <w:r w:rsidR="00FF57A8" w:rsidRPr="00BC31E0">
        <w:rPr>
          <w:rFonts w:hint="eastAsia"/>
        </w:rPr>
        <w:t>)</w:t>
      </w:r>
    </w:p>
    <w:p w14:paraId="15F8DCDF"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X</m:t>
            </m:r>
          </m:e>
          <m:sub>
            <m:r>
              <w:rPr>
                <w:rFonts w:ascii="Cambria Math" w:hAnsi="Cambria Math"/>
              </w:rPr>
              <m:t>5</m:t>
            </m:r>
          </m:sub>
        </m:sSub>
      </m:oMath>
      <w:r w:rsidR="00FF57A8" w:rsidRPr="00BC31E0">
        <w:tab/>
      </w:r>
      <w:r w:rsidR="00FF57A8" w:rsidRPr="00BC31E0">
        <w:rPr>
          <w:rFonts w:hint="eastAsia"/>
        </w:rPr>
        <w:t>：</w:t>
      </w:r>
      <w:r w:rsidR="00FF57A8" w:rsidRPr="00BC31E0">
        <w:rPr>
          <w:rFonts w:hint="eastAsia"/>
        </w:rPr>
        <w:t xml:space="preserve"> </w:t>
      </w:r>
      <w:r w:rsidR="00FF57A8" w:rsidRPr="00BC31E0">
        <w:rPr>
          <w:rFonts w:hint="eastAsia"/>
        </w:rPr>
        <w:t>中立軸までの修正クランプ寸法</w:t>
      </w:r>
      <w:r w:rsidR="00FF57A8" w:rsidRPr="00BC31E0">
        <w:rPr>
          <w:rFonts w:hint="eastAsia"/>
        </w:rPr>
        <w:t>(</w:t>
      </w:r>
      <w:r w:rsidR="00FF57A8" w:rsidRPr="00BC31E0">
        <w:rPr>
          <w:rFonts w:ascii="Cambria Math" w:hAnsi="Cambria Math"/>
        </w:rPr>
        <w:t>mm</w:t>
      </w:r>
      <w:r w:rsidR="00FF57A8" w:rsidRPr="00BC31E0">
        <w:rPr>
          <w:rFonts w:hint="eastAsia"/>
        </w:rPr>
        <w:t>)</w:t>
      </w:r>
    </w:p>
    <w:tbl>
      <w:tblPr>
        <w:tblStyle w:val="afff2"/>
        <w:tblW w:w="0" w:type="auto"/>
        <w:tblInd w:w="1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0"/>
      </w:tblGrid>
      <w:tr w:rsidR="00FF57A8" w:rsidRPr="00BC31E0" w14:paraId="7275AB75" w14:textId="77777777" w:rsidTr="004736F2">
        <w:tc>
          <w:tcPr>
            <w:tcW w:w="0" w:type="auto"/>
            <w:tcMar>
              <w:left w:w="0" w:type="dxa"/>
              <w:right w:w="0" w:type="dxa"/>
            </w:tcMar>
            <w:vAlign w:val="center"/>
          </w:tcPr>
          <w:p w14:paraId="073E0C97" w14:textId="77777777" w:rsidR="00FF57A8" w:rsidRPr="00BC31E0" w:rsidRDefault="00FF57A8" w:rsidP="001B7872">
            <w:pPr>
              <w:autoSpaceDE w:val="0"/>
              <w:autoSpaceDN w:val="0"/>
              <w:jc w:val="left"/>
              <w:rPr>
                <w:rFonts w:asciiTheme="minorHAnsi" w:hAnsiTheme="minorHAnsi"/>
                <w:i/>
              </w:rPr>
            </w:pPr>
            <m:oMathPara>
              <m:oMathParaPr>
                <m:jc m:val="left"/>
              </m:oMathParaPr>
              <m:oMath>
                <m:r>
                  <w:rPr>
                    <w:rFonts w:ascii="Cambria Math" w:hAnsi="Cambria Math"/>
                  </w:rPr>
                  <m:t>=</m:t>
                </m:r>
                <m:f>
                  <m:fPr>
                    <m:ctrlPr>
                      <w:rPr>
                        <w:rFonts w:ascii="Cambria Math" w:hAnsi="Cambria Math"/>
                        <w:i/>
                      </w:rPr>
                    </m:ctrlPr>
                  </m:fPr>
                  <m:num>
                    <m:r>
                      <w:rPr>
                        <w:rFonts w:ascii="Cambria Math" w:hAnsi="Cambria Math"/>
                      </w:rPr>
                      <m:t>π</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e>
                    </m:d>
                    <m:d>
                      <m:dPr>
                        <m:ctrlPr>
                          <w:rPr>
                            <w:rFonts w:ascii="Cambria Math" w:hAnsi="Cambria Math"/>
                            <w:i/>
                          </w:rPr>
                        </m:ctrlPr>
                      </m:dPr>
                      <m:e>
                        <m:f>
                          <m:fPr>
                            <m:type m:val="lin"/>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C</m:t>
                                    </m:r>
                                  </m:e>
                                  <m:sub>
                                    <m:r>
                                      <w:rPr>
                                        <w:rFonts w:ascii="Cambria Math" w:hAnsi="Cambria Math"/>
                                      </w:rPr>
                                      <m:t>t</m:t>
                                    </m:r>
                                  </m:sub>
                                </m:sSub>
                              </m:e>
                              <m:sup>
                                <m:r>
                                  <w:rPr>
                                    <w:rFonts w:ascii="Cambria Math" w:hAnsi="Cambria Math"/>
                                  </w:rPr>
                                  <m:t>2</m:t>
                                </m:r>
                              </m:sup>
                            </m:sSup>
                          </m:num>
                          <m:den>
                            <m:r>
                              <w:rPr>
                                <w:rFonts w:ascii="Cambria Math" w:hAnsi="Cambria Math"/>
                              </w:rPr>
                              <m:t>2</m:t>
                            </m:r>
                          </m:den>
                        </m:f>
                      </m:e>
                    </m:d>
                    <m:r>
                      <w:rPr>
                        <w:rFonts w:ascii="Cambria Math" w:hAnsi="Cambria Math"/>
                      </w:rPr>
                      <m:t>-</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A</m:t>
                            </m:r>
                          </m:e>
                          <m:sub>
                            <m:r>
                              <w:rPr>
                                <w:rFonts w:ascii="Cambria Math" w:hAnsi="Cambria Math"/>
                              </w:rPr>
                              <m:t>5i</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i</m:t>
                            </m:r>
                          </m:sub>
                        </m:sSub>
                      </m:e>
                    </m:nary>
                  </m:num>
                  <m:den>
                    <m:sSub>
                      <m:sSubPr>
                        <m:ctrlPr>
                          <w:rPr>
                            <w:rFonts w:ascii="Cambria Math" w:hAnsi="Cambria Math"/>
                            <w:i/>
                          </w:rPr>
                        </m:ctrlPr>
                      </m:sSubPr>
                      <m:e>
                        <m:r>
                          <w:rPr>
                            <w:rFonts w:ascii="Cambria Math" w:hAnsi="Cambria Math"/>
                          </w:rPr>
                          <m:t>A</m:t>
                        </m:r>
                      </m:e>
                      <m:sub>
                        <m:r>
                          <w:rPr>
                            <w:rFonts w:ascii="Cambria Math" w:hAnsi="Cambria Math"/>
                          </w:rPr>
                          <m:t>5</m:t>
                        </m:r>
                      </m:sub>
                    </m:sSub>
                  </m:den>
                </m:f>
              </m:oMath>
            </m:oMathPara>
          </w:p>
        </w:tc>
      </w:tr>
    </w:tbl>
    <w:p w14:paraId="273FA6F5" w14:textId="77777777" w:rsidR="00FF57A8" w:rsidRPr="00BC31E0" w:rsidRDefault="00FF57A8" w:rsidP="001B7872">
      <w:pPr>
        <w:autoSpaceDE w:val="0"/>
        <w:autoSpaceDN w:val="0"/>
        <w:ind w:left="1077"/>
      </w:pPr>
      <w:r w:rsidRPr="00BC31E0">
        <w:rPr>
          <w:rFonts w:hint="eastAsia"/>
        </w:rPr>
        <w:t>(</w:t>
      </w:r>
      <w:r w:rsidRPr="00BC31E0">
        <w:rPr>
          <w:rFonts w:ascii="ＭＳ ゴシック" w:eastAsia="ＭＳ ゴシック" w:hint="eastAsia"/>
          <w:b/>
        </w:rPr>
        <w:t>図</w:t>
      </w:r>
      <w:r w:rsidRPr="00BC31E0">
        <w:rPr>
          <w:rFonts w:ascii="ＭＳ ゴシック" w:eastAsia="ＭＳ ゴシック"/>
          <w:b/>
        </w:rPr>
        <w:t>H.1</w:t>
      </w:r>
      <w:r w:rsidRPr="00BC31E0">
        <w:rPr>
          <w:rFonts w:ascii="ＭＳ ゴシック" w:eastAsia="ＭＳ ゴシック" w:hint="eastAsia"/>
          <w:b/>
        </w:rPr>
        <w:t>(</w:t>
      </w:r>
      <w:r w:rsidRPr="00BC31E0">
        <w:rPr>
          <w:rFonts w:ascii="ＭＳ ゴシック" w:eastAsia="ＭＳ ゴシック"/>
          <w:b/>
        </w:rPr>
        <w:t>d</w:t>
      </w:r>
      <w:r w:rsidRPr="00BC31E0">
        <w:rPr>
          <w:rFonts w:ascii="ＭＳ ゴシック" w:eastAsia="ＭＳ ゴシック" w:hint="eastAsia"/>
          <w:b/>
        </w:rPr>
        <w:t>)</w:t>
      </w:r>
      <w:r w:rsidRPr="00BC31E0">
        <w:rPr>
          <w:rFonts w:hint="eastAsia"/>
        </w:rPr>
        <w:t>に示される外付けボルトラグの場合は，</w:t>
      </w:r>
      <m:oMath>
        <m:sSub>
          <m:sSubPr>
            <m:ctrlPr>
              <w:rPr>
                <w:rFonts w:ascii="Cambria Math" w:hAnsi="Cambria Math"/>
                <w:i/>
              </w:rPr>
            </m:ctrlPr>
          </m:sSubPr>
          <m:e>
            <m:r>
              <w:rPr>
                <w:rFonts w:ascii="Cambria Math" w:hAnsi="Cambria Math"/>
              </w:rPr>
              <m:t>X</m:t>
            </m:r>
          </m:e>
          <m:sub>
            <m:r>
              <w:rPr>
                <w:rFonts w:ascii="Cambria Math" w:hAnsi="Cambria Math"/>
              </w:rPr>
              <m:t>5</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t</m:t>
                </m:r>
              </m:sub>
            </m:sSub>
          </m:num>
          <m:den>
            <m:r>
              <w:rPr>
                <w:rFonts w:ascii="Cambria Math" w:hAnsi="Cambria Math"/>
              </w:rPr>
              <m:t>2</m:t>
            </m:r>
          </m:den>
        </m:f>
        <m:r>
          <w:rPr>
            <w:rFonts w:ascii="Cambria Math" w:hAnsi="Cambria Math"/>
          </w:rPr>
          <m:t xml:space="preserve"> </m:t>
        </m:r>
      </m:oMath>
      <w:r w:rsidRPr="00BC31E0">
        <w:rPr>
          <w:rFonts w:hint="eastAsia"/>
        </w:rPr>
        <w:t>とする。</w:t>
      </w:r>
      <w:r w:rsidRPr="00BC31E0">
        <w:rPr>
          <w:rFonts w:hint="eastAsia"/>
        </w:rPr>
        <w:t>)</w:t>
      </w:r>
    </w:p>
    <w:p w14:paraId="4FF4DDCB"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X</m:t>
            </m:r>
          </m:e>
          <m:sub>
            <m:r>
              <w:rPr>
                <w:rFonts w:ascii="Cambria Math" w:hAnsi="Cambria Math"/>
              </w:rPr>
              <m:t>6</m:t>
            </m:r>
          </m:sub>
        </m:sSub>
      </m:oMath>
      <w:r w:rsidR="00FF57A8" w:rsidRPr="00BC31E0">
        <w:tab/>
      </w:r>
      <w:r w:rsidR="00FF57A8" w:rsidRPr="00BC31E0">
        <w:rPr>
          <w:rFonts w:hint="eastAsia"/>
        </w:rPr>
        <w:t>：</w:t>
      </w:r>
      <w:r w:rsidR="00FF57A8" w:rsidRPr="00BC31E0">
        <w:rPr>
          <w:rFonts w:hint="eastAsia"/>
        </w:rPr>
        <w:t xml:space="preserve"> </w:t>
      </w:r>
      <w:r w:rsidR="00FF57A8" w:rsidRPr="00BC31E0">
        <w:rPr>
          <w:rFonts w:hint="eastAsia"/>
        </w:rPr>
        <w:t>中立軸までの修正クランプ寸法</w:t>
      </w:r>
      <w:r w:rsidR="00FF57A8" w:rsidRPr="00BC31E0">
        <w:rPr>
          <w:rFonts w:hint="eastAsia"/>
        </w:rPr>
        <w:t>(</w:t>
      </w:r>
      <w:r w:rsidR="00FF57A8" w:rsidRPr="00BC31E0">
        <w:rPr>
          <w:rFonts w:ascii="Cambria Math" w:hAnsi="Cambria Math"/>
        </w:rPr>
        <w:t>mm</w:t>
      </w:r>
      <w:r w:rsidR="00FF57A8" w:rsidRPr="00BC31E0">
        <w:rPr>
          <w:rFonts w:hint="eastAsia"/>
        </w:rPr>
        <w:t>)</w:t>
      </w:r>
    </w:p>
    <w:tbl>
      <w:tblPr>
        <w:tblStyle w:val="afff2"/>
        <w:tblW w:w="0" w:type="auto"/>
        <w:tblInd w:w="1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2"/>
      </w:tblGrid>
      <w:tr w:rsidR="00FF57A8" w:rsidRPr="00BC31E0" w14:paraId="58EB31FF" w14:textId="77777777" w:rsidTr="004736F2">
        <w:tc>
          <w:tcPr>
            <w:tcW w:w="0" w:type="auto"/>
            <w:tcMar>
              <w:left w:w="0" w:type="dxa"/>
              <w:right w:w="0" w:type="dxa"/>
            </w:tcMar>
            <w:vAlign w:val="center"/>
          </w:tcPr>
          <w:p w14:paraId="7FED97F3" w14:textId="77777777" w:rsidR="00FF57A8" w:rsidRPr="00BC31E0" w:rsidRDefault="00FF57A8" w:rsidP="001B7872">
            <w:pPr>
              <w:autoSpaceDE w:val="0"/>
              <w:autoSpaceDN w:val="0"/>
              <w:jc w:val="left"/>
              <w:rPr>
                <w:rFonts w:asciiTheme="minorHAnsi" w:hAnsiTheme="minorHAnsi"/>
                <w:i/>
              </w:rPr>
            </w:pPr>
            <m:oMathPara>
              <m:oMathParaPr>
                <m:jc m:val="left"/>
              </m:oMathParaPr>
              <m:oMath>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b</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c</m:t>
                        </m:r>
                      </m:sub>
                    </m:sSub>
                    <m:r>
                      <w:rPr>
                        <w:rFonts w:ascii="Cambria Math" w:hAnsi="Cambria Math"/>
                      </w:rPr>
                      <m:t>-</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A</m:t>
                            </m:r>
                          </m:e>
                          <m:sub>
                            <m:r>
                              <w:rPr>
                                <w:rFonts w:ascii="Cambria Math" w:hAnsi="Cambria Math"/>
                              </w:rPr>
                              <m:t>6i</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i</m:t>
                            </m:r>
                          </m:sub>
                        </m:sSub>
                      </m:e>
                    </m:nary>
                  </m:num>
                  <m:den>
                    <m:sSub>
                      <m:sSubPr>
                        <m:ctrlPr>
                          <w:rPr>
                            <w:rFonts w:ascii="Cambria Math" w:hAnsi="Cambria Math"/>
                            <w:i/>
                          </w:rPr>
                        </m:ctrlPr>
                      </m:sSubPr>
                      <m:e>
                        <m:r>
                          <w:rPr>
                            <w:rFonts w:ascii="Cambria Math" w:hAnsi="Cambria Math"/>
                          </w:rPr>
                          <m:t>A</m:t>
                        </m:r>
                      </m:e>
                      <m:sub>
                        <m:r>
                          <w:rPr>
                            <w:rFonts w:ascii="Cambria Math" w:hAnsi="Cambria Math"/>
                          </w:rPr>
                          <m:t>6</m:t>
                        </m:r>
                      </m:sub>
                    </m:sSub>
                  </m:den>
                </m:f>
              </m:oMath>
            </m:oMathPara>
          </w:p>
        </w:tc>
      </w:tr>
    </w:tbl>
    <w:p w14:paraId="51E9F30E" w14:textId="77777777" w:rsidR="00FF57A8" w:rsidRPr="00BC31E0" w:rsidRDefault="00FF57A8" w:rsidP="001B7872">
      <w:pPr>
        <w:tabs>
          <w:tab w:val="left" w:pos="567"/>
          <w:tab w:val="left" w:pos="851"/>
        </w:tabs>
        <w:autoSpaceDE w:val="0"/>
        <w:autoSpaceDN w:val="0"/>
        <w:ind w:left="1077"/>
        <w:rPr>
          <w:vertAlign w:val="subscript"/>
        </w:rPr>
      </w:pPr>
      <w:r w:rsidRPr="00BC31E0">
        <w:rPr>
          <w:rFonts w:hint="eastAsia"/>
        </w:rPr>
        <w:t>(</w:t>
      </w:r>
      <w:r w:rsidRPr="00BC31E0">
        <w:rPr>
          <w:rFonts w:ascii="ＭＳ ゴシック" w:eastAsia="ＭＳ ゴシック" w:hint="eastAsia"/>
          <w:b/>
        </w:rPr>
        <w:t>図</w:t>
      </w:r>
      <w:r w:rsidRPr="00BC31E0">
        <w:rPr>
          <w:rFonts w:ascii="ＭＳ ゴシック" w:eastAsia="ＭＳ ゴシック"/>
          <w:b/>
        </w:rPr>
        <w:t>H.1</w:t>
      </w:r>
      <w:r w:rsidRPr="00BC31E0">
        <w:rPr>
          <w:rFonts w:ascii="ＭＳ ゴシック" w:eastAsia="ＭＳ ゴシック" w:hint="eastAsia"/>
          <w:b/>
        </w:rPr>
        <w:t>(</w:t>
      </w:r>
      <w:r w:rsidRPr="00BC31E0">
        <w:rPr>
          <w:rFonts w:ascii="ＭＳ ゴシック" w:eastAsia="ＭＳ ゴシック"/>
          <w:b/>
        </w:rPr>
        <w:t>d</w:t>
      </w:r>
      <w:r w:rsidRPr="00BC31E0">
        <w:rPr>
          <w:rFonts w:ascii="ＭＳ ゴシック" w:eastAsia="ＭＳ ゴシック" w:hint="eastAsia"/>
          <w:b/>
        </w:rPr>
        <w:t>)</w:t>
      </w:r>
      <w:r w:rsidRPr="00BC31E0">
        <w:rPr>
          <w:rFonts w:hint="eastAsia"/>
        </w:rPr>
        <w:t>に示される外付けボルトラグの場合は，</w:t>
      </w:r>
      <m:oMath>
        <m:sSub>
          <m:sSubPr>
            <m:ctrlPr>
              <w:rPr>
                <w:rFonts w:ascii="Cambria Math" w:hAnsi="Cambria Math"/>
                <w:i/>
              </w:rPr>
            </m:ctrlPr>
          </m:sSubPr>
          <m:e>
            <m:r>
              <w:rPr>
                <w:rFonts w:ascii="Cambria Math" w:hAnsi="Cambria Math"/>
              </w:rPr>
              <m:t>X</m:t>
            </m:r>
          </m:e>
          <m:sub>
            <m:r>
              <w:rPr>
                <w:rFonts w:ascii="Cambria Math" w:hAnsi="Cambria Math"/>
              </w:rPr>
              <m:t>6</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b</m:t>
            </m:r>
          </m:sub>
        </m:sSub>
        <m:r>
          <w:rPr>
            <w:rFonts w:ascii="Cambria Math" w:hAnsi="Cambria Math"/>
          </w:rPr>
          <m:t xml:space="preserve"> </m:t>
        </m:r>
      </m:oMath>
      <w:r w:rsidRPr="00BC31E0">
        <w:rPr>
          <w:rFonts w:hint="eastAsia"/>
        </w:rPr>
        <w:t>とする。</w:t>
      </w:r>
      <w:r w:rsidRPr="00BC31E0">
        <w:rPr>
          <w:rFonts w:hint="eastAsia"/>
        </w:rPr>
        <w:t>)</w:t>
      </w:r>
    </w:p>
    <w:p w14:paraId="171E3DC0" w14:textId="77777777" w:rsidR="00FF57A8" w:rsidRPr="00BC31E0" w:rsidRDefault="00FF57A8" w:rsidP="001B7872">
      <w:pPr>
        <w:tabs>
          <w:tab w:val="left" w:pos="709"/>
        </w:tabs>
        <w:autoSpaceDE w:val="0"/>
        <w:autoSpaceDN w:val="0"/>
        <w:ind w:leftChars="100" w:left="210"/>
      </w:pPr>
      <m:oMath>
        <m:r>
          <w:rPr>
            <w:rFonts w:ascii="Cambria Math" w:hAnsi="Cambria Math"/>
          </w:rPr>
          <m:t>Z</m:t>
        </m:r>
      </m:oMath>
      <w:r w:rsidRPr="00BC31E0">
        <w:tab/>
      </w:r>
      <w:r w:rsidRPr="00BC31E0">
        <w:rPr>
          <w:rFonts w:hint="eastAsia"/>
        </w:rPr>
        <w:t>：</w:t>
      </w:r>
      <w:r w:rsidRPr="00BC31E0">
        <w:rPr>
          <w:rFonts w:hint="eastAsia"/>
        </w:rPr>
        <w:t xml:space="preserve"> </w:t>
      </w:r>
      <w:r w:rsidRPr="00BC31E0">
        <w:rPr>
          <w:rFonts w:hint="eastAsia"/>
        </w:rPr>
        <w:t>クランプとハブのテーパ部の角度</w:t>
      </w:r>
      <w:r w:rsidRPr="00BC31E0">
        <w:rPr>
          <w:rFonts w:hint="eastAsia"/>
        </w:rPr>
        <w:t>(</w:t>
      </w:r>
      <w:r w:rsidRPr="00BC31E0">
        <w:rPr>
          <w:rFonts w:ascii="Cambria Math" w:hAnsi="Cambria Math" w:hint="eastAsia"/>
        </w:rPr>
        <w:t>度</w:t>
      </w:r>
      <w:r w:rsidRPr="00BC31E0">
        <w:rPr>
          <w:rFonts w:hint="eastAsia"/>
        </w:rPr>
        <w:t>)</w:t>
      </w:r>
    </w:p>
    <w:p w14:paraId="7E33A42C" w14:textId="77777777" w:rsidR="00FF57A8" w:rsidRPr="00BC31E0" w:rsidRDefault="00FF57A8" w:rsidP="001B7872">
      <w:pPr>
        <w:autoSpaceDE w:val="0"/>
        <w:autoSpaceDN w:val="0"/>
        <w:ind w:left="1077"/>
      </w:pPr>
      <w:r w:rsidRPr="00BC31E0">
        <w:rPr>
          <w:rFonts w:hint="eastAsia"/>
        </w:rPr>
        <w:t>(</w:t>
      </w:r>
      <w:r w:rsidRPr="00BC31E0">
        <w:rPr>
          <w:rFonts w:hint="eastAsia"/>
        </w:rPr>
        <w:t>初期締付け条件の場合は</w:t>
      </w:r>
      <m:oMath>
        <m:r>
          <m:rPr>
            <m:sty m:val="p"/>
          </m:rPr>
          <w:rPr>
            <w:rFonts w:ascii="Cambria Math" w:hAnsi="Cambria Math"/>
          </w:rPr>
          <m:t xml:space="preserve"> </m:t>
        </m:r>
        <m:r>
          <w:rPr>
            <w:rFonts w:ascii="Cambria Math" w:hAnsi="Cambria Math"/>
          </w:rPr>
          <m:t>Z=ϕ+μ</m:t>
        </m:r>
      </m:oMath>
      <w:r w:rsidRPr="00BC31E0">
        <w:rPr>
          <w:rFonts w:hint="eastAsia"/>
        </w:rPr>
        <w:t>，運転条件の場合は</w:t>
      </w:r>
      <m:oMath>
        <m:r>
          <m:rPr>
            <m:sty m:val="p"/>
          </m:rPr>
          <w:rPr>
            <w:rFonts w:ascii="Cambria Math" w:hAnsi="Cambria Math"/>
          </w:rPr>
          <m:t xml:space="preserve"> </m:t>
        </m:r>
        <m:r>
          <w:rPr>
            <w:rFonts w:ascii="Cambria Math" w:hAnsi="Cambria Math"/>
          </w:rPr>
          <m:t>Z=ϕ-μ</m:t>
        </m:r>
        <m:r>
          <m:rPr>
            <m:sty m:val="p"/>
          </m:rPr>
          <w:rPr>
            <w:rFonts w:ascii="Cambria Math" w:hAnsi="Cambria Math"/>
          </w:rPr>
          <m:t xml:space="preserve"> </m:t>
        </m:r>
      </m:oMath>
      <w:r w:rsidRPr="00BC31E0">
        <w:rPr>
          <w:rFonts w:hint="eastAsia"/>
        </w:rPr>
        <w:t>とする。</w:t>
      </w:r>
      <w:r w:rsidRPr="00BC31E0">
        <w:rPr>
          <w:rFonts w:hint="eastAsia"/>
        </w:rPr>
        <w:t>)</w:t>
      </w:r>
    </w:p>
    <w:p w14:paraId="1E2E1962" w14:textId="77777777" w:rsidR="00FF57A8" w:rsidRPr="00BC31E0" w:rsidRDefault="00FF57A8" w:rsidP="001B7872">
      <w:pPr>
        <w:tabs>
          <w:tab w:val="left" w:pos="709"/>
        </w:tabs>
        <w:autoSpaceDE w:val="0"/>
        <w:autoSpaceDN w:val="0"/>
        <w:ind w:leftChars="100" w:left="210"/>
      </w:pPr>
      <m:oMath>
        <m:r>
          <w:rPr>
            <w:rFonts w:ascii="Cambria Math" w:hAnsi="Cambria Math"/>
          </w:rPr>
          <m:t>b</m:t>
        </m:r>
      </m:oMath>
      <w:r w:rsidRPr="00BC31E0">
        <w:tab/>
      </w:r>
      <w:r w:rsidRPr="00BC31E0">
        <w:rPr>
          <w:rFonts w:hint="eastAsia"/>
        </w:rPr>
        <w:t>：</w:t>
      </w:r>
      <w:r w:rsidRPr="00BC31E0">
        <w:rPr>
          <w:rFonts w:hint="eastAsia"/>
        </w:rPr>
        <w:t xml:space="preserve"> </w:t>
      </w:r>
      <w:r w:rsidRPr="00BC31E0">
        <w:rPr>
          <w:rFonts w:hint="eastAsia"/>
        </w:rPr>
        <w:t>ガスケット座の有効幅</w:t>
      </w:r>
      <w:r w:rsidRPr="00BC31E0">
        <w:rPr>
          <w:rFonts w:hint="eastAsia"/>
        </w:rPr>
        <w:t>(</w:t>
      </w:r>
      <w:r w:rsidRPr="00BC31E0">
        <w:rPr>
          <w:rFonts w:ascii="Cambria Math" w:hAnsi="Cambria Math"/>
        </w:rPr>
        <w:t>mm</w:t>
      </w:r>
      <w:r w:rsidRPr="00BC31E0">
        <w:rPr>
          <w:rFonts w:hint="eastAsia"/>
        </w:rPr>
        <w:t>)</w:t>
      </w:r>
    </w:p>
    <w:p w14:paraId="69907F91"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e</m:t>
            </m:r>
          </m:e>
          <m:sub>
            <m:r>
              <w:rPr>
                <w:rFonts w:ascii="Cambria Math" w:hAnsi="Cambria Math"/>
              </w:rPr>
              <m:t>b</m:t>
            </m:r>
          </m:sub>
        </m:sSub>
      </m:oMath>
      <w:r w:rsidR="00FF57A8" w:rsidRPr="00BC31E0">
        <w:tab/>
      </w:r>
      <w:r w:rsidR="00FF57A8" w:rsidRPr="00BC31E0">
        <w:rPr>
          <w:rFonts w:hint="eastAsia"/>
        </w:rPr>
        <w:t>：</w:t>
      </w:r>
      <w:r w:rsidR="00FF57A8" w:rsidRPr="00BC31E0">
        <w:rPr>
          <w:rFonts w:hint="eastAsia"/>
        </w:rPr>
        <w:t xml:space="preserve"> </w:t>
      </w:r>
      <w:r w:rsidR="00FF57A8" w:rsidRPr="00BC31E0">
        <w:rPr>
          <w:rFonts w:hint="eastAsia"/>
        </w:rPr>
        <w:t>ボルトからクランプ中心までの半径方向の距離</w:t>
      </w:r>
      <w:r w:rsidR="00FF57A8" w:rsidRPr="00BC31E0">
        <w:rPr>
          <w:rFonts w:hint="eastAsia"/>
        </w:rPr>
        <w:t>(</w:t>
      </w:r>
      <w:r w:rsidR="00FF57A8" w:rsidRPr="00BC31E0">
        <w:rPr>
          <w:rFonts w:ascii="Cambria Math" w:hAnsi="Cambria Math"/>
        </w:rPr>
        <w:t>mm</w:t>
      </w:r>
      <w:r w:rsidR="00FF57A8" w:rsidRPr="00BC31E0">
        <w:rPr>
          <w:rFonts w:hint="eastAsia"/>
        </w:rPr>
        <w:t>)</w:t>
      </w:r>
    </w:p>
    <w:p w14:paraId="677ADC01" w14:textId="77777777" w:rsidR="00FF57A8" w:rsidRPr="00BC31E0" w:rsidRDefault="00FF57A8" w:rsidP="001B7872">
      <w:pPr>
        <w:autoSpaceDE w:val="0"/>
        <w:autoSpaceDN w:val="0"/>
        <w:ind w:left="1077"/>
      </w:pPr>
      <m:oMath>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c</m:t>
            </m:r>
          </m:sub>
        </m:sSub>
        <m:r>
          <w:rPr>
            <w:rFonts w:ascii="Cambria Math" w:hAnsi="Cambria Math"/>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i</m:t>
                    </m:r>
                  </m:sub>
                </m:sSub>
              </m:num>
              <m:den>
                <m:r>
                  <w:rPr>
                    <w:rFonts w:ascii="Cambria Math" w:hAnsi="Cambria Math"/>
                  </w:rPr>
                  <m:t>2</m:t>
                </m:r>
              </m:den>
            </m:f>
          </m:e>
        </m:d>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6</m:t>
            </m:r>
          </m:sub>
        </m:sSub>
      </m:oMath>
      <w:r w:rsidRPr="00BC31E0">
        <w:rPr>
          <w:i/>
        </w:rPr>
        <w:t xml:space="preserve"> </w:t>
      </w:r>
    </w:p>
    <w:p w14:paraId="6F56F5A4" w14:textId="77777777" w:rsidR="00FF57A8" w:rsidRPr="00BC31E0" w:rsidRDefault="00FF57A8" w:rsidP="001B7872">
      <w:pPr>
        <w:tabs>
          <w:tab w:val="left" w:pos="709"/>
        </w:tabs>
        <w:autoSpaceDE w:val="0"/>
        <w:autoSpaceDN w:val="0"/>
        <w:ind w:leftChars="100" w:left="210"/>
      </w:pPr>
      <m:oMath>
        <m:r>
          <w:rPr>
            <w:rFonts w:ascii="Cambria Math" w:hAnsi="Cambria Math"/>
          </w:rPr>
          <m:t>f</m:t>
        </m:r>
      </m:oMath>
      <w:r w:rsidRPr="00BC31E0">
        <w:rPr>
          <w:rFonts w:hint="eastAsia"/>
          <w:i/>
        </w:rPr>
        <w:tab/>
      </w:r>
      <w:r w:rsidRPr="00BC31E0">
        <w:rPr>
          <w:rFonts w:hint="eastAsia"/>
        </w:rPr>
        <w:t>：</w:t>
      </w:r>
      <w:r w:rsidRPr="00BC31E0">
        <w:rPr>
          <w:rFonts w:hint="eastAsia"/>
        </w:rPr>
        <w:t xml:space="preserve"> </w:t>
      </w:r>
      <w:r w:rsidRPr="00BC31E0">
        <w:rPr>
          <w:rFonts w:hint="eastAsia"/>
        </w:rPr>
        <w:t>ハブ応力修正係数</w:t>
      </w:r>
      <w:r w:rsidRPr="00BC31E0">
        <w:rPr>
          <w:rFonts w:hint="eastAsia"/>
        </w:rPr>
        <w:t xml:space="preserve"> (</w:t>
      </w:r>
      <w:r w:rsidRPr="00BC31E0">
        <w:rPr>
          <w:rFonts w:ascii="ＭＳ ゴシック" w:eastAsia="ＭＳ ゴシック" w:hint="eastAsia"/>
          <w:b/>
        </w:rPr>
        <w:t>図</w:t>
      </w:r>
      <w:r w:rsidRPr="00BC31E0">
        <w:rPr>
          <w:rFonts w:ascii="ＭＳ ゴシック" w:eastAsia="ＭＳ ゴシック"/>
          <w:b/>
        </w:rPr>
        <w:t>H.3</w:t>
      </w:r>
      <w:r w:rsidRPr="00BC31E0">
        <w:t xml:space="preserve"> </w:t>
      </w:r>
      <w:r w:rsidRPr="00BC31E0">
        <w:rPr>
          <w:rFonts w:hint="eastAsia"/>
        </w:rPr>
        <w:t>による</w:t>
      </w:r>
      <w:r w:rsidRPr="00BC31E0">
        <w:rPr>
          <w:rFonts w:hint="eastAsia"/>
        </w:rPr>
        <w:t>)</w:t>
      </w:r>
    </w:p>
    <w:p w14:paraId="761A8844" w14:textId="77777777" w:rsidR="00FF57A8" w:rsidRPr="00BC31E0" w:rsidRDefault="00A51873" w:rsidP="001B7872">
      <w:pPr>
        <w:tabs>
          <w:tab w:val="left" w:pos="709"/>
        </w:tabs>
        <w:autoSpaceDE w:val="0"/>
        <w:autoSpaceDN w:val="0"/>
        <w:ind w:leftChars="100" w:left="210"/>
      </w:pPr>
      <m:oMath>
        <m:bar>
          <m:barPr>
            <m:pos m:val="top"/>
            <m:ctrlPr>
              <w:rPr>
                <w:rFonts w:ascii="Cambria Math" w:hAnsi="Cambria Math"/>
                <w:i/>
              </w:rPr>
            </m:ctrlPr>
          </m:barPr>
          <m:e>
            <m:r>
              <w:rPr>
                <w:rFonts w:ascii="Cambria Math" w:hAnsi="Cambria Math"/>
              </w:rPr>
              <m:t>g</m:t>
            </m:r>
          </m:e>
        </m:bar>
      </m:oMath>
      <w:r w:rsidR="00FF57A8" w:rsidRPr="00BC31E0">
        <w:tab/>
      </w:r>
      <w:r w:rsidR="00FF57A8" w:rsidRPr="00BC31E0">
        <w:rPr>
          <w:rFonts w:hint="eastAsia"/>
        </w:rPr>
        <w:t>：</w:t>
      </w:r>
      <w:r w:rsidR="00FF57A8" w:rsidRPr="00BC31E0">
        <w:rPr>
          <w:rFonts w:hint="eastAsia"/>
        </w:rPr>
        <w:t xml:space="preserve"> </w:t>
      </w:r>
      <w:r w:rsidR="00FF57A8" w:rsidRPr="00BC31E0">
        <w:rPr>
          <w:rFonts w:hint="eastAsia"/>
        </w:rPr>
        <w:t>ハブ内径</w:t>
      </w:r>
      <m:oMath>
        <m:r>
          <m:rPr>
            <m:sty m:val="p"/>
          </m:rPr>
          <w:rPr>
            <w:rFonts w:ascii="Cambria Math" w:hAnsi="Cambria Math"/>
          </w:rPr>
          <m:t xml:space="preserve"> </m:t>
        </m:r>
        <m:r>
          <w:rPr>
            <w:rFonts w:ascii="Cambria Math" w:hAnsi="Cambria Math"/>
          </w:rPr>
          <m:t>B</m:t>
        </m:r>
        <m:r>
          <m:rPr>
            <m:sty m:val="p"/>
          </m:rPr>
          <w:rPr>
            <w:rFonts w:ascii="Cambria Math" w:hAnsi="Cambria Math"/>
          </w:rPr>
          <m:t xml:space="preserve"> </m:t>
        </m:r>
      </m:oMath>
      <w:r w:rsidR="00FF57A8" w:rsidRPr="00BC31E0">
        <w:rPr>
          <w:rFonts w:hint="eastAsia"/>
        </w:rPr>
        <w:t>からハブ肩部リングの中心までの半径方向距離</w:t>
      </w:r>
      <w:r w:rsidR="00FF57A8" w:rsidRPr="00BC31E0">
        <w:rPr>
          <w:rFonts w:hint="eastAsia"/>
        </w:rPr>
        <w:t>(</w:t>
      </w:r>
      <w:r w:rsidR="00FF57A8" w:rsidRPr="00BC31E0">
        <w:rPr>
          <w:rFonts w:ascii="Cambria Math" w:hAnsi="Cambria Math"/>
        </w:rPr>
        <w:t>mm</w:t>
      </w:r>
      <w:r w:rsidR="00FF57A8" w:rsidRPr="00BC31E0">
        <w:rPr>
          <w:rFonts w:hint="eastAsia"/>
        </w:rPr>
        <w:t>)</w:t>
      </w:r>
    </w:p>
    <w:tbl>
      <w:tblPr>
        <w:tblStyle w:val="afff2"/>
        <w:tblW w:w="0" w:type="auto"/>
        <w:tblInd w:w="1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0"/>
      </w:tblGrid>
      <w:tr w:rsidR="00FF57A8" w:rsidRPr="00BC31E0" w14:paraId="29D3F23E" w14:textId="77777777" w:rsidTr="004736F2">
        <w:tc>
          <w:tcPr>
            <w:tcW w:w="0" w:type="auto"/>
            <w:tcMar>
              <w:left w:w="0" w:type="dxa"/>
              <w:right w:w="0" w:type="dxa"/>
            </w:tcMar>
            <w:vAlign w:val="center"/>
          </w:tcPr>
          <w:p w14:paraId="72EA83EC" w14:textId="77777777" w:rsidR="00FF57A8" w:rsidRPr="00BC31E0" w:rsidRDefault="00FF57A8" w:rsidP="001B7872">
            <w:pPr>
              <w:autoSpaceDE w:val="0"/>
              <w:autoSpaceDN w:val="0"/>
              <w:jc w:val="left"/>
              <w:rPr>
                <w:rFonts w:asciiTheme="minorHAnsi" w:hAnsiTheme="minorHAnsi"/>
                <w:i/>
              </w:rPr>
            </w:pPr>
            <m:oMathPara>
              <m:oMathParaPr>
                <m:jc m:val="left"/>
              </m:oMathParaPr>
              <m:oMath>
                <m:r>
                  <w:rPr>
                    <w:rFonts w:ascii="Cambria Math" w:hAnsi="Cambria Math"/>
                  </w:rPr>
                  <m:t>=</m:t>
                </m:r>
                <m:f>
                  <m:fPr>
                    <m:ctrlPr>
                      <w:rPr>
                        <w:rFonts w:ascii="Cambria Math" w:hAnsi="Cambria Math"/>
                        <w:i/>
                      </w:rPr>
                    </m:ctrlPr>
                  </m:fPr>
                  <m:num>
                    <m:r>
                      <w:rPr>
                        <w:rFonts w:ascii="Cambria Math" w:hAnsi="Cambria Math"/>
                      </w:rPr>
                      <m:t>T</m:t>
                    </m:r>
                    <m:sSup>
                      <m:sSupPr>
                        <m:ctrlPr>
                          <w:rPr>
                            <w:rFonts w:ascii="Cambria Math" w:hAnsi="Cambria Math"/>
                            <w:i/>
                          </w:rPr>
                        </m:ctrlPr>
                      </m:sSupPr>
                      <m:e>
                        <m:sSub>
                          <m:sSubPr>
                            <m:ctrlPr>
                              <w:rPr>
                                <w:rFonts w:ascii="Cambria Math" w:hAnsi="Cambria Math"/>
                                <w:i/>
                              </w:rPr>
                            </m:ctrlPr>
                          </m:sSubPr>
                          <m:e>
                            <m:r>
                              <w:rPr>
                                <w:rFonts w:ascii="Cambria Math" w:hAnsi="Cambria Math"/>
                              </w:rPr>
                              <m:t>g</m:t>
                            </m:r>
                          </m:e>
                          <m:sub>
                            <m:r>
                              <w:rPr>
                                <w:rFonts w:ascii="Cambria Math" w:hAnsi="Cambria Math"/>
                              </w:rPr>
                              <m:t>1</m:t>
                            </m:r>
                          </m:sub>
                        </m:sSub>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g</m:t>
                        </m:r>
                      </m:e>
                      <m:sub>
                        <m:r>
                          <w:rPr>
                            <w:rFonts w:ascii="Cambria Math" w:hAnsi="Cambria Math"/>
                          </w:rPr>
                          <m:t>2</m:t>
                        </m:r>
                      </m:sub>
                    </m:sSub>
                    <m:r>
                      <w:rPr>
                        <w:rFonts w:ascii="Cambria Math" w:hAnsi="Cambria Math"/>
                      </w:rPr>
                      <m:t xml:space="preserve"> </m:t>
                    </m:r>
                    <m:d>
                      <m:dPr>
                        <m:ctrlPr>
                          <w:rPr>
                            <w:rFonts w:ascii="Cambria Math" w:hAnsi="Cambria Math"/>
                            <w:i/>
                          </w:rPr>
                        </m:ctrlPr>
                      </m:dPr>
                      <m:e>
                        <m:r>
                          <w:rPr>
                            <w:rFonts w:ascii="Cambria Math" w:hAnsi="Cambria Math"/>
                          </w:rPr>
                          <m:t>2</m:t>
                        </m:r>
                        <m:sSub>
                          <m:sSubPr>
                            <m:ctrlPr>
                              <w:rPr>
                                <w:rFonts w:ascii="Cambria Math" w:hAnsi="Cambria Math"/>
                                <w:i/>
                              </w:rPr>
                            </m:ctrlPr>
                          </m:sSubPr>
                          <m:e>
                            <m:r>
                              <w:rPr>
                                <w:rFonts w:ascii="Cambria Math" w:hAnsi="Cambria Math"/>
                              </w:rPr>
                              <m:t xml:space="preserve"> g</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e>
                    </m:d>
                  </m:num>
                  <m:den>
                    <m:r>
                      <w:rPr>
                        <w:rFonts w:ascii="Cambria Math" w:hAnsi="Cambria Math"/>
                      </w:rPr>
                      <m:t xml:space="preserve">2 </m:t>
                    </m:r>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g</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g</m:t>
                            </m:r>
                          </m:e>
                          <m:sub>
                            <m:r>
                              <w:rPr>
                                <w:rFonts w:ascii="Cambria Math" w:hAnsi="Cambria Math"/>
                              </w:rPr>
                              <m:t>2</m:t>
                            </m:r>
                          </m:sub>
                        </m:sSub>
                      </m:e>
                    </m:d>
                  </m:den>
                </m:f>
              </m:oMath>
            </m:oMathPara>
          </w:p>
        </w:tc>
      </w:tr>
    </w:tbl>
    <w:p w14:paraId="4300F197"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g</m:t>
            </m:r>
          </m:e>
          <m:sub>
            <m:r>
              <w:rPr>
                <w:rFonts w:ascii="Cambria Math" w:hAnsi="Cambria Math"/>
              </w:rPr>
              <m:t>0</m:t>
            </m:r>
          </m:sub>
        </m:sSub>
      </m:oMath>
      <w:r w:rsidR="00FF57A8" w:rsidRPr="00BC31E0">
        <w:tab/>
      </w:r>
      <w:r w:rsidR="00FF57A8" w:rsidRPr="00BC31E0">
        <w:rPr>
          <w:rFonts w:hint="eastAsia"/>
        </w:rPr>
        <w:t>：</w:t>
      </w:r>
      <w:r w:rsidR="00FF57A8" w:rsidRPr="00BC31E0">
        <w:rPr>
          <w:rFonts w:hint="eastAsia"/>
        </w:rPr>
        <w:t xml:space="preserve"> </w:t>
      </w:r>
      <w:r w:rsidR="00FF57A8" w:rsidRPr="00BC31E0">
        <w:rPr>
          <w:rFonts w:hint="eastAsia"/>
        </w:rPr>
        <w:t>小径でのハブの厚さ</w:t>
      </w:r>
      <w:r w:rsidR="00FF57A8" w:rsidRPr="00BC31E0">
        <w:rPr>
          <w:rFonts w:hint="eastAsia"/>
        </w:rPr>
        <w:t>(</w:t>
      </w:r>
      <w:r w:rsidR="00FF57A8" w:rsidRPr="00BC31E0">
        <w:rPr>
          <w:rFonts w:ascii="Cambria Math" w:hAnsi="Cambria Math"/>
        </w:rPr>
        <w:t>mm</w:t>
      </w:r>
      <w:r w:rsidR="00FF57A8" w:rsidRPr="00BC31E0">
        <w:rPr>
          <w:rFonts w:hint="eastAsia"/>
        </w:rPr>
        <w:t>)</w:t>
      </w:r>
    </w:p>
    <w:p w14:paraId="1641091F"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g</m:t>
            </m:r>
          </m:e>
          <m:sub>
            <m:r>
              <w:rPr>
                <w:rFonts w:ascii="Cambria Math" w:hAnsi="Cambria Math"/>
              </w:rPr>
              <m:t>1</m:t>
            </m:r>
          </m:sub>
        </m:sSub>
      </m:oMath>
      <w:r w:rsidR="00FF57A8" w:rsidRPr="00BC31E0">
        <w:tab/>
      </w:r>
      <w:r w:rsidR="00FF57A8" w:rsidRPr="00BC31E0">
        <w:rPr>
          <w:rFonts w:hint="eastAsia"/>
        </w:rPr>
        <w:t>：</w:t>
      </w:r>
      <w:r w:rsidR="00FF57A8" w:rsidRPr="00BC31E0">
        <w:rPr>
          <w:rFonts w:hint="eastAsia"/>
        </w:rPr>
        <w:t xml:space="preserve"> </w:t>
      </w:r>
      <w:r w:rsidR="00FF57A8" w:rsidRPr="00BC31E0">
        <w:rPr>
          <w:rFonts w:hint="eastAsia"/>
        </w:rPr>
        <w:t>ネックでのハブの厚さ</w:t>
      </w:r>
      <w:r w:rsidR="00FF57A8" w:rsidRPr="00BC31E0">
        <w:rPr>
          <w:rFonts w:hint="eastAsia"/>
        </w:rPr>
        <w:t>(</w:t>
      </w:r>
      <w:r w:rsidR="00FF57A8" w:rsidRPr="00BC31E0">
        <w:rPr>
          <w:rFonts w:ascii="Cambria Math" w:hAnsi="Cambria Math"/>
        </w:rPr>
        <w:t>mm</w:t>
      </w:r>
      <w:r w:rsidR="00FF57A8" w:rsidRPr="00BC31E0">
        <w:rPr>
          <w:rFonts w:hint="eastAsia"/>
        </w:rPr>
        <w:t>)</w:t>
      </w:r>
    </w:p>
    <w:p w14:paraId="5807A6E1"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g</m:t>
            </m:r>
          </m:e>
          <m:sub>
            <m:r>
              <w:rPr>
                <w:rFonts w:ascii="Cambria Math" w:hAnsi="Cambria Math"/>
              </w:rPr>
              <m:t>2</m:t>
            </m:r>
          </m:sub>
        </m:sSub>
      </m:oMath>
      <w:r w:rsidR="00FF57A8" w:rsidRPr="00BC31E0">
        <w:tab/>
      </w:r>
      <w:r w:rsidR="00FF57A8" w:rsidRPr="00BC31E0">
        <w:rPr>
          <w:rFonts w:hint="eastAsia"/>
        </w:rPr>
        <w:t>：</w:t>
      </w:r>
      <w:r w:rsidR="00FF57A8" w:rsidRPr="00BC31E0">
        <w:rPr>
          <w:rFonts w:hint="eastAsia"/>
        </w:rPr>
        <w:t xml:space="preserve"> </w:t>
      </w:r>
      <w:r w:rsidR="00FF57A8" w:rsidRPr="00BC31E0">
        <w:rPr>
          <w:rFonts w:hint="eastAsia"/>
        </w:rPr>
        <w:t>ハブ肩部の高さ</w:t>
      </w:r>
      <w:r w:rsidR="00FF57A8" w:rsidRPr="00BC31E0">
        <w:rPr>
          <w:rFonts w:hint="eastAsia"/>
        </w:rPr>
        <w:t>(</w:t>
      </w:r>
      <w:r w:rsidR="00FF57A8" w:rsidRPr="00BC31E0">
        <w:rPr>
          <w:rFonts w:ascii="Cambria Math" w:hAnsi="Cambria Math"/>
        </w:rPr>
        <w:t>mm</w:t>
      </w:r>
      <w:r w:rsidR="00FF57A8" w:rsidRPr="00BC31E0">
        <w:rPr>
          <w:rFonts w:hint="eastAsia"/>
        </w:rPr>
        <w:t>) (</w:t>
      </w:r>
      <m:oMath>
        <m:sSub>
          <m:sSubPr>
            <m:ctrlPr>
              <w:rPr>
                <w:rFonts w:ascii="Cambria Math" w:hAnsi="Cambria Math"/>
                <w:i/>
              </w:rPr>
            </m:ctrlPr>
          </m:sSubPr>
          <m:e>
            <m:r>
              <w:rPr>
                <w:rFonts w:ascii="Cambria Math" w:hAnsi="Cambria Math"/>
              </w:rPr>
              <m:t xml:space="preserve"> g</m:t>
            </m:r>
          </m:e>
          <m:sub>
            <m:r>
              <w:rPr>
                <w:rFonts w:ascii="Cambria Math" w:hAnsi="Cambria Math"/>
              </w:rPr>
              <m:t>2</m:t>
            </m:r>
          </m:sub>
        </m:sSub>
        <m:r>
          <m:rPr>
            <m:sty m:val="p"/>
          </m:rPr>
          <w:rPr>
            <w:rFonts w:ascii="Cambria Math" w:hAnsi="Cambria Math" w:hint="eastAsia"/>
          </w:rPr>
          <m:t>≦</m:t>
        </m:r>
        <m:r>
          <w:rPr>
            <w:rFonts w:ascii="Cambria Math" w:hAnsi="Cambria Math"/>
          </w:rPr>
          <m:t xml:space="preserve">T </m:t>
        </m:r>
      </m:oMath>
      <w:r w:rsidR="00FF57A8" w:rsidRPr="00BC31E0">
        <w:rPr>
          <w:rFonts w:hint="eastAsia"/>
        </w:rPr>
        <w:t>とする</w:t>
      </w:r>
      <w:r w:rsidR="00FF57A8" w:rsidRPr="00BC31E0">
        <w:rPr>
          <w:rFonts w:hint="eastAsia"/>
        </w:rPr>
        <w:t>)</w:t>
      </w:r>
    </w:p>
    <w:p w14:paraId="3899DD8E" w14:textId="77777777" w:rsidR="00FF57A8" w:rsidRPr="00BC31E0" w:rsidRDefault="00FF57A8" w:rsidP="001B7872">
      <w:pPr>
        <w:tabs>
          <w:tab w:val="left" w:pos="709"/>
        </w:tabs>
        <w:autoSpaceDE w:val="0"/>
        <w:autoSpaceDN w:val="0"/>
        <w:ind w:leftChars="100" w:left="210"/>
      </w:pPr>
      <m:oMath>
        <m:r>
          <w:rPr>
            <w:rFonts w:ascii="Cambria Math" w:hAnsi="Cambria Math"/>
          </w:rPr>
          <m:t>h</m:t>
        </m:r>
      </m:oMath>
      <w:r w:rsidRPr="00BC31E0">
        <w:tab/>
      </w:r>
      <w:r w:rsidRPr="00BC31E0">
        <w:rPr>
          <w:rFonts w:hint="eastAsia"/>
        </w:rPr>
        <w:t>：</w:t>
      </w:r>
      <w:r w:rsidRPr="00BC31E0">
        <w:rPr>
          <w:rFonts w:hint="eastAsia"/>
        </w:rPr>
        <w:t xml:space="preserve"> </w:t>
      </w:r>
      <w:r w:rsidRPr="00BC31E0">
        <w:rPr>
          <w:rFonts w:hint="eastAsia"/>
        </w:rPr>
        <w:t>ハブのテーパ長さ</w:t>
      </w:r>
      <w:r w:rsidRPr="00BC31E0">
        <w:rPr>
          <w:rFonts w:hint="eastAsia"/>
        </w:rPr>
        <w:t>(</w:t>
      </w:r>
      <w:r w:rsidRPr="00BC31E0">
        <w:rPr>
          <w:rFonts w:ascii="Cambria Math" w:hAnsi="Cambria Math"/>
        </w:rPr>
        <w:t>mm</w:t>
      </w:r>
      <w:r w:rsidRPr="00BC31E0">
        <w:rPr>
          <w:rFonts w:hint="eastAsia"/>
        </w:rPr>
        <w:t>)</w:t>
      </w:r>
    </w:p>
    <w:p w14:paraId="01D565EF" w14:textId="77777777" w:rsidR="00FF57A8" w:rsidRPr="00BC31E0" w:rsidRDefault="00A51873" w:rsidP="001B7872">
      <w:pPr>
        <w:tabs>
          <w:tab w:val="left" w:pos="709"/>
        </w:tabs>
        <w:autoSpaceDE w:val="0"/>
        <w:autoSpaceDN w:val="0"/>
        <w:ind w:leftChars="100" w:left="210"/>
      </w:pPr>
      <m:oMath>
        <m:bar>
          <m:barPr>
            <m:pos m:val="top"/>
            <m:ctrlPr>
              <w:rPr>
                <w:rFonts w:ascii="Cambria Math" w:hAnsi="Cambria Math"/>
                <w:i/>
              </w:rPr>
            </m:ctrlPr>
          </m:barPr>
          <m:e>
            <m:r>
              <w:rPr>
                <w:rFonts w:ascii="Cambria Math" w:hAnsi="Cambria Math"/>
              </w:rPr>
              <m:t>h</m:t>
            </m:r>
          </m:e>
        </m:bar>
      </m:oMath>
      <w:r w:rsidR="00FF57A8" w:rsidRPr="00BC31E0">
        <w:tab/>
      </w:r>
      <w:r w:rsidR="00FF57A8" w:rsidRPr="00BC31E0">
        <w:rPr>
          <w:rFonts w:hint="eastAsia"/>
        </w:rPr>
        <w:t>：</w:t>
      </w:r>
      <w:r w:rsidR="00FF57A8" w:rsidRPr="00BC31E0">
        <w:rPr>
          <w:rFonts w:hint="eastAsia"/>
        </w:rPr>
        <w:t xml:space="preserve"> </w:t>
      </w:r>
      <w:r w:rsidR="00FF57A8" w:rsidRPr="00BC31E0">
        <w:rPr>
          <w:rFonts w:hint="eastAsia"/>
        </w:rPr>
        <w:t>ハブ面からハブ肩部リング中心までの長手方向距離</w:t>
      </w:r>
      <w:r w:rsidR="00FF57A8" w:rsidRPr="00BC31E0">
        <w:t>(</w:t>
      </w:r>
      <w:r w:rsidR="00FF57A8" w:rsidRPr="00BC31E0">
        <w:rPr>
          <w:rFonts w:ascii="Cambria Math" w:hAnsi="Cambria Math"/>
        </w:rPr>
        <w:t>mm</w:t>
      </w:r>
      <w:r w:rsidR="00FF57A8" w:rsidRPr="00BC31E0">
        <w:rPr>
          <w:rFonts w:hint="eastAsia"/>
        </w:rPr>
        <w:t>)</w:t>
      </w:r>
    </w:p>
    <w:tbl>
      <w:tblPr>
        <w:tblStyle w:val="afff2"/>
        <w:tblW w:w="0" w:type="auto"/>
        <w:tblInd w:w="1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9"/>
      </w:tblGrid>
      <w:tr w:rsidR="00FF57A8" w:rsidRPr="00BC31E0" w14:paraId="05C9C406" w14:textId="77777777" w:rsidTr="004736F2">
        <w:tc>
          <w:tcPr>
            <w:tcW w:w="0" w:type="auto"/>
            <w:tcMar>
              <w:left w:w="0" w:type="dxa"/>
              <w:right w:w="0" w:type="dxa"/>
            </w:tcMar>
            <w:vAlign w:val="center"/>
          </w:tcPr>
          <w:p w14:paraId="72B43107" w14:textId="77777777" w:rsidR="00FF57A8" w:rsidRPr="00BC31E0" w:rsidRDefault="00FF57A8" w:rsidP="001B7872">
            <w:pPr>
              <w:autoSpaceDE w:val="0"/>
              <w:autoSpaceDN w:val="0"/>
              <w:jc w:val="left"/>
              <w:rPr>
                <w:rFonts w:asciiTheme="minorHAnsi" w:hAnsiTheme="minorHAnsi"/>
                <w:i/>
              </w:rPr>
            </w:pPr>
            <m:oMathPara>
              <m:oMathParaPr>
                <m:jc m:val="left"/>
              </m:oMathParaPr>
              <m:oMath>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2</m:t>
                        </m:r>
                      </m:sup>
                    </m:sSup>
                    <m:sSub>
                      <m:sSubPr>
                        <m:ctrlPr>
                          <w:rPr>
                            <w:rFonts w:ascii="Cambria Math" w:hAnsi="Cambria Math"/>
                            <w:i/>
                          </w:rPr>
                        </m:ctrlPr>
                      </m:sSubPr>
                      <m:e>
                        <m:r>
                          <w:rPr>
                            <w:rFonts w:ascii="Cambria Math" w:hAnsi="Cambria Math"/>
                          </w:rPr>
                          <m:t xml:space="preserve"> g</m:t>
                        </m:r>
                      </m:e>
                      <m:sub>
                        <m:r>
                          <w:rPr>
                            <w:rFonts w:ascii="Cambria Math" w:hAnsi="Cambria Math"/>
                          </w:rPr>
                          <m:t>1</m:t>
                        </m:r>
                      </m:sub>
                    </m:sSub>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h</m:t>
                            </m:r>
                          </m:e>
                          <m:sub>
                            <m:r>
                              <w:rPr>
                                <w:rFonts w:ascii="Cambria Math" w:hAnsi="Cambria Math"/>
                              </w:rPr>
                              <m:t>2</m:t>
                            </m:r>
                          </m:sub>
                        </m:sSub>
                      </m:e>
                      <m:sup>
                        <m:r>
                          <w:rPr>
                            <w:rFonts w:ascii="Cambria Math" w:hAnsi="Cambria Math"/>
                          </w:rPr>
                          <m:t>2</m:t>
                        </m:r>
                      </m:sup>
                    </m:sSup>
                    <m:r>
                      <w:rPr>
                        <w:rFonts w:ascii="Cambria Math" w:hAnsi="Cambria Math"/>
                      </w:rPr>
                      <m:t xml:space="preserve"> </m:t>
                    </m:r>
                    <m:sSub>
                      <m:sSubPr>
                        <m:ctrlPr>
                          <w:rPr>
                            <w:rFonts w:ascii="Cambria Math" w:hAnsi="Cambria Math"/>
                            <w:i/>
                          </w:rPr>
                        </m:ctrlPr>
                      </m:sSubPr>
                      <m:e>
                        <m:r>
                          <w:rPr>
                            <w:rFonts w:ascii="Cambria Math" w:hAnsi="Cambria Math"/>
                          </w:rPr>
                          <m:t>g</m:t>
                        </m:r>
                      </m:e>
                      <m:sub>
                        <m:r>
                          <w:rPr>
                            <w:rFonts w:ascii="Cambria Math" w:hAnsi="Cambria Math"/>
                          </w:rPr>
                          <m:t>2</m:t>
                        </m:r>
                      </m:sub>
                    </m:sSub>
                  </m:num>
                  <m:den>
                    <m:r>
                      <w:rPr>
                        <w:rFonts w:ascii="Cambria Math" w:hAnsi="Cambria Math"/>
                      </w:rPr>
                      <m:t xml:space="preserve">2 </m:t>
                    </m:r>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g</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g</m:t>
                            </m:r>
                          </m:e>
                          <m:sub>
                            <m:r>
                              <w:rPr>
                                <w:rFonts w:ascii="Cambria Math" w:hAnsi="Cambria Math"/>
                              </w:rPr>
                              <m:t>2</m:t>
                            </m:r>
                          </m:sub>
                        </m:sSub>
                      </m:e>
                    </m:d>
                  </m:den>
                </m:f>
              </m:oMath>
            </m:oMathPara>
          </w:p>
        </w:tc>
      </w:tr>
    </w:tbl>
    <w:p w14:paraId="2871C291"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h</m:t>
            </m:r>
          </m:e>
          <m:sub>
            <m:r>
              <w:rPr>
                <w:rFonts w:ascii="Cambria Math" w:hAnsi="Cambria Math"/>
              </w:rPr>
              <m:t>D</m:t>
            </m:r>
          </m:sub>
        </m:sSub>
      </m:oMath>
      <w:r w:rsidR="00FF57A8" w:rsidRPr="00BC31E0">
        <w:tab/>
      </w:r>
      <w:r w:rsidR="00FF57A8" w:rsidRPr="00BC31E0">
        <w:rPr>
          <w:rFonts w:hint="eastAsia"/>
        </w:rPr>
        <w:t>：</w:t>
      </w:r>
      <w:r w:rsidR="00FF57A8" w:rsidRPr="00BC31E0">
        <w:rPr>
          <w:rFonts w:hint="eastAsia"/>
        </w:rPr>
        <w:t xml:space="preserve"> </w:t>
      </w:r>
      <m:oMath>
        <m:r>
          <w:rPr>
            <w:rFonts w:ascii="Cambria Math" w:hAnsi="Cambria Math"/>
          </w:rPr>
          <m:t>C</m:t>
        </m:r>
        <m:r>
          <m:rPr>
            <m:sty m:val="p"/>
          </m:rPr>
          <w:rPr>
            <w:rFonts w:ascii="Cambria Math" w:hAnsi="Cambria Math"/>
          </w:rPr>
          <m:t xml:space="preserve"> </m:t>
        </m:r>
        <m:r>
          <m:rPr>
            <m:sty m:val="p"/>
          </m:rPr>
          <w:rPr>
            <w:rFonts w:ascii="Cambria Math" w:hAnsi="Cambria Math" w:hint="eastAsia"/>
          </w:rPr>
          <m:t>と</m:t>
        </m:r>
        <m:sSub>
          <m:sSubPr>
            <m:ctrlPr>
              <w:rPr>
                <w:rFonts w:ascii="Cambria Math" w:hAnsi="Cambria Math"/>
                <w:i/>
              </w:rPr>
            </m:ctrlPr>
          </m:sSubPr>
          <m:e>
            <m:r>
              <w:rPr>
                <w:rFonts w:ascii="Cambria Math" w:hAnsi="Cambria Math"/>
              </w:rPr>
              <m:t>H</m:t>
            </m:r>
          </m:e>
          <m:sub>
            <m:r>
              <w:rPr>
                <w:rFonts w:ascii="Cambria Math" w:hAnsi="Cambria Math"/>
              </w:rPr>
              <m:t>D</m:t>
            </m:r>
          </m:sub>
        </m:sSub>
        <m:r>
          <w:rPr>
            <w:rFonts w:ascii="Cambria Math" w:hAnsi="Cambria Math"/>
          </w:rPr>
          <m:t xml:space="preserve"> </m:t>
        </m:r>
      </m:oMath>
      <w:r w:rsidR="00FF57A8" w:rsidRPr="00BC31E0">
        <w:rPr>
          <w:rFonts w:hint="eastAsia"/>
        </w:rPr>
        <w:t>が作用する位置の半径方向距離</w:t>
      </w:r>
      <w:r w:rsidR="00FF57A8" w:rsidRPr="00BC31E0">
        <w:rPr>
          <w:rFonts w:hint="eastAsia"/>
        </w:rPr>
        <w:t>(</w:t>
      </w:r>
      <w:r w:rsidR="00FF57A8" w:rsidRPr="00BC31E0">
        <w:rPr>
          <w:rFonts w:ascii="Cambria Math" w:hAnsi="Cambria Math"/>
        </w:rPr>
        <w:t>mm</w:t>
      </w:r>
      <w:r w:rsidR="00FF57A8" w:rsidRPr="00BC31E0">
        <w:rPr>
          <w:rFonts w:hint="eastAsia"/>
        </w:rPr>
        <w:t>)</w:t>
      </w:r>
    </w:p>
    <w:p w14:paraId="2F420AD8" w14:textId="77777777" w:rsidR="00FF57A8" w:rsidRPr="00BC31E0" w:rsidRDefault="00FF57A8" w:rsidP="001B7872">
      <w:pPr>
        <w:autoSpaceDE w:val="0"/>
        <w:autoSpaceDN w:val="0"/>
        <w:ind w:left="1077"/>
      </w:pPr>
      <m:oMath>
        <m:r>
          <w:rPr>
            <w:rFonts w:ascii="Cambria Math" w:hAnsi="Cambria Math"/>
          </w:rPr>
          <m:t>=</m:t>
        </m:r>
        <m:f>
          <m:fPr>
            <m:type m:val="lin"/>
            <m:ctrlPr>
              <w:rPr>
                <w:rFonts w:ascii="Cambria Math" w:hAnsi="Cambria Math"/>
                <w:i/>
              </w:rPr>
            </m:ctrlPr>
          </m:fPr>
          <m:num>
            <m:d>
              <m:dPr>
                <m:begChr m:val="{"/>
                <m:endChr m:val="}"/>
                <m:ctrlPr>
                  <w:rPr>
                    <w:rFonts w:ascii="Cambria Math" w:hAnsi="Cambria Math"/>
                    <w:i/>
                  </w:rPr>
                </m:ctrlPr>
              </m:dPr>
              <m:e>
                <m:r>
                  <w:rPr>
                    <w:rFonts w:ascii="Cambria Math" w:hAnsi="Cambria Math"/>
                  </w:rPr>
                  <m:t>C-</m:t>
                </m:r>
                <m:d>
                  <m:dPr>
                    <m:ctrlPr>
                      <w:rPr>
                        <w:rFonts w:ascii="Cambria Math" w:hAnsi="Cambria Math"/>
                        <w:i/>
                      </w:rPr>
                    </m:ctrlPr>
                  </m:dPr>
                  <m:e>
                    <m:r>
                      <w:rPr>
                        <w:rFonts w:ascii="Cambria Math" w:hAnsi="Cambria Math"/>
                      </w:rPr>
                      <m:t>B+</m:t>
                    </m:r>
                    <m:sSub>
                      <m:sSubPr>
                        <m:ctrlPr>
                          <w:rPr>
                            <w:rFonts w:ascii="Cambria Math" w:hAnsi="Cambria Math"/>
                            <w:i/>
                          </w:rPr>
                        </m:ctrlPr>
                      </m:sSubPr>
                      <m:e>
                        <m:r>
                          <w:rPr>
                            <w:rFonts w:ascii="Cambria Math" w:hAnsi="Cambria Math"/>
                          </w:rPr>
                          <m:t>g</m:t>
                        </m:r>
                      </m:e>
                      <m:sub>
                        <m:r>
                          <w:rPr>
                            <w:rFonts w:ascii="Cambria Math" w:hAnsi="Cambria Math"/>
                          </w:rPr>
                          <m:t>1</m:t>
                        </m:r>
                      </m:sub>
                    </m:sSub>
                  </m:e>
                </m:d>
              </m:e>
            </m:d>
          </m:num>
          <m:den>
            <m:r>
              <w:rPr>
                <w:rFonts w:ascii="Cambria Math" w:hAnsi="Cambria Math"/>
              </w:rPr>
              <m:t>2</m:t>
            </m:r>
          </m:den>
        </m:f>
      </m:oMath>
      <w:r w:rsidRPr="00BC31E0">
        <w:rPr>
          <w:i/>
        </w:rPr>
        <w:t xml:space="preserve"> </w:t>
      </w:r>
    </w:p>
    <w:p w14:paraId="13A6D5F7"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h</m:t>
            </m:r>
          </m:e>
          <m:sub>
            <m:r>
              <w:rPr>
                <w:rFonts w:ascii="Cambria Math" w:hAnsi="Cambria Math"/>
              </w:rPr>
              <m:t>G</m:t>
            </m:r>
          </m:sub>
        </m:sSub>
      </m:oMath>
      <w:r w:rsidR="00FF57A8" w:rsidRPr="00BC31E0">
        <w:tab/>
      </w:r>
      <w:r w:rsidR="00FF57A8" w:rsidRPr="00BC31E0">
        <w:rPr>
          <w:rFonts w:hint="eastAsia"/>
        </w:rPr>
        <w:t>：</w:t>
      </w:r>
      <w:r w:rsidR="00FF57A8" w:rsidRPr="00BC31E0">
        <w:rPr>
          <w:rFonts w:hint="eastAsia"/>
        </w:rPr>
        <w:t xml:space="preserve"> </w:t>
      </w:r>
      <m:oMath>
        <m:r>
          <w:rPr>
            <w:rFonts w:ascii="Cambria Math" w:hAnsi="Cambria Math"/>
          </w:rPr>
          <m:t xml:space="preserve">C </m:t>
        </m:r>
        <m:r>
          <m:rPr>
            <m:sty m:val="p"/>
          </m:rPr>
          <w:rPr>
            <w:rFonts w:ascii="Cambria Math" w:hAnsi="Cambria Math" w:hint="eastAsia"/>
          </w:rPr>
          <m:t>と</m:t>
        </m:r>
        <m:sSub>
          <m:sSubPr>
            <m:ctrlPr>
              <w:rPr>
                <w:rFonts w:ascii="Cambria Math" w:hAnsi="Cambria Math"/>
              </w:rPr>
            </m:ctrlPr>
          </m:sSubPr>
          <m:e>
            <m:r>
              <w:rPr>
                <w:rFonts w:ascii="Cambria Math" w:hAnsi="Cambria Math"/>
              </w:rPr>
              <m:t xml:space="preserve"> H</m:t>
            </m:r>
          </m:e>
          <m:sub>
            <m:r>
              <w:rPr>
                <w:rFonts w:ascii="Cambria Math" w:hAnsi="Cambria Math"/>
              </w:rPr>
              <m:t>G</m:t>
            </m:r>
          </m:sub>
        </m:sSub>
        <m:r>
          <m:rPr>
            <m:sty m:val="p"/>
          </m:rPr>
          <w:rPr>
            <w:rFonts w:ascii="Cambria Math" w:hAnsi="Cambria Math"/>
          </w:rPr>
          <m:t xml:space="preserve"> </m:t>
        </m:r>
      </m:oMath>
      <w:r w:rsidR="00FF57A8" w:rsidRPr="00BC31E0">
        <w:rPr>
          <w:rFonts w:hint="eastAsia"/>
        </w:rPr>
        <w:t>が作用する位置の半径方向距離</w:t>
      </w:r>
      <w:r w:rsidR="00FF57A8" w:rsidRPr="00BC31E0">
        <w:rPr>
          <w:rFonts w:hint="eastAsia"/>
        </w:rPr>
        <w:t>(</w:t>
      </w:r>
      <w:r w:rsidR="00FF57A8" w:rsidRPr="00BC31E0">
        <w:rPr>
          <w:rFonts w:ascii="Cambria Math" w:hAnsi="Cambria Math"/>
        </w:rPr>
        <w:t>mm</w:t>
      </w:r>
      <w:r w:rsidR="00FF57A8" w:rsidRPr="00BC31E0">
        <w:rPr>
          <w:rFonts w:hint="eastAsia"/>
        </w:rPr>
        <w:t>)</w:t>
      </w:r>
    </w:p>
    <w:p w14:paraId="026B21E0"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h</m:t>
            </m:r>
          </m:e>
          <m:sub>
            <m:r>
              <w:rPr>
                <w:rFonts w:ascii="Cambria Math" w:hAnsi="Cambria Math"/>
              </w:rPr>
              <m:t>n</m:t>
            </m:r>
          </m:sub>
        </m:sSub>
      </m:oMath>
      <w:r w:rsidR="00FF57A8" w:rsidRPr="00BC31E0">
        <w:tab/>
      </w:r>
      <w:r w:rsidR="00FF57A8" w:rsidRPr="00BC31E0">
        <w:rPr>
          <w:rFonts w:hint="eastAsia"/>
        </w:rPr>
        <w:t>：</w:t>
      </w:r>
      <w:r w:rsidR="00FF57A8" w:rsidRPr="00BC31E0">
        <w:rPr>
          <w:rFonts w:hint="eastAsia"/>
        </w:rPr>
        <w:t xml:space="preserve"> </w:t>
      </w:r>
      <w:r w:rsidR="00FF57A8" w:rsidRPr="00BC31E0">
        <w:rPr>
          <w:rFonts w:hint="eastAsia"/>
        </w:rPr>
        <w:t>ハブのネック長さ</w:t>
      </w:r>
      <w:r w:rsidR="00FF57A8" w:rsidRPr="00BC31E0">
        <w:rPr>
          <w:rFonts w:hint="eastAsia"/>
        </w:rPr>
        <w:t>(</w:t>
      </w:r>
      <w:r w:rsidR="00FF57A8" w:rsidRPr="00BC31E0">
        <w:rPr>
          <w:rFonts w:ascii="Cambria Math" w:hAnsi="Cambria Math"/>
        </w:rPr>
        <w:t>mm</w:t>
      </w:r>
      <w:r w:rsidR="00FF57A8" w:rsidRPr="00BC31E0">
        <w:rPr>
          <w:rFonts w:hint="eastAsia"/>
        </w:rPr>
        <w:t>) (</w:t>
      </w:r>
      <m:oMath>
        <m:sSub>
          <m:sSubPr>
            <m:ctrlPr>
              <w:rPr>
                <w:rFonts w:ascii="Cambria Math" w:hAnsi="Cambria Math"/>
                <w:i/>
              </w:rPr>
            </m:ctrlPr>
          </m:sSubPr>
          <m:e>
            <m:r>
              <w:rPr>
                <w:rFonts w:ascii="Cambria Math" w:hAnsi="Cambria Math"/>
              </w:rPr>
              <m:t>h</m:t>
            </m:r>
          </m:e>
          <m:sub>
            <m:r>
              <w:rPr>
                <w:rFonts w:ascii="Cambria Math" w:hAnsi="Cambria Math"/>
              </w:rPr>
              <m:t>n</m:t>
            </m:r>
          </m:sub>
        </m:sSub>
        <m:r>
          <w:rPr>
            <w:rFonts w:ascii="Cambria Math" w:hAnsi="Cambria Math"/>
          </w:rPr>
          <m:t xml:space="preserve"> </m:t>
        </m:r>
      </m:oMath>
      <w:r w:rsidR="00FF57A8" w:rsidRPr="00BC31E0">
        <w:rPr>
          <w:rFonts w:hint="eastAsia"/>
        </w:rPr>
        <w:t>の最小長さは，</w:t>
      </w:r>
      <m:oMath>
        <m:r>
          <w:rPr>
            <w:rFonts w:ascii="Cambria Math" w:hAnsi="Cambria Math"/>
          </w:rPr>
          <m:t xml:space="preserve">0.5 </m:t>
        </m:r>
        <m:sSub>
          <m:sSubPr>
            <m:ctrlPr>
              <w:rPr>
                <w:rFonts w:ascii="Cambria Math" w:hAnsi="Cambria Math"/>
                <w:i/>
              </w:rPr>
            </m:ctrlPr>
          </m:sSubPr>
          <m:e>
            <m:r>
              <w:rPr>
                <w:rFonts w:ascii="Cambria Math" w:hAnsi="Cambria Math"/>
              </w:rPr>
              <m:t>g</m:t>
            </m:r>
          </m:e>
          <m:sub>
            <m:r>
              <w:rPr>
                <w:rFonts w:ascii="Cambria Math" w:hAnsi="Cambria Math"/>
              </w:rPr>
              <m:t>1</m:t>
            </m:r>
          </m:sub>
        </m:sSub>
        <m:r>
          <w:rPr>
            <w:rFonts w:ascii="Cambria Math" w:hAnsi="Cambria Math"/>
          </w:rPr>
          <m:t xml:space="preserve"> </m:t>
        </m:r>
      </m:oMath>
      <w:r w:rsidR="00FF57A8" w:rsidRPr="00BC31E0">
        <w:rPr>
          <w:rFonts w:hint="eastAsia"/>
        </w:rPr>
        <w:t>と</w:t>
      </w:r>
      <w:r w:rsidR="00FF57A8" w:rsidRPr="00BC31E0">
        <w:rPr>
          <w:rFonts w:ascii="Cambria Math" w:hAnsi="Cambria Math"/>
        </w:rPr>
        <w:t>6</w:t>
      </w:r>
      <w:r w:rsidR="001B7872" w:rsidRPr="00BC31E0">
        <w:rPr>
          <w:rFonts w:ascii="Cambria Math" w:hAnsi="Cambria Math" w:hint="eastAsia"/>
        </w:rPr>
        <w:t xml:space="preserve"> </w:t>
      </w:r>
      <w:r w:rsidR="00FF57A8" w:rsidRPr="00BC31E0">
        <w:rPr>
          <w:rFonts w:ascii="Cambria Math" w:hAnsi="Cambria Math"/>
        </w:rPr>
        <w:t>mm</w:t>
      </w:r>
      <w:r w:rsidR="00FF57A8" w:rsidRPr="00BC31E0">
        <w:rPr>
          <w:rFonts w:hint="eastAsia"/>
        </w:rPr>
        <w:t>の大きい方とする。</w:t>
      </w:r>
      <w:r w:rsidR="00FF57A8" w:rsidRPr="00BC31E0">
        <w:rPr>
          <w:rFonts w:hint="eastAsia"/>
        </w:rPr>
        <w:t>)</w:t>
      </w:r>
    </w:p>
    <w:p w14:paraId="62FF4A3E"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h</m:t>
            </m:r>
          </m:e>
          <m:sub>
            <m:r>
              <w:rPr>
                <w:rFonts w:ascii="Cambria Math" w:hAnsi="Cambria Math"/>
              </w:rPr>
              <m:t>T</m:t>
            </m:r>
          </m:sub>
        </m:sSub>
      </m:oMath>
      <w:r w:rsidR="00FF57A8" w:rsidRPr="00BC31E0">
        <w:tab/>
      </w:r>
      <w:r w:rsidR="00FF57A8" w:rsidRPr="00BC31E0">
        <w:rPr>
          <w:rFonts w:hint="eastAsia"/>
        </w:rPr>
        <w:t>：</w:t>
      </w:r>
      <w:r w:rsidR="00FF57A8" w:rsidRPr="00BC31E0">
        <w:rPr>
          <w:rFonts w:hint="eastAsia"/>
        </w:rPr>
        <w:t xml:space="preserve"> </w:t>
      </w:r>
      <m:oMath>
        <m:r>
          <w:rPr>
            <w:rFonts w:ascii="Cambria Math" w:hAnsi="Cambria Math"/>
          </w:rPr>
          <m:t>C</m:t>
        </m:r>
        <m:r>
          <m:rPr>
            <m:sty m:val="p"/>
          </m:rPr>
          <w:rPr>
            <w:rFonts w:ascii="Cambria Math" w:hAnsi="Cambria Math"/>
          </w:rPr>
          <m:t xml:space="preserve"> </m:t>
        </m:r>
        <m:r>
          <m:rPr>
            <m:sty m:val="p"/>
          </m:rPr>
          <w:rPr>
            <w:rFonts w:ascii="Cambria Math" w:hAnsi="Cambria Math" w:hint="eastAsia"/>
          </w:rPr>
          <m:t>と</m:t>
        </m:r>
        <m:sSub>
          <m:sSubPr>
            <m:ctrlPr>
              <w:rPr>
                <w:rFonts w:ascii="Cambria Math" w:hAnsi="Cambria Math"/>
                <w:i/>
              </w:rPr>
            </m:ctrlPr>
          </m:sSubPr>
          <m:e>
            <m:r>
              <w:rPr>
                <w:rFonts w:ascii="Cambria Math" w:hAnsi="Cambria Math"/>
              </w:rPr>
              <m:t xml:space="preserve"> H</m:t>
            </m:r>
          </m:e>
          <m:sub>
            <m:r>
              <w:rPr>
                <w:rFonts w:ascii="Cambria Math" w:hAnsi="Cambria Math"/>
              </w:rPr>
              <m:t>T</m:t>
            </m:r>
          </m:sub>
        </m:sSub>
        <m:r>
          <w:rPr>
            <w:rFonts w:ascii="Cambria Math" w:hAnsi="Cambria Math"/>
          </w:rPr>
          <m:t xml:space="preserve"> </m:t>
        </m:r>
      </m:oMath>
      <w:r w:rsidR="00FF57A8" w:rsidRPr="00BC31E0">
        <w:rPr>
          <w:rFonts w:hint="eastAsia"/>
        </w:rPr>
        <w:t>が作用する位置の半径方向距離</w:t>
      </w:r>
      <w:r w:rsidR="00FF57A8" w:rsidRPr="00BC31E0">
        <w:rPr>
          <w:rFonts w:hint="eastAsia"/>
        </w:rPr>
        <w:t>(</w:t>
      </w:r>
      <w:r w:rsidR="00FF57A8" w:rsidRPr="00BC31E0">
        <w:rPr>
          <w:rFonts w:ascii="Cambria Math" w:hAnsi="Cambria Math"/>
        </w:rPr>
        <w:t>mm</w:t>
      </w:r>
      <w:r w:rsidR="00FF57A8" w:rsidRPr="00BC31E0">
        <w:rPr>
          <w:rFonts w:hint="eastAsia"/>
        </w:rPr>
        <w:t>)</w:t>
      </w:r>
    </w:p>
    <w:p w14:paraId="76D00B62" w14:textId="77777777" w:rsidR="00FF57A8" w:rsidRPr="00BC31E0" w:rsidRDefault="00FF57A8" w:rsidP="001B7872">
      <w:pPr>
        <w:autoSpaceDE w:val="0"/>
        <w:autoSpaceDN w:val="0"/>
        <w:ind w:left="1077"/>
      </w:pPr>
      <m:oMath>
        <m:r>
          <w:rPr>
            <w:rFonts w:ascii="Cambria Math" w:hAnsi="Cambria Math"/>
          </w:rPr>
          <m:t>=</m:t>
        </m:r>
        <m:f>
          <m:fPr>
            <m:type m:val="lin"/>
            <m:ctrlPr>
              <w:rPr>
                <w:rFonts w:ascii="Cambria Math" w:hAnsi="Cambria Math"/>
                <w:i/>
              </w:rPr>
            </m:ctrlPr>
          </m:fPr>
          <m:num>
            <m:d>
              <m:dPr>
                <m:begChr m:val="{"/>
                <m:endChr m:val="}"/>
                <m:ctrlPr>
                  <w:rPr>
                    <w:rFonts w:ascii="Cambria Math" w:hAnsi="Cambria Math"/>
                    <w:i/>
                  </w:rPr>
                </m:ctrlPr>
              </m:dPr>
              <m:e>
                <m:r>
                  <w:rPr>
                    <w:rFonts w:ascii="Cambria Math" w:hAnsi="Cambria Math"/>
                  </w:rPr>
                  <m:t>C-</m:t>
                </m:r>
                <m:f>
                  <m:fPr>
                    <m:type m:val="lin"/>
                    <m:ctrlPr>
                      <w:rPr>
                        <w:rFonts w:ascii="Cambria Math" w:hAnsi="Cambria Math"/>
                        <w:i/>
                      </w:rPr>
                    </m:ctrlPr>
                  </m:fPr>
                  <m:num>
                    <m:d>
                      <m:dPr>
                        <m:ctrlPr>
                          <w:rPr>
                            <w:rFonts w:ascii="Cambria Math" w:hAnsi="Cambria Math"/>
                            <w:i/>
                          </w:rPr>
                        </m:ctrlPr>
                      </m:dPr>
                      <m:e>
                        <m:r>
                          <w:rPr>
                            <w:rFonts w:ascii="Cambria Math" w:hAnsi="Cambria Math"/>
                          </w:rPr>
                          <m:t>B+G</m:t>
                        </m:r>
                      </m:e>
                    </m:d>
                  </m:num>
                  <m:den>
                    <m:r>
                      <w:rPr>
                        <w:rFonts w:ascii="Cambria Math" w:hAnsi="Cambria Math"/>
                      </w:rPr>
                      <m:t>2</m:t>
                    </m:r>
                  </m:den>
                </m:f>
              </m:e>
            </m:d>
          </m:num>
          <m:den>
            <m:r>
              <w:rPr>
                <w:rFonts w:ascii="Cambria Math" w:hAnsi="Cambria Math"/>
              </w:rPr>
              <m:t>2</m:t>
            </m:r>
          </m:den>
        </m:f>
      </m:oMath>
      <w:r w:rsidRPr="00BC31E0">
        <w:rPr>
          <w:i/>
        </w:rPr>
        <w:t xml:space="preserve"> </w:t>
      </w:r>
    </w:p>
    <w:p w14:paraId="26519DCC"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h</m:t>
            </m:r>
          </m:e>
          <m:sub>
            <m:r>
              <w:rPr>
                <w:rFonts w:ascii="Cambria Math" w:hAnsi="Cambria Math"/>
              </w:rPr>
              <m:t>0</m:t>
            </m:r>
          </m:sub>
        </m:sSub>
      </m:oMath>
      <w:r w:rsidR="00FF57A8" w:rsidRPr="00BC31E0">
        <w:tab/>
      </w:r>
      <m:oMath>
        <m:r>
          <w:rPr>
            <w:rFonts w:ascii="Cambria Math" w:hAnsi="Cambria Math"/>
          </w:rPr>
          <m:t>=</m:t>
        </m:r>
        <m:rad>
          <m:radPr>
            <m:degHide m:val="1"/>
            <m:ctrlPr>
              <w:rPr>
                <w:rFonts w:ascii="Cambria Math" w:hAnsi="Cambria Math"/>
                <w:i/>
              </w:rPr>
            </m:ctrlPr>
          </m:radPr>
          <m:deg/>
          <m:e>
            <m:r>
              <w:rPr>
                <w:rFonts w:ascii="Cambria Math" w:hAnsi="Cambria Math"/>
              </w:rPr>
              <m:t xml:space="preserve">B </m:t>
            </m:r>
            <m:sSub>
              <m:sSubPr>
                <m:ctrlPr>
                  <w:rPr>
                    <w:rFonts w:ascii="Cambria Math" w:hAnsi="Cambria Math"/>
                    <w:i/>
                  </w:rPr>
                </m:ctrlPr>
              </m:sSubPr>
              <m:e>
                <m:r>
                  <w:rPr>
                    <w:rFonts w:ascii="Cambria Math" w:hAnsi="Cambria Math"/>
                  </w:rPr>
                  <m:t>g</m:t>
                </m:r>
              </m:e>
              <m:sub>
                <m:r>
                  <w:rPr>
                    <w:rFonts w:ascii="Cambria Math" w:hAnsi="Cambria Math"/>
                  </w:rPr>
                  <m:t>0</m:t>
                </m:r>
              </m:sub>
            </m:sSub>
          </m:e>
        </m:rad>
      </m:oMath>
      <w:r w:rsidR="00FF57A8" w:rsidRPr="00BC31E0">
        <w:rPr>
          <w:rFonts w:hint="eastAsia"/>
        </w:rPr>
        <w:t xml:space="preserve"> (</w:t>
      </w:r>
      <w:r w:rsidR="00FF57A8" w:rsidRPr="00BC31E0">
        <w:rPr>
          <w:rFonts w:ascii="Cambria Math" w:hAnsi="Cambria Math"/>
        </w:rPr>
        <w:t>mm</w:t>
      </w:r>
      <w:r w:rsidR="00FF57A8" w:rsidRPr="00BC31E0">
        <w:rPr>
          <w:rFonts w:hint="eastAsia"/>
        </w:rPr>
        <w:t>)</w:t>
      </w:r>
    </w:p>
    <w:p w14:paraId="241F63DE"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h</m:t>
            </m:r>
          </m:e>
          <m:sub>
            <m:r>
              <w:rPr>
                <w:rFonts w:ascii="Cambria Math" w:hAnsi="Cambria Math"/>
              </w:rPr>
              <m:t>2</m:t>
            </m:r>
          </m:sub>
        </m:sSub>
      </m:oMath>
      <w:r w:rsidR="00FF57A8" w:rsidRPr="00BC31E0">
        <w:tab/>
      </w:r>
      <w:r w:rsidR="00FF57A8" w:rsidRPr="00BC31E0">
        <w:rPr>
          <w:rFonts w:hint="eastAsia"/>
        </w:rPr>
        <w:t>：</w:t>
      </w:r>
      <w:r w:rsidR="00FF57A8" w:rsidRPr="00BC31E0">
        <w:rPr>
          <w:rFonts w:hint="eastAsia"/>
        </w:rPr>
        <w:t xml:space="preserve"> </w:t>
      </w:r>
      <w:r w:rsidR="00FF57A8" w:rsidRPr="00BC31E0">
        <w:rPr>
          <w:rFonts w:hint="eastAsia"/>
        </w:rPr>
        <w:t>ハブ肩部の平均厚さ</w:t>
      </w:r>
      <w:r w:rsidR="00FF57A8" w:rsidRPr="00BC31E0">
        <w:rPr>
          <w:rFonts w:hint="eastAsia"/>
        </w:rPr>
        <w:t>(</w:t>
      </w:r>
      <w:r w:rsidR="00FF57A8" w:rsidRPr="00BC31E0">
        <w:rPr>
          <w:rFonts w:ascii="Cambria Math" w:hAnsi="Cambria Math"/>
        </w:rPr>
        <w:t>mm</w:t>
      </w:r>
      <w:r w:rsidR="00FF57A8" w:rsidRPr="00BC31E0">
        <w:rPr>
          <w:rFonts w:hint="eastAsia"/>
        </w:rPr>
        <w:t>)</w:t>
      </w:r>
    </w:p>
    <w:p w14:paraId="6346FD6F" w14:textId="77777777" w:rsidR="00FF57A8" w:rsidRPr="00BC31E0" w:rsidRDefault="00FF57A8" w:rsidP="001B7872">
      <w:pPr>
        <w:autoSpaceDE w:val="0"/>
        <w:autoSpaceDN w:val="0"/>
        <w:ind w:left="1077"/>
      </w:pPr>
      <m:oMath>
        <m:r>
          <w:rPr>
            <w:rFonts w:ascii="Cambria Math" w:hAnsi="Cambria Math"/>
          </w:rPr>
          <m:t>=T-</m:t>
        </m:r>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2</m:t>
                    </m:r>
                  </m:sub>
                </m:sSub>
                <m:func>
                  <m:funcPr>
                    <m:ctrlPr>
                      <w:rPr>
                        <w:rFonts w:ascii="Cambria Math" w:hAnsi="Cambria Math"/>
                        <w:i/>
                      </w:rPr>
                    </m:ctrlPr>
                  </m:funcPr>
                  <m:fName>
                    <m:r>
                      <m:rPr>
                        <m:sty m:val="bi"/>
                      </m:rPr>
                      <w:rPr>
                        <w:rFonts w:ascii="Cambria Math" w:hAnsi="Cambria Math"/>
                      </w:rPr>
                      <m:t>tan</m:t>
                    </m:r>
                  </m:fName>
                  <m:e>
                    <m:r>
                      <w:rPr>
                        <w:rFonts w:ascii="Cambria Math" w:hAnsi="Cambria Math"/>
                      </w:rPr>
                      <m:t>ϕ</m:t>
                    </m:r>
                  </m:e>
                </m:func>
              </m:e>
            </m:d>
          </m:num>
          <m:den>
            <m:r>
              <w:rPr>
                <w:rFonts w:ascii="Cambria Math" w:hAnsi="Cambria Math"/>
              </w:rPr>
              <m:t>2</m:t>
            </m:r>
          </m:den>
        </m:f>
      </m:oMath>
      <w:r w:rsidRPr="00BC31E0">
        <w:rPr>
          <w:i/>
        </w:rPr>
        <w:t xml:space="preserve"> </w:t>
      </w:r>
    </w:p>
    <w:p w14:paraId="35757799"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l</m:t>
            </m:r>
          </m:e>
          <m:sub>
            <m:r>
              <w:rPr>
                <w:rFonts w:ascii="Cambria Math" w:hAnsi="Cambria Math"/>
              </w:rPr>
              <m:t>c</m:t>
            </m:r>
          </m:sub>
        </m:sSub>
      </m:oMath>
      <w:r w:rsidR="00FF57A8" w:rsidRPr="00BC31E0">
        <w:tab/>
      </w:r>
      <w:r w:rsidR="00FF57A8" w:rsidRPr="00BC31E0">
        <w:rPr>
          <w:rFonts w:hint="eastAsia"/>
        </w:rPr>
        <w:t>：</w:t>
      </w:r>
      <w:r w:rsidR="00FF57A8" w:rsidRPr="00BC31E0">
        <w:rPr>
          <w:rFonts w:hint="eastAsia"/>
        </w:rPr>
        <w:t xml:space="preserve"> </w:t>
      </w:r>
      <w:r w:rsidR="00FF57A8" w:rsidRPr="00BC31E0">
        <w:rPr>
          <w:rFonts w:hint="eastAsia"/>
        </w:rPr>
        <w:t>有効クランプリップ長さ</w:t>
      </w:r>
      <w:r w:rsidR="00FF57A8" w:rsidRPr="00BC31E0">
        <w:rPr>
          <w:rFonts w:hint="eastAsia"/>
        </w:rPr>
        <w:t>(</w:t>
      </w:r>
      <w:r w:rsidR="00FF57A8" w:rsidRPr="00BC31E0">
        <w:rPr>
          <w:rFonts w:ascii="Cambria Math" w:hAnsi="Cambria Math"/>
        </w:rPr>
        <w:t>mm</w:t>
      </w:r>
      <w:r w:rsidR="00FF57A8" w:rsidRPr="00BC31E0">
        <w:rPr>
          <w:rFonts w:hint="eastAsia"/>
        </w:rPr>
        <w:t>)</w:t>
      </w:r>
    </w:p>
    <w:p w14:paraId="7679EE1D"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l</m:t>
            </m:r>
          </m:e>
          <m:sub>
            <m:r>
              <w:rPr>
                <w:rFonts w:ascii="Cambria Math" w:hAnsi="Cambria Math"/>
              </w:rPr>
              <m:t>m</m:t>
            </m:r>
          </m:sub>
        </m:sSub>
      </m:oMath>
      <w:r w:rsidR="00FF57A8" w:rsidRPr="00BC31E0">
        <w:tab/>
      </w:r>
      <w:r w:rsidR="00FF57A8" w:rsidRPr="00BC31E0">
        <w:rPr>
          <w:rFonts w:hint="eastAsia"/>
        </w:rPr>
        <w:t>：</w:t>
      </w:r>
      <w:r w:rsidR="00FF57A8" w:rsidRPr="00BC31E0">
        <w:rPr>
          <w:rFonts w:hint="eastAsia"/>
        </w:rPr>
        <w:t xml:space="preserve"> </w:t>
      </w:r>
      <w:r w:rsidR="00FF57A8" w:rsidRPr="00BC31E0">
        <w:rPr>
          <w:rFonts w:hint="eastAsia"/>
        </w:rPr>
        <w:t>有効クランプリップモーメントアーム</w:t>
      </w:r>
      <w:r w:rsidR="00FF57A8" w:rsidRPr="00BC31E0">
        <w:rPr>
          <w:rFonts w:hint="eastAsia"/>
        </w:rPr>
        <w:t>(</w:t>
      </w:r>
      <w:r w:rsidR="00FF57A8" w:rsidRPr="00BC31E0">
        <w:rPr>
          <w:rFonts w:ascii="Cambria Math" w:hAnsi="Cambria Math"/>
        </w:rPr>
        <w:t>mm</w:t>
      </w:r>
      <w:r w:rsidR="00FF57A8" w:rsidRPr="00BC31E0">
        <w:rPr>
          <w:rFonts w:hint="eastAsia"/>
        </w:rPr>
        <w:t>)</w:t>
      </w:r>
    </w:p>
    <w:p w14:paraId="3EB0BDF4" w14:textId="77777777" w:rsidR="00FF57A8" w:rsidRPr="00BC31E0" w:rsidRDefault="00FF57A8" w:rsidP="001B7872">
      <w:pPr>
        <w:autoSpaceDE w:val="0"/>
        <w:autoSpaceDN w:val="0"/>
        <w:ind w:left="1077"/>
      </w:pPr>
      <m:oMath>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c</m:t>
            </m:r>
          </m:sub>
        </m:sSub>
        <m:r>
          <w:rPr>
            <w:rFonts w:ascii="Cambria Math" w:hAnsi="Cambria Math"/>
          </w:rPr>
          <m:t>-</m:t>
        </m:r>
        <m:f>
          <m:fPr>
            <m:type m:val="lin"/>
            <m:ctrlPr>
              <w:rPr>
                <w:rFonts w:ascii="Cambria Math" w:hAnsi="Cambria Math"/>
                <w:i/>
              </w:rPr>
            </m:ctrlPr>
          </m:fPr>
          <m:num>
            <m:d>
              <m:dPr>
                <m:ctrlPr>
                  <w:rPr>
                    <w:rFonts w:ascii="Cambria Math" w:hAnsi="Cambria Math"/>
                    <w:i/>
                  </w:rPr>
                </m:ctrlPr>
              </m:dPr>
              <m:e>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i</m:t>
                    </m:r>
                  </m:sub>
                </m:sSub>
              </m:e>
            </m:d>
          </m:num>
          <m:den>
            <m:r>
              <w:rPr>
                <w:rFonts w:ascii="Cambria Math" w:hAnsi="Cambria Math"/>
              </w:rPr>
              <m:t>2</m:t>
            </m:r>
          </m:den>
        </m:f>
      </m:oMath>
      <w:r w:rsidRPr="00BC31E0">
        <w:rPr>
          <w:i/>
        </w:rPr>
        <w:t xml:space="preserve"> </w:t>
      </w:r>
    </w:p>
    <w:p w14:paraId="1D741761" w14:textId="77777777" w:rsidR="00FF57A8" w:rsidRPr="00BC31E0" w:rsidRDefault="00FF57A8" w:rsidP="001B7872">
      <w:pPr>
        <w:tabs>
          <w:tab w:val="left" w:pos="709"/>
        </w:tabs>
        <w:autoSpaceDE w:val="0"/>
        <w:autoSpaceDN w:val="0"/>
        <w:ind w:leftChars="100" w:left="210"/>
      </w:pPr>
      <m:oMath>
        <m:r>
          <w:rPr>
            <w:rFonts w:ascii="Cambria Math" w:hAnsi="Cambria Math"/>
          </w:rPr>
          <m:t>m</m:t>
        </m:r>
      </m:oMath>
      <w:r w:rsidRPr="00BC31E0">
        <w:tab/>
      </w:r>
      <w:r w:rsidRPr="00BC31E0">
        <w:rPr>
          <w:rFonts w:hint="eastAsia"/>
        </w:rPr>
        <w:t>：</w:t>
      </w:r>
      <w:r w:rsidRPr="00BC31E0">
        <w:rPr>
          <w:rFonts w:hint="eastAsia"/>
        </w:rPr>
        <w:t xml:space="preserve"> </w:t>
      </w:r>
      <w:r w:rsidRPr="00BC31E0">
        <w:rPr>
          <w:rFonts w:hint="eastAsia"/>
        </w:rPr>
        <w:t>ガスケット係数</w:t>
      </w:r>
      <w:r w:rsidRPr="00BC31E0">
        <w:rPr>
          <w:rFonts w:hint="eastAsia"/>
        </w:rPr>
        <w:t xml:space="preserve"> (</w:t>
      </w:r>
      <w:r w:rsidRPr="00BC31E0">
        <w:rPr>
          <w:rFonts w:hint="eastAsia"/>
        </w:rPr>
        <w:t>圧力自緊型の場合は</w:t>
      </w:r>
      <m:oMath>
        <m:r>
          <m:rPr>
            <m:sty m:val="p"/>
          </m:rPr>
          <w:rPr>
            <w:rFonts w:ascii="Cambria Math" w:hAnsi="Cambria Math"/>
          </w:rPr>
          <m:t xml:space="preserve"> </m:t>
        </m:r>
        <m:r>
          <w:rPr>
            <w:rFonts w:ascii="Cambria Math" w:hAnsi="Cambria Math"/>
          </w:rPr>
          <m:t>m=0</m:t>
        </m:r>
        <m:r>
          <m:rPr>
            <m:sty m:val="p"/>
          </m:rPr>
          <w:rPr>
            <w:rFonts w:ascii="Cambria Math" w:hAnsi="Cambria Math"/>
          </w:rPr>
          <m:t xml:space="preserve"> </m:t>
        </m:r>
      </m:oMath>
      <w:r w:rsidRPr="00BC31E0">
        <w:rPr>
          <w:rFonts w:hint="eastAsia"/>
        </w:rPr>
        <w:t>とする。</w:t>
      </w:r>
      <w:r w:rsidRPr="00BC31E0">
        <w:rPr>
          <w:rFonts w:hint="eastAsia"/>
        </w:rPr>
        <w:t>)</w:t>
      </w:r>
    </w:p>
    <w:p w14:paraId="09B1A0A2" w14:textId="77777777" w:rsidR="00FF57A8" w:rsidRPr="00BC31E0" w:rsidRDefault="00FF57A8" w:rsidP="001B7872">
      <w:pPr>
        <w:tabs>
          <w:tab w:val="left" w:pos="709"/>
        </w:tabs>
        <w:autoSpaceDE w:val="0"/>
        <w:autoSpaceDN w:val="0"/>
        <w:ind w:leftChars="100" w:left="210"/>
      </w:pPr>
      <m:oMath>
        <m:r>
          <w:rPr>
            <w:rFonts w:ascii="Cambria Math" w:hAnsi="Cambria Math"/>
          </w:rPr>
          <m:t>r</m:t>
        </m:r>
      </m:oMath>
      <w:r w:rsidRPr="00BC31E0">
        <w:tab/>
      </w:r>
      <w:r w:rsidRPr="00BC31E0">
        <w:rPr>
          <w:rFonts w:hint="eastAsia"/>
        </w:rPr>
        <w:t>：</w:t>
      </w:r>
      <w:r w:rsidRPr="00BC31E0">
        <w:rPr>
          <w:rFonts w:hint="eastAsia"/>
        </w:rPr>
        <w:t xml:space="preserve"> </w:t>
      </w:r>
      <w:r w:rsidRPr="00BC31E0">
        <w:rPr>
          <w:rFonts w:hint="eastAsia"/>
        </w:rPr>
        <w:t>クランプとハブ断面のコーナー半径</w:t>
      </w:r>
      <w:r w:rsidRPr="00BC31E0">
        <w:rPr>
          <w:rFonts w:hint="eastAsia"/>
        </w:rPr>
        <w:t>(</w:t>
      </w:r>
      <w:r w:rsidRPr="00BC31E0">
        <w:rPr>
          <w:rFonts w:ascii="Cambria Math" w:hAnsi="Cambria Math"/>
        </w:rPr>
        <w:t>mm</w:t>
      </w:r>
      <w:r w:rsidRPr="00BC31E0">
        <w:rPr>
          <w:rFonts w:hint="eastAsia"/>
        </w:rPr>
        <w:t>) (</w:t>
      </w:r>
      <w:r w:rsidRPr="00BC31E0">
        <w:rPr>
          <w:rFonts w:hint="eastAsia"/>
        </w:rPr>
        <w:t>最小は</w:t>
      </w:r>
      <w:r w:rsidRPr="00BC31E0">
        <w:rPr>
          <w:rFonts w:ascii="Cambria Math" w:hAnsi="Cambria Math"/>
        </w:rPr>
        <w:t>6mm</w:t>
      </w:r>
      <w:r w:rsidRPr="00BC31E0">
        <w:rPr>
          <w:rFonts w:hint="eastAsia"/>
        </w:rPr>
        <w:t>で，最大は</w:t>
      </w:r>
      <m:oMath>
        <m:sSub>
          <m:sSubPr>
            <m:ctrlPr>
              <w:rPr>
                <w:rFonts w:ascii="Cambria Math" w:hAnsi="Cambria Math"/>
                <w:i/>
              </w:rPr>
            </m:ctrlPr>
          </m:sSubPr>
          <m:e>
            <m:r>
              <w:rPr>
                <w:rFonts w:ascii="Cambria Math" w:hAnsi="Cambria Math"/>
              </w:rPr>
              <m:t xml:space="preserve"> C</m:t>
            </m:r>
          </m:e>
          <m:sub>
            <m:r>
              <w:rPr>
                <w:rFonts w:ascii="Cambria Math" w:hAnsi="Cambria Math"/>
              </w:rPr>
              <m:t>t</m:t>
            </m:r>
          </m:sub>
        </m:sSub>
        <m:r>
          <m:rPr>
            <m:sty m:val="p"/>
          </m:rPr>
          <w:rPr>
            <w:rFonts w:ascii="Cambria Math" w:hAnsi="Cambria Math" w:hint="eastAsia"/>
          </w:rPr>
          <m:t xml:space="preserve"> </m:t>
        </m:r>
      </m:oMath>
      <w:r w:rsidRPr="00BC31E0">
        <w:rPr>
          <w:rFonts w:hint="eastAsia"/>
        </w:rPr>
        <w:t>とする。</w:t>
      </w:r>
      <w:r w:rsidRPr="00BC31E0">
        <w:rPr>
          <w:rFonts w:hint="eastAsia"/>
          <w:position w:val="-4"/>
        </w:rPr>
        <w:t>)</w:t>
      </w:r>
    </w:p>
    <w:p w14:paraId="7E6C29C2" w14:textId="77777777" w:rsidR="00FF57A8" w:rsidRPr="00BC31E0" w:rsidRDefault="00A51873" w:rsidP="001B7872">
      <w:pPr>
        <w:tabs>
          <w:tab w:val="left" w:pos="709"/>
        </w:tabs>
        <w:autoSpaceDE w:val="0"/>
        <w:autoSpaceDN w:val="0"/>
        <w:ind w:leftChars="100" w:left="210"/>
      </w:pPr>
      <m:oMath>
        <m:sSub>
          <m:sSubPr>
            <m:ctrlPr>
              <w:rPr>
                <w:rFonts w:ascii="Cambria Math" w:hAnsi="Cambria Math"/>
                <w:i/>
              </w:rPr>
            </m:ctrlPr>
          </m:sSubPr>
          <m:e>
            <m:r>
              <w:rPr>
                <w:rFonts w:ascii="Cambria Math" w:hAnsi="Cambria Math"/>
              </w:rPr>
              <m:t>r</m:t>
            </m:r>
          </m:e>
          <m:sub>
            <m:r>
              <w:rPr>
                <w:rFonts w:ascii="Cambria Math" w:hAnsi="Cambria Math"/>
              </w:rPr>
              <m:t>c</m:t>
            </m:r>
          </m:sub>
        </m:sSub>
      </m:oMath>
      <w:r w:rsidR="00FF57A8" w:rsidRPr="00BC31E0">
        <w:tab/>
      </w:r>
      <w:r w:rsidR="00FF57A8" w:rsidRPr="00BC31E0">
        <w:rPr>
          <w:rFonts w:hint="eastAsia"/>
        </w:rPr>
        <w:t>：</w:t>
      </w:r>
      <w:r w:rsidR="00FF57A8" w:rsidRPr="00BC31E0">
        <w:rPr>
          <w:rFonts w:hint="eastAsia"/>
        </w:rPr>
        <w:t xml:space="preserve"> </w:t>
      </w:r>
      <w:r w:rsidR="00FF57A8" w:rsidRPr="00BC31E0">
        <w:rPr>
          <w:rFonts w:hint="eastAsia"/>
        </w:rPr>
        <w:t>クランプ内側コーナー半径</w:t>
      </w:r>
      <w:r w:rsidR="00FF57A8" w:rsidRPr="00BC31E0">
        <w:rPr>
          <w:rFonts w:hint="eastAsia"/>
        </w:rPr>
        <w:t>(</w:t>
      </w:r>
      <w:r w:rsidR="00FF57A8" w:rsidRPr="00BC31E0">
        <w:rPr>
          <w:rFonts w:ascii="Cambria Math" w:hAnsi="Cambria Math"/>
        </w:rPr>
        <w:t>mm</w:t>
      </w:r>
      <w:r w:rsidR="00FF57A8" w:rsidRPr="00BC31E0">
        <w:rPr>
          <w:rFonts w:hint="eastAsia"/>
        </w:rPr>
        <w:t>)</w:t>
      </w:r>
    </w:p>
    <w:p w14:paraId="168AFF8D" w14:textId="77777777" w:rsidR="00FF57A8" w:rsidRPr="00BC31E0" w:rsidRDefault="00A51873" w:rsidP="00C56F11">
      <w:pPr>
        <w:tabs>
          <w:tab w:val="left" w:pos="709"/>
        </w:tabs>
        <w:autoSpaceDE w:val="0"/>
        <w:autoSpaceDN w:val="0"/>
        <w:ind w:leftChars="100" w:left="210"/>
      </w:pPr>
      <m:oMath>
        <m:sSub>
          <m:sSubPr>
            <m:ctrlPr>
              <w:rPr>
                <w:rFonts w:ascii="Cambria Math" w:hAnsi="Cambria Math"/>
                <w:i/>
              </w:rPr>
            </m:ctrlPr>
          </m:sSubPr>
          <m:e>
            <m:r>
              <w:rPr>
                <w:rFonts w:ascii="Cambria Math" w:hAnsi="Cambria Math"/>
              </w:rPr>
              <m:t>r</m:t>
            </m:r>
          </m:e>
          <m:sub>
            <m:r>
              <w:rPr>
                <w:rFonts w:ascii="Cambria Math" w:hAnsi="Cambria Math"/>
              </w:rPr>
              <m:t>h</m:t>
            </m:r>
          </m:sub>
        </m:sSub>
      </m:oMath>
      <w:r w:rsidR="00FF57A8" w:rsidRPr="00BC31E0">
        <w:tab/>
      </w:r>
      <w:r w:rsidR="00FF57A8" w:rsidRPr="00BC31E0">
        <w:rPr>
          <w:rFonts w:hint="eastAsia"/>
        </w:rPr>
        <w:t>：</w:t>
      </w:r>
      <w:r w:rsidR="00FF57A8" w:rsidRPr="00BC31E0">
        <w:rPr>
          <w:rFonts w:hint="eastAsia"/>
        </w:rPr>
        <w:t xml:space="preserve"> </w:t>
      </w:r>
      <w:r w:rsidR="00FF57A8" w:rsidRPr="00BC31E0">
        <w:rPr>
          <w:rFonts w:hint="eastAsia"/>
        </w:rPr>
        <w:t>ハブ外側コーナー半径</w:t>
      </w:r>
      <w:r w:rsidR="00FF57A8" w:rsidRPr="00BC31E0">
        <w:rPr>
          <w:rFonts w:hint="eastAsia"/>
        </w:rPr>
        <w:t>(</w:t>
      </w:r>
      <w:r w:rsidR="00FF57A8" w:rsidRPr="00BC31E0">
        <w:rPr>
          <w:rFonts w:ascii="Cambria Math" w:hAnsi="Cambria Math"/>
        </w:rPr>
        <w:t>mm</w:t>
      </w:r>
      <w:r w:rsidR="00FF57A8" w:rsidRPr="00BC31E0">
        <w:rPr>
          <w:rFonts w:hint="eastAsia"/>
        </w:rPr>
        <w:t>)</w:t>
      </w:r>
    </w:p>
    <w:p w14:paraId="6D7A724D" w14:textId="77777777" w:rsidR="00FF57A8" w:rsidRPr="00BC31E0" w:rsidRDefault="00FF57A8" w:rsidP="00C56F11">
      <w:pPr>
        <w:tabs>
          <w:tab w:val="left" w:pos="709"/>
        </w:tabs>
        <w:autoSpaceDE w:val="0"/>
        <w:autoSpaceDN w:val="0"/>
        <w:ind w:leftChars="100" w:left="210"/>
      </w:pPr>
      <m:oMath>
        <m:r>
          <w:rPr>
            <w:rFonts w:ascii="Cambria Math" w:hAnsi="Cambria Math"/>
          </w:rPr>
          <m:t>μ</m:t>
        </m:r>
      </m:oMath>
      <w:r w:rsidRPr="00BC31E0">
        <w:tab/>
      </w:r>
      <w:r w:rsidRPr="00BC31E0">
        <w:rPr>
          <w:rFonts w:hint="eastAsia"/>
        </w:rPr>
        <w:t>：</w:t>
      </w:r>
      <w:r w:rsidRPr="00BC31E0">
        <w:rPr>
          <w:rFonts w:hint="eastAsia"/>
        </w:rPr>
        <w:t xml:space="preserve"> </w:t>
      </w:r>
      <w:r w:rsidRPr="00BC31E0">
        <w:rPr>
          <w:rFonts w:hint="eastAsia"/>
        </w:rPr>
        <w:t>摩擦角</w:t>
      </w:r>
      <w:r w:rsidRPr="00BC31E0">
        <w:rPr>
          <w:rFonts w:hint="eastAsia"/>
        </w:rPr>
        <w:t>(</w:t>
      </w:r>
      <w:r w:rsidRPr="00BC31E0">
        <w:rPr>
          <w:rFonts w:ascii="Cambria Math" w:hAnsi="Cambria Math" w:hint="eastAsia"/>
        </w:rPr>
        <w:t>度</w:t>
      </w:r>
      <w:r w:rsidRPr="00BC31E0">
        <w:rPr>
          <w:rFonts w:hint="eastAsia"/>
        </w:rPr>
        <w:t>)</w:t>
      </w:r>
    </w:p>
    <w:p w14:paraId="0D7FE904" w14:textId="77777777" w:rsidR="00FF57A8" w:rsidRPr="00BC31E0" w:rsidRDefault="00FF57A8" w:rsidP="00C56F11">
      <w:pPr>
        <w:tabs>
          <w:tab w:val="left" w:pos="709"/>
        </w:tabs>
        <w:autoSpaceDE w:val="0"/>
        <w:autoSpaceDN w:val="0"/>
        <w:ind w:leftChars="100" w:left="210"/>
      </w:pPr>
      <m:oMath>
        <m:r>
          <w:rPr>
            <w:rFonts w:ascii="Cambria Math" w:hAnsi="Cambria Math"/>
          </w:rPr>
          <m:t>ϕ</m:t>
        </m:r>
      </m:oMath>
      <w:r w:rsidRPr="00BC31E0">
        <w:tab/>
      </w:r>
      <w:r w:rsidRPr="00BC31E0">
        <w:rPr>
          <w:rFonts w:hint="eastAsia"/>
        </w:rPr>
        <w:t>：</w:t>
      </w:r>
      <w:r w:rsidRPr="00BC31E0">
        <w:rPr>
          <w:rFonts w:hint="eastAsia"/>
        </w:rPr>
        <w:t xml:space="preserve"> </w:t>
      </w:r>
      <w:r w:rsidRPr="00BC31E0">
        <w:rPr>
          <w:rFonts w:hint="eastAsia"/>
        </w:rPr>
        <w:t>クランプ肩角度</w:t>
      </w:r>
      <w:r w:rsidRPr="00BC31E0">
        <w:rPr>
          <w:rFonts w:hint="eastAsia"/>
        </w:rPr>
        <w:t>(</w:t>
      </w:r>
      <w:r w:rsidRPr="00BC31E0">
        <w:rPr>
          <w:rFonts w:ascii="Cambria Math" w:hAnsi="Cambria Math" w:hint="eastAsia"/>
        </w:rPr>
        <w:t>度</w:t>
      </w:r>
      <w:r w:rsidRPr="00BC31E0">
        <w:rPr>
          <w:rFonts w:hint="eastAsia"/>
        </w:rPr>
        <w:t>) (</w:t>
      </w:r>
      <w:r w:rsidRPr="00BC31E0">
        <w:rPr>
          <w:rFonts w:hint="eastAsia"/>
        </w:rPr>
        <w:t>最大</w:t>
      </w:r>
      <w:r w:rsidRPr="00BC31E0">
        <w:rPr>
          <w:rFonts w:ascii="Cambria Math" w:hAnsi="Cambria Math"/>
        </w:rPr>
        <w:t>35°</w:t>
      </w:r>
      <w:r w:rsidRPr="00BC31E0">
        <w:rPr>
          <w:rFonts w:hint="eastAsia"/>
        </w:rPr>
        <w:t>)</w:t>
      </w:r>
    </w:p>
    <w:p w14:paraId="7F1AE76F" w14:textId="77777777" w:rsidR="00FF57A8" w:rsidRPr="00BC31E0" w:rsidRDefault="00FF57A8" w:rsidP="00C56F11">
      <w:pPr>
        <w:tabs>
          <w:tab w:val="left" w:pos="851"/>
        </w:tabs>
        <w:autoSpaceDE w:val="0"/>
        <w:autoSpaceDN w:val="0"/>
        <w:rPr>
          <w:bCs/>
        </w:rPr>
      </w:pPr>
    </w:p>
    <w:p w14:paraId="462D9B3D" w14:textId="77777777" w:rsidR="00FF57A8" w:rsidRPr="00BC31E0" w:rsidRDefault="00FF57A8" w:rsidP="00C56F11">
      <w:pPr>
        <w:pStyle w:val="1f9"/>
        <w:numPr>
          <w:ilvl w:val="0"/>
          <w:numId w:val="2"/>
        </w:numPr>
        <w:adjustRightInd/>
        <w:snapToGrid/>
        <w:spacing w:line="240" w:lineRule="auto"/>
        <w:ind w:left="340" w:hanging="340"/>
      </w:pPr>
      <w:r w:rsidRPr="00BC31E0">
        <w:rPr>
          <w:rFonts w:hint="eastAsia"/>
        </w:rPr>
        <w:t>ボルト荷重</w:t>
      </w:r>
    </w:p>
    <w:p w14:paraId="5EA94E32" w14:textId="77777777" w:rsidR="00FF57A8" w:rsidRPr="00BC31E0" w:rsidRDefault="00FF57A8" w:rsidP="00C56F11">
      <w:pPr>
        <w:pStyle w:val="15"/>
        <w:ind w:firstLine="210"/>
      </w:pPr>
      <w:r w:rsidRPr="00BC31E0">
        <w:rPr>
          <w:rFonts w:hint="eastAsia"/>
        </w:rPr>
        <w:t>ボルト荷重は，次の</w:t>
      </w:r>
      <w:r w:rsidRPr="00BC31E0">
        <w:rPr>
          <w:rFonts w:ascii="ＭＳ ゴシック" w:eastAsia="ＭＳ ゴシック" w:hint="eastAsia"/>
          <w:b/>
        </w:rPr>
        <w:t>a)</w:t>
      </w:r>
      <w:r w:rsidRPr="00BC31E0">
        <w:rPr>
          <w:rFonts w:hint="eastAsia"/>
        </w:rPr>
        <w:t>，</w:t>
      </w:r>
      <w:r w:rsidRPr="00BC31E0">
        <w:rPr>
          <w:rFonts w:ascii="ＭＳ ゴシック" w:eastAsia="ＭＳ ゴシック" w:hint="eastAsia"/>
          <w:b/>
        </w:rPr>
        <w:t>b)</w:t>
      </w:r>
      <w:r w:rsidRPr="00BC31E0">
        <w:rPr>
          <w:rFonts w:hint="eastAsia"/>
        </w:rPr>
        <w:t>による。</w:t>
      </w:r>
    </w:p>
    <w:p w14:paraId="2029C89B" w14:textId="77777777" w:rsidR="00FF57A8" w:rsidRPr="00BC31E0" w:rsidRDefault="00FF57A8" w:rsidP="00736130">
      <w:pPr>
        <w:pStyle w:val="a4"/>
        <w:numPr>
          <w:ilvl w:val="0"/>
          <w:numId w:val="631"/>
        </w:numPr>
        <w:ind w:leftChars="0" w:left="454" w:hanging="454"/>
      </w:pPr>
      <w:r w:rsidRPr="00BC31E0">
        <w:rPr>
          <w:rFonts w:asciiTheme="majorEastAsia" w:eastAsiaTheme="majorEastAsia" w:hAnsiTheme="majorEastAsia" w:hint="eastAsia"/>
          <w:b/>
        </w:rPr>
        <w:t>計算上必要なボルト荷重</w:t>
      </w:r>
      <w:r w:rsidRPr="00BC31E0">
        <w:rPr>
          <w:rFonts w:hint="eastAsia"/>
        </w:rPr>
        <w:t xml:space="preserve">　</w:t>
      </w:r>
      <w:r w:rsidRPr="00BC31E0">
        <w:rPr>
          <w:rFonts w:ascii="ＭＳ 明朝" w:hAnsi="ＭＳ 明朝" w:hint="eastAsia"/>
        </w:rPr>
        <w:t>計算に必要なボルト荷重は，次の</w:t>
      </w:r>
      <w:r w:rsidRPr="00BC31E0">
        <w:rPr>
          <w:rFonts w:asciiTheme="majorEastAsia" w:eastAsiaTheme="majorEastAsia" w:hAnsiTheme="majorEastAsia" w:hint="eastAsia"/>
          <w:b/>
        </w:rPr>
        <w:t>１)</w:t>
      </w:r>
      <w:r w:rsidRPr="00BC31E0">
        <w:rPr>
          <w:rFonts w:ascii="ＭＳ 明朝" w:hAnsi="ＭＳ 明朝" w:hint="eastAsia"/>
        </w:rPr>
        <w:t>，</w:t>
      </w:r>
      <w:r w:rsidRPr="00BC31E0">
        <w:rPr>
          <w:rFonts w:asciiTheme="majorEastAsia" w:eastAsiaTheme="majorEastAsia" w:hAnsiTheme="majorEastAsia" w:hint="eastAsia"/>
          <w:b/>
        </w:rPr>
        <w:t>2)</w:t>
      </w:r>
      <w:r w:rsidRPr="00BC31E0">
        <w:rPr>
          <w:rFonts w:ascii="ＭＳ 明朝" w:hAnsi="ＭＳ 明朝" w:hint="eastAsia"/>
        </w:rPr>
        <w:t>による。</w:t>
      </w:r>
    </w:p>
    <w:p w14:paraId="7E01A01F" w14:textId="77777777" w:rsidR="00FF57A8" w:rsidRPr="00BC31E0" w:rsidRDefault="00FF57A8" w:rsidP="00736130">
      <w:pPr>
        <w:pStyle w:val="a4"/>
        <w:numPr>
          <w:ilvl w:val="0"/>
          <w:numId w:val="632"/>
        </w:numPr>
        <w:spacing w:after="120"/>
        <w:ind w:leftChars="0" w:left="738" w:hanging="454"/>
      </w:pPr>
      <w:r w:rsidRPr="00BC31E0">
        <w:rPr>
          <w:rFonts w:asciiTheme="majorEastAsia" w:eastAsiaTheme="majorEastAsia" w:hAnsiTheme="majorEastAsia" w:hint="eastAsia"/>
          <w:b/>
        </w:rPr>
        <w:t>運転条件で必要なボルト荷重</w:t>
      </w:r>
      <w:r w:rsidRPr="00BC31E0">
        <w:t xml:space="preserve"> </w:t>
      </w:r>
      <m:oMath>
        <m:sSub>
          <m:sSubPr>
            <m:ctrlPr>
              <w:rPr>
                <w:rFonts w:ascii="Cambria Math" w:hAnsi="Cambria Math"/>
                <w:i/>
              </w:rPr>
            </m:ctrlPr>
          </m:sSubPr>
          <m:e>
            <m:r>
              <m:rPr>
                <m:sty m:val="bi"/>
              </m:rPr>
              <w:rPr>
                <w:rFonts w:ascii="Cambria Math" w:hAnsi="Cambria Math"/>
              </w:rPr>
              <m:t>W</m:t>
            </m:r>
          </m:e>
          <m:sub>
            <m:r>
              <m:rPr>
                <m:sty m:val="bi"/>
              </m:rPr>
              <w:rPr>
                <w:rFonts w:ascii="Cambria Math" w:hAnsi="Cambria Math"/>
              </w:rPr>
              <m:t>m</m:t>
            </m:r>
            <m:r>
              <m:rPr>
                <m:sty m:val="bi"/>
              </m:rPr>
              <w:rPr>
                <w:rFonts w:ascii="Cambria Math" w:hAnsi="Cambria Math"/>
              </w:rPr>
              <m:t>1</m:t>
            </m:r>
          </m:sub>
        </m:sSub>
      </m:oMath>
    </w:p>
    <w:tbl>
      <w:tblPr>
        <w:tblStyle w:val="afff2"/>
        <w:tblW w:w="6945" w:type="dxa"/>
        <w:tblInd w:w="2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8"/>
        <w:gridCol w:w="4097"/>
      </w:tblGrid>
      <w:tr w:rsidR="00FF57A8" w:rsidRPr="00BC31E0" w14:paraId="31086C82" w14:textId="77777777" w:rsidTr="004736F2">
        <w:tc>
          <w:tcPr>
            <w:tcW w:w="0" w:type="auto"/>
            <w:tcMar>
              <w:left w:w="0" w:type="dxa"/>
              <w:right w:w="0" w:type="dxa"/>
            </w:tcMar>
            <w:vAlign w:val="center"/>
          </w:tcPr>
          <w:p w14:paraId="1F68BFD9" w14:textId="77777777" w:rsidR="00FF57A8" w:rsidRPr="00BC31E0" w:rsidRDefault="00A51873" w:rsidP="00C56F11">
            <w:pPr>
              <w:tabs>
                <w:tab w:val="left" w:pos="2127"/>
                <w:tab w:val="left" w:leader="middleDot" w:pos="8505"/>
              </w:tabs>
              <w:autoSpaceDE w:val="0"/>
              <w:autoSpaceDN w:val="0"/>
              <w:jc w:val="left"/>
              <w:rPr>
                <w:rFonts w:asciiTheme="minorHAnsi" w:hAnsiTheme="minorHAnsi"/>
                <w:bCs/>
                <w:i/>
              </w:rPr>
            </w:pPr>
            <m:oMathPara>
              <m:oMathParaPr>
                <m:jc m:val="left"/>
              </m:oMathParaPr>
              <m:oMath>
                <m:sSub>
                  <m:sSubPr>
                    <m:ctrlPr>
                      <w:rPr>
                        <w:rFonts w:ascii="Cambria Math" w:hAnsi="Cambria Math"/>
                        <w:bCs/>
                        <w:i/>
                      </w:rPr>
                    </m:ctrlPr>
                  </m:sSubPr>
                  <m:e>
                    <m:r>
                      <w:rPr>
                        <w:rFonts w:ascii="Cambria Math" w:hAnsi="Cambria Math"/>
                      </w:rPr>
                      <m:t>W</m:t>
                    </m:r>
                  </m:e>
                  <m:sub>
                    <m:r>
                      <w:rPr>
                        <w:rFonts w:ascii="Cambria Math" w:hAnsi="Cambria Math"/>
                      </w:rPr>
                      <m:t>m1</m:t>
                    </m:r>
                  </m:sub>
                </m:sSub>
                <m:r>
                  <w:rPr>
                    <w:rFonts w:ascii="Cambria Math" w:hAnsi="Cambria Math"/>
                  </w:rPr>
                  <m:t>=</m:t>
                </m:r>
                <m:f>
                  <m:fPr>
                    <m:ctrlPr>
                      <w:rPr>
                        <w:rFonts w:ascii="Cambria Math" w:hAnsi="Cambria Math"/>
                        <w:bCs/>
                        <w:i/>
                      </w:rPr>
                    </m:ctrlPr>
                  </m:fPr>
                  <m:num>
                    <m:r>
                      <w:rPr>
                        <w:rFonts w:ascii="Cambria Math" w:hAnsi="Cambria Math"/>
                      </w:rPr>
                      <m:t>2</m:t>
                    </m:r>
                  </m:num>
                  <m:den>
                    <m:r>
                      <w:rPr>
                        <w:rFonts w:ascii="Cambria Math" w:hAnsi="Cambria Math"/>
                      </w:rPr>
                      <m:t>π</m:t>
                    </m:r>
                  </m:den>
                </m:f>
                <m:d>
                  <m:dPr>
                    <m:ctrlPr>
                      <w:rPr>
                        <w:rFonts w:ascii="Cambria Math" w:hAnsi="Cambria Math"/>
                        <w:bCs/>
                        <w:i/>
                      </w:rPr>
                    </m:ctrlPr>
                  </m:dPr>
                  <m:e>
                    <m:sSub>
                      <m:sSubPr>
                        <m:ctrlPr>
                          <w:rPr>
                            <w:rFonts w:ascii="Cambria Math" w:hAnsi="Cambria Math"/>
                            <w:bCs/>
                            <w:i/>
                          </w:rPr>
                        </m:ctrlPr>
                      </m:sSubPr>
                      <m:e>
                        <m:r>
                          <w:rPr>
                            <w:rFonts w:ascii="Cambria Math" w:hAnsi="Cambria Math"/>
                          </w:rPr>
                          <m:t>H</m:t>
                        </m:r>
                      </m:e>
                      <m:sub>
                        <m:r>
                          <w:rPr>
                            <w:rFonts w:ascii="Cambria Math" w:hAnsi="Cambria Math"/>
                          </w:rPr>
                          <m:t>e</m:t>
                        </m:r>
                      </m:sub>
                    </m:sSub>
                    <m:r>
                      <w:rPr>
                        <w:rFonts w:ascii="Cambria Math" w:hAnsi="Cambria Math"/>
                      </w:rPr>
                      <m:t>+</m:t>
                    </m:r>
                    <m:sSub>
                      <m:sSubPr>
                        <m:ctrlPr>
                          <w:rPr>
                            <w:rFonts w:ascii="Cambria Math" w:hAnsi="Cambria Math"/>
                            <w:bCs/>
                            <w:i/>
                          </w:rPr>
                        </m:ctrlPr>
                      </m:sSubPr>
                      <m:e>
                        <m:r>
                          <w:rPr>
                            <w:rFonts w:ascii="Cambria Math" w:hAnsi="Cambria Math"/>
                          </w:rPr>
                          <m:t>H</m:t>
                        </m:r>
                      </m:e>
                      <m:sub>
                        <m:r>
                          <w:rPr>
                            <w:rFonts w:ascii="Cambria Math" w:hAnsi="Cambria Math"/>
                          </w:rPr>
                          <m:t>p</m:t>
                        </m:r>
                      </m:sub>
                    </m:sSub>
                  </m:e>
                </m:d>
                <m:func>
                  <m:funcPr>
                    <m:ctrlPr>
                      <w:rPr>
                        <w:rFonts w:ascii="Cambria Math" w:hAnsi="Cambria Math"/>
                        <w:bCs/>
                        <w:i/>
                      </w:rPr>
                    </m:ctrlPr>
                  </m:funcPr>
                  <m:fName>
                    <m:r>
                      <m:rPr>
                        <m:sty m:val="bi"/>
                      </m:rPr>
                      <w:rPr>
                        <w:rFonts w:ascii="Cambria Math" w:hAnsi="Cambria Math"/>
                      </w:rPr>
                      <m:t>tan</m:t>
                    </m:r>
                  </m:fName>
                  <m:e>
                    <m:d>
                      <m:dPr>
                        <m:ctrlPr>
                          <w:rPr>
                            <w:rFonts w:ascii="Cambria Math" w:hAnsi="Cambria Math"/>
                            <w:bCs/>
                            <w:i/>
                          </w:rPr>
                        </m:ctrlPr>
                      </m:dPr>
                      <m:e>
                        <m:r>
                          <w:rPr>
                            <w:rFonts w:ascii="Cambria Math" w:hAnsi="Cambria Math"/>
                          </w:rPr>
                          <m:t>ϕ-μ</m:t>
                        </m:r>
                      </m:e>
                    </m:d>
                  </m:e>
                </m:func>
              </m:oMath>
            </m:oMathPara>
          </w:p>
        </w:tc>
        <w:tc>
          <w:tcPr>
            <w:tcW w:w="4097" w:type="dxa"/>
            <w:tcMar>
              <w:left w:w="0" w:type="dxa"/>
              <w:right w:w="0" w:type="dxa"/>
            </w:tcMar>
            <w:vAlign w:val="center"/>
          </w:tcPr>
          <w:p w14:paraId="1094A19B" w14:textId="77777777" w:rsidR="00FF57A8" w:rsidRPr="00BC31E0" w:rsidRDefault="00FF57A8" w:rsidP="00C56F11">
            <w:pPr>
              <w:tabs>
                <w:tab w:val="left" w:leader="middleDot" w:pos="3530"/>
              </w:tabs>
              <w:autoSpaceDE w:val="0"/>
              <w:autoSpaceDN w:val="0"/>
              <w:jc w:val="left"/>
              <w:rPr>
                <w:rFonts w:asciiTheme="minorHAnsi" w:hAnsiTheme="minorHAnsi"/>
                <w:bCs/>
              </w:rPr>
            </w:pPr>
            <w:r w:rsidRPr="00BC31E0">
              <w:rPr>
                <w:rFonts w:asciiTheme="minorHAnsi" w:hAnsiTheme="minorHAnsi" w:hint="eastAsia"/>
                <w:bCs/>
              </w:rPr>
              <w:tab/>
              <w:t>(1)</w:t>
            </w:r>
          </w:p>
        </w:tc>
      </w:tr>
    </w:tbl>
    <w:p w14:paraId="2B378FB8" w14:textId="77777777" w:rsidR="00FF57A8" w:rsidRPr="00BC31E0" w:rsidRDefault="00A51873" w:rsidP="00C56F11">
      <w:pPr>
        <w:autoSpaceDE w:val="0"/>
        <w:autoSpaceDN w:val="0"/>
        <w:spacing w:before="120"/>
        <w:ind w:left="737" w:firstLineChars="100" w:firstLine="210"/>
      </w:pPr>
      <m:oMath>
        <m:d>
          <m:dPr>
            <m:ctrlPr>
              <w:rPr>
                <w:rFonts w:ascii="Cambria Math" w:hAnsi="Cambria Math"/>
                <w:i/>
              </w:rPr>
            </m:ctrlPr>
          </m:dPr>
          <m:e>
            <m:r>
              <w:rPr>
                <w:rFonts w:ascii="Cambria Math" w:hAnsi="Cambria Math"/>
              </w:rPr>
              <m:t>ϕ-μ</m:t>
            </m:r>
          </m:e>
        </m:d>
        <m:r>
          <w:rPr>
            <w:rFonts w:ascii="Cambria Math" w:hAnsi="Cambria Math"/>
          </w:rPr>
          <m:t xml:space="preserve">&lt;5° </m:t>
        </m:r>
      </m:oMath>
      <w:r w:rsidR="00FF57A8" w:rsidRPr="00BC31E0">
        <w:rPr>
          <w:rFonts w:hint="eastAsia"/>
        </w:rPr>
        <w:t>の場合は，</w:t>
      </w:r>
      <w:r w:rsidR="00FF57A8" w:rsidRPr="00BC31E0">
        <w:rPr>
          <w:rFonts w:ascii="Cambria Math" w:hAnsi="Cambria Math"/>
        </w:rPr>
        <w:t>5°</w:t>
      </w:r>
      <w:r w:rsidR="00FF57A8" w:rsidRPr="00BC31E0">
        <w:rPr>
          <w:rFonts w:hint="eastAsia"/>
        </w:rPr>
        <w:t>とする。</w:t>
      </w:r>
    </w:p>
    <w:p w14:paraId="0D914D2E" w14:textId="77777777" w:rsidR="00FF57A8" w:rsidRPr="00BC31E0" w:rsidRDefault="00FF57A8" w:rsidP="00736130">
      <w:pPr>
        <w:pStyle w:val="a4"/>
        <w:numPr>
          <w:ilvl w:val="0"/>
          <w:numId w:val="633"/>
        </w:numPr>
        <w:spacing w:after="120"/>
        <w:ind w:leftChars="0" w:left="738" w:hanging="454"/>
      </w:pPr>
      <w:r w:rsidRPr="00BC31E0">
        <w:rPr>
          <w:rFonts w:asciiTheme="majorEastAsia" w:eastAsiaTheme="majorEastAsia" w:hAnsiTheme="majorEastAsia" w:hint="eastAsia"/>
          <w:b/>
        </w:rPr>
        <w:t>ガスケット締付条件で必要なボルト荷重</w:t>
      </w:r>
      <w:r w:rsidRPr="00BC31E0">
        <w:t xml:space="preserve"> </w:t>
      </w:r>
      <m:oMath>
        <m:sSub>
          <m:sSubPr>
            <m:ctrlPr>
              <w:rPr>
                <w:rFonts w:ascii="Cambria Math" w:hAnsi="Cambria Math"/>
              </w:rPr>
            </m:ctrlPr>
          </m:sSubPr>
          <m:e>
            <m:r>
              <m:rPr>
                <m:sty m:val="bi"/>
              </m:rPr>
              <w:rPr>
                <w:rFonts w:ascii="Cambria Math" w:hAnsi="Cambria Math"/>
              </w:rPr>
              <m:t>W</m:t>
            </m:r>
          </m:e>
          <m:sub>
            <m:r>
              <m:rPr>
                <m:sty m:val="bi"/>
              </m:rPr>
              <w:rPr>
                <w:rFonts w:ascii="Cambria Math" w:hAnsi="Cambria Math"/>
              </w:rPr>
              <m:t>m</m:t>
            </m:r>
            <m:r>
              <m:rPr>
                <m:sty m:val="bi"/>
              </m:rPr>
              <w:rPr>
                <w:rFonts w:ascii="Cambria Math" w:hAnsi="Cambria Math"/>
              </w:rPr>
              <m:t>2</m:t>
            </m:r>
          </m:sub>
        </m:sSub>
      </m:oMath>
    </w:p>
    <w:tbl>
      <w:tblPr>
        <w:tblStyle w:val="afff2"/>
        <w:tblW w:w="6945" w:type="dxa"/>
        <w:tblInd w:w="2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4679"/>
      </w:tblGrid>
      <w:tr w:rsidR="00FF57A8" w:rsidRPr="00BC31E0" w14:paraId="0F606FF0" w14:textId="77777777" w:rsidTr="004736F2">
        <w:tc>
          <w:tcPr>
            <w:tcW w:w="0" w:type="auto"/>
            <w:tcMar>
              <w:left w:w="0" w:type="dxa"/>
              <w:right w:w="0" w:type="dxa"/>
            </w:tcMar>
            <w:vAlign w:val="center"/>
          </w:tcPr>
          <w:p w14:paraId="1A4A8E31" w14:textId="77777777" w:rsidR="00FF57A8" w:rsidRPr="00BC31E0" w:rsidRDefault="00A51873" w:rsidP="00C56F11">
            <w:pPr>
              <w:tabs>
                <w:tab w:val="left" w:pos="2127"/>
                <w:tab w:val="left" w:leader="middleDot" w:pos="8505"/>
              </w:tabs>
              <w:autoSpaceDE w:val="0"/>
              <w:autoSpaceDN w:val="0"/>
              <w:jc w:val="left"/>
              <w:rPr>
                <w:rFonts w:asciiTheme="minorHAnsi" w:hAnsiTheme="minorHAnsi"/>
                <w:bCs/>
                <w:i/>
              </w:rPr>
            </w:pPr>
            <m:oMathPara>
              <m:oMathParaPr>
                <m:jc m:val="left"/>
              </m:oMathParaPr>
              <m:oMath>
                <m:sSub>
                  <m:sSubPr>
                    <m:ctrlPr>
                      <w:rPr>
                        <w:rFonts w:ascii="Cambria Math" w:hAnsi="Cambria Math"/>
                        <w:bCs/>
                        <w:i/>
                      </w:rPr>
                    </m:ctrlPr>
                  </m:sSubPr>
                  <m:e>
                    <m:r>
                      <w:rPr>
                        <w:rFonts w:ascii="Cambria Math" w:hAnsi="Cambria Math"/>
                      </w:rPr>
                      <m:t>W</m:t>
                    </m:r>
                  </m:e>
                  <m:sub>
                    <m:r>
                      <w:rPr>
                        <w:rFonts w:ascii="Cambria Math" w:hAnsi="Cambria Math"/>
                      </w:rPr>
                      <m:t>m2</m:t>
                    </m:r>
                  </m:sub>
                </m:sSub>
                <m:r>
                  <w:rPr>
                    <w:rFonts w:ascii="Cambria Math" w:hAnsi="Cambria Math"/>
                  </w:rPr>
                  <m:t>=</m:t>
                </m:r>
                <m:f>
                  <m:fPr>
                    <m:ctrlPr>
                      <w:rPr>
                        <w:rFonts w:ascii="Cambria Math" w:hAnsi="Cambria Math"/>
                        <w:bCs/>
                        <w:i/>
                      </w:rPr>
                    </m:ctrlPr>
                  </m:fPr>
                  <m:num>
                    <m:r>
                      <w:rPr>
                        <w:rFonts w:ascii="Cambria Math" w:hAnsi="Cambria Math"/>
                      </w:rPr>
                      <m:t>2</m:t>
                    </m:r>
                  </m:num>
                  <m:den>
                    <m:r>
                      <w:rPr>
                        <w:rFonts w:ascii="Cambria Math" w:hAnsi="Cambria Math"/>
                      </w:rPr>
                      <m:t>π</m:t>
                    </m:r>
                  </m:den>
                </m:f>
                <m:sSub>
                  <m:sSubPr>
                    <m:ctrlPr>
                      <w:rPr>
                        <w:rFonts w:ascii="Cambria Math" w:hAnsi="Cambria Math"/>
                        <w:bCs/>
                        <w:i/>
                      </w:rPr>
                    </m:ctrlPr>
                  </m:sSubPr>
                  <m:e>
                    <m:r>
                      <w:rPr>
                        <w:rFonts w:ascii="Cambria Math" w:hAnsi="Cambria Math"/>
                      </w:rPr>
                      <m:t xml:space="preserve"> H</m:t>
                    </m:r>
                  </m:e>
                  <m:sub>
                    <m:r>
                      <w:rPr>
                        <w:rFonts w:ascii="Cambria Math" w:hAnsi="Cambria Math"/>
                      </w:rPr>
                      <m:t>m</m:t>
                    </m:r>
                  </m:sub>
                </m:sSub>
                <m:func>
                  <m:funcPr>
                    <m:ctrlPr>
                      <w:rPr>
                        <w:rFonts w:ascii="Cambria Math" w:hAnsi="Cambria Math"/>
                        <w:bCs/>
                        <w:i/>
                      </w:rPr>
                    </m:ctrlPr>
                  </m:funcPr>
                  <m:fName>
                    <m:r>
                      <m:rPr>
                        <m:sty m:val="bi"/>
                      </m:rPr>
                      <w:rPr>
                        <w:rFonts w:ascii="Cambria Math" w:hAnsi="Cambria Math"/>
                      </w:rPr>
                      <m:t>tan</m:t>
                    </m:r>
                  </m:fName>
                  <m:e>
                    <m:d>
                      <m:dPr>
                        <m:ctrlPr>
                          <w:rPr>
                            <w:rFonts w:ascii="Cambria Math" w:hAnsi="Cambria Math"/>
                            <w:bCs/>
                            <w:i/>
                          </w:rPr>
                        </m:ctrlPr>
                      </m:dPr>
                      <m:e>
                        <m:r>
                          <w:rPr>
                            <w:rFonts w:ascii="Cambria Math" w:hAnsi="Cambria Math"/>
                          </w:rPr>
                          <m:t>ϕ+μ</m:t>
                        </m:r>
                      </m:e>
                    </m:d>
                  </m:e>
                </m:func>
              </m:oMath>
            </m:oMathPara>
          </w:p>
        </w:tc>
        <w:tc>
          <w:tcPr>
            <w:tcW w:w="4679" w:type="dxa"/>
            <w:tcMar>
              <w:left w:w="0" w:type="dxa"/>
              <w:right w:w="0" w:type="dxa"/>
            </w:tcMar>
            <w:vAlign w:val="center"/>
          </w:tcPr>
          <w:p w14:paraId="393DB548" w14:textId="77777777" w:rsidR="00FF57A8" w:rsidRPr="00BC31E0" w:rsidRDefault="00FF57A8" w:rsidP="00C56F11">
            <w:pPr>
              <w:tabs>
                <w:tab w:val="left" w:leader="middleDot" w:pos="4112"/>
              </w:tabs>
              <w:autoSpaceDE w:val="0"/>
              <w:autoSpaceDN w:val="0"/>
              <w:jc w:val="left"/>
              <w:rPr>
                <w:rFonts w:asciiTheme="minorHAnsi" w:hAnsiTheme="minorHAnsi"/>
                <w:bCs/>
              </w:rPr>
            </w:pPr>
            <w:r w:rsidRPr="00BC31E0">
              <w:rPr>
                <w:rFonts w:asciiTheme="minorHAnsi" w:hAnsiTheme="minorHAnsi" w:hint="eastAsia"/>
                <w:bCs/>
              </w:rPr>
              <w:tab/>
              <w:t>(2)</w:t>
            </w:r>
          </w:p>
        </w:tc>
      </w:tr>
    </w:tbl>
    <w:p w14:paraId="01B3096E" w14:textId="77777777" w:rsidR="00FF57A8" w:rsidRPr="00BC31E0" w:rsidRDefault="00FF57A8" w:rsidP="00C56F11">
      <w:pPr>
        <w:autoSpaceDE w:val="0"/>
        <w:autoSpaceDN w:val="0"/>
        <w:spacing w:before="120"/>
        <w:ind w:left="737" w:firstLineChars="100" w:firstLine="210"/>
      </w:pPr>
      <m:oMath>
        <m:r>
          <w:rPr>
            <w:rFonts w:ascii="Cambria Math" w:hAnsi="Cambria Math"/>
          </w:rPr>
          <m:t xml:space="preserve">μ&lt;5° </m:t>
        </m:r>
      </m:oMath>
      <w:r w:rsidRPr="00BC31E0">
        <w:rPr>
          <w:rFonts w:hint="eastAsia"/>
        </w:rPr>
        <w:t>の場合は，</w:t>
      </w:r>
      <w:r w:rsidRPr="00BC31E0">
        <w:rPr>
          <w:rFonts w:ascii="Cambria Math" w:hAnsi="Cambria Math"/>
        </w:rPr>
        <w:t>5°</w:t>
      </w:r>
      <w:r w:rsidRPr="00BC31E0">
        <w:rPr>
          <w:rFonts w:hint="eastAsia"/>
        </w:rPr>
        <w:t>とする。</w:t>
      </w:r>
    </w:p>
    <w:p w14:paraId="4C7D8020" w14:textId="77777777" w:rsidR="00FF57A8" w:rsidRPr="00BC31E0" w:rsidRDefault="00FF57A8" w:rsidP="00524911">
      <w:pPr>
        <w:spacing w:before="120"/>
        <w:ind w:left="454" w:firstLineChars="100" w:firstLine="210"/>
      </w:pPr>
      <w:r w:rsidRPr="00BC31E0">
        <w:rPr>
          <w:rFonts w:hint="eastAsia"/>
        </w:rPr>
        <w:t>必要なボルトの所要総有効断面積</w:t>
      </w:r>
      <m:oMath>
        <m:r>
          <m:rPr>
            <m:sty m:val="p"/>
          </m:rP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m</m:t>
            </m:r>
          </m:sub>
        </m:sSub>
        <m:r>
          <w:rPr>
            <w:rFonts w:ascii="Cambria Math" w:hAnsi="Cambria Math"/>
          </w:rPr>
          <m:t xml:space="preserve"> </m:t>
        </m:r>
      </m:oMath>
      <w:r w:rsidRPr="00BC31E0">
        <w:rPr>
          <w:rFonts w:hint="eastAsia"/>
        </w:rPr>
        <w:t>は，運転条件の</w:t>
      </w:r>
      <m:oMath>
        <m:sSub>
          <m:sSubPr>
            <m:ctrlPr>
              <w:rPr>
                <w:rFonts w:ascii="Cambria Math" w:hAnsi="Cambria Math"/>
                <w:i/>
              </w:rPr>
            </m:ctrlPr>
          </m:sSubPr>
          <m:e>
            <m:r>
              <w:rPr>
                <w:rFonts w:ascii="Cambria Math" w:hAnsi="Cambria Math"/>
              </w:rPr>
              <m:t xml:space="preserve"> A</m:t>
            </m:r>
          </m:e>
          <m:sub>
            <m:r>
              <w:rPr>
                <w:rFonts w:ascii="Cambria Math" w:hAnsi="Cambria Math"/>
              </w:rPr>
              <m:t xml:space="preserve">m1 </m:t>
            </m:r>
          </m:sub>
        </m:sSub>
      </m:oMath>
      <w:r w:rsidRPr="00BC31E0">
        <w:rPr>
          <w:rFonts w:hint="eastAsia"/>
        </w:rPr>
        <w:t>とガスケット締付条件の</w:t>
      </w:r>
      <m:oMath>
        <m:r>
          <m:rPr>
            <m:sty m:val="p"/>
          </m:rP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 xml:space="preserve">m2 </m:t>
            </m:r>
          </m:sub>
        </m:sSub>
      </m:oMath>
      <w:r w:rsidRPr="00BC31E0">
        <w:rPr>
          <w:rFonts w:hint="eastAsia"/>
        </w:rPr>
        <w:t>のいずか大きい値とする。組立時のボルトの曲げは考慮</w:t>
      </w:r>
      <w:r w:rsidR="00384846" w:rsidRPr="00BC31E0">
        <w:rPr>
          <w:rFonts w:hint="eastAsia"/>
        </w:rPr>
        <w:t>しなければならない</w:t>
      </w:r>
      <w:r w:rsidRPr="00BC31E0">
        <w:rPr>
          <w:rFonts w:hint="eastAsia"/>
        </w:rPr>
        <w:t>。実際に使用されるクランプ毎のボルトの合計断面積</w:t>
      </w:r>
      <m:oMath>
        <m:sSub>
          <m:sSubPr>
            <m:ctrlPr>
              <w:rPr>
                <w:rFonts w:ascii="Cambria Math" w:hAnsi="Cambria Math"/>
                <w:i/>
              </w:rPr>
            </m:ctrlPr>
          </m:sSubPr>
          <m:e>
            <m:r>
              <w:rPr>
                <w:rFonts w:ascii="Cambria Math" w:hAnsi="Cambria Math"/>
              </w:rPr>
              <m:t xml:space="preserve"> A</m:t>
            </m:r>
          </m:e>
          <m:sub>
            <m:r>
              <w:rPr>
                <w:rFonts w:ascii="Cambria Math" w:hAnsi="Cambria Math"/>
              </w:rPr>
              <m:t xml:space="preserve">b </m:t>
            </m:r>
          </m:sub>
        </m:sSub>
      </m:oMath>
      <w:r w:rsidRPr="00BC31E0">
        <w:rPr>
          <w:rFonts w:hint="eastAsia"/>
        </w:rPr>
        <w:t>は，</w:t>
      </w:r>
      <m:oMath>
        <m:sSub>
          <m:sSubPr>
            <m:ctrlPr>
              <w:rPr>
                <w:rFonts w:ascii="Cambria Math" w:hAnsi="Cambria Math"/>
                <w:i/>
              </w:rPr>
            </m:ctrlPr>
          </m:sSubPr>
          <m:e>
            <m:r>
              <w:rPr>
                <w:rFonts w:ascii="Cambria Math" w:hAnsi="Cambria Math"/>
              </w:rPr>
              <m:t>A</m:t>
            </m:r>
          </m:e>
          <m:sub>
            <m:r>
              <w:rPr>
                <w:rFonts w:ascii="Cambria Math" w:hAnsi="Cambria Math"/>
              </w:rPr>
              <m:t>m</m:t>
            </m:r>
          </m:sub>
        </m:sSub>
        <m:r>
          <w:rPr>
            <w:rFonts w:ascii="Cambria Math" w:hAnsi="Cambria Math"/>
          </w:rPr>
          <m:t xml:space="preserve"> </m:t>
        </m:r>
      </m:oMath>
      <w:r w:rsidRPr="00BC31E0">
        <w:rPr>
          <w:rFonts w:hint="eastAsia"/>
        </w:rPr>
        <w:t>より常に大きくなるようにボルトを定めなければならない。</w:t>
      </w:r>
    </w:p>
    <w:p w14:paraId="05A92A31" w14:textId="77777777" w:rsidR="00FF57A8" w:rsidRPr="00BC31E0" w:rsidRDefault="00FF57A8" w:rsidP="00736130">
      <w:pPr>
        <w:pStyle w:val="a4"/>
        <w:numPr>
          <w:ilvl w:val="0"/>
          <w:numId w:val="634"/>
        </w:numPr>
        <w:spacing w:after="120"/>
        <w:ind w:leftChars="0" w:left="454" w:hanging="454"/>
        <w:rPr>
          <w:rFonts w:asciiTheme="majorEastAsia" w:eastAsiaTheme="majorEastAsia" w:hAnsiTheme="majorEastAsia"/>
          <w:b/>
        </w:rPr>
      </w:pPr>
      <w:r w:rsidRPr="00BC31E0">
        <w:rPr>
          <w:rFonts w:asciiTheme="majorEastAsia" w:eastAsiaTheme="majorEastAsia" w:hAnsiTheme="majorEastAsia" w:hint="eastAsia"/>
          <w:b/>
        </w:rPr>
        <w:t>クランプ継手の設計に用いるボルト荷重</w:t>
      </w:r>
    </w:p>
    <w:tbl>
      <w:tblPr>
        <w:tblStyle w:val="afff2"/>
        <w:tblW w:w="822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6"/>
        <w:gridCol w:w="992"/>
        <w:gridCol w:w="709"/>
        <w:gridCol w:w="4394"/>
      </w:tblGrid>
      <w:tr w:rsidR="00FF57A8" w:rsidRPr="00BC31E0" w14:paraId="75F7F458" w14:textId="77777777" w:rsidTr="004736F2">
        <w:tc>
          <w:tcPr>
            <w:tcW w:w="2126" w:type="dxa"/>
            <w:tcMar>
              <w:left w:w="0" w:type="dxa"/>
              <w:right w:w="0" w:type="dxa"/>
            </w:tcMar>
            <w:vAlign w:val="center"/>
          </w:tcPr>
          <w:p w14:paraId="45C446C2" w14:textId="77777777" w:rsidR="00FF57A8" w:rsidRPr="00BC31E0" w:rsidRDefault="00FF57A8" w:rsidP="00C56F11">
            <w:pPr>
              <w:tabs>
                <w:tab w:val="left" w:pos="2977"/>
                <w:tab w:val="left" w:leader="middleDot" w:pos="8505"/>
              </w:tabs>
              <w:autoSpaceDE w:val="0"/>
              <w:autoSpaceDN w:val="0"/>
              <w:jc w:val="left"/>
              <w:rPr>
                <w:rFonts w:asciiTheme="minorHAnsi" w:hAnsiTheme="minorHAnsi"/>
              </w:rPr>
            </w:pPr>
            <w:r w:rsidRPr="00BC31E0">
              <w:rPr>
                <w:rFonts w:hint="eastAsia"/>
              </w:rPr>
              <w:t xml:space="preserve">運転条件：　　　　　</w:t>
            </w:r>
          </w:p>
        </w:tc>
        <w:tc>
          <w:tcPr>
            <w:tcW w:w="992" w:type="dxa"/>
            <w:tcMar>
              <w:left w:w="0" w:type="dxa"/>
              <w:right w:w="0" w:type="dxa"/>
            </w:tcMar>
            <w:vAlign w:val="center"/>
          </w:tcPr>
          <w:p w14:paraId="15DB59B8" w14:textId="77777777" w:rsidR="00FF57A8" w:rsidRPr="00BC31E0" w:rsidRDefault="00FF57A8" w:rsidP="00C56F11">
            <w:pPr>
              <w:tabs>
                <w:tab w:val="left" w:pos="2977"/>
                <w:tab w:val="left" w:leader="middleDot" w:pos="8505"/>
              </w:tabs>
              <w:autoSpaceDE w:val="0"/>
              <w:autoSpaceDN w:val="0"/>
              <w:jc w:val="left"/>
              <w:rPr>
                <w:rFonts w:asciiTheme="minorHAnsi" w:hAnsiTheme="minorHAnsi"/>
                <w:i/>
              </w:rPr>
            </w:pPr>
            <m:oMathPara>
              <m:oMathParaPr>
                <m:jc m:val="left"/>
              </m:oMathParaPr>
              <m:oMath>
                <m:r>
                  <w:rPr>
                    <w:rFonts w:ascii="Cambria Math" w:hAnsi="Cambria Math" w:hint="eastAsia"/>
                  </w:rPr>
                  <m:t>W=</m:t>
                </m:r>
                <m:sSub>
                  <m:sSubPr>
                    <m:ctrlPr>
                      <w:rPr>
                        <w:rFonts w:ascii="Cambria Math" w:hAnsi="Cambria Math"/>
                        <w:i/>
                      </w:rPr>
                    </m:ctrlPr>
                  </m:sSubPr>
                  <m:e>
                    <m:r>
                      <w:rPr>
                        <w:rFonts w:ascii="Cambria Math" w:hAnsi="Cambria Math"/>
                      </w:rPr>
                      <m:t>W</m:t>
                    </m:r>
                  </m:e>
                  <m:sub>
                    <m:r>
                      <w:rPr>
                        <w:rFonts w:ascii="Cambria Math" w:hAnsi="Cambria Math"/>
                      </w:rPr>
                      <m:t>m1</m:t>
                    </m:r>
                  </m:sub>
                </m:sSub>
              </m:oMath>
            </m:oMathPara>
          </w:p>
        </w:tc>
        <w:tc>
          <w:tcPr>
            <w:tcW w:w="5103" w:type="dxa"/>
            <w:gridSpan w:val="2"/>
            <w:tcMar>
              <w:left w:w="0" w:type="dxa"/>
              <w:right w:w="0" w:type="dxa"/>
            </w:tcMar>
            <w:vAlign w:val="center"/>
          </w:tcPr>
          <w:p w14:paraId="1B0DA823" w14:textId="77777777" w:rsidR="00FF57A8" w:rsidRPr="00BC31E0" w:rsidRDefault="00FF57A8" w:rsidP="00C56F11">
            <w:pPr>
              <w:tabs>
                <w:tab w:val="left" w:leader="middleDot" w:pos="4536"/>
              </w:tabs>
              <w:autoSpaceDE w:val="0"/>
              <w:autoSpaceDN w:val="0"/>
              <w:jc w:val="left"/>
              <w:rPr>
                <w:rFonts w:asciiTheme="minorHAnsi" w:hAnsiTheme="minorHAnsi"/>
              </w:rPr>
            </w:pPr>
            <w:r w:rsidRPr="00BC31E0">
              <w:rPr>
                <w:rFonts w:asciiTheme="minorHAnsi" w:hAnsiTheme="minorHAnsi" w:hint="eastAsia"/>
              </w:rPr>
              <w:tab/>
              <w:t>(3)</w:t>
            </w:r>
          </w:p>
        </w:tc>
      </w:tr>
      <w:tr w:rsidR="00FF57A8" w:rsidRPr="00BC31E0" w14:paraId="270FA8EC" w14:textId="77777777" w:rsidTr="004736F2">
        <w:tc>
          <w:tcPr>
            <w:tcW w:w="2126" w:type="dxa"/>
            <w:tcMar>
              <w:left w:w="0" w:type="dxa"/>
              <w:right w:w="0" w:type="dxa"/>
            </w:tcMar>
            <w:vAlign w:val="center"/>
          </w:tcPr>
          <w:p w14:paraId="4465C58F" w14:textId="77777777" w:rsidR="00FF57A8" w:rsidRPr="00BC31E0" w:rsidRDefault="00FF57A8" w:rsidP="00C56F11">
            <w:pPr>
              <w:tabs>
                <w:tab w:val="left" w:pos="2977"/>
                <w:tab w:val="left" w:leader="middleDot" w:pos="8505"/>
              </w:tabs>
              <w:autoSpaceDE w:val="0"/>
              <w:autoSpaceDN w:val="0"/>
              <w:spacing w:before="120"/>
              <w:jc w:val="left"/>
            </w:pPr>
            <w:r w:rsidRPr="00BC31E0">
              <w:rPr>
                <w:rFonts w:hint="eastAsia"/>
              </w:rPr>
              <w:t xml:space="preserve">初期締付条件：　　　</w:t>
            </w:r>
          </w:p>
        </w:tc>
        <w:tc>
          <w:tcPr>
            <w:tcW w:w="1701" w:type="dxa"/>
            <w:gridSpan w:val="2"/>
            <w:tcMar>
              <w:left w:w="0" w:type="dxa"/>
              <w:right w:w="0" w:type="dxa"/>
            </w:tcMar>
            <w:vAlign w:val="center"/>
          </w:tcPr>
          <w:p w14:paraId="0F58E6E1" w14:textId="77777777" w:rsidR="00FF57A8" w:rsidRPr="00BC31E0" w:rsidRDefault="00FF57A8" w:rsidP="00C56F11">
            <w:pPr>
              <w:tabs>
                <w:tab w:val="left" w:pos="2977"/>
                <w:tab w:val="left" w:leader="middleDot" w:pos="8505"/>
              </w:tabs>
              <w:autoSpaceDE w:val="0"/>
              <w:autoSpaceDN w:val="0"/>
              <w:spacing w:before="120"/>
              <w:jc w:val="left"/>
              <w:rPr>
                <w:i/>
              </w:rPr>
            </w:pPr>
            <m:oMathPara>
              <m:oMathParaPr>
                <m:jc m:val="left"/>
              </m:oMathParaPr>
              <m:oMath>
                <m:r>
                  <w:rPr>
                    <w:rFonts w:ascii="Cambria Math" w:hAnsi="Cambria Math"/>
                  </w:rPr>
                  <m:t>W=</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b</m:t>
                        </m:r>
                      </m:sub>
                    </m:sSub>
                  </m:e>
                </m:d>
                <m:sSub>
                  <m:sSubPr>
                    <m:ctrlPr>
                      <w:rPr>
                        <w:rFonts w:ascii="Cambria Math" w:hAnsi="Cambria Math"/>
                        <w:i/>
                      </w:rPr>
                    </m:ctrlPr>
                  </m:sSubPr>
                  <m:e>
                    <m:r>
                      <w:rPr>
                        <w:rFonts w:ascii="Cambria Math" w:hAnsi="Cambria Math"/>
                      </w:rPr>
                      <m:t>S</m:t>
                    </m:r>
                  </m:e>
                  <m:sub>
                    <m:r>
                      <w:rPr>
                        <w:rFonts w:ascii="Cambria Math" w:hAnsi="Cambria Math"/>
                      </w:rPr>
                      <m:t>a</m:t>
                    </m:r>
                  </m:sub>
                </m:sSub>
              </m:oMath>
            </m:oMathPara>
          </w:p>
        </w:tc>
        <w:tc>
          <w:tcPr>
            <w:tcW w:w="4394" w:type="dxa"/>
            <w:tcMar>
              <w:left w:w="0" w:type="dxa"/>
              <w:right w:w="0" w:type="dxa"/>
            </w:tcMar>
            <w:vAlign w:val="center"/>
          </w:tcPr>
          <w:p w14:paraId="609DF6BD" w14:textId="77777777" w:rsidR="00FF57A8" w:rsidRPr="00BC31E0" w:rsidRDefault="00FF57A8" w:rsidP="00C56F11">
            <w:pPr>
              <w:tabs>
                <w:tab w:val="left" w:leader="middleDot" w:pos="3827"/>
              </w:tabs>
              <w:autoSpaceDE w:val="0"/>
              <w:autoSpaceDN w:val="0"/>
              <w:spacing w:before="120"/>
              <w:jc w:val="left"/>
              <w:rPr>
                <w:rFonts w:asciiTheme="minorHAnsi" w:hAnsiTheme="minorHAnsi"/>
              </w:rPr>
            </w:pPr>
            <w:r w:rsidRPr="00BC31E0">
              <w:rPr>
                <w:rFonts w:asciiTheme="minorHAnsi" w:hAnsiTheme="minorHAnsi"/>
              </w:rPr>
              <w:tab/>
            </w:r>
            <w:r w:rsidRPr="00BC31E0">
              <w:rPr>
                <w:rFonts w:asciiTheme="minorHAnsi" w:hAnsiTheme="minorHAnsi" w:hint="eastAsia"/>
              </w:rPr>
              <w:t>(4)</w:t>
            </w:r>
          </w:p>
        </w:tc>
      </w:tr>
    </w:tbl>
    <w:p w14:paraId="1ED02DAB" w14:textId="77777777" w:rsidR="00FF57A8" w:rsidRPr="00BC31E0" w:rsidRDefault="00FF57A8" w:rsidP="00913EE8">
      <w:pPr>
        <w:pStyle w:val="1f9"/>
        <w:tabs>
          <w:tab w:val="clear" w:pos="284"/>
        </w:tabs>
        <w:adjustRightInd/>
        <w:snapToGrid/>
        <w:spacing w:before="120" w:after="120" w:line="240" w:lineRule="auto"/>
        <w:ind w:left="454" w:firstLine="0"/>
        <w:rPr>
          <w:rFonts w:asciiTheme="minorEastAsia" w:eastAsiaTheme="minorEastAsia" w:hAnsiTheme="minorEastAsia"/>
          <w:b w:val="0"/>
          <w:bCs/>
        </w:rPr>
      </w:pPr>
      <w:r w:rsidRPr="00BC31E0">
        <w:rPr>
          <w:rFonts w:asciiTheme="minorEastAsia" w:eastAsiaTheme="minorEastAsia" w:hAnsiTheme="minorEastAsia" w:hint="eastAsia"/>
          <w:b w:val="0"/>
          <w:bCs/>
        </w:rPr>
        <w:t>ボルトの締付トルクを制御できる場合は，</w:t>
      </w:r>
      <w:r w:rsidRPr="00BC31E0">
        <w:rPr>
          <w:rFonts w:asciiTheme="majorEastAsia" w:eastAsiaTheme="majorEastAsia" w:hAnsiTheme="majorEastAsia" w:hint="eastAsia"/>
        </w:rPr>
        <w:t>式(</w:t>
      </w:r>
      <w:r w:rsidRPr="00BC31E0">
        <w:rPr>
          <w:rFonts w:asciiTheme="majorEastAsia" w:eastAsiaTheme="majorEastAsia" w:hAnsiTheme="majorEastAsia"/>
        </w:rPr>
        <w:t>4)</w:t>
      </w:r>
      <w:r w:rsidRPr="00BC31E0">
        <w:rPr>
          <w:rFonts w:asciiTheme="minorEastAsia" w:eastAsiaTheme="minorEastAsia" w:hAnsiTheme="minorEastAsia" w:hint="eastAsia"/>
          <w:b w:val="0"/>
          <w:bCs/>
        </w:rPr>
        <w:t>に代え</w:t>
      </w:r>
      <w:r w:rsidR="00B5261E" w:rsidRPr="00BC31E0">
        <w:rPr>
          <w:rFonts w:asciiTheme="minorEastAsia" w:eastAsiaTheme="minorEastAsia" w:hAnsiTheme="minorEastAsia" w:hint="eastAsia"/>
          <w:b w:val="0"/>
          <w:bCs/>
        </w:rPr>
        <w:t>て</w:t>
      </w:r>
      <w:r w:rsidRPr="00BC31E0">
        <w:rPr>
          <w:rFonts w:asciiTheme="majorEastAsia" w:eastAsiaTheme="majorEastAsia" w:hAnsiTheme="majorEastAsia" w:hint="eastAsia"/>
        </w:rPr>
        <w:t>式(</w:t>
      </w:r>
      <w:r w:rsidRPr="00BC31E0">
        <w:rPr>
          <w:rFonts w:asciiTheme="majorEastAsia" w:eastAsiaTheme="majorEastAsia" w:hAnsiTheme="majorEastAsia"/>
        </w:rPr>
        <w:t>5)</w:t>
      </w:r>
      <w:r w:rsidRPr="00BC31E0">
        <w:rPr>
          <w:rFonts w:asciiTheme="minorEastAsia" w:eastAsiaTheme="minorEastAsia" w:hAnsiTheme="minorEastAsia" w:hint="eastAsia"/>
          <w:b w:val="0"/>
          <w:bCs/>
        </w:rPr>
        <w:t>を使用</w:t>
      </w:r>
      <w:r w:rsidR="007530C2" w:rsidRPr="00BC31E0">
        <w:rPr>
          <w:rFonts w:asciiTheme="minorEastAsia" w:eastAsiaTheme="minorEastAsia" w:hAnsiTheme="minorEastAsia" w:hint="eastAsia"/>
          <w:b w:val="0"/>
          <w:bCs/>
        </w:rPr>
        <w:t>す</w:t>
      </w:r>
      <w:r w:rsidRPr="00BC31E0">
        <w:rPr>
          <w:rFonts w:asciiTheme="minorEastAsia" w:eastAsiaTheme="minorEastAsia" w:hAnsiTheme="minorEastAsia" w:hint="eastAsia"/>
          <w:b w:val="0"/>
          <w:bCs/>
        </w:rPr>
        <w:t>る。</w:t>
      </w:r>
    </w:p>
    <w:tbl>
      <w:tblPr>
        <w:tblStyle w:val="afff2"/>
        <w:tblW w:w="8363"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6"/>
        <w:gridCol w:w="1134"/>
        <w:gridCol w:w="5103"/>
      </w:tblGrid>
      <w:tr w:rsidR="00FF57A8" w:rsidRPr="00BC31E0" w14:paraId="65A34985" w14:textId="77777777" w:rsidTr="004736F2">
        <w:trPr>
          <w:trHeight w:val="268"/>
        </w:trPr>
        <w:tc>
          <w:tcPr>
            <w:tcW w:w="2126" w:type="dxa"/>
            <w:tcMar>
              <w:left w:w="0" w:type="dxa"/>
              <w:right w:w="0" w:type="dxa"/>
            </w:tcMar>
            <w:vAlign w:val="center"/>
          </w:tcPr>
          <w:p w14:paraId="3374BAFC" w14:textId="77777777" w:rsidR="00FF57A8" w:rsidRPr="00BC31E0" w:rsidRDefault="00FF57A8" w:rsidP="00C56F11">
            <w:pPr>
              <w:tabs>
                <w:tab w:val="left" w:pos="2977"/>
                <w:tab w:val="left" w:leader="middleDot" w:pos="8505"/>
              </w:tabs>
              <w:autoSpaceDE w:val="0"/>
              <w:autoSpaceDN w:val="0"/>
              <w:jc w:val="left"/>
              <w:rPr>
                <w:rFonts w:asciiTheme="minorHAnsi" w:hAnsiTheme="minorHAnsi"/>
              </w:rPr>
            </w:pPr>
            <w:r w:rsidRPr="00BC31E0">
              <w:rPr>
                <w:rFonts w:hint="eastAsia"/>
              </w:rPr>
              <w:t xml:space="preserve">　　　　</w:t>
            </w:r>
          </w:p>
        </w:tc>
        <w:tc>
          <w:tcPr>
            <w:tcW w:w="1134" w:type="dxa"/>
            <w:tcMar>
              <w:left w:w="0" w:type="dxa"/>
              <w:right w:w="0" w:type="dxa"/>
            </w:tcMar>
            <w:vAlign w:val="center"/>
          </w:tcPr>
          <w:p w14:paraId="2036226D" w14:textId="77777777" w:rsidR="00FF57A8" w:rsidRPr="00BC31E0" w:rsidRDefault="00FF57A8" w:rsidP="00C56F11">
            <w:pPr>
              <w:tabs>
                <w:tab w:val="left" w:pos="2977"/>
                <w:tab w:val="left" w:leader="middleDot" w:pos="8505"/>
              </w:tabs>
              <w:autoSpaceDE w:val="0"/>
              <w:autoSpaceDN w:val="0"/>
              <w:jc w:val="left"/>
              <w:rPr>
                <w:rFonts w:asciiTheme="minorHAnsi" w:hAnsiTheme="minorHAnsi"/>
                <w:i/>
              </w:rPr>
            </w:pPr>
            <m:oMathPara>
              <m:oMathParaPr>
                <m:jc m:val="left"/>
              </m:oMathParaPr>
              <m:oMath>
                <m:r>
                  <w:rPr>
                    <w:rFonts w:ascii="Cambria Math" w:hAnsi="Cambria Math" w:hint="eastAsia"/>
                  </w:rPr>
                  <m:t>W</m:t>
                </m:r>
                <m:r>
                  <m:rPr>
                    <m:aln/>
                  </m:rPr>
                  <w:rPr>
                    <w:rFonts w:ascii="Cambria Math" w:hAnsi="Cambria Math" w:hint="eastAsia"/>
                  </w:rPr>
                  <m:t>=</m:t>
                </m:r>
                <m:r>
                  <w:rPr>
                    <w:rFonts w:ascii="Cambria Math" w:hAnsi="Cambria Math"/>
                  </w:rPr>
                  <m:t>2</m:t>
                </m:r>
                <m:sSub>
                  <m:sSubPr>
                    <m:ctrlPr>
                      <w:rPr>
                        <w:rFonts w:ascii="Cambria Math" w:hAnsi="Cambria Math"/>
                        <w:i/>
                      </w:rPr>
                    </m:ctrlPr>
                  </m:sSubPr>
                  <m:e>
                    <m:r>
                      <w:rPr>
                        <w:rFonts w:ascii="Cambria Math" w:hAnsi="Cambria Math"/>
                      </w:rPr>
                      <m:t>A</m:t>
                    </m:r>
                  </m:e>
                  <m:sub>
                    <m:r>
                      <w:rPr>
                        <w:rFonts w:ascii="Cambria Math" w:hAnsi="Cambria Math"/>
                      </w:rPr>
                      <m:t>m</m:t>
                    </m:r>
                  </m:sub>
                </m:sSub>
                <m:sSub>
                  <m:sSubPr>
                    <m:ctrlPr>
                      <w:rPr>
                        <w:rFonts w:ascii="Cambria Math" w:hAnsi="Cambria Math"/>
                        <w:i/>
                      </w:rPr>
                    </m:ctrlPr>
                  </m:sSubPr>
                  <m:e>
                    <m:r>
                      <w:rPr>
                        <w:rFonts w:ascii="Cambria Math" w:hAnsi="Cambria Math"/>
                      </w:rPr>
                      <m:t>S</m:t>
                    </m:r>
                  </m:e>
                  <m:sub>
                    <m:r>
                      <w:rPr>
                        <w:rFonts w:ascii="Cambria Math" w:hAnsi="Cambria Math"/>
                      </w:rPr>
                      <m:t>a</m:t>
                    </m:r>
                  </m:sub>
                </m:sSub>
              </m:oMath>
            </m:oMathPara>
          </w:p>
        </w:tc>
        <w:tc>
          <w:tcPr>
            <w:tcW w:w="5103" w:type="dxa"/>
            <w:tcMar>
              <w:left w:w="0" w:type="dxa"/>
              <w:right w:w="0" w:type="dxa"/>
            </w:tcMar>
            <w:vAlign w:val="center"/>
          </w:tcPr>
          <w:p w14:paraId="57D37102" w14:textId="77777777" w:rsidR="00FF57A8" w:rsidRPr="00BC31E0" w:rsidRDefault="00FF57A8" w:rsidP="00C56F11">
            <w:pPr>
              <w:tabs>
                <w:tab w:val="left" w:leader="middleDot" w:pos="4425"/>
              </w:tabs>
              <w:autoSpaceDE w:val="0"/>
              <w:autoSpaceDN w:val="0"/>
              <w:jc w:val="left"/>
              <w:rPr>
                <w:rFonts w:asciiTheme="minorHAnsi" w:hAnsiTheme="minorHAnsi"/>
              </w:rPr>
            </w:pPr>
            <w:r w:rsidRPr="00BC31E0">
              <w:rPr>
                <w:rFonts w:asciiTheme="minorHAnsi" w:hAnsiTheme="minorHAnsi" w:hint="eastAsia"/>
              </w:rPr>
              <w:tab/>
              <w:t>(</w:t>
            </w:r>
            <w:r w:rsidRPr="00BC31E0">
              <w:rPr>
                <w:rFonts w:asciiTheme="minorHAnsi" w:hAnsiTheme="minorHAnsi"/>
              </w:rPr>
              <w:t>5</w:t>
            </w:r>
            <w:r w:rsidRPr="00BC31E0">
              <w:rPr>
                <w:rFonts w:asciiTheme="minorHAnsi" w:hAnsiTheme="minorHAnsi" w:hint="eastAsia"/>
              </w:rPr>
              <w:t>)</w:t>
            </w:r>
          </w:p>
        </w:tc>
      </w:tr>
    </w:tbl>
    <w:p w14:paraId="44484D75" w14:textId="77777777" w:rsidR="00FF57A8" w:rsidRPr="00BC31E0" w:rsidRDefault="00FF57A8" w:rsidP="00914954">
      <w:pPr>
        <w:spacing w:before="120"/>
        <w:ind w:left="454" w:firstLineChars="100" w:firstLine="210"/>
      </w:pPr>
      <w:r w:rsidRPr="00BC31E0">
        <w:rPr>
          <w:rFonts w:hint="eastAsia"/>
        </w:rPr>
        <w:t>上記のボルト荷重は</w:t>
      </w:r>
      <w:r w:rsidRPr="00BC31E0">
        <w:rPr>
          <w:rFonts w:hint="eastAsia"/>
        </w:rPr>
        <w:t>2</w:t>
      </w:r>
      <w:r w:rsidRPr="00BC31E0">
        <w:rPr>
          <w:rFonts w:hint="eastAsia"/>
        </w:rPr>
        <w:t>分割のクランプの場合で，</w:t>
      </w:r>
      <w:r w:rsidRPr="00BC31E0">
        <w:rPr>
          <w:rFonts w:hint="eastAsia"/>
        </w:rPr>
        <w:t>3</w:t>
      </w:r>
      <w:r w:rsidRPr="00BC31E0">
        <w:rPr>
          <w:rFonts w:hint="eastAsia"/>
        </w:rPr>
        <w:t>分割のクランプの場合は，各々の値の</w:t>
      </w:r>
      <w:r w:rsidRPr="00BC31E0">
        <w:rPr>
          <w:rFonts w:hint="eastAsia"/>
        </w:rPr>
        <w:t>1</w:t>
      </w:r>
      <w:r w:rsidRPr="00BC31E0">
        <w:t>.5</w:t>
      </w:r>
      <w:r w:rsidRPr="00BC31E0">
        <w:rPr>
          <w:rFonts w:hint="eastAsia"/>
        </w:rPr>
        <w:t>倍とする。</w:t>
      </w:r>
    </w:p>
    <w:p w14:paraId="24D048B0" w14:textId="77777777" w:rsidR="00B5261E" w:rsidRPr="00BC31E0" w:rsidRDefault="00B5261E" w:rsidP="00C56F11">
      <w:pPr>
        <w:pStyle w:val="15"/>
        <w:ind w:firstLineChars="0" w:firstLine="0"/>
        <w:rPr>
          <w:b/>
        </w:rPr>
      </w:pPr>
    </w:p>
    <w:p w14:paraId="658150D7" w14:textId="77777777" w:rsidR="00FF57A8" w:rsidRPr="00BC31E0" w:rsidRDefault="00FF57A8" w:rsidP="00736130">
      <w:pPr>
        <w:pStyle w:val="1f9"/>
        <w:numPr>
          <w:ilvl w:val="0"/>
          <w:numId w:val="246"/>
        </w:numPr>
        <w:adjustRightInd/>
        <w:snapToGrid/>
        <w:spacing w:line="240" w:lineRule="auto"/>
        <w:ind w:left="340" w:hanging="340"/>
      </w:pPr>
      <w:r w:rsidRPr="00BC31E0">
        <w:rPr>
          <w:rFonts w:hint="eastAsia"/>
        </w:rPr>
        <w:t>長手方向荷重</w:t>
      </w:r>
    </w:p>
    <w:p w14:paraId="2D073E32" w14:textId="77777777" w:rsidR="00FF57A8" w:rsidRPr="00BC31E0" w:rsidRDefault="00FF57A8" w:rsidP="00913EE8">
      <w:pPr>
        <w:pStyle w:val="15"/>
        <w:spacing w:after="120"/>
        <w:ind w:firstLine="210"/>
      </w:pPr>
      <w:r w:rsidRPr="00BC31E0">
        <w:rPr>
          <w:rFonts w:hint="eastAsia"/>
        </w:rPr>
        <w:t>クランプ継手の設計における長手方向荷重</w:t>
      </w:r>
      <m:oMath>
        <m:r>
          <w:rPr>
            <w:rFonts w:ascii="Cambria Math" w:hAnsi="Cambria Math" w:hint="eastAsia"/>
          </w:rPr>
          <m:t>H</m:t>
        </m:r>
      </m:oMath>
      <w:r w:rsidRPr="00BC31E0">
        <w:rPr>
          <w:rFonts w:hint="eastAsia"/>
        </w:rPr>
        <w:t>は，</w:t>
      </w:r>
      <w:r w:rsidRPr="00BC31E0">
        <w:rPr>
          <w:rFonts w:ascii="ＭＳ ゴシック" w:eastAsia="ＭＳ ゴシック" w:hint="eastAsia"/>
          <w:b/>
        </w:rPr>
        <w:t>式(6)</w:t>
      </w:r>
      <w:r w:rsidRPr="00BC31E0">
        <w:rPr>
          <w:rFonts w:hint="eastAsia"/>
        </w:rPr>
        <w:t>及び</w:t>
      </w:r>
      <w:r w:rsidRPr="00BC31E0">
        <w:rPr>
          <w:rFonts w:ascii="ＭＳ ゴシック" w:eastAsia="ＭＳ ゴシック" w:hint="eastAsia"/>
          <w:b/>
        </w:rPr>
        <w:t>式(</w:t>
      </w:r>
      <w:r w:rsidRPr="00BC31E0">
        <w:rPr>
          <w:rFonts w:ascii="ＭＳ ゴシック" w:eastAsia="ＭＳ ゴシック"/>
          <w:b/>
        </w:rPr>
        <w:t>7</w:t>
      </w:r>
      <w:r w:rsidRPr="00BC31E0">
        <w:rPr>
          <w:rFonts w:ascii="ＭＳ ゴシック" w:eastAsia="ＭＳ ゴシック" w:hint="eastAsia"/>
          <w:b/>
        </w:rPr>
        <w:t>)</w:t>
      </w:r>
      <w:r w:rsidRPr="00BC31E0">
        <w:rPr>
          <w:rFonts w:hint="eastAsia"/>
        </w:rPr>
        <w:t>で求める値とする。</w:t>
      </w:r>
    </w:p>
    <w:tbl>
      <w:tblPr>
        <w:tblStyle w:val="afff2"/>
        <w:tblW w:w="822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6"/>
        <w:gridCol w:w="1276"/>
        <w:gridCol w:w="425"/>
        <w:gridCol w:w="4394"/>
      </w:tblGrid>
      <w:tr w:rsidR="00FF57A8" w:rsidRPr="00BC31E0" w14:paraId="6BEC8D61" w14:textId="77777777" w:rsidTr="004736F2">
        <w:tc>
          <w:tcPr>
            <w:tcW w:w="2126" w:type="dxa"/>
            <w:tcMar>
              <w:left w:w="0" w:type="dxa"/>
              <w:right w:w="0" w:type="dxa"/>
            </w:tcMar>
            <w:vAlign w:val="center"/>
          </w:tcPr>
          <w:p w14:paraId="09E9C1D5" w14:textId="77777777" w:rsidR="00FF57A8" w:rsidRPr="00BC31E0" w:rsidRDefault="00FF57A8" w:rsidP="00C56F11">
            <w:pPr>
              <w:tabs>
                <w:tab w:val="left" w:pos="2977"/>
                <w:tab w:val="left" w:leader="middleDot" w:pos="8505"/>
              </w:tabs>
              <w:autoSpaceDE w:val="0"/>
              <w:autoSpaceDN w:val="0"/>
              <w:jc w:val="left"/>
              <w:rPr>
                <w:rFonts w:asciiTheme="minorHAnsi" w:hAnsiTheme="minorHAnsi"/>
              </w:rPr>
            </w:pPr>
            <w:r w:rsidRPr="00BC31E0">
              <w:rPr>
                <w:rFonts w:hint="eastAsia"/>
              </w:rPr>
              <w:t xml:space="preserve">運転条件：　　　　　</w:t>
            </w:r>
          </w:p>
        </w:tc>
        <w:tc>
          <w:tcPr>
            <w:tcW w:w="1276" w:type="dxa"/>
            <w:tcMar>
              <w:left w:w="0" w:type="dxa"/>
              <w:right w:w="0" w:type="dxa"/>
            </w:tcMar>
            <w:vAlign w:val="center"/>
          </w:tcPr>
          <w:p w14:paraId="67BDCEA9" w14:textId="77777777" w:rsidR="00FF57A8" w:rsidRPr="00BC31E0" w:rsidRDefault="00FF57A8" w:rsidP="00C56F11">
            <w:pPr>
              <w:tabs>
                <w:tab w:val="left" w:pos="2977"/>
                <w:tab w:val="left" w:leader="middleDot" w:pos="8505"/>
              </w:tabs>
              <w:autoSpaceDE w:val="0"/>
              <w:autoSpaceDN w:val="0"/>
              <w:jc w:val="left"/>
              <w:rPr>
                <w:rFonts w:asciiTheme="minorHAnsi" w:hAnsiTheme="minorHAnsi"/>
                <w:i/>
              </w:rPr>
            </w:pPr>
            <m:oMathPara>
              <m:oMathParaPr>
                <m:jc m:val="left"/>
              </m:oMathParaPr>
              <m:oMath>
                <m:r>
                  <w:rPr>
                    <w:rFonts w:ascii="Cambria Math" w:hAnsi="Cambria Math"/>
                  </w:rPr>
                  <m:t>H</m:t>
                </m:r>
                <m:r>
                  <w:rPr>
                    <w:rFonts w:ascii="Cambria Math" w:hAnsi="Cambria Math" w:hint="eastAsia"/>
                  </w:rPr>
                  <m:t>=</m:t>
                </m:r>
                <m:sSub>
                  <m:sSubPr>
                    <m:ctrlPr>
                      <w:rPr>
                        <w:rFonts w:ascii="Cambria Math" w:hAnsi="Cambria Math"/>
                        <w:i/>
                      </w:rPr>
                    </m:ctrlPr>
                  </m:sSubPr>
                  <m:e>
                    <m:r>
                      <w:rPr>
                        <w:rFonts w:ascii="Cambria Math" w:hAnsi="Cambria Math"/>
                      </w:rPr>
                      <m:t>H</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p</m:t>
                    </m:r>
                  </m:sub>
                </m:sSub>
              </m:oMath>
            </m:oMathPara>
          </w:p>
        </w:tc>
        <w:tc>
          <w:tcPr>
            <w:tcW w:w="4819" w:type="dxa"/>
            <w:gridSpan w:val="2"/>
            <w:tcMar>
              <w:left w:w="0" w:type="dxa"/>
              <w:right w:w="0" w:type="dxa"/>
            </w:tcMar>
            <w:vAlign w:val="center"/>
          </w:tcPr>
          <w:p w14:paraId="77AE11C4" w14:textId="77777777" w:rsidR="00FF57A8" w:rsidRPr="00BC31E0" w:rsidRDefault="00FF57A8" w:rsidP="00C56F11">
            <w:pPr>
              <w:tabs>
                <w:tab w:val="left" w:leader="middleDot" w:pos="4252"/>
              </w:tabs>
              <w:autoSpaceDE w:val="0"/>
              <w:autoSpaceDN w:val="0"/>
              <w:jc w:val="left"/>
              <w:rPr>
                <w:rFonts w:asciiTheme="minorHAnsi" w:hAnsiTheme="minorHAnsi"/>
              </w:rPr>
            </w:pPr>
            <w:r w:rsidRPr="00BC31E0">
              <w:rPr>
                <w:rFonts w:asciiTheme="minorHAnsi" w:hAnsiTheme="minorHAnsi" w:hint="eastAsia"/>
              </w:rPr>
              <w:tab/>
              <w:t>(</w:t>
            </w:r>
            <w:r w:rsidRPr="00BC31E0">
              <w:rPr>
                <w:rFonts w:asciiTheme="minorHAnsi" w:hAnsiTheme="minorHAnsi"/>
              </w:rPr>
              <w:t>6</w:t>
            </w:r>
            <w:r w:rsidRPr="00BC31E0">
              <w:rPr>
                <w:rFonts w:asciiTheme="minorHAnsi" w:hAnsiTheme="minorHAnsi" w:hint="eastAsia"/>
              </w:rPr>
              <w:t>)</w:t>
            </w:r>
          </w:p>
        </w:tc>
      </w:tr>
      <w:tr w:rsidR="00FF57A8" w:rsidRPr="00BC31E0" w14:paraId="2E65012A" w14:textId="77777777" w:rsidTr="004736F2">
        <w:tc>
          <w:tcPr>
            <w:tcW w:w="2126" w:type="dxa"/>
            <w:tcMar>
              <w:left w:w="0" w:type="dxa"/>
              <w:right w:w="0" w:type="dxa"/>
            </w:tcMar>
            <w:vAlign w:val="center"/>
          </w:tcPr>
          <w:p w14:paraId="6CF8A1C5" w14:textId="77777777" w:rsidR="00FF57A8" w:rsidRPr="00BC31E0" w:rsidRDefault="00FF57A8" w:rsidP="006C24D4">
            <w:pPr>
              <w:tabs>
                <w:tab w:val="left" w:pos="2977"/>
                <w:tab w:val="left" w:leader="middleDot" w:pos="8505"/>
              </w:tabs>
              <w:autoSpaceDE w:val="0"/>
              <w:autoSpaceDN w:val="0"/>
              <w:spacing w:before="120"/>
              <w:jc w:val="left"/>
            </w:pPr>
            <w:r w:rsidRPr="00BC31E0">
              <w:rPr>
                <w:rFonts w:hint="eastAsia"/>
              </w:rPr>
              <w:t xml:space="preserve">初期締付条件：　　　</w:t>
            </w:r>
          </w:p>
        </w:tc>
        <w:tc>
          <w:tcPr>
            <w:tcW w:w="1701" w:type="dxa"/>
            <w:gridSpan w:val="2"/>
            <w:tcMar>
              <w:left w:w="0" w:type="dxa"/>
              <w:right w:w="0" w:type="dxa"/>
            </w:tcMar>
            <w:vAlign w:val="center"/>
          </w:tcPr>
          <w:p w14:paraId="1962F330" w14:textId="77777777" w:rsidR="00FF57A8" w:rsidRPr="00BC31E0" w:rsidRDefault="00FF57A8" w:rsidP="006C24D4">
            <w:pPr>
              <w:tabs>
                <w:tab w:val="left" w:pos="2977"/>
                <w:tab w:val="left" w:leader="middleDot" w:pos="8505"/>
              </w:tabs>
              <w:autoSpaceDE w:val="0"/>
              <w:autoSpaceDN w:val="0"/>
              <w:spacing w:before="120"/>
              <w:jc w:val="left"/>
              <w:rPr>
                <w:i/>
              </w:rPr>
            </w:pPr>
            <m:oMathPara>
              <m:oMathParaPr>
                <m:jc m:val="left"/>
              </m:oMathParaPr>
              <m:oMath>
                <m:r>
                  <w:rPr>
                    <w:rFonts w:ascii="Cambria Math" w:hAnsi="Cambria Math"/>
                  </w:rPr>
                  <m:t>H=</m:t>
                </m:r>
                <m:f>
                  <m:fPr>
                    <m:ctrlPr>
                      <w:rPr>
                        <w:rFonts w:ascii="Cambria Math" w:hAnsi="Cambria Math"/>
                        <w:i/>
                      </w:rPr>
                    </m:ctrlPr>
                  </m:fPr>
                  <m:num>
                    <m:r>
                      <w:rPr>
                        <w:rFonts w:ascii="Cambria Math" w:hAnsi="Cambria Math"/>
                      </w:rPr>
                      <m:t>π W</m:t>
                    </m:r>
                  </m:num>
                  <m:den>
                    <m:r>
                      <w:rPr>
                        <w:rFonts w:ascii="Cambria Math" w:hAnsi="Cambria Math"/>
                      </w:rPr>
                      <m:t>2</m:t>
                    </m:r>
                    <m:func>
                      <m:funcPr>
                        <m:ctrlPr>
                          <w:rPr>
                            <w:rFonts w:ascii="Cambria Math" w:hAnsi="Cambria Math"/>
                            <w:i/>
                          </w:rPr>
                        </m:ctrlPr>
                      </m:funcPr>
                      <m:fName>
                        <m:r>
                          <m:rPr>
                            <m:sty m:val="bi"/>
                          </m:rPr>
                          <w:rPr>
                            <w:rFonts w:ascii="Cambria Math" w:hAnsi="Cambria Math"/>
                          </w:rPr>
                          <m:t>tan</m:t>
                        </m:r>
                      </m:fName>
                      <m:e>
                        <m:d>
                          <m:dPr>
                            <m:ctrlPr>
                              <w:rPr>
                                <w:rFonts w:ascii="Cambria Math" w:hAnsi="Cambria Math"/>
                                <w:i/>
                              </w:rPr>
                            </m:ctrlPr>
                          </m:dPr>
                          <m:e>
                            <m:r>
                              <w:rPr>
                                <w:rFonts w:ascii="Cambria Math" w:hAnsi="Cambria Math"/>
                              </w:rPr>
                              <m:t>ϕ+μ</m:t>
                            </m:r>
                          </m:e>
                        </m:d>
                      </m:e>
                    </m:func>
                  </m:den>
                </m:f>
              </m:oMath>
            </m:oMathPara>
          </w:p>
        </w:tc>
        <w:tc>
          <w:tcPr>
            <w:tcW w:w="4394" w:type="dxa"/>
            <w:tcMar>
              <w:left w:w="0" w:type="dxa"/>
              <w:right w:w="0" w:type="dxa"/>
            </w:tcMar>
            <w:vAlign w:val="center"/>
          </w:tcPr>
          <w:p w14:paraId="04182C38" w14:textId="77777777" w:rsidR="00FF57A8" w:rsidRPr="00BC31E0" w:rsidRDefault="00FF57A8" w:rsidP="006C24D4">
            <w:pPr>
              <w:tabs>
                <w:tab w:val="left" w:leader="middleDot" w:pos="3827"/>
              </w:tabs>
              <w:autoSpaceDE w:val="0"/>
              <w:autoSpaceDN w:val="0"/>
              <w:spacing w:before="120"/>
              <w:jc w:val="left"/>
              <w:rPr>
                <w:rFonts w:asciiTheme="minorHAnsi" w:hAnsiTheme="minorHAnsi"/>
              </w:rPr>
            </w:pPr>
            <w:r w:rsidRPr="00BC31E0">
              <w:rPr>
                <w:rFonts w:asciiTheme="minorHAnsi" w:hAnsiTheme="minorHAnsi"/>
              </w:rPr>
              <w:tab/>
            </w:r>
            <w:r w:rsidRPr="00BC31E0">
              <w:rPr>
                <w:rFonts w:asciiTheme="minorHAnsi" w:hAnsiTheme="minorHAnsi" w:hint="eastAsia"/>
              </w:rPr>
              <w:t>(</w:t>
            </w:r>
            <w:r w:rsidRPr="00BC31E0">
              <w:rPr>
                <w:rFonts w:asciiTheme="minorHAnsi" w:hAnsiTheme="minorHAnsi"/>
              </w:rPr>
              <w:t>7</w:t>
            </w:r>
            <w:r w:rsidRPr="00BC31E0">
              <w:rPr>
                <w:rFonts w:asciiTheme="minorHAnsi" w:hAnsiTheme="minorHAnsi" w:hint="eastAsia"/>
              </w:rPr>
              <w:t>)</w:t>
            </w:r>
          </w:p>
        </w:tc>
      </w:tr>
    </w:tbl>
    <w:p w14:paraId="73EA7129" w14:textId="77777777" w:rsidR="00C56F11" w:rsidRPr="00BC31E0" w:rsidRDefault="00C56F11" w:rsidP="00C56F11">
      <w:pPr>
        <w:pStyle w:val="1f9"/>
        <w:tabs>
          <w:tab w:val="clear" w:pos="284"/>
        </w:tabs>
        <w:adjustRightInd/>
        <w:snapToGrid/>
        <w:spacing w:line="240" w:lineRule="auto"/>
        <w:ind w:left="0" w:firstLine="0"/>
      </w:pPr>
    </w:p>
    <w:p w14:paraId="040427FC" w14:textId="77777777" w:rsidR="00FF57A8" w:rsidRPr="00BC31E0" w:rsidRDefault="00FF57A8" w:rsidP="00736130">
      <w:pPr>
        <w:pStyle w:val="1f9"/>
        <w:numPr>
          <w:ilvl w:val="0"/>
          <w:numId w:val="247"/>
        </w:numPr>
        <w:tabs>
          <w:tab w:val="num" w:pos="284"/>
        </w:tabs>
        <w:adjustRightInd/>
        <w:snapToGrid/>
        <w:spacing w:line="240" w:lineRule="auto"/>
        <w:ind w:left="340" w:hanging="340"/>
      </w:pPr>
      <w:r w:rsidRPr="00BC31E0">
        <w:rPr>
          <w:rFonts w:hint="eastAsia"/>
        </w:rPr>
        <w:lastRenderedPageBreak/>
        <w:t>ハブのモーメント</w:t>
      </w:r>
    </w:p>
    <w:p w14:paraId="2E7EAC37" w14:textId="77777777" w:rsidR="00FF57A8" w:rsidRPr="00BC31E0" w:rsidRDefault="00FF57A8" w:rsidP="00913EE8">
      <w:pPr>
        <w:pStyle w:val="15"/>
        <w:spacing w:after="120"/>
        <w:ind w:firstLine="210"/>
      </w:pPr>
      <w:r w:rsidRPr="00BC31E0">
        <w:rPr>
          <w:rFonts w:hint="eastAsia"/>
        </w:rPr>
        <w:t>ハブに作用する全モーメント</w:t>
      </w:r>
      <m:oMath>
        <m:sSub>
          <m:sSubPr>
            <m:ctrlPr>
              <w:rPr>
                <w:rFonts w:ascii="Cambria Math" w:hAnsi="Cambria Math"/>
                <w:i/>
              </w:rPr>
            </m:ctrlPr>
          </m:sSubPr>
          <m:e>
            <m:r>
              <w:rPr>
                <w:rFonts w:ascii="Cambria Math" w:hAnsi="Cambria Math"/>
              </w:rPr>
              <m:t>M</m:t>
            </m:r>
          </m:e>
          <m:sub>
            <m:r>
              <w:rPr>
                <w:rFonts w:ascii="Cambria Math" w:hAnsi="Cambria Math"/>
              </w:rPr>
              <m:t>O</m:t>
            </m:r>
          </m:sub>
        </m:sSub>
      </m:oMath>
      <w:r w:rsidRPr="00BC31E0">
        <w:rPr>
          <w:rFonts w:hint="eastAsia"/>
        </w:rPr>
        <w:t>は，</w:t>
      </w:r>
      <w:r w:rsidRPr="00BC31E0">
        <w:rPr>
          <w:rFonts w:ascii="ＭＳ ゴシック" w:eastAsia="ＭＳ ゴシック" w:hint="eastAsia"/>
          <w:b/>
        </w:rPr>
        <w:t>式(</w:t>
      </w:r>
      <w:r w:rsidRPr="00BC31E0">
        <w:rPr>
          <w:rFonts w:ascii="ＭＳ ゴシック" w:eastAsia="ＭＳ ゴシック"/>
          <w:b/>
        </w:rPr>
        <w:t>8</w:t>
      </w:r>
      <w:r w:rsidRPr="00BC31E0">
        <w:rPr>
          <w:rFonts w:ascii="ＭＳ ゴシック" w:eastAsia="ＭＳ ゴシック" w:hint="eastAsia"/>
          <w:b/>
        </w:rPr>
        <w:t>)</w:t>
      </w:r>
      <w:r w:rsidRPr="00BC31E0">
        <w:rPr>
          <w:rFonts w:hint="eastAsia"/>
        </w:rPr>
        <w:t>及び</w:t>
      </w:r>
      <w:r w:rsidRPr="00BC31E0">
        <w:rPr>
          <w:rFonts w:ascii="ＭＳ ゴシック" w:eastAsia="ＭＳ ゴシック" w:hint="eastAsia"/>
          <w:b/>
        </w:rPr>
        <w:t>式(</w:t>
      </w:r>
      <w:r w:rsidRPr="00BC31E0">
        <w:rPr>
          <w:rFonts w:ascii="ＭＳ ゴシック" w:eastAsia="ＭＳ ゴシック"/>
          <w:b/>
        </w:rPr>
        <w:t>9</w:t>
      </w:r>
      <w:r w:rsidRPr="00BC31E0">
        <w:rPr>
          <w:rFonts w:ascii="ＭＳ ゴシック" w:eastAsia="ＭＳ ゴシック" w:hint="eastAsia"/>
          <w:b/>
        </w:rPr>
        <w:t>)</w:t>
      </w:r>
      <w:r w:rsidRPr="00BC31E0">
        <w:rPr>
          <w:rFonts w:hint="eastAsia"/>
        </w:rPr>
        <w:t>で求める値とする。</w:t>
      </w:r>
    </w:p>
    <w:tbl>
      <w:tblPr>
        <w:tblStyle w:val="afff2"/>
        <w:tblW w:w="822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6"/>
        <w:gridCol w:w="1843"/>
        <w:gridCol w:w="1701"/>
        <w:gridCol w:w="2551"/>
      </w:tblGrid>
      <w:tr w:rsidR="00FF57A8" w:rsidRPr="00BC31E0" w14:paraId="621969C7" w14:textId="77777777" w:rsidTr="004736F2">
        <w:tc>
          <w:tcPr>
            <w:tcW w:w="2126" w:type="dxa"/>
            <w:tcMar>
              <w:left w:w="0" w:type="dxa"/>
              <w:right w:w="0" w:type="dxa"/>
            </w:tcMar>
            <w:vAlign w:val="center"/>
          </w:tcPr>
          <w:p w14:paraId="4CA18043" w14:textId="77777777" w:rsidR="00FF57A8" w:rsidRPr="00BC31E0" w:rsidRDefault="00FF57A8" w:rsidP="00C56F11">
            <w:pPr>
              <w:tabs>
                <w:tab w:val="left" w:pos="2977"/>
                <w:tab w:val="left" w:leader="middleDot" w:pos="8505"/>
              </w:tabs>
              <w:autoSpaceDE w:val="0"/>
              <w:autoSpaceDN w:val="0"/>
              <w:jc w:val="left"/>
              <w:rPr>
                <w:rFonts w:asciiTheme="minorHAnsi" w:hAnsiTheme="minorHAnsi"/>
              </w:rPr>
            </w:pPr>
            <w:r w:rsidRPr="00BC31E0">
              <w:rPr>
                <w:rFonts w:hint="eastAsia"/>
              </w:rPr>
              <w:t xml:space="preserve">運転条件：　　　　　</w:t>
            </w:r>
          </w:p>
        </w:tc>
        <w:tc>
          <w:tcPr>
            <w:tcW w:w="3544" w:type="dxa"/>
            <w:gridSpan w:val="2"/>
            <w:tcMar>
              <w:left w:w="0" w:type="dxa"/>
              <w:right w:w="0" w:type="dxa"/>
            </w:tcMar>
            <w:vAlign w:val="center"/>
          </w:tcPr>
          <w:p w14:paraId="6AC272B6" w14:textId="77777777" w:rsidR="00FF57A8" w:rsidRPr="00BC31E0" w:rsidRDefault="00A51873" w:rsidP="00C56F11">
            <w:pPr>
              <w:tabs>
                <w:tab w:val="left" w:pos="2977"/>
                <w:tab w:val="left" w:leader="middleDot" w:pos="8505"/>
              </w:tabs>
              <w:autoSpaceDE w:val="0"/>
              <w:autoSpaceDN w:val="0"/>
              <w:jc w:val="left"/>
              <w:rPr>
                <w:rFonts w:asciiTheme="minorHAnsi" w:hAnsiTheme="minorHAnsi"/>
              </w:rPr>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O</m:t>
                    </m:r>
                  </m:sub>
                </m:sSub>
                <m:r>
                  <w:rPr>
                    <w:rFonts w:ascii="Cambria Math" w:hAnsi="Cambria Math" w:hint="eastAsia"/>
                  </w:rPr>
                  <m:t>=</m:t>
                </m:r>
                <m:sSub>
                  <m:sSubPr>
                    <m:ctrlPr>
                      <w:rPr>
                        <w:rFonts w:ascii="Cambria Math" w:hAnsi="Cambria Math"/>
                      </w:rPr>
                    </m:ctrlPr>
                  </m:sSubPr>
                  <m:e>
                    <m:r>
                      <w:rPr>
                        <w:rFonts w:ascii="Cambria Math" w:hAnsi="Cambria Math"/>
                      </w:rPr>
                      <m:t>M</m:t>
                    </m:r>
                  </m:e>
                  <m:sub>
                    <m:r>
                      <w:rPr>
                        <w:rFonts w:ascii="Cambria Math" w:hAnsi="Cambria Math"/>
                      </w:rPr>
                      <m:t>D</m:t>
                    </m:r>
                  </m:sub>
                </m:sSub>
                <m: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F</m:t>
                    </m:r>
                  </m:sub>
                </m:sSub>
                <m: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P</m:t>
                    </m:r>
                  </m:sub>
                </m:sSub>
                <m: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R</m:t>
                    </m:r>
                  </m:sub>
                </m:sSub>
              </m:oMath>
            </m:oMathPara>
          </w:p>
        </w:tc>
        <w:tc>
          <w:tcPr>
            <w:tcW w:w="2551" w:type="dxa"/>
            <w:tcMar>
              <w:left w:w="0" w:type="dxa"/>
              <w:right w:w="0" w:type="dxa"/>
            </w:tcMar>
            <w:vAlign w:val="center"/>
          </w:tcPr>
          <w:p w14:paraId="40B7B14B" w14:textId="77777777" w:rsidR="00FF57A8" w:rsidRPr="00BC31E0" w:rsidRDefault="00FF57A8" w:rsidP="00C56F11">
            <w:pPr>
              <w:tabs>
                <w:tab w:val="left" w:leader="middleDot" w:pos="1984"/>
              </w:tabs>
              <w:autoSpaceDE w:val="0"/>
              <w:autoSpaceDN w:val="0"/>
              <w:jc w:val="left"/>
              <w:rPr>
                <w:rFonts w:asciiTheme="minorHAnsi" w:hAnsiTheme="minorHAnsi"/>
              </w:rPr>
            </w:pPr>
            <w:r w:rsidRPr="00BC31E0">
              <w:rPr>
                <w:rFonts w:asciiTheme="minorHAnsi" w:hAnsiTheme="minorHAnsi" w:hint="eastAsia"/>
              </w:rPr>
              <w:tab/>
              <w:t>(</w:t>
            </w:r>
            <w:r w:rsidRPr="00BC31E0">
              <w:rPr>
                <w:rFonts w:asciiTheme="minorHAnsi" w:hAnsiTheme="minorHAnsi"/>
              </w:rPr>
              <w:t>8</w:t>
            </w:r>
            <w:r w:rsidRPr="00BC31E0">
              <w:rPr>
                <w:rFonts w:asciiTheme="minorHAnsi" w:hAnsiTheme="minorHAnsi" w:hint="eastAsia"/>
              </w:rPr>
              <w:t>)</w:t>
            </w:r>
          </w:p>
        </w:tc>
      </w:tr>
      <w:tr w:rsidR="00FF57A8" w:rsidRPr="00BC31E0" w14:paraId="03D3CEB5" w14:textId="77777777" w:rsidTr="004736F2">
        <w:tc>
          <w:tcPr>
            <w:tcW w:w="2126" w:type="dxa"/>
            <w:tcMar>
              <w:left w:w="0" w:type="dxa"/>
              <w:right w:w="0" w:type="dxa"/>
            </w:tcMar>
            <w:vAlign w:val="center"/>
          </w:tcPr>
          <w:p w14:paraId="03FBE7D7" w14:textId="77777777" w:rsidR="00FF57A8" w:rsidRPr="00BC31E0" w:rsidRDefault="00FF57A8" w:rsidP="00C56F11">
            <w:pPr>
              <w:tabs>
                <w:tab w:val="left" w:pos="2977"/>
                <w:tab w:val="left" w:leader="middleDot" w:pos="8505"/>
              </w:tabs>
              <w:autoSpaceDE w:val="0"/>
              <w:autoSpaceDN w:val="0"/>
              <w:spacing w:before="120"/>
              <w:jc w:val="left"/>
            </w:pPr>
            <w:r w:rsidRPr="00BC31E0">
              <w:rPr>
                <w:rFonts w:hint="eastAsia"/>
              </w:rPr>
              <w:t xml:space="preserve">初期締付条件：　　　</w:t>
            </w:r>
          </w:p>
        </w:tc>
        <w:tc>
          <w:tcPr>
            <w:tcW w:w="1843" w:type="dxa"/>
            <w:tcMar>
              <w:left w:w="0" w:type="dxa"/>
              <w:right w:w="0" w:type="dxa"/>
            </w:tcMar>
            <w:vAlign w:val="center"/>
          </w:tcPr>
          <w:p w14:paraId="71F9CFD6" w14:textId="77777777" w:rsidR="00FF57A8" w:rsidRPr="00BC31E0" w:rsidRDefault="00A51873" w:rsidP="00C56F11">
            <w:pPr>
              <w:tabs>
                <w:tab w:val="left" w:pos="2977"/>
                <w:tab w:val="left" w:leader="middleDot" w:pos="8505"/>
              </w:tabs>
              <w:autoSpaceDE w:val="0"/>
              <w:autoSpaceDN w:val="0"/>
              <w:spacing w:before="120"/>
              <w:jc w:val="left"/>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O</m:t>
                    </m:r>
                  </m:sub>
                </m:sSub>
                <m:r>
                  <w:rPr>
                    <w:rFonts w:ascii="Cambria Math" w:hAnsi="Cambria Math"/>
                  </w:rPr>
                  <m:t>=</m:t>
                </m:r>
                <m:f>
                  <m:fPr>
                    <m:ctrlPr>
                      <w:rPr>
                        <w:rFonts w:ascii="Cambria Math" w:hAnsi="Cambria Math"/>
                      </w:rPr>
                    </m:ctrlPr>
                  </m:fPr>
                  <m:num>
                    <m:r>
                      <w:rPr>
                        <w:rFonts w:ascii="Cambria Math" w:hAnsi="Cambria Math"/>
                      </w:rPr>
                      <m:t>π W</m:t>
                    </m:r>
                    <m:d>
                      <m:dPr>
                        <m:ctrlPr>
                          <w:rPr>
                            <w:rFonts w:ascii="Cambria Math" w:hAnsi="Cambria Math"/>
                          </w:rPr>
                        </m:ctrlPr>
                      </m:dPr>
                      <m:e>
                        <m:r>
                          <w:rPr>
                            <w:rFonts w:ascii="Cambria Math" w:hAnsi="Cambria Math"/>
                          </w:rPr>
                          <m:t>C-G</m:t>
                        </m:r>
                      </m:e>
                    </m:d>
                  </m:num>
                  <m:den>
                    <m:r>
                      <w:rPr>
                        <w:rFonts w:ascii="Cambria Math" w:hAnsi="Cambria Math"/>
                      </w:rPr>
                      <m:t>4</m:t>
                    </m:r>
                    <m:func>
                      <m:funcPr>
                        <m:ctrlPr>
                          <w:rPr>
                            <w:rFonts w:ascii="Cambria Math" w:hAnsi="Cambria Math"/>
                          </w:rPr>
                        </m:ctrlPr>
                      </m:funcPr>
                      <m:fName>
                        <m:r>
                          <m:rPr>
                            <m:sty m:val="bi"/>
                          </m:rPr>
                          <w:rPr>
                            <w:rFonts w:ascii="Cambria Math" w:hAnsi="Cambria Math"/>
                          </w:rPr>
                          <m:t>tan</m:t>
                        </m:r>
                      </m:fName>
                      <m:e>
                        <m:d>
                          <m:dPr>
                            <m:ctrlPr>
                              <w:rPr>
                                <w:rFonts w:ascii="Cambria Math" w:hAnsi="Cambria Math"/>
                              </w:rPr>
                            </m:ctrlPr>
                          </m:dPr>
                          <m:e>
                            <m:r>
                              <w:rPr>
                                <w:rFonts w:ascii="Cambria Math" w:hAnsi="Cambria Math"/>
                              </w:rPr>
                              <m:t>ϕ+μ</m:t>
                            </m:r>
                          </m:e>
                        </m:d>
                      </m:e>
                    </m:func>
                  </m:den>
                </m:f>
              </m:oMath>
            </m:oMathPara>
          </w:p>
        </w:tc>
        <w:tc>
          <w:tcPr>
            <w:tcW w:w="4252" w:type="dxa"/>
            <w:gridSpan w:val="2"/>
            <w:tcMar>
              <w:left w:w="0" w:type="dxa"/>
              <w:right w:w="0" w:type="dxa"/>
            </w:tcMar>
            <w:vAlign w:val="center"/>
          </w:tcPr>
          <w:p w14:paraId="17A72F71" w14:textId="77777777" w:rsidR="00FF57A8" w:rsidRPr="00BC31E0" w:rsidRDefault="00FF57A8" w:rsidP="00C56F11">
            <w:pPr>
              <w:tabs>
                <w:tab w:val="left" w:leader="middleDot" w:pos="3685"/>
              </w:tabs>
              <w:autoSpaceDE w:val="0"/>
              <w:autoSpaceDN w:val="0"/>
              <w:spacing w:before="120"/>
              <w:jc w:val="left"/>
              <w:rPr>
                <w:rFonts w:asciiTheme="minorHAnsi" w:hAnsiTheme="minorHAnsi"/>
              </w:rPr>
            </w:pPr>
            <w:r w:rsidRPr="00BC31E0">
              <w:rPr>
                <w:rFonts w:asciiTheme="minorHAnsi" w:hAnsiTheme="minorHAnsi"/>
              </w:rPr>
              <w:tab/>
            </w:r>
            <w:r w:rsidRPr="00BC31E0">
              <w:rPr>
                <w:rFonts w:asciiTheme="minorHAnsi" w:hAnsiTheme="minorHAnsi" w:hint="eastAsia"/>
              </w:rPr>
              <w:t>(</w:t>
            </w:r>
            <w:r w:rsidRPr="00BC31E0">
              <w:rPr>
                <w:rFonts w:asciiTheme="minorHAnsi" w:hAnsiTheme="minorHAnsi"/>
              </w:rPr>
              <w:t>9</w:t>
            </w:r>
            <w:r w:rsidRPr="00BC31E0">
              <w:rPr>
                <w:rFonts w:asciiTheme="minorHAnsi" w:hAnsiTheme="minorHAnsi" w:hint="eastAsia"/>
              </w:rPr>
              <w:t>)</w:t>
            </w:r>
          </w:p>
        </w:tc>
      </w:tr>
    </w:tbl>
    <w:p w14:paraId="6FADA242" w14:textId="77777777" w:rsidR="00FF57A8" w:rsidRPr="00BC31E0" w:rsidRDefault="00FF57A8" w:rsidP="00664259">
      <w:pPr>
        <w:pStyle w:val="15"/>
        <w:spacing w:before="120"/>
        <w:ind w:firstLine="210"/>
      </w:pPr>
      <m:oMath>
        <m:r>
          <w:rPr>
            <w:rFonts w:ascii="Cambria Math" w:hAnsi="Cambria Math"/>
          </w:rPr>
          <m:t xml:space="preserve">W </m:t>
        </m:r>
      </m:oMath>
      <w:r w:rsidRPr="00BC31E0">
        <w:rPr>
          <w:rFonts w:hint="eastAsia"/>
        </w:rPr>
        <w:t>は運転条件の場合は</w:t>
      </w:r>
      <w:r w:rsidRPr="00BC31E0">
        <w:rPr>
          <w:rFonts w:ascii="ＭＳ ゴシック" w:eastAsia="ＭＳ ゴシック" w:hAnsi="ＭＳ ゴシック" w:hint="eastAsia"/>
          <w:b/>
          <w:bCs/>
        </w:rPr>
        <w:t>式(</w:t>
      </w:r>
      <w:r w:rsidRPr="00BC31E0">
        <w:rPr>
          <w:rFonts w:ascii="ＭＳ ゴシック" w:eastAsia="ＭＳ ゴシック" w:hAnsi="ＭＳ ゴシック"/>
          <w:b/>
          <w:bCs/>
        </w:rPr>
        <w:t>3</w:t>
      </w:r>
      <w:r w:rsidRPr="00BC31E0">
        <w:rPr>
          <w:rFonts w:ascii="ＭＳ ゴシック" w:eastAsia="ＭＳ ゴシック" w:hAnsi="ＭＳ ゴシック" w:hint="eastAsia"/>
          <w:b/>
          <w:bCs/>
        </w:rPr>
        <w:t>)</w:t>
      </w:r>
      <w:r w:rsidRPr="00BC31E0">
        <w:rPr>
          <w:rFonts w:hAnsiTheme="minorEastAsia" w:hint="eastAsia"/>
        </w:rPr>
        <w:t>とし，初期締付条件の場合は</w:t>
      </w:r>
      <w:r w:rsidRPr="00BC31E0">
        <w:rPr>
          <w:rFonts w:ascii="ＭＳ ゴシック" w:eastAsia="ＭＳ ゴシック" w:hAnsi="ＭＳ ゴシック" w:hint="eastAsia"/>
          <w:b/>
          <w:bCs/>
        </w:rPr>
        <w:t>式(</w:t>
      </w:r>
      <w:r w:rsidRPr="00BC31E0">
        <w:rPr>
          <w:rFonts w:ascii="ＭＳ ゴシック" w:eastAsia="ＭＳ ゴシック" w:hAnsi="ＭＳ ゴシック"/>
          <w:b/>
          <w:bCs/>
        </w:rPr>
        <w:t>4)</w:t>
      </w:r>
      <w:r w:rsidRPr="00BC31E0">
        <w:rPr>
          <w:rFonts w:hAnsiTheme="minorEastAsia" w:hint="eastAsia"/>
        </w:rPr>
        <w:t>又は</w:t>
      </w:r>
      <w:r w:rsidRPr="00BC31E0">
        <w:rPr>
          <w:rFonts w:ascii="ＭＳ ゴシック" w:eastAsia="ＭＳ ゴシック" w:hAnsi="ＭＳ ゴシック" w:hint="eastAsia"/>
          <w:b/>
          <w:bCs/>
        </w:rPr>
        <w:t>式(</w:t>
      </w:r>
      <w:r w:rsidRPr="00BC31E0">
        <w:rPr>
          <w:rFonts w:ascii="ＭＳ ゴシック" w:eastAsia="ＭＳ ゴシック" w:hAnsi="ＭＳ ゴシック"/>
          <w:b/>
          <w:bCs/>
        </w:rPr>
        <w:t>5)</w:t>
      </w:r>
      <w:r w:rsidRPr="00BC31E0">
        <w:rPr>
          <w:rFonts w:hint="eastAsia"/>
        </w:rPr>
        <w:t>に示す値を使用する。</w:t>
      </w:r>
    </w:p>
    <w:p w14:paraId="7336BA21" w14:textId="77777777" w:rsidR="00FF57A8" w:rsidRPr="00BC31E0" w:rsidRDefault="00FF57A8" w:rsidP="00C56F11">
      <w:pPr>
        <w:autoSpaceDE w:val="0"/>
        <w:autoSpaceDN w:val="0"/>
      </w:pPr>
    </w:p>
    <w:p w14:paraId="158F8372" w14:textId="77777777" w:rsidR="00FF57A8" w:rsidRPr="00BC31E0" w:rsidRDefault="00FF57A8" w:rsidP="00664259">
      <w:pPr>
        <w:pStyle w:val="1f9"/>
        <w:numPr>
          <w:ilvl w:val="0"/>
          <w:numId w:val="2"/>
        </w:numPr>
        <w:adjustRightInd/>
        <w:snapToGrid/>
        <w:spacing w:line="240" w:lineRule="auto"/>
        <w:ind w:left="340" w:hanging="340"/>
      </w:pPr>
      <w:r w:rsidRPr="00BC31E0">
        <w:rPr>
          <w:rFonts w:hint="eastAsia"/>
        </w:rPr>
        <w:t>ハブの応力の計算</w:t>
      </w:r>
    </w:p>
    <w:p w14:paraId="3DB25ED7" w14:textId="77777777" w:rsidR="00FF57A8" w:rsidRPr="00BC31E0" w:rsidRDefault="00FF57A8" w:rsidP="002435BA">
      <w:pPr>
        <w:pStyle w:val="15"/>
        <w:ind w:firstLine="210"/>
      </w:pPr>
      <w:r w:rsidRPr="00BC31E0">
        <w:rPr>
          <w:rFonts w:hint="eastAsia"/>
        </w:rPr>
        <w:t>ハブの応力は，運転時と初期締付条件の両者によって決定され，次の</w:t>
      </w:r>
      <w:r w:rsidRPr="00BC31E0">
        <w:rPr>
          <w:rFonts w:ascii="ＭＳ ゴシック" w:eastAsia="ＭＳ ゴシック" w:hint="eastAsia"/>
          <w:b/>
        </w:rPr>
        <w:t>a)</w:t>
      </w:r>
      <w:r w:rsidRPr="00BC31E0">
        <w:rPr>
          <w:rFonts w:hint="eastAsia"/>
        </w:rPr>
        <w:t>，</w:t>
      </w:r>
      <w:r w:rsidRPr="00BC31E0">
        <w:rPr>
          <w:rFonts w:ascii="ＭＳ ゴシック" w:eastAsia="ＭＳ ゴシック" w:hint="eastAsia"/>
          <w:b/>
        </w:rPr>
        <w:t>b)</w:t>
      </w:r>
      <w:r w:rsidRPr="00BC31E0">
        <w:rPr>
          <w:rFonts w:hint="eastAsia"/>
        </w:rPr>
        <w:t>による。</w:t>
      </w:r>
    </w:p>
    <w:p w14:paraId="7EED414F" w14:textId="77777777" w:rsidR="00FF57A8" w:rsidRPr="00BC31E0" w:rsidRDefault="00FF57A8" w:rsidP="00736130">
      <w:pPr>
        <w:pStyle w:val="a4"/>
        <w:numPr>
          <w:ilvl w:val="0"/>
          <w:numId w:val="390"/>
        </w:numPr>
        <w:ind w:leftChars="0" w:left="454" w:hanging="454"/>
      </w:pPr>
      <w:r w:rsidRPr="00BC31E0">
        <w:rPr>
          <w:rFonts w:hint="eastAsia"/>
        </w:rPr>
        <w:t>ハブネックにおける反力モーメント</w:t>
      </w:r>
      <m:oMath>
        <m:sSub>
          <m:sSubPr>
            <m:ctrlPr>
              <w:rPr>
                <w:rFonts w:ascii="Cambria Math" w:hAnsi="Cambria Math"/>
                <w:i/>
              </w:rPr>
            </m:ctrlPr>
          </m:sSubPr>
          <m:e>
            <m:r>
              <w:rPr>
                <w:rFonts w:ascii="Cambria Math" w:hAnsi="Cambria Math"/>
              </w:rPr>
              <m:t xml:space="preserve"> M</m:t>
            </m:r>
          </m:e>
          <m:sub>
            <m:r>
              <w:rPr>
                <w:rFonts w:ascii="Cambria Math" w:hAnsi="Cambria Math"/>
              </w:rPr>
              <m:t>H</m:t>
            </m:r>
          </m:sub>
        </m:sSub>
        <m:r>
          <w:rPr>
            <w:rFonts w:ascii="Cambria Math" w:hAnsi="Cambria Math"/>
          </w:rPr>
          <m:t xml:space="preserve"> </m:t>
        </m:r>
      </m:oMath>
      <w:r w:rsidRPr="00BC31E0">
        <w:rPr>
          <w:rFonts w:hint="eastAsia"/>
        </w:rPr>
        <w:t>と反力せん断力</w:t>
      </w:r>
      <m:oMath>
        <m:r>
          <m:rPr>
            <m:sty m:val="p"/>
          </m:rPr>
          <w:rPr>
            <w:rFonts w:ascii="Cambria Math" w:hAnsi="Cambria Math"/>
          </w:rPr>
          <m:t xml:space="preserve"> </m:t>
        </m:r>
        <m:r>
          <w:rPr>
            <w:rFonts w:ascii="Cambria Math" w:hAnsi="Cambria Math"/>
          </w:rPr>
          <m:t xml:space="preserve">Q </m:t>
        </m:r>
      </m:oMath>
      <w:r w:rsidRPr="00BC31E0">
        <w:rPr>
          <w:rFonts w:hint="eastAsia"/>
        </w:rPr>
        <w:t>は，それぞれ</w:t>
      </w:r>
      <w:r w:rsidRPr="00BC31E0">
        <w:rPr>
          <w:rFonts w:asciiTheme="majorEastAsia" w:eastAsiaTheme="majorEastAsia" w:hAnsiTheme="majorEastAsia" w:hint="eastAsia"/>
          <w:b/>
        </w:rPr>
        <w:t>式</w:t>
      </w:r>
      <w:r w:rsidRPr="00BC31E0">
        <w:rPr>
          <w:rFonts w:asciiTheme="majorEastAsia" w:eastAsiaTheme="majorEastAsia" w:hAnsiTheme="majorEastAsia"/>
          <w:b/>
        </w:rPr>
        <w:t>(10)</w:t>
      </w:r>
      <w:r w:rsidRPr="00BC31E0">
        <w:rPr>
          <w:rFonts w:hint="eastAsia"/>
        </w:rPr>
        <w:t>及び</w:t>
      </w:r>
      <w:r w:rsidRPr="00BC31E0">
        <w:rPr>
          <w:rFonts w:asciiTheme="majorEastAsia" w:eastAsiaTheme="majorEastAsia" w:hAnsiTheme="majorEastAsia" w:hint="eastAsia"/>
          <w:b/>
        </w:rPr>
        <w:t>式</w:t>
      </w:r>
      <w:r w:rsidRPr="00BC31E0">
        <w:rPr>
          <w:rFonts w:asciiTheme="majorEastAsia" w:eastAsiaTheme="majorEastAsia" w:hAnsiTheme="majorEastAsia"/>
          <w:b/>
        </w:rPr>
        <w:t>(11)</w:t>
      </w:r>
      <w:r w:rsidRPr="00BC31E0">
        <w:rPr>
          <w:rFonts w:hint="eastAsia"/>
        </w:rPr>
        <w:t>で求める値とする。</w:t>
      </w:r>
    </w:p>
    <w:tbl>
      <w:tblPr>
        <w:tblStyle w:val="afff2"/>
        <w:tblW w:w="0" w:type="auto"/>
        <w:tblInd w:w="2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2410"/>
        <w:gridCol w:w="3116"/>
      </w:tblGrid>
      <w:tr w:rsidR="00FF57A8" w:rsidRPr="00BC31E0" w14:paraId="35406C9E" w14:textId="77777777" w:rsidTr="004736F2">
        <w:tc>
          <w:tcPr>
            <w:tcW w:w="3827" w:type="dxa"/>
            <w:gridSpan w:val="2"/>
            <w:tcMar>
              <w:left w:w="0" w:type="dxa"/>
              <w:right w:w="0" w:type="dxa"/>
            </w:tcMar>
            <w:vAlign w:val="center"/>
          </w:tcPr>
          <w:p w14:paraId="6EEF606B" w14:textId="77777777" w:rsidR="00FF57A8" w:rsidRPr="00BC31E0" w:rsidRDefault="00A51873" w:rsidP="004736F2">
            <w:pPr>
              <w:tabs>
                <w:tab w:val="left" w:pos="2127"/>
                <w:tab w:val="left" w:leader="middleDot" w:pos="8505"/>
              </w:tabs>
              <w:autoSpaceDE w:val="0"/>
              <w:autoSpaceDN w:val="0"/>
              <w:jc w:val="left"/>
              <w:rPr>
                <w:rFonts w:asciiTheme="minorHAnsi" w:hAnsiTheme="minorHAnsi"/>
                <w:bCs/>
                <w:i/>
              </w:rPr>
            </w:pPr>
            <m:oMathPara>
              <m:oMathParaPr>
                <m:jc m:val="left"/>
              </m:oMathParaPr>
              <m:oMath>
                <m:sSub>
                  <m:sSubPr>
                    <m:ctrlPr>
                      <w:rPr>
                        <w:rFonts w:ascii="Cambria Math" w:hAnsi="Cambria Math"/>
                        <w:bCs/>
                        <w:i/>
                      </w:rPr>
                    </m:ctrlPr>
                  </m:sSubPr>
                  <m:e>
                    <m:r>
                      <w:rPr>
                        <w:rFonts w:ascii="Cambria Math" w:hAnsi="Cambria Math"/>
                      </w:rPr>
                      <m:t>M</m:t>
                    </m:r>
                  </m:e>
                  <m:sub>
                    <m:r>
                      <w:rPr>
                        <w:rFonts w:ascii="Cambria Math" w:hAnsi="Cambria Math"/>
                      </w:rPr>
                      <m:t>H</m:t>
                    </m:r>
                  </m:sub>
                </m:sSub>
                <m:r>
                  <w:rPr>
                    <w:rFonts w:ascii="Cambria Math" w:hAnsi="Cambria Math"/>
                  </w:rPr>
                  <m:t>=</m:t>
                </m:r>
                <m:f>
                  <m:fPr>
                    <m:ctrlPr>
                      <w:rPr>
                        <w:rFonts w:ascii="Cambria Math" w:hAnsi="Cambria Math"/>
                        <w:bCs/>
                        <w:i/>
                      </w:rPr>
                    </m:ctrlPr>
                  </m:fPr>
                  <m:num>
                    <m:sSub>
                      <m:sSubPr>
                        <m:ctrlPr>
                          <w:rPr>
                            <w:rFonts w:ascii="Cambria Math" w:hAnsi="Cambria Math"/>
                            <w:bCs/>
                            <w:i/>
                          </w:rPr>
                        </m:ctrlPr>
                      </m:sSubPr>
                      <m:e>
                        <m:r>
                          <w:rPr>
                            <w:rFonts w:ascii="Cambria Math" w:hAnsi="Cambria Math"/>
                          </w:rPr>
                          <m:t>M</m:t>
                        </m:r>
                      </m:e>
                      <m:sub>
                        <m:r>
                          <w:rPr>
                            <w:rFonts w:ascii="Cambria Math" w:hAnsi="Cambria Math"/>
                          </w:rPr>
                          <m:t>O</m:t>
                        </m:r>
                      </m:sub>
                    </m:sSub>
                  </m:num>
                  <m:den>
                    <m:r>
                      <w:rPr>
                        <w:rFonts w:ascii="Cambria Math" w:hAnsi="Cambria Math"/>
                      </w:rPr>
                      <m:t>1+</m:t>
                    </m:r>
                    <m:f>
                      <m:fPr>
                        <m:ctrlPr>
                          <w:rPr>
                            <w:rFonts w:ascii="Cambria Math" w:hAnsi="Cambria Math"/>
                            <w:bCs/>
                            <w:i/>
                          </w:rPr>
                        </m:ctrlPr>
                      </m:fPr>
                      <m:num>
                        <m:r>
                          <w:rPr>
                            <w:rFonts w:ascii="Cambria Math" w:hAnsi="Cambria Math"/>
                          </w:rPr>
                          <m:t>1.818</m:t>
                        </m:r>
                      </m:num>
                      <m:den>
                        <m:rad>
                          <m:radPr>
                            <m:degHide m:val="1"/>
                            <m:ctrlPr>
                              <w:rPr>
                                <w:rFonts w:ascii="Cambria Math" w:hAnsi="Cambria Math"/>
                                <w:bCs/>
                                <w:i/>
                              </w:rPr>
                            </m:ctrlPr>
                          </m:radPr>
                          <m:deg/>
                          <m:e>
                            <m:r>
                              <w:rPr>
                                <w:rFonts w:ascii="Cambria Math" w:hAnsi="Cambria Math"/>
                              </w:rPr>
                              <m:t xml:space="preserve">B </m:t>
                            </m:r>
                            <m:sSub>
                              <m:sSubPr>
                                <m:ctrlPr>
                                  <w:rPr>
                                    <w:rFonts w:ascii="Cambria Math" w:hAnsi="Cambria Math"/>
                                    <w:bCs/>
                                    <w:i/>
                                  </w:rPr>
                                </m:ctrlPr>
                              </m:sSubPr>
                              <m:e>
                                <m:r>
                                  <w:rPr>
                                    <w:rFonts w:ascii="Cambria Math" w:hAnsi="Cambria Math"/>
                                  </w:rPr>
                                  <m:t>g</m:t>
                                </m:r>
                              </m:e>
                              <m:sub>
                                <m:r>
                                  <w:rPr>
                                    <w:rFonts w:ascii="Cambria Math" w:hAnsi="Cambria Math"/>
                                  </w:rPr>
                                  <m:t>1</m:t>
                                </m:r>
                              </m:sub>
                            </m:sSub>
                          </m:e>
                        </m:rad>
                      </m:den>
                    </m:f>
                    <m:r>
                      <w:rPr>
                        <w:rFonts w:ascii="Cambria Math" w:hAnsi="Cambria Math"/>
                      </w:rPr>
                      <m:t xml:space="preserve"> </m:t>
                    </m:r>
                    <m:d>
                      <m:dPr>
                        <m:begChr m:val="{"/>
                        <m:endChr m:val="}"/>
                        <m:ctrlPr>
                          <w:rPr>
                            <w:rFonts w:ascii="Cambria Math" w:hAnsi="Cambria Math"/>
                            <w:bCs/>
                            <w:i/>
                          </w:rPr>
                        </m:ctrlPr>
                      </m:dPr>
                      <m:e>
                        <m:r>
                          <w:rPr>
                            <w:rFonts w:ascii="Cambria Math" w:hAnsi="Cambria Math"/>
                          </w:rPr>
                          <m:t>T-</m:t>
                        </m:r>
                        <m:bar>
                          <m:barPr>
                            <m:pos m:val="top"/>
                            <m:ctrlPr>
                              <w:rPr>
                                <w:rFonts w:ascii="Cambria Math" w:hAnsi="Cambria Math"/>
                                <w:bCs/>
                                <w:i/>
                              </w:rPr>
                            </m:ctrlPr>
                          </m:barPr>
                          <m:e>
                            <m:r>
                              <w:rPr>
                                <w:rFonts w:ascii="Cambria Math" w:hAnsi="Cambria Math"/>
                              </w:rPr>
                              <m:t>h</m:t>
                            </m:r>
                          </m:e>
                        </m:bar>
                        <m:r>
                          <w:rPr>
                            <w:rFonts w:ascii="Cambria Math" w:hAnsi="Cambria Math"/>
                          </w:rPr>
                          <m:t>+</m:t>
                        </m:r>
                        <m:f>
                          <m:fPr>
                            <m:ctrlPr>
                              <w:rPr>
                                <w:rFonts w:ascii="Cambria Math" w:hAnsi="Cambria Math"/>
                                <w:bCs/>
                                <w:i/>
                              </w:rPr>
                            </m:ctrlPr>
                          </m:fPr>
                          <m:num>
                            <m:r>
                              <w:rPr>
                                <w:rFonts w:ascii="Cambria Math" w:hAnsi="Cambria Math"/>
                              </w:rPr>
                              <m:t xml:space="preserve">3.305 </m:t>
                            </m:r>
                            <m:sSub>
                              <m:sSubPr>
                                <m:ctrlPr>
                                  <w:rPr>
                                    <w:rFonts w:ascii="Cambria Math" w:hAnsi="Cambria Math"/>
                                    <w:bCs/>
                                    <w:i/>
                                  </w:rPr>
                                </m:ctrlPr>
                              </m:sSubPr>
                              <m:e>
                                <m:r>
                                  <w:rPr>
                                    <w:rFonts w:ascii="Cambria Math" w:hAnsi="Cambria Math"/>
                                  </w:rPr>
                                  <m:t>I</m:t>
                                </m:r>
                              </m:e>
                              <m:sub>
                                <m:r>
                                  <w:rPr>
                                    <w:rFonts w:ascii="Cambria Math" w:hAnsi="Cambria Math"/>
                                  </w:rPr>
                                  <m:t>h</m:t>
                                </m:r>
                              </m:sub>
                            </m:sSub>
                          </m:num>
                          <m:den>
                            <m:sSup>
                              <m:sSupPr>
                                <m:ctrlPr>
                                  <w:rPr>
                                    <w:rFonts w:ascii="Cambria Math" w:hAnsi="Cambria Math"/>
                                    <w:bCs/>
                                    <w:i/>
                                  </w:rPr>
                                </m:ctrlPr>
                              </m:sSupPr>
                              <m:e>
                                <m:sSub>
                                  <m:sSubPr>
                                    <m:ctrlPr>
                                      <w:rPr>
                                        <w:rFonts w:ascii="Cambria Math" w:hAnsi="Cambria Math"/>
                                        <w:bCs/>
                                        <w:i/>
                                      </w:rPr>
                                    </m:ctrlPr>
                                  </m:sSubPr>
                                  <m:e>
                                    <m:r>
                                      <w:rPr>
                                        <w:rFonts w:ascii="Cambria Math" w:hAnsi="Cambria Math"/>
                                      </w:rPr>
                                      <m:t>g</m:t>
                                    </m:r>
                                  </m:e>
                                  <m:sub>
                                    <m:r>
                                      <w:rPr>
                                        <w:rFonts w:ascii="Cambria Math" w:hAnsi="Cambria Math"/>
                                      </w:rPr>
                                      <m:t>1</m:t>
                                    </m:r>
                                  </m:sub>
                                </m:sSub>
                              </m:e>
                              <m:sup>
                                <m:r>
                                  <w:rPr>
                                    <w:rFonts w:ascii="Cambria Math" w:hAnsi="Cambria Math"/>
                                  </w:rPr>
                                  <m:t xml:space="preserve">2 </m:t>
                                </m:r>
                              </m:sup>
                            </m:sSup>
                            <m:d>
                              <m:dPr>
                                <m:ctrlPr>
                                  <w:rPr>
                                    <w:rFonts w:ascii="Cambria Math" w:hAnsi="Cambria Math"/>
                                    <w:bCs/>
                                    <w:i/>
                                  </w:rPr>
                                </m:ctrlPr>
                              </m:dPr>
                              <m:e>
                                <m:f>
                                  <m:fPr>
                                    <m:type m:val="lin"/>
                                    <m:ctrlPr>
                                      <w:rPr>
                                        <w:rFonts w:ascii="Cambria Math" w:hAnsi="Cambria Math"/>
                                        <w:bCs/>
                                        <w:i/>
                                      </w:rPr>
                                    </m:ctrlPr>
                                  </m:fPr>
                                  <m:num>
                                    <m:r>
                                      <w:rPr>
                                        <w:rFonts w:ascii="Cambria Math" w:hAnsi="Cambria Math"/>
                                      </w:rPr>
                                      <m:t>B</m:t>
                                    </m:r>
                                  </m:num>
                                  <m:den>
                                    <m:r>
                                      <w:rPr>
                                        <w:rFonts w:ascii="Cambria Math" w:hAnsi="Cambria Math"/>
                                      </w:rPr>
                                      <m:t>2</m:t>
                                    </m:r>
                                  </m:den>
                                </m:f>
                                <m:r>
                                  <w:rPr>
                                    <w:rFonts w:ascii="Cambria Math" w:hAnsi="Cambria Math"/>
                                  </w:rPr>
                                  <m:t>+</m:t>
                                </m:r>
                                <m:bar>
                                  <m:barPr>
                                    <m:pos m:val="top"/>
                                    <m:ctrlPr>
                                      <w:rPr>
                                        <w:rFonts w:ascii="Cambria Math" w:hAnsi="Cambria Math"/>
                                        <w:bCs/>
                                        <w:i/>
                                      </w:rPr>
                                    </m:ctrlPr>
                                  </m:barPr>
                                  <m:e>
                                    <m:r>
                                      <w:rPr>
                                        <w:rFonts w:ascii="Cambria Math" w:hAnsi="Cambria Math"/>
                                      </w:rPr>
                                      <m:t>g</m:t>
                                    </m:r>
                                  </m:e>
                                </m:bar>
                              </m:e>
                            </m:d>
                          </m:den>
                        </m:f>
                      </m:e>
                    </m:d>
                  </m:den>
                </m:f>
              </m:oMath>
            </m:oMathPara>
          </w:p>
        </w:tc>
        <w:tc>
          <w:tcPr>
            <w:tcW w:w="3116" w:type="dxa"/>
            <w:tcMar>
              <w:left w:w="0" w:type="dxa"/>
              <w:right w:w="0" w:type="dxa"/>
            </w:tcMar>
            <w:vAlign w:val="center"/>
          </w:tcPr>
          <w:p w14:paraId="7052D849" w14:textId="77777777" w:rsidR="00FF57A8" w:rsidRPr="00BC31E0" w:rsidRDefault="00FF57A8" w:rsidP="004736F2">
            <w:pPr>
              <w:tabs>
                <w:tab w:val="left" w:leader="middleDot" w:pos="2551"/>
              </w:tabs>
              <w:autoSpaceDE w:val="0"/>
              <w:autoSpaceDN w:val="0"/>
              <w:jc w:val="left"/>
              <w:rPr>
                <w:rFonts w:asciiTheme="minorHAnsi" w:hAnsiTheme="minorHAnsi"/>
                <w:bCs/>
              </w:rPr>
            </w:pPr>
            <w:r w:rsidRPr="00BC31E0">
              <w:rPr>
                <w:rFonts w:asciiTheme="minorHAnsi" w:hAnsiTheme="minorHAnsi" w:hint="eastAsia"/>
                <w:bCs/>
              </w:rPr>
              <w:tab/>
              <w:t>(</w:t>
            </w:r>
            <w:r w:rsidRPr="00BC31E0">
              <w:rPr>
                <w:rFonts w:asciiTheme="minorHAnsi" w:hAnsiTheme="minorHAnsi"/>
                <w:bCs/>
              </w:rPr>
              <w:t>10</w:t>
            </w:r>
            <w:r w:rsidRPr="00BC31E0">
              <w:rPr>
                <w:rFonts w:asciiTheme="minorHAnsi" w:hAnsiTheme="minorHAnsi" w:hint="eastAsia"/>
                <w:bCs/>
              </w:rPr>
              <w:t>)</w:t>
            </w:r>
          </w:p>
        </w:tc>
      </w:tr>
      <w:tr w:rsidR="00FF57A8" w:rsidRPr="00BC31E0" w14:paraId="488183A6" w14:textId="77777777" w:rsidTr="004736F2">
        <w:tc>
          <w:tcPr>
            <w:tcW w:w="1417" w:type="dxa"/>
            <w:tcMar>
              <w:left w:w="0" w:type="dxa"/>
              <w:right w:w="0" w:type="dxa"/>
            </w:tcMar>
            <w:vAlign w:val="center"/>
          </w:tcPr>
          <w:p w14:paraId="0393CC3C" w14:textId="77777777" w:rsidR="00FF57A8" w:rsidRPr="00BC31E0" w:rsidRDefault="00FF57A8" w:rsidP="008827B7">
            <w:pPr>
              <w:tabs>
                <w:tab w:val="left" w:pos="2127"/>
                <w:tab w:val="left" w:leader="middleDot" w:pos="8505"/>
              </w:tabs>
              <w:autoSpaceDE w:val="0"/>
              <w:autoSpaceDN w:val="0"/>
              <w:spacing w:before="120"/>
              <w:jc w:val="left"/>
              <w:rPr>
                <w:rFonts w:asciiTheme="minorHAnsi" w:hAnsiTheme="minorHAnsi"/>
                <w:bCs/>
                <w:i/>
              </w:rPr>
            </w:pPr>
            <m:oMathPara>
              <m:oMathParaPr>
                <m:jc m:val="left"/>
              </m:oMathParaPr>
              <m:oMath>
                <m:r>
                  <w:rPr>
                    <w:rFonts w:ascii="Cambria Math" w:hAnsi="Cambria Math"/>
                  </w:rPr>
                  <m:t>Q=</m:t>
                </m:r>
                <m:f>
                  <m:fPr>
                    <m:ctrlPr>
                      <w:rPr>
                        <w:rFonts w:ascii="Cambria Math" w:hAnsi="Cambria Math"/>
                        <w:bCs/>
                        <w:i/>
                      </w:rPr>
                    </m:ctrlPr>
                  </m:fPr>
                  <m:num>
                    <m:r>
                      <w:rPr>
                        <w:rFonts w:ascii="Cambria Math" w:hAnsi="Cambria Math"/>
                      </w:rPr>
                      <m:t xml:space="preserve">1.818 </m:t>
                    </m:r>
                    <m:sSub>
                      <m:sSubPr>
                        <m:ctrlPr>
                          <w:rPr>
                            <w:rFonts w:ascii="Cambria Math" w:hAnsi="Cambria Math"/>
                            <w:bCs/>
                            <w:i/>
                          </w:rPr>
                        </m:ctrlPr>
                      </m:sSubPr>
                      <m:e>
                        <m:r>
                          <w:rPr>
                            <w:rFonts w:ascii="Cambria Math" w:hAnsi="Cambria Math"/>
                          </w:rPr>
                          <m:t>M</m:t>
                        </m:r>
                      </m:e>
                      <m:sub>
                        <m:r>
                          <w:rPr>
                            <w:rFonts w:ascii="Cambria Math" w:hAnsi="Cambria Math"/>
                          </w:rPr>
                          <m:t>H</m:t>
                        </m:r>
                      </m:sub>
                    </m:sSub>
                  </m:num>
                  <m:den>
                    <m:rad>
                      <m:radPr>
                        <m:degHide m:val="1"/>
                        <m:ctrlPr>
                          <w:rPr>
                            <w:rFonts w:ascii="Cambria Math" w:hAnsi="Cambria Math"/>
                            <w:bCs/>
                            <w:i/>
                          </w:rPr>
                        </m:ctrlPr>
                      </m:radPr>
                      <m:deg/>
                      <m:e>
                        <m:r>
                          <w:rPr>
                            <w:rFonts w:ascii="Cambria Math" w:hAnsi="Cambria Math"/>
                          </w:rPr>
                          <m:t xml:space="preserve">B </m:t>
                        </m:r>
                        <m:sSub>
                          <m:sSubPr>
                            <m:ctrlPr>
                              <w:rPr>
                                <w:rFonts w:ascii="Cambria Math" w:hAnsi="Cambria Math"/>
                                <w:bCs/>
                                <w:i/>
                              </w:rPr>
                            </m:ctrlPr>
                          </m:sSubPr>
                          <m:e>
                            <m:r>
                              <w:rPr>
                                <w:rFonts w:ascii="Cambria Math" w:hAnsi="Cambria Math"/>
                              </w:rPr>
                              <m:t>g</m:t>
                            </m:r>
                          </m:e>
                          <m:sub>
                            <m:r>
                              <w:rPr>
                                <w:rFonts w:ascii="Cambria Math" w:hAnsi="Cambria Math"/>
                              </w:rPr>
                              <m:t>1</m:t>
                            </m:r>
                          </m:sub>
                        </m:sSub>
                      </m:e>
                    </m:rad>
                  </m:den>
                </m:f>
              </m:oMath>
            </m:oMathPara>
          </w:p>
        </w:tc>
        <w:tc>
          <w:tcPr>
            <w:tcW w:w="5526" w:type="dxa"/>
            <w:gridSpan w:val="2"/>
            <w:tcMar>
              <w:left w:w="0" w:type="dxa"/>
              <w:right w:w="0" w:type="dxa"/>
            </w:tcMar>
            <w:vAlign w:val="center"/>
          </w:tcPr>
          <w:p w14:paraId="580EBD50" w14:textId="77777777" w:rsidR="00FF57A8" w:rsidRPr="00BC31E0" w:rsidRDefault="00FF57A8" w:rsidP="008827B7">
            <w:pPr>
              <w:tabs>
                <w:tab w:val="left" w:leader="middleDot" w:pos="4961"/>
              </w:tabs>
              <w:autoSpaceDE w:val="0"/>
              <w:autoSpaceDN w:val="0"/>
              <w:spacing w:before="120"/>
              <w:jc w:val="left"/>
              <w:rPr>
                <w:rFonts w:asciiTheme="minorHAnsi" w:hAnsiTheme="minorHAnsi"/>
                <w:bCs/>
              </w:rPr>
            </w:pPr>
            <w:r w:rsidRPr="00BC31E0">
              <w:rPr>
                <w:rFonts w:asciiTheme="minorHAnsi" w:hAnsiTheme="minorHAnsi" w:hint="eastAsia"/>
                <w:bCs/>
              </w:rPr>
              <w:tab/>
              <w:t>(1</w:t>
            </w:r>
            <w:r w:rsidRPr="00BC31E0">
              <w:rPr>
                <w:rFonts w:asciiTheme="minorHAnsi" w:hAnsiTheme="minorHAnsi"/>
                <w:bCs/>
              </w:rPr>
              <w:t>1</w:t>
            </w:r>
            <w:r w:rsidRPr="00BC31E0">
              <w:rPr>
                <w:rFonts w:asciiTheme="minorHAnsi" w:hAnsiTheme="minorHAnsi" w:hint="eastAsia"/>
                <w:bCs/>
              </w:rPr>
              <w:t>)</w:t>
            </w:r>
          </w:p>
        </w:tc>
      </w:tr>
    </w:tbl>
    <w:p w14:paraId="2BA44C20" w14:textId="77777777" w:rsidR="00FF57A8" w:rsidRPr="00BC31E0" w:rsidRDefault="00FF57A8" w:rsidP="00736130">
      <w:pPr>
        <w:pStyle w:val="a4"/>
        <w:numPr>
          <w:ilvl w:val="0"/>
          <w:numId w:val="391"/>
        </w:numPr>
        <w:spacing w:before="120"/>
        <w:ind w:leftChars="0" w:left="454" w:hanging="454"/>
      </w:pPr>
      <w:r w:rsidRPr="00BC31E0">
        <w:rPr>
          <w:rFonts w:hint="eastAsia"/>
        </w:rPr>
        <w:t>ハブの応力は，</w:t>
      </w:r>
      <w:r w:rsidRPr="00BC31E0">
        <w:rPr>
          <w:rFonts w:asciiTheme="majorEastAsia" w:eastAsiaTheme="majorEastAsia" w:hAnsiTheme="majorEastAsia" w:hint="eastAsia"/>
          <w:b/>
        </w:rPr>
        <w:t>式</w:t>
      </w:r>
      <w:r w:rsidRPr="00BC31E0">
        <w:rPr>
          <w:rFonts w:asciiTheme="majorEastAsia" w:eastAsiaTheme="majorEastAsia" w:hAnsiTheme="majorEastAsia"/>
          <w:b/>
        </w:rPr>
        <w:t>(12)</w:t>
      </w:r>
      <w:r w:rsidRPr="00BC31E0">
        <w:rPr>
          <w:rFonts w:hint="eastAsia"/>
        </w:rPr>
        <w:t>～</w:t>
      </w:r>
      <w:r w:rsidRPr="00BC31E0">
        <w:rPr>
          <w:rFonts w:asciiTheme="majorEastAsia" w:eastAsiaTheme="majorEastAsia" w:hAnsiTheme="majorEastAsia" w:hint="eastAsia"/>
          <w:b/>
        </w:rPr>
        <w:t>式</w:t>
      </w:r>
      <w:r w:rsidRPr="00BC31E0">
        <w:rPr>
          <w:rFonts w:asciiTheme="majorEastAsia" w:eastAsiaTheme="majorEastAsia" w:hAnsiTheme="majorEastAsia"/>
          <w:b/>
        </w:rPr>
        <w:t>(15)</w:t>
      </w:r>
      <w:r w:rsidRPr="00BC31E0">
        <w:rPr>
          <w:rFonts w:hint="eastAsia"/>
        </w:rPr>
        <w:t>で求める値とする。</w:t>
      </w:r>
    </w:p>
    <w:p w14:paraId="590932C7" w14:textId="77777777" w:rsidR="00FF57A8" w:rsidRPr="00BC31E0" w:rsidRDefault="00FF57A8" w:rsidP="00FF57A8">
      <w:pPr>
        <w:autoSpaceDE w:val="0"/>
        <w:autoSpaceDN w:val="0"/>
        <w:spacing w:before="120" w:after="120"/>
        <w:ind w:left="454"/>
      </w:pPr>
      <w:r w:rsidRPr="00BC31E0">
        <w:rPr>
          <w:rFonts w:hint="eastAsia"/>
        </w:rPr>
        <w:t>ハブネック外側における長手方向応力</w:t>
      </w:r>
    </w:p>
    <w:tbl>
      <w:tblPr>
        <w:tblStyle w:val="afff2"/>
        <w:tblW w:w="6945" w:type="dxa"/>
        <w:tblInd w:w="2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3445"/>
      </w:tblGrid>
      <w:tr w:rsidR="00FF57A8" w:rsidRPr="00BC31E0" w14:paraId="5128132E" w14:textId="77777777" w:rsidTr="004736F2">
        <w:tc>
          <w:tcPr>
            <w:tcW w:w="0" w:type="auto"/>
            <w:tcMar>
              <w:left w:w="0" w:type="dxa"/>
              <w:right w:w="0" w:type="dxa"/>
            </w:tcMar>
            <w:vAlign w:val="center"/>
          </w:tcPr>
          <w:p w14:paraId="50EDDD40" w14:textId="77777777" w:rsidR="00FF57A8" w:rsidRPr="00BC31E0" w:rsidRDefault="00A51873" w:rsidP="004736F2">
            <w:pPr>
              <w:tabs>
                <w:tab w:val="left" w:pos="2127"/>
                <w:tab w:val="left" w:leader="middleDot" w:pos="8505"/>
              </w:tabs>
              <w:autoSpaceDE w:val="0"/>
              <w:autoSpaceDN w:val="0"/>
              <w:jc w:val="left"/>
              <w:rPr>
                <w:rFonts w:asciiTheme="minorHAnsi" w:hAnsiTheme="minorHAnsi"/>
                <w:bCs/>
                <w:i/>
              </w:rPr>
            </w:pPr>
            <m:oMathPara>
              <m:oMathParaPr>
                <m:jc m:val="left"/>
              </m:oMathParaPr>
              <m:oMath>
                <m:sSub>
                  <m:sSubPr>
                    <m:ctrlPr>
                      <w:rPr>
                        <w:rFonts w:ascii="Cambria Math" w:hAnsi="Cambria Math"/>
                        <w:bCs/>
                        <w:i/>
                      </w:rPr>
                    </m:ctrlPr>
                  </m:sSubPr>
                  <m:e>
                    <m:r>
                      <w:rPr>
                        <w:rFonts w:ascii="Cambria Math" w:hAnsi="Cambria Math"/>
                      </w:rPr>
                      <m:t>S</m:t>
                    </m:r>
                  </m:e>
                  <m:sub>
                    <m:r>
                      <w:rPr>
                        <w:rFonts w:ascii="Cambria Math" w:hAnsi="Cambria Math"/>
                      </w:rPr>
                      <m:t>1</m:t>
                    </m:r>
                  </m:sub>
                </m:sSub>
                <m:r>
                  <w:rPr>
                    <w:rFonts w:ascii="Cambria Math" w:hAnsi="Cambria Math"/>
                  </w:rPr>
                  <m:t>=f</m:t>
                </m:r>
                <m:d>
                  <m:dPr>
                    <m:begChr m:val="{"/>
                    <m:endChr m:val="}"/>
                    <m:ctrlPr>
                      <w:rPr>
                        <w:rFonts w:ascii="Cambria Math" w:hAnsi="Cambria Math"/>
                        <w:bCs/>
                        <w:i/>
                      </w:rPr>
                    </m:ctrlPr>
                  </m:dPr>
                  <m:e>
                    <m:f>
                      <m:fPr>
                        <m:ctrlPr>
                          <w:rPr>
                            <w:rFonts w:ascii="Cambria Math" w:hAnsi="Cambria Math"/>
                            <w:bCs/>
                            <w:i/>
                          </w:rPr>
                        </m:ctrlPr>
                      </m:fPr>
                      <m:num>
                        <m:r>
                          <w:rPr>
                            <w:rFonts w:ascii="Cambria Math" w:hAnsi="Cambria Math"/>
                          </w:rPr>
                          <m:t xml:space="preserve">P </m:t>
                        </m:r>
                        <m:sSup>
                          <m:sSupPr>
                            <m:ctrlPr>
                              <w:rPr>
                                <w:rFonts w:ascii="Cambria Math" w:hAnsi="Cambria Math"/>
                                <w:bCs/>
                                <w:i/>
                              </w:rPr>
                            </m:ctrlPr>
                          </m:sSupPr>
                          <m:e>
                            <m:r>
                              <w:rPr>
                                <w:rFonts w:ascii="Cambria Math" w:hAnsi="Cambria Math"/>
                              </w:rPr>
                              <m:t>B</m:t>
                            </m:r>
                          </m:e>
                          <m:sup>
                            <m:r>
                              <w:rPr>
                                <w:rFonts w:ascii="Cambria Math" w:hAnsi="Cambria Math"/>
                              </w:rPr>
                              <m:t>2</m:t>
                            </m:r>
                          </m:sup>
                        </m:sSup>
                      </m:num>
                      <m:den>
                        <m:r>
                          <w:rPr>
                            <w:rFonts w:ascii="Cambria Math" w:hAnsi="Cambria Math"/>
                          </w:rPr>
                          <m:t xml:space="preserve">4 </m:t>
                        </m:r>
                        <m:sSub>
                          <m:sSubPr>
                            <m:ctrlPr>
                              <w:rPr>
                                <w:rFonts w:ascii="Cambria Math" w:hAnsi="Cambria Math"/>
                                <w:bCs/>
                                <w:i/>
                              </w:rPr>
                            </m:ctrlPr>
                          </m:sSubPr>
                          <m:e>
                            <m:r>
                              <w:rPr>
                                <w:rFonts w:ascii="Cambria Math" w:hAnsi="Cambria Math"/>
                              </w:rPr>
                              <m:t>g</m:t>
                            </m:r>
                          </m:e>
                          <m:sub>
                            <m:r>
                              <w:rPr>
                                <w:rFonts w:ascii="Cambria Math" w:hAnsi="Cambria Math"/>
                              </w:rPr>
                              <m:t>1</m:t>
                            </m:r>
                          </m:sub>
                        </m:sSub>
                        <m:d>
                          <m:dPr>
                            <m:ctrlPr>
                              <w:rPr>
                                <w:rFonts w:ascii="Cambria Math" w:hAnsi="Cambria Math"/>
                                <w:bCs/>
                                <w:i/>
                              </w:rPr>
                            </m:ctrlPr>
                          </m:dPr>
                          <m:e>
                            <m:r>
                              <w:rPr>
                                <w:rFonts w:ascii="Cambria Math" w:hAnsi="Cambria Math"/>
                              </w:rPr>
                              <m:t>B+</m:t>
                            </m:r>
                            <m:sSub>
                              <m:sSubPr>
                                <m:ctrlPr>
                                  <w:rPr>
                                    <w:rFonts w:ascii="Cambria Math" w:hAnsi="Cambria Math"/>
                                    <w:bCs/>
                                    <w:i/>
                                  </w:rPr>
                                </m:ctrlPr>
                              </m:sSubPr>
                              <m:e>
                                <m:r>
                                  <w:rPr>
                                    <w:rFonts w:ascii="Cambria Math" w:hAnsi="Cambria Math"/>
                                  </w:rPr>
                                  <m:t>g</m:t>
                                </m:r>
                              </m:e>
                              <m:sub>
                                <m:r>
                                  <w:rPr>
                                    <w:rFonts w:ascii="Cambria Math" w:hAnsi="Cambria Math"/>
                                  </w:rPr>
                                  <m:t>1</m:t>
                                </m:r>
                              </m:sub>
                            </m:sSub>
                          </m:e>
                        </m:d>
                      </m:den>
                    </m:f>
                    <m:r>
                      <w:rPr>
                        <w:rFonts w:ascii="Cambria Math" w:hAnsi="Cambria Math"/>
                      </w:rPr>
                      <m:t>+</m:t>
                    </m:r>
                    <m:f>
                      <m:fPr>
                        <m:ctrlPr>
                          <w:rPr>
                            <w:rFonts w:ascii="Cambria Math" w:hAnsi="Cambria Math"/>
                            <w:bCs/>
                            <w:i/>
                          </w:rPr>
                        </m:ctrlPr>
                      </m:fPr>
                      <m:num>
                        <m:r>
                          <w:rPr>
                            <w:rFonts w:ascii="Cambria Math" w:hAnsi="Cambria Math"/>
                          </w:rPr>
                          <m:t xml:space="preserve">6 </m:t>
                        </m:r>
                        <m:sSub>
                          <m:sSubPr>
                            <m:ctrlPr>
                              <w:rPr>
                                <w:rFonts w:ascii="Cambria Math" w:hAnsi="Cambria Math"/>
                                <w:bCs/>
                                <w:i/>
                              </w:rPr>
                            </m:ctrlPr>
                          </m:sSubPr>
                          <m:e>
                            <m:r>
                              <w:rPr>
                                <w:rFonts w:ascii="Cambria Math" w:hAnsi="Cambria Math"/>
                              </w:rPr>
                              <m:t>M</m:t>
                            </m:r>
                          </m:e>
                          <m:sub>
                            <m:r>
                              <w:rPr>
                                <w:rFonts w:ascii="Cambria Math" w:hAnsi="Cambria Math"/>
                              </w:rPr>
                              <m:t>H</m:t>
                            </m:r>
                          </m:sub>
                        </m:sSub>
                      </m:num>
                      <m:den>
                        <m:r>
                          <w:rPr>
                            <w:rFonts w:ascii="Cambria Math" w:hAnsi="Cambria Math"/>
                          </w:rPr>
                          <m:t xml:space="preserve">π </m:t>
                        </m:r>
                        <m:sSup>
                          <m:sSupPr>
                            <m:ctrlPr>
                              <w:rPr>
                                <w:rFonts w:ascii="Cambria Math" w:hAnsi="Cambria Math"/>
                                <w:bCs/>
                                <w:i/>
                              </w:rPr>
                            </m:ctrlPr>
                          </m:sSupPr>
                          <m:e>
                            <m:sSub>
                              <m:sSubPr>
                                <m:ctrlPr>
                                  <w:rPr>
                                    <w:rFonts w:ascii="Cambria Math" w:hAnsi="Cambria Math"/>
                                    <w:bCs/>
                                    <w:i/>
                                  </w:rPr>
                                </m:ctrlPr>
                              </m:sSubPr>
                              <m:e>
                                <m:r>
                                  <w:rPr>
                                    <w:rFonts w:ascii="Cambria Math" w:hAnsi="Cambria Math"/>
                                  </w:rPr>
                                  <m:t>g</m:t>
                                </m:r>
                              </m:e>
                              <m:sub>
                                <m:r>
                                  <w:rPr>
                                    <w:rFonts w:ascii="Cambria Math" w:hAnsi="Cambria Math"/>
                                  </w:rPr>
                                  <m:t>1</m:t>
                                </m:r>
                              </m:sub>
                            </m:sSub>
                          </m:e>
                          <m:sup>
                            <m:r>
                              <w:rPr>
                                <w:rFonts w:ascii="Cambria Math" w:hAnsi="Cambria Math"/>
                              </w:rPr>
                              <m:t>2</m:t>
                            </m:r>
                          </m:sup>
                        </m:sSup>
                        <m:d>
                          <m:dPr>
                            <m:ctrlPr>
                              <w:rPr>
                                <w:rFonts w:ascii="Cambria Math" w:hAnsi="Cambria Math"/>
                                <w:bCs/>
                                <w:i/>
                              </w:rPr>
                            </m:ctrlPr>
                          </m:dPr>
                          <m:e>
                            <m:r>
                              <w:rPr>
                                <w:rFonts w:ascii="Cambria Math" w:hAnsi="Cambria Math"/>
                              </w:rPr>
                              <m:t>B+</m:t>
                            </m:r>
                            <m:sSub>
                              <m:sSubPr>
                                <m:ctrlPr>
                                  <w:rPr>
                                    <w:rFonts w:ascii="Cambria Math" w:hAnsi="Cambria Math"/>
                                    <w:bCs/>
                                    <w:i/>
                                  </w:rPr>
                                </m:ctrlPr>
                              </m:sSubPr>
                              <m:e>
                                <m:r>
                                  <w:rPr>
                                    <w:rFonts w:ascii="Cambria Math" w:hAnsi="Cambria Math"/>
                                  </w:rPr>
                                  <m:t>g</m:t>
                                </m:r>
                              </m:e>
                              <m:sub>
                                <m:r>
                                  <w:rPr>
                                    <w:rFonts w:ascii="Cambria Math" w:hAnsi="Cambria Math"/>
                                  </w:rPr>
                                  <m:t>1</m:t>
                                </m:r>
                              </m:sub>
                            </m:sSub>
                          </m:e>
                        </m:d>
                      </m:den>
                    </m:f>
                  </m:e>
                </m:d>
              </m:oMath>
            </m:oMathPara>
          </w:p>
        </w:tc>
        <w:tc>
          <w:tcPr>
            <w:tcW w:w="3445" w:type="dxa"/>
            <w:tcMar>
              <w:left w:w="0" w:type="dxa"/>
              <w:right w:w="0" w:type="dxa"/>
            </w:tcMar>
            <w:vAlign w:val="center"/>
          </w:tcPr>
          <w:p w14:paraId="504DBBBD" w14:textId="77777777" w:rsidR="00FF57A8" w:rsidRPr="00BC31E0" w:rsidRDefault="00FF57A8" w:rsidP="004736F2">
            <w:pPr>
              <w:tabs>
                <w:tab w:val="left" w:leader="middleDot" w:pos="2878"/>
              </w:tabs>
              <w:autoSpaceDE w:val="0"/>
              <w:autoSpaceDN w:val="0"/>
              <w:jc w:val="left"/>
              <w:rPr>
                <w:rFonts w:asciiTheme="minorHAnsi" w:hAnsiTheme="minorHAnsi"/>
                <w:bCs/>
              </w:rPr>
            </w:pPr>
            <w:r w:rsidRPr="00BC31E0">
              <w:rPr>
                <w:rFonts w:asciiTheme="minorHAnsi" w:hAnsiTheme="minorHAnsi" w:hint="eastAsia"/>
                <w:bCs/>
              </w:rPr>
              <w:tab/>
              <w:t>(12)</w:t>
            </w:r>
          </w:p>
        </w:tc>
      </w:tr>
    </w:tbl>
    <w:p w14:paraId="0974BD88" w14:textId="77777777" w:rsidR="00FF57A8" w:rsidRPr="00BC31E0" w:rsidRDefault="00FF57A8" w:rsidP="00FF57A8">
      <w:pPr>
        <w:autoSpaceDE w:val="0"/>
        <w:autoSpaceDN w:val="0"/>
        <w:spacing w:before="120" w:after="120"/>
        <w:ind w:left="454"/>
      </w:pPr>
      <w:r w:rsidRPr="00BC31E0">
        <w:rPr>
          <w:rFonts w:hint="eastAsia"/>
        </w:rPr>
        <w:t>ハブ内面における</w:t>
      </w:r>
      <w:r w:rsidRPr="00BC31E0">
        <w:t>L</w:t>
      </w:r>
      <w:r w:rsidR="00E5539A" w:rsidRPr="00BC31E0">
        <w:t>á</w:t>
      </w:r>
      <w:r w:rsidRPr="00BC31E0">
        <w:t>me</w:t>
      </w:r>
      <w:r w:rsidRPr="00BC31E0">
        <w:rPr>
          <w:rFonts w:hint="eastAsia"/>
        </w:rPr>
        <w:t>の最大周方向応力</w:t>
      </w:r>
    </w:p>
    <w:tbl>
      <w:tblPr>
        <w:tblStyle w:val="afff2"/>
        <w:tblW w:w="6945" w:type="dxa"/>
        <w:tblInd w:w="2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9"/>
        <w:gridCol w:w="5216"/>
      </w:tblGrid>
      <w:tr w:rsidR="00FF57A8" w:rsidRPr="00BC31E0" w14:paraId="5565E03D" w14:textId="77777777" w:rsidTr="004736F2">
        <w:tc>
          <w:tcPr>
            <w:tcW w:w="0" w:type="auto"/>
            <w:tcMar>
              <w:left w:w="0" w:type="dxa"/>
              <w:right w:w="0" w:type="dxa"/>
            </w:tcMar>
            <w:vAlign w:val="center"/>
          </w:tcPr>
          <w:p w14:paraId="5E97BA82" w14:textId="77777777" w:rsidR="00FF57A8" w:rsidRPr="00BC31E0" w:rsidRDefault="00A51873" w:rsidP="004736F2">
            <w:pPr>
              <w:tabs>
                <w:tab w:val="left" w:pos="2127"/>
                <w:tab w:val="left" w:leader="middleDot" w:pos="8505"/>
              </w:tabs>
              <w:autoSpaceDE w:val="0"/>
              <w:autoSpaceDN w:val="0"/>
              <w:jc w:val="left"/>
              <w:rPr>
                <w:rFonts w:asciiTheme="minorHAnsi" w:hAnsiTheme="minorHAnsi"/>
                <w:bCs/>
                <w:i/>
              </w:rPr>
            </w:pPr>
            <m:oMathPara>
              <m:oMathParaPr>
                <m:jc m:val="left"/>
              </m:oMathParaPr>
              <m:oMath>
                <m:sSub>
                  <m:sSubPr>
                    <m:ctrlPr>
                      <w:rPr>
                        <w:rFonts w:ascii="Cambria Math" w:hAnsi="Cambria Math"/>
                        <w:bCs/>
                        <w:i/>
                      </w:rPr>
                    </m:ctrlPr>
                  </m:sSubPr>
                  <m:e>
                    <m:r>
                      <w:rPr>
                        <w:rFonts w:ascii="Cambria Math" w:hAnsi="Cambria Math"/>
                      </w:rPr>
                      <m:t>S</m:t>
                    </m:r>
                  </m:e>
                  <m:sub>
                    <m:r>
                      <w:rPr>
                        <w:rFonts w:ascii="Cambria Math" w:hAnsi="Cambria Math"/>
                      </w:rPr>
                      <m:t>2</m:t>
                    </m:r>
                  </m:sub>
                </m:sSub>
                <m:r>
                  <w:rPr>
                    <w:rFonts w:ascii="Cambria Math" w:hAnsi="Cambria Math"/>
                  </w:rPr>
                  <m:t>=P</m:t>
                </m:r>
                <m:d>
                  <m:dPr>
                    <m:ctrlPr>
                      <w:rPr>
                        <w:rFonts w:ascii="Cambria Math" w:hAnsi="Cambria Math"/>
                        <w:bCs/>
                        <w:i/>
                      </w:rPr>
                    </m:ctrlPr>
                  </m:dPr>
                  <m:e>
                    <m:f>
                      <m:fPr>
                        <m:ctrlPr>
                          <w:rPr>
                            <w:rFonts w:ascii="Cambria Math" w:hAnsi="Cambria Math"/>
                            <w:bCs/>
                            <w:i/>
                          </w:rPr>
                        </m:ctrlPr>
                      </m:fPr>
                      <m:num>
                        <m:sSup>
                          <m:sSupPr>
                            <m:ctrlPr>
                              <w:rPr>
                                <w:rFonts w:ascii="Cambria Math" w:hAnsi="Cambria Math"/>
                                <w:bCs/>
                                <w:i/>
                              </w:rPr>
                            </m:ctrlPr>
                          </m:sSupPr>
                          <m:e>
                            <m:sSub>
                              <m:sSubPr>
                                <m:ctrlPr>
                                  <w:rPr>
                                    <w:rFonts w:ascii="Cambria Math" w:hAnsi="Cambria Math"/>
                                    <w:bCs/>
                                    <w:i/>
                                  </w:rPr>
                                </m:ctrlPr>
                              </m:sSubPr>
                              <m:e>
                                <m:r>
                                  <w:rPr>
                                    <w:rFonts w:ascii="Cambria Math" w:hAnsi="Cambria Math"/>
                                  </w:rPr>
                                  <m:t>N</m:t>
                                </m:r>
                              </m:e>
                              <m:sub>
                                <m:r>
                                  <w:rPr>
                                    <w:rFonts w:ascii="Cambria Math" w:hAnsi="Cambria Math"/>
                                  </w:rPr>
                                  <m:t>H</m:t>
                                </m:r>
                              </m:sub>
                            </m:sSub>
                          </m:e>
                          <m:sup>
                            <m:r>
                              <w:rPr>
                                <w:rFonts w:ascii="Cambria Math" w:hAnsi="Cambria Math"/>
                              </w:rPr>
                              <m:t>2</m:t>
                            </m:r>
                          </m:sup>
                        </m:sSup>
                        <m:r>
                          <w:rPr>
                            <w:rFonts w:ascii="Cambria Math" w:hAnsi="Cambria Math"/>
                          </w:rPr>
                          <m:t>+</m:t>
                        </m:r>
                        <m:sSup>
                          <m:sSupPr>
                            <m:ctrlPr>
                              <w:rPr>
                                <w:rFonts w:ascii="Cambria Math" w:hAnsi="Cambria Math"/>
                                <w:bCs/>
                                <w:i/>
                              </w:rPr>
                            </m:ctrlPr>
                          </m:sSupPr>
                          <m:e>
                            <m:r>
                              <w:rPr>
                                <w:rFonts w:ascii="Cambria Math" w:hAnsi="Cambria Math"/>
                              </w:rPr>
                              <m:t>B</m:t>
                            </m:r>
                          </m:e>
                          <m:sup>
                            <m:r>
                              <w:rPr>
                                <w:rFonts w:ascii="Cambria Math" w:hAnsi="Cambria Math"/>
                              </w:rPr>
                              <m:t>2</m:t>
                            </m:r>
                          </m:sup>
                        </m:sSup>
                      </m:num>
                      <m:den>
                        <m:sSup>
                          <m:sSupPr>
                            <m:ctrlPr>
                              <w:rPr>
                                <w:rFonts w:ascii="Cambria Math" w:hAnsi="Cambria Math"/>
                                <w:bCs/>
                                <w:i/>
                              </w:rPr>
                            </m:ctrlPr>
                          </m:sSupPr>
                          <m:e>
                            <m:sSub>
                              <m:sSubPr>
                                <m:ctrlPr>
                                  <w:rPr>
                                    <w:rFonts w:ascii="Cambria Math" w:hAnsi="Cambria Math"/>
                                    <w:bCs/>
                                    <w:i/>
                                  </w:rPr>
                                </m:ctrlPr>
                              </m:sSubPr>
                              <m:e>
                                <m:r>
                                  <w:rPr>
                                    <w:rFonts w:ascii="Cambria Math" w:hAnsi="Cambria Math"/>
                                  </w:rPr>
                                  <m:t>N</m:t>
                                </m:r>
                              </m:e>
                              <m:sub>
                                <m:r>
                                  <w:rPr>
                                    <w:rFonts w:ascii="Cambria Math" w:hAnsi="Cambria Math"/>
                                  </w:rPr>
                                  <m:t>H</m:t>
                                </m:r>
                              </m:sub>
                            </m:sSub>
                          </m:e>
                          <m:sup>
                            <m:r>
                              <w:rPr>
                                <w:rFonts w:ascii="Cambria Math" w:hAnsi="Cambria Math"/>
                              </w:rPr>
                              <m:t>2</m:t>
                            </m:r>
                          </m:sup>
                        </m:sSup>
                        <m:r>
                          <w:rPr>
                            <w:rFonts w:ascii="Cambria Math" w:hAnsi="Cambria Math"/>
                          </w:rPr>
                          <m:t>-</m:t>
                        </m:r>
                        <m:sSup>
                          <m:sSupPr>
                            <m:ctrlPr>
                              <w:rPr>
                                <w:rFonts w:ascii="Cambria Math" w:hAnsi="Cambria Math"/>
                                <w:bCs/>
                                <w:i/>
                              </w:rPr>
                            </m:ctrlPr>
                          </m:sSupPr>
                          <m:e>
                            <m:r>
                              <w:rPr>
                                <w:rFonts w:ascii="Cambria Math" w:hAnsi="Cambria Math"/>
                              </w:rPr>
                              <m:t>B</m:t>
                            </m:r>
                          </m:e>
                          <m:sup>
                            <m:r>
                              <w:rPr>
                                <w:rFonts w:ascii="Cambria Math" w:hAnsi="Cambria Math"/>
                              </w:rPr>
                              <m:t>2</m:t>
                            </m:r>
                          </m:sup>
                        </m:sSup>
                      </m:den>
                    </m:f>
                  </m:e>
                </m:d>
              </m:oMath>
            </m:oMathPara>
          </w:p>
        </w:tc>
        <w:tc>
          <w:tcPr>
            <w:tcW w:w="5216" w:type="dxa"/>
            <w:tcMar>
              <w:left w:w="0" w:type="dxa"/>
              <w:right w:w="0" w:type="dxa"/>
            </w:tcMar>
            <w:vAlign w:val="center"/>
          </w:tcPr>
          <w:p w14:paraId="7DDAFE97" w14:textId="77777777" w:rsidR="00FF57A8" w:rsidRPr="00BC31E0" w:rsidRDefault="00FF57A8" w:rsidP="004736F2">
            <w:pPr>
              <w:tabs>
                <w:tab w:val="left" w:leader="middleDot" w:pos="4649"/>
              </w:tabs>
              <w:autoSpaceDE w:val="0"/>
              <w:autoSpaceDN w:val="0"/>
              <w:jc w:val="left"/>
              <w:rPr>
                <w:rFonts w:asciiTheme="minorHAnsi" w:hAnsiTheme="minorHAnsi"/>
                <w:bCs/>
              </w:rPr>
            </w:pPr>
            <w:r w:rsidRPr="00BC31E0">
              <w:rPr>
                <w:rFonts w:asciiTheme="minorHAnsi" w:hAnsiTheme="minorHAnsi" w:hint="eastAsia"/>
                <w:bCs/>
              </w:rPr>
              <w:tab/>
              <w:t>(1</w:t>
            </w:r>
            <w:r w:rsidRPr="00BC31E0">
              <w:rPr>
                <w:rFonts w:asciiTheme="minorHAnsi" w:hAnsiTheme="minorHAnsi"/>
                <w:bCs/>
              </w:rPr>
              <w:t>3</w:t>
            </w:r>
            <w:r w:rsidRPr="00BC31E0">
              <w:rPr>
                <w:rFonts w:asciiTheme="minorHAnsi" w:hAnsiTheme="minorHAnsi" w:hint="eastAsia"/>
                <w:bCs/>
              </w:rPr>
              <w:t>)</w:t>
            </w:r>
          </w:p>
        </w:tc>
      </w:tr>
    </w:tbl>
    <w:p w14:paraId="405867E4" w14:textId="77777777" w:rsidR="00FF57A8" w:rsidRPr="00BC31E0" w:rsidRDefault="00FF57A8" w:rsidP="00FF57A8">
      <w:pPr>
        <w:spacing w:before="120" w:after="120"/>
        <w:ind w:left="454"/>
      </w:pPr>
      <w:r w:rsidRPr="00BC31E0">
        <w:rPr>
          <w:rFonts w:hint="eastAsia"/>
        </w:rPr>
        <w:t>ハブ長手方向せん断応力</w:t>
      </w:r>
    </w:p>
    <w:tbl>
      <w:tblPr>
        <w:tblStyle w:val="afff2"/>
        <w:tblW w:w="6945" w:type="dxa"/>
        <w:tblInd w:w="2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
        <w:gridCol w:w="5993"/>
      </w:tblGrid>
      <w:tr w:rsidR="00FF57A8" w:rsidRPr="00BC31E0" w14:paraId="4EB06C5D" w14:textId="77777777" w:rsidTr="004736F2">
        <w:tc>
          <w:tcPr>
            <w:tcW w:w="0" w:type="auto"/>
            <w:tcMar>
              <w:left w:w="0" w:type="dxa"/>
              <w:right w:w="0" w:type="dxa"/>
            </w:tcMar>
            <w:vAlign w:val="center"/>
          </w:tcPr>
          <w:p w14:paraId="1A96669A" w14:textId="77777777" w:rsidR="00FF57A8" w:rsidRPr="00BC31E0" w:rsidRDefault="00A51873" w:rsidP="004736F2">
            <w:pPr>
              <w:tabs>
                <w:tab w:val="left" w:pos="2127"/>
                <w:tab w:val="left" w:leader="middleDot" w:pos="8505"/>
              </w:tabs>
              <w:autoSpaceDE w:val="0"/>
              <w:autoSpaceDN w:val="0"/>
              <w:jc w:val="left"/>
              <w:rPr>
                <w:rFonts w:asciiTheme="minorHAnsi" w:hAnsiTheme="minorHAnsi"/>
                <w:bCs/>
                <w:i/>
              </w:rPr>
            </w:pPr>
            <m:oMathPara>
              <m:oMathParaPr>
                <m:jc m:val="left"/>
              </m:oMathParaPr>
              <m:oMath>
                <m:sSub>
                  <m:sSubPr>
                    <m:ctrlPr>
                      <w:rPr>
                        <w:rFonts w:ascii="Cambria Math" w:hAnsi="Cambria Math"/>
                        <w:bCs/>
                        <w:i/>
                      </w:rPr>
                    </m:ctrlPr>
                  </m:sSubPr>
                  <m:e>
                    <m:r>
                      <w:rPr>
                        <w:rFonts w:ascii="Cambria Math" w:hAnsi="Cambria Math"/>
                      </w:rPr>
                      <m:t>S</m:t>
                    </m:r>
                  </m:e>
                  <m:sub>
                    <m:r>
                      <w:rPr>
                        <w:rFonts w:ascii="Cambria Math" w:hAnsi="Cambria Math"/>
                      </w:rPr>
                      <m:t>3</m:t>
                    </m:r>
                  </m:sub>
                </m:sSub>
                <m:r>
                  <w:rPr>
                    <w:rFonts w:ascii="Cambria Math" w:hAnsi="Cambria Math"/>
                  </w:rPr>
                  <m:t>=</m:t>
                </m:r>
                <m:f>
                  <m:fPr>
                    <m:ctrlPr>
                      <w:rPr>
                        <w:rFonts w:ascii="Cambria Math" w:hAnsi="Cambria Math"/>
                        <w:bCs/>
                        <w:i/>
                      </w:rPr>
                    </m:ctrlPr>
                  </m:fPr>
                  <m:num>
                    <m:r>
                      <w:rPr>
                        <w:rFonts w:ascii="Cambria Math" w:hAnsi="Cambria Math"/>
                      </w:rPr>
                      <m:t>1.5 H</m:t>
                    </m:r>
                  </m:num>
                  <m:den>
                    <m:sSub>
                      <m:sSubPr>
                        <m:ctrlPr>
                          <w:rPr>
                            <w:rFonts w:ascii="Cambria Math" w:hAnsi="Cambria Math"/>
                            <w:bCs/>
                            <w:i/>
                          </w:rPr>
                        </m:ctrlPr>
                      </m:sSubPr>
                      <m:e>
                        <m:r>
                          <w:rPr>
                            <w:rFonts w:ascii="Cambria Math" w:hAnsi="Cambria Math"/>
                          </w:rPr>
                          <m:t>A</m:t>
                        </m:r>
                      </m:e>
                      <m:sub>
                        <m:r>
                          <w:rPr>
                            <w:rFonts w:ascii="Cambria Math" w:hAnsi="Cambria Math"/>
                          </w:rPr>
                          <m:t>3</m:t>
                        </m:r>
                      </m:sub>
                    </m:sSub>
                  </m:den>
                </m:f>
              </m:oMath>
            </m:oMathPara>
          </w:p>
        </w:tc>
        <w:tc>
          <w:tcPr>
            <w:tcW w:w="5993" w:type="dxa"/>
            <w:tcMar>
              <w:left w:w="0" w:type="dxa"/>
              <w:right w:w="0" w:type="dxa"/>
            </w:tcMar>
            <w:vAlign w:val="center"/>
          </w:tcPr>
          <w:p w14:paraId="16EAF472" w14:textId="77777777" w:rsidR="00FF57A8" w:rsidRPr="00BC31E0" w:rsidRDefault="00FF57A8" w:rsidP="004736F2">
            <w:pPr>
              <w:tabs>
                <w:tab w:val="left" w:leader="middleDot" w:pos="5426"/>
              </w:tabs>
              <w:autoSpaceDE w:val="0"/>
              <w:autoSpaceDN w:val="0"/>
              <w:jc w:val="left"/>
              <w:rPr>
                <w:rFonts w:asciiTheme="minorHAnsi" w:hAnsiTheme="minorHAnsi"/>
                <w:bCs/>
              </w:rPr>
            </w:pPr>
            <w:r w:rsidRPr="00BC31E0">
              <w:rPr>
                <w:rFonts w:asciiTheme="minorHAnsi" w:hAnsiTheme="minorHAnsi" w:hint="eastAsia"/>
                <w:bCs/>
              </w:rPr>
              <w:tab/>
              <w:t>(1</w:t>
            </w:r>
            <w:r w:rsidRPr="00BC31E0">
              <w:rPr>
                <w:rFonts w:asciiTheme="minorHAnsi" w:hAnsiTheme="minorHAnsi"/>
                <w:bCs/>
              </w:rPr>
              <w:t>4</w:t>
            </w:r>
            <w:r w:rsidRPr="00BC31E0">
              <w:rPr>
                <w:rFonts w:asciiTheme="minorHAnsi" w:hAnsiTheme="minorHAnsi" w:hint="eastAsia"/>
                <w:bCs/>
              </w:rPr>
              <w:t>)</w:t>
            </w:r>
          </w:p>
        </w:tc>
      </w:tr>
    </w:tbl>
    <w:p w14:paraId="613A1967" w14:textId="77777777" w:rsidR="00FF57A8" w:rsidRPr="00BC31E0" w:rsidRDefault="00FF57A8" w:rsidP="00FF57A8">
      <w:pPr>
        <w:tabs>
          <w:tab w:val="left" w:leader="middleDot" w:pos="7371"/>
        </w:tabs>
        <w:autoSpaceDE w:val="0"/>
        <w:autoSpaceDN w:val="0"/>
        <w:spacing w:before="120" w:after="120"/>
        <w:ind w:left="454"/>
      </w:pPr>
      <w:r w:rsidRPr="00BC31E0">
        <w:rPr>
          <w:rFonts w:hint="eastAsia"/>
        </w:rPr>
        <w:t>ハブネックにおけるハブ半径方向せん断応力</w:t>
      </w:r>
    </w:p>
    <w:tbl>
      <w:tblPr>
        <w:tblStyle w:val="afff2"/>
        <w:tblW w:w="6945" w:type="dxa"/>
        <w:tblInd w:w="2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9"/>
        <w:gridCol w:w="5306"/>
      </w:tblGrid>
      <w:tr w:rsidR="00FF57A8" w:rsidRPr="00BC31E0" w14:paraId="1A470D42" w14:textId="77777777" w:rsidTr="004736F2">
        <w:tc>
          <w:tcPr>
            <w:tcW w:w="0" w:type="auto"/>
            <w:tcMar>
              <w:left w:w="0" w:type="dxa"/>
              <w:right w:w="0" w:type="dxa"/>
            </w:tcMar>
            <w:vAlign w:val="center"/>
          </w:tcPr>
          <w:p w14:paraId="0CED7AA9" w14:textId="77777777" w:rsidR="00FF57A8" w:rsidRPr="00BC31E0" w:rsidRDefault="00A51873" w:rsidP="004736F2">
            <w:pPr>
              <w:tabs>
                <w:tab w:val="left" w:pos="2127"/>
                <w:tab w:val="left" w:leader="middleDot" w:pos="8505"/>
              </w:tabs>
              <w:autoSpaceDE w:val="0"/>
              <w:autoSpaceDN w:val="0"/>
              <w:jc w:val="left"/>
              <w:rPr>
                <w:rFonts w:asciiTheme="minorHAnsi" w:hAnsiTheme="minorHAnsi"/>
                <w:bCs/>
                <w:i/>
              </w:rPr>
            </w:pPr>
            <m:oMathPara>
              <m:oMathParaPr>
                <m:jc m:val="left"/>
              </m:oMathParaPr>
              <m:oMath>
                <m:sSub>
                  <m:sSubPr>
                    <m:ctrlPr>
                      <w:rPr>
                        <w:rFonts w:ascii="Cambria Math" w:hAnsi="Cambria Math"/>
                        <w:bCs/>
                        <w:i/>
                      </w:rPr>
                    </m:ctrlPr>
                  </m:sSubPr>
                  <m:e>
                    <m:r>
                      <w:rPr>
                        <w:rFonts w:ascii="Cambria Math" w:hAnsi="Cambria Math"/>
                      </w:rPr>
                      <m:t>S</m:t>
                    </m:r>
                  </m:e>
                  <m:sub>
                    <m:r>
                      <w:rPr>
                        <w:rFonts w:ascii="Cambria Math" w:hAnsi="Cambria Math"/>
                      </w:rPr>
                      <m:t>4</m:t>
                    </m:r>
                  </m:sub>
                </m:sSub>
                <m:r>
                  <w:rPr>
                    <w:rFonts w:ascii="Cambria Math" w:hAnsi="Cambria Math"/>
                  </w:rPr>
                  <m:t>=</m:t>
                </m:r>
                <m:f>
                  <m:fPr>
                    <m:ctrlPr>
                      <w:rPr>
                        <w:rFonts w:ascii="Cambria Math" w:hAnsi="Cambria Math"/>
                        <w:bCs/>
                        <w:i/>
                      </w:rPr>
                    </m:ctrlPr>
                  </m:fPr>
                  <m:num>
                    <m:r>
                      <w:rPr>
                        <w:rFonts w:ascii="Cambria Math" w:hAnsi="Cambria Math"/>
                      </w:rPr>
                      <m:t>1.5 Q</m:t>
                    </m:r>
                  </m:num>
                  <m:den>
                    <m:r>
                      <w:rPr>
                        <w:rFonts w:ascii="Cambria Math" w:hAnsi="Cambria Math"/>
                      </w:rPr>
                      <m:t xml:space="preserve">π </m:t>
                    </m:r>
                    <m:sSub>
                      <m:sSubPr>
                        <m:ctrlPr>
                          <w:rPr>
                            <w:rFonts w:ascii="Cambria Math" w:hAnsi="Cambria Math"/>
                            <w:bCs/>
                            <w:i/>
                          </w:rPr>
                        </m:ctrlPr>
                      </m:sSubPr>
                      <m:e>
                        <m:r>
                          <w:rPr>
                            <w:rFonts w:ascii="Cambria Math" w:hAnsi="Cambria Math"/>
                          </w:rPr>
                          <m:t>g</m:t>
                        </m:r>
                      </m:e>
                      <m:sub>
                        <m:r>
                          <w:rPr>
                            <w:rFonts w:ascii="Cambria Math" w:hAnsi="Cambria Math"/>
                          </w:rPr>
                          <m:t>1</m:t>
                        </m:r>
                      </m:sub>
                    </m:sSub>
                    <m:d>
                      <m:dPr>
                        <m:ctrlPr>
                          <w:rPr>
                            <w:rFonts w:ascii="Cambria Math" w:hAnsi="Cambria Math"/>
                            <w:bCs/>
                            <w:i/>
                          </w:rPr>
                        </m:ctrlPr>
                      </m:dPr>
                      <m:e>
                        <m:r>
                          <w:rPr>
                            <w:rFonts w:ascii="Cambria Math" w:hAnsi="Cambria Math"/>
                          </w:rPr>
                          <m:t>B+</m:t>
                        </m:r>
                        <m:sSub>
                          <m:sSubPr>
                            <m:ctrlPr>
                              <w:rPr>
                                <w:rFonts w:ascii="Cambria Math" w:hAnsi="Cambria Math"/>
                                <w:bCs/>
                                <w:i/>
                              </w:rPr>
                            </m:ctrlPr>
                          </m:sSubPr>
                          <m:e>
                            <m:r>
                              <w:rPr>
                                <w:rFonts w:ascii="Cambria Math" w:hAnsi="Cambria Math"/>
                              </w:rPr>
                              <m:t>g</m:t>
                            </m:r>
                          </m:e>
                          <m:sub>
                            <m:r>
                              <w:rPr>
                                <w:rFonts w:ascii="Cambria Math" w:hAnsi="Cambria Math"/>
                              </w:rPr>
                              <m:t>1</m:t>
                            </m:r>
                          </m:sub>
                        </m:sSub>
                      </m:e>
                    </m:d>
                  </m:den>
                </m:f>
              </m:oMath>
            </m:oMathPara>
          </w:p>
        </w:tc>
        <w:tc>
          <w:tcPr>
            <w:tcW w:w="5306" w:type="dxa"/>
            <w:tcMar>
              <w:left w:w="0" w:type="dxa"/>
              <w:right w:w="0" w:type="dxa"/>
            </w:tcMar>
            <w:vAlign w:val="center"/>
          </w:tcPr>
          <w:p w14:paraId="0D874AA3" w14:textId="77777777" w:rsidR="00FF57A8" w:rsidRPr="00BC31E0" w:rsidRDefault="00FF57A8" w:rsidP="004736F2">
            <w:pPr>
              <w:tabs>
                <w:tab w:val="left" w:leader="middleDot" w:pos="4739"/>
              </w:tabs>
              <w:autoSpaceDE w:val="0"/>
              <w:autoSpaceDN w:val="0"/>
              <w:jc w:val="left"/>
              <w:rPr>
                <w:rFonts w:asciiTheme="minorHAnsi" w:hAnsiTheme="minorHAnsi"/>
                <w:bCs/>
              </w:rPr>
            </w:pPr>
            <w:r w:rsidRPr="00BC31E0">
              <w:rPr>
                <w:rFonts w:asciiTheme="minorHAnsi" w:hAnsiTheme="minorHAnsi" w:hint="eastAsia"/>
                <w:bCs/>
              </w:rPr>
              <w:tab/>
              <w:t>(1</w:t>
            </w:r>
            <w:r w:rsidRPr="00BC31E0">
              <w:rPr>
                <w:rFonts w:asciiTheme="minorHAnsi" w:hAnsiTheme="minorHAnsi"/>
                <w:bCs/>
              </w:rPr>
              <w:t>5</w:t>
            </w:r>
            <w:r w:rsidRPr="00BC31E0">
              <w:rPr>
                <w:rFonts w:asciiTheme="minorHAnsi" w:hAnsiTheme="minorHAnsi" w:hint="eastAsia"/>
                <w:bCs/>
              </w:rPr>
              <w:t>)</w:t>
            </w:r>
          </w:p>
        </w:tc>
      </w:tr>
    </w:tbl>
    <w:p w14:paraId="32D45FBD" w14:textId="77777777" w:rsidR="00FF57A8" w:rsidRPr="00BC31E0" w:rsidRDefault="00FF57A8" w:rsidP="00FF57A8">
      <w:pPr>
        <w:autoSpaceDE w:val="0"/>
        <w:autoSpaceDN w:val="0"/>
        <w:rPr>
          <w:bCs/>
        </w:rPr>
      </w:pPr>
    </w:p>
    <w:p w14:paraId="1869A96F" w14:textId="77777777" w:rsidR="00FF57A8" w:rsidRPr="00BC31E0" w:rsidRDefault="00FF57A8" w:rsidP="00664259">
      <w:pPr>
        <w:pStyle w:val="1f9"/>
        <w:numPr>
          <w:ilvl w:val="0"/>
          <w:numId w:val="2"/>
        </w:numPr>
        <w:adjustRightInd/>
        <w:snapToGrid/>
        <w:spacing w:line="240" w:lineRule="auto"/>
        <w:ind w:left="340" w:hanging="340"/>
      </w:pPr>
      <w:r w:rsidRPr="00BC31E0">
        <w:rPr>
          <w:rFonts w:hint="eastAsia"/>
        </w:rPr>
        <w:t>クランプの応力の計算</w:t>
      </w:r>
    </w:p>
    <w:p w14:paraId="2895BDA6" w14:textId="77777777" w:rsidR="00FF57A8" w:rsidRPr="00BC31E0" w:rsidRDefault="00FF57A8" w:rsidP="002435BA">
      <w:pPr>
        <w:pStyle w:val="15"/>
        <w:ind w:firstLine="210"/>
      </w:pPr>
      <w:r w:rsidRPr="00BC31E0">
        <w:rPr>
          <w:rFonts w:hint="eastAsia"/>
        </w:rPr>
        <w:t>クランプの応力は，運転時と初期締付時の両者によって決定される。クランプの応力は，</w:t>
      </w:r>
      <w:r w:rsidRPr="00BC31E0">
        <w:rPr>
          <w:rFonts w:ascii="ＭＳ ゴシック" w:eastAsia="ＭＳ ゴシック" w:hint="eastAsia"/>
          <w:b/>
        </w:rPr>
        <w:t>式</w:t>
      </w:r>
      <w:r w:rsidRPr="00BC31E0">
        <w:rPr>
          <w:rFonts w:ascii="ＭＳ ゴシック" w:eastAsia="ＭＳ ゴシック"/>
          <w:b/>
        </w:rPr>
        <w:t>(16)</w:t>
      </w:r>
      <w:r w:rsidRPr="00BC31E0">
        <w:rPr>
          <w:rFonts w:ascii="ＭＳ 明朝" w:hAnsi="ＭＳ 明朝" w:hint="eastAsia"/>
        </w:rPr>
        <w:t>～</w:t>
      </w:r>
      <w:r w:rsidRPr="00BC31E0">
        <w:rPr>
          <w:rFonts w:ascii="ＭＳ ゴシック" w:eastAsia="ＭＳ ゴシック" w:hint="eastAsia"/>
          <w:b/>
        </w:rPr>
        <w:t>式</w:t>
      </w:r>
      <w:r w:rsidRPr="00BC31E0">
        <w:rPr>
          <w:rFonts w:ascii="ＭＳ ゴシック" w:eastAsia="ＭＳ ゴシック"/>
          <w:b/>
        </w:rPr>
        <w:t>(22)</w:t>
      </w:r>
      <w:r w:rsidRPr="00BC31E0">
        <w:rPr>
          <w:rFonts w:hint="eastAsia"/>
        </w:rPr>
        <w:t>で求める値とする。</w:t>
      </w:r>
    </w:p>
    <w:p w14:paraId="1399573C" w14:textId="77777777" w:rsidR="00FF57A8" w:rsidRPr="00BC31E0" w:rsidRDefault="00FF57A8" w:rsidP="00FF57A8">
      <w:pPr>
        <w:autoSpaceDE w:val="0"/>
        <w:autoSpaceDN w:val="0"/>
        <w:spacing w:before="120" w:after="120"/>
        <w:ind w:left="454"/>
      </w:pPr>
      <w:r w:rsidRPr="00BC31E0">
        <w:rPr>
          <w:rFonts w:hint="eastAsia"/>
        </w:rPr>
        <w:lastRenderedPageBreak/>
        <w:t>クランプボディ内径におけるクランプ長手方向応力</w:t>
      </w:r>
    </w:p>
    <w:tbl>
      <w:tblPr>
        <w:tblStyle w:val="afff2"/>
        <w:tblW w:w="6945" w:type="dxa"/>
        <w:tblInd w:w="2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6"/>
        <w:gridCol w:w="4849"/>
      </w:tblGrid>
      <w:tr w:rsidR="00FF57A8" w:rsidRPr="00BC31E0" w14:paraId="74BA433B" w14:textId="77777777" w:rsidTr="004736F2">
        <w:tc>
          <w:tcPr>
            <w:tcW w:w="0" w:type="auto"/>
            <w:tcMar>
              <w:left w:w="0" w:type="dxa"/>
              <w:right w:w="0" w:type="dxa"/>
            </w:tcMar>
            <w:vAlign w:val="center"/>
          </w:tcPr>
          <w:p w14:paraId="7CB448AC" w14:textId="77777777" w:rsidR="00FF57A8" w:rsidRPr="00BC31E0" w:rsidRDefault="00A51873" w:rsidP="004736F2">
            <w:pPr>
              <w:tabs>
                <w:tab w:val="left" w:pos="2127"/>
                <w:tab w:val="left" w:leader="middleDot" w:pos="8505"/>
              </w:tabs>
              <w:autoSpaceDE w:val="0"/>
              <w:autoSpaceDN w:val="0"/>
              <w:jc w:val="left"/>
              <w:rPr>
                <w:rFonts w:asciiTheme="minorHAnsi" w:hAnsiTheme="minorHAnsi"/>
                <w:bCs/>
                <w:i/>
              </w:rPr>
            </w:pPr>
            <m:oMathPara>
              <m:oMathParaPr>
                <m:jc m:val="left"/>
              </m:oMathParaPr>
              <m:oMath>
                <m:sSub>
                  <m:sSubPr>
                    <m:ctrlPr>
                      <w:rPr>
                        <w:rFonts w:ascii="Cambria Math" w:hAnsi="Cambria Math"/>
                        <w:bCs/>
                        <w:i/>
                      </w:rPr>
                    </m:ctrlPr>
                  </m:sSubPr>
                  <m:e>
                    <m:r>
                      <w:rPr>
                        <w:rFonts w:ascii="Cambria Math" w:hAnsi="Cambria Math"/>
                      </w:rPr>
                      <m:t>S</m:t>
                    </m:r>
                  </m:e>
                  <m:sub>
                    <m:r>
                      <w:rPr>
                        <w:rFonts w:ascii="Cambria Math" w:hAnsi="Cambria Math"/>
                      </w:rPr>
                      <m:t>5</m:t>
                    </m:r>
                  </m:sub>
                </m:sSub>
                <m:r>
                  <w:rPr>
                    <w:rFonts w:ascii="Cambria Math" w:hAnsi="Cambria Math"/>
                  </w:rPr>
                  <m:t>=</m:t>
                </m:r>
                <m:f>
                  <m:fPr>
                    <m:ctrlPr>
                      <w:rPr>
                        <w:rFonts w:ascii="Cambria Math" w:hAnsi="Cambria Math"/>
                        <w:bCs/>
                        <w:i/>
                      </w:rPr>
                    </m:ctrlPr>
                  </m:fPr>
                  <m:num>
                    <m:r>
                      <w:rPr>
                        <w:rFonts w:ascii="Cambria Math" w:hAnsi="Cambria Math"/>
                      </w:rPr>
                      <m:t>H</m:t>
                    </m:r>
                  </m:num>
                  <m:den>
                    <m:sSub>
                      <m:sSubPr>
                        <m:ctrlPr>
                          <w:rPr>
                            <w:rFonts w:ascii="Cambria Math" w:hAnsi="Cambria Math"/>
                            <w:bCs/>
                            <w:i/>
                          </w:rPr>
                        </m:ctrlPr>
                      </m:sSubPr>
                      <m:e>
                        <m:r>
                          <w:rPr>
                            <w:rFonts w:ascii="Cambria Math" w:hAnsi="Cambria Math"/>
                          </w:rPr>
                          <m:t>A</m:t>
                        </m:r>
                      </m:e>
                      <m:sub>
                        <m:r>
                          <w:rPr>
                            <w:rFonts w:ascii="Cambria Math" w:hAnsi="Cambria Math"/>
                          </w:rPr>
                          <m:t>5</m:t>
                        </m:r>
                      </m:sub>
                    </m:sSub>
                  </m:den>
                </m:f>
                <m:r>
                  <w:rPr>
                    <w:rFonts w:ascii="Cambria Math" w:hAnsi="Cambria Math"/>
                  </w:rPr>
                  <m:t>+</m:t>
                </m:r>
                <m:f>
                  <m:fPr>
                    <m:ctrlPr>
                      <w:rPr>
                        <w:rFonts w:ascii="Cambria Math" w:hAnsi="Cambria Math"/>
                        <w:bCs/>
                        <w:i/>
                      </w:rPr>
                    </m:ctrlPr>
                  </m:fPr>
                  <m:num>
                    <m:sSub>
                      <m:sSubPr>
                        <m:ctrlPr>
                          <w:rPr>
                            <w:rFonts w:ascii="Cambria Math" w:hAnsi="Cambria Math"/>
                            <w:bCs/>
                            <w:i/>
                          </w:rPr>
                        </m:ctrlPr>
                      </m:sSubPr>
                      <m:e>
                        <m:r>
                          <w:rPr>
                            <w:rFonts w:ascii="Cambria Math" w:hAnsi="Cambria Math"/>
                          </w:rPr>
                          <m:t>M</m:t>
                        </m:r>
                      </m:e>
                      <m:sub>
                        <m:r>
                          <w:rPr>
                            <w:rFonts w:ascii="Cambria Math" w:hAnsi="Cambria Math"/>
                          </w:rPr>
                          <m:t>5</m:t>
                        </m:r>
                      </m:sub>
                    </m:sSub>
                    <m:r>
                      <w:rPr>
                        <w:rFonts w:ascii="Cambria Math" w:hAnsi="Cambria Math"/>
                      </w:rPr>
                      <m:t xml:space="preserve"> </m:t>
                    </m:r>
                    <m:d>
                      <m:dPr>
                        <m:ctrlPr>
                          <w:rPr>
                            <w:rFonts w:ascii="Cambria Math" w:hAnsi="Cambria Math"/>
                            <w:bCs/>
                            <w:i/>
                          </w:rPr>
                        </m:ctrlPr>
                      </m:dPr>
                      <m:e>
                        <m:sSub>
                          <m:sSubPr>
                            <m:ctrlPr>
                              <w:rPr>
                                <w:rFonts w:ascii="Cambria Math" w:hAnsi="Cambria Math"/>
                                <w:bCs/>
                                <w:i/>
                              </w:rPr>
                            </m:ctrlPr>
                          </m:sSubPr>
                          <m:e>
                            <m:r>
                              <w:rPr>
                                <w:rFonts w:ascii="Cambria Math" w:hAnsi="Cambria Math"/>
                              </w:rPr>
                              <m:t>C</m:t>
                            </m:r>
                          </m:e>
                          <m:sub>
                            <m:r>
                              <w:rPr>
                                <w:rFonts w:ascii="Cambria Math" w:hAnsi="Cambria Math"/>
                              </w:rPr>
                              <m:t>t</m:t>
                            </m:r>
                          </m:sub>
                        </m:sSub>
                        <m:r>
                          <w:rPr>
                            <w:rFonts w:ascii="Cambria Math" w:hAnsi="Cambria Math"/>
                          </w:rPr>
                          <m:t>-</m:t>
                        </m:r>
                        <m:sSub>
                          <m:sSubPr>
                            <m:ctrlPr>
                              <w:rPr>
                                <w:rFonts w:ascii="Cambria Math" w:hAnsi="Cambria Math"/>
                                <w:bCs/>
                                <w:i/>
                              </w:rPr>
                            </m:ctrlPr>
                          </m:sSubPr>
                          <m:e>
                            <m:r>
                              <w:rPr>
                                <w:rFonts w:ascii="Cambria Math" w:hAnsi="Cambria Math"/>
                              </w:rPr>
                              <m:t>X</m:t>
                            </m:r>
                          </m:e>
                          <m:sub>
                            <m:r>
                              <w:rPr>
                                <w:rFonts w:ascii="Cambria Math" w:hAnsi="Cambria Math"/>
                              </w:rPr>
                              <m:t>5</m:t>
                            </m:r>
                          </m:sub>
                        </m:sSub>
                      </m:e>
                    </m:d>
                  </m:num>
                  <m:den>
                    <m:sSub>
                      <m:sSubPr>
                        <m:ctrlPr>
                          <w:rPr>
                            <w:rFonts w:ascii="Cambria Math" w:hAnsi="Cambria Math"/>
                            <w:bCs/>
                            <w:i/>
                          </w:rPr>
                        </m:ctrlPr>
                      </m:sSubPr>
                      <m:e>
                        <m:r>
                          <w:rPr>
                            <w:rFonts w:ascii="Cambria Math" w:hAnsi="Cambria Math"/>
                          </w:rPr>
                          <m:t>I</m:t>
                        </m:r>
                      </m:e>
                      <m:sub>
                        <m:r>
                          <w:rPr>
                            <w:rFonts w:ascii="Cambria Math" w:hAnsi="Cambria Math"/>
                          </w:rPr>
                          <m:t>5</m:t>
                        </m:r>
                      </m:sub>
                    </m:sSub>
                  </m:den>
                </m:f>
              </m:oMath>
            </m:oMathPara>
          </w:p>
        </w:tc>
        <w:tc>
          <w:tcPr>
            <w:tcW w:w="4849" w:type="dxa"/>
            <w:tcMar>
              <w:left w:w="0" w:type="dxa"/>
              <w:right w:w="0" w:type="dxa"/>
            </w:tcMar>
            <w:vAlign w:val="center"/>
          </w:tcPr>
          <w:p w14:paraId="2B54F150" w14:textId="77777777" w:rsidR="00FF57A8" w:rsidRPr="00BC31E0" w:rsidRDefault="00FF57A8" w:rsidP="004736F2">
            <w:pPr>
              <w:tabs>
                <w:tab w:val="left" w:leader="middleDot" w:pos="4328"/>
              </w:tabs>
              <w:autoSpaceDE w:val="0"/>
              <w:autoSpaceDN w:val="0"/>
              <w:jc w:val="left"/>
              <w:rPr>
                <w:rFonts w:asciiTheme="minorHAnsi" w:hAnsiTheme="minorHAnsi"/>
                <w:bCs/>
              </w:rPr>
            </w:pPr>
            <w:r w:rsidRPr="00BC31E0">
              <w:rPr>
                <w:rFonts w:asciiTheme="minorHAnsi" w:hAnsiTheme="minorHAnsi" w:hint="eastAsia"/>
                <w:bCs/>
              </w:rPr>
              <w:tab/>
              <w:t>(1</w:t>
            </w:r>
            <w:r w:rsidRPr="00BC31E0">
              <w:rPr>
                <w:rFonts w:asciiTheme="minorHAnsi" w:hAnsiTheme="minorHAnsi"/>
                <w:bCs/>
              </w:rPr>
              <w:t>6</w:t>
            </w:r>
            <w:r w:rsidRPr="00BC31E0">
              <w:rPr>
                <w:rFonts w:asciiTheme="minorHAnsi" w:hAnsiTheme="minorHAnsi" w:hint="eastAsia"/>
                <w:bCs/>
              </w:rPr>
              <w:t>)</w:t>
            </w:r>
          </w:p>
        </w:tc>
      </w:tr>
    </w:tbl>
    <w:p w14:paraId="28B21EFA" w14:textId="77777777" w:rsidR="00FF57A8" w:rsidRPr="00BC31E0" w:rsidRDefault="00FF57A8" w:rsidP="00FF57A8">
      <w:pPr>
        <w:autoSpaceDE w:val="0"/>
        <w:autoSpaceDN w:val="0"/>
        <w:spacing w:before="120" w:after="120"/>
        <w:ind w:left="454"/>
      </w:pPr>
      <w:r w:rsidRPr="00BC31E0">
        <w:rPr>
          <w:rFonts w:hint="eastAsia"/>
        </w:rPr>
        <w:t>クランプボディ外径におけるクランプ周方向応力</w:t>
      </w:r>
    </w:p>
    <w:tbl>
      <w:tblPr>
        <w:tblStyle w:val="afff2"/>
        <w:tblW w:w="6945" w:type="dxa"/>
        <w:tblInd w:w="2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9"/>
        <w:gridCol w:w="5316"/>
      </w:tblGrid>
      <w:tr w:rsidR="00FF57A8" w:rsidRPr="00BC31E0" w14:paraId="15AFD631" w14:textId="77777777" w:rsidTr="004736F2">
        <w:tc>
          <w:tcPr>
            <w:tcW w:w="0" w:type="auto"/>
            <w:tcMar>
              <w:left w:w="0" w:type="dxa"/>
              <w:right w:w="0" w:type="dxa"/>
            </w:tcMar>
            <w:vAlign w:val="center"/>
          </w:tcPr>
          <w:p w14:paraId="545B3011" w14:textId="77777777" w:rsidR="00FF57A8" w:rsidRPr="00BC31E0" w:rsidRDefault="00A51873" w:rsidP="004736F2">
            <w:pPr>
              <w:tabs>
                <w:tab w:val="left" w:pos="2127"/>
                <w:tab w:val="left" w:leader="middleDot" w:pos="8505"/>
              </w:tabs>
              <w:autoSpaceDE w:val="0"/>
              <w:autoSpaceDN w:val="0"/>
              <w:jc w:val="left"/>
              <w:rPr>
                <w:rFonts w:asciiTheme="minorHAnsi" w:hAnsiTheme="minorHAnsi"/>
                <w:bCs/>
                <w:i/>
              </w:rPr>
            </w:pPr>
            <m:oMathPara>
              <m:oMathParaPr>
                <m:jc m:val="left"/>
              </m:oMathParaPr>
              <m:oMath>
                <m:sSub>
                  <m:sSubPr>
                    <m:ctrlPr>
                      <w:rPr>
                        <w:rFonts w:ascii="Cambria Math" w:hAnsi="Cambria Math"/>
                        <w:bCs/>
                        <w:i/>
                      </w:rPr>
                    </m:ctrlPr>
                  </m:sSubPr>
                  <m:e>
                    <m:r>
                      <w:rPr>
                        <w:rFonts w:ascii="Cambria Math" w:hAnsi="Cambria Math"/>
                      </w:rPr>
                      <m:t>S</m:t>
                    </m:r>
                  </m:e>
                  <m:sub>
                    <m:r>
                      <w:rPr>
                        <w:rFonts w:ascii="Cambria Math" w:hAnsi="Cambria Math"/>
                      </w:rPr>
                      <m:t>6</m:t>
                    </m:r>
                  </m:sub>
                </m:sSub>
                <m:r>
                  <w:rPr>
                    <w:rFonts w:ascii="Cambria Math" w:hAnsi="Cambria Math"/>
                  </w:rPr>
                  <m:t>=</m:t>
                </m:r>
                <m:f>
                  <m:fPr>
                    <m:ctrlPr>
                      <w:rPr>
                        <w:rFonts w:ascii="Cambria Math" w:hAnsi="Cambria Math"/>
                        <w:bCs/>
                        <w:i/>
                      </w:rPr>
                    </m:ctrlPr>
                  </m:fPr>
                  <m:num>
                    <m:r>
                      <w:rPr>
                        <w:rFonts w:ascii="Cambria Math" w:hAnsi="Cambria Math"/>
                      </w:rPr>
                      <m:t>W</m:t>
                    </m:r>
                  </m:num>
                  <m:den>
                    <m:sSub>
                      <m:sSubPr>
                        <m:ctrlPr>
                          <w:rPr>
                            <w:rFonts w:ascii="Cambria Math" w:hAnsi="Cambria Math"/>
                            <w:bCs/>
                            <w:i/>
                          </w:rPr>
                        </m:ctrlPr>
                      </m:sSubPr>
                      <m:e>
                        <m:r>
                          <w:rPr>
                            <w:rFonts w:ascii="Cambria Math" w:hAnsi="Cambria Math"/>
                          </w:rPr>
                          <m:t>2 A</m:t>
                        </m:r>
                      </m:e>
                      <m:sub>
                        <m:r>
                          <w:rPr>
                            <w:rFonts w:ascii="Cambria Math" w:hAnsi="Cambria Math"/>
                          </w:rPr>
                          <m:t>6</m:t>
                        </m:r>
                      </m:sub>
                    </m:sSub>
                  </m:den>
                </m:f>
                <m:r>
                  <w:rPr>
                    <w:rFonts w:ascii="Cambria Math" w:hAnsi="Cambria Math"/>
                  </w:rPr>
                  <m:t>+</m:t>
                </m:r>
                <m:f>
                  <m:fPr>
                    <m:ctrlPr>
                      <w:rPr>
                        <w:rFonts w:ascii="Cambria Math" w:hAnsi="Cambria Math"/>
                        <w:bCs/>
                        <w:i/>
                      </w:rPr>
                    </m:ctrlPr>
                  </m:fPr>
                  <m:num>
                    <m:sSub>
                      <m:sSubPr>
                        <m:ctrlPr>
                          <w:rPr>
                            <w:rFonts w:ascii="Cambria Math" w:hAnsi="Cambria Math"/>
                            <w:bCs/>
                            <w:i/>
                          </w:rPr>
                        </m:ctrlPr>
                      </m:sSubPr>
                      <m:e>
                        <m:r>
                          <w:rPr>
                            <w:rFonts w:ascii="Cambria Math" w:hAnsi="Cambria Math"/>
                          </w:rPr>
                          <m:t>M</m:t>
                        </m:r>
                      </m:e>
                      <m:sub>
                        <m:r>
                          <w:rPr>
                            <w:rFonts w:ascii="Cambria Math" w:hAnsi="Cambria Math"/>
                          </w:rPr>
                          <m:t>6</m:t>
                        </m:r>
                      </m:sub>
                    </m:sSub>
                    <m:r>
                      <w:rPr>
                        <w:rFonts w:ascii="Cambria Math" w:hAnsi="Cambria Math"/>
                      </w:rPr>
                      <m:t xml:space="preserve"> </m:t>
                    </m:r>
                    <m:sSub>
                      <m:sSubPr>
                        <m:ctrlPr>
                          <w:rPr>
                            <w:rFonts w:ascii="Cambria Math" w:hAnsi="Cambria Math"/>
                            <w:bCs/>
                            <w:i/>
                          </w:rPr>
                        </m:ctrlPr>
                      </m:sSubPr>
                      <m:e>
                        <m:r>
                          <w:rPr>
                            <w:rFonts w:ascii="Cambria Math" w:hAnsi="Cambria Math"/>
                          </w:rPr>
                          <m:t>C</m:t>
                        </m:r>
                      </m:e>
                      <m:sub>
                        <m:r>
                          <w:rPr>
                            <w:rFonts w:ascii="Cambria Math" w:hAnsi="Cambria Math"/>
                          </w:rPr>
                          <m:t>6</m:t>
                        </m:r>
                      </m:sub>
                    </m:sSub>
                  </m:num>
                  <m:den>
                    <m:sSub>
                      <m:sSubPr>
                        <m:ctrlPr>
                          <w:rPr>
                            <w:rFonts w:ascii="Cambria Math" w:hAnsi="Cambria Math"/>
                            <w:bCs/>
                            <w:i/>
                          </w:rPr>
                        </m:ctrlPr>
                      </m:sSubPr>
                      <m:e>
                        <m:r>
                          <w:rPr>
                            <w:rFonts w:ascii="Cambria Math" w:hAnsi="Cambria Math"/>
                          </w:rPr>
                          <m:t>I</m:t>
                        </m:r>
                      </m:e>
                      <m:sub>
                        <m:r>
                          <w:rPr>
                            <w:rFonts w:ascii="Cambria Math" w:hAnsi="Cambria Math"/>
                          </w:rPr>
                          <m:t>6</m:t>
                        </m:r>
                      </m:sub>
                    </m:sSub>
                  </m:den>
                </m:f>
              </m:oMath>
            </m:oMathPara>
          </w:p>
        </w:tc>
        <w:tc>
          <w:tcPr>
            <w:tcW w:w="5316" w:type="dxa"/>
            <w:tcMar>
              <w:left w:w="0" w:type="dxa"/>
              <w:right w:w="0" w:type="dxa"/>
            </w:tcMar>
            <w:vAlign w:val="center"/>
          </w:tcPr>
          <w:p w14:paraId="494FCE72" w14:textId="77777777" w:rsidR="00FF57A8" w:rsidRPr="00BC31E0" w:rsidRDefault="00FF57A8" w:rsidP="004736F2">
            <w:pPr>
              <w:tabs>
                <w:tab w:val="left" w:leader="middleDot" w:pos="4749"/>
              </w:tabs>
              <w:autoSpaceDE w:val="0"/>
              <w:autoSpaceDN w:val="0"/>
              <w:jc w:val="left"/>
              <w:rPr>
                <w:rFonts w:asciiTheme="minorHAnsi" w:hAnsiTheme="minorHAnsi"/>
                <w:bCs/>
              </w:rPr>
            </w:pPr>
            <w:r w:rsidRPr="00BC31E0">
              <w:rPr>
                <w:rFonts w:asciiTheme="minorHAnsi" w:hAnsiTheme="minorHAnsi" w:hint="eastAsia"/>
                <w:bCs/>
              </w:rPr>
              <w:tab/>
              <w:t>(1</w:t>
            </w:r>
            <w:r w:rsidRPr="00BC31E0">
              <w:rPr>
                <w:rFonts w:asciiTheme="minorHAnsi" w:hAnsiTheme="minorHAnsi"/>
                <w:bCs/>
              </w:rPr>
              <w:t>7</w:t>
            </w:r>
            <w:r w:rsidRPr="00BC31E0">
              <w:rPr>
                <w:rFonts w:asciiTheme="minorHAnsi" w:hAnsiTheme="minorHAnsi" w:hint="eastAsia"/>
                <w:bCs/>
              </w:rPr>
              <w:t>)</w:t>
            </w:r>
          </w:p>
        </w:tc>
      </w:tr>
    </w:tbl>
    <w:p w14:paraId="15B8C30F" w14:textId="77777777" w:rsidR="00FF57A8" w:rsidRPr="00BC31E0" w:rsidRDefault="00FF57A8" w:rsidP="00FF57A8">
      <w:pPr>
        <w:autoSpaceDE w:val="0"/>
        <w:autoSpaceDN w:val="0"/>
        <w:spacing w:before="120" w:after="120"/>
        <w:ind w:left="454"/>
      </w:pPr>
      <w:r w:rsidRPr="00BC31E0">
        <w:rPr>
          <w:rFonts w:hint="eastAsia"/>
        </w:rPr>
        <w:t>クランプリップにおける最大せん断応力</w:t>
      </w:r>
    </w:p>
    <w:tbl>
      <w:tblPr>
        <w:tblStyle w:val="afff2"/>
        <w:tblW w:w="6945" w:type="dxa"/>
        <w:tblInd w:w="2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
        <w:gridCol w:w="5993"/>
      </w:tblGrid>
      <w:tr w:rsidR="00FF57A8" w:rsidRPr="00BC31E0" w14:paraId="47CFA14F" w14:textId="77777777" w:rsidTr="004736F2">
        <w:tc>
          <w:tcPr>
            <w:tcW w:w="0" w:type="auto"/>
            <w:tcMar>
              <w:left w:w="0" w:type="dxa"/>
              <w:right w:w="0" w:type="dxa"/>
            </w:tcMar>
            <w:vAlign w:val="center"/>
          </w:tcPr>
          <w:p w14:paraId="6C1FE532" w14:textId="77777777" w:rsidR="00FF57A8" w:rsidRPr="00BC31E0" w:rsidRDefault="00A51873" w:rsidP="004736F2">
            <w:pPr>
              <w:tabs>
                <w:tab w:val="left" w:pos="2127"/>
                <w:tab w:val="left" w:leader="middleDot" w:pos="8505"/>
              </w:tabs>
              <w:autoSpaceDE w:val="0"/>
              <w:autoSpaceDN w:val="0"/>
              <w:jc w:val="left"/>
              <w:rPr>
                <w:rFonts w:asciiTheme="minorHAnsi" w:hAnsiTheme="minorHAnsi"/>
                <w:bCs/>
                <w:i/>
              </w:rPr>
            </w:pPr>
            <m:oMathPara>
              <m:oMathParaPr>
                <m:jc m:val="left"/>
              </m:oMathParaPr>
              <m:oMath>
                <m:sSub>
                  <m:sSubPr>
                    <m:ctrlPr>
                      <w:rPr>
                        <w:rFonts w:ascii="Cambria Math" w:hAnsi="Cambria Math"/>
                        <w:bCs/>
                        <w:i/>
                      </w:rPr>
                    </m:ctrlPr>
                  </m:sSubPr>
                  <m:e>
                    <m:r>
                      <w:rPr>
                        <w:rFonts w:ascii="Cambria Math" w:hAnsi="Cambria Math"/>
                      </w:rPr>
                      <m:t>S</m:t>
                    </m:r>
                  </m:e>
                  <m:sub>
                    <m:r>
                      <w:rPr>
                        <w:rFonts w:ascii="Cambria Math" w:hAnsi="Cambria Math"/>
                      </w:rPr>
                      <m:t>7</m:t>
                    </m:r>
                  </m:sub>
                </m:sSub>
                <m:r>
                  <w:rPr>
                    <w:rFonts w:ascii="Cambria Math" w:hAnsi="Cambria Math"/>
                  </w:rPr>
                  <m:t>=</m:t>
                </m:r>
                <m:f>
                  <m:fPr>
                    <m:ctrlPr>
                      <w:rPr>
                        <w:rFonts w:ascii="Cambria Math" w:hAnsi="Cambria Math"/>
                        <w:bCs/>
                        <w:i/>
                      </w:rPr>
                    </m:ctrlPr>
                  </m:fPr>
                  <m:num>
                    <m:r>
                      <w:rPr>
                        <w:rFonts w:ascii="Cambria Math" w:hAnsi="Cambria Math"/>
                      </w:rPr>
                      <m:t>1.5 H</m:t>
                    </m:r>
                  </m:num>
                  <m:den>
                    <m:sSub>
                      <m:sSubPr>
                        <m:ctrlPr>
                          <w:rPr>
                            <w:rFonts w:ascii="Cambria Math" w:hAnsi="Cambria Math"/>
                            <w:bCs/>
                            <w:i/>
                          </w:rPr>
                        </m:ctrlPr>
                      </m:sSubPr>
                      <m:e>
                        <m:r>
                          <w:rPr>
                            <w:rFonts w:ascii="Cambria Math" w:hAnsi="Cambria Math"/>
                          </w:rPr>
                          <m:t>A</m:t>
                        </m:r>
                      </m:e>
                      <m:sub>
                        <m:r>
                          <w:rPr>
                            <w:rFonts w:ascii="Cambria Math" w:hAnsi="Cambria Math"/>
                          </w:rPr>
                          <m:t>7</m:t>
                        </m:r>
                      </m:sub>
                    </m:sSub>
                  </m:den>
                </m:f>
              </m:oMath>
            </m:oMathPara>
          </w:p>
        </w:tc>
        <w:tc>
          <w:tcPr>
            <w:tcW w:w="5993" w:type="dxa"/>
            <w:tcMar>
              <w:left w:w="0" w:type="dxa"/>
              <w:right w:w="0" w:type="dxa"/>
            </w:tcMar>
            <w:vAlign w:val="center"/>
          </w:tcPr>
          <w:p w14:paraId="1EA8ABB2" w14:textId="77777777" w:rsidR="00FF57A8" w:rsidRPr="00BC31E0" w:rsidRDefault="00FF57A8" w:rsidP="004736F2">
            <w:pPr>
              <w:tabs>
                <w:tab w:val="left" w:leader="middleDot" w:pos="5426"/>
              </w:tabs>
              <w:autoSpaceDE w:val="0"/>
              <w:autoSpaceDN w:val="0"/>
              <w:jc w:val="left"/>
              <w:rPr>
                <w:rFonts w:asciiTheme="minorHAnsi" w:hAnsiTheme="minorHAnsi"/>
                <w:bCs/>
              </w:rPr>
            </w:pPr>
            <w:r w:rsidRPr="00BC31E0">
              <w:rPr>
                <w:rFonts w:asciiTheme="minorHAnsi" w:hAnsiTheme="minorHAnsi" w:hint="eastAsia"/>
                <w:bCs/>
              </w:rPr>
              <w:tab/>
              <w:t>(1</w:t>
            </w:r>
            <w:r w:rsidRPr="00BC31E0">
              <w:rPr>
                <w:rFonts w:asciiTheme="minorHAnsi" w:hAnsiTheme="minorHAnsi"/>
                <w:bCs/>
              </w:rPr>
              <w:t>8</w:t>
            </w:r>
            <w:r w:rsidRPr="00BC31E0">
              <w:rPr>
                <w:rFonts w:asciiTheme="minorHAnsi" w:hAnsiTheme="minorHAnsi" w:hint="eastAsia"/>
                <w:bCs/>
              </w:rPr>
              <w:t>)</w:t>
            </w:r>
          </w:p>
        </w:tc>
      </w:tr>
    </w:tbl>
    <w:p w14:paraId="036C1EC8" w14:textId="77777777" w:rsidR="00FF57A8" w:rsidRPr="00BC31E0" w:rsidRDefault="00FF57A8" w:rsidP="00FF57A8">
      <w:pPr>
        <w:autoSpaceDE w:val="0"/>
        <w:autoSpaceDN w:val="0"/>
        <w:spacing w:before="120" w:after="120"/>
        <w:ind w:left="454"/>
      </w:pPr>
      <w:r w:rsidRPr="00BC31E0">
        <w:rPr>
          <w:rFonts w:hint="eastAsia"/>
        </w:rPr>
        <w:t>クランプリップの曲げ応力</w:t>
      </w:r>
    </w:p>
    <w:tbl>
      <w:tblPr>
        <w:tblStyle w:val="afff2"/>
        <w:tblW w:w="6945" w:type="dxa"/>
        <w:tblInd w:w="2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0"/>
        <w:gridCol w:w="4725"/>
      </w:tblGrid>
      <w:tr w:rsidR="00FF57A8" w:rsidRPr="00BC31E0" w14:paraId="61E23759" w14:textId="77777777" w:rsidTr="004736F2">
        <w:tc>
          <w:tcPr>
            <w:tcW w:w="0" w:type="auto"/>
            <w:tcMar>
              <w:left w:w="0" w:type="dxa"/>
              <w:right w:w="0" w:type="dxa"/>
            </w:tcMar>
            <w:vAlign w:val="center"/>
          </w:tcPr>
          <w:p w14:paraId="65E59248" w14:textId="77777777" w:rsidR="00FF57A8" w:rsidRPr="00BC31E0" w:rsidRDefault="00A51873" w:rsidP="004736F2">
            <w:pPr>
              <w:tabs>
                <w:tab w:val="left" w:pos="2127"/>
                <w:tab w:val="left" w:leader="middleDot" w:pos="8505"/>
              </w:tabs>
              <w:autoSpaceDE w:val="0"/>
              <w:autoSpaceDN w:val="0"/>
              <w:jc w:val="left"/>
              <w:rPr>
                <w:rFonts w:asciiTheme="minorHAnsi" w:hAnsiTheme="minorHAnsi"/>
                <w:bCs/>
                <w:i/>
              </w:rPr>
            </w:pPr>
            <m:oMathPara>
              <m:oMathParaPr>
                <m:jc m:val="left"/>
              </m:oMathParaPr>
              <m:oMath>
                <m:sSub>
                  <m:sSubPr>
                    <m:ctrlPr>
                      <w:rPr>
                        <w:rFonts w:ascii="Cambria Math" w:hAnsi="Cambria Math"/>
                        <w:bCs/>
                        <w:i/>
                      </w:rPr>
                    </m:ctrlPr>
                  </m:sSubPr>
                  <m:e>
                    <m:r>
                      <w:rPr>
                        <w:rFonts w:ascii="Cambria Math" w:hAnsi="Cambria Math"/>
                      </w:rPr>
                      <m:t>S</m:t>
                    </m:r>
                  </m:e>
                  <m:sub>
                    <m:r>
                      <w:rPr>
                        <w:rFonts w:ascii="Cambria Math" w:hAnsi="Cambria Math"/>
                      </w:rPr>
                      <m:t>8</m:t>
                    </m:r>
                  </m:sub>
                </m:sSub>
                <m:r>
                  <w:rPr>
                    <w:rFonts w:ascii="Cambria Math" w:hAnsi="Cambria Math"/>
                  </w:rPr>
                  <m:t>=</m:t>
                </m:r>
                <m:f>
                  <m:fPr>
                    <m:ctrlPr>
                      <w:rPr>
                        <w:rFonts w:ascii="Cambria Math" w:hAnsi="Cambria Math"/>
                        <w:bCs/>
                        <w:i/>
                      </w:rPr>
                    </m:ctrlPr>
                  </m:fPr>
                  <m:num>
                    <m:r>
                      <w:rPr>
                        <w:rFonts w:ascii="Cambria Math" w:hAnsi="Cambria Math"/>
                      </w:rPr>
                      <m:t xml:space="preserve">6 H </m:t>
                    </m:r>
                    <m:sSub>
                      <m:sSubPr>
                        <m:ctrlPr>
                          <w:rPr>
                            <w:rFonts w:ascii="Cambria Math" w:hAnsi="Cambria Math"/>
                            <w:bCs/>
                            <w:i/>
                          </w:rPr>
                        </m:ctrlPr>
                      </m:sSubPr>
                      <m:e>
                        <m:r>
                          <w:rPr>
                            <w:rFonts w:ascii="Cambria Math" w:hAnsi="Cambria Math"/>
                          </w:rPr>
                          <m:t>l</m:t>
                        </m:r>
                      </m:e>
                      <m:sub>
                        <m:r>
                          <w:rPr>
                            <w:rFonts w:ascii="Cambria Math" w:hAnsi="Cambria Math"/>
                          </w:rPr>
                          <m:t>m</m:t>
                        </m:r>
                      </m:sub>
                    </m:sSub>
                  </m:num>
                  <m:den>
                    <m:r>
                      <w:rPr>
                        <w:rFonts w:ascii="Cambria Math" w:hAnsi="Cambria Math"/>
                      </w:rPr>
                      <m:t xml:space="preserve">π C </m:t>
                    </m:r>
                    <m:sSup>
                      <m:sSupPr>
                        <m:ctrlPr>
                          <w:rPr>
                            <w:rFonts w:ascii="Cambria Math" w:hAnsi="Cambria Math"/>
                            <w:bCs/>
                            <w:i/>
                          </w:rPr>
                        </m:ctrlPr>
                      </m:sSupPr>
                      <m:e>
                        <m:d>
                          <m:dPr>
                            <m:begChr m:val="{"/>
                            <m:endChr m:val="}"/>
                            <m:ctrlPr>
                              <w:rPr>
                                <w:rFonts w:ascii="Cambria Math" w:hAnsi="Cambria Math"/>
                                <w:bCs/>
                                <w:i/>
                              </w:rPr>
                            </m:ctrlPr>
                          </m:dPr>
                          <m:e>
                            <m:f>
                              <m:fPr>
                                <m:type m:val="lin"/>
                                <m:ctrlPr>
                                  <w:rPr>
                                    <w:rFonts w:ascii="Cambria Math" w:hAnsi="Cambria Math"/>
                                    <w:bCs/>
                                    <w:i/>
                                  </w:rPr>
                                </m:ctrlPr>
                              </m:fPr>
                              <m:num>
                                <m:d>
                                  <m:dPr>
                                    <m:ctrlPr>
                                      <w:rPr>
                                        <w:rFonts w:ascii="Cambria Math" w:hAnsi="Cambria Math"/>
                                        <w:bCs/>
                                        <w:i/>
                                      </w:rPr>
                                    </m:ctrlPr>
                                  </m:dPr>
                                  <m:e>
                                    <m:sSub>
                                      <m:sSubPr>
                                        <m:ctrlPr>
                                          <w:rPr>
                                            <w:rFonts w:ascii="Cambria Math" w:hAnsi="Cambria Math"/>
                                            <w:bCs/>
                                            <w:i/>
                                          </w:rPr>
                                        </m:ctrlPr>
                                      </m:sSubPr>
                                      <m:e>
                                        <m:r>
                                          <w:rPr>
                                            <w:rFonts w:ascii="Cambria Math" w:hAnsi="Cambria Math"/>
                                          </w:rPr>
                                          <m:t>C</m:t>
                                        </m:r>
                                      </m:e>
                                      <m:sub>
                                        <m:r>
                                          <w:rPr>
                                            <w:rFonts w:ascii="Cambria Math" w:hAnsi="Cambria Math"/>
                                          </w:rPr>
                                          <m:t>w</m:t>
                                        </m:r>
                                      </m:sub>
                                    </m:sSub>
                                    <m:r>
                                      <w:rPr>
                                        <w:rFonts w:ascii="Cambria Math" w:hAnsi="Cambria Math"/>
                                      </w:rPr>
                                      <m:t>-</m:t>
                                    </m:r>
                                    <m:sSub>
                                      <m:sSubPr>
                                        <m:ctrlPr>
                                          <w:rPr>
                                            <w:rFonts w:ascii="Cambria Math" w:hAnsi="Cambria Math"/>
                                            <w:bCs/>
                                            <w:i/>
                                          </w:rPr>
                                        </m:ctrlPr>
                                      </m:sSubPr>
                                      <m:e>
                                        <m:r>
                                          <w:rPr>
                                            <w:rFonts w:ascii="Cambria Math" w:hAnsi="Cambria Math"/>
                                          </w:rPr>
                                          <m:t>C</m:t>
                                        </m:r>
                                      </m:e>
                                      <m:sub>
                                        <m:r>
                                          <w:rPr>
                                            <w:rFonts w:ascii="Cambria Math" w:hAnsi="Cambria Math"/>
                                          </w:rPr>
                                          <m:t>g</m:t>
                                        </m:r>
                                      </m:sub>
                                    </m:sSub>
                                  </m:e>
                                </m:d>
                              </m:num>
                              <m:den>
                                <m:r>
                                  <w:rPr>
                                    <w:rFonts w:ascii="Cambria Math" w:hAnsi="Cambria Math"/>
                                  </w:rPr>
                                  <m:t>2</m:t>
                                </m:r>
                              </m:den>
                            </m:f>
                          </m:e>
                        </m:d>
                      </m:e>
                      <m:sup>
                        <m:r>
                          <w:rPr>
                            <w:rFonts w:ascii="Cambria Math" w:hAnsi="Cambria Math"/>
                          </w:rPr>
                          <m:t>2</m:t>
                        </m:r>
                      </m:sup>
                    </m:sSup>
                  </m:den>
                </m:f>
              </m:oMath>
            </m:oMathPara>
          </w:p>
        </w:tc>
        <w:tc>
          <w:tcPr>
            <w:tcW w:w="4725" w:type="dxa"/>
            <w:tcMar>
              <w:left w:w="0" w:type="dxa"/>
              <w:right w:w="0" w:type="dxa"/>
            </w:tcMar>
            <w:vAlign w:val="center"/>
          </w:tcPr>
          <w:p w14:paraId="3329B3C4" w14:textId="77777777" w:rsidR="00FF57A8" w:rsidRPr="00BC31E0" w:rsidRDefault="00FF57A8" w:rsidP="004736F2">
            <w:pPr>
              <w:tabs>
                <w:tab w:val="left" w:leader="middleDot" w:pos="4158"/>
              </w:tabs>
              <w:autoSpaceDE w:val="0"/>
              <w:autoSpaceDN w:val="0"/>
              <w:jc w:val="left"/>
              <w:rPr>
                <w:rFonts w:asciiTheme="minorHAnsi" w:hAnsiTheme="minorHAnsi"/>
                <w:bCs/>
              </w:rPr>
            </w:pPr>
            <w:r w:rsidRPr="00BC31E0">
              <w:rPr>
                <w:rFonts w:asciiTheme="minorHAnsi" w:hAnsiTheme="minorHAnsi" w:hint="eastAsia"/>
                <w:bCs/>
              </w:rPr>
              <w:tab/>
              <w:t>(1</w:t>
            </w:r>
            <w:r w:rsidRPr="00BC31E0">
              <w:rPr>
                <w:rFonts w:asciiTheme="minorHAnsi" w:hAnsiTheme="minorHAnsi"/>
                <w:bCs/>
              </w:rPr>
              <w:t>9</w:t>
            </w:r>
            <w:r w:rsidRPr="00BC31E0">
              <w:rPr>
                <w:rFonts w:asciiTheme="minorHAnsi" w:hAnsiTheme="minorHAnsi" w:hint="eastAsia"/>
                <w:bCs/>
              </w:rPr>
              <w:t>)</w:t>
            </w:r>
          </w:p>
        </w:tc>
      </w:tr>
    </w:tbl>
    <w:p w14:paraId="3E7246AC" w14:textId="77777777" w:rsidR="00FF57A8" w:rsidRPr="00BC31E0" w:rsidRDefault="00FF57A8" w:rsidP="00FF57A8">
      <w:pPr>
        <w:autoSpaceDE w:val="0"/>
        <w:autoSpaceDN w:val="0"/>
        <w:spacing w:before="120" w:after="120"/>
        <w:ind w:left="454"/>
      </w:pPr>
      <w:r w:rsidRPr="00BC31E0">
        <w:rPr>
          <w:rFonts w:hint="eastAsia"/>
        </w:rPr>
        <w:t>クランプラグの曲げ応力</w:t>
      </w:r>
    </w:p>
    <w:tbl>
      <w:tblPr>
        <w:tblStyle w:val="afff2"/>
        <w:tblW w:w="6945" w:type="dxa"/>
        <w:tblInd w:w="2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9"/>
        <w:gridCol w:w="5466"/>
      </w:tblGrid>
      <w:tr w:rsidR="00FF57A8" w:rsidRPr="00BC31E0" w14:paraId="1FCD6DE1" w14:textId="77777777" w:rsidTr="004736F2">
        <w:tc>
          <w:tcPr>
            <w:tcW w:w="0" w:type="auto"/>
            <w:tcMar>
              <w:left w:w="0" w:type="dxa"/>
              <w:right w:w="0" w:type="dxa"/>
            </w:tcMar>
            <w:vAlign w:val="center"/>
          </w:tcPr>
          <w:p w14:paraId="410DF932" w14:textId="77777777" w:rsidR="00FF57A8" w:rsidRPr="00BC31E0" w:rsidRDefault="00A51873" w:rsidP="004736F2">
            <w:pPr>
              <w:tabs>
                <w:tab w:val="left" w:pos="2127"/>
                <w:tab w:val="left" w:leader="middleDot" w:pos="8505"/>
              </w:tabs>
              <w:autoSpaceDE w:val="0"/>
              <w:autoSpaceDN w:val="0"/>
              <w:jc w:val="left"/>
              <w:rPr>
                <w:rFonts w:asciiTheme="minorHAnsi" w:hAnsiTheme="minorHAnsi"/>
                <w:bCs/>
                <w:i/>
              </w:rPr>
            </w:pPr>
            <m:oMathPara>
              <m:oMathParaPr>
                <m:jc m:val="left"/>
              </m:oMathParaPr>
              <m:oMath>
                <m:sSub>
                  <m:sSubPr>
                    <m:ctrlPr>
                      <w:rPr>
                        <w:rFonts w:ascii="Cambria Math" w:hAnsi="Cambria Math"/>
                        <w:bCs/>
                        <w:i/>
                      </w:rPr>
                    </m:ctrlPr>
                  </m:sSubPr>
                  <m:e>
                    <m:r>
                      <w:rPr>
                        <w:rFonts w:ascii="Cambria Math" w:hAnsi="Cambria Math"/>
                      </w:rPr>
                      <m:t>S</m:t>
                    </m:r>
                  </m:e>
                  <m:sub>
                    <m:r>
                      <w:rPr>
                        <w:rFonts w:ascii="Cambria Math" w:hAnsi="Cambria Math"/>
                      </w:rPr>
                      <m:t>9</m:t>
                    </m:r>
                  </m:sub>
                </m:sSub>
                <m:r>
                  <w:rPr>
                    <w:rFonts w:ascii="Cambria Math" w:hAnsi="Cambria Math"/>
                  </w:rPr>
                  <m:t>=3 W</m:t>
                </m:r>
                <m:f>
                  <m:fPr>
                    <m:ctrlPr>
                      <w:rPr>
                        <w:rFonts w:ascii="Cambria Math" w:hAnsi="Cambria Math"/>
                        <w:bCs/>
                        <w:i/>
                      </w:rPr>
                    </m:ctrlPr>
                  </m:fPr>
                  <m:num>
                    <m:sSub>
                      <m:sSubPr>
                        <m:ctrlPr>
                          <w:rPr>
                            <w:rFonts w:ascii="Cambria Math" w:hAnsi="Cambria Math"/>
                            <w:bCs/>
                            <w:i/>
                          </w:rPr>
                        </m:ctrlPr>
                      </m:sSubPr>
                      <m:e>
                        <m:r>
                          <w:rPr>
                            <w:rFonts w:ascii="Cambria Math" w:hAnsi="Cambria Math"/>
                          </w:rPr>
                          <m:t>L</m:t>
                        </m:r>
                      </m:e>
                      <m:sub>
                        <m:r>
                          <w:rPr>
                            <w:rFonts w:ascii="Cambria Math" w:hAnsi="Cambria Math"/>
                          </w:rPr>
                          <m:t>a</m:t>
                        </m:r>
                      </m:sub>
                    </m:sSub>
                  </m:num>
                  <m:den>
                    <m:sSub>
                      <m:sSubPr>
                        <m:ctrlPr>
                          <w:rPr>
                            <w:rFonts w:ascii="Cambria Math" w:hAnsi="Cambria Math"/>
                            <w:bCs/>
                            <w:i/>
                          </w:rPr>
                        </m:ctrlPr>
                      </m:sSubPr>
                      <m:e>
                        <m:r>
                          <w:rPr>
                            <w:rFonts w:ascii="Cambria Math" w:hAnsi="Cambria Math"/>
                          </w:rPr>
                          <m:t>L</m:t>
                        </m:r>
                      </m:e>
                      <m:sub>
                        <m:r>
                          <w:rPr>
                            <w:rFonts w:ascii="Cambria Math" w:hAnsi="Cambria Math"/>
                          </w:rPr>
                          <m:t>w</m:t>
                        </m:r>
                      </m:sub>
                    </m:sSub>
                    <m:r>
                      <w:rPr>
                        <w:rFonts w:ascii="Cambria Math" w:hAnsi="Cambria Math"/>
                      </w:rPr>
                      <m:t xml:space="preserve"> </m:t>
                    </m:r>
                    <m:sSup>
                      <m:sSupPr>
                        <m:ctrlPr>
                          <w:rPr>
                            <w:rFonts w:ascii="Cambria Math" w:hAnsi="Cambria Math"/>
                            <w:bCs/>
                            <w:i/>
                          </w:rPr>
                        </m:ctrlPr>
                      </m:sSupPr>
                      <m:e>
                        <m:sSub>
                          <m:sSubPr>
                            <m:ctrlPr>
                              <w:rPr>
                                <w:rFonts w:ascii="Cambria Math" w:hAnsi="Cambria Math"/>
                                <w:bCs/>
                                <w:i/>
                              </w:rPr>
                            </m:ctrlPr>
                          </m:sSubPr>
                          <m:e>
                            <m:r>
                              <w:rPr>
                                <w:rFonts w:ascii="Cambria Math" w:hAnsi="Cambria Math"/>
                              </w:rPr>
                              <m:t>L</m:t>
                            </m:r>
                          </m:e>
                          <m:sub>
                            <m:r>
                              <w:rPr>
                                <w:rFonts w:ascii="Cambria Math" w:hAnsi="Cambria Math"/>
                              </w:rPr>
                              <m:t>h</m:t>
                            </m:r>
                          </m:sub>
                        </m:sSub>
                      </m:e>
                      <m:sup>
                        <m:r>
                          <w:rPr>
                            <w:rFonts w:ascii="Cambria Math" w:hAnsi="Cambria Math"/>
                          </w:rPr>
                          <m:t>2</m:t>
                        </m:r>
                      </m:sup>
                    </m:sSup>
                  </m:den>
                </m:f>
              </m:oMath>
            </m:oMathPara>
          </w:p>
        </w:tc>
        <w:tc>
          <w:tcPr>
            <w:tcW w:w="5466" w:type="dxa"/>
            <w:tcMar>
              <w:left w:w="0" w:type="dxa"/>
              <w:right w:w="0" w:type="dxa"/>
            </w:tcMar>
            <w:vAlign w:val="center"/>
          </w:tcPr>
          <w:p w14:paraId="501DBC4B" w14:textId="77777777" w:rsidR="00FF57A8" w:rsidRPr="00BC31E0" w:rsidRDefault="00FF57A8" w:rsidP="004736F2">
            <w:pPr>
              <w:tabs>
                <w:tab w:val="left" w:leader="middleDot" w:pos="4899"/>
              </w:tabs>
              <w:autoSpaceDE w:val="0"/>
              <w:autoSpaceDN w:val="0"/>
              <w:jc w:val="left"/>
              <w:rPr>
                <w:rFonts w:asciiTheme="minorHAnsi" w:hAnsiTheme="minorHAnsi"/>
                <w:bCs/>
              </w:rPr>
            </w:pPr>
            <w:r w:rsidRPr="00BC31E0">
              <w:rPr>
                <w:rFonts w:asciiTheme="minorHAnsi" w:hAnsiTheme="minorHAnsi" w:hint="eastAsia"/>
                <w:bCs/>
              </w:rPr>
              <w:tab/>
              <w:t>(</w:t>
            </w:r>
            <w:r w:rsidRPr="00BC31E0">
              <w:rPr>
                <w:rFonts w:asciiTheme="minorHAnsi" w:hAnsiTheme="minorHAnsi"/>
                <w:bCs/>
              </w:rPr>
              <w:t>20</w:t>
            </w:r>
            <w:r w:rsidRPr="00BC31E0">
              <w:rPr>
                <w:rFonts w:asciiTheme="minorHAnsi" w:hAnsiTheme="minorHAnsi" w:hint="eastAsia"/>
                <w:bCs/>
              </w:rPr>
              <w:t>)</w:t>
            </w:r>
          </w:p>
        </w:tc>
      </w:tr>
    </w:tbl>
    <w:p w14:paraId="26FD020B" w14:textId="77777777" w:rsidR="00FF57A8" w:rsidRPr="00BC31E0" w:rsidRDefault="00FF57A8" w:rsidP="00FF57A8">
      <w:pPr>
        <w:autoSpaceDE w:val="0"/>
        <w:autoSpaceDN w:val="0"/>
        <w:spacing w:before="120" w:after="120"/>
        <w:ind w:left="454"/>
      </w:pPr>
      <w:r w:rsidRPr="00BC31E0">
        <w:rPr>
          <w:rFonts w:hint="eastAsia"/>
        </w:rPr>
        <w:t>クランプラグの最大せん断応力</w:t>
      </w:r>
    </w:p>
    <w:tbl>
      <w:tblPr>
        <w:tblStyle w:val="afff2"/>
        <w:tblW w:w="6945" w:type="dxa"/>
        <w:tblInd w:w="2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9"/>
        <w:gridCol w:w="5746"/>
      </w:tblGrid>
      <w:tr w:rsidR="00FF57A8" w:rsidRPr="00BC31E0" w14:paraId="721932CB" w14:textId="77777777" w:rsidTr="004736F2">
        <w:tc>
          <w:tcPr>
            <w:tcW w:w="0" w:type="auto"/>
            <w:tcMar>
              <w:left w:w="0" w:type="dxa"/>
              <w:right w:w="0" w:type="dxa"/>
            </w:tcMar>
            <w:vAlign w:val="center"/>
          </w:tcPr>
          <w:p w14:paraId="53442767" w14:textId="77777777" w:rsidR="00FF57A8" w:rsidRPr="00BC31E0" w:rsidRDefault="00A51873" w:rsidP="004736F2">
            <w:pPr>
              <w:tabs>
                <w:tab w:val="left" w:pos="2127"/>
                <w:tab w:val="left" w:leader="middleDot" w:pos="8505"/>
              </w:tabs>
              <w:autoSpaceDE w:val="0"/>
              <w:autoSpaceDN w:val="0"/>
              <w:jc w:val="left"/>
              <w:rPr>
                <w:rFonts w:asciiTheme="minorHAnsi" w:hAnsiTheme="minorHAnsi"/>
                <w:bCs/>
                <w:i/>
              </w:rPr>
            </w:pPr>
            <m:oMathPara>
              <m:oMathParaPr>
                <m:jc m:val="left"/>
              </m:oMathParaPr>
              <m:oMath>
                <m:sSub>
                  <m:sSubPr>
                    <m:ctrlPr>
                      <w:rPr>
                        <w:rFonts w:ascii="Cambria Math" w:hAnsi="Cambria Math"/>
                        <w:bCs/>
                        <w:i/>
                      </w:rPr>
                    </m:ctrlPr>
                  </m:sSubPr>
                  <m:e>
                    <m:r>
                      <w:rPr>
                        <w:rFonts w:ascii="Cambria Math" w:hAnsi="Cambria Math"/>
                      </w:rPr>
                      <m:t>S</m:t>
                    </m:r>
                  </m:e>
                  <m:sub>
                    <m:r>
                      <w:rPr>
                        <w:rFonts w:ascii="Cambria Math" w:hAnsi="Cambria Math"/>
                      </w:rPr>
                      <m:t>10</m:t>
                    </m:r>
                  </m:sub>
                </m:sSub>
                <m:r>
                  <w:rPr>
                    <w:rFonts w:ascii="Cambria Math" w:hAnsi="Cambria Math"/>
                  </w:rPr>
                  <m:t>=</m:t>
                </m:r>
                <m:f>
                  <m:fPr>
                    <m:ctrlPr>
                      <w:rPr>
                        <w:rFonts w:ascii="Cambria Math" w:hAnsi="Cambria Math"/>
                        <w:bCs/>
                        <w:i/>
                      </w:rPr>
                    </m:ctrlPr>
                  </m:fPr>
                  <m:num>
                    <m:r>
                      <w:rPr>
                        <w:rFonts w:ascii="Cambria Math" w:hAnsi="Cambria Math"/>
                      </w:rPr>
                      <m:t>0.75 W</m:t>
                    </m:r>
                  </m:num>
                  <m:den>
                    <m:sSub>
                      <m:sSubPr>
                        <m:ctrlPr>
                          <w:rPr>
                            <w:rFonts w:ascii="Cambria Math" w:hAnsi="Cambria Math"/>
                            <w:bCs/>
                            <w:i/>
                          </w:rPr>
                        </m:ctrlPr>
                      </m:sSubPr>
                      <m:e>
                        <m:r>
                          <w:rPr>
                            <w:rFonts w:ascii="Cambria Math" w:hAnsi="Cambria Math"/>
                          </w:rPr>
                          <m:t>L</m:t>
                        </m:r>
                      </m:e>
                      <m:sub>
                        <m:r>
                          <w:rPr>
                            <w:rFonts w:ascii="Cambria Math" w:hAnsi="Cambria Math"/>
                          </w:rPr>
                          <m:t>w</m:t>
                        </m:r>
                      </m:sub>
                    </m:sSub>
                    <m:r>
                      <w:rPr>
                        <w:rFonts w:ascii="Cambria Math" w:hAnsi="Cambria Math"/>
                      </w:rPr>
                      <m:t xml:space="preserve"> </m:t>
                    </m:r>
                    <m:sSub>
                      <m:sSubPr>
                        <m:ctrlPr>
                          <w:rPr>
                            <w:rFonts w:ascii="Cambria Math" w:hAnsi="Cambria Math"/>
                            <w:bCs/>
                            <w:i/>
                          </w:rPr>
                        </m:ctrlPr>
                      </m:sSubPr>
                      <m:e>
                        <m:r>
                          <w:rPr>
                            <w:rFonts w:ascii="Cambria Math" w:hAnsi="Cambria Math"/>
                          </w:rPr>
                          <m:t>L</m:t>
                        </m:r>
                      </m:e>
                      <m:sub>
                        <m:r>
                          <w:rPr>
                            <w:rFonts w:ascii="Cambria Math" w:hAnsi="Cambria Math"/>
                          </w:rPr>
                          <m:t>h</m:t>
                        </m:r>
                      </m:sub>
                    </m:sSub>
                  </m:den>
                </m:f>
              </m:oMath>
            </m:oMathPara>
          </w:p>
        </w:tc>
        <w:tc>
          <w:tcPr>
            <w:tcW w:w="5746" w:type="dxa"/>
            <w:tcMar>
              <w:left w:w="0" w:type="dxa"/>
              <w:right w:w="0" w:type="dxa"/>
            </w:tcMar>
            <w:vAlign w:val="center"/>
          </w:tcPr>
          <w:p w14:paraId="78A8783A" w14:textId="77777777" w:rsidR="00FF57A8" w:rsidRPr="00BC31E0" w:rsidRDefault="00FF57A8" w:rsidP="004736F2">
            <w:pPr>
              <w:tabs>
                <w:tab w:val="left" w:leader="middleDot" w:pos="5179"/>
              </w:tabs>
              <w:autoSpaceDE w:val="0"/>
              <w:autoSpaceDN w:val="0"/>
              <w:jc w:val="left"/>
              <w:rPr>
                <w:rFonts w:asciiTheme="minorHAnsi" w:hAnsiTheme="minorHAnsi"/>
                <w:bCs/>
              </w:rPr>
            </w:pPr>
            <w:r w:rsidRPr="00BC31E0">
              <w:rPr>
                <w:rFonts w:asciiTheme="minorHAnsi" w:hAnsiTheme="minorHAnsi" w:hint="eastAsia"/>
                <w:bCs/>
              </w:rPr>
              <w:tab/>
              <w:t>(2</w:t>
            </w:r>
            <w:r w:rsidRPr="00BC31E0">
              <w:rPr>
                <w:rFonts w:asciiTheme="minorHAnsi" w:hAnsiTheme="minorHAnsi"/>
                <w:bCs/>
              </w:rPr>
              <w:t>1</w:t>
            </w:r>
            <w:r w:rsidRPr="00BC31E0">
              <w:rPr>
                <w:rFonts w:asciiTheme="minorHAnsi" w:hAnsiTheme="minorHAnsi" w:hint="eastAsia"/>
                <w:bCs/>
              </w:rPr>
              <w:t>)</w:t>
            </w:r>
          </w:p>
        </w:tc>
      </w:tr>
    </w:tbl>
    <w:p w14:paraId="4BBE7AF9" w14:textId="77777777" w:rsidR="00FF57A8" w:rsidRPr="00BC31E0" w:rsidRDefault="00FF57A8" w:rsidP="00FF57A8">
      <w:pPr>
        <w:autoSpaceDE w:val="0"/>
        <w:autoSpaceDN w:val="0"/>
        <w:spacing w:before="120" w:after="120"/>
        <w:ind w:left="454"/>
      </w:pPr>
      <w:r w:rsidRPr="00BC31E0">
        <w:rPr>
          <w:rFonts w:hint="eastAsia"/>
        </w:rPr>
        <w:t>クランプとハブの間の有効支圧応力</w:t>
      </w:r>
    </w:p>
    <w:tbl>
      <w:tblPr>
        <w:tblStyle w:val="afff2"/>
        <w:tblW w:w="6945" w:type="dxa"/>
        <w:tblInd w:w="2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8"/>
        <w:gridCol w:w="4817"/>
      </w:tblGrid>
      <w:tr w:rsidR="00FF57A8" w:rsidRPr="00BC31E0" w14:paraId="7C4AA23D" w14:textId="77777777" w:rsidTr="004736F2">
        <w:tc>
          <w:tcPr>
            <w:tcW w:w="0" w:type="auto"/>
            <w:tcMar>
              <w:left w:w="0" w:type="dxa"/>
              <w:right w:w="0" w:type="dxa"/>
            </w:tcMar>
            <w:vAlign w:val="center"/>
          </w:tcPr>
          <w:p w14:paraId="65808B94" w14:textId="77777777" w:rsidR="00FF57A8" w:rsidRPr="00BC31E0" w:rsidRDefault="00A51873" w:rsidP="004736F2">
            <w:pPr>
              <w:tabs>
                <w:tab w:val="left" w:pos="2127"/>
                <w:tab w:val="left" w:leader="middleDot" w:pos="8505"/>
              </w:tabs>
              <w:autoSpaceDE w:val="0"/>
              <w:autoSpaceDN w:val="0"/>
              <w:jc w:val="left"/>
              <w:rPr>
                <w:rFonts w:asciiTheme="minorHAnsi" w:hAnsiTheme="minorHAnsi"/>
                <w:bCs/>
                <w:i/>
              </w:rPr>
            </w:pPr>
            <m:oMathPara>
              <m:oMathParaPr>
                <m:jc m:val="left"/>
              </m:oMathParaPr>
              <m:oMath>
                <m:sSub>
                  <m:sSubPr>
                    <m:ctrlPr>
                      <w:rPr>
                        <w:rFonts w:ascii="Cambria Math" w:hAnsi="Cambria Math"/>
                        <w:bCs/>
                        <w:i/>
                      </w:rPr>
                    </m:ctrlPr>
                  </m:sSubPr>
                  <m:e>
                    <m:r>
                      <w:rPr>
                        <w:rFonts w:ascii="Cambria Math" w:hAnsi="Cambria Math"/>
                      </w:rPr>
                      <m:t>S</m:t>
                    </m:r>
                  </m:e>
                  <m:sub>
                    <m:r>
                      <w:rPr>
                        <w:rFonts w:ascii="Cambria Math" w:hAnsi="Cambria Math"/>
                      </w:rPr>
                      <m:t>11</m:t>
                    </m:r>
                  </m:sub>
                </m:sSub>
                <m:r>
                  <w:rPr>
                    <w:rFonts w:ascii="Cambria Math" w:hAnsi="Cambria Math"/>
                  </w:rPr>
                  <m:t>=</m:t>
                </m:r>
                <m:f>
                  <m:fPr>
                    <m:ctrlPr>
                      <w:rPr>
                        <w:rFonts w:ascii="Cambria Math" w:hAnsi="Cambria Math"/>
                        <w:bCs/>
                        <w:i/>
                      </w:rPr>
                    </m:ctrlPr>
                  </m:fPr>
                  <m:num>
                    <m:r>
                      <w:rPr>
                        <w:rFonts w:ascii="Cambria Math" w:hAnsi="Cambria Math"/>
                      </w:rPr>
                      <m:t>H</m:t>
                    </m:r>
                  </m:num>
                  <m:den>
                    <m:r>
                      <w:rPr>
                        <w:rFonts w:ascii="Cambria Math" w:hAnsi="Cambria Math"/>
                      </w:rPr>
                      <m:t>π C</m:t>
                    </m:r>
                    <m:f>
                      <m:fPr>
                        <m:type m:val="lin"/>
                        <m:ctrlPr>
                          <w:rPr>
                            <w:rFonts w:ascii="Cambria Math" w:hAnsi="Cambria Math"/>
                            <w:bCs/>
                            <w:i/>
                          </w:rPr>
                        </m:ctrlPr>
                      </m:fPr>
                      <m:num>
                        <m:d>
                          <m:dPr>
                            <m:ctrlPr>
                              <w:rPr>
                                <w:rFonts w:ascii="Cambria Math" w:hAnsi="Cambria Math"/>
                                <w:bCs/>
                                <w:i/>
                              </w:rPr>
                            </m:ctrlPr>
                          </m:dPr>
                          <m:e>
                            <m:sSub>
                              <m:sSubPr>
                                <m:ctrlPr>
                                  <w:rPr>
                                    <w:rFonts w:ascii="Cambria Math" w:hAnsi="Cambria Math"/>
                                    <w:bCs/>
                                    <w:i/>
                                  </w:rPr>
                                </m:ctrlPr>
                              </m:sSubPr>
                              <m:e>
                                <m:r>
                                  <w:rPr>
                                    <w:rFonts w:ascii="Cambria Math" w:hAnsi="Cambria Math"/>
                                  </w:rPr>
                                  <m:t>A</m:t>
                                </m:r>
                              </m:e>
                              <m:sub>
                                <m:r>
                                  <w:rPr>
                                    <w:rFonts w:ascii="Cambria Math" w:hAnsi="Cambria Math"/>
                                  </w:rPr>
                                  <m:t>or</m:t>
                                </m:r>
                              </m:sub>
                            </m:sSub>
                            <m:r>
                              <w:rPr>
                                <w:rFonts w:ascii="Cambria Math" w:hAnsi="Cambria Math"/>
                              </w:rPr>
                              <m:t>-</m:t>
                            </m:r>
                            <m:sSub>
                              <m:sSubPr>
                                <m:ctrlPr>
                                  <w:rPr>
                                    <w:rFonts w:ascii="Cambria Math" w:hAnsi="Cambria Math"/>
                                    <w:bCs/>
                                    <w:i/>
                                  </w:rPr>
                                </m:ctrlPr>
                              </m:sSubPr>
                              <m:e>
                                <m:r>
                                  <w:rPr>
                                    <w:rFonts w:ascii="Cambria Math" w:hAnsi="Cambria Math"/>
                                  </w:rPr>
                                  <m:t>C</m:t>
                                </m:r>
                              </m:e>
                              <m:sub>
                                <m:r>
                                  <w:rPr>
                                    <w:rFonts w:ascii="Cambria Math" w:hAnsi="Cambria Math"/>
                                  </w:rPr>
                                  <m:t>ir</m:t>
                                </m:r>
                              </m:sub>
                            </m:sSub>
                          </m:e>
                        </m:d>
                      </m:num>
                      <m:den>
                        <m:r>
                          <w:rPr>
                            <w:rFonts w:ascii="Cambria Math" w:hAnsi="Cambria Math"/>
                          </w:rPr>
                          <m:t>2</m:t>
                        </m:r>
                      </m:den>
                    </m:f>
                  </m:den>
                </m:f>
              </m:oMath>
            </m:oMathPara>
          </w:p>
        </w:tc>
        <w:tc>
          <w:tcPr>
            <w:tcW w:w="4817" w:type="dxa"/>
            <w:tcMar>
              <w:left w:w="0" w:type="dxa"/>
              <w:right w:w="0" w:type="dxa"/>
            </w:tcMar>
            <w:vAlign w:val="center"/>
          </w:tcPr>
          <w:p w14:paraId="0F77A6E7" w14:textId="77777777" w:rsidR="00FF57A8" w:rsidRPr="00BC31E0" w:rsidRDefault="00FF57A8" w:rsidP="004736F2">
            <w:pPr>
              <w:tabs>
                <w:tab w:val="left" w:leader="middleDot" w:pos="4250"/>
              </w:tabs>
              <w:autoSpaceDE w:val="0"/>
              <w:autoSpaceDN w:val="0"/>
              <w:jc w:val="left"/>
              <w:rPr>
                <w:rFonts w:asciiTheme="minorHAnsi" w:hAnsiTheme="minorHAnsi"/>
                <w:bCs/>
              </w:rPr>
            </w:pPr>
            <w:r w:rsidRPr="00BC31E0">
              <w:rPr>
                <w:rFonts w:asciiTheme="minorHAnsi" w:hAnsiTheme="minorHAnsi" w:hint="eastAsia"/>
                <w:bCs/>
              </w:rPr>
              <w:tab/>
              <w:t>(2</w:t>
            </w:r>
            <w:r w:rsidRPr="00BC31E0">
              <w:rPr>
                <w:rFonts w:asciiTheme="minorHAnsi" w:hAnsiTheme="minorHAnsi"/>
                <w:bCs/>
              </w:rPr>
              <w:t>2</w:t>
            </w:r>
            <w:r w:rsidRPr="00BC31E0">
              <w:rPr>
                <w:rFonts w:asciiTheme="minorHAnsi" w:hAnsiTheme="minorHAnsi" w:hint="eastAsia"/>
                <w:bCs/>
              </w:rPr>
              <w:t>)</w:t>
            </w:r>
          </w:p>
        </w:tc>
      </w:tr>
    </w:tbl>
    <w:p w14:paraId="563EF273" w14:textId="77777777" w:rsidR="00FF57A8" w:rsidRPr="00BC31E0" w:rsidRDefault="00FF57A8" w:rsidP="0072734B">
      <w:pPr>
        <w:autoSpaceDE w:val="0"/>
        <w:autoSpaceDN w:val="0"/>
        <w:rPr>
          <w:bCs/>
        </w:rPr>
      </w:pPr>
    </w:p>
    <w:p w14:paraId="47E7FC05" w14:textId="77777777" w:rsidR="00FF57A8" w:rsidRPr="00BC31E0" w:rsidRDefault="00FF57A8" w:rsidP="00664259">
      <w:pPr>
        <w:pStyle w:val="1f9"/>
        <w:numPr>
          <w:ilvl w:val="0"/>
          <w:numId w:val="2"/>
        </w:numPr>
        <w:adjustRightInd/>
        <w:snapToGrid/>
        <w:spacing w:line="240" w:lineRule="auto"/>
        <w:ind w:left="340" w:hanging="340"/>
      </w:pPr>
      <w:r w:rsidRPr="00BC31E0">
        <w:rPr>
          <w:rFonts w:hint="eastAsia"/>
        </w:rPr>
        <w:t>クランプ継手に対する許容設計応力</w:t>
      </w:r>
    </w:p>
    <w:p w14:paraId="29BC2848" w14:textId="77777777" w:rsidR="00FF57A8" w:rsidRPr="00BC31E0" w:rsidRDefault="00FF57A8" w:rsidP="0072734B">
      <w:pPr>
        <w:pStyle w:val="15"/>
        <w:ind w:firstLine="210"/>
      </w:pPr>
      <w:r w:rsidRPr="00BC31E0">
        <w:rPr>
          <w:rFonts w:hint="eastAsia"/>
        </w:rPr>
        <w:t>クランプ継手の寸法は運転時及び初期締付条件で，</w:t>
      </w:r>
      <w:r w:rsidRPr="00BC31E0">
        <w:rPr>
          <w:rFonts w:ascii="ＭＳ ゴシック" w:eastAsia="ＭＳ ゴシック"/>
          <w:b/>
        </w:rPr>
        <w:t>7</w:t>
      </w:r>
      <w:r w:rsidRPr="00BC31E0">
        <w:rPr>
          <w:rFonts w:hint="eastAsia"/>
        </w:rPr>
        <w:t>及び</w:t>
      </w:r>
      <w:r w:rsidRPr="00BC31E0">
        <w:rPr>
          <w:rFonts w:ascii="ＭＳ ゴシック" w:eastAsia="ＭＳ ゴシック"/>
          <w:b/>
        </w:rPr>
        <w:t>8</w:t>
      </w:r>
      <w:r w:rsidRPr="00BC31E0">
        <w:rPr>
          <w:rFonts w:hint="eastAsia"/>
        </w:rPr>
        <w:t>により計算されるクランプとハブの応力が</w:t>
      </w:r>
      <w:r w:rsidRPr="00BC31E0">
        <w:rPr>
          <w:rFonts w:ascii="ＭＳ ゴシック" w:eastAsia="ＭＳ ゴシック" w:hint="eastAsia"/>
          <w:b/>
        </w:rPr>
        <w:t>表</w:t>
      </w:r>
      <w:r w:rsidRPr="00BC31E0">
        <w:rPr>
          <w:rFonts w:ascii="ＭＳ ゴシック" w:eastAsia="ＭＳ ゴシック"/>
          <w:b/>
        </w:rPr>
        <w:t>H.1</w:t>
      </w:r>
      <w:r w:rsidRPr="00BC31E0">
        <w:rPr>
          <w:rFonts w:hint="eastAsia"/>
        </w:rPr>
        <w:t>で規定される許容応力を超えてはならない。</w:t>
      </w:r>
    </w:p>
    <w:p w14:paraId="32620B2E" w14:textId="77777777" w:rsidR="00FF57A8" w:rsidRPr="00BC31E0" w:rsidRDefault="00FF57A8" w:rsidP="0072734B"/>
    <w:p w14:paraId="76539FF3" w14:textId="77777777" w:rsidR="0072734B" w:rsidRPr="00BC31E0" w:rsidRDefault="0072734B">
      <w:pPr>
        <w:widowControl/>
        <w:jc w:val="left"/>
      </w:pPr>
      <w:r w:rsidRPr="00BC31E0">
        <w:br w:type="page"/>
      </w:r>
    </w:p>
    <w:p w14:paraId="012C2EFB" w14:textId="77777777" w:rsidR="00FF57A8" w:rsidRPr="00BC31E0" w:rsidRDefault="00A51873" w:rsidP="00FF57A8">
      <w:pPr>
        <w:pStyle w:val="af4"/>
      </w:pPr>
      <w:r>
        <w:rPr>
          <w:noProof/>
        </w:rPr>
      </w:r>
      <w:r>
        <w:rPr>
          <w:noProof/>
        </w:rPr>
        <w:pict w14:anchorId="2819E280">
          <v:group id="Group 11583" o:spid="_x0000_s1889" style="width:454.9pt;height:609.95pt;mso-position-horizontal-relative:char;mso-position-vertical-relative:line" coordorigin="1770,1988" coordsize="9098,12199">
            <v:shape id="Picture 11584" o:spid="_x0000_s1890" type="#_x0000_t75" alt="20100720082108048_0001" style="position:absolute;left:1770;top:1988;width:8589;height:118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">
              <v:imagedata r:id="rId149" o:title="20100720082108048_0001" croptop="2657f" cropright="1665f"/>
            </v:shape>
            <v:shape id="Text Box 11585" o:spid="_x0000_s1891" type="#_x0000_t202" style="position:absolute;left:1770;top:8849;width:3150;height:4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" filled="f" stroked="f">
              <v:textbox>
                <w:txbxContent>
                  <w:p w14:paraId="5748CEFE" w14:textId="77777777" w:rsidR="003B0864" w:rsidRPr="007863FD" w:rsidRDefault="003B0864" w:rsidP="00FF57A8">
                    <w:pPr>
                      <w:rPr>
                        <w:bCs/>
                      </w:rPr>
                    </w:pPr>
                    <w:r w:rsidRPr="007863FD">
                      <w:rPr>
                        <w:rFonts w:hint="eastAsia"/>
                        <w:bCs/>
                      </w:rPr>
                      <w:t>（</w:t>
                    </w:r>
                    <w:r w:rsidRPr="007863FD">
                      <w:rPr>
                        <w:bCs/>
                      </w:rPr>
                      <w:t>a</w:t>
                    </w:r>
                    <w:r w:rsidRPr="007863FD">
                      <w:rPr>
                        <w:rFonts w:hint="eastAsia"/>
                        <w:bCs/>
                      </w:rPr>
                      <w:t>）クランプ継手の寸法記号</w:t>
                    </w:r>
                  </w:p>
                </w:txbxContent>
              </v:textbox>
            </v:shape>
            <v:shape id="Text Box 11586" o:spid="_x0000_s1892" type="#_x0000_t202" style="position:absolute;left:6681;top:5608;width:3150;height:4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" filled="f" stroked="f">
              <v:textbox>
                <w:txbxContent>
                  <w:p w14:paraId="0518EF62" w14:textId="77777777" w:rsidR="003B0864" w:rsidRPr="007863FD" w:rsidRDefault="003B0864" w:rsidP="00FF57A8">
                    <w:pPr>
                      <w:rPr>
                        <w:bCs/>
                      </w:rPr>
                    </w:pPr>
                    <w:r w:rsidRPr="007863FD">
                      <w:rPr>
                        <w:rFonts w:hint="eastAsia"/>
                        <w:bCs/>
                      </w:rPr>
                      <w:t>（</w:t>
                    </w:r>
                    <w:r w:rsidRPr="007863FD">
                      <w:rPr>
                        <w:bCs/>
                      </w:rPr>
                      <w:t>c</w:t>
                    </w:r>
                    <w:r w:rsidRPr="007863FD">
                      <w:rPr>
                        <w:rFonts w:hint="eastAsia"/>
                        <w:bCs/>
                      </w:rPr>
                      <w:t>）外付けクランプの形状</w:t>
                    </w:r>
                  </w:p>
                </w:txbxContent>
              </v:textbox>
            </v:shape>
            <v:shape id="Text Box 11587" o:spid="_x0000_s1893" type="#_x0000_t202" style="position:absolute;left:2198;top:13722;width:2504;height:4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" filled="f" stroked="f">
              <v:textbox>
                <w:txbxContent>
                  <w:p w14:paraId="405F1C0E" w14:textId="77777777" w:rsidR="003B0864" w:rsidRPr="007863FD" w:rsidRDefault="003B0864" w:rsidP="00FF57A8">
                    <w:pPr>
                      <w:rPr>
                        <w:bCs/>
                      </w:rPr>
                    </w:pPr>
                    <w:r w:rsidRPr="007863FD">
                      <w:rPr>
                        <w:rFonts w:hint="eastAsia"/>
                        <w:bCs/>
                      </w:rPr>
                      <w:t>（</w:t>
                    </w:r>
                    <w:r w:rsidRPr="007863FD">
                      <w:rPr>
                        <w:bCs/>
                      </w:rPr>
                      <w:t>b</w:t>
                    </w:r>
                    <w:r w:rsidRPr="007863FD">
                      <w:rPr>
                        <w:rFonts w:hint="eastAsia"/>
                        <w:bCs/>
                      </w:rPr>
                      <w:t>）ハブの荷重状態</w:t>
                    </w:r>
                  </w:p>
                </w:txbxContent>
              </v:textbox>
            </v:shape>
            <v:shape id="Text Box 11588" o:spid="_x0000_s1894" type="#_x0000_t202" style="position:absolute;left:6668;top:13722;width:4200;height:4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" filled="f" stroked="f">
              <v:textbox>
                <w:txbxContent>
                  <w:p w14:paraId="4FA3A798" w14:textId="77777777" w:rsidR="003B0864" w:rsidRPr="007863FD" w:rsidRDefault="003B0864" w:rsidP="00FF57A8">
                    <w:pPr>
                      <w:rPr>
                        <w:bCs/>
                      </w:rPr>
                    </w:pPr>
                    <w:r w:rsidRPr="007863FD">
                      <w:rPr>
                        <w:rFonts w:hint="eastAsia"/>
                        <w:bCs/>
                      </w:rPr>
                      <w:t>（</w:t>
                    </w:r>
                    <w:r w:rsidRPr="007863FD">
                      <w:rPr>
                        <w:bCs/>
                      </w:rPr>
                      <w:t>d</w:t>
                    </w:r>
                    <w:r w:rsidRPr="007863FD">
                      <w:rPr>
                        <w:rFonts w:hint="eastAsia"/>
                        <w:bCs/>
                      </w:rPr>
                      <w:t>）外付けクランプ</w:t>
                    </w:r>
                    <w:r w:rsidRPr="00B42DE4">
                      <w:rPr>
                        <w:rFonts w:ascii="ＭＳ ゴシック" w:eastAsia="ＭＳ ゴシック" w:hAnsi="ＭＳ ゴシック"/>
                        <w:b/>
                        <w:bCs/>
                      </w:rPr>
                      <w:t>B-B</w:t>
                    </w:r>
                    <w:r w:rsidRPr="007863FD">
                      <w:rPr>
                        <w:rFonts w:hint="eastAsia"/>
                        <w:bCs/>
                      </w:rPr>
                      <w:t>断面矢視図</w:t>
                    </w:r>
                  </w:p>
                </w:txbxContent>
              </v:textbox>
            </v:shape>
            <w10:anchorlock/>
          </v:group>
        </w:pict>
      </w:r>
    </w:p>
    <w:p w14:paraId="171316D9" w14:textId="77777777" w:rsidR="00FF57A8" w:rsidRPr="00BC31E0" w:rsidRDefault="00FF57A8" w:rsidP="00FF57A8">
      <w:pPr>
        <w:pStyle w:val="af4"/>
        <w:jc w:val="both"/>
      </w:pPr>
    </w:p>
    <w:p w14:paraId="52603722" w14:textId="77777777" w:rsidR="00FF57A8" w:rsidRPr="00BC31E0" w:rsidRDefault="00FF57A8" w:rsidP="00FF57A8">
      <w:pPr>
        <w:pStyle w:val="af4"/>
      </w:pPr>
      <w:r w:rsidRPr="00BC31E0">
        <w:rPr>
          <w:rFonts w:hint="eastAsia"/>
        </w:rPr>
        <w:t>図H.1　クランプ継手の形状</w:t>
      </w:r>
    </w:p>
    <w:p w14:paraId="502FF073" w14:textId="77777777" w:rsidR="00FF57A8" w:rsidRPr="00BC31E0" w:rsidRDefault="00FF57A8" w:rsidP="00FF57A8">
      <w:pPr>
        <w:pStyle w:val="af4"/>
        <w:jc w:val="both"/>
        <w:rPr>
          <w:noProof/>
        </w:rPr>
      </w:pPr>
    </w:p>
    <w:p w14:paraId="5A284CE2" w14:textId="77777777" w:rsidR="00FF57A8" w:rsidRPr="00BC31E0" w:rsidRDefault="00FF57A8" w:rsidP="00FF57A8">
      <w:pPr>
        <w:pStyle w:val="af4"/>
        <w:jc w:val="both"/>
        <w:rPr>
          <w:noProof/>
        </w:rPr>
      </w:pPr>
    </w:p>
    <w:p w14:paraId="571A6386" w14:textId="77777777" w:rsidR="00FF57A8" w:rsidRPr="00BC31E0" w:rsidRDefault="00A51873" w:rsidP="00FF57A8">
      <w:pPr>
        <w:pStyle w:val="af4"/>
        <w:rPr>
          <w:noProof/>
        </w:rPr>
      </w:pPr>
      <w:r>
        <w:rPr>
          <w:noProof/>
        </w:rPr>
      </w:r>
      <w:r>
        <w:rPr>
          <w:noProof/>
        </w:rPr>
        <w:pict w14:anchorId="67CB0262">
          <v:group id="Group 11589" o:spid="_x0000_s1895" style="width:453pt;height:554.25pt;mso-position-horizontal-relative:char;mso-position-vertical-relative:line" coordorigin="1418,1701" coordsize="9060,11085">
            <v:shape id="Picture 11590" o:spid="_x0000_s1896" type="#_x0000_t75" alt="2007DIVISION 3(Fig" style="position:absolute;left:1418;top:1701;width:9060;height:110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">
              <v:imagedata r:id="rId150" o:title="2007DIVISION 3(Fig"/>
            </v:shape>
            <v:shape id="Text Box 11591" o:spid="_x0000_s1897" type="#_x0000_t202" style="position:absolute;left:4253;top:11809;width:1050;height:3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" stroked="f">
              <v:textbox style="mso-fit-shape-to-text:t" inset="0,0,0,0">
                <w:txbxContent>
                  <w:p w14:paraId="3502DDDD" w14:textId="77777777" w:rsidR="003B0864" w:rsidRPr="00B44A53" w:rsidRDefault="003B0864" w:rsidP="00FF57A8">
                    <w:pPr>
                      <w:rPr>
                        <w:rFonts w:ascii="ＭＳ 明朝" w:hAnsi="ＭＳ 明朝"/>
                      </w:rPr>
                    </w:pPr>
                    <w:r w:rsidRPr="00B44A53">
                      <w:rPr>
                        <w:rFonts w:ascii="ＭＳ 明朝" w:hAnsi="ＭＳ 明朝" w:hint="eastAsia"/>
                      </w:rPr>
                      <w:t>断面</w:t>
                    </w:r>
                    <w:r w:rsidRPr="00B42DE4">
                      <w:rPr>
                        <w:rFonts w:ascii="ＭＳ ゴシック" w:eastAsia="ＭＳ ゴシック" w:hAnsi="ＭＳ ゴシック" w:hint="eastAsia"/>
                        <w:b/>
                      </w:rPr>
                      <w:t>B-B</w:t>
                    </w:r>
                  </w:p>
                </w:txbxContent>
              </v:textbox>
            </v:shape>
            <v:shape id="Text Box 11592" o:spid="_x0000_s1898" type="#_x0000_t202" style="position:absolute;left:7088;top:7477;width:1050;height:3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" stroked="f">
              <v:textbox style="mso-fit-shape-to-text:t" inset="0,0,0,0">
                <w:txbxContent>
                  <w:p w14:paraId="690967D1" w14:textId="77777777" w:rsidR="003B0864" w:rsidRPr="00B44A53" w:rsidRDefault="003B0864" w:rsidP="00FF57A8">
                    <w:pPr>
                      <w:rPr>
                        <w:rFonts w:ascii="ＭＳ 明朝" w:hAnsi="ＭＳ 明朝"/>
                      </w:rPr>
                    </w:pPr>
                    <w:r w:rsidRPr="00B44A53">
                      <w:rPr>
                        <w:rFonts w:ascii="ＭＳ 明朝" w:hAnsi="ＭＳ 明朝" w:hint="eastAsia"/>
                      </w:rPr>
                      <w:t>断面</w:t>
                    </w:r>
                    <w:r w:rsidRPr="00B42DE4">
                      <w:rPr>
                        <w:rFonts w:ascii="ＭＳ ゴシック" w:eastAsia="ＭＳ ゴシック" w:hAnsi="ＭＳ ゴシック" w:hint="eastAsia"/>
                        <w:b/>
                      </w:rPr>
                      <w:t>A-A</w:t>
                    </w:r>
                  </w:p>
                </w:txbxContent>
              </v:textbox>
            </v:shape>
            <v:shape id="Text Box 11593" o:spid="_x0000_s1899" type="#_x0000_t202" style="position:absolute;left:5723;top:11448;width:294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" stroked="f">
              <v:textbox inset="0,0,0,0">
                <w:txbxContent>
                  <w:p w14:paraId="4F9F39DA" w14:textId="77777777" w:rsidR="003B0864" w:rsidRPr="00B44A53" w:rsidRDefault="003B0864" w:rsidP="00FF57A8">
                    <w:pPr>
                      <w:rPr>
                        <w:rFonts w:ascii="ＭＳ 明朝" w:hAnsi="ＭＳ 明朝"/>
                      </w:rPr>
                    </w:pPr>
                    <w:r w:rsidRPr="00B44A53">
                      <w:rPr>
                        <w:rFonts w:ascii="ＭＳ 明朝" w:hAnsi="ＭＳ 明朝" w:hint="eastAsia"/>
                      </w:rPr>
                      <w:t>中立軸（半径-長手方向面）</w:t>
                    </w:r>
                  </w:p>
                </w:txbxContent>
              </v:textbox>
            </v:shape>
            <v:shape id="Text Box 11594" o:spid="_x0000_s1900" type="#_x0000_t202" style="position:absolute;left:7508;top:1701;width:252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" stroked="f">
              <v:textbox inset="0,0,0,0">
                <w:txbxContent>
                  <w:p w14:paraId="541DC090" w14:textId="77777777" w:rsidR="003B0864" w:rsidRPr="00B44A53" w:rsidRDefault="003B0864" w:rsidP="00FF57A8">
                    <w:pPr>
                      <w:rPr>
                        <w:rFonts w:ascii="ＭＳ 明朝" w:hAnsi="ＭＳ 明朝"/>
                      </w:rPr>
                    </w:pPr>
                    <w:r w:rsidRPr="00B44A53">
                      <w:rPr>
                        <w:rFonts w:ascii="ＭＳ 明朝" w:hAnsi="ＭＳ 明朝" w:hint="eastAsia"/>
                      </w:rPr>
                      <w:t>中立軸（半径-周方向面）</w:t>
                    </w:r>
                  </w:p>
                </w:txbxContent>
              </v:textbox>
            </v:shape>
            <v:shape id="Text Box 11595" o:spid="_x0000_s1901" type="#_x0000_t202" style="position:absolute;left:7403;top:8018;width:840;height:3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" stroked="f">
              <v:textbox style="mso-fit-shape-to-text:t" inset="0,0,0,0">
                <w:txbxContent>
                  <w:p w14:paraId="54FEA019" w14:textId="77777777" w:rsidR="003B0864" w:rsidRPr="007863FD" w:rsidRDefault="003B0864" w:rsidP="00FF57A8">
                    <w:pPr>
                      <w:rPr>
                        <w:rFonts w:eastAsia="ＭＳ ゴシック"/>
                      </w:rPr>
                    </w:pPr>
                    <w:r>
                      <w:rPr>
                        <w:rFonts w:eastAsia="ＭＳ ゴシック" w:hint="eastAsia"/>
                      </w:rPr>
                      <w:t>(b)</w:t>
                    </w:r>
                  </w:p>
                </w:txbxContent>
              </v:textbox>
            </v:shape>
            <v:shape id="Text Box 11596" o:spid="_x0000_s1902" type="#_x0000_t202" style="position:absolute;left:3098;top:6935;width:840;height:3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" stroked="f">
              <v:textbox style="mso-fit-shape-to-text:t" inset="0,0,0,0">
                <w:txbxContent>
                  <w:p w14:paraId="7FFDF9F4" w14:textId="77777777" w:rsidR="003B0864" w:rsidRPr="007863FD" w:rsidRDefault="003B0864" w:rsidP="00FF57A8">
                    <w:pPr>
                      <w:rPr>
                        <w:rFonts w:eastAsia="ＭＳ ゴシック"/>
                      </w:rPr>
                    </w:pPr>
                    <w:r>
                      <w:rPr>
                        <w:rFonts w:eastAsia="ＭＳ ゴシック" w:hint="eastAsia"/>
                      </w:rPr>
                      <w:t>(a)</w:t>
                    </w:r>
                  </w:p>
                </w:txbxContent>
              </v:textbox>
            </v:shape>
            <v:shape id="Text Box 11597" o:spid="_x0000_s1903" type="#_x0000_t202" style="position:absolute;left:4463;top:12350;width:840;height:3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" stroked="f">
              <v:textbox style="mso-fit-shape-to-text:t" inset="0,0,0,0">
                <w:txbxContent>
                  <w:p w14:paraId="1CBDCD60" w14:textId="77777777" w:rsidR="003B0864" w:rsidRPr="007863FD" w:rsidRDefault="003B0864" w:rsidP="00FF57A8">
                    <w:pPr>
                      <w:rPr>
                        <w:rFonts w:eastAsia="ＭＳ ゴシック"/>
                      </w:rPr>
                    </w:pPr>
                    <w:r>
                      <w:rPr>
                        <w:rFonts w:eastAsia="ＭＳ ゴシック" w:hint="eastAsia"/>
                      </w:rPr>
                      <w:t>(c)</w:t>
                    </w:r>
                  </w:p>
                </w:txbxContent>
              </v:textbox>
            </v:shape>
            <w10:anchorlock/>
          </v:group>
        </w:pict>
      </w:r>
    </w:p>
    <w:p w14:paraId="2A68FB53" w14:textId="77777777" w:rsidR="00FF57A8" w:rsidRPr="00BC31E0" w:rsidRDefault="00FF57A8" w:rsidP="00FF57A8">
      <w:pPr>
        <w:pStyle w:val="af4"/>
        <w:jc w:val="both"/>
        <w:rPr>
          <w:noProof/>
        </w:rPr>
      </w:pPr>
    </w:p>
    <w:p w14:paraId="187E6B5B" w14:textId="77777777" w:rsidR="00FF57A8" w:rsidRPr="00BC31E0" w:rsidRDefault="00FF57A8" w:rsidP="00FF57A8">
      <w:pPr>
        <w:pStyle w:val="af4"/>
        <w:rPr>
          <w:vertAlign w:val="superscript"/>
        </w:rPr>
      </w:pPr>
      <w:r w:rsidRPr="00BC31E0">
        <w:rPr>
          <w:rFonts w:hint="eastAsia"/>
        </w:rPr>
        <w:t>図</w:t>
      </w:r>
      <w:r w:rsidRPr="00BC31E0">
        <w:t xml:space="preserve"> H.</w:t>
      </w:r>
      <w:r w:rsidRPr="00BC31E0">
        <w:rPr>
          <w:rFonts w:hint="eastAsia"/>
        </w:rPr>
        <w:t>2　クランプ内にボルトがある例図</w:t>
      </w:r>
      <w:r w:rsidRPr="00BC31E0">
        <w:rPr>
          <w:rFonts w:hint="eastAsia"/>
          <w:vertAlign w:val="superscript"/>
        </w:rPr>
        <w:t>†</w:t>
      </w:r>
    </w:p>
    <w:p w14:paraId="44E9517C" w14:textId="77777777" w:rsidR="00FF57A8" w:rsidRPr="00BC31E0" w:rsidRDefault="00FF57A8" w:rsidP="00FF57A8">
      <w:pPr>
        <w:pStyle w:val="af4"/>
        <w:jc w:val="both"/>
        <w:rPr>
          <w:noProof/>
        </w:rPr>
      </w:pPr>
    </w:p>
    <w:p w14:paraId="45E7CA34" w14:textId="77777777" w:rsidR="00FF57A8" w:rsidRPr="00BC31E0" w:rsidRDefault="00FF57A8" w:rsidP="00FF57A8">
      <w:pPr>
        <w:pStyle w:val="af4"/>
        <w:jc w:val="both"/>
        <w:rPr>
          <w:noProof/>
        </w:rPr>
      </w:pPr>
    </w:p>
    <w:p w14:paraId="684503A8" w14:textId="77777777" w:rsidR="00FF57A8" w:rsidRPr="00BC31E0" w:rsidRDefault="00FF57A8" w:rsidP="00FF57A8">
      <w:pPr>
        <w:pStyle w:val="af4"/>
      </w:pPr>
      <w:r w:rsidRPr="00BC31E0">
        <w:rPr>
          <w:rFonts w:ascii="ＭＳ 明朝" w:eastAsia="ＭＳ 明朝" w:hAnsi="ＭＳ 明朝"/>
        </w:rPr>
        <w:br w:type="page"/>
      </w:r>
      <w:r w:rsidRPr="00BC31E0">
        <w:rPr>
          <w:rFonts w:hint="eastAsia"/>
        </w:rPr>
        <w:lastRenderedPageBreak/>
        <w:t>表</w:t>
      </w:r>
      <w:r w:rsidRPr="00BC31E0">
        <w:t xml:space="preserve"> </w:t>
      </w:r>
      <w:r w:rsidRPr="00BC31E0">
        <w:rPr>
          <w:rFonts w:hAnsi="ＭＳ ゴシック"/>
        </w:rPr>
        <w:t>H.1</w:t>
      </w:r>
      <w:r w:rsidRPr="00BC31E0">
        <w:rPr>
          <w:rFonts w:hint="eastAsia"/>
        </w:rPr>
        <w:t xml:space="preserve">　クランプ継手の許容応力</w:t>
      </w:r>
    </w:p>
    <w:tbl>
      <w:tblPr>
        <w:tblpPr w:leftFromText="142" w:rightFromText="142" w:vertAnchor="text" w:horzAnchor="margin" w:tblpXSpec="center" w:tblpY="9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51"/>
        <w:gridCol w:w="3448"/>
        <w:gridCol w:w="3184"/>
      </w:tblGrid>
      <w:tr w:rsidR="00FF57A8" w:rsidRPr="00BC31E0" w14:paraId="33818C3D" w14:textId="77777777" w:rsidTr="004736F2">
        <w:trPr>
          <w:trHeight w:val="360"/>
          <w:jc w:val="center"/>
        </w:trPr>
        <w:tc>
          <w:tcPr>
            <w:tcW w:w="1951" w:type="dxa"/>
          </w:tcPr>
          <w:p w14:paraId="3AAA2AE9" w14:textId="77777777" w:rsidR="00FF57A8" w:rsidRPr="00BC31E0" w:rsidRDefault="00FF57A8" w:rsidP="004736F2">
            <w:pPr>
              <w:tabs>
                <w:tab w:val="left" w:pos="851"/>
              </w:tabs>
              <w:autoSpaceDE w:val="0"/>
              <w:autoSpaceDN w:val="0"/>
              <w:jc w:val="center"/>
            </w:pPr>
            <w:r w:rsidRPr="00BC31E0">
              <w:rPr>
                <w:rFonts w:hint="eastAsia"/>
              </w:rPr>
              <w:t>応力の種類</w:t>
            </w:r>
          </w:p>
        </w:tc>
        <w:tc>
          <w:tcPr>
            <w:tcW w:w="3448" w:type="dxa"/>
          </w:tcPr>
          <w:p w14:paraId="2D3CEF2F" w14:textId="77777777" w:rsidR="00FF57A8" w:rsidRPr="00BC31E0" w:rsidRDefault="00FF57A8" w:rsidP="004736F2">
            <w:pPr>
              <w:tabs>
                <w:tab w:val="left" w:pos="851"/>
              </w:tabs>
              <w:autoSpaceDE w:val="0"/>
              <w:autoSpaceDN w:val="0"/>
              <w:jc w:val="center"/>
            </w:pPr>
            <w:r w:rsidRPr="00BC31E0">
              <w:rPr>
                <w:rFonts w:hint="eastAsia"/>
              </w:rPr>
              <w:t>運転条件の許容応力</w:t>
            </w:r>
          </w:p>
        </w:tc>
        <w:tc>
          <w:tcPr>
            <w:tcW w:w="3184" w:type="dxa"/>
          </w:tcPr>
          <w:p w14:paraId="15B09CF1" w14:textId="77777777" w:rsidR="00FF57A8" w:rsidRPr="00BC31E0" w:rsidRDefault="00FF57A8" w:rsidP="004736F2">
            <w:pPr>
              <w:tabs>
                <w:tab w:val="left" w:pos="851"/>
              </w:tabs>
              <w:autoSpaceDE w:val="0"/>
              <w:autoSpaceDN w:val="0"/>
              <w:jc w:val="center"/>
            </w:pPr>
            <w:r w:rsidRPr="00BC31E0">
              <w:rPr>
                <w:rFonts w:hint="eastAsia"/>
              </w:rPr>
              <w:t>初期締付条件の許容応力</w:t>
            </w:r>
          </w:p>
        </w:tc>
      </w:tr>
      <w:tr w:rsidR="00FF57A8" w:rsidRPr="00BC31E0" w14:paraId="5443FA51" w14:textId="77777777" w:rsidTr="004736F2">
        <w:trPr>
          <w:trHeight w:val="360"/>
          <w:jc w:val="center"/>
        </w:trPr>
        <w:tc>
          <w:tcPr>
            <w:tcW w:w="1951" w:type="dxa"/>
          </w:tcPr>
          <w:p w14:paraId="0BEDCCF7" w14:textId="77777777" w:rsidR="00FF57A8" w:rsidRPr="00BC31E0" w:rsidRDefault="00A51873" w:rsidP="004736F2">
            <w:pPr>
              <w:tabs>
                <w:tab w:val="left" w:pos="851"/>
              </w:tabs>
              <w:autoSpaceDE w:val="0"/>
              <w:autoSpaceDN w:val="0"/>
              <w:jc w:val="center"/>
              <w:rPr>
                <w:rFonts w:ascii="Cambria Math" w:hAnsi="Cambria Math"/>
                <w:i/>
                <w:iCs/>
              </w:rPr>
            </w:pPr>
            <m:oMathPara>
              <m:oMath>
                <m:sSub>
                  <m:sSubPr>
                    <m:ctrlPr>
                      <w:rPr>
                        <w:rFonts w:ascii="Cambria Math" w:hAnsi="Cambria Math"/>
                        <w:i/>
                        <w:iCs/>
                      </w:rPr>
                    </m:ctrlPr>
                  </m:sSubPr>
                  <m:e>
                    <m:r>
                      <w:rPr>
                        <w:rFonts w:ascii="Cambria Math" w:hAnsi="Cambria Math"/>
                      </w:rPr>
                      <m:t>S</m:t>
                    </m:r>
                  </m:e>
                  <m:sub>
                    <m:r>
                      <w:rPr>
                        <w:rFonts w:ascii="Cambria Math" w:hAnsi="Cambria Math"/>
                      </w:rPr>
                      <m:t>1</m:t>
                    </m:r>
                  </m:sub>
                </m:sSub>
              </m:oMath>
            </m:oMathPara>
          </w:p>
        </w:tc>
        <w:tc>
          <w:tcPr>
            <w:tcW w:w="3448" w:type="dxa"/>
          </w:tcPr>
          <w:p w14:paraId="3CDCDA2D" w14:textId="77777777" w:rsidR="00FF57A8" w:rsidRPr="00BC31E0" w:rsidRDefault="00A51873" w:rsidP="004736F2">
            <w:pPr>
              <w:tabs>
                <w:tab w:val="left" w:pos="851"/>
              </w:tabs>
              <w:autoSpaceDE w:val="0"/>
              <w:autoSpaceDN w:val="0"/>
              <w:jc w:val="center"/>
              <w:rPr>
                <w:rFonts w:ascii="Cambria Math" w:hAnsi="Cambria Math"/>
                <w:i/>
              </w:rPr>
            </w:pPr>
            <m:oMathPara>
              <m:oMath>
                <m:sSub>
                  <m:sSubPr>
                    <m:ctrlPr>
                      <w:rPr>
                        <w:rFonts w:ascii="Cambria Math" w:hAnsi="Cambria Math"/>
                        <w:i/>
                        <w:iCs/>
                      </w:rPr>
                    </m:ctrlPr>
                  </m:sSubPr>
                  <m:e>
                    <m:r>
                      <w:rPr>
                        <w:rFonts w:ascii="Cambria Math" w:hAnsi="Cambria Math"/>
                      </w:rPr>
                      <m:t>S</m:t>
                    </m:r>
                  </m:e>
                  <m:sub>
                    <m:r>
                      <w:rPr>
                        <w:rFonts w:ascii="Cambria Math" w:hAnsi="Cambria Math"/>
                      </w:rPr>
                      <m:t>YOH</m:t>
                    </m:r>
                  </m:sub>
                </m:sSub>
              </m:oMath>
            </m:oMathPara>
          </w:p>
        </w:tc>
        <w:tc>
          <w:tcPr>
            <w:tcW w:w="3184" w:type="dxa"/>
          </w:tcPr>
          <w:p w14:paraId="7FAABDE5" w14:textId="77777777" w:rsidR="00FF57A8" w:rsidRPr="00BC31E0" w:rsidRDefault="00A51873" w:rsidP="004736F2">
            <w:pPr>
              <w:tabs>
                <w:tab w:val="left" w:pos="851"/>
              </w:tabs>
              <w:autoSpaceDE w:val="0"/>
              <w:autoSpaceDN w:val="0"/>
              <w:jc w:val="center"/>
              <w:rPr>
                <w:rFonts w:ascii="Cambria Math" w:hAnsi="Cambria Math"/>
                <w:i/>
              </w:rPr>
            </w:pPr>
            <m:oMathPara>
              <m:oMath>
                <m:sSub>
                  <m:sSubPr>
                    <m:ctrlPr>
                      <w:rPr>
                        <w:rFonts w:ascii="Cambria Math" w:hAnsi="Cambria Math"/>
                        <w:i/>
                        <w:iCs/>
                      </w:rPr>
                    </m:ctrlPr>
                  </m:sSubPr>
                  <m:e>
                    <m:r>
                      <w:rPr>
                        <w:rFonts w:ascii="Cambria Math" w:hAnsi="Cambria Math"/>
                      </w:rPr>
                      <m:t>S</m:t>
                    </m:r>
                  </m:e>
                  <m:sub>
                    <m:r>
                      <w:rPr>
                        <w:rFonts w:ascii="Cambria Math" w:hAnsi="Cambria Math"/>
                      </w:rPr>
                      <m:t>YAH</m:t>
                    </m:r>
                  </m:sub>
                </m:sSub>
              </m:oMath>
            </m:oMathPara>
          </w:p>
        </w:tc>
      </w:tr>
      <w:tr w:rsidR="00FF57A8" w:rsidRPr="00BC31E0" w14:paraId="3CAA2731" w14:textId="77777777" w:rsidTr="004736F2">
        <w:trPr>
          <w:trHeight w:val="360"/>
          <w:jc w:val="center"/>
        </w:trPr>
        <w:tc>
          <w:tcPr>
            <w:tcW w:w="1951" w:type="dxa"/>
          </w:tcPr>
          <w:p w14:paraId="4EE6E6A4" w14:textId="77777777" w:rsidR="00FF57A8" w:rsidRPr="00BC31E0" w:rsidRDefault="00A51873" w:rsidP="004736F2">
            <w:pPr>
              <w:tabs>
                <w:tab w:val="left" w:pos="851"/>
              </w:tabs>
              <w:autoSpaceDE w:val="0"/>
              <w:autoSpaceDN w:val="0"/>
              <w:jc w:val="center"/>
              <w:rPr>
                <w:rFonts w:ascii="Cambria Math" w:hAnsi="Cambria Math"/>
                <w:i/>
              </w:rPr>
            </w:pPr>
            <m:oMathPara>
              <m:oMath>
                <m:sSub>
                  <m:sSubPr>
                    <m:ctrlPr>
                      <w:rPr>
                        <w:rFonts w:ascii="Cambria Math" w:hAnsi="Cambria Math"/>
                        <w:i/>
                        <w:iCs/>
                      </w:rPr>
                    </m:ctrlPr>
                  </m:sSubPr>
                  <m:e>
                    <m:r>
                      <w:rPr>
                        <w:rFonts w:ascii="Cambria Math" w:hAnsi="Cambria Math"/>
                      </w:rPr>
                      <m:t>S</m:t>
                    </m:r>
                  </m:e>
                  <m:sub>
                    <m:r>
                      <w:rPr>
                        <w:rFonts w:ascii="Cambria Math" w:hAnsi="Cambria Math"/>
                      </w:rPr>
                      <m:t>2</m:t>
                    </m:r>
                  </m:sub>
                </m:sSub>
              </m:oMath>
            </m:oMathPara>
          </w:p>
        </w:tc>
        <w:tc>
          <w:tcPr>
            <w:tcW w:w="3448" w:type="dxa"/>
          </w:tcPr>
          <w:p w14:paraId="0B2B0D07" w14:textId="77777777" w:rsidR="00FF57A8" w:rsidRPr="00BC31E0" w:rsidRDefault="00A51873" w:rsidP="004736F2">
            <w:pPr>
              <w:tabs>
                <w:tab w:val="left" w:pos="851"/>
              </w:tabs>
              <w:autoSpaceDE w:val="0"/>
              <w:autoSpaceDN w:val="0"/>
              <w:jc w:val="center"/>
              <w:rPr>
                <w:rFonts w:ascii="Cambria Math" w:hAnsi="Cambria Math"/>
                <w:i/>
              </w:rPr>
            </w:pPr>
            <m:oMathPara>
              <m:oMath>
                <m:f>
                  <m:fPr>
                    <m:type m:val="lin"/>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YOH</m:t>
                        </m:r>
                      </m:sub>
                    </m:sSub>
                  </m:num>
                  <m:den>
                    <m:r>
                      <w:rPr>
                        <w:rFonts w:ascii="Cambria Math" w:hAnsi="Cambria Math"/>
                      </w:rPr>
                      <m:t>1.5</m:t>
                    </m:r>
                  </m:den>
                </m:f>
              </m:oMath>
            </m:oMathPara>
          </w:p>
        </w:tc>
        <w:tc>
          <w:tcPr>
            <w:tcW w:w="3184" w:type="dxa"/>
          </w:tcPr>
          <w:p w14:paraId="0D9F8B28" w14:textId="77777777" w:rsidR="00FF57A8" w:rsidRPr="00BC31E0" w:rsidRDefault="00FF57A8" w:rsidP="004736F2">
            <w:pPr>
              <w:tabs>
                <w:tab w:val="left" w:pos="851"/>
              </w:tabs>
              <w:autoSpaceDE w:val="0"/>
              <w:autoSpaceDN w:val="0"/>
              <w:jc w:val="center"/>
              <w:rPr>
                <w:rFonts w:ascii="Cambria Math" w:hAnsi="Cambria Math"/>
              </w:rPr>
            </w:pPr>
            <w:r w:rsidRPr="00BC31E0">
              <w:rPr>
                <w:rFonts w:ascii="Times New Roman"/>
              </w:rPr>
              <w:t>－</w:t>
            </w:r>
          </w:p>
        </w:tc>
      </w:tr>
      <w:tr w:rsidR="00FF57A8" w:rsidRPr="00BC31E0" w14:paraId="0DEFE9FF" w14:textId="77777777" w:rsidTr="004736F2">
        <w:trPr>
          <w:trHeight w:val="360"/>
          <w:jc w:val="center"/>
        </w:trPr>
        <w:tc>
          <w:tcPr>
            <w:tcW w:w="1951" w:type="dxa"/>
          </w:tcPr>
          <w:p w14:paraId="66AE5C57" w14:textId="77777777" w:rsidR="00FF57A8" w:rsidRPr="00BC31E0" w:rsidRDefault="00A51873" w:rsidP="004736F2">
            <w:pPr>
              <w:tabs>
                <w:tab w:val="left" w:pos="851"/>
              </w:tabs>
              <w:autoSpaceDE w:val="0"/>
              <w:autoSpaceDN w:val="0"/>
              <w:jc w:val="center"/>
              <w:rPr>
                <w:rFonts w:ascii="Cambria Math" w:hAnsi="Cambria Math"/>
                <w:i/>
              </w:rPr>
            </w:pPr>
            <m:oMathPara>
              <m:oMath>
                <m:sSub>
                  <m:sSubPr>
                    <m:ctrlPr>
                      <w:rPr>
                        <w:rFonts w:ascii="Cambria Math" w:hAnsi="Cambria Math"/>
                        <w:i/>
                        <w:iCs/>
                      </w:rPr>
                    </m:ctrlPr>
                  </m:sSubPr>
                  <m:e>
                    <m:r>
                      <w:rPr>
                        <w:rFonts w:ascii="Cambria Math" w:hAnsi="Cambria Math"/>
                      </w:rPr>
                      <m:t>S</m:t>
                    </m:r>
                  </m:e>
                  <m:sub>
                    <m:r>
                      <w:rPr>
                        <w:rFonts w:ascii="Cambria Math" w:hAnsi="Cambria Math"/>
                      </w:rPr>
                      <m:t>3</m:t>
                    </m:r>
                  </m:sub>
                </m:sSub>
              </m:oMath>
            </m:oMathPara>
          </w:p>
        </w:tc>
        <w:tc>
          <w:tcPr>
            <w:tcW w:w="3448" w:type="dxa"/>
          </w:tcPr>
          <w:p w14:paraId="4A1951C4" w14:textId="77777777" w:rsidR="00FF57A8" w:rsidRPr="00BC31E0" w:rsidRDefault="00A51873" w:rsidP="004736F2">
            <w:pPr>
              <w:tabs>
                <w:tab w:val="left" w:pos="851"/>
              </w:tabs>
              <w:autoSpaceDE w:val="0"/>
              <w:autoSpaceDN w:val="0"/>
              <w:jc w:val="center"/>
              <w:rPr>
                <w:rFonts w:ascii="Cambria Math" w:hAnsi="Cambria Math"/>
                <w:i/>
              </w:rPr>
            </w:pPr>
            <m:oMathPara>
              <m:oMath>
                <m:sSub>
                  <m:sSubPr>
                    <m:ctrlPr>
                      <w:rPr>
                        <w:rFonts w:ascii="Cambria Math" w:hAnsi="Cambria Math"/>
                        <w:i/>
                        <w:iCs/>
                      </w:rPr>
                    </m:ctrlPr>
                  </m:sSubPr>
                  <m:e>
                    <m:r>
                      <w:rPr>
                        <w:rFonts w:ascii="Cambria Math" w:hAnsi="Cambria Math"/>
                      </w:rPr>
                      <m:t>0.6 S</m:t>
                    </m:r>
                  </m:e>
                  <m:sub>
                    <m:r>
                      <w:rPr>
                        <w:rFonts w:ascii="Cambria Math" w:hAnsi="Cambria Math"/>
                      </w:rPr>
                      <m:t>YOH</m:t>
                    </m:r>
                  </m:sub>
                </m:sSub>
              </m:oMath>
            </m:oMathPara>
          </w:p>
        </w:tc>
        <w:tc>
          <w:tcPr>
            <w:tcW w:w="3184" w:type="dxa"/>
          </w:tcPr>
          <w:p w14:paraId="4862B614" w14:textId="77777777" w:rsidR="00FF57A8" w:rsidRPr="00BC31E0" w:rsidRDefault="00A51873" w:rsidP="004736F2">
            <w:pPr>
              <w:tabs>
                <w:tab w:val="left" w:pos="851"/>
              </w:tabs>
              <w:autoSpaceDE w:val="0"/>
              <w:autoSpaceDN w:val="0"/>
              <w:jc w:val="center"/>
              <w:rPr>
                <w:rFonts w:ascii="Cambria Math" w:hAnsi="Cambria Math"/>
                <w:i/>
              </w:rPr>
            </w:pPr>
            <m:oMathPara>
              <m:oMath>
                <m:sSub>
                  <m:sSubPr>
                    <m:ctrlPr>
                      <w:rPr>
                        <w:rFonts w:ascii="Cambria Math" w:hAnsi="Cambria Math"/>
                        <w:i/>
                        <w:iCs/>
                      </w:rPr>
                    </m:ctrlPr>
                  </m:sSubPr>
                  <m:e>
                    <m:r>
                      <w:rPr>
                        <w:rFonts w:ascii="Cambria Math" w:hAnsi="Cambria Math"/>
                      </w:rPr>
                      <m:t>0.6 S</m:t>
                    </m:r>
                  </m:e>
                  <m:sub>
                    <m:r>
                      <w:rPr>
                        <w:rFonts w:ascii="Cambria Math" w:hAnsi="Cambria Math"/>
                      </w:rPr>
                      <m:t>YAH</m:t>
                    </m:r>
                  </m:sub>
                </m:sSub>
              </m:oMath>
            </m:oMathPara>
          </w:p>
        </w:tc>
      </w:tr>
      <w:tr w:rsidR="00FF57A8" w:rsidRPr="00BC31E0" w14:paraId="7E95AF3D" w14:textId="77777777" w:rsidTr="004736F2">
        <w:trPr>
          <w:trHeight w:val="360"/>
          <w:jc w:val="center"/>
        </w:trPr>
        <w:tc>
          <w:tcPr>
            <w:tcW w:w="1951" w:type="dxa"/>
          </w:tcPr>
          <w:p w14:paraId="47F08F1D" w14:textId="77777777" w:rsidR="00FF57A8" w:rsidRPr="00BC31E0" w:rsidRDefault="00A51873" w:rsidP="004736F2">
            <w:pPr>
              <w:tabs>
                <w:tab w:val="left" w:pos="851"/>
              </w:tabs>
              <w:autoSpaceDE w:val="0"/>
              <w:autoSpaceDN w:val="0"/>
              <w:jc w:val="center"/>
              <w:rPr>
                <w:rFonts w:ascii="Cambria Math" w:hAnsi="Cambria Math"/>
                <w:i/>
              </w:rPr>
            </w:pPr>
            <m:oMathPara>
              <m:oMath>
                <m:sSub>
                  <m:sSubPr>
                    <m:ctrlPr>
                      <w:rPr>
                        <w:rFonts w:ascii="Cambria Math" w:hAnsi="Cambria Math"/>
                        <w:i/>
                        <w:iCs/>
                      </w:rPr>
                    </m:ctrlPr>
                  </m:sSubPr>
                  <m:e>
                    <m:r>
                      <w:rPr>
                        <w:rFonts w:ascii="Cambria Math" w:hAnsi="Cambria Math"/>
                      </w:rPr>
                      <m:t>S</m:t>
                    </m:r>
                  </m:e>
                  <m:sub>
                    <m:r>
                      <w:rPr>
                        <w:rFonts w:ascii="Cambria Math" w:hAnsi="Cambria Math"/>
                      </w:rPr>
                      <m:t>4</m:t>
                    </m:r>
                  </m:sub>
                </m:sSub>
              </m:oMath>
            </m:oMathPara>
          </w:p>
        </w:tc>
        <w:tc>
          <w:tcPr>
            <w:tcW w:w="3448" w:type="dxa"/>
          </w:tcPr>
          <w:p w14:paraId="72AF1D34" w14:textId="77777777" w:rsidR="00FF57A8" w:rsidRPr="00BC31E0" w:rsidRDefault="00A51873" w:rsidP="004736F2">
            <w:pPr>
              <w:tabs>
                <w:tab w:val="left" w:pos="851"/>
              </w:tabs>
              <w:autoSpaceDE w:val="0"/>
              <w:autoSpaceDN w:val="0"/>
              <w:jc w:val="center"/>
              <w:rPr>
                <w:rFonts w:ascii="Cambria Math" w:hAnsi="Cambria Math"/>
                <w:i/>
              </w:rPr>
            </w:pPr>
            <m:oMathPara>
              <m:oMath>
                <m:sSub>
                  <m:sSubPr>
                    <m:ctrlPr>
                      <w:rPr>
                        <w:rFonts w:ascii="Cambria Math" w:hAnsi="Cambria Math"/>
                        <w:i/>
                        <w:iCs/>
                      </w:rPr>
                    </m:ctrlPr>
                  </m:sSubPr>
                  <m:e>
                    <m:r>
                      <w:rPr>
                        <w:rFonts w:ascii="Cambria Math" w:hAnsi="Cambria Math"/>
                      </w:rPr>
                      <m:t>0.6 S</m:t>
                    </m:r>
                  </m:e>
                  <m:sub>
                    <m:r>
                      <w:rPr>
                        <w:rFonts w:ascii="Cambria Math" w:hAnsi="Cambria Math"/>
                      </w:rPr>
                      <m:t>YOH</m:t>
                    </m:r>
                  </m:sub>
                </m:sSub>
              </m:oMath>
            </m:oMathPara>
          </w:p>
        </w:tc>
        <w:tc>
          <w:tcPr>
            <w:tcW w:w="3184" w:type="dxa"/>
          </w:tcPr>
          <w:p w14:paraId="430053A5" w14:textId="77777777" w:rsidR="00FF57A8" w:rsidRPr="00BC31E0" w:rsidRDefault="00A51873" w:rsidP="004736F2">
            <w:pPr>
              <w:tabs>
                <w:tab w:val="left" w:pos="851"/>
              </w:tabs>
              <w:autoSpaceDE w:val="0"/>
              <w:autoSpaceDN w:val="0"/>
              <w:jc w:val="center"/>
              <w:rPr>
                <w:rFonts w:ascii="Cambria Math" w:hAnsi="Cambria Math"/>
                <w:i/>
              </w:rPr>
            </w:pPr>
            <m:oMathPara>
              <m:oMath>
                <m:sSub>
                  <m:sSubPr>
                    <m:ctrlPr>
                      <w:rPr>
                        <w:rFonts w:ascii="Cambria Math" w:hAnsi="Cambria Math"/>
                        <w:i/>
                        <w:iCs/>
                      </w:rPr>
                    </m:ctrlPr>
                  </m:sSubPr>
                  <m:e>
                    <m:r>
                      <w:rPr>
                        <w:rFonts w:ascii="Cambria Math" w:hAnsi="Cambria Math"/>
                      </w:rPr>
                      <m:t>0.6 S</m:t>
                    </m:r>
                  </m:e>
                  <m:sub>
                    <m:r>
                      <w:rPr>
                        <w:rFonts w:ascii="Cambria Math" w:hAnsi="Cambria Math"/>
                      </w:rPr>
                      <m:t>YAH</m:t>
                    </m:r>
                  </m:sub>
                </m:sSub>
              </m:oMath>
            </m:oMathPara>
          </w:p>
        </w:tc>
      </w:tr>
      <w:tr w:rsidR="00FF57A8" w:rsidRPr="00BC31E0" w14:paraId="36F6B528" w14:textId="77777777" w:rsidTr="004736F2">
        <w:trPr>
          <w:trHeight w:val="360"/>
          <w:jc w:val="center"/>
        </w:trPr>
        <w:tc>
          <w:tcPr>
            <w:tcW w:w="1951" w:type="dxa"/>
          </w:tcPr>
          <w:p w14:paraId="4F70B03E" w14:textId="77777777" w:rsidR="00FF57A8" w:rsidRPr="00BC31E0" w:rsidRDefault="00A51873" w:rsidP="004736F2">
            <w:pPr>
              <w:tabs>
                <w:tab w:val="left" w:pos="851"/>
              </w:tabs>
              <w:autoSpaceDE w:val="0"/>
              <w:autoSpaceDN w:val="0"/>
              <w:jc w:val="center"/>
              <w:rPr>
                <w:rFonts w:ascii="Cambria Math" w:hAnsi="Cambria Math"/>
                <w:i/>
              </w:rPr>
            </w:pPr>
            <m:oMathPara>
              <m:oMath>
                <m:sSub>
                  <m:sSubPr>
                    <m:ctrlPr>
                      <w:rPr>
                        <w:rFonts w:ascii="Cambria Math" w:hAnsi="Cambria Math"/>
                        <w:i/>
                        <w:iCs/>
                      </w:rPr>
                    </m:ctrlPr>
                  </m:sSubPr>
                  <m:e>
                    <m:r>
                      <w:rPr>
                        <w:rFonts w:ascii="Cambria Math" w:hAnsi="Cambria Math"/>
                      </w:rPr>
                      <m:t>S</m:t>
                    </m:r>
                  </m:e>
                  <m:sub>
                    <m:r>
                      <w:rPr>
                        <w:rFonts w:ascii="Cambria Math" w:hAnsi="Cambria Math"/>
                      </w:rPr>
                      <m:t>5</m:t>
                    </m:r>
                  </m:sub>
                </m:sSub>
              </m:oMath>
            </m:oMathPara>
          </w:p>
        </w:tc>
        <w:tc>
          <w:tcPr>
            <w:tcW w:w="3448" w:type="dxa"/>
          </w:tcPr>
          <w:p w14:paraId="312628BF" w14:textId="77777777" w:rsidR="00FF57A8" w:rsidRPr="00BC31E0" w:rsidRDefault="00A51873" w:rsidP="004736F2">
            <w:pPr>
              <w:tabs>
                <w:tab w:val="left" w:pos="851"/>
              </w:tabs>
              <w:autoSpaceDE w:val="0"/>
              <w:autoSpaceDN w:val="0"/>
              <w:jc w:val="center"/>
              <w:rPr>
                <w:rFonts w:ascii="Cambria Math" w:hAnsi="Cambria Math"/>
                <w:i/>
              </w:rPr>
            </w:pPr>
            <m:oMathPara>
              <m:oMath>
                <m:sSub>
                  <m:sSubPr>
                    <m:ctrlPr>
                      <w:rPr>
                        <w:rFonts w:ascii="Cambria Math" w:hAnsi="Cambria Math"/>
                        <w:i/>
                        <w:iCs/>
                      </w:rPr>
                    </m:ctrlPr>
                  </m:sSubPr>
                  <m:e>
                    <m:r>
                      <w:rPr>
                        <w:rFonts w:ascii="Cambria Math" w:hAnsi="Cambria Math"/>
                      </w:rPr>
                      <m:t>S</m:t>
                    </m:r>
                  </m:e>
                  <m:sub>
                    <m:r>
                      <w:rPr>
                        <w:rFonts w:ascii="Cambria Math" w:hAnsi="Cambria Math"/>
                      </w:rPr>
                      <m:t>YOC</m:t>
                    </m:r>
                  </m:sub>
                </m:sSub>
              </m:oMath>
            </m:oMathPara>
          </w:p>
        </w:tc>
        <w:tc>
          <w:tcPr>
            <w:tcW w:w="3184" w:type="dxa"/>
          </w:tcPr>
          <w:p w14:paraId="1FF5E248" w14:textId="77777777" w:rsidR="00FF57A8" w:rsidRPr="00BC31E0" w:rsidRDefault="00A51873" w:rsidP="004736F2">
            <w:pPr>
              <w:tabs>
                <w:tab w:val="left" w:pos="851"/>
              </w:tabs>
              <w:autoSpaceDE w:val="0"/>
              <w:autoSpaceDN w:val="0"/>
              <w:jc w:val="center"/>
              <w:rPr>
                <w:rFonts w:ascii="Cambria Math" w:hAnsi="Cambria Math"/>
                <w:i/>
              </w:rPr>
            </w:pPr>
            <m:oMathPara>
              <m:oMath>
                <m:sSub>
                  <m:sSubPr>
                    <m:ctrlPr>
                      <w:rPr>
                        <w:rFonts w:ascii="Cambria Math" w:hAnsi="Cambria Math"/>
                        <w:i/>
                        <w:iCs/>
                      </w:rPr>
                    </m:ctrlPr>
                  </m:sSubPr>
                  <m:e>
                    <m:r>
                      <w:rPr>
                        <w:rFonts w:ascii="Cambria Math" w:hAnsi="Cambria Math"/>
                      </w:rPr>
                      <m:t>S</m:t>
                    </m:r>
                  </m:e>
                  <m:sub>
                    <m:r>
                      <w:rPr>
                        <w:rFonts w:ascii="Cambria Math" w:hAnsi="Cambria Math"/>
                      </w:rPr>
                      <m:t>YAC</m:t>
                    </m:r>
                  </m:sub>
                </m:sSub>
              </m:oMath>
            </m:oMathPara>
          </w:p>
        </w:tc>
      </w:tr>
      <w:tr w:rsidR="00FF57A8" w:rsidRPr="00BC31E0" w14:paraId="5F73BF57" w14:textId="77777777" w:rsidTr="004736F2">
        <w:trPr>
          <w:trHeight w:val="360"/>
          <w:jc w:val="center"/>
        </w:trPr>
        <w:tc>
          <w:tcPr>
            <w:tcW w:w="1951" w:type="dxa"/>
          </w:tcPr>
          <w:p w14:paraId="31908092" w14:textId="77777777" w:rsidR="00FF57A8" w:rsidRPr="00BC31E0" w:rsidRDefault="00A51873" w:rsidP="004736F2">
            <w:pPr>
              <w:tabs>
                <w:tab w:val="left" w:pos="851"/>
              </w:tabs>
              <w:autoSpaceDE w:val="0"/>
              <w:autoSpaceDN w:val="0"/>
              <w:jc w:val="center"/>
              <w:rPr>
                <w:rFonts w:ascii="Cambria Math" w:hAnsi="Cambria Math"/>
                <w:i/>
              </w:rPr>
            </w:pPr>
            <m:oMathPara>
              <m:oMath>
                <m:sSub>
                  <m:sSubPr>
                    <m:ctrlPr>
                      <w:rPr>
                        <w:rFonts w:ascii="Cambria Math" w:hAnsi="Cambria Math"/>
                        <w:i/>
                        <w:iCs/>
                      </w:rPr>
                    </m:ctrlPr>
                  </m:sSubPr>
                  <m:e>
                    <m:r>
                      <w:rPr>
                        <w:rFonts w:ascii="Cambria Math" w:hAnsi="Cambria Math"/>
                      </w:rPr>
                      <m:t>S</m:t>
                    </m:r>
                  </m:e>
                  <m:sub>
                    <m:r>
                      <w:rPr>
                        <w:rFonts w:ascii="Cambria Math" w:hAnsi="Cambria Math"/>
                      </w:rPr>
                      <m:t>6</m:t>
                    </m:r>
                  </m:sub>
                </m:sSub>
              </m:oMath>
            </m:oMathPara>
          </w:p>
        </w:tc>
        <w:tc>
          <w:tcPr>
            <w:tcW w:w="3448" w:type="dxa"/>
          </w:tcPr>
          <w:p w14:paraId="0FA12DFE" w14:textId="77777777" w:rsidR="00FF57A8" w:rsidRPr="00BC31E0" w:rsidRDefault="00A51873" w:rsidP="004736F2">
            <w:pPr>
              <w:tabs>
                <w:tab w:val="left" w:pos="851"/>
              </w:tabs>
              <w:autoSpaceDE w:val="0"/>
              <w:autoSpaceDN w:val="0"/>
              <w:jc w:val="center"/>
              <w:rPr>
                <w:rFonts w:ascii="Cambria Math" w:hAnsi="Cambria Math"/>
                <w:i/>
              </w:rPr>
            </w:pPr>
            <m:oMathPara>
              <m:oMath>
                <m:sSub>
                  <m:sSubPr>
                    <m:ctrlPr>
                      <w:rPr>
                        <w:rFonts w:ascii="Cambria Math" w:hAnsi="Cambria Math"/>
                        <w:i/>
                        <w:iCs/>
                      </w:rPr>
                    </m:ctrlPr>
                  </m:sSubPr>
                  <m:e>
                    <m:r>
                      <w:rPr>
                        <w:rFonts w:ascii="Cambria Math" w:hAnsi="Cambria Math"/>
                      </w:rPr>
                      <m:t>S</m:t>
                    </m:r>
                  </m:e>
                  <m:sub>
                    <m:r>
                      <w:rPr>
                        <w:rFonts w:ascii="Cambria Math" w:hAnsi="Cambria Math"/>
                      </w:rPr>
                      <m:t>YOC</m:t>
                    </m:r>
                  </m:sub>
                </m:sSub>
              </m:oMath>
            </m:oMathPara>
          </w:p>
        </w:tc>
        <w:tc>
          <w:tcPr>
            <w:tcW w:w="3184" w:type="dxa"/>
          </w:tcPr>
          <w:p w14:paraId="356E31A8" w14:textId="77777777" w:rsidR="00FF57A8" w:rsidRPr="00BC31E0" w:rsidRDefault="00A51873" w:rsidP="004736F2">
            <w:pPr>
              <w:tabs>
                <w:tab w:val="left" w:pos="851"/>
              </w:tabs>
              <w:autoSpaceDE w:val="0"/>
              <w:autoSpaceDN w:val="0"/>
              <w:jc w:val="center"/>
              <w:rPr>
                <w:rFonts w:ascii="Cambria Math" w:hAnsi="Cambria Math"/>
                <w:i/>
              </w:rPr>
            </w:pPr>
            <m:oMathPara>
              <m:oMath>
                <m:sSub>
                  <m:sSubPr>
                    <m:ctrlPr>
                      <w:rPr>
                        <w:rFonts w:ascii="Cambria Math" w:hAnsi="Cambria Math"/>
                        <w:i/>
                        <w:iCs/>
                      </w:rPr>
                    </m:ctrlPr>
                  </m:sSubPr>
                  <m:e>
                    <m:r>
                      <w:rPr>
                        <w:rFonts w:ascii="Cambria Math" w:hAnsi="Cambria Math"/>
                      </w:rPr>
                      <m:t>S</m:t>
                    </m:r>
                  </m:e>
                  <m:sub>
                    <m:r>
                      <w:rPr>
                        <w:rFonts w:ascii="Cambria Math" w:hAnsi="Cambria Math"/>
                      </w:rPr>
                      <m:t>YAC</m:t>
                    </m:r>
                  </m:sub>
                </m:sSub>
              </m:oMath>
            </m:oMathPara>
          </w:p>
        </w:tc>
      </w:tr>
      <w:tr w:rsidR="00FF57A8" w:rsidRPr="00BC31E0" w14:paraId="635F5D85" w14:textId="77777777" w:rsidTr="004736F2">
        <w:trPr>
          <w:trHeight w:val="360"/>
          <w:jc w:val="center"/>
        </w:trPr>
        <w:tc>
          <w:tcPr>
            <w:tcW w:w="1951" w:type="dxa"/>
          </w:tcPr>
          <w:p w14:paraId="7680471E" w14:textId="77777777" w:rsidR="00FF57A8" w:rsidRPr="00BC31E0" w:rsidRDefault="00A51873" w:rsidP="004736F2">
            <w:pPr>
              <w:tabs>
                <w:tab w:val="left" w:pos="851"/>
              </w:tabs>
              <w:autoSpaceDE w:val="0"/>
              <w:autoSpaceDN w:val="0"/>
              <w:jc w:val="center"/>
              <w:rPr>
                <w:rFonts w:ascii="Cambria Math" w:hAnsi="Cambria Math"/>
                <w:i/>
              </w:rPr>
            </w:pPr>
            <m:oMathPara>
              <m:oMath>
                <m:sSub>
                  <m:sSubPr>
                    <m:ctrlPr>
                      <w:rPr>
                        <w:rFonts w:ascii="Cambria Math" w:hAnsi="Cambria Math"/>
                        <w:i/>
                        <w:iCs/>
                      </w:rPr>
                    </m:ctrlPr>
                  </m:sSubPr>
                  <m:e>
                    <m:r>
                      <w:rPr>
                        <w:rFonts w:ascii="Cambria Math" w:hAnsi="Cambria Math"/>
                      </w:rPr>
                      <m:t>S</m:t>
                    </m:r>
                  </m:e>
                  <m:sub>
                    <m:r>
                      <w:rPr>
                        <w:rFonts w:ascii="Cambria Math" w:hAnsi="Cambria Math"/>
                      </w:rPr>
                      <m:t>7</m:t>
                    </m:r>
                  </m:sub>
                </m:sSub>
              </m:oMath>
            </m:oMathPara>
          </w:p>
        </w:tc>
        <w:tc>
          <w:tcPr>
            <w:tcW w:w="3448" w:type="dxa"/>
          </w:tcPr>
          <w:p w14:paraId="323533EC" w14:textId="77777777" w:rsidR="00FF57A8" w:rsidRPr="00BC31E0" w:rsidRDefault="00A51873" w:rsidP="004736F2">
            <w:pPr>
              <w:tabs>
                <w:tab w:val="left" w:pos="851"/>
              </w:tabs>
              <w:autoSpaceDE w:val="0"/>
              <w:autoSpaceDN w:val="0"/>
              <w:jc w:val="center"/>
              <w:rPr>
                <w:rFonts w:ascii="Cambria Math" w:hAnsi="Cambria Math"/>
                <w:i/>
              </w:rPr>
            </w:pPr>
            <m:oMathPara>
              <m:oMath>
                <m:sSub>
                  <m:sSubPr>
                    <m:ctrlPr>
                      <w:rPr>
                        <w:rFonts w:ascii="Cambria Math" w:hAnsi="Cambria Math"/>
                        <w:i/>
                        <w:iCs/>
                      </w:rPr>
                    </m:ctrlPr>
                  </m:sSubPr>
                  <m:e>
                    <m:r>
                      <w:rPr>
                        <w:rFonts w:ascii="Cambria Math" w:hAnsi="Cambria Math"/>
                      </w:rPr>
                      <m:t>0.6 S</m:t>
                    </m:r>
                  </m:e>
                  <m:sub>
                    <m:r>
                      <w:rPr>
                        <w:rFonts w:ascii="Cambria Math" w:hAnsi="Cambria Math"/>
                      </w:rPr>
                      <m:t>YOC</m:t>
                    </m:r>
                  </m:sub>
                </m:sSub>
              </m:oMath>
            </m:oMathPara>
          </w:p>
        </w:tc>
        <w:tc>
          <w:tcPr>
            <w:tcW w:w="3184" w:type="dxa"/>
          </w:tcPr>
          <w:p w14:paraId="3E15BF79" w14:textId="77777777" w:rsidR="00FF57A8" w:rsidRPr="00BC31E0" w:rsidRDefault="00A51873" w:rsidP="004736F2">
            <w:pPr>
              <w:tabs>
                <w:tab w:val="left" w:pos="851"/>
              </w:tabs>
              <w:autoSpaceDE w:val="0"/>
              <w:autoSpaceDN w:val="0"/>
              <w:jc w:val="center"/>
              <w:rPr>
                <w:rFonts w:ascii="Cambria Math" w:hAnsi="Cambria Math"/>
                <w:i/>
              </w:rPr>
            </w:pPr>
            <m:oMathPara>
              <m:oMath>
                <m:sSub>
                  <m:sSubPr>
                    <m:ctrlPr>
                      <w:rPr>
                        <w:rFonts w:ascii="Cambria Math" w:hAnsi="Cambria Math"/>
                        <w:i/>
                        <w:iCs/>
                      </w:rPr>
                    </m:ctrlPr>
                  </m:sSubPr>
                  <m:e>
                    <m:r>
                      <w:rPr>
                        <w:rFonts w:ascii="Cambria Math" w:hAnsi="Cambria Math"/>
                      </w:rPr>
                      <m:t>0.6 S</m:t>
                    </m:r>
                  </m:e>
                  <m:sub>
                    <m:r>
                      <w:rPr>
                        <w:rFonts w:ascii="Cambria Math" w:hAnsi="Cambria Math"/>
                      </w:rPr>
                      <m:t>YAC</m:t>
                    </m:r>
                  </m:sub>
                </m:sSub>
              </m:oMath>
            </m:oMathPara>
          </w:p>
        </w:tc>
      </w:tr>
      <w:tr w:rsidR="00FF57A8" w:rsidRPr="00BC31E0" w14:paraId="0F2679FA" w14:textId="77777777" w:rsidTr="004736F2">
        <w:trPr>
          <w:trHeight w:val="360"/>
          <w:jc w:val="center"/>
        </w:trPr>
        <w:tc>
          <w:tcPr>
            <w:tcW w:w="1951" w:type="dxa"/>
          </w:tcPr>
          <w:p w14:paraId="5C93ABFA" w14:textId="77777777" w:rsidR="00FF57A8" w:rsidRPr="00BC31E0" w:rsidRDefault="00A51873" w:rsidP="004736F2">
            <w:pPr>
              <w:tabs>
                <w:tab w:val="left" w:pos="851"/>
              </w:tabs>
              <w:autoSpaceDE w:val="0"/>
              <w:autoSpaceDN w:val="0"/>
              <w:jc w:val="center"/>
              <w:rPr>
                <w:rFonts w:ascii="Cambria Math" w:hAnsi="Cambria Math"/>
                <w:i/>
              </w:rPr>
            </w:pPr>
            <m:oMathPara>
              <m:oMath>
                <m:sSub>
                  <m:sSubPr>
                    <m:ctrlPr>
                      <w:rPr>
                        <w:rFonts w:ascii="Cambria Math" w:hAnsi="Cambria Math"/>
                        <w:i/>
                        <w:iCs/>
                      </w:rPr>
                    </m:ctrlPr>
                  </m:sSubPr>
                  <m:e>
                    <m:r>
                      <w:rPr>
                        <w:rFonts w:ascii="Cambria Math" w:hAnsi="Cambria Math"/>
                      </w:rPr>
                      <m:t>S</m:t>
                    </m:r>
                  </m:e>
                  <m:sub>
                    <m:r>
                      <w:rPr>
                        <w:rFonts w:ascii="Cambria Math" w:hAnsi="Cambria Math"/>
                      </w:rPr>
                      <m:t>8</m:t>
                    </m:r>
                  </m:sub>
                </m:sSub>
              </m:oMath>
            </m:oMathPara>
          </w:p>
        </w:tc>
        <w:tc>
          <w:tcPr>
            <w:tcW w:w="3448" w:type="dxa"/>
          </w:tcPr>
          <w:p w14:paraId="28398EE8" w14:textId="77777777" w:rsidR="00FF57A8" w:rsidRPr="00BC31E0" w:rsidRDefault="00A51873" w:rsidP="004736F2">
            <w:pPr>
              <w:tabs>
                <w:tab w:val="left" w:pos="851"/>
              </w:tabs>
              <w:autoSpaceDE w:val="0"/>
              <w:autoSpaceDN w:val="0"/>
              <w:jc w:val="center"/>
              <w:rPr>
                <w:rFonts w:ascii="Cambria Math" w:hAnsi="Cambria Math"/>
                <w:i/>
              </w:rPr>
            </w:pPr>
            <m:oMathPara>
              <m:oMath>
                <m:f>
                  <m:fPr>
                    <m:type m:val="lin"/>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YOC</m:t>
                        </m:r>
                      </m:sub>
                    </m:sSub>
                  </m:num>
                  <m:den>
                    <m:r>
                      <w:rPr>
                        <w:rFonts w:ascii="Cambria Math" w:hAnsi="Cambria Math"/>
                      </w:rPr>
                      <m:t>1.5</m:t>
                    </m:r>
                  </m:den>
                </m:f>
              </m:oMath>
            </m:oMathPara>
          </w:p>
        </w:tc>
        <w:tc>
          <w:tcPr>
            <w:tcW w:w="3184" w:type="dxa"/>
          </w:tcPr>
          <w:p w14:paraId="432C2223" w14:textId="77777777" w:rsidR="00FF57A8" w:rsidRPr="00BC31E0" w:rsidRDefault="00A51873" w:rsidP="004736F2">
            <w:pPr>
              <w:tabs>
                <w:tab w:val="left" w:pos="851"/>
              </w:tabs>
              <w:autoSpaceDE w:val="0"/>
              <w:autoSpaceDN w:val="0"/>
              <w:jc w:val="center"/>
              <w:rPr>
                <w:rFonts w:ascii="Cambria Math" w:hAnsi="Cambria Math"/>
                <w:i/>
              </w:rPr>
            </w:pPr>
            <m:oMathPara>
              <m:oMath>
                <m:f>
                  <m:fPr>
                    <m:type m:val="lin"/>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YAC</m:t>
                        </m:r>
                      </m:sub>
                    </m:sSub>
                  </m:num>
                  <m:den>
                    <m:r>
                      <w:rPr>
                        <w:rFonts w:ascii="Cambria Math" w:hAnsi="Cambria Math"/>
                      </w:rPr>
                      <m:t>1.5</m:t>
                    </m:r>
                  </m:den>
                </m:f>
              </m:oMath>
            </m:oMathPara>
          </w:p>
        </w:tc>
      </w:tr>
      <w:tr w:rsidR="00FF57A8" w:rsidRPr="00BC31E0" w14:paraId="6FC24028" w14:textId="77777777" w:rsidTr="004736F2">
        <w:trPr>
          <w:trHeight w:val="360"/>
          <w:jc w:val="center"/>
        </w:trPr>
        <w:tc>
          <w:tcPr>
            <w:tcW w:w="1951" w:type="dxa"/>
          </w:tcPr>
          <w:p w14:paraId="52221674" w14:textId="77777777" w:rsidR="00FF57A8" w:rsidRPr="00BC31E0" w:rsidRDefault="00A51873" w:rsidP="004736F2">
            <w:pPr>
              <w:tabs>
                <w:tab w:val="left" w:pos="851"/>
              </w:tabs>
              <w:autoSpaceDE w:val="0"/>
              <w:autoSpaceDN w:val="0"/>
              <w:jc w:val="center"/>
              <w:rPr>
                <w:rFonts w:ascii="Cambria Math" w:hAnsi="Cambria Math"/>
                <w:i/>
              </w:rPr>
            </w:pPr>
            <m:oMathPara>
              <m:oMath>
                <m:sSub>
                  <m:sSubPr>
                    <m:ctrlPr>
                      <w:rPr>
                        <w:rFonts w:ascii="Cambria Math" w:hAnsi="Cambria Math"/>
                        <w:i/>
                        <w:iCs/>
                      </w:rPr>
                    </m:ctrlPr>
                  </m:sSubPr>
                  <m:e>
                    <m:r>
                      <w:rPr>
                        <w:rFonts w:ascii="Cambria Math" w:hAnsi="Cambria Math"/>
                      </w:rPr>
                      <m:t>S</m:t>
                    </m:r>
                  </m:e>
                  <m:sub>
                    <m:r>
                      <w:rPr>
                        <w:rFonts w:ascii="Cambria Math" w:hAnsi="Cambria Math"/>
                      </w:rPr>
                      <m:t>9</m:t>
                    </m:r>
                  </m:sub>
                </m:sSub>
              </m:oMath>
            </m:oMathPara>
          </w:p>
        </w:tc>
        <w:tc>
          <w:tcPr>
            <w:tcW w:w="3448" w:type="dxa"/>
          </w:tcPr>
          <w:p w14:paraId="00C4478C" w14:textId="77777777" w:rsidR="00FF57A8" w:rsidRPr="00BC31E0" w:rsidRDefault="00A51873" w:rsidP="004736F2">
            <w:pPr>
              <w:tabs>
                <w:tab w:val="left" w:pos="851"/>
              </w:tabs>
              <w:autoSpaceDE w:val="0"/>
              <w:autoSpaceDN w:val="0"/>
              <w:jc w:val="center"/>
              <w:rPr>
                <w:rFonts w:ascii="Cambria Math" w:hAnsi="Cambria Math"/>
                <w:i/>
              </w:rPr>
            </w:pPr>
            <m:oMathPara>
              <m:oMath>
                <m:f>
                  <m:fPr>
                    <m:type m:val="lin"/>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YOC</m:t>
                        </m:r>
                      </m:sub>
                    </m:sSub>
                  </m:num>
                  <m:den>
                    <m:r>
                      <w:rPr>
                        <w:rFonts w:ascii="Cambria Math" w:hAnsi="Cambria Math"/>
                      </w:rPr>
                      <m:t>1.5</m:t>
                    </m:r>
                  </m:den>
                </m:f>
              </m:oMath>
            </m:oMathPara>
          </w:p>
        </w:tc>
        <w:tc>
          <w:tcPr>
            <w:tcW w:w="3184" w:type="dxa"/>
          </w:tcPr>
          <w:p w14:paraId="04F96C74" w14:textId="77777777" w:rsidR="00FF57A8" w:rsidRPr="00BC31E0" w:rsidRDefault="00A51873" w:rsidP="004736F2">
            <w:pPr>
              <w:tabs>
                <w:tab w:val="left" w:pos="851"/>
              </w:tabs>
              <w:autoSpaceDE w:val="0"/>
              <w:autoSpaceDN w:val="0"/>
              <w:jc w:val="center"/>
              <w:rPr>
                <w:rFonts w:ascii="Cambria Math" w:hAnsi="Cambria Math"/>
                <w:i/>
              </w:rPr>
            </w:pPr>
            <m:oMathPara>
              <m:oMath>
                <m:f>
                  <m:fPr>
                    <m:type m:val="lin"/>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YAC</m:t>
                        </m:r>
                      </m:sub>
                    </m:sSub>
                  </m:num>
                  <m:den>
                    <m:r>
                      <w:rPr>
                        <w:rFonts w:ascii="Cambria Math" w:hAnsi="Cambria Math"/>
                      </w:rPr>
                      <m:t>1.5</m:t>
                    </m:r>
                  </m:den>
                </m:f>
              </m:oMath>
            </m:oMathPara>
          </w:p>
        </w:tc>
      </w:tr>
      <w:tr w:rsidR="00FF57A8" w:rsidRPr="00BC31E0" w14:paraId="39F53ACF" w14:textId="77777777" w:rsidTr="004736F2">
        <w:trPr>
          <w:trHeight w:val="360"/>
          <w:jc w:val="center"/>
        </w:trPr>
        <w:tc>
          <w:tcPr>
            <w:tcW w:w="1951" w:type="dxa"/>
          </w:tcPr>
          <w:p w14:paraId="0A2435B4" w14:textId="77777777" w:rsidR="00FF57A8" w:rsidRPr="00BC31E0" w:rsidRDefault="00A51873" w:rsidP="004736F2">
            <w:pPr>
              <w:tabs>
                <w:tab w:val="left" w:pos="851"/>
              </w:tabs>
              <w:autoSpaceDE w:val="0"/>
              <w:autoSpaceDN w:val="0"/>
              <w:jc w:val="center"/>
              <w:rPr>
                <w:rFonts w:ascii="Cambria Math" w:hAnsi="Cambria Math"/>
                <w:i/>
              </w:rPr>
            </w:pPr>
            <m:oMathPara>
              <m:oMath>
                <m:sSub>
                  <m:sSubPr>
                    <m:ctrlPr>
                      <w:rPr>
                        <w:rFonts w:ascii="Cambria Math" w:hAnsi="Cambria Math"/>
                        <w:i/>
                        <w:iCs/>
                      </w:rPr>
                    </m:ctrlPr>
                  </m:sSubPr>
                  <m:e>
                    <m:r>
                      <w:rPr>
                        <w:rFonts w:ascii="Cambria Math" w:hAnsi="Cambria Math"/>
                      </w:rPr>
                      <m:t>S</m:t>
                    </m:r>
                  </m:e>
                  <m:sub>
                    <m:r>
                      <w:rPr>
                        <w:rFonts w:ascii="Cambria Math" w:hAnsi="Cambria Math"/>
                      </w:rPr>
                      <m:t>10</m:t>
                    </m:r>
                  </m:sub>
                </m:sSub>
              </m:oMath>
            </m:oMathPara>
          </w:p>
        </w:tc>
        <w:tc>
          <w:tcPr>
            <w:tcW w:w="3448" w:type="dxa"/>
          </w:tcPr>
          <w:p w14:paraId="2A2CF5A9" w14:textId="77777777" w:rsidR="00FF57A8" w:rsidRPr="00BC31E0" w:rsidRDefault="00A51873" w:rsidP="004736F2">
            <w:pPr>
              <w:tabs>
                <w:tab w:val="left" w:pos="851"/>
              </w:tabs>
              <w:autoSpaceDE w:val="0"/>
              <w:autoSpaceDN w:val="0"/>
              <w:jc w:val="center"/>
              <w:rPr>
                <w:rFonts w:ascii="Cambria Math" w:hAnsi="Cambria Math"/>
                <w:i/>
              </w:rPr>
            </w:pPr>
            <m:oMathPara>
              <m:oMath>
                <m:sSub>
                  <m:sSubPr>
                    <m:ctrlPr>
                      <w:rPr>
                        <w:rFonts w:ascii="Cambria Math" w:hAnsi="Cambria Math"/>
                        <w:i/>
                        <w:iCs/>
                      </w:rPr>
                    </m:ctrlPr>
                  </m:sSubPr>
                  <m:e>
                    <m:r>
                      <w:rPr>
                        <w:rFonts w:ascii="Cambria Math" w:hAnsi="Cambria Math"/>
                      </w:rPr>
                      <m:t>0.6 S</m:t>
                    </m:r>
                  </m:e>
                  <m:sub>
                    <m:r>
                      <w:rPr>
                        <w:rFonts w:ascii="Cambria Math" w:hAnsi="Cambria Math"/>
                      </w:rPr>
                      <m:t>YOC</m:t>
                    </m:r>
                  </m:sub>
                </m:sSub>
              </m:oMath>
            </m:oMathPara>
          </w:p>
        </w:tc>
        <w:tc>
          <w:tcPr>
            <w:tcW w:w="3184" w:type="dxa"/>
          </w:tcPr>
          <w:p w14:paraId="19D921DF" w14:textId="77777777" w:rsidR="00FF57A8" w:rsidRPr="00BC31E0" w:rsidRDefault="00A51873" w:rsidP="004736F2">
            <w:pPr>
              <w:tabs>
                <w:tab w:val="left" w:pos="851"/>
              </w:tabs>
              <w:autoSpaceDE w:val="0"/>
              <w:autoSpaceDN w:val="0"/>
              <w:jc w:val="center"/>
              <w:rPr>
                <w:rFonts w:ascii="Cambria Math" w:hAnsi="Cambria Math"/>
                <w:i/>
              </w:rPr>
            </w:pPr>
            <m:oMathPara>
              <m:oMath>
                <m:sSub>
                  <m:sSubPr>
                    <m:ctrlPr>
                      <w:rPr>
                        <w:rFonts w:ascii="Cambria Math" w:hAnsi="Cambria Math"/>
                        <w:i/>
                        <w:iCs/>
                      </w:rPr>
                    </m:ctrlPr>
                  </m:sSubPr>
                  <m:e>
                    <m:r>
                      <w:rPr>
                        <w:rFonts w:ascii="Cambria Math" w:hAnsi="Cambria Math"/>
                      </w:rPr>
                      <m:t>0.6 S</m:t>
                    </m:r>
                  </m:e>
                  <m:sub>
                    <m:r>
                      <w:rPr>
                        <w:rFonts w:ascii="Cambria Math" w:hAnsi="Cambria Math"/>
                      </w:rPr>
                      <m:t>YAC</m:t>
                    </m:r>
                  </m:sub>
                </m:sSub>
              </m:oMath>
            </m:oMathPara>
          </w:p>
        </w:tc>
      </w:tr>
      <w:tr w:rsidR="00FF57A8" w:rsidRPr="00BC31E0" w14:paraId="483EB2FD" w14:textId="77777777" w:rsidTr="004736F2">
        <w:trPr>
          <w:trHeight w:val="360"/>
          <w:jc w:val="center"/>
        </w:trPr>
        <w:tc>
          <w:tcPr>
            <w:tcW w:w="1951" w:type="dxa"/>
          </w:tcPr>
          <w:p w14:paraId="0FDDE607" w14:textId="77777777" w:rsidR="00FF57A8" w:rsidRPr="00BC31E0" w:rsidRDefault="00A51873" w:rsidP="004736F2">
            <w:pPr>
              <w:tabs>
                <w:tab w:val="left" w:pos="851"/>
              </w:tabs>
              <w:autoSpaceDE w:val="0"/>
              <w:autoSpaceDN w:val="0"/>
              <w:jc w:val="center"/>
              <w:rPr>
                <w:rFonts w:ascii="Times New Roman" w:hAnsi="Times New Roman"/>
                <w:i/>
              </w:rPr>
            </w:pPr>
            <m:oMathPara>
              <m:oMath>
                <m:sSub>
                  <m:sSubPr>
                    <m:ctrlPr>
                      <w:rPr>
                        <w:rFonts w:ascii="Cambria Math" w:hAnsi="Cambria Math"/>
                        <w:i/>
                        <w:iCs/>
                      </w:rPr>
                    </m:ctrlPr>
                  </m:sSubPr>
                  <m:e>
                    <m:r>
                      <w:rPr>
                        <w:rFonts w:ascii="Cambria Math" w:hAnsi="Cambria Math"/>
                      </w:rPr>
                      <m:t>S</m:t>
                    </m:r>
                  </m:e>
                  <m:sub>
                    <m:r>
                      <w:rPr>
                        <w:rFonts w:ascii="Cambria Math" w:hAnsi="Cambria Math"/>
                      </w:rPr>
                      <m:t>11</m:t>
                    </m:r>
                  </m:sub>
                </m:sSub>
              </m:oMath>
            </m:oMathPara>
          </w:p>
        </w:tc>
        <w:tc>
          <w:tcPr>
            <w:tcW w:w="3448" w:type="dxa"/>
          </w:tcPr>
          <w:p w14:paraId="4ECE5151" w14:textId="77777777" w:rsidR="00FF57A8" w:rsidRPr="00BC31E0" w:rsidRDefault="00FF57A8" w:rsidP="004736F2">
            <w:pPr>
              <w:tabs>
                <w:tab w:val="left" w:pos="851"/>
              </w:tabs>
              <w:autoSpaceDE w:val="0"/>
              <w:autoSpaceDN w:val="0"/>
              <w:jc w:val="center"/>
              <w:rPr>
                <w:rFonts w:ascii="Cambria Math" w:hAnsi="Cambria Math"/>
              </w:rPr>
            </w:pPr>
            <m:oMath>
              <m:r>
                <m:rPr>
                  <m:sty m:val="bi"/>
                </m:rPr>
                <w:rPr>
                  <w:rFonts w:ascii="Cambria Math" w:hAnsi="Cambria Math"/>
                </w:rPr>
                <m:t>min</m:t>
              </m:r>
            </m:oMath>
            <w:r w:rsidRPr="00BC31E0">
              <w:t>(</w:t>
            </w:r>
            <m:oMath>
              <m:sSub>
                <m:sSubPr>
                  <m:ctrlPr>
                    <w:rPr>
                      <w:rFonts w:ascii="Cambria Math" w:hAnsi="Cambria Math"/>
                      <w:i/>
                      <w:iCs/>
                    </w:rPr>
                  </m:ctrlPr>
                </m:sSubPr>
                <m:e>
                  <m:r>
                    <w:rPr>
                      <w:rFonts w:ascii="Cambria Math" w:hAnsi="Cambria Math"/>
                    </w:rPr>
                    <m:t>S</m:t>
                  </m:r>
                </m:e>
                <m:sub>
                  <m:r>
                    <w:rPr>
                      <w:rFonts w:ascii="Cambria Math" w:hAnsi="Cambria Math"/>
                    </w:rPr>
                    <m:t>YOH</m:t>
                  </m:r>
                </m:sub>
              </m:sSub>
            </m:oMath>
            <w:r w:rsidRPr="00BC31E0">
              <w:rPr>
                <w:rFonts w:ascii="Times New Roman"/>
                <w:position w:val="-4"/>
              </w:rPr>
              <w:t>，</w:t>
            </w:r>
            <m:oMath>
              <m:sSub>
                <m:sSubPr>
                  <m:ctrlPr>
                    <w:rPr>
                      <w:rFonts w:ascii="Cambria Math" w:hAnsi="Cambria Math"/>
                      <w:i/>
                      <w:iCs/>
                    </w:rPr>
                  </m:ctrlPr>
                </m:sSubPr>
                <m:e>
                  <m:r>
                    <w:rPr>
                      <w:rFonts w:ascii="Cambria Math" w:hAnsi="Cambria Math"/>
                    </w:rPr>
                    <m:t>S</m:t>
                  </m:r>
                </m:e>
                <m:sub>
                  <m:r>
                    <w:rPr>
                      <w:rFonts w:ascii="Cambria Math" w:hAnsi="Cambria Math"/>
                    </w:rPr>
                    <m:t>YAH</m:t>
                  </m:r>
                </m:sub>
              </m:sSub>
            </m:oMath>
            <w:r w:rsidRPr="00BC31E0">
              <w:rPr>
                <w:rFonts w:ascii="Times New Roman"/>
                <w:position w:val="-4"/>
              </w:rPr>
              <w:t>，</w:t>
            </w:r>
            <m:oMath>
              <m:sSub>
                <m:sSubPr>
                  <m:ctrlPr>
                    <w:rPr>
                      <w:rFonts w:ascii="Cambria Math" w:hAnsi="Cambria Math"/>
                      <w:i/>
                      <w:iCs/>
                    </w:rPr>
                  </m:ctrlPr>
                </m:sSubPr>
                <m:e>
                  <m:r>
                    <w:rPr>
                      <w:rFonts w:ascii="Cambria Math" w:hAnsi="Cambria Math"/>
                    </w:rPr>
                    <m:t>S</m:t>
                  </m:r>
                </m:e>
                <m:sub>
                  <m:r>
                    <w:rPr>
                      <w:rFonts w:ascii="Cambria Math" w:hAnsi="Cambria Math"/>
                    </w:rPr>
                    <m:t>YOC</m:t>
                  </m:r>
                </m:sub>
              </m:sSub>
            </m:oMath>
            <w:r w:rsidRPr="00BC31E0">
              <w:rPr>
                <w:rFonts w:ascii="Times New Roman"/>
                <w:position w:val="-4"/>
              </w:rPr>
              <w:t>，</w:t>
            </w:r>
            <m:oMath>
              <m:sSub>
                <m:sSubPr>
                  <m:ctrlPr>
                    <w:rPr>
                      <w:rFonts w:ascii="Cambria Math" w:hAnsi="Cambria Math"/>
                      <w:i/>
                      <w:iCs/>
                    </w:rPr>
                  </m:ctrlPr>
                </m:sSubPr>
                <m:e>
                  <m:r>
                    <w:rPr>
                      <w:rFonts w:ascii="Cambria Math" w:hAnsi="Cambria Math"/>
                    </w:rPr>
                    <m:t>S</m:t>
                  </m:r>
                </m:e>
                <m:sub>
                  <m:r>
                    <w:rPr>
                      <w:rFonts w:ascii="Cambria Math" w:hAnsi="Cambria Math"/>
                    </w:rPr>
                    <m:t>YAC</m:t>
                  </m:r>
                </m:sub>
              </m:sSub>
            </m:oMath>
            <w:r w:rsidRPr="00BC31E0">
              <w:rPr>
                <w:position w:val="-4"/>
              </w:rPr>
              <w:t>)</w:t>
            </w:r>
          </w:p>
        </w:tc>
        <w:tc>
          <w:tcPr>
            <w:tcW w:w="3184" w:type="dxa"/>
          </w:tcPr>
          <w:p w14:paraId="5C1261CC" w14:textId="77777777" w:rsidR="00FF57A8" w:rsidRPr="00BC31E0" w:rsidRDefault="00FF57A8" w:rsidP="004736F2">
            <w:pPr>
              <w:tabs>
                <w:tab w:val="left" w:pos="851"/>
              </w:tabs>
              <w:autoSpaceDE w:val="0"/>
              <w:autoSpaceDN w:val="0"/>
              <w:jc w:val="center"/>
              <w:rPr>
                <w:rFonts w:ascii="Cambria Math" w:hAnsi="Cambria Math"/>
              </w:rPr>
            </w:pPr>
            <w:r w:rsidRPr="00BC31E0">
              <w:rPr>
                <w:rFonts w:ascii="Times New Roman"/>
              </w:rPr>
              <w:t>－</w:t>
            </w:r>
          </w:p>
        </w:tc>
      </w:tr>
    </w:tbl>
    <w:p w14:paraId="2865729F" w14:textId="77777777" w:rsidR="00FF57A8" w:rsidRPr="00BC31E0" w:rsidRDefault="00FF57A8" w:rsidP="00FF57A8"/>
    <w:p w14:paraId="56EB0804" w14:textId="77777777" w:rsidR="00FF57A8" w:rsidRPr="00BC31E0" w:rsidRDefault="00FF57A8" w:rsidP="00FF57A8">
      <w:pPr>
        <w:jc w:val="center"/>
      </w:pPr>
      <w:r w:rsidRPr="00BC31E0">
        <w:rPr>
          <w:noProof/>
        </w:rPr>
        <w:drawing>
          <wp:inline distT="0" distB="0" distL="0" distR="0" wp14:anchorId="72274CD7" wp14:editId="68BBD787">
            <wp:extent cx="5083810" cy="5024755"/>
            <wp:effectExtent l="19050" t="0" r="2540" b="0"/>
            <wp:docPr id="1816" name="図 1816" descr="図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descr="図H"/>
                    <pic:cNvPicPr>
                      <a:picLocks noChangeAspect="1" noChangeArrowheads="1"/>
                    </pic:cNvPicPr>
                  </pic:nvPicPr>
                  <pic:blipFill>
                    <a:blip r:embed="rId151" cstate="print"/>
                    <a:srcRect/>
                    <a:stretch>
                      <a:fillRect/>
                    </a:stretch>
                  </pic:blipFill>
                  <pic:spPr bwMode="auto">
                    <a:xfrm>
                      <a:off x="0" y="0"/>
                      <a:ext cx="5083810" cy="5024755"/>
                    </a:xfrm>
                    <a:prstGeom prst="rect">
                      <a:avLst/>
                    </a:prstGeom>
                    <a:noFill/>
                    <a:ln w="9525">
                      <a:noFill/>
                      <a:miter lim="800000"/>
                      <a:headEnd/>
                      <a:tailEnd/>
                    </a:ln>
                  </pic:spPr>
                </pic:pic>
              </a:graphicData>
            </a:graphic>
          </wp:inline>
        </w:drawing>
      </w:r>
    </w:p>
    <w:p w14:paraId="119F5B85" w14:textId="77777777" w:rsidR="005D77CA" w:rsidRPr="00BC31E0" w:rsidRDefault="005D77CA" w:rsidP="0072734B"/>
    <w:p w14:paraId="2986BD88" w14:textId="77777777" w:rsidR="005B6E62" w:rsidRPr="00BC31E0" w:rsidRDefault="005B6E62" w:rsidP="00664259">
      <w:pPr>
        <w:pStyle w:val="aff6"/>
      </w:pPr>
      <w:bookmarkStart w:id="169" w:name="_Toc357672133"/>
      <w:bookmarkStart w:id="170" w:name="_Toc120092569"/>
      <w:r w:rsidRPr="00BC31E0">
        <w:rPr>
          <w:rFonts w:hint="eastAsia"/>
        </w:rPr>
        <w:lastRenderedPageBreak/>
        <w:t>附属書</w:t>
      </w:r>
      <w:r w:rsidRPr="00BC31E0">
        <w:rPr>
          <w:rFonts w:hint="eastAsia"/>
        </w:rPr>
        <w:t>I(</w:t>
      </w:r>
      <w:r w:rsidRPr="00BC31E0">
        <w:rPr>
          <w:rFonts w:hint="eastAsia"/>
        </w:rPr>
        <w:t>規定</w:t>
      </w:r>
      <w:r w:rsidRPr="00BC31E0">
        <w:rPr>
          <w:rFonts w:hint="eastAsia"/>
        </w:rPr>
        <w:t>)</w:t>
      </w:r>
      <w:r w:rsidRPr="00BC31E0">
        <w:rPr>
          <w:rFonts w:hint="eastAsia"/>
        </w:rPr>
        <w:t xml:space="preserve">　溶接部の放射線透過試験の円形状指示模様合格基準</w:t>
      </w:r>
      <w:bookmarkEnd w:id="169"/>
      <w:bookmarkEnd w:id="170"/>
    </w:p>
    <w:p w14:paraId="3121D76F" w14:textId="77777777" w:rsidR="005B6E62" w:rsidRPr="00BC31E0" w:rsidRDefault="005B6E62" w:rsidP="00664259">
      <w:pPr>
        <w:pStyle w:val="afb"/>
        <w:spacing w:line="240" w:lineRule="auto"/>
      </w:pPr>
      <w:r w:rsidRPr="00BC31E0">
        <w:rPr>
          <w:rFonts w:hint="eastAsia"/>
        </w:rPr>
        <w:t>序文</w:t>
      </w:r>
    </w:p>
    <w:p w14:paraId="7A528CAC" w14:textId="77777777" w:rsidR="005B6E62" w:rsidRPr="00BC31E0" w:rsidRDefault="005B6E62" w:rsidP="00664259">
      <w:pPr>
        <w:pStyle w:val="15"/>
        <w:ind w:firstLine="210"/>
      </w:pPr>
      <w:r w:rsidRPr="00BC31E0">
        <w:rPr>
          <w:rFonts w:hint="eastAsia"/>
        </w:rPr>
        <w:t>この附属書は，溶接部の放射線透過試験の円形状指示模様合格基準について規定する。</w:t>
      </w:r>
    </w:p>
    <w:p w14:paraId="4BEB8A09" w14:textId="77777777" w:rsidR="005B6E62" w:rsidRPr="00BC31E0" w:rsidRDefault="005B6E62" w:rsidP="00664259">
      <w:pPr>
        <w:autoSpaceDE w:val="0"/>
        <w:autoSpaceDN w:val="0"/>
        <w:jc w:val="left"/>
        <w:rPr>
          <w:szCs w:val="20"/>
        </w:rPr>
      </w:pPr>
    </w:p>
    <w:p w14:paraId="261B564F" w14:textId="77777777" w:rsidR="005B6E62" w:rsidRPr="00BC31E0" w:rsidRDefault="005B6E62" w:rsidP="00736130">
      <w:pPr>
        <w:pStyle w:val="13"/>
        <w:numPr>
          <w:ilvl w:val="0"/>
          <w:numId w:val="248"/>
        </w:numPr>
        <w:adjustRightInd/>
        <w:snapToGrid/>
        <w:spacing w:line="240" w:lineRule="auto"/>
      </w:pPr>
      <w:r w:rsidRPr="00BC31E0">
        <w:rPr>
          <w:rFonts w:hint="eastAsia"/>
        </w:rPr>
        <w:t>適用範囲</w:t>
      </w:r>
    </w:p>
    <w:p w14:paraId="01CAE2C7" w14:textId="77777777" w:rsidR="005B6E62" w:rsidRPr="00BC31E0" w:rsidRDefault="005B6E62" w:rsidP="00664259">
      <w:pPr>
        <w:pStyle w:val="15"/>
        <w:ind w:firstLine="210"/>
      </w:pPr>
      <w:r w:rsidRPr="00BC31E0">
        <w:rPr>
          <w:rFonts w:hint="eastAsia"/>
        </w:rPr>
        <w:t>この規格は，フェライト系材料，オーステナイト系材料及び非鉄材料に適用する。</w:t>
      </w:r>
    </w:p>
    <w:p w14:paraId="5F6AAA1B" w14:textId="77777777" w:rsidR="005B6E62" w:rsidRPr="00BC31E0" w:rsidRDefault="005B6E62" w:rsidP="00664259">
      <w:pPr>
        <w:rPr>
          <w:szCs w:val="20"/>
        </w:rPr>
      </w:pPr>
    </w:p>
    <w:p w14:paraId="1A0CC865" w14:textId="77777777" w:rsidR="005B6E62" w:rsidRPr="00BC31E0" w:rsidRDefault="005B6E62" w:rsidP="00664259">
      <w:pPr>
        <w:pStyle w:val="1f9"/>
        <w:numPr>
          <w:ilvl w:val="0"/>
          <w:numId w:val="2"/>
        </w:numPr>
        <w:adjustRightInd/>
        <w:snapToGrid/>
        <w:spacing w:line="240" w:lineRule="auto"/>
        <w:ind w:left="340" w:hanging="340"/>
      </w:pPr>
      <w:r w:rsidRPr="00BC31E0">
        <w:rPr>
          <w:rFonts w:hint="eastAsia"/>
        </w:rPr>
        <w:t>合格基準</w:t>
      </w:r>
    </w:p>
    <w:p w14:paraId="77709B76" w14:textId="77777777" w:rsidR="005B6E62" w:rsidRPr="00BC31E0" w:rsidRDefault="005B6E62" w:rsidP="00664259">
      <w:pPr>
        <w:pStyle w:val="15"/>
        <w:ind w:firstLine="210"/>
      </w:pPr>
      <w:r w:rsidRPr="00BC31E0">
        <w:rPr>
          <w:rFonts w:hint="eastAsia"/>
        </w:rPr>
        <w:t>厚さ</w:t>
      </w:r>
      <m:oMath>
        <m:r>
          <m:rPr>
            <m:sty m:val="p"/>
          </m:rPr>
          <w:rPr>
            <w:rFonts w:ascii="Cambria Math" w:hAnsi="Cambria Math"/>
          </w:rPr>
          <m:t xml:space="preserve"> </m:t>
        </m:r>
        <m:r>
          <w:rPr>
            <w:rFonts w:ascii="Cambria Math" w:hAnsi="Cambria Math"/>
          </w:rPr>
          <m:t xml:space="preserve">t </m:t>
        </m:r>
      </m:oMath>
      <w:r w:rsidRPr="00BC31E0">
        <w:rPr>
          <w:rFonts w:hint="eastAsia"/>
        </w:rPr>
        <w:t>は，余盛りを除いた溶接部の厚さである。厚さの異なる二つの部材を継ぐ場合，</w:t>
      </w:r>
      <m:oMath>
        <m:r>
          <m:rPr>
            <m:sty m:val="p"/>
          </m:rPr>
          <w:rPr>
            <w:rFonts w:ascii="Cambria Math" w:hAnsi="Cambria Math"/>
          </w:rPr>
          <m:t xml:space="preserve"> </m:t>
        </m:r>
        <m:r>
          <w:rPr>
            <w:rFonts w:ascii="Cambria Math" w:hAnsi="Cambria Math"/>
          </w:rPr>
          <m:t xml:space="preserve">t </m:t>
        </m:r>
      </m:oMath>
      <w:r w:rsidRPr="00BC31E0">
        <w:rPr>
          <w:rFonts w:hint="eastAsia"/>
        </w:rPr>
        <w:t>は薄い方の厚さとする。すみ肉溶接を含む完全溶込み溶接の場合，すみ肉ののど厚を</w:t>
      </w:r>
      <m:oMath>
        <m:r>
          <m:rPr>
            <m:sty m:val="p"/>
          </m:rPr>
          <w:rPr>
            <w:rFonts w:ascii="Cambria Math" w:hAnsi="Cambria Math"/>
          </w:rPr>
          <m:t xml:space="preserve"> </m:t>
        </m:r>
        <m:r>
          <w:rPr>
            <w:rFonts w:ascii="Cambria Math" w:hAnsi="Cambria Math"/>
          </w:rPr>
          <m:t xml:space="preserve">t </m:t>
        </m:r>
      </m:oMath>
      <w:r w:rsidRPr="00BC31E0">
        <w:rPr>
          <w:rFonts w:hint="eastAsia"/>
        </w:rPr>
        <w:t>に含めなければならない。合格基準は，次の</w:t>
      </w:r>
      <w:r w:rsidRPr="00BC31E0">
        <w:rPr>
          <w:rFonts w:ascii="ＭＳ ゴシック" w:eastAsia="ＭＳ ゴシック" w:hint="eastAsia"/>
          <w:b/>
        </w:rPr>
        <w:t>a)</w:t>
      </w:r>
      <w:r w:rsidRPr="00BC31E0">
        <w:rPr>
          <w:rFonts w:hint="eastAsia"/>
        </w:rPr>
        <w:t>～</w:t>
      </w:r>
      <w:r w:rsidRPr="00BC31E0">
        <w:rPr>
          <w:rFonts w:ascii="ＭＳ ゴシック" w:eastAsia="ＭＳ ゴシック" w:hint="eastAsia"/>
          <w:b/>
        </w:rPr>
        <w:t>g)</w:t>
      </w:r>
      <w:r w:rsidRPr="00BC31E0">
        <w:rPr>
          <w:rFonts w:hint="eastAsia"/>
        </w:rPr>
        <w:t>による。</w:t>
      </w:r>
    </w:p>
    <w:p w14:paraId="3608F6BA" w14:textId="77777777" w:rsidR="005B6E62" w:rsidRPr="00BC31E0" w:rsidRDefault="005B6E62" w:rsidP="00736130">
      <w:pPr>
        <w:pStyle w:val="a4"/>
        <w:numPr>
          <w:ilvl w:val="0"/>
          <w:numId w:val="237"/>
        </w:numPr>
        <w:ind w:leftChars="0" w:left="454" w:hanging="454"/>
      </w:pPr>
      <w:r w:rsidRPr="00BC31E0">
        <w:rPr>
          <w:rFonts w:asciiTheme="majorEastAsia" w:eastAsiaTheme="majorEastAsia" w:hAnsiTheme="majorEastAsia" w:hint="eastAsia"/>
          <w:b/>
          <w:bCs/>
        </w:rPr>
        <w:t>像の濃度</w:t>
      </w:r>
      <w:r w:rsidRPr="00BC31E0">
        <w:rPr>
          <w:rFonts w:hint="eastAsia"/>
        </w:rPr>
        <w:t xml:space="preserve">　指示模様の像の濃度は一様ではなく，合否の基準ではない。</w:t>
      </w:r>
    </w:p>
    <w:p w14:paraId="10EE16F7" w14:textId="77777777" w:rsidR="005B6E62" w:rsidRPr="00BC31E0" w:rsidRDefault="005B6E62" w:rsidP="00736130">
      <w:pPr>
        <w:pStyle w:val="a4"/>
        <w:numPr>
          <w:ilvl w:val="0"/>
          <w:numId w:val="237"/>
        </w:numPr>
        <w:ind w:leftChars="0" w:left="454" w:hanging="454"/>
      </w:pPr>
      <w:r w:rsidRPr="00BC31E0">
        <w:rPr>
          <w:rFonts w:asciiTheme="majorEastAsia" w:eastAsiaTheme="majorEastAsia" w:hAnsiTheme="majorEastAsia" w:hint="eastAsia"/>
          <w:b/>
          <w:bCs/>
        </w:rPr>
        <w:t>対象指示模様</w:t>
      </w:r>
      <w:r w:rsidRPr="00BC31E0">
        <w:rPr>
          <w:rFonts w:hint="eastAsia"/>
        </w:rPr>
        <w:t xml:space="preserve">　次の寸法を超える円形状指示模様だけを評価対象とする。次の対象指示模様で，</w:t>
      </w:r>
      <w:r w:rsidRPr="00BC31E0">
        <w:rPr>
          <w:rFonts w:ascii="Cambria Math" w:hAnsi="Cambria Math"/>
        </w:rPr>
        <w:t>25</w:t>
      </w:r>
      <w:r w:rsidRPr="00BC31E0">
        <w:rPr>
          <w:rFonts w:ascii="Cambria Math" w:hAnsi="Cambria Math" w:hint="eastAsia"/>
        </w:rPr>
        <w:t xml:space="preserve"> </w:t>
      </w:r>
      <w:r w:rsidRPr="00BC31E0">
        <w:rPr>
          <w:rFonts w:ascii="Cambria Math" w:hAnsi="Cambria Math"/>
        </w:rPr>
        <w:t>mm</w:t>
      </w:r>
      <w:r w:rsidRPr="00BC31E0">
        <w:rPr>
          <w:rFonts w:hint="eastAsia"/>
        </w:rPr>
        <w:t>以上離れた場合は，独立した指示模様とする。また，隣接する指示模様の距離が大きい方の指示模様の長さの</w:t>
      </w:r>
      <w:r w:rsidRPr="00BC31E0">
        <w:rPr>
          <w:rFonts w:ascii="Cambria Math" w:hAnsi="Cambria Math"/>
        </w:rPr>
        <w:t>1/2</w:t>
      </w:r>
      <w:r w:rsidRPr="00BC31E0">
        <w:rPr>
          <w:rFonts w:hint="eastAsia"/>
        </w:rPr>
        <w:t>未満の場合には，一つの群と見なさなければならない。</w:t>
      </w:r>
    </w:p>
    <w:p w14:paraId="18F3A998" w14:textId="77777777" w:rsidR="005B6E62" w:rsidRPr="00BC31E0" w:rsidRDefault="005B6E62" w:rsidP="00664259">
      <w:pPr>
        <w:tabs>
          <w:tab w:val="left" w:pos="4536"/>
        </w:tabs>
        <w:ind w:left="454"/>
      </w:pPr>
      <w:r w:rsidRPr="00BC31E0">
        <w:rPr>
          <w:rFonts w:hint="eastAsia"/>
        </w:rPr>
        <w:t>・</w:t>
      </w:r>
      <w:r w:rsidRPr="00BC31E0">
        <w:rPr>
          <w:rFonts w:hint="eastAsia"/>
        </w:rPr>
        <w:t xml:space="preserve"> </w:t>
      </w:r>
      <m:oMath>
        <m:r>
          <w:rPr>
            <w:rFonts w:ascii="Cambria Math" w:hAnsi="Cambria Math" w:cs="Cambria Math"/>
          </w:rPr>
          <m:t>t</m:t>
        </m:r>
      </m:oMath>
      <w:r w:rsidRPr="00BC31E0">
        <w:rPr>
          <w:i/>
        </w:rPr>
        <w:t xml:space="preserve"> </w:t>
      </w:r>
      <w:r w:rsidRPr="00BC31E0">
        <w:rPr>
          <w:rFonts w:ascii="ＭＳ 明朝" w:hAnsi="ＭＳ 明朝" w:hint="eastAsia"/>
        </w:rPr>
        <w:t>が</w:t>
      </w:r>
      <w:r w:rsidRPr="00BC31E0">
        <w:rPr>
          <w:rFonts w:ascii="Cambria Math" w:hAnsi="Cambria Math"/>
        </w:rPr>
        <w:t>3 mm</w:t>
      </w:r>
      <w:r w:rsidRPr="00BC31E0">
        <w:rPr>
          <w:rFonts w:ascii="ＭＳ 明朝" w:hAnsi="ＭＳ 明朝" w:hint="eastAsia"/>
        </w:rPr>
        <w:t>未満の場合</w:t>
      </w:r>
      <w:r w:rsidRPr="00BC31E0">
        <w:rPr>
          <w:rFonts w:ascii="ＭＳ 明朝" w:hAnsi="ＭＳ 明朝" w:hint="eastAsia"/>
        </w:rPr>
        <w:tab/>
      </w:r>
      <m:oMath>
        <m:f>
          <m:fPr>
            <m:type m:val="lin"/>
            <m:ctrlPr>
              <w:rPr>
                <w:rFonts w:ascii="Cambria Math" w:hAnsi="Cambria Math"/>
                <w:i/>
              </w:rPr>
            </m:ctrlPr>
          </m:fPr>
          <m:num>
            <m:r>
              <w:rPr>
                <w:rFonts w:ascii="Cambria Math" w:hAnsi="Cambria Math"/>
              </w:rPr>
              <m:t>t</m:t>
            </m:r>
          </m:num>
          <m:den>
            <m:r>
              <w:rPr>
                <w:rFonts w:ascii="Cambria Math" w:hAnsi="Cambria Math"/>
              </w:rPr>
              <m:t>10</m:t>
            </m:r>
          </m:den>
        </m:f>
        <m:r>
          <w:rPr>
            <w:rFonts w:ascii="Cambria Math" w:hAnsi="Cambria Math" w:cs="Cambria Math"/>
          </w:rPr>
          <m:t xml:space="preserve"> </m:t>
        </m:r>
      </m:oMath>
      <w:r w:rsidRPr="00BC31E0">
        <w:rPr>
          <w:rFonts w:asciiTheme="minorHAnsi" w:hAnsiTheme="minorHAnsi"/>
        </w:rPr>
        <w:t>(</w:t>
      </w:r>
      <w:r w:rsidRPr="00BC31E0">
        <w:rPr>
          <w:rFonts w:ascii="Cambria Math" w:hAnsi="Cambria Math"/>
        </w:rPr>
        <w:t>mm</w:t>
      </w:r>
      <w:r w:rsidRPr="00BC31E0">
        <w:rPr>
          <w:rFonts w:asciiTheme="minorHAnsi" w:hAnsiTheme="minorHAnsi"/>
        </w:rPr>
        <w:t>)</w:t>
      </w:r>
    </w:p>
    <w:p w14:paraId="56BDF7F8" w14:textId="77777777" w:rsidR="005B6E62" w:rsidRPr="00BC31E0" w:rsidRDefault="005B6E62" w:rsidP="00664259">
      <w:pPr>
        <w:tabs>
          <w:tab w:val="left" w:pos="4536"/>
        </w:tabs>
        <w:ind w:left="454"/>
      </w:pPr>
      <w:r w:rsidRPr="00BC31E0">
        <w:rPr>
          <w:rFonts w:hint="eastAsia"/>
        </w:rPr>
        <w:t>・</w:t>
      </w:r>
      <w:r w:rsidRPr="00BC31E0">
        <w:rPr>
          <w:rFonts w:hint="eastAsia"/>
        </w:rPr>
        <w:t xml:space="preserve"> </w:t>
      </w:r>
      <m:oMath>
        <m:r>
          <w:rPr>
            <w:rFonts w:ascii="Cambria Math" w:hAnsi="Cambria Math" w:cs="Cambria Math"/>
          </w:rPr>
          <m:t>t</m:t>
        </m:r>
      </m:oMath>
      <w:r w:rsidRPr="00BC31E0">
        <w:rPr>
          <w:i/>
        </w:rPr>
        <w:t xml:space="preserve"> </w:t>
      </w:r>
      <w:r w:rsidRPr="00BC31E0">
        <w:rPr>
          <w:rFonts w:ascii="ＭＳ 明朝" w:hAnsi="ＭＳ 明朝" w:hint="eastAsia"/>
        </w:rPr>
        <w:t>が</w:t>
      </w:r>
      <w:r w:rsidRPr="00BC31E0">
        <w:rPr>
          <w:rFonts w:ascii="Cambria Math" w:hAnsi="Cambria Math"/>
        </w:rPr>
        <w:t>3 mm</w:t>
      </w:r>
      <w:r w:rsidRPr="00BC31E0">
        <w:rPr>
          <w:rFonts w:ascii="ＭＳ 明朝" w:hAnsi="ＭＳ 明朝" w:hint="eastAsia"/>
        </w:rPr>
        <w:t>以上</w:t>
      </w:r>
      <w:r w:rsidRPr="00BC31E0">
        <w:rPr>
          <w:rFonts w:ascii="Cambria Math" w:hAnsi="Cambria Math"/>
        </w:rPr>
        <w:t>6 mm</w:t>
      </w:r>
      <w:r w:rsidRPr="00BC31E0">
        <w:rPr>
          <w:rFonts w:ascii="ＭＳ 明朝" w:hAnsi="ＭＳ 明朝" w:hint="eastAsia"/>
        </w:rPr>
        <w:t>以下の場合</w:t>
      </w:r>
      <w:r w:rsidRPr="00BC31E0">
        <w:rPr>
          <w:rFonts w:ascii="ＭＳ 明朝" w:hAnsi="ＭＳ 明朝" w:hint="eastAsia"/>
        </w:rPr>
        <w:tab/>
      </w:r>
      <w:r w:rsidRPr="00BC31E0">
        <w:rPr>
          <w:rFonts w:ascii="Cambria Math" w:hAnsi="Cambria Math"/>
        </w:rPr>
        <w:t>0.4 mm</w:t>
      </w:r>
    </w:p>
    <w:p w14:paraId="50DED76F" w14:textId="77777777" w:rsidR="005B6E62" w:rsidRPr="00BC31E0" w:rsidRDefault="005B6E62" w:rsidP="00664259">
      <w:pPr>
        <w:tabs>
          <w:tab w:val="left" w:pos="4536"/>
        </w:tabs>
        <w:ind w:left="454"/>
      </w:pPr>
      <w:r w:rsidRPr="00BC31E0">
        <w:rPr>
          <w:rFonts w:hint="eastAsia"/>
        </w:rPr>
        <w:t>・</w:t>
      </w:r>
      <w:r w:rsidRPr="00BC31E0">
        <w:rPr>
          <w:rFonts w:hint="eastAsia"/>
        </w:rPr>
        <w:t xml:space="preserve"> </w:t>
      </w:r>
      <m:oMath>
        <m:r>
          <w:rPr>
            <w:rFonts w:ascii="Cambria Math" w:hAnsi="Cambria Math" w:cs="Cambria Math"/>
          </w:rPr>
          <m:t>t</m:t>
        </m:r>
      </m:oMath>
      <w:r w:rsidRPr="00BC31E0">
        <w:rPr>
          <w:i/>
        </w:rPr>
        <w:t xml:space="preserve"> </w:t>
      </w:r>
      <w:r w:rsidRPr="00BC31E0">
        <w:rPr>
          <w:rFonts w:ascii="ＭＳ 明朝" w:hAnsi="ＭＳ 明朝" w:hint="eastAsia"/>
        </w:rPr>
        <w:t>が</w:t>
      </w:r>
      <w:r w:rsidRPr="00BC31E0">
        <w:rPr>
          <w:rFonts w:ascii="Cambria Math" w:hAnsi="Cambria Math"/>
        </w:rPr>
        <w:t>6 mm</w:t>
      </w:r>
      <w:r w:rsidRPr="00BC31E0">
        <w:rPr>
          <w:rFonts w:ascii="ＭＳ 明朝" w:hAnsi="ＭＳ 明朝" w:hint="eastAsia"/>
        </w:rPr>
        <w:t>を超え</w:t>
      </w:r>
      <w:r w:rsidRPr="00BC31E0">
        <w:rPr>
          <w:rFonts w:ascii="Cambria Math" w:hAnsi="Cambria Math"/>
        </w:rPr>
        <w:t>50 mm</w:t>
      </w:r>
      <w:r w:rsidRPr="00BC31E0">
        <w:rPr>
          <w:rFonts w:ascii="ＭＳ 明朝" w:hAnsi="ＭＳ 明朝" w:hint="eastAsia"/>
        </w:rPr>
        <w:t>以下の場合</w:t>
      </w:r>
      <w:r w:rsidRPr="00BC31E0">
        <w:rPr>
          <w:rFonts w:ascii="ＭＳ 明朝" w:hAnsi="ＭＳ 明朝" w:hint="eastAsia"/>
        </w:rPr>
        <w:tab/>
      </w:r>
      <w:r w:rsidRPr="00BC31E0">
        <w:rPr>
          <w:rFonts w:ascii="Cambria Math" w:hAnsi="Cambria Math"/>
        </w:rPr>
        <w:t>0.8 mm</w:t>
      </w:r>
    </w:p>
    <w:p w14:paraId="0FFB9E36" w14:textId="77777777" w:rsidR="005B6E62" w:rsidRPr="00BC31E0" w:rsidRDefault="005B6E62" w:rsidP="00664259">
      <w:pPr>
        <w:tabs>
          <w:tab w:val="left" w:pos="4536"/>
        </w:tabs>
        <w:ind w:left="454"/>
      </w:pPr>
      <w:r w:rsidRPr="00BC31E0">
        <w:rPr>
          <w:rFonts w:hint="eastAsia"/>
        </w:rPr>
        <w:t>・</w:t>
      </w:r>
      <w:r w:rsidRPr="00BC31E0">
        <w:rPr>
          <w:rFonts w:hint="eastAsia"/>
        </w:rPr>
        <w:t xml:space="preserve"> </w:t>
      </w:r>
      <m:oMath>
        <m:r>
          <w:rPr>
            <w:rFonts w:ascii="Cambria Math" w:hAnsi="Cambria Math" w:cs="Cambria Math"/>
          </w:rPr>
          <m:t>t</m:t>
        </m:r>
      </m:oMath>
      <w:r w:rsidRPr="00BC31E0">
        <w:rPr>
          <w:rFonts w:hint="eastAsia"/>
        </w:rPr>
        <w:t xml:space="preserve"> </w:t>
      </w:r>
      <w:r w:rsidRPr="00BC31E0">
        <w:rPr>
          <w:rFonts w:hint="eastAsia"/>
        </w:rPr>
        <w:t>が</w:t>
      </w:r>
      <w:r w:rsidRPr="00BC31E0">
        <w:rPr>
          <w:rFonts w:ascii="Cambria Math" w:hAnsi="Cambria Math"/>
        </w:rPr>
        <w:t>50 mm</w:t>
      </w:r>
      <w:r w:rsidRPr="00BC31E0">
        <w:rPr>
          <w:rFonts w:hint="eastAsia"/>
        </w:rPr>
        <w:t>を超える場合</w:t>
      </w:r>
      <w:r w:rsidRPr="00BC31E0">
        <w:rPr>
          <w:rFonts w:hint="eastAsia"/>
        </w:rPr>
        <w:tab/>
      </w:r>
      <w:r w:rsidRPr="00BC31E0">
        <w:rPr>
          <w:rFonts w:ascii="Cambria Math" w:hAnsi="Cambria Math"/>
        </w:rPr>
        <w:t>1.6 mm</w:t>
      </w:r>
    </w:p>
    <w:p w14:paraId="42F12BC6" w14:textId="77777777" w:rsidR="005B6E62" w:rsidRPr="00BC31E0" w:rsidRDefault="005B6E62" w:rsidP="00736130">
      <w:pPr>
        <w:pStyle w:val="a4"/>
        <w:numPr>
          <w:ilvl w:val="0"/>
          <w:numId w:val="238"/>
        </w:numPr>
        <w:ind w:leftChars="0" w:left="454" w:hanging="454"/>
      </w:pPr>
      <w:r w:rsidRPr="00BC31E0">
        <w:rPr>
          <w:rFonts w:asciiTheme="majorEastAsia" w:eastAsiaTheme="majorEastAsia" w:hAnsiTheme="majorEastAsia" w:hint="eastAsia"/>
          <w:b/>
          <w:bCs/>
        </w:rPr>
        <w:t>円形状指示模様の最大寸法</w:t>
      </w:r>
      <w:r w:rsidRPr="00BC31E0">
        <w:rPr>
          <w:rFonts w:hint="eastAsia"/>
        </w:rPr>
        <w:t xml:space="preserve">　指示模様の最大許容寸法は，本体の</w:t>
      </w:r>
      <w:r w:rsidRPr="00BC31E0">
        <w:rPr>
          <w:rFonts w:asciiTheme="majorEastAsia" w:eastAsiaTheme="majorEastAsia" w:hAnsiTheme="majorEastAsia" w:hint="eastAsia"/>
          <w:b/>
        </w:rPr>
        <w:t>表</w:t>
      </w:r>
      <w:r w:rsidRPr="00BC31E0">
        <w:rPr>
          <w:rFonts w:asciiTheme="majorEastAsia" w:eastAsiaTheme="majorEastAsia" w:hAnsiTheme="majorEastAsia" w:hint="eastAsia"/>
          <w:b/>
          <w:bCs/>
        </w:rPr>
        <w:t>9.3.1</w:t>
      </w:r>
      <w:r w:rsidRPr="00BC31E0">
        <w:rPr>
          <w:rFonts w:hint="eastAsia"/>
        </w:rPr>
        <w:t>による。</w:t>
      </w:r>
    </w:p>
    <w:p w14:paraId="39292093" w14:textId="77777777" w:rsidR="005B6E62" w:rsidRPr="00BC31E0" w:rsidRDefault="005B6E62" w:rsidP="00736130">
      <w:pPr>
        <w:pStyle w:val="a4"/>
        <w:numPr>
          <w:ilvl w:val="0"/>
          <w:numId w:val="239"/>
        </w:numPr>
        <w:ind w:leftChars="0" w:left="454" w:hanging="454"/>
      </w:pPr>
      <w:r w:rsidRPr="00BC31E0">
        <w:rPr>
          <w:rFonts w:asciiTheme="majorEastAsia" w:eastAsiaTheme="majorEastAsia" w:hAnsiTheme="majorEastAsia" w:hint="eastAsia"/>
          <w:b/>
          <w:bCs/>
        </w:rPr>
        <w:t>並んだ円形状指示模様</w:t>
      </w:r>
      <w:r w:rsidRPr="00BC31E0">
        <w:rPr>
          <w:rFonts w:hint="eastAsia"/>
        </w:rPr>
        <w:t xml:space="preserve">　並んだ円形状指示模様は，任意の</w:t>
      </w:r>
      <m:oMath>
        <m:r>
          <m:rPr>
            <m:sty m:val="p"/>
          </m:rPr>
          <w:rPr>
            <w:rFonts w:ascii="Cambria Math" w:hAnsi="Cambria Math"/>
          </w:rPr>
          <m:t xml:space="preserve"> </m:t>
        </m:r>
        <m:r>
          <w:rPr>
            <w:rFonts w:ascii="Cambria Math" w:hAnsi="Cambria Math"/>
          </w:rPr>
          <m:t>12</m:t>
        </m:r>
        <m:r>
          <w:rPr>
            <w:rFonts w:ascii="Cambria Math" w:hAnsi="Cambria Math"/>
            <w:szCs w:val="20"/>
          </w:rPr>
          <m:t xml:space="preserve"> t </m:t>
        </m:r>
      </m:oMath>
      <w:r w:rsidRPr="00BC31E0">
        <w:rPr>
          <w:rFonts w:hint="eastAsia"/>
        </w:rPr>
        <w:t>の長さの範囲で各指示模様の長さの合計が</w:t>
      </w:r>
      <m:oMath>
        <m:r>
          <m:rPr>
            <m:sty m:val="p"/>
          </m:rPr>
          <w:rPr>
            <w:rFonts w:ascii="Cambria Math" w:hAnsi="Cambria Math"/>
          </w:rPr>
          <m:t xml:space="preserve"> </m:t>
        </m:r>
        <m:r>
          <w:rPr>
            <w:rFonts w:ascii="Cambria Math" w:hAnsi="Cambria Math"/>
            <w:szCs w:val="20"/>
          </w:rPr>
          <m:t xml:space="preserve">t </m:t>
        </m:r>
      </m:oMath>
      <w:r w:rsidRPr="00BC31E0">
        <w:rPr>
          <w:rFonts w:hint="eastAsia"/>
        </w:rPr>
        <w:t>未満である場合に合格とする</w:t>
      </w:r>
      <w:r w:rsidRPr="00BC31E0">
        <w:rPr>
          <w:rFonts w:hint="eastAsia"/>
        </w:rPr>
        <w:t>(</w:t>
      </w:r>
      <w:r w:rsidRPr="00BC31E0">
        <w:rPr>
          <w:rFonts w:asciiTheme="majorEastAsia" w:eastAsiaTheme="majorEastAsia" w:hAnsiTheme="majorEastAsia" w:hint="eastAsia"/>
          <w:b/>
          <w:bCs/>
        </w:rPr>
        <w:t>図I.1</w:t>
      </w:r>
      <w:r w:rsidRPr="00BC31E0">
        <w:rPr>
          <w:rFonts w:hint="eastAsia"/>
        </w:rPr>
        <w:t>を参照</w:t>
      </w:r>
      <w:r w:rsidRPr="00BC31E0">
        <w:rPr>
          <w:rFonts w:hint="eastAsia"/>
        </w:rPr>
        <w:t>)</w:t>
      </w:r>
      <w:r w:rsidRPr="00BC31E0">
        <w:rPr>
          <w:rFonts w:hint="eastAsia"/>
        </w:rPr>
        <w:t>。並んだ円形状指示模様の各群の長さと各群間の間隔は，</w:t>
      </w:r>
      <w:r w:rsidRPr="00BC31E0">
        <w:rPr>
          <w:rFonts w:asciiTheme="majorEastAsia" w:eastAsiaTheme="majorEastAsia" w:hAnsiTheme="majorEastAsia" w:hint="eastAsia"/>
          <w:b/>
          <w:bCs/>
        </w:rPr>
        <w:t>図I.1</w:t>
      </w:r>
      <w:r w:rsidRPr="00BC31E0">
        <w:rPr>
          <w:rFonts w:hint="eastAsia"/>
        </w:rPr>
        <w:t>に示す要求事項を満足しなければならない。</w:t>
      </w:r>
    </w:p>
    <w:p w14:paraId="79D3727A" w14:textId="77777777" w:rsidR="005B6E62" w:rsidRPr="00BC31E0" w:rsidRDefault="005B6E62" w:rsidP="00736130">
      <w:pPr>
        <w:pStyle w:val="a4"/>
        <w:numPr>
          <w:ilvl w:val="0"/>
          <w:numId w:val="240"/>
        </w:numPr>
        <w:ind w:leftChars="0" w:left="454" w:hanging="454"/>
      </w:pPr>
      <w:r w:rsidRPr="00BC31E0">
        <w:rPr>
          <w:rFonts w:asciiTheme="majorEastAsia" w:eastAsiaTheme="majorEastAsia" w:hAnsiTheme="majorEastAsia" w:hint="eastAsia"/>
          <w:b/>
          <w:bCs/>
        </w:rPr>
        <w:t>間隔</w:t>
      </w:r>
      <w:r w:rsidRPr="00BC31E0">
        <w:rPr>
          <w:rFonts w:hint="eastAsia"/>
        </w:rPr>
        <w:t xml:space="preserve">　隣接する円形状指示模様間の距離は，独立した指示模様</w:t>
      </w:r>
      <w:r w:rsidR="0053419A" w:rsidRPr="00BC31E0">
        <w:rPr>
          <w:rFonts w:hint="eastAsia"/>
        </w:rPr>
        <w:t>又は</w:t>
      </w:r>
      <w:r w:rsidRPr="00BC31E0">
        <w:rPr>
          <w:rFonts w:hint="eastAsia"/>
        </w:rPr>
        <w:t>並んだ指示模様の群に対して要求されている場合を除き，合否判定の条件とはならない。</w:t>
      </w:r>
    </w:p>
    <w:p w14:paraId="3FDBB2AC" w14:textId="77777777" w:rsidR="005B6E62" w:rsidRPr="00BC31E0" w:rsidRDefault="005B6E62" w:rsidP="00736130">
      <w:pPr>
        <w:pStyle w:val="a4"/>
        <w:numPr>
          <w:ilvl w:val="0"/>
          <w:numId w:val="241"/>
        </w:numPr>
        <w:ind w:leftChars="0" w:left="454" w:hanging="454"/>
      </w:pPr>
      <w:r w:rsidRPr="00BC31E0">
        <w:rPr>
          <w:rFonts w:asciiTheme="majorEastAsia" w:eastAsiaTheme="majorEastAsia" w:hAnsiTheme="majorEastAsia" w:hint="eastAsia"/>
          <w:b/>
          <w:bCs/>
        </w:rPr>
        <w:t>円形状指示模様図</w:t>
      </w:r>
      <w:r w:rsidRPr="00BC31E0">
        <w:rPr>
          <w:rFonts w:hint="eastAsia"/>
        </w:rPr>
        <w:t xml:space="preserve">　放射線透過写真フィルムから観察される指示模様は，</w:t>
      </w:r>
      <w:r w:rsidRPr="00BC31E0">
        <w:rPr>
          <w:rFonts w:asciiTheme="majorEastAsia" w:eastAsiaTheme="majorEastAsia" w:hAnsiTheme="majorEastAsia" w:hint="eastAsia"/>
          <w:b/>
          <w:bCs/>
        </w:rPr>
        <w:t>図I.2</w:t>
      </w:r>
      <w:r w:rsidRPr="00BC31E0">
        <w:rPr>
          <w:rFonts w:hint="eastAsia"/>
        </w:rPr>
        <w:t>に示す</w:t>
      </w:r>
      <w:r w:rsidR="00B11328" w:rsidRPr="00BC31E0">
        <w:rPr>
          <w:rFonts w:hint="eastAsia"/>
        </w:rPr>
        <w:t>許容基準</w:t>
      </w:r>
      <w:r w:rsidRPr="00BC31E0">
        <w:rPr>
          <w:rFonts w:hint="eastAsia"/>
        </w:rPr>
        <w:t>を超えてはならない。</w:t>
      </w:r>
      <w:r w:rsidRPr="00BC31E0">
        <w:rPr>
          <w:rFonts w:asciiTheme="majorEastAsia" w:eastAsiaTheme="majorEastAsia" w:hAnsiTheme="majorEastAsia" w:hint="eastAsia"/>
          <w:b/>
          <w:bCs/>
        </w:rPr>
        <w:t>図I.2</w:t>
      </w:r>
      <w:r w:rsidRPr="00BC31E0">
        <w:rPr>
          <w:rFonts w:hint="eastAsia"/>
        </w:rPr>
        <w:t>の要求事項は，溶接厚さが</w:t>
      </w:r>
      <w:r w:rsidRPr="00BC31E0">
        <w:rPr>
          <w:rFonts w:ascii="Cambria Math" w:hAnsi="Cambria Math"/>
        </w:rPr>
        <w:t>3 mm</w:t>
      </w:r>
      <w:r w:rsidRPr="00BC31E0">
        <w:rPr>
          <w:rFonts w:hint="eastAsia"/>
        </w:rPr>
        <w:t>を超える場合</w:t>
      </w:r>
      <w:r w:rsidR="000324EE" w:rsidRPr="00BC31E0">
        <w:rPr>
          <w:rFonts w:hint="eastAsia"/>
        </w:rPr>
        <w:t>について</w:t>
      </w:r>
      <w:r w:rsidRPr="00BC31E0">
        <w:rPr>
          <w:rFonts w:hint="eastAsia"/>
        </w:rPr>
        <w:t>，許容される円形状指示模様の最大密度に対</w:t>
      </w:r>
      <w:r w:rsidR="000324EE" w:rsidRPr="00BC31E0">
        <w:rPr>
          <w:rFonts w:hint="eastAsia"/>
        </w:rPr>
        <w:t>する要求</w:t>
      </w:r>
      <w:r w:rsidR="003F0B07" w:rsidRPr="00BC31E0">
        <w:rPr>
          <w:rFonts w:hint="eastAsia"/>
        </w:rPr>
        <w:t>事項</w:t>
      </w:r>
      <w:r w:rsidR="000324EE" w:rsidRPr="00BC31E0">
        <w:rPr>
          <w:rFonts w:hint="eastAsia"/>
        </w:rPr>
        <w:t>である</w:t>
      </w:r>
      <w:r w:rsidRPr="00BC31E0">
        <w:rPr>
          <w:rFonts w:hint="eastAsia"/>
        </w:rPr>
        <w:t>。図に示す分布状態は，必ずしも実際の放射線透過写真に観察される</w:t>
      </w:r>
      <w:r w:rsidR="00BE4F03" w:rsidRPr="00BC31E0">
        <w:rPr>
          <w:rFonts w:hint="eastAsia"/>
        </w:rPr>
        <w:t>状況</w:t>
      </w:r>
      <w:r w:rsidRPr="00BC31E0">
        <w:rPr>
          <w:rFonts w:hint="eastAsia"/>
        </w:rPr>
        <w:t>とは一致しないが，許容される指示模様の代表的な密集度と大きさを示</w:t>
      </w:r>
      <w:r w:rsidR="00A56E98" w:rsidRPr="00BC31E0">
        <w:rPr>
          <w:rFonts w:hint="eastAsia"/>
        </w:rPr>
        <w:t>している</w:t>
      </w:r>
      <w:r w:rsidRPr="00BC31E0">
        <w:rPr>
          <w:rFonts w:hint="eastAsia"/>
        </w:rPr>
        <w:t>。</w:t>
      </w:r>
    </w:p>
    <w:p w14:paraId="6A62502A" w14:textId="77777777" w:rsidR="005B6E62" w:rsidRPr="00BC31E0" w:rsidRDefault="005B6E62" w:rsidP="00736130">
      <w:pPr>
        <w:pStyle w:val="a4"/>
        <w:numPr>
          <w:ilvl w:val="0"/>
          <w:numId w:val="242"/>
        </w:numPr>
        <w:ind w:leftChars="0" w:left="454" w:hanging="454"/>
      </w:pPr>
      <w:r w:rsidRPr="00BC31E0">
        <w:rPr>
          <w:rFonts w:asciiTheme="majorEastAsia" w:eastAsiaTheme="majorEastAsia" w:hAnsiTheme="majorEastAsia" w:hint="eastAsia"/>
          <w:b/>
          <w:bCs/>
        </w:rPr>
        <w:t>密集した指示模様</w:t>
      </w:r>
      <w:r w:rsidRPr="00BC31E0">
        <w:rPr>
          <w:rFonts w:hint="eastAsia"/>
        </w:rPr>
        <w:t xml:space="preserve">　</w:t>
      </w:r>
      <w:r w:rsidRPr="00BC31E0">
        <w:rPr>
          <w:rFonts w:asciiTheme="majorEastAsia" w:eastAsiaTheme="majorEastAsia" w:hAnsiTheme="majorEastAsia" w:hint="eastAsia"/>
          <w:b/>
          <w:bCs/>
        </w:rPr>
        <w:t>図I.2</w:t>
      </w:r>
      <w:r w:rsidRPr="00BC31E0">
        <w:rPr>
          <w:rFonts w:hint="eastAsia"/>
          <w:bCs/>
        </w:rPr>
        <w:t>に示した</w:t>
      </w:r>
      <w:r w:rsidRPr="00BC31E0">
        <w:rPr>
          <w:rFonts w:hint="eastAsia"/>
        </w:rPr>
        <w:t>密集した指示模様の図は，散在する指示模様の図に示す局部領域にある指示模様の数の</w:t>
      </w:r>
      <w:r w:rsidRPr="00BC31E0">
        <w:rPr>
          <w:rFonts w:asciiTheme="minorHAnsi" w:hAnsiTheme="minorHAnsi"/>
        </w:rPr>
        <w:t>4</w:t>
      </w:r>
      <w:r w:rsidRPr="00BC31E0">
        <w:rPr>
          <w:rFonts w:hint="eastAsia"/>
        </w:rPr>
        <w:t>倍多い指示模様を示す。密集した指示模様の許容される長さは，</w:t>
      </w:r>
      <w:r w:rsidRPr="00BC31E0">
        <w:rPr>
          <w:rFonts w:ascii="Cambria Math" w:hAnsi="Cambria Math"/>
        </w:rPr>
        <w:t>25 mm</w:t>
      </w:r>
      <w:r w:rsidRPr="00BC31E0">
        <w:rPr>
          <w:rFonts w:hint="eastAsia"/>
        </w:rPr>
        <w:t>又は</w:t>
      </w:r>
      <m:oMath>
        <m:r>
          <m:rPr>
            <m:sty m:val="p"/>
          </m:rPr>
          <w:rPr>
            <w:rFonts w:ascii="Cambria Math" w:hAnsi="Cambria Math"/>
          </w:rPr>
          <m:t xml:space="preserve"> </m:t>
        </m:r>
        <m:r>
          <w:rPr>
            <w:rFonts w:ascii="Cambria Math" w:hAnsi="Cambria Math"/>
          </w:rPr>
          <m:t xml:space="preserve">2 t </m:t>
        </m:r>
      </m:oMath>
      <w:r w:rsidRPr="00BC31E0">
        <w:rPr>
          <w:rFonts w:hint="eastAsia"/>
        </w:rPr>
        <w:t>のいずれか小さい方の値を超えてはならない。二つ以上の密集した指示模様がある場合，密集した指示模様の長さの合計は，任意の溶接線長さ</w:t>
      </w:r>
      <w:r w:rsidRPr="00BC31E0">
        <w:rPr>
          <w:rFonts w:ascii="Cambria Math" w:hAnsi="Cambria Math"/>
        </w:rPr>
        <w:t>150 mm</w:t>
      </w:r>
      <w:r w:rsidRPr="00BC31E0">
        <w:rPr>
          <w:rFonts w:hint="eastAsia"/>
        </w:rPr>
        <w:t>の範囲で，</w:t>
      </w:r>
      <w:r w:rsidRPr="00BC31E0">
        <w:rPr>
          <w:rFonts w:ascii="Cambria Math" w:hAnsi="Cambria Math"/>
        </w:rPr>
        <w:t>25 mm</w:t>
      </w:r>
      <w:r w:rsidRPr="00BC31E0">
        <w:rPr>
          <w:rFonts w:hint="eastAsia"/>
        </w:rPr>
        <w:t>を超えてはならない。</w:t>
      </w:r>
    </w:p>
    <w:p w14:paraId="58AA59BC" w14:textId="77777777" w:rsidR="005B6E62" w:rsidRPr="00BC31E0" w:rsidRDefault="005B6E62" w:rsidP="00736130">
      <w:pPr>
        <w:pStyle w:val="5"/>
        <w:numPr>
          <w:ilvl w:val="4"/>
          <w:numId w:val="224"/>
        </w:numPr>
        <w:ind w:left="2100" w:hanging="420"/>
        <w:rPr>
          <w:rFonts w:ascii="Century" w:eastAsia="ＭＳ 明朝" w:hAnsi="Century"/>
          <w:b w:val="0"/>
          <w:szCs w:val="24"/>
        </w:rPr>
        <w:sectPr w:rsidR="005B6E62" w:rsidRPr="00BC31E0" w:rsidSect="00524911">
          <w:headerReference w:type="even" r:id="rId152"/>
          <w:headerReference w:type="default" r:id="rId153"/>
          <w:footerReference w:type="even" r:id="rId154"/>
          <w:footerReference w:type="default" r:id="rId155"/>
          <w:headerReference w:type="first" r:id="rId156"/>
          <w:pgSz w:w="11906" w:h="16838" w:code="9"/>
          <w:pgMar w:top="1701" w:right="1418" w:bottom="1418" w:left="1418" w:header="720" w:footer="720" w:gutter="0"/>
          <w:cols w:space="425"/>
          <w:docGrid w:type="linesAndChars" w:linePitch="360"/>
        </w:sectPr>
      </w:pPr>
    </w:p>
    <w:p w14:paraId="1A417284" w14:textId="77777777" w:rsidR="005B6E62" w:rsidRPr="00BC31E0" w:rsidRDefault="00A51873" w:rsidP="0072734B">
      <w:pPr>
        <w:autoSpaceDE w:val="0"/>
        <w:autoSpaceDN w:val="0"/>
        <w:jc w:val="center"/>
        <w:rPr>
          <w:szCs w:val="20"/>
        </w:rPr>
      </w:pPr>
      <w:r>
        <w:rPr>
          <w:noProof/>
          <w:szCs w:val="20"/>
        </w:rPr>
        <w:lastRenderedPageBreak/>
        <w:pict w14:anchorId="094846F7">
          <v:shape id="直線矢印コネクタ 577" o:spid="_x0000_s3323" type="#_x0000_t32" style="position:absolute;left:0;text-align:left;margin-left:191.25pt;margin-top:23.15pt;width:0;height:19.3pt;flip:y;z-index:2517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" strokecolor="black [3213]"/>
        </w:pict>
      </w:r>
      <w:r>
        <w:rPr>
          <w:noProof/>
          <w:szCs w:val="20"/>
        </w:rPr>
        <w:pict w14:anchorId="34D71AF1">
          <v:shape id="直線矢印コネクタ 578" o:spid="_x0000_s3322" type="#_x0000_t32" style="position:absolute;left:0;text-align:left;margin-left:203.05pt;margin-top:22.55pt;width:0;height:19.3pt;flip:y;z-index:25171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" strokecolor="black [3213]"/>
        </w:pict>
      </w:r>
      <w:r>
        <w:rPr>
          <w:noProof/>
          <w:szCs w:val="20"/>
        </w:rPr>
        <w:pict w14:anchorId="3B3165A5">
          <v:shape id="直線矢印コネクタ 11712" o:spid="_x0000_s3321" type="#_x0000_t32" style="position:absolute;left:0;text-align:left;margin-left:174.7pt;margin-top:28.3pt;width:16.55pt;height:0;z-index:2517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" strokecolor="black [3213]">
            <v:stroke endarrow="block" endarrowwidth="wide"/>
          </v:shape>
        </w:pict>
      </w:r>
      <w:r>
        <w:rPr>
          <w:noProof/>
          <w:szCs w:val="20"/>
        </w:rPr>
        <w:pict w14:anchorId="71153977">
          <v:shape id="直線矢印コネクタ 11713" o:spid="_x0000_s3320" type="#_x0000_t32" style="position:absolute;left:0;text-align:left;margin-left:204.3pt;margin-top:28.15pt;width:16.55pt;height:0;z-index:25172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" strokecolor="black [3213]">
            <v:stroke startarrow="block" startarrowwidth="wide" endarrowwidth="wide"/>
          </v:shape>
        </w:pict>
      </w:r>
      <w:r>
        <w:rPr>
          <w:noProof/>
          <w:szCs w:val="20"/>
        </w:rPr>
      </w:r>
      <w:r>
        <w:rPr>
          <w:noProof/>
          <w:szCs w:val="20"/>
        </w:rPr>
        <w:pict w14:anchorId="00FEC07E">
          <v:group id="Group 11683" o:spid="_x0000_s1904" style="width:351.4pt;height:44.85pt;mso-position-horizontal-relative:char;mso-position-vertical-relative:line" coordorigin="2419,1778" coordsize="7028,897">
            <v:rect id="Rectangle 11684" o:spid="_x0000_s1905" style="position:absolute;left:2419;top:2531;width:116;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" fillcolor="black" stroked="f"/>
            <v:rect id="Rectangle 11685" o:spid="_x0000_s1906" style="position:absolute;left:2823;top:2531;width:172;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" fillcolor="black" stroked="f"/>
            <v:rect id="Rectangle 11686" o:spid="_x0000_s1907" style="position:absolute;left:3283;top:2531;width:173;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" fillcolor="black" stroked="f"/>
            <v:rect id="Rectangle 11687" o:spid="_x0000_s1908" style="position:absolute;left:3744;top:2531;width:173;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" fillcolor="black" stroked="f"/>
            <v:rect id="Rectangle 11688" o:spid="_x0000_s1909" style="position:absolute;left:4205;top:2531;width:173;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" fillcolor="black" stroked="f"/>
            <v:rect id="Rectangle 11689" o:spid="_x0000_s1910" style="position:absolute;left:4666;top:2531;width:173;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" fillcolor="black" stroked="f"/>
            <v:rect id="Rectangle 11690" o:spid="_x0000_s1911" style="position:absolute;left:5127;top:2531;width:172;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" fillcolor="black" stroked="f"/>
            <v:rect id="Rectangle 11691" o:spid="_x0000_s1912" style="position:absolute;left:5587;top:2531;width:173;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" fillcolor="black" stroked="f"/>
            <v:rect id="Rectangle 11692" o:spid="_x0000_s1913" style="position:absolute;left:6048;top:2531;width:173;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" fillcolor="black" stroked="f"/>
            <v:rect id="Rectangle 11693" o:spid="_x0000_s1914" style="position:absolute;left:6509;top:2531;width:173;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" fillcolor="black" stroked="f"/>
            <v:rect id="Rectangle 11694" o:spid="_x0000_s1915" style="position:absolute;left:6970;top:2531;width:173;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" fillcolor="black" stroked="f"/>
            <v:rect id="Rectangle 11695" o:spid="_x0000_s1916" style="position:absolute;left:7431;top:2531;width:172;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" fillcolor="black" stroked="f"/>
            <v:rect id="Rectangle 11696" o:spid="_x0000_s1917" style="position:absolute;left:7891;top:2531;width:173;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" fillcolor="black" stroked="f"/>
            <v:rect id="Rectangle 11697" o:spid="_x0000_s1918" style="position:absolute;left:8352;top:2531;width:173;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" fillcolor="black" stroked="f"/>
            <v:rect id="Rectangle 11698" o:spid="_x0000_s1919" style="position:absolute;left:2592;top:2531;width:58;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" fillcolor="black" stroked="f"/>
            <v:rect id="Rectangle 11699" o:spid="_x0000_s1920" style="position:absolute;left:3053;top:2531;width:58;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" fillcolor="black" stroked="f"/>
            <v:rect id="Rectangle 11700" o:spid="_x0000_s1921" style="position:absolute;left:3514;top:2531;width:57;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" fillcolor="black" stroked="f"/>
            <v:rect id="Rectangle 11701" o:spid="_x0000_s1922" style="position:absolute;left:3975;top:2531;width:57;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" fillcolor="black" stroked="f"/>
            <v:rect id="Rectangle 11702" o:spid="_x0000_s1923" style="position:absolute;left:4435;top:2531;width:58;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" fillcolor="black" stroked="f"/>
            <v:rect id="Rectangle 11703" o:spid="_x0000_s1924" style="position:absolute;left:4896;top:2531;width:58;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" fillcolor="black" stroked="f"/>
            <v:rect id="Rectangle 11704" o:spid="_x0000_s1925" style="position:absolute;left:5357;top:2531;width:58;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" fillcolor="black" stroked="f"/>
            <v:rect id="Rectangle 11705" o:spid="_x0000_s1926" style="position:absolute;left:5818;top:2531;width:57;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" fillcolor="black" stroked="f"/>
            <v:rect id="Rectangle 11706" o:spid="_x0000_s1927" style="position:absolute;left:6279;top:2531;width:57;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" fillcolor="black" stroked="f"/>
            <v:rect id="Rectangle 11707" o:spid="_x0000_s1928" style="position:absolute;left:6739;top:2531;width:58;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" fillcolor="black" stroked="f"/>
            <v:rect id="Rectangle 11708" o:spid="_x0000_s1929" style="position:absolute;left:7200;top:2531;width:58;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" fillcolor="black" stroked="f"/>
            <v:rect id="Rectangle 11709" o:spid="_x0000_s1930" style="position:absolute;left:7661;top:2531;width:58;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" fillcolor="black" stroked="f"/>
            <v:rect id="Rectangle 11710" o:spid="_x0000_s1931" style="position:absolute;left:8122;top:2531;width:57;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" fillcolor="black" stroked="f"/>
            <v:rect id="Rectangle 11711" o:spid="_x0000_s1932" style="position:absolute;left:8583;top:2531;width:24;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" fillcolor="black" stroked="f"/>
            <v:rect id="Rectangle 11712" o:spid="_x0000_s1933" style="position:absolute;left:2707;top:2531;width:58;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" fillcolor="black" stroked="f"/>
            <v:rect id="Rectangle 11713" o:spid="_x0000_s1934" style="position:absolute;left:3168;top:2531;width:58;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" fillcolor="black" stroked="f"/>
            <v:rect id="Rectangle 11714" o:spid="_x0000_s1935" style="position:absolute;left:3629;top:2531;width:58;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" fillcolor="black" stroked="f"/>
            <v:rect id="Rectangle 11715" o:spid="_x0000_s1936" style="position:absolute;left:4090;top:2531;width:57;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" fillcolor="black" stroked="f"/>
            <v:rect id="Rectangle 11716" o:spid="_x0000_s1937" style="position:absolute;left:4551;top:2531;width:57;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" fillcolor="black" stroked="f"/>
            <v:rect id="Rectangle 11717" o:spid="_x0000_s1938" style="position:absolute;left:5011;top:2531;width:58;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" fillcolor="black" stroked="f"/>
            <v:rect id="Rectangle 11718" o:spid="_x0000_s1939" style="position:absolute;left:5472;top:2531;width:58;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" fillcolor="black" stroked="f"/>
            <v:rect id="Rectangle 11719" o:spid="_x0000_s1940" style="position:absolute;left:5933;top:2531;width:58;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" fillcolor="black" stroked="f"/>
            <v:rect id="Rectangle 11720" o:spid="_x0000_s1941" style="position:absolute;left:6394;top:2531;width:57;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" fillcolor="black" stroked="f"/>
            <v:rect id="Rectangle 11721" o:spid="_x0000_s1942" style="position:absolute;left:6855;top:2531;width:57;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" fillcolor="black" stroked="f"/>
            <v:rect id="Rectangle 11722" o:spid="_x0000_s1943" style="position:absolute;left:7315;top:2531;width:58;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" fillcolor="black" stroked="f"/>
            <v:rect id="Rectangle 11723" o:spid="_x0000_s1944" style="position:absolute;left:7776;top:2531;width:58;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" fillcolor="black" stroked="f"/>
            <v:rect id="Rectangle 11724" o:spid="_x0000_s1945" style="position:absolute;left:8237;top:2531;width:58;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" fillcolor="black" stroked="f"/>
            <v:rect id="Rectangle 11725" o:spid="_x0000_s1946" style="position:absolute;left:8591;top:1960;width:19;height:5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" fillcolor="black" stroked="f"/>
            <v:rect id="Rectangle 11726" o:spid="_x0000_s1947" style="position:absolute;left:8813;top:2531;width:173;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" fillcolor="black" stroked="f"/>
            <v:rect id="Rectangle 11727" o:spid="_x0000_s1948" style="position:absolute;left:9274;top:2531;width:173;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" fillcolor="black" stroked="f"/>
            <v:rect id="Rectangle 11728" o:spid="_x0000_s1949" style="position:absolute;left:8626;top:2531;width:14;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" fillcolor="black" stroked="f"/>
            <v:rect id="Rectangle 11729" o:spid="_x0000_s1950" style="position:absolute;left:9043;top:2531;width:58;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" fillcolor="black" stroked="f"/>
            <v:rect id="Rectangle 11730" o:spid="_x0000_s1951" style="position:absolute;left:8698;top:2531;width:57;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" fillcolor="black" stroked="f"/>
            <v:rect id="Rectangle 11731" o:spid="_x0000_s1952" style="position:absolute;left:9159;top:2531;width:57;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" fillcolor="black" stroked="f"/>
            <v:shape id="Freeform 11732" o:spid="_x0000_s1953" style="position:absolute;left:3259;top:2435;width:269;height:206;visibility:visible;mso-wrap-style:square;v-text-anchor:top" coordsize="269,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" path="m82,120l68,106,53,86,39,72,34,67,15,91,5,110,,134r,15l5,163r15,19l39,192r29,14l106,202r38,-10l173,187r24,-14l221,158r19,-19l255,106,269,67,255,29,231,10,202,,168,,135,10,101,29,34,67,29,91r-5,15l20,115r,5l24,120r15,l58,120r24,xe" strokeweight=".7pt">
              <v:path arrowok="t" o:connecttype="custom" o:connectlocs="82,120;68,106;53,86;39,72;34,67;15,91;5,110;0,134;0,149;5,163;20,182;39,192;68,206;106,202;144,192;173,187;197,173;221,158;240,139;255,106;269,67;255,29;231,10;202,0;168,0;135,10;101,29;34,67;29,91;24,106;20,115;20,120;24,120;39,120;58,120;82,120" o:connectangles="0,0,0,0,0,0,0,0,0,0,0,0,0,0,0,0,0,0,0,0,0,0,0,0,0,0,0,0,0,0,0,0,0,0,0,0"/>
            </v:shape>
            <v:line id="Line 11733" o:spid="_x0000_s1954" style="position:absolute;flip:x y;visibility:visible" from="3325,2039" to="3532,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" strokeweight=".7pt"/>
            <v:line id="Line 11734" o:spid="_x0000_s1955" style="position:absolute;flip:x y;visibility:visible" from="3019,2149" to="3250,2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" strokeweight=".7pt"/>
            <v:group id="Group 11735" o:spid="_x0000_s1956" style="position:absolute;left:3378;top:1938;width:235;height:149" coordorigin="3261,3754" coordsize="23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">
              <v:line id="Line 11736" o:spid="_x0000_s1957" style="position:absolute;flip:x;visibility:visible" from="3395,3787" to="3496,3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" strokeweight=".7pt"/>
              <v:shape id="Freeform 11737" o:spid="_x0000_s1958" style="position:absolute;left:3261;top:3754;width:178;height:149;visibility:visible;mso-wrap-style:square;v-text-anchor:top" coordsize="17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" path="m120,l,134r178,15l120,xe" fillcolor="black" stroked="f">
                <v:path arrowok="t" o:connecttype="custom" o:connectlocs="120,0;0,134;178,149;120,0" o:connectangles="0,0,0,0"/>
              </v:shape>
            </v:group>
            <v:group id="Group 11738" o:spid="_x0000_s1959" style="position:absolute;left:2823;top:2274;width:240;height:144" coordorigin="2695,4090" coordsize="24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">
              <v:line id="Line 11739" o:spid="_x0000_s1960" style="position:absolute;flip:y;visibility:visible" from="2695,4157" to="2800,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" strokeweight=".7pt"/>
              <v:shape id="Freeform 11740" o:spid="_x0000_s1961" style="position:absolute;left:2757;top:4090;width:178;height:144;visibility:visible;mso-wrap-style:square;v-text-anchor:top" coordsize="17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" path="m67,144l178,,,,67,144xe" fillcolor="black" stroked="f">
                <v:path arrowok="t" o:connecttype="custom" o:connectlocs="67,144;178,0;0,0;67,144" o:connectangles="0,0,0,0"/>
              </v:shape>
            </v:group>
            <v:oval id="Oval 11741" o:spid="_x0000_s1962" style="position:absolute;left:5227;top:2449;width:236;height: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" strokeweight=".7pt"/>
            <v:oval id="Oval 11742" o:spid="_x0000_s1963" style="position:absolute;left:6951;top:2349;width:115;height:2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" strokeweight=".7pt"/>
            <v:oval id="Oval 11743" o:spid="_x0000_s1964" style="position:absolute;left:8607;top:2377;width:446;height:2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" strokeweight=".7pt"/>
            <v:line id="Line 11744" o:spid="_x0000_s1965" style="position:absolute;flip:x y;visibility:visible" from="9055,1912" to="9069,2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" strokeweight=".7pt"/>
            <v:group id="Group 11745" o:spid="_x0000_s1966" style="position:absolute;left:8264;top:2032;width:346;height:158" coordorigin="8147,3826" coordsize="346,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">
              <v:line id="Line 11746" o:spid="_x0000_s1967" style="position:absolute;flip:y;visibility:visible" from="8147,3903" to="8349,3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" strokeweight=".7pt"/>
              <v:shape id="Freeform 11747" o:spid="_x0000_s1968" style="position:absolute;left:8335;top:3826;width:158;height:158;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" path="m4,158l158,72,,,4,158xe" fillcolor="black" stroked="f">
                <v:path arrowok="t" o:connecttype="custom" o:connectlocs="4,158;158,72;0,0;4,158" o:connectangles="0,0,0,0"/>
              </v:shape>
            </v:group>
            <v:group id="Group 11748" o:spid="_x0000_s1969" style="position:absolute;left:9089;top:2061;width:254;height:158" coordorigin="8983,3855" coordsize="25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">
              <v:line id="Line 11749" o:spid="_x0000_s1970" style="position:absolute;flip:x;visibility:visible" from="9122,3927" to="9237,3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" strokeweight=".7pt"/>
              <v:shape id="Freeform 11750" o:spid="_x0000_s1971" style="position:absolute;left:8983;top:3855;width:158;height:158;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" path="m148,l,91r158,67l148,xe" fillcolor="black" stroked="f">
                <v:path arrowok="t" o:connecttype="custom" o:connectlocs="148,0;0,91;158,158;148,0" o:connectangles="0,0,0,0"/>
              </v:shape>
            </v:group>
            <v:shape id="Text Box 11751" o:spid="_x0000_s1972" type="#_x0000_t202" style="position:absolute;left:2903;top:1778;width:54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" filled="f" stroked="f">
              <v:textbox inset="5.85pt,.7pt,5.85pt,.7pt">
                <w:txbxContent>
                  <w:p w14:paraId="1F1E0FA7" w14:textId="77777777" w:rsidR="003B0864" w:rsidRPr="00207960" w:rsidRDefault="003B0864" w:rsidP="005B6E62">
                    <w:pPr>
                      <w:rPr>
                        <w:rFonts w:ascii="Cambria Math" w:hAnsi="Cambria Math"/>
                      </w:rPr>
                    </w:pPr>
                    <w:r w:rsidRPr="00207960">
                      <w:rPr>
                        <w:rFonts w:ascii="Cambria Math" w:hAnsi="Cambria Math"/>
                        <w:i/>
                      </w:rPr>
                      <w:t>B</w:t>
                    </w:r>
                    <w:r w:rsidRPr="00207960">
                      <w:rPr>
                        <w:rFonts w:ascii="Cambria Math" w:hAnsi="Cambria Math"/>
                        <w:vertAlign w:val="subscript"/>
                      </w:rPr>
                      <w:t>1</w:t>
                    </w:r>
                  </w:p>
                </w:txbxContent>
              </v:textbox>
            </v:shape>
            <v:shape id="Text Box 11752" o:spid="_x0000_s1973" type="#_x0000_t202" style="position:absolute;left:5074;top:1800;width:54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" filled="f" stroked="f">
              <v:textbox inset="5.85pt,.7pt,5.85pt,.7pt">
                <w:txbxContent>
                  <w:p w14:paraId="639F4423" w14:textId="77777777" w:rsidR="003B0864" w:rsidRPr="00207960" w:rsidRDefault="003B0864" w:rsidP="005B6E62">
                    <w:pPr>
                      <w:rPr>
                        <w:rFonts w:ascii="Cambria Math" w:hAnsi="Cambria Math"/>
                      </w:rPr>
                    </w:pPr>
                    <w:r w:rsidRPr="00207960">
                      <w:rPr>
                        <w:rFonts w:ascii="Cambria Math" w:hAnsi="Cambria Math"/>
                        <w:i/>
                      </w:rPr>
                      <w:t>B</w:t>
                    </w:r>
                    <w:r w:rsidRPr="00207960">
                      <w:rPr>
                        <w:rFonts w:ascii="Cambria Math" w:hAnsi="Cambria Math"/>
                        <w:vertAlign w:val="subscript"/>
                      </w:rPr>
                      <w:t>2</w:t>
                    </w:r>
                  </w:p>
                </w:txbxContent>
              </v:textbox>
            </v:shape>
            <v:shape id="Text Box 11753" o:spid="_x0000_s1974" type="#_x0000_t202" style="position:absolute;left:8563;top:1800;width:54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" filled="f" stroked="f">
              <v:textbox inset="5.85pt,.7pt,5.85pt,.7pt">
                <w:txbxContent>
                  <w:p w14:paraId="29D89182" w14:textId="77777777" w:rsidR="003B0864" w:rsidRPr="00207960" w:rsidRDefault="003B0864" w:rsidP="005B6E62">
                    <w:pPr>
                      <w:rPr>
                        <w:rFonts w:ascii="Cambria Math" w:hAnsi="Cambria Math"/>
                      </w:rPr>
                    </w:pPr>
                    <w:r w:rsidRPr="00207960">
                      <w:rPr>
                        <w:rFonts w:ascii="Cambria Math" w:hAnsi="Cambria Math"/>
                        <w:i/>
                      </w:rPr>
                      <w:t>B</w:t>
                    </w:r>
                    <w:r w:rsidRPr="00207960">
                      <w:rPr>
                        <w:rFonts w:ascii="Cambria Math" w:hAnsi="Cambria Math"/>
                        <w:i/>
                        <w:vertAlign w:val="subscript"/>
                      </w:rPr>
                      <w:t>n</w:t>
                    </w:r>
                  </w:p>
                </w:txbxContent>
              </v:textbox>
            </v:shape>
            <w10:anchorlock/>
          </v:group>
        </w:pict>
      </w:r>
    </w:p>
    <w:p w14:paraId="5BD2F709" w14:textId="77777777" w:rsidR="005B6E62" w:rsidRPr="00BC31E0" w:rsidRDefault="005B6E62" w:rsidP="0072734B">
      <w:pPr>
        <w:autoSpaceDE w:val="0"/>
        <w:autoSpaceDN w:val="0"/>
        <w:jc w:val="center"/>
        <w:rPr>
          <w:szCs w:val="20"/>
        </w:rPr>
      </w:pPr>
    </w:p>
    <w:p w14:paraId="475C003E" w14:textId="77777777" w:rsidR="005B6E62" w:rsidRPr="00BC31E0" w:rsidRDefault="005B6E62" w:rsidP="0072734B">
      <w:pPr>
        <w:ind w:left="766" w:hanging="766"/>
        <w:jc w:val="left"/>
        <w:rPr>
          <w:rFonts w:ascii="ＭＳ 明朝"/>
          <w:szCs w:val="20"/>
        </w:rPr>
      </w:pPr>
      <w:r w:rsidRPr="00BC31E0">
        <w:rPr>
          <w:rFonts w:ascii="ＭＳ ゴシック" w:eastAsia="ＭＳ ゴシック" w:hint="eastAsia"/>
          <w:b/>
          <w:szCs w:val="20"/>
        </w:rPr>
        <w:t>注記</w:t>
      </w:r>
      <w:r w:rsidR="004C364A" w:rsidRPr="00BC31E0">
        <w:rPr>
          <w:rFonts w:ascii="ＭＳ ゴシック" w:eastAsia="ＭＳ ゴシック" w:hint="eastAsia"/>
          <w:b/>
          <w:szCs w:val="20"/>
        </w:rPr>
        <w:t xml:space="preserve"> </w:t>
      </w:r>
      <w:r w:rsidRPr="00BC31E0">
        <w:rPr>
          <w:rFonts w:ascii="ＭＳ 明朝" w:hint="eastAsia"/>
          <w:szCs w:val="20"/>
        </w:rPr>
        <w:t xml:space="preserve">　円形状指示模様が</w:t>
      </w:r>
      <w:r w:rsidRPr="00BC31E0">
        <w:rPr>
          <w:rFonts w:asciiTheme="minorHAnsi" w:hAnsiTheme="minorHAnsi"/>
          <w:szCs w:val="20"/>
        </w:rPr>
        <w:t>4</w:t>
      </w:r>
      <w:r w:rsidRPr="00BC31E0">
        <w:rPr>
          <w:rFonts w:ascii="ＭＳ 明朝" w:hint="eastAsia"/>
          <w:szCs w:val="20"/>
        </w:rPr>
        <w:t>個以上連なっており，各々の寸法が</w:t>
      </w:r>
      <w:r w:rsidRPr="00BC31E0">
        <w:rPr>
          <w:rFonts w:ascii="ＭＳ ゴシック" w:eastAsia="ＭＳ ゴシック" w:hAnsi="ＭＳ ゴシック" w:hint="eastAsia"/>
          <w:b/>
          <w:szCs w:val="20"/>
        </w:rPr>
        <w:t>2 c）</w:t>
      </w:r>
      <w:r w:rsidRPr="00BC31E0">
        <w:rPr>
          <w:rFonts w:ascii="ＭＳ 明朝" w:hint="eastAsia"/>
          <w:szCs w:val="20"/>
        </w:rPr>
        <w:t>に規定する寸法以下の</w:t>
      </w:r>
      <w:r w:rsidR="003E79E6" w:rsidRPr="00BC31E0">
        <w:rPr>
          <w:rFonts w:ascii="ＭＳ 明朝" w:hint="eastAsia"/>
          <w:szCs w:val="20"/>
        </w:rPr>
        <w:t>指示模様</w:t>
      </w:r>
      <w:r w:rsidRPr="00BC31E0">
        <w:rPr>
          <w:szCs w:val="20"/>
        </w:rPr>
        <w:t>(</w:t>
      </w:r>
      <w:r w:rsidRPr="00BC31E0">
        <w:rPr>
          <w:rFonts w:ascii="ＭＳ 明朝" w:hint="eastAsia"/>
          <w:szCs w:val="20"/>
        </w:rPr>
        <w:t>規定する寸法を超えるものは不合格</w:t>
      </w:r>
      <w:r w:rsidRPr="00BC31E0">
        <w:rPr>
          <w:szCs w:val="20"/>
        </w:rPr>
        <w:t>)</w:t>
      </w:r>
      <w:r w:rsidRPr="00BC31E0">
        <w:rPr>
          <w:rFonts w:ascii="ＭＳ 明朝" w:hint="eastAsia"/>
          <w:szCs w:val="20"/>
        </w:rPr>
        <w:t>について，任意の</w:t>
      </w:r>
      <m:oMath>
        <m:r>
          <m:rPr>
            <m:sty m:val="p"/>
          </m:rPr>
          <w:rPr>
            <w:rFonts w:ascii="Cambria Math" w:hAnsi="Cambria Math"/>
            <w:szCs w:val="20"/>
          </w:rPr>
          <m:t xml:space="preserve"> </m:t>
        </m:r>
        <m:r>
          <w:rPr>
            <w:rFonts w:ascii="Cambria Math" w:hAnsi="Cambria Math"/>
            <w:szCs w:val="20"/>
          </w:rPr>
          <m:t xml:space="preserve">12 t </m:t>
        </m:r>
      </m:oMath>
      <w:r w:rsidRPr="00BC31E0">
        <w:rPr>
          <w:rFonts w:ascii="ＭＳ 明朝" w:hint="eastAsia"/>
          <w:szCs w:val="20"/>
        </w:rPr>
        <w:t>の長さの範囲における</w:t>
      </w:r>
      <m:oMath>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B</m:t>
            </m:r>
          </m:e>
          <m:sub>
            <m:r>
              <w:rPr>
                <w:rFonts w:ascii="Cambria Math" w:hAnsi="Cambria Math"/>
                <w:szCs w:val="20"/>
              </w:rPr>
              <m:t>1</m:t>
            </m:r>
          </m:sub>
        </m:sSub>
        <m:r>
          <w:rPr>
            <w:rFonts w:ascii="Cambria Math" w:hAnsi="Cambria Math"/>
            <w:szCs w:val="20"/>
          </w:rPr>
          <m:t xml:space="preserve"> </m:t>
        </m:r>
      </m:oMath>
      <w:r w:rsidRPr="00BC31E0">
        <w:rPr>
          <w:rFonts w:ascii="ＭＳ 明朝" w:hint="eastAsia"/>
          <w:szCs w:val="20"/>
        </w:rPr>
        <w:t>から</w:t>
      </w:r>
      <m:oMath>
        <m:sSub>
          <m:sSubPr>
            <m:ctrlPr>
              <w:rPr>
                <w:rFonts w:ascii="Cambria Math" w:hAnsi="Cambria Math"/>
                <w:i/>
                <w:szCs w:val="20"/>
              </w:rPr>
            </m:ctrlPr>
          </m:sSubPr>
          <m:e>
            <m:r>
              <w:rPr>
                <w:rFonts w:ascii="Cambria Math" w:hAnsi="Cambria Math"/>
                <w:szCs w:val="20"/>
              </w:rPr>
              <m:t xml:space="preserve"> B</m:t>
            </m:r>
          </m:e>
          <m:sub>
            <m:r>
              <w:rPr>
                <w:rFonts w:ascii="Cambria Math" w:hAnsi="Cambria Math"/>
                <w:szCs w:val="20"/>
              </w:rPr>
              <m:t>n</m:t>
            </m:r>
          </m:sub>
        </m:sSub>
        <m:r>
          <w:rPr>
            <w:rFonts w:ascii="Cambria Math" w:hAnsi="Cambria Math"/>
            <w:szCs w:val="20"/>
          </w:rPr>
          <m:t xml:space="preserve"> </m:t>
        </m:r>
      </m:oMath>
      <w:r w:rsidRPr="00BC31E0">
        <w:rPr>
          <w:rFonts w:ascii="ＭＳ 明朝" w:hint="eastAsia"/>
          <w:szCs w:val="20"/>
        </w:rPr>
        <w:t>の合計は，</w:t>
      </w:r>
      <m:oMath>
        <m:r>
          <w:rPr>
            <w:rFonts w:ascii="Cambria Math" w:hAnsi="Cambria Math"/>
            <w:szCs w:val="20"/>
          </w:rPr>
          <m:t xml:space="preserve">t </m:t>
        </m:r>
      </m:oMath>
      <w:r w:rsidRPr="00BC31E0">
        <w:rPr>
          <w:rFonts w:ascii="ＭＳ 明朝" w:hint="eastAsia"/>
          <w:szCs w:val="20"/>
        </w:rPr>
        <w:t>未満でなければならない。</w:t>
      </w:r>
    </w:p>
    <w:p w14:paraId="2F821A8C" w14:textId="77777777" w:rsidR="005B6E62" w:rsidRPr="00BC31E0" w:rsidRDefault="005B6E62" w:rsidP="0072734B">
      <w:pPr>
        <w:autoSpaceDE w:val="0"/>
        <w:autoSpaceDN w:val="0"/>
        <w:jc w:val="left"/>
        <w:rPr>
          <w:szCs w:val="20"/>
        </w:rPr>
      </w:pPr>
    </w:p>
    <w:p w14:paraId="2D414666" w14:textId="77777777" w:rsidR="005B6E62" w:rsidRPr="00BC31E0" w:rsidRDefault="005B6E62" w:rsidP="0072734B">
      <w:pPr>
        <w:autoSpaceDE w:val="0"/>
        <w:autoSpaceDN w:val="0"/>
        <w:jc w:val="center"/>
        <w:rPr>
          <w:szCs w:val="20"/>
        </w:rPr>
      </w:pPr>
      <w:r w:rsidRPr="00BC31E0">
        <w:rPr>
          <w:rFonts w:hint="eastAsia"/>
          <w:szCs w:val="20"/>
        </w:rPr>
        <w:t>(</w:t>
      </w:r>
      <w:r w:rsidRPr="00BC31E0">
        <w:rPr>
          <w:szCs w:val="20"/>
        </w:rPr>
        <w:t>a</w:t>
      </w:r>
      <w:r w:rsidRPr="00BC31E0">
        <w:rPr>
          <w:rFonts w:hint="eastAsia"/>
          <w:szCs w:val="20"/>
        </w:rPr>
        <w:t xml:space="preserve">) </w:t>
      </w:r>
      <w:r w:rsidRPr="00BC31E0">
        <w:rPr>
          <w:rFonts w:hint="eastAsia"/>
          <w:szCs w:val="20"/>
        </w:rPr>
        <w:t>並んだ円形状指示模様の場合</w:t>
      </w:r>
    </w:p>
    <w:p w14:paraId="3C369338" w14:textId="77777777" w:rsidR="005B6E62" w:rsidRPr="00BC31E0" w:rsidRDefault="005B6E62" w:rsidP="0072734B">
      <w:pPr>
        <w:autoSpaceDE w:val="0"/>
        <w:autoSpaceDN w:val="0"/>
        <w:jc w:val="left"/>
        <w:rPr>
          <w:szCs w:val="20"/>
        </w:rPr>
      </w:pPr>
    </w:p>
    <w:p w14:paraId="14BA8EDB" w14:textId="77777777" w:rsidR="005B6E62" w:rsidRPr="00BC31E0" w:rsidRDefault="005B6E62" w:rsidP="0072734B">
      <w:pPr>
        <w:autoSpaceDE w:val="0"/>
        <w:autoSpaceDN w:val="0"/>
        <w:jc w:val="left"/>
        <w:rPr>
          <w:szCs w:val="20"/>
        </w:rPr>
      </w:pPr>
    </w:p>
    <w:p w14:paraId="54073449" w14:textId="77777777" w:rsidR="005B6E62" w:rsidRPr="00BC31E0" w:rsidRDefault="00A51873" w:rsidP="0072734B">
      <w:pPr>
        <w:autoSpaceDE w:val="0"/>
        <w:autoSpaceDN w:val="0"/>
        <w:jc w:val="center"/>
        <w:rPr>
          <w:szCs w:val="20"/>
        </w:rPr>
      </w:pPr>
      <w:r>
        <w:rPr>
          <w:noProof/>
          <w:szCs w:val="20"/>
        </w:rPr>
      </w:r>
      <w:r>
        <w:rPr>
          <w:noProof/>
          <w:szCs w:val="20"/>
        </w:rPr>
        <w:pict w14:anchorId="43C54F27">
          <v:group id="Group 11598" o:spid="_x0000_s1975" style="width:351.4pt;height:51.25pt;mso-position-horizontal-relative:char;mso-position-vertical-relative:line" coordorigin="2330,7650" coordsize="7028,1025">
            <v:group id="Group 11599" o:spid="_x0000_s1976" style="position:absolute;left:6380;top:8080;width:552;height:158" coordorigin="4379,6730" coordsize="55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line id="Line 11600" o:spid="_x0000_s1977" style="position:absolute;flip:y;visibility:visible" from="4379,6806" to="4787,6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" strokeweight=".7pt"/>
              <v:shape id="Freeform 11601" o:spid="_x0000_s1978" style="position:absolute;left:4773;top:6730;width:158;height:158;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" path="m5,158l158,76,,,5,158xe" fillcolor="black" stroked="f">
                <v:path arrowok="t" o:connecttype="custom" o:connectlocs="5,158;158,76;0,0;5,158" o:connectangles="0,0,0,0"/>
              </v:shape>
            </v:group>
            <v:rect id="Rectangle 11602" o:spid="_x0000_s1979" style="position:absolute;left:2369;top:8051;width:111;height:36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" filled="f" stroked="f">
              <v:textbox style="mso-fit-shape-to-text:t" inset="0,0,0,0">
                <w:txbxContent>
                  <w:p w14:paraId="2ECB2020" w14:textId="77777777" w:rsidR="003B0864" w:rsidRDefault="003B0864" w:rsidP="005B6E62">
                    <w:r>
                      <w:rPr>
                        <w:rFonts w:ascii="ＭＳ Ｐゴシック" w:eastAsia="ＭＳ Ｐゴシック" w:cs="ＭＳ Ｐゴシック"/>
                        <w:color w:val="000000"/>
                        <w:sz w:val="22"/>
                        <w:szCs w:val="22"/>
                      </w:rPr>
                      <w:t xml:space="preserve">             </w:t>
                    </w:r>
                  </w:p>
                </w:txbxContent>
              </v:textbox>
            </v:rect>
            <v:rect id="Rectangle 11603" o:spid="_x0000_s1980" style="position:absolute;left:2330;top:8555;width:116;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" fillcolor="black" stroked="f"/>
            <v:rect id="Rectangle 11604" o:spid="_x0000_s1981" style="position:absolute;left:2734;top:8555;width:172;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" fillcolor="black" stroked="f"/>
            <v:rect id="Rectangle 11605" o:spid="_x0000_s1982" style="position:absolute;left:3194;top:8555;width:173;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" fillcolor="black" stroked="f"/>
            <v:rect id="Rectangle 11606" o:spid="_x0000_s1983" style="position:absolute;left:3655;top:8555;width:173;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" fillcolor="black" stroked="f"/>
            <v:rect id="Rectangle 11607" o:spid="_x0000_s1984" style="position:absolute;left:4116;top:8555;width:173;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" fillcolor="black" stroked="f"/>
            <v:rect id="Rectangle 11608" o:spid="_x0000_s1985" style="position:absolute;left:4577;top:8555;width:173;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" fillcolor="black" stroked="f"/>
            <v:rect id="Rectangle 11609" o:spid="_x0000_s1986" style="position:absolute;left:5038;top:8555;width:172;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" fillcolor="black" stroked="f"/>
            <v:rect id="Rectangle 11610" o:spid="_x0000_s1987" style="position:absolute;left:5498;top:8555;width:173;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" fillcolor="black" stroked="f"/>
            <v:rect id="Rectangle 11611" o:spid="_x0000_s1988" style="position:absolute;left:5959;top:8555;width:173;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" fillcolor="black" stroked="f"/>
            <v:rect id="Rectangle 11612" o:spid="_x0000_s1989" style="position:absolute;left:6420;top:8555;width:173;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" fillcolor="black" stroked="f"/>
            <v:rect id="Rectangle 11613" o:spid="_x0000_s1990" style="position:absolute;left:6881;top:8555;width:173;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" fillcolor="black" stroked="f"/>
            <v:rect id="Rectangle 11614" o:spid="_x0000_s1991" style="position:absolute;left:7342;top:8555;width:172;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" fillcolor="black" stroked="f"/>
            <v:rect id="Rectangle 11615" o:spid="_x0000_s1992" style="position:absolute;left:7802;top:8555;width:173;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" fillcolor="black" stroked="f"/>
            <v:rect id="Rectangle 11616" o:spid="_x0000_s1993" style="position:absolute;left:8263;top:8555;width:173;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" fillcolor="black" stroked="f"/>
            <v:rect id="Rectangle 11617" o:spid="_x0000_s1994" style="position:absolute;left:8724;top:8555;width:173;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" fillcolor="black" stroked="f"/>
            <v:rect id="Rectangle 11618" o:spid="_x0000_s1995" style="position:absolute;left:9185;top:8555;width:173;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" fillcolor="black" stroked="f"/>
            <v:rect id="Rectangle 11619" o:spid="_x0000_s1996" style="position:absolute;left:2503;top:8555;width:58;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" fillcolor="black" stroked="f"/>
            <v:rect id="Rectangle 11620" o:spid="_x0000_s1997" style="position:absolute;left:2964;top:8555;width:58;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" fillcolor="black" stroked="f"/>
            <v:rect id="Rectangle 11621" o:spid="_x0000_s1998" style="position:absolute;left:3425;top:8555;width:57;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" fillcolor="black" stroked="f"/>
            <v:rect id="Rectangle 11622" o:spid="_x0000_s1999" style="position:absolute;left:3886;top:8555;width:57;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" fillcolor="black" stroked="f"/>
            <v:rect id="Rectangle 11623" o:spid="_x0000_s2000" style="position:absolute;left:4346;top:8555;width:58;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" fillcolor="black" stroked="f"/>
            <v:rect id="Rectangle 11624" o:spid="_x0000_s2001" style="position:absolute;left:4807;top:8555;width:58;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" fillcolor="black" stroked="f"/>
            <v:rect id="Rectangle 11625" o:spid="_x0000_s2002" style="position:absolute;left:5268;top:8555;width:58;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" fillcolor="black" stroked="f"/>
            <v:rect id="Rectangle 11626" o:spid="_x0000_s2003" style="position:absolute;left:5729;top:8555;width:57;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" fillcolor="black" stroked="f"/>
            <v:rect id="Rectangle 11627" o:spid="_x0000_s2004" style="position:absolute;left:6190;top:8555;width:57;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" fillcolor="black" stroked="f"/>
            <v:rect id="Rectangle 11628" o:spid="_x0000_s2005" style="position:absolute;left:6650;top:8555;width:58;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" fillcolor="black" stroked="f"/>
            <v:rect id="Rectangle 11629" o:spid="_x0000_s2006" style="position:absolute;left:7111;top:8555;width:58;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" fillcolor="black" stroked="f"/>
            <v:rect id="Rectangle 11630" o:spid="_x0000_s2007" style="position:absolute;left:7572;top:8555;width:58;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" fillcolor="black" stroked="f"/>
            <v:rect id="Rectangle 11631" o:spid="_x0000_s2008" style="position:absolute;left:8033;top:8555;width:57;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" fillcolor="black" stroked="f"/>
            <v:rect id="Rectangle 11632" o:spid="_x0000_s2009" style="position:absolute;left:8494;top:8555;width:57;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" fillcolor="black" stroked="f"/>
            <v:rect id="Rectangle 11633" o:spid="_x0000_s2010" style="position:absolute;left:8954;top:8555;width:58;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" fillcolor="black" stroked="f"/>
            <v:rect id="Rectangle 11634" o:spid="_x0000_s2011" style="position:absolute;left:2618;top:8555;width:58;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" fillcolor="black" stroked="f"/>
            <v:rect id="Rectangle 11635" o:spid="_x0000_s2012" style="position:absolute;left:3079;top:8555;width:58;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" fillcolor="black" stroked="f"/>
            <v:rect id="Rectangle 11636" o:spid="_x0000_s2013" style="position:absolute;left:3540;top:8555;width:58;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" fillcolor="black" stroked="f"/>
            <v:rect id="Rectangle 11637" o:spid="_x0000_s2014" style="position:absolute;left:4001;top:8555;width:57;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" fillcolor="black" stroked="f"/>
            <v:rect id="Rectangle 11638" o:spid="_x0000_s2015" style="position:absolute;left:4462;top:8555;width:57;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" fillcolor="black" stroked="f"/>
            <v:rect id="Rectangle 11639" o:spid="_x0000_s2016" style="position:absolute;left:4922;top:8555;width:58;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" fillcolor="black" stroked="f"/>
            <v:rect id="Rectangle 11640" o:spid="_x0000_s2017" style="position:absolute;left:5383;top:8555;width:58;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" fillcolor="black" stroked="f"/>
            <v:rect id="Rectangle 11641" o:spid="_x0000_s2018" style="position:absolute;left:5844;top:8555;width:58;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" fillcolor="black" stroked="f"/>
            <v:rect id="Rectangle 11642" o:spid="_x0000_s2019" style="position:absolute;left:6305;top:8555;width:57;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" fillcolor="black" stroked="f"/>
            <v:rect id="Rectangle 11643" o:spid="_x0000_s2020" style="position:absolute;left:6766;top:8555;width:57;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" fillcolor="black" stroked="f"/>
            <v:rect id="Rectangle 11644" o:spid="_x0000_s2021" style="position:absolute;left:7226;top:8555;width:58;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" fillcolor="black" stroked="f"/>
            <v:rect id="Rectangle 11645" o:spid="_x0000_s2022" style="position:absolute;left:7687;top:8555;width:58;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" fillcolor="black" stroked="f"/>
            <v:rect id="Rectangle 11646" o:spid="_x0000_s2023" style="position:absolute;left:8148;top:8555;width:58;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" fillcolor="black" stroked="f"/>
            <v:rect id="Rectangle 11647" o:spid="_x0000_s2024" style="position:absolute;left:8609;top:8555;width:57;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" fillcolor="black" stroked="f"/>
            <v:rect id="Rectangle 11648" o:spid="_x0000_s2025" style="position:absolute;left:9070;top:8555;width:57;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" fillcolor="black" stroked="f"/>
            <v:shape id="Freeform 11649" o:spid="_x0000_s2026" style="position:absolute;left:3190;top:8478;width:81;height:130;visibility:visible;mso-wrap-style:square;v-text-anchor:top" coordsize="8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" path="m,91l4,53,14,29,24,10,33,,48,r9,10l72,34r9,28l72,96r-5,24l62,130r-5,l48,125,38,115,24,101,,91xe" strokeweight=".7pt">
              <v:path arrowok="t" o:connecttype="custom" o:connectlocs="0,91;4,53;14,29;24,10;33,0;48,0;57,10;72,34;81,62;72,96;67,120;62,130;57,130;48,125;38,115;24,101;0,91" o:connectangles="0,0,0,0,0,0,0,0,0,0,0,0,0,0,0,0,0"/>
            </v:shape>
            <v:shape id="Freeform 11650" o:spid="_x0000_s2027" style="position:absolute;left:3343;top:8488;width:96;height:115;visibility:visible;mso-wrap-style:square;v-text-anchor:top" coordsize="9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" path="m,81l5,57,10,33,15,19,19,9,34,r9,4l53,24,67,48r29,52l77,105r-14,5l43,115r-4,l29,110,15,96,,81xe" strokeweight=".7pt">
              <v:path arrowok="t" o:connecttype="custom" o:connectlocs="0,81;5,57;10,33;15,19;19,9;34,0;43,4;53,24;67,48;96,100;77,105;63,110;43,115;39,115;29,110;15,96;0,81" o:connectangles="0,0,0,0,0,0,0,0,0,0,0,0,0,0,0,0,0"/>
            </v:shape>
            <v:line id="Line 11651" o:spid="_x0000_s2028" style="position:absolute;flip:y;visibility:visible" from="3175,8003" to="3190,8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" strokeweight=".7pt"/>
            <v:line id="Line 11652" o:spid="_x0000_s2029" style="position:absolute;flip:y;visibility:visible" from="3439,7936" to="3439,8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" strokeweight=".7pt"/>
            <v:group id="Group 11653" o:spid="_x0000_s2030" style="position:absolute;left:2931;top:8052;width:240;height:158" coordorigin="2848,6682" coordsize="24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">
              <v:line id="Line 11654" o:spid="_x0000_s2031" style="position:absolute;visibility:visible" from="2848,6758" to="2939,6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" strokeweight=".7pt"/>
              <v:shape id="Freeform 11655" o:spid="_x0000_s2032" style="position:absolute;left:2930;top:6682;width:158;height:158;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" path="m,158l158,76,,,,158xe" fillcolor="black" stroked="f">
                <v:path arrowok="t" o:connecttype="custom" o:connectlocs="0,158;158,76;0,0;0,158" o:connectangles="0,0,0,0"/>
              </v:shape>
            </v:group>
            <v:group id="Group 11656" o:spid="_x0000_s2033" style="position:absolute;left:3473;top:8036;width:437;height:159" coordorigin="3434,6710" coordsize="43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line id="Line 11657" o:spid="_x0000_s2034" style="position:absolute;flip:x;visibility:visible" from="3573,6787" to="3871,6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" strokeweight=".7pt"/>
              <v:shape id="Freeform 11658" o:spid="_x0000_s2035" style="position:absolute;left:3434;top:6710;width:153;height:159;visibility:visible;mso-wrap-style:square;v-text-anchor:top" coordsize="15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" path="m153,l,77r153,82l153,xe" fillcolor="black" stroked="f">
                <v:path arrowok="t" o:connecttype="custom" o:connectlocs="153,0;0,77;153,159;153,0" o:connectangles="0,0,0,0"/>
              </v:shape>
            </v:group>
            <v:shape id="Freeform 11659" o:spid="_x0000_s2036" style="position:absolute;left:4970;top:8425;width:111;height:173;visibility:visible;mso-wrap-style:square;v-text-anchor:top" coordsize="11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" path="m,101l10,77r,-24l15,19,20,5,34,,53,,82,5,96,39r10,24l111,77r,14l111,101r-5,14l101,139r-5,34l58,144,34,115,24,96,20,82,15,72,10,82,,101xe" strokeweight=".7pt">
              <v:path arrowok="t" o:connecttype="custom" o:connectlocs="0,101;10,77;10,53;15,19;20,5;34,0;53,0;82,5;96,39;106,63;111,77;111,91;111,101;106,115;101,139;96,173;58,144;34,115;24,96;20,82;15,72;15,72;10,82;0,101" o:connectangles="0,0,0,0,0,0,0,0,0,0,0,0,0,0,0,0,0,0,0,0,0,0,0,0"/>
            </v:shape>
            <v:shape id="Freeform 11660" o:spid="_x0000_s2037" style="position:absolute;left:5138;top:8444;width:101;height:231;visibility:visible;mso-wrap-style:square;v-text-anchor:top" coordsize="10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" path="m,125l10,96,15,77r,-14l20,53,29,34,39,20,48,,63,15r9,14l87,72r14,48l101,168r,39l96,221r-9,10l82,231,72,226,63,212,48,192,44,168r,-19l44,135r-5,-5l39,125r-10,l20,125,,125xe" strokeweight=".7pt">
              <v:path arrowok="t" o:connecttype="custom" o:connectlocs="0,125;10,96;15,77;15,63;20,53;29,34;39,20;48,0;63,15;72,29;87,72;101,120;101,168;101,207;96,221;87,231;82,231;72,226;63,212;48,192;44,168;44,149;44,135;39,130;39,125;29,125;20,125;0,125" o:connectangles="0,0,0,0,0,0,0,0,0,0,0,0,0,0,0,0,0,0,0,0,0,0,0,0,0,0,0,0"/>
            </v:shape>
            <v:shape id="Freeform 11661" o:spid="_x0000_s2038" style="position:absolute;left:5258;top:8420;width:101;height:164;visibility:visible;mso-wrap-style:square;v-text-anchor:top" coordsize="10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" path="m,135l5,106,10,82,15,68r5,-5l24,58r5,-5l44,48,63,39,77,20,87,5,92,r4,l101,5r,5l96,39,87,72,72,111,58,140,39,164,34,144r,-9l29,125r,-5l20,125r-5,5l,135xe" strokeweight=".7pt">
              <v:path arrowok="t" o:connecttype="custom" o:connectlocs="0,135;5,106;10,82;15,68;20,63;24,58;29,53;44,48;63,39;77,20;87,5;92,0;96,0;101,5;101,10;96,39;87,72;72,111;58,140;39,164;34,144;34,135;29,125;29,120;20,125;15,130;0,135" o:connectangles="0,0,0,0,0,0,0,0,0,0,0,0,0,0,0,0,0,0,0,0,0,0,0,0,0,0,0"/>
            </v:shape>
            <v:line id="Line 11662" o:spid="_x0000_s2039" style="position:absolute;flip:y;visibility:visible" from="4970,7907" to="4985,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" strokeweight=".7pt"/>
            <v:line id="Line 11663" o:spid="_x0000_s2040" style="position:absolute;flip:y;visibility:visible" from="5354,8003" to="5354,8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" strokeweight=".7pt"/>
            <v:group id="Group 11664" o:spid="_x0000_s2041" style="position:absolute;left:4418;top:8056;width:552;height:158" coordorigin="4379,6730" coordsize="55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line id="Line 11665" o:spid="_x0000_s2042" style="position:absolute;flip:y;visibility:visible" from="4379,6806" to="4787,6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" strokeweight=".7pt"/>
              <v:shape id="Freeform 11666" o:spid="_x0000_s2043" style="position:absolute;left:4773;top:6730;width:158;height:158;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" path="m5,158l158,76,,,5,158xe" fillcolor="black" stroked="f">
                <v:path arrowok="t" o:connecttype="custom" o:connectlocs="5,158;158,76;0,0;5,158" o:connectangles="0,0,0,0"/>
              </v:shape>
            </v:group>
            <v:group id="Group 11667" o:spid="_x0000_s2044" style="position:absolute;left:5354;top:8080;width:548;height:158" coordorigin="5315,6754" coordsize="86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">
              <v:line id="Line 11668" o:spid="_x0000_s2045" style="position:absolute;flip:x;visibility:visible" from="5459,6830" to="6184,6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" strokeweight=".7pt"/>
              <v:shape id="Freeform 11669" o:spid="_x0000_s2046" style="position:absolute;left:5315;top:6754;width:159;height:158;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" path="m159,l,81r159,77l159,xe" fillcolor="black" stroked="f">
                <v:path arrowok="t" o:connecttype="custom" o:connectlocs="159,0;0,81;159,158;159,0" o:connectangles="0,0,0,0"/>
              </v:shape>
            </v:group>
            <v:line id="Line 11670" o:spid="_x0000_s2047" style="position:absolute;flip:y;visibility:visible" from="6929,7993" to="6929,8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" strokeweight=".7pt"/>
            <v:line id="Line 11671" o:spid="_x0000_s3072" style="position:absolute;flip:y;visibility:visible" from="7524,8003" to="7524,8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" strokeweight=".7pt"/>
            <v:group id="Group 11672" o:spid="_x0000_s3073" style="position:absolute;left:7543;top:8104;width:355;height:158" coordorigin="7504,6778" coordsize="35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">
              <v:line id="Line 11673" o:spid="_x0000_s3074" style="position:absolute;flip:x;visibility:visible" from="7643,6845" to="7859,6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" strokeweight=".7pt"/>
              <v:shape id="Freeform 11674" o:spid="_x0000_s3075" style="position:absolute;left:7504;top:6778;width:159;height:158;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" path="m154,l,86r159,72l154,xe" fillcolor="black" stroked="f">
                <v:path arrowok="t" o:connecttype="custom" o:connectlocs="154,0;0,86;159,158;154,0" o:connectangles="0,0,0,0"/>
              </v:shape>
            </v:group>
            <v:shape id="Freeform 11675" o:spid="_x0000_s3076" style="position:absolute;left:6943;top:8416;width:53;height:206;visibility:visible;mso-wrap-style:square;v-text-anchor:top" coordsize="53,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" path="m5,206l,177,,144,10,76,15,48,19,24,24,4,24,,34,38r9,38l48,96r,14l53,120r,4l48,148r,20l43,192r-9,9l19,206r-14,xe" strokeweight=".7pt">
              <v:path arrowok="t" o:connecttype="custom" o:connectlocs="5,206;0,177;0,144;10,76;15,48;19,24;24,4;24,0;34,38;43,76;48,96;48,110;53,120;53,124;48,148;48,168;43,192;34,201;19,206;5,206" o:connectangles="0,0,0,0,0,0,0,0,0,0,0,0,0,0,0,0,0,0,0,0"/>
            </v:shape>
            <v:shape id="Freeform 11676" o:spid="_x0000_s3077" style="position:absolute;left:7097;top:8473;width:96;height:115;visibility:visible;mso-wrap-style:square;v-text-anchor:top" coordsize="9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" path="m,111l19,82,33,58,43,43r5,-9l53,29r9,-5l77,15,96,,86,58r,19l77,96,67,111r-14,4l33,115,,111xe" strokeweight=".7pt">
              <v:path arrowok="t" o:connecttype="custom" o:connectlocs="0,111;19,82;33,58;43,43;48,34;53,29;62,24;77,15;96,0;86,58;86,77;77,96;67,111;53,115;33,115;0,111" o:connectangles="0,0,0,0,0,0,0,0,0,0,0,0,0,0,0,0"/>
            </v:shape>
            <v:shape id="Freeform 11677" o:spid="_x0000_s3078" style="position:absolute;left:7380;top:8416;width:139;height:206;visibility:visible;mso-wrap-style:square;v-text-anchor:top" coordsize="139,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" path="m130,139l120,100,110,62,91,33,77,14,58,,24,19,5,43,,72r5,33l19,134r19,29l62,187r24,19l110,201r15,l134,196r5,-4l139,187r,-10l134,163r-4,-24xe" strokeweight=".7pt">
              <v:path arrowok="t" o:connecttype="custom" o:connectlocs="130,139;120,100;110,62;91,33;77,14;58,0;24,19;5,43;0,72;5,105;19,134;38,163;62,187;86,206;110,201;125,201;134,196;139,192;139,187;139,177;134,163;130,139" o:connectangles="0,0,0,0,0,0,0,0,0,0,0,0,0,0,0,0,0,0,0,0,0,0"/>
            </v:shape>
            <v:shape id="Text Box 11678" o:spid="_x0000_s3079" type="#_x0000_t202" style="position:absolute;left:3110;top:7650;width:54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" filled="f" stroked="f">
              <v:textbox inset="5.85pt,.7pt,5.85pt,.7pt">
                <w:txbxContent>
                  <w:p w14:paraId="225E40B3" w14:textId="77777777" w:rsidR="003B0864" w:rsidRPr="00207960" w:rsidRDefault="003B0864" w:rsidP="005B6E62">
                    <w:pPr>
                      <w:rPr>
                        <w:rFonts w:ascii="Cambria Math" w:hAnsi="Cambria Math"/>
                      </w:rPr>
                    </w:pPr>
                    <w:r w:rsidRPr="00207960">
                      <w:rPr>
                        <w:rFonts w:ascii="Cambria Math" w:hAnsi="Cambria Math"/>
                        <w:i/>
                      </w:rPr>
                      <w:t>L</w:t>
                    </w:r>
                    <w:r w:rsidRPr="00207960">
                      <w:rPr>
                        <w:rFonts w:ascii="Cambria Math" w:hAnsi="Cambria Math"/>
                        <w:vertAlign w:val="subscript"/>
                      </w:rPr>
                      <w:t>1</w:t>
                    </w:r>
                  </w:p>
                </w:txbxContent>
              </v:textbox>
            </v:shape>
            <v:shape id="Text Box 11679" o:spid="_x0000_s3080" type="#_x0000_t202" style="position:absolute;left:3885;top:7800;width:900;height:7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" filled="f" stroked="f">
              <v:textbox inset="5.85pt,.7pt,5.85pt,.7pt">
                <w:txbxContent>
                  <w:p w14:paraId="294F4123" w14:textId="77777777" w:rsidR="003B0864" w:rsidRPr="00207960" w:rsidRDefault="003B0864" w:rsidP="005B6E62">
                    <w:pPr>
                      <w:rPr>
                        <w:rFonts w:ascii="Cambria Math" w:hAnsi="Cambria Math"/>
                        <w:vertAlign w:val="subscript"/>
                      </w:rPr>
                    </w:pPr>
                    <w:r w:rsidRPr="00207960">
                      <w:rPr>
                        <w:rFonts w:ascii="Cambria Math" w:hAnsi="Cambria Math"/>
                      </w:rPr>
                      <w:t>3</w:t>
                    </w:r>
                    <w:r w:rsidRPr="00207960">
                      <w:rPr>
                        <w:rFonts w:ascii="Cambria Math" w:hAnsi="Cambria Math"/>
                        <w:i/>
                      </w:rPr>
                      <w:t>L</w:t>
                    </w:r>
                    <w:r w:rsidRPr="00207960">
                      <w:rPr>
                        <w:rFonts w:ascii="Cambria Math" w:hAnsi="Cambria Math"/>
                        <w:vertAlign w:val="subscript"/>
                      </w:rPr>
                      <w:t>2</w:t>
                    </w:r>
                  </w:p>
                  <w:p w14:paraId="6082B0C2" w14:textId="77777777" w:rsidR="003B0864" w:rsidRDefault="003B0864" w:rsidP="005B6E62">
                    <w:r>
                      <w:rPr>
                        <w:rFonts w:hint="eastAsia"/>
                      </w:rPr>
                      <w:t>以上</w:t>
                    </w:r>
                  </w:p>
                </w:txbxContent>
              </v:textbox>
            </v:shape>
            <v:shape id="Text Box 11680" o:spid="_x0000_s3081" type="#_x0000_t202" style="position:absolute;left:4940;top:7650;width:54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" filled="f" stroked="f">
              <v:textbox inset="5.85pt,.7pt,5.85pt,.7pt">
                <w:txbxContent>
                  <w:p w14:paraId="45D6765D" w14:textId="77777777" w:rsidR="003B0864" w:rsidRPr="00207960" w:rsidRDefault="003B0864" w:rsidP="005B6E62">
                    <w:pPr>
                      <w:rPr>
                        <w:rFonts w:ascii="Cambria Math" w:hAnsi="Cambria Math"/>
                      </w:rPr>
                    </w:pPr>
                    <w:r w:rsidRPr="00207960">
                      <w:rPr>
                        <w:rFonts w:ascii="Cambria Math" w:hAnsi="Cambria Math"/>
                        <w:i/>
                      </w:rPr>
                      <w:t>L</w:t>
                    </w:r>
                    <w:r w:rsidRPr="00207960">
                      <w:rPr>
                        <w:rFonts w:ascii="Cambria Math" w:hAnsi="Cambria Math"/>
                        <w:vertAlign w:val="subscript"/>
                      </w:rPr>
                      <w:t>2</w:t>
                    </w:r>
                  </w:p>
                </w:txbxContent>
              </v:textbox>
            </v:shape>
            <v:shape id="Text Box 11681" o:spid="_x0000_s3082" type="#_x0000_t202" style="position:absolute;left:5802;top:7815;width:900;height:7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" filled="f" stroked="f">
              <v:textbox inset="5.85pt,.7pt,5.85pt,.7pt">
                <w:txbxContent>
                  <w:p w14:paraId="22A0D204" w14:textId="77777777" w:rsidR="003B0864" w:rsidRPr="00207960" w:rsidRDefault="003B0864" w:rsidP="005B6E62">
                    <w:pPr>
                      <w:rPr>
                        <w:rFonts w:ascii="Cambria Math" w:hAnsi="Cambria Math"/>
                        <w:vertAlign w:val="subscript"/>
                      </w:rPr>
                    </w:pPr>
                    <w:r w:rsidRPr="00207960">
                      <w:rPr>
                        <w:rFonts w:ascii="Cambria Math" w:hAnsi="Cambria Math"/>
                      </w:rPr>
                      <w:t>3</w:t>
                    </w:r>
                    <w:r w:rsidRPr="00207960">
                      <w:rPr>
                        <w:rFonts w:ascii="Cambria Math" w:hAnsi="Cambria Math"/>
                        <w:i/>
                      </w:rPr>
                      <w:t>L</w:t>
                    </w:r>
                    <w:r w:rsidRPr="00207960">
                      <w:rPr>
                        <w:rFonts w:ascii="Cambria Math" w:hAnsi="Cambria Math"/>
                        <w:vertAlign w:val="subscript"/>
                      </w:rPr>
                      <w:t>3</w:t>
                    </w:r>
                  </w:p>
                  <w:p w14:paraId="0EA59775" w14:textId="77777777" w:rsidR="003B0864" w:rsidRPr="000B1E10" w:rsidRDefault="003B0864" w:rsidP="005B6E62">
                    <w:r w:rsidRPr="000B1E10">
                      <w:rPr>
                        <w:rFonts w:hint="eastAsia"/>
                      </w:rPr>
                      <w:t>以上</w:t>
                    </w:r>
                  </w:p>
                </w:txbxContent>
              </v:textbox>
            </v:shape>
            <v:shape id="Text Box 11682" o:spid="_x0000_s3083" type="#_x0000_t202" style="position:absolute;left:6995;top:7680;width:54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" filled="f" stroked="f">
              <v:textbox inset="5.85pt,.7pt,5.85pt,.7pt">
                <w:txbxContent>
                  <w:p w14:paraId="5BC4A8F9" w14:textId="77777777" w:rsidR="003B0864" w:rsidRPr="00207960" w:rsidRDefault="003B0864" w:rsidP="005B6E62">
                    <w:pPr>
                      <w:rPr>
                        <w:rFonts w:ascii="Cambria Math" w:hAnsi="Cambria Math"/>
                      </w:rPr>
                    </w:pPr>
                    <w:r w:rsidRPr="00207960">
                      <w:rPr>
                        <w:rFonts w:ascii="Cambria Math" w:hAnsi="Cambria Math"/>
                        <w:i/>
                      </w:rPr>
                      <w:t>L</w:t>
                    </w:r>
                    <w:r w:rsidRPr="00207960">
                      <w:rPr>
                        <w:rFonts w:ascii="Cambria Math" w:hAnsi="Cambria Math"/>
                        <w:vertAlign w:val="subscript"/>
                      </w:rPr>
                      <w:t>3</w:t>
                    </w:r>
                  </w:p>
                </w:txbxContent>
              </v:textbox>
            </v:shape>
            <w10:anchorlock/>
          </v:group>
        </w:pict>
      </w:r>
    </w:p>
    <w:p w14:paraId="336DAE5C" w14:textId="77777777" w:rsidR="005B6E62" w:rsidRPr="00BC31E0" w:rsidRDefault="005B6E62" w:rsidP="0072734B">
      <w:pPr>
        <w:autoSpaceDE w:val="0"/>
        <w:autoSpaceDN w:val="0"/>
        <w:jc w:val="left"/>
        <w:rPr>
          <w:szCs w:val="20"/>
        </w:rPr>
      </w:pPr>
    </w:p>
    <w:p w14:paraId="11C6D119" w14:textId="77777777" w:rsidR="005B6E62" w:rsidRPr="00BC31E0" w:rsidRDefault="005B6E62" w:rsidP="0072734B">
      <w:pPr>
        <w:ind w:left="766" w:hanging="766"/>
        <w:jc w:val="left"/>
        <w:rPr>
          <w:szCs w:val="20"/>
        </w:rPr>
      </w:pPr>
      <w:r w:rsidRPr="00BC31E0">
        <w:rPr>
          <w:rFonts w:ascii="ＭＳ ゴシック" w:eastAsia="ＭＳ ゴシック" w:hAnsi="ＭＳ ゴシック" w:hint="eastAsia"/>
          <w:b/>
          <w:szCs w:val="20"/>
        </w:rPr>
        <w:t>注記1</w:t>
      </w:r>
      <w:r w:rsidRPr="00BC31E0">
        <w:rPr>
          <w:rFonts w:hint="eastAsia"/>
          <w:szCs w:val="20"/>
        </w:rPr>
        <w:t xml:space="preserve">　</w:t>
      </w:r>
      <m:oMath>
        <m:sSub>
          <m:sSubPr>
            <m:ctrlPr>
              <w:rPr>
                <w:rFonts w:ascii="Cambria Math" w:hAnsi="Cambria Math"/>
                <w:i/>
                <w:szCs w:val="20"/>
              </w:rPr>
            </m:ctrlPr>
          </m:sSubPr>
          <m:e>
            <m:r>
              <w:rPr>
                <w:rFonts w:ascii="Cambria Math" w:hAnsi="Cambria Math"/>
                <w:szCs w:val="20"/>
              </w:rPr>
              <m:t>L</m:t>
            </m:r>
          </m:e>
          <m:sub>
            <m:r>
              <w:rPr>
                <w:rFonts w:ascii="Cambria Math" w:hAnsi="Cambria Math"/>
                <w:szCs w:val="20"/>
              </w:rPr>
              <m:t>2</m:t>
            </m:r>
          </m:sub>
        </m:sSub>
        <m:r>
          <m:rPr>
            <m:sty m:val="p"/>
          </m:rPr>
          <w:rPr>
            <w:rFonts w:ascii="Cambria Math" w:hAnsi="Cambria Math"/>
            <w:szCs w:val="20"/>
          </w:rPr>
          <m:t>&gt;</m:t>
        </m:r>
        <m:sSub>
          <m:sSubPr>
            <m:ctrlPr>
              <w:rPr>
                <w:rFonts w:ascii="Cambria Math" w:hAnsi="Cambria Math"/>
                <w:i/>
                <w:szCs w:val="20"/>
              </w:rPr>
            </m:ctrlPr>
          </m:sSubPr>
          <m:e>
            <m:r>
              <w:rPr>
                <w:rFonts w:ascii="Cambria Math" w:hAnsi="Cambria Math"/>
                <w:szCs w:val="20"/>
              </w:rPr>
              <m:t>L</m:t>
            </m:r>
          </m:e>
          <m:sub>
            <m:r>
              <w:rPr>
                <w:rFonts w:ascii="Cambria Math" w:hAnsi="Cambria Math"/>
                <w:szCs w:val="20"/>
              </w:rPr>
              <m:t>1</m:t>
            </m:r>
          </m:sub>
        </m:sSub>
      </m:oMath>
      <w:r w:rsidRPr="00BC31E0">
        <w:rPr>
          <w:szCs w:val="20"/>
        </w:rPr>
        <w:t>，</w:t>
      </w:r>
      <m:oMath>
        <m:sSub>
          <m:sSubPr>
            <m:ctrlPr>
              <w:rPr>
                <w:rFonts w:ascii="Cambria Math" w:hAnsi="Cambria Math"/>
                <w:i/>
                <w:szCs w:val="20"/>
              </w:rPr>
            </m:ctrlPr>
          </m:sSubPr>
          <m:e>
            <m:r>
              <w:rPr>
                <w:rFonts w:ascii="Cambria Math" w:hAnsi="Cambria Math"/>
                <w:szCs w:val="20"/>
              </w:rPr>
              <m:t>L</m:t>
            </m:r>
          </m:e>
          <m:sub>
            <m:r>
              <w:rPr>
                <w:rFonts w:ascii="Cambria Math" w:hAnsi="Cambria Math"/>
                <w:szCs w:val="20"/>
              </w:rPr>
              <m:t>3</m:t>
            </m:r>
          </m:sub>
        </m:sSub>
        <m:r>
          <m:rPr>
            <m:sty m:val="p"/>
          </m:rPr>
          <w:rPr>
            <w:rFonts w:ascii="Cambria Math" w:hAnsi="Cambria Math"/>
            <w:szCs w:val="20"/>
          </w:rPr>
          <m:t>&gt;</m:t>
        </m:r>
        <m:sSub>
          <m:sSubPr>
            <m:ctrlPr>
              <w:rPr>
                <w:rFonts w:ascii="Cambria Math" w:hAnsi="Cambria Math"/>
                <w:i/>
                <w:szCs w:val="20"/>
              </w:rPr>
            </m:ctrlPr>
          </m:sSubPr>
          <m:e>
            <m:r>
              <w:rPr>
                <w:rFonts w:ascii="Cambria Math" w:hAnsi="Cambria Math"/>
                <w:szCs w:val="20"/>
              </w:rPr>
              <m:t>L</m:t>
            </m:r>
          </m:e>
          <m:sub>
            <m:r>
              <w:rPr>
                <w:rFonts w:ascii="Cambria Math" w:hAnsi="Cambria Math"/>
                <w:szCs w:val="20"/>
              </w:rPr>
              <m:t>2</m:t>
            </m:r>
          </m:sub>
        </m:sSub>
        <m:r>
          <w:rPr>
            <w:rFonts w:ascii="Cambria Math" w:hAnsi="Cambria Math"/>
            <w:szCs w:val="20"/>
          </w:rPr>
          <m:t xml:space="preserve"> </m:t>
        </m:r>
      </m:oMath>
      <w:r w:rsidRPr="00BC31E0">
        <w:rPr>
          <w:rFonts w:hint="eastAsia"/>
          <w:szCs w:val="20"/>
        </w:rPr>
        <w:t>の場合，任意の</w:t>
      </w:r>
      <m:oMath>
        <m:r>
          <m:rPr>
            <m:sty m:val="p"/>
          </m:rPr>
          <w:rPr>
            <w:rFonts w:ascii="Cambria Math" w:hAnsi="Cambria Math"/>
            <w:szCs w:val="20"/>
          </w:rPr>
          <m:t xml:space="preserve"> </m:t>
        </m:r>
        <m:r>
          <w:rPr>
            <w:rFonts w:ascii="Cambria Math" w:hAnsi="Cambria Math"/>
            <w:szCs w:val="20"/>
          </w:rPr>
          <m:t xml:space="preserve">12 t </m:t>
        </m:r>
      </m:oMath>
      <w:r w:rsidRPr="00BC31E0">
        <w:rPr>
          <w:rFonts w:hint="eastAsia"/>
          <w:szCs w:val="20"/>
        </w:rPr>
        <w:t>の長さの範囲における各群の長さの合計は，</w:t>
      </w:r>
      <m:oMath>
        <m:r>
          <w:rPr>
            <w:rFonts w:ascii="Cambria Math" w:hAnsi="Cambria Math"/>
            <w:szCs w:val="20"/>
          </w:rPr>
          <m:t xml:space="preserve">t </m:t>
        </m:r>
      </m:oMath>
      <w:r w:rsidRPr="00BC31E0">
        <w:rPr>
          <w:rFonts w:ascii="ＭＳ 明朝" w:hint="eastAsia"/>
          <w:szCs w:val="20"/>
        </w:rPr>
        <w:t>未満</w:t>
      </w:r>
      <w:r w:rsidRPr="00BC31E0">
        <w:rPr>
          <w:rFonts w:hint="eastAsia"/>
          <w:szCs w:val="20"/>
        </w:rPr>
        <w:t>でなければならない。</w:t>
      </w:r>
    </w:p>
    <w:p w14:paraId="13505F1C" w14:textId="77777777" w:rsidR="005B6E62" w:rsidRPr="00BC31E0" w:rsidRDefault="005B6E62" w:rsidP="0072734B">
      <w:pPr>
        <w:jc w:val="left"/>
        <w:rPr>
          <w:szCs w:val="20"/>
        </w:rPr>
      </w:pPr>
      <w:r w:rsidRPr="00BC31E0">
        <w:rPr>
          <w:rFonts w:ascii="ＭＳ ゴシック" w:eastAsia="ＭＳ ゴシック" w:hAnsi="ＭＳ ゴシック" w:hint="eastAsia"/>
          <w:b/>
          <w:szCs w:val="20"/>
        </w:rPr>
        <w:t>注記2</w:t>
      </w:r>
      <w:r w:rsidRPr="00BC31E0">
        <w:rPr>
          <w:rFonts w:hint="eastAsia"/>
          <w:szCs w:val="20"/>
        </w:rPr>
        <w:t xml:space="preserve">　各群の最大長さは，次の値とする。</w:t>
      </w:r>
    </w:p>
    <w:tbl>
      <w:tblPr>
        <w:tblpPr w:leftFromText="142" w:rightFromText="142" w:vertAnchor="text" w:horzAnchor="page" w:tblpX="2333" w:tblpY="197"/>
        <w:tblW w:w="0" w:type="auto"/>
        <w:tblLook w:val="01E0" w:firstRow="1" w:lastRow="1" w:firstColumn="1" w:lastColumn="1" w:noHBand="0" w:noVBand="0"/>
      </w:tblPr>
      <w:tblGrid>
        <w:gridCol w:w="3969"/>
        <w:gridCol w:w="1417"/>
      </w:tblGrid>
      <w:tr w:rsidR="005B6E62" w:rsidRPr="00BC31E0" w14:paraId="5786ABCE" w14:textId="77777777" w:rsidTr="00A352F0">
        <w:tc>
          <w:tcPr>
            <w:tcW w:w="5386" w:type="dxa"/>
            <w:gridSpan w:val="2"/>
            <w:tcBorders>
              <w:top w:val="nil"/>
              <w:left w:val="nil"/>
              <w:bottom w:val="single" w:sz="12" w:space="0" w:color="auto"/>
              <w:right w:val="nil"/>
            </w:tcBorders>
          </w:tcPr>
          <w:p w14:paraId="0D5D8367" w14:textId="77777777" w:rsidR="005B6E62" w:rsidRPr="00BC31E0" w:rsidRDefault="005B6E62" w:rsidP="00A352F0">
            <w:pPr>
              <w:jc w:val="right"/>
              <w:rPr>
                <w:szCs w:val="20"/>
              </w:rPr>
            </w:pPr>
            <w:r w:rsidRPr="00BC31E0">
              <w:rPr>
                <w:rFonts w:hint="eastAsia"/>
                <w:szCs w:val="20"/>
              </w:rPr>
              <w:t>各群の最大長さ</w:t>
            </w:r>
          </w:p>
        </w:tc>
      </w:tr>
      <w:tr w:rsidR="005B6E62" w:rsidRPr="00BC31E0" w14:paraId="54BDDEF4" w14:textId="77777777" w:rsidTr="00A352F0">
        <w:tc>
          <w:tcPr>
            <w:tcW w:w="3969" w:type="dxa"/>
            <w:tcBorders>
              <w:top w:val="single" w:sz="12" w:space="0" w:color="auto"/>
              <w:left w:val="nil"/>
              <w:bottom w:val="nil"/>
              <w:right w:val="nil"/>
            </w:tcBorders>
          </w:tcPr>
          <w:p w14:paraId="6479F02D" w14:textId="77777777" w:rsidR="005B6E62" w:rsidRPr="00BC31E0" w:rsidRDefault="005B6E62" w:rsidP="00A352F0">
            <w:pPr>
              <w:jc w:val="left"/>
              <w:rPr>
                <w:rFonts w:ascii="ＭＳ 明朝" w:hAnsi="ＭＳ 明朝"/>
                <w:szCs w:val="20"/>
              </w:rPr>
            </w:pPr>
            <w:r w:rsidRPr="00BC31E0">
              <w:rPr>
                <w:rFonts w:ascii="Times New Roman" w:hAnsi="Times New Roman"/>
                <w:i/>
                <w:szCs w:val="20"/>
              </w:rPr>
              <w:t>t</w:t>
            </w:r>
            <w:r w:rsidRPr="00BC31E0">
              <w:rPr>
                <w:rFonts w:ascii="ＭＳ 明朝" w:hAnsi="ＭＳ 明朝" w:hint="eastAsia"/>
                <w:szCs w:val="20"/>
              </w:rPr>
              <w:t>が</w:t>
            </w:r>
            <w:r w:rsidRPr="00BC31E0">
              <w:rPr>
                <w:szCs w:val="20"/>
              </w:rPr>
              <w:t>19</w:t>
            </w:r>
            <w:r w:rsidRPr="00BC31E0">
              <w:rPr>
                <w:rFonts w:hint="eastAsia"/>
                <w:szCs w:val="20"/>
              </w:rPr>
              <w:t xml:space="preserve"> </w:t>
            </w:r>
            <w:r w:rsidRPr="00BC31E0">
              <w:rPr>
                <w:szCs w:val="20"/>
              </w:rPr>
              <w:t>mm</w:t>
            </w:r>
            <w:r w:rsidRPr="00BC31E0">
              <w:rPr>
                <w:rFonts w:ascii="ＭＳ 明朝" w:hAnsi="ＭＳ 明朝" w:hint="eastAsia"/>
                <w:szCs w:val="20"/>
              </w:rPr>
              <w:t>未満の場合</w:t>
            </w:r>
          </w:p>
        </w:tc>
        <w:tc>
          <w:tcPr>
            <w:tcW w:w="1417" w:type="dxa"/>
            <w:tcBorders>
              <w:top w:val="single" w:sz="12" w:space="0" w:color="auto"/>
              <w:left w:val="nil"/>
              <w:bottom w:val="nil"/>
              <w:right w:val="nil"/>
            </w:tcBorders>
          </w:tcPr>
          <w:p w14:paraId="34FFCF3B" w14:textId="77777777" w:rsidR="005B6E62" w:rsidRPr="00BC31E0" w:rsidRDefault="005B6E62" w:rsidP="00A352F0">
            <w:pPr>
              <w:jc w:val="left"/>
              <w:rPr>
                <w:rFonts w:ascii="ＭＳ 明朝" w:hAnsi="ＭＳ 明朝"/>
                <w:szCs w:val="20"/>
              </w:rPr>
            </w:pPr>
            <w:r w:rsidRPr="00BC31E0">
              <w:rPr>
                <w:rFonts w:ascii="Times New Roman" w:hAnsi="Times New Roman"/>
                <w:i/>
                <w:szCs w:val="20"/>
              </w:rPr>
              <w:t>L</w:t>
            </w:r>
            <w:r w:rsidRPr="00BC31E0">
              <w:rPr>
                <w:rFonts w:ascii="Times New Roman" w:hAnsi="Times New Roman"/>
                <w:szCs w:val="20"/>
              </w:rPr>
              <w:t>=</w:t>
            </w:r>
            <w:r w:rsidRPr="00BC31E0">
              <w:rPr>
                <w:szCs w:val="20"/>
              </w:rPr>
              <w:t>6</w:t>
            </w:r>
            <w:r w:rsidRPr="00BC31E0">
              <w:rPr>
                <w:rFonts w:hint="eastAsia"/>
                <w:szCs w:val="20"/>
              </w:rPr>
              <w:t xml:space="preserve"> </w:t>
            </w:r>
            <w:r w:rsidRPr="00BC31E0">
              <w:rPr>
                <w:szCs w:val="20"/>
              </w:rPr>
              <w:t>mm</w:t>
            </w:r>
          </w:p>
        </w:tc>
      </w:tr>
      <w:tr w:rsidR="005B6E62" w:rsidRPr="00BC31E0" w14:paraId="5BC12292" w14:textId="77777777" w:rsidTr="00A352F0">
        <w:tc>
          <w:tcPr>
            <w:tcW w:w="3969" w:type="dxa"/>
            <w:tcBorders>
              <w:top w:val="nil"/>
              <w:left w:val="nil"/>
              <w:bottom w:val="nil"/>
              <w:right w:val="nil"/>
            </w:tcBorders>
          </w:tcPr>
          <w:p w14:paraId="131F0C49" w14:textId="77777777" w:rsidR="005B6E62" w:rsidRPr="00BC31E0" w:rsidRDefault="005B6E62" w:rsidP="00A352F0">
            <w:pPr>
              <w:jc w:val="left"/>
              <w:rPr>
                <w:rFonts w:ascii="ＭＳ 明朝" w:hAnsi="ＭＳ 明朝"/>
                <w:szCs w:val="20"/>
              </w:rPr>
            </w:pPr>
            <w:r w:rsidRPr="00BC31E0">
              <w:rPr>
                <w:rFonts w:ascii="Times New Roman" w:hAnsi="Times New Roman"/>
                <w:i/>
                <w:szCs w:val="20"/>
              </w:rPr>
              <w:t>t</w:t>
            </w:r>
            <w:r w:rsidRPr="00BC31E0">
              <w:rPr>
                <w:rFonts w:ascii="ＭＳ 明朝" w:hAnsi="ＭＳ 明朝" w:hint="eastAsia"/>
                <w:szCs w:val="20"/>
              </w:rPr>
              <w:t>が</w:t>
            </w:r>
            <w:r w:rsidRPr="00BC31E0">
              <w:rPr>
                <w:szCs w:val="20"/>
              </w:rPr>
              <w:t>19</w:t>
            </w:r>
            <w:r w:rsidRPr="00BC31E0">
              <w:rPr>
                <w:rFonts w:hint="eastAsia"/>
                <w:szCs w:val="20"/>
              </w:rPr>
              <w:t xml:space="preserve"> </w:t>
            </w:r>
            <w:r w:rsidRPr="00BC31E0">
              <w:rPr>
                <w:szCs w:val="20"/>
              </w:rPr>
              <w:t>mm</w:t>
            </w:r>
            <w:r w:rsidRPr="00BC31E0">
              <w:rPr>
                <w:rFonts w:ascii="ＭＳ 明朝" w:hAnsi="ＭＳ 明朝" w:hint="eastAsia"/>
                <w:szCs w:val="20"/>
              </w:rPr>
              <w:t>以上</w:t>
            </w:r>
            <w:r w:rsidRPr="00BC31E0">
              <w:rPr>
                <w:szCs w:val="20"/>
              </w:rPr>
              <w:t>57</w:t>
            </w:r>
            <w:r w:rsidRPr="00BC31E0">
              <w:rPr>
                <w:rFonts w:hint="eastAsia"/>
                <w:szCs w:val="20"/>
              </w:rPr>
              <w:t xml:space="preserve"> </w:t>
            </w:r>
            <w:r w:rsidRPr="00BC31E0">
              <w:rPr>
                <w:szCs w:val="20"/>
              </w:rPr>
              <w:t>mm</w:t>
            </w:r>
            <w:r w:rsidRPr="00BC31E0">
              <w:rPr>
                <w:rFonts w:hint="eastAsia"/>
                <w:szCs w:val="20"/>
              </w:rPr>
              <w:t>以下</w:t>
            </w:r>
            <w:r w:rsidRPr="00BC31E0">
              <w:rPr>
                <w:rFonts w:ascii="ＭＳ 明朝" w:hAnsi="ＭＳ 明朝" w:hint="eastAsia"/>
                <w:szCs w:val="20"/>
              </w:rPr>
              <w:t>の場合</w:t>
            </w:r>
          </w:p>
        </w:tc>
        <w:tc>
          <w:tcPr>
            <w:tcW w:w="1417" w:type="dxa"/>
            <w:tcBorders>
              <w:top w:val="nil"/>
              <w:left w:val="nil"/>
              <w:bottom w:val="nil"/>
              <w:right w:val="nil"/>
            </w:tcBorders>
          </w:tcPr>
          <w:p w14:paraId="29271799" w14:textId="77777777" w:rsidR="005B6E62" w:rsidRPr="00BC31E0" w:rsidRDefault="005B6E62" w:rsidP="00A352F0">
            <w:pPr>
              <w:jc w:val="left"/>
              <w:rPr>
                <w:rFonts w:ascii="ＭＳ 明朝" w:hAnsi="ＭＳ 明朝"/>
                <w:szCs w:val="20"/>
              </w:rPr>
            </w:pPr>
            <w:r w:rsidRPr="00BC31E0">
              <w:rPr>
                <w:rFonts w:ascii="Times New Roman" w:hAnsi="Times New Roman"/>
                <w:i/>
                <w:szCs w:val="20"/>
              </w:rPr>
              <w:t>L</w:t>
            </w:r>
            <w:r w:rsidRPr="00BC31E0">
              <w:rPr>
                <w:rFonts w:ascii="Times New Roman" w:hAnsi="Times New Roman"/>
                <w:szCs w:val="20"/>
              </w:rPr>
              <w:t>=</w:t>
            </w:r>
            <m:oMath>
              <m:f>
                <m:fPr>
                  <m:type m:val="lin"/>
                  <m:ctrlPr>
                    <w:rPr>
                      <w:rFonts w:ascii="Cambria Math" w:hAnsiTheme="minorHAnsi"/>
                      <w:i/>
                      <w:szCs w:val="20"/>
                    </w:rPr>
                  </m:ctrlPr>
                </m:fPr>
                <m:num>
                  <m:r>
                    <w:rPr>
                      <w:rFonts w:ascii="Cambria Math" w:hAnsi="Cambria Math"/>
                      <w:szCs w:val="20"/>
                    </w:rPr>
                    <m:t>t</m:t>
                  </m:r>
                </m:num>
                <m:den>
                  <m:r>
                    <w:rPr>
                      <w:rFonts w:ascii="Cambria Math" w:hAnsiTheme="minorHAnsi"/>
                      <w:szCs w:val="20"/>
                    </w:rPr>
                    <m:t>3</m:t>
                  </m:r>
                </m:den>
              </m:f>
              <m:r>
                <m:rPr>
                  <m:sty m:val="p"/>
                </m:rPr>
                <w:rPr>
                  <w:rFonts w:ascii="Cambria Math" w:hAnsi="Cambria Math"/>
                  <w:szCs w:val="20"/>
                </w:rPr>
                <m:t xml:space="preserve"> </m:t>
              </m:r>
            </m:oMath>
            <w:r w:rsidRPr="00BC31E0">
              <w:rPr>
                <w:rFonts w:asciiTheme="minorHAnsi" w:hAnsiTheme="minorHAnsi" w:hint="eastAsia"/>
                <w:szCs w:val="20"/>
              </w:rPr>
              <w:t>(</w:t>
            </w:r>
            <w:r w:rsidRPr="00BC31E0">
              <w:rPr>
                <w:rFonts w:ascii="Cambria Math" w:hAnsi="Cambria Math"/>
                <w:szCs w:val="20"/>
              </w:rPr>
              <w:t>mm</w:t>
            </w:r>
            <w:r w:rsidRPr="00BC31E0">
              <w:rPr>
                <w:rFonts w:asciiTheme="minorHAnsi" w:hAnsiTheme="minorHAnsi" w:hint="eastAsia"/>
                <w:szCs w:val="20"/>
              </w:rPr>
              <w:t>)</w:t>
            </w:r>
          </w:p>
        </w:tc>
      </w:tr>
      <w:tr w:rsidR="005B6E62" w:rsidRPr="00BC31E0" w14:paraId="7973E81D" w14:textId="77777777" w:rsidTr="00A352F0">
        <w:tc>
          <w:tcPr>
            <w:tcW w:w="3969" w:type="dxa"/>
            <w:tcBorders>
              <w:top w:val="nil"/>
              <w:left w:val="nil"/>
              <w:bottom w:val="nil"/>
              <w:right w:val="nil"/>
            </w:tcBorders>
          </w:tcPr>
          <w:p w14:paraId="1B581AA6" w14:textId="77777777" w:rsidR="005B6E62" w:rsidRPr="00BC31E0" w:rsidRDefault="005B6E62" w:rsidP="00A352F0">
            <w:pPr>
              <w:jc w:val="left"/>
              <w:rPr>
                <w:rFonts w:ascii="ＭＳ 明朝" w:hAnsi="ＭＳ 明朝"/>
                <w:szCs w:val="20"/>
              </w:rPr>
            </w:pPr>
            <w:r w:rsidRPr="00BC31E0">
              <w:rPr>
                <w:rFonts w:ascii="Times New Roman" w:hAnsi="Times New Roman"/>
                <w:i/>
                <w:szCs w:val="20"/>
              </w:rPr>
              <w:t>t</w:t>
            </w:r>
            <w:r w:rsidRPr="00BC31E0">
              <w:rPr>
                <w:rFonts w:ascii="ＭＳ 明朝" w:hAnsi="ＭＳ 明朝" w:hint="eastAsia"/>
                <w:szCs w:val="20"/>
              </w:rPr>
              <w:t>が</w:t>
            </w:r>
            <w:r w:rsidRPr="00BC31E0">
              <w:rPr>
                <w:szCs w:val="20"/>
              </w:rPr>
              <w:t>57</w:t>
            </w:r>
            <w:r w:rsidRPr="00BC31E0">
              <w:rPr>
                <w:rFonts w:hint="eastAsia"/>
                <w:szCs w:val="20"/>
              </w:rPr>
              <w:t xml:space="preserve"> </w:t>
            </w:r>
            <w:r w:rsidRPr="00BC31E0">
              <w:rPr>
                <w:szCs w:val="20"/>
              </w:rPr>
              <w:t>mm</w:t>
            </w:r>
            <w:r w:rsidRPr="00BC31E0">
              <w:rPr>
                <w:rFonts w:ascii="ＭＳ 明朝" w:hAnsi="ＭＳ 明朝" w:hint="eastAsia"/>
                <w:szCs w:val="20"/>
              </w:rPr>
              <w:t>を超える場合</w:t>
            </w:r>
          </w:p>
        </w:tc>
        <w:tc>
          <w:tcPr>
            <w:tcW w:w="1417" w:type="dxa"/>
            <w:tcBorders>
              <w:top w:val="nil"/>
              <w:left w:val="nil"/>
              <w:bottom w:val="nil"/>
              <w:right w:val="nil"/>
            </w:tcBorders>
          </w:tcPr>
          <w:p w14:paraId="1E032374" w14:textId="77777777" w:rsidR="005B6E62" w:rsidRPr="00BC31E0" w:rsidRDefault="005B6E62" w:rsidP="00A352F0">
            <w:pPr>
              <w:jc w:val="left"/>
              <w:rPr>
                <w:rFonts w:ascii="ＭＳ 明朝" w:hAnsi="ＭＳ 明朝"/>
                <w:szCs w:val="20"/>
              </w:rPr>
            </w:pPr>
            <w:r w:rsidRPr="00BC31E0">
              <w:rPr>
                <w:rFonts w:ascii="Times New Roman" w:hAnsi="Times New Roman"/>
                <w:i/>
                <w:szCs w:val="20"/>
              </w:rPr>
              <w:t>L</w:t>
            </w:r>
            <w:r w:rsidRPr="00BC31E0">
              <w:rPr>
                <w:rFonts w:ascii="Times New Roman" w:hAnsi="Times New Roman"/>
                <w:szCs w:val="20"/>
              </w:rPr>
              <w:t>=</w:t>
            </w:r>
            <w:r w:rsidRPr="00BC31E0">
              <w:rPr>
                <w:szCs w:val="20"/>
              </w:rPr>
              <w:t>19</w:t>
            </w:r>
            <w:r w:rsidRPr="00BC31E0">
              <w:rPr>
                <w:rFonts w:hint="eastAsia"/>
                <w:szCs w:val="20"/>
              </w:rPr>
              <w:t xml:space="preserve"> </w:t>
            </w:r>
            <w:r w:rsidRPr="00BC31E0">
              <w:rPr>
                <w:szCs w:val="20"/>
              </w:rPr>
              <w:t>mm</w:t>
            </w:r>
          </w:p>
        </w:tc>
      </w:tr>
    </w:tbl>
    <w:p w14:paraId="6E9C8B9B" w14:textId="77777777" w:rsidR="005B6E62" w:rsidRPr="00BC31E0" w:rsidRDefault="005B6E62" w:rsidP="0072734B">
      <w:pPr>
        <w:rPr>
          <w:vanish/>
        </w:rPr>
      </w:pPr>
    </w:p>
    <w:p w14:paraId="06A4A8E1" w14:textId="77777777" w:rsidR="005B6E62" w:rsidRPr="00BC31E0" w:rsidRDefault="005B6E62" w:rsidP="0072734B">
      <w:pPr>
        <w:autoSpaceDE w:val="0"/>
        <w:autoSpaceDN w:val="0"/>
        <w:jc w:val="left"/>
        <w:rPr>
          <w:szCs w:val="20"/>
        </w:rPr>
      </w:pPr>
    </w:p>
    <w:p w14:paraId="75EF850B" w14:textId="77777777" w:rsidR="005B6E62" w:rsidRPr="00BC31E0" w:rsidRDefault="005B6E62" w:rsidP="0072734B">
      <w:pPr>
        <w:autoSpaceDE w:val="0"/>
        <w:autoSpaceDN w:val="0"/>
        <w:jc w:val="left"/>
        <w:rPr>
          <w:szCs w:val="20"/>
        </w:rPr>
      </w:pPr>
    </w:p>
    <w:p w14:paraId="00CFF7E0" w14:textId="77777777" w:rsidR="005B6E62" w:rsidRPr="00BC31E0" w:rsidRDefault="005B6E62" w:rsidP="0072734B">
      <w:pPr>
        <w:autoSpaceDE w:val="0"/>
        <w:autoSpaceDN w:val="0"/>
        <w:jc w:val="left"/>
        <w:rPr>
          <w:szCs w:val="20"/>
        </w:rPr>
      </w:pPr>
    </w:p>
    <w:p w14:paraId="45651009" w14:textId="77777777" w:rsidR="005B6E62" w:rsidRPr="00BC31E0" w:rsidRDefault="005B6E62" w:rsidP="0072734B">
      <w:pPr>
        <w:autoSpaceDE w:val="0"/>
        <w:autoSpaceDN w:val="0"/>
        <w:jc w:val="left"/>
        <w:rPr>
          <w:szCs w:val="20"/>
        </w:rPr>
      </w:pPr>
    </w:p>
    <w:p w14:paraId="512503EF" w14:textId="77777777" w:rsidR="005B6E62" w:rsidRPr="00BC31E0" w:rsidRDefault="005B6E62" w:rsidP="0072734B">
      <w:pPr>
        <w:autoSpaceDE w:val="0"/>
        <w:autoSpaceDN w:val="0"/>
        <w:jc w:val="left"/>
        <w:rPr>
          <w:szCs w:val="20"/>
        </w:rPr>
      </w:pPr>
    </w:p>
    <w:p w14:paraId="1414C4E3" w14:textId="77777777" w:rsidR="005B6E62" w:rsidRPr="00BC31E0" w:rsidRDefault="005B6E62" w:rsidP="0072734B">
      <w:pPr>
        <w:jc w:val="left"/>
        <w:rPr>
          <w:szCs w:val="20"/>
        </w:rPr>
      </w:pPr>
      <w:r w:rsidRPr="00BC31E0">
        <w:rPr>
          <w:rFonts w:ascii="ＭＳ ゴシック" w:eastAsia="ＭＳ ゴシック" w:hAnsi="ＭＳ ゴシック" w:hint="eastAsia"/>
          <w:b/>
          <w:szCs w:val="20"/>
        </w:rPr>
        <w:t>注記</w:t>
      </w:r>
      <w:r w:rsidRPr="00BC31E0">
        <w:rPr>
          <w:rFonts w:ascii="ＭＳ ゴシック" w:eastAsia="ＭＳ ゴシック" w:hAnsi="ＭＳ ゴシック"/>
          <w:b/>
          <w:szCs w:val="20"/>
        </w:rPr>
        <w:t>3</w:t>
      </w:r>
      <w:r w:rsidRPr="00BC31E0">
        <w:rPr>
          <w:rFonts w:hint="eastAsia"/>
          <w:szCs w:val="20"/>
        </w:rPr>
        <w:t xml:space="preserve">　各群間の最小間隔は，隣接する群のうち大きい方の長さの</w:t>
      </w:r>
      <w:r w:rsidRPr="00BC31E0">
        <w:rPr>
          <w:rFonts w:hint="eastAsia"/>
          <w:szCs w:val="20"/>
        </w:rPr>
        <w:t>3</w:t>
      </w:r>
      <w:r w:rsidRPr="00BC31E0">
        <w:rPr>
          <w:rFonts w:hint="eastAsia"/>
          <w:szCs w:val="20"/>
        </w:rPr>
        <w:t>倍とする。</w:t>
      </w:r>
    </w:p>
    <w:p w14:paraId="7BD202DE" w14:textId="77777777" w:rsidR="005B6E62" w:rsidRPr="00BC31E0" w:rsidRDefault="005B6E62" w:rsidP="0072734B">
      <w:pPr>
        <w:autoSpaceDE w:val="0"/>
        <w:autoSpaceDN w:val="0"/>
        <w:jc w:val="left"/>
        <w:rPr>
          <w:szCs w:val="20"/>
        </w:rPr>
      </w:pPr>
    </w:p>
    <w:p w14:paraId="42C4E6A6" w14:textId="77777777" w:rsidR="005B6E62" w:rsidRPr="00BC31E0" w:rsidRDefault="005B6E62" w:rsidP="0072734B">
      <w:pPr>
        <w:autoSpaceDE w:val="0"/>
        <w:autoSpaceDN w:val="0"/>
        <w:jc w:val="center"/>
        <w:rPr>
          <w:szCs w:val="20"/>
        </w:rPr>
      </w:pPr>
      <w:r w:rsidRPr="00BC31E0">
        <w:rPr>
          <w:rFonts w:hint="eastAsia"/>
          <w:szCs w:val="20"/>
        </w:rPr>
        <w:t>(</w:t>
      </w:r>
      <w:r w:rsidRPr="00BC31E0">
        <w:rPr>
          <w:szCs w:val="20"/>
        </w:rPr>
        <w:t>b</w:t>
      </w:r>
      <w:r w:rsidRPr="00BC31E0">
        <w:rPr>
          <w:rFonts w:hint="eastAsia"/>
          <w:szCs w:val="20"/>
        </w:rPr>
        <w:t xml:space="preserve">) </w:t>
      </w:r>
      <w:r w:rsidRPr="00BC31E0">
        <w:rPr>
          <w:rFonts w:hint="eastAsia"/>
          <w:szCs w:val="20"/>
        </w:rPr>
        <w:t>並んだ円形状指示模様群の場合</w:t>
      </w:r>
    </w:p>
    <w:p w14:paraId="16D14CA4" w14:textId="77777777" w:rsidR="0072734B" w:rsidRPr="00BC31E0" w:rsidRDefault="0072734B" w:rsidP="0072734B">
      <w:pPr>
        <w:autoSpaceDE w:val="0"/>
        <w:autoSpaceDN w:val="0"/>
        <w:rPr>
          <w:szCs w:val="20"/>
        </w:rPr>
      </w:pPr>
    </w:p>
    <w:p w14:paraId="7675FD5A" w14:textId="77777777" w:rsidR="005B6E62" w:rsidRPr="00BC31E0" w:rsidRDefault="005B6E62" w:rsidP="0072734B">
      <w:pPr>
        <w:pStyle w:val="af4"/>
      </w:pPr>
      <w:r w:rsidRPr="00BC31E0">
        <w:rPr>
          <w:rFonts w:hint="eastAsia"/>
        </w:rPr>
        <w:t>図I.1　並んだ円形状指示模様の要求事項</w:t>
      </w:r>
    </w:p>
    <w:p w14:paraId="2785545E" w14:textId="77777777" w:rsidR="005B6E62" w:rsidRPr="00BC31E0" w:rsidRDefault="005B6E62" w:rsidP="0072734B">
      <w:pPr>
        <w:autoSpaceDE w:val="0"/>
        <w:autoSpaceDN w:val="0"/>
        <w:jc w:val="left"/>
        <w:rPr>
          <w:szCs w:val="20"/>
        </w:rPr>
      </w:pPr>
    </w:p>
    <w:p w14:paraId="41025890" w14:textId="77777777" w:rsidR="0072734B" w:rsidRPr="00BC31E0" w:rsidRDefault="0072734B">
      <w:pPr>
        <w:widowControl/>
        <w:jc w:val="left"/>
        <w:rPr>
          <w:szCs w:val="20"/>
        </w:rPr>
      </w:pPr>
      <w:r w:rsidRPr="00BC31E0">
        <w:rPr>
          <w:szCs w:val="20"/>
        </w:rPr>
        <w:br w:type="page"/>
      </w:r>
    </w:p>
    <w:p w14:paraId="120C71EB" w14:textId="77777777" w:rsidR="005B6E62" w:rsidRPr="00BC31E0" w:rsidRDefault="005B6E62" w:rsidP="005B6E62">
      <w:pPr>
        <w:jc w:val="center"/>
      </w:pPr>
      <w:r w:rsidRPr="00BC31E0">
        <w:rPr>
          <w:noProof/>
        </w:rPr>
        <w:lastRenderedPageBreak/>
        <w:drawing>
          <wp:inline distT="0" distB="0" distL="0" distR="0" wp14:anchorId="037A66F6" wp14:editId="09CC8C0A">
            <wp:extent cx="5436235" cy="436245"/>
            <wp:effectExtent l="19050" t="0" r="0" b="0"/>
            <wp:docPr id="1819" name="図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157" cstate="print"/>
                    <a:srcRect/>
                    <a:stretch>
                      <a:fillRect/>
                    </a:stretch>
                  </pic:blipFill>
                  <pic:spPr bwMode="auto">
                    <a:xfrm>
                      <a:off x="0" y="0"/>
                      <a:ext cx="5436235" cy="436245"/>
                    </a:xfrm>
                    <a:prstGeom prst="rect">
                      <a:avLst/>
                    </a:prstGeom>
                    <a:noFill/>
                    <a:ln w="9525">
                      <a:noFill/>
                      <a:miter lim="800000"/>
                      <a:headEnd/>
                      <a:tailEnd/>
                    </a:ln>
                  </pic:spPr>
                </pic:pic>
              </a:graphicData>
            </a:graphic>
          </wp:inline>
        </w:drawing>
      </w:r>
    </w:p>
    <w:p w14:paraId="027B038A" w14:textId="77777777" w:rsidR="005B6E62" w:rsidRPr="00BC31E0" w:rsidRDefault="005B6E62" w:rsidP="005B6E62">
      <w:pPr>
        <w:jc w:val="center"/>
        <w:rPr>
          <w:szCs w:val="20"/>
        </w:rPr>
      </w:pPr>
      <w:r w:rsidRPr="00BC31E0">
        <w:rPr>
          <w:rFonts w:hint="eastAsia"/>
          <w:szCs w:val="20"/>
        </w:rPr>
        <w:t>散在する円形状指示模様</w:t>
      </w:r>
      <w:r w:rsidRPr="00BC31E0">
        <w:rPr>
          <w:rFonts w:ascii="ＭＳ ゴシック" w:eastAsia="ＭＳ ゴシック" w:hAnsi="ＭＳ ゴシック"/>
          <w:b/>
          <w:szCs w:val="20"/>
          <w:vertAlign w:val="superscript"/>
        </w:rPr>
        <w:t>a)</w:t>
      </w:r>
    </w:p>
    <w:p w14:paraId="44437D54" w14:textId="77777777" w:rsidR="005B6E62" w:rsidRPr="00BC31E0" w:rsidRDefault="005B6E62" w:rsidP="005B6E62">
      <w:pPr>
        <w:jc w:val="left"/>
        <w:rPr>
          <w:szCs w:val="20"/>
        </w:rPr>
      </w:pPr>
    </w:p>
    <w:p w14:paraId="6C2BE232" w14:textId="77777777" w:rsidR="005B6E62" w:rsidRPr="00BC31E0" w:rsidRDefault="005B6E62" w:rsidP="005B6E62">
      <w:pPr>
        <w:jc w:val="left"/>
        <w:rPr>
          <w:szCs w:val="20"/>
        </w:rPr>
      </w:pPr>
      <w:r w:rsidRPr="00BC31E0">
        <w:rPr>
          <w:noProof/>
          <w:szCs w:val="20"/>
        </w:rPr>
        <w:drawing>
          <wp:anchor distT="0" distB="0" distL="114300" distR="114300" simplePos="0" relativeHeight="251716096" behindDoc="1" locked="0" layoutInCell="0" allowOverlap="1" wp14:anchorId="0725169B" wp14:editId="34E0E9EA">
            <wp:simplePos x="0" y="0"/>
            <wp:positionH relativeFrom="column">
              <wp:posOffset>3846195</wp:posOffset>
            </wp:positionH>
            <wp:positionV relativeFrom="paragraph">
              <wp:posOffset>363220</wp:posOffset>
            </wp:positionV>
            <wp:extent cx="1717675" cy="381635"/>
            <wp:effectExtent l="19050" t="0" r="0" b="0"/>
            <wp:wrapTight wrapText="bothSides">
              <wp:wrapPolygon edited="0">
                <wp:start x="-240" y="0"/>
                <wp:lineTo x="-240" y="20486"/>
                <wp:lineTo x="21560" y="20486"/>
                <wp:lineTo x="21560" y="0"/>
                <wp:lineTo x="-240" y="0"/>
              </wp:wrapPolygon>
            </wp:wrapTight>
            <wp:docPr id="762" name="図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5"/>
                    <pic:cNvPicPr>
                      <a:picLocks noChangeAspect="1" noChangeArrowheads="1"/>
                    </pic:cNvPicPr>
                  </pic:nvPicPr>
                  <pic:blipFill>
                    <a:blip r:embed="rId158" cstate="print"/>
                    <a:srcRect/>
                    <a:stretch>
                      <a:fillRect/>
                    </a:stretch>
                  </pic:blipFill>
                  <pic:spPr bwMode="auto">
                    <a:xfrm>
                      <a:off x="0" y="0"/>
                      <a:ext cx="1717675" cy="381635"/>
                    </a:xfrm>
                    <a:prstGeom prst="rect">
                      <a:avLst/>
                    </a:prstGeom>
                    <a:noFill/>
                    <a:ln w="9525">
                      <a:noFill/>
                      <a:miter lim="800000"/>
                      <a:headEnd/>
                      <a:tailEnd/>
                    </a:ln>
                  </pic:spPr>
                </pic:pic>
              </a:graphicData>
            </a:graphic>
          </wp:anchor>
        </w:drawing>
      </w:r>
      <w:r w:rsidRPr="00BC31E0">
        <w:rPr>
          <w:noProof/>
          <w:szCs w:val="20"/>
        </w:rPr>
        <w:drawing>
          <wp:anchor distT="0" distB="0" distL="114300" distR="114300" simplePos="0" relativeHeight="251715072" behindDoc="1" locked="0" layoutInCell="1" allowOverlap="1" wp14:anchorId="337A72ED" wp14:editId="7B97BB6C">
            <wp:simplePos x="0" y="0"/>
            <wp:positionH relativeFrom="column">
              <wp:posOffset>-20955</wp:posOffset>
            </wp:positionH>
            <wp:positionV relativeFrom="paragraph">
              <wp:posOffset>134620</wp:posOffset>
            </wp:positionV>
            <wp:extent cx="3566795" cy="720090"/>
            <wp:effectExtent l="19050" t="0" r="0" b="0"/>
            <wp:wrapTight wrapText="bothSides">
              <wp:wrapPolygon edited="0">
                <wp:start x="-115" y="0"/>
                <wp:lineTo x="-115" y="21143"/>
                <wp:lineTo x="21573" y="21143"/>
                <wp:lineTo x="21573" y="0"/>
                <wp:lineTo x="-115" y="0"/>
              </wp:wrapPolygon>
            </wp:wrapTight>
            <wp:docPr id="763" name="図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4"/>
                    <pic:cNvPicPr>
                      <a:picLocks noChangeAspect="1" noChangeArrowheads="1"/>
                    </pic:cNvPicPr>
                  </pic:nvPicPr>
                  <pic:blipFill>
                    <a:blip r:embed="rId159" cstate="print"/>
                    <a:srcRect/>
                    <a:stretch>
                      <a:fillRect/>
                    </a:stretch>
                  </pic:blipFill>
                  <pic:spPr bwMode="auto">
                    <a:xfrm>
                      <a:off x="0" y="0"/>
                      <a:ext cx="3566795" cy="720090"/>
                    </a:xfrm>
                    <a:prstGeom prst="rect">
                      <a:avLst/>
                    </a:prstGeom>
                    <a:noFill/>
                    <a:ln w="9525">
                      <a:noFill/>
                      <a:miter lim="800000"/>
                      <a:headEnd/>
                      <a:tailEnd/>
                    </a:ln>
                  </pic:spPr>
                </pic:pic>
              </a:graphicData>
            </a:graphic>
          </wp:anchor>
        </w:drawing>
      </w:r>
    </w:p>
    <w:p w14:paraId="6A919178" w14:textId="77777777" w:rsidR="005B6E62" w:rsidRPr="00BC31E0" w:rsidRDefault="005B6E62" w:rsidP="005B6E62">
      <w:pPr>
        <w:jc w:val="left"/>
        <w:rPr>
          <w:szCs w:val="20"/>
        </w:rPr>
      </w:pPr>
      <w:r w:rsidRPr="00BC31E0">
        <w:rPr>
          <w:rFonts w:hint="eastAsia"/>
          <w:szCs w:val="20"/>
        </w:rPr>
        <w:t xml:space="preserve">　　　　　　</w:t>
      </w:r>
    </w:p>
    <w:p w14:paraId="6D86ABCA" w14:textId="77777777" w:rsidR="005B6E62" w:rsidRPr="00BC31E0" w:rsidRDefault="005B6E62" w:rsidP="005B6E62">
      <w:pPr>
        <w:ind w:left="840" w:firstLine="840"/>
        <w:jc w:val="left"/>
        <w:rPr>
          <w:szCs w:val="20"/>
        </w:rPr>
      </w:pPr>
      <w:r w:rsidRPr="00BC31E0">
        <w:rPr>
          <w:rFonts w:hint="eastAsia"/>
          <w:szCs w:val="20"/>
        </w:rPr>
        <w:t xml:space="preserve">独立した指示模様　　　　　　　　　　　　　　　</w:t>
      </w:r>
      <w:r w:rsidRPr="00BC31E0">
        <w:rPr>
          <w:rFonts w:hint="eastAsia"/>
          <w:szCs w:val="20"/>
        </w:rPr>
        <w:t xml:space="preserve"> </w:t>
      </w:r>
      <w:r w:rsidRPr="00BC31E0">
        <w:rPr>
          <w:rFonts w:hint="eastAsia"/>
          <w:szCs w:val="20"/>
        </w:rPr>
        <w:t>密集した指示模様</w:t>
      </w:r>
    </w:p>
    <w:p w14:paraId="6279669B" w14:textId="77777777" w:rsidR="005B6E62" w:rsidRPr="00BC31E0" w:rsidRDefault="005B6E62" w:rsidP="005B6E62">
      <w:pPr>
        <w:jc w:val="left"/>
        <w:rPr>
          <w:rFonts w:ascii="ＭＳ ゴシック" w:eastAsia="ＭＳ ゴシック" w:hAnsi="ＭＳ ゴシック"/>
          <w:b/>
          <w:szCs w:val="20"/>
        </w:rPr>
      </w:pPr>
    </w:p>
    <w:p w14:paraId="66623CD2" w14:textId="77777777" w:rsidR="005B6E62" w:rsidRPr="00BC31E0" w:rsidRDefault="005B6E62" w:rsidP="00D0365B">
      <w:pPr>
        <w:tabs>
          <w:tab w:val="left" w:pos="851"/>
        </w:tabs>
        <w:jc w:val="left"/>
        <w:rPr>
          <w:szCs w:val="20"/>
        </w:rPr>
      </w:pPr>
      <w:r w:rsidRPr="00BC31E0">
        <w:rPr>
          <w:rFonts w:ascii="ＭＳ ゴシック" w:eastAsia="ＭＳ ゴシック" w:hAnsi="ＭＳ ゴシック"/>
          <w:b/>
          <w:szCs w:val="20"/>
        </w:rPr>
        <w:t>注</w:t>
      </w:r>
      <w:r w:rsidRPr="00BC31E0">
        <w:rPr>
          <w:rFonts w:ascii="ＭＳ ゴシック" w:eastAsia="ＭＳ ゴシック" w:hAnsi="ＭＳ ゴシック"/>
          <w:b/>
          <w:szCs w:val="20"/>
          <w:vertAlign w:val="superscript"/>
        </w:rPr>
        <w:t>a)</w:t>
      </w:r>
      <w:r w:rsidR="00D0365B" w:rsidRPr="00BC31E0">
        <w:rPr>
          <w:rFonts w:ascii="ＭＳ ゴシック" w:eastAsia="ＭＳ ゴシック" w:hAnsi="ＭＳ ゴシック" w:hint="eastAsia"/>
          <w:b/>
          <w:szCs w:val="20"/>
        </w:rPr>
        <w:tab/>
      </w:r>
      <w:r w:rsidRPr="00BC31E0">
        <w:rPr>
          <w:rFonts w:hint="eastAsia"/>
          <w:szCs w:val="20"/>
        </w:rPr>
        <w:t>150mm</w:t>
      </w:r>
      <w:r w:rsidRPr="00BC31E0">
        <w:rPr>
          <w:rFonts w:hint="eastAsia"/>
          <w:szCs w:val="20"/>
        </w:rPr>
        <w:t>の範囲における代表的な密度と許容される寸法</w:t>
      </w:r>
    </w:p>
    <w:p w14:paraId="61C42F6F" w14:textId="77777777" w:rsidR="005B6E62" w:rsidRPr="00BC31E0" w:rsidRDefault="005B6E62" w:rsidP="00D0365B">
      <w:pPr>
        <w:tabs>
          <w:tab w:val="left" w:pos="851"/>
        </w:tabs>
        <w:jc w:val="left"/>
        <w:rPr>
          <w:szCs w:val="20"/>
        </w:rPr>
      </w:pPr>
      <w:r w:rsidRPr="00BC31E0">
        <w:rPr>
          <w:rFonts w:ascii="ＭＳ ゴシック" w:eastAsia="ＭＳ ゴシック" w:hAnsi="ＭＳ ゴシック"/>
          <w:b/>
          <w:szCs w:val="20"/>
        </w:rPr>
        <w:t>注記1</w:t>
      </w:r>
      <w:r w:rsidR="00D0365B" w:rsidRPr="00BC31E0">
        <w:rPr>
          <w:rFonts w:hint="eastAsia"/>
          <w:szCs w:val="20"/>
        </w:rPr>
        <w:tab/>
      </w:r>
      <w:r w:rsidRPr="00BC31E0">
        <w:rPr>
          <w:szCs w:val="20"/>
        </w:rPr>
        <w:t>最大寸法は本体の</w:t>
      </w:r>
      <w:r w:rsidRPr="00BC31E0">
        <w:rPr>
          <w:rFonts w:ascii="ＭＳ ゴシック" w:eastAsia="ＭＳ ゴシック" w:hAnsi="ＭＳ ゴシック"/>
          <w:b/>
          <w:bCs/>
          <w:szCs w:val="20"/>
        </w:rPr>
        <w:t>表9.3.1</w:t>
      </w:r>
      <w:r w:rsidRPr="00BC31E0">
        <w:rPr>
          <w:szCs w:val="20"/>
        </w:rPr>
        <w:t>による。</w:t>
      </w:r>
    </w:p>
    <w:p w14:paraId="3E5CABC9" w14:textId="77777777" w:rsidR="005B6E62" w:rsidRPr="00BC31E0" w:rsidRDefault="005B6E62" w:rsidP="00D0365B">
      <w:pPr>
        <w:tabs>
          <w:tab w:val="left" w:pos="851"/>
        </w:tabs>
        <w:jc w:val="left"/>
        <w:rPr>
          <w:szCs w:val="20"/>
        </w:rPr>
      </w:pPr>
      <w:r w:rsidRPr="00BC31E0">
        <w:rPr>
          <w:rFonts w:ascii="ＭＳ ゴシック" w:eastAsia="ＭＳ ゴシック" w:hAnsi="ＭＳ ゴシック"/>
          <w:b/>
          <w:szCs w:val="20"/>
        </w:rPr>
        <w:t>注記2</w:t>
      </w:r>
      <w:r w:rsidR="00D0365B" w:rsidRPr="00BC31E0">
        <w:rPr>
          <w:rFonts w:hint="eastAsia"/>
          <w:szCs w:val="20"/>
        </w:rPr>
        <w:tab/>
      </w:r>
      <m:oMath>
        <m:r>
          <w:rPr>
            <w:rFonts w:ascii="Cambria Math" w:hAnsi="Cambria Math"/>
            <w:szCs w:val="20"/>
          </w:rPr>
          <m:t xml:space="preserve">t </m:t>
        </m:r>
        <m:r>
          <m:rPr>
            <m:sty m:val="p"/>
          </m:rPr>
          <w:rPr>
            <w:rFonts w:ascii="Cambria Math" w:hAnsi="Cambria Math"/>
            <w:szCs w:val="20"/>
          </w:rPr>
          <m:t xml:space="preserve"> </m:t>
        </m:r>
      </m:oMath>
      <w:r w:rsidRPr="00BC31E0">
        <w:rPr>
          <w:rFonts w:hint="eastAsia"/>
          <w:szCs w:val="20"/>
        </w:rPr>
        <w:t>が</w:t>
      </w:r>
      <w:r w:rsidRPr="00BC31E0">
        <w:rPr>
          <w:rFonts w:hint="eastAsia"/>
          <w:szCs w:val="20"/>
        </w:rPr>
        <w:t>3 mm</w:t>
      </w:r>
      <w:r w:rsidRPr="00BC31E0">
        <w:rPr>
          <w:rFonts w:hint="eastAsia"/>
          <w:szCs w:val="20"/>
        </w:rPr>
        <w:t>以上</w:t>
      </w:r>
      <w:r w:rsidRPr="00BC31E0">
        <w:rPr>
          <w:rFonts w:hint="eastAsia"/>
          <w:szCs w:val="20"/>
        </w:rPr>
        <w:t>6 mm</w:t>
      </w:r>
      <w:r w:rsidRPr="00BC31E0">
        <w:rPr>
          <w:rFonts w:hint="eastAsia"/>
          <w:szCs w:val="20"/>
        </w:rPr>
        <w:t>以下の場合の例</w:t>
      </w:r>
      <w:r w:rsidR="00006BB9" w:rsidRPr="00BC31E0">
        <w:rPr>
          <w:rFonts w:hint="eastAsia"/>
          <w:szCs w:val="20"/>
        </w:rPr>
        <w:t>を示す</w:t>
      </w:r>
      <w:r w:rsidRPr="00BC31E0">
        <w:rPr>
          <w:rFonts w:hint="eastAsia"/>
          <w:szCs w:val="20"/>
        </w:rPr>
        <w:t>。</w:t>
      </w:r>
      <m:oMath>
        <m:r>
          <w:rPr>
            <w:rFonts w:ascii="Cambria Math" w:hAnsi="Cambria Math" w:hint="eastAsia"/>
            <w:szCs w:val="20"/>
          </w:rPr>
          <m:t>t</m:t>
        </m:r>
        <m:r>
          <w:rPr>
            <w:rFonts w:ascii="Cambria Math" w:hAnsi="Cambria Math"/>
            <w:szCs w:val="20"/>
          </w:rPr>
          <m:t xml:space="preserve"> </m:t>
        </m:r>
        <m:r>
          <m:rPr>
            <m:sty m:val="p"/>
          </m:rPr>
          <w:rPr>
            <w:rFonts w:ascii="Cambria Math" w:hAnsi="Cambria Math"/>
            <w:szCs w:val="20"/>
          </w:rPr>
          <m:t xml:space="preserve"> </m:t>
        </m:r>
      </m:oMath>
      <w:r w:rsidRPr="00BC31E0">
        <w:rPr>
          <w:rFonts w:hint="eastAsia"/>
          <w:szCs w:val="20"/>
        </w:rPr>
        <w:t>が</w:t>
      </w:r>
      <w:r w:rsidRPr="00BC31E0">
        <w:rPr>
          <w:rFonts w:hint="eastAsia"/>
          <w:szCs w:val="20"/>
        </w:rPr>
        <w:t>6mm</w:t>
      </w:r>
      <w:r w:rsidRPr="00BC31E0">
        <w:rPr>
          <w:rFonts w:hint="eastAsia"/>
          <w:szCs w:val="20"/>
        </w:rPr>
        <w:t>超の場合は</w:t>
      </w:r>
      <w:r w:rsidR="00E92230" w:rsidRPr="00BC31E0">
        <w:rPr>
          <w:rFonts w:hint="eastAsia"/>
          <w:szCs w:val="20"/>
        </w:rPr>
        <w:t>次</w:t>
      </w:r>
      <w:r w:rsidRPr="00BC31E0">
        <w:rPr>
          <w:rFonts w:hint="eastAsia"/>
          <w:szCs w:val="20"/>
        </w:rPr>
        <w:t>による。</w:t>
      </w:r>
    </w:p>
    <w:p w14:paraId="04371E88" w14:textId="77777777" w:rsidR="005B6E62" w:rsidRPr="00BC31E0" w:rsidRDefault="005B6E62" w:rsidP="0072734B">
      <w:pPr>
        <w:autoSpaceDE w:val="0"/>
        <w:autoSpaceDN w:val="0"/>
        <w:jc w:val="left"/>
        <w:rPr>
          <w:szCs w:val="20"/>
        </w:rPr>
      </w:pPr>
    </w:p>
    <w:tbl>
      <w:tblPr>
        <w:tblpPr w:leftFromText="142" w:rightFromText="142" w:vertAnchor="text" w:horzAnchor="margin" w:tblpXSpec="center" w:tblpY="249"/>
        <w:tblW w:w="0" w:type="auto"/>
        <w:tblLook w:val="01E0" w:firstRow="1" w:lastRow="1" w:firstColumn="1" w:lastColumn="1" w:noHBand="0" w:noVBand="0"/>
      </w:tblPr>
      <w:tblGrid>
        <w:gridCol w:w="2650"/>
        <w:gridCol w:w="3441"/>
      </w:tblGrid>
      <w:tr w:rsidR="005B6E62" w:rsidRPr="00BC31E0" w14:paraId="15C074F2" w14:textId="77777777" w:rsidTr="004736F2">
        <w:tc>
          <w:tcPr>
            <w:tcW w:w="2650" w:type="dxa"/>
            <w:vAlign w:val="center"/>
          </w:tcPr>
          <w:p w14:paraId="519AF915" w14:textId="77777777" w:rsidR="005B6E62" w:rsidRPr="00BC31E0" w:rsidRDefault="005B6E62" w:rsidP="004736F2">
            <w:pPr>
              <w:autoSpaceDE w:val="0"/>
              <w:autoSpaceDN w:val="0"/>
              <w:jc w:val="center"/>
              <w:rPr>
                <w:rFonts w:ascii="ＭＳ 明朝" w:hAnsi="ＭＳ 明朝"/>
                <w:szCs w:val="20"/>
              </w:rPr>
            </w:pPr>
          </w:p>
        </w:tc>
        <w:tc>
          <w:tcPr>
            <w:tcW w:w="3441" w:type="dxa"/>
            <w:vAlign w:val="center"/>
          </w:tcPr>
          <w:p w14:paraId="415284E1" w14:textId="77777777" w:rsidR="005B6E62" w:rsidRPr="00BC31E0" w:rsidRDefault="005B6E62" w:rsidP="004736F2">
            <w:pPr>
              <w:autoSpaceDE w:val="0"/>
              <w:autoSpaceDN w:val="0"/>
              <w:jc w:val="center"/>
              <w:rPr>
                <w:rFonts w:ascii="ＭＳ ゴシック" w:eastAsia="ＭＳ ゴシック" w:hAnsi="ＭＳ ゴシック"/>
                <w:b/>
                <w:szCs w:val="20"/>
                <w:lang w:val="it-IT"/>
              </w:rPr>
            </w:pPr>
            <w:r w:rsidRPr="00BC31E0">
              <w:rPr>
                <w:rFonts w:ascii="ＭＳ ゴシック" w:eastAsia="ＭＳ ゴシック" w:hAnsi="ＭＳ ゴシック"/>
                <w:b/>
                <w:szCs w:val="20"/>
                <w:u w:val="single"/>
                <w:lang w:val="it-IT"/>
              </w:rPr>
              <w:t>ASME Sec.</w:t>
            </w:r>
            <w:r w:rsidRPr="00BC31E0">
              <w:rPr>
                <w:rFonts w:ascii="ＭＳ ゴシック" w:eastAsia="ＭＳ ゴシック" w:hAnsi="ＭＳ ゴシック" w:hint="eastAsia"/>
                <w:b/>
                <w:szCs w:val="20"/>
                <w:u w:val="single"/>
                <w:lang w:val="it-IT"/>
              </w:rPr>
              <w:t>VIII</w:t>
            </w:r>
            <w:r w:rsidRPr="00BC31E0">
              <w:rPr>
                <w:rFonts w:ascii="ＭＳ ゴシック" w:eastAsia="ＭＳ ゴシック" w:hAnsi="ＭＳ ゴシック"/>
                <w:b/>
                <w:szCs w:val="20"/>
                <w:u w:val="single"/>
                <w:lang w:val="it-IT"/>
              </w:rPr>
              <w:t xml:space="preserve"> Div.3 Appendix 6</w:t>
            </w:r>
          </w:p>
        </w:tc>
      </w:tr>
      <w:tr w:rsidR="005B6E62" w:rsidRPr="00BC31E0" w14:paraId="5819EA7A" w14:textId="77777777" w:rsidTr="004736F2">
        <w:tc>
          <w:tcPr>
            <w:tcW w:w="2650" w:type="dxa"/>
            <w:vAlign w:val="center"/>
          </w:tcPr>
          <w:p w14:paraId="13532D27" w14:textId="77777777" w:rsidR="005B6E62" w:rsidRPr="00BC31E0" w:rsidRDefault="005B6E62" w:rsidP="004736F2">
            <w:pPr>
              <w:autoSpaceDE w:val="0"/>
              <w:autoSpaceDN w:val="0"/>
              <w:jc w:val="center"/>
              <w:rPr>
                <w:rFonts w:ascii="ＭＳ 明朝" w:hAnsi="ＭＳ 明朝"/>
                <w:szCs w:val="20"/>
                <w:u w:val="single"/>
              </w:rPr>
            </w:pPr>
            <w:r w:rsidRPr="00BC31E0">
              <w:rPr>
                <w:rFonts w:ascii="ＭＳ 明朝" w:hAnsi="ＭＳ 明朝" w:hint="eastAsia"/>
                <w:szCs w:val="20"/>
                <w:u w:val="single"/>
              </w:rPr>
              <w:t>溶接厚さ</w:t>
            </w:r>
            <m:oMath>
              <m:r>
                <m:rPr>
                  <m:sty m:val="p"/>
                </m:rPr>
                <w:rPr>
                  <w:rFonts w:ascii="Cambria Math" w:hAnsi="Cambria Math"/>
                  <w:szCs w:val="20"/>
                  <w:u w:val="single"/>
                </w:rPr>
                <m:t xml:space="preserve"> </m:t>
              </m:r>
              <m:r>
                <w:rPr>
                  <w:rFonts w:ascii="Cambria Math" w:hAnsi="Cambria Math"/>
                  <w:szCs w:val="20"/>
                  <w:u w:val="single"/>
                </w:rPr>
                <m:t>t</m:t>
              </m:r>
            </m:oMath>
          </w:p>
        </w:tc>
        <w:tc>
          <w:tcPr>
            <w:tcW w:w="3441" w:type="dxa"/>
            <w:vAlign w:val="center"/>
          </w:tcPr>
          <w:p w14:paraId="78F7DE59" w14:textId="77777777" w:rsidR="005B6E62" w:rsidRPr="00BC31E0" w:rsidRDefault="005B6E62" w:rsidP="0096566C">
            <w:pPr>
              <w:autoSpaceDE w:val="0"/>
              <w:autoSpaceDN w:val="0"/>
              <w:jc w:val="center"/>
              <w:rPr>
                <w:rFonts w:ascii="ＭＳ 明朝" w:hAnsi="ＭＳ 明朝"/>
                <w:szCs w:val="20"/>
              </w:rPr>
            </w:pPr>
            <w:r w:rsidRPr="00BC31E0">
              <w:rPr>
                <w:rFonts w:ascii="ＭＳ 明朝" w:hAnsi="ＭＳ 明朝" w:hint="eastAsia"/>
                <w:szCs w:val="20"/>
                <w:u w:val="single"/>
              </w:rPr>
              <w:t>における許容される例</w:t>
            </w:r>
          </w:p>
        </w:tc>
      </w:tr>
      <w:tr w:rsidR="005B6E62" w:rsidRPr="00BC31E0" w14:paraId="2E9A8557" w14:textId="77777777" w:rsidTr="004736F2">
        <w:tc>
          <w:tcPr>
            <w:tcW w:w="2650" w:type="dxa"/>
            <w:vAlign w:val="center"/>
          </w:tcPr>
          <w:p w14:paraId="754524C1" w14:textId="77777777" w:rsidR="005B6E62" w:rsidRPr="00BC31E0" w:rsidRDefault="005B6E62" w:rsidP="004736F2">
            <w:pPr>
              <w:autoSpaceDE w:val="0"/>
              <w:autoSpaceDN w:val="0"/>
              <w:ind w:firstLineChars="100" w:firstLine="210"/>
              <w:jc w:val="left"/>
              <w:rPr>
                <w:rFonts w:ascii="Cambria Math" w:hAnsi="Cambria Math"/>
                <w:szCs w:val="20"/>
              </w:rPr>
            </w:pPr>
            <w:r w:rsidRPr="00BC31E0">
              <w:rPr>
                <w:rFonts w:ascii="Cambria Math" w:hAnsi="Cambria Math"/>
                <w:szCs w:val="20"/>
              </w:rPr>
              <w:t>3 mm</w:t>
            </w:r>
            <w:r w:rsidRPr="00BC31E0">
              <w:rPr>
                <w:rFonts w:ascii="Cambria Math" w:hAnsi="Cambria Math"/>
                <w:szCs w:val="20"/>
              </w:rPr>
              <w:t>以上</w:t>
            </w:r>
            <w:r w:rsidRPr="00BC31E0">
              <w:rPr>
                <w:rFonts w:ascii="Cambria Math" w:hAnsi="Cambria Math" w:hint="eastAsia"/>
                <w:szCs w:val="20"/>
              </w:rPr>
              <w:t xml:space="preserve">  </w:t>
            </w:r>
            <w:r w:rsidRPr="00BC31E0">
              <w:rPr>
                <w:rFonts w:ascii="Cambria Math" w:hAnsi="Cambria Math"/>
                <w:szCs w:val="20"/>
              </w:rPr>
              <w:t>6 mm</w:t>
            </w:r>
            <w:r w:rsidRPr="00BC31E0">
              <w:rPr>
                <w:rFonts w:ascii="Cambria Math" w:hAnsi="Cambria Math"/>
                <w:szCs w:val="20"/>
              </w:rPr>
              <w:t>以下</w:t>
            </w:r>
          </w:p>
        </w:tc>
        <w:tc>
          <w:tcPr>
            <w:tcW w:w="3441" w:type="dxa"/>
            <w:vAlign w:val="center"/>
          </w:tcPr>
          <w:p w14:paraId="78A00987" w14:textId="77777777" w:rsidR="005B6E62" w:rsidRPr="00BC31E0" w:rsidRDefault="005B6E62" w:rsidP="004736F2">
            <w:pPr>
              <w:autoSpaceDE w:val="0"/>
              <w:autoSpaceDN w:val="0"/>
              <w:jc w:val="center"/>
              <w:rPr>
                <w:rFonts w:asciiTheme="majorEastAsia" w:eastAsiaTheme="majorEastAsia" w:hAnsiTheme="majorEastAsia"/>
                <w:b/>
                <w:szCs w:val="20"/>
              </w:rPr>
            </w:pPr>
            <w:r w:rsidRPr="00BC31E0">
              <w:rPr>
                <w:rFonts w:asciiTheme="majorEastAsia" w:eastAsiaTheme="majorEastAsia" w:hAnsiTheme="majorEastAsia"/>
                <w:b/>
                <w:szCs w:val="20"/>
              </w:rPr>
              <w:t>FIG.</w:t>
            </w:r>
            <w:r w:rsidRPr="00BC31E0">
              <w:rPr>
                <w:rFonts w:asciiTheme="majorEastAsia" w:eastAsiaTheme="majorEastAsia" w:hAnsiTheme="majorEastAsia" w:hint="eastAsia"/>
                <w:b/>
                <w:szCs w:val="20"/>
              </w:rPr>
              <w:t xml:space="preserve"> </w:t>
            </w:r>
            <w:r w:rsidRPr="00BC31E0">
              <w:rPr>
                <w:rFonts w:asciiTheme="majorEastAsia" w:eastAsiaTheme="majorEastAsia" w:hAnsiTheme="majorEastAsia"/>
                <w:b/>
                <w:szCs w:val="20"/>
              </w:rPr>
              <w:t>6-3.1</w:t>
            </w:r>
          </w:p>
        </w:tc>
      </w:tr>
      <w:tr w:rsidR="005B6E62" w:rsidRPr="00BC31E0" w14:paraId="69DBACA8" w14:textId="77777777" w:rsidTr="004736F2">
        <w:tc>
          <w:tcPr>
            <w:tcW w:w="2650" w:type="dxa"/>
            <w:vAlign w:val="center"/>
          </w:tcPr>
          <w:p w14:paraId="78FA39D6" w14:textId="77777777" w:rsidR="005B6E62" w:rsidRPr="00BC31E0" w:rsidRDefault="005B6E62" w:rsidP="004736F2">
            <w:pPr>
              <w:autoSpaceDE w:val="0"/>
              <w:autoSpaceDN w:val="0"/>
              <w:ind w:firstLineChars="100" w:firstLine="210"/>
              <w:jc w:val="left"/>
              <w:rPr>
                <w:rFonts w:ascii="Cambria Math" w:hAnsi="Cambria Math"/>
                <w:szCs w:val="20"/>
              </w:rPr>
            </w:pPr>
            <w:r w:rsidRPr="00BC31E0">
              <w:rPr>
                <w:rFonts w:ascii="Cambria Math" w:hAnsi="Cambria Math"/>
                <w:szCs w:val="20"/>
              </w:rPr>
              <w:t>6 mm</w:t>
            </w:r>
            <w:r w:rsidRPr="00BC31E0">
              <w:rPr>
                <w:rFonts w:ascii="Cambria Math" w:hAnsi="Cambria Math"/>
                <w:szCs w:val="20"/>
              </w:rPr>
              <w:t>超</w:t>
            </w:r>
            <w:r w:rsidRPr="00BC31E0">
              <w:rPr>
                <w:rFonts w:ascii="Cambria Math" w:hAnsi="Cambria Math" w:hint="eastAsia"/>
                <w:szCs w:val="20"/>
              </w:rPr>
              <w:t xml:space="preserve">   </w:t>
            </w:r>
            <w:r w:rsidRPr="00BC31E0">
              <w:rPr>
                <w:rFonts w:ascii="Cambria Math" w:hAnsi="Cambria Math"/>
                <w:szCs w:val="20"/>
              </w:rPr>
              <w:t>10 mm</w:t>
            </w:r>
            <w:r w:rsidRPr="00BC31E0">
              <w:rPr>
                <w:rFonts w:ascii="Cambria Math" w:hAnsi="Cambria Math"/>
                <w:szCs w:val="20"/>
              </w:rPr>
              <w:t>以下</w:t>
            </w:r>
          </w:p>
        </w:tc>
        <w:tc>
          <w:tcPr>
            <w:tcW w:w="3441" w:type="dxa"/>
            <w:vAlign w:val="center"/>
          </w:tcPr>
          <w:p w14:paraId="3289C1C7" w14:textId="77777777" w:rsidR="005B6E62" w:rsidRPr="00BC31E0" w:rsidRDefault="005B6E62" w:rsidP="004736F2">
            <w:pPr>
              <w:autoSpaceDE w:val="0"/>
              <w:autoSpaceDN w:val="0"/>
              <w:jc w:val="center"/>
              <w:rPr>
                <w:rFonts w:asciiTheme="majorEastAsia" w:eastAsiaTheme="majorEastAsia" w:hAnsiTheme="majorEastAsia"/>
                <w:b/>
                <w:szCs w:val="20"/>
              </w:rPr>
            </w:pPr>
            <w:r w:rsidRPr="00BC31E0">
              <w:rPr>
                <w:rFonts w:asciiTheme="majorEastAsia" w:eastAsiaTheme="majorEastAsia" w:hAnsiTheme="majorEastAsia"/>
                <w:b/>
                <w:szCs w:val="20"/>
              </w:rPr>
              <w:t>FIG.</w:t>
            </w:r>
            <w:r w:rsidRPr="00BC31E0">
              <w:rPr>
                <w:rFonts w:asciiTheme="majorEastAsia" w:eastAsiaTheme="majorEastAsia" w:hAnsiTheme="majorEastAsia" w:hint="eastAsia"/>
                <w:b/>
                <w:szCs w:val="20"/>
              </w:rPr>
              <w:t xml:space="preserve"> </w:t>
            </w:r>
            <w:r w:rsidRPr="00BC31E0">
              <w:rPr>
                <w:rFonts w:asciiTheme="majorEastAsia" w:eastAsiaTheme="majorEastAsia" w:hAnsiTheme="majorEastAsia"/>
                <w:b/>
                <w:szCs w:val="20"/>
              </w:rPr>
              <w:t>6-3.2</w:t>
            </w:r>
          </w:p>
        </w:tc>
      </w:tr>
      <w:tr w:rsidR="005B6E62" w:rsidRPr="00BC31E0" w14:paraId="1659AC37" w14:textId="77777777" w:rsidTr="004736F2">
        <w:tc>
          <w:tcPr>
            <w:tcW w:w="2650" w:type="dxa"/>
            <w:vAlign w:val="center"/>
          </w:tcPr>
          <w:p w14:paraId="2B7BA02B" w14:textId="77777777" w:rsidR="005B6E62" w:rsidRPr="00BC31E0" w:rsidRDefault="005B6E62" w:rsidP="004736F2">
            <w:pPr>
              <w:autoSpaceDE w:val="0"/>
              <w:autoSpaceDN w:val="0"/>
              <w:ind w:firstLineChars="50" w:firstLine="105"/>
              <w:jc w:val="left"/>
              <w:rPr>
                <w:rFonts w:ascii="Cambria Math" w:hAnsi="Cambria Math"/>
                <w:szCs w:val="20"/>
              </w:rPr>
            </w:pPr>
            <w:r w:rsidRPr="00BC31E0">
              <w:rPr>
                <w:rFonts w:ascii="Cambria Math" w:hAnsi="Cambria Math"/>
                <w:szCs w:val="20"/>
              </w:rPr>
              <w:t>10 mm</w:t>
            </w:r>
            <w:r w:rsidRPr="00BC31E0">
              <w:rPr>
                <w:rFonts w:ascii="Cambria Math" w:hAnsi="Cambria Math"/>
                <w:szCs w:val="20"/>
              </w:rPr>
              <w:t>超</w:t>
            </w:r>
            <w:r w:rsidRPr="00BC31E0">
              <w:rPr>
                <w:rFonts w:ascii="Cambria Math" w:hAnsi="Cambria Math" w:hint="eastAsia"/>
                <w:szCs w:val="20"/>
              </w:rPr>
              <w:t xml:space="preserve">   </w:t>
            </w:r>
            <w:r w:rsidRPr="00BC31E0">
              <w:rPr>
                <w:rFonts w:ascii="Cambria Math" w:hAnsi="Cambria Math"/>
                <w:szCs w:val="20"/>
              </w:rPr>
              <w:t>19 mm</w:t>
            </w:r>
            <w:r w:rsidRPr="00BC31E0">
              <w:rPr>
                <w:rFonts w:ascii="Cambria Math" w:hAnsi="Cambria Math"/>
                <w:szCs w:val="20"/>
              </w:rPr>
              <w:t>以下</w:t>
            </w:r>
          </w:p>
        </w:tc>
        <w:tc>
          <w:tcPr>
            <w:tcW w:w="3441" w:type="dxa"/>
            <w:vAlign w:val="center"/>
          </w:tcPr>
          <w:p w14:paraId="40BC641E" w14:textId="77777777" w:rsidR="005B6E62" w:rsidRPr="00BC31E0" w:rsidRDefault="005B6E62" w:rsidP="004736F2">
            <w:pPr>
              <w:autoSpaceDE w:val="0"/>
              <w:autoSpaceDN w:val="0"/>
              <w:jc w:val="center"/>
              <w:rPr>
                <w:rFonts w:asciiTheme="majorEastAsia" w:eastAsiaTheme="majorEastAsia" w:hAnsiTheme="majorEastAsia"/>
                <w:b/>
                <w:szCs w:val="20"/>
              </w:rPr>
            </w:pPr>
            <w:r w:rsidRPr="00BC31E0">
              <w:rPr>
                <w:rFonts w:asciiTheme="majorEastAsia" w:eastAsiaTheme="majorEastAsia" w:hAnsiTheme="majorEastAsia"/>
                <w:b/>
                <w:szCs w:val="20"/>
              </w:rPr>
              <w:t>FIG.</w:t>
            </w:r>
            <w:r w:rsidRPr="00BC31E0">
              <w:rPr>
                <w:rFonts w:asciiTheme="majorEastAsia" w:eastAsiaTheme="majorEastAsia" w:hAnsiTheme="majorEastAsia" w:hint="eastAsia"/>
                <w:b/>
                <w:szCs w:val="20"/>
              </w:rPr>
              <w:t xml:space="preserve"> </w:t>
            </w:r>
            <w:r w:rsidRPr="00BC31E0">
              <w:rPr>
                <w:rFonts w:asciiTheme="majorEastAsia" w:eastAsiaTheme="majorEastAsia" w:hAnsiTheme="majorEastAsia"/>
                <w:b/>
                <w:szCs w:val="20"/>
              </w:rPr>
              <w:t>6-3.3</w:t>
            </w:r>
          </w:p>
        </w:tc>
      </w:tr>
      <w:tr w:rsidR="005B6E62" w:rsidRPr="00BC31E0" w14:paraId="799211DE" w14:textId="77777777" w:rsidTr="004736F2">
        <w:tc>
          <w:tcPr>
            <w:tcW w:w="2650" w:type="dxa"/>
            <w:vAlign w:val="center"/>
          </w:tcPr>
          <w:p w14:paraId="0930813E" w14:textId="77777777" w:rsidR="005B6E62" w:rsidRPr="00BC31E0" w:rsidRDefault="005B6E62" w:rsidP="004736F2">
            <w:pPr>
              <w:autoSpaceDE w:val="0"/>
              <w:autoSpaceDN w:val="0"/>
              <w:ind w:firstLineChars="50" w:firstLine="105"/>
              <w:jc w:val="left"/>
              <w:rPr>
                <w:rFonts w:ascii="Cambria Math" w:hAnsi="Cambria Math"/>
                <w:szCs w:val="20"/>
              </w:rPr>
            </w:pPr>
            <w:r w:rsidRPr="00BC31E0">
              <w:rPr>
                <w:rFonts w:ascii="Cambria Math" w:hAnsi="Cambria Math"/>
                <w:szCs w:val="20"/>
              </w:rPr>
              <w:t>19 mm</w:t>
            </w:r>
            <w:r w:rsidRPr="00BC31E0">
              <w:rPr>
                <w:rFonts w:ascii="Cambria Math" w:hAnsi="Cambria Math"/>
                <w:szCs w:val="20"/>
              </w:rPr>
              <w:t>超</w:t>
            </w:r>
            <w:r w:rsidRPr="00BC31E0">
              <w:rPr>
                <w:rFonts w:ascii="Cambria Math" w:hAnsi="Cambria Math" w:hint="eastAsia"/>
                <w:szCs w:val="20"/>
              </w:rPr>
              <w:t xml:space="preserve">   </w:t>
            </w:r>
            <w:r w:rsidRPr="00BC31E0">
              <w:rPr>
                <w:rFonts w:ascii="Cambria Math" w:hAnsi="Cambria Math"/>
                <w:szCs w:val="20"/>
              </w:rPr>
              <w:t>50 mm</w:t>
            </w:r>
            <w:r w:rsidRPr="00BC31E0">
              <w:rPr>
                <w:rFonts w:ascii="Cambria Math" w:hAnsi="Cambria Math"/>
                <w:szCs w:val="20"/>
              </w:rPr>
              <w:t>以下</w:t>
            </w:r>
          </w:p>
        </w:tc>
        <w:tc>
          <w:tcPr>
            <w:tcW w:w="3441" w:type="dxa"/>
            <w:vAlign w:val="center"/>
          </w:tcPr>
          <w:p w14:paraId="24DAD109" w14:textId="77777777" w:rsidR="005B6E62" w:rsidRPr="00BC31E0" w:rsidRDefault="005B6E62" w:rsidP="004736F2">
            <w:pPr>
              <w:autoSpaceDE w:val="0"/>
              <w:autoSpaceDN w:val="0"/>
              <w:jc w:val="center"/>
              <w:rPr>
                <w:rFonts w:asciiTheme="majorEastAsia" w:eastAsiaTheme="majorEastAsia" w:hAnsiTheme="majorEastAsia"/>
                <w:b/>
                <w:szCs w:val="20"/>
              </w:rPr>
            </w:pPr>
            <w:r w:rsidRPr="00BC31E0">
              <w:rPr>
                <w:rFonts w:asciiTheme="majorEastAsia" w:eastAsiaTheme="majorEastAsia" w:hAnsiTheme="majorEastAsia"/>
                <w:b/>
                <w:szCs w:val="20"/>
              </w:rPr>
              <w:t>FIG.</w:t>
            </w:r>
            <w:r w:rsidRPr="00BC31E0">
              <w:rPr>
                <w:rFonts w:asciiTheme="majorEastAsia" w:eastAsiaTheme="majorEastAsia" w:hAnsiTheme="majorEastAsia" w:hint="eastAsia"/>
                <w:b/>
                <w:szCs w:val="20"/>
              </w:rPr>
              <w:t xml:space="preserve"> </w:t>
            </w:r>
            <w:r w:rsidRPr="00BC31E0">
              <w:rPr>
                <w:rFonts w:asciiTheme="majorEastAsia" w:eastAsiaTheme="majorEastAsia" w:hAnsiTheme="majorEastAsia"/>
                <w:b/>
                <w:szCs w:val="20"/>
              </w:rPr>
              <w:t>6-3.4</w:t>
            </w:r>
          </w:p>
        </w:tc>
      </w:tr>
      <w:tr w:rsidR="005B6E62" w:rsidRPr="00BC31E0" w14:paraId="338E35B3" w14:textId="77777777" w:rsidTr="004736F2">
        <w:tc>
          <w:tcPr>
            <w:tcW w:w="2650" w:type="dxa"/>
            <w:vAlign w:val="center"/>
          </w:tcPr>
          <w:p w14:paraId="73C47C6A" w14:textId="77777777" w:rsidR="005B6E62" w:rsidRPr="00BC31E0" w:rsidRDefault="005B6E62" w:rsidP="004736F2">
            <w:pPr>
              <w:autoSpaceDE w:val="0"/>
              <w:autoSpaceDN w:val="0"/>
              <w:ind w:firstLineChars="50" w:firstLine="105"/>
              <w:jc w:val="left"/>
              <w:rPr>
                <w:rFonts w:ascii="Cambria Math" w:hAnsi="Cambria Math"/>
                <w:szCs w:val="20"/>
              </w:rPr>
            </w:pPr>
            <w:r w:rsidRPr="00BC31E0">
              <w:rPr>
                <w:rFonts w:ascii="Cambria Math" w:hAnsi="Cambria Math"/>
                <w:szCs w:val="20"/>
              </w:rPr>
              <w:t>50 mm</w:t>
            </w:r>
            <w:r w:rsidRPr="00BC31E0">
              <w:rPr>
                <w:rFonts w:ascii="Cambria Math"/>
                <w:szCs w:val="20"/>
              </w:rPr>
              <w:t>超</w:t>
            </w:r>
            <w:r w:rsidRPr="00BC31E0">
              <w:rPr>
                <w:rFonts w:ascii="Cambria Math" w:hint="eastAsia"/>
                <w:szCs w:val="20"/>
              </w:rPr>
              <w:t xml:space="preserve">  </w:t>
            </w:r>
            <w:r w:rsidRPr="00BC31E0">
              <w:rPr>
                <w:rFonts w:ascii="Cambria Math" w:hAnsi="Cambria Math"/>
                <w:szCs w:val="20"/>
              </w:rPr>
              <w:t>100 mm</w:t>
            </w:r>
            <w:r w:rsidRPr="00BC31E0">
              <w:rPr>
                <w:rFonts w:ascii="Cambria Math"/>
                <w:szCs w:val="20"/>
              </w:rPr>
              <w:t>以下</w:t>
            </w:r>
          </w:p>
        </w:tc>
        <w:tc>
          <w:tcPr>
            <w:tcW w:w="3441" w:type="dxa"/>
            <w:vAlign w:val="center"/>
          </w:tcPr>
          <w:p w14:paraId="53E5D7A2" w14:textId="77777777" w:rsidR="005B6E62" w:rsidRPr="00BC31E0" w:rsidRDefault="005B6E62" w:rsidP="004736F2">
            <w:pPr>
              <w:autoSpaceDE w:val="0"/>
              <w:autoSpaceDN w:val="0"/>
              <w:jc w:val="center"/>
              <w:rPr>
                <w:rFonts w:asciiTheme="majorEastAsia" w:eastAsiaTheme="majorEastAsia" w:hAnsiTheme="majorEastAsia"/>
                <w:b/>
                <w:szCs w:val="20"/>
              </w:rPr>
            </w:pPr>
            <w:r w:rsidRPr="00BC31E0">
              <w:rPr>
                <w:rFonts w:asciiTheme="majorEastAsia" w:eastAsiaTheme="majorEastAsia" w:hAnsiTheme="majorEastAsia"/>
                <w:b/>
                <w:szCs w:val="20"/>
              </w:rPr>
              <w:t>FIG.</w:t>
            </w:r>
            <w:r w:rsidRPr="00BC31E0">
              <w:rPr>
                <w:rFonts w:asciiTheme="majorEastAsia" w:eastAsiaTheme="majorEastAsia" w:hAnsiTheme="majorEastAsia" w:hint="eastAsia"/>
                <w:b/>
                <w:szCs w:val="20"/>
              </w:rPr>
              <w:t xml:space="preserve"> </w:t>
            </w:r>
            <w:r w:rsidRPr="00BC31E0">
              <w:rPr>
                <w:rFonts w:asciiTheme="majorEastAsia" w:eastAsiaTheme="majorEastAsia" w:hAnsiTheme="majorEastAsia"/>
                <w:b/>
                <w:szCs w:val="20"/>
              </w:rPr>
              <w:t>6-3.5</w:t>
            </w:r>
          </w:p>
        </w:tc>
      </w:tr>
      <w:tr w:rsidR="005B6E62" w:rsidRPr="00BC31E0" w14:paraId="6DA09DE9" w14:textId="77777777" w:rsidTr="004736F2">
        <w:tc>
          <w:tcPr>
            <w:tcW w:w="2650" w:type="dxa"/>
            <w:vAlign w:val="center"/>
          </w:tcPr>
          <w:p w14:paraId="71AED151" w14:textId="77777777" w:rsidR="005B6E62" w:rsidRPr="00BC31E0" w:rsidRDefault="005B6E62" w:rsidP="004736F2">
            <w:pPr>
              <w:autoSpaceDE w:val="0"/>
              <w:autoSpaceDN w:val="0"/>
              <w:jc w:val="left"/>
              <w:rPr>
                <w:rFonts w:ascii="Cambria Math" w:hAnsi="Cambria Math"/>
                <w:szCs w:val="20"/>
              </w:rPr>
            </w:pPr>
            <w:r w:rsidRPr="00BC31E0">
              <w:rPr>
                <w:rFonts w:ascii="Cambria Math" w:hAnsi="Cambria Math"/>
                <w:szCs w:val="20"/>
              </w:rPr>
              <w:t>100 mm</w:t>
            </w:r>
            <w:r w:rsidRPr="00BC31E0">
              <w:rPr>
                <w:rFonts w:ascii="Cambria Math" w:hAnsi="Cambria Math"/>
                <w:szCs w:val="20"/>
              </w:rPr>
              <w:t>超</w:t>
            </w:r>
          </w:p>
        </w:tc>
        <w:tc>
          <w:tcPr>
            <w:tcW w:w="3441" w:type="dxa"/>
            <w:vAlign w:val="center"/>
          </w:tcPr>
          <w:p w14:paraId="5AA10098" w14:textId="77777777" w:rsidR="005B6E62" w:rsidRPr="00BC31E0" w:rsidRDefault="005B6E62" w:rsidP="004736F2">
            <w:pPr>
              <w:autoSpaceDE w:val="0"/>
              <w:autoSpaceDN w:val="0"/>
              <w:jc w:val="center"/>
              <w:rPr>
                <w:rFonts w:asciiTheme="majorEastAsia" w:eastAsiaTheme="majorEastAsia" w:hAnsiTheme="majorEastAsia"/>
                <w:b/>
                <w:szCs w:val="20"/>
              </w:rPr>
            </w:pPr>
            <w:r w:rsidRPr="00BC31E0">
              <w:rPr>
                <w:rFonts w:asciiTheme="majorEastAsia" w:eastAsiaTheme="majorEastAsia" w:hAnsiTheme="majorEastAsia"/>
                <w:b/>
                <w:szCs w:val="20"/>
              </w:rPr>
              <w:t>FIG.</w:t>
            </w:r>
            <w:r w:rsidRPr="00BC31E0">
              <w:rPr>
                <w:rFonts w:asciiTheme="majorEastAsia" w:eastAsiaTheme="majorEastAsia" w:hAnsiTheme="majorEastAsia" w:hint="eastAsia"/>
                <w:b/>
                <w:szCs w:val="20"/>
              </w:rPr>
              <w:t xml:space="preserve"> </w:t>
            </w:r>
            <w:r w:rsidRPr="00BC31E0">
              <w:rPr>
                <w:rFonts w:asciiTheme="majorEastAsia" w:eastAsiaTheme="majorEastAsia" w:hAnsiTheme="majorEastAsia"/>
                <w:b/>
                <w:szCs w:val="20"/>
              </w:rPr>
              <w:t>6-3.6</w:t>
            </w:r>
          </w:p>
        </w:tc>
      </w:tr>
    </w:tbl>
    <w:p w14:paraId="45D6D38D" w14:textId="77777777" w:rsidR="005B6E62" w:rsidRPr="00BC31E0" w:rsidRDefault="005B6E62" w:rsidP="005B6E62">
      <w:pPr>
        <w:autoSpaceDE w:val="0"/>
        <w:autoSpaceDN w:val="0"/>
        <w:jc w:val="left"/>
        <w:rPr>
          <w:szCs w:val="20"/>
          <w:u w:val="single"/>
        </w:rPr>
      </w:pPr>
      <w:r w:rsidRPr="00BC31E0">
        <w:rPr>
          <w:rFonts w:hint="eastAsia"/>
          <w:szCs w:val="20"/>
        </w:rPr>
        <w:t xml:space="preserve">　　　　　　　　　　　　　　　　　　</w:t>
      </w:r>
      <w:r w:rsidRPr="00BC31E0">
        <w:rPr>
          <w:rFonts w:hint="eastAsia"/>
          <w:szCs w:val="20"/>
        </w:rPr>
        <w:t xml:space="preserve"> </w:t>
      </w:r>
    </w:p>
    <w:p w14:paraId="5D7EB53E" w14:textId="77777777" w:rsidR="005B6E62" w:rsidRPr="00BC31E0" w:rsidRDefault="005B6E62" w:rsidP="005B6E62">
      <w:pPr>
        <w:autoSpaceDE w:val="0"/>
        <w:autoSpaceDN w:val="0"/>
        <w:jc w:val="left"/>
        <w:rPr>
          <w:szCs w:val="20"/>
        </w:rPr>
      </w:pPr>
      <w:r w:rsidRPr="00BC31E0">
        <w:rPr>
          <w:rFonts w:hint="eastAsia"/>
          <w:szCs w:val="20"/>
        </w:rPr>
        <w:t xml:space="preserve">　　　</w:t>
      </w:r>
      <w:r w:rsidRPr="00BC31E0">
        <w:rPr>
          <w:rFonts w:hint="eastAsia"/>
          <w:szCs w:val="20"/>
        </w:rPr>
        <w:t xml:space="preserve">                      </w:t>
      </w:r>
    </w:p>
    <w:p w14:paraId="60FBF060" w14:textId="77777777" w:rsidR="005B6E62" w:rsidRPr="00BC31E0" w:rsidRDefault="005B6E62" w:rsidP="005B6E62">
      <w:pPr>
        <w:autoSpaceDE w:val="0"/>
        <w:autoSpaceDN w:val="0"/>
        <w:jc w:val="left"/>
        <w:rPr>
          <w:szCs w:val="20"/>
        </w:rPr>
      </w:pPr>
      <w:r w:rsidRPr="00BC31E0">
        <w:rPr>
          <w:rFonts w:hint="eastAsia"/>
          <w:szCs w:val="20"/>
        </w:rPr>
        <w:t xml:space="preserve">  </w:t>
      </w:r>
      <w:r w:rsidRPr="00BC31E0">
        <w:rPr>
          <w:rFonts w:hint="eastAsia"/>
          <w:szCs w:val="20"/>
        </w:rPr>
        <w:t xml:space="preserve">　　　</w:t>
      </w:r>
      <w:r w:rsidRPr="00BC31E0">
        <w:rPr>
          <w:rFonts w:hint="eastAsia"/>
          <w:szCs w:val="20"/>
        </w:rPr>
        <w:t xml:space="preserve"> </w:t>
      </w:r>
      <w:r w:rsidRPr="00BC31E0">
        <w:rPr>
          <w:rFonts w:hint="eastAsia"/>
          <w:szCs w:val="20"/>
        </w:rPr>
        <w:t xml:space="preserve">　　　　　　　　</w:t>
      </w:r>
    </w:p>
    <w:p w14:paraId="3C417F72" w14:textId="77777777" w:rsidR="005B6E62" w:rsidRPr="00BC31E0" w:rsidRDefault="005B6E62" w:rsidP="005B6E62">
      <w:pPr>
        <w:autoSpaceDE w:val="0"/>
        <w:autoSpaceDN w:val="0"/>
        <w:jc w:val="left"/>
        <w:rPr>
          <w:szCs w:val="20"/>
        </w:rPr>
      </w:pPr>
      <w:r w:rsidRPr="00BC31E0">
        <w:rPr>
          <w:rFonts w:hint="eastAsia"/>
          <w:szCs w:val="20"/>
        </w:rPr>
        <w:t xml:space="preserve">  </w:t>
      </w:r>
      <w:r w:rsidRPr="00BC31E0">
        <w:rPr>
          <w:rFonts w:hint="eastAsia"/>
          <w:szCs w:val="20"/>
        </w:rPr>
        <w:t xml:space="preserve">　　　</w:t>
      </w:r>
      <w:r w:rsidRPr="00BC31E0">
        <w:rPr>
          <w:rFonts w:hint="eastAsia"/>
          <w:szCs w:val="20"/>
        </w:rPr>
        <w:t xml:space="preserve">                  </w:t>
      </w:r>
    </w:p>
    <w:p w14:paraId="37C319D2" w14:textId="77777777" w:rsidR="005B6E62" w:rsidRPr="00BC31E0" w:rsidRDefault="005B6E62" w:rsidP="005B6E62">
      <w:pPr>
        <w:autoSpaceDE w:val="0"/>
        <w:autoSpaceDN w:val="0"/>
        <w:jc w:val="left"/>
        <w:rPr>
          <w:szCs w:val="20"/>
        </w:rPr>
      </w:pPr>
      <w:r w:rsidRPr="00BC31E0">
        <w:rPr>
          <w:rFonts w:hint="eastAsia"/>
          <w:szCs w:val="20"/>
        </w:rPr>
        <w:t xml:space="preserve"> </w:t>
      </w:r>
      <w:r w:rsidRPr="00BC31E0">
        <w:rPr>
          <w:rFonts w:hint="eastAsia"/>
          <w:szCs w:val="20"/>
        </w:rPr>
        <w:t xml:space="preserve">　　　</w:t>
      </w:r>
      <w:r w:rsidRPr="00BC31E0">
        <w:rPr>
          <w:rFonts w:hint="eastAsia"/>
          <w:szCs w:val="20"/>
        </w:rPr>
        <w:t xml:space="preserve">                  </w:t>
      </w:r>
    </w:p>
    <w:p w14:paraId="52C26C39" w14:textId="77777777" w:rsidR="005B6E62" w:rsidRPr="00BC31E0" w:rsidRDefault="005B6E62" w:rsidP="005B6E62">
      <w:pPr>
        <w:autoSpaceDE w:val="0"/>
        <w:autoSpaceDN w:val="0"/>
        <w:jc w:val="left"/>
        <w:rPr>
          <w:szCs w:val="20"/>
        </w:rPr>
      </w:pPr>
      <w:r w:rsidRPr="00BC31E0">
        <w:rPr>
          <w:rFonts w:hint="eastAsia"/>
          <w:szCs w:val="20"/>
        </w:rPr>
        <w:t xml:space="preserve"> </w:t>
      </w:r>
      <w:r w:rsidRPr="00BC31E0">
        <w:rPr>
          <w:rFonts w:hint="eastAsia"/>
          <w:szCs w:val="20"/>
        </w:rPr>
        <w:t xml:space="preserve">　　　</w:t>
      </w:r>
      <w:r w:rsidRPr="00BC31E0">
        <w:rPr>
          <w:rFonts w:hint="eastAsia"/>
          <w:szCs w:val="20"/>
        </w:rPr>
        <w:t xml:space="preserve">                  </w:t>
      </w:r>
    </w:p>
    <w:p w14:paraId="07BEA5DF" w14:textId="77777777" w:rsidR="005B6E62" w:rsidRPr="00BC31E0" w:rsidRDefault="005B6E62" w:rsidP="005B6E62">
      <w:pPr>
        <w:autoSpaceDE w:val="0"/>
        <w:autoSpaceDN w:val="0"/>
        <w:jc w:val="left"/>
        <w:rPr>
          <w:szCs w:val="20"/>
        </w:rPr>
      </w:pPr>
      <w:r w:rsidRPr="00BC31E0">
        <w:rPr>
          <w:rFonts w:hint="eastAsia"/>
          <w:szCs w:val="20"/>
        </w:rPr>
        <w:t xml:space="preserve"> </w:t>
      </w:r>
      <w:r w:rsidRPr="00BC31E0">
        <w:rPr>
          <w:rFonts w:hint="eastAsia"/>
          <w:szCs w:val="20"/>
        </w:rPr>
        <w:t xml:space="preserve">　　　</w:t>
      </w:r>
      <w:r w:rsidRPr="00BC31E0">
        <w:rPr>
          <w:rFonts w:hint="eastAsia"/>
          <w:szCs w:val="20"/>
        </w:rPr>
        <w:t xml:space="preserve">                 </w:t>
      </w:r>
    </w:p>
    <w:p w14:paraId="37EE035A" w14:textId="77777777" w:rsidR="005B6E62" w:rsidRPr="00BC31E0" w:rsidRDefault="005B6E62" w:rsidP="005B6E62">
      <w:pPr>
        <w:autoSpaceDE w:val="0"/>
        <w:autoSpaceDN w:val="0"/>
        <w:jc w:val="left"/>
        <w:rPr>
          <w:szCs w:val="20"/>
        </w:rPr>
      </w:pPr>
      <w:r w:rsidRPr="00BC31E0">
        <w:rPr>
          <w:rFonts w:hint="eastAsia"/>
          <w:szCs w:val="20"/>
        </w:rPr>
        <w:t xml:space="preserve"> </w:t>
      </w:r>
      <w:r w:rsidRPr="00BC31E0">
        <w:rPr>
          <w:rFonts w:hint="eastAsia"/>
          <w:szCs w:val="20"/>
        </w:rPr>
        <w:t xml:space="preserve">　　　</w:t>
      </w:r>
      <w:r w:rsidRPr="00BC31E0">
        <w:rPr>
          <w:rFonts w:hint="eastAsia"/>
          <w:szCs w:val="20"/>
        </w:rPr>
        <w:t xml:space="preserve">                           </w:t>
      </w:r>
    </w:p>
    <w:p w14:paraId="41035508" w14:textId="77777777" w:rsidR="005B6E62" w:rsidRPr="00BC31E0" w:rsidRDefault="005B6E62" w:rsidP="005B6E62">
      <w:pPr>
        <w:autoSpaceDE w:val="0"/>
        <w:autoSpaceDN w:val="0"/>
        <w:jc w:val="left"/>
        <w:rPr>
          <w:szCs w:val="20"/>
        </w:rPr>
      </w:pPr>
    </w:p>
    <w:p w14:paraId="37E1FCBB" w14:textId="77777777" w:rsidR="005B6E62" w:rsidRPr="00BC31E0" w:rsidRDefault="005B6E62" w:rsidP="005B6E62">
      <w:pPr>
        <w:autoSpaceDE w:val="0"/>
        <w:autoSpaceDN w:val="0"/>
        <w:jc w:val="left"/>
        <w:rPr>
          <w:b/>
          <w:bCs/>
          <w:szCs w:val="20"/>
        </w:rPr>
      </w:pPr>
    </w:p>
    <w:p w14:paraId="73A97031" w14:textId="77777777" w:rsidR="005B6E62" w:rsidRPr="00BC31E0" w:rsidRDefault="005B6E62" w:rsidP="005B6E62">
      <w:pPr>
        <w:jc w:val="center"/>
        <w:rPr>
          <w:rFonts w:ascii="ＭＳ ゴシック" w:eastAsia="ＭＳ ゴシック" w:hAnsi="ＭＳ ゴシック"/>
          <w:b/>
          <w:szCs w:val="20"/>
        </w:rPr>
      </w:pPr>
      <w:r w:rsidRPr="00BC31E0">
        <w:rPr>
          <w:rFonts w:ascii="ＭＳ ゴシック" w:eastAsia="ＭＳ ゴシック" w:hAnsi="ＭＳ ゴシック" w:hint="eastAsia"/>
          <w:b/>
          <w:szCs w:val="20"/>
        </w:rPr>
        <w:t>図I.2　円形状指示模様図による要求事項</w:t>
      </w:r>
    </w:p>
    <w:p w14:paraId="4641F4F9" w14:textId="77777777" w:rsidR="005B6E62" w:rsidRPr="00BC31E0" w:rsidRDefault="005B6E62" w:rsidP="005B6E62">
      <w:pPr>
        <w:jc w:val="left"/>
        <w:rPr>
          <w:rFonts w:ascii="ＭＳ ゴシック" w:eastAsia="ＭＳ ゴシック" w:hAnsi="ＭＳ ゴシック"/>
          <w:b/>
          <w:szCs w:val="20"/>
        </w:rPr>
      </w:pPr>
    </w:p>
    <w:p w14:paraId="6B5FC0F5" w14:textId="77777777" w:rsidR="0072734B" w:rsidRPr="00BC31E0" w:rsidRDefault="0072734B">
      <w:pPr>
        <w:widowControl/>
        <w:jc w:val="left"/>
      </w:pPr>
      <w:r w:rsidRPr="00BC31E0">
        <w:br w:type="page"/>
      </w:r>
    </w:p>
    <w:p w14:paraId="537A624D" w14:textId="77777777" w:rsidR="004B26A1" w:rsidRPr="00BC31E0" w:rsidRDefault="004B26A1" w:rsidP="004B26A1">
      <w:pPr>
        <w:sectPr w:rsidR="004B26A1" w:rsidRPr="00BC31E0" w:rsidSect="00B94982">
          <w:headerReference w:type="even" r:id="rId160"/>
          <w:headerReference w:type="default" r:id="rId161"/>
          <w:footerReference w:type="default" r:id="rId162"/>
          <w:headerReference w:type="first" r:id="rId163"/>
          <w:pgSz w:w="11906" w:h="16838" w:code="9"/>
          <w:pgMar w:top="1701" w:right="1418" w:bottom="1418" w:left="1418" w:header="720" w:footer="720" w:gutter="0"/>
          <w:cols w:space="720"/>
          <w:noEndnote/>
          <w:docGrid w:type="linesAndChars" w:linePitch="360"/>
        </w:sectPr>
      </w:pPr>
    </w:p>
    <w:p w14:paraId="191A0203" w14:textId="77777777" w:rsidR="00724C30" w:rsidRPr="00BC31E0" w:rsidRDefault="00724C30" w:rsidP="00B85E50">
      <w:pPr>
        <w:pStyle w:val="aff6"/>
      </w:pPr>
      <w:bookmarkStart w:id="171" w:name="_Toc120092570"/>
      <w:r w:rsidRPr="00BC31E0">
        <w:rPr>
          <w:rFonts w:hint="eastAsia"/>
        </w:rPr>
        <w:lastRenderedPageBreak/>
        <w:t>附属書</w:t>
      </w:r>
      <w:r w:rsidRPr="00BC31E0">
        <w:rPr>
          <w:rFonts w:hint="eastAsia"/>
        </w:rPr>
        <w:t>J</w:t>
      </w:r>
      <w:r w:rsidRPr="00BC31E0">
        <w:rPr>
          <w:rFonts w:ascii="ＭＳ ゴシック" w:hAnsi="ＭＳ ゴシック" w:hint="eastAsia"/>
        </w:rPr>
        <w:t>(規定)</w:t>
      </w:r>
      <w:r w:rsidRPr="00BC31E0">
        <w:rPr>
          <w:rFonts w:hint="eastAsia"/>
        </w:rPr>
        <w:t xml:space="preserve">　弾性解析を用いた評価方法</w:t>
      </w:r>
      <w:bookmarkEnd w:id="171"/>
    </w:p>
    <w:p w14:paraId="15CBDEFF" w14:textId="77777777" w:rsidR="00724C30" w:rsidRPr="00BC31E0" w:rsidRDefault="00724C30" w:rsidP="00B85E50">
      <w:pPr>
        <w:pStyle w:val="afb"/>
        <w:spacing w:line="240" w:lineRule="auto"/>
      </w:pPr>
      <w:r w:rsidRPr="00BC31E0">
        <w:rPr>
          <w:rFonts w:hint="eastAsia"/>
        </w:rPr>
        <w:t>序文</w:t>
      </w:r>
    </w:p>
    <w:p w14:paraId="49368F10" w14:textId="77777777" w:rsidR="00724C30" w:rsidRPr="00BC31E0" w:rsidRDefault="00724C30" w:rsidP="00B85E50">
      <w:pPr>
        <w:pStyle w:val="15"/>
        <w:ind w:firstLine="210"/>
        <w:rPr>
          <w:rFonts w:asciiTheme="minorEastAsia" w:eastAsiaTheme="minorEastAsia" w:hAnsiTheme="minorEastAsia"/>
        </w:rPr>
      </w:pPr>
      <w:r w:rsidRPr="00BC31E0">
        <w:rPr>
          <w:rFonts w:asciiTheme="minorEastAsia" w:eastAsiaTheme="minorEastAsia" w:hAnsiTheme="minorEastAsia" w:hint="eastAsia"/>
        </w:rPr>
        <w:t>この附属書は，弾性解析を用いた評価方法について規定する。</w:t>
      </w:r>
    </w:p>
    <w:p w14:paraId="4D1B3C04" w14:textId="77777777" w:rsidR="00724C30" w:rsidRPr="00BC31E0" w:rsidRDefault="00724C30" w:rsidP="00B85E50">
      <w:pPr>
        <w:pStyle w:val="15"/>
        <w:ind w:firstLineChars="47" w:firstLine="99"/>
      </w:pPr>
    </w:p>
    <w:p w14:paraId="28DA522D" w14:textId="77777777" w:rsidR="00724C30" w:rsidRPr="00BC31E0" w:rsidRDefault="00724C30" w:rsidP="00B85E50">
      <w:pPr>
        <w:pStyle w:val="15"/>
        <w:ind w:left="340" w:firstLineChars="0" w:hanging="340"/>
        <w:rPr>
          <w:rFonts w:asciiTheme="majorEastAsia" w:eastAsiaTheme="majorEastAsia" w:hAnsiTheme="majorEastAsia"/>
          <w:b/>
        </w:rPr>
      </w:pPr>
      <w:r w:rsidRPr="00BC31E0">
        <w:rPr>
          <w:rFonts w:asciiTheme="majorEastAsia" w:eastAsiaTheme="majorEastAsia" w:hAnsiTheme="majorEastAsia" w:hint="eastAsia"/>
          <w:b/>
        </w:rPr>
        <w:t>1  弾性解析による強度評価</w:t>
      </w:r>
    </w:p>
    <w:p w14:paraId="5A8F5154" w14:textId="77777777" w:rsidR="00724C30" w:rsidRPr="00BC31E0" w:rsidRDefault="00724C30" w:rsidP="00B85E50">
      <w:pPr>
        <w:pStyle w:val="15"/>
        <w:ind w:firstLine="210"/>
      </w:pPr>
      <w:r w:rsidRPr="00BC31E0">
        <w:rPr>
          <w:rFonts w:hint="eastAsia"/>
        </w:rPr>
        <w:t>弾性解析による強度評価は，次の</w:t>
      </w:r>
      <w:r w:rsidRPr="00BC31E0">
        <w:rPr>
          <w:rFonts w:ascii="ＭＳ ゴシック" w:hAnsi="ＭＳ ゴシック" w:hint="eastAsia"/>
          <w:b/>
        </w:rPr>
        <w:t>a)</w:t>
      </w:r>
      <w:r w:rsidRPr="00BC31E0">
        <w:rPr>
          <w:rFonts w:hint="eastAsia"/>
        </w:rPr>
        <w:t>～</w:t>
      </w:r>
      <w:r w:rsidRPr="00BC31E0">
        <w:rPr>
          <w:rFonts w:ascii="ＭＳ ゴシック" w:hAnsi="ＭＳ ゴシック" w:hint="eastAsia"/>
          <w:b/>
        </w:rPr>
        <w:t>k)</w:t>
      </w:r>
      <w:r w:rsidRPr="00BC31E0">
        <w:rPr>
          <w:rFonts w:hint="eastAsia"/>
        </w:rPr>
        <w:t>による。</w:t>
      </w:r>
    </w:p>
    <w:p w14:paraId="472FDA35" w14:textId="77777777" w:rsidR="00B85E50" w:rsidRPr="00BC31E0" w:rsidRDefault="00724C30" w:rsidP="00736130">
      <w:pPr>
        <w:pStyle w:val="a4"/>
        <w:numPr>
          <w:ilvl w:val="0"/>
          <w:numId w:val="392"/>
        </w:numPr>
        <w:ind w:leftChars="0" w:left="454" w:hanging="454"/>
      </w:pPr>
      <w:r w:rsidRPr="00BC31E0">
        <w:rPr>
          <w:rFonts w:asciiTheme="majorEastAsia" w:eastAsiaTheme="majorEastAsia" w:hAnsiTheme="majorEastAsia" w:hint="eastAsia"/>
          <w:b/>
        </w:rPr>
        <w:t>荷重組合せ</w:t>
      </w:r>
      <w:r w:rsidRPr="00BC31E0">
        <w:rPr>
          <w:rFonts w:hint="eastAsia"/>
        </w:rPr>
        <w:t xml:space="preserve">　解析では，</w:t>
      </w:r>
      <w:r w:rsidRPr="00BC31E0">
        <w:rPr>
          <w:rFonts w:asciiTheme="majorEastAsia" w:eastAsiaTheme="majorEastAsia" w:hAnsiTheme="majorEastAsia" w:hint="eastAsia"/>
          <w:b/>
          <w:bCs/>
        </w:rPr>
        <w:t>表J.1</w:t>
      </w:r>
      <w:r w:rsidRPr="00BC31E0">
        <w:rPr>
          <w:rFonts w:hint="eastAsia"/>
        </w:rPr>
        <w:t>に示す荷重組合せを考慮する。荷重記号の説明は，本体の</w:t>
      </w:r>
      <w:r w:rsidRPr="00BC31E0">
        <w:rPr>
          <w:rFonts w:asciiTheme="majorEastAsia" w:eastAsiaTheme="majorEastAsia" w:hAnsiTheme="majorEastAsia" w:hint="eastAsia"/>
          <w:b/>
          <w:bCs/>
        </w:rPr>
        <w:t>表6.2.2</w:t>
      </w:r>
      <w:r w:rsidRPr="00BC31E0">
        <w:rPr>
          <w:rFonts w:hint="eastAsia"/>
        </w:rPr>
        <w:t>に示す。設計圧力</w:t>
      </w:r>
      <m:oMath>
        <m:sSub>
          <m:sSubPr>
            <m:ctrlPr>
              <w:rPr>
                <w:rFonts w:ascii="Cambria Math" w:hAnsi="Cambria Math"/>
                <w:i/>
              </w:rPr>
            </m:ctrlPr>
          </m:sSubPr>
          <m:e>
            <m:r>
              <w:rPr>
                <w:rFonts w:ascii="Cambria Math" w:hAnsi="Cambria Math"/>
              </w:rPr>
              <m:t xml:space="preserve"> P</m:t>
            </m:r>
          </m:e>
          <m:sub>
            <m:r>
              <w:rPr>
                <w:rFonts w:ascii="Cambria Math" w:hAnsi="Cambria Math"/>
              </w:rPr>
              <m:t>D</m:t>
            </m:r>
          </m:sub>
        </m:sSub>
        <m:r>
          <w:rPr>
            <w:rFonts w:ascii="Cambria Math" w:hAnsi="Cambria Math"/>
          </w:rPr>
          <m:t xml:space="preserve"> </m:t>
        </m:r>
      </m:oMath>
      <w:r w:rsidRPr="00BC31E0">
        <w:rPr>
          <w:rFonts w:hint="eastAsia"/>
        </w:rPr>
        <w:t>を含む荷重組合せによる解析で評価する場合には，圧力が</w:t>
      </w:r>
      <w:r w:rsidR="00B85E50" w:rsidRPr="00BC31E0">
        <w:rPr>
          <w:rFonts w:hint="eastAsia"/>
        </w:rPr>
        <w:t>0</w:t>
      </w:r>
      <w:r w:rsidRPr="00BC31E0">
        <w:rPr>
          <w:rFonts w:hint="eastAsia"/>
        </w:rPr>
        <w:t>の場合の影響も考慮する。使用者設計仕様書に記載された荷重組合せに加えて，適用可能な荷重組合せについても考慮する。</w:t>
      </w:r>
    </w:p>
    <w:p w14:paraId="11D3032A" w14:textId="77777777" w:rsidR="00724C30" w:rsidRPr="00BC31E0" w:rsidRDefault="00724C30" w:rsidP="00736130">
      <w:pPr>
        <w:pStyle w:val="a4"/>
        <w:numPr>
          <w:ilvl w:val="0"/>
          <w:numId w:val="392"/>
        </w:numPr>
        <w:ind w:leftChars="0" w:left="454" w:hanging="454"/>
      </w:pPr>
      <w:r w:rsidRPr="00BC31E0">
        <w:rPr>
          <w:rFonts w:asciiTheme="majorEastAsia" w:eastAsiaTheme="majorEastAsia" w:hAnsiTheme="majorEastAsia" w:hint="eastAsia"/>
          <w:b/>
        </w:rPr>
        <w:t>相当応力の求め方</w:t>
      </w:r>
      <w:r w:rsidRPr="00BC31E0">
        <w:rPr>
          <w:rFonts w:asciiTheme="minorEastAsia" w:eastAsiaTheme="minorEastAsia" w:hAnsiTheme="minorEastAsia" w:hint="eastAsia"/>
        </w:rPr>
        <w:t xml:space="preserve">　</w:t>
      </w:r>
      <w:r w:rsidRPr="00BC31E0">
        <w:rPr>
          <w:rFonts w:hint="eastAsia"/>
        </w:rPr>
        <w:t>相当応力の計算手順は，次の</w:t>
      </w:r>
      <w:r w:rsidRPr="00BC31E0">
        <w:rPr>
          <w:rFonts w:asciiTheme="majorEastAsia" w:eastAsiaTheme="majorEastAsia" w:hAnsiTheme="majorEastAsia" w:hint="eastAsia"/>
          <w:b/>
          <w:bCs/>
        </w:rPr>
        <w:t>1)</w:t>
      </w:r>
      <w:r w:rsidRPr="00BC31E0">
        <w:rPr>
          <w:rFonts w:hint="eastAsia"/>
        </w:rPr>
        <w:t>～</w:t>
      </w:r>
      <w:r w:rsidRPr="00BC31E0">
        <w:rPr>
          <w:rFonts w:asciiTheme="majorEastAsia" w:eastAsiaTheme="majorEastAsia" w:hAnsiTheme="majorEastAsia" w:hint="eastAsia"/>
          <w:b/>
          <w:bCs/>
        </w:rPr>
        <w:t>5)</w:t>
      </w:r>
      <w:r w:rsidRPr="00BC31E0">
        <w:rPr>
          <w:rFonts w:hint="eastAsia"/>
        </w:rPr>
        <w:t>による。有限要素法を用いた解析を行った場合には，膜応力，曲げ応力及びピーク応力は</w:t>
      </w:r>
      <w:r w:rsidRPr="00BC31E0">
        <w:rPr>
          <w:rFonts w:asciiTheme="majorEastAsia" w:eastAsiaTheme="majorEastAsia" w:hAnsiTheme="majorEastAsia" w:hint="eastAsia"/>
          <w:b/>
          <w:bCs/>
        </w:rPr>
        <w:t>附属書</w:t>
      </w:r>
      <w:r w:rsidR="00B85E50" w:rsidRPr="00BC31E0">
        <w:rPr>
          <w:rFonts w:asciiTheme="majorEastAsia" w:eastAsiaTheme="majorEastAsia" w:hAnsiTheme="majorEastAsia" w:hint="eastAsia"/>
          <w:b/>
          <w:bCs/>
        </w:rPr>
        <w:t>L</w:t>
      </w:r>
      <w:r w:rsidRPr="00BC31E0">
        <w:rPr>
          <w:rFonts w:hint="eastAsia"/>
        </w:rPr>
        <w:t>の線形化手法で求める。</w:t>
      </w:r>
    </w:p>
    <w:p w14:paraId="672D28EA" w14:textId="77777777" w:rsidR="00594A27" w:rsidRPr="00BC31E0" w:rsidRDefault="00724C30" w:rsidP="00736130">
      <w:pPr>
        <w:pStyle w:val="a4"/>
        <w:numPr>
          <w:ilvl w:val="0"/>
          <w:numId w:val="393"/>
        </w:numPr>
        <w:ind w:leftChars="0" w:left="738" w:hanging="454"/>
      </w:pPr>
      <w:r w:rsidRPr="00BC31E0">
        <w:rPr>
          <w:rFonts w:hint="eastAsia"/>
        </w:rPr>
        <w:t>評価する部位で，周方向</w:t>
      </w:r>
      <m:oMath>
        <m:d>
          <m:dPr>
            <m:ctrlPr>
              <w:rPr>
                <w:rFonts w:ascii="Cambria Math" w:hAnsi="Cambria Math"/>
                <w:i/>
              </w:rPr>
            </m:ctrlPr>
          </m:dPr>
          <m:e>
            <m:r>
              <w:rPr>
                <w:rFonts w:ascii="Cambria Math" w:hAnsi="Cambria Math"/>
              </w:rPr>
              <m:t>t</m:t>
            </m:r>
          </m:e>
        </m:d>
      </m:oMath>
      <w:r w:rsidRPr="00BC31E0">
        <w:rPr>
          <w:rFonts w:hint="eastAsia"/>
        </w:rPr>
        <w:t>，軸方向</w:t>
      </w:r>
      <m:oMath>
        <m:d>
          <m:dPr>
            <m:ctrlPr>
              <w:rPr>
                <w:rFonts w:ascii="Cambria Math" w:hAnsi="Cambria Math"/>
                <w:i/>
              </w:rPr>
            </m:ctrlPr>
          </m:dPr>
          <m:e>
            <m:r>
              <w:rPr>
                <w:rFonts w:ascii="Cambria Math" w:hAnsi="Cambria Math"/>
              </w:rPr>
              <m:t>l</m:t>
            </m:r>
          </m:e>
        </m:d>
        <m:r>
          <w:rPr>
            <w:rFonts w:ascii="Cambria Math" w:hAnsi="Cambria Math"/>
          </w:rPr>
          <m:t xml:space="preserve"> </m:t>
        </m:r>
      </m:oMath>
      <w:r w:rsidRPr="00BC31E0">
        <w:rPr>
          <w:rFonts w:hint="eastAsia"/>
        </w:rPr>
        <w:t>及び半径方向</w:t>
      </w:r>
      <m:oMath>
        <m:d>
          <m:dPr>
            <m:ctrlPr>
              <w:rPr>
                <w:rFonts w:ascii="Cambria Math" w:hAnsi="Cambria Math"/>
                <w:i/>
              </w:rPr>
            </m:ctrlPr>
          </m:dPr>
          <m:e>
            <m:r>
              <w:rPr>
                <w:rFonts w:ascii="Cambria Math" w:hAnsi="Cambria Math"/>
              </w:rPr>
              <m:t>r</m:t>
            </m:r>
          </m:e>
        </m:d>
        <m:r>
          <w:rPr>
            <w:rFonts w:ascii="Cambria Math" w:hAnsi="Cambria Math"/>
          </w:rPr>
          <m:t xml:space="preserve"> </m:t>
        </m:r>
      </m:oMath>
      <w:r w:rsidRPr="00BC31E0">
        <w:rPr>
          <w:rFonts w:hint="eastAsia"/>
        </w:rPr>
        <w:t>のような直交座標系を選択する。この座標系における垂直応力成分を</w:t>
      </w:r>
      <m:oMath>
        <m:sSub>
          <m:sSubPr>
            <m:ctrlPr>
              <w:rPr>
                <w:rFonts w:ascii="Cambria Math" w:hAnsi="Cambria Math"/>
                <w:i/>
              </w:rPr>
            </m:ctrlPr>
          </m:sSubPr>
          <m:e>
            <m:r>
              <w:rPr>
                <w:rFonts w:ascii="Cambria Math" w:hAnsi="Cambria Math"/>
              </w:rPr>
              <m:t xml:space="preserve"> σ</m:t>
            </m:r>
          </m:e>
          <m:sub>
            <m:r>
              <w:rPr>
                <w:rFonts w:ascii="Cambria Math" w:hAnsi="Cambria Math" w:hint="eastAsia"/>
              </w:rPr>
              <m:t>t</m:t>
            </m:r>
          </m:sub>
        </m:sSub>
      </m:oMath>
      <w:r w:rsidRPr="00BC31E0">
        <w:rPr>
          <w:rFonts w:hint="eastAsia"/>
        </w:rPr>
        <w:t>，</w:t>
      </w:r>
      <m:oMath>
        <m:sSub>
          <m:sSubPr>
            <m:ctrlPr>
              <w:rPr>
                <w:rFonts w:ascii="Cambria Math" w:hAnsi="Cambria Math"/>
                <w:i/>
              </w:rPr>
            </m:ctrlPr>
          </m:sSubPr>
          <m:e>
            <m:r>
              <w:rPr>
                <w:rFonts w:ascii="Cambria Math" w:hAnsi="Cambria Math"/>
              </w:rPr>
              <m:t>σ</m:t>
            </m:r>
          </m:e>
          <m:sub>
            <m:r>
              <w:rPr>
                <w:rFonts w:ascii="Cambria Math" w:hAnsi="Cambria Math"/>
              </w:rPr>
              <m:t>l</m:t>
            </m:r>
          </m:sub>
        </m:sSub>
        <m:r>
          <w:rPr>
            <w:rFonts w:ascii="Cambria Math" w:hAnsi="Cambria Math"/>
          </w:rPr>
          <m:t xml:space="preserve"> </m:t>
        </m:r>
      </m:oMath>
      <w:r w:rsidRPr="00BC31E0">
        <w:rPr>
          <w:rFonts w:hint="eastAsia"/>
        </w:rPr>
        <w:t>及び</w:t>
      </w:r>
      <m:oMath>
        <m:sSub>
          <m:sSubPr>
            <m:ctrlPr>
              <w:rPr>
                <w:rFonts w:ascii="Cambria Math" w:hAnsi="Cambria Math"/>
                <w:i/>
              </w:rPr>
            </m:ctrlPr>
          </m:sSubPr>
          <m:e>
            <m:r>
              <w:rPr>
                <w:rFonts w:ascii="Cambria Math" w:hAnsi="Cambria Math"/>
              </w:rPr>
              <m:t xml:space="preserve"> σ</m:t>
            </m:r>
          </m:e>
          <m:sub>
            <m:r>
              <w:rPr>
                <w:rFonts w:ascii="Cambria Math" w:hAnsi="Cambria Math"/>
              </w:rPr>
              <m:t>r</m:t>
            </m:r>
          </m:sub>
        </m:sSub>
      </m:oMath>
      <w:r w:rsidRPr="00BC31E0">
        <w:rPr>
          <w:rFonts w:hint="eastAsia"/>
        </w:rPr>
        <w:t>，せん断応力成分を</w:t>
      </w:r>
      <m:oMath>
        <m:sSub>
          <m:sSubPr>
            <m:ctrlPr>
              <w:rPr>
                <w:rFonts w:ascii="Cambria Math" w:hAnsi="Cambria Math"/>
                <w:i/>
              </w:rPr>
            </m:ctrlPr>
          </m:sSubPr>
          <m:e>
            <m:r>
              <w:rPr>
                <w:rFonts w:ascii="Cambria Math" w:hAnsi="Cambria Math"/>
              </w:rPr>
              <m:t xml:space="preserve"> τ</m:t>
            </m:r>
          </m:e>
          <m:sub>
            <m:r>
              <w:rPr>
                <w:rFonts w:ascii="Cambria Math" w:hAnsi="Cambria Math" w:hint="eastAsia"/>
              </w:rPr>
              <m:t>t</m:t>
            </m:r>
            <m:r>
              <w:rPr>
                <w:rFonts w:ascii="Cambria Math" w:hAnsi="Cambria Math"/>
              </w:rPr>
              <m:t>l</m:t>
            </m:r>
          </m:sub>
        </m:sSub>
      </m:oMath>
      <w:r w:rsidRPr="00BC31E0">
        <w:rPr>
          <w:rFonts w:hint="eastAsia"/>
        </w:rPr>
        <w:t>，</w:t>
      </w:r>
      <m:oMath>
        <m:sSub>
          <m:sSubPr>
            <m:ctrlPr>
              <w:rPr>
                <w:rFonts w:ascii="Cambria Math" w:hAnsi="Cambria Math"/>
                <w:i/>
              </w:rPr>
            </m:ctrlPr>
          </m:sSubPr>
          <m:e>
            <m:r>
              <w:rPr>
                <w:rFonts w:ascii="Cambria Math" w:hAnsi="Cambria Math"/>
              </w:rPr>
              <m:t>τ</m:t>
            </m:r>
          </m:e>
          <m:sub>
            <m:r>
              <w:rPr>
                <w:rFonts w:ascii="Cambria Math" w:hAnsi="Cambria Math"/>
              </w:rPr>
              <m:t>l</m:t>
            </m:r>
            <m:r>
              <w:rPr>
                <w:rFonts w:ascii="Cambria Math" w:hAnsi="Cambria Math" w:hint="eastAsia"/>
              </w:rPr>
              <m:t>r</m:t>
            </m:r>
          </m:sub>
        </m:sSub>
        <m:r>
          <w:rPr>
            <w:rFonts w:ascii="Cambria Math" w:hAnsi="Cambria Math" w:hint="eastAsia"/>
          </w:rPr>
          <m:t xml:space="preserve"> </m:t>
        </m:r>
      </m:oMath>
      <w:r w:rsidRPr="00BC31E0">
        <w:rPr>
          <w:rFonts w:hint="eastAsia"/>
        </w:rPr>
        <w:t>及び</w:t>
      </w:r>
      <m:oMath>
        <m:sSub>
          <m:sSubPr>
            <m:ctrlPr>
              <w:rPr>
                <w:rFonts w:ascii="Cambria Math" w:hAnsi="Cambria Math"/>
                <w:i/>
              </w:rPr>
            </m:ctrlPr>
          </m:sSubPr>
          <m:e>
            <m:r>
              <w:rPr>
                <w:rFonts w:ascii="Cambria Math" w:hAnsi="Cambria Math"/>
              </w:rPr>
              <m:t xml:space="preserve"> τ</m:t>
            </m:r>
          </m:e>
          <m:sub>
            <m:r>
              <w:rPr>
                <w:rFonts w:ascii="Cambria Math" w:hAnsi="Cambria Math"/>
              </w:rPr>
              <m:t>r</m:t>
            </m:r>
            <m:r>
              <w:rPr>
                <w:rFonts w:ascii="Cambria Math" w:hAnsi="Cambria Math" w:hint="eastAsia"/>
              </w:rPr>
              <m:t>t</m:t>
            </m:r>
          </m:sub>
        </m:sSub>
        <m:r>
          <w:rPr>
            <w:rFonts w:ascii="Cambria Math" w:hAnsi="Cambria Math" w:hint="eastAsia"/>
          </w:rPr>
          <m:t xml:space="preserve"> </m:t>
        </m:r>
      </m:oMath>
      <w:r w:rsidRPr="00BC31E0">
        <w:rPr>
          <w:rFonts w:hint="eastAsia"/>
        </w:rPr>
        <w:t>とする。</w:t>
      </w:r>
    </w:p>
    <w:p w14:paraId="4A877DDC" w14:textId="77777777" w:rsidR="00724C30" w:rsidRPr="00BC31E0" w:rsidRDefault="00724C30" w:rsidP="00736130">
      <w:pPr>
        <w:pStyle w:val="a4"/>
        <w:numPr>
          <w:ilvl w:val="0"/>
          <w:numId w:val="393"/>
        </w:numPr>
        <w:ind w:leftChars="0" w:left="738" w:hanging="454"/>
      </w:pPr>
      <w:r w:rsidRPr="00BC31E0">
        <w:rPr>
          <w:rFonts w:hint="eastAsia"/>
        </w:rPr>
        <w:t>その部位に生じる応力成分を計算し，次の応力分類に割り当てる。</w:t>
      </w:r>
    </w:p>
    <w:p w14:paraId="4AF44D7E" w14:textId="77777777" w:rsidR="00724C30" w:rsidRPr="00BC31E0" w:rsidRDefault="00724C30" w:rsidP="00594A27">
      <w:pPr>
        <w:ind w:left="737"/>
      </w:pPr>
      <w:r w:rsidRPr="00BC31E0">
        <w:rPr>
          <w:rFonts w:hint="eastAsia"/>
        </w:rPr>
        <w:t>・一次一般膜応力</w:t>
      </w:r>
      <w:r w:rsidR="00786861" w:rsidRPr="00BC31E0">
        <w:rPr>
          <w:rFonts w:hint="eastAsia"/>
        </w:rPr>
        <w:t xml:space="preserve">　</w:t>
      </w:r>
      <w:r w:rsidRPr="00BC31E0">
        <w:rPr>
          <w:rFonts w:hint="eastAsia"/>
        </w:rPr>
        <w:t xml:space="preserve"> </w:t>
      </w:r>
      <m:oMath>
        <m:sSub>
          <m:sSubPr>
            <m:ctrlPr>
              <w:rPr>
                <w:rFonts w:ascii="Cambria Math" w:hAnsi="Cambria Math"/>
                <w:i/>
              </w:rPr>
            </m:ctrlPr>
          </m:sSubPr>
          <m:e>
            <m:r>
              <w:rPr>
                <w:rFonts w:ascii="Cambria Math" w:hAnsi="Cambria Math"/>
              </w:rPr>
              <m:t>P</m:t>
            </m:r>
          </m:e>
          <m:sub>
            <m:r>
              <w:rPr>
                <w:rFonts w:ascii="Cambria Math" w:hAnsi="Cambria Math"/>
              </w:rPr>
              <m:t>m</m:t>
            </m:r>
          </m:sub>
        </m:sSub>
      </m:oMath>
    </w:p>
    <w:p w14:paraId="194DBC2F" w14:textId="77777777" w:rsidR="00724C30" w:rsidRPr="00BC31E0" w:rsidRDefault="00724C30" w:rsidP="00594A27">
      <w:pPr>
        <w:ind w:left="737"/>
      </w:pPr>
      <w:r w:rsidRPr="00BC31E0">
        <w:rPr>
          <w:rFonts w:hint="eastAsia"/>
        </w:rPr>
        <w:t>・一次局部膜応力</w:t>
      </w:r>
      <w:r w:rsidR="00786861" w:rsidRPr="00BC31E0">
        <w:rPr>
          <w:rFonts w:hint="eastAsia"/>
        </w:rPr>
        <w:t xml:space="preserve">　</w:t>
      </w:r>
      <w:r w:rsidRPr="00BC31E0">
        <w:rPr>
          <w:rFonts w:hint="eastAsia"/>
        </w:rPr>
        <w:t xml:space="preserve"> </w:t>
      </w:r>
      <m:oMath>
        <m:sSub>
          <m:sSubPr>
            <m:ctrlPr>
              <w:rPr>
                <w:rFonts w:ascii="Cambria Math" w:hAnsi="Cambria Math"/>
                <w:i/>
              </w:rPr>
            </m:ctrlPr>
          </m:sSubPr>
          <m:e>
            <m:r>
              <w:rPr>
                <w:rFonts w:ascii="Cambria Math" w:hAnsi="Cambria Math"/>
              </w:rPr>
              <m:t>P</m:t>
            </m:r>
          </m:e>
          <m:sub>
            <m:r>
              <w:rPr>
                <w:rFonts w:ascii="Cambria Math" w:hAnsi="Cambria Math" w:hint="eastAsia"/>
              </w:rPr>
              <m:t>L</m:t>
            </m:r>
          </m:sub>
        </m:sSub>
      </m:oMath>
    </w:p>
    <w:p w14:paraId="56390FA5" w14:textId="77777777" w:rsidR="00724C30" w:rsidRPr="00BC31E0" w:rsidRDefault="00724C30" w:rsidP="00594A27">
      <w:pPr>
        <w:ind w:left="737"/>
      </w:pPr>
      <w:r w:rsidRPr="00BC31E0">
        <w:rPr>
          <w:rFonts w:hint="eastAsia"/>
        </w:rPr>
        <w:t>・一次曲げ応力</w:t>
      </w:r>
      <w:r w:rsidR="00786861" w:rsidRPr="00BC31E0">
        <w:rPr>
          <w:rFonts w:hint="eastAsia"/>
        </w:rPr>
        <w:t xml:space="preserve">　</w:t>
      </w:r>
      <w:r w:rsidRPr="00BC31E0">
        <w:rPr>
          <w:rFonts w:hint="eastAsia"/>
        </w:rPr>
        <w:t xml:space="preserve">   </w:t>
      </w:r>
      <m:oMath>
        <m:sSub>
          <m:sSubPr>
            <m:ctrlPr>
              <w:rPr>
                <w:rFonts w:ascii="Cambria Math" w:hAnsi="Cambria Math"/>
                <w:i/>
              </w:rPr>
            </m:ctrlPr>
          </m:sSubPr>
          <m:e>
            <m:r>
              <w:rPr>
                <w:rFonts w:ascii="Cambria Math" w:hAnsi="Cambria Math"/>
              </w:rPr>
              <m:t>P</m:t>
            </m:r>
          </m:e>
          <m:sub>
            <m:r>
              <w:rPr>
                <w:rFonts w:ascii="Cambria Math" w:hAnsi="Cambria Math" w:hint="eastAsia"/>
              </w:rPr>
              <m:t>b</m:t>
            </m:r>
          </m:sub>
        </m:sSub>
      </m:oMath>
    </w:p>
    <w:p w14:paraId="661A0C19" w14:textId="77777777" w:rsidR="00724C30" w:rsidRPr="00BC31E0" w:rsidRDefault="00724C30" w:rsidP="00594A27">
      <w:pPr>
        <w:ind w:left="737"/>
      </w:pPr>
      <w:r w:rsidRPr="00BC31E0">
        <w:rPr>
          <w:rFonts w:hint="eastAsia"/>
        </w:rPr>
        <w:t>・二次応力</w:t>
      </w:r>
      <w:r w:rsidRPr="00BC31E0">
        <w:rPr>
          <w:rFonts w:hint="eastAsia"/>
        </w:rPr>
        <w:t xml:space="preserve">   </w:t>
      </w:r>
      <w:r w:rsidR="00786861" w:rsidRPr="00BC31E0">
        <w:rPr>
          <w:rFonts w:hint="eastAsia"/>
        </w:rPr>
        <w:t xml:space="preserve">　</w:t>
      </w:r>
      <w:r w:rsidRPr="00BC31E0">
        <w:rPr>
          <w:rFonts w:hint="eastAsia"/>
        </w:rPr>
        <w:t xml:space="preserve">    </w:t>
      </w:r>
      <m:oMath>
        <m:r>
          <w:rPr>
            <w:rFonts w:ascii="Cambria Math" w:hAnsi="Cambria Math" w:hint="eastAsia"/>
          </w:rPr>
          <m:t>Q</m:t>
        </m:r>
      </m:oMath>
    </w:p>
    <w:p w14:paraId="104F0F26" w14:textId="77777777" w:rsidR="00724C30" w:rsidRPr="00BC31E0" w:rsidRDefault="00724C30" w:rsidP="00594A27">
      <w:pPr>
        <w:ind w:left="737"/>
      </w:pPr>
      <w:r w:rsidRPr="00BC31E0">
        <w:rPr>
          <w:rFonts w:hint="eastAsia"/>
        </w:rPr>
        <w:t>・ピーク応力</w:t>
      </w:r>
      <w:r w:rsidRPr="00BC31E0">
        <w:rPr>
          <w:rFonts w:hint="eastAsia"/>
        </w:rPr>
        <w:t xml:space="preserve"> </w:t>
      </w:r>
      <w:r w:rsidR="00786861" w:rsidRPr="00BC31E0">
        <w:rPr>
          <w:rFonts w:hint="eastAsia"/>
        </w:rPr>
        <w:t xml:space="preserve">　</w:t>
      </w:r>
      <w:r w:rsidRPr="00BC31E0">
        <w:rPr>
          <w:rFonts w:hint="eastAsia"/>
        </w:rPr>
        <w:t xml:space="preserve">    </w:t>
      </w:r>
      <m:oMath>
        <m:r>
          <w:rPr>
            <w:rFonts w:ascii="Cambria Math" w:hAnsi="Cambria Math" w:hint="eastAsia"/>
          </w:rPr>
          <m:t>F</m:t>
        </m:r>
      </m:oMath>
    </w:p>
    <w:p w14:paraId="4404E624" w14:textId="77777777" w:rsidR="00594A27" w:rsidRPr="00BC31E0" w:rsidRDefault="00724C30" w:rsidP="00736130">
      <w:pPr>
        <w:pStyle w:val="a4"/>
        <w:numPr>
          <w:ilvl w:val="0"/>
          <w:numId w:val="394"/>
        </w:numPr>
        <w:ind w:leftChars="0" w:left="738" w:hanging="454"/>
      </w:pPr>
      <w:r w:rsidRPr="00BC31E0">
        <w:rPr>
          <w:rFonts w:asciiTheme="majorEastAsia" w:eastAsiaTheme="majorEastAsia" w:hAnsiTheme="majorEastAsia" w:hint="eastAsia"/>
          <w:b/>
        </w:rPr>
        <w:t>表J.2</w:t>
      </w:r>
      <w:r w:rsidRPr="00BC31E0">
        <w:t>の</w:t>
      </w:r>
      <w:r w:rsidRPr="00BC31E0">
        <w:rPr>
          <w:rFonts w:hint="eastAsia"/>
        </w:rPr>
        <w:t>応力分類</w:t>
      </w:r>
      <w:r w:rsidRPr="00BC31E0">
        <w:t>において，異なった形式の負荷から生じる</w:t>
      </w:r>
      <w:r w:rsidRPr="00BC31E0">
        <w:rPr>
          <w:rFonts w:hint="eastAsia"/>
        </w:rPr>
        <w:t>各</w:t>
      </w:r>
      <w:r w:rsidRPr="00BC31E0">
        <w:t>応力成分の代数和を計算し，</w:t>
      </w:r>
      <w:r w:rsidRPr="00BC31E0">
        <w:rPr>
          <w:rFonts w:hint="eastAsia"/>
        </w:rPr>
        <w:t>それぞれの応力分類</w:t>
      </w:r>
      <w:r w:rsidRPr="00BC31E0">
        <w:t>内に</w:t>
      </w:r>
      <w:r w:rsidRPr="00BC31E0">
        <w:t>6</w:t>
      </w:r>
      <w:r w:rsidRPr="00BC31E0">
        <w:t>個の応力成分の組を作る。</w:t>
      </w:r>
    </w:p>
    <w:p w14:paraId="0AFDDBE8" w14:textId="77777777" w:rsidR="00594A27" w:rsidRPr="00BC31E0" w:rsidRDefault="00724C30" w:rsidP="00736130">
      <w:pPr>
        <w:pStyle w:val="a4"/>
        <w:numPr>
          <w:ilvl w:val="0"/>
          <w:numId w:val="395"/>
        </w:numPr>
        <w:ind w:leftChars="0" w:left="738" w:hanging="454"/>
      </w:pPr>
      <w:r w:rsidRPr="00BC31E0">
        <w:rPr>
          <w:rFonts w:hint="eastAsia"/>
        </w:rPr>
        <w:t>座標軸</w:t>
      </w:r>
      <m:oMath>
        <m:r>
          <m:rPr>
            <m:sty m:val="p"/>
          </m:rPr>
          <w:rPr>
            <w:rFonts w:ascii="Cambria Math" w:hAnsi="Cambria Math" w:hint="eastAsia"/>
          </w:rPr>
          <m:t xml:space="preserve"> </m:t>
        </m:r>
        <m:r>
          <w:rPr>
            <w:rFonts w:ascii="Cambria Math" w:hAnsi="Cambria Math"/>
          </w:rPr>
          <m:t>t</m:t>
        </m:r>
      </m:oMath>
      <w:r w:rsidRPr="00BC31E0">
        <w:rPr>
          <w:rFonts w:hint="eastAsia"/>
        </w:rPr>
        <w:t>，</w:t>
      </w:r>
      <m:oMath>
        <m:r>
          <w:rPr>
            <w:rFonts w:ascii="Cambria Math" w:hAnsi="Cambria Math"/>
          </w:rPr>
          <m:t>l</m:t>
        </m:r>
        <m:r>
          <m:rPr>
            <m:sty m:val="p"/>
          </m:rPr>
          <w:rPr>
            <w:rFonts w:ascii="Cambria Math" w:hAnsi="Cambria Math"/>
          </w:rPr>
          <m:t xml:space="preserve"> </m:t>
        </m:r>
      </m:oMath>
      <w:r w:rsidRPr="00BC31E0">
        <w:rPr>
          <w:rFonts w:hint="eastAsia"/>
        </w:rPr>
        <w:t>及び</w:t>
      </w:r>
      <m:oMath>
        <m:r>
          <m:rPr>
            <m:sty m:val="p"/>
          </m:rPr>
          <w:rPr>
            <w:rFonts w:ascii="Cambria Math" w:hAnsi="Cambria Math" w:hint="eastAsia"/>
          </w:rPr>
          <m:t xml:space="preserve"> </m:t>
        </m:r>
        <m:r>
          <w:rPr>
            <w:rFonts w:ascii="Cambria Math" w:hAnsi="Cambria Math"/>
          </w:rPr>
          <m:t>r</m:t>
        </m:r>
        <m:r>
          <m:rPr>
            <m:sty m:val="p"/>
          </m:rPr>
          <w:rPr>
            <w:rFonts w:ascii="Cambria Math" w:hAnsi="Cambria Math" w:hint="eastAsia"/>
          </w:rPr>
          <m:t xml:space="preserve"> </m:t>
        </m:r>
      </m:oMath>
      <w:r w:rsidRPr="00BC31E0">
        <w:rPr>
          <w:rFonts w:hint="eastAsia"/>
        </w:rPr>
        <w:t>方向の各応力成分を用いて，主応力</w:t>
      </w:r>
      <m:oMath>
        <m:sSub>
          <m:sSubPr>
            <m:ctrlPr>
              <w:rPr>
                <w:rFonts w:ascii="Cambria Math" w:hAnsi="Cambria Math"/>
                <w:i/>
              </w:rPr>
            </m:ctrlPr>
          </m:sSubPr>
          <m:e>
            <m:r>
              <w:rPr>
                <w:rFonts w:ascii="Cambria Math" w:hAnsi="Cambria Math"/>
              </w:rPr>
              <m:t xml:space="preserve"> σ</m:t>
            </m:r>
          </m:e>
          <m:sub>
            <m:r>
              <w:rPr>
                <w:rFonts w:ascii="Cambria Math" w:hAnsi="Cambria Math" w:hint="eastAsia"/>
              </w:rPr>
              <m:t>1</m:t>
            </m:r>
          </m:sub>
        </m:sSub>
      </m:oMath>
      <w:r w:rsidRPr="00BC31E0">
        <w:rPr>
          <w:rFonts w:hint="eastAsia"/>
        </w:rPr>
        <w:t>，</w:t>
      </w:r>
      <m:oMath>
        <m:sSub>
          <m:sSubPr>
            <m:ctrlPr>
              <w:rPr>
                <w:rFonts w:ascii="Cambria Math" w:hAnsi="Cambria Math"/>
                <w:i/>
              </w:rPr>
            </m:ctrlPr>
          </m:sSubPr>
          <m:e>
            <m:r>
              <w:rPr>
                <w:rFonts w:ascii="Cambria Math" w:hAnsi="Cambria Math"/>
              </w:rPr>
              <m:t>σ</m:t>
            </m:r>
          </m:e>
          <m:sub>
            <m:r>
              <w:rPr>
                <w:rFonts w:ascii="Cambria Math" w:hAnsi="Cambria Math" w:hint="eastAsia"/>
              </w:rPr>
              <m:t>2</m:t>
            </m:r>
            <m:r>
              <w:rPr>
                <w:rFonts w:ascii="Cambria Math" w:hAnsi="Cambria Math"/>
              </w:rPr>
              <m:t xml:space="preserve"> </m:t>
            </m:r>
          </m:sub>
        </m:sSub>
      </m:oMath>
      <w:r w:rsidRPr="00BC31E0">
        <w:rPr>
          <w:rFonts w:hint="eastAsia"/>
        </w:rPr>
        <w:t>及び</w:t>
      </w:r>
      <m:oMath>
        <m:sSub>
          <m:sSubPr>
            <m:ctrlPr>
              <w:rPr>
                <w:rFonts w:ascii="Cambria Math" w:hAnsi="Cambria Math"/>
                <w:i/>
              </w:rPr>
            </m:ctrlPr>
          </m:sSubPr>
          <m:e>
            <m:r>
              <w:rPr>
                <w:rFonts w:ascii="Cambria Math" w:hAnsi="Cambria Math"/>
              </w:rPr>
              <m:t xml:space="preserve"> σ</m:t>
            </m:r>
          </m:e>
          <m:sub>
            <m:r>
              <w:rPr>
                <w:rFonts w:ascii="Cambria Math" w:hAnsi="Cambria Math" w:hint="eastAsia"/>
              </w:rPr>
              <m:t>3</m:t>
            </m:r>
          </m:sub>
        </m:sSub>
        <m:r>
          <w:rPr>
            <w:rFonts w:ascii="Cambria Math" w:hAnsi="Cambria Math" w:hint="eastAsia"/>
          </w:rPr>
          <m:t xml:space="preserve"> </m:t>
        </m:r>
      </m:oMath>
      <w:r w:rsidRPr="00BC31E0">
        <w:rPr>
          <w:rFonts w:hint="eastAsia"/>
        </w:rPr>
        <w:t>を計算する。</w:t>
      </w:r>
    </w:p>
    <w:p w14:paraId="47EA0B2D" w14:textId="77777777" w:rsidR="00724C30" w:rsidRPr="00BC31E0" w:rsidRDefault="00724C30" w:rsidP="00736130">
      <w:pPr>
        <w:pStyle w:val="a4"/>
        <w:numPr>
          <w:ilvl w:val="0"/>
          <w:numId w:val="396"/>
        </w:numPr>
        <w:spacing w:after="120"/>
        <w:ind w:leftChars="0" w:left="738" w:hanging="454"/>
      </w:pPr>
      <w:r w:rsidRPr="00BC31E0">
        <w:t>各主応力</w:t>
      </w:r>
      <w:r w:rsidRPr="00BC31E0">
        <w:rPr>
          <w:rFonts w:hint="eastAsia"/>
        </w:rPr>
        <w:t>を用いて，</w:t>
      </w:r>
      <w:r w:rsidRPr="00BC31E0">
        <w:rPr>
          <w:rFonts w:asciiTheme="majorEastAsia" w:eastAsiaTheme="majorEastAsia" w:hAnsiTheme="majorEastAsia" w:hint="eastAsia"/>
          <w:b/>
        </w:rPr>
        <w:t>式(1)</w:t>
      </w:r>
      <w:r w:rsidRPr="00BC31E0">
        <w:rPr>
          <w:rFonts w:hint="eastAsia"/>
        </w:rPr>
        <w:t>でミーゼスの相当応力</w:t>
      </w:r>
      <m:oMath>
        <m:r>
          <m:rPr>
            <m:sty m:val="p"/>
          </m:rPr>
          <w:rPr>
            <w:rFonts w:ascii="Cambria Math" w:hAnsi="Cambria Math"/>
          </w:rPr>
          <m:t xml:space="preserve"> </m:t>
        </m:r>
        <m:r>
          <w:rPr>
            <w:rFonts w:ascii="Cambria Math" w:hAnsi="Cambria Math" w:hint="eastAsia"/>
          </w:rPr>
          <m:t>S</m:t>
        </m:r>
        <m:r>
          <w:rPr>
            <w:rFonts w:ascii="Cambria Math" w:hAnsi="Cambria Math"/>
          </w:rPr>
          <m:t xml:space="preserve"> </m:t>
        </m:r>
      </m:oMath>
      <w:r w:rsidRPr="00BC31E0">
        <w:rPr>
          <w:rFonts w:hint="eastAsia"/>
        </w:rPr>
        <w:t>を計算する</w:t>
      </w:r>
      <w:r w:rsidRPr="00BC31E0">
        <w:t>。</w:t>
      </w:r>
    </w:p>
    <w:tbl>
      <w:tblPr>
        <w:tblStyle w:val="afff2"/>
        <w:tblW w:w="7031" w:type="dxa"/>
        <w:tblInd w:w="20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8"/>
        <w:gridCol w:w="2563"/>
      </w:tblGrid>
      <w:tr w:rsidR="00724C30" w:rsidRPr="00BC31E0" w14:paraId="7F836959" w14:textId="77777777" w:rsidTr="004736F2">
        <w:tc>
          <w:tcPr>
            <w:tcW w:w="0" w:type="auto"/>
            <w:tcMar>
              <w:left w:w="0" w:type="dxa"/>
              <w:right w:w="0" w:type="dxa"/>
            </w:tcMar>
            <w:vAlign w:val="center"/>
          </w:tcPr>
          <w:p w14:paraId="78BBAA84" w14:textId="77777777" w:rsidR="00724C30" w:rsidRPr="00BC31E0" w:rsidRDefault="00724C30" w:rsidP="00B85E50">
            <w:pPr>
              <w:jc w:val="left"/>
            </w:pPr>
            <m:oMathPara>
              <m:oMathParaPr>
                <m:jc m:val="left"/>
              </m:oMathParaPr>
              <m:oMath>
                <m:r>
                  <w:rPr>
                    <w:rFonts w:ascii="Cambria Math" w:hAnsi="Cambria Math"/>
                  </w:rPr>
                  <m:t>S=</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r>
                  <w:rPr>
                    <w:rFonts w:ascii="Cambria Math" w:hAnsi="Cambria Math"/>
                  </w:rPr>
                  <m:t xml:space="preserve"> </m:t>
                </m:r>
                <m:sSup>
                  <m:sSupPr>
                    <m:ctrlPr>
                      <w:rPr>
                        <w:rFonts w:ascii="Cambria Math" w:hAnsi="Cambria Math"/>
                        <w:i/>
                      </w:rPr>
                    </m:ctrlPr>
                  </m:sSupPr>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2</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3</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1</m:t>
                                    </m:r>
                                  </m:sub>
                                </m:sSub>
                              </m:e>
                            </m:d>
                          </m:e>
                          <m:sup>
                            <m:r>
                              <w:rPr>
                                <w:rFonts w:ascii="Cambria Math" w:hAnsi="Cambria Math"/>
                              </w:rPr>
                              <m:t>2</m:t>
                            </m:r>
                          </m:sup>
                        </m:sSup>
                        <m:r>
                          <w:rPr>
                            <w:rFonts w:ascii="Cambria Math" w:hAnsi="Cambria Math"/>
                          </w:rPr>
                          <m:t xml:space="preserve"> </m:t>
                        </m:r>
                      </m:e>
                    </m:d>
                  </m:e>
                  <m:sup>
                    <m:r>
                      <w:rPr>
                        <w:rFonts w:ascii="Cambria Math" w:hAnsi="Cambria Math"/>
                      </w:rPr>
                      <m:t>0.5</m:t>
                    </m:r>
                  </m:sup>
                </m:sSup>
              </m:oMath>
            </m:oMathPara>
          </w:p>
        </w:tc>
        <w:tc>
          <w:tcPr>
            <w:tcW w:w="2563" w:type="dxa"/>
            <w:tcMar>
              <w:left w:w="0" w:type="dxa"/>
              <w:right w:w="0" w:type="dxa"/>
            </w:tcMar>
            <w:vAlign w:val="center"/>
          </w:tcPr>
          <w:p w14:paraId="52897CBE" w14:textId="77777777" w:rsidR="00724C30" w:rsidRPr="00BC31E0" w:rsidRDefault="00724C30" w:rsidP="00B85E50">
            <w:pPr>
              <w:tabs>
                <w:tab w:val="left" w:leader="middleDot" w:pos="1996"/>
              </w:tabs>
              <w:jc w:val="left"/>
            </w:pPr>
            <w:r w:rsidRPr="00BC31E0">
              <w:tab/>
            </w:r>
            <w:r w:rsidRPr="00BC31E0">
              <w:rPr>
                <w:rFonts w:hint="eastAsia"/>
              </w:rPr>
              <w:t>(1)</w:t>
            </w:r>
          </w:p>
        </w:tc>
      </w:tr>
    </w:tbl>
    <w:p w14:paraId="6F6D83D9" w14:textId="77777777" w:rsidR="00724C30" w:rsidRPr="00BC31E0" w:rsidRDefault="00724C30" w:rsidP="00736130">
      <w:pPr>
        <w:pStyle w:val="a4"/>
        <w:numPr>
          <w:ilvl w:val="0"/>
          <w:numId w:val="397"/>
        </w:numPr>
        <w:spacing w:before="120"/>
        <w:ind w:leftChars="0" w:left="454" w:hanging="454"/>
      </w:pPr>
      <w:r w:rsidRPr="00BC31E0">
        <w:rPr>
          <w:rFonts w:asciiTheme="majorEastAsia" w:eastAsiaTheme="majorEastAsia" w:hAnsiTheme="majorEastAsia" w:hint="eastAsia"/>
          <w:b/>
        </w:rPr>
        <w:t>応力制限</w:t>
      </w:r>
      <w:r w:rsidRPr="00BC31E0">
        <w:rPr>
          <w:rFonts w:hint="eastAsia"/>
        </w:rPr>
        <w:t xml:space="preserve">　最も厳しい荷重組合せと相当応力の制限値に関する要求事項を満足する設計でなければならない。円筒胴及び球形胴については，本体の</w:t>
      </w:r>
      <w:r w:rsidRPr="00BC31E0">
        <w:rPr>
          <w:rFonts w:ascii="ＭＳ ゴシック" w:eastAsia="ＭＳ ゴシック" w:hAnsi="ＭＳ ゴシック" w:hint="eastAsia"/>
          <w:b/>
          <w:bCs/>
        </w:rPr>
        <w:t>6.2.2</w:t>
      </w:r>
      <w:r w:rsidRPr="00BC31E0">
        <w:rPr>
          <w:rFonts w:hint="eastAsia"/>
        </w:rPr>
        <w:t>の設計圧力に対する制限を満足しなければならない。構造不連続部から離れた円筒胴及び球形胴を除く全ての部分について，要求事項を</w:t>
      </w:r>
      <w:r w:rsidRPr="00BC31E0">
        <w:rPr>
          <w:rFonts w:asciiTheme="majorEastAsia" w:eastAsiaTheme="majorEastAsia" w:hAnsiTheme="majorEastAsia" w:hint="eastAsia"/>
          <w:b/>
          <w:bCs/>
        </w:rPr>
        <w:t>表J.1</w:t>
      </w:r>
      <w:r w:rsidRPr="00BC31E0">
        <w:rPr>
          <w:rFonts w:hint="eastAsia"/>
        </w:rPr>
        <w:t>，</w:t>
      </w:r>
      <w:r w:rsidRPr="00BC31E0">
        <w:rPr>
          <w:rFonts w:asciiTheme="majorEastAsia" w:eastAsiaTheme="majorEastAsia" w:hAnsiTheme="majorEastAsia" w:hint="eastAsia"/>
          <w:b/>
          <w:bCs/>
        </w:rPr>
        <w:t>表J.2</w:t>
      </w:r>
      <w:r w:rsidRPr="00BC31E0">
        <w:rPr>
          <w:rFonts w:hint="eastAsia"/>
        </w:rPr>
        <w:t>及び次の</w:t>
      </w:r>
      <w:r w:rsidRPr="00BC31E0">
        <w:rPr>
          <w:rFonts w:asciiTheme="majorEastAsia" w:eastAsiaTheme="majorEastAsia" w:hAnsiTheme="majorEastAsia" w:hint="eastAsia"/>
          <w:b/>
          <w:bCs/>
        </w:rPr>
        <w:t>d)</w:t>
      </w:r>
      <w:r w:rsidRPr="00BC31E0">
        <w:rPr>
          <w:rFonts w:hint="eastAsia"/>
        </w:rPr>
        <w:t>～</w:t>
      </w:r>
      <w:r w:rsidRPr="00BC31E0">
        <w:rPr>
          <w:rFonts w:asciiTheme="majorEastAsia" w:eastAsiaTheme="majorEastAsia" w:hAnsiTheme="majorEastAsia" w:hint="eastAsia"/>
          <w:b/>
          <w:bCs/>
        </w:rPr>
        <w:t>k)</w:t>
      </w:r>
      <w:r w:rsidRPr="00BC31E0">
        <w:rPr>
          <w:rFonts w:hint="eastAsia"/>
        </w:rPr>
        <w:t>に規定する。なお，円筒胴及び球形胴については，</w:t>
      </w:r>
      <m:oMath>
        <m:sSub>
          <m:sSubPr>
            <m:ctrlPr>
              <w:rPr>
                <w:rFonts w:ascii="Cambria Math" w:hAnsi="Cambria Math"/>
                <w:i/>
              </w:rPr>
            </m:ctrlPr>
          </m:sSubPr>
          <m:e>
            <m:r>
              <w:rPr>
                <w:rFonts w:ascii="Cambria Math" w:hAnsi="Cambria Math"/>
              </w:rPr>
              <m:t>P</m:t>
            </m:r>
          </m:e>
          <m:sub>
            <m:r>
              <w:rPr>
                <w:rFonts w:ascii="Cambria Math" w:hAnsi="Cambria Math"/>
              </w:rPr>
              <m:t>m</m:t>
            </m:r>
          </m:sub>
        </m:sSub>
        <m:r>
          <w:rPr>
            <w:rFonts w:ascii="Cambria Math" w:hAnsi="Cambria Math"/>
          </w:rPr>
          <m:t xml:space="preserve"> </m:t>
        </m:r>
      </m:oMath>
      <w:r w:rsidRPr="00BC31E0">
        <w:rPr>
          <w:rFonts w:hint="eastAsia"/>
        </w:rPr>
        <w:t>の評価を満足する必要はない。設計では，設計条件と運転条件における荷重組合せとその許容限界を考慮しなければならない。</w:t>
      </w:r>
    </w:p>
    <w:p w14:paraId="57681A3C" w14:textId="77777777" w:rsidR="00724C30" w:rsidRPr="00BC31E0" w:rsidRDefault="00724C30" w:rsidP="0060678C">
      <w:pPr>
        <w:spacing w:after="120"/>
        <w:ind w:left="454" w:firstLineChars="100" w:firstLine="211"/>
      </w:pPr>
      <w:r w:rsidRPr="00BC31E0">
        <w:rPr>
          <w:rFonts w:asciiTheme="majorEastAsia" w:eastAsiaTheme="majorEastAsia" w:hAnsiTheme="majorEastAsia" w:hint="eastAsia"/>
          <w:b/>
          <w:bCs/>
        </w:rPr>
        <w:t>表J.1</w:t>
      </w:r>
      <w:r w:rsidRPr="00BC31E0">
        <w:rPr>
          <w:rFonts w:hint="eastAsia"/>
        </w:rPr>
        <w:t>及び</w:t>
      </w:r>
      <w:r w:rsidRPr="00BC31E0">
        <w:rPr>
          <w:rFonts w:asciiTheme="majorEastAsia" w:eastAsiaTheme="majorEastAsia" w:hAnsiTheme="majorEastAsia" w:hint="eastAsia"/>
          <w:b/>
          <w:bCs/>
        </w:rPr>
        <w:t>表J.2</w:t>
      </w:r>
      <w:r w:rsidRPr="00BC31E0">
        <w:rPr>
          <w:rFonts w:hint="eastAsia"/>
        </w:rPr>
        <w:t>の許容限界に用いる</w:t>
      </w:r>
      <m:oMath>
        <m:r>
          <w:rPr>
            <w:rFonts w:ascii="Cambria Math" w:hAnsi="Cambria Math" w:hint="eastAsia"/>
          </w:rPr>
          <m:t xml:space="preserve"> </m:t>
        </m:r>
        <m:sSub>
          <m:sSubPr>
            <m:ctrlPr>
              <w:rPr>
                <w:rFonts w:ascii="Cambria Math" w:hAnsi="Cambria Math"/>
                <w:i/>
              </w:rPr>
            </m:ctrlPr>
          </m:sSubPr>
          <m:e>
            <m:r>
              <w:rPr>
                <w:rFonts w:ascii="Cambria Math" w:hAnsi="Cambria Math"/>
              </w:rPr>
              <m:t>S</m:t>
            </m:r>
          </m:e>
          <m:sub>
            <m:r>
              <w:rPr>
                <w:rFonts w:ascii="Cambria Math" w:hAnsi="Cambria Math"/>
              </w:rPr>
              <m:t>y</m:t>
            </m:r>
          </m:sub>
        </m:sSub>
        <m:r>
          <w:rPr>
            <w:rFonts w:ascii="Cambria Math" w:hAnsi="Cambria Math"/>
          </w:rPr>
          <m:t xml:space="preserve"> </m:t>
        </m:r>
      </m:oMath>
      <w:r w:rsidRPr="00BC31E0">
        <w:rPr>
          <w:rFonts w:hint="eastAsia"/>
        </w:rPr>
        <w:t>は，</w:t>
      </w:r>
      <w:r w:rsidRPr="00BC31E0">
        <w:rPr>
          <w:rFonts w:asciiTheme="majorEastAsia" w:eastAsiaTheme="majorEastAsia" w:hAnsiTheme="majorEastAsia" w:hint="eastAsia"/>
          <w:b/>
          <w:bCs/>
        </w:rPr>
        <w:t>表J.2</w:t>
      </w:r>
      <w:r w:rsidRPr="00BC31E0">
        <w:rPr>
          <w:rFonts w:hint="eastAsia"/>
        </w:rPr>
        <w:t>の</w:t>
      </w:r>
      <w:r w:rsidRPr="00BC31E0">
        <w:rPr>
          <w:rFonts w:asciiTheme="majorEastAsia" w:eastAsiaTheme="majorEastAsia" w:hAnsiTheme="majorEastAsia" w:hint="eastAsia"/>
          <w:b/>
          <w:bCs/>
        </w:rPr>
        <w:t>注</w:t>
      </w:r>
      <w:r w:rsidRPr="00BC31E0">
        <w:rPr>
          <w:rFonts w:asciiTheme="majorEastAsia" w:eastAsiaTheme="majorEastAsia" w:hAnsiTheme="majorEastAsia" w:hint="eastAsia"/>
          <w:b/>
          <w:bCs/>
          <w:vertAlign w:val="superscript"/>
        </w:rPr>
        <w:t>b)</w:t>
      </w:r>
      <w:r w:rsidRPr="00BC31E0">
        <w:rPr>
          <w:rFonts w:hint="eastAsia"/>
        </w:rPr>
        <w:t>を除けば，設計温度における降伏強さである。</w:t>
      </w:r>
      <m:oMath>
        <m:sSub>
          <m:sSubPr>
            <m:ctrlPr>
              <w:rPr>
                <w:rFonts w:ascii="Cambria Math" w:hAnsi="Cambria Math"/>
                <w:i/>
              </w:rPr>
            </m:ctrlPr>
          </m:sSubPr>
          <m:e>
            <m:r>
              <w:rPr>
                <w:rFonts w:ascii="Cambria Math" w:hAnsi="Cambria Math"/>
              </w:rPr>
              <m:t>k</m:t>
            </m:r>
          </m:e>
          <m:sub>
            <m:r>
              <w:rPr>
                <w:rFonts w:ascii="Cambria Math" w:hAnsi="Cambria Math"/>
              </w:rPr>
              <m:t>c</m:t>
            </m:r>
          </m:sub>
        </m:sSub>
        <m:r>
          <w:rPr>
            <w:rFonts w:ascii="Cambria Math" w:hAnsi="Cambria Math" w:hint="eastAsia"/>
          </w:rPr>
          <m:t xml:space="preserve"> </m:t>
        </m:r>
      </m:oMath>
      <w:r w:rsidRPr="00BC31E0">
        <w:rPr>
          <w:rFonts w:hint="eastAsia"/>
        </w:rPr>
        <w:t>は，一次一般膜相当応力の許容限界に対するクリープ温度域の膜応力補正係数である</w:t>
      </w:r>
      <w:r w:rsidRPr="00BC31E0">
        <w:rPr>
          <w:rFonts w:hint="eastAsia"/>
        </w:rPr>
        <w:t>[</w:t>
      </w:r>
      <w:r w:rsidRPr="00BC31E0">
        <w:rPr>
          <w:rFonts w:hint="eastAsia"/>
        </w:rPr>
        <w:t>本体の</w:t>
      </w:r>
      <w:r w:rsidRPr="00BC31E0">
        <w:rPr>
          <w:rFonts w:asciiTheme="majorEastAsia" w:eastAsiaTheme="majorEastAsia" w:hAnsiTheme="majorEastAsia" w:hint="eastAsia"/>
          <w:b/>
          <w:bCs/>
        </w:rPr>
        <w:t>5.4 e)</w:t>
      </w:r>
      <w:r w:rsidRPr="00BC31E0">
        <w:rPr>
          <w:rFonts w:hint="eastAsia"/>
        </w:rPr>
        <w:t>を参照</w:t>
      </w:r>
      <w:r w:rsidRPr="00BC31E0">
        <w:rPr>
          <w:rFonts w:hint="eastAsia"/>
        </w:rPr>
        <w:t>]</w:t>
      </w:r>
      <w:r w:rsidRPr="00BC31E0">
        <w:rPr>
          <w:rFonts w:hint="eastAsia"/>
        </w:rPr>
        <w:t>。</w:t>
      </w:r>
      <m:oMath>
        <m:sSub>
          <m:sSubPr>
            <m:ctrlPr>
              <w:rPr>
                <w:rFonts w:ascii="Cambria Math" w:hAnsi="Cambria Math"/>
                <w:i/>
              </w:rPr>
            </m:ctrlPr>
          </m:sSubPr>
          <m:e>
            <m:r>
              <w:rPr>
                <w:rFonts w:ascii="Cambria Math" w:hAnsi="Cambria Math"/>
              </w:rPr>
              <m:t>k</m:t>
            </m:r>
          </m:e>
          <m:sub>
            <m:r>
              <w:rPr>
                <w:rFonts w:ascii="Cambria Math" w:hAnsi="Cambria Math"/>
              </w:rPr>
              <m:t xml:space="preserve">c1 </m:t>
            </m:r>
          </m:sub>
        </m:sSub>
      </m:oMath>
      <w:r w:rsidRPr="00BC31E0">
        <w:rPr>
          <w:rFonts w:hint="eastAsia"/>
        </w:rPr>
        <w:t>は，</w:t>
      </w:r>
      <w:r w:rsidRPr="00BC31E0">
        <w:rPr>
          <w:rFonts w:asciiTheme="majorEastAsia" w:eastAsiaTheme="majorEastAsia" w:hAnsiTheme="majorEastAsia" w:hint="eastAsia"/>
          <w:b/>
          <w:bCs/>
        </w:rPr>
        <w:t>式(2)</w:t>
      </w:r>
      <w:r w:rsidRPr="00BC31E0">
        <w:rPr>
          <w:rFonts w:hint="eastAsia"/>
        </w:rPr>
        <w:t>に示す一次応力の許容限界に対する設計補</w:t>
      </w:r>
      <w:r w:rsidRPr="00BC31E0">
        <w:rPr>
          <w:rFonts w:hint="eastAsia"/>
        </w:rPr>
        <w:lastRenderedPageBreak/>
        <w:t>正係数であり，</w:t>
      </w:r>
      <m:oMath>
        <m:sSub>
          <m:sSubPr>
            <m:ctrlPr>
              <w:rPr>
                <w:rFonts w:ascii="Cambria Math" w:hAnsi="Cambria Math"/>
                <w:i/>
              </w:rPr>
            </m:ctrlPr>
          </m:sSubPr>
          <m:e>
            <m:r>
              <w:rPr>
                <w:rFonts w:ascii="Cambria Math" w:hAnsi="Cambria Math"/>
              </w:rPr>
              <m:t>S</m:t>
            </m:r>
          </m:e>
          <m:sub>
            <m:r>
              <w:rPr>
                <w:rFonts w:ascii="Cambria Math" w:hAnsi="Cambria Math"/>
              </w:rPr>
              <m:t>y</m:t>
            </m:r>
          </m:sub>
        </m:sSub>
        <m:r>
          <w:rPr>
            <w:rFonts w:ascii="Cambria Math" w:hAnsi="Cambria Math" w:hint="eastAsia"/>
          </w:rPr>
          <m:t xml:space="preserve"> </m:t>
        </m:r>
      </m:oMath>
      <w:r w:rsidRPr="00BC31E0">
        <w:rPr>
          <w:rFonts w:hint="eastAsia"/>
        </w:rPr>
        <w:t>と</w:t>
      </w:r>
      <m:oMath>
        <m:sSub>
          <m:sSubPr>
            <m:ctrlPr>
              <w:rPr>
                <w:rFonts w:ascii="Cambria Math" w:hAnsi="Cambria Math"/>
                <w:i/>
              </w:rPr>
            </m:ctrlPr>
          </m:sSubPr>
          <m:e>
            <m:r>
              <w:rPr>
                <w:rFonts w:ascii="Cambria Math" w:hAnsi="Cambria Math" w:hint="eastAsia"/>
              </w:rPr>
              <m:t xml:space="preserve"> </m:t>
            </m:r>
            <m:r>
              <w:rPr>
                <w:rFonts w:ascii="Cambria Math" w:hAnsi="Cambria Math"/>
              </w:rPr>
              <m:t>S</m:t>
            </m:r>
          </m:e>
          <m:sub>
            <m:r>
              <w:rPr>
                <w:rFonts w:ascii="Cambria Math" w:hAnsi="Cambria Math"/>
              </w:rPr>
              <m:t>u</m:t>
            </m:r>
          </m:sub>
        </m:sSub>
        <m:r>
          <w:rPr>
            <w:rFonts w:ascii="Cambria Math" w:hAnsi="Cambria Math"/>
          </w:rPr>
          <m:t xml:space="preserve"> </m:t>
        </m:r>
      </m:oMath>
      <w:r w:rsidRPr="00BC31E0">
        <w:rPr>
          <w:rFonts w:hint="eastAsia"/>
        </w:rPr>
        <w:t>はそれぞれ室温における降伏強さと引張強さである。</w:t>
      </w:r>
    </w:p>
    <w:tbl>
      <w:tblPr>
        <w:tblStyle w:val="afff2"/>
        <w:tblW w:w="7484" w:type="dxa"/>
        <w:tblInd w:w="1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3"/>
        <w:gridCol w:w="2294"/>
        <w:gridCol w:w="2307"/>
      </w:tblGrid>
      <w:tr w:rsidR="00724C30" w:rsidRPr="00BC31E0" w14:paraId="2172F065" w14:textId="77777777" w:rsidTr="004736F2">
        <w:tc>
          <w:tcPr>
            <w:tcW w:w="0" w:type="auto"/>
            <w:tcMar>
              <w:left w:w="0" w:type="dxa"/>
              <w:right w:w="0" w:type="dxa"/>
            </w:tcMar>
            <w:vAlign w:val="center"/>
          </w:tcPr>
          <w:p w14:paraId="4FC35A1F" w14:textId="77777777" w:rsidR="00724C30" w:rsidRPr="00BC31E0" w:rsidRDefault="00A51873" w:rsidP="004736F2">
            <w:pPr>
              <w:spacing w:line="360" w:lineRule="atLeast"/>
            </w:pPr>
            <m:oMathPara>
              <m:oMathParaPr>
                <m:jc m:val="left"/>
              </m:oMathParaPr>
              <m:oMath>
                <m:f>
                  <m:fPr>
                    <m:type m:val="lin"/>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y</m:t>
                        </m:r>
                      </m:sub>
                    </m:sSub>
                  </m:num>
                  <m:den>
                    <m:sSub>
                      <m:sSubPr>
                        <m:ctrlPr>
                          <w:rPr>
                            <w:rFonts w:ascii="Cambria Math" w:hAnsi="Cambria Math"/>
                            <w:i/>
                          </w:rPr>
                        </m:ctrlPr>
                      </m:sSubPr>
                      <m:e>
                        <m:r>
                          <w:rPr>
                            <w:rFonts w:ascii="Cambria Math" w:hAnsi="Cambria Math"/>
                          </w:rPr>
                          <m:t>S</m:t>
                        </m:r>
                      </m:e>
                      <m:sub>
                        <m:r>
                          <w:rPr>
                            <w:rFonts w:ascii="Cambria Math" w:hAnsi="Cambria Math"/>
                          </w:rPr>
                          <m:t>u</m:t>
                        </m:r>
                      </m:sub>
                    </m:sSub>
                    <m:r>
                      <m:rPr>
                        <m:sty m:val="p"/>
                      </m:rPr>
                      <w:rPr>
                        <w:rFonts w:ascii="Cambria Math" w:hAnsi="Cambria Math"/>
                      </w:rPr>
                      <m:t>≦</m:t>
                    </m:r>
                    <m:r>
                      <w:rPr>
                        <w:rFonts w:ascii="Cambria Math" w:hAnsi="Cambria Math"/>
                      </w:rPr>
                      <m:t xml:space="preserve">0.76 </m:t>
                    </m:r>
                  </m:den>
                </m:f>
                <m:r>
                  <m:rPr>
                    <m:sty m:val="p"/>
                  </m:rPr>
                  <w:rPr>
                    <w:rFonts w:ascii="Cambria Math" w:hAnsi="Cambria Math" w:hint="eastAsia"/>
                  </w:rPr>
                  <m:t>の場合</m:t>
                </m:r>
              </m:oMath>
            </m:oMathPara>
          </w:p>
        </w:tc>
        <w:tc>
          <w:tcPr>
            <w:tcW w:w="0" w:type="auto"/>
            <w:tcMar>
              <w:left w:w="0" w:type="dxa"/>
              <w:right w:w="0" w:type="dxa"/>
            </w:tcMar>
            <w:vAlign w:val="center"/>
          </w:tcPr>
          <w:p w14:paraId="14652770" w14:textId="77777777" w:rsidR="00724C30" w:rsidRPr="00BC31E0" w:rsidRDefault="00A51873" w:rsidP="004736F2">
            <w:pPr>
              <w:spacing w:line="360" w:lineRule="atLeast"/>
            </w:pPr>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c1</m:t>
                    </m:r>
                  </m:sub>
                </m:sSub>
                <m:r>
                  <w:rPr>
                    <w:rFonts w:ascii="Cambria Math" w:hAnsi="Cambria Math"/>
                  </w:rPr>
                  <m:t>=1.0</m:t>
                </m:r>
              </m:oMath>
            </m:oMathPara>
          </w:p>
        </w:tc>
        <w:tc>
          <w:tcPr>
            <w:tcW w:w="2307" w:type="dxa"/>
            <w:vMerge w:val="restart"/>
            <w:tcMar>
              <w:left w:w="0" w:type="dxa"/>
              <w:right w:w="0" w:type="dxa"/>
            </w:tcMar>
            <w:vAlign w:val="center"/>
          </w:tcPr>
          <w:p w14:paraId="07A6B4CE" w14:textId="77777777" w:rsidR="00724C30" w:rsidRPr="00BC31E0" w:rsidRDefault="00724C30" w:rsidP="00AB69CD">
            <w:pPr>
              <w:tabs>
                <w:tab w:val="left" w:leader="middleDot" w:pos="1740"/>
              </w:tabs>
              <w:spacing w:line="360" w:lineRule="atLeast"/>
              <w:jc w:val="left"/>
            </w:pPr>
            <w:r w:rsidRPr="00BC31E0">
              <w:rPr>
                <w:rFonts w:hint="eastAsia"/>
              </w:rPr>
              <w:tab/>
              <w:t>(2)</w:t>
            </w:r>
          </w:p>
        </w:tc>
      </w:tr>
      <w:tr w:rsidR="00724C30" w:rsidRPr="00BC31E0" w14:paraId="16A71FDD" w14:textId="77777777" w:rsidTr="004736F2">
        <w:tc>
          <w:tcPr>
            <w:tcW w:w="0" w:type="auto"/>
            <w:tcMar>
              <w:left w:w="0" w:type="dxa"/>
              <w:right w:w="0" w:type="dxa"/>
            </w:tcMar>
            <w:vAlign w:val="center"/>
          </w:tcPr>
          <w:p w14:paraId="517D16F3" w14:textId="77777777" w:rsidR="00724C30" w:rsidRPr="00BC31E0" w:rsidRDefault="00A51873" w:rsidP="004736F2">
            <w:pPr>
              <w:spacing w:before="120" w:line="360" w:lineRule="atLeast"/>
            </w:pPr>
            <m:oMathPara>
              <m:oMathParaPr>
                <m:jc m:val="left"/>
              </m:oMathParaPr>
              <m:oMath>
                <m:f>
                  <m:fPr>
                    <m:type m:val="lin"/>
                    <m:ctrlPr>
                      <w:rPr>
                        <w:rFonts w:ascii="Cambria Math" w:hAnsi="Cambria Math"/>
                        <w:i/>
                      </w:rPr>
                    </m:ctrlPr>
                  </m:fPr>
                  <m:num>
                    <m:sSub>
                      <m:sSubPr>
                        <m:ctrlPr>
                          <w:rPr>
                            <w:rFonts w:ascii="Cambria Math" w:hAnsi="Cambria Math"/>
                            <w:i/>
                          </w:rPr>
                        </m:ctrlPr>
                      </m:sSubPr>
                      <m:e>
                        <m:r>
                          <w:rPr>
                            <w:rFonts w:ascii="Cambria Math" w:hAnsi="Cambria Math"/>
                          </w:rPr>
                          <m:t>0.76&lt;S</m:t>
                        </m:r>
                      </m:e>
                      <m:sub>
                        <m:r>
                          <w:rPr>
                            <w:rFonts w:ascii="Cambria Math" w:hAnsi="Cambria Math"/>
                          </w:rPr>
                          <m:t>y</m:t>
                        </m:r>
                      </m:sub>
                    </m:sSub>
                  </m:num>
                  <m:den>
                    <m:sSub>
                      <m:sSubPr>
                        <m:ctrlPr>
                          <w:rPr>
                            <w:rFonts w:ascii="Cambria Math" w:hAnsi="Cambria Math"/>
                            <w:i/>
                          </w:rPr>
                        </m:ctrlPr>
                      </m:sSubPr>
                      <m:e>
                        <m:r>
                          <w:rPr>
                            <w:rFonts w:ascii="Cambria Math" w:hAnsi="Cambria Math"/>
                          </w:rPr>
                          <m:t>S</m:t>
                        </m:r>
                      </m:e>
                      <m:sub>
                        <m:r>
                          <w:rPr>
                            <w:rFonts w:ascii="Cambria Math" w:hAnsi="Cambria Math"/>
                          </w:rPr>
                          <m:t>u</m:t>
                        </m:r>
                      </m:sub>
                    </m:sSub>
                    <m:r>
                      <w:rPr>
                        <w:rFonts w:ascii="Cambria Math" w:hAnsi="Cambria Math"/>
                      </w:rPr>
                      <m:t xml:space="preserve">&lt;1.0 </m:t>
                    </m:r>
                  </m:den>
                </m:f>
                <m:r>
                  <m:rPr>
                    <m:sty m:val="p"/>
                  </m:rPr>
                  <w:rPr>
                    <w:rFonts w:ascii="Cambria Math" w:hAnsi="Cambria Math" w:hint="eastAsia"/>
                  </w:rPr>
                  <m:t xml:space="preserve">の場合　　</m:t>
                </m:r>
              </m:oMath>
            </m:oMathPara>
          </w:p>
        </w:tc>
        <w:tc>
          <w:tcPr>
            <w:tcW w:w="0" w:type="auto"/>
            <w:tcMar>
              <w:left w:w="0" w:type="dxa"/>
              <w:right w:w="0" w:type="dxa"/>
            </w:tcMar>
            <w:vAlign w:val="center"/>
          </w:tcPr>
          <w:p w14:paraId="46E65453" w14:textId="77777777" w:rsidR="00724C30" w:rsidRPr="00BC31E0" w:rsidRDefault="00A51873" w:rsidP="004736F2">
            <w:pPr>
              <w:spacing w:before="120" w:line="360" w:lineRule="atLeast"/>
            </w:pPr>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c1</m:t>
                    </m:r>
                  </m:sub>
                </m:sSub>
                <m:r>
                  <w:rPr>
                    <w:rFonts w:ascii="Cambria Math" w:hAnsi="Cambria Math"/>
                  </w:rPr>
                  <m:t xml:space="preserve">=0.433 </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f>
                          <m:fPr>
                            <m:type m:val="lin"/>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y</m:t>
                                </m:r>
                              </m:sub>
                            </m:sSub>
                          </m:num>
                          <m:den>
                            <m:sSub>
                              <m:sSubPr>
                                <m:ctrlPr>
                                  <w:rPr>
                                    <w:rFonts w:ascii="Cambria Math" w:hAnsi="Cambria Math"/>
                                    <w:i/>
                                  </w:rPr>
                                </m:ctrlPr>
                              </m:sSubPr>
                              <m:e>
                                <m:r>
                                  <w:rPr>
                                    <w:rFonts w:ascii="Cambria Math" w:hAnsi="Cambria Math"/>
                                  </w:rPr>
                                  <m:t>S</m:t>
                                </m:r>
                              </m:e>
                              <m:sub>
                                <m:r>
                                  <w:rPr>
                                    <w:rFonts w:ascii="Cambria Math" w:hAnsi="Cambria Math"/>
                                  </w:rPr>
                                  <m:t>u</m:t>
                                </m:r>
                              </m:sub>
                            </m:sSub>
                          </m:den>
                        </m:f>
                      </m:den>
                    </m:f>
                  </m:e>
                </m:d>
              </m:oMath>
            </m:oMathPara>
          </w:p>
        </w:tc>
        <w:tc>
          <w:tcPr>
            <w:tcW w:w="2307" w:type="dxa"/>
            <w:vMerge/>
            <w:vAlign w:val="center"/>
          </w:tcPr>
          <w:p w14:paraId="0D3DCB26" w14:textId="77777777" w:rsidR="00724C30" w:rsidRPr="00BC31E0" w:rsidRDefault="00724C30" w:rsidP="004736F2">
            <w:pPr>
              <w:tabs>
                <w:tab w:val="left" w:leader="middleDot" w:pos="1632"/>
              </w:tabs>
              <w:spacing w:line="360" w:lineRule="atLeast"/>
              <w:jc w:val="left"/>
            </w:pPr>
          </w:p>
        </w:tc>
      </w:tr>
    </w:tbl>
    <w:p w14:paraId="247E1776" w14:textId="77777777" w:rsidR="00724C30" w:rsidRPr="00BC31E0" w:rsidRDefault="00724C30" w:rsidP="00736130">
      <w:pPr>
        <w:pStyle w:val="a4"/>
        <w:numPr>
          <w:ilvl w:val="0"/>
          <w:numId w:val="398"/>
        </w:numPr>
        <w:spacing w:before="120"/>
        <w:ind w:leftChars="0" w:left="454" w:hanging="454"/>
      </w:pPr>
      <w:r w:rsidRPr="00BC31E0">
        <w:rPr>
          <w:rFonts w:asciiTheme="majorEastAsia" w:eastAsiaTheme="majorEastAsia" w:hAnsiTheme="majorEastAsia" w:hint="eastAsia"/>
          <w:b/>
        </w:rPr>
        <w:t>一次膜応力と一次曲げ応力</w:t>
      </w:r>
      <w:r w:rsidRPr="00BC31E0">
        <w:rPr>
          <w:rFonts w:asciiTheme="minorHAnsi" w:eastAsiaTheme="minorEastAsia" w:hAnsiTheme="minorEastAsia"/>
        </w:rPr>
        <w:t xml:space="preserve">　</w:t>
      </w:r>
      <w:r w:rsidRPr="00BC31E0">
        <w:rPr>
          <w:rFonts w:asciiTheme="minorHAnsi" w:eastAsiaTheme="minorEastAsia" w:hAnsiTheme="minorEastAsia"/>
          <w:bCs/>
        </w:rPr>
        <w:t>次の</w:t>
      </w:r>
      <w:r w:rsidRPr="00BC31E0">
        <w:rPr>
          <w:rFonts w:asciiTheme="majorEastAsia" w:eastAsiaTheme="majorEastAsia" w:hAnsiTheme="majorEastAsia"/>
          <w:b/>
        </w:rPr>
        <w:t>1)</w:t>
      </w:r>
      <w:r w:rsidRPr="00BC31E0">
        <w:rPr>
          <w:rFonts w:asciiTheme="minorHAnsi" w:eastAsiaTheme="minorEastAsia" w:hAnsiTheme="minorEastAsia"/>
          <w:bCs/>
        </w:rPr>
        <w:t>～</w:t>
      </w:r>
      <w:r w:rsidRPr="00BC31E0">
        <w:rPr>
          <w:rFonts w:asciiTheme="majorEastAsia" w:eastAsiaTheme="majorEastAsia" w:hAnsiTheme="majorEastAsia"/>
          <w:b/>
        </w:rPr>
        <w:t>3)</w:t>
      </w:r>
      <w:r w:rsidRPr="00BC31E0">
        <w:rPr>
          <w:rFonts w:asciiTheme="minorHAnsi" w:eastAsiaTheme="minorEastAsia" w:hAnsiTheme="minorEastAsia"/>
          <w:bCs/>
        </w:rPr>
        <w:t>の制限を満足する。</w:t>
      </w:r>
    </w:p>
    <w:p w14:paraId="1456C9DC" w14:textId="77777777" w:rsidR="00724C30" w:rsidRPr="00BC31E0" w:rsidRDefault="00724C30" w:rsidP="00736130">
      <w:pPr>
        <w:pStyle w:val="a4"/>
        <w:numPr>
          <w:ilvl w:val="0"/>
          <w:numId w:val="399"/>
        </w:numPr>
        <w:ind w:leftChars="0" w:left="738" w:hanging="454"/>
      </w:pPr>
      <w:r w:rsidRPr="00BC31E0">
        <w:rPr>
          <w:rFonts w:asciiTheme="minorEastAsia" w:eastAsiaTheme="minorEastAsia" w:hAnsiTheme="minorEastAsia"/>
        </w:rPr>
        <w:t>一次一般膜</w:t>
      </w:r>
      <w:r w:rsidRPr="00BC31E0">
        <w:rPr>
          <w:rFonts w:asciiTheme="minorEastAsia" w:eastAsiaTheme="minorEastAsia" w:hAnsiTheme="minorEastAsia" w:hint="eastAsia"/>
        </w:rPr>
        <w:t>相当</w:t>
      </w:r>
      <w:r w:rsidRPr="00BC31E0">
        <w:rPr>
          <w:rFonts w:asciiTheme="minorEastAsia" w:eastAsiaTheme="minorEastAsia" w:hAnsiTheme="minorEastAsia"/>
        </w:rPr>
        <w:t>応力</w:t>
      </w:r>
      <w:r w:rsidRPr="00BC31E0">
        <w:rPr>
          <w:rFonts w:hint="eastAsia"/>
        </w:rPr>
        <w:t xml:space="preserve"> </w:t>
      </w:r>
      <m:oMath>
        <m:sSub>
          <m:sSubPr>
            <m:ctrlPr>
              <w:rPr>
                <w:rFonts w:ascii="Cambria Math" w:hAnsi="Cambria Math"/>
                <w:i/>
              </w:rPr>
            </m:ctrlPr>
          </m:sSubPr>
          <m:e>
            <m:r>
              <w:rPr>
                <w:rFonts w:ascii="Cambria Math" w:hAnsi="Cambria Math"/>
              </w:rPr>
              <m:t>P</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 xml:space="preserve">c </m:t>
            </m:r>
          </m:sub>
        </m:sSub>
        <m:sSub>
          <m:sSubPr>
            <m:ctrlPr>
              <w:rPr>
                <w:rFonts w:ascii="Cambria Math" w:hAnsi="Cambria Math"/>
                <w:i/>
              </w:rPr>
            </m:ctrlPr>
          </m:sSubPr>
          <m:e>
            <m:r>
              <w:rPr>
                <w:rFonts w:ascii="Cambria Math" w:hAnsi="Cambria Math"/>
              </w:rPr>
              <m:t>k</m:t>
            </m:r>
          </m:e>
          <m:sub>
            <m:r>
              <w:rPr>
                <w:rFonts w:ascii="Cambria Math" w:hAnsi="Cambria Math"/>
              </w:rPr>
              <m:t>c1</m:t>
            </m:r>
          </m:sub>
        </m:sSub>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y</m:t>
                    </m:r>
                  </m:sub>
                </m:sSub>
              </m:num>
              <m:den>
                <m:r>
                  <w:rPr>
                    <w:rFonts w:ascii="Cambria Math" w:hAnsi="Cambria Math"/>
                  </w:rPr>
                  <m:t>1.5</m:t>
                </m:r>
              </m:den>
            </m:f>
          </m:e>
        </m:d>
      </m:oMath>
    </w:p>
    <w:p w14:paraId="608AB50B" w14:textId="77777777" w:rsidR="00724C30" w:rsidRPr="00BC31E0" w:rsidRDefault="00724C30" w:rsidP="00736130">
      <w:pPr>
        <w:pStyle w:val="a4"/>
        <w:numPr>
          <w:ilvl w:val="0"/>
          <w:numId w:val="400"/>
        </w:numPr>
        <w:ind w:leftChars="0" w:left="738" w:hanging="454"/>
      </w:pPr>
      <w:r w:rsidRPr="00BC31E0">
        <w:t>一次局部膜</w:t>
      </w:r>
      <w:r w:rsidRPr="00BC31E0">
        <w:rPr>
          <w:rFonts w:hint="eastAsia"/>
        </w:rPr>
        <w:t>相当</w:t>
      </w:r>
      <w:r w:rsidRPr="00BC31E0">
        <w:t>応力</w:t>
      </w:r>
      <w:r w:rsidRPr="00BC31E0">
        <w:rPr>
          <w:rFonts w:hint="eastAsia"/>
        </w:rPr>
        <w:t xml:space="preserve"> </w:t>
      </w:r>
      <m:oMath>
        <m:sSub>
          <m:sSubPr>
            <m:ctrlPr>
              <w:rPr>
                <w:rFonts w:ascii="Cambria Math" w:hAnsi="Cambria Math"/>
                <w:i/>
              </w:rPr>
            </m:ctrlPr>
          </m:sSubPr>
          <m:e>
            <m:r>
              <w:rPr>
                <w:rFonts w:ascii="Cambria Math" w:hAnsi="Cambria Math"/>
              </w:rPr>
              <m:t>P</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 xml:space="preserve">c1 </m:t>
                </m:r>
              </m:sub>
            </m:sSub>
            <m:r>
              <w:rPr>
                <w:rFonts w:ascii="Cambria Math" w:hAnsi="Cambria Math"/>
              </w:rPr>
              <m:t>S</m:t>
            </m:r>
          </m:e>
          <m:sub>
            <m:r>
              <w:rPr>
                <w:rFonts w:ascii="Cambria Math" w:hAnsi="Cambria Math"/>
              </w:rPr>
              <m:t>y</m:t>
            </m:r>
          </m:sub>
        </m:sSub>
      </m:oMath>
    </w:p>
    <w:p w14:paraId="445042B5" w14:textId="77777777" w:rsidR="00724C30" w:rsidRPr="00BC31E0" w:rsidRDefault="00724C30" w:rsidP="00F819DD">
      <w:pPr>
        <w:ind w:left="737"/>
      </w:pPr>
      <w:r w:rsidRPr="00BC31E0">
        <w:rPr>
          <w:rFonts w:hint="eastAsia"/>
        </w:rPr>
        <w:t>局部とは，</w:t>
      </w:r>
      <m:oMath>
        <m:r>
          <w:rPr>
            <w:rFonts w:ascii="Cambria Math" w:hAnsi="Cambria Math" w:hint="eastAsia"/>
          </w:rPr>
          <m:t xml:space="preserve">0.73 </m:t>
        </m:r>
        <m:sSub>
          <m:sSubPr>
            <m:ctrlPr>
              <w:rPr>
                <w:rFonts w:ascii="Cambria Math" w:hAnsi="Cambria Math"/>
                <w:i/>
              </w:rPr>
            </m:ctrlPr>
          </m:sSubPr>
          <m:e>
            <m:r>
              <w:rPr>
                <w:rFonts w:ascii="Cambria Math" w:hAnsi="Cambria Math"/>
              </w:rPr>
              <m:t>k</m:t>
            </m:r>
          </m:e>
          <m:sub>
            <m:r>
              <w:rPr>
                <w:rFonts w:ascii="Cambria Math" w:hAnsi="Cambria Math"/>
              </w:rPr>
              <m:t xml:space="preserve">c1 </m:t>
            </m:r>
          </m:sub>
        </m:sSub>
        <m:sSub>
          <m:sSubPr>
            <m:ctrlPr>
              <w:rPr>
                <w:rFonts w:ascii="Cambria Math" w:hAnsi="Cambria Math"/>
                <w:i/>
              </w:rPr>
            </m:ctrlPr>
          </m:sSubPr>
          <m:e>
            <m:r>
              <w:rPr>
                <w:rFonts w:ascii="Cambria Math" w:hAnsi="Cambria Math"/>
              </w:rPr>
              <m:t>S</m:t>
            </m:r>
          </m:e>
          <m:sub>
            <m:r>
              <w:rPr>
                <w:rFonts w:ascii="Cambria Math" w:hAnsi="Cambria Math"/>
              </w:rPr>
              <m:t>y</m:t>
            </m:r>
          </m:sub>
        </m:sSub>
        <m:r>
          <w:rPr>
            <w:rFonts w:ascii="Cambria Math" w:hAnsi="Cambria Math"/>
          </w:rPr>
          <m:t xml:space="preserve"> </m:t>
        </m:r>
      </m:oMath>
      <w:r w:rsidRPr="00BC31E0">
        <w:rPr>
          <w:rFonts w:hint="eastAsia"/>
        </w:rPr>
        <w:t>を超える</w:t>
      </w:r>
      <w:r w:rsidRPr="00BC31E0">
        <w:t>一次膜</w:t>
      </w:r>
      <w:r w:rsidRPr="00BC31E0">
        <w:rPr>
          <w:rFonts w:hint="eastAsia"/>
        </w:rPr>
        <w:t>相当</w:t>
      </w:r>
      <w:r w:rsidRPr="00BC31E0">
        <w:t>応力</w:t>
      </w:r>
      <w:r w:rsidRPr="00BC31E0">
        <w:rPr>
          <w:rFonts w:hint="eastAsia"/>
        </w:rPr>
        <w:t>が生じる範囲が子午線方向に</w:t>
      </w:r>
      <m:oMath>
        <m:r>
          <w:rPr>
            <w:rFonts w:ascii="Cambria Math" w:hAnsi="Cambria Math" w:hint="eastAsia"/>
          </w:rPr>
          <m:t xml:space="preserve"> </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R</m:t>
                </m:r>
              </m:e>
              <m:sub>
                <m:r>
                  <w:rPr>
                    <w:rFonts w:ascii="Cambria Math" w:hAnsi="Cambria Math"/>
                  </w:rPr>
                  <m:t>m</m:t>
                </m:r>
              </m:sub>
            </m:sSub>
            <m:r>
              <w:rPr>
                <w:rFonts w:ascii="Cambria Math" w:hAnsi="Cambria Math"/>
              </w:rPr>
              <m:t xml:space="preserve"> t</m:t>
            </m:r>
          </m:e>
        </m:rad>
        <m:r>
          <w:rPr>
            <w:rFonts w:ascii="Cambria Math" w:hAnsi="Cambria Math"/>
          </w:rPr>
          <m:t xml:space="preserve"> </m:t>
        </m:r>
        <m:r>
          <w:rPr>
            <w:rFonts w:ascii="Cambria Math" w:hAnsi="Cambria Math" w:hint="eastAsia"/>
          </w:rPr>
          <m:t xml:space="preserve"> </m:t>
        </m:r>
      </m:oMath>
      <w:r w:rsidRPr="00BC31E0">
        <w:rPr>
          <w:rFonts w:hint="eastAsia"/>
        </w:rPr>
        <w:t>以内の場合をいう。ここで，</w:t>
      </w:r>
      <m:oMath>
        <m:sSub>
          <m:sSubPr>
            <m:ctrlPr>
              <w:rPr>
                <w:rFonts w:ascii="Cambria Math" w:hAnsi="Cambria Math"/>
                <w:i/>
              </w:rPr>
            </m:ctrlPr>
          </m:sSubPr>
          <m:e>
            <m:r>
              <w:rPr>
                <w:rFonts w:ascii="Cambria Math" w:hAnsi="Cambria Math"/>
              </w:rPr>
              <m:t>R</m:t>
            </m:r>
          </m:e>
          <m:sub>
            <m:r>
              <w:rPr>
                <w:rFonts w:ascii="Cambria Math" w:hAnsi="Cambria Math"/>
              </w:rPr>
              <m:t>m</m:t>
            </m:r>
          </m:sub>
        </m:sSub>
        <m:r>
          <w:rPr>
            <w:rFonts w:ascii="Cambria Math" w:hAnsi="Cambria Math"/>
          </w:rPr>
          <m:t xml:space="preserve"> </m:t>
        </m:r>
      </m:oMath>
      <w:r w:rsidRPr="00BC31E0">
        <w:rPr>
          <w:rFonts w:hint="eastAsia"/>
        </w:rPr>
        <w:t>は子午線面に垂直な法線方向で，一次局部膜相当応力が最も高くなる位置における胴又は鏡板の中央面における半径である。</w:t>
      </w:r>
      <m:oMath>
        <m:r>
          <w:rPr>
            <w:rFonts w:ascii="Cambria Math" w:hAnsi="Cambria Math" w:hint="eastAsia"/>
          </w:rPr>
          <m:t>t</m:t>
        </m:r>
        <m:r>
          <m:rPr>
            <m:sty m:val="p"/>
          </m:rPr>
          <w:rPr>
            <w:rFonts w:ascii="Cambria Math" w:hAnsi="Cambria Math" w:hint="eastAsia"/>
          </w:rPr>
          <m:t xml:space="preserve"> </m:t>
        </m:r>
      </m:oMath>
      <w:r w:rsidRPr="00BC31E0">
        <w:rPr>
          <w:rFonts w:hint="eastAsia"/>
        </w:rPr>
        <w:t>は，当該部の胴又は鏡板の公称厚さである。</w:t>
      </w:r>
    </w:p>
    <w:p w14:paraId="561C002E" w14:textId="77777777" w:rsidR="00724C30" w:rsidRPr="00BC31E0" w:rsidRDefault="00724C30" w:rsidP="00736130">
      <w:pPr>
        <w:pStyle w:val="a4"/>
        <w:numPr>
          <w:ilvl w:val="0"/>
          <w:numId w:val="401"/>
        </w:numPr>
        <w:ind w:leftChars="0" w:left="738" w:hanging="454"/>
      </w:pPr>
      <w:r w:rsidRPr="00BC31E0">
        <w:t>一次局部膜</w:t>
      </w:r>
      <w:r w:rsidRPr="00BC31E0">
        <w:rPr>
          <w:rFonts w:hint="eastAsia"/>
        </w:rPr>
        <w:t>相当</w:t>
      </w:r>
      <w:r w:rsidRPr="00BC31E0">
        <w:t>応力</w:t>
      </w:r>
      <m:oMath>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L</m:t>
            </m:r>
          </m:sub>
        </m:sSub>
      </m:oMath>
      <w:r w:rsidRPr="00BC31E0">
        <w:t>＋一次曲げ</w:t>
      </w:r>
      <w:r w:rsidRPr="00BC31E0">
        <w:rPr>
          <w:rFonts w:hint="eastAsia"/>
        </w:rPr>
        <w:t>相当</w:t>
      </w:r>
      <w:r w:rsidRPr="00BC31E0">
        <w:t>応力</w:t>
      </w:r>
      <m:oMath>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b</m:t>
            </m:r>
          </m:sub>
        </m:sSub>
        <m:r>
          <w:rPr>
            <w:rFonts w:ascii="Cambria Math" w:hAnsi="Cambria Math"/>
          </w:rPr>
          <m:t xml:space="preserve"> ≦ α </m:t>
        </m:r>
        <m:sSub>
          <m:sSubPr>
            <m:ctrlPr>
              <w:rPr>
                <w:rFonts w:ascii="Cambria Math" w:hAnsi="Cambria Math"/>
                <w:i/>
              </w:rPr>
            </m:ctrlPr>
          </m:sSubPr>
          <m:e>
            <m:r>
              <w:rPr>
                <w:rFonts w:ascii="Cambria Math" w:hAnsi="Cambria Math"/>
              </w:rPr>
              <m:t>k</m:t>
            </m:r>
          </m:e>
          <m:sub>
            <m:r>
              <w:rPr>
                <w:rFonts w:ascii="Cambria Math" w:hAnsi="Cambria Math"/>
              </w:rPr>
              <m:t xml:space="preserve">c1 </m:t>
            </m:r>
          </m:sub>
        </m:sSub>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y</m:t>
                    </m:r>
                  </m:sub>
                </m:sSub>
              </m:num>
              <m:den>
                <m:r>
                  <w:rPr>
                    <w:rFonts w:ascii="Cambria Math" w:hAnsi="Cambria Math"/>
                  </w:rPr>
                  <m:t>1.5</m:t>
                </m:r>
              </m:den>
            </m:f>
          </m:e>
        </m:d>
      </m:oMath>
    </w:p>
    <w:p w14:paraId="0B3FCA2B" w14:textId="77777777" w:rsidR="00724C30" w:rsidRPr="00BC31E0" w:rsidRDefault="00724C30" w:rsidP="00F819DD">
      <w:pPr>
        <w:ind w:left="737"/>
      </w:pPr>
      <w:r w:rsidRPr="00BC31E0">
        <w:rPr>
          <w:rFonts w:hint="eastAsia"/>
        </w:rPr>
        <w:t>ここで，</w:t>
      </w:r>
      <m:oMath>
        <m:r>
          <w:rPr>
            <w:rFonts w:ascii="Cambria Math" w:hAnsi="Cambria Math"/>
          </w:rPr>
          <m:t>α</m:t>
        </m:r>
        <m:r>
          <m:rPr>
            <m:sty m:val="p"/>
          </m:rPr>
          <w:rPr>
            <w:rFonts w:ascii="Cambria Math" w:hAnsi="Cambria Math"/>
          </w:rPr>
          <m:t xml:space="preserve"> </m:t>
        </m:r>
      </m:oMath>
      <w:r w:rsidRPr="00BC31E0">
        <w:rPr>
          <w:rFonts w:hint="eastAsia"/>
        </w:rPr>
        <w:t>は</w:t>
      </w:r>
      <w:r w:rsidRPr="00BC31E0">
        <w:rPr>
          <w:rFonts w:asciiTheme="majorEastAsia" w:eastAsiaTheme="majorEastAsia" w:hAnsiTheme="majorEastAsia" w:hint="eastAsia"/>
          <w:b/>
        </w:rPr>
        <w:t>表J.2</w:t>
      </w:r>
      <w:r w:rsidRPr="00BC31E0">
        <w:rPr>
          <w:rFonts w:hint="eastAsia"/>
        </w:rPr>
        <w:t>の</w:t>
      </w:r>
      <w:r w:rsidRPr="00BC31E0">
        <w:rPr>
          <w:rFonts w:asciiTheme="majorEastAsia" w:eastAsiaTheme="majorEastAsia" w:hAnsiTheme="majorEastAsia" w:hint="eastAsia"/>
          <w:b/>
        </w:rPr>
        <w:t>注</w:t>
      </w:r>
      <w:r w:rsidRPr="00BC31E0">
        <w:rPr>
          <w:rFonts w:asciiTheme="majorEastAsia" w:eastAsiaTheme="majorEastAsia" w:hAnsiTheme="majorEastAsia" w:hint="eastAsia"/>
          <w:b/>
          <w:vertAlign w:val="superscript"/>
        </w:rPr>
        <w:t>c)</w:t>
      </w:r>
      <w:r w:rsidRPr="00BC31E0">
        <w:rPr>
          <w:rFonts w:hint="eastAsia"/>
        </w:rPr>
        <w:t>による。</w:t>
      </w:r>
    </w:p>
    <w:p w14:paraId="293B84DA" w14:textId="77777777" w:rsidR="00724C30" w:rsidRPr="00BC31E0" w:rsidRDefault="00724C30" w:rsidP="00736130">
      <w:pPr>
        <w:pStyle w:val="a4"/>
        <w:numPr>
          <w:ilvl w:val="0"/>
          <w:numId w:val="384"/>
        </w:numPr>
        <w:ind w:leftChars="0" w:left="454" w:hanging="454"/>
      </w:pPr>
      <w:r w:rsidRPr="00BC31E0">
        <w:rPr>
          <w:rFonts w:asciiTheme="majorEastAsia" w:eastAsiaTheme="majorEastAsia" w:hAnsiTheme="majorEastAsia" w:hint="eastAsia"/>
          <w:b/>
        </w:rPr>
        <w:t>純せん断応力</w:t>
      </w:r>
      <w:r w:rsidRPr="00BC31E0">
        <w:rPr>
          <w:rFonts w:hint="eastAsia"/>
        </w:rPr>
        <w:t xml:space="preserve">　</w:t>
      </w:r>
      <w:r w:rsidRPr="00BC31E0">
        <w:rPr>
          <w:rFonts w:ascii="ＭＳ 明朝" w:hAnsi="ＭＳ 明朝" w:hint="eastAsia"/>
        </w:rPr>
        <w:t>次の</w:t>
      </w:r>
      <w:r w:rsidRPr="00BC31E0">
        <w:rPr>
          <w:rFonts w:asciiTheme="majorEastAsia" w:eastAsiaTheme="majorEastAsia" w:hAnsiTheme="majorEastAsia" w:hint="eastAsia"/>
          <w:b/>
        </w:rPr>
        <w:t>1)</w:t>
      </w:r>
      <w:r w:rsidRPr="00BC31E0">
        <w:rPr>
          <w:rFonts w:ascii="ＭＳ 明朝" w:hAnsi="ＭＳ 明朝" w:hint="eastAsia"/>
        </w:rPr>
        <w:t>と</w:t>
      </w:r>
      <w:r w:rsidRPr="00BC31E0">
        <w:rPr>
          <w:rFonts w:asciiTheme="majorEastAsia" w:eastAsiaTheme="majorEastAsia" w:hAnsiTheme="majorEastAsia" w:hint="eastAsia"/>
          <w:b/>
        </w:rPr>
        <w:t>2)</w:t>
      </w:r>
      <w:r w:rsidRPr="00BC31E0">
        <w:rPr>
          <w:rFonts w:ascii="ＭＳ 明朝" w:hAnsi="ＭＳ 明朝" w:hint="eastAsia"/>
        </w:rPr>
        <w:t>の制限を満足する。ねじ山については，本体の</w:t>
      </w:r>
      <w:r w:rsidRPr="00BC31E0">
        <w:rPr>
          <w:rFonts w:asciiTheme="majorEastAsia" w:eastAsiaTheme="majorEastAsia" w:hAnsiTheme="majorEastAsia" w:hint="eastAsia"/>
          <w:b/>
        </w:rPr>
        <w:t>6.6</w:t>
      </w:r>
      <w:r w:rsidRPr="00BC31E0">
        <w:rPr>
          <w:rFonts w:ascii="ＭＳ 明朝" w:hAnsi="ＭＳ 明朝" w:hint="eastAsia"/>
        </w:rPr>
        <w:t>を参照する。</w:t>
      </w:r>
    </w:p>
    <w:p w14:paraId="6B645FA2" w14:textId="77777777" w:rsidR="00724C30" w:rsidRPr="00BC31E0" w:rsidRDefault="00724C30" w:rsidP="00736130">
      <w:pPr>
        <w:pStyle w:val="a4"/>
        <w:numPr>
          <w:ilvl w:val="0"/>
          <w:numId w:val="402"/>
        </w:numPr>
        <w:ind w:leftChars="0" w:left="738" w:hanging="454"/>
        <w:rPr>
          <w:rFonts w:asciiTheme="minorHAnsi" w:eastAsiaTheme="minorEastAsia" w:hAnsiTheme="minorHAnsi"/>
        </w:rPr>
      </w:pPr>
      <w:r w:rsidRPr="00BC31E0">
        <w:rPr>
          <w:rFonts w:asciiTheme="minorHAnsi" w:eastAsiaTheme="minorEastAsia" w:hAnsiTheme="minorEastAsia"/>
        </w:rPr>
        <w:t>平均せん断応力</w:t>
      </w:r>
      <m:oMath>
        <m:r>
          <w:rPr>
            <w:rFonts w:ascii="Cambria Math" w:eastAsiaTheme="minorEastAsia" w:hAnsiTheme="minorHAnsi"/>
          </w:rPr>
          <m:t xml:space="preserve">  </m:t>
        </m:r>
        <m:r>
          <w:rPr>
            <w:rFonts w:ascii="Cambria Math" w:eastAsiaTheme="minorEastAsia" w:hAnsi="Cambria Math"/>
          </w:rPr>
          <m:t xml:space="preserve">≦ </m:t>
        </m:r>
        <m:r>
          <w:rPr>
            <w:rFonts w:ascii="Cambria Math" w:eastAsiaTheme="minorEastAsia" w:hAnsiTheme="minorHAnsi"/>
          </w:rPr>
          <m:t xml:space="preserve">0.4 </m:t>
        </m:r>
        <m:sSub>
          <m:sSubPr>
            <m:ctrlPr>
              <w:rPr>
                <w:rFonts w:ascii="Cambria Math" w:eastAsiaTheme="minorEastAsia" w:hAnsiTheme="minorHAnsi"/>
                <w:i/>
              </w:rPr>
            </m:ctrlPr>
          </m:sSubPr>
          <m:e>
            <m:r>
              <w:rPr>
                <w:rFonts w:ascii="Cambria Math" w:eastAsiaTheme="minorEastAsia" w:hAnsiTheme="minorHAnsi"/>
              </w:rPr>
              <m:t xml:space="preserve"> </m:t>
            </m:r>
            <m:r>
              <w:rPr>
                <w:rFonts w:ascii="Cambria Math" w:eastAsiaTheme="minorEastAsia" w:hAnsi="Cambria Math"/>
              </w:rPr>
              <m:t>S</m:t>
            </m:r>
          </m:e>
          <m:sub>
            <m:r>
              <w:rPr>
                <w:rFonts w:ascii="Cambria Math" w:eastAsiaTheme="minorEastAsia" w:hAnsi="Cambria Math"/>
              </w:rPr>
              <m:t>y</m:t>
            </m:r>
          </m:sub>
        </m:sSub>
      </m:oMath>
    </w:p>
    <w:p w14:paraId="04B5ABC9" w14:textId="77777777" w:rsidR="00724C30" w:rsidRPr="00BC31E0" w:rsidRDefault="00724C30" w:rsidP="00736130">
      <w:pPr>
        <w:pStyle w:val="a4"/>
        <w:numPr>
          <w:ilvl w:val="0"/>
          <w:numId w:val="403"/>
        </w:numPr>
        <w:ind w:leftChars="0" w:left="738" w:hanging="454"/>
        <w:rPr>
          <w:rFonts w:asciiTheme="minorHAnsi" w:eastAsiaTheme="minorEastAsia" w:hAnsiTheme="minorHAnsi"/>
        </w:rPr>
      </w:pPr>
      <w:r w:rsidRPr="00BC31E0">
        <w:rPr>
          <w:rFonts w:asciiTheme="minorHAnsi" w:eastAsiaTheme="minorEastAsia" w:hAnsiTheme="minorEastAsia"/>
        </w:rPr>
        <w:t>最大せん断応力</w:t>
      </w:r>
      <m:oMath>
        <m:r>
          <m:rPr>
            <m:sty m:val="p"/>
          </m:rPr>
          <w:rPr>
            <w:rFonts w:ascii="Cambria Math" w:eastAsiaTheme="minorEastAsia" w:hAnsi="Cambria Math"/>
          </w:rPr>
          <m:t xml:space="preserve"> </m:t>
        </m:r>
        <m:r>
          <w:rPr>
            <w:rFonts w:ascii="Cambria Math" w:eastAsiaTheme="minorEastAsia" w:hAnsiTheme="minorHAnsi"/>
          </w:rPr>
          <m:t xml:space="preserve"> </m:t>
        </m:r>
        <m:r>
          <w:rPr>
            <w:rFonts w:ascii="Cambria Math" w:eastAsiaTheme="minorEastAsia" w:hAnsi="Cambria Math"/>
          </w:rPr>
          <m:t xml:space="preserve">≦ </m:t>
        </m:r>
        <m:r>
          <w:rPr>
            <w:rFonts w:ascii="Cambria Math" w:eastAsiaTheme="minorEastAsia" w:hAnsiTheme="minorHAnsi"/>
          </w:rPr>
          <m:t xml:space="preserve">0.57 </m:t>
        </m:r>
        <m:sSub>
          <m:sSubPr>
            <m:ctrlPr>
              <w:rPr>
                <w:rFonts w:ascii="Cambria Math" w:eastAsiaTheme="minorEastAsia" w:hAnsiTheme="minorHAnsi"/>
                <w:i/>
              </w:rPr>
            </m:ctrlPr>
          </m:sSubPr>
          <m:e>
            <m:r>
              <w:rPr>
                <w:rFonts w:ascii="Cambria Math" w:eastAsiaTheme="minorEastAsia" w:hAnsi="Cambria Math"/>
              </w:rPr>
              <m:t>S</m:t>
            </m:r>
          </m:e>
          <m:sub>
            <m:r>
              <w:rPr>
                <w:rFonts w:ascii="Cambria Math" w:eastAsiaTheme="minorEastAsia" w:hAnsi="Cambria Math"/>
              </w:rPr>
              <m:t>y</m:t>
            </m:r>
          </m:sub>
        </m:sSub>
      </m:oMath>
    </w:p>
    <w:p w14:paraId="488C0115" w14:textId="77777777" w:rsidR="00724C30" w:rsidRPr="00BC31E0" w:rsidRDefault="00724C30" w:rsidP="0030277A">
      <w:pPr>
        <w:ind w:left="737"/>
      </w:pPr>
      <w:r w:rsidRPr="00BC31E0">
        <w:rPr>
          <w:rFonts w:hint="eastAsia"/>
        </w:rPr>
        <w:t>ただし，ねじりにおける中実円形断面の外周部での応力集中は除く。</w:t>
      </w:r>
    </w:p>
    <w:p w14:paraId="3E124BE9" w14:textId="77777777" w:rsidR="00724C30" w:rsidRPr="00BC31E0" w:rsidRDefault="00724C30" w:rsidP="00736130">
      <w:pPr>
        <w:pStyle w:val="a4"/>
        <w:numPr>
          <w:ilvl w:val="0"/>
          <w:numId w:val="384"/>
        </w:numPr>
        <w:ind w:leftChars="0" w:left="454" w:hanging="454"/>
      </w:pPr>
      <w:r w:rsidRPr="00BC31E0">
        <w:rPr>
          <w:rFonts w:asciiTheme="majorEastAsia" w:eastAsiaTheme="majorEastAsia" w:hAnsiTheme="majorEastAsia" w:hint="eastAsia"/>
          <w:b/>
        </w:rPr>
        <w:t>支圧応力</w:t>
      </w:r>
      <w:r w:rsidRPr="00BC31E0">
        <w:rPr>
          <w:rFonts w:hint="eastAsia"/>
        </w:rPr>
        <w:t xml:space="preserve">　</w:t>
      </w:r>
      <w:r w:rsidRPr="00BC31E0">
        <w:rPr>
          <w:rFonts w:ascii="ＭＳ 明朝" w:hAnsi="ＭＳ 明朝" w:hint="eastAsia"/>
        </w:rPr>
        <w:t>次の</w:t>
      </w:r>
      <w:r w:rsidRPr="00BC31E0">
        <w:rPr>
          <w:rFonts w:asciiTheme="majorEastAsia" w:eastAsiaTheme="majorEastAsia" w:hAnsiTheme="majorEastAsia" w:hint="eastAsia"/>
          <w:b/>
        </w:rPr>
        <w:t>1)</w:t>
      </w:r>
      <w:r w:rsidRPr="00BC31E0">
        <w:rPr>
          <w:rFonts w:ascii="ＭＳ 明朝" w:hAnsi="ＭＳ 明朝" w:hint="eastAsia"/>
        </w:rPr>
        <w:t>～</w:t>
      </w:r>
      <w:r w:rsidRPr="00BC31E0">
        <w:rPr>
          <w:rFonts w:asciiTheme="majorEastAsia" w:eastAsiaTheme="majorEastAsia" w:hAnsiTheme="majorEastAsia" w:hint="eastAsia"/>
          <w:b/>
        </w:rPr>
        <w:t>4)</w:t>
      </w:r>
      <w:r w:rsidRPr="00BC31E0">
        <w:rPr>
          <w:rFonts w:ascii="ＭＳ 明朝" w:hAnsi="ＭＳ 明朝" w:hint="eastAsia"/>
        </w:rPr>
        <w:t>の制限を満足する。</w:t>
      </w:r>
    </w:p>
    <w:p w14:paraId="5EF6F5D8" w14:textId="77777777" w:rsidR="00724C30" w:rsidRPr="00BC31E0" w:rsidRDefault="00724C30" w:rsidP="00736130">
      <w:pPr>
        <w:pStyle w:val="a4"/>
        <w:numPr>
          <w:ilvl w:val="0"/>
          <w:numId w:val="404"/>
        </w:numPr>
        <w:ind w:leftChars="0" w:left="738" w:hanging="454"/>
      </w:pPr>
      <w:r w:rsidRPr="00BC31E0">
        <w:t>平均支圧応力</w:t>
      </w:r>
      <m:oMath>
        <m:r>
          <m:rPr>
            <m:sty m:val="p"/>
          </m:rPr>
          <w:rPr>
            <w:rFonts w:ascii="Cambria Math" w:hAnsi="Cambria Math"/>
          </w:rPr>
          <m:t xml:space="preserve"> </m:t>
        </m:r>
        <m:r>
          <w:rPr>
            <w:rFonts w:ascii="Cambria Math" w:hAnsi="Cambria Math"/>
          </w:rPr>
          <m:t xml:space="preserve"> ≦ </m:t>
        </m:r>
        <m:sSub>
          <m:sSubPr>
            <m:ctrlPr>
              <w:rPr>
                <w:rFonts w:ascii="Cambria Math" w:hAnsi="Cambria Math"/>
                <w:i/>
              </w:rPr>
            </m:ctrlPr>
          </m:sSubPr>
          <m:e>
            <m:r>
              <w:rPr>
                <w:rFonts w:ascii="Cambria Math" w:hAnsi="Cambria Math"/>
              </w:rPr>
              <m:t>S</m:t>
            </m:r>
          </m:e>
          <m:sub>
            <m:r>
              <w:rPr>
                <w:rFonts w:ascii="Cambria Math" w:hAnsi="Cambria Math"/>
              </w:rPr>
              <m:t>y</m:t>
            </m:r>
          </m:sub>
        </m:sSub>
      </m:oMath>
    </w:p>
    <w:p w14:paraId="43425542" w14:textId="77777777" w:rsidR="00724C30" w:rsidRPr="00BC31E0" w:rsidRDefault="00724C30" w:rsidP="006F213F">
      <w:pPr>
        <w:ind w:left="737"/>
      </w:pPr>
      <w:r w:rsidRPr="00BC31E0">
        <w:rPr>
          <w:rFonts w:hint="eastAsia"/>
        </w:rPr>
        <w:t>ただし，自由端までの距離が支圧荷重を受ける距離よりも長い場合には，</w:t>
      </w:r>
      <m:oMath>
        <m:r>
          <w:rPr>
            <w:rFonts w:ascii="Cambria Math" w:hAnsi="Cambria Math"/>
          </w:rPr>
          <m:t>1.5</m:t>
        </m:r>
        <m:sSub>
          <m:sSubPr>
            <m:ctrlPr>
              <w:rPr>
                <w:rFonts w:ascii="Cambria Math" w:hAnsi="Cambria Math"/>
                <w:i/>
              </w:rPr>
            </m:ctrlPr>
          </m:sSubPr>
          <m:e>
            <m:r>
              <w:rPr>
                <w:rFonts w:ascii="Cambria Math" w:hAnsi="Cambria Math" w:hint="eastAsia"/>
              </w:rPr>
              <m:t xml:space="preserve"> </m:t>
            </m:r>
            <m:r>
              <w:rPr>
                <w:rFonts w:ascii="Cambria Math" w:hAnsi="Cambria Math"/>
              </w:rPr>
              <m:t>S</m:t>
            </m:r>
          </m:e>
          <m:sub>
            <m:r>
              <w:rPr>
                <w:rFonts w:ascii="Cambria Math" w:hAnsi="Cambria Math"/>
              </w:rPr>
              <m:t>y</m:t>
            </m:r>
          </m:sub>
        </m:sSub>
        <m:r>
          <w:rPr>
            <w:rFonts w:ascii="Cambria Math" w:hAnsi="Cambria Math"/>
          </w:rPr>
          <m:t xml:space="preserve"> </m:t>
        </m:r>
      </m:oMath>
      <w:r w:rsidRPr="00BC31E0">
        <w:rPr>
          <w:rFonts w:hint="eastAsia"/>
        </w:rPr>
        <w:t>を用いてもよい。</w:t>
      </w:r>
    </w:p>
    <w:p w14:paraId="62CD8D21" w14:textId="77777777" w:rsidR="00724C30" w:rsidRPr="00BC31E0" w:rsidRDefault="00724C30" w:rsidP="00736130">
      <w:pPr>
        <w:pStyle w:val="a4"/>
        <w:numPr>
          <w:ilvl w:val="0"/>
          <w:numId w:val="405"/>
        </w:numPr>
        <w:ind w:leftChars="0" w:left="738" w:hanging="454"/>
      </w:pPr>
      <w:r w:rsidRPr="00BC31E0">
        <w:t>平均せん断応力</w:t>
      </w:r>
      <w:r w:rsidRPr="00BC31E0">
        <w:rPr>
          <w:rFonts w:hint="eastAsia"/>
        </w:rPr>
        <w:t>(</w:t>
      </w:r>
      <w:r w:rsidRPr="00BC31E0">
        <w:t>一次</w:t>
      </w:r>
      <w:r w:rsidRPr="00BC31E0">
        <w:rPr>
          <w:rFonts w:hint="eastAsia"/>
        </w:rPr>
        <w:t>)</w:t>
      </w:r>
      <m:oMath>
        <m:r>
          <m:rPr>
            <m:sty m:val="p"/>
          </m:rPr>
          <w:rPr>
            <w:rFonts w:ascii="Cambria Math" w:hAnsi="Cambria Math"/>
          </w:rPr>
          <m:t xml:space="preserve"> </m:t>
        </m:r>
        <m:r>
          <w:rPr>
            <w:rFonts w:ascii="Cambria Math" w:hAnsi="Cambria Math"/>
          </w:rPr>
          <m:t xml:space="preserve"> ≦ 0.4 </m:t>
        </m:r>
        <m:sSub>
          <m:sSubPr>
            <m:ctrlPr>
              <w:rPr>
                <w:rFonts w:ascii="Cambria Math" w:hAnsi="Cambria Math"/>
                <w:i/>
              </w:rPr>
            </m:ctrlPr>
          </m:sSubPr>
          <m:e>
            <m:r>
              <w:rPr>
                <w:rFonts w:ascii="Cambria Math" w:hAnsi="Cambria Math"/>
              </w:rPr>
              <m:t>S</m:t>
            </m:r>
          </m:e>
          <m:sub>
            <m:r>
              <w:rPr>
                <w:rFonts w:ascii="Cambria Math" w:hAnsi="Cambria Math"/>
              </w:rPr>
              <m:t>y</m:t>
            </m:r>
          </m:sub>
        </m:sSub>
      </m:oMath>
    </w:p>
    <w:p w14:paraId="02AC281F" w14:textId="77777777" w:rsidR="00724C30" w:rsidRPr="00BC31E0" w:rsidRDefault="00724C30" w:rsidP="00736130">
      <w:pPr>
        <w:pStyle w:val="a4"/>
        <w:numPr>
          <w:ilvl w:val="0"/>
          <w:numId w:val="406"/>
        </w:numPr>
        <w:ind w:leftChars="0" w:left="738" w:hanging="454"/>
      </w:pPr>
      <w:r w:rsidRPr="00BC31E0">
        <w:t>平均せん断応力</w:t>
      </w:r>
      <w:r w:rsidRPr="00BC31E0">
        <w:rPr>
          <w:rFonts w:hint="eastAsia"/>
        </w:rPr>
        <w:t>(</w:t>
      </w:r>
      <w:r w:rsidRPr="00BC31E0">
        <w:t>一次＋二次</w:t>
      </w:r>
      <w:r w:rsidRPr="00BC31E0">
        <w:rPr>
          <w:rFonts w:hint="eastAsia"/>
        </w:rPr>
        <w:t>)</w:t>
      </w:r>
      <m:oMath>
        <m:r>
          <w:rPr>
            <w:rFonts w:ascii="Cambria Math" w:hAnsi="Cambria Math"/>
          </w:rPr>
          <m:t xml:space="preserve">  ≦ 0.5 </m:t>
        </m:r>
        <m:sSub>
          <m:sSubPr>
            <m:ctrlPr>
              <w:rPr>
                <w:rFonts w:ascii="Cambria Math" w:hAnsi="Cambria Math"/>
                <w:i/>
              </w:rPr>
            </m:ctrlPr>
          </m:sSubPr>
          <m:e>
            <m:r>
              <w:rPr>
                <w:rFonts w:ascii="Cambria Math" w:hAnsi="Cambria Math"/>
              </w:rPr>
              <m:t>S</m:t>
            </m:r>
          </m:e>
          <m:sub>
            <m:r>
              <w:rPr>
                <w:rFonts w:ascii="Cambria Math" w:hAnsi="Cambria Math"/>
              </w:rPr>
              <m:t>y</m:t>
            </m:r>
          </m:sub>
        </m:sSub>
      </m:oMath>
    </w:p>
    <w:p w14:paraId="218BEDC7" w14:textId="77777777" w:rsidR="00724C30" w:rsidRPr="00BC31E0" w:rsidRDefault="00724C30" w:rsidP="00736130">
      <w:pPr>
        <w:pStyle w:val="a4"/>
        <w:numPr>
          <w:ilvl w:val="0"/>
          <w:numId w:val="407"/>
        </w:numPr>
        <w:ind w:leftChars="0" w:left="738" w:hanging="454"/>
        <w:rPr>
          <w:rFonts w:cs="ＭＳ 明朝"/>
        </w:rPr>
      </w:pPr>
      <w:r w:rsidRPr="00BC31E0">
        <w:t>ピンの支圧応力</w:t>
      </w:r>
      <m:oMath>
        <m:r>
          <w:rPr>
            <w:rFonts w:ascii="Cambria Math" w:hAnsi="Cambria Math"/>
          </w:rPr>
          <m:t xml:space="preserve">  ≦</m:t>
        </m:r>
        <m:sSub>
          <m:sSubPr>
            <m:ctrlPr>
              <w:rPr>
                <w:rFonts w:ascii="Cambria Math" w:hAnsi="Cambria Math"/>
                <w:i/>
              </w:rPr>
            </m:ctrlPr>
          </m:sSubPr>
          <m:e>
            <m:r>
              <w:rPr>
                <w:rFonts w:ascii="Cambria Math" w:hAnsi="Cambria Math"/>
              </w:rPr>
              <m:t xml:space="preserve"> S</m:t>
            </m:r>
          </m:e>
          <m:sub>
            <m:r>
              <w:rPr>
                <w:rFonts w:ascii="Cambria Math" w:hAnsi="Cambria Math"/>
              </w:rPr>
              <m:t>y</m:t>
            </m:r>
          </m:sub>
        </m:sSub>
      </m:oMath>
    </w:p>
    <w:p w14:paraId="102DADD6" w14:textId="77777777" w:rsidR="00724C30" w:rsidRPr="00BC31E0" w:rsidRDefault="00724C30" w:rsidP="006F213F">
      <w:pPr>
        <w:ind w:left="737"/>
      </w:pPr>
      <w:r w:rsidRPr="00BC31E0">
        <w:rPr>
          <w:rFonts w:hint="eastAsia"/>
        </w:rPr>
        <w:t>ただし，板の端からピンの直径以内の距離に支圧面がない場合には，</w:t>
      </w:r>
      <m:oMath>
        <m:r>
          <w:rPr>
            <w:rFonts w:ascii="Cambria Math" w:hAnsi="Cambria Math"/>
          </w:rPr>
          <m:t>1.5</m:t>
        </m:r>
        <m:sSub>
          <m:sSubPr>
            <m:ctrlPr>
              <w:rPr>
                <w:rFonts w:ascii="Cambria Math" w:hAnsi="Cambria Math"/>
                <w:i/>
              </w:rPr>
            </m:ctrlPr>
          </m:sSubPr>
          <m:e>
            <m:r>
              <w:rPr>
                <w:rFonts w:ascii="Cambria Math" w:hAnsi="Cambria Math" w:hint="eastAsia"/>
              </w:rPr>
              <m:t xml:space="preserve"> </m:t>
            </m:r>
            <m:r>
              <w:rPr>
                <w:rFonts w:ascii="Cambria Math" w:hAnsi="Cambria Math"/>
              </w:rPr>
              <m:t>S</m:t>
            </m:r>
          </m:e>
          <m:sub>
            <m:r>
              <w:rPr>
                <w:rFonts w:ascii="Cambria Math" w:hAnsi="Cambria Math"/>
              </w:rPr>
              <m:t>y</m:t>
            </m:r>
          </m:sub>
        </m:sSub>
        <m:r>
          <w:rPr>
            <w:rFonts w:ascii="Cambria Math" w:hAnsi="Cambria Math"/>
          </w:rPr>
          <m:t xml:space="preserve"> </m:t>
        </m:r>
      </m:oMath>
      <w:r w:rsidRPr="00BC31E0">
        <w:rPr>
          <w:rFonts w:cs="ＭＳ 明朝" w:hint="eastAsia"/>
        </w:rPr>
        <w:t>を用いてもよい。</w:t>
      </w:r>
    </w:p>
    <w:p w14:paraId="43729A3F" w14:textId="77777777" w:rsidR="00724C30" w:rsidRPr="00BC31E0" w:rsidRDefault="00724C30" w:rsidP="00736130">
      <w:pPr>
        <w:pStyle w:val="a4"/>
        <w:numPr>
          <w:ilvl w:val="0"/>
          <w:numId w:val="384"/>
        </w:numPr>
        <w:ind w:leftChars="0" w:left="454" w:hanging="454"/>
        <w:rPr>
          <w:rFonts w:ascii="ＭＳ 明朝" w:hAnsi="ＭＳ 明朝"/>
          <w:bCs/>
        </w:rPr>
      </w:pPr>
      <w:r w:rsidRPr="00BC31E0">
        <w:rPr>
          <w:rFonts w:asciiTheme="majorEastAsia" w:eastAsiaTheme="majorEastAsia" w:hAnsiTheme="majorEastAsia" w:hint="eastAsia"/>
          <w:b/>
        </w:rPr>
        <w:t>一次応力と二次応力の和</w:t>
      </w:r>
      <w:r w:rsidRPr="00BC31E0">
        <w:rPr>
          <w:rFonts w:hint="eastAsia"/>
        </w:rPr>
        <w:t xml:space="preserve">　</w:t>
      </w:r>
      <w:r w:rsidRPr="00BC31E0">
        <w:rPr>
          <w:rFonts w:ascii="ＭＳ 明朝" w:hAnsi="ＭＳ 明朝" w:hint="eastAsia"/>
          <w:bCs/>
        </w:rPr>
        <w:t>次の制限を満足する。</w:t>
      </w:r>
    </w:p>
    <w:p w14:paraId="1E9442DF" w14:textId="77777777" w:rsidR="00724C30" w:rsidRPr="00BC31E0" w:rsidRDefault="00724C30" w:rsidP="00724C30">
      <w:pPr>
        <w:ind w:left="454"/>
        <w:rPr>
          <w:rFonts w:hAnsi="ＭＳ 明朝" w:cs="ＭＳ 明朝"/>
          <w:b/>
        </w:rPr>
      </w:pPr>
      <w:r w:rsidRPr="00BC31E0">
        <w:rPr>
          <w:rFonts w:asciiTheme="minorEastAsia" w:eastAsiaTheme="minorEastAsia" w:hAnsiTheme="minorEastAsia"/>
        </w:rPr>
        <w:t>一次＋二次</w:t>
      </w:r>
      <w:r w:rsidRPr="00BC31E0">
        <w:rPr>
          <w:rFonts w:asciiTheme="minorEastAsia" w:eastAsiaTheme="minorEastAsia" w:hAnsiTheme="minorEastAsia" w:hint="eastAsia"/>
        </w:rPr>
        <w:t>相当</w:t>
      </w:r>
      <w:r w:rsidRPr="00BC31E0">
        <w:t>応力</w:t>
      </w:r>
      <w:r w:rsidRPr="00BC31E0">
        <w:rPr>
          <w:rFonts w:hint="eastAsia"/>
        </w:rPr>
        <w:t>範囲</w:t>
      </w:r>
      <m:oMath>
        <m:r>
          <m:rPr>
            <m:sty m:val="p"/>
          </m:rPr>
          <w:rPr>
            <w:rFonts w:ascii="Cambria Math" w:hAnsi="Cambria Math"/>
          </w:rPr>
          <m:t xml:space="preserve"> </m:t>
        </m:r>
        <m:r>
          <w:rPr>
            <w:rFonts w:ascii="Cambria Math" w:hAnsi="Cambria Math"/>
          </w:rPr>
          <m:t xml:space="preserve">≦2 </m:t>
        </m:r>
        <m:sSub>
          <m:sSubPr>
            <m:ctrlPr>
              <w:rPr>
                <w:rFonts w:ascii="Cambria Math" w:hAnsi="Cambria Math"/>
                <w:i/>
              </w:rPr>
            </m:ctrlPr>
          </m:sSubPr>
          <m:e>
            <m:r>
              <w:rPr>
                <w:rFonts w:ascii="Cambria Math" w:hAnsi="Cambria Math"/>
              </w:rPr>
              <m:t>S</m:t>
            </m:r>
          </m:e>
          <m:sub>
            <m:r>
              <w:rPr>
                <w:rFonts w:ascii="Cambria Math" w:hAnsi="Cambria Math"/>
              </w:rPr>
              <m:t>y</m:t>
            </m:r>
          </m:sub>
        </m:sSub>
      </m:oMath>
    </w:p>
    <w:p w14:paraId="38D632A3" w14:textId="77777777" w:rsidR="00724C30" w:rsidRPr="00BC31E0" w:rsidRDefault="00724C30" w:rsidP="006F213F">
      <w:pPr>
        <w:ind w:left="454"/>
        <w:rPr>
          <w:rFonts w:ascii="Times New Roman" w:hAnsi="Times New Roman"/>
        </w:rPr>
      </w:pPr>
      <w:r w:rsidRPr="00BC31E0">
        <w:rPr>
          <w:rFonts w:hint="eastAsia"/>
        </w:rPr>
        <w:t>ただし，次の</w:t>
      </w:r>
      <w:r w:rsidRPr="00BC31E0">
        <w:rPr>
          <w:rFonts w:asciiTheme="majorEastAsia" w:eastAsiaTheme="majorEastAsia" w:hAnsiTheme="majorEastAsia" w:hint="eastAsia"/>
          <w:b/>
        </w:rPr>
        <w:t>h)</w:t>
      </w:r>
      <w:r w:rsidRPr="00BC31E0">
        <w:rPr>
          <w:rFonts w:asciiTheme="minorHAnsi" w:eastAsiaTheme="minorEastAsia" w:hAnsiTheme="minorHAnsi" w:hint="eastAsia"/>
        </w:rPr>
        <w:t>を満足する場合には，</w:t>
      </w:r>
      <m:oMath>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hint="eastAsia"/>
              </w:rPr>
              <m:t xml:space="preserve"> </m:t>
            </m:r>
            <m:r>
              <w:rPr>
                <w:rFonts w:ascii="Cambria Math" w:eastAsiaTheme="minorEastAsia" w:hAnsi="Cambria Math"/>
              </w:rPr>
              <m:t>S</m:t>
            </m:r>
          </m:e>
          <m:sub>
            <m:r>
              <w:rPr>
                <w:rFonts w:ascii="Cambria Math" w:eastAsiaTheme="minorEastAsia" w:hAnsi="Cambria Math"/>
              </w:rPr>
              <m:t>y</m:t>
            </m:r>
          </m:sub>
        </m:sSub>
        <m:r>
          <w:rPr>
            <w:rFonts w:ascii="Cambria Math" w:eastAsiaTheme="minorEastAsia" w:hAnsi="Cambria Math"/>
          </w:rPr>
          <m:t xml:space="preserve"> </m:t>
        </m:r>
      </m:oMath>
      <w:r w:rsidRPr="00BC31E0">
        <w:rPr>
          <w:rFonts w:ascii="Times New Roman" w:hAnsi="Times New Roman" w:hint="eastAsia"/>
        </w:rPr>
        <w:t>を超えてもよい。</w:t>
      </w:r>
    </w:p>
    <w:p w14:paraId="0C6177F3" w14:textId="77777777" w:rsidR="00724C30" w:rsidRPr="00BC31E0" w:rsidRDefault="00724C30" w:rsidP="006F213F">
      <w:pPr>
        <w:ind w:left="454"/>
        <w:rPr>
          <w:rFonts w:asciiTheme="majorEastAsia" w:eastAsiaTheme="majorEastAsia" w:hAnsiTheme="majorEastAsia"/>
          <w:b/>
        </w:rPr>
      </w:pPr>
      <w:r w:rsidRPr="00BC31E0">
        <w:rPr>
          <w:rFonts w:hint="eastAsia"/>
        </w:rPr>
        <w:t>相当応力範囲は，本体の</w:t>
      </w:r>
      <w:r w:rsidRPr="00BC31E0">
        <w:rPr>
          <w:rFonts w:asciiTheme="majorEastAsia" w:eastAsiaTheme="majorEastAsia" w:hAnsiTheme="majorEastAsia" w:hint="eastAsia"/>
          <w:b/>
        </w:rPr>
        <w:t>6.3.5 b) 1)</w:t>
      </w:r>
      <w:r w:rsidRPr="00BC31E0">
        <w:rPr>
          <w:rFonts w:hint="eastAsia"/>
        </w:rPr>
        <w:t>を参考にして，同様の方法で求める。</w:t>
      </w:r>
    </w:p>
    <w:p w14:paraId="12436BDD" w14:textId="77777777" w:rsidR="00724C30" w:rsidRPr="00BC31E0" w:rsidRDefault="00724C30" w:rsidP="00724C30"/>
    <w:p w14:paraId="3F8DB4CF" w14:textId="77777777" w:rsidR="00724C30" w:rsidRPr="00BC31E0" w:rsidRDefault="00724C30" w:rsidP="00724C30">
      <w:pPr>
        <w:widowControl/>
        <w:jc w:val="left"/>
      </w:pPr>
      <w:r w:rsidRPr="00BC31E0">
        <w:br w:type="page"/>
      </w:r>
    </w:p>
    <w:p w14:paraId="3A5E3387" w14:textId="77777777" w:rsidR="00724C30" w:rsidRPr="00BC31E0" w:rsidRDefault="00724C30" w:rsidP="00724C30">
      <w:pPr>
        <w:spacing w:after="120"/>
        <w:jc w:val="center"/>
        <w:rPr>
          <w:rFonts w:asciiTheme="majorEastAsia" w:eastAsiaTheme="majorEastAsia" w:hAnsiTheme="majorEastAsia"/>
          <w:b/>
        </w:rPr>
      </w:pPr>
      <w:r w:rsidRPr="00BC31E0">
        <w:rPr>
          <w:rFonts w:asciiTheme="majorEastAsia" w:eastAsiaTheme="majorEastAsia" w:hAnsiTheme="majorEastAsia" w:hint="eastAsia"/>
          <w:b/>
        </w:rPr>
        <w:lastRenderedPageBreak/>
        <w:t>表J.1　弾性解析に対する荷重組合せと許容限界</w:t>
      </w:r>
    </w:p>
    <w:tbl>
      <w:tblPr>
        <w:tblStyle w:val="afff2"/>
        <w:tblW w:w="0" w:type="auto"/>
        <w:tblInd w:w="108" w:type="dxa"/>
        <w:tblLook w:val="04A0" w:firstRow="1" w:lastRow="0" w:firstColumn="1" w:lastColumn="0" w:noHBand="0" w:noVBand="1"/>
      </w:tblPr>
      <w:tblGrid>
        <w:gridCol w:w="2694"/>
        <w:gridCol w:w="1275"/>
        <w:gridCol w:w="1134"/>
        <w:gridCol w:w="1276"/>
        <w:gridCol w:w="1134"/>
        <w:gridCol w:w="1559"/>
      </w:tblGrid>
      <w:tr w:rsidR="00724C30" w:rsidRPr="00BC31E0" w14:paraId="2CED80D3" w14:textId="77777777" w:rsidTr="004736F2">
        <w:tc>
          <w:tcPr>
            <w:tcW w:w="2694" w:type="dxa"/>
            <w:vMerge w:val="restart"/>
            <w:vAlign w:val="center"/>
          </w:tcPr>
          <w:p w14:paraId="4AEBA313" w14:textId="77777777" w:rsidR="00724C30" w:rsidRPr="00BC31E0" w:rsidRDefault="00724C30" w:rsidP="004736F2">
            <w:pPr>
              <w:jc w:val="center"/>
            </w:pPr>
            <w:r w:rsidRPr="00BC31E0">
              <w:rPr>
                <w:rFonts w:hint="eastAsia"/>
                <w:sz w:val="18"/>
                <w:szCs w:val="18"/>
              </w:rPr>
              <w:t>荷重組合せ</w:t>
            </w:r>
            <w:r w:rsidRPr="00BC31E0">
              <w:rPr>
                <w:rFonts w:asciiTheme="majorEastAsia" w:eastAsiaTheme="majorEastAsia" w:hAnsiTheme="majorEastAsia" w:hint="eastAsia"/>
                <w:b/>
                <w:vertAlign w:val="superscript"/>
              </w:rPr>
              <w:t>a)</w:t>
            </w:r>
          </w:p>
        </w:tc>
        <w:tc>
          <w:tcPr>
            <w:tcW w:w="6378" w:type="dxa"/>
            <w:gridSpan w:val="5"/>
            <w:vAlign w:val="center"/>
          </w:tcPr>
          <w:p w14:paraId="4CDBF25C" w14:textId="77777777" w:rsidR="00724C30" w:rsidRPr="00BC31E0" w:rsidRDefault="00724C30" w:rsidP="004736F2">
            <w:pPr>
              <w:jc w:val="center"/>
              <w:rPr>
                <w:vertAlign w:val="superscript"/>
              </w:rPr>
            </w:pPr>
            <w:r w:rsidRPr="00BC31E0">
              <w:rPr>
                <w:rFonts w:hint="eastAsia"/>
                <w:sz w:val="18"/>
                <w:szCs w:val="18"/>
              </w:rPr>
              <w:t>応力分類と許容限界</w:t>
            </w:r>
            <w:r w:rsidRPr="00BC31E0">
              <w:rPr>
                <w:rFonts w:asciiTheme="majorEastAsia" w:eastAsiaTheme="majorEastAsia" w:hAnsiTheme="majorEastAsia" w:hint="eastAsia"/>
                <w:b/>
                <w:vertAlign w:val="superscript"/>
              </w:rPr>
              <w:t>b)</w:t>
            </w:r>
          </w:p>
        </w:tc>
      </w:tr>
      <w:tr w:rsidR="00724C30" w:rsidRPr="00BC31E0" w14:paraId="085A4FBF" w14:textId="77777777" w:rsidTr="004736F2">
        <w:tc>
          <w:tcPr>
            <w:tcW w:w="2694" w:type="dxa"/>
            <w:vMerge/>
            <w:vAlign w:val="center"/>
          </w:tcPr>
          <w:p w14:paraId="2E73EA7B" w14:textId="77777777" w:rsidR="00724C30" w:rsidRPr="00BC31E0" w:rsidRDefault="00724C30" w:rsidP="004736F2">
            <w:pPr>
              <w:pStyle w:val="af4"/>
              <w:rPr>
                <w:rFonts w:asciiTheme="minorEastAsia" w:eastAsiaTheme="minorEastAsia" w:hAnsiTheme="minorEastAsia"/>
                <w:b w:val="0"/>
              </w:rPr>
            </w:pPr>
          </w:p>
        </w:tc>
        <w:tc>
          <w:tcPr>
            <w:tcW w:w="3685" w:type="dxa"/>
            <w:gridSpan w:val="3"/>
            <w:vAlign w:val="center"/>
          </w:tcPr>
          <w:p w14:paraId="2FF743A1" w14:textId="77777777" w:rsidR="00724C30" w:rsidRPr="00BC31E0" w:rsidRDefault="00724C30" w:rsidP="004736F2">
            <w:pPr>
              <w:jc w:val="center"/>
              <w:rPr>
                <w:sz w:val="18"/>
                <w:szCs w:val="18"/>
              </w:rPr>
            </w:pPr>
            <w:r w:rsidRPr="00BC31E0">
              <w:rPr>
                <w:rFonts w:hint="eastAsia"/>
                <w:sz w:val="18"/>
                <w:szCs w:val="18"/>
              </w:rPr>
              <w:t>一次応力</w:t>
            </w:r>
          </w:p>
        </w:tc>
        <w:tc>
          <w:tcPr>
            <w:tcW w:w="1134" w:type="dxa"/>
            <w:vMerge w:val="restart"/>
            <w:vAlign w:val="center"/>
          </w:tcPr>
          <w:p w14:paraId="3BEA5440" w14:textId="77777777" w:rsidR="00724C30" w:rsidRPr="00BC31E0" w:rsidRDefault="00724C30" w:rsidP="004736F2">
            <w:pPr>
              <w:spacing w:line="320" w:lineRule="exact"/>
              <w:jc w:val="center"/>
              <w:rPr>
                <w:sz w:val="18"/>
                <w:szCs w:val="18"/>
              </w:rPr>
            </w:pPr>
            <w:r w:rsidRPr="00BC31E0">
              <w:rPr>
                <w:rFonts w:hint="eastAsia"/>
                <w:sz w:val="18"/>
                <w:szCs w:val="18"/>
              </w:rPr>
              <w:t>一次＋二次</w:t>
            </w:r>
          </w:p>
          <w:p w14:paraId="27AEF025" w14:textId="77777777" w:rsidR="00724C30" w:rsidRPr="00BC31E0" w:rsidRDefault="00724C30" w:rsidP="004736F2">
            <w:pPr>
              <w:spacing w:line="320" w:lineRule="exact"/>
              <w:jc w:val="center"/>
              <w:rPr>
                <w:sz w:val="18"/>
                <w:szCs w:val="18"/>
              </w:rPr>
            </w:pPr>
            <w:r w:rsidRPr="00BC31E0">
              <w:rPr>
                <w:rFonts w:hint="eastAsia"/>
                <w:sz w:val="18"/>
                <w:szCs w:val="18"/>
              </w:rPr>
              <w:t>応力</w:t>
            </w:r>
          </w:p>
        </w:tc>
        <w:tc>
          <w:tcPr>
            <w:tcW w:w="1559" w:type="dxa"/>
            <w:vMerge w:val="restart"/>
            <w:vAlign w:val="center"/>
          </w:tcPr>
          <w:p w14:paraId="7D3F8D8F" w14:textId="77777777" w:rsidR="00724C30" w:rsidRPr="00BC31E0" w:rsidRDefault="00724C30" w:rsidP="004736F2">
            <w:pPr>
              <w:spacing w:line="320" w:lineRule="exact"/>
              <w:jc w:val="center"/>
              <w:rPr>
                <w:sz w:val="18"/>
                <w:szCs w:val="18"/>
              </w:rPr>
            </w:pPr>
            <w:r w:rsidRPr="00BC31E0">
              <w:rPr>
                <w:rFonts w:hint="eastAsia"/>
                <w:sz w:val="18"/>
                <w:szCs w:val="18"/>
              </w:rPr>
              <w:t>一次＋二次</w:t>
            </w:r>
          </w:p>
          <w:p w14:paraId="0A26AA27" w14:textId="77777777" w:rsidR="00724C30" w:rsidRPr="00BC31E0" w:rsidRDefault="00724C30" w:rsidP="004736F2">
            <w:pPr>
              <w:spacing w:line="320" w:lineRule="exact"/>
              <w:jc w:val="center"/>
              <w:rPr>
                <w:sz w:val="18"/>
                <w:szCs w:val="18"/>
              </w:rPr>
            </w:pPr>
            <w:r w:rsidRPr="00BC31E0">
              <w:rPr>
                <w:rFonts w:hint="eastAsia"/>
                <w:sz w:val="18"/>
                <w:szCs w:val="18"/>
              </w:rPr>
              <w:t>＋ピーク応力</w:t>
            </w:r>
          </w:p>
        </w:tc>
      </w:tr>
      <w:tr w:rsidR="00724C30" w:rsidRPr="00BC31E0" w14:paraId="05F1B609" w14:textId="77777777" w:rsidTr="004736F2">
        <w:tc>
          <w:tcPr>
            <w:tcW w:w="2694" w:type="dxa"/>
            <w:vMerge/>
            <w:vAlign w:val="center"/>
          </w:tcPr>
          <w:p w14:paraId="0BB200FF" w14:textId="77777777" w:rsidR="00724C30" w:rsidRPr="00BC31E0" w:rsidRDefault="00724C30" w:rsidP="004736F2">
            <w:pPr>
              <w:pStyle w:val="af4"/>
              <w:rPr>
                <w:rFonts w:asciiTheme="minorEastAsia" w:eastAsiaTheme="minorEastAsia" w:hAnsiTheme="minorEastAsia"/>
                <w:b w:val="0"/>
                <w:sz w:val="18"/>
                <w:szCs w:val="18"/>
              </w:rPr>
            </w:pPr>
          </w:p>
        </w:tc>
        <w:tc>
          <w:tcPr>
            <w:tcW w:w="1275" w:type="dxa"/>
            <w:vAlign w:val="center"/>
          </w:tcPr>
          <w:p w14:paraId="46DCE95D" w14:textId="77777777" w:rsidR="00724C30" w:rsidRPr="00BC31E0" w:rsidRDefault="00724C30" w:rsidP="004736F2">
            <w:pPr>
              <w:jc w:val="center"/>
              <w:rPr>
                <w:sz w:val="18"/>
                <w:szCs w:val="18"/>
              </w:rPr>
            </w:pPr>
            <w:r w:rsidRPr="00BC31E0">
              <w:rPr>
                <w:rFonts w:hint="eastAsia"/>
                <w:sz w:val="18"/>
                <w:szCs w:val="18"/>
              </w:rPr>
              <w:t>一般膜応力</w:t>
            </w:r>
          </w:p>
        </w:tc>
        <w:tc>
          <w:tcPr>
            <w:tcW w:w="1134" w:type="dxa"/>
            <w:vAlign w:val="center"/>
          </w:tcPr>
          <w:p w14:paraId="23F16D81" w14:textId="77777777" w:rsidR="00724C30" w:rsidRPr="00BC31E0" w:rsidRDefault="00724C30" w:rsidP="004736F2">
            <w:pPr>
              <w:jc w:val="center"/>
              <w:rPr>
                <w:sz w:val="18"/>
                <w:szCs w:val="18"/>
              </w:rPr>
            </w:pPr>
            <w:r w:rsidRPr="00BC31E0">
              <w:rPr>
                <w:rFonts w:hint="eastAsia"/>
                <w:sz w:val="18"/>
                <w:szCs w:val="18"/>
              </w:rPr>
              <w:t>局部膜応力</w:t>
            </w:r>
          </w:p>
        </w:tc>
        <w:tc>
          <w:tcPr>
            <w:tcW w:w="1276" w:type="dxa"/>
            <w:vAlign w:val="center"/>
          </w:tcPr>
          <w:p w14:paraId="0002A3BE" w14:textId="77777777" w:rsidR="00724C30" w:rsidRPr="00BC31E0" w:rsidRDefault="00724C30" w:rsidP="004736F2">
            <w:pPr>
              <w:spacing w:line="320" w:lineRule="exact"/>
              <w:jc w:val="center"/>
              <w:rPr>
                <w:sz w:val="18"/>
                <w:szCs w:val="18"/>
              </w:rPr>
            </w:pPr>
            <w:r w:rsidRPr="00BC31E0">
              <w:rPr>
                <w:rFonts w:hint="eastAsia"/>
                <w:sz w:val="18"/>
                <w:szCs w:val="18"/>
              </w:rPr>
              <w:t>局部膜応力</w:t>
            </w:r>
          </w:p>
          <w:p w14:paraId="00505425" w14:textId="77777777" w:rsidR="00724C30" w:rsidRPr="00BC31E0" w:rsidRDefault="00724C30" w:rsidP="004736F2">
            <w:pPr>
              <w:spacing w:line="320" w:lineRule="exact"/>
              <w:jc w:val="center"/>
              <w:rPr>
                <w:sz w:val="18"/>
                <w:szCs w:val="18"/>
              </w:rPr>
            </w:pPr>
            <w:r w:rsidRPr="00BC31E0">
              <w:rPr>
                <w:rFonts w:hint="eastAsia"/>
                <w:sz w:val="18"/>
                <w:szCs w:val="18"/>
              </w:rPr>
              <w:t>＋曲げ応力</w:t>
            </w:r>
          </w:p>
        </w:tc>
        <w:tc>
          <w:tcPr>
            <w:tcW w:w="1134" w:type="dxa"/>
            <w:vMerge/>
            <w:vAlign w:val="center"/>
          </w:tcPr>
          <w:p w14:paraId="24B8B1B0" w14:textId="77777777" w:rsidR="00724C30" w:rsidRPr="00BC31E0" w:rsidRDefault="00724C30" w:rsidP="004736F2">
            <w:pPr>
              <w:pStyle w:val="af4"/>
              <w:rPr>
                <w:rFonts w:asciiTheme="minorEastAsia" w:eastAsiaTheme="minorEastAsia" w:hAnsiTheme="minorEastAsia"/>
                <w:b w:val="0"/>
                <w:sz w:val="18"/>
                <w:szCs w:val="18"/>
              </w:rPr>
            </w:pPr>
          </w:p>
        </w:tc>
        <w:tc>
          <w:tcPr>
            <w:tcW w:w="1559" w:type="dxa"/>
            <w:vMerge/>
            <w:vAlign w:val="center"/>
          </w:tcPr>
          <w:p w14:paraId="5C856E9F" w14:textId="77777777" w:rsidR="00724C30" w:rsidRPr="00BC31E0" w:rsidRDefault="00724C30" w:rsidP="004736F2">
            <w:pPr>
              <w:pStyle w:val="af4"/>
              <w:rPr>
                <w:rFonts w:asciiTheme="minorEastAsia" w:eastAsiaTheme="minorEastAsia" w:hAnsiTheme="minorEastAsia"/>
                <w:b w:val="0"/>
                <w:sz w:val="18"/>
                <w:szCs w:val="18"/>
              </w:rPr>
            </w:pPr>
          </w:p>
        </w:tc>
      </w:tr>
      <w:tr w:rsidR="00724C30" w:rsidRPr="00BC31E0" w14:paraId="752E546A" w14:textId="77777777" w:rsidTr="004736F2">
        <w:tc>
          <w:tcPr>
            <w:tcW w:w="2694" w:type="dxa"/>
            <w:vMerge/>
            <w:vAlign w:val="center"/>
          </w:tcPr>
          <w:p w14:paraId="24E13CCE" w14:textId="77777777" w:rsidR="00724C30" w:rsidRPr="00BC31E0" w:rsidRDefault="00724C30" w:rsidP="004736F2">
            <w:pPr>
              <w:pStyle w:val="af4"/>
              <w:jc w:val="both"/>
              <w:rPr>
                <w:rFonts w:asciiTheme="minorEastAsia" w:eastAsiaTheme="minorEastAsia" w:hAnsiTheme="minorEastAsia"/>
                <w:b w:val="0"/>
                <w:sz w:val="18"/>
                <w:szCs w:val="18"/>
              </w:rPr>
            </w:pPr>
          </w:p>
        </w:tc>
        <w:tc>
          <w:tcPr>
            <w:tcW w:w="1275" w:type="dxa"/>
            <w:vAlign w:val="center"/>
          </w:tcPr>
          <w:p w14:paraId="6FE673E3" w14:textId="77777777" w:rsidR="00724C30" w:rsidRPr="00BC31E0" w:rsidRDefault="00A51873" w:rsidP="004736F2">
            <w:pPr>
              <w:rPr>
                <w:rFonts w:asciiTheme="minorEastAsia" w:hAnsiTheme="minorEastAsia"/>
                <w:sz w:val="18"/>
                <w:szCs w:val="18"/>
              </w:rPr>
            </w:pPr>
            <m:oMathPara>
              <m:oMath>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m</m:t>
                    </m:r>
                  </m:sub>
                </m:sSub>
              </m:oMath>
            </m:oMathPara>
          </w:p>
        </w:tc>
        <w:tc>
          <w:tcPr>
            <w:tcW w:w="1134" w:type="dxa"/>
            <w:vAlign w:val="center"/>
          </w:tcPr>
          <w:p w14:paraId="76F8CF7C" w14:textId="77777777" w:rsidR="00724C30" w:rsidRPr="00BC31E0" w:rsidRDefault="00A51873" w:rsidP="004736F2">
            <w:pPr>
              <w:rPr>
                <w:rFonts w:asciiTheme="minorEastAsia" w:hAnsiTheme="minorEastAsia"/>
                <w:sz w:val="18"/>
                <w:szCs w:val="18"/>
              </w:rPr>
            </w:pPr>
            <m:oMathPara>
              <m:oMath>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L</m:t>
                    </m:r>
                  </m:sub>
                </m:sSub>
              </m:oMath>
            </m:oMathPara>
          </w:p>
        </w:tc>
        <w:tc>
          <w:tcPr>
            <w:tcW w:w="1276" w:type="dxa"/>
            <w:vAlign w:val="center"/>
          </w:tcPr>
          <w:p w14:paraId="423CCA59" w14:textId="77777777" w:rsidR="00724C30" w:rsidRPr="00BC31E0" w:rsidRDefault="00A51873" w:rsidP="004736F2">
            <w:pPr>
              <w:rPr>
                <w:rFonts w:asciiTheme="minorEastAsia" w:hAnsiTheme="minorEastAsia"/>
                <w:sz w:val="18"/>
                <w:szCs w:val="18"/>
              </w:rPr>
            </w:pPr>
            <m:oMathPara>
              <m:oMath>
                <m:sSub>
                  <m:sSubPr>
                    <m:ctrlPr>
                      <w:rPr>
                        <w:rFonts w:ascii="Cambria Math" w:hAnsi="Cambria Math"/>
                        <w:sz w:val="18"/>
                        <w:szCs w:val="18"/>
                      </w:rPr>
                    </m:ctrlPr>
                  </m:sSubPr>
                  <m:e>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L</m:t>
                        </m:r>
                      </m:sub>
                    </m:sSub>
                    <m:r>
                      <m:rPr>
                        <m:sty m:val="p"/>
                      </m:rPr>
                      <w:rPr>
                        <w:rFonts w:ascii="Cambria Math" w:hAnsi="Cambria Math"/>
                        <w:sz w:val="18"/>
                        <w:szCs w:val="18"/>
                      </w:rPr>
                      <m:t>+</m:t>
                    </m:r>
                    <m:r>
                      <w:rPr>
                        <w:rFonts w:ascii="Cambria Math" w:hAnsi="Cambria Math"/>
                        <w:sz w:val="18"/>
                        <w:szCs w:val="18"/>
                      </w:rPr>
                      <m:t>P</m:t>
                    </m:r>
                  </m:e>
                  <m:sub>
                    <m:r>
                      <w:rPr>
                        <w:rFonts w:ascii="Cambria Math" w:hAnsi="Cambria Math"/>
                        <w:sz w:val="18"/>
                        <w:szCs w:val="18"/>
                      </w:rPr>
                      <m:t>b</m:t>
                    </m:r>
                  </m:sub>
                </m:sSub>
              </m:oMath>
            </m:oMathPara>
          </w:p>
        </w:tc>
        <w:tc>
          <w:tcPr>
            <w:tcW w:w="1134" w:type="dxa"/>
            <w:vAlign w:val="center"/>
          </w:tcPr>
          <w:p w14:paraId="312B8D60" w14:textId="77777777" w:rsidR="00724C30" w:rsidRPr="00BC31E0" w:rsidRDefault="00A51873" w:rsidP="004736F2">
            <w:pPr>
              <w:rPr>
                <w:rFonts w:asciiTheme="minorEastAsia" w:hAnsiTheme="minorEastAsia"/>
                <w:sz w:val="18"/>
                <w:szCs w:val="18"/>
              </w:rPr>
            </w:pPr>
            <m:oMathPara>
              <m:oMath>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L</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b</m:t>
                    </m:r>
                  </m:sub>
                </m:sSub>
                <m:r>
                  <m:rPr>
                    <m:sty m:val="p"/>
                  </m:rPr>
                  <w:rPr>
                    <w:rFonts w:ascii="Cambria Math" w:hAnsi="Cambria Math"/>
                    <w:sz w:val="18"/>
                    <w:szCs w:val="18"/>
                  </w:rPr>
                  <m:t>+</m:t>
                </m:r>
                <m:r>
                  <w:rPr>
                    <w:rFonts w:ascii="Cambria Math" w:hAnsi="Cambria Math"/>
                    <w:sz w:val="18"/>
                    <w:szCs w:val="18"/>
                  </w:rPr>
                  <m:t>Q</m:t>
                </m:r>
              </m:oMath>
            </m:oMathPara>
          </w:p>
        </w:tc>
        <w:tc>
          <w:tcPr>
            <w:tcW w:w="1559" w:type="dxa"/>
            <w:vAlign w:val="center"/>
          </w:tcPr>
          <w:p w14:paraId="6EDB7BEE" w14:textId="77777777" w:rsidR="00724C30" w:rsidRPr="00BC31E0" w:rsidRDefault="00A51873" w:rsidP="004736F2">
            <w:pPr>
              <w:rPr>
                <w:rFonts w:asciiTheme="minorEastAsia" w:hAnsiTheme="minorEastAsia"/>
                <w:sz w:val="18"/>
                <w:szCs w:val="18"/>
              </w:rPr>
            </w:pPr>
            <m:oMathPara>
              <m:oMath>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L</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b</m:t>
                    </m:r>
                  </m:sub>
                </m:sSub>
                <m:r>
                  <m:rPr>
                    <m:sty m:val="p"/>
                  </m:rPr>
                  <w:rPr>
                    <w:rFonts w:ascii="Cambria Math" w:hAnsi="Cambria Math"/>
                    <w:sz w:val="18"/>
                    <w:szCs w:val="18"/>
                  </w:rPr>
                  <m:t>+</m:t>
                </m:r>
                <m:r>
                  <w:rPr>
                    <w:rFonts w:ascii="Cambria Math" w:hAnsi="Cambria Math"/>
                    <w:sz w:val="18"/>
                    <w:szCs w:val="18"/>
                  </w:rPr>
                  <m:t>Q</m:t>
                </m:r>
                <m:r>
                  <m:rPr>
                    <m:sty m:val="p"/>
                  </m:rPr>
                  <w:rPr>
                    <w:rFonts w:ascii="Cambria Math" w:hAnsi="Cambria Math"/>
                    <w:sz w:val="18"/>
                    <w:szCs w:val="18"/>
                  </w:rPr>
                  <m:t>+</m:t>
                </m:r>
                <m:r>
                  <w:rPr>
                    <w:rFonts w:ascii="Cambria Math" w:hAnsi="Cambria Math"/>
                    <w:sz w:val="18"/>
                    <w:szCs w:val="18"/>
                  </w:rPr>
                  <m:t>F</m:t>
                </m:r>
              </m:oMath>
            </m:oMathPara>
          </w:p>
        </w:tc>
      </w:tr>
      <w:tr w:rsidR="00724C30" w:rsidRPr="00BC31E0" w14:paraId="132412C6" w14:textId="77777777" w:rsidTr="004736F2">
        <w:tc>
          <w:tcPr>
            <w:tcW w:w="2694" w:type="dxa"/>
            <w:vAlign w:val="center"/>
          </w:tcPr>
          <w:p w14:paraId="0D696990" w14:textId="77777777" w:rsidR="00724C30" w:rsidRPr="00BC31E0" w:rsidRDefault="00724C30" w:rsidP="004736F2">
            <w:pPr>
              <w:rPr>
                <w:rFonts w:hAnsiTheme="minorHAnsi"/>
                <w:sz w:val="18"/>
                <w:szCs w:val="18"/>
              </w:rPr>
            </w:pPr>
            <w:r w:rsidRPr="00BC31E0">
              <w:rPr>
                <w:sz w:val="18"/>
                <w:szCs w:val="18"/>
              </w:rPr>
              <w:t>設計条件</w:t>
            </w:r>
          </w:p>
          <w:p w14:paraId="200360F4" w14:textId="77777777" w:rsidR="00724C30" w:rsidRPr="00BC31E0" w:rsidRDefault="00724C30" w:rsidP="004736F2">
            <w:pPr>
              <w:rPr>
                <w:rFonts w:hAnsiTheme="minorHAnsi"/>
                <w:sz w:val="18"/>
                <w:szCs w:val="18"/>
              </w:rPr>
            </w:pPr>
            <w:r w:rsidRPr="00BC31E0">
              <w:rPr>
                <w:rFonts w:hAnsiTheme="minorHAnsi"/>
                <w:sz w:val="18"/>
                <w:szCs w:val="18"/>
              </w:rPr>
              <w:t xml:space="preserve">1) </w:t>
            </w:r>
            <m:oMath>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D</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S</m:t>
                  </m:r>
                </m:sub>
              </m:sSub>
              <m:r>
                <w:rPr>
                  <w:rFonts w:ascii="Cambria Math" w:hAnsi="Cambria Math"/>
                  <w:sz w:val="18"/>
                  <w:szCs w:val="18"/>
                </w:rPr>
                <m:t>+D</m:t>
              </m:r>
            </m:oMath>
          </w:p>
          <w:p w14:paraId="3CAB277D" w14:textId="77777777" w:rsidR="00724C30" w:rsidRPr="00BC31E0" w:rsidRDefault="00724C30" w:rsidP="004736F2">
            <w:pPr>
              <w:rPr>
                <w:rFonts w:hAnsiTheme="minorHAnsi"/>
                <w:sz w:val="18"/>
                <w:szCs w:val="18"/>
              </w:rPr>
            </w:pPr>
            <w:r w:rsidRPr="00BC31E0">
              <w:rPr>
                <w:rFonts w:hAnsiTheme="minorHAnsi" w:hint="eastAsia"/>
                <w:sz w:val="18"/>
                <w:szCs w:val="18"/>
              </w:rPr>
              <w:t xml:space="preserve">2) </w:t>
            </w:r>
            <m:oMath>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D</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S</m:t>
                  </m:r>
                </m:sub>
              </m:sSub>
              <m:r>
                <w:rPr>
                  <w:rFonts w:ascii="Cambria Math" w:hAnsi="Cambria Math"/>
                  <w:sz w:val="18"/>
                  <w:szCs w:val="18"/>
                </w:rPr>
                <m:t>+D+L+</m:t>
              </m:r>
              <m:sSub>
                <m:sSubPr>
                  <m:ctrlPr>
                    <w:rPr>
                      <w:rFonts w:ascii="Cambria Math" w:hAnsi="Cambria Math"/>
                      <w:i/>
                      <w:sz w:val="18"/>
                      <w:szCs w:val="18"/>
                    </w:rPr>
                  </m:ctrlPr>
                </m:sSubPr>
                <m:e>
                  <m:r>
                    <w:rPr>
                      <w:rFonts w:ascii="Cambria Math" w:hAnsi="Cambria Math"/>
                      <w:sz w:val="18"/>
                      <w:szCs w:val="18"/>
                    </w:rPr>
                    <m:t>L</m:t>
                  </m:r>
                </m:e>
                <m:sub>
                  <m:r>
                    <w:rPr>
                      <w:rFonts w:ascii="Cambria Math" w:hAnsi="Cambria Math"/>
                      <w:sz w:val="18"/>
                      <w:szCs w:val="18"/>
                    </w:rPr>
                    <m:t>A</m:t>
                  </m:r>
                </m:sub>
              </m:sSub>
            </m:oMath>
          </w:p>
          <w:p w14:paraId="0D16BEC1" w14:textId="77777777" w:rsidR="00724C30" w:rsidRPr="00BC31E0" w:rsidRDefault="00724C30" w:rsidP="004736F2">
            <w:pPr>
              <w:rPr>
                <w:rFonts w:hAnsiTheme="minorHAnsi"/>
                <w:sz w:val="18"/>
                <w:szCs w:val="18"/>
              </w:rPr>
            </w:pPr>
            <w:r w:rsidRPr="00BC31E0">
              <w:rPr>
                <w:rFonts w:hAnsiTheme="minorHAnsi" w:hint="eastAsia"/>
                <w:sz w:val="18"/>
                <w:szCs w:val="18"/>
              </w:rPr>
              <w:t xml:space="preserve">3) </w:t>
            </w:r>
            <m:oMath>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D</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S</m:t>
                  </m:r>
                </m:sub>
              </m:sSub>
              <m:r>
                <w:rPr>
                  <w:rFonts w:ascii="Cambria Math" w:hAnsi="Cambria Math"/>
                  <w:sz w:val="18"/>
                  <w:szCs w:val="18"/>
                </w:rPr>
                <m:t>+D+L+</m:t>
              </m:r>
              <m:sSub>
                <m:sSubPr>
                  <m:ctrlPr>
                    <w:rPr>
                      <w:rFonts w:ascii="Cambria Math" w:hAnsi="Cambria Math"/>
                      <w:i/>
                      <w:sz w:val="18"/>
                      <w:szCs w:val="18"/>
                    </w:rPr>
                  </m:ctrlPr>
                </m:sSubPr>
                <m:e>
                  <m:r>
                    <w:rPr>
                      <w:rFonts w:ascii="Cambria Math" w:hAnsi="Cambria Math"/>
                      <w:sz w:val="18"/>
                      <w:szCs w:val="18"/>
                    </w:rPr>
                    <m:t>L</m:t>
                  </m:r>
                </m:e>
                <m:sub>
                  <m:r>
                    <w:rPr>
                      <w:rFonts w:ascii="Cambria Math" w:hAnsi="Cambria Math"/>
                      <w:sz w:val="18"/>
                      <w:szCs w:val="18"/>
                    </w:rPr>
                    <m:t>A</m:t>
                  </m:r>
                </m:sub>
              </m:sSub>
              <m:r>
                <w:rPr>
                  <w:rFonts w:ascii="Cambria Math" w:hAnsi="Cambria Math"/>
                  <w:sz w:val="18"/>
                  <w:szCs w:val="18"/>
                </w:rPr>
                <m:t>+T</m:t>
              </m:r>
            </m:oMath>
          </w:p>
          <w:p w14:paraId="3CA0AB82" w14:textId="77777777" w:rsidR="00724C30" w:rsidRPr="00BC31E0" w:rsidRDefault="00724C30" w:rsidP="004736F2">
            <w:pPr>
              <w:rPr>
                <w:rFonts w:hAnsiTheme="minorHAnsi"/>
                <w:sz w:val="18"/>
                <w:szCs w:val="18"/>
              </w:rPr>
            </w:pPr>
            <w:r w:rsidRPr="00BC31E0">
              <w:rPr>
                <w:rFonts w:hAnsiTheme="minorHAnsi" w:hint="eastAsia"/>
                <w:sz w:val="18"/>
                <w:szCs w:val="18"/>
              </w:rPr>
              <w:t xml:space="preserve">4) </w:t>
            </w:r>
            <m:oMath>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D</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S</m:t>
                  </m:r>
                </m:sub>
              </m:sSub>
              <m:r>
                <w:rPr>
                  <w:rFonts w:ascii="Cambria Math" w:hAnsi="Cambria Math"/>
                  <w:sz w:val="18"/>
                  <w:szCs w:val="18"/>
                </w:rPr>
                <m:t>+D+</m:t>
              </m:r>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S</m:t>
                  </m:r>
                </m:sub>
              </m:sSub>
            </m:oMath>
          </w:p>
          <w:p w14:paraId="7AE0794F" w14:textId="77777777" w:rsidR="00724C30" w:rsidRPr="00BC31E0" w:rsidRDefault="00724C30" w:rsidP="004736F2">
            <w:pPr>
              <w:rPr>
                <w:rFonts w:asciiTheme="majorEastAsia" w:eastAsiaTheme="majorEastAsia" w:hAnsiTheme="majorEastAsia"/>
                <w:sz w:val="18"/>
                <w:szCs w:val="18"/>
                <w:vertAlign w:val="superscript"/>
              </w:rPr>
            </w:pPr>
            <w:r w:rsidRPr="00BC31E0">
              <w:rPr>
                <w:rFonts w:hAnsiTheme="minorHAnsi" w:hint="eastAsia"/>
                <w:sz w:val="18"/>
                <w:szCs w:val="18"/>
              </w:rPr>
              <w:t xml:space="preserve">5) </w:t>
            </w:r>
            <m:oMath>
              <m:r>
                <w:rPr>
                  <w:rFonts w:ascii="Cambria Math" w:hAnsi="Cambria Math"/>
                  <w:sz w:val="18"/>
                  <w:szCs w:val="18"/>
                </w:rPr>
                <m:t>0.6D+</m:t>
              </m:r>
              <m:d>
                <m:dPr>
                  <m:ctrlPr>
                    <w:rPr>
                      <w:rFonts w:ascii="Cambria Math" w:hAnsi="Cambria Math"/>
                      <w:i/>
                      <w:sz w:val="18"/>
                      <w:szCs w:val="18"/>
                    </w:rPr>
                  </m:ctrlPr>
                </m:dPr>
                <m:e>
                  <m:r>
                    <w:rPr>
                      <w:rFonts w:ascii="Cambria Math" w:hAnsi="Cambria Math"/>
                      <w:sz w:val="18"/>
                      <w:szCs w:val="18"/>
                    </w:rPr>
                    <m:t>0.6W</m:t>
                  </m:r>
                  <m:r>
                    <m:rPr>
                      <m:sty m:val="p"/>
                    </m:rPr>
                    <w:rPr>
                      <w:rFonts w:ascii="Cambria Math" w:hAnsi="Cambria Math"/>
                      <w:sz w:val="18"/>
                      <w:szCs w:val="18"/>
                    </w:rPr>
                    <m:t xml:space="preserve"> </m:t>
                  </m:r>
                  <m:r>
                    <m:rPr>
                      <m:sty m:val="p"/>
                    </m:rPr>
                    <w:rPr>
                      <w:rFonts w:ascii="Cambria Math" w:hAnsi="Cambria Math" w:hint="eastAsia"/>
                      <w:sz w:val="18"/>
                      <w:szCs w:val="18"/>
                    </w:rPr>
                    <m:t>又は</m:t>
                  </m:r>
                  <m:r>
                    <w:rPr>
                      <w:rFonts w:ascii="Cambria Math" w:hAnsi="Cambria Math"/>
                      <w:sz w:val="18"/>
                      <w:szCs w:val="18"/>
                    </w:rPr>
                    <m:t xml:space="preserve"> 0.7E</m:t>
                  </m:r>
                </m:e>
              </m:d>
            </m:oMath>
            <w:r w:rsidRPr="00BC31E0">
              <w:rPr>
                <w:rFonts w:asciiTheme="majorEastAsia" w:eastAsiaTheme="majorEastAsia" w:hAnsiTheme="majorEastAsia" w:hint="eastAsia"/>
                <w:sz w:val="18"/>
                <w:szCs w:val="18"/>
                <w:vertAlign w:val="superscript"/>
              </w:rPr>
              <w:t xml:space="preserve"> </w:t>
            </w:r>
            <w:r w:rsidRPr="00BC31E0">
              <w:rPr>
                <w:rFonts w:asciiTheme="majorEastAsia" w:eastAsiaTheme="majorEastAsia" w:hAnsiTheme="majorEastAsia" w:hint="eastAsia"/>
                <w:b/>
                <w:vertAlign w:val="superscript"/>
              </w:rPr>
              <w:t>c)</w:t>
            </w:r>
          </w:p>
          <w:p w14:paraId="109AB8CC" w14:textId="77777777" w:rsidR="00724C30" w:rsidRPr="00BC31E0" w:rsidRDefault="00724C30" w:rsidP="004736F2">
            <w:pPr>
              <w:rPr>
                <w:rFonts w:hAnsiTheme="minorHAnsi"/>
                <w:sz w:val="18"/>
                <w:szCs w:val="18"/>
              </w:rPr>
            </w:pPr>
            <w:r w:rsidRPr="00BC31E0">
              <w:rPr>
                <w:rFonts w:hAnsiTheme="minorHAnsi"/>
                <w:sz w:val="18"/>
                <w:szCs w:val="18"/>
              </w:rPr>
              <w:t xml:space="preserve">6) </w:t>
            </w:r>
            <m:oMath>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O</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S</m:t>
                  </m:r>
                </m:sub>
              </m:sSub>
              <m:r>
                <w:rPr>
                  <w:rFonts w:ascii="Cambria Math" w:hAnsi="Cambria Math"/>
                  <w:sz w:val="18"/>
                  <w:szCs w:val="18"/>
                </w:rPr>
                <m:t>+D+</m:t>
              </m:r>
            </m:oMath>
          </w:p>
          <w:p w14:paraId="1AB02F92" w14:textId="77777777" w:rsidR="00724C30" w:rsidRPr="00BC31E0" w:rsidRDefault="00A51873" w:rsidP="004736F2">
            <w:pPr>
              <w:ind w:left="284"/>
              <w:rPr>
                <w:rFonts w:asciiTheme="minorEastAsia"/>
                <w:sz w:val="18"/>
                <w:szCs w:val="18"/>
                <w:vertAlign w:val="superscript"/>
              </w:rPr>
            </w:pPr>
            <m:oMath>
              <m:d>
                <m:dPr>
                  <m:ctrlPr>
                    <w:rPr>
                      <w:rFonts w:ascii="Cambria Math" w:hAnsi="Cambria Math"/>
                      <w:i/>
                      <w:sz w:val="18"/>
                      <w:szCs w:val="18"/>
                    </w:rPr>
                  </m:ctrlPr>
                </m:dPr>
                <m:e>
                  <m:r>
                    <w:rPr>
                      <w:rFonts w:ascii="Cambria Math" w:hAnsi="Cambria Math"/>
                      <w:sz w:val="18"/>
                      <w:szCs w:val="18"/>
                    </w:rPr>
                    <m:t>0.6W</m:t>
                  </m:r>
                  <m:r>
                    <m:rPr>
                      <m:sty m:val="p"/>
                    </m:rPr>
                    <w:rPr>
                      <w:rFonts w:ascii="Cambria Math" w:hAnsi="Cambria Math"/>
                      <w:sz w:val="18"/>
                      <w:szCs w:val="18"/>
                    </w:rPr>
                    <m:t xml:space="preserve"> </m:t>
                  </m:r>
                  <m:r>
                    <m:rPr>
                      <m:sty m:val="p"/>
                    </m:rPr>
                    <w:rPr>
                      <w:rFonts w:ascii="Cambria Math" w:hAnsi="Cambria Math" w:hint="eastAsia"/>
                      <w:sz w:val="18"/>
                      <w:szCs w:val="18"/>
                    </w:rPr>
                    <m:t>又は</m:t>
                  </m:r>
                  <m:r>
                    <w:rPr>
                      <w:rFonts w:ascii="Cambria Math" w:hAnsi="Cambria Math"/>
                      <w:sz w:val="18"/>
                      <w:szCs w:val="18"/>
                    </w:rPr>
                    <m:t xml:space="preserve"> 0.7E</m:t>
                  </m:r>
                </m:e>
              </m:d>
            </m:oMath>
            <w:r w:rsidR="00724C30" w:rsidRPr="00BC31E0">
              <w:rPr>
                <w:rFonts w:asciiTheme="majorEastAsia" w:eastAsiaTheme="majorEastAsia" w:hAnsiTheme="majorEastAsia" w:hint="eastAsia"/>
                <w:sz w:val="18"/>
                <w:szCs w:val="18"/>
                <w:vertAlign w:val="superscript"/>
              </w:rPr>
              <w:t xml:space="preserve"> </w:t>
            </w:r>
          </w:p>
          <w:p w14:paraId="741DB61F" w14:textId="77777777" w:rsidR="00724C30" w:rsidRPr="00BC31E0" w:rsidRDefault="00724C30" w:rsidP="004736F2">
            <w:pPr>
              <w:rPr>
                <w:rFonts w:hAnsiTheme="minorHAnsi"/>
                <w:sz w:val="18"/>
                <w:szCs w:val="18"/>
              </w:rPr>
            </w:pPr>
            <w:r w:rsidRPr="00BC31E0">
              <w:rPr>
                <w:rFonts w:hAnsiTheme="minorHAnsi" w:hint="eastAsia"/>
                <w:sz w:val="18"/>
                <w:szCs w:val="18"/>
              </w:rPr>
              <w:t xml:space="preserve">7) </w:t>
            </w:r>
            <m:oMath>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O</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S</m:t>
                  </m:r>
                </m:sub>
              </m:sSub>
              <m:r>
                <w:rPr>
                  <w:rFonts w:ascii="Cambria Math" w:hAnsi="Cambria Math"/>
                  <w:sz w:val="18"/>
                  <w:szCs w:val="18"/>
                </w:rPr>
                <m:t>+D</m:t>
              </m:r>
              <m:r>
                <m:rPr>
                  <m:sty m:val="p"/>
                </m:rPr>
                <w:rPr>
                  <w:rFonts w:ascii="Cambria Math" w:hAnsi="Cambria Math"/>
                  <w:sz w:val="18"/>
                  <w:szCs w:val="18"/>
                </w:rPr>
                <m:t>+</m:t>
              </m:r>
            </m:oMath>
          </w:p>
          <w:p w14:paraId="32E0CB68" w14:textId="77777777" w:rsidR="00724C30" w:rsidRPr="00BC31E0" w:rsidRDefault="00724C30" w:rsidP="004736F2">
            <w:pPr>
              <w:ind w:left="284"/>
              <w:rPr>
                <w:rFonts w:hAnsiTheme="minorHAnsi"/>
                <w:i/>
                <w:sz w:val="18"/>
                <w:szCs w:val="18"/>
              </w:rPr>
            </w:pPr>
            <m:oMath>
              <m:r>
                <w:rPr>
                  <w:rFonts w:ascii="Cambria Math" w:hAnsi="Cambria Math"/>
                  <w:sz w:val="18"/>
                  <w:szCs w:val="18"/>
                </w:rPr>
                <m:t xml:space="preserve">0.75 </m:t>
              </m:r>
              <m:d>
                <m:dPr>
                  <m:ctrlPr>
                    <w:rPr>
                      <w:rFonts w:ascii="Cambria Math" w:hAnsi="Cambria Math"/>
                      <w:i/>
                      <w:sz w:val="18"/>
                      <w:szCs w:val="18"/>
                    </w:rPr>
                  </m:ctrlPr>
                </m:dPr>
                <m:e>
                  <m:r>
                    <w:rPr>
                      <w:rFonts w:ascii="Cambria Math" w:hAnsi="Cambria Math"/>
                      <w:sz w:val="18"/>
                      <w:szCs w:val="18"/>
                    </w:rPr>
                    <m:t>L+</m:t>
                  </m:r>
                  <m:sSub>
                    <m:sSubPr>
                      <m:ctrlPr>
                        <w:rPr>
                          <w:rFonts w:ascii="Cambria Math" w:hAnsi="Cambria Math"/>
                          <w:i/>
                          <w:sz w:val="18"/>
                          <w:szCs w:val="18"/>
                        </w:rPr>
                      </m:ctrlPr>
                    </m:sSubPr>
                    <m:e>
                      <m:r>
                        <w:rPr>
                          <w:rFonts w:ascii="Cambria Math" w:hAnsi="Cambria Math"/>
                          <w:sz w:val="18"/>
                          <w:szCs w:val="18"/>
                        </w:rPr>
                        <m:t>L</m:t>
                      </m:r>
                    </m:e>
                    <m:sub>
                      <m:r>
                        <w:rPr>
                          <w:rFonts w:ascii="Cambria Math" w:hAnsi="Cambria Math"/>
                          <w:sz w:val="18"/>
                          <w:szCs w:val="18"/>
                        </w:rPr>
                        <m:t>A</m:t>
                      </m:r>
                    </m:sub>
                  </m:sSub>
                  <m:r>
                    <w:rPr>
                      <w:rFonts w:ascii="Cambria Math" w:hAnsi="Cambria Math"/>
                      <w:sz w:val="18"/>
                      <w:szCs w:val="18"/>
                    </w:rPr>
                    <m:t>+T</m:t>
                  </m:r>
                </m:e>
              </m:d>
              <m:r>
                <w:rPr>
                  <w:rFonts w:ascii="Cambria Math" w:hAnsi="Cambria Math"/>
                  <w:sz w:val="18"/>
                  <w:szCs w:val="18"/>
                </w:rPr>
                <m:t>+0.75</m:t>
              </m:r>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S</m:t>
                  </m:r>
                </m:sub>
              </m:sSub>
            </m:oMath>
            <w:r w:rsidRPr="00BC31E0">
              <w:rPr>
                <w:rFonts w:hAnsiTheme="minorHAnsi"/>
                <w:i/>
                <w:sz w:val="18"/>
                <w:szCs w:val="18"/>
              </w:rPr>
              <w:t xml:space="preserve"> </w:t>
            </w:r>
          </w:p>
          <w:p w14:paraId="74E83044" w14:textId="77777777" w:rsidR="00724C30" w:rsidRPr="00BC31E0" w:rsidRDefault="00724C30" w:rsidP="004736F2">
            <w:pPr>
              <w:rPr>
                <w:rFonts w:hAnsiTheme="minorHAnsi"/>
                <w:sz w:val="18"/>
                <w:szCs w:val="18"/>
              </w:rPr>
            </w:pPr>
            <w:r w:rsidRPr="00BC31E0">
              <w:rPr>
                <w:rFonts w:hAnsiTheme="minorHAnsi" w:hint="eastAsia"/>
                <w:sz w:val="18"/>
                <w:szCs w:val="18"/>
              </w:rPr>
              <w:t xml:space="preserve">8) </w:t>
            </w:r>
            <m:oMath>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O</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S</m:t>
                  </m:r>
                </m:sub>
              </m:sSub>
              <m:r>
                <w:rPr>
                  <w:rFonts w:ascii="Cambria Math" w:hAnsi="Cambria Math"/>
                  <w:sz w:val="18"/>
                  <w:szCs w:val="18"/>
                </w:rPr>
                <m:t>+D</m:t>
              </m:r>
              <m:r>
                <m:rPr>
                  <m:sty m:val="p"/>
                </m:rPr>
                <w:rPr>
                  <w:rFonts w:ascii="Cambria Math" w:hAnsi="Cambria Math"/>
                  <w:sz w:val="18"/>
                  <w:szCs w:val="18"/>
                </w:rPr>
                <m:t>+</m:t>
              </m:r>
            </m:oMath>
          </w:p>
          <w:p w14:paraId="0A909898" w14:textId="77777777" w:rsidR="00724C30" w:rsidRPr="00BC31E0" w:rsidRDefault="00724C30" w:rsidP="004736F2">
            <w:pPr>
              <w:ind w:left="284"/>
              <w:rPr>
                <w:rFonts w:hAnsiTheme="minorHAnsi"/>
                <w:i/>
                <w:sz w:val="18"/>
                <w:szCs w:val="18"/>
              </w:rPr>
            </w:pPr>
            <m:oMath>
              <m:r>
                <w:rPr>
                  <w:rFonts w:ascii="Cambria Math" w:hAnsi="Cambria Math"/>
                  <w:sz w:val="18"/>
                  <w:szCs w:val="18"/>
                </w:rPr>
                <m:t xml:space="preserve">0.75 </m:t>
              </m:r>
              <m:d>
                <m:dPr>
                  <m:ctrlPr>
                    <w:rPr>
                      <w:rFonts w:ascii="Cambria Math" w:hAnsi="Cambria Math"/>
                      <w:i/>
                      <w:sz w:val="18"/>
                      <w:szCs w:val="18"/>
                    </w:rPr>
                  </m:ctrlPr>
                </m:dPr>
                <m:e>
                  <m:r>
                    <w:rPr>
                      <w:rFonts w:ascii="Cambria Math" w:hAnsi="Cambria Math"/>
                      <w:sz w:val="18"/>
                      <w:szCs w:val="18"/>
                    </w:rPr>
                    <m:t>0.6W</m:t>
                  </m:r>
                  <m:r>
                    <m:rPr>
                      <m:sty m:val="p"/>
                    </m:rPr>
                    <w:rPr>
                      <w:rFonts w:ascii="Cambria Math" w:hAnsi="Cambria Math"/>
                      <w:sz w:val="18"/>
                      <w:szCs w:val="18"/>
                    </w:rPr>
                    <m:t xml:space="preserve"> </m:t>
                  </m:r>
                  <m:r>
                    <m:rPr>
                      <m:sty m:val="p"/>
                    </m:rPr>
                    <w:rPr>
                      <w:rFonts w:ascii="Cambria Math" w:hAnsi="Cambria Math" w:hint="eastAsia"/>
                      <w:sz w:val="18"/>
                      <w:szCs w:val="18"/>
                    </w:rPr>
                    <m:t>又は</m:t>
                  </m:r>
                  <m:r>
                    <m:rPr>
                      <m:sty m:val="p"/>
                    </m:rPr>
                    <w:rPr>
                      <w:rFonts w:ascii="Cambria Math" w:hAnsi="Cambria Math" w:hint="eastAsia"/>
                      <w:sz w:val="18"/>
                      <w:szCs w:val="18"/>
                    </w:rPr>
                    <m:t xml:space="preserve"> </m:t>
                  </m:r>
                  <m:r>
                    <w:rPr>
                      <w:rFonts w:ascii="Cambria Math" w:hAnsi="Cambria Math"/>
                      <w:sz w:val="18"/>
                      <w:szCs w:val="18"/>
                    </w:rPr>
                    <m:t>0.7E</m:t>
                  </m:r>
                </m:e>
              </m:d>
              <m:r>
                <w:rPr>
                  <w:rFonts w:ascii="Cambria Math" w:hAnsi="Cambria Math"/>
                  <w:sz w:val="18"/>
                  <w:szCs w:val="18"/>
                </w:rPr>
                <m:t>+</m:t>
              </m:r>
            </m:oMath>
            <w:r w:rsidRPr="00BC31E0">
              <w:rPr>
                <w:rFonts w:hAnsiTheme="minorHAnsi"/>
                <w:i/>
                <w:sz w:val="18"/>
                <w:szCs w:val="18"/>
              </w:rPr>
              <w:t xml:space="preserve"> </w:t>
            </w:r>
          </w:p>
          <w:p w14:paraId="683AA44E" w14:textId="77777777" w:rsidR="00724C30" w:rsidRPr="00BC31E0" w:rsidRDefault="00724C30" w:rsidP="004736F2">
            <w:pPr>
              <w:ind w:left="284"/>
              <w:rPr>
                <w:rFonts w:hAnsiTheme="minorHAnsi"/>
                <w:i/>
                <w:sz w:val="18"/>
                <w:szCs w:val="18"/>
              </w:rPr>
            </w:pPr>
            <m:oMath>
              <m:r>
                <w:rPr>
                  <w:rFonts w:ascii="Cambria Math" w:hAnsi="Cambria Math"/>
                  <w:sz w:val="18"/>
                  <w:szCs w:val="18"/>
                </w:rPr>
                <m:t xml:space="preserve">0.75 </m:t>
              </m:r>
              <m:d>
                <m:dPr>
                  <m:ctrlPr>
                    <w:rPr>
                      <w:rFonts w:ascii="Cambria Math" w:hAnsi="Cambria Math"/>
                      <w:i/>
                      <w:sz w:val="18"/>
                      <w:szCs w:val="18"/>
                    </w:rPr>
                  </m:ctrlPr>
                </m:dPr>
                <m:e>
                  <m:r>
                    <w:rPr>
                      <w:rFonts w:ascii="Cambria Math" w:hAnsi="Cambria Math"/>
                      <w:sz w:val="18"/>
                      <w:szCs w:val="18"/>
                    </w:rPr>
                    <m:t>L+</m:t>
                  </m:r>
                  <m:sSub>
                    <m:sSubPr>
                      <m:ctrlPr>
                        <w:rPr>
                          <w:rFonts w:ascii="Cambria Math" w:hAnsi="Cambria Math"/>
                          <w:i/>
                          <w:sz w:val="18"/>
                          <w:szCs w:val="18"/>
                        </w:rPr>
                      </m:ctrlPr>
                    </m:sSubPr>
                    <m:e>
                      <m:r>
                        <w:rPr>
                          <w:rFonts w:ascii="Cambria Math" w:hAnsi="Cambria Math"/>
                          <w:sz w:val="18"/>
                          <w:szCs w:val="18"/>
                        </w:rPr>
                        <m:t>L</m:t>
                      </m:r>
                    </m:e>
                    <m:sub>
                      <m:r>
                        <w:rPr>
                          <w:rFonts w:ascii="Cambria Math" w:hAnsi="Cambria Math"/>
                          <w:sz w:val="18"/>
                          <w:szCs w:val="18"/>
                        </w:rPr>
                        <m:t>A</m:t>
                      </m:r>
                    </m:sub>
                  </m:sSub>
                </m:e>
              </m:d>
              <m:r>
                <w:rPr>
                  <w:rFonts w:ascii="Cambria Math" w:hAnsi="Cambria Math"/>
                  <w:sz w:val="18"/>
                  <w:szCs w:val="18"/>
                </w:rPr>
                <m:t>+0.75</m:t>
              </m:r>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S</m:t>
                  </m:r>
                </m:sub>
              </m:sSub>
            </m:oMath>
            <w:r w:rsidRPr="00BC31E0">
              <w:rPr>
                <w:rFonts w:hAnsiTheme="minorHAnsi"/>
                <w:i/>
                <w:sz w:val="18"/>
                <w:szCs w:val="18"/>
              </w:rPr>
              <w:t xml:space="preserve"> </w:t>
            </w:r>
          </w:p>
          <w:p w14:paraId="2CBE412B" w14:textId="77777777" w:rsidR="00724C30" w:rsidRPr="00BC31E0" w:rsidRDefault="00724C30" w:rsidP="004736F2">
            <w:pPr>
              <w:ind w:left="284" w:hanging="284"/>
              <w:rPr>
                <w:rFonts w:hAnsiTheme="minorHAnsi"/>
              </w:rPr>
            </w:pPr>
            <w:r w:rsidRPr="00BC31E0">
              <w:rPr>
                <w:rFonts w:hAnsiTheme="minorHAnsi" w:hint="eastAsia"/>
                <w:sz w:val="18"/>
                <w:szCs w:val="18"/>
              </w:rPr>
              <w:t xml:space="preserve">9) </w:t>
            </w:r>
            <w:r w:rsidRPr="00BC31E0">
              <w:rPr>
                <w:rFonts w:hAnsiTheme="minorHAnsi" w:hint="eastAsia"/>
                <w:sz w:val="18"/>
                <w:szCs w:val="18"/>
              </w:rPr>
              <w:t>使用者設計仕様書に記載の他の荷重組合せ</w:t>
            </w:r>
          </w:p>
        </w:tc>
        <w:tc>
          <w:tcPr>
            <w:tcW w:w="1275" w:type="dxa"/>
            <w:vAlign w:val="center"/>
          </w:tcPr>
          <w:p w14:paraId="19D6D9A1" w14:textId="77777777" w:rsidR="00724C30" w:rsidRPr="00BC31E0" w:rsidRDefault="00A51873" w:rsidP="004736F2">
            <w:pPr>
              <w:rPr>
                <w:rFonts w:asciiTheme="minorEastAsia"/>
                <w:i/>
                <w:sz w:val="20"/>
                <w:szCs w:val="20"/>
              </w:rPr>
            </w:pPr>
            <m:oMathPara>
              <m:oMath>
                <m:sSub>
                  <m:sSubPr>
                    <m:ctrlPr>
                      <w:rPr>
                        <w:rFonts w:ascii="Cambria Math" w:hAnsi="Cambria Math"/>
                        <w:i/>
                        <w:sz w:val="20"/>
                        <w:szCs w:val="20"/>
                      </w:rPr>
                    </m:ctrlPr>
                  </m:sSubPr>
                  <m:e>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c</m:t>
                        </m:r>
                        <m:r>
                          <w:rPr>
                            <w:rFonts w:ascii="Cambria Math" w:hAnsi="Cambria Math" w:hint="eastAsia"/>
                            <w:sz w:val="20"/>
                            <w:szCs w:val="20"/>
                          </w:rPr>
                          <m:t xml:space="preserve"> </m:t>
                        </m:r>
                      </m:sub>
                    </m:sSub>
                    <m:r>
                      <w:rPr>
                        <w:rFonts w:ascii="Cambria Math" w:hAnsi="Cambria Math"/>
                        <w:sz w:val="20"/>
                        <w:szCs w:val="20"/>
                      </w:rPr>
                      <m:t>k</m:t>
                    </m:r>
                  </m:e>
                  <m:sub>
                    <m:r>
                      <w:rPr>
                        <w:rFonts w:ascii="Cambria Math" w:hAnsi="Cambria Math"/>
                        <w:sz w:val="20"/>
                        <w:szCs w:val="20"/>
                      </w:rPr>
                      <m:t>c1</m:t>
                    </m:r>
                  </m:sub>
                </m:sSub>
                <m:d>
                  <m:dPr>
                    <m:ctrlPr>
                      <w:rPr>
                        <w:rFonts w:ascii="Cambria Math" w:hAnsi="Cambria Math"/>
                        <w:i/>
                        <w:sz w:val="20"/>
                        <w:szCs w:val="20"/>
                      </w:rPr>
                    </m:ctrlPr>
                  </m:dPr>
                  <m:e>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y</m:t>
                            </m:r>
                          </m:sub>
                        </m:sSub>
                      </m:num>
                      <m:den>
                        <m:r>
                          <w:rPr>
                            <w:rFonts w:ascii="Cambria Math" w:hAnsi="Cambria Math"/>
                            <w:sz w:val="20"/>
                            <w:szCs w:val="20"/>
                          </w:rPr>
                          <m:t>1.5</m:t>
                        </m:r>
                      </m:den>
                    </m:f>
                  </m:e>
                </m:d>
              </m:oMath>
            </m:oMathPara>
          </w:p>
        </w:tc>
        <w:tc>
          <w:tcPr>
            <w:tcW w:w="1134" w:type="dxa"/>
            <w:vAlign w:val="center"/>
          </w:tcPr>
          <w:p w14:paraId="6267A225" w14:textId="77777777" w:rsidR="00724C30" w:rsidRPr="00BC31E0" w:rsidRDefault="00A51873" w:rsidP="004736F2">
            <w:pPr>
              <w:rPr>
                <w:rFonts w:asciiTheme="minorEastAsia"/>
                <w:i/>
                <w:sz w:val="20"/>
                <w:szCs w:val="20"/>
              </w:rPr>
            </w:pPr>
            <m:oMathPara>
              <m:oMath>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 xml:space="preserve">c1 </m:t>
                    </m:r>
                  </m:sub>
                </m:sSub>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y</m:t>
                    </m:r>
                  </m:sub>
                </m:sSub>
              </m:oMath>
            </m:oMathPara>
          </w:p>
        </w:tc>
        <w:tc>
          <w:tcPr>
            <w:tcW w:w="1276" w:type="dxa"/>
            <w:vAlign w:val="center"/>
          </w:tcPr>
          <w:p w14:paraId="3CC4492C" w14:textId="77777777" w:rsidR="00724C30" w:rsidRPr="00BC31E0" w:rsidRDefault="00A51873" w:rsidP="004736F2">
            <w:pPr>
              <w:rPr>
                <w:rFonts w:asciiTheme="minorEastAsia"/>
                <w:sz w:val="20"/>
                <w:szCs w:val="20"/>
              </w:rPr>
            </w:pPr>
            <m:oMathPara>
              <m:oMath>
                <m:sSub>
                  <m:sSubPr>
                    <m:ctrlPr>
                      <w:rPr>
                        <w:rFonts w:ascii="Cambria Math" w:hAnsi="Cambria Math"/>
                        <w:i/>
                        <w:sz w:val="20"/>
                        <w:szCs w:val="20"/>
                      </w:rPr>
                    </m:ctrlPr>
                  </m:sSubPr>
                  <m:e>
                    <m:r>
                      <w:rPr>
                        <w:rFonts w:ascii="Cambria Math" w:hAnsi="Cambria Math"/>
                        <w:sz w:val="20"/>
                        <w:szCs w:val="20"/>
                      </w:rPr>
                      <m:t>α</m:t>
                    </m:r>
                    <m:r>
                      <w:rPr>
                        <w:rFonts w:ascii="Cambria Math" w:hAnsi="Cambria Math" w:hint="eastAsia"/>
                        <w:sz w:val="20"/>
                        <w:szCs w:val="20"/>
                      </w:rPr>
                      <m:t xml:space="preserve"> </m:t>
                    </m:r>
                    <m:r>
                      <w:rPr>
                        <w:rFonts w:ascii="Cambria Math" w:hAnsi="Cambria Math"/>
                        <w:sz w:val="20"/>
                        <w:szCs w:val="20"/>
                      </w:rPr>
                      <m:t>k</m:t>
                    </m:r>
                  </m:e>
                  <m:sub>
                    <m:r>
                      <w:rPr>
                        <w:rFonts w:ascii="Cambria Math" w:hAnsi="Cambria Math"/>
                        <w:sz w:val="20"/>
                        <w:szCs w:val="20"/>
                      </w:rPr>
                      <m:t>c1</m:t>
                    </m:r>
                  </m:sub>
                </m:sSub>
                <m:d>
                  <m:dPr>
                    <m:ctrlPr>
                      <w:rPr>
                        <w:rFonts w:ascii="Cambria Math" w:hAnsi="Cambria Math"/>
                        <w:i/>
                        <w:sz w:val="20"/>
                        <w:szCs w:val="20"/>
                      </w:rPr>
                    </m:ctrlPr>
                  </m:dPr>
                  <m:e>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y</m:t>
                            </m:r>
                          </m:sub>
                        </m:sSub>
                      </m:num>
                      <m:den>
                        <m:r>
                          <w:rPr>
                            <w:rFonts w:ascii="Cambria Math" w:hAnsi="Cambria Math"/>
                            <w:sz w:val="20"/>
                            <w:szCs w:val="20"/>
                          </w:rPr>
                          <m:t>1.5</m:t>
                        </m:r>
                      </m:den>
                    </m:f>
                  </m:e>
                </m:d>
              </m:oMath>
            </m:oMathPara>
          </w:p>
        </w:tc>
        <w:tc>
          <w:tcPr>
            <w:tcW w:w="1134" w:type="dxa"/>
            <w:vAlign w:val="center"/>
          </w:tcPr>
          <w:p w14:paraId="5137EDC2" w14:textId="77777777" w:rsidR="00724C30" w:rsidRPr="00BC31E0" w:rsidRDefault="00724C30" w:rsidP="004736F2">
            <w:pPr>
              <w:jc w:val="center"/>
              <w:rPr>
                <w:rFonts w:asciiTheme="minorEastAsia"/>
                <w:sz w:val="20"/>
                <w:szCs w:val="20"/>
              </w:rPr>
            </w:pPr>
            <w:r w:rsidRPr="00BC31E0">
              <w:rPr>
                <w:rFonts w:asciiTheme="minorEastAsia" w:hint="eastAsia"/>
                <w:sz w:val="20"/>
                <w:szCs w:val="20"/>
              </w:rPr>
              <w:t>－</w:t>
            </w:r>
          </w:p>
        </w:tc>
        <w:tc>
          <w:tcPr>
            <w:tcW w:w="1559" w:type="dxa"/>
            <w:vAlign w:val="center"/>
          </w:tcPr>
          <w:p w14:paraId="69A8FDF8" w14:textId="77777777" w:rsidR="00724C30" w:rsidRPr="00BC31E0" w:rsidRDefault="00724C30" w:rsidP="004736F2">
            <w:pPr>
              <w:jc w:val="center"/>
              <w:rPr>
                <w:rFonts w:asciiTheme="minorEastAsia"/>
                <w:sz w:val="20"/>
                <w:szCs w:val="20"/>
              </w:rPr>
            </w:pPr>
            <w:r w:rsidRPr="00BC31E0">
              <w:rPr>
                <w:rFonts w:asciiTheme="minorEastAsia" w:hint="eastAsia"/>
                <w:sz w:val="20"/>
                <w:szCs w:val="20"/>
              </w:rPr>
              <w:t>－</w:t>
            </w:r>
          </w:p>
        </w:tc>
      </w:tr>
      <w:tr w:rsidR="00724C30" w:rsidRPr="00BC31E0" w14:paraId="26E4D5A4" w14:textId="77777777" w:rsidTr="004736F2">
        <w:tc>
          <w:tcPr>
            <w:tcW w:w="2694" w:type="dxa"/>
            <w:vAlign w:val="center"/>
          </w:tcPr>
          <w:p w14:paraId="69F0FD2F" w14:textId="77777777" w:rsidR="00724C30" w:rsidRPr="00BC31E0" w:rsidRDefault="00724C30" w:rsidP="004736F2">
            <w:pPr>
              <w:rPr>
                <w:sz w:val="18"/>
                <w:szCs w:val="18"/>
              </w:rPr>
            </w:pPr>
            <w:r w:rsidRPr="00BC31E0">
              <w:rPr>
                <w:rFonts w:hint="eastAsia"/>
                <w:sz w:val="18"/>
                <w:szCs w:val="18"/>
              </w:rPr>
              <w:t>運転条件</w:t>
            </w:r>
          </w:p>
          <w:p w14:paraId="5D2DEA4F" w14:textId="77777777" w:rsidR="00724C30" w:rsidRPr="00BC31E0" w:rsidRDefault="00724C30" w:rsidP="004736F2">
            <w:pPr>
              <w:spacing w:line="320" w:lineRule="exact"/>
            </w:pPr>
            <w:r w:rsidRPr="00BC31E0">
              <w:rPr>
                <w:rFonts w:hint="eastAsia"/>
                <w:sz w:val="18"/>
                <w:szCs w:val="18"/>
              </w:rPr>
              <w:t>最大の運転荷重に対して，設計条件と同じ荷重組合せを使用する。</w:t>
            </w:r>
          </w:p>
        </w:tc>
        <w:tc>
          <w:tcPr>
            <w:tcW w:w="1275" w:type="dxa"/>
            <w:vAlign w:val="center"/>
          </w:tcPr>
          <w:p w14:paraId="4582CAAA" w14:textId="77777777" w:rsidR="00724C30" w:rsidRPr="00BC31E0" w:rsidRDefault="00724C30" w:rsidP="004736F2">
            <w:pPr>
              <w:jc w:val="center"/>
              <w:rPr>
                <w:sz w:val="20"/>
                <w:szCs w:val="20"/>
              </w:rPr>
            </w:pPr>
            <w:r w:rsidRPr="00BC31E0">
              <w:rPr>
                <w:rFonts w:hint="eastAsia"/>
                <w:sz w:val="20"/>
                <w:szCs w:val="20"/>
              </w:rPr>
              <w:t>－</w:t>
            </w:r>
          </w:p>
        </w:tc>
        <w:tc>
          <w:tcPr>
            <w:tcW w:w="1134" w:type="dxa"/>
            <w:vAlign w:val="center"/>
          </w:tcPr>
          <w:p w14:paraId="45A5C029" w14:textId="77777777" w:rsidR="00724C30" w:rsidRPr="00BC31E0" w:rsidRDefault="00724C30" w:rsidP="004736F2">
            <w:pPr>
              <w:jc w:val="center"/>
              <w:rPr>
                <w:sz w:val="20"/>
                <w:szCs w:val="20"/>
              </w:rPr>
            </w:pPr>
            <w:r w:rsidRPr="00BC31E0">
              <w:rPr>
                <w:rFonts w:hint="eastAsia"/>
                <w:sz w:val="20"/>
                <w:szCs w:val="20"/>
              </w:rPr>
              <w:t>－</w:t>
            </w:r>
          </w:p>
        </w:tc>
        <w:tc>
          <w:tcPr>
            <w:tcW w:w="1276" w:type="dxa"/>
            <w:vAlign w:val="center"/>
          </w:tcPr>
          <w:p w14:paraId="02C9CE06" w14:textId="77777777" w:rsidR="00724C30" w:rsidRPr="00BC31E0" w:rsidRDefault="00724C30" w:rsidP="004736F2">
            <w:pPr>
              <w:jc w:val="center"/>
              <w:rPr>
                <w:sz w:val="20"/>
                <w:szCs w:val="20"/>
              </w:rPr>
            </w:pPr>
            <w:r w:rsidRPr="00BC31E0">
              <w:rPr>
                <w:rFonts w:hint="eastAsia"/>
                <w:sz w:val="20"/>
                <w:szCs w:val="20"/>
              </w:rPr>
              <w:t>－</w:t>
            </w:r>
          </w:p>
        </w:tc>
        <w:tc>
          <w:tcPr>
            <w:tcW w:w="1134" w:type="dxa"/>
            <w:vAlign w:val="center"/>
          </w:tcPr>
          <w:p w14:paraId="12F16997" w14:textId="77777777" w:rsidR="00724C30" w:rsidRPr="00BC31E0" w:rsidRDefault="00724C30" w:rsidP="004736F2">
            <w:pPr>
              <w:jc w:val="center"/>
              <w:rPr>
                <w:i/>
                <w:sz w:val="20"/>
                <w:szCs w:val="20"/>
              </w:rPr>
            </w:pPr>
            <m:oMathPara>
              <m:oMath>
                <m:r>
                  <w:rPr>
                    <w:rFonts w:ascii="Cambria Math" w:hAnsi="Cambria Math" w:hint="eastAsia"/>
                    <w:sz w:val="20"/>
                    <w:szCs w:val="20"/>
                  </w:rPr>
                  <m:t>2</m:t>
                </m:r>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y</m:t>
                    </m:r>
                  </m:sub>
                </m:sSub>
              </m:oMath>
            </m:oMathPara>
          </w:p>
        </w:tc>
        <w:tc>
          <w:tcPr>
            <w:tcW w:w="1559" w:type="dxa"/>
            <w:vAlign w:val="center"/>
          </w:tcPr>
          <w:p w14:paraId="526C7C2E" w14:textId="77777777" w:rsidR="00724C30" w:rsidRPr="00BC31E0" w:rsidRDefault="00A51873" w:rsidP="004736F2">
            <w:pPr>
              <w:jc w:val="center"/>
              <w:rPr>
                <w:i/>
                <w:sz w:val="20"/>
                <w:szCs w:val="20"/>
              </w:rPr>
            </w:pPr>
            <m:oMathPara>
              <m:oMath>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eq</m:t>
                    </m:r>
                  </m:sub>
                </m:sSub>
              </m:oMath>
            </m:oMathPara>
          </w:p>
        </w:tc>
      </w:tr>
      <w:tr w:rsidR="00724C30" w:rsidRPr="00BC31E0" w14:paraId="3525AA95" w14:textId="77777777" w:rsidTr="004736F2">
        <w:tc>
          <w:tcPr>
            <w:tcW w:w="2694" w:type="dxa"/>
            <w:vAlign w:val="center"/>
          </w:tcPr>
          <w:p w14:paraId="33E4C1C1" w14:textId="77777777" w:rsidR="00724C30" w:rsidRPr="00BC31E0" w:rsidRDefault="00724C30" w:rsidP="004736F2">
            <w:pPr>
              <w:rPr>
                <w:sz w:val="18"/>
                <w:szCs w:val="18"/>
              </w:rPr>
            </w:pPr>
            <w:r w:rsidRPr="00BC31E0">
              <w:rPr>
                <w:rFonts w:hint="eastAsia"/>
                <w:sz w:val="18"/>
                <w:szCs w:val="18"/>
              </w:rPr>
              <w:t>耐圧試験</w:t>
            </w:r>
          </w:p>
          <w:p w14:paraId="69E9E666" w14:textId="77777777" w:rsidR="00724C30" w:rsidRPr="00BC31E0" w:rsidRDefault="00724C30" w:rsidP="004736F2">
            <w:r w:rsidRPr="00BC31E0">
              <w:rPr>
                <w:sz w:val="18"/>
                <w:szCs w:val="18"/>
              </w:rPr>
              <w:t xml:space="preserve">10) </w:t>
            </w:r>
            <m:oMath>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T</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S</m:t>
                  </m:r>
                </m:sub>
              </m:sSub>
              <m:r>
                <w:rPr>
                  <w:rFonts w:ascii="Cambria Math" w:hAnsi="Cambria Math"/>
                  <w:sz w:val="18"/>
                  <w:szCs w:val="18"/>
                </w:rPr>
                <m:t>+D+0.6</m:t>
              </m:r>
              <m:sSub>
                <m:sSubPr>
                  <m:ctrlPr>
                    <w:rPr>
                      <w:rFonts w:ascii="Cambria Math" w:hAnsi="Cambria Math"/>
                      <w:i/>
                      <w:sz w:val="18"/>
                      <w:szCs w:val="18"/>
                    </w:rPr>
                  </m:ctrlPr>
                </m:sSubPr>
                <m:e>
                  <m:r>
                    <w:rPr>
                      <w:rFonts w:ascii="Cambria Math" w:hAnsi="Cambria Math"/>
                      <w:sz w:val="18"/>
                      <w:szCs w:val="18"/>
                    </w:rPr>
                    <m:t>W</m:t>
                  </m:r>
                </m:e>
                <m:sub>
                  <m:r>
                    <w:rPr>
                      <w:rFonts w:ascii="Cambria Math" w:hAnsi="Cambria Math"/>
                      <w:sz w:val="18"/>
                      <w:szCs w:val="18"/>
                    </w:rPr>
                    <m:t>pt</m:t>
                  </m:r>
                </m:sub>
              </m:sSub>
            </m:oMath>
          </w:p>
        </w:tc>
        <w:tc>
          <w:tcPr>
            <w:tcW w:w="1275" w:type="dxa"/>
            <w:vAlign w:val="center"/>
          </w:tcPr>
          <w:p w14:paraId="4D38B65D" w14:textId="77777777" w:rsidR="00724C30" w:rsidRPr="00BC31E0" w:rsidRDefault="00724C30" w:rsidP="004736F2">
            <w:pPr>
              <w:spacing w:line="320" w:lineRule="exact"/>
              <w:jc w:val="center"/>
              <w:rPr>
                <w:rFonts w:asciiTheme="minorHAnsi" w:hAnsiTheme="minorHAnsi"/>
                <w:sz w:val="18"/>
                <w:szCs w:val="18"/>
              </w:rPr>
            </w:pPr>
            <w:r w:rsidRPr="00BC31E0">
              <w:rPr>
                <w:rFonts w:asciiTheme="minorHAnsi"/>
                <w:sz w:val="18"/>
                <w:szCs w:val="18"/>
              </w:rPr>
              <w:t>本体の</w:t>
            </w:r>
          </w:p>
          <w:p w14:paraId="13B8E96D" w14:textId="77777777" w:rsidR="00724C30" w:rsidRPr="00BC31E0" w:rsidRDefault="00724C30" w:rsidP="004736F2">
            <w:pPr>
              <w:spacing w:line="320" w:lineRule="exact"/>
              <w:jc w:val="center"/>
              <w:rPr>
                <w:rFonts w:asciiTheme="majorEastAsia" w:eastAsiaTheme="majorEastAsia" w:hAnsiTheme="majorEastAsia"/>
                <w:b/>
              </w:rPr>
            </w:pPr>
            <w:r w:rsidRPr="00BC31E0">
              <w:rPr>
                <w:rFonts w:asciiTheme="majorEastAsia" w:eastAsiaTheme="majorEastAsia" w:hAnsiTheme="majorEastAsia"/>
                <w:b/>
                <w:sz w:val="18"/>
                <w:szCs w:val="18"/>
              </w:rPr>
              <w:t xml:space="preserve">10.3.2 </w:t>
            </w:r>
            <w:r w:rsidRPr="00BC31E0">
              <w:rPr>
                <w:rFonts w:asciiTheme="majorEastAsia" w:eastAsiaTheme="majorEastAsia" w:hAnsiTheme="majorEastAsia" w:hint="eastAsia"/>
                <w:b/>
                <w:sz w:val="18"/>
                <w:szCs w:val="18"/>
              </w:rPr>
              <w:t xml:space="preserve">b) </w:t>
            </w:r>
            <w:r w:rsidRPr="00BC31E0">
              <w:rPr>
                <w:rFonts w:asciiTheme="majorEastAsia" w:eastAsiaTheme="majorEastAsia" w:hAnsiTheme="majorEastAsia"/>
                <w:b/>
                <w:sz w:val="18"/>
                <w:szCs w:val="18"/>
              </w:rPr>
              <w:t>3)</w:t>
            </w:r>
          </w:p>
        </w:tc>
        <w:tc>
          <w:tcPr>
            <w:tcW w:w="1134" w:type="dxa"/>
            <w:vAlign w:val="center"/>
          </w:tcPr>
          <w:p w14:paraId="37DFB3B2" w14:textId="77777777" w:rsidR="00724C30" w:rsidRPr="00BC31E0" w:rsidRDefault="00724C30" w:rsidP="004736F2">
            <w:pPr>
              <w:jc w:val="center"/>
            </w:pPr>
            <w:r w:rsidRPr="00BC31E0">
              <w:rPr>
                <w:rFonts w:hint="eastAsia"/>
              </w:rPr>
              <w:t>－</w:t>
            </w:r>
          </w:p>
        </w:tc>
        <w:tc>
          <w:tcPr>
            <w:tcW w:w="1276" w:type="dxa"/>
            <w:vAlign w:val="center"/>
          </w:tcPr>
          <w:p w14:paraId="1BFD76E1" w14:textId="77777777" w:rsidR="00724C30" w:rsidRPr="00BC31E0" w:rsidRDefault="00724C30" w:rsidP="004736F2">
            <w:pPr>
              <w:spacing w:line="320" w:lineRule="exact"/>
              <w:jc w:val="center"/>
              <w:rPr>
                <w:rFonts w:asciiTheme="minorHAnsi" w:hAnsiTheme="minorHAnsi"/>
                <w:sz w:val="18"/>
                <w:szCs w:val="18"/>
              </w:rPr>
            </w:pPr>
            <w:r w:rsidRPr="00BC31E0">
              <w:rPr>
                <w:rFonts w:asciiTheme="minorHAnsi"/>
                <w:sz w:val="18"/>
                <w:szCs w:val="18"/>
              </w:rPr>
              <w:t>本体の</w:t>
            </w:r>
          </w:p>
          <w:p w14:paraId="65C64697" w14:textId="77777777" w:rsidR="00724C30" w:rsidRPr="00BC31E0" w:rsidRDefault="00724C30" w:rsidP="004736F2">
            <w:pPr>
              <w:spacing w:line="320" w:lineRule="exact"/>
              <w:jc w:val="center"/>
              <w:rPr>
                <w:b/>
              </w:rPr>
            </w:pPr>
            <w:r w:rsidRPr="00BC31E0">
              <w:rPr>
                <w:rFonts w:asciiTheme="majorEastAsia" w:eastAsiaTheme="majorEastAsia" w:hAnsiTheme="majorEastAsia"/>
                <w:b/>
                <w:sz w:val="18"/>
                <w:szCs w:val="18"/>
              </w:rPr>
              <w:t xml:space="preserve">10.3.2 </w:t>
            </w:r>
            <w:r w:rsidRPr="00BC31E0">
              <w:rPr>
                <w:rFonts w:asciiTheme="majorEastAsia" w:eastAsiaTheme="majorEastAsia" w:hAnsiTheme="majorEastAsia" w:hint="eastAsia"/>
                <w:b/>
                <w:sz w:val="18"/>
                <w:szCs w:val="18"/>
              </w:rPr>
              <w:t xml:space="preserve">b) </w:t>
            </w:r>
            <w:r w:rsidRPr="00BC31E0">
              <w:rPr>
                <w:rFonts w:asciiTheme="majorEastAsia" w:eastAsiaTheme="majorEastAsia" w:hAnsiTheme="majorEastAsia"/>
                <w:b/>
                <w:sz w:val="18"/>
                <w:szCs w:val="18"/>
              </w:rPr>
              <w:t>3)</w:t>
            </w:r>
          </w:p>
        </w:tc>
        <w:tc>
          <w:tcPr>
            <w:tcW w:w="1134" w:type="dxa"/>
            <w:vAlign w:val="center"/>
          </w:tcPr>
          <w:p w14:paraId="028EF92F" w14:textId="77777777" w:rsidR="00724C30" w:rsidRPr="00BC31E0" w:rsidRDefault="00724C30" w:rsidP="004736F2">
            <w:pPr>
              <w:jc w:val="center"/>
            </w:pPr>
            <w:r w:rsidRPr="00BC31E0">
              <w:rPr>
                <w:rFonts w:hint="eastAsia"/>
              </w:rPr>
              <w:t>－</w:t>
            </w:r>
          </w:p>
        </w:tc>
        <w:tc>
          <w:tcPr>
            <w:tcW w:w="1559" w:type="dxa"/>
            <w:vAlign w:val="center"/>
          </w:tcPr>
          <w:p w14:paraId="41FA29E2" w14:textId="77777777" w:rsidR="00724C30" w:rsidRPr="00BC31E0" w:rsidRDefault="00724C30" w:rsidP="004736F2">
            <w:pPr>
              <w:jc w:val="center"/>
            </w:pPr>
            <w:r w:rsidRPr="00BC31E0">
              <w:rPr>
                <w:rFonts w:hint="eastAsia"/>
              </w:rPr>
              <w:t>－</w:t>
            </w:r>
          </w:p>
        </w:tc>
      </w:tr>
    </w:tbl>
    <w:p w14:paraId="010DDAB1" w14:textId="77777777" w:rsidR="00724C30" w:rsidRPr="00BC31E0" w:rsidRDefault="00724C30" w:rsidP="006F213F">
      <w:pPr>
        <w:spacing w:before="120"/>
        <w:ind w:left="624" w:hanging="624"/>
        <w:jc w:val="left"/>
        <w:rPr>
          <w:sz w:val="20"/>
          <w:szCs w:val="20"/>
        </w:rPr>
      </w:pPr>
      <w:r w:rsidRPr="00BC31E0">
        <w:rPr>
          <w:rFonts w:asciiTheme="majorEastAsia" w:eastAsiaTheme="majorEastAsia" w:hAnsiTheme="majorEastAsia" w:hint="eastAsia"/>
          <w:b/>
          <w:sz w:val="20"/>
          <w:szCs w:val="20"/>
        </w:rPr>
        <w:t>注記</w:t>
      </w:r>
      <w:r w:rsidRPr="00BC31E0">
        <w:rPr>
          <w:rFonts w:hint="eastAsia"/>
          <w:sz w:val="20"/>
          <w:szCs w:val="20"/>
        </w:rPr>
        <w:t xml:space="preserve">　容器に最も好ましくない影響を与える</w:t>
      </w:r>
      <w:r w:rsidR="003E79E6" w:rsidRPr="00BC31E0">
        <w:rPr>
          <w:rFonts w:hint="eastAsia"/>
          <w:sz w:val="20"/>
          <w:szCs w:val="20"/>
        </w:rPr>
        <w:t>負荷</w:t>
      </w:r>
      <w:r w:rsidRPr="00BC31E0">
        <w:rPr>
          <w:rFonts w:hint="eastAsia"/>
          <w:sz w:val="20"/>
          <w:szCs w:val="20"/>
        </w:rPr>
        <w:t>として，この表に記載の荷重組合せで荷重を作用させる。各荷重組合せの中で，一つ以上の作用しない荷重</w:t>
      </w:r>
      <w:r w:rsidRPr="00BC31E0">
        <w:rPr>
          <w:rFonts w:asciiTheme="minorEastAsia" w:eastAsiaTheme="minorEastAsia" w:hAnsiTheme="minorEastAsia" w:hint="eastAsia"/>
          <w:sz w:val="20"/>
          <w:szCs w:val="20"/>
        </w:rPr>
        <w:t>(例えば，設計圧力</w:t>
      </w:r>
      <m:oMath>
        <m:sSub>
          <m:sSubPr>
            <m:ctrlPr>
              <w:rPr>
                <w:rFonts w:ascii="Cambria Math" w:eastAsiaTheme="minorEastAsia" w:hAnsi="Cambria Math"/>
                <w:i/>
                <w:sz w:val="20"/>
                <w:szCs w:val="20"/>
              </w:rPr>
            </m:ctrlPr>
          </m:sSubPr>
          <m:e>
            <m:r>
              <w:rPr>
                <w:rFonts w:ascii="Cambria Math" w:eastAsiaTheme="minorEastAsia" w:hAnsi="Cambria Math"/>
                <w:sz w:val="20"/>
                <w:szCs w:val="20"/>
              </w:rPr>
              <m:t>P</m:t>
            </m:r>
          </m:e>
          <m:sub>
            <m:r>
              <w:rPr>
                <w:rFonts w:ascii="Cambria Math" w:eastAsiaTheme="minorEastAsia" w:hAnsi="Cambria Math"/>
                <w:sz w:val="20"/>
                <w:szCs w:val="20"/>
              </w:rPr>
              <m:t>D</m:t>
            </m:r>
          </m:sub>
        </m:sSub>
      </m:oMath>
      <w:r w:rsidRPr="00BC31E0">
        <w:rPr>
          <w:rFonts w:asciiTheme="minorEastAsia" w:eastAsiaTheme="minorEastAsia" w:hAnsiTheme="minorEastAsia" w:hint="eastAsia"/>
          <w:sz w:val="20"/>
          <w:szCs w:val="20"/>
        </w:rPr>
        <w:t>)</w:t>
      </w:r>
      <w:r w:rsidRPr="00BC31E0">
        <w:rPr>
          <w:rFonts w:hint="eastAsia"/>
          <w:sz w:val="20"/>
          <w:szCs w:val="20"/>
        </w:rPr>
        <w:t>の影響についても考慮しなければならない。</w:t>
      </w:r>
    </w:p>
    <w:p w14:paraId="0B8B737F" w14:textId="77777777" w:rsidR="00724C30" w:rsidRPr="00BC31E0" w:rsidRDefault="00724C30" w:rsidP="00724C30">
      <w:pPr>
        <w:ind w:left="624" w:hanging="624"/>
        <w:jc w:val="left"/>
        <w:rPr>
          <w:sz w:val="20"/>
          <w:szCs w:val="20"/>
        </w:rPr>
      </w:pPr>
      <w:r w:rsidRPr="00BC31E0">
        <w:rPr>
          <w:rFonts w:asciiTheme="majorEastAsia" w:eastAsiaTheme="majorEastAsia" w:hAnsiTheme="majorEastAsia" w:hint="eastAsia"/>
          <w:b/>
          <w:sz w:val="20"/>
          <w:szCs w:val="20"/>
        </w:rPr>
        <w:t>注</w:t>
      </w:r>
      <w:r w:rsidRPr="00BC31E0">
        <w:rPr>
          <w:rFonts w:asciiTheme="majorEastAsia" w:eastAsiaTheme="majorEastAsia" w:hAnsiTheme="majorEastAsia" w:hint="eastAsia"/>
          <w:b/>
          <w:sz w:val="20"/>
          <w:szCs w:val="20"/>
          <w:vertAlign w:val="superscript"/>
        </w:rPr>
        <w:t>a)</w:t>
      </w:r>
      <w:r w:rsidRPr="00BC31E0">
        <w:rPr>
          <w:rFonts w:hint="eastAsia"/>
          <w:sz w:val="20"/>
          <w:szCs w:val="20"/>
        </w:rPr>
        <w:t xml:space="preserve">　荷重記号の説明は，本体の</w:t>
      </w:r>
      <w:r w:rsidRPr="00BC31E0">
        <w:rPr>
          <w:rFonts w:asciiTheme="majorEastAsia" w:eastAsiaTheme="majorEastAsia" w:hAnsiTheme="majorEastAsia" w:hint="eastAsia"/>
          <w:b/>
          <w:sz w:val="20"/>
          <w:szCs w:val="20"/>
        </w:rPr>
        <w:t>表6.2.2</w:t>
      </w:r>
      <w:r w:rsidRPr="00BC31E0">
        <w:rPr>
          <w:rFonts w:hint="eastAsia"/>
          <w:sz w:val="20"/>
          <w:szCs w:val="20"/>
        </w:rPr>
        <w:t>を参照する。</w:t>
      </w:r>
    </w:p>
    <w:p w14:paraId="7FDA95A4" w14:textId="77777777" w:rsidR="00724C30" w:rsidRPr="00BC31E0" w:rsidRDefault="00724C30" w:rsidP="00724C30">
      <w:pPr>
        <w:ind w:left="567" w:hanging="567"/>
        <w:jc w:val="left"/>
        <w:rPr>
          <w:sz w:val="20"/>
          <w:szCs w:val="20"/>
        </w:rPr>
      </w:pPr>
      <w:r w:rsidRPr="00BC31E0">
        <w:rPr>
          <w:rFonts w:asciiTheme="majorEastAsia" w:eastAsiaTheme="majorEastAsia" w:hAnsiTheme="majorEastAsia" w:hint="eastAsia"/>
          <w:b/>
          <w:sz w:val="20"/>
          <w:szCs w:val="20"/>
        </w:rPr>
        <w:t>注</w:t>
      </w:r>
      <w:r w:rsidRPr="00BC31E0">
        <w:rPr>
          <w:rFonts w:asciiTheme="majorEastAsia" w:eastAsiaTheme="majorEastAsia" w:hAnsiTheme="majorEastAsia" w:hint="eastAsia"/>
          <w:b/>
          <w:sz w:val="20"/>
          <w:szCs w:val="20"/>
          <w:vertAlign w:val="superscript"/>
        </w:rPr>
        <w:t>b)</w:t>
      </w:r>
      <w:r w:rsidRPr="00BC31E0">
        <w:rPr>
          <w:rFonts w:hint="eastAsia"/>
          <w:sz w:val="20"/>
          <w:szCs w:val="20"/>
        </w:rPr>
        <w:t xml:space="preserve">　</w:t>
      </w:r>
      <w:r w:rsidRPr="00BC31E0">
        <w:rPr>
          <w:rFonts w:asciiTheme="majorEastAsia" w:eastAsiaTheme="majorEastAsia" w:hAnsiTheme="majorEastAsia" w:hint="eastAsia"/>
          <w:b/>
          <w:sz w:val="20"/>
          <w:szCs w:val="20"/>
        </w:rPr>
        <w:t>表J.2</w:t>
      </w:r>
      <w:r w:rsidRPr="00BC31E0">
        <w:rPr>
          <w:rFonts w:hint="eastAsia"/>
          <w:sz w:val="20"/>
          <w:szCs w:val="20"/>
        </w:rPr>
        <w:t>に，応力分類と相当応力の許容限界に関する補足説明を示す。</w:t>
      </w:r>
      <m:oMath>
        <m:sSub>
          <m:sSubPr>
            <m:ctrlPr>
              <w:rPr>
                <w:rFonts w:ascii="Cambria Math" w:hAnsiTheme="minorHAnsi"/>
                <w:i/>
                <w:sz w:val="20"/>
                <w:szCs w:val="20"/>
              </w:rPr>
            </m:ctrlPr>
          </m:sSubPr>
          <m:e>
            <m:r>
              <w:rPr>
                <w:rFonts w:ascii="Cambria Math" w:hAnsi="Cambria Math"/>
                <w:sz w:val="20"/>
                <w:szCs w:val="20"/>
              </w:rPr>
              <m:t>k</m:t>
            </m:r>
          </m:e>
          <m:sub>
            <m:r>
              <w:rPr>
                <w:rFonts w:ascii="Cambria Math" w:hAnsi="Cambria Math"/>
                <w:sz w:val="20"/>
                <w:szCs w:val="20"/>
              </w:rPr>
              <m:t>c</m:t>
            </m:r>
          </m:sub>
        </m:sSub>
        <m:r>
          <m:rPr>
            <m:sty m:val="p"/>
          </m:rPr>
          <w:rPr>
            <w:rFonts w:ascii="Cambria Math" w:hAnsiTheme="minorHAnsi"/>
            <w:sz w:val="20"/>
            <w:szCs w:val="20"/>
          </w:rPr>
          <m:t xml:space="preserve"> </m:t>
        </m:r>
      </m:oMath>
      <w:r w:rsidRPr="00BC31E0">
        <w:rPr>
          <w:rFonts w:asciiTheme="minorHAnsi"/>
          <w:sz w:val="20"/>
          <w:szCs w:val="20"/>
        </w:rPr>
        <w:t>はクリープ温度域の膜応力補正係数</w:t>
      </w:r>
      <w:r w:rsidRPr="00BC31E0">
        <w:rPr>
          <w:rFonts w:asciiTheme="minorHAnsi" w:hint="eastAsia"/>
          <w:sz w:val="20"/>
          <w:szCs w:val="20"/>
        </w:rPr>
        <w:t>，</w:t>
      </w:r>
      <m:oMath>
        <m:sSub>
          <m:sSubPr>
            <m:ctrlPr>
              <w:rPr>
                <w:rFonts w:ascii="Cambria Math" w:hAnsiTheme="minorHAnsi"/>
                <w:i/>
                <w:sz w:val="20"/>
                <w:szCs w:val="20"/>
              </w:rPr>
            </m:ctrlPr>
          </m:sSubPr>
          <m:e>
            <m:r>
              <w:rPr>
                <w:rFonts w:ascii="Cambria Math" w:hAnsi="Cambria Math"/>
                <w:sz w:val="20"/>
                <w:szCs w:val="20"/>
              </w:rPr>
              <m:t>k</m:t>
            </m:r>
          </m:e>
          <m:sub>
            <m:r>
              <w:rPr>
                <w:rFonts w:ascii="Cambria Math" w:hAnsi="Cambria Math"/>
                <w:sz w:val="20"/>
                <w:szCs w:val="20"/>
              </w:rPr>
              <m:t>c</m:t>
            </m:r>
            <m:r>
              <w:rPr>
                <w:rFonts w:ascii="Cambria Math" w:hAnsiTheme="minorHAnsi"/>
                <w:sz w:val="20"/>
                <w:szCs w:val="20"/>
              </w:rPr>
              <m:t xml:space="preserve">1 </m:t>
            </m:r>
          </m:sub>
        </m:sSub>
      </m:oMath>
      <w:r w:rsidRPr="00BC31E0">
        <w:rPr>
          <w:rFonts w:asciiTheme="minorHAnsi"/>
          <w:sz w:val="20"/>
          <w:szCs w:val="20"/>
        </w:rPr>
        <w:t>は設計補正係数</w:t>
      </w:r>
      <w:r w:rsidRPr="00BC31E0">
        <w:rPr>
          <w:rFonts w:asciiTheme="minorHAnsi" w:hint="eastAsia"/>
          <w:sz w:val="20"/>
          <w:szCs w:val="20"/>
        </w:rPr>
        <w:t>及び</w:t>
      </w:r>
      <m:oMath>
        <m:r>
          <w:rPr>
            <w:rFonts w:ascii="Cambria Math" w:eastAsiaTheme="minorEastAsia" w:hAnsi="Cambria Math"/>
            <w:sz w:val="20"/>
            <w:szCs w:val="20"/>
          </w:rPr>
          <m:t>α</m:t>
        </m:r>
        <m:r>
          <m:rPr>
            <m:sty m:val="p"/>
          </m:rPr>
          <w:rPr>
            <w:rFonts w:ascii="Cambria Math" w:eastAsiaTheme="minorEastAsia" w:hAnsi="Cambria Math"/>
            <w:sz w:val="20"/>
            <w:szCs w:val="20"/>
          </w:rPr>
          <m:t xml:space="preserve"> </m:t>
        </m:r>
      </m:oMath>
      <w:r w:rsidRPr="00BC31E0">
        <w:rPr>
          <w:rFonts w:asciiTheme="minorHAnsi" w:eastAsiaTheme="minorEastAsia" w:hAnsiTheme="minorEastAsia"/>
          <w:sz w:val="20"/>
          <w:szCs w:val="20"/>
        </w:rPr>
        <w:t>は形状係数で</w:t>
      </w:r>
      <w:r w:rsidRPr="00BC31E0">
        <w:rPr>
          <w:rFonts w:asciiTheme="minorHAnsi" w:eastAsiaTheme="minorEastAsia" w:hAnsiTheme="minorEastAsia" w:hint="eastAsia"/>
          <w:sz w:val="20"/>
          <w:szCs w:val="20"/>
        </w:rPr>
        <w:t>あり，</w:t>
      </w:r>
      <w:r w:rsidRPr="00BC31E0">
        <w:rPr>
          <w:rFonts w:asciiTheme="majorEastAsia" w:eastAsiaTheme="majorEastAsia" w:hAnsiTheme="majorEastAsia" w:hint="eastAsia"/>
          <w:b/>
          <w:sz w:val="20"/>
          <w:szCs w:val="20"/>
        </w:rPr>
        <w:t>表J.2</w:t>
      </w:r>
      <w:r w:rsidRPr="00BC31E0">
        <w:rPr>
          <w:rFonts w:asciiTheme="minorHAnsi" w:eastAsiaTheme="minorEastAsia" w:hAnsiTheme="minorEastAsia" w:hint="eastAsia"/>
          <w:sz w:val="20"/>
          <w:szCs w:val="20"/>
        </w:rPr>
        <w:t>の</w:t>
      </w:r>
      <w:r w:rsidRPr="00BC31E0">
        <w:rPr>
          <w:rFonts w:asciiTheme="majorEastAsia" w:eastAsiaTheme="majorEastAsia" w:hAnsiTheme="majorEastAsia" w:hint="eastAsia"/>
          <w:b/>
          <w:sz w:val="20"/>
          <w:szCs w:val="20"/>
        </w:rPr>
        <w:t>注</w:t>
      </w:r>
      <w:r w:rsidRPr="00BC31E0">
        <w:rPr>
          <w:rFonts w:asciiTheme="majorEastAsia" w:eastAsiaTheme="majorEastAsia" w:hAnsiTheme="majorEastAsia" w:hint="eastAsia"/>
          <w:b/>
          <w:sz w:val="20"/>
          <w:szCs w:val="20"/>
          <w:vertAlign w:val="superscript"/>
        </w:rPr>
        <w:t>c)</w:t>
      </w:r>
      <w:r w:rsidRPr="00BC31E0">
        <w:rPr>
          <w:rFonts w:asciiTheme="minorHAnsi" w:eastAsiaTheme="minorEastAsia" w:hAnsiTheme="minorEastAsia" w:hint="eastAsia"/>
          <w:sz w:val="20"/>
          <w:szCs w:val="20"/>
        </w:rPr>
        <w:t>及び</w:t>
      </w:r>
      <w:r w:rsidRPr="00BC31E0">
        <w:rPr>
          <w:rFonts w:asciiTheme="majorEastAsia" w:eastAsiaTheme="majorEastAsia" w:hAnsiTheme="majorEastAsia" w:hint="eastAsia"/>
          <w:b/>
          <w:sz w:val="20"/>
          <w:szCs w:val="20"/>
        </w:rPr>
        <w:t>注</w:t>
      </w:r>
      <w:r w:rsidRPr="00BC31E0">
        <w:rPr>
          <w:rFonts w:asciiTheme="majorEastAsia" w:eastAsiaTheme="majorEastAsia" w:hAnsiTheme="majorEastAsia" w:hint="eastAsia"/>
          <w:b/>
          <w:sz w:val="20"/>
          <w:szCs w:val="20"/>
          <w:vertAlign w:val="superscript"/>
        </w:rPr>
        <w:t>e)</w:t>
      </w:r>
      <w:r w:rsidRPr="00BC31E0">
        <w:rPr>
          <w:rFonts w:asciiTheme="minorHAnsi" w:eastAsiaTheme="minorEastAsia" w:hAnsiTheme="minorEastAsia" w:hint="eastAsia"/>
          <w:sz w:val="20"/>
          <w:szCs w:val="20"/>
        </w:rPr>
        <w:t>を参照する。</w:t>
      </w:r>
    </w:p>
    <w:p w14:paraId="7FABBD5B" w14:textId="77777777" w:rsidR="00E24FD2" w:rsidRPr="00BC31E0" w:rsidRDefault="00724C30" w:rsidP="00E24FD2">
      <w:pPr>
        <w:jc w:val="left"/>
        <w:rPr>
          <w:sz w:val="20"/>
          <w:szCs w:val="20"/>
        </w:rPr>
      </w:pPr>
      <w:r w:rsidRPr="00BC31E0">
        <w:rPr>
          <w:rFonts w:asciiTheme="majorEastAsia" w:eastAsiaTheme="majorEastAsia" w:hAnsiTheme="majorEastAsia" w:hint="eastAsia"/>
          <w:b/>
          <w:sz w:val="20"/>
          <w:szCs w:val="20"/>
        </w:rPr>
        <w:t>注</w:t>
      </w:r>
      <w:r w:rsidRPr="00BC31E0">
        <w:rPr>
          <w:rFonts w:asciiTheme="majorEastAsia" w:eastAsiaTheme="majorEastAsia" w:hAnsiTheme="majorEastAsia" w:hint="eastAsia"/>
          <w:b/>
          <w:sz w:val="20"/>
          <w:szCs w:val="20"/>
          <w:vertAlign w:val="superscript"/>
        </w:rPr>
        <w:t>c)</w:t>
      </w:r>
      <w:r w:rsidRPr="00BC31E0">
        <w:rPr>
          <w:rFonts w:hint="eastAsia"/>
          <w:sz w:val="20"/>
          <w:szCs w:val="20"/>
        </w:rPr>
        <w:t xml:space="preserve">　この荷重組合せは，基礎の設計における転倒条件に対応する。基礎へのアンカーの設計には適</w:t>
      </w:r>
    </w:p>
    <w:p w14:paraId="7A8C4F8E" w14:textId="77777777" w:rsidR="007639EA" w:rsidRPr="00BC31E0" w:rsidRDefault="00724C30" w:rsidP="00E24FD2">
      <w:pPr>
        <w:ind w:firstLineChars="300" w:firstLine="600"/>
        <w:jc w:val="left"/>
        <w:rPr>
          <w:sz w:val="20"/>
          <w:szCs w:val="20"/>
        </w:rPr>
      </w:pPr>
      <w:r w:rsidRPr="00BC31E0">
        <w:rPr>
          <w:rFonts w:hint="eastAsia"/>
          <w:sz w:val="20"/>
          <w:szCs w:val="20"/>
        </w:rPr>
        <w:t>用しない。</w:t>
      </w:r>
    </w:p>
    <w:p w14:paraId="73D4F265" w14:textId="77777777" w:rsidR="006F213F" w:rsidRPr="00BC31E0" w:rsidRDefault="006F213F">
      <w:pPr>
        <w:widowControl/>
        <w:jc w:val="left"/>
        <w:rPr>
          <w:sz w:val="20"/>
          <w:szCs w:val="20"/>
        </w:rPr>
      </w:pPr>
      <w:r w:rsidRPr="00BC31E0">
        <w:rPr>
          <w:sz w:val="20"/>
          <w:szCs w:val="20"/>
        </w:rPr>
        <w:br w:type="page"/>
      </w:r>
    </w:p>
    <w:p w14:paraId="4B63F79D" w14:textId="77777777" w:rsidR="00724C30" w:rsidRPr="00BC31E0" w:rsidRDefault="007639EA" w:rsidP="007639EA">
      <w:pPr>
        <w:jc w:val="center"/>
        <w:rPr>
          <w:rFonts w:asciiTheme="majorEastAsia" w:eastAsiaTheme="majorEastAsia" w:hAnsiTheme="majorEastAsia"/>
          <w:b/>
        </w:rPr>
      </w:pPr>
      <w:r w:rsidRPr="00BC31E0">
        <w:rPr>
          <w:rFonts w:asciiTheme="majorEastAsia" w:eastAsiaTheme="majorEastAsia" w:hAnsiTheme="majorEastAsia" w:hint="eastAsia"/>
          <w:b/>
        </w:rPr>
        <w:lastRenderedPageBreak/>
        <w:t>表J.2  応力分類と相当応力の制限</w:t>
      </w:r>
    </w:p>
    <w:tbl>
      <w:tblPr>
        <w:tblW w:w="8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01"/>
        <w:gridCol w:w="1422"/>
        <w:gridCol w:w="1422"/>
        <w:gridCol w:w="1423"/>
        <w:gridCol w:w="1651"/>
        <w:gridCol w:w="1789"/>
      </w:tblGrid>
      <w:tr w:rsidR="00AF6621" w:rsidRPr="00BC31E0" w14:paraId="4048AEF3" w14:textId="77777777" w:rsidTr="00E24FD2">
        <w:trPr>
          <w:cantSplit/>
          <w:trHeight w:hRule="exact" w:val="338"/>
          <w:jc w:val="center"/>
        </w:trPr>
        <w:tc>
          <w:tcPr>
            <w:tcW w:w="1101" w:type="dxa"/>
            <w:vMerge w:val="restart"/>
            <w:vAlign w:val="center"/>
          </w:tcPr>
          <w:p w14:paraId="551F23AA" w14:textId="77777777" w:rsidR="00AF6621" w:rsidRPr="00BC31E0" w:rsidRDefault="00AF6621" w:rsidP="00AF6621">
            <w:pPr>
              <w:jc w:val="center"/>
              <w:rPr>
                <w:rFonts w:asciiTheme="minorEastAsia" w:eastAsiaTheme="minorEastAsia" w:hAnsiTheme="minorEastAsia" w:cstheme="minorBidi"/>
                <w:sz w:val="18"/>
                <w:szCs w:val="18"/>
              </w:rPr>
            </w:pPr>
            <w:r w:rsidRPr="00BC31E0">
              <w:rPr>
                <w:rFonts w:asciiTheme="minorEastAsia" w:eastAsiaTheme="minorEastAsia" w:hAnsiTheme="minorEastAsia" w:cstheme="minorBidi" w:hint="eastAsia"/>
                <w:sz w:val="18"/>
                <w:szCs w:val="18"/>
              </w:rPr>
              <w:t>応力分類</w:t>
            </w:r>
          </w:p>
        </w:tc>
        <w:tc>
          <w:tcPr>
            <w:tcW w:w="4267" w:type="dxa"/>
            <w:gridSpan w:val="3"/>
            <w:vAlign w:val="center"/>
          </w:tcPr>
          <w:p w14:paraId="26A82499" w14:textId="77777777" w:rsidR="00AF6621" w:rsidRPr="00BC31E0" w:rsidRDefault="00AF6621" w:rsidP="00AF6621">
            <w:pPr>
              <w:jc w:val="center"/>
              <w:rPr>
                <w:rFonts w:asciiTheme="minorEastAsia" w:eastAsiaTheme="minorEastAsia" w:hAnsiTheme="minorEastAsia" w:cstheme="minorBidi"/>
                <w:sz w:val="18"/>
                <w:szCs w:val="18"/>
              </w:rPr>
            </w:pPr>
            <w:r w:rsidRPr="00BC31E0">
              <w:rPr>
                <w:rFonts w:asciiTheme="minorEastAsia" w:eastAsiaTheme="minorEastAsia" w:hAnsiTheme="minorEastAsia" w:cstheme="minorBidi" w:hint="eastAsia"/>
                <w:sz w:val="18"/>
                <w:szCs w:val="18"/>
              </w:rPr>
              <w:t>一次応力</w:t>
            </w:r>
          </w:p>
        </w:tc>
        <w:tc>
          <w:tcPr>
            <w:tcW w:w="1651" w:type="dxa"/>
            <w:tcBorders>
              <w:bottom w:val="nil"/>
            </w:tcBorders>
            <w:vAlign w:val="center"/>
          </w:tcPr>
          <w:p w14:paraId="1B90D461" w14:textId="77777777" w:rsidR="00AF6621" w:rsidRPr="00BC31E0" w:rsidRDefault="00AF6621" w:rsidP="00AF6621">
            <w:pPr>
              <w:jc w:val="center"/>
              <w:rPr>
                <w:rFonts w:asciiTheme="minorEastAsia" w:eastAsiaTheme="minorEastAsia" w:hAnsiTheme="minorEastAsia" w:cstheme="minorBidi"/>
                <w:sz w:val="18"/>
                <w:szCs w:val="18"/>
              </w:rPr>
            </w:pPr>
            <w:r w:rsidRPr="00BC31E0">
              <w:rPr>
                <w:rFonts w:asciiTheme="minorEastAsia" w:eastAsiaTheme="minorEastAsia" w:hAnsiTheme="minorEastAsia" w:cstheme="minorBidi" w:hint="eastAsia"/>
                <w:sz w:val="18"/>
                <w:szCs w:val="18"/>
              </w:rPr>
              <w:t>二次応力</w:t>
            </w:r>
          </w:p>
        </w:tc>
        <w:tc>
          <w:tcPr>
            <w:tcW w:w="1789" w:type="dxa"/>
            <w:vMerge w:val="restart"/>
            <w:vAlign w:val="center"/>
          </w:tcPr>
          <w:p w14:paraId="1E305C11" w14:textId="77777777" w:rsidR="00AF6621" w:rsidRPr="00BC31E0" w:rsidRDefault="00AF6621" w:rsidP="00AF6621">
            <w:pPr>
              <w:jc w:val="center"/>
              <w:rPr>
                <w:rFonts w:asciiTheme="minorEastAsia" w:eastAsiaTheme="minorEastAsia" w:hAnsiTheme="minorEastAsia" w:cstheme="minorBidi"/>
                <w:sz w:val="18"/>
                <w:szCs w:val="18"/>
              </w:rPr>
            </w:pPr>
            <w:r w:rsidRPr="00BC31E0">
              <w:rPr>
                <w:rFonts w:asciiTheme="minorEastAsia" w:eastAsiaTheme="minorEastAsia" w:hAnsiTheme="minorEastAsia" w:cstheme="minorBidi" w:hint="eastAsia"/>
                <w:sz w:val="18"/>
                <w:szCs w:val="18"/>
              </w:rPr>
              <w:t>ピーク応力</w:t>
            </w:r>
          </w:p>
        </w:tc>
      </w:tr>
      <w:tr w:rsidR="00AF6621" w:rsidRPr="00BC31E0" w14:paraId="06164378" w14:textId="77777777" w:rsidTr="00E24FD2">
        <w:trPr>
          <w:cantSplit/>
          <w:trHeight w:hRule="exact" w:val="338"/>
          <w:jc w:val="center"/>
        </w:trPr>
        <w:tc>
          <w:tcPr>
            <w:tcW w:w="1101" w:type="dxa"/>
            <w:vMerge/>
            <w:vAlign w:val="center"/>
          </w:tcPr>
          <w:p w14:paraId="3F6C71A6" w14:textId="77777777" w:rsidR="00AF6621" w:rsidRPr="00BC31E0" w:rsidRDefault="00AF6621" w:rsidP="00AF6621">
            <w:pPr>
              <w:rPr>
                <w:rFonts w:cstheme="minorBidi"/>
                <w:sz w:val="18"/>
                <w:szCs w:val="18"/>
              </w:rPr>
            </w:pPr>
          </w:p>
        </w:tc>
        <w:tc>
          <w:tcPr>
            <w:tcW w:w="1422" w:type="dxa"/>
            <w:vAlign w:val="center"/>
          </w:tcPr>
          <w:p w14:paraId="3E50D12F" w14:textId="77777777" w:rsidR="00AF6621" w:rsidRPr="00BC31E0" w:rsidRDefault="00AF6621" w:rsidP="00AF6621">
            <w:pPr>
              <w:jc w:val="center"/>
              <w:rPr>
                <w:rFonts w:asciiTheme="minorEastAsia" w:eastAsiaTheme="minorEastAsia" w:hAnsiTheme="minorEastAsia" w:cstheme="minorBidi"/>
                <w:sz w:val="18"/>
                <w:szCs w:val="18"/>
              </w:rPr>
            </w:pPr>
            <w:r w:rsidRPr="00BC31E0">
              <w:rPr>
                <w:rFonts w:asciiTheme="minorEastAsia" w:eastAsiaTheme="minorEastAsia" w:hAnsiTheme="minorEastAsia" w:cstheme="minorBidi" w:hint="eastAsia"/>
                <w:sz w:val="18"/>
                <w:szCs w:val="18"/>
              </w:rPr>
              <w:t>一般膜応力</w:t>
            </w:r>
          </w:p>
        </w:tc>
        <w:tc>
          <w:tcPr>
            <w:tcW w:w="1422" w:type="dxa"/>
            <w:vAlign w:val="center"/>
          </w:tcPr>
          <w:p w14:paraId="3D75D6C9" w14:textId="77777777" w:rsidR="00AF6621" w:rsidRPr="00BC31E0" w:rsidRDefault="00AF6621" w:rsidP="00AF6621">
            <w:pPr>
              <w:jc w:val="center"/>
              <w:rPr>
                <w:rFonts w:asciiTheme="minorEastAsia" w:eastAsiaTheme="minorEastAsia" w:hAnsiTheme="minorEastAsia" w:cstheme="minorBidi"/>
                <w:sz w:val="18"/>
                <w:szCs w:val="18"/>
              </w:rPr>
            </w:pPr>
            <w:r w:rsidRPr="00BC31E0">
              <w:rPr>
                <w:rFonts w:asciiTheme="minorEastAsia" w:eastAsiaTheme="minorEastAsia" w:hAnsiTheme="minorEastAsia" w:cstheme="minorBidi" w:hint="eastAsia"/>
                <w:sz w:val="18"/>
                <w:szCs w:val="18"/>
              </w:rPr>
              <w:t>局部膜応力</w:t>
            </w:r>
          </w:p>
        </w:tc>
        <w:tc>
          <w:tcPr>
            <w:tcW w:w="1423" w:type="dxa"/>
            <w:vAlign w:val="center"/>
          </w:tcPr>
          <w:p w14:paraId="6CBDA745" w14:textId="77777777" w:rsidR="00AF6621" w:rsidRPr="00BC31E0" w:rsidRDefault="00AF6621" w:rsidP="00AF6621">
            <w:pPr>
              <w:jc w:val="center"/>
              <w:rPr>
                <w:rFonts w:asciiTheme="minorEastAsia" w:eastAsiaTheme="minorEastAsia" w:hAnsiTheme="minorEastAsia" w:cstheme="minorBidi"/>
                <w:sz w:val="18"/>
                <w:szCs w:val="18"/>
              </w:rPr>
            </w:pPr>
            <w:r w:rsidRPr="00BC31E0">
              <w:rPr>
                <w:rFonts w:asciiTheme="minorEastAsia" w:eastAsiaTheme="minorEastAsia" w:hAnsiTheme="minorEastAsia" w:cstheme="minorBidi" w:hint="eastAsia"/>
                <w:sz w:val="18"/>
                <w:szCs w:val="18"/>
              </w:rPr>
              <w:t>曲げ応力</w:t>
            </w:r>
          </w:p>
        </w:tc>
        <w:tc>
          <w:tcPr>
            <w:tcW w:w="1651" w:type="dxa"/>
            <w:tcBorders>
              <w:top w:val="nil"/>
            </w:tcBorders>
            <w:vAlign w:val="center"/>
          </w:tcPr>
          <w:p w14:paraId="42C7027E" w14:textId="77777777" w:rsidR="00AF6621" w:rsidRPr="00BC31E0" w:rsidRDefault="00AF6621" w:rsidP="00AF6621">
            <w:pPr>
              <w:jc w:val="center"/>
              <w:rPr>
                <w:rFonts w:asciiTheme="minorEastAsia" w:eastAsiaTheme="minorEastAsia" w:hAnsiTheme="minorEastAsia" w:cstheme="minorBidi"/>
                <w:sz w:val="18"/>
                <w:szCs w:val="18"/>
              </w:rPr>
            </w:pPr>
            <w:r w:rsidRPr="00BC31E0">
              <w:rPr>
                <w:rFonts w:asciiTheme="minorEastAsia" w:eastAsiaTheme="minorEastAsia" w:hAnsiTheme="minorEastAsia" w:cstheme="minorBidi" w:hint="eastAsia"/>
                <w:sz w:val="18"/>
                <w:szCs w:val="18"/>
              </w:rPr>
              <w:t>膜応力＋曲げ応力</w:t>
            </w:r>
          </w:p>
        </w:tc>
        <w:tc>
          <w:tcPr>
            <w:tcW w:w="1789" w:type="dxa"/>
            <w:vMerge/>
            <w:vAlign w:val="center"/>
          </w:tcPr>
          <w:p w14:paraId="67B7827F" w14:textId="77777777" w:rsidR="00AF6621" w:rsidRPr="00BC31E0" w:rsidRDefault="00AF6621" w:rsidP="00AF6621">
            <w:pPr>
              <w:rPr>
                <w:rFonts w:cstheme="minorBidi"/>
                <w:sz w:val="18"/>
                <w:szCs w:val="18"/>
              </w:rPr>
            </w:pPr>
          </w:p>
        </w:tc>
      </w:tr>
      <w:tr w:rsidR="00AF6621" w:rsidRPr="00BC31E0" w14:paraId="10B45C1C" w14:textId="77777777" w:rsidTr="00E24FD2">
        <w:trPr>
          <w:cantSplit/>
          <w:trHeight w:val="2169"/>
          <w:jc w:val="center"/>
        </w:trPr>
        <w:tc>
          <w:tcPr>
            <w:tcW w:w="1101" w:type="dxa"/>
          </w:tcPr>
          <w:p w14:paraId="1F26F357" w14:textId="77777777" w:rsidR="00AF6621" w:rsidRPr="00BC31E0" w:rsidRDefault="00AF6621" w:rsidP="00AF6621">
            <w:pPr>
              <w:rPr>
                <w:rFonts w:asciiTheme="minorHAnsi" w:eastAsiaTheme="minorEastAsia" w:hAnsiTheme="minorHAnsi" w:cstheme="minorBidi"/>
                <w:sz w:val="18"/>
                <w:szCs w:val="18"/>
              </w:rPr>
            </w:pPr>
          </w:p>
        </w:tc>
        <w:tc>
          <w:tcPr>
            <w:tcW w:w="1422" w:type="dxa"/>
          </w:tcPr>
          <w:p w14:paraId="3452128B" w14:textId="77777777" w:rsidR="00AF6621" w:rsidRPr="00BC31E0" w:rsidRDefault="00AF6621" w:rsidP="00BF6AE6">
            <w:pPr>
              <w:spacing w:line="220" w:lineRule="exact"/>
              <w:rPr>
                <w:rFonts w:asciiTheme="minorHAnsi" w:eastAsiaTheme="minorEastAsia" w:hAnsiTheme="minorHAnsi" w:cstheme="minorBidi"/>
                <w:sz w:val="18"/>
                <w:szCs w:val="18"/>
              </w:rPr>
            </w:pPr>
            <w:r w:rsidRPr="00BC31E0">
              <w:rPr>
                <w:rFonts w:asciiTheme="minorHAnsi" w:eastAsiaTheme="minorEastAsia" w:hAnsiTheme="minorEastAsia" w:cstheme="minorBidi"/>
                <w:sz w:val="18"/>
                <w:szCs w:val="18"/>
              </w:rPr>
              <w:t>断面における一次応力の平均値。構造不連続及び応力集中を除く。機械的荷重によって生じる</w:t>
            </w:r>
            <w:r w:rsidR="00BF6AE6" w:rsidRPr="00BC31E0">
              <w:rPr>
                <w:rFonts w:asciiTheme="minorHAnsi" w:eastAsiaTheme="minorEastAsia" w:hAnsiTheme="minorEastAsia" w:cstheme="minorBidi" w:hint="eastAsia"/>
                <w:sz w:val="18"/>
                <w:szCs w:val="18"/>
              </w:rPr>
              <w:t>応力のみ</w:t>
            </w:r>
            <w:r w:rsidRPr="00BC31E0">
              <w:rPr>
                <w:rFonts w:asciiTheme="minorHAnsi" w:eastAsiaTheme="minorEastAsia" w:hAnsiTheme="minorEastAsia" w:cstheme="minorBidi"/>
                <w:sz w:val="18"/>
                <w:szCs w:val="18"/>
              </w:rPr>
              <w:t>をとる。</w:t>
            </w:r>
          </w:p>
        </w:tc>
        <w:tc>
          <w:tcPr>
            <w:tcW w:w="1422" w:type="dxa"/>
          </w:tcPr>
          <w:p w14:paraId="4B9E3257" w14:textId="77777777" w:rsidR="00AF6621" w:rsidRPr="00BC31E0" w:rsidRDefault="00AF6621" w:rsidP="00BF6AE6">
            <w:pPr>
              <w:spacing w:line="220" w:lineRule="exact"/>
              <w:rPr>
                <w:rFonts w:asciiTheme="minorHAnsi" w:eastAsiaTheme="minorEastAsia" w:hAnsiTheme="minorHAnsi" w:cstheme="minorBidi"/>
                <w:sz w:val="18"/>
                <w:szCs w:val="18"/>
              </w:rPr>
            </w:pPr>
            <w:r w:rsidRPr="00BC31E0">
              <w:rPr>
                <w:rFonts w:asciiTheme="minorHAnsi" w:eastAsiaTheme="minorEastAsia" w:hAnsiTheme="minorEastAsia" w:cstheme="minorBidi"/>
                <w:sz w:val="18"/>
                <w:szCs w:val="18"/>
              </w:rPr>
              <w:t>任意の断面における応力の平均値。構造不連続は考慮するが応力集中は除く。機械的荷重によって生じる</w:t>
            </w:r>
            <w:r w:rsidR="00BF6AE6" w:rsidRPr="00BC31E0">
              <w:rPr>
                <w:rFonts w:asciiTheme="minorHAnsi" w:eastAsiaTheme="minorEastAsia" w:hAnsiTheme="minorEastAsia" w:cstheme="minorBidi" w:hint="eastAsia"/>
                <w:sz w:val="18"/>
                <w:szCs w:val="18"/>
              </w:rPr>
              <w:t>応力のみ</w:t>
            </w:r>
            <w:r w:rsidRPr="00BC31E0">
              <w:rPr>
                <w:rFonts w:asciiTheme="minorHAnsi" w:eastAsiaTheme="minorEastAsia" w:hAnsiTheme="minorEastAsia" w:cstheme="minorBidi"/>
                <w:sz w:val="18"/>
                <w:szCs w:val="18"/>
              </w:rPr>
              <w:t>をとる。</w:t>
            </w:r>
          </w:p>
        </w:tc>
        <w:tc>
          <w:tcPr>
            <w:tcW w:w="1423" w:type="dxa"/>
          </w:tcPr>
          <w:p w14:paraId="0EFE1743" w14:textId="77777777" w:rsidR="00AF6621" w:rsidRPr="00BC31E0" w:rsidRDefault="00AF6621" w:rsidP="00BF6AE6">
            <w:pPr>
              <w:spacing w:line="220" w:lineRule="exact"/>
              <w:rPr>
                <w:rFonts w:asciiTheme="minorHAnsi" w:eastAsiaTheme="minorEastAsia" w:hAnsiTheme="minorHAnsi" w:cstheme="minorBidi"/>
                <w:sz w:val="18"/>
                <w:szCs w:val="18"/>
              </w:rPr>
            </w:pPr>
            <w:r w:rsidRPr="00BC31E0">
              <w:rPr>
                <w:rFonts w:asciiTheme="minorHAnsi" w:eastAsiaTheme="minorEastAsia" w:hAnsiTheme="minorEastAsia" w:cstheme="minorBidi"/>
                <w:sz w:val="18"/>
                <w:szCs w:val="18"/>
              </w:rPr>
              <w:t>断面の図心からの距離に比例する一次応力の成分。構造不連続及び応力集中を除く。機械的荷重によって生じる</w:t>
            </w:r>
            <w:r w:rsidR="00BF6AE6" w:rsidRPr="00BC31E0">
              <w:rPr>
                <w:rFonts w:asciiTheme="minorHAnsi" w:eastAsiaTheme="minorEastAsia" w:hAnsiTheme="minorEastAsia" w:cstheme="minorBidi" w:hint="eastAsia"/>
                <w:sz w:val="18"/>
                <w:szCs w:val="18"/>
              </w:rPr>
              <w:t>応力のみ</w:t>
            </w:r>
            <w:r w:rsidRPr="00BC31E0">
              <w:rPr>
                <w:rFonts w:asciiTheme="minorHAnsi" w:eastAsiaTheme="minorEastAsia" w:hAnsiTheme="minorEastAsia" w:cstheme="minorBidi"/>
                <w:sz w:val="18"/>
                <w:szCs w:val="18"/>
              </w:rPr>
              <w:t>をとる。</w:t>
            </w:r>
          </w:p>
        </w:tc>
        <w:tc>
          <w:tcPr>
            <w:tcW w:w="1651" w:type="dxa"/>
          </w:tcPr>
          <w:p w14:paraId="44CF2F25" w14:textId="77777777" w:rsidR="00AF6621" w:rsidRPr="00BC31E0" w:rsidRDefault="00AF6621" w:rsidP="00BF6AE6">
            <w:pPr>
              <w:spacing w:line="220" w:lineRule="exact"/>
              <w:rPr>
                <w:rFonts w:asciiTheme="minorHAnsi" w:eastAsiaTheme="minorEastAsia" w:hAnsiTheme="minorHAnsi" w:cstheme="minorBidi"/>
                <w:sz w:val="18"/>
                <w:szCs w:val="18"/>
              </w:rPr>
            </w:pPr>
            <w:r w:rsidRPr="00BC31E0">
              <w:rPr>
                <w:rFonts w:asciiTheme="minorHAnsi" w:eastAsiaTheme="minorEastAsia" w:hAnsiTheme="minorEastAsia" w:cstheme="minorBidi"/>
                <w:sz w:val="18"/>
                <w:szCs w:val="18"/>
              </w:rPr>
              <w:t>構造の連続性を保つために生じる自己平衝応力で構造不連続部に生じる。機械的荷重及び熱膨張差によって生じる</w:t>
            </w:r>
            <w:r w:rsidR="00BF6AE6" w:rsidRPr="00BC31E0">
              <w:rPr>
                <w:rFonts w:asciiTheme="minorHAnsi" w:eastAsiaTheme="minorEastAsia" w:hAnsiTheme="minorEastAsia" w:cstheme="minorBidi" w:hint="eastAsia"/>
                <w:sz w:val="18"/>
                <w:szCs w:val="18"/>
              </w:rPr>
              <w:t>応力</w:t>
            </w:r>
            <w:r w:rsidRPr="00BC31E0">
              <w:rPr>
                <w:rFonts w:asciiTheme="minorHAnsi" w:eastAsiaTheme="minorEastAsia" w:hAnsiTheme="minorEastAsia" w:cstheme="minorBidi"/>
                <w:sz w:val="18"/>
                <w:szCs w:val="18"/>
              </w:rPr>
              <w:t>をとり，局部的応力集中を除く。</w:t>
            </w:r>
          </w:p>
        </w:tc>
        <w:tc>
          <w:tcPr>
            <w:tcW w:w="1789" w:type="dxa"/>
          </w:tcPr>
          <w:p w14:paraId="5B50750F" w14:textId="77777777" w:rsidR="00AF6621" w:rsidRPr="00BC31E0" w:rsidRDefault="00AF6621" w:rsidP="007639EA">
            <w:pPr>
              <w:spacing w:line="220" w:lineRule="exact"/>
              <w:ind w:left="170" w:hanging="170"/>
              <w:jc w:val="left"/>
              <w:rPr>
                <w:rFonts w:asciiTheme="minorHAnsi" w:eastAsiaTheme="minorEastAsia" w:hAnsiTheme="minorHAnsi" w:cstheme="minorBidi"/>
                <w:sz w:val="18"/>
                <w:szCs w:val="18"/>
              </w:rPr>
            </w:pPr>
            <w:r w:rsidRPr="00BC31E0">
              <w:rPr>
                <w:rFonts w:asciiTheme="minorHAnsi" w:eastAsiaTheme="minorEastAsia" w:hAnsiTheme="minorHAnsi" w:cstheme="minorBidi"/>
                <w:sz w:val="18"/>
                <w:szCs w:val="18"/>
              </w:rPr>
              <w:t>1)</w:t>
            </w:r>
            <w:r w:rsidRPr="00BC31E0">
              <w:rPr>
                <w:rFonts w:asciiTheme="minorHAnsi" w:eastAsiaTheme="minorEastAsia" w:hAnsiTheme="minorEastAsia" w:cstheme="minorBidi"/>
                <w:sz w:val="18"/>
                <w:szCs w:val="18"/>
              </w:rPr>
              <w:t>応力集中によって</w:t>
            </w:r>
            <w:r w:rsidRPr="00BC31E0">
              <w:rPr>
                <w:rFonts w:asciiTheme="minorHAnsi" w:eastAsiaTheme="minorEastAsia" w:hAnsiTheme="minorHAnsi" w:cstheme="minorBidi"/>
                <w:sz w:val="18"/>
                <w:szCs w:val="18"/>
              </w:rPr>
              <w:t xml:space="preserve">  </w:t>
            </w:r>
            <w:r w:rsidRPr="00BC31E0">
              <w:rPr>
                <w:rFonts w:asciiTheme="minorHAnsi" w:eastAsiaTheme="minorEastAsia" w:hAnsiTheme="minorEastAsia" w:cstheme="minorBidi"/>
                <w:sz w:val="18"/>
                <w:szCs w:val="18"/>
              </w:rPr>
              <w:t>一次又は二次応力</w:t>
            </w:r>
            <w:r w:rsidRPr="00BC31E0">
              <w:rPr>
                <w:rFonts w:asciiTheme="minorHAnsi" w:eastAsiaTheme="minorEastAsia" w:hAnsiTheme="minorHAnsi" w:cstheme="minorBidi"/>
                <w:sz w:val="18"/>
                <w:szCs w:val="18"/>
              </w:rPr>
              <w:t xml:space="preserve">  </w:t>
            </w:r>
            <w:r w:rsidRPr="00BC31E0">
              <w:rPr>
                <w:rFonts w:asciiTheme="minorHAnsi" w:eastAsiaTheme="minorEastAsia" w:hAnsiTheme="minorEastAsia" w:cstheme="minorBidi"/>
                <w:sz w:val="18"/>
                <w:szCs w:val="18"/>
              </w:rPr>
              <w:t>に付加される増加　分</w:t>
            </w:r>
            <w:r w:rsidRPr="00BC31E0">
              <w:rPr>
                <w:rFonts w:asciiTheme="minorHAnsi" w:eastAsiaTheme="minorEastAsia" w:hAnsiTheme="minorHAnsi" w:cstheme="minorBidi"/>
                <w:sz w:val="18"/>
                <w:szCs w:val="18"/>
              </w:rPr>
              <w:t>(</w:t>
            </w:r>
            <w:r w:rsidRPr="00BC31E0">
              <w:rPr>
                <w:rFonts w:asciiTheme="minorHAnsi" w:eastAsiaTheme="minorEastAsia" w:hAnsiTheme="minorEastAsia" w:cstheme="minorBidi"/>
                <w:sz w:val="18"/>
                <w:szCs w:val="18"/>
              </w:rPr>
              <w:t>例えば，切欠きのような場合</w:t>
            </w:r>
            <w:r w:rsidRPr="00BC31E0">
              <w:rPr>
                <w:rFonts w:asciiTheme="minorHAnsi" w:eastAsiaTheme="minorEastAsia" w:hAnsiTheme="minorHAnsi" w:cstheme="minorBidi"/>
                <w:sz w:val="18"/>
                <w:szCs w:val="18"/>
              </w:rPr>
              <w:t>)</w:t>
            </w:r>
          </w:p>
          <w:p w14:paraId="38A79964" w14:textId="77777777" w:rsidR="00AF6621" w:rsidRPr="00BC31E0" w:rsidRDefault="00AF6621" w:rsidP="007639EA">
            <w:pPr>
              <w:spacing w:line="220" w:lineRule="exact"/>
              <w:ind w:left="170" w:hanging="170"/>
              <w:jc w:val="left"/>
              <w:rPr>
                <w:rFonts w:asciiTheme="minorHAnsi" w:eastAsiaTheme="minorEastAsia" w:hAnsiTheme="minorHAnsi" w:cstheme="minorBidi"/>
                <w:sz w:val="18"/>
                <w:szCs w:val="18"/>
              </w:rPr>
            </w:pPr>
            <w:r w:rsidRPr="00BC31E0">
              <w:rPr>
                <w:rFonts w:asciiTheme="minorHAnsi" w:eastAsiaTheme="minorEastAsia" w:hAnsiTheme="minorHAnsi" w:cstheme="minorBidi"/>
                <w:sz w:val="18"/>
                <w:szCs w:val="18"/>
              </w:rPr>
              <w:t>2)</w:t>
            </w:r>
            <w:r w:rsidRPr="00BC31E0">
              <w:rPr>
                <w:rFonts w:asciiTheme="minorHAnsi" w:eastAsiaTheme="minorEastAsia" w:hAnsiTheme="minorEastAsia" w:cstheme="minorBidi"/>
                <w:sz w:val="18"/>
                <w:szCs w:val="18"/>
              </w:rPr>
              <w:t>疲労のおそれはあ　るが</w:t>
            </w:r>
            <w:r w:rsidR="00D353B0" w:rsidRPr="00BC31E0">
              <w:rPr>
                <w:rFonts w:asciiTheme="minorHAnsi" w:eastAsiaTheme="minorEastAsia" w:hAnsiTheme="minorEastAsia" w:cstheme="minorBidi" w:hint="eastAsia"/>
                <w:sz w:val="18"/>
                <w:szCs w:val="18"/>
              </w:rPr>
              <w:t>，</w:t>
            </w:r>
            <w:r w:rsidRPr="00BC31E0">
              <w:rPr>
                <w:rFonts w:asciiTheme="minorHAnsi" w:eastAsiaTheme="minorEastAsia" w:hAnsiTheme="minorEastAsia" w:cstheme="minorBidi"/>
                <w:sz w:val="18"/>
                <w:szCs w:val="18"/>
              </w:rPr>
              <w:t>容器のゆがみを生じるおそれがない熱応力。</w:t>
            </w:r>
          </w:p>
        </w:tc>
      </w:tr>
      <w:tr w:rsidR="00AF6621" w:rsidRPr="00BC31E0" w14:paraId="7FF1051A" w14:textId="77777777" w:rsidTr="00E24FD2">
        <w:trPr>
          <w:cantSplit/>
          <w:trHeight w:hRule="exact" w:val="318"/>
          <w:jc w:val="center"/>
        </w:trPr>
        <w:tc>
          <w:tcPr>
            <w:tcW w:w="1101" w:type="dxa"/>
            <w:vAlign w:val="center"/>
          </w:tcPr>
          <w:p w14:paraId="723E5C49" w14:textId="77777777" w:rsidR="00AF6621" w:rsidRPr="00BC31E0" w:rsidRDefault="00AF6621" w:rsidP="00AF6621">
            <w:pPr>
              <w:jc w:val="center"/>
              <w:rPr>
                <w:rFonts w:ascii="ＭＳ 明朝" w:hAnsi="ＭＳ 明朝" w:cstheme="minorBidi"/>
                <w:sz w:val="18"/>
                <w:szCs w:val="18"/>
              </w:rPr>
            </w:pPr>
            <w:r w:rsidRPr="00BC31E0">
              <w:rPr>
                <w:rFonts w:ascii="ＭＳ 明朝" w:hAnsi="ＭＳ 明朝" w:cstheme="minorBidi" w:hint="eastAsia"/>
                <w:sz w:val="18"/>
                <w:szCs w:val="18"/>
              </w:rPr>
              <w:t>記号</w:t>
            </w:r>
          </w:p>
          <w:p w14:paraId="5D674C9C" w14:textId="77777777" w:rsidR="00AF6621" w:rsidRPr="00BC31E0" w:rsidRDefault="00AF6621" w:rsidP="00AF6621">
            <w:pPr>
              <w:jc w:val="center"/>
              <w:rPr>
                <w:rFonts w:ascii="ＭＳ 明朝" w:hAnsi="ＭＳ 明朝" w:cstheme="minorBidi"/>
                <w:sz w:val="18"/>
                <w:szCs w:val="18"/>
              </w:rPr>
            </w:pPr>
            <w:r w:rsidRPr="00BC31E0">
              <w:rPr>
                <w:rFonts w:ascii="ＭＳ 明朝" w:hAnsi="ＭＳ 明朝" w:cstheme="minorBidi" w:hint="eastAsia"/>
                <w:sz w:val="18"/>
                <w:szCs w:val="18"/>
              </w:rPr>
              <w:t>記号</w:t>
            </w:r>
          </w:p>
        </w:tc>
        <w:tc>
          <w:tcPr>
            <w:tcW w:w="1422" w:type="dxa"/>
            <w:vAlign w:val="center"/>
          </w:tcPr>
          <w:p w14:paraId="5EF2F2AF" w14:textId="77777777" w:rsidR="00AF6621" w:rsidRPr="00BC31E0" w:rsidRDefault="00A51873" w:rsidP="00AF6621">
            <w:pPr>
              <w:jc w:val="center"/>
              <w:rPr>
                <w:rFonts w:ascii="Cambria Math" w:hAnsi="Cambria Math" w:cstheme="minorBidi"/>
                <w:i/>
                <w:sz w:val="18"/>
                <w:szCs w:val="18"/>
              </w:rPr>
            </w:pPr>
            <m:oMathPara>
              <m:oMath>
                <m:sSub>
                  <m:sSubPr>
                    <m:ctrlPr>
                      <w:rPr>
                        <w:rFonts w:ascii="Cambria Math" w:hAnsi="Cambria Math" w:cstheme="minorBidi"/>
                        <w:i/>
                        <w:sz w:val="18"/>
                        <w:szCs w:val="18"/>
                        <w:vertAlign w:val="subscript"/>
                      </w:rPr>
                    </m:ctrlPr>
                  </m:sSubPr>
                  <m:e>
                    <m:r>
                      <w:rPr>
                        <w:rFonts w:ascii="Cambria Math" w:hAnsi="Cambria Math" w:cstheme="minorBidi"/>
                        <w:sz w:val="18"/>
                        <w:szCs w:val="18"/>
                        <w:vertAlign w:val="subscript"/>
                      </w:rPr>
                      <m:t>P</m:t>
                    </m:r>
                  </m:e>
                  <m:sub>
                    <m:r>
                      <w:rPr>
                        <w:rFonts w:ascii="Cambria Math" w:hAnsi="Cambria Math" w:cstheme="minorBidi"/>
                        <w:sz w:val="18"/>
                        <w:szCs w:val="18"/>
                        <w:vertAlign w:val="subscript"/>
                      </w:rPr>
                      <m:t>m</m:t>
                    </m:r>
                  </m:sub>
                </m:sSub>
              </m:oMath>
            </m:oMathPara>
          </w:p>
        </w:tc>
        <w:tc>
          <w:tcPr>
            <w:tcW w:w="1422" w:type="dxa"/>
            <w:vAlign w:val="center"/>
          </w:tcPr>
          <w:p w14:paraId="295500A3" w14:textId="77777777" w:rsidR="00AF6621" w:rsidRPr="00BC31E0" w:rsidRDefault="00A51873" w:rsidP="00AF6621">
            <w:pPr>
              <w:jc w:val="center"/>
              <w:rPr>
                <w:rFonts w:ascii="Cambria Math" w:hAnsi="Cambria Math" w:cstheme="minorBidi"/>
                <w:i/>
                <w:sz w:val="18"/>
                <w:szCs w:val="18"/>
              </w:rPr>
            </w:pPr>
            <m:oMathPara>
              <m:oMath>
                <m:sSub>
                  <m:sSubPr>
                    <m:ctrlPr>
                      <w:rPr>
                        <w:rFonts w:ascii="Cambria Math" w:hAnsi="Cambria Math" w:cstheme="minorBidi"/>
                        <w:i/>
                        <w:sz w:val="18"/>
                        <w:szCs w:val="18"/>
                        <w:vertAlign w:val="subscript"/>
                      </w:rPr>
                    </m:ctrlPr>
                  </m:sSubPr>
                  <m:e>
                    <m:r>
                      <w:rPr>
                        <w:rFonts w:ascii="Cambria Math" w:hAnsi="Cambria Math" w:cstheme="minorBidi"/>
                        <w:sz w:val="18"/>
                        <w:szCs w:val="18"/>
                        <w:vertAlign w:val="subscript"/>
                      </w:rPr>
                      <m:t>P</m:t>
                    </m:r>
                  </m:e>
                  <m:sub>
                    <m:r>
                      <w:rPr>
                        <w:rFonts w:ascii="Cambria Math" w:hAnsi="Cambria Math" w:cstheme="minorBidi"/>
                        <w:sz w:val="18"/>
                        <w:szCs w:val="18"/>
                        <w:vertAlign w:val="subscript"/>
                      </w:rPr>
                      <m:t>L</m:t>
                    </m:r>
                  </m:sub>
                </m:sSub>
              </m:oMath>
            </m:oMathPara>
          </w:p>
        </w:tc>
        <w:tc>
          <w:tcPr>
            <w:tcW w:w="1423" w:type="dxa"/>
            <w:vAlign w:val="center"/>
          </w:tcPr>
          <w:p w14:paraId="3D06379F" w14:textId="77777777" w:rsidR="00AF6621" w:rsidRPr="00BC31E0" w:rsidRDefault="00A51873" w:rsidP="00AF6621">
            <w:pPr>
              <w:jc w:val="center"/>
              <w:rPr>
                <w:rFonts w:ascii="Cambria Math" w:hAnsi="Cambria Math" w:cstheme="minorBidi"/>
                <w:i/>
                <w:sz w:val="18"/>
                <w:szCs w:val="18"/>
              </w:rPr>
            </w:pPr>
            <m:oMathPara>
              <m:oMath>
                <m:sSub>
                  <m:sSubPr>
                    <m:ctrlPr>
                      <w:rPr>
                        <w:rFonts w:ascii="Cambria Math" w:hAnsi="Cambria Math" w:cstheme="minorBidi"/>
                        <w:i/>
                        <w:sz w:val="18"/>
                        <w:szCs w:val="18"/>
                        <w:vertAlign w:val="subscript"/>
                      </w:rPr>
                    </m:ctrlPr>
                  </m:sSubPr>
                  <m:e>
                    <m:r>
                      <w:rPr>
                        <w:rFonts w:ascii="Cambria Math" w:hAnsi="Cambria Math" w:cstheme="minorBidi"/>
                        <w:sz w:val="18"/>
                        <w:szCs w:val="18"/>
                        <w:vertAlign w:val="subscript"/>
                      </w:rPr>
                      <m:t>P</m:t>
                    </m:r>
                  </m:e>
                  <m:sub>
                    <m:r>
                      <w:rPr>
                        <w:rFonts w:ascii="Cambria Math" w:hAnsi="Cambria Math" w:cstheme="minorBidi"/>
                        <w:sz w:val="18"/>
                        <w:szCs w:val="18"/>
                        <w:vertAlign w:val="subscript"/>
                      </w:rPr>
                      <m:t>b</m:t>
                    </m:r>
                  </m:sub>
                </m:sSub>
              </m:oMath>
            </m:oMathPara>
          </w:p>
        </w:tc>
        <w:tc>
          <w:tcPr>
            <w:tcW w:w="1651" w:type="dxa"/>
            <w:vAlign w:val="center"/>
          </w:tcPr>
          <w:p w14:paraId="32909066" w14:textId="77777777" w:rsidR="00AF6621" w:rsidRPr="00BC31E0" w:rsidRDefault="00AF6621" w:rsidP="00AF6621">
            <w:pPr>
              <w:jc w:val="center"/>
              <w:rPr>
                <w:rFonts w:cstheme="minorBidi"/>
                <w:sz w:val="18"/>
                <w:szCs w:val="18"/>
              </w:rPr>
            </w:pPr>
            <m:oMathPara>
              <m:oMath>
                <m:r>
                  <w:rPr>
                    <w:rFonts w:ascii="Cambria Math" w:hAnsi="Cambria Math" w:cstheme="minorBidi"/>
                    <w:sz w:val="18"/>
                    <w:szCs w:val="18"/>
                  </w:rPr>
                  <m:t xml:space="preserve">Q </m:t>
                </m:r>
              </m:oMath>
            </m:oMathPara>
          </w:p>
        </w:tc>
        <w:tc>
          <w:tcPr>
            <w:tcW w:w="1789" w:type="dxa"/>
            <w:vAlign w:val="center"/>
          </w:tcPr>
          <w:p w14:paraId="6F007763" w14:textId="77777777" w:rsidR="00AF6621" w:rsidRPr="00BC31E0" w:rsidRDefault="00AF6621" w:rsidP="00AF6621">
            <w:pPr>
              <w:jc w:val="center"/>
              <w:rPr>
                <w:rFonts w:cstheme="minorBidi"/>
                <w:sz w:val="18"/>
                <w:szCs w:val="18"/>
              </w:rPr>
            </w:pPr>
            <m:oMathPara>
              <m:oMath>
                <m:r>
                  <w:rPr>
                    <w:rFonts w:ascii="Cambria Math" w:hAnsi="Cambria Math" w:cstheme="minorBidi"/>
                    <w:sz w:val="18"/>
                    <w:szCs w:val="18"/>
                  </w:rPr>
                  <m:t xml:space="preserve">F </m:t>
                </m:r>
              </m:oMath>
            </m:oMathPara>
          </w:p>
        </w:tc>
      </w:tr>
      <w:tr w:rsidR="00AF6621" w:rsidRPr="00BC31E0" w14:paraId="069F62A4" w14:textId="77777777" w:rsidTr="00E24FD2">
        <w:trPr>
          <w:cantSplit/>
          <w:trHeight w:val="3920"/>
          <w:jc w:val="center"/>
        </w:trPr>
        <w:tc>
          <w:tcPr>
            <w:tcW w:w="1101" w:type="dxa"/>
          </w:tcPr>
          <w:p w14:paraId="5C5DA543" w14:textId="77777777" w:rsidR="00AF6621" w:rsidRPr="00BC31E0" w:rsidRDefault="00A51873" w:rsidP="00AF6621">
            <w:pPr>
              <w:spacing w:line="280" w:lineRule="exact"/>
              <w:rPr>
                <w:rFonts w:ascii="ＭＳ 明朝" w:hAnsi="ＭＳ 明朝" w:cstheme="minorBidi"/>
                <w:sz w:val="18"/>
                <w:szCs w:val="18"/>
              </w:rPr>
            </w:pPr>
            <w:r>
              <w:rPr>
                <w:rFonts w:ascii="ＭＳ 明朝" w:hAnsi="ＭＳ 明朝" w:cstheme="minorBidi"/>
                <w:noProof/>
                <w:sz w:val="18"/>
                <w:szCs w:val="18"/>
              </w:rPr>
              <w:pict w14:anchorId="06FE0976">
                <v:line id="直線コネクタ 12605" o:spid="_x0000_s3315" style="position:absolute;left:0;text-align:left;z-index:251735552;visibility:visible;mso-position-horizontal-relative:text;mso-position-vertical-relative:text" from="289.15pt,113.45pt" to="289.15pt,1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" o:allowincell="f" strokeweight=".5pt">
                  <v:stroke dashstyle="dash"/>
                </v:line>
              </w:pict>
            </w:r>
            <w:r w:rsidR="00AF6621" w:rsidRPr="00BC31E0">
              <w:rPr>
                <w:rFonts w:ascii="ＭＳ 明朝" w:hAnsi="ＭＳ 明朝" w:cstheme="minorBidi" w:hint="eastAsia"/>
                <w:sz w:val="18"/>
                <w:szCs w:val="18"/>
              </w:rPr>
              <w:t>応力成分の組合せと相当応力の許容限界</w:t>
            </w:r>
          </w:p>
        </w:tc>
        <w:tc>
          <w:tcPr>
            <w:tcW w:w="7707" w:type="dxa"/>
            <w:gridSpan w:val="5"/>
          </w:tcPr>
          <w:p w14:paraId="0F99EE0F" w14:textId="77777777" w:rsidR="00AF6621" w:rsidRPr="00BC31E0" w:rsidRDefault="00A51873" w:rsidP="00AF6621">
            <w:pPr>
              <w:rPr>
                <w:rFonts w:cstheme="minorBidi"/>
                <w:sz w:val="18"/>
                <w:szCs w:val="18"/>
              </w:rPr>
            </w:pPr>
            <w:r>
              <w:rPr>
                <w:rFonts w:cstheme="minorBidi"/>
                <w:noProof/>
                <w:sz w:val="18"/>
                <w:szCs w:val="18"/>
              </w:rPr>
              <w:pict w14:anchorId="5ABDA4A5">
                <v:group id="_x0000_s3541" style="position:absolute;left:0;text-align:left;margin-left:5.65pt;margin-top:-.65pt;width:376.3pt;height:194.1pt;z-index:251924992;mso-position-horizontal-relative:text;mso-position-vertical-relative:text" coordorigin="2791,5231" coordsize="7526,3882">
                  <v:line id="直線コネクタ 12589" o:spid="_x0000_s3300" style="position:absolute;visibility:visible;mso-position-horizontal-relative:text;mso-position-vertical-relative:text" from="3242,5238" to="3242,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" o:allowincell="f">
                    <v:stroke endarrow="classic"/>
                  </v:line>
                  <v:line id="直線コネクタ 12593" o:spid="_x0000_s3304" style="position:absolute;visibility:visible;mso-position-horizontal-relative:text;mso-position-vertical-relative:text" from="4761,5243" to="4761,7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" o:allowincell="f">
                    <v:stroke endarrow="classic"/>
                  </v:line>
                  <v:line id="直線コネクタ 12590" o:spid="_x0000_s3301" style="position:absolute;visibility:visible;mso-position-horizontal-relative:text;mso-position-vertical-relative:text" from="3682,6258" to="3908,6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" o:allowincell="f">
                    <v:stroke endarrow="classic"/>
                  </v:line>
                  <v:group id="グループ化 12565" o:spid="_x0000_s3109" style="position:absolute;left:9346;top:8441;width:720;height:600" coordorigin="9746,9619" coordsize="72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">
                    <v:oval id="Oval 462" o:spid="_x0000_s3110" style="position:absolute;left:9818;top:9619;width:600;height: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"/>
                    <v:shape id="Text Box 463" o:spid="_x0000_s3111" type="#_x0000_t202" style="position:absolute;left:9746;top:9665;width:720;height:5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" filled="f" stroked="f">
                      <v:textbox>
                        <w:txbxContent>
                          <w:p w14:paraId="08644398" w14:textId="77777777" w:rsidR="003B0864" w:rsidRPr="00DE1680" w:rsidRDefault="003B0864" w:rsidP="00AF6621">
                            <w:pPr>
                              <w:jc w:val="center"/>
                              <w:rPr>
                                <w:rFonts w:ascii="Cambria Math" w:hAnsi="Cambria Math"/>
                                <w:i/>
                                <w:sz w:val="18"/>
                              </w:rPr>
                            </w:pPr>
                            <w:r w:rsidRPr="00DE1680">
                              <w:rPr>
                                <w:rFonts w:ascii="Cambria Math" w:hAnsi="Cambria Math"/>
                                <w:i/>
                                <w:sz w:val="18"/>
                              </w:rPr>
                              <w:t>S</w:t>
                            </w:r>
                            <w:r w:rsidRPr="006F3FDC">
                              <w:rPr>
                                <w:rFonts w:ascii="Cambria Math" w:hAnsi="Cambria Math"/>
                                <w:i/>
                                <w:sz w:val="18"/>
                                <w:vertAlign w:val="subscript"/>
                              </w:rPr>
                              <w:t>eq</w:t>
                            </w:r>
                          </w:p>
                        </w:txbxContent>
                      </v:textbox>
                    </v:shape>
                  </v:group>
                  <v:line id="直線コネクタ 12596" o:spid="_x0000_s3307" style="position:absolute;visibility:visible;mso-position-horizontal-relative:text;mso-position-vertical-relative:text" from="4761,7496" to="4761,7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" o:allowincell="f"/>
                  <v:line id="直線コネクタ 12595" o:spid="_x0000_s3306" style="position:absolute;flip:y;visibility:visible;mso-position-horizontal-relative:text;mso-position-vertical-relative:text" from="4761,7947" to="6251,7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" o:allowincell="f"/>
                  <v:line id="直線コネクタ 12598" o:spid="_x0000_s3309" style="position:absolute;flip:x;visibility:visible;mso-position-horizontal-relative:text;mso-position-vertical-relative:text" from="6251,5239" to="6251,7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" o:allowincell="f">
                    <v:stroke endarrow="classic"/>
                  </v:line>
                  <v:line id="直線コネクタ 12597" o:spid="_x0000_s3308" style="position:absolute;visibility:visible;mso-position-horizontal-relative:text;mso-position-vertical-relative:text" from="5531,7953" to="5531,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" o:allowincell="f">
                    <v:stroke endarrow="classic"/>
                  </v:line>
                  <v:line id="直線コネクタ 12586" o:spid="_x0000_s3297" style="position:absolute;visibility:visible;mso-position-horizontal-relative:text;mso-position-vertical-relative:text" from="4937,5235" to="4937,5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" o:allowincell="f" strokeweight=".5pt">
                    <v:stroke dashstyle="dash" endarrow="classic"/>
                  </v:line>
                  <v:line id="直線コネクタ 12602" o:spid="_x0000_s3313" style="position:absolute;visibility:visible;mso-position-horizontal-relative:text;mso-position-vertical-relative:text" from="6454,5243" to="6454,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" o:allowincell="f" strokeweight=".5pt">
                    <v:stroke dashstyle="dash" endarrow="classic"/>
                  </v:line>
                  <v:line id="直線コネクタ 12603" o:spid="_x0000_s3314" style="position:absolute;visibility:visible;mso-position-horizontal-relative:text;mso-position-vertical-relative:text" from="7837,5243" to="7837,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" o:allowincell="f" strokeweight=".5pt">
                    <v:stroke dashstyle="dash" endarrow="classic"/>
                  </v:line>
                  <v:line id="直線コネクタ 12600" o:spid="_x0000_s3311" style="position:absolute;visibility:visible;mso-position-horizontal-relative:text;mso-position-vertical-relative:text" from="6455,6475" to="7837,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" o:allowincell="f" strokeweight=".5pt">
                    <v:stroke dashstyle="dash"/>
                  </v:line>
                  <v:line id="直線コネクタ 12601" o:spid="_x0000_s3312" style="position:absolute;visibility:visible;mso-position-horizontal-relative:text;mso-position-vertical-relative:text" from="7201,6475" to="7201,7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" o:allowincell="f" strokeweight=".5pt">
                    <v:stroke dashstyle="dash" endarrow="classic"/>
                  </v:line>
                  <v:line id="直線コネクタ 12606" o:spid="_x0000_s3316" style="position:absolute;flip:y;visibility:visible;mso-position-horizontal-relative:text;mso-position-vertical-relative:text" from="7214,7868" to="9546,7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" o:allowincell="f" strokeweight=".5pt">
                    <v:stroke dashstyle="dash"/>
                  </v:line>
                  <v:line id="直線コネクタ 12588" o:spid="_x0000_s3299" style="position:absolute;visibility:visible;mso-position-horizontal-relative:text;mso-position-vertical-relative:text" from="3413,5721" to="6439,5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" o:allowincell="f" strokeweight=".5pt">
                    <v:stroke dashstyle="dash" endarrow="classic"/>
                  </v:line>
                  <v:line id="直線コネクタ 12608" o:spid="_x0000_s3317" style="position:absolute;visibility:visible;mso-position-horizontal-relative:text;mso-position-vertical-relative:text" from="9575,5243" to="9575,7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" o:allowincell="f" strokeweight=".5pt">
                    <v:stroke dashstyle="dash"/>
                  </v:line>
                  <v:line id="直線コネクタ 12564" o:spid="_x0000_s3296" style="position:absolute;visibility:visible" from="9163,8755" to="9410,8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" o:allowincell="f">
                    <v:stroke endarrow="classic"/>
                  </v:line>
                  <v:line id="直線コネクタ 12594" o:spid="_x0000_s3305" style="position:absolute;flip:y;visibility:visible;mso-position-horizontal-relative:text;mso-position-vertical-relative:text" from="5228,7334" to="5458,7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" o:allowincell="f">
                    <v:stroke endarrow="classic"/>
                  </v:line>
                  <v:line id="直線コネクタ 12614" o:spid="_x0000_s3318" style="position:absolute;visibility:visible;mso-position-horizontal-relative:text;mso-position-vertical-relative:text" from="6007,8755" to="6297,8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" o:allowincell="f">
                    <v:stroke endarrow="classic"/>
                  </v:line>
                  <v:line id="直線コネクタ 12599" o:spid="_x0000_s3310" style="position:absolute;visibility:visible;mso-position-horizontal-relative:text;mso-position-vertical-relative:text" from="7808,7336" to="8050,7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" o:allowincell="f">
                    <v:stroke endarrow="classic"/>
                  </v:line>
                  <v:line id="直線コネクタ 12615" o:spid="_x0000_s3319" style="position:absolute;visibility:visible;mso-position-horizontal-relative:text;mso-position-vertical-relative:text" from="8455,7888" to="8455,8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" o:allowincell="f" strokeweight=".5pt">
                    <v:stroke dashstyle="dash" endarrow="classic"/>
                  </v:line>
                  <v:shape id="テキスト ボックス 12604" o:spid="_x0000_s3090" type="#_x0000_t202" style="position:absolute;left:8502;top:6740;width:450;height:504;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" o:allowincell="f" filled="f" stroked="f">
                    <v:textbox style="mso-fit-shape-to-text:t">
                      <w:txbxContent>
                        <w:p w14:paraId="52486300" w14:textId="77777777" w:rsidR="003B0864" w:rsidRPr="009074D1" w:rsidRDefault="003B0864" w:rsidP="00AF6621">
                          <w:pPr>
                            <w:rPr>
                              <w:rFonts w:ascii="ＭＳ ゴシック" w:eastAsia="ＭＳ ゴシック"/>
                              <w:b/>
                              <w:sz w:val="16"/>
                              <w:szCs w:val="16"/>
                            </w:rPr>
                          </w:pPr>
                          <w:r w:rsidRPr="009074D1">
                            <w:rPr>
                              <w:rFonts w:ascii="ＭＳ ゴシック" w:eastAsia="ＭＳ ゴシック" w:hint="eastAsia"/>
                              <w:b/>
                              <w:sz w:val="16"/>
                              <w:szCs w:val="16"/>
                            </w:rPr>
                            <w:t>b)</w:t>
                          </w:r>
                        </w:p>
                      </w:txbxContent>
                    </v:textbox>
                  </v:shape>
                  <v:shape id="テキスト ボックス 12607" o:spid="_x0000_s3089" type="#_x0000_t202" style="position:absolute;left:9867;top:8164;width:450;height:504;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" o:allowincell="f" filled="f" stroked="f">
                    <v:textbox style="mso-fit-shape-to-text:t">
                      <w:txbxContent>
                        <w:p w14:paraId="43B20EF8" w14:textId="77777777" w:rsidR="003B0864" w:rsidRPr="009074D1" w:rsidRDefault="003B0864" w:rsidP="00AF6621">
                          <w:pPr>
                            <w:rPr>
                              <w:rFonts w:ascii="ＭＳ ゴシック" w:eastAsia="ＭＳ ゴシック"/>
                              <w:b/>
                              <w:sz w:val="16"/>
                              <w:szCs w:val="16"/>
                            </w:rPr>
                          </w:pPr>
                          <w:r w:rsidRPr="009074D1">
                            <w:rPr>
                              <w:rFonts w:ascii="ＭＳ ゴシック" w:eastAsia="ＭＳ ゴシック" w:hint="eastAsia"/>
                              <w:b/>
                              <w:sz w:val="16"/>
                              <w:szCs w:val="16"/>
                            </w:rPr>
                            <w:t>d)</w:t>
                          </w:r>
                        </w:p>
                      </w:txbxContent>
                    </v:textbox>
                  </v:shape>
                  <v:shape id="テキスト ボックス 12612" o:spid="_x0000_s3085" type="#_x0000_t202" style="position:absolute;left:7471;top:6740;width:450;height:504;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" o:allowincell="f" filled="f" stroked="f">
                    <v:textbox style="mso-fit-shape-to-text:t">
                      <w:txbxContent>
                        <w:p w14:paraId="786BFAE9" w14:textId="77777777" w:rsidR="003B0864" w:rsidRPr="009074D1" w:rsidRDefault="003B0864" w:rsidP="00AF6621">
                          <w:pPr>
                            <w:jc w:val="center"/>
                            <w:rPr>
                              <w:rFonts w:ascii="ＭＳ ゴシック" w:eastAsia="ＭＳ ゴシック"/>
                              <w:b/>
                              <w:sz w:val="16"/>
                              <w:szCs w:val="16"/>
                            </w:rPr>
                          </w:pPr>
                          <w:r w:rsidRPr="009074D1">
                            <w:rPr>
                              <w:rFonts w:ascii="ＭＳ ゴシック" w:eastAsia="ＭＳ ゴシック" w:hint="eastAsia"/>
                              <w:b/>
                              <w:sz w:val="16"/>
                              <w:szCs w:val="16"/>
                            </w:rPr>
                            <w:t>a)</w:t>
                          </w:r>
                        </w:p>
                      </w:txbxContent>
                    </v:textbox>
                  </v:shape>
                  <v:shape id="テキスト ボックス 12609" o:spid="_x0000_s3088" type="#_x0000_t202" style="position:absolute;left:6730;top:8061;width:692;height:504;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" o:allowincell="f" filled="f" stroked="f">
                    <v:textbox style="mso-fit-shape-to-text:t">
                      <w:txbxContent>
                        <w:p w14:paraId="6417B23A" w14:textId="77777777" w:rsidR="003B0864" w:rsidRPr="00FF5D54" w:rsidRDefault="003B0864" w:rsidP="00AF6621">
                          <w:pPr>
                            <w:jc w:val="center"/>
                            <w:rPr>
                              <w:rFonts w:ascii="ＭＳ ゴシック" w:eastAsia="ＭＳ ゴシック"/>
                              <w:b/>
                              <w:sz w:val="16"/>
                              <w:szCs w:val="16"/>
                            </w:rPr>
                          </w:pPr>
                          <w:r w:rsidRPr="00FF5D54">
                            <w:rPr>
                              <w:rFonts w:ascii="ＭＳ ゴシック" w:eastAsia="ＭＳ ゴシック" w:hint="eastAsia"/>
                              <w:b/>
                              <w:sz w:val="16"/>
                              <w:szCs w:val="16"/>
                            </w:rPr>
                            <w:t>c),e)</w:t>
                          </w:r>
                        </w:p>
                      </w:txbxContent>
                    </v:textbox>
                  </v:shape>
                  <v:group id="グループ化 12583" o:spid="_x0000_s3091" style="position:absolute;left:3885;top:5871;width:839;height:748" coordorigin="3931,6554" coordsize="839,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">
                    <v:oval id="Oval 489" o:spid="_x0000_s3092" style="position:absolute;left:3953;top:6558;width:772;height:7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">
                      <v:textbox inset="5.85pt,.7pt,5.85pt,.7pt">
                        <w:txbxContent>
                          <w:p w14:paraId="0B971160" w14:textId="77777777" w:rsidR="003B0864" w:rsidRPr="006D3AE7" w:rsidRDefault="003B0864" w:rsidP="00AF6621">
                            <w:pPr>
                              <w:snapToGrid w:val="0"/>
                              <w:rPr>
                                <w:rFonts w:ascii="Cambria Math" w:hAnsi="Cambria Math"/>
                                <w:sz w:val="18"/>
                                <w:szCs w:val="18"/>
                              </w:rPr>
                            </w:pPr>
                          </w:p>
                        </w:txbxContent>
                      </v:textbox>
                    </v:oval>
                    <v:shape id="Text Box 490" o:spid="_x0000_s3093" type="#_x0000_t202" style="position:absolute;left:3931;top:6554;width:839;height:7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" filled="f" stroked="f">
                      <v:textbox style="mso-fit-shape-to-text:t" inset="5.85pt,.7pt,5.85pt,.7pt">
                        <w:txbxContent>
                          <w:p w14:paraId="4958E5A0" w14:textId="77777777" w:rsidR="003B0864" w:rsidRPr="00FF5D54" w:rsidRDefault="00A51873" w:rsidP="00AF6621">
                            <w:pPr>
                              <w:rPr>
                                <w:i/>
                                <w:sz w:val="18"/>
                                <w:szCs w:val="18"/>
                              </w:rPr>
                            </w:pPr>
                            <m:oMathPara>
                              <m:oMath>
                                <m:f>
                                  <m:fPr>
                                    <m:ctrlPr>
                                      <w:rPr>
                                        <w:rFonts w:ascii="Cambria Math" w:hAnsi="Cambria Math"/>
                                        <w:i/>
                                        <w:sz w:val="18"/>
                                        <w:szCs w:val="18"/>
                                      </w:rPr>
                                    </m:ctrlPr>
                                  </m:fPr>
                                  <m:num>
                                    <m:sSub>
                                      <m:sSubPr>
                                        <m:ctrlPr>
                                          <w:rPr>
                                            <w:rFonts w:ascii="Cambria Math" w:hAnsi="Cambria Math"/>
                                            <w:i/>
                                            <w:sz w:val="18"/>
                                            <w:szCs w:val="18"/>
                                          </w:rPr>
                                        </m:ctrlPr>
                                      </m:sSubPr>
                                      <m:e>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c</m:t>
                                            </m:r>
                                          </m:sub>
                                        </m:sSub>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c1</m:t>
                                            </m:r>
                                          </m:sub>
                                        </m:sSub>
                                        <m:r>
                                          <w:rPr>
                                            <w:rFonts w:ascii="Cambria Math" w:hAnsi="Cambria Math" w:hint="eastAsia"/>
                                            <w:sz w:val="18"/>
                                            <w:szCs w:val="18"/>
                                          </w:rPr>
                                          <m:t>S</m:t>
                                        </m:r>
                                      </m:e>
                                      <m:sub>
                                        <m:r>
                                          <w:rPr>
                                            <w:rFonts w:ascii="Cambria Math" w:hAnsi="Cambria Math"/>
                                            <w:sz w:val="18"/>
                                            <w:szCs w:val="18"/>
                                          </w:rPr>
                                          <m:t>y</m:t>
                                        </m:r>
                                      </m:sub>
                                    </m:sSub>
                                  </m:num>
                                  <m:den>
                                    <m:r>
                                      <w:rPr>
                                        <w:rFonts w:ascii="Cambria Math" w:hAnsi="Cambria Math"/>
                                        <w:sz w:val="18"/>
                                        <w:szCs w:val="18"/>
                                      </w:rPr>
                                      <m:t>1.5</m:t>
                                    </m:r>
                                  </m:den>
                                </m:f>
                              </m:oMath>
                            </m:oMathPara>
                          </w:p>
                        </w:txbxContent>
                      </v:textbox>
                    </v:shape>
                  </v:group>
                  <v:group id="グループ化 12580" o:spid="_x0000_s3094" style="position:absolute;left:2791;top:5967;width:885;height:431" coordorigin="3005,7025" coordsize="88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">
                    <v:rect id="Rectangle 492" o:spid="_x0000_s3095" style="position:absolute;left:3005;top:7118;width:885;height: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" filled="f"/>
                    <v:shape id="Text Box 493" o:spid="_x0000_s3096" type="#_x0000_t202" style="position:absolute;left:3163;top:7025;width:590;height:4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" filled="f" stroked="f">
                      <v:textbox>
                        <w:txbxContent>
                          <w:p w14:paraId="02EC3BF5" w14:textId="77777777" w:rsidR="003B0864" w:rsidRPr="00601B36" w:rsidRDefault="00A51873" w:rsidP="00AF6621">
                            <w:pPr>
                              <w:jc w:val="center"/>
                              <w:rPr>
                                <w:rFonts w:ascii="Cambria Math" w:hAnsi="Cambria Math"/>
                                <w:sz w:val="18"/>
                                <w:oMath/>
                              </w:rPr>
                            </w:pPr>
                            <m:oMathPara>
                              <m:oMath>
                                <m:sSub>
                                  <m:sSubPr>
                                    <m:ctrlPr>
                                      <w:rPr>
                                        <w:rFonts w:ascii="Cambria Math" w:hAnsi="Cambria Math"/>
                                        <w:i/>
                                        <w:sz w:val="18"/>
                                      </w:rPr>
                                    </m:ctrlPr>
                                  </m:sSubPr>
                                  <m:e>
                                    <m:r>
                                      <w:rPr>
                                        <w:rFonts w:ascii="Cambria Math" w:hAnsi="Cambria Math"/>
                                        <w:sz w:val="18"/>
                                      </w:rPr>
                                      <m:t>P</m:t>
                                    </m:r>
                                  </m:e>
                                  <m:sub>
                                    <m:r>
                                      <w:rPr>
                                        <w:rFonts w:ascii="Cambria Math" w:hAnsi="Cambria Math"/>
                                        <w:sz w:val="18"/>
                                      </w:rPr>
                                      <m:t>m</m:t>
                                    </m:r>
                                  </m:sub>
                                </m:sSub>
                              </m:oMath>
                            </m:oMathPara>
                          </w:p>
                        </w:txbxContent>
                      </v:textbox>
                    </v:shape>
                  </v:group>
                  <v:group id="グループ化 12568" o:spid="_x0000_s3106" style="position:absolute;left:4280;top:7037;width:945;height:540" coordorigin="4524,8229" coordsize="94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">
                    <v:rect id="Rectangle 495" o:spid="_x0000_s3107" style="position:absolute;left:4524;top:8332;width:945;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" filled="f"/>
                    <v:shape id="Text Box 496" o:spid="_x0000_s3108" type="#_x0000_t202" style="position:absolute;left:4699;top:8229;width:63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" filled="f" stroked="f">
                      <v:textbox>
                        <w:txbxContent>
                          <w:p w14:paraId="08CFA142" w14:textId="77777777" w:rsidR="003B0864" w:rsidRPr="00924175" w:rsidRDefault="00A51873" w:rsidP="00AF6621">
                            <w:pPr>
                              <w:rPr>
                                <w:rFonts w:ascii="Cambria Math" w:hAnsi="Cambria Math"/>
                                <w:sz w:val="18"/>
                                <w:oMath/>
                              </w:rPr>
                            </w:pPr>
                            <m:oMathPara>
                              <m:oMath>
                                <m:sSub>
                                  <m:sSubPr>
                                    <m:ctrlPr>
                                      <w:rPr>
                                        <w:rFonts w:ascii="Cambria Math" w:hAnsi="Cambria Math"/>
                                        <w:i/>
                                        <w:sz w:val="18"/>
                                      </w:rPr>
                                    </m:ctrlPr>
                                  </m:sSubPr>
                                  <m:e>
                                    <m:r>
                                      <w:rPr>
                                        <w:rFonts w:ascii="Cambria Math" w:hAnsi="Cambria Math"/>
                                        <w:sz w:val="18"/>
                                      </w:rPr>
                                      <m:t>P</m:t>
                                    </m:r>
                                  </m:e>
                                  <m:sub>
                                    <m:r>
                                      <w:rPr>
                                        <w:rFonts w:ascii="Cambria Math" w:hAnsi="Cambria Math"/>
                                        <w:sz w:val="18"/>
                                      </w:rPr>
                                      <m:t>L</m:t>
                                    </m:r>
                                  </m:sub>
                                </m:sSub>
                              </m:oMath>
                            </m:oMathPara>
                          </w:p>
                        </w:txbxContent>
                      </v:textbox>
                    </v:shape>
                  </v:group>
                  <v:group id="グループ化 12574" o:spid="_x0000_s3100" style="position:absolute;left:5361;top:6983;width:860;height:678" coordorigin="5685,8177" coordsize="860,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">
                    <v:oval id="Oval 498" o:spid="_x0000_s3101" style="position:absolute;left:5773;top:8177;width:722;height:6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"/>
                    <v:shape id="Text Box 499" o:spid="_x0000_s3102" type="#_x0000_t202" style="position:absolute;left:5685;top:8256;width:860;height:5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" filled="f" stroked="f">
                      <v:textbox>
                        <w:txbxContent>
                          <w:p w14:paraId="235438A6" w14:textId="77777777" w:rsidR="003B0864" w:rsidRPr="00FF5D54" w:rsidRDefault="00A51873" w:rsidP="00AF6621">
                            <w:pPr>
                              <w:jc w:val="center"/>
                              <w:rPr>
                                <w:rFonts w:ascii="Cambria Math" w:hAnsi="Cambria Math"/>
                                <w:sz w:val="18"/>
                                <w:oMath/>
                              </w:rPr>
                            </w:pPr>
                            <m:oMathPara>
                              <m:oMath>
                                <m:sSub>
                                  <m:sSubPr>
                                    <m:ctrlPr>
                                      <w:rPr>
                                        <w:rFonts w:ascii="Cambria Math" w:hAnsi="Cambria Math"/>
                                        <w:i/>
                                        <w:sz w:val="18"/>
                                      </w:rPr>
                                    </m:ctrlPr>
                                  </m:sSubPr>
                                  <m:e>
                                    <m:sSub>
                                      <m:sSubPr>
                                        <m:ctrlPr>
                                          <w:rPr>
                                            <w:rFonts w:ascii="Cambria Math" w:hAnsi="Cambria Math"/>
                                            <w:i/>
                                            <w:sz w:val="18"/>
                                          </w:rPr>
                                        </m:ctrlPr>
                                      </m:sSubPr>
                                      <m:e>
                                        <m:r>
                                          <w:rPr>
                                            <w:rFonts w:ascii="Cambria Math" w:hAnsi="Cambria Math"/>
                                            <w:sz w:val="18"/>
                                          </w:rPr>
                                          <m:t>k</m:t>
                                        </m:r>
                                      </m:e>
                                      <m:sub>
                                        <m:r>
                                          <w:rPr>
                                            <w:rFonts w:ascii="Cambria Math" w:hAnsi="Cambria Math"/>
                                            <w:sz w:val="18"/>
                                          </w:rPr>
                                          <m:t>c1</m:t>
                                        </m:r>
                                      </m:sub>
                                    </m:sSub>
                                    <m:r>
                                      <w:rPr>
                                        <w:rFonts w:ascii="Cambria Math" w:hAnsi="Cambria Math"/>
                                        <w:sz w:val="18"/>
                                      </w:rPr>
                                      <m:t>S</m:t>
                                    </m:r>
                                  </m:e>
                                  <m:sub>
                                    <m:r>
                                      <w:rPr>
                                        <w:rFonts w:ascii="Cambria Math" w:hAnsi="Cambria Math"/>
                                        <w:sz w:val="18"/>
                                      </w:rPr>
                                      <m:t>y</m:t>
                                    </m:r>
                                  </m:sub>
                                </m:sSub>
                              </m:oMath>
                            </m:oMathPara>
                          </w:p>
                        </w:txbxContent>
                      </v:textbox>
                    </v:shape>
                  </v:group>
                  <v:group id="グループ化 12571" o:spid="_x0000_s3103" style="position:absolute;left:6537;top:7062;width:1337;height:504" coordorigin="6903,8244" coordsize="1337,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">
                    <v:rect id="Rectangle 501" o:spid="_x0000_s3104" style="position:absolute;left:6974;top:8338;width:1200;height:3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" filled="f"/>
                    <v:shape id="Text Box 502" o:spid="_x0000_s3105" type="#_x0000_t202" style="position:absolute;left:6903;top:8244;width:1337;height:50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" filled="f" stroked="f">
                      <v:textbox style="mso-fit-shape-to-text:t">
                        <w:txbxContent>
                          <w:p w14:paraId="3EADC2BC" w14:textId="77777777" w:rsidR="003B0864" w:rsidRPr="00924175" w:rsidRDefault="00A51873" w:rsidP="00AF6621">
                            <w:pPr>
                              <w:jc w:val="center"/>
                              <w:rPr>
                                <w:rFonts w:ascii="Cambria Math" w:hAnsi="Cambria Math"/>
                                <w:i/>
                                <w:sz w:val="18"/>
                              </w:rPr>
                            </w:pPr>
                            <m:oMathPara>
                              <m:oMath>
                                <m:sSub>
                                  <m:sSubPr>
                                    <m:ctrlPr>
                                      <w:rPr>
                                        <w:rFonts w:ascii="Cambria Math" w:hAnsi="Cambria Math"/>
                                        <w:i/>
                                        <w:sz w:val="18"/>
                                      </w:rPr>
                                    </m:ctrlPr>
                                  </m:sSubPr>
                                  <m:e>
                                    <m:r>
                                      <w:rPr>
                                        <w:rFonts w:ascii="Cambria Math" w:hAnsi="Cambria Math"/>
                                        <w:sz w:val="18"/>
                                      </w:rPr>
                                      <m:t>P</m:t>
                                    </m:r>
                                  </m:e>
                                  <m:sub>
                                    <m:r>
                                      <w:rPr>
                                        <w:rFonts w:ascii="Cambria Math" w:hAnsi="Cambria Math"/>
                                        <w:sz w:val="18"/>
                                      </w:rPr>
                                      <m:t>L</m:t>
                                    </m:r>
                                  </m:sub>
                                </m:sSub>
                                <m:r>
                                  <w:rPr>
                                    <w:rFonts w:ascii="Cambria Math" w:hAnsi="Cambria Math"/>
                                    <w:sz w:val="18"/>
                                  </w:rPr>
                                  <m:t>+</m:t>
                                </m:r>
                                <m:sSub>
                                  <m:sSubPr>
                                    <m:ctrlPr>
                                      <w:rPr>
                                        <w:rFonts w:ascii="Cambria Math" w:hAnsi="Cambria Math"/>
                                        <w:i/>
                                        <w:sz w:val="18"/>
                                      </w:rPr>
                                    </m:ctrlPr>
                                  </m:sSubPr>
                                  <m:e>
                                    <m:r>
                                      <w:rPr>
                                        <w:rFonts w:ascii="Cambria Math" w:hAnsi="Cambria Math"/>
                                        <w:sz w:val="18"/>
                                      </w:rPr>
                                      <m:t>P</m:t>
                                    </m:r>
                                  </m:e>
                                  <m:sub>
                                    <m:r>
                                      <w:rPr>
                                        <w:rFonts w:ascii="Cambria Math" w:hAnsi="Cambria Math"/>
                                        <w:sz w:val="18"/>
                                      </w:rPr>
                                      <m:t>b</m:t>
                                    </m:r>
                                  </m:sub>
                                </m:sSub>
                                <m:r>
                                  <w:rPr>
                                    <w:rFonts w:ascii="Cambria Math" w:hAnsi="Cambria Math"/>
                                    <w:sz w:val="18"/>
                                  </w:rPr>
                                  <m:t>+Q</m:t>
                                </m:r>
                              </m:oMath>
                            </m:oMathPara>
                          </w:p>
                        </w:txbxContent>
                      </v:textbox>
                    </v:shape>
                  </v:group>
                  <v:group id="グループ化 12555" o:spid="_x0000_s3118" style="position:absolute;left:5056;top:8491;width:945;height:504" coordorigin="5345,9669" coordsize="945,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">
                    <v:rect id="Rectangle 504" o:spid="_x0000_s3119" style="position:absolute;left:5345;top:9758;width:945;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" filled="f"/>
                    <v:shape id="Text Box 505" o:spid="_x0000_s3120" type="#_x0000_t202" style="position:absolute;left:5361;top:9669;width:909;height:50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" filled="f" stroked="f">
                      <v:textbox style="mso-fit-shape-to-text:t">
                        <w:txbxContent>
                          <w:p w14:paraId="49B5F0B8" w14:textId="77777777" w:rsidR="003B0864" w:rsidRPr="00924175" w:rsidRDefault="00A51873" w:rsidP="00AF6621">
                            <w:pPr>
                              <w:jc w:val="center"/>
                              <w:rPr>
                                <w:rFonts w:ascii="Cambria Math" w:hAnsi="Cambria Math"/>
                                <w:i/>
                                <w:sz w:val="18"/>
                              </w:rPr>
                            </w:pPr>
                            <m:oMathPara>
                              <m:oMath>
                                <m:sSub>
                                  <m:sSubPr>
                                    <m:ctrlPr>
                                      <w:rPr>
                                        <w:rFonts w:ascii="Cambria Math" w:hAnsi="Cambria Math"/>
                                        <w:i/>
                                        <w:sz w:val="18"/>
                                      </w:rPr>
                                    </m:ctrlPr>
                                  </m:sSubPr>
                                  <m:e>
                                    <m:r>
                                      <w:rPr>
                                        <w:rFonts w:ascii="Cambria Math" w:hAnsi="Cambria Math"/>
                                        <w:sz w:val="18"/>
                                      </w:rPr>
                                      <m:t>P</m:t>
                                    </m:r>
                                  </m:e>
                                  <m:sub>
                                    <m:r>
                                      <w:rPr>
                                        <w:rFonts w:ascii="Cambria Math" w:hAnsi="Cambria Math"/>
                                        <w:sz w:val="18"/>
                                      </w:rPr>
                                      <m:t>L</m:t>
                                    </m:r>
                                  </m:sub>
                                </m:sSub>
                                <m:r>
                                  <w:rPr>
                                    <w:rFonts w:ascii="Cambria Math" w:hAnsi="Cambria Math"/>
                                    <w:sz w:val="18"/>
                                  </w:rPr>
                                  <m:t>+</m:t>
                                </m:r>
                                <m:sSub>
                                  <m:sSubPr>
                                    <m:ctrlPr>
                                      <w:rPr>
                                        <w:rFonts w:ascii="Cambria Math" w:hAnsi="Cambria Math"/>
                                        <w:i/>
                                        <w:sz w:val="18"/>
                                      </w:rPr>
                                    </m:ctrlPr>
                                  </m:sSubPr>
                                  <m:e>
                                    <m:r>
                                      <w:rPr>
                                        <w:rFonts w:ascii="Cambria Math" w:hAnsi="Cambria Math"/>
                                        <w:sz w:val="18"/>
                                      </w:rPr>
                                      <m:t>P</m:t>
                                    </m:r>
                                  </m:e>
                                  <m:sub>
                                    <m:r>
                                      <w:rPr>
                                        <w:rFonts w:ascii="Cambria Math" w:hAnsi="Cambria Math"/>
                                        <w:sz w:val="18"/>
                                      </w:rPr>
                                      <m:t>b</m:t>
                                    </m:r>
                                  </m:sub>
                                </m:sSub>
                              </m:oMath>
                            </m:oMathPara>
                          </w:p>
                        </w:txbxContent>
                      </v:textbox>
                    </v:shape>
                  </v:group>
                  <v:group id="グループ化 12561" o:spid="_x0000_s3112" style="position:absolute;left:6254;top:8365;width:815;height:748" coordorigin="6546,9565" coordsize="815,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">
                    <v:oval id="Oval 507" o:spid="_x0000_s3113" style="position:absolute;left:6589;top:9581;width:724;height:7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">
                      <o:lock v:ext="edit" aspectratio="t"/>
                    </v:oval>
                    <v:shape id="Text Box 508" o:spid="_x0000_s3114" type="#_x0000_t202" style="position:absolute;left:6546;top:9565;width:815;height:7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" filled="f" stroked="f">
                      <v:textbox style="mso-fit-shape-to-text:t" inset="5.85pt,.7pt,5.85pt,.7pt">
                        <w:txbxContent>
                          <w:p w14:paraId="3A01C198" w14:textId="77777777" w:rsidR="003B0864" w:rsidRPr="00FF5D54" w:rsidRDefault="00A51873" w:rsidP="00AF6621">
                            <w:pPr>
                              <w:rPr>
                                <w:i/>
                                <w:sz w:val="18"/>
                                <w:szCs w:val="18"/>
                              </w:rPr>
                            </w:pPr>
                            <m:oMathPara>
                              <m:oMath>
                                <m:f>
                                  <m:fPr>
                                    <m:ctrlPr>
                                      <w:rPr>
                                        <w:rFonts w:ascii="Cambria Math" w:hAnsi="Cambria Math"/>
                                        <w:i/>
                                        <w:sz w:val="18"/>
                                        <w:szCs w:val="18"/>
                                      </w:rPr>
                                    </m:ctrlPr>
                                  </m:fPr>
                                  <m:num>
                                    <m:r>
                                      <w:rPr>
                                        <w:rFonts w:ascii="Cambria Math" w:hAnsi="Cambria Math"/>
                                        <w:sz w:val="18"/>
                                        <w:szCs w:val="18"/>
                                      </w:rPr>
                                      <m:t>α</m:t>
                                    </m:r>
                                    <m:sSub>
                                      <m:sSubPr>
                                        <m:ctrlPr>
                                          <w:rPr>
                                            <w:rFonts w:ascii="Cambria Math" w:hAnsi="Cambria Math"/>
                                            <w:i/>
                                            <w:sz w:val="18"/>
                                            <w:szCs w:val="18"/>
                                          </w:rPr>
                                        </m:ctrlPr>
                                      </m:sSubPr>
                                      <m:e>
                                        <m:sSub>
                                          <m:sSubPr>
                                            <m:ctrlPr>
                                              <w:rPr>
                                                <w:rFonts w:ascii="Cambria Math" w:hAnsi="Cambria Math"/>
                                                <w:i/>
                                                <w:sz w:val="18"/>
                                                <w:szCs w:val="18"/>
                                              </w:rPr>
                                            </m:ctrlPr>
                                          </m:sSubPr>
                                          <m:e>
                                            <m:r>
                                              <w:rPr>
                                                <w:rFonts w:ascii="Cambria Math" w:hAnsi="Cambria Math"/>
                                                <w:sz w:val="18"/>
                                                <w:szCs w:val="18"/>
                                              </w:rPr>
                                              <m:t xml:space="preserve"> k</m:t>
                                            </m:r>
                                          </m:e>
                                          <m:sub>
                                            <m:r>
                                              <w:rPr>
                                                <w:rFonts w:ascii="Cambria Math" w:hAnsi="Cambria Math"/>
                                                <w:sz w:val="18"/>
                                                <w:szCs w:val="18"/>
                                              </w:rPr>
                                              <m:t>c1</m:t>
                                            </m:r>
                                          </m:sub>
                                        </m:sSub>
                                        <m:r>
                                          <w:rPr>
                                            <w:rFonts w:ascii="Cambria Math" w:hAnsi="Cambria Math"/>
                                            <w:sz w:val="18"/>
                                            <w:szCs w:val="18"/>
                                          </w:rPr>
                                          <m:t>S</m:t>
                                        </m:r>
                                      </m:e>
                                      <m:sub>
                                        <m:r>
                                          <w:rPr>
                                            <w:rFonts w:ascii="Cambria Math" w:hAnsi="Cambria Math"/>
                                            <w:sz w:val="18"/>
                                            <w:szCs w:val="18"/>
                                          </w:rPr>
                                          <m:t>y</m:t>
                                        </m:r>
                                      </m:sub>
                                    </m:sSub>
                                  </m:num>
                                  <m:den>
                                    <m:r>
                                      <w:rPr>
                                        <w:rFonts w:ascii="Cambria Math" w:hAnsi="Cambria Math"/>
                                        <w:sz w:val="18"/>
                                        <w:szCs w:val="18"/>
                                      </w:rPr>
                                      <m:t>1.5</m:t>
                                    </m:r>
                                  </m:den>
                                </m:f>
                              </m:oMath>
                            </m:oMathPara>
                          </w:p>
                        </w:txbxContent>
                      </v:textbox>
                    </v:shape>
                  </v:group>
                  <v:group id="グループ化 12558" o:spid="_x0000_s3115" style="position:absolute;left:7642;top:8488;width:1604;height:504" coordorigin="7996,9669" coordsize="1604,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">
                    <v:shape id="Text Box 510" o:spid="_x0000_s3116" type="#_x0000_t202" style="position:absolute;left:7996;top:9669;width:1604;height:50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" filled="f" stroked="f">
                      <v:textbox style="mso-fit-shape-to-text:t">
                        <w:txbxContent>
                          <w:p w14:paraId="145CF2CD" w14:textId="77777777" w:rsidR="003B0864" w:rsidRPr="007F2291" w:rsidRDefault="00A51873" w:rsidP="00AF6621">
                            <w:pPr>
                              <w:jc w:val="center"/>
                              <w:rPr>
                                <w:rFonts w:ascii="Cambria Math" w:hAnsi="Cambria Math"/>
                                <w:i/>
                                <w:sz w:val="18"/>
                              </w:rPr>
                            </w:pPr>
                            <m:oMathPara>
                              <m:oMath>
                                <m:sSub>
                                  <m:sSubPr>
                                    <m:ctrlPr>
                                      <w:rPr>
                                        <w:rFonts w:ascii="Cambria Math" w:hAnsi="Cambria Math"/>
                                        <w:i/>
                                        <w:sz w:val="18"/>
                                      </w:rPr>
                                    </m:ctrlPr>
                                  </m:sSubPr>
                                  <m:e>
                                    <m:r>
                                      <w:rPr>
                                        <w:rFonts w:ascii="Cambria Math" w:hAnsi="Cambria Math"/>
                                        <w:sz w:val="18"/>
                                      </w:rPr>
                                      <m:t>P</m:t>
                                    </m:r>
                                  </m:e>
                                  <m:sub>
                                    <m:r>
                                      <w:rPr>
                                        <w:rFonts w:ascii="Cambria Math" w:hAnsi="Cambria Math"/>
                                        <w:sz w:val="18"/>
                                      </w:rPr>
                                      <m:t>L</m:t>
                                    </m:r>
                                  </m:sub>
                                </m:sSub>
                                <m:r>
                                  <w:rPr>
                                    <w:rFonts w:ascii="Cambria Math" w:hAnsi="Cambria Math"/>
                                    <w:sz w:val="18"/>
                                  </w:rPr>
                                  <m:t>+</m:t>
                                </m:r>
                                <m:sSub>
                                  <m:sSubPr>
                                    <m:ctrlPr>
                                      <w:rPr>
                                        <w:rFonts w:ascii="Cambria Math" w:hAnsi="Cambria Math"/>
                                        <w:i/>
                                        <w:sz w:val="18"/>
                                      </w:rPr>
                                    </m:ctrlPr>
                                  </m:sSubPr>
                                  <m:e>
                                    <m:r>
                                      <w:rPr>
                                        <w:rFonts w:ascii="Cambria Math" w:hAnsi="Cambria Math"/>
                                        <w:sz w:val="18"/>
                                      </w:rPr>
                                      <m:t>P</m:t>
                                    </m:r>
                                  </m:e>
                                  <m:sub>
                                    <m:r>
                                      <w:rPr>
                                        <w:rFonts w:ascii="Cambria Math" w:hAnsi="Cambria Math"/>
                                        <w:sz w:val="18"/>
                                      </w:rPr>
                                      <m:t>b</m:t>
                                    </m:r>
                                  </m:sub>
                                </m:sSub>
                                <m:r>
                                  <w:rPr>
                                    <w:rFonts w:ascii="Cambria Math" w:hAnsi="Cambria Math"/>
                                    <w:sz w:val="18"/>
                                  </w:rPr>
                                  <m:t>+Q+F</m:t>
                                </m:r>
                              </m:oMath>
                            </m:oMathPara>
                          </w:p>
                        </w:txbxContent>
                      </v:textbox>
                    </v:shape>
                    <v:rect id="Rectangle 511" o:spid="_x0000_s3117" style="position:absolute;left:8101;top:9755;width:1420;height:3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" filled="f"/>
                  </v:group>
                  <v:shape id="テキスト ボックス 12610" o:spid="_x0000_s3087" type="#_x0000_t202" style="position:absolute;left:4429;top:5625;width:450;height:504;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" o:allowincell="f" filled="f" stroked="f">
                    <v:textbox style="mso-fit-shape-to-text:t">
                      <w:txbxContent>
                        <w:p w14:paraId="155A9E81" w14:textId="77777777" w:rsidR="003B0864" w:rsidRPr="00FF5D54" w:rsidRDefault="003B0864" w:rsidP="00AF6621">
                          <w:pPr>
                            <w:rPr>
                              <w:rFonts w:ascii="ＭＳ ゴシック" w:eastAsia="ＭＳ ゴシック"/>
                              <w:b/>
                              <w:sz w:val="16"/>
                              <w:szCs w:val="16"/>
                            </w:rPr>
                          </w:pPr>
                          <w:r w:rsidRPr="00FF5D54">
                            <w:rPr>
                              <w:rFonts w:ascii="ＭＳ ゴシック" w:eastAsia="ＭＳ ゴシック" w:hint="eastAsia"/>
                              <w:b/>
                              <w:sz w:val="16"/>
                              <w:szCs w:val="16"/>
                            </w:rPr>
                            <w:t>e)</w:t>
                          </w:r>
                        </w:p>
                      </w:txbxContent>
                    </v:textbox>
                  </v:shape>
                  <v:shape id="テキスト ボックス 12611" o:spid="_x0000_s3086" type="#_x0000_t202" style="position:absolute;left:5842;top:6639;width:450;height:504;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" o:allowincell="f" filled="f" stroked="f">
                    <v:textbox style="mso-fit-shape-to-text:t">
                      <w:txbxContent>
                        <w:p w14:paraId="4550FEEA" w14:textId="77777777" w:rsidR="003B0864" w:rsidRPr="00FF5D54" w:rsidRDefault="003B0864" w:rsidP="00AF6621">
                          <w:pPr>
                            <w:rPr>
                              <w:rFonts w:ascii="ＭＳ ゴシック" w:eastAsia="ＭＳ ゴシック"/>
                              <w:b/>
                              <w:sz w:val="16"/>
                              <w:szCs w:val="16"/>
                            </w:rPr>
                          </w:pPr>
                          <w:r w:rsidRPr="00FF5D54">
                            <w:rPr>
                              <w:rFonts w:ascii="ＭＳ ゴシック" w:eastAsia="ＭＳ ゴシック" w:hint="eastAsia"/>
                              <w:b/>
                              <w:sz w:val="16"/>
                              <w:szCs w:val="16"/>
                            </w:rPr>
                            <w:t>e)</w:t>
                          </w:r>
                        </w:p>
                      </w:txbxContent>
                    </v:textbox>
                  </v:shape>
                  <v:shape id="直線矢印コネクタ 12591" o:spid="_x0000_s3302" type="#_x0000_t32" style="position:absolute;left:3242;top:6400;width:0;height:375;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" o:allowincell="f"/>
                  <v:shape id="直線矢印コネクタ 12592" o:spid="_x0000_s3303" type="#_x0000_t32" style="position:absolute;left:3238;top:6775;width:1523;height: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" o:allowincell="f">
                    <v:stroke endarrow="classic"/>
                  </v:shape>
                  <v:line id="直線コネクタ 12587" o:spid="_x0000_s3298" style="position:absolute;visibility:visible;mso-position-horizontal-relative:text;mso-position-vertical-relative:text" from="3413,5231" to="3413,5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" o:allowincell="f" strokeweight=".5pt">
                    <v:stroke dashstyle="dash" endarrow="classic"/>
                  </v:line>
                  <v:group id="グループ化 12577" o:spid="_x0000_s3097" style="position:absolute;left:7984;top:7030;width:720;height:600" coordorigin="8005,7423" coordsize="72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">
                    <v:oval id="Oval 518" o:spid="_x0000_s3098" style="position:absolute;left:8080;top:7423;width:600;height: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"/>
                    <v:shape id="Text Box 519" o:spid="_x0000_s3099" type="#_x0000_t202" style="position:absolute;left:8005;top:7476;width:720;height:5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" filled="f" stroked="f">
                      <v:textbox>
                        <w:txbxContent>
                          <w:p w14:paraId="50E7D817" w14:textId="77777777" w:rsidR="003B0864" w:rsidRPr="00924175" w:rsidRDefault="003B0864" w:rsidP="00AF6621">
                            <w:pPr>
                              <w:jc w:val="center"/>
                              <w:rPr>
                                <w:rFonts w:ascii="Cambria Math" w:hAnsi="Cambria Math"/>
                                <w:sz w:val="18"/>
                                <w:oMath/>
                              </w:rPr>
                            </w:pPr>
                            <m:oMathPara>
                              <m:oMath>
                                <m:r>
                                  <w:rPr>
                                    <w:rFonts w:ascii="Cambria Math" w:hAnsi="Cambria Math"/>
                                    <w:sz w:val="18"/>
                                  </w:rPr>
                                  <m:t>2</m:t>
                                </m:r>
                                <m:sSub>
                                  <m:sSubPr>
                                    <m:ctrlPr>
                                      <w:rPr>
                                        <w:rFonts w:ascii="Cambria Math" w:hAnsi="Cambria Math"/>
                                        <w:i/>
                                        <w:sz w:val="18"/>
                                      </w:rPr>
                                    </m:ctrlPr>
                                  </m:sSubPr>
                                  <m:e>
                                    <m:r>
                                      <w:rPr>
                                        <w:rFonts w:ascii="Cambria Math" w:hAnsi="Cambria Math"/>
                                        <w:sz w:val="18"/>
                                      </w:rPr>
                                      <m:t>S</m:t>
                                    </m:r>
                                  </m:e>
                                  <m:sub>
                                    <m:r>
                                      <w:rPr>
                                        <w:rFonts w:ascii="Cambria Math" w:hAnsi="Cambria Math"/>
                                        <w:sz w:val="18"/>
                                      </w:rPr>
                                      <m:t>y</m:t>
                                    </m:r>
                                  </m:sub>
                                </m:sSub>
                              </m:oMath>
                            </m:oMathPara>
                          </w:p>
                        </w:txbxContent>
                      </v:textbox>
                    </v:shape>
                  </v:group>
                  <v:shape id="テキスト ボックス 12613" o:spid="_x0000_s3084" type="#_x0000_t202" style="position:absolute;left:8828;top:8152;width:450;height:504;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" o:allowincell="f" filled="f" stroked="f">
                    <v:textbox style="mso-fit-shape-to-text:t">
                      <w:txbxContent>
                        <w:p w14:paraId="37381C43" w14:textId="77777777" w:rsidR="003B0864" w:rsidRPr="00FF5D54" w:rsidRDefault="003B0864" w:rsidP="00AF6621">
                          <w:pPr>
                            <w:jc w:val="center"/>
                            <w:rPr>
                              <w:rFonts w:ascii="ＭＳ ゴシック" w:eastAsia="ＭＳ ゴシック"/>
                              <w:b/>
                              <w:sz w:val="16"/>
                              <w:szCs w:val="16"/>
                            </w:rPr>
                          </w:pPr>
                          <w:r w:rsidRPr="00FF5D54">
                            <w:rPr>
                              <w:rFonts w:ascii="ＭＳ ゴシック" w:eastAsia="ＭＳ ゴシック" w:hint="eastAsia"/>
                              <w:b/>
                              <w:sz w:val="16"/>
                              <w:szCs w:val="16"/>
                            </w:rPr>
                            <w:t>a)</w:t>
                          </w:r>
                        </w:p>
                      </w:txbxContent>
                    </v:textbox>
                  </v:shape>
                </v:group>
              </w:pict>
            </w:r>
          </w:p>
          <w:p w14:paraId="1F4E6C73" w14:textId="77777777" w:rsidR="00AF6621" w:rsidRPr="00BC31E0" w:rsidRDefault="00AF6621" w:rsidP="00AF6621">
            <w:pPr>
              <w:rPr>
                <w:rFonts w:cstheme="minorBidi"/>
                <w:sz w:val="18"/>
                <w:szCs w:val="18"/>
              </w:rPr>
            </w:pPr>
          </w:p>
          <w:p w14:paraId="1EA337B2" w14:textId="77777777" w:rsidR="00AF6621" w:rsidRPr="00BC31E0" w:rsidRDefault="00AF6621" w:rsidP="00AF6621">
            <w:pPr>
              <w:rPr>
                <w:rFonts w:cstheme="minorBidi"/>
                <w:sz w:val="18"/>
                <w:szCs w:val="18"/>
              </w:rPr>
            </w:pPr>
          </w:p>
          <w:p w14:paraId="769C58D0" w14:textId="77777777" w:rsidR="00AF6621" w:rsidRPr="00BC31E0" w:rsidRDefault="00AF6621" w:rsidP="00AF6621">
            <w:pPr>
              <w:rPr>
                <w:rFonts w:cstheme="minorBidi"/>
                <w:sz w:val="18"/>
                <w:szCs w:val="18"/>
              </w:rPr>
            </w:pPr>
          </w:p>
          <w:p w14:paraId="670829C2" w14:textId="77777777" w:rsidR="00AF6621" w:rsidRPr="00BC31E0" w:rsidRDefault="00AF6621" w:rsidP="00AF6621">
            <w:pPr>
              <w:rPr>
                <w:rFonts w:cstheme="minorBidi"/>
                <w:sz w:val="18"/>
                <w:szCs w:val="18"/>
              </w:rPr>
            </w:pPr>
          </w:p>
          <w:p w14:paraId="3F36DD9B" w14:textId="77777777" w:rsidR="00AF6621" w:rsidRPr="00BC31E0" w:rsidRDefault="00AF6621" w:rsidP="00AF6621">
            <w:pPr>
              <w:rPr>
                <w:rFonts w:cstheme="minorBidi"/>
                <w:sz w:val="18"/>
                <w:szCs w:val="18"/>
              </w:rPr>
            </w:pPr>
          </w:p>
          <w:p w14:paraId="36E04CE4" w14:textId="77777777" w:rsidR="00AF6621" w:rsidRPr="00BC31E0" w:rsidRDefault="00AF6621" w:rsidP="00AF6621">
            <w:pPr>
              <w:rPr>
                <w:rFonts w:cstheme="minorBidi"/>
                <w:sz w:val="18"/>
                <w:szCs w:val="18"/>
              </w:rPr>
            </w:pPr>
          </w:p>
          <w:p w14:paraId="55F2888A" w14:textId="77777777" w:rsidR="00AF6621" w:rsidRPr="00BC31E0" w:rsidRDefault="00AF6621" w:rsidP="00AF6621">
            <w:pPr>
              <w:rPr>
                <w:rFonts w:cstheme="minorBidi"/>
                <w:sz w:val="18"/>
                <w:szCs w:val="18"/>
              </w:rPr>
            </w:pPr>
          </w:p>
          <w:p w14:paraId="546CFB6F" w14:textId="77777777" w:rsidR="00AF6621" w:rsidRPr="00BC31E0" w:rsidRDefault="00AF6621" w:rsidP="00AF6621">
            <w:pPr>
              <w:rPr>
                <w:rFonts w:cstheme="minorBidi"/>
                <w:sz w:val="18"/>
                <w:szCs w:val="18"/>
              </w:rPr>
            </w:pPr>
          </w:p>
          <w:p w14:paraId="73F6C157" w14:textId="77777777" w:rsidR="00AF6621" w:rsidRPr="00BC31E0" w:rsidRDefault="00A51873" w:rsidP="00AF6621">
            <w:pPr>
              <w:rPr>
                <w:rFonts w:asciiTheme="minorEastAsia" w:eastAsiaTheme="minorEastAsia" w:hAnsiTheme="minorEastAsia" w:cstheme="minorBidi"/>
                <w:sz w:val="18"/>
                <w:szCs w:val="18"/>
              </w:rPr>
            </w:pPr>
            <w:r>
              <w:rPr>
                <w:rFonts w:eastAsia="ＭＳ Ｐ明朝" w:cstheme="minorBidi"/>
                <w:noProof/>
                <w:sz w:val="18"/>
                <w:szCs w:val="18"/>
              </w:rPr>
              <w:pict w14:anchorId="3862314C">
                <v:line id="直線コネクタ 12554" o:spid="_x0000_s3295" style="position:absolute;left:0;text-align:left;z-index:251743744;visibility:visible" from="4.3pt,8.95pt" to="32.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"/>
              </w:pict>
            </w:r>
            <w:r w:rsidR="00AF6621" w:rsidRPr="00BC31E0">
              <w:rPr>
                <w:rFonts w:cstheme="minorBidi" w:hint="eastAsia"/>
                <w:sz w:val="18"/>
                <w:szCs w:val="18"/>
              </w:rPr>
              <w:t xml:space="preserve">　　　　</w:t>
            </w:r>
            <w:r w:rsidR="00AF6621" w:rsidRPr="00BC31E0">
              <w:rPr>
                <w:rFonts w:cstheme="minorBidi" w:hint="eastAsia"/>
                <w:sz w:val="18"/>
                <w:szCs w:val="18"/>
              </w:rPr>
              <w:t xml:space="preserve"> </w:t>
            </w:r>
            <w:r w:rsidR="00AF6621" w:rsidRPr="00BC31E0">
              <w:rPr>
                <w:rFonts w:asciiTheme="minorEastAsia" w:eastAsiaTheme="minorEastAsia" w:hAnsiTheme="minorEastAsia" w:cstheme="minorBidi" w:hint="eastAsia"/>
                <w:sz w:val="18"/>
                <w:szCs w:val="18"/>
              </w:rPr>
              <w:t>設計荷重を使用</w:t>
            </w:r>
          </w:p>
          <w:p w14:paraId="5C6415A6" w14:textId="77777777" w:rsidR="00AF6621" w:rsidRPr="00BC31E0" w:rsidRDefault="00A51873" w:rsidP="00AF6621">
            <w:pPr>
              <w:rPr>
                <w:rFonts w:asciiTheme="minorEastAsia" w:eastAsiaTheme="minorEastAsia" w:hAnsiTheme="minorEastAsia" w:cstheme="minorBidi"/>
                <w:sz w:val="18"/>
                <w:szCs w:val="18"/>
              </w:rPr>
            </w:pPr>
            <w:r>
              <w:rPr>
                <w:rFonts w:eastAsia="ＭＳ Ｐ明朝" w:cstheme="minorBidi"/>
                <w:noProof/>
                <w:sz w:val="18"/>
                <w:szCs w:val="18"/>
              </w:rPr>
              <w:pict w14:anchorId="2A0A04E8">
                <v:line id="直線コネクタ 12553" o:spid="_x0000_s3294" style="position:absolute;left:0;text-align:left;z-index:251744768;visibility:visible" from="5.3pt,9.05pt" to="33.6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" strokeweight=".5pt">
                  <v:stroke dashstyle="dash"/>
                </v:line>
              </w:pict>
            </w:r>
            <w:r w:rsidR="00AF6621" w:rsidRPr="00BC31E0">
              <w:rPr>
                <w:rFonts w:cstheme="minorBidi" w:hint="eastAsia"/>
                <w:sz w:val="18"/>
                <w:szCs w:val="18"/>
              </w:rPr>
              <w:t xml:space="preserve">　　　　</w:t>
            </w:r>
            <w:r w:rsidR="00AF6621" w:rsidRPr="00BC31E0">
              <w:rPr>
                <w:rFonts w:cstheme="minorBidi" w:hint="eastAsia"/>
                <w:sz w:val="18"/>
                <w:szCs w:val="18"/>
              </w:rPr>
              <w:t xml:space="preserve"> </w:t>
            </w:r>
            <w:r w:rsidR="00AF6621" w:rsidRPr="00BC31E0">
              <w:rPr>
                <w:rFonts w:asciiTheme="minorEastAsia" w:eastAsiaTheme="minorEastAsia" w:hAnsiTheme="minorEastAsia" w:cstheme="minorBidi" w:hint="eastAsia"/>
                <w:sz w:val="18"/>
                <w:szCs w:val="18"/>
              </w:rPr>
              <w:t>運転荷重を使用</w:t>
            </w:r>
          </w:p>
        </w:tc>
      </w:tr>
      <w:tr w:rsidR="00AF6621" w:rsidRPr="00BC31E0" w14:paraId="63C29EC0" w14:textId="77777777" w:rsidTr="00E24FD2">
        <w:trPr>
          <w:cantSplit/>
          <w:trHeight w:val="143"/>
          <w:jc w:val="center"/>
        </w:trPr>
        <w:tc>
          <w:tcPr>
            <w:tcW w:w="8808" w:type="dxa"/>
            <w:gridSpan w:val="6"/>
            <w:tcBorders>
              <w:left w:val="nil"/>
              <w:bottom w:val="nil"/>
              <w:right w:val="nil"/>
            </w:tcBorders>
          </w:tcPr>
          <w:p w14:paraId="2B97DF2F" w14:textId="77777777" w:rsidR="00AF6621" w:rsidRPr="00BC31E0" w:rsidRDefault="00AF6621" w:rsidP="007639EA">
            <w:pPr>
              <w:snapToGrid w:val="0"/>
              <w:spacing w:before="120" w:line="300" w:lineRule="exact"/>
              <w:ind w:left="567" w:hanging="567"/>
              <w:jc w:val="left"/>
              <w:rPr>
                <w:rFonts w:asciiTheme="minorHAnsi" w:eastAsiaTheme="minorEastAsia" w:hAnsiTheme="minorHAnsi" w:cstheme="minorBidi"/>
                <w:sz w:val="18"/>
                <w:szCs w:val="18"/>
              </w:rPr>
            </w:pPr>
            <w:r w:rsidRPr="00BC31E0">
              <w:rPr>
                <w:rFonts w:asciiTheme="majorEastAsia" w:eastAsiaTheme="majorEastAsia" w:hAnsiTheme="majorEastAsia" w:cstheme="minorBidi"/>
                <w:b/>
                <w:sz w:val="18"/>
                <w:szCs w:val="18"/>
              </w:rPr>
              <w:t>注記</w:t>
            </w:r>
            <w:r w:rsidRPr="00BC31E0">
              <w:rPr>
                <w:rFonts w:asciiTheme="minorHAnsi" w:eastAsiaTheme="minorEastAsia" w:hAnsiTheme="minorEastAsia" w:cstheme="minorBidi"/>
                <w:sz w:val="18"/>
                <w:szCs w:val="18"/>
              </w:rPr>
              <w:t xml:space="preserve">　応力制限</w:t>
            </w:r>
            <w:r w:rsidRPr="00BC31E0">
              <w:rPr>
                <w:rFonts w:asciiTheme="minorHAnsi" w:eastAsiaTheme="minorEastAsia" w:hAnsiTheme="minorEastAsia" w:cstheme="minorBidi" w:hint="eastAsia"/>
                <w:sz w:val="18"/>
                <w:szCs w:val="18"/>
              </w:rPr>
              <w:t>で</w:t>
            </w:r>
            <w:r w:rsidRPr="00BC31E0">
              <w:rPr>
                <w:rFonts w:asciiTheme="minorHAnsi" w:eastAsiaTheme="minorEastAsia" w:hAnsiTheme="minorEastAsia" w:cstheme="minorBidi"/>
                <w:sz w:val="18"/>
                <w:szCs w:val="18"/>
              </w:rPr>
              <w:t>は</w:t>
            </w:r>
            <w:r w:rsidRPr="00BC31E0">
              <w:rPr>
                <w:rFonts w:asciiTheme="minorHAnsi" w:eastAsiaTheme="minorEastAsia" w:hAnsiTheme="minorEastAsia" w:cstheme="minorBidi" w:hint="eastAsia"/>
                <w:sz w:val="18"/>
                <w:szCs w:val="18"/>
              </w:rPr>
              <w:t>，</w:t>
            </w:r>
            <w:r w:rsidRPr="00BC31E0">
              <w:rPr>
                <w:rFonts w:asciiTheme="minorHAnsi" w:eastAsiaTheme="minorEastAsia" w:hAnsiTheme="minorEastAsia" w:cstheme="minorBidi"/>
                <w:sz w:val="18"/>
                <w:szCs w:val="18"/>
              </w:rPr>
              <w:t>弾性解析による最大応力が降伏強さ</w:t>
            </w:r>
            <m:oMath>
              <m:sSub>
                <m:sSubPr>
                  <m:ctrlPr>
                    <w:rPr>
                      <w:rFonts w:ascii="Cambria Math" w:eastAsiaTheme="minorEastAsia" w:hAnsi="Cambria Math" w:cstheme="minorBidi"/>
                      <w:i/>
                      <w:sz w:val="18"/>
                      <w:szCs w:val="18"/>
                    </w:rPr>
                  </m:ctrlPr>
                </m:sSubPr>
                <m:e>
                  <m:r>
                    <w:rPr>
                      <w:rFonts w:ascii="Cambria Math" w:eastAsiaTheme="minorEastAsia" w:hAnsi="Cambria Math" w:cstheme="minorBidi" w:hint="eastAsia"/>
                      <w:sz w:val="18"/>
                      <w:szCs w:val="18"/>
                    </w:rPr>
                    <m:t xml:space="preserve"> S</m:t>
                  </m:r>
                </m:e>
                <m:sub>
                  <m:r>
                    <w:rPr>
                      <w:rFonts w:ascii="Cambria Math" w:eastAsiaTheme="minorEastAsia" w:hAnsi="Cambria Math" w:cstheme="minorBidi" w:hint="eastAsia"/>
                      <w:sz w:val="18"/>
                      <w:szCs w:val="18"/>
                    </w:rPr>
                    <m:t xml:space="preserve">y </m:t>
                  </m:r>
                </m:sub>
              </m:sSub>
            </m:oMath>
            <w:r w:rsidRPr="00BC31E0">
              <w:rPr>
                <w:rFonts w:asciiTheme="minorHAnsi" w:eastAsiaTheme="minorEastAsia" w:hAnsiTheme="minorEastAsia" w:cstheme="minorBidi"/>
                <w:sz w:val="18"/>
                <w:szCs w:val="18"/>
              </w:rPr>
              <w:t>を超え</w:t>
            </w:r>
            <w:r w:rsidR="005860EE" w:rsidRPr="00BC31E0">
              <w:rPr>
                <w:rFonts w:asciiTheme="minorHAnsi" w:eastAsiaTheme="minorEastAsia" w:hAnsiTheme="minorEastAsia" w:cstheme="minorBidi" w:hint="eastAsia"/>
                <w:sz w:val="18"/>
                <w:szCs w:val="18"/>
              </w:rPr>
              <w:t>てもよい</w:t>
            </w:r>
            <w:r w:rsidRPr="00BC31E0">
              <w:rPr>
                <w:rFonts w:asciiTheme="minorHAnsi" w:eastAsiaTheme="minorEastAsia" w:hAnsiTheme="minorEastAsia" w:cstheme="minorBidi"/>
                <w:sz w:val="18"/>
                <w:szCs w:val="18"/>
              </w:rPr>
              <w:t>。</w:t>
            </w:r>
            <w:r w:rsidR="00746991" w:rsidRPr="00BC31E0">
              <w:rPr>
                <w:rFonts w:asciiTheme="minorHAnsi" w:eastAsiaTheme="minorEastAsia" w:hAnsiTheme="minorHAnsi" w:cstheme="minorBidi" w:hint="eastAsia"/>
                <w:sz w:val="18"/>
                <w:szCs w:val="18"/>
              </w:rPr>
              <w:t>一</w:t>
            </w:r>
            <w:r w:rsidRPr="00BC31E0">
              <w:rPr>
                <w:rFonts w:asciiTheme="minorHAnsi" w:eastAsiaTheme="minorEastAsia" w:hAnsiTheme="minorEastAsia" w:cstheme="minorBidi"/>
                <w:sz w:val="18"/>
                <w:szCs w:val="18"/>
              </w:rPr>
              <w:t>次＋</w:t>
            </w:r>
            <w:r w:rsidR="00746991" w:rsidRPr="00BC31E0">
              <w:rPr>
                <w:rFonts w:asciiTheme="minorHAnsi" w:eastAsiaTheme="minorEastAsia" w:hAnsiTheme="minorEastAsia" w:cstheme="minorBidi" w:hint="eastAsia"/>
                <w:sz w:val="18"/>
                <w:szCs w:val="18"/>
              </w:rPr>
              <w:t>二</w:t>
            </w:r>
            <w:r w:rsidRPr="00BC31E0">
              <w:rPr>
                <w:rFonts w:asciiTheme="minorHAnsi" w:eastAsiaTheme="minorEastAsia" w:hAnsiTheme="minorEastAsia" w:cstheme="minorBidi"/>
                <w:sz w:val="18"/>
                <w:szCs w:val="18"/>
              </w:rPr>
              <w:t>次応力の</w:t>
            </w:r>
            <w:r w:rsidRPr="00BC31E0">
              <w:rPr>
                <w:rFonts w:asciiTheme="minorHAnsi" w:eastAsiaTheme="minorEastAsia" w:hAnsiTheme="minorEastAsia" w:cstheme="minorBidi" w:hint="eastAsia"/>
                <w:sz w:val="18"/>
                <w:szCs w:val="18"/>
              </w:rPr>
              <w:t>許容限界</w:t>
            </w:r>
            <m:oMath>
              <m:r>
                <w:rPr>
                  <w:rFonts w:ascii="Cambria Math" w:eastAsiaTheme="minorEastAsia" w:hAnsi="Cambria Math" w:cstheme="minorBidi"/>
                  <w:sz w:val="18"/>
                  <w:szCs w:val="18"/>
                </w:rPr>
                <m:t xml:space="preserve"> 2</m:t>
              </m:r>
              <m:sSub>
                <m:sSubPr>
                  <m:ctrlPr>
                    <w:rPr>
                      <w:rFonts w:ascii="Cambria Math" w:eastAsiaTheme="minorEastAsia" w:hAnsi="Cambria Math" w:cstheme="minorBidi"/>
                      <w:i/>
                      <w:sz w:val="18"/>
                      <w:szCs w:val="18"/>
                    </w:rPr>
                  </m:ctrlPr>
                </m:sSubPr>
                <m:e>
                  <m:r>
                    <w:rPr>
                      <w:rFonts w:ascii="Cambria Math" w:eastAsiaTheme="minorEastAsia" w:hAnsi="Cambria Math" w:cstheme="minorBidi"/>
                      <w:sz w:val="18"/>
                      <w:szCs w:val="18"/>
                    </w:rPr>
                    <m:t>S</m:t>
                  </m:r>
                </m:e>
                <m:sub>
                  <m:r>
                    <w:rPr>
                      <w:rFonts w:ascii="Cambria Math" w:eastAsiaTheme="minorEastAsia" w:hAnsi="Cambria Math" w:cstheme="minorBidi"/>
                      <w:sz w:val="18"/>
                      <w:szCs w:val="18"/>
                    </w:rPr>
                    <m:t>y</m:t>
                  </m:r>
                </m:sub>
              </m:sSub>
              <m:r>
                <w:rPr>
                  <w:rFonts w:ascii="Cambria Math" w:eastAsiaTheme="minorEastAsia" w:hAnsi="Cambria Math" w:cstheme="minorBidi"/>
                  <w:sz w:val="18"/>
                  <w:szCs w:val="18"/>
                </w:rPr>
                <m:t xml:space="preserve"> </m:t>
              </m:r>
            </m:oMath>
            <w:r w:rsidRPr="00BC31E0">
              <w:rPr>
                <w:rFonts w:asciiTheme="minorHAnsi" w:eastAsiaTheme="minorEastAsia" w:hAnsiTheme="minorEastAsia" w:cstheme="minorBidi"/>
                <w:sz w:val="18"/>
                <w:szCs w:val="18"/>
              </w:rPr>
              <w:t>は，局所的な構造不連続部又は局所的な熱応力</w:t>
            </w:r>
            <w:r w:rsidRPr="00BC31E0">
              <w:rPr>
                <w:rFonts w:asciiTheme="minorHAnsi" w:eastAsiaTheme="minorEastAsia" w:hAnsiTheme="minorEastAsia" w:cstheme="minorBidi" w:hint="eastAsia"/>
                <w:sz w:val="18"/>
                <w:szCs w:val="18"/>
              </w:rPr>
              <w:t>の領域</w:t>
            </w:r>
            <w:r w:rsidRPr="00BC31E0">
              <w:rPr>
                <w:rFonts w:asciiTheme="minorHAnsi" w:eastAsiaTheme="minorEastAsia" w:hAnsiTheme="minorEastAsia" w:cstheme="minorBidi"/>
                <w:sz w:val="18"/>
                <w:szCs w:val="18"/>
              </w:rPr>
              <w:t>を除けば，数回の応力繰返し</w:t>
            </w:r>
            <w:r w:rsidRPr="00BC31E0">
              <w:rPr>
                <w:rFonts w:asciiTheme="minorHAnsi" w:eastAsiaTheme="minorEastAsia" w:hAnsiTheme="minorEastAsia" w:cstheme="minorBidi" w:hint="eastAsia"/>
                <w:sz w:val="18"/>
                <w:szCs w:val="18"/>
              </w:rPr>
              <w:t>の後に</w:t>
            </w:r>
            <w:r w:rsidRPr="00BC31E0">
              <w:rPr>
                <w:rFonts w:asciiTheme="minorHAnsi" w:eastAsiaTheme="minorEastAsia" w:hAnsiTheme="minorEastAsia" w:cstheme="minorBidi"/>
                <w:sz w:val="18"/>
                <w:szCs w:val="18"/>
              </w:rPr>
              <w:t>弾性挙動にシェークダウンすることを保証する</w:t>
            </w:r>
            <w:r w:rsidRPr="00BC31E0">
              <w:rPr>
                <w:rFonts w:asciiTheme="minorHAnsi" w:eastAsiaTheme="minorEastAsia" w:hAnsiTheme="minorEastAsia" w:cstheme="minorBidi" w:hint="eastAsia"/>
                <w:sz w:val="18"/>
                <w:szCs w:val="18"/>
              </w:rPr>
              <w:t>制限である</w:t>
            </w:r>
            <w:r w:rsidRPr="00BC31E0">
              <w:rPr>
                <w:rFonts w:asciiTheme="minorHAnsi" w:eastAsiaTheme="minorEastAsia" w:hAnsiTheme="minorEastAsia" w:cstheme="minorBidi"/>
                <w:sz w:val="18"/>
                <w:szCs w:val="18"/>
              </w:rPr>
              <w:t>。</w:t>
            </w:r>
            <w:r w:rsidRPr="00BC31E0">
              <w:rPr>
                <w:rFonts w:asciiTheme="minorHAnsi" w:eastAsiaTheme="minorEastAsia" w:hAnsiTheme="minorEastAsia" w:cstheme="minorBidi" w:hint="eastAsia"/>
                <w:sz w:val="18"/>
                <w:szCs w:val="18"/>
              </w:rPr>
              <w:t>除外する二つの</w:t>
            </w:r>
            <w:r w:rsidRPr="00BC31E0">
              <w:rPr>
                <w:rFonts w:asciiTheme="minorHAnsi" w:eastAsiaTheme="minorEastAsia" w:hAnsiTheme="minorEastAsia" w:cstheme="minorBidi"/>
                <w:sz w:val="18"/>
                <w:szCs w:val="18"/>
              </w:rPr>
              <w:t>要因は，疲労評価</w:t>
            </w:r>
            <w:r w:rsidRPr="00BC31E0">
              <w:rPr>
                <w:rFonts w:asciiTheme="minorHAnsi" w:eastAsiaTheme="minorEastAsia" w:hAnsiTheme="minorEastAsia" w:cstheme="minorBidi" w:hint="eastAsia"/>
                <w:sz w:val="18"/>
                <w:szCs w:val="18"/>
              </w:rPr>
              <w:t>で</w:t>
            </w:r>
            <w:r w:rsidRPr="00BC31E0">
              <w:rPr>
                <w:rFonts w:asciiTheme="minorHAnsi" w:eastAsiaTheme="minorEastAsia" w:hAnsiTheme="minorEastAsia" w:cstheme="minorBidi"/>
                <w:sz w:val="18"/>
                <w:szCs w:val="18"/>
              </w:rPr>
              <w:t>考慮</w:t>
            </w:r>
            <w:r w:rsidRPr="00BC31E0">
              <w:rPr>
                <w:rFonts w:asciiTheme="minorHAnsi" w:eastAsiaTheme="minorEastAsia" w:hAnsiTheme="minorEastAsia" w:cstheme="minorBidi" w:hint="eastAsia"/>
                <w:sz w:val="18"/>
                <w:szCs w:val="18"/>
              </w:rPr>
              <w:t>する</w:t>
            </w:r>
            <w:r w:rsidRPr="00BC31E0">
              <w:rPr>
                <w:rFonts w:asciiTheme="minorHAnsi" w:eastAsiaTheme="minorEastAsia" w:hAnsiTheme="minorEastAsia" w:cstheme="minorBidi"/>
                <w:sz w:val="18"/>
                <w:szCs w:val="18"/>
              </w:rPr>
              <w:t>。</w:t>
            </w:r>
          </w:p>
          <w:p w14:paraId="7C59CAFD" w14:textId="77777777" w:rsidR="00AF6621" w:rsidRPr="00BC31E0" w:rsidRDefault="00AF6621" w:rsidP="007639EA">
            <w:pPr>
              <w:snapToGrid w:val="0"/>
              <w:spacing w:line="300" w:lineRule="exact"/>
              <w:ind w:left="454" w:hanging="454"/>
              <w:jc w:val="left"/>
              <w:rPr>
                <w:rFonts w:asciiTheme="minorHAnsi" w:eastAsiaTheme="minorEastAsia" w:hAnsiTheme="minorHAnsi" w:cstheme="minorBidi"/>
                <w:sz w:val="18"/>
                <w:szCs w:val="18"/>
              </w:rPr>
            </w:pPr>
            <w:r w:rsidRPr="00BC31E0">
              <w:rPr>
                <w:rFonts w:ascii="ＭＳ ゴシック" w:eastAsia="ＭＳ ゴシック" w:cstheme="minorBidi" w:hint="eastAsia"/>
                <w:b/>
                <w:bCs/>
                <w:sz w:val="18"/>
                <w:szCs w:val="18"/>
              </w:rPr>
              <w:t>注</w:t>
            </w:r>
            <w:r w:rsidRPr="00BC31E0">
              <w:rPr>
                <w:rFonts w:ascii="ＭＳ ゴシック" w:eastAsia="ＭＳ ゴシック" w:cstheme="minorBidi" w:hint="eastAsia"/>
                <w:b/>
                <w:bCs/>
                <w:sz w:val="18"/>
                <w:szCs w:val="18"/>
                <w:vertAlign w:val="superscript"/>
              </w:rPr>
              <w:t>a)</w:t>
            </w:r>
            <w:r w:rsidRPr="00BC31E0">
              <w:rPr>
                <w:rFonts w:cstheme="minorBidi" w:hint="eastAsia"/>
                <w:sz w:val="18"/>
                <w:szCs w:val="18"/>
                <w:vertAlign w:val="superscript"/>
              </w:rPr>
              <w:t xml:space="preserve"> </w:t>
            </w:r>
            <w:r w:rsidRPr="00BC31E0">
              <w:rPr>
                <w:rFonts w:asciiTheme="minorHAnsi" w:eastAsiaTheme="minorEastAsia" w:hAnsiTheme="minorEastAsia" w:cstheme="minorBidi"/>
                <w:sz w:val="18"/>
                <w:szCs w:val="18"/>
              </w:rPr>
              <w:t>分類</w:t>
            </w:r>
            <m:oMath>
              <m:r>
                <m:rPr>
                  <m:sty m:val="p"/>
                </m:rPr>
                <w:rPr>
                  <w:rFonts w:ascii="Cambria Math" w:eastAsiaTheme="minorEastAsia" w:hAnsi="Cambria Math" w:cstheme="minorBidi"/>
                  <w:sz w:val="18"/>
                  <w:szCs w:val="18"/>
                </w:rPr>
                <m:t xml:space="preserve"> </m:t>
              </m:r>
              <m:r>
                <w:rPr>
                  <w:rFonts w:ascii="Cambria Math" w:eastAsiaTheme="minorEastAsia" w:hAnsi="Cambria Math" w:cstheme="minorBidi"/>
                  <w:sz w:val="18"/>
                  <w:szCs w:val="18"/>
                </w:rPr>
                <m:t xml:space="preserve">Q </m:t>
              </m:r>
            </m:oMath>
            <w:r w:rsidRPr="00BC31E0">
              <w:rPr>
                <w:rFonts w:asciiTheme="minorHAnsi" w:eastAsiaTheme="minorEastAsia" w:hAnsiTheme="minorEastAsia" w:cstheme="minorBidi"/>
                <w:sz w:val="18"/>
                <w:szCs w:val="18"/>
              </w:rPr>
              <w:t>の応力は，温度こう配や構造不連続などによる応力の合計から同じ位置の一次応力を除いた</w:t>
            </w:r>
            <w:r w:rsidR="00815D78" w:rsidRPr="00BC31E0">
              <w:rPr>
                <w:rFonts w:asciiTheme="minorHAnsi" w:eastAsiaTheme="minorEastAsia" w:hAnsiTheme="minorEastAsia" w:cstheme="minorBidi" w:hint="eastAsia"/>
                <w:sz w:val="18"/>
                <w:szCs w:val="18"/>
              </w:rPr>
              <w:t>応力</w:t>
            </w:r>
            <w:r w:rsidRPr="00BC31E0">
              <w:rPr>
                <w:rFonts w:asciiTheme="minorHAnsi" w:eastAsiaTheme="minorEastAsia" w:hAnsiTheme="minorEastAsia" w:cstheme="minorBidi"/>
                <w:sz w:val="18"/>
                <w:szCs w:val="18"/>
              </w:rPr>
              <w:t>である。しかし，詳細解析による応力は，しばしば一次＋二次応力を直接示すことがあり，その場合は，</w:t>
            </w:r>
            <m:oMath>
              <m:r>
                <w:rPr>
                  <w:rFonts w:ascii="Cambria Math" w:eastAsiaTheme="minorEastAsia" w:hAnsi="Cambria Math" w:cstheme="minorBidi"/>
                  <w:sz w:val="18"/>
                  <w:szCs w:val="18"/>
                </w:rPr>
                <m:t xml:space="preserve">Q </m:t>
              </m:r>
            </m:oMath>
            <w:r w:rsidRPr="00BC31E0">
              <w:rPr>
                <w:rFonts w:asciiTheme="minorHAnsi" w:eastAsiaTheme="minorEastAsia" w:hAnsiTheme="minorEastAsia" w:cstheme="minorBidi"/>
                <w:sz w:val="18"/>
                <w:szCs w:val="18"/>
              </w:rPr>
              <w:t>だけでなく</w:t>
            </w:r>
            <m:oMath>
              <m:sSub>
                <m:sSubPr>
                  <m:ctrlPr>
                    <w:rPr>
                      <w:rFonts w:ascii="Cambria Math" w:eastAsiaTheme="minorEastAsia" w:hAnsi="Cambria Math" w:cstheme="minorBidi"/>
                      <w:i/>
                      <w:sz w:val="18"/>
                      <w:szCs w:val="18"/>
                    </w:rPr>
                  </m:ctrlPr>
                </m:sSubPr>
                <m:e>
                  <m:r>
                    <w:rPr>
                      <w:rFonts w:ascii="Cambria Math" w:eastAsiaTheme="minorEastAsia" w:hAnsi="Cambria Math" w:cstheme="minorBidi"/>
                      <w:sz w:val="18"/>
                      <w:szCs w:val="18"/>
                    </w:rPr>
                    <m:t>P</m:t>
                  </m:r>
                </m:e>
                <m:sub>
                  <m:r>
                    <w:rPr>
                      <w:rFonts w:ascii="Cambria Math" w:eastAsiaTheme="minorEastAsia" w:hAnsi="Cambria Math" w:cstheme="minorBidi"/>
                      <w:sz w:val="18"/>
                      <w:szCs w:val="18"/>
                    </w:rPr>
                    <m:t>L</m:t>
                  </m:r>
                </m:sub>
              </m:sSub>
            </m:oMath>
            <w:r w:rsidRPr="00BC31E0">
              <w:rPr>
                <w:rFonts w:asciiTheme="minorHAnsi" w:eastAsiaTheme="minorEastAsia" w:hAnsiTheme="minorHAnsi" w:cstheme="minorBidi"/>
                <w:sz w:val="18"/>
                <w:szCs w:val="18"/>
              </w:rPr>
              <w:t>(</w:t>
            </w:r>
            <w:r w:rsidRPr="00BC31E0">
              <w:rPr>
                <w:rFonts w:asciiTheme="minorHAnsi" w:eastAsiaTheme="minorEastAsia" w:hAnsiTheme="minorEastAsia" w:cstheme="minorBidi"/>
                <w:sz w:val="18"/>
                <w:szCs w:val="18"/>
              </w:rPr>
              <w:t>又は</w:t>
            </w:r>
            <m:oMath>
              <m:sSub>
                <m:sSubPr>
                  <m:ctrlPr>
                    <w:rPr>
                      <w:rFonts w:ascii="Cambria Math" w:eastAsiaTheme="minorEastAsia" w:hAnsi="Cambria Math" w:cstheme="minorBidi"/>
                      <w:i/>
                      <w:sz w:val="18"/>
                      <w:szCs w:val="18"/>
                    </w:rPr>
                  </m:ctrlPr>
                </m:sSubPr>
                <m:e>
                  <m:r>
                    <w:rPr>
                      <w:rFonts w:ascii="Cambria Math" w:eastAsiaTheme="minorEastAsia" w:hAnsi="Cambria Math" w:cstheme="minorBidi"/>
                      <w:sz w:val="18"/>
                      <w:szCs w:val="18"/>
                    </w:rPr>
                    <m:t>P</m:t>
                  </m:r>
                </m:e>
                <m:sub>
                  <m:r>
                    <w:rPr>
                      <w:rFonts w:ascii="Cambria Math" w:eastAsiaTheme="minorEastAsia" w:hAnsi="Cambria Math" w:cstheme="minorBidi"/>
                      <w:sz w:val="18"/>
                      <w:szCs w:val="18"/>
                    </w:rPr>
                    <m:t>m</m:t>
                  </m:r>
                </m:sub>
              </m:sSub>
            </m:oMath>
            <w:r w:rsidRPr="00BC31E0">
              <w:rPr>
                <w:rFonts w:asciiTheme="minorHAnsi" w:eastAsiaTheme="minorEastAsia" w:hAnsiTheme="minorHAnsi" w:cstheme="minorBidi"/>
                <w:sz w:val="18"/>
                <w:szCs w:val="18"/>
              </w:rPr>
              <w:t>)</w:t>
            </w:r>
            <m:oMath>
              <m:r>
                <w:rPr>
                  <w:rFonts w:ascii="Cambria Math" w:eastAsiaTheme="minorEastAsia" w:hAnsi="Cambria Math"/>
                  <w:sz w:val="18"/>
                  <w:szCs w:val="18"/>
                </w:rPr>
                <m:t>+</m:t>
              </m:r>
              <m:sSub>
                <m:sSubPr>
                  <m:ctrlPr>
                    <w:rPr>
                      <w:rFonts w:ascii="Cambria Math" w:eastAsiaTheme="minorEastAsia" w:hAnsi="Cambria Math"/>
                      <w:i/>
                      <w:sz w:val="18"/>
                      <w:szCs w:val="18"/>
                    </w:rPr>
                  </m:ctrlPr>
                </m:sSubPr>
                <m:e>
                  <m:r>
                    <w:rPr>
                      <w:rFonts w:ascii="Cambria Math" w:eastAsiaTheme="minorEastAsia" w:hAnsi="Cambria Math"/>
                      <w:sz w:val="18"/>
                      <w:szCs w:val="18"/>
                    </w:rPr>
                    <m:t>P</m:t>
                  </m:r>
                </m:e>
                <m:sub>
                  <m:r>
                    <w:rPr>
                      <w:rFonts w:ascii="Cambria Math" w:eastAsiaTheme="minorEastAsia" w:hAnsi="Cambria Math"/>
                      <w:sz w:val="18"/>
                      <w:szCs w:val="18"/>
                    </w:rPr>
                    <m:t>b</m:t>
                  </m:r>
                </m:sub>
              </m:sSub>
              <m:r>
                <w:rPr>
                  <w:rFonts w:ascii="Cambria Math" w:eastAsiaTheme="minorEastAsia" w:hAnsi="Cambria Math"/>
                  <w:sz w:val="18"/>
                  <w:szCs w:val="18"/>
                </w:rPr>
                <m:t>+Q</m:t>
              </m:r>
              <m:r>
                <m:rPr>
                  <m:sty m:val="p"/>
                </m:rPr>
                <w:rPr>
                  <w:rFonts w:ascii="Cambria Math" w:eastAsiaTheme="minorEastAsia" w:hAnsi="Cambria Math" w:cstheme="minorBidi"/>
                  <w:sz w:val="18"/>
                  <w:szCs w:val="18"/>
                </w:rPr>
                <m:t xml:space="preserve"> </m:t>
              </m:r>
            </m:oMath>
            <w:r w:rsidRPr="00BC31E0">
              <w:rPr>
                <w:rFonts w:asciiTheme="minorHAnsi" w:eastAsiaTheme="minorEastAsia" w:hAnsiTheme="minorEastAsia" w:cstheme="minorBidi"/>
                <w:sz w:val="18"/>
                <w:szCs w:val="18"/>
              </w:rPr>
              <w:t>の合計応力を表す。同様に，分類</w:t>
            </w:r>
            <w:r w:rsidRPr="00BC31E0">
              <w:rPr>
                <w:rFonts w:ascii="Cambria Math" w:eastAsiaTheme="minorEastAsia" w:hAnsi="Cambria Math"/>
                <w:i/>
                <w:sz w:val="18"/>
                <w:szCs w:val="18"/>
              </w:rPr>
              <w:t>F</w:t>
            </w:r>
            <w:r w:rsidRPr="00BC31E0">
              <w:rPr>
                <w:rFonts w:asciiTheme="minorHAnsi" w:eastAsiaTheme="minorEastAsia" w:hAnsiTheme="minorEastAsia" w:cstheme="minorBidi"/>
                <w:sz w:val="18"/>
                <w:szCs w:val="18"/>
              </w:rPr>
              <w:t>の応力が応力集中による場合には，</w:t>
            </w:r>
            <m:oMath>
              <m:r>
                <w:rPr>
                  <w:rFonts w:ascii="Cambria Math" w:eastAsiaTheme="minorEastAsia" w:hAnsi="Cambria Math" w:cstheme="minorBidi"/>
                  <w:sz w:val="18"/>
                  <w:szCs w:val="18"/>
                </w:rPr>
                <m:t xml:space="preserve">F </m:t>
              </m:r>
            </m:oMath>
            <w:r w:rsidRPr="00BC31E0">
              <w:rPr>
                <w:rFonts w:asciiTheme="minorHAnsi" w:eastAsiaTheme="minorEastAsia" w:hAnsiTheme="minorEastAsia" w:cstheme="minorBidi"/>
                <w:sz w:val="18"/>
                <w:szCs w:val="18"/>
              </w:rPr>
              <w:t>は公称応力</w:t>
            </w:r>
            <w:r w:rsidR="00FE4699" w:rsidRPr="00BC31E0">
              <w:rPr>
                <w:rFonts w:asciiTheme="minorHAnsi" w:eastAsiaTheme="minorEastAsia" w:hAnsiTheme="minorEastAsia" w:cstheme="minorBidi" w:hint="eastAsia"/>
                <w:sz w:val="18"/>
                <w:szCs w:val="18"/>
              </w:rPr>
              <w:t>を超え</w:t>
            </w:r>
            <w:r w:rsidR="00746991" w:rsidRPr="00BC31E0">
              <w:rPr>
                <w:rFonts w:asciiTheme="minorHAnsi" w:eastAsiaTheme="minorEastAsia" w:hAnsiTheme="minorEastAsia" w:cstheme="minorBidi" w:hint="eastAsia"/>
                <w:sz w:val="18"/>
                <w:szCs w:val="18"/>
              </w:rPr>
              <w:t>る</w:t>
            </w:r>
            <w:r w:rsidRPr="00BC31E0">
              <w:rPr>
                <w:rFonts w:asciiTheme="minorHAnsi" w:eastAsiaTheme="minorEastAsia" w:hAnsiTheme="minorEastAsia" w:cstheme="minorBidi"/>
                <w:sz w:val="18"/>
                <w:szCs w:val="18"/>
              </w:rPr>
              <w:t>付加応力を示す。例えば，</w:t>
            </w:r>
            <w:r w:rsidR="00746991" w:rsidRPr="00BC31E0">
              <w:rPr>
                <w:rFonts w:asciiTheme="minorHAnsi" w:eastAsiaTheme="minorEastAsia" w:hAnsiTheme="minorEastAsia" w:cstheme="minorBidi" w:hint="eastAsia"/>
                <w:sz w:val="18"/>
                <w:szCs w:val="18"/>
              </w:rPr>
              <w:t>評価位置の</w:t>
            </w:r>
            <w:r w:rsidR="001C7D7C" w:rsidRPr="00BC31E0">
              <w:rPr>
                <w:rFonts w:asciiTheme="minorHAnsi" w:eastAsiaTheme="minorEastAsia" w:hAnsiTheme="minorEastAsia" w:cstheme="minorBidi" w:hint="eastAsia"/>
                <w:sz w:val="18"/>
                <w:szCs w:val="18"/>
              </w:rPr>
              <w:t>公称</w:t>
            </w:r>
            <w:r w:rsidRPr="00BC31E0">
              <w:rPr>
                <w:rFonts w:asciiTheme="minorHAnsi" w:eastAsiaTheme="minorEastAsia" w:hAnsiTheme="minorEastAsia" w:cstheme="minorBidi"/>
                <w:sz w:val="18"/>
                <w:szCs w:val="18"/>
              </w:rPr>
              <w:t>応力</w:t>
            </w:r>
            <w:r w:rsidR="00746991" w:rsidRPr="00BC31E0">
              <w:rPr>
                <w:rFonts w:asciiTheme="minorHAnsi" w:eastAsiaTheme="minorEastAsia" w:hAnsiTheme="minorEastAsia" w:cstheme="minorBidi" w:hint="eastAsia"/>
                <w:sz w:val="18"/>
                <w:szCs w:val="18"/>
              </w:rPr>
              <w:t>が</w:t>
            </w:r>
            <m:oMath>
              <m:r>
                <m:rPr>
                  <m:sty m:val="p"/>
                </m:rPr>
                <w:rPr>
                  <w:rFonts w:ascii="Cambria Math" w:eastAsiaTheme="minorEastAsia" w:hAnsi="Cambria Math" w:cstheme="minorBidi" w:hint="eastAsia"/>
                  <w:sz w:val="18"/>
                  <w:szCs w:val="18"/>
                </w:rPr>
                <m:t xml:space="preserve"> </m:t>
              </m:r>
              <m:r>
                <w:rPr>
                  <w:rFonts w:ascii="Cambria Math" w:eastAsiaTheme="minorEastAsia" w:hAnsi="Cambria Math" w:cstheme="minorBidi"/>
                  <w:sz w:val="18"/>
                  <w:szCs w:val="18"/>
                </w:rPr>
                <m:t>S</m:t>
              </m:r>
              <m:r>
                <w:rPr>
                  <w:rFonts w:ascii="Cambria Math" w:eastAsiaTheme="minorEastAsia" w:hAnsi="Cambria Math" w:cstheme="minorBidi" w:hint="eastAsia"/>
                  <w:sz w:val="18"/>
                  <w:szCs w:val="18"/>
                </w:rPr>
                <m:t xml:space="preserve"> </m:t>
              </m:r>
              <m:r>
                <w:rPr>
                  <w:rFonts w:ascii="Cambria Math" w:eastAsiaTheme="minorEastAsia" w:hAnsi="Cambria Math" w:cstheme="minorBidi"/>
                  <w:sz w:val="18"/>
                  <w:szCs w:val="18"/>
                </w:rPr>
                <m:t xml:space="preserve"> </m:t>
              </m:r>
            </m:oMath>
            <w:r w:rsidR="00746991" w:rsidRPr="00BC31E0">
              <w:rPr>
                <w:rFonts w:asciiTheme="minorHAnsi" w:eastAsiaTheme="minorEastAsia" w:hAnsiTheme="minorEastAsia" w:cstheme="minorBidi" w:hint="eastAsia"/>
                <w:sz w:val="18"/>
                <w:szCs w:val="18"/>
              </w:rPr>
              <w:t>で</w:t>
            </w:r>
            <w:r w:rsidRPr="00BC31E0">
              <w:rPr>
                <w:rFonts w:asciiTheme="minorHAnsi" w:eastAsiaTheme="minorEastAsia" w:hAnsiTheme="minorEastAsia" w:cstheme="minorBidi"/>
                <w:sz w:val="18"/>
                <w:szCs w:val="18"/>
              </w:rPr>
              <w:t>応力集中係数</w:t>
            </w:r>
            <w:r w:rsidR="00746991" w:rsidRPr="00BC31E0">
              <w:rPr>
                <w:rFonts w:asciiTheme="minorHAnsi" w:eastAsiaTheme="minorEastAsia" w:hAnsiTheme="minorEastAsia" w:cstheme="minorBidi" w:hint="eastAsia"/>
                <w:sz w:val="18"/>
                <w:szCs w:val="18"/>
              </w:rPr>
              <w:t>が</w:t>
            </w:r>
            <m:oMath>
              <m:r>
                <w:rPr>
                  <w:rFonts w:ascii="Cambria Math" w:eastAsiaTheme="minorEastAsia" w:hAnsi="Cambria Math" w:cstheme="minorBidi"/>
                  <w:sz w:val="18"/>
                  <w:szCs w:val="18"/>
                </w:rPr>
                <m:t xml:space="preserve">K </m:t>
              </m:r>
            </m:oMath>
            <w:r w:rsidRPr="00BC31E0">
              <w:rPr>
                <w:rFonts w:asciiTheme="minorHAnsi" w:eastAsiaTheme="minorEastAsia" w:hAnsiTheme="minorEastAsia" w:cstheme="minorBidi"/>
                <w:sz w:val="18"/>
                <w:szCs w:val="18"/>
              </w:rPr>
              <w:t>である場合には，</w:t>
            </w:r>
            <m:oMath>
              <m:sSub>
                <m:sSubPr>
                  <m:ctrlPr>
                    <w:rPr>
                      <w:rFonts w:ascii="Cambria Math" w:eastAsiaTheme="minorEastAsia" w:hAnsi="Cambria Math" w:cstheme="minorBidi"/>
                      <w:i/>
                      <w:sz w:val="18"/>
                      <w:szCs w:val="18"/>
                    </w:rPr>
                  </m:ctrlPr>
                </m:sSubPr>
                <m:e>
                  <m:r>
                    <w:rPr>
                      <w:rFonts w:ascii="Cambria Math" w:eastAsiaTheme="minorEastAsia" w:hAnsi="Cambria Math" w:cstheme="minorBidi"/>
                      <w:sz w:val="18"/>
                      <w:szCs w:val="18"/>
                    </w:rPr>
                    <m:t>P</m:t>
                  </m:r>
                </m:e>
                <m:sub>
                  <m:r>
                    <w:rPr>
                      <w:rFonts w:ascii="Cambria Math" w:eastAsiaTheme="minorEastAsia" w:hAnsi="Cambria Math" w:cstheme="minorBidi"/>
                      <w:sz w:val="18"/>
                      <w:szCs w:val="18"/>
                    </w:rPr>
                    <m:t>L</m:t>
                  </m:r>
                </m:sub>
              </m:sSub>
              <m:r>
                <w:rPr>
                  <w:rFonts w:ascii="Cambria Math" w:eastAsiaTheme="minorEastAsia" w:hAnsi="Cambria Math" w:cstheme="minorBidi"/>
                  <w:sz w:val="18"/>
                  <w:szCs w:val="18"/>
                </w:rPr>
                <m:t>=S</m:t>
              </m:r>
            </m:oMath>
            <w:r w:rsidRPr="00BC31E0">
              <w:rPr>
                <w:rFonts w:asciiTheme="minorHAnsi" w:eastAsiaTheme="minorEastAsia" w:hAnsiTheme="minorEastAsia" w:cstheme="minorBidi"/>
                <w:sz w:val="18"/>
                <w:szCs w:val="18"/>
              </w:rPr>
              <w:t>，</w:t>
            </w:r>
            <m:oMath>
              <m:sSub>
                <m:sSubPr>
                  <m:ctrlPr>
                    <w:rPr>
                      <w:rFonts w:ascii="Cambria Math" w:eastAsiaTheme="minorEastAsia" w:hAnsi="Cambria Math" w:cstheme="minorBidi"/>
                      <w:i/>
                      <w:sz w:val="18"/>
                      <w:szCs w:val="18"/>
                    </w:rPr>
                  </m:ctrlPr>
                </m:sSubPr>
                <m:e>
                  <m:r>
                    <w:rPr>
                      <w:rFonts w:ascii="Cambria Math" w:eastAsiaTheme="minorEastAsia" w:hAnsi="Cambria Math" w:cstheme="minorBidi"/>
                      <w:sz w:val="18"/>
                      <w:szCs w:val="18"/>
                    </w:rPr>
                    <m:t>P</m:t>
                  </m:r>
                </m:e>
                <m:sub>
                  <m:r>
                    <w:rPr>
                      <w:rFonts w:ascii="Cambria Math" w:eastAsiaTheme="minorEastAsia" w:hAnsi="Cambria Math" w:cstheme="minorBidi"/>
                      <w:sz w:val="18"/>
                      <w:szCs w:val="18"/>
                    </w:rPr>
                    <m:t>b</m:t>
                  </m:r>
                </m:sub>
              </m:sSub>
              <m:r>
                <w:rPr>
                  <w:rFonts w:ascii="Cambria Math" w:eastAsiaTheme="minorEastAsia" w:hAnsi="Cambria Math" w:cstheme="minorBidi"/>
                  <w:sz w:val="18"/>
                  <w:szCs w:val="18"/>
                </w:rPr>
                <m:t>=0</m:t>
              </m:r>
            </m:oMath>
            <w:r w:rsidRPr="00BC31E0">
              <w:rPr>
                <w:rFonts w:asciiTheme="minorHAnsi" w:eastAsiaTheme="minorEastAsia" w:hAnsiTheme="minorEastAsia" w:cstheme="minorBidi"/>
                <w:sz w:val="18"/>
                <w:szCs w:val="18"/>
              </w:rPr>
              <w:t>，</w:t>
            </w:r>
            <m:oMath>
              <m:r>
                <w:rPr>
                  <w:rFonts w:ascii="Cambria Math" w:eastAsiaTheme="minorEastAsia" w:hAnsi="Cambria Math" w:cstheme="minorBidi"/>
                  <w:sz w:val="18"/>
                  <w:szCs w:val="18"/>
                </w:rPr>
                <m:t>Q=0</m:t>
              </m:r>
            </m:oMath>
            <w:r w:rsidRPr="00BC31E0">
              <w:rPr>
                <w:rFonts w:asciiTheme="minorHAnsi" w:eastAsiaTheme="minorEastAsia" w:hAnsiTheme="minorEastAsia" w:cstheme="minorBidi"/>
                <w:sz w:val="18"/>
                <w:szCs w:val="18"/>
              </w:rPr>
              <w:t>，</w:t>
            </w:r>
            <m:oMath>
              <m:r>
                <w:rPr>
                  <w:rFonts w:ascii="Cambria Math" w:eastAsiaTheme="minorEastAsia" w:hAnsi="Cambria Math" w:cstheme="minorBidi"/>
                  <w:sz w:val="18"/>
                  <w:szCs w:val="18"/>
                </w:rPr>
                <m:t>F=</m:t>
              </m:r>
              <m:sSub>
                <m:sSubPr>
                  <m:ctrlPr>
                    <w:rPr>
                      <w:rFonts w:ascii="Cambria Math" w:eastAsiaTheme="minorEastAsia" w:hAnsi="Cambria Math" w:cstheme="minorBidi"/>
                      <w:i/>
                      <w:sz w:val="18"/>
                      <w:szCs w:val="18"/>
                    </w:rPr>
                  </m:ctrlPr>
                </m:sSubPr>
                <m:e>
                  <m:r>
                    <w:rPr>
                      <w:rFonts w:ascii="Cambria Math" w:eastAsiaTheme="minorEastAsia" w:hAnsi="Cambria Math" w:cstheme="minorBidi"/>
                      <w:sz w:val="18"/>
                      <w:szCs w:val="18"/>
                    </w:rPr>
                    <m:t>P</m:t>
                  </m:r>
                </m:e>
                <m:sub>
                  <m:r>
                    <w:rPr>
                      <w:rFonts w:ascii="Cambria Math" w:eastAsiaTheme="minorEastAsia" w:hAnsi="Cambria Math" w:cstheme="minorBidi"/>
                      <w:sz w:val="18"/>
                      <w:szCs w:val="18"/>
                    </w:rPr>
                    <m:t>L</m:t>
                  </m:r>
                </m:sub>
              </m:sSub>
              <m:d>
                <m:dPr>
                  <m:ctrlPr>
                    <w:rPr>
                      <w:rFonts w:ascii="Cambria Math" w:eastAsiaTheme="minorEastAsia" w:hAnsi="Cambria Math" w:cstheme="minorBidi"/>
                      <w:i/>
                      <w:sz w:val="18"/>
                      <w:szCs w:val="18"/>
                    </w:rPr>
                  </m:ctrlPr>
                </m:dPr>
                <m:e>
                  <m:r>
                    <w:rPr>
                      <w:rFonts w:ascii="Cambria Math" w:eastAsiaTheme="minorEastAsia" w:hAnsi="Cambria Math" w:cstheme="minorBidi"/>
                      <w:sz w:val="18"/>
                      <w:szCs w:val="18"/>
                    </w:rPr>
                    <m:t>K-1</m:t>
                  </m:r>
                </m:e>
              </m:d>
              <m:r>
                <w:rPr>
                  <w:rFonts w:ascii="Cambria Math" w:eastAsiaTheme="minorEastAsia" w:hAnsi="Cambria Math" w:cstheme="minorBidi"/>
                  <w:sz w:val="18"/>
                  <w:szCs w:val="18"/>
                </w:rPr>
                <m:t xml:space="preserve"> </m:t>
              </m:r>
            </m:oMath>
            <w:r w:rsidRPr="00BC31E0">
              <w:rPr>
                <w:rFonts w:asciiTheme="minorHAnsi" w:eastAsiaTheme="minorEastAsia" w:hAnsiTheme="minorEastAsia" w:cstheme="minorBidi"/>
                <w:sz w:val="18"/>
                <w:szCs w:val="18"/>
              </w:rPr>
              <w:t>となり，ピーク応力は</w:t>
            </w:r>
            <m:oMath>
              <m:sSub>
                <m:sSubPr>
                  <m:ctrlPr>
                    <w:rPr>
                      <w:rFonts w:ascii="Cambria Math" w:eastAsiaTheme="minorEastAsia" w:hAnsi="Cambria Math" w:cstheme="minorBidi"/>
                      <w:i/>
                      <w:sz w:val="18"/>
                      <w:szCs w:val="18"/>
                    </w:rPr>
                  </m:ctrlPr>
                </m:sSubPr>
                <m:e>
                  <m:r>
                    <w:rPr>
                      <w:rFonts w:ascii="Cambria Math" w:eastAsiaTheme="minorEastAsia" w:hAnsi="Cambria Math" w:cstheme="minorBidi"/>
                      <w:sz w:val="18"/>
                      <w:szCs w:val="18"/>
                    </w:rPr>
                    <m:t xml:space="preserve"> </m:t>
                  </m:r>
                  <m:r>
                    <w:rPr>
                      <w:rFonts w:ascii="Cambria Math" w:eastAsiaTheme="minorEastAsia" w:hAnsi="Cambria Math" w:cstheme="minorBidi" w:hint="eastAsia"/>
                      <w:sz w:val="18"/>
                      <w:szCs w:val="18"/>
                    </w:rPr>
                    <m:t>P</m:t>
                  </m:r>
                </m:e>
                <m:sub>
                  <m:r>
                    <w:rPr>
                      <w:rFonts w:ascii="Cambria Math" w:eastAsiaTheme="minorEastAsia" w:hAnsi="Cambria Math" w:cstheme="minorBidi"/>
                      <w:sz w:val="18"/>
                      <w:szCs w:val="18"/>
                    </w:rPr>
                    <m:t>L</m:t>
                  </m:r>
                </m:sub>
              </m:sSub>
              <m:r>
                <w:rPr>
                  <w:rFonts w:ascii="Cambria Math" w:eastAsiaTheme="minorEastAsia" w:hAnsi="Cambria Math" w:cstheme="minorBidi"/>
                  <w:sz w:val="18"/>
                  <w:szCs w:val="18"/>
                </w:rPr>
                <m:t>+</m:t>
              </m:r>
              <m:sSub>
                <m:sSubPr>
                  <m:ctrlPr>
                    <w:rPr>
                      <w:rFonts w:ascii="Cambria Math" w:eastAsiaTheme="minorEastAsia" w:hAnsi="Cambria Math" w:cstheme="minorBidi"/>
                      <w:i/>
                      <w:sz w:val="18"/>
                      <w:szCs w:val="18"/>
                    </w:rPr>
                  </m:ctrlPr>
                </m:sSubPr>
                <m:e>
                  <m:r>
                    <w:rPr>
                      <w:rFonts w:ascii="Cambria Math" w:eastAsiaTheme="minorEastAsia" w:hAnsi="Cambria Math" w:cstheme="minorBidi"/>
                      <w:sz w:val="18"/>
                      <w:szCs w:val="18"/>
                    </w:rPr>
                    <m:t>P</m:t>
                  </m:r>
                </m:e>
                <m:sub>
                  <m:r>
                    <w:rPr>
                      <w:rFonts w:ascii="Cambria Math" w:eastAsiaTheme="minorEastAsia" w:hAnsi="Cambria Math" w:cstheme="minorBidi"/>
                      <w:sz w:val="18"/>
                      <w:szCs w:val="18"/>
                    </w:rPr>
                    <m:t>b</m:t>
                  </m:r>
                </m:sub>
              </m:sSub>
              <m:r>
                <w:rPr>
                  <w:rFonts w:ascii="Cambria Math" w:eastAsiaTheme="minorEastAsia" w:hAnsi="Cambria Math" w:cstheme="minorBidi"/>
                  <w:sz w:val="18"/>
                  <w:szCs w:val="18"/>
                </w:rPr>
                <m:t xml:space="preserve">+Q+F= </m:t>
              </m:r>
              <m:sSub>
                <m:sSubPr>
                  <m:ctrlPr>
                    <w:rPr>
                      <w:rFonts w:ascii="Cambria Math" w:eastAsiaTheme="minorEastAsia" w:hAnsi="Cambria Math"/>
                      <w:i/>
                      <w:sz w:val="18"/>
                      <w:szCs w:val="18"/>
                      <w:vertAlign w:val="subscript"/>
                    </w:rPr>
                  </m:ctrlPr>
                </m:sSubPr>
                <m:e>
                  <m:r>
                    <w:rPr>
                      <w:rFonts w:ascii="Cambria Math" w:eastAsiaTheme="minorEastAsia" w:hAnsi="Cambria Math"/>
                      <w:sz w:val="18"/>
                      <w:szCs w:val="18"/>
                      <w:vertAlign w:val="subscript"/>
                    </w:rPr>
                    <m:t>P</m:t>
                  </m:r>
                </m:e>
                <m:sub>
                  <m:r>
                    <w:rPr>
                      <w:rFonts w:ascii="Cambria Math" w:eastAsiaTheme="minorEastAsia" w:hAnsi="Cambria Math"/>
                      <w:sz w:val="18"/>
                      <w:szCs w:val="18"/>
                      <w:vertAlign w:val="subscript"/>
                    </w:rPr>
                    <m:t>L</m:t>
                  </m:r>
                </m:sub>
              </m:sSub>
              <m:r>
                <w:rPr>
                  <w:rFonts w:ascii="Cambria Math" w:eastAsiaTheme="minorEastAsia" w:hAnsi="Cambria Math"/>
                  <w:sz w:val="18"/>
                  <w:szCs w:val="18"/>
                  <w:vertAlign w:val="subscript"/>
                </w:rPr>
                <m:t>+</m:t>
              </m:r>
              <m:sSub>
                <m:sSubPr>
                  <m:ctrlPr>
                    <w:rPr>
                      <w:rFonts w:ascii="Cambria Math" w:eastAsiaTheme="minorEastAsia" w:hAnsi="Cambria Math"/>
                      <w:i/>
                      <w:sz w:val="18"/>
                      <w:szCs w:val="18"/>
                      <w:vertAlign w:val="subscript"/>
                    </w:rPr>
                  </m:ctrlPr>
                </m:sSubPr>
                <m:e>
                  <m:r>
                    <w:rPr>
                      <w:rFonts w:ascii="Cambria Math" w:eastAsiaTheme="minorEastAsia" w:hAnsi="Cambria Math"/>
                      <w:sz w:val="18"/>
                      <w:szCs w:val="18"/>
                      <w:vertAlign w:val="subscript"/>
                    </w:rPr>
                    <m:t>P</m:t>
                  </m:r>
                </m:e>
                <m:sub>
                  <m:r>
                    <w:rPr>
                      <w:rFonts w:ascii="Cambria Math" w:eastAsiaTheme="minorEastAsia" w:hAnsi="Cambria Math"/>
                      <w:sz w:val="18"/>
                      <w:szCs w:val="18"/>
                      <w:vertAlign w:val="subscript"/>
                    </w:rPr>
                    <m:t>L</m:t>
                  </m:r>
                </m:sub>
              </m:sSub>
              <m:d>
                <m:dPr>
                  <m:ctrlPr>
                    <w:rPr>
                      <w:rFonts w:ascii="Cambria Math" w:eastAsiaTheme="minorEastAsia" w:hAnsi="Cambria Math"/>
                      <w:i/>
                      <w:sz w:val="18"/>
                      <w:szCs w:val="18"/>
                      <w:vertAlign w:val="subscript"/>
                    </w:rPr>
                  </m:ctrlPr>
                </m:dPr>
                <m:e>
                  <m:r>
                    <w:rPr>
                      <w:rFonts w:ascii="Cambria Math" w:eastAsiaTheme="minorEastAsia" w:hAnsi="Cambria Math"/>
                      <w:sz w:val="18"/>
                      <w:szCs w:val="18"/>
                      <w:vertAlign w:val="subscript"/>
                    </w:rPr>
                    <m:t>K-1</m:t>
                  </m:r>
                </m:e>
              </m:d>
              <m:r>
                <w:rPr>
                  <w:rFonts w:ascii="Cambria Math" w:eastAsiaTheme="minorEastAsia" w:hAnsi="Cambria Math"/>
                  <w:sz w:val="18"/>
                  <w:szCs w:val="18"/>
                  <w:vertAlign w:val="subscript"/>
                </w:rPr>
                <m:t xml:space="preserve">=K </m:t>
              </m:r>
              <m:sSub>
                <m:sSubPr>
                  <m:ctrlPr>
                    <w:rPr>
                      <w:rFonts w:ascii="Cambria Math" w:eastAsiaTheme="minorEastAsia" w:hAnsi="Cambria Math"/>
                      <w:i/>
                      <w:sz w:val="18"/>
                      <w:szCs w:val="18"/>
                      <w:vertAlign w:val="subscript"/>
                    </w:rPr>
                  </m:ctrlPr>
                </m:sSubPr>
                <m:e>
                  <m:r>
                    <w:rPr>
                      <w:rFonts w:ascii="Cambria Math" w:eastAsiaTheme="minorEastAsia" w:hAnsi="Cambria Math"/>
                      <w:sz w:val="18"/>
                      <w:szCs w:val="18"/>
                      <w:vertAlign w:val="subscript"/>
                    </w:rPr>
                    <m:t>P</m:t>
                  </m:r>
                </m:e>
                <m:sub>
                  <m:r>
                    <w:rPr>
                      <w:rFonts w:ascii="Cambria Math" w:eastAsiaTheme="minorEastAsia" w:hAnsi="Cambria Math"/>
                      <w:sz w:val="18"/>
                      <w:szCs w:val="18"/>
                      <w:vertAlign w:val="subscript"/>
                    </w:rPr>
                    <m:t>L</m:t>
                  </m:r>
                </m:sub>
              </m:sSub>
              <m:r>
                <w:rPr>
                  <w:rFonts w:ascii="Cambria Math" w:eastAsiaTheme="minorEastAsia" w:hAnsi="Cambria Math"/>
                  <w:sz w:val="18"/>
                  <w:szCs w:val="18"/>
                  <w:vertAlign w:val="subscript"/>
                </w:rPr>
                <m:t xml:space="preserve">=K S </m:t>
              </m:r>
            </m:oMath>
            <w:r w:rsidRPr="00BC31E0">
              <w:rPr>
                <w:rFonts w:asciiTheme="minorHAnsi" w:eastAsiaTheme="minorEastAsia" w:hAnsiTheme="minorEastAsia" w:cstheme="minorBidi"/>
                <w:sz w:val="18"/>
                <w:szCs w:val="18"/>
              </w:rPr>
              <w:t>となる。</w:t>
            </w:r>
          </w:p>
          <w:p w14:paraId="1BCD3F9A" w14:textId="77777777" w:rsidR="00AF6621" w:rsidRPr="00BC31E0" w:rsidRDefault="00AF6621" w:rsidP="007639EA">
            <w:pPr>
              <w:snapToGrid w:val="0"/>
              <w:spacing w:line="300" w:lineRule="exact"/>
              <w:ind w:left="454" w:hanging="454"/>
              <w:jc w:val="left"/>
              <w:rPr>
                <w:rFonts w:asciiTheme="minorHAnsi" w:eastAsiaTheme="minorEastAsia" w:hAnsiTheme="minorHAnsi" w:cstheme="minorBidi"/>
                <w:sz w:val="18"/>
                <w:szCs w:val="18"/>
              </w:rPr>
            </w:pPr>
            <w:r w:rsidRPr="00BC31E0">
              <w:rPr>
                <w:rFonts w:ascii="ＭＳ ゴシック" w:eastAsia="ＭＳ ゴシック" w:cstheme="minorBidi" w:hint="eastAsia"/>
                <w:b/>
                <w:bCs/>
                <w:sz w:val="18"/>
                <w:szCs w:val="18"/>
              </w:rPr>
              <w:t>注</w:t>
            </w:r>
            <w:r w:rsidRPr="00BC31E0">
              <w:rPr>
                <w:rFonts w:ascii="ＭＳ ゴシック" w:eastAsia="ＭＳ ゴシック" w:cstheme="minorBidi" w:hint="eastAsia"/>
                <w:b/>
                <w:bCs/>
                <w:sz w:val="18"/>
                <w:szCs w:val="18"/>
                <w:vertAlign w:val="superscript"/>
              </w:rPr>
              <w:t>b)</w:t>
            </w:r>
            <w:r w:rsidRPr="00BC31E0">
              <w:rPr>
                <w:rFonts w:cstheme="minorBidi" w:hint="eastAsia"/>
                <w:sz w:val="18"/>
                <w:szCs w:val="18"/>
                <w:vertAlign w:val="superscript"/>
              </w:rPr>
              <w:t xml:space="preserve"> </w:t>
            </w:r>
            <w:r w:rsidRPr="00BC31E0">
              <w:rPr>
                <w:rFonts w:asciiTheme="minorHAnsi" w:eastAsiaTheme="minorEastAsia" w:hAnsiTheme="minorEastAsia" w:cstheme="minorBidi"/>
                <w:sz w:val="18"/>
                <w:szCs w:val="18"/>
              </w:rPr>
              <w:t>この制限は</w:t>
            </w:r>
            <w:r w:rsidRPr="00BC31E0">
              <w:rPr>
                <w:rFonts w:asciiTheme="minorHAnsi" w:eastAsiaTheme="minorEastAsia" w:hAnsiTheme="minorEastAsia" w:cstheme="minorBidi" w:hint="eastAsia"/>
                <w:sz w:val="18"/>
                <w:szCs w:val="18"/>
              </w:rPr>
              <w:t>相当</w:t>
            </w:r>
            <w:r w:rsidRPr="00BC31E0">
              <w:rPr>
                <w:rFonts w:asciiTheme="minorHAnsi" w:eastAsiaTheme="minorEastAsia" w:hAnsiTheme="minorEastAsia" w:cstheme="minorBidi"/>
                <w:sz w:val="18"/>
                <w:szCs w:val="18"/>
              </w:rPr>
              <w:t>応力の全変動範囲に適用する。許容限界として用いる</w:t>
            </w:r>
            <m:oMath>
              <m:sSub>
                <m:sSubPr>
                  <m:ctrlPr>
                    <w:rPr>
                      <w:rFonts w:ascii="Cambria Math" w:eastAsiaTheme="minorEastAsia" w:hAnsi="Cambria Math" w:cstheme="minorBidi"/>
                      <w:i/>
                      <w:sz w:val="18"/>
                      <w:szCs w:val="18"/>
                    </w:rPr>
                  </m:ctrlPr>
                </m:sSubPr>
                <m:e>
                  <m:r>
                    <w:rPr>
                      <w:rFonts w:ascii="Cambria Math" w:eastAsiaTheme="minorEastAsia" w:hAnsi="Cambria Math" w:cstheme="minorBidi"/>
                      <w:sz w:val="18"/>
                      <w:szCs w:val="18"/>
                    </w:rPr>
                    <m:t xml:space="preserve"> S</m:t>
                  </m:r>
                </m:e>
                <m:sub>
                  <m:r>
                    <w:rPr>
                      <w:rFonts w:ascii="Cambria Math" w:eastAsiaTheme="minorEastAsia" w:hAnsi="Cambria Math" w:cstheme="minorBidi"/>
                      <w:sz w:val="18"/>
                      <w:szCs w:val="18"/>
                    </w:rPr>
                    <m:t>y</m:t>
                  </m:r>
                </m:sub>
              </m:sSub>
              <m:r>
                <w:rPr>
                  <w:rFonts w:ascii="Cambria Math" w:eastAsiaTheme="minorEastAsia" w:hAnsi="Cambria Math" w:cstheme="minorBidi"/>
                  <w:sz w:val="18"/>
                  <w:szCs w:val="18"/>
                </w:rPr>
                <m:t xml:space="preserve"> </m:t>
              </m:r>
            </m:oMath>
            <w:r w:rsidRPr="00BC31E0">
              <w:rPr>
                <w:rFonts w:asciiTheme="minorHAnsi" w:eastAsiaTheme="minorEastAsia" w:hAnsiTheme="minorEastAsia" w:cstheme="minorBidi"/>
                <w:sz w:val="18"/>
                <w:szCs w:val="18"/>
              </w:rPr>
              <w:t>は二次応力が温度変動によるときは変動する金属温度の最高</w:t>
            </w:r>
            <w:r w:rsidRPr="00BC31E0">
              <w:rPr>
                <w:rFonts w:asciiTheme="minorHAnsi" w:eastAsiaTheme="minorEastAsia" w:hAnsiTheme="minorEastAsia" w:cstheme="minorBidi" w:hint="eastAsia"/>
                <w:sz w:val="18"/>
                <w:szCs w:val="18"/>
              </w:rPr>
              <w:t>と</w:t>
            </w:r>
            <w:r w:rsidRPr="00BC31E0">
              <w:rPr>
                <w:rFonts w:asciiTheme="minorHAnsi" w:eastAsiaTheme="minorEastAsia" w:hAnsiTheme="minorEastAsia" w:cstheme="minorBidi"/>
                <w:sz w:val="18"/>
                <w:szCs w:val="18"/>
              </w:rPr>
              <w:t>最低温度に</w:t>
            </w:r>
            <w:r w:rsidRPr="00BC31E0">
              <w:rPr>
                <w:rFonts w:asciiTheme="minorHAnsi" w:eastAsiaTheme="minorEastAsia" w:hAnsiTheme="minorEastAsia" w:cstheme="minorBidi" w:hint="eastAsia"/>
                <w:sz w:val="18"/>
                <w:szCs w:val="18"/>
              </w:rPr>
              <w:t>おける</w:t>
            </w:r>
            <m:oMath>
              <m:sSub>
                <m:sSubPr>
                  <m:ctrlPr>
                    <w:rPr>
                      <w:rFonts w:ascii="Cambria Math" w:eastAsiaTheme="minorEastAsia" w:hAnsi="Cambria Math" w:cstheme="minorBidi"/>
                      <w:i/>
                      <w:sz w:val="18"/>
                      <w:szCs w:val="18"/>
                    </w:rPr>
                  </m:ctrlPr>
                </m:sSubPr>
                <m:e>
                  <m:r>
                    <w:rPr>
                      <w:rFonts w:ascii="Cambria Math" w:eastAsiaTheme="minorEastAsia" w:hAnsi="Cambria Math" w:cstheme="minorBidi"/>
                      <w:sz w:val="18"/>
                      <w:szCs w:val="18"/>
                    </w:rPr>
                    <m:t xml:space="preserve"> S</m:t>
                  </m:r>
                </m:e>
                <m:sub>
                  <m:r>
                    <w:rPr>
                      <w:rFonts w:ascii="Cambria Math" w:eastAsiaTheme="minorEastAsia" w:hAnsi="Cambria Math" w:cstheme="minorBidi"/>
                      <w:sz w:val="18"/>
                      <w:szCs w:val="18"/>
                    </w:rPr>
                    <m:t>y</m:t>
                  </m:r>
                </m:sub>
              </m:sSub>
              <m:r>
                <w:rPr>
                  <w:rFonts w:ascii="Cambria Math" w:eastAsiaTheme="minorEastAsia" w:hAnsi="Cambria Math" w:cstheme="minorBidi"/>
                  <w:sz w:val="18"/>
                  <w:szCs w:val="18"/>
                </w:rPr>
                <m:t xml:space="preserve"> </m:t>
              </m:r>
            </m:oMath>
            <w:r w:rsidRPr="00BC31E0">
              <w:rPr>
                <w:rFonts w:asciiTheme="minorHAnsi" w:eastAsiaTheme="minorEastAsia" w:hAnsiTheme="minorEastAsia" w:cstheme="minorBidi"/>
                <w:sz w:val="18"/>
                <w:szCs w:val="18"/>
              </w:rPr>
              <w:t>の平均値とし，二次応力の一部又は全部が機械的な荷重によるときは変動する金属温度の最高温度に</w:t>
            </w:r>
            <w:r w:rsidRPr="00BC31E0">
              <w:rPr>
                <w:rFonts w:asciiTheme="minorHAnsi" w:eastAsiaTheme="minorEastAsia" w:hAnsiTheme="minorEastAsia" w:cstheme="minorBidi" w:hint="eastAsia"/>
                <w:sz w:val="18"/>
                <w:szCs w:val="18"/>
              </w:rPr>
              <w:t>おける</w:t>
            </w:r>
            <m:oMath>
              <m:sSub>
                <m:sSubPr>
                  <m:ctrlPr>
                    <w:rPr>
                      <w:rFonts w:ascii="Cambria Math" w:eastAsiaTheme="minorEastAsia" w:hAnsi="Cambria Math" w:cstheme="minorBidi"/>
                      <w:i/>
                      <w:sz w:val="18"/>
                      <w:szCs w:val="18"/>
                    </w:rPr>
                  </m:ctrlPr>
                </m:sSubPr>
                <m:e>
                  <m:r>
                    <w:rPr>
                      <w:rFonts w:ascii="Cambria Math" w:eastAsiaTheme="minorEastAsia" w:hAnsi="Cambria Math" w:cstheme="minorBidi"/>
                      <w:sz w:val="18"/>
                      <w:szCs w:val="18"/>
                    </w:rPr>
                    <m:t xml:space="preserve"> S</m:t>
                  </m:r>
                </m:e>
                <m:sub>
                  <m:r>
                    <w:rPr>
                      <w:rFonts w:ascii="Cambria Math" w:eastAsiaTheme="minorEastAsia" w:hAnsi="Cambria Math" w:cstheme="minorBidi"/>
                      <w:sz w:val="18"/>
                      <w:szCs w:val="18"/>
                    </w:rPr>
                    <m:t>y</m:t>
                  </m:r>
                </m:sub>
              </m:sSub>
              <m:r>
                <w:rPr>
                  <w:rFonts w:ascii="Cambria Math" w:eastAsiaTheme="minorEastAsia" w:hAnsi="Cambria Math" w:cstheme="minorBidi"/>
                  <w:sz w:val="18"/>
                  <w:szCs w:val="18"/>
                </w:rPr>
                <m:t xml:space="preserve"> </m:t>
              </m:r>
            </m:oMath>
            <w:r w:rsidRPr="00BC31E0">
              <w:rPr>
                <w:rFonts w:asciiTheme="minorHAnsi" w:eastAsiaTheme="minorEastAsia" w:hAnsiTheme="minorEastAsia" w:cstheme="minorBidi"/>
                <w:sz w:val="18"/>
                <w:szCs w:val="18"/>
              </w:rPr>
              <w:t>とする。</w:t>
            </w:r>
          </w:p>
          <w:p w14:paraId="2C0DBBCE" w14:textId="77777777" w:rsidR="00AF6621" w:rsidRPr="00BC31E0" w:rsidRDefault="00AF6621" w:rsidP="007639EA">
            <w:pPr>
              <w:snapToGrid w:val="0"/>
              <w:spacing w:line="300" w:lineRule="exact"/>
              <w:ind w:left="454" w:hanging="454"/>
              <w:jc w:val="left"/>
              <w:rPr>
                <w:rFonts w:asciiTheme="minorHAnsi" w:eastAsiaTheme="minorEastAsia" w:hAnsiTheme="minorHAnsi" w:cstheme="minorBidi"/>
                <w:sz w:val="18"/>
                <w:szCs w:val="18"/>
              </w:rPr>
            </w:pPr>
            <w:r w:rsidRPr="00BC31E0">
              <w:rPr>
                <w:rFonts w:ascii="ＭＳ ゴシック" w:eastAsia="ＭＳ ゴシック" w:cstheme="minorBidi" w:hint="eastAsia"/>
                <w:b/>
                <w:bCs/>
                <w:sz w:val="18"/>
                <w:szCs w:val="18"/>
              </w:rPr>
              <w:t>注</w:t>
            </w:r>
            <w:r w:rsidRPr="00BC31E0">
              <w:rPr>
                <w:rFonts w:ascii="ＭＳ ゴシック" w:eastAsia="ＭＳ ゴシック" w:cstheme="minorBidi" w:hint="eastAsia"/>
                <w:b/>
                <w:bCs/>
                <w:sz w:val="18"/>
                <w:szCs w:val="18"/>
                <w:vertAlign w:val="superscript"/>
              </w:rPr>
              <w:t>c)</w:t>
            </w:r>
            <w:r w:rsidRPr="00BC31E0">
              <w:rPr>
                <w:rFonts w:cstheme="minorBidi" w:hint="eastAsia"/>
                <w:sz w:val="18"/>
                <w:szCs w:val="18"/>
              </w:rPr>
              <w:t xml:space="preserve"> </w:t>
            </w:r>
            <m:oMath>
              <m:r>
                <w:rPr>
                  <w:rFonts w:ascii="Cambria Math" w:eastAsiaTheme="minorEastAsia" w:hAnsi="Cambria Math" w:cstheme="minorBidi"/>
                  <w:sz w:val="18"/>
                  <w:szCs w:val="18"/>
                </w:rPr>
                <m:t>α</m:t>
              </m:r>
              <m:r>
                <m:rPr>
                  <m:sty m:val="p"/>
                </m:rPr>
                <w:rPr>
                  <w:rFonts w:ascii="Cambria Math" w:eastAsiaTheme="minorEastAsia" w:hAnsi="Cambria Math" w:cstheme="minorBidi"/>
                  <w:sz w:val="18"/>
                  <w:szCs w:val="18"/>
                </w:rPr>
                <m:t xml:space="preserve"> </m:t>
              </m:r>
            </m:oMath>
            <w:r w:rsidRPr="00BC31E0">
              <w:rPr>
                <w:rFonts w:asciiTheme="minorHAnsi" w:eastAsiaTheme="minorEastAsia" w:hAnsiTheme="minorEastAsia" w:cstheme="minorBidi"/>
                <w:sz w:val="18"/>
                <w:szCs w:val="18"/>
              </w:rPr>
              <w:t>は形状係数で，全断面塑性となる曲げモーメントと初期降伏を生じさせる曲げモーメントの比である。矩形</w:t>
            </w:r>
            <w:r w:rsidRPr="00BC31E0">
              <w:rPr>
                <w:rFonts w:asciiTheme="minorHAnsi" w:eastAsiaTheme="minorEastAsia" w:hAnsiTheme="minorEastAsia" w:cstheme="minorBidi" w:hint="eastAsia"/>
                <w:sz w:val="18"/>
                <w:szCs w:val="18"/>
              </w:rPr>
              <w:t>断面</w:t>
            </w:r>
            <w:r w:rsidRPr="00BC31E0">
              <w:rPr>
                <w:rFonts w:asciiTheme="minorHAnsi" w:eastAsiaTheme="minorEastAsia" w:hAnsiTheme="minorEastAsia" w:cstheme="minorBidi"/>
                <w:sz w:val="18"/>
                <w:szCs w:val="18"/>
              </w:rPr>
              <w:t>では，</w:t>
            </w:r>
            <m:oMath>
              <m:r>
                <m:rPr>
                  <m:sty m:val="p"/>
                </m:rPr>
                <w:rPr>
                  <w:rFonts w:ascii="Cambria Math" w:eastAsiaTheme="minorEastAsia" w:hAnsi="Cambria Math" w:cstheme="minorBidi"/>
                  <w:sz w:val="18"/>
                  <w:szCs w:val="18"/>
                </w:rPr>
                <m:t>α=</m:t>
              </m:r>
              <m:r>
                <m:rPr>
                  <m:sty m:val="p"/>
                </m:rPr>
                <w:rPr>
                  <w:rFonts w:ascii="Cambria Math" w:eastAsiaTheme="minorEastAsia" w:hAnsi="Cambria Math" w:cstheme="minorBidi" w:hint="eastAsia"/>
                  <w:sz w:val="18"/>
                  <w:szCs w:val="18"/>
                </w:rPr>
                <m:t xml:space="preserve">1.5 </m:t>
              </m:r>
            </m:oMath>
            <w:r w:rsidRPr="00BC31E0">
              <w:rPr>
                <w:rFonts w:asciiTheme="minorHAnsi" w:eastAsiaTheme="minorEastAsia" w:hAnsiTheme="minorEastAsia" w:cstheme="minorBidi"/>
                <w:sz w:val="18"/>
                <w:szCs w:val="18"/>
              </w:rPr>
              <w:t>とする。</w:t>
            </w:r>
          </w:p>
          <w:p w14:paraId="25EAA4E8" w14:textId="77777777" w:rsidR="00AF6621" w:rsidRPr="00BC31E0" w:rsidRDefault="00AF6621" w:rsidP="007639EA">
            <w:pPr>
              <w:snapToGrid w:val="0"/>
              <w:spacing w:line="300" w:lineRule="exact"/>
              <w:ind w:left="454" w:hanging="454"/>
              <w:jc w:val="left"/>
              <w:rPr>
                <w:rFonts w:asciiTheme="minorHAnsi" w:eastAsiaTheme="minorEastAsia" w:hAnsiTheme="minorEastAsia" w:cstheme="minorBidi"/>
                <w:sz w:val="18"/>
                <w:szCs w:val="18"/>
              </w:rPr>
            </w:pPr>
            <w:r w:rsidRPr="00BC31E0">
              <w:rPr>
                <w:rFonts w:ascii="ＭＳ ゴシック" w:eastAsia="ＭＳ ゴシック" w:cstheme="minorBidi" w:hint="eastAsia"/>
                <w:b/>
                <w:bCs/>
                <w:sz w:val="18"/>
                <w:szCs w:val="18"/>
              </w:rPr>
              <w:t>注</w:t>
            </w:r>
            <w:r w:rsidRPr="00BC31E0">
              <w:rPr>
                <w:rFonts w:ascii="ＭＳ ゴシック" w:eastAsia="ＭＳ ゴシック" w:cstheme="minorBidi" w:hint="eastAsia"/>
                <w:b/>
                <w:bCs/>
                <w:sz w:val="18"/>
                <w:szCs w:val="18"/>
                <w:vertAlign w:val="superscript"/>
              </w:rPr>
              <w:t>d)</w:t>
            </w:r>
            <w:r w:rsidRPr="00BC31E0">
              <w:rPr>
                <w:rFonts w:cstheme="minorBidi" w:hint="eastAsia"/>
                <w:sz w:val="18"/>
                <w:szCs w:val="18"/>
              </w:rPr>
              <w:t xml:space="preserve"> </w:t>
            </w:r>
            <m:oMath>
              <m:sSub>
                <m:sSubPr>
                  <m:ctrlPr>
                    <w:rPr>
                      <w:rFonts w:ascii="Cambria Math" w:eastAsiaTheme="minorEastAsia" w:hAnsi="Cambria Math"/>
                      <w:i/>
                      <w:sz w:val="18"/>
                      <w:szCs w:val="18"/>
                      <w:vertAlign w:val="subscript"/>
                    </w:rPr>
                  </m:ctrlPr>
                </m:sSubPr>
                <m:e>
                  <m:r>
                    <w:rPr>
                      <w:rFonts w:ascii="Cambria Math" w:eastAsiaTheme="minorEastAsia" w:hAnsi="Cambria Math"/>
                      <w:sz w:val="18"/>
                      <w:szCs w:val="18"/>
                      <w:vertAlign w:val="subscript"/>
                    </w:rPr>
                    <m:t>S</m:t>
                  </m:r>
                </m:e>
                <m:sub>
                  <m:r>
                    <w:rPr>
                      <w:rFonts w:ascii="Cambria Math" w:eastAsiaTheme="minorEastAsia" w:hAnsi="Cambria Math"/>
                      <w:sz w:val="18"/>
                      <w:szCs w:val="18"/>
                      <w:vertAlign w:val="subscript"/>
                    </w:rPr>
                    <m:t>eq</m:t>
                  </m:r>
                </m:sub>
              </m:sSub>
              <m:r>
                <w:rPr>
                  <w:rFonts w:ascii="Cambria Math" w:eastAsiaTheme="minorEastAsia" w:hAnsi="Cambria Math"/>
                  <w:sz w:val="18"/>
                  <w:szCs w:val="18"/>
                  <w:vertAlign w:val="subscript"/>
                </w:rPr>
                <m:t xml:space="preserve"> </m:t>
              </m:r>
            </m:oMath>
            <w:r w:rsidRPr="00BC31E0">
              <w:rPr>
                <w:rFonts w:asciiTheme="minorHAnsi" w:eastAsiaTheme="minorEastAsia" w:hAnsiTheme="minorEastAsia" w:cstheme="minorBidi"/>
                <w:sz w:val="18"/>
                <w:szCs w:val="18"/>
              </w:rPr>
              <w:t>は設計疲労曲線から得られる</w:t>
            </w:r>
            <w:r w:rsidRPr="00BC31E0">
              <w:rPr>
                <w:rFonts w:asciiTheme="minorHAnsi" w:eastAsiaTheme="minorEastAsia" w:hAnsiTheme="minorEastAsia" w:cstheme="minorBidi" w:hint="eastAsia"/>
                <w:sz w:val="18"/>
                <w:szCs w:val="18"/>
              </w:rPr>
              <w:t>許容相当応力である</w:t>
            </w:r>
            <w:r w:rsidRPr="00BC31E0">
              <w:rPr>
                <w:rFonts w:asciiTheme="minorHAnsi" w:eastAsiaTheme="minorEastAsia" w:hAnsiTheme="minorEastAsia" w:cstheme="minorBidi"/>
                <w:sz w:val="18"/>
                <w:szCs w:val="18"/>
              </w:rPr>
              <w:t>。全変動範囲に対する許容</w:t>
            </w:r>
            <w:r w:rsidRPr="00BC31E0">
              <w:rPr>
                <w:rFonts w:asciiTheme="minorHAnsi" w:eastAsiaTheme="minorEastAsia" w:hAnsiTheme="minorEastAsia" w:cstheme="minorBidi" w:hint="eastAsia"/>
                <w:sz w:val="18"/>
                <w:szCs w:val="18"/>
              </w:rPr>
              <w:t>相当</w:t>
            </w:r>
            <w:r w:rsidRPr="00BC31E0">
              <w:rPr>
                <w:rFonts w:asciiTheme="minorHAnsi" w:eastAsiaTheme="minorEastAsia" w:hAnsiTheme="minorEastAsia" w:cstheme="minorBidi"/>
                <w:sz w:val="18"/>
                <w:szCs w:val="18"/>
              </w:rPr>
              <w:t>応力は</w:t>
            </w:r>
            <m:oMath>
              <m:sSub>
                <m:sSubPr>
                  <m:ctrlPr>
                    <w:rPr>
                      <w:rFonts w:ascii="Cambria Math" w:eastAsiaTheme="minorEastAsia" w:hAnsi="Cambria Math"/>
                      <w:i/>
                      <w:sz w:val="18"/>
                      <w:szCs w:val="18"/>
                      <w:vertAlign w:val="subscript"/>
                    </w:rPr>
                  </m:ctrlPr>
                </m:sSubPr>
                <m:e>
                  <m:r>
                    <w:rPr>
                      <w:rFonts w:ascii="Cambria Math" w:eastAsiaTheme="minorEastAsia" w:hAnsi="Cambria Math"/>
                      <w:sz w:val="18"/>
                      <w:szCs w:val="18"/>
                      <w:vertAlign w:val="subscript"/>
                    </w:rPr>
                    <m:t xml:space="preserve"> 2S</m:t>
                  </m:r>
                </m:e>
                <m:sub>
                  <m:r>
                    <w:rPr>
                      <w:rFonts w:ascii="Cambria Math" w:eastAsiaTheme="minorEastAsia" w:hAnsi="Cambria Math"/>
                      <w:sz w:val="18"/>
                      <w:szCs w:val="18"/>
                      <w:vertAlign w:val="subscript"/>
                    </w:rPr>
                    <m:t>eq</m:t>
                  </m:r>
                </m:sub>
              </m:sSub>
            </m:oMath>
            <w:r w:rsidRPr="00BC31E0">
              <w:rPr>
                <w:rFonts w:asciiTheme="minorHAnsi" w:eastAsiaTheme="minorEastAsia" w:hAnsiTheme="minorEastAsia" w:cstheme="minorBidi"/>
                <w:sz w:val="18"/>
                <w:szCs w:val="18"/>
              </w:rPr>
              <w:t>である。本体の</w:t>
            </w:r>
            <w:r w:rsidRPr="00BC31E0">
              <w:rPr>
                <w:rFonts w:asciiTheme="majorEastAsia" w:eastAsiaTheme="majorEastAsia" w:hAnsiTheme="majorEastAsia" w:cstheme="minorBidi"/>
                <w:b/>
                <w:bCs/>
                <w:sz w:val="18"/>
                <w:szCs w:val="18"/>
              </w:rPr>
              <w:t>6.3</w:t>
            </w:r>
            <w:r w:rsidRPr="00BC31E0">
              <w:rPr>
                <w:rFonts w:asciiTheme="minorHAnsi" w:eastAsiaTheme="minorEastAsia" w:hAnsiTheme="minorEastAsia" w:cstheme="minorBidi"/>
                <w:sz w:val="18"/>
                <w:szCs w:val="18"/>
              </w:rPr>
              <w:t>の要求事項を満足しなければならない。</w:t>
            </w:r>
          </w:p>
          <w:p w14:paraId="35C50E4E" w14:textId="77777777" w:rsidR="00AF6621" w:rsidRPr="00BC31E0" w:rsidRDefault="00AF6621" w:rsidP="007639EA">
            <w:pPr>
              <w:snapToGrid w:val="0"/>
              <w:spacing w:line="300" w:lineRule="exact"/>
              <w:ind w:left="442" w:hanging="442"/>
              <w:jc w:val="left"/>
              <w:rPr>
                <w:rFonts w:cstheme="minorBidi"/>
                <w:sz w:val="18"/>
                <w:szCs w:val="18"/>
              </w:rPr>
            </w:pPr>
            <w:r w:rsidRPr="00BC31E0">
              <w:rPr>
                <w:rFonts w:ascii="ＭＳ ゴシック" w:eastAsia="ＭＳ ゴシック" w:cstheme="minorBidi" w:hint="eastAsia"/>
                <w:b/>
                <w:bCs/>
                <w:sz w:val="18"/>
                <w:szCs w:val="18"/>
              </w:rPr>
              <w:t>注</w:t>
            </w:r>
            <w:r w:rsidRPr="00BC31E0">
              <w:rPr>
                <w:rFonts w:ascii="ＭＳ ゴシック" w:eastAsia="ＭＳ ゴシック" w:cstheme="minorBidi" w:hint="eastAsia"/>
                <w:b/>
                <w:bCs/>
                <w:sz w:val="18"/>
                <w:szCs w:val="18"/>
                <w:vertAlign w:val="superscript"/>
              </w:rPr>
              <w:t>e)</w:t>
            </w:r>
            <w:r w:rsidRPr="00BC31E0">
              <w:rPr>
                <w:rFonts w:cstheme="minorBidi" w:hint="eastAsia"/>
                <w:sz w:val="18"/>
                <w:szCs w:val="18"/>
              </w:rPr>
              <w:t xml:space="preserve"> </w:t>
            </w:r>
            <m:oMath>
              <m:sSub>
                <m:sSubPr>
                  <m:ctrlPr>
                    <w:rPr>
                      <w:rFonts w:ascii="Cambria Math" w:hAnsiTheme="minorHAnsi" w:cstheme="minorBidi"/>
                      <w:i/>
                      <w:sz w:val="18"/>
                      <w:szCs w:val="18"/>
                    </w:rPr>
                  </m:ctrlPr>
                </m:sSubPr>
                <m:e>
                  <m:r>
                    <w:rPr>
                      <w:rFonts w:ascii="Cambria Math" w:hAnsi="Cambria Math" w:cstheme="minorBidi"/>
                      <w:sz w:val="18"/>
                      <w:szCs w:val="18"/>
                    </w:rPr>
                    <m:t>k</m:t>
                  </m:r>
                </m:e>
                <m:sub>
                  <m:r>
                    <w:rPr>
                      <w:rFonts w:ascii="Cambria Math" w:hAnsi="Cambria Math" w:cstheme="minorBidi"/>
                      <w:sz w:val="18"/>
                      <w:szCs w:val="18"/>
                    </w:rPr>
                    <m:t>c</m:t>
                  </m:r>
                </m:sub>
              </m:sSub>
              <m:r>
                <m:rPr>
                  <m:sty m:val="p"/>
                </m:rPr>
                <w:rPr>
                  <w:rFonts w:ascii="Cambria Math" w:hAnsiTheme="minorHAnsi" w:cstheme="minorBidi"/>
                  <w:sz w:val="18"/>
                  <w:szCs w:val="18"/>
                </w:rPr>
                <m:t xml:space="preserve"> </m:t>
              </m:r>
            </m:oMath>
            <w:r w:rsidRPr="00BC31E0">
              <w:rPr>
                <w:rFonts w:asciiTheme="minorHAnsi" w:cstheme="minorBidi"/>
                <w:sz w:val="18"/>
                <w:szCs w:val="18"/>
              </w:rPr>
              <w:t>はクリープ温度域の膜応力補正係数</w:t>
            </w:r>
            <w:r w:rsidRPr="00BC31E0">
              <w:rPr>
                <w:rFonts w:asciiTheme="minorHAnsi" w:cstheme="minorBidi" w:hint="eastAsia"/>
                <w:sz w:val="18"/>
                <w:szCs w:val="18"/>
              </w:rPr>
              <w:t>で，設計温度が</w:t>
            </w:r>
            <w:r w:rsidRPr="00BC31E0">
              <w:rPr>
                <w:rFonts w:asciiTheme="majorEastAsia" w:eastAsiaTheme="majorEastAsia" w:hAnsiTheme="majorEastAsia" w:cstheme="minorBidi" w:hint="eastAsia"/>
                <w:b/>
                <w:sz w:val="18"/>
                <w:szCs w:val="18"/>
              </w:rPr>
              <w:t>表5.4.1</w:t>
            </w:r>
            <w:r w:rsidRPr="00BC31E0">
              <w:rPr>
                <w:rFonts w:asciiTheme="minorHAnsi" w:cstheme="minorBidi" w:hint="eastAsia"/>
                <w:sz w:val="18"/>
                <w:szCs w:val="18"/>
              </w:rPr>
              <w:t>及び</w:t>
            </w:r>
            <w:r w:rsidRPr="00BC31E0">
              <w:rPr>
                <w:rFonts w:asciiTheme="majorEastAsia" w:eastAsiaTheme="majorEastAsia" w:hAnsiTheme="majorEastAsia" w:cstheme="minorBidi" w:hint="eastAsia"/>
                <w:b/>
                <w:sz w:val="18"/>
                <w:szCs w:val="18"/>
              </w:rPr>
              <w:t>表5.4.2</w:t>
            </w:r>
            <w:r w:rsidRPr="00BC31E0">
              <w:rPr>
                <w:rFonts w:asciiTheme="minorHAnsi" w:cstheme="minorBidi" w:hint="eastAsia"/>
                <w:sz w:val="18"/>
                <w:szCs w:val="18"/>
              </w:rPr>
              <w:t>に示す上限温度以下の場合には</w:t>
            </w:r>
            <m:oMath>
              <m:r>
                <m:rPr>
                  <m:sty m:val="p"/>
                </m:rPr>
                <w:rPr>
                  <w:rFonts w:ascii="Cambria Math" w:hAnsi="Cambria Math" w:cstheme="minorBidi" w:hint="eastAsia"/>
                  <w:sz w:val="18"/>
                  <w:szCs w:val="18"/>
                </w:rPr>
                <m:t xml:space="preserve"> </m:t>
              </m:r>
              <m:sSub>
                <m:sSubPr>
                  <m:ctrlPr>
                    <w:rPr>
                      <w:rFonts w:ascii="Cambria Math" w:hAnsi="Cambria Math" w:cstheme="minorBidi"/>
                      <w:i/>
                      <w:sz w:val="18"/>
                      <w:szCs w:val="18"/>
                    </w:rPr>
                  </m:ctrlPr>
                </m:sSubPr>
                <m:e>
                  <m:r>
                    <w:rPr>
                      <w:rFonts w:ascii="Cambria Math" w:hAnsi="Cambria Math" w:cstheme="minorBidi"/>
                      <w:sz w:val="18"/>
                      <w:szCs w:val="18"/>
                    </w:rPr>
                    <m:t>k</m:t>
                  </m:r>
                </m:e>
                <m:sub>
                  <m:r>
                    <w:rPr>
                      <w:rFonts w:ascii="Cambria Math" w:hAnsi="Cambria Math" w:cstheme="minorBidi"/>
                      <w:sz w:val="18"/>
                      <w:szCs w:val="18"/>
                    </w:rPr>
                    <m:t>c</m:t>
                  </m:r>
                </m:sub>
              </m:sSub>
              <m:r>
                <w:rPr>
                  <w:rFonts w:ascii="Cambria Math" w:hAnsi="Cambria Math" w:cstheme="minorBidi"/>
                  <w:sz w:val="18"/>
                  <w:szCs w:val="18"/>
                </w:rPr>
                <m:t xml:space="preserve">=1 </m:t>
              </m:r>
            </m:oMath>
            <w:r w:rsidRPr="00BC31E0">
              <w:rPr>
                <w:rFonts w:asciiTheme="minorHAnsi" w:cstheme="minorBidi" w:hint="eastAsia"/>
                <w:sz w:val="18"/>
                <w:szCs w:val="18"/>
              </w:rPr>
              <w:t>とする</w:t>
            </w:r>
            <w:r w:rsidRPr="00BC31E0">
              <w:rPr>
                <w:rFonts w:asciiTheme="minorEastAsia" w:eastAsiaTheme="minorEastAsia" w:hAnsiTheme="minorEastAsia" w:cstheme="minorBidi" w:hint="eastAsia"/>
                <w:sz w:val="18"/>
                <w:szCs w:val="18"/>
              </w:rPr>
              <w:t>[本体の</w:t>
            </w:r>
            <w:r w:rsidRPr="00BC31E0">
              <w:rPr>
                <w:rFonts w:asciiTheme="majorEastAsia" w:eastAsiaTheme="majorEastAsia" w:hAnsiTheme="majorEastAsia" w:cstheme="minorBidi" w:hint="eastAsia"/>
                <w:b/>
                <w:sz w:val="18"/>
                <w:szCs w:val="18"/>
              </w:rPr>
              <w:t>5.4 e)</w:t>
            </w:r>
            <w:r w:rsidRPr="00BC31E0">
              <w:rPr>
                <w:rFonts w:asciiTheme="minorEastAsia" w:eastAsiaTheme="minorEastAsia" w:hAnsiTheme="minorEastAsia" w:cstheme="minorBidi" w:hint="eastAsia"/>
                <w:sz w:val="18"/>
                <w:szCs w:val="18"/>
              </w:rPr>
              <w:t>を参照]。</w:t>
            </w:r>
            <m:oMath>
              <m:sSub>
                <m:sSubPr>
                  <m:ctrlPr>
                    <w:rPr>
                      <w:rFonts w:ascii="Cambria Math" w:eastAsiaTheme="minorEastAsia" w:hAnsi="Cambria Math" w:cstheme="minorBidi"/>
                      <w:i/>
                      <w:sz w:val="18"/>
                      <w:szCs w:val="18"/>
                    </w:rPr>
                  </m:ctrlPr>
                </m:sSubPr>
                <m:e>
                  <m:r>
                    <w:rPr>
                      <w:rFonts w:ascii="Cambria Math" w:eastAsiaTheme="minorEastAsia" w:hAnsi="Cambria Math" w:cstheme="minorBidi"/>
                      <w:sz w:val="18"/>
                      <w:szCs w:val="18"/>
                    </w:rPr>
                    <m:t>k</m:t>
                  </m:r>
                </m:e>
                <m:sub>
                  <m:r>
                    <w:rPr>
                      <w:rFonts w:ascii="Cambria Math" w:eastAsiaTheme="minorEastAsia" w:hAnsi="Cambria Math" w:cstheme="minorBidi"/>
                      <w:sz w:val="18"/>
                      <w:szCs w:val="18"/>
                    </w:rPr>
                    <m:t>c1</m:t>
                  </m:r>
                </m:sub>
              </m:sSub>
              <m:r>
                <w:rPr>
                  <w:rFonts w:ascii="Cambria Math" w:eastAsiaTheme="minorEastAsia" w:hAnsi="Cambria Math" w:cstheme="minorBidi"/>
                  <w:sz w:val="18"/>
                  <w:szCs w:val="18"/>
                </w:rPr>
                <m:t xml:space="preserve"> </m:t>
              </m:r>
            </m:oMath>
            <w:r w:rsidRPr="00BC31E0">
              <w:rPr>
                <w:rFonts w:asciiTheme="minorEastAsia" w:eastAsiaTheme="minorEastAsia" w:hAnsiTheme="minorEastAsia" w:cstheme="minorBidi" w:hint="eastAsia"/>
                <w:sz w:val="18"/>
                <w:szCs w:val="18"/>
              </w:rPr>
              <w:t>は設計補正係数である[</w:t>
            </w:r>
            <w:r w:rsidRPr="00BC31E0">
              <w:rPr>
                <w:rFonts w:asciiTheme="majorEastAsia" w:eastAsiaTheme="majorEastAsia" w:hAnsiTheme="majorEastAsia" w:cstheme="minorBidi" w:hint="eastAsia"/>
                <w:b/>
                <w:sz w:val="18"/>
                <w:szCs w:val="18"/>
              </w:rPr>
              <w:t>1 c)</w:t>
            </w:r>
            <w:r w:rsidRPr="00BC31E0">
              <w:rPr>
                <w:rFonts w:asciiTheme="minorEastAsia" w:eastAsiaTheme="minorEastAsia" w:hAnsiTheme="minorEastAsia" w:cstheme="minorBidi" w:hint="eastAsia"/>
                <w:sz w:val="18"/>
                <w:szCs w:val="18"/>
              </w:rPr>
              <w:t>を参照]。なお，</w:t>
            </w:r>
            <w:r w:rsidRPr="00BC31E0">
              <w:rPr>
                <w:rFonts w:asciiTheme="minorHAnsi" w:eastAsiaTheme="minorEastAsia" w:hAnsiTheme="minorEastAsia" w:cstheme="minorBidi" w:hint="eastAsia"/>
                <w:sz w:val="18"/>
                <w:szCs w:val="18"/>
              </w:rPr>
              <w:t>ボルト及びワイヤに対しては</w:t>
            </w:r>
            <m:oMath>
              <m:sSub>
                <m:sSubPr>
                  <m:ctrlPr>
                    <w:rPr>
                      <w:rFonts w:ascii="Cambria Math" w:hAnsiTheme="minorHAnsi" w:cstheme="minorBidi"/>
                      <w:i/>
                      <w:sz w:val="18"/>
                      <w:szCs w:val="18"/>
                    </w:rPr>
                  </m:ctrlPr>
                </m:sSubPr>
                <m:e>
                  <m:r>
                    <w:rPr>
                      <w:rFonts w:ascii="Cambria Math" w:hAnsi="Cambria Math" w:cstheme="minorBidi" w:hint="eastAsia"/>
                      <w:sz w:val="18"/>
                      <w:szCs w:val="18"/>
                    </w:rPr>
                    <m:t xml:space="preserve"> </m:t>
                  </m:r>
                  <m:r>
                    <w:rPr>
                      <w:rFonts w:ascii="Cambria Math" w:hAnsi="Cambria Math" w:cstheme="minorBidi"/>
                      <w:sz w:val="18"/>
                      <w:szCs w:val="18"/>
                    </w:rPr>
                    <m:t>k</m:t>
                  </m:r>
                </m:e>
                <m:sub>
                  <m:r>
                    <w:rPr>
                      <w:rFonts w:ascii="Cambria Math" w:hAnsi="Cambria Math" w:cstheme="minorBidi"/>
                      <w:sz w:val="18"/>
                      <w:szCs w:val="18"/>
                    </w:rPr>
                    <m:t>c</m:t>
                  </m:r>
                  <m:r>
                    <w:rPr>
                      <w:rFonts w:ascii="Cambria Math" w:hAnsiTheme="minorHAnsi" w:cstheme="minorBidi"/>
                      <w:sz w:val="18"/>
                      <w:szCs w:val="18"/>
                    </w:rPr>
                    <m:t>1</m:t>
                  </m:r>
                </m:sub>
              </m:sSub>
              <m:r>
                <w:rPr>
                  <w:rFonts w:ascii="Cambria Math" w:hAnsiTheme="minorHAnsi" w:cstheme="minorBidi"/>
                  <w:sz w:val="18"/>
                  <w:szCs w:val="18"/>
                </w:rPr>
                <m:t>=1</m:t>
              </m:r>
              <m:r>
                <m:rPr>
                  <m:sty m:val="p"/>
                </m:rPr>
                <w:rPr>
                  <w:rFonts w:ascii="Cambria Math" w:eastAsiaTheme="minorEastAsia" w:hAnsi="Cambria Math" w:cstheme="minorBidi"/>
                  <w:sz w:val="18"/>
                  <w:szCs w:val="18"/>
                </w:rPr>
                <m:t xml:space="preserve"> </m:t>
              </m:r>
            </m:oMath>
            <w:r w:rsidRPr="00BC31E0">
              <w:rPr>
                <w:rFonts w:asciiTheme="minorHAnsi" w:eastAsiaTheme="minorEastAsia" w:hAnsiTheme="minorEastAsia" w:cstheme="minorBidi" w:hint="eastAsia"/>
                <w:sz w:val="18"/>
                <w:szCs w:val="18"/>
              </w:rPr>
              <w:t>とする</w:t>
            </w:r>
            <w:r w:rsidRPr="00BC31E0">
              <w:rPr>
                <w:rFonts w:asciiTheme="minorHAnsi" w:eastAsiaTheme="minorEastAsia" w:hAnsiTheme="minorEastAsia" w:cstheme="minorBidi" w:hint="eastAsia"/>
                <w:sz w:val="18"/>
                <w:szCs w:val="18"/>
              </w:rPr>
              <w:t>[</w:t>
            </w:r>
            <w:r w:rsidRPr="00BC31E0">
              <w:rPr>
                <w:rFonts w:asciiTheme="majorEastAsia" w:eastAsiaTheme="majorEastAsia" w:hAnsiTheme="majorEastAsia" w:cstheme="minorBidi" w:hint="eastAsia"/>
                <w:b/>
                <w:sz w:val="18"/>
                <w:szCs w:val="18"/>
              </w:rPr>
              <w:t>6.6.4 a)</w:t>
            </w:r>
            <w:r w:rsidRPr="00BC31E0">
              <w:rPr>
                <w:rFonts w:asciiTheme="minorHAnsi" w:eastAsiaTheme="minorEastAsia" w:hAnsiTheme="minorEastAsia" w:cstheme="minorBidi" w:hint="eastAsia"/>
                <w:sz w:val="18"/>
                <w:szCs w:val="18"/>
              </w:rPr>
              <w:t>及び</w:t>
            </w:r>
            <w:r w:rsidRPr="00BC31E0">
              <w:rPr>
                <w:rFonts w:asciiTheme="majorEastAsia" w:eastAsiaTheme="majorEastAsia" w:hAnsiTheme="majorEastAsia" w:cstheme="minorBidi" w:hint="eastAsia"/>
                <w:b/>
                <w:sz w:val="18"/>
                <w:szCs w:val="18"/>
              </w:rPr>
              <w:t>6.9.6</w:t>
            </w:r>
            <w:r w:rsidRPr="00BC31E0">
              <w:rPr>
                <w:rFonts w:asciiTheme="minorHAnsi" w:eastAsiaTheme="minorEastAsia" w:hAnsiTheme="minorEastAsia" w:cstheme="minorBidi" w:hint="eastAsia"/>
                <w:sz w:val="18"/>
                <w:szCs w:val="18"/>
              </w:rPr>
              <w:t>を参照</w:t>
            </w:r>
            <w:r w:rsidRPr="00BC31E0">
              <w:rPr>
                <w:rFonts w:asciiTheme="minorHAnsi" w:eastAsiaTheme="minorEastAsia" w:hAnsiTheme="minorEastAsia" w:cstheme="minorBidi" w:hint="eastAsia"/>
                <w:sz w:val="18"/>
                <w:szCs w:val="18"/>
              </w:rPr>
              <w:t>]</w:t>
            </w:r>
            <w:r w:rsidRPr="00BC31E0">
              <w:rPr>
                <w:rFonts w:asciiTheme="minorHAnsi" w:eastAsiaTheme="minorEastAsia" w:hAnsiTheme="minorEastAsia" w:cstheme="minorBidi" w:hint="eastAsia"/>
                <w:sz w:val="18"/>
                <w:szCs w:val="18"/>
              </w:rPr>
              <w:t>。</w:t>
            </w:r>
          </w:p>
        </w:tc>
      </w:tr>
    </w:tbl>
    <w:p w14:paraId="3C51127A" w14:textId="77777777" w:rsidR="00AD5438" w:rsidRPr="00BC31E0" w:rsidRDefault="00AD5438" w:rsidP="00CF55D7">
      <w:pPr>
        <w:rPr>
          <w:rFonts w:ascii="ＭＳ 明朝" w:hAnsi="ＭＳ 明朝"/>
          <w:bCs/>
        </w:rPr>
      </w:pPr>
    </w:p>
    <w:p w14:paraId="0D3EAD49" w14:textId="77777777" w:rsidR="00E24FD2" w:rsidRPr="00BC31E0" w:rsidRDefault="002D75AE" w:rsidP="00736130">
      <w:pPr>
        <w:pStyle w:val="a4"/>
        <w:numPr>
          <w:ilvl w:val="0"/>
          <w:numId w:val="384"/>
        </w:numPr>
        <w:ind w:leftChars="0" w:left="454" w:hanging="454"/>
        <w:rPr>
          <w:rFonts w:ascii="ＭＳ 明朝" w:hAnsi="ＭＳ 明朝"/>
          <w:bCs/>
        </w:rPr>
      </w:pPr>
      <w:r w:rsidRPr="00BC31E0">
        <w:rPr>
          <w:rFonts w:asciiTheme="majorEastAsia" w:eastAsiaTheme="majorEastAsia" w:hAnsiTheme="majorEastAsia" w:hint="eastAsia"/>
          <w:b/>
        </w:rPr>
        <w:lastRenderedPageBreak/>
        <w:t>簡易弾塑性解析</w:t>
      </w:r>
      <w:r w:rsidRPr="00BC31E0">
        <w:rPr>
          <w:rFonts w:hint="eastAsia"/>
        </w:rPr>
        <w:t xml:space="preserve">　一次＋二次相当応力範囲は，次の</w:t>
      </w:r>
      <w:r w:rsidRPr="00BC31E0">
        <w:rPr>
          <w:rFonts w:asciiTheme="majorEastAsia" w:eastAsiaTheme="majorEastAsia" w:hAnsiTheme="majorEastAsia" w:hint="eastAsia"/>
          <w:b/>
        </w:rPr>
        <w:t>1)</w:t>
      </w:r>
      <w:r w:rsidRPr="00BC31E0">
        <w:rPr>
          <w:rFonts w:hint="eastAsia"/>
        </w:rPr>
        <w:t>～</w:t>
      </w:r>
      <w:r w:rsidRPr="00BC31E0">
        <w:rPr>
          <w:rFonts w:asciiTheme="majorEastAsia" w:eastAsiaTheme="majorEastAsia" w:hAnsiTheme="majorEastAsia" w:hint="eastAsia"/>
          <w:b/>
        </w:rPr>
        <w:t>5)</w:t>
      </w:r>
      <w:r w:rsidRPr="00BC31E0">
        <w:rPr>
          <w:rFonts w:hint="eastAsia"/>
        </w:rPr>
        <w:t>の条件を満足する場合には，許容値の</w:t>
      </w:r>
      <m:oMath>
        <m:r>
          <w:rPr>
            <w:rFonts w:ascii="Cambria Math" w:hAnsi="Cambria Math"/>
          </w:rPr>
          <m:t xml:space="preserve"> 2 </m:t>
        </m:r>
        <m:sSub>
          <m:sSubPr>
            <m:ctrlPr>
              <w:rPr>
                <w:rFonts w:ascii="Cambria Math" w:hAnsi="Cambria Math"/>
                <w:i/>
              </w:rPr>
            </m:ctrlPr>
          </m:sSubPr>
          <m:e>
            <m:r>
              <w:rPr>
                <w:rFonts w:ascii="Cambria Math" w:hAnsi="Cambria Math"/>
              </w:rPr>
              <m:t>S</m:t>
            </m:r>
          </m:e>
          <m:sub>
            <m:r>
              <w:rPr>
                <w:rFonts w:ascii="Cambria Math" w:hAnsi="Cambria Math"/>
              </w:rPr>
              <m:t>y</m:t>
            </m:r>
          </m:sub>
        </m:sSub>
        <m:r>
          <m:rPr>
            <m:sty m:val="p"/>
          </m:rPr>
          <w:rPr>
            <w:rFonts w:ascii="Cambria Math" w:hAnsi="Cambria Math"/>
          </w:rPr>
          <m:t xml:space="preserve"> </m:t>
        </m:r>
      </m:oMath>
      <w:r w:rsidRPr="00BC31E0">
        <w:rPr>
          <w:rFonts w:hint="eastAsia"/>
        </w:rPr>
        <w:t>を超えてもよい</w:t>
      </w:r>
      <w:r w:rsidRPr="00BC31E0">
        <w:rPr>
          <w:rFonts w:ascii="ＭＳ 明朝" w:hAnsi="ＭＳ 明朝" w:hint="eastAsia"/>
          <w:bCs/>
        </w:rPr>
        <w:t>。</w:t>
      </w:r>
    </w:p>
    <w:p w14:paraId="388A90A1" w14:textId="77777777" w:rsidR="00E24FD2" w:rsidRPr="00BC31E0" w:rsidRDefault="00E24FD2" w:rsidP="00736130">
      <w:pPr>
        <w:pStyle w:val="a4"/>
        <w:numPr>
          <w:ilvl w:val="0"/>
          <w:numId w:val="408"/>
        </w:numPr>
        <w:ind w:leftChars="0" w:left="738" w:hanging="454"/>
      </w:pPr>
      <w:r w:rsidRPr="00BC31E0">
        <w:rPr>
          <w:rFonts w:hint="eastAsia"/>
        </w:rPr>
        <w:t>熱応力を除いて求めた一次＋二次相当応力範囲が，</w:t>
      </w:r>
      <m:oMath>
        <m:r>
          <w:rPr>
            <w:rFonts w:ascii="Cambria Math" w:hAnsi="Cambria Math"/>
          </w:rPr>
          <m:t>2</m:t>
        </m:r>
        <m:sSub>
          <m:sSubPr>
            <m:ctrlPr>
              <w:rPr>
                <w:rFonts w:ascii="Cambria Math" w:hAnsi="Cambria Math"/>
                <w:i/>
              </w:rPr>
            </m:ctrlPr>
          </m:sSubPr>
          <m:e>
            <m:r>
              <w:rPr>
                <w:rFonts w:ascii="Cambria Math" w:hAnsi="Cambria Math" w:hint="eastAsia"/>
              </w:rPr>
              <m:t xml:space="preserve"> </m:t>
            </m:r>
            <m:r>
              <w:rPr>
                <w:rFonts w:ascii="Cambria Math" w:hAnsi="Cambria Math"/>
              </w:rPr>
              <m:t>S</m:t>
            </m:r>
          </m:e>
          <m:sub>
            <m:r>
              <w:rPr>
                <w:rFonts w:ascii="Cambria Math" w:hAnsi="Cambria Math"/>
              </w:rPr>
              <m:t>y</m:t>
            </m:r>
          </m:sub>
        </m:sSub>
        <m:r>
          <w:rPr>
            <w:rFonts w:ascii="Cambria Math" w:hAnsi="Cambria Math"/>
          </w:rPr>
          <m:t xml:space="preserve"> </m:t>
        </m:r>
      </m:oMath>
      <w:r w:rsidRPr="00BC31E0">
        <w:rPr>
          <w:rFonts w:hint="eastAsia"/>
        </w:rPr>
        <w:t>以下である。</w:t>
      </w:r>
    </w:p>
    <w:p w14:paraId="36DB326D" w14:textId="77777777" w:rsidR="00E24FD2" w:rsidRPr="00BC31E0" w:rsidRDefault="00E24FD2" w:rsidP="00736130">
      <w:pPr>
        <w:pStyle w:val="a4"/>
        <w:numPr>
          <w:ilvl w:val="0"/>
          <w:numId w:val="409"/>
        </w:numPr>
        <w:ind w:leftChars="0" w:left="738" w:hanging="454"/>
      </w:pPr>
      <w:r w:rsidRPr="00BC31E0">
        <w:rPr>
          <w:rFonts w:hint="eastAsia"/>
        </w:rPr>
        <w:t>弾性解析で求めた一次＋二次＋ピーク相当応力振幅に，次の</w:t>
      </w:r>
      <w:r w:rsidRPr="00BC31E0">
        <w:rPr>
          <w:rFonts w:asciiTheme="majorEastAsia" w:eastAsiaTheme="majorEastAsia" w:hAnsiTheme="majorEastAsia" w:hint="eastAsia"/>
          <w:b/>
          <w:bCs/>
        </w:rPr>
        <w:t>2.1)</w:t>
      </w:r>
      <w:r w:rsidRPr="00BC31E0">
        <w:rPr>
          <w:rFonts w:hint="eastAsia"/>
        </w:rPr>
        <w:t>又は</w:t>
      </w:r>
      <w:r w:rsidRPr="00BC31E0">
        <w:rPr>
          <w:rFonts w:asciiTheme="majorEastAsia" w:eastAsiaTheme="majorEastAsia" w:hAnsiTheme="majorEastAsia" w:hint="eastAsia"/>
          <w:b/>
          <w:bCs/>
        </w:rPr>
        <w:t>2.2)</w:t>
      </w:r>
      <w:r w:rsidRPr="00BC31E0">
        <w:rPr>
          <w:rFonts w:hint="eastAsia"/>
        </w:rPr>
        <w:t>による係数</w:t>
      </w:r>
      <m:oMath>
        <m:sSub>
          <m:sSubPr>
            <m:ctrlPr>
              <w:rPr>
                <w:rFonts w:ascii="Cambria Math" w:hAnsi="Cambria Math"/>
                <w:i/>
              </w:rPr>
            </m:ctrlPr>
          </m:sSubPr>
          <m:e>
            <m:r>
              <w:rPr>
                <w:rFonts w:ascii="Cambria Math" w:hAnsi="Cambria Math"/>
              </w:rPr>
              <m:t xml:space="preserve"> K</m:t>
            </m:r>
          </m:e>
          <m:sub>
            <m:r>
              <w:rPr>
                <w:rFonts w:ascii="Cambria Math" w:hAnsi="Cambria Math"/>
              </w:rPr>
              <m:t>e</m:t>
            </m:r>
          </m:sub>
        </m:sSub>
        <m:r>
          <w:rPr>
            <w:rFonts w:ascii="Cambria Math" w:hAnsi="Cambria Math"/>
          </w:rPr>
          <m:t xml:space="preserve"> </m:t>
        </m:r>
      </m:oMath>
      <w:r w:rsidRPr="00BC31E0">
        <w:rPr>
          <w:rFonts w:hint="eastAsia"/>
        </w:rPr>
        <w:t>を乗じた値を用いて本体の</w:t>
      </w:r>
      <w:r w:rsidRPr="00BC31E0">
        <w:rPr>
          <w:rFonts w:asciiTheme="majorEastAsia" w:eastAsiaTheme="majorEastAsia" w:hAnsiTheme="majorEastAsia" w:hint="eastAsia"/>
          <w:b/>
          <w:bCs/>
        </w:rPr>
        <w:t>6.3</w:t>
      </w:r>
      <w:r w:rsidRPr="00BC31E0">
        <w:rPr>
          <w:rFonts w:hint="eastAsia"/>
        </w:rPr>
        <w:t>により疲労評価を行う。</w:t>
      </w:r>
    </w:p>
    <w:p w14:paraId="122A5372" w14:textId="77777777" w:rsidR="00E24FD2" w:rsidRPr="00BC31E0" w:rsidRDefault="00E24FD2" w:rsidP="002D75AE">
      <w:pPr>
        <w:ind w:left="1134" w:hanging="567"/>
      </w:pPr>
      <w:r w:rsidRPr="00BC31E0">
        <w:rPr>
          <w:rFonts w:asciiTheme="majorEastAsia" w:eastAsiaTheme="majorEastAsia" w:hAnsiTheme="majorEastAsia" w:hint="eastAsia"/>
          <w:b/>
        </w:rPr>
        <w:t>2.1)　式(3)</w:t>
      </w:r>
      <w:r w:rsidRPr="00BC31E0">
        <w:rPr>
          <w:rFonts w:hint="eastAsia"/>
        </w:rPr>
        <w:t>～</w:t>
      </w:r>
      <w:r w:rsidRPr="00BC31E0">
        <w:rPr>
          <w:rFonts w:asciiTheme="majorEastAsia" w:eastAsiaTheme="majorEastAsia" w:hAnsiTheme="majorEastAsia" w:hint="eastAsia"/>
          <w:b/>
        </w:rPr>
        <w:t>式(6)</w:t>
      </w:r>
      <w:r w:rsidRPr="00BC31E0">
        <w:rPr>
          <w:rFonts w:asciiTheme="minorEastAsia" w:eastAsiaTheme="minorEastAsia" w:hAnsiTheme="minorEastAsia" w:hint="eastAsia"/>
        </w:rPr>
        <w:t>より，係数</w:t>
      </w:r>
      <m:oMath>
        <m:sSub>
          <m:sSubPr>
            <m:ctrlPr>
              <w:rPr>
                <w:rFonts w:ascii="Cambria Math" w:eastAsiaTheme="minorEastAsia" w:hAnsi="Cambria Math"/>
                <w:i/>
              </w:rPr>
            </m:ctrlPr>
          </m:sSubPr>
          <m:e>
            <m:r>
              <w:rPr>
                <w:rFonts w:ascii="Cambria Math" w:eastAsiaTheme="minorEastAsia" w:hAnsi="Cambria Math"/>
              </w:rPr>
              <m:t xml:space="preserve"> K</m:t>
            </m:r>
          </m:e>
          <m:sub>
            <m:r>
              <w:rPr>
                <w:rFonts w:ascii="Cambria Math" w:eastAsiaTheme="minorEastAsia" w:hAnsi="Cambria Math"/>
              </w:rPr>
              <m:t>e</m:t>
            </m:r>
          </m:sub>
        </m:sSub>
      </m:oMath>
      <w:r w:rsidRPr="00BC31E0">
        <w:rPr>
          <w:rFonts w:asciiTheme="minorEastAsia" w:eastAsiaTheme="minorEastAsia" w:hAnsiTheme="minorEastAsia"/>
        </w:rPr>
        <w:t xml:space="preserve"> </w:t>
      </w:r>
      <w:r w:rsidRPr="00BC31E0">
        <w:rPr>
          <w:rFonts w:asciiTheme="minorEastAsia" w:eastAsiaTheme="minorEastAsia" w:hAnsiTheme="minorEastAsia" w:hint="eastAsia"/>
        </w:rPr>
        <w:t>を計算する</w:t>
      </w:r>
      <w:r w:rsidR="000977D2" w:rsidRPr="00BC31E0">
        <w:rPr>
          <w:rFonts w:ascii="ＭＳ ゴシック" w:eastAsia="ＭＳ ゴシック" w:hAnsi="ＭＳ ゴシック" w:hint="eastAsia"/>
          <w:b/>
          <w:vertAlign w:val="superscript"/>
        </w:rPr>
        <w:t>1)</w:t>
      </w:r>
      <w:r w:rsidRPr="00BC31E0">
        <w:rPr>
          <w:rFonts w:asciiTheme="minorEastAsia" w:eastAsiaTheme="minorEastAsia" w:hAnsiTheme="minorEastAsia" w:hint="eastAsia"/>
        </w:rPr>
        <w:t>。</w:t>
      </w:r>
    </w:p>
    <w:p w14:paraId="7CCFF9B4" w14:textId="77777777" w:rsidR="00E24FD2" w:rsidRPr="00BC31E0" w:rsidRDefault="00E24FD2" w:rsidP="002D75AE">
      <w:pPr>
        <w:ind w:left="1021"/>
      </w:pPr>
      <m:oMath>
        <m:r>
          <w:rPr>
            <w:rFonts w:ascii="Cambria Math" w:hAnsi="Cambria Math"/>
          </w:rPr>
          <m:t>K</m:t>
        </m:r>
        <m:r>
          <m:rPr>
            <m:sty m:val="p"/>
          </m:rPr>
          <w:rPr>
            <w:rFonts w:ascii="Cambria Math" w:hAnsi="Cambria Math"/>
          </w:rPr>
          <m:t>&lt;</m:t>
        </m:r>
        <m:sSub>
          <m:sSubPr>
            <m:ctrlPr>
              <w:rPr>
                <w:rFonts w:ascii="Cambria Math" w:hAnsi="Cambria Math"/>
              </w:rPr>
            </m:ctrlPr>
          </m:sSubPr>
          <m:e>
            <m:r>
              <w:rPr>
                <w:rFonts w:ascii="Cambria Math" w:hAnsi="Cambria Math"/>
              </w:rPr>
              <m:t>B</m:t>
            </m:r>
          </m:e>
          <m:sub>
            <m:r>
              <m:rPr>
                <m:sty m:val="p"/>
              </m:rPr>
              <w:rPr>
                <w:rFonts w:ascii="Cambria Math" w:hAnsi="Cambria Math"/>
              </w:rPr>
              <m:t>0</m:t>
            </m:r>
          </m:sub>
        </m:sSub>
      </m:oMath>
      <w:r w:rsidRPr="00BC31E0">
        <w:rPr>
          <w:rFonts w:asciiTheme="minorEastAsia" w:eastAsiaTheme="minorEastAsia" w:hAnsiTheme="minorEastAsia" w:hint="eastAsia"/>
        </w:rPr>
        <w:t>の場合</w:t>
      </w:r>
    </w:p>
    <w:tbl>
      <w:tblPr>
        <w:tblStyle w:val="afff2"/>
        <w:tblpPr w:leftFromText="142" w:rightFromText="142" w:vertAnchor="text" w:tblpX="141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8"/>
        <w:gridCol w:w="750"/>
      </w:tblGrid>
      <w:tr w:rsidR="00E24FD2" w:rsidRPr="00BC31E0" w14:paraId="52A2F57C" w14:textId="77777777" w:rsidTr="004736F2">
        <w:trPr>
          <w:cantSplit/>
        </w:trPr>
        <w:tc>
          <w:tcPr>
            <w:tcW w:w="0" w:type="auto"/>
            <w:noWrap/>
            <w:tcMar>
              <w:left w:w="0" w:type="dxa"/>
              <w:right w:w="0" w:type="dxa"/>
            </w:tcMar>
            <w:vAlign w:val="center"/>
          </w:tcPr>
          <w:p w14:paraId="51AB5E8F" w14:textId="77777777" w:rsidR="00E24FD2" w:rsidRPr="00BC31E0" w:rsidRDefault="00A51873" w:rsidP="002D75AE">
            <w:pPr>
              <w:rPr>
                <w:i/>
              </w:rPr>
            </w:pPr>
            <m:oMathPara>
              <m:oMathParaPr>
                <m:jc m:val="left"/>
              </m:oMathParaPr>
              <m:oMath>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n</m:t>
                        </m:r>
                      </m:sub>
                    </m:sSub>
                  </m:num>
                  <m:den>
                    <m:r>
                      <w:rPr>
                        <w:rFonts w:ascii="Cambria Math" w:hAnsi="Cambria Math"/>
                      </w:rPr>
                      <m:t>2</m:t>
                    </m:r>
                    <m:sSub>
                      <m:sSubPr>
                        <m:ctrlPr>
                          <w:rPr>
                            <w:rFonts w:ascii="Cambria Math" w:hAnsi="Cambria Math"/>
                            <w:i/>
                          </w:rPr>
                        </m:ctrlPr>
                      </m:sSubPr>
                      <m:e>
                        <m:r>
                          <w:rPr>
                            <w:rFonts w:ascii="Cambria Math" w:hAnsi="Cambria Math" w:hint="eastAsia"/>
                          </w:rPr>
                          <m:t xml:space="preserve"> </m:t>
                        </m:r>
                        <m:r>
                          <w:rPr>
                            <w:rFonts w:ascii="Cambria Math" w:hAnsi="Cambria Math"/>
                          </w:rPr>
                          <m:t>S</m:t>
                        </m:r>
                      </m:e>
                      <m:sub>
                        <m:r>
                          <w:rPr>
                            <w:rFonts w:ascii="Cambria Math" w:hAnsi="Cambria Math"/>
                          </w:rPr>
                          <m:t>y</m:t>
                        </m:r>
                      </m:sub>
                    </m:sSub>
                  </m:den>
                </m:f>
                <m:r>
                  <w:rPr>
                    <w:rFonts w:ascii="Cambria Math" w:hAnsi="Cambria Math"/>
                  </w:rPr>
                  <m:t>&lt;</m:t>
                </m:r>
                <m:f>
                  <m:fPr>
                    <m:ctrlPr>
                      <w:rPr>
                        <w:rFonts w:ascii="Cambria Math" w:hAnsi="Cambria Math"/>
                        <w:i/>
                      </w:rPr>
                    </m:ctrlPr>
                  </m:fPr>
                  <m:num>
                    <m:d>
                      <m:dPr>
                        <m:ctrlPr>
                          <w:rPr>
                            <w:rFonts w:ascii="Cambria Math" w:hAnsi="Cambria Math"/>
                            <w:i/>
                          </w:rPr>
                        </m:ctrlPr>
                      </m:dPr>
                      <m:e>
                        <m:r>
                          <w:rPr>
                            <w:rFonts w:ascii="Cambria Math" w:hAnsi="Cambria Math"/>
                          </w:rPr>
                          <m:t>q+</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0</m:t>
                                </m:r>
                              </m:sub>
                            </m:sSub>
                          </m:num>
                          <m:den>
                            <m:r>
                              <w:rPr>
                                <w:rFonts w:ascii="Cambria Math" w:hAnsi="Cambria Math"/>
                              </w:rPr>
                              <m:t>K</m:t>
                            </m:r>
                          </m:den>
                        </m:f>
                        <m:r>
                          <w:rPr>
                            <w:rFonts w:ascii="Cambria Math" w:hAnsi="Cambria Math"/>
                          </w:rPr>
                          <m:t>-1</m:t>
                        </m:r>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q+</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0</m:t>
                                        </m:r>
                                      </m:sub>
                                    </m:sSub>
                                  </m:num>
                                  <m:den>
                                    <m:r>
                                      <w:rPr>
                                        <w:rFonts w:ascii="Cambria Math" w:hAnsi="Cambria Math"/>
                                      </w:rPr>
                                      <m:t>K</m:t>
                                    </m:r>
                                  </m:den>
                                </m:f>
                                <m:r>
                                  <w:rPr>
                                    <w:rFonts w:ascii="Cambria Math" w:hAnsi="Cambria Math"/>
                                  </w:rPr>
                                  <m:t>-1</m:t>
                                </m:r>
                              </m:e>
                            </m:d>
                          </m:e>
                          <m:sup>
                            <m:r>
                              <w:rPr>
                                <w:rFonts w:ascii="Cambria Math" w:hAnsi="Cambria Math"/>
                              </w:rPr>
                              <m:t>2</m:t>
                            </m:r>
                          </m:sup>
                        </m:sSup>
                        <m:r>
                          <w:rPr>
                            <w:rFonts w:ascii="Cambria Math" w:hAnsi="Cambria Math"/>
                          </w:rPr>
                          <m:t>-4</m:t>
                        </m:r>
                        <m:sSub>
                          <m:sSubPr>
                            <m:ctrlPr>
                              <w:rPr>
                                <w:rFonts w:ascii="Cambria Math" w:hAnsi="Cambria Math"/>
                                <w:i/>
                              </w:rPr>
                            </m:ctrlPr>
                          </m:sSubPr>
                          <m:e>
                            <m:r>
                              <w:rPr>
                                <w:rFonts w:ascii="Cambria Math" w:hAnsi="Cambria Math" w:hint="eastAsia"/>
                              </w:rPr>
                              <m:t xml:space="preserve"> </m:t>
                            </m:r>
                            <m:r>
                              <w:rPr>
                                <w:rFonts w:ascii="Cambria Math" w:hAnsi="Cambria Math"/>
                              </w:rPr>
                              <m:t>A</m:t>
                            </m:r>
                          </m:e>
                          <m:sub>
                            <m:r>
                              <w:rPr>
                                <w:rFonts w:ascii="Cambria Math" w:hAnsi="Cambria Math"/>
                              </w:rPr>
                              <m:t>0</m:t>
                            </m:r>
                          </m:sub>
                        </m:sSub>
                        <m:r>
                          <w:rPr>
                            <w:rFonts w:ascii="Cambria Math" w:hAnsi="Cambria Math" w:hint="eastAsia"/>
                          </w:rPr>
                          <m:t xml:space="preserve"> </m:t>
                        </m:r>
                        <m:d>
                          <m:dPr>
                            <m:ctrlPr>
                              <w:rPr>
                                <w:rFonts w:ascii="Cambria Math" w:hAnsi="Cambria Math"/>
                                <w:i/>
                              </w:rPr>
                            </m:ctrlPr>
                          </m:dPr>
                          <m:e>
                            <m:r>
                              <w:rPr>
                                <w:rFonts w:ascii="Cambria Math" w:hAnsi="Cambria Math"/>
                              </w:rPr>
                              <m:t>q-1</m:t>
                            </m:r>
                          </m:e>
                        </m:d>
                      </m:e>
                    </m:rad>
                  </m:num>
                  <m:den>
                    <m:r>
                      <w:rPr>
                        <w:rFonts w:ascii="Cambria Math" w:hAnsi="Cambria Math"/>
                      </w:rPr>
                      <m:t>2</m:t>
                    </m:r>
                    <m:sSub>
                      <m:sSubPr>
                        <m:ctrlPr>
                          <w:rPr>
                            <w:rFonts w:ascii="Cambria Math" w:hAnsi="Cambria Math"/>
                            <w:i/>
                          </w:rPr>
                        </m:ctrlPr>
                      </m:sSubPr>
                      <m:e>
                        <m:r>
                          <w:rPr>
                            <w:rFonts w:ascii="Cambria Math" w:hAnsi="Cambria Math" w:hint="eastAsia"/>
                          </w:rPr>
                          <m:t xml:space="preserve"> </m:t>
                        </m:r>
                        <m:r>
                          <w:rPr>
                            <w:rFonts w:ascii="Cambria Math" w:hAnsi="Cambria Math"/>
                          </w:rPr>
                          <m:t>A</m:t>
                        </m:r>
                      </m:e>
                      <m:sub>
                        <m:r>
                          <w:rPr>
                            <w:rFonts w:ascii="Cambria Math" w:hAnsi="Cambria Math"/>
                          </w:rPr>
                          <m:t>0</m:t>
                        </m:r>
                      </m:sub>
                    </m:sSub>
                  </m:den>
                </m:f>
              </m:oMath>
            </m:oMathPara>
          </w:p>
        </w:tc>
        <w:tc>
          <w:tcPr>
            <w:tcW w:w="0" w:type="auto"/>
            <w:noWrap/>
            <w:tcMar>
              <w:left w:w="120" w:type="dxa"/>
              <w:right w:w="0" w:type="dxa"/>
            </w:tcMar>
            <w:vAlign w:val="center"/>
          </w:tcPr>
          <w:p w14:paraId="36576AA4" w14:textId="77777777" w:rsidR="00E24FD2" w:rsidRPr="00BC31E0" w:rsidRDefault="00E24FD2" w:rsidP="002D75AE">
            <w:r w:rsidRPr="00BC31E0">
              <w:rPr>
                <w:rFonts w:hint="eastAsia"/>
              </w:rPr>
              <w:t>のとき</w:t>
            </w:r>
          </w:p>
        </w:tc>
      </w:tr>
    </w:tbl>
    <w:tbl>
      <w:tblPr>
        <w:tblStyle w:val="afff2"/>
        <w:tblW w:w="6095" w:type="dxa"/>
        <w:tblInd w:w="29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3951"/>
      </w:tblGrid>
      <w:tr w:rsidR="00E24FD2" w:rsidRPr="00BC31E0" w14:paraId="22BDE11E" w14:textId="77777777" w:rsidTr="004736F2">
        <w:trPr>
          <w:cantSplit/>
        </w:trPr>
        <w:tc>
          <w:tcPr>
            <w:tcW w:w="0" w:type="auto"/>
            <w:tcMar>
              <w:left w:w="0" w:type="dxa"/>
              <w:right w:w="0" w:type="dxa"/>
            </w:tcMar>
          </w:tcPr>
          <w:p w14:paraId="50B08311" w14:textId="77777777" w:rsidR="00E24FD2" w:rsidRPr="00BC31E0" w:rsidRDefault="00A51873" w:rsidP="002D75AE">
            <w:pPr>
              <w:rPr>
                <w:i/>
              </w:rPr>
            </w:pPr>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e</m:t>
                    </m:r>
                  </m:sub>
                </m:sSub>
                <m:r>
                  <w:rPr>
                    <w:rFonts w:ascii="Cambria Math" w:hAnsi="Cambria Math"/>
                  </w:rPr>
                  <m:t>=1+</m:t>
                </m:r>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n</m:t>
                            </m:r>
                          </m:sub>
                        </m:sSub>
                      </m:num>
                      <m:den>
                        <m:r>
                          <w:rPr>
                            <w:rFonts w:ascii="Cambria Math" w:hAnsi="Cambria Math"/>
                          </w:rPr>
                          <m:t>2</m:t>
                        </m:r>
                        <m:r>
                          <w:rPr>
                            <w:rFonts w:ascii="Cambria Math" w:hAnsi="Cambria Math" w:hint="eastAsia"/>
                          </w:rPr>
                          <m:t xml:space="preserve"> </m:t>
                        </m:r>
                        <m:sSub>
                          <m:sSubPr>
                            <m:ctrlPr>
                              <w:rPr>
                                <w:rFonts w:ascii="Cambria Math" w:hAnsi="Cambria Math"/>
                                <w:i/>
                              </w:rPr>
                            </m:ctrlPr>
                          </m:sSubPr>
                          <m:e>
                            <m:r>
                              <w:rPr>
                                <w:rFonts w:ascii="Cambria Math" w:hAnsi="Cambria Math"/>
                              </w:rPr>
                              <m:t>S</m:t>
                            </m:r>
                          </m:e>
                          <m:sub>
                            <m:r>
                              <w:rPr>
                                <w:rFonts w:ascii="Cambria Math" w:hAnsi="Cambria Math"/>
                              </w:rPr>
                              <m:t>y</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K</m:t>
                        </m:r>
                      </m:den>
                    </m:f>
                  </m:e>
                </m:d>
              </m:oMath>
            </m:oMathPara>
          </w:p>
        </w:tc>
        <w:tc>
          <w:tcPr>
            <w:tcW w:w="3951" w:type="dxa"/>
            <w:tcMar>
              <w:left w:w="0" w:type="dxa"/>
              <w:right w:w="0" w:type="dxa"/>
            </w:tcMar>
            <w:vAlign w:val="center"/>
          </w:tcPr>
          <w:p w14:paraId="1EA10808" w14:textId="77777777" w:rsidR="00E24FD2" w:rsidRPr="00BC31E0" w:rsidRDefault="00E24FD2" w:rsidP="002D75AE">
            <w:pPr>
              <w:tabs>
                <w:tab w:val="left" w:leader="middleDot" w:pos="3399"/>
              </w:tabs>
            </w:pPr>
            <w:r w:rsidRPr="00BC31E0">
              <w:tab/>
            </w:r>
            <w:r w:rsidRPr="00BC31E0">
              <w:rPr>
                <w:rFonts w:hint="eastAsia"/>
              </w:rPr>
              <w:t>(3)</w:t>
            </w:r>
          </w:p>
        </w:tc>
      </w:tr>
    </w:tbl>
    <w:tbl>
      <w:tblPr>
        <w:tblStyle w:val="afff2"/>
        <w:tblpPr w:leftFromText="142" w:rightFromText="142" w:vertAnchor="text" w:tblpX="141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8"/>
        <w:gridCol w:w="750"/>
      </w:tblGrid>
      <w:tr w:rsidR="00E24FD2" w:rsidRPr="00BC31E0" w14:paraId="386B2635" w14:textId="77777777" w:rsidTr="004736F2">
        <w:trPr>
          <w:cantSplit/>
        </w:trPr>
        <w:tc>
          <w:tcPr>
            <w:tcW w:w="0" w:type="auto"/>
            <w:noWrap/>
            <w:tcMar>
              <w:left w:w="0" w:type="dxa"/>
              <w:right w:w="0" w:type="dxa"/>
            </w:tcMar>
            <w:vAlign w:val="center"/>
          </w:tcPr>
          <w:p w14:paraId="6971F6F1" w14:textId="77777777" w:rsidR="00E24FD2" w:rsidRPr="00BC31E0" w:rsidRDefault="00A51873" w:rsidP="002D75AE">
            <w:pPr>
              <w:rPr>
                <w:i/>
              </w:rPr>
            </w:pPr>
            <m:oMathPara>
              <m:oMathParaPr>
                <m:jc m:val="left"/>
              </m:oMathParaPr>
              <m:oMath>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n</m:t>
                        </m:r>
                      </m:sub>
                    </m:sSub>
                  </m:num>
                  <m:den>
                    <m:r>
                      <w:rPr>
                        <w:rFonts w:ascii="Cambria Math" w:hAnsi="Cambria Math"/>
                      </w:rPr>
                      <m:t>2</m:t>
                    </m:r>
                    <m:sSub>
                      <m:sSubPr>
                        <m:ctrlPr>
                          <w:rPr>
                            <w:rFonts w:ascii="Cambria Math" w:hAnsi="Cambria Math"/>
                            <w:i/>
                          </w:rPr>
                        </m:ctrlPr>
                      </m:sSubPr>
                      <m:e>
                        <m:r>
                          <w:rPr>
                            <w:rFonts w:ascii="Cambria Math" w:hAnsi="Cambria Math"/>
                          </w:rPr>
                          <m:t xml:space="preserve"> S</m:t>
                        </m:r>
                      </m:e>
                      <m:sub>
                        <m:r>
                          <w:rPr>
                            <w:rFonts w:ascii="Cambria Math" w:hAnsi="Cambria Math"/>
                          </w:rPr>
                          <m:t>y</m:t>
                        </m:r>
                      </m:sub>
                    </m:sSub>
                  </m:den>
                </m:f>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q+</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0</m:t>
                                </m:r>
                              </m:sub>
                            </m:sSub>
                          </m:num>
                          <m:den>
                            <m:r>
                              <w:rPr>
                                <w:rFonts w:ascii="Cambria Math" w:hAnsi="Cambria Math"/>
                              </w:rPr>
                              <m:t>K</m:t>
                            </m:r>
                          </m:den>
                        </m:f>
                        <m:r>
                          <w:rPr>
                            <w:rFonts w:ascii="Cambria Math" w:hAnsi="Cambria Math"/>
                          </w:rPr>
                          <m:t>-1</m:t>
                        </m:r>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q+</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0</m:t>
                                        </m:r>
                                      </m:sub>
                                    </m:sSub>
                                  </m:num>
                                  <m:den>
                                    <m:r>
                                      <w:rPr>
                                        <w:rFonts w:ascii="Cambria Math" w:hAnsi="Cambria Math"/>
                                      </w:rPr>
                                      <m:t>K</m:t>
                                    </m:r>
                                  </m:den>
                                </m:f>
                                <m:r>
                                  <w:rPr>
                                    <w:rFonts w:ascii="Cambria Math" w:hAnsi="Cambria Math"/>
                                  </w:rPr>
                                  <m:t>-1</m:t>
                                </m:r>
                              </m:e>
                            </m:d>
                          </m:e>
                          <m:sup>
                            <m:r>
                              <w:rPr>
                                <w:rFonts w:ascii="Cambria Math" w:hAnsi="Cambria Math"/>
                              </w:rPr>
                              <m:t>2</m:t>
                            </m:r>
                          </m:sup>
                        </m:sSup>
                        <m:r>
                          <w:rPr>
                            <w:rFonts w:ascii="Cambria Math" w:hAnsi="Cambria Math"/>
                          </w:rPr>
                          <m:t>-4</m:t>
                        </m:r>
                        <m:sSub>
                          <m:sSubPr>
                            <m:ctrlPr>
                              <w:rPr>
                                <w:rFonts w:ascii="Cambria Math" w:hAnsi="Cambria Math"/>
                                <w:i/>
                              </w:rPr>
                            </m:ctrlPr>
                          </m:sSubPr>
                          <m:e>
                            <m:r>
                              <w:rPr>
                                <w:rFonts w:ascii="Cambria Math" w:hAnsi="Cambria Math"/>
                              </w:rPr>
                              <m:t xml:space="preserve"> A</m:t>
                            </m:r>
                          </m:e>
                          <m:sub>
                            <m:r>
                              <w:rPr>
                                <w:rFonts w:ascii="Cambria Math" w:hAnsi="Cambria Math"/>
                              </w:rPr>
                              <m:t>0</m:t>
                            </m:r>
                          </m:sub>
                        </m:sSub>
                        <m:r>
                          <w:rPr>
                            <w:rFonts w:ascii="Cambria Math" w:hAnsi="Cambria Math"/>
                          </w:rPr>
                          <m:t xml:space="preserve"> </m:t>
                        </m:r>
                        <m:d>
                          <m:dPr>
                            <m:ctrlPr>
                              <w:rPr>
                                <w:rFonts w:ascii="Cambria Math" w:hAnsi="Cambria Math"/>
                                <w:i/>
                              </w:rPr>
                            </m:ctrlPr>
                          </m:dPr>
                          <m:e>
                            <m:r>
                              <w:rPr>
                                <w:rFonts w:ascii="Cambria Math" w:hAnsi="Cambria Math"/>
                              </w:rPr>
                              <m:t>q-1</m:t>
                            </m:r>
                          </m:e>
                        </m:d>
                      </m:e>
                    </m:rad>
                  </m:num>
                  <m:den>
                    <m:r>
                      <w:rPr>
                        <w:rFonts w:ascii="Cambria Math" w:hAnsi="Cambria Math"/>
                      </w:rPr>
                      <m:t>2</m:t>
                    </m:r>
                    <m:sSub>
                      <m:sSubPr>
                        <m:ctrlPr>
                          <w:rPr>
                            <w:rFonts w:ascii="Cambria Math" w:hAnsi="Cambria Math"/>
                            <w:i/>
                          </w:rPr>
                        </m:ctrlPr>
                      </m:sSubPr>
                      <m:e>
                        <m:r>
                          <w:rPr>
                            <w:rFonts w:ascii="Cambria Math" w:hAnsi="Cambria Math"/>
                          </w:rPr>
                          <m:t xml:space="preserve"> A</m:t>
                        </m:r>
                      </m:e>
                      <m:sub>
                        <m:r>
                          <w:rPr>
                            <w:rFonts w:ascii="Cambria Math" w:hAnsi="Cambria Math"/>
                          </w:rPr>
                          <m:t>0</m:t>
                        </m:r>
                      </m:sub>
                    </m:sSub>
                  </m:den>
                </m:f>
              </m:oMath>
            </m:oMathPara>
          </w:p>
        </w:tc>
        <w:tc>
          <w:tcPr>
            <w:tcW w:w="0" w:type="auto"/>
            <w:noWrap/>
            <w:tcMar>
              <w:left w:w="120" w:type="dxa"/>
              <w:right w:w="0" w:type="dxa"/>
            </w:tcMar>
            <w:vAlign w:val="center"/>
          </w:tcPr>
          <w:p w14:paraId="541B5A7C" w14:textId="77777777" w:rsidR="00E24FD2" w:rsidRPr="00BC31E0" w:rsidRDefault="00E24FD2" w:rsidP="002D75AE">
            <w:r w:rsidRPr="00BC31E0">
              <w:rPr>
                <w:rFonts w:hint="eastAsia"/>
              </w:rPr>
              <w:t>のとき</w:t>
            </w:r>
          </w:p>
        </w:tc>
      </w:tr>
    </w:tbl>
    <w:tbl>
      <w:tblPr>
        <w:tblStyle w:val="afff2"/>
        <w:tblW w:w="6095" w:type="dxa"/>
        <w:tblInd w:w="29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6"/>
        <w:gridCol w:w="3589"/>
      </w:tblGrid>
      <w:tr w:rsidR="00E24FD2" w:rsidRPr="00BC31E0" w14:paraId="4B39766E" w14:textId="77777777" w:rsidTr="004736F2">
        <w:trPr>
          <w:cantSplit/>
        </w:trPr>
        <w:tc>
          <w:tcPr>
            <w:tcW w:w="0" w:type="auto"/>
            <w:tcMar>
              <w:left w:w="0" w:type="dxa"/>
              <w:right w:w="0" w:type="dxa"/>
            </w:tcMar>
          </w:tcPr>
          <w:p w14:paraId="01A58CF5" w14:textId="77777777" w:rsidR="00E24FD2" w:rsidRPr="00BC31E0" w:rsidRDefault="00A51873" w:rsidP="002D75AE">
            <w:pPr>
              <w:rPr>
                <w:i/>
              </w:rPr>
            </w:pPr>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e</m:t>
                    </m:r>
                  </m:sub>
                </m:sSub>
                <m:r>
                  <w:rPr>
                    <w:rFonts w:ascii="Cambria Math" w:hAnsi="Cambria Math"/>
                  </w:rPr>
                  <m:t>=1+</m:t>
                </m:r>
                <m:d>
                  <m:dPr>
                    <m:ctrlPr>
                      <w:rPr>
                        <w:rFonts w:ascii="Cambria Math" w:hAnsi="Cambria Math"/>
                        <w:i/>
                      </w:rPr>
                    </m:ctrlPr>
                  </m:dPr>
                  <m:e>
                    <m:r>
                      <w:rPr>
                        <w:rFonts w:ascii="Cambria Math" w:hAnsi="Cambria Math"/>
                      </w:rPr>
                      <m:t>q-1</m:t>
                    </m:r>
                  </m:e>
                </m:d>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2</m:t>
                        </m:r>
                        <m:r>
                          <w:rPr>
                            <w:rFonts w:ascii="Cambria Math" w:hAnsi="Cambria Math" w:hint="eastAsia"/>
                          </w:rPr>
                          <m:t xml:space="preserve"> </m:t>
                        </m:r>
                        <m:sSub>
                          <m:sSubPr>
                            <m:ctrlPr>
                              <w:rPr>
                                <w:rFonts w:ascii="Cambria Math" w:hAnsi="Cambria Math"/>
                                <w:i/>
                              </w:rPr>
                            </m:ctrlPr>
                          </m:sSubPr>
                          <m:e>
                            <m:r>
                              <w:rPr>
                                <w:rFonts w:ascii="Cambria Math" w:hAnsi="Cambria Math"/>
                              </w:rPr>
                              <m:t>S</m:t>
                            </m:r>
                          </m:e>
                          <m:sub>
                            <m:r>
                              <w:rPr>
                                <w:rFonts w:ascii="Cambria Math" w:hAnsi="Cambria Math"/>
                              </w:rPr>
                              <m:t>y</m:t>
                            </m:r>
                          </m:sub>
                        </m:sSub>
                      </m:num>
                      <m:den>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n</m:t>
                            </m:r>
                          </m:sub>
                        </m:sSub>
                      </m:den>
                    </m:f>
                  </m:e>
                </m:d>
              </m:oMath>
            </m:oMathPara>
          </w:p>
        </w:tc>
        <w:tc>
          <w:tcPr>
            <w:tcW w:w="3589" w:type="dxa"/>
            <w:tcMar>
              <w:left w:w="0" w:type="dxa"/>
              <w:right w:w="0" w:type="dxa"/>
            </w:tcMar>
            <w:vAlign w:val="center"/>
          </w:tcPr>
          <w:p w14:paraId="471D5457" w14:textId="77777777" w:rsidR="00E24FD2" w:rsidRPr="00BC31E0" w:rsidRDefault="00E24FD2" w:rsidP="002D75AE">
            <w:pPr>
              <w:tabs>
                <w:tab w:val="left" w:leader="middleDot" w:pos="3037"/>
              </w:tabs>
            </w:pPr>
            <w:r w:rsidRPr="00BC31E0">
              <w:tab/>
            </w:r>
            <w:r w:rsidRPr="00BC31E0">
              <w:rPr>
                <w:rFonts w:hint="eastAsia"/>
              </w:rPr>
              <w:t>(4)</w:t>
            </w:r>
          </w:p>
        </w:tc>
      </w:tr>
    </w:tbl>
    <w:p w14:paraId="768143AF" w14:textId="77777777" w:rsidR="00E24FD2" w:rsidRPr="00BC31E0" w:rsidRDefault="00E24FD2" w:rsidP="002D75AE">
      <w:pPr>
        <w:ind w:left="1021"/>
        <w:rPr>
          <w:rFonts w:asciiTheme="minorEastAsia" w:eastAsiaTheme="minorEastAsia" w:hAnsiTheme="minorEastAsia"/>
        </w:rPr>
      </w:pPr>
      <m:oMath>
        <m:r>
          <w:rPr>
            <w:rFonts w:ascii="Cambria Math" w:hAnsi="Cambria Math"/>
          </w:rPr>
          <m:t>K≧</m:t>
        </m:r>
        <m:sSub>
          <m:sSubPr>
            <m:ctrlPr>
              <w:rPr>
                <w:rFonts w:ascii="Cambria Math" w:hAnsi="Cambria Math"/>
                <w:i/>
              </w:rPr>
            </m:ctrlPr>
          </m:sSubPr>
          <m:e>
            <m:r>
              <w:rPr>
                <w:rFonts w:ascii="Cambria Math" w:hAnsi="Cambria Math"/>
              </w:rPr>
              <m:t>B</m:t>
            </m:r>
          </m:e>
          <m:sub>
            <m:r>
              <w:rPr>
                <w:rFonts w:ascii="Cambria Math" w:hAnsi="Cambria Math"/>
              </w:rPr>
              <m:t>0</m:t>
            </m:r>
          </m:sub>
        </m:sSub>
      </m:oMath>
      <w:r w:rsidRPr="00BC31E0">
        <w:rPr>
          <w:rFonts w:asciiTheme="minorEastAsia" w:eastAsiaTheme="minorEastAsia" w:hAnsiTheme="minorEastAsia" w:hint="eastAsia"/>
        </w:rPr>
        <w:t>の場合</w:t>
      </w:r>
    </w:p>
    <w:tbl>
      <w:tblPr>
        <w:tblStyle w:val="afff2"/>
        <w:tblpPr w:leftFromText="142" w:rightFromText="142" w:vertAnchor="text" w:tblpX="141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9"/>
        <w:gridCol w:w="750"/>
      </w:tblGrid>
      <w:tr w:rsidR="00E24FD2" w:rsidRPr="00BC31E0" w14:paraId="205A9156" w14:textId="77777777" w:rsidTr="004736F2">
        <w:trPr>
          <w:cantSplit/>
        </w:trPr>
        <w:tc>
          <w:tcPr>
            <w:tcW w:w="0" w:type="auto"/>
            <w:noWrap/>
            <w:tcMar>
              <w:left w:w="0" w:type="dxa"/>
              <w:right w:w="0" w:type="dxa"/>
            </w:tcMar>
            <w:vAlign w:val="center"/>
          </w:tcPr>
          <w:p w14:paraId="580E75BA" w14:textId="77777777" w:rsidR="00E24FD2" w:rsidRPr="00BC31E0" w:rsidRDefault="00A51873" w:rsidP="002D75AE">
            <w:pPr>
              <w:rPr>
                <w:i/>
              </w:rPr>
            </w:pPr>
            <m:oMathPara>
              <m:oMathParaPr>
                <m:jc m:val="left"/>
              </m:oMathParaPr>
              <m:oMath>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n</m:t>
                        </m:r>
                      </m:sub>
                    </m:sSub>
                  </m:num>
                  <m:den>
                    <m:r>
                      <w:rPr>
                        <w:rFonts w:ascii="Cambria Math" w:hAnsi="Cambria Math"/>
                      </w:rPr>
                      <m:t>2</m:t>
                    </m:r>
                    <m:sSub>
                      <m:sSubPr>
                        <m:ctrlPr>
                          <w:rPr>
                            <w:rFonts w:ascii="Cambria Math" w:hAnsi="Cambria Math"/>
                            <w:i/>
                          </w:rPr>
                        </m:ctrlPr>
                      </m:sSubPr>
                      <m:e>
                        <m:r>
                          <w:rPr>
                            <w:rFonts w:ascii="Cambria Math" w:hAnsi="Cambria Math" w:hint="eastAsia"/>
                          </w:rPr>
                          <m:t xml:space="preserve"> </m:t>
                        </m:r>
                        <m:r>
                          <w:rPr>
                            <w:rFonts w:ascii="Cambria Math" w:hAnsi="Cambria Math"/>
                          </w:rPr>
                          <m:t>S</m:t>
                        </m:r>
                      </m:e>
                      <m:sub>
                        <m:r>
                          <w:rPr>
                            <w:rFonts w:ascii="Cambria Math" w:hAnsi="Cambria Math"/>
                          </w:rPr>
                          <m:t>y</m:t>
                        </m:r>
                      </m:sub>
                    </m:sSub>
                  </m:den>
                </m:f>
                <m:r>
                  <w:rPr>
                    <w:rFonts w:ascii="Cambria Math" w:hAnsi="Cambria Math"/>
                  </w:rPr>
                  <m:t>&lt;</m:t>
                </m:r>
                <m:f>
                  <m:fPr>
                    <m:ctrlPr>
                      <w:rPr>
                        <w:rFonts w:ascii="Cambria Math" w:hAnsi="Cambria Math"/>
                        <w:i/>
                      </w:rPr>
                    </m:ctrlPr>
                  </m:fPr>
                  <m:num>
                    <m:d>
                      <m:dPr>
                        <m:ctrlPr>
                          <w:rPr>
                            <w:rFonts w:ascii="Cambria Math" w:hAnsi="Cambria Math"/>
                            <w:i/>
                          </w:rPr>
                        </m:ctrlPr>
                      </m:dPr>
                      <m:e>
                        <m:r>
                          <w:rPr>
                            <w:rFonts w:ascii="Cambria Math" w:hAnsi="Cambria Math"/>
                          </w:rPr>
                          <m:t>q-1</m:t>
                        </m:r>
                      </m:e>
                    </m:d>
                    <m:r>
                      <w:rPr>
                        <w:rFonts w:ascii="Cambria Math" w:hAnsi="Cambria Math"/>
                      </w:rPr>
                      <m:t>-</m:t>
                    </m:r>
                    <m:rad>
                      <m:radPr>
                        <m:degHide m:val="1"/>
                        <m:ctrlPr>
                          <w:rPr>
                            <w:rFonts w:ascii="Cambria Math" w:hAnsi="Cambria Math"/>
                            <w:i/>
                          </w:rPr>
                        </m:ctrlPr>
                      </m:radPr>
                      <m:deg/>
                      <m:e>
                        <m:sSub>
                          <m:sSubPr>
                            <m:ctrlPr>
                              <w:rPr>
                                <w:rFonts w:ascii="Cambria Math" w:hAnsi="Cambria Math"/>
                                <w:i/>
                              </w:rPr>
                            </m:ctrlPr>
                          </m:sSubPr>
                          <m:e>
                            <m:r>
                              <w:rPr>
                                <w:rFonts w:ascii="Cambria Math" w:hAnsi="Cambria Math" w:hint="eastAsia"/>
                              </w:rPr>
                              <m:t>A</m:t>
                            </m:r>
                          </m:e>
                          <m:sub>
                            <m:r>
                              <w:rPr>
                                <w:rFonts w:ascii="Cambria Math" w:hAnsi="Cambria Math"/>
                              </w:rPr>
                              <m:t>0</m:t>
                            </m:r>
                          </m:sub>
                        </m:sSub>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K</m:t>
                                </m:r>
                              </m:den>
                            </m:f>
                          </m:e>
                        </m:d>
                        <m:d>
                          <m:dPr>
                            <m:ctrlPr>
                              <w:rPr>
                                <w:rFonts w:ascii="Cambria Math" w:hAnsi="Cambria Math"/>
                                <w:i/>
                              </w:rPr>
                            </m:ctrlPr>
                          </m:dPr>
                          <m:e>
                            <m:r>
                              <w:rPr>
                                <w:rFonts w:ascii="Cambria Math" w:hAnsi="Cambria Math"/>
                              </w:rPr>
                              <m:t>q-1</m:t>
                            </m:r>
                          </m:e>
                        </m:d>
                      </m:e>
                    </m:rad>
                  </m:num>
                  <m:den>
                    <m:r>
                      <w:rPr>
                        <w:rFonts w:ascii="Cambria Math" w:hAnsi="Cambria Math"/>
                      </w:rPr>
                      <m:t>a</m:t>
                    </m:r>
                  </m:den>
                </m:f>
              </m:oMath>
            </m:oMathPara>
          </w:p>
        </w:tc>
        <w:tc>
          <w:tcPr>
            <w:tcW w:w="0" w:type="auto"/>
            <w:noWrap/>
            <w:tcMar>
              <w:left w:w="120" w:type="dxa"/>
              <w:right w:w="0" w:type="dxa"/>
            </w:tcMar>
            <w:vAlign w:val="center"/>
          </w:tcPr>
          <w:p w14:paraId="3DC742CD" w14:textId="77777777" w:rsidR="00E24FD2" w:rsidRPr="00BC31E0" w:rsidRDefault="00E24FD2" w:rsidP="00A22005">
            <w:r w:rsidRPr="00BC31E0">
              <w:rPr>
                <w:rFonts w:hint="eastAsia"/>
              </w:rPr>
              <w:t>のとき</w:t>
            </w:r>
          </w:p>
        </w:tc>
      </w:tr>
    </w:tbl>
    <w:tbl>
      <w:tblPr>
        <w:tblStyle w:val="afff2"/>
        <w:tblW w:w="6095" w:type="dxa"/>
        <w:tblInd w:w="29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3"/>
        <w:gridCol w:w="3042"/>
      </w:tblGrid>
      <w:tr w:rsidR="00E24FD2" w:rsidRPr="00BC31E0" w14:paraId="787976BF" w14:textId="77777777" w:rsidTr="004736F2">
        <w:trPr>
          <w:cantSplit/>
        </w:trPr>
        <w:tc>
          <w:tcPr>
            <w:tcW w:w="0" w:type="auto"/>
            <w:tcMar>
              <w:left w:w="0" w:type="dxa"/>
              <w:right w:w="0" w:type="dxa"/>
            </w:tcMar>
          </w:tcPr>
          <w:p w14:paraId="4D864212" w14:textId="77777777" w:rsidR="00E24FD2" w:rsidRPr="00BC31E0" w:rsidRDefault="00A51873" w:rsidP="002D75AE">
            <w:pPr>
              <w:rPr>
                <w:i/>
              </w:rPr>
            </w:pPr>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e</m:t>
                    </m:r>
                  </m:sub>
                </m:sSub>
                <m:r>
                  <w:rPr>
                    <w:rFonts w:ascii="Cambria Math" w:hAnsi="Cambria Math"/>
                  </w:rPr>
                  <m:t>=a</m:t>
                </m:r>
                <m:r>
                  <w:rPr>
                    <w:rFonts w:ascii="Cambria Math" w:hAnsi="Cambria Math" w:hint="eastAsia"/>
                  </w:rPr>
                  <m:t xml:space="preserve"> </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n</m:t>
                        </m:r>
                      </m:sub>
                    </m:sSub>
                  </m:num>
                  <m:den>
                    <m:r>
                      <w:rPr>
                        <w:rFonts w:ascii="Cambria Math" w:hAnsi="Cambria Math"/>
                      </w:rPr>
                      <m:t>2</m:t>
                    </m:r>
                    <m:r>
                      <w:rPr>
                        <w:rFonts w:ascii="Cambria Math" w:hAnsi="Cambria Math" w:hint="eastAsia"/>
                      </w:rPr>
                      <m:t xml:space="preserve"> </m:t>
                    </m:r>
                    <m:sSub>
                      <m:sSubPr>
                        <m:ctrlPr>
                          <w:rPr>
                            <w:rFonts w:ascii="Cambria Math" w:hAnsi="Cambria Math"/>
                            <w:i/>
                          </w:rPr>
                        </m:ctrlPr>
                      </m:sSubPr>
                      <m:e>
                        <m:r>
                          <w:rPr>
                            <w:rFonts w:ascii="Cambria Math" w:hAnsi="Cambria Math"/>
                          </w:rPr>
                          <m:t>S</m:t>
                        </m:r>
                      </m:e>
                      <m:sub>
                        <m:r>
                          <w:rPr>
                            <w:rFonts w:ascii="Cambria Math" w:hAnsi="Cambria Math"/>
                          </w:rPr>
                          <m:t>y</m:t>
                        </m:r>
                      </m:sub>
                    </m:sSub>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K</m:t>
                        </m:r>
                      </m:den>
                    </m:f>
                  </m:e>
                </m:d>
                <m:r>
                  <w:rPr>
                    <w:rFonts w:ascii="Cambria Math" w:hAnsi="Cambria Math"/>
                  </w:rPr>
                  <m:t>+1-a</m:t>
                </m:r>
              </m:oMath>
            </m:oMathPara>
          </w:p>
        </w:tc>
        <w:tc>
          <w:tcPr>
            <w:tcW w:w="3042" w:type="dxa"/>
            <w:tcMar>
              <w:left w:w="0" w:type="dxa"/>
              <w:right w:w="0" w:type="dxa"/>
            </w:tcMar>
            <w:vAlign w:val="center"/>
          </w:tcPr>
          <w:p w14:paraId="32A17E5D" w14:textId="77777777" w:rsidR="00E24FD2" w:rsidRPr="00BC31E0" w:rsidRDefault="00E24FD2" w:rsidP="002D75AE">
            <w:pPr>
              <w:tabs>
                <w:tab w:val="left" w:leader="middleDot" w:pos="2490"/>
              </w:tabs>
            </w:pPr>
            <w:r w:rsidRPr="00BC31E0">
              <w:tab/>
            </w:r>
            <w:r w:rsidRPr="00BC31E0">
              <w:rPr>
                <w:rFonts w:hint="eastAsia"/>
              </w:rPr>
              <w:t>(5)</w:t>
            </w:r>
          </w:p>
        </w:tc>
      </w:tr>
    </w:tbl>
    <w:tbl>
      <w:tblPr>
        <w:tblStyle w:val="afff2"/>
        <w:tblpPr w:leftFromText="142" w:rightFromText="142" w:vertAnchor="text" w:tblpX="141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8"/>
        <w:gridCol w:w="750"/>
      </w:tblGrid>
      <w:tr w:rsidR="00E24FD2" w:rsidRPr="00BC31E0" w14:paraId="42AFC626" w14:textId="77777777" w:rsidTr="004736F2">
        <w:trPr>
          <w:cantSplit/>
        </w:trPr>
        <w:tc>
          <w:tcPr>
            <w:tcW w:w="0" w:type="auto"/>
            <w:noWrap/>
            <w:tcMar>
              <w:left w:w="0" w:type="dxa"/>
              <w:right w:w="0" w:type="dxa"/>
            </w:tcMar>
            <w:vAlign w:val="center"/>
          </w:tcPr>
          <w:p w14:paraId="66CD69BB" w14:textId="77777777" w:rsidR="00E24FD2" w:rsidRPr="00BC31E0" w:rsidRDefault="00A51873" w:rsidP="002D75AE">
            <w:pPr>
              <w:pStyle w:val="15"/>
              <w:tabs>
                <w:tab w:val="left" w:pos="1134"/>
              </w:tabs>
              <w:ind w:firstLine="210"/>
              <w:rPr>
                <w:i/>
                <w:szCs w:val="21"/>
              </w:rPr>
            </w:pPr>
            <m:oMathPara>
              <m:oMathParaPr>
                <m:jc m:val="left"/>
              </m:oMathParaPr>
              <m:oMath>
                <m:f>
                  <m:fPr>
                    <m:ctrlPr>
                      <w:rPr>
                        <w:rFonts w:ascii="Cambria Math" w:hAnsi="Cambria Math"/>
                        <w:i/>
                        <w:szCs w:val="21"/>
                      </w:rPr>
                    </m:ctrlPr>
                  </m:fPr>
                  <m:num>
                    <m:r>
                      <w:rPr>
                        <w:rFonts w:ascii="Cambria Math" w:hAnsi="Cambria Math"/>
                        <w:szCs w:val="21"/>
                      </w:rPr>
                      <m:t>∆</m:t>
                    </m:r>
                    <m:sSub>
                      <m:sSubPr>
                        <m:ctrlPr>
                          <w:rPr>
                            <w:rFonts w:ascii="Cambria Math" w:hAnsi="Cambria Math"/>
                            <w:i/>
                            <w:szCs w:val="21"/>
                          </w:rPr>
                        </m:ctrlPr>
                      </m:sSubPr>
                      <m:e>
                        <m:r>
                          <w:rPr>
                            <w:rFonts w:ascii="Cambria Math" w:hAnsi="Cambria Math"/>
                            <w:szCs w:val="21"/>
                          </w:rPr>
                          <m:t>S</m:t>
                        </m:r>
                      </m:e>
                      <m:sub>
                        <m:r>
                          <w:rPr>
                            <w:rFonts w:ascii="Cambria Math" w:hAnsi="Cambria Math"/>
                            <w:szCs w:val="21"/>
                          </w:rPr>
                          <m:t>n</m:t>
                        </m:r>
                      </m:sub>
                    </m:sSub>
                  </m:num>
                  <m:den>
                    <m:r>
                      <w:rPr>
                        <w:rFonts w:ascii="Cambria Math" w:hAnsi="Cambria Math"/>
                        <w:szCs w:val="21"/>
                      </w:rPr>
                      <m:t>2</m:t>
                    </m:r>
                    <m:sSub>
                      <m:sSubPr>
                        <m:ctrlPr>
                          <w:rPr>
                            <w:rFonts w:ascii="Cambria Math" w:hAnsi="Cambria Math"/>
                            <w:i/>
                            <w:szCs w:val="21"/>
                          </w:rPr>
                        </m:ctrlPr>
                      </m:sSubPr>
                      <m:e>
                        <m:r>
                          <w:rPr>
                            <w:rFonts w:ascii="Cambria Math" w:hAnsi="Cambria Math" w:hint="eastAsia"/>
                            <w:szCs w:val="21"/>
                          </w:rPr>
                          <m:t xml:space="preserve"> </m:t>
                        </m:r>
                        <m:r>
                          <w:rPr>
                            <w:rFonts w:ascii="Cambria Math" w:hAnsi="Cambria Math"/>
                            <w:szCs w:val="21"/>
                          </w:rPr>
                          <m:t>S</m:t>
                        </m:r>
                      </m:e>
                      <m:sub>
                        <m:r>
                          <w:rPr>
                            <w:rFonts w:ascii="Cambria Math" w:hAnsi="Cambria Math"/>
                            <w:szCs w:val="21"/>
                          </w:rPr>
                          <m:t>y</m:t>
                        </m:r>
                      </m:sub>
                    </m:sSub>
                  </m:den>
                </m:f>
                <m:r>
                  <w:rPr>
                    <w:rFonts w:ascii="Cambria Math" w:hAnsi="Cambria Math"/>
                  </w:rPr>
                  <m:t>≧</m:t>
                </m:r>
                <m:f>
                  <m:fPr>
                    <m:ctrlPr>
                      <w:rPr>
                        <w:rFonts w:ascii="Cambria Math" w:hAnsi="Cambria Math"/>
                        <w:i/>
                        <w:szCs w:val="21"/>
                      </w:rPr>
                    </m:ctrlPr>
                  </m:fPr>
                  <m:num>
                    <m:d>
                      <m:dPr>
                        <m:ctrlPr>
                          <w:rPr>
                            <w:rFonts w:ascii="Cambria Math" w:hAnsi="Cambria Math"/>
                            <w:i/>
                            <w:szCs w:val="21"/>
                          </w:rPr>
                        </m:ctrlPr>
                      </m:dPr>
                      <m:e>
                        <m:r>
                          <w:rPr>
                            <w:rFonts w:ascii="Cambria Math" w:hAnsi="Cambria Math"/>
                            <w:szCs w:val="21"/>
                          </w:rPr>
                          <m:t>q-1</m:t>
                        </m:r>
                      </m:e>
                    </m:d>
                    <m:r>
                      <w:rPr>
                        <w:rFonts w:ascii="Cambria Math" w:hAnsi="Cambria Math"/>
                        <w:szCs w:val="21"/>
                      </w:rPr>
                      <m:t>-</m:t>
                    </m:r>
                    <m:rad>
                      <m:radPr>
                        <m:degHide m:val="1"/>
                        <m:ctrlPr>
                          <w:rPr>
                            <w:rFonts w:ascii="Cambria Math" w:hAnsi="Cambria Math"/>
                            <w:i/>
                            <w:szCs w:val="21"/>
                          </w:rPr>
                        </m:ctrlPr>
                      </m:radPr>
                      <m:deg/>
                      <m:e>
                        <m:sSub>
                          <m:sSubPr>
                            <m:ctrlPr>
                              <w:rPr>
                                <w:rFonts w:ascii="Cambria Math" w:hAnsi="Cambria Math"/>
                                <w:i/>
                                <w:szCs w:val="21"/>
                              </w:rPr>
                            </m:ctrlPr>
                          </m:sSubPr>
                          <m:e>
                            <m:r>
                              <w:rPr>
                                <w:rFonts w:ascii="Cambria Math" w:hAnsi="Cambria Math" w:hint="eastAsia"/>
                                <w:szCs w:val="21"/>
                              </w:rPr>
                              <m:t>A</m:t>
                            </m:r>
                          </m:e>
                          <m:sub>
                            <m:r>
                              <w:rPr>
                                <w:rFonts w:ascii="Cambria Math" w:hAnsi="Cambria Math"/>
                                <w:szCs w:val="21"/>
                              </w:rPr>
                              <m:t>0</m:t>
                            </m:r>
                          </m:sub>
                        </m:sSub>
                        <m:d>
                          <m:dPr>
                            <m:ctrlPr>
                              <w:rPr>
                                <w:rFonts w:ascii="Cambria Math" w:hAnsi="Cambria Math"/>
                                <w:i/>
                                <w:szCs w:val="21"/>
                              </w:rPr>
                            </m:ctrlPr>
                          </m:dPr>
                          <m:e>
                            <m:r>
                              <w:rPr>
                                <w:rFonts w:ascii="Cambria Math" w:hAnsi="Cambria Math"/>
                                <w:szCs w:val="21"/>
                              </w:rPr>
                              <m:t>1-</m:t>
                            </m:r>
                            <m:f>
                              <m:fPr>
                                <m:ctrlPr>
                                  <w:rPr>
                                    <w:rFonts w:ascii="Cambria Math" w:hAnsi="Cambria Math"/>
                                    <w:i/>
                                    <w:szCs w:val="21"/>
                                  </w:rPr>
                                </m:ctrlPr>
                              </m:fPr>
                              <m:num>
                                <m:r>
                                  <w:rPr>
                                    <w:rFonts w:ascii="Cambria Math" w:hAnsi="Cambria Math"/>
                                    <w:szCs w:val="21"/>
                                  </w:rPr>
                                  <m:t>1</m:t>
                                </m:r>
                              </m:num>
                              <m:den>
                                <m:r>
                                  <w:rPr>
                                    <w:rFonts w:ascii="Cambria Math" w:hAnsi="Cambria Math"/>
                                    <w:szCs w:val="21"/>
                                  </w:rPr>
                                  <m:t>K</m:t>
                                </m:r>
                              </m:den>
                            </m:f>
                          </m:e>
                        </m:d>
                        <m:d>
                          <m:dPr>
                            <m:ctrlPr>
                              <w:rPr>
                                <w:rFonts w:ascii="Cambria Math" w:hAnsi="Cambria Math"/>
                                <w:i/>
                                <w:szCs w:val="21"/>
                              </w:rPr>
                            </m:ctrlPr>
                          </m:dPr>
                          <m:e>
                            <m:r>
                              <w:rPr>
                                <w:rFonts w:ascii="Cambria Math" w:hAnsi="Cambria Math"/>
                                <w:szCs w:val="21"/>
                              </w:rPr>
                              <m:t>q-1</m:t>
                            </m:r>
                          </m:e>
                        </m:d>
                      </m:e>
                    </m:rad>
                  </m:num>
                  <m:den>
                    <m:r>
                      <w:rPr>
                        <w:rFonts w:ascii="Cambria Math" w:hAnsi="Cambria Math"/>
                        <w:szCs w:val="21"/>
                      </w:rPr>
                      <m:t>a</m:t>
                    </m:r>
                  </m:den>
                </m:f>
              </m:oMath>
            </m:oMathPara>
          </w:p>
        </w:tc>
        <w:tc>
          <w:tcPr>
            <w:tcW w:w="0" w:type="auto"/>
            <w:noWrap/>
            <w:tcMar>
              <w:left w:w="120" w:type="dxa"/>
              <w:right w:w="0" w:type="dxa"/>
            </w:tcMar>
            <w:vAlign w:val="center"/>
          </w:tcPr>
          <w:p w14:paraId="715E1DF2" w14:textId="77777777" w:rsidR="00E24FD2" w:rsidRPr="00BC31E0" w:rsidRDefault="00E24FD2" w:rsidP="00A22005">
            <w:pPr>
              <w:pStyle w:val="15"/>
              <w:ind w:firstLineChars="0" w:firstLine="0"/>
            </w:pPr>
            <w:r w:rsidRPr="00BC31E0">
              <w:rPr>
                <w:rFonts w:hint="eastAsia"/>
              </w:rPr>
              <w:t>のとき</w:t>
            </w:r>
          </w:p>
        </w:tc>
      </w:tr>
    </w:tbl>
    <w:tbl>
      <w:tblPr>
        <w:tblStyle w:val="afff2"/>
        <w:tblW w:w="6095" w:type="dxa"/>
        <w:tblInd w:w="29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6"/>
        <w:gridCol w:w="3589"/>
      </w:tblGrid>
      <w:tr w:rsidR="00E24FD2" w:rsidRPr="00BC31E0" w14:paraId="1D695E43" w14:textId="77777777" w:rsidTr="004736F2">
        <w:trPr>
          <w:cantSplit/>
        </w:trPr>
        <w:tc>
          <w:tcPr>
            <w:tcW w:w="0" w:type="auto"/>
            <w:tcMar>
              <w:left w:w="0" w:type="dxa"/>
              <w:right w:w="0" w:type="dxa"/>
            </w:tcMar>
          </w:tcPr>
          <w:p w14:paraId="6C5175BF" w14:textId="77777777" w:rsidR="00E24FD2" w:rsidRPr="00BC31E0" w:rsidRDefault="00A51873" w:rsidP="002D75AE">
            <w:pPr>
              <w:pStyle w:val="15"/>
              <w:tabs>
                <w:tab w:val="left" w:leader="middleDot" w:pos="8505"/>
              </w:tabs>
              <w:ind w:firstLine="210"/>
              <w:rPr>
                <w:i/>
                <w:szCs w:val="21"/>
              </w:rPr>
            </w:pPr>
            <m:oMathPara>
              <m:oMathParaPr>
                <m:jc m:val="left"/>
              </m:oMathParaPr>
              <m:oMath>
                <m:sSub>
                  <m:sSubPr>
                    <m:ctrlPr>
                      <w:rPr>
                        <w:rFonts w:ascii="Cambria Math" w:hAnsi="Cambria Math"/>
                        <w:i/>
                        <w:szCs w:val="21"/>
                      </w:rPr>
                    </m:ctrlPr>
                  </m:sSubPr>
                  <m:e>
                    <m:r>
                      <w:rPr>
                        <w:rFonts w:ascii="Cambria Math" w:hAnsi="Cambria Math"/>
                        <w:szCs w:val="21"/>
                      </w:rPr>
                      <m:t>K</m:t>
                    </m:r>
                  </m:e>
                  <m:sub>
                    <m:r>
                      <w:rPr>
                        <w:rFonts w:ascii="Cambria Math" w:hAnsi="Cambria Math"/>
                        <w:szCs w:val="21"/>
                      </w:rPr>
                      <m:t>e</m:t>
                    </m:r>
                  </m:sub>
                </m:sSub>
                <m:r>
                  <w:rPr>
                    <w:rFonts w:ascii="Cambria Math" w:hAnsi="Cambria Math"/>
                    <w:szCs w:val="21"/>
                  </w:rPr>
                  <m:t>=1+</m:t>
                </m:r>
                <m:d>
                  <m:dPr>
                    <m:ctrlPr>
                      <w:rPr>
                        <w:rFonts w:ascii="Cambria Math" w:hAnsi="Cambria Math"/>
                        <w:i/>
                        <w:szCs w:val="21"/>
                      </w:rPr>
                    </m:ctrlPr>
                  </m:dPr>
                  <m:e>
                    <m:r>
                      <w:rPr>
                        <w:rFonts w:ascii="Cambria Math" w:hAnsi="Cambria Math"/>
                        <w:szCs w:val="21"/>
                      </w:rPr>
                      <m:t>q-1</m:t>
                    </m:r>
                  </m:e>
                </m:d>
                <m:d>
                  <m:dPr>
                    <m:ctrlPr>
                      <w:rPr>
                        <w:rFonts w:ascii="Cambria Math" w:hAnsi="Cambria Math"/>
                        <w:i/>
                        <w:szCs w:val="21"/>
                      </w:rPr>
                    </m:ctrlPr>
                  </m:dPr>
                  <m:e>
                    <m:r>
                      <w:rPr>
                        <w:rFonts w:ascii="Cambria Math" w:hAnsi="Cambria Math"/>
                        <w:szCs w:val="21"/>
                      </w:rPr>
                      <m:t>1-</m:t>
                    </m:r>
                    <m:f>
                      <m:fPr>
                        <m:ctrlPr>
                          <w:rPr>
                            <w:rFonts w:ascii="Cambria Math" w:hAnsi="Cambria Math"/>
                            <w:i/>
                            <w:szCs w:val="21"/>
                          </w:rPr>
                        </m:ctrlPr>
                      </m:fPr>
                      <m:num>
                        <m:r>
                          <w:rPr>
                            <w:rFonts w:ascii="Cambria Math" w:hAnsi="Cambria Math"/>
                            <w:szCs w:val="21"/>
                          </w:rPr>
                          <m:t>2</m:t>
                        </m:r>
                        <m:r>
                          <w:rPr>
                            <w:rFonts w:ascii="Cambria Math" w:hAnsi="Cambria Math" w:hint="eastAsia"/>
                            <w:szCs w:val="21"/>
                          </w:rPr>
                          <m:t xml:space="preserve"> </m:t>
                        </m:r>
                        <m:sSub>
                          <m:sSubPr>
                            <m:ctrlPr>
                              <w:rPr>
                                <w:rFonts w:ascii="Cambria Math" w:hAnsi="Cambria Math"/>
                                <w:i/>
                                <w:szCs w:val="21"/>
                              </w:rPr>
                            </m:ctrlPr>
                          </m:sSubPr>
                          <m:e>
                            <m:r>
                              <w:rPr>
                                <w:rFonts w:ascii="Cambria Math" w:hAnsi="Cambria Math"/>
                                <w:szCs w:val="21"/>
                              </w:rPr>
                              <m:t>S</m:t>
                            </m:r>
                          </m:e>
                          <m:sub>
                            <m:r>
                              <w:rPr>
                                <w:rFonts w:ascii="Cambria Math" w:hAnsi="Cambria Math"/>
                                <w:szCs w:val="21"/>
                              </w:rPr>
                              <m:t>y</m:t>
                            </m:r>
                          </m:sub>
                        </m:sSub>
                      </m:num>
                      <m:den>
                        <m:r>
                          <w:rPr>
                            <w:rFonts w:ascii="Cambria Math" w:hAnsi="Cambria Math"/>
                            <w:szCs w:val="21"/>
                          </w:rPr>
                          <m:t>∆</m:t>
                        </m:r>
                        <m:sSub>
                          <m:sSubPr>
                            <m:ctrlPr>
                              <w:rPr>
                                <w:rFonts w:ascii="Cambria Math" w:hAnsi="Cambria Math"/>
                                <w:i/>
                                <w:szCs w:val="21"/>
                              </w:rPr>
                            </m:ctrlPr>
                          </m:sSubPr>
                          <m:e>
                            <m:r>
                              <w:rPr>
                                <w:rFonts w:ascii="Cambria Math" w:hAnsi="Cambria Math"/>
                                <w:szCs w:val="21"/>
                              </w:rPr>
                              <m:t>S</m:t>
                            </m:r>
                          </m:e>
                          <m:sub>
                            <m:r>
                              <w:rPr>
                                <w:rFonts w:ascii="Cambria Math" w:hAnsi="Cambria Math"/>
                                <w:szCs w:val="21"/>
                              </w:rPr>
                              <m:t>n</m:t>
                            </m:r>
                          </m:sub>
                        </m:sSub>
                      </m:den>
                    </m:f>
                  </m:e>
                </m:d>
              </m:oMath>
            </m:oMathPara>
          </w:p>
        </w:tc>
        <w:tc>
          <w:tcPr>
            <w:tcW w:w="3589" w:type="dxa"/>
            <w:tcMar>
              <w:left w:w="0" w:type="dxa"/>
              <w:right w:w="0" w:type="dxa"/>
            </w:tcMar>
            <w:vAlign w:val="center"/>
          </w:tcPr>
          <w:p w14:paraId="0C1F0757" w14:textId="77777777" w:rsidR="00E24FD2" w:rsidRPr="00BC31E0" w:rsidRDefault="00E24FD2" w:rsidP="002D75AE">
            <w:pPr>
              <w:pStyle w:val="15"/>
              <w:tabs>
                <w:tab w:val="left" w:leader="middleDot" w:pos="3037"/>
              </w:tabs>
              <w:ind w:firstLine="210"/>
              <w:jc w:val="left"/>
            </w:pPr>
            <w:r w:rsidRPr="00BC31E0">
              <w:tab/>
            </w:r>
            <w:r w:rsidRPr="00BC31E0">
              <w:rPr>
                <w:rFonts w:hint="eastAsia"/>
              </w:rPr>
              <w:t>(6)</w:t>
            </w:r>
          </w:p>
        </w:tc>
      </w:tr>
    </w:tbl>
    <w:p w14:paraId="6E51F905" w14:textId="77777777" w:rsidR="00E24FD2" w:rsidRPr="00BC31E0" w:rsidRDefault="00E24FD2" w:rsidP="002D75AE">
      <w:pPr>
        <w:ind w:left="1021"/>
      </w:pPr>
      <w:r w:rsidRPr="00BC31E0">
        <w:rPr>
          <w:rFonts w:hint="eastAsia"/>
        </w:rPr>
        <w:t>ここで，</w:t>
      </w:r>
    </w:p>
    <w:p w14:paraId="59CB15FF" w14:textId="77777777" w:rsidR="00E24FD2" w:rsidRPr="00BC31E0" w:rsidRDefault="00E24FD2" w:rsidP="002D75AE">
      <w:pPr>
        <w:ind w:left="1247"/>
        <w:rPr>
          <w:i/>
        </w:rPr>
      </w:pPr>
      <m:oMathPara>
        <m:oMathParaPr>
          <m:jc m:val="left"/>
        </m:oMathParaPr>
        <m:oMath>
          <m:r>
            <w:rPr>
              <w:rFonts w:ascii="Cambria Math" w:hAnsi="Cambria Math"/>
            </w:rPr>
            <m:t>K=</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num>
            <m:den>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n</m:t>
                  </m:r>
                </m:sub>
              </m:sSub>
            </m:den>
          </m:f>
        </m:oMath>
      </m:oMathPara>
    </w:p>
    <w:p w14:paraId="5F17C81A" w14:textId="77777777" w:rsidR="00E24FD2" w:rsidRPr="00BC31E0" w:rsidRDefault="00E24FD2" w:rsidP="002D75AE">
      <w:pPr>
        <w:ind w:left="1247"/>
      </w:pPr>
      <m:oMathPara>
        <m:oMathParaPr>
          <m:jc m:val="left"/>
        </m:oMathParaPr>
        <m:oMath>
          <m:r>
            <w:rPr>
              <w:rFonts w:ascii="Cambria Math" w:hAnsi="Cambria Math"/>
            </w:rPr>
            <m:t>a</m:t>
          </m:r>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0</m:t>
              </m:r>
            </m:sub>
          </m:sSub>
          <m:d>
            <m:dPr>
              <m:ctrlPr>
                <w:rPr>
                  <w:rFonts w:ascii="Cambria Math" w:hAnsi="Cambria Math"/>
                </w:rPr>
              </m:ctrlPr>
            </m:dPr>
            <m:e>
              <m:r>
                <m:rPr>
                  <m:sty m:val="p"/>
                </m:rPr>
                <w:rPr>
                  <w:rFonts w:ascii="Cambria Math" w:hAnsi="Cambria Math"/>
                </w:rPr>
                <m:t>1-</m:t>
              </m:r>
              <m:f>
                <m:fPr>
                  <m:ctrlPr>
                    <w:rPr>
                      <w:rFonts w:ascii="Cambria Math" w:hAnsi="Cambria Math"/>
                    </w:rPr>
                  </m:ctrlPr>
                </m:fPr>
                <m:num>
                  <m:r>
                    <m:rPr>
                      <m:sty m:val="p"/>
                    </m:rPr>
                    <w:rPr>
                      <w:rFonts w:ascii="Cambria Math" w:hAnsi="Cambria Math"/>
                    </w:rPr>
                    <m:t>1</m:t>
                  </m:r>
                </m:num>
                <m:den>
                  <m:r>
                    <w:rPr>
                      <w:rFonts w:ascii="Cambria Math" w:hAnsi="Cambria Math"/>
                    </w:rPr>
                    <m:t>K</m:t>
                  </m:r>
                </m:den>
              </m:f>
            </m:e>
          </m:d>
          <m:r>
            <m:rPr>
              <m:sty m:val="p"/>
            </m:rPr>
            <w:rPr>
              <w:rFonts w:ascii="Cambria Math" w:hAnsi="Cambria Math"/>
            </w:rPr>
            <m:t>+</m:t>
          </m:r>
          <m:d>
            <m:dPr>
              <m:ctrlPr>
                <w:rPr>
                  <w:rFonts w:ascii="Cambria Math" w:hAnsi="Cambria Math"/>
                </w:rPr>
              </m:ctrlPr>
            </m:dPr>
            <m:e>
              <m:r>
                <w:rPr>
                  <w:rFonts w:ascii="Cambria Math" w:hAnsi="Cambria Math"/>
                </w:rPr>
                <m:t>q</m:t>
              </m:r>
              <m:r>
                <m:rPr>
                  <m:sty m:val="p"/>
                </m:rPr>
                <w:rPr>
                  <w:rFonts w:ascii="Cambria Math" w:hAnsi="Cambria Math"/>
                </w:rPr>
                <m:t>-1</m:t>
              </m:r>
            </m:e>
          </m:d>
          <m:r>
            <m:rPr>
              <m:sty m:val="p"/>
            </m:rPr>
            <w:rPr>
              <w:rFonts w:ascii="Cambria Math" w:hAnsi="Cambria Math"/>
            </w:rPr>
            <m:t>-2</m:t>
          </m:r>
          <m:rad>
            <m:radPr>
              <m:degHide m:val="1"/>
              <m:ctrlPr>
                <w:rPr>
                  <w:rFonts w:ascii="Cambria Math" w:hAnsi="Cambria Math"/>
                </w:rPr>
              </m:ctrlPr>
            </m:radPr>
            <m:deg/>
            <m:e>
              <m:sSub>
                <m:sSubPr>
                  <m:ctrlPr>
                    <w:rPr>
                      <w:rFonts w:ascii="Cambria Math" w:hAnsi="Cambria Math"/>
                    </w:rPr>
                  </m:ctrlPr>
                </m:sSubPr>
                <m:e>
                  <m:r>
                    <w:rPr>
                      <w:rFonts w:ascii="Cambria Math" w:hAnsi="Cambria Math"/>
                    </w:rPr>
                    <m:t>A</m:t>
                  </m:r>
                </m:e>
                <m:sub>
                  <m:r>
                    <m:rPr>
                      <m:sty m:val="p"/>
                    </m:rPr>
                    <w:rPr>
                      <w:rFonts w:ascii="Cambria Math" w:hAnsi="Cambria Math"/>
                    </w:rPr>
                    <m:t>0</m:t>
                  </m:r>
                </m:sub>
              </m:sSub>
              <m:d>
                <m:dPr>
                  <m:ctrlPr>
                    <w:rPr>
                      <w:rFonts w:ascii="Cambria Math" w:hAnsi="Cambria Math"/>
                    </w:rPr>
                  </m:ctrlPr>
                </m:dPr>
                <m:e>
                  <m:r>
                    <m:rPr>
                      <m:sty m:val="p"/>
                    </m:rPr>
                    <w:rPr>
                      <w:rFonts w:ascii="Cambria Math" w:hAnsi="Cambria Math"/>
                    </w:rPr>
                    <m:t>1-</m:t>
                  </m:r>
                  <m:f>
                    <m:fPr>
                      <m:ctrlPr>
                        <w:rPr>
                          <w:rFonts w:ascii="Cambria Math" w:hAnsi="Cambria Math"/>
                        </w:rPr>
                      </m:ctrlPr>
                    </m:fPr>
                    <m:num>
                      <m:r>
                        <m:rPr>
                          <m:sty m:val="p"/>
                        </m:rPr>
                        <w:rPr>
                          <w:rFonts w:ascii="Cambria Math" w:hAnsi="Cambria Math"/>
                        </w:rPr>
                        <m:t>1</m:t>
                      </m:r>
                    </m:num>
                    <m:den>
                      <m:r>
                        <w:rPr>
                          <w:rFonts w:ascii="Cambria Math" w:hAnsi="Cambria Math"/>
                        </w:rPr>
                        <m:t>K</m:t>
                      </m:r>
                    </m:den>
                  </m:f>
                </m:e>
              </m:d>
              <m:d>
                <m:dPr>
                  <m:ctrlPr>
                    <w:rPr>
                      <w:rFonts w:ascii="Cambria Math" w:hAnsi="Cambria Math"/>
                    </w:rPr>
                  </m:ctrlPr>
                </m:dPr>
                <m:e>
                  <m:r>
                    <w:rPr>
                      <w:rFonts w:ascii="Cambria Math" w:hAnsi="Cambria Math"/>
                    </w:rPr>
                    <m:t>q</m:t>
                  </m:r>
                  <m:r>
                    <m:rPr>
                      <m:sty m:val="p"/>
                    </m:rPr>
                    <w:rPr>
                      <w:rFonts w:ascii="Cambria Math" w:hAnsi="Cambria Math"/>
                    </w:rPr>
                    <m:t>-1</m:t>
                  </m:r>
                </m:e>
              </m:d>
            </m:e>
          </m:rad>
        </m:oMath>
      </m:oMathPara>
    </w:p>
    <w:p w14:paraId="2E647FF0" w14:textId="77777777" w:rsidR="00E24FD2" w:rsidRPr="00BC31E0" w:rsidRDefault="00E24FD2" w:rsidP="002D75AE">
      <w:pPr>
        <w:tabs>
          <w:tab w:val="left" w:pos="1701"/>
        </w:tabs>
        <w:ind w:left="1247"/>
      </w:pPr>
      <m:oMath>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oMath>
      <w:r w:rsidRPr="00BC31E0">
        <w:rPr>
          <w:rFonts w:asciiTheme="minorEastAsia" w:eastAsiaTheme="minorEastAsia" w:hAnsiTheme="minorEastAsia" w:hint="eastAsia"/>
        </w:rPr>
        <w:tab/>
        <w:t>： 一次＋二次＋ピーク相当応力範囲</w:t>
      </w:r>
      <m:oMath>
        <m:r>
          <m:rPr>
            <m:sty m:val="p"/>
          </m:rPr>
          <w:rPr>
            <w:rFonts w:ascii="Cambria Math" w:eastAsiaTheme="minorEastAsia" w:hAnsi="Cambria Math" w:hint="eastAsia"/>
          </w:rPr>
          <m:t xml:space="preserve"> </m:t>
        </m:r>
        <m:d>
          <m:dPr>
            <m:ctrlPr>
              <w:rPr>
                <w:rFonts w:ascii="Cambria Math" w:eastAsiaTheme="minorEastAsia" w:hAnsiTheme="minorHAnsi"/>
                <w:i/>
              </w:rPr>
            </m:ctrlPr>
          </m:dPr>
          <m:e>
            <m:sSub>
              <m:sSubPr>
                <m:ctrlPr>
                  <w:rPr>
                    <w:rFonts w:ascii="Cambria Math" w:eastAsiaTheme="minorEastAsia" w:hAnsiTheme="minorHAnsi"/>
                    <w:i/>
                  </w:rPr>
                </m:ctrlPr>
              </m:sSubPr>
              <m:e>
                <m:r>
                  <w:rPr>
                    <w:rFonts w:ascii="Cambria Math" w:eastAsiaTheme="minorEastAsia" w:hAnsi="Cambria Math"/>
                  </w:rPr>
                  <m:t>P</m:t>
                </m:r>
              </m:e>
              <m:sub>
                <m:r>
                  <w:rPr>
                    <w:rFonts w:ascii="Cambria Math" w:eastAsiaTheme="minorEastAsia" w:hAnsiTheme="minorHAnsi"/>
                  </w:rPr>
                  <m:t>L</m:t>
                </m:r>
              </m:sub>
            </m:sSub>
            <m:r>
              <w:rPr>
                <w:rFonts w:ascii="Cambria Math" w:eastAsiaTheme="minorEastAsia" w:hAnsiTheme="minorHAnsi"/>
              </w:rPr>
              <m:t>+</m:t>
            </m:r>
            <m:sSub>
              <m:sSubPr>
                <m:ctrlPr>
                  <w:rPr>
                    <w:rFonts w:ascii="Cambria Math" w:eastAsiaTheme="minorEastAsia" w:hAnsiTheme="minorHAnsi"/>
                    <w:i/>
                  </w:rPr>
                </m:ctrlPr>
              </m:sSubPr>
              <m:e>
                <m:r>
                  <w:rPr>
                    <w:rFonts w:ascii="Cambria Math" w:eastAsiaTheme="minorEastAsia" w:hAnsi="Cambria Math"/>
                  </w:rPr>
                  <m:t>P</m:t>
                </m:r>
              </m:e>
              <m:sub>
                <m:r>
                  <w:rPr>
                    <w:rFonts w:ascii="Cambria Math" w:eastAsiaTheme="minorEastAsia" w:hAnsiTheme="minorHAnsi"/>
                  </w:rPr>
                  <m:t>b</m:t>
                </m:r>
              </m:sub>
            </m:sSub>
            <m:r>
              <w:rPr>
                <w:rFonts w:ascii="Cambria Math" w:eastAsiaTheme="minorEastAsia" w:hAnsiTheme="minorHAnsi"/>
              </w:rPr>
              <m:t>+</m:t>
            </m:r>
            <m:r>
              <w:rPr>
                <w:rFonts w:ascii="Cambria Math" w:eastAsiaTheme="minorEastAsia" w:hAnsi="Cambria Math"/>
              </w:rPr>
              <m:t>Q</m:t>
            </m:r>
            <m:r>
              <w:rPr>
                <w:rFonts w:ascii="Cambria Math" w:eastAsiaTheme="minorEastAsia" w:hAnsiTheme="minorHAnsi"/>
              </w:rPr>
              <m:t>+</m:t>
            </m:r>
            <m:r>
              <w:rPr>
                <w:rFonts w:ascii="Cambria Math" w:eastAsiaTheme="minorEastAsia" w:hAnsi="Cambria Math"/>
              </w:rPr>
              <m:t>F</m:t>
            </m:r>
          </m:e>
        </m:d>
      </m:oMath>
      <w:r w:rsidRPr="00BC31E0">
        <w:rPr>
          <w:rFonts w:asciiTheme="minorEastAsia" w:eastAsiaTheme="minorEastAsia" w:hAnsiTheme="minorEastAsia" w:hint="eastAsia"/>
        </w:rPr>
        <w:t xml:space="preserve"> </w:t>
      </w:r>
      <w:r w:rsidRPr="00BC31E0">
        <w:rPr>
          <w:rFonts w:hint="eastAsia"/>
        </w:rPr>
        <w:t>(</w:t>
      </w:r>
      <w:r w:rsidRPr="00BC31E0">
        <w:rPr>
          <w:rFonts w:ascii="Cambria Math" w:hAnsi="Cambria Math"/>
        </w:rPr>
        <w:t>MPa</w:t>
      </w:r>
      <w:r w:rsidRPr="00BC31E0">
        <w:rPr>
          <w:rFonts w:hint="eastAsia"/>
        </w:rPr>
        <w:t>)</w:t>
      </w:r>
    </w:p>
    <w:p w14:paraId="608CE2A4" w14:textId="77777777" w:rsidR="00E24FD2" w:rsidRPr="00BC31E0" w:rsidRDefault="00E24FD2" w:rsidP="002D75AE">
      <w:pPr>
        <w:tabs>
          <w:tab w:val="left" w:pos="1701"/>
        </w:tabs>
        <w:ind w:left="1247"/>
      </w:pPr>
      <m:oMath>
        <m:r>
          <w:rPr>
            <w:rFonts w:ascii="Cambria Math" w:hAnsi="Cambria Math"/>
          </w:rPr>
          <m:t>∆</m:t>
        </m:r>
        <m:sSub>
          <m:sSubPr>
            <m:ctrlPr>
              <w:rPr>
                <w:rFonts w:ascii="Cambria Math" w:hAnsi="Cambria Math"/>
                <w:i/>
              </w:rPr>
            </m:ctrlPr>
          </m:sSubPr>
          <m:e>
            <m:r>
              <w:rPr>
                <w:rFonts w:ascii="Cambria Math" w:hAnsi="Cambria Math" w:hint="eastAsia"/>
              </w:rPr>
              <m:t>S</m:t>
            </m:r>
          </m:e>
          <m:sub>
            <m:r>
              <w:rPr>
                <w:rFonts w:ascii="Cambria Math" w:hAnsi="Cambria Math"/>
              </w:rPr>
              <m:t>n</m:t>
            </m:r>
          </m:sub>
        </m:sSub>
      </m:oMath>
      <w:r w:rsidRPr="00BC31E0">
        <w:rPr>
          <w:rFonts w:hint="eastAsia"/>
        </w:rPr>
        <w:tab/>
      </w:r>
      <w:r w:rsidRPr="00BC31E0">
        <w:rPr>
          <w:rFonts w:asciiTheme="minorEastAsia" w:eastAsiaTheme="minorEastAsia" w:hAnsiTheme="minorEastAsia" w:hint="eastAsia"/>
        </w:rPr>
        <w:t>： 一次＋二次相当応力範囲</w:t>
      </w:r>
      <m:oMath>
        <m:r>
          <m:rPr>
            <m:sty m:val="p"/>
          </m:rPr>
          <w:rPr>
            <w:rFonts w:ascii="Cambria Math" w:eastAsiaTheme="minorEastAsia" w:hAnsi="Cambria Math" w:hint="eastAsia"/>
          </w:rPr>
          <m:t xml:space="preserve"> </m:t>
        </m:r>
        <m:d>
          <m:dPr>
            <m:ctrlPr>
              <w:rPr>
                <w:rFonts w:ascii="Cambria Math" w:eastAsiaTheme="minorEastAsia" w:hAnsiTheme="minorHAnsi"/>
                <w:i/>
              </w:rPr>
            </m:ctrlPr>
          </m:dPr>
          <m:e>
            <m:sSub>
              <m:sSubPr>
                <m:ctrlPr>
                  <w:rPr>
                    <w:rFonts w:ascii="Cambria Math" w:eastAsiaTheme="minorEastAsia" w:hAnsiTheme="minorHAnsi"/>
                    <w:i/>
                  </w:rPr>
                </m:ctrlPr>
              </m:sSubPr>
              <m:e>
                <m:r>
                  <w:rPr>
                    <w:rFonts w:ascii="Cambria Math" w:eastAsiaTheme="minorEastAsia" w:hAnsi="Cambria Math"/>
                  </w:rPr>
                  <m:t>P</m:t>
                </m:r>
              </m:e>
              <m:sub>
                <m:r>
                  <w:rPr>
                    <w:rFonts w:ascii="Cambria Math" w:eastAsiaTheme="minorEastAsia" w:hAnsiTheme="minorHAnsi"/>
                  </w:rPr>
                  <m:t>L</m:t>
                </m:r>
              </m:sub>
            </m:sSub>
            <m:r>
              <w:rPr>
                <w:rFonts w:ascii="Cambria Math" w:eastAsiaTheme="minorEastAsia" w:hAnsiTheme="minorHAnsi"/>
              </w:rPr>
              <m:t>+</m:t>
            </m:r>
            <m:sSub>
              <m:sSubPr>
                <m:ctrlPr>
                  <w:rPr>
                    <w:rFonts w:ascii="Cambria Math" w:eastAsiaTheme="minorEastAsia" w:hAnsiTheme="minorHAnsi"/>
                    <w:i/>
                  </w:rPr>
                </m:ctrlPr>
              </m:sSubPr>
              <m:e>
                <m:r>
                  <w:rPr>
                    <w:rFonts w:ascii="Cambria Math" w:eastAsiaTheme="minorEastAsia" w:hAnsi="Cambria Math"/>
                  </w:rPr>
                  <m:t>P</m:t>
                </m:r>
              </m:e>
              <m:sub>
                <m:r>
                  <w:rPr>
                    <w:rFonts w:ascii="Cambria Math" w:eastAsiaTheme="minorEastAsia" w:hAnsiTheme="minorHAnsi"/>
                  </w:rPr>
                  <m:t>b</m:t>
                </m:r>
              </m:sub>
            </m:sSub>
            <m:r>
              <w:rPr>
                <w:rFonts w:ascii="Cambria Math" w:eastAsiaTheme="minorEastAsia" w:hAnsiTheme="minorHAnsi"/>
              </w:rPr>
              <m:t>+</m:t>
            </m:r>
            <m:r>
              <w:rPr>
                <w:rFonts w:ascii="Cambria Math" w:eastAsiaTheme="minorEastAsia" w:hAnsi="Cambria Math"/>
              </w:rPr>
              <m:t>Q</m:t>
            </m:r>
          </m:e>
        </m:d>
      </m:oMath>
      <w:r w:rsidRPr="00BC31E0">
        <w:rPr>
          <w:rFonts w:asciiTheme="minorEastAsia" w:eastAsiaTheme="minorEastAsia" w:hAnsiTheme="minorEastAsia" w:hint="eastAsia"/>
        </w:rPr>
        <w:t xml:space="preserve"> </w:t>
      </w:r>
      <w:r w:rsidRPr="00BC31E0">
        <w:rPr>
          <w:rFonts w:hint="eastAsia"/>
        </w:rPr>
        <w:t>(</w:t>
      </w:r>
      <w:r w:rsidRPr="00BC31E0">
        <w:rPr>
          <w:rFonts w:ascii="Cambria Math" w:hAnsi="Cambria Math"/>
        </w:rPr>
        <w:t>MPa</w:t>
      </w:r>
      <w:r w:rsidRPr="00BC31E0">
        <w:rPr>
          <w:rFonts w:hint="eastAsia"/>
        </w:rPr>
        <w:t>)</w:t>
      </w:r>
    </w:p>
    <w:p w14:paraId="17DFA039" w14:textId="77777777" w:rsidR="00E24FD2" w:rsidRPr="00BC31E0" w:rsidRDefault="00A51873" w:rsidP="002D75AE">
      <w:pPr>
        <w:tabs>
          <w:tab w:val="left" w:pos="1701"/>
        </w:tabs>
        <w:ind w:left="1247"/>
      </w:pPr>
      <m:oMath>
        <m:sSub>
          <m:sSubPr>
            <m:ctrlPr>
              <w:rPr>
                <w:rFonts w:ascii="Cambria Math" w:hAnsi="Cambria Math"/>
                <w:i/>
              </w:rPr>
            </m:ctrlPr>
          </m:sSubPr>
          <m:e>
            <m:r>
              <w:rPr>
                <w:rFonts w:ascii="Cambria Math" w:hAnsi="Cambria Math" w:hint="eastAsia"/>
              </w:rPr>
              <m:t>S</m:t>
            </m:r>
          </m:e>
          <m:sub>
            <m:r>
              <w:rPr>
                <w:rFonts w:ascii="Cambria Math" w:hAnsi="Cambria Math" w:hint="eastAsia"/>
              </w:rPr>
              <m:t>y</m:t>
            </m:r>
          </m:sub>
        </m:sSub>
      </m:oMath>
      <w:r w:rsidR="00E24FD2" w:rsidRPr="00BC31E0">
        <w:rPr>
          <w:rFonts w:hint="eastAsia"/>
        </w:rPr>
        <w:tab/>
      </w:r>
      <w:r w:rsidR="00E24FD2" w:rsidRPr="00BC31E0">
        <w:rPr>
          <w:rFonts w:hint="eastAsia"/>
        </w:rPr>
        <w:t>：</w:t>
      </w:r>
      <w:r w:rsidR="00E24FD2" w:rsidRPr="00BC31E0">
        <w:rPr>
          <w:rFonts w:hint="eastAsia"/>
        </w:rPr>
        <w:t xml:space="preserve"> </w:t>
      </w:r>
      <w:r w:rsidR="00E24FD2" w:rsidRPr="00BC31E0">
        <w:rPr>
          <w:rFonts w:asciiTheme="minorEastAsia" w:eastAsiaTheme="minorEastAsia" w:hAnsiTheme="minorEastAsia" w:hint="eastAsia"/>
        </w:rPr>
        <w:t xml:space="preserve">温度サイクル中の最高温度と最低温度の平均温度における降伏強さ </w:t>
      </w:r>
      <w:r w:rsidR="00E24FD2" w:rsidRPr="00BC31E0">
        <w:rPr>
          <w:rFonts w:hint="eastAsia"/>
        </w:rPr>
        <w:t>(</w:t>
      </w:r>
      <w:r w:rsidR="00E24FD2" w:rsidRPr="00BC31E0">
        <w:rPr>
          <w:rFonts w:ascii="Cambria Math" w:hAnsi="Cambria Math"/>
        </w:rPr>
        <w:t>MPa</w:t>
      </w:r>
      <w:r w:rsidR="00E24FD2" w:rsidRPr="00BC31E0">
        <w:rPr>
          <w:rFonts w:hint="eastAsia"/>
        </w:rPr>
        <w:t>)</w:t>
      </w:r>
    </w:p>
    <w:p w14:paraId="79125ABC" w14:textId="77777777" w:rsidR="00E24FD2" w:rsidRPr="00BC31E0" w:rsidRDefault="00E24FD2" w:rsidP="002D75AE">
      <w:pPr>
        <w:ind w:left="1247"/>
        <w:rPr>
          <w:rFonts w:asciiTheme="minorEastAsia" w:eastAsiaTheme="minorEastAsia" w:hAnsiTheme="minorEastAsia"/>
        </w:rPr>
      </w:pPr>
      <m:oMath>
        <m:r>
          <w:rPr>
            <w:rFonts w:ascii="Cambria Math" w:hAnsi="Cambria Math" w:hint="eastAsia"/>
          </w:rPr>
          <m:t>q</m:t>
        </m:r>
        <m:r>
          <m:rPr>
            <m:sty m:val="p"/>
          </m:rPr>
          <w:rPr>
            <w:rFonts w:ascii="Cambria Math" w:hAnsi="Cambria Math" w:hint="eastAsia"/>
          </w:rPr>
          <m:t>，</m:t>
        </m:r>
        <m:sSub>
          <m:sSubPr>
            <m:ctrlPr>
              <w:rPr>
                <w:rFonts w:ascii="Cambria Math" w:hAnsi="Cambria Math"/>
              </w:rPr>
            </m:ctrlPr>
          </m:sSubPr>
          <m:e>
            <m:r>
              <w:rPr>
                <w:rFonts w:ascii="Cambria Math" w:hAnsi="Cambria Math"/>
              </w:rPr>
              <m:t>A</m:t>
            </m:r>
          </m:e>
          <m:sub>
            <m:r>
              <m:rPr>
                <m:sty m:val="p"/>
              </m:rPr>
              <w:rPr>
                <w:rFonts w:ascii="Cambria Math" w:hAnsi="Cambria Math"/>
              </w:rPr>
              <m:t>0</m:t>
            </m:r>
          </m:sub>
        </m:sSub>
        <m:r>
          <m:rPr>
            <m:sty m:val="p"/>
          </m:rPr>
          <w:rPr>
            <w:rFonts w:ascii="Cambria Math" w:hAnsi="Cambria Math" w:hint="eastAsia"/>
          </w:rPr>
          <m:t>，</m:t>
        </m:r>
        <m:sSub>
          <m:sSubPr>
            <m:ctrlPr>
              <w:rPr>
                <w:rFonts w:ascii="Cambria Math" w:hAnsi="Cambria Math"/>
              </w:rPr>
            </m:ctrlPr>
          </m:sSubPr>
          <m:e>
            <m:r>
              <w:rPr>
                <w:rFonts w:ascii="Cambria Math" w:hAnsi="Cambria Math"/>
              </w:rPr>
              <m:t>B</m:t>
            </m:r>
          </m:e>
          <m:sub>
            <m:r>
              <m:rPr>
                <m:sty m:val="p"/>
              </m:rPr>
              <w:rPr>
                <w:rFonts w:ascii="Cambria Math" w:hAnsi="Cambria Math"/>
              </w:rPr>
              <m:t>0</m:t>
            </m:r>
          </m:sub>
        </m:sSub>
      </m:oMath>
      <w:r w:rsidRPr="00BC31E0">
        <w:rPr>
          <w:rFonts w:hint="eastAsia"/>
        </w:rPr>
        <w:t xml:space="preserve"> </w:t>
      </w:r>
      <w:r w:rsidRPr="00BC31E0">
        <w:rPr>
          <w:rFonts w:hint="eastAsia"/>
        </w:rPr>
        <w:t>：</w:t>
      </w:r>
      <w:r w:rsidRPr="00BC31E0">
        <w:rPr>
          <w:rFonts w:hint="eastAsia"/>
        </w:rPr>
        <w:t xml:space="preserve"> </w:t>
      </w:r>
      <w:r w:rsidRPr="00BC31E0">
        <w:rPr>
          <w:rFonts w:asciiTheme="minorEastAsia" w:eastAsiaTheme="minorEastAsia" w:hAnsiTheme="minorEastAsia" w:hint="eastAsia"/>
        </w:rPr>
        <w:t>材料の種類によって</w:t>
      </w:r>
      <w:r w:rsidRPr="00BC31E0">
        <w:rPr>
          <w:rFonts w:asciiTheme="majorEastAsia" w:eastAsiaTheme="majorEastAsia" w:hAnsiTheme="majorEastAsia" w:hint="eastAsia"/>
          <w:b/>
        </w:rPr>
        <w:t>表J.3</w:t>
      </w:r>
      <w:r w:rsidRPr="00BC31E0">
        <w:rPr>
          <w:rFonts w:asciiTheme="minorEastAsia" w:eastAsiaTheme="minorEastAsia" w:hAnsiTheme="minorEastAsia" w:hint="eastAsia"/>
        </w:rPr>
        <w:t>で与えられる値</w:t>
      </w:r>
    </w:p>
    <w:p w14:paraId="502FC8B2" w14:textId="77777777" w:rsidR="00E24FD2" w:rsidRPr="00BC31E0" w:rsidRDefault="00E24FD2" w:rsidP="002D75AE">
      <w:pPr>
        <w:jc w:val="center"/>
        <w:rPr>
          <w:rFonts w:asciiTheme="majorEastAsia" w:hAnsiTheme="majorEastAsia"/>
        </w:rPr>
      </w:pPr>
      <w:r w:rsidRPr="00BC31E0">
        <w:rPr>
          <w:rFonts w:asciiTheme="majorEastAsia" w:eastAsiaTheme="majorEastAsia" w:hAnsiTheme="majorEastAsia" w:hint="eastAsia"/>
          <w:b/>
        </w:rPr>
        <w:lastRenderedPageBreak/>
        <w:t>表J.3　係数</w:t>
      </w:r>
      <m:oMath>
        <m:sSub>
          <m:sSubPr>
            <m:ctrlPr>
              <w:rPr>
                <w:rFonts w:ascii="Cambria Math" w:hAnsi="Cambria Math"/>
              </w:rPr>
            </m:ctrlPr>
          </m:sSubPr>
          <m:e>
            <m:r>
              <m:rPr>
                <m:sty m:val="bi"/>
              </m:rPr>
              <w:rPr>
                <w:rFonts w:ascii="Cambria Math" w:hAnsi="Cambria Math" w:hint="eastAsia"/>
              </w:rPr>
              <m:t xml:space="preserve"> </m:t>
            </m:r>
            <m:r>
              <m:rPr>
                <m:sty m:val="bi"/>
              </m:rPr>
              <w:rPr>
                <w:rFonts w:ascii="Cambria Math" w:hAnsi="Cambria Math"/>
              </w:rPr>
              <m:t>K</m:t>
            </m:r>
          </m:e>
          <m:sub>
            <m:r>
              <m:rPr>
                <m:sty m:val="b"/>
              </m:rPr>
              <w:rPr>
                <w:rFonts w:ascii="Cambria Math" w:hAnsi="Cambria Math"/>
              </w:rPr>
              <m:t>e</m:t>
            </m:r>
          </m:sub>
        </m:sSub>
        <m:r>
          <m:rPr>
            <m:sty m:val="p"/>
          </m:rPr>
          <w:rPr>
            <w:rFonts w:ascii="Cambria Math" w:hAnsi="Cambria Math" w:hint="eastAsia"/>
          </w:rPr>
          <m:t xml:space="preserve"> </m:t>
        </m:r>
      </m:oMath>
      <w:r w:rsidRPr="00BC31E0">
        <w:rPr>
          <w:rFonts w:asciiTheme="majorEastAsia" w:eastAsiaTheme="majorEastAsia" w:hAnsiTheme="majorEastAsia" w:hint="eastAsia"/>
          <w:b/>
        </w:rPr>
        <w:t>の計算に用いる</w:t>
      </w:r>
      <m:oMath>
        <m:r>
          <m:rPr>
            <m:sty m:val="b"/>
          </m:rPr>
          <w:rPr>
            <w:rFonts w:ascii="Cambria Math" w:eastAsiaTheme="majorEastAsia" w:hAnsi="Cambria Math" w:hint="eastAsia"/>
          </w:rPr>
          <m:t xml:space="preserve"> </m:t>
        </m:r>
        <m:r>
          <m:rPr>
            <m:sty m:val="bi"/>
          </m:rPr>
          <w:rPr>
            <w:rFonts w:ascii="Cambria Math" w:hAnsi="Cambria Math" w:hint="eastAsia"/>
          </w:rPr>
          <m:t>q</m:t>
        </m:r>
        <m:r>
          <m:rPr>
            <m:sty m:val="p"/>
          </m:rPr>
          <w:rPr>
            <w:rFonts w:ascii="Cambria Math" w:hAnsi="Cambria Math" w:hint="eastAsia"/>
          </w:rPr>
          <m:t>，</m:t>
        </m:r>
        <m:sSub>
          <m:sSubPr>
            <m:ctrlPr>
              <w:rPr>
                <w:rFonts w:ascii="Cambria Math" w:hAnsi="Cambria Math"/>
              </w:rPr>
            </m:ctrlPr>
          </m:sSubPr>
          <m:e>
            <m:r>
              <m:rPr>
                <m:sty m:val="bi"/>
              </m:rPr>
              <w:rPr>
                <w:rFonts w:ascii="Cambria Math" w:hAnsi="Cambria Math"/>
              </w:rPr>
              <m:t>A</m:t>
            </m:r>
          </m:e>
          <m:sub>
            <m:r>
              <m:rPr>
                <m:sty m:val="b"/>
              </m:rPr>
              <w:rPr>
                <w:rFonts w:ascii="Cambria Math" w:hAnsi="Cambria Math"/>
              </w:rPr>
              <m:t>0</m:t>
            </m:r>
          </m:sub>
        </m:sSub>
        <m:r>
          <m:rPr>
            <m:sty m:val="p"/>
          </m:rPr>
          <w:rPr>
            <w:rFonts w:ascii="Cambria Math" w:hAnsi="Cambria Math" w:hint="eastAsia"/>
          </w:rPr>
          <m:t xml:space="preserve"> </m:t>
        </m:r>
      </m:oMath>
      <w:r w:rsidRPr="00BC31E0">
        <w:rPr>
          <w:rFonts w:asciiTheme="majorEastAsia" w:eastAsiaTheme="majorEastAsia" w:hAnsiTheme="majorEastAsia" w:hint="eastAsia"/>
          <w:b/>
        </w:rPr>
        <w:t>及び</w:t>
      </w:r>
      <m:oMath>
        <m:sSub>
          <m:sSubPr>
            <m:ctrlPr>
              <w:rPr>
                <w:rFonts w:ascii="Cambria Math" w:hAnsi="Cambria Math"/>
              </w:rPr>
            </m:ctrlPr>
          </m:sSubPr>
          <m:e>
            <m:r>
              <m:rPr>
                <m:sty m:val="bi"/>
              </m:rPr>
              <w:rPr>
                <w:rFonts w:ascii="Cambria Math" w:hAnsi="Cambria Math" w:hint="eastAsia"/>
              </w:rPr>
              <m:t xml:space="preserve"> </m:t>
            </m:r>
            <m:r>
              <m:rPr>
                <m:sty m:val="bi"/>
              </m:rPr>
              <w:rPr>
                <w:rFonts w:ascii="Cambria Math" w:hAnsi="Cambria Math"/>
              </w:rPr>
              <m:t>B</m:t>
            </m:r>
          </m:e>
          <m:sub>
            <m:r>
              <m:rPr>
                <m:sty m:val="b"/>
              </m:rPr>
              <w:rPr>
                <w:rFonts w:ascii="Cambria Math" w:hAnsi="Cambria Math"/>
              </w:rPr>
              <m:t>0</m:t>
            </m:r>
          </m:sub>
        </m:sSub>
        <m:r>
          <m:rPr>
            <m:sty m:val="p"/>
          </m:rPr>
          <w:rPr>
            <w:rFonts w:ascii="Cambria Math" w:eastAsiaTheme="majorEastAsia" w:hAnsi="Cambria Math" w:hint="eastAsia"/>
          </w:rPr>
          <m:t xml:space="preserve"> </m:t>
        </m:r>
      </m:oMath>
      <w:r w:rsidRPr="00BC31E0">
        <w:rPr>
          <w:rFonts w:asciiTheme="majorEastAsia" w:eastAsiaTheme="majorEastAsia" w:hAnsiTheme="majorEastAsia" w:hint="eastAsia"/>
          <w:b/>
        </w:rPr>
        <w:t>の値</w:t>
      </w:r>
    </w:p>
    <w:tbl>
      <w:tblPr>
        <w:tblStyle w:val="afff2"/>
        <w:tblW w:w="0" w:type="auto"/>
        <w:jc w:val="center"/>
        <w:tblLook w:val="04A0" w:firstRow="1" w:lastRow="0" w:firstColumn="1" w:lastColumn="0" w:noHBand="0" w:noVBand="1"/>
      </w:tblPr>
      <w:tblGrid>
        <w:gridCol w:w="3260"/>
        <w:gridCol w:w="992"/>
        <w:gridCol w:w="992"/>
        <w:gridCol w:w="993"/>
        <w:gridCol w:w="1447"/>
      </w:tblGrid>
      <w:tr w:rsidR="00E24FD2" w:rsidRPr="00BC31E0" w14:paraId="153155CD" w14:textId="77777777" w:rsidTr="004736F2">
        <w:trPr>
          <w:jc w:val="center"/>
        </w:trPr>
        <w:tc>
          <w:tcPr>
            <w:tcW w:w="3260" w:type="dxa"/>
          </w:tcPr>
          <w:p w14:paraId="54332BCE" w14:textId="77777777" w:rsidR="00E24FD2" w:rsidRPr="00BC31E0" w:rsidRDefault="00E24FD2" w:rsidP="004736F2">
            <w:pPr>
              <w:jc w:val="center"/>
            </w:pPr>
            <w:r w:rsidRPr="00BC31E0">
              <w:rPr>
                <w:rFonts w:hint="eastAsia"/>
              </w:rPr>
              <w:t>材料の種類</w:t>
            </w:r>
          </w:p>
        </w:tc>
        <w:tc>
          <w:tcPr>
            <w:tcW w:w="992" w:type="dxa"/>
          </w:tcPr>
          <w:p w14:paraId="4A246131" w14:textId="77777777" w:rsidR="00E24FD2" w:rsidRPr="00BC31E0" w:rsidRDefault="00E24FD2" w:rsidP="004736F2">
            <w:pPr>
              <w:jc w:val="center"/>
            </w:pPr>
            <m:oMathPara>
              <m:oMath>
                <m:r>
                  <w:rPr>
                    <w:rFonts w:ascii="Cambria Math" w:hAnsi="Cambria Math" w:hint="eastAsia"/>
                  </w:rPr>
                  <m:t>q</m:t>
                </m:r>
              </m:oMath>
            </m:oMathPara>
          </w:p>
        </w:tc>
        <w:tc>
          <w:tcPr>
            <w:tcW w:w="992" w:type="dxa"/>
          </w:tcPr>
          <w:p w14:paraId="70B16918" w14:textId="77777777" w:rsidR="00E24FD2" w:rsidRPr="00BC31E0" w:rsidRDefault="00A51873" w:rsidP="004736F2">
            <w:pPr>
              <w:jc w:val="center"/>
            </w:pPr>
            <m:oMathPara>
              <m:oMath>
                <m:sSub>
                  <m:sSubPr>
                    <m:ctrlPr>
                      <w:rPr>
                        <w:rFonts w:ascii="Cambria Math" w:hAnsi="Cambria Math"/>
                      </w:rPr>
                    </m:ctrlPr>
                  </m:sSubPr>
                  <m:e>
                    <m:r>
                      <w:rPr>
                        <w:rFonts w:ascii="Cambria Math" w:hAnsi="Cambria Math"/>
                      </w:rPr>
                      <m:t>A</m:t>
                    </m:r>
                  </m:e>
                  <m:sub>
                    <m:r>
                      <m:rPr>
                        <m:sty m:val="p"/>
                      </m:rPr>
                      <w:rPr>
                        <w:rFonts w:ascii="Cambria Math" w:hAnsi="Cambria Math"/>
                      </w:rPr>
                      <m:t>0</m:t>
                    </m:r>
                  </m:sub>
                </m:sSub>
              </m:oMath>
            </m:oMathPara>
          </w:p>
        </w:tc>
        <w:tc>
          <w:tcPr>
            <w:tcW w:w="993" w:type="dxa"/>
          </w:tcPr>
          <w:p w14:paraId="6119A4D2" w14:textId="77777777" w:rsidR="00E24FD2" w:rsidRPr="00BC31E0" w:rsidRDefault="00A51873" w:rsidP="004736F2">
            <w:pPr>
              <w:jc w:val="center"/>
            </w:pPr>
            <m:oMathPara>
              <m:oMath>
                <m:sSub>
                  <m:sSubPr>
                    <m:ctrlPr>
                      <w:rPr>
                        <w:rFonts w:ascii="Cambria Math" w:hAnsi="Cambria Math"/>
                      </w:rPr>
                    </m:ctrlPr>
                  </m:sSubPr>
                  <m:e>
                    <m:r>
                      <w:rPr>
                        <w:rFonts w:ascii="Cambria Math" w:hAnsi="Cambria Math"/>
                      </w:rPr>
                      <m:t>B</m:t>
                    </m:r>
                  </m:e>
                  <m:sub>
                    <m:r>
                      <m:rPr>
                        <m:sty m:val="p"/>
                      </m:rPr>
                      <w:rPr>
                        <w:rFonts w:ascii="Cambria Math" w:hAnsi="Cambria Math"/>
                      </w:rPr>
                      <m:t>0</m:t>
                    </m:r>
                  </m:sub>
                </m:sSub>
              </m:oMath>
            </m:oMathPara>
          </w:p>
        </w:tc>
        <w:tc>
          <w:tcPr>
            <w:tcW w:w="1447" w:type="dxa"/>
          </w:tcPr>
          <w:p w14:paraId="2FD4E3BB" w14:textId="77777777" w:rsidR="00E24FD2" w:rsidRPr="00BC31E0" w:rsidRDefault="00E24FD2" w:rsidP="004736F2">
            <w:pPr>
              <w:jc w:val="center"/>
            </w:pPr>
            <w:r w:rsidRPr="00BC31E0">
              <w:rPr>
                <w:rFonts w:hint="eastAsia"/>
              </w:rPr>
              <w:t>最高温度</w:t>
            </w:r>
            <w:r w:rsidRPr="00BC31E0">
              <w:rPr>
                <w:rFonts w:hint="eastAsia"/>
              </w:rPr>
              <w:t>(</w:t>
            </w:r>
            <w:r w:rsidRPr="00BC31E0">
              <w:rPr>
                <w:rFonts w:ascii="Cambria Math" w:hAnsi="Cambria Math"/>
              </w:rPr>
              <w:t>℃</w:t>
            </w:r>
            <w:r w:rsidRPr="00BC31E0">
              <w:rPr>
                <w:rFonts w:hint="eastAsia"/>
              </w:rPr>
              <w:t>)</w:t>
            </w:r>
          </w:p>
        </w:tc>
      </w:tr>
      <w:tr w:rsidR="00E24FD2" w:rsidRPr="00BC31E0" w14:paraId="70FB5F50" w14:textId="77777777" w:rsidTr="004736F2">
        <w:trPr>
          <w:jc w:val="center"/>
        </w:trPr>
        <w:tc>
          <w:tcPr>
            <w:tcW w:w="3260" w:type="dxa"/>
          </w:tcPr>
          <w:p w14:paraId="20B55D49" w14:textId="77777777" w:rsidR="00E24FD2" w:rsidRPr="00BC31E0" w:rsidRDefault="00E24FD2" w:rsidP="004736F2">
            <w:r w:rsidRPr="00BC31E0">
              <w:rPr>
                <w:rFonts w:hint="eastAsia"/>
              </w:rPr>
              <w:t>炭素鋼</w:t>
            </w:r>
          </w:p>
        </w:tc>
        <w:tc>
          <w:tcPr>
            <w:tcW w:w="992" w:type="dxa"/>
          </w:tcPr>
          <w:p w14:paraId="68C87BC1" w14:textId="77777777" w:rsidR="00E24FD2" w:rsidRPr="00BC31E0" w:rsidRDefault="00E24FD2" w:rsidP="004736F2">
            <w:pPr>
              <w:jc w:val="center"/>
              <w:rPr>
                <w:rFonts w:ascii="Cambria Math" w:hAnsi="Cambria Math"/>
                <w:sz w:val="22"/>
              </w:rPr>
            </w:pPr>
            <w:r w:rsidRPr="00BC31E0">
              <w:rPr>
                <w:rFonts w:ascii="Cambria Math" w:hAnsi="Cambria Math"/>
                <w:sz w:val="22"/>
              </w:rPr>
              <w:t>3.1</w:t>
            </w:r>
          </w:p>
        </w:tc>
        <w:tc>
          <w:tcPr>
            <w:tcW w:w="992" w:type="dxa"/>
          </w:tcPr>
          <w:p w14:paraId="6E408AD4" w14:textId="77777777" w:rsidR="00E24FD2" w:rsidRPr="00BC31E0" w:rsidRDefault="00E24FD2" w:rsidP="004736F2">
            <w:pPr>
              <w:jc w:val="center"/>
              <w:rPr>
                <w:rFonts w:ascii="Cambria Math" w:hAnsi="Cambria Math"/>
                <w:sz w:val="22"/>
              </w:rPr>
            </w:pPr>
            <w:r w:rsidRPr="00BC31E0">
              <w:rPr>
                <w:rFonts w:ascii="Cambria Math" w:hAnsi="Cambria Math"/>
                <w:sz w:val="22"/>
              </w:rPr>
              <w:t>0.66</w:t>
            </w:r>
          </w:p>
        </w:tc>
        <w:tc>
          <w:tcPr>
            <w:tcW w:w="993" w:type="dxa"/>
          </w:tcPr>
          <w:p w14:paraId="3D1AE08D" w14:textId="77777777" w:rsidR="00E24FD2" w:rsidRPr="00BC31E0" w:rsidRDefault="00E24FD2" w:rsidP="004736F2">
            <w:pPr>
              <w:jc w:val="center"/>
              <w:rPr>
                <w:rFonts w:ascii="Cambria Math" w:hAnsi="Cambria Math"/>
                <w:sz w:val="22"/>
              </w:rPr>
            </w:pPr>
            <w:r w:rsidRPr="00BC31E0">
              <w:rPr>
                <w:rFonts w:ascii="Cambria Math" w:hAnsi="Cambria Math"/>
                <w:sz w:val="22"/>
              </w:rPr>
              <w:t>2.59</w:t>
            </w:r>
          </w:p>
        </w:tc>
        <w:tc>
          <w:tcPr>
            <w:tcW w:w="1447" w:type="dxa"/>
          </w:tcPr>
          <w:p w14:paraId="4B254CAD" w14:textId="77777777" w:rsidR="00E24FD2" w:rsidRPr="00BC31E0" w:rsidRDefault="00E24FD2" w:rsidP="004736F2">
            <w:pPr>
              <w:jc w:val="center"/>
              <w:rPr>
                <w:rFonts w:ascii="Cambria Math" w:hAnsi="Cambria Math"/>
                <w:sz w:val="22"/>
              </w:rPr>
            </w:pPr>
            <w:r w:rsidRPr="00BC31E0">
              <w:rPr>
                <w:rFonts w:ascii="Cambria Math" w:hAnsi="Cambria Math"/>
                <w:sz w:val="22"/>
              </w:rPr>
              <w:t>371</w:t>
            </w:r>
          </w:p>
        </w:tc>
      </w:tr>
      <w:tr w:rsidR="00E24FD2" w:rsidRPr="00BC31E0" w14:paraId="61460C21" w14:textId="77777777" w:rsidTr="004736F2">
        <w:trPr>
          <w:jc w:val="center"/>
        </w:trPr>
        <w:tc>
          <w:tcPr>
            <w:tcW w:w="3260" w:type="dxa"/>
          </w:tcPr>
          <w:p w14:paraId="7684716D" w14:textId="77777777" w:rsidR="00E24FD2" w:rsidRPr="00BC31E0" w:rsidRDefault="00E24FD2" w:rsidP="004736F2">
            <w:r w:rsidRPr="00BC31E0">
              <w:rPr>
                <w:rFonts w:hint="eastAsia"/>
              </w:rPr>
              <w:t>低合金鋼</w:t>
            </w:r>
          </w:p>
        </w:tc>
        <w:tc>
          <w:tcPr>
            <w:tcW w:w="992" w:type="dxa"/>
          </w:tcPr>
          <w:p w14:paraId="52005C0E" w14:textId="77777777" w:rsidR="00E24FD2" w:rsidRPr="00BC31E0" w:rsidRDefault="00E24FD2" w:rsidP="004736F2">
            <w:pPr>
              <w:jc w:val="center"/>
              <w:rPr>
                <w:rFonts w:ascii="Cambria Math" w:hAnsi="Cambria Math"/>
                <w:sz w:val="22"/>
              </w:rPr>
            </w:pPr>
            <w:r w:rsidRPr="00BC31E0">
              <w:rPr>
                <w:rFonts w:ascii="Cambria Math" w:hAnsi="Cambria Math"/>
                <w:sz w:val="22"/>
              </w:rPr>
              <w:t>3.1</w:t>
            </w:r>
          </w:p>
        </w:tc>
        <w:tc>
          <w:tcPr>
            <w:tcW w:w="992" w:type="dxa"/>
          </w:tcPr>
          <w:p w14:paraId="72D86FDB" w14:textId="77777777" w:rsidR="00E24FD2" w:rsidRPr="00BC31E0" w:rsidRDefault="00E24FD2" w:rsidP="004736F2">
            <w:pPr>
              <w:jc w:val="center"/>
              <w:rPr>
                <w:rFonts w:ascii="Cambria Math" w:hAnsi="Cambria Math"/>
                <w:sz w:val="22"/>
              </w:rPr>
            </w:pPr>
            <w:r w:rsidRPr="00BC31E0">
              <w:rPr>
                <w:rFonts w:ascii="Cambria Math" w:hAnsi="Cambria Math"/>
                <w:sz w:val="22"/>
              </w:rPr>
              <w:t>1.0</w:t>
            </w:r>
          </w:p>
        </w:tc>
        <w:tc>
          <w:tcPr>
            <w:tcW w:w="993" w:type="dxa"/>
          </w:tcPr>
          <w:p w14:paraId="74481E8A" w14:textId="77777777" w:rsidR="00E24FD2" w:rsidRPr="00BC31E0" w:rsidRDefault="00E24FD2" w:rsidP="004736F2">
            <w:pPr>
              <w:jc w:val="center"/>
              <w:rPr>
                <w:rFonts w:ascii="Cambria Math" w:hAnsi="Cambria Math"/>
                <w:sz w:val="22"/>
              </w:rPr>
            </w:pPr>
            <w:r w:rsidRPr="00BC31E0">
              <w:rPr>
                <w:rFonts w:ascii="Cambria Math" w:hAnsi="Cambria Math"/>
                <w:sz w:val="22"/>
              </w:rPr>
              <w:t>1.25</w:t>
            </w:r>
          </w:p>
        </w:tc>
        <w:tc>
          <w:tcPr>
            <w:tcW w:w="1447" w:type="dxa"/>
          </w:tcPr>
          <w:p w14:paraId="0DC88940" w14:textId="77777777" w:rsidR="00E24FD2" w:rsidRPr="00BC31E0" w:rsidRDefault="00E24FD2" w:rsidP="004736F2">
            <w:pPr>
              <w:jc w:val="center"/>
              <w:rPr>
                <w:rFonts w:ascii="Cambria Math" w:hAnsi="Cambria Math"/>
                <w:sz w:val="22"/>
              </w:rPr>
            </w:pPr>
            <w:r w:rsidRPr="00BC31E0">
              <w:rPr>
                <w:rFonts w:ascii="Cambria Math" w:hAnsi="Cambria Math"/>
                <w:sz w:val="22"/>
              </w:rPr>
              <w:t>371</w:t>
            </w:r>
          </w:p>
        </w:tc>
      </w:tr>
      <w:tr w:rsidR="00E24FD2" w:rsidRPr="00BC31E0" w14:paraId="682FA9FE" w14:textId="77777777" w:rsidTr="004736F2">
        <w:trPr>
          <w:jc w:val="center"/>
        </w:trPr>
        <w:tc>
          <w:tcPr>
            <w:tcW w:w="3260" w:type="dxa"/>
          </w:tcPr>
          <w:p w14:paraId="574C2A73" w14:textId="77777777" w:rsidR="00E24FD2" w:rsidRPr="00BC31E0" w:rsidRDefault="00E24FD2" w:rsidP="004736F2">
            <w:r w:rsidRPr="00BC31E0">
              <w:rPr>
                <w:rFonts w:hint="eastAsia"/>
              </w:rPr>
              <w:t>マルテンサイト系ステンレス鋼</w:t>
            </w:r>
          </w:p>
        </w:tc>
        <w:tc>
          <w:tcPr>
            <w:tcW w:w="992" w:type="dxa"/>
          </w:tcPr>
          <w:p w14:paraId="20055D2A" w14:textId="77777777" w:rsidR="00E24FD2" w:rsidRPr="00BC31E0" w:rsidRDefault="00E24FD2" w:rsidP="004736F2">
            <w:pPr>
              <w:jc w:val="center"/>
              <w:rPr>
                <w:rFonts w:ascii="Cambria Math" w:hAnsi="Cambria Math"/>
                <w:sz w:val="22"/>
              </w:rPr>
            </w:pPr>
            <w:r w:rsidRPr="00BC31E0">
              <w:rPr>
                <w:rFonts w:ascii="Cambria Math" w:hAnsi="Cambria Math"/>
                <w:sz w:val="22"/>
              </w:rPr>
              <w:t>3.1</w:t>
            </w:r>
          </w:p>
        </w:tc>
        <w:tc>
          <w:tcPr>
            <w:tcW w:w="992" w:type="dxa"/>
          </w:tcPr>
          <w:p w14:paraId="08D3D081" w14:textId="77777777" w:rsidR="00E24FD2" w:rsidRPr="00BC31E0" w:rsidRDefault="00E24FD2" w:rsidP="004736F2">
            <w:pPr>
              <w:jc w:val="center"/>
              <w:rPr>
                <w:rFonts w:ascii="Cambria Math" w:hAnsi="Cambria Math"/>
                <w:sz w:val="22"/>
              </w:rPr>
            </w:pPr>
            <w:r w:rsidRPr="00BC31E0">
              <w:rPr>
                <w:rFonts w:ascii="Cambria Math" w:hAnsi="Cambria Math"/>
                <w:sz w:val="22"/>
              </w:rPr>
              <w:t>1.0</w:t>
            </w:r>
          </w:p>
        </w:tc>
        <w:tc>
          <w:tcPr>
            <w:tcW w:w="993" w:type="dxa"/>
          </w:tcPr>
          <w:p w14:paraId="40F299D6" w14:textId="77777777" w:rsidR="00E24FD2" w:rsidRPr="00BC31E0" w:rsidRDefault="00E24FD2" w:rsidP="004736F2">
            <w:pPr>
              <w:jc w:val="center"/>
              <w:rPr>
                <w:rFonts w:ascii="Cambria Math" w:hAnsi="Cambria Math"/>
                <w:sz w:val="22"/>
              </w:rPr>
            </w:pPr>
            <w:r w:rsidRPr="00BC31E0">
              <w:rPr>
                <w:rFonts w:ascii="Cambria Math" w:hAnsi="Cambria Math"/>
                <w:sz w:val="22"/>
              </w:rPr>
              <w:t>1.25</w:t>
            </w:r>
          </w:p>
        </w:tc>
        <w:tc>
          <w:tcPr>
            <w:tcW w:w="1447" w:type="dxa"/>
          </w:tcPr>
          <w:p w14:paraId="360490B1" w14:textId="77777777" w:rsidR="00E24FD2" w:rsidRPr="00BC31E0" w:rsidRDefault="00E24FD2" w:rsidP="004736F2">
            <w:pPr>
              <w:jc w:val="center"/>
              <w:rPr>
                <w:rFonts w:ascii="Cambria Math" w:hAnsi="Cambria Math"/>
                <w:sz w:val="22"/>
              </w:rPr>
            </w:pPr>
            <w:r w:rsidRPr="00BC31E0">
              <w:rPr>
                <w:rFonts w:ascii="Cambria Math" w:hAnsi="Cambria Math"/>
                <w:sz w:val="22"/>
              </w:rPr>
              <w:t>371</w:t>
            </w:r>
          </w:p>
        </w:tc>
      </w:tr>
      <w:tr w:rsidR="00E24FD2" w:rsidRPr="00BC31E0" w14:paraId="5DA9CEF7" w14:textId="77777777" w:rsidTr="004736F2">
        <w:trPr>
          <w:jc w:val="center"/>
        </w:trPr>
        <w:tc>
          <w:tcPr>
            <w:tcW w:w="3260" w:type="dxa"/>
          </w:tcPr>
          <w:p w14:paraId="0799715C" w14:textId="77777777" w:rsidR="00E24FD2" w:rsidRPr="00BC31E0" w:rsidRDefault="00E24FD2" w:rsidP="004736F2">
            <w:r w:rsidRPr="00BC31E0">
              <w:rPr>
                <w:rFonts w:hint="eastAsia"/>
              </w:rPr>
              <w:t>オーステナイト系ステンレス鋼</w:t>
            </w:r>
          </w:p>
        </w:tc>
        <w:tc>
          <w:tcPr>
            <w:tcW w:w="992" w:type="dxa"/>
          </w:tcPr>
          <w:p w14:paraId="249E821B" w14:textId="77777777" w:rsidR="00E24FD2" w:rsidRPr="00BC31E0" w:rsidRDefault="00E24FD2" w:rsidP="004736F2">
            <w:pPr>
              <w:jc w:val="center"/>
              <w:rPr>
                <w:rFonts w:ascii="Cambria Math" w:hAnsi="Cambria Math"/>
                <w:sz w:val="22"/>
              </w:rPr>
            </w:pPr>
            <w:r w:rsidRPr="00BC31E0">
              <w:rPr>
                <w:rFonts w:ascii="Cambria Math" w:hAnsi="Cambria Math"/>
                <w:sz w:val="22"/>
              </w:rPr>
              <w:t>3.1</w:t>
            </w:r>
          </w:p>
        </w:tc>
        <w:tc>
          <w:tcPr>
            <w:tcW w:w="992" w:type="dxa"/>
          </w:tcPr>
          <w:p w14:paraId="6FF21BAC" w14:textId="77777777" w:rsidR="00E24FD2" w:rsidRPr="00BC31E0" w:rsidRDefault="00E24FD2" w:rsidP="004736F2">
            <w:pPr>
              <w:jc w:val="center"/>
              <w:rPr>
                <w:rFonts w:ascii="Cambria Math" w:hAnsi="Cambria Math"/>
                <w:sz w:val="22"/>
              </w:rPr>
            </w:pPr>
            <w:r w:rsidRPr="00BC31E0">
              <w:rPr>
                <w:rFonts w:ascii="Cambria Math" w:hAnsi="Cambria Math"/>
                <w:sz w:val="22"/>
              </w:rPr>
              <w:t>0.7</w:t>
            </w:r>
          </w:p>
        </w:tc>
        <w:tc>
          <w:tcPr>
            <w:tcW w:w="993" w:type="dxa"/>
          </w:tcPr>
          <w:p w14:paraId="361C9BD5" w14:textId="77777777" w:rsidR="00E24FD2" w:rsidRPr="00BC31E0" w:rsidRDefault="00E24FD2" w:rsidP="004736F2">
            <w:pPr>
              <w:jc w:val="center"/>
              <w:rPr>
                <w:rFonts w:ascii="Cambria Math" w:hAnsi="Cambria Math"/>
                <w:sz w:val="22"/>
              </w:rPr>
            </w:pPr>
            <w:r w:rsidRPr="00BC31E0">
              <w:rPr>
                <w:rFonts w:ascii="Cambria Math" w:hAnsi="Cambria Math"/>
                <w:sz w:val="22"/>
              </w:rPr>
              <w:t>2.15</w:t>
            </w:r>
          </w:p>
        </w:tc>
        <w:tc>
          <w:tcPr>
            <w:tcW w:w="1447" w:type="dxa"/>
          </w:tcPr>
          <w:p w14:paraId="02930815" w14:textId="77777777" w:rsidR="00E24FD2" w:rsidRPr="00BC31E0" w:rsidRDefault="00E24FD2" w:rsidP="004736F2">
            <w:pPr>
              <w:jc w:val="center"/>
              <w:rPr>
                <w:rFonts w:ascii="Cambria Math" w:hAnsi="Cambria Math"/>
                <w:sz w:val="22"/>
              </w:rPr>
            </w:pPr>
            <w:r w:rsidRPr="00BC31E0">
              <w:rPr>
                <w:rFonts w:ascii="Cambria Math" w:hAnsi="Cambria Math"/>
                <w:sz w:val="22"/>
              </w:rPr>
              <w:t>427</w:t>
            </w:r>
          </w:p>
        </w:tc>
      </w:tr>
      <w:tr w:rsidR="00E24FD2" w:rsidRPr="00BC31E0" w14:paraId="7A34F6BC" w14:textId="77777777" w:rsidTr="004736F2">
        <w:trPr>
          <w:jc w:val="center"/>
        </w:trPr>
        <w:tc>
          <w:tcPr>
            <w:tcW w:w="3260" w:type="dxa"/>
          </w:tcPr>
          <w:p w14:paraId="5675C28E" w14:textId="77777777" w:rsidR="00E24FD2" w:rsidRPr="00BC31E0" w:rsidRDefault="00E24FD2" w:rsidP="004736F2">
            <w:r w:rsidRPr="00BC31E0">
              <w:rPr>
                <w:rFonts w:hint="eastAsia"/>
              </w:rPr>
              <w:t>高ニッケル合金</w:t>
            </w:r>
          </w:p>
        </w:tc>
        <w:tc>
          <w:tcPr>
            <w:tcW w:w="992" w:type="dxa"/>
          </w:tcPr>
          <w:p w14:paraId="7EB5B6D8" w14:textId="77777777" w:rsidR="00E24FD2" w:rsidRPr="00BC31E0" w:rsidRDefault="00E24FD2" w:rsidP="004736F2">
            <w:pPr>
              <w:jc w:val="center"/>
              <w:rPr>
                <w:rFonts w:ascii="Cambria Math" w:hAnsi="Cambria Math"/>
                <w:sz w:val="22"/>
              </w:rPr>
            </w:pPr>
            <w:r w:rsidRPr="00BC31E0">
              <w:rPr>
                <w:rFonts w:ascii="Cambria Math" w:hAnsi="Cambria Math"/>
                <w:sz w:val="22"/>
              </w:rPr>
              <w:t>3.1</w:t>
            </w:r>
          </w:p>
        </w:tc>
        <w:tc>
          <w:tcPr>
            <w:tcW w:w="992" w:type="dxa"/>
          </w:tcPr>
          <w:p w14:paraId="1C3486F0" w14:textId="77777777" w:rsidR="00E24FD2" w:rsidRPr="00BC31E0" w:rsidRDefault="00E24FD2" w:rsidP="004736F2">
            <w:pPr>
              <w:jc w:val="center"/>
              <w:rPr>
                <w:rFonts w:ascii="Cambria Math" w:hAnsi="Cambria Math"/>
                <w:sz w:val="22"/>
              </w:rPr>
            </w:pPr>
            <w:r w:rsidRPr="00BC31E0">
              <w:rPr>
                <w:rFonts w:ascii="Cambria Math" w:hAnsi="Cambria Math"/>
                <w:sz w:val="22"/>
              </w:rPr>
              <w:t>0.7</w:t>
            </w:r>
          </w:p>
        </w:tc>
        <w:tc>
          <w:tcPr>
            <w:tcW w:w="993" w:type="dxa"/>
          </w:tcPr>
          <w:p w14:paraId="26297271" w14:textId="77777777" w:rsidR="00E24FD2" w:rsidRPr="00BC31E0" w:rsidRDefault="00E24FD2" w:rsidP="004736F2">
            <w:pPr>
              <w:jc w:val="center"/>
              <w:rPr>
                <w:rFonts w:ascii="Cambria Math" w:hAnsi="Cambria Math"/>
                <w:sz w:val="22"/>
              </w:rPr>
            </w:pPr>
            <w:r w:rsidRPr="00BC31E0">
              <w:rPr>
                <w:rFonts w:ascii="Cambria Math" w:hAnsi="Cambria Math"/>
                <w:sz w:val="22"/>
              </w:rPr>
              <w:t>2.15</w:t>
            </w:r>
          </w:p>
        </w:tc>
        <w:tc>
          <w:tcPr>
            <w:tcW w:w="1447" w:type="dxa"/>
          </w:tcPr>
          <w:p w14:paraId="1F1816F2" w14:textId="77777777" w:rsidR="00E24FD2" w:rsidRPr="00BC31E0" w:rsidRDefault="00E24FD2" w:rsidP="004736F2">
            <w:pPr>
              <w:jc w:val="center"/>
              <w:rPr>
                <w:rFonts w:ascii="Cambria Math" w:hAnsi="Cambria Math"/>
                <w:sz w:val="22"/>
              </w:rPr>
            </w:pPr>
            <w:r w:rsidRPr="00BC31E0">
              <w:rPr>
                <w:rFonts w:ascii="Cambria Math" w:hAnsi="Cambria Math"/>
                <w:sz w:val="22"/>
              </w:rPr>
              <w:t>427</w:t>
            </w:r>
          </w:p>
        </w:tc>
      </w:tr>
    </w:tbl>
    <w:p w14:paraId="5CEA8CAC" w14:textId="77777777" w:rsidR="002D75AE" w:rsidRPr="00BC31E0" w:rsidRDefault="002D75AE" w:rsidP="002D75AE">
      <w:pPr>
        <w:rPr>
          <w:rFonts w:asciiTheme="majorEastAsia" w:eastAsiaTheme="majorEastAsia" w:hAnsiTheme="majorEastAsia"/>
          <w:b/>
        </w:rPr>
      </w:pPr>
    </w:p>
    <w:p w14:paraId="2D237E6C" w14:textId="77777777" w:rsidR="00E24FD2" w:rsidRPr="00BC31E0" w:rsidRDefault="00E24FD2" w:rsidP="002D75AE">
      <w:pPr>
        <w:ind w:left="1134" w:hanging="567"/>
      </w:pPr>
      <w:r w:rsidRPr="00BC31E0">
        <w:rPr>
          <w:rFonts w:asciiTheme="majorEastAsia" w:eastAsiaTheme="majorEastAsia" w:hAnsiTheme="majorEastAsia" w:hint="eastAsia"/>
          <w:b/>
        </w:rPr>
        <w:t xml:space="preserve">2.2)　</w:t>
      </w:r>
      <w:r w:rsidRPr="00BC31E0">
        <w:rPr>
          <w:rFonts w:hint="eastAsia"/>
        </w:rPr>
        <w:t>別法として，降伏強さ</w:t>
      </w:r>
      <m:oMath>
        <m:sSub>
          <m:sSubPr>
            <m:ctrlPr>
              <w:rPr>
                <w:rFonts w:ascii="Cambria Math" w:hAnsi="Cambria Math"/>
                <w:i/>
              </w:rPr>
            </m:ctrlPr>
          </m:sSubPr>
          <m:e>
            <m:r>
              <w:rPr>
                <w:rFonts w:ascii="Cambria Math" w:hAnsi="Cambria Math"/>
              </w:rPr>
              <m:t xml:space="preserve"> S</m:t>
            </m:r>
          </m:e>
          <m:sub>
            <m:r>
              <w:rPr>
                <w:rFonts w:ascii="Cambria Math" w:hAnsi="Cambria Math"/>
              </w:rPr>
              <m:t>y</m:t>
            </m:r>
          </m:sub>
        </m:sSub>
        <m:r>
          <w:rPr>
            <w:rFonts w:ascii="Cambria Math" w:hAnsi="Cambria Math"/>
          </w:rPr>
          <m:t xml:space="preserve"> </m:t>
        </m:r>
      </m:oMath>
      <w:r w:rsidRPr="00BC31E0">
        <w:rPr>
          <w:rFonts w:hint="eastAsia"/>
        </w:rPr>
        <w:t>の弾完全塑性体とした弾塑性解析を行い，</w:t>
      </w:r>
      <w:r w:rsidRPr="00BC31E0">
        <w:rPr>
          <w:rFonts w:asciiTheme="majorEastAsia" w:eastAsiaTheme="majorEastAsia" w:hAnsiTheme="majorEastAsia" w:hint="eastAsia"/>
          <w:b/>
        </w:rPr>
        <w:t>式(7)</w:t>
      </w:r>
      <w:r w:rsidRPr="00BC31E0">
        <w:rPr>
          <w:rFonts w:hint="eastAsia"/>
        </w:rPr>
        <w:t>により係数</w:t>
      </w:r>
      <m:oMath>
        <m:r>
          <m:rPr>
            <m:sty m:val="p"/>
          </m:rP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 xml:space="preserve">e </m:t>
            </m:r>
          </m:sub>
        </m:sSub>
      </m:oMath>
      <w:r w:rsidRPr="00BC31E0">
        <w:rPr>
          <w:rFonts w:hint="eastAsia"/>
        </w:rPr>
        <w:t>を計算してもよい。</w:t>
      </w:r>
    </w:p>
    <w:tbl>
      <w:tblPr>
        <w:tblStyle w:val="afff2"/>
        <w:tblW w:w="0" w:type="auto"/>
        <w:tblInd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
        <w:gridCol w:w="4303"/>
      </w:tblGrid>
      <w:tr w:rsidR="00E24FD2" w:rsidRPr="00BC31E0" w14:paraId="29C146E6" w14:textId="77777777" w:rsidTr="004736F2">
        <w:trPr>
          <w:cantSplit/>
        </w:trPr>
        <w:tc>
          <w:tcPr>
            <w:tcW w:w="0" w:type="auto"/>
            <w:tcMar>
              <w:left w:w="0" w:type="dxa"/>
              <w:right w:w="0" w:type="dxa"/>
            </w:tcMar>
          </w:tcPr>
          <w:p w14:paraId="45B5CA34" w14:textId="77777777" w:rsidR="00E24FD2" w:rsidRPr="00BC31E0" w:rsidRDefault="00A51873" w:rsidP="002D75AE">
            <w:pPr>
              <w:pStyle w:val="15"/>
              <w:tabs>
                <w:tab w:val="left" w:leader="middleDot" w:pos="8505"/>
              </w:tabs>
              <w:ind w:firstLine="210"/>
              <w:rPr>
                <w:i/>
                <w:szCs w:val="21"/>
              </w:rPr>
            </w:pPr>
            <m:oMathPara>
              <m:oMathParaPr>
                <m:jc m:val="left"/>
              </m:oMathParaPr>
              <m:oMath>
                <m:sSub>
                  <m:sSubPr>
                    <m:ctrlPr>
                      <w:rPr>
                        <w:rFonts w:ascii="Cambria Math" w:hAnsi="Cambria Math"/>
                        <w:i/>
                        <w:szCs w:val="21"/>
                      </w:rPr>
                    </m:ctrlPr>
                  </m:sSubPr>
                  <m:e>
                    <m:r>
                      <w:rPr>
                        <w:rFonts w:ascii="Cambria Math" w:hAnsi="Cambria Math"/>
                        <w:szCs w:val="21"/>
                      </w:rPr>
                      <m:t>K</m:t>
                    </m:r>
                  </m:e>
                  <m:sub>
                    <m:r>
                      <w:rPr>
                        <w:rFonts w:ascii="Cambria Math" w:hAnsi="Cambria Math"/>
                        <w:szCs w:val="21"/>
                      </w:rPr>
                      <m:t>e</m:t>
                    </m:r>
                  </m:sub>
                </m:sSub>
                <m:r>
                  <w:rPr>
                    <w:rFonts w:ascii="Cambria Math" w:hAnsi="Cambria Math"/>
                    <w:szCs w:val="21"/>
                  </w:rPr>
                  <m:t>=</m:t>
                </m:r>
                <m:f>
                  <m:fPr>
                    <m:ctrlPr>
                      <w:rPr>
                        <w:rFonts w:ascii="Cambria Math" w:hAnsi="Cambria Math"/>
                        <w:i/>
                        <w:szCs w:val="21"/>
                      </w:rPr>
                    </m:ctrlPr>
                  </m:fPr>
                  <m:num>
                    <m:sSub>
                      <m:sSubPr>
                        <m:ctrlPr>
                          <w:rPr>
                            <w:rFonts w:ascii="Cambria Math" w:hAnsi="Cambria Math"/>
                            <w:i/>
                            <w:szCs w:val="21"/>
                          </w:rPr>
                        </m:ctrlPr>
                      </m:sSubPr>
                      <m:e>
                        <m:r>
                          <w:rPr>
                            <w:rFonts w:ascii="Cambria Math" w:hAnsi="Cambria Math"/>
                            <w:szCs w:val="21"/>
                          </w:rPr>
                          <m:t>ε</m:t>
                        </m:r>
                      </m:e>
                      <m:sub>
                        <m:r>
                          <w:rPr>
                            <w:rFonts w:ascii="Cambria Math" w:hAnsi="Cambria Math"/>
                            <w:szCs w:val="21"/>
                          </w:rPr>
                          <m:t>ep</m:t>
                        </m:r>
                      </m:sub>
                    </m:sSub>
                  </m:num>
                  <m:den>
                    <m:sSub>
                      <m:sSubPr>
                        <m:ctrlPr>
                          <w:rPr>
                            <w:rFonts w:ascii="Cambria Math" w:hAnsi="Cambria Math"/>
                            <w:i/>
                            <w:szCs w:val="21"/>
                          </w:rPr>
                        </m:ctrlPr>
                      </m:sSubPr>
                      <m:e>
                        <m:r>
                          <w:rPr>
                            <w:rFonts w:ascii="Cambria Math" w:hAnsi="Cambria Math"/>
                            <w:szCs w:val="21"/>
                          </w:rPr>
                          <m:t>ε</m:t>
                        </m:r>
                      </m:e>
                      <m:sub>
                        <m:r>
                          <w:rPr>
                            <w:rFonts w:ascii="Cambria Math" w:hAnsi="Cambria Math"/>
                            <w:szCs w:val="21"/>
                          </w:rPr>
                          <m:t>e</m:t>
                        </m:r>
                      </m:sub>
                    </m:sSub>
                  </m:den>
                </m:f>
              </m:oMath>
            </m:oMathPara>
          </w:p>
        </w:tc>
        <w:tc>
          <w:tcPr>
            <w:tcW w:w="4303" w:type="dxa"/>
            <w:tcMar>
              <w:left w:w="0" w:type="dxa"/>
              <w:right w:w="0" w:type="dxa"/>
            </w:tcMar>
            <w:vAlign w:val="center"/>
          </w:tcPr>
          <w:p w14:paraId="6A1B05FA" w14:textId="77777777" w:rsidR="00E24FD2" w:rsidRPr="00BC31E0" w:rsidRDefault="00E24FD2" w:rsidP="002D75AE">
            <w:pPr>
              <w:pStyle w:val="15"/>
              <w:tabs>
                <w:tab w:val="left" w:leader="middleDot" w:pos="3763"/>
              </w:tabs>
              <w:ind w:firstLine="210"/>
              <w:jc w:val="left"/>
            </w:pPr>
            <w:r w:rsidRPr="00BC31E0">
              <w:tab/>
            </w:r>
            <w:r w:rsidRPr="00BC31E0">
              <w:rPr>
                <w:rFonts w:hint="eastAsia"/>
              </w:rPr>
              <w:t>(7)</w:t>
            </w:r>
          </w:p>
        </w:tc>
      </w:tr>
    </w:tbl>
    <w:p w14:paraId="76C9C1CA" w14:textId="77777777" w:rsidR="00E24FD2" w:rsidRPr="00BC31E0" w:rsidRDefault="00E24FD2" w:rsidP="00E537FC">
      <w:pPr>
        <w:ind w:left="1134" w:firstLineChars="100" w:firstLine="210"/>
      </w:pPr>
      <w:r w:rsidRPr="00BC31E0">
        <w:rPr>
          <w:rFonts w:hint="eastAsia"/>
        </w:rPr>
        <w:t>ここで，</w:t>
      </w:r>
    </w:p>
    <w:p w14:paraId="351C533A" w14:textId="77777777" w:rsidR="00E24FD2" w:rsidRPr="00BC31E0" w:rsidRDefault="00A51873" w:rsidP="00E537FC">
      <w:pPr>
        <w:tabs>
          <w:tab w:val="left" w:pos="2163"/>
        </w:tabs>
        <w:ind w:left="2494" w:hanging="680"/>
        <w:rPr>
          <w:rFonts w:asciiTheme="minorEastAsia" w:eastAsiaTheme="minorEastAsia" w:hAnsiTheme="minorEastAsia"/>
        </w:rPr>
      </w:pPr>
      <m:oMath>
        <m:sSub>
          <m:sSubPr>
            <m:ctrlPr>
              <w:rPr>
                <w:rFonts w:ascii="Cambria Math" w:hAnsi="Cambria Math"/>
                <w:i/>
              </w:rPr>
            </m:ctrlPr>
          </m:sSubPr>
          <m:e>
            <m:r>
              <w:rPr>
                <w:rFonts w:ascii="Cambria Math" w:hAnsi="Cambria Math"/>
              </w:rPr>
              <m:t>ε</m:t>
            </m:r>
          </m:e>
          <m:sub>
            <m:r>
              <w:rPr>
                <w:rFonts w:ascii="Cambria Math" w:hAnsi="Cambria Math" w:hint="eastAsia"/>
              </w:rPr>
              <m:t>ep</m:t>
            </m:r>
          </m:sub>
        </m:sSub>
      </m:oMath>
      <w:r w:rsidR="00E24FD2" w:rsidRPr="00BC31E0">
        <w:rPr>
          <w:rFonts w:hint="eastAsia"/>
        </w:rPr>
        <w:tab/>
      </w:r>
      <w:r w:rsidR="00E24FD2" w:rsidRPr="00BC31E0">
        <w:rPr>
          <w:rFonts w:asciiTheme="minorEastAsia" w:hAnsiTheme="minorEastAsia" w:hint="eastAsia"/>
        </w:rPr>
        <w:t>： 疲労評価を行う当該サイクルに対して，弾塑性解析により求めたときのひずみ</w:t>
      </w:r>
      <w:r w:rsidR="00E24FD2" w:rsidRPr="00BC31E0">
        <w:rPr>
          <w:rFonts w:asciiTheme="minorEastAsia" w:eastAsiaTheme="minorEastAsia" w:hAnsiTheme="minorEastAsia"/>
        </w:rPr>
        <w:t>であり，</w:t>
      </w:r>
      <w:r w:rsidR="00E24FD2" w:rsidRPr="00BC31E0">
        <w:rPr>
          <w:rFonts w:asciiTheme="minorEastAsia" w:eastAsiaTheme="minorEastAsia" w:hAnsiTheme="minorEastAsia" w:hint="eastAsia"/>
        </w:rPr>
        <w:t>次式</w:t>
      </w:r>
      <w:r w:rsidR="00E24FD2" w:rsidRPr="00BC31E0">
        <w:rPr>
          <w:rFonts w:asciiTheme="minorEastAsia" w:eastAsiaTheme="minorEastAsia" w:hAnsiTheme="minorEastAsia"/>
        </w:rPr>
        <w:t>により計算した値</w:t>
      </w:r>
    </w:p>
    <w:p w14:paraId="1AB1A0D4" w14:textId="77777777" w:rsidR="00E24FD2" w:rsidRPr="00BC31E0" w:rsidRDefault="00A51873" w:rsidP="00750830">
      <w:pPr>
        <w:ind w:left="2552"/>
        <w:rPr>
          <w:i/>
        </w:rPr>
      </w:pPr>
      <m:oMathPara>
        <m:oMathParaPr>
          <m:jc m:val="left"/>
        </m:oMathParaPr>
        <m:oMath>
          <m:sSub>
            <m:sSubPr>
              <m:ctrlPr>
                <w:rPr>
                  <w:rFonts w:ascii="Cambria Math" w:hAnsi="Cambria Math"/>
                  <w:i/>
                </w:rPr>
              </m:ctrlPr>
            </m:sSubPr>
            <m:e>
              <m:r>
                <w:rPr>
                  <w:rFonts w:ascii="Cambria Math" w:hAnsi="Cambria Math"/>
                </w:rPr>
                <m:t>ε</m:t>
              </m:r>
            </m:e>
            <m:sub>
              <m:r>
                <w:rPr>
                  <w:rFonts w:ascii="Cambria Math" w:hAnsi="Cambria Math"/>
                </w:rPr>
                <m:t>ep</m:t>
              </m:r>
            </m:sub>
          </m:sSub>
          <m:r>
            <w:rPr>
              <w:rFonts w:ascii="Cambria Math" w:hAnsi="Cambria Math"/>
            </w:rPr>
            <m:t>=</m:t>
          </m:r>
          <m:f>
            <m:fPr>
              <m:ctrlPr>
                <w:rPr>
                  <w:rFonts w:ascii="Cambria Math" w:hAnsi="Cambria Math"/>
                  <w:i/>
                </w:rPr>
              </m:ctrlPr>
            </m:fPr>
            <m:num>
              <m:bar>
                <m:barPr>
                  <m:pos m:val="top"/>
                  <m:ctrlPr>
                    <w:rPr>
                      <w:rFonts w:ascii="Cambria Math" w:hAnsi="Cambria Math"/>
                      <w:i/>
                    </w:rPr>
                  </m:ctrlPr>
                </m:barPr>
                <m:e>
                  <m:r>
                    <w:rPr>
                      <w:rFonts w:ascii="Cambria Math" w:hAnsi="Cambria Math"/>
                    </w:rPr>
                    <m:t>σ</m:t>
                  </m:r>
                </m:e>
              </m:bar>
            </m:num>
            <m:den>
              <m:r>
                <w:rPr>
                  <w:rFonts w:ascii="Cambria Math" w:hAnsi="Cambria Math"/>
                </w:rPr>
                <m:t>E</m:t>
              </m:r>
            </m:den>
          </m:f>
          <m:r>
            <w:rPr>
              <w:rFonts w:ascii="Cambria Math" w:hAnsi="Cambria Math"/>
            </w:rPr>
            <m:t>+</m:t>
          </m:r>
          <m:sSub>
            <m:sSubPr>
              <m:ctrlPr>
                <w:rPr>
                  <w:rFonts w:ascii="Cambria Math" w:hAnsi="Cambria Math"/>
                  <w:i/>
                </w:rPr>
              </m:ctrlPr>
            </m:sSubPr>
            <m:e>
              <m:bar>
                <m:barPr>
                  <m:pos m:val="top"/>
                  <m:ctrlPr>
                    <w:rPr>
                      <w:rFonts w:ascii="Cambria Math" w:hAnsi="Cambria Math"/>
                      <w:i/>
                    </w:rPr>
                  </m:ctrlPr>
                </m:barPr>
                <m:e>
                  <m:r>
                    <w:rPr>
                      <w:rFonts w:ascii="Cambria Math" w:hAnsi="Cambria Math"/>
                    </w:rPr>
                    <m:t>ε</m:t>
                  </m:r>
                </m:e>
              </m:bar>
            </m:e>
            <m:sub>
              <m:r>
                <w:rPr>
                  <w:rFonts w:ascii="Cambria Math" w:hAnsi="Cambria Math"/>
                </w:rPr>
                <m:t>p</m:t>
              </m:r>
            </m:sub>
          </m:sSub>
        </m:oMath>
      </m:oMathPara>
    </w:p>
    <w:p w14:paraId="2B73A6CE" w14:textId="77777777" w:rsidR="00E24FD2" w:rsidRPr="00BC31E0" w:rsidRDefault="00A51873" w:rsidP="00E537FC">
      <w:pPr>
        <w:tabs>
          <w:tab w:val="left" w:pos="2163"/>
        </w:tabs>
        <w:ind w:left="2494" w:hanging="680"/>
      </w:pPr>
      <m:oMath>
        <m:bar>
          <m:barPr>
            <m:pos m:val="top"/>
            <m:ctrlPr>
              <w:rPr>
                <w:rFonts w:ascii="Cambria Math" w:hAnsi="Cambria Math"/>
              </w:rPr>
            </m:ctrlPr>
          </m:barPr>
          <m:e>
            <m:r>
              <w:rPr>
                <w:rFonts w:ascii="Cambria Math" w:hAnsi="Cambria Math"/>
              </w:rPr>
              <m:t>σ</m:t>
            </m:r>
          </m:e>
        </m:bar>
      </m:oMath>
      <w:r w:rsidR="00E24FD2" w:rsidRPr="00BC31E0">
        <w:rPr>
          <w:rFonts w:hint="eastAsia"/>
        </w:rPr>
        <w:tab/>
      </w:r>
      <w:r w:rsidR="00E24FD2" w:rsidRPr="00BC31E0">
        <w:rPr>
          <w:rFonts w:asciiTheme="minorEastAsia" w:hAnsiTheme="minorEastAsia" w:hint="eastAsia"/>
        </w:rPr>
        <w:t xml:space="preserve">： 弾塑性解析によるミーゼスの相当応力 </w:t>
      </w:r>
      <w:r w:rsidR="00E24FD2" w:rsidRPr="00BC31E0">
        <w:rPr>
          <w:rFonts w:hint="eastAsia"/>
        </w:rPr>
        <w:t>(</w:t>
      </w:r>
      <w:r w:rsidR="00E24FD2" w:rsidRPr="00BC31E0">
        <w:rPr>
          <w:rFonts w:ascii="Cambria Math" w:hAnsi="Cambria Math"/>
        </w:rPr>
        <w:t>MPa</w:t>
      </w:r>
      <w:r w:rsidR="00E24FD2" w:rsidRPr="00BC31E0">
        <w:rPr>
          <w:rFonts w:hint="eastAsia"/>
        </w:rPr>
        <w:t>)</w:t>
      </w:r>
    </w:p>
    <w:p w14:paraId="0ED2F2BF" w14:textId="77777777" w:rsidR="00E24FD2" w:rsidRPr="00BC31E0" w:rsidRDefault="00A51873" w:rsidP="00E537FC">
      <w:pPr>
        <w:tabs>
          <w:tab w:val="left" w:pos="2163"/>
        </w:tabs>
        <w:ind w:left="2494" w:hanging="680"/>
      </w:pP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ε</m:t>
                </m:r>
              </m:e>
            </m:bar>
          </m:e>
          <m:sub>
            <m:r>
              <w:rPr>
                <w:rFonts w:ascii="Cambria Math" w:hAnsi="Cambria Math"/>
              </w:rPr>
              <m:t>p</m:t>
            </m:r>
          </m:sub>
        </m:sSub>
      </m:oMath>
      <w:r w:rsidR="00E24FD2" w:rsidRPr="00BC31E0">
        <w:rPr>
          <w:rFonts w:hint="eastAsia"/>
        </w:rPr>
        <w:tab/>
      </w:r>
      <w:r w:rsidR="00E24FD2" w:rsidRPr="00BC31E0">
        <w:rPr>
          <w:rFonts w:asciiTheme="minorEastAsia" w:hAnsiTheme="minorEastAsia" w:hint="eastAsia"/>
        </w:rPr>
        <w:t>： 弾塑性解析によるミーゼスの相当塑性ひずみ</w:t>
      </w:r>
    </w:p>
    <w:p w14:paraId="4DB74EEB" w14:textId="77777777" w:rsidR="00E24FD2" w:rsidRPr="00BC31E0" w:rsidRDefault="00E24FD2" w:rsidP="00E537FC">
      <w:pPr>
        <w:tabs>
          <w:tab w:val="left" w:pos="2163"/>
        </w:tabs>
        <w:ind w:left="2494" w:hanging="680"/>
      </w:pPr>
      <m:oMath>
        <m:r>
          <w:rPr>
            <w:rFonts w:ascii="Cambria Math" w:hAnsi="Cambria Math"/>
          </w:rPr>
          <m:t>E</m:t>
        </m:r>
      </m:oMath>
      <w:r w:rsidRPr="00BC31E0">
        <w:rPr>
          <w:rFonts w:hint="eastAsia"/>
        </w:rPr>
        <w:tab/>
      </w:r>
      <w:r w:rsidRPr="00BC31E0">
        <w:rPr>
          <w:rFonts w:asciiTheme="minorEastAsia" w:hAnsiTheme="minorEastAsia" w:hint="eastAsia"/>
        </w:rPr>
        <w:t xml:space="preserve">： 温度サイクル中の最高温度と最低温度の平均温度における縦弾性係数 </w:t>
      </w:r>
      <w:r w:rsidRPr="00BC31E0">
        <w:rPr>
          <w:rFonts w:hint="eastAsia"/>
        </w:rPr>
        <w:t>(</w:t>
      </w:r>
      <w:r w:rsidRPr="00BC31E0">
        <w:rPr>
          <w:rFonts w:ascii="Cambria Math" w:hAnsi="Cambria Math"/>
        </w:rPr>
        <w:t>MPa</w:t>
      </w:r>
      <w:r w:rsidRPr="00BC31E0">
        <w:rPr>
          <w:rFonts w:hint="eastAsia"/>
        </w:rPr>
        <w:t>)</w:t>
      </w:r>
    </w:p>
    <w:p w14:paraId="0C5B7CCB" w14:textId="77777777" w:rsidR="00E24FD2" w:rsidRPr="00BC31E0" w:rsidRDefault="00A51873" w:rsidP="00E537FC">
      <w:pPr>
        <w:tabs>
          <w:tab w:val="left" w:pos="2163"/>
        </w:tabs>
        <w:ind w:left="2494" w:hanging="680"/>
        <w:rPr>
          <w:rFonts w:asciiTheme="minorEastAsia" w:eastAsiaTheme="minorEastAsia" w:hAnsiTheme="minorEastAsia"/>
        </w:rPr>
      </w:pPr>
      <m:oMath>
        <m:sSub>
          <m:sSubPr>
            <m:ctrlPr>
              <w:rPr>
                <w:rFonts w:ascii="Cambria Math" w:hAnsi="Cambria Math"/>
                <w:i/>
              </w:rPr>
            </m:ctrlPr>
          </m:sSubPr>
          <m:e>
            <m:r>
              <w:rPr>
                <w:rFonts w:ascii="Cambria Math" w:hAnsi="Cambria Math"/>
              </w:rPr>
              <m:t>ε</m:t>
            </m:r>
          </m:e>
          <m:sub>
            <m:r>
              <w:rPr>
                <w:rFonts w:ascii="Cambria Math" w:hAnsi="Cambria Math"/>
              </w:rPr>
              <m:t>e</m:t>
            </m:r>
          </m:sub>
        </m:sSub>
      </m:oMath>
      <w:r w:rsidR="00E24FD2" w:rsidRPr="00BC31E0">
        <w:rPr>
          <w:rFonts w:hint="eastAsia"/>
        </w:rPr>
        <w:tab/>
      </w:r>
      <w:r w:rsidR="00E24FD2" w:rsidRPr="00BC31E0">
        <w:rPr>
          <w:rFonts w:asciiTheme="minorEastAsia" w:hAnsiTheme="minorEastAsia" w:hint="eastAsia"/>
        </w:rPr>
        <w:t>： 疲労評価を行う当該</w:t>
      </w:r>
      <w:r w:rsidR="00E24FD2" w:rsidRPr="00BC31E0">
        <w:rPr>
          <w:rFonts w:asciiTheme="minorEastAsia" w:hAnsiTheme="minorEastAsia"/>
        </w:rPr>
        <w:t>サイクルに対して，弾性解析により求めた</w:t>
      </w:r>
      <w:r w:rsidR="00E24FD2" w:rsidRPr="00BC31E0">
        <w:rPr>
          <w:rFonts w:asciiTheme="minorEastAsia" w:hAnsiTheme="minorEastAsia" w:hint="eastAsia"/>
        </w:rPr>
        <w:t>ときのひ</w:t>
      </w:r>
      <w:r w:rsidR="00E24FD2" w:rsidRPr="00BC31E0">
        <w:rPr>
          <w:rFonts w:asciiTheme="minorEastAsia" w:hAnsiTheme="minorEastAsia"/>
        </w:rPr>
        <w:t>ずみ</w:t>
      </w:r>
      <w:r w:rsidR="00E24FD2" w:rsidRPr="00BC31E0">
        <w:rPr>
          <w:rFonts w:asciiTheme="minorEastAsia" w:eastAsiaTheme="minorEastAsia" w:hAnsiTheme="minorEastAsia"/>
        </w:rPr>
        <w:t>であり，</w:t>
      </w:r>
      <w:r w:rsidR="00E24FD2" w:rsidRPr="00BC31E0">
        <w:rPr>
          <w:rFonts w:asciiTheme="minorEastAsia" w:eastAsiaTheme="minorEastAsia" w:hAnsiTheme="minorEastAsia" w:hint="eastAsia"/>
        </w:rPr>
        <w:t>次式</w:t>
      </w:r>
      <w:r w:rsidR="00E24FD2" w:rsidRPr="00BC31E0">
        <w:rPr>
          <w:rFonts w:asciiTheme="minorEastAsia" w:eastAsiaTheme="minorEastAsia" w:hAnsiTheme="minorEastAsia"/>
        </w:rPr>
        <w:t>により計算した値</w:t>
      </w:r>
    </w:p>
    <w:p w14:paraId="2CCF2F0B" w14:textId="77777777" w:rsidR="00E24FD2" w:rsidRPr="00BC31E0" w:rsidRDefault="00A51873" w:rsidP="00750830">
      <w:pPr>
        <w:ind w:left="2552"/>
        <w:rPr>
          <w:i/>
        </w:rPr>
      </w:pPr>
      <m:oMathPara>
        <m:oMathParaPr>
          <m:jc m:val="left"/>
        </m:oMathParaPr>
        <m:oMath>
          <m:sSub>
            <m:sSubPr>
              <m:ctrlPr>
                <w:rPr>
                  <w:rFonts w:ascii="Cambria Math" w:hAnsi="Cambria Math"/>
                  <w:i/>
                </w:rPr>
              </m:ctrlPr>
            </m:sSubPr>
            <m:e>
              <m:r>
                <w:rPr>
                  <w:rFonts w:ascii="Cambria Math" w:hAnsi="Cambria Math"/>
                </w:rPr>
                <m:t>ε</m:t>
              </m:r>
            </m:e>
            <m:sub>
              <m:r>
                <w:rPr>
                  <w:rFonts w:ascii="Cambria Math" w:hAnsi="Cambria Math"/>
                </w:rPr>
                <m:t>e</m:t>
              </m:r>
            </m:sub>
          </m:sSub>
          <m:r>
            <w:rPr>
              <w:rFonts w:ascii="Cambria Math" w:hAnsi="Cambria Math"/>
            </w:rPr>
            <m:t>=</m:t>
          </m:r>
          <m:f>
            <m:fPr>
              <m:ctrlPr>
                <w:rPr>
                  <w:rFonts w:ascii="Cambria Math" w:hAnsi="Cambria Math"/>
                  <w:i/>
                </w:rPr>
              </m:ctrlPr>
            </m:fPr>
            <m:num>
              <m:sSup>
                <m:sSupPr>
                  <m:ctrlPr>
                    <w:rPr>
                      <w:rFonts w:ascii="Cambria Math" w:hAnsi="Cambria Math"/>
                      <w:i/>
                    </w:rPr>
                  </m:ctrlPr>
                </m:sSupPr>
                <m:e>
                  <m:bar>
                    <m:barPr>
                      <m:pos m:val="top"/>
                      <m:ctrlPr>
                        <w:rPr>
                          <w:rFonts w:ascii="Cambria Math" w:hAnsi="Cambria Math"/>
                          <w:i/>
                        </w:rPr>
                      </m:ctrlPr>
                    </m:barPr>
                    <m:e>
                      <m:r>
                        <w:rPr>
                          <w:rFonts w:ascii="Cambria Math" w:hAnsi="Cambria Math"/>
                        </w:rPr>
                        <m:t>σ</m:t>
                      </m:r>
                    </m:e>
                  </m:bar>
                </m:e>
                <m:sup>
                  <m:r>
                    <w:rPr>
                      <w:rFonts w:ascii="Cambria Math" w:hAnsi="Cambria Math"/>
                    </w:rPr>
                    <m:t>*</m:t>
                  </m:r>
                </m:sup>
              </m:sSup>
            </m:num>
            <m:den>
              <m:r>
                <w:rPr>
                  <w:rFonts w:ascii="Cambria Math" w:hAnsi="Cambria Math"/>
                </w:rPr>
                <m:t>E</m:t>
              </m:r>
            </m:den>
          </m:f>
        </m:oMath>
      </m:oMathPara>
    </w:p>
    <w:p w14:paraId="234C94C9" w14:textId="77777777" w:rsidR="00E24FD2" w:rsidRPr="00BC31E0" w:rsidRDefault="00A51873" w:rsidP="00E537FC">
      <w:pPr>
        <w:tabs>
          <w:tab w:val="left" w:pos="2163"/>
        </w:tabs>
        <w:ind w:left="2494" w:hanging="680"/>
      </w:pPr>
      <m:oMath>
        <m:sSup>
          <m:sSupPr>
            <m:ctrlPr>
              <w:rPr>
                <w:rFonts w:ascii="Cambria Math" w:hAnsi="Cambria Math"/>
              </w:rPr>
            </m:ctrlPr>
          </m:sSupPr>
          <m:e>
            <m:bar>
              <m:barPr>
                <m:pos m:val="top"/>
                <m:ctrlPr>
                  <w:rPr>
                    <w:rFonts w:ascii="Cambria Math" w:hAnsi="Cambria Math"/>
                    <w:i/>
                  </w:rPr>
                </m:ctrlPr>
              </m:barPr>
              <m:e>
                <m:r>
                  <w:rPr>
                    <w:rFonts w:ascii="Cambria Math" w:hAnsi="Cambria Math"/>
                  </w:rPr>
                  <m:t>σ</m:t>
                </m:r>
              </m:e>
            </m:bar>
          </m:e>
          <m:sup>
            <m:r>
              <m:rPr>
                <m:sty m:val="p"/>
              </m:rPr>
              <w:rPr>
                <w:rFonts w:ascii="Cambria Math" w:hAnsi="Cambria Math"/>
              </w:rPr>
              <m:t>*</m:t>
            </m:r>
          </m:sup>
        </m:sSup>
      </m:oMath>
      <w:r w:rsidR="00E24FD2" w:rsidRPr="00BC31E0">
        <w:rPr>
          <w:rFonts w:asciiTheme="minorEastAsia" w:hAnsiTheme="minorEastAsia" w:hint="eastAsia"/>
        </w:rPr>
        <w:tab/>
        <w:t xml:space="preserve">： 弾性解析によるミーゼスの相当応力 </w:t>
      </w:r>
      <w:r w:rsidR="00E24FD2" w:rsidRPr="00BC31E0">
        <w:rPr>
          <w:rFonts w:hint="eastAsia"/>
        </w:rPr>
        <w:t>(</w:t>
      </w:r>
      <w:r w:rsidR="00E24FD2" w:rsidRPr="00BC31E0">
        <w:rPr>
          <w:rFonts w:ascii="Cambria Math" w:hAnsi="Cambria Math"/>
        </w:rPr>
        <w:t>MPa</w:t>
      </w:r>
      <w:r w:rsidR="00E24FD2" w:rsidRPr="00BC31E0">
        <w:rPr>
          <w:rFonts w:hint="eastAsia"/>
        </w:rPr>
        <w:t>)</w:t>
      </w:r>
    </w:p>
    <w:p w14:paraId="4BF4AA0D" w14:textId="77777777" w:rsidR="00E24FD2" w:rsidRPr="00BC31E0" w:rsidRDefault="00E24FD2" w:rsidP="00E537FC">
      <w:pPr>
        <w:spacing w:before="120"/>
        <w:ind w:left="1134" w:firstLineChars="100" w:firstLine="210"/>
        <w:rPr>
          <w:rFonts w:hAnsiTheme="minorHAnsi"/>
        </w:rPr>
      </w:pPr>
      <w:r w:rsidRPr="00BC31E0">
        <w:t>係数</w:t>
      </w:r>
      <m:oMath>
        <m:sSub>
          <m:sSubPr>
            <m:ctrlPr>
              <w:rPr>
                <w:rFonts w:ascii="Cambria Math" w:hAnsi="Cambria Math"/>
                <w:i/>
              </w:rPr>
            </m:ctrlPr>
          </m:sSubPr>
          <m:e>
            <m:r>
              <w:rPr>
                <w:rFonts w:ascii="Cambria Math" w:hAnsi="Cambria Math"/>
              </w:rPr>
              <m:t xml:space="preserve"> K</m:t>
            </m:r>
          </m:e>
          <m:sub>
            <m:r>
              <w:rPr>
                <w:rFonts w:ascii="Cambria Math" w:hAnsi="Cambria Math"/>
              </w:rPr>
              <m:t>e</m:t>
            </m:r>
          </m:sub>
        </m:sSub>
        <m:r>
          <m:rPr>
            <m:sty m:val="p"/>
          </m:rPr>
          <w:rPr>
            <w:rFonts w:ascii="Cambria Math" w:hAnsi="Cambria Math"/>
          </w:rPr>
          <m:t xml:space="preserve"> </m:t>
        </m:r>
      </m:oMath>
      <w:r w:rsidRPr="00BC31E0">
        <w:t>の</w:t>
      </w:r>
      <w:r w:rsidRPr="00BC31E0">
        <w:rPr>
          <w:rFonts w:hint="eastAsia"/>
        </w:rPr>
        <w:t>計算</w:t>
      </w:r>
      <w:r w:rsidRPr="00BC31E0">
        <w:t>には，</w:t>
      </w:r>
      <w:r w:rsidRPr="00BC31E0">
        <w:rPr>
          <w:rFonts w:hint="eastAsia"/>
        </w:rPr>
        <w:t>疲労評価を行う</w:t>
      </w:r>
      <w:r w:rsidRPr="00BC31E0">
        <w:rPr>
          <w:rFonts w:asciiTheme="minorEastAsia" w:hint="eastAsia"/>
        </w:rPr>
        <w:t>当該</w:t>
      </w:r>
      <w:r w:rsidRPr="00BC31E0">
        <w:t>サイクルよりも</w:t>
      </w:r>
      <w:r w:rsidRPr="00BC31E0">
        <w:rPr>
          <w:rFonts w:hint="eastAsia"/>
        </w:rPr>
        <w:t>，</w:t>
      </w:r>
      <w:r w:rsidRPr="00BC31E0">
        <w:t>応力範囲が大きくなるサイクルを使用してもよい。</w:t>
      </w:r>
    </w:p>
    <w:p w14:paraId="042C960F" w14:textId="77777777" w:rsidR="00E24FD2" w:rsidRPr="00BC31E0" w:rsidRDefault="00E24FD2" w:rsidP="00736130">
      <w:pPr>
        <w:pStyle w:val="a4"/>
        <w:numPr>
          <w:ilvl w:val="0"/>
          <w:numId w:val="410"/>
        </w:numPr>
        <w:ind w:leftChars="0" w:left="738" w:hanging="454"/>
      </w:pPr>
      <w:r w:rsidRPr="00BC31E0">
        <w:t>材料の規定最小降伏点又は</w:t>
      </w:r>
      <w:r w:rsidR="00E537FC" w:rsidRPr="00BC31E0">
        <w:rPr>
          <w:rFonts w:hint="eastAsia"/>
        </w:rPr>
        <w:t>0.2%</w:t>
      </w:r>
      <w:r w:rsidRPr="00BC31E0">
        <w:t>耐力と，規定最小引張強さとの比</w:t>
      </w:r>
      <w:r w:rsidRPr="00BC31E0">
        <w:rPr>
          <w:rFonts w:hint="eastAsia"/>
        </w:rPr>
        <w:t>が</w:t>
      </w:r>
      <w:r w:rsidR="00E537FC" w:rsidRPr="00BC31E0">
        <w:rPr>
          <w:rFonts w:hint="eastAsia"/>
        </w:rPr>
        <w:t>0.8</w:t>
      </w:r>
      <w:r w:rsidRPr="00BC31E0">
        <w:t>以下である。</w:t>
      </w:r>
    </w:p>
    <w:p w14:paraId="3D856F0D" w14:textId="77777777" w:rsidR="00E24FD2" w:rsidRPr="00BC31E0" w:rsidRDefault="00E24FD2" w:rsidP="00736130">
      <w:pPr>
        <w:pStyle w:val="a4"/>
        <w:numPr>
          <w:ilvl w:val="0"/>
          <w:numId w:val="410"/>
        </w:numPr>
        <w:ind w:leftChars="0" w:left="738" w:hanging="454"/>
      </w:pPr>
      <w:r w:rsidRPr="00BC31E0">
        <w:rPr>
          <w:rFonts w:hint="eastAsia"/>
        </w:rPr>
        <w:t>熱応力ラチェットに対する</w:t>
      </w:r>
      <w:r w:rsidRPr="00BC31E0">
        <w:rPr>
          <w:rFonts w:asciiTheme="majorEastAsia" w:eastAsiaTheme="majorEastAsia" w:hAnsiTheme="majorEastAsia" w:hint="eastAsia"/>
          <w:b/>
          <w:bCs/>
        </w:rPr>
        <w:t>i)</w:t>
      </w:r>
      <w:r w:rsidRPr="00BC31E0">
        <w:rPr>
          <w:rFonts w:hint="eastAsia"/>
        </w:rPr>
        <w:t>の要求を満足する。</w:t>
      </w:r>
    </w:p>
    <w:p w14:paraId="43022901" w14:textId="77777777" w:rsidR="00E24FD2" w:rsidRPr="00BC31E0" w:rsidRDefault="00E24FD2" w:rsidP="00736130">
      <w:pPr>
        <w:pStyle w:val="a4"/>
        <w:numPr>
          <w:ilvl w:val="0"/>
          <w:numId w:val="411"/>
        </w:numPr>
        <w:ind w:leftChars="0" w:left="738" w:hanging="454"/>
      </w:pPr>
      <w:r w:rsidRPr="00BC31E0">
        <w:rPr>
          <w:rFonts w:hint="eastAsia"/>
        </w:rPr>
        <w:t>温度が各材料について</w:t>
      </w:r>
      <w:r w:rsidRPr="00BC31E0">
        <w:rPr>
          <w:rFonts w:asciiTheme="majorEastAsia" w:eastAsiaTheme="majorEastAsia" w:hAnsiTheme="majorEastAsia" w:hint="eastAsia"/>
          <w:b/>
          <w:bCs/>
        </w:rPr>
        <w:t>表J.3</w:t>
      </w:r>
      <w:r w:rsidRPr="00BC31E0">
        <w:rPr>
          <w:rFonts w:hint="eastAsia"/>
        </w:rPr>
        <w:t>の最高温度を超えない。</w:t>
      </w:r>
    </w:p>
    <w:p w14:paraId="44EBD8B0" w14:textId="77777777" w:rsidR="00E24FD2" w:rsidRPr="00BC31E0" w:rsidRDefault="00E24FD2" w:rsidP="00736130">
      <w:pPr>
        <w:pStyle w:val="a4"/>
        <w:numPr>
          <w:ilvl w:val="0"/>
          <w:numId w:val="384"/>
        </w:numPr>
        <w:ind w:leftChars="0" w:left="454" w:hanging="454"/>
      </w:pPr>
      <w:r w:rsidRPr="00BC31E0">
        <w:rPr>
          <w:rFonts w:asciiTheme="majorEastAsia" w:eastAsiaTheme="majorEastAsia" w:hAnsiTheme="majorEastAsia" w:hint="eastAsia"/>
          <w:b/>
          <w:bCs/>
        </w:rPr>
        <w:t>熱応力ラチェット評価</w:t>
      </w:r>
      <w:r w:rsidRPr="00BC31E0">
        <w:rPr>
          <w:rFonts w:hint="eastAsia"/>
        </w:rPr>
        <w:t xml:space="preserve">　</w:t>
      </w:r>
      <w:r w:rsidRPr="00BC31E0">
        <w:t>静的な一次一般又は局部膜応力を受ける容器が熱応力の繰返しを受ける場合，熱応力ラチェットを防止するための二次相当応力範囲の評価手順は次の</w:t>
      </w:r>
      <w:r w:rsidRPr="00BC31E0">
        <w:rPr>
          <w:rFonts w:asciiTheme="majorEastAsia" w:eastAsiaTheme="majorEastAsia" w:hAnsiTheme="majorEastAsia"/>
          <w:b/>
          <w:bCs/>
        </w:rPr>
        <w:t>1)</w:t>
      </w:r>
      <w:r w:rsidRPr="00BC31E0">
        <w:t>～</w:t>
      </w:r>
      <w:r w:rsidRPr="00BC31E0">
        <w:rPr>
          <w:rFonts w:asciiTheme="majorEastAsia" w:eastAsiaTheme="majorEastAsia" w:hAnsiTheme="majorEastAsia"/>
          <w:b/>
          <w:bCs/>
        </w:rPr>
        <w:t>6)</w:t>
      </w:r>
      <w:r w:rsidRPr="00BC31E0">
        <w:t>による。この手順は，容器厚さ方向の温度分布が直線形状又は放物線形状の場合に適用</w:t>
      </w:r>
      <w:r w:rsidR="00236217" w:rsidRPr="00BC31E0">
        <w:rPr>
          <w:rFonts w:hint="eastAsia"/>
        </w:rPr>
        <w:t>する</w:t>
      </w:r>
      <w:r w:rsidRPr="00BC31E0">
        <w:t>。</w:t>
      </w:r>
    </w:p>
    <w:p w14:paraId="26E4C329" w14:textId="77777777" w:rsidR="00E24FD2" w:rsidRPr="00BC31E0" w:rsidRDefault="00E24FD2" w:rsidP="00736130">
      <w:pPr>
        <w:pStyle w:val="a4"/>
        <w:numPr>
          <w:ilvl w:val="0"/>
          <w:numId w:val="412"/>
        </w:numPr>
        <w:ind w:leftChars="0" w:left="738" w:hanging="454"/>
      </w:pPr>
      <w:r w:rsidRPr="00BC31E0">
        <w:rPr>
          <w:rFonts w:hint="eastAsia"/>
        </w:rPr>
        <w:t>一次膜相当応力と温度サイクルの平均温度における降伏強さとの比</w:t>
      </w:r>
      <m:oMath>
        <m:r>
          <m:rPr>
            <m:sty m:val="p"/>
          </m:rPr>
          <w:rPr>
            <w:rFonts w:ascii="Cambria Math" w:hAnsi="Cambria Math"/>
          </w:rPr>
          <m:t xml:space="preserve"> </m:t>
        </m:r>
        <m:r>
          <w:rPr>
            <w:rFonts w:ascii="Cambria Math" w:hAnsi="Cambria Math" w:hint="eastAsia"/>
          </w:rPr>
          <m:t>X</m:t>
        </m:r>
        <m:r>
          <m:rPr>
            <m:sty m:val="p"/>
          </m:rPr>
          <w:rPr>
            <w:rFonts w:ascii="Cambria Math" w:hAnsi="Cambria Math"/>
          </w:rPr>
          <m:t xml:space="preserve"> </m:t>
        </m:r>
      </m:oMath>
      <w:r w:rsidRPr="00BC31E0">
        <w:rPr>
          <w:rFonts w:hint="eastAsia"/>
        </w:rPr>
        <w:t>を次式で求める。</w:t>
      </w:r>
    </w:p>
    <w:tbl>
      <w:tblPr>
        <w:tblStyle w:val="afff2"/>
        <w:tblW w:w="5278" w:type="dxa"/>
        <w:tblInd w:w="3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5"/>
        <w:gridCol w:w="4623"/>
      </w:tblGrid>
      <w:tr w:rsidR="00E24FD2" w:rsidRPr="00BC31E0" w14:paraId="1BB5DB88" w14:textId="77777777" w:rsidTr="004736F2">
        <w:tc>
          <w:tcPr>
            <w:tcW w:w="0" w:type="auto"/>
            <w:tcMar>
              <w:left w:w="0" w:type="dxa"/>
              <w:right w:w="0" w:type="dxa"/>
            </w:tcMar>
            <w:vAlign w:val="center"/>
          </w:tcPr>
          <w:p w14:paraId="311FD2F6" w14:textId="77777777" w:rsidR="00E24FD2" w:rsidRPr="00BC31E0" w:rsidRDefault="00E24FD2" w:rsidP="004736F2">
            <w:pPr>
              <w:rPr>
                <w:i/>
              </w:rPr>
            </w:pPr>
            <m:oMathPara>
              <m:oMathParaPr>
                <m:jc m:val="left"/>
              </m:oMathParaPr>
              <m:oMath>
                <m:r>
                  <w:rPr>
                    <w:rFonts w:ascii="Cambria Math" w:hAnsi="Cambria Math" w:hint="eastAsia"/>
                  </w:rPr>
                  <m:t>X=</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m</m:t>
                        </m:r>
                      </m:sub>
                    </m:sSub>
                  </m:num>
                  <m:den>
                    <m:sSub>
                      <m:sSubPr>
                        <m:ctrlPr>
                          <w:rPr>
                            <w:rFonts w:ascii="Cambria Math" w:hAnsi="Cambria Math"/>
                            <w:i/>
                          </w:rPr>
                        </m:ctrlPr>
                      </m:sSubPr>
                      <m:e>
                        <m:r>
                          <w:rPr>
                            <w:rFonts w:ascii="Cambria Math" w:hAnsi="Cambria Math"/>
                          </w:rPr>
                          <m:t>S</m:t>
                        </m:r>
                      </m:e>
                      <m:sub>
                        <m:r>
                          <w:rPr>
                            <w:rFonts w:ascii="Cambria Math" w:hAnsi="Cambria Math"/>
                          </w:rPr>
                          <m:t>y</m:t>
                        </m:r>
                      </m:sub>
                    </m:sSub>
                  </m:den>
                </m:f>
              </m:oMath>
            </m:oMathPara>
          </w:p>
        </w:tc>
        <w:tc>
          <w:tcPr>
            <w:tcW w:w="4623" w:type="dxa"/>
            <w:tcMar>
              <w:left w:w="0" w:type="dxa"/>
              <w:right w:w="0" w:type="dxa"/>
            </w:tcMar>
            <w:vAlign w:val="center"/>
          </w:tcPr>
          <w:p w14:paraId="2CED03C1" w14:textId="77777777" w:rsidR="00E24FD2" w:rsidRPr="00BC31E0" w:rsidRDefault="00E24FD2" w:rsidP="004736F2">
            <w:pPr>
              <w:tabs>
                <w:tab w:val="left" w:leader="middleDot" w:pos="4059"/>
              </w:tabs>
              <w:rPr>
                <w:rFonts w:asciiTheme="minorHAnsi" w:hAnsiTheme="minorHAnsi"/>
              </w:rPr>
            </w:pPr>
            <w:r w:rsidRPr="00BC31E0">
              <w:rPr>
                <w:rFonts w:asciiTheme="minorHAnsi" w:hAnsiTheme="minorHAnsi"/>
              </w:rPr>
              <w:tab/>
              <w:t>(</w:t>
            </w:r>
            <w:r w:rsidRPr="00BC31E0">
              <w:rPr>
                <w:rFonts w:asciiTheme="minorHAnsi" w:hAnsiTheme="minorHAnsi" w:hint="eastAsia"/>
              </w:rPr>
              <w:t>8</w:t>
            </w:r>
            <w:r w:rsidRPr="00BC31E0">
              <w:rPr>
                <w:rFonts w:asciiTheme="minorHAnsi" w:hAnsiTheme="minorHAnsi"/>
              </w:rPr>
              <w:t>)</w:t>
            </w:r>
          </w:p>
        </w:tc>
      </w:tr>
    </w:tbl>
    <w:p w14:paraId="2AB3B0C5" w14:textId="77777777" w:rsidR="00E24FD2" w:rsidRPr="00BC31E0" w:rsidRDefault="00E24FD2" w:rsidP="00DC143C">
      <w:pPr>
        <w:ind w:left="737" w:firstLineChars="100" w:firstLine="210"/>
      </w:pPr>
      <w:r w:rsidRPr="00BC31E0">
        <w:rPr>
          <w:rFonts w:hint="eastAsia"/>
        </w:rPr>
        <w:lastRenderedPageBreak/>
        <w:t>ここで，</w:t>
      </w:r>
    </w:p>
    <w:p w14:paraId="4A915087" w14:textId="77777777" w:rsidR="00E24FD2" w:rsidRPr="00BC31E0" w:rsidRDefault="00A51873" w:rsidP="00DC143C">
      <w:pPr>
        <w:tabs>
          <w:tab w:val="left" w:pos="1701"/>
        </w:tabs>
        <w:ind w:left="1361"/>
        <w:rPr>
          <w:rFonts w:asciiTheme="minorHAnsi" w:hAnsiTheme="minorHAnsi"/>
        </w:rPr>
      </w:pPr>
      <m:oMath>
        <m:sSub>
          <m:sSubPr>
            <m:ctrlPr>
              <w:rPr>
                <w:rFonts w:ascii="Cambria Math" w:hAnsi="Cambria Math"/>
                <w:i/>
              </w:rPr>
            </m:ctrlPr>
          </m:sSubPr>
          <m:e>
            <m:r>
              <w:rPr>
                <w:rFonts w:ascii="Cambria Math" w:hAnsi="Cambria Math" w:hint="eastAsia"/>
              </w:rPr>
              <m:t>P</m:t>
            </m:r>
          </m:e>
          <m:sub>
            <m:r>
              <w:rPr>
                <w:rFonts w:ascii="Cambria Math" w:hAnsi="Cambria Math" w:hint="eastAsia"/>
              </w:rPr>
              <m:t>m</m:t>
            </m:r>
          </m:sub>
        </m:sSub>
      </m:oMath>
      <w:r w:rsidR="00E24FD2" w:rsidRPr="00BC31E0">
        <w:rPr>
          <w:rFonts w:hint="eastAsia"/>
        </w:rPr>
        <w:tab/>
      </w:r>
      <w:r w:rsidR="00E24FD2" w:rsidRPr="00BC31E0">
        <w:rPr>
          <w:rFonts w:hint="eastAsia"/>
        </w:rPr>
        <w:t>：</w:t>
      </w:r>
      <w:r w:rsidR="00E24FD2" w:rsidRPr="00BC31E0">
        <w:rPr>
          <w:rFonts w:hint="eastAsia"/>
        </w:rPr>
        <w:t xml:space="preserve"> </w:t>
      </w:r>
      <w:r w:rsidR="00E24FD2" w:rsidRPr="00BC31E0">
        <w:rPr>
          <w:rFonts w:hint="eastAsia"/>
        </w:rPr>
        <w:t>一次膜相当応力</w:t>
      </w:r>
      <w:r w:rsidR="00E24FD2" w:rsidRPr="00BC31E0">
        <w:rPr>
          <w:rFonts w:asciiTheme="minorHAnsi" w:hAnsiTheme="minorHAnsi"/>
        </w:rPr>
        <w:t>(</w:t>
      </w:r>
      <w:r w:rsidR="00E24FD2" w:rsidRPr="00BC31E0">
        <w:rPr>
          <w:rFonts w:ascii="Cambria Math" w:hAnsi="Cambria Math"/>
        </w:rPr>
        <w:t>MPa</w:t>
      </w:r>
      <w:r w:rsidR="00E24FD2" w:rsidRPr="00BC31E0">
        <w:rPr>
          <w:rFonts w:asciiTheme="minorHAnsi" w:hAnsiTheme="minorHAnsi"/>
        </w:rPr>
        <w:t>)</w:t>
      </w:r>
    </w:p>
    <w:p w14:paraId="43CB3883" w14:textId="77777777" w:rsidR="00E24FD2" w:rsidRPr="00BC31E0" w:rsidRDefault="00A51873" w:rsidP="00DC143C">
      <w:pPr>
        <w:tabs>
          <w:tab w:val="left" w:pos="1701"/>
        </w:tabs>
        <w:ind w:left="1361"/>
      </w:pPr>
      <m:oMath>
        <m:sSub>
          <m:sSubPr>
            <m:ctrlPr>
              <w:rPr>
                <w:rFonts w:ascii="Cambria Math" w:hAnsi="Cambria Math"/>
                <w:i/>
              </w:rPr>
            </m:ctrlPr>
          </m:sSubPr>
          <m:e>
            <m:r>
              <w:rPr>
                <w:rFonts w:ascii="Cambria Math" w:hAnsi="Cambria Math"/>
              </w:rPr>
              <m:t>S</m:t>
            </m:r>
          </m:e>
          <m:sub>
            <m:r>
              <w:rPr>
                <w:rFonts w:ascii="Cambria Math" w:hAnsi="Cambria Math"/>
              </w:rPr>
              <m:t>y</m:t>
            </m:r>
          </m:sub>
        </m:sSub>
      </m:oMath>
      <w:r w:rsidR="00E24FD2" w:rsidRPr="00BC31E0">
        <w:rPr>
          <w:rFonts w:hint="eastAsia"/>
        </w:rPr>
        <w:tab/>
      </w:r>
      <w:r w:rsidR="00E24FD2" w:rsidRPr="00BC31E0">
        <w:rPr>
          <w:rFonts w:hint="eastAsia"/>
        </w:rPr>
        <w:t>：</w:t>
      </w:r>
      <w:r w:rsidR="00E24FD2" w:rsidRPr="00BC31E0">
        <w:rPr>
          <w:rFonts w:hint="eastAsia"/>
        </w:rPr>
        <w:t xml:space="preserve"> </w:t>
      </w:r>
      <w:r w:rsidR="00E24FD2" w:rsidRPr="00BC31E0">
        <w:rPr>
          <w:rFonts w:hint="eastAsia"/>
        </w:rPr>
        <w:t>温度サイクル中の最高温度と最低温度の平均温度における降伏強さ</w:t>
      </w:r>
      <w:r w:rsidR="00E24FD2" w:rsidRPr="00BC31E0">
        <w:rPr>
          <w:rFonts w:asciiTheme="minorHAnsi" w:hAnsiTheme="minorHAnsi"/>
        </w:rPr>
        <w:t>(</w:t>
      </w:r>
      <w:r w:rsidR="00E24FD2" w:rsidRPr="00BC31E0">
        <w:rPr>
          <w:rFonts w:ascii="Cambria Math" w:hAnsi="Cambria Math"/>
        </w:rPr>
        <w:t>MPa</w:t>
      </w:r>
      <w:r w:rsidR="00E24FD2" w:rsidRPr="00BC31E0">
        <w:rPr>
          <w:rFonts w:asciiTheme="minorHAnsi" w:hAnsiTheme="minorHAnsi"/>
        </w:rPr>
        <w:t>)</w:t>
      </w:r>
    </w:p>
    <w:p w14:paraId="6643E1E3" w14:textId="77777777" w:rsidR="00E24FD2" w:rsidRPr="00BC31E0" w:rsidRDefault="00E24FD2" w:rsidP="00736130">
      <w:pPr>
        <w:pStyle w:val="a4"/>
        <w:numPr>
          <w:ilvl w:val="0"/>
          <w:numId w:val="413"/>
        </w:numPr>
        <w:spacing w:before="120"/>
        <w:ind w:leftChars="0" w:left="738" w:hanging="454"/>
      </w:pPr>
      <w:r w:rsidRPr="00BC31E0">
        <w:rPr>
          <w:rFonts w:hint="eastAsia"/>
        </w:rPr>
        <w:t>弾性解析により，熱応力による二次膜相当応力範囲</w:t>
      </w:r>
      <m:oMath>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m</m:t>
            </m:r>
          </m:sub>
        </m:sSub>
        <m:r>
          <w:rPr>
            <w:rFonts w:ascii="Cambria Math" w:hAnsi="Cambria Math"/>
          </w:rPr>
          <m:t xml:space="preserve"> </m:t>
        </m:r>
      </m:oMath>
      <w:r w:rsidRPr="00BC31E0">
        <w:rPr>
          <w:rFonts w:hint="eastAsia"/>
        </w:rPr>
        <w:t>を求める。</w:t>
      </w:r>
    </w:p>
    <w:p w14:paraId="553DBBAC" w14:textId="77777777" w:rsidR="00E24FD2" w:rsidRPr="00BC31E0" w:rsidRDefault="00E24FD2" w:rsidP="00736130">
      <w:pPr>
        <w:pStyle w:val="a4"/>
        <w:numPr>
          <w:ilvl w:val="0"/>
          <w:numId w:val="414"/>
        </w:numPr>
        <w:ind w:leftChars="0" w:left="738" w:hanging="454"/>
      </w:pPr>
      <w:r w:rsidRPr="00BC31E0">
        <w:rPr>
          <w:rFonts w:hint="eastAsia"/>
        </w:rPr>
        <w:t>弾性解析により，熱応力による二次膜＋曲げ相当応力範囲</w:t>
      </w:r>
      <m:oMath>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mb</m:t>
            </m:r>
          </m:sub>
        </m:sSub>
        <m:r>
          <w:rPr>
            <w:rFonts w:ascii="Cambria Math" w:hAnsi="Cambria Math"/>
          </w:rPr>
          <m:t xml:space="preserve"> </m:t>
        </m:r>
      </m:oMath>
      <w:r w:rsidRPr="00BC31E0">
        <w:rPr>
          <w:rFonts w:hint="eastAsia"/>
        </w:rPr>
        <w:t>を求める。</w:t>
      </w:r>
    </w:p>
    <w:p w14:paraId="3C559924" w14:textId="77777777" w:rsidR="00E24FD2" w:rsidRPr="00BC31E0" w:rsidRDefault="00E24FD2" w:rsidP="00736130">
      <w:pPr>
        <w:pStyle w:val="a4"/>
        <w:numPr>
          <w:ilvl w:val="0"/>
          <w:numId w:val="415"/>
        </w:numPr>
        <w:ind w:leftChars="0" w:left="738" w:hanging="454"/>
      </w:pPr>
      <w:r w:rsidRPr="00BC31E0">
        <w:rPr>
          <w:rFonts w:hint="eastAsia"/>
        </w:rPr>
        <w:t>熱応力による二次膜＋曲げ相当応力範囲の許容値</w:t>
      </w:r>
      <m:oMath>
        <m:sSub>
          <m:sSubPr>
            <m:ctrlPr>
              <w:rPr>
                <w:rFonts w:ascii="Cambria Math" w:hAnsi="Cambria Math"/>
                <w:i/>
              </w:rPr>
            </m:ctrlPr>
          </m:sSubPr>
          <m:e>
            <m:r>
              <w:rPr>
                <w:rFonts w:ascii="Cambria Math" w:hAnsi="Cambria Math"/>
              </w:rPr>
              <m:t xml:space="preserve"> S</m:t>
            </m:r>
          </m:e>
          <m:sub>
            <m:r>
              <w:rPr>
                <w:rFonts w:ascii="Cambria Math" w:hAnsi="Cambria Math"/>
              </w:rPr>
              <m:t>Qmb</m:t>
            </m:r>
          </m:sub>
        </m:sSub>
        <m:r>
          <w:rPr>
            <w:rFonts w:ascii="Cambria Math" w:hAnsi="Cambria Math"/>
          </w:rPr>
          <m:t xml:space="preserve"> </m:t>
        </m:r>
      </m:oMath>
      <w:r w:rsidRPr="00BC31E0">
        <w:rPr>
          <w:rFonts w:hint="eastAsia"/>
        </w:rPr>
        <w:t>を，次の</w:t>
      </w:r>
      <w:r w:rsidRPr="00BC31E0">
        <w:rPr>
          <w:rFonts w:asciiTheme="majorEastAsia" w:eastAsiaTheme="majorEastAsia" w:hAnsiTheme="majorEastAsia" w:hint="eastAsia"/>
          <w:b/>
          <w:bCs/>
        </w:rPr>
        <w:t>4.1)</w:t>
      </w:r>
      <w:r w:rsidRPr="00BC31E0">
        <w:rPr>
          <w:rFonts w:hint="eastAsia"/>
        </w:rPr>
        <w:t>又は</w:t>
      </w:r>
      <w:r w:rsidRPr="00BC31E0">
        <w:rPr>
          <w:rFonts w:asciiTheme="majorEastAsia" w:eastAsiaTheme="majorEastAsia" w:hAnsiTheme="majorEastAsia" w:hint="eastAsia"/>
          <w:b/>
          <w:bCs/>
        </w:rPr>
        <w:t>4.2)</w:t>
      </w:r>
      <w:r w:rsidRPr="00BC31E0">
        <w:rPr>
          <w:rFonts w:hint="eastAsia"/>
        </w:rPr>
        <w:t>により求める。</w:t>
      </w:r>
    </w:p>
    <w:p w14:paraId="3AE0C3E2" w14:textId="77777777" w:rsidR="00E24FD2" w:rsidRPr="00BC31E0" w:rsidRDefault="00E24FD2" w:rsidP="00DC143C">
      <w:pPr>
        <w:spacing w:after="120"/>
        <w:ind w:left="1134" w:hanging="567"/>
        <w:rPr>
          <w:rFonts w:asciiTheme="majorEastAsia" w:eastAsiaTheme="majorEastAsia" w:hAnsiTheme="majorEastAsia"/>
          <w:b/>
        </w:rPr>
      </w:pPr>
      <w:r w:rsidRPr="00BC31E0">
        <w:rPr>
          <w:rFonts w:asciiTheme="majorEastAsia" w:eastAsiaTheme="majorEastAsia" w:hAnsiTheme="majorEastAsia" w:hint="eastAsia"/>
          <w:b/>
        </w:rPr>
        <w:t>4.1)　容器厚さ方向の温度分布が直線形状の場合</w:t>
      </w:r>
    </w:p>
    <w:tbl>
      <w:tblPr>
        <w:tblStyle w:val="afff2"/>
        <w:tblW w:w="7796"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1417"/>
        <w:gridCol w:w="567"/>
        <w:gridCol w:w="3260"/>
      </w:tblGrid>
      <w:tr w:rsidR="00E24FD2" w:rsidRPr="00BC31E0" w14:paraId="1790D597" w14:textId="77777777" w:rsidTr="004736F2">
        <w:tc>
          <w:tcPr>
            <w:tcW w:w="2552" w:type="dxa"/>
            <w:tcMar>
              <w:left w:w="0" w:type="dxa"/>
              <w:right w:w="0" w:type="dxa"/>
            </w:tcMar>
            <w:vAlign w:val="center"/>
          </w:tcPr>
          <w:p w14:paraId="5BC78BB8" w14:textId="77777777" w:rsidR="00E24FD2" w:rsidRPr="00BC31E0" w:rsidRDefault="00E24FD2" w:rsidP="004736F2">
            <m:oMath>
              <m:r>
                <m:rPr>
                  <m:sty m:val="p"/>
                </m:rPr>
                <w:rPr>
                  <w:rFonts w:ascii="Cambria Math" w:hAnsi="Cambria Math"/>
                </w:rPr>
                <m:t>0</m:t>
              </m:r>
              <m:r>
                <w:rPr>
                  <w:rFonts w:ascii="Cambria Math" w:hAnsi="Cambria Math"/>
                </w:rPr>
                <m:t>&lt;X</m:t>
              </m:r>
              <m:r>
                <m:rPr>
                  <m:sty m:val="p"/>
                </m:rPr>
                <w:rPr>
                  <w:rFonts w:ascii="Cambria Math" w:hAnsi="Cambria Math"/>
                </w:rPr>
                <m:t>&lt;</m:t>
              </m:r>
              <m:r>
                <w:rPr>
                  <w:rFonts w:ascii="Cambria Math" w:hAnsi="Cambria Math"/>
                </w:rPr>
                <m:t>0.5</m:t>
              </m:r>
              <m:r>
                <m:rPr>
                  <m:sty m:val="p"/>
                </m:rPr>
                <w:rPr>
                  <w:rFonts w:ascii="Cambria Math" w:hAnsi="Cambria Math" w:hint="eastAsia"/>
                </w:rPr>
                <m:t xml:space="preserve">   </m:t>
              </m:r>
            </m:oMath>
            <w:r w:rsidRPr="00BC31E0">
              <w:rPr>
                <w:rFonts w:ascii="ＭＳ 明朝" w:hAnsi="ＭＳ 明朝" w:hint="eastAsia"/>
              </w:rPr>
              <w:t>のとき，</w:t>
            </w:r>
          </w:p>
        </w:tc>
        <w:tc>
          <w:tcPr>
            <w:tcW w:w="1417" w:type="dxa"/>
            <w:tcMar>
              <w:left w:w="0" w:type="dxa"/>
              <w:right w:w="0" w:type="dxa"/>
            </w:tcMar>
            <w:vAlign w:val="center"/>
          </w:tcPr>
          <w:p w14:paraId="1147EAC9" w14:textId="77777777" w:rsidR="00E24FD2" w:rsidRPr="00BC31E0" w:rsidRDefault="00A51873" w:rsidP="004736F2">
            <w:pPr>
              <w:rPr>
                <w:i/>
              </w:rPr>
            </w:pPr>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Qmb</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y</m:t>
                    </m:r>
                  </m:sub>
                </m:sSub>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X</m:t>
                        </m:r>
                      </m:den>
                    </m:f>
                  </m:e>
                </m:d>
              </m:oMath>
            </m:oMathPara>
          </w:p>
        </w:tc>
        <w:tc>
          <w:tcPr>
            <w:tcW w:w="3827" w:type="dxa"/>
            <w:gridSpan w:val="2"/>
            <w:tcMar>
              <w:left w:w="0" w:type="dxa"/>
              <w:right w:w="0" w:type="dxa"/>
            </w:tcMar>
            <w:vAlign w:val="center"/>
          </w:tcPr>
          <w:p w14:paraId="0F06EBCD" w14:textId="77777777" w:rsidR="00E24FD2" w:rsidRPr="00BC31E0" w:rsidRDefault="00E24FD2" w:rsidP="004736F2">
            <w:pPr>
              <w:tabs>
                <w:tab w:val="left" w:leader="middleDot" w:pos="3260"/>
              </w:tabs>
              <w:rPr>
                <w:rFonts w:asciiTheme="minorHAnsi" w:hAnsiTheme="minorHAnsi"/>
              </w:rPr>
            </w:pPr>
            <w:r w:rsidRPr="00BC31E0">
              <w:rPr>
                <w:rFonts w:asciiTheme="minorHAnsi" w:hAnsiTheme="minorHAnsi"/>
              </w:rPr>
              <w:tab/>
              <w:t>(</w:t>
            </w:r>
            <w:r w:rsidRPr="00BC31E0">
              <w:rPr>
                <w:rFonts w:asciiTheme="minorHAnsi" w:hAnsiTheme="minorHAnsi" w:hint="eastAsia"/>
              </w:rPr>
              <w:t>9</w:t>
            </w:r>
            <w:r w:rsidRPr="00BC31E0">
              <w:rPr>
                <w:rFonts w:asciiTheme="minorHAnsi" w:hAnsiTheme="minorHAnsi"/>
              </w:rPr>
              <w:t>)</w:t>
            </w:r>
          </w:p>
        </w:tc>
      </w:tr>
      <w:tr w:rsidR="00E24FD2" w:rsidRPr="00BC31E0" w14:paraId="6C493A7B" w14:textId="77777777" w:rsidTr="004736F2">
        <w:tc>
          <w:tcPr>
            <w:tcW w:w="2552" w:type="dxa"/>
            <w:tcMar>
              <w:left w:w="0" w:type="dxa"/>
              <w:right w:w="0" w:type="dxa"/>
            </w:tcMar>
            <w:vAlign w:val="center"/>
          </w:tcPr>
          <w:p w14:paraId="2A5ECB96" w14:textId="77777777" w:rsidR="00E24FD2" w:rsidRPr="00BC31E0" w:rsidRDefault="00E24FD2" w:rsidP="004736F2">
            <w:pPr>
              <w:spacing w:before="120"/>
            </w:pPr>
            <m:oMath>
              <m:r>
                <m:rPr>
                  <m:sty m:val="p"/>
                </m:rPr>
                <w:rPr>
                  <w:rFonts w:ascii="Cambria Math" w:hAnsi="Cambria Math"/>
                </w:rPr>
                <m:t>0.5≤</m:t>
              </m:r>
              <m:r>
                <w:rPr>
                  <w:rFonts w:ascii="Cambria Math" w:hAnsi="Cambria Math"/>
                </w:rPr>
                <m:t>X</m:t>
              </m:r>
              <m:r>
                <m:rPr>
                  <m:sty m:val="p"/>
                </m:rPr>
                <w:rPr>
                  <w:rFonts w:ascii="Cambria Math" w:hAnsi="Cambria Math"/>
                </w:rPr>
                <m:t>≤1.0</m:t>
              </m:r>
              <m:r>
                <m:rPr>
                  <m:sty m:val="p"/>
                </m:rPr>
                <w:rPr>
                  <w:rFonts w:ascii="Cambria Math" w:hAnsi="Cambria Math" w:hint="eastAsia"/>
                </w:rPr>
                <m:t xml:space="preserve">  </m:t>
              </m:r>
            </m:oMath>
            <w:r w:rsidRPr="00BC31E0">
              <w:rPr>
                <w:rFonts w:ascii="ＭＳ 明朝" w:hAnsi="ＭＳ 明朝" w:hint="eastAsia"/>
              </w:rPr>
              <w:t>のとき，</w:t>
            </w:r>
          </w:p>
        </w:tc>
        <w:tc>
          <w:tcPr>
            <w:tcW w:w="1984" w:type="dxa"/>
            <w:gridSpan w:val="2"/>
            <w:tcMar>
              <w:left w:w="0" w:type="dxa"/>
              <w:right w:w="0" w:type="dxa"/>
            </w:tcMar>
            <w:vAlign w:val="center"/>
          </w:tcPr>
          <w:p w14:paraId="11B50925" w14:textId="77777777" w:rsidR="00E24FD2" w:rsidRPr="00BC31E0" w:rsidRDefault="00A51873" w:rsidP="004736F2">
            <w:pPr>
              <w:spacing w:before="120"/>
              <w:rPr>
                <w:i/>
              </w:rPr>
            </w:pPr>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Qmb</m:t>
                    </m:r>
                  </m:sub>
                </m:sSub>
                <m:r>
                  <w:rPr>
                    <w:rFonts w:ascii="Cambria Math" w:hAnsi="Cambria Math"/>
                  </w:rPr>
                  <m:t>=</m:t>
                </m:r>
                <m:sSub>
                  <m:sSubPr>
                    <m:ctrlPr>
                      <w:rPr>
                        <w:rFonts w:ascii="Cambria Math" w:hAnsi="Cambria Math"/>
                        <w:i/>
                      </w:rPr>
                    </m:ctrlPr>
                  </m:sSubPr>
                  <m:e>
                    <m:r>
                      <w:rPr>
                        <w:rFonts w:ascii="Cambria Math" w:hAnsi="Cambria Math"/>
                      </w:rPr>
                      <m:t>4.0</m:t>
                    </m:r>
                    <m:r>
                      <w:rPr>
                        <w:rFonts w:ascii="Cambria Math" w:hAnsi="Cambria Math" w:hint="eastAsia"/>
                      </w:rPr>
                      <m:t xml:space="preserve"> </m:t>
                    </m:r>
                    <m:r>
                      <w:rPr>
                        <w:rFonts w:ascii="Cambria Math" w:hAnsi="Cambria Math"/>
                      </w:rPr>
                      <m:t>S</m:t>
                    </m:r>
                  </m:e>
                  <m:sub>
                    <m:r>
                      <w:rPr>
                        <w:rFonts w:ascii="Cambria Math" w:hAnsi="Cambria Math"/>
                      </w:rPr>
                      <m:t>y</m:t>
                    </m:r>
                  </m:sub>
                </m:sSub>
                <m:d>
                  <m:dPr>
                    <m:ctrlPr>
                      <w:rPr>
                        <w:rFonts w:ascii="Cambria Math" w:hAnsi="Cambria Math"/>
                        <w:i/>
                      </w:rPr>
                    </m:ctrlPr>
                  </m:dPr>
                  <m:e>
                    <m:r>
                      <w:rPr>
                        <w:rFonts w:ascii="Cambria Math" w:hAnsi="Cambria Math"/>
                      </w:rPr>
                      <m:t>1-X</m:t>
                    </m:r>
                  </m:e>
                </m:d>
              </m:oMath>
            </m:oMathPara>
          </w:p>
        </w:tc>
        <w:tc>
          <w:tcPr>
            <w:tcW w:w="3260" w:type="dxa"/>
            <w:tcMar>
              <w:left w:w="0" w:type="dxa"/>
              <w:right w:w="0" w:type="dxa"/>
            </w:tcMar>
            <w:vAlign w:val="center"/>
          </w:tcPr>
          <w:p w14:paraId="692C8723" w14:textId="77777777" w:rsidR="00E24FD2" w:rsidRPr="00BC31E0" w:rsidRDefault="00E24FD2" w:rsidP="004736F2">
            <w:pPr>
              <w:tabs>
                <w:tab w:val="left" w:leader="middleDot" w:pos="2693"/>
              </w:tabs>
              <w:spacing w:before="120"/>
              <w:rPr>
                <w:rFonts w:asciiTheme="minorHAnsi" w:hAnsiTheme="minorHAnsi"/>
              </w:rPr>
            </w:pPr>
            <w:r w:rsidRPr="00BC31E0">
              <w:rPr>
                <w:rFonts w:asciiTheme="minorHAnsi" w:hAnsiTheme="minorHAnsi"/>
              </w:rPr>
              <w:tab/>
              <w:t>(</w:t>
            </w:r>
            <w:r w:rsidRPr="00BC31E0">
              <w:rPr>
                <w:rFonts w:asciiTheme="minorHAnsi" w:hAnsiTheme="minorHAnsi" w:hint="eastAsia"/>
              </w:rPr>
              <w:t>10</w:t>
            </w:r>
            <w:r w:rsidRPr="00BC31E0">
              <w:rPr>
                <w:rFonts w:asciiTheme="minorHAnsi" w:hAnsiTheme="minorHAnsi"/>
              </w:rPr>
              <w:t>)</w:t>
            </w:r>
          </w:p>
        </w:tc>
      </w:tr>
    </w:tbl>
    <w:p w14:paraId="505568AF" w14:textId="77777777" w:rsidR="00E24FD2" w:rsidRPr="00BC31E0" w:rsidRDefault="00E24FD2" w:rsidP="00DC143C">
      <w:pPr>
        <w:spacing w:before="120" w:after="120"/>
        <w:ind w:left="1134" w:hanging="567"/>
        <w:rPr>
          <w:rFonts w:asciiTheme="majorEastAsia" w:eastAsiaTheme="majorEastAsia" w:hAnsiTheme="majorEastAsia"/>
          <w:b/>
        </w:rPr>
      </w:pPr>
      <w:r w:rsidRPr="00BC31E0">
        <w:rPr>
          <w:rFonts w:asciiTheme="majorEastAsia" w:eastAsiaTheme="majorEastAsia" w:hAnsiTheme="majorEastAsia" w:hint="eastAsia"/>
          <w:b/>
        </w:rPr>
        <w:t>4.2)　容器厚さ方向の温度分布が単調増加又は単調減少の放物線形状の場合</w:t>
      </w:r>
    </w:p>
    <w:tbl>
      <w:tblPr>
        <w:tblStyle w:val="afff2"/>
        <w:tblW w:w="7796"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126"/>
        <w:gridCol w:w="992"/>
        <w:gridCol w:w="2126"/>
      </w:tblGrid>
      <w:tr w:rsidR="00E24FD2" w:rsidRPr="00BC31E0" w14:paraId="15F3E0A8" w14:textId="77777777" w:rsidTr="004736F2">
        <w:tc>
          <w:tcPr>
            <w:tcW w:w="2552" w:type="dxa"/>
            <w:tcMar>
              <w:left w:w="0" w:type="dxa"/>
              <w:right w:w="0" w:type="dxa"/>
            </w:tcMar>
            <w:vAlign w:val="center"/>
          </w:tcPr>
          <w:p w14:paraId="779DDFE8" w14:textId="77777777" w:rsidR="00E24FD2" w:rsidRPr="00BC31E0" w:rsidRDefault="00E24FD2" w:rsidP="004736F2">
            <m:oMath>
              <m:r>
                <m:rPr>
                  <m:sty m:val="p"/>
                </m:rPr>
                <w:rPr>
                  <w:rFonts w:ascii="Cambria Math" w:hAnsi="Cambria Math"/>
                </w:rPr>
                <m:t>0</m:t>
              </m:r>
              <m:r>
                <w:rPr>
                  <w:rFonts w:ascii="Cambria Math" w:hAnsi="Cambria Math"/>
                </w:rPr>
                <m:t>&lt;X</m:t>
              </m:r>
              <m:r>
                <m:rPr>
                  <m:sty m:val="p"/>
                </m:rPr>
                <w:rPr>
                  <w:rFonts w:ascii="Cambria Math" w:hAnsi="Cambria Math"/>
                </w:rPr>
                <m:t>&lt;</m:t>
              </m:r>
              <m:r>
                <w:rPr>
                  <w:rFonts w:ascii="Cambria Math" w:hAnsi="Cambria Math"/>
                </w:rPr>
                <m:t>0.</m:t>
              </m:r>
              <m:r>
                <m:rPr>
                  <m:sty m:val="p"/>
                </m:rPr>
                <w:rPr>
                  <w:rFonts w:ascii="Cambria Math" w:hAnsi="Cambria Math" w:hint="eastAsia"/>
                </w:rPr>
                <m:t>61</m:t>
              </m:r>
              <m:r>
                <m:rPr>
                  <m:sty m:val="p"/>
                </m:rPr>
                <w:rPr>
                  <w:rFonts w:ascii="Cambria Math" w:hAnsi="Cambria Math"/>
                </w:rPr>
                <m:t>5</m:t>
              </m:r>
              <m:r>
                <m:rPr>
                  <m:sty m:val="p"/>
                </m:rPr>
                <w:rPr>
                  <w:rFonts w:ascii="Cambria Math" w:hAnsi="Cambria Math" w:hint="eastAsia"/>
                </w:rPr>
                <m:t xml:space="preserve">  </m:t>
              </m:r>
            </m:oMath>
            <w:r w:rsidRPr="00BC31E0">
              <w:rPr>
                <w:rFonts w:ascii="ＭＳ 明朝" w:hAnsi="ＭＳ 明朝" w:hint="eastAsia"/>
              </w:rPr>
              <w:t>のとき，</w:t>
            </w:r>
          </w:p>
        </w:tc>
        <w:tc>
          <w:tcPr>
            <w:tcW w:w="3118" w:type="dxa"/>
            <w:gridSpan w:val="2"/>
            <w:tcMar>
              <w:left w:w="0" w:type="dxa"/>
              <w:right w:w="0" w:type="dxa"/>
            </w:tcMar>
            <w:vAlign w:val="center"/>
          </w:tcPr>
          <w:p w14:paraId="7EA3BB6B" w14:textId="77777777" w:rsidR="00E24FD2" w:rsidRPr="00BC31E0" w:rsidRDefault="00A51873" w:rsidP="004736F2">
            <w:pPr>
              <w:rPr>
                <w:i/>
              </w:rPr>
            </w:pPr>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Qmb</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y</m:t>
                    </m:r>
                  </m:sub>
                </m:sSub>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0.1224+0.9944</m:t>
                        </m:r>
                        <m:sSup>
                          <m:sSupPr>
                            <m:ctrlPr>
                              <w:rPr>
                                <w:rFonts w:ascii="Cambria Math" w:hAnsi="Cambria Math"/>
                                <w:i/>
                              </w:rPr>
                            </m:ctrlPr>
                          </m:sSupPr>
                          <m:e>
                            <m:r>
                              <w:rPr>
                                <w:rFonts w:ascii="Cambria Math" w:hAnsi="Cambria Math" w:hint="eastAsia"/>
                              </w:rPr>
                              <m:t xml:space="preserve"> </m:t>
                            </m:r>
                            <m:r>
                              <w:rPr>
                                <w:rFonts w:ascii="Cambria Math" w:hAnsi="Cambria Math"/>
                              </w:rPr>
                              <m:t>X</m:t>
                            </m:r>
                          </m:e>
                          <m:sup>
                            <m:r>
                              <w:rPr>
                                <w:rFonts w:ascii="Cambria Math" w:hAnsi="Cambria Math"/>
                              </w:rPr>
                              <m:t>2</m:t>
                            </m:r>
                          </m:sup>
                        </m:sSup>
                      </m:den>
                    </m:f>
                  </m:e>
                </m:d>
              </m:oMath>
            </m:oMathPara>
          </w:p>
        </w:tc>
        <w:tc>
          <w:tcPr>
            <w:tcW w:w="2126" w:type="dxa"/>
            <w:tcMar>
              <w:left w:w="0" w:type="dxa"/>
              <w:right w:w="0" w:type="dxa"/>
            </w:tcMar>
            <w:vAlign w:val="center"/>
          </w:tcPr>
          <w:p w14:paraId="6A59E6B0" w14:textId="77777777" w:rsidR="00E24FD2" w:rsidRPr="00BC31E0" w:rsidRDefault="00E24FD2" w:rsidP="004736F2">
            <w:pPr>
              <w:tabs>
                <w:tab w:val="left" w:leader="middleDot" w:pos="1559"/>
              </w:tabs>
            </w:pPr>
            <w:r w:rsidRPr="00BC31E0">
              <w:tab/>
              <w:t>(</w:t>
            </w:r>
            <w:r w:rsidRPr="00BC31E0">
              <w:rPr>
                <w:rFonts w:hint="eastAsia"/>
              </w:rPr>
              <w:t>11</w:t>
            </w:r>
            <w:r w:rsidRPr="00BC31E0">
              <w:t>)</w:t>
            </w:r>
          </w:p>
        </w:tc>
      </w:tr>
      <w:tr w:rsidR="00E24FD2" w:rsidRPr="00BC31E0" w14:paraId="3EB2C7AC" w14:textId="77777777" w:rsidTr="004736F2">
        <w:tc>
          <w:tcPr>
            <w:tcW w:w="2552" w:type="dxa"/>
            <w:tcMar>
              <w:left w:w="0" w:type="dxa"/>
              <w:right w:w="0" w:type="dxa"/>
            </w:tcMar>
            <w:vAlign w:val="center"/>
          </w:tcPr>
          <w:p w14:paraId="47FE4407" w14:textId="77777777" w:rsidR="00E24FD2" w:rsidRPr="00BC31E0" w:rsidRDefault="00E24FD2" w:rsidP="004736F2">
            <w:pPr>
              <w:spacing w:before="120"/>
            </w:pPr>
            <m:oMath>
              <m:r>
                <m:rPr>
                  <m:sty m:val="p"/>
                </m:rPr>
                <w:rPr>
                  <w:rFonts w:ascii="Cambria Math" w:hAnsi="Cambria Math"/>
                </w:rPr>
                <m:t>0.</m:t>
              </m:r>
              <m:r>
                <m:rPr>
                  <m:sty m:val="p"/>
                </m:rPr>
                <w:rPr>
                  <w:rFonts w:ascii="Cambria Math" w:hAnsi="Cambria Math" w:hint="eastAsia"/>
                </w:rPr>
                <m:t>61</m:t>
              </m:r>
              <m:r>
                <m:rPr>
                  <m:sty m:val="p"/>
                </m:rPr>
                <w:rPr>
                  <w:rFonts w:ascii="Cambria Math" w:hAnsi="Cambria Math"/>
                </w:rPr>
                <m:t>5≤</m:t>
              </m:r>
              <m:r>
                <w:rPr>
                  <w:rFonts w:ascii="Cambria Math" w:hAnsi="Cambria Math"/>
                </w:rPr>
                <m:t>X</m:t>
              </m:r>
              <m:r>
                <m:rPr>
                  <m:sty m:val="p"/>
                </m:rPr>
                <w:rPr>
                  <w:rFonts w:ascii="Cambria Math" w:hAnsi="Cambria Math"/>
                </w:rPr>
                <m:t>≤1.0</m:t>
              </m:r>
              <m:r>
                <m:rPr>
                  <m:sty m:val="p"/>
                </m:rPr>
                <w:rPr>
                  <w:rFonts w:ascii="Cambria Math" w:hAnsi="Cambria Math" w:hint="eastAsia"/>
                </w:rPr>
                <m:t xml:space="preserve">  </m:t>
              </m:r>
            </m:oMath>
            <w:r w:rsidRPr="00BC31E0">
              <w:rPr>
                <w:rFonts w:ascii="ＭＳ 明朝" w:hAnsi="ＭＳ 明朝" w:hint="eastAsia"/>
              </w:rPr>
              <w:t>のとき，</w:t>
            </w:r>
          </w:p>
        </w:tc>
        <w:tc>
          <w:tcPr>
            <w:tcW w:w="2126" w:type="dxa"/>
            <w:tcMar>
              <w:left w:w="0" w:type="dxa"/>
              <w:right w:w="0" w:type="dxa"/>
            </w:tcMar>
            <w:vAlign w:val="center"/>
          </w:tcPr>
          <w:p w14:paraId="0084A6D3" w14:textId="77777777" w:rsidR="00E24FD2" w:rsidRPr="00BC31E0" w:rsidRDefault="00A51873" w:rsidP="004736F2">
            <w:pPr>
              <w:spacing w:before="120"/>
              <w:rPr>
                <w:i/>
              </w:rPr>
            </w:pPr>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Qmb</m:t>
                    </m:r>
                  </m:sub>
                </m:sSub>
                <m:r>
                  <w:rPr>
                    <w:rFonts w:ascii="Cambria Math" w:hAnsi="Cambria Math"/>
                  </w:rPr>
                  <m:t>=</m:t>
                </m:r>
                <m:sSub>
                  <m:sSubPr>
                    <m:ctrlPr>
                      <w:rPr>
                        <w:rFonts w:ascii="Cambria Math" w:hAnsi="Cambria Math"/>
                        <w:i/>
                      </w:rPr>
                    </m:ctrlPr>
                  </m:sSubPr>
                  <m:e>
                    <m:r>
                      <w:rPr>
                        <w:rFonts w:ascii="Cambria Math" w:hAnsi="Cambria Math" w:hint="eastAsia"/>
                      </w:rPr>
                      <m:t xml:space="preserve">5.2 </m:t>
                    </m:r>
                    <m:r>
                      <w:rPr>
                        <w:rFonts w:ascii="Cambria Math" w:hAnsi="Cambria Math"/>
                      </w:rPr>
                      <m:t>S</m:t>
                    </m:r>
                  </m:e>
                  <m:sub>
                    <m:r>
                      <w:rPr>
                        <w:rFonts w:ascii="Cambria Math" w:hAnsi="Cambria Math"/>
                      </w:rPr>
                      <m:t>y</m:t>
                    </m:r>
                  </m:sub>
                </m:sSub>
                <m:d>
                  <m:dPr>
                    <m:ctrlPr>
                      <w:rPr>
                        <w:rFonts w:ascii="Cambria Math" w:hAnsi="Cambria Math"/>
                        <w:i/>
                      </w:rPr>
                    </m:ctrlPr>
                  </m:dPr>
                  <m:e>
                    <m:r>
                      <w:rPr>
                        <w:rFonts w:ascii="Cambria Math" w:hAnsi="Cambria Math"/>
                      </w:rPr>
                      <m:t>1-X</m:t>
                    </m:r>
                  </m:e>
                </m:d>
              </m:oMath>
            </m:oMathPara>
          </w:p>
        </w:tc>
        <w:tc>
          <w:tcPr>
            <w:tcW w:w="3118" w:type="dxa"/>
            <w:gridSpan w:val="2"/>
            <w:tcMar>
              <w:left w:w="0" w:type="dxa"/>
              <w:right w:w="0" w:type="dxa"/>
            </w:tcMar>
            <w:vAlign w:val="center"/>
          </w:tcPr>
          <w:p w14:paraId="7C009DCD" w14:textId="77777777" w:rsidR="00E24FD2" w:rsidRPr="00BC31E0" w:rsidRDefault="00E24FD2" w:rsidP="004736F2">
            <w:pPr>
              <w:tabs>
                <w:tab w:val="left" w:leader="middleDot" w:pos="2551"/>
              </w:tabs>
              <w:spacing w:before="120"/>
            </w:pPr>
            <w:r w:rsidRPr="00BC31E0">
              <w:tab/>
              <w:t>(1</w:t>
            </w:r>
            <w:r w:rsidRPr="00BC31E0">
              <w:rPr>
                <w:rFonts w:hint="eastAsia"/>
              </w:rPr>
              <w:t>2</w:t>
            </w:r>
            <w:r w:rsidRPr="00BC31E0">
              <w:t>)</w:t>
            </w:r>
          </w:p>
        </w:tc>
      </w:tr>
    </w:tbl>
    <w:p w14:paraId="6BA2DCC9" w14:textId="77777777" w:rsidR="00E24FD2" w:rsidRPr="00BC31E0" w:rsidRDefault="00E24FD2" w:rsidP="00736130">
      <w:pPr>
        <w:pStyle w:val="a4"/>
        <w:numPr>
          <w:ilvl w:val="0"/>
          <w:numId w:val="416"/>
        </w:numPr>
        <w:spacing w:before="120" w:after="120"/>
        <w:ind w:leftChars="0" w:left="738" w:hanging="454"/>
      </w:pPr>
      <w:r w:rsidRPr="00BC31E0">
        <w:rPr>
          <w:rFonts w:hint="eastAsia"/>
        </w:rPr>
        <w:t>熱応力による二次膜相当応力範囲の許容値</w:t>
      </w:r>
      <m:oMath>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Qm</m:t>
            </m:r>
          </m:sub>
        </m:sSub>
        <m:r>
          <w:rPr>
            <w:rFonts w:ascii="Cambria Math" w:hAnsi="Cambria Math"/>
          </w:rPr>
          <m:t xml:space="preserve"> </m:t>
        </m:r>
      </m:oMath>
      <w:r w:rsidRPr="00BC31E0">
        <w:rPr>
          <w:rFonts w:hint="eastAsia"/>
        </w:rPr>
        <w:t>を次式で求める。</w:t>
      </w:r>
    </w:p>
    <w:tbl>
      <w:tblPr>
        <w:tblStyle w:val="afff2"/>
        <w:tblW w:w="7796"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1984"/>
        <w:gridCol w:w="3260"/>
      </w:tblGrid>
      <w:tr w:rsidR="00E24FD2" w:rsidRPr="00BC31E0" w14:paraId="63019CDF" w14:textId="77777777" w:rsidTr="004736F2">
        <w:tc>
          <w:tcPr>
            <w:tcW w:w="2552" w:type="dxa"/>
            <w:tcMar>
              <w:left w:w="0" w:type="dxa"/>
              <w:right w:w="0" w:type="dxa"/>
            </w:tcMar>
            <w:vAlign w:val="center"/>
          </w:tcPr>
          <w:p w14:paraId="61FCF9E9" w14:textId="77777777" w:rsidR="00E24FD2" w:rsidRPr="00BC31E0" w:rsidRDefault="00E24FD2" w:rsidP="004736F2">
            <w:pPr>
              <w:rPr>
                <w:b/>
              </w:rPr>
            </w:pPr>
            <m:oMath>
              <m:r>
                <m:rPr>
                  <m:sty m:val="p"/>
                </m:rPr>
                <w:rPr>
                  <w:rFonts w:ascii="Cambria Math" w:hAnsi="Cambria Math"/>
                </w:rPr>
                <m:t>0</m:t>
              </m:r>
              <m:r>
                <w:rPr>
                  <w:rFonts w:ascii="Cambria Math" w:hAnsi="Cambria Math"/>
                </w:rPr>
                <m:t>&lt;X</m:t>
              </m:r>
              <m:r>
                <m:rPr>
                  <m:sty m:val="p"/>
                </m:rPr>
                <w:rPr>
                  <w:rFonts w:ascii="Cambria Math" w:hAnsi="Cambria Math"/>
                </w:rPr>
                <m:t>&lt;</m:t>
              </m:r>
              <m:r>
                <w:rPr>
                  <w:rFonts w:ascii="Cambria Math" w:hAnsi="Cambria Math"/>
                </w:rPr>
                <m:t>1.0</m:t>
              </m:r>
              <m:r>
                <m:rPr>
                  <m:sty m:val="p"/>
                </m:rPr>
                <w:rPr>
                  <w:rFonts w:ascii="Cambria Math" w:hAnsi="Cambria Math" w:hint="eastAsia"/>
                </w:rPr>
                <m:t xml:space="preserve">  </m:t>
              </m:r>
              <m:r>
                <m:rPr>
                  <m:sty m:val="p"/>
                </m:rPr>
                <w:rPr>
                  <w:rFonts w:ascii="Cambria Math" w:hAnsi="Cambria Math" w:hint="eastAsia"/>
                </w:rPr>
                <m:t>で</m:t>
              </m:r>
            </m:oMath>
            <w:r w:rsidRPr="00BC31E0">
              <w:rPr>
                <w:rFonts w:ascii="ＭＳ 明朝" w:hAnsi="ＭＳ 明朝" w:hint="eastAsia"/>
                <w:b/>
              </w:rPr>
              <w:t>，</w:t>
            </w:r>
          </w:p>
        </w:tc>
        <w:tc>
          <w:tcPr>
            <w:tcW w:w="1984" w:type="dxa"/>
            <w:tcMar>
              <w:left w:w="0" w:type="dxa"/>
              <w:right w:w="0" w:type="dxa"/>
            </w:tcMar>
            <w:vAlign w:val="center"/>
          </w:tcPr>
          <w:p w14:paraId="410C5941" w14:textId="77777777" w:rsidR="00E24FD2" w:rsidRPr="00BC31E0" w:rsidRDefault="00A51873" w:rsidP="004736F2">
            <w:pPr>
              <w:rPr>
                <w:i/>
              </w:rPr>
            </w:pPr>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Qm</m:t>
                    </m:r>
                  </m:sub>
                </m:sSub>
                <m:r>
                  <w:rPr>
                    <w:rFonts w:ascii="Cambria Math" w:hAnsi="Cambria Math"/>
                  </w:rPr>
                  <m:t>=</m:t>
                </m:r>
                <m:sSub>
                  <m:sSubPr>
                    <m:ctrlPr>
                      <w:rPr>
                        <w:rFonts w:ascii="Cambria Math" w:hAnsi="Cambria Math"/>
                        <w:i/>
                      </w:rPr>
                    </m:ctrlPr>
                  </m:sSubPr>
                  <m:e>
                    <m:r>
                      <w:rPr>
                        <w:rFonts w:ascii="Cambria Math" w:hAnsi="Cambria Math" w:hint="eastAsia"/>
                      </w:rPr>
                      <m:t xml:space="preserve">2.0 </m:t>
                    </m:r>
                    <m:r>
                      <w:rPr>
                        <w:rFonts w:ascii="Cambria Math" w:hAnsi="Cambria Math"/>
                      </w:rPr>
                      <m:t>S</m:t>
                    </m:r>
                  </m:e>
                  <m:sub>
                    <m:r>
                      <w:rPr>
                        <w:rFonts w:ascii="Cambria Math" w:hAnsi="Cambria Math"/>
                      </w:rPr>
                      <m:t>y</m:t>
                    </m:r>
                  </m:sub>
                </m:sSub>
                <m:d>
                  <m:dPr>
                    <m:ctrlPr>
                      <w:rPr>
                        <w:rFonts w:ascii="Cambria Math" w:hAnsi="Cambria Math"/>
                        <w:i/>
                      </w:rPr>
                    </m:ctrlPr>
                  </m:dPr>
                  <m:e>
                    <m:r>
                      <w:rPr>
                        <w:rFonts w:ascii="Cambria Math" w:hAnsi="Cambria Math"/>
                      </w:rPr>
                      <m:t>1-X</m:t>
                    </m:r>
                  </m:e>
                </m:d>
              </m:oMath>
            </m:oMathPara>
          </w:p>
        </w:tc>
        <w:tc>
          <w:tcPr>
            <w:tcW w:w="3260" w:type="dxa"/>
            <w:tcMar>
              <w:left w:w="0" w:type="dxa"/>
              <w:right w:w="0" w:type="dxa"/>
            </w:tcMar>
            <w:vAlign w:val="center"/>
          </w:tcPr>
          <w:p w14:paraId="11C8E4E3" w14:textId="77777777" w:rsidR="00E24FD2" w:rsidRPr="00BC31E0" w:rsidRDefault="00E24FD2" w:rsidP="004736F2">
            <w:pPr>
              <w:tabs>
                <w:tab w:val="left" w:leader="middleDot" w:pos="2693"/>
              </w:tabs>
              <w:rPr>
                <w:rFonts w:asciiTheme="minorHAnsi" w:hAnsiTheme="minorHAnsi"/>
              </w:rPr>
            </w:pPr>
            <w:r w:rsidRPr="00BC31E0">
              <w:rPr>
                <w:rFonts w:asciiTheme="minorHAnsi" w:hAnsiTheme="minorHAnsi"/>
              </w:rPr>
              <w:tab/>
              <w:t>(1</w:t>
            </w:r>
            <w:r w:rsidRPr="00BC31E0">
              <w:rPr>
                <w:rFonts w:asciiTheme="minorHAnsi" w:hAnsiTheme="minorHAnsi" w:hint="eastAsia"/>
              </w:rPr>
              <w:t>3</w:t>
            </w:r>
            <w:r w:rsidRPr="00BC31E0">
              <w:rPr>
                <w:rFonts w:asciiTheme="minorHAnsi" w:hAnsiTheme="minorHAnsi"/>
              </w:rPr>
              <w:t>)</w:t>
            </w:r>
          </w:p>
        </w:tc>
      </w:tr>
    </w:tbl>
    <w:p w14:paraId="4FEC10FF" w14:textId="77777777" w:rsidR="00E24FD2" w:rsidRPr="00BC31E0" w:rsidRDefault="00E24FD2" w:rsidP="00736130">
      <w:pPr>
        <w:pStyle w:val="a4"/>
        <w:numPr>
          <w:ilvl w:val="0"/>
          <w:numId w:val="417"/>
        </w:numPr>
        <w:spacing w:before="120" w:after="120"/>
        <w:ind w:leftChars="0" w:left="738" w:hanging="454"/>
      </w:pPr>
      <w:r w:rsidRPr="00BC31E0">
        <w:rPr>
          <w:rFonts w:hint="eastAsia"/>
        </w:rPr>
        <w:t>熱応力ラチェットを防止するためには，次の二つの基準を満足しなければならない。</w:t>
      </w:r>
    </w:p>
    <w:tbl>
      <w:tblPr>
        <w:tblStyle w:val="afff2"/>
        <w:tblW w:w="5528" w:type="dxa"/>
        <w:tblInd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7"/>
        <w:gridCol w:w="4291"/>
      </w:tblGrid>
      <w:tr w:rsidR="00E24FD2" w:rsidRPr="00BC31E0" w14:paraId="7C83A6D7" w14:textId="77777777" w:rsidTr="004736F2">
        <w:tc>
          <w:tcPr>
            <w:tcW w:w="0" w:type="auto"/>
            <w:tcMar>
              <w:left w:w="0" w:type="dxa"/>
              <w:right w:w="0" w:type="dxa"/>
            </w:tcMar>
            <w:vAlign w:val="center"/>
          </w:tcPr>
          <w:p w14:paraId="2E54D563" w14:textId="77777777" w:rsidR="00E24FD2" w:rsidRPr="00BC31E0" w:rsidRDefault="00E24FD2" w:rsidP="004736F2">
            <w:pPr>
              <w:rPr>
                <w:i/>
              </w:rPr>
            </w:pPr>
            <m:oMathPara>
              <m:oMathParaPr>
                <m:jc m:val="left"/>
              </m:oMathParaPr>
              <m:oMath>
                <m:r>
                  <w:rPr>
                    <w:rFonts w:ascii="Cambria Math" w:hAnsi="Cambria Math"/>
                  </w:rPr>
                  <m:t>∆</m:t>
                </m:r>
                <m:sSub>
                  <m:sSubPr>
                    <m:ctrlPr>
                      <w:rPr>
                        <w:rFonts w:ascii="Cambria Math" w:hAnsi="Cambria Math"/>
                        <w:i/>
                      </w:rPr>
                    </m:ctrlPr>
                  </m:sSubPr>
                  <m:e>
                    <m:r>
                      <w:rPr>
                        <w:rFonts w:ascii="Cambria Math" w:hAnsi="Cambria Math" w:hint="eastAsia"/>
                      </w:rPr>
                      <m:t>Q</m:t>
                    </m:r>
                  </m:e>
                  <m:sub>
                    <m:r>
                      <w:rPr>
                        <w:rFonts w:ascii="Cambria Math" w:hAnsi="Cambria Math" w:hint="eastAsia"/>
                      </w:rPr>
                      <m:t>m</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Qm</m:t>
                    </m:r>
                  </m:sub>
                </m:sSub>
              </m:oMath>
            </m:oMathPara>
          </w:p>
        </w:tc>
        <w:tc>
          <w:tcPr>
            <w:tcW w:w="4291" w:type="dxa"/>
            <w:tcMar>
              <w:left w:w="0" w:type="dxa"/>
              <w:right w:w="0" w:type="dxa"/>
            </w:tcMar>
            <w:vAlign w:val="center"/>
          </w:tcPr>
          <w:p w14:paraId="078B0D23" w14:textId="77777777" w:rsidR="00E24FD2" w:rsidRPr="00BC31E0" w:rsidRDefault="00E24FD2" w:rsidP="004736F2">
            <w:pPr>
              <w:tabs>
                <w:tab w:val="left" w:leader="middleDot" w:pos="3734"/>
              </w:tabs>
              <w:rPr>
                <w:rFonts w:asciiTheme="minorHAnsi" w:hAnsiTheme="minorHAnsi"/>
              </w:rPr>
            </w:pPr>
            <w:r w:rsidRPr="00BC31E0">
              <w:rPr>
                <w:rFonts w:asciiTheme="minorHAnsi" w:hAnsiTheme="minorHAnsi"/>
              </w:rPr>
              <w:tab/>
              <w:t>(</w:t>
            </w:r>
            <w:r w:rsidRPr="00BC31E0">
              <w:rPr>
                <w:rFonts w:asciiTheme="minorHAnsi" w:hAnsiTheme="minorHAnsi" w:hint="eastAsia"/>
              </w:rPr>
              <w:t>14</w:t>
            </w:r>
            <w:r w:rsidRPr="00BC31E0">
              <w:rPr>
                <w:rFonts w:asciiTheme="minorHAnsi" w:hAnsiTheme="minorHAnsi"/>
              </w:rPr>
              <w:t>)</w:t>
            </w:r>
          </w:p>
        </w:tc>
      </w:tr>
      <w:tr w:rsidR="00E24FD2" w:rsidRPr="00BC31E0" w14:paraId="4896AFCC" w14:textId="77777777" w:rsidTr="004736F2">
        <w:tc>
          <w:tcPr>
            <w:tcW w:w="0" w:type="auto"/>
            <w:tcMar>
              <w:left w:w="0" w:type="dxa"/>
              <w:right w:w="0" w:type="dxa"/>
            </w:tcMar>
            <w:vAlign w:val="center"/>
          </w:tcPr>
          <w:p w14:paraId="61A48FF9" w14:textId="77777777" w:rsidR="00E24FD2" w:rsidRPr="00BC31E0" w:rsidRDefault="00E24FD2" w:rsidP="004736F2">
            <w:pPr>
              <w:spacing w:before="120"/>
              <w:rPr>
                <w:rFonts w:eastAsia="ＭＳ Ｐ明朝"/>
                <w:i/>
              </w:rPr>
            </w:pPr>
            <m:oMathPara>
              <m:oMathParaPr>
                <m:jc m:val="left"/>
              </m:oMathParaPr>
              <m:oMath>
                <m:r>
                  <w:rPr>
                    <w:rFonts w:ascii="Cambria Math" w:hAnsi="Cambria Math"/>
                  </w:rPr>
                  <m:t>∆</m:t>
                </m:r>
                <m:sSub>
                  <m:sSubPr>
                    <m:ctrlPr>
                      <w:rPr>
                        <w:rFonts w:ascii="Cambria Math" w:hAnsi="Cambria Math"/>
                        <w:i/>
                      </w:rPr>
                    </m:ctrlPr>
                  </m:sSubPr>
                  <m:e>
                    <m:r>
                      <w:rPr>
                        <w:rFonts w:ascii="Cambria Math" w:hAnsi="Cambria Math" w:hint="eastAsia"/>
                      </w:rPr>
                      <m:t>Q</m:t>
                    </m:r>
                  </m:e>
                  <m:sub>
                    <m:r>
                      <w:rPr>
                        <w:rFonts w:ascii="Cambria Math" w:hAnsi="Cambria Math" w:hint="eastAsia"/>
                      </w:rPr>
                      <m:t>m</m:t>
                    </m:r>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Qmb</m:t>
                    </m:r>
                  </m:sub>
                </m:sSub>
              </m:oMath>
            </m:oMathPara>
          </w:p>
        </w:tc>
        <w:tc>
          <w:tcPr>
            <w:tcW w:w="4291" w:type="dxa"/>
            <w:tcMar>
              <w:left w:w="0" w:type="dxa"/>
              <w:right w:w="0" w:type="dxa"/>
            </w:tcMar>
            <w:vAlign w:val="center"/>
          </w:tcPr>
          <w:p w14:paraId="013425B1" w14:textId="77777777" w:rsidR="00E24FD2" w:rsidRPr="00BC31E0" w:rsidRDefault="00E24FD2" w:rsidP="004736F2">
            <w:pPr>
              <w:tabs>
                <w:tab w:val="left" w:leader="middleDot" w:pos="3734"/>
              </w:tabs>
              <w:spacing w:before="120"/>
              <w:rPr>
                <w:rFonts w:asciiTheme="minorHAnsi" w:hAnsiTheme="minorHAnsi"/>
              </w:rPr>
            </w:pPr>
            <w:r w:rsidRPr="00BC31E0">
              <w:rPr>
                <w:rFonts w:asciiTheme="minorHAnsi" w:hAnsiTheme="minorHAnsi" w:hint="eastAsia"/>
              </w:rPr>
              <w:tab/>
              <w:t>(15)</w:t>
            </w:r>
          </w:p>
        </w:tc>
      </w:tr>
    </w:tbl>
    <w:p w14:paraId="57E2FD4D" w14:textId="77777777" w:rsidR="00E24FD2" w:rsidRPr="00BC31E0" w:rsidRDefault="00E24FD2" w:rsidP="00736130">
      <w:pPr>
        <w:pStyle w:val="a4"/>
        <w:numPr>
          <w:ilvl w:val="0"/>
          <w:numId w:val="384"/>
        </w:numPr>
        <w:spacing w:before="120"/>
        <w:ind w:leftChars="0" w:left="454" w:hanging="454"/>
      </w:pPr>
      <w:r w:rsidRPr="00BC31E0">
        <w:rPr>
          <w:rFonts w:asciiTheme="majorEastAsia" w:eastAsiaTheme="majorEastAsia" w:hAnsiTheme="majorEastAsia" w:hint="eastAsia"/>
          <w:b/>
        </w:rPr>
        <w:t>三軸応力</w:t>
      </w:r>
      <w:r w:rsidRPr="00BC31E0">
        <w:rPr>
          <w:rFonts w:hint="eastAsia"/>
        </w:rPr>
        <w:t xml:space="preserve">　</w:t>
      </w:r>
      <w:r w:rsidRPr="00BC31E0">
        <w:rPr>
          <w:rFonts w:ascii="ＭＳ 明朝" w:hAnsi="ＭＳ 明朝" w:hint="eastAsia"/>
        </w:rPr>
        <w:t>次の制限を満足する</w:t>
      </w:r>
      <w:r w:rsidRPr="00BC31E0">
        <w:rPr>
          <w:rFonts w:hint="eastAsia"/>
        </w:rPr>
        <w:t>。</w:t>
      </w:r>
    </w:p>
    <w:p w14:paraId="3A1C5042" w14:textId="77777777" w:rsidR="00E24FD2" w:rsidRPr="00BC31E0" w:rsidRDefault="00E24FD2" w:rsidP="005D455D">
      <w:pPr>
        <w:ind w:left="454"/>
      </w:pPr>
      <w:r w:rsidRPr="00BC31E0">
        <w:rPr>
          <w:rFonts w:hint="eastAsia"/>
        </w:rPr>
        <w:t>三つ</w:t>
      </w:r>
      <w:r w:rsidRPr="00BC31E0">
        <w:t>の主応力</w:t>
      </w:r>
      <w:r w:rsidRPr="00BC31E0">
        <w:rPr>
          <w:rFonts w:asciiTheme="minorHAnsi" w:eastAsiaTheme="minorEastAsia" w:hAnsiTheme="minorHAnsi"/>
        </w:rPr>
        <w:t>(</w:t>
      </w:r>
      <w:r w:rsidRPr="00BC31E0">
        <w:rPr>
          <w:rFonts w:asciiTheme="minorHAnsi"/>
        </w:rPr>
        <w:t>一次，二次及びピーク応力を含む</w:t>
      </w:r>
      <w:r w:rsidRPr="00BC31E0">
        <w:rPr>
          <w:rFonts w:asciiTheme="minorHAnsi" w:eastAsiaTheme="minorEastAsia" w:hAnsiTheme="minorHAnsi"/>
        </w:rPr>
        <w:t>)</w:t>
      </w:r>
      <w:r w:rsidRPr="00BC31E0">
        <w:t>の代数</w:t>
      </w:r>
      <w:r w:rsidRPr="00BC31E0">
        <w:rPr>
          <w:rFonts w:hint="eastAsia"/>
        </w:rPr>
        <w:t>和</w:t>
      </w:r>
      <m:oMath>
        <m:r>
          <m:rPr>
            <m:sty m:val="p"/>
          </m:rPr>
          <w:rPr>
            <w:rFonts w:ascii="Cambria Math" w:hAnsi="Cambria Math"/>
          </w:rPr>
          <m:t xml:space="preserve">  ≦ 2.5 </m:t>
        </m:r>
        <m:sSub>
          <m:sSubPr>
            <m:ctrlPr>
              <w:rPr>
                <w:rFonts w:ascii="Cambria Math" w:hAnsi="Cambria Math"/>
              </w:rPr>
            </m:ctrlPr>
          </m:sSubPr>
          <m:e>
            <m:r>
              <w:rPr>
                <w:rFonts w:ascii="Cambria Math" w:hAnsi="Cambria Math"/>
              </w:rPr>
              <m:t>S</m:t>
            </m:r>
          </m:e>
          <m:sub>
            <m:r>
              <m:rPr>
                <m:sty m:val="p"/>
              </m:rPr>
              <w:rPr>
                <w:rFonts w:ascii="Cambria Math" w:hAnsi="Cambria Math"/>
              </w:rPr>
              <m:t>y</m:t>
            </m:r>
          </m:sub>
        </m:sSub>
      </m:oMath>
    </w:p>
    <w:p w14:paraId="6B3FD348" w14:textId="77777777" w:rsidR="00E24FD2" w:rsidRPr="00BC31E0" w:rsidRDefault="00E24FD2" w:rsidP="00736130">
      <w:pPr>
        <w:pStyle w:val="a4"/>
        <w:numPr>
          <w:ilvl w:val="0"/>
          <w:numId w:val="384"/>
        </w:numPr>
        <w:ind w:leftChars="0" w:left="454" w:hanging="454"/>
      </w:pPr>
      <w:r w:rsidRPr="00BC31E0">
        <w:rPr>
          <w:rFonts w:asciiTheme="majorEastAsia" w:eastAsiaTheme="majorEastAsia" w:hAnsiTheme="majorEastAsia" w:hint="eastAsia"/>
          <w:b/>
        </w:rPr>
        <w:t>耐圧試験の上限圧力</w:t>
      </w:r>
      <w:r w:rsidRPr="00BC31E0">
        <w:rPr>
          <w:rFonts w:hint="eastAsia"/>
        </w:rPr>
        <w:t xml:space="preserve">　</w:t>
      </w:r>
      <w:r w:rsidRPr="00BC31E0">
        <w:rPr>
          <w:rFonts w:ascii="ＭＳ 明朝" w:hAnsi="ＭＳ 明朝" w:hint="eastAsia"/>
        </w:rPr>
        <w:t>非円形胴，閉止板及びその他の耐圧部分に対しては，弾性解析又は弾塑性解析により耐圧試験の上限圧力を検証しなければならない[</w:t>
      </w:r>
      <w:r w:rsidRPr="00BC31E0">
        <w:rPr>
          <w:rFonts w:asciiTheme="majorEastAsia" w:eastAsiaTheme="majorEastAsia" w:hAnsiTheme="majorEastAsia" w:hint="eastAsia"/>
          <w:b/>
        </w:rPr>
        <w:t>10.3.2 b) 3)</w:t>
      </w:r>
      <w:r w:rsidRPr="00BC31E0">
        <w:rPr>
          <w:rFonts w:ascii="ＭＳ 明朝" w:hAnsi="ＭＳ 明朝" w:hint="eastAsia"/>
        </w:rPr>
        <w:t>を参照]。</w:t>
      </w:r>
    </w:p>
    <w:p w14:paraId="0A997329" w14:textId="77777777" w:rsidR="00E24FD2" w:rsidRPr="00BC31E0" w:rsidRDefault="00E24FD2" w:rsidP="005D455D">
      <w:pPr>
        <w:pStyle w:val="15"/>
        <w:ind w:firstLineChars="0" w:firstLine="0"/>
      </w:pPr>
    </w:p>
    <w:p w14:paraId="3BE3A511" w14:textId="77777777" w:rsidR="00E24FD2" w:rsidRPr="00BC31E0" w:rsidRDefault="00E24FD2" w:rsidP="007609C0">
      <w:pPr>
        <w:pStyle w:val="1f9"/>
        <w:adjustRightInd/>
        <w:snapToGrid/>
        <w:spacing w:line="240" w:lineRule="auto"/>
        <w:ind w:left="340" w:hanging="340"/>
      </w:pPr>
      <w:r w:rsidRPr="00BC31E0">
        <w:rPr>
          <w:rFonts w:hint="eastAsia"/>
        </w:rPr>
        <w:t>2　単肉圧力容器の主応力</w:t>
      </w:r>
    </w:p>
    <w:p w14:paraId="2740475B" w14:textId="77777777" w:rsidR="00E24FD2" w:rsidRPr="00BC31E0" w:rsidRDefault="00E24FD2" w:rsidP="007609C0">
      <w:pPr>
        <w:pStyle w:val="15"/>
        <w:spacing w:after="120"/>
        <w:ind w:firstLine="210"/>
      </w:pPr>
      <w:r w:rsidRPr="00BC31E0">
        <w:rPr>
          <w:rFonts w:hint="eastAsia"/>
        </w:rPr>
        <w:t>中空の均一な肉厚円筒容器で，残留応力がない場合には，容器端や他の構造不連続部から離れた円筒胴の主応力は次式により算出する。</w:t>
      </w:r>
    </w:p>
    <w:tbl>
      <w:tblPr>
        <w:tblStyle w:val="afff2"/>
        <w:tblW w:w="0" w:type="auto"/>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7"/>
        <w:gridCol w:w="3779"/>
      </w:tblGrid>
      <w:tr w:rsidR="00E24FD2" w:rsidRPr="00BC31E0" w14:paraId="1568944E" w14:textId="77777777" w:rsidTr="004736F2">
        <w:tc>
          <w:tcPr>
            <w:tcW w:w="0" w:type="auto"/>
            <w:tcMar>
              <w:left w:w="0" w:type="dxa"/>
              <w:right w:w="0" w:type="dxa"/>
            </w:tcMar>
            <w:vAlign w:val="center"/>
          </w:tcPr>
          <w:p w14:paraId="67FE4127" w14:textId="77777777" w:rsidR="00E24FD2" w:rsidRPr="00BC31E0" w:rsidRDefault="00A51873" w:rsidP="005D455D">
            <w:pPr>
              <w:rPr>
                <w:i/>
              </w:rPr>
            </w:pPr>
            <m:oMathPara>
              <m:oMathParaPr>
                <m:jc m:val="left"/>
              </m:oMathParaPr>
              <m:oMath>
                <m:sSub>
                  <m:sSubPr>
                    <m:ctrlPr>
                      <w:rPr>
                        <w:rFonts w:ascii="Cambria Math" w:hAnsi="Cambria Math"/>
                        <w:i/>
                      </w:rPr>
                    </m:ctrlPr>
                  </m:sSubPr>
                  <m:e>
                    <m:r>
                      <w:rPr>
                        <w:rFonts w:ascii="Cambria Math" w:hAnsi="Cambria Math"/>
                      </w:rPr>
                      <m:t>σ</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P</m:t>
                    </m:r>
                  </m:num>
                  <m:den>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-1</m:t>
                    </m:r>
                  </m:den>
                </m:f>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Z</m:t>
                        </m:r>
                      </m:e>
                      <m:sup>
                        <m:r>
                          <w:rPr>
                            <w:rFonts w:ascii="Cambria Math" w:hAnsi="Cambria Math"/>
                          </w:rPr>
                          <m:t>2</m:t>
                        </m:r>
                      </m:sup>
                    </m:sSup>
                  </m:e>
                </m:d>
              </m:oMath>
            </m:oMathPara>
          </w:p>
        </w:tc>
        <w:tc>
          <w:tcPr>
            <w:tcW w:w="3779" w:type="dxa"/>
            <w:tcMar>
              <w:left w:w="0" w:type="dxa"/>
              <w:right w:w="0" w:type="dxa"/>
            </w:tcMar>
            <w:vAlign w:val="center"/>
          </w:tcPr>
          <w:p w14:paraId="20165FDE" w14:textId="77777777" w:rsidR="00E24FD2" w:rsidRPr="00BC31E0" w:rsidRDefault="00E24FD2" w:rsidP="005D455D">
            <w:pPr>
              <w:tabs>
                <w:tab w:val="left" w:leader="middleDot" w:pos="3239"/>
              </w:tabs>
              <w:rPr>
                <w:rFonts w:asciiTheme="minorHAnsi" w:hAnsiTheme="minorHAnsi"/>
              </w:rPr>
            </w:pPr>
            <w:r w:rsidRPr="00BC31E0">
              <w:rPr>
                <w:rFonts w:asciiTheme="minorHAnsi" w:hAnsiTheme="minorHAnsi"/>
              </w:rPr>
              <w:tab/>
              <w:t>(</w:t>
            </w:r>
            <w:r w:rsidRPr="00BC31E0">
              <w:rPr>
                <w:rFonts w:asciiTheme="minorHAnsi" w:hAnsiTheme="minorHAnsi" w:hint="eastAsia"/>
              </w:rPr>
              <w:t>16</w:t>
            </w:r>
            <w:r w:rsidRPr="00BC31E0">
              <w:rPr>
                <w:rFonts w:asciiTheme="minorHAnsi" w:hAnsiTheme="minorHAnsi"/>
              </w:rPr>
              <w:t>)</w:t>
            </w:r>
          </w:p>
        </w:tc>
      </w:tr>
      <w:tr w:rsidR="00E24FD2" w:rsidRPr="00BC31E0" w14:paraId="30F1E75B" w14:textId="77777777" w:rsidTr="004736F2">
        <w:tc>
          <w:tcPr>
            <w:tcW w:w="0" w:type="auto"/>
            <w:tcMar>
              <w:left w:w="0" w:type="dxa"/>
              <w:right w:w="0" w:type="dxa"/>
            </w:tcMar>
            <w:vAlign w:val="center"/>
          </w:tcPr>
          <w:p w14:paraId="680E20D7" w14:textId="77777777" w:rsidR="00E24FD2" w:rsidRPr="00BC31E0" w:rsidRDefault="00A51873" w:rsidP="005D455D">
            <w:pPr>
              <w:spacing w:before="120"/>
              <w:rPr>
                <w:rFonts w:eastAsia="ＭＳ Ｐ明朝"/>
                <w:i/>
              </w:rPr>
            </w:pPr>
            <m:oMathPara>
              <m:oMathParaPr>
                <m:jc m:val="left"/>
              </m:oMathParaPr>
              <m:oMath>
                <m:sSub>
                  <m:sSubPr>
                    <m:ctrlPr>
                      <w:rPr>
                        <w:rFonts w:ascii="Cambria Math" w:hAnsi="Cambria Math"/>
                        <w:i/>
                      </w:rPr>
                    </m:ctrlPr>
                  </m:sSubPr>
                  <m:e>
                    <m:r>
                      <w:rPr>
                        <w:rFonts w:ascii="Cambria Math" w:hAnsi="Cambria Math"/>
                      </w:rPr>
                      <m:t>σ</m:t>
                    </m:r>
                  </m:e>
                  <m:sub>
                    <m:r>
                      <w:rPr>
                        <w:rFonts w:ascii="Cambria Math" w:hAnsi="Cambria Math"/>
                      </w:rPr>
                      <m:t>r</m:t>
                    </m:r>
                  </m:sub>
                </m:sSub>
                <m:r>
                  <w:rPr>
                    <w:rFonts w:ascii="Cambria Math" w:hAnsi="Cambria Math"/>
                  </w:rPr>
                  <m:t>=</m:t>
                </m:r>
                <m:f>
                  <m:fPr>
                    <m:ctrlPr>
                      <w:rPr>
                        <w:rFonts w:ascii="Cambria Math" w:hAnsi="Cambria Math"/>
                        <w:i/>
                      </w:rPr>
                    </m:ctrlPr>
                  </m:fPr>
                  <m:num>
                    <m:r>
                      <w:rPr>
                        <w:rFonts w:ascii="Cambria Math" w:hAnsi="Cambria Math"/>
                      </w:rPr>
                      <m:t>P</m:t>
                    </m:r>
                  </m:num>
                  <m:den>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-1</m:t>
                    </m:r>
                  </m:den>
                </m:f>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Z</m:t>
                        </m:r>
                      </m:e>
                      <m:sup>
                        <m:r>
                          <w:rPr>
                            <w:rFonts w:ascii="Cambria Math" w:hAnsi="Cambria Math"/>
                          </w:rPr>
                          <m:t>2</m:t>
                        </m:r>
                      </m:sup>
                    </m:sSup>
                  </m:e>
                </m:d>
              </m:oMath>
            </m:oMathPara>
          </w:p>
        </w:tc>
        <w:tc>
          <w:tcPr>
            <w:tcW w:w="3779" w:type="dxa"/>
            <w:tcMar>
              <w:left w:w="0" w:type="dxa"/>
              <w:right w:w="0" w:type="dxa"/>
            </w:tcMar>
            <w:vAlign w:val="center"/>
          </w:tcPr>
          <w:p w14:paraId="010ED444" w14:textId="77777777" w:rsidR="00E24FD2" w:rsidRPr="00BC31E0" w:rsidRDefault="00E24FD2" w:rsidP="005D455D">
            <w:pPr>
              <w:tabs>
                <w:tab w:val="left" w:leader="middleDot" w:pos="3239"/>
              </w:tabs>
              <w:spacing w:before="120"/>
              <w:rPr>
                <w:rFonts w:asciiTheme="minorHAnsi" w:hAnsiTheme="minorHAnsi"/>
              </w:rPr>
            </w:pPr>
            <w:r w:rsidRPr="00BC31E0">
              <w:rPr>
                <w:rFonts w:asciiTheme="minorHAnsi" w:hAnsiTheme="minorHAnsi"/>
              </w:rPr>
              <w:tab/>
              <w:t>(</w:t>
            </w:r>
            <w:r w:rsidRPr="00BC31E0">
              <w:rPr>
                <w:rFonts w:asciiTheme="minorHAnsi" w:hAnsiTheme="minorHAnsi" w:hint="eastAsia"/>
              </w:rPr>
              <w:t>17</w:t>
            </w:r>
            <w:r w:rsidRPr="00BC31E0">
              <w:rPr>
                <w:rFonts w:asciiTheme="minorHAnsi" w:hAnsiTheme="minorHAnsi"/>
              </w:rPr>
              <w:t>)</w:t>
            </w:r>
          </w:p>
        </w:tc>
      </w:tr>
    </w:tbl>
    <w:p w14:paraId="4B455FCE" w14:textId="77777777" w:rsidR="00E24FD2" w:rsidRPr="00BC31E0" w:rsidRDefault="00E24FD2" w:rsidP="007609C0">
      <w:pPr>
        <w:spacing w:before="120" w:after="120"/>
        <w:ind w:firstLineChars="100" w:firstLine="210"/>
      </w:pPr>
      <w:r w:rsidRPr="00BC31E0">
        <w:rPr>
          <w:rFonts w:hint="eastAsia"/>
        </w:rPr>
        <w:t>円筒が閉止端の場合には，軸方向応力は次式により算出する。</w:t>
      </w:r>
    </w:p>
    <w:tbl>
      <w:tblPr>
        <w:tblStyle w:val="afff2"/>
        <w:tblW w:w="0" w:type="auto"/>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
        <w:gridCol w:w="4607"/>
      </w:tblGrid>
      <w:tr w:rsidR="00E24FD2" w:rsidRPr="00BC31E0" w14:paraId="2D4B2B7A" w14:textId="77777777" w:rsidTr="004736F2">
        <w:tc>
          <w:tcPr>
            <w:tcW w:w="0" w:type="auto"/>
            <w:tcMar>
              <w:left w:w="0" w:type="dxa"/>
              <w:right w:w="0" w:type="dxa"/>
            </w:tcMar>
            <w:vAlign w:val="center"/>
          </w:tcPr>
          <w:p w14:paraId="3F794DB2" w14:textId="77777777" w:rsidR="00E24FD2" w:rsidRPr="00BC31E0" w:rsidRDefault="00A51873" w:rsidP="005D455D">
            <w:pPr>
              <w:rPr>
                <w:rFonts w:eastAsia="ＭＳ Ｐ明朝"/>
                <w:i/>
              </w:rPr>
            </w:pPr>
            <m:oMathPara>
              <m:oMathParaPr>
                <m:jc m:val="left"/>
              </m:oMathParaPr>
              <m:oMath>
                <m:sSub>
                  <m:sSubPr>
                    <m:ctrlPr>
                      <w:rPr>
                        <w:rFonts w:ascii="Cambria Math" w:hAnsi="Cambria Math"/>
                        <w:i/>
                      </w:rPr>
                    </m:ctrlPr>
                  </m:sSubPr>
                  <m:e>
                    <m:r>
                      <w:rPr>
                        <w:rFonts w:ascii="Cambria Math" w:hAnsi="Cambria Math"/>
                      </w:rPr>
                      <m:t>σ</m:t>
                    </m:r>
                  </m:e>
                  <m:sub>
                    <m:r>
                      <w:rPr>
                        <w:rFonts w:ascii="Cambria Math" w:hAnsi="Cambria Math"/>
                      </w:rPr>
                      <m:t>l</m:t>
                    </m:r>
                  </m:sub>
                </m:sSub>
                <m:r>
                  <w:rPr>
                    <w:rFonts w:ascii="Cambria Math" w:hAnsi="Cambria Math"/>
                  </w:rPr>
                  <m:t>=</m:t>
                </m:r>
                <m:f>
                  <m:fPr>
                    <m:ctrlPr>
                      <w:rPr>
                        <w:rFonts w:ascii="Cambria Math" w:hAnsi="Cambria Math"/>
                        <w:i/>
                      </w:rPr>
                    </m:ctrlPr>
                  </m:fPr>
                  <m:num>
                    <m:r>
                      <w:rPr>
                        <w:rFonts w:ascii="Cambria Math" w:hAnsi="Cambria Math"/>
                      </w:rPr>
                      <m:t>P</m:t>
                    </m:r>
                  </m:num>
                  <m:den>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-1</m:t>
                    </m:r>
                  </m:den>
                </m:f>
              </m:oMath>
            </m:oMathPara>
          </w:p>
        </w:tc>
        <w:tc>
          <w:tcPr>
            <w:tcW w:w="4607" w:type="dxa"/>
            <w:tcMar>
              <w:left w:w="0" w:type="dxa"/>
              <w:right w:w="0" w:type="dxa"/>
            </w:tcMar>
            <w:vAlign w:val="center"/>
          </w:tcPr>
          <w:p w14:paraId="2BA67E61" w14:textId="77777777" w:rsidR="00E24FD2" w:rsidRPr="00BC31E0" w:rsidRDefault="00E24FD2" w:rsidP="005D455D">
            <w:pPr>
              <w:tabs>
                <w:tab w:val="left" w:leader="middleDot" w:pos="4067"/>
              </w:tabs>
              <w:rPr>
                <w:rFonts w:asciiTheme="minorHAnsi" w:hAnsiTheme="minorHAnsi"/>
              </w:rPr>
            </w:pPr>
            <w:r w:rsidRPr="00BC31E0">
              <w:rPr>
                <w:rFonts w:asciiTheme="minorHAnsi" w:hAnsiTheme="minorHAnsi"/>
              </w:rPr>
              <w:tab/>
              <w:t>(</w:t>
            </w:r>
            <w:r w:rsidRPr="00BC31E0">
              <w:rPr>
                <w:rFonts w:asciiTheme="minorHAnsi" w:hAnsiTheme="minorHAnsi" w:hint="eastAsia"/>
              </w:rPr>
              <w:t>18</w:t>
            </w:r>
            <w:r w:rsidRPr="00BC31E0">
              <w:rPr>
                <w:rFonts w:asciiTheme="minorHAnsi" w:hAnsiTheme="minorHAnsi"/>
              </w:rPr>
              <w:t>)</w:t>
            </w:r>
          </w:p>
        </w:tc>
      </w:tr>
    </w:tbl>
    <w:p w14:paraId="37CFB1CD" w14:textId="77777777" w:rsidR="00E24FD2" w:rsidRPr="00BC31E0" w:rsidRDefault="00E24FD2" w:rsidP="007609C0">
      <w:pPr>
        <w:ind w:firstLineChars="200" w:firstLine="420"/>
      </w:pPr>
      <w:r w:rsidRPr="00BC31E0">
        <w:rPr>
          <w:rFonts w:hint="eastAsia"/>
        </w:rPr>
        <w:t>ここで，</w:t>
      </w:r>
    </w:p>
    <w:p w14:paraId="35E4CE14" w14:textId="77777777" w:rsidR="00E24FD2" w:rsidRPr="00BC31E0" w:rsidRDefault="00A51873" w:rsidP="007609C0">
      <w:pPr>
        <w:tabs>
          <w:tab w:val="left" w:pos="1197"/>
        </w:tabs>
        <w:ind w:leftChars="400" w:left="840"/>
        <w:rPr>
          <w:rFonts w:ascii="Times New Roman" w:hAnsi="Times New Roman"/>
        </w:rPr>
      </w:pPr>
      <m:oMath>
        <m:sSub>
          <m:sSubPr>
            <m:ctrlPr>
              <w:rPr>
                <w:rFonts w:ascii="Cambria Math" w:hAnsi="Cambria Math"/>
                <w:i/>
              </w:rPr>
            </m:ctrlPr>
          </m:sSubPr>
          <m:e>
            <m:r>
              <w:rPr>
                <w:rFonts w:ascii="Cambria Math" w:hAnsi="Cambria Math"/>
              </w:rPr>
              <m:t>σ</m:t>
            </m:r>
          </m:e>
          <m:sub>
            <m:r>
              <w:rPr>
                <w:rFonts w:ascii="Cambria Math" w:hAnsi="Cambria Math"/>
              </w:rPr>
              <m:t>t</m:t>
            </m:r>
          </m:sub>
        </m:sSub>
      </m:oMath>
      <w:r w:rsidR="00E24FD2" w:rsidRPr="00BC31E0">
        <w:rPr>
          <w:rFonts w:asciiTheme="minorHAnsi" w:hAnsiTheme="minorHAnsi"/>
        </w:rPr>
        <w:tab/>
      </w:r>
      <w:r w:rsidR="00E24FD2" w:rsidRPr="00BC31E0">
        <w:rPr>
          <w:rFonts w:ascii="Times New Roman" w:hAnsi="Times New Roman" w:hint="eastAsia"/>
        </w:rPr>
        <w:t>：</w:t>
      </w:r>
      <w:r w:rsidR="00E24FD2" w:rsidRPr="00BC31E0">
        <w:rPr>
          <w:rFonts w:ascii="Times New Roman" w:hAnsi="Times New Roman" w:hint="eastAsia"/>
        </w:rPr>
        <w:t xml:space="preserve"> </w:t>
      </w:r>
      <w:r w:rsidR="00E24FD2" w:rsidRPr="00BC31E0">
        <w:rPr>
          <w:rFonts w:ascii="Times New Roman" w:hAnsi="Times New Roman" w:hint="eastAsia"/>
        </w:rPr>
        <w:t>周方向応力</w:t>
      </w:r>
      <w:r w:rsidR="00E24FD2" w:rsidRPr="00BC31E0">
        <w:rPr>
          <w:rFonts w:ascii="Times New Roman" w:hAnsi="Times New Roman" w:hint="eastAsia"/>
        </w:rPr>
        <w:t>(</w:t>
      </w:r>
      <w:r w:rsidR="00E24FD2" w:rsidRPr="00BC31E0">
        <w:rPr>
          <w:rFonts w:ascii="Cambria Math" w:hAnsi="Cambria Math"/>
        </w:rPr>
        <w:t>MPa</w:t>
      </w:r>
      <w:r w:rsidR="00E24FD2" w:rsidRPr="00BC31E0">
        <w:rPr>
          <w:rFonts w:ascii="Times New Roman" w:hAnsi="Times New Roman" w:hint="eastAsia"/>
        </w:rPr>
        <w:t>)</w:t>
      </w:r>
    </w:p>
    <w:p w14:paraId="25C2AF7B" w14:textId="77777777" w:rsidR="00E24FD2" w:rsidRPr="00BC31E0" w:rsidRDefault="00A51873" w:rsidP="007609C0">
      <w:pPr>
        <w:tabs>
          <w:tab w:val="left" w:pos="1197"/>
        </w:tabs>
        <w:ind w:leftChars="400" w:left="840"/>
        <w:rPr>
          <w:rFonts w:ascii="Times New Roman" w:hAnsi="Times New Roman"/>
        </w:rPr>
      </w:pPr>
      <m:oMath>
        <m:sSub>
          <m:sSubPr>
            <m:ctrlPr>
              <w:rPr>
                <w:rFonts w:ascii="Cambria Math" w:hAnsi="Cambria Math"/>
                <w:i/>
              </w:rPr>
            </m:ctrlPr>
          </m:sSubPr>
          <m:e>
            <m:r>
              <w:rPr>
                <w:rFonts w:ascii="Cambria Math" w:hAnsi="Cambria Math"/>
              </w:rPr>
              <m:t>σ</m:t>
            </m:r>
          </m:e>
          <m:sub>
            <m:r>
              <w:rPr>
                <w:rFonts w:ascii="Cambria Math" w:hAnsi="Cambria Math"/>
              </w:rPr>
              <m:t>r</m:t>
            </m:r>
          </m:sub>
        </m:sSub>
      </m:oMath>
      <w:r w:rsidR="00E24FD2" w:rsidRPr="00BC31E0">
        <w:rPr>
          <w:rFonts w:asciiTheme="minorHAnsi" w:hAnsiTheme="minorHAnsi"/>
        </w:rPr>
        <w:tab/>
      </w:r>
      <w:r w:rsidR="00E24FD2" w:rsidRPr="00BC31E0">
        <w:rPr>
          <w:rFonts w:ascii="Times New Roman" w:hAnsi="Times New Roman" w:hint="eastAsia"/>
        </w:rPr>
        <w:t>：</w:t>
      </w:r>
      <w:r w:rsidR="00E24FD2" w:rsidRPr="00BC31E0">
        <w:rPr>
          <w:rFonts w:ascii="Times New Roman" w:hAnsi="Times New Roman" w:hint="eastAsia"/>
        </w:rPr>
        <w:t xml:space="preserve"> </w:t>
      </w:r>
      <w:r w:rsidR="00E24FD2" w:rsidRPr="00BC31E0">
        <w:rPr>
          <w:rFonts w:ascii="Times New Roman" w:hAnsi="Times New Roman" w:hint="eastAsia"/>
        </w:rPr>
        <w:t>半径方向応力</w:t>
      </w:r>
      <w:r w:rsidR="00E24FD2" w:rsidRPr="00BC31E0">
        <w:rPr>
          <w:rFonts w:ascii="Times New Roman" w:hAnsi="Times New Roman" w:hint="eastAsia"/>
        </w:rPr>
        <w:t>(</w:t>
      </w:r>
      <w:r w:rsidR="00E24FD2" w:rsidRPr="00BC31E0">
        <w:rPr>
          <w:rFonts w:ascii="Cambria Math" w:hAnsi="Cambria Math"/>
        </w:rPr>
        <w:t>MPa</w:t>
      </w:r>
      <w:r w:rsidR="00E24FD2" w:rsidRPr="00BC31E0">
        <w:rPr>
          <w:rFonts w:ascii="Times New Roman" w:hAnsi="Times New Roman" w:hint="eastAsia"/>
        </w:rPr>
        <w:t>)</w:t>
      </w:r>
    </w:p>
    <w:p w14:paraId="38D2CFD6" w14:textId="77777777" w:rsidR="00E24FD2" w:rsidRPr="00BC31E0" w:rsidRDefault="00A51873" w:rsidP="007609C0">
      <w:pPr>
        <w:tabs>
          <w:tab w:val="left" w:pos="1197"/>
        </w:tabs>
        <w:ind w:leftChars="400" w:left="840"/>
        <w:rPr>
          <w:rFonts w:ascii="Times New Roman" w:hAnsi="Times New Roman"/>
          <w:i/>
        </w:rPr>
      </w:pPr>
      <m:oMath>
        <m:sSub>
          <m:sSubPr>
            <m:ctrlPr>
              <w:rPr>
                <w:rFonts w:ascii="Cambria Math" w:hAnsi="Cambria Math"/>
                <w:i/>
              </w:rPr>
            </m:ctrlPr>
          </m:sSubPr>
          <m:e>
            <m:r>
              <w:rPr>
                <w:rFonts w:ascii="Cambria Math" w:hAnsi="Cambria Math"/>
              </w:rPr>
              <m:t>σ</m:t>
            </m:r>
          </m:e>
          <m:sub>
            <m:r>
              <w:rPr>
                <w:rFonts w:ascii="Cambria Math" w:hAnsi="Cambria Math"/>
              </w:rPr>
              <m:t>l</m:t>
            </m:r>
          </m:sub>
        </m:sSub>
      </m:oMath>
      <w:r w:rsidR="00E24FD2" w:rsidRPr="00BC31E0">
        <w:rPr>
          <w:rFonts w:asciiTheme="minorHAnsi" w:hAnsiTheme="minorHAnsi"/>
        </w:rPr>
        <w:tab/>
      </w:r>
      <w:r w:rsidR="00E24FD2" w:rsidRPr="00BC31E0">
        <w:rPr>
          <w:rFonts w:ascii="Times New Roman" w:hAnsi="Times New Roman" w:hint="eastAsia"/>
        </w:rPr>
        <w:t>：</w:t>
      </w:r>
      <w:r w:rsidR="00E24FD2" w:rsidRPr="00BC31E0">
        <w:rPr>
          <w:rFonts w:ascii="Times New Roman" w:hAnsi="Times New Roman" w:hint="eastAsia"/>
        </w:rPr>
        <w:t xml:space="preserve"> </w:t>
      </w:r>
      <w:r w:rsidR="00E24FD2" w:rsidRPr="00BC31E0">
        <w:rPr>
          <w:rFonts w:ascii="Times New Roman" w:hAnsi="Times New Roman" w:hint="eastAsia"/>
        </w:rPr>
        <w:t>軸方向応力</w:t>
      </w:r>
      <w:r w:rsidR="00E24FD2" w:rsidRPr="00BC31E0">
        <w:rPr>
          <w:rFonts w:ascii="Times New Roman" w:hAnsi="Times New Roman" w:hint="eastAsia"/>
        </w:rPr>
        <w:t>(</w:t>
      </w:r>
      <w:r w:rsidR="00E24FD2" w:rsidRPr="00BC31E0">
        <w:rPr>
          <w:rFonts w:ascii="Cambria Math" w:hAnsi="Cambria Math"/>
        </w:rPr>
        <w:t>MPa</w:t>
      </w:r>
      <w:r w:rsidR="00E24FD2" w:rsidRPr="00BC31E0">
        <w:rPr>
          <w:rFonts w:ascii="Times New Roman" w:hAnsi="Times New Roman" w:hint="eastAsia"/>
        </w:rPr>
        <w:t>)</w:t>
      </w:r>
    </w:p>
    <w:p w14:paraId="0A7C0988" w14:textId="77777777" w:rsidR="00E24FD2" w:rsidRPr="00BC31E0" w:rsidRDefault="00E24FD2" w:rsidP="007609C0">
      <w:pPr>
        <w:tabs>
          <w:tab w:val="left" w:pos="1197"/>
        </w:tabs>
        <w:ind w:leftChars="400" w:left="840"/>
      </w:pPr>
      <m:oMath>
        <m:r>
          <w:rPr>
            <w:rFonts w:ascii="Cambria Math" w:hAnsi="Cambria Math"/>
          </w:rPr>
          <m:t>P</m:t>
        </m:r>
      </m:oMath>
      <w:r w:rsidRPr="00BC31E0">
        <w:rPr>
          <w:rFonts w:asciiTheme="minorHAnsi" w:hAnsiTheme="minorHAnsi"/>
        </w:rPr>
        <w:tab/>
      </w:r>
      <w:r w:rsidRPr="00BC31E0">
        <w:rPr>
          <w:rFonts w:ascii="Times New Roman" w:hAnsi="Times New Roman" w:hint="eastAsia"/>
        </w:rPr>
        <w:t>：</w:t>
      </w:r>
      <w:r w:rsidRPr="00BC31E0">
        <w:rPr>
          <w:rFonts w:ascii="Times New Roman" w:hAnsi="Times New Roman" w:hint="eastAsia"/>
        </w:rPr>
        <w:t xml:space="preserve"> </w:t>
      </w:r>
      <w:r w:rsidRPr="00BC31E0">
        <w:rPr>
          <w:rFonts w:hint="eastAsia"/>
        </w:rPr>
        <w:t>内圧力</w:t>
      </w:r>
      <w:r w:rsidRPr="00BC31E0">
        <w:rPr>
          <w:rFonts w:hint="eastAsia"/>
        </w:rPr>
        <w:t>(</w:t>
      </w:r>
      <w:r w:rsidRPr="00BC31E0">
        <w:rPr>
          <w:rFonts w:ascii="Cambria Math" w:hAnsi="Cambria Math"/>
        </w:rPr>
        <w:t>MPa</w:t>
      </w:r>
      <w:r w:rsidRPr="00BC31E0">
        <w:rPr>
          <w:rFonts w:hint="eastAsia"/>
        </w:rPr>
        <w:t>)</w:t>
      </w:r>
    </w:p>
    <w:p w14:paraId="53865024" w14:textId="77777777" w:rsidR="00E24FD2" w:rsidRPr="00BC31E0" w:rsidRDefault="00E24FD2" w:rsidP="007609C0">
      <w:pPr>
        <w:tabs>
          <w:tab w:val="left" w:pos="1197"/>
        </w:tabs>
        <w:ind w:leftChars="400" w:left="840"/>
        <w:rPr>
          <w:lang w:val="fr-FR"/>
        </w:rPr>
      </w:pPr>
      <m:oMath>
        <m:r>
          <w:rPr>
            <w:rFonts w:ascii="Cambria Math" w:hAnsi="Cambria Math"/>
          </w:rPr>
          <m:t>Y</m:t>
        </m:r>
      </m:oMath>
      <w:r w:rsidRPr="00BC31E0">
        <w:rPr>
          <w:rFonts w:asciiTheme="minorHAnsi" w:hAnsiTheme="minorHAnsi"/>
        </w:rPr>
        <w:tab/>
      </w:r>
      <w:r w:rsidRPr="00BC31E0">
        <w:rPr>
          <w:rFonts w:ascii="Times New Roman" w:hAnsi="Times New Roman" w:hint="eastAsia"/>
          <w:lang w:val="fr-FR"/>
        </w:rPr>
        <w:t>：</w:t>
      </w:r>
      <w:r w:rsidRPr="00BC31E0">
        <w:rPr>
          <w:rFonts w:ascii="Times New Roman" w:hAnsi="Times New Roman" w:hint="eastAsia"/>
          <w:lang w:val="fr-FR"/>
        </w:rPr>
        <w:t xml:space="preserve"> </w:t>
      </w:r>
      <w:r w:rsidRPr="00BC31E0">
        <w:rPr>
          <w:rFonts w:hint="eastAsia"/>
        </w:rPr>
        <w:t>内外径比</w:t>
      </w:r>
      <w:r w:rsidRPr="00BC31E0">
        <w:t>(</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O</m:t>
                </m:r>
              </m:sub>
            </m:sSub>
          </m:num>
          <m:den>
            <m:sSub>
              <m:sSubPr>
                <m:ctrlPr>
                  <w:rPr>
                    <w:rFonts w:ascii="Cambria Math" w:hAnsi="Cambria Math"/>
                    <w:i/>
                  </w:rPr>
                </m:ctrlPr>
              </m:sSubPr>
              <m:e>
                <m:r>
                  <w:rPr>
                    <w:rFonts w:ascii="Cambria Math" w:hAnsi="Cambria Math"/>
                  </w:rPr>
                  <m:t>D</m:t>
                </m:r>
              </m:e>
              <m:sub>
                <m:r>
                  <w:rPr>
                    <w:rFonts w:ascii="Cambria Math" w:hAnsi="Cambria Math"/>
                  </w:rPr>
                  <m:t>I</m:t>
                </m:r>
              </m:sub>
            </m:sSub>
          </m:den>
        </m:f>
      </m:oMath>
      <w:r w:rsidRPr="00BC31E0">
        <w:rPr>
          <w:lang w:val="fr-FR"/>
        </w:rPr>
        <w:t>)</w:t>
      </w:r>
    </w:p>
    <w:p w14:paraId="62BD5595" w14:textId="77777777" w:rsidR="00E24FD2" w:rsidRPr="00BC31E0" w:rsidRDefault="00E24FD2" w:rsidP="007609C0">
      <w:pPr>
        <w:tabs>
          <w:tab w:val="left" w:pos="1197"/>
        </w:tabs>
        <w:ind w:leftChars="400" w:left="840"/>
        <w:rPr>
          <w:lang w:val="fr-FR"/>
        </w:rPr>
      </w:pPr>
      <m:oMath>
        <m:r>
          <w:rPr>
            <w:rFonts w:ascii="Cambria Math" w:hAnsi="Cambria Math"/>
          </w:rPr>
          <m:t>Z</m:t>
        </m:r>
      </m:oMath>
      <w:r w:rsidRPr="00BC31E0">
        <w:rPr>
          <w:rFonts w:asciiTheme="minorHAnsi" w:hAnsiTheme="minorHAnsi"/>
        </w:rPr>
        <w:tab/>
      </w:r>
      <w:r w:rsidRPr="00BC31E0">
        <w:rPr>
          <w:rFonts w:ascii="Times New Roman" w:hAnsi="Times New Roman" w:hint="eastAsia"/>
        </w:rPr>
        <w:t>：</w:t>
      </w:r>
      <w:r w:rsidRPr="00BC31E0">
        <w:rPr>
          <w:rFonts w:ascii="Times New Roman" w:hAnsi="Times New Roman" w:hint="eastAsia"/>
        </w:rPr>
        <w:t xml:space="preserve"> </w:t>
      </w:r>
      <w:r w:rsidRPr="00BC31E0">
        <w:rPr>
          <w:rFonts w:hint="eastAsia"/>
        </w:rPr>
        <w:t>直径比</w:t>
      </w:r>
      <w:r w:rsidRPr="00BC31E0">
        <w:rPr>
          <w:rFonts w:hint="eastAsia"/>
        </w:rPr>
        <w:t>(</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O</m:t>
                </m:r>
              </m:sub>
            </m:sSub>
          </m:num>
          <m:den>
            <m:r>
              <w:rPr>
                <w:rFonts w:ascii="Cambria Math" w:hAnsi="Cambria Math"/>
              </w:rPr>
              <m:t>D</m:t>
            </m:r>
          </m:den>
        </m:f>
      </m:oMath>
      <w:r w:rsidRPr="00BC31E0">
        <w:rPr>
          <w:lang w:val="fr-FR"/>
        </w:rPr>
        <w:t>)</w:t>
      </w:r>
    </w:p>
    <w:p w14:paraId="14893389" w14:textId="77777777" w:rsidR="00E24FD2" w:rsidRPr="00BC31E0" w:rsidRDefault="00A51873" w:rsidP="007609C0">
      <w:pPr>
        <w:tabs>
          <w:tab w:val="left" w:pos="1197"/>
        </w:tabs>
        <w:ind w:leftChars="400" w:left="840"/>
      </w:pPr>
      <m:oMath>
        <m:sSub>
          <m:sSubPr>
            <m:ctrlPr>
              <w:rPr>
                <w:rFonts w:ascii="Cambria Math" w:hAnsi="Cambria Math"/>
                <w:i/>
              </w:rPr>
            </m:ctrlPr>
          </m:sSubPr>
          <m:e>
            <m:r>
              <w:rPr>
                <w:rFonts w:ascii="Cambria Math" w:hAnsi="Cambria Math"/>
              </w:rPr>
              <m:t>D</m:t>
            </m:r>
          </m:e>
          <m:sub>
            <m:r>
              <w:rPr>
                <w:rFonts w:ascii="Cambria Math" w:hAnsi="Cambria Math" w:hint="eastAsia"/>
              </w:rPr>
              <m:t>I</m:t>
            </m:r>
          </m:sub>
        </m:sSub>
      </m:oMath>
      <w:r w:rsidR="00E24FD2" w:rsidRPr="00BC31E0">
        <w:t xml:space="preserve"> </w:t>
      </w:r>
      <w:r w:rsidR="00E24FD2" w:rsidRPr="00BC31E0">
        <w:rPr>
          <w:rFonts w:hint="eastAsia"/>
        </w:rPr>
        <w:tab/>
      </w:r>
      <w:r w:rsidR="00E24FD2" w:rsidRPr="00BC31E0">
        <w:rPr>
          <w:rFonts w:hint="eastAsia"/>
        </w:rPr>
        <w:t>：</w:t>
      </w:r>
      <w:r w:rsidR="00E24FD2" w:rsidRPr="00BC31E0">
        <w:rPr>
          <w:rFonts w:hint="eastAsia"/>
        </w:rPr>
        <w:t xml:space="preserve"> </w:t>
      </w:r>
      <w:r w:rsidR="00E24FD2" w:rsidRPr="00BC31E0">
        <w:rPr>
          <w:rFonts w:hint="eastAsia"/>
        </w:rPr>
        <w:t>円筒の内径</w:t>
      </w:r>
      <w:r w:rsidR="00E24FD2" w:rsidRPr="00BC31E0">
        <w:rPr>
          <w:rFonts w:hint="eastAsia"/>
        </w:rPr>
        <w:t>(</w:t>
      </w:r>
      <w:r w:rsidR="00E24FD2" w:rsidRPr="00BC31E0">
        <w:rPr>
          <w:rFonts w:ascii="Cambria Math" w:hAnsi="Cambria Math"/>
        </w:rPr>
        <w:t>mm</w:t>
      </w:r>
      <w:r w:rsidR="00E24FD2" w:rsidRPr="00BC31E0">
        <w:rPr>
          <w:rFonts w:hint="eastAsia"/>
        </w:rPr>
        <w:t>)</w:t>
      </w:r>
    </w:p>
    <w:p w14:paraId="6E8AD2A7" w14:textId="77777777" w:rsidR="00E24FD2" w:rsidRPr="00BC31E0" w:rsidRDefault="00A51873" w:rsidP="007609C0">
      <w:pPr>
        <w:tabs>
          <w:tab w:val="left" w:pos="1197"/>
        </w:tabs>
        <w:ind w:leftChars="400" w:left="840"/>
      </w:pPr>
      <m:oMath>
        <m:sSub>
          <m:sSubPr>
            <m:ctrlPr>
              <w:rPr>
                <w:rFonts w:ascii="Cambria Math" w:hAnsi="Cambria Math"/>
                <w:i/>
              </w:rPr>
            </m:ctrlPr>
          </m:sSubPr>
          <m:e>
            <m:r>
              <w:rPr>
                <w:rFonts w:ascii="Cambria Math" w:hAnsi="Cambria Math"/>
              </w:rPr>
              <m:t>D</m:t>
            </m:r>
          </m:e>
          <m:sub>
            <m:r>
              <w:rPr>
                <w:rFonts w:ascii="Cambria Math" w:hAnsi="Cambria Math" w:hint="eastAsia"/>
              </w:rPr>
              <m:t>O</m:t>
            </m:r>
          </m:sub>
        </m:sSub>
      </m:oMath>
      <w:r w:rsidR="00E24FD2" w:rsidRPr="00BC31E0">
        <w:t xml:space="preserve"> </w:t>
      </w:r>
      <w:r w:rsidR="00E24FD2" w:rsidRPr="00BC31E0">
        <w:rPr>
          <w:rFonts w:hint="eastAsia"/>
        </w:rPr>
        <w:tab/>
      </w:r>
      <w:r w:rsidR="00E24FD2" w:rsidRPr="00BC31E0">
        <w:rPr>
          <w:rFonts w:hint="eastAsia"/>
        </w:rPr>
        <w:t>：</w:t>
      </w:r>
      <w:r w:rsidR="00E24FD2" w:rsidRPr="00BC31E0">
        <w:rPr>
          <w:rFonts w:hint="eastAsia"/>
        </w:rPr>
        <w:t xml:space="preserve"> </w:t>
      </w:r>
      <w:r w:rsidR="00E24FD2" w:rsidRPr="00BC31E0">
        <w:rPr>
          <w:rFonts w:hint="eastAsia"/>
        </w:rPr>
        <w:t>円筒の外径</w:t>
      </w:r>
      <w:r w:rsidR="00E24FD2" w:rsidRPr="00BC31E0">
        <w:rPr>
          <w:rFonts w:hint="eastAsia"/>
        </w:rPr>
        <w:t>(</w:t>
      </w:r>
      <w:r w:rsidR="00E24FD2" w:rsidRPr="00BC31E0">
        <w:rPr>
          <w:rFonts w:ascii="Cambria Math" w:hAnsi="Cambria Math"/>
        </w:rPr>
        <w:t>mm</w:t>
      </w:r>
      <w:r w:rsidR="00E24FD2" w:rsidRPr="00BC31E0">
        <w:rPr>
          <w:rFonts w:hint="eastAsia"/>
        </w:rPr>
        <w:t>)</w:t>
      </w:r>
    </w:p>
    <w:p w14:paraId="5EC0403C" w14:textId="77777777" w:rsidR="00E24FD2" w:rsidRPr="00BC31E0" w:rsidRDefault="00E24FD2" w:rsidP="007609C0">
      <w:pPr>
        <w:tabs>
          <w:tab w:val="left" w:pos="1197"/>
        </w:tabs>
        <w:ind w:leftChars="400" w:left="840"/>
      </w:pPr>
      <m:oMath>
        <m:r>
          <w:rPr>
            <w:rFonts w:ascii="Cambria Math" w:hAnsi="Cambria Math"/>
          </w:rPr>
          <m:t>D</m:t>
        </m:r>
      </m:oMath>
      <w:r w:rsidRPr="00BC31E0">
        <w:rPr>
          <w:rFonts w:ascii="Times New Roman" w:hAnsi="Times New Roman" w:hint="eastAsia"/>
          <w:i/>
        </w:rPr>
        <w:tab/>
      </w:r>
      <w:r w:rsidRPr="00BC31E0">
        <w:rPr>
          <w:rFonts w:ascii="Times New Roman" w:hAnsi="Times New Roman" w:hint="eastAsia"/>
        </w:rPr>
        <w:t>：</w:t>
      </w:r>
      <w:r w:rsidRPr="00BC31E0">
        <w:rPr>
          <w:rFonts w:ascii="Times New Roman" w:hAnsi="Times New Roman" w:hint="eastAsia"/>
        </w:rPr>
        <w:t xml:space="preserve"> </w:t>
      </w:r>
      <w:r w:rsidRPr="00BC31E0">
        <w:rPr>
          <w:rFonts w:hint="eastAsia"/>
        </w:rPr>
        <w:t>円筒の任意位置における直径</w:t>
      </w:r>
      <w:r w:rsidRPr="00BC31E0">
        <w:rPr>
          <w:rFonts w:hint="eastAsia"/>
        </w:rPr>
        <w:t>(mm)</w:t>
      </w:r>
    </w:p>
    <w:p w14:paraId="106D2979" w14:textId="77777777" w:rsidR="00E24FD2" w:rsidRPr="00BC31E0" w:rsidRDefault="00E24FD2" w:rsidP="005D455D">
      <w:pPr>
        <w:spacing w:before="120"/>
        <w:ind w:firstLineChars="100" w:firstLine="210"/>
      </w:pPr>
      <w:r w:rsidRPr="00BC31E0">
        <w:rPr>
          <w:rFonts w:hint="eastAsia"/>
        </w:rPr>
        <w:t>円筒が閉止端の場合には，</w:t>
      </w:r>
      <w:r w:rsidRPr="00BC31E0">
        <w:rPr>
          <w:rFonts w:asciiTheme="majorEastAsia" w:eastAsiaTheme="majorEastAsia" w:hAnsiTheme="majorEastAsia" w:hint="eastAsia"/>
          <w:b/>
        </w:rPr>
        <w:t>式(16)</w:t>
      </w:r>
      <w:r w:rsidRPr="00BC31E0">
        <w:rPr>
          <w:rFonts w:hint="eastAsia"/>
        </w:rPr>
        <w:t>～</w:t>
      </w:r>
      <w:r w:rsidRPr="00BC31E0">
        <w:rPr>
          <w:rFonts w:asciiTheme="majorEastAsia" w:eastAsiaTheme="majorEastAsia" w:hAnsiTheme="majorEastAsia" w:hint="eastAsia"/>
          <w:b/>
        </w:rPr>
        <w:t>式(18)</w:t>
      </w:r>
      <w:r w:rsidRPr="00BC31E0">
        <w:rPr>
          <w:rFonts w:hint="eastAsia"/>
        </w:rPr>
        <w:t>から計算される相当応力</w:t>
      </w:r>
      <m:oMath>
        <m:r>
          <w:rPr>
            <w:rFonts w:ascii="Cambria Math" w:hAnsi="Cambria Math"/>
          </w:rPr>
          <m:t xml:space="preserve"> S </m:t>
        </m:r>
      </m:oMath>
      <w:r w:rsidRPr="00BC31E0">
        <w:rPr>
          <w:rFonts w:hint="eastAsia"/>
        </w:rPr>
        <w:t>は内面において最大となり，次式により計算する。</w:t>
      </w:r>
    </w:p>
    <w:tbl>
      <w:tblPr>
        <w:tblStyle w:val="afff2"/>
        <w:tblW w:w="0" w:type="auto"/>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3"/>
        <w:gridCol w:w="4454"/>
      </w:tblGrid>
      <w:tr w:rsidR="00E24FD2" w:rsidRPr="00BC31E0" w14:paraId="13119A0C" w14:textId="77777777" w:rsidTr="004736F2">
        <w:tc>
          <w:tcPr>
            <w:tcW w:w="0" w:type="auto"/>
            <w:tcMar>
              <w:left w:w="0" w:type="dxa"/>
              <w:right w:w="0" w:type="dxa"/>
            </w:tcMar>
            <w:vAlign w:val="center"/>
          </w:tcPr>
          <w:p w14:paraId="46DCBB1B" w14:textId="77777777" w:rsidR="00E24FD2" w:rsidRPr="00BC31E0" w:rsidRDefault="00E24FD2" w:rsidP="005D455D">
            <w:pPr>
              <w:rPr>
                <w:rFonts w:eastAsia="ＭＳ Ｐ明朝"/>
              </w:rPr>
            </w:pPr>
            <m:oMathPara>
              <m:oMathParaPr>
                <m:jc m:val="left"/>
              </m:oMathParaPr>
              <m:oMath>
                <m:r>
                  <w:rPr>
                    <w:rFonts w:ascii="Cambria Math" w:hAnsi="Cambria Math"/>
                  </w:rPr>
                  <m:t>S</m:t>
                </m:r>
                <m:r>
                  <m:rPr>
                    <m:sty m:val="p"/>
                  </m:rPr>
                  <w:rPr>
                    <w:rFonts w:ascii="Cambria Math" w:hAnsi="Cambria Math"/>
                  </w:rPr>
                  <m:t>=</m:t>
                </m:r>
                <m:r>
                  <w:rPr>
                    <w:rFonts w:ascii="Cambria Math" w:hAnsi="Cambria Math"/>
                  </w:rPr>
                  <m:t>P</m:t>
                </m:r>
                <m:r>
                  <m:rPr>
                    <m:sty m:val="p"/>
                  </m:rPr>
                  <w:rPr>
                    <w:rFonts w:ascii="Cambria Math" w:hAnsi="Cambria Math" w:hint="eastAsia"/>
                  </w:rPr>
                  <m:t xml:space="preserve"> </m:t>
                </m:r>
                <m:f>
                  <m:fPr>
                    <m:ctrlPr>
                      <w:rPr>
                        <w:rFonts w:ascii="Cambria Math" w:hAnsi="Cambria Math"/>
                      </w:rPr>
                    </m:ctrlPr>
                  </m:fPr>
                  <m:num>
                    <m:rad>
                      <m:radPr>
                        <m:degHide m:val="1"/>
                        <m:ctrlPr>
                          <w:rPr>
                            <w:rFonts w:ascii="Cambria Math" w:eastAsia="ＭＳ Ｐ明朝" w:hAnsi="Cambria Math"/>
                            <w:szCs w:val="24"/>
                          </w:rPr>
                        </m:ctrlPr>
                      </m:radPr>
                      <m:deg/>
                      <m:e>
                        <m:r>
                          <m:rPr>
                            <m:sty m:val="p"/>
                          </m:rPr>
                          <w:rPr>
                            <w:rFonts w:ascii="Cambria Math" w:hAnsi="Cambria Math" w:hint="eastAsia"/>
                          </w:rPr>
                          <m:t>3</m:t>
                        </m:r>
                      </m:e>
                    </m:rad>
                    <m:r>
                      <m:rPr>
                        <m:sty m:val="p"/>
                      </m:rPr>
                      <w:rPr>
                        <w:rFonts w:ascii="Cambria Math" w:hAnsi="Cambria Math" w:hint="eastAsia"/>
                      </w:rPr>
                      <m:t xml:space="preserve"> </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num>
                  <m:den>
                    <m:sSup>
                      <m:sSupPr>
                        <m:ctrlPr>
                          <w:rPr>
                            <w:rFonts w:ascii="Cambria Math" w:hAnsi="Cambria Math"/>
                          </w:rPr>
                        </m:ctrlPr>
                      </m:sSupPr>
                      <m:e>
                        <m:r>
                          <w:rPr>
                            <w:rFonts w:ascii="Cambria Math" w:hAnsi="Cambria Math"/>
                          </w:rPr>
                          <m:t>Y</m:t>
                        </m:r>
                      </m:e>
                      <m:sup>
                        <m:r>
                          <m:rPr>
                            <m:sty m:val="p"/>
                          </m:rPr>
                          <w:rPr>
                            <w:rFonts w:ascii="Cambria Math" w:hAnsi="Cambria Math"/>
                          </w:rPr>
                          <m:t>2</m:t>
                        </m:r>
                      </m:sup>
                    </m:sSup>
                    <m:r>
                      <m:rPr>
                        <m:sty m:val="p"/>
                      </m:rPr>
                      <w:rPr>
                        <w:rFonts w:ascii="Cambria Math" w:hAnsi="Cambria Math"/>
                      </w:rPr>
                      <m:t>-1</m:t>
                    </m:r>
                  </m:den>
                </m:f>
              </m:oMath>
            </m:oMathPara>
          </w:p>
        </w:tc>
        <w:tc>
          <w:tcPr>
            <w:tcW w:w="4454" w:type="dxa"/>
            <w:tcMar>
              <w:left w:w="0" w:type="dxa"/>
              <w:right w:w="0" w:type="dxa"/>
            </w:tcMar>
            <w:vAlign w:val="center"/>
          </w:tcPr>
          <w:p w14:paraId="1D02E4D6" w14:textId="77777777" w:rsidR="00E24FD2" w:rsidRPr="00BC31E0" w:rsidRDefault="00E24FD2" w:rsidP="005D455D">
            <w:pPr>
              <w:tabs>
                <w:tab w:val="left" w:leader="middleDot" w:pos="3900"/>
              </w:tabs>
              <w:rPr>
                <w:rFonts w:asciiTheme="minorHAnsi" w:hAnsiTheme="minorHAnsi"/>
              </w:rPr>
            </w:pPr>
            <w:r w:rsidRPr="00BC31E0">
              <w:rPr>
                <w:rFonts w:asciiTheme="minorHAnsi" w:hAnsiTheme="minorHAnsi"/>
              </w:rPr>
              <w:tab/>
              <w:t>(</w:t>
            </w:r>
            <w:r w:rsidRPr="00BC31E0">
              <w:rPr>
                <w:rFonts w:asciiTheme="minorHAnsi" w:hAnsiTheme="minorHAnsi" w:hint="eastAsia"/>
              </w:rPr>
              <w:t>19</w:t>
            </w:r>
            <w:r w:rsidRPr="00BC31E0">
              <w:rPr>
                <w:rFonts w:asciiTheme="minorHAnsi" w:hAnsiTheme="minorHAnsi"/>
              </w:rPr>
              <w:t>)</w:t>
            </w:r>
          </w:p>
        </w:tc>
      </w:tr>
    </w:tbl>
    <w:p w14:paraId="254F6998" w14:textId="77777777" w:rsidR="00E24FD2" w:rsidRPr="00BC31E0" w:rsidRDefault="00E24FD2" w:rsidP="005D455D">
      <w:pPr>
        <w:spacing w:before="120"/>
        <w:ind w:firstLineChars="100" w:firstLine="210"/>
        <w:rPr>
          <w:rFonts w:asciiTheme="minorEastAsia" w:eastAsiaTheme="minorEastAsia" w:hAnsiTheme="minorEastAsia"/>
        </w:rPr>
      </w:pPr>
      <w:r w:rsidRPr="00BC31E0">
        <w:rPr>
          <w:rFonts w:asciiTheme="minorEastAsia" w:eastAsiaTheme="minorEastAsia" w:hAnsiTheme="minorEastAsia" w:hint="eastAsia"/>
        </w:rPr>
        <w:t>円筒が開口端の場合には，</w:t>
      </w:r>
      <m:oMath>
        <m:sSub>
          <m:sSubPr>
            <m:ctrlPr>
              <w:rPr>
                <w:rFonts w:ascii="Cambria Math" w:hAnsi="Cambria Math"/>
                <w:i/>
              </w:rPr>
            </m:ctrlPr>
          </m:sSubPr>
          <m:e>
            <m:r>
              <w:rPr>
                <w:rFonts w:ascii="Cambria Math" w:hAnsi="Cambria Math"/>
              </w:rPr>
              <m:t>σ</m:t>
            </m:r>
          </m:e>
          <m:sub>
            <m:r>
              <w:rPr>
                <w:rFonts w:ascii="Cambria Math" w:hAnsi="Cambria Math"/>
              </w:rPr>
              <m:t>l</m:t>
            </m:r>
          </m:sub>
        </m:sSub>
        <m:r>
          <w:rPr>
            <w:rFonts w:ascii="Cambria Math" w:hAnsi="Cambria Math"/>
          </w:rPr>
          <m:t>=0</m:t>
        </m:r>
        <m:r>
          <m:rPr>
            <m:sty m:val="p"/>
          </m:rPr>
          <w:rPr>
            <w:rFonts w:ascii="Cambria Math" w:eastAsiaTheme="minorEastAsia" w:hAnsi="Cambria Math"/>
          </w:rPr>
          <m:t xml:space="preserve"> </m:t>
        </m:r>
      </m:oMath>
      <w:r w:rsidRPr="00BC31E0">
        <w:rPr>
          <w:rFonts w:asciiTheme="minorEastAsia" w:eastAsiaTheme="minorEastAsia" w:hAnsiTheme="minorEastAsia" w:hint="eastAsia"/>
        </w:rPr>
        <w:t>として</w:t>
      </w:r>
      <w:r w:rsidRPr="00BC31E0">
        <w:rPr>
          <w:rFonts w:hint="eastAsia"/>
        </w:rPr>
        <w:t>計算される相当</w:t>
      </w:r>
      <w:r w:rsidRPr="00BC31E0">
        <w:rPr>
          <w:rFonts w:asciiTheme="minorEastAsia" w:eastAsiaTheme="minorEastAsia" w:hAnsiTheme="minorEastAsia" w:hint="eastAsia"/>
        </w:rPr>
        <w:t>応力</w:t>
      </w:r>
      <m:oMath>
        <m:r>
          <m:rPr>
            <m:sty m:val="p"/>
          </m:rPr>
          <w:rPr>
            <w:rFonts w:ascii="Cambria Math" w:eastAsiaTheme="minorEastAsia" w:hAnsi="Cambria Math"/>
          </w:rPr>
          <m:t xml:space="preserve"> </m:t>
        </m:r>
        <m:r>
          <w:rPr>
            <w:rFonts w:ascii="Cambria Math" w:hAnsi="Cambria Math" w:hint="eastAsia"/>
          </w:rPr>
          <m:t>S</m:t>
        </m:r>
        <m:r>
          <w:rPr>
            <w:rFonts w:ascii="Cambria Math" w:hAnsi="Cambria Math"/>
          </w:rPr>
          <m:t xml:space="preserve"> </m:t>
        </m:r>
      </m:oMath>
      <w:r w:rsidRPr="00BC31E0">
        <w:rPr>
          <w:rFonts w:asciiTheme="minorEastAsia" w:eastAsiaTheme="minorEastAsia" w:hAnsiTheme="minorEastAsia" w:hint="eastAsia"/>
        </w:rPr>
        <w:t>は内面において最大となり，次式により計算する。</w:t>
      </w:r>
    </w:p>
    <w:tbl>
      <w:tblPr>
        <w:tblStyle w:val="afff2"/>
        <w:tblW w:w="5670" w:type="dxa"/>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4"/>
        <w:gridCol w:w="4166"/>
      </w:tblGrid>
      <w:tr w:rsidR="00E24FD2" w:rsidRPr="00BC31E0" w14:paraId="12412E8E" w14:textId="77777777" w:rsidTr="004736F2">
        <w:tc>
          <w:tcPr>
            <w:tcW w:w="0" w:type="auto"/>
            <w:tcMar>
              <w:left w:w="0" w:type="dxa"/>
              <w:right w:w="0" w:type="dxa"/>
            </w:tcMar>
            <w:vAlign w:val="center"/>
          </w:tcPr>
          <w:p w14:paraId="7292BEA3" w14:textId="77777777" w:rsidR="00E24FD2" w:rsidRPr="00BC31E0" w:rsidRDefault="00E24FD2" w:rsidP="005D455D">
            <w:pPr>
              <w:rPr>
                <w:rFonts w:eastAsia="ＭＳ Ｐ明朝"/>
                <w:i/>
              </w:rPr>
            </w:pPr>
            <m:oMathPara>
              <m:oMathParaPr>
                <m:jc m:val="left"/>
              </m:oMathParaPr>
              <m:oMath>
                <m:r>
                  <w:rPr>
                    <w:rFonts w:ascii="Cambria Math" w:hAnsi="Cambria Math"/>
                  </w:rPr>
                  <m:t>S=</m:t>
                </m:r>
                <m:r>
                  <w:rPr>
                    <w:rFonts w:ascii="Cambria Math" w:eastAsiaTheme="minorEastAsia" w:hAnsiTheme="minorEastAsia"/>
                  </w:rPr>
                  <m:t xml:space="preserve">P </m:t>
                </m:r>
                <m:f>
                  <m:fPr>
                    <m:ctrlPr>
                      <w:rPr>
                        <w:rFonts w:ascii="Cambria Math" w:eastAsiaTheme="minorEastAsia" w:hAnsiTheme="minorEastAsia"/>
                        <w:i/>
                      </w:rPr>
                    </m:ctrlPr>
                  </m:fPr>
                  <m:num>
                    <m:rad>
                      <m:radPr>
                        <m:degHide m:val="1"/>
                        <m:ctrlPr>
                          <w:rPr>
                            <w:rFonts w:ascii="Cambria Math" w:eastAsiaTheme="minorEastAsia" w:hAnsiTheme="minorEastAsia"/>
                            <w:i/>
                          </w:rPr>
                        </m:ctrlPr>
                      </m:radPr>
                      <m:deg/>
                      <m:e>
                        <m:r>
                          <w:rPr>
                            <w:rFonts w:ascii="Cambria Math" w:eastAsiaTheme="minorEastAsia" w:hAnsiTheme="minorEastAsia"/>
                          </w:rPr>
                          <m:t>1+3</m:t>
                        </m:r>
                        <m:r>
                          <w:rPr>
                            <w:rFonts w:ascii="Cambria Math" w:eastAsiaTheme="minorEastAsia" w:hAnsiTheme="minorEastAsia" w:hint="eastAsia"/>
                          </w:rPr>
                          <m:t xml:space="preserve"> </m:t>
                        </m:r>
                        <m:sSup>
                          <m:sSupPr>
                            <m:ctrlPr>
                              <w:rPr>
                                <w:rFonts w:ascii="Cambria Math" w:eastAsiaTheme="minorEastAsia" w:hAnsiTheme="minorEastAsia"/>
                                <w:i/>
                              </w:rPr>
                            </m:ctrlPr>
                          </m:sSupPr>
                          <m:e>
                            <m:r>
                              <w:rPr>
                                <w:rFonts w:ascii="Cambria Math" w:eastAsiaTheme="minorEastAsia" w:hAnsi="Cambria Math"/>
                              </w:rPr>
                              <m:t>Y</m:t>
                            </m:r>
                          </m:e>
                          <m:sup>
                            <m:r>
                              <w:rPr>
                                <w:rFonts w:ascii="Cambria Math" w:eastAsiaTheme="minorEastAsia" w:hAnsiTheme="minorEastAsia"/>
                              </w:rPr>
                              <m:t>4</m:t>
                            </m:r>
                          </m:sup>
                        </m:sSup>
                      </m:e>
                    </m:rad>
                  </m:num>
                  <m:den>
                    <m:sSup>
                      <m:sSupPr>
                        <m:ctrlPr>
                          <w:rPr>
                            <w:rFonts w:ascii="Cambria Math" w:eastAsiaTheme="minorEastAsia" w:hAnsiTheme="minorEastAsia"/>
                            <w:i/>
                          </w:rPr>
                        </m:ctrlPr>
                      </m:sSupPr>
                      <m:e>
                        <m:r>
                          <w:rPr>
                            <w:rFonts w:ascii="Cambria Math" w:eastAsiaTheme="minorEastAsia" w:hAnsi="Cambria Math"/>
                          </w:rPr>
                          <m:t>Y</m:t>
                        </m:r>
                      </m:e>
                      <m:sup>
                        <m:r>
                          <w:rPr>
                            <w:rFonts w:ascii="Cambria Math" w:eastAsiaTheme="minorEastAsia" w:hAnsiTheme="minorEastAsia"/>
                          </w:rPr>
                          <m:t>2</m:t>
                        </m:r>
                      </m:sup>
                    </m:sSup>
                    <m:r>
                      <w:rPr>
                        <w:rFonts w:ascii="Cambria Math" w:eastAsiaTheme="minorEastAsia" w:hAnsi="Cambria Math"/>
                      </w:rPr>
                      <m:t>-</m:t>
                    </m:r>
                    <m:r>
                      <w:rPr>
                        <w:rFonts w:ascii="Cambria Math" w:eastAsiaTheme="minorEastAsia" w:hAnsiTheme="minorEastAsia"/>
                      </w:rPr>
                      <m:t>1</m:t>
                    </m:r>
                  </m:den>
                </m:f>
              </m:oMath>
            </m:oMathPara>
          </w:p>
        </w:tc>
        <w:tc>
          <w:tcPr>
            <w:tcW w:w="4166" w:type="dxa"/>
            <w:tcMar>
              <w:left w:w="0" w:type="dxa"/>
              <w:right w:w="0" w:type="dxa"/>
            </w:tcMar>
            <w:vAlign w:val="center"/>
          </w:tcPr>
          <w:p w14:paraId="02A86BEE" w14:textId="77777777" w:rsidR="00E24FD2" w:rsidRPr="00BC31E0" w:rsidRDefault="00E24FD2" w:rsidP="005D455D">
            <w:pPr>
              <w:tabs>
                <w:tab w:val="left" w:leader="middleDot" w:pos="3599"/>
              </w:tabs>
              <w:rPr>
                <w:rFonts w:asciiTheme="minorHAnsi" w:hAnsiTheme="minorHAnsi"/>
              </w:rPr>
            </w:pPr>
            <w:r w:rsidRPr="00BC31E0">
              <w:rPr>
                <w:rFonts w:asciiTheme="minorHAnsi" w:hAnsiTheme="minorHAnsi"/>
              </w:rPr>
              <w:tab/>
              <w:t>(</w:t>
            </w:r>
            <w:r w:rsidRPr="00BC31E0">
              <w:rPr>
                <w:rFonts w:asciiTheme="minorHAnsi" w:hAnsiTheme="minorHAnsi" w:hint="eastAsia"/>
              </w:rPr>
              <w:t>20</w:t>
            </w:r>
            <w:r w:rsidRPr="00BC31E0">
              <w:rPr>
                <w:rFonts w:asciiTheme="minorHAnsi" w:hAnsiTheme="minorHAnsi"/>
              </w:rPr>
              <w:t>)</w:t>
            </w:r>
          </w:p>
        </w:tc>
      </w:tr>
    </w:tbl>
    <w:p w14:paraId="69A3ADB1" w14:textId="77777777" w:rsidR="000977D2" w:rsidRPr="00BC31E0" w:rsidRDefault="000977D2" w:rsidP="005D455D">
      <w:pPr>
        <w:widowControl/>
        <w:pBdr>
          <w:bottom w:val="single" w:sz="6" w:space="1" w:color="auto"/>
        </w:pBdr>
        <w:jc w:val="left"/>
      </w:pPr>
    </w:p>
    <w:p w14:paraId="474B414F" w14:textId="77777777" w:rsidR="000977D2" w:rsidRPr="00BC31E0" w:rsidRDefault="000977D2" w:rsidP="005D455D">
      <w:pPr>
        <w:widowControl/>
        <w:jc w:val="left"/>
        <w:rPr>
          <w:rFonts w:asciiTheme="majorEastAsia" w:eastAsiaTheme="majorEastAsia" w:hAnsiTheme="majorEastAsia"/>
          <w:b/>
        </w:rPr>
      </w:pPr>
      <w:r w:rsidRPr="00BC31E0">
        <w:rPr>
          <w:rFonts w:asciiTheme="majorEastAsia" w:eastAsiaTheme="majorEastAsia" w:hAnsiTheme="majorEastAsia" w:hint="eastAsia"/>
          <w:b/>
        </w:rPr>
        <w:t>参考文献</w:t>
      </w:r>
    </w:p>
    <w:p w14:paraId="2D153DA8" w14:textId="77777777" w:rsidR="000977D2" w:rsidRPr="00BC31E0" w:rsidRDefault="006A7E63" w:rsidP="00210E18">
      <w:pPr>
        <w:pStyle w:val="a4"/>
        <w:widowControl/>
        <w:numPr>
          <w:ilvl w:val="0"/>
          <w:numId w:val="648"/>
        </w:numPr>
        <w:ind w:leftChars="0" w:left="454" w:hanging="454"/>
        <w:jc w:val="left"/>
        <w:rPr>
          <w:rFonts w:asciiTheme="minorHAnsi" w:eastAsiaTheme="minorEastAsia" w:hAnsiTheme="minorHAnsi"/>
        </w:rPr>
      </w:pPr>
      <w:r w:rsidRPr="00BC31E0">
        <w:rPr>
          <w:rFonts w:asciiTheme="minorHAnsi" w:eastAsiaTheme="minorEastAsia" w:hAnsiTheme="minorEastAsia"/>
        </w:rPr>
        <w:t>日本機械学会，発電用原子力設備規格　設計・建設規格　第</w:t>
      </w:r>
      <w:r w:rsidRPr="00BC31E0">
        <w:rPr>
          <w:rFonts w:asciiTheme="minorHAnsi" w:eastAsiaTheme="minorEastAsia" w:hAnsiTheme="minorHAnsi"/>
        </w:rPr>
        <w:t>I</w:t>
      </w:r>
      <w:r w:rsidRPr="00BC31E0">
        <w:rPr>
          <w:rFonts w:asciiTheme="minorHAnsi" w:eastAsiaTheme="minorEastAsia" w:hAnsiTheme="minorEastAsia"/>
        </w:rPr>
        <w:t>編　軽水炉規格，</w:t>
      </w:r>
      <w:r w:rsidRPr="00BC31E0">
        <w:rPr>
          <w:rFonts w:asciiTheme="minorHAnsi" w:eastAsiaTheme="minorEastAsia" w:hAnsiTheme="minorHAnsi"/>
        </w:rPr>
        <w:t>JSME S NC1-2020</w:t>
      </w:r>
      <w:r w:rsidR="0000129D" w:rsidRPr="00BC31E0">
        <w:rPr>
          <w:rFonts w:asciiTheme="minorHAnsi" w:eastAsiaTheme="minorEastAsia" w:hAnsiTheme="minorEastAsia"/>
        </w:rPr>
        <w:t>，</w:t>
      </w:r>
      <w:r w:rsidR="0000129D" w:rsidRPr="00BC31E0">
        <w:rPr>
          <w:rFonts w:asciiTheme="minorHAnsi" w:eastAsiaTheme="minorEastAsia" w:hAnsiTheme="minorHAnsi"/>
        </w:rPr>
        <w:t>(2020)</w:t>
      </w:r>
    </w:p>
    <w:p w14:paraId="22EB1439" w14:textId="77777777" w:rsidR="006A7E63" w:rsidRPr="00BC31E0" w:rsidRDefault="006A7E63" w:rsidP="006A7E63">
      <w:pPr>
        <w:widowControl/>
        <w:jc w:val="left"/>
      </w:pPr>
    </w:p>
    <w:p w14:paraId="2F739F68" w14:textId="77777777" w:rsidR="005D455D" w:rsidRPr="00BC31E0" w:rsidRDefault="005D455D" w:rsidP="005D455D">
      <w:pPr>
        <w:widowControl/>
        <w:jc w:val="left"/>
        <w:rPr>
          <w:rFonts w:ascii="ＭＳ ゴシック" w:eastAsia="ＭＳ ゴシック"/>
          <w:b/>
          <w:sz w:val="24"/>
          <w:szCs w:val="20"/>
        </w:rPr>
      </w:pPr>
      <w:r w:rsidRPr="00BC31E0">
        <w:br w:type="page"/>
      </w:r>
    </w:p>
    <w:p w14:paraId="01B72450" w14:textId="77777777" w:rsidR="00AA1927" w:rsidRPr="00BC31E0" w:rsidRDefault="00AA1927" w:rsidP="00422E69">
      <w:pPr>
        <w:pStyle w:val="afff3"/>
        <w:sectPr w:rsidR="00AA1927" w:rsidRPr="00BC31E0" w:rsidSect="007609C0">
          <w:pgSz w:w="11906" w:h="16838" w:code="9"/>
          <w:pgMar w:top="1701" w:right="1418" w:bottom="1418" w:left="1418" w:header="720" w:footer="720" w:gutter="0"/>
          <w:cols w:space="425"/>
          <w:docGrid w:type="lines" w:linePitch="360"/>
        </w:sectPr>
      </w:pPr>
    </w:p>
    <w:p w14:paraId="69F8C822" w14:textId="77777777" w:rsidR="00A40784" w:rsidRPr="00BC31E0" w:rsidRDefault="00A40784" w:rsidP="001376A3">
      <w:pPr>
        <w:pStyle w:val="afff3"/>
        <w:spacing w:line="240" w:lineRule="auto"/>
      </w:pPr>
      <w:bookmarkStart w:id="172" w:name="_Toc120092571"/>
      <w:r w:rsidRPr="00BC31E0">
        <w:rPr>
          <w:rFonts w:hint="eastAsia"/>
        </w:rPr>
        <w:lastRenderedPageBreak/>
        <w:t>附属書K</w:t>
      </w:r>
      <w:r w:rsidRPr="00BC31E0">
        <w:rPr>
          <w:rFonts w:hAnsi="ＭＳ ゴシック" w:hint="eastAsia"/>
        </w:rPr>
        <w:t>(規定)</w:t>
      </w:r>
      <w:r w:rsidRPr="00BC31E0">
        <w:rPr>
          <w:rFonts w:hint="eastAsia"/>
        </w:rPr>
        <w:t xml:space="preserve">　アルミニウム合金の切欠き引張試験方法</w:t>
      </w:r>
      <w:bookmarkEnd w:id="172"/>
    </w:p>
    <w:p w14:paraId="0822AD9A" w14:textId="77777777" w:rsidR="00A40784" w:rsidRPr="00BC31E0" w:rsidRDefault="00A40784" w:rsidP="001376A3">
      <w:pPr>
        <w:pStyle w:val="afb"/>
        <w:spacing w:line="240" w:lineRule="auto"/>
      </w:pPr>
      <w:r w:rsidRPr="00BC31E0">
        <w:rPr>
          <w:rFonts w:hint="eastAsia"/>
        </w:rPr>
        <w:t>序文</w:t>
      </w:r>
    </w:p>
    <w:p w14:paraId="356AB0FB" w14:textId="77777777" w:rsidR="00A40784" w:rsidRPr="00BC31E0" w:rsidRDefault="00A40784" w:rsidP="001376A3">
      <w:pPr>
        <w:pStyle w:val="15"/>
        <w:ind w:firstLine="210"/>
      </w:pPr>
      <w:r w:rsidRPr="00BC31E0">
        <w:rPr>
          <w:rFonts w:hint="eastAsia"/>
        </w:rPr>
        <w:t>この附属書は，アルミニウム合金</w:t>
      </w:r>
      <w:r w:rsidRPr="00BC31E0">
        <w:rPr>
          <w:rFonts w:hint="eastAsia"/>
        </w:rPr>
        <w:t xml:space="preserve">UNS No. A96061 </w:t>
      </w:r>
      <w:r w:rsidRPr="00BC31E0">
        <w:rPr>
          <w:rFonts w:hint="eastAsia"/>
        </w:rPr>
        <w:t>調質</w:t>
      </w:r>
      <w:r w:rsidRPr="00BC31E0">
        <w:rPr>
          <w:rFonts w:hint="eastAsia"/>
        </w:rPr>
        <w:t>T6</w:t>
      </w:r>
      <w:r w:rsidRPr="00BC31E0">
        <w:rPr>
          <w:rFonts w:hint="eastAsia"/>
        </w:rPr>
        <w:t>又は</w:t>
      </w:r>
      <w:r w:rsidRPr="00BC31E0">
        <w:rPr>
          <w:rFonts w:hint="eastAsia"/>
        </w:rPr>
        <w:t>T651</w:t>
      </w:r>
      <w:r w:rsidRPr="00BC31E0">
        <w:rPr>
          <w:rFonts w:hint="eastAsia"/>
        </w:rPr>
        <w:t>の切欠き引張試験方法について規定する。</w:t>
      </w:r>
    </w:p>
    <w:p w14:paraId="59146453" w14:textId="77777777" w:rsidR="00A40784" w:rsidRPr="00BC31E0" w:rsidRDefault="00A40784" w:rsidP="001376A3">
      <w:pPr>
        <w:autoSpaceDE w:val="0"/>
        <w:autoSpaceDN w:val="0"/>
        <w:rPr>
          <w:b/>
          <w:bCs/>
        </w:rPr>
      </w:pPr>
    </w:p>
    <w:p w14:paraId="7E59A781" w14:textId="77777777" w:rsidR="00A40784" w:rsidRPr="00BC31E0" w:rsidRDefault="00A40784" w:rsidP="00736130">
      <w:pPr>
        <w:pStyle w:val="13"/>
        <w:numPr>
          <w:ilvl w:val="0"/>
          <w:numId w:val="250"/>
        </w:numPr>
        <w:adjustRightInd/>
        <w:snapToGrid/>
        <w:spacing w:line="240" w:lineRule="auto"/>
        <w:ind w:left="340" w:hanging="340"/>
      </w:pPr>
      <w:r w:rsidRPr="00BC31E0">
        <w:rPr>
          <w:rFonts w:hint="eastAsia"/>
        </w:rPr>
        <w:t>薄板による試験方法</w:t>
      </w:r>
    </w:p>
    <w:p w14:paraId="507BFA85" w14:textId="77777777" w:rsidR="00A40784" w:rsidRPr="00BC31E0" w:rsidRDefault="00A40784" w:rsidP="00134F9D">
      <w:pPr>
        <w:pStyle w:val="110"/>
        <w:spacing w:line="240" w:lineRule="auto"/>
        <w:ind w:left="567" w:hanging="567"/>
      </w:pPr>
      <w:r w:rsidRPr="00BC31E0">
        <w:rPr>
          <w:rFonts w:hint="eastAsia"/>
        </w:rPr>
        <w:t>適用範囲</w:t>
      </w:r>
    </w:p>
    <w:p w14:paraId="3F46A77E" w14:textId="77777777" w:rsidR="00A40784" w:rsidRPr="00BC31E0" w:rsidRDefault="00A40784" w:rsidP="001376A3">
      <w:pPr>
        <w:pStyle w:val="113"/>
        <w:ind w:firstLine="210"/>
      </w:pPr>
      <w:r w:rsidRPr="00BC31E0">
        <w:t xml:space="preserve">　本試験方法は薄板の応力集中又は亀裂を起点とする不安定破壊への抵抗性の比較測定を取扱う。特に連続的に増加する力による破壊に関連し，クリープ又は疲労を発生させる力を適用する条件は除外する。測定される物理量は特定の寸法を有する試験片の切欠き引張強さであり，この値は材料特性と同様に試験片寸法に依存する。また，切欠き引張強さと降伏強さ</w:t>
      </w:r>
      <w:r w:rsidRPr="00BC31E0">
        <w:t>(</w:t>
      </w:r>
      <w:r w:rsidRPr="00BC31E0">
        <w:t>この附属書では，平滑試験片の降伏点又は</w:t>
      </w:r>
      <w:r w:rsidRPr="00BC31E0">
        <w:t>0.2%</w:t>
      </w:r>
      <w:r w:rsidRPr="00BC31E0">
        <w:t>耐力</w:t>
      </w:r>
      <w:r w:rsidRPr="00BC31E0">
        <w:t>)</w:t>
      </w:r>
      <w:r w:rsidRPr="00BC31E0">
        <w:t>の比も決まる。</w:t>
      </w:r>
    </w:p>
    <w:p w14:paraId="14946B30" w14:textId="77777777" w:rsidR="00A40784" w:rsidRPr="00BC31E0" w:rsidRDefault="00A40784" w:rsidP="001376A3">
      <w:pPr>
        <w:pStyle w:val="113"/>
        <w:ind w:firstLine="210"/>
      </w:pPr>
      <w:r w:rsidRPr="00BC31E0">
        <w:t xml:space="preserve">　本試験方法は一般的に</w:t>
      </w:r>
      <w:r w:rsidR="00677BE8" w:rsidRPr="00BC31E0">
        <w:rPr>
          <w:rFonts w:hint="eastAsia"/>
        </w:rPr>
        <w:t>，</w:t>
      </w:r>
      <w:r w:rsidRPr="00BC31E0">
        <w:t>高強度材料</w:t>
      </w:r>
      <w:r w:rsidR="0053532B" w:rsidRPr="00BC31E0">
        <w:rPr>
          <w:rFonts w:hint="eastAsia"/>
        </w:rPr>
        <w:t>[</w:t>
      </w:r>
      <w:r w:rsidRPr="00BC31E0">
        <w:t>降伏強さと密度の比が</w:t>
      </w:r>
      <w:r w:rsidRPr="00BC31E0">
        <w:t>176.4 MPa</w:t>
      </w:r>
      <w:r w:rsidR="009475CA" w:rsidRPr="00BC31E0">
        <w:rPr>
          <w:rFonts w:hint="eastAsia"/>
        </w:rPr>
        <w:t xml:space="preserve"> </w:t>
      </w:r>
      <w:r w:rsidRPr="00BC31E0">
        <w:t>/</w:t>
      </w:r>
      <w:r w:rsidR="009475CA" w:rsidRPr="00BC31E0">
        <w:rPr>
          <w:rFonts w:hint="eastAsia"/>
        </w:rPr>
        <w:t xml:space="preserve"> </w:t>
      </w:r>
      <w:r w:rsidRPr="00BC31E0">
        <w:t>(g/cm</w:t>
      </w:r>
      <w:r w:rsidRPr="00BC31E0">
        <w:rPr>
          <w:vertAlign w:val="superscript"/>
        </w:rPr>
        <w:t>3</w:t>
      </w:r>
      <w:r w:rsidRPr="00BC31E0">
        <w:t>)</w:t>
      </w:r>
      <w:r w:rsidRPr="00BC31E0">
        <w:t>を超える</w:t>
      </w:r>
      <w:r w:rsidR="00803551" w:rsidRPr="00BC31E0">
        <w:rPr>
          <w:rFonts w:hint="eastAsia"/>
        </w:rPr>
        <w:t>材料</w:t>
      </w:r>
      <w:r w:rsidR="0053532B" w:rsidRPr="00BC31E0">
        <w:rPr>
          <w:rFonts w:hint="eastAsia"/>
        </w:rPr>
        <w:t>]</w:t>
      </w:r>
      <w:r w:rsidRPr="00BC31E0">
        <w:t>の評価に適する</w:t>
      </w:r>
      <w:r w:rsidR="00677BE8" w:rsidRPr="00BC31E0">
        <w:rPr>
          <w:rFonts w:hint="eastAsia"/>
        </w:rPr>
        <w:t>一つ</w:t>
      </w:r>
      <w:r w:rsidRPr="00BC31E0">
        <w:t>の試験片幅に</w:t>
      </w:r>
      <w:r w:rsidRPr="00BC31E0">
        <w:rPr>
          <w:rFonts w:hint="eastAsia"/>
        </w:rPr>
        <w:t>限定</w:t>
      </w:r>
      <w:r w:rsidRPr="00BC31E0">
        <w:t>される。切欠き引張強さが降伏強さを下回る場合には，不安定破壊の可能性がある。切欠き引張強さと降伏強さの比が減少すると共に，不安定破壊の可能性が増大する。</w:t>
      </w:r>
    </w:p>
    <w:p w14:paraId="1CE0BED2" w14:textId="77777777" w:rsidR="00A40784" w:rsidRPr="00BC31E0" w:rsidRDefault="00A40784" w:rsidP="001376A3">
      <w:pPr>
        <w:pStyle w:val="113"/>
        <w:ind w:firstLine="210"/>
      </w:pPr>
      <w:r w:rsidRPr="00BC31E0">
        <w:t>本試験方法は，厚さが</w:t>
      </w:r>
      <w:r w:rsidRPr="00BC31E0">
        <w:t>0.64 mm</w:t>
      </w:r>
      <w:r w:rsidRPr="00BC31E0">
        <w:t>以上</w:t>
      </w:r>
      <w:r w:rsidRPr="00BC31E0">
        <w:t>6 mm</w:t>
      </w:r>
      <w:r w:rsidRPr="00BC31E0">
        <w:t>未満の薄板に限定される。切欠き引張強さは薄板の厚さに依存するため，種々の材料条件の比較は同一の公称厚さを有する試験片による試験に基づ</w:t>
      </w:r>
      <w:r w:rsidR="001D1DC4" w:rsidRPr="00BC31E0">
        <w:rPr>
          <w:rFonts w:hint="eastAsia"/>
        </w:rPr>
        <w:t>か</w:t>
      </w:r>
      <w:r w:rsidRPr="00BC31E0">
        <w:t>なければならない。</w:t>
      </w:r>
    </w:p>
    <w:p w14:paraId="75054279" w14:textId="77777777" w:rsidR="00A40784" w:rsidRPr="00BC31E0" w:rsidRDefault="00A40784" w:rsidP="001376A3">
      <w:pPr>
        <w:pStyle w:val="113"/>
        <w:ind w:firstLine="210"/>
      </w:pPr>
      <w:r w:rsidRPr="00BC31E0">
        <w:t>切欠き引張強さは，材料特性による一定の範囲内の温度に強く依存する。本試験方法は</w:t>
      </w:r>
      <w:r w:rsidR="005971AC" w:rsidRPr="00BC31E0">
        <w:rPr>
          <w:rFonts w:hint="eastAsia"/>
        </w:rPr>
        <w:t>，</w:t>
      </w:r>
      <w:r w:rsidRPr="00BC31E0">
        <w:t>任意の適切な温度における試験に適する。種々の材料条件の比較は</w:t>
      </w:r>
      <w:r w:rsidR="001D1DC4" w:rsidRPr="00BC31E0">
        <w:rPr>
          <w:rFonts w:hint="eastAsia"/>
        </w:rPr>
        <w:t>，</w:t>
      </w:r>
      <w:r w:rsidRPr="00BC31E0">
        <w:t>同一温度にお</w:t>
      </w:r>
      <w:r w:rsidR="004E3BFC" w:rsidRPr="00BC31E0">
        <w:rPr>
          <w:rFonts w:hint="eastAsia"/>
        </w:rPr>
        <w:t>ける</w:t>
      </w:r>
      <w:r w:rsidRPr="00BC31E0">
        <w:t>試験に基づ</w:t>
      </w:r>
      <w:r w:rsidR="00677BE8" w:rsidRPr="00BC31E0">
        <w:rPr>
          <w:rFonts w:hint="eastAsia"/>
        </w:rPr>
        <w:t>かなければ</w:t>
      </w:r>
      <w:r w:rsidRPr="00BC31E0">
        <w:t>ならない。</w:t>
      </w:r>
    </w:p>
    <w:p w14:paraId="65D40109" w14:textId="77777777" w:rsidR="00A40784" w:rsidRPr="00BC31E0" w:rsidRDefault="00A40784" w:rsidP="00134F9D">
      <w:pPr>
        <w:pStyle w:val="110"/>
        <w:spacing w:line="240" w:lineRule="auto"/>
        <w:ind w:left="567" w:hanging="567"/>
      </w:pPr>
      <w:r w:rsidRPr="00BC31E0">
        <w:rPr>
          <w:rFonts w:hint="eastAsia"/>
        </w:rPr>
        <w:t>試験装置</w:t>
      </w:r>
    </w:p>
    <w:p w14:paraId="11389176" w14:textId="77777777" w:rsidR="00A40784" w:rsidRPr="00BC31E0" w:rsidRDefault="00A40784" w:rsidP="00134F9D">
      <w:pPr>
        <w:pStyle w:val="111"/>
        <w:ind w:left="794" w:hanging="794"/>
      </w:pPr>
      <w:r w:rsidRPr="00BC31E0">
        <w:rPr>
          <w:rFonts w:hint="eastAsia"/>
        </w:rPr>
        <w:t>一般</w:t>
      </w:r>
    </w:p>
    <w:p w14:paraId="42311184" w14:textId="77777777" w:rsidR="00A40784" w:rsidRPr="00BC31E0" w:rsidRDefault="00A40784" w:rsidP="00C250F3">
      <w:pPr>
        <w:pStyle w:val="1110"/>
        <w:ind w:firstLine="211"/>
      </w:pPr>
      <w:r w:rsidRPr="00BC31E0">
        <w:rPr>
          <w:rFonts w:ascii="ＭＳ ゴシック" w:eastAsia="ＭＳ ゴシック" w:hAnsi="ＭＳ ゴシック"/>
          <w:b/>
        </w:rPr>
        <w:t>JIS B 7721</w:t>
      </w:r>
      <w:r w:rsidRPr="00BC31E0">
        <w:t>による等級</w:t>
      </w:r>
      <w:r w:rsidRPr="00BC31E0">
        <w:t>1</w:t>
      </w:r>
      <w:r w:rsidRPr="00BC31E0">
        <w:t>級以上の要求事項に従う引張試験機により行う。</w:t>
      </w:r>
    </w:p>
    <w:p w14:paraId="6F79D0E3" w14:textId="77777777" w:rsidR="00A40784" w:rsidRPr="00BC31E0" w:rsidRDefault="00A40784" w:rsidP="001376A3">
      <w:pPr>
        <w:pStyle w:val="111"/>
        <w:ind w:left="794" w:hanging="794"/>
      </w:pPr>
      <w:r w:rsidRPr="00BC31E0">
        <w:rPr>
          <w:rFonts w:hint="eastAsia"/>
        </w:rPr>
        <w:t>試験用治具</w:t>
      </w:r>
    </w:p>
    <w:p w14:paraId="2F4F8FCC" w14:textId="77777777" w:rsidR="00A40784" w:rsidRPr="00BC31E0" w:rsidRDefault="00A40784" w:rsidP="001376A3">
      <w:pPr>
        <w:pStyle w:val="1110"/>
        <w:ind w:firstLine="210"/>
      </w:pPr>
      <w:r w:rsidRPr="00BC31E0">
        <w:t>試験片に試験力を伝える装置は，試験片の主軸と試験力を負荷する軸が一致していなければならない。試験片端部の穴を通り，穴の直径よりわずかに小さい硬化ピンを有する試験用治具を組込む。</w:t>
      </w:r>
      <w:r w:rsidRPr="00BC31E0">
        <w:rPr>
          <w:rFonts w:hint="eastAsia"/>
        </w:rPr>
        <w:t>適切</w:t>
      </w:r>
      <w:r w:rsidRPr="00BC31E0">
        <w:t>な厚さのスペーシングワッシャーを使用して試験用治具内の試験片を中心</w:t>
      </w:r>
      <w:r w:rsidRPr="00BC31E0">
        <w:rPr>
          <w:rFonts w:hint="eastAsia"/>
        </w:rPr>
        <w:t>軸上に位置させる</w:t>
      </w:r>
      <w:r w:rsidRPr="00BC31E0">
        <w:t>。代表的な配置を</w:t>
      </w:r>
      <w:r w:rsidRPr="00BC31E0">
        <w:rPr>
          <w:rFonts w:ascii="ＭＳ ゴシック" w:eastAsia="ＭＳ ゴシック" w:hAnsi="ＭＳ ゴシック"/>
          <w:b/>
        </w:rPr>
        <w:t>図K.1</w:t>
      </w:r>
      <w:r w:rsidRPr="00BC31E0">
        <w:t>に示す。</w:t>
      </w:r>
    </w:p>
    <w:p w14:paraId="1A4C5E5A" w14:textId="77777777" w:rsidR="00A40784" w:rsidRPr="00BC31E0" w:rsidRDefault="00A40784" w:rsidP="001376A3">
      <w:pPr>
        <w:pStyle w:val="111"/>
        <w:ind w:left="794" w:hanging="794"/>
      </w:pPr>
      <w:r w:rsidRPr="00BC31E0">
        <w:rPr>
          <w:rFonts w:hint="eastAsia"/>
        </w:rPr>
        <w:t>温度制御</w:t>
      </w:r>
    </w:p>
    <w:p w14:paraId="7ECC62FB" w14:textId="77777777" w:rsidR="00A40784" w:rsidRPr="00BC31E0" w:rsidRDefault="00A40784" w:rsidP="001376A3">
      <w:pPr>
        <w:pStyle w:val="1110"/>
        <w:ind w:firstLine="210"/>
      </w:pPr>
      <w:r w:rsidRPr="00BC31E0">
        <w:t>室温以外で行う試験において，試験片を加熱又は冷却し，切欠きを含む範囲の温度を均一に保つ適切な方法を用いてもよい。温度を均一に保つ装置の能力は，</w:t>
      </w:r>
      <w:r w:rsidRPr="00BC31E0">
        <w:rPr>
          <w:rFonts w:ascii="ＭＳ ゴシック" w:eastAsia="ＭＳ ゴシック" w:hAnsi="ＭＳ ゴシック"/>
          <w:b/>
        </w:rPr>
        <w:t>図K.2</w:t>
      </w:r>
      <w:r w:rsidRPr="00BC31E0">
        <w:t>に示す試験片両面の位置における温度測定により立証しなければならない。温度測定は試験が実施される各温度レベル又は試験温度範囲にわたり</w:t>
      </w:r>
      <w:r w:rsidRPr="00BC31E0">
        <w:t>30</w:t>
      </w:r>
      <w:r w:rsidRPr="00BC31E0">
        <w:rPr>
          <w:rFonts w:ascii="ＭＳ 明朝" w:hAnsi="ＭＳ 明朝" w:cs="ＭＳ 明朝" w:hint="eastAsia"/>
        </w:rPr>
        <w:t>℃</w:t>
      </w:r>
      <w:r w:rsidRPr="00BC31E0">
        <w:t>間隔の温度レベルで行う。試験温度は試験実施の間</w:t>
      </w:r>
      <w:r w:rsidRPr="00BC31E0">
        <w:rPr>
          <w:rFonts w:ascii="Cambria Math" w:hAnsi="Cambria Math"/>
        </w:rPr>
        <w:t>±</w:t>
      </w:r>
      <w:r w:rsidRPr="00BC31E0">
        <w:t>1.5</w:t>
      </w:r>
      <w:r w:rsidRPr="00BC31E0">
        <w:rPr>
          <w:rFonts w:ascii="ＭＳ 明朝" w:hAnsi="ＭＳ 明朝" w:cs="ＭＳ 明朝" w:hint="eastAsia"/>
        </w:rPr>
        <w:t>℃</w:t>
      </w:r>
      <w:r w:rsidRPr="00BC31E0">
        <w:t>以内に保持する。試験温度において，</w:t>
      </w:r>
      <w:r w:rsidR="005E326C" w:rsidRPr="00BC31E0">
        <w:rPr>
          <w:rFonts w:hint="eastAsia"/>
        </w:rPr>
        <w:t>四つ</w:t>
      </w:r>
      <w:r w:rsidRPr="00BC31E0">
        <w:t>の熱電対のうち</w:t>
      </w:r>
      <w:r w:rsidR="005E326C" w:rsidRPr="00BC31E0">
        <w:rPr>
          <w:rFonts w:hint="eastAsia"/>
        </w:rPr>
        <w:t>二つ</w:t>
      </w:r>
      <w:r w:rsidRPr="00BC31E0">
        <w:t>における指示温度の差は</w:t>
      </w:r>
      <w:r w:rsidRPr="00BC31E0">
        <w:t>3</w:t>
      </w:r>
      <w:r w:rsidRPr="00BC31E0">
        <w:rPr>
          <w:rFonts w:ascii="ＭＳ 明朝" w:hAnsi="ＭＳ 明朝" w:cs="ＭＳ 明朝"/>
        </w:rPr>
        <w:t>℃</w:t>
      </w:r>
      <w:r w:rsidRPr="00BC31E0">
        <w:t>を超えてはならない。</w:t>
      </w:r>
    </w:p>
    <w:p w14:paraId="01FE318C" w14:textId="77777777" w:rsidR="00A40784" w:rsidRPr="00BC31E0" w:rsidRDefault="00A40784" w:rsidP="001376A3">
      <w:pPr>
        <w:pStyle w:val="111"/>
        <w:ind w:left="794" w:hanging="794"/>
      </w:pPr>
      <w:r w:rsidRPr="00BC31E0">
        <w:rPr>
          <w:rFonts w:hint="eastAsia"/>
        </w:rPr>
        <w:lastRenderedPageBreak/>
        <w:t>温度測定</w:t>
      </w:r>
    </w:p>
    <w:p w14:paraId="0FBF6CCD" w14:textId="77777777" w:rsidR="00A40784" w:rsidRPr="00BC31E0" w:rsidRDefault="00A40784" w:rsidP="001376A3">
      <w:pPr>
        <w:pStyle w:val="1110"/>
        <w:ind w:firstLine="210"/>
      </w:pPr>
      <w:r w:rsidRPr="00BC31E0">
        <w:t>室温以外の試験中の試験片温度は，</w:t>
      </w:r>
      <w:r w:rsidRPr="00BC31E0">
        <w:rPr>
          <w:rFonts w:ascii="ＭＳ ゴシック" w:eastAsia="ＭＳ ゴシック" w:hAnsi="ＭＳ ゴシック"/>
          <w:b/>
        </w:rPr>
        <w:t>図K.2</w:t>
      </w:r>
      <w:r w:rsidRPr="00BC31E0">
        <w:t>に示す位置の</w:t>
      </w:r>
      <w:r w:rsidRPr="00BC31E0">
        <w:t>1</w:t>
      </w:r>
      <w:r w:rsidRPr="00BC31E0">
        <w:t>箇所，可能であれば</w:t>
      </w:r>
      <w:r w:rsidRPr="00BC31E0">
        <w:t>2</w:t>
      </w:r>
      <w:r w:rsidRPr="00BC31E0">
        <w:t>箇所以上の位置で測定する。熱電対の接点は試験片と熱的に接触していなければならない。熱電対及び測定器は校正し，異なる位置の測定温度の差が</w:t>
      </w:r>
      <w:r w:rsidRPr="00BC31E0">
        <w:t>3</w:t>
      </w:r>
      <w:r w:rsidRPr="00BC31E0">
        <w:rPr>
          <w:rFonts w:ascii="ＭＳ 明朝" w:hAnsi="ＭＳ 明朝" w:cs="ＭＳ 明朝" w:hint="eastAsia"/>
        </w:rPr>
        <w:t>℃</w:t>
      </w:r>
      <w:r w:rsidRPr="00BC31E0">
        <w:t>を超えてはならない。</w:t>
      </w:r>
    </w:p>
    <w:p w14:paraId="3DBDBD02" w14:textId="77777777" w:rsidR="00A40784" w:rsidRPr="00BC31E0" w:rsidRDefault="00A40784" w:rsidP="001376A3">
      <w:pPr>
        <w:pStyle w:val="110"/>
        <w:spacing w:line="240" w:lineRule="auto"/>
        <w:ind w:left="567" w:hanging="567"/>
      </w:pPr>
      <w:r w:rsidRPr="00BC31E0">
        <w:rPr>
          <w:rFonts w:hint="eastAsia"/>
        </w:rPr>
        <w:t>試験片</w:t>
      </w:r>
    </w:p>
    <w:p w14:paraId="3308B99D" w14:textId="77777777" w:rsidR="00A40784" w:rsidRPr="00BC31E0" w:rsidRDefault="00A40784" w:rsidP="001376A3">
      <w:pPr>
        <w:pStyle w:val="111"/>
        <w:ind w:left="794" w:hanging="794"/>
      </w:pPr>
      <w:r w:rsidRPr="00BC31E0">
        <w:rPr>
          <w:rFonts w:hint="eastAsia"/>
        </w:rPr>
        <w:t>寸法</w:t>
      </w:r>
    </w:p>
    <w:p w14:paraId="70C5853D" w14:textId="77777777" w:rsidR="00A40784" w:rsidRPr="00BC31E0" w:rsidRDefault="00A40784" w:rsidP="001376A3">
      <w:pPr>
        <w:pStyle w:val="1110"/>
        <w:ind w:firstLine="210"/>
      </w:pPr>
      <w:r w:rsidRPr="00BC31E0">
        <w:t>標準的な幅</w:t>
      </w:r>
      <w:r w:rsidRPr="00BC31E0">
        <w:t>75 mm</w:t>
      </w:r>
      <w:r w:rsidRPr="00BC31E0">
        <w:t>の切欠き付試験片を</w:t>
      </w:r>
      <w:r w:rsidRPr="00BC31E0">
        <w:rPr>
          <w:rFonts w:asciiTheme="majorEastAsia" w:eastAsiaTheme="majorEastAsia" w:hAnsiTheme="majorEastAsia"/>
          <w:b/>
        </w:rPr>
        <w:t>図K.3</w:t>
      </w:r>
      <w:r w:rsidRPr="00BC31E0">
        <w:t>に示す。切欠きはこの図</w:t>
      </w:r>
      <w:r w:rsidRPr="00BC31E0">
        <w:rPr>
          <w:rFonts w:hint="eastAsia"/>
        </w:rPr>
        <w:t>に示す</w:t>
      </w:r>
      <w:r w:rsidRPr="00BC31E0">
        <w:t>寸法とし，ピン荷重を使用する。標準試験片の長さは</w:t>
      </w:r>
      <w:r w:rsidRPr="00BC31E0">
        <w:t>300 mm</w:t>
      </w:r>
      <w:r w:rsidRPr="00BC31E0">
        <w:t>とするが，材料の制約により長さ</w:t>
      </w:r>
      <w:r w:rsidRPr="00BC31E0">
        <w:t>200 mm</w:t>
      </w:r>
      <w:r w:rsidRPr="00BC31E0">
        <w:t>の副標準試験片を使用してもよい。しかしながら，同一材料，同一試験条件では標準試験片と強度が異なる。この理由から，様々な材料条件の比較は，同一長さの試験片を用いて行われた試験に基づいていなければならない。平行部を持つ試験片は大半の材料において切欠き部で破断する。しかしながら，例外的に切欠き引張強さが降伏強</w:t>
      </w:r>
      <w:r w:rsidR="00BC2DAB" w:rsidRPr="00BC31E0">
        <w:t>さを超える場合，ヘッド補強板がない限りはピン穴で破断し得る。</w:t>
      </w:r>
      <w:r w:rsidR="00BC2DAB" w:rsidRPr="00BC31E0">
        <w:rPr>
          <w:rFonts w:hint="eastAsia"/>
        </w:rPr>
        <w:t>推奨</w:t>
      </w:r>
      <w:r w:rsidRPr="00BC31E0">
        <w:t>する補強板を</w:t>
      </w:r>
      <w:r w:rsidRPr="00BC31E0">
        <w:rPr>
          <w:rFonts w:ascii="ＭＳ ゴシック" w:eastAsia="ＭＳ ゴシック" w:hAnsi="ＭＳ ゴシック"/>
          <w:b/>
        </w:rPr>
        <w:t>図K.4</w:t>
      </w:r>
      <w:r w:rsidRPr="00BC31E0">
        <w:t>に示す。</w:t>
      </w:r>
      <w:r w:rsidRPr="00BC31E0">
        <w:t>1</w:t>
      </w:r>
      <w:r w:rsidRPr="00BC31E0">
        <w:t>枚の板を試験片ヘッドの両側に使用し，力は試験用治具内のスロット</w:t>
      </w:r>
      <w:r w:rsidRPr="00BC31E0">
        <w:t>(</w:t>
      </w:r>
      <w:r w:rsidRPr="00BC31E0">
        <w:rPr>
          <w:rFonts w:ascii="ＭＳ ゴシック" w:eastAsia="ＭＳ ゴシック" w:hAnsi="ＭＳ ゴシック"/>
          <w:b/>
        </w:rPr>
        <w:t>図K.1</w:t>
      </w:r>
      <w:r w:rsidRPr="00BC31E0">
        <w:t>を参照</w:t>
      </w:r>
      <w:r w:rsidRPr="00BC31E0">
        <w:t>)</w:t>
      </w:r>
      <w:r w:rsidRPr="00BC31E0">
        <w:t>に入る長さである</w:t>
      </w:r>
      <w:r w:rsidRPr="00BC31E0">
        <w:t>3</w:t>
      </w:r>
      <w:r w:rsidRPr="00BC31E0">
        <w:t>本の硬化ピンによって板に伝達される。</w:t>
      </w:r>
      <w:r w:rsidRPr="00BC31E0">
        <w:t>3 mm</w:t>
      </w:r>
      <w:r w:rsidRPr="00BC31E0">
        <w:t>厚さで</w:t>
      </w:r>
      <w:r w:rsidR="00BC2DAB" w:rsidRPr="00BC31E0">
        <w:rPr>
          <w:rFonts w:hint="eastAsia"/>
        </w:rPr>
        <w:t>，</w:t>
      </w:r>
      <w:r w:rsidRPr="00BC31E0">
        <w:t>最小降伏強さ</w:t>
      </w:r>
      <w:r w:rsidRPr="00BC31E0">
        <w:t>1380 MPa</w:t>
      </w:r>
      <w:r w:rsidRPr="00BC31E0">
        <w:t>の材料から作成された板をこの試験方法に用い</w:t>
      </w:r>
      <w:r w:rsidR="007B38E2" w:rsidRPr="00BC31E0">
        <w:rPr>
          <w:rFonts w:hint="eastAsia"/>
        </w:rPr>
        <w:t>てもよい</w:t>
      </w:r>
      <w:r w:rsidRPr="00BC31E0">
        <w:t>。</w:t>
      </w:r>
    </w:p>
    <w:p w14:paraId="649560C1" w14:textId="77777777" w:rsidR="00A40784" w:rsidRPr="00BC31E0" w:rsidRDefault="00A40784" w:rsidP="001376A3">
      <w:pPr>
        <w:pStyle w:val="111"/>
        <w:ind w:left="794" w:hanging="794"/>
      </w:pPr>
      <w:r w:rsidRPr="00BC31E0">
        <w:rPr>
          <w:rFonts w:hint="eastAsia"/>
        </w:rPr>
        <w:t>切欠き</w:t>
      </w:r>
    </w:p>
    <w:p w14:paraId="51ADC605" w14:textId="77777777" w:rsidR="00A40784" w:rsidRPr="00BC31E0" w:rsidRDefault="00A40784" w:rsidP="001376A3">
      <w:pPr>
        <w:pStyle w:val="1110"/>
        <w:ind w:firstLine="210"/>
      </w:pPr>
      <w:r w:rsidRPr="00BC31E0">
        <w:t>機械加工された切欠きの鋭さは</w:t>
      </w:r>
      <w:r w:rsidRPr="00BC31E0">
        <w:rPr>
          <w:rFonts w:asciiTheme="majorEastAsia" w:eastAsiaTheme="majorEastAsia" w:hAnsiTheme="majorEastAsia"/>
          <w:b/>
        </w:rPr>
        <w:t>図K.3</w:t>
      </w:r>
      <w:r w:rsidRPr="00BC31E0">
        <w:t>に示す試験片の特徴であり，特別な配慮がなされる。最終熱処理の前又は後のいずれかで切欠きの最終仕上げ加工を行ってもよい。各試験片は試験前に切欠き底半径及びピンホール中心に対する切欠き位置を測定する。</w:t>
      </w:r>
      <w:r w:rsidRPr="00BC31E0">
        <w:rPr>
          <w:rFonts w:asciiTheme="majorEastAsia" w:eastAsiaTheme="majorEastAsia" w:hAnsiTheme="majorEastAsia"/>
          <w:b/>
        </w:rPr>
        <w:t>図K.3</w:t>
      </w:r>
      <w:r w:rsidRPr="00BC31E0">
        <w:t>の要求事項を満足しない試験片は廃却又は再加工しなければならない。</w:t>
      </w:r>
    </w:p>
    <w:p w14:paraId="12929BF7" w14:textId="77777777" w:rsidR="00A40784" w:rsidRPr="00BC31E0" w:rsidRDefault="00A40784" w:rsidP="001376A3">
      <w:pPr>
        <w:pStyle w:val="110"/>
        <w:spacing w:line="240" w:lineRule="auto"/>
        <w:ind w:left="567" w:hanging="567"/>
      </w:pPr>
      <w:r w:rsidRPr="00BC31E0">
        <w:rPr>
          <w:rFonts w:hint="eastAsia"/>
        </w:rPr>
        <w:t>手順</w:t>
      </w:r>
    </w:p>
    <w:p w14:paraId="1D7606A9" w14:textId="77777777" w:rsidR="00A40784" w:rsidRPr="00BC31E0" w:rsidRDefault="00A40784" w:rsidP="001376A3">
      <w:pPr>
        <w:pStyle w:val="111"/>
        <w:ind w:left="794" w:hanging="794"/>
      </w:pPr>
      <w:r w:rsidRPr="00BC31E0">
        <w:rPr>
          <w:rFonts w:hint="eastAsia"/>
        </w:rPr>
        <w:t>寸法</w:t>
      </w:r>
    </w:p>
    <w:p w14:paraId="53EA3026" w14:textId="77777777" w:rsidR="00A40784" w:rsidRPr="00BC31E0" w:rsidRDefault="00A40784" w:rsidP="001376A3">
      <w:pPr>
        <w:pStyle w:val="1110"/>
        <w:ind w:firstLine="210"/>
        <w:rPr>
          <w:b/>
        </w:rPr>
      </w:pPr>
      <w:r w:rsidRPr="00BC31E0">
        <w:t>機械加工された切欠きの間で</w:t>
      </w:r>
      <w:r w:rsidRPr="00BC31E0">
        <w:t>3</w:t>
      </w:r>
      <w:r w:rsidRPr="00BC31E0">
        <w:t>点以上厚さを</w:t>
      </w:r>
      <w:r w:rsidRPr="00BC31E0">
        <w:t>0.013 mm</w:t>
      </w:r>
      <w:r w:rsidRPr="00BC31E0">
        <w:t>間隔で測定し，平均値を記録する。平均値に対する厚さの変化量が</w:t>
      </w:r>
      <w:r w:rsidRPr="00BC31E0">
        <w:t>2%</w:t>
      </w:r>
      <w:r w:rsidRPr="00BC31E0">
        <w:t>を超える場合には測定結果を記録する。試験片の切欠き底部間の純断面幅の距離を</w:t>
      </w:r>
      <w:r w:rsidRPr="00BC31E0">
        <w:t>0.25 mm</w:t>
      </w:r>
      <w:r w:rsidRPr="00BC31E0">
        <w:t>間隔で測定し，切欠き半径を</w:t>
      </w:r>
      <w:r w:rsidRPr="00BC31E0">
        <w:t>0.006 mm</w:t>
      </w:r>
      <w:r w:rsidRPr="00BC31E0">
        <w:t>間隔で測定して記録する。</w:t>
      </w:r>
    </w:p>
    <w:p w14:paraId="5A4608D4" w14:textId="77777777" w:rsidR="00A40784" w:rsidRPr="00BC31E0" w:rsidRDefault="00A40784" w:rsidP="001376A3">
      <w:pPr>
        <w:pStyle w:val="111"/>
        <w:ind w:left="794" w:hanging="794"/>
      </w:pPr>
      <w:r w:rsidRPr="00BC31E0">
        <w:rPr>
          <w:rFonts w:hint="eastAsia"/>
        </w:rPr>
        <w:t>試験</w:t>
      </w:r>
    </w:p>
    <w:p w14:paraId="4BCDA3DA" w14:textId="77777777" w:rsidR="00A40784" w:rsidRPr="00BC31E0" w:rsidRDefault="00A40784" w:rsidP="001376A3">
      <w:pPr>
        <w:pStyle w:val="1110"/>
        <w:ind w:firstLine="210"/>
      </w:pPr>
      <w:r w:rsidRPr="00BC31E0">
        <w:t>通常の引張試験と同様の方法で試験を実施する。ただし，伸び計を用いる。引張試験機のアライメント用に試験機のヘッドにおける荷重ピン及び球面座に</w:t>
      </w:r>
      <w:r w:rsidRPr="00BC31E0">
        <w:t>MoS</w:t>
      </w:r>
      <w:r w:rsidRPr="00BC31E0">
        <w:rPr>
          <w:vertAlign w:val="subscript"/>
        </w:rPr>
        <w:t>2</w:t>
      </w:r>
      <w:r w:rsidRPr="00BC31E0">
        <w:t>のような潤滑剤の使用を推奨する。使用される物質が切欠き引張強さの影響を受けないことを証明しない限り，低速度</w:t>
      </w:r>
      <w:r w:rsidRPr="00BC31E0">
        <w:rPr>
          <w:rFonts w:hint="eastAsia"/>
        </w:rPr>
        <w:t>亀裂</w:t>
      </w:r>
      <w:r w:rsidRPr="00BC31E0">
        <w:t>伸びを決定するために染色液は使用しない。試験の速度は，切欠き断面の公称応力の上昇率がどの段階においても</w:t>
      </w:r>
      <w:r w:rsidR="007B1FF5" w:rsidRPr="00BC31E0">
        <w:t>690 MPa</w:t>
      </w:r>
      <w:r w:rsidR="00845757" w:rsidRPr="00BC31E0">
        <w:rPr>
          <w:rFonts w:asciiTheme="minorEastAsia" w:eastAsiaTheme="minorEastAsia" w:hAnsiTheme="minorEastAsia" w:hint="eastAsia"/>
        </w:rPr>
        <w:t>/</w:t>
      </w:r>
      <w:r w:rsidRPr="00BC31E0">
        <w:t>分を超え</w:t>
      </w:r>
      <w:r w:rsidRPr="00BC31E0">
        <w:rPr>
          <w:rFonts w:hint="eastAsia"/>
        </w:rPr>
        <w:t>てはならない</w:t>
      </w:r>
      <w:r w:rsidRPr="00BC31E0">
        <w:t>。推定し得る力の最小変化となる，試験中に到達する最大荷重を記録する。</w:t>
      </w:r>
    </w:p>
    <w:p w14:paraId="2B13BF2F" w14:textId="77777777" w:rsidR="00A40784" w:rsidRPr="00BC31E0" w:rsidRDefault="00A40784" w:rsidP="001376A3">
      <w:pPr>
        <w:pStyle w:val="110"/>
        <w:spacing w:line="240" w:lineRule="auto"/>
        <w:ind w:left="567" w:hanging="567"/>
      </w:pPr>
      <w:r w:rsidRPr="00BC31E0">
        <w:rPr>
          <w:rFonts w:hint="eastAsia"/>
        </w:rPr>
        <w:t>計算</w:t>
      </w:r>
    </w:p>
    <w:p w14:paraId="2F9A3183" w14:textId="77777777" w:rsidR="00A40784" w:rsidRPr="00BC31E0" w:rsidRDefault="00A40784" w:rsidP="001376A3">
      <w:pPr>
        <w:pStyle w:val="111"/>
        <w:ind w:left="794" w:hanging="794"/>
      </w:pPr>
      <w:r w:rsidRPr="00BC31E0">
        <w:rPr>
          <w:rFonts w:hint="eastAsia"/>
        </w:rPr>
        <w:t>切欠き引張強さ</w:t>
      </w:r>
    </w:p>
    <w:p w14:paraId="496A3459" w14:textId="77777777" w:rsidR="00A40784" w:rsidRPr="00BC31E0" w:rsidRDefault="00A40784" w:rsidP="001E6DB5">
      <w:pPr>
        <w:spacing w:after="120"/>
        <w:ind w:firstLineChars="100" w:firstLine="210"/>
      </w:pPr>
      <w:r w:rsidRPr="00BC31E0">
        <w:t>切欠き引張強さ</w:t>
      </w:r>
      <w:r w:rsidR="003A6C93" w:rsidRPr="00BC31E0">
        <w:rPr>
          <w:rFonts w:hint="eastAsia"/>
        </w:rPr>
        <w:t>を</w:t>
      </w:r>
      <w:r w:rsidR="0097266A" w:rsidRPr="00BC31E0">
        <w:rPr>
          <w:rFonts w:hint="eastAsia"/>
        </w:rPr>
        <w:t>次式で</w:t>
      </w:r>
      <w:r w:rsidRPr="00BC31E0">
        <w:t>計算する。</w:t>
      </w:r>
    </w:p>
    <w:p w14:paraId="0A67184C" w14:textId="77777777" w:rsidR="0097266A" w:rsidRPr="00BC31E0" w:rsidRDefault="0097266A" w:rsidP="006677FC">
      <w:pPr>
        <w:tabs>
          <w:tab w:val="left" w:pos="2835"/>
          <w:tab w:val="left" w:leader="middleDot" w:pos="8505"/>
        </w:tabs>
      </w:pPr>
      <w:r w:rsidRPr="00BC31E0">
        <w:rPr>
          <w:rFonts w:hint="eastAsia"/>
          <w:szCs w:val="20"/>
        </w:rPr>
        <w:tab/>
      </w:r>
      <m:oMath>
        <m:f>
          <m:fPr>
            <m:type m:val="lin"/>
            <m:ctrlPr>
              <w:rPr>
                <w:rFonts w:ascii="Cambria Math" w:hAnsi="Cambria Math"/>
                <w:i/>
                <w:szCs w:val="20"/>
              </w:rPr>
            </m:ctrlPr>
          </m:fPr>
          <m:num>
            <m:r>
              <w:rPr>
                <w:rFonts w:ascii="Cambria Math" w:hAnsi="Cambria Math"/>
              </w:rPr>
              <m:t xml:space="preserve"> </m:t>
            </m:r>
            <m:sSub>
              <m:sSubPr>
                <m:ctrlPr>
                  <w:rPr>
                    <w:rFonts w:ascii="Cambria Math" w:hAnsi="Cambria Math"/>
                    <w:i/>
                  </w:rPr>
                </m:ctrlPr>
              </m:sSubPr>
              <m:e>
                <m:r>
                  <w:rPr>
                    <w:rFonts w:ascii="Cambria Math" w:hAnsi="Cambria Math"/>
                  </w:rPr>
                  <m:t>σ</m:t>
                </m:r>
              </m:e>
              <m:sub>
                <m:r>
                  <w:rPr>
                    <w:rFonts w:ascii="Cambria Math" w:hAnsi="Cambria Math" w:hint="eastAsia"/>
                  </w:rPr>
                  <m:t>S</m:t>
                </m:r>
              </m:sub>
            </m:sSub>
            <m:r>
              <w:rPr>
                <w:rFonts w:ascii="Cambria Math" w:hAnsi="Cambria Math"/>
              </w:rPr>
              <m:t>=</m:t>
            </m:r>
            <m:r>
              <w:rPr>
                <w:rFonts w:ascii="Cambria Math" w:hAnsi="Cambria Math" w:hint="eastAsia"/>
              </w:rPr>
              <m:t>F</m:t>
            </m:r>
          </m:num>
          <m:den>
            <m:d>
              <m:dPr>
                <m:ctrlPr>
                  <w:rPr>
                    <w:rFonts w:ascii="Cambria Math" w:hAnsi="Cambria Math"/>
                    <w:i/>
                    <w:szCs w:val="20"/>
                  </w:rPr>
                </m:ctrlPr>
              </m:dPr>
              <m:e>
                <m:r>
                  <w:rPr>
                    <w:rFonts w:ascii="Cambria Math" w:hAnsi="Cambria Math"/>
                  </w:rPr>
                  <m:t>B×W</m:t>
                </m:r>
              </m:e>
            </m:d>
          </m:den>
        </m:f>
      </m:oMath>
      <w:r w:rsidRPr="00BC31E0">
        <w:t xml:space="preserve"> </w:t>
      </w:r>
      <w:r w:rsidRPr="00BC31E0">
        <w:rPr>
          <w:rFonts w:hint="eastAsia"/>
        </w:rPr>
        <w:tab/>
        <w:t>(1)</w:t>
      </w:r>
    </w:p>
    <w:p w14:paraId="301BC68B" w14:textId="77777777" w:rsidR="00A40784" w:rsidRPr="00BC31E0" w:rsidRDefault="00A40784" w:rsidP="001376A3">
      <w:pPr>
        <w:pStyle w:val="1110"/>
        <w:ind w:firstLineChars="200" w:firstLine="420"/>
      </w:pPr>
      <w:r w:rsidRPr="00BC31E0">
        <w:t>ここで，</w:t>
      </w:r>
    </w:p>
    <w:p w14:paraId="349C9F68" w14:textId="77777777" w:rsidR="0097266A" w:rsidRPr="00BC31E0" w:rsidRDefault="00A40784" w:rsidP="0097266A">
      <w:pPr>
        <w:tabs>
          <w:tab w:val="left" w:pos="1134"/>
        </w:tabs>
        <w:ind w:leftChars="400" w:left="840"/>
        <w:rPr>
          <w:rFonts w:asciiTheme="minorHAnsi" w:hAnsiTheme="minorHAnsi"/>
        </w:rPr>
      </w:pPr>
      <m:oMath>
        <m:r>
          <w:rPr>
            <w:rFonts w:ascii="Cambria Math" w:hAnsi="Cambria Math"/>
          </w:rPr>
          <w:lastRenderedPageBreak/>
          <m:t>F</m:t>
        </m:r>
      </m:oMath>
      <w:r w:rsidR="001376A3" w:rsidRPr="00BC31E0">
        <w:rPr>
          <w:rFonts w:asciiTheme="minorHAnsi" w:hAnsiTheme="minorHAnsi" w:hint="eastAsia"/>
          <w:i/>
        </w:rPr>
        <w:tab/>
      </w:r>
      <w:r w:rsidRPr="00BC31E0">
        <w:rPr>
          <w:rFonts w:asciiTheme="minorHAnsi" w:hAnsiTheme="minorHAnsi"/>
        </w:rPr>
        <w:t>：</w:t>
      </w:r>
      <w:r w:rsidR="001376A3" w:rsidRPr="00BC31E0">
        <w:rPr>
          <w:rFonts w:asciiTheme="minorHAnsi" w:hAnsiTheme="minorHAnsi" w:hint="eastAsia"/>
        </w:rPr>
        <w:t xml:space="preserve"> </w:t>
      </w:r>
      <w:r w:rsidRPr="00BC31E0">
        <w:rPr>
          <w:rFonts w:asciiTheme="minorHAnsi" w:hAnsiTheme="minorHAnsi"/>
        </w:rPr>
        <w:t>最大荷重</w:t>
      </w:r>
      <w:r w:rsidR="00FB2D8B" w:rsidRPr="00BC31E0">
        <w:rPr>
          <w:rFonts w:asciiTheme="minorHAnsi" w:hAnsiTheme="minorHAnsi" w:hint="eastAsia"/>
        </w:rPr>
        <w:t>(N)</w:t>
      </w:r>
    </w:p>
    <w:p w14:paraId="779C3B9C" w14:textId="77777777" w:rsidR="0097266A" w:rsidRPr="00BC31E0" w:rsidRDefault="00A40784" w:rsidP="0097266A">
      <w:pPr>
        <w:tabs>
          <w:tab w:val="left" w:pos="1134"/>
        </w:tabs>
        <w:ind w:leftChars="400" w:left="840"/>
        <w:rPr>
          <w:rFonts w:asciiTheme="minorHAnsi" w:hAnsiTheme="minorHAnsi"/>
        </w:rPr>
      </w:pPr>
      <m:oMath>
        <m:r>
          <w:rPr>
            <w:rFonts w:ascii="Cambria Math" w:hAnsi="Cambria Math"/>
          </w:rPr>
          <m:t>B</m:t>
        </m:r>
      </m:oMath>
      <w:r w:rsidR="001376A3" w:rsidRPr="00BC31E0">
        <w:rPr>
          <w:rFonts w:asciiTheme="minorHAnsi" w:hAnsiTheme="minorHAnsi" w:hint="eastAsia"/>
          <w:i/>
        </w:rPr>
        <w:tab/>
      </w:r>
      <w:r w:rsidRPr="00BC31E0">
        <w:rPr>
          <w:rFonts w:asciiTheme="minorHAnsi" w:hAnsiTheme="minorHAnsi"/>
        </w:rPr>
        <w:t>：</w:t>
      </w:r>
      <w:r w:rsidR="001376A3" w:rsidRPr="00BC31E0">
        <w:rPr>
          <w:rFonts w:asciiTheme="minorHAnsi" w:hAnsiTheme="minorHAnsi" w:hint="eastAsia"/>
        </w:rPr>
        <w:t xml:space="preserve"> </w:t>
      </w:r>
      <w:r w:rsidRPr="00BC31E0">
        <w:rPr>
          <w:rFonts w:asciiTheme="minorHAnsi" w:hAnsiTheme="minorHAnsi"/>
        </w:rPr>
        <w:t>試験片の厚さ</w:t>
      </w:r>
      <w:r w:rsidR="00FB2D8B" w:rsidRPr="00BC31E0">
        <w:rPr>
          <w:rFonts w:asciiTheme="minorHAnsi" w:hAnsiTheme="minorHAnsi" w:hint="eastAsia"/>
        </w:rPr>
        <w:t>(mm)</w:t>
      </w:r>
    </w:p>
    <w:p w14:paraId="3FA7BFEA" w14:textId="77777777" w:rsidR="00A40784" w:rsidRPr="00BC31E0" w:rsidRDefault="00A40784" w:rsidP="0097266A">
      <w:pPr>
        <w:tabs>
          <w:tab w:val="left" w:pos="1134"/>
        </w:tabs>
        <w:ind w:leftChars="400" w:left="840"/>
        <w:rPr>
          <w:rFonts w:asciiTheme="minorHAnsi" w:hAnsiTheme="minorHAnsi"/>
        </w:rPr>
      </w:pPr>
      <m:oMath>
        <m:r>
          <w:rPr>
            <w:rFonts w:ascii="Cambria Math" w:hAnsi="Cambria Math"/>
          </w:rPr>
          <m:t>W</m:t>
        </m:r>
      </m:oMath>
      <w:r w:rsidR="001376A3" w:rsidRPr="00BC31E0">
        <w:rPr>
          <w:rFonts w:hAnsi="ＭＳ ゴシック" w:hint="eastAsia"/>
          <w:i/>
        </w:rPr>
        <w:tab/>
      </w:r>
      <w:r w:rsidRPr="00BC31E0">
        <w:rPr>
          <w:rFonts w:ascii="Times New Roman" w:hAnsi="Times New Roman" w:hint="eastAsia"/>
        </w:rPr>
        <w:t>：</w:t>
      </w:r>
      <w:r w:rsidR="001376A3" w:rsidRPr="00BC31E0">
        <w:rPr>
          <w:rFonts w:ascii="Times New Roman" w:hAnsi="Times New Roman" w:hint="eastAsia"/>
        </w:rPr>
        <w:t xml:space="preserve"> </w:t>
      </w:r>
      <w:r w:rsidRPr="00BC31E0">
        <w:rPr>
          <w:rFonts w:ascii="Times New Roman" w:hAnsi="Times New Roman" w:hint="eastAsia"/>
        </w:rPr>
        <w:t>正味断面幅</w:t>
      </w:r>
      <w:r w:rsidR="00FB2D8B" w:rsidRPr="00BC31E0">
        <w:rPr>
          <w:rFonts w:ascii="Times New Roman" w:hAnsi="Times New Roman" w:hint="eastAsia"/>
        </w:rPr>
        <w:t>(mm)</w:t>
      </w:r>
    </w:p>
    <w:p w14:paraId="217A51BF" w14:textId="77777777" w:rsidR="00A40784" w:rsidRPr="00BC31E0" w:rsidRDefault="00A40784" w:rsidP="00CF3DE4">
      <w:pPr>
        <w:pStyle w:val="111"/>
        <w:spacing w:before="120"/>
        <w:ind w:left="794" w:hanging="794"/>
      </w:pPr>
      <w:r w:rsidRPr="00BC31E0">
        <w:rPr>
          <w:rFonts w:hint="eastAsia"/>
        </w:rPr>
        <w:t>切欠き引張強さと降伏強さの比</w:t>
      </w:r>
    </w:p>
    <w:p w14:paraId="6C9EC8C7" w14:textId="77777777" w:rsidR="00A40784" w:rsidRPr="00BC31E0" w:rsidRDefault="00A40784" w:rsidP="001376A3">
      <w:pPr>
        <w:pStyle w:val="1110"/>
        <w:ind w:firstLine="210"/>
      </w:pPr>
      <w:r w:rsidRPr="00BC31E0">
        <w:t>切欠き引張強さと降伏強さの比が重要である。材料の加工に関係する曖昧さなしに比を決定するために同じストックの平滑引張試験片を準備し，切欠き付試験片と同加工する。平滑引張試験片の寸法は，</w:t>
      </w:r>
      <w:r w:rsidRPr="00BC31E0">
        <w:rPr>
          <w:rFonts w:ascii="ＭＳ ゴシック" w:eastAsia="ＭＳ ゴシック" w:hAnsi="ＭＳ ゴシック"/>
          <w:b/>
        </w:rPr>
        <w:t>図K.9</w:t>
      </w:r>
      <w:r w:rsidRPr="00BC31E0">
        <w:rPr>
          <w:rFonts w:eastAsiaTheme="minorEastAsia"/>
        </w:rPr>
        <w:t>を満足しなければならない。</w:t>
      </w:r>
    </w:p>
    <w:p w14:paraId="22896392" w14:textId="77777777" w:rsidR="00A40784" w:rsidRPr="00BC31E0" w:rsidRDefault="00A40784" w:rsidP="001376A3">
      <w:pPr>
        <w:pStyle w:val="1110"/>
        <w:ind w:firstLine="210"/>
      </w:pPr>
      <w:r w:rsidRPr="00BC31E0">
        <w:t>少なくとも</w:t>
      </w:r>
      <w:r w:rsidR="001376A3" w:rsidRPr="00BC31E0">
        <w:rPr>
          <w:rFonts w:hint="eastAsia"/>
        </w:rPr>
        <w:t>二つ</w:t>
      </w:r>
      <w:r w:rsidRPr="00BC31E0">
        <w:t>の切欠き付試験片は制御変数</w:t>
      </w:r>
      <w:r w:rsidRPr="00BC31E0">
        <w:t>(</w:t>
      </w:r>
      <w:r w:rsidRPr="00BC31E0">
        <w:t>材料要因，厚さ，温度</w:t>
      </w:r>
      <w:r w:rsidRPr="00BC31E0">
        <w:t>)</w:t>
      </w:r>
      <w:r w:rsidRPr="00BC31E0">
        <w:t>の各個別の組の値によって試験を行う。室温以外で切欠き引張強さと降伏強さの比を計算するために，降伏強さは切欠き試験を実施した温度から</w:t>
      </w:r>
      <w:r w:rsidRPr="00BC31E0">
        <w:t>50</w:t>
      </w:r>
      <w:r w:rsidRPr="00BC31E0">
        <w:rPr>
          <w:rFonts w:ascii="ＭＳ 明朝" w:hAnsi="ＭＳ 明朝" w:cs="ＭＳ 明朝"/>
        </w:rPr>
        <w:t>℃</w:t>
      </w:r>
      <w:r w:rsidRPr="00BC31E0">
        <w:t>以内の範囲で補間してもよい。</w:t>
      </w:r>
    </w:p>
    <w:p w14:paraId="0BBD9376" w14:textId="77777777" w:rsidR="00A40784" w:rsidRPr="00BC31E0" w:rsidRDefault="00A40784" w:rsidP="001376A3">
      <w:pPr>
        <w:pStyle w:val="110"/>
        <w:spacing w:line="240" w:lineRule="auto"/>
        <w:ind w:left="567" w:hanging="567"/>
      </w:pPr>
      <w:r w:rsidRPr="00BC31E0">
        <w:rPr>
          <w:rFonts w:hint="eastAsia"/>
        </w:rPr>
        <w:t>記録</w:t>
      </w:r>
    </w:p>
    <w:p w14:paraId="02CECAEC" w14:textId="77777777" w:rsidR="00A40784" w:rsidRPr="00BC31E0" w:rsidRDefault="00A40784" w:rsidP="001376A3">
      <w:pPr>
        <w:pStyle w:val="113"/>
        <w:ind w:firstLine="210"/>
        <w:rPr>
          <w:rFonts w:ascii="ＭＳ ゴシック" w:eastAsia="ＭＳ ゴシック" w:hAnsi="ＭＳ ゴシック"/>
          <w:b/>
        </w:rPr>
      </w:pPr>
      <w:r w:rsidRPr="00BC31E0">
        <w:t>記録には，試験を行った各切欠き試験片</w:t>
      </w:r>
      <w:r w:rsidR="003D1E12" w:rsidRPr="00BC31E0">
        <w:rPr>
          <w:rFonts w:hint="eastAsia"/>
        </w:rPr>
        <w:t>に</w:t>
      </w:r>
      <w:r w:rsidR="004749EC" w:rsidRPr="00BC31E0">
        <w:rPr>
          <w:rFonts w:hint="eastAsia"/>
        </w:rPr>
        <w:t>ついて</w:t>
      </w:r>
      <w:r w:rsidR="00200646" w:rsidRPr="00BC31E0">
        <w:rPr>
          <w:rFonts w:hint="eastAsia"/>
        </w:rPr>
        <w:t>次の</w:t>
      </w:r>
      <w:r w:rsidRPr="00BC31E0">
        <w:t>情報を記載する。</w:t>
      </w:r>
    </w:p>
    <w:p w14:paraId="524B63ED" w14:textId="77777777" w:rsidR="00A57D49" w:rsidRPr="00BC31E0" w:rsidRDefault="00A40784" w:rsidP="00736130">
      <w:pPr>
        <w:pStyle w:val="a4"/>
        <w:numPr>
          <w:ilvl w:val="0"/>
          <w:numId w:val="635"/>
        </w:numPr>
        <w:ind w:leftChars="0" w:left="454" w:hanging="454"/>
        <w:rPr>
          <w:rFonts w:asciiTheme="minorEastAsia" w:eastAsiaTheme="minorEastAsia" w:hAnsiTheme="minorEastAsia"/>
        </w:rPr>
      </w:pPr>
      <w:r w:rsidRPr="00BC31E0">
        <w:rPr>
          <w:rFonts w:asciiTheme="minorEastAsia" w:eastAsiaTheme="minorEastAsia" w:hAnsiTheme="minorEastAsia" w:hint="eastAsia"/>
        </w:rPr>
        <w:t>長さ</w:t>
      </w:r>
    </w:p>
    <w:p w14:paraId="31454AAD" w14:textId="77777777" w:rsidR="00A57D49" w:rsidRPr="00BC31E0" w:rsidRDefault="00A40784" w:rsidP="00736130">
      <w:pPr>
        <w:pStyle w:val="a4"/>
        <w:numPr>
          <w:ilvl w:val="0"/>
          <w:numId w:val="635"/>
        </w:numPr>
        <w:ind w:leftChars="0" w:left="454" w:hanging="454"/>
        <w:rPr>
          <w:rFonts w:asciiTheme="minorEastAsia" w:eastAsiaTheme="minorEastAsia" w:hAnsiTheme="minorEastAsia"/>
        </w:rPr>
      </w:pPr>
      <w:r w:rsidRPr="00BC31E0">
        <w:rPr>
          <w:rFonts w:asciiTheme="minorEastAsia" w:eastAsiaTheme="minorEastAsia" w:hAnsiTheme="minorEastAsia" w:hint="eastAsia"/>
          <w:bCs/>
        </w:rPr>
        <w:t>厚さ</w:t>
      </w:r>
    </w:p>
    <w:p w14:paraId="4A4E9594" w14:textId="77777777" w:rsidR="00A57D49" w:rsidRPr="00BC31E0" w:rsidRDefault="00A40784" w:rsidP="00736130">
      <w:pPr>
        <w:pStyle w:val="a4"/>
        <w:numPr>
          <w:ilvl w:val="0"/>
          <w:numId w:val="635"/>
        </w:numPr>
        <w:ind w:leftChars="0" w:left="454" w:hanging="454"/>
        <w:rPr>
          <w:rFonts w:asciiTheme="minorEastAsia" w:eastAsiaTheme="minorEastAsia" w:hAnsiTheme="minorEastAsia"/>
        </w:rPr>
      </w:pPr>
      <w:r w:rsidRPr="00BC31E0">
        <w:rPr>
          <w:rFonts w:asciiTheme="minorEastAsia" w:eastAsiaTheme="minorEastAsia" w:hAnsiTheme="minorEastAsia" w:hint="eastAsia"/>
          <w:bCs/>
        </w:rPr>
        <w:t>幅</w:t>
      </w:r>
    </w:p>
    <w:p w14:paraId="43CD3A96" w14:textId="77777777" w:rsidR="00A57D49" w:rsidRPr="00BC31E0" w:rsidRDefault="00A40784" w:rsidP="00736130">
      <w:pPr>
        <w:pStyle w:val="a4"/>
        <w:numPr>
          <w:ilvl w:val="0"/>
          <w:numId w:val="635"/>
        </w:numPr>
        <w:ind w:leftChars="0" w:left="454" w:hanging="454"/>
        <w:rPr>
          <w:rFonts w:asciiTheme="minorEastAsia" w:eastAsiaTheme="minorEastAsia" w:hAnsiTheme="minorEastAsia"/>
        </w:rPr>
      </w:pPr>
      <w:r w:rsidRPr="00BC31E0">
        <w:rPr>
          <w:rFonts w:asciiTheme="minorEastAsia" w:eastAsiaTheme="minorEastAsia" w:hAnsiTheme="minorEastAsia" w:hint="eastAsia"/>
          <w:bCs/>
        </w:rPr>
        <w:t>切欠き深さ</w:t>
      </w:r>
    </w:p>
    <w:p w14:paraId="334D74F1" w14:textId="77777777" w:rsidR="00A57D49" w:rsidRPr="00BC31E0" w:rsidRDefault="00A40784" w:rsidP="00736130">
      <w:pPr>
        <w:pStyle w:val="a4"/>
        <w:numPr>
          <w:ilvl w:val="0"/>
          <w:numId w:val="635"/>
        </w:numPr>
        <w:ind w:leftChars="0" w:left="454" w:hanging="454"/>
        <w:rPr>
          <w:rFonts w:asciiTheme="minorEastAsia" w:eastAsiaTheme="minorEastAsia" w:hAnsiTheme="minorEastAsia"/>
        </w:rPr>
      </w:pPr>
      <w:r w:rsidRPr="00BC31E0">
        <w:rPr>
          <w:rFonts w:asciiTheme="minorEastAsia" w:eastAsiaTheme="minorEastAsia" w:hAnsiTheme="minorEastAsia" w:hint="eastAsia"/>
          <w:bCs/>
        </w:rPr>
        <w:t>切欠き底半径</w:t>
      </w:r>
    </w:p>
    <w:p w14:paraId="3D8C2355" w14:textId="77777777" w:rsidR="00A57D49" w:rsidRPr="00BC31E0" w:rsidRDefault="00A40784" w:rsidP="00736130">
      <w:pPr>
        <w:pStyle w:val="a4"/>
        <w:numPr>
          <w:ilvl w:val="0"/>
          <w:numId w:val="635"/>
        </w:numPr>
        <w:ind w:leftChars="0" w:left="454" w:hanging="454"/>
        <w:rPr>
          <w:rFonts w:asciiTheme="minorEastAsia" w:eastAsiaTheme="minorEastAsia" w:hAnsiTheme="minorEastAsia"/>
        </w:rPr>
      </w:pPr>
      <w:r w:rsidRPr="00BC31E0">
        <w:rPr>
          <w:rFonts w:asciiTheme="minorEastAsia" w:eastAsiaTheme="minorEastAsia" w:hAnsiTheme="minorEastAsia" w:hint="eastAsia"/>
          <w:bCs/>
        </w:rPr>
        <w:t>温度</w:t>
      </w:r>
    </w:p>
    <w:p w14:paraId="44344F4B" w14:textId="77777777" w:rsidR="00A57D49" w:rsidRPr="00BC31E0" w:rsidRDefault="00A40784" w:rsidP="00736130">
      <w:pPr>
        <w:pStyle w:val="a4"/>
        <w:numPr>
          <w:ilvl w:val="0"/>
          <w:numId w:val="635"/>
        </w:numPr>
        <w:ind w:leftChars="0" w:left="454" w:hanging="454"/>
        <w:rPr>
          <w:rFonts w:asciiTheme="minorEastAsia" w:eastAsiaTheme="minorEastAsia" w:hAnsiTheme="minorEastAsia"/>
        </w:rPr>
      </w:pPr>
      <w:r w:rsidRPr="00BC31E0">
        <w:rPr>
          <w:rFonts w:asciiTheme="minorEastAsia" w:eastAsiaTheme="minorEastAsia" w:hAnsiTheme="minorEastAsia" w:hint="eastAsia"/>
          <w:bCs/>
        </w:rPr>
        <w:t>最大荷重</w:t>
      </w:r>
    </w:p>
    <w:p w14:paraId="25D2BACD" w14:textId="77777777" w:rsidR="00A40784" w:rsidRPr="00BC31E0" w:rsidRDefault="00A40784" w:rsidP="00736130">
      <w:pPr>
        <w:pStyle w:val="a4"/>
        <w:numPr>
          <w:ilvl w:val="0"/>
          <w:numId w:val="635"/>
        </w:numPr>
        <w:ind w:leftChars="0" w:left="454" w:hanging="454"/>
      </w:pPr>
      <w:r w:rsidRPr="00BC31E0">
        <w:rPr>
          <w:rFonts w:asciiTheme="minorEastAsia" w:eastAsiaTheme="minorEastAsia" w:hAnsiTheme="minorEastAsia" w:hint="eastAsia"/>
          <w:bCs/>
        </w:rPr>
        <w:t>切欠き引張強さ</w:t>
      </w:r>
    </w:p>
    <w:p w14:paraId="20551A0C" w14:textId="77777777" w:rsidR="00A40784" w:rsidRPr="00BC31E0" w:rsidRDefault="00A40784" w:rsidP="001376A3">
      <w:r w:rsidRPr="00BC31E0">
        <w:t xml:space="preserve">　</w:t>
      </w:r>
      <w:r w:rsidRPr="00BC31E0">
        <w:rPr>
          <w:rFonts w:hint="eastAsia"/>
        </w:rPr>
        <w:t>切欠き引張試験で使用する制御変数の各組に対応する引張強さ及び降伏強さを，切欠き引張強さと降伏強さの比と共に記録する。</w:t>
      </w:r>
    </w:p>
    <w:p w14:paraId="7BD51473" w14:textId="77777777" w:rsidR="00A40784" w:rsidRPr="00BC31E0" w:rsidRDefault="00A40784" w:rsidP="001376A3"/>
    <w:p w14:paraId="387E74AB" w14:textId="77777777" w:rsidR="00A40784" w:rsidRPr="00BC31E0" w:rsidRDefault="00A40784" w:rsidP="00A57D49">
      <w:pPr>
        <w:pStyle w:val="13"/>
        <w:spacing w:line="240" w:lineRule="auto"/>
        <w:ind w:left="340" w:hanging="340"/>
      </w:pPr>
      <w:r w:rsidRPr="00BC31E0">
        <w:rPr>
          <w:rFonts w:hint="eastAsia"/>
        </w:rPr>
        <w:t>丸棒による試験方法</w:t>
      </w:r>
    </w:p>
    <w:p w14:paraId="664E8562" w14:textId="77777777" w:rsidR="00A40784" w:rsidRPr="00BC31E0" w:rsidRDefault="00A40784" w:rsidP="00A57D49">
      <w:pPr>
        <w:pStyle w:val="110"/>
        <w:spacing w:line="240" w:lineRule="auto"/>
        <w:ind w:left="567" w:hanging="567"/>
      </w:pPr>
      <w:r w:rsidRPr="00BC31E0">
        <w:rPr>
          <w:rFonts w:hint="eastAsia"/>
        </w:rPr>
        <w:t>適用範囲</w:t>
      </w:r>
    </w:p>
    <w:p w14:paraId="6D5FE275" w14:textId="77777777" w:rsidR="00A40784" w:rsidRPr="00BC31E0" w:rsidRDefault="00A40784" w:rsidP="001376A3">
      <w:pPr>
        <w:pStyle w:val="113"/>
        <w:ind w:firstLine="210"/>
      </w:pPr>
      <w:r w:rsidRPr="00BC31E0">
        <w:t>本試験方法は厚肉材料の応力集中又は亀裂を起点とする平面ひずみ条件下の破壊への抵抗性の比較測定を取扱う。測定される物理量は特定の寸法を有する試験片の切欠き引張強さであり，この値は材料特性と同様に試験片寸法に依存する。また，切欠き引張強さと降伏強さの比も決まる。</w:t>
      </w:r>
    </w:p>
    <w:p w14:paraId="127F84E3" w14:textId="77777777" w:rsidR="00A40784" w:rsidRPr="00BC31E0" w:rsidRDefault="00A40784" w:rsidP="001376A3">
      <w:pPr>
        <w:pStyle w:val="113"/>
        <w:ind w:firstLine="210"/>
      </w:pPr>
      <w:r w:rsidRPr="00BC31E0">
        <w:t>本試験方法は切欠き付試験片</w:t>
      </w:r>
      <w:r w:rsidRPr="00BC31E0">
        <w:t>(</w:t>
      </w:r>
      <w:r w:rsidRPr="00BC31E0">
        <w:t>切欠き先端半径が</w:t>
      </w:r>
      <w:r w:rsidRPr="00BC31E0">
        <w:t>0.018 mm</w:t>
      </w:r>
      <w:r w:rsidRPr="00BC31E0">
        <w:t>以下</w:t>
      </w:r>
      <w:r w:rsidRPr="00BC31E0">
        <w:t>)</w:t>
      </w:r>
      <w:r w:rsidRPr="00BC31E0">
        <w:t>に</w:t>
      </w:r>
      <w:r w:rsidRPr="00BC31E0">
        <w:rPr>
          <w:rFonts w:hint="eastAsia"/>
        </w:rPr>
        <w:t>限定</w:t>
      </w:r>
      <w:r w:rsidRPr="00BC31E0">
        <w:t>され，再現性よく機械加工でき得る切欠きを持つ材料としてアルミニウム合金に適用される。</w:t>
      </w:r>
    </w:p>
    <w:p w14:paraId="4119BEF9" w14:textId="77777777" w:rsidR="00A40784" w:rsidRPr="00BC31E0" w:rsidRDefault="00A40784" w:rsidP="001376A3">
      <w:pPr>
        <w:pStyle w:val="113"/>
        <w:ind w:firstLine="210"/>
      </w:pPr>
      <w:r w:rsidRPr="00BC31E0">
        <w:t>本試験方法は</w:t>
      </w:r>
      <w:r w:rsidRPr="00BC31E0">
        <w:rPr>
          <w:rFonts w:ascii="ＭＳ ゴシック" w:eastAsia="ＭＳ ゴシック" w:hAnsi="ＭＳ ゴシック"/>
          <w:b/>
        </w:rPr>
        <w:t>図K.5</w:t>
      </w:r>
      <w:r w:rsidRPr="00BC31E0">
        <w:t>に示す</w:t>
      </w:r>
      <w:r w:rsidRPr="00BC31E0">
        <w:t>2</w:t>
      </w:r>
      <w:r w:rsidRPr="00BC31E0">
        <w:t>つの直径を持つ丸棒試験片に</w:t>
      </w:r>
      <w:r w:rsidRPr="00BC31E0">
        <w:rPr>
          <w:rFonts w:hint="eastAsia"/>
        </w:rPr>
        <w:t>限定</w:t>
      </w:r>
      <w:r w:rsidRPr="00BC31E0">
        <w:t>される。直径</w:t>
      </w:r>
      <w:r w:rsidRPr="00BC31E0">
        <w:t>27.0 mm</w:t>
      </w:r>
      <w:r w:rsidRPr="00BC31E0">
        <w:t>試験片は，直径</w:t>
      </w:r>
      <w:r w:rsidRPr="00BC31E0">
        <w:t>12.7 mm</w:t>
      </w:r>
      <w:r w:rsidRPr="00BC31E0">
        <w:t>試験片より靭性レベルが高いため，この試験方法の適用範囲が拡張される。</w:t>
      </w:r>
    </w:p>
    <w:p w14:paraId="13C02D60" w14:textId="77777777" w:rsidR="00A40784" w:rsidRPr="00BC31E0" w:rsidRDefault="00A40784" w:rsidP="001376A3">
      <w:pPr>
        <w:pStyle w:val="113"/>
        <w:ind w:firstLine="210"/>
      </w:pPr>
      <w:r w:rsidRPr="00BC31E0">
        <w:t>本試験方法は直径</w:t>
      </w:r>
      <w:r w:rsidRPr="00BC31E0">
        <w:t>12.7 mm</w:t>
      </w:r>
      <w:r w:rsidRPr="00BC31E0">
        <w:t>以上の材料に</w:t>
      </w:r>
      <w:r w:rsidRPr="00BC31E0">
        <w:rPr>
          <w:rFonts w:hint="eastAsia"/>
        </w:rPr>
        <w:t>限定</w:t>
      </w:r>
      <w:r w:rsidRPr="00BC31E0">
        <w:t>される。切欠き引張強さは一定の制限内で試験片直径及び長さに依存するため，種々の材料条件の比較は試験ヘッドと切欠きの応力場間の重大な相互作用を防ぐために十分な同じ公称直径及び試験部長さを持つ試験片による試験に基づかなければならない</w:t>
      </w:r>
      <w:r w:rsidR="003D41D9" w:rsidRPr="00BC31E0">
        <w:t xml:space="preserve"> </w:t>
      </w:r>
      <w:r w:rsidRPr="00BC31E0">
        <w:t>(</w:t>
      </w:r>
      <w:r w:rsidRPr="00BC31E0">
        <w:rPr>
          <w:rFonts w:ascii="ＭＳ ゴシック" w:eastAsia="ＭＳ ゴシック" w:hAnsi="ＭＳ ゴシック"/>
          <w:b/>
        </w:rPr>
        <w:t>図K.5</w:t>
      </w:r>
      <w:r w:rsidRPr="00BC31E0">
        <w:t>を参照</w:t>
      </w:r>
      <w:r w:rsidRPr="00BC31E0">
        <w:t>)</w:t>
      </w:r>
      <w:r w:rsidR="003D41D9" w:rsidRPr="00BC31E0">
        <w:t xml:space="preserve"> </w:t>
      </w:r>
      <w:r w:rsidR="003D41D9" w:rsidRPr="00BC31E0">
        <w:t>。</w:t>
      </w:r>
    </w:p>
    <w:p w14:paraId="4E998A53" w14:textId="77777777" w:rsidR="00A40784" w:rsidRPr="00BC31E0" w:rsidRDefault="00A40784" w:rsidP="001376A3">
      <w:pPr>
        <w:pStyle w:val="113"/>
        <w:ind w:firstLine="210"/>
      </w:pPr>
      <w:r w:rsidRPr="00BC31E0">
        <w:t>切欠き引張強さは，材料特性による一定の範囲内の温度に強く依存する。本試験方法は</w:t>
      </w:r>
      <w:r w:rsidR="005971AC" w:rsidRPr="00BC31E0">
        <w:rPr>
          <w:rFonts w:hint="eastAsia"/>
        </w:rPr>
        <w:t>，</w:t>
      </w:r>
      <w:r w:rsidRPr="00BC31E0">
        <w:t>任意の適切な温度における試験に適する。種々の材料条件の比較は</w:t>
      </w:r>
      <w:r w:rsidR="005971AC" w:rsidRPr="00BC31E0">
        <w:rPr>
          <w:rFonts w:hint="eastAsia"/>
        </w:rPr>
        <w:t>，</w:t>
      </w:r>
      <w:r w:rsidRPr="00BC31E0">
        <w:t>同一温度にお</w:t>
      </w:r>
      <w:r w:rsidR="00AD2D0E" w:rsidRPr="00BC31E0">
        <w:rPr>
          <w:rFonts w:hint="eastAsia"/>
        </w:rPr>
        <w:t>ける</w:t>
      </w:r>
      <w:r w:rsidRPr="00BC31E0">
        <w:t>試験に基づ</w:t>
      </w:r>
      <w:r w:rsidR="00AD2D0E" w:rsidRPr="00BC31E0">
        <w:rPr>
          <w:rFonts w:hint="eastAsia"/>
        </w:rPr>
        <w:t>か</w:t>
      </w:r>
      <w:r w:rsidRPr="00BC31E0">
        <w:lastRenderedPageBreak/>
        <w:t>なければならない。</w:t>
      </w:r>
    </w:p>
    <w:p w14:paraId="735C72CF" w14:textId="77777777" w:rsidR="00A40784" w:rsidRPr="00BC31E0" w:rsidRDefault="00A40784" w:rsidP="003D41D9">
      <w:pPr>
        <w:pStyle w:val="110"/>
        <w:spacing w:line="240" w:lineRule="auto"/>
        <w:ind w:left="567" w:hanging="567"/>
      </w:pPr>
      <w:r w:rsidRPr="00BC31E0">
        <w:rPr>
          <w:rFonts w:hint="eastAsia"/>
        </w:rPr>
        <w:t>試験装置</w:t>
      </w:r>
    </w:p>
    <w:p w14:paraId="3CAD552D" w14:textId="77777777" w:rsidR="00A40784" w:rsidRPr="00BC31E0" w:rsidRDefault="00A40784" w:rsidP="003D41D9">
      <w:pPr>
        <w:pStyle w:val="111"/>
        <w:ind w:left="794" w:hanging="794"/>
      </w:pPr>
      <w:r w:rsidRPr="00BC31E0">
        <w:rPr>
          <w:rFonts w:hint="eastAsia"/>
        </w:rPr>
        <w:t>一般</w:t>
      </w:r>
    </w:p>
    <w:p w14:paraId="60A9816D" w14:textId="77777777" w:rsidR="00A40784" w:rsidRPr="00BC31E0" w:rsidRDefault="00A40784" w:rsidP="003D41D9">
      <w:pPr>
        <w:pStyle w:val="1110"/>
        <w:ind w:firstLine="210"/>
      </w:pPr>
      <w:r w:rsidRPr="00BC31E0">
        <w:t>試験は</w:t>
      </w:r>
      <w:r w:rsidRPr="00BC31E0">
        <w:rPr>
          <w:rFonts w:ascii="ＭＳ ゴシック" w:eastAsia="ＭＳ ゴシック" w:hAnsi="ＭＳ ゴシック"/>
          <w:b/>
        </w:rPr>
        <w:t>JIS B 7721</w:t>
      </w:r>
      <w:r w:rsidRPr="00BC31E0">
        <w:t>による等級</w:t>
      </w:r>
      <w:r w:rsidRPr="00BC31E0">
        <w:t>1</w:t>
      </w:r>
      <w:r w:rsidRPr="00BC31E0">
        <w:t>級以上の要求事項に従う引張試験機により行う。</w:t>
      </w:r>
    </w:p>
    <w:p w14:paraId="61D729E2" w14:textId="77777777" w:rsidR="00A40784" w:rsidRPr="00BC31E0" w:rsidRDefault="00A40784" w:rsidP="003D41D9">
      <w:pPr>
        <w:pStyle w:val="111"/>
        <w:ind w:left="794" w:hanging="794"/>
      </w:pPr>
      <w:r w:rsidRPr="00BC31E0">
        <w:rPr>
          <w:rFonts w:hint="eastAsia"/>
        </w:rPr>
        <w:t>試験用治具</w:t>
      </w:r>
    </w:p>
    <w:p w14:paraId="166EA38A" w14:textId="77777777" w:rsidR="00A40784" w:rsidRPr="00BC31E0" w:rsidRDefault="00A40784" w:rsidP="003D41D9">
      <w:pPr>
        <w:pStyle w:val="1110"/>
        <w:ind w:firstLine="210"/>
      </w:pPr>
      <w:r w:rsidRPr="00BC31E0">
        <w:t>曲げ率が</w:t>
      </w:r>
      <w:r w:rsidRPr="00BC31E0">
        <w:rPr>
          <w:rFonts w:ascii="ＭＳ ゴシック" w:eastAsia="ＭＳ ゴシック" w:hAnsi="ＭＳ ゴシック"/>
          <w:b/>
        </w:rPr>
        <w:t>2.4</w:t>
      </w:r>
      <w:r w:rsidRPr="00BC31E0">
        <w:t>の要求事項を満足している試験用治具を用いる。ねじ付き試験片用の軸調整試験用治具はこれらの要求事項を満足する設計となっている。迅速な操作特性を持つテーパ付きつかみは滑らかな試験片の試験用に提案されてきた。これらは切欠き付丸棒試験片にも用いられてきた。荷重アライナーが使用され，荷重伝達部材が</w:t>
      </w:r>
      <w:r w:rsidR="006C270C" w:rsidRPr="00BC31E0">
        <w:rPr>
          <w:rFonts w:hint="eastAsia"/>
        </w:rPr>
        <w:t>一つ</w:t>
      </w:r>
      <w:r w:rsidRPr="00BC31E0">
        <w:t>の部材により引き起こされる曲げを他の部材によって相殺されるように配置される条件で，これらのつかみ部は</w:t>
      </w:r>
      <w:r w:rsidRPr="00BC31E0">
        <w:rPr>
          <w:rFonts w:ascii="ＭＳ ゴシック" w:eastAsia="ＭＳ ゴシック" w:hAnsi="ＭＳ ゴシック"/>
          <w:b/>
        </w:rPr>
        <w:t>2.4</w:t>
      </w:r>
      <w:r w:rsidRPr="00BC31E0">
        <w:t>の曲げ要求事項を満足することを示している。</w:t>
      </w:r>
    </w:p>
    <w:p w14:paraId="2D848FD8" w14:textId="77777777" w:rsidR="00A40784" w:rsidRPr="00BC31E0" w:rsidRDefault="00A40784" w:rsidP="003D41D9">
      <w:pPr>
        <w:pStyle w:val="111"/>
        <w:ind w:left="794" w:hanging="794"/>
      </w:pPr>
      <w:r w:rsidRPr="00BC31E0">
        <w:rPr>
          <w:rFonts w:hint="eastAsia"/>
        </w:rPr>
        <w:t>温度制御</w:t>
      </w:r>
    </w:p>
    <w:p w14:paraId="518F1979" w14:textId="77777777" w:rsidR="00A40784" w:rsidRPr="00BC31E0" w:rsidRDefault="00A40784" w:rsidP="003D41D9">
      <w:pPr>
        <w:pStyle w:val="1110"/>
        <w:ind w:firstLine="210"/>
      </w:pPr>
      <w:r w:rsidRPr="00BC31E0">
        <w:t>室温以外で行う試験において，試験片を加熱又は冷却し，切欠きを含む範囲の温度を均一に保つ適切な方法を用いてもよい。温度を均一に保つ装置の能力は，試験片の切欠き範囲で直接温度を測定して立証しなければならない。温度測定は試験が実施される各温度レベル又は試験温度範囲にわたり</w:t>
      </w:r>
      <w:r w:rsidRPr="00BC31E0">
        <w:t>30</w:t>
      </w:r>
      <w:r w:rsidRPr="00BC31E0">
        <w:rPr>
          <w:rFonts w:ascii="ＭＳ 明朝" w:hAnsi="ＭＳ 明朝" w:cs="ＭＳ 明朝" w:hint="eastAsia"/>
        </w:rPr>
        <w:t>℃</w:t>
      </w:r>
      <w:r w:rsidRPr="00BC31E0">
        <w:t>間隔の温度レベルで行う。試験温度は試験実施の間</w:t>
      </w:r>
      <w:r w:rsidRPr="00BC31E0">
        <w:rPr>
          <w:rFonts w:ascii="Cambria Math" w:hAnsi="Cambria Math"/>
        </w:rPr>
        <w:t>±</w:t>
      </w:r>
      <w:r w:rsidRPr="00BC31E0">
        <w:t>1.5</w:t>
      </w:r>
      <w:r w:rsidRPr="00BC31E0">
        <w:rPr>
          <w:rFonts w:ascii="ＭＳ 明朝" w:hAnsi="ＭＳ 明朝" w:cs="ＭＳ 明朝" w:hint="eastAsia"/>
        </w:rPr>
        <w:t>℃</w:t>
      </w:r>
      <w:r w:rsidRPr="00BC31E0">
        <w:t>以内に保持する。試験温度において，</w:t>
      </w:r>
      <w:r w:rsidR="003D41D9" w:rsidRPr="00BC31E0">
        <w:rPr>
          <w:rFonts w:hint="eastAsia"/>
        </w:rPr>
        <w:t>三つ</w:t>
      </w:r>
      <w:r w:rsidRPr="00BC31E0">
        <w:t>の熱電対における指示温度の差は</w:t>
      </w:r>
      <w:r w:rsidRPr="00BC31E0">
        <w:t>3</w:t>
      </w:r>
      <w:r w:rsidRPr="00BC31E0">
        <w:rPr>
          <w:rFonts w:ascii="ＭＳ 明朝" w:hAnsi="ＭＳ 明朝" w:cs="ＭＳ 明朝" w:hint="eastAsia"/>
        </w:rPr>
        <w:t>℃</w:t>
      </w:r>
      <w:r w:rsidRPr="00BC31E0">
        <w:t>を超えてはならない。温度はポテンショメータとミリボルト計を併せて使用する校正された熱電対により測定する。</w:t>
      </w:r>
    </w:p>
    <w:p w14:paraId="79D12626" w14:textId="77777777" w:rsidR="00A40784" w:rsidRPr="00BC31E0" w:rsidRDefault="00A40784" w:rsidP="003D41D9">
      <w:pPr>
        <w:pStyle w:val="110"/>
        <w:spacing w:line="240" w:lineRule="auto"/>
        <w:ind w:left="567" w:hanging="567"/>
      </w:pPr>
      <w:r w:rsidRPr="00BC31E0">
        <w:rPr>
          <w:rFonts w:hint="eastAsia"/>
        </w:rPr>
        <w:t>試験片</w:t>
      </w:r>
    </w:p>
    <w:p w14:paraId="67B16EEC" w14:textId="77777777" w:rsidR="00A40784" w:rsidRPr="00BC31E0" w:rsidRDefault="00A40784" w:rsidP="003D41D9">
      <w:pPr>
        <w:pStyle w:val="111"/>
        <w:ind w:left="794" w:hanging="794"/>
      </w:pPr>
      <w:r w:rsidRPr="00BC31E0">
        <w:rPr>
          <w:rFonts w:hint="eastAsia"/>
        </w:rPr>
        <w:t>寸法</w:t>
      </w:r>
    </w:p>
    <w:p w14:paraId="1CF93BF6" w14:textId="77777777" w:rsidR="00A40784" w:rsidRPr="00BC31E0" w:rsidRDefault="00A40784" w:rsidP="003D41D9">
      <w:pPr>
        <w:rPr>
          <w:rFonts w:asciiTheme="minorHAnsi" w:hAnsiTheme="minorHAnsi"/>
        </w:rPr>
      </w:pPr>
      <w:r w:rsidRPr="00BC31E0">
        <w:rPr>
          <w:rFonts w:asciiTheme="minorHAnsi" w:hAnsiTheme="minorHAnsi"/>
        </w:rPr>
        <w:t xml:space="preserve">　</w:t>
      </w:r>
      <w:r w:rsidRPr="00BC31E0">
        <w:rPr>
          <w:rFonts w:ascii="ＭＳ ゴシック" w:eastAsia="ＭＳ ゴシック" w:hAnsi="ＭＳ ゴシック"/>
          <w:b/>
        </w:rPr>
        <w:t>図K.5</w:t>
      </w:r>
      <w:r w:rsidRPr="00BC31E0">
        <w:rPr>
          <w:rFonts w:asciiTheme="minorHAnsi" w:hAnsiTheme="minorHAnsi"/>
        </w:rPr>
        <w:t>に</w:t>
      </w:r>
      <w:r w:rsidRPr="00BC31E0">
        <w:rPr>
          <w:rFonts w:asciiTheme="minorHAnsi" w:hAnsiTheme="minorHAnsi"/>
        </w:rPr>
        <w:t>2</w:t>
      </w:r>
      <w:r w:rsidRPr="00BC31E0">
        <w:rPr>
          <w:rFonts w:asciiTheme="minorHAnsi" w:hAnsiTheme="minorHAnsi"/>
        </w:rPr>
        <w:t>種類の推奨する切欠き付試験片を示す。直径</w:t>
      </w:r>
      <w:r w:rsidRPr="00BC31E0">
        <w:rPr>
          <w:rFonts w:asciiTheme="minorHAnsi" w:hAnsiTheme="minorHAnsi"/>
        </w:rPr>
        <w:t>12.7 mm</w:t>
      </w:r>
      <w:r w:rsidRPr="00BC31E0">
        <w:rPr>
          <w:rFonts w:asciiTheme="minorHAnsi" w:hAnsiTheme="minorHAnsi"/>
        </w:rPr>
        <w:t>試験片の試験部は最小長さ</w:t>
      </w:r>
      <m:oMath>
        <m:r>
          <m:rPr>
            <m:sty m:val="p"/>
          </m:rPr>
          <w:rPr>
            <w:rFonts w:ascii="Cambria Math" w:hAnsi="Cambria Math" w:hint="eastAsia"/>
          </w:rPr>
          <m:t xml:space="preserve"> </m:t>
        </m:r>
        <m:r>
          <w:rPr>
            <w:rFonts w:ascii="Cambria Math" w:hAnsi="Cambria Math"/>
          </w:rPr>
          <m:t>L=</m:t>
        </m:r>
      </m:oMath>
      <w:r w:rsidRPr="00BC31E0">
        <w:rPr>
          <w:rFonts w:asciiTheme="minorHAnsi" w:hAnsiTheme="minorHAnsi"/>
        </w:rPr>
        <w:t>25.4 mm</w:t>
      </w:r>
      <w:r w:rsidRPr="00BC31E0">
        <w:rPr>
          <w:rFonts w:asciiTheme="minorHAnsi" w:hAnsiTheme="minorHAnsi"/>
        </w:rPr>
        <w:t>とする。直径</w:t>
      </w:r>
      <w:r w:rsidRPr="00BC31E0">
        <w:rPr>
          <w:rFonts w:asciiTheme="minorHAnsi" w:hAnsiTheme="minorHAnsi"/>
        </w:rPr>
        <w:t>27.0 mm</w:t>
      </w:r>
      <w:r w:rsidRPr="00BC31E0">
        <w:rPr>
          <w:rFonts w:asciiTheme="minorHAnsi" w:hAnsiTheme="minorHAnsi"/>
        </w:rPr>
        <w:t>試験片の試験部は最小長さ</w:t>
      </w:r>
      <m:oMath>
        <m:r>
          <m:rPr>
            <m:sty m:val="p"/>
          </m:rPr>
          <w:rPr>
            <w:rFonts w:ascii="Cambria Math" w:hAnsi="Cambria Math" w:hint="eastAsia"/>
          </w:rPr>
          <m:t xml:space="preserve"> </m:t>
        </m:r>
        <m:r>
          <w:rPr>
            <w:rFonts w:ascii="Cambria Math" w:hAnsi="Cambria Math"/>
          </w:rPr>
          <m:t>L</m:t>
        </m:r>
        <m:r>
          <m:rPr>
            <m:sty m:val="p"/>
          </m:rPr>
          <w:rPr>
            <w:rFonts w:ascii="Cambria Math" w:hAnsi="Cambria Math"/>
          </w:rPr>
          <m:t>=</m:t>
        </m:r>
      </m:oMath>
      <w:r w:rsidRPr="00BC31E0">
        <w:rPr>
          <w:rFonts w:asciiTheme="minorHAnsi" w:hAnsiTheme="minorHAnsi"/>
        </w:rPr>
        <w:t>55.0 mm</w:t>
      </w:r>
      <w:r w:rsidRPr="00BC31E0">
        <w:rPr>
          <w:rFonts w:asciiTheme="minorHAnsi" w:hAnsiTheme="minorHAnsi"/>
        </w:rPr>
        <w:t>とする。</w:t>
      </w:r>
    </w:p>
    <w:p w14:paraId="207E193F" w14:textId="77777777" w:rsidR="00A40784" w:rsidRPr="00BC31E0" w:rsidRDefault="00A40784" w:rsidP="003D41D9">
      <w:pPr>
        <w:pStyle w:val="111"/>
        <w:ind w:left="794" w:hanging="794"/>
      </w:pPr>
      <w:r w:rsidRPr="00BC31E0">
        <w:rPr>
          <w:rFonts w:hint="eastAsia"/>
        </w:rPr>
        <w:t>試験片ヘッド</w:t>
      </w:r>
    </w:p>
    <w:p w14:paraId="209B474D" w14:textId="77777777" w:rsidR="00A40784" w:rsidRPr="00BC31E0" w:rsidRDefault="00A40784" w:rsidP="003D41D9">
      <w:pPr>
        <w:rPr>
          <w:rFonts w:asciiTheme="minorHAnsi" w:hAnsiTheme="minorHAnsi"/>
        </w:rPr>
      </w:pPr>
      <w:r w:rsidRPr="00BC31E0">
        <w:rPr>
          <w:rFonts w:asciiTheme="minorHAnsi" w:hAnsiTheme="minorHAnsi"/>
        </w:rPr>
        <w:t xml:space="preserve">　切欠き試験部にはテーパヘッド，ねじ，その他</w:t>
      </w:r>
      <w:r w:rsidRPr="00BC31E0">
        <w:rPr>
          <w:rFonts w:ascii="ＭＳ ゴシック" w:eastAsia="ＭＳ ゴシック" w:hAnsi="ＭＳ ゴシック"/>
          <w:b/>
        </w:rPr>
        <w:t>2.4</w:t>
      </w:r>
      <w:r w:rsidRPr="00BC31E0">
        <w:rPr>
          <w:rFonts w:asciiTheme="minorHAnsi" w:hAnsiTheme="minorHAnsi"/>
        </w:rPr>
        <w:t>の最大曲げ要求事項を超えない試験用治具によって試験力を伝達してもよい。テーパヘッド及びねじヘッドの代表的な例を</w:t>
      </w:r>
      <w:r w:rsidRPr="00BC31E0">
        <w:rPr>
          <w:rFonts w:ascii="ＭＳ ゴシック" w:eastAsia="ＭＳ ゴシック" w:hAnsi="ＭＳ ゴシック"/>
          <w:b/>
        </w:rPr>
        <w:t>図K.6</w:t>
      </w:r>
      <w:r w:rsidRPr="00BC31E0">
        <w:rPr>
          <w:rFonts w:asciiTheme="minorHAnsi" w:hAnsiTheme="minorHAnsi"/>
        </w:rPr>
        <w:t>と</w:t>
      </w:r>
      <w:r w:rsidRPr="00BC31E0">
        <w:rPr>
          <w:rFonts w:ascii="ＭＳ ゴシック" w:eastAsia="ＭＳ ゴシック" w:hAnsi="ＭＳ ゴシック"/>
          <w:b/>
        </w:rPr>
        <w:t>図K.7</w:t>
      </w:r>
      <w:r w:rsidRPr="00BC31E0">
        <w:rPr>
          <w:rFonts w:asciiTheme="minorHAnsi" w:hAnsiTheme="minorHAnsi"/>
        </w:rPr>
        <w:t>にそれぞれ示す。</w:t>
      </w:r>
    </w:p>
    <w:p w14:paraId="000B1E68" w14:textId="77777777" w:rsidR="00A40784" w:rsidRPr="00BC31E0" w:rsidRDefault="00A40784" w:rsidP="003D41D9">
      <w:pPr>
        <w:pStyle w:val="111"/>
        <w:ind w:left="794" w:hanging="794"/>
      </w:pPr>
      <w:r w:rsidRPr="00BC31E0">
        <w:rPr>
          <w:rFonts w:hint="eastAsia"/>
        </w:rPr>
        <w:t>切欠き</w:t>
      </w:r>
    </w:p>
    <w:p w14:paraId="459A2F8F" w14:textId="77777777" w:rsidR="00A40784" w:rsidRPr="00BC31E0" w:rsidRDefault="00A40784" w:rsidP="003D41D9">
      <w:r w:rsidRPr="00BC31E0">
        <w:t xml:space="preserve">　機械加工された切欠きの鋭度は試験片の重要な特徴であり，試験片作成時に特別な配慮が要求される。とりわけ著しい残留応力の導入を避けるために最終加工は軽度で低速に行わなければならない。各試験片において切欠き底半径は試験前に測定し，</w:t>
      </w:r>
      <w:r w:rsidRPr="00BC31E0">
        <w:rPr>
          <w:rFonts w:ascii="ＭＳ ゴシック" w:eastAsia="ＭＳ ゴシック" w:hAnsi="ＭＳ ゴシック"/>
          <w:b/>
        </w:rPr>
        <w:t>図K.5</w:t>
      </w:r>
      <w:r w:rsidRPr="00BC31E0">
        <w:t>の</w:t>
      </w:r>
      <w:r w:rsidRPr="00BC31E0">
        <w:t>0.018 mm</w:t>
      </w:r>
      <w:r w:rsidRPr="00BC31E0">
        <w:t>制限を満足しない試験片は廃棄又は再加工しなければならない</w:t>
      </w:r>
      <w:r w:rsidRPr="00BC31E0">
        <w:t>(</w:t>
      </w:r>
      <w:r w:rsidRPr="00BC31E0">
        <w:rPr>
          <w:rFonts w:ascii="ＭＳ ゴシック" w:eastAsia="ＭＳ ゴシック" w:hAnsi="ＭＳ ゴシック"/>
          <w:b/>
        </w:rPr>
        <w:t>2.5</w:t>
      </w:r>
      <w:r w:rsidRPr="00BC31E0">
        <w:t>を参照</w:t>
      </w:r>
      <w:r w:rsidRPr="00BC31E0">
        <w:t>)</w:t>
      </w:r>
      <w:r w:rsidRPr="00BC31E0">
        <w:t>。</w:t>
      </w:r>
    </w:p>
    <w:p w14:paraId="471F4822" w14:textId="77777777" w:rsidR="00A40784" w:rsidRPr="00BC31E0" w:rsidRDefault="00A40784" w:rsidP="003D41D9">
      <w:pPr>
        <w:pStyle w:val="111"/>
        <w:ind w:left="794" w:hanging="794"/>
      </w:pPr>
      <w:r w:rsidRPr="00BC31E0">
        <w:rPr>
          <w:rFonts w:hint="eastAsia"/>
        </w:rPr>
        <w:t>加工</w:t>
      </w:r>
    </w:p>
    <w:p w14:paraId="161F16E6" w14:textId="77777777" w:rsidR="00A40784" w:rsidRPr="00BC31E0" w:rsidRDefault="00A40784" w:rsidP="003D41D9">
      <w:r w:rsidRPr="00BC31E0">
        <w:t xml:space="preserve">　試験中の曲げ応力を最小化することは重要なため，最小の振れで切欠き付試験片を加工するのに特別な注意が取られる。丸棒表面及び試験片ヘッドは</w:t>
      </w:r>
      <w:r w:rsidRPr="00BC31E0">
        <w:rPr>
          <w:rFonts w:asciiTheme="minorHAnsi" w:hAnsiTheme="minorHAnsi"/>
        </w:rPr>
        <w:t>，</w:t>
      </w:r>
      <w:r w:rsidRPr="00BC31E0">
        <w:rPr>
          <w:rFonts w:asciiTheme="minorHAnsi" w:hAnsiTheme="minorHAnsi" w:hint="eastAsia"/>
        </w:rPr>
        <w:t>切欠きに対して</w:t>
      </w:r>
      <w:r w:rsidRPr="00BC31E0">
        <w:t>0.025 mm</w:t>
      </w:r>
      <w:r w:rsidRPr="00BC31E0">
        <w:rPr>
          <w:rFonts w:hint="eastAsia"/>
        </w:rPr>
        <w:t>の偏芯量を</w:t>
      </w:r>
      <w:r w:rsidRPr="00BC31E0">
        <w:t>超えない</w:t>
      </w:r>
      <w:r w:rsidRPr="00BC31E0">
        <w:rPr>
          <w:rFonts w:hint="eastAsia"/>
        </w:rPr>
        <w:t>ように</w:t>
      </w:r>
      <w:r w:rsidRPr="00BC31E0">
        <w:t>機械加工を</w:t>
      </w:r>
      <w:r w:rsidRPr="00BC31E0">
        <w:rPr>
          <w:rFonts w:hint="eastAsia"/>
        </w:rPr>
        <w:t>行う</w:t>
      </w:r>
      <w:r w:rsidRPr="00BC31E0">
        <w:t>。通常，試験片は中心間で機械加工を行うことが可能であれば全ての機械加工は同じセットアップで行うべきである。不可能な場合</w:t>
      </w:r>
      <w:r w:rsidR="001128DE" w:rsidRPr="00BC31E0">
        <w:rPr>
          <w:rFonts w:hint="eastAsia"/>
        </w:rPr>
        <w:t>に</w:t>
      </w:r>
      <w:r w:rsidRPr="00BC31E0">
        <w:t>は</w:t>
      </w:r>
      <w:r w:rsidR="001128DE" w:rsidRPr="00BC31E0">
        <w:rPr>
          <w:rFonts w:hint="eastAsia"/>
        </w:rPr>
        <w:t>，</w:t>
      </w:r>
      <w:r w:rsidRPr="00BC31E0">
        <w:t>最初の操作で使用した中心を保持し，汚れや損傷から守るように注意</w:t>
      </w:r>
      <w:r w:rsidR="001128DE" w:rsidRPr="00BC31E0">
        <w:rPr>
          <w:rFonts w:hint="eastAsia"/>
        </w:rPr>
        <w:t>しなければならない</w:t>
      </w:r>
      <w:r w:rsidRPr="00BC31E0">
        <w:t>。</w:t>
      </w:r>
    </w:p>
    <w:p w14:paraId="41BE212A" w14:textId="77777777" w:rsidR="00A40784" w:rsidRPr="00BC31E0" w:rsidRDefault="00A40784" w:rsidP="003D41D9">
      <w:pPr>
        <w:pStyle w:val="111"/>
        <w:ind w:left="794" w:hanging="794"/>
      </w:pPr>
      <w:r w:rsidRPr="00BC31E0">
        <w:rPr>
          <w:rFonts w:hint="eastAsia"/>
        </w:rPr>
        <w:t>試験の数</w:t>
      </w:r>
    </w:p>
    <w:p w14:paraId="360B1729" w14:textId="77777777" w:rsidR="00A40784" w:rsidRPr="00BC31E0" w:rsidRDefault="00A40784" w:rsidP="003D41D9">
      <w:r w:rsidRPr="00BC31E0">
        <w:lastRenderedPageBreak/>
        <w:t xml:space="preserve">　制御変数</w:t>
      </w:r>
      <w:r w:rsidRPr="00BC31E0">
        <w:t>(</w:t>
      </w:r>
      <w:r w:rsidRPr="00BC31E0">
        <w:t>材料要因，厚さ，温度</w:t>
      </w:r>
      <w:r w:rsidRPr="00BC31E0">
        <w:t>)</w:t>
      </w:r>
      <w:r w:rsidRPr="00BC31E0">
        <w:t>の値の各組において</w:t>
      </w:r>
      <w:r w:rsidR="00C250F3" w:rsidRPr="00BC31E0">
        <w:rPr>
          <w:rFonts w:hint="eastAsia"/>
        </w:rPr>
        <w:t>，</w:t>
      </w:r>
      <w:r w:rsidRPr="00BC31E0">
        <w:t>少なくとも</w:t>
      </w:r>
      <w:r w:rsidRPr="00BC31E0">
        <w:t>2</w:t>
      </w:r>
      <w:r w:rsidRPr="00BC31E0">
        <w:t>本の試験片の作成が推奨される。</w:t>
      </w:r>
    </w:p>
    <w:p w14:paraId="62843DA2" w14:textId="77777777" w:rsidR="00A40784" w:rsidRPr="00BC31E0" w:rsidRDefault="00A40784" w:rsidP="003D41D9">
      <w:pPr>
        <w:pStyle w:val="110"/>
        <w:spacing w:line="240" w:lineRule="auto"/>
        <w:ind w:left="567" w:hanging="567"/>
      </w:pPr>
      <w:r w:rsidRPr="00BC31E0">
        <w:rPr>
          <w:rFonts w:hint="eastAsia"/>
        </w:rPr>
        <w:t>検証</w:t>
      </w:r>
    </w:p>
    <w:p w14:paraId="063D6378" w14:textId="77777777" w:rsidR="00A40784" w:rsidRPr="00BC31E0" w:rsidRDefault="00A40784" w:rsidP="003D41D9">
      <w:pPr>
        <w:pStyle w:val="111"/>
        <w:ind w:left="794" w:hanging="794"/>
      </w:pPr>
      <w:r w:rsidRPr="00BC31E0">
        <w:rPr>
          <w:rFonts w:hint="eastAsia"/>
        </w:rPr>
        <w:t>一般</w:t>
      </w:r>
    </w:p>
    <w:p w14:paraId="7C1DB07B" w14:textId="77777777" w:rsidR="00A40784" w:rsidRPr="00BC31E0" w:rsidRDefault="00A40784" w:rsidP="003D41D9">
      <w:r w:rsidRPr="00BC31E0">
        <w:t xml:space="preserve">　検証手順の目的は</w:t>
      </w:r>
      <w:r w:rsidRPr="00BC31E0">
        <w:rPr>
          <w:rFonts w:ascii="ＭＳ ゴシック" w:eastAsia="ＭＳ ゴシック" w:hAnsi="ＭＳ ゴシック"/>
          <w:b/>
        </w:rPr>
        <w:t>2.4.3 a)</w:t>
      </w:r>
      <w:r w:rsidRPr="00BC31E0">
        <w:t>に規定された曲げ率の制限を一貫して満足するような方法で，試験者によって試験用治具が使用されることの実証である。従って，検証手順は切欠き付丸棒試験片の通常試験において使用されるセットアップ以上の注意は必要ない。例えば，アライナーを切欠き試験に使用する場合，これら装置は検証手順中に同じ方法で使用する。引張力が働いている状態の曲げ応力は，</w:t>
      </w:r>
      <w:r w:rsidRPr="00BC31E0">
        <w:rPr>
          <w:rFonts w:ascii="ＭＳ ゴシック" w:eastAsia="ＭＳ ゴシック" w:hAnsi="ＭＳ ゴシック"/>
          <w:b/>
        </w:rPr>
        <w:t>図K.8</w:t>
      </w:r>
      <w:r w:rsidRPr="00BC31E0">
        <w:t>に示す設計の検証試験片を使用して測定する。これらの測定は試験用治具が異なる引張試験機に取付けられているとき，異なる試験者が切欠き試験を行うとき，損傷が疑われるときに行う。全ての公差と同芯度の要求事項に注意して検証試験片は慎重に機械加工しなければならない。これらの要求事項を満足することを確認するために，試験片はひずみゲージ取付け前にオプチカルコンパレータにより注意深く検査する。ゲージ取付け後は意味のある試験片の検査が不可能であるため，取扱いと使用は慎重に行う。</w:t>
      </w:r>
    </w:p>
    <w:p w14:paraId="1A08603D" w14:textId="77777777" w:rsidR="00A40784" w:rsidRPr="00BC31E0" w:rsidRDefault="00A40784" w:rsidP="003D41D9">
      <w:pPr>
        <w:pStyle w:val="111"/>
        <w:ind w:left="794" w:hanging="794"/>
      </w:pPr>
      <w:r w:rsidRPr="00BC31E0">
        <w:rPr>
          <w:rFonts w:hint="eastAsia"/>
        </w:rPr>
        <w:t>ひずみゲージ</w:t>
      </w:r>
    </w:p>
    <w:p w14:paraId="4E60B9E2" w14:textId="77777777" w:rsidR="00A40784" w:rsidRPr="00BC31E0" w:rsidRDefault="00A40784" w:rsidP="003D41D9">
      <w:r w:rsidRPr="00BC31E0">
        <w:t xml:space="preserve">　検証試験片は，平行部の長手方向の中心に周方向に</w:t>
      </w:r>
      <w:r w:rsidRPr="00BC31E0">
        <w:t>90°</w:t>
      </w:r>
      <w:r w:rsidRPr="00BC31E0">
        <w:t>間隔で</w:t>
      </w:r>
      <w:r w:rsidRPr="00BC31E0">
        <w:t>4</w:t>
      </w:r>
      <w:r w:rsidRPr="00BC31E0">
        <w:t>本の抵抗箔ひずみゲージを取付ける。ひずみ平均化を最小にするためにこれらゲージは可能な限り狭くする必要がある。幅</w:t>
      </w:r>
      <w:r w:rsidRPr="00BC31E0">
        <w:t>0.25 mm</w:t>
      </w:r>
      <w:r w:rsidRPr="00BC31E0">
        <w:t>，長さ約</w:t>
      </w:r>
      <w:r w:rsidRPr="00BC31E0">
        <w:t>2.5 mm</w:t>
      </w:r>
      <w:r w:rsidRPr="00BC31E0">
        <w:t>のゲージが市販されており，これに適用されている。</w:t>
      </w:r>
    </w:p>
    <w:p w14:paraId="6FC7F601" w14:textId="77777777" w:rsidR="00A40784" w:rsidRPr="00BC31E0" w:rsidRDefault="00A40784" w:rsidP="003D41D9">
      <w:pPr>
        <w:pStyle w:val="111"/>
        <w:ind w:left="794" w:hanging="794"/>
      </w:pPr>
      <w:r w:rsidRPr="00BC31E0">
        <w:rPr>
          <w:rFonts w:hint="eastAsia"/>
        </w:rPr>
        <w:t>検証手順</w:t>
      </w:r>
    </w:p>
    <w:p w14:paraId="65357B92" w14:textId="77777777" w:rsidR="00A40784" w:rsidRPr="00BC31E0" w:rsidRDefault="00A40784" w:rsidP="003D41D9">
      <w:r w:rsidRPr="00BC31E0">
        <w:t xml:space="preserve">　検証手順及びひずみゲージデータ減少の詳細を示す。測定を開始する前にこの情報を参照する。当座の目的は</w:t>
      </w:r>
      <w:r w:rsidR="001E5271" w:rsidRPr="00BC31E0">
        <w:rPr>
          <w:rFonts w:hint="eastAsia"/>
        </w:rPr>
        <w:t>二つ</w:t>
      </w:r>
      <w:r w:rsidRPr="00BC31E0">
        <w:t>のケースを理解することである。</w:t>
      </w:r>
    </w:p>
    <w:p w14:paraId="4FD28FF1" w14:textId="77777777" w:rsidR="00A40784" w:rsidRPr="00BC31E0" w:rsidRDefault="00A40784" w:rsidP="003D41D9">
      <w:pPr>
        <w:ind w:leftChars="100" w:left="1264" w:hangingChars="500" w:hanging="1054"/>
      </w:pPr>
      <w:r w:rsidRPr="00BC31E0">
        <w:rPr>
          <w:rFonts w:ascii="ＭＳ ゴシック" w:eastAsia="ＭＳ ゴシック" w:hAnsi="ＭＳ ゴシック"/>
          <w:b/>
        </w:rPr>
        <w:t>ケース1</w:t>
      </w:r>
      <w:r w:rsidRPr="00BC31E0">
        <w:t>：試験用治具が低い曲げ応力を与える特別設計であり，使用寿命中に特別な注意を払わずに満足な結果を得られることが予想される場合。</w:t>
      </w:r>
    </w:p>
    <w:p w14:paraId="5BE8ECB6" w14:textId="77777777" w:rsidR="00A40784" w:rsidRPr="00BC31E0" w:rsidRDefault="00A40784" w:rsidP="003D41D9">
      <w:pPr>
        <w:ind w:leftChars="100" w:left="1264" w:hangingChars="500" w:hanging="1054"/>
      </w:pPr>
      <w:r w:rsidRPr="00BC31E0">
        <w:rPr>
          <w:rFonts w:ascii="ＭＳ ゴシック" w:eastAsia="ＭＳ ゴシック" w:hAnsi="ＭＳ ゴシック"/>
          <w:b/>
        </w:rPr>
        <w:t>ケース2</w:t>
      </w:r>
      <w:r w:rsidRPr="00BC31E0">
        <w:t>：試験用治具が正確性を求めずに設計され，切欠き付丸棒試験片の試験に採用される場合。</w:t>
      </w:r>
    </w:p>
    <w:p w14:paraId="11CDEBFE" w14:textId="77777777" w:rsidR="005C09FF" w:rsidRPr="00BC31E0" w:rsidRDefault="00A40784" w:rsidP="00736130">
      <w:pPr>
        <w:pStyle w:val="a4"/>
        <w:numPr>
          <w:ilvl w:val="0"/>
          <w:numId w:val="636"/>
        </w:numPr>
        <w:ind w:leftChars="0" w:left="454" w:hanging="454"/>
      </w:pPr>
      <w:r w:rsidRPr="00BC31E0">
        <w:rPr>
          <w:rFonts w:asciiTheme="majorEastAsia" w:eastAsiaTheme="majorEastAsia" w:hAnsiTheme="majorEastAsia"/>
          <w:b/>
        </w:rPr>
        <w:t>ケース1</w:t>
      </w:r>
      <w:r w:rsidR="003D41D9" w:rsidRPr="00BC31E0">
        <w:rPr>
          <w:rFonts w:hAnsi="ＭＳ ゴシック" w:hint="eastAsia"/>
        </w:rPr>
        <w:t xml:space="preserve">　</w:t>
      </w:r>
      <w:r w:rsidRPr="00BC31E0">
        <w:t>試験用治具の上部に検証試験片を取付け</w:t>
      </w:r>
      <w:r w:rsidR="003D41D9" w:rsidRPr="00BC31E0">
        <w:rPr>
          <w:rFonts w:hint="eastAsia"/>
        </w:rPr>
        <w:t>四</w:t>
      </w:r>
      <w:r w:rsidRPr="00BC31E0">
        <w:t>つ全てのゲージでゼロ点を読む。下部試験用治具と荷重伝達全ての回転部材を共通の線で接続する。組立品に荷重を加え検証試験片の平行部に</w:t>
      </w:r>
      <w:r w:rsidRPr="00BC31E0">
        <w:t>205 MPa</w:t>
      </w:r>
      <w:r w:rsidRPr="00BC31E0">
        <w:t>の応力を発生させて，</w:t>
      </w:r>
      <w:r w:rsidR="003D41D9" w:rsidRPr="00BC31E0">
        <w:rPr>
          <w:rFonts w:hint="eastAsia"/>
        </w:rPr>
        <w:t>四</w:t>
      </w:r>
      <w:r w:rsidRPr="00BC31E0">
        <w:t>つ全てのゲージ測定値を記録する。除荷した後，任意に選択した荷重伝達部材</w:t>
      </w:r>
      <w:r w:rsidRPr="00BC31E0">
        <w:t>(</w:t>
      </w:r>
      <w:r w:rsidRPr="00BC31E0">
        <w:t>試験片は除く</w:t>
      </w:r>
      <w:r w:rsidRPr="00BC31E0">
        <w:t>)</w:t>
      </w:r>
      <w:r w:rsidRPr="00BC31E0">
        <w:t>を</w:t>
      </w:r>
      <w:r w:rsidRPr="00BC31E0">
        <w:t>90°</w:t>
      </w:r>
      <w:r w:rsidRPr="00BC31E0">
        <w:t>回転させる。再び同荷重を加え</w:t>
      </w:r>
      <w:r w:rsidR="003D41D9" w:rsidRPr="00BC31E0">
        <w:rPr>
          <w:rFonts w:hint="eastAsia"/>
        </w:rPr>
        <w:t>四</w:t>
      </w:r>
      <w:r w:rsidRPr="00BC31E0">
        <w:t>つ全てのゲージを記録する。この手順を繰返し，最高曲げ率を与える回転位置を探すために</w:t>
      </w:r>
      <w:r w:rsidRPr="00BC31E0">
        <w:t>90°</w:t>
      </w:r>
      <w:r w:rsidRPr="00BC31E0">
        <w:t>間隔で選択した部材を回転させる。同手順を残りの部材に対して行い，一度に最高曲げを与える位置に保持する。曲げが常時</w:t>
      </w:r>
      <w:r w:rsidRPr="00BC31E0">
        <w:t>10%</w:t>
      </w:r>
      <w:r w:rsidRPr="00BC31E0">
        <w:t>未満である場合，同回転位置は維持するが異なるねじのかみ合いとなるように各荷重伝達部材を</w:t>
      </w:r>
      <w:r w:rsidRPr="00BC31E0">
        <w:t>360°</w:t>
      </w:r>
      <w:r w:rsidRPr="00BC31E0">
        <w:t>回転して，ゲージ読みを繰返す。依然として曲げが</w:t>
      </w:r>
      <w:r w:rsidRPr="00BC31E0">
        <w:t>10%</w:t>
      </w:r>
      <w:r w:rsidRPr="00BC31E0">
        <w:t>未満である場合は，荷重伝達部材間の同じ関係を保ちつつ，検証試験片の取外しと再取付を</w:t>
      </w:r>
      <w:r w:rsidRPr="00BC31E0">
        <w:t>3</w:t>
      </w:r>
      <w:r w:rsidRPr="00BC31E0">
        <w:t>回行う。最後の取付け後，試験用治具の下部を取外して</w:t>
      </w:r>
      <w:r w:rsidR="003D41D9" w:rsidRPr="00BC31E0">
        <w:rPr>
          <w:rFonts w:hint="eastAsia"/>
        </w:rPr>
        <w:t>四</w:t>
      </w:r>
      <w:r w:rsidRPr="00BC31E0">
        <w:t>つ全てのゲージのゼロ点読みを繰返す。これらは始めのゼロ点読みと</w:t>
      </w:r>
      <w:r w:rsidRPr="00BC31E0">
        <w:t>0.5 µm</w:t>
      </w:r>
      <w:r w:rsidRPr="00BC31E0">
        <w:t>以内で一致しなければならない。検証手順の全ての段階で曲げが</w:t>
      </w:r>
      <w:r w:rsidRPr="00BC31E0">
        <w:t>10%</w:t>
      </w:r>
      <w:r w:rsidRPr="00BC31E0">
        <w:t>未満の場合，試験用治具と引張試験機の組合せは荷重伝達部材の回転位置に注意を払わず切欠き付丸棒試験片の試験において満足できると仮定され</w:t>
      </w:r>
      <w:r w:rsidRPr="00BC31E0">
        <w:lastRenderedPageBreak/>
        <w:t>る。検証手順のいずれの段階でも曲げが</w:t>
      </w:r>
      <w:r w:rsidRPr="00BC31E0">
        <w:t>10%</w:t>
      </w:r>
      <w:r w:rsidRPr="00BC31E0">
        <w:t>を超える場合，ひずみゲージデータを調査して種々の部材の位置ずれの影響を判断する。この試験で得られた情報に基づき，試験用治具は再加工を行うか</w:t>
      </w:r>
      <w:r w:rsidR="00DE5093" w:rsidRPr="00BC31E0">
        <w:rPr>
          <w:rFonts w:hint="eastAsia"/>
        </w:rPr>
        <w:t>，</w:t>
      </w:r>
      <w:r w:rsidRPr="00BC31E0">
        <w:t>ケース</w:t>
      </w:r>
      <w:r w:rsidRPr="00BC31E0">
        <w:t>2</w:t>
      </w:r>
      <w:r w:rsidRPr="00BC31E0">
        <w:t>として取扱う。</w:t>
      </w:r>
    </w:p>
    <w:p w14:paraId="23E33C01" w14:textId="77777777" w:rsidR="00A40784" w:rsidRPr="00BC31E0" w:rsidRDefault="00A40784" w:rsidP="00736130">
      <w:pPr>
        <w:pStyle w:val="a4"/>
        <w:numPr>
          <w:ilvl w:val="0"/>
          <w:numId w:val="636"/>
        </w:numPr>
        <w:ind w:leftChars="0" w:left="454" w:hanging="454"/>
      </w:pPr>
      <w:r w:rsidRPr="00BC31E0">
        <w:rPr>
          <w:rFonts w:asciiTheme="majorEastAsia" w:eastAsiaTheme="majorEastAsia" w:hAnsiTheme="majorEastAsia"/>
          <w:b/>
        </w:rPr>
        <w:t>ケース2</w:t>
      </w:r>
      <w:r w:rsidR="003D41D9" w:rsidRPr="00BC31E0">
        <w:rPr>
          <w:rFonts w:hAnsi="ＭＳ ゴシック" w:hint="eastAsia"/>
        </w:rPr>
        <w:t xml:space="preserve">　</w:t>
      </w:r>
      <w:r w:rsidRPr="00BC31E0">
        <w:t>最小曲げを与える位置に荷重伝達部材を保持する事を除いてケース</w:t>
      </w:r>
      <w:r w:rsidRPr="00BC31E0">
        <w:t>1</w:t>
      </w:r>
      <w:r w:rsidRPr="00BC31E0">
        <w:t>のように進む。</w:t>
      </w:r>
      <w:r w:rsidRPr="00BC31E0">
        <w:t>10%</w:t>
      </w:r>
      <w:r w:rsidRPr="00BC31E0">
        <w:t>未満の曲げが得られない配置の場合，切欠き付丸棒試験片試験にその試験用治具は使用しない。</w:t>
      </w:r>
      <w:r w:rsidRPr="00BC31E0">
        <w:t>10%</w:t>
      </w:r>
      <w:r w:rsidRPr="00BC31E0">
        <w:t>未満の曲げ配置が見つかる場合，部材にこの位置を参照する共通線をマークする。各部材を</w:t>
      </w:r>
      <w:r w:rsidRPr="00BC31E0">
        <w:t>360°</w:t>
      </w:r>
      <w:r w:rsidRPr="00BC31E0">
        <w:t>回転してひずみゲージ読みを繰返す。最大曲げが依然として</w:t>
      </w:r>
      <w:r w:rsidRPr="00BC31E0">
        <w:t>10%</w:t>
      </w:r>
      <w:r w:rsidRPr="00BC31E0">
        <w:t>未満の場合，検証試験片の取外しと再取付を</w:t>
      </w:r>
      <w:r w:rsidRPr="00BC31E0">
        <w:t>3</w:t>
      </w:r>
      <w:r w:rsidRPr="00BC31E0">
        <w:t>回行い，都度ひずみゲージ読みを繰返す。そのまま曲げが</w:t>
      </w:r>
      <w:r w:rsidRPr="00BC31E0">
        <w:t>10%</w:t>
      </w:r>
      <w:r w:rsidRPr="00BC31E0">
        <w:t>未満の場合，試験用治具はこの方法に従って切欠き付丸棒試験片の試験に使用してもよい。しかしながら，同じ回転位置で荷重伝達部材を常に保つよう注意し，荷重伝達部材を取外した場合には，曲げ率を再決定する。</w:t>
      </w:r>
    </w:p>
    <w:p w14:paraId="5F81A5D6" w14:textId="77777777" w:rsidR="00A40784" w:rsidRPr="00BC31E0" w:rsidRDefault="00A40784" w:rsidP="003A6C93">
      <w:pPr>
        <w:pStyle w:val="111"/>
        <w:ind w:left="794" w:hanging="794"/>
      </w:pPr>
      <w:r w:rsidRPr="00BC31E0">
        <w:rPr>
          <w:rFonts w:hint="eastAsia"/>
        </w:rPr>
        <w:t>曲げ応力率</w:t>
      </w:r>
    </w:p>
    <w:p w14:paraId="0BC3FAC8" w14:textId="77777777" w:rsidR="00A40784" w:rsidRPr="00BC31E0" w:rsidRDefault="00A40784" w:rsidP="005E362A">
      <w:pPr>
        <w:spacing w:after="120"/>
        <w:ind w:firstLineChars="100" w:firstLine="210"/>
      </w:pPr>
      <w:r w:rsidRPr="00BC31E0">
        <w:t>曲げ応力率</w:t>
      </w:r>
      <m:oMath>
        <m:r>
          <m:rPr>
            <m:sty m:val="p"/>
          </m:rPr>
          <w:rPr>
            <w:rFonts w:ascii="Cambria Math" w:hAnsi="Cambria Math"/>
          </w:rPr>
          <m:t xml:space="preserve"> </m:t>
        </m:r>
        <m:r>
          <w:rPr>
            <w:rFonts w:ascii="Cambria Math" w:hAnsi="Cambria Math"/>
          </w:rPr>
          <m:t>PBS</m:t>
        </m:r>
        <m:r>
          <m:rPr>
            <m:sty m:val="p"/>
          </m:rPr>
          <w:rPr>
            <w:rFonts w:ascii="Cambria Math" w:hAnsi="Cambria Math"/>
          </w:rPr>
          <m:t xml:space="preserve"> </m:t>
        </m:r>
      </m:oMath>
      <w:r w:rsidR="005E7620" w:rsidRPr="00BC31E0">
        <w:rPr>
          <w:rFonts w:hint="eastAsia"/>
        </w:rPr>
        <w:t>を</w:t>
      </w:r>
      <w:r w:rsidRPr="00BC31E0">
        <w:t>次</w:t>
      </w:r>
      <w:r w:rsidR="005E7620" w:rsidRPr="00BC31E0">
        <w:rPr>
          <w:rFonts w:hint="eastAsia"/>
        </w:rPr>
        <w:t>式で</w:t>
      </w:r>
      <w:r w:rsidR="00436EF2" w:rsidRPr="00BC31E0">
        <w:rPr>
          <w:rFonts w:hint="eastAsia"/>
        </w:rPr>
        <w:t>計算す</w:t>
      </w:r>
      <w:r w:rsidRPr="00BC31E0">
        <w:t>る。</w:t>
      </w:r>
    </w:p>
    <w:p w14:paraId="78787DAE" w14:textId="77777777" w:rsidR="00DE5093" w:rsidRPr="00BC31E0" w:rsidRDefault="00DE5093" w:rsidP="005E362A">
      <w:pPr>
        <w:tabs>
          <w:tab w:val="left" w:pos="2977"/>
          <w:tab w:val="left" w:leader="middleDot" w:pos="8505"/>
        </w:tabs>
        <w:rPr>
          <w:vertAlign w:val="subscript"/>
        </w:rPr>
      </w:pPr>
      <w:r w:rsidRPr="00BC31E0">
        <w:rPr>
          <w:rFonts w:hint="eastAsia"/>
        </w:rPr>
        <w:tab/>
      </w:r>
      <m:oMath>
        <m:r>
          <w:rPr>
            <w:rFonts w:ascii="Cambria Math" w:hAnsi="Cambria Math"/>
          </w:rPr>
          <m:t xml:space="preserve">PBS = </m:t>
        </m:r>
        <m:d>
          <m:dPr>
            <m:ctrlPr>
              <w:rPr>
                <w:rFonts w:ascii="Cambria Math" w:hAnsi="Cambria Math"/>
                <w:i/>
                <w:vertAlign w:val="subscript"/>
              </w:rPr>
            </m:ctrlPr>
          </m:dPr>
          <m:e>
            <m:f>
              <m:fPr>
                <m:type m:val="lin"/>
                <m:ctrlPr>
                  <w:rPr>
                    <w:rFonts w:ascii="Cambria Math" w:hAnsi="Cambria Math"/>
                    <w:i/>
                    <w:vertAlign w:val="subscript"/>
                  </w:rPr>
                </m:ctrlPr>
              </m:fPr>
              <m:num>
                <m: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hint="eastAsia"/>
                      </w:rPr>
                      <m:t>m</m:t>
                    </m:r>
                  </m:sub>
                </m:sSub>
              </m:num>
              <m:den>
                <m:sSub>
                  <m:sSubPr>
                    <m:ctrlPr>
                      <w:rPr>
                        <w:rFonts w:ascii="Cambria Math" w:hAnsi="Cambria Math"/>
                        <w:i/>
                        <w:vertAlign w:val="subscript"/>
                      </w:rPr>
                    </m:ctrlPr>
                  </m:sSubPr>
                  <m:e>
                    <m:r>
                      <w:rPr>
                        <w:rFonts w:ascii="Cambria Math" w:hAnsi="Cambria Math"/>
                        <w:vertAlign w:val="subscript"/>
                      </w:rPr>
                      <m:t>σ</m:t>
                    </m:r>
                  </m:e>
                  <m:sub>
                    <m:r>
                      <w:rPr>
                        <w:rFonts w:ascii="Cambria Math" w:hAnsi="Cambria Math"/>
                        <w:vertAlign w:val="subscript"/>
                      </w:rPr>
                      <m:t>o</m:t>
                    </m:r>
                  </m:sub>
                </m:sSub>
              </m:den>
            </m:f>
          </m:e>
        </m:d>
        <m:r>
          <w:rPr>
            <w:rFonts w:ascii="Cambria Math" w:hAnsi="Cambria Math"/>
            <w:vertAlign w:val="subscript"/>
          </w:rPr>
          <m:t>×100</m:t>
        </m:r>
      </m:oMath>
      <w:r w:rsidR="00427CB5" w:rsidRPr="00BC31E0">
        <w:rPr>
          <w:rFonts w:hint="eastAsia"/>
        </w:rPr>
        <w:tab/>
        <w:t>(2</w:t>
      </w:r>
      <w:r w:rsidRPr="00BC31E0">
        <w:rPr>
          <w:rFonts w:hint="eastAsia"/>
        </w:rPr>
        <w:t>)</w:t>
      </w:r>
    </w:p>
    <w:p w14:paraId="417A70CD" w14:textId="77777777" w:rsidR="00A40784" w:rsidRPr="00BC31E0" w:rsidRDefault="00A40784" w:rsidP="005E362A">
      <w:pPr>
        <w:ind w:firstLineChars="200" w:firstLine="420"/>
      </w:pPr>
      <w:r w:rsidRPr="00BC31E0">
        <w:t>ここで，</w:t>
      </w:r>
    </w:p>
    <w:p w14:paraId="1146343A" w14:textId="77777777" w:rsidR="00DE5093" w:rsidRPr="00BC31E0" w:rsidRDefault="00DE5093" w:rsidP="005E362A">
      <w:pPr>
        <w:tabs>
          <w:tab w:val="left" w:pos="1418"/>
        </w:tabs>
        <w:ind w:leftChars="400" w:left="840"/>
      </w:pPr>
      <m:oMath>
        <m: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hint="eastAsia"/>
              </w:rPr>
              <m:t>m</m:t>
            </m:r>
          </m:sub>
        </m:sSub>
      </m:oMath>
      <w:r w:rsidRPr="00BC31E0">
        <w:rPr>
          <w:rFonts w:hint="eastAsia"/>
        </w:rPr>
        <w:tab/>
      </w:r>
      <w:r w:rsidR="00A40784" w:rsidRPr="00BC31E0">
        <w:t>：</w:t>
      </w:r>
      <w:r w:rsidRPr="00BC31E0">
        <w:rPr>
          <w:rFonts w:hint="eastAsia"/>
        </w:rPr>
        <w:t xml:space="preserve"> </w:t>
      </w:r>
      <w:r w:rsidR="00A40784" w:rsidRPr="00BC31E0">
        <w:t>試験片に発生する最大表面応力と</w:t>
      </w:r>
      <m:oMath>
        <m:r>
          <m:rPr>
            <m:sty m:val="p"/>
          </m:rPr>
          <w:rPr>
            <w:rFonts w:ascii="Cambria Math" w:hAnsi="Cambria Math"/>
          </w:rPr>
          <m:t xml:space="preserve"> </m:t>
        </m:r>
        <m:sSub>
          <m:sSubPr>
            <m:ctrlPr>
              <w:rPr>
                <w:rFonts w:ascii="Cambria Math" w:hAnsi="Cambria Math"/>
                <w:i/>
                <w:vertAlign w:val="subscript"/>
              </w:rPr>
            </m:ctrlPr>
          </m:sSubPr>
          <m:e>
            <m:r>
              <w:rPr>
                <w:rFonts w:ascii="Cambria Math" w:hAnsi="Cambria Math"/>
                <w:vertAlign w:val="subscript"/>
              </w:rPr>
              <m:t>σ</m:t>
            </m:r>
          </m:e>
          <m:sub>
            <m:r>
              <w:rPr>
                <w:rFonts w:ascii="Cambria Math" w:hAnsi="Cambria Math"/>
                <w:vertAlign w:val="subscript"/>
              </w:rPr>
              <m:t xml:space="preserve">o </m:t>
            </m:r>
          </m:sub>
        </m:sSub>
      </m:oMath>
      <w:r w:rsidR="00A40784" w:rsidRPr="00BC31E0">
        <w:t>の差</w:t>
      </w:r>
      <w:r w:rsidR="00FB2D8B" w:rsidRPr="00BC31E0">
        <w:rPr>
          <w:rFonts w:hint="eastAsia"/>
        </w:rPr>
        <w:t>(MPa)</w:t>
      </w:r>
    </w:p>
    <w:p w14:paraId="4D4E610C" w14:textId="77777777" w:rsidR="00A40784" w:rsidRPr="00BC31E0" w:rsidRDefault="00A51873" w:rsidP="005E362A">
      <w:pPr>
        <w:tabs>
          <w:tab w:val="left" w:pos="1418"/>
        </w:tabs>
        <w:ind w:leftChars="400" w:left="840"/>
      </w:pPr>
      <m:oMath>
        <m:sSub>
          <m:sSubPr>
            <m:ctrlPr>
              <w:rPr>
                <w:rFonts w:ascii="Cambria Math" w:hAnsi="Cambria Math"/>
                <w:i/>
                <w:vertAlign w:val="subscript"/>
              </w:rPr>
            </m:ctrlPr>
          </m:sSubPr>
          <m:e>
            <m:r>
              <w:rPr>
                <w:rFonts w:ascii="Cambria Math" w:hAnsi="Cambria Math"/>
                <w:vertAlign w:val="subscript"/>
              </w:rPr>
              <m:t>σ</m:t>
            </m:r>
          </m:e>
          <m:sub>
            <m:r>
              <w:rPr>
                <w:rFonts w:ascii="Cambria Math" w:hAnsi="Cambria Math"/>
                <w:vertAlign w:val="subscript"/>
              </w:rPr>
              <m:t>o</m:t>
            </m:r>
          </m:sub>
        </m:sSub>
      </m:oMath>
      <w:r w:rsidR="00DE5093" w:rsidRPr="00BC31E0">
        <w:rPr>
          <w:rFonts w:hint="eastAsia"/>
        </w:rPr>
        <w:tab/>
      </w:r>
      <w:r w:rsidR="00A40784" w:rsidRPr="00BC31E0">
        <w:t>：</w:t>
      </w:r>
      <w:r w:rsidR="00DE5093" w:rsidRPr="00BC31E0">
        <w:rPr>
          <w:rFonts w:hint="eastAsia"/>
        </w:rPr>
        <w:t xml:space="preserve"> </w:t>
      </w:r>
      <w:r w:rsidR="00A40784" w:rsidRPr="00BC31E0">
        <w:t>試験断面における平均応力</w:t>
      </w:r>
      <w:r w:rsidR="00FB2D8B" w:rsidRPr="00BC31E0">
        <w:rPr>
          <w:rFonts w:hint="eastAsia"/>
        </w:rPr>
        <w:t>(MPa)</w:t>
      </w:r>
    </w:p>
    <w:p w14:paraId="52EDEA3E" w14:textId="77777777" w:rsidR="00A40784" w:rsidRPr="00BC31E0" w:rsidRDefault="002F26F4" w:rsidP="00FB0E35">
      <w:pPr>
        <w:spacing w:before="120" w:after="120"/>
        <w:ind w:firstLineChars="100" w:firstLine="210"/>
      </w:pPr>
      <w:r w:rsidRPr="00BC31E0">
        <w:t>曲げ応力率</w:t>
      </w:r>
      <w:r w:rsidRPr="00BC31E0">
        <w:rPr>
          <w:rFonts w:hint="eastAsia"/>
        </w:rPr>
        <w:t>を計算する</w:t>
      </w:r>
      <w:r w:rsidR="00FB0E35" w:rsidRPr="00BC31E0">
        <w:t>別法として</w:t>
      </w:r>
      <w:r w:rsidR="00FB0E35" w:rsidRPr="00BC31E0">
        <w:rPr>
          <w:rFonts w:hint="eastAsia"/>
        </w:rPr>
        <w:t>，</w:t>
      </w:r>
      <w:r w:rsidR="0037590B" w:rsidRPr="00BC31E0">
        <w:rPr>
          <w:rFonts w:hint="eastAsia"/>
        </w:rPr>
        <w:t>次式</w:t>
      </w:r>
      <w:r w:rsidR="00A40784" w:rsidRPr="00BC31E0">
        <w:t>を用いてもよい。</w:t>
      </w:r>
    </w:p>
    <w:tbl>
      <w:tblPr>
        <w:tblStyle w:val="afff2"/>
        <w:tblW w:w="6520" w:type="dxa"/>
        <w:tblInd w:w="2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3"/>
        <w:gridCol w:w="2757"/>
      </w:tblGrid>
      <w:tr w:rsidR="00130A6E" w:rsidRPr="00BC31E0" w14:paraId="2B60F6A8" w14:textId="77777777" w:rsidTr="00130A6E">
        <w:tc>
          <w:tcPr>
            <w:tcW w:w="0" w:type="auto"/>
            <w:tcMar>
              <w:left w:w="0" w:type="dxa"/>
              <w:right w:w="0" w:type="dxa"/>
            </w:tcMar>
            <w:vAlign w:val="center"/>
          </w:tcPr>
          <w:p w14:paraId="0C40210C" w14:textId="77777777" w:rsidR="00130A6E" w:rsidRPr="00BC31E0" w:rsidRDefault="00130A6E" w:rsidP="005E362A">
            <w:pPr>
              <w:jc w:val="left"/>
            </w:pPr>
            <m:oMathPara>
              <m:oMathParaPr>
                <m:jc m:val="left"/>
              </m:oMathParaPr>
              <m:oMath>
                <m:r>
                  <w:rPr>
                    <w:rFonts w:ascii="Cambria Math" w:hAnsi="Cambria Math"/>
                  </w:rPr>
                  <m:t>PBS=</m:t>
                </m:r>
                <m:f>
                  <m:fPr>
                    <m:type m:val="lin"/>
                    <m:ctrlPr>
                      <w:rPr>
                        <w:rFonts w:ascii="Cambria Math" w:hAnsi="Cambria Math"/>
                        <w:i/>
                      </w:rPr>
                    </m:ctrlPr>
                  </m:fPr>
                  <m:num>
                    <m:sSup>
                      <m:sSupPr>
                        <m:ctrlPr>
                          <w:rPr>
                            <w:rFonts w:ascii="Cambria Math" w:hAnsi="Cambria Math"/>
                            <w:i/>
                          </w:rPr>
                        </m:ctrlPr>
                      </m:sSupPr>
                      <m:e>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1,3</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4,2</m:t>
                                        </m:r>
                                      </m:sub>
                                    </m:sSub>
                                  </m:e>
                                </m:d>
                              </m:e>
                              <m:sup>
                                <m:r>
                                  <w:rPr>
                                    <w:rFonts w:ascii="Cambria Math" w:hAnsi="Cambria Math"/>
                                  </w:rPr>
                                  <m:t>2</m:t>
                                </m:r>
                              </m:sup>
                            </m:s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r>
                      <w:rPr>
                        <w:rFonts w:ascii="Cambria Math" w:hAnsi="Cambria Math"/>
                      </w:rPr>
                      <m:t>×100</m:t>
                    </m:r>
                  </m:num>
                  <m:den>
                    <m:sSub>
                      <m:sSubPr>
                        <m:ctrlPr>
                          <w:rPr>
                            <w:rFonts w:ascii="Cambria Math" w:hAnsi="Cambria Math"/>
                            <w:i/>
                          </w:rPr>
                        </m:ctrlPr>
                      </m:sSubPr>
                      <m:e>
                        <m:r>
                          <w:rPr>
                            <w:rFonts w:ascii="Cambria Math" w:hAnsi="Cambria Math"/>
                          </w:rPr>
                          <m:t>g</m:t>
                        </m:r>
                      </m:e>
                      <m:sub>
                        <m:r>
                          <w:rPr>
                            <w:rFonts w:ascii="Cambria Math" w:hAnsi="Cambria Math"/>
                          </w:rPr>
                          <m:t>o</m:t>
                        </m:r>
                      </m:sub>
                    </m:sSub>
                  </m:den>
                </m:f>
              </m:oMath>
            </m:oMathPara>
          </w:p>
        </w:tc>
        <w:tc>
          <w:tcPr>
            <w:tcW w:w="2757" w:type="dxa"/>
            <w:tcMar>
              <w:left w:w="0" w:type="dxa"/>
              <w:right w:w="0" w:type="dxa"/>
            </w:tcMar>
            <w:vAlign w:val="center"/>
          </w:tcPr>
          <w:p w14:paraId="134078A4" w14:textId="77777777" w:rsidR="00130A6E" w:rsidRPr="00BC31E0" w:rsidRDefault="00130A6E" w:rsidP="005E362A">
            <w:pPr>
              <w:tabs>
                <w:tab w:val="left" w:leader="middleDot" w:pos="2190"/>
              </w:tabs>
              <w:jc w:val="left"/>
            </w:pPr>
            <w:r w:rsidRPr="00BC31E0">
              <w:tab/>
            </w:r>
            <w:r w:rsidR="00427CB5" w:rsidRPr="00BC31E0">
              <w:rPr>
                <w:rFonts w:hint="eastAsia"/>
              </w:rPr>
              <w:t>(3</w:t>
            </w:r>
            <w:r w:rsidRPr="00BC31E0">
              <w:rPr>
                <w:rFonts w:hint="eastAsia"/>
              </w:rPr>
              <w:t>)</w:t>
            </w:r>
          </w:p>
        </w:tc>
      </w:tr>
    </w:tbl>
    <w:p w14:paraId="41E36505" w14:textId="77777777" w:rsidR="00A40784" w:rsidRPr="00BC31E0" w:rsidRDefault="00A40784" w:rsidP="005E362A">
      <w:pPr>
        <w:ind w:firstLineChars="200" w:firstLine="420"/>
      </w:pPr>
      <w:r w:rsidRPr="00BC31E0">
        <w:t>ここで，</w:t>
      </w:r>
    </w:p>
    <w:p w14:paraId="4BA7506D" w14:textId="77777777" w:rsidR="00130A6E" w:rsidRPr="00BC31E0" w:rsidRDefault="00130A6E" w:rsidP="005E362A">
      <w:pPr>
        <w:ind w:leftChars="400" w:left="840"/>
        <w:rPr>
          <w:i/>
        </w:rPr>
      </w:pPr>
      <m:oMath>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1,3</m:t>
            </m:r>
          </m:sub>
        </m:sSub>
        <m:r>
          <w:rPr>
            <w:rFonts w:ascii="Cambria Math" w:hAnsi="Cambria Math"/>
          </w:rPr>
          <m:t>=</m:t>
        </m:r>
        <m:f>
          <m:fPr>
            <m:type m:val="lin"/>
            <m:ctrlPr>
              <w:rPr>
                <w:rFonts w:ascii="Cambria Math" w:hAnsi="Cambria Math"/>
                <w:i/>
              </w:rPr>
            </m:ctrlPr>
          </m:fPr>
          <m:num>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0</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0</m:t>
                        </m:r>
                      </m:sub>
                    </m:sSub>
                  </m:e>
                </m:d>
              </m:e>
            </m:d>
          </m:num>
          <m:den>
            <m:r>
              <w:rPr>
                <w:rFonts w:ascii="Cambria Math" w:hAnsi="Cambria Math"/>
              </w:rPr>
              <m:t>2</m:t>
            </m:r>
          </m:den>
        </m:f>
        <m:r>
          <w:rPr>
            <w:rFonts w:ascii="Cambria Math" w:hAnsi="Cambria Math"/>
          </w:rPr>
          <m:t>=</m:t>
        </m:r>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3</m:t>
                    </m:r>
                  </m:sub>
                </m:sSub>
              </m:e>
            </m:d>
          </m:num>
          <m:den>
            <m:r>
              <w:rPr>
                <w:rFonts w:ascii="Cambria Math" w:hAnsi="Cambria Math"/>
              </w:rPr>
              <m:t>2</m:t>
            </m:r>
          </m:den>
        </m:f>
      </m:oMath>
      <w:r w:rsidRPr="00BC31E0">
        <w:rPr>
          <w:i/>
        </w:rPr>
        <w:t xml:space="preserve"> </w:t>
      </w:r>
    </w:p>
    <w:p w14:paraId="6CC536BE" w14:textId="77777777" w:rsidR="00130A6E" w:rsidRPr="00BC31E0" w:rsidRDefault="00130A6E" w:rsidP="005E362A">
      <w:pPr>
        <w:ind w:leftChars="400" w:left="840"/>
        <w:rPr>
          <w:i/>
        </w:rPr>
      </w:pPr>
      <m:oMath>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4,2</m:t>
            </m:r>
          </m:sub>
        </m:sSub>
        <m:r>
          <w:rPr>
            <w:rFonts w:ascii="Cambria Math" w:hAnsi="Cambria Math"/>
          </w:rPr>
          <m:t>=</m:t>
        </m:r>
        <m:f>
          <m:fPr>
            <m:type m:val="lin"/>
            <m:ctrlPr>
              <w:rPr>
                <w:rFonts w:ascii="Cambria Math" w:hAnsi="Cambria Math"/>
                <w:i/>
              </w:rPr>
            </m:ctrlPr>
          </m:fPr>
          <m:num>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0</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0</m:t>
                        </m:r>
                      </m:sub>
                    </m:sSub>
                  </m:e>
                </m:d>
              </m:e>
            </m:d>
          </m:num>
          <m:den>
            <m:r>
              <w:rPr>
                <w:rFonts w:ascii="Cambria Math" w:hAnsi="Cambria Math"/>
              </w:rPr>
              <m:t>2</m:t>
            </m:r>
          </m:den>
        </m:f>
        <m:r>
          <w:rPr>
            <w:rFonts w:ascii="Cambria Math" w:hAnsi="Cambria Math"/>
          </w:rPr>
          <m:t>=</m:t>
        </m:r>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e>
            </m:d>
          </m:num>
          <m:den>
            <m:r>
              <w:rPr>
                <w:rFonts w:ascii="Cambria Math" w:hAnsi="Cambria Math"/>
              </w:rPr>
              <m:t>2</m:t>
            </m:r>
          </m:den>
        </m:f>
      </m:oMath>
      <w:r w:rsidRPr="00BC31E0">
        <w:rPr>
          <w:i/>
        </w:rPr>
        <w:t xml:space="preserve"> </w:t>
      </w:r>
    </w:p>
    <w:p w14:paraId="64D20C5C" w14:textId="77777777" w:rsidR="00130A6E" w:rsidRPr="00BC31E0" w:rsidRDefault="00A51873" w:rsidP="005E362A">
      <w:pPr>
        <w:ind w:leftChars="400" w:left="840"/>
        <w:rPr>
          <w:i/>
        </w:rPr>
      </w:pPr>
      <m:oMath>
        <m:sSub>
          <m:sSubPr>
            <m:ctrlPr>
              <w:rPr>
                <w:rFonts w:ascii="Cambria Math" w:hAnsi="Cambria Math"/>
                <w:i/>
              </w:rPr>
            </m:ctrlPr>
          </m:sSubPr>
          <m:e>
            <m:r>
              <w:rPr>
                <w:rFonts w:ascii="Cambria Math" w:hAnsi="Cambria Math"/>
              </w:rPr>
              <m:t>g</m:t>
            </m:r>
          </m:e>
          <m:sub>
            <m:r>
              <w:rPr>
                <w:rFonts w:ascii="Cambria Math" w:hAnsi="Cambria Math"/>
              </w:rPr>
              <m:t>0</m:t>
            </m:r>
          </m:sub>
        </m:sSub>
        <m:r>
          <w:rPr>
            <w:rFonts w:ascii="Cambria Math" w:hAnsi="Cambria Math"/>
          </w:rPr>
          <m:t>=</m:t>
        </m:r>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4</m:t>
                    </m:r>
                  </m:sub>
                </m:sSub>
              </m:e>
            </m:d>
          </m:num>
          <m:den>
            <m:r>
              <w:rPr>
                <w:rFonts w:ascii="Cambria Math" w:hAnsi="Cambria Math"/>
              </w:rPr>
              <m:t>4</m:t>
            </m:r>
          </m:den>
        </m:f>
      </m:oMath>
      <w:r w:rsidR="00130A6E" w:rsidRPr="00BC31E0">
        <w:rPr>
          <w:i/>
        </w:rPr>
        <w:t xml:space="preserve"> </w:t>
      </w:r>
    </w:p>
    <w:p w14:paraId="693110A4" w14:textId="77777777" w:rsidR="00130A6E" w:rsidRPr="00BC31E0" w:rsidRDefault="00A51873" w:rsidP="005E362A">
      <w:pPr>
        <w:spacing w:after="120"/>
        <w:ind w:leftChars="400" w:left="840"/>
        <w:rPr>
          <w:i/>
        </w:rPr>
      </w:pPr>
      <m:oMath>
        <m:sSub>
          <m:sSubPr>
            <m:ctrlPr>
              <w:rPr>
                <w:rFonts w:ascii="Cambria Math" w:hAnsi="Cambria Math"/>
                <w:i/>
              </w:rPr>
            </m:ctrlPr>
          </m:sSubPr>
          <m:e>
            <m:r>
              <w:rPr>
                <w:rFonts w:ascii="Cambria Math" w:hAnsi="Cambria Math"/>
              </w:rPr>
              <m:t>g</m:t>
            </m:r>
          </m:e>
          <m:sub>
            <m:r>
              <w:rPr>
                <w:rFonts w:ascii="Cambria Math" w:hAnsi="Cambria Math"/>
              </w:rPr>
              <m:t>1</m:t>
            </m:r>
          </m:sub>
        </m:sSub>
      </m:oMath>
      <w:r w:rsidR="005E362A" w:rsidRPr="00BC31E0">
        <w:rPr>
          <w:rFonts w:hint="eastAsia"/>
        </w:rPr>
        <w:t>，</w:t>
      </w:r>
      <m:oMath>
        <m:sSub>
          <m:sSubPr>
            <m:ctrlPr>
              <w:rPr>
                <w:rFonts w:ascii="Cambria Math" w:hAnsi="Cambria Math"/>
                <w:i/>
              </w:rPr>
            </m:ctrlPr>
          </m:sSubPr>
          <m:e>
            <m:r>
              <w:rPr>
                <w:rFonts w:ascii="Cambria Math" w:hAnsi="Cambria Math"/>
              </w:rPr>
              <m:t>g</m:t>
            </m:r>
          </m:e>
          <m:sub>
            <m:r>
              <w:rPr>
                <w:rFonts w:ascii="Cambria Math" w:hAnsi="Cambria Math" w:hint="eastAsia"/>
              </w:rPr>
              <m:t>2</m:t>
            </m:r>
          </m:sub>
        </m:sSub>
      </m:oMath>
      <w:r w:rsidR="005E362A" w:rsidRPr="00BC31E0">
        <w:rPr>
          <w:rFonts w:hint="eastAsia"/>
        </w:rPr>
        <w:t>，</w:t>
      </w:r>
      <m:oMath>
        <m:sSub>
          <m:sSubPr>
            <m:ctrlPr>
              <w:rPr>
                <w:rFonts w:ascii="Cambria Math" w:hAnsi="Cambria Math"/>
                <w:i/>
              </w:rPr>
            </m:ctrlPr>
          </m:sSubPr>
          <m:e>
            <m:r>
              <w:rPr>
                <w:rFonts w:ascii="Cambria Math" w:hAnsi="Cambria Math"/>
              </w:rPr>
              <m:t>g</m:t>
            </m:r>
          </m:e>
          <m:sub>
            <m:r>
              <w:rPr>
                <w:rFonts w:ascii="Cambria Math" w:hAnsi="Cambria Math"/>
              </w:rPr>
              <m:t>3</m:t>
            </m:r>
          </m:sub>
        </m:sSub>
      </m:oMath>
      <w:r w:rsidR="005E362A" w:rsidRPr="00BC31E0">
        <w:rPr>
          <w:rFonts w:hint="eastAsia"/>
        </w:rPr>
        <w:t>，</w:t>
      </w:r>
      <m:oMath>
        <m:sSub>
          <m:sSubPr>
            <m:ctrlPr>
              <w:rPr>
                <w:rFonts w:ascii="Cambria Math" w:hAnsi="Cambria Math"/>
                <w:i/>
              </w:rPr>
            </m:ctrlPr>
          </m:sSubPr>
          <m:e>
            <m:r>
              <w:rPr>
                <w:rFonts w:ascii="Cambria Math" w:hAnsi="Cambria Math"/>
              </w:rPr>
              <m:t>g</m:t>
            </m:r>
          </m:e>
          <m:sub>
            <m:r>
              <w:rPr>
                <w:rFonts w:ascii="Cambria Math" w:hAnsi="Cambria Math"/>
              </w:rPr>
              <m:t>4</m:t>
            </m:r>
          </m:sub>
        </m:sSub>
      </m:oMath>
      <w:r w:rsidR="005E362A" w:rsidRPr="00BC31E0">
        <w:rPr>
          <w:rFonts w:hint="eastAsia"/>
        </w:rPr>
        <w:t xml:space="preserve"> </w:t>
      </w:r>
      <w:r w:rsidR="005E362A" w:rsidRPr="00BC31E0">
        <w:rPr>
          <w:rFonts w:hint="eastAsia"/>
        </w:rPr>
        <w:t>：</w:t>
      </w:r>
      <w:r w:rsidR="005E362A" w:rsidRPr="00BC31E0">
        <w:rPr>
          <w:rFonts w:hint="eastAsia"/>
        </w:rPr>
        <w:t xml:space="preserve"> </w:t>
      </w:r>
      <w:r w:rsidR="005E362A" w:rsidRPr="00BC31E0">
        <w:t>ひずみゲージの測定値で</w:t>
      </w:r>
      <w:r w:rsidR="005E362A" w:rsidRPr="00BC31E0">
        <w:rPr>
          <w:rFonts w:hint="eastAsia"/>
        </w:rPr>
        <w:t>，</w:t>
      </w:r>
      <w:r w:rsidR="005E362A" w:rsidRPr="00BC31E0">
        <w:t>圧縮ひずみは無視する。</w:t>
      </w:r>
    </w:p>
    <w:p w14:paraId="1A586103" w14:textId="77777777" w:rsidR="00A40784" w:rsidRPr="00BC31E0" w:rsidRDefault="00A40784" w:rsidP="00BE4333">
      <w:pPr>
        <w:ind w:firstLineChars="100" w:firstLine="210"/>
      </w:pPr>
      <w:r w:rsidRPr="00BC31E0">
        <w:t>ゲージ読みの信頼性は各</w:t>
      </w:r>
      <w:r w:rsidRPr="00BC31E0">
        <w:t>1</w:t>
      </w:r>
      <w:r w:rsidRPr="00BC31E0">
        <w:t>対のゲージの平均読みと比較してもよいが，</w:t>
      </w:r>
      <w:r w:rsidRPr="00BC31E0">
        <w:t>1%</w:t>
      </w:r>
      <w:r w:rsidRPr="00BC31E0">
        <w:t>以内で一致しなければならない。また，満足のいく試験のセットアップのために，曲げ応力率は</w:t>
      </w:r>
      <w:r w:rsidRPr="00BC31E0">
        <w:t>250 MPa</w:t>
      </w:r>
      <w:r w:rsidRPr="00BC31E0">
        <w:t>平均引張応力で</w:t>
      </w:r>
      <w:r w:rsidRPr="00BC31E0">
        <w:t>10%</w:t>
      </w:r>
      <w:r w:rsidRPr="00BC31E0">
        <w:t>を超えてはならない。</w:t>
      </w:r>
    </w:p>
    <w:p w14:paraId="4B8E661D" w14:textId="77777777" w:rsidR="00A40784" w:rsidRPr="00BC31E0" w:rsidRDefault="00A40784" w:rsidP="003A6C93">
      <w:pPr>
        <w:pStyle w:val="110"/>
        <w:spacing w:line="240" w:lineRule="auto"/>
        <w:ind w:left="567" w:hanging="567"/>
      </w:pPr>
      <w:r w:rsidRPr="00BC31E0">
        <w:rPr>
          <w:rFonts w:hint="eastAsia"/>
        </w:rPr>
        <w:t>手順</w:t>
      </w:r>
    </w:p>
    <w:p w14:paraId="30F03EF4" w14:textId="77777777" w:rsidR="00A40784" w:rsidRPr="00BC31E0" w:rsidRDefault="00A40784" w:rsidP="003A6C93">
      <w:pPr>
        <w:pStyle w:val="111"/>
        <w:ind w:left="794" w:hanging="794"/>
      </w:pPr>
      <w:r w:rsidRPr="00BC31E0">
        <w:rPr>
          <w:rFonts w:hint="eastAsia"/>
        </w:rPr>
        <w:t>寸法</w:t>
      </w:r>
    </w:p>
    <w:p w14:paraId="0BABD702" w14:textId="77777777" w:rsidR="00A40784" w:rsidRPr="00BC31E0" w:rsidRDefault="00A40784" w:rsidP="00BE4333">
      <w:pPr>
        <w:ind w:firstLineChars="100" w:firstLine="210"/>
      </w:pPr>
      <w:r w:rsidRPr="00BC31E0">
        <w:t>中心間に試験片を取付けた状態で，胴部及びヘッドに沿った切欠き部の全振れを測定するために</w:t>
      </w:r>
      <w:r w:rsidRPr="00BC31E0">
        <w:t>50</w:t>
      </w:r>
      <w:r w:rsidRPr="00BC31E0">
        <w:t>倍以上のオプチカルコンパレータを使用する。試験片にねじ山がついている場合は，清掃してアセトン又は速乾性溶剤を使用した後，ねじ底径で振れ測定を行う。任意の部分の全振れが</w:t>
      </w:r>
      <w:r w:rsidRPr="00BC31E0">
        <w:t>0.05 mm</w:t>
      </w:r>
      <w:r w:rsidRPr="00BC31E0">
        <w:t>を超える場合，試験片は不合格となる。切欠き底半径仕様への適合は，既知の半径の円に対して予想される切欠き外形の合わせによりコンパレータで決定する。試験片を回転した時に切欠き底半径が</w:t>
      </w:r>
      <w:r w:rsidRPr="00BC31E0">
        <w:t>0.018 mm</w:t>
      </w:r>
      <w:r w:rsidRPr="00BC31E0">
        <w:t>を超えた場合，試験片は不合格となる。</w:t>
      </w:r>
    </w:p>
    <w:p w14:paraId="5A641C53" w14:textId="77777777" w:rsidR="00A40784" w:rsidRPr="00BC31E0" w:rsidRDefault="00A40784" w:rsidP="00BE4333">
      <w:pPr>
        <w:ind w:firstLineChars="100" w:firstLine="210"/>
      </w:pPr>
      <w:r w:rsidRPr="00BC31E0">
        <w:lastRenderedPageBreak/>
        <w:t>切欠き底の外形が曖昧になるような汚れや液体を取り除くことが重要である。慎重な洗浄が必要であり，アセトン又は同類の溶剤で切削油及び異物を取り除く。この洗浄に続いて，乾燥圧縮空気，又は清潔なラクダの乾燥毛ブラシ，又は両方を用いて残存する異物を取り除く。切欠き直径</w:t>
      </w:r>
      <m:oMath>
        <m:r>
          <m:rPr>
            <m:sty m:val="p"/>
          </m:rPr>
          <w:rPr>
            <w:rFonts w:ascii="Cambria Math" w:hAnsi="Cambria Math"/>
          </w:rPr>
          <m:t xml:space="preserve"> </m:t>
        </m:r>
        <m:r>
          <w:rPr>
            <w:rFonts w:ascii="Cambria Math" w:hAnsi="Cambria Math"/>
          </w:rPr>
          <m:t xml:space="preserve">d </m:t>
        </m:r>
      </m:oMath>
      <w:r w:rsidRPr="00BC31E0">
        <w:t>及び胴部の直径</w:t>
      </w:r>
      <m:oMath>
        <m:r>
          <m:rPr>
            <m:sty m:val="p"/>
          </m:rPr>
          <w:rPr>
            <w:rFonts w:ascii="Cambria Math" w:hAnsi="Cambria Math"/>
          </w:rPr>
          <m:t xml:space="preserve"> </m:t>
        </m:r>
        <m:r>
          <w:rPr>
            <w:rFonts w:ascii="Cambria Math" w:hAnsi="Cambria Math"/>
          </w:rPr>
          <m:t xml:space="preserve">D </m:t>
        </m:r>
      </m:oMath>
      <w:r w:rsidRPr="00BC31E0">
        <w:t>をコンパレータで測定する。又は，チゼルが切欠き底に対して十分鋭く，切欠き底を傷つけないように注意する条件でチゼルマイクロメータにより切欠き直径を測定する。胴部直径は従来のマイクロメータで測定してもよい。</w:t>
      </w:r>
      <w:r w:rsidRPr="00BC31E0">
        <w:rPr>
          <w:rFonts w:ascii="ＭＳ ゴシック" w:eastAsia="ＭＳ ゴシック" w:hAnsi="ＭＳ ゴシック"/>
          <w:b/>
        </w:rPr>
        <w:t>図K.5</w:t>
      </w:r>
      <w:r w:rsidRPr="00BC31E0">
        <w:t>に示す丸棒寸法公差を満足しない試験片は不合格とする。</w:t>
      </w:r>
    </w:p>
    <w:p w14:paraId="4D9F899F" w14:textId="77777777" w:rsidR="00A40784" w:rsidRPr="00BC31E0" w:rsidRDefault="00A40784" w:rsidP="00BE4333">
      <w:pPr>
        <w:pStyle w:val="111"/>
        <w:ind w:left="794" w:hanging="794"/>
      </w:pPr>
      <w:r w:rsidRPr="00BC31E0">
        <w:rPr>
          <w:rFonts w:hint="eastAsia"/>
        </w:rPr>
        <w:t>試験</w:t>
      </w:r>
    </w:p>
    <w:p w14:paraId="7C6F810F" w14:textId="77777777" w:rsidR="00A40784" w:rsidRPr="00BC31E0" w:rsidRDefault="00A40784" w:rsidP="00BE4333">
      <w:pPr>
        <w:ind w:firstLineChars="100" w:firstLine="210"/>
      </w:pPr>
      <w:r w:rsidRPr="00BC31E0">
        <w:t>通常の引張試験と同様の方法で試験を実施する。ただし，伸び計を用いる。試験のどの段階でも切欠き断面の最大応力率が</w:t>
      </w:r>
      <w:r w:rsidRPr="00BC31E0">
        <w:t>690 MPa/</w:t>
      </w:r>
      <w:r w:rsidRPr="00BC31E0">
        <w:t>分を超えないように試験速度を制御する。推定し得る力の最小変化となる，試験中に到達する最大荷重を記録する。</w:t>
      </w:r>
    </w:p>
    <w:p w14:paraId="5CB716A8" w14:textId="77777777" w:rsidR="00A40784" w:rsidRPr="00BC31E0" w:rsidRDefault="00A40784" w:rsidP="00F46221">
      <w:pPr>
        <w:pStyle w:val="110"/>
        <w:spacing w:line="240" w:lineRule="auto"/>
        <w:ind w:left="567" w:hanging="567"/>
      </w:pPr>
      <w:r w:rsidRPr="00BC31E0">
        <w:rPr>
          <w:rFonts w:hint="eastAsia"/>
        </w:rPr>
        <w:t>計算</w:t>
      </w:r>
    </w:p>
    <w:p w14:paraId="76ED0EC2" w14:textId="77777777" w:rsidR="00A40784" w:rsidRPr="00BC31E0" w:rsidRDefault="00A40784" w:rsidP="00BE4333">
      <w:pPr>
        <w:pStyle w:val="111"/>
        <w:ind w:left="794" w:hanging="794"/>
      </w:pPr>
      <w:r w:rsidRPr="00BC31E0">
        <w:rPr>
          <w:rFonts w:hint="eastAsia"/>
        </w:rPr>
        <w:t>切欠き引張強さ</w:t>
      </w:r>
    </w:p>
    <w:p w14:paraId="7F5C1F9C" w14:textId="77777777" w:rsidR="00A40784" w:rsidRPr="00BC31E0" w:rsidRDefault="00A40784" w:rsidP="00CF3DE4">
      <w:pPr>
        <w:tabs>
          <w:tab w:val="left" w:pos="3119"/>
          <w:tab w:val="left" w:pos="8222"/>
        </w:tabs>
        <w:spacing w:after="120"/>
        <w:ind w:firstLineChars="100" w:firstLine="210"/>
      </w:pPr>
      <w:r w:rsidRPr="00BC31E0">
        <w:t>切欠き引張強さを</w:t>
      </w:r>
      <w:r w:rsidR="00D774B0" w:rsidRPr="00BC31E0">
        <w:rPr>
          <w:rFonts w:hint="eastAsia"/>
        </w:rPr>
        <w:t>次式で</w:t>
      </w:r>
      <w:r w:rsidRPr="00BC31E0">
        <w:t>計算する。</w:t>
      </w:r>
    </w:p>
    <w:p w14:paraId="0C359CAF" w14:textId="77777777" w:rsidR="00BE4333" w:rsidRPr="00BC31E0" w:rsidRDefault="00FB2D8B" w:rsidP="00FB2D8B">
      <w:pPr>
        <w:tabs>
          <w:tab w:val="left" w:pos="3261"/>
          <w:tab w:val="left" w:leader="middleDot" w:pos="8505"/>
        </w:tabs>
        <w:rPr>
          <w:i/>
        </w:rPr>
      </w:pPr>
      <w:r w:rsidRPr="00BC31E0">
        <w:rPr>
          <w:rFonts w:hint="eastAsia"/>
        </w:rPr>
        <w:tab/>
      </w:r>
      <m:oMath>
        <m:sSub>
          <m:sSubPr>
            <m:ctrlPr>
              <w:rPr>
                <w:rFonts w:ascii="Cambria Math" w:hAnsi="Cambria Math"/>
                <w:i/>
              </w:rPr>
            </m:ctrlPr>
          </m:sSubPr>
          <m:e>
            <m:r>
              <w:rPr>
                <w:rFonts w:ascii="Cambria Math" w:hAnsi="Cambria Math"/>
              </w:rPr>
              <m:t>σ</m:t>
            </m:r>
          </m:e>
          <m:sub>
            <m:r>
              <w:rPr>
                <w:rFonts w:ascii="Cambria Math" w:hAnsi="Cambria Math"/>
              </w:rPr>
              <m:t>S</m:t>
            </m:r>
          </m:sub>
        </m:sSub>
        <m:r>
          <w:rPr>
            <w:rFonts w:ascii="Cambria Math" w:hAnsi="Cambria Math"/>
          </w:rPr>
          <m:t>=</m:t>
        </m:r>
        <m:f>
          <m:fPr>
            <m:type m:val="lin"/>
            <m:ctrlPr>
              <w:rPr>
                <w:rFonts w:ascii="Cambria Math" w:hAnsi="Cambria Math"/>
                <w:i/>
              </w:rPr>
            </m:ctrlPr>
          </m:fPr>
          <m:num>
            <m:r>
              <w:rPr>
                <w:rFonts w:ascii="Cambria Math" w:hAnsi="Cambria Math"/>
              </w:rPr>
              <m:t>4 F</m:t>
            </m:r>
          </m:num>
          <m:den>
            <m:d>
              <m:dPr>
                <m:ctrlPr>
                  <w:rPr>
                    <w:rFonts w:ascii="Cambria Math" w:hAnsi="Cambria Math"/>
                    <w:i/>
                  </w:rPr>
                </m:ctrlPr>
              </m:dPr>
              <m:e>
                <m:r>
                  <w:rPr>
                    <w:rFonts w:ascii="Cambria Math" w:hAnsi="Cambria Math"/>
                  </w:rPr>
                  <m:t xml:space="preserve">π </m:t>
                </m:r>
                <m:sSup>
                  <m:sSupPr>
                    <m:ctrlPr>
                      <w:rPr>
                        <w:rFonts w:ascii="Cambria Math" w:hAnsi="Cambria Math"/>
                        <w:i/>
                      </w:rPr>
                    </m:ctrlPr>
                  </m:sSupPr>
                  <m:e>
                    <m:r>
                      <w:rPr>
                        <w:rFonts w:ascii="Cambria Math" w:hAnsi="Cambria Math"/>
                      </w:rPr>
                      <m:t>d</m:t>
                    </m:r>
                  </m:e>
                  <m:sup>
                    <m:r>
                      <w:rPr>
                        <w:rFonts w:ascii="Cambria Math" w:hAnsi="Cambria Math"/>
                      </w:rPr>
                      <m:t>2</m:t>
                    </m:r>
                  </m:sup>
                </m:sSup>
              </m:e>
            </m:d>
          </m:den>
        </m:f>
      </m:oMath>
      <w:r w:rsidR="006677FC" w:rsidRPr="00BC31E0">
        <w:rPr>
          <w:rFonts w:hint="eastAsia"/>
        </w:rPr>
        <w:tab/>
        <w:t>(4</w:t>
      </w:r>
      <w:r w:rsidRPr="00BC31E0">
        <w:rPr>
          <w:rFonts w:hint="eastAsia"/>
        </w:rPr>
        <w:t>)</w:t>
      </w:r>
    </w:p>
    <w:p w14:paraId="7FC8A689" w14:textId="77777777" w:rsidR="00A40784" w:rsidRPr="00BC31E0" w:rsidRDefault="00A40784" w:rsidP="001E6DB5">
      <w:pPr>
        <w:ind w:firstLineChars="200" w:firstLine="420"/>
      </w:pPr>
      <w:r w:rsidRPr="00BC31E0">
        <w:t>ここで，</w:t>
      </w:r>
    </w:p>
    <w:p w14:paraId="4FA9C21D" w14:textId="77777777" w:rsidR="00FB2D8B" w:rsidRPr="00BC31E0" w:rsidRDefault="00FB2D8B" w:rsidP="005E7620">
      <w:pPr>
        <w:tabs>
          <w:tab w:val="left" w:pos="1134"/>
        </w:tabs>
        <w:ind w:leftChars="400" w:left="840"/>
      </w:pPr>
      <m:oMath>
        <m:r>
          <w:rPr>
            <w:rFonts w:ascii="Cambria Math" w:hAnsi="Cambria Math"/>
          </w:rPr>
          <m:t>F</m:t>
        </m:r>
      </m:oMath>
      <w:r w:rsidRPr="00BC31E0">
        <w:rPr>
          <w:rFonts w:hint="eastAsia"/>
          <w:i/>
        </w:rPr>
        <w:tab/>
      </w:r>
      <w:r w:rsidR="00A40784" w:rsidRPr="00BC31E0">
        <w:t>：</w:t>
      </w:r>
      <w:r w:rsidRPr="00BC31E0">
        <w:rPr>
          <w:rFonts w:hint="eastAsia"/>
        </w:rPr>
        <w:t xml:space="preserve"> </w:t>
      </w:r>
      <w:r w:rsidR="00A40784" w:rsidRPr="00BC31E0">
        <w:t>最大荷重</w:t>
      </w:r>
      <w:r w:rsidRPr="00BC31E0">
        <w:rPr>
          <w:rFonts w:hint="eastAsia"/>
        </w:rPr>
        <w:t>(N)</w:t>
      </w:r>
    </w:p>
    <w:p w14:paraId="3E88C58D" w14:textId="77777777" w:rsidR="00A40784" w:rsidRPr="00BC31E0" w:rsidRDefault="00FB2D8B" w:rsidP="00FB2D8B">
      <w:pPr>
        <w:tabs>
          <w:tab w:val="left" w:pos="1134"/>
        </w:tabs>
        <w:ind w:leftChars="400" w:left="840"/>
      </w:pPr>
      <m:oMath>
        <m:r>
          <w:rPr>
            <w:rFonts w:ascii="Cambria Math" w:hAnsi="Cambria Math" w:hint="eastAsia"/>
          </w:rPr>
          <m:t>d</m:t>
        </m:r>
      </m:oMath>
      <w:r w:rsidRPr="00BC31E0">
        <w:rPr>
          <w:rFonts w:hint="eastAsia"/>
          <w:i/>
        </w:rPr>
        <w:tab/>
      </w:r>
      <w:r w:rsidR="00A40784" w:rsidRPr="00BC31E0">
        <w:t>：</w:t>
      </w:r>
      <w:r w:rsidRPr="00BC31E0">
        <w:rPr>
          <w:rFonts w:hint="eastAsia"/>
        </w:rPr>
        <w:t xml:space="preserve"> </w:t>
      </w:r>
      <w:r w:rsidR="00A40784" w:rsidRPr="00BC31E0">
        <w:t>試験片の切欠き部の直径</w:t>
      </w:r>
      <w:r w:rsidRPr="00BC31E0">
        <w:rPr>
          <w:rFonts w:hint="eastAsia"/>
        </w:rPr>
        <w:t>(mm)</w:t>
      </w:r>
    </w:p>
    <w:p w14:paraId="200F8518" w14:textId="77777777" w:rsidR="00A40784" w:rsidRPr="00BC31E0" w:rsidRDefault="00A40784" w:rsidP="00CF3DE4">
      <w:pPr>
        <w:pStyle w:val="111"/>
        <w:spacing w:before="120"/>
        <w:ind w:left="794" w:hanging="794"/>
      </w:pPr>
      <w:r w:rsidRPr="00BC31E0">
        <w:rPr>
          <w:rFonts w:hint="eastAsia"/>
        </w:rPr>
        <w:t>切欠き引張強さと降伏強さの比</w:t>
      </w:r>
    </w:p>
    <w:p w14:paraId="0E71BF84" w14:textId="77777777" w:rsidR="00A40784" w:rsidRPr="00BC31E0" w:rsidRDefault="00A40784" w:rsidP="005E362A">
      <w:r w:rsidRPr="00BC31E0">
        <w:t xml:space="preserve">　切欠き引張強さと降伏強さの比は平面ひずみ破壊靭性の比較指標として重要である。切欠き付丸棒試験片の作成に使用する同じストックから平滑引張試験片を準備する。主変形方向に関係してこれら引張試験片の方向は切欠き試験片の方向と同一とし，ストックの引張試験片の位置は切欠き試験片と可能な限り近づける。熱処理が含まれる場合，プロセスは引張試験片と切欠き試験片は同一とする。</w:t>
      </w:r>
      <w:r w:rsidRPr="00BC31E0">
        <w:rPr>
          <w:rFonts w:asciiTheme="minorHAnsi" w:hAnsiTheme="minorHAnsi"/>
        </w:rPr>
        <w:t>平滑引張試験片の寸法は，</w:t>
      </w:r>
      <w:r w:rsidRPr="00BC31E0">
        <w:rPr>
          <w:rFonts w:ascii="ＭＳ ゴシック" w:eastAsia="ＭＳ ゴシック" w:hAnsi="ＭＳ ゴシック"/>
          <w:b/>
        </w:rPr>
        <w:t>図K.10</w:t>
      </w:r>
      <w:r w:rsidRPr="00BC31E0">
        <w:rPr>
          <w:rFonts w:asciiTheme="minorHAnsi" w:eastAsiaTheme="minorEastAsia" w:hAnsiTheme="minorHAnsi"/>
        </w:rPr>
        <w:t>を満足しなければならない。</w:t>
      </w:r>
    </w:p>
    <w:p w14:paraId="3CCCDD9B" w14:textId="77777777" w:rsidR="00A40784" w:rsidRPr="00BC31E0" w:rsidRDefault="00A40784" w:rsidP="00FB2D8B">
      <w:pPr>
        <w:ind w:firstLineChars="100" w:firstLine="210"/>
      </w:pPr>
      <w:r w:rsidRPr="00BC31E0">
        <w:t>室温以外で切欠き引張強さと降伏強さの比を計算するために，降伏強さは切欠き試験を実施した温度から</w:t>
      </w:r>
      <w:r w:rsidRPr="00BC31E0">
        <w:t>50</w:t>
      </w:r>
      <w:r w:rsidRPr="00BC31E0">
        <w:rPr>
          <w:rFonts w:ascii="ＭＳ 明朝" w:hAnsi="ＭＳ 明朝" w:cs="ＭＳ 明朝"/>
        </w:rPr>
        <w:t>℃</w:t>
      </w:r>
      <w:r w:rsidRPr="00BC31E0">
        <w:t>以内の範囲で補間してもよい。</w:t>
      </w:r>
    </w:p>
    <w:p w14:paraId="1A5E550F" w14:textId="77777777" w:rsidR="00A40784" w:rsidRPr="00BC31E0" w:rsidRDefault="00A40784" w:rsidP="00F46221">
      <w:pPr>
        <w:pStyle w:val="110"/>
        <w:spacing w:line="240" w:lineRule="auto"/>
        <w:ind w:left="567" w:hanging="567"/>
      </w:pPr>
      <w:r w:rsidRPr="00BC31E0">
        <w:rPr>
          <w:rFonts w:hint="eastAsia"/>
        </w:rPr>
        <w:t>記録</w:t>
      </w:r>
    </w:p>
    <w:p w14:paraId="2FF1DA72" w14:textId="77777777" w:rsidR="00A40784" w:rsidRPr="00BC31E0" w:rsidRDefault="00A40784" w:rsidP="00FB2D8B">
      <w:pPr>
        <w:rPr>
          <w:rFonts w:ascii="ＭＳ 明朝" w:hAnsi="ＭＳ 明朝"/>
        </w:rPr>
      </w:pPr>
      <w:r w:rsidRPr="00BC31E0">
        <w:rPr>
          <w:rFonts w:ascii="ＭＳ 明朝" w:hAnsi="ＭＳ 明朝" w:hint="eastAsia"/>
        </w:rPr>
        <w:t xml:space="preserve">　記録には</w:t>
      </w:r>
      <w:r w:rsidR="00425527" w:rsidRPr="00BC31E0">
        <w:rPr>
          <w:rFonts w:ascii="ＭＳ 明朝" w:hAnsi="ＭＳ 明朝" w:hint="eastAsia"/>
        </w:rPr>
        <w:t>，</w:t>
      </w:r>
      <w:r w:rsidR="004749EC" w:rsidRPr="00BC31E0">
        <w:rPr>
          <w:rFonts w:ascii="ＭＳ 明朝" w:hAnsi="ＭＳ 明朝" w:hint="eastAsia"/>
        </w:rPr>
        <w:t>試験を行った</w:t>
      </w:r>
      <w:r w:rsidRPr="00BC31E0">
        <w:rPr>
          <w:rFonts w:ascii="ＭＳ 明朝" w:hAnsi="ＭＳ 明朝" w:hint="eastAsia"/>
        </w:rPr>
        <w:t>各</w:t>
      </w:r>
      <w:r w:rsidR="004749EC" w:rsidRPr="00BC31E0">
        <w:rPr>
          <w:rFonts w:ascii="ＭＳ 明朝" w:hAnsi="ＭＳ 明朝" w:hint="eastAsia"/>
        </w:rPr>
        <w:t>切欠き</w:t>
      </w:r>
      <w:r w:rsidRPr="00BC31E0">
        <w:rPr>
          <w:rFonts w:ascii="ＭＳ 明朝" w:hAnsi="ＭＳ 明朝" w:hint="eastAsia"/>
        </w:rPr>
        <w:t>試験片に</w:t>
      </w:r>
      <w:r w:rsidR="004749EC" w:rsidRPr="00BC31E0">
        <w:rPr>
          <w:rFonts w:ascii="ＭＳ 明朝" w:hAnsi="ＭＳ 明朝" w:hint="eastAsia"/>
        </w:rPr>
        <w:t>ついて</w:t>
      </w:r>
      <w:r w:rsidR="00425527" w:rsidRPr="00BC31E0">
        <w:rPr>
          <w:rFonts w:ascii="ＭＳ 明朝" w:hAnsi="ＭＳ 明朝" w:hint="eastAsia"/>
        </w:rPr>
        <w:t>次の</w:t>
      </w:r>
      <w:r w:rsidRPr="00BC31E0">
        <w:rPr>
          <w:rFonts w:ascii="ＭＳ 明朝" w:hAnsi="ＭＳ 明朝" w:hint="eastAsia"/>
        </w:rPr>
        <w:t>情報を記載する。</w:t>
      </w:r>
    </w:p>
    <w:p w14:paraId="6C561184" w14:textId="77777777" w:rsidR="001E2CEC" w:rsidRPr="00BC31E0" w:rsidRDefault="00A40784" w:rsidP="00736130">
      <w:pPr>
        <w:pStyle w:val="a4"/>
        <w:numPr>
          <w:ilvl w:val="0"/>
          <w:numId w:val="637"/>
        </w:numPr>
        <w:ind w:leftChars="0" w:left="454" w:hanging="454"/>
        <w:rPr>
          <w:rFonts w:asciiTheme="minorEastAsia" w:eastAsiaTheme="minorEastAsia" w:hAnsiTheme="minorEastAsia"/>
        </w:rPr>
      </w:pPr>
      <w:r w:rsidRPr="00BC31E0">
        <w:rPr>
          <w:rFonts w:asciiTheme="minorEastAsia" w:eastAsiaTheme="minorEastAsia" w:hAnsiTheme="minorEastAsia" w:hint="eastAsia"/>
        </w:rPr>
        <w:t>試験部長さ</w:t>
      </w:r>
    </w:p>
    <w:p w14:paraId="3CEAE772" w14:textId="77777777" w:rsidR="001E2CEC" w:rsidRPr="00BC31E0" w:rsidRDefault="00A40784" w:rsidP="00736130">
      <w:pPr>
        <w:pStyle w:val="a4"/>
        <w:numPr>
          <w:ilvl w:val="0"/>
          <w:numId w:val="637"/>
        </w:numPr>
        <w:ind w:leftChars="0" w:left="454" w:hanging="454"/>
        <w:rPr>
          <w:rFonts w:asciiTheme="minorEastAsia" w:eastAsiaTheme="minorEastAsia" w:hAnsiTheme="minorEastAsia"/>
        </w:rPr>
      </w:pPr>
      <w:r w:rsidRPr="00BC31E0">
        <w:rPr>
          <w:rFonts w:asciiTheme="minorEastAsia" w:eastAsiaTheme="minorEastAsia" w:hAnsiTheme="minorEastAsia" w:hint="eastAsia"/>
          <w:bCs/>
        </w:rPr>
        <w:t>主外径</w:t>
      </w:r>
    </w:p>
    <w:p w14:paraId="1ABDC8DF" w14:textId="77777777" w:rsidR="001E2CEC" w:rsidRPr="00BC31E0" w:rsidRDefault="00A40784" w:rsidP="00736130">
      <w:pPr>
        <w:pStyle w:val="a4"/>
        <w:numPr>
          <w:ilvl w:val="0"/>
          <w:numId w:val="637"/>
        </w:numPr>
        <w:ind w:leftChars="0" w:left="454" w:hanging="454"/>
        <w:rPr>
          <w:rFonts w:asciiTheme="minorEastAsia" w:eastAsiaTheme="minorEastAsia" w:hAnsiTheme="minorEastAsia"/>
        </w:rPr>
      </w:pPr>
      <w:r w:rsidRPr="00BC31E0">
        <w:rPr>
          <w:rFonts w:asciiTheme="minorEastAsia" w:eastAsiaTheme="minorEastAsia" w:hAnsiTheme="minorEastAsia" w:hint="eastAsia"/>
          <w:bCs/>
        </w:rPr>
        <w:t>元の切欠き底半径</w:t>
      </w:r>
    </w:p>
    <w:p w14:paraId="7DCFDF49" w14:textId="77777777" w:rsidR="001E2CEC" w:rsidRPr="00BC31E0" w:rsidRDefault="00A40784" w:rsidP="00736130">
      <w:pPr>
        <w:pStyle w:val="a4"/>
        <w:numPr>
          <w:ilvl w:val="0"/>
          <w:numId w:val="637"/>
        </w:numPr>
        <w:ind w:leftChars="0" w:left="454" w:hanging="454"/>
        <w:rPr>
          <w:rFonts w:asciiTheme="minorEastAsia" w:eastAsiaTheme="minorEastAsia" w:hAnsiTheme="minorEastAsia"/>
        </w:rPr>
      </w:pPr>
      <w:r w:rsidRPr="00BC31E0">
        <w:rPr>
          <w:rFonts w:asciiTheme="minorEastAsia" w:eastAsiaTheme="minorEastAsia" w:hAnsiTheme="minorEastAsia" w:hint="eastAsia"/>
          <w:bCs/>
        </w:rPr>
        <w:t>温度</w:t>
      </w:r>
    </w:p>
    <w:p w14:paraId="2AB5F047" w14:textId="77777777" w:rsidR="001E2CEC" w:rsidRPr="00BC31E0" w:rsidRDefault="00A40784" w:rsidP="00736130">
      <w:pPr>
        <w:pStyle w:val="a4"/>
        <w:numPr>
          <w:ilvl w:val="0"/>
          <w:numId w:val="637"/>
        </w:numPr>
        <w:ind w:leftChars="0" w:left="454" w:hanging="454"/>
        <w:rPr>
          <w:rFonts w:asciiTheme="minorEastAsia" w:eastAsiaTheme="minorEastAsia" w:hAnsiTheme="minorEastAsia"/>
        </w:rPr>
      </w:pPr>
      <w:r w:rsidRPr="00BC31E0">
        <w:rPr>
          <w:rFonts w:asciiTheme="minorEastAsia" w:eastAsiaTheme="minorEastAsia" w:hAnsiTheme="minorEastAsia" w:hint="eastAsia"/>
          <w:bCs/>
        </w:rPr>
        <w:t>最大荷重</w:t>
      </w:r>
    </w:p>
    <w:p w14:paraId="20CF97E8" w14:textId="77777777" w:rsidR="00A40784" w:rsidRPr="00BC31E0" w:rsidRDefault="00A40784" w:rsidP="00736130">
      <w:pPr>
        <w:pStyle w:val="a4"/>
        <w:numPr>
          <w:ilvl w:val="0"/>
          <w:numId w:val="637"/>
        </w:numPr>
        <w:ind w:leftChars="0" w:left="454" w:hanging="454"/>
      </w:pPr>
      <w:r w:rsidRPr="00BC31E0">
        <w:rPr>
          <w:rFonts w:asciiTheme="minorEastAsia" w:eastAsiaTheme="minorEastAsia" w:hAnsiTheme="minorEastAsia" w:hint="eastAsia"/>
          <w:bCs/>
        </w:rPr>
        <w:t>切欠き引張強さ</w:t>
      </w:r>
    </w:p>
    <w:p w14:paraId="57035707" w14:textId="77777777" w:rsidR="00A40784" w:rsidRPr="00BC31E0" w:rsidRDefault="00A40784" w:rsidP="00FB2D8B">
      <w:r w:rsidRPr="00BC31E0">
        <w:t xml:space="preserve">　切欠き試験で使用する制御変数の各組合せに対応する引張強さ及び降伏強さを，切欠き引張強さと降伏強さの比と共に記録する。</w:t>
      </w:r>
    </w:p>
    <w:p w14:paraId="362E86C7" w14:textId="77777777" w:rsidR="00A40784" w:rsidRPr="00BC31E0" w:rsidRDefault="00A51873" w:rsidP="00A40784">
      <w:pPr>
        <w:jc w:val="center"/>
        <w:rPr>
          <w:rFonts w:ascii="Times New Roman" w:hAnsi="Times New Roman"/>
          <w:szCs w:val="22"/>
        </w:rPr>
      </w:pPr>
      <w:r>
        <w:rPr>
          <w:rFonts w:ascii="Times New Roman" w:hAnsi="Times New Roman"/>
          <w:noProof/>
          <w:szCs w:val="22"/>
        </w:rPr>
        <w:lastRenderedPageBreak/>
        <w:pict w14:anchorId="5D6AF905">
          <v:shape id="テキスト ボックス 12646" o:spid="_x0000_s3121" type="#_x0000_t202" style="position:absolute;left:0;text-align:left;margin-left:81.4pt;margin-top:245.75pt;width:52pt;height:20.9pt;z-index:251817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" stroked="f" strokeweight="1pt">
            <v:textbox style="mso-fit-shape-to-text:t">
              <w:txbxContent>
                <w:p w14:paraId="04A2FEA1" w14:textId="77777777" w:rsidR="003B0864" w:rsidRPr="0073693D" w:rsidRDefault="003B0864" w:rsidP="00A40784">
                  <w:pPr>
                    <w:jc w:val="right"/>
                    <w:rPr>
                      <w:rFonts w:ascii="ＭＳ 明朝" w:hAnsi="ＭＳ 明朝"/>
                      <w:szCs w:val="22"/>
                    </w:rPr>
                  </w:pPr>
                  <w:r w:rsidRPr="0073693D">
                    <w:rPr>
                      <w:rFonts w:ascii="ＭＳ 明朝" w:hAnsi="ＭＳ 明朝" w:hint="eastAsia"/>
                      <w:szCs w:val="22"/>
                    </w:rPr>
                    <w:t>試験片</w:t>
                  </w:r>
                </w:p>
              </w:txbxContent>
            </v:textbox>
          </v:shape>
        </w:pict>
      </w:r>
      <w:r>
        <w:rPr>
          <w:rFonts w:ascii="Times New Roman" w:hAnsi="Times New Roman"/>
          <w:noProof/>
          <w:szCs w:val="22"/>
        </w:rPr>
        <w:pict w14:anchorId="6BE00C41">
          <v:shape id="テキスト ボックス 1536" o:spid="_x0000_s3122" type="#_x0000_t202" style="position:absolute;left:0;text-align:left;margin-left:244.3pt;margin-top:93.6pt;width:167.1pt;height:42pt;z-index:251818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" stroked="f" strokeweight="1pt">
            <v:textbox>
              <w:txbxContent>
                <w:p w14:paraId="67C90867" w14:textId="77777777" w:rsidR="003B0864" w:rsidRPr="0073693D" w:rsidRDefault="003B0864" w:rsidP="00A40784">
                  <w:pPr>
                    <w:jc w:val="left"/>
                    <w:rPr>
                      <w:rFonts w:ascii="ＭＳ 明朝" w:hAnsi="ＭＳ 明朝"/>
                    </w:rPr>
                  </w:pPr>
                  <w:r w:rsidRPr="0073693D">
                    <w:rPr>
                      <w:rFonts w:ascii="ＭＳ 明朝" w:hAnsi="ＭＳ 明朝"/>
                    </w:rPr>
                    <w:t>ヘッド補</w:t>
                  </w:r>
                  <w:r w:rsidRPr="00E12A00">
                    <w:rPr>
                      <w:rFonts w:ascii="ＭＳ 明朝" w:hAnsi="ＭＳ 明朝"/>
                    </w:rPr>
                    <w:t>強</w:t>
                  </w:r>
                  <w:r w:rsidRPr="00E12A00">
                    <w:rPr>
                      <w:rFonts w:ascii="ＭＳ 明朝" w:hAnsi="ＭＳ 明朝" w:hint="eastAsia"/>
                    </w:rPr>
                    <w:t>板</w:t>
                  </w:r>
                  <w:r w:rsidRPr="0073693D">
                    <w:rPr>
                      <w:rFonts w:ascii="ＭＳ 明朝" w:hAnsi="ＭＳ 明朝"/>
                    </w:rPr>
                    <w:t>及びセンタリング</w:t>
                  </w:r>
                </w:p>
                <w:p w14:paraId="26545453" w14:textId="77777777" w:rsidR="003B0864" w:rsidRPr="0073693D" w:rsidRDefault="003B0864" w:rsidP="00A40784">
                  <w:pPr>
                    <w:jc w:val="left"/>
                    <w:rPr>
                      <w:rFonts w:ascii="ＭＳ 明朝" w:hAnsi="ＭＳ 明朝"/>
                    </w:rPr>
                  </w:pPr>
                  <w:r w:rsidRPr="0073693D">
                    <w:rPr>
                      <w:rFonts w:ascii="ＭＳ 明朝" w:hAnsi="ＭＳ 明朝"/>
                    </w:rPr>
                    <w:t>ワッシャー用空間</w:t>
                  </w:r>
                </w:p>
              </w:txbxContent>
            </v:textbox>
          </v:shape>
        </w:pict>
      </w:r>
      <w:r>
        <w:rPr>
          <w:rFonts w:ascii="Times New Roman" w:hAnsi="Times New Roman"/>
          <w:noProof/>
          <w:szCs w:val="22"/>
        </w:rPr>
        <w:pict w14:anchorId="0D4318D8">
          <v:shape id="テキスト ボックス 12647" o:spid="_x0000_s3123" type="#_x0000_t202" style="position:absolute;left:0;text-align:left;margin-left:2.75pt;margin-top:298.25pt;width:486.9pt;height:25.95pt;z-index:251816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" stroked="f" strokeweight="1pt">
            <v:textbox>
              <w:txbxContent>
                <w:p w14:paraId="39448886" w14:textId="77777777" w:rsidR="003B0864" w:rsidRPr="00CE4B5D" w:rsidRDefault="003B0864" w:rsidP="00A40784">
                  <w:pPr>
                    <w:jc w:val="center"/>
                    <w:rPr>
                      <w:rFonts w:ascii="ＭＳ ゴシック" w:eastAsia="ＭＳ ゴシック" w:hAnsi="ＭＳ ゴシック"/>
                      <w:b/>
                      <w:szCs w:val="22"/>
                    </w:rPr>
                  </w:pPr>
                  <w:r w:rsidRPr="00CE4B5D">
                    <w:rPr>
                      <w:rFonts w:ascii="ＭＳ ゴシック" w:eastAsia="ＭＳ ゴシック" w:hAnsi="ＭＳ ゴシック"/>
                      <w:b/>
                      <w:szCs w:val="22"/>
                    </w:rPr>
                    <w:t>図</w:t>
                  </w:r>
                  <w:r w:rsidRPr="00CE4B5D">
                    <w:rPr>
                      <w:rFonts w:ascii="ＭＳ ゴシック" w:eastAsia="ＭＳ ゴシック" w:hAnsi="ＭＳ ゴシック" w:hint="eastAsia"/>
                      <w:b/>
                      <w:szCs w:val="22"/>
                    </w:rPr>
                    <w:t>K</w:t>
                  </w:r>
                  <w:r w:rsidRPr="00CE4B5D">
                    <w:rPr>
                      <w:rFonts w:ascii="ＭＳ ゴシック" w:eastAsia="ＭＳ ゴシック" w:hAnsi="ＭＳ ゴシック"/>
                      <w:b/>
                      <w:szCs w:val="22"/>
                    </w:rPr>
                    <w:t>.1　薄板試験片用</w:t>
                  </w:r>
                  <w:r w:rsidRPr="00CE4B5D">
                    <w:rPr>
                      <w:rFonts w:ascii="ＭＳ ゴシック" w:eastAsia="ＭＳ ゴシック" w:hAnsi="ＭＳ ゴシック" w:hint="eastAsia"/>
                      <w:b/>
                      <w:szCs w:val="22"/>
                    </w:rPr>
                    <w:t>治具</w:t>
                  </w:r>
                </w:p>
              </w:txbxContent>
            </v:textbox>
          </v:shape>
        </w:pict>
      </w:r>
      <w:r w:rsidR="00A40784" w:rsidRPr="00BC31E0">
        <w:rPr>
          <w:rFonts w:ascii="Times New Roman" w:hAnsi="Times New Roman"/>
          <w:noProof/>
          <w:szCs w:val="22"/>
        </w:rPr>
        <w:drawing>
          <wp:inline distT="0" distB="0" distL="0" distR="0" wp14:anchorId="621CDA6D" wp14:editId="07F47E23">
            <wp:extent cx="3827780" cy="4114800"/>
            <wp:effectExtent l="0" t="0" r="1270" b="0"/>
            <wp:docPr id="12697" name="図 1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3827780" cy="4114800"/>
                    </a:xfrm>
                    <a:prstGeom prst="rect">
                      <a:avLst/>
                    </a:prstGeom>
                    <a:noFill/>
                    <a:ln>
                      <a:noFill/>
                    </a:ln>
                  </pic:spPr>
                </pic:pic>
              </a:graphicData>
            </a:graphic>
          </wp:inline>
        </w:drawing>
      </w:r>
    </w:p>
    <w:p w14:paraId="31F554F7" w14:textId="77777777" w:rsidR="00A40784" w:rsidRPr="00BC31E0" w:rsidRDefault="00A40784" w:rsidP="00A40784">
      <w:pPr>
        <w:jc w:val="center"/>
        <w:rPr>
          <w:rFonts w:ascii="Times New Roman" w:hAnsi="Times New Roman"/>
          <w:szCs w:val="22"/>
        </w:rPr>
      </w:pPr>
    </w:p>
    <w:p w14:paraId="2BC944F3" w14:textId="77777777" w:rsidR="00A40784" w:rsidRPr="00BC31E0" w:rsidRDefault="00A51873" w:rsidP="00A40784">
      <w:pPr>
        <w:jc w:val="center"/>
        <w:rPr>
          <w:rFonts w:ascii="Times New Roman" w:hAnsi="Times New Roman"/>
          <w:szCs w:val="22"/>
        </w:rPr>
      </w:pPr>
      <w:r>
        <w:rPr>
          <w:noProof/>
        </w:rPr>
        <w:pict w14:anchorId="4997C5D4">
          <v:shape id="テキスト ボックス 12648" o:spid="_x0000_s3124" type="#_x0000_t202" style="position:absolute;left:0;text-align:left;margin-left:291pt;margin-top:70.8pt;width:115.5pt;height:59.65pt;z-index:251823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" stroked="f" strokeweight="1pt">
            <v:textbox>
              <w:txbxContent>
                <w:p w14:paraId="622BCC45" w14:textId="77777777" w:rsidR="003B0864" w:rsidRPr="0073693D" w:rsidRDefault="003B0864" w:rsidP="00A40784">
                  <w:pPr>
                    <w:jc w:val="left"/>
                    <w:rPr>
                      <w:rFonts w:ascii="ＭＳ 明朝" w:hAnsi="ＭＳ 明朝"/>
                      <w:szCs w:val="22"/>
                    </w:rPr>
                  </w:pPr>
                  <w:r w:rsidRPr="0073693D">
                    <w:rPr>
                      <w:rFonts w:ascii="ＭＳ 明朝" w:hAnsi="ＭＳ 明朝" w:hint="eastAsia"/>
                      <w:szCs w:val="22"/>
                    </w:rPr>
                    <w:t>ポイント</w:t>
                  </w:r>
                  <w:r w:rsidRPr="0073693D">
                    <w:rPr>
                      <w:szCs w:val="22"/>
                    </w:rPr>
                    <w:t>E</w:t>
                  </w:r>
                  <w:r w:rsidRPr="0073693D">
                    <w:rPr>
                      <w:rFonts w:ascii="ＭＳ 明朝" w:hAnsi="ＭＳ 明朝" w:hint="eastAsia"/>
                      <w:szCs w:val="22"/>
                    </w:rPr>
                    <w:t>は</w:t>
                  </w:r>
                </w:p>
                <w:p w14:paraId="45485752" w14:textId="77777777" w:rsidR="003B0864" w:rsidRPr="00C60EF4" w:rsidRDefault="003B0864" w:rsidP="00A40784">
                  <w:pPr>
                    <w:jc w:val="left"/>
                    <w:rPr>
                      <w:rFonts w:ascii="ＭＳ 明朝" w:hAnsi="ＭＳ 明朝"/>
                      <w:szCs w:val="22"/>
                    </w:rPr>
                  </w:pPr>
                  <w:r w:rsidRPr="00C60EF4">
                    <w:rPr>
                      <w:rFonts w:ascii="ＭＳ 明朝" w:hAnsi="ＭＳ 明朝" w:hint="eastAsia"/>
                      <w:szCs w:val="22"/>
                    </w:rPr>
                    <w:t>ポイント</w:t>
                  </w:r>
                  <w:r w:rsidRPr="00C60EF4">
                    <w:rPr>
                      <w:szCs w:val="22"/>
                    </w:rPr>
                    <w:t>D</w:t>
                  </w:r>
                  <w:r w:rsidRPr="00C60EF4">
                    <w:rPr>
                      <w:rFonts w:ascii="ＭＳ 明朝" w:hAnsi="ＭＳ 明朝" w:hint="eastAsia"/>
                      <w:szCs w:val="22"/>
                    </w:rPr>
                    <w:t>の</w:t>
                  </w:r>
                </w:p>
                <w:p w14:paraId="034ABFFB" w14:textId="77777777" w:rsidR="003B0864" w:rsidRPr="00C60EF4" w:rsidRDefault="003B0864" w:rsidP="00A40784">
                  <w:pPr>
                    <w:jc w:val="left"/>
                    <w:rPr>
                      <w:rFonts w:ascii="ＭＳ 明朝" w:hAnsi="ＭＳ 明朝"/>
                      <w:szCs w:val="22"/>
                    </w:rPr>
                  </w:pPr>
                  <w:r w:rsidRPr="00C60EF4">
                    <w:rPr>
                      <w:rFonts w:ascii="ＭＳ 明朝" w:hAnsi="ＭＳ 明朝" w:hint="eastAsia"/>
                      <w:szCs w:val="22"/>
                    </w:rPr>
                    <w:t>反対の面上とする。</w:t>
                  </w:r>
                </w:p>
              </w:txbxContent>
            </v:textbox>
          </v:shape>
        </w:pict>
      </w:r>
      <w:r>
        <w:rPr>
          <w:noProof/>
        </w:rPr>
        <w:pict w14:anchorId="5E8D29EF">
          <v:shape id="テキスト ボックス 12649" o:spid="_x0000_s3125" type="#_x0000_t202" style="position:absolute;left:0;text-align:left;margin-left:222pt;margin-top:216.75pt;width:39.6pt;height:18.1pt;z-index:251822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" stroked="f" strokeweight="1pt">
            <v:textbox style="mso-fit-shape-to-text:t" inset="1.04mm,1.07mm,1.04mm,1.07mm">
              <w:txbxContent>
                <w:p w14:paraId="3A538852" w14:textId="77777777" w:rsidR="003B0864" w:rsidRPr="00A52EA5" w:rsidRDefault="003B0864" w:rsidP="00A40784">
                  <w:pPr>
                    <w:jc w:val="left"/>
                    <w:rPr>
                      <w:sz w:val="20"/>
                      <w:szCs w:val="22"/>
                    </w:rPr>
                  </w:pPr>
                  <w:r w:rsidRPr="00A52EA5">
                    <w:rPr>
                      <w:sz w:val="20"/>
                      <w:szCs w:val="22"/>
                    </w:rPr>
                    <w:t>75mm</w:t>
                  </w:r>
                </w:p>
              </w:txbxContent>
            </v:textbox>
          </v:shape>
        </w:pict>
      </w:r>
      <w:r>
        <w:rPr>
          <w:noProof/>
        </w:rPr>
        <w:pict w14:anchorId="688EA072">
          <v:shape id="テキスト ボックス 12650" o:spid="_x0000_s3126" type="#_x0000_t202" style="position:absolute;left:0;text-align:left;margin-left:223.75pt;margin-top:130.75pt;width:44.7pt;height:19.25pt;z-index:251821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" stroked="f" strokeweight="1pt">
            <v:textbox inset="1.44mm,.57mm,1.44mm,.57mm">
              <w:txbxContent>
                <w:p w14:paraId="1A6E5415" w14:textId="77777777" w:rsidR="003B0864" w:rsidRPr="00A52EA5" w:rsidRDefault="003B0864" w:rsidP="00A40784">
                  <w:pPr>
                    <w:ind w:firstLineChars="50" w:firstLine="100"/>
                    <w:jc w:val="left"/>
                    <w:rPr>
                      <w:sz w:val="20"/>
                      <w:szCs w:val="22"/>
                    </w:rPr>
                  </w:pPr>
                  <w:r w:rsidRPr="00A52EA5">
                    <w:rPr>
                      <w:sz w:val="20"/>
                      <w:szCs w:val="22"/>
                    </w:rPr>
                    <w:t>20mm</w:t>
                  </w:r>
                </w:p>
              </w:txbxContent>
            </v:textbox>
          </v:shape>
        </w:pict>
      </w:r>
      <w:r>
        <w:rPr>
          <w:noProof/>
        </w:rPr>
        <w:pict w14:anchorId="42AE2176">
          <v:shape id="テキスト ボックス 12651" o:spid="_x0000_s3127" type="#_x0000_t202" style="position:absolute;left:0;text-align:left;margin-left:216.15pt;margin-top:81.95pt;width:47pt;height:18.1pt;z-index:251820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" stroked="f" strokeweight="1pt">
            <v:textbox style="mso-fit-shape-to-text:t" inset=",1.07mm,,1.07mm">
              <w:txbxContent>
                <w:p w14:paraId="2AA12700" w14:textId="77777777" w:rsidR="003B0864" w:rsidRPr="0073693D" w:rsidRDefault="003B0864" w:rsidP="00A40784">
                  <w:pPr>
                    <w:jc w:val="left"/>
                    <w:rPr>
                      <w:sz w:val="20"/>
                      <w:szCs w:val="22"/>
                    </w:rPr>
                  </w:pPr>
                  <w:r w:rsidRPr="0073693D">
                    <w:rPr>
                      <w:sz w:val="20"/>
                      <w:szCs w:val="22"/>
                    </w:rPr>
                    <w:t>20mm</w:t>
                  </w:r>
                </w:p>
              </w:txbxContent>
            </v:textbox>
          </v:shape>
        </w:pict>
      </w:r>
      <w:r>
        <w:rPr>
          <w:noProof/>
        </w:rPr>
        <w:pict w14:anchorId="2D4682DC">
          <v:shape id="テキスト ボックス 12652" o:spid="_x0000_s3128" type="#_x0000_t202" style="position:absolute;left:0;text-align:left;margin-left:2.75pt;margin-top:289pt;width:486.9pt;height:31pt;z-index:251819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" stroked="f" strokeweight="1pt">
            <v:textbox>
              <w:txbxContent>
                <w:p w14:paraId="5F07E451" w14:textId="77777777" w:rsidR="003B0864" w:rsidRPr="000F64FD" w:rsidRDefault="003B0864" w:rsidP="00A40784">
                  <w:pPr>
                    <w:jc w:val="center"/>
                    <w:rPr>
                      <w:rFonts w:ascii="ＭＳ ゴシック" w:eastAsia="ＭＳ ゴシック" w:hAnsi="ＭＳ ゴシック"/>
                      <w:b/>
                      <w:szCs w:val="22"/>
                    </w:rPr>
                  </w:pPr>
                  <w:r w:rsidRPr="000F64FD">
                    <w:rPr>
                      <w:rFonts w:ascii="ＭＳ ゴシック" w:eastAsia="ＭＳ ゴシック" w:hAnsi="ＭＳ ゴシック"/>
                      <w:b/>
                      <w:szCs w:val="22"/>
                    </w:rPr>
                    <w:t>図</w:t>
                  </w:r>
                  <w:r w:rsidRPr="000F64FD">
                    <w:rPr>
                      <w:rFonts w:ascii="ＭＳ ゴシック" w:eastAsia="ＭＳ ゴシック" w:hAnsi="ＭＳ ゴシック" w:hint="eastAsia"/>
                      <w:b/>
                      <w:szCs w:val="22"/>
                    </w:rPr>
                    <w:t>K</w:t>
                  </w:r>
                  <w:r w:rsidRPr="000F64FD">
                    <w:rPr>
                      <w:rFonts w:ascii="ＭＳ ゴシック" w:eastAsia="ＭＳ ゴシック" w:hAnsi="ＭＳ ゴシック"/>
                      <w:b/>
                      <w:szCs w:val="22"/>
                    </w:rPr>
                    <w:t>.</w:t>
                  </w:r>
                  <w:r w:rsidRPr="000F64FD">
                    <w:rPr>
                      <w:rFonts w:ascii="ＭＳ ゴシック" w:eastAsia="ＭＳ ゴシック" w:hAnsi="ＭＳ ゴシック" w:hint="eastAsia"/>
                      <w:b/>
                      <w:szCs w:val="22"/>
                    </w:rPr>
                    <w:t>2</w:t>
                  </w:r>
                  <w:r w:rsidRPr="000F64FD">
                    <w:rPr>
                      <w:rFonts w:ascii="ＭＳ ゴシック" w:eastAsia="ＭＳ ゴシック" w:hAnsi="ＭＳ ゴシック"/>
                      <w:b/>
                      <w:szCs w:val="22"/>
                    </w:rPr>
                    <w:t xml:space="preserve">　</w:t>
                  </w:r>
                  <w:r w:rsidRPr="000F64FD">
                    <w:rPr>
                      <w:rFonts w:ascii="ＭＳ ゴシック" w:eastAsia="ＭＳ ゴシック" w:hAnsi="ＭＳ ゴシック" w:hint="eastAsia"/>
                      <w:b/>
                      <w:szCs w:val="22"/>
                    </w:rPr>
                    <w:t>熱電対測定位置</w:t>
                  </w:r>
                </w:p>
              </w:txbxContent>
            </v:textbox>
          </v:shape>
        </w:pict>
      </w:r>
      <w:r w:rsidR="00A40784" w:rsidRPr="00BC31E0">
        <w:rPr>
          <w:rFonts w:ascii="Times New Roman" w:hAnsi="Times New Roman"/>
          <w:noProof/>
          <w:szCs w:val="22"/>
        </w:rPr>
        <w:drawing>
          <wp:inline distT="0" distB="0" distL="0" distR="0" wp14:anchorId="05170758" wp14:editId="5F817124">
            <wp:extent cx="3173730" cy="3618230"/>
            <wp:effectExtent l="76200" t="57150" r="64770" b="58420"/>
            <wp:docPr id="12698" name="図 1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5" cstate="print">
                      <a:extLst>
                        <a:ext uri="{28A0092B-C50C-407E-A947-70E740481C1C}">
                          <a14:useLocalDpi xmlns:a14="http://schemas.microsoft.com/office/drawing/2010/main" val="0"/>
                        </a:ext>
                      </a:extLst>
                    </a:blip>
                    <a:srcRect r="19322" b="16071"/>
                    <a:stretch>
                      <a:fillRect/>
                    </a:stretch>
                  </pic:blipFill>
                  <pic:spPr bwMode="auto">
                    <a:xfrm rot="120000">
                      <a:off x="0" y="0"/>
                      <a:ext cx="3173730" cy="3618230"/>
                    </a:xfrm>
                    <a:prstGeom prst="rect">
                      <a:avLst/>
                    </a:prstGeom>
                    <a:noFill/>
                    <a:ln>
                      <a:noFill/>
                    </a:ln>
                  </pic:spPr>
                </pic:pic>
              </a:graphicData>
            </a:graphic>
          </wp:inline>
        </w:drawing>
      </w:r>
    </w:p>
    <w:p w14:paraId="6366E11D" w14:textId="77777777" w:rsidR="00A40784" w:rsidRPr="00BC31E0" w:rsidRDefault="00A40784" w:rsidP="00A40784">
      <w:pPr>
        <w:rPr>
          <w:rFonts w:ascii="Times New Roman" w:hAnsi="Times New Roman"/>
          <w:szCs w:val="22"/>
        </w:rPr>
      </w:pPr>
      <w:r w:rsidRPr="00BC31E0">
        <w:rPr>
          <w:rFonts w:ascii="Times New Roman" w:hAnsi="Times New Roman"/>
          <w:szCs w:val="22"/>
        </w:rPr>
        <w:br w:type="page"/>
      </w:r>
    </w:p>
    <w:p w14:paraId="7CD6F045" w14:textId="77777777" w:rsidR="00A40784" w:rsidRPr="00BC31E0" w:rsidRDefault="00A51873" w:rsidP="00A40784">
      <w:pPr>
        <w:ind w:left="420" w:hangingChars="200" w:hanging="420"/>
        <w:jc w:val="center"/>
        <w:rPr>
          <w:rFonts w:ascii="Times New Roman" w:hAnsi="Times New Roman"/>
          <w:szCs w:val="22"/>
        </w:rPr>
      </w:pPr>
      <w:r>
        <w:rPr>
          <w:rFonts w:ascii="Times New Roman" w:hAnsi="Times New Roman"/>
          <w:noProof/>
        </w:rPr>
        <w:lastRenderedPageBreak/>
        <w:pict w14:anchorId="03DE586F">
          <v:shape id="テキスト ボックス 12653" o:spid="_x0000_s3129" type="#_x0000_t202" style="position:absolute;left:0;text-align:left;margin-left:-8.95pt;margin-top:315.5pt;width:486.9pt;height:25.1pt;z-index:251767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" stroked="f" strokeweight="1pt">
            <v:textbox>
              <w:txbxContent>
                <w:p w14:paraId="353EEF60" w14:textId="77777777" w:rsidR="003B0864" w:rsidRPr="000F64FD" w:rsidRDefault="003B0864" w:rsidP="00A40784">
                  <w:pPr>
                    <w:jc w:val="center"/>
                    <w:rPr>
                      <w:rFonts w:ascii="ＭＳ ゴシック" w:eastAsia="ＭＳ ゴシック" w:hAnsi="ＭＳ ゴシック"/>
                      <w:b/>
                      <w:szCs w:val="22"/>
                    </w:rPr>
                  </w:pPr>
                  <w:r w:rsidRPr="000F64FD">
                    <w:rPr>
                      <w:rFonts w:ascii="ＭＳ ゴシック" w:eastAsia="ＭＳ ゴシック" w:hAnsi="ＭＳ ゴシック"/>
                      <w:b/>
                      <w:szCs w:val="22"/>
                    </w:rPr>
                    <w:t>図</w:t>
                  </w:r>
                  <w:r w:rsidRPr="000F64FD">
                    <w:rPr>
                      <w:rFonts w:ascii="ＭＳ ゴシック" w:eastAsia="ＭＳ ゴシック" w:hAnsi="ＭＳ ゴシック" w:hint="eastAsia"/>
                      <w:b/>
                      <w:szCs w:val="22"/>
                    </w:rPr>
                    <w:t>K</w:t>
                  </w:r>
                  <w:r w:rsidRPr="000F64FD">
                    <w:rPr>
                      <w:rFonts w:ascii="ＭＳ ゴシック" w:eastAsia="ＭＳ ゴシック" w:hAnsi="ＭＳ ゴシック"/>
                      <w:b/>
                      <w:szCs w:val="22"/>
                    </w:rPr>
                    <w:t>.3　薄板による切欠き引張試験片</w:t>
                  </w:r>
                </w:p>
              </w:txbxContent>
            </v:textbox>
          </v:shape>
        </w:pict>
      </w:r>
      <w:r>
        <w:rPr>
          <w:rFonts w:ascii="Times New Roman" w:hAnsi="Times New Roman"/>
          <w:noProof/>
        </w:rPr>
        <w:pict w14:anchorId="03F35273">
          <v:shape id="テキスト ボックス 12654" o:spid="_x0000_s3130" type="#_x0000_t202" style="position:absolute;left:0;text-align:left;margin-left:22.3pt;margin-top:286.1pt;width:367.45pt;height:20.9pt;z-index:25178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" stroked="f" strokeweight="1pt">
            <v:textbox style="mso-fit-shape-to-text:t">
              <w:txbxContent>
                <w:p w14:paraId="14C071EE" w14:textId="77777777" w:rsidR="003B0864" w:rsidRPr="00A52EA5" w:rsidRDefault="003B0864" w:rsidP="00A40784">
                  <w:pPr>
                    <w:jc w:val="left"/>
                    <w:rPr>
                      <w:rFonts w:ascii="ＭＳ 明朝" w:hAnsi="ＭＳ 明朝"/>
                      <w:szCs w:val="22"/>
                    </w:rPr>
                  </w:pPr>
                  <w:r w:rsidRPr="00A52EA5">
                    <w:rPr>
                      <w:rFonts w:ascii="ＭＳ 明朝" w:hAnsi="ＭＳ 明朝" w:hint="eastAsia"/>
                      <w:szCs w:val="22"/>
                    </w:rPr>
                    <w:t>※副標準試験片の長さの場合</w:t>
                  </w:r>
                  <w:r w:rsidRPr="00A52EA5">
                    <w:rPr>
                      <w:szCs w:val="22"/>
                    </w:rPr>
                    <w:t>56mm</w:t>
                  </w:r>
                </w:p>
              </w:txbxContent>
            </v:textbox>
          </v:shape>
        </w:pict>
      </w:r>
      <w:r>
        <w:rPr>
          <w:rFonts w:ascii="Times New Roman" w:hAnsi="Times New Roman"/>
          <w:noProof/>
        </w:rPr>
        <w:pict w14:anchorId="28AEBB21">
          <v:shape id="テキスト ボックス 12655" o:spid="_x0000_s3131" type="#_x0000_t202" style="position:absolute;left:0;text-align:left;margin-left:130.75pt;margin-top:262.65pt;width:130.7pt;height:20.05pt;z-index:251776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" stroked="f" strokeweight="1pt">
            <v:textbox style="mso-fit-shape-to-text:t">
              <w:txbxContent>
                <w:p w14:paraId="5AB9A0F5" w14:textId="77777777" w:rsidR="003B0864" w:rsidRPr="00A52EA5" w:rsidRDefault="003B0864" w:rsidP="00A40784">
                  <w:pPr>
                    <w:jc w:val="center"/>
                    <w:rPr>
                      <w:rFonts w:ascii="ＭＳ 明朝" w:hAnsi="ＭＳ 明朝"/>
                      <w:sz w:val="20"/>
                      <w:szCs w:val="22"/>
                    </w:rPr>
                  </w:pPr>
                  <w:r w:rsidRPr="00A52EA5">
                    <w:rPr>
                      <w:sz w:val="20"/>
                      <w:szCs w:val="22"/>
                    </w:rPr>
                    <w:t>300mm</w:t>
                  </w:r>
                  <w:r w:rsidRPr="002A082E">
                    <w:rPr>
                      <w:rFonts w:ascii="ＭＳ 明朝" w:hAnsi="ＭＳ 明朝" w:hint="eastAsia"/>
                      <w:sz w:val="20"/>
                      <w:szCs w:val="22"/>
                    </w:rPr>
                    <w:t>又は</w:t>
                  </w:r>
                  <w:r w:rsidRPr="00A52EA5">
                    <w:rPr>
                      <w:sz w:val="20"/>
                      <w:szCs w:val="22"/>
                    </w:rPr>
                    <w:t>200mm</w:t>
                  </w:r>
                </w:p>
              </w:txbxContent>
            </v:textbox>
          </v:shape>
        </w:pict>
      </w:r>
      <w:r w:rsidR="00A40784" w:rsidRPr="00BC31E0">
        <w:rPr>
          <w:rFonts w:ascii="Times New Roman" w:hAnsi="Times New Roman"/>
          <w:noProof/>
          <w:szCs w:val="22"/>
        </w:rPr>
        <w:drawing>
          <wp:anchor distT="0" distB="0" distL="114300" distR="114300" simplePos="0" relativeHeight="251784704" behindDoc="0" locked="0" layoutInCell="1" allowOverlap="1" wp14:anchorId="524DA10D" wp14:editId="0728552E">
            <wp:simplePos x="0" y="0"/>
            <wp:positionH relativeFrom="column">
              <wp:posOffset>2322668</wp:posOffset>
            </wp:positionH>
            <wp:positionV relativeFrom="paragraph">
              <wp:posOffset>1653540</wp:posOffset>
            </wp:positionV>
            <wp:extent cx="266700" cy="600075"/>
            <wp:effectExtent l="0" t="0" r="0" b="0"/>
            <wp:wrapNone/>
            <wp:docPr id="12699" name="図 1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66700" cy="600075"/>
                    </a:xfrm>
                    <a:prstGeom prst="rect">
                      <a:avLst/>
                    </a:prstGeom>
                    <a:noFill/>
                    <a:ln>
                      <a:noFill/>
                    </a:ln>
                  </pic:spPr>
                </pic:pic>
              </a:graphicData>
            </a:graphic>
          </wp:anchor>
        </w:drawing>
      </w:r>
      <w:r w:rsidR="00A40784" w:rsidRPr="00BC31E0">
        <w:rPr>
          <w:rFonts w:ascii="Times New Roman" w:hAnsi="Times New Roman"/>
          <w:noProof/>
          <w:szCs w:val="22"/>
        </w:rPr>
        <w:drawing>
          <wp:anchor distT="0" distB="0" distL="114300" distR="114300" simplePos="0" relativeHeight="251783680" behindDoc="0" locked="0" layoutInCell="1" allowOverlap="1" wp14:anchorId="315876F1" wp14:editId="29D7BBFE">
            <wp:simplePos x="0" y="0"/>
            <wp:positionH relativeFrom="column">
              <wp:posOffset>2558253</wp:posOffset>
            </wp:positionH>
            <wp:positionV relativeFrom="paragraph">
              <wp:posOffset>1643380</wp:posOffset>
            </wp:positionV>
            <wp:extent cx="266700" cy="600075"/>
            <wp:effectExtent l="0" t="0" r="0" b="0"/>
            <wp:wrapNone/>
            <wp:docPr id="12700" name="図 1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66700" cy="600075"/>
                    </a:xfrm>
                    <a:prstGeom prst="rect">
                      <a:avLst/>
                    </a:prstGeom>
                    <a:noFill/>
                    <a:ln>
                      <a:noFill/>
                    </a:ln>
                  </pic:spPr>
                </pic:pic>
              </a:graphicData>
            </a:graphic>
          </wp:anchor>
        </w:drawing>
      </w:r>
      <w:r>
        <w:rPr>
          <w:rFonts w:ascii="Times New Roman" w:hAnsi="Times New Roman"/>
          <w:noProof/>
        </w:rPr>
        <w:pict w14:anchorId="5453BAD7">
          <v:rect id="正方形/長方形 12656" o:spid="_x0000_s3293" style="position:absolute;left:0;text-align:left;margin-left:210pt;margin-top:133.35pt;width:13.85pt;height:45.35pt;z-index:251781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" stroked="f"/>
        </w:pict>
      </w:r>
      <w:r w:rsidR="00A40784" w:rsidRPr="00BC31E0">
        <w:rPr>
          <w:rFonts w:ascii="Times New Roman" w:hAnsi="Times New Roman"/>
          <w:noProof/>
          <w:szCs w:val="22"/>
        </w:rPr>
        <w:drawing>
          <wp:anchor distT="0" distB="0" distL="114300" distR="114300" simplePos="0" relativeHeight="251775488" behindDoc="0" locked="0" layoutInCell="1" allowOverlap="1" wp14:anchorId="2B33B375" wp14:editId="797851D0">
            <wp:simplePos x="0" y="0"/>
            <wp:positionH relativeFrom="column">
              <wp:posOffset>4602007</wp:posOffset>
            </wp:positionH>
            <wp:positionV relativeFrom="paragraph">
              <wp:posOffset>1682115</wp:posOffset>
            </wp:positionV>
            <wp:extent cx="266700" cy="628650"/>
            <wp:effectExtent l="0" t="0" r="0" b="0"/>
            <wp:wrapNone/>
            <wp:docPr id="12701" name="図 1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66700" cy="628650"/>
                    </a:xfrm>
                    <a:prstGeom prst="rect">
                      <a:avLst/>
                    </a:prstGeom>
                    <a:noFill/>
                    <a:ln>
                      <a:noFill/>
                    </a:ln>
                  </pic:spPr>
                </pic:pic>
              </a:graphicData>
            </a:graphic>
          </wp:anchor>
        </w:drawing>
      </w:r>
      <w:r>
        <w:rPr>
          <w:rFonts w:ascii="Times New Roman" w:hAnsi="Times New Roman"/>
          <w:noProof/>
        </w:rPr>
        <w:pict w14:anchorId="17E78F40">
          <v:shape id="テキスト ボックス 12657" o:spid="_x0000_s3132" type="#_x0000_t202" style="position:absolute;left:0;text-align:left;margin-left:341.4pt;margin-top:203.25pt;width:53.65pt;height:20.05pt;z-index:251773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" stroked="f" strokeweight="1pt">
            <v:textbox style="mso-fit-shape-to-text:t" inset="0,0,0,0">
              <w:txbxContent>
                <w:p w14:paraId="7F7B53FB" w14:textId="77777777" w:rsidR="003B0864" w:rsidRPr="00A52EA5" w:rsidRDefault="003B0864" w:rsidP="00A40784">
                  <w:pPr>
                    <w:jc w:val="right"/>
                    <w:rPr>
                      <w:sz w:val="20"/>
                      <w:szCs w:val="22"/>
                    </w:rPr>
                  </w:pPr>
                  <w:r w:rsidRPr="00A52EA5">
                    <w:rPr>
                      <w:rFonts w:ascii="ＭＳ 明朝" w:hAnsi="ＭＳ 明朝" w:hint="eastAsia"/>
                      <w:sz w:val="20"/>
                      <w:szCs w:val="22"/>
                    </w:rPr>
                    <w:t>最大</w:t>
                  </w:r>
                  <w:r w:rsidRPr="00A52EA5">
                    <w:rPr>
                      <w:sz w:val="20"/>
                      <w:szCs w:val="22"/>
                    </w:rPr>
                    <w:t>6mm</w:t>
                  </w:r>
                </w:p>
              </w:txbxContent>
            </v:textbox>
          </v:shape>
        </w:pict>
      </w:r>
      <w:r>
        <w:rPr>
          <w:rFonts w:ascii="Times New Roman" w:hAnsi="Times New Roman"/>
          <w:noProof/>
        </w:rPr>
        <w:pict w14:anchorId="296F594D">
          <v:shape id="テキスト ボックス 12658" o:spid="_x0000_s3133" type="#_x0000_t202" style="position:absolute;left:0;text-align:left;margin-left:294.95pt;margin-top:221.3pt;width:53.15pt;height:19.2pt;z-index:251778560;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" filled="f" stroked="f" strokeweight="1pt">
            <v:textbox style="mso-fit-shape-to-text:t">
              <w:txbxContent>
                <w:p w14:paraId="1046E2F5" w14:textId="77777777" w:rsidR="003B0864" w:rsidRPr="00A52EA5" w:rsidRDefault="003B0864" w:rsidP="00A40784">
                  <w:pPr>
                    <w:ind w:right="200"/>
                    <w:jc w:val="right"/>
                    <w:rPr>
                      <w:sz w:val="20"/>
                      <w:szCs w:val="22"/>
                    </w:rPr>
                  </w:pPr>
                  <w:r w:rsidRPr="00A52EA5">
                    <w:rPr>
                      <w:sz w:val="20"/>
                      <w:szCs w:val="22"/>
                    </w:rPr>
                    <w:t>44mm</w:t>
                  </w:r>
                </w:p>
              </w:txbxContent>
            </v:textbox>
          </v:shape>
        </w:pict>
      </w:r>
      <w:r>
        <w:rPr>
          <w:rFonts w:ascii="Times New Roman" w:hAnsi="Times New Roman"/>
          <w:noProof/>
        </w:rPr>
        <w:pict w14:anchorId="2FC1AAA7">
          <v:rect id="正方形/長方形 12659" o:spid="_x0000_s3292" style="position:absolute;left:0;text-align:left;margin-left:306.55pt;margin-top:230.85pt;width:20.25pt;height:23.75pt;z-index:251777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" stroked="f"/>
        </w:pict>
      </w:r>
      <w:r>
        <w:rPr>
          <w:rFonts w:ascii="Times New Roman" w:hAnsi="Times New Roman"/>
          <w:noProof/>
        </w:rPr>
        <w:pict w14:anchorId="33BC8DAE">
          <v:shape id="テキスト ボックス 12660" o:spid="_x0000_s3134" type="#_x0000_t202" style="position:absolute;left:0;text-align:left;margin-left:210.45pt;margin-top:230.05pt;width:61.85pt;height:20.05pt;z-index:251779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" stroked="f" strokeweight="1pt">
            <v:textbox style="mso-fit-shape-to-text:t">
              <w:txbxContent>
                <w:p w14:paraId="0D614813" w14:textId="77777777" w:rsidR="003B0864" w:rsidRPr="00A52EA5" w:rsidRDefault="003B0864" w:rsidP="00A40784">
                  <w:pPr>
                    <w:jc w:val="center"/>
                    <w:rPr>
                      <w:sz w:val="20"/>
                      <w:szCs w:val="22"/>
                    </w:rPr>
                  </w:pPr>
                  <w:r w:rsidRPr="00A52EA5">
                    <w:rPr>
                      <w:sz w:val="20"/>
                      <w:szCs w:val="22"/>
                    </w:rPr>
                    <w:t>106mm</w:t>
                  </w:r>
                  <w:r w:rsidRPr="00A52EA5">
                    <w:rPr>
                      <w:rFonts w:ascii="ＭＳ 明朝" w:hAnsi="ＭＳ 明朝" w:cs="ＭＳ 明朝" w:hint="eastAsia"/>
                      <w:sz w:val="20"/>
                      <w:szCs w:val="22"/>
                      <w:vertAlign w:val="superscript"/>
                    </w:rPr>
                    <w:t>※</w:t>
                  </w:r>
                </w:p>
              </w:txbxContent>
            </v:textbox>
          </v:shape>
        </w:pict>
      </w:r>
      <w:r>
        <w:rPr>
          <w:rFonts w:ascii="Times New Roman" w:hAnsi="Times New Roman"/>
          <w:noProof/>
        </w:rPr>
        <w:pict w14:anchorId="63940AD9">
          <v:shape id="テキスト ボックス 12661" o:spid="_x0000_s3135" type="#_x0000_t202" style="position:absolute;left:0;text-align:left;margin-left:66.7pt;margin-top:212.25pt;width:112.35pt;height:38.6pt;z-index:251771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" stroked="f" strokeweight="1pt">
            <v:textbox>
              <w:txbxContent>
                <w:p w14:paraId="48D3AD44" w14:textId="77777777" w:rsidR="003B0864" w:rsidRPr="00A52EA5" w:rsidRDefault="003B0864" w:rsidP="00A40784">
                  <w:pPr>
                    <w:jc w:val="right"/>
                    <w:rPr>
                      <w:rFonts w:ascii="ＭＳ 明朝" w:hAnsi="ＭＳ 明朝"/>
                      <w:sz w:val="20"/>
                      <w:szCs w:val="22"/>
                    </w:rPr>
                  </w:pPr>
                  <w:r w:rsidRPr="00A52EA5">
                    <w:rPr>
                      <w:rFonts w:ascii="ＭＳ 明朝" w:hAnsi="ＭＳ 明朝" w:hint="eastAsia"/>
                      <w:sz w:val="20"/>
                      <w:szCs w:val="22"/>
                    </w:rPr>
                    <w:t>切欠き底半径</w:t>
                  </w:r>
                </w:p>
                <w:p w14:paraId="7BAAE02B" w14:textId="77777777" w:rsidR="003B0864" w:rsidRPr="00A52EA5" w:rsidRDefault="003B0864" w:rsidP="00A40784">
                  <w:pPr>
                    <w:jc w:val="right"/>
                    <w:rPr>
                      <w:rFonts w:ascii="ＭＳ 明朝" w:hAnsi="ＭＳ 明朝"/>
                      <w:sz w:val="20"/>
                      <w:szCs w:val="22"/>
                    </w:rPr>
                  </w:pPr>
                  <w:r w:rsidRPr="00A52EA5">
                    <w:rPr>
                      <w:rFonts w:ascii="ＭＳ 明朝" w:hAnsi="ＭＳ 明朝" w:hint="eastAsia"/>
                      <w:sz w:val="20"/>
                      <w:szCs w:val="22"/>
                    </w:rPr>
                    <w:t>最大</w:t>
                  </w:r>
                  <w:r w:rsidRPr="00A52EA5">
                    <w:rPr>
                      <w:sz w:val="20"/>
                      <w:szCs w:val="22"/>
                    </w:rPr>
                    <w:t>0.018mm</w:t>
                  </w:r>
                </w:p>
              </w:txbxContent>
            </v:textbox>
          </v:shape>
        </w:pict>
      </w:r>
      <w:r>
        <w:rPr>
          <w:rFonts w:ascii="Times New Roman" w:hAnsi="Times New Roman"/>
          <w:noProof/>
        </w:rPr>
        <w:pict w14:anchorId="41712157">
          <v:rect id="正方形/長方形 12662" o:spid="_x0000_s3291" style="position:absolute;left:0;text-align:left;margin-left:189.1pt;margin-top:133.25pt;width:14.8pt;height:45.35pt;z-index:251782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" stroked="f"/>
        </w:pict>
      </w:r>
      <w:r>
        <w:rPr>
          <w:rFonts w:ascii="Times New Roman" w:hAnsi="Times New Roman"/>
          <w:noProof/>
        </w:rPr>
        <w:pict w14:anchorId="2C18DFC6">
          <v:shape id="テキスト ボックス 12663" o:spid="_x0000_s3136" type="#_x0000_t202" style="position:absolute;left:0;text-align:left;margin-left:292.2pt;margin-top:69.65pt;width:117.2pt;height:20.9pt;z-index:251774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" stroked="f" strokeweight="1pt">
            <v:textbox style="mso-fit-shape-to-text:t">
              <w:txbxContent>
                <w:p w14:paraId="32533702" w14:textId="77777777" w:rsidR="003B0864" w:rsidRPr="00A52EA5" w:rsidRDefault="003B0864" w:rsidP="00A40784">
                  <w:pPr>
                    <w:jc w:val="left"/>
                    <w:rPr>
                      <w:rFonts w:ascii="ＭＳ 明朝" w:hAnsi="ＭＳ 明朝"/>
                      <w:szCs w:val="22"/>
                    </w:rPr>
                  </w:pPr>
                  <w:r w:rsidRPr="00A52EA5">
                    <w:rPr>
                      <w:rFonts w:ascii="ＭＳ 明朝" w:hAnsi="ＭＳ 明朝" w:hint="eastAsia"/>
                      <w:szCs w:val="22"/>
                    </w:rPr>
                    <w:t>の</w:t>
                  </w:r>
                  <w:r w:rsidRPr="00A52EA5">
                    <w:rPr>
                      <w:szCs w:val="22"/>
                    </w:rPr>
                    <w:t>0.13mm</w:t>
                  </w:r>
                  <w:r w:rsidRPr="00A52EA5">
                    <w:rPr>
                      <w:rFonts w:ascii="ＭＳ 明朝" w:hAnsi="ＭＳ 明朝" w:hint="eastAsia"/>
                      <w:szCs w:val="22"/>
                    </w:rPr>
                    <w:t>以内</w:t>
                  </w:r>
                </w:p>
              </w:txbxContent>
            </v:textbox>
          </v:shape>
        </w:pict>
      </w:r>
      <w:r>
        <w:rPr>
          <w:rFonts w:ascii="Times New Roman" w:hAnsi="Times New Roman"/>
          <w:noProof/>
        </w:rPr>
        <w:pict w14:anchorId="514D6840">
          <v:shape id="テキスト ボックス 12664" o:spid="_x0000_s3137" type="#_x0000_t202" style="position:absolute;left:0;text-align:left;margin-left:99.8pt;margin-top:39.3pt;width:338.45pt;height:23.15pt;z-index:251772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" stroked="f" strokeweight="1pt">
            <v:textbox>
              <w:txbxContent>
                <w:p w14:paraId="5B458E76" w14:textId="77777777" w:rsidR="003B0864" w:rsidRPr="00A52EA5" w:rsidRDefault="003B0864" w:rsidP="00A40784">
                  <w:pPr>
                    <w:jc w:val="left"/>
                    <w:rPr>
                      <w:rFonts w:ascii="ＭＳ 明朝" w:hAnsi="ＭＳ 明朝"/>
                      <w:szCs w:val="22"/>
                    </w:rPr>
                  </w:pPr>
                  <w:r w:rsidRPr="00A52EA5">
                    <w:rPr>
                      <w:rFonts w:ascii="ＭＳ 明朝" w:hAnsi="ＭＳ 明朝" w:hint="eastAsia"/>
                      <w:szCs w:val="22"/>
                    </w:rPr>
                    <w:t>表面は中心軸から</w:t>
                  </w:r>
                  <w:r w:rsidRPr="00A52EA5">
                    <w:rPr>
                      <w:szCs w:val="22"/>
                    </w:rPr>
                    <w:t>0.05mm</w:t>
                  </w:r>
                  <w:r w:rsidRPr="00A52EA5">
                    <w:rPr>
                      <w:rFonts w:ascii="ＭＳ 明朝" w:hAnsi="ＭＳ 明朝" w:hint="eastAsia"/>
                      <w:szCs w:val="22"/>
                    </w:rPr>
                    <w:t>以内で対称と</w:t>
                  </w:r>
                  <w:r w:rsidRPr="00E12A00">
                    <w:rPr>
                      <w:rFonts w:ascii="ＭＳ 明朝" w:hAnsi="ＭＳ 明朝" w:hint="eastAsia"/>
                      <w:szCs w:val="22"/>
                    </w:rPr>
                    <w:t>しなけ</w:t>
                  </w:r>
                  <w:r w:rsidRPr="00A52EA5">
                    <w:rPr>
                      <w:rFonts w:ascii="ＭＳ 明朝" w:hAnsi="ＭＳ 明朝" w:hint="eastAsia"/>
                      <w:szCs w:val="22"/>
                    </w:rPr>
                    <w:t>ればならない</w:t>
                  </w:r>
                  <w:r>
                    <w:rPr>
                      <w:rFonts w:ascii="ＭＳ 明朝" w:hAnsi="ＭＳ 明朝" w:hint="eastAsia"/>
                      <w:szCs w:val="22"/>
                    </w:rPr>
                    <w:t>。</w:t>
                  </w:r>
                </w:p>
              </w:txbxContent>
            </v:textbox>
          </v:shape>
        </w:pict>
      </w:r>
      <w:r>
        <w:rPr>
          <w:rFonts w:ascii="Times New Roman" w:hAnsi="Times New Roman"/>
          <w:noProof/>
        </w:rPr>
        <w:pict w14:anchorId="21A5375E">
          <v:shape id="テキスト ボックス 12665" o:spid="_x0000_s3138" type="#_x0000_t202" style="position:absolute;left:0;text-align:left;margin-left:38.45pt;margin-top:7.4pt;width:282.5pt;height:30.1pt;z-index:251770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" stroked="f" strokeweight="1pt">
            <v:textbox>
              <w:txbxContent>
                <w:p w14:paraId="7796413C" w14:textId="77777777" w:rsidR="003B0864" w:rsidRPr="00A52EA5" w:rsidRDefault="003B0864" w:rsidP="00A40784">
                  <w:pPr>
                    <w:jc w:val="left"/>
                    <w:rPr>
                      <w:rFonts w:ascii="ＭＳ 明朝" w:hAnsi="ＭＳ 明朝"/>
                      <w:szCs w:val="22"/>
                    </w:rPr>
                  </w:pPr>
                  <w:r w:rsidRPr="00A52EA5">
                    <w:rPr>
                      <w:rFonts w:ascii="ＭＳ 明朝" w:hAnsi="ＭＳ 明朝" w:hint="eastAsia"/>
                      <w:szCs w:val="22"/>
                    </w:rPr>
                    <w:t>直径φ</w:t>
                  </w:r>
                  <w:r w:rsidRPr="00A52EA5">
                    <w:rPr>
                      <w:szCs w:val="22"/>
                    </w:rPr>
                    <w:t>25mm</w:t>
                  </w:r>
                  <w:r w:rsidRPr="00A52EA5">
                    <w:rPr>
                      <w:rFonts w:ascii="ＭＳ 明朝" w:hAnsi="ＭＳ 明朝"/>
                      <w:szCs w:val="22"/>
                    </w:rPr>
                    <w:t>（</w:t>
                  </w:r>
                  <w:r w:rsidRPr="00A52EA5">
                    <w:rPr>
                      <w:rFonts w:ascii="ＭＳ 明朝" w:hAnsi="ＭＳ 明朝" w:hint="eastAsia"/>
                      <w:szCs w:val="22"/>
                    </w:rPr>
                    <w:t>荷重ピンとの隙間は最大</w:t>
                  </w:r>
                  <w:r w:rsidRPr="00A52EA5">
                    <w:rPr>
                      <w:szCs w:val="22"/>
                    </w:rPr>
                    <w:t>0.05mm</w:t>
                  </w:r>
                  <w:r w:rsidRPr="00A52EA5">
                    <w:rPr>
                      <w:rFonts w:ascii="ＭＳ 明朝" w:hAnsi="ＭＳ 明朝" w:hint="eastAsia"/>
                      <w:szCs w:val="22"/>
                    </w:rPr>
                    <w:t>）</w:t>
                  </w:r>
                </w:p>
              </w:txbxContent>
            </v:textbox>
          </v:shape>
        </w:pict>
      </w:r>
      <w:r w:rsidR="00A40784" w:rsidRPr="00BC31E0">
        <w:rPr>
          <w:rFonts w:ascii="Times New Roman" w:hAnsi="Times New Roman" w:hint="eastAsia"/>
          <w:noProof/>
        </w:rPr>
        <w:drawing>
          <wp:inline distT="0" distB="0" distL="0" distR="0" wp14:anchorId="5A49DC00" wp14:editId="5E89D772">
            <wp:extent cx="5688330" cy="4295775"/>
            <wp:effectExtent l="0" t="0" r="7620" b="9525"/>
            <wp:docPr id="12702" name="図 1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cstate="print">
                      <a:extLst>
                        <a:ext uri="{28A0092B-C50C-407E-A947-70E740481C1C}">
                          <a14:useLocalDpi xmlns:a14="http://schemas.microsoft.com/office/drawing/2010/main" val="0"/>
                        </a:ext>
                      </a:extLst>
                    </a:blip>
                    <a:srcRect b="11028"/>
                    <a:stretch>
                      <a:fillRect/>
                    </a:stretch>
                  </pic:blipFill>
                  <pic:spPr bwMode="auto">
                    <a:xfrm>
                      <a:off x="0" y="0"/>
                      <a:ext cx="5688330" cy="4295775"/>
                    </a:xfrm>
                    <a:prstGeom prst="rect">
                      <a:avLst/>
                    </a:prstGeom>
                    <a:noFill/>
                    <a:ln>
                      <a:noFill/>
                    </a:ln>
                  </pic:spPr>
                </pic:pic>
              </a:graphicData>
            </a:graphic>
          </wp:inline>
        </w:drawing>
      </w:r>
    </w:p>
    <w:p w14:paraId="5CCC85FE" w14:textId="77777777" w:rsidR="00A40784" w:rsidRPr="00BC31E0" w:rsidRDefault="00A51873" w:rsidP="00A40784">
      <w:pPr>
        <w:jc w:val="center"/>
        <w:rPr>
          <w:rFonts w:ascii="Times New Roman" w:hAnsi="Times New Roman"/>
        </w:rPr>
      </w:pPr>
      <w:r>
        <w:rPr>
          <w:rFonts w:ascii="Times New Roman" w:hAnsi="Times New Roman"/>
          <w:noProof/>
        </w:rPr>
        <w:pict w14:anchorId="691B1C62">
          <v:shape id="テキスト ボックス 12666" o:spid="_x0000_s3139" type="#_x0000_t202" style="position:absolute;left:0;text-align:left;margin-left:194pt;margin-top:16.2pt;width:194.45pt;height:32.9pt;z-index:251833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" stroked="f" strokeweight="1pt">
            <v:textbox style="mso-fit-shape-to-text:t" inset=".54mm,,.54mm">
              <w:txbxContent>
                <w:p w14:paraId="07948219" w14:textId="77777777" w:rsidR="003B0864" w:rsidRPr="00A52EA5" w:rsidRDefault="003B0864" w:rsidP="00A40784">
                  <w:pPr>
                    <w:ind w:right="400"/>
                    <w:jc w:val="right"/>
                    <w:rPr>
                      <w:rFonts w:ascii="ＭＳ 明朝" w:hAnsi="ＭＳ 明朝"/>
                      <w:sz w:val="20"/>
                      <w:szCs w:val="22"/>
                    </w:rPr>
                  </w:pPr>
                  <w:r w:rsidRPr="00A52EA5">
                    <w:rPr>
                      <w:rFonts w:ascii="ＭＳ 明朝" w:hAnsi="ＭＳ 明朝" w:hint="eastAsia"/>
                      <w:sz w:val="20"/>
                      <w:szCs w:val="22"/>
                    </w:rPr>
                    <w:t>直径φ</w:t>
                  </w:r>
                  <w:r w:rsidRPr="00A52EA5">
                    <w:rPr>
                      <w:sz w:val="20"/>
                      <w:szCs w:val="22"/>
                    </w:rPr>
                    <w:t>6mm</w:t>
                  </w:r>
                  <w:r w:rsidRPr="00A52EA5">
                    <w:rPr>
                      <w:rFonts w:ascii="ＭＳ 明朝" w:hAnsi="ＭＳ 明朝" w:hint="eastAsia"/>
                      <w:sz w:val="20"/>
                      <w:szCs w:val="22"/>
                    </w:rPr>
                    <w:t>，</w:t>
                  </w:r>
                  <w:r w:rsidRPr="00A52EA5">
                    <w:rPr>
                      <w:sz w:val="20"/>
                      <w:szCs w:val="22"/>
                    </w:rPr>
                    <w:t>3</w:t>
                  </w:r>
                  <w:r w:rsidRPr="00A52EA5">
                    <w:rPr>
                      <w:rFonts w:ascii="ＭＳ 明朝" w:hAnsi="ＭＳ 明朝" w:hint="eastAsia"/>
                      <w:sz w:val="20"/>
                      <w:szCs w:val="22"/>
                    </w:rPr>
                    <w:t>穴</w:t>
                  </w:r>
                </w:p>
                <w:p w14:paraId="674FB313" w14:textId="77777777" w:rsidR="003B0864" w:rsidRPr="00A52EA5" w:rsidRDefault="003B0864" w:rsidP="00A40784">
                  <w:pPr>
                    <w:ind w:right="400"/>
                    <w:jc w:val="right"/>
                    <w:rPr>
                      <w:rFonts w:ascii="ＭＳ 明朝" w:hAnsi="ＭＳ 明朝"/>
                      <w:sz w:val="20"/>
                      <w:szCs w:val="22"/>
                    </w:rPr>
                  </w:pPr>
                  <w:r w:rsidRPr="00A52EA5">
                    <w:rPr>
                      <w:rFonts w:ascii="ＭＳ 明朝" w:hAnsi="ＭＳ 明朝" w:hint="eastAsia"/>
                      <w:sz w:val="20"/>
                      <w:szCs w:val="22"/>
                    </w:rPr>
                    <w:t>ピンの隙間最大</w:t>
                  </w:r>
                  <w:r w:rsidRPr="00A52EA5">
                    <w:rPr>
                      <w:sz w:val="20"/>
                      <w:szCs w:val="22"/>
                    </w:rPr>
                    <w:t>0.25mm</w:t>
                  </w:r>
                </w:p>
              </w:txbxContent>
            </v:textbox>
          </v:shape>
        </w:pict>
      </w:r>
    </w:p>
    <w:p w14:paraId="2D3D5617" w14:textId="77777777" w:rsidR="00A40784" w:rsidRPr="00BC31E0" w:rsidRDefault="00A51873" w:rsidP="00A40784">
      <w:pPr>
        <w:jc w:val="center"/>
        <w:rPr>
          <w:rFonts w:ascii="Times New Roman" w:hAnsi="Times New Roman"/>
        </w:rPr>
      </w:pPr>
      <w:r>
        <w:rPr>
          <w:rFonts w:ascii="Times New Roman" w:hAnsi="Times New Roman"/>
          <w:noProof/>
        </w:rPr>
        <w:pict w14:anchorId="501CD1FD">
          <v:shape id="テキスト ボックス 1498" o:spid="_x0000_s3140" type="#_x0000_t202" style="position:absolute;left:0;text-align:left;margin-left:-8.95pt;margin-top:275.6pt;width:486.9pt;height:25.95pt;z-index:251824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" stroked="f" strokeweight="1pt">
            <v:textbox>
              <w:txbxContent>
                <w:p w14:paraId="496798A3" w14:textId="77777777" w:rsidR="003B0864" w:rsidRPr="00C734E5" w:rsidRDefault="003B0864" w:rsidP="00A40784">
                  <w:pPr>
                    <w:jc w:val="center"/>
                    <w:rPr>
                      <w:rFonts w:ascii="ＭＳ ゴシック" w:eastAsia="ＭＳ ゴシック" w:hAnsi="ＭＳ ゴシック"/>
                      <w:b/>
                      <w:szCs w:val="22"/>
                    </w:rPr>
                  </w:pPr>
                  <w:r w:rsidRPr="00C734E5">
                    <w:rPr>
                      <w:rFonts w:ascii="ＭＳ ゴシック" w:eastAsia="ＭＳ ゴシック" w:hAnsi="ＭＳ ゴシック"/>
                      <w:b/>
                      <w:szCs w:val="22"/>
                    </w:rPr>
                    <w:t>図</w:t>
                  </w:r>
                  <w:r w:rsidRPr="00C734E5">
                    <w:rPr>
                      <w:rFonts w:ascii="ＭＳ ゴシック" w:eastAsia="ＭＳ ゴシック" w:hAnsi="ＭＳ ゴシック" w:hint="eastAsia"/>
                      <w:b/>
                      <w:szCs w:val="22"/>
                    </w:rPr>
                    <w:t>K</w:t>
                  </w:r>
                  <w:r w:rsidRPr="00C734E5">
                    <w:rPr>
                      <w:rFonts w:ascii="ＭＳ ゴシック" w:eastAsia="ＭＳ ゴシック" w:hAnsi="ＭＳ ゴシック"/>
                      <w:b/>
                      <w:szCs w:val="22"/>
                    </w:rPr>
                    <w:t>.</w:t>
                  </w:r>
                  <w:r w:rsidRPr="00C734E5">
                    <w:rPr>
                      <w:rFonts w:ascii="ＭＳ ゴシック" w:eastAsia="ＭＳ ゴシック" w:hAnsi="ＭＳ ゴシック" w:hint="eastAsia"/>
                      <w:b/>
                      <w:szCs w:val="22"/>
                    </w:rPr>
                    <w:t>4</w:t>
                  </w:r>
                  <w:r w:rsidRPr="00C734E5">
                    <w:rPr>
                      <w:rFonts w:ascii="ＭＳ ゴシック" w:eastAsia="ＭＳ ゴシック" w:hAnsi="ＭＳ ゴシック"/>
                      <w:b/>
                      <w:szCs w:val="22"/>
                    </w:rPr>
                    <w:t xml:space="preserve">　</w:t>
                  </w:r>
                  <w:r w:rsidRPr="00C734E5">
                    <w:rPr>
                      <w:rFonts w:ascii="ＭＳ ゴシック" w:eastAsia="ＭＳ ゴシック" w:hAnsi="ＭＳ ゴシック" w:hint="eastAsia"/>
                      <w:b/>
                      <w:szCs w:val="22"/>
                    </w:rPr>
                    <w:t>試験片ヘッド用補強</w:t>
                  </w:r>
                  <w:r w:rsidRPr="00E12A00">
                    <w:rPr>
                      <w:rFonts w:ascii="ＭＳ ゴシック" w:eastAsia="ＭＳ ゴシック" w:hAnsi="ＭＳ ゴシック" w:hint="eastAsia"/>
                      <w:b/>
                      <w:szCs w:val="22"/>
                    </w:rPr>
                    <w:t>板</w:t>
                  </w:r>
                </w:p>
              </w:txbxContent>
            </v:textbox>
          </v:shape>
        </w:pict>
      </w:r>
      <w:r>
        <w:rPr>
          <w:rFonts w:ascii="Times New Roman" w:hAnsi="Times New Roman"/>
          <w:noProof/>
        </w:rPr>
        <w:pict w14:anchorId="7CB0B072">
          <v:shape id="テキスト ボックス 1503" o:spid="_x0000_s3141" type="#_x0000_t202" style="position:absolute;left:0;text-align:left;margin-left:230.6pt;margin-top:249.65pt;width:44.35pt;height:15.2pt;z-index:251830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" stroked="f" strokeweight="1pt">
            <v:textbox style="mso-fit-shape-to-text:t" inset=".54mm,.57mm,.54mm,.57mm">
              <w:txbxContent>
                <w:p w14:paraId="08D6E98D" w14:textId="77777777" w:rsidR="003B0864" w:rsidRPr="00A52EA5" w:rsidRDefault="003B0864" w:rsidP="00A40784">
                  <w:pPr>
                    <w:ind w:right="200"/>
                    <w:jc w:val="center"/>
                    <w:rPr>
                      <w:sz w:val="20"/>
                      <w:szCs w:val="22"/>
                    </w:rPr>
                  </w:pPr>
                  <w:r w:rsidRPr="00A52EA5">
                    <w:rPr>
                      <w:sz w:val="20"/>
                      <w:szCs w:val="22"/>
                    </w:rPr>
                    <w:t>83mm</w:t>
                  </w:r>
                </w:p>
              </w:txbxContent>
            </v:textbox>
          </v:shape>
        </w:pict>
      </w:r>
      <w:r>
        <w:rPr>
          <w:rFonts w:ascii="Times New Roman" w:hAnsi="Times New Roman"/>
          <w:noProof/>
        </w:rPr>
        <w:pict w14:anchorId="216E07F1">
          <v:shape id="テキスト ボックス 12667" o:spid="_x0000_s3142" type="#_x0000_t202" style="position:absolute;left:0;text-align:left;margin-left:261.75pt;margin-top:231.2pt;width:52.3pt;height:16pt;z-index:251831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" stroked="f" strokeweight="1pt">
            <v:textbox inset=".54mm,.57mm,.54mm,.57mm">
              <w:txbxContent>
                <w:p w14:paraId="6D275FA5" w14:textId="77777777" w:rsidR="003B0864" w:rsidRPr="00A52EA5" w:rsidRDefault="003B0864" w:rsidP="00A40784">
                  <w:pPr>
                    <w:ind w:right="200"/>
                    <w:jc w:val="center"/>
                    <w:rPr>
                      <w:sz w:val="20"/>
                      <w:szCs w:val="22"/>
                    </w:rPr>
                  </w:pPr>
                  <w:r>
                    <w:rPr>
                      <w:sz w:val="20"/>
                      <w:szCs w:val="22"/>
                    </w:rPr>
                    <w:t xml:space="preserve"> </w:t>
                  </w:r>
                  <w:r w:rsidRPr="00A52EA5">
                    <w:rPr>
                      <w:sz w:val="20"/>
                      <w:szCs w:val="22"/>
                    </w:rPr>
                    <w:t>45mm</w:t>
                  </w:r>
                </w:p>
              </w:txbxContent>
            </v:textbox>
          </v:shape>
        </w:pict>
      </w:r>
      <w:r>
        <w:rPr>
          <w:rFonts w:ascii="Times New Roman" w:hAnsi="Times New Roman"/>
          <w:noProof/>
        </w:rPr>
        <w:pict w14:anchorId="15336C37">
          <v:shape id="テキスト ボックス 12668" o:spid="_x0000_s3143" type="#_x0000_t202" style="position:absolute;left:0;text-align:left;margin-left:205.6pt;margin-top:201.9pt;width:53.15pt;height:19.2pt;z-index:2518410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" filled="f" stroked="f" strokeweight="1pt">
            <v:textbox style="mso-fit-shape-to-text:t">
              <w:txbxContent>
                <w:p w14:paraId="37080AD8" w14:textId="77777777" w:rsidR="003B0864" w:rsidRPr="00E12A00" w:rsidRDefault="003B0864" w:rsidP="00A40784">
                  <w:pPr>
                    <w:ind w:right="200"/>
                    <w:jc w:val="right"/>
                    <w:rPr>
                      <w:sz w:val="20"/>
                      <w:szCs w:val="22"/>
                    </w:rPr>
                  </w:pPr>
                  <w:r w:rsidRPr="00E12A00">
                    <w:rPr>
                      <w:sz w:val="20"/>
                      <w:szCs w:val="22"/>
                    </w:rPr>
                    <w:t>25mm</w:t>
                  </w:r>
                </w:p>
              </w:txbxContent>
            </v:textbox>
          </v:shape>
        </w:pict>
      </w:r>
      <w:r>
        <w:rPr>
          <w:rFonts w:ascii="Times New Roman" w:hAnsi="Times New Roman"/>
          <w:noProof/>
        </w:rPr>
        <w:pict w14:anchorId="70CB2E47">
          <v:shape id="テキスト ボックス 12669" o:spid="_x0000_s3144" type="#_x0000_t202" style="position:absolute;left:0;text-align:left;margin-left:253.65pt;margin-top:199.9pt;width:53.15pt;height:19.2pt;z-index:2518502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" filled="f" stroked="f" strokeweight="1pt">
            <v:textbox style="mso-fit-shape-to-text:t">
              <w:txbxContent>
                <w:p w14:paraId="4BBE77EA" w14:textId="77777777" w:rsidR="003B0864" w:rsidRPr="00A52EA5" w:rsidRDefault="003B0864" w:rsidP="00A40784">
                  <w:pPr>
                    <w:ind w:right="200"/>
                    <w:jc w:val="right"/>
                    <w:rPr>
                      <w:sz w:val="20"/>
                      <w:szCs w:val="22"/>
                    </w:rPr>
                  </w:pPr>
                  <w:r w:rsidRPr="00A52EA5">
                    <w:rPr>
                      <w:sz w:val="20"/>
                      <w:szCs w:val="22"/>
                    </w:rPr>
                    <w:t>32mm</w:t>
                  </w:r>
                </w:p>
              </w:txbxContent>
            </v:textbox>
          </v:shape>
        </w:pict>
      </w:r>
      <w:r>
        <w:rPr>
          <w:rFonts w:ascii="Times New Roman" w:hAnsi="Times New Roman"/>
          <w:noProof/>
        </w:rPr>
        <w:pict w14:anchorId="3DBB51C1">
          <v:rect id="正方形/長方形 12670" o:spid="_x0000_s3290" style="position:absolute;left:0;text-align:left;margin-left:263.9pt;margin-top:209.3pt;width:20.25pt;height:23.75pt;z-index:251840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" stroked="f"/>
        </w:pict>
      </w:r>
      <w:r>
        <w:rPr>
          <w:rFonts w:ascii="Times New Roman" w:hAnsi="Times New Roman"/>
          <w:noProof/>
        </w:rPr>
        <w:pict w14:anchorId="563C2B9C">
          <v:rect id="正方形/長方形 12671" o:spid="_x0000_s3289" style="position:absolute;left:0;text-align:left;margin-left:218.65pt;margin-top:207.3pt;width:20.25pt;height:23.75pt;z-index:251838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" stroked="f"/>
        </w:pict>
      </w:r>
      <w:r>
        <w:rPr>
          <w:rFonts w:ascii="Times New Roman" w:hAnsi="Times New Roman"/>
          <w:noProof/>
        </w:rPr>
        <w:pict w14:anchorId="5D61D8FC">
          <v:shape id="テキスト ボックス 1499" o:spid="_x0000_s3145" type="#_x0000_t202" style="position:absolute;left:0;text-align:left;margin-left:63pt;margin-top:207.55pt;width:55.85pt;height:20.05pt;z-index:251825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" stroked="f" strokeweight="1pt">
            <v:textbox style="mso-fit-shape-to-text:t" inset=".54mm,,.54mm">
              <w:txbxContent>
                <w:p w14:paraId="776A2AFE" w14:textId="77777777" w:rsidR="003B0864" w:rsidRPr="00A52EA5" w:rsidRDefault="003B0864" w:rsidP="00A40784">
                  <w:pPr>
                    <w:ind w:right="200"/>
                    <w:jc w:val="right"/>
                    <w:rPr>
                      <w:rFonts w:ascii="ＭＳ 明朝" w:hAnsi="ＭＳ 明朝"/>
                      <w:sz w:val="20"/>
                      <w:szCs w:val="22"/>
                    </w:rPr>
                  </w:pPr>
                  <w:r w:rsidRPr="00A52EA5">
                    <w:rPr>
                      <w:rFonts w:ascii="ＭＳ 明朝" w:hAnsi="ＭＳ 明朝" w:hint="eastAsia"/>
                      <w:sz w:val="20"/>
                      <w:szCs w:val="22"/>
                    </w:rPr>
                    <w:t>試験片</w:t>
                  </w:r>
                </w:p>
              </w:txbxContent>
            </v:textbox>
          </v:shape>
        </w:pict>
      </w:r>
      <w:r>
        <w:rPr>
          <w:rFonts w:ascii="Times New Roman" w:hAnsi="Times New Roman"/>
          <w:noProof/>
        </w:rPr>
        <w:pict w14:anchorId="0DCE292C">
          <v:shape id="テキスト ボックス 12672" o:spid="_x0000_s3146" type="#_x0000_t202" style="position:absolute;left:0;text-align:left;margin-left:135.85pt;margin-top:156.6pt;width:44.3pt;height:15.2pt;z-index:251826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" stroked="f" strokeweight="1pt">
            <v:textbox style="mso-fit-shape-to-text:t" inset=".54mm,.57mm,.54mm,.57mm">
              <w:txbxContent>
                <w:p w14:paraId="09C50B84" w14:textId="77777777" w:rsidR="003B0864" w:rsidRPr="00A52EA5" w:rsidRDefault="003B0864" w:rsidP="00A40784">
                  <w:pPr>
                    <w:ind w:right="200"/>
                    <w:jc w:val="center"/>
                    <w:rPr>
                      <w:sz w:val="20"/>
                      <w:szCs w:val="22"/>
                    </w:rPr>
                  </w:pPr>
                  <w:r w:rsidRPr="00A52EA5">
                    <w:rPr>
                      <w:sz w:val="20"/>
                      <w:szCs w:val="22"/>
                    </w:rPr>
                    <w:t>38mm</w:t>
                  </w:r>
                </w:p>
              </w:txbxContent>
            </v:textbox>
          </v:shape>
        </w:pict>
      </w:r>
      <w:r>
        <w:rPr>
          <w:rFonts w:ascii="Times New Roman" w:hAnsi="Times New Roman"/>
          <w:noProof/>
        </w:rPr>
        <w:pict w14:anchorId="390E267F">
          <v:shape id="テキスト ボックス 1502" o:spid="_x0000_s3147" type="#_x0000_t202" style="position:absolute;left:0;text-align:left;margin-left:357.6pt;margin-top:122.35pt;width:42.6pt;height:15.2pt;z-index:251829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" stroked="f" strokeweight="1pt">
            <v:textbox style="mso-fit-shape-to-text:t" inset=".54mm,.57mm,.54mm,.57mm">
              <w:txbxContent>
                <w:p w14:paraId="24BB2035" w14:textId="77777777" w:rsidR="003B0864" w:rsidRPr="00A52EA5" w:rsidRDefault="003B0864" w:rsidP="00A40784">
                  <w:pPr>
                    <w:ind w:right="200"/>
                    <w:jc w:val="center"/>
                    <w:rPr>
                      <w:sz w:val="20"/>
                      <w:szCs w:val="22"/>
                    </w:rPr>
                  </w:pPr>
                  <w:r w:rsidRPr="00A52EA5">
                    <w:rPr>
                      <w:sz w:val="20"/>
                      <w:szCs w:val="22"/>
                    </w:rPr>
                    <w:t>75mm</w:t>
                  </w:r>
                </w:p>
              </w:txbxContent>
            </v:textbox>
          </v:shape>
        </w:pict>
      </w:r>
      <w:r>
        <w:rPr>
          <w:rFonts w:ascii="Times New Roman" w:hAnsi="Times New Roman"/>
          <w:noProof/>
        </w:rPr>
        <w:pict w14:anchorId="6EE7A1BD">
          <v:shape id="テキスト ボックス 1501" o:spid="_x0000_s3148" type="#_x0000_t202" style="position:absolute;left:0;text-align:left;margin-left:328.95pt;margin-top:150.3pt;width:42.6pt;height:15.2pt;z-index:251827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" stroked="f" strokeweight="1pt">
            <v:textbox style="mso-fit-shape-to-text:t" inset=".54mm,.57mm,.54mm,.57mm">
              <w:txbxContent>
                <w:p w14:paraId="64A2B105" w14:textId="77777777" w:rsidR="003B0864" w:rsidRPr="00A52EA5" w:rsidRDefault="003B0864" w:rsidP="00A40784">
                  <w:pPr>
                    <w:ind w:right="200"/>
                    <w:jc w:val="center"/>
                    <w:rPr>
                      <w:sz w:val="20"/>
                      <w:szCs w:val="22"/>
                    </w:rPr>
                  </w:pPr>
                  <w:r w:rsidRPr="00A52EA5">
                    <w:rPr>
                      <w:sz w:val="20"/>
                      <w:szCs w:val="22"/>
                    </w:rPr>
                    <w:t>28mm</w:t>
                  </w:r>
                </w:p>
              </w:txbxContent>
            </v:textbox>
          </v:shape>
        </w:pict>
      </w:r>
      <w:r>
        <w:rPr>
          <w:rFonts w:ascii="Times New Roman" w:hAnsi="Times New Roman"/>
          <w:noProof/>
        </w:rPr>
        <w:pict w14:anchorId="4734B410">
          <v:shape id="テキスト ボックス 1500" o:spid="_x0000_s3149" type="#_x0000_t202" style="position:absolute;left:0;text-align:left;margin-left:330.8pt;margin-top:99.35pt;width:42.6pt;height:15.2pt;z-index:251828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" stroked="f" strokeweight="1pt">
            <v:textbox style="mso-fit-shape-to-text:t" inset=".54mm,.57mm,.54mm,.57mm">
              <w:txbxContent>
                <w:p w14:paraId="2516971C" w14:textId="77777777" w:rsidR="003B0864" w:rsidRPr="00A52EA5" w:rsidRDefault="003B0864" w:rsidP="00A40784">
                  <w:pPr>
                    <w:ind w:right="200"/>
                    <w:jc w:val="center"/>
                    <w:rPr>
                      <w:sz w:val="20"/>
                      <w:szCs w:val="22"/>
                    </w:rPr>
                  </w:pPr>
                  <w:r w:rsidRPr="00A52EA5">
                    <w:rPr>
                      <w:sz w:val="20"/>
                      <w:szCs w:val="22"/>
                    </w:rPr>
                    <w:t>28mm</w:t>
                  </w:r>
                </w:p>
              </w:txbxContent>
            </v:textbox>
          </v:shape>
        </w:pict>
      </w:r>
      <w:r>
        <w:rPr>
          <w:rFonts w:ascii="Times New Roman" w:hAnsi="Times New Roman"/>
          <w:noProof/>
        </w:rPr>
        <w:pict w14:anchorId="4BECB2F0">
          <v:shape id="テキスト ボックス 12673" o:spid="_x0000_s3150" type="#_x0000_t202" style="position:absolute;left:0;text-align:left;margin-left:78.35pt;margin-top:38.2pt;width:175.8pt;height:20.05pt;z-index:251832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" stroked="f" strokeweight="1pt">
            <v:textbox style="mso-fit-shape-to-text:t" inset=".54mm,,.54mm">
              <w:txbxContent>
                <w:p w14:paraId="67C64EBE" w14:textId="77777777" w:rsidR="003B0864" w:rsidRPr="00A52EA5" w:rsidRDefault="003B0864" w:rsidP="00A40784">
                  <w:pPr>
                    <w:ind w:right="400"/>
                    <w:jc w:val="right"/>
                    <w:rPr>
                      <w:rFonts w:ascii="ＭＳ 明朝" w:hAnsi="ＭＳ 明朝"/>
                      <w:sz w:val="20"/>
                      <w:szCs w:val="22"/>
                    </w:rPr>
                  </w:pPr>
                  <w:r w:rsidRPr="00A52EA5">
                    <w:rPr>
                      <w:rFonts w:ascii="ＭＳ 明朝" w:hAnsi="ＭＳ 明朝" w:hint="eastAsia"/>
                      <w:sz w:val="20"/>
                      <w:szCs w:val="22"/>
                    </w:rPr>
                    <w:t>直径φ</w:t>
                  </w:r>
                  <w:r w:rsidRPr="00A52EA5">
                    <w:rPr>
                      <w:sz w:val="20"/>
                      <w:szCs w:val="22"/>
                    </w:rPr>
                    <w:t>25mm</w:t>
                  </w:r>
                </w:p>
              </w:txbxContent>
            </v:textbox>
          </v:shape>
        </w:pict>
      </w:r>
      <w:r w:rsidR="00A40784" w:rsidRPr="00BC31E0">
        <w:rPr>
          <w:rFonts w:ascii="Times New Roman" w:hAnsi="Times New Roman"/>
          <w:noProof/>
        </w:rPr>
        <w:drawing>
          <wp:inline distT="0" distB="0" distL="0" distR="0" wp14:anchorId="529974F5" wp14:editId="6428B7B0">
            <wp:extent cx="4406265" cy="3406140"/>
            <wp:effectExtent l="38100" t="57150" r="32385" b="41910"/>
            <wp:docPr id="1497" name="図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0" cstate="print">
                      <a:extLst>
                        <a:ext uri="{28A0092B-C50C-407E-A947-70E740481C1C}">
                          <a14:useLocalDpi xmlns:a14="http://schemas.microsoft.com/office/drawing/2010/main" val="0"/>
                        </a:ext>
                      </a:extLst>
                    </a:blip>
                    <a:srcRect b="14258"/>
                    <a:stretch>
                      <a:fillRect/>
                    </a:stretch>
                  </pic:blipFill>
                  <pic:spPr bwMode="auto">
                    <a:xfrm rot="60000">
                      <a:off x="0" y="0"/>
                      <a:ext cx="4406265" cy="3406140"/>
                    </a:xfrm>
                    <a:prstGeom prst="rect">
                      <a:avLst/>
                    </a:prstGeom>
                    <a:noFill/>
                    <a:ln>
                      <a:noFill/>
                    </a:ln>
                  </pic:spPr>
                </pic:pic>
              </a:graphicData>
            </a:graphic>
          </wp:inline>
        </w:drawing>
      </w:r>
    </w:p>
    <w:p w14:paraId="251C6AA7" w14:textId="77777777" w:rsidR="00A40784" w:rsidRPr="00BC31E0" w:rsidRDefault="00A40784" w:rsidP="00A40784">
      <w:pPr>
        <w:jc w:val="center"/>
        <w:rPr>
          <w:rFonts w:ascii="Times New Roman" w:hAnsi="Times New Roman"/>
        </w:rPr>
      </w:pPr>
    </w:p>
    <w:p w14:paraId="4E344848" w14:textId="77777777" w:rsidR="00A40784" w:rsidRPr="00BC31E0" w:rsidRDefault="00A40784" w:rsidP="00A40784">
      <w:pPr>
        <w:jc w:val="center"/>
        <w:rPr>
          <w:rFonts w:ascii="Times New Roman" w:hAnsi="Times New Roman"/>
        </w:rPr>
      </w:pPr>
      <w:r w:rsidRPr="00BC31E0">
        <w:rPr>
          <w:rFonts w:ascii="Times New Roman" w:hAnsi="Times New Roman"/>
        </w:rPr>
        <w:br w:type="page"/>
      </w:r>
    </w:p>
    <w:p w14:paraId="46C5D42A" w14:textId="77777777" w:rsidR="00A40784" w:rsidRPr="00BC31E0" w:rsidRDefault="00A51873" w:rsidP="00A40784">
      <w:pPr>
        <w:jc w:val="center"/>
        <w:rPr>
          <w:rFonts w:ascii="Times New Roman" w:hAnsi="Times New Roman"/>
        </w:rPr>
      </w:pPr>
      <w:r>
        <w:rPr>
          <w:rFonts w:ascii="Times New Roman" w:hAnsi="Times New Roman"/>
          <w:noProof/>
          <w:szCs w:val="22"/>
        </w:rPr>
        <w:lastRenderedPageBreak/>
        <w:pict w14:anchorId="091BCF3B">
          <v:shape id="テキスト ボックス 1496" o:spid="_x0000_s3152" type="#_x0000_t202" style="position:absolute;left:0;text-align:left;margin-left:20.6pt;margin-top:216.65pt;width:412.2pt;height:25.05pt;z-index:251835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" stroked="f" strokeweight="1pt">
            <v:textbox>
              <w:txbxContent>
                <w:p w14:paraId="316663C9" w14:textId="77777777" w:rsidR="003B0864" w:rsidRPr="00681C2D" w:rsidRDefault="003B0864" w:rsidP="00681C2D">
                  <w:pPr>
                    <w:ind w:firstLineChars="600" w:firstLine="1265"/>
                    <w:jc w:val="left"/>
                    <w:rPr>
                      <w:rFonts w:ascii="ＭＳ 明朝" w:hAnsi="ＭＳ 明朝"/>
                    </w:rPr>
                  </w:pPr>
                  <w:r w:rsidRPr="00681C2D">
                    <w:rPr>
                      <w:rFonts w:asciiTheme="majorEastAsia" w:eastAsiaTheme="majorEastAsia" w:hAnsiTheme="majorEastAsia" w:hint="eastAsia"/>
                      <w:b/>
                    </w:rPr>
                    <w:t>注記</w:t>
                  </w:r>
                  <w:r>
                    <w:rPr>
                      <w:rFonts w:ascii="ＭＳ 明朝" w:hAnsi="ＭＳ 明朝" w:hint="eastAsia"/>
                    </w:rPr>
                    <w:t xml:space="preserve">　</w:t>
                  </w:r>
                  <w:r w:rsidRPr="00681C2D">
                    <w:t>d</w:t>
                  </w:r>
                  <w:r w:rsidRPr="00681C2D">
                    <w:rPr>
                      <w:rFonts w:ascii="ＭＳ 明朝" w:hAnsi="ＭＳ 明朝" w:hint="eastAsia"/>
                    </w:rPr>
                    <w:t>は</w:t>
                  </w:r>
                  <w:r w:rsidRPr="00681C2D">
                    <w:t>D</w:t>
                  </w:r>
                  <w:r w:rsidRPr="00681C2D">
                    <w:rPr>
                      <w:rFonts w:ascii="ＭＳ 明朝" w:hAnsi="ＭＳ 明朝"/>
                    </w:rPr>
                    <w:t>に対して</w:t>
                  </w:r>
                  <w:r w:rsidRPr="00681C2D">
                    <w:rPr>
                      <w:rFonts w:ascii="ＭＳ 明朝" w:hAnsi="ＭＳ 明朝" w:hint="eastAsia"/>
                    </w:rPr>
                    <w:t>同心を</w:t>
                  </w:r>
                  <w:r w:rsidRPr="00681C2D">
                    <w:t>0.025mm</w:t>
                  </w:r>
                  <w:r w:rsidRPr="00681C2D">
                    <w:rPr>
                      <w:rFonts w:ascii="ＭＳ 明朝" w:hAnsi="ＭＳ 明朝" w:hint="eastAsia"/>
                    </w:rPr>
                    <w:t>以内としなければならない。</w:t>
                  </w:r>
                </w:p>
              </w:txbxContent>
            </v:textbox>
          </v:shape>
        </w:pict>
      </w:r>
      <w:r>
        <w:rPr>
          <w:rFonts w:ascii="Times New Roman" w:hAnsi="Times New Roman"/>
          <w:noProof/>
          <w:szCs w:val="22"/>
        </w:rPr>
        <w:pict w14:anchorId="0AE9BA51">
          <v:shape id="テキスト ボックス 1495" o:spid="_x0000_s3151" type="#_x0000_t202" style="position:absolute;left:0;text-align:left;margin-left:238.8pt;margin-top:152.75pt;width:55.85pt;height:27.9pt;z-index:251834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" stroked="f" strokeweight="1pt">
            <v:textbox inset=".54mm,,.54mm">
              <w:txbxContent>
                <w:p w14:paraId="13A80F8D" w14:textId="77777777" w:rsidR="003B0864" w:rsidRPr="00A52EA5" w:rsidRDefault="003B0864" w:rsidP="00A40784">
                  <w:pPr>
                    <w:ind w:right="200"/>
                    <w:jc w:val="left"/>
                    <w:rPr>
                      <w:sz w:val="20"/>
                      <w:szCs w:val="22"/>
                    </w:rPr>
                  </w:pPr>
                  <w:r w:rsidRPr="00A52EA5">
                    <w:rPr>
                      <w:sz w:val="20"/>
                      <w:szCs w:val="22"/>
                    </w:rPr>
                    <w:t>0.018mm</w:t>
                  </w:r>
                </w:p>
              </w:txbxContent>
            </v:textbox>
          </v:shape>
        </w:pict>
      </w:r>
      <w:r w:rsidR="00A40784" w:rsidRPr="00BC31E0">
        <w:rPr>
          <w:rFonts w:ascii="Times New Roman" w:hAnsi="Times New Roman" w:hint="eastAsia"/>
          <w:noProof/>
        </w:rPr>
        <w:drawing>
          <wp:inline distT="0" distB="0" distL="0" distR="0" wp14:anchorId="439D6B86" wp14:editId="0932D311">
            <wp:extent cx="5433060" cy="2774950"/>
            <wp:effectExtent l="0" t="0" r="0" b="6350"/>
            <wp:docPr id="12703" name="図 1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1" cstate="print">
                      <a:extLst>
                        <a:ext uri="{28A0092B-C50C-407E-A947-70E740481C1C}">
                          <a14:useLocalDpi xmlns:a14="http://schemas.microsoft.com/office/drawing/2010/main" val="0"/>
                        </a:ext>
                      </a:extLst>
                    </a:blip>
                    <a:srcRect b="42409"/>
                    <a:stretch>
                      <a:fillRect/>
                    </a:stretch>
                  </pic:blipFill>
                  <pic:spPr bwMode="auto">
                    <a:xfrm>
                      <a:off x="0" y="0"/>
                      <a:ext cx="5433060" cy="2774950"/>
                    </a:xfrm>
                    <a:prstGeom prst="rect">
                      <a:avLst/>
                    </a:prstGeom>
                    <a:noFill/>
                    <a:ln>
                      <a:noFill/>
                    </a:ln>
                  </pic:spPr>
                </pic:pic>
              </a:graphicData>
            </a:graphic>
          </wp:inline>
        </w:drawing>
      </w:r>
    </w:p>
    <w:p w14:paraId="2E691937" w14:textId="77777777" w:rsidR="00A40784" w:rsidRPr="00BC31E0" w:rsidRDefault="00A40784" w:rsidP="00A40784">
      <w:pPr>
        <w:jc w:val="center"/>
        <w:rPr>
          <w:rFonts w:ascii="Times New Roman" w:hAnsi="Times New Roman"/>
          <w:szCs w:val="22"/>
        </w:rPr>
      </w:pPr>
    </w:p>
    <w:p w14:paraId="10F9112D" w14:textId="77777777" w:rsidR="00A40784" w:rsidRPr="00BC31E0" w:rsidRDefault="00A40784" w:rsidP="00A40784">
      <w:pPr>
        <w:jc w:val="center"/>
        <w:rPr>
          <w:rFonts w:ascii="Times New Roman" w:hAnsi="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5"/>
        <w:gridCol w:w="3145"/>
        <w:gridCol w:w="2996"/>
      </w:tblGrid>
      <w:tr w:rsidR="00A40784" w:rsidRPr="00BC31E0" w14:paraId="6233F4FB" w14:textId="77777777" w:rsidTr="004736F2">
        <w:tc>
          <w:tcPr>
            <w:tcW w:w="3373" w:type="dxa"/>
            <w:tcBorders>
              <w:left w:val="nil"/>
            </w:tcBorders>
            <w:shd w:val="clear" w:color="auto" w:fill="auto"/>
            <w:vAlign w:val="center"/>
          </w:tcPr>
          <w:p w14:paraId="3E1495AF" w14:textId="77777777" w:rsidR="00A40784" w:rsidRPr="00BC31E0" w:rsidRDefault="00A40784" w:rsidP="00A40784">
            <w:pPr>
              <w:jc w:val="center"/>
              <w:rPr>
                <w:szCs w:val="22"/>
              </w:rPr>
            </w:pPr>
            <w:r w:rsidRPr="00BC31E0">
              <w:rPr>
                <w:szCs w:val="22"/>
              </w:rPr>
              <w:t>D</w:t>
            </w:r>
          </w:p>
        </w:tc>
        <w:tc>
          <w:tcPr>
            <w:tcW w:w="3374" w:type="dxa"/>
            <w:shd w:val="clear" w:color="auto" w:fill="auto"/>
            <w:vAlign w:val="center"/>
          </w:tcPr>
          <w:p w14:paraId="36BF261A" w14:textId="77777777" w:rsidR="00A40784" w:rsidRPr="00BC31E0" w:rsidRDefault="00A40784" w:rsidP="00A40784">
            <w:pPr>
              <w:jc w:val="center"/>
              <w:rPr>
                <w:szCs w:val="22"/>
              </w:rPr>
            </w:pPr>
            <w:r w:rsidRPr="00BC31E0">
              <w:rPr>
                <w:szCs w:val="22"/>
              </w:rPr>
              <w:t>d</w:t>
            </w:r>
          </w:p>
        </w:tc>
        <w:tc>
          <w:tcPr>
            <w:tcW w:w="3374" w:type="dxa"/>
            <w:tcBorders>
              <w:right w:val="nil"/>
            </w:tcBorders>
            <w:shd w:val="clear" w:color="auto" w:fill="auto"/>
            <w:vAlign w:val="center"/>
          </w:tcPr>
          <w:p w14:paraId="5E2590E1" w14:textId="77777777" w:rsidR="00A40784" w:rsidRPr="00BC31E0" w:rsidRDefault="00A40784" w:rsidP="00A40784">
            <w:pPr>
              <w:jc w:val="center"/>
              <w:rPr>
                <w:szCs w:val="22"/>
              </w:rPr>
            </w:pPr>
            <w:r w:rsidRPr="00BC31E0">
              <w:rPr>
                <w:szCs w:val="22"/>
              </w:rPr>
              <w:t>最小長さ</w:t>
            </w:r>
            <w:r w:rsidRPr="00BC31E0">
              <w:rPr>
                <w:szCs w:val="22"/>
              </w:rPr>
              <w:t>L</w:t>
            </w:r>
          </w:p>
        </w:tc>
      </w:tr>
      <w:tr w:rsidR="00A40784" w:rsidRPr="00BC31E0" w14:paraId="3DABE919" w14:textId="77777777" w:rsidTr="004736F2">
        <w:tc>
          <w:tcPr>
            <w:tcW w:w="3373" w:type="dxa"/>
            <w:tcBorders>
              <w:left w:val="nil"/>
            </w:tcBorders>
            <w:shd w:val="clear" w:color="auto" w:fill="auto"/>
            <w:vAlign w:val="center"/>
          </w:tcPr>
          <w:p w14:paraId="7E4A3AF0" w14:textId="77777777" w:rsidR="00A40784" w:rsidRPr="00BC31E0" w:rsidRDefault="00A40784" w:rsidP="00A40784">
            <w:pPr>
              <w:jc w:val="center"/>
              <w:rPr>
                <w:szCs w:val="22"/>
              </w:rPr>
            </w:pPr>
            <w:r w:rsidRPr="00BC31E0">
              <w:rPr>
                <w:szCs w:val="22"/>
              </w:rPr>
              <w:t>12.7mm</w:t>
            </w:r>
            <w:r w:rsidRPr="00BC31E0">
              <w:rPr>
                <w:rFonts w:ascii="Cambria Math" w:hAnsi="Cambria Math"/>
                <w:szCs w:val="22"/>
              </w:rPr>
              <w:t>±</w:t>
            </w:r>
            <w:r w:rsidRPr="00BC31E0">
              <w:rPr>
                <w:szCs w:val="22"/>
              </w:rPr>
              <w:t>0.13mm</w:t>
            </w:r>
          </w:p>
        </w:tc>
        <w:tc>
          <w:tcPr>
            <w:tcW w:w="3374" w:type="dxa"/>
            <w:shd w:val="clear" w:color="auto" w:fill="auto"/>
            <w:vAlign w:val="center"/>
          </w:tcPr>
          <w:p w14:paraId="00C40FC3" w14:textId="77777777" w:rsidR="00A40784" w:rsidRPr="00BC31E0" w:rsidRDefault="00A40784" w:rsidP="00A40784">
            <w:pPr>
              <w:jc w:val="center"/>
              <w:rPr>
                <w:szCs w:val="22"/>
              </w:rPr>
            </w:pPr>
            <w:r w:rsidRPr="00BC31E0">
              <w:rPr>
                <w:szCs w:val="22"/>
              </w:rPr>
              <w:t>8.96mm</w:t>
            </w:r>
            <w:r w:rsidRPr="00BC31E0">
              <w:rPr>
                <w:rFonts w:ascii="Cambria Math" w:hAnsi="Cambria Math"/>
                <w:szCs w:val="22"/>
              </w:rPr>
              <w:t>±</w:t>
            </w:r>
            <w:r w:rsidRPr="00BC31E0">
              <w:rPr>
                <w:szCs w:val="22"/>
              </w:rPr>
              <w:t>0.13mm</w:t>
            </w:r>
          </w:p>
        </w:tc>
        <w:tc>
          <w:tcPr>
            <w:tcW w:w="3374" w:type="dxa"/>
            <w:tcBorders>
              <w:right w:val="nil"/>
            </w:tcBorders>
            <w:shd w:val="clear" w:color="auto" w:fill="auto"/>
            <w:vAlign w:val="center"/>
          </w:tcPr>
          <w:p w14:paraId="7C9D6801" w14:textId="77777777" w:rsidR="00A40784" w:rsidRPr="00BC31E0" w:rsidRDefault="00A40784" w:rsidP="00A40784">
            <w:pPr>
              <w:jc w:val="center"/>
              <w:rPr>
                <w:szCs w:val="22"/>
              </w:rPr>
            </w:pPr>
            <w:r w:rsidRPr="00BC31E0">
              <w:rPr>
                <w:szCs w:val="22"/>
              </w:rPr>
              <w:t>25.4mm</w:t>
            </w:r>
          </w:p>
        </w:tc>
      </w:tr>
      <w:tr w:rsidR="00A40784" w:rsidRPr="00BC31E0" w14:paraId="71593F5D" w14:textId="77777777" w:rsidTr="004736F2">
        <w:tc>
          <w:tcPr>
            <w:tcW w:w="3373" w:type="dxa"/>
            <w:tcBorders>
              <w:left w:val="nil"/>
            </w:tcBorders>
            <w:shd w:val="clear" w:color="auto" w:fill="auto"/>
            <w:vAlign w:val="center"/>
          </w:tcPr>
          <w:p w14:paraId="071A3755" w14:textId="77777777" w:rsidR="00A40784" w:rsidRPr="00BC31E0" w:rsidRDefault="00A40784" w:rsidP="00A40784">
            <w:pPr>
              <w:jc w:val="center"/>
              <w:rPr>
                <w:szCs w:val="22"/>
              </w:rPr>
            </w:pPr>
            <w:r w:rsidRPr="00BC31E0">
              <w:rPr>
                <w:szCs w:val="22"/>
              </w:rPr>
              <w:t>26.9mm</w:t>
            </w:r>
            <w:r w:rsidRPr="00BC31E0">
              <w:rPr>
                <w:rFonts w:ascii="Cambria Math" w:hAnsi="Cambria Math"/>
                <w:szCs w:val="22"/>
              </w:rPr>
              <w:t>±</w:t>
            </w:r>
            <w:r w:rsidRPr="00BC31E0">
              <w:rPr>
                <w:szCs w:val="22"/>
              </w:rPr>
              <w:t>0.13mm</w:t>
            </w:r>
          </w:p>
        </w:tc>
        <w:tc>
          <w:tcPr>
            <w:tcW w:w="3374" w:type="dxa"/>
            <w:shd w:val="clear" w:color="auto" w:fill="auto"/>
            <w:vAlign w:val="center"/>
          </w:tcPr>
          <w:p w14:paraId="13C963CA" w14:textId="77777777" w:rsidR="00A40784" w:rsidRPr="00BC31E0" w:rsidRDefault="00A40784" w:rsidP="00A40784">
            <w:pPr>
              <w:jc w:val="center"/>
              <w:rPr>
                <w:szCs w:val="22"/>
              </w:rPr>
            </w:pPr>
            <w:r w:rsidRPr="00BC31E0">
              <w:rPr>
                <w:szCs w:val="22"/>
              </w:rPr>
              <w:t>19.0mm</w:t>
            </w:r>
            <w:r w:rsidRPr="00BC31E0">
              <w:rPr>
                <w:rFonts w:ascii="Cambria Math" w:hAnsi="Cambria Math"/>
                <w:szCs w:val="22"/>
              </w:rPr>
              <w:t>±</w:t>
            </w:r>
            <w:r w:rsidRPr="00BC31E0">
              <w:rPr>
                <w:szCs w:val="22"/>
              </w:rPr>
              <w:t>0.13mm</w:t>
            </w:r>
          </w:p>
        </w:tc>
        <w:tc>
          <w:tcPr>
            <w:tcW w:w="3374" w:type="dxa"/>
            <w:tcBorders>
              <w:right w:val="nil"/>
            </w:tcBorders>
            <w:shd w:val="clear" w:color="auto" w:fill="auto"/>
            <w:vAlign w:val="center"/>
          </w:tcPr>
          <w:p w14:paraId="300600CB" w14:textId="77777777" w:rsidR="00A40784" w:rsidRPr="00BC31E0" w:rsidRDefault="00A40784" w:rsidP="00A40784">
            <w:pPr>
              <w:jc w:val="center"/>
              <w:rPr>
                <w:szCs w:val="22"/>
              </w:rPr>
            </w:pPr>
            <w:r w:rsidRPr="00BC31E0">
              <w:rPr>
                <w:szCs w:val="22"/>
              </w:rPr>
              <w:t>55.0mm</w:t>
            </w:r>
          </w:p>
        </w:tc>
      </w:tr>
    </w:tbl>
    <w:p w14:paraId="07E0C7E7" w14:textId="77777777" w:rsidR="00A40784" w:rsidRPr="00BC31E0" w:rsidRDefault="00A51873" w:rsidP="00A40784">
      <w:pPr>
        <w:rPr>
          <w:rFonts w:ascii="Times New Roman" w:hAnsi="Times New Roman"/>
          <w:szCs w:val="22"/>
        </w:rPr>
      </w:pPr>
      <w:r>
        <w:rPr>
          <w:rFonts w:ascii="Times New Roman" w:hAnsi="Times New Roman"/>
          <w:noProof/>
          <w:szCs w:val="22"/>
        </w:rPr>
        <w:pict w14:anchorId="7DD7EF6A">
          <v:shape id="テキスト ボックス 1494" o:spid="_x0000_s3153" type="#_x0000_t202" style="position:absolute;left:0;text-align:left;margin-left:-3.1pt;margin-top:7pt;width:486.9pt;height:29.3pt;z-index:251768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" stroked="f" strokeweight="1pt">
            <v:textbox>
              <w:txbxContent>
                <w:p w14:paraId="30BC5B02" w14:textId="77777777" w:rsidR="003B0864" w:rsidRPr="00C734E5" w:rsidRDefault="003B0864" w:rsidP="00A40784">
                  <w:pPr>
                    <w:jc w:val="center"/>
                    <w:rPr>
                      <w:rFonts w:ascii="ＭＳ ゴシック" w:eastAsia="ＭＳ ゴシック" w:hAnsi="ＭＳ ゴシック"/>
                      <w:b/>
                      <w:szCs w:val="22"/>
                    </w:rPr>
                  </w:pPr>
                  <w:r w:rsidRPr="00C734E5">
                    <w:rPr>
                      <w:rFonts w:ascii="ＭＳ ゴシック" w:eastAsia="ＭＳ ゴシック" w:hAnsi="ＭＳ ゴシック"/>
                      <w:b/>
                      <w:szCs w:val="22"/>
                    </w:rPr>
                    <w:t>図</w:t>
                  </w:r>
                  <w:r w:rsidRPr="00C734E5">
                    <w:rPr>
                      <w:rFonts w:ascii="ＭＳ ゴシック" w:eastAsia="ＭＳ ゴシック" w:hAnsi="ＭＳ ゴシック" w:hint="eastAsia"/>
                      <w:b/>
                      <w:szCs w:val="22"/>
                    </w:rPr>
                    <w:t>K</w:t>
                  </w:r>
                  <w:r w:rsidRPr="00C734E5">
                    <w:rPr>
                      <w:rFonts w:ascii="ＭＳ ゴシック" w:eastAsia="ＭＳ ゴシック" w:hAnsi="ＭＳ ゴシック"/>
                      <w:b/>
                      <w:szCs w:val="22"/>
                    </w:rPr>
                    <w:t>.5　2つの径を有する</w:t>
                  </w:r>
                  <w:r w:rsidRPr="00C734E5">
                    <w:rPr>
                      <w:rFonts w:ascii="ＭＳ ゴシック" w:eastAsia="ＭＳ ゴシック" w:hAnsi="ＭＳ ゴシック" w:hint="eastAsia"/>
                      <w:b/>
                      <w:szCs w:val="22"/>
                    </w:rPr>
                    <w:t>円柱</w:t>
                  </w:r>
                  <w:r w:rsidRPr="00C734E5">
                    <w:rPr>
                      <w:rFonts w:ascii="ＭＳ ゴシック" w:eastAsia="ＭＳ ゴシック" w:hAnsi="ＭＳ ゴシック"/>
                      <w:b/>
                      <w:szCs w:val="22"/>
                    </w:rPr>
                    <w:t>形状の</w:t>
                  </w:r>
                  <w:r w:rsidRPr="00C734E5">
                    <w:rPr>
                      <w:rFonts w:ascii="ＭＳ ゴシック" w:eastAsia="ＭＳ ゴシック" w:hAnsi="ＭＳ ゴシック" w:hint="eastAsia"/>
                      <w:b/>
                      <w:szCs w:val="22"/>
                    </w:rPr>
                    <w:t>標準試験部</w:t>
                  </w:r>
                </w:p>
              </w:txbxContent>
            </v:textbox>
          </v:shape>
        </w:pict>
      </w:r>
    </w:p>
    <w:p w14:paraId="556198CC" w14:textId="77777777" w:rsidR="00A40784" w:rsidRPr="00BC31E0" w:rsidRDefault="00A40784" w:rsidP="00A40784">
      <w:pPr>
        <w:jc w:val="center"/>
        <w:rPr>
          <w:rFonts w:ascii="Times New Roman" w:hAnsi="Times New Roman"/>
          <w:szCs w:val="22"/>
        </w:rPr>
      </w:pPr>
    </w:p>
    <w:p w14:paraId="1C2FA693" w14:textId="77777777" w:rsidR="00681C2D" w:rsidRPr="00BC31E0" w:rsidRDefault="00681C2D" w:rsidP="00681C2D">
      <w:pPr>
        <w:jc w:val="left"/>
        <w:rPr>
          <w:rFonts w:ascii="Times New Roman" w:hAnsi="Times New Roman"/>
        </w:rPr>
      </w:pPr>
    </w:p>
    <w:p w14:paraId="6B160E6C" w14:textId="77777777" w:rsidR="00A40784" w:rsidRPr="00BC31E0" w:rsidRDefault="00A51873" w:rsidP="00A40784">
      <w:pPr>
        <w:ind w:firstLineChars="200" w:firstLine="420"/>
        <w:jc w:val="left"/>
        <w:rPr>
          <w:rFonts w:ascii="Times New Roman" w:hAnsi="Times New Roman"/>
        </w:rPr>
      </w:pPr>
      <w:r>
        <w:rPr>
          <w:rFonts w:ascii="Times New Roman" w:hAnsi="Times New Roman"/>
          <w:noProof/>
          <w:szCs w:val="22"/>
        </w:rPr>
        <w:pict w14:anchorId="6008B735">
          <v:shape id="テキスト ボックス 1491" o:spid="_x0000_s3154" type="#_x0000_t202" style="position:absolute;left:0;text-align:left;margin-left:20.05pt;margin-top:231.25pt;width:433.95pt;height:25.2pt;z-index:2518154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" stroked="f" strokeweight="1pt">
            <v:textbox style="mso-next-textbox:#テキスト ボックス 1491;mso-fit-shape-to-text:t">
              <w:txbxContent>
                <w:p w14:paraId="197A9A8B" w14:textId="77777777" w:rsidR="003B0864" w:rsidRPr="00681C2D" w:rsidRDefault="003B0864" w:rsidP="00DF2E5B">
                  <w:pPr>
                    <w:ind w:leftChars="600" w:left="1260"/>
                    <w:jc w:val="left"/>
                    <w:rPr>
                      <w:rFonts w:ascii="ＭＳ 明朝" w:hAnsi="ＭＳ 明朝"/>
                    </w:rPr>
                  </w:pPr>
                  <w:r w:rsidRPr="00681C2D">
                    <w:rPr>
                      <w:rFonts w:asciiTheme="majorEastAsia" w:eastAsiaTheme="majorEastAsia" w:hAnsiTheme="majorEastAsia" w:hint="eastAsia"/>
                      <w:b/>
                    </w:rPr>
                    <w:t>注記</w:t>
                  </w:r>
                  <w:r w:rsidRPr="00681C2D">
                    <w:rPr>
                      <w:rFonts w:ascii="ＭＳ 明朝" w:hAnsi="ＭＳ 明朝" w:hint="eastAsia"/>
                    </w:rPr>
                    <w:t xml:space="preserve">　表面は互いに同心を</w:t>
                  </w:r>
                  <w:r w:rsidRPr="00681C2D">
                    <w:t>0.025mm</w:t>
                  </w:r>
                  <w:r w:rsidRPr="00681C2D">
                    <w:rPr>
                      <w:rFonts w:ascii="ＭＳ 明朝" w:hAnsi="ＭＳ 明朝" w:hint="eastAsia"/>
                    </w:rPr>
                    <w:t>以内としなければならない。</w:t>
                  </w:r>
                </w:p>
              </w:txbxContent>
            </v:textbox>
          </v:shape>
        </w:pict>
      </w:r>
      <w:r>
        <w:rPr>
          <w:rFonts w:ascii="Times New Roman" w:hAnsi="Times New Roman"/>
          <w:noProof/>
          <w:szCs w:val="22"/>
        </w:rPr>
        <w:pict w14:anchorId="49695647">
          <v:shape id="テキスト ボックス 1474" o:spid="_x0000_s3155" type="#_x0000_t202" style="position:absolute;left:0;text-align:left;margin-left:-8.95pt;margin-top:256.85pt;width:486.9pt;height:25.9pt;z-index:25176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" stroked="f" strokeweight="1pt">
            <v:textbox>
              <w:txbxContent>
                <w:p w14:paraId="5B0E9AC0" w14:textId="77777777" w:rsidR="003B0864" w:rsidRPr="00C734E5" w:rsidRDefault="003B0864" w:rsidP="00A40784">
                  <w:pPr>
                    <w:jc w:val="center"/>
                    <w:rPr>
                      <w:rFonts w:ascii="ＭＳ ゴシック" w:eastAsia="ＭＳ ゴシック" w:hAnsi="ＭＳ ゴシック"/>
                      <w:b/>
                      <w:szCs w:val="22"/>
                    </w:rPr>
                  </w:pPr>
                  <w:r w:rsidRPr="00C734E5">
                    <w:rPr>
                      <w:rFonts w:ascii="ＭＳ ゴシック" w:eastAsia="ＭＳ ゴシック" w:hAnsi="ＭＳ ゴシック"/>
                      <w:b/>
                      <w:szCs w:val="22"/>
                    </w:rPr>
                    <w:t>図</w:t>
                  </w:r>
                  <w:r w:rsidRPr="00C734E5">
                    <w:rPr>
                      <w:rFonts w:ascii="ＭＳ ゴシック" w:eastAsia="ＭＳ ゴシック" w:hAnsi="ＭＳ ゴシック" w:hint="eastAsia"/>
                      <w:b/>
                      <w:szCs w:val="22"/>
                    </w:rPr>
                    <w:t>K</w:t>
                  </w:r>
                  <w:r w:rsidRPr="00C734E5">
                    <w:rPr>
                      <w:rFonts w:ascii="ＭＳ ゴシック" w:eastAsia="ＭＳ ゴシック" w:hAnsi="ＭＳ ゴシック"/>
                      <w:b/>
                      <w:szCs w:val="22"/>
                    </w:rPr>
                    <w:t>.6　代表的なテーパーヘッド切欠き引張試験片</w:t>
                  </w:r>
                </w:p>
              </w:txbxContent>
            </v:textbox>
          </v:shape>
        </w:pict>
      </w:r>
      <w:r>
        <w:rPr>
          <w:rFonts w:ascii="Times New Roman" w:hAnsi="Times New Roman"/>
          <w:noProof/>
          <w:szCs w:val="22"/>
        </w:rPr>
        <w:pict w14:anchorId="691FBC74">
          <v:rect id="正方形/長方形 1478" o:spid="_x0000_s3288" style="position:absolute;left:0;text-align:left;margin-left:226.9pt;margin-top:218.5pt;width:26.75pt;height:10.4pt;z-index:251803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" stroked="f"/>
        </w:pict>
      </w:r>
      <w:r>
        <w:rPr>
          <w:rFonts w:ascii="Times New Roman" w:hAnsi="Times New Roman"/>
          <w:noProof/>
          <w:szCs w:val="22"/>
        </w:rPr>
        <w:pict w14:anchorId="018DA61B">
          <v:shape id="テキスト ボックス 1477" o:spid="_x0000_s3156" type="#_x0000_t202" style="position:absolute;left:0;text-align:left;margin-left:215.6pt;margin-top:195.4pt;width:60pt;height:12.85pt;z-index:2518021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" stroked="f" strokeweight="1pt">
            <v:textbox style="mso-fit-shape-to-text:t" inset="1.5mm,0,1.5mm,0">
              <w:txbxContent>
                <w:p w14:paraId="52FF5FC9" w14:textId="77777777" w:rsidR="003B0864" w:rsidRPr="00A52EA5" w:rsidRDefault="003B0864" w:rsidP="00A40784">
                  <w:pPr>
                    <w:jc w:val="center"/>
                    <w:rPr>
                      <w:rFonts w:ascii="ＭＳ 明朝" w:hAnsi="ＭＳ 明朝"/>
                      <w:sz w:val="20"/>
                      <w:szCs w:val="22"/>
                    </w:rPr>
                  </w:pPr>
                  <w:r w:rsidRPr="00A52EA5">
                    <w:rPr>
                      <w:sz w:val="20"/>
                      <w:szCs w:val="22"/>
                    </w:rPr>
                    <w:t>67mm</w:t>
                  </w:r>
                  <w:r w:rsidRPr="00A52EA5">
                    <w:rPr>
                      <w:rFonts w:ascii="ＭＳ 明朝" w:hAnsi="ＭＳ 明朝" w:hint="eastAsia"/>
                      <w:sz w:val="20"/>
                      <w:szCs w:val="22"/>
                    </w:rPr>
                    <w:t>以上</w:t>
                  </w:r>
                </w:p>
              </w:txbxContent>
            </v:textbox>
          </v:shape>
        </w:pict>
      </w:r>
      <w:r>
        <w:rPr>
          <w:rFonts w:ascii="Times New Roman" w:hAnsi="Times New Roman"/>
          <w:noProof/>
          <w:szCs w:val="22"/>
        </w:rPr>
        <w:pict w14:anchorId="322A05DE">
          <v:rect id="正方形/長方形 1490" o:spid="_x0000_s3287" style="position:absolute;left:0;text-align:left;margin-left:190.25pt;margin-top:127.2pt;width:20.85pt;height:9.8pt;rotation:-1637820fd;z-index:25181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" stroked="f"/>
        </w:pict>
      </w:r>
      <w:r>
        <w:rPr>
          <w:rFonts w:ascii="Times New Roman" w:hAnsi="Times New Roman"/>
          <w:noProof/>
          <w:szCs w:val="22"/>
        </w:rPr>
        <w:pict w14:anchorId="112FE800">
          <v:shape id="テキスト ボックス 1484" o:spid="_x0000_s3157" type="#_x0000_t202" style="position:absolute;left:0;text-align:left;margin-left:195.5pt;margin-top:171.6pt;width:81.5pt;height:18.1pt;z-index:2518072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" stroked="f" strokeweight="1pt">
            <v:textbox inset=",.27mm,,.27mm">
              <w:txbxContent>
                <w:p w14:paraId="70696B24" w14:textId="77777777" w:rsidR="003B0864" w:rsidRPr="00A52EA5" w:rsidRDefault="003B0864" w:rsidP="00A40784">
                  <w:pPr>
                    <w:jc w:val="center"/>
                    <w:rPr>
                      <w:rFonts w:ascii="ＭＳ 明朝" w:hAnsi="ＭＳ 明朝"/>
                      <w:sz w:val="20"/>
                      <w:szCs w:val="22"/>
                    </w:rPr>
                  </w:pPr>
                  <w:r w:rsidRPr="00A52EA5">
                    <w:rPr>
                      <w:rFonts w:ascii="ＭＳ 明朝" w:hAnsi="ＭＳ 明朝" w:hint="eastAsia"/>
                      <w:sz w:val="20"/>
                      <w:szCs w:val="22"/>
                    </w:rPr>
                    <w:t xml:space="preserve">標準試験部　</w:t>
                  </w:r>
                  <w:r w:rsidRPr="00A52EA5">
                    <w:rPr>
                      <w:sz w:val="20"/>
                      <w:szCs w:val="22"/>
                    </w:rPr>
                    <w:t>L</w:t>
                  </w:r>
                </w:p>
              </w:txbxContent>
            </v:textbox>
          </v:shape>
        </w:pict>
      </w:r>
      <w:r>
        <w:rPr>
          <w:rFonts w:ascii="Times New Roman" w:hAnsi="Times New Roman"/>
          <w:noProof/>
          <w:szCs w:val="22"/>
        </w:rPr>
        <w:pict w14:anchorId="75E3F883">
          <v:rect id="正方形/長方形 1479" o:spid="_x0000_s3286" style="position:absolute;left:0;text-align:left;margin-left:133.5pt;margin-top:172.4pt;width:26.75pt;height:10.4pt;z-index:251806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" stroked="f"/>
        </w:pict>
      </w:r>
      <w:r>
        <w:rPr>
          <w:rFonts w:ascii="Times New Roman" w:hAnsi="Times New Roman"/>
          <w:noProof/>
          <w:szCs w:val="22"/>
        </w:rPr>
        <w:pict w14:anchorId="45C1BE1A">
          <v:shape id="テキスト ボックス 1487" o:spid="_x0000_s3158" type="#_x0000_t202" style="position:absolute;left:0;text-align:left;margin-left:128.4pt;margin-top:147.9pt;width:43.2pt;height:13.5pt;z-index:2518051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" stroked="f" strokeweight="1pt">
            <v:textbox style="mso-fit-shape-to-text:t" inset=",.27mm,,.27mm">
              <w:txbxContent>
                <w:p w14:paraId="167A1C10" w14:textId="77777777" w:rsidR="003B0864" w:rsidRPr="00A52EA5" w:rsidRDefault="003B0864" w:rsidP="00A40784">
                  <w:pPr>
                    <w:jc w:val="center"/>
                    <w:rPr>
                      <w:sz w:val="20"/>
                      <w:szCs w:val="22"/>
                    </w:rPr>
                  </w:pPr>
                  <w:r w:rsidRPr="00A52EA5">
                    <w:rPr>
                      <w:sz w:val="20"/>
                      <w:szCs w:val="22"/>
                    </w:rPr>
                    <w:t>21mm</w:t>
                  </w:r>
                </w:p>
              </w:txbxContent>
            </v:textbox>
          </v:shape>
        </w:pict>
      </w:r>
      <w:r w:rsidR="00A40784" w:rsidRPr="00BC31E0">
        <w:rPr>
          <w:rFonts w:ascii="Times New Roman" w:hAnsi="Times New Roman" w:hint="eastAsia"/>
          <w:noProof/>
          <w:szCs w:val="22"/>
        </w:rPr>
        <w:drawing>
          <wp:anchor distT="0" distB="0" distL="114300" distR="114300" simplePos="0" relativeHeight="251852288" behindDoc="0" locked="0" layoutInCell="1" allowOverlap="1" wp14:anchorId="34A6BB18" wp14:editId="7B6464C7">
            <wp:simplePos x="0" y="0"/>
            <wp:positionH relativeFrom="column">
              <wp:posOffset>2048276</wp:posOffset>
            </wp:positionH>
            <wp:positionV relativeFrom="paragraph">
              <wp:posOffset>1501992</wp:posOffset>
            </wp:positionV>
            <wp:extent cx="628015" cy="215900"/>
            <wp:effectExtent l="19050" t="114300" r="635" b="107950"/>
            <wp:wrapNone/>
            <wp:docPr id="1489" name="図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2" cstate="print">
                      <a:extLst>
                        <a:ext uri="{28A0092B-C50C-407E-A947-70E740481C1C}">
                          <a14:useLocalDpi xmlns:a14="http://schemas.microsoft.com/office/drawing/2010/main" val="0"/>
                        </a:ext>
                      </a:extLst>
                    </a:blip>
                    <a:srcRect r="45509" b="9334"/>
                    <a:stretch>
                      <a:fillRect/>
                    </a:stretch>
                  </pic:blipFill>
                  <pic:spPr bwMode="auto">
                    <a:xfrm rot="-1201249">
                      <a:off x="0" y="0"/>
                      <a:ext cx="628015" cy="215900"/>
                    </a:xfrm>
                    <a:prstGeom prst="rect">
                      <a:avLst/>
                    </a:prstGeom>
                    <a:noFill/>
                    <a:ln>
                      <a:noFill/>
                    </a:ln>
                  </pic:spPr>
                </pic:pic>
              </a:graphicData>
            </a:graphic>
          </wp:anchor>
        </w:drawing>
      </w:r>
      <w:r>
        <w:rPr>
          <w:rFonts w:ascii="Times New Roman" w:hAnsi="Times New Roman"/>
          <w:noProof/>
          <w:szCs w:val="22"/>
        </w:rPr>
        <w:pict w14:anchorId="557B170F">
          <v:rect id="正方形/長方形 1480" o:spid="_x0000_s3285" style="position:absolute;left:0;text-align:left;margin-left:211pt;margin-top:157.1pt;width:50.45pt;height:10.4pt;z-index:251808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" stroked="f"/>
        </w:pict>
      </w:r>
      <w:r>
        <w:rPr>
          <w:rFonts w:ascii="Times New Roman" w:hAnsi="Times New Roman"/>
          <w:noProof/>
          <w:szCs w:val="22"/>
        </w:rPr>
        <w:pict w14:anchorId="6E308286">
          <v:shape id="テキスト ボックス 1493" o:spid="_x0000_s3159" type="#_x0000_t202" style="position:absolute;left:0;text-align:left;margin-left:323.6pt;margin-top:149.2pt;width:43.2pt;height:13.5pt;z-index:251851264;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" stroked="f" strokeweight="1pt">
            <v:textbox style="mso-fit-shape-to-text:t" inset=",.27mm,,.27mm">
              <w:txbxContent>
                <w:p w14:paraId="5F5FC7D6" w14:textId="77777777" w:rsidR="003B0864" w:rsidRPr="00A52EA5" w:rsidRDefault="003B0864" w:rsidP="00A40784">
                  <w:pPr>
                    <w:jc w:val="center"/>
                    <w:rPr>
                      <w:sz w:val="20"/>
                      <w:szCs w:val="22"/>
                    </w:rPr>
                  </w:pPr>
                  <w:r w:rsidRPr="00A52EA5">
                    <w:rPr>
                      <w:sz w:val="20"/>
                      <w:szCs w:val="22"/>
                    </w:rPr>
                    <w:t>13mm</w:t>
                  </w:r>
                </w:p>
              </w:txbxContent>
            </v:textbox>
          </v:shape>
        </w:pict>
      </w:r>
      <w:r>
        <w:rPr>
          <w:rFonts w:ascii="Times New Roman" w:hAnsi="Times New Roman"/>
          <w:noProof/>
          <w:szCs w:val="22"/>
        </w:rPr>
        <w:pict w14:anchorId="560C33FB">
          <v:rect id="正方形/長方形 1475" o:spid="_x0000_s3284" style="position:absolute;left:0;text-align:left;margin-left:323.7pt;margin-top:144.8pt;width:26.75pt;height:10.4pt;z-index:251800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" stroked="f"/>
        </w:pict>
      </w:r>
      <w:r>
        <w:rPr>
          <w:rFonts w:ascii="Times New Roman" w:hAnsi="Times New Roman"/>
          <w:noProof/>
          <w:szCs w:val="22"/>
        </w:rPr>
        <w:pict w14:anchorId="2D331434">
          <v:shape id="テキスト ボックス 1492" o:spid="_x0000_s3160" type="#_x0000_t202" style="position:absolute;left:0;text-align:left;margin-left:321.2pt;margin-top:122.5pt;width:31.55pt;height:12pt;z-index:251799040;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" stroked="f" strokeweight="1pt">
            <v:textbox style="mso-fit-shape-to-text:t" inset="0,0,0,0">
              <w:txbxContent>
                <w:p w14:paraId="380451D3" w14:textId="77777777" w:rsidR="003B0864" w:rsidRPr="00A52EA5" w:rsidRDefault="003B0864" w:rsidP="00A40784">
                  <w:pPr>
                    <w:jc w:val="center"/>
                    <w:rPr>
                      <w:sz w:val="20"/>
                      <w:szCs w:val="22"/>
                    </w:rPr>
                  </w:pPr>
                  <w:r w:rsidRPr="00A52EA5">
                    <w:rPr>
                      <w:sz w:val="20"/>
                      <w:szCs w:val="22"/>
                    </w:rPr>
                    <w:t>8.4mm</w:t>
                  </w:r>
                </w:p>
              </w:txbxContent>
            </v:textbox>
          </v:shape>
        </w:pict>
      </w:r>
      <w:r w:rsidR="00A40784" w:rsidRPr="00BC31E0">
        <w:rPr>
          <w:rFonts w:ascii="Times New Roman" w:hAnsi="Times New Roman" w:hint="eastAsia"/>
          <w:noProof/>
        </w:rPr>
        <w:drawing>
          <wp:anchor distT="0" distB="0" distL="114300" distR="114300" simplePos="0" relativeHeight="251809280" behindDoc="0" locked="0" layoutInCell="1" allowOverlap="1" wp14:anchorId="1B9AD793" wp14:editId="1E4CDD39">
            <wp:simplePos x="0" y="0"/>
            <wp:positionH relativeFrom="column">
              <wp:posOffset>3221355</wp:posOffset>
            </wp:positionH>
            <wp:positionV relativeFrom="paragraph">
              <wp:posOffset>735168</wp:posOffset>
            </wp:positionV>
            <wp:extent cx="178435" cy="585470"/>
            <wp:effectExtent l="0" t="0" r="0" b="5080"/>
            <wp:wrapNone/>
            <wp:docPr id="1481" name="図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3" cstate="print">
                      <a:extLst>
                        <a:ext uri="{28A0092B-C50C-407E-A947-70E740481C1C}">
                          <a14:useLocalDpi xmlns:a14="http://schemas.microsoft.com/office/drawing/2010/main" val="0"/>
                        </a:ext>
                      </a:extLst>
                    </a:blip>
                    <a:srcRect l="3667" t="39890" r="2667" b="9311"/>
                    <a:stretch>
                      <a:fillRect/>
                    </a:stretch>
                  </pic:blipFill>
                  <pic:spPr bwMode="auto">
                    <a:xfrm>
                      <a:off x="0" y="0"/>
                      <a:ext cx="178435" cy="585470"/>
                    </a:xfrm>
                    <a:prstGeom prst="rect">
                      <a:avLst/>
                    </a:prstGeom>
                    <a:noFill/>
                    <a:ln>
                      <a:noFill/>
                    </a:ln>
                  </pic:spPr>
                </pic:pic>
              </a:graphicData>
            </a:graphic>
          </wp:anchor>
        </w:drawing>
      </w:r>
      <w:r>
        <w:rPr>
          <w:rFonts w:ascii="Times New Roman" w:hAnsi="Times New Roman"/>
          <w:noProof/>
          <w:szCs w:val="22"/>
        </w:rPr>
        <w:pict w14:anchorId="05CF9DBD">
          <v:rect id="正方形/長方形 1488" o:spid="_x0000_s3283" style="position:absolute;left:0;text-align:left;margin-left:58.4pt;margin-top:66.45pt;width:9.55pt;height:30.5pt;z-index:251813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" stroked="f"/>
        </w:pict>
      </w:r>
      <w:r w:rsidR="00A40784" w:rsidRPr="00BC31E0">
        <w:rPr>
          <w:rFonts w:ascii="Times New Roman" w:hAnsi="Times New Roman" w:hint="eastAsia"/>
          <w:noProof/>
          <w:szCs w:val="22"/>
        </w:rPr>
        <w:drawing>
          <wp:anchor distT="0" distB="0" distL="114300" distR="114300" simplePos="0" relativeHeight="251812352" behindDoc="0" locked="0" layoutInCell="1" allowOverlap="1" wp14:anchorId="08E320D3" wp14:editId="0C6EE4DF">
            <wp:simplePos x="0" y="0"/>
            <wp:positionH relativeFrom="column">
              <wp:posOffset>475615</wp:posOffset>
            </wp:positionH>
            <wp:positionV relativeFrom="paragraph">
              <wp:posOffset>699135</wp:posOffset>
            </wp:positionV>
            <wp:extent cx="238125" cy="694690"/>
            <wp:effectExtent l="0" t="0" r="9525" b="0"/>
            <wp:wrapNone/>
            <wp:docPr id="1486" name="図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4" cstate="print">
                      <a:extLst>
                        <a:ext uri="{28A0092B-C50C-407E-A947-70E740481C1C}">
                          <a14:useLocalDpi xmlns:a14="http://schemas.microsoft.com/office/drawing/2010/main" val="0"/>
                        </a:ext>
                      </a:extLst>
                    </a:blip>
                    <a:srcRect t="39725"/>
                    <a:stretch>
                      <a:fillRect/>
                    </a:stretch>
                  </pic:blipFill>
                  <pic:spPr bwMode="auto">
                    <a:xfrm>
                      <a:off x="0" y="0"/>
                      <a:ext cx="238125" cy="694690"/>
                    </a:xfrm>
                    <a:prstGeom prst="rect">
                      <a:avLst/>
                    </a:prstGeom>
                    <a:noFill/>
                    <a:ln>
                      <a:noFill/>
                    </a:ln>
                  </pic:spPr>
                </pic:pic>
              </a:graphicData>
            </a:graphic>
          </wp:anchor>
        </w:drawing>
      </w:r>
      <w:r>
        <w:rPr>
          <w:rFonts w:ascii="Times New Roman" w:hAnsi="Times New Roman"/>
          <w:noProof/>
          <w:szCs w:val="22"/>
        </w:rPr>
        <w:pict w14:anchorId="154EE48E">
          <v:rect id="正方形/長方形 1485" o:spid="_x0000_s3282" style="position:absolute;left:0;text-align:left;margin-left:49.45pt;margin-top:20.2pt;width:17.3pt;height:20pt;z-index:251811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" stroked="f"/>
        </w:pict>
      </w:r>
      <w:r>
        <w:rPr>
          <w:rFonts w:ascii="Times New Roman" w:hAnsi="Times New Roman"/>
          <w:noProof/>
        </w:rPr>
        <w:pict w14:anchorId="0EA2CF24">
          <v:rect id="正方形/長方形 1483" o:spid="_x0000_s3281" style="position:absolute;left:0;text-align:left;margin-left:271pt;margin-top:66.45pt;width:12.35pt;height:30.5pt;z-index:251810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" stroked="f"/>
        </w:pict>
      </w:r>
      <w:r>
        <w:rPr>
          <w:rFonts w:ascii="Times New Roman" w:hAnsi="Times New Roman"/>
          <w:noProof/>
          <w:szCs w:val="22"/>
        </w:rPr>
        <w:pict w14:anchorId="16F14A5C">
          <v:rect id="正方形/長方形 1476" o:spid="_x0000_s3280" style="position:absolute;left:0;text-align:left;margin-left:330.4pt;margin-top:170.25pt;width:26.75pt;height:10.4pt;z-index:251801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" stroked="f"/>
        </w:pict>
      </w:r>
      <w:r>
        <w:rPr>
          <w:rFonts w:ascii="Times New Roman" w:hAnsi="Times New Roman"/>
          <w:noProof/>
          <w:szCs w:val="22"/>
        </w:rPr>
        <w:pict w14:anchorId="41BE5A54">
          <v:rect id="正方形/長方形 1473" o:spid="_x0000_s3279" style="position:absolute;left:0;text-align:left;margin-left:253.65pt;margin-top:30.6pt;width:29.25pt;height:21pt;z-index:251798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" stroked="f"/>
        </w:pict>
      </w:r>
      <w:r>
        <w:rPr>
          <w:rFonts w:ascii="Times New Roman" w:hAnsi="Times New Roman"/>
          <w:noProof/>
          <w:szCs w:val="22"/>
        </w:rPr>
        <w:pict w14:anchorId="3E9C171E">
          <v:rect id="正方形/長方形 1472" o:spid="_x0000_s3278" style="position:absolute;left:0;text-align:left;margin-left:358.75pt;margin-top:12.6pt;width:59.25pt;height:19.5pt;z-index:251796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" stroked="f"/>
        </w:pict>
      </w:r>
      <w:r>
        <w:rPr>
          <w:rFonts w:ascii="Times New Roman" w:hAnsi="Times New Roman"/>
          <w:noProof/>
          <w:szCs w:val="22"/>
        </w:rPr>
        <w:pict w14:anchorId="052FA222">
          <v:shape id="テキスト ボックス 12674" o:spid="_x0000_s3161" type="#_x0000_t202" style="position:absolute;left:0;text-align:left;margin-left:411.4pt;margin-top:12.6pt;width:89.85pt;height:32.9pt;z-index:251795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" stroked="f" strokeweight="1pt">
            <v:textbox style="mso-fit-shape-to-text:t">
              <w:txbxContent>
                <w:p w14:paraId="2E9E2091" w14:textId="77777777" w:rsidR="003B0864" w:rsidRPr="00A52EA5" w:rsidRDefault="003B0864" w:rsidP="00A40784">
                  <w:pPr>
                    <w:jc w:val="left"/>
                    <w:rPr>
                      <w:rFonts w:ascii="ＭＳ 明朝" w:hAnsi="ＭＳ 明朝"/>
                      <w:sz w:val="20"/>
                      <w:szCs w:val="22"/>
                    </w:rPr>
                  </w:pPr>
                  <w:r w:rsidRPr="00A52EA5">
                    <w:rPr>
                      <w:rFonts w:ascii="ＭＳ 明朝" w:hAnsi="ＭＳ 明朝" w:hint="eastAsia"/>
                      <w:sz w:val="20"/>
                      <w:szCs w:val="22"/>
                    </w:rPr>
                    <w:t>中心孔を両端に</w:t>
                  </w:r>
                </w:p>
                <w:p w14:paraId="03542B87" w14:textId="77777777" w:rsidR="003B0864" w:rsidRPr="00A52EA5" w:rsidRDefault="003B0864" w:rsidP="00A40784">
                  <w:pPr>
                    <w:jc w:val="left"/>
                    <w:rPr>
                      <w:rFonts w:ascii="ＭＳ 明朝" w:hAnsi="ＭＳ 明朝"/>
                      <w:sz w:val="20"/>
                      <w:szCs w:val="22"/>
                    </w:rPr>
                  </w:pPr>
                  <w:r>
                    <w:rPr>
                      <w:rFonts w:ascii="ＭＳ 明朝" w:hAnsi="ＭＳ 明朝" w:hint="eastAsia"/>
                      <w:sz w:val="20"/>
                      <w:szCs w:val="22"/>
                    </w:rPr>
                    <w:t>設ける。</w:t>
                  </w:r>
                </w:p>
              </w:txbxContent>
            </v:textbox>
          </v:shape>
        </w:pict>
      </w:r>
      <w:r w:rsidR="00A40784" w:rsidRPr="00BC31E0">
        <w:rPr>
          <w:rFonts w:ascii="Times New Roman" w:hAnsi="Times New Roman"/>
          <w:noProof/>
        </w:rPr>
        <w:drawing>
          <wp:inline distT="0" distB="0" distL="0" distR="0" wp14:anchorId="0F6BA9BA" wp14:editId="305B00F7">
            <wp:extent cx="5234940" cy="3519170"/>
            <wp:effectExtent l="38100" t="57150" r="41910" b="62230"/>
            <wp:docPr id="12704" name="図 1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5" cstate="print">
                      <a:extLst>
                        <a:ext uri="{28A0092B-C50C-407E-A947-70E740481C1C}">
                          <a14:useLocalDpi xmlns:a14="http://schemas.microsoft.com/office/drawing/2010/main" val="0"/>
                        </a:ext>
                      </a:extLst>
                    </a:blip>
                    <a:srcRect l="12973" r="11540"/>
                    <a:stretch>
                      <a:fillRect/>
                    </a:stretch>
                  </pic:blipFill>
                  <pic:spPr bwMode="auto">
                    <a:xfrm rot="60000">
                      <a:off x="0" y="0"/>
                      <a:ext cx="5234940" cy="3519170"/>
                    </a:xfrm>
                    <a:prstGeom prst="rect">
                      <a:avLst/>
                    </a:prstGeom>
                    <a:noFill/>
                    <a:ln>
                      <a:noFill/>
                    </a:ln>
                  </pic:spPr>
                </pic:pic>
              </a:graphicData>
            </a:graphic>
          </wp:inline>
        </w:drawing>
      </w:r>
      <w:r w:rsidR="00A40784" w:rsidRPr="00BC31E0">
        <w:rPr>
          <w:rFonts w:ascii="Times New Roman" w:hAnsi="Times New Roman"/>
        </w:rPr>
        <w:br w:type="page"/>
      </w:r>
    </w:p>
    <w:p w14:paraId="483427D7" w14:textId="77777777" w:rsidR="00A40784" w:rsidRPr="00BC31E0" w:rsidRDefault="00A51873" w:rsidP="00A40784">
      <w:pPr>
        <w:jc w:val="center"/>
        <w:rPr>
          <w:rFonts w:ascii="Times New Roman" w:hAnsi="Times New Roman"/>
          <w:szCs w:val="22"/>
        </w:rPr>
      </w:pPr>
      <w:r>
        <w:rPr>
          <w:rFonts w:ascii="Times New Roman" w:hAnsi="Times New Roman"/>
          <w:noProof/>
          <w:szCs w:val="22"/>
        </w:rPr>
        <w:lastRenderedPageBreak/>
        <w:pict w14:anchorId="2E40C6A5">
          <v:shape id="テキスト ボックス 12675" o:spid="_x0000_s3162" type="#_x0000_t202" style="position:absolute;left:0;text-align:left;margin-left:2.75pt;margin-top:233.45pt;width:486.9pt;height:24.25pt;z-index:251854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" stroked="f" strokeweight="1pt">
            <v:textbox>
              <w:txbxContent>
                <w:p w14:paraId="2F3199A3" w14:textId="77777777" w:rsidR="003B0864" w:rsidRPr="006D0703" w:rsidRDefault="003B0864" w:rsidP="00A40784">
                  <w:pPr>
                    <w:jc w:val="center"/>
                    <w:rPr>
                      <w:rFonts w:ascii="ＭＳ ゴシック" w:eastAsia="ＭＳ ゴシック" w:hAnsi="ＭＳ ゴシック"/>
                      <w:b/>
                      <w:szCs w:val="22"/>
                    </w:rPr>
                  </w:pPr>
                  <w:r w:rsidRPr="006D0703">
                    <w:rPr>
                      <w:rFonts w:ascii="ＭＳ ゴシック" w:eastAsia="ＭＳ ゴシック" w:hAnsi="ＭＳ ゴシック"/>
                      <w:b/>
                      <w:szCs w:val="22"/>
                    </w:rPr>
                    <w:t>図</w:t>
                  </w:r>
                  <w:r w:rsidRPr="006D0703">
                    <w:rPr>
                      <w:rFonts w:ascii="ＭＳ ゴシック" w:eastAsia="ＭＳ ゴシック" w:hAnsi="ＭＳ ゴシック" w:hint="eastAsia"/>
                      <w:b/>
                      <w:szCs w:val="22"/>
                    </w:rPr>
                    <w:t>K</w:t>
                  </w:r>
                  <w:r w:rsidRPr="006D0703">
                    <w:rPr>
                      <w:rFonts w:ascii="ＭＳ ゴシック" w:eastAsia="ＭＳ ゴシック" w:hAnsi="ＭＳ ゴシック"/>
                      <w:b/>
                      <w:szCs w:val="22"/>
                    </w:rPr>
                    <w:t>.7　代表的なねじ込み式切欠き引張試験片</w:t>
                  </w:r>
                </w:p>
              </w:txbxContent>
            </v:textbox>
          </v:shape>
        </w:pict>
      </w:r>
      <w:r>
        <w:rPr>
          <w:rFonts w:ascii="Times New Roman" w:hAnsi="Times New Roman"/>
          <w:noProof/>
          <w:szCs w:val="22"/>
        </w:rPr>
        <w:pict w14:anchorId="0611634A">
          <v:rect id="正方形/長方形 12676" o:spid="_x0000_s3277" style="position:absolute;left:0;text-align:left;margin-left:180.25pt;margin-top:229.75pt;width:34.5pt;height:16.5pt;z-index:251789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" stroked="f"/>
        </w:pict>
      </w:r>
      <w:r>
        <w:rPr>
          <w:rFonts w:ascii="Times New Roman" w:hAnsi="Times New Roman"/>
          <w:noProof/>
          <w:szCs w:val="22"/>
        </w:rPr>
        <w:pict w14:anchorId="641ABBF6">
          <v:shape id="テキスト ボックス 12677" o:spid="_x0000_s3163" type="#_x0000_t202" style="position:absolute;left:0;text-align:left;margin-left:143.15pt;margin-top:204.7pt;width:110.5pt;height:16.05pt;z-index:251853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" stroked="f" strokeweight="1pt">
            <v:textbox style="mso-fit-shape-to-text:t" inset=",.57mm,,.57mm">
              <w:txbxContent>
                <w:p w14:paraId="53C1CE7B" w14:textId="77777777" w:rsidR="003B0864" w:rsidRPr="00B03018" w:rsidRDefault="003B0864" w:rsidP="00A40784">
                  <w:pPr>
                    <w:jc w:val="center"/>
                    <w:rPr>
                      <w:rFonts w:ascii="ＭＳ 明朝" w:hAnsi="ＭＳ 明朝"/>
                      <w:sz w:val="20"/>
                      <w:szCs w:val="22"/>
                    </w:rPr>
                  </w:pPr>
                  <w:r w:rsidRPr="00B03018">
                    <w:rPr>
                      <w:sz w:val="20"/>
                      <w:szCs w:val="22"/>
                    </w:rPr>
                    <w:t>51mm</w:t>
                  </w:r>
                  <w:r w:rsidRPr="00B03018">
                    <w:rPr>
                      <w:rFonts w:ascii="ＭＳ 明朝" w:hAnsi="ＭＳ 明朝" w:hint="eastAsia"/>
                      <w:sz w:val="20"/>
                      <w:szCs w:val="22"/>
                    </w:rPr>
                    <w:t>以上</w:t>
                  </w:r>
                </w:p>
              </w:txbxContent>
            </v:textbox>
          </v:shape>
        </w:pict>
      </w:r>
      <w:r>
        <w:rPr>
          <w:rFonts w:ascii="Times New Roman" w:hAnsi="Times New Roman"/>
          <w:noProof/>
          <w:szCs w:val="22"/>
        </w:rPr>
        <w:pict w14:anchorId="70A9C167">
          <v:rect id="正方形/長方形 12678" o:spid="_x0000_s3276" style="position:absolute;left:0;text-align:left;margin-left:278.8pt;margin-top:182.45pt;width:34.5pt;height:16.5pt;z-index:251790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" stroked="f"/>
        </w:pict>
      </w:r>
      <w:r>
        <w:rPr>
          <w:rFonts w:ascii="Times New Roman" w:hAnsi="Times New Roman"/>
          <w:noProof/>
          <w:szCs w:val="22"/>
        </w:rPr>
        <w:pict w14:anchorId="3B6D81FB">
          <v:shape id="テキスト ボックス 12679" o:spid="_x0000_s3164" type="#_x0000_t202" style="position:absolute;left:0;text-align:left;margin-left:273.25pt;margin-top:159.2pt;width:43.2pt;height:13.5pt;z-index:2517888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" stroked="f" strokeweight="1pt">
            <v:textbox style="mso-fit-shape-to-text:t" inset=",.27mm,,.27mm">
              <w:txbxContent>
                <w:p w14:paraId="251584DA" w14:textId="77777777" w:rsidR="003B0864" w:rsidRPr="00B03018" w:rsidRDefault="003B0864" w:rsidP="00A40784">
                  <w:pPr>
                    <w:jc w:val="center"/>
                    <w:rPr>
                      <w:sz w:val="20"/>
                      <w:szCs w:val="22"/>
                    </w:rPr>
                  </w:pPr>
                  <w:r w:rsidRPr="00B03018">
                    <w:rPr>
                      <w:sz w:val="20"/>
                      <w:szCs w:val="22"/>
                    </w:rPr>
                    <w:t>13mm</w:t>
                  </w:r>
                </w:p>
              </w:txbxContent>
            </v:textbox>
          </v:shape>
        </w:pict>
      </w:r>
      <w:r>
        <w:rPr>
          <w:rFonts w:ascii="Times New Roman" w:hAnsi="Times New Roman"/>
          <w:noProof/>
          <w:szCs w:val="22"/>
        </w:rPr>
        <w:pict w14:anchorId="732053DF">
          <v:rect id="正方形/長方形 12680" o:spid="_x0000_s3275" style="position:absolute;left:0;text-align:left;margin-left:147.35pt;margin-top:182.55pt;width:95.25pt;height:28.45pt;z-index:251792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" stroked="f"/>
        </w:pict>
      </w:r>
      <w:r>
        <w:rPr>
          <w:rFonts w:ascii="Times New Roman" w:hAnsi="Times New Roman"/>
          <w:noProof/>
          <w:szCs w:val="22"/>
        </w:rPr>
        <w:pict w14:anchorId="3A3E7C1C">
          <v:shape id="テキスト ボックス 12681" o:spid="_x0000_s3165" type="#_x0000_t202" style="position:absolute;left:0;text-align:left;margin-left:155pt;margin-top:158.75pt;width:81.5pt;height:14.35pt;z-index:2517918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" stroked="f" strokeweight="1pt">
            <v:textbox style="mso-fit-shape-to-text:t" inset=",.27mm,,.27mm">
              <w:txbxContent>
                <w:p w14:paraId="3749AFFB" w14:textId="77777777" w:rsidR="003B0864" w:rsidRPr="00B03018" w:rsidRDefault="003B0864" w:rsidP="00A40784">
                  <w:pPr>
                    <w:jc w:val="center"/>
                    <w:rPr>
                      <w:rFonts w:ascii="ＭＳ 明朝" w:hAnsi="ＭＳ 明朝"/>
                      <w:sz w:val="20"/>
                      <w:szCs w:val="22"/>
                    </w:rPr>
                  </w:pPr>
                  <w:r w:rsidRPr="00B03018">
                    <w:rPr>
                      <w:rFonts w:ascii="ＭＳ 明朝" w:hAnsi="ＭＳ 明朝" w:hint="eastAsia"/>
                      <w:sz w:val="20"/>
                      <w:szCs w:val="22"/>
                    </w:rPr>
                    <w:t xml:space="preserve">標準試験部　</w:t>
                  </w:r>
                  <w:r w:rsidRPr="00B03018">
                    <w:rPr>
                      <w:sz w:val="20"/>
                      <w:szCs w:val="22"/>
                    </w:rPr>
                    <w:t>L</w:t>
                  </w:r>
                </w:p>
              </w:txbxContent>
            </v:textbox>
          </v:shape>
        </w:pict>
      </w:r>
      <w:r>
        <w:rPr>
          <w:rFonts w:ascii="Times New Roman" w:hAnsi="Times New Roman"/>
          <w:noProof/>
          <w:szCs w:val="22"/>
        </w:rPr>
        <w:pict w14:anchorId="0A2C1FCF">
          <v:rect id="正方形/長方形 12682" o:spid="_x0000_s3274" style="position:absolute;left:0;text-align:left;margin-left:163.75pt;margin-top:75.05pt;width:17.25pt;height:41.25pt;z-index:251794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" stroked="f"/>
        </w:pict>
      </w:r>
      <w:r w:rsidR="00A40784" w:rsidRPr="00BC31E0">
        <w:rPr>
          <w:rFonts w:ascii="Times New Roman" w:hAnsi="Times New Roman" w:hint="eastAsia"/>
          <w:noProof/>
          <w:szCs w:val="22"/>
        </w:rPr>
        <w:drawing>
          <wp:anchor distT="0" distB="0" distL="114300" distR="114300" simplePos="0" relativeHeight="251804160" behindDoc="0" locked="0" layoutInCell="1" allowOverlap="1" wp14:anchorId="59CCEF4F" wp14:editId="2605A2DC">
            <wp:simplePos x="0" y="0"/>
            <wp:positionH relativeFrom="column">
              <wp:posOffset>1820545</wp:posOffset>
            </wp:positionH>
            <wp:positionV relativeFrom="paragraph">
              <wp:posOffset>857412</wp:posOffset>
            </wp:positionV>
            <wp:extent cx="200660" cy="756793"/>
            <wp:effectExtent l="0" t="0" r="8890" b="5715"/>
            <wp:wrapNone/>
            <wp:docPr id="12705" name="図 1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173" cstate="print">
                      <a:extLst>
                        <a:ext uri="{28A0092B-C50C-407E-A947-70E740481C1C}">
                          <a14:useLocalDpi xmlns:a14="http://schemas.microsoft.com/office/drawing/2010/main" val="0"/>
                        </a:ext>
                      </a:extLst>
                    </a:blip>
                    <a:srcRect t="37661"/>
                    <a:stretch/>
                  </pic:blipFill>
                  <pic:spPr bwMode="auto">
                    <a:xfrm>
                      <a:off x="0" y="0"/>
                      <a:ext cx="200660" cy="756793"/>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noProof/>
          <w:szCs w:val="22"/>
        </w:rPr>
        <w:pict w14:anchorId="4145A0BF">
          <v:rect id="正方形/長方形 12683" o:spid="_x0000_s3273" style="position:absolute;left:0;text-align:left;margin-left:154.35pt;margin-top:39.15pt;width:29.25pt;height:21pt;z-index:251793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" stroked="f"/>
        </w:pict>
      </w:r>
      <w:r>
        <w:rPr>
          <w:rFonts w:ascii="Times New Roman" w:hAnsi="Times New Roman"/>
          <w:noProof/>
          <w:szCs w:val="22"/>
        </w:rPr>
        <w:pict w14:anchorId="27349C86">
          <v:rect id="正方形/長方形 12684" o:spid="_x0000_s3272" style="position:absolute;left:0;text-align:left;margin-left:319.75pt;margin-top:13.45pt;width:59.25pt;height:21.75pt;z-index:251786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" stroked="f"/>
        </w:pict>
      </w:r>
      <w:r>
        <w:rPr>
          <w:rFonts w:ascii="Times New Roman" w:hAnsi="Times New Roman"/>
          <w:noProof/>
          <w:szCs w:val="22"/>
        </w:rPr>
        <w:pict w14:anchorId="2865920E">
          <v:shape id="テキスト ボックス 12685" o:spid="_x0000_s3166" type="#_x0000_t202" style="position:absolute;left:0;text-align:left;margin-left:350.3pt;margin-top:128.7pt;width:142.7pt;height:58.55pt;z-index:251787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" stroked="f" strokeweight="1pt">
            <v:textbox style="mso-fit-shape-to-text:t">
              <w:txbxContent>
                <w:p w14:paraId="5620C7A2" w14:textId="77777777" w:rsidR="003B0864" w:rsidRPr="00B03018" w:rsidRDefault="003B0864" w:rsidP="00A40784">
                  <w:pPr>
                    <w:jc w:val="left"/>
                    <w:rPr>
                      <w:rFonts w:ascii="ＭＳ 明朝" w:hAnsi="ＭＳ 明朝"/>
                      <w:sz w:val="20"/>
                      <w:szCs w:val="22"/>
                    </w:rPr>
                  </w:pPr>
                  <w:r w:rsidRPr="00B03018">
                    <w:rPr>
                      <w:rFonts w:ascii="ＭＳ 明朝" w:hAnsi="ＭＳ 明朝" w:hint="eastAsia"/>
                      <w:sz w:val="20"/>
                      <w:szCs w:val="22"/>
                    </w:rPr>
                    <w:t>全ての円柱表面とねじの有効径の同心は</w:t>
                  </w:r>
                  <w:r w:rsidRPr="00E12A00">
                    <w:rPr>
                      <w:sz w:val="20"/>
                      <w:szCs w:val="22"/>
                    </w:rPr>
                    <w:t>0.025mm</w:t>
                  </w:r>
                  <w:r w:rsidRPr="00E12A00">
                    <w:rPr>
                      <w:rFonts w:ascii="ＭＳ 明朝" w:hAnsi="ＭＳ 明朝" w:hint="eastAsia"/>
                      <w:sz w:val="20"/>
                      <w:szCs w:val="22"/>
                    </w:rPr>
                    <w:t>以内としなければならな</w:t>
                  </w:r>
                  <w:r w:rsidRPr="00B03018">
                    <w:rPr>
                      <w:rFonts w:ascii="ＭＳ 明朝" w:hAnsi="ＭＳ 明朝" w:hint="eastAsia"/>
                      <w:sz w:val="20"/>
                      <w:szCs w:val="22"/>
                    </w:rPr>
                    <w:t>い。</w:t>
                  </w:r>
                </w:p>
                <w:p w14:paraId="42976C4A" w14:textId="77777777" w:rsidR="003B0864" w:rsidRPr="00EE6C5F" w:rsidRDefault="003B0864" w:rsidP="00A40784">
                  <w:pPr>
                    <w:jc w:val="left"/>
                    <w:rPr>
                      <w:sz w:val="20"/>
                      <w:szCs w:val="22"/>
                    </w:rPr>
                  </w:pPr>
                </w:p>
              </w:txbxContent>
            </v:textbox>
          </v:shape>
        </w:pict>
      </w:r>
      <w:r>
        <w:rPr>
          <w:rFonts w:ascii="Times New Roman" w:hAnsi="Times New Roman"/>
          <w:noProof/>
          <w:szCs w:val="22"/>
        </w:rPr>
        <w:pict w14:anchorId="5BA0E09A">
          <v:shape id="テキスト ボックス 12686" o:spid="_x0000_s3167" type="#_x0000_t202" style="position:absolute;left:0;text-align:left;margin-left:373.55pt;margin-top:10.2pt;width:110.5pt;height:32.9pt;z-index:251785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" stroked="f" strokeweight="1pt">
            <v:textbox style="mso-fit-shape-to-text:t">
              <w:txbxContent>
                <w:p w14:paraId="297C16F9" w14:textId="77777777" w:rsidR="003B0864" w:rsidRPr="00B03018" w:rsidRDefault="003B0864" w:rsidP="00A40784">
                  <w:pPr>
                    <w:jc w:val="left"/>
                    <w:rPr>
                      <w:rFonts w:ascii="ＭＳ 明朝" w:hAnsi="ＭＳ 明朝"/>
                      <w:sz w:val="20"/>
                      <w:szCs w:val="22"/>
                    </w:rPr>
                  </w:pPr>
                  <w:r w:rsidRPr="00B03018">
                    <w:rPr>
                      <w:rFonts w:ascii="ＭＳ 明朝" w:hAnsi="ＭＳ 明朝" w:hint="eastAsia"/>
                      <w:sz w:val="20"/>
                      <w:szCs w:val="22"/>
                    </w:rPr>
                    <w:t>中心孔を両端に</w:t>
                  </w:r>
                </w:p>
                <w:p w14:paraId="188A1FAF" w14:textId="77777777" w:rsidR="003B0864" w:rsidRPr="00B03018" w:rsidRDefault="003B0864" w:rsidP="00A40784">
                  <w:pPr>
                    <w:jc w:val="left"/>
                    <w:rPr>
                      <w:rFonts w:ascii="ＭＳ 明朝" w:hAnsi="ＭＳ 明朝"/>
                      <w:sz w:val="20"/>
                      <w:szCs w:val="22"/>
                    </w:rPr>
                  </w:pPr>
                  <w:r w:rsidRPr="00B03018">
                    <w:rPr>
                      <w:rFonts w:ascii="ＭＳ 明朝" w:hAnsi="ＭＳ 明朝" w:hint="eastAsia"/>
                      <w:sz w:val="20"/>
                      <w:szCs w:val="22"/>
                    </w:rPr>
                    <w:t>設ける</w:t>
                  </w:r>
                  <w:r>
                    <w:rPr>
                      <w:rFonts w:ascii="ＭＳ 明朝" w:hAnsi="ＭＳ 明朝" w:hint="eastAsia"/>
                      <w:sz w:val="20"/>
                      <w:szCs w:val="22"/>
                    </w:rPr>
                    <w:t>。</w:t>
                  </w:r>
                </w:p>
              </w:txbxContent>
            </v:textbox>
          </v:shape>
        </w:pict>
      </w:r>
      <w:r w:rsidR="00A40784" w:rsidRPr="00BC31E0">
        <w:rPr>
          <w:rFonts w:ascii="Times New Roman" w:hAnsi="Times New Roman" w:hint="eastAsia"/>
          <w:noProof/>
        </w:rPr>
        <w:drawing>
          <wp:inline distT="0" distB="0" distL="0" distR="0" wp14:anchorId="45D552A8" wp14:editId="23D0C14A">
            <wp:extent cx="6283960" cy="3030220"/>
            <wp:effectExtent l="0" t="0" r="2540" b="0"/>
            <wp:docPr id="12706" name="図 1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6" cstate="print">
                      <a:extLst>
                        <a:ext uri="{28A0092B-C50C-407E-A947-70E740481C1C}">
                          <a14:useLocalDpi xmlns:a14="http://schemas.microsoft.com/office/drawing/2010/main" val="0"/>
                        </a:ext>
                      </a:extLst>
                    </a:blip>
                    <a:srcRect b="17830"/>
                    <a:stretch>
                      <a:fillRect/>
                    </a:stretch>
                  </pic:blipFill>
                  <pic:spPr bwMode="auto">
                    <a:xfrm>
                      <a:off x="0" y="0"/>
                      <a:ext cx="6283960" cy="3030220"/>
                    </a:xfrm>
                    <a:prstGeom prst="rect">
                      <a:avLst/>
                    </a:prstGeom>
                    <a:noFill/>
                    <a:ln>
                      <a:noFill/>
                    </a:ln>
                  </pic:spPr>
                </pic:pic>
              </a:graphicData>
            </a:graphic>
          </wp:inline>
        </w:drawing>
      </w:r>
    </w:p>
    <w:p w14:paraId="13E93E72" w14:textId="77777777" w:rsidR="00A40784" w:rsidRPr="00BC31E0" w:rsidRDefault="00A40784" w:rsidP="00A40784">
      <w:pPr>
        <w:rPr>
          <w:rFonts w:ascii="Times New Roman" w:hAnsi="Times New Roman"/>
          <w:szCs w:val="22"/>
        </w:rPr>
      </w:pPr>
    </w:p>
    <w:p w14:paraId="760D5EFF" w14:textId="77777777" w:rsidR="00A40784" w:rsidRPr="00BC31E0" w:rsidRDefault="00A40784" w:rsidP="00A40784">
      <w:pPr>
        <w:rPr>
          <w:rFonts w:ascii="Times New Roman" w:hAnsi="Times New Roman"/>
          <w:szCs w:val="22"/>
        </w:rPr>
      </w:pPr>
    </w:p>
    <w:p w14:paraId="7A0256B1" w14:textId="77777777" w:rsidR="00A40784" w:rsidRPr="00BC31E0" w:rsidRDefault="00A51873" w:rsidP="00A40784">
      <w:pPr>
        <w:jc w:val="center"/>
        <w:rPr>
          <w:rFonts w:ascii="Times New Roman" w:hAnsi="Times New Roman"/>
          <w:szCs w:val="22"/>
        </w:rPr>
      </w:pPr>
      <w:r>
        <w:rPr>
          <w:rFonts w:ascii="Times New Roman" w:hAnsi="Times New Roman"/>
          <w:noProof/>
          <w:szCs w:val="22"/>
        </w:rPr>
        <w:pict w14:anchorId="1A93E796">
          <v:shape id="テキスト ボックス 12687" o:spid="_x0000_s3168" type="#_x0000_t202" style="position:absolute;left:0;text-align:left;margin-left:55.75pt;margin-top:199.65pt;width:387.15pt;height:43.2pt;z-index:251836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" stroked="f" strokeweight="1pt">
            <v:textbox style="mso-fit-shape-to-text:t">
              <w:txbxContent>
                <w:p w14:paraId="1D20BB1F" w14:textId="77777777" w:rsidR="003B0864" w:rsidRPr="007157BB" w:rsidRDefault="003B0864" w:rsidP="00DF2E5B">
                  <w:pPr>
                    <w:jc w:val="left"/>
                  </w:pPr>
                  <w:r w:rsidRPr="00681C2D">
                    <w:rPr>
                      <w:rFonts w:asciiTheme="majorEastAsia" w:eastAsiaTheme="majorEastAsia" w:hAnsiTheme="majorEastAsia"/>
                      <w:b/>
                    </w:rPr>
                    <w:t>注記1</w:t>
                  </w:r>
                  <w:r>
                    <w:rPr>
                      <w:rFonts w:hint="eastAsia"/>
                    </w:rPr>
                    <w:t xml:space="preserve">  </w:t>
                  </w:r>
                  <w:r w:rsidRPr="007157BB">
                    <w:t>d</w:t>
                  </w:r>
                  <w:r w:rsidRPr="007157BB">
                    <w:t>は</w:t>
                  </w:r>
                  <w:r w:rsidRPr="007157BB">
                    <w:t>D</w:t>
                  </w:r>
                  <w:r w:rsidRPr="007157BB">
                    <w:t>に対して同心を</w:t>
                  </w:r>
                  <w:r w:rsidRPr="007157BB">
                    <w:t>0.025mm</w:t>
                  </w:r>
                  <w:r w:rsidRPr="007157BB">
                    <w:t>以内としなければならない。</w:t>
                  </w:r>
                </w:p>
                <w:p w14:paraId="0BB75DC5" w14:textId="77777777" w:rsidR="003B0864" w:rsidRPr="007157BB" w:rsidRDefault="003B0864" w:rsidP="00DF2E5B">
                  <w:pPr>
                    <w:jc w:val="left"/>
                  </w:pPr>
                  <w:r w:rsidRPr="00681C2D">
                    <w:rPr>
                      <w:rFonts w:asciiTheme="majorEastAsia" w:eastAsiaTheme="majorEastAsia" w:hAnsiTheme="majorEastAsia"/>
                      <w:b/>
                    </w:rPr>
                    <w:t>注記2</w:t>
                  </w:r>
                  <w:r>
                    <w:rPr>
                      <w:rFonts w:hint="eastAsia"/>
                    </w:rPr>
                    <w:t xml:space="preserve">　</w:t>
                  </w:r>
                  <w:r w:rsidRPr="007157BB">
                    <w:t>合計試験片長さは一番短い切欠き試験片の長さを超えてはならない。</w:t>
                  </w:r>
                </w:p>
              </w:txbxContent>
            </v:textbox>
          </v:shape>
        </w:pict>
      </w:r>
      <w:r>
        <w:rPr>
          <w:rFonts w:ascii="Times New Roman" w:hAnsi="Times New Roman"/>
          <w:noProof/>
          <w:szCs w:val="22"/>
        </w:rPr>
        <w:pict w14:anchorId="372825B5">
          <v:shape id="テキスト ボックス 12688" o:spid="_x0000_s3169" type="#_x0000_t202" style="position:absolute;left:0;text-align:left;margin-left:267.05pt;margin-top:146.8pt;width:51.1pt;height:18.7pt;z-index:251844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" stroked="f" strokeweight="1pt">
            <v:textbox inset=",.27mm,,.27mm">
              <w:txbxContent>
                <w:p w14:paraId="34930520" w14:textId="77777777" w:rsidR="003B0864" w:rsidRPr="00B03018" w:rsidRDefault="003B0864" w:rsidP="00A40784">
                  <w:pPr>
                    <w:jc w:val="left"/>
                    <w:rPr>
                      <w:sz w:val="20"/>
                      <w:szCs w:val="22"/>
                    </w:rPr>
                  </w:pPr>
                  <w:r w:rsidRPr="00B03018">
                    <w:rPr>
                      <w:sz w:val="20"/>
                      <w:szCs w:val="22"/>
                    </w:rPr>
                    <w:t>2mm</w:t>
                  </w:r>
                </w:p>
              </w:txbxContent>
            </v:textbox>
          </v:shape>
        </w:pict>
      </w:r>
      <w:r>
        <w:rPr>
          <w:rFonts w:ascii="Times New Roman" w:hAnsi="Times New Roman"/>
          <w:noProof/>
          <w:szCs w:val="22"/>
        </w:rPr>
        <w:pict w14:anchorId="1A3B5DC8">
          <v:shape id="テキスト ボックス 12689" o:spid="_x0000_s3170" type="#_x0000_t202" style="position:absolute;left:0;text-align:left;margin-left:202.1pt;margin-top:128.1pt;width:43.65pt;height:18.7pt;z-index:251848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" stroked="f" strokeweight="1pt">
            <v:textbox inset=",.27mm,,.27mm">
              <w:txbxContent>
                <w:p w14:paraId="19AA417C" w14:textId="77777777" w:rsidR="003B0864" w:rsidRPr="00B03018" w:rsidRDefault="003B0864" w:rsidP="00A40784">
                  <w:pPr>
                    <w:jc w:val="left"/>
                    <w:rPr>
                      <w:sz w:val="20"/>
                      <w:szCs w:val="22"/>
                    </w:rPr>
                  </w:pPr>
                  <w:r w:rsidRPr="00B03018">
                    <w:rPr>
                      <w:sz w:val="20"/>
                      <w:szCs w:val="22"/>
                    </w:rPr>
                    <w:t>Ra0.4</w:t>
                  </w:r>
                </w:p>
              </w:txbxContent>
            </v:textbox>
          </v:shape>
        </w:pict>
      </w:r>
      <w:r>
        <w:rPr>
          <w:rFonts w:ascii="Times New Roman" w:hAnsi="Times New Roman"/>
          <w:noProof/>
          <w:szCs w:val="22"/>
        </w:rPr>
        <w:pict w14:anchorId="72899101">
          <v:shape id="テキスト ボックス 12690" o:spid="_x0000_s3171" type="#_x0000_t202" style="position:absolute;left:0;text-align:left;margin-left:166.4pt;margin-top:136.5pt;width:51.1pt;height:18.7pt;z-index:251847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" stroked="f" strokeweight="1pt">
            <v:textbox inset=",.27mm,,.27mm">
              <w:txbxContent>
                <w:p w14:paraId="7608471C" w14:textId="77777777" w:rsidR="003B0864" w:rsidRPr="00B03018" w:rsidRDefault="003B0864" w:rsidP="00A40784">
                  <w:pPr>
                    <w:jc w:val="left"/>
                    <w:rPr>
                      <w:sz w:val="20"/>
                      <w:szCs w:val="22"/>
                    </w:rPr>
                  </w:pPr>
                  <w:r w:rsidRPr="00B03018">
                    <w:rPr>
                      <w:sz w:val="20"/>
                      <w:szCs w:val="22"/>
                    </w:rPr>
                    <w:t>Ra0.4</w:t>
                  </w:r>
                </w:p>
              </w:txbxContent>
            </v:textbox>
          </v:shape>
        </w:pict>
      </w:r>
      <w:r>
        <w:rPr>
          <w:rFonts w:ascii="Times New Roman" w:hAnsi="Times New Roman"/>
          <w:noProof/>
          <w:szCs w:val="22"/>
        </w:rPr>
        <w:pict w14:anchorId="228CBAEB">
          <v:shape id="テキスト ボックス 12691" o:spid="_x0000_s3172" type="#_x0000_t202" style="position:absolute;left:0;text-align:left;margin-left:208.7pt;margin-top:10.1pt;width:51.5pt;height:13.5pt;z-index:2518420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" stroked="f" strokeweight="1pt">
            <v:textbox style="mso-fit-shape-to-text:t" inset=",.27mm,,.27mm">
              <w:txbxContent>
                <w:p w14:paraId="3F3B4300" w14:textId="77777777" w:rsidR="003B0864" w:rsidRPr="00B03018" w:rsidRDefault="003B0864" w:rsidP="00A40784">
                  <w:pPr>
                    <w:jc w:val="center"/>
                    <w:rPr>
                      <w:sz w:val="20"/>
                      <w:szCs w:val="22"/>
                    </w:rPr>
                  </w:pPr>
                  <w:r w:rsidRPr="00B03018">
                    <w:rPr>
                      <w:sz w:val="20"/>
                      <w:szCs w:val="22"/>
                    </w:rPr>
                    <w:t>12.7mm</w:t>
                  </w:r>
                </w:p>
              </w:txbxContent>
            </v:textbox>
          </v:shape>
        </w:pict>
      </w:r>
      <w:r>
        <w:rPr>
          <w:rFonts w:ascii="Times New Roman" w:hAnsi="Times New Roman"/>
          <w:noProof/>
          <w:szCs w:val="22"/>
        </w:rPr>
        <w:pict w14:anchorId="0BEB7E0D">
          <v:rect id="正方形/長方形 12692" o:spid="_x0000_s3271" style="position:absolute;left:0;text-align:left;margin-left:219.45pt;margin-top:34.4pt;width:34.5pt;height:16.5pt;z-index:251843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" stroked="f"/>
        </w:pict>
      </w:r>
      <w:r>
        <w:rPr>
          <w:rFonts w:ascii="Times New Roman" w:hAnsi="Times New Roman"/>
          <w:noProof/>
          <w:szCs w:val="22"/>
        </w:rPr>
        <w:pict w14:anchorId="644F606F">
          <v:rect id="正方形/長方形 12693" o:spid="_x0000_s3270" style="position:absolute;left:0;text-align:left;margin-left:199.6pt;margin-top:129.15pt;width:12.05pt;height:6.55pt;z-index:251849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" stroked="f"/>
        </w:pict>
      </w:r>
      <w:r>
        <w:rPr>
          <w:rFonts w:ascii="Times New Roman" w:hAnsi="Times New Roman"/>
          <w:noProof/>
          <w:szCs w:val="22"/>
        </w:rPr>
        <w:pict w14:anchorId="54336681">
          <v:rect id="正方形/長方形 12694" o:spid="_x0000_s3269" style="position:absolute;left:0;text-align:left;margin-left:202.45pt;margin-top:127.35pt;width:6.65pt;height:6.55pt;z-index:251846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" stroked="f"/>
        </w:pict>
      </w:r>
      <w:r>
        <w:rPr>
          <w:rFonts w:ascii="Times New Roman" w:hAnsi="Times New Roman"/>
          <w:noProof/>
          <w:szCs w:val="22"/>
        </w:rPr>
        <w:pict w14:anchorId="52F03715">
          <v:rect id="正方形/長方形 12695" o:spid="_x0000_s3268" style="position:absolute;left:0;text-align:left;margin-left:233.95pt;margin-top:118.9pt;width:10.25pt;height:11.7pt;z-index:251845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" stroked="f"/>
        </w:pict>
      </w:r>
      <w:r w:rsidR="00A40784" w:rsidRPr="00BC31E0">
        <w:rPr>
          <w:rFonts w:ascii="Times New Roman" w:hAnsi="Times New Roman"/>
          <w:noProof/>
          <w:szCs w:val="22"/>
        </w:rPr>
        <w:drawing>
          <wp:inline distT="0" distB="0" distL="0" distR="0" wp14:anchorId="647E00C3" wp14:editId="50F01467">
            <wp:extent cx="4114800" cy="2552065"/>
            <wp:effectExtent l="0" t="0" r="0" b="635"/>
            <wp:docPr id="12707" name="図 1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7" cstate="print">
                      <a:extLst>
                        <a:ext uri="{28A0092B-C50C-407E-A947-70E740481C1C}">
                          <a14:useLocalDpi xmlns:a14="http://schemas.microsoft.com/office/drawing/2010/main" val="0"/>
                        </a:ext>
                      </a:extLst>
                    </a:blip>
                    <a:srcRect l="11301" r="16188" b="51831"/>
                    <a:stretch>
                      <a:fillRect/>
                    </a:stretch>
                  </pic:blipFill>
                  <pic:spPr bwMode="auto">
                    <a:xfrm>
                      <a:off x="0" y="0"/>
                      <a:ext cx="4114800" cy="2552065"/>
                    </a:xfrm>
                    <a:prstGeom prst="rect">
                      <a:avLst/>
                    </a:prstGeom>
                    <a:noFill/>
                    <a:ln>
                      <a:noFill/>
                    </a:ln>
                  </pic:spPr>
                </pic:pic>
              </a:graphicData>
            </a:graphic>
          </wp:inline>
        </w:drawing>
      </w:r>
    </w:p>
    <w:p w14:paraId="46C4C075" w14:textId="77777777" w:rsidR="00A40784" w:rsidRPr="00BC31E0" w:rsidRDefault="00A40784" w:rsidP="00A40784">
      <w:pPr>
        <w:rPr>
          <w:rFonts w:ascii="Times New Roman" w:hAnsi="Times New Roman"/>
          <w:szCs w:val="22"/>
        </w:rPr>
      </w:pPr>
    </w:p>
    <w:p w14:paraId="05182199" w14:textId="77777777" w:rsidR="00A40784" w:rsidRPr="00BC31E0" w:rsidRDefault="00A40784" w:rsidP="00A40784">
      <w:pPr>
        <w:rPr>
          <w:rFonts w:ascii="Times New Roman" w:hAnsi="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5"/>
        <w:gridCol w:w="3145"/>
        <w:gridCol w:w="2996"/>
      </w:tblGrid>
      <w:tr w:rsidR="00A40784" w:rsidRPr="00BC31E0" w14:paraId="739156D9" w14:textId="77777777" w:rsidTr="004736F2">
        <w:tc>
          <w:tcPr>
            <w:tcW w:w="3373" w:type="dxa"/>
            <w:tcBorders>
              <w:left w:val="nil"/>
            </w:tcBorders>
            <w:shd w:val="clear" w:color="auto" w:fill="auto"/>
            <w:vAlign w:val="center"/>
          </w:tcPr>
          <w:p w14:paraId="09CD9CF0" w14:textId="77777777" w:rsidR="00A40784" w:rsidRPr="00BC31E0" w:rsidRDefault="00A40784" w:rsidP="00A40784">
            <w:pPr>
              <w:jc w:val="center"/>
              <w:rPr>
                <w:szCs w:val="22"/>
              </w:rPr>
            </w:pPr>
            <w:r w:rsidRPr="00BC31E0">
              <w:rPr>
                <w:szCs w:val="22"/>
              </w:rPr>
              <w:t>D</w:t>
            </w:r>
          </w:p>
        </w:tc>
        <w:tc>
          <w:tcPr>
            <w:tcW w:w="3374" w:type="dxa"/>
            <w:shd w:val="clear" w:color="auto" w:fill="auto"/>
            <w:vAlign w:val="center"/>
          </w:tcPr>
          <w:p w14:paraId="300A5910" w14:textId="77777777" w:rsidR="00A40784" w:rsidRPr="00BC31E0" w:rsidRDefault="00A40784" w:rsidP="00A40784">
            <w:pPr>
              <w:jc w:val="center"/>
              <w:rPr>
                <w:szCs w:val="22"/>
              </w:rPr>
            </w:pPr>
            <w:r w:rsidRPr="00BC31E0">
              <w:rPr>
                <w:szCs w:val="22"/>
              </w:rPr>
              <w:t>d</w:t>
            </w:r>
          </w:p>
        </w:tc>
        <w:tc>
          <w:tcPr>
            <w:tcW w:w="3374" w:type="dxa"/>
            <w:tcBorders>
              <w:right w:val="nil"/>
            </w:tcBorders>
            <w:shd w:val="clear" w:color="auto" w:fill="auto"/>
            <w:vAlign w:val="center"/>
          </w:tcPr>
          <w:p w14:paraId="1807854B" w14:textId="77777777" w:rsidR="00A40784" w:rsidRPr="00BC31E0" w:rsidRDefault="00A40784" w:rsidP="00A40784">
            <w:pPr>
              <w:jc w:val="center"/>
              <w:rPr>
                <w:szCs w:val="22"/>
              </w:rPr>
            </w:pPr>
            <w:r w:rsidRPr="00BC31E0">
              <w:rPr>
                <w:szCs w:val="22"/>
              </w:rPr>
              <w:t>最大長さ</w:t>
            </w:r>
            <w:r w:rsidRPr="00BC31E0">
              <w:rPr>
                <w:szCs w:val="22"/>
              </w:rPr>
              <w:t>L</w:t>
            </w:r>
          </w:p>
        </w:tc>
      </w:tr>
      <w:tr w:rsidR="00A40784" w:rsidRPr="00BC31E0" w14:paraId="2429A3F1" w14:textId="77777777" w:rsidTr="004736F2">
        <w:tc>
          <w:tcPr>
            <w:tcW w:w="3373" w:type="dxa"/>
            <w:tcBorders>
              <w:left w:val="nil"/>
            </w:tcBorders>
            <w:shd w:val="clear" w:color="auto" w:fill="auto"/>
            <w:vAlign w:val="center"/>
          </w:tcPr>
          <w:p w14:paraId="29BDC369" w14:textId="77777777" w:rsidR="00A40784" w:rsidRPr="00BC31E0" w:rsidRDefault="00A40784" w:rsidP="00A40784">
            <w:pPr>
              <w:jc w:val="center"/>
              <w:rPr>
                <w:szCs w:val="22"/>
              </w:rPr>
            </w:pPr>
            <w:r w:rsidRPr="00BC31E0">
              <w:rPr>
                <w:szCs w:val="22"/>
              </w:rPr>
              <w:t>12.7mm</w:t>
            </w:r>
            <w:r w:rsidRPr="00BC31E0">
              <w:rPr>
                <w:rFonts w:ascii="Cambria Math" w:hAnsi="Cambria Math"/>
                <w:szCs w:val="22"/>
              </w:rPr>
              <w:t>±</w:t>
            </w:r>
            <w:r w:rsidRPr="00BC31E0">
              <w:rPr>
                <w:szCs w:val="22"/>
              </w:rPr>
              <w:t>0.13mm</w:t>
            </w:r>
          </w:p>
        </w:tc>
        <w:tc>
          <w:tcPr>
            <w:tcW w:w="3374" w:type="dxa"/>
            <w:shd w:val="clear" w:color="auto" w:fill="auto"/>
            <w:vAlign w:val="center"/>
          </w:tcPr>
          <w:p w14:paraId="6FFE614B" w14:textId="77777777" w:rsidR="00A40784" w:rsidRPr="00BC31E0" w:rsidRDefault="00A40784" w:rsidP="00A40784">
            <w:pPr>
              <w:jc w:val="center"/>
              <w:rPr>
                <w:szCs w:val="22"/>
              </w:rPr>
            </w:pPr>
            <w:r w:rsidRPr="00BC31E0">
              <w:rPr>
                <w:szCs w:val="22"/>
              </w:rPr>
              <w:t>8.96mm</w:t>
            </w:r>
            <w:r w:rsidRPr="00BC31E0">
              <w:rPr>
                <w:rFonts w:ascii="Cambria Math" w:hAnsi="Cambria Math"/>
                <w:szCs w:val="22"/>
              </w:rPr>
              <w:t>±</w:t>
            </w:r>
            <w:r w:rsidRPr="00BC31E0">
              <w:rPr>
                <w:szCs w:val="22"/>
              </w:rPr>
              <w:t>0.13mm</w:t>
            </w:r>
          </w:p>
        </w:tc>
        <w:tc>
          <w:tcPr>
            <w:tcW w:w="3374" w:type="dxa"/>
            <w:tcBorders>
              <w:right w:val="nil"/>
            </w:tcBorders>
            <w:shd w:val="clear" w:color="auto" w:fill="auto"/>
            <w:vAlign w:val="center"/>
          </w:tcPr>
          <w:p w14:paraId="0CE76566" w14:textId="77777777" w:rsidR="00A40784" w:rsidRPr="00BC31E0" w:rsidRDefault="00A40784" w:rsidP="00A40784">
            <w:pPr>
              <w:jc w:val="center"/>
              <w:rPr>
                <w:szCs w:val="22"/>
              </w:rPr>
            </w:pPr>
            <w:r w:rsidRPr="00BC31E0">
              <w:rPr>
                <w:szCs w:val="22"/>
              </w:rPr>
              <w:t>38.1mm</w:t>
            </w:r>
          </w:p>
        </w:tc>
      </w:tr>
      <w:tr w:rsidR="00A40784" w:rsidRPr="00BC31E0" w14:paraId="4FC3E371" w14:textId="77777777" w:rsidTr="004736F2">
        <w:tc>
          <w:tcPr>
            <w:tcW w:w="3373" w:type="dxa"/>
            <w:tcBorders>
              <w:left w:val="nil"/>
            </w:tcBorders>
            <w:shd w:val="clear" w:color="auto" w:fill="auto"/>
            <w:vAlign w:val="center"/>
          </w:tcPr>
          <w:p w14:paraId="6C831CA1" w14:textId="77777777" w:rsidR="00A40784" w:rsidRPr="00BC31E0" w:rsidRDefault="00A40784" w:rsidP="00A40784">
            <w:pPr>
              <w:jc w:val="center"/>
              <w:rPr>
                <w:szCs w:val="22"/>
              </w:rPr>
            </w:pPr>
            <w:r w:rsidRPr="00BC31E0">
              <w:rPr>
                <w:szCs w:val="22"/>
              </w:rPr>
              <w:t>26.9mm</w:t>
            </w:r>
            <w:r w:rsidRPr="00BC31E0">
              <w:rPr>
                <w:rFonts w:ascii="Cambria Math" w:hAnsi="Cambria Math"/>
                <w:szCs w:val="22"/>
              </w:rPr>
              <w:t>±</w:t>
            </w:r>
            <w:r w:rsidRPr="00BC31E0">
              <w:rPr>
                <w:szCs w:val="22"/>
              </w:rPr>
              <w:t>0.13mm</w:t>
            </w:r>
          </w:p>
        </w:tc>
        <w:tc>
          <w:tcPr>
            <w:tcW w:w="3374" w:type="dxa"/>
            <w:shd w:val="clear" w:color="auto" w:fill="auto"/>
            <w:vAlign w:val="center"/>
          </w:tcPr>
          <w:p w14:paraId="7CEE42A6" w14:textId="77777777" w:rsidR="00A40784" w:rsidRPr="00BC31E0" w:rsidRDefault="00A40784" w:rsidP="00A40784">
            <w:pPr>
              <w:jc w:val="center"/>
              <w:rPr>
                <w:szCs w:val="22"/>
              </w:rPr>
            </w:pPr>
            <w:r w:rsidRPr="00BC31E0">
              <w:rPr>
                <w:szCs w:val="22"/>
              </w:rPr>
              <w:t>19.0mm</w:t>
            </w:r>
            <w:r w:rsidRPr="00BC31E0">
              <w:rPr>
                <w:rFonts w:ascii="Cambria Math" w:hAnsi="Cambria Math"/>
                <w:szCs w:val="22"/>
              </w:rPr>
              <w:t>±</w:t>
            </w:r>
            <w:r w:rsidRPr="00BC31E0">
              <w:rPr>
                <w:szCs w:val="22"/>
              </w:rPr>
              <w:t>0.13mm</w:t>
            </w:r>
          </w:p>
        </w:tc>
        <w:tc>
          <w:tcPr>
            <w:tcW w:w="3374" w:type="dxa"/>
            <w:tcBorders>
              <w:right w:val="nil"/>
            </w:tcBorders>
            <w:shd w:val="clear" w:color="auto" w:fill="auto"/>
            <w:vAlign w:val="center"/>
          </w:tcPr>
          <w:p w14:paraId="5B7FC560" w14:textId="77777777" w:rsidR="00A40784" w:rsidRPr="00BC31E0" w:rsidRDefault="00A40784" w:rsidP="00A40784">
            <w:pPr>
              <w:jc w:val="center"/>
              <w:rPr>
                <w:szCs w:val="22"/>
              </w:rPr>
            </w:pPr>
            <w:r w:rsidRPr="00BC31E0">
              <w:rPr>
                <w:szCs w:val="22"/>
              </w:rPr>
              <w:t>66.8mm</w:t>
            </w:r>
          </w:p>
        </w:tc>
      </w:tr>
    </w:tbl>
    <w:p w14:paraId="28F951A6" w14:textId="77777777" w:rsidR="00A40784" w:rsidRPr="00BC31E0" w:rsidRDefault="00A51873" w:rsidP="00A40784">
      <w:pPr>
        <w:rPr>
          <w:rFonts w:ascii="Times New Roman" w:hAnsi="Times New Roman"/>
          <w:szCs w:val="22"/>
        </w:rPr>
      </w:pPr>
      <w:r>
        <w:rPr>
          <w:rFonts w:ascii="Times New Roman" w:hAnsi="Times New Roman"/>
          <w:noProof/>
          <w:szCs w:val="22"/>
        </w:rPr>
        <w:pict w14:anchorId="254B8BE9">
          <v:shape id="テキスト ボックス 12696" o:spid="_x0000_s3173" type="#_x0000_t202" style="position:absolute;left:0;text-align:left;margin-left:1.95pt;margin-top:8.35pt;width:486.9pt;height:24.3pt;z-index:251837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" stroked="f" strokeweight="1pt">
            <v:textbox>
              <w:txbxContent>
                <w:p w14:paraId="38A529F2" w14:textId="77777777" w:rsidR="003B0864" w:rsidRPr="006D0703" w:rsidRDefault="003B0864" w:rsidP="00A40784">
                  <w:pPr>
                    <w:jc w:val="center"/>
                    <w:rPr>
                      <w:rFonts w:ascii="ＭＳ ゴシック" w:eastAsia="ＭＳ ゴシック" w:hAnsi="ＭＳ ゴシック"/>
                      <w:b/>
                      <w:szCs w:val="22"/>
                    </w:rPr>
                  </w:pPr>
                  <w:r w:rsidRPr="006D0703">
                    <w:rPr>
                      <w:rFonts w:ascii="ＭＳ ゴシック" w:eastAsia="ＭＳ ゴシック" w:hAnsi="ＭＳ ゴシック"/>
                      <w:b/>
                      <w:szCs w:val="22"/>
                    </w:rPr>
                    <w:t>図</w:t>
                  </w:r>
                  <w:r w:rsidRPr="006D0703">
                    <w:rPr>
                      <w:rFonts w:ascii="ＭＳ ゴシック" w:eastAsia="ＭＳ ゴシック" w:hAnsi="ＭＳ ゴシック" w:hint="eastAsia"/>
                      <w:b/>
                      <w:szCs w:val="22"/>
                    </w:rPr>
                    <w:t>K</w:t>
                  </w:r>
                  <w:r w:rsidRPr="006D0703">
                    <w:rPr>
                      <w:rFonts w:ascii="ＭＳ ゴシック" w:eastAsia="ＭＳ ゴシック" w:hAnsi="ＭＳ ゴシック"/>
                      <w:b/>
                      <w:szCs w:val="22"/>
                    </w:rPr>
                    <w:t>.</w:t>
                  </w:r>
                  <w:r w:rsidRPr="006D0703">
                    <w:rPr>
                      <w:rFonts w:ascii="ＭＳ ゴシック" w:eastAsia="ＭＳ ゴシック" w:hAnsi="ＭＳ ゴシック" w:hint="eastAsia"/>
                      <w:b/>
                      <w:szCs w:val="22"/>
                    </w:rPr>
                    <w:t>8</w:t>
                  </w:r>
                  <w:r w:rsidRPr="006D0703">
                    <w:rPr>
                      <w:rFonts w:ascii="ＭＳ ゴシック" w:eastAsia="ＭＳ ゴシック" w:hAnsi="ＭＳ ゴシック"/>
                      <w:b/>
                      <w:szCs w:val="22"/>
                    </w:rPr>
                    <w:t xml:space="preserve">　</w:t>
                  </w:r>
                  <w:r w:rsidRPr="006D0703">
                    <w:rPr>
                      <w:rFonts w:ascii="ＭＳ ゴシック" w:eastAsia="ＭＳ ゴシック" w:hAnsi="ＭＳ ゴシック" w:hint="eastAsia"/>
                      <w:b/>
                      <w:szCs w:val="22"/>
                    </w:rPr>
                    <w:t>検証</w:t>
                  </w:r>
                  <w:r w:rsidRPr="006D0703">
                    <w:rPr>
                      <w:rFonts w:ascii="ＭＳ ゴシック" w:eastAsia="ＭＳ ゴシック" w:hAnsi="ＭＳ ゴシック"/>
                      <w:b/>
                      <w:szCs w:val="22"/>
                    </w:rPr>
                    <w:t>試験片</w:t>
                  </w:r>
                </w:p>
              </w:txbxContent>
            </v:textbox>
          </v:shape>
        </w:pict>
      </w:r>
    </w:p>
    <w:p w14:paraId="7FBE20D9" w14:textId="77777777" w:rsidR="00A40784" w:rsidRPr="00BC31E0" w:rsidRDefault="00A40784" w:rsidP="00A40784">
      <w:pPr>
        <w:rPr>
          <w:rFonts w:ascii="Times New Roman" w:hAnsi="Times New Roman"/>
          <w:szCs w:val="22"/>
        </w:rPr>
      </w:pPr>
    </w:p>
    <w:p w14:paraId="3BFF12FA" w14:textId="77777777" w:rsidR="00A40784" w:rsidRPr="00BC31E0" w:rsidRDefault="00A40784" w:rsidP="00736130">
      <w:pPr>
        <w:numPr>
          <w:ilvl w:val="0"/>
          <w:numId w:val="249"/>
        </w:numPr>
        <w:rPr>
          <w:rFonts w:ascii="Times New Roman" w:hAnsi="Times New Roman"/>
        </w:rPr>
      </w:pPr>
      <w:r w:rsidRPr="00BC31E0">
        <w:rPr>
          <w:rFonts w:ascii="Times New Roman" w:hAnsi="Times New Roman"/>
        </w:rPr>
        <w:br w:type="page"/>
      </w:r>
    </w:p>
    <w:p w14:paraId="4387DB42" w14:textId="77777777" w:rsidR="00A40784" w:rsidRPr="00BC31E0" w:rsidRDefault="00A40784" w:rsidP="00A40784">
      <w:pPr>
        <w:jc w:val="center"/>
        <w:rPr>
          <w:rFonts w:ascii="Times New Roman" w:hAnsi="Times New Roman"/>
          <w:szCs w:val="22"/>
        </w:rPr>
      </w:pPr>
      <w:r w:rsidRPr="00BC31E0">
        <w:rPr>
          <w:noProof/>
        </w:rPr>
        <w:lastRenderedPageBreak/>
        <w:drawing>
          <wp:inline distT="0" distB="0" distL="0" distR="0" wp14:anchorId="5E4330FA" wp14:editId="52BABDA9">
            <wp:extent cx="5207400" cy="1417320"/>
            <wp:effectExtent l="0" t="0" r="0" b="0"/>
            <wp:docPr id="12708" name="図 1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98B44A.tmp"/>
                    <pic:cNvPicPr/>
                  </pic:nvPicPr>
                  <pic:blipFill rotWithShape="1">
                    <a:blip r:embed="rId178" cstate="print">
                      <a:extLst>
                        <a:ext uri="{28A0092B-C50C-407E-A947-70E740481C1C}">
                          <a14:useLocalDpi xmlns:a14="http://schemas.microsoft.com/office/drawing/2010/main" val="0"/>
                        </a:ext>
                      </a:extLst>
                    </a:blip>
                    <a:srcRect/>
                    <a:stretch/>
                  </pic:blipFill>
                  <pic:spPr bwMode="auto">
                    <a:xfrm>
                      <a:off x="0" y="0"/>
                      <a:ext cx="5207400" cy="1417320"/>
                    </a:xfrm>
                    <a:prstGeom prst="rect">
                      <a:avLst/>
                    </a:prstGeom>
                    <a:ln>
                      <a:noFill/>
                    </a:ln>
                    <a:extLst>
                      <a:ext uri="{53640926-AAD7-44D8-BBD7-CCE9431645EC}">
                        <a14:shadowObscured xmlns:a14="http://schemas.microsoft.com/office/drawing/2010/main"/>
                      </a:ext>
                    </a:extLst>
                  </pic:spPr>
                </pic:pic>
              </a:graphicData>
            </a:graphic>
          </wp:inline>
        </w:drawing>
      </w:r>
    </w:p>
    <w:p w14:paraId="4DF35608" w14:textId="77777777" w:rsidR="00A40784" w:rsidRPr="00BC31E0" w:rsidRDefault="00A40784" w:rsidP="00A40784">
      <w:pPr>
        <w:jc w:val="center"/>
        <w:rPr>
          <w:rFonts w:ascii="Times New Roman" w:hAnsi="Times New Roman"/>
          <w:szCs w:val="22"/>
        </w:rPr>
      </w:pPr>
    </w:p>
    <w:tbl>
      <w:tblPr>
        <w:tblW w:w="9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2"/>
        <w:gridCol w:w="3142"/>
        <w:gridCol w:w="3238"/>
      </w:tblGrid>
      <w:tr w:rsidR="00A40784" w:rsidRPr="00BC31E0" w14:paraId="21DE8CA0" w14:textId="77777777" w:rsidTr="004736F2">
        <w:tc>
          <w:tcPr>
            <w:tcW w:w="3142" w:type="dxa"/>
            <w:vMerge w:val="restart"/>
            <w:tcBorders>
              <w:left w:val="nil"/>
            </w:tcBorders>
            <w:shd w:val="clear" w:color="auto" w:fill="auto"/>
            <w:vAlign w:val="center"/>
          </w:tcPr>
          <w:p w14:paraId="0B384FB2" w14:textId="77777777" w:rsidR="00A40784" w:rsidRPr="00BC31E0" w:rsidRDefault="00A40784" w:rsidP="00A40784">
            <w:pPr>
              <w:jc w:val="center"/>
              <w:rPr>
                <w:szCs w:val="22"/>
              </w:rPr>
            </w:pPr>
          </w:p>
        </w:tc>
        <w:tc>
          <w:tcPr>
            <w:tcW w:w="6380" w:type="dxa"/>
            <w:gridSpan w:val="2"/>
            <w:tcBorders>
              <w:right w:val="nil"/>
            </w:tcBorders>
            <w:shd w:val="clear" w:color="auto" w:fill="auto"/>
            <w:vAlign w:val="center"/>
          </w:tcPr>
          <w:p w14:paraId="0A560A87" w14:textId="77777777" w:rsidR="00A40784" w:rsidRPr="00BC31E0" w:rsidRDefault="00A40784" w:rsidP="00A40784">
            <w:pPr>
              <w:jc w:val="center"/>
              <w:rPr>
                <w:szCs w:val="22"/>
              </w:rPr>
            </w:pPr>
            <w:r w:rsidRPr="00BC31E0">
              <w:rPr>
                <w:szCs w:val="22"/>
              </w:rPr>
              <w:t>寸法</w:t>
            </w:r>
            <w:r w:rsidRPr="00BC31E0">
              <w:rPr>
                <w:szCs w:val="22"/>
              </w:rPr>
              <w:t>(mm)</w:t>
            </w:r>
          </w:p>
        </w:tc>
      </w:tr>
      <w:tr w:rsidR="00A40784" w:rsidRPr="00BC31E0" w14:paraId="45A4EEF6" w14:textId="77777777" w:rsidTr="004736F2">
        <w:tc>
          <w:tcPr>
            <w:tcW w:w="3142" w:type="dxa"/>
            <w:vMerge/>
            <w:tcBorders>
              <w:left w:val="nil"/>
            </w:tcBorders>
            <w:shd w:val="clear" w:color="auto" w:fill="auto"/>
            <w:vAlign w:val="center"/>
          </w:tcPr>
          <w:p w14:paraId="71C596B6" w14:textId="77777777" w:rsidR="00A40784" w:rsidRPr="00BC31E0" w:rsidRDefault="00A40784" w:rsidP="00A40784">
            <w:pPr>
              <w:jc w:val="center"/>
              <w:rPr>
                <w:szCs w:val="22"/>
              </w:rPr>
            </w:pPr>
          </w:p>
        </w:tc>
        <w:tc>
          <w:tcPr>
            <w:tcW w:w="3142" w:type="dxa"/>
            <w:shd w:val="clear" w:color="auto" w:fill="auto"/>
            <w:vAlign w:val="center"/>
          </w:tcPr>
          <w:p w14:paraId="4433B3FC" w14:textId="77777777" w:rsidR="00A40784" w:rsidRPr="00BC31E0" w:rsidRDefault="00A40784" w:rsidP="00A40784">
            <w:pPr>
              <w:jc w:val="center"/>
              <w:rPr>
                <w:szCs w:val="22"/>
              </w:rPr>
            </w:pPr>
            <w:r w:rsidRPr="00BC31E0">
              <w:rPr>
                <w:szCs w:val="22"/>
              </w:rPr>
              <w:t>標準試験片</w:t>
            </w:r>
            <w:r w:rsidRPr="00BC31E0">
              <w:rPr>
                <w:rFonts w:hint="eastAsia"/>
              </w:rPr>
              <w:t>，幅</w:t>
            </w:r>
            <w:r w:rsidRPr="00BC31E0">
              <w:rPr>
                <w:rFonts w:hint="eastAsia"/>
              </w:rPr>
              <w:t>12.5mm</w:t>
            </w:r>
          </w:p>
        </w:tc>
        <w:tc>
          <w:tcPr>
            <w:tcW w:w="3238" w:type="dxa"/>
            <w:tcBorders>
              <w:right w:val="nil"/>
            </w:tcBorders>
            <w:shd w:val="clear" w:color="auto" w:fill="auto"/>
            <w:vAlign w:val="center"/>
          </w:tcPr>
          <w:p w14:paraId="0E8CABBB" w14:textId="77777777" w:rsidR="00A40784" w:rsidRPr="00BC31E0" w:rsidRDefault="00A40784" w:rsidP="00A40784">
            <w:pPr>
              <w:jc w:val="center"/>
              <w:rPr>
                <w:szCs w:val="22"/>
              </w:rPr>
            </w:pPr>
            <w:r w:rsidRPr="00BC31E0">
              <w:rPr>
                <w:szCs w:val="22"/>
              </w:rPr>
              <w:t>サブサイズ試験片</w:t>
            </w:r>
            <w:r w:rsidRPr="00BC31E0">
              <w:rPr>
                <w:rFonts w:hint="eastAsia"/>
              </w:rPr>
              <w:t>，幅</w:t>
            </w:r>
            <w:r w:rsidRPr="00BC31E0">
              <w:rPr>
                <w:rFonts w:hint="eastAsia"/>
              </w:rPr>
              <w:t>12.5mm</w:t>
            </w:r>
          </w:p>
        </w:tc>
      </w:tr>
      <w:tr w:rsidR="00A40784" w:rsidRPr="00BC31E0" w14:paraId="33B8757D" w14:textId="77777777" w:rsidTr="004736F2">
        <w:tc>
          <w:tcPr>
            <w:tcW w:w="3142" w:type="dxa"/>
            <w:tcBorders>
              <w:left w:val="nil"/>
            </w:tcBorders>
            <w:shd w:val="clear" w:color="auto" w:fill="auto"/>
            <w:vAlign w:val="center"/>
          </w:tcPr>
          <w:p w14:paraId="63703EE3" w14:textId="77777777" w:rsidR="00A40784" w:rsidRPr="00BC31E0" w:rsidRDefault="00A40784" w:rsidP="00A40784">
            <w:pPr>
              <w:ind w:firstLineChars="100" w:firstLine="210"/>
              <w:rPr>
                <w:szCs w:val="22"/>
              </w:rPr>
            </w:pPr>
            <w:r w:rsidRPr="00BC31E0">
              <w:rPr>
                <w:szCs w:val="22"/>
              </w:rPr>
              <w:t>G</w:t>
            </w:r>
            <w:r w:rsidRPr="00BC31E0">
              <w:rPr>
                <w:rFonts w:hint="eastAsia"/>
              </w:rPr>
              <w:t>，試験片の原標点距離</w:t>
            </w:r>
          </w:p>
        </w:tc>
        <w:tc>
          <w:tcPr>
            <w:tcW w:w="3142" w:type="dxa"/>
            <w:shd w:val="clear" w:color="auto" w:fill="auto"/>
            <w:vAlign w:val="center"/>
          </w:tcPr>
          <w:p w14:paraId="64297D67" w14:textId="77777777" w:rsidR="00A40784" w:rsidRPr="00BC31E0" w:rsidRDefault="00A40784" w:rsidP="00A40784">
            <w:pPr>
              <w:jc w:val="center"/>
              <w:rPr>
                <w:szCs w:val="22"/>
              </w:rPr>
            </w:pPr>
            <w:r w:rsidRPr="00BC31E0">
              <w:rPr>
                <w:szCs w:val="22"/>
              </w:rPr>
              <w:t>50.0</w:t>
            </w:r>
            <w:r w:rsidRPr="00BC31E0">
              <w:rPr>
                <w:rFonts w:ascii="Cambria Math" w:hAnsi="Cambria Math"/>
                <w:szCs w:val="22"/>
              </w:rPr>
              <w:t>±</w:t>
            </w:r>
            <w:r w:rsidRPr="00BC31E0">
              <w:rPr>
                <w:szCs w:val="22"/>
              </w:rPr>
              <w:t>0.1</w:t>
            </w:r>
          </w:p>
        </w:tc>
        <w:tc>
          <w:tcPr>
            <w:tcW w:w="3238" w:type="dxa"/>
            <w:tcBorders>
              <w:right w:val="nil"/>
            </w:tcBorders>
            <w:shd w:val="clear" w:color="auto" w:fill="auto"/>
            <w:vAlign w:val="center"/>
          </w:tcPr>
          <w:p w14:paraId="26BCCAAF" w14:textId="77777777" w:rsidR="00A40784" w:rsidRPr="00BC31E0" w:rsidRDefault="00A40784" w:rsidP="00A40784">
            <w:pPr>
              <w:jc w:val="center"/>
              <w:rPr>
                <w:szCs w:val="22"/>
              </w:rPr>
            </w:pPr>
            <w:r w:rsidRPr="00BC31E0">
              <w:rPr>
                <w:szCs w:val="22"/>
              </w:rPr>
              <w:t>25.0</w:t>
            </w:r>
            <w:r w:rsidRPr="00BC31E0">
              <w:rPr>
                <w:rFonts w:ascii="Cambria Math" w:hAnsi="Cambria Math"/>
                <w:szCs w:val="22"/>
              </w:rPr>
              <w:t>±</w:t>
            </w:r>
            <w:r w:rsidRPr="00BC31E0">
              <w:rPr>
                <w:szCs w:val="22"/>
              </w:rPr>
              <w:t>0.1</w:t>
            </w:r>
          </w:p>
        </w:tc>
      </w:tr>
      <w:tr w:rsidR="00A40784" w:rsidRPr="00BC31E0" w14:paraId="6A0AA79B" w14:textId="77777777" w:rsidTr="004736F2">
        <w:tc>
          <w:tcPr>
            <w:tcW w:w="3142" w:type="dxa"/>
            <w:tcBorders>
              <w:left w:val="nil"/>
            </w:tcBorders>
            <w:shd w:val="clear" w:color="auto" w:fill="auto"/>
            <w:vAlign w:val="center"/>
          </w:tcPr>
          <w:p w14:paraId="4680150D" w14:textId="77777777" w:rsidR="00A40784" w:rsidRPr="00BC31E0" w:rsidRDefault="00A40784" w:rsidP="00A40784">
            <w:pPr>
              <w:ind w:firstLineChars="100" w:firstLine="210"/>
              <w:rPr>
                <w:szCs w:val="22"/>
              </w:rPr>
            </w:pPr>
            <w:r w:rsidRPr="00BC31E0">
              <w:rPr>
                <w:szCs w:val="22"/>
              </w:rPr>
              <w:t>W</w:t>
            </w:r>
            <w:r w:rsidRPr="00BC31E0">
              <w:rPr>
                <w:rFonts w:hint="eastAsia"/>
              </w:rPr>
              <w:t>，幅</w:t>
            </w:r>
          </w:p>
        </w:tc>
        <w:tc>
          <w:tcPr>
            <w:tcW w:w="3142" w:type="dxa"/>
            <w:shd w:val="clear" w:color="auto" w:fill="auto"/>
            <w:vAlign w:val="center"/>
          </w:tcPr>
          <w:p w14:paraId="3AB468FE" w14:textId="77777777" w:rsidR="00A40784" w:rsidRPr="00BC31E0" w:rsidRDefault="00A40784" w:rsidP="00A40784">
            <w:pPr>
              <w:jc w:val="center"/>
              <w:rPr>
                <w:szCs w:val="22"/>
              </w:rPr>
            </w:pPr>
            <w:r w:rsidRPr="00BC31E0">
              <w:rPr>
                <w:szCs w:val="22"/>
              </w:rPr>
              <w:t>12.5</w:t>
            </w:r>
            <w:r w:rsidRPr="00BC31E0">
              <w:rPr>
                <w:rFonts w:ascii="Cambria Math" w:hAnsi="Cambria Math"/>
                <w:szCs w:val="22"/>
              </w:rPr>
              <w:t>±</w:t>
            </w:r>
            <w:r w:rsidRPr="00BC31E0">
              <w:rPr>
                <w:szCs w:val="22"/>
              </w:rPr>
              <w:t>0.2</w:t>
            </w:r>
          </w:p>
        </w:tc>
        <w:tc>
          <w:tcPr>
            <w:tcW w:w="3238" w:type="dxa"/>
            <w:tcBorders>
              <w:right w:val="nil"/>
            </w:tcBorders>
            <w:shd w:val="clear" w:color="auto" w:fill="auto"/>
            <w:vAlign w:val="center"/>
          </w:tcPr>
          <w:p w14:paraId="362CA6E0" w14:textId="77777777" w:rsidR="00A40784" w:rsidRPr="00BC31E0" w:rsidRDefault="00A40784" w:rsidP="00A40784">
            <w:pPr>
              <w:jc w:val="center"/>
              <w:rPr>
                <w:szCs w:val="22"/>
              </w:rPr>
            </w:pPr>
            <w:r w:rsidRPr="00BC31E0">
              <w:rPr>
                <w:szCs w:val="22"/>
              </w:rPr>
              <w:t>6.0</w:t>
            </w:r>
            <w:r w:rsidRPr="00BC31E0">
              <w:rPr>
                <w:rFonts w:ascii="Cambria Math" w:hAnsi="Cambria Math"/>
                <w:szCs w:val="22"/>
              </w:rPr>
              <w:t>±</w:t>
            </w:r>
            <w:r w:rsidRPr="00BC31E0">
              <w:rPr>
                <w:szCs w:val="22"/>
              </w:rPr>
              <w:t>0.1</w:t>
            </w:r>
          </w:p>
        </w:tc>
      </w:tr>
      <w:tr w:rsidR="00A40784" w:rsidRPr="00BC31E0" w14:paraId="5854F1E3" w14:textId="77777777" w:rsidTr="004736F2">
        <w:tc>
          <w:tcPr>
            <w:tcW w:w="3142" w:type="dxa"/>
            <w:tcBorders>
              <w:left w:val="nil"/>
            </w:tcBorders>
            <w:shd w:val="clear" w:color="auto" w:fill="auto"/>
            <w:vAlign w:val="center"/>
          </w:tcPr>
          <w:p w14:paraId="35CCC30B" w14:textId="77777777" w:rsidR="00A40784" w:rsidRPr="00BC31E0" w:rsidRDefault="00A40784" w:rsidP="00A40784">
            <w:pPr>
              <w:ind w:firstLineChars="100" w:firstLine="210"/>
              <w:rPr>
                <w:szCs w:val="22"/>
              </w:rPr>
            </w:pPr>
            <w:r w:rsidRPr="00BC31E0">
              <w:rPr>
                <w:szCs w:val="22"/>
              </w:rPr>
              <w:t>T</w:t>
            </w:r>
            <w:r w:rsidRPr="00BC31E0">
              <w:rPr>
                <w:rFonts w:hint="eastAsia"/>
              </w:rPr>
              <w:t>，厚さ</w:t>
            </w:r>
          </w:p>
        </w:tc>
        <w:tc>
          <w:tcPr>
            <w:tcW w:w="3142" w:type="dxa"/>
            <w:shd w:val="clear" w:color="auto" w:fill="auto"/>
            <w:vAlign w:val="center"/>
          </w:tcPr>
          <w:p w14:paraId="0B635FC1" w14:textId="77777777" w:rsidR="00A40784" w:rsidRPr="00BC31E0" w:rsidRDefault="00A40784" w:rsidP="00A40784">
            <w:pPr>
              <w:jc w:val="center"/>
              <w:rPr>
                <w:szCs w:val="22"/>
              </w:rPr>
            </w:pPr>
            <w:r w:rsidRPr="00BC31E0">
              <w:rPr>
                <w:szCs w:val="22"/>
              </w:rPr>
              <w:t>材料の厚さ</w:t>
            </w:r>
          </w:p>
        </w:tc>
        <w:tc>
          <w:tcPr>
            <w:tcW w:w="3238" w:type="dxa"/>
            <w:tcBorders>
              <w:right w:val="nil"/>
            </w:tcBorders>
            <w:shd w:val="clear" w:color="auto" w:fill="auto"/>
            <w:vAlign w:val="center"/>
          </w:tcPr>
          <w:p w14:paraId="7E5D3205" w14:textId="77777777" w:rsidR="00A40784" w:rsidRPr="00BC31E0" w:rsidRDefault="00A40784" w:rsidP="00A40784">
            <w:pPr>
              <w:jc w:val="center"/>
              <w:rPr>
                <w:szCs w:val="22"/>
              </w:rPr>
            </w:pPr>
            <w:r w:rsidRPr="00BC31E0">
              <w:rPr>
                <w:szCs w:val="22"/>
              </w:rPr>
              <w:t>材料の厚さ</w:t>
            </w:r>
          </w:p>
        </w:tc>
      </w:tr>
      <w:tr w:rsidR="00A40784" w:rsidRPr="00BC31E0" w14:paraId="5AE7B586" w14:textId="77777777" w:rsidTr="004736F2">
        <w:tc>
          <w:tcPr>
            <w:tcW w:w="3142" w:type="dxa"/>
            <w:tcBorders>
              <w:left w:val="nil"/>
            </w:tcBorders>
            <w:shd w:val="clear" w:color="auto" w:fill="auto"/>
            <w:vAlign w:val="center"/>
          </w:tcPr>
          <w:p w14:paraId="4DD065E9" w14:textId="77777777" w:rsidR="00A40784" w:rsidRPr="00BC31E0" w:rsidRDefault="00A40784" w:rsidP="00A40784">
            <w:pPr>
              <w:ind w:firstLineChars="100" w:firstLine="210"/>
              <w:rPr>
                <w:szCs w:val="22"/>
              </w:rPr>
            </w:pPr>
            <w:r w:rsidRPr="00BC31E0">
              <w:rPr>
                <w:rFonts w:hint="eastAsia"/>
              </w:rPr>
              <w:t>R</w:t>
            </w:r>
            <w:r w:rsidRPr="00BC31E0">
              <w:rPr>
                <w:rFonts w:hint="eastAsia"/>
              </w:rPr>
              <w:t>，肩部の最小半径</w:t>
            </w:r>
          </w:p>
        </w:tc>
        <w:tc>
          <w:tcPr>
            <w:tcW w:w="3142" w:type="dxa"/>
            <w:shd w:val="clear" w:color="auto" w:fill="auto"/>
            <w:vAlign w:val="center"/>
          </w:tcPr>
          <w:p w14:paraId="4EE26A52" w14:textId="77777777" w:rsidR="00A40784" w:rsidRPr="00BC31E0" w:rsidRDefault="00A40784" w:rsidP="00A40784">
            <w:pPr>
              <w:jc w:val="center"/>
              <w:rPr>
                <w:szCs w:val="22"/>
              </w:rPr>
            </w:pPr>
            <w:r w:rsidRPr="00BC31E0">
              <w:rPr>
                <w:szCs w:val="22"/>
              </w:rPr>
              <w:t>12.5</w:t>
            </w:r>
          </w:p>
        </w:tc>
        <w:tc>
          <w:tcPr>
            <w:tcW w:w="3238" w:type="dxa"/>
            <w:tcBorders>
              <w:right w:val="nil"/>
            </w:tcBorders>
            <w:shd w:val="clear" w:color="auto" w:fill="auto"/>
            <w:vAlign w:val="center"/>
          </w:tcPr>
          <w:p w14:paraId="5F159AFD" w14:textId="77777777" w:rsidR="00A40784" w:rsidRPr="00BC31E0" w:rsidRDefault="00A40784" w:rsidP="00A40784">
            <w:pPr>
              <w:jc w:val="center"/>
              <w:rPr>
                <w:szCs w:val="22"/>
              </w:rPr>
            </w:pPr>
            <w:r w:rsidRPr="00BC31E0">
              <w:rPr>
                <w:szCs w:val="22"/>
              </w:rPr>
              <w:t>6</w:t>
            </w:r>
          </w:p>
        </w:tc>
      </w:tr>
      <w:tr w:rsidR="00A40784" w:rsidRPr="00BC31E0" w14:paraId="15BD6A58" w14:textId="77777777" w:rsidTr="004736F2">
        <w:tc>
          <w:tcPr>
            <w:tcW w:w="3142" w:type="dxa"/>
            <w:tcBorders>
              <w:left w:val="nil"/>
            </w:tcBorders>
            <w:shd w:val="clear" w:color="auto" w:fill="auto"/>
            <w:vAlign w:val="center"/>
          </w:tcPr>
          <w:p w14:paraId="062BB8D0" w14:textId="77777777" w:rsidR="00A40784" w:rsidRPr="00BC31E0" w:rsidRDefault="00A40784" w:rsidP="00A40784">
            <w:pPr>
              <w:ind w:firstLineChars="100" w:firstLine="210"/>
              <w:rPr>
                <w:szCs w:val="22"/>
              </w:rPr>
            </w:pPr>
            <w:r w:rsidRPr="00BC31E0">
              <w:rPr>
                <w:rFonts w:hint="eastAsia"/>
              </w:rPr>
              <w:t>L</w:t>
            </w:r>
            <w:r w:rsidRPr="00BC31E0">
              <w:rPr>
                <w:rFonts w:hint="eastAsia"/>
              </w:rPr>
              <w:t>，試験片の最小長さ</w:t>
            </w:r>
          </w:p>
        </w:tc>
        <w:tc>
          <w:tcPr>
            <w:tcW w:w="3142" w:type="dxa"/>
            <w:shd w:val="clear" w:color="auto" w:fill="auto"/>
            <w:vAlign w:val="center"/>
          </w:tcPr>
          <w:p w14:paraId="565DC2F3" w14:textId="77777777" w:rsidR="00A40784" w:rsidRPr="00BC31E0" w:rsidRDefault="00A40784" w:rsidP="00A40784">
            <w:pPr>
              <w:jc w:val="center"/>
              <w:rPr>
                <w:szCs w:val="22"/>
              </w:rPr>
            </w:pPr>
            <w:r w:rsidRPr="00BC31E0">
              <w:rPr>
                <w:szCs w:val="22"/>
              </w:rPr>
              <w:t>200</w:t>
            </w:r>
          </w:p>
        </w:tc>
        <w:tc>
          <w:tcPr>
            <w:tcW w:w="3238" w:type="dxa"/>
            <w:tcBorders>
              <w:right w:val="nil"/>
            </w:tcBorders>
            <w:shd w:val="clear" w:color="auto" w:fill="auto"/>
            <w:vAlign w:val="center"/>
          </w:tcPr>
          <w:p w14:paraId="660CD7BD" w14:textId="77777777" w:rsidR="00A40784" w:rsidRPr="00BC31E0" w:rsidRDefault="00A40784" w:rsidP="00A40784">
            <w:pPr>
              <w:jc w:val="center"/>
              <w:rPr>
                <w:szCs w:val="22"/>
              </w:rPr>
            </w:pPr>
            <w:r w:rsidRPr="00BC31E0">
              <w:rPr>
                <w:szCs w:val="22"/>
              </w:rPr>
              <w:t>100</w:t>
            </w:r>
          </w:p>
        </w:tc>
      </w:tr>
      <w:tr w:rsidR="00A40784" w:rsidRPr="00BC31E0" w14:paraId="41C760C8" w14:textId="77777777" w:rsidTr="004736F2">
        <w:tc>
          <w:tcPr>
            <w:tcW w:w="3142" w:type="dxa"/>
            <w:tcBorders>
              <w:left w:val="nil"/>
            </w:tcBorders>
            <w:shd w:val="clear" w:color="auto" w:fill="auto"/>
            <w:vAlign w:val="center"/>
          </w:tcPr>
          <w:p w14:paraId="1EA56F0A" w14:textId="77777777" w:rsidR="00A40784" w:rsidRPr="00BC31E0" w:rsidRDefault="00A40784" w:rsidP="00A40784">
            <w:pPr>
              <w:ind w:firstLineChars="100" w:firstLine="210"/>
              <w:rPr>
                <w:szCs w:val="22"/>
              </w:rPr>
            </w:pPr>
            <w:r w:rsidRPr="00BC31E0">
              <w:rPr>
                <w:szCs w:val="22"/>
              </w:rPr>
              <w:t>A</w:t>
            </w:r>
            <w:r w:rsidRPr="00BC31E0">
              <w:rPr>
                <w:rFonts w:hint="eastAsia"/>
              </w:rPr>
              <w:t>，平行部の最小長さ</w:t>
            </w:r>
          </w:p>
        </w:tc>
        <w:tc>
          <w:tcPr>
            <w:tcW w:w="3142" w:type="dxa"/>
            <w:shd w:val="clear" w:color="auto" w:fill="auto"/>
            <w:vAlign w:val="center"/>
          </w:tcPr>
          <w:p w14:paraId="4BA18788" w14:textId="77777777" w:rsidR="00A40784" w:rsidRPr="00BC31E0" w:rsidRDefault="00A40784" w:rsidP="00A40784">
            <w:pPr>
              <w:jc w:val="center"/>
              <w:rPr>
                <w:szCs w:val="22"/>
              </w:rPr>
            </w:pPr>
            <w:r w:rsidRPr="00BC31E0">
              <w:rPr>
                <w:szCs w:val="22"/>
              </w:rPr>
              <w:t>57</w:t>
            </w:r>
          </w:p>
        </w:tc>
        <w:tc>
          <w:tcPr>
            <w:tcW w:w="3238" w:type="dxa"/>
            <w:tcBorders>
              <w:right w:val="nil"/>
            </w:tcBorders>
            <w:shd w:val="clear" w:color="auto" w:fill="auto"/>
            <w:vAlign w:val="center"/>
          </w:tcPr>
          <w:p w14:paraId="0ED94F64" w14:textId="77777777" w:rsidR="00A40784" w:rsidRPr="00BC31E0" w:rsidRDefault="00A40784" w:rsidP="00A40784">
            <w:pPr>
              <w:jc w:val="center"/>
              <w:rPr>
                <w:szCs w:val="22"/>
              </w:rPr>
            </w:pPr>
            <w:r w:rsidRPr="00BC31E0">
              <w:rPr>
                <w:szCs w:val="22"/>
              </w:rPr>
              <w:t>32</w:t>
            </w:r>
          </w:p>
        </w:tc>
      </w:tr>
      <w:tr w:rsidR="00A40784" w:rsidRPr="00BC31E0" w14:paraId="6AA623EA" w14:textId="77777777" w:rsidTr="004736F2">
        <w:tc>
          <w:tcPr>
            <w:tcW w:w="3142" w:type="dxa"/>
            <w:tcBorders>
              <w:left w:val="nil"/>
            </w:tcBorders>
            <w:shd w:val="clear" w:color="auto" w:fill="auto"/>
            <w:vAlign w:val="center"/>
          </w:tcPr>
          <w:p w14:paraId="18D8AE01" w14:textId="77777777" w:rsidR="00A40784" w:rsidRPr="00BC31E0" w:rsidRDefault="00A40784" w:rsidP="00A40784">
            <w:pPr>
              <w:ind w:firstLineChars="100" w:firstLine="210"/>
              <w:rPr>
                <w:szCs w:val="22"/>
              </w:rPr>
            </w:pPr>
            <w:r w:rsidRPr="00BC31E0">
              <w:rPr>
                <w:szCs w:val="22"/>
              </w:rPr>
              <w:t>B</w:t>
            </w:r>
            <w:r w:rsidRPr="00BC31E0">
              <w:rPr>
                <w:rFonts w:hint="eastAsia"/>
              </w:rPr>
              <w:t>，つかみ部の最小長さ</w:t>
            </w:r>
          </w:p>
        </w:tc>
        <w:tc>
          <w:tcPr>
            <w:tcW w:w="3142" w:type="dxa"/>
            <w:shd w:val="clear" w:color="auto" w:fill="auto"/>
            <w:vAlign w:val="center"/>
          </w:tcPr>
          <w:p w14:paraId="4B980B91" w14:textId="77777777" w:rsidR="00A40784" w:rsidRPr="00BC31E0" w:rsidRDefault="00A40784" w:rsidP="00A40784">
            <w:pPr>
              <w:jc w:val="center"/>
              <w:rPr>
                <w:szCs w:val="22"/>
              </w:rPr>
            </w:pPr>
            <w:r w:rsidRPr="00BC31E0">
              <w:rPr>
                <w:szCs w:val="22"/>
              </w:rPr>
              <w:t>50</w:t>
            </w:r>
          </w:p>
        </w:tc>
        <w:tc>
          <w:tcPr>
            <w:tcW w:w="3238" w:type="dxa"/>
            <w:tcBorders>
              <w:right w:val="nil"/>
            </w:tcBorders>
            <w:shd w:val="clear" w:color="auto" w:fill="auto"/>
            <w:vAlign w:val="center"/>
          </w:tcPr>
          <w:p w14:paraId="2300A427" w14:textId="77777777" w:rsidR="00A40784" w:rsidRPr="00BC31E0" w:rsidRDefault="00A40784" w:rsidP="00A40784">
            <w:pPr>
              <w:jc w:val="center"/>
              <w:rPr>
                <w:szCs w:val="22"/>
              </w:rPr>
            </w:pPr>
            <w:r w:rsidRPr="00BC31E0">
              <w:rPr>
                <w:szCs w:val="22"/>
              </w:rPr>
              <w:t>30</w:t>
            </w:r>
          </w:p>
        </w:tc>
      </w:tr>
      <w:tr w:rsidR="00A40784" w:rsidRPr="00BC31E0" w14:paraId="419F9271" w14:textId="77777777" w:rsidTr="004736F2">
        <w:tc>
          <w:tcPr>
            <w:tcW w:w="3142" w:type="dxa"/>
            <w:tcBorders>
              <w:left w:val="nil"/>
            </w:tcBorders>
            <w:shd w:val="clear" w:color="auto" w:fill="auto"/>
            <w:vAlign w:val="center"/>
          </w:tcPr>
          <w:p w14:paraId="02BCA73F" w14:textId="77777777" w:rsidR="00A40784" w:rsidRPr="00BC31E0" w:rsidRDefault="00A40784" w:rsidP="00A40784">
            <w:pPr>
              <w:ind w:firstLineChars="100" w:firstLine="210"/>
              <w:rPr>
                <w:szCs w:val="22"/>
              </w:rPr>
            </w:pPr>
            <w:r w:rsidRPr="00BC31E0">
              <w:rPr>
                <w:szCs w:val="22"/>
              </w:rPr>
              <w:t>C</w:t>
            </w:r>
            <w:r w:rsidRPr="00BC31E0">
              <w:rPr>
                <w:rFonts w:hint="eastAsia"/>
              </w:rPr>
              <w:t>，つかみ部の幅</w:t>
            </w:r>
          </w:p>
        </w:tc>
        <w:tc>
          <w:tcPr>
            <w:tcW w:w="3142" w:type="dxa"/>
            <w:shd w:val="clear" w:color="auto" w:fill="auto"/>
            <w:vAlign w:val="center"/>
          </w:tcPr>
          <w:p w14:paraId="1A68CA32" w14:textId="77777777" w:rsidR="00A40784" w:rsidRPr="00BC31E0" w:rsidRDefault="00A40784" w:rsidP="00A40784">
            <w:pPr>
              <w:jc w:val="center"/>
              <w:rPr>
                <w:szCs w:val="22"/>
              </w:rPr>
            </w:pPr>
            <w:r w:rsidRPr="00BC31E0">
              <w:rPr>
                <w:szCs w:val="22"/>
              </w:rPr>
              <w:t>20</w:t>
            </w:r>
          </w:p>
        </w:tc>
        <w:tc>
          <w:tcPr>
            <w:tcW w:w="3238" w:type="dxa"/>
            <w:tcBorders>
              <w:right w:val="nil"/>
            </w:tcBorders>
            <w:shd w:val="clear" w:color="auto" w:fill="auto"/>
            <w:vAlign w:val="center"/>
          </w:tcPr>
          <w:p w14:paraId="41219D62" w14:textId="77777777" w:rsidR="00A40784" w:rsidRPr="00BC31E0" w:rsidRDefault="00A40784" w:rsidP="00A40784">
            <w:pPr>
              <w:jc w:val="center"/>
              <w:rPr>
                <w:szCs w:val="22"/>
              </w:rPr>
            </w:pPr>
            <w:r w:rsidRPr="00BC31E0">
              <w:rPr>
                <w:szCs w:val="22"/>
              </w:rPr>
              <w:t>10</w:t>
            </w:r>
          </w:p>
        </w:tc>
      </w:tr>
    </w:tbl>
    <w:p w14:paraId="21C1CABA" w14:textId="77777777" w:rsidR="00A40784" w:rsidRPr="00BC31E0" w:rsidRDefault="00A40784" w:rsidP="00AC573E">
      <w:pPr>
        <w:spacing w:before="60"/>
        <w:ind w:left="843" w:hangingChars="400" w:hanging="843"/>
        <w:jc w:val="left"/>
        <w:rPr>
          <w:rFonts w:ascii="Times New Roman" w:hAnsi="Times New Roman"/>
          <w:szCs w:val="22"/>
        </w:rPr>
      </w:pPr>
      <w:r w:rsidRPr="00BC31E0">
        <w:rPr>
          <w:rFonts w:ascii="ＭＳ ゴシック" w:eastAsia="ＭＳ ゴシック" w:hAnsi="ＭＳ ゴシック" w:hint="eastAsia"/>
          <w:b/>
          <w:szCs w:val="22"/>
        </w:rPr>
        <w:t>注記1</w:t>
      </w:r>
      <w:r w:rsidRPr="00BC31E0">
        <w:rPr>
          <w:rFonts w:ascii="Times New Roman" w:hAnsi="Times New Roman" w:hint="eastAsia"/>
          <w:szCs w:val="22"/>
        </w:rPr>
        <w:t xml:space="preserve">　平</w:t>
      </w:r>
      <w:r w:rsidRPr="00BC31E0">
        <w:rPr>
          <w:rFonts w:asciiTheme="minorHAnsi" w:eastAsiaTheme="minorEastAsia" w:hAnsiTheme="minorEastAsia"/>
          <w:szCs w:val="22"/>
        </w:rPr>
        <w:t>行部の両端の幅の差は</w:t>
      </w:r>
      <w:r w:rsidRPr="00BC31E0">
        <w:rPr>
          <w:rFonts w:asciiTheme="minorHAnsi" w:eastAsiaTheme="minorEastAsia" w:hAnsiTheme="minorEastAsia"/>
        </w:rPr>
        <w:t>，</w:t>
      </w:r>
      <w:r w:rsidRPr="00BC31E0">
        <w:rPr>
          <w:rFonts w:asciiTheme="minorHAnsi" w:eastAsiaTheme="minorEastAsia" w:hAnsiTheme="minorEastAsia"/>
          <w:szCs w:val="22"/>
        </w:rPr>
        <w:t>標準試験片の場合は</w:t>
      </w:r>
      <w:r w:rsidRPr="00BC31E0">
        <w:rPr>
          <w:rFonts w:asciiTheme="minorHAnsi" w:eastAsiaTheme="minorEastAsia" w:hAnsiTheme="minorHAnsi"/>
          <w:szCs w:val="22"/>
        </w:rPr>
        <w:t>0.06mm</w:t>
      </w:r>
      <w:r w:rsidRPr="00BC31E0">
        <w:rPr>
          <w:rFonts w:asciiTheme="minorHAnsi" w:eastAsiaTheme="minorEastAsia" w:hAnsiTheme="minorEastAsia"/>
          <w:szCs w:val="22"/>
        </w:rPr>
        <w:t>以下</w:t>
      </w:r>
      <w:r w:rsidRPr="00BC31E0">
        <w:rPr>
          <w:rFonts w:asciiTheme="minorHAnsi" w:eastAsiaTheme="minorEastAsia" w:hAnsiTheme="minorEastAsia"/>
        </w:rPr>
        <w:t>，サブサイズ試験片の</w:t>
      </w:r>
      <w:r w:rsidRPr="00BC31E0">
        <w:rPr>
          <w:rFonts w:asciiTheme="minorHAnsi" w:eastAsiaTheme="minorEastAsia" w:hAnsiTheme="minorHAnsi"/>
          <w:szCs w:val="22"/>
        </w:rPr>
        <w:t>0.025mm</w:t>
      </w:r>
      <w:r w:rsidRPr="00BC31E0">
        <w:rPr>
          <w:rFonts w:asciiTheme="minorHAnsi" w:eastAsiaTheme="minorEastAsia" w:hAnsiTheme="minorEastAsia"/>
          <w:szCs w:val="22"/>
        </w:rPr>
        <w:t>以下とし</w:t>
      </w:r>
      <w:r w:rsidRPr="00BC31E0">
        <w:rPr>
          <w:rFonts w:asciiTheme="minorHAnsi" w:eastAsiaTheme="minorEastAsia" w:hAnsiTheme="minorEastAsia"/>
        </w:rPr>
        <w:t>，</w:t>
      </w:r>
      <w:r w:rsidRPr="00BC31E0">
        <w:rPr>
          <w:rFonts w:asciiTheme="minorHAnsi" w:eastAsiaTheme="minorEastAsia" w:hAnsiTheme="minorEastAsia"/>
          <w:szCs w:val="22"/>
        </w:rPr>
        <w:t>平行部の両端の幅は</w:t>
      </w:r>
      <w:r w:rsidRPr="00BC31E0">
        <w:rPr>
          <w:rFonts w:asciiTheme="minorHAnsi" w:eastAsiaTheme="minorEastAsia" w:hAnsiTheme="minorEastAsia"/>
        </w:rPr>
        <w:t>，</w:t>
      </w:r>
      <w:r w:rsidRPr="00BC31E0">
        <w:rPr>
          <w:rFonts w:asciiTheme="minorHAnsi" w:eastAsiaTheme="minorEastAsia" w:hAnsiTheme="minorEastAsia"/>
          <w:szCs w:val="22"/>
        </w:rPr>
        <w:t>中央部の幅の</w:t>
      </w:r>
      <w:r w:rsidRPr="00BC31E0">
        <w:rPr>
          <w:rFonts w:asciiTheme="minorHAnsi" w:eastAsiaTheme="minorEastAsia" w:hAnsiTheme="minorHAnsi"/>
          <w:szCs w:val="22"/>
        </w:rPr>
        <w:t>1%</w:t>
      </w:r>
      <w:r w:rsidRPr="00BC31E0">
        <w:rPr>
          <w:rFonts w:asciiTheme="minorHAnsi" w:eastAsiaTheme="minorEastAsia" w:hAnsiTheme="minorEastAsia"/>
          <w:szCs w:val="22"/>
        </w:rPr>
        <w:t>以下とする。</w:t>
      </w:r>
    </w:p>
    <w:p w14:paraId="228AF499" w14:textId="77777777" w:rsidR="00A40784" w:rsidRPr="00BC31E0" w:rsidRDefault="00A40784" w:rsidP="00A40784">
      <w:pPr>
        <w:ind w:left="843" w:hangingChars="400" w:hanging="843"/>
        <w:jc w:val="left"/>
        <w:rPr>
          <w:rFonts w:ascii="Times New Roman" w:hAnsi="Times New Roman"/>
          <w:szCs w:val="22"/>
        </w:rPr>
      </w:pPr>
      <w:r w:rsidRPr="00BC31E0">
        <w:rPr>
          <w:rFonts w:ascii="ＭＳ ゴシック" w:eastAsia="ＭＳ ゴシック" w:hAnsi="ＭＳ ゴシック" w:hint="eastAsia"/>
          <w:b/>
          <w:szCs w:val="22"/>
        </w:rPr>
        <w:t>注記2</w:t>
      </w:r>
      <w:r w:rsidRPr="00BC31E0">
        <w:rPr>
          <w:rFonts w:ascii="Times New Roman" w:hAnsi="Times New Roman" w:hint="eastAsia"/>
          <w:szCs w:val="22"/>
        </w:rPr>
        <w:t xml:space="preserve">　</w:t>
      </w:r>
      <w:r w:rsidRPr="00BC31E0">
        <w:rPr>
          <w:rFonts w:asciiTheme="minorHAnsi" w:eastAsiaTheme="minorEastAsia" w:hAnsiTheme="minorEastAsia"/>
          <w:szCs w:val="22"/>
        </w:rPr>
        <w:t>各試験片について</w:t>
      </w:r>
      <w:r w:rsidRPr="00BC31E0">
        <w:rPr>
          <w:rFonts w:asciiTheme="minorHAnsi" w:eastAsiaTheme="minorEastAsia" w:hAnsiTheme="minorEastAsia"/>
        </w:rPr>
        <w:t>，</w:t>
      </w:r>
      <w:r w:rsidRPr="00BC31E0">
        <w:rPr>
          <w:rFonts w:asciiTheme="minorHAnsi" w:eastAsiaTheme="minorEastAsia" w:hAnsiTheme="minorEastAsia"/>
          <w:szCs w:val="22"/>
        </w:rPr>
        <w:t>必要に応じてより狭い幅</w:t>
      </w:r>
      <w:r w:rsidR="007157BB" w:rsidRPr="00BC31E0">
        <w:rPr>
          <w:rFonts w:asciiTheme="minorHAnsi" w:eastAsiaTheme="minorEastAsia" w:hAnsiTheme="minorEastAsia" w:hint="eastAsia"/>
          <w:szCs w:val="22"/>
        </w:rPr>
        <w:t>(</w:t>
      </w:r>
      <w:r w:rsidRPr="00BC31E0">
        <w:rPr>
          <w:rFonts w:asciiTheme="minorHAnsi" w:eastAsiaTheme="minorEastAsia" w:hAnsiTheme="minorHAnsi"/>
          <w:szCs w:val="22"/>
        </w:rPr>
        <w:t>W</w:t>
      </w:r>
      <w:r w:rsidR="007157BB" w:rsidRPr="00BC31E0">
        <w:rPr>
          <w:rFonts w:asciiTheme="minorHAnsi" w:eastAsiaTheme="minorEastAsia" w:hAnsiTheme="minorEastAsia" w:hint="eastAsia"/>
          <w:szCs w:val="22"/>
        </w:rPr>
        <w:t>及</w:t>
      </w:r>
      <w:r w:rsidRPr="00BC31E0">
        <w:rPr>
          <w:rFonts w:asciiTheme="minorHAnsi" w:eastAsiaTheme="minorEastAsia" w:hAnsiTheme="minorEastAsia"/>
          <w:szCs w:val="22"/>
        </w:rPr>
        <w:t>び</w:t>
      </w:r>
      <w:r w:rsidRPr="00BC31E0">
        <w:rPr>
          <w:rFonts w:asciiTheme="minorHAnsi" w:eastAsiaTheme="minorEastAsia" w:hAnsiTheme="minorHAnsi"/>
          <w:szCs w:val="22"/>
        </w:rPr>
        <w:t>C</w:t>
      </w:r>
      <w:r w:rsidR="007157BB" w:rsidRPr="00BC31E0">
        <w:rPr>
          <w:rFonts w:asciiTheme="minorHAnsi" w:eastAsiaTheme="minorEastAsia" w:hAnsiTheme="minorHAnsi" w:hint="eastAsia"/>
          <w:szCs w:val="22"/>
        </w:rPr>
        <w:t>)</w:t>
      </w:r>
      <w:r w:rsidRPr="00BC31E0">
        <w:rPr>
          <w:rFonts w:asciiTheme="minorHAnsi" w:eastAsiaTheme="minorEastAsia" w:hAnsiTheme="minorEastAsia"/>
          <w:szCs w:val="22"/>
        </w:rPr>
        <w:t>を使用</w:t>
      </w:r>
      <w:r w:rsidR="00CB0A3D" w:rsidRPr="00BC31E0">
        <w:rPr>
          <w:rFonts w:asciiTheme="minorHAnsi" w:eastAsiaTheme="minorEastAsia" w:hAnsiTheme="minorEastAsia" w:hint="eastAsia"/>
          <w:szCs w:val="22"/>
        </w:rPr>
        <w:t>してもよい</w:t>
      </w:r>
      <w:r w:rsidRPr="00BC31E0">
        <w:rPr>
          <w:rFonts w:asciiTheme="minorHAnsi" w:eastAsiaTheme="minorEastAsia" w:hAnsiTheme="minorEastAsia"/>
          <w:szCs w:val="22"/>
        </w:rPr>
        <w:t>。このような場合</w:t>
      </w:r>
      <w:r w:rsidRPr="00BC31E0">
        <w:rPr>
          <w:rFonts w:asciiTheme="minorHAnsi" w:eastAsiaTheme="minorEastAsia" w:hAnsiTheme="minorEastAsia"/>
        </w:rPr>
        <w:t>，</w:t>
      </w:r>
      <w:r w:rsidRPr="00BC31E0">
        <w:rPr>
          <w:rFonts w:asciiTheme="minorHAnsi" w:eastAsiaTheme="minorEastAsia" w:hAnsiTheme="minorEastAsia"/>
          <w:szCs w:val="22"/>
        </w:rPr>
        <w:t>平行部の幅は</w:t>
      </w:r>
      <w:r w:rsidRPr="00BC31E0">
        <w:rPr>
          <w:rFonts w:asciiTheme="minorHAnsi" w:eastAsiaTheme="minorEastAsia" w:hAnsiTheme="minorEastAsia"/>
        </w:rPr>
        <w:t>，</w:t>
      </w:r>
      <w:r w:rsidRPr="00BC31E0">
        <w:rPr>
          <w:rFonts w:asciiTheme="minorHAnsi" w:eastAsiaTheme="minorEastAsia" w:hAnsiTheme="minorEastAsia"/>
          <w:szCs w:val="22"/>
        </w:rPr>
        <w:t>試験する材料の幅が許す限り大きくする必要がある。ただし</w:t>
      </w:r>
      <w:r w:rsidRPr="00BC31E0">
        <w:rPr>
          <w:rFonts w:asciiTheme="minorHAnsi" w:eastAsiaTheme="minorEastAsia" w:hAnsiTheme="minorEastAsia"/>
        </w:rPr>
        <w:t>，</w:t>
      </w:r>
      <w:r w:rsidRPr="00BC31E0">
        <w:rPr>
          <w:rFonts w:asciiTheme="minorHAnsi" w:eastAsiaTheme="minorEastAsia" w:hAnsiTheme="minorEastAsia"/>
          <w:szCs w:val="22"/>
        </w:rPr>
        <w:t>特に明記しない限り</w:t>
      </w:r>
      <w:r w:rsidRPr="00BC31E0">
        <w:rPr>
          <w:rFonts w:asciiTheme="minorHAnsi" w:eastAsiaTheme="minorEastAsia" w:hAnsiTheme="minorEastAsia"/>
        </w:rPr>
        <w:t>，</w:t>
      </w:r>
      <w:r w:rsidRPr="00BC31E0">
        <w:rPr>
          <w:rFonts w:asciiTheme="minorHAnsi" w:eastAsiaTheme="minorEastAsia" w:hAnsiTheme="minorEastAsia"/>
          <w:szCs w:val="22"/>
        </w:rPr>
        <w:t>これらの狭い試験片を使用する場合は</w:t>
      </w:r>
      <w:r w:rsidRPr="00BC31E0">
        <w:rPr>
          <w:rFonts w:asciiTheme="minorHAnsi" w:eastAsiaTheme="minorEastAsia" w:hAnsiTheme="minorEastAsia"/>
        </w:rPr>
        <w:t>，</w:t>
      </w:r>
      <w:r w:rsidRPr="00BC31E0">
        <w:rPr>
          <w:rFonts w:asciiTheme="minorHAnsi" w:eastAsiaTheme="minorEastAsia" w:hAnsiTheme="minorEastAsia"/>
          <w:szCs w:val="22"/>
        </w:rPr>
        <w:t>製品仕様の伸び要件は適用しない。材料の幅が</w:t>
      </w:r>
      <w:r w:rsidRPr="00BC31E0">
        <w:rPr>
          <w:rFonts w:asciiTheme="minorHAnsi" w:eastAsiaTheme="minorEastAsia" w:hAnsiTheme="minorHAnsi"/>
          <w:szCs w:val="22"/>
        </w:rPr>
        <w:t>W</w:t>
      </w:r>
      <w:r w:rsidRPr="00BC31E0">
        <w:rPr>
          <w:rFonts w:asciiTheme="minorHAnsi" w:eastAsiaTheme="minorEastAsia" w:hAnsiTheme="minorEastAsia"/>
          <w:szCs w:val="22"/>
        </w:rPr>
        <w:t>未満の場合</w:t>
      </w:r>
      <w:r w:rsidRPr="00BC31E0">
        <w:rPr>
          <w:rFonts w:asciiTheme="minorHAnsi" w:eastAsiaTheme="minorEastAsia" w:hAnsiTheme="minorEastAsia"/>
        </w:rPr>
        <w:t>，</w:t>
      </w:r>
      <w:r w:rsidRPr="00BC31E0">
        <w:rPr>
          <w:rFonts w:asciiTheme="minorHAnsi" w:eastAsiaTheme="minorEastAsia" w:hAnsiTheme="minorEastAsia"/>
          <w:szCs w:val="22"/>
        </w:rPr>
        <w:t>側面は試験片の長さ全体にわたって平行でもよい。</w:t>
      </w:r>
    </w:p>
    <w:p w14:paraId="47D65FCF" w14:textId="77777777" w:rsidR="00A40784" w:rsidRPr="00BC31E0" w:rsidRDefault="00A40784" w:rsidP="00A40784">
      <w:pPr>
        <w:ind w:left="843" w:hangingChars="400" w:hanging="843"/>
        <w:jc w:val="left"/>
        <w:rPr>
          <w:rFonts w:ascii="Times New Roman" w:hAnsi="Times New Roman"/>
          <w:szCs w:val="22"/>
        </w:rPr>
      </w:pPr>
      <w:r w:rsidRPr="00BC31E0">
        <w:rPr>
          <w:rFonts w:ascii="ＭＳ ゴシック" w:eastAsia="ＭＳ ゴシック" w:hAnsi="ＭＳ ゴシック" w:hint="eastAsia"/>
          <w:b/>
          <w:szCs w:val="22"/>
        </w:rPr>
        <w:t>注記3</w:t>
      </w:r>
      <w:r w:rsidRPr="00BC31E0">
        <w:rPr>
          <w:rFonts w:ascii="Times New Roman" w:hAnsi="Times New Roman" w:hint="eastAsia"/>
          <w:szCs w:val="22"/>
        </w:rPr>
        <w:t xml:space="preserve">　寸法</w:t>
      </w:r>
      <w:r w:rsidRPr="00BC31E0">
        <w:rPr>
          <w:rFonts w:ascii="Times New Roman" w:hAnsi="Times New Roman" w:hint="eastAsia"/>
          <w:szCs w:val="22"/>
        </w:rPr>
        <w:t>T</w:t>
      </w:r>
      <w:r w:rsidRPr="00BC31E0">
        <w:rPr>
          <w:rFonts w:ascii="Times New Roman" w:hAnsi="Times New Roman" w:hint="eastAsia"/>
          <w:szCs w:val="22"/>
        </w:rPr>
        <w:t>は</w:t>
      </w:r>
      <w:r w:rsidRPr="00BC31E0">
        <w:rPr>
          <w:rFonts w:hint="eastAsia"/>
        </w:rPr>
        <w:t>，</w:t>
      </w:r>
      <w:r w:rsidRPr="00BC31E0">
        <w:rPr>
          <w:rFonts w:ascii="Times New Roman" w:hAnsi="Times New Roman" w:hint="eastAsia"/>
          <w:szCs w:val="22"/>
        </w:rPr>
        <w:t>該</w:t>
      </w:r>
      <w:r w:rsidRPr="00BC31E0">
        <w:rPr>
          <w:rFonts w:asciiTheme="minorHAnsi" w:eastAsiaTheme="minorEastAsia" w:hAnsiTheme="minorEastAsia"/>
          <w:szCs w:val="22"/>
        </w:rPr>
        <w:t>当する材料仕様に記載されている試験片の厚さとする。標準試験片の最大公称厚さは</w:t>
      </w:r>
      <w:r w:rsidRPr="00BC31E0">
        <w:rPr>
          <w:rFonts w:asciiTheme="minorHAnsi" w:eastAsiaTheme="minorEastAsia" w:hAnsiTheme="minorHAnsi"/>
          <w:szCs w:val="22"/>
        </w:rPr>
        <w:t>12.5mm</w:t>
      </w:r>
      <w:r w:rsidRPr="00BC31E0">
        <w:rPr>
          <w:rFonts w:asciiTheme="minorHAnsi" w:eastAsiaTheme="minorEastAsia" w:hAnsiTheme="minorEastAsia"/>
          <w:szCs w:val="22"/>
        </w:rPr>
        <w:t>とし</w:t>
      </w:r>
      <w:r w:rsidRPr="00BC31E0">
        <w:rPr>
          <w:rFonts w:asciiTheme="minorHAnsi" w:eastAsiaTheme="minorEastAsia" w:hAnsiTheme="minorEastAsia"/>
        </w:rPr>
        <w:t>，</w:t>
      </w:r>
      <w:r w:rsidRPr="00BC31E0">
        <w:rPr>
          <w:rFonts w:asciiTheme="minorHAnsi" w:eastAsiaTheme="minorEastAsia" w:hAnsiTheme="minorEastAsia"/>
          <w:szCs w:val="22"/>
        </w:rPr>
        <w:t>サブサイズ試験片の最大公称厚さは</w:t>
      </w:r>
      <w:r w:rsidRPr="00BC31E0">
        <w:rPr>
          <w:rFonts w:asciiTheme="minorHAnsi" w:eastAsiaTheme="minorEastAsia" w:hAnsiTheme="minorHAnsi"/>
          <w:szCs w:val="22"/>
        </w:rPr>
        <w:t>6mm</w:t>
      </w:r>
      <w:r w:rsidRPr="00BC31E0">
        <w:rPr>
          <w:rFonts w:asciiTheme="minorHAnsi" w:eastAsiaTheme="minorEastAsia" w:hAnsiTheme="minorEastAsia"/>
          <w:szCs w:val="22"/>
        </w:rPr>
        <w:t>とする。</w:t>
      </w:r>
    </w:p>
    <w:p w14:paraId="062653F5" w14:textId="77777777" w:rsidR="00A40784" w:rsidRPr="00BC31E0" w:rsidRDefault="00A40784" w:rsidP="00A40784">
      <w:pPr>
        <w:ind w:left="843" w:hangingChars="400" w:hanging="843"/>
        <w:jc w:val="left"/>
        <w:rPr>
          <w:rFonts w:asciiTheme="minorHAnsi" w:eastAsiaTheme="minorEastAsia" w:hAnsiTheme="minorHAnsi"/>
          <w:szCs w:val="22"/>
        </w:rPr>
      </w:pPr>
      <w:r w:rsidRPr="00BC31E0">
        <w:rPr>
          <w:rFonts w:ascii="ＭＳ ゴシック" w:eastAsia="ＭＳ ゴシック" w:hAnsi="ＭＳ ゴシック" w:hint="eastAsia"/>
          <w:b/>
          <w:szCs w:val="22"/>
        </w:rPr>
        <w:t>注記4</w:t>
      </w:r>
      <w:r w:rsidRPr="00BC31E0">
        <w:rPr>
          <w:rFonts w:ascii="Times New Roman" w:hAnsi="Times New Roman" w:hint="eastAsia"/>
          <w:szCs w:val="22"/>
        </w:rPr>
        <w:t xml:space="preserve">　</w:t>
      </w:r>
      <w:r w:rsidRPr="00BC31E0">
        <w:rPr>
          <w:rFonts w:asciiTheme="minorHAnsi" w:eastAsiaTheme="minorEastAsia" w:hAnsiTheme="minorEastAsia"/>
          <w:szCs w:val="22"/>
        </w:rPr>
        <w:t>サブサイズ試験片において試験中に軸方向荷重を得るために</w:t>
      </w:r>
      <w:r w:rsidRPr="00BC31E0">
        <w:rPr>
          <w:rFonts w:asciiTheme="minorHAnsi" w:eastAsiaTheme="minorEastAsia" w:hAnsiTheme="minorEastAsia"/>
        </w:rPr>
        <w:t>，</w:t>
      </w:r>
      <w:r w:rsidRPr="00BC31E0">
        <w:rPr>
          <w:rFonts w:asciiTheme="minorHAnsi" w:eastAsiaTheme="minorEastAsia" w:hAnsiTheme="minorEastAsia"/>
          <w:szCs w:val="22"/>
        </w:rPr>
        <w:t>全長</w:t>
      </w:r>
      <w:r w:rsidRPr="00BC31E0">
        <w:rPr>
          <w:rFonts w:asciiTheme="minorHAnsi" w:eastAsiaTheme="minorEastAsia" w:hAnsiTheme="minorHAnsi"/>
          <w:szCs w:val="22"/>
        </w:rPr>
        <w:t>L</w:t>
      </w:r>
      <w:r w:rsidRPr="00BC31E0">
        <w:rPr>
          <w:rFonts w:asciiTheme="minorHAnsi" w:eastAsiaTheme="minorEastAsia" w:hAnsiTheme="minorEastAsia"/>
          <w:szCs w:val="22"/>
        </w:rPr>
        <w:t>は最大</w:t>
      </w:r>
      <w:r w:rsidRPr="00BC31E0">
        <w:rPr>
          <w:rFonts w:asciiTheme="minorHAnsi" w:eastAsiaTheme="minorEastAsia" w:hAnsiTheme="minorHAnsi"/>
          <w:szCs w:val="22"/>
        </w:rPr>
        <w:t>200mm</w:t>
      </w:r>
      <w:r w:rsidRPr="00BC31E0">
        <w:rPr>
          <w:rFonts w:asciiTheme="minorHAnsi" w:eastAsiaTheme="minorEastAsia" w:hAnsiTheme="minorEastAsia"/>
          <w:szCs w:val="22"/>
        </w:rPr>
        <w:t>として可能な限り大きくする。</w:t>
      </w:r>
    </w:p>
    <w:p w14:paraId="076F839F" w14:textId="77777777" w:rsidR="00A40784" w:rsidRPr="00BC31E0" w:rsidRDefault="00A40784" w:rsidP="00A40784">
      <w:pPr>
        <w:ind w:left="843" w:hangingChars="400" w:hanging="843"/>
        <w:jc w:val="left"/>
        <w:rPr>
          <w:rFonts w:ascii="Times New Roman" w:hAnsi="Times New Roman"/>
          <w:szCs w:val="22"/>
        </w:rPr>
      </w:pPr>
      <w:r w:rsidRPr="00BC31E0">
        <w:rPr>
          <w:rFonts w:ascii="ＭＳ ゴシック" w:eastAsia="ＭＳ ゴシック" w:hAnsi="ＭＳ ゴシック" w:hint="eastAsia"/>
          <w:b/>
          <w:szCs w:val="22"/>
        </w:rPr>
        <w:t>注記5</w:t>
      </w:r>
      <w:r w:rsidRPr="00BC31E0">
        <w:rPr>
          <w:rFonts w:ascii="Times New Roman" w:hAnsi="Times New Roman" w:hint="eastAsia"/>
          <w:szCs w:val="22"/>
        </w:rPr>
        <w:t xml:space="preserve">　</w:t>
      </w:r>
      <w:r w:rsidRPr="00BC31E0">
        <w:rPr>
          <w:rFonts w:asciiTheme="minorHAnsi" w:eastAsiaTheme="minorEastAsia" w:hAnsiTheme="minorEastAsia"/>
          <w:szCs w:val="22"/>
        </w:rPr>
        <w:t>可能であれば</w:t>
      </w:r>
      <w:r w:rsidRPr="00BC31E0">
        <w:rPr>
          <w:rFonts w:asciiTheme="minorHAnsi" w:eastAsiaTheme="minorEastAsia" w:hAnsiTheme="minorEastAsia"/>
        </w:rPr>
        <w:t>，</w:t>
      </w:r>
      <w:r w:rsidRPr="00BC31E0">
        <w:rPr>
          <w:rFonts w:asciiTheme="minorHAnsi" w:eastAsiaTheme="minorEastAsia" w:hAnsiTheme="minorEastAsia"/>
          <w:szCs w:val="22"/>
        </w:rPr>
        <w:t>つかみ部の長さを十分に大きくして</w:t>
      </w:r>
      <w:r w:rsidRPr="00BC31E0">
        <w:rPr>
          <w:rFonts w:asciiTheme="minorHAnsi" w:eastAsiaTheme="minorEastAsia" w:hAnsiTheme="minorEastAsia"/>
        </w:rPr>
        <w:t>，</w:t>
      </w:r>
      <w:r w:rsidRPr="00BC31E0">
        <w:rPr>
          <w:rFonts w:asciiTheme="minorHAnsi" w:eastAsiaTheme="minorEastAsia" w:hAnsiTheme="minorEastAsia"/>
          <w:szCs w:val="22"/>
        </w:rPr>
        <w:t>試験片を試験機グリップ部の長さの</w:t>
      </w:r>
      <w:r w:rsidRPr="00BC31E0">
        <w:rPr>
          <w:rFonts w:asciiTheme="minorHAnsi" w:eastAsiaTheme="minorEastAsia" w:hAnsiTheme="minorHAnsi"/>
          <w:szCs w:val="22"/>
        </w:rPr>
        <w:t>3</w:t>
      </w:r>
      <w:r w:rsidRPr="00BC31E0">
        <w:rPr>
          <w:rFonts w:asciiTheme="minorHAnsi" w:eastAsiaTheme="minorEastAsia" w:hAnsiTheme="minorEastAsia"/>
          <w:szCs w:val="22"/>
        </w:rPr>
        <w:t>分の</w:t>
      </w:r>
      <w:r w:rsidRPr="00BC31E0">
        <w:rPr>
          <w:rFonts w:asciiTheme="minorHAnsi" w:eastAsiaTheme="minorEastAsia" w:hAnsiTheme="minorHAnsi"/>
          <w:szCs w:val="22"/>
        </w:rPr>
        <w:t>2</w:t>
      </w:r>
      <w:r w:rsidRPr="00BC31E0">
        <w:rPr>
          <w:rFonts w:asciiTheme="minorHAnsi" w:eastAsiaTheme="minorEastAsia" w:hAnsiTheme="minorEastAsia"/>
          <w:szCs w:val="22"/>
        </w:rPr>
        <w:t>以上まで伸ばすことが望ましい。標準試験片の厚さが</w:t>
      </w:r>
      <w:r w:rsidRPr="00BC31E0">
        <w:rPr>
          <w:rFonts w:asciiTheme="minorHAnsi" w:eastAsiaTheme="minorEastAsia" w:hAnsiTheme="minorHAnsi"/>
          <w:szCs w:val="22"/>
        </w:rPr>
        <w:t>9mm</w:t>
      </w:r>
      <w:r w:rsidRPr="00BC31E0">
        <w:rPr>
          <w:rFonts w:asciiTheme="minorHAnsi" w:eastAsiaTheme="minorEastAsia" w:hAnsiTheme="minorEastAsia"/>
          <w:szCs w:val="22"/>
        </w:rPr>
        <w:t>を超える場合</w:t>
      </w:r>
      <w:r w:rsidRPr="00BC31E0">
        <w:rPr>
          <w:rFonts w:asciiTheme="minorHAnsi" w:eastAsiaTheme="minorEastAsia" w:hAnsiTheme="minorEastAsia"/>
        </w:rPr>
        <w:t>，つかみ部における破断を</w:t>
      </w:r>
      <w:r w:rsidRPr="00BC31E0">
        <w:rPr>
          <w:rFonts w:asciiTheme="minorHAnsi" w:eastAsiaTheme="minorEastAsia" w:hAnsiTheme="minorEastAsia"/>
          <w:szCs w:val="22"/>
        </w:rPr>
        <w:t>防ぐために</w:t>
      </w:r>
      <w:r w:rsidRPr="00BC31E0">
        <w:rPr>
          <w:rFonts w:asciiTheme="minorHAnsi" w:eastAsiaTheme="minorEastAsia" w:hAnsiTheme="minorEastAsia"/>
        </w:rPr>
        <w:t>，</w:t>
      </w:r>
      <w:r w:rsidRPr="00BC31E0">
        <w:rPr>
          <w:rFonts w:asciiTheme="minorHAnsi" w:eastAsiaTheme="minorEastAsia" w:hAnsiTheme="minorEastAsia"/>
          <w:szCs w:val="22"/>
        </w:rPr>
        <w:t>より長いつかみ部とそれに対応するより長いつかみ部断面が必要になる場合がある。</w:t>
      </w:r>
    </w:p>
    <w:p w14:paraId="5C192548" w14:textId="77777777" w:rsidR="00A40784" w:rsidRPr="00BC31E0" w:rsidRDefault="00A40784" w:rsidP="00A40784">
      <w:pPr>
        <w:ind w:left="843" w:hangingChars="400" w:hanging="843"/>
      </w:pPr>
      <w:r w:rsidRPr="00BC31E0">
        <w:rPr>
          <w:rFonts w:ascii="ＭＳ ゴシック" w:eastAsia="ＭＳ ゴシック" w:hAnsi="ＭＳ ゴシック" w:hint="eastAsia"/>
          <w:b/>
          <w:szCs w:val="22"/>
        </w:rPr>
        <w:t>注記6</w:t>
      </w:r>
      <w:r w:rsidRPr="00BC31E0">
        <w:rPr>
          <w:rFonts w:ascii="Times New Roman" w:hAnsi="Times New Roman" w:hint="eastAsia"/>
          <w:szCs w:val="22"/>
        </w:rPr>
        <w:t xml:space="preserve">　</w:t>
      </w:r>
      <w:r w:rsidRPr="00BC31E0">
        <w:rPr>
          <w:rFonts w:asciiTheme="minorHAnsi" w:eastAsiaTheme="minorEastAsia" w:hAnsiTheme="minorEastAsia"/>
          <w:szCs w:val="22"/>
        </w:rPr>
        <w:t>つかみ部と平行部の芯は</w:t>
      </w:r>
      <w:r w:rsidRPr="00BC31E0">
        <w:rPr>
          <w:rFonts w:asciiTheme="minorHAnsi" w:eastAsiaTheme="minorEastAsia" w:hAnsiTheme="minorEastAsia"/>
        </w:rPr>
        <w:t>，標準試験片の場合は</w:t>
      </w:r>
      <w:r w:rsidRPr="00BC31E0">
        <w:rPr>
          <w:rFonts w:asciiTheme="minorHAnsi" w:eastAsiaTheme="minorEastAsia" w:hAnsiTheme="minorHAnsi"/>
        </w:rPr>
        <w:t>0.2mm</w:t>
      </w:r>
      <w:r w:rsidRPr="00BC31E0">
        <w:rPr>
          <w:rFonts w:asciiTheme="minorHAnsi" w:eastAsiaTheme="minorEastAsia" w:hAnsiTheme="minorEastAsia"/>
        </w:rPr>
        <w:t>以内とし，サブサイズ試験片の場合は</w:t>
      </w:r>
      <w:r w:rsidRPr="00BC31E0">
        <w:rPr>
          <w:rFonts w:asciiTheme="minorHAnsi" w:eastAsiaTheme="minorEastAsia" w:hAnsiTheme="minorHAnsi"/>
        </w:rPr>
        <w:t>0.1mm</w:t>
      </w:r>
      <w:r w:rsidRPr="00BC31E0">
        <w:rPr>
          <w:rFonts w:asciiTheme="minorHAnsi" w:eastAsiaTheme="minorEastAsia" w:hAnsiTheme="minorEastAsia"/>
        </w:rPr>
        <w:t>以内とする。</w:t>
      </w:r>
    </w:p>
    <w:p w14:paraId="4BB80FAD" w14:textId="77777777" w:rsidR="00A40784" w:rsidRPr="00BC31E0" w:rsidRDefault="00A40784" w:rsidP="00A40784">
      <w:pPr>
        <w:rPr>
          <w:rFonts w:ascii="Times New Roman" w:hAnsi="Times New Roman"/>
          <w:szCs w:val="22"/>
        </w:rPr>
      </w:pPr>
    </w:p>
    <w:p w14:paraId="6F3E357D" w14:textId="77777777" w:rsidR="00A40784" w:rsidRPr="00BC31E0" w:rsidRDefault="00A40784" w:rsidP="00A40784">
      <w:pPr>
        <w:jc w:val="center"/>
        <w:rPr>
          <w:rFonts w:asciiTheme="minorHAnsi" w:eastAsiaTheme="majorEastAsia" w:hAnsiTheme="minorHAnsi"/>
          <w:b/>
          <w:szCs w:val="20"/>
        </w:rPr>
      </w:pPr>
      <w:r w:rsidRPr="00BC31E0">
        <w:rPr>
          <w:rFonts w:ascii="ＭＳ ゴシック" w:eastAsia="ＭＳ ゴシック" w:hAnsi="ＭＳ ゴシック" w:hint="eastAsia"/>
          <w:b/>
          <w:szCs w:val="20"/>
        </w:rPr>
        <w:t xml:space="preserve">図K.9　</w:t>
      </w:r>
      <w:r w:rsidRPr="00BC31E0">
        <w:rPr>
          <w:rFonts w:asciiTheme="minorHAnsi" w:eastAsiaTheme="majorEastAsia" w:hAnsiTheme="minorHAnsi"/>
          <w:b/>
          <w:szCs w:val="20"/>
        </w:rPr>
        <w:t>長方形平滑引張試験片</w:t>
      </w:r>
    </w:p>
    <w:p w14:paraId="4096EDDA" w14:textId="77777777" w:rsidR="00A40784" w:rsidRPr="00BC31E0" w:rsidRDefault="00A40784" w:rsidP="00A40784">
      <w:pPr>
        <w:ind w:left="420" w:hangingChars="200" w:hanging="420"/>
        <w:jc w:val="center"/>
        <w:rPr>
          <w:rFonts w:ascii="Times New Roman" w:hAnsi="Times New Roman"/>
          <w:szCs w:val="22"/>
        </w:rPr>
      </w:pPr>
      <w:r w:rsidRPr="00BC31E0">
        <w:rPr>
          <w:rFonts w:ascii="Times New Roman" w:hAnsi="Times New Roman" w:hint="eastAsia"/>
          <w:noProof/>
          <w:szCs w:val="22"/>
        </w:rPr>
        <w:lastRenderedPageBreak/>
        <w:drawing>
          <wp:inline distT="0" distB="0" distL="0" distR="0" wp14:anchorId="610AEA3D" wp14:editId="7AC90AEF">
            <wp:extent cx="5811120" cy="1457640"/>
            <wp:effectExtent l="0" t="0" r="0" b="9525"/>
            <wp:docPr id="1537" name="図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98E071.tmp"/>
                    <pic:cNvPicPr/>
                  </pic:nvPicPr>
                  <pic:blipFill rotWithShape="1">
                    <a:blip r:embed="rId179" cstate="print">
                      <a:extLst>
                        <a:ext uri="{28A0092B-C50C-407E-A947-70E740481C1C}">
                          <a14:useLocalDpi xmlns:a14="http://schemas.microsoft.com/office/drawing/2010/main" val="0"/>
                        </a:ext>
                      </a:extLst>
                    </a:blip>
                    <a:srcRect/>
                    <a:stretch/>
                  </pic:blipFill>
                  <pic:spPr bwMode="auto">
                    <a:xfrm>
                      <a:off x="0" y="0"/>
                      <a:ext cx="5811120" cy="1457640"/>
                    </a:xfrm>
                    <a:prstGeom prst="rect">
                      <a:avLst/>
                    </a:prstGeom>
                    <a:ln>
                      <a:noFill/>
                    </a:ln>
                    <a:extLst>
                      <a:ext uri="{53640926-AAD7-44D8-BBD7-CCE9431645EC}">
                        <a14:shadowObscured xmlns:a14="http://schemas.microsoft.com/office/drawing/2010/main"/>
                      </a:ext>
                    </a:extLst>
                  </pic:spPr>
                </pic:pic>
              </a:graphicData>
            </a:graphic>
          </wp:inline>
        </w:drawing>
      </w:r>
    </w:p>
    <w:p w14:paraId="792F9E55" w14:textId="77777777" w:rsidR="00A40784" w:rsidRPr="00BC31E0" w:rsidRDefault="00A40784" w:rsidP="00A40784">
      <w:pPr>
        <w:ind w:left="420" w:hangingChars="200" w:hanging="420"/>
        <w:jc w:val="center"/>
        <w:rPr>
          <w:rFonts w:ascii="Times New Roman" w:hAnsi="Times New Roman"/>
          <w:szCs w:val="22"/>
        </w:rPr>
      </w:pPr>
    </w:p>
    <w:p w14:paraId="32DA106D" w14:textId="77777777" w:rsidR="00A40784" w:rsidRPr="00BC31E0" w:rsidRDefault="00A40784" w:rsidP="00A40784">
      <w:pPr>
        <w:ind w:left="420" w:hangingChars="200" w:hanging="420"/>
        <w:jc w:val="center"/>
        <w:rPr>
          <w:rFonts w:ascii="Times New Roman" w:hAnsi="Times New Roman"/>
          <w:szCs w:val="22"/>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5"/>
        <w:gridCol w:w="6481"/>
      </w:tblGrid>
      <w:tr w:rsidR="00A40784" w:rsidRPr="00BC31E0" w14:paraId="4D7A2474" w14:textId="77777777" w:rsidTr="004736F2">
        <w:trPr>
          <w:trHeight w:val="423"/>
        </w:trPr>
        <w:tc>
          <w:tcPr>
            <w:tcW w:w="2805" w:type="dxa"/>
            <w:tcBorders>
              <w:left w:val="nil"/>
            </w:tcBorders>
            <w:shd w:val="clear" w:color="auto" w:fill="auto"/>
            <w:vAlign w:val="center"/>
          </w:tcPr>
          <w:p w14:paraId="72B4EEA6" w14:textId="77777777" w:rsidR="00A40784" w:rsidRPr="00BC31E0" w:rsidRDefault="00A40784" w:rsidP="00A40784">
            <w:pPr>
              <w:jc w:val="center"/>
              <w:rPr>
                <w:szCs w:val="22"/>
              </w:rPr>
            </w:pPr>
          </w:p>
        </w:tc>
        <w:tc>
          <w:tcPr>
            <w:tcW w:w="6481" w:type="dxa"/>
            <w:tcBorders>
              <w:right w:val="nil"/>
            </w:tcBorders>
            <w:shd w:val="clear" w:color="auto" w:fill="auto"/>
            <w:vAlign w:val="center"/>
          </w:tcPr>
          <w:p w14:paraId="22345A55" w14:textId="77777777" w:rsidR="00A40784" w:rsidRPr="00BC31E0" w:rsidRDefault="00A40784" w:rsidP="00A40784">
            <w:pPr>
              <w:jc w:val="center"/>
              <w:rPr>
                <w:szCs w:val="22"/>
              </w:rPr>
            </w:pPr>
            <w:r w:rsidRPr="00BC31E0">
              <w:rPr>
                <w:szCs w:val="22"/>
              </w:rPr>
              <w:t>寸法</w:t>
            </w:r>
            <w:r w:rsidRPr="00BC31E0">
              <w:rPr>
                <w:szCs w:val="22"/>
              </w:rPr>
              <w:t>(mm)</w:t>
            </w:r>
          </w:p>
        </w:tc>
      </w:tr>
      <w:tr w:rsidR="00A40784" w:rsidRPr="00BC31E0" w14:paraId="35C0C50E" w14:textId="77777777" w:rsidTr="004736F2">
        <w:tc>
          <w:tcPr>
            <w:tcW w:w="2805" w:type="dxa"/>
            <w:tcBorders>
              <w:left w:val="nil"/>
            </w:tcBorders>
            <w:shd w:val="clear" w:color="auto" w:fill="auto"/>
            <w:vAlign w:val="center"/>
          </w:tcPr>
          <w:p w14:paraId="61D54B1C" w14:textId="77777777" w:rsidR="00A40784" w:rsidRPr="00BC31E0" w:rsidRDefault="00A40784" w:rsidP="00A40784">
            <w:pPr>
              <w:ind w:firstLineChars="100" w:firstLine="210"/>
              <w:rPr>
                <w:szCs w:val="22"/>
              </w:rPr>
            </w:pPr>
            <w:r w:rsidRPr="00BC31E0">
              <w:rPr>
                <w:szCs w:val="22"/>
              </w:rPr>
              <w:t>G</w:t>
            </w:r>
            <w:r w:rsidRPr="00BC31E0">
              <w:rPr>
                <w:rFonts w:hint="eastAsia"/>
              </w:rPr>
              <w:t>，試験片の原標点距離</w:t>
            </w:r>
          </w:p>
        </w:tc>
        <w:tc>
          <w:tcPr>
            <w:tcW w:w="6481" w:type="dxa"/>
            <w:tcBorders>
              <w:right w:val="nil"/>
            </w:tcBorders>
            <w:shd w:val="clear" w:color="auto" w:fill="auto"/>
            <w:vAlign w:val="center"/>
          </w:tcPr>
          <w:p w14:paraId="4EAF4A43" w14:textId="77777777" w:rsidR="00A40784" w:rsidRPr="00BC31E0" w:rsidRDefault="00A40784" w:rsidP="00A40784">
            <w:pPr>
              <w:jc w:val="center"/>
              <w:rPr>
                <w:szCs w:val="22"/>
              </w:rPr>
            </w:pPr>
            <w:r w:rsidRPr="00BC31E0">
              <w:rPr>
                <w:szCs w:val="22"/>
              </w:rPr>
              <w:t>62.50</w:t>
            </w:r>
            <w:r w:rsidRPr="00BC31E0">
              <w:rPr>
                <w:rFonts w:ascii="Cambria Math" w:hAnsi="Cambria Math"/>
                <w:szCs w:val="22"/>
              </w:rPr>
              <w:t>±</w:t>
            </w:r>
            <w:r w:rsidRPr="00BC31E0">
              <w:rPr>
                <w:szCs w:val="22"/>
              </w:rPr>
              <w:t>0.10</w:t>
            </w:r>
          </w:p>
        </w:tc>
      </w:tr>
      <w:tr w:rsidR="00A40784" w:rsidRPr="00BC31E0" w14:paraId="4C365775" w14:textId="77777777" w:rsidTr="004736F2">
        <w:tc>
          <w:tcPr>
            <w:tcW w:w="2805" w:type="dxa"/>
            <w:tcBorders>
              <w:left w:val="nil"/>
            </w:tcBorders>
            <w:shd w:val="clear" w:color="auto" w:fill="auto"/>
            <w:vAlign w:val="center"/>
          </w:tcPr>
          <w:p w14:paraId="3F548653" w14:textId="77777777" w:rsidR="00A40784" w:rsidRPr="00BC31E0" w:rsidRDefault="00A40784" w:rsidP="00A40784">
            <w:pPr>
              <w:ind w:firstLineChars="100" w:firstLine="210"/>
            </w:pPr>
            <w:r w:rsidRPr="00BC31E0">
              <w:rPr>
                <w:szCs w:val="22"/>
              </w:rPr>
              <w:t>D</w:t>
            </w:r>
            <w:r w:rsidRPr="00BC31E0">
              <w:rPr>
                <w:rFonts w:hint="eastAsia"/>
              </w:rPr>
              <w:t>，直径</w:t>
            </w:r>
          </w:p>
        </w:tc>
        <w:tc>
          <w:tcPr>
            <w:tcW w:w="6481" w:type="dxa"/>
            <w:tcBorders>
              <w:right w:val="nil"/>
            </w:tcBorders>
            <w:shd w:val="clear" w:color="auto" w:fill="auto"/>
            <w:vAlign w:val="center"/>
          </w:tcPr>
          <w:p w14:paraId="28B1E8A2" w14:textId="77777777" w:rsidR="00A40784" w:rsidRPr="00BC31E0" w:rsidRDefault="00A40784" w:rsidP="00A40784">
            <w:pPr>
              <w:jc w:val="center"/>
              <w:rPr>
                <w:szCs w:val="22"/>
              </w:rPr>
            </w:pPr>
            <w:r w:rsidRPr="00BC31E0">
              <w:rPr>
                <w:szCs w:val="22"/>
              </w:rPr>
              <w:t>12.50</w:t>
            </w:r>
            <w:r w:rsidRPr="00BC31E0">
              <w:rPr>
                <w:rFonts w:ascii="Cambria Math" w:hAnsi="Cambria Math"/>
                <w:szCs w:val="22"/>
              </w:rPr>
              <w:t>±</w:t>
            </w:r>
            <w:r w:rsidRPr="00BC31E0">
              <w:rPr>
                <w:szCs w:val="22"/>
              </w:rPr>
              <w:t>0.25</w:t>
            </w:r>
          </w:p>
        </w:tc>
      </w:tr>
      <w:tr w:rsidR="00A40784" w:rsidRPr="00BC31E0" w14:paraId="745A806B" w14:textId="77777777" w:rsidTr="004736F2">
        <w:tc>
          <w:tcPr>
            <w:tcW w:w="2805" w:type="dxa"/>
            <w:tcBorders>
              <w:left w:val="nil"/>
            </w:tcBorders>
            <w:shd w:val="clear" w:color="auto" w:fill="auto"/>
            <w:vAlign w:val="center"/>
          </w:tcPr>
          <w:p w14:paraId="5BC5FDB7" w14:textId="77777777" w:rsidR="00A40784" w:rsidRPr="00BC31E0" w:rsidRDefault="00A40784" w:rsidP="00A40784">
            <w:pPr>
              <w:ind w:firstLineChars="100" w:firstLine="210"/>
              <w:rPr>
                <w:szCs w:val="22"/>
              </w:rPr>
            </w:pPr>
            <w:r w:rsidRPr="00BC31E0">
              <w:rPr>
                <w:rFonts w:hint="eastAsia"/>
              </w:rPr>
              <w:t>R</w:t>
            </w:r>
            <w:r w:rsidRPr="00BC31E0">
              <w:rPr>
                <w:rFonts w:hint="eastAsia"/>
              </w:rPr>
              <w:t>，肩部の最小半径</w:t>
            </w:r>
          </w:p>
        </w:tc>
        <w:tc>
          <w:tcPr>
            <w:tcW w:w="6481" w:type="dxa"/>
            <w:tcBorders>
              <w:right w:val="nil"/>
            </w:tcBorders>
            <w:shd w:val="clear" w:color="auto" w:fill="auto"/>
            <w:vAlign w:val="center"/>
          </w:tcPr>
          <w:p w14:paraId="55A349FE" w14:textId="77777777" w:rsidR="00A40784" w:rsidRPr="00BC31E0" w:rsidRDefault="00A40784" w:rsidP="00A40784">
            <w:pPr>
              <w:jc w:val="center"/>
              <w:rPr>
                <w:szCs w:val="22"/>
              </w:rPr>
            </w:pPr>
            <w:r w:rsidRPr="00BC31E0">
              <w:rPr>
                <w:szCs w:val="22"/>
              </w:rPr>
              <w:t>9</w:t>
            </w:r>
          </w:p>
        </w:tc>
      </w:tr>
      <w:tr w:rsidR="00A40784" w:rsidRPr="00BC31E0" w14:paraId="2D864DE1" w14:textId="77777777" w:rsidTr="004736F2">
        <w:tc>
          <w:tcPr>
            <w:tcW w:w="2805" w:type="dxa"/>
            <w:tcBorders>
              <w:left w:val="nil"/>
            </w:tcBorders>
            <w:shd w:val="clear" w:color="auto" w:fill="auto"/>
            <w:vAlign w:val="center"/>
          </w:tcPr>
          <w:p w14:paraId="4EFD7F55" w14:textId="77777777" w:rsidR="00A40784" w:rsidRPr="00BC31E0" w:rsidRDefault="00A40784" w:rsidP="00A40784">
            <w:pPr>
              <w:ind w:firstLineChars="100" w:firstLine="210"/>
              <w:rPr>
                <w:szCs w:val="22"/>
              </w:rPr>
            </w:pPr>
            <w:r w:rsidRPr="00BC31E0">
              <w:rPr>
                <w:szCs w:val="22"/>
              </w:rPr>
              <w:t>A</w:t>
            </w:r>
            <w:r w:rsidRPr="00BC31E0">
              <w:rPr>
                <w:rFonts w:hint="eastAsia"/>
              </w:rPr>
              <w:t>，平行部の最小長さ</w:t>
            </w:r>
          </w:p>
        </w:tc>
        <w:tc>
          <w:tcPr>
            <w:tcW w:w="6481" w:type="dxa"/>
            <w:tcBorders>
              <w:right w:val="nil"/>
            </w:tcBorders>
            <w:shd w:val="clear" w:color="auto" w:fill="auto"/>
            <w:vAlign w:val="center"/>
          </w:tcPr>
          <w:p w14:paraId="6E0AC076" w14:textId="77777777" w:rsidR="00A40784" w:rsidRPr="00BC31E0" w:rsidRDefault="00A40784" w:rsidP="00A40784">
            <w:pPr>
              <w:jc w:val="center"/>
              <w:rPr>
                <w:szCs w:val="22"/>
              </w:rPr>
            </w:pPr>
            <w:r w:rsidRPr="00BC31E0">
              <w:rPr>
                <w:szCs w:val="22"/>
              </w:rPr>
              <w:t>75</w:t>
            </w:r>
          </w:p>
        </w:tc>
      </w:tr>
    </w:tbl>
    <w:p w14:paraId="14667081" w14:textId="77777777" w:rsidR="00A40784" w:rsidRPr="00BC31E0" w:rsidRDefault="00A40784" w:rsidP="00AC573E">
      <w:pPr>
        <w:spacing w:before="60"/>
        <w:ind w:left="843" w:hangingChars="400" w:hanging="843"/>
        <w:jc w:val="left"/>
        <w:rPr>
          <w:rFonts w:ascii="Times New Roman" w:hAnsi="Times New Roman"/>
          <w:szCs w:val="22"/>
        </w:rPr>
      </w:pPr>
      <w:r w:rsidRPr="00BC31E0">
        <w:rPr>
          <w:rFonts w:ascii="ＭＳ ゴシック" w:eastAsia="ＭＳ ゴシック" w:hAnsi="ＭＳ ゴシック" w:hint="eastAsia"/>
          <w:b/>
          <w:szCs w:val="22"/>
        </w:rPr>
        <w:t>注記1</w:t>
      </w:r>
      <w:r w:rsidRPr="00BC31E0">
        <w:rPr>
          <w:rFonts w:ascii="Times New Roman" w:hAnsi="Times New Roman" w:hint="eastAsia"/>
          <w:szCs w:val="22"/>
        </w:rPr>
        <w:t xml:space="preserve">　</w:t>
      </w:r>
      <w:r w:rsidRPr="00BC31E0">
        <w:rPr>
          <w:rFonts w:asciiTheme="minorHAnsi" w:eastAsiaTheme="minorEastAsia" w:hAnsiTheme="minorEastAsia"/>
          <w:szCs w:val="22"/>
        </w:rPr>
        <w:t>平行部の両端の幅は</w:t>
      </w:r>
      <w:r w:rsidRPr="00BC31E0">
        <w:rPr>
          <w:rFonts w:asciiTheme="minorHAnsi" w:eastAsiaTheme="minorEastAsia" w:hAnsiTheme="minorEastAsia"/>
        </w:rPr>
        <w:t>，</w:t>
      </w:r>
      <w:r w:rsidRPr="00BC31E0">
        <w:rPr>
          <w:rFonts w:asciiTheme="minorHAnsi" w:eastAsiaTheme="minorEastAsia" w:hAnsiTheme="minorEastAsia"/>
          <w:szCs w:val="22"/>
        </w:rPr>
        <w:t>中央部の幅の</w:t>
      </w:r>
      <w:r w:rsidRPr="00BC31E0">
        <w:rPr>
          <w:rFonts w:asciiTheme="minorHAnsi" w:eastAsiaTheme="minorEastAsia" w:hAnsiTheme="minorHAnsi"/>
          <w:szCs w:val="22"/>
        </w:rPr>
        <w:t>1%</w:t>
      </w:r>
      <w:r w:rsidRPr="00BC31E0">
        <w:rPr>
          <w:rFonts w:asciiTheme="minorHAnsi" w:eastAsiaTheme="minorEastAsia" w:hAnsiTheme="minorEastAsia"/>
          <w:szCs w:val="22"/>
        </w:rPr>
        <w:t>以下とする。</w:t>
      </w:r>
    </w:p>
    <w:p w14:paraId="38F6CE72" w14:textId="77777777" w:rsidR="00A40784" w:rsidRPr="00BC31E0" w:rsidRDefault="00A40784" w:rsidP="00A40784">
      <w:pPr>
        <w:ind w:left="843" w:hangingChars="400" w:hanging="843"/>
        <w:jc w:val="left"/>
        <w:rPr>
          <w:rFonts w:ascii="Times New Roman" w:hAnsi="Times New Roman"/>
          <w:szCs w:val="22"/>
        </w:rPr>
      </w:pPr>
      <w:r w:rsidRPr="00BC31E0">
        <w:rPr>
          <w:rFonts w:ascii="ＭＳ ゴシック" w:eastAsia="ＭＳ ゴシック" w:hAnsi="ＭＳ ゴシック" w:hint="eastAsia"/>
          <w:b/>
          <w:szCs w:val="22"/>
        </w:rPr>
        <w:t>注記2</w:t>
      </w:r>
      <w:r w:rsidRPr="00BC31E0">
        <w:rPr>
          <w:rFonts w:ascii="Times New Roman" w:hAnsi="Times New Roman" w:hint="eastAsia"/>
          <w:szCs w:val="22"/>
        </w:rPr>
        <w:t xml:space="preserve">　必要に応じて</w:t>
      </w:r>
      <w:r w:rsidRPr="00BC31E0">
        <w:rPr>
          <w:rFonts w:hint="eastAsia"/>
        </w:rPr>
        <w:t>，現標点距離の伸び計に対応するために平行部の長さを伸ばしてもよい。ただし，伸び測定用の参照マークは示された原標点距離の間隔を空けなければならない。</w:t>
      </w:r>
    </w:p>
    <w:p w14:paraId="6F5AAD20" w14:textId="77777777" w:rsidR="00A40784" w:rsidRPr="00BC31E0" w:rsidRDefault="00A40784" w:rsidP="00A40784">
      <w:pPr>
        <w:ind w:left="843" w:hangingChars="400" w:hanging="843"/>
        <w:jc w:val="left"/>
        <w:rPr>
          <w:rFonts w:ascii="Times New Roman" w:hAnsi="Times New Roman"/>
          <w:szCs w:val="22"/>
        </w:rPr>
      </w:pPr>
      <w:r w:rsidRPr="00BC31E0">
        <w:rPr>
          <w:rFonts w:ascii="ＭＳ ゴシック" w:eastAsia="ＭＳ ゴシック" w:hAnsi="ＭＳ ゴシック" w:hint="eastAsia"/>
          <w:b/>
          <w:szCs w:val="22"/>
        </w:rPr>
        <w:t>注記3</w:t>
      </w:r>
      <w:r w:rsidRPr="00BC31E0">
        <w:rPr>
          <w:rFonts w:ascii="Times New Roman" w:hAnsi="Times New Roman" w:hint="eastAsia"/>
          <w:szCs w:val="22"/>
        </w:rPr>
        <w:t xml:space="preserve">　</w:t>
      </w:r>
      <w:r w:rsidRPr="00BC31E0">
        <w:rPr>
          <w:rFonts w:asciiTheme="minorHAnsi" w:eastAsiaTheme="minorEastAsia" w:hAnsiTheme="minorEastAsia"/>
          <w:szCs w:val="22"/>
        </w:rPr>
        <w:t>現標点距離及び肩部は図に示されるようにしなければならないが</w:t>
      </w:r>
      <w:r w:rsidRPr="00BC31E0">
        <w:rPr>
          <w:rFonts w:asciiTheme="minorHAnsi" w:eastAsiaTheme="minorEastAsia" w:hAnsiTheme="minorEastAsia"/>
        </w:rPr>
        <w:t>，両端は，荷重が軸方向となるような方法で試験機の治具に合うような形状としてもよい。両端がウェッジグリップで保持される場合，可能であれば</w:t>
      </w:r>
      <w:r w:rsidRPr="00BC31E0">
        <w:rPr>
          <w:rFonts w:asciiTheme="minorHAnsi" w:eastAsiaTheme="minorEastAsia" w:hAnsiTheme="minorEastAsia"/>
          <w:szCs w:val="22"/>
        </w:rPr>
        <w:t>つかみ部の長さを十分に大きくして</w:t>
      </w:r>
      <w:r w:rsidRPr="00BC31E0">
        <w:rPr>
          <w:rFonts w:asciiTheme="minorHAnsi" w:eastAsiaTheme="minorEastAsia" w:hAnsiTheme="minorEastAsia"/>
        </w:rPr>
        <w:t>，</w:t>
      </w:r>
      <w:r w:rsidRPr="00BC31E0">
        <w:rPr>
          <w:rFonts w:asciiTheme="minorHAnsi" w:eastAsiaTheme="minorEastAsia" w:hAnsiTheme="minorEastAsia"/>
          <w:szCs w:val="22"/>
        </w:rPr>
        <w:t>試験片を試験機グリップ部の長さの</w:t>
      </w:r>
      <w:r w:rsidRPr="00BC31E0">
        <w:rPr>
          <w:rFonts w:asciiTheme="minorHAnsi" w:eastAsiaTheme="minorEastAsia" w:hAnsiTheme="minorHAnsi"/>
          <w:szCs w:val="22"/>
        </w:rPr>
        <w:t>3</w:t>
      </w:r>
      <w:r w:rsidRPr="00BC31E0">
        <w:rPr>
          <w:rFonts w:asciiTheme="minorHAnsi" w:eastAsiaTheme="minorEastAsia" w:hAnsiTheme="minorEastAsia"/>
          <w:szCs w:val="22"/>
        </w:rPr>
        <w:t>分の</w:t>
      </w:r>
      <w:r w:rsidRPr="00BC31E0">
        <w:rPr>
          <w:rFonts w:asciiTheme="minorHAnsi" w:eastAsiaTheme="minorEastAsia" w:hAnsiTheme="minorHAnsi"/>
          <w:szCs w:val="22"/>
        </w:rPr>
        <w:t>2</w:t>
      </w:r>
      <w:r w:rsidRPr="00BC31E0">
        <w:rPr>
          <w:rFonts w:asciiTheme="minorHAnsi" w:eastAsiaTheme="minorEastAsia" w:hAnsiTheme="minorEastAsia"/>
          <w:szCs w:val="22"/>
        </w:rPr>
        <w:t>以上まで伸ばすことが望ましい。</w:t>
      </w:r>
    </w:p>
    <w:p w14:paraId="04B089EF" w14:textId="77777777" w:rsidR="00A40784" w:rsidRPr="00BC31E0" w:rsidRDefault="00A40784" w:rsidP="00A40784">
      <w:pPr>
        <w:ind w:left="840" w:hangingChars="400" w:hanging="840"/>
        <w:jc w:val="left"/>
        <w:rPr>
          <w:rFonts w:ascii="Times New Roman" w:hAnsi="Times New Roman"/>
          <w:szCs w:val="22"/>
        </w:rPr>
      </w:pPr>
    </w:p>
    <w:p w14:paraId="03A8391F" w14:textId="77777777" w:rsidR="00A40784" w:rsidRPr="00BC31E0" w:rsidRDefault="00A40784" w:rsidP="00A40784">
      <w:pPr>
        <w:jc w:val="center"/>
        <w:rPr>
          <w:rFonts w:ascii="ＭＳ ゴシック" w:eastAsia="ＭＳ ゴシック" w:hAnsi="ＭＳ ゴシック"/>
          <w:b/>
          <w:szCs w:val="20"/>
          <w:vertAlign w:val="superscript"/>
        </w:rPr>
      </w:pPr>
      <w:r w:rsidRPr="00BC31E0">
        <w:rPr>
          <w:rFonts w:ascii="ＭＳ ゴシック" w:eastAsia="ＭＳ ゴシック" w:hAnsi="ＭＳ ゴシック" w:hint="eastAsia"/>
          <w:b/>
          <w:szCs w:val="20"/>
        </w:rPr>
        <w:t>図K.10　丸棒平滑引張試験片</w:t>
      </w:r>
    </w:p>
    <w:p w14:paraId="67A3FC94" w14:textId="77777777" w:rsidR="00A40784" w:rsidRPr="00BC31E0" w:rsidRDefault="00A40784" w:rsidP="007157BB">
      <w:pPr>
        <w:ind w:left="420" w:hangingChars="200" w:hanging="420"/>
        <w:jc w:val="left"/>
        <w:rPr>
          <w:rFonts w:ascii="Times New Roman" w:hAnsi="Times New Roman"/>
          <w:szCs w:val="22"/>
        </w:rPr>
      </w:pPr>
    </w:p>
    <w:p w14:paraId="191D9AF3" w14:textId="77777777" w:rsidR="007157BB" w:rsidRPr="00BC31E0" w:rsidRDefault="007157BB">
      <w:pPr>
        <w:widowControl/>
        <w:jc w:val="left"/>
        <w:rPr>
          <w:rFonts w:ascii="ＭＳ ゴシック" w:eastAsia="ＭＳ ゴシック"/>
          <w:b/>
          <w:sz w:val="24"/>
          <w:szCs w:val="20"/>
        </w:rPr>
      </w:pPr>
      <w:r w:rsidRPr="00BC31E0">
        <w:br w:type="page"/>
      </w:r>
    </w:p>
    <w:p w14:paraId="1FCE264F" w14:textId="77777777" w:rsidR="002D033B" w:rsidRPr="00BC31E0" w:rsidRDefault="002D033B" w:rsidP="00F46221">
      <w:pPr>
        <w:pStyle w:val="afff3"/>
        <w:spacing w:line="240" w:lineRule="auto"/>
      </w:pPr>
      <w:bookmarkStart w:id="173" w:name="_Toc120092572"/>
      <w:r w:rsidRPr="00BC31E0">
        <w:lastRenderedPageBreak/>
        <w:t>附属書</w:t>
      </w:r>
      <w:r w:rsidRPr="00BC31E0">
        <w:rPr>
          <w:rFonts w:hint="eastAsia"/>
        </w:rPr>
        <w:t>L(規定)　応力分類のための応力分布の線形化</w:t>
      </w:r>
      <w:bookmarkEnd w:id="173"/>
    </w:p>
    <w:p w14:paraId="42A069DC" w14:textId="77777777" w:rsidR="002D033B" w:rsidRPr="00BC31E0" w:rsidRDefault="002D033B" w:rsidP="00F46221">
      <w:pPr>
        <w:pStyle w:val="afb"/>
        <w:spacing w:line="240" w:lineRule="auto"/>
      </w:pPr>
      <w:r w:rsidRPr="00BC31E0">
        <w:rPr>
          <w:rFonts w:hint="eastAsia"/>
        </w:rPr>
        <w:t>序文</w:t>
      </w:r>
    </w:p>
    <w:p w14:paraId="1F09E980" w14:textId="77777777" w:rsidR="002D033B" w:rsidRPr="00BC31E0" w:rsidRDefault="002D033B" w:rsidP="00F46221">
      <w:pPr>
        <w:pStyle w:val="15"/>
        <w:ind w:firstLine="210"/>
      </w:pPr>
      <w:r w:rsidRPr="00BC31E0">
        <w:rPr>
          <w:rFonts w:hint="eastAsia"/>
        </w:rPr>
        <w:t>この附属書は，</w:t>
      </w:r>
      <w:r w:rsidRPr="00BC31E0">
        <w:rPr>
          <w:rFonts w:ascii="ＭＳ ゴシック" w:eastAsia="ＭＳ ゴシック" w:hAnsi="ＭＳ ゴシック" w:hint="eastAsia"/>
          <w:b/>
        </w:rPr>
        <w:t>附属書J</w:t>
      </w:r>
      <w:r w:rsidRPr="00BC31E0">
        <w:rPr>
          <w:rFonts w:hint="eastAsia"/>
        </w:rPr>
        <w:t>の応力制限と比較するために，弾性有限要素法解析で得られた応力解析結果を処理する方法について規定する。</w:t>
      </w:r>
    </w:p>
    <w:p w14:paraId="5A4F9F67" w14:textId="77777777" w:rsidR="002D033B" w:rsidRPr="00BC31E0" w:rsidRDefault="002D033B" w:rsidP="00F46221"/>
    <w:p w14:paraId="3BA30C55" w14:textId="77777777" w:rsidR="002D033B" w:rsidRPr="00BC31E0" w:rsidRDefault="002D033B" w:rsidP="00736130">
      <w:pPr>
        <w:pStyle w:val="13"/>
        <w:numPr>
          <w:ilvl w:val="0"/>
          <w:numId w:val="253"/>
        </w:numPr>
        <w:spacing w:line="240" w:lineRule="auto"/>
        <w:ind w:left="340" w:hanging="340"/>
      </w:pPr>
      <w:r w:rsidRPr="00BC31E0">
        <w:rPr>
          <w:rFonts w:hint="eastAsia"/>
        </w:rPr>
        <w:t>一般</w:t>
      </w:r>
    </w:p>
    <w:p w14:paraId="791CF184" w14:textId="77777777" w:rsidR="002D033B" w:rsidRPr="00BC31E0" w:rsidRDefault="002D033B" w:rsidP="00F46221">
      <w:pPr>
        <w:pStyle w:val="15"/>
        <w:ind w:firstLine="210"/>
      </w:pPr>
      <w:r w:rsidRPr="00BC31E0">
        <w:rPr>
          <w:rFonts w:hint="eastAsia"/>
        </w:rPr>
        <w:t>応力解析結果の処理に関する一般的な事項を，次の</w:t>
      </w:r>
      <w:r w:rsidRPr="00BC31E0">
        <w:rPr>
          <w:rFonts w:asciiTheme="majorEastAsia" w:eastAsiaTheme="majorEastAsia" w:hAnsiTheme="majorEastAsia" w:hint="eastAsia"/>
          <w:b/>
        </w:rPr>
        <w:t>a)</w:t>
      </w:r>
      <w:r w:rsidRPr="00BC31E0">
        <w:rPr>
          <w:rFonts w:hint="eastAsia"/>
        </w:rPr>
        <w:t>～</w:t>
      </w:r>
      <w:r w:rsidRPr="00BC31E0">
        <w:rPr>
          <w:rFonts w:asciiTheme="majorEastAsia" w:eastAsiaTheme="majorEastAsia" w:hAnsiTheme="majorEastAsia" w:hint="eastAsia"/>
          <w:b/>
        </w:rPr>
        <w:t>d)</w:t>
      </w:r>
      <w:r w:rsidRPr="00BC31E0">
        <w:rPr>
          <w:rFonts w:hint="eastAsia"/>
        </w:rPr>
        <w:t>に示す。</w:t>
      </w:r>
    </w:p>
    <w:p w14:paraId="666A5095" w14:textId="77777777" w:rsidR="00F46221" w:rsidRPr="00BC31E0" w:rsidRDefault="002D033B" w:rsidP="00736130">
      <w:pPr>
        <w:pStyle w:val="a4"/>
        <w:numPr>
          <w:ilvl w:val="0"/>
          <w:numId w:val="638"/>
        </w:numPr>
        <w:ind w:leftChars="0" w:left="454" w:hanging="454"/>
      </w:pPr>
      <w:r w:rsidRPr="00BC31E0">
        <w:rPr>
          <w:rFonts w:hint="eastAsia"/>
        </w:rPr>
        <w:t>連続体要素を用いた有限要素法解析では，全体的な応力分布が得られる。よって，各応力成分について線形化処理を行って膜応力と曲げ応力を求め，相当応力を計算する必要がある。シェル要素を用いた有限要素法解析では，解析結果より直接，膜応力と曲げ応力が得られる。</w:t>
      </w:r>
    </w:p>
    <w:p w14:paraId="17A2593F" w14:textId="77777777" w:rsidR="00F46221" w:rsidRPr="00BC31E0" w:rsidRDefault="002D033B" w:rsidP="00736130">
      <w:pPr>
        <w:pStyle w:val="a4"/>
        <w:numPr>
          <w:ilvl w:val="0"/>
          <w:numId w:val="638"/>
        </w:numPr>
        <w:ind w:leftChars="0" w:left="454" w:hanging="454"/>
      </w:pPr>
      <w:r w:rsidRPr="00BC31E0">
        <w:rPr>
          <w:rFonts w:hint="eastAsia"/>
        </w:rPr>
        <w:t>膜応力と曲げ応力は，部材の厚さ方向の断面で評価する。この断面が応力評価断面</w:t>
      </w:r>
      <w:r w:rsidRPr="00BC31E0">
        <w:rPr>
          <w:rFonts w:hint="eastAsia"/>
        </w:rPr>
        <w:t>(</w:t>
      </w:r>
      <w:r w:rsidRPr="00BC31E0">
        <w:rPr>
          <w:rFonts w:hint="eastAsia"/>
        </w:rPr>
        <w:t>以下，</w:t>
      </w:r>
      <w:r w:rsidRPr="00BC31E0">
        <w:rPr>
          <w:rFonts w:hint="eastAsia"/>
        </w:rPr>
        <w:t>SCP</w:t>
      </w:r>
      <w:r w:rsidRPr="00BC31E0">
        <w:rPr>
          <w:rFonts w:hint="eastAsia"/>
        </w:rPr>
        <w:t>と表記</w:t>
      </w:r>
      <w:r w:rsidRPr="00BC31E0">
        <w:rPr>
          <w:rFonts w:hint="eastAsia"/>
        </w:rPr>
        <w:t>)</w:t>
      </w:r>
      <w:r w:rsidRPr="00BC31E0">
        <w:rPr>
          <w:rFonts w:hint="eastAsia"/>
        </w:rPr>
        <w:t>である。平面形状においては，</w:t>
      </w:r>
      <w:r w:rsidRPr="00BC31E0">
        <w:rPr>
          <w:rFonts w:hint="eastAsia"/>
        </w:rPr>
        <w:t>SCP</w:t>
      </w:r>
      <w:r w:rsidRPr="00BC31E0">
        <w:rPr>
          <w:rFonts w:hint="eastAsia"/>
        </w:rPr>
        <w:t>の両端の長さを無限小にすることにより，応力評価ライン</w:t>
      </w:r>
      <w:r w:rsidRPr="00BC31E0">
        <w:rPr>
          <w:rFonts w:hint="eastAsia"/>
        </w:rPr>
        <w:t>(</w:t>
      </w:r>
      <w:r w:rsidRPr="00BC31E0">
        <w:rPr>
          <w:rFonts w:hint="eastAsia"/>
        </w:rPr>
        <w:t>以下，</w:t>
      </w:r>
      <w:r w:rsidRPr="00BC31E0">
        <w:rPr>
          <w:rFonts w:hint="eastAsia"/>
        </w:rPr>
        <w:t>SCL</w:t>
      </w:r>
      <w:r w:rsidRPr="00BC31E0">
        <w:rPr>
          <w:rFonts w:hint="eastAsia"/>
        </w:rPr>
        <w:t>と表記</w:t>
      </w:r>
      <w:r w:rsidRPr="00BC31E0">
        <w:rPr>
          <w:rFonts w:hint="eastAsia"/>
        </w:rPr>
        <w:t>)</w:t>
      </w:r>
      <w:r w:rsidRPr="00BC31E0">
        <w:rPr>
          <w:rFonts w:hint="eastAsia"/>
        </w:rPr>
        <w:t>となる。</w:t>
      </w:r>
      <w:r w:rsidRPr="00BC31E0">
        <w:rPr>
          <w:rFonts w:hint="eastAsia"/>
        </w:rPr>
        <w:t>SCP</w:t>
      </w:r>
      <w:r w:rsidRPr="00BC31E0">
        <w:rPr>
          <w:rFonts w:hint="eastAsia"/>
        </w:rPr>
        <w:t>は部材の断面を通る平面であり，</w:t>
      </w:r>
      <w:r w:rsidRPr="00BC31E0">
        <w:rPr>
          <w:rFonts w:hint="eastAsia"/>
        </w:rPr>
        <w:t>SCL</w:t>
      </w:r>
      <w:r w:rsidRPr="00BC31E0">
        <w:rPr>
          <w:rFonts w:hint="eastAsia"/>
        </w:rPr>
        <w:t>は部材の断面を通る直線である。軸対称又は平面形状では，</w:t>
      </w:r>
      <w:r w:rsidRPr="00BC31E0">
        <w:rPr>
          <w:rFonts w:hint="eastAsia"/>
        </w:rPr>
        <w:t>SCL</w:t>
      </w:r>
      <w:r w:rsidRPr="00BC31E0">
        <w:rPr>
          <w:rFonts w:hint="eastAsia"/>
        </w:rPr>
        <w:t>は面になる。</w:t>
      </w:r>
      <w:r w:rsidRPr="00BC31E0">
        <w:rPr>
          <w:rFonts w:hint="eastAsia"/>
        </w:rPr>
        <w:t>SCP</w:t>
      </w:r>
      <w:r w:rsidRPr="00BC31E0">
        <w:rPr>
          <w:rFonts w:hint="eastAsia"/>
        </w:rPr>
        <w:t>と</w:t>
      </w:r>
      <w:r w:rsidRPr="00BC31E0">
        <w:rPr>
          <w:rFonts w:hint="eastAsia"/>
        </w:rPr>
        <w:t>SCL</w:t>
      </w:r>
      <w:r w:rsidRPr="00BC31E0">
        <w:rPr>
          <w:rFonts w:hint="eastAsia"/>
        </w:rPr>
        <w:t>の例を，</w:t>
      </w:r>
      <w:r w:rsidRPr="00BC31E0">
        <w:rPr>
          <w:rFonts w:asciiTheme="majorEastAsia" w:eastAsiaTheme="majorEastAsia" w:hAnsiTheme="majorEastAsia" w:hint="eastAsia"/>
          <w:b/>
          <w:bCs/>
        </w:rPr>
        <w:t>図L.1</w:t>
      </w:r>
      <w:r w:rsidRPr="00BC31E0">
        <w:rPr>
          <w:rFonts w:hint="eastAsia"/>
        </w:rPr>
        <w:t>と</w:t>
      </w:r>
      <w:r w:rsidRPr="00BC31E0">
        <w:rPr>
          <w:rFonts w:asciiTheme="majorEastAsia" w:eastAsiaTheme="majorEastAsia" w:hAnsiTheme="majorEastAsia" w:hint="eastAsia"/>
          <w:b/>
          <w:bCs/>
        </w:rPr>
        <w:t>図L.2</w:t>
      </w:r>
      <w:r w:rsidRPr="00BC31E0">
        <w:rPr>
          <w:rFonts w:hint="eastAsia"/>
        </w:rPr>
        <w:t>に示す。</w:t>
      </w:r>
    </w:p>
    <w:p w14:paraId="4A4675B1" w14:textId="77777777" w:rsidR="002D033B" w:rsidRPr="00BC31E0" w:rsidRDefault="002D033B" w:rsidP="00736130">
      <w:pPr>
        <w:pStyle w:val="a4"/>
        <w:numPr>
          <w:ilvl w:val="0"/>
          <w:numId w:val="638"/>
        </w:numPr>
        <w:ind w:leftChars="0" w:left="454" w:hanging="454"/>
      </w:pPr>
      <w:r w:rsidRPr="00BC31E0">
        <w:rPr>
          <w:rFonts w:hint="eastAsia"/>
        </w:rPr>
        <w:t>有限要素法による応力解析結果を線形化する方法は，次の</w:t>
      </w:r>
      <w:r w:rsidRPr="00BC31E0">
        <w:rPr>
          <w:rFonts w:asciiTheme="majorEastAsia" w:eastAsiaTheme="majorEastAsia" w:hAnsiTheme="majorEastAsia" w:hint="eastAsia"/>
          <w:b/>
          <w:bCs/>
        </w:rPr>
        <w:t>1)</w:t>
      </w:r>
      <w:r w:rsidRPr="00BC31E0">
        <w:rPr>
          <w:rFonts w:hint="eastAsia"/>
        </w:rPr>
        <w:t>～</w:t>
      </w:r>
      <w:r w:rsidRPr="00BC31E0">
        <w:rPr>
          <w:rFonts w:asciiTheme="majorEastAsia" w:eastAsiaTheme="majorEastAsia" w:hAnsiTheme="majorEastAsia" w:hint="eastAsia"/>
          <w:b/>
          <w:bCs/>
        </w:rPr>
        <w:t>3)</w:t>
      </w:r>
      <w:r w:rsidRPr="00BC31E0">
        <w:rPr>
          <w:rFonts w:hint="eastAsia"/>
        </w:rPr>
        <w:t>による。</w:t>
      </w:r>
    </w:p>
    <w:p w14:paraId="0C1DDCCC" w14:textId="77777777" w:rsidR="00F46221" w:rsidRPr="00BC31E0" w:rsidRDefault="002D033B" w:rsidP="00736130">
      <w:pPr>
        <w:pStyle w:val="a4"/>
        <w:numPr>
          <w:ilvl w:val="0"/>
          <w:numId w:val="639"/>
        </w:numPr>
        <w:ind w:leftChars="0" w:left="738" w:hanging="454"/>
        <w:rPr>
          <w:rFonts w:hAnsi="ＭＳ 明朝"/>
        </w:rPr>
      </w:pPr>
      <w:r w:rsidRPr="00BC31E0">
        <w:rPr>
          <w:rFonts w:asciiTheme="majorEastAsia" w:eastAsiaTheme="majorEastAsia" w:hAnsiTheme="majorEastAsia" w:hint="eastAsia"/>
          <w:b/>
        </w:rPr>
        <w:t>応力積分法</w:t>
      </w:r>
      <w:r w:rsidRPr="00BC31E0">
        <w:rPr>
          <w:rFonts w:hint="eastAsia"/>
        </w:rPr>
        <w:t xml:space="preserve">　</w:t>
      </w:r>
      <w:r w:rsidRPr="00BC31E0">
        <w:rPr>
          <w:rFonts w:hAnsi="ＭＳ 明朝" w:hint="eastAsia"/>
        </w:rPr>
        <w:t>この方法は，連続体要素を用いて得られた応力解析結果を線形化する時に使用</w:t>
      </w:r>
      <w:r w:rsidR="005479F7" w:rsidRPr="00BC31E0">
        <w:rPr>
          <w:rFonts w:hAnsi="ＭＳ 明朝" w:hint="eastAsia"/>
        </w:rPr>
        <w:t>す</w:t>
      </w:r>
      <w:r w:rsidRPr="00BC31E0">
        <w:rPr>
          <w:rFonts w:hAnsi="ＭＳ 明朝" w:hint="eastAsia"/>
        </w:rPr>
        <w:t>る</w:t>
      </w:r>
      <w:r w:rsidRPr="00BC31E0">
        <w:rPr>
          <w:rFonts w:asciiTheme="majorEastAsia" w:eastAsiaTheme="majorEastAsia" w:hAnsiTheme="majorEastAsia" w:hint="eastAsia"/>
          <w:b/>
          <w:vertAlign w:val="superscript"/>
        </w:rPr>
        <w:t>1)</w:t>
      </w:r>
      <w:r w:rsidRPr="00BC31E0">
        <w:rPr>
          <w:rFonts w:hAnsi="ＭＳ 明朝" w:hint="eastAsia"/>
        </w:rPr>
        <w:t>。</w:t>
      </w:r>
    </w:p>
    <w:p w14:paraId="70AC3B40" w14:textId="77777777" w:rsidR="00F46221" w:rsidRPr="00BC31E0" w:rsidRDefault="002D033B" w:rsidP="00736130">
      <w:pPr>
        <w:pStyle w:val="a4"/>
        <w:numPr>
          <w:ilvl w:val="0"/>
          <w:numId w:val="639"/>
        </w:numPr>
        <w:ind w:leftChars="0" w:left="738" w:hanging="454"/>
        <w:rPr>
          <w:rFonts w:hAnsi="ＭＳ 明朝"/>
        </w:rPr>
      </w:pPr>
      <w:r w:rsidRPr="00BC31E0">
        <w:rPr>
          <w:rFonts w:asciiTheme="majorEastAsia" w:eastAsiaTheme="majorEastAsia" w:hAnsiTheme="majorEastAsia" w:hint="eastAsia"/>
          <w:b/>
        </w:rPr>
        <w:t>節点力に基づく構造応力法</w:t>
      </w:r>
      <w:r w:rsidRPr="00BC31E0">
        <w:rPr>
          <w:rFonts w:hint="eastAsia"/>
        </w:rPr>
        <w:t xml:space="preserve">　</w:t>
      </w:r>
      <w:r w:rsidRPr="00BC31E0">
        <w:rPr>
          <w:rFonts w:ascii="ＭＳ 明朝" w:hAnsi="ＭＳ 明朝" w:hint="eastAsia"/>
        </w:rPr>
        <w:t>この方法は節点力の処理に基づいており，要素分割の依存性が小さく，溶接部の疲労強度データとの相関もよい</w:t>
      </w:r>
      <w:r w:rsidRPr="00BC31E0">
        <w:rPr>
          <w:rFonts w:asciiTheme="majorEastAsia" w:eastAsiaTheme="majorEastAsia" w:hAnsiTheme="majorEastAsia" w:hint="eastAsia"/>
          <w:b/>
          <w:vertAlign w:val="superscript"/>
        </w:rPr>
        <w:t>2)</w:t>
      </w:r>
      <w:r w:rsidRPr="00BC31E0">
        <w:rPr>
          <w:rFonts w:ascii="ＭＳ 明朝" w:hAnsi="ＭＳ 明朝" w:hint="eastAsia"/>
        </w:rPr>
        <w:t>。</w:t>
      </w:r>
    </w:p>
    <w:p w14:paraId="1A69E87C" w14:textId="77777777" w:rsidR="002D033B" w:rsidRPr="00BC31E0" w:rsidRDefault="002D033B" w:rsidP="00736130">
      <w:pPr>
        <w:pStyle w:val="a4"/>
        <w:numPr>
          <w:ilvl w:val="0"/>
          <w:numId w:val="639"/>
        </w:numPr>
        <w:ind w:leftChars="0" w:left="738" w:hanging="454"/>
        <w:rPr>
          <w:rFonts w:hAnsi="ＭＳ 明朝"/>
        </w:rPr>
      </w:pPr>
      <w:r w:rsidRPr="00BC31E0">
        <w:rPr>
          <w:rFonts w:asciiTheme="majorEastAsia" w:eastAsiaTheme="majorEastAsia" w:hAnsiTheme="majorEastAsia" w:hint="eastAsia"/>
          <w:b/>
        </w:rPr>
        <w:t>応力積分に基づく構造応力法</w:t>
      </w:r>
      <w:r w:rsidRPr="00BC31E0">
        <w:rPr>
          <w:rFonts w:hint="eastAsia"/>
        </w:rPr>
        <w:t xml:space="preserve">　</w:t>
      </w:r>
      <w:r w:rsidRPr="00BC31E0">
        <w:rPr>
          <w:rFonts w:ascii="ＭＳ 明朝" w:hAnsi="ＭＳ 明朝" w:hint="eastAsia"/>
        </w:rPr>
        <w:t>この方法は</w:t>
      </w:r>
      <w:r w:rsidRPr="00BC31E0">
        <w:rPr>
          <w:rFonts w:asciiTheme="majorEastAsia" w:eastAsiaTheme="majorEastAsia" w:hAnsiTheme="majorEastAsia" w:hint="eastAsia"/>
          <w:b/>
        </w:rPr>
        <w:t>1)</w:t>
      </w:r>
      <w:r w:rsidRPr="00BC31E0">
        <w:rPr>
          <w:rFonts w:ascii="ＭＳ 明朝" w:hAnsi="ＭＳ 明朝" w:hint="eastAsia"/>
        </w:rPr>
        <w:t>の応力積分法を用いるが，積分に用いる要素は</w:t>
      </w:r>
      <w:r w:rsidRPr="00BC31E0">
        <w:t>SCL</w:t>
      </w:r>
      <w:r w:rsidRPr="00BC31E0">
        <w:rPr>
          <w:rFonts w:ascii="ＭＳ 明朝" w:hAnsi="ＭＳ 明朝" w:hint="eastAsia"/>
        </w:rPr>
        <w:t>上の節点に関連する片側の要素群のみに限定する。</w:t>
      </w:r>
    </w:p>
    <w:p w14:paraId="6C08959E" w14:textId="77777777" w:rsidR="002D033B" w:rsidRPr="00BC31E0" w:rsidRDefault="002D033B" w:rsidP="00736130">
      <w:pPr>
        <w:pStyle w:val="a4"/>
        <w:numPr>
          <w:ilvl w:val="0"/>
          <w:numId w:val="612"/>
        </w:numPr>
        <w:ind w:leftChars="0" w:left="454" w:hanging="454"/>
      </w:pPr>
      <w:r w:rsidRPr="00BC31E0">
        <w:rPr>
          <w:rFonts w:hint="eastAsia"/>
        </w:rPr>
        <w:t>評価対象の部材及び荷重条件に対してより精度がよい他の方法がない場合には，応力積分に基づく構造応力法を推奨する。この方法は，要素分割の依存性が小さい節点力に基づく構造応力法の結果と一致する。この方法は，市販の有限要素解析ソフトウェアの後処理機能</w:t>
      </w:r>
      <w:r w:rsidR="0055438D" w:rsidRPr="00BC31E0">
        <w:rPr>
          <w:rFonts w:hint="eastAsia"/>
        </w:rPr>
        <w:t>を</w:t>
      </w:r>
      <w:r w:rsidRPr="00BC31E0">
        <w:rPr>
          <w:rFonts w:hint="eastAsia"/>
        </w:rPr>
        <w:t>利用</w:t>
      </w:r>
      <w:r w:rsidR="0055438D" w:rsidRPr="00BC31E0">
        <w:rPr>
          <w:rFonts w:hint="eastAsia"/>
        </w:rPr>
        <w:t>してもよい</w:t>
      </w:r>
      <w:r w:rsidRPr="00BC31E0">
        <w:rPr>
          <w:rFonts w:hint="eastAsia"/>
        </w:rPr>
        <w:t>。</w:t>
      </w:r>
    </w:p>
    <w:p w14:paraId="2060AD8F" w14:textId="77777777" w:rsidR="002D033B" w:rsidRPr="00BC31E0" w:rsidRDefault="002D033B" w:rsidP="00F46221">
      <w:pPr>
        <w:pStyle w:val="15"/>
        <w:ind w:left="357" w:hangingChars="170" w:hanging="357"/>
      </w:pPr>
    </w:p>
    <w:p w14:paraId="37EF14CD" w14:textId="77777777" w:rsidR="00195972" w:rsidRPr="00BC31E0" w:rsidRDefault="00195972" w:rsidP="00F46221">
      <w:pPr>
        <w:widowControl/>
        <w:jc w:val="left"/>
        <w:rPr>
          <w:szCs w:val="20"/>
        </w:rPr>
      </w:pPr>
      <w:r w:rsidRPr="00BC31E0">
        <w:br w:type="page"/>
      </w:r>
    </w:p>
    <w:p w14:paraId="69FDCBBF" w14:textId="77777777" w:rsidR="002D033B" w:rsidRPr="00BC31E0" w:rsidRDefault="002D033B" w:rsidP="00203A92">
      <w:pPr>
        <w:pStyle w:val="15"/>
        <w:ind w:firstLine="210"/>
        <w:jc w:val="center"/>
      </w:pPr>
      <w:r w:rsidRPr="00BC31E0">
        <w:rPr>
          <w:rFonts w:ascii="ＭＳ 明朝" w:hAnsi="ＭＳ 明朝" w:hint="eastAsia"/>
          <w:noProof/>
        </w:rPr>
        <w:lastRenderedPageBreak/>
        <w:drawing>
          <wp:inline distT="0" distB="0" distL="0" distR="0" wp14:anchorId="0DB57ECB" wp14:editId="06CDF0EA">
            <wp:extent cx="5421630" cy="4361815"/>
            <wp:effectExtent l="19050" t="0" r="7620" b="0"/>
            <wp:docPr id="12719" name="図 21"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
                    <pic:cNvPicPr>
                      <a:picLocks noChangeAspect="1" noChangeArrowheads="1"/>
                    </pic:cNvPicPr>
                  </pic:nvPicPr>
                  <pic:blipFill>
                    <a:blip r:embed="rId180" cstate="print"/>
                    <a:srcRect/>
                    <a:stretch>
                      <a:fillRect/>
                    </a:stretch>
                  </pic:blipFill>
                  <pic:spPr bwMode="auto">
                    <a:xfrm>
                      <a:off x="0" y="0"/>
                      <a:ext cx="5421630" cy="4361815"/>
                    </a:xfrm>
                    <a:prstGeom prst="rect">
                      <a:avLst/>
                    </a:prstGeom>
                    <a:noFill/>
                    <a:ln w="9525">
                      <a:noFill/>
                      <a:miter lim="800000"/>
                      <a:headEnd/>
                      <a:tailEnd/>
                    </a:ln>
                  </pic:spPr>
                </pic:pic>
              </a:graphicData>
            </a:graphic>
          </wp:inline>
        </w:drawing>
      </w:r>
    </w:p>
    <w:p w14:paraId="487E3EF8" w14:textId="77777777" w:rsidR="002D033B" w:rsidRPr="00BC31E0" w:rsidRDefault="002D033B" w:rsidP="0058590E">
      <w:pPr>
        <w:pStyle w:val="af4"/>
      </w:pPr>
      <w:r w:rsidRPr="00BC31E0">
        <w:rPr>
          <w:rFonts w:hint="eastAsia"/>
        </w:rPr>
        <w:t>図L.1　応力評価ライン(SCL)と応力評価断面(SCP)</w:t>
      </w:r>
      <w:r w:rsidRPr="00BC31E0">
        <w:rPr>
          <w:rFonts w:hint="eastAsia"/>
          <w:vertAlign w:val="superscript"/>
        </w:rPr>
        <w:t xml:space="preserve"> †</w:t>
      </w:r>
    </w:p>
    <w:p w14:paraId="2E428F1B" w14:textId="77777777" w:rsidR="002D033B" w:rsidRPr="00BC31E0" w:rsidRDefault="002D033B" w:rsidP="00203A92">
      <w:pPr>
        <w:pStyle w:val="15"/>
        <w:ind w:firstLine="210"/>
      </w:pPr>
    </w:p>
    <w:p w14:paraId="4A78BE92" w14:textId="77777777" w:rsidR="002D033B" w:rsidRPr="00BC31E0" w:rsidRDefault="00A51873" w:rsidP="00203A92">
      <w:pPr>
        <w:pStyle w:val="15"/>
        <w:ind w:firstLine="210"/>
        <w:jc w:val="center"/>
        <w:rPr>
          <w:rFonts w:asciiTheme="minorEastAsia" w:eastAsiaTheme="minorEastAsia" w:hAnsiTheme="minorEastAsia"/>
        </w:rPr>
      </w:pPr>
      <w:r>
        <w:rPr>
          <w:noProof/>
        </w:rPr>
      </w:r>
      <w:r>
        <w:rPr>
          <w:noProof/>
        </w:rPr>
        <w:pict w14:anchorId="05282293">
          <v:group id="グループ化 12794" o:spid="_x0000_s3174" style="width:361.2pt;height:641.3pt;mso-position-horizontal-relative:char;mso-position-vertical-relative:line" coordorigin="2321,1768" coordsize="7224,12826">
            <v:shape id="Picture 605" o:spid="_x0000_s3175" type="#_x0000_t75" style="position:absolute;left:2321;top:1768;width:7224;height:128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">
              <v:imagedata r:id="rId181" o:title=""/>
            </v:shape>
            <v:shape id="Text Box 606" o:spid="_x0000_s3176" type="#_x0000_t202" style="position:absolute;left:8302;top:4645;width:835;height:61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" stroked="f">
              <v:textbox inset="5.85pt,.7pt,5.85pt,.7pt">
                <w:txbxContent>
                  <w:p w14:paraId="42E5FE74" w14:textId="77777777" w:rsidR="003B0864" w:rsidRPr="00B143BC" w:rsidRDefault="003B0864" w:rsidP="002D033B">
                    <w:pPr>
                      <w:rPr>
                        <w:rFonts w:ascii="ＭＳ ゴシック" w:eastAsia="ＭＳ ゴシック" w:hAnsi="ＭＳ ゴシック"/>
                        <w:sz w:val="20"/>
                      </w:rPr>
                    </w:pPr>
                    <w:r w:rsidRPr="00B143BC">
                      <w:rPr>
                        <w:rFonts w:ascii="ＭＳ ゴシック" w:eastAsia="ＭＳ ゴシック" w:hAnsi="ＭＳ ゴシック" w:hint="eastAsia"/>
                        <w:sz w:val="20"/>
                      </w:rPr>
                      <w:t>周方向</w:t>
                    </w:r>
                  </w:p>
                </w:txbxContent>
              </v:textbox>
            </v:shape>
            <v:shape id="Text Box 607" o:spid="_x0000_s3177" type="#_x0000_t202" style="position:absolute;left:8425;top:5500;width:1035;height:38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" stroked="f">
              <v:textbox style="mso-fit-shape-to-text:t" inset="5.85pt,.7pt,5.85pt,.7pt">
                <w:txbxContent>
                  <w:p w14:paraId="47A864BE" w14:textId="77777777" w:rsidR="003B0864" w:rsidRPr="00B143BC" w:rsidRDefault="003B0864" w:rsidP="002D033B">
                    <w:pPr>
                      <w:rPr>
                        <w:rFonts w:ascii="ＭＳ ゴシック" w:eastAsia="ＭＳ ゴシック" w:hAnsi="ＭＳ ゴシック"/>
                        <w:sz w:val="20"/>
                      </w:rPr>
                    </w:pPr>
                    <w:r w:rsidRPr="00B143BC">
                      <w:rPr>
                        <w:rFonts w:ascii="ＭＳ ゴシック" w:eastAsia="ＭＳ ゴシック" w:hAnsi="ＭＳ ゴシック" w:hint="eastAsia"/>
                        <w:sz w:val="20"/>
                      </w:rPr>
                      <w:t>法線方向</w:t>
                    </w:r>
                  </w:p>
                </w:txbxContent>
              </v:textbox>
            </v:shape>
            <v:shape id="Text Box 608" o:spid="_x0000_s3178" type="#_x0000_t202" style="position:absolute;left:8051;top:6001;width:1035;height:38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" stroked="f">
              <v:textbox style="mso-fit-shape-to-text:t" inset="5.85pt,.7pt,5.85pt,.7pt">
                <w:txbxContent>
                  <w:p w14:paraId="4CDD18A7" w14:textId="77777777" w:rsidR="003B0864" w:rsidRPr="00B143BC" w:rsidRDefault="003B0864" w:rsidP="002D033B">
                    <w:pPr>
                      <w:rPr>
                        <w:rFonts w:ascii="ＭＳ ゴシック" w:eastAsia="ＭＳ ゴシック" w:hAnsi="ＭＳ ゴシック"/>
                        <w:sz w:val="20"/>
                      </w:rPr>
                    </w:pPr>
                    <w:r w:rsidRPr="00B143BC">
                      <w:rPr>
                        <w:rFonts w:ascii="ＭＳ ゴシック" w:eastAsia="ＭＳ ゴシック" w:hAnsi="ＭＳ ゴシック" w:hint="eastAsia"/>
                        <w:sz w:val="20"/>
                      </w:rPr>
                      <w:t>接線方向</w:t>
                    </w:r>
                  </w:p>
                </w:txbxContent>
              </v:textbox>
            </v:shape>
            <v:shape id="Text Box 609" o:spid="_x0000_s3179" type="#_x0000_t202" style="position:absolute;left:6886;top:4873;width:624;height:38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" stroked="f">
              <v:textbox style="mso-fit-shape-to-text:t" inset="5.85pt,.7pt,5.85pt,.7pt">
                <w:txbxContent>
                  <w:p w14:paraId="16CDFE3C" w14:textId="77777777" w:rsidR="003B0864" w:rsidRPr="00B143BC" w:rsidRDefault="003B0864" w:rsidP="002D033B">
                    <w:pPr>
                      <w:rPr>
                        <w:rFonts w:ascii="Arial" w:eastAsia="ＭＳ ゴシック" w:hAnsi="Arial" w:cs="Arial"/>
                        <w:sz w:val="20"/>
                      </w:rPr>
                    </w:pPr>
                    <w:r w:rsidRPr="00B143BC">
                      <w:rPr>
                        <w:rFonts w:ascii="Arial" w:eastAsia="ＭＳ ゴシック" w:hAnsi="Arial" w:cs="Arial"/>
                        <w:sz w:val="20"/>
                      </w:rPr>
                      <w:t>SCL</w:t>
                    </w:r>
                  </w:p>
                </w:txbxContent>
              </v:textbox>
            </v:shape>
            <v:shape id="Text Box 610" o:spid="_x0000_s3180" type="#_x0000_t202" style="position:absolute;left:7729;top:6285;width:290;height:55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" stroked="f">
              <v:textbox inset="5.85pt,.7pt,5.85pt,.7pt">
                <w:txbxContent>
                  <w:p w14:paraId="27C072C5" w14:textId="77777777" w:rsidR="003B0864" w:rsidRPr="00B143BC" w:rsidRDefault="003B0864" w:rsidP="002D033B">
                    <w:pPr>
                      <w:rPr>
                        <w:rFonts w:ascii="Arial" w:eastAsia="ＭＳ ゴシック" w:hAnsi="Arial" w:cs="Arial"/>
                        <w:sz w:val="20"/>
                      </w:rPr>
                    </w:pPr>
                    <w:r w:rsidRPr="00B143BC">
                      <w:rPr>
                        <w:rFonts w:ascii="Arial" w:eastAsia="ＭＳ ゴシック" w:hAnsi="Arial" w:cs="Arial"/>
                        <w:sz w:val="20"/>
                      </w:rPr>
                      <w:t>t</w:t>
                    </w:r>
                  </w:p>
                </w:txbxContent>
              </v:textbox>
            </v:shape>
            <v:shape id="Text Box 611" o:spid="_x0000_s3181" type="#_x0000_t202" style="position:absolute;left:3285;top:7317;width:5360;height:38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" stroked="f">
              <v:textbox style="mso-fit-shape-to-text:t" inset="5.85pt,.7pt,5.85pt,.7pt">
                <w:txbxContent>
                  <w:p w14:paraId="1732A241" w14:textId="77777777" w:rsidR="003B0864" w:rsidRPr="00F74053" w:rsidRDefault="003B0864" w:rsidP="002D033B">
                    <w:pPr>
                      <w:rPr>
                        <w:rFonts w:cs="Arial"/>
                      </w:rPr>
                    </w:pPr>
                    <w:r>
                      <w:rPr>
                        <w:rFonts w:cs="Arial"/>
                      </w:rPr>
                      <w:t xml:space="preserve">(a) </w:t>
                    </w:r>
                    <w:r>
                      <w:rPr>
                        <w:rFonts w:cs="Arial" w:hint="eastAsia"/>
                      </w:rPr>
                      <w:t>三</w:t>
                    </w:r>
                    <w:r w:rsidRPr="00F74053">
                      <w:rPr>
                        <w:rFonts w:hAnsi="ＭＳ 明朝" w:cs="Arial"/>
                      </w:rPr>
                      <w:t>次元モデルにおける応力評価ライン</w:t>
                    </w:r>
                    <w:r>
                      <w:rPr>
                        <w:rFonts w:hAnsi="ＭＳ 明朝" w:cs="Arial" w:hint="eastAsia"/>
                      </w:rPr>
                      <w:t>(SCL)</w:t>
                    </w:r>
                    <w:r w:rsidRPr="00F74053">
                      <w:rPr>
                        <w:rFonts w:hAnsi="ＭＳ 明朝" w:cs="Arial"/>
                      </w:rPr>
                      <w:t>の方向</w:t>
                    </w:r>
                  </w:p>
                </w:txbxContent>
              </v:textbox>
            </v:shape>
            <v:shape id="Text Box 612" o:spid="_x0000_s3182" type="#_x0000_t202" style="position:absolute;left:3290;top:14206;width:5360;height:38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" stroked="f">
              <v:textbox style="mso-fit-shape-to-text:t" inset="5.85pt,.7pt,5.85pt,.7pt">
                <w:txbxContent>
                  <w:p w14:paraId="413B1648" w14:textId="77777777" w:rsidR="003B0864" w:rsidRPr="00826707" w:rsidRDefault="003B0864" w:rsidP="002D033B">
                    <w:pPr>
                      <w:rPr>
                        <w:rFonts w:cs="Arial"/>
                      </w:rPr>
                    </w:pPr>
                    <w:r>
                      <w:rPr>
                        <w:rFonts w:cs="Arial"/>
                      </w:rPr>
                      <w:t>(</w:t>
                    </w:r>
                    <w:r>
                      <w:rPr>
                        <w:rFonts w:cs="Arial" w:hint="eastAsia"/>
                      </w:rPr>
                      <w:t>b</w:t>
                    </w:r>
                    <w:r w:rsidRPr="00826707">
                      <w:rPr>
                        <w:rFonts w:cs="Arial"/>
                      </w:rPr>
                      <w:t xml:space="preserve">) </w:t>
                    </w:r>
                    <w:r>
                      <w:rPr>
                        <w:rFonts w:cs="Arial" w:hint="eastAsia"/>
                      </w:rPr>
                      <w:t>二</w:t>
                    </w:r>
                    <w:r w:rsidRPr="00826707">
                      <w:rPr>
                        <w:rFonts w:hAnsi="ＭＳ 明朝" w:cs="Arial"/>
                      </w:rPr>
                      <w:t>次元モデルにおける応力評価ライン</w:t>
                    </w:r>
                    <w:r>
                      <w:rPr>
                        <w:rFonts w:hAnsi="ＭＳ 明朝" w:cs="Arial" w:hint="eastAsia"/>
                      </w:rPr>
                      <w:t>(SCL)</w:t>
                    </w:r>
                    <w:r w:rsidRPr="00826707">
                      <w:rPr>
                        <w:rFonts w:hAnsi="ＭＳ 明朝" w:cs="Arial"/>
                      </w:rPr>
                      <w:t>の方向</w:t>
                    </w:r>
                  </w:p>
                </w:txbxContent>
              </v:textbox>
            </v:shape>
            <v:shape id="Text Box 613" o:spid="_x0000_s3183" type="#_x0000_t202" style="position:absolute;left:6787;top:8209;width:1035;height:38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" stroked="f">
              <v:textbox style="mso-fit-shape-to-text:t" inset="5.85pt,.7pt,5.85pt,.7pt">
                <w:txbxContent>
                  <w:p w14:paraId="34951135" w14:textId="77777777" w:rsidR="003B0864" w:rsidRPr="00B143BC" w:rsidRDefault="003B0864" w:rsidP="002D033B">
                    <w:pPr>
                      <w:rPr>
                        <w:rFonts w:ascii="ＭＳ ゴシック" w:eastAsia="ＭＳ ゴシック" w:hAnsi="ＭＳ ゴシック"/>
                        <w:sz w:val="20"/>
                      </w:rPr>
                    </w:pPr>
                    <w:r w:rsidRPr="00B143BC">
                      <w:rPr>
                        <w:rFonts w:ascii="ＭＳ ゴシック" w:eastAsia="ＭＳ ゴシック" w:hAnsi="ＭＳ ゴシック" w:hint="eastAsia"/>
                        <w:sz w:val="20"/>
                      </w:rPr>
                      <w:t>法線方向</w:t>
                    </w:r>
                  </w:p>
                </w:txbxContent>
              </v:textbox>
            </v:shape>
            <v:shape id="Text Box 614" o:spid="_x0000_s3184" type="#_x0000_t202" style="position:absolute;left:8427;top:8409;width:1035;height:38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" stroked="f">
              <v:textbox style="mso-fit-shape-to-text:t" inset="5.85pt,.7pt,5.85pt,.7pt">
                <w:txbxContent>
                  <w:p w14:paraId="0C99CAEE" w14:textId="77777777" w:rsidR="003B0864" w:rsidRPr="00B143BC" w:rsidRDefault="003B0864" w:rsidP="002D033B">
                    <w:pPr>
                      <w:rPr>
                        <w:rFonts w:ascii="ＭＳ ゴシック" w:eastAsia="ＭＳ ゴシック" w:hAnsi="ＭＳ ゴシック"/>
                        <w:sz w:val="20"/>
                      </w:rPr>
                    </w:pPr>
                    <w:r w:rsidRPr="00B143BC">
                      <w:rPr>
                        <w:rFonts w:ascii="ＭＳ ゴシック" w:eastAsia="ＭＳ ゴシック" w:hAnsi="ＭＳ ゴシック" w:hint="eastAsia"/>
                        <w:sz w:val="20"/>
                      </w:rPr>
                      <w:t>接線方向</w:t>
                    </w:r>
                  </w:p>
                </w:txbxContent>
              </v:textbox>
            </v:shape>
            <v:shape id="Text Box 615" o:spid="_x0000_s3185" type="#_x0000_t202" style="position:absolute;left:7905;top:9381;width:835;height:38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" stroked="f">
              <v:textbox style="mso-fit-shape-to-text:t" inset="5.85pt,.7pt,5.85pt,.7pt">
                <w:txbxContent>
                  <w:p w14:paraId="4EE526B0" w14:textId="77777777" w:rsidR="003B0864" w:rsidRPr="00B143BC" w:rsidRDefault="003B0864" w:rsidP="002D033B">
                    <w:pPr>
                      <w:rPr>
                        <w:rFonts w:ascii="ＭＳ ゴシック" w:eastAsia="ＭＳ ゴシック" w:hAnsi="ＭＳ ゴシック"/>
                        <w:sz w:val="20"/>
                      </w:rPr>
                    </w:pPr>
                    <w:r w:rsidRPr="00B143BC">
                      <w:rPr>
                        <w:rFonts w:ascii="ＭＳ ゴシック" w:eastAsia="ＭＳ ゴシック" w:hAnsi="ＭＳ ゴシック" w:hint="eastAsia"/>
                        <w:sz w:val="20"/>
                      </w:rPr>
                      <w:t>周方向</w:t>
                    </w:r>
                  </w:p>
                </w:txbxContent>
              </v:textbox>
            </v:shape>
            <v:shape id="Text Box 616" o:spid="_x0000_s3186" type="#_x0000_t202" style="position:absolute;left:6296;top:10064;width:624;height:38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" stroked="f">
              <v:textbox style="mso-fit-shape-to-text:t" inset="5.85pt,.7pt,5.85pt,.7pt">
                <w:txbxContent>
                  <w:p w14:paraId="42131A67" w14:textId="77777777" w:rsidR="003B0864" w:rsidRPr="00B143BC" w:rsidRDefault="003B0864" w:rsidP="002D033B">
                    <w:pPr>
                      <w:rPr>
                        <w:rFonts w:ascii="Arial" w:eastAsia="ＭＳ ゴシック" w:hAnsi="Arial" w:cs="Arial"/>
                        <w:sz w:val="20"/>
                      </w:rPr>
                    </w:pPr>
                    <w:r w:rsidRPr="00B143BC">
                      <w:rPr>
                        <w:rFonts w:ascii="Arial" w:eastAsia="ＭＳ ゴシック" w:hAnsi="Arial" w:cs="Arial"/>
                        <w:sz w:val="20"/>
                      </w:rPr>
                      <w:t>SCL</w:t>
                    </w:r>
                  </w:p>
                </w:txbxContent>
              </v:textbox>
            </v:shape>
            <v:shape id="Text Box 617" o:spid="_x0000_s3187" type="#_x0000_t202" style="position:absolute;left:6489;top:9527;width:290;height:38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" stroked="f">
              <v:textbox style="mso-fit-shape-to-text:t" inset="5.85pt,.7pt,5.85pt,.7pt">
                <w:txbxContent>
                  <w:p w14:paraId="06CF56E3" w14:textId="77777777" w:rsidR="003B0864" w:rsidRPr="00B143BC" w:rsidRDefault="003B0864" w:rsidP="002D033B">
                    <w:pPr>
                      <w:rPr>
                        <w:rFonts w:ascii="Arial" w:eastAsia="ＭＳ ゴシック" w:hAnsi="Arial" w:cs="Arial"/>
                        <w:sz w:val="20"/>
                      </w:rPr>
                    </w:pPr>
                    <w:r w:rsidRPr="00B143BC">
                      <w:rPr>
                        <w:rFonts w:ascii="Arial" w:eastAsia="ＭＳ ゴシック" w:hAnsi="Arial" w:cs="Arial"/>
                        <w:sz w:val="20"/>
                      </w:rPr>
                      <w:t>t</w:t>
                    </w:r>
                  </w:p>
                </w:txbxContent>
              </v:textbox>
            </v:shape>
            <v:shape id="Text Box 618" o:spid="_x0000_s3188" type="#_x0000_t202" style="position:absolute;left:5852;top:10943;width:1003;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" stroked="f">
              <v:textbox style="mso-fit-shape-to-text:t" inset="5.85pt,.7pt,5.85pt,.7pt">
                <w:txbxContent>
                  <w:p w14:paraId="0065272D" w14:textId="77777777" w:rsidR="003B0864" w:rsidRPr="00B143BC" w:rsidRDefault="003B0864" w:rsidP="002D033B">
                    <w:pPr>
                      <w:jc w:val="center"/>
                      <w:rPr>
                        <w:rFonts w:ascii="ＭＳ ゴシック" w:eastAsia="ＭＳ ゴシック" w:hAnsi="ＭＳ ゴシック"/>
                        <w:sz w:val="20"/>
                      </w:rPr>
                    </w:pPr>
                    <w:r w:rsidRPr="00B143BC">
                      <w:rPr>
                        <w:rFonts w:ascii="ＭＳ ゴシック" w:eastAsia="ＭＳ ゴシック" w:hAnsi="ＭＳ ゴシック" w:hint="eastAsia"/>
                        <w:sz w:val="20"/>
                      </w:rPr>
                      <w:t>中央面</w:t>
                    </w:r>
                  </w:p>
                </w:txbxContent>
              </v:textbox>
            </v:shape>
            <w10:anchorlock/>
          </v:group>
        </w:pict>
      </w:r>
    </w:p>
    <w:p w14:paraId="1533D6FC" w14:textId="77777777" w:rsidR="002D033B" w:rsidRPr="00BC31E0" w:rsidRDefault="002D033B" w:rsidP="0058590E">
      <w:pPr>
        <w:pStyle w:val="af4"/>
        <w:rPr>
          <w:vertAlign w:val="superscript"/>
        </w:rPr>
      </w:pPr>
      <w:r w:rsidRPr="00BC31E0">
        <w:rPr>
          <w:rFonts w:hint="eastAsia"/>
        </w:rPr>
        <w:t>図L.2　応力評価ライン(SCL)</w:t>
      </w:r>
      <w:r w:rsidRPr="00BC31E0">
        <w:rPr>
          <w:rFonts w:hint="eastAsia"/>
          <w:vertAlign w:val="superscript"/>
        </w:rPr>
        <w:t xml:space="preserve"> †</w:t>
      </w:r>
    </w:p>
    <w:p w14:paraId="00CB4343" w14:textId="77777777" w:rsidR="0058590E" w:rsidRPr="00BC31E0" w:rsidRDefault="0058590E" w:rsidP="0058590E">
      <w:pPr>
        <w:pStyle w:val="af4"/>
      </w:pPr>
    </w:p>
    <w:p w14:paraId="10E02048" w14:textId="77777777" w:rsidR="002D033B" w:rsidRPr="00BC31E0" w:rsidRDefault="002D033B" w:rsidP="0076612C">
      <w:pPr>
        <w:pStyle w:val="13"/>
        <w:adjustRightInd/>
        <w:snapToGrid/>
        <w:spacing w:line="240" w:lineRule="auto"/>
        <w:ind w:left="340" w:hanging="340"/>
      </w:pPr>
      <w:r w:rsidRPr="00BC31E0">
        <w:rPr>
          <w:rFonts w:hint="eastAsia"/>
        </w:rPr>
        <w:lastRenderedPageBreak/>
        <w:t>SCLの選定基準</w:t>
      </w:r>
    </w:p>
    <w:p w14:paraId="014333D1" w14:textId="77777777" w:rsidR="002D033B" w:rsidRPr="00BC31E0" w:rsidRDefault="002D033B" w:rsidP="0076612C">
      <w:pPr>
        <w:pStyle w:val="15"/>
        <w:ind w:firstLine="210"/>
        <w:jc w:val="left"/>
        <w:rPr>
          <w:rFonts w:asciiTheme="minorHAnsi" w:eastAsiaTheme="minorEastAsia" w:hAnsiTheme="minorHAnsi"/>
        </w:rPr>
      </w:pPr>
      <w:r w:rsidRPr="00BC31E0">
        <w:rPr>
          <w:rFonts w:asciiTheme="minorHAnsi" w:eastAsiaTheme="minorEastAsia" w:hAnsiTheme="minorHAnsi"/>
        </w:rPr>
        <w:t>SCL</w:t>
      </w:r>
      <w:r w:rsidRPr="00BC31E0">
        <w:rPr>
          <w:rFonts w:asciiTheme="minorHAnsi" w:eastAsiaTheme="minorEastAsia" w:hAnsiTheme="minorHAnsi" w:hint="eastAsia"/>
        </w:rPr>
        <w:t>の</w:t>
      </w:r>
      <w:r w:rsidRPr="00BC31E0">
        <w:rPr>
          <w:rFonts w:asciiTheme="minorHAnsi" w:eastAsiaTheme="minorEastAsia" w:hAnsiTheme="minorEastAsia"/>
        </w:rPr>
        <w:t>選定基準</w:t>
      </w:r>
      <w:r w:rsidRPr="00BC31E0">
        <w:rPr>
          <w:rFonts w:asciiTheme="minorHAnsi" w:eastAsiaTheme="minorEastAsia" w:hAnsiTheme="minorEastAsia" w:hint="eastAsia"/>
        </w:rPr>
        <w:t>は，次の</w:t>
      </w:r>
      <w:r w:rsidRPr="00BC31E0">
        <w:rPr>
          <w:rFonts w:asciiTheme="majorEastAsia" w:eastAsiaTheme="majorEastAsia" w:hAnsiTheme="majorEastAsia"/>
          <w:b/>
        </w:rPr>
        <w:t>a)</w:t>
      </w:r>
      <w:r w:rsidRPr="00BC31E0">
        <w:rPr>
          <w:rFonts w:asciiTheme="minorHAnsi" w:eastAsiaTheme="minorEastAsia" w:hAnsiTheme="minorEastAsia"/>
        </w:rPr>
        <w:t>～</w:t>
      </w:r>
      <w:r w:rsidRPr="00BC31E0">
        <w:rPr>
          <w:rFonts w:asciiTheme="majorEastAsia" w:eastAsiaTheme="majorEastAsia" w:hAnsiTheme="majorEastAsia"/>
          <w:b/>
        </w:rPr>
        <w:t>c)</w:t>
      </w:r>
      <w:r w:rsidRPr="00BC31E0">
        <w:rPr>
          <w:rFonts w:asciiTheme="minorEastAsia" w:eastAsiaTheme="minorEastAsia" w:hAnsiTheme="minorEastAsia" w:hint="eastAsia"/>
        </w:rPr>
        <w:t>による</w:t>
      </w:r>
      <w:r w:rsidRPr="00BC31E0">
        <w:rPr>
          <w:rFonts w:asciiTheme="minorHAnsi" w:eastAsiaTheme="minorEastAsia" w:hAnsiTheme="minorEastAsia"/>
        </w:rPr>
        <w:t>。</w:t>
      </w:r>
    </w:p>
    <w:p w14:paraId="0A2786C0" w14:textId="77777777" w:rsidR="00F5099E" w:rsidRPr="00BC31E0" w:rsidRDefault="002D033B" w:rsidP="00736130">
      <w:pPr>
        <w:pStyle w:val="a4"/>
        <w:numPr>
          <w:ilvl w:val="0"/>
          <w:numId w:val="640"/>
        </w:numPr>
        <w:ind w:leftChars="0" w:left="454" w:hanging="454"/>
      </w:pPr>
      <w:r w:rsidRPr="00BC31E0">
        <w:rPr>
          <w:rFonts w:hint="eastAsia"/>
        </w:rPr>
        <w:t>圧力容器には，一般に形状，材料又は荷重の急激な変化が起こる構造不連続部がある。このような領域は，通常，部材中の高応力発生部位である。塑性崩壊及びラチェットの損傷モードを評価する場合には，</w:t>
      </w:r>
      <w:r w:rsidRPr="00BC31E0">
        <w:t>SCL</w:t>
      </w:r>
      <w:r w:rsidRPr="00BC31E0">
        <w:rPr>
          <w:rFonts w:hint="eastAsia"/>
        </w:rPr>
        <w:t>は総体的構造不連続部に設定する。局部損傷及び疲労を評価する場合には，</w:t>
      </w:r>
      <w:r w:rsidRPr="00BC31E0">
        <w:t>SCL</w:t>
      </w:r>
      <w:r w:rsidRPr="00BC31E0">
        <w:rPr>
          <w:rFonts w:hint="eastAsia"/>
        </w:rPr>
        <w:t>は局部構造不連続部に設定する。</w:t>
      </w:r>
    </w:p>
    <w:p w14:paraId="296916DB" w14:textId="77777777" w:rsidR="00F5099E" w:rsidRPr="00BC31E0" w:rsidRDefault="002D033B" w:rsidP="00736130">
      <w:pPr>
        <w:pStyle w:val="a4"/>
        <w:numPr>
          <w:ilvl w:val="0"/>
          <w:numId w:val="640"/>
        </w:numPr>
        <w:ind w:leftChars="0" w:left="454" w:hanging="454"/>
      </w:pPr>
      <w:r w:rsidRPr="00BC31E0">
        <w:t>SCL</w:t>
      </w:r>
      <w:r w:rsidRPr="00BC31E0">
        <w:rPr>
          <w:rFonts w:hint="eastAsia"/>
        </w:rPr>
        <w:t>がクラッド材と母材のように材料の不連続部を通る場合には，</w:t>
      </w:r>
      <w:r w:rsidRPr="00BC31E0">
        <w:t>SCL</w:t>
      </w:r>
      <w:r w:rsidRPr="00BC31E0">
        <w:rPr>
          <w:rFonts w:hint="eastAsia"/>
        </w:rPr>
        <w:t>に</w:t>
      </w:r>
      <w:r w:rsidR="00DC160D" w:rsidRPr="00BC31E0">
        <w:rPr>
          <w:rFonts w:hint="eastAsia"/>
        </w:rPr>
        <w:t>全</w:t>
      </w:r>
      <w:r w:rsidRPr="00BC31E0">
        <w:rPr>
          <w:rFonts w:hint="eastAsia"/>
        </w:rPr>
        <w:t>ての材料と関連する荷重を考慮しなければならない。クラッド材のように材料の一つが強度計算から除外されている場合には，塑性崩壊を評価する断面に作用する線形化した力とモーメントから，母材の厚さのみを用いて膜応力と曲げ応力を計算する。</w:t>
      </w:r>
    </w:p>
    <w:p w14:paraId="3F9EA580" w14:textId="77777777" w:rsidR="002D033B" w:rsidRPr="00BC31E0" w:rsidRDefault="002D033B" w:rsidP="00736130">
      <w:pPr>
        <w:pStyle w:val="a4"/>
        <w:numPr>
          <w:ilvl w:val="0"/>
          <w:numId w:val="640"/>
        </w:numPr>
        <w:ind w:leftChars="0" w:left="454" w:hanging="454"/>
      </w:pPr>
      <w:r w:rsidRPr="00BC31E0">
        <w:rPr>
          <w:rFonts w:hint="eastAsia"/>
        </w:rPr>
        <w:t>弾性応力制限と比較するための線形化された膜応力と曲げ応力をより正確に求めるための指針を，次の</w:t>
      </w:r>
      <w:r w:rsidRPr="00BC31E0">
        <w:rPr>
          <w:rFonts w:asciiTheme="majorEastAsia" w:eastAsiaTheme="majorEastAsia" w:hAnsiTheme="majorEastAsia"/>
          <w:b/>
          <w:bCs/>
        </w:rPr>
        <w:t>1)</w:t>
      </w:r>
      <w:r w:rsidRPr="00BC31E0">
        <w:rPr>
          <w:rFonts w:hint="eastAsia"/>
        </w:rPr>
        <w:t>～</w:t>
      </w:r>
      <w:r w:rsidRPr="00BC31E0">
        <w:rPr>
          <w:rFonts w:asciiTheme="majorEastAsia" w:eastAsiaTheme="majorEastAsia" w:hAnsiTheme="majorEastAsia" w:hint="eastAsia"/>
          <w:b/>
          <w:bCs/>
        </w:rPr>
        <w:t>5)</w:t>
      </w:r>
      <w:r w:rsidRPr="00BC31E0">
        <w:rPr>
          <w:rFonts w:hint="eastAsia"/>
        </w:rPr>
        <w:t>及び</w:t>
      </w:r>
      <w:r w:rsidRPr="00BC31E0">
        <w:rPr>
          <w:rFonts w:asciiTheme="majorEastAsia" w:eastAsiaTheme="majorEastAsia" w:hAnsiTheme="majorEastAsia" w:hint="eastAsia"/>
          <w:b/>
          <w:bCs/>
        </w:rPr>
        <w:t>図L.3</w:t>
      </w:r>
      <w:r w:rsidRPr="00BC31E0">
        <w:rPr>
          <w:rFonts w:hint="eastAsia"/>
        </w:rPr>
        <w:t>に示す。これらの指針は，</w:t>
      </w:r>
      <w:r w:rsidRPr="00BC31E0">
        <w:t>SCL</w:t>
      </w:r>
      <w:r w:rsidRPr="00BC31E0">
        <w:rPr>
          <w:rFonts w:hint="eastAsia"/>
        </w:rPr>
        <w:t>を選定するための定性的な手段として用いる。これらの基準のいずれかに適合しない場合には，膜応力又は曲げ応力を適切に評価していないことがある。この規格で弾塑性解析が要求される場合には，弾塑性解析結果を用いて，疲労評価のための膜応力及び曲げ応力を求めなければならない。</w:t>
      </w:r>
    </w:p>
    <w:p w14:paraId="44400674" w14:textId="77777777" w:rsidR="00E9080F" w:rsidRPr="00BC31E0" w:rsidRDefault="002D033B" w:rsidP="00736130">
      <w:pPr>
        <w:pStyle w:val="a4"/>
        <w:numPr>
          <w:ilvl w:val="0"/>
          <w:numId w:val="641"/>
        </w:numPr>
        <w:ind w:leftChars="0" w:left="738" w:hanging="454"/>
      </w:pPr>
      <w:r w:rsidRPr="00BC31E0">
        <w:t>SCL</w:t>
      </w:r>
      <w:r w:rsidRPr="00BC31E0">
        <w:rPr>
          <w:rFonts w:hint="eastAsia"/>
        </w:rPr>
        <w:t>は最大応力成分の等高線に直交する方向に設定する。これが困難な場合には，</w:t>
      </w:r>
      <w:r w:rsidRPr="00BC31E0">
        <w:t>SCL</w:t>
      </w:r>
      <w:r w:rsidRPr="00BC31E0">
        <w:rPr>
          <w:rFonts w:hint="eastAsia"/>
        </w:rPr>
        <w:t>を断面の中央面に直交する方向に設定することにより同等の精度が得られる</w:t>
      </w:r>
      <w:r w:rsidRPr="00BC31E0">
        <w:rPr>
          <w:rFonts w:hint="eastAsia"/>
        </w:rPr>
        <w:t>[</w:t>
      </w:r>
      <w:r w:rsidRPr="00BC31E0">
        <w:rPr>
          <w:rFonts w:asciiTheme="majorEastAsia" w:eastAsiaTheme="majorEastAsia" w:hAnsiTheme="majorEastAsia" w:hint="eastAsia"/>
          <w:b/>
          <w:bCs/>
        </w:rPr>
        <w:t>図L.3(a)</w:t>
      </w:r>
      <w:r w:rsidRPr="00BC31E0">
        <w:rPr>
          <w:rFonts w:hint="eastAsia"/>
        </w:rPr>
        <w:t>を参照</w:t>
      </w:r>
      <w:r w:rsidRPr="00BC31E0">
        <w:rPr>
          <w:rFonts w:hint="eastAsia"/>
        </w:rPr>
        <w:t>]</w:t>
      </w:r>
      <w:r w:rsidRPr="00BC31E0">
        <w:rPr>
          <w:rFonts w:hint="eastAsia"/>
        </w:rPr>
        <w:t>。</w:t>
      </w:r>
    </w:p>
    <w:p w14:paraId="674459A5" w14:textId="77777777" w:rsidR="00E9080F" w:rsidRPr="00BC31E0" w:rsidRDefault="002D033B" w:rsidP="00736130">
      <w:pPr>
        <w:pStyle w:val="a4"/>
        <w:numPr>
          <w:ilvl w:val="0"/>
          <w:numId w:val="641"/>
        </w:numPr>
        <w:ind w:leftChars="0" w:left="738" w:hanging="454"/>
      </w:pPr>
      <w:r w:rsidRPr="00BC31E0">
        <w:t>SCL</w:t>
      </w:r>
      <w:r w:rsidRPr="00BC31E0">
        <w:rPr>
          <w:rFonts w:hint="eastAsia"/>
        </w:rPr>
        <w:t>上の周方向と子午線方向成分の応力分布は，応力集中又はピーク熱応力の影響を除いて，単調増加又は単調減少しなければならない</w:t>
      </w:r>
      <w:r w:rsidRPr="00BC31E0">
        <w:rPr>
          <w:rFonts w:hint="eastAsia"/>
        </w:rPr>
        <w:t>[</w:t>
      </w:r>
      <w:r w:rsidRPr="00BC31E0">
        <w:rPr>
          <w:rFonts w:asciiTheme="majorEastAsia" w:eastAsiaTheme="majorEastAsia" w:hAnsiTheme="majorEastAsia" w:hint="eastAsia"/>
          <w:b/>
        </w:rPr>
        <w:t>図L.3(b)</w:t>
      </w:r>
      <w:r w:rsidRPr="00BC31E0">
        <w:rPr>
          <w:rFonts w:hint="eastAsia"/>
        </w:rPr>
        <w:t>を参照</w:t>
      </w:r>
      <w:r w:rsidRPr="00BC31E0">
        <w:rPr>
          <w:rFonts w:hint="eastAsia"/>
        </w:rPr>
        <w:t>]</w:t>
      </w:r>
      <w:r w:rsidRPr="00BC31E0">
        <w:rPr>
          <w:rFonts w:hint="eastAsia"/>
        </w:rPr>
        <w:t>。</w:t>
      </w:r>
    </w:p>
    <w:p w14:paraId="442FF00C" w14:textId="77777777" w:rsidR="00E9080F" w:rsidRPr="00BC31E0" w:rsidRDefault="002D033B" w:rsidP="00736130">
      <w:pPr>
        <w:pStyle w:val="a4"/>
        <w:numPr>
          <w:ilvl w:val="0"/>
          <w:numId w:val="641"/>
        </w:numPr>
        <w:ind w:leftChars="0" w:left="738" w:hanging="454"/>
      </w:pPr>
      <w:r w:rsidRPr="00BC31E0">
        <w:rPr>
          <w:rFonts w:hint="eastAsia"/>
        </w:rPr>
        <w:t>断面の厚さ方向成分の応力分布は，単調増加又は単調減少しなければならない。圧力荷重に対しては，厚さ方向の応力が圧力作用面で圧力に等しい圧縮応力となり，反対側の面でほぼゼロになるように</w:t>
      </w:r>
      <w:r w:rsidRPr="00BC31E0">
        <w:t>SCL</w:t>
      </w:r>
      <w:r w:rsidRPr="00BC31E0">
        <w:rPr>
          <w:rFonts w:hint="eastAsia"/>
        </w:rPr>
        <w:t>を設定する</w:t>
      </w:r>
      <w:r w:rsidRPr="00BC31E0">
        <w:rPr>
          <w:rFonts w:hint="eastAsia"/>
        </w:rPr>
        <w:t>[</w:t>
      </w:r>
      <w:r w:rsidRPr="00BC31E0">
        <w:rPr>
          <w:rFonts w:asciiTheme="majorEastAsia" w:eastAsiaTheme="majorEastAsia" w:hAnsiTheme="majorEastAsia" w:hint="eastAsia"/>
          <w:b/>
        </w:rPr>
        <w:t>図L.3(c)</w:t>
      </w:r>
      <w:r w:rsidRPr="00BC31E0">
        <w:rPr>
          <w:rFonts w:hint="eastAsia"/>
        </w:rPr>
        <w:t>を参照</w:t>
      </w:r>
      <w:r w:rsidRPr="00BC31E0">
        <w:rPr>
          <w:rFonts w:hint="eastAsia"/>
        </w:rPr>
        <w:t>]</w:t>
      </w:r>
      <w:r w:rsidRPr="00BC31E0">
        <w:rPr>
          <w:rFonts w:hint="eastAsia"/>
        </w:rPr>
        <w:t>。</w:t>
      </w:r>
      <w:r w:rsidRPr="00BC31E0">
        <w:t>SCL</w:t>
      </w:r>
      <w:r w:rsidRPr="00BC31E0">
        <w:rPr>
          <w:rFonts w:hint="eastAsia"/>
        </w:rPr>
        <w:t>が表面に垂直でない場合には，この限りではない。</w:t>
      </w:r>
    </w:p>
    <w:p w14:paraId="7E18E5C8" w14:textId="77777777" w:rsidR="002D033B" w:rsidRPr="00BC31E0" w:rsidRDefault="002D033B" w:rsidP="00736130">
      <w:pPr>
        <w:pStyle w:val="a4"/>
        <w:numPr>
          <w:ilvl w:val="0"/>
          <w:numId w:val="641"/>
        </w:numPr>
        <w:ind w:leftChars="0" w:left="738" w:hanging="454"/>
      </w:pPr>
      <w:r w:rsidRPr="00BC31E0">
        <w:rPr>
          <w:rFonts w:hint="eastAsia"/>
        </w:rPr>
        <w:t>せん断応力分布は放物線形状となり，周方向及び子午線方向応力に比べて小さい。荷重の種類にも依存するが，せん断応力分布が断面の両表面でほぼゼロになるように</w:t>
      </w:r>
      <w:r w:rsidRPr="00BC31E0">
        <w:t>SCL</w:t>
      </w:r>
      <w:r w:rsidRPr="00BC31E0">
        <w:rPr>
          <w:rFonts w:hint="eastAsia"/>
        </w:rPr>
        <w:t>を設定する</w:t>
      </w:r>
      <w:r w:rsidRPr="00BC31E0">
        <w:rPr>
          <w:rFonts w:hint="eastAsia"/>
        </w:rPr>
        <w:t>[</w:t>
      </w:r>
      <w:r w:rsidRPr="00BC31E0">
        <w:rPr>
          <w:rFonts w:asciiTheme="majorEastAsia" w:eastAsiaTheme="majorEastAsia" w:hAnsiTheme="majorEastAsia" w:hint="eastAsia"/>
          <w:b/>
        </w:rPr>
        <w:t>図L.3(d)</w:t>
      </w:r>
      <w:r w:rsidRPr="00BC31E0">
        <w:rPr>
          <w:rFonts w:hint="eastAsia"/>
        </w:rPr>
        <w:t>を参照</w:t>
      </w:r>
      <w:r w:rsidRPr="00BC31E0">
        <w:rPr>
          <w:rFonts w:hint="eastAsia"/>
        </w:rPr>
        <w:t>]</w:t>
      </w:r>
      <w:r w:rsidRPr="00BC31E0">
        <w:rPr>
          <w:rFonts w:hint="eastAsia"/>
        </w:rPr>
        <w:t>。せん断応力分布に関する注意事項を</w:t>
      </w:r>
      <w:r w:rsidRPr="00BC31E0">
        <w:rPr>
          <w:rFonts w:asciiTheme="majorEastAsia" w:eastAsiaTheme="majorEastAsia" w:hAnsiTheme="majorEastAsia" w:hint="eastAsia"/>
          <w:b/>
        </w:rPr>
        <w:t>4.1)</w:t>
      </w:r>
      <w:r w:rsidRPr="00BC31E0">
        <w:rPr>
          <w:rFonts w:hint="eastAsia"/>
        </w:rPr>
        <w:t>と</w:t>
      </w:r>
      <w:r w:rsidRPr="00BC31E0">
        <w:rPr>
          <w:rFonts w:asciiTheme="majorEastAsia" w:eastAsiaTheme="majorEastAsia" w:hAnsiTheme="majorEastAsia" w:hint="eastAsia"/>
          <w:b/>
        </w:rPr>
        <w:t>4.2)</w:t>
      </w:r>
      <w:r w:rsidRPr="00BC31E0">
        <w:rPr>
          <w:rFonts w:hint="eastAsia"/>
        </w:rPr>
        <w:t>に示す。</w:t>
      </w:r>
    </w:p>
    <w:p w14:paraId="1C34194D" w14:textId="77777777" w:rsidR="0076612C" w:rsidRPr="00BC31E0" w:rsidRDefault="002D033B" w:rsidP="00736130">
      <w:pPr>
        <w:pStyle w:val="a4"/>
        <w:numPr>
          <w:ilvl w:val="0"/>
          <w:numId w:val="418"/>
        </w:numPr>
        <w:ind w:leftChars="0" w:left="1134" w:hanging="567"/>
        <w:rPr>
          <w:rFonts w:ascii="ＭＳ ゴシック" w:eastAsia="ＭＳ ゴシック" w:hAnsi="ＭＳ ゴシック"/>
          <w:b/>
        </w:rPr>
      </w:pPr>
      <w:r w:rsidRPr="00BC31E0">
        <w:rPr>
          <w:rFonts w:hint="eastAsia"/>
        </w:rPr>
        <w:t>内面と外面が平行で</w:t>
      </w:r>
      <w:r w:rsidRPr="00BC31E0">
        <w:rPr>
          <w:rFonts w:asciiTheme="minorHAnsi" w:hAnsiTheme="minorHAnsi"/>
        </w:rPr>
        <w:t>SCL</w:t>
      </w:r>
      <w:r w:rsidRPr="00BC31E0">
        <w:rPr>
          <w:rFonts w:hint="eastAsia"/>
        </w:rPr>
        <w:t>が両表面と直交する場合にのみ，</w:t>
      </w:r>
      <w:r w:rsidRPr="00BC31E0">
        <w:rPr>
          <w:rFonts w:asciiTheme="minorHAnsi" w:hAnsiTheme="minorHAnsi"/>
        </w:rPr>
        <w:t>SCL</w:t>
      </w:r>
      <w:r w:rsidRPr="00BC31E0">
        <w:rPr>
          <w:rFonts w:hint="eastAsia"/>
        </w:rPr>
        <w:t>上のせん断応力分布は近似的に放物線形状になる。両表面が平行でない場合又は</w:t>
      </w:r>
      <w:r w:rsidRPr="00BC31E0">
        <w:rPr>
          <w:rFonts w:asciiTheme="minorHAnsi" w:hAnsiTheme="minorHAnsi"/>
        </w:rPr>
        <w:t>SCL</w:t>
      </w:r>
      <w:r w:rsidRPr="00BC31E0">
        <w:rPr>
          <w:rFonts w:hint="eastAsia"/>
        </w:rPr>
        <w:t>が両表面と直交しない場合には，適切なせん断応力分布は得られない。しかし，せん断応力の大</w:t>
      </w:r>
      <w:r w:rsidR="003D38A8" w:rsidRPr="00BC31E0">
        <w:rPr>
          <w:rFonts w:hint="eastAsia"/>
        </w:rPr>
        <w:t>きさが周方向又は子午線方向応力に比べて小さい場合には，この指針を</w:t>
      </w:r>
      <w:r w:rsidRPr="00BC31E0">
        <w:rPr>
          <w:rFonts w:hint="eastAsia"/>
        </w:rPr>
        <w:t>免除</w:t>
      </w:r>
      <w:r w:rsidR="003D38A8" w:rsidRPr="00BC31E0">
        <w:rPr>
          <w:rFonts w:hint="eastAsia"/>
        </w:rPr>
        <w:t>す</w:t>
      </w:r>
      <w:r w:rsidRPr="00BC31E0">
        <w:rPr>
          <w:rFonts w:hint="eastAsia"/>
        </w:rPr>
        <w:t>る</w:t>
      </w:r>
      <w:r w:rsidR="003D38A8" w:rsidRPr="00BC31E0">
        <w:rPr>
          <w:rFonts w:hint="eastAsia"/>
        </w:rPr>
        <w:t>。</w:t>
      </w:r>
    </w:p>
    <w:p w14:paraId="15BB6B54" w14:textId="77777777" w:rsidR="002D033B" w:rsidRPr="00BC31E0" w:rsidRDefault="002D033B" w:rsidP="00736130">
      <w:pPr>
        <w:pStyle w:val="a4"/>
        <w:numPr>
          <w:ilvl w:val="0"/>
          <w:numId w:val="418"/>
        </w:numPr>
        <w:ind w:leftChars="0" w:left="1134" w:hanging="567"/>
        <w:rPr>
          <w:rFonts w:ascii="ＭＳ ゴシック" w:eastAsia="ＭＳ ゴシック" w:hAnsi="ＭＳ ゴシック"/>
          <w:b/>
        </w:rPr>
      </w:pPr>
      <w:r w:rsidRPr="00BC31E0">
        <w:rPr>
          <w:rFonts w:ascii="ＭＳ 明朝" w:hAnsi="ＭＳ 明朝" w:hint="eastAsia"/>
        </w:rPr>
        <w:t>ねじりによるせん断応力分布のように</w:t>
      </w:r>
      <w:r w:rsidR="0076612C" w:rsidRPr="00BC31E0">
        <w:rPr>
          <w:rFonts w:ascii="ＭＳ 明朝" w:hAnsi="ＭＳ 明朝" w:hint="eastAsia"/>
        </w:rPr>
        <w:t>，</w:t>
      </w:r>
      <w:r w:rsidRPr="00BC31E0">
        <w:rPr>
          <w:rFonts w:ascii="ＭＳ 明朝" w:hAnsi="ＭＳ 明朝" w:hint="eastAsia"/>
        </w:rPr>
        <w:t>ほぼ直線形状の場合には，せん断応力は重要である。</w:t>
      </w:r>
    </w:p>
    <w:p w14:paraId="52112C83" w14:textId="77777777" w:rsidR="002D033B" w:rsidRPr="00BC31E0" w:rsidRDefault="002D033B" w:rsidP="00736130">
      <w:pPr>
        <w:pStyle w:val="a4"/>
        <w:numPr>
          <w:ilvl w:val="0"/>
          <w:numId w:val="587"/>
        </w:numPr>
        <w:ind w:leftChars="0" w:left="738" w:hanging="454"/>
      </w:pPr>
      <w:r w:rsidRPr="00BC31E0">
        <w:rPr>
          <w:rFonts w:hint="eastAsia"/>
        </w:rPr>
        <w:t>耐圧部材では，一般に周方向又は子午線方向応力が最大応力成分であり，応力評価で支配的な応力成分になる。</w:t>
      </w:r>
      <w:r w:rsidRPr="00BC31E0">
        <w:t>SCL</w:t>
      </w:r>
      <w:r w:rsidRPr="00BC31E0">
        <w:rPr>
          <w:rFonts w:hint="eastAsia"/>
        </w:rPr>
        <w:t>が内面，外面又は中立面に対して傾いている場合には，通常，周方向又は子午線方向応力は</w:t>
      </w:r>
      <w:r w:rsidRPr="00BC31E0">
        <w:t>SCL</w:t>
      </w:r>
      <w:r w:rsidRPr="00BC31E0">
        <w:rPr>
          <w:rFonts w:hint="eastAsia"/>
        </w:rPr>
        <w:t>に沿って単調増加又は単調減少しない。多くの圧力容器では，圧力による周方向又は子午線方向応力はほぼ直線分布になる。</w:t>
      </w:r>
    </w:p>
    <w:p w14:paraId="77E583DD" w14:textId="77777777" w:rsidR="00EE41CB" w:rsidRPr="00BC31E0" w:rsidRDefault="00EE41CB" w:rsidP="00EE41CB"/>
    <w:p w14:paraId="3B00B32A" w14:textId="77777777" w:rsidR="002D033B" w:rsidRPr="00BC31E0" w:rsidRDefault="00A51873" w:rsidP="00493F21">
      <w:pPr>
        <w:pStyle w:val="15"/>
        <w:ind w:firstLine="210"/>
        <w:jc w:val="center"/>
        <w:rPr>
          <w:rFonts w:asciiTheme="minorEastAsia" w:eastAsiaTheme="minorEastAsia" w:hAnsiTheme="minorEastAsia"/>
        </w:rPr>
      </w:pPr>
      <w:r>
        <w:rPr>
          <w:rFonts w:asciiTheme="minorEastAsia" w:eastAsiaTheme="minorEastAsia" w:hAnsiTheme="minorEastAsia"/>
          <w:noProof/>
        </w:rPr>
      </w:r>
      <w:r>
        <w:rPr>
          <w:rFonts w:asciiTheme="minorEastAsia" w:eastAsiaTheme="minorEastAsia" w:hAnsiTheme="minorEastAsia"/>
          <w:noProof/>
        </w:rPr>
        <w:pict w14:anchorId="2B499ECC">
          <v:group id="グループ化 12783" o:spid="_x0000_s3189" style="width:457.45pt;height:512.55pt;mso-position-horizontal-relative:char;mso-position-vertical-relative:line" coordorigin="1418,1795" coordsize="9149,10251">
            <v:shape id="Picture 594" o:spid="_x0000_s3190" type="#_x0000_t75" style="position:absolute;left:1512;top:1795;width:9055;height:102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">
              <v:imagedata r:id="rId182" o:title=""/>
            </v:shape>
            <v:shape id="Text Box 595" o:spid="_x0000_s3191" type="#_x0000_t202" style="position:absolute;left:4598;top:2295;width:1415;height:5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" stroked="f">
              <v:textbox style="mso-fit-shape-to-text:t" inset="5.85pt,.7pt,5.85pt,.7pt">
                <w:txbxContent>
                  <w:p w14:paraId="672B3F80" w14:textId="77777777" w:rsidR="003B0864" w:rsidRPr="00A37FD8" w:rsidRDefault="003B0864" w:rsidP="002D033B">
                    <w:pPr>
                      <w:snapToGrid w:val="0"/>
                      <w:rPr>
                        <w:rFonts w:ascii="Arial" w:eastAsia="ＭＳ ゴシック" w:hAnsi="ＭＳ ゴシック" w:cs="Arial"/>
                        <w:sz w:val="20"/>
                      </w:rPr>
                    </w:pPr>
                    <w:r w:rsidRPr="00A37FD8">
                      <w:rPr>
                        <w:rFonts w:ascii="Arial" w:eastAsia="ＭＳ ゴシック" w:hAnsi="ＭＳ ゴシック" w:cs="Arial"/>
                        <w:sz w:val="20"/>
                      </w:rPr>
                      <w:t>最大応力に</w:t>
                    </w:r>
                  </w:p>
                  <w:p w14:paraId="013001AC" w14:textId="77777777" w:rsidR="003B0864" w:rsidRPr="00A37FD8" w:rsidRDefault="003B0864" w:rsidP="002D033B">
                    <w:pPr>
                      <w:snapToGrid w:val="0"/>
                      <w:rPr>
                        <w:rFonts w:ascii="Arial" w:eastAsia="ＭＳ ゴシック" w:hAnsi="Arial" w:cs="Arial"/>
                        <w:sz w:val="20"/>
                      </w:rPr>
                    </w:pPr>
                    <w:r w:rsidRPr="00A37FD8">
                      <w:rPr>
                        <w:rFonts w:ascii="Arial" w:eastAsia="ＭＳ ゴシック" w:hAnsi="ＭＳ ゴシック" w:cs="Arial"/>
                        <w:sz w:val="20"/>
                      </w:rPr>
                      <w:t>垂直な</w:t>
                    </w:r>
                    <w:r w:rsidRPr="00A37FD8">
                      <w:rPr>
                        <w:rFonts w:ascii="Arial" w:eastAsia="ＭＳ ゴシック" w:hAnsi="Arial" w:cs="Arial"/>
                        <w:sz w:val="20"/>
                      </w:rPr>
                      <w:t>SCL</w:t>
                    </w:r>
                  </w:p>
                </w:txbxContent>
              </v:textbox>
            </v:shape>
            <v:shape id="Text Box 596" o:spid="_x0000_s3192" type="#_x0000_t202" style="position:absolute;left:4728;top:3274;width:1431;height:5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" stroked="f">
              <v:textbox style="mso-fit-shape-to-text:t" inset="5.85pt,.7pt,5.85pt,.7pt">
                <w:txbxContent>
                  <w:p w14:paraId="4C13D29A" w14:textId="77777777" w:rsidR="003B0864" w:rsidRDefault="003B0864" w:rsidP="002D033B">
                    <w:pPr>
                      <w:snapToGrid w:val="0"/>
                      <w:rPr>
                        <w:rFonts w:ascii="Arial" w:eastAsia="ＭＳ ゴシック" w:hAnsi="ＭＳ ゴシック" w:cs="Arial"/>
                        <w:sz w:val="20"/>
                      </w:rPr>
                    </w:pPr>
                    <w:r w:rsidRPr="004B4E77">
                      <w:rPr>
                        <w:rFonts w:ascii="Arial" w:eastAsia="ＭＳ ゴシック" w:hAnsi="ＭＳ ゴシック" w:cs="Arial" w:hint="eastAsia"/>
                        <w:sz w:val="20"/>
                      </w:rPr>
                      <w:t>中央面</w:t>
                    </w:r>
                    <w:r w:rsidRPr="004B4E77">
                      <w:rPr>
                        <w:rFonts w:ascii="Arial" w:eastAsia="ＭＳ ゴシック" w:hAnsi="ＭＳ ゴシック" w:cs="Arial"/>
                        <w:sz w:val="20"/>
                      </w:rPr>
                      <w:t>に</w:t>
                    </w:r>
                  </w:p>
                  <w:p w14:paraId="2F83343A" w14:textId="77777777" w:rsidR="003B0864" w:rsidRPr="004B4E77" w:rsidRDefault="003B0864" w:rsidP="002D033B">
                    <w:pPr>
                      <w:snapToGrid w:val="0"/>
                      <w:rPr>
                        <w:rFonts w:ascii="Arial" w:eastAsia="ＭＳ ゴシック" w:hAnsi="Arial" w:cs="Arial"/>
                        <w:sz w:val="20"/>
                      </w:rPr>
                    </w:pPr>
                    <w:r w:rsidRPr="004B4E77">
                      <w:rPr>
                        <w:rFonts w:ascii="Arial" w:eastAsia="ＭＳ ゴシック" w:hAnsi="ＭＳ ゴシック" w:cs="Arial"/>
                        <w:sz w:val="20"/>
                      </w:rPr>
                      <w:t>垂直な</w:t>
                    </w:r>
                    <w:r>
                      <w:rPr>
                        <w:rFonts w:ascii="Arial" w:eastAsia="ＭＳ ゴシック" w:hAnsi="ＭＳ ゴシック" w:cs="Arial" w:hint="eastAsia"/>
                        <w:sz w:val="20"/>
                      </w:rPr>
                      <w:t>S</w:t>
                    </w:r>
                    <w:r w:rsidRPr="004B4E77">
                      <w:rPr>
                        <w:rFonts w:ascii="Arial" w:eastAsia="ＭＳ ゴシック" w:hAnsi="Arial" w:cs="Arial"/>
                        <w:sz w:val="20"/>
                      </w:rPr>
                      <w:t>CL</w:t>
                    </w:r>
                  </w:p>
                </w:txbxContent>
              </v:textbox>
            </v:shape>
            <v:shape id="Text Box 597" o:spid="_x0000_s3193" type="#_x0000_t202" style="position:absolute;left:1418;top:4419;width:1035;height:28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" stroked="f">
              <v:textbox style="mso-fit-shape-to-text:t" inset="5.85pt,.7pt,5.85pt,.7pt">
                <w:txbxContent>
                  <w:p w14:paraId="19EFA8F3" w14:textId="77777777" w:rsidR="003B0864" w:rsidRPr="004B4E77" w:rsidRDefault="003B0864" w:rsidP="002D033B">
                    <w:pPr>
                      <w:snapToGrid w:val="0"/>
                      <w:rPr>
                        <w:rFonts w:ascii="Arial" w:eastAsia="ＭＳ ゴシック" w:hAnsi="Arial" w:cs="Arial"/>
                        <w:sz w:val="20"/>
                      </w:rPr>
                    </w:pPr>
                    <w:r>
                      <w:rPr>
                        <w:rFonts w:ascii="Arial" w:eastAsia="ＭＳ ゴシック" w:hAnsi="ＭＳ ゴシック" w:cs="Arial" w:hint="eastAsia"/>
                        <w:sz w:val="20"/>
                      </w:rPr>
                      <w:t>最大応力</w:t>
                    </w:r>
                  </w:p>
                </w:txbxContent>
              </v:textbox>
            </v:shape>
            <v:shape id="Text Box 598" o:spid="_x0000_s3194" type="#_x0000_t202" style="position:absolute;left:6207;top:3593;width:1110;height:8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" stroked="f">
              <v:textbox inset="5.85pt,.7pt,5.85pt,.7pt">
                <w:txbxContent>
                  <w:p w14:paraId="6F089AAA" w14:textId="77777777" w:rsidR="003B0864" w:rsidRDefault="003B0864" w:rsidP="002D033B">
                    <w:pPr>
                      <w:snapToGrid w:val="0"/>
                      <w:rPr>
                        <w:rFonts w:ascii="Arial" w:eastAsia="ＭＳ ゴシック" w:hAnsi="ＭＳ ゴシック" w:cs="Arial"/>
                        <w:sz w:val="20"/>
                      </w:rPr>
                    </w:pPr>
                    <w:r>
                      <w:rPr>
                        <w:rFonts w:ascii="Arial" w:eastAsia="ＭＳ ゴシック" w:hAnsi="ＭＳ ゴシック" w:cs="Arial" w:hint="eastAsia"/>
                        <w:sz w:val="20"/>
                      </w:rPr>
                      <w:t>単調増加</w:t>
                    </w:r>
                  </w:p>
                  <w:p w14:paraId="38226059" w14:textId="77777777" w:rsidR="003B0864" w:rsidRDefault="003B0864" w:rsidP="002D033B">
                    <w:pPr>
                      <w:snapToGrid w:val="0"/>
                      <w:rPr>
                        <w:rFonts w:ascii="Arial" w:eastAsia="ＭＳ ゴシック" w:hAnsi="ＭＳ ゴシック" w:cs="Arial"/>
                        <w:sz w:val="20"/>
                      </w:rPr>
                    </w:pPr>
                    <w:r>
                      <w:rPr>
                        <w:rFonts w:ascii="Arial" w:eastAsia="ＭＳ ゴシック" w:hAnsi="ＭＳ ゴシック" w:cs="Arial" w:hint="eastAsia"/>
                        <w:sz w:val="20"/>
                      </w:rPr>
                      <w:t>／減少</w:t>
                    </w:r>
                  </w:p>
                  <w:p w14:paraId="19D70216" w14:textId="77777777" w:rsidR="003B0864" w:rsidRPr="004B4E77" w:rsidRDefault="003B0864" w:rsidP="002D033B">
                    <w:pPr>
                      <w:snapToGrid w:val="0"/>
                      <w:rPr>
                        <w:rFonts w:ascii="Arial" w:eastAsia="ＭＳ ゴシック" w:hAnsi="Arial" w:cs="Arial"/>
                        <w:sz w:val="20"/>
                      </w:rPr>
                    </w:pPr>
                    <w:r>
                      <w:rPr>
                        <w:rFonts w:ascii="Arial" w:eastAsia="ＭＳ ゴシック" w:hAnsi="ＭＳ ゴシック" w:cs="Arial" w:hint="eastAsia"/>
                        <w:sz w:val="20"/>
                      </w:rPr>
                      <w:t>の例</w:t>
                    </w:r>
                  </w:p>
                </w:txbxContent>
              </v:textbox>
            </v:shape>
            <v:shape id="Text Box 599" o:spid="_x0000_s3195" type="#_x0000_t202" style="position:absolute;left:9381;top:3041;width:1186;height:7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" stroked="f">
              <v:textbox style="mso-fit-shape-to-text:t" inset="5.85pt,.7pt,5.85pt,.7pt">
                <w:txbxContent>
                  <w:p w14:paraId="57BEF7FA" w14:textId="77777777" w:rsidR="003B0864" w:rsidRDefault="003B0864" w:rsidP="002D033B">
                    <w:pPr>
                      <w:spacing w:before="120"/>
                      <w:rPr>
                        <w:rFonts w:ascii="ＭＳ ゴシック" w:eastAsia="ＭＳ ゴシック" w:hAnsi="ＭＳ ゴシック"/>
                        <w:sz w:val="20"/>
                      </w:rPr>
                    </w:pPr>
                    <w:r w:rsidRPr="00A37FD8">
                      <w:rPr>
                        <w:rFonts w:ascii="ＭＳ ゴシック" w:eastAsia="ＭＳ ゴシック" w:hAnsi="ＭＳ ゴシック" w:hint="eastAsia"/>
                        <w:sz w:val="20"/>
                      </w:rPr>
                      <w:t>非単調</w:t>
                    </w:r>
                  </w:p>
                  <w:p w14:paraId="543C0657" w14:textId="77777777" w:rsidR="003B0864" w:rsidRPr="00A37FD8" w:rsidRDefault="003B0864" w:rsidP="002D033B">
                    <w:pPr>
                      <w:snapToGrid w:val="0"/>
                      <w:rPr>
                        <w:rFonts w:ascii="ＭＳ ゴシック" w:eastAsia="ＭＳ ゴシック" w:hAnsi="ＭＳ ゴシック"/>
                        <w:sz w:val="20"/>
                      </w:rPr>
                    </w:pPr>
                    <w:r>
                      <w:rPr>
                        <w:rFonts w:ascii="ＭＳ ゴシック" w:eastAsia="ＭＳ ゴシック" w:hAnsi="ＭＳ ゴシック" w:hint="eastAsia"/>
                        <w:sz w:val="20"/>
                      </w:rPr>
                      <w:t>の例</w:t>
                    </w:r>
                  </w:p>
                </w:txbxContent>
              </v:textbox>
            </v:shape>
            <v:shape id="Text Box 600" o:spid="_x0000_s3196" type="#_x0000_t202" style="position:absolute;left:2753;top:5774;width:2372;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" stroked="f">
              <v:textbox style="mso-fit-shape-to-text:t" inset="5.85pt,.7pt,5.85pt,.7pt">
                <w:txbxContent>
                  <w:p w14:paraId="38251B54" w14:textId="77777777" w:rsidR="003B0864" w:rsidRPr="00A37FD8" w:rsidRDefault="003B0864" w:rsidP="002D033B">
                    <w:pPr>
                      <w:ind w:firstLineChars="100" w:firstLine="210"/>
                    </w:pPr>
                    <w:r w:rsidRPr="00A37FD8">
                      <w:t>(a) SCL</w:t>
                    </w:r>
                    <w:r w:rsidRPr="00A37FD8">
                      <w:rPr>
                        <w:rFonts w:hAnsi="ＭＳ 明朝"/>
                      </w:rPr>
                      <w:t>の</w:t>
                    </w:r>
                    <w:r w:rsidRPr="00A37FD8">
                      <w:rPr>
                        <w:rFonts w:hAnsi="ＭＳ 明朝" w:hint="eastAsia"/>
                      </w:rPr>
                      <w:t>設定</w:t>
                    </w:r>
                    <w:r>
                      <w:rPr>
                        <w:rFonts w:hAnsi="ＭＳ 明朝" w:hint="eastAsia"/>
                      </w:rPr>
                      <w:t>方法</w:t>
                    </w:r>
                  </w:p>
                </w:txbxContent>
              </v:textbox>
            </v:shape>
            <v:shape id="Text Box 601" o:spid="_x0000_s3197" type="#_x0000_t202" style="position:absolute;left:6501;top:5778;width:3746;height:38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" stroked="f">
              <v:textbox style="mso-fit-shape-to-text:t" inset="5.85pt,.7pt,5.85pt,.7pt">
                <w:txbxContent>
                  <w:p w14:paraId="590F1778" w14:textId="77777777" w:rsidR="003B0864" w:rsidRPr="00B143BC" w:rsidRDefault="003B0864" w:rsidP="002D033B">
                    <w:pPr>
                      <w:ind w:firstLineChars="100" w:firstLine="210"/>
                    </w:pPr>
                    <w:r w:rsidRPr="00B143BC">
                      <w:t>(</w:t>
                    </w:r>
                    <w:r w:rsidRPr="00B143BC">
                      <w:rPr>
                        <w:rFonts w:hint="eastAsia"/>
                      </w:rPr>
                      <w:t>b</w:t>
                    </w:r>
                    <w:r w:rsidRPr="00B143BC">
                      <w:t xml:space="preserve">) </w:t>
                    </w:r>
                    <w:r w:rsidRPr="00B143BC">
                      <w:rPr>
                        <w:rFonts w:hint="eastAsia"/>
                      </w:rPr>
                      <w:t>周方向及び子午線方向応力分布</w:t>
                    </w:r>
                  </w:p>
                </w:txbxContent>
              </v:textbox>
            </v:shape>
            <v:shape id="Text Box 602" o:spid="_x0000_s3198" type="#_x0000_t202" style="position:absolute;left:2378;top:11578;width:2673;height:38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" stroked="f">
              <v:textbox style="mso-fit-shape-to-text:t" inset="5.85pt,.7pt,5.85pt,.7pt">
                <w:txbxContent>
                  <w:p w14:paraId="473547C9" w14:textId="77777777" w:rsidR="003B0864" w:rsidRPr="00B143BC" w:rsidRDefault="003B0864" w:rsidP="002D033B">
                    <w:pPr>
                      <w:ind w:firstLineChars="100" w:firstLine="210"/>
                    </w:pPr>
                    <w:r w:rsidRPr="00B143BC">
                      <w:t>(</w:t>
                    </w:r>
                    <w:r>
                      <w:rPr>
                        <w:rFonts w:hint="eastAsia"/>
                      </w:rPr>
                      <w:t>c</w:t>
                    </w:r>
                    <w:r w:rsidRPr="00B143BC">
                      <w:t xml:space="preserve">) </w:t>
                    </w:r>
                    <w:r>
                      <w:rPr>
                        <w:rFonts w:hint="eastAsia"/>
                      </w:rPr>
                      <w:t>厚さ方向の</w:t>
                    </w:r>
                    <w:r w:rsidRPr="00B143BC">
                      <w:rPr>
                        <w:rFonts w:hint="eastAsia"/>
                      </w:rPr>
                      <w:t>応力分布</w:t>
                    </w:r>
                  </w:p>
                </w:txbxContent>
              </v:textbox>
            </v:shape>
            <v:shape id="Text Box 603" o:spid="_x0000_s3199" type="#_x0000_t202" style="position:absolute;left:7514;top:11578;width:2280;height:38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" stroked="f">
              <v:textbox style="mso-fit-shape-to-text:t" inset="5.85pt,.7pt,5.85pt,.7pt">
                <w:txbxContent>
                  <w:p w14:paraId="1312F280" w14:textId="77777777" w:rsidR="003B0864" w:rsidRPr="00B143BC" w:rsidRDefault="003B0864" w:rsidP="002D033B">
                    <w:pPr>
                      <w:ind w:firstLineChars="100" w:firstLine="210"/>
                    </w:pPr>
                    <w:r w:rsidRPr="00B143BC">
                      <w:t>(</w:t>
                    </w:r>
                    <w:r>
                      <w:rPr>
                        <w:rFonts w:hint="eastAsia"/>
                      </w:rPr>
                      <w:t>d</w:t>
                    </w:r>
                    <w:r w:rsidRPr="00B143BC">
                      <w:t xml:space="preserve">) </w:t>
                    </w:r>
                    <w:r>
                      <w:rPr>
                        <w:rFonts w:hint="eastAsia"/>
                      </w:rPr>
                      <w:t>せん断応力分布</w:t>
                    </w:r>
                  </w:p>
                </w:txbxContent>
              </v:textbox>
            </v:shape>
            <w10:anchorlock/>
          </v:group>
        </w:pict>
      </w:r>
    </w:p>
    <w:p w14:paraId="24E63218" w14:textId="77777777" w:rsidR="002D033B" w:rsidRPr="00BC31E0" w:rsidRDefault="002D033B" w:rsidP="00493F21">
      <w:pPr>
        <w:pStyle w:val="af4"/>
      </w:pPr>
      <w:r w:rsidRPr="00BC31E0">
        <w:rPr>
          <w:rFonts w:hint="eastAsia"/>
        </w:rPr>
        <w:t>図L.3　応力評価ライン(SCL)の方向と妥当性の指針</w:t>
      </w:r>
      <w:r w:rsidRPr="00BC31E0">
        <w:rPr>
          <w:rFonts w:hint="eastAsia"/>
          <w:vertAlign w:val="superscript"/>
        </w:rPr>
        <w:t>†</w:t>
      </w:r>
    </w:p>
    <w:p w14:paraId="2E1C8269" w14:textId="77777777" w:rsidR="002D033B" w:rsidRPr="00BC31E0" w:rsidRDefault="002D033B" w:rsidP="00493F21">
      <w:pPr>
        <w:pStyle w:val="15"/>
        <w:ind w:firstLineChars="0" w:firstLine="0"/>
        <w:rPr>
          <w:rFonts w:ascii="ＭＳ ゴシック" w:eastAsia="ＭＳ ゴシック" w:hAnsi="ＭＳ ゴシック"/>
        </w:rPr>
      </w:pPr>
    </w:p>
    <w:p w14:paraId="16C3B8C2" w14:textId="77777777" w:rsidR="002D033B" w:rsidRPr="00BC31E0" w:rsidRDefault="002D033B" w:rsidP="00ED524A">
      <w:pPr>
        <w:pStyle w:val="13"/>
        <w:adjustRightInd/>
        <w:snapToGrid/>
        <w:spacing w:line="240" w:lineRule="auto"/>
        <w:ind w:left="340" w:hanging="340"/>
      </w:pPr>
      <w:r w:rsidRPr="00BC31E0">
        <w:rPr>
          <w:rFonts w:hint="eastAsia"/>
        </w:rPr>
        <w:t>応力積分法</w:t>
      </w:r>
    </w:p>
    <w:p w14:paraId="6D93B04F" w14:textId="77777777" w:rsidR="002D033B" w:rsidRPr="00BC31E0" w:rsidRDefault="002D033B" w:rsidP="00ED524A">
      <w:pPr>
        <w:pStyle w:val="110"/>
        <w:spacing w:line="240" w:lineRule="auto"/>
        <w:ind w:left="567" w:hanging="567"/>
      </w:pPr>
      <w:r w:rsidRPr="00BC31E0">
        <w:rPr>
          <w:rFonts w:hint="eastAsia"/>
        </w:rPr>
        <w:t>連続体要素</w:t>
      </w:r>
    </w:p>
    <w:p w14:paraId="55DFABA0" w14:textId="77777777" w:rsidR="002D033B" w:rsidRPr="00BC31E0" w:rsidRDefault="002D033B" w:rsidP="00493F21">
      <w:pPr>
        <w:pStyle w:val="15"/>
        <w:ind w:firstLine="210"/>
        <w:rPr>
          <w:rFonts w:hAnsi="ＭＳ 明朝"/>
        </w:rPr>
      </w:pPr>
      <w:r w:rsidRPr="00BC31E0">
        <w:rPr>
          <w:rFonts w:hAnsi="ＭＳ 明朝" w:hint="eastAsia"/>
        </w:rPr>
        <w:t>二</w:t>
      </w:r>
      <w:r w:rsidRPr="00BC31E0">
        <w:rPr>
          <w:rFonts w:hAnsi="ＭＳ 明朝"/>
        </w:rPr>
        <w:t>次元</w:t>
      </w:r>
      <w:r w:rsidRPr="00BC31E0">
        <w:rPr>
          <w:rFonts w:hAnsi="ＭＳ 明朝" w:hint="eastAsia"/>
        </w:rPr>
        <w:t>又は三</w:t>
      </w:r>
      <w:r w:rsidRPr="00BC31E0">
        <w:rPr>
          <w:rFonts w:hAnsi="ＭＳ 明朝"/>
        </w:rPr>
        <w:t>次元</w:t>
      </w:r>
      <w:r w:rsidR="000C73BC" w:rsidRPr="00BC31E0">
        <w:rPr>
          <w:rFonts w:hAnsi="ＭＳ 明朝" w:hint="eastAsia"/>
        </w:rPr>
        <w:t>連続体要素を用いた有限要素法解析の結果は，応力積分法を用いて</w:t>
      </w:r>
      <w:r w:rsidRPr="00BC31E0">
        <w:rPr>
          <w:rFonts w:hAnsi="ＭＳ 明朝" w:hint="eastAsia"/>
        </w:rPr>
        <w:t>処理する。厚さ方向の</w:t>
      </w:r>
      <w:r w:rsidRPr="00BC31E0">
        <w:rPr>
          <w:rFonts w:asciiTheme="minorHAnsi" w:hAnsiTheme="minorHAnsi"/>
        </w:rPr>
        <w:t>SCL</w:t>
      </w:r>
      <w:r w:rsidRPr="00BC31E0">
        <w:rPr>
          <w:rFonts w:hAnsi="ＭＳ 明朝" w:hint="eastAsia"/>
        </w:rPr>
        <w:t>に沿って各応力成分を積分し，膜応力成分と曲げ応力成分を計算する。ピーク応力成分は，全応力分布から膜応力成分と曲げ応力成分を引き算することにより求める。</w:t>
      </w:r>
    </w:p>
    <w:p w14:paraId="00C80CBE" w14:textId="77777777" w:rsidR="002D033B" w:rsidRPr="00BC31E0" w:rsidRDefault="002D033B" w:rsidP="00493F21">
      <w:pPr>
        <w:pStyle w:val="15"/>
        <w:ind w:firstLine="210"/>
      </w:pPr>
      <w:r w:rsidRPr="00BC31E0">
        <w:rPr>
          <w:rFonts w:hint="eastAsia"/>
        </w:rPr>
        <w:t>応力分布から膜応力，曲げ応力及びピーク応力成分を求める手順は，次の</w:t>
      </w:r>
      <w:r w:rsidRPr="00BC31E0">
        <w:rPr>
          <w:rFonts w:asciiTheme="majorEastAsia" w:eastAsiaTheme="majorEastAsia" w:hAnsiTheme="majorEastAsia" w:hint="eastAsia"/>
          <w:b/>
        </w:rPr>
        <w:t>a)</w:t>
      </w:r>
      <w:r w:rsidRPr="00BC31E0">
        <w:rPr>
          <w:rFonts w:hint="eastAsia"/>
        </w:rPr>
        <w:t>～</w:t>
      </w:r>
      <w:r w:rsidRPr="00BC31E0">
        <w:rPr>
          <w:rFonts w:asciiTheme="majorEastAsia" w:eastAsiaTheme="majorEastAsia" w:hAnsiTheme="majorEastAsia" w:hint="eastAsia"/>
          <w:b/>
        </w:rPr>
        <w:t>e)</w:t>
      </w:r>
      <w:r w:rsidRPr="00BC31E0">
        <w:rPr>
          <w:rFonts w:hint="eastAsia"/>
        </w:rPr>
        <w:t>及び</w:t>
      </w:r>
      <w:r w:rsidRPr="00BC31E0">
        <w:rPr>
          <w:rFonts w:ascii="ＭＳ ゴシック" w:eastAsia="ＭＳ ゴシック" w:hAnsi="ＭＳ ゴシック" w:hint="eastAsia"/>
          <w:b/>
        </w:rPr>
        <w:t>図L.4</w:t>
      </w:r>
      <w:r w:rsidRPr="00BC31E0">
        <w:rPr>
          <w:rFonts w:hint="eastAsia"/>
        </w:rPr>
        <w:t>による。計算で用いる応力成分は，</w:t>
      </w:r>
      <w:r w:rsidRPr="00BC31E0">
        <w:rPr>
          <w:rFonts w:ascii="ＭＳ ゴシック" w:eastAsia="ＭＳ ゴシック" w:hAnsi="ＭＳ ゴシック" w:hint="eastAsia"/>
          <w:b/>
        </w:rPr>
        <w:t>図L.4</w:t>
      </w:r>
      <w:r w:rsidRPr="00BC31E0">
        <w:rPr>
          <w:rFonts w:ascii="ＭＳ 明朝" w:hAnsi="ＭＳ 明朝" w:hint="eastAsia"/>
        </w:rPr>
        <w:t>に示す</w:t>
      </w:r>
      <w:r w:rsidRPr="00BC31E0">
        <w:rPr>
          <w:rFonts w:asciiTheme="minorHAnsi" w:hAnsiTheme="minorHAnsi"/>
        </w:rPr>
        <w:t>SCL</w:t>
      </w:r>
      <w:r w:rsidRPr="00BC31E0">
        <w:rPr>
          <w:rFonts w:hint="eastAsia"/>
        </w:rPr>
        <w:t>の方向で定義される局所座標系</w:t>
      </w:r>
      <w:r w:rsidRPr="00BC31E0">
        <w:rPr>
          <w:rFonts w:hint="eastAsia"/>
        </w:rPr>
        <w:t>(</w:t>
      </w:r>
      <m:oMath>
        <m:sSub>
          <m:sSubPr>
            <m:ctrlPr>
              <w:rPr>
                <w:rFonts w:ascii="Cambria Math" w:hAnsi="Cambria Math"/>
                <w:i/>
              </w:rPr>
            </m:ctrlPr>
          </m:sSubPr>
          <m:e>
            <m:r>
              <w:rPr>
                <w:rFonts w:ascii="Cambria Math" w:hAnsi="Cambria Math"/>
              </w:rPr>
              <m:t>x</m:t>
            </m:r>
          </m:e>
          <m:sub>
            <m:r>
              <w:rPr>
                <w:rFonts w:ascii="Cambria Math" w:hAnsi="Cambria Math"/>
              </w:rPr>
              <m:t>L</m:t>
            </m:r>
          </m:sub>
        </m:sSub>
      </m:oMath>
      <w:r w:rsidRPr="00BC31E0">
        <w:rPr>
          <w:rFonts w:hint="eastAsia"/>
        </w:rPr>
        <w:t>，</w:t>
      </w:r>
      <m:oMath>
        <m:sSub>
          <m:sSubPr>
            <m:ctrlPr>
              <w:rPr>
                <w:rFonts w:ascii="Cambria Math" w:hAnsi="Cambria Math"/>
                <w:i/>
              </w:rPr>
            </m:ctrlPr>
          </m:sSubPr>
          <m:e>
            <m:r>
              <w:rPr>
                <w:rFonts w:ascii="Cambria Math" w:hAnsi="Cambria Math"/>
              </w:rPr>
              <m:t>y</m:t>
            </m:r>
          </m:e>
          <m:sub>
            <m:r>
              <w:rPr>
                <w:rFonts w:ascii="Cambria Math" w:hAnsi="Cambria Math"/>
              </w:rPr>
              <m:t>L</m:t>
            </m:r>
          </m:sub>
        </m:sSub>
      </m:oMath>
      <w:r w:rsidRPr="00BC31E0">
        <w:rPr>
          <w:rFonts w:hint="eastAsia"/>
        </w:rPr>
        <w:t>，</w:t>
      </w:r>
      <m:oMath>
        <m:sSub>
          <m:sSubPr>
            <m:ctrlPr>
              <w:rPr>
                <w:rFonts w:ascii="Cambria Math" w:hAnsi="Cambria Math"/>
                <w:i/>
              </w:rPr>
            </m:ctrlPr>
          </m:sSubPr>
          <m:e>
            <m:r>
              <w:rPr>
                <w:rFonts w:ascii="Cambria Math" w:hAnsi="Cambria Math"/>
              </w:rPr>
              <m:t>z</m:t>
            </m:r>
          </m:e>
          <m:sub>
            <m:r>
              <w:rPr>
                <w:rFonts w:ascii="Cambria Math" w:hAnsi="Cambria Math"/>
              </w:rPr>
              <m:t>L</m:t>
            </m:r>
          </m:sub>
        </m:sSub>
      </m:oMath>
      <w:r w:rsidRPr="00BC31E0">
        <w:rPr>
          <w:rFonts w:hint="eastAsia"/>
        </w:rPr>
        <w:t>)</w:t>
      </w:r>
      <w:r w:rsidRPr="00BC31E0">
        <w:rPr>
          <w:rFonts w:hint="eastAsia"/>
        </w:rPr>
        <w:lastRenderedPageBreak/>
        <w:t>における応力である。</w:t>
      </w:r>
    </w:p>
    <w:p w14:paraId="159D92EB" w14:textId="77777777" w:rsidR="002D033B" w:rsidRPr="00BC31E0" w:rsidRDefault="002D033B" w:rsidP="00736130">
      <w:pPr>
        <w:pStyle w:val="a4"/>
        <w:numPr>
          <w:ilvl w:val="0"/>
          <w:numId w:val="419"/>
        </w:numPr>
        <w:spacing w:after="120"/>
        <w:ind w:leftChars="0" w:left="454" w:hanging="454"/>
      </w:pPr>
      <w:r w:rsidRPr="00BC31E0">
        <w:rPr>
          <w:rFonts w:asciiTheme="majorEastAsia" w:eastAsiaTheme="majorEastAsia" w:hAnsiTheme="majorEastAsia" w:hint="eastAsia"/>
          <w:b/>
        </w:rPr>
        <w:t>膜応力テンソルの計算</w:t>
      </w:r>
      <w:r w:rsidRPr="00BC31E0">
        <w:rPr>
          <w:rFonts w:hint="eastAsia"/>
        </w:rPr>
        <w:t xml:space="preserve">　膜応力テンソルは</w:t>
      </w:r>
      <w:r w:rsidRPr="00BC31E0">
        <w:t>SCL</w:t>
      </w:r>
      <w:r w:rsidRPr="00BC31E0">
        <w:rPr>
          <w:rFonts w:hint="eastAsia"/>
        </w:rPr>
        <w:t>に沿った各応力成分の平均値から構成されるテンソルで，次式で求める。</w:t>
      </w:r>
    </w:p>
    <w:tbl>
      <w:tblPr>
        <w:tblStyle w:val="afff2"/>
        <w:tblW w:w="5953" w:type="dxa"/>
        <w:tblInd w:w="3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8"/>
        <w:gridCol w:w="3785"/>
      </w:tblGrid>
      <w:tr w:rsidR="002D033B" w:rsidRPr="00BC31E0" w14:paraId="228DAE66" w14:textId="77777777" w:rsidTr="004736F2">
        <w:tc>
          <w:tcPr>
            <w:tcW w:w="0" w:type="auto"/>
            <w:tcMar>
              <w:left w:w="0" w:type="dxa"/>
              <w:right w:w="0" w:type="dxa"/>
            </w:tcMar>
            <w:vAlign w:val="center"/>
          </w:tcPr>
          <w:p w14:paraId="5919F632" w14:textId="77777777" w:rsidR="002D033B" w:rsidRPr="00BC31E0" w:rsidRDefault="00A51873" w:rsidP="00493F21">
            <w:pPr>
              <w:pStyle w:val="15"/>
              <w:ind w:firstLine="210"/>
              <w:rPr>
                <w:rFonts w:ascii="ＭＳ 明朝" w:hAnsi="ＭＳ 明朝"/>
                <w:i/>
              </w:rPr>
            </w:pPr>
            <m:oMathPara>
              <m:oMathParaPr>
                <m:jc m:val="left"/>
              </m:oMathParaPr>
              <m:oMath>
                <m:sSub>
                  <m:sSubPr>
                    <m:ctrlPr>
                      <w:rPr>
                        <w:rFonts w:ascii="Cambria Math" w:hAnsi="Cambria Math"/>
                        <w:i/>
                      </w:rPr>
                    </m:ctrlPr>
                  </m:sSubPr>
                  <m:e>
                    <m:r>
                      <w:rPr>
                        <w:rFonts w:ascii="Cambria Math" w:hAnsi="Cambria Math"/>
                      </w:rPr>
                      <m:t>σ</m:t>
                    </m:r>
                  </m:e>
                  <m:sub>
                    <m:r>
                      <w:rPr>
                        <w:rFonts w:ascii="Cambria Math" w:hAnsi="Cambria Math"/>
                      </w:rPr>
                      <m:t>ij,m</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t</m:t>
                    </m:r>
                  </m:den>
                </m:f>
                <m:r>
                  <w:rPr>
                    <w:rFonts w:ascii="Cambria Math" w:hAnsi="Cambria Math"/>
                  </w:rPr>
                  <m:t xml:space="preserve"> </m:t>
                </m:r>
                <m:nary>
                  <m:naryPr>
                    <m:limLoc m:val="subSup"/>
                    <m:ctrlPr>
                      <w:rPr>
                        <w:rFonts w:ascii="Cambria Math" w:hAnsi="Cambria Math"/>
                        <w:i/>
                      </w:rPr>
                    </m:ctrlPr>
                  </m:naryPr>
                  <m:sub>
                    <m:r>
                      <w:rPr>
                        <w:rFonts w:ascii="Cambria Math" w:hAnsi="Cambria Math"/>
                      </w:rPr>
                      <m:t>0</m:t>
                    </m:r>
                  </m:sub>
                  <m:sup>
                    <m:r>
                      <w:rPr>
                        <w:rFonts w:ascii="Cambria Math" w:hAnsi="Cambria Math"/>
                      </w:rPr>
                      <m:t>t</m:t>
                    </m:r>
                  </m:sup>
                  <m:e>
                    <m:sSub>
                      <m:sSubPr>
                        <m:ctrlPr>
                          <w:rPr>
                            <w:rFonts w:ascii="Cambria Math" w:hAnsi="Cambria Math"/>
                            <w:i/>
                          </w:rPr>
                        </m:ctrlPr>
                      </m:sSubPr>
                      <m:e>
                        <m:r>
                          <w:rPr>
                            <w:rFonts w:ascii="Cambria Math" w:hAnsi="Cambria Math"/>
                          </w:rPr>
                          <m:t>σ</m:t>
                        </m:r>
                      </m:e>
                      <m:sub>
                        <m:r>
                          <w:rPr>
                            <w:rFonts w:ascii="Cambria Math" w:hAnsi="Cambria Math"/>
                          </w:rPr>
                          <m:t>ij</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L</m:t>
                            </m:r>
                          </m:sub>
                        </m:sSub>
                      </m:e>
                    </m:d>
                  </m:e>
                </m:nary>
                <m:r>
                  <w:rPr>
                    <w:rFonts w:ascii="Cambria Math" w:hAnsi="Cambria Math"/>
                  </w:rPr>
                  <m:t xml:space="preserve"> d</m:t>
                </m:r>
                <m:sSub>
                  <m:sSubPr>
                    <m:ctrlPr>
                      <w:rPr>
                        <w:rFonts w:ascii="Cambria Math" w:hAnsi="Cambria Math"/>
                        <w:i/>
                      </w:rPr>
                    </m:ctrlPr>
                  </m:sSubPr>
                  <m:e>
                    <m:r>
                      <w:rPr>
                        <w:rFonts w:ascii="Cambria Math" w:hAnsi="Cambria Math"/>
                      </w:rPr>
                      <m:t>x</m:t>
                    </m:r>
                  </m:e>
                  <m:sub>
                    <m:r>
                      <w:rPr>
                        <w:rFonts w:ascii="Cambria Math" w:hAnsi="Cambria Math"/>
                      </w:rPr>
                      <m:t>L</m:t>
                    </m:r>
                  </m:sub>
                </m:sSub>
              </m:oMath>
            </m:oMathPara>
          </w:p>
        </w:tc>
        <w:tc>
          <w:tcPr>
            <w:tcW w:w="3785" w:type="dxa"/>
            <w:tcMar>
              <w:left w:w="0" w:type="dxa"/>
              <w:right w:w="0" w:type="dxa"/>
            </w:tcMar>
            <w:vAlign w:val="center"/>
          </w:tcPr>
          <w:p w14:paraId="5406C3AD" w14:textId="77777777" w:rsidR="002D033B" w:rsidRPr="00BC31E0" w:rsidRDefault="002D033B" w:rsidP="00493F21">
            <w:pPr>
              <w:pStyle w:val="15"/>
              <w:tabs>
                <w:tab w:val="left" w:leader="middleDot" w:pos="3360"/>
              </w:tabs>
              <w:ind w:firstLineChars="0" w:firstLine="0"/>
              <w:jc w:val="left"/>
              <w:rPr>
                <w:rFonts w:asciiTheme="minorHAnsi" w:hAnsiTheme="minorHAnsi"/>
              </w:rPr>
            </w:pPr>
            <w:r w:rsidRPr="00BC31E0">
              <w:rPr>
                <w:rFonts w:asciiTheme="minorHAnsi" w:hAnsiTheme="minorHAnsi"/>
              </w:rPr>
              <w:tab/>
              <w:t>(1)</w:t>
            </w:r>
          </w:p>
        </w:tc>
      </w:tr>
    </w:tbl>
    <w:p w14:paraId="30683DC5" w14:textId="77777777" w:rsidR="002D033B" w:rsidRPr="00BC31E0" w:rsidRDefault="002D033B" w:rsidP="00493F21">
      <w:pPr>
        <w:pStyle w:val="15"/>
        <w:ind w:left="454" w:firstLine="210"/>
        <w:rPr>
          <w:rFonts w:ascii="ＭＳ 明朝" w:hAnsi="ＭＳ 明朝"/>
        </w:rPr>
      </w:pPr>
      <w:r w:rsidRPr="00BC31E0">
        <w:rPr>
          <w:rFonts w:ascii="ＭＳ 明朝" w:hAnsi="ＭＳ 明朝" w:hint="eastAsia"/>
        </w:rPr>
        <w:t>ここで，</w:t>
      </w:r>
    </w:p>
    <w:p w14:paraId="2A1689AE" w14:textId="77777777" w:rsidR="002D033B" w:rsidRPr="00BC31E0" w:rsidRDefault="002D033B" w:rsidP="00493F21">
      <w:pPr>
        <w:pStyle w:val="15"/>
        <w:tabs>
          <w:tab w:val="left" w:pos="1134"/>
          <w:tab w:val="left" w:pos="1843"/>
          <w:tab w:val="left" w:pos="5245"/>
        </w:tabs>
        <w:ind w:left="454" w:firstLine="210"/>
        <w:rPr>
          <w:rFonts w:ascii="ＭＳ 明朝" w:hAnsi="ＭＳ 明朝"/>
        </w:rPr>
      </w:pPr>
      <w:r w:rsidRPr="00BC31E0">
        <w:rPr>
          <w:rFonts w:ascii="ＭＳ 明朝" w:hAnsi="ＭＳ 明朝" w:hint="eastAsia"/>
        </w:rPr>
        <w:tab/>
      </w:r>
      <m:oMath>
        <m:sSub>
          <m:sSubPr>
            <m:ctrlPr>
              <w:rPr>
                <w:rFonts w:ascii="Cambria Math" w:hAnsi="Cambria Math"/>
                <w:i/>
              </w:rPr>
            </m:ctrlPr>
          </m:sSubPr>
          <m:e>
            <m:r>
              <w:rPr>
                <w:rFonts w:ascii="Cambria Math" w:hAnsi="Cambria Math"/>
              </w:rPr>
              <m:t>σ</m:t>
            </m:r>
          </m:e>
          <m:sub>
            <m:r>
              <w:rPr>
                <w:rFonts w:ascii="Cambria Math" w:hAnsi="Cambria Math"/>
              </w:rPr>
              <m:t>ij,m</m:t>
            </m:r>
          </m:sub>
        </m:sSub>
      </m:oMath>
      <w:r w:rsidRPr="00BC31E0">
        <w:rPr>
          <w:rFonts w:ascii="ＭＳ 明朝" w:hAnsi="ＭＳ 明朝" w:hint="eastAsia"/>
        </w:rPr>
        <w:tab/>
        <w:t>： 膜応力テンソル</w:t>
      </w:r>
      <w:r w:rsidRPr="00BC31E0">
        <w:rPr>
          <w:rFonts w:ascii="ＭＳ 明朝" w:hAnsi="ＭＳ 明朝" w:hint="eastAsia"/>
        </w:rPr>
        <w:tab/>
      </w:r>
      <w:r w:rsidRPr="00BC31E0">
        <w:rPr>
          <w:rFonts w:asciiTheme="minorHAnsi" w:hAnsiTheme="minorHAnsi"/>
        </w:rPr>
        <w:t>(</w:t>
      </w:r>
      <m:oMath>
        <m:r>
          <w:rPr>
            <w:rFonts w:ascii="Cambria Math" w:hAnsi="Cambria Math"/>
          </w:rPr>
          <m:t>i=</m:t>
        </m:r>
        <m:sSub>
          <m:sSubPr>
            <m:ctrlPr>
              <w:rPr>
                <w:rFonts w:ascii="Cambria Math" w:hAnsi="Cambria Math"/>
                <w:i/>
              </w:rPr>
            </m:ctrlPr>
          </m:sSubPr>
          <m:e>
            <m:r>
              <w:rPr>
                <w:rFonts w:ascii="Cambria Math" w:hAnsi="Cambria Math"/>
              </w:rPr>
              <m:t>x</m:t>
            </m:r>
          </m:e>
          <m:sub>
            <m:r>
              <w:rPr>
                <w:rFonts w:ascii="Cambria Math" w:hAnsi="Cambria Math"/>
              </w:rPr>
              <m:t>L</m:t>
            </m:r>
          </m:sub>
        </m:sSub>
        <m:r>
          <m:rPr>
            <m:sty m:val="p"/>
          </m:rPr>
          <w:rPr>
            <w:rFonts w:ascii="Cambria Math" w:hAnsi="Cambria Math"/>
          </w:rPr>
          <m:t>,</m:t>
        </m:r>
        <m:sSub>
          <m:sSubPr>
            <m:ctrlPr>
              <w:rPr>
                <w:rFonts w:ascii="Cambria Math" w:hAnsi="Cambria Math"/>
                <w:i/>
              </w:rPr>
            </m:ctrlPr>
          </m:sSubPr>
          <m:e>
            <m:r>
              <w:rPr>
                <w:rFonts w:ascii="Cambria Math" w:hAnsi="Cambria Math"/>
              </w:rPr>
              <m:t xml:space="preserve"> y</m:t>
            </m:r>
          </m:e>
          <m:sub>
            <m:r>
              <w:rPr>
                <w:rFonts w:ascii="Cambria Math" w:hAnsi="Cambria Math"/>
              </w:rPr>
              <m:t>L</m:t>
            </m:r>
          </m:sub>
        </m:sSub>
        <m:r>
          <m:rPr>
            <m:sty m:val="p"/>
          </m:rPr>
          <w:rPr>
            <w:rFonts w:ascii="Cambria Math" w:hAnsi="Cambria Math"/>
          </w:rPr>
          <m:t>,</m:t>
        </m:r>
        <m:sSub>
          <m:sSubPr>
            <m:ctrlPr>
              <w:rPr>
                <w:rFonts w:ascii="Cambria Math" w:hAnsi="Cambria Math"/>
                <w:i/>
              </w:rPr>
            </m:ctrlPr>
          </m:sSubPr>
          <m:e>
            <m:r>
              <w:rPr>
                <w:rFonts w:ascii="Cambria Math" w:hAnsi="Cambria Math"/>
              </w:rPr>
              <m:t xml:space="preserve"> z</m:t>
            </m:r>
          </m:e>
          <m:sub>
            <m:r>
              <w:rPr>
                <w:rFonts w:ascii="Cambria Math" w:hAnsi="Cambria Math"/>
              </w:rPr>
              <m:t>L</m:t>
            </m:r>
          </m:sub>
        </m:sSub>
      </m:oMath>
      <w:r w:rsidRPr="00BC31E0">
        <w:rPr>
          <w:rFonts w:asciiTheme="minorHAnsi" w:hAnsiTheme="minorHAnsi"/>
        </w:rPr>
        <w:t>，</w:t>
      </w:r>
      <m:oMath>
        <m:r>
          <w:rPr>
            <w:rFonts w:ascii="Cambria Math" w:hAnsi="Cambria Math"/>
          </w:rPr>
          <m:t>j=</m:t>
        </m:r>
        <m:sSub>
          <m:sSubPr>
            <m:ctrlPr>
              <w:rPr>
                <w:rFonts w:ascii="Cambria Math" w:hAnsi="Cambria Math"/>
                <w:i/>
              </w:rPr>
            </m:ctrlPr>
          </m:sSubPr>
          <m:e>
            <m:r>
              <w:rPr>
                <w:rFonts w:ascii="Cambria Math" w:hAnsi="Cambria Math"/>
              </w:rPr>
              <m:t>x</m:t>
            </m:r>
          </m:e>
          <m:sub>
            <m:r>
              <w:rPr>
                <w:rFonts w:ascii="Cambria Math" w:hAnsi="Cambria Math"/>
              </w:rPr>
              <m:t>L</m:t>
            </m:r>
          </m:sub>
        </m:sSub>
        <m:r>
          <m:rPr>
            <m:sty m:val="p"/>
          </m:rP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L</m:t>
            </m:r>
          </m:sub>
        </m:sSub>
        <m:r>
          <m:rPr>
            <m:sty m:val="p"/>
          </m:rP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L</m:t>
            </m:r>
          </m:sub>
        </m:sSub>
      </m:oMath>
      <w:r w:rsidRPr="00BC31E0">
        <w:rPr>
          <w:rFonts w:asciiTheme="minorHAnsi" w:hAnsiTheme="minorHAnsi"/>
        </w:rPr>
        <w:t>)</w:t>
      </w:r>
      <w:r w:rsidRPr="00BC31E0">
        <w:rPr>
          <w:rFonts w:asciiTheme="minorHAnsi" w:hAnsiTheme="minorHAnsi" w:hint="eastAsia"/>
        </w:rPr>
        <w:t xml:space="preserve"> </w:t>
      </w:r>
      <w:r w:rsidRPr="00BC31E0">
        <w:rPr>
          <w:rFonts w:asciiTheme="minorHAnsi" w:hAnsiTheme="minorHAnsi"/>
        </w:rPr>
        <w:t>(</w:t>
      </w:r>
      <w:r w:rsidRPr="00BC31E0">
        <w:rPr>
          <w:rFonts w:ascii="Cambria Math" w:hAnsi="Cambria Math"/>
        </w:rPr>
        <w:t>MPa</w:t>
      </w:r>
      <w:r w:rsidRPr="00BC31E0">
        <w:rPr>
          <w:rFonts w:asciiTheme="minorHAnsi" w:hAnsiTheme="minorHAnsi"/>
        </w:rPr>
        <w:t>)</w:t>
      </w:r>
    </w:p>
    <w:p w14:paraId="3DACAD41" w14:textId="77777777" w:rsidR="002D033B" w:rsidRPr="00BC31E0" w:rsidRDefault="002D033B" w:rsidP="00493F21">
      <w:pPr>
        <w:pStyle w:val="15"/>
        <w:tabs>
          <w:tab w:val="left" w:pos="1134"/>
          <w:tab w:val="left" w:pos="1843"/>
          <w:tab w:val="left" w:pos="5245"/>
        </w:tabs>
        <w:ind w:left="567" w:firstLine="210"/>
        <w:rPr>
          <w:rFonts w:ascii="ＭＳ 明朝" w:hAnsi="ＭＳ 明朝"/>
        </w:rPr>
      </w:pPr>
      <w:r w:rsidRPr="00BC31E0">
        <w:rPr>
          <w:rFonts w:ascii="ＭＳ 明朝" w:hAnsi="ＭＳ 明朝" w:hint="eastAsia"/>
        </w:rPr>
        <w:tab/>
      </w:r>
      <m:oMath>
        <m:sSub>
          <m:sSubPr>
            <m:ctrlPr>
              <w:rPr>
                <w:rFonts w:ascii="Cambria Math" w:hAnsi="Cambria Math"/>
                <w:i/>
              </w:rPr>
            </m:ctrlPr>
          </m:sSubPr>
          <m:e>
            <m:r>
              <w:rPr>
                <w:rFonts w:ascii="Cambria Math" w:hAnsi="Cambria Math"/>
              </w:rPr>
              <m:t>σ</m:t>
            </m:r>
          </m:e>
          <m:sub>
            <m:r>
              <w:rPr>
                <w:rFonts w:ascii="Cambria Math" w:hAnsi="Cambria Math"/>
              </w:rPr>
              <m:t>ij</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L</m:t>
                </m:r>
              </m:sub>
            </m:sSub>
          </m:e>
        </m:d>
      </m:oMath>
      <w:r w:rsidRPr="00BC31E0">
        <w:rPr>
          <w:rFonts w:ascii="ＭＳ 明朝" w:hAnsi="ＭＳ 明朝" w:hint="eastAsia"/>
        </w:rPr>
        <w:tab/>
        <w:t xml:space="preserve">： </w:t>
      </w:r>
      <w:r w:rsidRPr="00BC31E0">
        <w:rPr>
          <w:rFonts w:asciiTheme="minorHAnsi" w:hAnsiTheme="minorHAnsi"/>
        </w:rPr>
        <w:t>SCL</w:t>
      </w:r>
      <w:r w:rsidRPr="00BC31E0">
        <w:rPr>
          <w:rFonts w:asciiTheme="minorHAnsi" w:hAnsiTheme="minorHAnsi" w:hint="eastAsia"/>
        </w:rPr>
        <w:t>上</w:t>
      </w:r>
      <w:r w:rsidRPr="00BC31E0">
        <w:rPr>
          <w:rFonts w:ascii="ＭＳ 明朝" w:hAnsi="ＭＳ 明朝" w:hint="eastAsia"/>
        </w:rPr>
        <w:t>の評価点の応力テンソル</w:t>
      </w:r>
      <w:r w:rsidRPr="00BC31E0">
        <w:rPr>
          <w:rFonts w:ascii="ＭＳ 明朝" w:hAnsi="ＭＳ 明朝" w:hint="eastAsia"/>
        </w:rPr>
        <w:tab/>
      </w:r>
      <w:r w:rsidRPr="00BC31E0">
        <w:rPr>
          <w:rFonts w:asciiTheme="minorHAnsi" w:hAnsiTheme="minorHAnsi"/>
        </w:rPr>
        <w:t>(</w:t>
      </w:r>
      <m:oMath>
        <m:r>
          <w:rPr>
            <w:rFonts w:ascii="Cambria Math" w:hAnsi="Cambria Math"/>
          </w:rPr>
          <m:t>i=</m:t>
        </m:r>
        <m:sSub>
          <m:sSubPr>
            <m:ctrlPr>
              <w:rPr>
                <w:rFonts w:ascii="Cambria Math" w:hAnsi="Cambria Math"/>
                <w:i/>
              </w:rPr>
            </m:ctrlPr>
          </m:sSubPr>
          <m:e>
            <m:r>
              <w:rPr>
                <w:rFonts w:ascii="Cambria Math" w:hAnsi="Cambria Math"/>
              </w:rPr>
              <m:t>x</m:t>
            </m:r>
          </m:e>
          <m:sub>
            <m:r>
              <w:rPr>
                <w:rFonts w:ascii="Cambria Math" w:hAnsi="Cambria Math"/>
              </w:rPr>
              <m:t>L</m:t>
            </m:r>
          </m:sub>
        </m:sSub>
        <m:r>
          <m:rPr>
            <m:sty m:val="p"/>
          </m:rPr>
          <w:rPr>
            <w:rFonts w:ascii="Cambria Math" w:hAnsi="Cambria Math"/>
          </w:rPr>
          <m:t>,</m:t>
        </m:r>
        <m:sSub>
          <m:sSubPr>
            <m:ctrlPr>
              <w:rPr>
                <w:rFonts w:ascii="Cambria Math" w:hAnsi="Cambria Math"/>
                <w:i/>
              </w:rPr>
            </m:ctrlPr>
          </m:sSubPr>
          <m:e>
            <m:r>
              <w:rPr>
                <w:rFonts w:ascii="Cambria Math" w:hAnsi="Cambria Math"/>
              </w:rPr>
              <m:t xml:space="preserve"> y</m:t>
            </m:r>
          </m:e>
          <m:sub>
            <m:r>
              <w:rPr>
                <w:rFonts w:ascii="Cambria Math" w:hAnsi="Cambria Math"/>
              </w:rPr>
              <m:t>L</m:t>
            </m:r>
          </m:sub>
        </m:sSub>
        <m:r>
          <m:rPr>
            <m:sty m:val="p"/>
          </m:rPr>
          <w:rPr>
            <w:rFonts w:ascii="Cambria Math" w:hAnsi="Cambria Math"/>
          </w:rPr>
          <m:t>,</m:t>
        </m:r>
        <m:sSub>
          <m:sSubPr>
            <m:ctrlPr>
              <w:rPr>
                <w:rFonts w:ascii="Cambria Math" w:hAnsi="Cambria Math"/>
                <w:i/>
              </w:rPr>
            </m:ctrlPr>
          </m:sSubPr>
          <m:e>
            <m:r>
              <w:rPr>
                <w:rFonts w:ascii="Cambria Math" w:hAnsi="Cambria Math"/>
              </w:rPr>
              <m:t xml:space="preserve"> z</m:t>
            </m:r>
          </m:e>
          <m:sub>
            <m:r>
              <w:rPr>
                <w:rFonts w:ascii="Cambria Math" w:hAnsi="Cambria Math"/>
              </w:rPr>
              <m:t>L</m:t>
            </m:r>
          </m:sub>
        </m:sSub>
      </m:oMath>
      <w:r w:rsidRPr="00BC31E0">
        <w:rPr>
          <w:rFonts w:asciiTheme="minorHAnsi" w:hAnsiTheme="minorHAnsi"/>
        </w:rPr>
        <w:t>，</w:t>
      </w:r>
      <m:oMath>
        <m:r>
          <w:rPr>
            <w:rFonts w:ascii="Cambria Math" w:hAnsi="Cambria Math"/>
          </w:rPr>
          <m:t>j=</m:t>
        </m:r>
        <m:sSub>
          <m:sSubPr>
            <m:ctrlPr>
              <w:rPr>
                <w:rFonts w:ascii="Cambria Math" w:hAnsi="Cambria Math"/>
                <w:i/>
              </w:rPr>
            </m:ctrlPr>
          </m:sSubPr>
          <m:e>
            <m:r>
              <w:rPr>
                <w:rFonts w:ascii="Cambria Math" w:hAnsi="Cambria Math"/>
              </w:rPr>
              <m:t>x</m:t>
            </m:r>
          </m:e>
          <m:sub>
            <m:r>
              <w:rPr>
                <w:rFonts w:ascii="Cambria Math" w:hAnsi="Cambria Math"/>
              </w:rPr>
              <m:t>L</m:t>
            </m:r>
          </m:sub>
        </m:sSub>
        <m:r>
          <m:rPr>
            <m:sty m:val="p"/>
          </m:rP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L</m:t>
            </m:r>
          </m:sub>
        </m:sSub>
        <m:r>
          <m:rPr>
            <m:sty m:val="p"/>
          </m:rP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L</m:t>
            </m:r>
          </m:sub>
        </m:sSub>
      </m:oMath>
      <w:r w:rsidRPr="00BC31E0">
        <w:rPr>
          <w:rFonts w:asciiTheme="minorHAnsi" w:hAnsiTheme="minorHAnsi"/>
        </w:rPr>
        <w:t>)</w:t>
      </w:r>
      <w:r w:rsidRPr="00BC31E0">
        <w:rPr>
          <w:rFonts w:asciiTheme="minorHAnsi" w:hAnsiTheme="minorHAnsi" w:hint="eastAsia"/>
        </w:rPr>
        <w:t xml:space="preserve"> </w:t>
      </w:r>
      <w:r w:rsidRPr="00BC31E0">
        <w:rPr>
          <w:rFonts w:asciiTheme="minorHAnsi" w:hAnsiTheme="minorHAnsi"/>
        </w:rPr>
        <w:t>(</w:t>
      </w:r>
      <w:r w:rsidRPr="00BC31E0">
        <w:rPr>
          <w:rFonts w:ascii="Cambria Math" w:hAnsi="Cambria Math"/>
        </w:rPr>
        <w:t>MPa</w:t>
      </w:r>
      <w:r w:rsidRPr="00BC31E0">
        <w:rPr>
          <w:rFonts w:asciiTheme="minorHAnsi" w:hAnsiTheme="minorHAnsi"/>
        </w:rPr>
        <w:t>)</w:t>
      </w:r>
    </w:p>
    <w:p w14:paraId="247F76AC" w14:textId="77777777" w:rsidR="002D033B" w:rsidRPr="00BC31E0" w:rsidRDefault="002D033B" w:rsidP="00493F21">
      <w:pPr>
        <w:pStyle w:val="15"/>
        <w:tabs>
          <w:tab w:val="left" w:pos="1134"/>
          <w:tab w:val="left" w:pos="1843"/>
        </w:tabs>
        <w:ind w:left="737" w:firstLine="210"/>
        <w:rPr>
          <w:rFonts w:asciiTheme="minorHAnsi" w:hAnsiTheme="minorHAnsi"/>
        </w:rPr>
      </w:pPr>
      <w:r w:rsidRPr="00BC31E0">
        <w:rPr>
          <w:rFonts w:ascii="ＭＳ 明朝" w:hAnsi="ＭＳ 明朝" w:hint="eastAsia"/>
        </w:rPr>
        <w:tab/>
      </w:r>
      <m:oMath>
        <m:sSub>
          <m:sSubPr>
            <m:ctrlPr>
              <w:rPr>
                <w:rFonts w:ascii="Cambria Math" w:hAnsi="Cambria Math"/>
                <w:i/>
              </w:rPr>
            </m:ctrlPr>
          </m:sSubPr>
          <m:e>
            <m:r>
              <w:rPr>
                <w:rFonts w:ascii="Cambria Math" w:hAnsi="Cambria Math"/>
              </w:rPr>
              <m:t>x</m:t>
            </m:r>
          </m:e>
          <m:sub>
            <m:r>
              <w:rPr>
                <w:rFonts w:ascii="Cambria Math" w:hAnsi="Cambria Math"/>
              </w:rPr>
              <m:t>L</m:t>
            </m:r>
          </m:sub>
        </m:sSub>
      </m:oMath>
      <w:r w:rsidRPr="00BC31E0">
        <w:rPr>
          <w:rFonts w:asciiTheme="minorHAnsi" w:hAnsiTheme="minorHAnsi" w:hint="eastAsia"/>
        </w:rPr>
        <w:tab/>
      </w:r>
      <w:r w:rsidRPr="00BC31E0">
        <w:rPr>
          <w:rFonts w:asciiTheme="minorHAnsi" w:hAnsiTheme="minorHAnsi" w:hint="eastAsia"/>
        </w:rPr>
        <w:t>：</w:t>
      </w:r>
      <w:r w:rsidRPr="00BC31E0">
        <w:rPr>
          <w:rFonts w:asciiTheme="minorHAnsi" w:hAnsiTheme="minorHAnsi" w:hint="eastAsia"/>
        </w:rPr>
        <w:t xml:space="preserve"> SCL</w:t>
      </w:r>
      <w:r w:rsidRPr="00BC31E0">
        <w:rPr>
          <w:rFonts w:asciiTheme="minorHAnsi" w:hAnsiTheme="minorHAnsi" w:hint="eastAsia"/>
        </w:rPr>
        <w:t>の局所座標系における</w:t>
      </w:r>
      <w:r w:rsidRPr="00BC31E0">
        <w:rPr>
          <w:rFonts w:asciiTheme="minorHAnsi" w:hAnsiTheme="minorHAnsi" w:hint="eastAsia"/>
        </w:rPr>
        <w:t>SCL</w:t>
      </w:r>
      <w:r w:rsidRPr="00BC31E0">
        <w:rPr>
          <w:rFonts w:asciiTheme="minorHAnsi" w:hAnsiTheme="minorHAnsi" w:hint="eastAsia"/>
        </w:rPr>
        <w:t>に沿った端部からの距離</w:t>
      </w:r>
      <w:r w:rsidRPr="00BC31E0">
        <w:rPr>
          <w:rFonts w:asciiTheme="minorHAnsi" w:hAnsiTheme="minorHAnsi" w:hint="eastAsia"/>
        </w:rPr>
        <w:t>(</w:t>
      </w:r>
      <w:r w:rsidRPr="00BC31E0">
        <w:rPr>
          <w:rFonts w:ascii="Cambria Math" w:hAnsi="Cambria Math"/>
        </w:rPr>
        <w:t>mm</w:t>
      </w:r>
      <w:r w:rsidRPr="00BC31E0">
        <w:rPr>
          <w:rFonts w:asciiTheme="minorHAnsi" w:hAnsiTheme="minorHAnsi" w:hint="eastAsia"/>
        </w:rPr>
        <w:t>)</w:t>
      </w:r>
    </w:p>
    <w:p w14:paraId="48F87914" w14:textId="77777777" w:rsidR="002D033B" w:rsidRPr="00BC31E0" w:rsidRDefault="002D033B" w:rsidP="00493F21">
      <w:pPr>
        <w:pStyle w:val="15"/>
        <w:tabs>
          <w:tab w:val="left" w:pos="1134"/>
          <w:tab w:val="left" w:pos="1843"/>
        </w:tabs>
        <w:ind w:left="567" w:firstLine="210"/>
        <w:rPr>
          <w:rFonts w:asciiTheme="minorHAnsi" w:hAnsiTheme="minorHAnsi"/>
        </w:rPr>
      </w:pPr>
      <w:r w:rsidRPr="00BC31E0">
        <w:rPr>
          <w:rFonts w:ascii="ＭＳ 明朝" w:hAnsi="ＭＳ 明朝" w:hint="eastAsia"/>
        </w:rPr>
        <w:tab/>
      </w:r>
      <m:oMath>
        <m:r>
          <w:rPr>
            <w:rFonts w:ascii="Cambria Math" w:hAnsi="Cambria Math"/>
          </w:rPr>
          <m:t>t</m:t>
        </m:r>
      </m:oMath>
      <w:r w:rsidRPr="00BC31E0">
        <w:rPr>
          <w:rFonts w:ascii="ＭＳ 明朝" w:hAnsi="ＭＳ 明朝" w:hint="eastAsia"/>
        </w:rPr>
        <w:tab/>
        <w:t>： 評価断面の厚さ</w:t>
      </w:r>
      <w:r w:rsidRPr="00BC31E0">
        <w:rPr>
          <w:rFonts w:asciiTheme="minorHAnsi" w:hAnsiTheme="minorHAnsi"/>
        </w:rPr>
        <w:t>(</w:t>
      </w:r>
      <w:r w:rsidRPr="00BC31E0">
        <w:rPr>
          <w:rFonts w:ascii="Cambria Math" w:hAnsi="Cambria Math"/>
        </w:rPr>
        <w:t>mm</w:t>
      </w:r>
      <w:r w:rsidRPr="00BC31E0">
        <w:rPr>
          <w:rFonts w:asciiTheme="minorHAnsi" w:hAnsiTheme="minorHAnsi"/>
        </w:rPr>
        <w:t>)</w:t>
      </w:r>
    </w:p>
    <w:p w14:paraId="7F49D0E0" w14:textId="77777777" w:rsidR="002D033B" w:rsidRPr="00BC31E0" w:rsidRDefault="002D033B" w:rsidP="00736130">
      <w:pPr>
        <w:pStyle w:val="a4"/>
        <w:numPr>
          <w:ilvl w:val="0"/>
          <w:numId w:val="419"/>
        </w:numPr>
        <w:spacing w:before="120"/>
        <w:ind w:leftChars="0" w:left="454" w:hanging="454"/>
        <w:rPr>
          <w:rFonts w:ascii="ＭＳ 明朝" w:hAnsi="ＭＳ 明朝"/>
        </w:rPr>
      </w:pPr>
      <w:r w:rsidRPr="00BC31E0">
        <w:rPr>
          <w:rFonts w:asciiTheme="majorEastAsia" w:eastAsiaTheme="majorEastAsia" w:hAnsiTheme="majorEastAsia" w:hint="eastAsia"/>
          <w:b/>
        </w:rPr>
        <w:t>曲げ応力テンソルの計算</w:t>
      </w:r>
      <w:r w:rsidR="0058590E" w:rsidRPr="00BC31E0">
        <w:rPr>
          <w:rFonts w:ascii="ＭＳ 明朝" w:hAnsi="ＭＳ 明朝" w:hint="eastAsia"/>
        </w:rPr>
        <w:t xml:space="preserve"> </w:t>
      </w:r>
      <w:r w:rsidR="0058590E" w:rsidRPr="00BC31E0">
        <w:rPr>
          <w:rFonts w:ascii="ＭＳ 明朝" w:hAnsi="ＭＳ 明朝"/>
        </w:rPr>
        <w:t xml:space="preserve"> </w:t>
      </w:r>
      <w:r w:rsidRPr="00BC31E0">
        <w:rPr>
          <w:rFonts w:hint="eastAsia"/>
        </w:rPr>
        <w:t>曲げ応力テンソルの計算は，次の</w:t>
      </w:r>
      <w:r w:rsidRPr="00BC31E0">
        <w:rPr>
          <w:rFonts w:asciiTheme="majorEastAsia" w:eastAsiaTheme="majorEastAsia" w:hAnsiTheme="majorEastAsia" w:hint="eastAsia"/>
          <w:b/>
        </w:rPr>
        <w:t>1)</w:t>
      </w:r>
      <w:r w:rsidRPr="00BC31E0">
        <w:rPr>
          <w:rFonts w:hint="eastAsia"/>
        </w:rPr>
        <w:t>～</w:t>
      </w:r>
      <w:r w:rsidRPr="00BC31E0">
        <w:rPr>
          <w:rFonts w:asciiTheme="majorEastAsia" w:eastAsiaTheme="majorEastAsia" w:hAnsiTheme="majorEastAsia" w:hint="eastAsia"/>
          <w:b/>
        </w:rPr>
        <w:t>3)</w:t>
      </w:r>
      <w:r w:rsidRPr="00BC31E0">
        <w:rPr>
          <w:rFonts w:hint="eastAsia"/>
        </w:rPr>
        <w:t>による。</w:t>
      </w:r>
    </w:p>
    <w:p w14:paraId="4DDF0EB2" w14:textId="77777777" w:rsidR="00EE41CB" w:rsidRPr="00BC31E0" w:rsidRDefault="002D033B" w:rsidP="00736130">
      <w:pPr>
        <w:pStyle w:val="a4"/>
        <w:numPr>
          <w:ilvl w:val="0"/>
          <w:numId w:val="420"/>
        </w:numPr>
        <w:ind w:leftChars="0" w:left="738" w:hanging="454"/>
      </w:pPr>
      <w:r w:rsidRPr="00BC31E0">
        <w:rPr>
          <w:rFonts w:hint="eastAsia"/>
        </w:rPr>
        <w:t>曲げ応力は</w:t>
      </w:r>
      <w:r w:rsidRPr="00BC31E0">
        <w:t>SCL</w:t>
      </w:r>
      <w:r w:rsidRPr="00BC31E0">
        <w:rPr>
          <w:rFonts w:hint="eastAsia"/>
        </w:rPr>
        <w:t>の局所座標系の周方向</w:t>
      </w:r>
      <w:r w:rsidRPr="00BC31E0">
        <w:t>(</w:t>
      </w:r>
      <m:oMath>
        <m:r>
          <m:rPr>
            <m:sty m:val="p"/>
          </m:rPr>
          <w:rPr>
            <w:rFonts w:ascii="Cambria Math"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 xml:space="preserve">L </m:t>
            </m:r>
          </m:sub>
        </m:sSub>
      </m:oMath>
      <w:r w:rsidRPr="00BC31E0">
        <w:t>軸</w:t>
      </w:r>
      <w:r w:rsidRPr="00BC31E0">
        <w:t>)</w:t>
      </w:r>
      <w:r w:rsidRPr="00BC31E0">
        <w:rPr>
          <w:rFonts w:hint="eastAsia"/>
        </w:rPr>
        <w:t>と子午線方向</w:t>
      </w:r>
      <w:r w:rsidRPr="00BC31E0">
        <w:t>(</w:t>
      </w:r>
      <m:oMath>
        <m:sSub>
          <m:sSubPr>
            <m:ctrlPr>
              <w:rPr>
                <w:rFonts w:ascii="Cambria Math" w:hAnsi="Cambria Math"/>
                <w:i/>
              </w:rPr>
            </m:ctrlPr>
          </m:sSubPr>
          <m:e>
            <m:r>
              <w:rPr>
                <w:rFonts w:ascii="Cambria Math" w:hAnsi="Cambria Math"/>
              </w:rPr>
              <m:t xml:space="preserve"> y</m:t>
            </m:r>
          </m:e>
          <m:sub>
            <m:r>
              <w:rPr>
                <w:rFonts w:ascii="Cambria Math" w:hAnsi="Cambria Math"/>
              </w:rPr>
              <m:t>L</m:t>
            </m:r>
          </m:sub>
        </m:sSub>
        <m:r>
          <w:rPr>
            <w:rFonts w:ascii="Cambria Math" w:hAnsi="Cambria Math"/>
          </w:rPr>
          <m:t xml:space="preserve"> </m:t>
        </m:r>
      </m:oMath>
      <w:r w:rsidRPr="00BC31E0">
        <w:t>軸</w:t>
      </w:r>
      <w:r w:rsidRPr="00BC31E0">
        <w:t>)</w:t>
      </w:r>
      <w:r w:rsidRPr="00BC31E0">
        <w:rPr>
          <w:rFonts w:hint="eastAsia"/>
        </w:rPr>
        <w:t>の垂直応力成分に対してのみ計算し，</w:t>
      </w:r>
      <w:r w:rsidRPr="00BC31E0">
        <w:t>SCL</w:t>
      </w:r>
      <w:r w:rsidRPr="00BC31E0">
        <w:rPr>
          <w:rFonts w:hint="eastAsia"/>
        </w:rPr>
        <w:t>に平行な応力成分</w:t>
      </w:r>
      <w:r w:rsidRPr="00BC31E0">
        <w:t>(</w:t>
      </w:r>
      <m:oMath>
        <m:sSub>
          <m:sSubPr>
            <m:ctrlPr>
              <w:rPr>
                <w:rFonts w:ascii="Cambria Math" w:hAnsi="Cambria Math"/>
                <w:i/>
              </w:rPr>
            </m:ctrlPr>
          </m:sSubPr>
          <m:e>
            <m:r>
              <w:rPr>
                <w:rFonts w:ascii="Cambria Math" w:hAnsi="Cambria Math"/>
              </w:rPr>
              <m:t xml:space="preserve"> x</m:t>
            </m:r>
          </m:e>
          <m:sub>
            <m:r>
              <w:rPr>
                <w:rFonts w:ascii="Cambria Math" w:hAnsi="Cambria Math"/>
              </w:rPr>
              <m:t>L</m:t>
            </m:r>
          </m:sub>
        </m:sSub>
        <m:r>
          <w:rPr>
            <w:rFonts w:ascii="Cambria Math" w:hAnsi="Cambria Math"/>
          </w:rPr>
          <m:t xml:space="preserve"> </m:t>
        </m:r>
      </m:oMath>
      <w:r w:rsidRPr="00BC31E0">
        <w:t>軸</w:t>
      </w:r>
      <w:r w:rsidRPr="00BC31E0">
        <w:t>)</w:t>
      </w:r>
      <w:r w:rsidRPr="00BC31E0">
        <w:rPr>
          <w:rFonts w:hint="eastAsia"/>
        </w:rPr>
        <w:t>又は面内せん断応力</w:t>
      </w:r>
      <w:r w:rsidRPr="00BC31E0">
        <w:t>(</w:t>
      </w:r>
      <m:oMath>
        <m:sSub>
          <m:sSubPr>
            <m:ctrlPr>
              <w:rPr>
                <w:rFonts w:ascii="Cambria Math" w:hAnsi="Cambria Math"/>
                <w:i/>
              </w:rPr>
            </m:ctrlPr>
          </m:sSubPr>
          <m:e>
            <m:r>
              <w:rPr>
                <w:rFonts w:ascii="Cambria Math" w:hAnsi="Cambria Math"/>
              </w:rPr>
              <m:t>x</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L</m:t>
            </m:r>
          </m:sub>
        </m:sSub>
        <m:r>
          <w:rPr>
            <w:rFonts w:ascii="Cambria Math" w:hAnsi="Cambria Math"/>
          </w:rPr>
          <m:t xml:space="preserve"> </m:t>
        </m:r>
      </m:oMath>
      <w:r w:rsidRPr="00BC31E0">
        <w:rPr>
          <w:rFonts w:hint="eastAsia"/>
        </w:rPr>
        <w:t>面</w:t>
      </w:r>
      <w:r w:rsidRPr="00BC31E0">
        <w:t>)</w:t>
      </w:r>
      <w:r w:rsidRPr="00BC31E0">
        <w:rPr>
          <w:rFonts w:hint="eastAsia"/>
        </w:rPr>
        <w:t>に対しては計算しない。</w:t>
      </w:r>
    </w:p>
    <w:p w14:paraId="01439D1B" w14:textId="77777777" w:rsidR="00EE41CB" w:rsidRPr="00BC31E0" w:rsidRDefault="002D033B" w:rsidP="00736130">
      <w:pPr>
        <w:pStyle w:val="a4"/>
        <w:numPr>
          <w:ilvl w:val="0"/>
          <w:numId w:val="420"/>
        </w:numPr>
        <w:ind w:leftChars="0" w:left="738" w:hanging="454"/>
      </w:pPr>
      <w:r w:rsidRPr="00BC31E0">
        <w:t>SCL</w:t>
      </w:r>
      <w:r w:rsidRPr="00BC31E0">
        <w:rPr>
          <w:rFonts w:hint="eastAsia"/>
        </w:rPr>
        <w:t>に対してねじりとなるせん断応力</w:t>
      </w:r>
      <w:r w:rsidRPr="00BC31E0">
        <w:t>(</w:t>
      </w:r>
      <w:r w:rsidRPr="00BC31E0">
        <w:rPr>
          <w:rFonts w:hint="eastAsia"/>
        </w:rPr>
        <w:t>周方向に垂直な面の面外せん断応力</w:t>
      </w:r>
      <w:r w:rsidRPr="00BC31E0">
        <w:t>)</w:t>
      </w:r>
      <w:r w:rsidRPr="00BC31E0">
        <w:rPr>
          <w:rFonts w:hint="eastAsia"/>
        </w:rPr>
        <w:t>分布に対してのみ，せん断応力の線形部分を考慮する</w:t>
      </w:r>
      <w:r w:rsidRPr="00BC31E0">
        <w:t>(</w:t>
      </w:r>
      <w:r w:rsidRPr="00BC31E0">
        <w:rPr>
          <w:rFonts w:asciiTheme="majorEastAsia" w:eastAsiaTheme="majorEastAsia" w:hAnsiTheme="majorEastAsia" w:hint="eastAsia"/>
          <w:b/>
        </w:rPr>
        <w:t>図L.2</w:t>
      </w:r>
      <w:r w:rsidRPr="00BC31E0">
        <w:rPr>
          <w:rFonts w:hint="eastAsia"/>
        </w:rPr>
        <w:t>を参照</w:t>
      </w:r>
      <w:r w:rsidRPr="00BC31E0">
        <w:t>)</w:t>
      </w:r>
      <w:r w:rsidRPr="00BC31E0">
        <w:rPr>
          <w:rFonts w:hint="eastAsia"/>
        </w:rPr>
        <w:t>。</w:t>
      </w:r>
    </w:p>
    <w:p w14:paraId="19EED181" w14:textId="77777777" w:rsidR="002D033B" w:rsidRPr="00BC31E0" w:rsidRDefault="002D033B" w:rsidP="00736130">
      <w:pPr>
        <w:pStyle w:val="a4"/>
        <w:numPr>
          <w:ilvl w:val="0"/>
          <w:numId w:val="420"/>
        </w:numPr>
        <w:spacing w:after="120"/>
        <w:ind w:leftChars="0" w:left="738" w:hanging="454"/>
      </w:pPr>
      <w:r w:rsidRPr="00BC31E0">
        <w:rPr>
          <w:rFonts w:hint="eastAsia"/>
        </w:rPr>
        <w:t>曲げ応力テンソルは</w:t>
      </w:r>
      <w:r w:rsidRPr="00BC31E0">
        <w:t>SCL</w:t>
      </w:r>
      <w:r w:rsidRPr="00BC31E0">
        <w:rPr>
          <w:rFonts w:hint="eastAsia"/>
        </w:rPr>
        <w:t>に沿った各応力成分の線形に変化する部分から構成されるテンソルで，次式で求める。</w:t>
      </w:r>
    </w:p>
    <w:tbl>
      <w:tblPr>
        <w:tblStyle w:val="afff2"/>
        <w:tblW w:w="5953" w:type="dxa"/>
        <w:tblInd w:w="3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8"/>
        <w:gridCol w:w="2865"/>
      </w:tblGrid>
      <w:tr w:rsidR="002D033B" w:rsidRPr="00BC31E0" w14:paraId="7BDEF226" w14:textId="77777777" w:rsidTr="004736F2">
        <w:tc>
          <w:tcPr>
            <w:tcW w:w="0" w:type="auto"/>
            <w:tcMar>
              <w:left w:w="0" w:type="dxa"/>
              <w:right w:w="0" w:type="dxa"/>
            </w:tcMar>
            <w:vAlign w:val="center"/>
          </w:tcPr>
          <w:p w14:paraId="79E7FA48" w14:textId="77777777" w:rsidR="002D033B" w:rsidRPr="00BC31E0" w:rsidRDefault="00A51873" w:rsidP="00493F21">
            <w:pPr>
              <w:pStyle w:val="15"/>
              <w:ind w:firstLine="210"/>
              <w:rPr>
                <w:rFonts w:ascii="ＭＳ 明朝" w:hAnsi="ＭＳ 明朝"/>
                <w:i/>
              </w:rPr>
            </w:pPr>
            <m:oMathPara>
              <m:oMathParaPr>
                <m:jc m:val="left"/>
              </m:oMathParaPr>
              <m:oMath>
                <m:sSub>
                  <m:sSubPr>
                    <m:ctrlPr>
                      <w:rPr>
                        <w:rFonts w:ascii="Cambria Math" w:hAnsi="Cambria Math"/>
                        <w:i/>
                      </w:rPr>
                    </m:ctrlPr>
                  </m:sSubPr>
                  <m:e>
                    <m:r>
                      <w:rPr>
                        <w:rFonts w:ascii="Cambria Math" w:hAnsi="Cambria Math"/>
                      </w:rPr>
                      <m:t>σ</m:t>
                    </m:r>
                  </m:e>
                  <m:sub>
                    <m:r>
                      <w:rPr>
                        <w:rFonts w:ascii="Cambria Math" w:hAnsi="Cambria Math"/>
                      </w:rPr>
                      <m:t>ij,b</m:t>
                    </m:r>
                  </m:sub>
                </m:sSub>
                <m:r>
                  <w:rPr>
                    <w:rFonts w:ascii="Cambria Math" w:hAnsi="Cambria Math"/>
                  </w:rPr>
                  <m:t>=</m:t>
                </m:r>
                <m:f>
                  <m:fPr>
                    <m:ctrlPr>
                      <w:rPr>
                        <w:rFonts w:ascii="Cambria Math" w:hAnsi="Cambria Math"/>
                        <w:i/>
                      </w:rPr>
                    </m:ctrlPr>
                  </m:fPr>
                  <m:num>
                    <m:r>
                      <w:rPr>
                        <w:rFonts w:ascii="Cambria Math" w:hAnsi="Cambria Math"/>
                      </w:rPr>
                      <m:t>6</m:t>
                    </m:r>
                  </m:num>
                  <m:den>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 xml:space="preserve"> </m:t>
                </m:r>
                <m:nary>
                  <m:naryPr>
                    <m:limLoc m:val="subSup"/>
                    <m:ctrlPr>
                      <w:rPr>
                        <w:rFonts w:ascii="Cambria Math" w:hAnsi="Cambria Math"/>
                        <w:i/>
                      </w:rPr>
                    </m:ctrlPr>
                  </m:naryPr>
                  <m:sub>
                    <m:r>
                      <w:rPr>
                        <w:rFonts w:ascii="Cambria Math" w:hAnsi="Cambria Math"/>
                      </w:rPr>
                      <m:t>0</m:t>
                    </m:r>
                  </m:sub>
                  <m:sup>
                    <m:r>
                      <w:rPr>
                        <w:rFonts w:ascii="Cambria Math" w:hAnsi="Cambria Math"/>
                      </w:rPr>
                      <m:t>t</m:t>
                    </m:r>
                  </m:sup>
                  <m:e>
                    <m:sSub>
                      <m:sSubPr>
                        <m:ctrlPr>
                          <w:rPr>
                            <w:rFonts w:ascii="Cambria Math" w:hAnsi="Cambria Math"/>
                            <w:i/>
                          </w:rPr>
                        </m:ctrlPr>
                      </m:sSubPr>
                      <m:e>
                        <m:r>
                          <w:rPr>
                            <w:rFonts w:ascii="Cambria Math" w:hAnsi="Cambria Math"/>
                          </w:rPr>
                          <m:t>σ</m:t>
                        </m:r>
                      </m:e>
                      <m:sub>
                        <m:r>
                          <w:rPr>
                            <w:rFonts w:ascii="Cambria Math" w:hAnsi="Cambria Math"/>
                          </w:rPr>
                          <m:t>ij</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L</m:t>
                            </m:r>
                          </m:sub>
                        </m:sSub>
                      </m:e>
                    </m:d>
                    <m:r>
                      <w:rPr>
                        <w:rFonts w:ascii="Cambria Math" w:hAnsi="Cambria Math"/>
                      </w:rPr>
                      <m:t xml:space="preserve"> </m:t>
                    </m:r>
                    <m:d>
                      <m:dPr>
                        <m:ctrlPr>
                          <w:rPr>
                            <w:rFonts w:ascii="Cambria Math" w:hAnsi="Cambria Math"/>
                            <w:i/>
                          </w:rPr>
                        </m:ctrlPr>
                      </m:dPr>
                      <m:e>
                        <m:f>
                          <m:fPr>
                            <m:ctrlPr>
                              <w:rPr>
                                <w:rFonts w:ascii="Cambria Math" w:hAnsi="Cambria Math"/>
                                <w:i/>
                              </w:rPr>
                            </m:ctrlPr>
                          </m:fPr>
                          <m:num>
                            <m:r>
                              <w:rPr>
                                <w:rFonts w:ascii="Cambria Math" w:hAnsi="Cambria Math"/>
                              </w:rPr>
                              <m:t>t</m:t>
                            </m:r>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L</m:t>
                            </m:r>
                          </m:sub>
                        </m:sSub>
                      </m:e>
                    </m:d>
                  </m:e>
                </m:nary>
                <m:r>
                  <w:rPr>
                    <w:rFonts w:ascii="Cambria Math" w:hAnsi="Cambria Math"/>
                  </w:rPr>
                  <m:t xml:space="preserve"> d</m:t>
                </m:r>
                <m:sSub>
                  <m:sSubPr>
                    <m:ctrlPr>
                      <w:rPr>
                        <w:rFonts w:ascii="Cambria Math" w:hAnsi="Cambria Math"/>
                        <w:i/>
                      </w:rPr>
                    </m:ctrlPr>
                  </m:sSubPr>
                  <m:e>
                    <m:r>
                      <w:rPr>
                        <w:rFonts w:ascii="Cambria Math" w:hAnsi="Cambria Math"/>
                      </w:rPr>
                      <m:t>x</m:t>
                    </m:r>
                  </m:e>
                  <m:sub>
                    <m:r>
                      <w:rPr>
                        <w:rFonts w:ascii="Cambria Math" w:hAnsi="Cambria Math"/>
                      </w:rPr>
                      <m:t>L</m:t>
                    </m:r>
                  </m:sub>
                </m:sSub>
              </m:oMath>
            </m:oMathPara>
          </w:p>
        </w:tc>
        <w:tc>
          <w:tcPr>
            <w:tcW w:w="2865" w:type="dxa"/>
            <w:tcMar>
              <w:left w:w="0" w:type="dxa"/>
              <w:right w:w="0" w:type="dxa"/>
            </w:tcMar>
            <w:vAlign w:val="center"/>
          </w:tcPr>
          <w:p w14:paraId="53799F3E" w14:textId="77777777" w:rsidR="002D033B" w:rsidRPr="00BC31E0" w:rsidRDefault="002D033B" w:rsidP="00493F21">
            <w:pPr>
              <w:pStyle w:val="15"/>
              <w:tabs>
                <w:tab w:val="left" w:leader="middleDot" w:pos="2440"/>
              </w:tabs>
              <w:ind w:firstLineChars="0" w:firstLine="0"/>
              <w:jc w:val="left"/>
              <w:rPr>
                <w:rFonts w:asciiTheme="minorHAnsi" w:hAnsiTheme="minorHAnsi"/>
              </w:rPr>
            </w:pPr>
            <w:r w:rsidRPr="00BC31E0">
              <w:rPr>
                <w:rFonts w:asciiTheme="minorHAnsi" w:hAnsiTheme="minorHAnsi"/>
              </w:rPr>
              <w:tab/>
              <w:t>(</w:t>
            </w:r>
            <w:r w:rsidRPr="00BC31E0">
              <w:rPr>
                <w:rFonts w:asciiTheme="minorHAnsi" w:hAnsiTheme="minorHAnsi" w:hint="eastAsia"/>
              </w:rPr>
              <w:t>2</w:t>
            </w:r>
            <w:r w:rsidRPr="00BC31E0">
              <w:rPr>
                <w:rFonts w:asciiTheme="minorHAnsi" w:hAnsiTheme="minorHAnsi"/>
              </w:rPr>
              <w:t>)</w:t>
            </w:r>
          </w:p>
        </w:tc>
      </w:tr>
    </w:tbl>
    <w:p w14:paraId="32FC99D6" w14:textId="77777777" w:rsidR="002D033B" w:rsidRPr="00BC31E0" w:rsidRDefault="002D033B" w:rsidP="00493F21">
      <w:pPr>
        <w:pStyle w:val="15"/>
        <w:ind w:left="737" w:firstLine="210"/>
        <w:rPr>
          <w:rFonts w:ascii="ＭＳ 明朝" w:hAnsi="ＭＳ 明朝"/>
        </w:rPr>
      </w:pPr>
      <w:r w:rsidRPr="00BC31E0">
        <w:rPr>
          <w:rFonts w:ascii="ＭＳ 明朝" w:hAnsi="ＭＳ 明朝" w:hint="eastAsia"/>
        </w:rPr>
        <w:t>ここで，</w:t>
      </w:r>
    </w:p>
    <w:p w14:paraId="1FA66E4D" w14:textId="77777777" w:rsidR="002D033B" w:rsidRPr="00BC31E0" w:rsidRDefault="00A51873" w:rsidP="00493F21">
      <w:pPr>
        <w:pStyle w:val="15"/>
        <w:tabs>
          <w:tab w:val="left" w:pos="1843"/>
        </w:tabs>
        <w:ind w:left="1418" w:firstLineChars="0" w:firstLine="0"/>
        <w:rPr>
          <w:rFonts w:asciiTheme="minorHAnsi" w:hAnsiTheme="minorHAnsi"/>
        </w:rPr>
      </w:pPr>
      <m:oMath>
        <m:sSub>
          <m:sSubPr>
            <m:ctrlPr>
              <w:rPr>
                <w:rFonts w:ascii="Cambria Math" w:hAnsi="Cambria Math"/>
                <w:i/>
              </w:rPr>
            </m:ctrlPr>
          </m:sSubPr>
          <m:e>
            <m:r>
              <w:rPr>
                <w:rFonts w:ascii="Cambria Math" w:hAnsi="Cambria Math"/>
              </w:rPr>
              <m:t>σ</m:t>
            </m:r>
          </m:e>
          <m:sub>
            <m:r>
              <w:rPr>
                <w:rFonts w:ascii="Cambria Math" w:hAnsi="Cambria Math"/>
              </w:rPr>
              <m:t>ij,b</m:t>
            </m:r>
          </m:sub>
        </m:sSub>
      </m:oMath>
      <w:r w:rsidR="002D033B" w:rsidRPr="00BC31E0">
        <w:rPr>
          <w:rFonts w:ascii="ＭＳ 明朝" w:hAnsi="ＭＳ 明朝" w:hint="eastAsia"/>
        </w:rPr>
        <w:tab/>
        <w:t xml:space="preserve">： 曲げ応力テンソル </w:t>
      </w:r>
      <w:r w:rsidR="002D033B" w:rsidRPr="00BC31E0">
        <w:rPr>
          <w:rFonts w:asciiTheme="minorHAnsi" w:hAnsiTheme="minorHAnsi"/>
        </w:rPr>
        <w:t>(</w:t>
      </w:r>
      <m:oMath>
        <m:r>
          <w:rPr>
            <w:rFonts w:ascii="Cambria Math" w:hAnsi="Cambria Math"/>
          </w:rPr>
          <m:t>i=</m:t>
        </m:r>
        <m:sSub>
          <m:sSubPr>
            <m:ctrlPr>
              <w:rPr>
                <w:rFonts w:ascii="Cambria Math" w:hAnsi="Cambria Math"/>
                <w:i/>
              </w:rPr>
            </m:ctrlPr>
          </m:sSubPr>
          <m:e>
            <m:r>
              <w:rPr>
                <w:rFonts w:ascii="Cambria Math" w:hAnsi="Cambria Math"/>
              </w:rPr>
              <m:t>y</m:t>
            </m:r>
          </m:e>
          <m:sub>
            <m:r>
              <w:rPr>
                <w:rFonts w:ascii="Cambria Math" w:hAnsi="Cambria Math"/>
              </w:rPr>
              <m:t>L</m:t>
            </m:r>
          </m:sub>
        </m:sSub>
        <m:r>
          <m:rPr>
            <m:sty m:val="p"/>
          </m:rPr>
          <w:rPr>
            <w:rFonts w:ascii="Cambria Math" w:hAnsi="Cambria Math"/>
          </w:rPr>
          <m:t xml:space="preserve">, </m:t>
        </m:r>
        <m:sSub>
          <m:sSubPr>
            <m:ctrlPr>
              <w:rPr>
                <w:rFonts w:ascii="Cambria Math" w:hAnsi="Cambria Math"/>
                <w:i/>
              </w:rPr>
            </m:ctrlPr>
          </m:sSubPr>
          <m:e>
            <m:r>
              <w:rPr>
                <w:rFonts w:ascii="Cambria Math" w:hAnsi="Cambria Math"/>
              </w:rPr>
              <m:t xml:space="preserve"> z</m:t>
            </m:r>
          </m:e>
          <m:sub>
            <m:r>
              <w:rPr>
                <w:rFonts w:ascii="Cambria Math" w:hAnsi="Cambria Math"/>
              </w:rPr>
              <m:t>L</m:t>
            </m:r>
          </m:sub>
        </m:sSub>
      </m:oMath>
      <w:r w:rsidR="002D033B" w:rsidRPr="00BC31E0">
        <w:rPr>
          <w:rFonts w:asciiTheme="minorHAnsi" w:hAnsiTheme="minorHAnsi"/>
        </w:rPr>
        <w:t>，</w:t>
      </w:r>
      <m:oMath>
        <m:r>
          <w:rPr>
            <w:rFonts w:ascii="Cambria Math" w:hAnsi="Cambria Math"/>
          </w:rPr>
          <m:t>j=</m:t>
        </m:r>
        <m:sSub>
          <m:sSubPr>
            <m:ctrlPr>
              <w:rPr>
                <w:rFonts w:ascii="Cambria Math" w:hAnsi="Cambria Math"/>
                <w:i/>
              </w:rPr>
            </m:ctrlPr>
          </m:sSubPr>
          <m:e>
            <m:r>
              <w:rPr>
                <w:rFonts w:ascii="Cambria Math" w:hAnsi="Cambria Math"/>
              </w:rPr>
              <m:t>y</m:t>
            </m:r>
          </m:e>
          <m:sub>
            <m:r>
              <w:rPr>
                <w:rFonts w:ascii="Cambria Math" w:hAnsi="Cambria Math"/>
              </w:rPr>
              <m:t>L</m:t>
            </m:r>
          </m:sub>
        </m:sSub>
        <m:r>
          <m:rPr>
            <m:sty m:val="p"/>
          </m:rPr>
          <w:rPr>
            <w:rFonts w:ascii="Cambria Math" w:hAnsi="Cambria Math"/>
          </w:rPr>
          <m:t xml:space="preserve">, </m:t>
        </m:r>
        <m:sSub>
          <m:sSubPr>
            <m:ctrlPr>
              <w:rPr>
                <w:rFonts w:ascii="Cambria Math" w:hAnsi="Cambria Math"/>
                <w:i/>
              </w:rPr>
            </m:ctrlPr>
          </m:sSubPr>
          <m:e>
            <m:r>
              <w:rPr>
                <w:rFonts w:ascii="Cambria Math" w:hAnsi="Cambria Math"/>
              </w:rPr>
              <m:t xml:space="preserve"> z</m:t>
            </m:r>
          </m:e>
          <m:sub>
            <m:r>
              <w:rPr>
                <w:rFonts w:ascii="Cambria Math" w:hAnsi="Cambria Math"/>
              </w:rPr>
              <m:t>L</m:t>
            </m:r>
          </m:sub>
        </m:sSub>
      </m:oMath>
      <w:r w:rsidR="002D033B" w:rsidRPr="00BC31E0">
        <w:rPr>
          <w:rFonts w:asciiTheme="minorHAnsi" w:hAnsiTheme="minorHAnsi"/>
        </w:rPr>
        <w:t>)</w:t>
      </w:r>
      <w:r w:rsidR="002D033B" w:rsidRPr="00BC31E0">
        <w:rPr>
          <w:rFonts w:asciiTheme="minorHAnsi" w:hAnsiTheme="minorHAnsi" w:hint="eastAsia"/>
        </w:rPr>
        <w:t xml:space="preserve"> </w:t>
      </w:r>
      <w:r w:rsidR="002D033B" w:rsidRPr="00BC31E0">
        <w:rPr>
          <w:rFonts w:asciiTheme="minorHAnsi" w:hAnsiTheme="minorHAnsi"/>
        </w:rPr>
        <w:t>(</w:t>
      </w:r>
      <w:r w:rsidR="002D033B" w:rsidRPr="00BC31E0">
        <w:rPr>
          <w:rFonts w:ascii="Cambria Math" w:hAnsi="Cambria Math"/>
        </w:rPr>
        <w:t>MPa</w:t>
      </w:r>
      <w:r w:rsidR="002D033B" w:rsidRPr="00BC31E0">
        <w:rPr>
          <w:rFonts w:asciiTheme="minorHAnsi" w:hAnsiTheme="minorHAnsi"/>
        </w:rPr>
        <w:t>)</w:t>
      </w:r>
    </w:p>
    <w:p w14:paraId="4EE2455B" w14:textId="77777777" w:rsidR="002D033B" w:rsidRPr="00BC31E0" w:rsidRDefault="002D033B" w:rsidP="00736130">
      <w:pPr>
        <w:pStyle w:val="a4"/>
        <w:numPr>
          <w:ilvl w:val="0"/>
          <w:numId w:val="419"/>
        </w:numPr>
        <w:spacing w:after="120"/>
        <w:ind w:leftChars="0" w:left="454" w:hanging="454"/>
      </w:pPr>
      <w:r w:rsidRPr="00BC31E0">
        <w:rPr>
          <w:rFonts w:asciiTheme="majorEastAsia" w:eastAsiaTheme="majorEastAsia" w:hAnsiTheme="majorEastAsia" w:hint="eastAsia"/>
          <w:b/>
        </w:rPr>
        <w:t>ピーク応力テンソルの計算</w:t>
      </w:r>
      <w:r w:rsidRPr="00BC31E0">
        <w:rPr>
          <w:rFonts w:hint="eastAsia"/>
        </w:rPr>
        <w:t xml:space="preserve">　</w:t>
      </w:r>
      <w:r w:rsidRPr="00BC31E0">
        <w:t>SCL</w:t>
      </w:r>
      <w:r w:rsidRPr="00BC31E0">
        <w:rPr>
          <w:rFonts w:hint="eastAsia"/>
        </w:rPr>
        <w:t>の両端の</w:t>
      </w:r>
      <m:oMath>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L</m:t>
            </m:r>
          </m:sub>
        </m:sSub>
        <m:r>
          <w:rPr>
            <w:rFonts w:ascii="Cambria Math" w:hAnsi="Cambria Math"/>
          </w:rPr>
          <m:t xml:space="preserve">=0 </m:t>
        </m:r>
      </m:oMath>
      <w:r w:rsidRPr="00BC31E0">
        <w:rPr>
          <w:rFonts w:hint="eastAsia"/>
        </w:rPr>
        <w:t>と</w:t>
      </w:r>
      <m:oMath>
        <m:sSub>
          <m:sSubPr>
            <m:ctrlPr>
              <w:rPr>
                <w:rFonts w:ascii="Cambria Math" w:hAnsi="Cambria Math"/>
                <w:i/>
              </w:rPr>
            </m:ctrlPr>
          </m:sSubPr>
          <m:e>
            <m:r>
              <w:rPr>
                <w:rFonts w:ascii="Cambria Math" w:hAnsi="Cambria Math"/>
              </w:rPr>
              <m:t>x</m:t>
            </m:r>
          </m:e>
          <m:sub>
            <m:r>
              <w:rPr>
                <w:rFonts w:ascii="Cambria Math" w:hAnsi="Cambria Math"/>
              </w:rPr>
              <m:t>L</m:t>
            </m:r>
          </m:sub>
        </m:sSub>
        <m:r>
          <w:rPr>
            <w:rFonts w:ascii="Cambria Math" w:hAnsi="Cambria Math"/>
          </w:rPr>
          <m:t xml:space="preserve">=t </m:t>
        </m:r>
      </m:oMath>
      <w:r w:rsidRPr="00BC31E0">
        <w:rPr>
          <w:rFonts w:hint="eastAsia"/>
        </w:rPr>
        <w:t>におけるピーク応力テンソルを，それぞれ次式で求める。</w:t>
      </w:r>
    </w:p>
    <w:tbl>
      <w:tblPr>
        <w:tblStyle w:val="afff2"/>
        <w:tblW w:w="6662" w:type="dxa"/>
        <w:tblInd w:w="2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7"/>
        <w:gridCol w:w="2655"/>
      </w:tblGrid>
      <w:tr w:rsidR="002D033B" w:rsidRPr="00BC31E0" w14:paraId="78D1F54E" w14:textId="77777777" w:rsidTr="004736F2">
        <w:tc>
          <w:tcPr>
            <w:tcW w:w="0" w:type="auto"/>
            <w:tcMar>
              <w:left w:w="0" w:type="dxa"/>
              <w:right w:w="0" w:type="dxa"/>
            </w:tcMar>
            <w:vAlign w:val="center"/>
          </w:tcPr>
          <w:p w14:paraId="598B958A" w14:textId="77777777" w:rsidR="002D033B" w:rsidRPr="00BC31E0" w:rsidRDefault="00A51873" w:rsidP="00493F21">
            <w:pPr>
              <w:pStyle w:val="15"/>
              <w:ind w:firstLine="210"/>
              <w:rPr>
                <w:rFonts w:asciiTheme="minorEastAsia" w:eastAsiaTheme="minorEastAsia" w:hAnsiTheme="minorEastAsia"/>
                <w:i/>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ij,F</m:t>
                    </m:r>
                  </m:sub>
                </m:sSub>
                <m:sSub>
                  <m:sSubPr>
                    <m:ctrlPr>
                      <w:rPr>
                        <w:rFonts w:ascii="Cambria Math" w:eastAsiaTheme="minorEastAsia" w:hAnsi="Cambria Math"/>
                        <w:i/>
                      </w:rPr>
                    </m:ctrlPr>
                  </m:sSub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L</m:t>
                            </m:r>
                          </m:sub>
                        </m:sSub>
                      </m:e>
                    </m:d>
                    <m:r>
                      <w:rPr>
                        <w:rFonts w:ascii="Cambria Math" w:eastAsiaTheme="minorEastAsia" w:hAnsi="Cambria Math"/>
                      </w:rPr>
                      <m:t>|</m:t>
                    </m:r>
                  </m:e>
                  <m: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L</m:t>
                        </m:r>
                      </m:sub>
                    </m:s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ij</m:t>
                    </m:r>
                  </m:sub>
                </m:sSub>
                <m:sSub>
                  <m:sSubPr>
                    <m:ctrlPr>
                      <w:rPr>
                        <w:rFonts w:ascii="Cambria Math" w:eastAsiaTheme="minorEastAsia" w:hAnsi="Cambria Math"/>
                        <w:i/>
                      </w:rPr>
                    </m:ctrlPr>
                  </m:sSub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L</m:t>
                            </m:r>
                          </m:sub>
                        </m:sSub>
                      </m:e>
                    </m:d>
                    <m:r>
                      <w:rPr>
                        <w:rFonts w:ascii="Cambria Math" w:eastAsiaTheme="minorEastAsia" w:hAnsi="Cambria Math"/>
                      </w:rPr>
                      <m:t>|</m:t>
                    </m:r>
                  </m:e>
                  <m: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L</m:t>
                        </m:r>
                      </m:sub>
                    </m:sSub>
                    <m:r>
                      <w:rPr>
                        <w:rFonts w:ascii="Cambria Math" w:eastAsiaTheme="minorEastAsia" w:hAnsi="Cambria Math"/>
                      </w:rPr>
                      <m:t>=0</m:t>
                    </m:r>
                  </m:sub>
                </m:sSub>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ij,m</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ij,b</m:t>
                        </m:r>
                      </m:sub>
                    </m:sSub>
                  </m:e>
                </m:d>
              </m:oMath>
            </m:oMathPara>
          </w:p>
        </w:tc>
        <w:tc>
          <w:tcPr>
            <w:tcW w:w="2655" w:type="dxa"/>
            <w:tcMar>
              <w:left w:w="0" w:type="dxa"/>
              <w:right w:w="0" w:type="dxa"/>
            </w:tcMar>
            <w:vAlign w:val="center"/>
          </w:tcPr>
          <w:p w14:paraId="5AF4B509" w14:textId="77777777" w:rsidR="002D033B" w:rsidRPr="00BC31E0" w:rsidRDefault="002D033B" w:rsidP="00493F21">
            <w:pPr>
              <w:pStyle w:val="15"/>
              <w:tabs>
                <w:tab w:val="left" w:leader="middleDot" w:pos="2230"/>
              </w:tabs>
              <w:ind w:firstLineChars="0" w:firstLine="0"/>
              <w:jc w:val="left"/>
              <w:rPr>
                <w:rFonts w:asciiTheme="minorHAnsi" w:eastAsiaTheme="minorEastAsia" w:hAnsiTheme="minorHAnsi"/>
              </w:rPr>
            </w:pPr>
            <w:r w:rsidRPr="00BC31E0">
              <w:rPr>
                <w:rFonts w:asciiTheme="minorHAnsi" w:eastAsiaTheme="minorEastAsia" w:hAnsiTheme="minorHAnsi"/>
              </w:rPr>
              <w:tab/>
              <w:t>(3)</w:t>
            </w:r>
          </w:p>
        </w:tc>
      </w:tr>
      <w:tr w:rsidR="002D033B" w:rsidRPr="00BC31E0" w14:paraId="70DBA321" w14:textId="77777777" w:rsidTr="004736F2">
        <w:tc>
          <w:tcPr>
            <w:tcW w:w="0" w:type="auto"/>
            <w:tcMar>
              <w:left w:w="0" w:type="dxa"/>
              <w:right w:w="0" w:type="dxa"/>
            </w:tcMar>
            <w:vAlign w:val="center"/>
          </w:tcPr>
          <w:p w14:paraId="29BCA5C7" w14:textId="77777777" w:rsidR="002D033B" w:rsidRPr="00BC31E0" w:rsidRDefault="00A51873" w:rsidP="00493F21">
            <w:pPr>
              <w:pStyle w:val="15"/>
              <w:spacing w:before="240"/>
              <w:ind w:firstLine="210"/>
              <w:rPr>
                <w:rFonts w:asciiTheme="minorEastAsia" w:eastAsiaTheme="minorEastAsia" w:hAnsi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ij,F</m:t>
                    </m:r>
                  </m:sub>
                </m:sSub>
                <m:sSub>
                  <m:sSubPr>
                    <m:ctrlPr>
                      <w:rPr>
                        <w:rFonts w:ascii="Cambria Math" w:eastAsiaTheme="minorEastAsia" w:hAnsi="Cambria Math"/>
                        <w:i/>
                      </w:rPr>
                    </m:ctrlPr>
                  </m:sSub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L</m:t>
                            </m:r>
                          </m:sub>
                        </m:sSub>
                      </m:e>
                    </m:d>
                    <m:r>
                      <w:rPr>
                        <w:rFonts w:ascii="Cambria Math" w:eastAsiaTheme="minorEastAsia" w:hAnsi="Cambria Math"/>
                      </w:rPr>
                      <m:t>|</m:t>
                    </m:r>
                  </m:e>
                  <m: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L</m:t>
                        </m:r>
                      </m:sub>
                    </m:sSub>
                    <m:r>
                      <w:rPr>
                        <w:rFonts w:ascii="Cambria Math" w:eastAsiaTheme="minorEastAsia" w:hAnsi="Cambria Math"/>
                      </w:rPr>
                      <m:t>=t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ij</m:t>
                    </m:r>
                  </m:sub>
                </m:sSub>
                <m:sSub>
                  <m:sSubPr>
                    <m:ctrlPr>
                      <w:rPr>
                        <w:rFonts w:ascii="Cambria Math" w:eastAsiaTheme="minorEastAsia" w:hAnsi="Cambria Math"/>
                        <w:i/>
                      </w:rPr>
                    </m:ctrlPr>
                  </m:sSub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L</m:t>
                            </m:r>
                          </m:sub>
                        </m:sSub>
                      </m:e>
                    </m:d>
                    <m:r>
                      <w:rPr>
                        <w:rFonts w:ascii="Cambria Math" w:eastAsiaTheme="minorEastAsia" w:hAnsi="Cambria Math"/>
                      </w:rPr>
                      <m:t>|</m:t>
                    </m:r>
                  </m:e>
                  <m: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L</m:t>
                        </m:r>
                      </m:sub>
                    </m:sSub>
                    <m:r>
                      <w:rPr>
                        <w:rFonts w:ascii="Cambria Math" w:eastAsiaTheme="minorEastAsia" w:hAnsi="Cambria Math"/>
                      </w:rPr>
                      <m:t>=t</m:t>
                    </m:r>
                  </m:sub>
                </m:sSub>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ij,m</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ij,b</m:t>
                        </m:r>
                      </m:sub>
                    </m:sSub>
                  </m:e>
                </m:d>
              </m:oMath>
            </m:oMathPara>
          </w:p>
        </w:tc>
        <w:tc>
          <w:tcPr>
            <w:tcW w:w="2655" w:type="dxa"/>
            <w:tcMar>
              <w:left w:w="0" w:type="dxa"/>
              <w:right w:w="0" w:type="dxa"/>
            </w:tcMar>
            <w:vAlign w:val="center"/>
          </w:tcPr>
          <w:p w14:paraId="45308142" w14:textId="77777777" w:rsidR="002D033B" w:rsidRPr="00BC31E0" w:rsidRDefault="002D033B" w:rsidP="00493F21">
            <w:pPr>
              <w:pStyle w:val="15"/>
              <w:tabs>
                <w:tab w:val="left" w:leader="middleDot" w:pos="2230"/>
              </w:tabs>
              <w:spacing w:before="240"/>
              <w:ind w:firstLineChars="0" w:firstLine="0"/>
              <w:jc w:val="left"/>
              <w:rPr>
                <w:rFonts w:asciiTheme="minorHAnsi" w:eastAsiaTheme="minorEastAsia" w:hAnsiTheme="minorHAnsi"/>
              </w:rPr>
            </w:pPr>
            <w:r w:rsidRPr="00BC31E0">
              <w:rPr>
                <w:rFonts w:asciiTheme="minorHAnsi" w:eastAsiaTheme="minorEastAsia" w:hAnsiTheme="minorHAnsi"/>
              </w:rPr>
              <w:tab/>
              <w:t>(4)</w:t>
            </w:r>
          </w:p>
        </w:tc>
      </w:tr>
    </w:tbl>
    <w:p w14:paraId="350E273E" w14:textId="77777777" w:rsidR="002D033B" w:rsidRPr="00BC31E0" w:rsidRDefault="002D033B" w:rsidP="00493F21">
      <w:pPr>
        <w:pStyle w:val="15"/>
        <w:ind w:left="454" w:firstLine="210"/>
        <w:rPr>
          <w:rFonts w:ascii="ＭＳ 明朝" w:hAnsi="ＭＳ 明朝"/>
        </w:rPr>
      </w:pPr>
      <w:r w:rsidRPr="00BC31E0">
        <w:rPr>
          <w:rFonts w:ascii="ＭＳ 明朝" w:hAnsi="ＭＳ 明朝" w:hint="eastAsia"/>
        </w:rPr>
        <w:t>ここで，</w:t>
      </w:r>
    </w:p>
    <w:p w14:paraId="7B0451E8" w14:textId="77777777" w:rsidR="002D033B" w:rsidRPr="00BC31E0" w:rsidRDefault="00A51873" w:rsidP="00493F21">
      <w:pPr>
        <w:pStyle w:val="15"/>
        <w:tabs>
          <w:tab w:val="left" w:pos="2410"/>
          <w:tab w:val="left" w:pos="6132"/>
        </w:tabs>
        <w:ind w:left="1134" w:firstLineChars="0" w:firstLine="0"/>
        <w:rPr>
          <w:rFonts w:asciiTheme="minorHAnsi" w:hAnsiTheme="minorHAnsi"/>
        </w:rPr>
      </w:pP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ij,F</m:t>
            </m:r>
          </m:sub>
        </m:sSub>
        <m:sSub>
          <m:sSubPr>
            <m:ctrlPr>
              <w:rPr>
                <w:rFonts w:ascii="Cambria Math" w:eastAsiaTheme="minorEastAsia" w:hAnsi="Cambria Math"/>
                <w:i/>
              </w:rPr>
            </m:ctrlPr>
          </m:sSub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L</m:t>
                    </m:r>
                  </m:sub>
                </m:sSub>
              </m:e>
            </m:d>
            <m:r>
              <w:rPr>
                <w:rFonts w:ascii="Cambria Math" w:eastAsiaTheme="minorEastAsia" w:hAnsi="Cambria Math"/>
              </w:rPr>
              <m:t>|</m:t>
            </m:r>
          </m:e>
          <m: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L</m:t>
                </m:r>
              </m:sub>
            </m:sSub>
            <m:r>
              <w:rPr>
                <w:rFonts w:ascii="Cambria Math" w:eastAsiaTheme="minorEastAsia" w:hAnsi="Cambria Math"/>
              </w:rPr>
              <m:t>=0</m:t>
            </m:r>
          </m:sub>
        </m:sSub>
      </m:oMath>
      <w:r w:rsidR="002D033B" w:rsidRPr="00BC31E0">
        <w:rPr>
          <w:rFonts w:ascii="ＭＳ ゴシック" w:eastAsia="ＭＳ ゴシック" w:hAnsi="ＭＳ ゴシック" w:hint="eastAsia"/>
          <w:b/>
        </w:rPr>
        <w:tab/>
      </w:r>
      <w:r w:rsidR="002D033B" w:rsidRPr="00BC31E0">
        <w:rPr>
          <w:rFonts w:ascii="ＭＳ 明朝" w:hAnsi="ＭＳ 明朝" w:hint="eastAsia"/>
        </w:rPr>
        <w:t xml:space="preserve">： </w:t>
      </w:r>
      <m:oMath>
        <m:sSub>
          <m:sSubPr>
            <m:ctrlPr>
              <w:rPr>
                <w:rFonts w:ascii="Cambria Math" w:hAnsi="Cambria Math"/>
                <w:i/>
              </w:rPr>
            </m:ctrlPr>
          </m:sSubPr>
          <m:e>
            <m:r>
              <w:rPr>
                <w:rFonts w:ascii="Cambria Math" w:hAnsi="Cambria Math"/>
              </w:rPr>
              <m:t>x</m:t>
            </m:r>
          </m:e>
          <m:sub>
            <m:r>
              <w:rPr>
                <w:rFonts w:ascii="Cambria Math" w:hAnsi="Cambria Math"/>
              </w:rPr>
              <m:t>L</m:t>
            </m:r>
          </m:sub>
        </m:sSub>
        <m:r>
          <w:rPr>
            <w:rFonts w:ascii="Cambria Math" w:hAnsi="Cambria Math"/>
          </w:rPr>
          <m:t xml:space="preserve">=0 </m:t>
        </m:r>
      </m:oMath>
      <w:r w:rsidR="002D033B" w:rsidRPr="00BC31E0">
        <w:rPr>
          <w:rFonts w:asciiTheme="minorHAnsi" w:hAnsiTheme="minorHAnsi" w:hint="eastAsia"/>
        </w:rPr>
        <w:t>におけるピーク</w:t>
      </w:r>
      <w:r w:rsidR="002D033B" w:rsidRPr="00BC31E0">
        <w:rPr>
          <w:rFonts w:ascii="ＭＳ 明朝" w:hAnsi="ＭＳ 明朝" w:hint="eastAsia"/>
        </w:rPr>
        <w:t>応力テンソル</w:t>
      </w:r>
      <w:r w:rsidR="002D033B" w:rsidRPr="00BC31E0">
        <w:rPr>
          <w:rFonts w:asciiTheme="minorHAnsi" w:hAnsiTheme="minorHAnsi"/>
        </w:rPr>
        <w:t>(</w:t>
      </w:r>
      <w:r w:rsidR="002D033B" w:rsidRPr="00BC31E0">
        <w:rPr>
          <w:rFonts w:ascii="Cambria Math" w:hAnsi="Cambria Math"/>
        </w:rPr>
        <w:t>MPa</w:t>
      </w:r>
      <w:r w:rsidR="002D033B" w:rsidRPr="00BC31E0">
        <w:rPr>
          <w:rFonts w:asciiTheme="minorHAnsi" w:hAnsiTheme="minorHAnsi"/>
        </w:rPr>
        <w:t>)</w:t>
      </w:r>
    </w:p>
    <w:p w14:paraId="6FC7300F" w14:textId="77777777" w:rsidR="002D033B" w:rsidRPr="00BC31E0" w:rsidRDefault="00A51873" w:rsidP="00493F21">
      <w:pPr>
        <w:pStyle w:val="15"/>
        <w:tabs>
          <w:tab w:val="left" w:pos="2410"/>
        </w:tabs>
        <w:ind w:left="1134" w:firstLineChars="0" w:firstLine="0"/>
        <w:rPr>
          <w:rFonts w:ascii="ＭＳ ゴシック" w:eastAsia="ＭＳ ゴシック" w:hAnsi="ＭＳ ゴシック"/>
          <w:b/>
        </w:rPr>
      </w:pP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ij</m:t>
            </m:r>
          </m:sub>
        </m:sSub>
        <m:sSub>
          <m:sSubPr>
            <m:ctrlPr>
              <w:rPr>
                <w:rFonts w:ascii="Cambria Math" w:eastAsiaTheme="minorEastAsia" w:hAnsi="Cambria Math"/>
                <w:i/>
              </w:rPr>
            </m:ctrlPr>
          </m:sSub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L</m:t>
                    </m:r>
                  </m:sub>
                </m:sSub>
              </m:e>
            </m:d>
            <m:r>
              <w:rPr>
                <w:rFonts w:ascii="Cambria Math" w:eastAsiaTheme="minorEastAsia" w:hAnsi="Cambria Math"/>
              </w:rPr>
              <m:t>|</m:t>
            </m:r>
          </m:e>
          <m: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L</m:t>
                </m:r>
              </m:sub>
            </m:sSub>
            <m:r>
              <w:rPr>
                <w:rFonts w:ascii="Cambria Math" w:eastAsiaTheme="minorEastAsia" w:hAnsi="Cambria Math"/>
              </w:rPr>
              <m:t>=0</m:t>
            </m:r>
          </m:sub>
        </m:sSub>
      </m:oMath>
      <w:r w:rsidR="002D033B" w:rsidRPr="00BC31E0">
        <w:rPr>
          <w:rFonts w:asciiTheme="minorEastAsia" w:eastAsiaTheme="minorEastAsia" w:hAnsiTheme="minorEastAsia" w:hint="eastAsia"/>
        </w:rPr>
        <w:tab/>
        <w:t xml:space="preserve">： </w:t>
      </w:r>
      <m:oMath>
        <m:sSub>
          <m:sSubPr>
            <m:ctrlPr>
              <w:rPr>
                <w:rFonts w:ascii="Cambria Math" w:hAnsi="Cambria Math"/>
                <w:i/>
              </w:rPr>
            </m:ctrlPr>
          </m:sSubPr>
          <m:e>
            <m:r>
              <w:rPr>
                <w:rFonts w:ascii="Cambria Math" w:hAnsi="Cambria Math"/>
              </w:rPr>
              <m:t>x</m:t>
            </m:r>
          </m:e>
          <m:sub>
            <m:r>
              <w:rPr>
                <w:rFonts w:ascii="Cambria Math" w:hAnsi="Cambria Math"/>
              </w:rPr>
              <m:t>L</m:t>
            </m:r>
          </m:sub>
        </m:sSub>
        <m:r>
          <w:rPr>
            <w:rFonts w:ascii="Cambria Math" w:hAnsi="Cambria Math"/>
          </w:rPr>
          <m:t xml:space="preserve">=0 </m:t>
        </m:r>
      </m:oMath>
      <w:r w:rsidR="002D033B" w:rsidRPr="00BC31E0">
        <w:rPr>
          <w:rFonts w:asciiTheme="minorHAnsi" w:hAnsiTheme="minorHAnsi" w:hint="eastAsia"/>
        </w:rPr>
        <w:t>における応力テンソル</w:t>
      </w:r>
      <w:r w:rsidR="002D033B" w:rsidRPr="00BC31E0">
        <w:rPr>
          <w:rFonts w:asciiTheme="minorHAnsi" w:hAnsiTheme="minorHAnsi" w:hint="eastAsia"/>
        </w:rPr>
        <w:t>(</w:t>
      </w:r>
      <w:r w:rsidR="002D033B" w:rsidRPr="00BC31E0">
        <w:rPr>
          <w:rFonts w:ascii="Cambria Math" w:hAnsi="Cambria Math"/>
        </w:rPr>
        <w:t>MPa</w:t>
      </w:r>
      <w:r w:rsidR="002D033B" w:rsidRPr="00BC31E0">
        <w:rPr>
          <w:rFonts w:asciiTheme="minorHAnsi" w:hAnsiTheme="minorHAnsi"/>
        </w:rPr>
        <w:t>)</w:t>
      </w:r>
    </w:p>
    <w:p w14:paraId="478B962D" w14:textId="77777777" w:rsidR="002D033B" w:rsidRPr="00BC31E0" w:rsidRDefault="00A51873" w:rsidP="00493F21">
      <w:pPr>
        <w:pStyle w:val="15"/>
        <w:tabs>
          <w:tab w:val="left" w:pos="2410"/>
        </w:tabs>
        <w:ind w:left="1134" w:firstLineChars="0" w:firstLine="0"/>
        <w:rPr>
          <w:rFonts w:asciiTheme="minorHAnsi" w:hAnsiTheme="minorHAnsi"/>
        </w:rPr>
      </w:pP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ij,F</m:t>
            </m:r>
          </m:sub>
        </m:sSub>
        <m:sSub>
          <m:sSubPr>
            <m:ctrlPr>
              <w:rPr>
                <w:rFonts w:ascii="Cambria Math" w:eastAsiaTheme="minorEastAsia" w:hAnsi="Cambria Math"/>
                <w:i/>
              </w:rPr>
            </m:ctrlPr>
          </m:sSub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L</m:t>
                    </m:r>
                  </m:sub>
                </m:sSub>
              </m:e>
            </m:d>
            <m:r>
              <w:rPr>
                <w:rFonts w:ascii="Cambria Math" w:eastAsiaTheme="minorEastAsia" w:hAnsi="Cambria Math"/>
              </w:rPr>
              <m:t>|</m:t>
            </m:r>
          </m:e>
          <m: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L</m:t>
                </m:r>
              </m:sub>
            </m:sSub>
            <m:r>
              <w:rPr>
                <w:rFonts w:ascii="Cambria Math" w:eastAsiaTheme="minorEastAsia" w:hAnsi="Cambria Math"/>
              </w:rPr>
              <m:t>=t</m:t>
            </m:r>
          </m:sub>
        </m:sSub>
      </m:oMath>
      <w:r w:rsidR="002D033B" w:rsidRPr="00BC31E0">
        <w:rPr>
          <w:rFonts w:ascii="ＭＳ ゴシック" w:eastAsia="ＭＳ ゴシック" w:hAnsi="ＭＳ ゴシック" w:hint="eastAsia"/>
          <w:b/>
        </w:rPr>
        <w:tab/>
      </w:r>
      <w:r w:rsidR="002D033B" w:rsidRPr="00BC31E0">
        <w:rPr>
          <w:rFonts w:ascii="ＭＳ 明朝" w:hAnsi="ＭＳ 明朝" w:hint="eastAsia"/>
        </w:rPr>
        <w:t xml:space="preserve">： </w:t>
      </w:r>
      <m:oMath>
        <m:sSub>
          <m:sSubPr>
            <m:ctrlPr>
              <w:rPr>
                <w:rFonts w:ascii="Cambria Math" w:hAnsi="Cambria Math"/>
                <w:i/>
              </w:rPr>
            </m:ctrlPr>
          </m:sSubPr>
          <m:e>
            <m:r>
              <w:rPr>
                <w:rFonts w:ascii="Cambria Math" w:hAnsi="Cambria Math"/>
              </w:rPr>
              <m:t>x</m:t>
            </m:r>
          </m:e>
          <m:sub>
            <m:r>
              <w:rPr>
                <w:rFonts w:ascii="Cambria Math" w:hAnsi="Cambria Math"/>
              </w:rPr>
              <m:t>L</m:t>
            </m:r>
          </m:sub>
        </m:sSub>
        <m:r>
          <w:rPr>
            <w:rFonts w:ascii="Cambria Math" w:hAnsi="Cambria Math"/>
          </w:rPr>
          <m:t xml:space="preserve">=t </m:t>
        </m:r>
      </m:oMath>
      <w:r w:rsidR="002D033B" w:rsidRPr="00BC31E0">
        <w:rPr>
          <w:rFonts w:asciiTheme="minorHAnsi" w:hAnsiTheme="minorHAnsi" w:hint="eastAsia"/>
        </w:rPr>
        <w:t>におけるピーク</w:t>
      </w:r>
      <w:r w:rsidR="002D033B" w:rsidRPr="00BC31E0">
        <w:rPr>
          <w:rFonts w:ascii="ＭＳ 明朝" w:hAnsi="ＭＳ 明朝" w:hint="eastAsia"/>
        </w:rPr>
        <w:t>応力テンソル</w:t>
      </w:r>
      <w:r w:rsidR="002D033B" w:rsidRPr="00BC31E0">
        <w:rPr>
          <w:rFonts w:asciiTheme="minorHAnsi" w:hAnsiTheme="minorHAnsi"/>
        </w:rPr>
        <w:t>(</w:t>
      </w:r>
      <w:r w:rsidR="002D033B" w:rsidRPr="00BC31E0">
        <w:rPr>
          <w:rFonts w:ascii="Cambria Math" w:hAnsi="Cambria Math"/>
        </w:rPr>
        <w:t>MPa</w:t>
      </w:r>
      <w:r w:rsidR="002D033B" w:rsidRPr="00BC31E0">
        <w:rPr>
          <w:rFonts w:asciiTheme="minorHAnsi" w:hAnsiTheme="minorHAnsi"/>
        </w:rPr>
        <w:t>)</w:t>
      </w:r>
    </w:p>
    <w:p w14:paraId="510D1763" w14:textId="77777777" w:rsidR="002D033B" w:rsidRPr="00BC31E0" w:rsidRDefault="00A51873" w:rsidP="00493F21">
      <w:pPr>
        <w:pStyle w:val="15"/>
        <w:tabs>
          <w:tab w:val="left" w:pos="2410"/>
        </w:tabs>
        <w:ind w:left="1134" w:firstLineChars="0" w:firstLine="0"/>
        <w:rPr>
          <w:rFonts w:ascii="ＭＳ ゴシック" w:eastAsia="ＭＳ ゴシック" w:hAnsi="ＭＳ ゴシック"/>
          <w:b/>
        </w:rPr>
      </w:pP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ij</m:t>
            </m:r>
          </m:sub>
        </m:sSub>
        <m:sSub>
          <m:sSubPr>
            <m:ctrlPr>
              <w:rPr>
                <w:rFonts w:ascii="Cambria Math" w:eastAsiaTheme="minorEastAsia" w:hAnsi="Cambria Math"/>
                <w:i/>
              </w:rPr>
            </m:ctrlPr>
          </m:sSub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L</m:t>
                    </m:r>
                  </m:sub>
                </m:sSub>
              </m:e>
            </m:d>
            <m:r>
              <w:rPr>
                <w:rFonts w:ascii="Cambria Math" w:eastAsiaTheme="minorEastAsia" w:hAnsi="Cambria Math"/>
              </w:rPr>
              <m:t>|</m:t>
            </m:r>
          </m:e>
          <m: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L</m:t>
                </m:r>
              </m:sub>
            </m:sSub>
            <m:r>
              <w:rPr>
                <w:rFonts w:ascii="Cambria Math" w:eastAsiaTheme="minorEastAsia" w:hAnsi="Cambria Math"/>
              </w:rPr>
              <m:t>=t</m:t>
            </m:r>
          </m:sub>
        </m:sSub>
      </m:oMath>
      <w:r w:rsidR="002D033B" w:rsidRPr="00BC31E0">
        <w:rPr>
          <w:rFonts w:asciiTheme="minorEastAsia" w:eastAsiaTheme="minorEastAsia" w:hAnsiTheme="minorEastAsia" w:hint="eastAsia"/>
        </w:rPr>
        <w:tab/>
        <w:t xml:space="preserve">： </w:t>
      </w:r>
      <m:oMath>
        <m:sSub>
          <m:sSubPr>
            <m:ctrlPr>
              <w:rPr>
                <w:rFonts w:ascii="Cambria Math" w:hAnsi="Cambria Math"/>
                <w:i/>
              </w:rPr>
            </m:ctrlPr>
          </m:sSubPr>
          <m:e>
            <m:r>
              <w:rPr>
                <w:rFonts w:ascii="Cambria Math" w:hAnsi="Cambria Math"/>
              </w:rPr>
              <m:t>x</m:t>
            </m:r>
          </m:e>
          <m:sub>
            <m:r>
              <w:rPr>
                <w:rFonts w:ascii="Cambria Math" w:hAnsi="Cambria Math"/>
              </w:rPr>
              <m:t>L</m:t>
            </m:r>
          </m:sub>
        </m:sSub>
        <m:r>
          <w:rPr>
            <w:rFonts w:ascii="Cambria Math" w:hAnsi="Cambria Math"/>
          </w:rPr>
          <m:t xml:space="preserve">=t </m:t>
        </m:r>
      </m:oMath>
      <w:r w:rsidR="002D033B" w:rsidRPr="00BC31E0">
        <w:rPr>
          <w:rFonts w:asciiTheme="minorHAnsi" w:hAnsiTheme="minorHAnsi" w:hint="eastAsia"/>
        </w:rPr>
        <w:t>における応力テンソル</w:t>
      </w:r>
      <w:r w:rsidR="002D033B" w:rsidRPr="00BC31E0">
        <w:rPr>
          <w:rFonts w:asciiTheme="minorHAnsi" w:hAnsiTheme="minorHAnsi"/>
        </w:rPr>
        <w:t>(</w:t>
      </w:r>
      <w:r w:rsidR="002D033B" w:rsidRPr="00BC31E0">
        <w:rPr>
          <w:rFonts w:ascii="Cambria Math" w:hAnsi="Cambria Math"/>
        </w:rPr>
        <w:t>MPa</w:t>
      </w:r>
      <w:r w:rsidR="002D033B" w:rsidRPr="00BC31E0">
        <w:rPr>
          <w:rFonts w:asciiTheme="minorHAnsi" w:hAnsiTheme="minorHAnsi"/>
        </w:rPr>
        <w:t>)</w:t>
      </w:r>
    </w:p>
    <w:p w14:paraId="7E46FF09" w14:textId="77777777" w:rsidR="002D033B" w:rsidRPr="00BC31E0" w:rsidRDefault="002D033B" w:rsidP="00736130">
      <w:pPr>
        <w:pStyle w:val="a4"/>
        <w:numPr>
          <w:ilvl w:val="0"/>
          <w:numId w:val="419"/>
        </w:numPr>
        <w:spacing w:before="120"/>
        <w:ind w:leftChars="0" w:left="454" w:hanging="454"/>
      </w:pPr>
      <w:r w:rsidRPr="00BC31E0">
        <w:rPr>
          <w:rFonts w:hint="eastAsia"/>
        </w:rPr>
        <w:t>膜応力及び膜応力＋曲げ応力テンソルより，</w:t>
      </w:r>
      <w:r w:rsidRPr="00BC31E0">
        <w:t>SCL</w:t>
      </w:r>
      <w:r w:rsidRPr="00BC31E0">
        <w:rPr>
          <w:rFonts w:hint="eastAsia"/>
        </w:rPr>
        <w:t>の両端で</w:t>
      </w:r>
      <w:r w:rsidRPr="00BC31E0">
        <w:t>3</w:t>
      </w:r>
      <w:r w:rsidRPr="00BC31E0">
        <w:rPr>
          <w:rFonts w:hint="eastAsia"/>
        </w:rPr>
        <w:t>主応力を計算する。</w:t>
      </w:r>
    </w:p>
    <w:p w14:paraId="04B306D1" w14:textId="77777777" w:rsidR="002D033B" w:rsidRPr="00BC31E0" w:rsidRDefault="002D033B" w:rsidP="00736130">
      <w:pPr>
        <w:pStyle w:val="a4"/>
        <w:numPr>
          <w:ilvl w:val="0"/>
          <w:numId w:val="419"/>
        </w:numPr>
        <w:ind w:leftChars="0" w:left="454" w:hanging="454"/>
      </w:pPr>
      <w:r w:rsidRPr="00BC31E0">
        <w:t>3</w:t>
      </w:r>
      <w:r w:rsidRPr="00BC31E0">
        <w:t>主応力</w:t>
      </w:r>
      <w:r w:rsidRPr="00BC31E0">
        <w:rPr>
          <w:rFonts w:hint="eastAsia"/>
        </w:rPr>
        <w:t>より，</w:t>
      </w:r>
      <w:r w:rsidRPr="00BC31E0">
        <w:rPr>
          <w:rFonts w:asciiTheme="majorEastAsia" w:eastAsiaTheme="majorEastAsia" w:hAnsiTheme="majorEastAsia" w:hint="eastAsia"/>
          <w:b/>
          <w:bCs/>
        </w:rPr>
        <w:t>附属書J</w:t>
      </w:r>
      <w:r w:rsidRPr="00BC31E0">
        <w:rPr>
          <w:rFonts w:hint="eastAsia"/>
        </w:rPr>
        <w:t>により</w:t>
      </w:r>
      <w:r w:rsidRPr="00BC31E0">
        <w:t>SCL</w:t>
      </w:r>
      <w:r w:rsidRPr="00BC31E0">
        <w:rPr>
          <w:rFonts w:hint="eastAsia"/>
        </w:rPr>
        <w:t>の両端で相当</w:t>
      </w:r>
      <w:r w:rsidRPr="00BC31E0">
        <w:t>応力を計算する</w:t>
      </w:r>
      <w:r w:rsidRPr="00BC31E0">
        <w:rPr>
          <w:rFonts w:hint="eastAsia"/>
        </w:rPr>
        <w:t>。</w:t>
      </w:r>
    </w:p>
    <w:p w14:paraId="63192DDB" w14:textId="77777777" w:rsidR="002D033B" w:rsidRPr="00BC31E0" w:rsidRDefault="002D033B" w:rsidP="00493F21">
      <w:pPr>
        <w:pStyle w:val="15"/>
        <w:ind w:firstLineChars="0" w:firstLine="0"/>
        <w:jc w:val="left"/>
        <w:rPr>
          <w:rFonts w:ascii="ＭＳ ゴシック" w:eastAsia="ＭＳ ゴシック" w:hAnsi="ＭＳ ゴシック"/>
          <w:b/>
        </w:rPr>
      </w:pPr>
    </w:p>
    <w:p w14:paraId="580111A9" w14:textId="77777777" w:rsidR="002D033B" w:rsidRPr="00BC31E0" w:rsidRDefault="002D033B" w:rsidP="00203A92">
      <w:pPr>
        <w:pStyle w:val="15"/>
        <w:ind w:firstLine="211"/>
        <w:jc w:val="center"/>
        <w:rPr>
          <w:rFonts w:asciiTheme="minorEastAsia" w:eastAsiaTheme="minorEastAsia" w:hAnsiTheme="minorEastAsia"/>
        </w:rPr>
      </w:pPr>
      <w:r w:rsidRPr="00BC31E0">
        <w:rPr>
          <w:rFonts w:ascii="ＭＳ ゴシック" w:eastAsia="ＭＳ ゴシック" w:hAnsi="ＭＳ ゴシック" w:hint="eastAsia"/>
          <w:b/>
          <w:noProof/>
        </w:rPr>
        <w:lastRenderedPageBreak/>
        <w:drawing>
          <wp:inline distT="0" distB="0" distL="0" distR="0" wp14:anchorId="425DCC41" wp14:editId="2371B2C8">
            <wp:extent cx="5759450" cy="5719458"/>
            <wp:effectExtent l="19050" t="0" r="0" b="0"/>
            <wp:docPr id="12720"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3" cstate="print"/>
                    <a:srcRect/>
                    <a:stretch>
                      <a:fillRect/>
                    </a:stretch>
                  </pic:blipFill>
                  <pic:spPr bwMode="auto">
                    <a:xfrm>
                      <a:off x="0" y="0"/>
                      <a:ext cx="5759450" cy="5719458"/>
                    </a:xfrm>
                    <a:prstGeom prst="rect">
                      <a:avLst/>
                    </a:prstGeom>
                    <a:noFill/>
                    <a:ln w="9525">
                      <a:noFill/>
                      <a:miter lim="800000"/>
                      <a:headEnd/>
                      <a:tailEnd/>
                    </a:ln>
                  </pic:spPr>
                </pic:pic>
              </a:graphicData>
            </a:graphic>
          </wp:inline>
        </w:drawing>
      </w:r>
    </w:p>
    <w:p w14:paraId="3C0F57D6" w14:textId="77777777" w:rsidR="002D033B" w:rsidRPr="00BC31E0" w:rsidRDefault="002D033B" w:rsidP="00C91253">
      <w:pPr>
        <w:pStyle w:val="af4"/>
      </w:pPr>
      <w:r w:rsidRPr="00BC31E0">
        <w:rPr>
          <w:rFonts w:hint="eastAsia"/>
        </w:rPr>
        <w:t>図L.4　連続体要素の応力積分法による応力線形化</w:t>
      </w:r>
      <w:r w:rsidRPr="00BC31E0">
        <w:rPr>
          <w:rFonts w:hint="eastAsia"/>
          <w:vertAlign w:val="superscript"/>
        </w:rPr>
        <w:t>†</w:t>
      </w:r>
    </w:p>
    <w:p w14:paraId="33A9859C" w14:textId="77777777" w:rsidR="002D033B" w:rsidRPr="00BC31E0" w:rsidRDefault="002D033B" w:rsidP="00C91253">
      <w:pPr>
        <w:pStyle w:val="15"/>
        <w:ind w:firstLineChars="0" w:firstLine="0"/>
        <w:rPr>
          <w:rFonts w:ascii="ＭＳ ゴシック" w:eastAsia="ＭＳ ゴシック" w:hAnsi="ＭＳ ゴシック"/>
          <w:b/>
        </w:rPr>
      </w:pPr>
    </w:p>
    <w:p w14:paraId="0977757C" w14:textId="77777777" w:rsidR="002D033B" w:rsidRPr="00BC31E0" w:rsidRDefault="002D033B" w:rsidP="00ED524A">
      <w:pPr>
        <w:pStyle w:val="110"/>
        <w:spacing w:line="240" w:lineRule="auto"/>
        <w:ind w:left="567" w:hanging="567"/>
      </w:pPr>
      <w:r w:rsidRPr="00BC31E0">
        <w:rPr>
          <w:rFonts w:hint="eastAsia"/>
        </w:rPr>
        <w:t>シェル要素</w:t>
      </w:r>
    </w:p>
    <w:p w14:paraId="46E2D849" w14:textId="77777777" w:rsidR="002D033B" w:rsidRPr="00BC31E0" w:rsidRDefault="002D033B" w:rsidP="00C91253">
      <w:pPr>
        <w:pStyle w:val="15"/>
        <w:ind w:firstLine="210"/>
      </w:pPr>
      <w:r w:rsidRPr="00BC31E0">
        <w:rPr>
          <w:rFonts w:hint="eastAsia"/>
        </w:rPr>
        <w:t>二</w:t>
      </w:r>
      <w:r w:rsidRPr="00BC31E0">
        <w:rPr>
          <w:rFonts w:hAnsi="ＭＳ 明朝"/>
        </w:rPr>
        <w:t>次元</w:t>
      </w:r>
      <w:r w:rsidRPr="00BC31E0">
        <w:rPr>
          <w:rFonts w:hAnsi="ＭＳ 明朝" w:hint="eastAsia"/>
        </w:rPr>
        <w:t>又は三</w:t>
      </w:r>
      <w:r w:rsidRPr="00BC31E0">
        <w:rPr>
          <w:rFonts w:hAnsi="ＭＳ 明朝"/>
        </w:rPr>
        <w:t>次元</w:t>
      </w:r>
      <w:r w:rsidRPr="00BC31E0">
        <w:rPr>
          <w:rFonts w:hAnsi="ＭＳ 明朝" w:hint="eastAsia"/>
        </w:rPr>
        <w:t>シェル要素を用いた有限要素法解析では，解析結果から直接，膜応力と曲げ応力が得られる。</w:t>
      </w:r>
      <w:r w:rsidRPr="00BC31E0">
        <w:rPr>
          <w:rFonts w:hint="eastAsia"/>
        </w:rPr>
        <w:t>応力分布から膜応力，曲げ応力及びピーク応力成分を求める手順は，次の</w:t>
      </w:r>
      <w:r w:rsidRPr="00BC31E0">
        <w:rPr>
          <w:rFonts w:asciiTheme="majorEastAsia" w:eastAsiaTheme="majorEastAsia" w:hAnsiTheme="majorEastAsia" w:hint="eastAsia"/>
          <w:b/>
        </w:rPr>
        <w:t>a)</w:t>
      </w:r>
      <w:r w:rsidRPr="00BC31E0">
        <w:rPr>
          <w:rFonts w:hint="eastAsia"/>
        </w:rPr>
        <w:t>～</w:t>
      </w:r>
      <w:r w:rsidRPr="00BC31E0">
        <w:rPr>
          <w:rFonts w:asciiTheme="majorEastAsia" w:eastAsiaTheme="majorEastAsia" w:hAnsiTheme="majorEastAsia" w:hint="eastAsia"/>
          <w:b/>
        </w:rPr>
        <w:t>e)</w:t>
      </w:r>
      <w:r w:rsidRPr="00BC31E0">
        <w:rPr>
          <w:rFonts w:hint="eastAsia"/>
        </w:rPr>
        <w:t>による。計算で用いる応力成分は，</w:t>
      </w:r>
      <w:r w:rsidRPr="00BC31E0">
        <w:rPr>
          <w:rFonts w:ascii="ＭＳ ゴシック" w:eastAsia="ＭＳ ゴシック" w:hAnsi="ＭＳ ゴシック" w:hint="eastAsia"/>
          <w:b/>
        </w:rPr>
        <w:t>図L.4</w:t>
      </w:r>
      <w:r w:rsidRPr="00BC31E0">
        <w:rPr>
          <w:rFonts w:ascii="ＭＳ 明朝" w:hAnsi="ＭＳ 明朝" w:hint="eastAsia"/>
        </w:rPr>
        <w:t>に示す</w:t>
      </w:r>
      <w:r w:rsidRPr="00BC31E0">
        <w:rPr>
          <w:rFonts w:asciiTheme="minorHAnsi" w:hAnsiTheme="minorHAnsi"/>
        </w:rPr>
        <w:t>SCL</w:t>
      </w:r>
      <w:r w:rsidRPr="00BC31E0">
        <w:rPr>
          <w:rFonts w:hint="eastAsia"/>
        </w:rPr>
        <w:t>の方向で定義される局所座標系</w:t>
      </w:r>
      <w:r w:rsidRPr="00BC31E0">
        <w:rPr>
          <w:rFonts w:hint="eastAsia"/>
        </w:rPr>
        <w:t>(</w:t>
      </w:r>
      <m:oMath>
        <m:sSub>
          <m:sSubPr>
            <m:ctrlPr>
              <w:rPr>
                <w:rFonts w:ascii="Cambria Math" w:hAnsi="Cambria Math"/>
                <w:i/>
              </w:rPr>
            </m:ctrlPr>
          </m:sSubPr>
          <m:e>
            <m:r>
              <w:rPr>
                <w:rFonts w:ascii="Cambria Math" w:hAnsi="Cambria Math"/>
              </w:rPr>
              <m:t>x</m:t>
            </m:r>
          </m:e>
          <m:sub>
            <m:r>
              <w:rPr>
                <w:rFonts w:ascii="Cambria Math" w:hAnsi="Cambria Math"/>
              </w:rPr>
              <m:t>L</m:t>
            </m:r>
          </m:sub>
        </m:sSub>
        <m:r>
          <m:rPr>
            <m:sty m:val="p"/>
          </m:rPr>
          <w:rPr>
            <w:rFonts w:ascii="Cambria Math" w:hAnsi="Cambria Math" w:hint="eastAsia"/>
          </w:rPr>
          <m:t>，</m:t>
        </m:r>
        <m:sSub>
          <m:sSubPr>
            <m:ctrlPr>
              <w:rPr>
                <w:rFonts w:ascii="Cambria Math" w:hAnsi="Cambria Math"/>
                <w:i/>
              </w:rPr>
            </m:ctrlPr>
          </m:sSubPr>
          <m:e>
            <m:r>
              <w:rPr>
                <w:rFonts w:ascii="Cambria Math" w:hAnsi="Cambria Math"/>
              </w:rPr>
              <m:t>y</m:t>
            </m:r>
          </m:e>
          <m:sub>
            <m:r>
              <w:rPr>
                <w:rFonts w:ascii="Cambria Math" w:hAnsi="Cambria Math"/>
              </w:rPr>
              <m:t>L</m:t>
            </m:r>
          </m:sub>
        </m:sSub>
        <m:r>
          <m:rPr>
            <m:sty m:val="p"/>
          </m:rPr>
          <w:rPr>
            <w:rFonts w:ascii="Cambria Math" w:hAnsi="Cambria Math" w:hint="eastAsia"/>
          </w:rPr>
          <m:t>，</m:t>
        </m:r>
        <m:sSub>
          <m:sSubPr>
            <m:ctrlPr>
              <w:rPr>
                <w:rFonts w:ascii="Cambria Math" w:hAnsi="Cambria Math"/>
                <w:i/>
              </w:rPr>
            </m:ctrlPr>
          </m:sSubPr>
          <m:e>
            <m:r>
              <w:rPr>
                <w:rFonts w:ascii="Cambria Math" w:hAnsi="Cambria Math"/>
              </w:rPr>
              <m:t>z</m:t>
            </m:r>
          </m:e>
          <m:sub>
            <m:r>
              <w:rPr>
                <w:rFonts w:ascii="Cambria Math" w:hAnsi="Cambria Math"/>
              </w:rPr>
              <m:t>L</m:t>
            </m:r>
          </m:sub>
        </m:sSub>
      </m:oMath>
      <w:r w:rsidRPr="00BC31E0">
        <w:rPr>
          <w:rFonts w:hint="eastAsia"/>
        </w:rPr>
        <w:t>)</w:t>
      </w:r>
      <w:r w:rsidRPr="00BC31E0">
        <w:rPr>
          <w:rFonts w:hint="eastAsia"/>
        </w:rPr>
        <w:t>における応力である。</w:t>
      </w:r>
    </w:p>
    <w:p w14:paraId="079031E1" w14:textId="77777777" w:rsidR="002D033B" w:rsidRPr="00BC31E0" w:rsidRDefault="002D033B" w:rsidP="00736130">
      <w:pPr>
        <w:pStyle w:val="a4"/>
        <w:numPr>
          <w:ilvl w:val="0"/>
          <w:numId w:val="421"/>
        </w:numPr>
        <w:spacing w:after="120"/>
        <w:ind w:leftChars="0" w:left="454" w:hanging="454"/>
      </w:pPr>
      <w:r w:rsidRPr="00BC31E0">
        <w:rPr>
          <w:rFonts w:asciiTheme="majorEastAsia" w:eastAsiaTheme="majorEastAsia" w:hAnsiTheme="majorEastAsia" w:hint="eastAsia"/>
          <w:b/>
        </w:rPr>
        <w:t>膜応力テンソルの計算</w:t>
      </w:r>
      <w:r w:rsidRPr="00BC31E0">
        <w:rPr>
          <w:rFonts w:ascii="ＭＳ 明朝" w:hAnsi="ＭＳ 明朝" w:hint="eastAsia"/>
        </w:rPr>
        <w:t xml:space="preserve">　</w:t>
      </w:r>
      <w:r w:rsidRPr="00BC31E0">
        <w:rPr>
          <w:rFonts w:hint="eastAsia"/>
        </w:rPr>
        <w:t>膜応力テンソルは</w:t>
      </w:r>
      <w:r w:rsidRPr="00BC31E0">
        <w:rPr>
          <w:rFonts w:hint="eastAsia"/>
        </w:rPr>
        <w:t>SCL</w:t>
      </w:r>
      <w:r w:rsidRPr="00BC31E0">
        <w:rPr>
          <w:rFonts w:hint="eastAsia"/>
        </w:rPr>
        <w:t>に沿った各応力成分の平均値から構成されるテンソルで，次式で求める。</w:t>
      </w:r>
    </w:p>
    <w:tbl>
      <w:tblPr>
        <w:tblStyle w:val="afff2"/>
        <w:tblW w:w="6237"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4"/>
        <w:gridCol w:w="4333"/>
      </w:tblGrid>
      <w:tr w:rsidR="002D033B" w:rsidRPr="00BC31E0" w14:paraId="5C157AC9" w14:textId="77777777" w:rsidTr="004736F2">
        <w:tc>
          <w:tcPr>
            <w:tcW w:w="0" w:type="auto"/>
            <w:tcMar>
              <w:left w:w="0" w:type="dxa"/>
              <w:right w:w="0" w:type="dxa"/>
            </w:tcMar>
            <w:vAlign w:val="center"/>
          </w:tcPr>
          <w:p w14:paraId="41D6318C" w14:textId="77777777" w:rsidR="002D033B" w:rsidRPr="00BC31E0" w:rsidRDefault="00A51873" w:rsidP="00C91253">
            <w:pPr>
              <w:pStyle w:val="15"/>
              <w:ind w:firstLine="210"/>
            </w:pPr>
            <m:oMathPara>
              <m:oMathParaPr>
                <m:jc m:val="left"/>
              </m:oMathParaPr>
              <m:oMath>
                <m:sSub>
                  <m:sSubPr>
                    <m:ctrlPr>
                      <w:rPr>
                        <w:rFonts w:ascii="Cambria Math" w:hAnsi="Cambria Math"/>
                        <w:i/>
                      </w:rPr>
                    </m:ctrlPr>
                  </m:sSubPr>
                  <m:e>
                    <m:r>
                      <w:rPr>
                        <w:rFonts w:ascii="Cambria Math" w:hAnsi="Cambria Math"/>
                      </w:rPr>
                      <m:t>σ</m:t>
                    </m:r>
                  </m:e>
                  <m:sub>
                    <m:r>
                      <w:rPr>
                        <w:rFonts w:ascii="Cambria Math" w:hAnsi="Cambria Math"/>
                      </w:rPr>
                      <m:t>ij,m</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ij,in</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ij,out</m:t>
                        </m:r>
                      </m:sub>
                    </m:sSub>
                  </m:num>
                  <m:den>
                    <m:r>
                      <w:rPr>
                        <w:rFonts w:ascii="Cambria Math" w:hAnsi="Cambria Math"/>
                      </w:rPr>
                      <m:t>2</m:t>
                    </m:r>
                  </m:den>
                </m:f>
              </m:oMath>
            </m:oMathPara>
          </w:p>
        </w:tc>
        <w:tc>
          <w:tcPr>
            <w:tcW w:w="4333" w:type="dxa"/>
            <w:tcMar>
              <w:left w:w="0" w:type="dxa"/>
              <w:right w:w="0" w:type="dxa"/>
            </w:tcMar>
            <w:vAlign w:val="center"/>
          </w:tcPr>
          <w:p w14:paraId="51379329" w14:textId="77777777" w:rsidR="002D033B" w:rsidRPr="00BC31E0" w:rsidRDefault="002D033B" w:rsidP="00C91253">
            <w:pPr>
              <w:pStyle w:val="15"/>
              <w:tabs>
                <w:tab w:val="left" w:leader="middleDot" w:pos="3908"/>
              </w:tabs>
              <w:ind w:firstLine="210"/>
              <w:jc w:val="left"/>
            </w:pPr>
            <w:r w:rsidRPr="00BC31E0">
              <w:tab/>
            </w:r>
            <w:r w:rsidRPr="00BC31E0">
              <w:rPr>
                <w:rFonts w:hint="eastAsia"/>
              </w:rPr>
              <w:t>(5)</w:t>
            </w:r>
          </w:p>
        </w:tc>
      </w:tr>
    </w:tbl>
    <w:p w14:paraId="3F146AA1" w14:textId="77777777" w:rsidR="002D033B" w:rsidRPr="00BC31E0" w:rsidRDefault="002D033B" w:rsidP="00DE05DF">
      <w:pPr>
        <w:pStyle w:val="15"/>
        <w:ind w:left="454" w:firstLine="210"/>
      </w:pPr>
      <w:r w:rsidRPr="00BC31E0">
        <w:rPr>
          <w:rFonts w:hint="eastAsia"/>
        </w:rPr>
        <w:lastRenderedPageBreak/>
        <w:t>ここで，</w:t>
      </w:r>
    </w:p>
    <w:p w14:paraId="0D4B74C3" w14:textId="77777777" w:rsidR="002D033B" w:rsidRPr="00BC31E0" w:rsidRDefault="002D033B" w:rsidP="00DE05DF">
      <w:pPr>
        <w:pStyle w:val="15"/>
        <w:tabs>
          <w:tab w:val="left" w:pos="1134"/>
          <w:tab w:val="left" w:pos="1701"/>
          <w:tab w:val="left" w:pos="5529"/>
        </w:tabs>
        <w:ind w:firstLine="210"/>
      </w:pPr>
      <w:r w:rsidRPr="00BC31E0">
        <w:rPr>
          <w:rFonts w:hint="eastAsia"/>
        </w:rPr>
        <w:tab/>
      </w:r>
      <m:oMath>
        <m:sSub>
          <m:sSubPr>
            <m:ctrlPr>
              <w:rPr>
                <w:rFonts w:ascii="Cambria Math" w:hAnsi="Cambria Math"/>
                <w:i/>
              </w:rPr>
            </m:ctrlPr>
          </m:sSubPr>
          <m:e>
            <m:r>
              <w:rPr>
                <w:rFonts w:ascii="Cambria Math" w:hAnsi="Cambria Math"/>
              </w:rPr>
              <m:t>σ</m:t>
            </m:r>
          </m:e>
          <m:sub>
            <m:r>
              <w:rPr>
                <w:rFonts w:ascii="Cambria Math" w:hAnsi="Cambria Math"/>
              </w:rPr>
              <m:t>ij,m</m:t>
            </m:r>
          </m:sub>
        </m:sSub>
      </m:oMath>
      <w:r w:rsidRPr="00BC31E0">
        <w:rPr>
          <w:rFonts w:hint="eastAsia"/>
        </w:rPr>
        <w:tab/>
      </w:r>
      <w:r w:rsidRPr="00BC31E0">
        <w:rPr>
          <w:rFonts w:hint="eastAsia"/>
        </w:rPr>
        <w:t>：</w:t>
      </w:r>
      <w:r w:rsidRPr="00BC31E0">
        <w:rPr>
          <w:rFonts w:hint="eastAsia"/>
        </w:rPr>
        <w:t xml:space="preserve"> </w:t>
      </w:r>
      <w:r w:rsidRPr="00BC31E0">
        <w:rPr>
          <w:rFonts w:hint="eastAsia"/>
        </w:rPr>
        <w:t>膜応力テンソル</w:t>
      </w:r>
      <w:r w:rsidRPr="00BC31E0">
        <w:rPr>
          <w:rFonts w:hint="eastAsia"/>
        </w:rPr>
        <w:tab/>
      </w:r>
      <w:r w:rsidRPr="00BC31E0">
        <w:rPr>
          <w:rFonts w:asciiTheme="minorHAnsi" w:hAnsiTheme="minorHAnsi"/>
        </w:rPr>
        <w:t>(</w:t>
      </w:r>
      <m:oMath>
        <m:r>
          <w:rPr>
            <w:rFonts w:ascii="Cambria Math" w:hAnsi="Cambria Math"/>
          </w:rPr>
          <m:t>i=</m:t>
        </m:r>
        <m:sSub>
          <m:sSubPr>
            <m:ctrlPr>
              <w:rPr>
                <w:rFonts w:ascii="Cambria Math" w:hAnsi="Cambria Math"/>
                <w:i/>
              </w:rPr>
            </m:ctrlPr>
          </m:sSubPr>
          <m:e>
            <m:r>
              <w:rPr>
                <w:rFonts w:ascii="Cambria Math" w:hAnsi="Cambria Math"/>
              </w:rPr>
              <m:t>y</m:t>
            </m:r>
          </m:e>
          <m:sub>
            <m:r>
              <w:rPr>
                <w:rFonts w:ascii="Cambria Math" w:hAnsi="Cambria Math"/>
              </w:rPr>
              <m:t>L</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z</m:t>
            </m:r>
          </m:e>
          <m:sub>
            <m:r>
              <w:rPr>
                <w:rFonts w:ascii="Cambria Math" w:hAnsi="Cambria Math"/>
              </w:rPr>
              <m:t>L</m:t>
            </m:r>
          </m:sub>
        </m:sSub>
      </m:oMath>
      <w:r w:rsidRPr="00BC31E0">
        <w:rPr>
          <w:rFonts w:asciiTheme="minorHAnsi" w:hAnsiTheme="minorHAnsi"/>
        </w:rPr>
        <w:t>，</w:t>
      </w:r>
      <m:oMath>
        <m:r>
          <w:rPr>
            <w:rFonts w:ascii="Cambria Math" w:hAnsi="Cambria Math"/>
          </w:rPr>
          <m:t>j=</m:t>
        </m:r>
        <m:sSub>
          <m:sSubPr>
            <m:ctrlPr>
              <w:rPr>
                <w:rFonts w:ascii="Cambria Math" w:hAnsi="Cambria Math"/>
                <w:i/>
              </w:rPr>
            </m:ctrlPr>
          </m:sSubPr>
          <m:e>
            <m:r>
              <w:rPr>
                <w:rFonts w:ascii="Cambria Math" w:hAnsi="Cambria Math"/>
              </w:rPr>
              <m:t>y</m:t>
            </m:r>
          </m:e>
          <m:sub>
            <m:r>
              <w:rPr>
                <w:rFonts w:ascii="Cambria Math" w:hAnsi="Cambria Math"/>
              </w:rPr>
              <m:t>L</m:t>
            </m:r>
          </m:sub>
        </m:sSub>
        <m:r>
          <w:rPr>
            <w:rFonts w:ascii="Cambria Math"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L</m:t>
            </m:r>
          </m:sub>
        </m:sSub>
      </m:oMath>
      <w:r w:rsidRPr="00BC31E0">
        <w:rPr>
          <w:rFonts w:asciiTheme="minorHAnsi" w:hAnsiTheme="minorHAnsi"/>
        </w:rPr>
        <w:t>) (</w:t>
      </w:r>
      <w:r w:rsidRPr="00BC31E0">
        <w:rPr>
          <w:rFonts w:ascii="Cambria Math" w:hAnsi="Cambria Math"/>
        </w:rPr>
        <w:t>MPa</w:t>
      </w:r>
      <w:r w:rsidRPr="00BC31E0">
        <w:rPr>
          <w:rFonts w:asciiTheme="minorHAnsi" w:hAnsiTheme="minorHAnsi"/>
        </w:rPr>
        <w:t>)</w:t>
      </w:r>
    </w:p>
    <w:p w14:paraId="22CB2140" w14:textId="77777777" w:rsidR="002D033B" w:rsidRPr="00BC31E0" w:rsidRDefault="002D033B" w:rsidP="00DE05DF">
      <w:pPr>
        <w:pStyle w:val="15"/>
        <w:tabs>
          <w:tab w:val="left" w:pos="1134"/>
          <w:tab w:val="left" w:pos="1701"/>
          <w:tab w:val="left" w:pos="5529"/>
        </w:tabs>
        <w:ind w:firstLine="210"/>
      </w:pPr>
      <w:r w:rsidRPr="00BC31E0">
        <w:rPr>
          <w:rFonts w:hint="eastAsia"/>
        </w:rPr>
        <w:tab/>
      </w:r>
      <m:oMath>
        <m:sSub>
          <m:sSubPr>
            <m:ctrlPr>
              <w:rPr>
                <w:rFonts w:ascii="Cambria Math" w:hAnsi="Cambria Math"/>
                <w:i/>
              </w:rPr>
            </m:ctrlPr>
          </m:sSubPr>
          <m:e>
            <m:r>
              <w:rPr>
                <w:rFonts w:ascii="Cambria Math" w:hAnsi="Cambria Math"/>
              </w:rPr>
              <m:t>σ</m:t>
            </m:r>
          </m:e>
          <m:sub>
            <m:r>
              <w:rPr>
                <w:rFonts w:ascii="Cambria Math" w:hAnsi="Cambria Math"/>
              </w:rPr>
              <m:t>ij,in</m:t>
            </m:r>
          </m:sub>
        </m:sSub>
      </m:oMath>
      <w:r w:rsidRPr="00BC31E0">
        <w:rPr>
          <w:rFonts w:hint="eastAsia"/>
        </w:rPr>
        <w:tab/>
      </w:r>
      <w:r w:rsidRPr="00BC31E0">
        <w:rPr>
          <w:rFonts w:hint="eastAsia"/>
        </w:rPr>
        <w:t>：</w:t>
      </w:r>
      <w:r w:rsidRPr="00BC31E0">
        <w:rPr>
          <w:rFonts w:hint="eastAsia"/>
        </w:rPr>
        <w:t xml:space="preserve"> </w:t>
      </w:r>
      <w:r w:rsidRPr="00BC31E0">
        <w:rPr>
          <w:rFonts w:asciiTheme="minorHAnsi" w:hAnsiTheme="minorHAnsi"/>
        </w:rPr>
        <w:t>SCL</w:t>
      </w:r>
      <w:r w:rsidRPr="00BC31E0">
        <w:rPr>
          <w:rFonts w:asciiTheme="minorHAnsi" w:hAnsiTheme="minorHAnsi" w:hint="eastAsia"/>
        </w:rPr>
        <w:t>上</w:t>
      </w:r>
      <w:r w:rsidRPr="00BC31E0">
        <w:rPr>
          <w:rFonts w:ascii="ＭＳ 明朝" w:hAnsi="ＭＳ 明朝" w:hint="eastAsia"/>
        </w:rPr>
        <w:t>の</w:t>
      </w:r>
      <w:r w:rsidRPr="00BC31E0">
        <w:rPr>
          <w:rFonts w:hint="eastAsia"/>
        </w:rPr>
        <w:t>内面における応力テンソル</w:t>
      </w:r>
      <w:r w:rsidRPr="00BC31E0">
        <w:rPr>
          <w:rFonts w:hint="eastAsia"/>
        </w:rPr>
        <w:tab/>
      </w:r>
      <w:r w:rsidRPr="00BC31E0">
        <w:rPr>
          <w:rFonts w:asciiTheme="minorHAnsi" w:hAnsiTheme="minorHAnsi"/>
        </w:rPr>
        <w:t>(</w:t>
      </w:r>
      <m:oMath>
        <m:r>
          <w:rPr>
            <w:rFonts w:ascii="Cambria Math" w:hAnsi="Cambria Math"/>
          </w:rPr>
          <m:t>i=</m:t>
        </m:r>
        <m:sSub>
          <m:sSubPr>
            <m:ctrlPr>
              <w:rPr>
                <w:rFonts w:ascii="Cambria Math" w:hAnsi="Cambria Math"/>
                <w:i/>
              </w:rPr>
            </m:ctrlPr>
          </m:sSubPr>
          <m:e>
            <m:r>
              <w:rPr>
                <w:rFonts w:ascii="Cambria Math" w:hAnsi="Cambria Math"/>
              </w:rPr>
              <m:t>y</m:t>
            </m:r>
          </m:e>
          <m:sub>
            <m:r>
              <w:rPr>
                <w:rFonts w:ascii="Cambria Math" w:hAnsi="Cambria Math"/>
              </w:rPr>
              <m:t>L</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z</m:t>
            </m:r>
          </m:e>
          <m:sub>
            <m:r>
              <w:rPr>
                <w:rFonts w:ascii="Cambria Math" w:hAnsi="Cambria Math"/>
              </w:rPr>
              <m:t>L</m:t>
            </m:r>
          </m:sub>
        </m:sSub>
      </m:oMath>
      <w:r w:rsidRPr="00BC31E0">
        <w:rPr>
          <w:rFonts w:asciiTheme="minorHAnsi" w:hAnsiTheme="minorHAnsi"/>
        </w:rPr>
        <w:t>，</w:t>
      </w:r>
      <m:oMath>
        <m:r>
          <w:rPr>
            <w:rFonts w:ascii="Cambria Math" w:hAnsi="Cambria Math"/>
          </w:rPr>
          <m:t>j=</m:t>
        </m:r>
        <m:sSub>
          <m:sSubPr>
            <m:ctrlPr>
              <w:rPr>
                <w:rFonts w:ascii="Cambria Math" w:hAnsi="Cambria Math"/>
                <w:i/>
              </w:rPr>
            </m:ctrlPr>
          </m:sSubPr>
          <m:e>
            <m:r>
              <w:rPr>
                <w:rFonts w:ascii="Cambria Math" w:hAnsi="Cambria Math"/>
              </w:rPr>
              <m:t>y</m:t>
            </m:r>
          </m:e>
          <m:sub>
            <m:r>
              <w:rPr>
                <w:rFonts w:ascii="Cambria Math" w:hAnsi="Cambria Math"/>
              </w:rPr>
              <m:t>L</m:t>
            </m:r>
          </m:sub>
        </m:sSub>
        <m:r>
          <w:rPr>
            <w:rFonts w:ascii="Cambria Math"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L</m:t>
            </m:r>
          </m:sub>
        </m:sSub>
      </m:oMath>
      <w:r w:rsidRPr="00BC31E0">
        <w:rPr>
          <w:rFonts w:asciiTheme="minorHAnsi" w:hAnsiTheme="minorHAnsi"/>
        </w:rPr>
        <w:t>) (</w:t>
      </w:r>
      <w:r w:rsidRPr="00BC31E0">
        <w:rPr>
          <w:rFonts w:ascii="Cambria Math" w:hAnsi="Cambria Math"/>
        </w:rPr>
        <w:t>MPa</w:t>
      </w:r>
      <w:r w:rsidRPr="00BC31E0">
        <w:rPr>
          <w:rFonts w:asciiTheme="minorHAnsi" w:hAnsiTheme="minorHAnsi"/>
        </w:rPr>
        <w:t>)</w:t>
      </w:r>
    </w:p>
    <w:p w14:paraId="65C767DE" w14:textId="77777777" w:rsidR="002D033B" w:rsidRPr="00BC31E0" w:rsidRDefault="002D033B" w:rsidP="00DE05DF">
      <w:pPr>
        <w:pStyle w:val="15"/>
        <w:tabs>
          <w:tab w:val="left" w:pos="1134"/>
          <w:tab w:val="left" w:pos="1701"/>
          <w:tab w:val="left" w:pos="5529"/>
        </w:tabs>
        <w:ind w:firstLine="210"/>
      </w:pPr>
      <w:r w:rsidRPr="00BC31E0">
        <w:rPr>
          <w:rFonts w:hint="eastAsia"/>
        </w:rPr>
        <w:tab/>
      </w:r>
      <m:oMath>
        <m:sSub>
          <m:sSubPr>
            <m:ctrlPr>
              <w:rPr>
                <w:rFonts w:ascii="Cambria Math" w:hAnsi="Cambria Math"/>
                <w:i/>
              </w:rPr>
            </m:ctrlPr>
          </m:sSubPr>
          <m:e>
            <m:r>
              <w:rPr>
                <w:rFonts w:ascii="Cambria Math" w:hAnsi="Cambria Math"/>
              </w:rPr>
              <m:t>σ</m:t>
            </m:r>
          </m:e>
          <m:sub>
            <m:r>
              <w:rPr>
                <w:rFonts w:ascii="Cambria Math" w:hAnsi="Cambria Math"/>
              </w:rPr>
              <m:t>ij,out</m:t>
            </m:r>
          </m:sub>
        </m:sSub>
      </m:oMath>
      <w:r w:rsidRPr="00BC31E0">
        <w:rPr>
          <w:rFonts w:hint="eastAsia"/>
        </w:rPr>
        <w:tab/>
      </w:r>
      <w:r w:rsidRPr="00BC31E0">
        <w:rPr>
          <w:rFonts w:hint="eastAsia"/>
        </w:rPr>
        <w:t>：</w:t>
      </w:r>
      <w:r w:rsidRPr="00BC31E0">
        <w:rPr>
          <w:rFonts w:hint="eastAsia"/>
        </w:rPr>
        <w:t xml:space="preserve"> </w:t>
      </w:r>
      <w:r w:rsidRPr="00BC31E0">
        <w:rPr>
          <w:rFonts w:asciiTheme="minorHAnsi" w:hAnsiTheme="minorHAnsi"/>
        </w:rPr>
        <w:t>SCL</w:t>
      </w:r>
      <w:r w:rsidRPr="00BC31E0">
        <w:rPr>
          <w:rFonts w:asciiTheme="minorHAnsi" w:hAnsiTheme="minorHAnsi" w:hint="eastAsia"/>
        </w:rPr>
        <w:t>上</w:t>
      </w:r>
      <w:r w:rsidRPr="00BC31E0">
        <w:rPr>
          <w:rFonts w:ascii="ＭＳ 明朝" w:hAnsi="ＭＳ 明朝" w:hint="eastAsia"/>
        </w:rPr>
        <w:t>の</w:t>
      </w:r>
      <w:r w:rsidRPr="00BC31E0">
        <w:rPr>
          <w:rFonts w:hint="eastAsia"/>
        </w:rPr>
        <w:t>外面における応力テンソル</w:t>
      </w:r>
      <w:r w:rsidRPr="00BC31E0">
        <w:rPr>
          <w:rFonts w:hint="eastAsia"/>
        </w:rPr>
        <w:tab/>
      </w:r>
      <w:r w:rsidRPr="00BC31E0">
        <w:rPr>
          <w:rFonts w:asciiTheme="minorHAnsi" w:hAnsiTheme="minorHAnsi"/>
        </w:rPr>
        <w:t>(</w:t>
      </w:r>
      <m:oMath>
        <m:r>
          <w:rPr>
            <w:rFonts w:ascii="Cambria Math" w:hAnsi="Cambria Math"/>
          </w:rPr>
          <m:t>i=</m:t>
        </m:r>
        <m:sSub>
          <m:sSubPr>
            <m:ctrlPr>
              <w:rPr>
                <w:rFonts w:ascii="Cambria Math" w:hAnsi="Cambria Math"/>
                <w:i/>
              </w:rPr>
            </m:ctrlPr>
          </m:sSubPr>
          <m:e>
            <m:r>
              <w:rPr>
                <w:rFonts w:ascii="Cambria Math" w:hAnsi="Cambria Math"/>
              </w:rPr>
              <m:t>y</m:t>
            </m:r>
          </m:e>
          <m:sub>
            <m:r>
              <w:rPr>
                <w:rFonts w:ascii="Cambria Math" w:hAnsi="Cambria Math"/>
              </w:rPr>
              <m:t>L</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z</m:t>
            </m:r>
          </m:e>
          <m:sub>
            <m:r>
              <w:rPr>
                <w:rFonts w:ascii="Cambria Math" w:hAnsi="Cambria Math"/>
              </w:rPr>
              <m:t>L</m:t>
            </m:r>
          </m:sub>
        </m:sSub>
      </m:oMath>
      <w:r w:rsidRPr="00BC31E0">
        <w:rPr>
          <w:rFonts w:asciiTheme="minorHAnsi" w:hAnsiTheme="minorHAnsi"/>
        </w:rPr>
        <w:t>，</w:t>
      </w:r>
      <m:oMath>
        <m:r>
          <w:rPr>
            <w:rFonts w:ascii="Cambria Math" w:hAnsi="Cambria Math"/>
          </w:rPr>
          <m:t>j=</m:t>
        </m:r>
        <m:sSub>
          <m:sSubPr>
            <m:ctrlPr>
              <w:rPr>
                <w:rFonts w:ascii="Cambria Math" w:hAnsi="Cambria Math"/>
                <w:i/>
              </w:rPr>
            </m:ctrlPr>
          </m:sSubPr>
          <m:e>
            <m:r>
              <w:rPr>
                <w:rFonts w:ascii="Cambria Math" w:hAnsi="Cambria Math"/>
              </w:rPr>
              <m:t>y</m:t>
            </m:r>
          </m:e>
          <m:sub>
            <m:r>
              <w:rPr>
                <w:rFonts w:ascii="Cambria Math" w:hAnsi="Cambria Math"/>
              </w:rPr>
              <m:t>L</m:t>
            </m:r>
          </m:sub>
        </m:sSub>
        <m:r>
          <w:rPr>
            <w:rFonts w:ascii="Cambria Math"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L</m:t>
            </m:r>
          </m:sub>
        </m:sSub>
      </m:oMath>
      <w:r w:rsidRPr="00BC31E0">
        <w:rPr>
          <w:rFonts w:asciiTheme="minorHAnsi" w:hAnsiTheme="minorHAnsi"/>
        </w:rPr>
        <w:t>) (</w:t>
      </w:r>
      <w:r w:rsidRPr="00BC31E0">
        <w:rPr>
          <w:rFonts w:ascii="Cambria Math" w:hAnsi="Cambria Math"/>
        </w:rPr>
        <w:t>MPa</w:t>
      </w:r>
      <w:r w:rsidRPr="00BC31E0">
        <w:rPr>
          <w:rFonts w:asciiTheme="minorHAnsi" w:hAnsiTheme="minorHAnsi"/>
        </w:rPr>
        <w:t>)</w:t>
      </w:r>
    </w:p>
    <w:p w14:paraId="2DE8A4C3" w14:textId="77777777" w:rsidR="002D033B" w:rsidRPr="00BC31E0" w:rsidRDefault="002D033B" w:rsidP="00736130">
      <w:pPr>
        <w:pStyle w:val="a4"/>
        <w:numPr>
          <w:ilvl w:val="0"/>
          <w:numId w:val="421"/>
        </w:numPr>
        <w:spacing w:before="120" w:after="120"/>
        <w:ind w:leftChars="0" w:left="454" w:hanging="454"/>
      </w:pPr>
      <w:r w:rsidRPr="00BC31E0">
        <w:rPr>
          <w:rFonts w:asciiTheme="majorEastAsia" w:eastAsiaTheme="majorEastAsia" w:hAnsiTheme="majorEastAsia" w:hint="eastAsia"/>
          <w:b/>
        </w:rPr>
        <w:t>曲げ応力テンソルの計算</w:t>
      </w:r>
      <w:r w:rsidRPr="00BC31E0">
        <w:rPr>
          <w:rFonts w:asciiTheme="minorEastAsia" w:eastAsiaTheme="minorEastAsia" w:hAnsiTheme="minorEastAsia" w:hint="eastAsia"/>
        </w:rPr>
        <w:t xml:space="preserve">　</w:t>
      </w:r>
      <w:r w:rsidRPr="00BC31E0">
        <w:rPr>
          <w:rFonts w:hint="eastAsia"/>
        </w:rPr>
        <w:t>曲げ応力テンソルは</w:t>
      </w:r>
      <w:r w:rsidRPr="00BC31E0">
        <w:t>SCL</w:t>
      </w:r>
      <w:r w:rsidRPr="00BC31E0">
        <w:rPr>
          <w:rFonts w:hint="eastAsia"/>
        </w:rPr>
        <w:t>に沿った各応力成分の線形に変化する部分から構成されるテンソルで，次式で求める。</w:t>
      </w:r>
    </w:p>
    <w:tbl>
      <w:tblPr>
        <w:tblStyle w:val="afff2"/>
        <w:tblW w:w="6237"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4"/>
        <w:gridCol w:w="4333"/>
      </w:tblGrid>
      <w:tr w:rsidR="002D033B" w:rsidRPr="00BC31E0" w14:paraId="45AA9CD9" w14:textId="77777777" w:rsidTr="004736F2">
        <w:tc>
          <w:tcPr>
            <w:tcW w:w="0" w:type="auto"/>
            <w:tcMar>
              <w:left w:w="0" w:type="dxa"/>
              <w:right w:w="0" w:type="dxa"/>
            </w:tcMar>
            <w:vAlign w:val="center"/>
          </w:tcPr>
          <w:p w14:paraId="5105A302" w14:textId="77777777" w:rsidR="002D033B" w:rsidRPr="00BC31E0" w:rsidRDefault="00A51873" w:rsidP="00DE05DF">
            <w:pPr>
              <w:pStyle w:val="15"/>
              <w:ind w:firstLine="210"/>
            </w:pPr>
            <m:oMathPara>
              <m:oMathParaPr>
                <m:jc m:val="left"/>
              </m:oMathParaPr>
              <m:oMath>
                <m:sSub>
                  <m:sSubPr>
                    <m:ctrlPr>
                      <w:rPr>
                        <w:rFonts w:ascii="Cambria Math" w:hAnsi="Cambria Math"/>
                        <w:i/>
                      </w:rPr>
                    </m:ctrlPr>
                  </m:sSubPr>
                  <m:e>
                    <m:r>
                      <w:rPr>
                        <w:rFonts w:ascii="Cambria Math" w:hAnsi="Cambria Math"/>
                      </w:rPr>
                      <m:t>σ</m:t>
                    </m:r>
                  </m:e>
                  <m:sub>
                    <m:r>
                      <w:rPr>
                        <w:rFonts w:ascii="Cambria Math" w:hAnsi="Cambria Math"/>
                      </w:rPr>
                      <m:t>ij,b</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ij,in</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ij,out</m:t>
                        </m:r>
                      </m:sub>
                    </m:sSub>
                  </m:num>
                  <m:den>
                    <m:r>
                      <w:rPr>
                        <w:rFonts w:ascii="Cambria Math" w:hAnsi="Cambria Math"/>
                      </w:rPr>
                      <m:t>2</m:t>
                    </m:r>
                  </m:den>
                </m:f>
              </m:oMath>
            </m:oMathPara>
          </w:p>
        </w:tc>
        <w:tc>
          <w:tcPr>
            <w:tcW w:w="4333" w:type="dxa"/>
            <w:tcMar>
              <w:left w:w="0" w:type="dxa"/>
              <w:right w:w="0" w:type="dxa"/>
            </w:tcMar>
            <w:vAlign w:val="center"/>
          </w:tcPr>
          <w:p w14:paraId="604B5938" w14:textId="77777777" w:rsidR="002D033B" w:rsidRPr="00BC31E0" w:rsidRDefault="002D033B" w:rsidP="00DE05DF">
            <w:pPr>
              <w:pStyle w:val="15"/>
              <w:tabs>
                <w:tab w:val="left" w:leader="middleDot" w:pos="3908"/>
              </w:tabs>
              <w:ind w:firstLine="210"/>
              <w:jc w:val="left"/>
            </w:pPr>
            <w:r w:rsidRPr="00BC31E0">
              <w:tab/>
            </w:r>
            <w:r w:rsidRPr="00BC31E0">
              <w:rPr>
                <w:rFonts w:hint="eastAsia"/>
              </w:rPr>
              <w:t>(6)</w:t>
            </w:r>
          </w:p>
        </w:tc>
      </w:tr>
    </w:tbl>
    <w:p w14:paraId="3D501310" w14:textId="77777777" w:rsidR="002D033B" w:rsidRPr="00BC31E0" w:rsidRDefault="002D033B" w:rsidP="00DE05DF">
      <w:pPr>
        <w:pStyle w:val="15"/>
        <w:ind w:left="454" w:firstLine="210"/>
      </w:pPr>
      <w:r w:rsidRPr="00BC31E0">
        <w:rPr>
          <w:rFonts w:hint="eastAsia"/>
        </w:rPr>
        <w:t>ここで，</w:t>
      </w:r>
    </w:p>
    <w:p w14:paraId="43F82BAC" w14:textId="77777777" w:rsidR="002D033B" w:rsidRPr="00BC31E0" w:rsidRDefault="002D033B" w:rsidP="00DE05DF">
      <w:pPr>
        <w:pStyle w:val="15"/>
        <w:tabs>
          <w:tab w:val="left" w:pos="1134"/>
          <w:tab w:val="left" w:pos="1701"/>
        </w:tabs>
        <w:ind w:firstLine="210"/>
      </w:pPr>
      <w:r w:rsidRPr="00BC31E0">
        <w:rPr>
          <w:rFonts w:hint="eastAsia"/>
        </w:rPr>
        <w:tab/>
      </w:r>
      <m:oMath>
        <m:sSub>
          <m:sSubPr>
            <m:ctrlPr>
              <w:rPr>
                <w:rFonts w:ascii="Cambria Math" w:hAnsi="Cambria Math"/>
                <w:i/>
              </w:rPr>
            </m:ctrlPr>
          </m:sSubPr>
          <m:e>
            <m:r>
              <w:rPr>
                <w:rFonts w:ascii="Cambria Math" w:hAnsi="Cambria Math"/>
              </w:rPr>
              <m:t>σ</m:t>
            </m:r>
          </m:e>
          <m:sub>
            <m:r>
              <w:rPr>
                <w:rFonts w:ascii="Cambria Math" w:hAnsi="Cambria Math"/>
              </w:rPr>
              <m:t>ij,b</m:t>
            </m:r>
          </m:sub>
        </m:sSub>
      </m:oMath>
      <w:r w:rsidRPr="00BC31E0">
        <w:rPr>
          <w:rFonts w:hint="eastAsia"/>
        </w:rPr>
        <w:tab/>
      </w:r>
      <w:r w:rsidRPr="00BC31E0">
        <w:rPr>
          <w:rFonts w:hint="eastAsia"/>
        </w:rPr>
        <w:t>：</w:t>
      </w:r>
      <w:r w:rsidRPr="00BC31E0">
        <w:rPr>
          <w:rFonts w:hint="eastAsia"/>
        </w:rPr>
        <w:t xml:space="preserve"> </w:t>
      </w:r>
      <w:r w:rsidRPr="00BC31E0">
        <w:rPr>
          <w:rFonts w:hint="eastAsia"/>
        </w:rPr>
        <w:t>曲げ応力テンソル</w:t>
      </w:r>
      <w:r w:rsidRPr="00BC31E0">
        <w:rPr>
          <w:rFonts w:hint="eastAsia"/>
        </w:rPr>
        <w:t xml:space="preserve"> </w:t>
      </w:r>
      <w:r w:rsidRPr="00BC31E0">
        <w:rPr>
          <w:rFonts w:asciiTheme="minorHAnsi" w:hAnsiTheme="minorHAnsi"/>
        </w:rPr>
        <w:t>(</w:t>
      </w:r>
      <m:oMath>
        <m:r>
          <w:rPr>
            <w:rFonts w:ascii="Cambria Math" w:hAnsi="Cambria Math"/>
          </w:rPr>
          <m:t>i=</m:t>
        </m:r>
        <m:sSub>
          <m:sSubPr>
            <m:ctrlPr>
              <w:rPr>
                <w:rFonts w:ascii="Cambria Math" w:hAnsi="Cambria Math"/>
                <w:i/>
              </w:rPr>
            </m:ctrlPr>
          </m:sSubPr>
          <m:e>
            <m:r>
              <w:rPr>
                <w:rFonts w:ascii="Cambria Math" w:hAnsi="Cambria Math"/>
              </w:rPr>
              <m:t>y</m:t>
            </m:r>
          </m:e>
          <m:sub>
            <m:r>
              <w:rPr>
                <w:rFonts w:ascii="Cambria Math" w:hAnsi="Cambria Math"/>
              </w:rPr>
              <m:t>L</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z</m:t>
            </m:r>
          </m:e>
          <m:sub>
            <m:r>
              <w:rPr>
                <w:rFonts w:ascii="Cambria Math" w:hAnsi="Cambria Math"/>
              </w:rPr>
              <m:t>L</m:t>
            </m:r>
          </m:sub>
        </m:sSub>
      </m:oMath>
      <w:r w:rsidRPr="00BC31E0">
        <w:rPr>
          <w:rFonts w:asciiTheme="minorHAnsi" w:hAnsiTheme="minorHAnsi"/>
        </w:rPr>
        <w:t>，</w:t>
      </w:r>
      <m:oMath>
        <m:r>
          <w:rPr>
            <w:rFonts w:ascii="Cambria Math" w:hAnsi="Cambria Math"/>
          </w:rPr>
          <m:t>j=</m:t>
        </m:r>
        <m:sSub>
          <m:sSubPr>
            <m:ctrlPr>
              <w:rPr>
                <w:rFonts w:ascii="Cambria Math" w:hAnsi="Cambria Math"/>
                <w:i/>
              </w:rPr>
            </m:ctrlPr>
          </m:sSubPr>
          <m:e>
            <m:r>
              <w:rPr>
                <w:rFonts w:ascii="Cambria Math" w:hAnsi="Cambria Math"/>
              </w:rPr>
              <m:t>y</m:t>
            </m:r>
          </m:e>
          <m:sub>
            <m:r>
              <w:rPr>
                <w:rFonts w:ascii="Cambria Math" w:hAnsi="Cambria Math"/>
              </w:rPr>
              <m:t>L</m:t>
            </m:r>
          </m:sub>
        </m:sSub>
        <m:r>
          <w:rPr>
            <w:rFonts w:ascii="Cambria Math"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L</m:t>
            </m:r>
          </m:sub>
        </m:sSub>
      </m:oMath>
      <w:r w:rsidRPr="00BC31E0">
        <w:rPr>
          <w:rFonts w:asciiTheme="minorHAnsi" w:hAnsiTheme="minorHAnsi"/>
        </w:rPr>
        <w:t>) (</w:t>
      </w:r>
      <w:r w:rsidRPr="00BC31E0">
        <w:rPr>
          <w:rFonts w:ascii="Cambria Math" w:hAnsi="Cambria Math"/>
        </w:rPr>
        <w:t>MPa</w:t>
      </w:r>
      <w:r w:rsidRPr="00BC31E0">
        <w:rPr>
          <w:rFonts w:asciiTheme="minorHAnsi" w:hAnsiTheme="minorHAnsi"/>
        </w:rPr>
        <w:t>)</w:t>
      </w:r>
    </w:p>
    <w:p w14:paraId="22B03DAD" w14:textId="77777777" w:rsidR="002D033B" w:rsidRPr="00BC31E0" w:rsidRDefault="002D033B" w:rsidP="00736130">
      <w:pPr>
        <w:pStyle w:val="a4"/>
        <w:numPr>
          <w:ilvl w:val="0"/>
          <w:numId w:val="421"/>
        </w:numPr>
        <w:spacing w:before="120" w:after="120"/>
        <w:ind w:leftChars="0" w:left="454" w:hanging="454"/>
      </w:pPr>
      <w:r w:rsidRPr="00BC31E0">
        <w:rPr>
          <w:rFonts w:asciiTheme="majorEastAsia" w:eastAsiaTheme="majorEastAsia" w:hAnsiTheme="majorEastAsia" w:hint="eastAsia"/>
          <w:b/>
        </w:rPr>
        <w:t>ピーク応力テンソルの計算</w:t>
      </w:r>
      <w:r w:rsidRPr="00BC31E0">
        <w:rPr>
          <w:rFonts w:ascii="ＭＳ 明朝" w:hAnsi="ＭＳ 明朝" w:hint="eastAsia"/>
        </w:rPr>
        <w:t xml:space="preserve">　</w:t>
      </w:r>
      <w:r w:rsidRPr="00BC31E0">
        <w:rPr>
          <w:rFonts w:hint="eastAsia"/>
        </w:rPr>
        <w:t>ピーク応力テンソルを次式で求める。</w:t>
      </w:r>
    </w:p>
    <w:tbl>
      <w:tblPr>
        <w:tblStyle w:val="afff2"/>
        <w:tblW w:w="6237"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8"/>
        <w:gridCol w:w="3539"/>
      </w:tblGrid>
      <w:tr w:rsidR="002D033B" w:rsidRPr="00BC31E0" w14:paraId="01F16BC4" w14:textId="77777777" w:rsidTr="004736F2">
        <w:tc>
          <w:tcPr>
            <w:tcW w:w="0" w:type="auto"/>
            <w:tcMar>
              <w:left w:w="0" w:type="dxa"/>
              <w:right w:w="0" w:type="dxa"/>
            </w:tcMar>
            <w:vAlign w:val="center"/>
          </w:tcPr>
          <w:p w14:paraId="5E3AE7AB" w14:textId="77777777" w:rsidR="002D033B" w:rsidRPr="00BC31E0" w:rsidRDefault="00A51873" w:rsidP="00DE05DF">
            <w:pPr>
              <w:pStyle w:val="15"/>
              <w:ind w:firstLine="210"/>
              <w:rPr>
                <w:i/>
              </w:rPr>
            </w:pPr>
            <m:oMathPara>
              <m:oMathParaPr>
                <m:jc m:val="left"/>
              </m:oMathParaPr>
              <m:oMath>
                <m:sSub>
                  <m:sSubPr>
                    <m:ctrlPr>
                      <w:rPr>
                        <w:rFonts w:ascii="Cambria Math" w:hAnsi="Cambria Math"/>
                        <w:i/>
                      </w:rPr>
                    </m:ctrlPr>
                  </m:sSubPr>
                  <m:e>
                    <m:r>
                      <w:rPr>
                        <w:rFonts w:ascii="Cambria Math" w:hAnsi="Cambria Math"/>
                      </w:rPr>
                      <m:t>σ</m:t>
                    </m:r>
                  </m:e>
                  <m:sub>
                    <m:r>
                      <w:rPr>
                        <w:rFonts w:ascii="Cambria Math" w:hAnsi="Cambria Math"/>
                      </w:rPr>
                      <m:t>ij,F</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ij,m</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ij,b</m:t>
                        </m:r>
                      </m:sub>
                    </m:sSub>
                  </m:e>
                </m:d>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f</m:t>
                        </m:r>
                      </m:sub>
                    </m:sSub>
                    <m:r>
                      <w:rPr>
                        <w:rFonts w:ascii="Cambria Math" w:hAnsi="Cambria Math"/>
                      </w:rPr>
                      <m:t>-1</m:t>
                    </m:r>
                  </m:e>
                </m:d>
              </m:oMath>
            </m:oMathPara>
          </w:p>
        </w:tc>
        <w:tc>
          <w:tcPr>
            <w:tcW w:w="3539" w:type="dxa"/>
            <w:tcMar>
              <w:left w:w="0" w:type="dxa"/>
              <w:right w:w="0" w:type="dxa"/>
            </w:tcMar>
            <w:vAlign w:val="center"/>
          </w:tcPr>
          <w:p w14:paraId="14D67273" w14:textId="77777777" w:rsidR="002D033B" w:rsidRPr="00BC31E0" w:rsidRDefault="002D033B" w:rsidP="00DE05DF">
            <w:pPr>
              <w:pStyle w:val="15"/>
              <w:tabs>
                <w:tab w:val="left" w:leader="middleDot" w:pos="3114"/>
              </w:tabs>
              <w:ind w:firstLine="210"/>
              <w:jc w:val="left"/>
            </w:pPr>
            <w:r w:rsidRPr="00BC31E0">
              <w:tab/>
            </w:r>
            <w:r w:rsidRPr="00BC31E0">
              <w:rPr>
                <w:rFonts w:hint="eastAsia"/>
              </w:rPr>
              <w:t>(7)</w:t>
            </w:r>
          </w:p>
        </w:tc>
      </w:tr>
    </w:tbl>
    <w:p w14:paraId="25BFE458" w14:textId="77777777" w:rsidR="002D033B" w:rsidRPr="00BC31E0" w:rsidRDefault="002D033B" w:rsidP="00DE05DF">
      <w:pPr>
        <w:pStyle w:val="15"/>
        <w:ind w:left="454" w:firstLine="210"/>
      </w:pPr>
      <w:r w:rsidRPr="00BC31E0">
        <w:rPr>
          <w:rFonts w:hint="eastAsia"/>
        </w:rPr>
        <w:t>ここで，</w:t>
      </w:r>
    </w:p>
    <w:p w14:paraId="4DA7C8E8" w14:textId="77777777" w:rsidR="002D033B" w:rsidRPr="00BC31E0" w:rsidRDefault="002D033B" w:rsidP="00DE05DF">
      <w:pPr>
        <w:pStyle w:val="15"/>
        <w:tabs>
          <w:tab w:val="left" w:pos="1134"/>
          <w:tab w:val="left" w:pos="1701"/>
        </w:tabs>
        <w:ind w:firstLine="210"/>
      </w:pPr>
      <w:r w:rsidRPr="00BC31E0">
        <w:rPr>
          <w:rFonts w:hint="eastAsia"/>
        </w:rPr>
        <w:tab/>
      </w:r>
      <m:oMath>
        <m:sSub>
          <m:sSubPr>
            <m:ctrlPr>
              <w:rPr>
                <w:rFonts w:ascii="Cambria Math" w:hAnsi="Cambria Math"/>
                <w:i/>
              </w:rPr>
            </m:ctrlPr>
          </m:sSubPr>
          <m:e>
            <m:r>
              <w:rPr>
                <w:rFonts w:ascii="Cambria Math" w:hAnsi="Cambria Math"/>
              </w:rPr>
              <m:t>σ</m:t>
            </m:r>
          </m:e>
          <m:sub>
            <m:r>
              <w:rPr>
                <w:rFonts w:ascii="Cambria Math" w:hAnsi="Cambria Math"/>
              </w:rPr>
              <m:t>ij,F</m:t>
            </m:r>
          </m:sub>
        </m:sSub>
      </m:oMath>
      <w:r w:rsidRPr="00BC31E0">
        <w:rPr>
          <w:rFonts w:hint="eastAsia"/>
        </w:rPr>
        <w:tab/>
      </w:r>
      <w:r w:rsidRPr="00BC31E0">
        <w:rPr>
          <w:rFonts w:hint="eastAsia"/>
        </w:rPr>
        <w:t>：</w:t>
      </w:r>
      <w:r w:rsidRPr="00BC31E0">
        <w:rPr>
          <w:rFonts w:hint="eastAsia"/>
        </w:rPr>
        <w:t xml:space="preserve"> </w:t>
      </w:r>
      <w:r w:rsidRPr="00BC31E0">
        <w:rPr>
          <w:rFonts w:hint="eastAsia"/>
        </w:rPr>
        <w:t>ピーク応力テンソル</w:t>
      </w:r>
      <w:r w:rsidRPr="00BC31E0">
        <w:rPr>
          <w:rFonts w:hint="eastAsia"/>
        </w:rPr>
        <w:t>(</w:t>
      </w:r>
      <w:r w:rsidRPr="00BC31E0">
        <w:rPr>
          <w:rFonts w:ascii="Cambria Math" w:hAnsi="Cambria Math"/>
        </w:rPr>
        <w:t>MPa</w:t>
      </w:r>
      <w:r w:rsidRPr="00BC31E0">
        <w:rPr>
          <w:rFonts w:hint="eastAsia"/>
        </w:rPr>
        <w:t>)</w:t>
      </w:r>
    </w:p>
    <w:p w14:paraId="38D33AF5" w14:textId="77777777" w:rsidR="002D033B" w:rsidRPr="00BC31E0" w:rsidRDefault="002D033B" w:rsidP="00DE05DF">
      <w:pPr>
        <w:pStyle w:val="15"/>
        <w:tabs>
          <w:tab w:val="left" w:pos="1134"/>
          <w:tab w:val="left" w:pos="1701"/>
        </w:tabs>
        <w:ind w:firstLine="210"/>
      </w:pPr>
      <w:r w:rsidRPr="00BC31E0">
        <w:rPr>
          <w:rFonts w:hint="eastAsia"/>
        </w:rPr>
        <w:tab/>
      </w:r>
      <m:oMath>
        <m:sSub>
          <m:sSubPr>
            <m:ctrlPr>
              <w:rPr>
                <w:rFonts w:ascii="Cambria Math" w:hAnsi="Cambria Math"/>
                <w:i/>
              </w:rPr>
            </m:ctrlPr>
          </m:sSubPr>
          <m:e>
            <m:r>
              <w:rPr>
                <w:rFonts w:ascii="Cambria Math" w:hAnsi="Cambria Math"/>
              </w:rPr>
              <m:t>K</m:t>
            </m:r>
          </m:e>
          <m:sub>
            <m:r>
              <w:rPr>
                <w:rFonts w:ascii="Cambria Math" w:hAnsi="Cambria Math"/>
              </w:rPr>
              <m:t>f</m:t>
            </m:r>
          </m:sub>
        </m:sSub>
      </m:oMath>
      <w:r w:rsidRPr="00BC31E0">
        <w:rPr>
          <w:rFonts w:hint="eastAsia"/>
        </w:rPr>
        <w:tab/>
      </w:r>
      <w:r w:rsidRPr="00BC31E0">
        <w:rPr>
          <w:rFonts w:hint="eastAsia"/>
        </w:rPr>
        <w:t>：</w:t>
      </w:r>
      <w:r w:rsidRPr="00BC31E0">
        <w:rPr>
          <w:rFonts w:hint="eastAsia"/>
        </w:rPr>
        <w:t xml:space="preserve"> </w:t>
      </w:r>
      <w:r w:rsidRPr="00BC31E0">
        <w:rPr>
          <w:rFonts w:hint="eastAsia"/>
        </w:rPr>
        <w:t>疲労強度減少係数</w:t>
      </w:r>
    </w:p>
    <w:p w14:paraId="1A899835" w14:textId="77777777" w:rsidR="002D033B" w:rsidRPr="00BC31E0" w:rsidRDefault="002D033B" w:rsidP="00736130">
      <w:pPr>
        <w:pStyle w:val="a4"/>
        <w:numPr>
          <w:ilvl w:val="0"/>
          <w:numId w:val="421"/>
        </w:numPr>
        <w:spacing w:before="120"/>
        <w:ind w:leftChars="0" w:left="454" w:hanging="454"/>
      </w:pPr>
      <w:r w:rsidRPr="00BC31E0">
        <w:rPr>
          <w:rFonts w:hint="eastAsia"/>
        </w:rPr>
        <w:t>膜応力及び膜応力＋曲げ応力テンソルより，内面と外面において</w:t>
      </w:r>
      <w:r w:rsidRPr="00BC31E0">
        <w:t>2</w:t>
      </w:r>
      <w:r w:rsidRPr="00BC31E0">
        <w:rPr>
          <w:rFonts w:hint="eastAsia"/>
        </w:rPr>
        <w:t>主応力を計算する。</w:t>
      </w:r>
    </w:p>
    <w:p w14:paraId="2BA0DC82" w14:textId="77777777" w:rsidR="002D033B" w:rsidRPr="00BC31E0" w:rsidRDefault="002D033B" w:rsidP="00736130">
      <w:pPr>
        <w:pStyle w:val="a4"/>
        <w:numPr>
          <w:ilvl w:val="0"/>
          <w:numId w:val="421"/>
        </w:numPr>
        <w:ind w:leftChars="0" w:left="454" w:hanging="454"/>
      </w:pPr>
      <w:r w:rsidRPr="00BC31E0">
        <w:rPr>
          <w:rFonts w:hint="eastAsia"/>
        </w:rPr>
        <w:t>2</w:t>
      </w:r>
      <w:r w:rsidRPr="00BC31E0">
        <w:rPr>
          <w:rFonts w:hint="eastAsia"/>
        </w:rPr>
        <w:t>主応力又は内面においては圧力に等しい圧縮応力を含めた</w:t>
      </w:r>
      <w:r w:rsidRPr="00BC31E0">
        <w:rPr>
          <w:rFonts w:hint="eastAsia"/>
        </w:rPr>
        <w:t>3</w:t>
      </w:r>
      <w:r w:rsidRPr="00BC31E0">
        <w:t>主応力</w:t>
      </w:r>
      <w:r w:rsidRPr="00BC31E0">
        <w:rPr>
          <w:rFonts w:hint="eastAsia"/>
        </w:rPr>
        <w:t>より，</w:t>
      </w:r>
      <w:r w:rsidRPr="00BC31E0">
        <w:rPr>
          <w:rFonts w:asciiTheme="majorEastAsia" w:eastAsiaTheme="majorEastAsia" w:hAnsiTheme="majorEastAsia" w:hint="eastAsia"/>
          <w:b/>
          <w:bCs/>
        </w:rPr>
        <w:t>附属書J</w:t>
      </w:r>
      <w:r w:rsidRPr="00BC31E0">
        <w:rPr>
          <w:rFonts w:hint="eastAsia"/>
        </w:rPr>
        <w:t>により相当</w:t>
      </w:r>
      <w:r w:rsidRPr="00BC31E0">
        <w:t>応力を計算する</w:t>
      </w:r>
      <w:r w:rsidRPr="00BC31E0">
        <w:rPr>
          <w:rFonts w:hint="eastAsia"/>
        </w:rPr>
        <w:t>。</w:t>
      </w:r>
    </w:p>
    <w:p w14:paraId="553823FE" w14:textId="77777777" w:rsidR="002D033B" w:rsidRPr="00BC31E0" w:rsidRDefault="002D033B" w:rsidP="00BB1B06">
      <w:pPr>
        <w:pStyle w:val="15"/>
        <w:tabs>
          <w:tab w:val="left" w:leader="middleDot" w:pos="8364"/>
        </w:tabs>
        <w:ind w:firstLineChars="0" w:firstLine="0"/>
      </w:pPr>
    </w:p>
    <w:p w14:paraId="65C9AD06" w14:textId="77777777" w:rsidR="002D033B" w:rsidRPr="00BC31E0" w:rsidRDefault="002D033B" w:rsidP="00ED524A">
      <w:pPr>
        <w:pStyle w:val="13"/>
        <w:adjustRightInd/>
        <w:snapToGrid/>
        <w:spacing w:line="240" w:lineRule="auto"/>
        <w:ind w:left="340" w:hanging="340"/>
      </w:pPr>
      <w:r w:rsidRPr="00BC31E0">
        <w:rPr>
          <w:rFonts w:hint="eastAsia"/>
        </w:rPr>
        <w:t>節点力に基づく構造応力法</w:t>
      </w:r>
    </w:p>
    <w:p w14:paraId="04FFB2A6" w14:textId="77777777" w:rsidR="002D033B" w:rsidRPr="00BC31E0" w:rsidRDefault="002D033B" w:rsidP="00DE05DF">
      <w:pPr>
        <w:pStyle w:val="15"/>
        <w:ind w:firstLine="210"/>
      </w:pPr>
      <w:r w:rsidRPr="00BC31E0">
        <w:rPr>
          <w:rFonts w:hint="eastAsia"/>
        </w:rPr>
        <w:t>連続体要素又はシェル要素を用いた有限要素法解析の結果は，節点力に基づく構造応力法</w:t>
      </w:r>
      <w:r w:rsidR="000C73BC" w:rsidRPr="00BC31E0">
        <w:rPr>
          <w:rFonts w:hint="eastAsia"/>
        </w:rPr>
        <w:t>を用いて</w:t>
      </w:r>
      <w:r w:rsidRPr="00BC31E0">
        <w:rPr>
          <w:rFonts w:hint="eastAsia"/>
        </w:rPr>
        <w:t>処理する。構造応力法は要素分割</w:t>
      </w:r>
      <w:r w:rsidR="006064BF" w:rsidRPr="00BC31E0">
        <w:rPr>
          <w:rFonts w:hint="eastAsia"/>
        </w:rPr>
        <w:t>への</w:t>
      </w:r>
      <w:r w:rsidRPr="00BC31E0">
        <w:rPr>
          <w:rFonts w:hint="eastAsia"/>
        </w:rPr>
        <w:t>依存</w:t>
      </w:r>
      <w:r w:rsidR="006064BF" w:rsidRPr="00BC31E0">
        <w:rPr>
          <w:rFonts w:hint="eastAsia"/>
        </w:rPr>
        <w:t>性が低い</w:t>
      </w:r>
      <w:r w:rsidRPr="00BC31E0">
        <w:rPr>
          <w:rFonts w:hint="eastAsia"/>
        </w:rPr>
        <w:t>膜応力と曲げ応力を求める方法であり，溶接接手の疲労設計に用いる。この方法では，溶接部に想定する仮想亀裂面に垂直な構造応力を評価する。一般に，圧力容器の溶接部で起こり得る亀裂の方向を予測することは簡単である</w:t>
      </w:r>
      <w:r w:rsidRPr="00BC31E0">
        <w:rPr>
          <w:rFonts w:hint="eastAsia"/>
        </w:rPr>
        <w:t>(</w:t>
      </w:r>
      <w:r w:rsidRPr="00BC31E0">
        <w:rPr>
          <w:rFonts w:hint="eastAsia"/>
        </w:rPr>
        <w:t>例えば，隅肉溶接の止端部</w:t>
      </w:r>
      <w:r w:rsidRPr="00BC31E0">
        <w:rPr>
          <w:rFonts w:hint="eastAsia"/>
        </w:rPr>
        <w:t>)</w:t>
      </w:r>
      <w:r w:rsidRPr="00BC31E0">
        <w:rPr>
          <w:rFonts w:hint="eastAsia"/>
        </w:rPr>
        <w:t>。連続体要素に対して構造応力を計算する方法には，節点力に基づく方法と応力積分に基づく方法がある。典型的な連続体の有限要素法モデルと</w:t>
      </w:r>
      <w:r w:rsidRPr="00BC31E0">
        <w:rPr>
          <w:rFonts w:hint="eastAsia"/>
        </w:rPr>
        <w:t>SCL</w:t>
      </w:r>
      <w:r w:rsidRPr="00BC31E0">
        <w:rPr>
          <w:rFonts w:hint="eastAsia"/>
        </w:rPr>
        <w:t>を</w:t>
      </w:r>
      <w:r w:rsidRPr="00BC31E0">
        <w:rPr>
          <w:rFonts w:ascii="ＭＳ ゴシック" w:eastAsia="ＭＳ ゴシック" w:hAnsi="ＭＳ ゴシック" w:hint="eastAsia"/>
          <w:b/>
        </w:rPr>
        <w:t>図L.5</w:t>
      </w:r>
      <w:r w:rsidRPr="00BC31E0">
        <w:rPr>
          <w:rFonts w:hint="eastAsia"/>
        </w:rPr>
        <w:t>に示す。</w:t>
      </w:r>
    </w:p>
    <w:p w14:paraId="60753A42" w14:textId="77777777" w:rsidR="002D033B" w:rsidRPr="00BC31E0" w:rsidRDefault="002D033B" w:rsidP="00ED524A">
      <w:pPr>
        <w:pStyle w:val="110"/>
        <w:spacing w:line="240" w:lineRule="auto"/>
        <w:ind w:left="567" w:hanging="567"/>
      </w:pPr>
      <w:r w:rsidRPr="00BC31E0">
        <w:rPr>
          <w:rFonts w:hint="eastAsia"/>
        </w:rPr>
        <w:t>連続体要素</w:t>
      </w:r>
    </w:p>
    <w:p w14:paraId="0C48D969" w14:textId="77777777" w:rsidR="002D033B" w:rsidRPr="00BC31E0" w:rsidRDefault="002D033B" w:rsidP="00DE05DF">
      <w:pPr>
        <w:pStyle w:val="15"/>
        <w:ind w:firstLine="210"/>
        <w:rPr>
          <w:rFonts w:asciiTheme="minorHAnsi" w:eastAsiaTheme="minorEastAsia" w:hAnsiTheme="minorHAnsi"/>
        </w:rPr>
      </w:pPr>
      <w:r w:rsidRPr="00BC31E0">
        <w:rPr>
          <w:rFonts w:asciiTheme="minorHAnsi" w:eastAsiaTheme="minorEastAsia" w:hAnsiTheme="minorHAnsi" w:hint="eastAsia"/>
        </w:rPr>
        <w:t>連続体要素に対する構造応力法による線形化手順は，次の</w:t>
      </w:r>
      <w:r w:rsidRPr="00BC31E0">
        <w:rPr>
          <w:rFonts w:asciiTheme="majorEastAsia" w:eastAsiaTheme="majorEastAsia" w:hAnsiTheme="majorEastAsia" w:hint="eastAsia"/>
          <w:b/>
        </w:rPr>
        <w:t>a)</w:t>
      </w:r>
      <w:r w:rsidRPr="00BC31E0">
        <w:rPr>
          <w:rFonts w:asciiTheme="minorHAnsi" w:eastAsiaTheme="minorEastAsia" w:hAnsiTheme="minorHAnsi" w:hint="eastAsia"/>
        </w:rPr>
        <w:t>～</w:t>
      </w:r>
      <w:r w:rsidRPr="00BC31E0">
        <w:rPr>
          <w:rFonts w:asciiTheme="majorEastAsia" w:eastAsiaTheme="majorEastAsia" w:hAnsiTheme="majorEastAsia" w:hint="eastAsia"/>
          <w:b/>
        </w:rPr>
        <w:t>c)</w:t>
      </w:r>
      <w:r w:rsidRPr="00BC31E0">
        <w:rPr>
          <w:rFonts w:asciiTheme="minorHAnsi" w:eastAsiaTheme="minorEastAsia" w:hAnsiTheme="minorHAnsi" w:hint="eastAsia"/>
        </w:rPr>
        <w:t>による。なお，ピーク応力テンソル及び相当応力の計算は，</w:t>
      </w:r>
      <w:r w:rsidRPr="00BC31E0">
        <w:rPr>
          <w:rFonts w:asciiTheme="majorEastAsia" w:eastAsiaTheme="majorEastAsia" w:hAnsiTheme="majorEastAsia" w:hint="eastAsia"/>
          <w:b/>
        </w:rPr>
        <w:t>3.1</w:t>
      </w:r>
      <w:r w:rsidRPr="00BC31E0">
        <w:rPr>
          <w:rFonts w:asciiTheme="minorHAnsi" w:eastAsiaTheme="minorEastAsia" w:hAnsiTheme="minorHAnsi" w:hint="eastAsia"/>
        </w:rPr>
        <w:t>による。</w:t>
      </w:r>
    </w:p>
    <w:p w14:paraId="61C9460B" w14:textId="77777777" w:rsidR="002D033B" w:rsidRPr="00BC31E0" w:rsidRDefault="002D033B" w:rsidP="00736130">
      <w:pPr>
        <w:pStyle w:val="a4"/>
        <w:numPr>
          <w:ilvl w:val="0"/>
          <w:numId w:val="422"/>
        </w:numPr>
        <w:ind w:leftChars="0" w:left="454" w:hanging="454"/>
      </w:pPr>
      <w:r w:rsidRPr="00BC31E0">
        <w:rPr>
          <w:rFonts w:hint="eastAsia"/>
        </w:rPr>
        <w:t>二次元又は三次元連続</w:t>
      </w:r>
      <w:r w:rsidR="00A01664" w:rsidRPr="00BC31E0">
        <w:rPr>
          <w:rFonts w:hint="eastAsia"/>
        </w:rPr>
        <w:t>体要素を用いた有限要素法解析の結果は，節点力に基づく構造応力法を用いて</w:t>
      </w:r>
      <w:r w:rsidRPr="00BC31E0">
        <w:rPr>
          <w:rFonts w:hint="eastAsia"/>
        </w:rPr>
        <w:t>処理する。</w:t>
      </w:r>
      <w:r w:rsidRPr="00BC31E0">
        <w:rPr>
          <w:rFonts w:asciiTheme="majorEastAsia" w:eastAsiaTheme="majorEastAsia" w:hAnsiTheme="majorEastAsia" w:hint="eastAsia"/>
          <w:b/>
          <w:bCs/>
        </w:rPr>
        <w:t>表L.1</w:t>
      </w:r>
      <w:r w:rsidRPr="00BC31E0">
        <w:rPr>
          <w:rFonts w:hint="eastAsia"/>
        </w:rPr>
        <w:t>に示す式を用いて，節点力から膜応力と曲げ応力を計算する。この手順を</w:t>
      </w:r>
      <w:r w:rsidRPr="00BC31E0">
        <w:rPr>
          <w:rFonts w:asciiTheme="majorEastAsia" w:eastAsiaTheme="majorEastAsia" w:hAnsiTheme="majorEastAsia" w:hint="eastAsia"/>
          <w:b/>
          <w:bCs/>
        </w:rPr>
        <w:t>図L.6</w:t>
      </w:r>
      <w:r w:rsidRPr="00BC31E0">
        <w:rPr>
          <w:rFonts w:hint="eastAsia"/>
        </w:rPr>
        <w:t>に示す。この方法は要素分割の依存性が小さいため，有限要素法解析で節点力が出力として得られる場合に推奨される。</w:t>
      </w:r>
    </w:p>
    <w:p w14:paraId="0190F6FB" w14:textId="77777777" w:rsidR="002D033B" w:rsidRPr="00BC31E0" w:rsidRDefault="002D033B" w:rsidP="00736130">
      <w:pPr>
        <w:pStyle w:val="a4"/>
        <w:numPr>
          <w:ilvl w:val="0"/>
          <w:numId w:val="422"/>
        </w:numPr>
        <w:ind w:leftChars="0" w:left="454" w:hanging="454"/>
      </w:pPr>
      <w:r w:rsidRPr="00BC31E0">
        <w:rPr>
          <w:rFonts w:hint="eastAsia"/>
        </w:rPr>
        <w:t>三次元連続体要素の場合には，力は厚さ方向断面における各節点力</w:t>
      </w:r>
      <w:r w:rsidRPr="00BC31E0">
        <w:rPr>
          <w:rFonts w:hint="eastAsia"/>
        </w:rPr>
        <w:t>(</w:t>
      </w:r>
      <m:oMath>
        <m:sSub>
          <m:sSubPr>
            <m:ctrlPr>
              <w:rPr>
                <w:rFonts w:ascii="Cambria Math" w:hAnsi="Cambria Math"/>
                <w:i/>
              </w:rPr>
            </m:ctrlPr>
          </m:sSubPr>
          <m:e>
            <m:r>
              <w:rPr>
                <w:rFonts w:ascii="Cambria Math" w:hAnsi="Cambria Math"/>
              </w:rPr>
              <m:t>NF</m:t>
            </m:r>
          </m:e>
          <m:sub>
            <m:r>
              <w:rPr>
                <w:rFonts w:ascii="Cambria Math" w:hAnsi="Cambria Math"/>
              </w:rPr>
              <m:t>j</m:t>
            </m:r>
          </m:sub>
        </m:sSub>
      </m:oMath>
      <w:r w:rsidRPr="00BC31E0">
        <w:rPr>
          <w:rFonts w:hint="eastAsia"/>
        </w:rPr>
        <w:t>)</w:t>
      </w:r>
      <w:r w:rsidRPr="00BC31E0">
        <w:rPr>
          <w:rFonts w:hint="eastAsia"/>
        </w:rPr>
        <w:t>を合計し，モーメントは各節点力</w:t>
      </w:r>
      <w:r w:rsidRPr="00BC31E0">
        <w:rPr>
          <w:rFonts w:hint="eastAsia"/>
        </w:rPr>
        <w:t>(</w:t>
      </w:r>
      <m:oMath>
        <m:sSub>
          <m:sSubPr>
            <m:ctrlPr>
              <w:rPr>
                <w:rFonts w:ascii="Cambria Math" w:hAnsi="Cambria Math"/>
                <w:i/>
              </w:rPr>
            </m:ctrlPr>
          </m:sSubPr>
          <m:e>
            <m:r>
              <w:rPr>
                <w:rFonts w:ascii="Cambria Math" w:hAnsi="Cambria Math"/>
              </w:rPr>
              <m:t>NF</m:t>
            </m:r>
          </m:e>
          <m:sub>
            <m:r>
              <w:rPr>
                <w:rFonts w:ascii="Cambria Math" w:hAnsi="Cambria Math"/>
              </w:rPr>
              <m:t>j</m:t>
            </m:r>
          </m:sub>
        </m:sSub>
      </m:oMath>
      <w:r w:rsidRPr="00BC31E0">
        <w:rPr>
          <w:rFonts w:hint="eastAsia"/>
        </w:rPr>
        <w:t>)</w:t>
      </w:r>
      <w:r w:rsidRPr="00BC31E0">
        <w:rPr>
          <w:rFonts w:hint="eastAsia"/>
        </w:rPr>
        <w:t>に厚さ中央面からの距離</w:t>
      </w:r>
      <w:r w:rsidRPr="00BC31E0">
        <w:rPr>
          <w:rFonts w:hint="eastAsia"/>
        </w:rPr>
        <w:t>(</w:t>
      </w:r>
      <m:oMath>
        <m:sSub>
          <m:sSubPr>
            <m:ctrlPr>
              <w:rPr>
                <w:rFonts w:ascii="Cambria Math" w:hAnsi="Cambria Math"/>
                <w:i/>
              </w:rPr>
            </m:ctrlPr>
          </m:sSubPr>
          <m:e>
            <m:r>
              <w:rPr>
                <w:rFonts w:ascii="Cambria Math" w:hAnsi="Cambria Math"/>
              </w:rPr>
              <m:t>s</m:t>
            </m:r>
          </m:e>
          <m:sub>
            <m:r>
              <w:rPr>
                <w:rFonts w:ascii="Cambria Math" w:hAnsi="Cambria Math"/>
              </w:rPr>
              <m:t>j</m:t>
            </m:r>
          </m:sub>
        </m:sSub>
      </m:oMath>
      <w:r w:rsidRPr="00BC31E0">
        <w:rPr>
          <w:rFonts w:hint="eastAsia"/>
        </w:rPr>
        <w:t>)</w:t>
      </w:r>
      <w:r w:rsidRPr="00BC31E0">
        <w:rPr>
          <w:rFonts w:hint="eastAsia"/>
        </w:rPr>
        <w:t>を掛けて合計する</w:t>
      </w:r>
      <w:r w:rsidRPr="00BC31E0">
        <w:rPr>
          <w:rFonts w:asciiTheme="majorEastAsia" w:eastAsiaTheme="majorEastAsia" w:hAnsiTheme="majorEastAsia" w:hint="eastAsia"/>
          <w:b/>
        </w:rPr>
        <w:t>(</w:t>
      </w:r>
      <w:r w:rsidRPr="00BC31E0">
        <w:rPr>
          <w:rFonts w:asciiTheme="majorEastAsia" w:eastAsiaTheme="majorEastAsia" w:hAnsiTheme="majorEastAsia" w:hint="eastAsia"/>
          <w:b/>
          <w:bCs/>
        </w:rPr>
        <w:t>図L.6</w:t>
      </w:r>
      <w:r w:rsidRPr="00BC31E0">
        <w:rPr>
          <w:rFonts w:hint="eastAsia"/>
        </w:rPr>
        <w:t>を参照</w:t>
      </w:r>
      <w:r w:rsidRPr="00BC31E0">
        <w:rPr>
          <w:rFonts w:hint="eastAsia"/>
        </w:rPr>
        <w:t>)</w:t>
      </w:r>
      <w:r w:rsidRPr="00BC31E0">
        <w:rPr>
          <w:rFonts w:hint="eastAsia"/>
        </w:rPr>
        <w:t>。二次要素の場合には，</w:t>
      </w:r>
      <w:r w:rsidRPr="00BC31E0">
        <w:rPr>
          <w:rFonts w:asciiTheme="majorEastAsia" w:eastAsiaTheme="majorEastAsia" w:hAnsiTheme="majorEastAsia" w:hint="eastAsia"/>
          <w:b/>
          <w:bCs/>
        </w:rPr>
        <w:t>図L.7</w:t>
      </w:r>
      <w:r w:rsidRPr="00BC31E0">
        <w:rPr>
          <w:rFonts w:hint="eastAsia"/>
        </w:rPr>
        <w:t>に示す厚さ方向断面の要素面に沿った</w:t>
      </w:r>
      <w:r w:rsidRPr="00BC31E0">
        <w:rPr>
          <w:rFonts w:hint="eastAsia"/>
        </w:rPr>
        <w:t>3</w:t>
      </w:r>
      <w:r w:rsidRPr="00BC31E0">
        <w:rPr>
          <w:rFonts w:hint="eastAsia"/>
        </w:rPr>
        <w:t>列の節点列</w:t>
      </w:r>
      <w:r w:rsidRPr="00BC31E0">
        <w:rPr>
          <w:rFonts w:hint="eastAsia"/>
        </w:rPr>
        <w:t>(</w:t>
      </w:r>
      <m:oMath>
        <m:r>
          <w:rPr>
            <w:rFonts w:ascii="Cambria Math" w:hAnsi="Cambria Math"/>
          </w:rPr>
          <m:t>i=1, 2, 3</m:t>
        </m:r>
      </m:oMath>
      <w:r w:rsidRPr="00BC31E0">
        <w:rPr>
          <w:rFonts w:hint="eastAsia"/>
        </w:rPr>
        <w:t>)</w:t>
      </w:r>
      <w:r w:rsidRPr="00BC31E0">
        <w:rPr>
          <w:rFonts w:hint="eastAsia"/>
        </w:rPr>
        <w:t>に対してこ</w:t>
      </w:r>
      <w:r w:rsidRPr="00BC31E0">
        <w:rPr>
          <w:rFonts w:hint="eastAsia"/>
        </w:rPr>
        <w:lastRenderedPageBreak/>
        <w:t>の処理を行う。</w:t>
      </w:r>
    </w:p>
    <w:p w14:paraId="315FACA3" w14:textId="77777777" w:rsidR="002D033B" w:rsidRPr="00BC31E0" w:rsidRDefault="002D033B" w:rsidP="00736130">
      <w:pPr>
        <w:pStyle w:val="a4"/>
        <w:numPr>
          <w:ilvl w:val="0"/>
          <w:numId w:val="422"/>
        </w:numPr>
        <w:ind w:leftChars="0" w:left="454" w:hanging="454"/>
      </w:pPr>
      <w:r w:rsidRPr="00BC31E0">
        <w:rPr>
          <w:rFonts w:hint="eastAsia"/>
        </w:rPr>
        <w:t>構造応力の変動範囲が対称な場合には，二つの溶接止端部から疲労亀裂が進展する可能性がある。そのため，構造応力の計算には，断面厚さの</w:t>
      </w:r>
      <m:oMath>
        <m:f>
          <m:fPr>
            <m:type m:val="lin"/>
            <m:ctrlPr>
              <w:rPr>
                <w:rFonts w:ascii="Cambria Math" w:hAnsi="Cambria Math"/>
                <w:sz w:val="22"/>
                <w:szCs w:val="22"/>
              </w:rPr>
            </m:ctrlPr>
          </m:fPr>
          <m:num>
            <m:r>
              <m:rPr>
                <m:sty m:val="p"/>
              </m:rPr>
              <w:rPr>
                <w:rFonts w:ascii="Cambria Math" w:hAnsi="Cambria Math"/>
                <w:sz w:val="22"/>
                <w:szCs w:val="22"/>
              </w:rPr>
              <m:t xml:space="preserve"> </m:t>
            </m:r>
            <m:r>
              <m:rPr>
                <m:sty m:val="p"/>
              </m:rPr>
              <w:rPr>
                <w:rFonts w:ascii="Cambria Math" w:hAnsi="Cambria Math" w:hint="eastAsia"/>
                <w:sz w:val="22"/>
                <w:szCs w:val="22"/>
              </w:rPr>
              <m:t>1</m:t>
            </m:r>
          </m:num>
          <m:den>
            <m:r>
              <m:rPr>
                <m:sty m:val="p"/>
              </m:rPr>
              <w:rPr>
                <w:rFonts w:ascii="Cambria Math" w:hAnsi="Cambria Math"/>
                <w:sz w:val="22"/>
                <w:szCs w:val="22"/>
              </w:rPr>
              <m:t xml:space="preserve">2 </m:t>
            </m:r>
          </m:den>
        </m:f>
      </m:oMath>
      <w:r w:rsidRPr="00BC31E0">
        <w:rPr>
          <w:rFonts w:hint="eastAsia"/>
        </w:rPr>
        <w:t>に関して釣り合うような等価な膜応力及び曲げ応力成分を求めなければならない。対称な応力状態に対する等価な構造応力の計算手順を</w:t>
      </w:r>
      <w:r w:rsidRPr="00BC31E0">
        <w:rPr>
          <w:rFonts w:asciiTheme="majorEastAsia" w:eastAsiaTheme="majorEastAsia" w:hAnsiTheme="majorEastAsia" w:hint="eastAsia"/>
          <w:b/>
          <w:bCs/>
        </w:rPr>
        <w:t>図L.8</w:t>
      </w:r>
      <w:r w:rsidRPr="00BC31E0">
        <w:rPr>
          <w:rFonts w:hint="eastAsia"/>
        </w:rPr>
        <w:t>に示す。</w:t>
      </w:r>
    </w:p>
    <w:p w14:paraId="3E6EBE8F" w14:textId="77777777" w:rsidR="002D033B" w:rsidRPr="00BC31E0" w:rsidRDefault="002D033B" w:rsidP="00203A92">
      <w:pPr>
        <w:pStyle w:val="15"/>
        <w:ind w:firstLine="210"/>
      </w:pPr>
    </w:p>
    <w:p w14:paraId="39915505" w14:textId="77777777" w:rsidR="002D033B" w:rsidRPr="00BC31E0" w:rsidRDefault="00A51873" w:rsidP="00203A92">
      <w:pPr>
        <w:pStyle w:val="15"/>
        <w:ind w:firstLine="210"/>
        <w:jc w:val="center"/>
        <w:rPr>
          <w:rFonts w:asciiTheme="minorEastAsia" w:eastAsiaTheme="minorEastAsia" w:hAnsiTheme="minorEastAsia"/>
        </w:rPr>
      </w:pPr>
      <w:r>
        <w:rPr>
          <w:rFonts w:asciiTheme="minorEastAsia" w:eastAsiaTheme="minorEastAsia" w:hAnsiTheme="minorEastAsia"/>
          <w:noProof/>
        </w:rPr>
      </w:r>
      <w:r>
        <w:rPr>
          <w:rFonts w:asciiTheme="minorEastAsia" w:eastAsiaTheme="minorEastAsia" w:hAnsiTheme="minorEastAsia"/>
          <w:noProof/>
        </w:rPr>
        <w:pict w14:anchorId="62A95DEF">
          <v:group id="グループ化 12769" o:spid="_x0000_s3200" style="width:476.55pt;height:516.5pt;mso-position-horizontal-relative:char;mso-position-vertical-relative:line" coordorigin="1418,2448" coordsize="9531,10330">
            <v:shape id="Picture 580" o:spid="_x0000_s3201" type="#_x0000_t75" style="position:absolute;left:1816;top:2503;width:9055;height:102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">
              <v:imagedata r:id="rId184" o:title=""/>
            </v:shape>
            <v:shape id="Text Box 581" o:spid="_x0000_s3202" type="#_x0000_t202" style="position:absolute;left:2045;top:3029;width:835;height:38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" stroked="f">
              <v:textbox style="mso-fit-shape-to-text:t" inset="5.85pt,.7pt,5.85pt,.7pt">
                <w:txbxContent>
                  <w:p w14:paraId="37521500" w14:textId="77777777" w:rsidR="003B0864" w:rsidRPr="00A37FD8" w:rsidRDefault="003B0864" w:rsidP="002D033B">
                    <w:pPr>
                      <w:rPr>
                        <w:rFonts w:ascii="ＭＳ ゴシック" w:eastAsia="ＭＳ ゴシック" w:hAnsi="ＭＳ ゴシック"/>
                        <w:sz w:val="20"/>
                      </w:rPr>
                    </w:pPr>
                    <w:r w:rsidRPr="00A37FD8">
                      <w:rPr>
                        <w:rFonts w:ascii="ＭＳ ゴシック" w:eastAsia="ＭＳ ゴシック" w:hAnsi="ＭＳ ゴシック" w:hint="eastAsia"/>
                        <w:sz w:val="20"/>
                      </w:rPr>
                      <w:t>ノズル</w:t>
                    </w:r>
                  </w:p>
                </w:txbxContent>
              </v:textbox>
            </v:shape>
            <v:shape id="Text Box 582" o:spid="_x0000_s3203" type="#_x0000_t202" style="position:absolute;left:1418;top:3984;width:835;height:38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" stroked="f">
              <v:textbox style="mso-fit-shape-to-text:t" inset="5.85pt,.7pt,5.85pt,.7pt">
                <w:txbxContent>
                  <w:p w14:paraId="08DC547B" w14:textId="77777777" w:rsidR="003B0864" w:rsidRPr="005E4321" w:rsidRDefault="003B0864" w:rsidP="002D033B">
                    <w:pPr>
                      <w:rPr>
                        <w:rFonts w:ascii="ＭＳ ゴシック" w:eastAsia="ＭＳ ゴシック" w:hAnsi="ＭＳ ゴシック"/>
                        <w:sz w:val="20"/>
                      </w:rPr>
                    </w:pPr>
                    <w:r>
                      <w:rPr>
                        <w:rFonts w:ascii="ＭＳ ゴシック" w:eastAsia="ＭＳ ゴシック" w:hAnsi="ＭＳ ゴシック" w:hint="eastAsia"/>
                        <w:sz w:val="20"/>
                      </w:rPr>
                      <w:t>ヘッド</w:t>
                    </w:r>
                  </w:p>
                </w:txbxContent>
              </v:textbox>
            </v:shape>
            <v:shape id="Text Box 583" o:spid="_x0000_s3204" type="#_x0000_t202" style="position:absolute;left:5543;top:4595;width:835;height:54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" stroked="f">
              <v:textbox style="mso-fit-shape-to-text:t" inset="5.85pt,.7pt,5.85pt,.7pt">
                <w:txbxContent>
                  <w:p w14:paraId="6258C312" w14:textId="77777777" w:rsidR="003B0864" w:rsidRDefault="003B0864" w:rsidP="002D033B">
                    <w:pPr>
                      <w:snapToGrid w:val="0"/>
                      <w:rPr>
                        <w:rFonts w:ascii="ＭＳ ゴシック" w:eastAsia="ＭＳ ゴシック" w:hAnsi="ＭＳ ゴシック"/>
                        <w:sz w:val="20"/>
                      </w:rPr>
                    </w:pPr>
                    <w:r>
                      <w:rPr>
                        <w:rFonts w:ascii="ＭＳ ゴシック" w:eastAsia="ＭＳ ゴシック" w:hAnsi="ＭＳ ゴシック" w:hint="eastAsia"/>
                        <w:sz w:val="20"/>
                      </w:rPr>
                      <w:t>突合せ</w:t>
                    </w:r>
                  </w:p>
                  <w:p w14:paraId="024069C0" w14:textId="77777777" w:rsidR="003B0864" w:rsidRPr="005E4321" w:rsidRDefault="003B0864" w:rsidP="002D033B">
                    <w:pPr>
                      <w:snapToGrid w:val="0"/>
                      <w:rPr>
                        <w:rFonts w:ascii="ＭＳ ゴシック" w:eastAsia="ＭＳ ゴシック" w:hAnsi="ＭＳ ゴシック"/>
                        <w:sz w:val="20"/>
                      </w:rPr>
                    </w:pPr>
                    <w:r>
                      <w:rPr>
                        <w:rFonts w:ascii="ＭＳ ゴシック" w:eastAsia="ＭＳ ゴシック" w:hAnsi="ＭＳ ゴシック" w:hint="eastAsia"/>
                        <w:sz w:val="20"/>
                      </w:rPr>
                      <w:t>溶接</w:t>
                    </w:r>
                  </w:p>
                </w:txbxContent>
              </v:textbox>
            </v:shape>
            <v:shape id="Text Box 584" o:spid="_x0000_s3205" type="#_x0000_t202" style="position:absolute;left:4798;top:3118;width:2092;height:5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" stroked="f">
              <v:textbox style="mso-fit-shape-to-text:t" inset="5.85pt,.7pt,5.85pt,.7pt">
                <w:txbxContent>
                  <w:p w14:paraId="4B8159BE" w14:textId="77777777" w:rsidR="003B0864" w:rsidRDefault="003B0864" w:rsidP="002D033B">
                    <w:pPr>
                      <w:snapToGrid w:val="0"/>
                      <w:rPr>
                        <w:rFonts w:ascii="ＭＳ ゴシック" w:eastAsia="ＭＳ ゴシック" w:hAnsi="ＭＳ ゴシック"/>
                        <w:sz w:val="20"/>
                      </w:rPr>
                    </w:pPr>
                    <w:r>
                      <w:rPr>
                        <w:rFonts w:ascii="ＭＳ ゴシック" w:eastAsia="ＭＳ ゴシック" w:hAnsi="ＭＳ ゴシック" w:hint="eastAsia"/>
                        <w:sz w:val="20"/>
                      </w:rPr>
                      <w:t>コーナー部の</w:t>
                    </w:r>
                  </w:p>
                  <w:p w14:paraId="3C5CACCF" w14:textId="77777777" w:rsidR="003B0864" w:rsidRPr="00107365" w:rsidRDefault="003B0864" w:rsidP="002D033B">
                    <w:pPr>
                      <w:snapToGrid w:val="0"/>
                      <w:rPr>
                        <w:rFonts w:ascii="ＭＳ ゴシック" w:eastAsia="ＭＳ ゴシック" w:hAnsi="ＭＳ ゴシック"/>
                        <w:sz w:val="20"/>
                      </w:rPr>
                    </w:pPr>
                    <w:r>
                      <w:rPr>
                        <w:rFonts w:ascii="ＭＳ ゴシック" w:eastAsia="ＭＳ ゴシック" w:hAnsi="ＭＳ ゴシック" w:hint="eastAsia"/>
                        <w:sz w:val="20"/>
                      </w:rPr>
                      <w:t>隅肉溶接</w:t>
                    </w:r>
                  </w:p>
                </w:txbxContent>
              </v:textbox>
            </v:shape>
            <v:shape id="Text Box 585" o:spid="_x0000_s3206" type="#_x0000_t202" style="position:absolute;left:9235;top:3337;width:1714;height:7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" stroked="f">
              <v:textbox inset="5.85pt,.7pt,5.85pt,.7pt">
                <w:txbxContent>
                  <w:p w14:paraId="1F8CCF2E" w14:textId="77777777" w:rsidR="003B0864" w:rsidRDefault="003B0864" w:rsidP="002D033B">
                    <w:pPr>
                      <w:snapToGrid w:val="0"/>
                      <w:rPr>
                        <w:rFonts w:ascii="ＭＳ ゴシック" w:eastAsia="ＭＳ ゴシック" w:hAnsi="ＭＳ ゴシック"/>
                        <w:sz w:val="20"/>
                      </w:rPr>
                    </w:pPr>
                    <w:r>
                      <w:rPr>
                        <w:rFonts w:ascii="ＭＳ ゴシック" w:eastAsia="ＭＳ ゴシック" w:hAnsi="ＭＳ ゴシック" w:hint="eastAsia"/>
                        <w:sz w:val="20"/>
                      </w:rPr>
                      <w:t>要素は溶接部に</w:t>
                    </w:r>
                  </w:p>
                  <w:p w14:paraId="77F4D84C" w14:textId="77777777" w:rsidR="003B0864" w:rsidRPr="00107365" w:rsidRDefault="003B0864" w:rsidP="002D033B">
                    <w:pPr>
                      <w:snapToGrid w:val="0"/>
                      <w:rPr>
                        <w:rFonts w:ascii="ＭＳ ゴシック" w:eastAsia="ＭＳ ゴシック" w:hAnsi="ＭＳ ゴシック"/>
                        <w:sz w:val="20"/>
                      </w:rPr>
                    </w:pPr>
                    <w:r>
                      <w:rPr>
                        <w:rFonts w:ascii="ＭＳ ゴシック" w:eastAsia="ＭＳ ゴシック" w:hAnsi="ＭＳ ゴシック" w:hint="eastAsia"/>
                        <w:sz w:val="20"/>
                      </w:rPr>
                      <w:t>直交させる</w:t>
                    </w:r>
                  </w:p>
                </w:txbxContent>
              </v:textbox>
            </v:shape>
            <v:shape id="Text Box 586" o:spid="_x0000_s3207" type="#_x0000_t202" style="position:absolute;left:2556;top:6603;width:2382;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" stroked="f">
              <v:textbox style="mso-fit-shape-to-text:t" inset="5.85pt,.7pt,5.85pt,.7pt">
                <w:txbxContent>
                  <w:p w14:paraId="29FCE881" w14:textId="77777777" w:rsidR="003B0864" w:rsidRPr="00A37FD8" w:rsidRDefault="003B0864" w:rsidP="002D033B">
                    <w:pPr>
                      <w:ind w:firstLineChars="200" w:firstLine="420"/>
                    </w:pPr>
                    <w:r w:rsidRPr="00A37FD8">
                      <w:t xml:space="preserve">(a) </w:t>
                    </w:r>
                    <w:r w:rsidRPr="00A37FD8">
                      <w:rPr>
                        <w:rFonts w:hAnsi="ＭＳ 明朝"/>
                      </w:rPr>
                      <w:t>部材形状</w:t>
                    </w:r>
                  </w:p>
                </w:txbxContent>
              </v:textbox>
            </v:shape>
            <v:shape id="Text Box 587" o:spid="_x0000_s3208" type="#_x0000_t202" style="position:absolute;left:6984;top:6615;width:2382;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" stroked="f">
              <v:textbox style="mso-fit-shape-to-text:t" inset="5.85pt,.7pt,5.85pt,.7pt">
                <w:txbxContent>
                  <w:p w14:paraId="0128245B" w14:textId="77777777" w:rsidR="003B0864" w:rsidRPr="00107365" w:rsidRDefault="003B0864" w:rsidP="002D033B">
                    <w:pPr>
                      <w:ind w:firstLineChars="200" w:firstLine="420"/>
                    </w:pPr>
                    <w:r>
                      <w:t>(</w:t>
                    </w:r>
                    <w:r>
                      <w:rPr>
                        <w:rFonts w:hint="eastAsia"/>
                      </w:rPr>
                      <w:t>b</w:t>
                    </w:r>
                    <w:r w:rsidRPr="00107365">
                      <w:t xml:space="preserve">) </w:t>
                    </w:r>
                    <w:r>
                      <w:rPr>
                        <w:rFonts w:hint="eastAsia"/>
                      </w:rPr>
                      <w:t>要素分割</w:t>
                    </w:r>
                  </w:p>
                </w:txbxContent>
              </v:textbox>
            </v:shape>
            <v:shape id="Text Box 588" o:spid="_x0000_s3209" type="#_x0000_t202" style="position:absolute;left:5378;top:9647;width:1891;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" stroked="f">
              <v:textbox style="mso-fit-shape-to-text:t" inset="5.85pt,.7pt,5.85pt,.7pt">
                <w:txbxContent>
                  <w:p w14:paraId="41921255" w14:textId="77777777" w:rsidR="003B0864" w:rsidRPr="004A3EB2" w:rsidRDefault="003B0864" w:rsidP="002D033B">
                    <w:pPr>
                      <w:rPr>
                        <w:rFonts w:asciiTheme="minorHAnsi" w:eastAsia="ＭＳ ゴシック" w:hAnsiTheme="minorHAnsi"/>
                        <w:sz w:val="20"/>
                      </w:rPr>
                    </w:pPr>
                    <w:r w:rsidRPr="004A3EB2">
                      <w:rPr>
                        <w:rFonts w:asciiTheme="minorHAnsi" w:eastAsia="ＭＳ ゴシック" w:hAnsiTheme="minorHAnsi"/>
                        <w:sz w:val="20"/>
                      </w:rPr>
                      <w:t>SCL</w:t>
                    </w:r>
                  </w:p>
                </w:txbxContent>
              </v:textbox>
            </v:shape>
            <v:shape id="Text Box 589" o:spid="_x0000_s3210" type="#_x0000_t202" style="position:absolute;left:6854;top:10043;width:1235;height:38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" stroked="f">
              <v:textbox style="mso-fit-shape-to-text:t" inset="5.85pt,.7pt,5.85pt,.7pt">
                <w:txbxContent>
                  <w:p w14:paraId="02727058" w14:textId="77777777" w:rsidR="003B0864" w:rsidRPr="00107365" w:rsidRDefault="003B0864" w:rsidP="002D033B">
                    <w:pPr>
                      <w:rPr>
                        <w:rFonts w:ascii="ＭＳ ゴシック" w:eastAsia="ＭＳ ゴシック" w:hAnsi="ＭＳ ゴシック"/>
                        <w:sz w:val="20"/>
                      </w:rPr>
                    </w:pPr>
                    <w:r>
                      <w:rPr>
                        <w:rFonts w:ascii="ＭＳ ゴシック" w:eastAsia="ＭＳ ゴシック" w:hAnsi="ＭＳ ゴシック" w:hint="eastAsia"/>
                        <w:sz w:val="20"/>
                      </w:rPr>
                      <w:t>溶接止端部</w:t>
                    </w:r>
                  </w:p>
                </w:txbxContent>
              </v:textbox>
            </v:shape>
            <v:shape id="Text Box 590" o:spid="_x0000_s3211" type="#_x0000_t202" style="position:absolute;left:4798;top:12390;width:3593;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" stroked="f">
              <v:textbox style="mso-fit-shape-to-text:t" inset="5.85pt,.7pt,5.85pt,.7pt">
                <w:txbxContent>
                  <w:p w14:paraId="45147ED4" w14:textId="77777777" w:rsidR="003B0864" w:rsidRPr="00107365" w:rsidRDefault="003B0864" w:rsidP="002D033B">
                    <w:r>
                      <w:t>(</w:t>
                    </w:r>
                    <w:r>
                      <w:rPr>
                        <w:rFonts w:hint="eastAsia"/>
                      </w:rPr>
                      <w:t>c</w:t>
                    </w:r>
                    <w:r w:rsidRPr="00107365">
                      <w:t xml:space="preserve">) </w:t>
                    </w:r>
                    <w:r>
                      <w:rPr>
                        <w:rFonts w:hint="eastAsia"/>
                      </w:rPr>
                      <w:t>SCL(</w:t>
                    </w:r>
                    <w:r>
                      <w:rPr>
                        <w:rFonts w:hint="eastAsia"/>
                      </w:rPr>
                      <w:t>断面</w:t>
                    </w:r>
                    <w:r>
                      <w:rPr>
                        <w:rFonts w:hint="eastAsia"/>
                      </w:rPr>
                      <w:t>A-A)</w:t>
                    </w:r>
                  </w:p>
                </w:txbxContent>
              </v:textbox>
            </v:shape>
            <v:shape id="Text Box 591" o:spid="_x0000_s3212" type="#_x0000_t202" style="position:absolute;left:3566;top:2448;width:445;height:3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" stroked="f">
              <v:textbox style="mso-fit-shape-to-text:t" inset="5.85pt,.7pt,5.85pt,.7pt">
                <w:txbxContent>
                  <w:p w14:paraId="79757CEB" w14:textId="77777777" w:rsidR="003B0864" w:rsidRPr="00D774B3" w:rsidRDefault="003B0864" w:rsidP="002D033B">
                    <w:pPr>
                      <w:jc w:val="center"/>
                      <w:rPr>
                        <w:rFonts w:ascii="ＭＳ ゴシック" w:eastAsia="ＭＳ ゴシック" w:hAnsi="ＭＳ ゴシック"/>
                      </w:rPr>
                    </w:pPr>
                    <w:r w:rsidRPr="00D774B3">
                      <w:rPr>
                        <w:rFonts w:ascii="ＭＳ ゴシック" w:eastAsia="ＭＳ ゴシック" w:hAnsi="ＭＳ ゴシック" w:hint="eastAsia"/>
                      </w:rPr>
                      <w:t>力</w:t>
                    </w:r>
                  </w:p>
                </w:txbxContent>
              </v:textbox>
            </v:shape>
            <v:shape id="Text Box 592" o:spid="_x0000_s3213" type="#_x0000_t202" style="position:absolute;left:4205;top:2680;width:1299;height:46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" stroked="f">
              <v:textbox inset="5.85pt,.7pt,5.85pt,.7pt">
                <w:txbxContent>
                  <w:p w14:paraId="3FF78308" w14:textId="77777777" w:rsidR="003B0864" w:rsidRPr="00864B5C" w:rsidRDefault="003B0864" w:rsidP="002D033B">
                    <w:pPr>
                      <w:rPr>
                        <w:rFonts w:ascii="ＭＳ ゴシック" w:eastAsia="ＭＳ ゴシック" w:hAnsi="ＭＳ ゴシック"/>
                      </w:rPr>
                    </w:pPr>
                    <w:r w:rsidRPr="00864B5C">
                      <w:rPr>
                        <w:rFonts w:ascii="ＭＳ ゴシック" w:eastAsia="ＭＳ ゴシック" w:hAnsi="ＭＳ ゴシック" w:hint="eastAsia"/>
                      </w:rPr>
                      <w:t>モーメント</w:t>
                    </w:r>
                  </w:p>
                </w:txbxContent>
              </v:textbox>
            </v:shape>
            <w10:anchorlock/>
          </v:group>
        </w:pict>
      </w:r>
    </w:p>
    <w:p w14:paraId="1777738A" w14:textId="77777777" w:rsidR="002D033B" w:rsidRPr="00BC31E0" w:rsidRDefault="002D033B" w:rsidP="00A75C2E">
      <w:pPr>
        <w:pStyle w:val="af4"/>
      </w:pPr>
      <w:r w:rsidRPr="00BC31E0">
        <w:rPr>
          <w:rFonts w:hint="eastAsia"/>
        </w:rPr>
        <w:t>図L.5　構造応力法のための連続体要素モデルの応力評価ライン(SCL)</w:t>
      </w:r>
      <w:r w:rsidRPr="00BC31E0">
        <w:rPr>
          <w:rFonts w:hint="eastAsia"/>
          <w:vertAlign w:val="superscript"/>
        </w:rPr>
        <w:t>†</w:t>
      </w:r>
    </w:p>
    <w:p w14:paraId="5C983CFD" w14:textId="77777777" w:rsidR="002D033B" w:rsidRPr="00BC31E0" w:rsidRDefault="002D033B" w:rsidP="00A75C2E">
      <w:pPr>
        <w:pStyle w:val="af4"/>
      </w:pPr>
      <w:r w:rsidRPr="00BC31E0">
        <w:br w:type="page"/>
      </w:r>
      <w:r w:rsidRPr="00BC31E0">
        <w:rPr>
          <w:rFonts w:hint="eastAsia"/>
        </w:rPr>
        <w:lastRenderedPageBreak/>
        <w:t>表L.1　連続体要素に対する構造応力の算出</w:t>
      </w:r>
      <w:r w:rsidRPr="00BC31E0">
        <w:rPr>
          <w:rFonts w:hint="eastAsia"/>
          <w:vertAlign w:val="superscript"/>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685"/>
        <w:gridCol w:w="3686"/>
      </w:tblGrid>
      <w:tr w:rsidR="002D033B" w:rsidRPr="00BC31E0" w14:paraId="7D490E6C" w14:textId="77777777" w:rsidTr="004736F2">
        <w:tc>
          <w:tcPr>
            <w:tcW w:w="1701" w:type="dxa"/>
          </w:tcPr>
          <w:p w14:paraId="5768972A" w14:textId="77777777" w:rsidR="002D033B" w:rsidRPr="00BC31E0" w:rsidRDefault="002D033B" w:rsidP="00203A92">
            <w:pPr>
              <w:pStyle w:val="15"/>
              <w:ind w:firstLine="210"/>
              <w:jc w:val="center"/>
            </w:pPr>
            <w:r w:rsidRPr="00BC31E0">
              <w:rPr>
                <w:rFonts w:hAnsi="ＭＳ 明朝"/>
              </w:rPr>
              <w:t>要素</w:t>
            </w:r>
          </w:p>
        </w:tc>
        <w:tc>
          <w:tcPr>
            <w:tcW w:w="3685" w:type="dxa"/>
            <w:tcBorders>
              <w:bottom w:val="single" w:sz="4" w:space="0" w:color="auto"/>
            </w:tcBorders>
          </w:tcPr>
          <w:p w14:paraId="627C1D9E" w14:textId="77777777" w:rsidR="002D033B" w:rsidRPr="00BC31E0" w:rsidRDefault="002D033B" w:rsidP="00203A92">
            <w:pPr>
              <w:pStyle w:val="15"/>
              <w:ind w:firstLine="210"/>
              <w:jc w:val="center"/>
            </w:pPr>
            <w:r w:rsidRPr="00BC31E0">
              <w:rPr>
                <w:rFonts w:hint="eastAsia"/>
              </w:rPr>
              <w:t>膜応力</w:t>
            </w:r>
          </w:p>
        </w:tc>
        <w:tc>
          <w:tcPr>
            <w:tcW w:w="3686" w:type="dxa"/>
            <w:tcBorders>
              <w:bottom w:val="single" w:sz="4" w:space="0" w:color="auto"/>
            </w:tcBorders>
            <w:vAlign w:val="center"/>
          </w:tcPr>
          <w:p w14:paraId="4E891DCD" w14:textId="77777777" w:rsidR="002D033B" w:rsidRPr="00BC31E0" w:rsidRDefault="002D033B" w:rsidP="00203A92">
            <w:pPr>
              <w:pStyle w:val="15"/>
              <w:ind w:firstLine="210"/>
              <w:jc w:val="center"/>
            </w:pPr>
            <w:r w:rsidRPr="00BC31E0">
              <w:rPr>
                <w:rFonts w:hint="eastAsia"/>
              </w:rPr>
              <w:t>曲げ応力</w:t>
            </w:r>
          </w:p>
        </w:tc>
      </w:tr>
      <w:tr w:rsidR="002D033B" w:rsidRPr="00BC31E0" w14:paraId="2DCF1D29" w14:textId="77777777" w:rsidTr="004736F2">
        <w:tc>
          <w:tcPr>
            <w:tcW w:w="1701" w:type="dxa"/>
            <w:vMerge w:val="restart"/>
            <w:vAlign w:val="center"/>
          </w:tcPr>
          <w:p w14:paraId="76BB33FA" w14:textId="77777777" w:rsidR="002D033B" w:rsidRPr="00BC31E0" w:rsidRDefault="002D033B" w:rsidP="0050151D">
            <w:pPr>
              <w:pStyle w:val="15"/>
              <w:ind w:firstLine="210"/>
            </w:pPr>
            <w:r w:rsidRPr="00BC31E0">
              <w:rPr>
                <w:rFonts w:hint="eastAsia"/>
              </w:rPr>
              <w:t>二次元</w:t>
            </w:r>
          </w:p>
          <w:p w14:paraId="06C5E9A5" w14:textId="77777777" w:rsidR="0050151D" w:rsidRPr="00BC31E0" w:rsidRDefault="002D033B" w:rsidP="0050151D">
            <w:pPr>
              <w:pStyle w:val="15"/>
              <w:ind w:firstLine="210"/>
            </w:pPr>
            <w:r w:rsidRPr="00BC31E0">
              <w:rPr>
                <w:rFonts w:hint="eastAsia"/>
              </w:rPr>
              <w:t>軸対称二次</w:t>
            </w:r>
          </w:p>
          <w:p w14:paraId="71A1211A" w14:textId="77777777" w:rsidR="002D033B" w:rsidRPr="00BC31E0" w:rsidRDefault="002D033B" w:rsidP="0050151D">
            <w:pPr>
              <w:pStyle w:val="15"/>
              <w:ind w:firstLine="210"/>
            </w:pPr>
            <w:r w:rsidRPr="00BC31E0">
              <w:rPr>
                <w:rFonts w:hint="eastAsia"/>
              </w:rPr>
              <w:t>要素</w:t>
            </w:r>
          </w:p>
          <w:p w14:paraId="4D7FCB32" w14:textId="77777777" w:rsidR="002D033B" w:rsidRPr="00BC31E0" w:rsidRDefault="002D033B" w:rsidP="0050151D">
            <w:pPr>
              <w:pStyle w:val="15"/>
              <w:ind w:firstLine="210"/>
            </w:pPr>
            <w:r w:rsidRPr="00BC31E0">
              <w:rPr>
                <w:rFonts w:hint="eastAsia"/>
              </w:rPr>
              <w:t>(8</w:t>
            </w:r>
            <w:r w:rsidRPr="00BC31E0">
              <w:rPr>
                <w:rFonts w:hint="eastAsia"/>
              </w:rPr>
              <w:t>節点</w:t>
            </w:r>
            <w:r w:rsidRPr="00BC31E0">
              <w:rPr>
                <w:rFonts w:hint="eastAsia"/>
              </w:rPr>
              <w:t>)</w:t>
            </w:r>
          </w:p>
        </w:tc>
        <w:tc>
          <w:tcPr>
            <w:tcW w:w="3685" w:type="dxa"/>
            <w:tcBorders>
              <w:bottom w:val="nil"/>
            </w:tcBorders>
            <w:vAlign w:val="center"/>
          </w:tcPr>
          <w:p w14:paraId="3AA3149B" w14:textId="77777777" w:rsidR="002D033B" w:rsidRPr="00BC31E0" w:rsidRDefault="00A51873" w:rsidP="00203A92">
            <w:pPr>
              <w:pStyle w:val="15"/>
              <w:ind w:firstLine="210"/>
              <w:jc w:val="center"/>
              <w:rPr>
                <w:i/>
              </w:rPr>
            </w:pPr>
            <m:oMathPara>
              <m:oMath>
                <m:sSub>
                  <m:sSubPr>
                    <m:ctrlPr>
                      <w:rPr>
                        <w:rFonts w:ascii="Cambria Math" w:hAnsi="Cambria Math"/>
                        <w:i/>
                      </w:rPr>
                    </m:ctrlPr>
                  </m:sSubPr>
                  <m:e>
                    <m:r>
                      <w:rPr>
                        <w:rFonts w:ascii="Cambria Math" w:hAnsi="Cambria Math"/>
                      </w:rPr>
                      <m:t>σ</m:t>
                    </m:r>
                  </m:e>
                  <m:sub>
                    <m:r>
                      <w:rPr>
                        <w:rFonts w:ascii="Cambria Math" w:hAnsi="Cambria Math"/>
                      </w:rPr>
                      <m:t>m</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t</m:t>
                    </m:r>
                  </m:den>
                </m:f>
                <m:r>
                  <w:rPr>
                    <w:rFonts w:ascii="Cambria Math" w:hAnsi="Cambria Math"/>
                  </w:rPr>
                  <m:t xml:space="preserve"> </m:t>
                </m:r>
                <m:nary>
                  <m:naryPr>
                    <m:chr m:val="∑"/>
                    <m:limLoc m:val="undOvr"/>
                    <m:subHide m:val="1"/>
                    <m:supHide m:val="1"/>
                    <m:ctrlPr>
                      <w:rPr>
                        <w:rFonts w:ascii="Cambria Math" w:hAnsi="Cambria Math"/>
                        <w:i/>
                      </w:rPr>
                    </m:ctrlPr>
                  </m:naryPr>
                  <m:sub/>
                  <m:sup/>
                  <m:e>
                    <m:f>
                      <m:fPr>
                        <m:ctrlPr>
                          <w:rPr>
                            <w:rFonts w:ascii="Cambria Math" w:hAnsi="Cambria Math"/>
                            <w:i/>
                          </w:rPr>
                        </m:ctrlPr>
                      </m:fPr>
                      <m:num>
                        <m:sSub>
                          <m:sSubPr>
                            <m:ctrlPr>
                              <w:rPr>
                                <w:rFonts w:ascii="Cambria Math" w:hAnsi="Cambria Math"/>
                                <w:i/>
                              </w:rPr>
                            </m:ctrlPr>
                          </m:sSubPr>
                          <m:e>
                            <m:r>
                              <w:rPr>
                                <w:rFonts w:ascii="Cambria Math" w:hAnsi="Cambria Math"/>
                              </w:rPr>
                              <m:t>NF</m:t>
                            </m:r>
                          </m:e>
                          <m:sub>
                            <m:r>
                              <w:rPr>
                                <w:rFonts w:ascii="Cambria Math" w:hAnsi="Cambria Math"/>
                              </w:rPr>
                              <m:t>j</m:t>
                            </m:r>
                          </m:sub>
                        </m:sSub>
                      </m:num>
                      <m:den>
                        <m:r>
                          <w:rPr>
                            <w:rFonts w:ascii="Cambria Math" w:hAnsi="Cambria Math"/>
                          </w:rPr>
                          <m:t>2 π</m:t>
                        </m:r>
                        <m:sSub>
                          <m:sSubPr>
                            <m:ctrlPr>
                              <w:rPr>
                                <w:rFonts w:ascii="Cambria Math" w:hAnsi="Cambria Math"/>
                                <w:i/>
                              </w:rPr>
                            </m:ctrlPr>
                          </m:sSubPr>
                          <m:e>
                            <m:r>
                              <w:rPr>
                                <w:rFonts w:ascii="Cambria Math" w:hAnsi="Cambria Math"/>
                              </w:rPr>
                              <m:t xml:space="preserve"> r</m:t>
                            </m:r>
                          </m:e>
                          <m:sub>
                            <m:r>
                              <w:rPr>
                                <w:rFonts w:ascii="Cambria Math" w:hAnsi="Cambria Math"/>
                              </w:rPr>
                              <m:t>j</m:t>
                            </m:r>
                          </m:sub>
                        </m:sSub>
                      </m:den>
                    </m:f>
                  </m:e>
                </m:nary>
              </m:oMath>
            </m:oMathPara>
          </w:p>
        </w:tc>
        <w:tc>
          <w:tcPr>
            <w:tcW w:w="3686" w:type="dxa"/>
            <w:tcBorders>
              <w:bottom w:val="nil"/>
            </w:tcBorders>
            <w:vAlign w:val="center"/>
          </w:tcPr>
          <w:p w14:paraId="1D5A572D" w14:textId="77777777" w:rsidR="002D033B" w:rsidRPr="00BC31E0" w:rsidRDefault="00A51873" w:rsidP="00203A92">
            <w:pPr>
              <w:pStyle w:val="15"/>
              <w:ind w:firstLine="210"/>
              <w:jc w:val="center"/>
              <w:rPr>
                <w:i/>
              </w:rPr>
            </w:pPr>
            <m:oMathPara>
              <m:oMath>
                <m:sSub>
                  <m:sSubPr>
                    <m:ctrlPr>
                      <w:rPr>
                        <w:rFonts w:ascii="Cambria Math" w:hAnsi="Cambria Math"/>
                        <w:i/>
                      </w:rPr>
                    </m:ctrlPr>
                  </m:sSubPr>
                  <m:e>
                    <m:r>
                      <w:rPr>
                        <w:rFonts w:ascii="Cambria Math" w:hAnsi="Cambria Math"/>
                      </w:rPr>
                      <m:t>σ</m:t>
                    </m:r>
                  </m:e>
                  <m:sub>
                    <m:r>
                      <w:rPr>
                        <w:rFonts w:ascii="Cambria Math" w:hAnsi="Cambria Math"/>
                      </w:rPr>
                      <m:t>b</m:t>
                    </m:r>
                  </m:sub>
                </m:sSub>
                <m:r>
                  <w:rPr>
                    <w:rFonts w:ascii="Cambria Math" w:hAnsi="Cambria Math"/>
                  </w:rPr>
                  <m:t>=</m:t>
                </m:r>
                <m:f>
                  <m:fPr>
                    <m:ctrlPr>
                      <w:rPr>
                        <w:rFonts w:ascii="Cambria Math" w:hAnsi="Cambria Math"/>
                        <w:i/>
                      </w:rPr>
                    </m:ctrlPr>
                  </m:fPr>
                  <m:num>
                    <m:r>
                      <w:rPr>
                        <w:rFonts w:ascii="Cambria Math" w:hAnsi="Cambria Math"/>
                      </w:rPr>
                      <m:t>6</m:t>
                    </m:r>
                  </m:num>
                  <m:den>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 xml:space="preserve"> </m:t>
                </m:r>
                <m:nary>
                  <m:naryPr>
                    <m:chr m:val="∑"/>
                    <m:limLoc m:val="undOvr"/>
                    <m:subHide m:val="1"/>
                    <m:supHide m:val="1"/>
                    <m:ctrlPr>
                      <w:rPr>
                        <w:rFonts w:ascii="Cambria Math" w:hAnsi="Cambria Math"/>
                        <w:i/>
                      </w:rPr>
                    </m:ctrlPr>
                  </m:naryPr>
                  <m:sub/>
                  <m:sup/>
                  <m:e>
                    <m:f>
                      <m:fPr>
                        <m:ctrlPr>
                          <w:rPr>
                            <w:rFonts w:ascii="Cambria Math" w:hAnsi="Cambria Math"/>
                            <w:i/>
                          </w:rPr>
                        </m:ctrlPr>
                      </m:fPr>
                      <m:num>
                        <m:sSub>
                          <m:sSubPr>
                            <m:ctrlPr>
                              <w:rPr>
                                <w:rFonts w:ascii="Cambria Math" w:hAnsi="Cambria Math"/>
                                <w:i/>
                              </w:rPr>
                            </m:ctrlPr>
                          </m:sSubPr>
                          <m:e>
                            <m:r>
                              <w:rPr>
                                <w:rFonts w:ascii="Cambria Math" w:hAnsi="Cambria Math"/>
                              </w:rPr>
                              <m:t>NF</m:t>
                            </m:r>
                          </m:e>
                          <m:sub>
                            <m:r>
                              <w:rPr>
                                <w:rFonts w:ascii="Cambria Math" w:hAnsi="Cambria Math"/>
                              </w:rPr>
                              <m:t>j</m:t>
                            </m:r>
                          </m:sub>
                        </m:sSub>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j</m:t>
                            </m:r>
                          </m:sub>
                        </m:sSub>
                      </m:num>
                      <m:den>
                        <m:r>
                          <w:rPr>
                            <w:rFonts w:ascii="Cambria Math" w:hAnsi="Cambria Math"/>
                          </w:rPr>
                          <m:t>2 π</m:t>
                        </m:r>
                        <m:sSub>
                          <m:sSubPr>
                            <m:ctrlPr>
                              <w:rPr>
                                <w:rFonts w:ascii="Cambria Math" w:hAnsi="Cambria Math"/>
                                <w:i/>
                              </w:rPr>
                            </m:ctrlPr>
                          </m:sSubPr>
                          <m:e>
                            <m:r>
                              <w:rPr>
                                <w:rFonts w:ascii="Cambria Math" w:hAnsi="Cambria Math"/>
                              </w:rPr>
                              <m:t xml:space="preserve"> r</m:t>
                            </m:r>
                          </m:e>
                          <m:sub>
                            <m:r>
                              <w:rPr>
                                <w:rFonts w:ascii="Cambria Math" w:hAnsi="Cambria Math"/>
                              </w:rPr>
                              <m:t>j</m:t>
                            </m:r>
                          </m:sub>
                        </m:sSub>
                      </m:den>
                    </m:f>
                  </m:e>
                </m:nary>
              </m:oMath>
            </m:oMathPara>
          </w:p>
        </w:tc>
      </w:tr>
      <w:tr w:rsidR="002D033B" w:rsidRPr="00BC31E0" w14:paraId="1B60F3C8" w14:textId="77777777" w:rsidTr="004736F2">
        <w:tc>
          <w:tcPr>
            <w:tcW w:w="1701" w:type="dxa"/>
            <w:vMerge/>
            <w:vAlign w:val="center"/>
          </w:tcPr>
          <w:p w14:paraId="7D9E7021" w14:textId="77777777" w:rsidR="002D033B" w:rsidRPr="00BC31E0" w:rsidRDefault="002D033B" w:rsidP="00203A92">
            <w:pPr>
              <w:pStyle w:val="15"/>
              <w:ind w:firstLine="210"/>
            </w:pPr>
          </w:p>
        </w:tc>
        <w:tc>
          <w:tcPr>
            <w:tcW w:w="3685" w:type="dxa"/>
            <w:tcBorders>
              <w:top w:val="nil"/>
              <w:bottom w:val="single" w:sz="4" w:space="0" w:color="auto"/>
            </w:tcBorders>
          </w:tcPr>
          <w:p w14:paraId="424091B5" w14:textId="77777777" w:rsidR="002D033B" w:rsidRPr="00BC31E0" w:rsidRDefault="002D033B" w:rsidP="00203A92">
            <w:pPr>
              <w:pStyle w:val="15"/>
              <w:tabs>
                <w:tab w:val="left" w:pos="157"/>
                <w:tab w:val="left" w:pos="601"/>
              </w:tabs>
              <w:ind w:firstLine="210"/>
            </w:pPr>
            <w:r w:rsidRPr="00BC31E0">
              <w:rPr>
                <w:rFonts w:hint="eastAsia"/>
              </w:rPr>
              <w:t>ここで，</w:t>
            </w:r>
          </w:p>
          <w:p w14:paraId="4222A000" w14:textId="77777777" w:rsidR="002D033B" w:rsidRPr="00BC31E0" w:rsidRDefault="002D033B" w:rsidP="00203A92">
            <w:pPr>
              <w:pStyle w:val="15"/>
              <w:tabs>
                <w:tab w:val="left" w:pos="500"/>
              </w:tabs>
              <w:ind w:leftChars="50" w:left="105" w:firstLine="210"/>
            </w:pPr>
            <m:oMath>
              <m:r>
                <w:rPr>
                  <w:rFonts w:ascii="Cambria Math" w:hAnsi="Cambria Math"/>
                </w:rPr>
                <m:t>j</m:t>
              </m:r>
            </m:oMath>
            <w:r w:rsidRPr="00BC31E0">
              <w:rPr>
                <w:rFonts w:hint="eastAsia"/>
              </w:rPr>
              <w:tab/>
            </w:r>
            <w:r w:rsidRPr="00BC31E0">
              <w:rPr>
                <w:rFonts w:hint="eastAsia"/>
              </w:rPr>
              <w:t>：厚さ方向の節点</w:t>
            </w:r>
            <w:r w:rsidRPr="00BC31E0">
              <w:rPr>
                <w:rFonts w:hint="eastAsia"/>
              </w:rPr>
              <w:t>(</w:t>
            </w:r>
            <m:oMath>
              <m:r>
                <w:rPr>
                  <w:rFonts w:ascii="Cambria Math" w:hAnsi="Cambria Math"/>
                </w:rPr>
                <m:t>j=1</m:t>
              </m:r>
              <m:r>
                <m:rPr>
                  <m:sty m:val="p"/>
                </m:rPr>
                <w:rPr>
                  <w:rFonts w:ascii="Cambria Math" w:hAnsi="Cambria Math" w:hint="eastAsia"/>
                </w:rPr>
                <m:t>～</m:t>
              </m:r>
              <m:r>
                <w:rPr>
                  <w:rFonts w:ascii="Cambria Math" w:hAnsi="Cambria Math"/>
                </w:rPr>
                <m:t>n</m:t>
              </m:r>
            </m:oMath>
            <w:r w:rsidRPr="00BC31E0">
              <w:rPr>
                <w:rFonts w:hint="eastAsia"/>
              </w:rPr>
              <w:t>)</w:t>
            </w:r>
          </w:p>
          <w:p w14:paraId="4560F245" w14:textId="77777777" w:rsidR="002D033B" w:rsidRPr="00BC31E0" w:rsidRDefault="002D033B" w:rsidP="00203A92">
            <w:pPr>
              <w:pStyle w:val="15"/>
              <w:tabs>
                <w:tab w:val="left" w:pos="500"/>
              </w:tabs>
              <w:ind w:leftChars="50" w:left="105" w:firstLine="210"/>
            </w:pPr>
            <m:oMath>
              <m:r>
                <w:rPr>
                  <w:rFonts w:ascii="Cambria Math" w:hAnsi="Cambria Math"/>
                </w:rPr>
                <m:t>n</m:t>
              </m:r>
            </m:oMath>
            <w:r w:rsidRPr="00BC31E0">
              <w:rPr>
                <w:rFonts w:hint="eastAsia"/>
              </w:rPr>
              <w:tab/>
            </w:r>
            <w:r w:rsidRPr="00BC31E0">
              <w:rPr>
                <w:rFonts w:hint="eastAsia"/>
              </w:rPr>
              <w:t>：厚さ方向の節点数</w:t>
            </w:r>
          </w:p>
          <w:p w14:paraId="333B2BD7" w14:textId="77777777" w:rsidR="002D033B" w:rsidRPr="00BC31E0" w:rsidRDefault="00A51873" w:rsidP="00203A92">
            <w:pPr>
              <w:pStyle w:val="15"/>
              <w:tabs>
                <w:tab w:val="left" w:pos="500"/>
              </w:tabs>
              <w:ind w:leftChars="50" w:left="105" w:firstLine="210"/>
            </w:pPr>
            <m:oMath>
              <m:sSub>
                <m:sSubPr>
                  <m:ctrlPr>
                    <w:rPr>
                      <w:rFonts w:ascii="Cambria Math" w:hAnsi="Cambria Math"/>
                      <w:i/>
                    </w:rPr>
                  </m:ctrlPr>
                </m:sSubPr>
                <m:e>
                  <m:r>
                    <w:rPr>
                      <w:rFonts w:ascii="Cambria Math" w:hAnsi="Cambria Math"/>
                    </w:rPr>
                    <m:t>NF</m:t>
                  </m:r>
                </m:e>
                <m:sub>
                  <m:r>
                    <w:rPr>
                      <w:rFonts w:ascii="Cambria Math" w:hAnsi="Cambria Math"/>
                    </w:rPr>
                    <m:t>j</m:t>
                  </m:r>
                </m:sub>
              </m:sSub>
            </m:oMath>
            <w:r w:rsidR="002D033B" w:rsidRPr="00BC31E0">
              <w:rPr>
                <w:rFonts w:hint="eastAsia"/>
              </w:rPr>
              <w:tab/>
            </w:r>
            <w:r w:rsidR="002D033B" w:rsidRPr="00BC31E0">
              <w:rPr>
                <w:rFonts w:hint="eastAsia"/>
              </w:rPr>
              <w:t>：</w:t>
            </w:r>
            <w:r w:rsidR="002D033B" w:rsidRPr="00BC31E0">
              <w:rPr>
                <w:rFonts w:hint="eastAsia"/>
              </w:rPr>
              <w:t>SCL</w:t>
            </w:r>
            <w:r w:rsidR="002D033B" w:rsidRPr="00BC31E0">
              <w:rPr>
                <w:rFonts w:hint="eastAsia"/>
              </w:rPr>
              <w:t>に垂直な節点</w:t>
            </w:r>
            <m:oMath>
              <m:r>
                <m:rPr>
                  <m:sty m:val="p"/>
                </m:rPr>
                <w:rPr>
                  <w:rFonts w:ascii="Cambria Math" w:hAnsi="Cambria Math"/>
                </w:rPr>
                <m:t xml:space="preserve"> </m:t>
              </m:r>
              <m:r>
                <w:rPr>
                  <w:rFonts w:ascii="Cambria Math" w:hAnsi="Cambria Math"/>
                </w:rPr>
                <m:t xml:space="preserve">j </m:t>
              </m:r>
            </m:oMath>
            <w:r w:rsidR="002D033B" w:rsidRPr="00BC31E0">
              <w:rPr>
                <w:rFonts w:hint="eastAsia"/>
              </w:rPr>
              <w:t>の節点力</w:t>
            </w:r>
            <w:r w:rsidR="002D033B" w:rsidRPr="00BC31E0">
              <w:rPr>
                <w:rFonts w:hint="eastAsia"/>
              </w:rPr>
              <w:t>(</w:t>
            </w:r>
            <w:r w:rsidR="002D033B" w:rsidRPr="00BC31E0">
              <w:rPr>
                <w:rFonts w:ascii="Cambria Math" w:hAnsi="Cambria Math"/>
              </w:rPr>
              <w:t>N</w:t>
            </w:r>
            <w:r w:rsidR="002D033B" w:rsidRPr="00BC31E0">
              <w:rPr>
                <w:rFonts w:hint="eastAsia"/>
              </w:rPr>
              <w:t>)  (</w:t>
            </w:r>
            <w:r w:rsidR="002D033B" w:rsidRPr="00BC31E0">
              <w:rPr>
                <w:rFonts w:ascii="ＭＳ ゴシック" w:eastAsia="ＭＳ ゴシック" w:hAnsi="ＭＳ ゴシック" w:hint="eastAsia"/>
                <w:b/>
              </w:rPr>
              <w:t>図L.6</w:t>
            </w:r>
            <w:r w:rsidR="002D033B" w:rsidRPr="00BC31E0">
              <w:rPr>
                <w:rFonts w:asciiTheme="minorEastAsia" w:eastAsiaTheme="minorEastAsia" w:hAnsiTheme="minorEastAsia" w:hint="eastAsia"/>
              </w:rPr>
              <w:t>を</w:t>
            </w:r>
            <w:r w:rsidR="002D033B" w:rsidRPr="00BC31E0">
              <w:rPr>
                <w:rFonts w:hint="eastAsia"/>
              </w:rPr>
              <w:t>参照</w:t>
            </w:r>
            <w:r w:rsidR="002D033B" w:rsidRPr="00BC31E0">
              <w:rPr>
                <w:rFonts w:hint="eastAsia"/>
              </w:rPr>
              <w:t>)</w:t>
            </w:r>
          </w:p>
          <w:p w14:paraId="000DAABB" w14:textId="77777777" w:rsidR="002D033B" w:rsidRPr="00BC31E0" w:rsidRDefault="002D033B" w:rsidP="00203A92">
            <w:pPr>
              <w:pStyle w:val="15"/>
              <w:tabs>
                <w:tab w:val="left" w:pos="500"/>
              </w:tabs>
              <w:ind w:leftChars="50" w:left="105" w:firstLine="210"/>
            </w:pPr>
            <m:oMath>
              <m:r>
                <w:rPr>
                  <w:rFonts w:ascii="Cambria Math" w:hAnsi="Cambria Math"/>
                </w:rPr>
                <m:t>t</m:t>
              </m:r>
            </m:oMath>
            <w:r w:rsidRPr="00BC31E0">
              <w:rPr>
                <w:rFonts w:hint="eastAsia"/>
              </w:rPr>
              <w:tab/>
            </w:r>
            <w:r w:rsidRPr="00BC31E0">
              <w:rPr>
                <w:rFonts w:hint="eastAsia"/>
              </w:rPr>
              <w:t>：断面の厚さ</w:t>
            </w:r>
            <w:r w:rsidRPr="00BC31E0">
              <w:rPr>
                <w:rFonts w:hint="eastAsia"/>
              </w:rPr>
              <w:t>(</w:t>
            </w:r>
            <w:r w:rsidRPr="00BC31E0">
              <w:rPr>
                <w:rFonts w:ascii="Cambria Math" w:hAnsi="Cambria Math"/>
              </w:rPr>
              <w:t>mm</w:t>
            </w:r>
            <w:r w:rsidRPr="00BC31E0">
              <w:rPr>
                <w:rFonts w:hint="eastAsia"/>
              </w:rPr>
              <w:t>)</w:t>
            </w:r>
          </w:p>
          <w:p w14:paraId="275B7052" w14:textId="77777777" w:rsidR="002D033B" w:rsidRPr="00BC31E0" w:rsidRDefault="00A51873" w:rsidP="00203A92">
            <w:pPr>
              <w:pStyle w:val="15"/>
              <w:tabs>
                <w:tab w:val="left" w:pos="500"/>
              </w:tabs>
              <w:ind w:leftChars="50" w:left="105" w:firstLine="210"/>
            </w:pPr>
            <m:oMath>
              <m:sSub>
                <m:sSubPr>
                  <m:ctrlPr>
                    <w:rPr>
                      <w:rFonts w:ascii="Cambria Math" w:hAnsi="Cambria Math"/>
                      <w:i/>
                    </w:rPr>
                  </m:ctrlPr>
                </m:sSubPr>
                <m:e>
                  <m:r>
                    <w:rPr>
                      <w:rFonts w:ascii="Cambria Math" w:hAnsi="Cambria Math"/>
                    </w:rPr>
                    <m:t>r</m:t>
                  </m:r>
                </m:e>
                <m:sub>
                  <m:r>
                    <w:rPr>
                      <w:rFonts w:ascii="Cambria Math" w:hAnsi="Cambria Math"/>
                    </w:rPr>
                    <m:t>j</m:t>
                  </m:r>
                </m:sub>
              </m:sSub>
            </m:oMath>
            <w:r w:rsidR="002D033B" w:rsidRPr="00BC31E0">
              <w:rPr>
                <w:rFonts w:hint="eastAsia"/>
              </w:rPr>
              <w:tab/>
            </w:r>
            <w:r w:rsidR="002D033B" w:rsidRPr="00BC31E0">
              <w:rPr>
                <w:rFonts w:hint="eastAsia"/>
              </w:rPr>
              <w:t>：節点</w:t>
            </w:r>
            <w:r w:rsidR="002D033B" w:rsidRPr="00BC31E0">
              <w:rPr>
                <w:position w:val="-10"/>
              </w:rPr>
              <w:object w:dxaOrig="180" w:dyaOrig="279" w14:anchorId="16858B0B">
                <v:shape id="_x0000_i1083" type="#_x0000_t75" style="width:10.2pt;height:16.2pt" o:ole="">
                  <v:imagedata r:id="rId185" o:title=""/>
                </v:shape>
                <o:OLEObject Type="Embed" ProgID="Equation.3" ShapeID="_x0000_i1083" DrawAspect="Content" ObjectID="_1731233633" r:id="rId186"/>
              </w:object>
            </w:r>
            <w:r w:rsidR="002D033B" w:rsidRPr="00BC31E0">
              <w:rPr>
                <w:rFonts w:hint="eastAsia"/>
              </w:rPr>
              <w:t>の半径</w:t>
            </w:r>
            <w:r w:rsidR="002D033B" w:rsidRPr="00BC31E0">
              <w:rPr>
                <w:rFonts w:hint="eastAsia"/>
              </w:rPr>
              <w:t>(</w:t>
            </w:r>
            <w:r w:rsidR="002D033B" w:rsidRPr="00BC31E0">
              <w:rPr>
                <w:rFonts w:ascii="Cambria Math" w:hAnsi="Cambria Math"/>
              </w:rPr>
              <w:t>mm</w:t>
            </w:r>
            <w:r w:rsidR="002D033B" w:rsidRPr="00BC31E0">
              <w:rPr>
                <w:rFonts w:hint="eastAsia"/>
              </w:rPr>
              <w:t>)</w:t>
            </w:r>
          </w:p>
        </w:tc>
        <w:tc>
          <w:tcPr>
            <w:tcW w:w="3686" w:type="dxa"/>
            <w:tcBorders>
              <w:top w:val="nil"/>
              <w:bottom w:val="single" w:sz="4" w:space="0" w:color="auto"/>
            </w:tcBorders>
          </w:tcPr>
          <w:p w14:paraId="79F0CFF4" w14:textId="77777777" w:rsidR="002D033B" w:rsidRPr="00BC31E0" w:rsidRDefault="002D033B" w:rsidP="00203A92">
            <w:pPr>
              <w:pStyle w:val="15"/>
              <w:ind w:firstLine="210"/>
            </w:pPr>
            <w:r w:rsidRPr="00BC31E0">
              <w:rPr>
                <w:rFonts w:hint="eastAsia"/>
              </w:rPr>
              <w:t>ここで，</w:t>
            </w:r>
          </w:p>
          <w:p w14:paraId="2666CD23" w14:textId="77777777" w:rsidR="002D033B" w:rsidRPr="00BC31E0" w:rsidRDefault="002D033B" w:rsidP="00203A92">
            <w:pPr>
              <w:pStyle w:val="15"/>
              <w:tabs>
                <w:tab w:val="left" w:pos="460"/>
              </w:tabs>
              <w:ind w:leftChars="50" w:left="105" w:firstLine="210"/>
              <w:jc w:val="left"/>
            </w:pPr>
            <w:r w:rsidRPr="00BC31E0">
              <w:rPr>
                <w:position w:val="-14"/>
              </w:rPr>
              <w:object w:dxaOrig="240" w:dyaOrig="360" w14:anchorId="1C33EA15">
                <v:shape id="_x0000_i1084" type="#_x0000_t75" style="width:16.2pt;height:15.6pt" o:ole="">
                  <v:imagedata r:id="rId187" o:title=""/>
                </v:shape>
                <o:OLEObject Type="Embed" ProgID="Equation.3" ShapeID="_x0000_i1084" DrawAspect="Content" ObjectID="_1731233634" r:id="rId188"/>
              </w:object>
            </w:r>
            <w:r w:rsidRPr="00BC31E0">
              <w:tab/>
            </w:r>
            <w:r w:rsidRPr="00BC31E0">
              <w:rPr>
                <w:rFonts w:hint="eastAsia"/>
              </w:rPr>
              <w:t>：</w:t>
            </w:r>
            <w:r w:rsidRPr="00BC31E0">
              <w:rPr>
                <w:rFonts w:hint="eastAsia"/>
              </w:rPr>
              <w:t>SCL</w:t>
            </w:r>
            <w:r w:rsidRPr="00BC31E0">
              <w:rPr>
                <w:rFonts w:hint="eastAsia"/>
              </w:rPr>
              <w:t>に沿って測った厚さ中央から節点</w:t>
            </w:r>
            <w:r w:rsidRPr="00BC31E0">
              <w:rPr>
                <w:position w:val="-10"/>
              </w:rPr>
              <w:object w:dxaOrig="180" w:dyaOrig="279" w14:anchorId="0EA7ED3E">
                <v:shape id="_x0000_i1085" type="#_x0000_t75" style="width:10.2pt;height:16.2pt" o:ole="">
                  <v:imagedata r:id="rId189" o:title=""/>
                </v:shape>
                <o:OLEObject Type="Embed" ProgID="Equation.3" ShapeID="_x0000_i1085" DrawAspect="Content" ObjectID="_1731233635" r:id="rId190"/>
              </w:object>
            </w:r>
            <w:r w:rsidRPr="00BC31E0">
              <w:rPr>
                <w:rFonts w:ascii="Times New Roman" w:hAnsi="Times New Roman" w:hint="eastAsia"/>
              </w:rPr>
              <w:t>ま</w:t>
            </w:r>
            <w:r w:rsidRPr="00BC31E0">
              <w:rPr>
                <w:rFonts w:hint="eastAsia"/>
              </w:rPr>
              <w:t>での距離</w:t>
            </w:r>
            <w:r w:rsidRPr="00BC31E0">
              <w:rPr>
                <w:rFonts w:hint="eastAsia"/>
              </w:rPr>
              <w:t>(</w:t>
            </w:r>
            <w:r w:rsidRPr="00BC31E0">
              <w:rPr>
                <w:rFonts w:ascii="Cambria Math" w:hAnsi="Cambria Math"/>
              </w:rPr>
              <w:t>mm</w:t>
            </w:r>
            <w:r w:rsidRPr="00BC31E0">
              <w:rPr>
                <w:rFonts w:hint="eastAsia"/>
              </w:rPr>
              <w:t>)</w:t>
            </w:r>
          </w:p>
          <w:p w14:paraId="50D8772E" w14:textId="77777777" w:rsidR="002D033B" w:rsidRPr="00BC31E0" w:rsidRDefault="002D033B" w:rsidP="00203A92">
            <w:pPr>
              <w:pStyle w:val="15"/>
              <w:tabs>
                <w:tab w:val="left" w:pos="336"/>
              </w:tabs>
              <w:ind w:left="737" w:firstLine="210"/>
              <w:jc w:val="left"/>
            </w:pPr>
            <w:r w:rsidRPr="00BC31E0">
              <w:rPr>
                <w:rFonts w:hint="eastAsia"/>
              </w:rPr>
              <w:t>(</w:t>
            </w:r>
            <w:r w:rsidRPr="00BC31E0">
              <w:rPr>
                <w:rFonts w:ascii="ＭＳ ゴシック" w:eastAsia="ＭＳ ゴシック" w:hAnsi="ＭＳ ゴシック" w:hint="eastAsia"/>
                <w:b/>
              </w:rPr>
              <w:t>図L.6</w:t>
            </w:r>
            <w:r w:rsidRPr="00BC31E0">
              <w:rPr>
                <w:rFonts w:asciiTheme="minorEastAsia" w:eastAsiaTheme="minorEastAsia" w:hAnsiTheme="minorEastAsia" w:hint="eastAsia"/>
              </w:rPr>
              <w:t>を</w:t>
            </w:r>
            <w:r w:rsidRPr="00BC31E0">
              <w:rPr>
                <w:rFonts w:hint="eastAsia"/>
              </w:rPr>
              <w:t>参照</w:t>
            </w:r>
            <w:r w:rsidRPr="00BC31E0">
              <w:rPr>
                <w:rFonts w:hint="eastAsia"/>
              </w:rPr>
              <w:t>)</w:t>
            </w:r>
          </w:p>
        </w:tc>
      </w:tr>
      <w:tr w:rsidR="002D033B" w:rsidRPr="00BC31E0" w14:paraId="00433014" w14:textId="77777777" w:rsidTr="004736F2">
        <w:tc>
          <w:tcPr>
            <w:tcW w:w="1701" w:type="dxa"/>
            <w:vMerge w:val="restart"/>
            <w:vAlign w:val="center"/>
          </w:tcPr>
          <w:p w14:paraId="717511DA" w14:textId="77777777" w:rsidR="002D033B" w:rsidRPr="00BC31E0" w:rsidRDefault="002D033B" w:rsidP="0050151D">
            <w:pPr>
              <w:pStyle w:val="15"/>
              <w:ind w:firstLine="210"/>
            </w:pPr>
            <w:r w:rsidRPr="00BC31E0">
              <w:rPr>
                <w:rFonts w:hint="eastAsia"/>
              </w:rPr>
              <w:t>二次元</w:t>
            </w:r>
          </w:p>
          <w:p w14:paraId="333ABC00" w14:textId="77777777" w:rsidR="002D033B" w:rsidRPr="00BC31E0" w:rsidRDefault="002D033B" w:rsidP="0050151D">
            <w:pPr>
              <w:pStyle w:val="15"/>
              <w:ind w:firstLine="210"/>
            </w:pPr>
            <w:r w:rsidRPr="00BC31E0">
              <w:rPr>
                <w:rFonts w:hint="eastAsia"/>
              </w:rPr>
              <w:t>二次平面応力</w:t>
            </w:r>
          </w:p>
          <w:p w14:paraId="6F4B23BD" w14:textId="77777777" w:rsidR="0050151D" w:rsidRPr="00BC31E0" w:rsidRDefault="002D033B" w:rsidP="0050151D">
            <w:pPr>
              <w:pStyle w:val="15"/>
              <w:ind w:firstLine="210"/>
            </w:pPr>
            <w:r w:rsidRPr="00BC31E0">
              <w:rPr>
                <w:rFonts w:hint="eastAsia"/>
              </w:rPr>
              <w:t>又は</w:t>
            </w:r>
          </w:p>
          <w:p w14:paraId="30A6FE66" w14:textId="77777777" w:rsidR="002D033B" w:rsidRPr="00BC31E0" w:rsidRDefault="002D033B" w:rsidP="0050151D">
            <w:pPr>
              <w:pStyle w:val="15"/>
              <w:ind w:firstLine="210"/>
            </w:pPr>
            <w:r w:rsidRPr="00BC31E0">
              <w:rPr>
                <w:rFonts w:hint="eastAsia"/>
              </w:rPr>
              <w:t>平面ひずみ</w:t>
            </w:r>
          </w:p>
          <w:p w14:paraId="117A68E6" w14:textId="77777777" w:rsidR="002D033B" w:rsidRPr="00BC31E0" w:rsidRDefault="002D033B" w:rsidP="0050151D">
            <w:pPr>
              <w:pStyle w:val="15"/>
              <w:ind w:firstLine="210"/>
            </w:pPr>
            <w:r w:rsidRPr="00BC31E0">
              <w:rPr>
                <w:rFonts w:hint="eastAsia"/>
              </w:rPr>
              <w:t>要素</w:t>
            </w:r>
            <w:r w:rsidRPr="00BC31E0">
              <w:rPr>
                <w:rFonts w:hint="eastAsia"/>
              </w:rPr>
              <w:t xml:space="preserve"> (8</w:t>
            </w:r>
            <w:r w:rsidRPr="00BC31E0">
              <w:rPr>
                <w:rFonts w:hint="eastAsia"/>
              </w:rPr>
              <w:t>節点</w:t>
            </w:r>
            <w:r w:rsidRPr="00BC31E0">
              <w:rPr>
                <w:rFonts w:hint="eastAsia"/>
              </w:rPr>
              <w:t>)</w:t>
            </w:r>
          </w:p>
        </w:tc>
        <w:tc>
          <w:tcPr>
            <w:tcW w:w="3685" w:type="dxa"/>
            <w:tcBorders>
              <w:bottom w:val="nil"/>
            </w:tcBorders>
            <w:vAlign w:val="center"/>
          </w:tcPr>
          <w:p w14:paraId="2016EADE" w14:textId="77777777" w:rsidR="002D033B" w:rsidRPr="00BC31E0" w:rsidRDefault="00A51873" w:rsidP="00203A92">
            <w:pPr>
              <w:pStyle w:val="15"/>
              <w:ind w:firstLine="210"/>
              <w:jc w:val="center"/>
            </w:pPr>
            <m:oMathPara>
              <m:oMath>
                <m:sSub>
                  <m:sSubPr>
                    <m:ctrlPr>
                      <w:rPr>
                        <w:rFonts w:ascii="Cambria Math" w:hAnsi="Cambria Math"/>
                        <w:i/>
                      </w:rPr>
                    </m:ctrlPr>
                  </m:sSubPr>
                  <m:e>
                    <m:r>
                      <w:rPr>
                        <w:rFonts w:ascii="Cambria Math" w:hAnsi="Cambria Math"/>
                      </w:rPr>
                      <m:t>σ</m:t>
                    </m:r>
                  </m:e>
                  <m:sub>
                    <m:r>
                      <w:rPr>
                        <w:rFonts w:ascii="Cambria Math" w:hAnsi="Cambria Math"/>
                      </w:rPr>
                      <m:t>m</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t</m:t>
                    </m:r>
                  </m:den>
                </m:f>
                <m:r>
                  <w:rPr>
                    <w:rFonts w:ascii="Cambria Math" w:hAnsi="Cambria Math"/>
                  </w:rPr>
                  <m:t xml:space="preserve"> </m:t>
                </m:r>
                <m:nary>
                  <m:naryPr>
                    <m:chr m:val="∑"/>
                    <m:limLoc m:val="undOvr"/>
                    <m:subHide m:val="1"/>
                    <m:supHide m:val="1"/>
                    <m:ctrlPr>
                      <w:rPr>
                        <w:rFonts w:ascii="Cambria Math" w:hAnsi="Cambria Math"/>
                        <w:i/>
                      </w:rPr>
                    </m:ctrlPr>
                  </m:naryPr>
                  <m:sub/>
                  <m:sup/>
                  <m:e>
                    <m:f>
                      <m:fPr>
                        <m:ctrlPr>
                          <w:rPr>
                            <w:rFonts w:ascii="Cambria Math" w:hAnsi="Cambria Math"/>
                            <w:i/>
                          </w:rPr>
                        </m:ctrlPr>
                      </m:fPr>
                      <m:num>
                        <m:sSub>
                          <m:sSubPr>
                            <m:ctrlPr>
                              <w:rPr>
                                <w:rFonts w:ascii="Cambria Math" w:hAnsi="Cambria Math"/>
                                <w:i/>
                              </w:rPr>
                            </m:ctrlPr>
                          </m:sSubPr>
                          <m:e>
                            <m:r>
                              <w:rPr>
                                <w:rFonts w:ascii="Cambria Math" w:hAnsi="Cambria Math"/>
                              </w:rPr>
                              <m:t>NF</m:t>
                            </m:r>
                          </m:e>
                          <m:sub>
                            <m:r>
                              <w:rPr>
                                <w:rFonts w:ascii="Cambria Math" w:hAnsi="Cambria Math"/>
                              </w:rPr>
                              <m:t>j</m:t>
                            </m:r>
                          </m:sub>
                        </m:sSub>
                      </m:num>
                      <m:den>
                        <m:r>
                          <w:rPr>
                            <w:rFonts w:ascii="Cambria Math" w:hAnsi="Cambria Math"/>
                          </w:rPr>
                          <m:t>w</m:t>
                        </m:r>
                      </m:den>
                    </m:f>
                  </m:e>
                </m:nary>
              </m:oMath>
            </m:oMathPara>
          </w:p>
        </w:tc>
        <w:tc>
          <w:tcPr>
            <w:tcW w:w="3686" w:type="dxa"/>
            <w:tcBorders>
              <w:bottom w:val="nil"/>
            </w:tcBorders>
            <w:vAlign w:val="center"/>
          </w:tcPr>
          <w:p w14:paraId="2A3CF9AD" w14:textId="77777777" w:rsidR="002D033B" w:rsidRPr="00BC31E0" w:rsidRDefault="00A51873" w:rsidP="00203A92">
            <w:pPr>
              <w:pStyle w:val="15"/>
              <w:ind w:firstLine="210"/>
              <w:jc w:val="center"/>
            </w:pPr>
            <m:oMathPara>
              <m:oMath>
                <m:sSub>
                  <m:sSubPr>
                    <m:ctrlPr>
                      <w:rPr>
                        <w:rFonts w:ascii="Cambria Math" w:hAnsi="Cambria Math"/>
                        <w:i/>
                      </w:rPr>
                    </m:ctrlPr>
                  </m:sSubPr>
                  <m:e>
                    <m:r>
                      <w:rPr>
                        <w:rFonts w:ascii="Cambria Math" w:hAnsi="Cambria Math"/>
                      </w:rPr>
                      <m:t>σ</m:t>
                    </m:r>
                  </m:e>
                  <m:sub>
                    <m:r>
                      <w:rPr>
                        <w:rFonts w:ascii="Cambria Math" w:hAnsi="Cambria Math"/>
                      </w:rPr>
                      <m:t>b</m:t>
                    </m:r>
                  </m:sub>
                </m:sSub>
                <m:r>
                  <w:rPr>
                    <w:rFonts w:ascii="Cambria Math" w:hAnsi="Cambria Math"/>
                  </w:rPr>
                  <m:t>=</m:t>
                </m:r>
                <m:f>
                  <m:fPr>
                    <m:ctrlPr>
                      <w:rPr>
                        <w:rFonts w:ascii="Cambria Math" w:hAnsi="Cambria Math"/>
                        <w:i/>
                      </w:rPr>
                    </m:ctrlPr>
                  </m:fPr>
                  <m:num>
                    <m:r>
                      <w:rPr>
                        <w:rFonts w:ascii="Cambria Math" w:hAnsi="Cambria Math"/>
                      </w:rPr>
                      <m:t>6</m:t>
                    </m:r>
                  </m:num>
                  <m:den>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 xml:space="preserve"> </m:t>
                </m:r>
                <m:nary>
                  <m:naryPr>
                    <m:chr m:val="∑"/>
                    <m:limLoc m:val="undOvr"/>
                    <m:subHide m:val="1"/>
                    <m:supHide m:val="1"/>
                    <m:ctrlPr>
                      <w:rPr>
                        <w:rFonts w:ascii="Cambria Math" w:hAnsi="Cambria Math"/>
                        <w:i/>
                      </w:rPr>
                    </m:ctrlPr>
                  </m:naryPr>
                  <m:sub/>
                  <m:sup/>
                  <m:e>
                    <m:f>
                      <m:fPr>
                        <m:ctrlPr>
                          <w:rPr>
                            <w:rFonts w:ascii="Cambria Math" w:hAnsi="Cambria Math"/>
                            <w:i/>
                          </w:rPr>
                        </m:ctrlPr>
                      </m:fPr>
                      <m:num>
                        <m:sSub>
                          <m:sSubPr>
                            <m:ctrlPr>
                              <w:rPr>
                                <w:rFonts w:ascii="Cambria Math" w:hAnsi="Cambria Math"/>
                                <w:i/>
                              </w:rPr>
                            </m:ctrlPr>
                          </m:sSubPr>
                          <m:e>
                            <m:r>
                              <w:rPr>
                                <w:rFonts w:ascii="Cambria Math" w:hAnsi="Cambria Math"/>
                              </w:rPr>
                              <m:t>NF</m:t>
                            </m:r>
                          </m:e>
                          <m:sub>
                            <m:r>
                              <w:rPr>
                                <w:rFonts w:ascii="Cambria Math" w:hAnsi="Cambria Math"/>
                              </w:rPr>
                              <m:t>j</m:t>
                            </m:r>
                          </m:sub>
                        </m:sSub>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j</m:t>
                            </m:r>
                          </m:sub>
                        </m:sSub>
                      </m:num>
                      <m:den>
                        <m:r>
                          <w:rPr>
                            <w:rFonts w:ascii="Cambria Math" w:hAnsi="Cambria Math"/>
                          </w:rPr>
                          <m:t>w</m:t>
                        </m:r>
                      </m:den>
                    </m:f>
                  </m:e>
                </m:nary>
              </m:oMath>
            </m:oMathPara>
          </w:p>
        </w:tc>
      </w:tr>
      <w:tr w:rsidR="002D033B" w:rsidRPr="00BC31E0" w14:paraId="1BF45F74" w14:textId="77777777" w:rsidTr="004736F2">
        <w:tc>
          <w:tcPr>
            <w:tcW w:w="1701" w:type="dxa"/>
            <w:vMerge/>
            <w:vAlign w:val="center"/>
          </w:tcPr>
          <w:p w14:paraId="2C9814A8" w14:textId="77777777" w:rsidR="002D033B" w:rsidRPr="00BC31E0" w:rsidRDefault="002D033B" w:rsidP="00203A92">
            <w:pPr>
              <w:pStyle w:val="15"/>
              <w:ind w:firstLine="210"/>
            </w:pPr>
          </w:p>
        </w:tc>
        <w:tc>
          <w:tcPr>
            <w:tcW w:w="3685" w:type="dxa"/>
            <w:tcBorders>
              <w:top w:val="nil"/>
              <w:bottom w:val="single" w:sz="4" w:space="0" w:color="auto"/>
            </w:tcBorders>
          </w:tcPr>
          <w:p w14:paraId="615D3D02" w14:textId="77777777" w:rsidR="002D033B" w:rsidRPr="00BC31E0" w:rsidRDefault="002D033B" w:rsidP="00203A92">
            <w:pPr>
              <w:pStyle w:val="15"/>
              <w:ind w:firstLine="210"/>
            </w:pPr>
            <w:r w:rsidRPr="00BC31E0">
              <w:rPr>
                <w:rFonts w:hint="eastAsia"/>
              </w:rPr>
              <w:t>ここで，</w:t>
            </w:r>
          </w:p>
          <w:p w14:paraId="50FA64FF" w14:textId="77777777" w:rsidR="002D033B" w:rsidRPr="00BC31E0" w:rsidRDefault="002D033B" w:rsidP="00203A92">
            <w:pPr>
              <w:pStyle w:val="15"/>
              <w:tabs>
                <w:tab w:val="left" w:pos="500"/>
              </w:tabs>
              <w:ind w:leftChars="50" w:left="105" w:firstLine="210"/>
            </w:pPr>
            <m:oMath>
              <m:r>
                <w:rPr>
                  <w:rFonts w:ascii="Cambria Math" w:hAnsi="Cambria Math"/>
                </w:rPr>
                <m:t>w</m:t>
              </m:r>
            </m:oMath>
            <w:r w:rsidRPr="00BC31E0">
              <w:rPr>
                <w:rFonts w:hint="eastAsia"/>
              </w:rPr>
              <w:tab/>
            </w:r>
            <w:r w:rsidRPr="00BC31E0">
              <w:rPr>
                <w:rFonts w:hint="eastAsia"/>
              </w:rPr>
              <w:t>：要素の幅</w:t>
            </w:r>
            <w:r w:rsidRPr="00BC31E0">
              <w:rPr>
                <w:rFonts w:hint="eastAsia"/>
              </w:rPr>
              <w:t>(mm)</w:t>
            </w:r>
          </w:p>
        </w:tc>
        <w:tc>
          <w:tcPr>
            <w:tcW w:w="3686" w:type="dxa"/>
            <w:tcBorders>
              <w:top w:val="nil"/>
              <w:bottom w:val="single" w:sz="4" w:space="0" w:color="auto"/>
            </w:tcBorders>
          </w:tcPr>
          <w:p w14:paraId="31015A5D" w14:textId="77777777" w:rsidR="002D033B" w:rsidRPr="00BC31E0" w:rsidRDefault="002D033B" w:rsidP="00203A92">
            <w:pPr>
              <w:pStyle w:val="15"/>
              <w:ind w:firstLine="210"/>
            </w:pPr>
          </w:p>
        </w:tc>
      </w:tr>
      <w:tr w:rsidR="002D033B" w:rsidRPr="00BC31E0" w14:paraId="7ECDC0A9" w14:textId="77777777" w:rsidTr="004736F2">
        <w:tc>
          <w:tcPr>
            <w:tcW w:w="1701" w:type="dxa"/>
            <w:vMerge w:val="restart"/>
            <w:vAlign w:val="center"/>
          </w:tcPr>
          <w:p w14:paraId="08FEAB6D" w14:textId="77777777" w:rsidR="002D033B" w:rsidRPr="00BC31E0" w:rsidRDefault="002D033B" w:rsidP="00203A92">
            <w:pPr>
              <w:pStyle w:val="15"/>
              <w:ind w:firstLine="210"/>
            </w:pPr>
            <w:r w:rsidRPr="00BC31E0">
              <w:rPr>
                <w:rFonts w:hint="eastAsia"/>
              </w:rPr>
              <w:t>三次元</w:t>
            </w:r>
          </w:p>
          <w:p w14:paraId="2D03369C" w14:textId="77777777" w:rsidR="002D033B" w:rsidRPr="00BC31E0" w:rsidRDefault="002D033B" w:rsidP="00203A92">
            <w:pPr>
              <w:pStyle w:val="15"/>
              <w:ind w:firstLine="210"/>
            </w:pPr>
            <w:r w:rsidRPr="00BC31E0">
              <w:rPr>
                <w:rFonts w:hint="eastAsia"/>
              </w:rPr>
              <w:t>二次要素</w:t>
            </w:r>
          </w:p>
          <w:p w14:paraId="6F52D97B" w14:textId="77777777" w:rsidR="002D033B" w:rsidRPr="00BC31E0" w:rsidRDefault="002D033B" w:rsidP="0050151D">
            <w:pPr>
              <w:pStyle w:val="15"/>
              <w:ind w:firstLine="210"/>
            </w:pPr>
            <w:r w:rsidRPr="00BC31E0">
              <w:rPr>
                <w:rFonts w:hint="eastAsia"/>
              </w:rPr>
              <w:t>(20</w:t>
            </w:r>
            <w:r w:rsidRPr="00BC31E0">
              <w:rPr>
                <w:rFonts w:hint="eastAsia"/>
              </w:rPr>
              <w:t>節点</w:t>
            </w:r>
            <w:r w:rsidRPr="00BC31E0">
              <w:rPr>
                <w:rFonts w:hint="eastAsia"/>
              </w:rPr>
              <w:t>)</w:t>
            </w:r>
          </w:p>
        </w:tc>
        <w:tc>
          <w:tcPr>
            <w:tcW w:w="3685" w:type="dxa"/>
            <w:tcBorders>
              <w:bottom w:val="nil"/>
            </w:tcBorders>
            <w:vAlign w:val="center"/>
          </w:tcPr>
          <w:p w14:paraId="586E4994" w14:textId="77777777" w:rsidR="002D033B" w:rsidRPr="00BC31E0" w:rsidRDefault="002D033B" w:rsidP="00203A92">
            <w:pPr>
              <w:pStyle w:val="15"/>
              <w:ind w:firstLine="210"/>
            </w:pPr>
            <w:r w:rsidRPr="00BC31E0">
              <w:rPr>
                <w:rFonts w:hint="eastAsia"/>
              </w:rPr>
              <w:t>要素幅方向の</w:t>
            </w:r>
            <m:oMath>
              <m:r>
                <m:rPr>
                  <m:sty m:val="p"/>
                </m:rPr>
                <w:rPr>
                  <w:rFonts w:ascii="Cambria Math" w:hAnsi="Cambria Math"/>
                </w:rPr>
                <m:t xml:space="preserve"> </m:t>
              </m:r>
              <m:r>
                <w:rPr>
                  <w:rFonts w:ascii="Cambria Math" w:hAnsi="Cambria Math"/>
                </w:rPr>
                <m:t xml:space="preserve">i </m:t>
              </m:r>
            </m:oMath>
            <w:r w:rsidRPr="00BC31E0">
              <w:rPr>
                <w:rFonts w:hint="eastAsia"/>
              </w:rPr>
              <w:t>列の膜応力</w:t>
            </w:r>
          </w:p>
        </w:tc>
        <w:tc>
          <w:tcPr>
            <w:tcW w:w="3686" w:type="dxa"/>
            <w:tcBorders>
              <w:bottom w:val="nil"/>
            </w:tcBorders>
            <w:vAlign w:val="center"/>
          </w:tcPr>
          <w:p w14:paraId="1A09A363" w14:textId="77777777" w:rsidR="002D033B" w:rsidRPr="00BC31E0" w:rsidRDefault="002D033B" w:rsidP="00203A92">
            <w:pPr>
              <w:pStyle w:val="15"/>
              <w:ind w:firstLine="210"/>
            </w:pPr>
            <w:r w:rsidRPr="00BC31E0">
              <w:rPr>
                <w:rFonts w:hint="eastAsia"/>
              </w:rPr>
              <w:t>要素幅方向の</w:t>
            </w:r>
            <m:oMath>
              <m:r>
                <m:rPr>
                  <m:sty m:val="p"/>
                </m:rPr>
                <w:rPr>
                  <w:rFonts w:ascii="Cambria Math" w:hAnsi="Cambria Math"/>
                </w:rPr>
                <m:t xml:space="preserve"> </m:t>
              </m:r>
              <m:r>
                <w:rPr>
                  <w:rFonts w:ascii="Cambria Math" w:hAnsi="Cambria Math"/>
                </w:rPr>
                <m:t xml:space="preserve">i </m:t>
              </m:r>
            </m:oMath>
            <w:r w:rsidRPr="00BC31E0">
              <w:rPr>
                <w:rFonts w:hint="eastAsia"/>
              </w:rPr>
              <w:t>列の曲げ応力</w:t>
            </w:r>
          </w:p>
        </w:tc>
      </w:tr>
      <w:tr w:rsidR="002D033B" w:rsidRPr="00BC31E0" w14:paraId="4F84D1F3" w14:textId="77777777" w:rsidTr="004736F2">
        <w:tc>
          <w:tcPr>
            <w:tcW w:w="1701" w:type="dxa"/>
            <w:vMerge/>
            <w:vAlign w:val="center"/>
          </w:tcPr>
          <w:p w14:paraId="36652056" w14:textId="77777777" w:rsidR="002D033B" w:rsidRPr="00BC31E0" w:rsidRDefault="002D033B" w:rsidP="00203A92">
            <w:pPr>
              <w:pStyle w:val="15"/>
              <w:ind w:firstLine="210"/>
            </w:pPr>
          </w:p>
        </w:tc>
        <w:tc>
          <w:tcPr>
            <w:tcW w:w="3685" w:type="dxa"/>
            <w:tcBorders>
              <w:top w:val="nil"/>
              <w:bottom w:val="nil"/>
            </w:tcBorders>
            <w:vAlign w:val="center"/>
          </w:tcPr>
          <w:p w14:paraId="60965057" w14:textId="77777777" w:rsidR="002D033B" w:rsidRPr="00BC31E0" w:rsidRDefault="00A51873" w:rsidP="00203A92">
            <w:pPr>
              <w:pStyle w:val="15"/>
              <w:ind w:firstLine="210"/>
              <w:jc w:val="center"/>
              <w:rPr>
                <w:i/>
              </w:rPr>
            </w:pPr>
            <m:oMathPara>
              <m:oMath>
                <m:sSub>
                  <m:sSubPr>
                    <m:ctrlPr>
                      <w:rPr>
                        <w:rFonts w:ascii="Cambria Math" w:hAnsi="Cambria Math"/>
                        <w:i/>
                      </w:rPr>
                    </m:ctrlPr>
                  </m:sSubPr>
                  <m:e>
                    <m:r>
                      <w:rPr>
                        <w:rFonts w:ascii="Cambria Math" w:hAnsi="Cambria Math"/>
                      </w:rPr>
                      <m:t>σ</m:t>
                    </m:r>
                  </m:e>
                  <m:sub>
                    <m:r>
                      <w:rPr>
                        <w:rFonts w:ascii="Cambria Math" w:hAnsi="Cambria Math"/>
                      </w:rPr>
                      <m:t>mi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i</m:t>
                        </m:r>
                      </m:sub>
                    </m:sSub>
                  </m:num>
                  <m:den>
                    <m:r>
                      <w:rPr>
                        <w:rFonts w:ascii="Cambria Math" w:hAnsi="Cambria Math"/>
                      </w:rPr>
                      <m:t>t</m:t>
                    </m:r>
                  </m:den>
                </m:f>
              </m:oMath>
            </m:oMathPara>
          </w:p>
        </w:tc>
        <w:tc>
          <w:tcPr>
            <w:tcW w:w="3686" w:type="dxa"/>
            <w:tcBorders>
              <w:top w:val="nil"/>
              <w:bottom w:val="nil"/>
            </w:tcBorders>
            <w:vAlign w:val="center"/>
          </w:tcPr>
          <w:p w14:paraId="0195164A" w14:textId="77777777" w:rsidR="002D033B" w:rsidRPr="00BC31E0" w:rsidRDefault="00A51873" w:rsidP="00203A92">
            <w:pPr>
              <w:pStyle w:val="15"/>
              <w:ind w:firstLine="210"/>
              <w:jc w:val="center"/>
            </w:pPr>
            <m:oMathPara>
              <m:oMath>
                <m:sSub>
                  <m:sSubPr>
                    <m:ctrlPr>
                      <w:rPr>
                        <w:rFonts w:ascii="Cambria Math" w:hAnsi="Cambria Math"/>
                        <w:i/>
                      </w:rPr>
                    </m:ctrlPr>
                  </m:sSubPr>
                  <m:e>
                    <m:r>
                      <w:rPr>
                        <w:rFonts w:ascii="Cambria Math" w:hAnsi="Cambria Math"/>
                      </w:rPr>
                      <m:t>σ</m:t>
                    </m:r>
                  </m:e>
                  <m:sub>
                    <m:r>
                      <w:rPr>
                        <w:rFonts w:ascii="Cambria Math" w:hAnsi="Cambria Math"/>
                      </w:rPr>
                      <m:t>bi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6 m</m:t>
                        </m:r>
                      </m:e>
                      <m:sub>
                        <m:r>
                          <w:rPr>
                            <w:rFonts w:ascii="Cambria Math" w:hAnsi="Cambria Math"/>
                          </w:rPr>
                          <m:t>i</m:t>
                        </m:r>
                      </m:sub>
                    </m:sSub>
                  </m:num>
                  <m:den>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tc>
      </w:tr>
      <w:tr w:rsidR="002D033B" w:rsidRPr="00BC31E0" w14:paraId="0370240B" w14:textId="77777777" w:rsidTr="004736F2">
        <w:tc>
          <w:tcPr>
            <w:tcW w:w="1701" w:type="dxa"/>
            <w:vMerge/>
            <w:vAlign w:val="center"/>
          </w:tcPr>
          <w:p w14:paraId="3577328B" w14:textId="77777777" w:rsidR="002D033B" w:rsidRPr="00BC31E0" w:rsidRDefault="002D033B" w:rsidP="00203A92">
            <w:pPr>
              <w:pStyle w:val="15"/>
              <w:ind w:firstLine="210"/>
            </w:pPr>
          </w:p>
        </w:tc>
        <w:tc>
          <w:tcPr>
            <w:tcW w:w="3685" w:type="dxa"/>
            <w:tcBorders>
              <w:top w:val="nil"/>
              <w:bottom w:val="nil"/>
            </w:tcBorders>
          </w:tcPr>
          <w:p w14:paraId="38DAC694" w14:textId="77777777" w:rsidR="002D033B" w:rsidRPr="00BC31E0" w:rsidRDefault="002D033B" w:rsidP="00203A92">
            <w:pPr>
              <w:pStyle w:val="15"/>
              <w:ind w:firstLine="210"/>
            </w:pPr>
            <w:r w:rsidRPr="00BC31E0">
              <w:rPr>
                <w:rFonts w:hint="eastAsia"/>
              </w:rPr>
              <w:t>ここで，</w:t>
            </w:r>
          </w:p>
          <w:p w14:paraId="3C00EB91" w14:textId="77777777" w:rsidR="002D033B" w:rsidRPr="00BC31E0" w:rsidRDefault="002D033B" w:rsidP="00203A92">
            <w:pPr>
              <w:pStyle w:val="15"/>
              <w:ind w:leftChars="50" w:left="105" w:firstLine="210"/>
            </w:pPr>
            <m:oMath>
              <m:r>
                <w:rPr>
                  <w:rFonts w:ascii="Cambria Math" w:hAnsi="Cambria Math"/>
                </w:rPr>
                <m:t>i=1, 2, 3</m:t>
              </m:r>
            </m:oMath>
            <w:r w:rsidRPr="00BC31E0">
              <w:rPr>
                <w:rFonts w:hint="eastAsia"/>
              </w:rPr>
              <w:t xml:space="preserve"> (</w:t>
            </w:r>
            <w:r w:rsidRPr="00BC31E0">
              <w:rPr>
                <w:rFonts w:ascii="ＭＳ ゴシック" w:eastAsia="ＭＳ ゴシック" w:hAnsi="ＭＳ ゴシック" w:hint="eastAsia"/>
                <w:b/>
              </w:rPr>
              <w:t>図L.7</w:t>
            </w:r>
            <w:r w:rsidRPr="00BC31E0">
              <w:rPr>
                <w:rFonts w:asciiTheme="minorEastAsia" w:eastAsiaTheme="minorEastAsia" w:hAnsiTheme="minorEastAsia" w:hint="eastAsia"/>
              </w:rPr>
              <w:t>を</w:t>
            </w:r>
            <w:r w:rsidRPr="00BC31E0">
              <w:rPr>
                <w:rFonts w:hint="eastAsia"/>
              </w:rPr>
              <w:t>参照</w:t>
            </w:r>
            <w:r w:rsidRPr="00BC31E0">
              <w:rPr>
                <w:rFonts w:hint="eastAsia"/>
              </w:rPr>
              <w:t>)</w:t>
            </w:r>
          </w:p>
          <w:p w14:paraId="0A59DE50" w14:textId="77777777" w:rsidR="002D033B" w:rsidRPr="00BC31E0" w:rsidRDefault="002D033B" w:rsidP="00203A92">
            <w:pPr>
              <w:pStyle w:val="15"/>
              <w:ind w:leftChars="50" w:left="105" w:firstLine="210"/>
            </w:pPr>
            <m:oMath>
              <m:r>
                <w:rPr>
                  <w:rFonts w:ascii="Cambria Math" w:hAnsi="Cambria Math"/>
                </w:rPr>
                <m:t xml:space="preserve">i </m:t>
              </m:r>
            </m:oMath>
            <w:r w:rsidRPr="00BC31E0">
              <w:rPr>
                <w:rFonts w:hint="eastAsia"/>
              </w:rPr>
              <w:t>列の単位要素幅当りの力</w:t>
            </w:r>
          </w:p>
        </w:tc>
        <w:tc>
          <w:tcPr>
            <w:tcW w:w="3686" w:type="dxa"/>
            <w:tcBorders>
              <w:top w:val="nil"/>
              <w:bottom w:val="nil"/>
            </w:tcBorders>
          </w:tcPr>
          <w:p w14:paraId="34B2653A" w14:textId="77777777" w:rsidR="002D033B" w:rsidRPr="00BC31E0" w:rsidRDefault="002D033B" w:rsidP="00203A92">
            <w:pPr>
              <w:pStyle w:val="15"/>
              <w:ind w:firstLine="210"/>
            </w:pPr>
            <w:r w:rsidRPr="00BC31E0">
              <w:rPr>
                <w:rFonts w:hint="eastAsia"/>
              </w:rPr>
              <w:t>ここで，</w:t>
            </w:r>
          </w:p>
          <w:p w14:paraId="3AE22475" w14:textId="77777777" w:rsidR="002D033B" w:rsidRPr="00BC31E0" w:rsidRDefault="002D033B" w:rsidP="00203A92">
            <w:pPr>
              <w:pStyle w:val="15"/>
              <w:tabs>
                <w:tab w:val="left" w:pos="84"/>
              </w:tabs>
              <w:ind w:leftChars="50" w:left="105" w:firstLine="210"/>
            </w:pPr>
            <m:oMath>
              <m:r>
                <w:rPr>
                  <w:rFonts w:ascii="Cambria Math" w:hAnsi="Cambria Math"/>
                </w:rPr>
                <m:t>i=1, 2, 3</m:t>
              </m:r>
            </m:oMath>
            <w:r w:rsidRPr="00BC31E0">
              <w:rPr>
                <w:rFonts w:hint="eastAsia"/>
              </w:rPr>
              <w:t xml:space="preserve"> (</w:t>
            </w:r>
            <w:r w:rsidRPr="00BC31E0">
              <w:rPr>
                <w:rFonts w:ascii="ＭＳ ゴシック" w:eastAsia="ＭＳ ゴシック" w:hAnsi="ＭＳ ゴシック" w:hint="eastAsia"/>
                <w:b/>
              </w:rPr>
              <w:t>図L.7</w:t>
            </w:r>
            <w:r w:rsidRPr="00BC31E0">
              <w:rPr>
                <w:rFonts w:asciiTheme="minorEastAsia" w:eastAsiaTheme="minorEastAsia" w:hAnsiTheme="minorEastAsia" w:hint="eastAsia"/>
              </w:rPr>
              <w:t>を</w:t>
            </w:r>
            <w:r w:rsidRPr="00BC31E0">
              <w:rPr>
                <w:rFonts w:hint="eastAsia"/>
              </w:rPr>
              <w:t>参照</w:t>
            </w:r>
            <w:r w:rsidRPr="00BC31E0">
              <w:rPr>
                <w:rFonts w:hint="eastAsia"/>
              </w:rPr>
              <w:t>)</w:t>
            </w:r>
          </w:p>
          <w:p w14:paraId="109D73CC" w14:textId="77777777" w:rsidR="002D033B" w:rsidRPr="00BC31E0" w:rsidRDefault="002D033B" w:rsidP="00203A92">
            <w:pPr>
              <w:pStyle w:val="15"/>
              <w:ind w:leftChars="50" w:left="105" w:firstLine="210"/>
            </w:pPr>
            <m:oMath>
              <m:r>
                <w:rPr>
                  <w:rFonts w:ascii="Cambria Math" w:hAnsi="Cambria Math"/>
                </w:rPr>
                <m:t xml:space="preserve">i </m:t>
              </m:r>
            </m:oMath>
            <w:r w:rsidRPr="00BC31E0">
              <w:rPr>
                <w:rFonts w:hint="eastAsia"/>
              </w:rPr>
              <w:t>列の単位要素幅当りのモーメント</w:t>
            </w:r>
          </w:p>
        </w:tc>
      </w:tr>
      <w:tr w:rsidR="002D033B" w:rsidRPr="00BC31E0" w14:paraId="6E7DC7CA" w14:textId="77777777" w:rsidTr="004736F2">
        <w:tc>
          <w:tcPr>
            <w:tcW w:w="1701" w:type="dxa"/>
            <w:vMerge/>
            <w:vAlign w:val="center"/>
          </w:tcPr>
          <w:p w14:paraId="00235FB0" w14:textId="77777777" w:rsidR="002D033B" w:rsidRPr="00BC31E0" w:rsidRDefault="002D033B" w:rsidP="00203A92">
            <w:pPr>
              <w:pStyle w:val="15"/>
              <w:ind w:firstLine="210"/>
            </w:pPr>
          </w:p>
        </w:tc>
        <w:tc>
          <w:tcPr>
            <w:tcW w:w="3685" w:type="dxa"/>
            <w:tcBorders>
              <w:top w:val="nil"/>
              <w:bottom w:val="nil"/>
            </w:tcBorders>
          </w:tcPr>
          <w:p w14:paraId="681AA46C" w14:textId="77777777" w:rsidR="002D033B" w:rsidRPr="00BC31E0" w:rsidRDefault="002D033B" w:rsidP="00203A92">
            <w:pPr>
              <w:pStyle w:val="15"/>
              <w:ind w:firstLine="210"/>
            </w:pPr>
            <m:oMathPara>
              <m:oMath>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 xml:space="preserve">3 </m:t>
                    </m:r>
                    <m:d>
                      <m:dPr>
                        <m:ctrlPr>
                          <w:rPr>
                            <w:rFonts w:ascii="Cambria Math" w:hAnsi="Cambria Math"/>
                            <w:i/>
                          </w:rPr>
                        </m:ctrlPr>
                      </m:dPr>
                      <m:e>
                        <m:r>
                          <w:rPr>
                            <w:rFonts w:ascii="Cambria Math" w:hAnsi="Cambria Math"/>
                          </w:rPr>
                          <m:t>6</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+2</m:t>
                        </m:r>
                        <m:sSub>
                          <m:sSubPr>
                            <m:ctrlPr>
                              <w:rPr>
                                <w:rFonts w:ascii="Cambria Math" w:hAnsi="Cambria Math"/>
                                <w:i/>
                              </w:rPr>
                            </m:ctrlPr>
                          </m:sSubPr>
                          <m:e>
                            <m:r>
                              <w:rPr>
                                <w:rFonts w:ascii="Cambria Math" w:hAnsi="Cambria Math"/>
                              </w:rPr>
                              <m:t>F</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2</m:t>
                            </m:r>
                          </m:sub>
                        </m:sSub>
                      </m:e>
                    </m:d>
                  </m:num>
                  <m:den>
                    <m:r>
                      <w:rPr>
                        <w:rFonts w:ascii="Cambria Math" w:hAnsi="Cambria Math"/>
                      </w:rPr>
                      <m:t>2 w</m:t>
                    </m:r>
                  </m:den>
                </m:f>
                <m:r>
                  <w:rPr>
                    <w:rFonts w:ascii="Cambria Math" w:hAnsi="Cambria Math"/>
                  </w:rPr>
                  <m:t xml:space="preserve">     </m:t>
                </m:r>
              </m:oMath>
            </m:oMathPara>
          </w:p>
          <w:p w14:paraId="6122B9FF" w14:textId="77777777" w:rsidR="002D033B" w:rsidRPr="00BC31E0" w:rsidRDefault="002D033B" w:rsidP="00203A92">
            <w:pPr>
              <w:pStyle w:val="15"/>
              <w:ind w:firstLine="210"/>
            </w:pPr>
            <m:oMathPara>
              <m:oMath>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 xml:space="preserve">-3 </m:t>
                    </m:r>
                    <m:d>
                      <m:dPr>
                        <m:ctrlPr>
                          <w:rPr>
                            <w:rFonts w:ascii="Cambria Math" w:hAnsi="Cambria Math"/>
                            <w:i/>
                          </w:rPr>
                        </m:ctrlPr>
                      </m:dPr>
                      <m:e>
                        <m:r>
                          <w:rPr>
                            <w:rFonts w:ascii="Cambria Math" w:hAnsi="Cambria Math"/>
                          </w:rPr>
                          <m:t>2</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+2</m:t>
                        </m:r>
                        <m:sSub>
                          <m:sSubPr>
                            <m:ctrlPr>
                              <w:rPr>
                                <w:rFonts w:ascii="Cambria Math" w:hAnsi="Cambria Math"/>
                                <w:i/>
                              </w:rPr>
                            </m:ctrlPr>
                          </m:sSubPr>
                          <m:e>
                            <m:r>
                              <w:rPr>
                                <w:rFonts w:ascii="Cambria Math" w:hAnsi="Cambria Math"/>
                              </w:rPr>
                              <m:t>F</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3F</m:t>
                            </m:r>
                          </m:e>
                          <m:sub>
                            <m:r>
                              <w:rPr>
                                <w:rFonts w:ascii="Cambria Math" w:hAnsi="Cambria Math"/>
                              </w:rPr>
                              <m:t>2</m:t>
                            </m:r>
                          </m:sub>
                        </m:sSub>
                      </m:e>
                    </m:d>
                  </m:num>
                  <m:den>
                    <m:r>
                      <w:rPr>
                        <w:rFonts w:ascii="Cambria Math" w:hAnsi="Cambria Math"/>
                      </w:rPr>
                      <m:t>4 w</m:t>
                    </m:r>
                  </m:den>
                </m:f>
              </m:oMath>
            </m:oMathPara>
          </w:p>
          <w:p w14:paraId="0C46500B" w14:textId="77777777" w:rsidR="002D033B" w:rsidRPr="00BC31E0" w:rsidRDefault="00A51873" w:rsidP="00203A92">
            <w:pPr>
              <w:pStyle w:val="15"/>
              <w:ind w:firstLine="210"/>
            </w:pPr>
            <m:oMathPara>
              <m:oMath>
                <m:sSub>
                  <m:sSubPr>
                    <m:ctrlPr>
                      <w:rPr>
                        <w:rFonts w:ascii="Cambria Math" w:hAnsi="Cambria Math"/>
                        <w:i/>
                      </w:rPr>
                    </m:ctrlPr>
                  </m:sSubPr>
                  <m:e>
                    <m:r>
                      <w:rPr>
                        <w:rFonts w:ascii="Cambria Math" w:hAnsi="Cambria Math"/>
                      </w:rPr>
                      <m:t>f</m:t>
                    </m:r>
                  </m:e>
                  <m:sub>
                    <m:r>
                      <w:rPr>
                        <w:rFonts w:ascii="Cambria Math" w:hAnsi="Cambria Math"/>
                      </w:rPr>
                      <m:t>3</m:t>
                    </m:r>
                  </m:sub>
                </m:sSub>
                <m:r>
                  <w:rPr>
                    <w:rFonts w:ascii="Cambria Math" w:hAnsi="Cambria Math"/>
                  </w:rPr>
                  <m:t>=</m:t>
                </m:r>
                <m:f>
                  <m:fPr>
                    <m:ctrlPr>
                      <w:rPr>
                        <w:rFonts w:ascii="Cambria Math" w:hAnsi="Cambria Math"/>
                        <w:i/>
                      </w:rPr>
                    </m:ctrlPr>
                  </m:fPr>
                  <m:num>
                    <m:r>
                      <w:rPr>
                        <w:rFonts w:ascii="Cambria Math" w:hAnsi="Cambria Math"/>
                      </w:rPr>
                      <m:t xml:space="preserve">3 </m:t>
                    </m:r>
                    <m:d>
                      <m:dPr>
                        <m:ctrlPr>
                          <w:rPr>
                            <w:rFonts w:ascii="Cambria Math" w:hAnsi="Cambria Math"/>
                            <w:i/>
                          </w:rPr>
                        </m:ctrlPr>
                      </m:dPr>
                      <m:e>
                        <m:r>
                          <w:rPr>
                            <w:rFonts w:ascii="Cambria Math" w:hAnsi="Cambria Math"/>
                          </w:rPr>
                          <m:t>2</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+6</m:t>
                        </m:r>
                        <m:sSub>
                          <m:sSubPr>
                            <m:ctrlPr>
                              <w:rPr>
                                <w:rFonts w:ascii="Cambria Math" w:hAnsi="Cambria Math"/>
                                <w:i/>
                              </w:rPr>
                            </m:ctrlPr>
                          </m:sSubPr>
                          <m:e>
                            <m:r>
                              <w:rPr>
                                <w:rFonts w:ascii="Cambria Math" w:hAnsi="Cambria Math"/>
                              </w:rPr>
                              <m:t>F</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2</m:t>
                            </m:r>
                          </m:sub>
                        </m:sSub>
                      </m:e>
                    </m:d>
                  </m:num>
                  <m:den>
                    <m:r>
                      <w:rPr>
                        <w:rFonts w:ascii="Cambria Math" w:hAnsi="Cambria Math"/>
                      </w:rPr>
                      <m:t>2 w</m:t>
                    </m:r>
                  </m:den>
                </m:f>
                <m:r>
                  <w:rPr>
                    <w:rFonts w:ascii="Cambria Math" w:hAnsi="Cambria Math"/>
                  </w:rPr>
                  <m:t xml:space="preserve">    </m:t>
                </m:r>
              </m:oMath>
            </m:oMathPara>
          </w:p>
        </w:tc>
        <w:tc>
          <w:tcPr>
            <w:tcW w:w="3686" w:type="dxa"/>
            <w:tcBorders>
              <w:top w:val="nil"/>
              <w:bottom w:val="nil"/>
            </w:tcBorders>
          </w:tcPr>
          <w:p w14:paraId="007978C3" w14:textId="77777777" w:rsidR="002D033B" w:rsidRPr="00BC31E0" w:rsidRDefault="00A51873" w:rsidP="00203A92">
            <w:pPr>
              <w:pStyle w:val="15"/>
              <w:ind w:firstLine="210"/>
            </w:pPr>
            <m:oMathPara>
              <m:oMath>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 xml:space="preserve">3 </m:t>
                    </m:r>
                    <m:d>
                      <m:dPr>
                        <m:ctrlPr>
                          <w:rPr>
                            <w:rFonts w:ascii="Cambria Math" w:hAnsi="Cambria Math"/>
                            <w:i/>
                          </w:rPr>
                        </m:ctrlPr>
                      </m:dPr>
                      <m:e>
                        <m:r>
                          <w:rPr>
                            <w:rFonts w:ascii="Cambria Math" w:hAnsi="Cambria Math"/>
                          </w:rPr>
                          <m:t>6</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+2</m:t>
                        </m:r>
                        <m:sSub>
                          <m:sSubPr>
                            <m:ctrlPr>
                              <w:rPr>
                                <w:rFonts w:ascii="Cambria Math" w:hAnsi="Cambria Math"/>
                                <w:i/>
                              </w:rPr>
                            </m:ctrlPr>
                          </m:sSubPr>
                          <m:e>
                            <m:r>
                              <w:rPr>
                                <w:rFonts w:ascii="Cambria Math" w:hAnsi="Cambria Math"/>
                              </w:rPr>
                              <m:t>M</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m:t>
                            </m:r>
                          </m:sub>
                        </m:sSub>
                      </m:e>
                    </m:d>
                  </m:num>
                  <m:den>
                    <m:r>
                      <w:rPr>
                        <w:rFonts w:ascii="Cambria Math" w:hAnsi="Cambria Math"/>
                      </w:rPr>
                      <m:t>2 w</m:t>
                    </m:r>
                  </m:den>
                </m:f>
                <m:r>
                  <w:rPr>
                    <w:rFonts w:ascii="Cambria Math" w:hAnsi="Cambria Math"/>
                  </w:rPr>
                  <m:t xml:space="preserve">      </m:t>
                </m:r>
              </m:oMath>
            </m:oMathPara>
          </w:p>
          <w:p w14:paraId="4F1A7E3F" w14:textId="77777777" w:rsidR="002D033B" w:rsidRPr="00BC31E0" w:rsidRDefault="00A51873" w:rsidP="00203A92">
            <w:pPr>
              <w:pStyle w:val="15"/>
              <w:tabs>
                <w:tab w:val="left" w:pos="84"/>
              </w:tabs>
              <w:ind w:firstLine="210"/>
            </w:pPr>
            <m:oMathPara>
              <m:oMath>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 xml:space="preserve">-3 </m:t>
                    </m:r>
                    <m:d>
                      <m:dPr>
                        <m:ctrlPr>
                          <w:rPr>
                            <w:rFonts w:ascii="Cambria Math" w:hAnsi="Cambria Math"/>
                            <w:i/>
                          </w:rPr>
                        </m:ctrlPr>
                      </m:dPr>
                      <m:e>
                        <m:r>
                          <w:rPr>
                            <w:rFonts w:ascii="Cambria Math" w:hAnsi="Cambria Math"/>
                          </w:rPr>
                          <m:t>2</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+2</m:t>
                        </m:r>
                        <m:sSub>
                          <m:sSubPr>
                            <m:ctrlPr>
                              <w:rPr>
                                <w:rFonts w:ascii="Cambria Math" w:hAnsi="Cambria Math"/>
                                <w:i/>
                              </w:rPr>
                            </m:ctrlPr>
                          </m:sSubPr>
                          <m:e>
                            <m:r>
                              <w:rPr>
                                <w:rFonts w:ascii="Cambria Math" w:hAnsi="Cambria Math"/>
                              </w:rPr>
                              <m:t>M</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3M</m:t>
                            </m:r>
                          </m:e>
                          <m:sub>
                            <m:r>
                              <w:rPr>
                                <w:rFonts w:ascii="Cambria Math" w:hAnsi="Cambria Math"/>
                              </w:rPr>
                              <m:t>2</m:t>
                            </m:r>
                          </m:sub>
                        </m:sSub>
                      </m:e>
                    </m:d>
                  </m:num>
                  <m:den>
                    <m:r>
                      <w:rPr>
                        <w:rFonts w:ascii="Cambria Math" w:hAnsi="Cambria Math"/>
                      </w:rPr>
                      <m:t>4 w</m:t>
                    </m:r>
                  </m:den>
                </m:f>
              </m:oMath>
            </m:oMathPara>
          </w:p>
          <w:p w14:paraId="466A1393" w14:textId="77777777" w:rsidR="002D033B" w:rsidRPr="00BC31E0" w:rsidRDefault="00A51873" w:rsidP="00203A92">
            <w:pPr>
              <w:pStyle w:val="15"/>
              <w:tabs>
                <w:tab w:val="left" w:pos="84"/>
              </w:tabs>
              <w:ind w:firstLine="210"/>
            </w:pPr>
            <m:oMathPara>
              <m:oMath>
                <m:sSub>
                  <m:sSubPr>
                    <m:ctrlPr>
                      <w:rPr>
                        <w:rFonts w:ascii="Cambria Math" w:hAnsi="Cambria Math"/>
                        <w:i/>
                      </w:rPr>
                    </m:ctrlPr>
                  </m:sSubPr>
                  <m:e>
                    <m:r>
                      <w:rPr>
                        <w:rFonts w:ascii="Cambria Math" w:hAnsi="Cambria Math"/>
                      </w:rPr>
                      <m:t>m</m:t>
                    </m:r>
                  </m:e>
                  <m:sub>
                    <m:r>
                      <w:rPr>
                        <w:rFonts w:ascii="Cambria Math" w:hAnsi="Cambria Math"/>
                      </w:rPr>
                      <m:t>3</m:t>
                    </m:r>
                  </m:sub>
                </m:sSub>
                <m:r>
                  <w:rPr>
                    <w:rFonts w:ascii="Cambria Math" w:hAnsi="Cambria Math"/>
                  </w:rPr>
                  <m:t>=</m:t>
                </m:r>
                <m:f>
                  <m:fPr>
                    <m:ctrlPr>
                      <w:rPr>
                        <w:rFonts w:ascii="Cambria Math" w:hAnsi="Cambria Math"/>
                        <w:i/>
                      </w:rPr>
                    </m:ctrlPr>
                  </m:fPr>
                  <m:num>
                    <m:r>
                      <w:rPr>
                        <w:rFonts w:ascii="Cambria Math" w:hAnsi="Cambria Math"/>
                      </w:rPr>
                      <m:t xml:space="preserve">3 </m:t>
                    </m:r>
                    <m:d>
                      <m:dPr>
                        <m:ctrlPr>
                          <w:rPr>
                            <w:rFonts w:ascii="Cambria Math" w:hAnsi="Cambria Math"/>
                            <w:i/>
                          </w:rPr>
                        </m:ctrlPr>
                      </m:dPr>
                      <m:e>
                        <m:r>
                          <w:rPr>
                            <w:rFonts w:ascii="Cambria Math" w:hAnsi="Cambria Math"/>
                          </w:rPr>
                          <m:t>2</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+6</m:t>
                        </m:r>
                        <m:sSub>
                          <m:sSubPr>
                            <m:ctrlPr>
                              <w:rPr>
                                <w:rFonts w:ascii="Cambria Math" w:hAnsi="Cambria Math"/>
                                <w:i/>
                              </w:rPr>
                            </m:ctrlPr>
                          </m:sSubPr>
                          <m:e>
                            <m:r>
                              <w:rPr>
                                <w:rFonts w:ascii="Cambria Math" w:hAnsi="Cambria Math"/>
                              </w:rPr>
                              <m:t>M</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m:t>
                            </m:r>
                          </m:sub>
                        </m:sSub>
                      </m:e>
                    </m:d>
                  </m:num>
                  <m:den>
                    <m:r>
                      <w:rPr>
                        <w:rFonts w:ascii="Cambria Math" w:hAnsi="Cambria Math"/>
                      </w:rPr>
                      <m:t>2 w</m:t>
                    </m:r>
                  </m:den>
                </m:f>
                <m:r>
                  <w:rPr>
                    <w:rFonts w:ascii="Cambria Math" w:hAnsi="Cambria Math"/>
                  </w:rPr>
                  <m:t xml:space="preserve">     </m:t>
                </m:r>
              </m:oMath>
            </m:oMathPara>
          </w:p>
        </w:tc>
      </w:tr>
      <w:tr w:rsidR="002D033B" w:rsidRPr="00BC31E0" w14:paraId="3F90AF40" w14:textId="77777777" w:rsidTr="004736F2">
        <w:tc>
          <w:tcPr>
            <w:tcW w:w="1701" w:type="dxa"/>
            <w:vMerge/>
            <w:vAlign w:val="center"/>
          </w:tcPr>
          <w:p w14:paraId="6A6684F8" w14:textId="77777777" w:rsidR="002D033B" w:rsidRPr="00BC31E0" w:rsidRDefault="002D033B" w:rsidP="00203A92">
            <w:pPr>
              <w:pStyle w:val="15"/>
              <w:ind w:firstLine="210"/>
            </w:pPr>
          </w:p>
        </w:tc>
        <w:tc>
          <w:tcPr>
            <w:tcW w:w="3685" w:type="dxa"/>
            <w:tcBorders>
              <w:top w:val="nil"/>
              <w:bottom w:val="nil"/>
            </w:tcBorders>
            <w:vAlign w:val="center"/>
          </w:tcPr>
          <w:p w14:paraId="7A081035" w14:textId="77777777" w:rsidR="002D033B" w:rsidRPr="00BC31E0" w:rsidRDefault="002D033B" w:rsidP="00203A92">
            <w:pPr>
              <w:pStyle w:val="15"/>
              <w:ind w:leftChars="50" w:left="105" w:firstLine="210"/>
              <w:rPr>
                <w:vertAlign w:val="subscript"/>
              </w:rPr>
            </w:pPr>
            <m:oMath>
              <m:r>
                <w:rPr>
                  <w:rFonts w:ascii="Cambria Math" w:hAnsi="Cambria Math"/>
                </w:rPr>
                <m:t xml:space="preserve">i </m:t>
              </m:r>
            </m:oMath>
            <w:r w:rsidRPr="00BC31E0">
              <w:rPr>
                <w:rFonts w:hint="eastAsia"/>
              </w:rPr>
              <w:t>列の節点力の合力</w:t>
            </w:r>
          </w:p>
        </w:tc>
        <w:tc>
          <w:tcPr>
            <w:tcW w:w="3686" w:type="dxa"/>
            <w:tcBorders>
              <w:top w:val="nil"/>
              <w:bottom w:val="nil"/>
            </w:tcBorders>
            <w:vAlign w:val="center"/>
          </w:tcPr>
          <w:p w14:paraId="2262B399" w14:textId="77777777" w:rsidR="002D033B" w:rsidRPr="00BC31E0" w:rsidRDefault="002D033B" w:rsidP="00203A92">
            <w:pPr>
              <w:pStyle w:val="15"/>
              <w:ind w:leftChars="50" w:left="105" w:firstLine="210"/>
            </w:pPr>
            <m:oMath>
              <m:r>
                <w:rPr>
                  <w:rFonts w:ascii="Cambria Math" w:hAnsi="Cambria Math"/>
                </w:rPr>
                <m:t xml:space="preserve">i </m:t>
              </m:r>
            </m:oMath>
            <w:r w:rsidRPr="00BC31E0">
              <w:rPr>
                <w:rFonts w:hint="eastAsia"/>
              </w:rPr>
              <w:t>列の節点の合モーメント</w:t>
            </w:r>
          </w:p>
        </w:tc>
      </w:tr>
      <w:tr w:rsidR="002D033B" w:rsidRPr="00BC31E0" w14:paraId="56DE4A73" w14:textId="77777777" w:rsidTr="004736F2">
        <w:tc>
          <w:tcPr>
            <w:tcW w:w="1701" w:type="dxa"/>
            <w:vMerge/>
            <w:vAlign w:val="center"/>
          </w:tcPr>
          <w:p w14:paraId="2CA00CB5" w14:textId="77777777" w:rsidR="002D033B" w:rsidRPr="00BC31E0" w:rsidRDefault="002D033B" w:rsidP="00203A92">
            <w:pPr>
              <w:pStyle w:val="15"/>
              <w:ind w:firstLine="210"/>
            </w:pPr>
          </w:p>
        </w:tc>
        <w:tc>
          <w:tcPr>
            <w:tcW w:w="3685" w:type="dxa"/>
            <w:tcBorders>
              <w:top w:val="nil"/>
              <w:bottom w:val="nil"/>
            </w:tcBorders>
          </w:tcPr>
          <w:p w14:paraId="13144928" w14:textId="77777777" w:rsidR="002D033B" w:rsidRPr="00BC31E0" w:rsidRDefault="00A51873" w:rsidP="00203A92">
            <w:pPr>
              <w:pStyle w:val="15"/>
              <w:ind w:firstLine="210"/>
            </w:pPr>
            <m:oMathPara>
              <m:oMath>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NF</m:t>
                        </m:r>
                      </m:e>
                      <m:sub>
                        <m:r>
                          <w:rPr>
                            <w:rFonts w:ascii="Cambria Math" w:hAnsi="Cambria Math"/>
                          </w:rPr>
                          <m:t>1j</m:t>
                        </m:r>
                      </m:sub>
                    </m:sSub>
                  </m:e>
                </m:nary>
              </m:oMath>
            </m:oMathPara>
          </w:p>
          <w:p w14:paraId="0C474F5D" w14:textId="77777777" w:rsidR="002D033B" w:rsidRPr="00BC31E0" w:rsidRDefault="00A51873" w:rsidP="00203A92">
            <w:pPr>
              <w:pStyle w:val="15"/>
              <w:ind w:firstLine="210"/>
            </w:pPr>
            <m:oMathPara>
              <m:oMath>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NF</m:t>
                        </m:r>
                      </m:e>
                      <m:sub>
                        <m:r>
                          <w:rPr>
                            <w:rFonts w:ascii="Cambria Math" w:hAnsi="Cambria Math"/>
                          </w:rPr>
                          <m:t>2j</m:t>
                        </m:r>
                      </m:sub>
                    </m:sSub>
                  </m:e>
                </m:nary>
              </m:oMath>
            </m:oMathPara>
          </w:p>
          <w:p w14:paraId="26BC4F5F" w14:textId="77777777" w:rsidR="002D033B" w:rsidRPr="00BC31E0" w:rsidRDefault="00A51873" w:rsidP="00203A92">
            <w:pPr>
              <w:pStyle w:val="15"/>
              <w:ind w:firstLine="210"/>
            </w:pPr>
            <m:oMathPara>
              <m:oMath>
                <m:sSub>
                  <m:sSubPr>
                    <m:ctrlPr>
                      <w:rPr>
                        <w:rFonts w:ascii="Cambria Math" w:hAnsi="Cambria Math"/>
                        <w:i/>
                      </w:rPr>
                    </m:ctrlPr>
                  </m:sSubPr>
                  <m:e>
                    <m:r>
                      <w:rPr>
                        <w:rFonts w:ascii="Cambria Math" w:hAnsi="Cambria Math"/>
                      </w:rPr>
                      <m:t>F</m:t>
                    </m:r>
                  </m:e>
                  <m:sub>
                    <m:r>
                      <w:rPr>
                        <w:rFonts w:ascii="Cambria Math" w:hAnsi="Cambria Math"/>
                      </w:rPr>
                      <m:t>3</m:t>
                    </m:r>
                  </m:sub>
                </m:sSub>
                <m:r>
                  <w:rPr>
                    <w:rFonts w:ascii="Cambria Math" w:hAnsi="Cambria Math"/>
                  </w:rPr>
                  <m:t>=</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NF</m:t>
                        </m:r>
                      </m:e>
                      <m:sub>
                        <m:r>
                          <w:rPr>
                            <w:rFonts w:ascii="Cambria Math" w:hAnsi="Cambria Math"/>
                          </w:rPr>
                          <m:t>3j</m:t>
                        </m:r>
                      </m:sub>
                    </m:sSub>
                  </m:e>
                </m:nary>
              </m:oMath>
            </m:oMathPara>
          </w:p>
        </w:tc>
        <w:tc>
          <w:tcPr>
            <w:tcW w:w="3686" w:type="dxa"/>
            <w:tcBorders>
              <w:top w:val="nil"/>
              <w:bottom w:val="nil"/>
            </w:tcBorders>
          </w:tcPr>
          <w:p w14:paraId="213DA5E9" w14:textId="77777777" w:rsidR="002D033B" w:rsidRPr="00BC31E0" w:rsidRDefault="00A51873" w:rsidP="00203A92">
            <w:pPr>
              <w:pStyle w:val="15"/>
              <w:tabs>
                <w:tab w:val="left" w:pos="84"/>
              </w:tabs>
              <w:ind w:firstLine="210"/>
            </w:pPr>
            <m:oMathPara>
              <m:oMath>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NF</m:t>
                        </m:r>
                      </m:e>
                      <m:sub>
                        <m:r>
                          <w:rPr>
                            <w:rFonts w:ascii="Cambria Math" w:hAnsi="Cambria Math"/>
                          </w:rPr>
                          <m:t>1j</m:t>
                        </m:r>
                      </m:sub>
                    </m:sSub>
                  </m:e>
                </m:nary>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j</m:t>
                    </m:r>
                  </m:sub>
                </m:sSub>
              </m:oMath>
            </m:oMathPara>
          </w:p>
          <w:p w14:paraId="5512B08A" w14:textId="77777777" w:rsidR="002D033B" w:rsidRPr="00BC31E0" w:rsidRDefault="00A51873" w:rsidP="00203A92">
            <w:pPr>
              <w:pStyle w:val="15"/>
              <w:tabs>
                <w:tab w:val="left" w:pos="84"/>
              </w:tabs>
              <w:ind w:firstLine="210"/>
            </w:pPr>
            <m:oMathPara>
              <m:oMath>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NF</m:t>
                        </m:r>
                      </m:e>
                      <m:sub>
                        <m:r>
                          <w:rPr>
                            <w:rFonts w:ascii="Cambria Math" w:hAnsi="Cambria Math"/>
                          </w:rPr>
                          <m:t>2j</m:t>
                        </m:r>
                      </m:sub>
                    </m:sSub>
                  </m:e>
                </m:nary>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j</m:t>
                    </m:r>
                  </m:sub>
                </m:sSub>
              </m:oMath>
            </m:oMathPara>
          </w:p>
          <w:p w14:paraId="490B7041" w14:textId="77777777" w:rsidR="002D033B" w:rsidRPr="00BC31E0" w:rsidRDefault="00A51873" w:rsidP="00203A92">
            <w:pPr>
              <w:pStyle w:val="15"/>
              <w:tabs>
                <w:tab w:val="left" w:pos="84"/>
              </w:tabs>
              <w:ind w:firstLine="210"/>
              <w:rPr>
                <w:i/>
              </w:rPr>
            </w:pPr>
            <m:oMathPara>
              <m:oMath>
                <m:sSub>
                  <m:sSubPr>
                    <m:ctrlPr>
                      <w:rPr>
                        <w:rFonts w:ascii="Cambria Math" w:hAnsi="Cambria Math"/>
                        <w:i/>
                      </w:rPr>
                    </m:ctrlPr>
                  </m:sSubPr>
                  <m:e>
                    <m:r>
                      <w:rPr>
                        <w:rFonts w:ascii="Cambria Math" w:hAnsi="Cambria Math"/>
                      </w:rPr>
                      <m:t>M</m:t>
                    </m:r>
                  </m:e>
                  <m:sub>
                    <m:r>
                      <w:rPr>
                        <w:rFonts w:ascii="Cambria Math" w:hAnsi="Cambria Math"/>
                      </w:rPr>
                      <m:t>3</m:t>
                    </m:r>
                  </m:sub>
                </m:sSub>
                <m:r>
                  <w:rPr>
                    <w:rFonts w:ascii="Cambria Math" w:hAnsi="Cambria Math"/>
                  </w:rPr>
                  <m:t>=</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NF</m:t>
                        </m:r>
                      </m:e>
                      <m:sub>
                        <m:r>
                          <w:rPr>
                            <w:rFonts w:ascii="Cambria Math" w:hAnsi="Cambria Math"/>
                          </w:rPr>
                          <m:t>3j</m:t>
                        </m:r>
                      </m:sub>
                    </m:sSub>
                  </m:e>
                </m:nary>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j</m:t>
                    </m:r>
                  </m:sub>
                </m:sSub>
              </m:oMath>
            </m:oMathPara>
          </w:p>
        </w:tc>
      </w:tr>
      <w:tr w:rsidR="002D033B" w:rsidRPr="00BC31E0" w14:paraId="0C2DF72A" w14:textId="77777777" w:rsidTr="004736F2">
        <w:tc>
          <w:tcPr>
            <w:tcW w:w="1701" w:type="dxa"/>
            <w:vMerge/>
            <w:vAlign w:val="center"/>
          </w:tcPr>
          <w:p w14:paraId="28DAF9A4" w14:textId="77777777" w:rsidR="002D033B" w:rsidRPr="00BC31E0" w:rsidRDefault="002D033B" w:rsidP="00203A92">
            <w:pPr>
              <w:pStyle w:val="15"/>
              <w:ind w:firstLine="210"/>
            </w:pPr>
          </w:p>
        </w:tc>
        <w:tc>
          <w:tcPr>
            <w:tcW w:w="3685" w:type="dxa"/>
            <w:tcBorders>
              <w:top w:val="nil"/>
            </w:tcBorders>
          </w:tcPr>
          <w:p w14:paraId="73A7D693" w14:textId="77777777" w:rsidR="002D033B" w:rsidRPr="00BC31E0" w:rsidRDefault="00A51873" w:rsidP="00203A92">
            <w:pPr>
              <w:pStyle w:val="15"/>
              <w:spacing w:line="240" w:lineRule="exact"/>
              <w:ind w:leftChars="50" w:left="105" w:firstLine="210"/>
              <w:jc w:val="left"/>
            </w:pPr>
            <m:oMath>
              <m:sSub>
                <m:sSubPr>
                  <m:ctrlPr>
                    <w:rPr>
                      <w:rFonts w:ascii="Cambria Math" w:hAnsi="Cambria Math"/>
                      <w:i/>
                    </w:rPr>
                  </m:ctrlPr>
                </m:sSubPr>
                <m:e>
                  <m:r>
                    <w:rPr>
                      <w:rFonts w:ascii="Cambria Math" w:hAnsi="Cambria Math"/>
                    </w:rPr>
                    <m:t>NF</m:t>
                  </m:r>
                </m:e>
                <m:sub>
                  <m:r>
                    <w:rPr>
                      <w:rFonts w:ascii="Cambria Math" w:hAnsi="Cambria Math"/>
                    </w:rPr>
                    <m:t>ij</m:t>
                  </m:r>
                </m:sub>
              </m:sSub>
            </m:oMath>
            <w:r w:rsidR="002D033B" w:rsidRPr="00BC31E0">
              <w:rPr>
                <w:rFonts w:hint="eastAsia"/>
              </w:rPr>
              <w:t>：</w:t>
            </w:r>
            <w:r w:rsidR="002D033B" w:rsidRPr="00BC31E0">
              <w:rPr>
                <w:rFonts w:hint="eastAsia"/>
              </w:rPr>
              <w:t>SCL</w:t>
            </w:r>
            <w:r w:rsidR="002D033B" w:rsidRPr="00BC31E0">
              <w:rPr>
                <w:rFonts w:hint="eastAsia"/>
              </w:rPr>
              <w:t>に垂直な要素幅方向の</w:t>
            </w:r>
            <m:oMath>
              <m:r>
                <m:rPr>
                  <m:sty m:val="p"/>
                </m:rPr>
                <w:rPr>
                  <w:rFonts w:ascii="Cambria Math" w:hAnsi="Cambria Math"/>
                </w:rPr>
                <m:t xml:space="preserve"> </m:t>
              </m:r>
              <m:r>
                <w:rPr>
                  <w:rFonts w:ascii="Cambria Math" w:hAnsi="Cambria Math"/>
                </w:rPr>
                <m:t xml:space="preserve">i </m:t>
              </m:r>
            </m:oMath>
            <w:r w:rsidR="002D033B" w:rsidRPr="00BC31E0">
              <w:rPr>
                <w:rFonts w:hint="eastAsia"/>
              </w:rPr>
              <w:t>列の節点</w:t>
            </w:r>
            <m:oMath>
              <m:r>
                <m:rPr>
                  <m:sty m:val="p"/>
                </m:rPr>
                <w:rPr>
                  <w:rFonts w:ascii="Cambria Math" w:hAnsi="Cambria Math"/>
                </w:rPr>
                <m:t xml:space="preserve"> </m:t>
              </m:r>
              <m:r>
                <w:rPr>
                  <w:rFonts w:ascii="Cambria Math" w:hAnsi="Cambria Math"/>
                </w:rPr>
                <m:t xml:space="preserve">j </m:t>
              </m:r>
            </m:oMath>
            <w:r w:rsidR="002D033B" w:rsidRPr="00BC31E0">
              <w:rPr>
                <w:rFonts w:hint="eastAsia"/>
              </w:rPr>
              <w:t>における節点力</w:t>
            </w:r>
            <w:r w:rsidR="002D033B" w:rsidRPr="00BC31E0">
              <w:rPr>
                <w:rFonts w:hint="eastAsia"/>
              </w:rPr>
              <w:t>(</w:t>
            </w:r>
            <w:r w:rsidR="002D033B" w:rsidRPr="00BC31E0">
              <w:rPr>
                <w:rFonts w:ascii="Cambria Math" w:hAnsi="Cambria Math"/>
              </w:rPr>
              <w:t>N</w:t>
            </w:r>
            <w:r w:rsidR="002D033B" w:rsidRPr="00BC31E0">
              <w:rPr>
                <w:rFonts w:hint="eastAsia"/>
              </w:rPr>
              <w:t>)</w:t>
            </w:r>
          </w:p>
        </w:tc>
        <w:tc>
          <w:tcPr>
            <w:tcW w:w="3686" w:type="dxa"/>
            <w:tcBorders>
              <w:top w:val="nil"/>
            </w:tcBorders>
          </w:tcPr>
          <w:p w14:paraId="08DFC8FB" w14:textId="77777777" w:rsidR="002D033B" w:rsidRPr="00BC31E0" w:rsidRDefault="002D033B" w:rsidP="00203A92">
            <w:pPr>
              <w:pStyle w:val="15"/>
              <w:ind w:firstLine="210"/>
            </w:pPr>
          </w:p>
        </w:tc>
      </w:tr>
    </w:tbl>
    <w:p w14:paraId="5A6FBFA7" w14:textId="77777777" w:rsidR="002D033B" w:rsidRPr="00BC31E0" w:rsidRDefault="00A51873" w:rsidP="00203A92">
      <w:pPr>
        <w:pStyle w:val="15"/>
        <w:ind w:firstLine="210"/>
        <w:jc w:val="center"/>
        <w:rPr>
          <w:rFonts w:asciiTheme="minorEastAsia" w:eastAsiaTheme="minorEastAsia" w:hAnsiTheme="minorEastAsia"/>
        </w:rPr>
      </w:pPr>
      <w:r>
        <w:rPr>
          <w:rFonts w:asciiTheme="minorEastAsia" w:eastAsiaTheme="minorEastAsia" w:hAnsiTheme="minorEastAsia"/>
          <w:noProof/>
        </w:rPr>
      </w:r>
      <w:r>
        <w:rPr>
          <w:rFonts w:asciiTheme="minorEastAsia" w:eastAsiaTheme="minorEastAsia" w:hAnsiTheme="minorEastAsia"/>
          <w:noProof/>
        </w:rPr>
        <w:pict w14:anchorId="03179D9E">
          <v:group id="グループ化 12764" o:spid="_x0000_s3214" style="width:452.75pt;height:390.45pt;mso-position-horizontal-relative:char;mso-position-vertical-relative:line" coordorigin="1419,2479" coordsize="9055,7809">
            <v:shape id="Picture 575" o:spid="_x0000_s3215" type="#_x0000_t75" style="position:absolute;left:1419;top:2600;width:9055;height:76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">
              <v:imagedata r:id="rId191" o:title=""/>
            </v:shape>
            <v:shape id="Text Box 576" o:spid="_x0000_s3216" type="#_x0000_t202" style="position:absolute;left:5237;top:2479;width:3270;height:6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" stroked="f">
              <v:textbox inset="5.85pt,.7pt,5.85pt,.7pt">
                <w:txbxContent>
                  <w:p w14:paraId="364111C2" w14:textId="77777777" w:rsidR="003B0864" w:rsidRPr="00A37FD8" w:rsidRDefault="003B0864" w:rsidP="002D033B">
                    <w:pPr>
                      <w:snapToGrid w:val="0"/>
                      <w:rPr>
                        <w:rFonts w:ascii="Arial" w:eastAsia="ＭＳ ゴシック" w:hAnsi="Arial" w:cs="Arial"/>
                        <w:sz w:val="20"/>
                      </w:rPr>
                    </w:pPr>
                    <w:r w:rsidRPr="00A37FD8">
                      <w:rPr>
                        <w:rFonts w:ascii="Arial" w:eastAsia="ＭＳ ゴシック" w:hAnsi="ＭＳ ゴシック" w:cs="Arial"/>
                        <w:sz w:val="20"/>
                      </w:rPr>
                      <w:t>局所座標系へ変換した</w:t>
                    </w:r>
                  </w:p>
                  <w:p w14:paraId="79531B09" w14:textId="77777777" w:rsidR="003B0864" w:rsidRPr="00A37FD8" w:rsidRDefault="003B0864" w:rsidP="002D033B">
                    <w:pPr>
                      <w:snapToGrid w:val="0"/>
                      <w:rPr>
                        <w:rFonts w:ascii="Arial" w:eastAsia="ＭＳ ゴシック" w:hAnsi="Arial" w:cs="Arial"/>
                        <w:sz w:val="20"/>
                      </w:rPr>
                    </w:pPr>
                    <w:r>
                      <w:rPr>
                        <w:rFonts w:ascii="Arial" w:eastAsia="ＭＳ ゴシック" w:hAnsi="ＭＳ ゴシック" w:cs="Arial" w:hint="eastAsia"/>
                        <w:sz w:val="20"/>
                      </w:rPr>
                      <w:t>節点</w:t>
                    </w:r>
                    <w:r>
                      <w:rPr>
                        <w:rFonts w:ascii="Arial" w:eastAsia="ＭＳ ゴシック" w:hAnsi="ＭＳ ゴシック" w:cs="Arial" w:hint="eastAsia"/>
                        <w:sz w:val="20"/>
                      </w:rPr>
                      <w:t>j</w:t>
                    </w:r>
                    <w:r>
                      <w:rPr>
                        <w:rFonts w:ascii="Arial" w:eastAsia="ＭＳ ゴシック" w:hAnsi="ＭＳ ゴシック" w:cs="Arial" w:hint="eastAsia"/>
                        <w:sz w:val="20"/>
                      </w:rPr>
                      <w:t>の</w:t>
                    </w:r>
                    <w:r w:rsidRPr="00A37FD8">
                      <w:rPr>
                        <w:rFonts w:ascii="Arial" w:eastAsia="ＭＳ ゴシック" w:hAnsi="ＭＳ ゴシック" w:cs="Arial"/>
                        <w:sz w:val="20"/>
                      </w:rPr>
                      <w:t>節点力</w:t>
                    </w:r>
                    <w:r w:rsidRPr="00A37FD8">
                      <w:rPr>
                        <w:rFonts w:ascii="Arial" w:eastAsia="ＭＳ ゴシック" w:hAnsi="Arial" w:cs="Arial"/>
                        <w:sz w:val="20"/>
                      </w:rPr>
                      <w:t>(</w:t>
                    </w:r>
                    <w:r w:rsidRPr="00BF03BD">
                      <w:rPr>
                        <w:rFonts w:ascii="Arial" w:eastAsia="ＭＳ ゴシック" w:hAnsi="Arial" w:cs="Arial"/>
                        <w:sz w:val="20"/>
                      </w:rPr>
                      <w:t>NF</w:t>
                    </w:r>
                    <w:r w:rsidRPr="00BF03BD">
                      <w:rPr>
                        <w:rFonts w:ascii="Arial" w:eastAsia="ＭＳ ゴシック" w:hAnsi="Arial" w:cs="Arial"/>
                        <w:sz w:val="20"/>
                        <w:vertAlign w:val="subscript"/>
                      </w:rPr>
                      <w:t>j</w:t>
                    </w:r>
                    <w:r w:rsidRPr="00A37FD8">
                      <w:rPr>
                        <w:rFonts w:ascii="Arial" w:eastAsia="ＭＳ ゴシック" w:hAnsi="Arial" w:cs="Arial"/>
                        <w:sz w:val="20"/>
                      </w:rPr>
                      <w:t>)</w:t>
                    </w:r>
                  </w:p>
                </w:txbxContent>
              </v:textbox>
            </v:shape>
            <v:shape id="Text Box 577" o:spid="_x0000_s3217" type="#_x0000_t202" style="position:absolute;left:7563;top:5966;width:2833;height:6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" stroked="f">
              <v:textbox inset="5.85pt,.7pt,5.85pt,.7pt">
                <w:txbxContent>
                  <w:p w14:paraId="5286BE08" w14:textId="77777777" w:rsidR="003B0864" w:rsidRPr="00A37FD8" w:rsidRDefault="003B0864" w:rsidP="002D033B">
                    <w:pPr>
                      <w:rPr>
                        <w:rFonts w:ascii="Arial" w:eastAsia="ＭＳ ゴシック" w:hAnsi="Arial" w:cs="Arial"/>
                        <w:sz w:val="20"/>
                      </w:rPr>
                    </w:pPr>
                    <w:r>
                      <w:rPr>
                        <w:rFonts w:ascii="Arial" w:eastAsia="ＭＳ ゴシック" w:hAnsi="Arial" w:cs="Arial"/>
                        <w:sz w:val="20"/>
                      </w:rPr>
                      <w:t>(</w:t>
                    </w:r>
                    <w:r>
                      <w:rPr>
                        <w:rFonts w:ascii="Arial" w:eastAsia="ＭＳ ゴシック" w:hAnsi="Arial" w:cs="Arial" w:hint="eastAsia"/>
                        <w:sz w:val="20"/>
                      </w:rPr>
                      <w:t>三</w:t>
                    </w:r>
                    <w:r w:rsidRPr="00A37FD8">
                      <w:rPr>
                        <w:rFonts w:ascii="Arial" w:eastAsia="ＭＳ ゴシック" w:hAnsi="ＭＳ ゴシック" w:cs="Arial"/>
                        <w:sz w:val="20"/>
                      </w:rPr>
                      <w:t>次元</w:t>
                    </w:r>
                    <w:r>
                      <w:rPr>
                        <w:rFonts w:ascii="Arial" w:eastAsia="ＭＳ ゴシック" w:hAnsi="ＭＳ ゴシック" w:cs="Arial" w:hint="eastAsia"/>
                        <w:sz w:val="20"/>
                      </w:rPr>
                      <w:t>連続体</w:t>
                    </w:r>
                    <w:r w:rsidRPr="00A37FD8">
                      <w:rPr>
                        <w:rFonts w:ascii="Arial" w:eastAsia="ＭＳ ゴシック" w:hAnsi="ＭＳ ゴシック" w:cs="Arial"/>
                        <w:sz w:val="20"/>
                      </w:rPr>
                      <w:t>要素の要素幅</w:t>
                    </w:r>
                    <w:r w:rsidRPr="00A37FD8">
                      <w:rPr>
                        <w:rFonts w:ascii="Arial" w:eastAsia="ＭＳ ゴシック" w:hAnsi="Arial" w:cs="Arial"/>
                        <w:sz w:val="20"/>
                      </w:rPr>
                      <w:t>)</w:t>
                    </w:r>
                  </w:p>
                </w:txbxContent>
              </v:textbox>
            </v:shape>
            <v:shape id="Text Box 578" o:spid="_x0000_s3218" type="#_x0000_t202" style="position:absolute;left:4086;top:9008;width:3200;height:6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" stroked="f">
              <v:textbox inset="5.85pt,.7pt,5.85pt,.7pt">
                <w:txbxContent>
                  <w:p w14:paraId="0DB55435" w14:textId="77777777" w:rsidR="003B0864" w:rsidRPr="008B7FC7" w:rsidRDefault="003B0864" w:rsidP="002D033B">
                    <w:pPr>
                      <w:snapToGrid w:val="0"/>
                      <w:rPr>
                        <w:rFonts w:ascii="Arial" w:eastAsia="ＭＳ ゴシック" w:hAnsi="Arial" w:cs="Arial"/>
                        <w:sz w:val="20"/>
                      </w:rPr>
                    </w:pPr>
                    <w:r w:rsidRPr="00091A94">
                      <w:rPr>
                        <w:rFonts w:asciiTheme="minorHAnsi" w:eastAsia="ＭＳ ゴシック" w:hAnsiTheme="minorHAnsi"/>
                      </w:rPr>
                      <w:t>SCL</w:t>
                    </w:r>
                    <w:r>
                      <w:rPr>
                        <w:rFonts w:asciiTheme="minorHAnsi" w:eastAsia="ＭＳ ゴシック" w:hAnsiTheme="minorHAnsi" w:hint="eastAsia"/>
                      </w:rPr>
                      <w:t>(</w:t>
                    </w:r>
                    <w:r>
                      <w:rPr>
                        <w:rFonts w:asciiTheme="minorHAnsi" w:eastAsia="ＭＳ ゴシック" w:hAnsiTheme="minorHAnsi" w:hint="eastAsia"/>
                      </w:rPr>
                      <w:t>断面</w:t>
                    </w:r>
                    <w:r>
                      <w:rPr>
                        <w:rFonts w:asciiTheme="minorHAnsi" w:eastAsia="ＭＳ ゴシック" w:hAnsiTheme="minorHAnsi" w:hint="eastAsia"/>
                      </w:rPr>
                      <w:t>A-A)</w:t>
                    </w:r>
                    <w:r>
                      <w:rPr>
                        <w:rFonts w:asciiTheme="minorHAnsi" w:eastAsia="ＭＳ ゴシック" w:hAnsiTheme="minorHAnsi" w:hint="eastAsia"/>
                      </w:rPr>
                      <w:t>に</w:t>
                    </w:r>
                    <w:r>
                      <w:rPr>
                        <w:rFonts w:ascii="Arial" w:eastAsia="ＭＳ ゴシック" w:hAnsi="ＭＳ ゴシック" w:cs="Arial" w:hint="eastAsia"/>
                        <w:sz w:val="20"/>
                      </w:rPr>
                      <w:t>直交する要素</w:t>
                    </w:r>
                  </w:p>
                </w:txbxContent>
              </v:textbox>
            </v:shape>
            <w10:anchorlock/>
          </v:group>
        </w:pict>
      </w:r>
    </w:p>
    <w:p w14:paraId="0C1848C1" w14:textId="77777777" w:rsidR="002D033B" w:rsidRPr="00BC31E0" w:rsidRDefault="002D033B" w:rsidP="00A75C2E">
      <w:pPr>
        <w:pStyle w:val="af4"/>
      </w:pPr>
      <w:r w:rsidRPr="00BC31E0">
        <w:rPr>
          <w:rFonts w:hint="eastAsia"/>
        </w:rPr>
        <w:t>図L.6　連続体要素に対する節点力に基づく構造応力法による応力線形化</w:t>
      </w:r>
      <w:r w:rsidRPr="00BC31E0">
        <w:rPr>
          <w:rFonts w:hint="eastAsia"/>
          <w:vertAlign w:val="superscript"/>
        </w:rPr>
        <w:t>†</w:t>
      </w:r>
    </w:p>
    <w:p w14:paraId="1AABDAD9" w14:textId="77777777" w:rsidR="002D033B" w:rsidRPr="00BC31E0" w:rsidRDefault="002D033B" w:rsidP="00203A92">
      <w:pPr>
        <w:pStyle w:val="15"/>
        <w:ind w:firstLine="210"/>
        <w:rPr>
          <w:rFonts w:asciiTheme="minorEastAsia" w:eastAsiaTheme="minorEastAsia" w:hAnsiTheme="minorEastAsia"/>
        </w:rPr>
      </w:pPr>
    </w:p>
    <w:p w14:paraId="4DF77C4A" w14:textId="77777777" w:rsidR="002D033B" w:rsidRPr="00BC31E0" w:rsidRDefault="002D033B" w:rsidP="002D033B">
      <w:pPr>
        <w:widowControl/>
        <w:rPr>
          <w:rFonts w:asciiTheme="minorEastAsia" w:eastAsiaTheme="minorEastAsia" w:hAnsiTheme="minorEastAsia"/>
        </w:rPr>
      </w:pPr>
      <w:r w:rsidRPr="00BC31E0">
        <w:rPr>
          <w:rFonts w:asciiTheme="minorEastAsia" w:eastAsiaTheme="minorEastAsia" w:hAnsiTheme="minorEastAsia"/>
        </w:rPr>
        <w:br w:type="page"/>
      </w:r>
    </w:p>
    <w:p w14:paraId="2A680B56" w14:textId="77777777" w:rsidR="002D033B" w:rsidRPr="00BC31E0" w:rsidRDefault="00A51873" w:rsidP="00203A92">
      <w:pPr>
        <w:pStyle w:val="15"/>
        <w:ind w:firstLine="211"/>
        <w:jc w:val="center"/>
        <w:rPr>
          <w:rFonts w:ascii="ＭＳ ゴシック" w:eastAsia="ＭＳ ゴシック" w:hAnsi="ＭＳ ゴシック"/>
          <w:b/>
        </w:rPr>
      </w:pPr>
      <w:r>
        <w:rPr>
          <w:rFonts w:ascii="ＭＳ ゴシック" w:eastAsia="ＭＳ ゴシック" w:hAnsi="ＭＳ ゴシック"/>
          <w:b/>
          <w:noProof/>
        </w:rPr>
      </w:r>
      <w:r>
        <w:rPr>
          <w:rFonts w:ascii="ＭＳ ゴシック" w:eastAsia="ＭＳ ゴシック" w:hAnsi="ＭＳ ゴシック"/>
          <w:b/>
          <w:noProof/>
        </w:rPr>
        <w:pict w14:anchorId="5D71A40A">
          <v:group id="グループ化 12757" o:spid="_x0000_s3219" style="width:453.35pt;height:591.6pt;mso-position-horizontal-relative:char;mso-position-vertical-relative:line" coordorigin="1418,1707" coordsize="9067,11832">
            <v:shape id="Picture 568" o:spid="_x0000_s3220" type="#_x0000_t75" style="position:absolute;left:1418;top:1707;width:9067;height:117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">
              <v:imagedata r:id="rId192" o:title=""/>
            </v:shape>
            <v:shape id="Text Box 569" o:spid="_x0000_s3221" type="#_x0000_t202" style="position:absolute;left:6993;top:5308;width:1468;height:38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" stroked="f">
              <v:textbox style="mso-fit-shape-to-text:t" inset="5.85pt,.7pt,5.85pt,.7pt">
                <w:txbxContent>
                  <w:p w14:paraId="52156C14" w14:textId="77777777" w:rsidR="003B0864" w:rsidRPr="00A37FD8" w:rsidRDefault="003B0864" w:rsidP="002D033B">
                    <w:pPr>
                      <w:rPr>
                        <w:rFonts w:ascii="Arial" w:eastAsia="ＭＳ ゴシック" w:hAnsi="Arial" w:cs="Arial"/>
                        <w:sz w:val="20"/>
                      </w:rPr>
                    </w:pPr>
                    <w:r w:rsidRPr="00A37FD8">
                      <w:rPr>
                        <w:rFonts w:ascii="Arial" w:eastAsia="ＭＳ ゴシック" w:hAnsi="ＭＳ ゴシック" w:cs="Arial"/>
                        <w:sz w:val="20"/>
                      </w:rPr>
                      <w:t>詳細</w:t>
                    </w:r>
                    <w:r w:rsidRPr="00A37FD8">
                      <w:rPr>
                        <w:rFonts w:ascii="Arial" w:eastAsia="ＭＳ ゴシック" w:hAnsi="Arial" w:cs="Arial"/>
                        <w:sz w:val="20"/>
                      </w:rPr>
                      <w:t>A</w:t>
                    </w:r>
                    <w:r w:rsidRPr="00A37FD8">
                      <w:rPr>
                        <w:rFonts w:ascii="Arial" w:eastAsia="ＭＳ ゴシック" w:hAnsi="ＭＳ ゴシック" w:cs="Arial"/>
                        <w:sz w:val="20"/>
                      </w:rPr>
                      <w:t>を参照</w:t>
                    </w:r>
                  </w:p>
                </w:txbxContent>
              </v:textbox>
            </v:shape>
            <v:shape id="Text Box 570" o:spid="_x0000_s3222" type="#_x0000_t202" style="position:absolute;left:2197;top:6980;width:1495;height:64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" stroked="f">
              <v:textbox inset="5.85pt,.7pt,5.85pt,.7pt">
                <w:txbxContent>
                  <w:p w14:paraId="20407956" w14:textId="77777777" w:rsidR="003B0864" w:rsidRDefault="003B0864" w:rsidP="002D033B">
                    <w:pPr>
                      <w:spacing w:before="60"/>
                    </w:pPr>
                    <w:r>
                      <w:rPr>
                        <w:rFonts w:hint="eastAsia"/>
                      </w:rPr>
                      <w:t>要素の節点力</w:t>
                    </w:r>
                  </w:p>
                </w:txbxContent>
              </v:textbox>
            </v:shape>
            <v:shape id="Text Box 571" o:spid="_x0000_s3223" type="#_x0000_t202" style="position:absolute;left:3063;top:12863;width:818;height:38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" stroked="f">
              <v:textbox style="mso-fit-shape-to-text:t" inset="5.85pt,.7pt,5.85pt,.7pt">
                <w:txbxContent>
                  <w:p w14:paraId="75E7BE44" w14:textId="77777777" w:rsidR="003B0864" w:rsidRPr="00A37FD8" w:rsidRDefault="003B0864" w:rsidP="002D033B">
                    <w:pPr>
                      <w:rPr>
                        <w:rFonts w:ascii="Arial" w:eastAsia="ＭＳ ゴシック" w:hAnsi="Arial" w:cs="Arial"/>
                        <w:sz w:val="20"/>
                      </w:rPr>
                    </w:pPr>
                    <w:r w:rsidRPr="00A37FD8">
                      <w:rPr>
                        <w:rFonts w:ascii="Arial" w:eastAsia="ＭＳ ゴシック" w:hAnsi="ＭＳ ゴシック" w:cs="Arial"/>
                        <w:sz w:val="20"/>
                      </w:rPr>
                      <w:t>詳細</w:t>
                    </w:r>
                    <w:r w:rsidRPr="00A37FD8">
                      <w:rPr>
                        <w:rFonts w:ascii="Arial" w:eastAsia="ＭＳ ゴシック" w:hAnsi="Arial" w:cs="Arial"/>
                        <w:sz w:val="20"/>
                      </w:rPr>
                      <w:t>A</w:t>
                    </w:r>
                  </w:p>
                </w:txbxContent>
              </v:textbox>
            </v:shape>
            <v:shape id="Text Box 572" o:spid="_x0000_s3224" type="#_x0000_t202" style="position:absolute;left:3903;top:9925;width:2349;height:6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" stroked="f">
              <v:textbox inset="5.85pt,.7pt,5.85pt,.7pt">
                <w:txbxContent>
                  <w:p w14:paraId="5040F0AA" w14:textId="77777777" w:rsidR="003B0864" w:rsidRPr="00A37FD8" w:rsidRDefault="003B0864" w:rsidP="002D033B">
                    <w:pPr>
                      <w:snapToGrid w:val="0"/>
                      <w:rPr>
                        <w:rFonts w:ascii="Arial" w:eastAsia="ＭＳ ゴシック" w:hAnsi="Arial" w:cs="Arial"/>
                        <w:sz w:val="20"/>
                      </w:rPr>
                    </w:pPr>
                    <w:r w:rsidRPr="00A37FD8">
                      <w:rPr>
                        <w:rFonts w:ascii="Arial" w:eastAsia="ＭＳ ゴシック" w:hAnsi="ＭＳ ゴシック" w:cs="Arial" w:hint="eastAsia"/>
                        <w:sz w:val="20"/>
                      </w:rPr>
                      <w:t>溶接</w:t>
                    </w:r>
                    <w:r w:rsidRPr="00A37FD8">
                      <w:rPr>
                        <w:rFonts w:ascii="Arial" w:eastAsia="ＭＳ ゴシック" w:hAnsi="ＭＳ ゴシック" w:cs="Arial"/>
                        <w:sz w:val="20"/>
                      </w:rPr>
                      <w:t>止端</w:t>
                    </w:r>
                    <w:r w:rsidRPr="00A37FD8">
                      <w:rPr>
                        <w:rFonts w:ascii="Arial" w:eastAsia="ＭＳ ゴシック" w:hAnsi="ＭＳ ゴシック" w:cs="Arial" w:hint="eastAsia"/>
                        <w:sz w:val="20"/>
                      </w:rPr>
                      <w:t>部</w:t>
                    </w:r>
                    <w:r w:rsidRPr="00A37FD8">
                      <w:rPr>
                        <w:rFonts w:ascii="Arial" w:eastAsia="ＭＳ ゴシック" w:hAnsi="ＭＳ ゴシック" w:cs="Arial"/>
                        <w:sz w:val="20"/>
                      </w:rPr>
                      <w:t>に沿って</w:t>
                    </w:r>
                  </w:p>
                  <w:p w14:paraId="665D920E" w14:textId="77777777" w:rsidR="003B0864" w:rsidRPr="00A37FD8" w:rsidRDefault="003B0864" w:rsidP="002D033B">
                    <w:pPr>
                      <w:snapToGrid w:val="0"/>
                      <w:rPr>
                        <w:rFonts w:ascii="Arial" w:eastAsia="ＭＳ ゴシック" w:hAnsi="Arial" w:cs="Arial"/>
                        <w:sz w:val="20"/>
                      </w:rPr>
                    </w:pPr>
                    <w:r w:rsidRPr="00A37FD8">
                      <w:rPr>
                        <w:rFonts w:ascii="Arial" w:eastAsia="ＭＳ ゴシック" w:hAnsi="Arial" w:cs="Arial"/>
                        <w:sz w:val="20"/>
                      </w:rPr>
                      <w:t>i=1, 2, 3</w:t>
                    </w:r>
                  </w:p>
                </w:txbxContent>
              </v:textbox>
            </v:shape>
            <v:shape id="Text Box 573" o:spid="_x0000_s3225" type="#_x0000_t202" style="position:absolute;left:7589;top:13151;width:1018;height:38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" stroked="f">
              <v:textbox style="mso-fit-shape-to-text:t" inset="5.85pt,.7pt,5.85pt,.7pt">
                <w:txbxContent>
                  <w:p w14:paraId="0EA5A9E7" w14:textId="77777777" w:rsidR="003B0864" w:rsidRPr="00A45575" w:rsidRDefault="003B0864" w:rsidP="002D033B">
                    <w:pPr>
                      <w:rPr>
                        <w:rFonts w:ascii="Arial" w:eastAsia="ＭＳ ゴシック" w:hAnsi="Arial" w:cs="Arial"/>
                        <w:sz w:val="20"/>
                      </w:rPr>
                    </w:pPr>
                    <w:r>
                      <w:rPr>
                        <w:rFonts w:ascii="Arial" w:eastAsia="ＭＳ ゴシック" w:hAnsi="ＭＳ ゴシック" w:cs="Arial" w:hint="eastAsia"/>
                        <w:sz w:val="20"/>
                      </w:rPr>
                      <w:t>断面</w:t>
                    </w:r>
                    <w:r>
                      <w:rPr>
                        <w:rFonts w:ascii="Arial" w:eastAsia="ＭＳ ゴシック" w:hAnsi="ＭＳ ゴシック" w:cs="Arial" w:hint="eastAsia"/>
                        <w:sz w:val="20"/>
                      </w:rPr>
                      <w:t>A-A</w:t>
                    </w:r>
                  </w:p>
                </w:txbxContent>
              </v:textbox>
            </v:shape>
            <w10:anchorlock/>
          </v:group>
        </w:pict>
      </w:r>
    </w:p>
    <w:p w14:paraId="74879DA8" w14:textId="77777777" w:rsidR="002D033B" w:rsidRPr="00BC31E0" w:rsidRDefault="002D033B" w:rsidP="00A75C2E">
      <w:pPr>
        <w:pStyle w:val="af4"/>
        <w:rPr>
          <w:vertAlign w:val="superscript"/>
        </w:rPr>
      </w:pPr>
      <w:r w:rsidRPr="00BC31E0">
        <w:rPr>
          <w:rFonts w:hint="eastAsia"/>
        </w:rPr>
        <w:t>図L.7　三次元二連続体要素に対する構造応力法による節点力の処理</w:t>
      </w:r>
      <w:r w:rsidRPr="00BC31E0">
        <w:rPr>
          <w:rFonts w:hint="eastAsia"/>
          <w:vertAlign w:val="superscript"/>
        </w:rPr>
        <w:t>†</w:t>
      </w:r>
    </w:p>
    <w:p w14:paraId="11B837CF" w14:textId="77777777" w:rsidR="002D033B" w:rsidRPr="00BC31E0" w:rsidRDefault="002D033B" w:rsidP="002D033B">
      <w:pPr>
        <w:pStyle w:val="15"/>
        <w:ind w:left="1260" w:hangingChars="600" w:hanging="1260"/>
        <w:rPr>
          <w:rFonts w:asciiTheme="minorEastAsia" w:eastAsiaTheme="minorEastAsia" w:hAnsiTheme="minorEastAsia"/>
        </w:rPr>
      </w:pPr>
    </w:p>
    <w:p w14:paraId="6341CAC0" w14:textId="77777777" w:rsidR="002D033B" w:rsidRPr="00BC31E0" w:rsidRDefault="002D033B" w:rsidP="002D033B">
      <w:pPr>
        <w:widowControl/>
        <w:rPr>
          <w:rFonts w:asciiTheme="minorEastAsia" w:eastAsiaTheme="minorEastAsia" w:hAnsiTheme="minorEastAsia"/>
        </w:rPr>
      </w:pPr>
      <w:r w:rsidRPr="00BC31E0">
        <w:rPr>
          <w:rFonts w:asciiTheme="minorEastAsia" w:eastAsiaTheme="minorEastAsia" w:hAnsiTheme="minorEastAsia"/>
        </w:rPr>
        <w:br w:type="page"/>
      </w:r>
    </w:p>
    <w:p w14:paraId="6E0C1DAF" w14:textId="77777777" w:rsidR="002D033B" w:rsidRPr="00BC31E0" w:rsidRDefault="00A51873" w:rsidP="00203A92">
      <w:pPr>
        <w:pStyle w:val="15"/>
        <w:ind w:firstLine="210"/>
        <w:jc w:val="center"/>
        <w:rPr>
          <w:rFonts w:asciiTheme="minorEastAsia" w:eastAsiaTheme="minorEastAsia" w:hAnsiTheme="minorEastAsia"/>
        </w:rPr>
      </w:pPr>
      <w:r>
        <w:rPr>
          <w:rFonts w:asciiTheme="minorEastAsia" w:eastAsiaTheme="minorEastAsia" w:hAnsiTheme="minorEastAsia"/>
          <w:noProof/>
        </w:rPr>
      </w:r>
      <w:r>
        <w:rPr>
          <w:rFonts w:asciiTheme="minorEastAsia" w:eastAsiaTheme="minorEastAsia" w:hAnsiTheme="minorEastAsia"/>
          <w:noProof/>
        </w:rPr>
        <w:pict w14:anchorId="32547B8F">
          <v:group id="グループ化 12745" o:spid="_x0000_s3226" style="width:453.35pt;height:566.2pt;mso-position-horizontal-relative:char;mso-position-vertical-relative:line" coordorigin="1418,1789" coordsize="9067,11324">
            <v:shape id="Picture 556" o:spid="_x0000_s3227" type="#_x0000_t75" style="position:absolute;left:1418;top:1905;width:9067;height:111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">
              <v:imagedata r:id="rId193" o:title=""/>
            </v:shape>
            <v:shape id="Text Box 557" o:spid="_x0000_s3228" type="#_x0000_t202" style="position:absolute;left:2313;top:1789;width:2491;height:5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" stroked="f">
              <v:textbox inset="5.85pt,.7pt,5.85pt,.7pt">
                <w:txbxContent>
                  <w:p w14:paraId="6981ABD2" w14:textId="77777777" w:rsidR="003B0864" w:rsidRPr="00A37FD8" w:rsidRDefault="003B0864" w:rsidP="002D033B">
                    <w:pPr>
                      <w:ind w:firstLineChars="300" w:firstLine="600"/>
                      <w:rPr>
                        <w:rFonts w:ascii="ＭＳ ゴシック" w:eastAsia="ＭＳ ゴシック" w:hAnsi="ＭＳ ゴシック"/>
                        <w:sz w:val="20"/>
                      </w:rPr>
                    </w:pPr>
                    <w:r w:rsidRPr="00A37FD8">
                      <w:rPr>
                        <w:rFonts w:ascii="ＭＳ ゴシック" w:eastAsia="ＭＳ ゴシック" w:hAnsi="ＭＳ ゴシック" w:hint="eastAsia"/>
                        <w:sz w:val="20"/>
                      </w:rPr>
                      <w:t>構造応力</w:t>
                    </w:r>
                  </w:p>
                </w:txbxContent>
              </v:textbox>
            </v:shape>
            <v:shape id="Text Box 558" o:spid="_x0000_s3229" type="#_x0000_t202" style="position:absolute;left:4516;top:2158;width:1448;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" stroked="f">
              <v:textbox style="mso-fit-shape-to-text:t" inset="5.85pt,.7pt,5.85pt,.7pt">
                <w:txbxContent>
                  <w:p w14:paraId="3B030FFF" w14:textId="77777777" w:rsidR="003B0864" w:rsidRPr="00A37FD8" w:rsidRDefault="003B0864" w:rsidP="002D033B">
                    <w:pPr>
                      <w:jc w:val="center"/>
                      <w:rPr>
                        <w:rFonts w:ascii="ＭＳ ゴシック" w:eastAsia="ＭＳ ゴシック" w:hAnsi="ＭＳ ゴシック"/>
                        <w:sz w:val="20"/>
                      </w:rPr>
                    </w:pPr>
                    <w:r w:rsidRPr="00A37FD8">
                      <w:rPr>
                        <w:rFonts w:ascii="ＭＳ ゴシック" w:eastAsia="ＭＳ ゴシック" w:hAnsi="ＭＳ ゴシック" w:hint="eastAsia"/>
                        <w:sz w:val="20"/>
                      </w:rPr>
                      <w:t>引張</w:t>
                    </w:r>
                  </w:p>
                </w:txbxContent>
              </v:textbox>
            </v:shape>
            <v:shape id="Text Box 559" o:spid="_x0000_s3230" type="#_x0000_t202" style="position:absolute;left:7917;top:1809;width:2095;height: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" stroked="f">
              <v:textbox inset="5.85pt,.7pt,5.85pt,.7pt">
                <w:txbxContent>
                  <w:p w14:paraId="5B1DDEA0" w14:textId="77777777" w:rsidR="003B0864" w:rsidRPr="001E3E63" w:rsidRDefault="003B0864" w:rsidP="002D033B">
                    <w:pPr>
                      <w:rPr>
                        <w:rFonts w:ascii="ＭＳ ゴシック" w:eastAsia="ＭＳ ゴシック" w:hAnsi="ＭＳ ゴシック"/>
                        <w:sz w:val="20"/>
                      </w:rPr>
                    </w:pPr>
                    <w:r w:rsidRPr="001E3E63">
                      <w:rPr>
                        <w:rFonts w:ascii="ＭＳ ゴシック" w:eastAsia="ＭＳ ゴシック" w:hAnsi="ＭＳ ゴシック" w:hint="eastAsia"/>
                        <w:sz w:val="20"/>
                      </w:rPr>
                      <w:t>構造応力</w:t>
                    </w:r>
                    <w:r>
                      <w:rPr>
                        <w:rFonts w:ascii="ＭＳ ゴシック" w:eastAsia="ＭＳ ゴシック" w:hAnsi="ＭＳ ゴシック" w:hint="eastAsia"/>
                        <w:sz w:val="20"/>
                      </w:rPr>
                      <w:t>の変動範囲</w:t>
                    </w:r>
                  </w:p>
                </w:txbxContent>
              </v:textbox>
            </v:shape>
            <v:shape id="Text Box 560" o:spid="_x0000_s3231" type="#_x0000_t202" style="position:absolute;left:3049;top:4010;width:6140;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" stroked="f">
              <v:textbox style="mso-fit-shape-to-text:t" inset="5.85pt,.7pt,5.85pt,.7pt">
                <w:txbxContent>
                  <w:p w14:paraId="2C7699C7" w14:textId="77777777" w:rsidR="003B0864" w:rsidRDefault="003B0864" w:rsidP="002D033B">
                    <w:pPr>
                      <w:ind w:firstLineChars="300" w:firstLine="630"/>
                    </w:pPr>
                    <w:r>
                      <w:rPr>
                        <w:rFonts w:hint="eastAsia"/>
                      </w:rPr>
                      <w:t xml:space="preserve">(a) </w:t>
                    </w:r>
                    <w:r>
                      <w:rPr>
                        <w:rFonts w:hint="eastAsia"/>
                      </w:rPr>
                      <w:t>対称な構造応力</w:t>
                    </w:r>
                    <w:r>
                      <w:rPr>
                        <w:rFonts w:hint="eastAsia"/>
                      </w:rPr>
                      <w:t>(</w:t>
                    </w:r>
                    <w:r>
                      <w:rPr>
                        <w:rFonts w:hint="eastAsia"/>
                      </w:rPr>
                      <w:t>対称継手と対称負荷</w:t>
                    </w:r>
                    <w:r>
                      <w:rPr>
                        <w:rFonts w:hint="eastAsia"/>
                      </w:rPr>
                      <w:t>)</w:t>
                    </w:r>
                  </w:p>
                </w:txbxContent>
              </v:textbox>
            </v:shape>
            <v:shape id="Text Box 561" o:spid="_x0000_s3232" type="#_x0000_t202" style="position:absolute;left:2508;top:5698;width:1395;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" stroked="f">
              <v:textbox style="mso-fit-shape-to-text:t" inset="5.85pt,.7pt,5.85pt,.7pt">
                <w:txbxContent>
                  <w:p w14:paraId="6BDD61AA" w14:textId="77777777" w:rsidR="003B0864" w:rsidRPr="001E3E63" w:rsidRDefault="003B0864" w:rsidP="002D033B">
                    <w:pPr>
                      <w:rPr>
                        <w:rFonts w:ascii="ＭＳ ゴシック" w:eastAsia="ＭＳ ゴシック" w:hAnsi="ＭＳ ゴシック"/>
                        <w:sz w:val="20"/>
                      </w:rPr>
                    </w:pPr>
                    <w:r w:rsidRPr="001E3E63">
                      <w:rPr>
                        <w:rFonts w:ascii="ＭＳ ゴシック" w:eastAsia="ＭＳ ゴシック" w:hAnsi="ＭＳ ゴシック" w:hint="eastAsia"/>
                        <w:sz w:val="20"/>
                      </w:rPr>
                      <w:t>構造応力</w:t>
                    </w:r>
                  </w:p>
                </w:txbxContent>
              </v:textbox>
            </v:shape>
            <v:shape id="Text Box 562" o:spid="_x0000_s3233" type="#_x0000_t202" style="position:absolute;left:4516;top:5979;width:1202;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" stroked="f">
              <v:textbox style="mso-fit-shape-to-text:t" inset="5.85pt,.7pt,5.85pt,.7pt">
                <w:txbxContent>
                  <w:p w14:paraId="297C8792" w14:textId="77777777" w:rsidR="003B0864" w:rsidRPr="001E3E63" w:rsidRDefault="003B0864" w:rsidP="002D033B">
                    <w:pPr>
                      <w:ind w:firstLineChars="200" w:firstLine="400"/>
                      <w:rPr>
                        <w:rFonts w:ascii="ＭＳ ゴシック" w:eastAsia="ＭＳ ゴシック" w:hAnsi="ＭＳ ゴシック"/>
                        <w:sz w:val="20"/>
                      </w:rPr>
                    </w:pPr>
                    <w:r>
                      <w:rPr>
                        <w:rFonts w:ascii="ＭＳ ゴシック" w:eastAsia="ＭＳ ゴシック" w:hAnsi="ＭＳ ゴシック" w:hint="eastAsia"/>
                        <w:sz w:val="20"/>
                      </w:rPr>
                      <w:t>曲げ</w:t>
                    </w:r>
                  </w:p>
                </w:txbxContent>
              </v:textbox>
            </v:shape>
            <v:shape id="Text Box 563" o:spid="_x0000_s3234" type="#_x0000_t202" style="position:absolute;left:7434;top:5659;width:2366;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" stroked="f">
              <v:textbox style="mso-fit-shape-to-text:t" inset="5.85pt,.7pt,5.85pt,.7pt">
                <w:txbxContent>
                  <w:p w14:paraId="5843CCA5" w14:textId="77777777" w:rsidR="003B0864" w:rsidRPr="001E3E63" w:rsidRDefault="003B0864" w:rsidP="002D033B">
                    <w:pPr>
                      <w:rPr>
                        <w:rFonts w:ascii="ＭＳ ゴシック" w:eastAsia="ＭＳ ゴシック" w:hAnsi="ＭＳ ゴシック"/>
                        <w:sz w:val="20"/>
                      </w:rPr>
                    </w:pPr>
                    <w:r w:rsidRPr="001E3E63">
                      <w:rPr>
                        <w:rFonts w:ascii="ＭＳ ゴシック" w:eastAsia="ＭＳ ゴシック" w:hAnsi="ＭＳ ゴシック" w:hint="eastAsia"/>
                        <w:sz w:val="20"/>
                      </w:rPr>
                      <w:t>構造応力</w:t>
                    </w:r>
                    <w:r>
                      <w:rPr>
                        <w:rFonts w:ascii="ＭＳ ゴシック" w:eastAsia="ＭＳ ゴシック" w:hAnsi="ＭＳ ゴシック" w:hint="eastAsia"/>
                        <w:sz w:val="20"/>
                      </w:rPr>
                      <w:t>の変動範囲</w:t>
                    </w:r>
                  </w:p>
                </w:txbxContent>
              </v:textbox>
            </v:shape>
            <v:shape id="Text Box 564" o:spid="_x0000_s3235" type="#_x0000_t202" style="position:absolute;left:3049;top:8028;width:6555;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" stroked="f">
              <v:textbox style="mso-fit-shape-to-text:t" inset="5.85pt,.7pt,5.85pt,.7pt">
                <w:txbxContent>
                  <w:p w14:paraId="1B40B468" w14:textId="77777777" w:rsidR="003B0864" w:rsidRDefault="003B0864" w:rsidP="002D033B">
                    <w:pPr>
                      <w:ind w:firstLineChars="300" w:firstLine="630"/>
                    </w:pPr>
                    <w:r>
                      <w:rPr>
                        <w:rFonts w:hint="eastAsia"/>
                      </w:rPr>
                      <w:t xml:space="preserve">(b) </w:t>
                    </w:r>
                    <w:r>
                      <w:rPr>
                        <w:rFonts w:hint="eastAsia"/>
                      </w:rPr>
                      <w:t>逆対称な構造応力</w:t>
                    </w:r>
                    <w:r>
                      <w:rPr>
                        <w:rFonts w:hint="eastAsia"/>
                      </w:rPr>
                      <w:t>(</w:t>
                    </w:r>
                    <w:r>
                      <w:rPr>
                        <w:rFonts w:hint="eastAsia"/>
                      </w:rPr>
                      <w:t>対称継手と逆対称負荷</w:t>
                    </w:r>
                    <w:r>
                      <w:rPr>
                        <w:rFonts w:hint="eastAsia"/>
                      </w:rPr>
                      <w:t>)</w:t>
                    </w:r>
                  </w:p>
                </w:txbxContent>
              </v:textbox>
            </v:shape>
            <v:shape id="Text Box 565" o:spid="_x0000_s3236" type="#_x0000_t202" style="position:absolute;left:6138;top:10367;width:3468;height:6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" stroked="f">
              <v:textbox inset="5.85pt,.7pt,5.85pt,.7pt">
                <w:txbxContent>
                  <w:p w14:paraId="21348880" w14:textId="77777777" w:rsidR="003B0864" w:rsidRPr="00A37FD8" w:rsidRDefault="003B0864" w:rsidP="002D033B">
                    <w:pPr>
                      <w:snapToGrid w:val="0"/>
                      <w:rPr>
                        <w:rFonts w:ascii="Arial" w:eastAsia="ＭＳ ゴシック" w:hAnsi="Arial" w:cs="Arial"/>
                        <w:sz w:val="20"/>
                      </w:rPr>
                    </w:pPr>
                    <w:r w:rsidRPr="00A37FD8">
                      <w:rPr>
                        <w:rFonts w:ascii="Arial" w:eastAsia="ＭＳ ゴシック" w:hAnsi="ＭＳ ゴシック" w:cs="Arial"/>
                        <w:sz w:val="20"/>
                      </w:rPr>
                      <w:t>隅肉溶接</w:t>
                    </w:r>
                    <w:r w:rsidRPr="00A37FD8">
                      <w:rPr>
                        <w:rFonts w:ascii="Arial" w:eastAsia="ＭＳ ゴシック" w:hAnsi="ＭＳ ゴシック" w:cs="Arial" w:hint="eastAsia"/>
                        <w:sz w:val="20"/>
                      </w:rPr>
                      <w:t>止端</w:t>
                    </w:r>
                    <w:r w:rsidRPr="00A37FD8">
                      <w:rPr>
                        <w:rFonts w:ascii="Arial" w:eastAsia="ＭＳ ゴシック" w:hAnsi="ＭＳ ゴシック" w:cs="Arial"/>
                        <w:sz w:val="20"/>
                      </w:rPr>
                      <w:t>部の</w:t>
                    </w:r>
                    <w:r>
                      <w:rPr>
                        <w:rFonts w:ascii="Arial" w:eastAsia="ＭＳ ゴシック" w:hAnsi="ＭＳ ゴシック" w:cs="Arial" w:hint="eastAsia"/>
                        <w:sz w:val="20"/>
                      </w:rPr>
                      <w:t>SCL</w:t>
                    </w:r>
                  </w:p>
                  <w:p w14:paraId="77655570" w14:textId="77777777" w:rsidR="003B0864" w:rsidRPr="00A37FD8" w:rsidRDefault="003B0864" w:rsidP="002D033B">
                    <w:pPr>
                      <w:snapToGrid w:val="0"/>
                      <w:rPr>
                        <w:rFonts w:ascii="Arial" w:eastAsia="ＭＳ ゴシック" w:hAnsi="Arial" w:cs="Arial"/>
                        <w:sz w:val="20"/>
                      </w:rPr>
                    </w:pPr>
                    <w:r w:rsidRPr="00A37FD8">
                      <w:rPr>
                        <w:rFonts w:ascii="Arial" w:eastAsia="ＭＳ ゴシック" w:hAnsi="Arial" w:cs="Arial"/>
                        <w:sz w:val="20"/>
                      </w:rPr>
                      <w:t>(</w:t>
                    </w:r>
                    <w:r w:rsidRPr="00A37FD8">
                      <w:rPr>
                        <w:rFonts w:ascii="Arial" w:eastAsia="ＭＳ ゴシック" w:hAnsi="Arial" w:cs="Arial" w:hint="eastAsia"/>
                        <w:sz w:val="20"/>
                      </w:rPr>
                      <w:t>厚さの</w:t>
                    </w:r>
                    <w:r w:rsidRPr="00A37FD8">
                      <w:rPr>
                        <w:rFonts w:ascii="Arial" w:eastAsia="ＭＳ ゴシック" w:hAnsi="Arial" w:cs="Arial" w:hint="eastAsia"/>
                        <w:sz w:val="20"/>
                      </w:rPr>
                      <w:t>1/2</w:t>
                    </w:r>
                    <w:r w:rsidRPr="00A37FD8">
                      <w:rPr>
                        <w:rFonts w:ascii="Arial" w:eastAsia="ＭＳ ゴシック" w:hAnsi="Arial" w:cs="Arial" w:hint="eastAsia"/>
                        <w:sz w:val="20"/>
                      </w:rPr>
                      <w:t>まで</w:t>
                    </w:r>
                    <w:r>
                      <w:rPr>
                        <w:rFonts w:ascii="Arial" w:eastAsia="ＭＳ ゴシック" w:hAnsi="Arial" w:cs="Arial" w:hint="eastAsia"/>
                        <w:sz w:val="20"/>
                      </w:rPr>
                      <w:t>採用</w:t>
                    </w:r>
                    <w:r w:rsidRPr="00A37FD8">
                      <w:rPr>
                        <w:rFonts w:ascii="Arial" w:eastAsia="ＭＳ ゴシック" w:hAnsi="Arial" w:cs="Arial"/>
                        <w:sz w:val="20"/>
                      </w:rPr>
                      <w:t>)</w:t>
                    </w:r>
                  </w:p>
                </w:txbxContent>
              </v:textbox>
            </v:shape>
            <v:shape id="Text Box 566" o:spid="_x0000_s3237" type="#_x0000_t202" style="position:absolute;left:3307;top:12725;width:4735;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" stroked="f">
              <v:textbox style="mso-fit-shape-to-text:t" inset="5.85pt,.7pt,5.85pt,.7pt">
                <w:txbxContent>
                  <w:p w14:paraId="57947D82" w14:textId="77777777" w:rsidR="003B0864" w:rsidRPr="00A37FD8" w:rsidRDefault="003B0864" w:rsidP="002D033B">
                    <w:pPr>
                      <w:ind w:firstLineChars="150" w:firstLine="315"/>
                    </w:pPr>
                    <w:r w:rsidRPr="00A37FD8">
                      <w:rPr>
                        <w:rFonts w:hint="eastAsia"/>
                      </w:rPr>
                      <w:t>(c)</w:t>
                    </w:r>
                    <w:r w:rsidRPr="00A37FD8">
                      <w:t xml:space="preserve"> </w:t>
                    </w:r>
                    <w:r w:rsidRPr="00A37FD8">
                      <w:rPr>
                        <w:rFonts w:hAnsi="ＭＳ 明朝"/>
                      </w:rPr>
                      <w:t>対称</w:t>
                    </w:r>
                    <w:r w:rsidRPr="00A37FD8">
                      <w:rPr>
                        <w:rFonts w:hAnsi="ＭＳ 明朝" w:hint="eastAsia"/>
                      </w:rPr>
                      <w:t>継手</w:t>
                    </w:r>
                    <w:r w:rsidRPr="00A37FD8">
                      <w:rPr>
                        <w:rFonts w:hAnsi="ＭＳ 明朝"/>
                      </w:rPr>
                      <w:t>の例</w:t>
                    </w:r>
                    <w:r w:rsidRPr="00A37FD8">
                      <w:t>(</w:t>
                    </w:r>
                    <w:r w:rsidRPr="00A37FD8">
                      <w:rPr>
                        <w:rFonts w:hAnsi="ＭＳ 明朝"/>
                      </w:rPr>
                      <w:t>重ね</w:t>
                    </w:r>
                    <w:r w:rsidRPr="00A37FD8">
                      <w:rPr>
                        <w:rFonts w:hAnsi="ＭＳ 明朝" w:hint="eastAsia"/>
                      </w:rPr>
                      <w:t>板継手</w:t>
                    </w:r>
                    <w:r w:rsidRPr="00A37FD8">
                      <w:rPr>
                        <w:rFonts w:hAnsi="ＭＳ 明朝"/>
                      </w:rPr>
                      <w:t>の隅肉溶接</w:t>
                    </w:r>
                    <w:r w:rsidRPr="00A37FD8">
                      <w:t>)</w:t>
                    </w:r>
                  </w:p>
                </w:txbxContent>
              </v:textbox>
            </v:shape>
            <w10:anchorlock/>
          </v:group>
        </w:pict>
      </w:r>
    </w:p>
    <w:p w14:paraId="61DBBF07" w14:textId="77777777" w:rsidR="002D033B" w:rsidRPr="00BC31E0" w:rsidRDefault="002D033B" w:rsidP="00A75C2E">
      <w:pPr>
        <w:pStyle w:val="af4"/>
      </w:pPr>
      <w:r w:rsidRPr="00BC31E0">
        <w:rPr>
          <w:rFonts w:hint="eastAsia"/>
        </w:rPr>
        <w:t>図L.8　対称な構造応力の変動範囲に対する構造応力法による処理</w:t>
      </w:r>
      <w:r w:rsidRPr="00BC31E0">
        <w:rPr>
          <w:rFonts w:hint="eastAsia"/>
          <w:vertAlign w:val="superscript"/>
        </w:rPr>
        <w:t>†</w:t>
      </w:r>
    </w:p>
    <w:p w14:paraId="463C6482" w14:textId="77777777" w:rsidR="002D033B" w:rsidRPr="00BC31E0" w:rsidRDefault="002D033B" w:rsidP="00203A92">
      <w:pPr>
        <w:pStyle w:val="15"/>
        <w:ind w:firstLine="211"/>
        <w:rPr>
          <w:rFonts w:ascii="ＭＳ ゴシック" w:eastAsia="ＭＳ ゴシック" w:hAnsi="ＭＳ ゴシック"/>
          <w:b/>
        </w:rPr>
      </w:pPr>
    </w:p>
    <w:p w14:paraId="15E89776" w14:textId="77777777" w:rsidR="002D033B" w:rsidRPr="00BC31E0" w:rsidRDefault="002D033B" w:rsidP="002D033B">
      <w:pPr>
        <w:widowControl/>
        <w:rPr>
          <w:rFonts w:ascii="ＭＳ ゴシック" w:eastAsia="ＭＳ ゴシック" w:hAnsi="ＭＳ ゴシック"/>
          <w:b/>
        </w:rPr>
      </w:pPr>
      <w:r w:rsidRPr="00BC31E0">
        <w:rPr>
          <w:rFonts w:ascii="ＭＳ ゴシック" w:eastAsia="ＭＳ ゴシック" w:hAnsi="ＭＳ ゴシック"/>
          <w:b/>
        </w:rPr>
        <w:br w:type="page"/>
      </w:r>
    </w:p>
    <w:p w14:paraId="1707413E" w14:textId="77777777" w:rsidR="002D033B" w:rsidRPr="00BC31E0" w:rsidRDefault="002D033B" w:rsidP="00ED524A">
      <w:pPr>
        <w:pStyle w:val="110"/>
        <w:spacing w:line="240" w:lineRule="auto"/>
        <w:ind w:left="567" w:hanging="567"/>
      </w:pPr>
      <w:r w:rsidRPr="00BC31E0">
        <w:rPr>
          <w:rFonts w:hint="eastAsia"/>
        </w:rPr>
        <w:lastRenderedPageBreak/>
        <w:t>シェル要素</w:t>
      </w:r>
    </w:p>
    <w:p w14:paraId="0C5EA3EB" w14:textId="77777777" w:rsidR="002D033B" w:rsidRPr="00BC31E0" w:rsidRDefault="002D033B" w:rsidP="00C40F45">
      <w:pPr>
        <w:pStyle w:val="15"/>
        <w:ind w:firstLine="210"/>
        <w:rPr>
          <w:rFonts w:ascii="ＭＳ ゴシック" w:eastAsia="ＭＳ ゴシック" w:hAnsi="ＭＳ ゴシック"/>
          <w:b/>
        </w:rPr>
      </w:pPr>
      <w:r w:rsidRPr="00BC31E0">
        <w:rPr>
          <w:rFonts w:asciiTheme="minorHAnsi" w:eastAsiaTheme="minorEastAsia" w:hAnsiTheme="minorHAnsi" w:hint="eastAsia"/>
        </w:rPr>
        <w:t>シェル要素に対する構造応力法による線形化手順は，次の</w:t>
      </w:r>
      <w:r w:rsidRPr="00BC31E0">
        <w:rPr>
          <w:rFonts w:asciiTheme="majorEastAsia" w:eastAsiaTheme="majorEastAsia" w:hAnsiTheme="majorEastAsia" w:hint="eastAsia"/>
          <w:b/>
        </w:rPr>
        <w:t>a)</w:t>
      </w:r>
      <w:r w:rsidRPr="00BC31E0">
        <w:rPr>
          <w:rFonts w:asciiTheme="minorEastAsia" w:eastAsiaTheme="minorEastAsia" w:hAnsiTheme="minorEastAsia" w:hint="eastAsia"/>
        </w:rPr>
        <w:t>と</w:t>
      </w:r>
      <w:r w:rsidRPr="00BC31E0">
        <w:rPr>
          <w:rFonts w:asciiTheme="majorEastAsia" w:eastAsiaTheme="majorEastAsia" w:hAnsiTheme="majorEastAsia" w:hint="eastAsia"/>
          <w:b/>
        </w:rPr>
        <w:t>b)</w:t>
      </w:r>
      <w:r w:rsidRPr="00BC31E0">
        <w:rPr>
          <w:rFonts w:asciiTheme="minorHAnsi" w:eastAsiaTheme="minorEastAsia" w:hAnsiTheme="minorHAnsi" w:hint="eastAsia"/>
        </w:rPr>
        <w:t>による。なお，ピーク応力テンソル及び相当応力の計算は，</w:t>
      </w:r>
      <w:r w:rsidRPr="00BC31E0">
        <w:rPr>
          <w:rFonts w:asciiTheme="majorEastAsia" w:eastAsiaTheme="majorEastAsia" w:hAnsiTheme="majorEastAsia" w:hint="eastAsia"/>
          <w:b/>
        </w:rPr>
        <w:t>3.2</w:t>
      </w:r>
      <w:r w:rsidRPr="00BC31E0">
        <w:rPr>
          <w:rFonts w:asciiTheme="minorEastAsia" w:eastAsiaTheme="minorEastAsia" w:hAnsiTheme="minorEastAsia" w:hint="eastAsia"/>
        </w:rPr>
        <w:t>による</w:t>
      </w:r>
      <w:r w:rsidRPr="00BC31E0">
        <w:rPr>
          <w:rFonts w:asciiTheme="minorHAnsi" w:eastAsiaTheme="minorEastAsia" w:hAnsiTheme="minorHAnsi" w:hint="eastAsia"/>
        </w:rPr>
        <w:t>。</w:t>
      </w:r>
    </w:p>
    <w:p w14:paraId="25C33149" w14:textId="77777777" w:rsidR="002D033B" w:rsidRPr="00BC31E0" w:rsidRDefault="002D033B" w:rsidP="00736130">
      <w:pPr>
        <w:pStyle w:val="a4"/>
        <w:numPr>
          <w:ilvl w:val="0"/>
          <w:numId w:val="423"/>
        </w:numPr>
        <w:ind w:leftChars="0" w:left="454" w:hanging="454"/>
      </w:pPr>
      <w:r w:rsidRPr="00BC31E0">
        <w:rPr>
          <w:rFonts w:hint="eastAsia"/>
        </w:rPr>
        <w:t>シェル要素を用いた有限要素法解析の結果は，節点力に基づく構造応力法を用いて処理する。</w:t>
      </w:r>
      <w:r w:rsidRPr="00BC31E0">
        <w:rPr>
          <w:rFonts w:asciiTheme="majorEastAsia" w:eastAsiaTheme="majorEastAsia" w:hAnsiTheme="majorEastAsia" w:hint="eastAsia"/>
          <w:b/>
          <w:bCs/>
        </w:rPr>
        <w:t>表L.2</w:t>
      </w:r>
      <w:r w:rsidRPr="00BC31E0">
        <w:rPr>
          <w:rFonts w:hint="eastAsia"/>
        </w:rPr>
        <w:t>に示す式を用いて，節点力から膜応力と曲げ応力を計算する。典型的なシェル要素を用いた有限要素法モデルを</w:t>
      </w:r>
      <w:r w:rsidRPr="00BC31E0">
        <w:rPr>
          <w:rFonts w:asciiTheme="majorEastAsia" w:eastAsiaTheme="majorEastAsia" w:hAnsiTheme="majorEastAsia" w:hint="eastAsia"/>
          <w:b/>
          <w:bCs/>
        </w:rPr>
        <w:t>図L.9</w:t>
      </w:r>
      <w:r w:rsidRPr="00BC31E0">
        <w:rPr>
          <w:rFonts w:hint="eastAsia"/>
        </w:rPr>
        <w:t>に示す。</w:t>
      </w:r>
    </w:p>
    <w:p w14:paraId="4C4678DD" w14:textId="77777777" w:rsidR="002D033B" w:rsidRPr="00BC31E0" w:rsidRDefault="002D033B" w:rsidP="00736130">
      <w:pPr>
        <w:pStyle w:val="a4"/>
        <w:numPr>
          <w:ilvl w:val="0"/>
          <w:numId w:val="423"/>
        </w:numPr>
        <w:ind w:leftChars="0" w:left="454" w:hanging="454"/>
      </w:pPr>
      <w:r w:rsidRPr="00BC31E0">
        <w:rPr>
          <w:rFonts w:hint="eastAsia"/>
        </w:rPr>
        <w:t>三次元シェル要素の場合には，評価断面において厚さ中央における力とモーメントを求める。この手順を</w:t>
      </w:r>
      <w:r w:rsidRPr="00BC31E0">
        <w:rPr>
          <w:rFonts w:asciiTheme="majorEastAsia" w:eastAsiaTheme="majorEastAsia" w:hAnsiTheme="majorEastAsia" w:hint="eastAsia"/>
          <w:b/>
          <w:bCs/>
        </w:rPr>
        <w:t>図L.10</w:t>
      </w:r>
      <w:r w:rsidRPr="00BC31E0">
        <w:rPr>
          <w:rFonts w:hint="eastAsia"/>
        </w:rPr>
        <w:t>に示す。</w:t>
      </w:r>
    </w:p>
    <w:p w14:paraId="46978ABB" w14:textId="77777777" w:rsidR="002D033B" w:rsidRPr="00BC31E0" w:rsidRDefault="002D033B" w:rsidP="00C40F45">
      <w:pPr>
        <w:pStyle w:val="15"/>
        <w:ind w:firstLineChars="0" w:firstLine="0"/>
      </w:pPr>
    </w:p>
    <w:p w14:paraId="3EB1F69C" w14:textId="77777777" w:rsidR="002D033B" w:rsidRPr="00BC31E0" w:rsidRDefault="002D033B" w:rsidP="00736130">
      <w:pPr>
        <w:pStyle w:val="15"/>
        <w:numPr>
          <w:ilvl w:val="0"/>
          <w:numId w:val="252"/>
        </w:numPr>
        <w:ind w:left="340" w:firstLineChars="0" w:hanging="340"/>
        <w:rPr>
          <w:rFonts w:ascii="ＭＳ ゴシック" w:eastAsia="ＭＳ ゴシック" w:hAnsi="ＭＳ ゴシック"/>
          <w:b/>
        </w:rPr>
      </w:pPr>
      <w:r w:rsidRPr="00BC31E0">
        <w:rPr>
          <w:rFonts w:ascii="ＭＳ ゴシック" w:eastAsia="ＭＳ ゴシック" w:hAnsi="ＭＳ ゴシック" w:hint="eastAsia"/>
          <w:b/>
        </w:rPr>
        <w:t>応力積分に基づく構造応力法</w:t>
      </w:r>
    </w:p>
    <w:p w14:paraId="4C4E8DDF" w14:textId="77777777" w:rsidR="002D033B" w:rsidRPr="00BC31E0" w:rsidRDefault="002D033B" w:rsidP="00C40F45">
      <w:pPr>
        <w:pStyle w:val="15"/>
        <w:ind w:firstLine="210"/>
      </w:pPr>
      <w:r w:rsidRPr="00BC31E0">
        <w:rPr>
          <w:rFonts w:hint="eastAsia"/>
        </w:rPr>
        <w:t>節点力に基づく構造応力法の別法として，二次元又は三次元連続体要素を</w:t>
      </w:r>
      <w:r w:rsidR="00CF08E1" w:rsidRPr="00BC31E0">
        <w:rPr>
          <w:rFonts w:hint="eastAsia"/>
        </w:rPr>
        <w:t>用いた有限要素法解析の結果は，応力積分に基づく構造応力法を用いて</w:t>
      </w:r>
      <w:r w:rsidRPr="00BC31E0">
        <w:rPr>
          <w:rFonts w:hint="eastAsia"/>
        </w:rPr>
        <w:t>処理する。この方法は</w:t>
      </w:r>
      <w:r w:rsidRPr="00BC31E0">
        <w:rPr>
          <w:rFonts w:ascii="ＭＳ ゴシック" w:eastAsia="ＭＳ ゴシック" w:hAnsi="ＭＳ ゴシック" w:hint="eastAsia"/>
          <w:b/>
        </w:rPr>
        <w:t>3</w:t>
      </w:r>
      <w:r w:rsidRPr="00BC31E0">
        <w:rPr>
          <w:rFonts w:hint="eastAsia"/>
        </w:rPr>
        <w:t>の応力積分法を使用するが，処理する節点列に関連した片側の要素群のみを用いて計算する。</w:t>
      </w:r>
      <w:r w:rsidRPr="00BC31E0">
        <w:rPr>
          <w:rFonts w:asciiTheme="minorHAnsi" w:hAnsiTheme="minorHAnsi"/>
        </w:rPr>
        <w:t>SCL</w:t>
      </w:r>
      <w:r w:rsidRPr="00BC31E0">
        <w:rPr>
          <w:rFonts w:asciiTheme="minorHAnsi" w:hAnsiTheme="minorHAnsi" w:hint="eastAsia"/>
        </w:rPr>
        <w:t>上の評価点の応力テンソル</w:t>
      </w:r>
      <w:r w:rsidRPr="00BC31E0">
        <w:rPr>
          <w:rFonts w:hint="eastAsia"/>
        </w:rPr>
        <w:t>に適用できる要素群を</w:t>
      </w:r>
      <w:r w:rsidRPr="00BC31E0">
        <w:rPr>
          <w:rFonts w:ascii="ＭＳ ゴシック" w:eastAsia="ＭＳ ゴシック" w:hAnsi="ＭＳ ゴシック" w:hint="eastAsia"/>
          <w:b/>
        </w:rPr>
        <w:t>図L.11</w:t>
      </w:r>
      <w:r w:rsidRPr="00BC31E0">
        <w:rPr>
          <w:rFonts w:hint="eastAsia"/>
        </w:rPr>
        <w:t>に示す。</w:t>
      </w:r>
    </w:p>
    <w:p w14:paraId="7CA57D9F" w14:textId="77777777" w:rsidR="002D033B" w:rsidRPr="00BC31E0" w:rsidRDefault="002D033B" w:rsidP="00C40F45">
      <w:pPr>
        <w:pStyle w:val="15"/>
        <w:pBdr>
          <w:bottom w:val="single" w:sz="6" w:space="1" w:color="auto"/>
        </w:pBdr>
        <w:ind w:firstLineChars="0" w:firstLine="0"/>
        <w:rPr>
          <w:rFonts w:ascii="ＭＳ ゴシック" w:eastAsia="ＭＳ ゴシック" w:hAnsi="ＭＳ ゴシック"/>
          <w:b/>
        </w:rPr>
      </w:pPr>
    </w:p>
    <w:p w14:paraId="73D14641" w14:textId="77777777" w:rsidR="002D033B" w:rsidRPr="00BC31E0" w:rsidRDefault="002D033B" w:rsidP="00C40F45">
      <w:pPr>
        <w:pStyle w:val="15"/>
        <w:ind w:firstLineChars="0" w:firstLine="0"/>
        <w:rPr>
          <w:rFonts w:ascii="ＭＳ ゴシック" w:eastAsia="ＭＳ ゴシック" w:hAnsi="ＭＳ ゴシック"/>
          <w:b/>
        </w:rPr>
      </w:pPr>
      <w:r w:rsidRPr="00BC31E0">
        <w:rPr>
          <w:rFonts w:ascii="ＭＳ ゴシック" w:eastAsia="ＭＳ ゴシック" w:hAnsi="ＭＳ ゴシック" w:hint="eastAsia"/>
          <w:b/>
        </w:rPr>
        <w:t>参考文献</w:t>
      </w:r>
    </w:p>
    <w:p w14:paraId="3E811171" w14:textId="77777777" w:rsidR="002D033B" w:rsidRPr="00BC31E0" w:rsidRDefault="002D033B" w:rsidP="00321B18">
      <w:pPr>
        <w:pStyle w:val="a4"/>
        <w:numPr>
          <w:ilvl w:val="5"/>
          <w:numId w:val="424"/>
        </w:numPr>
        <w:ind w:leftChars="0" w:left="454" w:hanging="454"/>
        <w:jc w:val="left"/>
        <w:rPr>
          <w:rFonts w:asciiTheme="minorHAnsi" w:eastAsiaTheme="minorEastAsia" w:hAnsiTheme="minorHAnsi"/>
          <w:b/>
        </w:rPr>
      </w:pPr>
      <w:r w:rsidRPr="00BC31E0">
        <w:rPr>
          <w:rFonts w:asciiTheme="minorHAnsi" w:eastAsiaTheme="minorEastAsia" w:hAnsiTheme="minorHAnsi"/>
        </w:rPr>
        <w:t>WRC 429</w:t>
      </w:r>
      <w:r w:rsidRPr="00BC31E0">
        <w:rPr>
          <w:rFonts w:asciiTheme="minorHAnsi" w:eastAsiaTheme="minorEastAsia" w:hAnsiTheme="minorEastAsia"/>
        </w:rPr>
        <w:t>，</w:t>
      </w:r>
      <w:r w:rsidRPr="00BC31E0">
        <w:rPr>
          <w:rFonts w:asciiTheme="minorHAnsi" w:eastAsiaTheme="minorEastAsia" w:hAnsiTheme="minorHAnsi"/>
        </w:rPr>
        <w:t>3D Stress Criteria Guidelines for Application, (1998)</w:t>
      </w:r>
    </w:p>
    <w:p w14:paraId="7886F031" w14:textId="77777777" w:rsidR="002D033B" w:rsidRPr="00BC31E0" w:rsidRDefault="002D033B" w:rsidP="00321B18">
      <w:pPr>
        <w:pStyle w:val="a4"/>
        <w:numPr>
          <w:ilvl w:val="5"/>
          <w:numId w:val="424"/>
        </w:numPr>
        <w:ind w:leftChars="0" w:left="454" w:hanging="454"/>
        <w:jc w:val="left"/>
        <w:rPr>
          <w:rFonts w:asciiTheme="minorHAnsi" w:eastAsiaTheme="minorEastAsia" w:hAnsiTheme="minorHAnsi"/>
        </w:rPr>
      </w:pPr>
      <w:r w:rsidRPr="00BC31E0">
        <w:rPr>
          <w:rFonts w:asciiTheme="minorHAnsi" w:eastAsiaTheme="minorEastAsia" w:hAnsiTheme="minorHAnsi"/>
        </w:rPr>
        <w:t>WRC 474</w:t>
      </w:r>
      <w:r w:rsidRPr="00BC31E0">
        <w:rPr>
          <w:rFonts w:asciiTheme="minorHAnsi" w:eastAsiaTheme="minorEastAsia" w:hAnsiTheme="minorEastAsia"/>
        </w:rPr>
        <w:t>，</w:t>
      </w:r>
      <w:r w:rsidRPr="00BC31E0">
        <w:rPr>
          <w:rFonts w:asciiTheme="minorHAnsi" w:eastAsiaTheme="minorEastAsia" w:hAnsiTheme="minorHAnsi"/>
        </w:rPr>
        <w:t>Master S-N Curve Method for Fatigue Evaluation of Welded Components, (2002)</w:t>
      </w:r>
    </w:p>
    <w:p w14:paraId="6BB98754" w14:textId="77777777" w:rsidR="002D033B" w:rsidRPr="00BC31E0" w:rsidRDefault="002D033B" w:rsidP="00C40F45">
      <w:pPr>
        <w:pStyle w:val="15"/>
        <w:ind w:firstLineChars="0" w:firstLine="0"/>
        <w:rPr>
          <w:rFonts w:asciiTheme="minorHAnsi" w:eastAsiaTheme="minorEastAsia" w:hAnsiTheme="minorHAnsi"/>
        </w:rPr>
      </w:pPr>
    </w:p>
    <w:p w14:paraId="47898159" w14:textId="77777777" w:rsidR="002D033B" w:rsidRPr="00BC31E0" w:rsidRDefault="002D033B" w:rsidP="00C40F45">
      <w:pPr>
        <w:widowControl/>
        <w:rPr>
          <w:rFonts w:asciiTheme="majorEastAsia" w:eastAsiaTheme="majorEastAsia" w:hAnsiTheme="majorEastAsia"/>
          <w:b/>
        </w:rPr>
      </w:pPr>
      <w:r w:rsidRPr="00BC31E0">
        <w:rPr>
          <w:rFonts w:asciiTheme="minorHAnsi" w:eastAsiaTheme="minorEastAsia" w:hAnsiTheme="minorHAnsi"/>
          <w:b/>
        </w:rPr>
        <w:br w:type="page"/>
      </w:r>
    </w:p>
    <w:p w14:paraId="01341977" w14:textId="77777777" w:rsidR="002D033B" w:rsidRPr="00BC31E0" w:rsidRDefault="002D033B" w:rsidP="00203A92">
      <w:pPr>
        <w:pStyle w:val="15"/>
        <w:spacing w:after="120"/>
        <w:ind w:firstLine="211"/>
        <w:jc w:val="center"/>
        <w:rPr>
          <w:rFonts w:ascii="ＭＳ ゴシック" w:eastAsia="ＭＳ ゴシック" w:hAnsi="ＭＳ ゴシック"/>
          <w:b/>
        </w:rPr>
      </w:pPr>
      <w:r w:rsidRPr="00BC31E0">
        <w:rPr>
          <w:rFonts w:ascii="ＭＳ ゴシック" w:eastAsia="ＭＳ ゴシック" w:hAnsi="ＭＳ ゴシック" w:hint="eastAsia"/>
          <w:b/>
        </w:rPr>
        <w:lastRenderedPageBreak/>
        <w:t>表L.2　シェル要素に対する構造応力の算出</w:t>
      </w:r>
      <w:r w:rsidRPr="00BC31E0">
        <w:rPr>
          <w:rFonts w:ascii="ＭＳ ゴシック" w:eastAsia="ＭＳ ゴシック" w:hAnsi="ＭＳ ゴシック" w:hint="eastAsia"/>
          <w:b/>
          <w:vertAlign w:val="superscript"/>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685"/>
        <w:gridCol w:w="3686"/>
      </w:tblGrid>
      <w:tr w:rsidR="002D033B" w:rsidRPr="00BC31E0" w14:paraId="2961885A" w14:textId="77777777" w:rsidTr="004736F2">
        <w:tc>
          <w:tcPr>
            <w:tcW w:w="1701" w:type="dxa"/>
          </w:tcPr>
          <w:p w14:paraId="46C18D72" w14:textId="77777777" w:rsidR="002D033B" w:rsidRPr="00BC31E0" w:rsidRDefault="002D033B" w:rsidP="00203A92">
            <w:pPr>
              <w:pStyle w:val="15"/>
              <w:ind w:firstLine="210"/>
              <w:jc w:val="center"/>
            </w:pPr>
            <w:r w:rsidRPr="00BC31E0">
              <w:rPr>
                <w:rFonts w:hAnsi="ＭＳ 明朝"/>
              </w:rPr>
              <w:t>要素</w:t>
            </w:r>
          </w:p>
        </w:tc>
        <w:tc>
          <w:tcPr>
            <w:tcW w:w="3685" w:type="dxa"/>
            <w:tcBorders>
              <w:bottom w:val="single" w:sz="4" w:space="0" w:color="auto"/>
            </w:tcBorders>
          </w:tcPr>
          <w:p w14:paraId="0A5C367F" w14:textId="77777777" w:rsidR="002D033B" w:rsidRPr="00BC31E0" w:rsidRDefault="002D033B" w:rsidP="00203A92">
            <w:pPr>
              <w:pStyle w:val="15"/>
              <w:ind w:firstLine="210"/>
              <w:jc w:val="center"/>
            </w:pPr>
            <w:r w:rsidRPr="00BC31E0">
              <w:rPr>
                <w:rFonts w:hint="eastAsia"/>
              </w:rPr>
              <w:t>膜応力</w:t>
            </w:r>
          </w:p>
        </w:tc>
        <w:tc>
          <w:tcPr>
            <w:tcW w:w="3686" w:type="dxa"/>
            <w:tcBorders>
              <w:bottom w:val="single" w:sz="4" w:space="0" w:color="auto"/>
            </w:tcBorders>
          </w:tcPr>
          <w:p w14:paraId="0EA34A2E" w14:textId="77777777" w:rsidR="002D033B" w:rsidRPr="00BC31E0" w:rsidRDefault="002D033B" w:rsidP="00203A92">
            <w:pPr>
              <w:pStyle w:val="15"/>
              <w:ind w:firstLine="210"/>
              <w:jc w:val="center"/>
            </w:pPr>
            <w:r w:rsidRPr="00BC31E0">
              <w:rPr>
                <w:rFonts w:hint="eastAsia"/>
              </w:rPr>
              <w:t>曲げ応力</w:t>
            </w:r>
          </w:p>
        </w:tc>
      </w:tr>
      <w:tr w:rsidR="002D033B" w:rsidRPr="00BC31E0" w14:paraId="0636ADF7" w14:textId="77777777" w:rsidTr="004736F2">
        <w:tc>
          <w:tcPr>
            <w:tcW w:w="1701" w:type="dxa"/>
            <w:vMerge w:val="restart"/>
            <w:vAlign w:val="center"/>
          </w:tcPr>
          <w:p w14:paraId="1DB89CAB" w14:textId="77777777" w:rsidR="002D033B" w:rsidRPr="00BC31E0" w:rsidRDefault="002D033B" w:rsidP="0050151D">
            <w:pPr>
              <w:pStyle w:val="15"/>
              <w:ind w:firstLine="210"/>
            </w:pPr>
            <w:r w:rsidRPr="00BC31E0">
              <w:rPr>
                <w:rFonts w:hint="eastAsia"/>
              </w:rPr>
              <w:t>三</w:t>
            </w:r>
            <w:r w:rsidRPr="00BC31E0">
              <w:t>次元</w:t>
            </w:r>
          </w:p>
          <w:p w14:paraId="4E5F19E5" w14:textId="77777777" w:rsidR="00280C8C" w:rsidRPr="00BC31E0" w:rsidRDefault="002D033B" w:rsidP="0050151D">
            <w:pPr>
              <w:pStyle w:val="15"/>
              <w:ind w:firstLine="210"/>
            </w:pPr>
            <w:r w:rsidRPr="00BC31E0">
              <w:rPr>
                <w:rFonts w:hint="eastAsia"/>
              </w:rPr>
              <w:t>二</w:t>
            </w:r>
            <w:r w:rsidRPr="00BC31E0">
              <w:t>次シェル</w:t>
            </w:r>
          </w:p>
          <w:p w14:paraId="317154DD" w14:textId="77777777" w:rsidR="002D033B" w:rsidRPr="00BC31E0" w:rsidRDefault="002D033B" w:rsidP="0050151D">
            <w:pPr>
              <w:pStyle w:val="15"/>
              <w:ind w:firstLine="210"/>
            </w:pPr>
            <w:r w:rsidRPr="00BC31E0">
              <w:t>要素</w:t>
            </w:r>
          </w:p>
          <w:p w14:paraId="63D160A0" w14:textId="77777777" w:rsidR="002D033B" w:rsidRPr="00BC31E0" w:rsidRDefault="002D033B" w:rsidP="0050151D">
            <w:pPr>
              <w:pStyle w:val="15"/>
              <w:ind w:firstLine="210"/>
            </w:pPr>
            <w:r w:rsidRPr="00BC31E0">
              <w:t>(8</w:t>
            </w:r>
            <w:r w:rsidRPr="00BC31E0">
              <w:t>節点</w:t>
            </w:r>
            <w:r w:rsidRPr="00BC31E0">
              <w:t>)</w:t>
            </w:r>
          </w:p>
        </w:tc>
        <w:tc>
          <w:tcPr>
            <w:tcW w:w="3685" w:type="dxa"/>
            <w:tcBorders>
              <w:bottom w:val="nil"/>
            </w:tcBorders>
            <w:vAlign w:val="center"/>
          </w:tcPr>
          <w:p w14:paraId="7274B8C2" w14:textId="77777777" w:rsidR="002D033B" w:rsidRPr="00BC31E0" w:rsidRDefault="002D033B" w:rsidP="00203A92">
            <w:pPr>
              <w:pStyle w:val="15"/>
              <w:ind w:firstLine="210"/>
            </w:pPr>
            <w:r w:rsidRPr="00BC31E0">
              <w:rPr>
                <w:rFonts w:hint="eastAsia"/>
              </w:rPr>
              <w:t>要素幅方向の</w:t>
            </w:r>
            <m:oMath>
              <m:r>
                <m:rPr>
                  <m:sty m:val="p"/>
                </m:rPr>
                <w:rPr>
                  <w:rFonts w:ascii="Cambria Math" w:hAnsi="Cambria Math"/>
                </w:rPr>
                <m:t xml:space="preserve"> </m:t>
              </m:r>
              <m:r>
                <w:rPr>
                  <w:rFonts w:ascii="Cambria Math" w:hAnsi="Cambria Math"/>
                </w:rPr>
                <m:t xml:space="preserve">i </m:t>
              </m:r>
            </m:oMath>
            <w:r w:rsidRPr="00BC31E0">
              <w:rPr>
                <w:rFonts w:hint="eastAsia"/>
              </w:rPr>
              <w:t>列の膜応力</w:t>
            </w:r>
          </w:p>
        </w:tc>
        <w:tc>
          <w:tcPr>
            <w:tcW w:w="3686" w:type="dxa"/>
            <w:tcBorders>
              <w:bottom w:val="nil"/>
            </w:tcBorders>
            <w:vAlign w:val="center"/>
          </w:tcPr>
          <w:p w14:paraId="02E0D421" w14:textId="77777777" w:rsidR="002D033B" w:rsidRPr="00BC31E0" w:rsidRDefault="002D033B" w:rsidP="00203A92">
            <w:pPr>
              <w:pStyle w:val="15"/>
              <w:ind w:firstLine="210"/>
            </w:pPr>
            <w:r w:rsidRPr="00BC31E0">
              <w:rPr>
                <w:rFonts w:hint="eastAsia"/>
              </w:rPr>
              <w:t>要素幅方向の</w:t>
            </w:r>
            <m:oMath>
              <m:r>
                <w:rPr>
                  <w:rFonts w:ascii="Cambria Math" w:hAnsi="Cambria Math"/>
                </w:rPr>
                <m:t xml:space="preserve">i </m:t>
              </m:r>
            </m:oMath>
            <w:r w:rsidRPr="00BC31E0">
              <w:rPr>
                <w:rFonts w:hint="eastAsia"/>
              </w:rPr>
              <w:t>列の曲げ応力</w:t>
            </w:r>
          </w:p>
        </w:tc>
      </w:tr>
      <w:tr w:rsidR="002D033B" w:rsidRPr="00BC31E0" w14:paraId="01E2DEFB" w14:textId="77777777" w:rsidTr="004736F2">
        <w:tc>
          <w:tcPr>
            <w:tcW w:w="1701" w:type="dxa"/>
            <w:vMerge/>
            <w:vAlign w:val="center"/>
          </w:tcPr>
          <w:p w14:paraId="7ABC8424" w14:textId="77777777" w:rsidR="002D033B" w:rsidRPr="00BC31E0" w:rsidRDefault="002D033B" w:rsidP="00203A92">
            <w:pPr>
              <w:pStyle w:val="15"/>
              <w:ind w:firstLine="210"/>
            </w:pPr>
          </w:p>
        </w:tc>
        <w:tc>
          <w:tcPr>
            <w:tcW w:w="3685" w:type="dxa"/>
            <w:tcBorders>
              <w:top w:val="nil"/>
              <w:bottom w:val="nil"/>
            </w:tcBorders>
            <w:vAlign w:val="center"/>
          </w:tcPr>
          <w:p w14:paraId="2D265EBE" w14:textId="77777777" w:rsidR="002D033B" w:rsidRPr="00BC31E0" w:rsidRDefault="00A51873" w:rsidP="00203A92">
            <w:pPr>
              <w:pStyle w:val="15"/>
              <w:ind w:firstLine="210"/>
              <w:jc w:val="center"/>
              <w:rPr>
                <w:i/>
              </w:rPr>
            </w:pPr>
            <m:oMathPara>
              <m:oMath>
                <m:sSub>
                  <m:sSubPr>
                    <m:ctrlPr>
                      <w:rPr>
                        <w:rFonts w:ascii="Cambria Math" w:hAnsi="Cambria Math"/>
                        <w:i/>
                      </w:rPr>
                    </m:ctrlPr>
                  </m:sSubPr>
                  <m:e>
                    <m:r>
                      <w:rPr>
                        <w:rFonts w:ascii="Cambria Math" w:hAnsi="Cambria Math"/>
                      </w:rPr>
                      <m:t>σ</m:t>
                    </m:r>
                  </m:e>
                  <m:sub>
                    <m:r>
                      <w:rPr>
                        <w:rFonts w:ascii="Cambria Math" w:hAnsi="Cambria Math"/>
                      </w:rPr>
                      <m:t>mi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i</m:t>
                        </m:r>
                      </m:sub>
                    </m:sSub>
                  </m:num>
                  <m:den>
                    <m:r>
                      <w:rPr>
                        <w:rFonts w:ascii="Cambria Math" w:hAnsi="Cambria Math"/>
                      </w:rPr>
                      <m:t>t</m:t>
                    </m:r>
                  </m:den>
                </m:f>
              </m:oMath>
            </m:oMathPara>
          </w:p>
        </w:tc>
        <w:tc>
          <w:tcPr>
            <w:tcW w:w="3686" w:type="dxa"/>
            <w:tcBorders>
              <w:top w:val="nil"/>
              <w:bottom w:val="nil"/>
            </w:tcBorders>
            <w:vAlign w:val="center"/>
          </w:tcPr>
          <w:p w14:paraId="340D6B87" w14:textId="77777777" w:rsidR="002D033B" w:rsidRPr="00BC31E0" w:rsidRDefault="00A51873" w:rsidP="00203A92">
            <w:pPr>
              <w:pStyle w:val="15"/>
              <w:ind w:firstLine="210"/>
              <w:jc w:val="center"/>
            </w:pPr>
            <m:oMathPara>
              <m:oMath>
                <m:sSub>
                  <m:sSubPr>
                    <m:ctrlPr>
                      <w:rPr>
                        <w:rFonts w:ascii="Cambria Math" w:hAnsi="Cambria Math"/>
                        <w:i/>
                      </w:rPr>
                    </m:ctrlPr>
                  </m:sSubPr>
                  <m:e>
                    <m:r>
                      <w:rPr>
                        <w:rFonts w:ascii="Cambria Math" w:hAnsi="Cambria Math"/>
                      </w:rPr>
                      <m:t>σ</m:t>
                    </m:r>
                  </m:e>
                  <m:sub>
                    <m:r>
                      <w:rPr>
                        <w:rFonts w:ascii="Cambria Math" w:hAnsi="Cambria Math"/>
                      </w:rPr>
                      <m:t>bi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6 m</m:t>
                        </m:r>
                      </m:e>
                      <m:sub>
                        <m:r>
                          <w:rPr>
                            <w:rFonts w:ascii="Cambria Math" w:hAnsi="Cambria Math"/>
                          </w:rPr>
                          <m:t>i</m:t>
                        </m:r>
                      </m:sub>
                    </m:sSub>
                  </m:num>
                  <m:den>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tc>
      </w:tr>
      <w:tr w:rsidR="002D033B" w:rsidRPr="00BC31E0" w14:paraId="50E8E325" w14:textId="77777777" w:rsidTr="004736F2">
        <w:tc>
          <w:tcPr>
            <w:tcW w:w="1701" w:type="dxa"/>
            <w:vMerge/>
            <w:vAlign w:val="center"/>
          </w:tcPr>
          <w:p w14:paraId="7790FADA" w14:textId="77777777" w:rsidR="002D033B" w:rsidRPr="00BC31E0" w:rsidRDefault="002D033B" w:rsidP="00203A92">
            <w:pPr>
              <w:pStyle w:val="15"/>
              <w:ind w:firstLine="210"/>
            </w:pPr>
          </w:p>
        </w:tc>
        <w:tc>
          <w:tcPr>
            <w:tcW w:w="3685" w:type="dxa"/>
            <w:tcBorders>
              <w:top w:val="nil"/>
              <w:bottom w:val="nil"/>
            </w:tcBorders>
            <w:vAlign w:val="center"/>
          </w:tcPr>
          <w:p w14:paraId="0FF47BD4" w14:textId="77777777" w:rsidR="002D033B" w:rsidRPr="00BC31E0" w:rsidRDefault="002D033B" w:rsidP="00203A92">
            <w:pPr>
              <w:pStyle w:val="15"/>
              <w:ind w:firstLine="210"/>
            </w:pPr>
            <w:r w:rsidRPr="00BC31E0">
              <w:rPr>
                <w:rFonts w:hint="eastAsia"/>
              </w:rPr>
              <w:t>ここで，</w:t>
            </w:r>
          </w:p>
          <w:p w14:paraId="313F3D86" w14:textId="77777777" w:rsidR="002D033B" w:rsidRPr="00BC31E0" w:rsidRDefault="002D033B" w:rsidP="00203A92">
            <w:pPr>
              <w:pStyle w:val="15"/>
              <w:ind w:leftChars="50" w:left="105" w:firstLine="210"/>
            </w:pPr>
            <m:oMath>
              <m:r>
                <w:rPr>
                  <w:rFonts w:ascii="Cambria Math" w:hAnsi="Cambria Math"/>
                </w:rPr>
                <m:t>i=1, 2, 3</m:t>
              </m:r>
            </m:oMath>
            <w:r w:rsidRPr="00BC31E0">
              <w:rPr>
                <w:rFonts w:hint="eastAsia"/>
              </w:rPr>
              <w:t xml:space="preserve"> (</w:t>
            </w:r>
            <w:r w:rsidRPr="00BC31E0">
              <w:rPr>
                <w:rFonts w:ascii="ＭＳ ゴシック" w:eastAsia="ＭＳ ゴシック" w:hAnsi="ＭＳ ゴシック" w:hint="eastAsia"/>
                <w:b/>
              </w:rPr>
              <w:t>図L.10</w:t>
            </w:r>
            <w:r w:rsidRPr="00BC31E0">
              <w:rPr>
                <w:rFonts w:asciiTheme="minorEastAsia" w:eastAsiaTheme="minorEastAsia" w:hAnsiTheme="minorEastAsia" w:hint="eastAsia"/>
              </w:rPr>
              <w:t>を</w:t>
            </w:r>
            <w:r w:rsidRPr="00BC31E0">
              <w:rPr>
                <w:rFonts w:hint="eastAsia"/>
              </w:rPr>
              <w:t>参照</w:t>
            </w:r>
            <w:r w:rsidRPr="00BC31E0">
              <w:rPr>
                <w:rFonts w:hint="eastAsia"/>
              </w:rPr>
              <w:t>)</w:t>
            </w:r>
          </w:p>
          <w:p w14:paraId="6227F86C" w14:textId="77777777" w:rsidR="002D033B" w:rsidRPr="00BC31E0" w:rsidRDefault="002D033B" w:rsidP="00203A92">
            <w:pPr>
              <w:pStyle w:val="15"/>
              <w:ind w:leftChars="50" w:left="105" w:firstLine="210"/>
              <w:rPr>
                <w:vertAlign w:val="subscript"/>
              </w:rPr>
            </w:pPr>
            <m:oMath>
              <m:r>
                <w:rPr>
                  <w:rFonts w:ascii="Cambria Math" w:hAnsi="Cambria Math"/>
                </w:rPr>
                <m:t xml:space="preserve">i </m:t>
              </m:r>
            </m:oMath>
            <w:r w:rsidRPr="00BC31E0">
              <w:rPr>
                <w:rFonts w:hint="eastAsia"/>
              </w:rPr>
              <w:t>列の単位要素幅当りの力</w:t>
            </w:r>
          </w:p>
        </w:tc>
        <w:tc>
          <w:tcPr>
            <w:tcW w:w="3686" w:type="dxa"/>
            <w:tcBorders>
              <w:top w:val="nil"/>
              <w:bottom w:val="nil"/>
            </w:tcBorders>
            <w:vAlign w:val="center"/>
          </w:tcPr>
          <w:p w14:paraId="327230A9" w14:textId="77777777" w:rsidR="002D033B" w:rsidRPr="00BC31E0" w:rsidRDefault="002D033B" w:rsidP="00203A92">
            <w:pPr>
              <w:pStyle w:val="15"/>
              <w:ind w:firstLine="210"/>
            </w:pPr>
            <w:r w:rsidRPr="00BC31E0">
              <w:rPr>
                <w:rFonts w:hint="eastAsia"/>
              </w:rPr>
              <w:t>ここで，</w:t>
            </w:r>
          </w:p>
          <w:p w14:paraId="61C18CAC" w14:textId="77777777" w:rsidR="002D033B" w:rsidRPr="00BC31E0" w:rsidRDefault="002D033B" w:rsidP="00203A92">
            <w:pPr>
              <w:pStyle w:val="15"/>
              <w:ind w:leftChars="50" w:left="105" w:firstLine="210"/>
            </w:pPr>
            <m:oMath>
              <m:r>
                <w:rPr>
                  <w:rFonts w:ascii="Cambria Math" w:hAnsi="Cambria Math"/>
                </w:rPr>
                <m:t>i=1, 2, 3</m:t>
              </m:r>
            </m:oMath>
            <w:r w:rsidRPr="00BC31E0">
              <w:rPr>
                <w:rFonts w:hint="eastAsia"/>
              </w:rPr>
              <w:t xml:space="preserve"> (</w:t>
            </w:r>
            <w:r w:rsidRPr="00BC31E0">
              <w:rPr>
                <w:rFonts w:ascii="ＭＳ ゴシック" w:eastAsia="ＭＳ ゴシック" w:hAnsi="ＭＳ ゴシック" w:hint="eastAsia"/>
                <w:b/>
              </w:rPr>
              <w:t>図L.10</w:t>
            </w:r>
            <w:r w:rsidRPr="00BC31E0">
              <w:rPr>
                <w:rFonts w:asciiTheme="minorEastAsia" w:eastAsiaTheme="minorEastAsia" w:hAnsiTheme="minorEastAsia" w:hint="eastAsia"/>
              </w:rPr>
              <w:t>を</w:t>
            </w:r>
            <w:r w:rsidRPr="00BC31E0">
              <w:rPr>
                <w:rFonts w:hint="eastAsia"/>
              </w:rPr>
              <w:t>参照</w:t>
            </w:r>
            <w:r w:rsidRPr="00BC31E0">
              <w:rPr>
                <w:rFonts w:hint="eastAsia"/>
              </w:rPr>
              <w:t>)</w:t>
            </w:r>
          </w:p>
          <w:p w14:paraId="593E950C" w14:textId="77777777" w:rsidR="002D033B" w:rsidRPr="00BC31E0" w:rsidRDefault="002D033B" w:rsidP="00203A92">
            <w:pPr>
              <w:pStyle w:val="15"/>
              <w:ind w:leftChars="50" w:left="105" w:firstLine="210"/>
            </w:pPr>
            <m:oMath>
              <m:r>
                <w:rPr>
                  <w:rFonts w:ascii="Cambria Math" w:hAnsi="Cambria Math"/>
                </w:rPr>
                <m:t xml:space="preserve">i </m:t>
              </m:r>
            </m:oMath>
            <w:r w:rsidRPr="00BC31E0">
              <w:rPr>
                <w:rFonts w:hint="eastAsia"/>
              </w:rPr>
              <w:t>列の単位要素幅当りのモーメント</w:t>
            </w:r>
          </w:p>
        </w:tc>
      </w:tr>
      <w:tr w:rsidR="002D033B" w:rsidRPr="00BC31E0" w14:paraId="1A1D1457" w14:textId="77777777" w:rsidTr="004736F2">
        <w:tc>
          <w:tcPr>
            <w:tcW w:w="1701" w:type="dxa"/>
            <w:vMerge/>
            <w:vAlign w:val="center"/>
          </w:tcPr>
          <w:p w14:paraId="115EF0F7" w14:textId="77777777" w:rsidR="002D033B" w:rsidRPr="00BC31E0" w:rsidRDefault="002D033B" w:rsidP="00203A92">
            <w:pPr>
              <w:pStyle w:val="15"/>
              <w:ind w:firstLine="210"/>
            </w:pPr>
          </w:p>
        </w:tc>
        <w:tc>
          <w:tcPr>
            <w:tcW w:w="3685" w:type="dxa"/>
            <w:tcBorders>
              <w:top w:val="nil"/>
              <w:bottom w:val="nil"/>
            </w:tcBorders>
            <w:vAlign w:val="center"/>
          </w:tcPr>
          <w:p w14:paraId="024EE423" w14:textId="77777777" w:rsidR="002D033B" w:rsidRPr="00BC31E0" w:rsidRDefault="00A51873" w:rsidP="00203A92">
            <w:pPr>
              <w:pStyle w:val="15"/>
              <w:tabs>
                <w:tab w:val="left" w:pos="84"/>
              </w:tabs>
              <w:ind w:firstLine="210"/>
            </w:pPr>
            <m:oMathPara>
              <m:oMath>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 xml:space="preserve">3 </m:t>
                    </m:r>
                    <m:d>
                      <m:dPr>
                        <m:ctrlPr>
                          <w:rPr>
                            <w:rFonts w:ascii="Cambria Math" w:hAnsi="Cambria Math"/>
                            <w:i/>
                          </w:rPr>
                        </m:ctrlPr>
                      </m:dPr>
                      <m:e>
                        <m:r>
                          <w:rPr>
                            <w:rFonts w:ascii="Cambria Math" w:hAnsi="Cambria Math"/>
                          </w:rPr>
                          <m:t>6</m:t>
                        </m:r>
                        <m:sSub>
                          <m:sSubPr>
                            <m:ctrlPr>
                              <w:rPr>
                                <w:rFonts w:ascii="Cambria Math" w:hAnsi="Cambria Math"/>
                                <w:i/>
                              </w:rPr>
                            </m:ctrlPr>
                          </m:sSubPr>
                          <m:e>
                            <m:r>
                              <w:rPr>
                                <w:rFonts w:ascii="Cambria Math" w:hAnsi="Cambria Math"/>
                              </w:rPr>
                              <m:t xml:space="preserve"> NF</m:t>
                            </m:r>
                          </m:e>
                          <m:sub>
                            <m:r>
                              <w:rPr>
                                <w:rFonts w:ascii="Cambria Math" w:hAnsi="Cambria Math"/>
                              </w:rPr>
                              <m:t>1</m:t>
                            </m:r>
                          </m:sub>
                        </m:sSub>
                        <m:r>
                          <w:rPr>
                            <w:rFonts w:ascii="Cambria Math" w:hAnsi="Cambria Math"/>
                          </w:rPr>
                          <m:t>+2</m:t>
                        </m:r>
                        <m:sSub>
                          <m:sSubPr>
                            <m:ctrlPr>
                              <w:rPr>
                                <w:rFonts w:ascii="Cambria Math" w:hAnsi="Cambria Math"/>
                                <w:i/>
                              </w:rPr>
                            </m:ctrlPr>
                          </m:sSubPr>
                          <m:e>
                            <m:r>
                              <w:rPr>
                                <w:rFonts w:ascii="Cambria Math" w:hAnsi="Cambria Math"/>
                              </w:rPr>
                              <m:t xml:space="preserve"> NF</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NF</m:t>
                            </m:r>
                          </m:e>
                          <m:sub>
                            <m:r>
                              <w:rPr>
                                <w:rFonts w:ascii="Cambria Math" w:hAnsi="Cambria Math"/>
                              </w:rPr>
                              <m:t>2</m:t>
                            </m:r>
                          </m:sub>
                        </m:sSub>
                      </m:e>
                    </m:d>
                  </m:num>
                  <m:den>
                    <m:r>
                      <w:rPr>
                        <w:rFonts w:ascii="Cambria Math" w:hAnsi="Cambria Math"/>
                      </w:rPr>
                      <m:t>2 w</m:t>
                    </m:r>
                  </m:den>
                </m:f>
                <m:r>
                  <w:rPr>
                    <w:rFonts w:ascii="Cambria Math" w:hAnsi="Cambria Math"/>
                  </w:rPr>
                  <m:t xml:space="preserve">       </m:t>
                </m:r>
              </m:oMath>
            </m:oMathPara>
          </w:p>
          <w:p w14:paraId="2792D33B" w14:textId="77777777" w:rsidR="002D033B" w:rsidRPr="00BC31E0" w:rsidRDefault="00A51873" w:rsidP="00203A92">
            <w:pPr>
              <w:pStyle w:val="15"/>
              <w:tabs>
                <w:tab w:val="left" w:pos="84"/>
              </w:tabs>
              <w:ind w:firstLine="210"/>
            </w:pPr>
            <m:oMathPara>
              <m:oMath>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 xml:space="preserve">-3 </m:t>
                    </m:r>
                    <m:d>
                      <m:dPr>
                        <m:ctrlPr>
                          <w:rPr>
                            <w:rFonts w:ascii="Cambria Math" w:hAnsi="Cambria Math"/>
                            <w:i/>
                          </w:rPr>
                        </m:ctrlPr>
                      </m:dPr>
                      <m:e>
                        <m:r>
                          <w:rPr>
                            <w:rFonts w:ascii="Cambria Math" w:hAnsi="Cambria Math"/>
                          </w:rPr>
                          <m:t>2</m:t>
                        </m:r>
                        <m:sSub>
                          <m:sSubPr>
                            <m:ctrlPr>
                              <w:rPr>
                                <w:rFonts w:ascii="Cambria Math" w:hAnsi="Cambria Math"/>
                                <w:i/>
                              </w:rPr>
                            </m:ctrlPr>
                          </m:sSubPr>
                          <m:e>
                            <m:r>
                              <w:rPr>
                                <w:rFonts w:ascii="Cambria Math" w:hAnsi="Cambria Math"/>
                              </w:rPr>
                              <m:t xml:space="preserve"> NF</m:t>
                            </m:r>
                          </m:e>
                          <m:sub>
                            <m:r>
                              <w:rPr>
                                <w:rFonts w:ascii="Cambria Math" w:hAnsi="Cambria Math"/>
                              </w:rPr>
                              <m:t>1</m:t>
                            </m:r>
                          </m:sub>
                        </m:sSub>
                        <m:r>
                          <w:rPr>
                            <w:rFonts w:ascii="Cambria Math" w:hAnsi="Cambria Math"/>
                          </w:rPr>
                          <m:t>+2</m:t>
                        </m:r>
                        <m:sSub>
                          <m:sSubPr>
                            <m:ctrlPr>
                              <w:rPr>
                                <w:rFonts w:ascii="Cambria Math" w:hAnsi="Cambria Math"/>
                                <w:i/>
                              </w:rPr>
                            </m:ctrlPr>
                          </m:sSubPr>
                          <m:e>
                            <m:r>
                              <w:rPr>
                                <w:rFonts w:ascii="Cambria Math" w:hAnsi="Cambria Math"/>
                              </w:rPr>
                              <m:t xml:space="preserve"> NF</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3 NF</m:t>
                            </m:r>
                          </m:e>
                          <m:sub>
                            <m:r>
                              <w:rPr>
                                <w:rFonts w:ascii="Cambria Math" w:hAnsi="Cambria Math"/>
                              </w:rPr>
                              <m:t>2</m:t>
                            </m:r>
                          </m:sub>
                        </m:sSub>
                      </m:e>
                    </m:d>
                  </m:num>
                  <m:den>
                    <m:r>
                      <w:rPr>
                        <w:rFonts w:ascii="Cambria Math" w:hAnsi="Cambria Math"/>
                      </w:rPr>
                      <m:t>4 w</m:t>
                    </m:r>
                  </m:den>
                </m:f>
              </m:oMath>
            </m:oMathPara>
          </w:p>
          <w:p w14:paraId="46BE40F9" w14:textId="77777777" w:rsidR="002D033B" w:rsidRPr="00BC31E0" w:rsidRDefault="00A51873" w:rsidP="00203A92">
            <w:pPr>
              <w:pStyle w:val="15"/>
              <w:tabs>
                <w:tab w:val="left" w:pos="84"/>
              </w:tabs>
              <w:ind w:firstLine="210"/>
              <w:rPr>
                <w:i/>
              </w:rPr>
            </w:pPr>
            <m:oMathPara>
              <m:oMath>
                <m:sSub>
                  <m:sSubPr>
                    <m:ctrlPr>
                      <w:rPr>
                        <w:rFonts w:ascii="Cambria Math" w:hAnsi="Cambria Math"/>
                        <w:i/>
                      </w:rPr>
                    </m:ctrlPr>
                  </m:sSubPr>
                  <m:e>
                    <m:r>
                      <w:rPr>
                        <w:rFonts w:ascii="Cambria Math" w:hAnsi="Cambria Math"/>
                      </w:rPr>
                      <m:t>f</m:t>
                    </m:r>
                  </m:e>
                  <m:sub>
                    <m:r>
                      <w:rPr>
                        <w:rFonts w:ascii="Cambria Math" w:hAnsi="Cambria Math"/>
                      </w:rPr>
                      <m:t>3</m:t>
                    </m:r>
                  </m:sub>
                </m:sSub>
                <m:r>
                  <w:rPr>
                    <w:rFonts w:ascii="Cambria Math" w:hAnsi="Cambria Math"/>
                  </w:rPr>
                  <m:t>=</m:t>
                </m:r>
                <m:f>
                  <m:fPr>
                    <m:ctrlPr>
                      <w:rPr>
                        <w:rFonts w:ascii="Cambria Math" w:hAnsi="Cambria Math"/>
                        <w:i/>
                      </w:rPr>
                    </m:ctrlPr>
                  </m:fPr>
                  <m:num>
                    <m:r>
                      <w:rPr>
                        <w:rFonts w:ascii="Cambria Math" w:hAnsi="Cambria Math"/>
                      </w:rPr>
                      <m:t xml:space="preserve">3 </m:t>
                    </m:r>
                    <m:d>
                      <m:dPr>
                        <m:ctrlPr>
                          <w:rPr>
                            <w:rFonts w:ascii="Cambria Math" w:hAnsi="Cambria Math"/>
                            <w:i/>
                          </w:rPr>
                        </m:ctrlPr>
                      </m:dPr>
                      <m:e>
                        <m:r>
                          <w:rPr>
                            <w:rFonts w:ascii="Cambria Math" w:hAnsi="Cambria Math"/>
                          </w:rPr>
                          <m:t>2</m:t>
                        </m:r>
                        <m:sSub>
                          <m:sSubPr>
                            <m:ctrlPr>
                              <w:rPr>
                                <w:rFonts w:ascii="Cambria Math" w:hAnsi="Cambria Math"/>
                                <w:i/>
                              </w:rPr>
                            </m:ctrlPr>
                          </m:sSubPr>
                          <m:e>
                            <m:r>
                              <w:rPr>
                                <w:rFonts w:ascii="Cambria Math" w:hAnsi="Cambria Math"/>
                              </w:rPr>
                              <m:t xml:space="preserve"> NF</m:t>
                            </m:r>
                          </m:e>
                          <m:sub>
                            <m:r>
                              <w:rPr>
                                <w:rFonts w:ascii="Cambria Math" w:hAnsi="Cambria Math"/>
                              </w:rPr>
                              <m:t>1</m:t>
                            </m:r>
                          </m:sub>
                        </m:sSub>
                        <m:r>
                          <w:rPr>
                            <w:rFonts w:ascii="Cambria Math" w:hAnsi="Cambria Math"/>
                          </w:rPr>
                          <m:t>+6</m:t>
                        </m:r>
                        <m:sSub>
                          <m:sSubPr>
                            <m:ctrlPr>
                              <w:rPr>
                                <w:rFonts w:ascii="Cambria Math" w:hAnsi="Cambria Math"/>
                                <w:i/>
                              </w:rPr>
                            </m:ctrlPr>
                          </m:sSubPr>
                          <m:e>
                            <m:r>
                              <w:rPr>
                                <w:rFonts w:ascii="Cambria Math" w:hAnsi="Cambria Math"/>
                              </w:rPr>
                              <m:t xml:space="preserve"> NF</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NF</m:t>
                            </m:r>
                          </m:e>
                          <m:sub>
                            <m:r>
                              <w:rPr>
                                <w:rFonts w:ascii="Cambria Math" w:hAnsi="Cambria Math"/>
                              </w:rPr>
                              <m:t>2</m:t>
                            </m:r>
                          </m:sub>
                        </m:sSub>
                      </m:e>
                    </m:d>
                  </m:num>
                  <m:den>
                    <m:r>
                      <w:rPr>
                        <w:rFonts w:ascii="Cambria Math" w:hAnsi="Cambria Math"/>
                      </w:rPr>
                      <m:t>2 w</m:t>
                    </m:r>
                  </m:den>
                </m:f>
                <m:r>
                  <w:rPr>
                    <w:rFonts w:ascii="Cambria Math" w:hAnsi="Cambria Math"/>
                  </w:rPr>
                  <m:t xml:space="preserve">      </m:t>
                </m:r>
              </m:oMath>
            </m:oMathPara>
          </w:p>
        </w:tc>
        <w:tc>
          <w:tcPr>
            <w:tcW w:w="3686" w:type="dxa"/>
            <w:tcBorders>
              <w:top w:val="nil"/>
              <w:bottom w:val="nil"/>
            </w:tcBorders>
            <w:vAlign w:val="center"/>
          </w:tcPr>
          <w:p w14:paraId="0BCF6654" w14:textId="77777777" w:rsidR="002D033B" w:rsidRPr="00BC31E0" w:rsidRDefault="00A51873" w:rsidP="00203A92">
            <w:pPr>
              <w:pStyle w:val="15"/>
              <w:tabs>
                <w:tab w:val="left" w:pos="84"/>
              </w:tabs>
              <w:ind w:firstLine="210"/>
              <w:rPr>
                <w:i/>
              </w:rPr>
            </w:pPr>
            <m:oMathPara>
              <m:oMath>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 xml:space="preserve">3 </m:t>
                    </m:r>
                    <m:d>
                      <m:dPr>
                        <m:ctrlPr>
                          <w:rPr>
                            <w:rFonts w:ascii="Cambria Math" w:hAnsi="Cambria Math"/>
                            <w:i/>
                          </w:rPr>
                        </m:ctrlPr>
                      </m:dPr>
                      <m:e>
                        <m:r>
                          <w:rPr>
                            <w:rFonts w:ascii="Cambria Math" w:hAnsi="Cambria Math"/>
                          </w:rPr>
                          <m:t>6</m:t>
                        </m:r>
                        <m:sSub>
                          <m:sSubPr>
                            <m:ctrlPr>
                              <w:rPr>
                                <w:rFonts w:ascii="Cambria Math" w:hAnsi="Cambria Math"/>
                                <w:i/>
                              </w:rPr>
                            </m:ctrlPr>
                          </m:sSubPr>
                          <m:e>
                            <m:r>
                              <w:rPr>
                                <w:rFonts w:ascii="Cambria Math" w:hAnsi="Cambria Math"/>
                              </w:rPr>
                              <m:t xml:space="preserve"> NM</m:t>
                            </m:r>
                          </m:e>
                          <m:sub>
                            <m:r>
                              <w:rPr>
                                <w:rFonts w:ascii="Cambria Math" w:hAnsi="Cambria Math"/>
                              </w:rPr>
                              <m:t>1</m:t>
                            </m:r>
                          </m:sub>
                        </m:sSub>
                        <m:r>
                          <w:rPr>
                            <w:rFonts w:ascii="Cambria Math" w:hAnsi="Cambria Math"/>
                          </w:rPr>
                          <m:t>+2</m:t>
                        </m:r>
                        <m:sSub>
                          <m:sSubPr>
                            <m:ctrlPr>
                              <w:rPr>
                                <w:rFonts w:ascii="Cambria Math" w:hAnsi="Cambria Math"/>
                                <w:i/>
                              </w:rPr>
                            </m:ctrlPr>
                          </m:sSubPr>
                          <m:e>
                            <m:r>
                              <w:rPr>
                                <w:rFonts w:ascii="Cambria Math" w:hAnsi="Cambria Math"/>
                              </w:rPr>
                              <m:t xml:space="preserve"> NM</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NM</m:t>
                            </m:r>
                          </m:e>
                          <m:sub>
                            <m:r>
                              <w:rPr>
                                <w:rFonts w:ascii="Cambria Math" w:hAnsi="Cambria Math"/>
                              </w:rPr>
                              <m:t>2</m:t>
                            </m:r>
                          </m:sub>
                        </m:sSub>
                      </m:e>
                    </m:d>
                  </m:num>
                  <m:den>
                    <m:r>
                      <w:rPr>
                        <w:rFonts w:ascii="Cambria Math" w:hAnsi="Cambria Math"/>
                      </w:rPr>
                      <m:t>2 w</m:t>
                    </m:r>
                  </m:den>
                </m:f>
                <m:r>
                  <w:rPr>
                    <w:rFonts w:ascii="Cambria Math" w:hAnsi="Cambria Math"/>
                  </w:rPr>
                  <m:t xml:space="preserve">        </m:t>
                </m:r>
              </m:oMath>
            </m:oMathPara>
          </w:p>
          <w:p w14:paraId="2E955E23" w14:textId="77777777" w:rsidR="002D033B" w:rsidRPr="00BC31E0" w:rsidRDefault="00A51873" w:rsidP="00203A92">
            <w:pPr>
              <w:pStyle w:val="15"/>
              <w:tabs>
                <w:tab w:val="left" w:pos="84"/>
              </w:tabs>
              <w:ind w:firstLine="210"/>
              <w:rPr>
                <w:i/>
              </w:rPr>
            </w:pPr>
            <m:oMathPara>
              <m:oMath>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 xml:space="preserve">-3 </m:t>
                    </m:r>
                    <m:d>
                      <m:dPr>
                        <m:ctrlPr>
                          <w:rPr>
                            <w:rFonts w:ascii="Cambria Math" w:hAnsi="Cambria Math"/>
                            <w:i/>
                          </w:rPr>
                        </m:ctrlPr>
                      </m:dPr>
                      <m:e>
                        <m:r>
                          <w:rPr>
                            <w:rFonts w:ascii="Cambria Math" w:hAnsi="Cambria Math"/>
                          </w:rPr>
                          <m:t>2</m:t>
                        </m:r>
                        <m:sSub>
                          <m:sSubPr>
                            <m:ctrlPr>
                              <w:rPr>
                                <w:rFonts w:ascii="Cambria Math" w:hAnsi="Cambria Math"/>
                                <w:i/>
                              </w:rPr>
                            </m:ctrlPr>
                          </m:sSubPr>
                          <m:e>
                            <m:r>
                              <w:rPr>
                                <w:rFonts w:ascii="Cambria Math" w:hAnsi="Cambria Math"/>
                              </w:rPr>
                              <m:t xml:space="preserve"> NM</m:t>
                            </m:r>
                          </m:e>
                          <m:sub>
                            <m:r>
                              <w:rPr>
                                <w:rFonts w:ascii="Cambria Math" w:hAnsi="Cambria Math"/>
                              </w:rPr>
                              <m:t>1</m:t>
                            </m:r>
                          </m:sub>
                        </m:sSub>
                        <m:r>
                          <w:rPr>
                            <w:rFonts w:ascii="Cambria Math" w:hAnsi="Cambria Math"/>
                          </w:rPr>
                          <m:t>+2</m:t>
                        </m:r>
                        <m:sSub>
                          <m:sSubPr>
                            <m:ctrlPr>
                              <w:rPr>
                                <w:rFonts w:ascii="Cambria Math" w:hAnsi="Cambria Math"/>
                                <w:i/>
                              </w:rPr>
                            </m:ctrlPr>
                          </m:sSubPr>
                          <m:e>
                            <m:r>
                              <w:rPr>
                                <w:rFonts w:ascii="Cambria Math" w:hAnsi="Cambria Math"/>
                              </w:rPr>
                              <m:t xml:space="preserve"> NM</m:t>
                            </m:r>
                          </m:e>
                          <m:sub>
                            <m:r>
                              <w:rPr>
                                <w:rFonts w:ascii="Cambria Math" w:hAnsi="Cambria Math"/>
                              </w:rPr>
                              <m:t>3</m:t>
                            </m:r>
                          </m:sub>
                        </m:sSub>
                        <m:r>
                          <w:rPr>
                            <w:rFonts w:ascii="Cambria Math" w:hAnsi="Cambria Math"/>
                          </w:rPr>
                          <m:t xml:space="preserve">-3 </m:t>
                        </m:r>
                        <m:sSub>
                          <m:sSubPr>
                            <m:ctrlPr>
                              <w:rPr>
                                <w:rFonts w:ascii="Cambria Math" w:hAnsi="Cambria Math"/>
                                <w:i/>
                              </w:rPr>
                            </m:ctrlPr>
                          </m:sSubPr>
                          <m:e>
                            <m:r>
                              <w:rPr>
                                <w:rFonts w:ascii="Cambria Math" w:hAnsi="Cambria Math"/>
                              </w:rPr>
                              <m:t>NM</m:t>
                            </m:r>
                          </m:e>
                          <m:sub>
                            <m:r>
                              <w:rPr>
                                <w:rFonts w:ascii="Cambria Math" w:hAnsi="Cambria Math"/>
                              </w:rPr>
                              <m:t>2</m:t>
                            </m:r>
                          </m:sub>
                        </m:sSub>
                      </m:e>
                    </m:d>
                  </m:num>
                  <m:den>
                    <m:r>
                      <w:rPr>
                        <w:rFonts w:ascii="Cambria Math" w:hAnsi="Cambria Math"/>
                      </w:rPr>
                      <m:t>4 w</m:t>
                    </m:r>
                  </m:den>
                </m:f>
              </m:oMath>
            </m:oMathPara>
          </w:p>
          <w:p w14:paraId="33493257" w14:textId="77777777" w:rsidR="002D033B" w:rsidRPr="00BC31E0" w:rsidRDefault="00A51873" w:rsidP="00203A92">
            <w:pPr>
              <w:pStyle w:val="15"/>
              <w:tabs>
                <w:tab w:val="left" w:pos="84"/>
              </w:tabs>
              <w:ind w:firstLine="210"/>
            </w:pPr>
            <m:oMathPara>
              <m:oMath>
                <m:sSub>
                  <m:sSubPr>
                    <m:ctrlPr>
                      <w:rPr>
                        <w:rFonts w:ascii="Cambria Math" w:hAnsi="Cambria Math"/>
                        <w:i/>
                      </w:rPr>
                    </m:ctrlPr>
                  </m:sSubPr>
                  <m:e>
                    <m:r>
                      <w:rPr>
                        <w:rFonts w:ascii="Cambria Math" w:hAnsi="Cambria Math"/>
                      </w:rPr>
                      <m:t>m</m:t>
                    </m:r>
                  </m:e>
                  <m:sub>
                    <m:r>
                      <w:rPr>
                        <w:rFonts w:ascii="Cambria Math" w:hAnsi="Cambria Math"/>
                      </w:rPr>
                      <m:t>3</m:t>
                    </m:r>
                  </m:sub>
                </m:sSub>
                <m:r>
                  <w:rPr>
                    <w:rFonts w:ascii="Cambria Math" w:hAnsi="Cambria Math"/>
                  </w:rPr>
                  <m:t>=</m:t>
                </m:r>
                <m:f>
                  <m:fPr>
                    <m:ctrlPr>
                      <w:rPr>
                        <w:rFonts w:ascii="Cambria Math" w:hAnsi="Cambria Math"/>
                        <w:i/>
                      </w:rPr>
                    </m:ctrlPr>
                  </m:fPr>
                  <m:num>
                    <m:r>
                      <w:rPr>
                        <w:rFonts w:ascii="Cambria Math" w:hAnsi="Cambria Math"/>
                      </w:rPr>
                      <m:t xml:space="preserve">3 </m:t>
                    </m:r>
                    <m:d>
                      <m:dPr>
                        <m:ctrlPr>
                          <w:rPr>
                            <w:rFonts w:ascii="Cambria Math" w:hAnsi="Cambria Math"/>
                            <w:i/>
                          </w:rPr>
                        </m:ctrlPr>
                      </m:dPr>
                      <m:e>
                        <m:r>
                          <w:rPr>
                            <w:rFonts w:ascii="Cambria Math" w:hAnsi="Cambria Math"/>
                          </w:rPr>
                          <m:t>2</m:t>
                        </m:r>
                        <m:sSub>
                          <m:sSubPr>
                            <m:ctrlPr>
                              <w:rPr>
                                <w:rFonts w:ascii="Cambria Math" w:hAnsi="Cambria Math"/>
                                <w:i/>
                              </w:rPr>
                            </m:ctrlPr>
                          </m:sSubPr>
                          <m:e>
                            <m:r>
                              <w:rPr>
                                <w:rFonts w:ascii="Cambria Math" w:hAnsi="Cambria Math"/>
                              </w:rPr>
                              <m:t xml:space="preserve"> NM</m:t>
                            </m:r>
                          </m:e>
                          <m:sub>
                            <m:r>
                              <w:rPr>
                                <w:rFonts w:ascii="Cambria Math" w:hAnsi="Cambria Math"/>
                              </w:rPr>
                              <m:t>1</m:t>
                            </m:r>
                          </m:sub>
                        </m:sSub>
                        <m:r>
                          <w:rPr>
                            <w:rFonts w:ascii="Cambria Math" w:hAnsi="Cambria Math"/>
                          </w:rPr>
                          <m:t>+6</m:t>
                        </m:r>
                        <m:sSub>
                          <m:sSubPr>
                            <m:ctrlPr>
                              <w:rPr>
                                <w:rFonts w:ascii="Cambria Math" w:hAnsi="Cambria Math"/>
                                <w:i/>
                              </w:rPr>
                            </m:ctrlPr>
                          </m:sSubPr>
                          <m:e>
                            <m:r>
                              <w:rPr>
                                <w:rFonts w:ascii="Cambria Math" w:hAnsi="Cambria Math"/>
                              </w:rPr>
                              <m:t xml:space="preserve"> NM</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NM</m:t>
                            </m:r>
                          </m:e>
                          <m:sub>
                            <m:r>
                              <w:rPr>
                                <w:rFonts w:ascii="Cambria Math" w:hAnsi="Cambria Math"/>
                              </w:rPr>
                              <m:t>2</m:t>
                            </m:r>
                          </m:sub>
                        </m:sSub>
                      </m:e>
                    </m:d>
                  </m:num>
                  <m:den>
                    <m:r>
                      <w:rPr>
                        <w:rFonts w:ascii="Cambria Math" w:hAnsi="Cambria Math"/>
                      </w:rPr>
                      <m:t>2 w</m:t>
                    </m:r>
                  </m:den>
                </m:f>
                <m:r>
                  <w:rPr>
                    <w:rFonts w:ascii="Cambria Math" w:hAnsi="Cambria Math"/>
                  </w:rPr>
                  <m:t xml:space="preserve">      </m:t>
                </m:r>
              </m:oMath>
            </m:oMathPara>
          </w:p>
        </w:tc>
      </w:tr>
      <w:tr w:rsidR="002D033B" w:rsidRPr="00BC31E0" w14:paraId="63450696" w14:textId="77777777" w:rsidTr="004736F2">
        <w:tc>
          <w:tcPr>
            <w:tcW w:w="1701" w:type="dxa"/>
            <w:vMerge/>
            <w:vAlign w:val="center"/>
          </w:tcPr>
          <w:p w14:paraId="68A21430" w14:textId="77777777" w:rsidR="002D033B" w:rsidRPr="00BC31E0" w:rsidRDefault="002D033B" w:rsidP="00203A92">
            <w:pPr>
              <w:pStyle w:val="15"/>
              <w:ind w:firstLine="210"/>
            </w:pPr>
          </w:p>
        </w:tc>
        <w:tc>
          <w:tcPr>
            <w:tcW w:w="3685" w:type="dxa"/>
            <w:tcBorders>
              <w:top w:val="nil"/>
              <w:bottom w:val="single" w:sz="4" w:space="0" w:color="auto"/>
            </w:tcBorders>
          </w:tcPr>
          <w:p w14:paraId="2CED5353" w14:textId="77777777" w:rsidR="002D033B" w:rsidRPr="00BC31E0" w:rsidRDefault="00A51873" w:rsidP="00203A92">
            <w:pPr>
              <w:pStyle w:val="15"/>
              <w:tabs>
                <w:tab w:val="left" w:pos="601"/>
              </w:tabs>
              <w:ind w:leftChars="50" w:left="105" w:firstLine="210"/>
              <w:jc w:val="left"/>
            </w:pPr>
            <m:oMath>
              <m:sSub>
                <m:sSubPr>
                  <m:ctrlPr>
                    <w:rPr>
                      <w:rFonts w:ascii="Cambria Math" w:hAnsi="Cambria Math"/>
                      <w:i/>
                    </w:rPr>
                  </m:ctrlPr>
                </m:sSubPr>
                <m:e>
                  <m:r>
                    <w:rPr>
                      <w:rFonts w:ascii="Cambria Math" w:hAnsi="Cambria Math"/>
                    </w:rPr>
                    <m:t>NF</m:t>
                  </m:r>
                </m:e>
                <m:sub>
                  <m:r>
                    <w:rPr>
                      <w:rFonts w:ascii="Cambria Math" w:hAnsi="Cambria Math"/>
                    </w:rPr>
                    <m:t>i</m:t>
                  </m:r>
                </m:sub>
              </m:sSub>
            </m:oMath>
            <w:r w:rsidR="002D033B" w:rsidRPr="00BC31E0">
              <w:rPr>
                <w:rFonts w:hint="eastAsia"/>
              </w:rPr>
              <w:tab/>
            </w:r>
            <w:r w:rsidR="002D033B" w:rsidRPr="00BC31E0">
              <w:rPr>
                <w:rFonts w:hint="eastAsia"/>
              </w:rPr>
              <w:t>：</w:t>
            </w:r>
            <w:r w:rsidR="002D033B" w:rsidRPr="00BC31E0">
              <w:rPr>
                <w:rFonts w:hint="eastAsia"/>
              </w:rPr>
              <w:t>SCL</w:t>
            </w:r>
            <w:r w:rsidR="002D033B" w:rsidRPr="00BC31E0">
              <w:rPr>
                <w:rFonts w:hint="eastAsia"/>
              </w:rPr>
              <w:t>に垂直な要素幅方向の</w:t>
            </w:r>
            <m:oMath>
              <m:r>
                <w:rPr>
                  <w:rFonts w:ascii="Cambria Math" w:hAnsi="Cambria Math"/>
                </w:rPr>
                <m:t>i</m:t>
              </m:r>
            </m:oMath>
            <w:r w:rsidR="002D033B" w:rsidRPr="00BC31E0">
              <w:rPr>
                <w:rFonts w:hint="eastAsia"/>
              </w:rPr>
              <w:t>列の節点における節点力</w:t>
            </w:r>
            <w:r w:rsidR="002D033B" w:rsidRPr="00BC31E0">
              <w:rPr>
                <w:rFonts w:hint="eastAsia"/>
              </w:rPr>
              <w:t>(</w:t>
            </w:r>
            <w:r w:rsidR="002D033B" w:rsidRPr="00BC31E0">
              <w:rPr>
                <w:rFonts w:ascii="Cambria Math" w:hAnsi="Cambria Math"/>
              </w:rPr>
              <w:t>N</w:t>
            </w:r>
            <w:r w:rsidR="002D033B" w:rsidRPr="00BC31E0">
              <w:rPr>
                <w:rFonts w:hint="eastAsia"/>
              </w:rPr>
              <w:t xml:space="preserve">)  </w:t>
            </w:r>
          </w:p>
          <w:p w14:paraId="27A2617C" w14:textId="77777777" w:rsidR="002D033B" w:rsidRPr="00BC31E0" w:rsidRDefault="002D033B" w:rsidP="00203A92">
            <w:pPr>
              <w:pStyle w:val="15"/>
              <w:tabs>
                <w:tab w:val="left" w:pos="601"/>
              </w:tabs>
              <w:ind w:leftChars="50" w:left="105" w:firstLine="210"/>
              <w:jc w:val="left"/>
            </w:pPr>
            <m:oMath>
              <m:r>
                <w:rPr>
                  <w:rFonts w:ascii="Cambria Math" w:hAnsi="Cambria Math"/>
                </w:rPr>
                <m:t>t</m:t>
              </m:r>
            </m:oMath>
            <w:r w:rsidRPr="00BC31E0">
              <w:rPr>
                <w:rFonts w:hint="eastAsia"/>
              </w:rPr>
              <w:tab/>
            </w:r>
            <w:r w:rsidRPr="00BC31E0">
              <w:rPr>
                <w:rFonts w:hint="eastAsia"/>
              </w:rPr>
              <w:t>：評価断面の厚さ</w:t>
            </w:r>
            <w:r w:rsidRPr="00BC31E0">
              <w:rPr>
                <w:rFonts w:hint="eastAsia"/>
              </w:rPr>
              <w:t>(</w:t>
            </w:r>
            <w:r w:rsidRPr="00BC31E0">
              <w:rPr>
                <w:rFonts w:ascii="Cambria Math" w:hAnsi="Cambria Math"/>
              </w:rPr>
              <w:t>mm</w:t>
            </w:r>
            <w:r w:rsidRPr="00BC31E0">
              <w:rPr>
                <w:rFonts w:hint="eastAsia"/>
              </w:rPr>
              <w:t>)</w:t>
            </w:r>
          </w:p>
          <w:p w14:paraId="1B828CB8" w14:textId="77777777" w:rsidR="002D033B" w:rsidRPr="00BC31E0" w:rsidRDefault="002D033B" w:rsidP="00203A92">
            <w:pPr>
              <w:pStyle w:val="15"/>
              <w:tabs>
                <w:tab w:val="left" w:pos="601"/>
              </w:tabs>
              <w:ind w:leftChars="50" w:left="105" w:firstLine="210"/>
              <w:jc w:val="left"/>
            </w:pPr>
            <m:oMath>
              <m:r>
                <w:rPr>
                  <w:rFonts w:ascii="Cambria Math" w:hAnsi="Cambria Math"/>
                </w:rPr>
                <m:t>w</m:t>
              </m:r>
            </m:oMath>
            <w:r w:rsidRPr="00BC31E0">
              <w:rPr>
                <w:rFonts w:hint="eastAsia"/>
              </w:rPr>
              <w:tab/>
            </w:r>
            <w:r w:rsidRPr="00BC31E0">
              <w:rPr>
                <w:rFonts w:hint="eastAsia"/>
              </w:rPr>
              <w:t>：要素の幅</w:t>
            </w:r>
            <w:r w:rsidRPr="00BC31E0">
              <w:rPr>
                <w:rFonts w:hint="eastAsia"/>
              </w:rPr>
              <w:t>(</w:t>
            </w:r>
            <w:r w:rsidRPr="00BC31E0">
              <w:rPr>
                <w:rFonts w:ascii="Cambria Math" w:hAnsi="Cambria Math"/>
              </w:rPr>
              <w:t>mm</w:t>
            </w:r>
            <w:r w:rsidRPr="00BC31E0">
              <w:rPr>
                <w:rFonts w:hint="eastAsia"/>
              </w:rPr>
              <w:t>)</w:t>
            </w:r>
          </w:p>
        </w:tc>
        <w:tc>
          <w:tcPr>
            <w:tcW w:w="3686" w:type="dxa"/>
            <w:tcBorders>
              <w:top w:val="nil"/>
              <w:bottom w:val="single" w:sz="4" w:space="0" w:color="auto"/>
            </w:tcBorders>
          </w:tcPr>
          <w:p w14:paraId="7A5D2AEF" w14:textId="77777777" w:rsidR="002D033B" w:rsidRPr="00BC31E0" w:rsidRDefault="00A51873" w:rsidP="00203A92">
            <w:pPr>
              <w:pStyle w:val="15"/>
              <w:tabs>
                <w:tab w:val="left" w:pos="602"/>
              </w:tabs>
              <w:ind w:leftChars="50" w:left="105" w:firstLine="210"/>
            </w:pPr>
            <m:oMath>
              <m:sSub>
                <m:sSubPr>
                  <m:ctrlPr>
                    <w:rPr>
                      <w:rFonts w:ascii="Cambria Math" w:hAnsi="Cambria Math"/>
                      <w:i/>
                    </w:rPr>
                  </m:ctrlPr>
                </m:sSubPr>
                <m:e>
                  <m:r>
                    <w:rPr>
                      <w:rFonts w:ascii="Cambria Math" w:hAnsi="Cambria Math"/>
                    </w:rPr>
                    <m:t>NM</m:t>
                  </m:r>
                </m:e>
                <m:sub>
                  <m:r>
                    <w:rPr>
                      <w:rFonts w:ascii="Cambria Math" w:hAnsi="Cambria Math"/>
                    </w:rPr>
                    <m:t>i</m:t>
                  </m:r>
                </m:sub>
              </m:sSub>
            </m:oMath>
            <w:r w:rsidR="002D033B" w:rsidRPr="00BC31E0">
              <w:rPr>
                <w:rFonts w:hint="eastAsia"/>
              </w:rPr>
              <w:tab/>
            </w:r>
            <w:r w:rsidR="002D033B" w:rsidRPr="00BC31E0">
              <w:rPr>
                <w:rFonts w:hint="eastAsia"/>
              </w:rPr>
              <w:t>：</w:t>
            </w:r>
            <w:r w:rsidR="002D033B" w:rsidRPr="00BC31E0">
              <w:rPr>
                <w:rFonts w:hint="eastAsia"/>
              </w:rPr>
              <w:t>SCL</w:t>
            </w:r>
            <w:r w:rsidR="002D033B" w:rsidRPr="00BC31E0">
              <w:rPr>
                <w:rFonts w:hint="eastAsia"/>
              </w:rPr>
              <w:t>に垂直な曲げ応力を生じさせる要素幅方向の</w:t>
            </w:r>
            <m:oMath>
              <m:r>
                <w:rPr>
                  <w:rFonts w:ascii="Cambria Math" w:hAnsi="Cambria Math"/>
                </w:rPr>
                <m:t xml:space="preserve">i </m:t>
              </m:r>
            </m:oMath>
            <w:r w:rsidR="002D033B" w:rsidRPr="00BC31E0">
              <w:rPr>
                <w:rFonts w:hint="eastAsia"/>
              </w:rPr>
              <w:t>列の節点におけるモーメント</w:t>
            </w:r>
            <w:r w:rsidR="002D033B" w:rsidRPr="00BC31E0">
              <w:rPr>
                <w:rFonts w:hint="eastAsia"/>
              </w:rPr>
              <w:t>(</w:t>
            </w:r>
            <w:r w:rsidR="002D033B" w:rsidRPr="00BC31E0">
              <w:rPr>
                <w:rFonts w:ascii="Cambria Math" w:hAnsi="Cambria Math"/>
              </w:rPr>
              <w:t>Nmm</w:t>
            </w:r>
            <w:r w:rsidR="002D033B" w:rsidRPr="00BC31E0">
              <w:rPr>
                <w:rFonts w:hint="eastAsia"/>
              </w:rPr>
              <w:t>)</w:t>
            </w:r>
          </w:p>
        </w:tc>
      </w:tr>
      <w:tr w:rsidR="002D033B" w:rsidRPr="00BC31E0" w14:paraId="40E484E6" w14:textId="77777777" w:rsidTr="004736F2">
        <w:tc>
          <w:tcPr>
            <w:tcW w:w="1701" w:type="dxa"/>
            <w:vMerge w:val="restart"/>
            <w:vAlign w:val="center"/>
          </w:tcPr>
          <w:p w14:paraId="6A1A9AC1" w14:textId="77777777" w:rsidR="002D033B" w:rsidRPr="00BC31E0" w:rsidRDefault="002D033B" w:rsidP="0050151D">
            <w:pPr>
              <w:pStyle w:val="15"/>
              <w:ind w:firstLine="210"/>
            </w:pPr>
            <w:r w:rsidRPr="00BC31E0">
              <w:rPr>
                <w:rFonts w:hint="eastAsia"/>
              </w:rPr>
              <w:t>三</w:t>
            </w:r>
            <w:r w:rsidRPr="00BC31E0">
              <w:t>次元</w:t>
            </w:r>
          </w:p>
          <w:p w14:paraId="19AFDE65" w14:textId="77777777" w:rsidR="00280C8C" w:rsidRPr="00BC31E0" w:rsidRDefault="002D033B" w:rsidP="0050151D">
            <w:pPr>
              <w:pStyle w:val="15"/>
              <w:ind w:firstLine="210"/>
            </w:pPr>
            <w:r w:rsidRPr="00BC31E0">
              <w:rPr>
                <w:rFonts w:hint="eastAsia"/>
              </w:rPr>
              <w:t>一</w:t>
            </w:r>
            <w:r w:rsidRPr="00BC31E0">
              <w:t>次シェル</w:t>
            </w:r>
          </w:p>
          <w:p w14:paraId="0AF37AF9" w14:textId="77777777" w:rsidR="002D033B" w:rsidRPr="00BC31E0" w:rsidRDefault="002D033B" w:rsidP="0050151D">
            <w:pPr>
              <w:pStyle w:val="15"/>
              <w:ind w:firstLine="210"/>
            </w:pPr>
            <w:r w:rsidRPr="00BC31E0">
              <w:t>要素</w:t>
            </w:r>
          </w:p>
          <w:p w14:paraId="39C1515D" w14:textId="77777777" w:rsidR="002D033B" w:rsidRPr="00BC31E0" w:rsidRDefault="002D033B" w:rsidP="0050151D">
            <w:pPr>
              <w:pStyle w:val="15"/>
              <w:ind w:firstLine="210"/>
            </w:pPr>
            <w:r w:rsidRPr="00BC31E0">
              <w:t>(4</w:t>
            </w:r>
            <w:r w:rsidRPr="00BC31E0">
              <w:t>節点</w:t>
            </w:r>
            <w:r w:rsidRPr="00BC31E0">
              <w:t>)</w:t>
            </w:r>
          </w:p>
        </w:tc>
        <w:tc>
          <w:tcPr>
            <w:tcW w:w="3685" w:type="dxa"/>
            <w:tcBorders>
              <w:bottom w:val="nil"/>
            </w:tcBorders>
            <w:vAlign w:val="center"/>
          </w:tcPr>
          <w:p w14:paraId="485B2B62" w14:textId="77777777" w:rsidR="002D033B" w:rsidRPr="00BC31E0" w:rsidRDefault="002D033B" w:rsidP="00203A92">
            <w:pPr>
              <w:pStyle w:val="15"/>
              <w:ind w:firstLine="210"/>
            </w:pPr>
            <w:r w:rsidRPr="00BC31E0">
              <w:rPr>
                <w:rFonts w:hint="eastAsia"/>
              </w:rPr>
              <w:t>要素幅方向の</w:t>
            </w:r>
            <m:oMath>
              <m:r>
                <w:rPr>
                  <w:rFonts w:ascii="Cambria Math" w:hAnsi="Cambria Math"/>
                </w:rPr>
                <m:t xml:space="preserve">i </m:t>
              </m:r>
            </m:oMath>
            <w:r w:rsidRPr="00BC31E0">
              <w:rPr>
                <w:rFonts w:hint="eastAsia"/>
              </w:rPr>
              <w:t>列の膜応力</w:t>
            </w:r>
          </w:p>
        </w:tc>
        <w:tc>
          <w:tcPr>
            <w:tcW w:w="3686" w:type="dxa"/>
            <w:tcBorders>
              <w:bottom w:val="nil"/>
            </w:tcBorders>
            <w:vAlign w:val="center"/>
          </w:tcPr>
          <w:p w14:paraId="6C9C3D31" w14:textId="77777777" w:rsidR="002D033B" w:rsidRPr="00BC31E0" w:rsidRDefault="002D033B" w:rsidP="00203A92">
            <w:pPr>
              <w:pStyle w:val="15"/>
              <w:ind w:firstLine="210"/>
            </w:pPr>
            <w:r w:rsidRPr="00BC31E0">
              <w:rPr>
                <w:rFonts w:hint="eastAsia"/>
              </w:rPr>
              <w:t>要素幅方向の</w:t>
            </w:r>
            <m:oMath>
              <m:r>
                <w:rPr>
                  <w:rFonts w:ascii="Cambria Math" w:hAnsi="Cambria Math"/>
                </w:rPr>
                <m:t xml:space="preserve">i </m:t>
              </m:r>
            </m:oMath>
            <w:r w:rsidRPr="00BC31E0">
              <w:rPr>
                <w:rFonts w:hint="eastAsia"/>
              </w:rPr>
              <w:t>列の曲げ応力</w:t>
            </w:r>
          </w:p>
        </w:tc>
      </w:tr>
      <w:tr w:rsidR="002D033B" w:rsidRPr="00BC31E0" w14:paraId="1F6116E8" w14:textId="77777777" w:rsidTr="004736F2">
        <w:tc>
          <w:tcPr>
            <w:tcW w:w="1701" w:type="dxa"/>
            <w:vMerge/>
            <w:vAlign w:val="center"/>
          </w:tcPr>
          <w:p w14:paraId="19CB4E63" w14:textId="77777777" w:rsidR="002D033B" w:rsidRPr="00BC31E0" w:rsidRDefault="002D033B" w:rsidP="00203A92">
            <w:pPr>
              <w:pStyle w:val="15"/>
              <w:ind w:firstLine="210"/>
            </w:pPr>
          </w:p>
        </w:tc>
        <w:tc>
          <w:tcPr>
            <w:tcW w:w="3685" w:type="dxa"/>
            <w:tcBorders>
              <w:top w:val="nil"/>
              <w:bottom w:val="nil"/>
            </w:tcBorders>
            <w:vAlign w:val="center"/>
          </w:tcPr>
          <w:p w14:paraId="278AF5D9" w14:textId="77777777" w:rsidR="002D033B" w:rsidRPr="00BC31E0" w:rsidRDefault="00A51873" w:rsidP="00203A92">
            <w:pPr>
              <w:pStyle w:val="15"/>
              <w:ind w:firstLine="210"/>
            </w:pPr>
            <m:oMathPara>
              <m:oMath>
                <m:sSub>
                  <m:sSubPr>
                    <m:ctrlPr>
                      <w:rPr>
                        <w:rFonts w:ascii="Cambria Math" w:hAnsi="Cambria Math"/>
                        <w:i/>
                      </w:rPr>
                    </m:ctrlPr>
                  </m:sSubPr>
                  <m:e>
                    <m:r>
                      <w:rPr>
                        <w:rFonts w:ascii="Cambria Math" w:hAnsi="Cambria Math"/>
                      </w:rPr>
                      <m:t>σ</m:t>
                    </m:r>
                  </m:e>
                  <m:sub>
                    <m:r>
                      <w:rPr>
                        <w:rFonts w:ascii="Cambria Math" w:hAnsi="Cambria Math"/>
                      </w:rPr>
                      <m:t>mi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i</m:t>
                        </m:r>
                      </m:sub>
                    </m:sSub>
                  </m:num>
                  <m:den>
                    <m:r>
                      <w:rPr>
                        <w:rFonts w:ascii="Cambria Math" w:hAnsi="Cambria Math"/>
                      </w:rPr>
                      <m:t>t</m:t>
                    </m:r>
                  </m:den>
                </m:f>
              </m:oMath>
            </m:oMathPara>
          </w:p>
        </w:tc>
        <w:tc>
          <w:tcPr>
            <w:tcW w:w="3686" w:type="dxa"/>
            <w:tcBorders>
              <w:top w:val="nil"/>
              <w:bottom w:val="nil"/>
            </w:tcBorders>
            <w:vAlign w:val="center"/>
          </w:tcPr>
          <w:p w14:paraId="19063D0F" w14:textId="77777777" w:rsidR="002D033B" w:rsidRPr="00BC31E0" w:rsidRDefault="00A51873" w:rsidP="00203A92">
            <w:pPr>
              <w:pStyle w:val="15"/>
              <w:ind w:firstLine="210"/>
            </w:pPr>
            <m:oMathPara>
              <m:oMath>
                <m:sSub>
                  <m:sSubPr>
                    <m:ctrlPr>
                      <w:rPr>
                        <w:rFonts w:ascii="Cambria Math" w:hAnsi="Cambria Math"/>
                        <w:i/>
                      </w:rPr>
                    </m:ctrlPr>
                  </m:sSubPr>
                  <m:e>
                    <m:r>
                      <w:rPr>
                        <w:rFonts w:ascii="Cambria Math" w:hAnsi="Cambria Math"/>
                      </w:rPr>
                      <m:t>σ</m:t>
                    </m:r>
                  </m:e>
                  <m:sub>
                    <m:r>
                      <w:rPr>
                        <w:rFonts w:ascii="Cambria Math" w:hAnsi="Cambria Math"/>
                      </w:rPr>
                      <m:t>bi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6 m</m:t>
                        </m:r>
                      </m:e>
                      <m:sub>
                        <m:r>
                          <w:rPr>
                            <w:rFonts w:ascii="Cambria Math" w:hAnsi="Cambria Math"/>
                          </w:rPr>
                          <m:t>i</m:t>
                        </m:r>
                      </m:sub>
                    </m:sSub>
                  </m:num>
                  <m:den>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tc>
      </w:tr>
      <w:tr w:rsidR="002D033B" w:rsidRPr="00BC31E0" w14:paraId="21C7E7C4" w14:textId="77777777" w:rsidTr="004736F2">
        <w:tc>
          <w:tcPr>
            <w:tcW w:w="1701" w:type="dxa"/>
            <w:vMerge/>
            <w:vAlign w:val="center"/>
          </w:tcPr>
          <w:p w14:paraId="6AB88D6F" w14:textId="77777777" w:rsidR="002D033B" w:rsidRPr="00BC31E0" w:rsidRDefault="002D033B" w:rsidP="00203A92">
            <w:pPr>
              <w:pStyle w:val="15"/>
              <w:ind w:firstLine="210"/>
            </w:pPr>
          </w:p>
        </w:tc>
        <w:tc>
          <w:tcPr>
            <w:tcW w:w="3685" w:type="dxa"/>
            <w:tcBorders>
              <w:top w:val="nil"/>
              <w:bottom w:val="nil"/>
            </w:tcBorders>
          </w:tcPr>
          <w:p w14:paraId="4516BC48" w14:textId="77777777" w:rsidR="002D033B" w:rsidRPr="00BC31E0" w:rsidRDefault="002D033B" w:rsidP="00203A92">
            <w:pPr>
              <w:pStyle w:val="15"/>
              <w:ind w:firstLine="210"/>
            </w:pPr>
            <w:r w:rsidRPr="00BC31E0">
              <w:rPr>
                <w:rFonts w:hint="eastAsia"/>
              </w:rPr>
              <w:t>ここで，</w:t>
            </w:r>
          </w:p>
          <w:p w14:paraId="1441F1A6" w14:textId="77777777" w:rsidR="002D033B" w:rsidRPr="00BC31E0" w:rsidRDefault="002D033B" w:rsidP="00203A92">
            <w:pPr>
              <w:pStyle w:val="15"/>
              <w:ind w:leftChars="50" w:left="105" w:firstLine="210"/>
            </w:pPr>
            <m:oMath>
              <m:r>
                <w:rPr>
                  <w:rFonts w:ascii="Cambria Math" w:hAnsi="Cambria Math"/>
                </w:rPr>
                <m:t>i=1, 2</m:t>
              </m:r>
            </m:oMath>
            <w:r w:rsidRPr="00BC31E0">
              <w:rPr>
                <w:rFonts w:hint="eastAsia"/>
              </w:rPr>
              <w:t xml:space="preserve"> (</w:t>
            </w:r>
            <w:r w:rsidRPr="00BC31E0">
              <w:rPr>
                <w:rFonts w:asciiTheme="majorEastAsia" w:eastAsiaTheme="majorEastAsia" w:hAnsiTheme="majorEastAsia" w:hint="eastAsia"/>
                <w:b/>
              </w:rPr>
              <w:t>図L.10</w:t>
            </w:r>
            <w:r w:rsidRPr="00BC31E0">
              <w:rPr>
                <w:rFonts w:asciiTheme="minorEastAsia" w:eastAsiaTheme="minorEastAsia" w:hAnsiTheme="minorEastAsia" w:hint="eastAsia"/>
              </w:rPr>
              <w:t>の</w:t>
            </w:r>
            <w:r w:rsidRPr="00BC31E0">
              <w:rPr>
                <w:rFonts w:hint="eastAsia"/>
              </w:rPr>
              <w:t>要素幅の両端</w:t>
            </w:r>
            <w:r w:rsidRPr="00BC31E0">
              <w:rPr>
                <w:rFonts w:hint="eastAsia"/>
              </w:rPr>
              <w:t>)</w:t>
            </w:r>
          </w:p>
          <w:p w14:paraId="40E01877" w14:textId="77777777" w:rsidR="002D033B" w:rsidRPr="00BC31E0" w:rsidRDefault="002D033B" w:rsidP="00203A92">
            <w:pPr>
              <w:pStyle w:val="15"/>
              <w:ind w:leftChars="50" w:left="105" w:firstLine="210"/>
            </w:pPr>
            <m:oMath>
              <m:r>
                <w:rPr>
                  <w:rFonts w:ascii="Cambria Math" w:hAnsi="Cambria Math"/>
                </w:rPr>
                <m:t xml:space="preserve">i </m:t>
              </m:r>
            </m:oMath>
            <w:r w:rsidRPr="00BC31E0">
              <w:rPr>
                <w:rFonts w:hint="eastAsia"/>
              </w:rPr>
              <w:t>列の単位要素幅当りの力</w:t>
            </w:r>
          </w:p>
        </w:tc>
        <w:tc>
          <w:tcPr>
            <w:tcW w:w="3686" w:type="dxa"/>
            <w:tcBorders>
              <w:top w:val="nil"/>
              <w:bottom w:val="nil"/>
            </w:tcBorders>
          </w:tcPr>
          <w:p w14:paraId="701758AE" w14:textId="77777777" w:rsidR="002D033B" w:rsidRPr="00BC31E0" w:rsidRDefault="002D033B" w:rsidP="00203A92">
            <w:pPr>
              <w:pStyle w:val="15"/>
              <w:ind w:firstLine="210"/>
            </w:pPr>
            <w:r w:rsidRPr="00BC31E0">
              <w:rPr>
                <w:rFonts w:hint="eastAsia"/>
              </w:rPr>
              <w:t>ここで，</w:t>
            </w:r>
          </w:p>
          <w:p w14:paraId="4AB2080B" w14:textId="77777777" w:rsidR="002D033B" w:rsidRPr="00BC31E0" w:rsidRDefault="002D033B" w:rsidP="00203A92">
            <w:pPr>
              <w:pStyle w:val="15"/>
              <w:ind w:leftChars="50" w:left="105" w:firstLine="210"/>
            </w:pPr>
            <m:oMath>
              <m:r>
                <w:rPr>
                  <w:rFonts w:ascii="Cambria Math" w:hAnsi="Cambria Math"/>
                </w:rPr>
                <m:t>i=1, 2</m:t>
              </m:r>
            </m:oMath>
            <w:r w:rsidRPr="00BC31E0">
              <w:rPr>
                <w:rFonts w:hint="eastAsia"/>
              </w:rPr>
              <w:t xml:space="preserve"> (</w:t>
            </w:r>
            <w:r w:rsidRPr="00BC31E0">
              <w:rPr>
                <w:rFonts w:asciiTheme="majorEastAsia" w:eastAsiaTheme="majorEastAsia" w:hAnsiTheme="majorEastAsia" w:hint="eastAsia"/>
                <w:b/>
              </w:rPr>
              <w:t>図L.10</w:t>
            </w:r>
            <w:r w:rsidRPr="00BC31E0">
              <w:rPr>
                <w:rFonts w:hint="eastAsia"/>
              </w:rPr>
              <w:t>の要素幅の両端</w:t>
            </w:r>
            <w:r w:rsidRPr="00BC31E0">
              <w:rPr>
                <w:rFonts w:hint="eastAsia"/>
              </w:rPr>
              <w:t>)</w:t>
            </w:r>
          </w:p>
          <w:p w14:paraId="2AEB5927" w14:textId="77777777" w:rsidR="002D033B" w:rsidRPr="00BC31E0" w:rsidRDefault="002D033B" w:rsidP="00203A92">
            <w:pPr>
              <w:pStyle w:val="15"/>
              <w:ind w:leftChars="50" w:left="105" w:firstLine="210"/>
            </w:pPr>
            <m:oMath>
              <m:r>
                <w:rPr>
                  <w:rFonts w:ascii="Cambria Math" w:hAnsi="Cambria Math"/>
                </w:rPr>
                <m:t xml:space="preserve">i  </m:t>
              </m:r>
            </m:oMath>
            <w:r w:rsidRPr="00BC31E0">
              <w:rPr>
                <w:rFonts w:hint="eastAsia"/>
              </w:rPr>
              <w:t>列の単位要素幅当りのモーメント</w:t>
            </w:r>
          </w:p>
        </w:tc>
      </w:tr>
      <w:tr w:rsidR="002D033B" w:rsidRPr="00BC31E0" w14:paraId="3D4A571C" w14:textId="77777777" w:rsidTr="004736F2">
        <w:tc>
          <w:tcPr>
            <w:tcW w:w="1701" w:type="dxa"/>
            <w:vMerge/>
            <w:vAlign w:val="center"/>
          </w:tcPr>
          <w:p w14:paraId="0D12FF55" w14:textId="77777777" w:rsidR="002D033B" w:rsidRPr="00BC31E0" w:rsidRDefault="002D033B" w:rsidP="00203A92">
            <w:pPr>
              <w:pStyle w:val="15"/>
              <w:ind w:firstLine="210"/>
            </w:pPr>
          </w:p>
        </w:tc>
        <w:tc>
          <w:tcPr>
            <w:tcW w:w="3685" w:type="dxa"/>
            <w:tcBorders>
              <w:top w:val="nil"/>
              <w:bottom w:val="single" w:sz="4" w:space="0" w:color="auto"/>
            </w:tcBorders>
          </w:tcPr>
          <w:p w14:paraId="2CDA0B0A" w14:textId="77777777" w:rsidR="002D033B" w:rsidRPr="00BC31E0" w:rsidRDefault="00A51873" w:rsidP="00203A92">
            <w:pPr>
              <w:pStyle w:val="15"/>
              <w:tabs>
                <w:tab w:val="left" w:pos="84"/>
              </w:tabs>
              <w:ind w:firstLine="210"/>
            </w:pPr>
            <m:oMathPara>
              <m:oMath>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 xml:space="preserve">2 </m:t>
                    </m:r>
                    <m:d>
                      <m:dPr>
                        <m:ctrlPr>
                          <w:rPr>
                            <w:rFonts w:ascii="Cambria Math" w:hAnsi="Cambria Math"/>
                            <w:i/>
                          </w:rPr>
                        </m:ctrlPr>
                      </m:dPr>
                      <m:e>
                        <m:r>
                          <w:rPr>
                            <w:rFonts w:ascii="Cambria Math" w:hAnsi="Cambria Math"/>
                          </w:rPr>
                          <m:t xml:space="preserve">2 </m:t>
                        </m:r>
                        <m:sSub>
                          <m:sSubPr>
                            <m:ctrlPr>
                              <w:rPr>
                                <w:rFonts w:ascii="Cambria Math" w:hAnsi="Cambria Math"/>
                                <w:i/>
                              </w:rPr>
                            </m:ctrlPr>
                          </m:sSubPr>
                          <m:e>
                            <m:r>
                              <w:rPr>
                                <w:rFonts w:ascii="Cambria Math" w:hAnsi="Cambria Math"/>
                              </w:rPr>
                              <m:t>NF</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NF</m:t>
                            </m:r>
                          </m:e>
                          <m:sub>
                            <m:r>
                              <w:rPr>
                                <w:rFonts w:ascii="Cambria Math" w:hAnsi="Cambria Math"/>
                              </w:rPr>
                              <m:t>2</m:t>
                            </m:r>
                          </m:sub>
                        </m:sSub>
                      </m:e>
                    </m:d>
                  </m:num>
                  <m:den>
                    <m:r>
                      <w:rPr>
                        <w:rFonts w:ascii="Cambria Math" w:hAnsi="Cambria Math"/>
                      </w:rPr>
                      <m:t>w</m:t>
                    </m:r>
                  </m:den>
                </m:f>
              </m:oMath>
            </m:oMathPara>
          </w:p>
          <w:p w14:paraId="43E64A16" w14:textId="77777777" w:rsidR="002D033B" w:rsidRPr="00BC31E0" w:rsidRDefault="00A51873" w:rsidP="00203A92">
            <w:pPr>
              <w:pStyle w:val="15"/>
              <w:tabs>
                <w:tab w:val="left" w:pos="84"/>
              </w:tabs>
              <w:ind w:firstLine="210"/>
              <w:rPr>
                <w:i/>
              </w:rPr>
            </w:pPr>
            <m:oMathPara>
              <m:oMath>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 xml:space="preserve">2 </m:t>
                    </m:r>
                    <m:d>
                      <m:dPr>
                        <m:ctrlPr>
                          <w:rPr>
                            <w:rFonts w:ascii="Cambria Math" w:hAnsi="Cambria Math"/>
                            <w:i/>
                          </w:rPr>
                        </m:ctrlPr>
                      </m:dPr>
                      <m:e>
                        <m:r>
                          <w:rPr>
                            <w:rFonts w:ascii="Cambria Math" w:hAnsi="Cambria Math"/>
                          </w:rPr>
                          <m:t xml:space="preserve">2 </m:t>
                        </m:r>
                        <m:sSub>
                          <m:sSubPr>
                            <m:ctrlPr>
                              <w:rPr>
                                <w:rFonts w:ascii="Cambria Math" w:hAnsi="Cambria Math"/>
                                <w:i/>
                              </w:rPr>
                            </m:ctrlPr>
                          </m:sSubPr>
                          <m:e>
                            <m:r>
                              <w:rPr>
                                <w:rFonts w:ascii="Cambria Math" w:hAnsi="Cambria Math"/>
                              </w:rPr>
                              <m:t>NF</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NF</m:t>
                            </m:r>
                          </m:e>
                          <m:sub>
                            <m:r>
                              <w:rPr>
                                <w:rFonts w:ascii="Cambria Math" w:hAnsi="Cambria Math"/>
                              </w:rPr>
                              <m:t>1</m:t>
                            </m:r>
                          </m:sub>
                        </m:sSub>
                      </m:e>
                    </m:d>
                  </m:num>
                  <m:den>
                    <m:r>
                      <w:rPr>
                        <w:rFonts w:ascii="Cambria Math" w:hAnsi="Cambria Math"/>
                      </w:rPr>
                      <m:t>w</m:t>
                    </m:r>
                  </m:den>
                </m:f>
              </m:oMath>
            </m:oMathPara>
          </w:p>
        </w:tc>
        <w:tc>
          <w:tcPr>
            <w:tcW w:w="3686" w:type="dxa"/>
            <w:tcBorders>
              <w:top w:val="nil"/>
              <w:bottom w:val="single" w:sz="4" w:space="0" w:color="auto"/>
            </w:tcBorders>
          </w:tcPr>
          <w:p w14:paraId="74B50475" w14:textId="77777777" w:rsidR="002D033B" w:rsidRPr="00BC31E0" w:rsidRDefault="00A51873" w:rsidP="00203A92">
            <w:pPr>
              <w:pStyle w:val="15"/>
              <w:tabs>
                <w:tab w:val="left" w:pos="84"/>
              </w:tabs>
              <w:ind w:firstLine="210"/>
              <w:rPr>
                <w:i/>
              </w:rPr>
            </w:pPr>
            <m:oMathPara>
              <m:oMath>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 xml:space="preserve">2 </m:t>
                    </m:r>
                    <m:d>
                      <m:dPr>
                        <m:ctrlPr>
                          <w:rPr>
                            <w:rFonts w:ascii="Cambria Math" w:hAnsi="Cambria Math"/>
                            <w:i/>
                          </w:rPr>
                        </m:ctrlPr>
                      </m:dPr>
                      <m:e>
                        <m:r>
                          <w:rPr>
                            <w:rFonts w:ascii="Cambria Math" w:hAnsi="Cambria Math"/>
                          </w:rPr>
                          <m:t xml:space="preserve">2 </m:t>
                        </m:r>
                        <m:sSub>
                          <m:sSubPr>
                            <m:ctrlPr>
                              <w:rPr>
                                <w:rFonts w:ascii="Cambria Math" w:hAnsi="Cambria Math"/>
                                <w:i/>
                              </w:rPr>
                            </m:ctrlPr>
                          </m:sSubPr>
                          <m:e>
                            <m:r>
                              <w:rPr>
                                <w:rFonts w:ascii="Cambria Math" w:hAnsi="Cambria Math"/>
                              </w:rPr>
                              <m:t>NM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m:t>
                            </m:r>
                          </m:e>
                          <m:sub>
                            <m:r>
                              <w:rPr>
                                <w:rFonts w:ascii="Cambria Math" w:hAnsi="Cambria Math"/>
                              </w:rPr>
                              <m:t>2</m:t>
                            </m:r>
                          </m:sub>
                        </m:sSub>
                      </m:e>
                    </m:d>
                  </m:num>
                  <m:den>
                    <m:r>
                      <w:rPr>
                        <w:rFonts w:ascii="Cambria Math" w:hAnsi="Cambria Math"/>
                      </w:rPr>
                      <m:t>w</m:t>
                    </m:r>
                  </m:den>
                </m:f>
              </m:oMath>
            </m:oMathPara>
          </w:p>
          <w:p w14:paraId="5F78EDDE" w14:textId="77777777" w:rsidR="002D033B" w:rsidRPr="00BC31E0" w:rsidRDefault="00A51873" w:rsidP="00203A92">
            <w:pPr>
              <w:pStyle w:val="15"/>
              <w:tabs>
                <w:tab w:val="left" w:pos="84"/>
              </w:tabs>
              <w:ind w:firstLine="210"/>
            </w:pPr>
            <m:oMathPara>
              <m:oMath>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 xml:space="preserve">2 </m:t>
                    </m:r>
                    <m:d>
                      <m:dPr>
                        <m:ctrlPr>
                          <w:rPr>
                            <w:rFonts w:ascii="Cambria Math" w:hAnsi="Cambria Math"/>
                            <w:i/>
                          </w:rPr>
                        </m:ctrlPr>
                      </m:dPr>
                      <m:e>
                        <m:r>
                          <w:rPr>
                            <w:rFonts w:ascii="Cambria Math" w:hAnsi="Cambria Math"/>
                          </w:rPr>
                          <m:t xml:space="preserve">2 </m:t>
                        </m:r>
                        <m:sSub>
                          <m:sSubPr>
                            <m:ctrlPr>
                              <w:rPr>
                                <w:rFonts w:ascii="Cambria Math" w:hAnsi="Cambria Math"/>
                                <w:i/>
                              </w:rPr>
                            </m:ctrlPr>
                          </m:sSubPr>
                          <m:e>
                            <m:r>
                              <w:rPr>
                                <w:rFonts w:ascii="Cambria Math" w:hAnsi="Cambria Math"/>
                              </w:rPr>
                              <m:t>NM</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NM</m:t>
                            </m:r>
                          </m:e>
                          <m:sub>
                            <m:r>
                              <w:rPr>
                                <w:rFonts w:ascii="Cambria Math" w:hAnsi="Cambria Math"/>
                              </w:rPr>
                              <m:t>1</m:t>
                            </m:r>
                          </m:sub>
                        </m:sSub>
                      </m:e>
                    </m:d>
                  </m:num>
                  <m:den>
                    <m:r>
                      <w:rPr>
                        <w:rFonts w:ascii="Cambria Math" w:hAnsi="Cambria Math"/>
                      </w:rPr>
                      <m:t>w</m:t>
                    </m:r>
                  </m:den>
                </m:f>
              </m:oMath>
            </m:oMathPara>
          </w:p>
        </w:tc>
      </w:tr>
      <w:tr w:rsidR="002D033B" w:rsidRPr="00BC31E0" w14:paraId="477D5B36" w14:textId="77777777" w:rsidTr="004736F2">
        <w:tc>
          <w:tcPr>
            <w:tcW w:w="1701" w:type="dxa"/>
            <w:vMerge w:val="restart"/>
            <w:vAlign w:val="center"/>
          </w:tcPr>
          <w:p w14:paraId="67FC9181" w14:textId="77777777" w:rsidR="002D033B" w:rsidRPr="00BC31E0" w:rsidRDefault="002D033B" w:rsidP="0050151D">
            <w:pPr>
              <w:pStyle w:val="15"/>
              <w:ind w:firstLine="210"/>
            </w:pPr>
            <w:r w:rsidRPr="00BC31E0">
              <w:t>軸対称シェル</w:t>
            </w:r>
          </w:p>
          <w:p w14:paraId="5F66F4E0" w14:textId="77777777" w:rsidR="002D033B" w:rsidRPr="00BC31E0" w:rsidRDefault="002D033B" w:rsidP="0050151D">
            <w:pPr>
              <w:pStyle w:val="15"/>
              <w:ind w:firstLine="210"/>
            </w:pPr>
            <w:r w:rsidRPr="00BC31E0">
              <w:t>要素</w:t>
            </w:r>
          </w:p>
          <w:p w14:paraId="0BCD2E9D" w14:textId="77777777" w:rsidR="0050151D" w:rsidRPr="00BC31E0" w:rsidRDefault="002D033B" w:rsidP="0050151D">
            <w:pPr>
              <w:pStyle w:val="15"/>
              <w:ind w:firstLine="210"/>
            </w:pPr>
            <w:r w:rsidRPr="00BC31E0">
              <w:rPr>
                <w:rFonts w:hint="eastAsia"/>
              </w:rPr>
              <w:t>(</w:t>
            </w:r>
            <w:r w:rsidRPr="00BC31E0">
              <w:t>直線，</w:t>
            </w:r>
          </w:p>
          <w:p w14:paraId="5981EC77" w14:textId="77777777" w:rsidR="002D033B" w:rsidRPr="00BC31E0" w:rsidRDefault="002D033B" w:rsidP="0050151D">
            <w:pPr>
              <w:pStyle w:val="15"/>
              <w:ind w:leftChars="125" w:left="263" w:firstLineChars="0" w:firstLine="0"/>
            </w:pPr>
            <w:r w:rsidRPr="00BC31E0">
              <w:t>放物線</w:t>
            </w:r>
            <w:r w:rsidRPr="00BC31E0">
              <w:rPr>
                <w:rFonts w:hint="eastAsia"/>
              </w:rPr>
              <w:t>)</w:t>
            </w:r>
          </w:p>
        </w:tc>
        <w:tc>
          <w:tcPr>
            <w:tcW w:w="3685" w:type="dxa"/>
            <w:tcBorders>
              <w:bottom w:val="nil"/>
            </w:tcBorders>
            <w:vAlign w:val="center"/>
          </w:tcPr>
          <w:p w14:paraId="68596A3E" w14:textId="77777777" w:rsidR="002D033B" w:rsidRPr="00BC31E0" w:rsidRDefault="00A51873" w:rsidP="00203A92">
            <w:pPr>
              <w:pStyle w:val="15"/>
              <w:ind w:firstLine="210"/>
              <w:jc w:val="center"/>
              <w:rPr>
                <w:i/>
              </w:rPr>
            </w:pPr>
            <m:oMathPara>
              <m:oMath>
                <m:sSub>
                  <m:sSubPr>
                    <m:ctrlPr>
                      <w:rPr>
                        <w:rFonts w:ascii="Cambria Math" w:hAnsi="Cambria Math"/>
                        <w:i/>
                      </w:rPr>
                    </m:ctrlPr>
                  </m:sSubPr>
                  <m:e>
                    <m:r>
                      <w:rPr>
                        <w:rFonts w:ascii="Cambria Math" w:hAnsi="Cambria Math"/>
                      </w:rPr>
                      <m:t>σ</m:t>
                    </m:r>
                  </m:e>
                  <m:sub>
                    <m:r>
                      <w:rPr>
                        <w:rFonts w:ascii="Cambria Math" w:hAnsi="Cambria Math"/>
                      </w:rPr>
                      <m:t>m</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NF</m:t>
                        </m:r>
                      </m:e>
                      <m:sub>
                        <m:r>
                          <w:rPr>
                            <w:rFonts w:ascii="Cambria Math" w:hAnsi="Cambria Math"/>
                          </w:rPr>
                          <m:t>j</m:t>
                        </m:r>
                      </m:sub>
                    </m:sSub>
                  </m:num>
                  <m:den>
                    <m:r>
                      <w:rPr>
                        <w:rFonts w:ascii="Cambria Math" w:hAnsi="Cambria Math"/>
                      </w:rPr>
                      <m:t xml:space="preserve">2 π </m:t>
                    </m:r>
                    <m:sSub>
                      <m:sSubPr>
                        <m:ctrlPr>
                          <w:rPr>
                            <w:rFonts w:ascii="Cambria Math" w:hAnsi="Cambria Math"/>
                            <w:i/>
                          </w:rPr>
                        </m:ctrlPr>
                      </m:sSubPr>
                      <m:e>
                        <m:r>
                          <w:rPr>
                            <w:rFonts w:ascii="Cambria Math" w:hAnsi="Cambria Math"/>
                          </w:rPr>
                          <m:t>r</m:t>
                        </m:r>
                      </m:e>
                      <m:sub>
                        <m:r>
                          <w:rPr>
                            <w:rFonts w:ascii="Cambria Math" w:hAnsi="Cambria Math"/>
                          </w:rPr>
                          <m:t>j</m:t>
                        </m:r>
                      </m:sub>
                    </m:sSub>
                    <m:r>
                      <w:rPr>
                        <w:rFonts w:ascii="Cambria Math" w:hAnsi="Cambria Math"/>
                      </w:rPr>
                      <m:t xml:space="preserve"> t</m:t>
                    </m:r>
                  </m:den>
                </m:f>
              </m:oMath>
            </m:oMathPara>
          </w:p>
        </w:tc>
        <w:tc>
          <w:tcPr>
            <w:tcW w:w="3686" w:type="dxa"/>
            <w:tcBorders>
              <w:bottom w:val="nil"/>
            </w:tcBorders>
            <w:vAlign w:val="center"/>
          </w:tcPr>
          <w:p w14:paraId="494DC4A2" w14:textId="77777777" w:rsidR="002D033B" w:rsidRPr="00BC31E0" w:rsidRDefault="00A51873" w:rsidP="00203A92">
            <w:pPr>
              <w:pStyle w:val="15"/>
              <w:ind w:firstLine="210"/>
              <w:jc w:val="center"/>
              <w:rPr>
                <w:i/>
              </w:rPr>
            </w:pPr>
            <m:oMathPara>
              <m:oMath>
                <m:sSub>
                  <m:sSubPr>
                    <m:ctrlPr>
                      <w:rPr>
                        <w:rFonts w:ascii="Cambria Math" w:hAnsi="Cambria Math"/>
                        <w:i/>
                      </w:rPr>
                    </m:ctrlPr>
                  </m:sSubPr>
                  <m:e>
                    <m:r>
                      <w:rPr>
                        <w:rFonts w:ascii="Cambria Math" w:hAnsi="Cambria Math"/>
                      </w:rPr>
                      <m:t>σ</m:t>
                    </m:r>
                  </m:e>
                  <m:sub>
                    <m:r>
                      <w:rPr>
                        <w:rFonts w:ascii="Cambria Math" w:hAnsi="Cambria Math"/>
                      </w:rPr>
                      <m:t>b</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6 NM</m:t>
                        </m:r>
                      </m:e>
                      <m:sub>
                        <m:r>
                          <w:rPr>
                            <w:rFonts w:ascii="Cambria Math" w:hAnsi="Cambria Math"/>
                          </w:rPr>
                          <m:t>j</m:t>
                        </m:r>
                      </m:sub>
                    </m:sSub>
                  </m:num>
                  <m:den>
                    <m:r>
                      <w:rPr>
                        <w:rFonts w:ascii="Cambria Math" w:hAnsi="Cambria Math"/>
                      </w:rPr>
                      <m:t xml:space="preserve">2 π </m:t>
                    </m:r>
                    <m:sSub>
                      <m:sSubPr>
                        <m:ctrlPr>
                          <w:rPr>
                            <w:rFonts w:ascii="Cambria Math" w:hAnsi="Cambria Math"/>
                            <w:i/>
                          </w:rPr>
                        </m:ctrlPr>
                      </m:sSubPr>
                      <m:e>
                        <m:r>
                          <w:rPr>
                            <w:rFonts w:ascii="Cambria Math" w:hAnsi="Cambria Math"/>
                          </w:rPr>
                          <m:t>r</m:t>
                        </m:r>
                      </m:e>
                      <m:sub>
                        <m:r>
                          <w:rPr>
                            <w:rFonts w:ascii="Cambria Math" w:hAnsi="Cambria Math"/>
                          </w:rPr>
                          <m:t xml:space="preserve">j </m:t>
                        </m:r>
                      </m:sub>
                    </m:sSub>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tc>
      </w:tr>
      <w:tr w:rsidR="002D033B" w:rsidRPr="00BC31E0" w14:paraId="182E833D" w14:textId="77777777" w:rsidTr="004736F2">
        <w:tc>
          <w:tcPr>
            <w:tcW w:w="1701" w:type="dxa"/>
            <w:vMerge/>
            <w:vAlign w:val="center"/>
          </w:tcPr>
          <w:p w14:paraId="2F20F0B9" w14:textId="77777777" w:rsidR="002D033B" w:rsidRPr="00BC31E0" w:rsidRDefault="002D033B" w:rsidP="00203A92">
            <w:pPr>
              <w:pStyle w:val="15"/>
              <w:ind w:firstLine="210"/>
            </w:pPr>
          </w:p>
        </w:tc>
        <w:tc>
          <w:tcPr>
            <w:tcW w:w="3685" w:type="dxa"/>
            <w:tcBorders>
              <w:top w:val="nil"/>
            </w:tcBorders>
          </w:tcPr>
          <w:p w14:paraId="1DBFB556" w14:textId="77777777" w:rsidR="002D033B" w:rsidRPr="00BC31E0" w:rsidRDefault="002D033B" w:rsidP="00203A92">
            <w:pPr>
              <w:pStyle w:val="15"/>
              <w:ind w:firstLine="210"/>
            </w:pPr>
            <w:r w:rsidRPr="00BC31E0">
              <w:rPr>
                <w:rFonts w:hint="eastAsia"/>
              </w:rPr>
              <w:t>ここで，</w:t>
            </w:r>
          </w:p>
          <w:p w14:paraId="5E9C6CB2" w14:textId="77777777" w:rsidR="002D033B" w:rsidRPr="00BC31E0" w:rsidRDefault="00A51873" w:rsidP="004736F2">
            <w:pPr>
              <w:pStyle w:val="15"/>
              <w:tabs>
                <w:tab w:val="left" w:pos="601"/>
              </w:tabs>
              <w:ind w:leftChars="50" w:left="840" w:hangingChars="350" w:hanging="735"/>
              <w:jc w:val="left"/>
            </w:pPr>
            <m:oMath>
              <m:sSub>
                <m:sSubPr>
                  <m:ctrlPr>
                    <w:rPr>
                      <w:rFonts w:ascii="Cambria Math" w:hAnsi="Cambria Math"/>
                      <w:i/>
                    </w:rPr>
                  </m:ctrlPr>
                </m:sSubPr>
                <m:e>
                  <m:r>
                    <w:rPr>
                      <w:rFonts w:ascii="Cambria Math" w:hAnsi="Cambria Math"/>
                    </w:rPr>
                    <m:t>NF</m:t>
                  </m:r>
                </m:e>
                <m:sub>
                  <m:r>
                    <w:rPr>
                      <w:rFonts w:ascii="Cambria Math" w:hAnsi="Cambria Math"/>
                    </w:rPr>
                    <m:t>j</m:t>
                  </m:r>
                </m:sub>
              </m:sSub>
            </m:oMath>
            <w:r w:rsidR="002D033B" w:rsidRPr="00BC31E0">
              <w:rPr>
                <w:rFonts w:hint="eastAsia"/>
              </w:rPr>
              <w:tab/>
            </w:r>
            <w:r w:rsidR="002D033B" w:rsidRPr="00BC31E0">
              <w:rPr>
                <w:rFonts w:hint="eastAsia"/>
              </w:rPr>
              <w:t>：節点</w:t>
            </w:r>
            <w:r w:rsidR="002D033B" w:rsidRPr="00BC31E0">
              <w:rPr>
                <w:position w:val="-10"/>
              </w:rPr>
              <w:object w:dxaOrig="180" w:dyaOrig="279" w14:anchorId="6E14EF98">
                <v:shape id="_x0000_i1089" type="#_x0000_t75" style="width:10.2pt;height:16.2pt" o:ole="">
                  <v:imagedata r:id="rId185" o:title=""/>
                </v:shape>
                <o:OLEObject Type="Embed" ProgID="Equation.3" ShapeID="_x0000_i1089" DrawAspect="Content" ObjectID="_1731233636" r:id="rId194"/>
              </w:object>
            </w:r>
            <w:r w:rsidR="002D033B" w:rsidRPr="00BC31E0">
              <w:rPr>
                <w:rFonts w:hint="eastAsia"/>
              </w:rPr>
              <w:t>の節点力</w:t>
            </w:r>
            <w:r w:rsidR="002D033B" w:rsidRPr="00BC31E0">
              <w:rPr>
                <w:rFonts w:hint="eastAsia"/>
              </w:rPr>
              <w:t>(</w:t>
            </w:r>
            <w:r w:rsidR="002D033B" w:rsidRPr="00BC31E0">
              <w:rPr>
                <w:rFonts w:ascii="Cambria Math" w:hAnsi="Cambria Math"/>
              </w:rPr>
              <w:t>N</w:t>
            </w:r>
            <w:r w:rsidR="002D033B" w:rsidRPr="00BC31E0">
              <w:rPr>
                <w:rFonts w:hint="eastAsia"/>
              </w:rPr>
              <w:t>)</w:t>
            </w:r>
          </w:p>
          <w:p w14:paraId="3202DB4E" w14:textId="77777777" w:rsidR="002D033B" w:rsidRPr="00BC31E0" w:rsidRDefault="00A51873" w:rsidP="00203A92">
            <w:pPr>
              <w:pStyle w:val="15"/>
              <w:tabs>
                <w:tab w:val="left" w:pos="601"/>
              </w:tabs>
              <w:ind w:leftChars="50" w:left="105" w:firstLine="210"/>
              <w:jc w:val="left"/>
            </w:pPr>
            <m:oMath>
              <m:sSub>
                <m:sSubPr>
                  <m:ctrlPr>
                    <w:rPr>
                      <w:rFonts w:ascii="Cambria Math" w:hAnsi="Cambria Math"/>
                      <w:i/>
                    </w:rPr>
                  </m:ctrlPr>
                </m:sSubPr>
                <m:e>
                  <m:r>
                    <w:rPr>
                      <w:rFonts w:ascii="Cambria Math" w:hAnsi="Cambria Math"/>
                    </w:rPr>
                    <m:t>r</m:t>
                  </m:r>
                </m:e>
                <m:sub>
                  <m:r>
                    <w:rPr>
                      <w:rFonts w:ascii="Cambria Math" w:hAnsi="Cambria Math"/>
                    </w:rPr>
                    <m:t>j</m:t>
                  </m:r>
                </m:sub>
              </m:sSub>
            </m:oMath>
            <w:r w:rsidR="002D033B" w:rsidRPr="00BC31E0">
              <w:rPr>
                <w:rFonts w:hint="eastAsia"/>
              </w:rPr>
              <w:tab/>
            </w:r>
            <w:r w:rsidR="002D033B" w:rsidRPr="00BC31E0">
              <w:rPr>
                <w:rFonts w:hint="eastAsia"/>
              </w:rPr>
              <w:t>：節点</w:t>
            </w:r>
            <w:r w:rsidR="002D033B" w:rsidRPr="00BC31E0">
              <w:rPr>
                <w:position w:val="-10"/>
              </w:rPr>
              <w:object w:dxaOrig="180" w:dyaOrig="279" w14:anchorId="34388179">
                <v:shape id="_x0000_i1090" type="#_x0000_t75" style="width:10.2pt;height:16.2pt" o:ole="">
                  <v:imagedata r:id="rId185" o:title=""/>
                </v:shape>
                <o:OLEObject Type="Embed" ProgID="Equation.3" ShapeID="_x0000_i1090" DrawAspect="Content" ObjectID="_1731233637" r:id="rId195"/>
              </w:object>
            </w:r>
            <w:r w:rsidR="002D033B" w:rsidRPr="00BC31E0">
              <w:rPr>
                <w:rFonts w:hint="eastAsia"/>
              </w:rPr>
              <w:t>の半径</w:t>
            </w:r>
            <w:r w:rsidR="002D033B" w:rsidRPr="00BC31E0">
              <w:rPr>
                <w:rFonts w:hint="eastAsia"/>
              </w:rPr>
              <w:t>(</w:t>
            </w:r>
            <w:r w:rsidR="002D033B" w:rsidRPr="00BC31E0">
              <w:rPr>
                <w:rFonts w:ascii="Cambria Math" w:hAnsi="Cambria Math"/>
              </w:rPr>
              <w:t>mm</w:t>
            </w:r>
            <w:r w:rsidR="002D033B" w:rsidRPr="00BC31E0">
              <w:rPr>
                <w:rFonts w:hint="eastAsia"/>
              </w:rPr>
              <w:t>)</w:t>
            </w:r>
          </w:p>
        </w:tc>
        <w:tc>
          <w:tcPr>
            <w:tcW w:w="3686" w:type="dxa"/>
            <w:tcBorders>
              <w:top w:val="nil"/>
            </w:tcBorders>
          </w:tcPr>
          <w:p w14:paraId="32A415BB" w14:textId="77777777" w:rsidR="002D033B" w:rsidRPr="00BC31E0" w:rsidRDefault="002D033B" w:rsidP="00203A92">
            <w:pPr>
              <w:pStyle w:val="15"/>
              <w:ind w:firstLine="210"/>
            </w:pPr>
            <w:r w:rsidRPr="00BC31E0">
              <w:rPr>
                <w:rFonts w:hint="eastAsia"/>
              </w:rPr>
              <w:t>ここで，</w:t>
            </w:r>
          </w:p>
          <w:p w14:paraId="5BE26AF8" w14:textId="77777777" w:rsidR="002D033B" w:rsidRPr="00BC31E0" w:rsidRDefault="00A51873" w:rsidP="00203A92">
            <w:pPr>
              <w:pStyle w:val="15"/>
              <w:tabs>
                <w:tab w:val="left" w:pos="602"/>
              </w:tabs>
              <w:ind w:leftChars="50" w:left="105" w:firstLine="210"/>
              <w:jc w:val="left"/>
            </w:pPr>
            <m:oMath>
              <m:sSub>
                <m:sSubPr>
                  <m:ctrlPr>
                    <w:rPr>
                      <w:rFonts w:ascii="Cambria Math" w:hAnsi="Cambria Math"/>
                      <w:i/>
                    </w:rPr>
                  </m:ctrlPr>
                </m:sSubPr>
                <m:e>
                  <m:r>
                    <w:rPr>
                      <w:rFonts w:ascii="Cambria Math" w:hAnsi="Cambria Math"/>
                    </w:rPr>
                    <m:t>NM</m:t>
                  </m:r>
                </m:e>
                <m:sub>
                  <m:r>
                    <w:rPr>
                      <w:rFonts w:ascii="Cambria Math" w:hAnsi="Cambria Math"/>
                    </w:rPr>
                    <m:t>j</m:t>
                  </m:r>
                </m:sub>
              </m:sSub>
            </m:oMath>
            <w:r w:rsidR="002D033B" w:rsidRPr="00BC31E0">
              <w:rPr>
                <w:rFonts w:hint="eastAsia"/>
              </w:rPr>
              <w:tab/>
            </w:r>
            <w:r w:rsidR="002D033B" w:rsidRPr="00BC31E0">
              <w:rPr>
                <w:rFonts w:hint="eastAsia"/>
              </w:rPr>
              <w:t>：節点</w:t>
            </w:r>
            <w:r w:rsidR="002D033B" w:rsidRPr="00BC31E0">
              <w:rPr>
                <w:position w:val="-10"/>
              </w:rPr>
              <w:object w:dxaOrig="180" w:dyaOrig="279" w14:anchorId="76CBBE1E">
                <v:shape id="_x0000_i1091" type="#_x0000_t75" style="width:10.2pt;height:16.2pt" o:ole="">
                  <v:imagedata r:id="rId185" o:title=""/>
                </v:shape>
                <o:OLEObject Type="Embed" ProgID="Equation.3" ShapeID="_x0000_i1091" DrawAspect="Content" ObjectID="_1731233638" r:id="rId196"/>
              </w:object>
            </w:r>
            <w:r w:rsidR="002D033B" w:rsidRPr="00BC31E0">
              <w:rPr>
                <w:rFonts w:hint="eastAsia"/>
              </w:rPr>
              <w:t>のモーメント</w:t>
            </w:r>
            <w:r w:rsidR="002D033B" w:rsidRPr="00BC31E0">
              <w:rPr>
                <w:rFonts w:hint="eastAsia"/>
              </w:rPr>
              <w:t>(</w:t>
            </w:r>
            <w:r w:rsidR="002D033B" w:rsidRPr="00BC31E0">
              <w:rPr>
                <w:rFonts w:ascii="Cambria Math" w:hAnsi="Cambria Math"/>
              </w:rPr>
              <w:t>Nmm</w:t>
            </w:r>
            <w:r w:rsidR="002D033B" w:rsidRPr="00BC31E0">
              <w:rPr>
                <w:rFonts w:hint="eastAsia"/>
              </w:rPr>
              <w:t>)</w:t>
            </w:r>
          </w:p>
        </w:tc>
      </w:tr>
    </w:tbl>
    <w:p w14:paraId="4B6D7827" w14:textId="77777777" w:rsidR="002D033B" w:rsidRPr="00BC31E0" w:rsidRDefault="002D033B" w:rsidP="00D04C38">
      <w:pPr>
        <w:pStyle w:val="15"/>
        <w:ind w:firstLineChars="0" w:firstLine="0"/>
      </w:pPr>
    </w:p>
    <w:p w14:paraId="41A74476" w14:textId="77777777" w:rsidR="002D033B" w:rsidRPr="00BC31E0" w:rsidRDefault="002D033B" w:rsidP="00D04C38">
      <w:pPr>
        <w:pStyle w:val="15"/>
        <w:ind w:firstLineChars="0" w:firstLine="0"/>
      </w:pPr>
    </w:p>
    <w:p w14:paraId="48FA49F8" w14:textId="77777777" w:rsidR="002D033B" w:rsidRPr="00BC31E0" w:rsidRDefault="00A51873" w:rsidP="00260D92">
      <w:pPr>
        <w:pStyle w:val="15"/>
        <w:ind w:firstLine="210"/>
        <w:jc w:val="center"/>
        <w:rPr>
          <w:rFonts w:asciiTheme="minorEastAsia" w:eastAsiaTheme="minorEastAsia" w:hAnsiTheme="minorEastAsia"/>
        </w:rPr>
      </w:pPr>
      <w:r>
        <w:rPr>
          <w:noProof/>
        </w:rPr>
      </w:r>
      <w:r>
        <w:rPr>
          <w:noProof/>
        </w:rPr>
        <w:pict w14:anchorId="7D39201E">
          <v:group id="グループ化 12737" o:spid="_x0000_s3238" style="width:439.95pt;height:436.25pt;mso-position-horizontal-relative:char;mso-position-vertical-relative:line" coordorigin="1418,1707" coordsize="8799,8725">
            <v:shape id="Picture 548" o:spid="_x0000_s3239" type="#_x0000_t75" style="position:absolute;left:1418;top:1707;width:8799;height:87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">
              <v:imagedata r:id="rId197" o:title=""/>
            </v:shape>
            <v:shape id="Text Box 549" o:spid="_x0000_s3240" type="#_x0000_t202" style="position:absolute;left:6822;top:2829;width:2831;height: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" stroked="f">
              <v:textbox inset="5.85pt,.7pt,5.85pt,.7pt">
                <w:txbxContent>
                  <w:p w14:paraId="6B706B25" w14:textId="77777777" w:rsidR="003B0864" w:rsidRPr="00A37FD8" w:rsidRDefault="003B0864" w:rsidP="002D033B">
                    <w:pPr>
                      <w:snapToGrid w:val="0"/>
                      <w:rPr>
                        <w:rFonts w:ascii="Arial" w:eastAsia="ＭＳ ゴシック" w:hAnsi="Arial" w:cs="Arial"/>
                        <w:sz w:val="20"/>
                      </w:rPr>
                    </w:pPr>
                    <w:r w:rsidRPr="00A37FD8">
                      <w:rPr>
                        <w:rFonts w:ascii="Arial" w:eastAsia="ＭＳ ゴシック" w:hAnsi="Arial" w:cs="Arial" w:hint="eastAsia"/>
                        <w:sz w:val="20"/>
                      </w:rPr>
                      <w:t>板厚中央における</w:t>
                    </w:r>
                  </w:p>
                  <w:p w14:paraId="52CB566A" w14:textId="77777777" w:rsidR="003B0864" w:rsidRPr="00A37FD8" w:rsidRDefault="003B0864" w:rsidP="002D033B">
                    <w:pPr>
                      <w:snapToGrid w:val="0"/>
                      <w:rPr>
                        <w:rFonts w:ascii="Arial" w:eastAsia="ＭＳ ゴシック" w:hAnsi="Arial" w:cs="Arial"/>
                        <w:sz w:val="20"/>
                      </w:rPr>
                    </w:pPr>
                    <w:r w:rsidRPr="00A37FD8">
                      <w:rPr>
                        <w:rFonts w:ascii="Arial" w:eastAsia="ＭＳ ゴシック" w:hAnsi="Arial" w:cs="Arial" w:hint="eastAsia"/>
                        <w:sz w:val="20"/>
                      </w:rPr>
                      <w:t>ノズルとシェルのモデル化</w:t>
                    </w:r>
                  </w:p>
                </w:txbxContent>
              </v:textbox>
            </v:shape>
            <v:shape id="Text Box 550" o:spid="_x0000_s3241" type="#_x0000_t202" style="position:absolute;left:6120;top:5527;width:1035;height:38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" stroked="f">
              <v:textbox style="mso-fit-shape-to-text:t" inset="5.85pt,.7pt,5.85pt,.7pt">
                <w:txbxContent>
                  <w:p w14:paraId="01214AD2" w14:textId="77777777" w:rsidR="003B0864" w:rsidRPr="00A37FD8" w:rsidRDefault="003B0864" w:rsidP="002D033B">
                    <w:pPr>
                      <w:rPr>
                        <w:rFonts w:ascii="ＭＳ ゴシック" w:eastAsia="ＭＳ ゴシック" w:hAnsi="ＭＳ ゴシック"/>
                        <w:sz w:val="20"/>
                      </w:rPr>
                    </w:pPr>
                    <w:r w:rsidRPr="00A37FD8">
                      <w:rPr>
                        <w:rFonts w:ascii="ＭＳ ゴシック" w:eastAsia="ＭＳ ゴシック" w:hAnsi="ＭＳ ゴシック" w:hint="eastAsia"/>
                        <w:sz w:val="20"/>
                      </w:rPr>
                      <w:t>溶接脚長</w:t>
                    </w:r>
                  </w:p>
                </w:txbxContent>
              </v:textbox>
            </v:shape>
            <v:shape id="Text Box 551" o:spid="_x0000_s3242" type="#_x0000_t202" style="position:absolute;left:7298;top:5910;width:2758;height:3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" stroked="f">
              <v:textbox inset="5.85pt,.7pt,5.85pt,.7pt">
                <w:txbxContent>
                  <w:p w14:paraId="3517ECFB" w14:textId="77777777" w:rsidR="003B0864" w:rsidRPr="00A37FD8" w:rsidRDefault="003B0864" w:rsidP="002D033B">
                    <w:pPr>
                      <w:rPr>
                        <w:rFonts w:ascii="Arial" w:eastAsia="ＭＳ ゴシック" w:hAnsi="Arial" w:cs="Arial"/>
                        <w:sz w:val="20"/>
                      </w:rPr>
                    </w:pPr>
                    <w:r>
                      <w:rPr>
                        <w:rFonts w:ascii="Arial" w:eastAsia="ＭＳ ゴシック" w:hAnsi="ＭＳ ゴシック" w:cs="Arial" w:hint="eastAsia"/>
                        <w:sz w:val="20"/>
                      </w:rPr>
                      <w:t>隅肉</w:t>
                    </w:r>
                    <w:r w:rsidRPr="00A37FD8">
                      <w:rPr>
                        <w:rFonts w:ascii="Arial" w:eastAsia="ＭＳ ゴシック" w:hAnsi="ＭＳ ゴシック" w:cs="Arial" w:hint="eastAsia"/>
                        <w:sz w:val="20"/>
                      </w:rPr>
                      <w:t>溶接</w:t>
                    </w:r>
                    <w:r w:rsidRPr="00C43586">
                      <w:rPr>
                        <w:rFonts w:asciiTheme="majorEastAsia" w:eastAsiaTheme="majorEastAsia" w:hAnsiTheme="majorEastAsia" w:cs="Arial" w:hint="eastAsia"/>
                        <w:b/>
                        <w:sz w:val="20"/>
                        <w:vertAlign w:val="superscript"/>
                      </w:rPr>
                      <w:t>a</w:t>
                    </w:r>
                    <w:r w:rsidRPr="00C43586">
                      <w:rPr>
                        <w:rFonts w:asciiTheme="majorEastAsia" w:eastAsiaTheme="majorEastAsia" w:hAnsiTheme="majorEastAsia" w:cs="Arial"/>
                        <w:b/>
                        <w:sz w:val="20"/>
                        <w:vertAlign w:val="superscript"/>
                      </w:rPr>
                      <w:t>)</w:t>
                    </w:r>
                  </w:p>
                </w:txbxContent>
              </v:textbox>
            </v:shape>
            <v:shape id="Text Box 552" o:spid="_x0000_s3243" type="#_x0000_t202" style="position:absolute;left:7262;top:6599;width:2038;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" stroked="f">
              <v:textbox style="mso-fit-shape-to-text:t" inset="5.85pt,.7pt,5.85pt,.7pt">
                <w:txbxContent>
                  <w:p w14:paraId="664DC7A5" w14:textId="77777777" w:rsidR="003B0864" w:rsidRPr="00A37FD8" w:rsidRDefault="003B0864" w:rsidP="002D033B">
                    <w:pPr>
                      <w:rPr>
                        <w:rFonts w:ascii="Arial" w:eastAsia="ＭＳ ゴシック" w:hAnsi="Arial" w:cs="Arial"/>
                        <w:sz w:val="20"/>
                      </w:rPr>
                    </w:pPr>
                    <w:r w:rsidRPr="00A37FD8">
                      <w:rPr>
                        <w:rFonts w:ascii="Arial" w:eastAsia="ＭＳ ゴシック" w:hAnsi="ＭＳ ゴシック" w:cs="Arial"/>
                        <w:sz w:val="20"/>
                      </w:rPr>
                      <w:t>応力評価点</w:t>
                    </w:r>
                  </w:p>
                </w:txbxContent>
              </v:textbox>
            </v:shape>
            <v:shape id="Text Box 553" o:spid="_x0000_s3244" type="#_x0000_t202" style="position:absolute;left:1562;top:5626;width:1734;height:4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" stroked="f">
              <v:textbox inset="5.85pt,.7pt,5.85pt,.7pt">
                <w:txbxContent>
                  <w:p w14:paraId="45545CAC" w14:textId="77777777" w:rsidR="003B0864" w:rsidRPr="00A37FD8" w:rsidRDefault="003B0864" w:rsidP="002D033B">
                    <w:pPr>
                      <w:ind w:firstLineChars="100" w:firstLine="200"/>
                      <w:jc w:val="right"/>
                      <w:rPr>
                        <w:rFonts w:ascii="Arial" w:eastAsia="ＭＳ ゴシック" w:hAnsi="Arial" w:cs="Arial"/>
                        <w:sz w:val="20"/>
                      </w:rPr>
                    </w:pPr>
                    <w:r w:rsidRPr="00A37FD8">
                      <w:rPr>
                        <w:rFonts w:ascii="Arial" w:eastAsia="ＭＳ ゴシック" w:hAnsi="ＭＳ ゴシック" w:cs="Arial"/>
                        <w:sz w:val="20"/>
                      </w:rPr>
                      <w:t>ノズル</w:t>
                    </w:r>
                    <w:r w:rsidRPr="00A37FD8">
                      <w:rPr>
                        <w:rFonts w:ascii="Arial" w:eastAsia="ＭＳ ゴシック" w:hAnsi="ＭＳ ゴシック" w:cs="Arial" w:hint="eastAsia"/>
                        <w:sz w:val="20"/>
                      </w:rPr>
                      <w:t>の</w:t>
                    </w:r>
                    <w:r w:rsidRPr="00A37FD8">
                      <w:rPr>
                        <w:rFonts w:ascii="Arial" w:eastAsia="ＭＳ ゴシック" w:hAnsi="ＭＳ ゴシック" w:cs="Arial"/>
                        <w:sz w:val="20"/>
                      </w:rPr>
                      <w:t>厚さ</w:t>
                    </w:r>
                  </w:p>
                </w:txbxContent>
              </v:textbox>
            </v:shape>
            <v:shape id="Text Box 554" o:spid="_x0000_s3245" type="#_x0000_t202" style="position:absolute;left:3148;top:8389;width:1534;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" stroked="f">
              <v:textbox style="mso-fit-shape-to-text:t" inset="5.85pt,.7pt,5.85pt,.7pt">
                <w:txbxContent>
                  <w:p w14:paraId="0D157455" w14:textId="77777777" w:rsidR="003B0864" w:rsidRPr="00052E76" w:rsidRDefault="003B0864" w:rsidP="002D033B">
                    <w:pPr>
                      <w:ind w:firstLineChars="100" w:firstLine="200"/>
                      <w:jc w:val="right"/>
                      <w:rPr>
                        <w:rFonts w:ascii="Arial" w:eastAsia="ＭＳ ゴシック" w:hAnsi="Arial" w:cs="Arial"/>
                        <w:sz w:val="20"/>
                      </w:rPr>
                    </w:pPr>
                    <w:r>
                      <w:rPr>
                        <w:rFonts w:ascii="Arial" w:eastAsia="ＭＳ ゴシック" w:hAnsi="ＭＳ ゴシック" w:cs="Arial" w:hint="eastAsia"/>
                        <w:sz w:val="20"/>
                      </w:rPr>
                      <w:t>鏡板の</w:t>
                    </w:r>
                    <w:r w:rsidRPr="00052E76">
                      <w:rPr>
                        <w:rFonts w:ascii="Arial" w:eastAsia="ＭＳ ゴシック" w:hAnsi="ＭＳ ゴシック" w:cs="Arial"/>
                        <w:sz w:val="20"/>
                      </w:rPr>
                      <w:t>厚さ</w:t>
                    </w:r>
                  </w:p>
                </w:txbxContent>
              </v:textbox>
            </v:shape>
            <w10:anchorlock/>
          </v:group>
        </w:pict>
      </w:r>
    </w:p>
    <w:p w14:paraId="44F48689" w14:textId="77777777" w:rsidR="002D033B" w:rsidRPr="00BC31E0" w:rsidRDefault="002D033B" w:rsidP="00260D92">
      <w:pPr>
        <w:pStyle w:val="15"/>
        <w:ind w:firstLineChars="0" w:firstLine="0"/>
      </w:pPr>
    </w:p>
    <w:p w14:paraId="73DA0EA2" w14:textId="77777777" w:rsidR="002D033B" w:rsidRPr="00BC31E0" w:rsidRDefault="002D033B" w:rsidP="00260D92">
      <w:pPr>
        <w:pStyle w:val="15"/>
        <w:ind w:left="527" w:hangingChars="250" w:hanging="527"/>
        <w:rPr>
          <w:rFonts w:ascii="ＭＳ ゴシック" w:eastAsia="ＭＳ ゴシック" w:hAnsi="ＭＳ ゴシック"/>
          <w:b/>
        </w:rPr>
      </w:pPr>
      <w:r w:rsidRPr="00BC31E0">
        <w:rPr>
          <w:rFonts w:ascii="ＭＳ ゴシック" w:eastAsia="ＭＳ ゴシック" w:hAnsi="ＭＳ ゴシック" w:hint="eastAsia"/>
          <w:b/>
        </w:rPr>
        <w:t>注</w:t>
      </w:r>
      <w:r w:rsidRPr="00BC31E0">
        <w:rPr>
          <w:rFonts w:ascii="ＭＳ ゴシック" w:eastAsia="ＭＳ ゴシック" w:hAnsi="ＭＳ ゴシック" w:hint="eastAsia"/>
          <w:b/>
          <w:vertAlign w:val="superscript"/>
        </w:rPr>
        <w:t>a)</w:t>
      </w:r>
      <w:r w:rsidRPr="00BC31E0">
        <w:rPr>
          <w:rFonts w:hint="eastAsia"/>
        </w:rPr>
        <w:t xml:space="preserve"> </w:t>
      </w:r>
      <w:r w:rsidRPr="00BC31E0">
        <w:rPr>
          <w:rFonts w:hint="eastAsia"/>
        </w:rPr>
        <w:t>隅肉溶接のモデルに用いるシェル要素の厚さと材料特性は，実際の隅肉溶接と等価な剛性となるようにする。</w:t>
      </w:r>
    </w:p>
    <w:p w14:paraId="0F704707" w14:textId="77777777" w:rsidR="002D033B" w:rsidRPr="00BC31E0" w:rsidRDefault="002D033B" w:rsidP="00260D92">
      <w:pPr>
        <w:pStyle w:val="15"/>
        <w:spacing w:before="120"/>
        <w:ind w:firstLine="211"/>
        <w:jc w:val="center"/>
        <w:rPr>
          <w:rFonts w:ascii="ＭＳ ゴシック" w:eastAsia="ＭＳ ゴシック" w:hAnsi="ＭＳ ゴシック"/>
          <w:b/>
        </w:rPr>
      </w:pPr>
      <w:r w:rsidRPr="00BC31E0">
        <w:rPr>
          <w:rFonts w:ascii="ＭＳ ゴシック" w:eastAsia="ＭＳ ゴシック" w:hAnsi="ＭＳ ゴシック" w:hint="eastAsia"/>
          <w:b/>
        </w:rPr>
        <w:t>図L.9　シェル要素に対する構造応力法による応力評価</w:t>
      </w:r>
      <w:r w:rsidRPr="00BC31E0">
        <w:rPr>
          <w:rFonts w:ascii="ＭＳ ゴシック" w:eastAsia="ＭＳ ゴシック" w:hAnsi="ＭＳ ゴシック" w:hint="eastAsia"/>
          <w:b/>
          <w:vertAlign w:val="superscript"/>
        </w:rPr>
        <w:t>†</w:t>
      </w:r>
    </w:p>
    <w:p w14:paraId="616199DA" w14:textId="77777777" w:rsidR="002D033B" w:rsidRPr="00BC31E0" w:rsidRDefault="002D033B" w:rsidP="00260D92">
      <w:pPr>
        <w:pStyle w:val="15"/>
        <w:ind w:firstLineChars="0" w:firstLine="0"/>
      </w:pPr>
    </w:p>
    <w:p w14:paraId="785836E1" w14:textId="77777777" w:rsidR="002D033B" w:rsidRPr="00BC31E0" w:rsidRDefault="002D033B" w:rsidP="00260D92">
      <w:pPr>
        <w:widowControl/>
      </w:pPr>
      <w:r w:rsidRPr="00BC31E0">
        <w:br w:type="page"/>
      </w:r>
    </w:p>
    <w:p w14:paraId="6B3E4B26" w14:textId="77777777" w:rsidR="002D033B" w:rsidRPr="00BC31E0" w:rsidRDefault="00A51873" w:rsidP="00260D92">
      <w:pPr>
        <w:pStyle w:val="15"/>
        <w:ind w:firstLine="211"/>
        <w:jc w:val="center"/>
        <w:rPr>
          <w:rFonts w:asciiTheme="minorEastAsia" w:eastAsiaTheme="minorEastAsia" w:hAnsiTheme="minorEastAsia"/>
        </w:rPr>
      </w:pPr>
      <w:r>
        <w:rPr>
          <w:rFonts w:ascii="ＭＳ ゴシック" w:eastAsia="ＭＳ ゴシック" w:hAnsi="ＭＳ ゴシック"/>
          <w:b/>
          <w:noProof/>
        </w:rPr>
      </w:r>
      <w:r>
        <w:rPr>
          <w:rFonts w:ascii="ＭＳ ゴシック" w:eastAsia="ＭＳ ゴシック" w:hAnsi="ＭＳ ゴシック"/>
          <w:b/>
          <w:noProof/>
        </w:rPr>
        <w:pict w14:anchorId="655BC133">
          <v:group id="グループ化 12731" o:spid="_x0000_s3246" style="width:452.75pt;height:509.85pt;mso-position-horizontal-relative:char;mso-position-vertical-relative:line" coordorigin="1418,1701" coordsize="9055,10197">
            <v:shape id="Picture 542" o:spid="_x0000_s3247" type="#_x0000_t75" style="position:absolute;left:1418;top:1701;width:9055;height:101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">
              <v:imagedata r:id="rId198" o:title=""/>
            </v:shape>
            <v:shape id="Text Box 543" o:spid="_x0000_s3248" type="#_x0000_t202" style="position:absolute;left:7335;top:5384;width:1468;height:38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" stroked="f">
              <v:textbox style="mso-fit-shape-to-text:t" inset="5.85pt,.7pt,5.85pt,.7pt">
                <w:txbxContent>
                  <w:p w14:paraId="609CCDF0" w14:textId="77777777" w:rsidR="003B0864" w:rsidRPr="00A37FD8" w:rsidRDefault="003B0864" w:rsidP="002D033B">
                    <w:pPr>
                      <w:rPr>
                        <w:rFonts w:ascii="Arial" w:eastAsia="ＭＳ ゴシック" w:hAnsi="Arial" w:cs="Arial"/>
                        <w:sz w:val="20"/>
                      </w:rPr>
                    </w:pPr>
                    <w:r w:rsidRPr="00A37FD8">
                      <w:rPr>
                        <w:rFonts w:ascii="Arial" w:eastAsia="ＭＳ ゴシック" w:hAnsi="ＭＳ ゴシック" w:cs="Arial"/>
                        <w:sz w:val="20"/>
                      </w:rPr>
                      <w:t>詳細</w:t>
                    </w:r>
                    <w:r w:rsidRPr="00A37FD8">
                      <w:rPr>
                        <w:rFonts w:ascii="Arial" w:eastAsia="ＭＳ ゴシック" w:hAnsi="Arial" w:cs="Arial"/>
                        <w:sz w:val="20"/>
                      </w:rPr>
                      <w:t>A</w:t>
                    </w:r>
                    <w:r w:rsidRPr="00A37FD8">
                      <w:rPr>
                        <w:rFonts w:ascii="Arial" w:eastAsia="ＭＳ ゴシック" w:hAnsi="ＭＳ ゴシック" w:cs="Arial"/>
                        <w:sz w:val="20"/>
                      </w:rPr>
                      <w:t>を参照</w:t>
                    </w:r>
                  </w:p>
                </w:txbxContent>
              </v:textbox>
            </v:shape>
            <v:shape id="Text Box 544" o:spid="_x0000_s3249" type="#_x0000_t202" style="position:absolute;left:3717;top:11510;width:818;height:38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" stroked="f">
              <v:textbox style="mso-fit-shape-to-text:t" inset="5.85pt,.7pt,5.85pt,.7pt">
                <w:txbxContent>
                  <w:p w14:paraId="4FC0D820" w14:textId="77777777" w:rsidR="003B0864" w:rsidRPr="009A0B69" w:rsidRDefault="003B0864" w:rsidP="002D033B">
                    <w:pPr>
                      <w:rPr>
                        <w:rFonts w:ascii="Arial" w:eastAsia="ＭＳ ゴシック" w:hAnsi="Arial" w:cs="Arial"/>
                        <w:sz w:val="20"/>
                      </w:rPr>
                    </w:pPr>
                    <w:r w:rsidRPr="009A0B69">
                      <w:rPr>
                        <w:rFonts w:ascii="Arial" w:eastAsia="ＭＳ ゴシック" w:hAnsi="ＭＳ ゴシック" w:cs="Arial"/>
                        <w:sz w:val="20"/>
                      </w:rPr>
                      <w:t>詳細</w:t>
                    </w:r>
                    <w:r w:rsidRPr="009A0B69">
                      <w:rPr>
                        <w:rFonts w:ascii="Arial" w:eastAsia="ＭＳ ゴシック" w:hAnsi="Arial" w:cs="Arial"/>
                        <w:sz w:val="20"/>
                      </w:rPr>
                      <w:t>A</w:t>
                    </w:r>
                  </w:p>
                </w:txbxContent>
              </v:textbox>
            </v:shape>
            <v:shape id="Text Box 545" o:spid="_x0000_s3250" type="#_x0000_t202" style="position:absolute;left:5098;top:8899;width:1235;height:38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" stroked="f">
              <v:textbox style="mso-fit-shape-to-text:t" inset="5.85pt,.7pt,5.85pt,.7pt">
                <w:txbxContent>
                  <w:p w14:paraId="331B4498" w14:textId="77777777" w:rsidR="003B0864" w:rsidRPr="009A0B69" w:rsidRDefault="003B0864" w:rsidP="002D033B">
                    <w:pPr>
                      <w:rPr>
                        <w:rFonts w:ascii="Arial" w:eastAsia="ＭＳ ゴシック" w:hAnsi="Arial" w:cs="Arial"/>
                        <w:sz w:val="20"/>
                      </w:rPr>
                    </w:pPr>
                    <w:r>
                      <w:rPr>
                        <w:rFonts w:ascii="Arial" w:eastAsia="ＭＳ ゴシック" w:hAnsi="ＭＳ ゴシック" w:cs="Arial" w:hint="eastAsia"/>
                        <w:sz w:val="20"/>
                      </w:rPr>
                      <w:t>溶接止端部</w:t>
                    </w:r>
                  </w:p>
                </w:txbxContent>
              </v:textbox>
            </v:shape>
            <v:shape id="Text Box 546" o:spid="_x0000_s3251" type="#_x0000_t202" style="position:absolute;left:2119;top:10887;width:2073;height:54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" stroked="f">
              <v:textbox style="mso-fit-shape-to-text:t" inset="5.85pt,.7pt,5.85pt,.7pt">
                <w:txbxContent>
                  <w:p w14:paraId="3F85A67B" w14:textId="77777777" w:rsidR="003B0864" w:rsidRPr="00A37FD8" w:rsidRDefault="003B0864" w:rsidP="002D033B">
                    <w:pPr>
                      <w:snapToGrid w:val="0"/>
                      <w:rPr>
                        <w:rFonts w:ascii="Arial" w:eastAsia="ＭＳ ゴシック" w:hAnsi="Arial" w:cs="Arial"/>
                        <w:sz w:val="20"/>
                      </w:rPr>
                    </w:pPr>
                    <w:r w:rsidRPr="00A37FD8">
                      <w:rPr>
                        <w:rFonts w:ascii="Arial" w:eastAsia="ＭＳ ゴシック" w:hAnsi="Arial" w:cs="Arial"/>
                        <w:sz w:val="20"/>
                      </w:rPr>
                      <w:t>Y</w:t>
                    </w:r>
                    <w:r w:rsidRPr="00A37FD8">
                      <w:rPr>
                        <w:rFonts w:ascii="Arial" w:eastAsia="ＭＳ ゴシック" w:hAnsi="Arial" w:cs="Arial"/>
                        <w:sz w:val="20"/>
                        <w:vertAlign w:val="subscript"/>
                      </w:rPr>
                      <w:t>L</w:t>
                    </w:r>
                    <w:r w:rsidRPr="00A37FD8">
                      <w:rPr>
                        <w:rFonts w:ascii="Arial" w:eastAsia="ＭＳ ゴシック" w:hAnsi="ＭＳ ゴシック" w:cs="Arial"/>
                        <w:sz w:val="20"/>
                      </w:rPr>
                      <w:t>軸方向に変換した</w:t>
                    </w:r>
                  </w:p>
                  <w:p w14:paraId="0550A2D1" w14:textId="77777777" w:rsidR="003B0864" w:rsidRPr="00A37FD8" w:rsidRDefault="003B0864" w:rsidP="002D033B">
                    <w:pPr>
                      <w:snapToGrid w:val="0"/>
                      <w:rPr>
                        <w:rFonts w:ascii="Arial" w:eastAsia="ＭＳ ゴシック" w:hAnsi="Arial" w:cs="Arial"/>
                        <w:sz w:val="20"/>
                      </w:rPr>
                    </w:pPr>
                    <w:r w:rsidRPr="00A37FD8">
                      <w:rPr>
                        <w:rFonts w:ascii="Arial" w:eastAsia="ＭＳ ゴシック" w:hAnsi="ＭＳ ゴシック" w:cs="Arial"/>
                        <w:sz w:val="20"/>
                      </w:rPr>
                      <w:t>節点力</w:t>
                    </w:r>
                    <w:r w:rsidRPr="00A37FD8">
                      <w:rPr>
                        <w:rFonts w:ascii="Arial" w:eastAsia="ＭＳ ゴシック" w:hAnsi="Arial" w:cs="Arial"/>
                        <w:sz w:val="20"/>
                      </w:rPr>
                      <w:t>NF</w:t>
                    </w:r>
                    <w:r w:rsidRPr="00C43586">
                      <w:rPr>
                        <w:rFonts w:ascii="Arial" w:eastAsia="ＭＳ ゴシック" w:hAnsi="Arial" w:cs="Arial"/>
                        <w:sz w:val="20"/>
                      </w:rPr>
                      <w:t>1</w:t>
                    </w:r>
                    <w:r w:rsidRPr="00A37FD8">
                      <w:rPr>
                        <w:rFonts w:ascii="Arial" w:eastAsia="ＭＳ ゴシック" w:hAnsi="ＭＳ ゴシック" w:cs="Arial"/>
                        <w:sz w:val="20"/>
                      </w:rPr>
                      <w:t>～</w:t>
                    </w:r>
                    <w:r w:rsidRPr="00A37FD8">
                      <w:rPr>
                        <w:rFonts w:ascii="Arial" w:eastAsia="ＭＳ ゴシック" w:hAnsi="Arial" w:cs="Arial"/>
                        <w:sz w:val="20"/>
                      </w:rPr>
                      <w:t>NF</w:t>
                    </w:r>
                    <w:r w:rsidRPr="00C43586">
                      <w:rPr>
                        <w:rFonts w:ascii="Arial" w:eastAsia="ＭＳ ゴシック" w:hAnsi="Arial" w:cs="Arial"/>
                        <w:sz w:val="20"/>
                      </w:rPr>
                      <w:t>3</w:t>
                    </w:r>
                  </w:p>
                </w:txbxContent>
              </v:textbox>
            </v:shape>
            <w10:anchorlock/>
          </v:group>
        </w:pict>
      </w:r>
    </w:p>
    <w:p w14:paraId="4FD5E2EB" w14:textId="77777777" w:rsidR="002D033B" w:rsidRPr="00BC31E0" w:rsidRDefault="002D033B" w:rsidP="00260D92">
      <w:pPr>
        <w:pStyle w:val="15"/>
        <w:spacing w:before="120"/>
        <w:ind w:firstLine="211"/>
        <w:jc w:val="center"/>
        <w:rPr>
          <w:rFonts w:ascii="ＭＳ ゴシック" w:eastAsia="ＭＳ ゴシック" w:hAnsi="ＭＳ ゴシック"/>
          <w:b/>
        </w:rPr>
      </w:pPr>
      <w:r w:rsidRPr="00BC31E0">
        <w:rPr>
          <w:rFonts w:ascii="ＭＳ ゴシック" w:eastAsia="ＭＳ ゴシック" w:hAnsi="ＭＳ ゴシック" w:hint="eastAsia"/>
          <w:b/>
        </w:rPr>
        <w:t>図L.10　三次元二次シェル要素に対する構造応力法による節点力の処理</w:t>
      </w:r>
      <w:r w:rsidRPr="00BC31E0">
        <w:rPr>
          <w:rFonts w:ascii="ＭＳ ゴシック" w:eastAsia="ＭＳ ゴシック" w:hAnsi="ＭＳ ゴシック" w:hint="eastAsia"/>
          <w:b/>
          <w:vertAlign w:val="superscript"/>
        </w:rPr>
        <w:t>†</w:t>
      </w:r>
    </w:p>
    <w:p w14:paraId="5B6F43C9" w14:textId="77777777" w:rsidR="002D033B" w:rsidRPr="00BC31E0" w:rsidRDefault="002D033B" w:rsidP="00260D92">
      <w:pPr>
        <w:pStyle w:val="15"/>
        <w:ind w:firstLineChars="0" w:firstLine="0"/>
      </w:pPr>
    </w:p>
    <w:p w14:paraId="56885DDE" w14:textId="77777777" w:rsidR="002D033B" w:rsidRPr="00BC31E0" w:rsidRDefault="002D033B" w:rsidP="00260D92">
      <w:pPr>
        <w:widowControl/>
      </w:pPr>
      <w:r w:rsidRPr="00BC31E0">
        <w:br w:type="page"/>
      </w:r>
    </w:p>
    <w:p w14:paraId="48860469" w14:textId="77777777" w:rsidR="002D033B" w:rsidRPr="00BC31E0" w:rsidRDefault="00A51873" w:rsidP="00260D92">
      <w:pPr>
        <w:pStyle w:val="15"/>
        <w:ind w:firstLine="210"/>
        <w:jc w:val="center"/>
        <w:rPr>
          <w:rFonts w:asciiTheme="minorEastAsia" w:eastAsiaTheme="minorEastAsia" w:hAnsiTheme="minorEastAsia"/>
        </w:rPr>
      </w:pPr>
      <w:r>
        <w:rPr>
          <w:rFonts w:asciiTheme="minorEastAsia" w:eastAsiaTheme="minorEastAsia" w:hAnsiTheme="minorEastAsia"/>
          <w:noProof/>
        </w:rPr>
      </w:r>
      <w:r>
        <w:rPr>
          <w:rFonts w:asciiTheme="minorEastAsia" w:eastAsiaTheme="minorEastAsia" w:hAnsiTheme="minorEastAsia"/>
          <w:noProof/>
        </w:rPr>
        <w:pict w14:anchorId="529F1F14">
          <v:group id="グループ化 12721" o:spid="_x0000_s3252" style="width:378.2pt;height:644.35pt;mso-position-horizontal-relative:char;mso-position-vertical-relative:line" coordorigin="2151,1738" coordsize="7564,12887">
            <v:shape id="Picture 532" o:spid="_x0000_s3253" type="#_x0000_t75" style="position:absolute;left:2308;top:1738;width:7407;height:128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">
              <v:imagedata r:id="rId199" o:title=""/>
            </v:shape>
            <v:shape id="Text Box 533" o:spid="_x0000_s3254" type="#_x0000_t202" style="position:absolute;left:2151;top:2931;width:1953;height:8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" stroked="f">
              <v:textbox inset="5.85pt,.7pt,5.85pt,.7pt">
                <w:txbxContent>
                  <w:p w14:paraId="12518028" w14:textId="77777777" w:rsidR="003B0864" w:rsidRDefault="003B0864" w:rsidP="002D033B">
                    <w:pPr>
                      <w:snapToGrid w:val="0"/>
                      <w:rPr>
                        <w:rFonts w:ascii="Arial" w:eastAsia="ＭＳ ゴシック" w:hAnsi="ＭＳ ゴシック" w:cs="Arial"/>
                        <w:sz w:val="20"/>
                      </w:rPr>
                    </w:pPr>
                    <w:r w:rsidRPr="00A37FD8">
                      <w:rPr>
                        <w:rFonts w:ascii="Arial" w:eastAsia="ＭＳ ゴシック" w:hAnsi="ＭＳ ゴシック" w:cs="Arial"/>
                        <w:sz w:val="20"/>
                      </w:rPr>
                      <w:t>ノズルの</w:t>
                    </w:r>
                    <w:r>
                      <w:rPr>
                        <w:rFonts w:ascii="Arial" w:eastAsia="ＭＳ ゴシック" w:hAnsi="ＭＳ ゴシック" w:cs="Arial" w:hint="eastAsia"/>
                        <w:sz w:val="20"/>
                      </w:rPr>
                      <w:t>SCL</w:t>
                    </w:r>
                    <w:r w:rsidRPr="00A37FD8">
                      <w:rPr>
                        <w:rFonts w:ascii="Arial" w:eastAsia="ＭＳ ゴシック" w:hAnsi="ＭＳ ゴシック" w:cs="Arial"/>
                        <w:sz w:val="20"/>
                      </w:rPr>
                      <w:t>で</w:t>
                    </w:r>
                  </w:p>
                  <w:p w14:paraId="5BAE3D79" w14:textId="77777777" w:rsidR="003B0864" w:rsidRPr="00A37FD8" w:rsidRDefault="003B0864" w:rsidP="002D033B">
                    <w:pPr>
                      <w:snapToGrid w:val="0"/>
                      <w:rPr>
                        <w:rFonts w:ascii="Arial" w:eastAsia="ＭＳ ゴシック" w:hAnsi="Arial" w:cs="Arial"/>
                        <w:sz w:val="20"/>
                      </w:rPr>
                    </w:pPr>
                    <w:r w:rsidRPr="00A37FD8">
                      <w:rPr>
                        <w:rFonts w:ascii="Arial" w:eastAsia="ＭＳ ゴシック" w:hAnsi="ＭＳ ゴシック" w:cs="Arial"/>
                        <w:sz w:val="20"/>
                      </w:rPr>
                      <w:t>使用する要素</w:t>
                    </w:r>
                    <w:r>
                      <w:rPr>
                        <w:rFonts w:ascii="Arial" w:eastAsia="ＭＳ ゴシック" w:hAnsi="ＭＳ ゴシック" w:cs="Arial" w:hint="eastAsia"/>
                        <w:sz w:val="20"/>
                      </w:rPr>
                      <w:t>群</w:t>
                    </w:r>
                  </w:p>
                </w:txbxContent>
              </v:textbox>
            </v:shape>
            <v:shape id="Text Box 534" o:spid="_x0000_s3255" type="#_x0000_t202" style="position:absolute;left:2307;top:4174;width:1805;height:5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" stroked="f">
              <v:textbox inset="5.85pt,.7pt,5.85pt,.7pt">
                <w:txbxContent>
                  <w:p w14:paraId="2FD1CFE7" w14:textId="77777777" w:rsidR="003B0864" w:rsidRPr="00C5110E" w:rsidRDefault="003B0864" w:rsidP="002D033B">
                    <w:pPr>
                      <w:snapToGrid w:val="0"/>
                      <w:rPr>
                        <w:rFonts w:ascii="Arial" w:eastAsia="ＭＳ ゴシック" w:hAnsi="Arial" w:cs="Arial"/>
                        <w:sz w:val="20"/>
                      </w:rPr>
                    </w:pPr>
                    <w:r w:rsidRPr="00C5110E">
                      <w:rPr>
                        <w:rFonts w:ascii="Arial" w:eastAsia="ＭＳ ゴシック" w:hAnsi="ＭＳ ゴシック" w:cs="Arial"/>
                        <w:sz w:val="20"/>
                      </w:rPr>
                      <w:t>ノズルの</w:t>
                    </w:r>
                    <w:r>
                      <w:rPr>
                        <w:rFonts w:ascii="Arial" w:eastAsia="ＭＳ ゴシック" w:hAnsi="ＭＳ ゴシック" w:cs="Arial" w:hint="eastAsia"/>
                        <w:sz w:val="20"/>
                      </w:rPr>
                      <w:t>SCL</w:t>
                    </w:r>
                  </w:p>
                </w:txbxContent>
              </v:textbox>
            </v:shape>
            <v:shape id="Text Box 535" o:spid="_x0000_s3256" type="#_x0000_t202" style="position:absolute;left:4983;top:6823;width:1474;height:28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" stroked="f">
              <v:textbox style="mso-fit-shape-to-text:t" inset="5.85pt,.7pt,5.85pt,.7pt">
                <w:txbxContent>
                  <w:p w14:paraId="686FF3DB" w14:textId="77777777" w:rsidR="003B0864" w:rsidRPr="00C5110E" w:rsidRDefault="003B0864" w:rsidP="002D033B">
                    <w:pPr>
                      <w:snapToGrid w:val="0"/>
                      <w:rPr>
                        <w:rFonts w:ascii="Arial" w:eastAsia="ＭＳ ゴシック" w:hAnsi="Arial" w:cs="Arial"/>
                        <w:sz w:val="20"/>
                      </w:rPr>
                    </w:pPr>
                    <w:r>
                      <w:rPr>
                        <w:rFonts w:ascii="Arial" w:eastAsia="ＭＳ ゴシック" w:hAnsi="ＭＳ ゴシック" w:cs="Arial" w:hint="eastAsia"/>
                        <w:sz w:val="20"/>
                      </w:rPr>
                      <w:t>シェル</w:t>
                    </w:r>
                    <w:r w:rsidRPr="00C5110E">
                      <w:rPr>
                        <w:rFonts w:ascii="Arial" w:eastAsia="ＭＳ ゴシック" w:hAnsi="ＭＳ ゴシック" w:cs="Arial"/>
                        <w:sz w:val="20"/>
                      </w:rPr>
                      <w:t>の</w:t>
                    </w:r>
                    <w:r>
                      <w:rPr>
                        <w:rFonts w:ascii="Arial" w:eastAsia="ＭＳ ゴシック" w:hAnsi="ＭＳ ゴシック" w:cs="Arial" w:hint="eastAsia"/>
                        <w:sz w:val="20"/>
                      </w:rPr>
                      <w:t>SCL</w:t>
                    </w:r>
                  </w:p>
                </w:txbxContent>
              </v:textbox>
            </v:shape>
            <v:shape id="Text Box 536" o:spid="_x0000_s3257" type="#_x0000_t202" style="position:absolute;left:6015;top:5235;width:2040;height:7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" stroked="f">
              <v:textbox inset="5.85pt,.7pt,5.85pt,.7pt">
                <w:txbxContent>
                  <w:p w14:paraId="3789EBE6" w14:textId="77777777" w:rsidR="003B0864" w:rsidRDefault="003B0864" w:rsidP="002D033B">
                    <w:pPr>
                      <w:snapToGrid w:val="0"/>
                      <w:rPr>
                        <w:rFonts w:ascii="Arial" w:eastAsia="ＭＳ ゴシック" w:hAnsi="ＭＳ ゴシック" w:cs="Arial"/>
                        <w:sz w:val="20"/>
                      </w:rPr>
                    </w:pPr>
                    <w:r>
                      <w:rPr>
                        <w:rFonts w:ascii="Arial" w:eastAsia="ＭＳ ゴシック" w:hAnsi="ＭＳ ゴシック" w:cs="Arial" w:hint="eastAsia"/>
                        <w:sz w:val="20"/>
                      </w:rPr>
                      <w:t>シェル</w:t>
                    </w:r>
                    <w:r w:rsidRPr="00C5110E">
                      <w:rPr>
                        <w:rFonts w:ascii="Arial" w:eastAsia="ＭＳ ゴシック" w:hAnsi="ＭＳ ゴシック" w:cs="Arial"/>
                        <w:sz w:val="20"/>
                      </w:rPr>
                      <w:t>の</w:t>
                    </w:r>
                    <w:r>
                      <w:rPr>
                        <w:rFonts w:ascii="Arial" w:eastAsia="ＭＳ ゴシック" w:hAnsi="ＭＳ ゴシック" w:cs="Arial" w:hint="eastAsia"/>
                        <w:sz w:val="20"/>
                      </w:rPr>
                      <w:t>SCL</w:t>
                    </w:r>
                    <w:r w:rsidRPr="00C5110E">
                      <w:rPr>
                        <w:rFonts w:ascii="Arial" w:eastAsia="ＭＳ ゴシック" w:hAnsi="ＭＳ ゴシック" w:cs="Arial"/>
                        <w:sz w:val="20"/>
                      </w:rPr>
                      <w:t>で</w:t>
                    </w:r>
                  </w:p>
                  <w:p w14:paraId="412B97F8" w14:textId="77777777" w:rsidR="003B0864" w:rsidRPr="00C5110E" w:rsidRDefault="003B0864" w:rsidP="002D033B">
                    <w:pPr>
                      <w:snapToGrid w:val="0"/>
                      <w:rPr>
                        <w:rFonts w:ascii="Arial" w:eastAsia="ＭＳ ゴシック" w:hAnsi="Arial" w:cs="Arial"/>
                        <w:sz w:val="20"/>
                      </w:rPr>
                    </w:pPr>
                    <w:r w:rsidRPr="00C5110E">
                      <w:rPr>
                        <w:rFonts w:ascii="Arial" w:eastAsia="ＭＳ ゴシック" w:hAnsi="ＭＳ ゴシック" w:cs="Arial"/>
                        <w:sz w:val="20"/>
                      </w:rPr>
                      <w:t>使用する要素</w:t>
                    </w:r>
                    <w:r>
                      <w:rPr>
                        <w:rFonts w:ascii="Arial" w:eastAsia="ＭＳ ゴシック" w:hAnsi="ＭＳ ゴシック" w:cs="Arial" w:hint="eastAsia"/>
                        <w:sz w:val="20"/>
                      </w:rPr>
                      <w:t>群</w:t>
                    </w:r>
                  </w:p>
                </w:txbxContent>
              </v:textbox>
            </v:shape>
            <v:shape id="Text Box 537" o:spid="_x0000_s3258" type="#_x0000_t202" style="position:absolute;left:7160;top:10477;width:1503;height:2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" stroked="f">
              <v:textbox style="mso-fit-shape-to-text:t" inset="5.85pt,.7pt,5.85pt,.7pt">
                <w:txbxContent>
                  <w:p w14:paraId="690CC4D1" w14:textId="77777777" w:rsidR="003B0864" w:rsidRPr="00C5110E" w:rsidRDefault="003B0864" w:rsidP="002D033B">
                    <w:pPr>
                      <w:snapToGrid w:val="0"/>
                      <w:rPr>
                        <w:rFonts w:ascii="Arial" w:eastAsia="ＭＳ ゴシック" w:hAnsi="Arial" w:cs="Arial"/>
                        <w:sz w:val="20"/>
                      </w:rPr>
                    </w:pPr>
                    <w:r>
                      <w:rPr>
                        <w:rFonts w:ascii="Arial" w:eastAsia="ＭＳ ゴシック" w:hAnsi="ＭＳ ゴシック" w:cs="Arial" w:hint="eastAsia"/>
                        <w:sz w:val="20"/>
                      </w:rPr>
                      <w:t>厚板</w:t>
                    </w:r>
                    <w:r w:rsidRPr="00C5110E">
                      <w:rPr>
                        <w:rFonts w:ascii="Arial" w:eastAsia="ＭＳ ゴシック" w:hAnsi="ＭＳ ゴシック" w:cs="Arial"/>
                        <w:sz w:val="20"/>
                      </w:rPr>
                      <w:t>の</w:t>
                    </w:r>
                    <w:r>
                      <w:rPr>
                        <w:rFonts w:ascii="Arial" w:eastAsia="ＭＳ ゴシック" w:hAnsi="ＭＳ ゴシック" w:cs="Arial" w:hint="eastAsia"/>
                        <w:sz w:val="20"/>
                      </w:rPr>
                      <w:t>SCL</w:t>
                    </w:r>
                  </w:p>
                </w:txbxContent>
              </v:textbox>
            </v:shape>
            <v:shape id="Text Box 538" o:spid="_x0000_s3259" type="#_x0000_t202" style="position:absolute;left:7074;top:12014;width:1589;height:2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" stroked="f">
              <v:textbox style="mso-fit-shape-to-text:t" inset="5.85pt,.7pt,5.85pt,.7pt">
                <w:txbxContent>
                  <w:p w14:paraId="2F45B1DD" w14:textId="77777777" w:rsidR="003B0864" w:rsidRPr="00C5110E" w:rsidRDefault="003B0864" w:rsidP="002D033B">
                    <w:pPr>
                      <w:snapToGrid w:val="0"/>
                      <w:rPr>
                        <w:rFonts w:ascii="Arial" w:eastAsia="ＭＳ ゴシック" w:hAnsi="Arial" w:cs="Arial"/>
                        <w:sz w:val="20"/>
                      </w:rPr>
                    </w:pPr>
                    <w:r>
                      <w:rPr>
                        <w:rFonts w:ascii="Arial" w:eastAsia="ＭＳ ゴシック" w:hAnsi="ＭＳ ゴシック" w:cs="Arial" w:hint="eastAsia"/>
                        <w:sz w:val="20"/>
                      </w:rPr>
                      <w:t>薄板</w:t>
                    </w:r>
                    <w:r w:rsidRPr="00C5110E">
                      <w:rPr>
                        <w:rFonts w:ascii="Arial" w:eastAsia="ＭＳ ゴシック" w:hAnsi="ＭＳ ゴシック" w:cs="Arial"/>
                        <w:sz w:val="20"/>
                      </w:rPr>
                      <w:t>の</w:t>
                    </w:r>
                    <w:r>
                      <w:rPr>
                        <w:rFonts w:ascii="Arial" w:eastAsia="ＭＳ ゴシック" w:hAnsi="ＭＳ ゴシック" w:cs="Arial" w:hint="eastAsia"/>
                        <w:sz w:val="20"/>
                      </w:rPr>
                      <w:t>SCL</w:t>
                    </w:r>
                  </w:p>
                </w:txbxContent>
              </v:textbox>
            </v:shape>
            <v:shape id="Text Box 539" o:spid="_x0000_s3260" type="#_x0000_t202" style="position:absolute;left:4335;top:9970;width:1698;height:7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" stroked="f">
              <v:textbox inset="5.85pt,.7pt,5.85pt,.7pt">
                <w:txbxContent>
                  <w:p w14:paraId="6C759FC1" w14:textId="77777777" w:rsidR="003B0864" w:rsidRDefault="003B0864" w:rsidP="002D033B">
                    <w:pPr>
                      <w:snapToGrid w:val="0"/>
                      <w:rPr>
                        <w:rFonts w:ascii="Arial" w:eastAsia="ＭＳ ゴシック" w:hAnsi="ＭＳ ゴシック" w:cs="Arial"/>
                        <w:sz w:val="20"/>
                      </w:rPr>
                    </w:pPr>
                    <w:r>
                      <w:rPr>
                        <w:rFonts w:ascii="Arial" w:eastAsia="ＭＳ ゴシック" w:hAnsi="ＭＳ ゴシック" w:cs="Arial" w:hint="eastAsia"/>
                        <w:sz w:val="20"/>
                      </w:rPr>
                      <w:t>厚板の</w:t>
                    </w:r>
                    <w:r>
                      <w:rPr>
                        <w:rFonts w:ascii="Arial" w:eastAsia="ＭＳ ゴシック" w:hAnsi="ＭＳ ゴシック" w:cs="Arial" w:hint="eastAsia"/>
                        <w:sz w:val="20"/>
                      </w:rPr>
                      <w:t>SCL</w:t>
                    </w:r>
                    <w:r w:rsidRPr="00C5110E">
                      <w:rPr>
                        <w:rFonts w:ascii="Arial" w:eastAsia="ＭＳ ゴシック" w:hAnsi="ＭＳ ゴシック" w:cs="Arial"/>
                        <w:sz w:val="20"/>
                      </w:rPr>
                      <w:t>で</w:t>
                    </w:r>
                  </w:p>
                  <w:p w14:paraId="777E9BC2" w14:textId="77777777" w:rsidR="003B0864" w:rsidRPr="00C5110E" w:rsidRDefault="003B0864" w:rsidP="002D033B">
                    <w:pPr>
                      <w:snapToGrid w:val="0"/>
                      <w:rPr>
                        <w:rFonts w:ascii="Arial" w:eastAsia="ＭＳ ゴシック" w:hAnsi="Arial" w:cs="Arial"/>
                        <w:sz w:val="20"/>
                      </w:rPr>
                    </w:pPr>
                    <w:r w:rsidRPr="00C5110E">
                      <w:rPr>
                        <w:rFonts w:ascii="Arial" w:eastAsia="ＭＳ ゴシック" w:hAnsi="ＭＳ ゴシック" w:cs="Arial"/>
                        <w:sz w:val="20"/>
                      </w:rPr>
                      <w:t>使用する要素</w:t>
                    </w:r>
                    <w:r>
                      <w:rPr>
                        <w:rFonts w:ascii="Arial" w:eastAsia="ＭＳ ゴシック" w:hAnsi="ＭＳ ゴシック" w:cs="Arial" w:hint="eastAsia"/>
                        <w:sz w:val="20"/>
                      </w:rPr>
                      <w:t>群</w:t>
                    </w:r>
                  </w:p>
                </w:txbxContent>
              </v:textbox>
            </v:shape>
            <v:shape id="Text Box 540" o:spid="_x0000_s3261" type="#_x0000_t202" style="position:absolute;left:4283;top:12675;width:1747;height:7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" stroked="f">
              <v:textbox inset="5.85pt,.7pt,5.85pt,.7pt">
                <w:txbxContent>
                  <w:p w14:paraId="2465CAD4" w14:textId="77777777" w:rsidR="003B0864" w:rsidRDefault="003B0864" w:rsidP="002D033B">
                    <w:pPr>
                      <w:snapToGrid w:val="0"/>
                      <w:rPr>
                        <w:rFonts w:ascii="Arial" w:eastAsia="ＭＳ ゴシック" w:hAnsi="ＭＳ ゴシック" w:cs="Arial"/>
                        <w:sz w:val="20"/>
                      </w:rPr>
                    </w:pPr>
                    <w:r>
                      <w:rPr>
                        <w:rFonts w:ascii="Arial" w:eastAsia="ＭＳ ゴシック" w:hAnsi="ＭＳ ゴシック" w:cs="Arial" w:hint="eastAsia"/>
                        <w:sz w:val="20"/>
                      </w:rPr>
                      <w:t>薄板の</w:t>
                    </w:r>
                    <w:r>
                      <w:rPr>
                        <w:rFonts w:ascii="Arial" w:eastAsia="ＭＳ ゴシック" w:hAnsi="ＭＳ ゴシック" w:cs="Arial" w:hint="eastAsia"/>
                        <w:sz w:val="20"/>
                      </w:rPr>
                      <w:t>SCL</w:t>
                    </w:r>
                    <w:r>
                      <w:rPr>
                        <w:rFonts w:ascii="Arial" w:eastAsia="ＭＳ ゴシック" w:hAnsi="ＭＳ ゴシック" w:cs="Arial" w:hint="eastAsia"/>
                        <w:sz w:val="20"/>
                      </w:rPr>
                      <w:t>で</w:t>
                    </w:r>
                  </w:p>
                  <w:p w14:paraId="7022DEE9" w14:textId="77777777" w:rsidR="003B0864" w:rsidRPr="00C5110E" w:rsidRDefault="003B0864" w:rsidP="002D033B">
                    <w:pPr>
                      <w:snapToGrid w:val="0"/>
                      <w:rPr>
                        <w:rFonts w:ascii="Arial" w:eastAsia="ＭＳ ゴシック" w:hAnsi="Arial" w:cs="Arial"/>
                        <w:sz w:val="20"/>
                      </w:rPr>
                    </w:pPr>
                    <w:r w:rsidRPr="00C5110E">
                      <w:rPr>
                        <w:rFonts w:ascii="Arial" w:eastAsia="ＭＳ ゴシック" w:hAnsi="ＭＳ ゴシック" w:cs="Arial"/>
                        <w:sz w:val="20"/>
                      </w:rPr>
                      <w:t>使用する要素</w:t>
                    </w:r>
                    <w:r>
                      <w:rPr>
                        <w:rFonts w:ascii="Arial" w:eastAsia="ＭＳ ゴシック" w:hAnsi="ＭＳ ゴシック" w:cs="Arial" w:hint="eastAsia"/>
                        <w:sz w:val="20"/>
                      </w:rPr>
                      <w:t>群</w:t>
                    </w:r>
                  </w:p>
                </w:txbxContent>
              </v:textbox>
            </v:shape>
            <w10:anchorlock/>
          </v:group>
        </w:pict>
      </w:r>
    </w:p>
    <w:p w14:paraId="58640629" w14:textId="77777777" w:rsidR="001A4B80" w:rsidRPr="00BC31E0" w:rsidRDefault="002D033B" w:rsidP="00280C8C">
      <w:pPr>
        <w:pStyle w:val="15"/>
        <w:spacing w:before="120"/>
        <w:ind w:firstLine="211"/>
        <w:jc w:val="center"/>
        <w:rPr>
          <w:rFonts w:ascii="ＭＳ ゴシック" w:eastAsia="ＭＳ ゴシック" w:hAnsi="ＭＳ ゴシック"/>
          <w:b/>
          <w:vertAlign w:val="superscript"/>
        </w:rPr>
      </w:pPr>
      <w:r w:rsidRPr="00BC31E0">
        <w:rPr>
          <w:rFonts w:ascii="ＭＳ ゴシック" w:eastAsia="ＭＳ ゴシック" w:hAnsi="ＭＳ ゴシック" w:hint="eastAsia"/>
          <w:b/>
        </w:rPr>
        <w:t>図L.11　応力積分に基づく構造応力法における節点応力の処理のための要素選択</w:t>
      </w:r>
      <w:r w:rsidRPr="00BC31E0">
        <w:rPr>
          <w:rFonts w:ascii="ＭＳ ゴシック" w:eastAsia="ＭＳ ゴシック" w:hAnsi="ＭＳ ゴシック" w:hint="eastAsia"/>
          <w:b/>
          <w:vertAlign w:val="superscript"/>
        </w:rPr>
        <w:t>†</w:t>
      </w:r>
    </w:p>
    <w:sectPr w:rsidR="001A4B80" w:rsidRPr="00BC31E0" w:rsidSect="00300F54">
      <w:type w:val="continuous"/>
      <w:pgSz w:w="11906" w:h="16838" w:code="9"/>
      <w:pgMar w:top="1701" w:right="1418" w:bottom="1418" w:left="1418" w:header="720" w:footer="72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0E8F95" w14:textId="77777777" w:rsidR="00A51873" w:rsidRDefault="00A51873" w:rsidP="00534573">
      <w:r>
        <w:separator/>
      </w:r>
    </w:p>
    <w:p w14:paraId="3BA70BFD" w14:textId="77777777" w:rsidR="00A51873" w:rsidRDefault="00A51873"/>
    <w:p w14:paraId="1283BFFB" w14:textId="77777777" w:rsidR="00A51873" w:rsidRDefault="00A51873"/>
  </w:endnote>
  <w:endnote w:type="continuationSeparator" w:id="0">
    <w:p w14:paraId="4322E7AB" w14:textId="77777777" w:rsidR="00A51873" w:rsidRDefault="00A51873" w:rsidP="00534573">
      <w:r>
        <w:continuationSeparator/>
      </w:r>
    </w:p>
    <w:p w14:paraId="2D1E71D9" w14:textId="77777777" w:rsidR="00A51873" w:rsidRDefault="00A51873"/>
    <w:p w14:paraId="04026CCD" w14:textId="77777777" w:rsidR="00A51873" w:rsidRDefault="00A518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ｺﾞｼｯｸ">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eiryo UI">
    <w:altName w:val="Arial Unicode MS"/>
    <w:panose1 w:val="020B0604030504040204"/>
    <w:charset w:val="80"/>
    <w:family w:val="modern"/>
    <w:pitch w:val="variable"/>
    <w:sig w:usb0="E00002FF" w:usb1="6AC7FFFF" w:usb2="08000012" w:usb3="00000000" w:csb0="0002009F" w:csb1="00000000"/>
  </w:font>
  <w:font w:name="Arial Unicode MS">
    <w:altName w:val="ＭＳ ゴシック"/>
    <w:panose1 w:val="020B0604020202020204"/>
    <w:charset w:val="80"/>
    <w:family w:val="modern"/>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64E9E" w14:textId="77777777" w:rsidR="003B0864" w:rsidRDefault="002620C0">
    <w:pPr>
      <w:pStyle w:val="a5"/>
      <w:framePr w:wrap="around" w:vAnchor="text" w:hAnchor="margin" w:xAlign="center" w:y="1"/>
      <w:rPr>
        <w:rStyle w:val="af"/>
      </w:rPr>
    </w:pPr>
    <w:r>
      <w:rPr>
        <w:rStyle w:val="af"/>
      </w:rPr>
      <w:fldChar w:fldCharType="begin"/>
    </w:r>
    <w:r w:rsidR="003B0864">
      <w:rPr>
        <w:rStyle w:val="af"/>
      </w:rPr>
      <w:instrText xml:space="preserve">PAGE  </w:instrText>
    </w:r>
    <w:r>
      <w:rPr>
        <w:rStyle w:val="af"/>
      </w:rPr>
      <w:fldChar w:fldCharType="end"/>
    </w:r>
  </w:p>
  <w:p w14:paraId="0782CAE2" w14:textId="77777777" w:rsidR="003B0864" w:rsidRDefault="003B0864">
    <w:pPr>
      <w:pStyle w:val="a5"/>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9F066" w14:textId="77777777" w:rsidR="003B0864" w:rsidRDefault="002620C0" w:rsidP="004736F2">
    <w:pPr>
      <w:pStyle w:val="a5"/>
      <w:framePr w:wrap="around" w:vAnchor="text" w:hAnchor="margin" w:xAlign="center" w:y="1"/>
      <w:rPr>
        <w:rStyle w:val="af"/>
      </w:rPr>
    </w:pPr>
    <w:r>
      <w:rPr>
        <w:rStyle w:val="af"/>
      </w:rPr>
      <w:fldChar w:fldCharType="begin"/>
    </w:r>
    <w:r w:rsidR="003B0864">
      <w:rPr>
        <w:rStyle w:val="af"/>
      </w:rPr>
      <w:instrText xml:space="preserve">PAGE  </w:instrText>
    </w:r>
    <w:r>
      <w:rPr>
        <w:rStyle w:val="af"/>
      </w:rPr>
      <w:fldChar w:fldCharType="end"/>
    </w:r>
  </w:p>
  <w:p w14:paraId="427867F3" w14:textId="77777777" w:rsidR="003B0864" w:rsidRDefault="003B0864">
    <w:pPr>
      <w:pStyle w:val="a5"/>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A5EEF4" w14:textId="77777777" w:rsidR="003B0864" w:rsidRDefault="003B0864">
    <w:pPr>
      <w:pStyle w:val="a5"/>
      <w:jc w:val="center"/>
      <w:rPr>
        <w:noProof/>
        <w:lang w:val="ja-JP"/>
      </w:rPr>
    </w:pPr>
  </w:p>
  <w:p w14:paraId="50CCCB0D" w14:textId="77777777" w:rsidR="003B0864" w:rsidRDefault="002620C0">
    <w:pPr>
      <w:pStyle w:val="a5"/>
      <w:jc w:val="center"/>
    </w:pPr>
    <w:r>
      <w:rPr>
        <w:noProof/>
        <w:lang w:val="ja-JP"/>
      </w:rPr>
      <w:fldChar w:fldCharType="begin"/>
    </w:r>
    <w:r w:rsidR="003B0864">
      <w:rPr>
        <w:noProof/>
        <w:lang w:val="ja-JP"/>
      </w:rPr>
      <w:instrText>PAGE   \* MERGEFORMAT</w:instrText>
    </w:r>
    <w:r>
      <w:rPr>
        <w:noProof/>
        <w:lang w:val="ja-JP"/>
      </w:rPr>
      <w:fldChar w:fldCharType="separate"/>
    </w:r>
    <w:r w:rsidR="00927DD8">
      <w:rPr>
        <w:noProof/>
        <w:lang w:val="ja-JP"/>
      </w:rPr>
      <w:t>282</w:t>
    </w:r>
    <w:r>
      <w:rPr>
        <w:noProof/>
        <w:lang w:val="ja-JP"/>
      </w:rPr>
      <w:fldChar w:fldCharType="end"/>
    </w:r>
  </w:p>
  <w:p w14:paraId="5B968557" w14:textId="77777777" w:rsidR="003B0864" w:rsidRPr="002D6B6F" w:rsidRDefault="003B0864" w:rsidP="004736F2">
    <w:pPr>
      <w:pStyle w:val="a5"/>
      <w:jc w:val="center"/>
      <w:rPr>
        <w:sz w:val="16"/>
        <w:szCs w:val="16"/>
      </w:rPr>
    </w:pPr>
    <w:r w:rsidRPr="00AF7D2E">
      <w:rPr>
        <w:rFonts w:hint="eastAsia"/>
        <w:sz w:val="16"/>
        <w:szCs w:val="16"/>
      </w:rPr>
      <w:t>著作権法により無断での複製，転載等は禁止されております。</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AD1C04" w14:textId="77777777" w:rsidR="003B0864" w:rsidRDefault="003B0864">
    <w:pPr>
      <w:pStyle w:val="a5"/>
      <w:jc w:val="center"/>
      <w:rPr>
        <w:noProof/>
        <w:lang w:val="ja-JP"/>
      </w:rPr>
    </w:pPr>
  </w:p>
  <w:p w14:paraId="73187495" w14:textId="77777777" w:rsidR="003B0864" w:rsidRDefault="002620C0">
    <w:pPr>
      <w:pStyle w:val="a5"/>
      <w:jc w:val="center"/>
    </w:pPr>
    <w:r>
      <w:rPr>
        <w:noProof/>
        <w:lang w:val="ja-JP"/>
      </w:rPr>
      <w:fldChar w:fldCharType="begin"/>
    </w:r>
    <w:r w:rsidR="003B0864">
      <w:rPr>
        <w:noProof/>
        <w:lang w:val="ja-JP"/>
      </w:rPr>
      <w:instrText>PAGE   \* MERGEFORMAT</w:instrText>
    </w:r>
    <w:r>
      <w:rPr>
        <w:noProof/>
        <w:lang w:val="ja-JP"/>
      </w:rPr>
      <w:fldChar w:fldCharType="separate"/>
    </w:r>
    <w:r w:rsidR="00927DD8">
      <w:rPr>
        <w:noProof/>
        <w:lang w:val="ja-JP"/>
      </w:rPr>
      <w:t>323</w:t>
    </w:r>
    <w:r>
      <w:rPr>
        <w:noProof/>
        <w:lang w:val="ja-JP"/>
      </w:rPr>
      <w:fldChar w:fldCharType="end"/>
    </w:r>
  </w:p>
  <w:p w14:paraId="0C3D5BA3" w14:textId="77777777" w:rsidR="003B0864" w:rsidRPr="002D6B6F" w:rsidRDefault="003B0864" w:rsidP="004736F2">
    <w:pPr>
      <w:pStyle w:val="a5"/>
      <w:jc w:val="center"/>
      <w:rPr>
        <w:sz w:val="16"/>
        <w:szCs w:val="16"/>
      </w:rPr>
    </w:pPr>
    <w:r w:rsidRPr="00AF7D2E">
      <w:rPr>
        <w:rFonts w:hint="eastAsia"/>
        <w:sz w:val="16"/>
        <w:szCs w:val="16"/>
      </w:rPr>
      <w:t>著作権法により無断での複製，転載等は禁止されております。</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09F38F" w14:textId="77777777" w:rsidR="003B0864" w:rsidRDefault="003B0864">
    <w:pPr>
      <w:pStyle w:val="a5"/>
      <w:jc w:val="center"/>
    </w:pPr>
  </w:p>
  <w:p w14:paraId="45D1741D" w14:textId="77777777" w:rsidR="003B0864" w:rsidRDefault="003B0864">
    <w:pPr>
      <w:pStyle w:val="a5"/>
      <w:jc w:val="center"/>
    </w:pPr>
  </w:p>
  <w:p w14:paraId="0F605B19" w14:textId="77777777" w:rsidR="003B0864" w:rsidRDefault="003B0864">
    <w:pPr>
      <w:pStyle w:val="a5"/>
      <w:jc w:val="center"/>
      <w:rPr>
        <w:sz w:val="16"/>
      </w:rPr>
    </w:pPr>
    <w:r>
      <w:rPr>
        <w:rFonts w:hint="eastAsia"/>
        <w:sz w:val="16"/>
      </w:rPr>
      <w:t>著作権法により無断での複製，転載等は禁止されております。</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07366" w14:textId="77777777" w:rsidR="003B0864" w:rsidRDefault="003B0864">
    <w:pPr>
      <w:pStyle w:val="a5"/>
      <w:jc w:val="center"/>
      <w:rPr>
        <w:sz w:val="16"/>
      </w:rPr>
    </w:pPr>
  </w:p>
  <w:p w14:paraId="3F67C2DB" w14:textId="77777777" w:rsidR="003B0864" w:rsidRDefault="003B0864">
    <w:pPr>
      <w:pStyle w:val="a5"/>
      <w:jc w:val="center"/>
      <w:rPr>
        <w:sz w:val="16"/>
      </w:rPr>
    </w:pPr>
  </w:p>
  <w:p w14:paraId="0AAB2B3F" w14:textId="77777777" w:rsidR="003B0864" w:rsidRDefault="003B0864" w:rsidP="00D42515">
    <w:pPr>
      <w:pStyle w:val="a5"/>
      <w:jc w:val="center"/>
    </w:pPr>
    <w:r>
      <w:rPr>
        <w:rFonts w:hint="eastAsia"/>
        <w:sz w:val="16"/>
      </w:rPr>
      <w:t>著作権法により無断での複製</w:t>
    </w:r>
    <w:r w:rsidRPr="00D24C43">
      <w:rPr>
        <w:rFonts w:hint="eastAsia"/>
        <w:sz w:val="16"/>
      </w:rPr>
      <w:t>，</w:t>
    </w:r>
    <w:r>
      <w:rPr>
        <w:rFonts w:hint="eastAsia"/>
        <w:sz w:val="16"/>
      </w:rPr>
      <w:t>転載等は禁止されております。</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F7B6F" w14:textId="77777777" w:rsidR="003B0864" w:rsidRDefault="003B0864">
    <w:pPr>
      <w:pStyle w:val="a5"/>
      <w:jc w:val="center"/>
      <w:rPr>
        <w:rStyle w:val="af"/>
      </w:rPr>
    </w:pPr>
  </w:p>
  <w:p w14:paraId="5D0F1668" w14:textId="77777777" w:rsidR="003B0864" w:rsidRDefault="003B0864">
    <w:pPr>
      <w:pStyle w:val="a5"/>
      <w:jc w:val="center"/>
      <w:rPr>
        <w:rStyle w:val="af"/>
      </w:rPr>
    </w:pPr>
    <w:r>
      <w:rPr>
        <w:rStyle w:val="af"/>
        <w:rFonts w:hint="eastAsia"/>
      </w:rPr>
      <w:t>（</w:t>
    </w:r>
    <w:r w:rsidR="002620C0">
      <w:rPr>
        <w:rStyle w:val="af"/>
      </w:rPr>
      <w:fldChar w:fldCharType="begin"/>
    </w:r>
    <w:r>
      <w:rPr>
        <w:rStyle w:val="af"/>
      </w:rPr>
      <w:instrText xml:space="preserve">PAGE  </w:instrText>
    </w:r>
    <w:r w:rsidR="002620C0">
      <w:rPr>
        <w:rStyle w:val="af"/>
      </w:rPr>
      <w:fldChar w:fldCharType="separate"/>
    </w:r>
    <w:r w:rsidR="00BC31E0">
      <w:rPr>
        <w:rStyle w:val="af"/>
        <w:noProof/>
      </w:rPr>
      <w:t>2</w:t>
    </w:r>
    <w:r w:rsidR="002620C0">
      <w:rPr>
        <w:rStyle w:val="af"/>
      </w:rPr>
      <w:fldChar w:fldCharType="end"/>
    </w:r>
    <w:r>
      <w:rPr>
        <w:rStyle w:val="af"/>
        <w:rFonts w:hint="eastAsia"/>
      </w:rPr>
      <w:t>）</w:t>
    </w:r>
  </w:p>
  <w:p w14:paraId="26DB7FC1" w14:textId="77777777" w:rsidR="003B0864" w:rsidRDefault="003B0864">
    <w:pPr>
      <w:pStyle w:val="a5"/>
      <w:jc w:val="center"/>
      <w:rPr>
        <w:sz w:val="16"/>
      </w:rPr>
    </w:pPr>
    <w:r>
      <w:rPr>
        <w:rFonts w:hint="eastAsia"/>
        <w:sz w:val="16"/>
      </w:rPr>
      <w:t>著作権法により無断での複製，転載等は禁止されております。</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FF5DF4" w14:textId="77777777" w:rsidR="003B0864" w:rsidRDefault="003B0864"/>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314D5" w14:textId="77777777" w:rsidR="003B0864" w:rsidRDefault="003B0864"/>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DE077" w14:textId="77777777" w:rsidR="003B0864" w:rsidRDefault="003B0864">
    <w:pPr>
      <w:pStyle w:val="a5"/>
      <w:jc w:val="center"/>
      <w:rPr>
        <w:rStyle w:val="af"/>
      </w:rPr>
    </w:pPr>
  </w:p>
  <w:p w14:paraId="3349028F" w14:textId="77777777" w:rsidR="003B0864" w:rsidRDefault="002620C0">
    <w:pPr>
      <w:pStyle w:val="a5"/>
      <w:jc w:val="center"/>
      <w:rPr>
        <w:rStyle w:val="af"/>
      </w:rPr>
    </w:pPr>
    <w:r w:rsidRPr="00A50DC5">
      <w:rPr>
        <w:rStyle w:val="af"/>
      </w:rPr>
      <w:fldChar w:fldCharType="begin"/>
    </w:r>
    <w:r w:rsidR="003B0864" w:rsidRPr="00A50DC5">
      <w:rPr>
        <w:rStyle w:val="af"/>
      </w:rPr>
      <w:instrText xml:space="preserve"> PAGE   \* MERGEFORMAT </w:instrText>
    </w:r>
    <w:r w:rsidRPr="00A50DC5">
      <w:rPr>
        <w:rStyle w:val="af"/>
      </w:rPr>
      <w:fldChar w:fldCharType="separate"/>
    </w:r>
    <w:r w:rsidR="00BC31E0" w:rsidRPr="00BC31E0">
      <w:rPr>
        <w:rStyle w:val="af"/>
        <w:noProof/>
        <w:lang w:val="ja-JP"/>
      </w:rPr>
      <w:t>63</w:t>
    </w:r>
    <w:r w:rsidRPr="00A50DC5">
      <w:rPr>
        <w:rStyle w:val="af"/>
      </w:rPr>
      <w:fldChar w:fldCharType="end"/>
    </w:r>
  </w:p>
  <w:p w14:paraId="12F3ECD0" w14:textId="77777777" w:rsidR="003B0864" w:rsidRDefault="003B0864">
    <w:pPr>
      <w:pStyle w:val="a5"/>
      <w:jc w:val="center"/>
      <w:rPr>
        <w:sz w:val="16"/>
      </w:rPr>
    </w:pPr>
    <w:r>
      <w:rPr>
        <w:rFonts w:hint="eastAsia"/>
        <w:sz w:val="16"/>
      </w:rPr>
      <w:t>著作権法により無断での複製，転載等は禁止されております。</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B29BA" w14:textId="77777777" w:rsidR="003B0864" w:rsidRDefault="003B0864">
    <w:pPr>
      <w:pStyle w:val="a5"/>
      <w:jc w:val="center"/>
    </w:pPr>
  </w:p>
  <w:p w14:paraId="5A5C8695" w14:textId="77777777" w:rsidR="003B0864" w:rsidRDefault="002620C0">
    <w:pPr>
      <w:pStyle w:val="a5"/>
      <w:jc w:val="center"/>
    </w:pPr>
    <w:r>
      <w:rPr>
        <w:noProof/>
        <w:lang w:val="ja-JP"/>
      </w:rPr>
      <w:fldChar w:fldCharType="begin"/>
    </w:r>
    <w:r w:rsidR="003B0864">
      <w:rPr>
        <w:noProof/>
        <w:lang w:val="ja-JP"/>
      </w:rPr>
      <w:instrText>PAGE   \* MERGEFORMAT</w:instrText>
    </w:r>
    <w:r>
      <w:rPr>
        <w:noProof/>
        <w:lang w:val="ja-JP"/>
      </w:rPr>
      <w:fldChar w:fldCharType="separate"/>
    </w:r>
    <w:r w:rsidR="00BC31E0">
      <w:rPr>
        <w:noProof/>
        <w:lang w:val="ja-JP"/>
      </w:rPr>
      <w:t>161</w:t>
    </w:r>
    <w:r>
      <w:rPr>
        <w:noProof/>
        <w:lang w:val="ja-JP"/>
      </w:rPr>
      <w:fldChar w:fldCharType="end"/>
    </w:r>
  </w:p>
  <w:p w14:paraId="2AA3DCF2" w14:textId="77777777" w:rsidR="003B0864" w:rsidRPr="00EA3C7C" w:rsidRDefault="003B0864" w:rsidP="00CE5B29">
    <w:pPr>
      <w:pStyle w:val="a5"/>
      <w:jc w:val="center"/>
      <w:rPr>
        <w:sz w:val="16"/>
        <w:szCs w:val="16"/>
      </w:rPr>
    </w:pPr>
    <w:r>
      <w:rPr>
        <w:sz w:val="16"/>
        <w:szCs w:val="16"/>
      </w:rPr>
      <w:t>著作権法により無断での複製，転載等は禁止されております。</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8AA39" w14:textId="77777777" w:rsidR="003B0864" w:rsidRDefault="003B0864">
    <w:pPr>
      <w:pStyle w:val="a5"/>
      <w:jc w:val="center"/>
    </w:pPr>
  </w:p>
  <w:p w14:paraId="1D573622" w14:textId="77777777" w:rsidR="003B0864" w:rsidRDefault="002620C0">
    <w:pPr>
      <w:pStyle w:val="a5"/>
      <w:jc w:val="center"/>
    </w:pPr>
    <w:r>
      <w:rPr>
        <w:noProof/>
        <w:lang w:val="ja-JP"/>
      </w:rPr>
      <w:fldChar w:fldCharType="begin"/>
    </w:r>
    <w:r w:rsidR="003B0864">
      <w:rPr>
        <w:noProof/>
        <w:lang w:val="ja-JP"/>
      </w:rPr>
      <w:instrText>PAGE   \* MERGEFORMAT</w:instrText>
    </w:r>
    <w:r>
      <w:rPr>
        <w:noProof/>
        <w:lang w:val="ja-JP"/>
      </w:rPr>
      <w:fldChar w:fldCharType="separate"/>
    </w:r>
    <w:r w:rsidR="00BC31E0">
      <w:rPr>
        <w:noProof/>
        <w:lang w:val="ja-JP"/>
      </w:rPr>
      <w:t>199</w:t>
    </w:r>
    <w:r>
      <w:rPr>
        <w:noProof/>
        <w:lang w:val="ja-JP"/>
      </w:rPr>
      <w:fldChar w:fldCharType="end"/>
    </w:r>
  </w:p>
  <w:p w14:paraId="35C47FB5" w14:textId="77777777" w:rsidR="003B0864" w:rsidRPr="00AF7D2E" w:rsidRDefault="003B0864" w:rsidP="004736F2">
    <w:pPr>
      <w:tabs>
        <w:tab w:val="center" w:pos="4252"/>
        <w:tab w:val="right" w:pos="8504"/>
      </w:tabs>
      <w:snapToGrid w:val="0"/>
      <w:jc w:val="center"/>
    </w:pPr>
    <w:r w:rsidRPr="00AF7D2E">
      <w:rPr>
        <w:sz w:val="16"/>
        <w:szCs w:val="16"/>
      </w:rPr>
      <w:t>著作権法により無断での複製，転載等は禁止されております。</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926750" w14:textId="77777777" w:rsidR="00A51873" w:rsidRDefault="00A51873" w:rsidP="00534573">
      <w:r>
        <w:separator/>
      </w:r>
    </w:p>
    <w:p w14:paraId="5992311E" w14:textId="77777777" w:rsidR="00A51873" w:rsidRDefault="00A51873"/>
    <w:p w14:paraId="5873298F" w14:textId="77777777" w:rsidR="00A51873" w:rsidRDefault="00A51873"/>
  </w:footnote>
  <w:footnote w:type="continuationSeparator" w:id="0">
    <w:p w14:paraId="1C23CFB2" w14:textId="77777777" w:rsidR="00A51873" w:rsidRDefault="00A51873" w:rsidP="00534573">
      <w:r>
        <w:continuationSeparator/>
      </w:r>
    </w:p>
    <w:p w14:paraId="24E39AA2" w14:textId="77777777" w:rsidR="00A51873" w:rsidRDefault="00A51873"/>
    <w:p w14:paraId="4AB010D1" w14:textId="77777777" w:rsidR="00A51873" w:rsidRDefault="00A518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71A63B" w14:textId="0B545185" w:rsidR="00726428" w:rsidRDefault="00726428">
    <w:pPr>
      <w:pStyle w:val="aff4"/>
    </w:pPr>
    <w:r>
      <w:rPr>
        <w:noProof/>
      </w:rPr>
      <w:pict w14:anchorId="7BF1EE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2672" o:spid="_x0000_s2050" type="#_x0000_t136" style="position:absolute;left:0;text-align:left;margin-left:0;margin-top:0;width:479.55pt;height:159.85pt;rotation:315;z-index:-251655168;mso-position-horizontal:center;mso-position-horizontal-relative:margin;mso-position-vertical:center;mso-position-vertical-relative:margin" o:allowincell="f" fillcolor="silver" stroked="f">
          <v:fill opacity=".5"/>
          <v:textpath style="font-family:&quot;ＭＳ 明朝&quot;;font-size:1pt;v-text-reverse:t" string="改正案"/>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6E4518" w14:textId="048C1266" w:rsidR="003B0864" w:rsidRDefault="00726428">
    <w:pPr>
      <w:pStyle w:val="aff4"/>
    </w:pPr>
    <w:r>
      <w:rPr>
        <w:noProof/>
      </w:rPr>
      <w:pict w14:anchorId="72C82D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2681" o:spid="_x0000_s2059" type="#_x0000_t136" style="position:absolute;left:0;text-align:left;margin-left:0;margin-top:0;width:479.55pt;height:159.85pt;rotation:315;z-index:-251636736;mso-position-horizontal:center;mso-position-horizontal-relative:margin;mso-position-vertical:center;mso-position-vertical-relative:margin" o:allowincell="f" fillcolor="silver" stroked="f">
          <v:fill opacity=".5"/>
          <v:textpath style="font-family:&quot;ＭＳ 明朝&quot;;font-size:1pt;v-text-reverse:t" string="改正案"/>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67B4C" w14:textId="7495B9A3" w:rsidR="003B0864" w:rsidRPr="000658C5" w:rsidRDefault="00726428" w:rsidP="00CE5B29">
    <w:pPr>
      <w:pStyle w:val="afc"/>
    </w:pPr>
    <w:r>
      <w:rPr>
        <w:noProof/>
      </w:rPr>
      <w:pict w14:anchorId="7F4E29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2682" o:spid="_x0000_s2060" type="#_x0000_t136" style="position:absolute;left:0;text-align:left;margin-left:0;margin-top:0;width:479.55pt;height:159.85pt;rotation:315;z-index:-251634688;mso-position-horizontal:center;mso-position-horizontal-relative:margin;mso-position-vertical:center;mso-position-vertical-relative:margin" o:allowincell="f" fillcolor="silver" stroked="f">
          <v:fill opacity=".5"/>
          <v:textpath style="font-family:&quot;ＭＳ 明朝&quot;;font-size:1pt;v-text-reverse:t" string="改正案"/>
        </v:shape>
      </w:pict>
    </w:r>
    <w:r w:rsidR="003B0864">
      <w:rPr>
        <w:rFonts w:hint="eastAsia"/>
      </w:rPr>
      <w:t>HPIS C 106:20XX</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DBB2C" w14:textId="1A4FF904" w:rsidR="003B0864" w:rsidRDefault="00726428">
    <w:pPr>
      <w:pStyle w:val="aff4"/>
    </w:pPr>
    <w:r>
      <w:rPr>
        <w:noProof/>
      </w:rPr>
      <w:pict w14:anchorId="311F56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2680" o:spid="_x0000_s2058" type="#_x0000_t136" style="position:absolute;left:0;text-align:left;margin-left:0;margin-top:0;width:479.55pt;height:159.85pt;rotation:315;z-index:-251638784;mso-position-horizontal:center;mso-position-horizontal-relative:margin;mso-position-vertical:center;mso-position-vertical-relative:margin" o:allowincell="f" fillcolor="silver" stroked="f">
          <v:fill opacity=".5"/>
          <v:textpath style="font-family:&quot;ＭＳ 明朝&quot;;font-size:1pt;v-text-reverse:t" string="改正案"/>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C5BB4" w14:textId="3BA24958" w:rsidR="003B0864" w:rsidRDefault="00726428">
    <w:pPr>
      <w:pStyle w:val="aff4"/>
    </w:pPr>
    <w:r>
      <w:rPr>
        <w:noProof/>
      </w:rPr>
      <w:pict w14:anchorId="2B3F6F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2684" o:spid="_x0000_s2062" type="#_x0000_t136" style="position:absolute;left:0;text-align:left;margin-left:0;margin-top:0;width:479.55pt;height:159.85pt;rotation:315;z-index:-251630592;mso-position-horizontal:center;mso-position-horizontal-relative:margin;mso-position-vertical:center;mso-position-vertical-relative:margin" o:allowincell="f" fillcolor="silver" stroked="f">
          <v:fill opacity=".5"/>
          <v:textpath style="font-family:&quot;ＭＳ 明朝&quot;;font-size:1pt;v-text-reverse:t" string="改正案"/>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B65F4" w14:textId="71B961EB" w:rsidR="003B0864" w:rsidRPr="00456651" w:rsidRDefault="00726428" w:rsidP="004736F2">
    <w:pPr>
      <w:pStyle w:val="afc"/>
    </w:pPr>
    <w:r>
      <w:rPr>
        <w:noProof/>
      </w:rPr>
      <w:pict w14:anchorId="1FDCB9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2685" o:spid="_x0000_s2063" type="#_x0000_t136" style="position:absolute;left:0;text-align:left;margin-left:0;margin-top:0;width:479.55pt;height:159.85pt;rotation:315;z-index:-251628544;mso-position-horizontal:center;mso-position-horizontal-relative:margin;mso-position-vertical:center;mso-position-vertical-relative:margin" o:allowincell="f" fillcolor="silver" stroked="f">
          <v:fill opacity=".5"/>
          <v:textpath style="font-family:&quot;ＭＳ 明朝&quot;;font-size:1pt;v-text-reverse:t" string="改正案"/>
        </v:shape>
      </w:pict>
    </w:r>
    <w:r w:rsidR="003B0864">
      <w:rPr>
        <w:rFonts w:hint="eastAsia"/>
      </w:rPr>
      <w:t>HPIS C 106:20XX</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3F678" w14:textId="2FB0A555" w:rsidR="003B0864" w:rsidRDefault="00726428">
    <w:pPr>
      <w:pStyle w:val="aff4"/>
    </w:pPr>
    <w:r>
      <w:rPr>
        <w:noProof/>
      </w:rPr>
      <w:pict w14:anchorId="63AAEF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2683" o:spid="_x0000_s2061" type="#_x0000_t136" style="position:absolute;left:0;text-align:left;margin-left:0;margin-top:0;width:479.55pt;height:159.85pt;rotation:315;z-index:-251632640;mso-position-horizontal:center;mso-position-horizontal-relative:margin;mso-position-vertical:center;mso-position-vertical-relative:margin" o:allowincell="f" fillcolor="silver" stroked="f">
          <v:fill opacity=".5"/>
          <v:textpath style="font-family:&quot;ＭＳ 明朝&quot;;font-size:1pt;v-text-reverse:t" string="改正案"/>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5D07B" w14:textId="783FF49B" w:rsidR="00726428" w:rsidRDefault="00726428">
    <w:pPr>
      <w:pStyle w:val="aff4"/>
    </w:pPr>
    <w:r>
      <w:rPr>
        <w:noProof/>
      </w:rPr>
      <w:pict w14:anchorId="2415ED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2687" o:spid="_x0000_s2065" type="#_x0000_t136" style="position:absolute;left:0;text-align:left;margin-left:0;margin-top:0;width:479.55pt;height:159.85pt;rotation:315;z-index:-251624448;mso-position-horizontal:center;mso-position-horizontal-relative:margin;mso-position-vertical:center;mso-position-vertical-relative:margin" o:allowincell="f" fillcolor="silver" stroked="f">
          <v:fill opacity=".5"/>
          <v:textpath style="font-family:&quot;ＭＳ 明朝&quot;;font-size:1pt;v-text-reverse:t" string="改正案"/>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4381B8" w14:textId="60D46916" w:rsidR="003B0864" w:rsidRPr="00BF7ADB" w:rsidRDefault="00726428" w:rsidP="004736F2">
    <w:pPr>
      <w:pStyle w:val="afc"/>
    </w:pPr>
    <w:r>
      <w:rPr>
        <w:noProof/>
      </w:rPr>
      <w:pict w14:anchorId="0C0CC4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2688" o:spid="_x0000_s2066" type="#_x0000_t136" style="position:absolute;left:0;text-align:left;margin-left:0;margin-top:0;width:479.55pt;height:159.85pt;rotation:315;z-index:-251622400;mso-position-horizontal:center;mso-position-horizontal-relative:margin;mso-position-vertical:center;mso-position-vertical-relative:margin" o:allowincell="f" fillcolor="silver" stroked="f">
          <v:fill opacity=".5"/>
          <v:textpath style="font-family:&quot;ＭＳ 明朝&quot;;font-size:1pt;v-text-reverse:t" string="改正案"/>
        </v:shape>
      </w:pict>
    </w:r>
    <w:r w:rsidR="003B0864">
      <w:rPr>
        <w:rFonts w:hint="eastAsia"/>
      </w:rPr>
      <w:t>HPIS C 106</w:t>
    </w:r>
    <w:r w:rsidR="003B0864">
      <w:t>:</w:t>
    </w:r>
    <w:r w:rsidR="003B0864">
      <w:rPr>
        <w:rFonts w:hint="eastAsia"/>
      </w:rPr>
      <w:t>20XX</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35289B" w14:textId="6945BB6F" w:rsidR="00726428" w:rsidRDefault="00726428">
    <w:pPr>
      <w:pStyle w:val="aff4"/>
    </w:pPr>
    <w:r>
      <w:rPr>
        <w:noProof/>
      </w:rPr>
      <w:pict w14:anchorId="25AFED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2686" o:spid="_x0000_s2064" type="#_x0000_t136" style="position:absolute;left:0;text-align:left;margin-left:0;margin-top:0;width:479.55pt;height:159.85pt;rotation:315;z-index:-251626496;mso-position-horizontal:center;mso-position-horizontal-relative:margin;mso-position-vertical:center;mso-position-vertical-relative:margin" o:allowincell="f" fillcolor="silver" stroked="f">
          <v:fill opacity=".5"/>
          <v:textpath style="font-family:&quot;ＭＳ 明朝&quot;;font-size:1pt;v-text-reverse:t" string="改正案"/>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6501C" w14:textId="28EBD518" w:rsidR="00726428" w:rsidRDefault="00726428">
    <w:pPr>
      <w:pStyle w:val="aff4"/>
    </w:pPr>
    <w:r>
      <w:rPr>
        <w:noProof/>
      </w:rPr>
      <w:pict w14:anchorId="3973C2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2690" o:spid="_x0000_s2068" type="#_x0000_t136" style="position:absolute;left:0;text-align:left;margin-left:0;margin-top:0;width:479.55pt;height:159.85pt;rotation:315;z-index:-251618304;mso-position-horizontal:center;mso-position-horizontal-relative:margin;mso-position-vertical:center;mso-position-vertical-relative:margin" o:allowincell="f" fillcolor="silver" stroked="f">
          <v:fill opacity=".5"/>
          <v:textpath style="font-family:&quot;ＭＳ 明朝&quot;;font-size:1pt;v-text-reverse:t" string="改正案"/>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981D5E" w14:textId="426F9F38" w:rsidR="003B0864" w:rsidRDefault="00726428" w:rsidP="00F63E64">
    <w:pPr>
      <w:pStyle w:val="afc"/>
    </w:pPr>
    <w:r>
      <w:rPr>
        <w:noProof/>
      </w:rPr>
      <w:pict w14:anchorId="256F85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2673" o:spid="_x0000_s2051" type="#_x0000_t136" style="position:absolute;left:0;text-align:left;margin-left:0;margin-top:0;width:479.55pt;height:159.85pt;rotation:315;z-index:-251653120;mso-position-horizontal:center;mso-position-horizontal-relative:margin;mso-position-vertical:center;mso-position-vertical-relative:margin" o:allowincell="f" fillcolor="silver" stroked="f">
          <v:fill opacity=".5"/>
          <v:textpath style="font-family:&quot;ＭＳ 明朝&quot;;font-size:1pt;v-text-reverse:t" string="改正案"/>
        </v:shape>
      </w:pict>
    </w:r>
    <w:r w:rsidR="003B0864">
      <w:rPr>
        <w:rFonts w:hint="eastAsia"/>
      </w:rPr>
      <w:t>HPIS</w:t>
    </w:r>
    <w:r w:rsidR="003B0864">
      <w:t xml:space="preserve"> C</w:t>
    </w:r>
    <w:r w:rsidR="003B0864">
      <w:rPr>
        <w:rFonts w:hint="eastAsia"/>
      </w:rPr>
      <w:t xml:space="preserve"> </w:t>
    </w:r>
    <w:r w:rsidR="003B0864">
      <w:t>106</w:t>
    </w:r>
    <w:r w:rsidR="003B0864">
      <w:rPr>
        <w:rFonts w:hint="eastAsia"/>
      </w:rPr>
      <w:t>:2</w:t>
    </w:r>
    <w:r w:rsidR="003B0864">
      <w:t>0XX</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EC347" w14:textId="13743BDD" w:rsidR="00726428" w:rsidRDefault="00726428">
    <w:pPr>
      <w:pStyle w:val="aff4"/>
    </w:pPr>
    <w:r>
      <w:rPr>
        <w:noProof/>
      </w:rPr>
      <w:pict w14:anchorId="16D20E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2691" o:spid="_x0000_s2069" type="#_x0000_t136" style="position:absolute;left:0;text-align:left;margin-left:0;margin-top:0;width:479.55pt;height:159.85pt;rotation:315;z-index:-251616256;mso-position-horizontal:center;mso-position-horizontal-relative:margin;mso-position-vertical:center;mso-position-vertical-relative:margin" o:allowincell="f" fillcolor="silver" stroked="f">
          <v:fill opacity=".5"/>
          <v:textpath style="font-family:&quot;ＭＳ 明朝&quot;;font-size:1pt;v-text-reverse:t" string="改正案"/>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7497D0" w14:textId="65E926B8" w:rsidR="00726428" w:rsidRDefault="00726428">
    <w:pPr>
      <w:pStyle w:val="aff4"/>
    </w:pPr>
    <w:r>
      <w:rPr>
        <w:noProof/>
      </w:rPr>
      <w:pict w14:anchorId="40FDDB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2689" o:spid="_x0000_s2067" type="#_x0000_t136" style="position:absolute;left:0;text-align:left;margin-left:0;margin-top:0;width:479.55pt;height:159.85pt;rotation:315;z-index:-251620352;mso-position-horizontal:center;mso-position-horizontal-relative:margin;mso-position-vertical:center;mso-position-vertical-relative:margin" o:allowincell="f" fillcolor="silver" stroked="f">
          <v:fill opacity=".5"/>
          <v:textpath style="font-family:&quot;ＭＳ 明朝&quot;;font-size:1pt;v-text-reverse:t" string="改正案"/>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E5637E" w14:textId="79E3D33B" w:rsidR="00726428" w:rsidRDefault="00726428">
    <w:pPr>
      <w:pStyle w:val="aff4"/>
    </w:pPr>
    <w:r>
      <w:rPr>
        <w:noProof/>
      </w:rPr>
      <w:pict w14:anchorId="595A57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2693" o:spid="_x0000_s2071" type="#_x0000_t136" style="position:absolute;left:0;text-align:left;margin-left:0;margin-top:0;width:479.55pt;height:159.85pt;rotation:315;z-index:-251612160;mso-position-horizontal:center;mso-position-horizontal-relative:margin;mso-position-vertical:center;mso-position-vertical-relative:margin" o:allowincell="f" fillcolor="silver" stroked="f">
          <v:fill opacity=".5"/>
          <v:textpath style="font-family:&quot;ＭＳ 明朝&quot;;font-size:1pt;v-text-reverse:t" string="改正案"/>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923CF7" w14:textId="3CCDF699" w:rsidR="00726428" w:rsidRDefault="00726428">
    <w:pPr>
      <w:pStyle w:val="aff4"/>
    </w:pPr>
    <w:r>
      <w:rPr>
        <w:noProof/>
      </w:rPr>
      <w:pict w14:anchorId="2507F1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2694" o:spid="_x0000_s2072" type="#_x0000_t136" style="position:absolute;left:0;text-align:left;margin-left:0;margin-top:0;width:479.55pt;height:159.85pt;rotation:315;z-index:-251610112;mso-position-horizontal:center;mso-position-horizontal-relative:margin;mso-position-vertical:center;mso-position-vertical-relative:margin" o:allowincell="f" fillcolor="silver" stroked="f">
          <v:fill opacity=".5"/>
          <v:textpath style="font-family:&quot;ＭＳ 明朝&quot;;font-size:1pt;v-text-reverse:t" string="改正案"/>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12C82" w14:textId="54AE23C6" w:rsidR="00726428" w:rsidRDefault="00726428">
    <w:pPr>
      <w:pStyle w:val="aff4"/>
    </w:pPr>
    <w:r>
      <w:rPr>
        <w:noProof/>
      </w:rPr>
      <w:pict w14:anchorId="0EC5C8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2692" o:spid="_x0000_s2070" type="#_x0000_t136" style="position:absolute;left:0;text-align:left;margin-left:0;margin-top:0;width:479.55pt;height:159.85pt;rotation:315;z-index:-251614208;mso-position-horizontal:center;mso-position-horizontal-relative:margin;mso-position-vertical:center;mso-position-vertical-relative:margin" o:allowincell="f" fillcolor="silver" stroked="f">
          <v:fill opacity=".5"/>
          <v:textpath style="font-family:&quot;ＭＳ 明朝&quot;;font-size:1pt;v-text-reverse:t" string="改正案"/>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314D5B" w14:textId="5A2EB6E9" w:rsidR="003B0864" w:rsidRDefault="00726428">
    <w:pPr>
      <w:jc w:val="center"/>
    </w:pPr>
    <w:r>
      <w:rPr>
        <w:noProof/>
      </w:rPr>
      <w:pict w14:anchorId="402157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2671" o:spid="_x0000_s2049" type="#_x0000_t136" style="position:absolute;left:0;text-align:left;margin-left:0;margin-top:0;width:479.55pt;height:159.85pt;rotation:315;z-index:-251657216;mso-position-horizontal:center;mso-position-horizontal-relative:margin;mso-position-vertical:center;mso-position-vertical-relative:margin" o:allowincell="f" fillcolor="silver" stroked="f">
          <v:fill opacity=".5"/>
          <v:textpath style="font-family:&quot;ＭＳ 明朝&quot;;font-size:1pt;v-text-reverse:t" string="改正案"/>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6D4EB8" w14:textId="704C5E26" w:rsidR="00726428" w:rsidRDefault="00726428">
    <w:pPr>
      <w:pStyle w:val="aff4"/>
    </w:pPr>
    <w:r>
      <w:rPr>
        <w:noProof/>
      </w:rPr>
      <w:pict w14:anchorId="5837D0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2675" o:spid="_x0000_s2053" type="#_x0000_t136" style="position:absolute;left:0;text-align:left;margin-left:0;margin-top:0;width:479.55pt;height:159.85pt;rotation:315;z-index:-251649024;mso-position-horizontal:center;mso-position-horizontal-relative:margin;mso-position-vertical:center;mso-position-vertical-relative:margin" o:allowincell="f" fillcolor="silver" stroked="f">
          <v:fill opacity=".5"/>
          <v:textpath style="font-family:&quot;ＭＳ 明朝&quot;;font-size:1pt;v-text-reverse:t" string="改正案"/>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8385CE" w14:textId="4A318D73" w:rsidR="00726428" w:rsidRDefault="00726428">
    <w:pPr>
      <w:pStyle w:val="aff4"/>
    </w:pPr>
    <w:r>
      <w:rPr>
        <w:noProof/>
      </w:rPr>
      <w:pict w14:anchorId="090970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2676" o:spid="_x0000_s2054" type="#_x0000_t136" style="position:absolute;left:0;text-align:left;margin-left:0;margin-top:0;width:479.55pt;height:159.85pt;rotation:315;z-index:-251646976;mso-position-horizontal:center;mso-position-horizontal-relative:margin;mso-position-vertical:center;mso-position-vertical-relative:margin" o:allowincell="f" fillcolor="silver" stroked="f">
          <v:fill opacity=".5"/>
          <v:textpath style="font-family:&quot;ＭＳ 明朝&quot;;font-size:1pt;v-text-reverse:t" string="改正案"/>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D1B40" w14:textId="40CE2754" w:rsidR="003B0864" w:rsidRDefault="00726428">
    <w:r>
      <w:rPr>
        <w:noProof/>
      </w:rPr>
      <w:pict w14:anchorId="39FD2D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2674" o:spid="_x0000_s2052" type="#_x0000_t136" style="position:absolute;left:0;text-align:left;margin-left:0;margin-top:0;width:479.55pt;height:159.85pt;rotation:315;z-index:-251651072;mso-position-horizontal:center;mso-position-horizontal-relative:margin;mso-position-vertical:center;mso-position-vertical-relative:margin" o:allowincell="f" fillcolor="silver" stroked="f">
          <v:fill opacity=".5"/>
          <v:textpath style="font-family:&quot;ＭＳ 明朝&quot;;font-size:1pt;v-text-reverse:t" string="改正案"/>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1A45CE" w14:textId="55BC4662" w:rsidR="003B0864" w:rsidRDefault="00726428">
    <w:r>
      <w:rPr>
        <w:noProof/>
      </w:rPr>
      <w:pict w14:anchorId="26A2FC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2678" o:spid="_x0000_s2056" type="#_x0000_t136" style="position:absolute;left:0;text-align:left;margin-left:0;margin-top:0;width:479.55pt;height:159.85pt;rotation:315;z-index:-251642880;mso-position-horizontal:center;mso-position-horizontal-relative:margin;mso-position-vertical:center;mso-position-vertical-relative:margin" o:allowincell="f" fillcolor="silver" stroked="f">
          <v:fill opacity=".5"/>
          <v:textpath style="font-family:&quot;ＭＳ 明朝&quot;;font-size:1pt;v-text-reverse:t" string="改正案"/>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F176F" w14:textId="4150A638" w:rsidR="003B0864" w:rsidRPr="00456651" w:rsidRDefault="00726428" w:rsidP="00301A4E">
    <w:pPr>
      <w:pStyle w:val="afc"/>
    </w:pPr>
    <w:r>
      <w:rPr>
        <w:noProof/>
      </w:rPr>
      <w:pict w14:anchorId="29DA93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2679" o:spid="_x0000_s2057" type="#_x0000_t136" style="position:absolute;left:0;text-align:left;margin-left:0;margin-top:0;width:479.55pt;height:159.85pt;rotation:315;z-index:-251640832;mso-position-horizontal:center;mso-position-horizontal-relative:margin;mso-position-vertical:center;mso-position-vertical-relative:margin" o:allowincell="f" fillcolor="silver" stroked="f">
          <v:fill opacity=".5"/>
          <v:textpath style="font-family:&quot;ＭＳ 明朝&quot;;font-size:1pt;v-text-reverse:t" string="改正案"/>
        </v:shape>
      </w:pict>
    </w:r>
    <w:r w:rsidR="003B0864">
      <w:rPr>
        <w:rFonts w:hint="eastAsia"/>
      </w:rPr>
      <w:t>HPIS C 106</w:t>
    </w:r>
    <w:r w:rsidR="003B0864" w:rsidRPr="0043256E">
      <w:rPr>
        <w:rFonts w:hint="eastAsia"/>
      </w:rPr>
      <w:t>:2</w:t>
    </w:r>
    <w:r w:rsidR="003B0864">
      <w:rPr>
        <w:rFonts w:hint="eastAsia"/>
      </w:rPr>
      <w:t>0XX</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190C53" w14:textId="205F2732" w:rsidR="00726428" w:rsidRDefault="00726428">
    <w:pPr>
      <w:pStyle w:val="aff4"/>
    </w:pPr>
    <w:r>
      <w:rPr>
        <w:noProof/>
      </w:rPr>
      <w:pict w14:anchorId="405BE4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52677" o:spid="_x0000_s2055" type="#_x0000_t136" style="position:absolute;left:0;text-align:left;margin-left:0;margin-top:0;width:479.55pt;height:159.85pt;rotation:315;z-index:-251644928;mso-position-horizontal:center;mso-position-horizontal-relative:margin;mso-position-vertical:center;mso-position-vertical-relative:margin" o:allowincell="f" fillcolor="silver" stroked="f">
          <v:fill opacity=".5"/>
          <v:textpath style="font-family:&quot;ＭＳ 明朝&quot;;font-size:1pt;v-text-reverse:t" string="改正案"/>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C2451"/>
    <w:multiLevelType w:val="hybridMultilevel"/>
    <w:tmpl w:val="E9167C44"/>
    <w:lvl w:ilvl="0" w:tplc="E58E1FE6">
      <w:start w:val="1"/>
      <w:numFmt w:val="decimal"/>
      <w:lvlText w:val="1.%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0B30042"/>
    <w:multiLevelType w:val="hybridMultilevel"/>
    <w:tmpl w:val="2FF05330"/>
    <w:lvl w:ilvl="0" w:tplc="D9F63302">
      <w:start w:val="1"/>
      <w:numFmt w:val="decimal"/>
      <w:lvlText w:val="3.%1)"/>
      <w:lvlJc w:val="left"/>
      <w:pPr>
        <w:ind w:left="1460" w:hanging="420"/>
      </w:pPr>
      <w:rPr>
        <w:rFonts w:ascii="ＭＳ ゴシック" w:eastAsia="ＭＳ ゴシック" w:hint="eastAsia"/>
        <w:b/>
        <w:i w:val="0"/>
        <w:sz w:val="21"/>
      </w:rPr>
    </w:lvl>
    <w:lvl w:ilvl="1" w:tplc="04090017" w:tentative="1">
      <w:start w:val="1"/>
      <w:numFmt w:val="aiueoFullWidth"/>
      <w:lvlText w:val="(%2)"/>
      <w:lvlJc w:val="left"/>
      <w:pPr>
        <w:ind w:left="1880" w:hanging="420"/>
      </w:pPr>
    </w:lvl>
    <w:lvl w:ilvl="2" w:tplc="04090011" w:tentative="1">
      <w:start w:val="1"/>
      <w:numFmt w:val="decimalEnclosedCircle"/>
      <w:lvlText w:val="%3"/>
      <w:lvlJc w:val="left"/>
      <w:pPr>
        <w:ind w:left="2300" w:hanging="420"/>
      </w:pPr>
    </w:lvl>
    <w:lvl w:ilvl="3" w:tplc="0409000F" w:tentative="1">
      <w:start w:val="1"/>
      <w:numFmt w:val="decimal"/>
      <w:lvlText w:val="%4."/>
      <w:lvlJc w:val="left"/>
      <w:pPr>
        <w:ind w:left="2720" w:hanging="420"/>
      </w:pPr>
    </w:lvl>
    <w:lvl w:ilvl="4" w:tplc="04090017" w:tentative="1">
      <w:start w:val="1"/>
      <w:numFmt w:val="aiueoFullWidth"/>
      <w:lvlText w:val="(%5)"/>
      <w:lvlJc w:val="left"/>
      <w:pPr>
        <w:ind w:left="3140" w:hanging="420"/>
      </w:pPr>
    </w:lvl>
    <w:lvl w:ilvl="5" w:tplc="04090011" w:tentative="1">
      <w:start w:val="1"/>
      <w:numFmt w:val="decimalEnclosedCircle"/>
      <w:lvlText w:val="%6"/>
      <w:lvlJc w:val="left"/>
      <w:pPr>
        <w:ind w:left="3560" w:hanging="420"/>
      </w:pPr>
    </w:lvl>
    <w:lvl w:ilvl="6" w:tplc="0409000F" w:tentative="1">
      <w:start w:val="1"/>
      <w:numFmt w:val="decimal"/>
      <w:lvlText w:val="%7."/>
      <w:lvlJc w:val="left"/>
      <w:pPr>
        <w:ind w:left="3980" w:hanging="420"/>
      </w:pPr>
    </w:lvl>
    <w:lvl w:ilvl="7" w:tplc="04090017" w:tentative="1">
      <w:start w:val="1"/>
      <w:numFmt w:val="aiueoFullWidth"/>
      <w:lvlText w:val="(%8)"/>
      <w:lvlJc w:val="left"/>
      <w:pPr>
        <w:ind w:left="4400" w:hanging="420"/>
      </w:pPr>
    </w:lvl>
    <w:lvl w:ilvl="8" w:tplc="04090011" w:tentative="1">
      <w:start w:val="1"/>
      <w:numFmt w:val="decimalEnclosedCircle"/>
      <w:lvlText w:val="%9"/>
      <w:lvlJc w:val="left"/>
      <w:pPr>
        <w:ind w:left="4820" w:hanging="420"/>
      </w:pPr>
    </w:lvl>
  </w:abstractNum>
  <w:abstractNum w:abstractNumId="2" w15:restartNumberingAfterBreak="0">
    <w:nsid w:val="011B27E0"/>
    <w:multiLevelType w:val="hybridMultilevel"/>
    <w:tmpl w:val="A394CC9A"/>
    <w:lvl w:ilvl="0" w:tplc="70CA5E16">
      <w:start w:val="3"/>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12D41B6"/>
    <w:multiLevelType w:val="hybridMultilevel"/>
    <w:tmpl w:val="6D0AAC54"/>
    <w:lvl w:ilvl="0" w:tplc="858817BC">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17E5DAC"/>
    <w:multiLevelType w:val="hybridMultilevel"/>
    <w:tmpl w:val="BD4485D4"/>
    <w:lvl w:ilvl="0" w:tplc="F5BA7626">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1E724E3"/>
    <w:multiLevelType w:val="hybridMultilevel"/>
    <w:tmpl w:val="9A90F622"/>
    <w:lvl w:ilvl="0" w:tplc="38EACAA0">
      <w:start w:val="3"/>
      <w:numFmt w:val="lowerLetter"/>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1F548CD"/>
    <w:multiLevelType w:val="hybridMultilevel"/>
    <w:tmpl w:val="615EDAA2"/>
    <w:lvl w:ilvl="0" w:tplc="E466B66C">
      <w:start w:val="1"/>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1FD636C"/>
    <w:multiLevelType w:val="hybridMultilevel"/>
    <w:tmpl w:val="06BA7CA4"/>
    <w:lvl w:ilvl="0" w:tplc="96F84C60">
      <w:start w:val="1"/>
      <w:numFmt w:val="decimal"/>
      <w:pStyle w:val="41111"/>
      <w:lvlText w:val="1.1.1.%1"/>
      <w:lvlJc w:val="left"/>
      <w:pPr>
        <w:ind w:left="420" w:hanging="420"/>
      </w:pPr>
      <w:rPr>
        <w:rFonts w:cs="Times New Roman" w:hint="eastAsia"/>
      </w:rPr>
    </w:lvl>
    <w:lvl w:ilvl="1" w:tplc="73782844" w:tentative="1">
      <w:start w:val="1"/>
      <w:numFmt w:val="aiueoFullWidth"/>
      <w:pStyle w:val="2"/>
      <w:lvlText w:val="(%2)"/>
      <w:lvlJc w:val="left"/>
      <w:pPr>
        <w:ind w:left="840" w:hanging="420"/>
      </w:pPr>
      <w:rPr>
        <w:rFonts w:cs="Times New Roman"/>
      </w:rPr>
    </w:lvl>
    <w:lvl w:ilvl="2" w:tplc="19788F00" w:tentative="1">
      <w:start w:val="1"/>
      <w:numFmt w:val="decimalEnclosedCircle"/>
      <w:lvlText w:val="%3"/>
      <w:lvlJc w:val="left"/>
      <w:pPr>
        <w:ind w:left="1260" w:hanging="420"/>
      </w:pPr>
      <w:rPr>
        <w:rFonts w:cs="Times New Roman"/>
      </w:rPr>
    </w:lvl>
    <w:lvl w:ilvl="3" w:tplc="8ED039E0" w:tentative="1">
      <w:start w:val="1"/>
      <w:numFmt w:val="decimal"/>
      <w:lvlText w:val="%4."/>
      <w:lvlJc w:val="left"/>
      <w:pPr>
        <w:ind w:left="1680" w:hanging="420"/>
      </w:pPr>
      <w:rPr>
        <w:rFonts w:cs="Times New Roman"/>
      </w:rPr>
    </w:lvl>
    <w:lvl w:ilvl="4" w:tplc="D3F4CA8A" w:tentative="1">
      <w:start w:val="1"/>
      <w:numFmt w:val="aiueoFullWidth"/>
      <w:lvlText w:val="(%5)"/>
      <w:lvlJc w:val="left"/>
      <w:pPr>
        <w:ind w:left="2100" w:hanging="420"/>
      </w:pPr>
      <w:rPr>
        <w:rFonts w:cs="Times New Roman"/>
      </w:rPr>
    </w:lvl>
    <w:lvl w:ilvl="5" w:tplc="9738EBDC" w:tentative="1">
      <w:start w:val="1"/>
      <w:numFmt w:val="decimalEnclosedCircle"/>
      <w:lvlText w:val="%6"/>
      <w:lvlJc w:val="left"/>
      <w:pPr>
        <w:ind w:left="2520" w:hanging="420"/>
      </w:pPr>
      <w:rPr>
        <w:rFonts w:cs="Times New Roman"/>
      </w:rPr>
    </w:lvl>
    <w:lvl w:ilvl="6" w:tplc="0284FFAE" w:tentative="1">
      <w:start w:val="1"/>
      <w:numFmt w:val="decimal"/>
      <w:lvlText w:val="%7."/>
      <w:lvlJc w:val="left"/>
      <w:pPr>
        <w:ind w:left="2940" w:hanging="420"/>
      </w:pPr>
      <w:rPr>
        <w:rFonts w:cs="Times New Roman"/>
      </w:rPr>
    </w:lvl>
    <w:lvl w:ilvl="7" w:tplc="7332D3C0" w:tentative="1">
      <w:start w:val="1"/>
      <w:numFmt w:val="aiueoFullWidth"/>
      <w:lvlText w:val="(%8)"/>
      <w:lvlJc w:val="left"/>
      <w:pPr>
        <w:ind w:left="3360" w:hanging="420"/>
      </w:pPr>
      <w:rPr>
        <w:rFonts w:cs="Times New Roman"/>
      </w:rPr>
    </w:lvl>
    <w:lvl w:ilvl="8" w:tplc="14A42EAE" w:tentative="1">
      <w:start w:val="1"/>
      <w:numFmt w:val="decimalEnclosedCircle"/>
      <w:lvlText w:val="%9"/>
      <w:lvlJc w:val="left"/>
      <w:pPr>
        <w:ind w:left="3780" w:hanging="420"/>
      </w:pPr>
      <w:rPr>
        <w:rFonts w:cs="Times New Roman"/>
      </w:rPr>
    </w:lvl>
  </w:abstractNum>
  <w:abstractNum w:abstractNumId="8" w15:restartNumberingAfterBreak="0">
    <w:nsid w:val="02104674"/>
    <w:multiLevelType w:val="hybridMultilevel"/>
    <w:tmpl w:val="2ECCD246"/>
    <w:lvl w:ilvl="0" w:tplc="9FE22864">
      <w:start w:val="1"/>
      <w:numFmt w:val="decimal"/>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023267C1"/>
    <w:multiLevelType w:val="hybridMultilevel"/>
    <w:tmpl w:val="317CD8E0"/>
    <w:lvl w:ilvl="0" w:tplc="7C424E1C">
      <w:start w:val="1"/>
      <w:numFmt w:val="lowerLetter"/>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02511465"/>
    <w:multiLevelType w:val="hybridMultilevel"/>
    <w:tmpl w:val="18C495D6"/>
    <w:lvl w:ilvl="0" w:tplc="3C4ED90A">
      <w:start w:val="2"/>
      <w:numFmt w:val="decimal"/>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02785BEF"/>
    <w:multiLevelType w:val="hybridMultilevel"/>
    <w:tmpl w:val="F266D8C8"/>
    <w:lvl w:ilvl="0" w:tplc="78249F46">
      <w:start w:val="1"/>
      <w:numFmt w:val="lowerLetter"/>
      <w:lvlText w:val="%1)"/>
      <w:lvlJc w:val="left"/>
      <w:pPr>
        <w:ind w:left="1260" w:hanging="420"/>
      </w:pPr>
      <w:rPr>
        <w:rFonts w:ascii="ＭＳ ゴシック" w:eastAsia="ＭＳ ゴシック" w:hAnsiTheme="minorHAnsi" w:hint="eastAsia"/>
        <w:b/>
        <w:i w:val="0"/>
        <w:caps w:val="0"/>
        <w:strike w:val="0"/>
        <w:dstrike w:val="0"/>
        <w:vanish w:val="0"/>
        <w:color w:val="000000"/>
        <w:sz w:val="21"/>
        <w:vertAlign w:val="baseline"/>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2" w15:restartNumberingAfterBreak="0">
    <w:nsid w:val="0279136B"/>
    <w:multiLevelType w:val="hybridMultilevel"/>
    <w:tmpl w:val="30A44AA4"/>
    <w:lvl w:ilvl="0" w:tplc="5358B9CA">
      <w:start w:val="4"/>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0286067B"/>
    <w:multiLevelType w:val="hybridMultilevel"/>
    <w:tmpl w:val="7CB00AC0"/>
    <w:lvl w:ilvl="0" w:tplc="DD8E1ED4">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4" w15:restartNumberingAfterBreak="0">
    <w:nsid w:val="02952ECE"/>
    <w:multiLevelType w:val="hybridMultilevel"/>
    <w:tmpl w:val="E750AB7E"/>
    <w:lvl w:ilvl="0" w:tplc="FC1C46BC">
      <w:start w:val="1"/>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029A0810"/>
    <w:multiLevelType w:val="hybridMultilevel"/>
    <w:tmpl w:val="1B700F4E"/>
    <w:lvl w:ilvl="0" w:tplc="E5AE035E">
      <w:start w:val="1"/>
      <w:numFmt w:val="decimal"/>
      <w:lvlText w:val="%1)"/>
      <w:lvlJc w:val="left"/>
      <w:pPr>
        <w:ind w:left="1260" w:hanging="420"/>
      </w:pPr>
      <w:rPr>
        <w:rFonts w:ascii="ＭＳ ゴシック" w:eastAsia="ＭＳ ゴシック" w:hint="eastAsia"/>
        <w:b/>
        <w:i w:val="0"/>
        <w:color w:val="auto"/>
        <w:sz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6" w15:restartNumberingAfterBreak="0">
    <w:nsid w:val="02C43CCD"/>
    <w:multiLevelType w:val="hybridMultilevel"/>
    <w:tmpl w:val="697C411E"/>
    <w:lvl w:ilvl="0" w:tplc="84EAACC2">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031741B4"/>
    <w:multiLevelType w:val="hybridMultilevel"/>
    <w:tmpl w:val="96CC9166"/>
    <w:lvl w:ilvl="0" w:tplc="F322E530">
      <w:start w:val="1"/>
      <w:numFmt w:val="lowerLetter"/>
      <w:lvlText w:val="%1)"/>
      <w:lvlJc w:val="left"/>
      <w:pPr>
        <w:ind w:left="420" w:hanging="420"/>
      </w:pPr>
      <w:rPr>
        <w:rFonts w:ascii="ＭＳ ゴシック" w:eastAsia="ＭＳ ゴシック" w:hAnsiTheme="minorHAnsi" w:hint="eastAsia"/>
        <w:b/>
        <w:i w:val="0"/>
        <w:caps w:val="0"/>
        <w:strike w:val="0"/>
        <w:dstrike w:val="0"/>
        <w:vanish w:val="0"/>
        <w:color w:val="000000"/>
        <w:sz w:val="21"/>
        <w:vertAlign w:val="base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035D41A2"/>
    <w:multiLevelType w:val="hybridMultilevel"/>
    <w:tmpl w:val="D58A9F32"/>
    <w:lvl w:ilvl="0" w:tplc="A99E8C96">
      <w:start w:val="1"/>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03E52249"/>
    <w:multiLevelType w:val="hybridMultilevel"/>
    <w:tmpl w:val="39FE342E"/>
    <w:lvl w:ilvl="0" w:tplc="77C89F0A">
      <w:start w:val="1"/>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044F6B18"/>
    <w:multiLevelType w:val="hybridMultilevel"/>
    <w:tmpl w:val="D64CDFF6"/>
    <w:lvl w:ilvl="0" w:tplc="DD8E1ED4">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1" w15:restartNumberingAfterBreak="0">
    <w:nsid w:val="04A86225"/>
    <w:multiLevelType w:val="hybridMultilevel"/>
    <w:tmpl w:val="CD98E2F2"/>
    <w:lvl w:ilvl="0" w:tplc="5B9867D0">
      <w:start w:val="1"/>
      <w:numFmt w:val="decimal"/>
      <w:lvlText w:val="%1)"/>
      <w:lvlJc w:val="left"/>
      <w:pPr>
        <w:ind w:left="1260" w:hanging="420"/>
      </w:pPr>
      <w:rPr>
        <w:rFonts w:ascii="ＭＳ ゴシック" w:eastAsia="ＭＳ ゴシック" w:hint="eastAsia"/>
        <w:b/>
        <w:i w:val="0"/>
        <w:color w:val="000000" w:themeColor="text1"/>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04AD0039"/>
    <w:multiLevelType w:val="hybridMultilevel"/>
    <w:tmpl w:val="4C0CF886"/>
    <w:lvl w:ilvl="0" w:tplc="6BECB4A8">
      <w:start w:val="1"/>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04B65E5F"/>
    <w:multiLevelType w:val="hybridMultilevel"/>
    <w:tmpl w:val="42F28B32"/>
    <w:lvl w:ilvl="0" w:tplc="8B8E58C6">
      <w:start w:val="3"/>
      <w:numFmt w:val="decimal"/>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052E6005"/>
    <w:multiLevelType w:val="multilevel"/>
    <w:tmpl w:val="2500B496"/>
    <w:lvl w:ilvl="0">
      <w:start w:val="1"/>
      <w:numFmt w:val="decimal"/>
      <w:lvlText w:val="%1"/>
      <w:lvlJc w:val="left"/>
      <w:pPr>
        <w:ind w:left="425" w:hanging="425"/>
      </w:pPr>
      <w:rPr>
        <w:rFonts w:ascii="ＭＳ ゴシック" w:eastAsia="ＭＳ ゴシック" w:hint="eastAsia"/>
        <w:b/>
        <w:i w:val="0"/>
        <w:sz w:val="21"/>
      </w:rPr>
    </w:lvl>
    <w:lvl w:ilvl="1">
      <w:start w:val="1"/>
      <w:numFmt w:val="decimal"/>
      <w:lvlText w:val="%1.%2"/>
      <w:lvlJc w:val="left"/>
      <w:pPr>
        <w:ind w:left="425" w:hanging="425"/>
      </w:pPr>
      <w:rPr>
        <w:rFonts w:ascii="ＭＳ ゴシック" w:eastAsia="ＭＳ ゴシック" w:hint="eastAsia"/>
        <w:b/>
        <w:i w:val="0"/>
        <w:sz w:val="21"/>
      </w:rPr>
    </w:lvl>
    <w:lvl w:ilvl="2">
      <w:start w:val="1"/>
      <w:numFmt w:val="decimal"/>
      <w:lvlText w:val="%1.%2.%3"/>
      <w:lvlJc w:val="left"/>
      <w:pPr>
        <w:ind w:left="425" w:hanging="425"/>
      </w:pPr>
      <w:rPr>
        <w:rFonts w:ascii="ＭＳ ゴシック" w:eastAsia="ＭＳ ゴシック" w:hint="eastAsia"/>
        <w:b/>
        <w:i w:val="0"/>
        <w:sz w:val="21"/>
      </w:rPr>
    </w:lvl>
    <w:lvl w:ilvl="3">
      <w:start w:val="1"/>
      <w:numFmt w:val="decimal"/>
      <w:lvlText w:val="%1.%2.%3.%4"/>
      <w:lvlJc w:val="left"/>
      <w:pPr>
        <w:ind w:left="425" w:hanging="425"/>
      </w:pPr>
      <w:rPr>
        <w:rFonts w:ascii="ＭＳ ゴシック" w:eastAsia="ＭＳ ゴシック" w:hint="eastAsia"/>
        <w:b/>
        <w:i w:val="0"/>
        <w:sz w:val="21"/>
      </w:rPr>
    </w:lvl>
    <w:lvl w:ilvl="4">
      <w:start w:val="1"/>
      <w:numFmt w:val="lowerLetter"/>
      <w:lvlText w:val="%5)"/>
      <w:lvlJc w:val="left"/>
      <w:pPr>
        <w:ind w:left="425" w:hanging="425"/>
      </w:pPr>
      <w:rPr>
        <w:rFonts w:ascii="ＭＳ ゴシック" w:hAnsi="ＭＳ ゴシック" w:hint="eastAsia"/>
        <w:b/>
        <w:i w:val="0"/>
        <w:sz w:val="21"/>
      </w:rPr>
    </w:lvl>
    <w:lvl w:ilvl="5">
      <w:start w:val="1"/>
      <w:numFmt w:val="decimal"/>
      <w:lvlText w:val="%6)"/>
      <w:lvlJc w:val="left"/>
      <w:pPr>
        <w:ind w:left="737" w:hanging="567"/>
      </w:pPr>
      <w:rPr>
        <w:rFonts w:ascii="ＭＳ ゴシック" w:hAnsi="ＭＳ ゴシック" w:hint="eastAsia"/>
        <w:b/>
        <w:i w:val="0"/>
        <w:sz w:val="21"/>
      </w:rPr>
    </w:lvl>
    <w:lvl w:ilvl="6">
      <w:start w:val="1"/>
      <w:numFmt w:val="decimal"/>
      <w:lvlText w:val="%7.%1)"/>
      <w:lvlJc w:val="left"/>
      <w:pPr>
        <w:ind w:left="1304" w:hanging="964"/>
      </w:pPr>
      <w:rPr>
        <w:rFonts w:ascii="ＭＳ ゴシック" w:hAnsi="ＭＳ ゴシック" w:hint="eastAsia"/>
        <w:b/>
        <w:i w:val="0"/>
        <w:sz w:val="21"/>
      </w:rPr>
    </w:lvl>
    <w:lvl w:ilvl="7">
      <w:start w:val="1"/>
      <w:numFmt w:val="decimal"/>
      <w:lvlText w:val="%8.%1.%2)"/>
      <w:lvlJc w:val="left"/>
      <w:pPr>
        <w:ind w:left="1928" w:hanging="1418"/>
      </w:pPr>
      <w:rPr>
        <w:rFonts w:ascii="ＭＳ ゴシック" w:hAnsi="ＭＳ ゴシック" w:hint="eastAsia"/>
        <w:b/>
        <w:i w:val="0"/>
        <w:sz w:val="21"/>
      </w:rPr>
    </w:lvl>
    <w:lvl w:ilvl="8">
      <w:start w:val="1"/>
      <w:numFmt w:val="decimal"/>
      <w:lvlText w:val="%9.%2.%3.%4)"/>
      <w:lvlJc w:val="left"/>
      <w:pPr>
        <w:ind w:left="2495" w:hanging="1815"/>
      </w:pPr>
      <w:rPr>
        <w:rFonts w:ascii="ＭＳ ゴシック" w:eastAsia="ＭＳ ゴシック" w:hAnsi="ＭＳ ゴシック" w:hint="eastAsia"/>
        <w:b/>
        <w:i w:val="0"/>
        <w:sz w:val="21"/>
      </w:rPr>
    </w:lvl>
  </w:abstractNum>
  <w:abstractNum w:abstractNumId="25" w15:restartNumberingAfterBreak="0">
    <w:nsid w:val="053B6751"/>
    <w:multiLevelType w:val="hybridMultilevel"/>
    <w:tmpl w:val="A16C4F16"/>
    <w:lvl w:ilvl="0" w:tplc="F60A9F34">
      <w:start w:val="3"/>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05646B94"/>
    <w:multiLevelType w:val="hybridMultilevel"/>
    <w:tmpl w:val="A84E5078"/>
    <w:lvl w:ilvl="0" w:tplc="7DE08EAE">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05A10F3B"/>
    <w:multiLevelType w:val="hybridMultilevel"/>
    <w:tmpl w:val="19FE7818"/>
    <w:lvl w:ilvl="0" w:tplc="3B32416A">
      <w:start w:val="7"/>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060221B8"/>
    <w:multiLevelType w:val="hybridMultilevel"/>
    <w:tmpl w:val="12D0261C"/>
    <w:lvl w:ilvl="0" w:tplc="C10A2E10">
      <w:start w:val="1"/>
      <w:numFmt w:val="decimal"/>
      <w:lvlText w:val="2.%1)"/>
      <w:lvlJc w:val="left"/>
      <w:pPr>
        <w:ind w:left="1353" w:hanging="420"/>
      </w:pPr>
      <w:rPr>
        <w:rFonts w:ascii="ＭＳ ゴシック" w:eastAsia="ＭＳ ゴシック" w:hint="eastAsia"/>
        <w:b/>
        <w:i w:val="0"/>
        <w:sz w:val="21"/>
      </w:rPr>
    </w:lvl>
    <w:lvl w:ilvl="1" w:tplc="04090017" w:tentative="1">
      <w:start w:val="1"/>
      <w:numFmt w:val="aiueoFullWidth"/>
      <w:lvlText w:val="(%2)"/>
      <w:lvlJc w:val="left"/>
      <w:pPr>
        <w:ind w:left="1773" w:hanging="420"/>
      </w:pPr>
    </w:lvl>
    <w:lvl w:ilvl="2" w:tplc="04090011" w:tentative="1">
      <w:start w:val="1"/>
      <w:numFmt w:val="decimalEnclosedCircle"/>
      <w:lvlText w:val="%3"/>
      <w:lvlJc w:val="left"/>
      <w:pPr>
        <w:ind w:left="2193" w:hanging="420"/>
      </w:pPr>
    </w:lvl>
    <w:lvl w:ilvl="3" w:tplc="0409000F" w:tentative="1">
      <w:start w:val="1"/>
      <w:numFmt w:val="decimal"/>
      <w:lvlText w:val="%4."/>
      <w:lvlJc w:val="left"/>
      <w:pPr>
        <w:ind w:left="2613" w:hanging="420"/>
      </w:pPr>
    </w:lvl>
    <w:lvl w:ilvl="4" w:tplc="04090017" w:tentative="1">
      <w:start w:val="1"/>
      <w:numFmt w:val="aiueoFullWidth"/>
      <w:lvlText w:val="(%5)"/>
      <w:lvlJc w:val="left"/>
      <w:pPr>
        <w:ind w:left="3033" w:hanging="420"/>
      </w:pPr>
    </w:lvl>
    <w:lvl w:ilvl="5" w:tplc="04090011" w:tentative="1">
      <w:start w:val="1"/>
      <w:numFmt w:val="decimalEnclosedCircle"/>
      <w:lvlText w:val="%6"/>
      <w:lvlJc w:val="left"/>
      <w:pPr>
        <w:ind w:left="3453" w:hanging="420"/>
      </w:pPr>
    </w:lvl>
    <w:lvl w:ilvl="6" w:tplc="0409000F" w:tentative="1">
      <w:start w:val="1"/>
      <w:numFmt w:val="decimal"/>
      <w:lvlText w:val="%7."/>
      <w:lvlJc w:val="left"/>
      <w:pPr>
        <w:ind w:left="3873" w:hanging="420"/>
      </w:pPr>
    </w:lvl>
    <w:lvl w:ilvl="7" w:tplc="04090017" w:tentative="1">
      <w:start w:val="1"/>
      <w:numFmt w:val="aiueoFullWidth"/>
      <w:lvlText w:val="(%8)"/>
      <w:lvlJc w:val="left"/>
      <w:pPr>
        <w:ind w:left="4293" w:hanging="420"/>
      </w:pPr>
    </w:lvl>
    <w:lvl w:ilvl="8" w:tplc="04090011" w:tentative="1">
      <w:start w:val="1"/>
      <w:numFmt w:val="decimalEnclosedCircle"/>
      <w:lvlText w:val="%9"/>
      <w:lvlJc w:val="left"/>
      <w:pPr>
        <w:ind w:left="4713" w:hanging="420"/>
      </w:pPr>
    </w:lvl>
  </w:abstractNum>
  <w:abstractNum w:abstractNumId="29" w15:restartNumberingAfterBreak="0">
    <w:nsid w:val="06121CE5"/>
    <w:multiLevelType w:val="hybridMultilevel"/>
    <w:tmpl w:val="813684E6"/>
    <w:lvl w:ilvl="0" w:tplc="1D780472">
      <w:start w:val="1"/>
      <w:numFmt w:val="decimal"/>
      <w:lvlText w:val="%1)"/>
      <w:lvlJc w:val="left"/>
      <w:pPr>
        <w:ind w:left="1260" w:hanging="420"/>
      </w:pPr>
      <w:rPr>
        <w:rFonts w:ascii="ＭＳ ゴシック" w:eastAsia="ＭＳ ゴシック" w:hint="eastAsia"/>
        <w:b/>
        <w:i w:val="0"/>
        <w:color w:val="000000" w:themeColor="text1"/>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062616CE"/>
    <w:multiLevelType w:val="hybridMultilevel"/>
    <w:tmpl w:val="04D6F6B8"/>
    <w:lvl w:ilvl="0" w:tplc="07CC9830">
      <w:start w:val="1"/>
      <w:numFmt w:val="lowerLetter"/>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062617D9"/>
    <w:multiLevelType w:val="hybridMultilevel"/>
    <w:tmpl w:val="3692D71A"/>
    <w:lvl w:ilvl="0" w:tplc="E124C92A">
      <w:start w:val="1"/>
      <w:numFmt w:val="decimal"/>
      <w:lvlText w:val="%1)"/>
      <w:lvlJc w:val="left"/>
      <w:pPr>
        <w:ind w:left="1260" w:hanging="420"/>
      </w:pPr>
      <w:rPr>
        <w:rFonts w:ascii="ＭＳ ゴシック" w:eastAsia="ＭＳ ゴシック" w:hint="eastAsia"/>
        <w:b/>
        <w:i w:val="0"/>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066F0021"/>
    <w:multiLevelType w:val="hybridMultilevel"/>
    <w:tmpl w:val="31062378"/>
    <w:lvl w:ilvl="0" w:tplc="969C8C70">
      <w:start w:val="1"/>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06871939"/>
    <w:multiLevelType w:val="hybridMultilevel"/>
    <w:tmpl w:val="B928BAC2"/>
    <w:lvl w:ilvl="0" w:tplc="D6F286A6">
      <w:start w:val="6"/>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06E414C4"/>
    <w:multiLevelType w:val="hybridMultilevel"/>
    <w:tmpl w:val="9E2C7372"/>
    <w:lvl w:ilvl="0" w:tplc="8D684114">
      <w:start w:val="3"/>
      <w:numFmt w:val="decimal"/>
      <w:lvlText w:val="%1)"/>
      <w:lvlJc w:val="left"/>
      <w:pPr>
        <w:ind w:left="703" w:hanging="420"/>
      </w:pPr>
      <w:rPr>
        <w:rFonts w:ascii="ＭＳ ゴシック" w:eastAsia="ＭＳ ゴシック" w:hint="eastAsia"/>
        <w:b/>
        <w:i w:val="0"/>
        <w:sz w:val="21"/>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35" w15:restartNumberingAfterBreak="0">
    <w:nsid w:val="06E8151C"/>
    <w:multiLevelType w:val="hybridMultilevel"/>
    <w:tmpl w:val="F49A48AE"/>
    <w:lvl w:ilvl="0" w:tplc="A400272A">
      <w:start w:val="1"/>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06F05337"/>
    <w:multiLevelType w:val="hybridMultilevel"/>
    <w:tmpl w:val="4B161A76"/>
    <w:lvl w:ilvl="0" w:tplc="2F787C46">
      <w:start w:val="5"/>
      <w:numFmt w:val="lowerLetter"/>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06FE7D08"/>
    <w:multiLevelType w:val="hybridMultilevel"/>
    <w:tmpl w:val="8444CE72"/>
    <w:lvl w:ilvl="0" w:tplc="BE78AD72">
      <w:start w:val="1"/>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06FF1555"/>
    <w:multiLevelType w:val="hybridMultilevel"/>
    <w:tmpl w:val="97003FBC"/>
    <w:lvl w:ilvl="0" w:tplc="2AE2A1D2">
      <w:start w:val="1"/>
      <w:numFmt w:val="lowerLetter"/>
      <w:lvlText w:val="%1)"/>
      <w:lvlJc w:val="left"/>
      <w:pPr>
        <w:ind w:left="420" w:hanging="420"/>
      </w:pPr>
      <w:rPr>
        <w:rFonts w:ascii="ＭＳ ゴシック" w:eastAsia="ＭＳ ゴシック" w:hint="eastAsia"/>
        <w:b/>
        <w:i w:val="0"/>
        <w:sz w:val="21"/>
      </w:rPr>
    </w:lvl>
    <w:lvl w:ilvl="1" w:tplc="3D821546">
      <w:start w:val="1"/>
      <w:numFmt w:val="lowerLetter"/>
      <w:lvlText w:val="%2)"/>
      <w:lvlJc w:val="left"/>
      <w:pPr>
        <w:ind w:left="840" w:hanging="420"/>
      </w:pPr>
      <w:rPr>
        <w:rFonts w:ascii="ＭＳ ゴシック" w:eastAsia="ＭＳ ゴシック" w:hint="eastAsia"/>
        <w:b/>
        <w:i w:val="0"/>
        <w:sz w:val="21"/>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071678EE"/>
    <w:multiLevelType w:val="hybridMultilevel"/>
    <w:tmpl w:val="06CC07BE"/>
    <w:lvl w:ilvl="0" w:tplc="BE345E10">
      <w:start w:val="1"/>
      <w:numFmt w:val="lowerLetter"/>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075C082A"/>
    <w:multiLevelType w:val="hybridMultilevel"/>
    <w:tmpl w:val="CF3473EE"/>
    <w:lvl w:ilvl="0" w:tplc="72B62872">
      <w:start w:val="1"/>
      <w:numFmt w:val="decimal"/>
      <w:lvlText w:val="1.%1)"/>
      <w:lvlJc w:val="left"/>
      <w:pPr>
        <w:ind w:left="647"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076F4ABE"/>
    <w:multiLevelType w:val="hybridMultilevel"/>
    <w:tmpl w:val="1CAC40FE"/>
    <w:lvl w:ilvl="0" w:tplc="2AE2A1D2">
      <w:start w:val="1"/>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078D631F"/>
    <w:multiLevelType w:val="hybridMultilevel"/>
    <w:tmpl w:val="C80C324E"/>
    <w:lvl w:ilvl="0" w:tplc="AC6C42EC">
      <w:start w:val="1"/>
      <w:numFmt w:val="decimal"/>
      <w:lvlText w:val="5.%1)"/>
      <w:lvlJc w:val="left"/>
      <w:pPr>
        <w:ind w:left="518" w:hanging="420"/>
      </w:pPr>
      <w:rPr>
        <w:rFonts w:ascii="ＭＳ ゴシック" w:eastAsia="ＭＳ ゴシック" w:hint="eastAsia"/>
        <w:b/>
        <w:i w:val="0"/>
        <w:sz w:val="21"/>
      </w:rPr>
    </w:lvl>
    <w:lvl w:ilvl="1" w:tplc="04090017" w:tentative="1">
      <w:start w:val="1"/>
      <w:numFmt w:val="aiueoFullWidth"/>
      <w:lvlText w:val="(%2)"/>
      <w:lvlJc w:val="left"/>
      <w:pPr>
        <w:ind w:left="938" w:hanging="420"/>
      </w:pPr>
    </w:lvl>
    <w:lvl w:ilvl="2" w:tplc="04090011" w:tentative="1">
      <w:start w:val="1"/>
      <w:numFmt w:val="decimalEnclosedCircle"/>
      <w:lvlText w:val="%3"/>
      <w:lvlJc w:val="left"/>
      <w:pPr>
        <w:ind w:left="1358" w:hanging="420"/>
      </w:pPr>
    </w:lvl>
    <w:lvl w:ilvl="3" w:tplc="0409000F" w:tentative="1">
      <w:start w:val="1"/>
      <w:numFmt w:val="decimal"/>
      <w:lvlText w:val="%4."/>
      <w:lvlJc w:val="left"/>
      <w:pPr>
        <w:ind w:left="1778" w:hanging="420"/>
      </w:pPr>
    </w:lvl>
    <w:lvl w:ilvl="4" w:tplc="04090017" w:tentative="1">
      <w:start w:val="1"/>
      <w:numFmt w:val="aiueoFullWidth"/>
      <w:lvlText w:val="(%5)"/>
      <w:lvlJc w:val="left"/>
      <w:pPr>
        <w:ind w:left="2198" w:hanging="420"/>
      </w:pPr>
    </w:lvl>
    <w:lvl w:ilvl="5" w:tplc="04090011" w:tentative="1">
      <w:start w:val="1"/>
      <w:numFmt w:val="decimalEnclosedCircle"/>
      <w:lvlText w:val="%6"/>
      <w:lvlJc w:val="left"/>
      <w:pPr>
        <w:ind w:left="2618" w:hanging="420"/>
      </w:pPr>
    </w:lvl>
    <w:lvl w:ilvl="6" w:tplc="0409000F" w:tentative="1">
      <w:start w:val="1"/>
      <w:numFmt w:val="decimal"/>
      <w:lvlText w:val="%7."/>
      <w:lvlJc w:val="left"/>
      <w:pPr>
        <w:ind w:left="3038" w:hanging="420"/>
      </w:pPr>
    </w:lvl>
    <w:lvl w:ilvl="7" w:tplc="04090017" w:tentative="1">
      <w:start w:val="1"/>
      <w:numFmt w:val="aiueoFullWidth"/>
      <w:lvlText w:val="(%8)"/>
      <w:lvlJc w:val="left"/>
      <w:pPr>
        <w:ind w:left="3458" w:hanging="420"/>
      </w:pPr>
    </w:lvl>
    <w:lvl w:ilvl="8" w:tplc="04090011" w:tentative="1">
      <w:start w:val="1"/>
      <w:numFmt w:val="decimalEnclosedCircle"/>
      <w:lvlText w:val="%9"/>
      <w:lvlJc w:val="left"/>
      <w:pPr>
        <w:ind w:left="3878" w:hanging="420"/>
      </w:pPr>
    </w:lvl>
  </w:abstractNum>
  <w:abstractNum w:abstractNumId="43" w15:restartNumberingAfterBreak="0">
    <w:nsid w:val="07917153"/>
    <w:multiLevelType w:val="hybridMultilevel"/>
    <w:tmpl w:val="9F947244"/>
    <w:lvl w:ilvl="0" w:tplc="DA20A1B4">
      <w:start w:val="1"/>
      <w:numFmt w:val="decimal"/>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0791755F"/>
    <w:multiLevelType w:val="hybridMultilevel"/>
    <w:tmpl w:val="2A74F6DE"/>
    <w:lvl w:ilvl="0" w:tplc="44361CEC">
      <w:start w:val="3"/>
      <w:numFmt w:val="decimal"/>
      <w:lvlText w:val="%1)"/>
      <w:lvlJc w:val="left"/>
      <w:pPr>
        <w:ind w:left="1260" w:hanging="420"/>
      </w:pPr>
      <w:rPr>
        <w:rFonts w:ascii="ＭＳ ゴシック" w:eastAsia="ＭＳ ゴシック" w:hint="eastAsia"/>
        <w:b/>
        <w:i w:val="0"/>
        <w:color w:val="000000" w:themeColor="text1"/>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07D7009F"/>
    <w:multiLevelType w:val="hybridMultilevel"/>
    <w:tmpl w:val="05362982"/>
    <w:lvl w:ilvl="0" w:tplc="ABBE48F4">
      <w:start w:val="1"/>
      <w:numFmt w:val="decimal"/>
      <w:lvlText w:val="%1)"/>
      <w:lvlJc w:val="left"/>
      <w:pPr>
        <w:ind w:left="1260" w:hanging="420"/>
      </w:pPr>
      <w:rPr>
        <w:rFonts w:ascii="ＭＳ ゴシック" w:eastAsia="ＭＳ ゴシック" w:hint="eastAsia"/>
        <w:b/>
        <w:i w:val="0"/>
        <w:color w:val="000000" w:themeColor="text1"/>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085D0D11"/>
    <w:multiLevelType w:val="hybridMultilevel"/>
    <w:tmpl w:val="F3F8F578"/>
    <w:lvl w:ilvl="0" w:tplc="34DE7B5C">
      <w:start w:val="1"/>
      <w:numFmt w:val="decimal"/>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089743CC"/>
    <w:multiLevelType w:val="hybridMultilevel"/>
    <w:tmpl w:val="38A6B514"/>
    <w:lvl w:ilvl="0" w:tplc="0C02EABE">
      <w:start w:val="1"/>
      <w:numFmt w:val="decimal"/>
      <w:lvlText w:val="1.%1)"/>
      <w:lvlJc w:val="left"/>
      <w:pPr>
        <w:ind w:left="1271" w:hanging="420"/>
      </w:pPr>
      <w:rPr>
        <w:rFonts w:ascii="ＭＳ ゴシック" w:eastAsia="ＭＳ ゴシック" w:hint="eastAsia"/>
        <w:b/>
        <w:i w:val="0"/>
        <w:sz w:val="21"/>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48" w15:restartNumberingAfterBreak="0">
    <w:nsid w:val="097F6C22"/>
    <w:multiLevelType w:val="hybridMultilevel"/>
    <w:tmpl w:val="44668568"/>
    <w:lvl w:ilvl="0" w:tplc="5AB0A194">
      <w:start w:val="2"/>
      <w:numFmt w:val="lowerLetter"/>
      <w:lvlText w:val="%1)"/>
      <w:lvlJc w:val="left"/>
      <w:pPr>
        <w:ind w:left="1260" w:hanging="420"/>
      </w:pPr>
      <w:rPr>
        <w:rFonts w:ascii="ＭＳ ゴシック" w:eastAsia="ＭＳ ゴシック" w:hAnsiTheme="minorHAnsi" w:hint="eastAsia"/>
        <w:b/>
        <w:i w:val="0"/>
        <w:caps w:val="0"/>
        <w:strike w:val="0"/>
        <w:dstrike w:val="0"/>
        <w:vanish w:val="0"/>
        <w:color w:val="000000"/>
        <w:sz w:val="21"/>
        <w:vertAlign w:val="base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15:restartNumberingAfterBreak="0">
    <w:nsid w:val="09C869B9"/>
    <w:multiLevelType w:val="hybridMultilevel"/>
    <w:tmpl w:val="45FEA7E0"/>
    <w:lvl w:ilvl="0" w:tplc="938E3582">
      <w:start w:val="5"/>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 w15:restartNumberingAfterBreak="0">
    <w:nsid w:val="09E5419D"/>
    <w:multiLevelType w:val="hybridMultilevel"/>
    <w:tmpl w:val="EB0EFC28"/>
    <w:lvl w:ilvl="0" w:tplc="E466B66C">
      <w:start w:val="1"/>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 w15:restartNumberingAfterBreak="0">
    <w:nsid w:val="0A355096"/>
    <w:multiLevelType w:val="hybridMultilevel"/>
    <w:tmpl w:val="AD4E1168"/>
    <w:lvl w:ilvl="0" w:tplc="E466B66C">
      <w:start w:val="1"/>
      <w:numFmt w:val="decimal"/>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52" w15:restartNumberingAfterBreak="0">
    <w:nsid w:val="0A3A1550"/>
    <w:multiLevelType w:val="hybridMultilevel"/>
    <w:tmpl w:val="8CC01974"/>
    <w:lvl w:ilvl="0" w:tplc="A9C0B436">
      <w:start w:val="2"/>
      <w:numFmt w:val="lowerLetter"/>
      <w:lvlText w:val="%1)"/>
      <w:lvlJc w:val="left"/>
      <w:pPr>
        <w:ind w:left="420" w:hanging="420"/>
      </w:pPr>
      <w:rPr>
        <w:rFonts w:ascii="ＭＳ ゴシック" w:eastAsia="ＭＳ ゴシック" w:hAnsiTheme="minorHAnsi" w:hint="eastAsia"/>
        <w:b/>
        <w:i w:val="0"/>
        <w:caps w:val="0"/>
        <w:strike w:val="0"/>
        <w:dstrike w:val="0"/>
        <w:vanish w:val="0"/>
        <w:color w:val="000000"/>
        <w:sz w:val="21"/>
        <w:vertAlign w:val="base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 w15:restartNumberingAfterBreak="0">
    <w:nsid w:val="0AA7508B"/>
    <w:multiLevelType w:val="hybridMultilevel"/>
    <w:tmpl w:val="756890AC"/>
    <w:lvl w:ilvl="0" w:tplc="1B108BF8">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 w15:restartNumberingAfterBreak="0">
    <w:nsid w:val="0AB87777"/>
    <w:multiLevelType w:val="hybridMultilevel"/>
    <w:tmpl w:val="BE3ECF58"/>
    <w:lvl w:ilvl="0" w:tplc="2C18F470">
      <w:start w:val="1"/>
      <w:numFmt w:val="lowerLetter"/>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 w15:restartNumberingAfterBreak="0">
    <w:nsid w:val="0ACF6789"/>
    <w:multiLevelType w:val="hybridMultilevel"/>
    <w:tmpl w:val="734A6B80"/>
    <w:lvl w:ilvl="0" w:tplc="34AC30CA">
      <w:start w:val="4"/>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6" w15:restartNumberingAfterBreak="0">
    <w:nsid w:val="0B061AD8"/>
    <w:multiLevelType w:val="hybridMultilevel"/>
    <w:tmpl w:val="B176A0E0"/>
    <w:lvl w:ilvl="0" w:tplc="B3DC7E70">
      <w:start w:val="1"/>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7" w15:restartNumberingAfterBreak="0">
    <w:nsid w:val="0B15661E"/>
    <w:multiLevelType w:val="hybridMultilevel"/>
    <w:tmpl w:val="D5BC4486"/>
    <w:lvl w:ilvl="0" w:tplc="F8DA8D8E">
      <w:start w:val="4"/>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8" w15:restartNumberingAfterBreak="0">
    <w:nsid w:val="0B3101E3"/>
    <w:multiLevelType w:val="hybridMultilevel"/>
    <w:tmpl w:val="400A3378"/>
    <w:lvl w:ilvl="0" w:tplc="90801DC2">
      <w:start w:val="1"/>
      <w:numFmt w:val="decimal"/>
      <w:lvlText w:val="5.%1)"/>
      <w:lvlJc w:val="left"/>
      <w:pPr>
        <w:ind w:left="1260" w:hanging="420"/>
      </w:pPr>
      <w:rPr>
        <w:rFonts w:asciiTheme="majorEastAsia" w:eastAsia="ＭＳ 明朝" w:hAnsiTheme="majorEastAsia"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9" w15:restartNumberingAfterBreak="0">
    <w:nsid w:val="0B9F7A4C"/>
    <w:multiLevelType w:val="hybridMultilevel"/>
    <w:tmpl w:val="EC341E98"/>
    <w:lvl w:ilvl="0" w:tplc="E9C82C70">
      <w:start w:val="1"/>
      <w:numFmt w:val="decimal"/>
      <w:lvlText w:val="1.%1)"/>
      <w:lvlJc w:val="left"/>
      <w:pPr>
        <w:ind w:left="1260" w:hanging="420"/>
      </w:pPr>
      <w:rPr>
        <w:rFonts w:asciiTheme="majorEastAsia" w:eastAsia="ＭＳ 明朝" w:hAnsiTheme="majorEastAsia"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0" w15:restartNumberingAfterBreak="0">
    <w:nsid w:val="0BB43BE9"/>
    <w:multiLevelType w:val="hybridMultilevel"/>
    <w:tmpl w:val="20A81AC6"/>
    <w:lvl w:ilvl="0" w:tplc="63CAD3E2">
      <w:start w:val="5"/>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1" w15:restartNumberingAfterBreak="0">
    <w:nsid w:val="0BEB68FB"/>
    <w:multiLevelType w:val="hybridMultilevel"/>
    <w:tmpl w:val="1BC82742"/>
    <w:lvl w:ilvl="0" w:tplc="E466B66C">
      <w:start w:val="1"/>
      <w:numFmt w:val="decimal"/>
      <w:lvlText w:val="%1)"/>
      <w:lvlJc w:val="left"/>
      <w:pPr>
        <w:ind w:left="647" w:hanging="420"/>
      </w:pPr>
      <w:rPr>
        <w:rFonts w:ascii="ＭＳ ゴシック" w:eastAsia="ＭＳ ゴシック" w:hint="eastAsia"/>
        <w:b/>
        <w:i w:val="0"/>
        <w:sz w:val="21"/>
      </w:rPr>
    </w:lvl>
    <w:lvl w:ilvl="1" w:tplc="E466B66C">
      <w:start w:val="1"/>
      <w:numFmt w:val="decimal"/>
      <w:lvlText w:val="%2)"/>
      <w:lvlJc w:val="left"/>
      <w:pPr>
        <w:ind w:left="846" w:hanging="420"/>
      </w:pPr>
      <w:rPr>
        <w:rFonts w:ascii="ＭＳ ゴシック" w:eastAsia="ＭＳ ゴシック" w:hint="eastAsia"/>
        <w:b/>
        <w:i w:val="0"/>
        <w:sz w:val="21"/>
      </w:r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abstractNum w:abstractNumId="62" w15:restartNumberingAfterBreak="0">
    <w:nsid w:val="0BFE41C0"/>
    <w:multiLevelType w:val="hybridMultilevel"/>
    <w:tmpl w:val="0DCCCC0A"/>
    <w:lvl w:ilvl="0" w:tplc="2AE2A1D2">
      <w:start w:val="1"/>
      <w:numFmt w:val="lowerLetter"/>
      <w:lvlText w:val="%1)"/>
      <w:lvlJc w:val="left"/>
      <w:pPr>
        <w:ind w:left="420" w:hanging="420"/>
      </w:pPr>
      <w:rPr>
        <w:rFonts w:ascii="ＭＳ ゴシック" w:eastAsia="ＭＳ ゴシック" w:hint="eastAsia"/>
        <w:b/>
        <w:i w:val="0"/>
        <w:sz w:val="21"/>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3" w15:restartNumberingAfterBreak="0">
    <w:nsid w:val="0C391EE4"/>
    <w:multiLevelType w:val="hybridMultilevel"/>
    <w:tmpl w:val="8B3ABB16"/>
    <w:lvl w:ilvl="0" w:tplc="8DB4BB12">
      <w:start w:val="3"/>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4" w15:restartNumberingAfterBreak="0">
    <w:nsid w:val="0C9F7068"/>
    <w:multiLevelType w:val="hybridMultilevel"/>
    <w:tmpl w:val="3AD682BC"/>
    <w:lvl w:ilvl="0" w:tplc="0558649A">
      <w:start w:val="1"/>
      <w:numFmt w:val="decimal"/>
      <w:lvlText w:val="2.1.%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65" w15:restartNumberingAfterBreak="0">
    <w:nsid w:val="0CB35CB1"/>
    <w:multiLevelType w:val="hybridMultilevel"/>
    <w:tmpl w:val="5B40437A"/>
    <w:lvl w:ilvl="0" w:tplc="EE6430BE">
      <w:start w:val="1"/>
      <w:numFmt w:val="decimal"/>
      <w:lvlText w:val="%1)"/>
      <w:lvlJc w:val="left"/>
      <w:pPr>
        <w:ind w:left="1260" w:hanging="420"/>
      </w:pPr>
      <w:rPr>
        <w:rFonts w:ascii="ＭＳ ゴシック" w:eastAsia="ＭＳ ゴシック" w:hint="eastAsia"/>
        <w:b/>
        <w:i w:val="0"/>
        <w:color w:val="auto"/>
        <w:sz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66" w15:restartNumberingAfterBreak="0">
    <w:nsid w:val="0D2507AB"/>
    <w:multiLevelType w:val="hybridMultilevel"/>
    <w:tmpl w:val="425AF066"/>
    <w:lvl w:ilvl="0" w:tplc="8940FED8">
      <w:start w:val="1"/>
      <w:numFmt w:val="decimal"/>
      <w:lvlText w:val="4.%1)"/>
      <w:lvlJc w:val="left"/>
      <w:pPr>
        <w:ind w:left="531" w:hanging="420"/>
      </w:pPr>
      <w:rPr>
        <w:rFonts w:ascii="ＭＳ ゴシック" w:eastAsia="ＭＳ ゴシック" w:hint="eastAsia"/>
        <w:b/>
        <w:i w:val="0"/>
        <w:sz w:val="21"/>
      </w:rPr>
    </w:lvl>
    <w:lvl w:ilvl="1" w:tplc="04090017" w:tentative="1">
      <w:start w:val="1"/>
      <w:numFmt w:val="aiueoFullWidth"/>
      <w:lvlText w:val="(%2)"/>
      <w:lvlJc w:val="left"/>
      <w:pPr>
        <w:ind w:left="951" w:hanging="420"/>
      </w:pPr>
    </w:lvl>
    <w:lvl w:ilvl="2" w:tplc="04090011" w:tentative="1">
      <w:start w:val="1"/>
      <w:numFmt w:val="decimalEnclosedCircle"/>
      <w:lvlText w:val="%3"/>
      <w:lvlJc w:val="left"/>
      <w:pPr>
        <w:ind w:left="1371" w:hanging="420"/>
      </w:pPr>
    </w:lvl>
    <w:lvl w:ilvl="3" w:tplc="0409000F" w:tentative="1">
      <w:start w:val="1"/>
      <w:numFmt w:val="decimal"/>
      <w:lvlText w:val="%4."/>
      <w:lvlJc w:val="left"/>
      <w:pPr>
        <w:ind w:left="1791" w:hanging="420"/>
      </w:pPr>
    </w:lvl>
    <w:lvl w:ilvl="4" w:tplc="04090017" w:tentative="1">
      <w:start w:val="1"/>
      <w:numFmt w:val="aiueoFullWidth"/>
      <w:lvlText w:val="(%5)"/>
      <w:lvlJc w:val="left"/>
      <w:pPr>
        <w:ind w:left="2211" w:hanging="420"/>
      </w:pPr>
    </w:lvl>
    <w:lvl w:ilvl="5" w:tplc="04090011" w:tentative="1">
      <w:start w:val="1"/>
      <w:numFmt w:val="decimalEnclosedCircle"/>
      <w:lvlText w:val="%6"/>
      <w:lvlJc w:val="left"/>
      <w:pPr>
        <w:ind w:left="2631" w:hanging="420"/>
      </w:pPr>
    </w:lvl>
    <w:lvl w:ilvl="6" w:tplc="0409000F" w:tentative="1">
      <w:start w:val="1"/>
      <w:numFmt w:val="decimal"/>
      <w:lvlText w:val="%7."/>
      <w:lvlJc w:val="left"/>
      <w:pPr>
        <w:ind w:left="3051" w:hanging="420"/>
      </w:pPr>
    </w:lvl>
    <w:lvl w:ilvl="7" w:tplc="04090017" w:tentative="1">
      <w:start w:val="1"/>
      <w:numFmt w:val="aiueoFullWidth"/>
      <w:lvlText w:val="(%8)"/>
      <w:lvlJc w:val="left"/>
      <w:pPr>
        <w:ind w:left="3471" w:hanging="420"/>
      </w:pPr>
    </w:lvl>
    <w:lvl w:ilvl="8" w:tplc="04090011" w:tentative="1">
      <w:start w:val="1"/>
      <w:numFmt w:val="decimalEnclosedCircle"/>
      <w:lvlText w:val="%9"/>
      <w:lvlJc w:val="left"/>
      <w:pPr>
        <w:ind w:left="3891" w:hanging="420"/>
      </w:pPr>
    </w:lvl>
  </w:abstractNum>
  <w:abstractNum w:abstractNumId="67" w15:restartNumberingAfterBreak="0">
    <w:nsid w:val="0D577D60"/>
    <w:multiLevelType w:val="hybridMultilevel"/>
    <w:tmpl w:val="4D9A6BDC"/>
    <w:lvl w:ilvl="0" w:tplc="2AD6C522">
      <w:start w:val="3"/>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8" w15:restartNumberingAfterBreak="0">
    <w:nsid w:val="0D85667B"/>
    <w:multiLevelType w:val="hybridMultilevel"/>
    <w:tmpl w:val="A0183224"/>
    <w:lvl w:ilvl="0" w:tplc="EA0A373A">
      <w:start w:val="1"/>
      <w:numFmt w:val="decimal"/>
      <w:lvlText w:val="%1)"/>
      <w:lvlJc w:val="left"/>
      <w:pPr>
        <w:ind w:left="1260" w:hanging="420"/>
      </w:pPr>
      <w:rPr>
        <w:rFonts w:ascii="ＭＳ ゴシック" w:eastAsia="ＭＳ ゴシック" w:hint="eastAsia"/>
        <w:b/>
        <w:i w:val="0"/>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9" w15:restartNumberingAfterBreak="0">
    <w:nsid w:val="0DE77878"/>
    <w:multiLevelType w:val="hybridMultilevel"/>
    <w:tmpl w:val="4C282DF8"/>
    <w:lvl w:ilvl="0" w:tplc="9A0E91C8">
      <w:start w:val="1"/>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0" w15:restartNumberingAfterBreak="0">
    <w:nsid w:val="0E034523"/>
    <w:multiLevelType w:val="hybridMultilevel"/>
    <w:tmpl w:val="30A0CD6E"/>
    <w:lvl w:ilvl="0" w:tplc="5A5267DE">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71" w15:restartNumberingAfterBreak="0">
    <w:nsid w:val="0ED47D47"/>
    <w:multiLevelType w:val="hybridMultilevel"/>
    <w:tmpl w:val="E2EAC9B4"/>
    <w:lvl w:ilvl="0" w:tplc="14B83502">
      <w:start w:val="13"/>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2" w15:restartNumberingAfterBreak="0">
    <w:nsid w:val="0EE513B2"/>
    <w:multiLevelType w:val="hybridMultilevel"/>
    <w:tmpl w:val="ABAA4A0C"/>
    <w:lvl w:ilvl="0" w:tplc="69C4E260">
      <w:start w:val="1"/>
      <w:numFmt w:val="lowerLetter"/>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3" w15:restartNumberingAfterBreak="0">
    <w:nsid w:val="0EFC7C4B"/>
    <w:multiLevelType w:val="hybridMultilevel"/>
    <w:tmpl w:val="509024B4"/>
    <w:lvl w:ilvl="0" w:tplc="82D22D66">
      <w:start w:val="3"/>
      <w:numFmt w:val="lowerLetter"/>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4" w15:restartNumberingAfterBreak="0">
    <w:nsid w:val="0F3A62F9"/>
    <w:multiLevelType w:val="hybridMultilevel"/>
    <w:tmpl w:val="772E7BC0"/>
    <w:lvl w:ilvl="0" w:tplc="6BAC33F8">
      <w:start w:val="2"/>
      <w:numFmt w:val="decimal"/>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5" w15:restartNumberingAfterBreak="0">
    <w:nsid w:val="0F4463E1"/>
    <w:multiLevelType w:val="hybridMultilevel"/>
    <w:tmpl w:val="FD22C794"/>
    <w:lvl w:ilvl="0" w:tplc="6B48428A">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6" w15:restartNumberingAfterBreak="0">
    <w:nsid w:val="0FE1700B"/>
    <w:multiLevelType w:val="hybridMultilevel"/>
    <w:tmpl w:val="56D0DACC"/>
    <w:lvl w:ilvl="0" w:tplc="562662B4">
      <w:start w:val="2"/>
      <w:numFmt w:val="decimal"/>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7" w15:restartNumberingAfterBreak="0">
    <w:nsid w:val="1006619F"/>
    <w:multiLevelType w:val="hybridMultilevel"/>
    <w:tmpl w:val="B0B21C3E"/>
    <w:lvl w:ilvl="0" w:tplc="E2F6AB9C">
      <w:start w:val="7"/>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8" w15:restartNumberingAfterBreak="0">
    <w:nsid w:val="100B1964"/>
    <w:multiLevelType w:val="hybridMultilevel"/>
    <w:tmpl w:val="B2969D08"/>
    <w:lvl w:ilvl="0" w:tplc="70E4340C">
      <w:start w:val="3"/>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9" w15:restartNumberingAfterBreak="0">
    <w:nsid w:val="10D0260F"/>
    <w:multiLevelType w:val="hybridMultilevel"/>
    <w:tmpl w:val="12C43D44"/>
    <w:lvl w:ilvl="0" w:tplc="8CC4D7B6">
      <w:start w:val="1"/>
      <w:numFmt w:val="decimal"/>
      <w:lvlText w:val="3.%1)"/>
      <w:lvlJc w:val="left"/>
      <w:pPr>
        <w:ind w:left="704"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0" w15:restartNumberingAfterBreak="0">
    <w:nsid w:val="11EC3E8B"/>
    <w:multiLevelType w:val="hybridMultilevel"/>
    <w:tmpl w:val="E250B650"/>
    <w:lvl w:ilvl="0" w:tplc="2C18F470">
      <w:start w:val="1"/>
      <w:numFmt w:val="lowerLetter"/>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81" w15:restartNumberingAfterBreak="0">
    <w:nsid w:val="124641B3"/>
    <w:multiLevelType w:val="hybridMultilevel"/>
    <w:tmpl w:val="4964EBA4"/>
    <w:lvl w:ilvl="0" w:tplc="3F70180E">
      <w:start w:val="2"/>
      <w:numFmt w:val="lowerLetter"/>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2" w15:restartNumberingAfterBreak="0">
    <w:nsid w:val="124A664A"/>
    <w:multiLevelType w:val="hybridMultilevel"/>
    <w:tmpl w:val="EF10F6A2"/>
    <w:lvl w:ilvl="0" w:tplc="F13E683C">
      <w:start w:val="2"/>
      <w:numFmt w:val="lowerLetter"/>
      <w:lvlText w:val="%1)"/>
      <w:lvlJc w:val="left"/>
      <w:pPr>
        <w:ind w:left="1260" w:hanging="420"/>
      </w:pPr>
      <w:rPr>
        <w:rFonts w:ascii="ＭＳ ゴシック" w:eastAsia="ＭＳ ゴシック" w:hAnsiTheme="minorHAnsi" w:hint="eastAsia"/>
        <w:b/>
        <w:i w:val="0"/>
        <w:caps w:val="0"/>
        <w:strike w:val="0"/>
        <w:dstrike w:val="0"/>
        <w:vanish w:val="0"/>
        <w:color w:val="000000"/>
        <w:sz w:val="21"/>
        <w:vertAlign w:val="base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3" w15:restartNumberingAfterBreak="0">
    <w:nsid w:val="124E7B67"/>
    <w:multiLevelType w:val="hybridMultilevel"/>
    <w:tmpl w:val="C6F09E9A"/>
    <w:lvl w:ilvl="0" w:tplc="233E6166">
      <w:start w:val="1"/>
      <w:numFmt w:val="decimal"/>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4" w15:restartNumberingAfterBreak="0">
    <w:nsid w:val="125905A5"/>
    <w:multiLevelType w:val="hybridMultilevel"/>
    <w:tmpl w:val="8B244A50"/>
    <w:lvl w:ilvl="0" w:tplc="E8F4712C">
      <w:start w:val="5"/>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5" w15:restartNumberingAfterBreak="0">
    <w:nsid w:val="12673ADD"/>
    <w:multiLevelType w:val="hybridMultilevel"/>
    <w:tmpl w:val="F7B8D9FE"/>
    <w:lvl w:ilvl="0" w:tplc="42647328">
      <w:start w:val="3"/>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6" w15:restartNumberingAfterBreak="0">
    <w:nsid w:val="12A212E7"/>
    <w:multiLevelType w:val="hybridMultilevel"/>
    <w:tmpl w:val="B14AEA8E"/>
    <w:lvl w:ilvl="0" w:tplc="059C82B0">
      <w:start w:val="3"/>
      <w:numFmt w:val="decimal"/>
      <w:lvlText w:val="%1)"/>
      <w:lvlJc w:val="left"/>
      <w:pPr>
        <w:ind w:left="1260" w:hanging="420"/>
      </w:pPr>
      <w:rPr>
        <w:rFonts w:ascii="ＭＳ ゴシック" w:eastAsia="ＭＳ ゴシック" w:hint="eastAsia"/>
        <w:b/>
        <w:i w:val="0"/>
        <w:color w:val="000000" w:themeColor="text1"/>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7" w15:restartNumberingAfterBreak="0">
    <w:nsid w:val="12EC1203"/>
    <w:multiLevelType w:val="hybridMultilevel"/>
    <w:tmpl w:val="B26EC5E6"/>
    <w:lvl w:ilvl="0" w:tplc="DD8E1ED4">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88" w15:restartNumberingAfterBreak="0">
    <w:nsid w:val="130D169E"/>
    <w:multiLevelType w:val="hybridMultilevel"/>
    <w:tmpl w:val="BED0EB58"/>
    <w:lvl w:ilvl="0" w:tplc="BFF21E84">
      <w:start w:val="5"/>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9" w15:restartNumberingAfterBreak="0">
    <w:nsid w:val="132E09EC"/>
    <w:multiLevelType w:val="hybridMultilevel"/>
    <w:tmpl w:val="7D5211C0"/>
    <w:lvl w:ilvl="0" w:tplc="0798D568">
      <w:start w:val="1"/>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0" w15:restartNumberingAfterBreak="0">
    <w:nsid w:val="134748DD"/>
    <w:multiLevelType w:val="hybridMultilevel"/>
    <w:tmpl w:val="F094E30A"/>
    <w:lvl w:ilvl="0" w:tplc="9C061CCC">
      <w:start w:val="1"/>
      <w:numFmt w:val="decimal"/>
      <w:lvlText w:val="%1)"/>
      <w:lvlJc w:val="left"/>
      <w:pPr>
        <w:ind w:left="704"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1" w15:restartNumberingAfterBreak="0">
    <w:nsid w:val="13585A5D"/>
    <w:multiLevelType w:val="hybridMultilevel"/>
    <w:tmpl w:val="D68C70E8"/>
    <w:lvl w:ilvl="0" w:tplc="6AE0A0AA">
      <w:start w:val="1"/>
      <w:numFmt w:val="decimal"/>
      <w:lvlText w:val="%1)"/>
      <w:lvlJc w:val="left"/>
      <w:pPr>
        <w:ind w:left="1260" w:hanging="420"/>
      </w:pPr>
      <w:rPr>
        <w:rFonts w:ascii="ＭＳ ゴシック" w:eastAsia="ＭＳ ゴシック" w:hint="eastAsia"/>
        <w:b/>
        <w:i w:val="0"/>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2" w15:restartNumberingAfterBreak="0">
    <w:nsid w:val="13BD7E5F"/>
    <w:multiLevelType w:val="hybridMultilevel"/>
    <w:tmpl w:val="A4BA261E"/>
    <w:lvl w:ilvl="0" w:tplc="2AE2A1D2">
      <w:start w:val="1"/>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3" w15:restartNumberingAfterBreak="0">
    <w:nsid w:val="14512885"/>
    <w:multiLevelType w:val="hybridMultilevel"/>
    <w:tmpl w:val="76B6BA84"/>
    <w:lvl w:ilvl="0" w:tplc="4A144742">
      <w:start w:val="1"/>
      <w:numFmt w:val="lowerLetter"/>
      <w:lvlText w:val="%1)"/>
      <w:lvlJc w:val="left"/>
      <w:pPr>
        <w:ind w:left="1260" w:hanging="420"/>
      </w:pPr>
      <w:rPr>
        <w:rFonts w:ascii="ＭＳ ゴシック" w:eastAsia="ＭＳ ゴシック" w:hAnsiTheme="minorHAnsi" w:hint="eastAsia"/>
        <w:b/>
        <w:i w:val="0"/>
        <w:caps w:val="0"/>
        <w:strike w:val="0"/>
        <w:dstrike w:val="0"/>
        <w:vanish w:val="0"/>
        <w:color w:val="000000"/>
        <w:sz w:val="21"/>
        <w:vertAlign w:val="base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4" w15:restartNumberingAfterBreak="0">
    <w:nsid w:val="1452483B"/>
    <w:multiLevelType w:val="hybridMultilevel"/>
    <w:tmpl w:val="97704A80"/>
    <w:lvl w:ilvl="0" w:tplc="746E0258">
      <w:start w:val="2"/>
      <w:numFmt w:val="decimal"/>
      <w:lvlText w:val="2.3.%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5" w15:restartNumberingAfterBreak="0">
    <w:nsid w:val="14AB1FBC"/>
    <w:multiLevelType w:val="hybridMultilevel"/>
    <w:tmpl w:val="6E066ED4"/>
    <w:lvl w:ilvl="0" w:tplc="697E699E">
      <w:start w:val="2"/>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6" w15:restartNumberingAfterBreak="0">
    <w:nsid w:val="14BA503F"/>
    <w:multiLevelType w:val="hybridMultilevel"/>
    <w:tmpl w:val="751A0974"/>
    <w:lvl w:ilvl="0" w:tplc="EAA66446">
      <w:start w:val="1"/>
      <w:numFmt w:val="lowerLetter"/>
      <w:lvlText w:val="%1)"/>
      <w:lvlJc w:val="left"/>
      <w:pPr>
        <w:ind w:left="1260" w:hanging="420"/>
      </w:pPr>
      <w:rPr>
        <w:rFonts w:ascii="ＭＳ ゴシック" w:eastAsia="ＭＳ ゴシック" w:hAnsiTheme="minorHAnsi" w:hint="eastAsia"/>
        <w:b/>
        <w:i w:val="0"/>
        <w:caps w:val="0"/>
        <w:strike w:val="0"/>
        <w:dstrike w:val="0"/>
        <w:vanish w:val="0"/>
        <w:color w:val="000000"/>
        <w:sz w:val="21"/>
        <w:vertAlign w:val="base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7" w15:restartNumberingAfterBreak="0">
    <w:nsid w:val="14DD2067"/>
    <w:multiLevelType w:val="hybridMultilevel"/>
    <w:tmpl w:val="887A2ECC"/>
    <w:lvl w:ilvl="0" w:tplc="E716F3C4">
      <w:start w:val="2"/>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8" w15:restartNumberingAfterBreak="0">
    <w:nsid w:val="152B47EC"/>
    <w:multiLevelType w:val="hybridMultilevel"/>
    <w:tmpl w:val="141E09E8"/>
    <w:lvl w:ilvl="0" w:tplc="5D9ED326">
      <w:start w:val="3"/>
      <w:numFmt w:val="lowerLetter"/>
      <w:lvlText w:val="%1)"/>
      <w:lvlJc w:val="left"/>
      <w:pPr>
        <w:ind w:left="420" w:hanging="420"/>
      </w:pPr>
      <w:rPr>
        <w:rFonts w:ascii="ＭＳ ゴシック" w:eastAsia="ＭＳ ゴシック" w:hint="eastAsia"/>
        <w:b/>
        <w:i w:val="0"/>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9" w15:restartNumberingAfterBreak="0">
    <w:nsid w:val="155500A9"/>
    <w:multiLevelType w:val="hybridMultilevel"/>
    <w:tmpl w:val="E4B0BBF0"/>
    <w:lvl w:ilvl="0" w:tplc="2AE2A1D2">
      <w:start w:val="1"/>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0" w15:restartNumberingAfterBreak="0">
    <w:nsid w:val="15575CD0"/>
    <w:multiLevelType w:val="hybridMultilevel"/>
    <w:tmpl w:val="912852AA"/>
    <w:lvl w:ilvl="0" w:tplc="A230A2BC">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01" w15:restartNumberingAfterBreak="0">
    <w:nsid w:val="156216E3"/>
    <w:multiLevelType w:val="hybridMultilevel"/>
    <w:tmpl w:val="89C25C42"/>
    <w:lvl w:ilvl="0" w:tplc="2ECA7014">
      <w:start w:val="14"/>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2" w15:restartNumberingAfterBreak="0">
    <w:nsid w:val="15691643"/>
    <w:multiLevelType w:val="hybridMultilevel"/>
    <w:tmpl w:val="3EFCCF60"/>
    <w:lvl w:ilvl="0" w:tplc="D7B6E1C8">
      <w:start w:val="1"/>
      <w:numFmt w:val="decimal"/>
      <w:lvlText w:val="4.%1)"/>
      <w:lvlJc w:val="left"/>
      <w:pPr>
        <w:ind w:left="1260" w:hanging="420"/>
      </w:pPr>
      <w:rPr>
        <w:rFonts w:asciiTheme="majorEastAsia" w:eastAsia="ＭＳ 明朝" w:hAnsiTheme="majorEastAsia" w:hint="eastAsia"/>
        <w:b/>
        <w:i w:val="0"/>
        <w:sz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03" w15:restartNumberingAfterBreak="0">
    <w:nsid w:val="158676B0"/>
    <w:multiLevelType w:val="hybridMultilevel"/>
    <w:tmpl w:val="3634B376"/>
    <w:lvl w:ilvl="0" w:tplc="A0DE0D94">
      <w:start w:val="1"/>
      <w:numFmt w:val="decimal"/>
      <w:lvlText w:val="1.%1)"/>
      <w:lvlJc w:val="left"/>
      <w:pPr>
        <w:ind w:left="1260" w:hanging="420"/>
      </w:pPr>
      <w:rPr>
        <w:rFonts w:asciiTheme="majorEastAsia" w:eastAsia="ＭＳ 明朝" w:hAnsiTheme="majorEastAsia"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4" w15:restartNumberingAfterBreak="0">
    <w:nsid w:val="1599432B"/>
    <w:multiLevelType w:val="hybridMultilevel"/>
    <w:tmpl w:val="35346CF6"/>
    <w:lvl w:ilvl="0" w:tplc="A8DA5640">
      <w:start w:val="1"/>
      <w:numFmt w:val="decimal"/>
      <w:lvlText w:val="%1)"/>
      <w:lvlJc w:val="left"/>
      <w:pPr>
        <w:ind w:left="420" w:hanging="420"/>
      </w:pPr>
      <w:rPr>
        <w:rFonts w:ascii="ＭＳ ゴシック" w:hAnsi="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5" w15:restartNumberingAfterBreak="0">
    <w:nsid w:val="15DA7E09"/>
    <w:multiLevelType w:val="hybridMultilevel"/>
    <w:tmpl w:val="CBAE643A"/>
    <w:lvl w:ilvl="0" w:tplc="66BA5A86">
      <w:start w:val="4"/>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6" w15:restartNumberingAfterBreak="0">
    <w:nsid w:val="161B310A"/>
    <w:multiLevelType w:val="hybridMultilevel"/>
    <w:tmpl w:val="177E8322"/>
    <w:lvl w:ilvl="0" w:tplc="1C4AB856">
      <w:start w:val="3"/>
      <w:numFmt w:val="decimal"/>
      <w:lvlText w:val="2.%1)"/>
      <w:lvlJc w:val="left"/>
      <w:pPr>
        <w:ind w:left="1353"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7" w15:restartNumberingAfterBreak="0">
    <w:nsid w:val="16253770"/>
    <w:multiLevelType w:val="hybridMultilevel"/>
    <w:tmpl w:val="F8C08CD6"/>
    <w:lvl w:ilvl="0" w:tplc="BBFEABF4">
      <w:start w:val="2"/>
      <w:numFmt w:val="decimal"/>
      <w:lvlText w:val="%1)"/>
      <w:lvlJc w:val="left"/>
      <w:pPr>
        <w:ind w:left="1260" w:hanging="420"/>
      </w:pPr>
      <w:rPr>
        <w:rFonts w:ascii="ＭＳ ゴシック" w:eastAsia="ＭＳ ゴシック" w:hint="eastAsia"/>
        <w:b/>
        <w:i w:val="0"/>
        <w:color w:val="000000" w:themeColor="text1"/>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8" w15:restartNumberingAfterBreak="0">
    <w:nsid w:val="16311ADB"/>
    <w:multiLevelType w:val="hybridMultilevel"/>
    <w:tmpl w:val="0C1CE798"/>
    <w:lvl w:ilvl="0" w:tplc="780E2430">
      <w:start w:val="1"/>
      <w:numFmt w:val="decimal"/>
      <w:lvlText w:val="%1)"/>
      <w:lvlJc w:val="left"/>
      <w:pPr>
        <w:ind w:left="1260" w:hanging="420"/>
      </w:pPr>
      <w:rPr>
        <w:rFonts w:asciiTheme="majorEastAsia" w:eastAsiaTheme="majorEastAsia" w:hAnsiTheme="majorEastAsia" w:hint="default"/>
        <w:b/>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09" w15:restartNumberingAfterBreak="0">
    <w:nsid w:val="16655743"/>
    <w:multiLevelType w:val="hybridMultilevel"/>
    <w:tmpl w:val="EA8CA3D8"/>
    <w:lvl w:ilvl="0" w:tplc="14A8BDA0">
      <w:start w:val="1"/>
      <w:numFmt w:val="decimal"/>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0" w15:restartNumberingAfterBreak="0">
    <w:nsid w:val="16712C1A"/>
    <w:multiLevelType w:val="hybridMultilevel"/>
    <w:tmpl w:val="325C7072"/>
    <w:lvl w:ilvl="0" w:tplc="670A672A">
      <w:start w:val="1"/>
      <w:numFmt w:val="lowerLetter"/>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1" w15:restartNumberingAfterBreak="0">
    <w:nsid w:val="167549B2"/>
    <w:multiLevelType w:val="hybridMultilevel"/>
    <w:tmpl w:val="4F5A93EC"/>
    <w:lvl w:ilvl="0" w:tplc="3C2CEAD4">
      <w:start w:val="1"/>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2" w15:restartNumberingAfterBreak="0">
    <w:nsid w:val="16C706A9"/>
    <w:multiLevelType w:val="hybridMultilevel"/>
    <w:tmpl w:val="3D2AC79E"/>
    <w:lvl w:ilvl="0" w:tplc="53A2D42C">
      <w:start w:val="3"/>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3" w15:restartNumberingAfterBreak="0">
    <w:nsid w:val="16D21B6F"/>
    <w:multiLevelType w:val="hybridMultilevel"/>
    <w:tmpl w:val="A9721BAA"/>
    <w:lvl w:ilvl="0" w:tplc="DD8E1ED4">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14" w15:restartNumberingAfterBreak="0">
    <w:nsid w:val="16DD543F"/>
    <w:multiLevelType w:val="hybridMultilevel"/>
    <w:tmpl w:val="1242D864"/>
    <w:lvl w:ilvl="0" w:tplc="DD8E1ED4">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15" w15:restartNumberingAfterBreak="0">
    <w:nsid w:val="17107D9B"/>
    <w:multiLevelType w:val="hybridMultilevel"/>
    <w:tmpl w:val="0964B9A8"/>
    <w:lvl w:ilvl="0" w:tplc="01346110">
      <w:start w:val="2"/>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6" w15:restartNumberingAfterBreak="0">
    <w:nsid w:val="172352C6"/>
    <w:multiLevelType w:val="hybridMultilevel"/>
    <w:tmpl w:val="54CA5F40"/>
    <w:lvl w:ilvl="0" w:tplc="36B425DE">
      <w:start w:val="1"/>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7" w15:restartNumberingAfterBreak="0">
    <w:nsid w:val="173D3222"/>
    <w:multiLevelType w:val="hybridMultilevel"/>
    <w:tmpl w:val="E4F2D7AC"/>
    <w:lvl w:ilvl="0" w:tplc="2DB4AA48">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8" w15:restartNumberingAfterBreak="0">
    <w:nsid w:val="17530AE3"/>
    <w:multiLevelType w:val="hybridMultilevel"/>
    <w:tmpl w:val="98DE1672"/>
    <w:lvl w:ilvl="0" w:tplc="2DA0A00A">
      <w:start w:val="1"/>
      <w:numFmt w:val="lowerLetter"/>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9" w15:restartNumberingAfterBreak="0">
    <w:nsid w:val="17695AC6"/>
    <w:multiLevelType w:val="hybridMultilevel"/>
    <w:tmpl w:val="71E6F1EC"/>
    <w:lvl w:ilvl="0" w:tplc="0046D3D6">
      <w:start w:val="3"/>
      <w:numFmt w:val="lowerLetter"/>
      <w:lvlText w:val="%1)"/>
      <w:lvlJc w:val="left"/>
      <w:pPr>
        <w:ind w:left="1260" w:hanging="420"/>
      </w:pPr>
      <w:rPr>
        <w:rFonts w:ascii="ＭＳ ゴシック" w:eastAsia="ＭＳ ゴシック" w:hAnsiTheme="minorHAnsi" w:hint="eastAsia"/>
        <w:b/>
        <w:i w:val="0"/>
        <w:caps w:val="0"/>
        <w:strike w:val="0"/>
        <w:dstrike w:val="0"/>
        <w:vanish w:val="0"/>
        <w:color w:val="000000"/>
        <w:sz w:val="21"/>
        <w:vertAlign w:val="base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0" w15:restartNumberingAfterBreak="0">
    <w:nsid w:val="17A542B5"/>
    <w:multiLevelType w:val="hybridMultilevel"/>
    <w:tmpl w:val="24263F30"/>
    <w:lvl w:ilvl="0" w:tplc="D96A77B0">
      <w:start w:val="1"/>
      <w:numFmt w:val="decimal"/>
      <w:lvlText w:val="2.%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1" w15:restartNumberingAfterBreak="0">
    <w:nsid w:val="17C468E9"/>
    <w:multiLevelType w:val="hybridMultilevel"/>
    <w:tmpl w:val="09B6EB3A"/>
    <w:lvl w:ilvl="0" w:tplc="D5EECE2E">
      <w:start w:val="1"/>
      <w:numFmt w:val="lowerLetter"/>
      <w:lvlText w:val="%1)"/>
      <w:lvlJc w:val="left"/>
      <w:pPr>
        <w:ind w:left="420" w:hanging="420"/>
      </w:pPr>
      <w:rPr>
        <w:rFonts w:ascii="ＭＳ ゴシック" w:eastAsia="ＭＳ ゴシック" w:hAnsiTheme="minorHAnsi" w:hint="eastAsia"/>
        <w:b/>
        <w:i w:val="0"/>
        <w:caps w:val="0"/>
        <w:strike w:val="0"/>
        <w:dstrike w:val="0"/>
        <w:vanish w:val="0"/>
        <w:color w:val="000000"/>
        <w:sz w:val="21"/>
        <w:vertAlign w:val="base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2" w15:restartNumberingAfterBreak="0">
    <w:nsid w:val="1804787C"/>
    <w:multiLevelType w:val="hybridMultilevel"/>
    <w:tmpl w:val="E1E492B8"/>
    <w:lvl w:ilvl="0" w:tplc="2AE2A1D2">
      <w:start w:val="1"/>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3" w15:restartNumberingAfterBreak="0">
    <w:nsid w:val="181C149B"/>
    <w:multiLevelType w:val="hybridMultilevel"/>
    <w:tmpl w:val="8BBE7272"/>
    <w:lvl w:ilvl="0" w:tplc="296ED3C2">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4" w15:restartNumberingAfterBreak="0">
    <w:nsid w:val="1848446D"/>
    <w:multiLevelType w:val="hybridMultilevel"/>
    <w:tmpl w:val="99CCD4CC"/>
    <w:lvl w:ilvl="0" w:tplc="B97C5728">
      <w:start w:val="1"/>
      <w:numFmt w:val="decimal"/>
      <w:lvlText w:val="2.%1)"/>
      <w:lvlJc w:val="left"/>
      <w:pPr>
        <w:ind w:left="1260" w:hanging="420"/>
      </w:pPr>
      <w:rPr>
        <w:rFonts w:asciiTheme="majorEastAsia" w:eastAsia="ＭＳ 明朝" w:hAnsiTheme="majorEastAsia"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5" w15:restartNumberingAfterBreak="0">
    <w:nsid w:val="186B7DEF"/>
    <w:multiLevelType w:val="hybridMultilevel"/>
    <w:tmpl w:val="FB3E38D2"/>
    <w:lvl w:ilvl="0" w:tplc="BF5CC7BC">
      <w:start w:val="1"/>
      <w:numFmt w:val="lowerLetter"/>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6" w15:restartNumberingAfterBreak="0">
    <w:nsid w:val="18B04118"/>
    <w:multiLevelType w:val="hybridMultilevel"/>
    <w:tmpl w:val="7BA61C06"/>
    <w:lvl w:ilvl="0" w:tplc="F0046572">
      <w:start w:val="1"/>
      <w:numFmt w:val="decimal"/>
      <w:lvlText w:val="4.%1)"/>
      <w:lvlJc w:val="left"/>
      <w:pPr>
        <w:ind w:left="1260" w:hanging="420"/>
      </w:pPr>
      <w:rPr>
        <w:rFonts w:asciiTheme="majorEastAsia" w:eastAsia="ＭＳ 明朝" w:hAnsiTheme="majorEastAsia"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7" w15:restartNumberingAfterBreak="0">
    <w:nsid w:val="18BA4372"/>
    <w:multiLevelType w:val="hybridMultilevel"/>
    <w:tmpl w:val="7E38A360"/>
    <w:lvl w:ilvl="0" w:tplc="38F478F0">
      <w:start w:val="1"/>
      <w:numFmt w:val="lowerLetter"/>
      <w:lvlText w:val="%1)"/>
      <w:lvlJc w:val="left"/>
      <w:pPr>
        <w:ind w:left="1260" w:hanging="420"/>
      </w:pPr>
      <w:rPr>
        <w:rFonts w:ascii="ＭＳ ゴシック" w:eastAsia="ＭＳ ゴシック" w:hAnsiTheme="minorHAnsi" w:hint="eastAsia"/>
        <w:b/>
        <w:i w:val="0"/>
        <w:caps w:val="0"/>
        <w:strike w:val="0"/>
        <w:dstrike w:val="0"/>
        <w:vanish w:val="0"/>
        <w:color w:val="000000"/>
        <w:sz w:val="21"/>
        <w:vertAlign w:val="base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8" w15:restartNumberingAfterBreak="0">
    <w:nsid w:val="18C74BA3"/>
    <w:multiLevelType w:val="hybridMultilevel"/>
    <w:tmpl w:val="02CEEBF4"/>
    <w:lvl w:ilvl="0" w:tplc="03C290FE">
      <w:start w:val="1"/>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9" w15:restartNumberingAfterBreak="0">
    <w:nsid w:val="18DF523A"/>
    <w:multiLevelType w:val="hybridMultilevel"/>
    <w:tmpl w:val="8CD67862"/>
    <w:lvl w:ilvl="0" w:tplc="8A7EA2C6">
      <w:start w:val="11"/>
      <w:numFmt w:val="decimal"/>
      <w:lvlText w:val="%1)"/>
      <w:lvlJc w:val="left"/>
      <w:pPr>
        <w:ind w:left="420" w:hanging="420"/>
      </w:pPr>
      <w:rPr>
        <w:rFonts w:ascii="ＭＳ ゴシック" w:eastAsia="ＭＳ ゴシック" w:hint="eastAsia"/>
        <w:b/>
        <w:i w:val="0"/>
        <w:sz w:val="21"/>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0" w15:restartNumberingAfterBreak="0">
    <w:nsid w:val="19087949"/>
    <w:multiLevelType w:val="hybridMultilevel"/>
    <w:tmpl w:val="76727F72"/>
    <w:lvl w:ilvl="0" w:tplc="8940FED8">
      <w:start w:val="1"/>
      <w:numFmt w:val="decimal"/>
      <w:lvlText w:val="4.%1)"/>
      <w:lvlJc w:val="left"/>
      <w:pPr>
        <w:ind w:left="617" w:hanging="420"/>
      </w:pPr>
      <w:rPr>
        <w:rFonts w:ascii="ＭＳ ゴシック" w:eastAsia="ＭＳ ゴシック" w:hint="eastAsia"/>
        <w:b/>
        <w:i w:val="0"/>
        <w:sz w:val="21"/>
      </w:rPr>
    </w:lvl>
    <w:lvl w:ilvl="1" w:tplc="04090017" w:tentative="1">
      <w:start w:val="1"/>
      <w:numFmt w:val="aiueoFullWidth"/>
      <w:lvlText w:val="(%2)"/>
      <w:lvlJc w:val="left"/>
      <w:pPr>
        <w:ind w:left="1037" w:hanging="420"/>
      </w:pPr>
    </w:lvl>
    <w:lvl w:ilvl="2" w:tplc="04090011" w:tentative="1">
      <w:start w:val="1"/>
      <w:numFmt w:val="decimalEnclosedCircle"/>
      <w:lvlText w:val="%3"/>
      <w:lvlJc w:val="left"/>
      <w:pPr>
        <w:ind w:left="1457" w:hanging="420"/>
      </w:pPr>
    </w:lvl>
    <w:lvl w:ilvl="3" w:tplc="0409000F" w:tentative="1">
      <w:start w:val="1"/>
      <w:numFmt w:val="decimal"/>
      <w:lvlText w:val="%4."/>
      <w:lvlJc w:val="left"/>
      <w:pPr>
        <w:ind w:left="1877" w:hanging="420"/>
      </w:pPr>
    </w:lvl>
    <w:lvl w:ilvl="4" w:tplc="04090017" w:tentative="1">
      <w:start w:val="1"/>
      <w:numFmt w:val="aiueoFullWidth"/>
      <w:lvlText w:val="(%5)"/>
      <w:lvlJc w:val="left"/>
      <w:pPr>
        <w:ind w:left="2297" w:hanging="420"/>
      </w:pPr>
    </w:lvl>
    <w:lvl w:ilvl="5" w:tplc="04090011" w:tentative="1">
      <w:start w:val="1"/>
      <w:numFmt w:val="decimalEnclosedCircle"/>
      <w:lvlText w:val="%6"/>
      <w:lvlJc w:val="left"/>
      <w:pPr>
        <w:ind w:left="2717" w:hanging="420"/>
      </w:pPr>
    </w:lvl>
    <w:lvl w:ilvl="6" w:tplc="0409000F" w:tentative="1">
      <w:start w:val="1"/>
      <w:numFmt w:val="decimal"/>
      <w:lvlText w:val="%7."/>
      <w:lvlJc w:val="left"/>
      <w:pPr>
        <w:ind w:left="3137" w:hanging="420"/>
      </w:pPr>
    </w:lvl>
    <w:lvl w:ilvl="7" w:tplc="04090017" w:tentative="1">
      <w:start w:val="1"/>
      <w:numFmt w:val="aiueoFullWidth"/>
      <w:lvlText w:val="(%8)"/>
      <w:lvlJc w:val="left"/>
      <w:pPr>
        <w:ind w:left="3557" w:hanging="420"/>
      </w:pPr>
    </w:lvl>
    <w:lvl w:ilvl="8" w:tplc="04090011" w:tentative="1">
      <w:start w:val="1"/>
      <w:numFmt w:val="decimalEnclosedCircle"/>
      <w:lvlText w:val="%9"/>
      <w:lvlJc w:val="left"/>
      <w:pPr>
        <w:ind w:left="3977" w:hanging="420"/>
      </w:pPr>
    </w:lvl>
  </w:abstractNum>
  <w:abstractNum w:abstractNumId="131" w15:restartNumberingAfterBreak="0">
    <w:nsid w:val="19766FB9"/>
    <w:multiLevelType w:val="hybridMultilevel"/>
    <w:tmpl w:val="A6943072"/>
    <w:lvl w:ilvl="0" w:tplc="90186A7A">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2" w15:restartNumberingAfterBreak="0">
    <w:nsid w:val="19C42870"/>
    <w:multiLevelType w:val="hybridMultilevel"/>
    <w:tmpl w:val="55C26C06"/>
    <w:lvl w:ilvl="0" w:tplc="06D8DC26">
      <w:start w:val="5"/>
      <w:numFmt w:val="decimal"/>
      <w:lvlText w:val="1.%1)"/>
      <w:lvlJc w:val="left"/>
      <w:pPr>
        <w:ind w:left="531" w:hanging="420"/>
      </w:pPr>
      <w:rPr>
        <w:rFonts w:ascii="ＭＳ ゴシック" w:eastAsia="ＭＳ ゴシック" w:hint="eastAsia"/>
        <w:b/>
        <w:i w:val="0"/>
        <w:sz w:val="21"/>
      </w:rPr>
    </w:lvl>
    <w:lvl w:ilvl="1" w:tplc="04090017" w:tentative="1">
      <w:start w:val="1"/>
      <w:numFmt w:val="aiueoFullWidth"/>
      <w:lvlText w:val="(%2)"/>
      <w:lvlJc w:val="left"/>
      <w:pPr>
        <w:ind w:left="951" w:hanging="420"/>
      </w:pPr>
    </w:lvl>
    <w:lvl w:ilvl="2" w:tplc="04090011" w:tentative="1">
      <w:start w:val="1"/>
      <w:numFmt w:val="decimalEnclosedCircle"/>
      <w:lvlText w:val="%3"/>
      <w:lvlJc w:val="left"/>
      <w:pPr>
        <w:ind w:left="1371" w:hanging="420"/>
      </w:pPr>
    </w:lvl>
    <w:lvl w:ilvl="3" w:tplc="0409000F" w:tentative="1">
      <w:start w:val="1"/>
      <w:numFmt w:val="decimal"/>
      <w:lvlText w:val="%4."/>
      <w:lvlJc w:val="left"/>
      <w:pPr>
        <w:ind w:left="1791" w:hanging="420"/>
      </w:pPr>
    </w:lvl>
    <w:lvl w:ilvl="4" w:tplc="04090017" w:tentative="1">
      <w:start w:val="1"/>
      <w:numFmt w:val="aiueoFullWidth"/>
      <w:lvlText w:val="(%5)"/>
      <w:lvlJc w:val="left"/>
      <w:pPr>
        <w:ind w:left="2211" w:hanging="420"/>
      </w:pPr>
    </w:lvl>
    <w:lvl w:ilvl="5" w:tplc="04090011" w:tentative="1">
      <w:start w:val="1"/>
      <w:numFmt w:val="decimalEnclosedCircle"/>
      <w:lvlText w:val="%6"/>
      <w:lvlJc w:val="left"/>
      <w:pPr>
        <w:ind w:left="2631" w:hanging="420"/>
      </w:pPr>
    </w:lvl>
    <w:lvl w:ilvl="6" w:tplc="0409000F" w:tentative="1">
      <w:start w:val="1"/>
      <w:numFmt w:val="decimal"/>
      <w:lvlText w:val="%7."/>
      <w:lvlJc w:val="left"/>
      <w:pPr>
        <w:ind w:left="3051" w:hanging="420"/>
      </w:pPr>
    </w:lvl>
    <w:lvl w:ilvl="7" w:tplc="04090017" w:tentative="1">
      <w:start w:val="1"/>
      <w:numFmt w:val="aiueoFullWidth"/>
      <w:lvlText w:val="(%8)"/>
      <w:lvlJc w:val="left"/>
      <w:pPr>
        <w:ind w:left="3471" w:hanging="420"/>
      </w:pPr>
    </w:lvl>
    <w:lvl w:ilvl="8" w:tplc="04090011" w:tentative="1">
      <w:start w:val="1"/>
      <w:numFmt w:val="decimalEnclosedCircle"/>
      <w:lvlText w:val="%9"/>
      <w:lvlJc w:val="left"/>
      <w:pPr>
        <w:ind w:left="3891" w:hanging="420"/>
      </w:pPr>
    </w:lvl>
  </w:abstractNum>
  <w:abstractNum w:abstractNumId="133" w15:restartNumberingAfterBreak="0">
    <w:nsid w:val="19D003FB"/>
    <w:multiLevelType w:val="hybridMultilevel"/>
    <w:tmpl w:val="E0689AA6"/>
    <w:lvl w:ilvl="0" w:tplc="2AFA3E4C">
      <w:start w:val="7"/>
      <w:numFmt w:val="decimal"/>
      <w:lvlText w:val="%1)"/>
      <w:lvlJc w:val="left"/>
      <w:pPr>
        <w:ind w:left="420" w:hanging="420"/>
      </w:pPr>
      <w:rPr>
        <w:rFonts w:ascii="ＭＳ ゴシック" w:eastAsia="ＭＳ ゴシック" w:hint="eastAsia"/>
        <w:b/>
        <w:i w:val="0"/>
        <w:sz w:val="21"/>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4" w15:restartNumberingAfterBreak="0">
    <w:nsid w:val="19DC4462"/>
    <w:multiLevelType w:val="hybridMultilevel"/>
    <w:tmpl w:val="2CA0534E"/>
    <w:lvl w:ilvl="0" w:tplc="D77682C4">
      <w:start w:val="2"/>
      <w:numFmt w:val="decimal"/>
      <w:lvlText w:val="%1)"/>
      <w:lvlJc w:val="left"/>
      <w:pPr>
        <w:ind w:left="704"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5" w15:restartNumberingAfterBreak="0">
    <w:nsid w:val="19DE1C19"/>
    <w:multiLevelType w:val="hybridMultilevel"/>
    <w:tmpl w:val="5B0C6538"/>
    <w:lvl w:ilvl="0" w:tplc="6D944B26">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36" w15:restartNumberingAfterBreak="0">
    <w:nsid w:val="19F329FF"/>
    <w:multiLevelType w:val="hybridMultilevel"/>
    <w:tmpl w:val="8780CFB8"/>
    <w:lvl w:ilvl="0" w:tplc="44B680E0">
      <w:start w:val="1"/>
      <w:numFmt w:val="lowerLetter"/>
      <w:lvlText w:val="%1)"/>
      <w:lvlJc w:val="left"/>
      <w:pPr>
        <w:ind w:left="420" w:hanging="420"/>
      </w:pPr>
      <w:rPr>
        <w:rFonts w:ascii="ＭＳ ゴシック" w:eastAsia="ＭＳ ゴシック" w:hAnsiTheme="minorHAnsi" w:hint="eastAsia"/>
        <w:b/>
        <w:i w:val="0"/>
        <w:caps w:val="0"/>
        <w:strike w:val="0"/>
        <w:dstrike w:val="0"/>
        <w:vanish w:val="0"/>
        <w:color w:val="000000"/>
        <w:sz w:val="21"/>
        <w:vertAlign w:val="base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7" w15:restartNumberingAfterBreak="0">
    <w:nsid w:val="1A074376"/>
    <w:multiLevelType w:val="multilevel"/>
    <w:tmpl w:val="8B3AB69E"/>
    <w:styleLink w:val="12"/>
    <w:lvl w:ilvl="0">
      <w:start w:val="1"/>
      <w:numFmt w:val="decimal"/>
      <w:lvlText w:val="%1"/>
      <w:lvlJc w:val="left"/>
      <w:pPr>
        <w:tabs>
          <w:tab w:val="num" w:pos="284"/>
        </w:tabs>
        <w:ind w:left="425" w:hanging="425"/>
      </w:pPr>
      <w:rPr>
        <w:rFonts w:ascii="ＭＳ ゴシック" w:eastAsia="ＭＳ ゴシック" w:cs="Times New Roman" w:hint="eastAsia"/>
        <w:b/>
        <w:i w:val="0"/>
        <w:sz w:val="21"/>
      </w:rPr>
    </w:lvl>
    <w:lvl w:ilvl="1">
      <w:start w:val="1"/>
      <w:numFmt w:val="decimal"/>
      <w:lvlText w:val="%1.%2"/>
      <w:lvlJc w:val="left"/>
      <w:pPr>
        <w:tabs>
          <w:tab w:val="num" w:pos="510"/>
        </w:tabs>
        <w:ind w:left="425" w:hanging="425"/>
      </w:pPr>
      <w:rPr>
        <w:rFonts w:ascii="ＭＳ ゴシック" w:eastAsia="ＭＳ ゴシック" w:cs="Times New Roman" w:hint="eastAsia"/>
        <w:b/>
        <w:i w:val="0"/>
        <w:sz w:val="21"/>
      </w:rPr>
    </w:lvl>
    <w:lvl w:ilvl="2">
      <w:start w:val="1"/>
      <w:numFmt w:val="decimal"/>
      <w:lvlText w:val="%1.%2.%3"/>
      <w:lvlJc w:val="left"/>
      <w:pPr>
        <w:tabs>
          <w:tab w:val="num" w:pos="0"/>
        </w:tabs>
        <w:ind w:left="425" w:hanging="425"/>
      </w:pPr>
      <w:rPr>
        <w:rFonts w:ascii="ＭＳ ゴシック" w:eastAsia="ＭＳ ゴシック" w:cs="Times New Roman" w:hint="eastAsia"/>
        <w:b/>
        <w:i w:val="0"/>
        <w:sz w:val="21"/>
      </w:rPr>
    </w:lvl>
    <w:lvl w:ilvl="3">
      <w:start w:val="1"/>
      <w:numFmt w:val="decimal"/>
      <w:lvlText w:val="%1.%2.%3.%4"/>
      <w:lvlJc w:val="left"/>
      <w:pPr>
        <w:tabs>
          <w:tab w:val="num" w:pos="284"/>
        </w:tabs>
        <w:ind w:left="425" w:hanging="425"/>
      </w:pPr>
      <w:rPr>
        <w:rFonts w:ascii="ＭＳ ゴシック" w:eastAsia="ＭＳ ゴシック" w:cs="Times New Roman" w:hint="eastAsia"/>
        <w:b/>
        <w:i w:val="0"/>
        <w:sz w:val="21"/>
      </w:rPr>
    </w:lvl>
    <w:lvl w:ilvl="4">
      <w:start w:val="1"/>
      <w:numFmt w:val="lowerLetter"/>
      <w:lvlText w:val="%5)"/>
      <w:lvlJc w:val="left"/>
      <w:pPr>
        <w:tabs>
          <w:tab w:val="num" w:pos="284"/>
        </w:tabs>
        <w:ind w:left="227" w:hanging="227"/>
      </w:pPr>
      <w:rPr>
        <w:rFonts w:ascii="ＭＳ ゴシック" w:eastAsia="ＭＳ ゴシック" w:cs="Times New Roman" w:hint="eastAsia"/>
        <w:b/>
        <w:i w:val="0"/>
        <w:color w:val="auto"/>
        <w:sz w:val="21"/>
      </w:rPr>
    </w:lvl>
    <w:lvl w:ilvl="5">
      <w:start w:val="1"/>
      <w:numFmt w:val="decimal"/>
      <w:lvlText w:val="%6)"/>
      <w:lvlJc w:val="left"/>
      <w:pPr>
        <w:tabs>
          <w:tab w:val="num" w:pos="284"/>
        </w:tabs>
        <w:ind w:left="737" w:hanging="453"/>
      </w:pPr>
      <w:rPr>
        <w:rFonts w:ascii="ＭＳ ゴシック" w:eastAsia="ＭＳ ゴシック" w:cs="Times New Roman" w:hint="eastAsia"/>
        <w:b/>
        <w:i w:val="0"/>
        <w:color w:val="auto"/>
        <w:sz w:val="21"/>
      </w:rPr>
    </w:lvl>
    <w:lvl w:ilvl="6">
      <w:start w:val="1"/>
      <w:numFmt w:val="decimal"/>
      <w:suff w:val="space"/>
      <w:lvlText w:val="%6.%7)"/>
      <w:lvlJc w:val="left"/>
      <w:pPr>
        <w:ind w:left="964" w:hanging="397"/>
      </w:pPr>
      <w:rPr>
        <w:rFonts w:ascii="ＭＳ ゴシック" w:eastAsia="ＭＳ ゴシック" w:cs="Times New Roman" w:hint="eastAsia"/>
        <w:b/>
        <w:i w:val="0"/>
        <w:color w:val="auto"/>
        <w:sz w:val="21"/>
      </w:rPr>
    </w:lvl>
    <w:lvl w:ilvl="7">
      <w:start w:val="1"/>
      <w:numFmt w:val="decimal"/>
      <w:suff w:val="space"/>
      <w:lvlText w:val="%6.%7.%8)"/>
      <w:lvlJc w:val="left"/>
      <w:pPr>
        <w:ind w:left="1247" w:hanging="567"/>
      </w:pPr>
      <w:rPr>
        <w:rFonts w:ascii="ＭＳ ゴシック" w:eastAsia="ＭＳ ゴシック" w:cs="Times New Roman" w:hint="eastAsia"/>
        <w:b/>
        <w:i w:val="0"/>
        <w:sz w:val="21"/>
      </w:rPr>
    </w:lvl>
    <w:lvl w:ilvl="8">
      <w:start w:val="1"/>
      <w:numFmt w:val="decimal"/>
      <w:lvlText w:val="%6.%7.%8.%9)"/>
      <w:lvlJc w:val="left"/>
      <w:pPr>
        <w:tabs>
          <w:tab w:val="num" w:pos="851"/>
        </w:tabs>
        <w:ind w:left="2552" w:hanging="1701"/>
      </w:pPr>
      <w:rPr>
        <w:rFonts w:ascii="ＭＳ ゴシック" w:eastAsia="ＭＳ ゴシック" w:cs="Times New Roman" w:hint="eastAsia"/>
        <w:b/>
        <w:i w:val="0"/>
        <w:sz w:val="21"/>
      </w:rPr>
    </w:lvl>
  </w:abstractNum>
  <w:abstractNum w:abstractNumId="138" w15:restartNumberingAfterBreak="0">
    <w:nsid w:val="1A2668A8"/>
    <w:multiLevelType w:val="hybridMultilevel"/>
    <w:tmpl w:val="4F8C3CFA"/>
    <w:lvl w:ilvl="0" w:tplc="E466B66C">
      <w:start w:val="1"/>
      <w:numFmt w:val="decimal"/>
      <w:lvlText w:val="%1)"/>
      <w:lvlJc w:val="left"/>
      <w:pPr>
        <w:ind w:left="1158" w:hanging="420"/>
      </w:pPr>
      <w:rPr>
        <w:rFonts w:ascii="ＭＳ ゴシック" w:eastAsia="ＭＳ ゴシック" w:hint="eastAsia"/>
        <w:b/>
        <w:i w:val="0"/>
        <w:sz w:val="21"/>
      </w:rPr>
    </w:lvl>
    <w:lvl w:ilvl="1" w:tplc="04090017" w:tentative="1">
      <w:start w:val="1"/>
      <w:numFmt w:val="aiueoFullWidth"/>
      <w:lvlText w:val="(%2)"/>
      <w:lvlJc w:val="left"/>
      <w:pPr>
        <w:ind w:left="1578" w:hanging="420"/>
      </w:pPr>
    </w:lvl>
    <w:lvl w:ilvl="2" w:tplc="04090011" w:tentative="1">
      <w:start w:val="1"/>
      <w:numFmt w:val="decimalEnclosedCircle"/>
      <w:lvlText w:val="%3"/>
      <w:lvlJc w:val="left"/>
      <w:pPr>
        <w:ind w:left="1998" w:hanging="420"/>
      </w:pPr>
    </w:lvl>
    <w:lvl w:ilvl="3" w:tplc="0409000F" w:tentative="1">
      <w:start w:val="1"/>
      <w:numFmt w:val="decimal"/>
      <w:lvlText w:val="%4."/>
      <w:lvlJc w:val="left"/>
      <w:pPr>
        <w:ind w:left="2418" w:hanging="420"/>
      </w:pPr>
    </w:lvl>
    <w:lvl w:ilvl="4" w:tplc="04090017" w:tentative="1">
      <w:start w:val="1"/>
      <w:numFmt w:val="aiueoFullWidth"/>
      <w:lvlText w:val="(%5)"/>
      <w:lvlJc w:val="left"/>
      <w:pPr>
        <w:ind w:left="2838" w:hanging="420"/>
      </w:pPr>
    </w:lvl>
    <w:lvl w:ilvl="5" w:tplc="04090011" w:tentative="1">
      <w:start w:val="1"/>
      <w:numFmt w:val="decimalEnclosedCircle"/>
      <w:lvlText w:val="%6"/>
      <w:lvlJc w:val="left"/>
      <w:pPr>
        <w:ind w:left="3258" w:hanging="420"/>
      </w:pPr>
    </w:lvl>
    <w:lvl w:ilvl="6" w:tplc="0409000F" w:tentative="1">
      <w:start w:val="1"/>
      <w:numFmt w:val="decimal"/>
      <w:lvlText w:val="%7."/>
      <w:lvlJc w:val="left"/>
      <w:pPr>
        <w:ind w:left="3678" w:hanging="420"/>
      </w:pPr>
    </w:lvl>
    <w:lvl w:ilvl="7" w:tplc="04090017" w:tentative="1">
      <w:start w:val="1"/>
      <w:numFmt w:val="aiueoFullWidth"/>
      <w:lvlText w:val="(%8)"/>
      <w:lvlJc w:val="left"/>
      <w:pPr>
        <w:ind w:left="4098" w:hanging="420"/>
      </w:pPr>
    </w:lvl>
    <w:lvl w:ilvl="8" w:tplc="04090011" w:tentative="1">
      <w:start w:val="1"/>
      <w:numFmt w:val="decimalEnclosedCircle"/>
      <w:lvlText w:val="%9"/>
      <w:lvlJc w:val="left"/>
      <w:pPr>
        <w:ind w:left="4518" w:hanging="420"/>
      </w:pPr>
    </w:lvl>
  </w:abstractNum>
  <w:abstractNum w:abstractNumId="139" w15:restartNumberingAfterBreak="0">
    <w:nsid w:val="1A7B10A9"/>
    <w:multiLevelType w:val="hybridMultilevel"/>
    <w:tmpl w:val="8224066A"/>
    <w:lvl w:ilvl="0" w:tplc="B4A49952">
      <w:start w:val="1"/>
      <w:numFmt w:val="decimal"/>
      <w:lvlText w:val="%1)"/>
      <w:lvlJc w:val="left"/>
      <w:pPr>
        <w:ind w:left="1260" w:hanging="420"/>
      </w:pPr>
      <w:rPr>
        <w:rFonts w:ascii="ＭＳ ゴシック" w:eastAsia="ＭＳ ゴシック" w:hint="eastAsia"/>
        <w:b/>
        <w:i w:val="0"/>
        <w:color w:val="auto"/>
        <w:sz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40" w15:restartNumberingAfterBreak="0">
    <w:nsid w:val="1AA61697"/>
    <w:multiLevelType w:val="hybridMultilevel"/>
    <w:tmpl w:val="82186D50"/>
    <w:lvl w:ilvl="0" w:tplc="939E896A">
      <w:start w:val="4"/>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1" w15:restartNumberingAfterBreak="0">
    <w:nsid w:val="1AAB549C"/>
    <w:multiLevelType w:val="hybridMultilevel"/>
    <w:tmpl w:val="45623174"/>
    <w:lvl w:ilvl="0" w:tplc="6C882282">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2" w15:restartNumberingAfterBreak="0">
    <w:nsid w:val="1ABC5522"/>
    <w:multiLevelType w:val="hybridMultilevel"/>
    <w:tmpl w:val="7ECCB84C"/>
    <w:lvl w:ilvl="0" w:tplc="40A20F9C">
      <w:start w:val="4"/>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3" w15:restartNumberingAfterBreak="0">
    <w:nsid w:val="1AD044DA"/>
    <w:multiLevelType w:val="hybridMultilevel"/>
    <w:tmpl w:val="2DB4B156"/>
    <w:lvl w:ilvl="0" w:tplc="A61AD1B8">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4" w15:restartNumberingAfterBreak="0">
    <w:nsid w:val="1AEB585D"/>
    <w:multiLevelType w:val="hybridMultilevel"/>
    <w:tmpl w:val="54C2FCB8"/>
    <w:lvl w:ilvl="0" w:tplc="729ADEAE">
      <w:start w:val="1"/>
      <w:numFmt w:val="decimal"/>
      <w:lvlText w:val="%1)"/>
      <w:lvlJc w:val="left"/>
      <w:pPr>
        <w:ind w:left="647"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5" w15:restartNumberingAfterBreak="0">
    <w:nsid w:val="1B247255"/>
    <w:multiLevelType w:val="hybridMultilevel"/>
    <w:tmpl w:val="F1A02E4A"/>
    <w:lvl w:ilvl="0" w:tplc="780E2430">
      <w:start w:val="1"/>
      <w:numFmt w:val="decimal"/>
      <w:lvlText w:val="%1)"/>
      <w:lvlJc w:val="left"/>
      <w:pPr>
        <w:ind w:left="420" w:hanging="420"/>
      </w:pPr>
      <w:rPr>
        <w:rFonts w:asciiTheme="majorEastAsia" w:eastAsiaTheme="majorEastAsia"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6" w15:restartNumberingAfterBreak="0">
    <w:nsid w:val="1B401BDC"/>
    <w:multiLevelType w:val="hybridMultilevel"/>
    <w:tmpl w:val="BC301732"/>
    <w:lvl w:ilvl="0" w:tplc="08EA6A20">
      <w:start w:val="1"/>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7" w15:restartNumberingAfterBreak="0">
    <w:nsid w:val="1B570CC4"/>
    <w:multiLevelType w:val="hybridMultilevel"/>
    <w:tmpl w:val="EE8E7480"/>
    <w:lvl w:ilvl="0" w:tplc="8E42272C">
      <w:start w:val="1"/>
      <w:numFmt w:val="decimal"/>
      <w:lvlText w:val="%1)"/>
      <w:lvlJc w:val="left"/>
      <w:pPr>
        <w:ind w:left="647"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8" w15:restartNumberingAfterBreak="0">
    <w:nsid w:val="1BFA77A6"/>
    <w:multiLevelType w:val="hybridMultilevel"/>
    <w:tmpl w:val="BFE8B0D0"/>
    <w:lvl w:ilvl="0" w:tplc="97FE7F2C">
      <w:start w:val="1"/>
      <w:numFmt w:val="decimal"/>
      <w:lvlText w:val="%1)"/>
      <w:lvlJc w:val="left"/>
      <w:pPr>
        <w:ind w:left="1260" w:hanging="420"/>
      </w:pPr>
      <w:rPr>
        <w:rFonts w:ascii="ＭＳ ゴシック" w:eastAsia="ＭＳ ゴシック" w:hint="eastAsia"/>
        <w:b/>
        <w:i w:val="0"/>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9" w15:restartNumberingAfterBreak="0">
    <w:nsid w:val="1C691B6C"/>
    <w:multiLevelType w:val="hybridMultilevel"/>
    <w:tmpl w:val="EB8A8BA6"/>
    <w:lvl w:ilvl="0" w:tplc="F21A5BB6">
      <w:start w:val="1"/>
      <w:numFmt w:val="lowerLetter"/>
      <w:lvlText w:val="%1)"/>
      <w:lvlJc w:val="left"/>
      <w:pPr>
        <w:ind w:left="420" w:hanging="420"/>
      </w:pPr>
      <w:rPr>
        <w:rFonts w:ascii="ＭＳ ゴシック" w:eastAsia="ＭＳ ゴシック" w:hAnsi="Century" w:cs="Times New Roman" w:hint="default"/>
        <w:b/>
        <w:i w:val="0"/>
        <w:color w:val="auto"/>
        <w:sz w:val="21"/>
        <w:vertAlign w:val="superscript"/>
      </w:rPr>
    </w:lvl>
    <w:lvl w:ilvl="1" w:tplc="15CC8FF2" w:tentative="1">
      <w:start w:val="1"/>
      <w:numFmt w:val="aiueoFullWidth"/>
      <w:lvlText w:val="(%2)"/>
      <w:lvlJc w:val="left"/>
      <w:pPr>
        <w:ind w:left="840" w:hanging="420"/>
      </w:pPr>
    </w:lvl>
    <w:lvl w:ilvl="2" w:tplc="A5B00206" w:tentative="1">
      <w:start w:val="1"/>
      <w:numFmt w:val="decimalEnclosedCircle"/>
      <w:lvlText w:val="%3"/>
      <w:lvlJc w:val="left"/>
      <w:pPr>
        <w:ind w:left="1260" w:hanging="420"/>
      </w:pPr>
    </w:lvl>
    <w:lvl w:ilvl="3" w:tplc="17940D8E" w:tentative="1">
      <w:start w:val="1"/>
      <w:numFmt w:val="decimal"/>
      <w:lvlText w:val="%4."/>
      <w:lvlJc w:val="left"/>
      <w:pPr>
        <w:ind w:left="1680" w:hanging="420"/>
      </w:pPr>
    </w:lvl>
    <w:lvl w:ilvl="4" w:tplc="3E4660D4" w:tentative="1">
      <w:start w:val="1"/>
      <w:numFmt w:val="aiueoFullWidth"/>
      <w:lvlText w:val="(%5)"/>
      <w:lvlJc w:val="left"/>
      <w:pPr>
        <w:ind w:left="2100" w:hanging="420"/>
      </w:pPr>
    </w:lvl>
    <w:lvl w:ilvl="5" w:tplc="25E87D86" w:tentative="1">
      <w:start w:val="1"/>
      <w:numFmt w:val="decimalEnclosedCircle"/>
      <w:lvlText w:val="%6"/>
      <w:lvlJc w:val="left"/>
      <w:pPr>
        <w:ind w:left="2520" w:hanging="420"/>
      </w:pPr>
    </w:lvl>
    <w:lvl w:ilvl="6" w:tplc="E8A45C7C" w:tentative="1">
      <w:start w:val="1"/>
      <w:numFmt w:val="decimal"/>
      <w:lvlText w:val="%7."/>
      <w:lvlJc w:val="left"/>
      <w:pPr>
        <w:ind w:left="2940" w:hanging="420"/>
      </w:pPr>
    </w:lvl>
    <w:lvl w:ilvl="7" w:tplc="600C022A" w:tentative="1">
      <w:start w:val="1"/>
      <w:numFmt w:val="aiueoFullWidth"/>
      <w:lvlText w:val="(%8)"/>
      <w:lvlJc w:val="left"/>
      <w:pPr>
        <w:ind w:left="3360" w:hanging="420"/>
      </w:pPr>
    </w:lvl>
    <w:lvl w:ilvl="8" w:tplc="53763A82" w:tentative="1">
      <w:start w:val="1"/>
      <w:numFmt w:val="decimalEnclosedCircle"/>
      <w:lvlText w:val="%9"/>
      <w:lvlJc w:val="left"/>
      <w:pPr>
        <w:ind w:left="3780" w:hanging="420"/>
      </w:pPr>
    </w:lvl>
  </w:abstractNum>
  <w:abstractNum w:abstractNumId="150" w15:restartNumberingAfterBreak="0">
    <w:nsid w:val="1C7A35D5"/>
    <w:multiLevelType w:val="hybridMultilevel"/>
    <w:tmpl w:val="AB78C668"/>
    <w:lvl w:ilvl="0" w:tplc="32C4DE50">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51" w15:restartNumberingAfterBreak="0">
    <w:nsid w:val="1CCC65D7"/>
    <w:multiLevelType w:val="hybridMultilevel"/>
    <w:tmpl w:val="6638EEFC"/>
    <w:lvl w:ilvl="0" w:tplc="4BFEDC7C">
      <w:start w:val="2"/>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2" w15:restartNumberingAfterBreak="0">
    <w:nsid w:val="1D074DAA"/>
    <w:multiLevelType w:val="hybridMultilevel"/>
    <w:tmpl w:val="571E9FF2"/>
    <w:lvl w:ilvl="0" w:tplc="F57C3686">
      <w:start w:val="1"/>
      <w:numFmt w:val="lowerLetter"/>
      <w:lvlText w:val="%1)"/>
      <w:lvlJc w:val="left"/>
      <w:pPr>
        <w:ind w:left="420" w:hanging="420"/>
      </w:pPr>
      <w:rPr>
        <w:rFonts w:ascii="ＭＳ ゴシック" w:eastAsia="ＭＳ ゴシック" w:hAnsiTheme="minorHAnsi" w:hint="eastAsia"/>
        <w:b/>
        <w:i w:val="0"/>
        <w:caps w:val="0"/>
        <w:strike w:val="0"/>
        <w:dstrike w:val="0"/>
        <w:vanish w:val="0"/>
        <w:color w:val="000000"/>
        <w:sz w:val="21"/>
        <w:vertAlign w:val="base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3" w15:restartNumberingAfterBreak="0">
    <w:nsid w:val="1D4E01C2"/>
    <w:multiLevelType w:val="multilevel"/>
    <w:tmpl w:val="F224CF3C"/>
    <w:lvl w:ilvl="0">
      <w:start w:val="1"/>
      <w:numFmt w:val="decimal"/>
      <w:lvlText w:val="%1"/>
      <w:lvlJc w:val="left"/>
      <w:pPr>
        <w:tabs>
          <w:tab w:val="num" w:pos="284"/>
        </w:tabs>
        <w:ind w:left="425" w:hanging="425"/>
      </w:pPr>
      <w:rPr>
        <w:rFonts w:ascii="ＭＳ ゴシック" w:eastAsia="ＭＳ ゴシック" w:cs="Times New Roman" w:hint="eastAsia"/>
        <w:b/>
        <w:i w:val="0"/>
        <w:sz w:val="21"/>
      </w:rPr>
    </w:lvl>
    <w:lvl w:ilvl="1">
      <w:start w:val="1"/>
      <w:numFmt w:val="decimal"/>
      <w:lvlText w:val="%1.%2"/>
      <w:lvlJc w:val="left"/>
      <w:pPr>
        <w:tabs>
          <w:tab w:val="num" w:pos="510"/>
        </w:tabs>
        <w:ind w:left="425" w:hanging="425"/>
      </w:pPr>
      <w:rPr>
        <w:rFonts w:ascii="ＭＳ ゴシック" w:eastAsia="ＭＳ ゴシック" w:cs="Times New Roman" w:hint="eastAsia"/>
        <w:b/>
        <w:i w:val="0"/>
        <w:sz w:val="21"/>
      </w:rPr>
    </w:lvl>
    <w:lvl w:ilvl="2">
      <w:start w:val="1"/>
      <w:numFmt w:val="decimal"/>
      <w:lvlText w:val="%1.%2.%3"/>
      <w:lvlJc w:val="left"/>
      <w:pPr>
        <w:tabs>
          <w:tab w:val="num" w:pos="284"/>
        </w:tabs>
        <w:ind w:left="425" w:hanging="425"/>
      </w:pPr>
      <w:rPr>
        <w:rFonts w:ascii="ＭＳ ゴシック" w:eastAsia="ＭＳ ゴシック" w:cs="Times New Roman" w:hint="eastAsia"/>
        <w:b/>
        <w:i w:val="0"/>
        <w:sz w:val="21"/>
      </w:rPr>
    </w:lvl>
    <w:lvl w:ilvl="3">
      <w:start w:val="1"/>
      <w:numFmt w:val="decimal"/>
      <w:lvlText w:val="%1.%2.%3.%4"/>
      <w:lvlJc w:val="left"/>
      <w:pPr>
        <w:tabs>
          <w:tab w:val="num" w:pos="284"/>
        </w:tabs>
        <w:ind w:left="425" w:hanging="425"/>
      </w:pPr>
      <w:rPr>
        <w:rFonts w:ascii="ＭＳ ゴシック" w:eastAsia="ＭＳ ゴシック" w:cs="Times New Roman" w:hint="eastAsia"/>
        <w:b/>
        <w:i w:val="0"/>
        <w:sz w:val="21"/>
      </w:rPr>
    </w:lvl>
    <w:lvl w:ilvl="4">
      <w:start w:val="1"/>
      <w:numFmt w:val="lowerLetter"/>
      <w:suff w:val="space"/>
      <w:lvlText w:val="%5)"/>
      <w:lvlJc w:val="left"/>
      <w:pPr>
        <w:ind w:left="284" w:hanging="284"/>
      </w:pPr>
      <w:rPr>
        <w:rFonts w:asciiTheme="majorEastAsia" w:eastAsiaTheme="majorEastAsia" w:hAnsiTheme="majorEastAsia" w:cs="Times New Roman" w:hint="eastAsia"/>
        <w:b/>
        <w:bCs w:val="0"/>
        <w:i w:val="0"/>
        <w:iCs w:val="0"/>
        <w:caps w:val="0"/>
        <w:smallCaps w:val="0"/>
        <w:strike w:val="0"/>
        <w:dstrike w:val="0"/>
        <w:noProof w:val="0"/>
        <w:vanish w:val="0"/>
        <w:color w:val="000000"/>
        <w:spacing w:val="0"/>
        <w:position w:val="0"/>
        <w:u w:val="none"/>
        <w:vertAlign w:val="baseline"/>
        <w:em w:val="none"/>
      </w:rPr>
    </w:lvl>
    <w:lvl w:ilvl="5">
      <w:start w:val="1"/>
      <w:numFmt w:val="decimal"/>
      <w:lvlText w:val="%6)"/>
      <w:lvlJc w:val="left"/>
      <w:pPr>
        <w:tabs>
          <w:tab w:val="num" w:pos="284"/>
        </w:tabs>
        <w:ind w:left="737" w:hanging="453"/>
      </w:pPr>
      <w:rPr>
        <w:rFonts w:ascii="ＭＳ ゴシック" w:eastAsia="ＭＳ ゴシック" w:cs="Times New Roman" w:hint="eastAsia"/>
        <w:b/>
        <w:i w:val="0"/>
        <w:color w:val="auto"/>
        <w:sz w:val="21"/>
      </w:rPr>
    </w:lvl>
    <w:lvl w:ilvl="6">
      <w:start w:val="1"/>
      <w:numFmt w:val="decimal"/>
      <w:suff w:val="space"/>
      <w:lvlText w:val="%6.%7)"/>
      <w:lvlJc w:val="left"/>
      <w:pPr>
        <w:ind w:left="964" w:hanging="397"/>
      </w:pPr>
      <w:rPr>
        <w:rFonts w:ascii="ＭＳ ゴシック" w:eastAsia="ＭＳ ゴシック" w:cs="Times New Roman" w:hint="eastAsia"/>
        <w:b/>
        <w:i w:val="0"/>
        <w:color w:val="auto"/>
        <w:sz w:val="21"/>
      </w:rPr>
    </w:lvl>
    <w:lvl w:ilvl="7">
      <w:start w:val="1"/>
      <w:numFmt w:val="decimal"/>
      <w:suff w:val="space"/>
      <w:lvlText w:val="%6.%7.%8)"/>
      <w:lvlJc w:val="left"/>
      <w:pPr>
        <w:ind w:left="1247" w:hanging="567"/>
      </w:pPr>
      <w:rPr>
        <w:rFonts w:ascii="ＭＳ ゴシック" w:eastAsia="ＭＳ ゴシック" w:cs="Times New Roman" w:hint="eastAsia"/>
        <w:b/>
        <w:i w:val="0"/>
        <w:sz w:val="21"/>
      </w:rPr>
    </w:lvl>
    <w:lvl w:ilvl="8">
      <w:start w:val="1"/>
      <w:numFmt w:val="decimal"/>
      <w:lvlText w:val="%6.%7.%8.%9)"/>
      <w:lvlJc w:val="left"/>
      <w:pPr>
        <w:tabs>
          <w:tab w:val="num" w:pos="851"/>
        </w:tabs>
        <w:ind w:left="2552" w:hanging="1701"/>
      </w:pPr>
      <w:rPr>
        <w:rFonts w:ascii="ＭＳ ゴシック" w:eastAsia="ＭＳ ゴシック" w:cs="Times New Roman" w:hint="eastAsia"/>
        <w:b/>
        <w:i w:val="0"/>
        <w:sz w:val="21"/>
      </w:rPr>
    </w:lvl>
  </w:abstractNum>
  <w:abstractNum w:abstractNumId="154" w15:restartNumberingAfterBreak="0">
    <w:nsid w:val="1D6B48F9"/>
    <w:multiLevelType w:val="hybridMultilevel"/>
    <w:tmpl w:val="8C0E7568"/>
    <w:lvl w:ilvl="0" w:tplc="7152F5E6">
      <w:start w:val="1"/>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5" w15:restartNumberingAfterBreak="0">
    <w:nsid w:val="1D8E77B9"/>
    <w:multiLevelType w:val="hybridMultilevel"/>
    <w:tmpl w:val="9880D73A"/>
    <w:lvl w:ilvl="0" w:tplc="6F4C1FFA">
      <w:start w:val="4"/>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6" w15:restartNumberingAfterBreak="0">
    <w:nsid w:val="1D8F2525"/>
    <w:multiLevelType w:val="hybridMultilevel"/>
    <w:tmpl w:val="8DA44FD0"/>
    <w:lvl w:ilvl="0" w:tplc="F8903F98">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7" w15:restartNumberingAfterBreak="0">
    <w:nsid w:val="1E1079BB"/>
    <w:multiLevelType w:val="hybridMultilevel"/>
    <w:tmpl w:val="14AC4D26"/>
    <w:lvl w:ilvl="0" w:tplc="2AE2A1D2">
      <w:start w:val="1"/>
      <w:numFmt w:val="lowerLetter"/>
      <w:lvlText w:val="%1)"/>
      <w:lvlJc w:val="left"/>
      <w:pPr>
        <w:ind w:left="420" w:hanging="420"/>
      </w:pPr>
      <w:rPr>
        <w:rFonts w:ascii="ＭＳ ゴシック" w:eastAsia="ＭＳ ゴシック" w:hint="eastAsia"/>
        <w:b/>
        <w:i w:val="0"/>
        <w:sz w:val="21"/>
      </w:rPr>
    </w:lvl>
    <w:lvl w:ilvl="1" w:tplc="780E2430">
      <w:start w:val="1"/>
      <w:numFmt w:val="decimal"/>
      <w:lvlText w:val="%2)"/>
      <w:lvlJc w:val="left"/>
      <w:pPr>
        <w:ind w:left="780" w:hanging="360"/>
      </w:pPr>
      <w:rPr>
        <w:rFonts w:asciiTheme="majorEastAsia" w:eastAsiaTheme="majorEastAsia" w:hAnsiTheme="majorEastAsia" w:hint="default"/>
        <w:b/>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8" w15:restartNumberingAfterBreak="0">
    <w:nsid w:val="1E18413F"/>
    <w:multiLevelType w:val="hybridMultilevel"/>
    <w:tmpl w:val="89EE0AB0"/>
    <w:lvl w:ilvl="0" w:tplc="CDAE1BA8">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9" w15:restartNumberingAfterBreak="0">
    <w:nsid w:val="1E5D0B67"/>
    <w:multiLevelType w:val="hybridMultilevel"/>
    <w:tmpl w:val="4E707D76"/>
    <w:lvl w:ilvl="0" w:tplc="BC70CAE4">
      <w:start w:val="6"/>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0" w15:restartNumberingAfterBreak="0">
    <w:nsid w:val="1E943BBA"/>
    <w:multiLevelType w:val="hybridMultilevel"/>
    <w:tmpl w:val="02D04BDA"/>
    <w:lvl w:ilvl="0" w:tplc="8318A868">
      <w:start w:val="1"/>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1" w15:restartNumberingAfterBreak="0">
    <w:nsid w:val="1EB53EFC"/>
    <w:multiLevelType w:val="hybridMultilevel"/>
    <w:tmpl w:val="2386181C"/>
    <w:lvl w:ilvl="0" w:tplc="D786F144">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2" w15:restartNumberingAfterBreak="0">
    <w:nsid w:val="1EDA4AAC"/>
    <w:multiLevelType w:val="hybridMultilevel"/>
    <w:tmpl w:val="E67E0AA8"/>
    <w:lvl w:ilvl="0" w:tplc="EE10916A">
      <w:start w:val="2"/>
      <w:numFmt w:val="decimal"/>
      <w:lvlText w:val="%1)"/>
      <w:lvlJc w:val="left"/>
      <w:pPr>
        <w:ind w:left="1260" w:hanging="420"/>
      </w:pPr>
      <w:rPr>
        <w:rFonts w:ascii="ＭＳ ゴシック" w:eastAsia="ＭＳ ゴシック" w:hint="eastAsia"/>
        <w:b/>
        <w:i w:val="0"/>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3" w15:restartNumberingAfterBreak="0">
    <w:nsid w:val="1F4E1859"/>
    <w:multiLevelType w:val="hybridMultilevel"/>
    <w:tmpl w:val="C54693DA"/>
    <w:lvl w:ilvl="0" w:tplc="D8363FB0">
      <w:start w:val="1"/>
      <w:numFmt w:val="decimal"/>
      <w:lvlText w:val="3.2.%1)"/>
      <w:lvlJc w:val="left"/>
      <w:pPr>
        <w:ind w:left="1257" w:hanging="420"/>
      </w:pPr>
      <w:rPr>
        <w:rFonts w:ascii="ＭＳ ゴシック" w:eastAsia="ＭＳ ゴシック" w:hint="eastAsia"/>
        <w:b/>
        <w:i w:val="0"/>
        <w:sz w:val="21"/>
      </w:rPr>
    </w:lvl>
    <w:lvl w:ilvl="1" w:tplc="04090017" w:tentative="1">
      <w:start w:val="1"/>
      <w:numFmt w:val="aiueoFullWidth"/>
      <w:lvlText w:val="(%2)"/>
      <w:lvlJc w:val="left"/>
      <w:pPr>
        <w:ind w:left="1677" w:hanging="420"/>
      </w:pPr>
    </w:lvl>
    <w:lvl w:ilvl="2" w:tplc="04090011" w:tentative="1">
      <w:start w:val="1"/>
      <w:numFmt w:val="decimalEnclosedCircle"/>
      <w:lvlText w:val="%3"/>
      <w:lvlJc w:val="left"/>
      <w:pPr>
        <w:ind w:left="2097" w:hanging="420"/>
      </w:pPr>
    </w:lvl>
    <w:lvl w:ilvl="3" w:tplc="0409000F" w:tentative="1">
      <w:start w:val="1"/>
      <w:numFmt w:val="decimal"/>
      <w:lvlText w:val="%4."/>
      <w:lvlJc w:val="left"/>
      <w:pPr>
        <w:ind w:left="2517" w:hanging="420"/>
      </w:pPr>
    </w:lvl>
    <w:lvl w:ilvl="4" w:tplc="04090017" w:tentative="1">
      <w:start w:val="1"/>
      <w:numFmt w:val="aiueoFullWidth"/>
      <w:lvlText w:val="(%5)"/>
      <w:lvlJc w:val="left"/>
      <w:pPr>
        <w:ind w:left="2937" w:hanging="420"/>
      </w:pPr>
    </w:lvl>
    <w:lvl w:ilvl="5" w:tplc="04090011" w:tentative="1">
      <w:start w:val="1"/>
      <w:numFmt w:val="decimalEnclosedCircle"/>
      <w:lvlText w:val="%6"/>
      <w:lvlJc w:val="left"/>
      <w:pPr>
        <w:ind w:left="3357" w:hanging="420"/>
      </w:pPr>
    </w:lvl>
    <w:lvl w:ilvl="6" w:tplc="0409000F" w:tentative="1">
      <w:start w:val="1"/>
      <w:numFmt w:val="decimal"/>
      <w:lvlText w:val="%7."/>
      <w:lvlJc w:val="left"/>
      <w:pPr>
        <w:ind w:left="3777" w:hanging="420"/>
      </w:pPr>
    </w:lvl>
    <w:lvl w:ilvl="7" w:tplc="04090017" w:tentative="1">
      <w:start w:val="1"/>
      <w:numFmt w:val="aiueoFullWidth"/>
      <w:lvlText w:val="(%8)"/>
      <w:lvlJc w:val="left"/>
      <w:pPr>
        <w:ind w:left="4197" w:hanging="420"/>
      </w:pPr>
    </w:lvl>
    <w:lvl w:ilvl="8" w:tplc="04090011" w:tentative="1">
      <w:start w:val="1"/>
      <w:numFmt w:val="decimalEnclosedCircle"/>
      <w:lvlText w:val="%9"/>
      <w:lvlJc w:val="left"/>
      <w:pPr>
        <w:ind w:left="4617" w:hanging="420"/>
      </w:pPr>
    </w:lvl>
  </w:abstractNum>
  <w:abstractNum w:abstractNumId="164" w15:restartNumberingAfterBreak="0">
    <w:nsid w:val="1F6F265B"/>
    <w:multiLevelType w:val="hybridMultilevel"/>
    <w:tmpl w:val="B4325F02"/>
    <w:lvl w:ilvl="0" w:tplc="A5F2B0C8">
      <w:start w:val="2"/>
      <w:numFmt w:val="decimal"/>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65" w15:restartNumberingAfterBreak="0">
    <w:nsid w:val="1F816280"/>
    <w:multiLevelType w:val="hybridMultilevel"/>
    <w:tmpl w:val="5FDA9B32"/>
    <w:lvl w:ilvl="0" w:tplc="5D0270E4">
      <w:start w:val="1"/>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6" w15:restartNumberingAfterBreak="0">
    <w:nsid w:val="1F831E8F"/>
    <w:multiLevelType w:val="hybridMultilevel"/>
    <w:tmpl w:val="4670AC5A"/>
    <w:lvl w:ilvl="0" w:tplc="FFE6B884">
      <w:start w:val="1"/>
      <w:numFmt w:val="lowerLetter"/>
      <w:lvlText w:val="%1)"/>
      <w:lvlJc w:val="left"/>
      <w:pPr>
        <w:ind w:left="518" w:hanging="420"/>
      </w:pPr>
      <w:rPr>
        <w:rFonts w:ascii="ＭＳ ゴシック" w:eastAsia="ＭＳ ゴシック" w:hint="eastAsia"/>
        <w:b/>
        <w:i w:val="0"/>
        <w:sz w:val="21"/>
      </w:rPr>
    </w:lvl>
    <w:lvl w:ilvl="1" w:tplc="04090017" w:tentative="1">
      <w:start w:val="1"/>
      <w:numFmt w:val="aiueoFullWidth"/>
      <w:lvlText w:val="(%2)"/>
      <w:lvlJc w:val="left"/>
      <w:pPr>
        <w:ind w:left="938" w:hanging="420"/>
      </w:pPr>
    </w:lvl>
    <w:lvl w:ilvl="2" w:tplc="04090011" w:tentative="1">
      <w:start w:val="1"/>
      <w:numFmt w:val="decimalEnclosedCircle"/>
      <w:lvlText w:val="%3"/>
      <w:lvlJc w:val="left"/>
      <w:pPr>
        <w:ind w:left="1358" w:hanging="420"/>
      </w:pPr>
    </w:lvl>
    <w:lvl w:ilvl="3" w:tplc="0409000F" w:tentative="1">
      <w:start w:val="1"/>
      <w:numFmt w:val="decimal"/>
      <w:lvlText w:val="%4."/>
      <w:lvlJc w:val="left"/>
      <w:pPr>
        <w:ind w:left="1778" w:hanging="420"/>
      </w:pPr>
    </w:lvl>
    <w:lvl w:ilvl="4" w:tplc="04090017" w:tentative="1">
      <w:start w:val="1"/>
      <w:numFmt w:val="aiueoFullWidth"/>
      <w:lvlText w:val="(%5)"/>
      <w:lvlJc w:val="left"/>
      <w:pPr>
        <w:ind w:left="2198" w:hanging="420"/>
      </w:pPr>
    </w:lvl>
    <w:lvl w:ilvl="5" w:tplc="04090011" w:tentative="1">
      <w:start w:val="1"/>
      <w:numFmt w:val="decimalEnclosedCircle"/>
      <w:lvlText w:val="%6"/>
      <w:lvlJc w:val="left"/>
      <w:pPr>
        <w:ind w:left="2618" w:hanging="420"/>
      </w:pPr>
    </w:lvl>
    <w:lvl w:ilvl="6" w:tplc="0409000F" w:tentative="1">
      <w:start w:val="1"/>
      <w:numFmt w:val="decimal"/>
      <w:lvlText w:val="%7."/>
      <w:lvlJc w:val="left"/>
      <w:pPr>
        <w:ind w:left="3038" w:hanging="420"/>
      </w:pPr>
    </w:lvl>
    <w:lvl w:ilvl="7" w:tplc="04090017" w:tentative="1">
      <w:start w:val="1"/>
      <w:numFmt w:val="aiueoFullWidth"/>
      <w:lvlText w:val="(%8)"/>
      <w:lvlJc w:val="left"/>
      <w:pPr>
        <w:ind w:left="3458" w:hanging="420"/>
      </w:pPr>
    </w:lvl>
    <w:lvl w:ilvl="8" w:tplc="04090011" w:tentative="1">
      <w:start w:val="1"/>
      <w:numFmt w:val="decimalEnclosedCircle"/>
      <w:lvlText w:val="%9"/>
      <w:lvlJc w:val="left"/>
      <w:pPr>
        <w:ind w:left="3878" w:hanging="420"/>
      </w:pPr>
    </w:lvl>
  </w:abstractNum>
  <w:abstractNum w:abstractNumId="167" w15:restartNumberingAfterBreak="0">
    <w:nsid w:val="200339C9"/>
    <w:multiLevelType w:val="hybridMultilevel"/>
    <w:tmpl w:val="149E2E26"/>
    <w:lvl w:ilvl="0" w:tplc="2AE2A1D2">
      <w:start w:val="1"/>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8" w15:restartNumberingAfterBreak="0">
    <w:nsid w:val="20E65898"/>
    <w:multiLevelType w:val="hybridMultilevel"/>
    <w:tmpl w:val="F1143156"/>
    <w:lvl w:ilvl="0" w:tplc="C7D6FAD4">
      <w:start w:val="3"/>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9" w15:restartNumberingAfterBreak="0">
    <w:nsid w:val="21370422"/>
    <w:multiLevelType w:val="hybridMultilevel"/>
    <w:tmpl w:val="6F0EE0C0"/>
    <w:lvl w:ilvl="0" w:tplc="FF1C7566">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0" w15:restartNumberingAfterBreak="0">
    <w:nsid w:val="21451D26"/>
    <w:multiLevelType w:val="hybridMultilevel"/>
    <w:tmpl w:val="EF7AD490"/>
    <w:lvl w:ilvl="0" w:tplc="A9F47D7A">
      <w:start w:val="2"/>
      <w:numFmt w:val="lowerLetter"/>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1" w15:restartNumberingAfterBreak="0">
    <w:nsid w:val="21C36D5A"/>
    <w:multiLevelType w:val="hybridMultilevel"/>
    <w:tmpl w:val="BEF095C6"/>
    <w:lvl w:ilvl="0" w:tplc="CC6A9784">
      <w:start w:val="4"/>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2" w15:restartNumberingAfterBreak="0">
    <w:nsid w:val="22054815"/>
    <w:multiLevelType w:val="hybridMultilevel"/>
    <w:tmpl w:val="1320EF6E"/>
    <w:lvl w:ilvl="0" w:tplc="E19CCED4">
      <w:start w:val="1"/>
      <w:numFmt w:val="decimal"/>
      <w:lvlText w:val="%1)"/>
      <w:lvlJc w:val="left"/>
      <w:pPr>
        <w:ind w:left="420" w:hanging="420"/>
      </w:pPr>
      <w:rPr>
        <w:rFonts w:ascii="ＭＳ ゴシック" w:hAnsi="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3" w15:restartNumberingAfterBreak="0">
    <w:nsid w:val="221122E3"/>
    <w:multiLevelType w:val="hybridMultilevel"/>
    <w:tmpl w:val="205AA4A0"/>
    <w:lvl w:ilvl="0" w:tplc="DD8E1ED4">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74" w15:restartNumberingAfterBreak="0">
    <w:nsid w:val="224312F9"/>
    <w:multiLevelType w:val="hybridMultilevel"/>
    <w:tmpl w:val="6410317C"/>
    <w:lvl w:ilvl="0" w:tplc="B3DC7E70">
      <w:start w:val="1"/>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B3DC7E70">
      <w:start w:val="1"/>
      <w:numFmt w:val="decimal"/>
      <w:lvlText w:val="%6)"/>
      <w:lvlJc w:val="left"/>
      <w:pPr>
        <w:ind w:left="2520" w:hanging="420"/>
      </w:pPr>
      <w:rPr>
        <w:rFonts w:ascii="ＭＳ ゴシック" w:eastAsia="ＭＳ ゴシック" w:hint="eastAsia"/>
        <w:b/>
        <w:i w:val="0"/>
        <w:sz w:val="21"/>
      </w:r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5" w15:restartNumberingAfterBreak="0">
    <w:nsid w:val="2276402D"/>
    <w:multiLevelType w:val="hybridMultilevel"/>
    <w:tmpl w:val="892248D0"/>
    <w:lvl w:ilvl="0" w:tplc="2AE2A1D2">
      <w:start w:val="1"/>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6" w15:restartNumberingAfterBreak="0">
    <w:nsid w:val="227C34CB"/>
    <w:multiLevelType w:val="hybridMultilevel"/>
    <w:tmpl w:val="252C7DE6"/>
    <w:lvl w:ilvl="0" w:tplc="BEA40B1A">
      <w:start w:val="1"/>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7" w15:restartNumberingAfterBreak="0">
    <w:nsid w:val="23187936"/>
    <w:multiLevelType w:val="hybridMultilevel"/>
    <w:tmpl w:val="B5BC7DE4"/>
    <w:lvl w:ilvl="0" w:tplc="DD8E1ED4">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78" w15:restartNumberingAfterBreak="0">
    <w:nsid w:val="232E4CEC"/>
    <w:multiLevelType w:val="hybridMultilevel"/>
    <w:tmpl w:val="9C969C30"/>
    <w:lvl w:ilvl="0" w:tplc="6B6C8BCA">
      <w:start w:val="2"/>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9" w15:restartNumberingAfterBreak="0">
    <w:nsid w:val="23595540"/>
    <w:multiLevelType w:val="hybridMultilevel"/>
    <w:tmpl w:val="9BD01910"/>
    <w:lvl w:ilvl="0" w:tplc="B53C4B2E">
      <w:start w:val="1"/>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0" w15:restartNumberingAfterBreak="0">
    <w:nsid w:val="23871BC6"/>
    <w:multiLevelType w:val="hybridMultilevel"/>
    <w:tmpl w:val="A05091B8"/>
    <w:lvl w:ilvl="0" w:tplc="DD8E1ED4">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81" w15:restartNumberingAfterBreak="0">
    <w:nsid w:val="238E2991"/>
    <w:multiLevelType w:val="hybridMultilevel"/>
    <w:tmpl w:val="AAAE4930"/>
    <w:lvl w:ilvl="0" w:tplc="66229BCC">
      <w:start w:val="2"/>
      <w:numFmt w:val="lowerLetter"/>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2" w15:restartNumberingAfterBreak="0">
    <w:nsid w:val="23BD4D63"/>
    <w:multiLevelType w:val="hybridMultilevel"/>
    <w:tmpl w:val="12BC0280"/>
    <w:lvl w:ilvl="0" w:tplc="DD8E1ED4">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83" w15:restartNumberingAfterBreak="0">
    <w:nsid w:val="23EE09AC"/>
    <w:multiLevelType w:val="hybridMultilevel"/>
    <w:tmpl w:val="51E2CE72"/>
    <w:lvl w:ilvl="0" w:tplc="C858554A">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84" w15:restartNumberingAfterBreak="0">
    <w:nsid w:val="242600A3"/>
    <w:multiLevelType w:val="hybridMultilevel"/>
    <w:tmpl w:val="24509B28"/>
    <w:lvl w:ilvl="0" w:tplc="F578B012">
      <w:start w:val="1"/>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5" w15:restartNumberingAfterBreak="0">
    <w:nsid w:val="249930F6"/>
    <w:multiLevelType w:val="hybridMultilevel"/>
    <w:tmpl w:val="1E2A744C"/>
    <w:lvl w:ilvl="0" w:tplc="6E60D546">
      <w:start w:val="1"/>
      <w:numFmt w:val="decimal"/>
      <w:lvlText w:val="4.%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86" w15:restartNumberingAfterBreak="0">
    <w:nsid w:val="24F870C8"/>
    <w:multiLevelType w:val="hybridMultilevel"/>
    <w:tmpl w:val="069E2BAA"/>
    <w:lvl w:ilvl="0" w:tplc="8AD23582">
      <w:start w:val="1"/>
      <w:numFmt w:val="lowerLetter"/>
      <w:lvlText w:val="(%1)"/>
      <w:lvlJc w:val="left"/>
      <w:pPr>
        <w:ind w:left="360" w:hanging="360"/>
      </w:pPr>
      <w:rPr>
        <w:rFonts w:hint="default"/>
      </w:rPr>
    </w:lvl>
    <w:lvl w:ilvl="1" w:tplc="0E9AB02A" w:tentative="1">
      <w:start w:val="1"/>
      <w:numFmt w:val="aiueoFullWidth"/>
      <w:lvlText w:val="(%2)"/>
      <w:lvlJc w:val="left"/>
      <w:pPr>
        <w:ind w:left="840" w:hanging="420"/>
      </w:pPr>
    </w:lvl>
    <w:lvl w:ilvl="2" w:tplc="CC264626" w:tentative="1">
      <w:start w:val="1"/>
      <w:numFmt w:val="decimalEnclosedCircle"/>
      <w:lvlText w:val="%3"/>
      <w:lvlJc w:val="left"/>
      <w:pPr>
        <w:ind w:left="1260" w:hanging="420"/>
      </w:pPr>
    </w:lvl>
    <w:lvl w:ilvl="3" w:tplc="95AAFE10" w:tentative="1">
      <w:start w:val="1"/>
      <w:numFmt w:val="decimal"/>
      <w:lvlText w:val="%4."/>
      <w:lvlJc w:val="left"/>
      <w:pPr>
        <w:ind w:left="1680" w:hanging="420"/>
      </w:pPr>
    </w:lvl>
    <w:lvl w:ilvl="4" w:tplc="2E7CD9DC" w:tentative="1">
      <w:start w:val="1"/>
      <w:numFmt w:val="aiueoFullWidth"/>
      <w:lvlText w:val="(%5)"/>
      <w:lvlJc w:val="left"/>
      <w:pPr>
        <w:ind w:left="2100" w:hanging="420"/>
      </w:pPr>
    </w:lvl>
    <w:lvl w:ilvl="5" w:tplc="5A48D68C" w:tentative="1">
      <w:start w:val="1"/>
      <w:numFmt w:val="decimalEnclosedCircle"/>
      <w:lvlText w:val="%6"/>
      <w:lvlJc w:val="left"/>
      <w:pPr>
        <w:ind w:left="2520" w:hanging="420"/>
      </w:pPr>
    </w:lvl>
    <w:lvl w:ilvl="6" w:tplc="512EE06C" w:tentative="1">
      <w:start w:val="1"/>
      <w:numFmt w:val="decimal"/>
      <w:lvlText w:val="%7."/>
      <w:lvlJc w:val="left"/>
      <w:pPr>
        <w:ind w:left="2940" w:hanging="420"/>
      </w:pPr>
    </w:lvl>
    <w:lvl w:ilvl="7" w:tplc="1482FC74" w:tentative="1">
      <w:start w:val="1"/>
      <w:numFmt w:val="aiueoFullWidth"/>
      <w:lvlText w:val="(%8)"/>
      <w:lvlJc w:val="left"/>
      <w:pPr>
        <w:ind w:left="3360" w:hanging="420"/>
      </w:pPr>
    </w:lvl>
    <w:lvl w:ilvl="8" w:tplc="8B280EEC" w:tentative="1">
      <w:start w:val="1"/>
      <w:numFmt w:val="decimalEnclosedCircle"/>
      <w:lvlText w:val="%9"/>
      <w:lvlJc w:val="left"/>
      <w:pPr>
        <w:ind w:left="3780" w:hanging="420"/>
      </w:pPr>
    </w:lvl>
  </w:abstractNum>
  <w:abstractNum w:abstractNumId="187" w15:restartNumberingAfterBreak="0">
    <w:nsid w:val="250A2AAC"/>
    <w:multiLevelType w:val="hybridMultilevel"/>
    <w:tmpl w:val="74903C8E"/>
    <w:lvl w:ilvl="0" w:tplc="1AA0D2E6">
      <w:start w:val="2"/>
      <w:numFmt w:val="decimal"/>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8" w15:restartNumberingAfterBreak="0">
    <w:nsid w:val="251D07B3"/>
    <w:multiLevelType w:val="hybridMultilevel"/>
    <w:tmpl w:val="66A89856"/>
    <w:lvl w:ilvl="0" w:tplc="44CCA5CC">
      <w:start w:val="1"/>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9" w15:restartNumberingAfterBreak="0">
    <w:nsid w:val="251F60F2"/>
    <w:multiLevelType w:val="hybridMultilevel"/>
    <w:tmpl w:val="E196C0C2"/>
    <w:lvl w:ilvl="0" w:tplc="FC48EB16">
      <w:start w:val="1"/>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0" w15:restartNumberingAfterBreak="0">
    <w:nsid w:val="256844E7"/>
    <w:multiLevelType w:val="hybridMultilevel"/>
    <w:tmpl w:val="141821AC"/>
    <w:lvl w:ilvl="0" w:tplc="5FD85C1E">
      <w:start w:val="4"/>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1" w15:restartNumberingAfterBreak="0">
    <w:nsid w:val="25823196"/>
    <w:multiLevelType w:val="hybridMultilevel"/>
    <w:tmpl w:val="F606D96C"/>
    <w:lvl w:ilvl="0" w:tplc="E4F067AE">
      <w:start w:val="1"/>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2" w15:restartNumberingAfterBreak="0">
    <w:nsid w:val="25C706F1"/>
    <w:multiLevelType w:val="hybridMultilevel"/>
    <w:tmpl w:val="D9CC01B8"/>
    <w:lvl w:ilvl="0" w:tplc="F778728A">
      <w:start w:val="1"/>
      <w:numFmt w:val="lowerLetter"/>
      <w:lvlText w:val="%1)"/>
      <w:lvlJc w:val="left"/>
      <w:pPr>
        <w:ind w:left="420" w:hanging="420"/>
      </w:pPr>
      <w:rPr>
        <w:rFonts w:ascii="ＭＳ ゴシック" w:eastAsia="ＭＳ ゴシック" w:hAnsi="Century" w:hint="eastAsia"/>
        <w:b/>
        <w:i w:val="0"/>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3" w15:restartNumberingAfterBreak="0">
    <w:nsid w:val="25FE4DE8"/>
    <w:multiLevelType w:val="hybridMultilevel"/>
    <w:tmpl w:val="ED86BEB2"/>
    <w:lvl w:ilvl="0" w:tplc="7056FE8E">
      <w:start w:val="3"/>
      <w:numFmt w:val="decimal"/>
      <w:lvlText w:val="%1)"/>
      <w:lvlJc w:val="left"/>
      <w:pPr>
        <w:ind w:left="420" w:hanging="420"/>
      </w:pPr>
      <w:rPr>
        <w:rFonts w:ascii="ＭＳ ゴシック" w:hAnsi="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4" w15:restartNumberingAfterBreak="0">
    <w:nsid w:val="261234F4"/>
    <w:multiLevelType w:val="hybridMultilevel"/>
    <w:tmpl w:val="80687582"/>
    <w:lvl w:ilvl="0" w:tplc="BE845E84">
      <w:start w:val="1"/>
      <w:numFmt w:val="decimal"/>
      <w:lvlText w:val="1.%1)"/>
      <w:lvlJc w:val="left"/>
      <w:pPr>
        <w:ind w:left="1260" w:hanging="420"/>
      </w:pPr>
      <w:rPr>
        <w:rFonts w:asciiTheme="majorEastAsia" w:eastAsia="ＭＳ 明朝" w:hAnsiTheme="majorEastAsia"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5" w15:restartNumberingAfterBreak="0">
    <w:nsid w:val="26AA0FA7"/>
    <w:multiLevelType w:val="hybridMultilevel"/>
    <w:tmpl w:val="3E5A8C80"/>
    <w:lvl w:ilvl="0" w:tplc="B094B0CE">
      <w:start w:val="1"/>
      <w:numFmt w:val="lowerLetter"/>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6" w15:restartNumberingAfterBreak="0">
    <w:nsid w:val="2725660C"/>
    <w:multiLevelType w:val="hybridMultilevel"/>
    <w:tmpl w:val="4D1825FE"/>
    <w:lvl w:ilvl="0" w:tplc="D5525E04">
      <w:start w:val="1"/>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7" w15:restartNumberingAfterBreak="0">
    <w:nsid w:val="276917E3"/>
    <w:multiLevelType w:val="hybridMultilevel"/>
    <w:tmpl w:val="273EB79C"/>
    <w:lvl w:ilvl="0" w:tplc="EF1CB8F6">
      <w:start w:val="1"/>
      <w:numFmt w:val="decimal"/>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8" w15:restartNumberingAfterBreak="0">
    <w:nsid w:val="27801634"/>
    <w:multiLevelType w:val="hybridMultilevel"/>
    <w:tmpl w:val="F0548CB6"/>
    <w:lvl w:ilvl="0" w:tplc="DFE29CF0">
      <w:start w:val="3"/>
      <w:numFmt w:val="lowerLetter"/>
      <w:lvlText w:val="%1)"/>
      <w:lvlJc w:val="left"/>
      <w:pPr>
        <w:ind w:left="1260" w:hanging="420"/>
      </w:pPr>
      <w:rPr>
        <w:rFonts w:ascii="ＭＳ ゴシック" w:eastAsia="ＭＳ ゴシック" w:hAnsiTheme="minorHAnsi" w:hint="eastAsia"/>
        <w:b/>
        <w:i w:val="0"/>
        <w:caps w:val="0"/>
        <w:strike w:val="0"/>
        <w:dstrike w:val="0"/>
        <w:vanish w:val="0"/>
        <w:color w:val="000000"/>
        <w:sz w:val="21"/>
        <w:vertAlign w:val="base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9" w15:restartNumberingAfterBreak="0">
    <w:nsid w:val="278A18E6"/>
    <w:multiLevelType w:val="hybridMultilevel"/>
    <w:tmpl w:val="CCE401AC"/>
    <w:lvl w:ilvl="0" w:tplc="A680EC86">
      <w:start w:val="1"/>
      <w:numFmt w:val="decimal"/>
      <w:lvlText w:val="1.2.%1)"/>
      <w:lvlJc w:val="left"/>
      <w:pPr>
        <w:ind w:left="1257"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0" w15:restartNumberingAfterBreak="0">
    <w:nsid w:val="27912D78"/>
    <w:multiLevelType w:val="hybridMultilevel"/>
    <w:tmpl w:val="1018A5B0"/>
    <w:lvl w:ilvl="0" w:tplc="376EC0C2">
      <w:start w:val="1"/>
      <w:numFmt w:val="decimal"/>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1" w15:restartNumberingAfterBreak="0">
    <w:nsid w:val="279C515A"/>
    <w:multiLevelType w:val="hybridMultilevel"/>
    <w:tmpl w:val="355C91BE"/>
    <w:lvl w:ilvl="0" w:tplc="F952579A">
      <w:start w:val="1"/>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2" w15:restartNumberingAfterBreak="0">
    <w:nsid w:val="27B62D74"/>
    <w:multiLevelType w:val="hybridMultilevel"/>
    <w:tmpl w:val="030A162E"/>
    <w:lvl w:ilvl="0" w:tplc="A172175A">
      <w:start w:val="1"/>
      <w:numFmt w:val="decimal"/>
      <w:lvlText w:val="%1)"/>
      <w:lvlJc w:val="left"/>
      <w:pPr>
        <w:ind w:left="420" w:hanging="420"/>
      </w:pPr>
      <w:rPr>
        <w:rFonts w:ascii="ＭＳ ゴシック" w:hAnsi="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3" w15:restartNumberingAfterBreak="0">
    <w:nsid w:val="27E40AE5"/>
    <w:multiLevelType w:val="hybridMultilevel"/>
    <w:tmpl w:val="CDA61316"/>
    <w:lvl w:ilvl="0" w:tplc="2D800180">
      <w:start w:val="1"/>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4" w15:restartNumberingAfterBreak="0">
    <w:nsid w:val="281979F2"/>
    <w:multiLevelType w:val="hybridMultilevel"/>
    <w:tmpl w:val="1A0CC16C"/>
    <w:lvl w:ilvl="0" w:tplc="967A6774">
      <w:start w:val="3"/>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5" w15:restartNumberingAfterBreak="0">
    <w:nsid w:val="28807AE5"/>
    <w:multiLevelType w:val="hybridMultilevel"/>
    <w:tmpl w:val="EC24D708"/>
    <w:lvl w:ilvl="0" w:tplc="3A60E8DE">
      <w:start w:val="1"/>
      <w:numFmt w:val="lowerLetter"/>
      <w:lvlText w:val="%1)"/>
      <w:lvlJc w:val="left"/>
      <w:pPr>
        <w:ind w:left="1260" w:hanging="420"/>
      </w:pPr>
      <w:rPr>
        <w:rFonts w:ascii="ＭＳ ゴシック" w:eastAsia="ＭＳ ゴシック" w:hAnsiTheme="minorHAnsi" w:hint="eastAsia"/>
        <w:b/>
        <w:i w:val="0"/>
        <w:caps w:val="0"/>
        <w:strike w:val="0"/>
        <w:dstrike w:val="0"/>
        <w:vanish w:val="0"/>
        <w:color w:val="000000"/>
        <w:sz w:val="21"/>
        <w:vertAlign w:val="base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6" w15:restartNumberingAfterBreak="0">
    <w:nsid w:val="28A90421"/>
    <w:multiLevelType w:val="hybridMultilevel"/>
    <w:tmpl w:val="0D40A8DC"/>
    <w:lvl w:ilvl="0" w:tplc="7310ACB6">
      <w:start w:val="1"/>
      <w:numFmt w:val="decimal"/>
      <w:lvlText w:val="2.3.%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7" w15:restartNumberingAfterBreak="0">
    <w:nsid w:val="28B862B3"/>
    <w:multiLevelType w:val="hybridMultilevel"/>
    <w:tmpl w:val="4CD293CC"/>
    <w:lvl w:ilvl="0" w:tplc="C5AC0C90">
      <w:start w:val="3"/>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8" w15:restartNumberingAfterBreak="0">
    <w:nsid w:val="28C26291"/>
    <w:multiLevelType w:val="hybridMultilevel"/>
    <w:tmpl w:val="61B0260E"/>
    <w:lvl w:ilvl="0" w:tplc="153270DE">
      <w:start w:val="1"/>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9" w15:restartNumberingAfterBreak="0">
    <w:nsid w:val="28FC16E7"/>
    <w:multiLevelType w:val="hybridMultilevel"/>
    <w:tmpl w:val="C478E2FA"/>
    <w:lvl w:ilvl="0" w:tplc="F774CD2A">
      <w:start w:val="1"/>
      <w:numFmt w:val="decimal"/>
      <w:lvlText w:val="%1)"/>
      <w:lvlJc w:val="left"/>
      <w:pPr>
        <w:ind w:left="1260" w:hanging="420"/>
      </w:pPr>
      <w:rPr>
        <w:rFonts w:ascii="ＭＳ ゴシック" w:eastAsia="ＭＳ ゴシック" w:hint="eastAsia"/>
        <w:b/>
        <w:i w:val="0"/>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0" w15:restartNumberingAfterBreak="0">
    <w:nsid w:val="2904343F"/>
    <w:multiLevelType w:val="hybridMultilevel"/>
    <w:tmpl w:val="33D4C046"/>
    <w:lvl w:ilvl="0" w:tplc="3550AAEA">
      <w:start w:val="3"/>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1" w15:restartNumberingAfterBreak="0">
    <w:nsid w:val="29462A14"/>
    <w:multiLevelType w:val="hybridMultilevel"/>
    <w:tmpl w:val="FE989880"/>
    <w:lvl w:ilvl="0" w:tplc="C86C8676">
      <w:start w:val="1"/>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2" w15:restartNumberingAfterBreak="0">
    <w:nsid w:val="296554CB"/>
    <w:multiLevelType w:val="hybridMultilevel"/>
    <w:tmpl w:val="7218971A"/>
    <w:lvl w:ilvl="0" w:tplc="E466B66C">
      <w:start w:val="1"/>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3" w15:restartNumberingAfterBreak="0">
    <w:nsid w:val="2992700B"/>
    <w:multiLevelType w:val="hybridMultilevel"/>
    <w:tmpl w:val="255C9FAA"/>
    <w:lvl w:ilvl="0" w:tplc="6CF0D300">
      <w:start w:val="1"/>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4" w15:restartNumberingAfterBreak="0">
    <w:nsid w:val="29B12DBE"/>
    <w:multiLevelType w:val="hybridMultilevel"/>
    <w:tmpl w:val="1082A418"/>
    <w:lvl w:ilvl="0" w:tplc="3EB074A4">
      <w:start w:val="1"/>
      <w:numFmt w:val="lowerLetter"/>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5" w15:restartNumberingAfterBreak="0">
    <w:nsid w:val="29DC1DDF"/>
    <w:multiLevelType w:val="hybridMultilevel"/>
    <w:tmpl w:val="5CA476E2"/>
    <w:lvl w:ilvl="0" w:tplc="18E0BE98">
      <w:start w:val="1"/>
      <w:numFmt w:val="decimal"/>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6" w15:restartNumberingAfterBreak="0">
    <w:nsid w:val="29E736EB"/>
    <w:multiLevelType w:val="hybridMultilevel"/>
    <w:tmpl w:val="05468D10"/>
    <w:lvl w:ilvl="0" w:tplc="BBE49AF0">
      <w:start w:val="1"/>
      <w:numFmt w:val="decimal"/>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7" w15:restartNumberingAfterBreak="0">
    <w:nsid w:val="29F01A3C"/>
    <w:multiLevelType w:val="hybridMultilevel"/>
    <w:tmpl w:val="689E0EF4"/>
    <w:lvl w:ilvl="0" w:tplc="223CC148">
      <w:start w:val="1"/>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8" w15:restartNumberingAfterBreak="0">
    <w:nsid w:val="2A583B77"/>
    <w:multiLevelType w:val="hybridMultilevel"/>
    <w:tmpl w:val="6A525D64"/>
    <w:lvl w:ilvl="0" w:tplc="44B680E0">
      <w:start w:val="1"/>
      <w:numFmt w:val="lowerLetter"/>
      <w:lvlText w:val="%1)"/>
      <w:lvlJc w:val="left"/>
      <w:pPr>
        <w:ind w:left="1260" w:hanging="420"/>
      </w:pPr>
      <w:rPr>
        <w:rFonts w:ascii="ＭＳ ゴシック" w:eastAsia="ＭＳ ゴシック" w:hAnsiTheme="minorHAnsi" w:hint="eastAsia"/>
        <w:b/>
        <w:i w:val="0"/>
        <w:caps w:val="0"/>
        <w:strike w:val="0"/>
        <w:dstrike w:val="0"/>
        <w:vanish w:val="0"/>
        <w:color w:val="000000"/>
        <w:sz w:val="21"/>
        <w:vertAlign w:val="baseline"/>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19" w15:restartNumberingAfterBreak="0">
    <w:nsid w:val="2A5C439F"/>
    <w:multiLevelType w:val="hybridMultilevel"/>
    <w:tmpl w:val="BD223A5A"/>
    <w:lvl w:ilvl="0" w:tplc="C0C03B6E">
      <w:start w:val="2"/>
      <w:numFmt w:val="decimal"/>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0" w15:restartNumberingAfterBreak="0">
    <w:nsid w:val="2A937DBD"/>
    <w:multiLevelType w:val="hybridMultilevel"/>
    <w:tmpl w:val="26F278D6"/>
    <w:lvl w:ilvl="0" w:tplc="DF7670E4">
      <w:start w:val="3"/>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1" w15:restartNumberingAfterBreak="0">
    <w:nsid w:val="2AEF46D0"/>
    <w:multiLevelType w:val="hybridMultilevel"/>
    <w:tmpl w:val="B5367A12"/>
    <w:lvl w:ilvl="0" w:tplc="2BE09706">
      <w:start w:val="1"/>
      <w:numFmt w:val="decimal"/>
      <w:lvlText w:val="%1)"/>
      <w:lvlJc w:val="left"/>
      <w:pPr>
        <w:ind w:left="1260" w:hanging="420"/>
      </w:pPr>
      <w:rPr>
        <w:rFonts w:ascii="ＭＳ ゴシック" w:eastAsia="ＭＳ ゴシック" w:hint="eastAsia"/>
        <w:b/>
        <w:i w:val="0"/>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2" w15:restartNumberingAfterBreak="0">
    <w:nsid w:val="2AF53560"/>
    <w:multiLevelType w:val="hybridMultilevel"/>
    <w:tmpl w:val="E8082C74"/>
    <w:lvl w:ilvl="0" w:tplc="7AD25E62">
      <w:start w:val="1"/>
      <w:numFmt w:val="decimal"/>
      <w:lvlText w:val="%1)"/>
      <w:lvlJc w:val="left"/>
      <w:pPr>
        <w:ind w:left="647"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3" w15:restartNumberingAfterBreak="0">
    <w:nsid w:val="2AF66A43"/>
    <w:multiLevelType w:val="hybridMultilevel"/>
    <w:tmpl w:val="84CE3F04"/>
    <w:lvl w:ilvl="0" w:tplc="2AE2A1D2">
      <w:start w:val="1"/>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4" w15:restartNumberingAfterBreak="0">
    <w:nsid w:val="2B4832BA"/>
    <w:multiLevelType w:val="hybridMultilevel"/>
    <w:tmpl w:val="9D9CDFF4"/>
    <w:lvl w:ilvl="0" w:tplc="3488AA5C">
      <w:start w:val="1"/>
      <w:numFmt w:val="decimal"/>
      <w:lvlText w:val="%1)"/>
      <w:lvlJc w:val="left"/>
      <w:pPr>
        <w:ind w:left="1260" w:hanging="420"/>
      </w:pPr>
      <w:rPr>
        <w:rFonts w:ascii="ＭＳ ゴシック" w:eastAsia="ＭＳ ゴシック" w:hint="eastAsia"/>
        <w:b/>
        <w:i w:val="0"/>
        <w:color w:val="000000" w:themeColor="text1"/>
        <w:sz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25" w15:restartNumberingAfterBreak="0">
    <w:nsid w:val="2B6321F2"/>
    <w:multiLevelType w:val="hybridMultilevel"/>
    <w:tmpl w:val="E2BE559A"/>
    <w:lvl w:ilvl="0" w:tplc="F392D5DE">
      <w:start w:val="3"/>
      <w:numFmt w:val="lowerLetter"/>
      <w:lvlText w:val="%1)"/>
      <w:lvlJc w:val="left"/>
      <w:pPr>
        <w:ind w:left="1260" w:hanging="420"/>
      </w:pPr>
      <w:rPr>
        <w:rFonts w:ascii="ＭＳ ゴシック" w:eastAsia="ＭＳ ゴシック" w:hAnsiTheme="minorHAnsi" w:hint="eastAsia"/>
        <w:b/>
        <w:i w:val="0"/>
        <w:caps w:val="0"/>
        <w:strike w:val="0"/>
        <w:dstrike w:val="0"/>
        <w:vanish w:val="0"/>
        <w:color w:val="000000"/>
        <w:sz w:val="21"/>
        <w:vertAlign w:val="base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6" w15:restartNumberingAfterBreak="0">
    <w:nsid w:val="2BC9077F"/>
    <w:multiLevelType w:val="hybridMultilevel"/>
    <w:tmpl w:val="7CAC59AA"/>
    <w:lvl w:ilvl="0" w:tplc="3F1A2428">
      <w:start w:val="1"/>
      <w:numFmt w:val="lowerLetter"/>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7" w15:restartNumberingAfterBreak="0">
    <w:nsid w:val="2C1B4269"/>
    <w:multiLevelType w:val="hybridMultilevel"/>
    <w:tmpl w:val="DB48D994"/>
    <w:lvl w:ilvl="0" w:tplc="61B6F13E">
      <w:start w:val="3"/>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8" w15:restartNumberingAfterBreak="0">
    <w:nsid w:val="2C1F67DB"/>
    <w:multiLevelType w:val="hybridMultilevel"/>
    <w:tmpl w:val="FCB8CDBC"/>
    <w:lvl w:ilvl="0" w:tplc="2FF8B496">
      <w:start w:val="1"/>
      <w:numFmt w:val="decimal"/>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9" w15:restartNumberingAfterBreak="0">
    <w:nsid w:val="2C6B46CA"/>
    <w:multiLevelType w:val="hybridMultilevel"/>
    <w:tmpl w:val="0C58EE4E"/>
    <w:lvl w:ilvl="0" w:tplc="B83A2EEC">
      <w:start w:val="3"/>
      <w:numFmt w:val="decimal"/>
      <w:lvlText w:val="%1)"/>
      <w:lvlJc w:val="left"/>
      <w:pPr>
        <w:ind w:left="704"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0" w15:restartNumberingAfterBreak="0">
    <w:nsid w:val="2C795A31"/>
    <w:multiLevelType w:val="hybridMultilevel"/>
    <w:tmpl w:val="C21AF18A"/>
    <w:lvl w:ilvl="0" w:tplc="E2EC15EC">
      <w:start w:val="3"/>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1" w15:restartNumberingAfterBreak="0">
    <w:nsid w:val="2C7B2930"/>
    <w:multiLevelType w:val="hybridMultilevel"/>
    <w:tmpl w:val="323C8FB0"/>
    <w:lvl w:ilvl="0" w:tplc="60D68E86">
      <w:start w:val="1"/>
      <w:numFmt w:val="decimal"/>
      <w:lvlText w:val="2.%1)"/>
      <w:lvlJc w:val="left"/>
      <w:pPr>
        <w:ind w:left="1271" w:hanging="420"/>
      </w:pPr>
      <w:rPr>
        <w:rFonts w:ascii="ＭＳ ゴシック" w:eastAsia="ＭＳ ゴシック" w:hint="eastAsia"/>
        <w:b/>
        <w:i w:val="0"/>
        <w:sz w:val="21"/>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232" w15:restartNumberingAfterBreak="0">
    <w:nsid w:val="2C8A6EF0"/>
    <w:multiLevelType w:val="hybridMultilevel"/>
    <w:tmpl w:val="85D23D78"/>
    <w:lvl w:ilvl="0" w:tplc="482AEB2A">
      <w:start w:val="1"/>
      <w:numFmt w:val="lowerLetter"/>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3" w15:restartNumberingAfterBreak="0">
    <w:nsid w:val="2CC71689"/>
    <w:multiLevelType w:val="hybridMultilevel"/>
    <w:tmpl w:val="8B5821AE"/>
    <w:lvl w:ilvl="0" w:tplc="DF72941C">
      <w:start w:val="1"/>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4" w15:restartNumberingAfterBreak="0">
    <w:nsid w:val="2CDA65CE"/>
    <w:multiLevelType w:val="hybridMultilevel"/>
    <w:tmpl w:val="C2F23AB6"/>
    <w:lvl w:ilvl="0" w:tplc="2EA6FFBC">
      <w:start w:val="4"/>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5" w15:restartNumberingAfterBreak="0">
    <w:nsid w:val="2D067F4F"/>
    <w:multiLevelType w:val="hybridMultilevel"/>
    <w:tmpl w:val="9BEAE416"/>
    <w:lvl w:ilvl="0" w:tplc="E466B66C">
      <w:start w:val="1"/>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6" w15:restartNumberingAfterBreak="0">
    <w:nsid w:val="2D63589E"/>
    <w:multiLevelType w:val="hybridMultilevel"/>
    <w:tmpl w:val="FB2EA722"/>
    <w:lvl w:ilvl="0" w:tplc="DF2412BE">
      <w:start w:val="3"/>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7" w15:restartNumberingAfterBreak="0">
    <w:nsid w:val="2DA435DB"/>
    <w:multiLevelType w:val="hybridMultilevel"/>
    <w:tmpl w:val="BDD2BE46"/>
    <w:lvl w:ilvl="0" w:tplc="BF6E5C40">
      <w:start w:val="1"/>
      <w:numFmt w:val="lowerLetter"/>
      <w:lvlText w:val="%1)"/>
      <w:lvlJc w:val="left"/>
      <w:pPr>
        <w:ind w:left="1260" w:hanging="420"/>
      </w:pPr>
      <w:rPr>
        <w:rFonts w:ascii="ＭＳ ゴシック" w:eastAsia="ＭＳ ゴシック" w:hAnsiTheme="minorHAnsi" w:hint="eastAsia"/>
        <w:b/>
        <w:i w:val="0"/>
        <w:caps w:val="0"/>
        <w:strike w:val="0"/>
        <w:dstrike w:val="0"/>
        <w:vanish w:val="0"/>
        <w:color w:val="000000"/>
        <w:sz w:val="21"/>
        <w:vertAlign w:val="base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8" w15:restartNumberingAfterBreak="0">
    <w:nsid w:val="2DA8437B"/>
    <w:multiLevelType w:val="hybridMultilevel"/>
    <w:tmpl w:val="544A0514"/>
    <w:lvl w:ilvl="0" w:tplc="C2CC8C20">
      <w:start w:val="1"/>
      <w:numFmt w:val="decimal"/>
      <w:lvlText w:val="%1)"/>
      <w:lvlJc w:val="left"/>
      <w:pPr>
        <w:ind w:left="1260" w:hanging="420"/>
      </w:pPr>
      <w:rPr>
        <w:rFonts w:ascii="ＭＳ ゴシック" w:eastAsia="ＭＳ ゴシック" w:hint="eastAsia"/>
        <w:b/>
        <w:i w:val="0"/>
        <w:color w:val="auto"/>
        <w:sz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39" w15:restartNumberingAfterBreak="0">
    <w:nsid w:val="2E1D3EC3"/>
    <w:multiLevelType w:val="hybridMultilevel"/>
    <w:tmpl w:val="E436AA18"/>
    <w:lvl w:ilvl="0" w:tplc="65D8898C">
      <w:start w:val="3"/>
      <w:numFmt w:val="decimal"/>
      <w:lvlText w:val="%1)"/>
      <w:lvlJc w:val="left"/>
      <w:pPr>
        <w:ind w:left="704"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0" w15:restartNumberingAfterBreak="0">
    <w:nsid w:val="2E3C6153"/>
    <w:multiLevelType w:val="hybridMultilevel"/>
    <w:tmpl w:val="E0D03C1E"/>
    <w:lvl w:ilvl="0" w:tplc="DD8E1ED4">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41" w15:restartNumberingAfterBreak="0">
    <w:nsid w:val="2E7A2A80"/>
    <w:multiLevelType w:val="hybridMultilevel"/>
    <w:tmpl w:val="54E0A088"/>
    <w:lvl w:ilvl="0" w:tplc="1936AD14">
      <w:start w:val="1"/>
      <w:numFmt w:val="lowerLetter"/>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2" w15:restartNumberingAfterBreak="0">
    <w:nsid w:val="2EF4097E"/>
    <w:multiLevelType w:val="hybridMultilevel"/>
    <w:tmpl w:val="69C641A4"/>
    <w:lvl w:ilvl="0" w:tplc="3488AA5C">
      <w:start w:val="1"/>
      <w:numFmt w:val="decimal"/>
      <w:lvlText w:val="%1)"/>
      <w:lvlJc w:val="left"/>
      <w:pPr>
        <w:ind w:left="1260" w:hanging="420"/>
      </w:pPr>
      <w:rPr>
        <w:rFonts w:ascii="ＭＳ ゴシック" w:eastAsia="ＭＳ ゴシック" w:hint="eastAsia"/>
        <w:b/>
        <w:i w:val="0"/>
        <w:color w:val="000000" w:themeColor="text1"/>
        <w:sz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43" w15:restartNumberingAfterBreak="0">
    <w:nsid w:val="2EFC48F3"/>
    <w:multiLevelType w:val="hybridMultilevel"/>
    <w:tmpl w:val="A8703C66"/>
    <w:lvl w:ilvl="0" w:tplc="E4FE747C">
      <w:start w:val="1"/>
      <w:numFmt w:val="decimal"/>
      <w:lvlText w:val="3.%1)"/>
      <w:lvlJc w:val="left"/>
      <w:pPr>
        <w:ind w:left="1260" w:hanging="420"/>
      </w:pPr>
      <w:rPr>
        <w:rFonts w:asciiTheme="majorEastAsia" w:eastAsia="ＭＳ 明朝" w:hAnsiTheme="majorEastAsia"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4" w15:restartNumberingAfterBreak="0">
    <w:nsid w:val="2FB20CAC"/>
    <w:multiLevelType w:val="hybridMultilevel"/>
    <w:tmpl w:val="91282D58"/>
    <w:lvl w:ilvl="0" w:tplc="E35E2218">
      <w:start w:val="1"/>
      <w:numFmt w:val="decimal"/>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5" w15:restartNumberingAfterBreak="0">
    <w:nsid w:val="2FED4DA3"/>
    <w:multiLevelType w:val="hybridMultilevel"/>
    <w:tmpl w:val="490A836E"/>
    <w:lvl w:ilvl="0" w:tplc="A6FEFD1A">
      <w:start w:val="2"/>
      <w:numFmt w:val="decimal"/>
      <w:lvlText w:val="1.%1)"/>
      <w:lvlJc w:val="left"/>
      <w:pPr>
        <w:ind w:left="531"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6" w15:restartNumberingAfterBreak="0">
    <w:nsid w:val="30185806"/>
    <w:multiLevelType w:val="hybridMultilevel"/>
    <w:tmpl w:val="36303EB0"/>
    <w:lvl w:ilvl="0" w:tplc="28F46A7A">
      <w:start w:val="1"/>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7" w15:restartNumberingAfterBreak="0">
    <w:nsid w:val="302528C2"/>
    <w:multiLevelType w:val="hybridMultilevel"/>
    <w:tmpl w:val="9404F838"/>
    <w:lvl w:ilvl="0" w:tplc="37980B8C">
      <w:start w:val="1"/>
      <w:numFmt w:val="lowerLetter"/>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8" w15:restartNumberingAfterBreak="0">
    <w:nsid w:val="3027777E"/>
    <w:multiLevelType w:val="hybridMultilevel"/>
    <w:tmpl w:val="FB463D26"/>
    <w:lvl w:ilvl="0" w:tplc="DD8E1ED4">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49" w15:restartNumberingAfterBreak="0">
    <w:nsid w:val="30461F37"/>
    <w:multiLevelType w:val="hybridMultilevel"/>
    <w:tmpl w:val="8E90A846"/>
    <w:lvl w:ilvl="0" w:tplc="5CB06154">
      <w:start w:val="1"/>
      <w:numFmt w:val="lowerLetter"/>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0" w15:restartNumberingAfterBreak="0">
    <w:nsid w:val="30C47D1E"/>
    <w:multiLevelType w:val="hybridMultilevel"/>
    <w:tmpl w:val="80B2CDB4"/>
    <w:lvl w:ilvl="0" w:tplc="6E60D546">
      <w:start w:val="1"/>
      <w:numFmt w:val="decimal"/>
      <w:lvlText w:val="4.%1)"/>
      <w:lvlJc w:val="left"/>
      <w:pPr>
        <w:ind w:left="1345" w:hanging="420"/>
      </w:pPr>
      <w:rPr>
        <w:rFonts w:ascii="ＭＳ ゴシック" w:eastAsia="ＭＳ ゴシック" w:hint="eastAsia"/>
        <w:b/>
        <w:i w:val="0"/>
        <w:sz w:val="21"/>
      </w:rPr>
    </w:lvl>
    <w:lvl w:ilvl="1" w:tplc="04090017" w:tentative="1">
      <w:start w:val="1"/>
      <w:numFmt w:val="aiueoFullWidth"/>
      <w:lvlText w:val="(%2)"/>
      <w:lvlJc w:val="left"/>
      <w:pPr>
        <w:ind w:left="1765" w:hanging="420"/>
      </w:pPr>
    </w:lvl>
    <w:lvl w:ilvl="2" w:tplc="04090011" w:tentative="1">
      <w:start w:val="1"/>
      <w:numFmt w:val="decimalEnclosedCircle"/>
      <w:lvlText w:val="%3"/>
      <w:lvlJc w:val="left"/>
      <w:pPr>
        <w:ind w:left="2185" w:hanging="420"/>
      </w:pPr>
    </w:lvl>
    <w:lvl w:ilvl="3" w:tplc="0409000F" w:tentative="1">
      <w:start w:val="1"/>
      <w:numFmt w:val="decimal"/>
      <w:lvlText w:val="%4."/>
      <w:lvlJc w:val="left"/>
      <w:pPr>
        <w:ind w:left="2605" w:hanging="420"/>
      </w:pPr>
    </w:lvl>
    <w:lvl w:ilvl="4" w:tplc="04090017" w:tentative="1">
      <w:start w:val="1"/>
      <w:numFmt w:val="aiueoFullWidth"/>
      <w:lvlText w:val="(%5)"/>
      <w:lvlJc w:val="left"/>
      <w:pPr>
        <w:ind w:left="3025" w:hanging="420"/>
      </w:pPr>
    </w:lvl>
    <w:lvl w:ilvl="5" w:tplc="04090011" w:tentative="1">
      <w:start w:val="1"/>
      <w:numFmt w:val="decimalEnclosedCircle"/>
      <w:lvlText w:val="%6"/>
      <w:lvlJc w:val="left"/>
      <w:pPr>
        <w:ind w:left="3445" w:hanging="420"/>
      </w:pPr>
    </w:lvl>
    <w:lvl w:ilvl="6" w:tplc="0409000F" w:tentative="1">
      <w:start w:val="1"/>
      <w:numFmt w:val="decimal"/>
      <w:lvlText w:val="%7."/>
      <w:lvlJc w:val="left"/>
      <w:pPr>
        <w:ind w:left="3865" w:hanging="420"/>
      </w:pPr>
    </w:lvl>
    <w:lvl w:ilvl="7" w:tplc="04090017" w:tentative="1">
      <w:start w:val="1"/>
      <w:numFmt w:val="aiueoFullWidth"/>
      <w:lvlText w:val="(%8)"/>
      <w:lvlJc w:val="left"/>
      <w:pPr>
        <w:ind w:left="4285" w:hanging="420"/>
      </w:pPr>
    </w:lvl>
    <w:lvl w:ilvl="8" w:tplc="04090011" w:tentative="1">
      <w:start w:val="1"/>
      <w:numFmt w:val="decimalEnclosedCircle"/>
      <w:lvlText w:val="%9"/>
      <w:lvlJc w:val="left"/>
      <w:pPr>
        <w:ind w:left="4705" w:hanging="420"/>
      </w:pPr>
    </w:lvl>
  </w:abstractNum>
  <w:abstractNum w:abstractNumId="251" w15:restartNumberingAfterBreak="0">
    <w:nsid w:val="31850B85"/>
    <w:multiLevelType w:val="hybridMultilevel"/>
    <w:tmpl w:val="63401216"/>
    <w:lvl w:ilvl="0" w:tplc="8C3EBB8C">
      <w:start w:val="3"/>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2" w15:restartNumberingAfterBreak="0">
    <w:nsid w:val="32260B52"/>
    <w:multiLevelType w:val="hybridMultilevel"/>
    <w:tmpl w:val="028C01E8"/>
    <w:lvl w:ilvl="0" w:tplc="6E54EB60">
      <w:start w:val="6"/>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3" w15:restartNumberingAfterBreak="0">
    <w:nsid w:val="32396484"/>
    <w:multiLevelType w:val="hybridMultilevel"/>
    <w:tmpl w:val="EC82C99C"/>
    <w:lvl w:ilvl="0" w:tplc="0F628F92">
      <w:start w:val="2"/>
      <w:numFmt w:val="lowerLetter"/>
      <w:lvlText w:val="%1)"/>
      <w:lvlJc w:val="left"/>
      <w:pPr>
        <w:ind w:left="1260" w:hanging="420"/>
      </w:pPr>
      <w:rPr>
        <w:rFonts w:ascii="ＭＳ ゴシック" w:eastAsia="ＭＳ ゴシック" w:hAnsiTheme="minorHAnsi" w:hint="eastAsia"/>
        <w:b/>
        <w:i w:val="0"/>
        <w:caps w:val="0"/>
        <w:strike w:val="0"/>
        <w:dstrike w:val="0"/>
        <w:vanish w:val="0"/>
        <w:color w:val="000000"/>
        <w:sz w:val="21"/>
        <w:vertAlign w:val="base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4" w15:restartNumberingAfterBreak="0">
    <w:nsid w:val="325E7917"/>
    <w:multiLevelType w:val="hybridMultilevel"/>
    <w:tmpl w:val="95D461E2"/>
    <w:lvl w:ilvl="0" w:tplc="14185000">
      <w:start w:val="3"/>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5" w15:restartNumberingAfterBreak="0">
    <w:nsid w:val="32650D16"/>
    <w:multiLevelType w:val="hybridMultilevel"/>
    <w:tmpl w:val="76EEE410"/>
    <w:lvl w:ilvl="0" w:tplc="B35093B0">
      <w:start w:val="1"/>
      <w:numFmt w:val="decimal"/>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6" w15:restartNumberingAfterBreak="0">
    <w:nsid w:val="32B74455"/>
    <w:multiLevelType w:val="hybridMultilevel"/>
    <w:tmpl w:val="7B862278"/>
    <w:lvl w:ilvl="0" w:tplc="0DC0E0F6">
      <w:start w:val="1"/>
      <w:numFmt w:val="decimal"/>
      <w:lvlText w:val="2.2.%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57" w15:restartNumberingAfterBreak="0">
    <w:nsid w:val="32FF2AA8"/>
    <w:multiLevelType w:val="hybridMultilevel"/>
    <w:tmpl w:val="06121B96"/>
    <w:lvl w:ilvl="0" w:tplc="3D487C60">
      <w:start w:val="1"/>
      <w:numFmt w:val="decimal"/>
      <w:lvlText w:val="1.%1)"/>
      <w:lvlJc w:val="left"/>
      <w:pPr>
        <w:ind w:left="1367" w:hanging="420"/>
      </w:pPr>
      <w:rPr>
        <w:rFonts w:ascii="ＭＳ ゴシック" w:eastAsia="ＭＳ ゴシック" w:hint="eastAsia"/>
        <w:b/>
        <w:i w:val="0"/>
        <w:sz w:val="21"/>
      </w:rPr>
    </w:lvl>
    <w:lvl w:ilvl="1" w:tplc="04090017" w:tentative="1">
      <w:start w:val="1"/>
      <w:numFmt w:val="aiueoFullWidth"/>
      <w:lvlText w:val="(%2)"/>
      <w:lvlJc w:val="left"/>
      <w:pPr>
        <w:ind w:left="1787" w:hanging="420"/>
      </w:pPr>
    </w:lvl>
    <w:lvl w:ilvl="2" w:tplc="04090011" w:tentative="1">
      <w:start w:val="1"/>
      <w:numFmt w:val="decimalEnclosedCircle"/>
      <w:lvlText w:val="%3"/>
      <w:lvlJc w:val="left"/>
      <w:pPr>
        <w:ind w:left="2207" w:hanging="420"/>
      </w:pPr>
    </w:lvl>
    <w:lvl w:ilvl="3" w:tplc="0409000F" w:tentative="1">
      <w:start w:val="1"/>
      <w:numFmt w:val="decimal"/>
      <w:lvlText w:val="%4."/>
      <w:lvlJc w:val="left"/>
      <w:pPr>
        <w:ind w:left="2627" w:hanging="420"/>
      </w:pPr>
    </w:lvl>
    <w:lvl w:ilvl="4" w:tplc="04090017" w:tentative="1">
      <w:start w:val="1"/>
      <w:numFmt w:val="aiueoFullWidth"/>
      <w:lvlText w:val="(%5)"/>
      <w:lvlJc w:val="left"/>
      <w:pPr>
        <w:ind w:left="3047" w:hanging="420"/>
      </w:pPr>
    </w:lvl>
    <w:lvl w:ilvl="5" w:tplc="04090011" w:tentative="1">
      <w:start w:val="1"/>
      <w:numFmt w:val="decimalEnclosedCircle"/>
      <w:lvlText w:val="%6"/>
      <w:lvlJc w:val="left"/>
      <w:pPr>
        <w:ind w:left="3467" w:hanging="420"/>
      </w:pPr>
    </w:lvl>
    <w:lvl w:ilvl="6" w:tplc="0409000F" w:tentative="1">
      <w:start w:val="1"/>
      <w:numFmt w:val="decimal"/>
      <w:lvlText w:val="%7."/>
      <w:lvlJc w:val="left"/>
      <w:pPr>
        <w:ind w:left="3887" w:hanging="420"/>
      </w:pPr>
    </w:lvl>
    <w:lvl w:ilvl="7" w:tplc="04090017" w:tentative="1">
      <w:start w:val="1"/>
      <w:numFmt w:val="aiueoFullWidth"/>
      <w:lvlText w:val="(%8)"/>
      <w:lvlJc w:val="left"/>
      <w:pPr>
        <w:ind w:left="4307" w:hanging="420"/>
      </w:pPr>
    </w:lvl>
    <w:lvl w:ilvl="8" w:tplc="04090011" w:tentative="1">
      <w:start w:val="1"/>
      <w:numFmt w:val="decimalEnclosedCircle"/>
      <w:lvlText w:val="%9"/>
      <w:lvlJc w:val="left"/>
      <w:pPr>
        <w:ind w:left="4727" w:hanging="420"/>
      </w:pPr>
    </w:lvl>
  </w:abstractNum>
  <w:abstractNum w:abstractNumId="258" w15:restartNumberingAfterBreak="0">
    <w:nsid w:val="33021F48"/>
    <w:multiLevelType w:val="hybridMultilevel"/>
    <w:tmpl w:val="A6F0BD12"/>
    <w:lvl w:ilvl="0" w:tplc="4816C300">
      <w:start w:val="2"/>
      <w:numFmt w:val="lowerLetter"/>
      <w:lvlText w:val="%1)"/>
      <w:lvlJc w:val="left"/>
      <w:pPr>
        <w:ind w:left="1260" w:hanging="420"/>
      </w:pPr>
      <w:rPr>
        <w:rFonts w:ascii="ＭＳ ゴシック" w:eastAsia="ＭＳ ゴシック" w:hAnsiTheme="minorHAnsi" w:hint="eastAsia"/>
        <w:b/>
        <w:i w:val="0"/>
        <w:caps w:val="0"/>
        <w:strike w:val="0"/>
        <w:dstrike w:val="0"/>
        <w:vanish w:val="0"/>
        <w:color w:val="000000"/>
        <w:sz w:val="21"/>
        <w:vertAlign w:val="base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9" w15:restartNumberingAfterBreak="0">
    <w:nsid w:val="336C7D85"/>
    <w:multiLevelType w:val="hybridMultilevel"/>
    <w:tmpl w:val="2BA6E060"/>
    <w:lvl w:ilvl="0" w:tplc="DD8E1ED4">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60" w15:restartNumberingAfterBreak="0">
    <w:nsid w:val="338D6393"/>
    <w:multiLevelType w:val="hybridMultilevel"/>
    <w:tmpl w:val="A3C67E2E"/>
    <w:lvl w:ilvl="0" w:tplc="780E2430">
      <w:start w:val="1"/>
      <w:numFmt w:val="decimal"/>
      <w:lvlText w:val="%1)"/>
      <w:lvlJc w:val="left"/>
      <w:pPr>
        <w:ind w:left="1260" w:hanging="420"/>
      </w:pPr>
      <w:rPr>
        <w:rFonts w:asciiTheme="majorEastAsia" w:eastAsiaTheme="majorEastAsia" w:hAnsiTheme="majorEastAsia" w:hint="default"/>
        <w:b/>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61" w15:restartNumberingAfterBreak="0">
    <w:nsid w:val="33CE2264"/>
    <w:multiLevelType w:val="hybridMultilevel"/>
    <w:tmpl w:val="FE3A8EEA"/>
    <w:lvl w:ilvl="0" w:tplc="61964FEC">
      <w:start w:val="4"/>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2" w15:restartNumberingAfterBreak="0">
    <w:nsid w:val="34141CEE"/>
    <w:multiLevelType w:val="hybridMultilevel"/>
    <w:tmpl w:val="0D3049E4"/>
    <w:lvl w:ilvl="0" w:tplc="34228B52">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3" w15:restartNumberingAfterBreak="0">
    <w:nsid w:val="347A7D4B"/>
    <w:multiLevelType w:val="hybridMultilevel"/>
    <w:tmpl w:val="036475A0"/>
    <w:lvl w:ilvl="0" w:tplc="3E12A96E">
      <w:start w:val="1"/>
      <w:numFmt w:val="decimal"/>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4" w15:restartNumberingAfterBreak="0">
    <w:nsid w:val="347C2508"/>
    <w:multiLevelType w:val="hybridMultilevel"/>
    <w:tmpl w:val="1D5473FA"/>
    <w:lvl w:ilvl="0" w:tplc="0F86C836">
      <w:start w:val="3"/>
      <w:numFmt w:val="lowerLetter"/>
      <w:lvlText w:val="%1)"/>
      <w:lvlJc w:val="left"/>
      <w:pPr>
        <w:ind w:left="420" w:hanging="420"/>
      </w:pPr>
      <w:rPr>
        <w:rFonts w:ascii="ＭＳ ゴシック" w:eastAsia="ＭＳ ゴシック" w:hAnsiTheme="minorHAnsi" w:hint="eastAsia"/>
        <w:b/>
        <w:i w:val="0"/>
        <w:caps w:val="0"/>
        <w:strike w:val="0"/>
        <w:dstrike w:val="0"/>
        <w:vanish w:val="0"/>
        <w:color w:val="000000"/>
        <w:sz w:val="21"/>
        <w:vertAlign w:val="base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5" w15:restartNumberingAfterBreak="0">
    <w:nsid w:val="348D3648"/>
    <w:multiLevelType w:val="hybridMultilevel"/>
    <w:tmpl w:val="5B147A1E"/>
    <w:lvl w:ilvl="0" w:tplc="D9F63302">
      <w:start w:val="1"/>
      <w:numFmt w:val="decimal"/>
      <w:lvlText w:val="3.%1)"/>
      <w:lvlJc w:val="left"/>
      <w:pPr>
        <w:ind w:left="1360" w:hanging="420"/>
      </w:pPr>
      <w:rPr>
        <w:rFonts w:ascii="ＭＳ ゴシック" w:eastAsia="ＭＳ ゴシック" w:hint="eastAsia"/>
        <w:b/>
        <w:i w:val="0"/>
        <w:sz w:val="21"/>
      </w:rPr>
    </w:lvl>
    <w:lvl w:ilvl="1" w:tplc="04090017" w:tentative="1">
      <w:start w:val="1"/>
      <w:numFmt w:val="aiueoFullWidth"/>
      <w:lvlText w:val="(%2)"/>
      <w:lvlJc w:val="left"/>
      <w:pPr>
        <w:ind w:left="1780" w:hanging="420"/>
      </w:pPr>
    </w:lvl>
    <w:lvl w:ilvl="2" w:tplc="04090011" w:tentative="1">
      <w:start w:val="1"/>
      <w:numFmt w:val="decimalEnclosedCircle"/>
      <w:lvlText w:val="%3"/>
      <w:lvlJc w:val="left"/>
      <w:pPr>
        <w:ind w:left="2200" w:hanging="420"/>
      </w:pPr>
    </w:lvl>
    <w:lvl w:ilvl="3" w:tplc="0409000F" w:tentative="1">
      <w:start w:val="1"/>
      <w:numFmt w:val="decimal"/>
      <w:lvlText w:val="%4."/>
      <w:lvlJc w:val="left"/>
      <w:pPr>
        <w:ind w:left="2620" w:hanging="420"/>
      </w:pPr>
    </w:lvl>
    <w:lvl w:ilvl="4" w:tplc="04090017" w:tentative="1">
      <w:start w:val="1"/>
      <w:numFmt w:val="aiueoFullWidth"/>
      <w:lvlText w:val="(%5)"/>
      <w:lvlJc w:val="left"/>
      <w:pPr>
        <w:ind w:left="3040" w:hanging="420"/>
      </w:pPr>
    </w:lvl>
    <w:lvl w:ilvl="5" w:tplc="04090011" w:tentative="1">
      <w:start w:val="1"/>
      <w:numFmt w:val="decimalEnclosedCircle"/>
      <w:lvlText w:val="%6"/>
      <w:lvlJc w:val="left"/>
      <w:pPr>
        <w:ind w:left="3460" w:hanging="420"/>
      </w:pPr>
    </w:lvl>
    <w:lvl w:ilvl="6" w:tplc="0409000F" w:tentative="1">
      <w:start w:val="1"/>
      <w:numFmt w:val="decimal"/>
      <w:lvlText w:val="%7."/>
      <w:lvlJc w:val="left"/>
      <w:pPr>
        <w:ind w:left="3880" w:hanging="420"/>
      </w:pPr>
    </w:lvl>
    <w:lvl w:ilvl="7" w:tplc="04090017" w:tentative="1">
      <w:start w:val="1"/>
      <w:numFmt w:val="aiueoFullWidth"/>
      <w:lvlText w:val="(%8)"/>
      <w:lvlJc w:val="left"/>
      <w:pPr>
        <w:ind w:left="4300" w:hanging="420"/>
      </w:pPr>
    </w:lvl>
    <w:lvl w:ilvl="8" w:tplc="04090011" w:tentative="1">
      <w:start w:val="1"/>
      <w:numFmt w:val="decimalEnclosedCircle"/>
      <w:lvlText w:val="%9"/>
      <w:lvlJc w:val="left"/>
      <w:pPr>
        <w:ind w:left="4720" w:hanging="420"/>
      </w:pPr>
    </w:lvl>
  </w:abstractNum>
  <w:abstractNum w:abstractNumId="266" w15:restartNumberingAfterBreak="0">
    <w:nsid w:val="348D393C"/>
    <w:multiLevelType w:val="hybridMultilevel"/>
    <w:tmpl w:val="1BC6F89A"/>
    <w:lvl w:ilvl="0" w:tplc="B3DC7E70">
      <w:start w:val="1"/>
      <w:numFmt w:val="decimal"/>
      <w:lvlText w:val="%1)"/>
      <w:lvlJc w:val="left"/>
      <w:pPr>
        <w:ind w:left="704" w:hanging="420"/>
      </w:pPr>
      <w:rPr>
        <w:rFonts w:ascii="ＭＳ ゴシック" w:eastAsia="ＭＳ ゴシック" w:hint="eastAsia"/>
        <w:b/>
        <w:i w:val="0"/>
        <w:sz w:val="21"/>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67" w15:restartNumberingAfterBreak="0">
    <w:nsid w:val="34916BFC"/>
    <w:multiLevelType w:val="hybridMultilevel"/>
    <w:tmpl w:val="0BEE09FC"/>
    <w:lvl w:ilvl="0" w:tplc="E466B66C">
      <w:start w:val="1"/>
      <w:numFmt w:val="decimal"/>
      <w:lvlText w:val="%1)"/>
      <w:lvlJc w:val="left"/>
      <w:pPr>
        <w:ind w:left="647" w:hanging="420"/>
      </w:pPr>
      <w:rPr>
        <w:rFonts w:ascii="ＭＳ ゴシック" w:eastAsia="ＭＳ ゴシック" w:hint="eastAsia"/>
        <w:b/>
        <w:i w:val="0"/>
        <w:sz w:val="21"/>
      </w:rPr>
    </w:lvl>
    <w:lvl w:ilvl="1" w:tplc="E466B66C">
      <w:start w:val="1"/>
      <w:numFmt w:val="decimal"/>
      <w:lvlText w:val="%2)"/>
      <w:lvlJc w:val="left"/>
      <w:pPr>
        <w:ind w:left="1067" w:hanging="420"/>
      </w:pPr>
      <w:rPr>
        <w:rFonts w:ascii="ＭＳ ゴシック" w:eastAsia="ＭＳ ゴシック" w:hint="eastAsia"/>
        <w:b/>
        <w:i w:val="0"/>
        <w:sz w:val="21"/>
      </w:r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abstractNum w:abstractNumId="268" w15:restartNumberingAfterBreak="0">
    <w:nsid w:val="34B95ABA"/>
    <w:multiLevelType w:val="hybridMultilevel"/>
    <w:tmpl w:val="5C189918"/>
    <w:lvl w:ilvl="0" w:tplc="31525C04">
      <w:start w:val="1"/>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9" w15:restartNumberingAfterBreak="0">
    <w:nsid w:val="34C35C4B"/>
    <w:multiLevelType w:val="hybridMultilevel"/>
    <w:tmpl w:val="87A42458"/>
    <w:lvl w:ilvl="0" w:tplc="FFF288E0">
      <w:start w:val="1"/>
      <w:numFmt w:val="decimal"/>
      <w:lvlText w:val="2.%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70" w15:restartNumberingAfterBreak="0">
    <w:nsid w:val="34DF7C59"/>
    <w:multiLevelType w:val="hybridMultilevel"/>
    <w:tmpl w:val="E91434CA"/>
    <w:styleLink w:val="125"/>
    <w:lvl w:ilvl="0" w:tplc="CB7A990C">
      <w:start w:val="1"/>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1" w15:restartNumberingAfterBreak="0">
    <w:nsid w:val="35455A49"/>
    <w:multiLevelType w:val="hybridMultilevel"/>
    <w:tmpl w:val="46163C1E"/>
    <w:lvl w:ilvl="0" w:tplc="0F86C836">
      <w:start w:val="3"/>
      <w:numFmt w:val="lowerLetter"/>
      <w:lvlText w:val="%1)"/>
      <w:lvlJc w:val="left"/>
      <w:pPr>
        <w:ind w:left="1260" w:hanging="420"/>
      </w:pPr>
      <w:rPr>
        <w:rFonts w:ascii="ＭＳ ゴシック" w:eastAsia="ＭＳ ゴシック" w:hAnsiTheme="minorHAnsi" w:hint="eastAsia"/>
        <w:b/>
        <w:i w:val="0"/>
        <w:caps w:val="0"/>
        <w:strike w:val="0"/>
        <w:dstrike w:val="0"/>
        <w:vanish w:val="0"/>
        <w:color w:val="000000"/>
        <w:sz w:val="21"/>
        <w:vertAlign w:val="baseline"/>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72" w15:restartNumberingAfterBreak="0">
    <w:nsid w:val="355C5215"/>
    <w:multiLevelType w:val="hybridMultilevel"/>
    <w:tmpl w:val="3F02BE42"/>
    <w:lvl w:ilvl="0" w:tplc="8828DB4A">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73" w15:restartNumberingAfterBreak="0">
    <w:nsid w:val="35E835D5"/>
    <w:multiLevelType w:val="hybridMultilevel"/>
    <w:tmpl w:val="0964C2A6"/>
    <w:lvl w:ilvl="0" w:tplc="ACD848BC">
      <w:start w:val="1"/>
      <w:numFmt w:val="lowerLetter"/>
      <w:lvlText w:val="%1)"/>
      <w:lvlJc w:val="left"/>
      <w:pPr>
        <w:ind w:left="1260" w:hanging="420"/>
      </w:pPr>
      <w:rPr>
        <w:rFonts w:asciiTheme="majorEastAsia" w:eastAsiaTheme="majorEastAsia" w:hAnsiTheme="majorEastAsia" w:hint="default"/>
        <w:b/>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74" w15:restartNumberingAfterBreak="0">
    <w:nsid w:val="36534B97"/>
    <w:multiLevelType w:val="hybridMultilevel"/>
    <w:tmpl w:val="29A878D4"/>
    <w:lvl w:ilvl="0" w:tplc="DF705B2E">
      <w:start w:val="2"/>
      <w:numFmt w:val="lowerLetter"/>
      <w:lvlText w:val="%1)"/>
      <w:lvlJc w:val="left"/>
      <w:pPr>
        <w:ind w:left="420" w:hanging="420"/>
      </w:pPr>
      <w:rPr>
        <w:rFonts w:ascii="ＭＳ ゴシック" w:eastAsia="ＭＳ ゴシック" w:hAnsiTheme="minorHAnsi" w:hint="eastAsia"/>
        <w:b/>
        <w:i w:val="0"/>
        <w:caps w:val="0"/>
        <w:strike w:val="0"/>
        <w:dstrike w:val="0"/>
        <w:vanish w:val="0"/>
        <w:color w:val="000000"/>
        <w:sz w:val="21"/>
        <w:vertAlign w:val="base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5" w15:restartNumberingAfterBreak="0">
    <w:nsid w:val="367B58C9"/>
    <w:multiLevelType w:val="hybridMultilevel"/>
    <w:tmpl w:val="6A6C4B46"/>
    <w:lvl w:ilvl="0" w:tplc="86C81238">
      <w:start w:val="1"/>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6" w15:restartNumberingAfterBreak="0">
    <w:nsid w:val="36807D2A"/>
    <w:multiLevelType w:val="hybridMultilevel"/>
    <w:tmpl w:val="88628B6C"/>
    <w:lvl w:ilvl="0" w:tplc="0D7805C0">
      <w:start w:val="1"/>
      <w:numFmt w:val="decimal"/>
      <w:lvlText w:val="4.%1)"/>
      <w:lvlJc w:val="left"/>
      <w:pPr>
        <w:ind w:left="930" w:hanging="420"/>
      </w:pPr>
      <w:rPr>
        <w:rFonts w:ascii="ＭＳ ゴシック" w:eastAsia="ＭＳ ゴシック" w:hint="eastAsia"/>
        <w:b/>
        <w:i w:val="0"/>
        <w:sz w:val="21"/>
      </w:rPr>
    </w:lvl>
    <w:lvl w:ilvl="1" w:tplc="04090017" w:tentative="1">
      <w:start w:val="1"/>
      <w:numFmt w:val="aiueoFullWidth"/>
      <w:lvlText w:val="(%2)"/>
      <w:lvlJc w:val="left"/>
      <w:pPr>
        <w:ind w:left="1350" w:hanging="420"/>
      </w:pPr>
    </w:lvl>
    <w:lvl w:ilvl="2" w:tplc="04090011" w:tentative="1">
      <w:start w:val="1"/>
      <w:numFmt w:val="decimalEnclosedCircle"/>
      <w:lvlText w:val="%3"/>
      <w:lvlJc w:val="left"/>
      <w:pPr>
        <w:ind w:left="1770" w:hanging="420"/>
      </w:pPr>
    </w:lvl>
    <w:lvl w:ilvl="3" w:tplc="0409000F" w:tentative="1">
      <w:start w:val="1"/>
      <w:numFmt w:val="decimal"/>
      <w:lvlText w:val="%4."/>
      <w:lvlJc w:val="left"/>
      <w:pPr>
        <w:ind w:left="2190" w:hanging="420"/>
      </w:pPr>
    </w:lvl>
    <w:lvl w:ilvl="4" w:tplc="04090017" w:tentative="1">
      <w:start w:val="1"/>
      <w:numFmt w:val="aiueoFullWidth"/>
      <w:lvlText w:val="(%5)"/>
      <w:lvlJc w:val="left"/>
      <w:pPr>
        <w:ind w:left="2610" w:hanging="420"/>
      </w:pPr>
    </w:lvl>
    <w:lvl w:ilvl="5" w:tplc="04090011" w:tentative="1">
      <w:start w:val="1"/>
      <w:numFmt w:val="decimalEnclosedCircle"/>
      <w:lvlText w:val="%6"/>
      <w:lvlJc w:val="left"/>
      <w:pPr>
        <w:ind w:left="3030" w:hanging="420"/>
      </w:pPr>
    </w:lvl>
    <w:lvl w:ilvl="6" w:tplc="0409000F" w:tentative="1">
      <w:start w:val="1"/>
      <w:numFmt w:val="decimal"/>
      <w:lvlText w:val="%7."/>
      <w:lvlJc w:val="left"/>
      <w:pPr>
        <w:ind w:left="3450" w:hanging="420"/>
      </w:pPr>
    </w:lvl>
    <w:lvl w:ilvl="7" w:tplc="04090017" w:tentative="1">
      <w:start w:val="1"/>
      <w:numFmt w:val="aiueoFullWidth"/>
      <w:lvlText w:val="(%8)"/>
      <w:lvlJc w:val="left"/>
      <w:pPr>
        <w:ind w:left="3870" w:hanging="420"/>
      </w:pPr>
    </w:lvl>
    <w:lvl w:ilvl="8" w:tplc="04090011" w:tentative="1">
      <w:start w:val="1"/>
      <w:numFmt w:val="decimalEnclosedCircle"/>
      <w:lvlText w:val="%9"/>
      <w:lvlJc w:val="left"/>
      <w:pPr>
        <w:ind w:left="4290" w:hanging="420"/>
      </w:pPr>
    </w:lvl>
  </w:abstractNum>
  <w:abstractNum w:abstractNumId="277" w15:restartNumberingAfterBreak="0">
    <w:nsid w:val="371155AB"/>
    <w:multiLevelType w:val="hybridMultilevel"/>
    <w:tmpl w:val="777437CC"/>
    <w:lvl w:ilvl="0" w:tplc="8B7206F0">
      <w:start w:val="1"/>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8" w15:restartNumberingAfterBreak="0">
    <w:nsid w:val="371B50F9"/>
    <w:multiLevelType w:val="hybridMultilevel"/>
    <w:tmpl w:val="51BCFCDA"/>
    <w:lvl w:ilvl="0" w:tplc="DD8E1ED4">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79" w15:restartNumberingAfterBreak="0">
    <w:nsid w:val="376C6535"/>
    <w:multiLevelType w:val="hybridMultilevel"/>
    <w:tmpl w:val="CDE8D598"/>
    <w:lvl w:ilvl="0" w:tplc="E36408DE">
      <w:start w:val="1"/>
      <w:numFmt w:val="decimal"/>
      <w:lvlText w:val="3.%1)"/>
      <w:lvlJc w:val="left"/>
      <w:pPr>
        <w:ind w:left="1260" w:hanging="420"/>
      </w:pPr>
      <w:rPr>
        <w:rFonts w:asciiTheme="majorEastAsia" w:eastAsia="ＭＳ 明朝" w:hAnsiTheme="majorEastAsia"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0" w15:restartNumberingAfterBreak="0">
    <w:nsid w:val="378E799E"/>
    <w:multiLevelType w:val="hybridMultilevel"/>
    <w:tmpl w:val="CDB075BC"/>
    <w:lvl w:ilvl="0" w:tplc="2696B982">
      <w:start w:val="1"/>
      <w:numFmt w:val="decimal"/>
      <w:lvlText w:val="3.%1)"/>
      <w:lvlJc w:val="left"/>
      <w:pPr>
        <w:ind w:left="420" w:hanging="420"/>
      </w:pPr>
      <w:rPr>
        <w:rFonts w:ascii="ＭＳ ゴシック" w:eastAsia="ＭＳ ゴシック" w:hint="eastAsia"/>
        <w:b/>
        <w:i w:val="0"/>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1" w15:restartNumberingAfterBreak="0">
    <w:nsid w:val="37EF0A92"/>
    <w:multiLevelType w:val="hybridMultilevel"/>
    <w:tmpl w:val="6DAA6DA4"/>
    <w:lvl w:ilvl="0" w:tplc="0B74CE2E">
      <w:start w:val="1"/>
      <w:numFmt w:val="lowerLetter"/>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2" w15:restartNumberingAfterBreak="0">
    <w:nsid w:val="38316BDC"/>
    <w:multiLevelType w:val="hybridMultilevel"/>
    <w:tmpl w:val="69EA8DC4"/>
    <w:lvl w:ilvl="0" w:tplc="B8BEE024">
      <w:start w:val="10"/>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3" w15:restartNumberingAfterBreak="0">
    <w:nsid w:val="38641B9D"/>
    <w:multiLevelType w:val="hybridMultilevel"/>
    <w:tmpl w:val="09A8BF6C"/>
    <w:lvl w:ilvl="0" w:tplc="0E344D86">
      <w:start w:val="2"/>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4" w15:restartNumberingAfterBreak="0">
    <w:nsid w:val="389B52C5"/>
    <w:multiLevelType w:val="hybridMultilevel"/>
    <w:tmpl w:val="0AD62734"/>
    <w:lvl w:ilvl="0" w:tplc="DD8E1ED4">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85" w15:restartNumberingAfterBreak="0">
    <w:nsid w:val="38A24BCA"/>
    <w:multiLevelType w:val="hybridMultilevel"/>
    <w:tmpl w:val="B704B9FA"/>
    <w:lvl w:ilvl="0" w:tplc="780E2430">
      <w:start w:val="1"/>
      <w:numFmt w:val="decimal"/>
      <w:lvlText w:val="%1)"/>
      <w:lvlJc w:val="left"/>
      <w:pPr>
        <w:ind w:left="420" w:hanging="420"/>
      </w:pPr>
      <w:rPr>
        <w:rFonts w:asciiTheme="majorEastAsia" w:eastAsiaTheme="majorEastAsia"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6" w15:restartNumberingAfterBreak="0">
    <w:nsid w:val="38AD0B16"/>
    <w:multiLevelType w:val="hybridMultilevel"/>
    <w:tmpl w:val="8214DEE0"/>
    <w:lvl w:ilvl="0" w:tplc="D024A57E">
      <w:start w:val="1"/>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7" w15:restartNumberingAfterBreak="0">
    <w:nsid w:val="38C46D0E"/>
    <w:multiLevelType w:val="hybridMultilevel"/>
    <w:tmpl w:val="1F58B8DC"/>
    <w:lvl w:ilvl="0" w:tplc="05025B7C">
      <w:start w:val="1"/>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8" w15:restartNumberingAfterBreak="0">
    <w:nsid w:val="38DC21C0"/>
    <w:multiLevelType w:val="hybridMultilevel"/>
    <w:tmpl w:val="DA0A717E"/>
    <w:lvl w:ilvl="0" w:tplc="9A90EC14">
      <w:start w:val="1"/>
      <w:numFmt w:val="decimal"/>
      <w:lvlText w:val="5.%1)"/>
      <w:lvlJc w:val="left"/>
      <w:pPr>
        <w:ind w:left="1260" w:hanging="420"/>
      </w:pPr>
      <w:rPr>
        <w:rFonts w:asciiTheme="majorEastAsia" w:eastAsia="ＭＳ 明朝" w:hAnsiTheme="majorEastAsia"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9" w15:restartNumberingAfterBreak="0">
    <w:nsid w:val="396525DC"/>
    <w:multiLevelType w:val="hybridMultilevel"/>
    <w:tmpl w:val="436AC7DA"/>
    <w:lvl w:ilvl="0" w:tplc="2AE2A1D2">
      <w:start w:val="1"/>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0" w15:restartNumberingAfterBreak="0">
    <w:nsid w:val="39664382"/>
    <w:multiLevelType w:val="hybridMultilevel"/>
    <w:tmpl w:val="262857A0"/>
    <w:lvl w:ilvl="0" w:tplc="AE76526C">
      <w:start w:val="1"/>
      <w:numFmt w:val="decimal"/>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1" w15:restartNumberingAfterBreak="0">
    <w:nsid w:val="39814733"/>
    <w:multiLevelType w:val="hybridMultilevel"/>
    <w:tmpl w:val="FB4E68DE"/>
    <w:lvl w:ilvl="0" w:tplc="0DC0E0F6">
      <w:start w:val="1"/>
      <w:numFmt w:val="decimal"/>
      <w:lvlText w:val="2.2.%1)"/>
      <w:lvlJc w:val="left"/>
      <w:pPr>
        <w:ind w:left="1271" w:hanging="420"/>
      </w:pPr>
      <w:rPr>
        <w:rFonts w:ascii="ＭＳ ゴシック" w:eastAsia="ＭＳ ゴシック" w:hint="eastAsia"/>
        <w:b/>
        <w:i w:val="0"/>
        <w:sz w:val="21"/>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292" w15:restartNumberingAfterBreak="0">
    <w:nsid w:val="39AC2E0B"/>
    <w:multiLevelType w:val="hybridMultilevel"/>
    <w:tmpl w:val="FCDC390E"/>
    <w:lvl w:ilvl="0" w:tplc="2AE2A1D2">
      <w:start w:val="1"/>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3" w15:restartNumberingAfterBreak="0">
    <w:nsid w:val="39CA3EC4"/>
    <w:multiLevelType w:val="multilevel"/>
    <w:tmpl w:val="7B4443A2"/>
    <w:lvl w:ilvl="0">
      <w:start w:val="1"/>
      <w:numFmt w:val="decimal"/>
      <w:suff w:val="nothing"/>
      <w:lvlText w:val="%1　"/>
      <w:lvlJc w:val="left"/>
      <w:pPr>
        <w:ind w:left="0" w:firstLine="0"/>
      </w:pPr>
      <w:rPr>
        <w:rFonts w:cs="Times New Roman" w:hint="eastAsia"/>
        <w:b/>
        <w:i w:val="0"/>
        <w:sz w:val="21"/>
      </w:rPr>
    </w:lvl>
    <w:lvl w:ilvl="1">
      <w:start w:val="1"/>
      <w:numFmt w:val="decimal"/>
      <w:pStyle w:val="11"/>
      <w:suff w:val="nothing"/>
      <w:lvlText w:val="%1.%2　"/>
      <w:lvlJc w:val="left"/>
      <w:pPr>
        <w:ind w:left="0" w:firstLine="0"/>
      </w:pPr>
      <w:rPr>
        <w:rFonts w:ascii="ＭＳ ゴシック" w:eastAsia="ＭＳ ゴシック" w:hAnsi="ＭＳ ゴシック" w:cs="Times New Roman" w:hint="eastAsia"/>
        <w:b/>
        <w:i w:val="0"/>
        <w:sz w:val="21"/>
      </w:rPr>
    </w:lvl>
    <w:lvl w:ilvl="2">
      <w:start w:val="1"/>
      <w:numFmt w:val="decimal"/>
      <w:suff w:val="nothing"/>
      <w:lvlText w:val="%1.%2.%3　"/>
      <w:lvlJc w:val="left"/>
      <w:pPr>
        <w:ind w:left="0" w:firstLine="0"/>
      </w:pPr>
      <w:rPr>
        <w:rFonts w:ascii="ＭＳ ゴシック" w:eastAsia="ＭＳ ゴシック" w:hAnsi="ＭＳ ゴシック" w:cs="Times New Roman" w:hint="eastAsia"/>
        <w:b/>
        <w:i w:val="0"/>
        <w:sz w:val="21"/>
      </w:rPr>
    </w:lvl>
    <w:lvl w:ilvl="3">
      <w:start w:val="1"/>
      <w:numFmt w:val="lowerLetter"/>
      <w:lvlText w:val="(%4) "/>
      <w:lvlJc w:val="left"/>
      <w:pPr>
        <w:tabs>
          <w:tab w:val="num" w:pos="-183"/>
        </w:tabs>
        <w:ind w:left="674" w:hanging="227"/>
      </w:pPr>
      <w:rPr>
        <w:rFonts w:cs="Times New Roman" w:hint="eastAsia"/>
      </w:rPr>
    </w:lvl>
    <w:lvl w:ilvl="4">
      <w:start w:val="1"/>
      <w:numFmt w:val="aiueo"/>
      <w:lvlText w:val="%5 "/>
      <w:lvlJc w:val="left"/>
      <w:pPr>
        <w:tabs>
          <w:tab w:val="num" w:pos="-183"/>
        </w:tabs>
        <w:ind w:left="884" w:hanging="227"/>
      </w:pPr>
      <w:rPr>
        <w:rFonts w:cs="Times New Roman" w:hint="eastAsia"/>
      </w:rPr>
    </w:lvl>
    <w:lvl w:ilvl="5">
      <w:start w:val="1"/>
      <w:numFmt w:val="aiueo"/>
      <w:lvlText w:val="(%6) "/>
      <w:lvlJc w:val="left"/>
      <w:pPr>
        <w:tabs>
          <w:tab w:val="num" w:pos="-183"/>
        </w:tabs>
        <w:ind w:left="1094" w:hanging="227"/>
      </w:pPr>
      <w:rPr>
        <w:rFonts w:cs="Times New Roman" w:hint="eastAsia"/>
        <w:b w:val="0"/>
        <w:bCs w:val="0"/>
        <w:i w:val="0"/>
        <w:iCs w:val="0"/>
        <w:caps w:val="0"/>
        <w:smallCaps w:val="0"/>
        <w:strike w:val="0"/>
        <w:dstrike w:val="0"/>
        <w:vanish w:val="0"/>
        <w:color w:val="000000"/>
        <w:spacing w:val="0"/>
        <w:position w:val="0"/>
        <w:u w:val="none"/>
        <w:vertAlign w:val="baseline"/>
      </w:rPr>
    </w:lvl>
    <w:lvl w:ilvl="6">
      <w:start w:val="1"/>
      <w:numFmt w:val="decimal"/>
      <w:lvlText w:val="(%6) .%7"/>
      <w:lvlJc w:val="left"/>
      <w:pPr>
        <w:tabs>
          <w:tab w:val="num" w:pos="-183"/>
        </w:tabs>
        <w:ind w:left="1797" w:hanging="425"/>
      </w:pPr>
      <w:rPr>
        <w:rFonts w:cs="Times New Roman" w:hint="eastAsia"/>
      </w:rPr>
    </w:lvl>
    <w:lvl w:ilvl="7">
      <w:start w:val="1"/>
      <w:numFmt w:val="decimal"/>
      <w:lvlText w:val="(%6) .%7.%8"/>
      <w:lvlJc w:val="left"/>
      <w:pPr>
        <w:tabs>
          <w:tab w:val="num" w:pos="-183"/>
        </w:tabs>
        <w:ind w:left="2222" w:hanging="425"/>
      </w:pPr>
      <w:rPr>
        <w:rFonts w:cs="Times New Roman" w:hint="eastAsia"/>
      </w:rPr>
    </w:lvl>
    <w:lvl w:ilvl="8">
      <w:start w:val="1"/>
      <w:numFmt w:val="decimal"/>
      <w:lvlText w:val="(%6) .%7.%8.%9"/>
      <w:lvlJc w:val="left"/>
      <w:pPr>
        <w:tabs>
          <w:tab w:val="num" w:pos="-183"/>
        </w:tabs>
        <w:ind w:left="2647" w:hanging="425"/>
      </w:pPr>
      <w:rPr>
        <w:rFonts w:cs="Times New Roman" w:hint="eastAsia"/>
      </w:rPr>
    </w:lvl>
  </w:abstractNum>
  <w:abstractNum w:abstractNumId="294" w15:restartNumberingAfterBreak="0">
    <w:nsid w:val="39DF68B6"/>
    <w:multiLevelType w:val="hybridMultilevel"/>
    <w:tmpl w:val="4C002130"/>
    <w:lvl w:ilvl="0" w:tplc="908A7E2E">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95" w15:restartNumberingAfterBreak="0">
    <w:nsid w:val="39F949CE"/>
    <w:multiLevelType w:val="hybridMultilevel"/>
    <w:tmpl w:val="697C5720"/>
    <w:lvl w:ilvl="0" w:tplc="D0445384">
      <w:start w:val="1"/>
      <w:numFmt w:val="decimal"/>
      <w:lvlText w:val="%1)"/>
      <w:lvlJc w:val="left"/>
      <w:pPr>
        <w:ind w:left="1260" w:hanging="420"/>
      </w:pPr>
      <w:rPr>
        <w:rFonts w:ascii="ＭＳ ゴシック" w:eastAsia="ＭＳ ゴシック" w:hint="eastAsia"/>
        <w:b/>
        <w:i w:val="0"/>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6" w15:restartNumberingAfterBreak="0">
    <w:nsid w:val="3A190CB7"/>
    <w:multiLevelType w:val="hybridMultilevel"/>
    <w:tmpl w:val="FCE21CE0"/>
    <w:lvl w:ilvl="0" w:tplc="543AA5A0">
      <w:start w:val="1"/>
      <w:numFmt w:val="decimal"/>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7" w15:restartNumberingAfterBreak="0">
    <w:nsid w:val="3A2A24A9"/>
    <w:multiLevelType w:val="hybridMultilevel"/>
    <w:tmpl w:val="65806172"/>
    <w:lvl w:ilvl="0" w:tplc="4C466D1E">
      <w:start w:val="2"/>
      <w:numFmt w:val="decimal"/>
      <w:lvlText w:val="%1)"/>
      <w:lvlJc w:val="left"/>
      <w:pPr>
        <w:ind w:left="704"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8" w15:restartNumberingAfterBreak="0">
    <w:nsid w:val="3A686A27"/>
    <w:multiLevelType w:val="hybridMultilevel"/>
    <w:tmpl w:val="4D80AB80"/>
    <w:lvl w:ilvl="0" w:tplc="3FA88638">
      <w:start w:val="1"/>
      <w:numFmt w:val="decimal"/>
      <w:lvlText w:val="%1)"/>
      <w:lvlJc w:val="left"/>
      <w:pPr>
        <w:ind w:left="1260" w:hanging="420"/>
      </w:pPr>
      <w:rPr>
        <w:rFonts w:ascii="ＭＳ ゴシック" w:eastAsia="ＭＳ ゴシック" w:hint="eastAsia"/>
        <w:b/>
        <w:i w:val="0"/>
        <w:color w:val="000000" w:themeColor="text1"/>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9" w15:restartNumberingAfterBreak="0">
    <w:nsid w:val="3A6C10D4"/>
    <w:multiLevelType w:val="hybridMultilevel"/>
    <w:tmpl w:val="6A663C24"/>
    <w:lvl w:ilvl="0" w:tplc="D062EAFC">
      <w:start w:val="2"/>
      <w:numFmt w:val="lowerLetter"/>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0" w15:restartNumberingAfterBreak="0">
    <w:nsid w:val="3A977B8C"/>
    <w:multiLevelType w:val="hybridMultilevel"/>
    <w:tmpl w:val="FBE04E26"/>
    <w:lvl w:ilvl="0" w:tplc="3CCCC3A8">
      <w:start w:val="2"/>
      <w:numFmt w:val="decimal"/>
      <w:lvlText w:val="%1)"/>
      <w:lvlJc w:val="left"/>
      <w:pPr>
        <w:ind w:left="84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1" w15:restartNumberingAfterBreak="0">
    <w:nsid w:val="3A9B055B"/>
    <w:multiLevelType w:val="hybridMultilevel"/>
    <w:tmpl w:val="5442D602"/>
    <w:lvl w:ilvl="0" w:tplc="3960A7D8">
      <w:start w:val="3"/>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2" w15:restartNumberingAfterBreak="0">
    <w:nsid w:val="3ADB2E62"/>
    <w:multiLevelType w:val="hybridMultilevel"/>
    <w:tmpl w:val="46D00950"/>
    <w:lvl w:ilvl="0" w:tplc="2AE2A1D2">
      <w:start w:val="1"/>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3" w15:restartNumberingAfterBreak="0">
    <w:nsid w:val="3AEB7DF7"/>
    <w:multiLevelType w:val="hybridMultilevel"/>
    <w:tmpl w:val="94C4C926"/>
    <w:lvl w:ilvl="0" w:tplc="F54E32E8">
      <w:start w:val="1"/>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4" w15:restartNumberingAfterBreak="0">
    <w:nsid w:val="3AFC046A"/>
    <w:multiLevelType w:val="multilevel"/>
    <w:tmpl w:val="60B470CA"/>
    <w:styleLink w:val="1"/>
    <w:lvl w:ilvl="0">
      <w:start w:val="1"/>
      <w:numFmt w:val="decimal"/>
      <w:pStyle w:val="a"/>
      <w:suff w:val="nothing"/>
      <w:lvlText w:val="%1　"/>
      <w:lvlJc w:val="left"/>
      <w:rPr>
        <w:rFonts w:cs="Times New Roman" w:hint="eastAsia"/>
        <w:b/>
        <w:i w:val="0"/>
        <w:sz w:val="21"/>
      </w:rPr>
    </w:lvl>
    <w:lvl w:ilvl="1">
      <w:start w:val="1"/>
      <w:numFmt w:val="decimal"/>
      <w:lvlRestart w:val="0"/>
      <w:isLgl/>
      <w:suff w:val="nothing"/>
      <w:lvlText w:val="%1.%2"/>
      <w:lvlJc w:val="left"/>
      <w:rPr>
        <w:rFonts w:ascii="ＭＳ ゴシック" w:eastAsia="ＭＳ ゴシック" w:cs="Times New Roman" w:hint="eastAsia"/>
        <w:b/>
        <w:i w:val="0"/>
        <w:sz w:val="21"/>
      </w:rPr>
    </w:lvl>
    <w:lvl w:ilvl="2">
      <w:start w:val="1"/>
      <w:numFmt w:val="decimal"/>
      <w:suff w:val="nothing"/>
      <w:lvlText w:val="%1.%2.%3　"/>
      <w:lvlJc w:val="left"/>
      <w:rPr>
        <w:rFonts w:cs="Times New Roman" w:hint="eastAsia"/>
      </w:rPr>
    </w:lvl>
    <w:lvl w:ilvl="3">
      <w:start w:val="1"/>
      <w:numFmt w:val="lowerLetter"/>
      <w:lvlText w:val="(%4) "/>
      <w:lvlJc w:val="left"/>
      <w:pPr>
        <w:tabs>
          <w:tab w:val="num" w:pos="-183"/>
        </w:tabs>
      </w:pPr>
      <w:rPr>
        <w:rFonts w:cs="Times New Roman" w:hint="eastAsia"/>
      </w:rPr>
    </w:lvl>
    <w:lvl w:ilvl="4">
      <w:start w:val="1"/>
      <w:numFmt w:val="aiueo"/>
      <w:lvlText w:val="%5 "/>
      <w:lvlJc w:val="left"/>
      <w:pPr>
        <w:tabs>
          <w:tab w:val="num" w:pos="-183"/>
        </w:tabs>
      </w:pPr>
      <w:rPr>
        <w:rFonts w:cs="Times New Roman" w:hint="eastAsia"/>
      </w:rPr>
    </w:lvl>
    <w:lvl w:ilvl="5">
      <w:start w:val="1"/>
      <w:numFmt w:val="aiueo"/>
      <w:lvlText w:val="(%6) "/>
      <w:lvlJc w:val="left"/>
      <w:pPr>
        <w:tabs>
          <w:tab w:val="num" w:pos="-183"/>
        </w:tabs>
      </w:pPr>
      <w:rPr>
        <w:rFonts w:cs="Times New Roman" w:hint="eastAsia"/>
        <w:b w:val="0"/>
        <w:bCs w:val="0"/>
        <w:i w:val="0"/>
        <w:iCs w:val="0"/>
        <w:caps w:val="0"/>
        <w:smallCaps w:val="0"/>
        <w:strike w:val="0"/>
        <w:dstrike w:val="0"/>
        <w:vanish w:val="0"/>
        <w:color w:val="000000"/>
        <w:spacing w:val="0"/>
        <w:position w:val="0"/>
        <w:u w:val="none"/>
        <w:vertAlign w:val="baseline"/>
      </w:rPr>
    </w:lvl>
    <w:lvl w:ilvl="6">
      <w:start w:val="1"/>
      <w:numFmt w:val="decimal"/>
      <w:lvlText w:val="(%6) .%7"/>
      <w:lvlJc w:val="left"/>
      <w:pPr>
        <w:tabs>
          <w:tab w:val="num" w:pos="-183"/>
        </w:tabs>
      </w:pPr>
      <w:rPr>
        <w:rFonts w:cs="Times New Roman" w:hint="eastAsia"/>
      </w:rPr>
    </w:lvl>
    <w:lvl w:ilvl="7">
      <w:start w:val="1"/>
      <w:numFmt w:val="decimal"/>
      <w:lvlText w:val="(%6) .%7.%8"/>
      <w:lvlJc w:val="left"/>
      <w:pPr>
        <w:tabs>
          <w:tab w:val="num" w:pos="-183"/>
        </w:tabs>
      </w:pPr>
      <w:rPr>
        <w:rFonts w:cs="Times New Roman" w:hint="eastAsia"/>
      </w:rPr>
    </w:lvl>
    <w:lvl w:ilvl="8">
      <w:start w:val="1"/>
      <w:numFmt w:val="decimal"/>
      <w:lvlText w:val="(%6) .%7.%8.%9"/>
      <w:lvlJc w:val="left"/>
      <w:pPr>
        <w:tabs>
          <w:tab w:val="num" w:pos="-183"/>
        </w:tabs>
      </w:pPr>
      <w:rPr>
        <w:rFonts w:cs="Times New Roman" w:hint="eastAsia"/>
      </w:rPr>
    </w:lvl>
  </w:abstractNum>
  <w:abstractNum w:abstractNumId="305" w15:restartNumberingAfterBreak="0">
    <w:nsid w:val="3B30670C"/>
    <w:multiLevelType w:val="hybridMultilevel"/>
    <w:tmpl w:val="0AF4A1A0"/>
    <w:lvl w:ilvl="0" w:tplc="B0068C72">
      <w:start w:val="4"/>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6" w15:restartNumberingAfterBreak="0">
    <w:nsid w:val="3B501A96"/>
    <w:multiLevelType w:val="hybridMultilevel"/>
    <w:tmpl w:val="8B607642"/>
    <w:lvl w:ilvl="0" w:tplc="FF448A5C">
      <w:start w:val="1"/>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7" w15:restartNumberingAfterBreak="0">
    <w:nsid w:val="3B54535F"/>
    <w:multiLevelType w:val="hybridMultilevel"/>
    <w:tmpl w:val="6DA49F06"/>
    <w:lvl w:ilvl="0" w:tplc="181AE6A8">
      <w:start w:val="1"/>
      <w:numFmt w:val="decimal"/>
      <w:lvlText w:val="1.%1)"/>
      <w:lvlJc w:val="left"/>
      <w:pPr>
        <w:ind w:left="1260" w:hanging="420"/>
      </w:pPr>
      <w:rPr>
        <w:rFonts w:asciiTheme="majorEastAsia" w:eastAsia="ＭＳ 明朝" w:hAnsiTheme="majorEastAsia"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8" w15:restartNumberingAfterBreak="0">
    <w:nsid w:val="3B777E37"/>
    <w:multiLevelType w:val="hybridMultilevel"/>
    <w:tmpl w:val="0F78C202"/>
    <w:lvl w:ilvl="0" w:tplc="44B680E0">
      <w:start w:val="1"/>
      <w:numFmt w:val="lowerLetter"/>
      <w:lvlText w:val="%1)"/>
      <w:lvlJc w:val="left"/>
      <w:pPr>
        <w:ind w:left="1260" w:hanging="420"/>
      </w:pPr>
      <w:rPr>
        <w:rFonts w:ascii="ＭＳ ゴシック" w:eastAsia="ＭＳ ゴシック" w:hAnsiTheme="minorHAnsi" w:hint="eastAsia"/>
        <w:b/>
        <w:i w:val="0"/>
        <w:caps w:val="0"/>
        <w:strike w:val="0"/>
        <w:dstrike w:val="0"/>
        <w:vanish w:val="0"/>
        <w:color w:val="000000"/>
        <w:sz w:val="21"/>
        <w:vertAlign w:val="baseline"/>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09" w15:restartNumberingAfterBreak="0">
    <w:nsid w:val="3B963A23"/>
    <w:multiLevelType w:val="hybridMultilevel"/>
    <w:tmpl w:val="01B48D22"/>
    <w:lvl w:ilvl="0" w:tplc="D182F248">
      <w:start w:val="1"/>
      <w:numFmt w:val="decimal"/>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0" w15:restartNumberingAfterBreak="0">
    <w:nsid w:val="3C3A48D2"/>
    <w:multiLevelType w:val="hybridMultilevel"/>
    <w:tmpl w:val="BCB27FA2"/>
    <w:lvl w:ilvl="0" w:tplc="D32E2868">
      <w:start w:val="3"/>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1" w15:restartNumberingAfterBreak="0">
    <w:nsid w:val="3C3F76C1"/>
    <w:multiLevelType w:val="hybridMultilevel"/>
    <w:tmpl w:val="05889966"/>
    <w:lvl w:ilvl="0" w:tplc="15D85F28">
      <w:start w:val="1"/>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2" w15:restartNumberingAfterBreak="0">
    <w:nsid w:val="3C5E2C78"/>
    <w:multiLevelType w:val="hybridMultilevel"/>
    <w:tmpl w:val="AAA05B74"/>
    <w:lvl w:ilvl="0" w:tplc="E5AE035E">
      <w:start w:val="1"/>
      <w:numFmt w:val="decimal"/>
      <w:lvlText w:val="%1)"/>
      <w:lvlJc w:val="left"/>
      <w:pPr>
        <w:ind w:left="1260" w:hanging="420"/>
      </w:pPr>
      <w:rPr>
        <w:rFonts w:ascii="ＭＳ ゴシック" w:eastAsia="ＭＳ ゴシック" w:hint="eastAsia"/>
        <w:b/>
        <w:i w:val="0"/>
        <w:color w:val="auto"/>
        <w:sz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13" w15:restartNumberingAfterBreak="0">
    <w:nsid w:val="3C9B3B91"/>
    <w:multiLevelType w:val="hybridMultilevel"/>
    <w:tmpl w:val="BCE40D10"/>
    <w:lvl w:ilvl="0" w:tplc="4D2CFDE8">
      <w:start w:val="2"/>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4" w15:restartNumberingAfterBreak="0">
    <w:nsid w:val="3CD864BF"/>
    <w:multiLevelType w:val="hybridMultilevel"/>
    <w:tmpl w:val="A23A3BC0"/>
    <w:lvl w:ilvl="0" w:tplc="C10A2E10">
      <w:start w:val="1"/>
      <w:numFmt w:val="decimal"/>
      <w:lvlText w:val="2.%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15" w15:restartNumberingAfterBreak="0">
    <w:nsid w:val="3D257293"/>
    <w:multiLevelType w:val="hybridMultilevel"/>
    <w:tmpl w:val="9BEEA2BE"/>
    <w:lvl w:ilvl="0" w:tplc="36C0E10E">
      <w:start w:val="1"/>
      <w:numFmt w:val="decimal"/>
      <w:lvlText w:val="1.%1)"/>
      <w:lvlJc w:val="left"/>
      <w:pPr>
        <w:ind w:left="531"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6" w15:restartNumberingAfterBreak="0">
    <w:nsid w:val="3D356534"/>
    <w:multiLevelType w:val="hybridMultilevel"/>
    <w:tmpl w:val="971823C6"/>
    <w:lvl w:ilvl="0" w:tplc="1A8243B2">
      <w:start w:val="1"/>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7" w15:restartNumberingAfterBreak="0">
    <w:nsid w:val="3D82774A"/>
    <w:multiLevelType w:val="hybridMultilevel"/>
    <w:tmpl w:val="BA26F1B4"/>
    <w:lvl w:ilvl="0" w:tplc="C10A2E10">
      <w:start w:val="1"/>
      <w:numFmt w:val="decimal"/>
      <w:lvlText w:val="2.%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18" w15:restartNumberingAfterBreak="0">
    <w:nsid w:val="3DF93996"/>
    <w:multiLevelType w:val="hybridMultilevel"/>
    <w:tmpl w:val="02DAE7B4"/>
    <w:lvl w:ilvl="0" w:tplc="2AE2A1D2">
      <w:start w:val="1"/>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9" w15:restartNumberingAfterBreak="0">
    <w:nsid w:val="3E2A13B4"/>
    <w:multiLevelType w:val="hybridMultilevel"/>
    <w:tmpl w:val="1F60E890"/>
    <w:lvl w:ilvl="0" w:tplc="589A7D62">
      <w:start w:val="3"/>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0" w15:restartNumberingAfterBreak="0">
    <w:nsid w:val="3E626BC5"/>
    <w:multiLevelType w:val="hybridMultilevel"/>
    <w:tmpl w:val="493A9958"/>
    <w:lvl w:ilvl="0" w:tplc="79AE8F92">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1" w15:restartNumberingAfterBreak="0">
    <w:nsid w:val="3F0E2E7C"/>
    <w:multiLevelType w:val="hybridMultilevel"/>
    <w:tmpl w:val="F0C0B35C"/>
    <w:lvl w:ilvl="0" w:tplc="AB60F5D4">
      <w:start w:val="2"/>
      <w:numFmt w:val="lowerLetter"/>
      <w:lvlText w:val="%1)"/>
      <w:lvlJc w:val="left"/>
      <w:pPr>
        <w:ind w:left="420" w:hanging="420"/>
      </w:pPr>
      <w:rPr>
        <w:rFonts w:ascii="ＭＳ ゴシック" w:eastAsia="ＭＳ ゴシック" w:hAnsiTheme="minorHAnsi" w:hint="eastAsia"/>
        <w:b/>
        <w:i w:val="0"/>
        <w:caps w:val="0"/>
        <w:strike w:val="0"/>
        <w:dstrike w:val="0"/>
        <w:vanish w:val="0"/>
        <w:color w:val="000000"/>
        <w:sz w:val="21"/>
        <w:vertAlign w:val="base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2" w15:restartNumberingAfterBreak="0">
    <w:nsid w:val="3F636B1F"/>
    <w:multiLevelType w:val="hybridMultilevel"/>
    <w:tmpl w:val="90E4FDA2"/>
    <w:lvl w:ilvl="0" w:tplc="E466B66C">
      <w:start w:val="1"/>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3" w15:restartNumberingAfterBreak="0">
    <w:nsid w:val="3F67040E"/>
    <w:multiLevelType w:val="hybridMultilevel"/>
    <w:tmpl w:val="768A2F54"/>
    <w:lvl w:ilvl="0" w:tplc="3A8684BC">
      <w:start w:val="4"/>
      <w:numFmt w:val="lowerLetter"/>
      <w:lvlText w:val="%1)"/>
      <w:lvlJc w:val="left"/>
      <w:pPr>
        <w:ind w:left="1260" w:hanging="420"/>
      </w:pPr>
      <w:rPr>
        <w:rFonts w:ascii="ＭＳ ゴシック" w:eastAsia="ＭＳ ゴシック" w:hAnsiTheme="minorHAnsi" w:hint="eastAsia"/>
        <w:b/>
        <w:i w:val="0"/>
        <w:caps w:val="0"/>
        <w:strike w:val="0"/>
        <w:dstrike w:val="0"/>
        <w:vanish w:val="0"/>
        <w:color w:val="000000"/>
        <w:sz w:val="21"/>
        <w:vertAlign w:val="base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4" w15:restartNumberingAfterBreak="0">
    <w:nsid w:val="3FBD7E10"/>
    <w:multiLevelType w:val="hybridMultilevel"/>
    <w:tmpl w:val="E49E15AC"/>
    <w:lvl w:ilvl="0" w:tplc="F92C8EFA">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5" w15:restartNumberingAfterBreak="0">
    <w:nsid w:val="3FCF2B7C"/>
    <w:multiLevelType w:val="hybridMultilevel"/>
    <w:tmpl w:val="E202F9B0"/>
    <w:lvl w:ilvl="0" w:tplc="6380C4AC">
      <w:start w:val="2"/>
      <w:numFmt w:val="lowerLetter"/>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6" w15:restartNumberingAfterBreak="0">
    <w:nsid w:val="3FD93A24"/>
    <w:multiLevelType w:val="hybridMultilevel"/>
    <w:tmpl w:val="574C8DB0"/>
    <w:lvl w:ilvl="0" w:tplc="E59E6426">
      <w:start w:val="1"/>
      <w:numFmt w:val="lowerLetter"/>
      <w:lvlText w:val="%1)"/>
      <w:lvlJc w:val="left"/>
      <w:pPr>
        <w:ind w:left="420" w:hanging="420"/>
      </w:pPr>
      <w:rPr>
        <w:rFonts w:ascii="ＭＳ ゴシック" w:eastAsia="ＭＳ ゴシック" w:hAnsiTheme="minorHAnsi" w:hint="eastAsia"/>
        <w:b/>
        <w:i w:val="0"/>
        <w:caps w:val="0"/>
        <w:strike w:val="0"/>
        <w:dstrike w:val="0"/>
        <w:vanish w:val="0"/>
        <w:color w:val="000000"/>
        <w:sz w:val="21"/>
        <w:vertAlign w:val="base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7" w15:restartNumberingAfterBreak="0">
    <w:nsid w:val="40874A6A"/>
    <w:multiLevelType w:val="hybridMultilevel"/>
    <w:tmpl w:val="EFA65F88"/>
    <w:lvl w:ilvl="0" w:tplc="03D8E0EC">
      <w:start w:val="1"/>
      <w:numFmt w:val="decimal"/>
      <w:lvlText w:val="1.%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8" w15:restartNumberingAfterBreak="0">
    <w:nsid w:val="40996742"/>
    <w:multiLevelType w:val="hybridMultilevel"/>
    <w:tmpl w:val="15DE64F0"/>
    <w:lvl w:ilvl="0" w:tplc="E8D2457E">
      <w:start w:val="4"/>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9" w15:restartNumberingAfterBreak="0">
    <w:nsid w:val="40A664FD"/>
    <w:multiLevelType w:val="hybridMultilevel"/>
    <w:tmpl w:val="0D4C8E1A"/>
    <w:lvl w:ilvl="0" w:tplc="CFAC7B52">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0" w15:restartNumberingAfterBreak="0">
    <w:nsid w:val="40DF6607"/>
    <w:multiLevelType w:val="hybridMultilevel"/>
    <w:tmpl w:val="C180FC74"/>
    <w:lvl w:ilvl="0" w:tplc="E466B66C">
      <w:start w:val="1"/>
      <w:numFmt w:val="decimal"/>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31" w15:restartNumberingAfterBreak="0">
    <w:nsid w:val="40E712F6"/>
    <w:multiLevelType w:val="hybridMultilevel"/>
    <w:tmpl w:val="0B18DD30"/>
    <w:lvl w:ilvl="0" w:tplc="3488AA5C">
      <w:start w:val="1"/>
      <w:numFmt w:val="decimal"/>
      <w:lvlText w:val="%1)"/>
      <w:lvlJc w:val="left"/>
      <w:pPr>
        <w:ind w:left="1129" w:hanging="420"/>
      </w:pPr>
      <w:rPr>
        <w:rFonts w:ascii="ＭＳ ゴシック" w:eastAsia="ＭＳ ゴシック" w:hint="eastAsia"/>
        <w:b/>
        <w:i w:val="0"/>
        <w:color w:val="000000" w:themeColor="text1"/>
        <w:sz w:val="21"/>
      </w:rPr>
    </w:lvl>
    <w:lvl w:ilvl="1" w:tplc="04090017" w:tentative="1">
      <w:start w:val="1"/>
      <w:numFmt w:val="aiueoFullWidth"/>
      <w:lvlText w:val="(%2)"/>
      <w:lvlJc w:val="left"/>
      <w:pPr>
        <w:ind w:left="1549" w:hanging="420"/>
      </w:pPr>
    </w:lvl>
    <w:lvl w:ilvl="2" w:tplc="04090011" w:tentative="1">
      <w:start w:val="1"/>
      <w:numFmt w:val="decimalEnclosedCircle"/>
      <w:lvlText w:val="%3"/>
      <w:lvlJc w:val="left"/>
      <w:pPr>
        <w:ind w:left="1969" w:hanging="420"/>
      </w:pPr>
    </w:lvl>
    <w:lvl w:ilvl="3" w:tplc="0409000F" w:tentative="1">
      <w:start w:val="1"/>
      <w:numFmt w:val="decimal"/>
      <w:lvlText w:val="%4."/>
      <w:lvlJc w:val="left"/>
      <w:pPr>
        <w:ind w:left="2389" w:hanging="420"/>
      </w:pPr>
    </w:lvl>
    <w:lvl w:ilvl="4" w:tplc="04090017" w:tentative="1">
      <w:start w:val="1"/>
      <w:numFmt w:val="aiueoFullWidth"/>
      <w:lvlText w:val="(%5)"/>
      <w:lvlJc w:val="left"/>
      <w:pPr>
        <w:ind w:left="2809" w:hanging="420"/>
      </w:pPr>
    </w:lvl>
    <w:lvl w:ilvl="5" w:tplc="04090011" w:tentative="1">
      <w:start w:val="1"/>
      <w:numFmt w:val="decimalEnclosedCircle"/>
      <w:lvlText w:val="%6"/>
      <w:lvlJc w:val="left"/>
      <w:pPr>
        <w:ind w:left="3229" w:hanging="420"/>
      </w:pPr>
    </w:lvl>
    <w:lvl w:ilvl="6" w:tplc="0409000F" w:tentative="1">
      <w:start w:val="1"/>
      <w:numFmt w:val="decimal"/>
      <w:lvlText w:val="%7."/>
      <w:lvlJc w:val="left"/>
      <w:pPr>
        <w:ind w:left="3649" w:hanging="420"/>
      </w:pPr>
    </w:lvl>
    <w:lvl w:ilvl="7" w:tplc="04090017" w:tentative="1">
      <w:start w:val="1"/>
      <w:numFmt w:val="aiueoFullWidth"/>
      <w:lvlText w:val="(%8)"/>
      <w:lvlJc w:val="left"/>
      <w:pPr>
        <w:ind w:left="4069" w:hanging="420"/>
      </w:pPr>
    </w:lvl>
    <w:lvl w:ilvl="8" w:tplc="04090011" w:tentative="1">
      <w:start w:val="1"/>
      <w:numFmt w:val="decimalEnclosedCircle"/>
      <w:lvlText w:val="%9"/>
      <w:lvlJc w:val="left"/>
      <w:pPr>
        <w:ind w:left="4489" w:hanging="420"/>
      </w:pPr>
    </w:lvl>
  </w:abstractNum>
  <w:abstractNum w:abstractNumId="332" w15:restartNumberingAfterBreak="0">
    <w:nsid w:val="412E3AB8"/>
    <w:multiLevelType w:val="hybridMultilevel"/>
    <w:tmpl w:val="B9DCE030"/>
    <w:lvl w:ilvl="0" w:tplc="3B76890A">
      <w:start w:val="1"/>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3" w15:restartNumberingAfterBreak="0">
    <w:nsid w:val="41581BE0"/>
    <w:multiLevelType w:val="hybridMultilevel"/>
    <w:tmpl w:val="10E0CC60"/>
    <w:lvl w:ilvl="0" w:tplc="AD4E1EC2">
      <w:start w:val="5"/>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4" w15:restartNumberingAfterBreak="0">
    <w:nsid w:val="41B800C6"/>
    <w:multiLevelType w:val="hybridMultilevel"/>
    <w:tmpl w:val="902EA6FE"/>
    <w:lvl w:ilvl="0" w:tplc="EE920ABE">
      <w:start w:val="1"/>
      <w:numFmt w:val="decimal"/>
      <w:lvlText w:val="2.%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5" w15:restartNumberingAfterBreak="0">
    <w:nsid w:val="41D01768"/>
    <w:multiLevelType w:val="hybridMultilevel"/>
    <w:tmpl w:val="3168EA56"/>
    <w:lvl w:ilvl="0" w:tplc="CA16345E">
      <w:start w:val="1"/>
      <w:numFmt w:val="decimal"/>
      <w:lvlText w:val="%1)"/>
      <w:lvlJc w:val="left"/>
      <w:pPr>
        <w:ind w:left="1260" w:hanging="420"/>
      </w:pPr>
      <w:rPr>
        <w:rFonts w:ascii="ＭＳ ゴシック" w:eastAsia="ＭＳ ゴシック" w:hint="eastAsia"/>
        <w:b/>
        <w:i w:val="0"/>
        <w:color w:val="000000" w:themeColor="text1"/>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6" w15:restartNumberingAfterBreak="0">
    <w:nsid w:val="41D430C5"/>
    <w:multiLevelType w:val="hybridMultilevel"/>
    <w:tmpl w:val="59904B46"/>
    <w:lvl w:ilvl="0" w:tplc="780E2430">
      <w:start w:val="1"/>
      <w:numFmt w:val="decimal"/>
      <w:lvlText w:val="%1)"/>
      <w:lvlJc w:val="left"/>
      <w:pPr>
        <w:ind w:left="1260" w:hanging="420"/>
      </w:pPr>
      <w:rPr>
        <w:rFonts w:asciiTheme="majorEastAsia" w:eastAsiaTheme="majorEastAsia" w:hAnsiTheme="majorEastAsia" w:hint="default"/>
        <w:b/>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37" w15:restartNumberingAfterBreak="0">
    <w:nsid w:val="41D844F8"/>
    <w:multiLevelType w:val="hybridMultilevel"/>
    <w:tmpl w:val="0AD00C80"/>
    <w:lvl w:ilvl="0" w:tplc="B3DC7E70">
      <w:start w:val="1"/>
      <w:numFmt w:val="decimal"/>
      <w:lvlText w:val="%1)"/>
      <w:lvlJc w:val="left"/>
      <w:pPr>
        <w:ind w:left="704" w:hanging="420"/>
      </w:pPr>
      <w:rPr>
        <w:rFonts w:ascii="ＭＳ ゴシック" w:eastAsia="ＭＳ ゴシック" w:hint="eastAsia"/>
        <w:b/>
        <w:i w:val="0"/>
        <w:sz w:val="21"/>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38" w15:restartNumberingAfterBreak="0">
    <w:nsid w:val="422C5AF4"/>
    <w:multiLevelType w:val="multilevel"/>
    <w:tmpl w:val="D548C26E"/>
    <w:lvl w:ilvl="0">
      <w:start w:val="1"/>
      <w:numFmt w:val="lowerLetter"/>
      <w:lvlText w:val="%1)"/>
      <w:lvlJc w:val="left"/>
      <w:pPr>
        <w:tabs>
          <w:tab w:val="num" w:pos="0"/>
        </w:tabs>
        <w:ind w:left="340" w:hanging="340"/>
      </w:pPr>
      <w:rPr>
        <w:rFonts w:ascii="ＭＳ ゴシック" w:eastAsia="ＭＳ ゴシック" w:hAnsi="ＭＳ ゴシック" w:hint="eastAsia"/>
        <w:b/>
        <w:i w:val="0"/>
        <w:color w:val="auto"/>
      </w:rPr>
    </w:lvl>
    <w:lvl w:ilvl="1">
      <w:start w:val="1"/>
      <w:numFmt w:val="decimal"/>
      <w:lvlText w:val="%2)"/>
      <w:lvlJc w:val="left"/>
      <w:pPr>
        <w:tabs>
          <w:tab w:val="num" w:pos="680"/>
        </w:tabs>
        <w:ind w:left="680" w:hanging="396"/>
      </w:pPr>
      <w:rPr>
        <w:rFonts w:ascii="ＭＳ ゴシック" w:eastAsia="ＭＳ ゴシック" w:hint="eastAsia"/>
        <w:b/>
        <w:i w:val="0"/>
        <w:color w:val="auto"/>
        <w:sz w:val="21"/>
      </w:rPr>
    </w:lvl>
    <w:lvl w:ilvl="2">
      <w:start w:val="1"/>
      <w:numFmt w:val="decimal"/>
      <w:lvlText w:val="%2.%3)"/>
      <w:lvlJc w:val="left"/>
      <w:pPr>
        <w:tabs>
          <w:tab w:val="num" w:pos="1247"/>
        </w:tabs>
        <w:ind w:left="1247" w:hanging="680"/>
      </w:pPr>
      <w:rPr>
        <w:rFonts w:ascii="ＭＳ ゴシック" w:eastAsia="ＭＳ ゴシック" w:hint="eastAsia"/>
        <w:b/>
        <w:i w:val="0"/>
        <w:sz w:val="21"/>
      </w:rPr>
    </w:lvl>
    <w:lvl w:ilvl="3">
      <w:start w:val="1"/>
      <w:numFmt w:val="irohaFullWidth"/>
      <w:lvlText w:val="(%4)"/>
      <w:lvlJc w:val="left"/>
      <w:pPr>
        <w:tabs>
          <w:tab w:val="num" w:pos="1701"/>
        </w:tabs>
        <w:ind w:left="1701" w:hanging="425"/>
      </w:pPr>
      <w:rPr>
        <w:rFonts w:hint="eastAsia"/>
      </w:rPr>
    </w:lvl>
    <w:lvl w:ilvl="4">
      <w:start w:val="1"/>
      <w:numFmt w:val="none"/>
      <w:suff w:val="nothing"/>
      <w:lvlText w:val=""/>
      <w:lvlJc w:val="left"/>
      <w:pPr>
        <w:ind w:left="2126" w:hanging="425"/>
      </w:pPr>
      <w:rPr>
        <w:rFonts w:hint="eastAsia"/>
      </w:rPr>
    </w:lvl>
    <w:lvl w:ilvl="5">
      <w:start w:val="1"/>
      <w:numFmt w:val="none"/>
      <w:suff w:val="nothing"/>
      <w:lvlText w:val=""/>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right"/>
      <w:pPr>
        <w:ind w:left="3827" w:hanging="425"/>
      </w:pPr>
      <w:rPr>
        <w:rFonts w:hint="eastAsia"/>
      </w:rPr>
    </w:lvl>
  </w:abstractNum>
  <w:abstractNum w:abstractNumId="339" w15:restartNumberingAfterBreak="0">
    <w:nsid w:val="42587842"/>
    <w:multiLevelType w:val="hybridMultilevel"/>
    <w:tmpl w:val="AFAAA7DC"/>
    <w:lvl w:ilvl="0" w:tplc="B9488310">
      <w:start w:val="1"/>
      <w:numFmt w:val="decimal"/>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0" w15:restartNumberingAfterBreak="0">
    <w:nsid w:val="42796052"/>
    <w:multiLevelType w:val="hybridMultilevel"/>
    <w:tmpl w:val="8FF2DB8C"/>
    <w:lvl w:ilvl="0" w:tplc="E466B66C">
      <w:start w:val="1"/>
      <w:numFmt w:val="decimal"/>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41" w15:restartNumberingAfterBreak="0">
    <w:nsid w:val="43235FBE"/>
    <w:multiLevelType w:val="hybridMultilevel"/>
    <w:tmpl w:val="6A70CA28"/>
    <w:lvl w:ilvl="0" w:tplc="8A12690C">
      <w:start w:val="1"/>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2" w15:restartNumberingAfterBreak="0">
    <w:nsid w:val="435843F5"/>
    <w:multiLevelType w:val="hybridMultilevel"/>
    <w:tmpl w:val="C0842BE6"/>
    <w:lvl w:ilvl="0" w:tplc="BC6E6AB2">
      <w:start w:val="1"/>
      <w:numFmt w:val="lowerLetter"/>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3" w15:restartNumberingAfterBreak="0">
    <w:nsid w:val="437F1C02"/>
    <w:multiLevelType w:val="hybridMultilevel"/>
    <w:tmpl w:val="55AC19A6"/>
    <w:lvl w:ilvl="0" w:tplc="804C8A34">
      <w:start w:val="1"/>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4" w15:restartNumberingAfterBreak="0">
    <w:nsid w:val="43F8416F"/>
    <w:multiLevelType w:val="hybridMultilevel"/>
    <w:tmpl w:val="1C380E18"/>
    <w:lvl w:ilvl="0" w:tplc="A900F2EA">
      <w:start w:val="1"/>
      <w:numFmt w:val="lowerLetter"/>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5" w15:restartNumberingAfterBreak="0">
    <w:nsid w:val="44327B77"/>
    <w:multiLevelType w:val="multilevel"/>
    <w:tmpl w:val="1BC4AF66"/>
    <w:lvl w:ilvl="0">
      <w:start w:val="1"/>
      <w:numFmt w:val="decimal"/>
      <w:pStyle w:val="10"/>
      <w:lvlText w:val="%1"/>
      <w:lvlJc w:val="left"/>
      <w:pPr>
        <w:ind w:left="425" w:hanging="425"/>
      </w:pPr>
      <w:rPr>
        <w:rFonts w:ascii="ＭＳ ゴシック" w:eastAsia="ＭＳ ゴシック" w:hint="eastAsia"/>
        <w:b/>
        <w:i w:val="0"/>
        <w:sz w:val="21"/>
      </w:rPr>
    </w:lvl>
    <w:lvl w:ilvl="1">
      <w:start w:val="1"/>
      <w:numFmt w:val="decimal"/>
      <w:pStyle w:val="20"/>
      <w:lvlText w:val="%1.%2"/>
      <w:lvlJc w:val="left"/>
      <w:pPr>
        <w:tabs>
          <w:tab w:val="num" w:pos="284"/>
        </w:tabs>
        <w:ind w:left="425" w:hanging="425"/>
      </w:pPr>
      <w:rPr>
        <w:rFonts w:ascii="ＭＳ ゴシック" w:eastAsia="ＭＳ ゴシック" w:hint="eastAsia"/>
        <w:b/>
        <w:i w:val="0"/>
        <w:sz w:val="21"/>
      </w:rPr>
    </w:lvl>
    <w:lvl w:ilvl="2">
      <w:start w:val="1"/>
      <w:numFmt w:val="decimal"/>
      <w:pStyle w:val="3"/>
      <w:lvlText w:val="%1.%2.%3"/>
      <w:lvlJc w:val="left"/>
      <w:pPr>
        <w:tabs>
          <w:tab w:val="num" w:pos="284"/>
        </w:tabs>
        <w:ind w:left="425" w:hanging="425"/>
      </w:pPr>
      <w:rPr>
        <w:rFonts w:ascii="ＭＳ ゴシック" w:eastAsia="ＭＳ ゴシック" w:hint="eastAsia"/>
        <w:b/>
        <w:i w:val="0"/>
        <w:sz w:val="21"/>
      </w:rPr>
    </w:lvl>
    <w:lvl w:ilvl="3">
      <w:start w:val="1"/>
      <w:numFmt w:val="decimal"/>
      <w:pStyle w:val="4"/>
      <w:lvlText w:val="%1.%2.%3.%4"/>
      <w:lvlJc w:val="left"/>
      <w:pPr>
        <w:tabs>
          <w:tab w:val="num" w:pos="284"/>
        </w:tabs>
        <w:ind w:left="425" w:hanging="425"/>
      </w:pPr>
      <w:rPr>
        <w:rFonts w:ascii="ＭＳ ゴシック" w:eastAsia="ＭＳ ゴシック" w:hint="eastAsia"/>
        <w:b/>
        <w:i w:val="0"/>
        <w:sz w:val="21"/>
      </w:rPr>
    </w:lvl>
    <w:lvl w:ilvl="4">
      <w:start w:val="1"/>
      <w:numFmt w:val="lowerLetter"/>
      <w:pStyle w:val="5"/>
      <w:lvlText w:val="%5)"/>
      <w:lvlJc w:val="left"/>
      <w:pPr>
        <w:tabs>
          <w:tab w:val="num" w:pos="454"/>
        </w:tabs>
        <w:ind w:left="284" w:hanging="284"/>
      </w:pPr>
      <w:rPr>
        <w:rFonts w:ascii="ＭＳ ゴシック" w:hAnsi="ＭＳ ゴシック" w:hint="eastAsia"/>
        <w:b/>
        <w:i w:val="0"/>
        <w:color w:val="auto"/>
        <w:sz w:val="21"/>
      </w:rPr>
    </w:lvl>
    <w:lvl w:ilvl="5">
      <w:start w:val="1"/>
      <w:numFmt w:val="decimal"/>
      <w:pStyle w:val="6"/>
      <w:lvlText w:val="%6)"/>
      <w:lvlJc w:val="left"/>
      <w:pPr>
        <w:tabs>
          <w:tab w:val="num" w:pos="1248"/>
        </w:tabs>
        <w:ind w:left="1106" w:hanging="255"/>
      </w:pPr>
      <w:rPr>
        <w:rFonts w:ascii="ＭＳ ゴシック" w:hAnsi="ＭＳ ゴシック" w:hint="eastAsia"/>
        <w:b/>
        <w:i w:val="0"/>
        <w:sz w:val="21"/>
      </w:rPr>
    </w:lvl>
    <w:lvl w:ilvl="6">
      <w:start w:val="1"/>
      <w:numFmt w:val="decimal"/>
      <w:pStyle w:val="7"/>
      <w:suff w:val="space"/>
      <w:lvlText w:val="%6.%7)"/>
      <w:lvlJc w:val="left"/>
      <w:pPr>
        <w:ind w:left="851" w:hanging="511"/>
      </w:pPr>
      <w:rPr>
        <w:rFonts w:ascii="ＭＳ ゴシック" w:hAnsi="ＭＳ ゴシック" w:hint="eastAsia"/>
        <w:b/>
        <w:i w:val="0"/>
        <w:sz w:val="21"/>
      </w:rPr>
    </w:lvl>
    <w:lvl w:ilvl="7">
      <w:start w:val="1"/>
      <w:numFmt w:val="decimal"/>
      <w:pStyle w:val="8"/>
      <w:suff w:val="space"/>
      <w:lvlText w:val="%6.%7.%8)"/>
      <w:lvlJc w:val="left"/>
      <w:pPr>
        <w:ind w:left="1077" w:hanging="623"/>
      </w:pPr>
      <w:rPr>
        <w:rFonts w:ascii="ＭＳ ゴシック" w:hAnsi="ＭＳ ゴシック" w:hint="eastAsia"/>
        <w:b/>
        <w:i w:val="0"/>
        <w:sz w:val="21"/>
      </w:rPr>
    </w:lvl>
    <w:lvl w:ilvl="8">
      <w:start w:val="1"/>
      <w:numFmt w:val="decimal"/>
      <w:pStyle w:val="9"/>
      <w:lvlText w:val="%6.%7.%8.%9)"/>
      <w:lvlJc w:val="left"/>
      <w:pPr>
        <w:tabs>
          <w:tab w:val="num" w:pos="851"/>
        </w:tabs>
        <w:ind w:left="425" w:hanging="425"/>
      </w:pPr>
      <w:rPr>
        <w:rFonts w:ascii="ＭＳ ゴシック" w:hAnsi="ＭＳ ゴシック" w:hint="eastAsia"/>
        <w:b/>
        <w:i w:val="0"/>
        <w:sz w:val="21"/>
      </w:rPr>
    </w:lvl>
  </w:abstractNum>
  <w:abstractNum w:abstractNumId="346" w15:restartNumberingAfterBreak="0">
    <w:nsid w:val="44983BCE"/>
    <w:multiLevelType w:val="hybridMultilevel"/>
    <w:tmpl w:val="116A4CAE"/>
    <w:lvl w:ilvl="0" w:tplc="CD12E082">
      <w:start w:val="4"/>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7" w15:restartNumberingAfterBreak="0">
    <w:nsid w:val="449951BB"/>
    <w:multiLevelType w:val="hybridMultilevel"/>
    <w:tmpl w:val="6C56BB50"/>
    <w:lvl w:ilvl="0" w:tplc="5F8252D0">
      <w:start w:val="2"/>
      <w:numFmt w:val="decimal"/>
      <w:lvlText w:val="%1)"/>
      <w:lvlJc w:val="left"/>
      <w:pPr>
        <w:ind w:left="1260" w:hanging="420"/>
      </w:pPr>
      <w:rPr>
        <w:rFonts w:ascii="ＭＳ ゴシック" w:eastAsia="ＭＳ ゴシック" w:hint="eastAsia"/>
        <w:b/>
        <w:i w:val="0"/>
        <w:color w:val="000000" w:themeColor="text1"/>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8" w15:restartNumberingAfterBreak="0">
    <w:nsid w:val="44C6355D"/>
    <w:multiLevelType w:val="hybridMultilevel"/>
    <w:tmpl w:val="CFCE8AFE"/>
    <w:lvl w:ilvl="0" w:tplc="C33A10EC">
      <w:start w:val="1"/>
      <w:numFmt w:val="decimal"/>
      <w:lvlText w:val="%1)"/>
      <w:lvlJc w:val="left"/>
      <w:pPr>
        <w:ind w:left="1260" w:hanging="420"/>
      </w:pPr>
      <w:rPr>
        <w:rFonts w:ascii="ＭＳ ゴシック" w:eastAsia="ＭＳ ゴシック" w:hint="eastAsia"/>
        <w:b/>
        <w:i w:val="0"/>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9" w15:restartNumberingAfterBreak="0">
    <w:nsid w:val="44CF7ED3"/>
    <w:multiLevelType w:val="hybridMultilevel"/>
    <w:tmpl w:val="792629B6"/>
    <w:lvl w:ilvl="0" w:tplc="35DA44AA">
      <w:start w:val="1"/>
      <w:numFmt w:val="decimal"/>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0" w15:restartNumberingAfterBreak="0">
    <w:nsid w:val="44DD0200"/>
    <w:multiLevelType w:val="hybridMultilevel"/>
    <w:tmpl w:val="AEA698C2"/>
    <w:lvl w:ilvl="0" w:tplc="4F54D9B4">
      <w:start w:val="1"/>
      <w:numFmt w:val="decimal"/>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1" w15:restartNumberingAfterBreak="0">
    <w:nsid w:val="44E5361B"/>
    <w:multiLevelType w:val="hybridMultilevel"/>
    <w:tmpl w:val="C5527A78"/>
    <w:lvl w:ilvl="0" w:tplc="2264A182">
      <w:start w:val="1"/>
      <w:numFmt w:val="decimal"/>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2" w15:restartNumberingAfterBreak="0">
    <w:nsid w:val="451C1723"/>
    <w:multiLevelType w:val="hybridMultilevel"/>
    <w:tmpl w:val="992A8C76"/>
    <w:lvl w:ilvl="0" w:tplc="5E58C92E">
      <w:start w:val="1"/>
      <w:numFmt w:val="decimal"/>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3" w15:restartNumberingAfterBreak="0">
    <w:nsid w:val="45A768F6"/>
    <w:multiLevelType w:val="hybridMultilevel"/>
    <w:tmpl w:val="D3D42E1C"/>
    <w:lvl w:ilvl="0" w:tplc="187EEC22">
      <w:start w:val="5"/>
      <w:numFmt w:val="decimal"/>
      <w:lvlText w:val="%1)"/>
      <w:lvlJc w:val="left"/>
      <w:pPr>
        <w:ind w:left="1067" w:hanging="420"/>
      </w:pPr>
      <w:rPr>
        <w:rFonts w:ascii="ＭＳ ゴシック" w:hAnsi="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4" w15:restartNumberingAfterBreak="0">
    <w:nsid w:val="45AF16F9"/>
    <w:multiLevelType w:val="hybridMultilevel"/>
    <w:tmpl w:val="35E4EB1E"/>
    <w:lvl w:ilvl="0" w:tplc="6400E350">
      <w:start w:val="1"/>
      <w:numFmt w:val="decimal"/>
      <w:lvlText w:val="%1)"/>
      <w:lvlJc w:val="left"/>
      <w:pPr>
        <w:ind w:left="1260" w:hanging="420"/>
      </w:pPr>
      <w:rPr>
        <w:rFonts w:ascii="ＭＳ ゴシック" w:eastAsia="ＭＳ ゴシック" w:hint="eastAsia"/>
        <w:b/>
        <w:i w:val="0"/>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5" w15:restartNumberingAfterBreak="0">
    <w:nsid w:val="45D3689D"/>
    <w:multiLevelType w:val="hybridMultilevel"/>
    <w:tmpl w:val="4E70A4AA"/>
    <w:lvl w:ilvl="0" w:tplc="780E2430">
      <w:start w:val="1"/>
      <w:numFmt w:val="decimal"/>
      <w:lvlText w:val="%1)"/>
      <w:lvlJc w:val="left"/>
      <w:pPr>
        <w:ind w:left="1260" w:hanging="420"/>
      </w:pPr>
      <w:rPr>
        <w:rFonts w:asciiTheme="majorEastAsia" w:eastAsiaTheme="majorEastAsia" w:hAnsiTheme="majorEastAsia" w:hint="default"/>
        <w:b/>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56" w15:restartNumberingAfterBreak="0">
    <w:nsid w:val="45DF3BE2"/>
    <w:multiLevelType w:val="hybridMultilevel"/>
    <w:tmpl w:val="18560BB2"/>
    <w:lvl w:ilvl="0" w:tplc="835CDE38">
      <w:start w:val="1"/>
      <w:numFmt w:val="decimal"/>
      <w:lvlText w:val="1.%1)"/>
      <w:lvlJc w:val="left"/>
      <w:pPr>
        <w:ind w:left="1260" w:hanging="420"/>
      </w:pPr>
      <w:rPr>
        <w:rFonts w:asciiTheme="majorEastAsia" w:eastAsia="ＭＳ 明朝" w:hAnsiTheme="majorEastAsia"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7" w15:restartNumberingAfterBreak="0">
    <w:nsid w:val="45FD3468"/>
    <w:multiLevelType w:val="hybridMultilevel"/>
    <w:tmpl w:val="606CAC82"/>
    <w:lvl w:ilvl="0" w:tplc="3488AA5C">
      <w:start w:val="1"/>
      <w:numFmt w:val="decimal"/>
      <w:lvlText w:val="%1)"/>
      <w:lvlJc w:val="left"/>
      <w:pPr>
        <w:ind w:left="1260" w:hanging="420"/>
      </w:pPr>
      <w:rPr>
        <w:rFonts w:ascii="ＭＳ ゴシック" w:eastAsia="ＭＳ ゴシック" w:hint="eastAsia"/>
        <w:b/>
        <w:i w:val="0"/>
        <w:color w:val="000000" w:themeColor="text1"/>
        <w:sz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58" w15:restartNumberingAfterBreak="0">
    <w:nsid w:val="46160A2C"/>
    <w:multiLevelType w:val="hybridMultilevel"/>
    <w:tmpl w:val="EFDC9334"/>
    <w:lvl w:ilvl="0" w:tplc="7524407E">
      <w:start w:val="2"/>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9" w15:restartNumberingAfterBreak="0">
    <w:nsid w:val="461D7883"/>
    <w:multiLevelType w:val="hybridMultilevel"/>
    <w:tmpl w:val="FC6ECDF6"/>
    <w:lvl w:ilvl="0" w:tplc="542EDE9C">
      <w:start w:val="1"/>
      <w:numFmt w:val="decimal"/>
      <w:lvlText w:val="%1)"/>
      <w:lvlJc w:val="left"/>
      <w:pPr>
        <w:ind w:left="647"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0" w15:restartNumberingAfterBreak="0">
    <w:nsid w:val="462533D3"/>
    <w:multiLevelType w:val="hybridMultilevel"/>
    <w:tmpl w:val="B3EE526A"/>
    <w:lvl w:ilvl="0" w:tplc="3CD62A20">
      <w:start w:val="1"/>
      <w:numFmt w:val="lowerLetter"/>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1" w15:restartNumberingAfterBreak="0">
    <w:nsid w:val="464F798D"/>
    <w:multiLevelType w:val="hybridMultilevel"/>
    <w:tmpl w:val="B016F228"/>
    <w:lvl w:ilvl="0" w:tplc="797E513A">
      <w:start w:val="3"/>
      <w:numFmt w:val="lowerLetter"/>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2" w15:restartNumberingAfterBreak="0">
    <w:nsid w:val="46503F7E"/>
    <w:multiLevelType w:val="hybridMultilevel"/>
    <w:tmpl w:val="FBA0BE9C"/>
    <w:lvl w:ilvl="0" w:tplc="EE80356A">
      <w:start w:val="4"/>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3" w15:restartNumberingAfterBreak="0">
    <w:nsid w:val="47C04CE4"/>
    <w:multiLevelType w:val="hybridMultilevel"/>
    <w:tmpl w:val="3E42D5D6"/>
    <w:lvl w:ilvl="0" w:tplc="A39AE012">
      <w:start w:val="5"/>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4" w15:restartNumberingAfterBreak="0">
    <w:nsid w:val="47D85EE3"/>
    <w:multiLevelType w:val="hybridMultilevel"/>
    <w:tmpl w:val="F36E6612"/>
    <w:lvl w:ilvl="0" w:tplc="736A4CFA">
      <w:start w:val="5"/>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5" w15:restartNumberingAfterBreak="0">
    <w:nsid w:val="48051A35"/>
    <w:multiLevelType w:val="hybridMultilevel"/>
    <w:tmpl w:val="E16225A0"/>
    <w:lvl w:ilvl="0" w:tplc="1F102416">
      <w:start w:val="1"/>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6" w15:restartNumberingAfterBreak="0">
    <w:nsid w:val="48262124"/>
    <w:multiLevelType w:val="hybridMultilevel"/>
    <w:tmpl w:val="7A00DEFE"/>
    <w:lvl w:ilvl="0" w:tplc="42A65E48">
      <w:start w:val="1"/>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7" w15:restartNumberingAfterBreak="0">
    <w:nsid w:val="487A2A0E"/>
    <w:multiLevelType w:val="hybridMultilevel"/>
    <w:tmpl w:val="4EE0534A"/>
    <w:lvl w:ilvl="0" w:tplc="462EE910">
      <w:start w:val="1"/>
      <w:numFmt w:val="lowerLetter"/>
      <w:lvlText w:val="%1)"/>
      <w:lvlJc w:val="left"/>
      <w:pPr>
        <w:ind w:left="420" w:hanging="420"/>
      </w:pPr>
      <w:rPr>
        <w:rFonts w:ascii="ＭＳ ゴシック" w:eastAsia="ＭＳ ゴシック" w:hAnsiTheme="minorHAnsi" w:hint="eastAsia"/>
        <w:b/>
        <w:i w:val="0"/>
        <w:caps w:val="0"/>
        <w:strike w:val="0"/>
        <w:dstrike w:val="0"/>
        <w:vanish w:val="0"/>
        <w:color w:val="000000"/>
        <w:sz w:val="21"/>
        <w:vertAlign w:val="base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8" w15:restartNumberingAfterBreak="0">
    <w:nsid w:val="490766E5"/>
    <w:multiLevelType w:val="hybridMultilevel"/>
    <w:tmpl w:val="452E4DC0"/>
    <w:lvl w:ilvl="0" w:tplc="E2184626">
      <w:start w:val="3"/>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9" w15:restartNumberingAfterBreak="0">
    <w:nsid w:val="49463DB8"/>
    <w:multiLevelType w:val="hybridMultilevel"/>
    <w:tmpl w:val="11680ABA"/>
    <w:lvl w:ilvl="0" w:tplc="C622B7B8">
      <w:start w:val="3"/>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0" w15:restartNumberingAfterBreak="0">
    <w:nsid w:val="49674660"/>
    <w:multiLevelType w:val="hybridMultilevel"/>
    <w:tmpl w:val="2AB82A48"/>
    <w:lvl w:ilvl="0" w:tplc="E466B66C">
      <w:start w:val="1"/>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1" w15:restartNumberingAfterBreak="0">
    <w:nsid w:val="49A5117B"/>
    <w:multiLevelType w:val="hybridMultilevel"/>
    <w:tmpl w:val="A1A0E116"/>
    <w:lvl w:ilvl="0" w:tplc="4A565D6C">
      <w:start w:val="2"/>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2" w15:restartNumberingAfterBreak="0">
    <w:nsid w:val="49E477A9"/>
    <w:multiLevelType w:val="hybridMultilevel"/>
    <w:tmpl w:val="CF882718"/>
    <w:lvl w:ilvl="0" w:tplc="2C18F470">
      <w:start w:val="1"/>
      <w:numFmt w:val="lowerLetter"/>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73" w15:restartNumberingAfterBreak="0">
    <w:nsid w:val="4A490AC9"/>
    <w:multiLevelType w:val="hybridMultilevel"/>
    <w:tmpl w:val="3F66A3B8"/>
    <w:lvl w:ilvl="0" w:tplc="7026C106">
      <w:start w:val="1"/>
      <w:numFmt w:val="lowerLetter"/>
      <w:lvlText w:val="%1)"/>
      <w:lvlJc w:val="left"/>
      <w:pPr>
        <w:ind w:left="420" w:hanging="420"/>
      </w:pPr>
      <w:rPr>
        <w:rFonts w:ascii="ＭＳ ゴシック" w:eastAsia="ＭＳ ゴシック" w:hint="eastAsia"/>
        <w:b/>
        <w:i w:val="0"/>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4" w15:restartNumberingAfterBreak="0">
    <w:nsid w:val="4AA137F5"/>
    <w:multiLevelType w:val="hybridMultilevel"/>
    <w:tmpl w:val="EDE62274"/>
    <w:lvl w:ilvl="0" w:tplc="B432547C">
      <w:start w:val="1"/>
      <w:numFmt w:val="decimal"/>
      <w:lvlText w:val="2.%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5" w15:restartNumberingAfterBreak="0">
    <w:nsid w:val="4AB135F5"/>
    <w:multiLevelType w:val="hybridMultilevel"/>
    <w:tmpl w:val="7A242CB6"/>
    <w:lvl w:ilvl="0" w:tplc="2BFA652A">
      <w:start w:val="1"/>
      <w:numFmt w:val="decimal"/>
      <w:lvlText w:val="%1)"/>
      <w:lvlJc w:val="left"/>
      <w:pPr>
        <w:ind w:left="1260" w:hanging="420"/>
      </w:pPr>
      <w:rPr>
        <w:rFonts w:ascii="ＭＳ ゴシック" w:eastAsia="ＭＳ ゴシック" w:hint="eastAsia"/>
        <w:b/>
        <w:i w:val="0"/>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6" w15:restartNumberingAfterBreak="0">
    <w:nsid w:val="4B1E7862"/>
    <w:multiLevelType w:val="hybridMultilevel"/>
    <w:tmpl w:val="4F60AF84"/>
    <w:lvl w:ilvl="0" w:tplc="A1642520">
      <w:start w:val="7"/>
      <w:numFmt w:val="decimal"/>
      <w:lvlText w:val="%1)"/>
      <w:lvlJc w:val="left"/>
      <w:pPr>
        <w:ind w:left="1260" w:hanging="420"/>
      </w:pPr>
      <w:rPr>
        <w:rFonts w:ascii="ＭＳ ゴシック" w:eastAsia="ＭＳ ゴシック" w:hint="eastAsia"/>
        <w:b/>
        <w:i w:val="0"/>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7" w15:restartNumberingAfterBreak="0">
    <w:nsid w:val="4B6078AF"/>
    <w:multiLevelType w:val="hybridMultilevel"/>
    <w:tmpl w:val="335A8B14"/>
    <w:lvl w:ilvl="0" w:tplc="59DEF960">
      <w:start w:val="1"/>
      <w:numFmt w:val="decimal"/>
      <w:lvlText w:val="%1)"/>
      <w:lvlJc w:val="left"/>
      <w:pPr>
        <w:ind w:left="704"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8" w15:restartNumberingAfterBreak="0">
    <w:nsid w:val="4B815CF6"/>
    <w:multiLevelType w:val="hybridMultilevel"/>
    <w:tmpl w:val="3CDC3ADA"/>
    <w:lvl w:ilvl="0" w:tplc="E466B66C">
      <w:start w:val="1"/>
      <w:numFmt w:val="decimal"/>
      <w:lvlText w:val="%1)"/>
      <w:lvlJc w:val="left"/>
      <w:pPr>
        <w:ind w:left="647" w:hanging="420"/>
      </w:pPr>
      <w:rPr>
        <w:rFonts w:ascii="ＭＳ ゴシック" w:eastAsia="ＭＳ ゴシック" w:hint="eastAsia"/>
        <w:b/>
        <w:i w:val="0"/>
        <w:sz w:val="21"/>
      </w:rPr>
    </w:lvl>
    <w:lvl w:ilvl="1" w:tplc="04090017" w:tentative="1">
      <w:start w:val="1"/>
      <w:numFmt w:val="aiueoFullWidth"/>
      <w:lvlText w:val="(%2)"/>
      <w:lvlJc w:val="left"/>
      <w:pPr>
        <w:ind w:left="1067" w:hanging="420"/>
      </w:p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abstractNum w:abstractNumId="379" w15:restartNumberingAfterBreak="0">
    <w:nsid w:val="4BDB6740"/>
    <w:multiLevelType w:val="hybridMultilevel"/>
    <w:tmpl w:val="9F26E2DC"/>
    <w:lvl w:ilvl="0" w:tplc="9A484A7A">
      <w:start w:val="2"/>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0" w15:restartNumberingAfterBreak="0">
    <w:nsid w:val="4BE71035"/>
    <w:multiLevelType w:val="hybridMultilevel"/>
    <w:tmpl w:val="BA2A7D9A"/>
    <w:lvl w:ilvl="0" w:tplc="363AA4E6">
      <w:start w:val="5"/>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1" w15:restartNumberingAfterBreak="0">
    <w:nsid w:val="4BED0174"/>
    <w:multiLevelType w:val="hybridMultilevel"/>
    <w:tmpl w:val="D892D964"/>
    <w:lvl w:ilvl="0" w:tplc="EF2C064A">
      <w:start w:val="12"/>
      <w:numFmt w:val="decimal"/>
      <w:lvlText w:val="%1)"/>
      <w:lvlJc w:val="left"/>
      <w:pPr>
        <w:ind w:left="420" w:hanging="420"/>
      </w:pPr>
      <w:rPr>
        <w:rFonts w:ascii="ＭＳ ゴシック" w:eastAsia="ＭＳ ゴシック" w:hint="eastAsia"/>
        <w:b/>
        <w:i w:val="0"/>
        <w:sz w:val="21"/>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2" w15:restartNumberingAfterBreak="0">
    <w:nsid w:val="4C00545C"/>
    <w:multiLevelType w:val="hybridMultilevel"/>
    <w:tmpl w:val="2AE884F8"/>
    <w:lvl w:ilvl="0" w:tplc="CD8CF6CC">
      <w:start w:val="1"/>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3" w15:restartNumberingAfterBreak="0">
    <w:nsid w:val="4C186E10"/>
    <w:multiLevelType w:val="hybridMultilevel"/>
    <w:tmpl w:val="7B32C038"/>
    <w:lvl w:ilvl="0" w:tplc="7EA61AE8">
      <w:start w:val="2"/>
      <w:numFmt w:val="lowerLetter"/>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4" w15:restartNumberingAfterBreak="0">
    <w:nsid w:val="4C454546"/>
    <w:multiLevelType w:val="hybridMultilevel"/>
    <w:tmpl w:val="BFBE7C46"/>
    <w:lvl w:ilvl="0" w:tplc="F1E80486">
      <w:start w:val="1"/>
      <w:numFmt w:val="lowerLetter"/>
      <w:lvlText w:val="%1)"/>
      <w:lvlJc w:val="left"/>
      <w:pPr>
        <w:ind w:left="420" w:hanging="420"/>
      </w:pPr>
      <w:rPr>
        <w:rFonts w:ascii="ＭＳ ゴシック" w:eastAsia="ＭＳ ゴシック" w:hAnsi="Century" w:cs="Times New Roman" w:hint="default"/>
        <w:b/>
        <w:i w:val="0"/>
        <w:color w:val="auto"/>
        <w:sz w:val="21"/>
        <w:vertAlign w:val="base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5" w15:restartNumberingAfterBreak="0">
    <w:nsid w:val="4C6C1933"/>
    <w:multiLevelType w:val="hybridMultilevel"/>
    <w:tmpl w:val="CD3AD756"/>
    <w:lvl w:ilvl="0" w:tplc="D86C4FFA">
      <w:start w:val="1"/>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6" w15:restartNumberingAfterBreak="0">
    <w:nsid w:val="4CC32AE7"/>
    <w:multiLevelType w:val="hybridMultilevel"/>
    <w:tmpl w:val="1C3A444A"/>
    <w:lvl w:ilvl="0" w:tplc="2BDE6C78">
      <w:start w:val="1"/>
      <w:numFmt w:val="lowerLetter"/>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7" w15:restartNumberingAfterBreak="0">
    <w:nsid w:val="4D9F2412"/>
    <w:multiLevelType w:val="hybridMultilevel"/>
    <w:tmpl w:val="1A5EFD5C"/>
    <w:lvl w:ilvl="0" w:tplc="209C69E2">
      <w:start w:val="1"/>
      <w:numFmt w:val="decimal"/>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8" w15:restartNumberingAfterBreak="0">
    <w:nsid w:val="4E1E0760"/>
    <w:multiLevelType w:val="hybridMultilevel"/>
    <w:tmpl w:val="577EF62C"/>
    <w:lvl w:ilvl="0" w:tplc="D61A5776">
      <w:start w:val="6"/>
      <w:numFmt w:val="lowerLetter"/>
      <w:lvlText w:val="%1)"/>
      <w:lvlJc w:val="left"/>
      <w:pPr>
        <w:ind w:left="1260" w:hanging="420"/>
      </w:pPr>
      <w:rPr>
        <w:rFonts w:ascii="ＭＳ ゴシック" w:eastAsia="ＭＳ ゴシック" w:hAnsiTheme="minorHAnsi" w:hint="eastAsia"/>
        <w:b/>
        <w:i w:val="0"/>
        <w:caps w:val="0"/>
        <w:strike w:val="0"/>
        <w:dstrike w:val="0"/>
        <w:vanish w:val="0"/>
        <w:color w:val="000000"/>
        <w:sz w:val="21"/>
        <w:vertAlign w:val="base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9" w15:restartNumberingAfterBreak="0">
    <w:nsid w:val="4E2243A4"/>
    <w:multiLevelType w:val="hybridMultilevel"/>
    <w:tmpl w:val="6B4CDA28"/>
    <w:lvl w:ilvl="0" w:tplc="57E8F368">
      <w:start w:val="1"/>
      <w:numFmt w:val="decimal"/>
      <w:lvlText w:val="1.%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90" w15:restartNumberingAfterBreak="0">
    <w:nsid w:val="4E682263"/>
    <w:multiLevelType w:val="hybridMultilevel"/>
    <w:tmpl w:val="B85424C2"/>
    <w:lvl w:ilvl="0" w:tplc="1FDA441E">
      <w:start w:val="1"/>
      <w:numFmt w:val="lowerLetter"/>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1" w15:restartNumberingAfterBreak="0">
    <w:nsid w:val="4E974B06"/>
    <w:multiLevelType w:val="hybridMultilevel"/>
    <w:tmpl w:val="841A751C"/>
    <w:lvl w:ilvl="0" w:tplc="296C8AEA">
      <w:start w:val="4"/>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2" w15:restartNumberingAfterBreak="0">
    <w:nsid w:val="4EDA493A"/>
    <w:multiLevelType w:val="hybridMultilevel"/>
    <w:tmpl w:val="DF488BB4"/>
    <w:lvl w:ilvl="0" w:tplc="687864C0">
      <w:start w:val="1"/>
      <w:numFmt w:val="decimal"/>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3" w15:restartNumberingAfterBreak="0">
    <w:nsid w:val="4F04112B"/>
    <w:multiLevelType w:val="hybridMultilevel"/>
    <w:tmpl w:val="BAC8FD56"/>
    <w:lvl w:ilvl="0" w:tplc="7C402E5A">
      <w:start w:val="1"/>
      <w:numFmt w:val="lowerLetter"/>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4" w15:restartNumberingAfterBreak="0">
    <w:nsid w:val="4F05357E"/>
    <w:multiLevelType w:val="hybridMultilevel"/>
    <w:tmpl w:val="CD3E524C"/>
    <w:lvl w:ilvl="0" w:tplc="B3DC7E70">
      <w:start w:val="1"/>
      <w:numFmt w:val="decimal"/>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95" w15:restartNumberingAfterBreak="0">
    <w:nsid w:val="4F081D78"/>
    <w:multiLevelType w:val="hybridMultilevel"/>
    <w:tmpl w:val="740ED9BE"/>
    <w:lvl w:ilvl="0" w:tplc="A5D69576">
      <w:start w:val="1"/>
      <w:numFmt w:val="decimal"/>
      <w:lvlText w:val="%1)"/>
      <w:lvlJc w:val="left"/>
      <w:pPr>
        <w:ind w:left="1260" w:hanging="420"/>
      </w:pPr>
      <w:rPr>
        <w:rFonts w:ascii="ＭＳ ゴシック" w:hAnsi="ＭＳ ゴシック" w:hint="eastAsia"/>
        <w:b/>
        <w:i w:val="0"/>
        <w:sz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96" w15:restartNumberingAfterBreak="0">
    <w:nsid w:val="4F0F3577"/>
    <w:multiLevelType w:val="hybridMultilevel"/>
    <w:tmpl w:val="9654A402"/>
    <w:lvl w:ilvl="0" w:tplc="E3D4C574">
      <w:start w:val="4"/>
      <w:numFmt w:val="decimal"/>
      <w:lvlText w:val="3.%1)"/>
      <w:lvlJc w:val="left"/>
      <w:pPr>
        <w:ind w:left="531" w:hanging="420"/>
      </w:pPr>
      <w:rPr>
        <w:rFonts w:asciiTheme="majorEastAsia" w:eastAsia="ＭＳ 明朝" w:hAnsiTheme="majorEastAsia"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7" w15:restartNumberingAfterBreak="0">
    <w:nsid w:val="4F564A26"/>
    <w:multiLevelType w:val="hybridMultilevel"/>
    <w:tmpl w:val="5E4C0062"/>
    <w:lvl w:ilvl="0" w:tplc="44B680E0">
      <w:start w:val="1"/>
      <w:numFmt w:val="lowerLetter"/>
      <w:lvlText w:val="%1)"/>
      <w:lvlJc w:val="left"/>
      <w:pPr>
        <w:ind w:left="1260" w:hanging="420"/>
      </w:pPr>
      <w:rPr>
        <w:rFonts w:ascii="ＭＳ ゴシック" w:eastAsia="ＭＳ ゴシック" w:hAnsiTheme="minorHAnsi" w:hint="eastAsia"/>
        <w:b/>
        <w:i w:val="0"/>
        <w:caps w:val="0"/>
        <w:strike w:val="0"/>
        <w:dstrike w:val="0"/>
        <w:vanish w:val="0"/>
        <w:color w:val="000000"/>
        <w:sz w:val="21"/>
        <w:vertAlign w:val="baseline"/>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98" w15:restartNumberingAfterBreak="0">
    <w:nsid w:val="4F617BC6"/>
    <w:multiLevelType w:val="hybridMultilevel"/>
    <w:tmpl w:val="7A34B240"/>
    <w:lvl w:ilvl="0" w:tplc="F3C46F1A">
      <w:start w:val="2"/>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9" w15:restartNumberingAfterBreak="0">
    <w:nsid w:val="4F6F2D42"/>
    <w:multiLevelType w:val="hybridMultilevel"/>
    <w:tmpl w:val="FCD07F46"/>
    <w:lvl w:ilvl="0" w:tplc="BA8E7A20">
      <w:start w:val="4"/>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0" w15:restartNumberingAfterBreak="0">
    <w:nsid w:val="4F9B2748"/>
    <w:multiLevelType w:val="hybridMultilevel"/>
    <w:tmpl w:val="E7BC99EC"/>
    <w:lvl w:ilvl="0" w:tplc="E466B66C">
      <w:start w:val="1"/>
      <w:numFmt w:val="decimal"/>
      <w:lvlText w:val="%1)"/>
      <w:lvlJc w:val="left"/>
      <w:pPr>
        <w:ind w:left="647" w:hanging="420"/>
      </w:pPr>
      <w:rPr>
        <w:rFonts w:ascii="ＭＳ ゴシック" w:eastAsia="ＭＳ ゴシック" w:hint="eastAsia"/>
        <w:b/>
        <w:i w:val="0"/>
        <w:sz w:val="21"/>
      </w:rPr>
    </w:lvl>
    <w:lvl w:ilvl="1" w:tplc="04090017" w:tentative="1">
      <w:start w:val="1"/>
      <w:numFmt w:val="aiueoFullWidth"/>
      <w:lvlText w:val="(%2)"/>
      <w:lvlJc w:val="left"/>
      <w:pPr>
        <w:ind w:left="1067" w:hanging="420"/>
      </w:p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abstractNum w:abstractNumId="401" w15:restartNumberingAfterBreak="0">
    <w:nsid w:val="4FE13876"/>
    <w:multiLevelType w:val="hybridMultilevel"/>
    <w:tmpl w:val="D0F6F0A4"/>
    <w:lvl w:ilvl="0" w:tplc="706A05C0">
      <w:start w:val="1"/>
      <w:numFmt w:val="decimal"/>
      <w:lvlText w:val="1.%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02" w15:restartNumberingAfterBreak="0">
    <w:nsid w:val="4FE55BD1"/>
    <w:multiLevelType w:val="hybridMultilevel"/>
    <w:tmpl w:val="639CB87A"/>
    <w:lvl w:ilvl="0" w:tplc="63009214">
      <w:start w:val="4"/>
      <w:numFmt w:val="lowerLetter"/>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3" w15:restartNumberingAfterBreak="0">
    <w:nsid w:val="501D416C"/>
    <w:multiLevelType w:val="hybridMultilevel"/>
    <w:tmpl w:val="34C0011A"/>
    <w:lvl w:ilvl="0" w:tplc="F68E6030">
      <w:start w:val="4"/>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4" w15:restartNumberingAfterBreak="0">
    <w:nsid w:val="5056464E"/>
    <w:multiLevelType w:val="hybridMultilevel"/>
    <w:tmpl w:val="9E46502E"/>
    <w:lvl w:ilvl="0" w:tplc="F8463F10">
      <w:start w:val="3"/>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5" w15:restartNumberingAfterBreak="0">
    <w:nsid w:val="50F502AE"/>
    <w:multiLevelType w:val="hybridMultilevel"/>
    <w:tmpl w:val="EE5833F6"/>
    <w:lvl w:ilvl="0" w:tplc="2AE2A1D2">
      <w:start w:val="1"/>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6" w15:restartNumberingAfterBreak="0">
    <w:nsid w:val="513653B7"/>
    <w:multiLevelType w:val="hybridMultilevel"/>
    <w:tmpl w:val="D828F424"/>
    <w:lvl w:ilvl="0" w:tplc="3DA0A998">
      <w:start w:val="5"/>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7" w15:restartNumberingAfterBreak="0">
    <w:nsid w:val="513D6938"/>
    <w:multiLevelType w:val="hybridMultilevel"/>
    <w:tmpl w:val="B000950A"/>
    <w:lvl w:ilvl="0" w:tplc="6C2C5A60">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8" w15:restartNumberingAfterBreak="0">
    <w:nsid w:val="51C70AA8"/>
    <w:multiLevelType w:val="hybridMultilevel"/>
    <w:tmpl w:val="002ABBE2"/>
    <w:lvl w:ilvl="0" w:tplc="27043410">
      <w:start w:val="2"/>
      <w:numFmt w:val="decimal"/>
      <w:lvlText w:val="%1)"/>
      <w:lvlJc w:val="left"/>
      <w:pPr>
        <w:ind w:left="1260" w:hanging="420"/>
      </w:pPr>
      <w:rPr>
        <w:rFonts w:ascii="ＭＳ ゴシック" w:eastAsia="ＭＳ ゴシック" w:hint="eastAsia"/>
        <w:b/>
        <w:i w:val="0"/>
        <w:color w:val="000000" w:themeColor="text1"/>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9" w15:restartNumberingAfterBreak="0">
    <w:nsid w:val="51F202CC"/>
    <w:multiLevelType w:val="hybridMultilevel"/>
    <w:tmpl w:val="E3D62EA8"/>
    <w:lvl w:ilvl="0" w:tplc="780E2430">
      <w:start w:val="1"/>
      <w:numFmt w:val="decimal"/>
      <w:lvlText w:val="%1)"/>
      <w:lvlJc w:val="left"/>
      <w:pPr>
        <w:ind w:left="1260" w:hanging="420"/>
      </w:pPr>
      <w:rPr>
        <w:rFonts w:asciiTheme="majorEastAsia" w:eastAsiaTheme="majorEastAsia" w:hAnsiTheme="majorEastAsia" w:hint="default"/>
        <w:b/>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10" w15:restartNumberingAfterBreak="0">
    <w:nsid w:val="52223759"/>
    <w:multiLevelType w:val="hybridMultilevel"/>
    <w:tmpl w:val="3D7C4C3A"/>
    <w:lvl w:ilvl="0" w:tplc="48FEB440">
      <w:start w:val="1"/>
      <w:numFmt w:val="decimal"/>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11" w15:restartNumberingAfterBreak="0">
    <w:nsid w:val="52500387"/>
    <w:multiLevelType w:val="hybridMultilevel"/>
    <w:tmpl w:val="16F62154"/>
    <w:lvl w:ilvl="0" w:tplc="F08A9DEA">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2" w15:restartNumberingAfterBreak="0">
    <w:nsid w:val="531E750A"/>
    <w:multiLevelType w:val="hybridMultilevel"/>
    <w:tmpl w:val="7E7CC05C"/>
    <w:lvl w:ilvl="0" w:tplc="B0C89BC0">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3" w15:restartNumberingAfterBreak="0">
    <w:nsid w:val="53B04B13"/>
    <w:multiLevelType w:val="hybridMultilevel"/>
    <w:tmpl w:val="DEF85294"/>
    <w:lvl w:ilvl="0" w:tplc="37980B8C">
      <w:start w:val="1"/>
      <w:numFmt w:val="lowerLetter"/>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14" w15:restartNumberingAfterBreak="0">
    <w:nsid w:val="53E664E9"/>
    <w:multiLevelType w:val="hybridMultilevel"/>
    <w:tmpl w:val="1256ED96"/>
    <w:lvl w:ilvl="0" w:tplc="D9E83264">
      <w:start w:val="1"/>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5" w15:restartNumberingAfterBreak="0">
    <w:nsid w:val="541615BF"/>
    <w:multiLevelType w:val="hybridMultilevel"/>
    <w:tmpl w:val="02AE1C62"/>
    <w:lvl w:ilvl="0" w:tplc="81F4DDC0">
      <w:start w:val="2"/>
      <w:numFmt w:val="decimal"/>
      <w:lvlText w:val="%1)"/>
      <w:lvlJc w:val="left"/>
      <w:pPr>
        <w:ind w:left="704"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6" w15:restartNumberingAfterBreak="0">
    <w:nsid w:val="541B4C99"/>
    <w:multiLevelType w:val="hybridMultilevel"/>
    <w:tmpl w:val="951AAE7C"/>
    <w:lvl w:ilvl="0" w:tplc="2E68B2FA">
      <w:start w:val="1"/>
      <w:numFmt w:val="decimal"/>
      <w:lvlText w:val="%1)"/>
      <w:lvlJc w:val="left"/>
      <w:pPr>
        <w:ind w:left="1260" w:hanging="420"/>
      </w:pPr>
      <w:rPr>
        <w:rFonts w:ascii="ＭＳ ゴシック" w:eastAsia="ＭＳ ゴシック" w:hint="eastAsia"/>
        <w:b/>
        <w:i w:val="0"/>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7" w15:restartNumberingAfterBreak="0">
    <w:nsid w:val="54225C16"/>
    <w:multiLevelType w:val="multilevel"/>
    <w:tmpl w:val="62E419E0"/>
    <w:styleLink w:val="17"/>
    <w:lvl w:ilvl="0">
      <w:start w:val="1"/>
      <w:numFmt w:val="decimal"/>
      <w:pStyle w:val="13"/>
      <w:lvlText w:val="%1"/>
      <w:lvlJc w:val="left"/>
      <w:pPr>
        <w:ind w:left="425" w:hanging="425"/>
      </w:pPr>
      <w:rPr>
        <w:rFonts w:hint="eastAsia"/>
      </w:rPr>
    </w:lvl>
    <w:lvl w:ilvl="1">
      <w:start w:val="1"/>
      <w:numFmt w:val="decimal"/>
      <w:pStyle w:val="110"/>
      <w:lvlText w:val="%1.%2"/>
      <w:lvlJc w:val="left"/>
      <w:pPr>
        <w:ind w:left="425" w:hanging="425"/>
      </w:pPr>
      <w:rPr>
        <w:rFonts w:hint="eastAsia"/>
      </w:rPr>
    </w:lvl>
    <w:lvl w:ilvl="2">
      <w:start w:val="1"/>
      <w:numFmt w:val="decimal"/>
      <w:pStyle w:val="111"/>
      <w:lvlText w:val="%1.%2.%3"/>
      <w:lvlJc w:val="left"/>
      <w:pPr>
        <w:ind w:left="425" w:hanging="425"/>
      </w:pPr>
      <w:rPr>
        <w:rFonts w:hint="eastAsia"/>
      </w:rPr>
    </w:lvl>
    <w:lvl w:ilvl="3">
      <w:start w:val="1"/>
      <w:numFmt w:val="decimal"/>
      <w:pStyle w:val="1111"/>
      <w:lvlText w:val="%1.%2.%3.%4"/>
      <w:lvlJc w:val="left"/>
      <w:pPr>
        <w:ind w:left="425" w:hanging="425"/>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18" w15:restartNumberingAfterBreak="0">
    <w:nsid w:val="54E4025F"/>
    <w:multiLevelType w:val="hybridMultilevel"/>
    <w:tmpl w:val="AFA84A28"/>
    <w:lvl w:ilvl="0" w:tplc="20467FDE">
      <w:start w:val="1"/>
      <w:numFmt w:val="decimal"/>
      <w:lvlText w:val="2.3.%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9" w15:restartNumberingAfterBreak="0">
    <w:nsid w:val="54FE587E"/>
    <w:multiLevelType w:val="hybridMultilevel"/>
    <w:tmpl w:val="DAC8AF12"/>
    <w:lvl w:ilvl="0" w:tplc="0558649A">
      <w:start w:val="1"/>
      <w:numFmt w:val="decimal"/>
      <w:lvlText w:val="2.1.%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20" w15:restartNumberingAfterBreak="0">
    <w:nsid w:val="54FE63FA"/>
    <w:multiLevelType w:val="hybridMultilevel"/>
    <w:tmpl w:val="D6E6EC64"/>
    <w:lvl w:ilvl="0" w:tplc="45E829A4">
      <w:start w:val="1"/>
      <w:numFmt w:val="decimal"/>
      <w:lvlText w:val="%1)"/>
      <w:lvlJc w:val="left"/>
      <w:pPr>
        <w:ind w:left="647" w:hanging="420"/>
      </w:pPr>
      <w:rPr>
        <w:rFonts w:ascii="ＭＳ ゴシック" w:eastAsia="ＭＳ ゴシック" w:hint="eastAsia"/>
        <w:b/>
        <w:i w:val="0"/>
        <w:sz w:val="21"/>
      </w:rPr>
    </w:lvl>
    <w:lvl w:ilvl="1" w:tplc="04090017" w:tentative="1">
      <w:start w:val="1"/>
      <w:numFmt w:val="aiueoFullWidth"/>
      <w:lvlText w:val="(%2)"/>
      <w:lvlJc w:val="left"/>
      <w:pPr>
        <w:ind w:left="1067" w:hanging="420"/>
      </w:p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abstractNum w:abstractNumId="421" w15:restartNumberingAfterBreak="0">
    <w:nsid w:val="550F684F"/>
    <w:multiLevelType w:val="hybridMultilevel"/>
    <w:tmpl w:val="E542B75C"/>
    <w:lvl w:ilvl="0" w:tplc="981E4552">
      <w:start w:val="2"/>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2" w15:restartNumberingAfterBreak="0">
    <w:nsid w:val="55393C26"/>
    <w:multiLevelType w:val="hybridMultilevel"/>
    <w:tmpl w:val="7616B9E6"/>
    <w:lvl w:ilvl="0" w:tplc="C0947756">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3" w15:restartNumberingAfterBreak="0">
    <w:nsid w:val="55C369F7"/>
    <w:multiLevelType w:val="hybridMultilevel"/>
    <w:tmpl w:val="FF724A02"/>
    <w:lvl w:ilvl="0" w:tplc="53844970">
      <w:start w:val="2"/>
      <w:numFmt w:val="lowerLetter"/>
      <w:lvlText w:val="%1)"/>
      <w:lvlJc w:val="left"/>
      <w:pPr>
        <w:ind w:left="1260" w:hanging="420"/>
      </w:pPr>
      <w:rPr>
        <w:rFonts w:ascii="ＭＳ ゴシック" w:eastAsia="ＭＳ ゴシック" w:hAnsiTheme="minorHAnsi" w:hint="eastAsia"/>
        <w:b/>
        <w:i w:val="0"/>
        <w:caps w:val="0"/>
        <w:strike w:val="0"/>
        <w:dstrike w:val="0"/>
        <w:vanish w:val="0"/>
        <w:color w:val="000000"/>
        <w:sz w:val="21"/>
        <w:vertAlign w:val="base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4" w15:restartNumberingAfterBreak="0">
    <w:nsid w:val="56177595"/>
    <w:multiLevelType w:val="hybridMultilevel"/>
    <w:tmpl w:val="BFF8408A"/>
    <w:lvl w:ilvl="0" w:tplc="A3EE57D4">
      <w:start w:val="1"/>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5" w15:restartNumberingAfterBreak="0">
    <w:nsid w:val="565C5B9E"/>
    <w:multiLevelType w:val="hybridMultilevel"/>
    <w:tmpl w:val="29A622FE"/>
    <w:lvl w:ilvl="0" w:tplc="816C8026">
      <w:start w:val="2"/>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6" w15:restartNumberingAfterBreak="0">
    <w:nsid w:val="56857209"/>
    <w:multiLevelType w:val="hybridMultilevel"/>
    <w:tmpl w:val="3E70BFF2"/>
    <w:lvl w:ilvl="0" w:tplc="A96E4E8C">
      <w:start w:val="1"/>
      <w:numFmt w:val="lowerLetter"/>
      <w:lvlText w:val="%1)"/>
      <w:lvlJc w:val="left"/>
      <w:pPr>
        <w:ind w:left="420" w:hanging="420"/>
      </w:pPr>
      <w:rPr>
        <w:rFonts w:ascii="ＭＳ ゴシック" w:eastAsia="ＭＳ ゴシック" w:hAnsiTheme="minorHAnsi" w:hint="eastAsia"/>
        <w:b/>
        <w:i w:val="0"/>
        <w:caps w:val="0"/>
        <w:strike w:val="0"/>
        <w:dstrike w:val="0"/>
        <w:vanish w:val="0"/>
        <w:color w:val="000000"/>
        <w:sz w:val="21"/>
        <w:vertAlign w:val="base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7" w15:restartNumberingAfterBreak="0">
    <w:nsid w:val="56914200"/>
    <w:multiLevelType w:val="hybridMultilevel"/>
    <w:tmpl w:val="341EE47E"/>
    <w:lvl w:ilvl="0" w:tplc="4942CCAC">
      <w:start w:val="2"/>
      <w:numFmt w:val="decimal"/>
      <w:lvlText w:val="3.%1)"/>
      <w:lvlJc w:val="left"/>
      <w:pPr>
        <w:ind w:left="1260" w:hanging="420"/>
      </w:pPr>
      <w:rPr>
        <w:rFonts w:asciiTheme="majorEastAsia" w:eastAsia="ＭＳ 明朝" w:hAnsiTheme="majorEastAsia" w:hint="eastAsia"/>
        <w:b/>
        <w:i w:val="0"/>
        <w:color w:val="FF000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8" w15:restartNumberingAfterBreak="0">
    <w:nsid w:val="56E15059"/>
    <w:multiLevelType w:val="hybridMultilevel"/>
    <w:tmpl w:val="751E8BF8"/>
    <w:lvl w:ilvl="0" w:tplc="C4882AFE">
      <w:start w:val="3"/>
      <w:numFmt w:val="decimal"/>
      <w:lvlText w:val="%1)"/>
      <w:lvlJc w:val="left"/>
      <w:pPr>
        <w:ind w:left="84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9" w15:restartNumberingAfterBreak="0">
    <w:nsid w:val="57470DED"/>
    <w:multiLevelType w:val="hybridMultilevel"/>
    <w:tmpl w:val="3C96BDF8"/>
    <w:lvl w:ilvl="0" w:tplc="E5AE035E">
      <w:start w:val="1"/>
      <w:numFmt w:val="decimal"/>
      <w:lvlText w:val="%1)"/>
      <w:lvlJc w:val="left"/>
      <w:pPr>
        <w:ind w:left="1260" w:hanging="420"/>
      </w:pPr>
      <w:rPr>
        <w:rFonts w:ascii="ＭＳ ゴシック" w:eastAsia="ＭＳ ゴシック" w:hint="eastAsia"/>
        <w:b/>
        <w:i w:val="0"/>
        <w:color w:val="auto"/>
        <w:sz w:val="21"/>
      </w:rPr>
    </w:lvl>
    <w:lvl w:ilvl="1" w:tplc="84624056">
      <w:numFmt w:val="bullet"/>
      <w:lvlText w:val="・"/>
      <w:lvlJc w:val="left"/>
      <w:pPr>
        <w:ind w:left="1620" w:hanging="360"/>
      </w:pPr>
      <w:rPr>
        <w:rFonts w:ascii="ＭＳ 明朝" w:eastAsia="ＭＳ 明朝" w:hAnsi="ＭＳ 明朝" w:cs="Times New Roman" w:hint="eastAsia"/>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30" w15:restartNumberingAfterBreak="0">
    <w:nsid w:val="57703944"/>
    <w:multiLevelType w:val="hybridMultilevel"/>
    <w:tmpl w:val="249E2FE6"/>
    <w:lvl w:ilvl="0" w:tplc="2F064D16">
      <w:start w:val="1"/>
      <w:numFmt w:val="lowerLetter"/>
      <w:lvlText w:val="%1)"/>
      <w:lvlJc w:val="left"/>
      <w:pPr>
        <w:ind w:left="1260" w:hanging="420"/>
      </w:pPr>
      <w:rPr>
        <w:rFonts w:ascii="ＭＳ ゴシック" w:eastAsia="ＭＳ ゴシック" w:hAnsiTheme="minorHAnsi" w:hint="eastAsia"/>
        <w:b/>
        <w:i w:val="0"/>
        <w:caps w:val="0"/>
        <w:strike w:val="0"/>
        <w:dstrike w:val="0"/>
        <w:vanish w:val="0"/>
        <w:color w:val="000000"/>
        <w:sz w:val="21"/>
        <w:vertAlign w:val="base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1" w15:restartNumberingAfterBreak="0">
    <w:nsid w:val="57936782"/>
    <w:multiLevelType w:val="hybridMultilevel"/>
    <w:tmpl w:val="6B68F2E0"/>
    <w:lvl w:ilvl="0" w:tplc="CF94ED64">
      <w:start w:val="1"/>
      <w:numFmt w:val="decimal"/>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2" w15:restartNumberingAfterBreak="0">
    <w:nsid w:val="57C67F4E"/>
    <w:multiLevelType w:val="hybridMultilevel"/>
    <w:tmpl w:val="703664D4"/>
    <w:lvl w:ilvl="0" w:tplc="E466B66C">
      <w:start w:val="1"/>
      <w:numFmt w:val="decimal"/>
      <w:lvlText w:val="%1)"/>
      <w:lvlJc w:val="left"/>
      <w:pPr>
        <w:ind w:left="647" w:hanging="420"/>
      </w:pPr>
      <w:rPr>
        <w:rFonts w:ascii="ＭＳ ゴシック" w:eastAsia="ＭＳ ゴシック" w:hint="eastAsia"/>
        <w:b/>
        <w:i w:val="0"/>
        <w:sz w:val="21"/>
      </w:rPr>
    </w:lvl>
    <w:lvl w:ilvl="1" w:tplc="38D0E896">
      <w:start w:val="1"/>
      <w:numFmt w:val="decimal"/>
      <w:lvlText w:val="%2)"/>
      <w:lvlJc w:val="left"/>
      <w:pPr>
        <w:ind w:left="1067" w:hanging="420"/>
      </w:pPr>
      <w:rPr>
        <w:rFonts w:ascii="ＭＳ ゴシック" w:eastAsia="ＭＳ ゴシック" w:hint="eastAsia"/>
        <w:b/>
        <w:i w:val="0"/>
        <w:sz w:val="21"/>
      </w:r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abstractNum w:abstractNumId="433" w15:restartNumberingAfterBreak="0">
    <w:nsid w:val="57CB5460"/>
    <w:multiLevelType w:val="multilevel"/>
    <w:tmpl w:val="8B3AB69E"/>
    <w:styleLink w:val="30"/>
    <w:lvl w:ilvl="0">
      <w:start w:val="3"/>
      <w:numFmt w:val="decimal"/>
      <w:lvlText w:val="%1"/>
      <w:lvlJc w:val="left"/>
      <w:pPr>
        <w:tabs>
          <w:tab w:val="num" w:pos="284"/>
        </w:tabs>
        <w:ind w:left="425" w:hanging="425"/>
      </w:pPr>
      <w:rPr>
        <w:rFonts w:ascii="ＭＳ ゴシック" w:eastAsia="ＭＳ ゴシック" w:cs="Times New Roman" w:hint="eastAsia"/>
        <w:b/>
        <w:i w:val="0"/>
        <w:strike w:val="0"/>
        <w:dstrike w:val="0"/>
        <w:color w:val="auto"/>
        <w:sz w:val="21"/>
        <w:vertAlign w:val="baseline"/>
      </w:rPr>
    </w:lvl>
    <w:lvl w:ilvl="1">
      <w:start w:val="1"/>
      <w:numFmt w:val="decimal"/>
      <w:lvlText w:val="%1.%2"/>
      <w:lvlJc w:val="left"/>
      <w:pPr>
        <w:tabs>
          <w:tab w:val="num" w:pos="510"/>
        </w:tabs>
        <w:ind w:left="425" w:hanging="425"/>
      </w:pPr>
      <w:rPr>
        <w:rFonts w:ascii="ＭＳ ゴシック" w:eastAsia="ＭＳ ゴシック" w:cs="Times New Roman" w:hint="eastAsia"/>
        <w:b/>
        <w:i w:val="0"/>
        <w:sz w:val="21"/>
      </w:rPr>
    </w:lvl>
    <w:lvl w:ilvl="2">
      <w:start w:val="1"/>
      <w:numFmt w:val="decimal"/>
      <w:lvlText w:val="%1.%2.%3"/>
      <w:lvlJc w:val="left"/>
      <w:pPr>
        <w:tabs>
          <w:tab w:val="num" w:pos="0"/>
        </w:tabs>
        <w:ind w:left="425" w:hanging="425"/>
      </w:pPr>
      <w:rPr>
        <w:rFonts w:ascii="ＭＳ ゴシック" w:eastAsia="ＭＳ ゴシック" w:cs="Times New Roman" w:hint="eastAsia"/>
        <w:b/>
        <w:i w:val="0"/>
        <w:sz w:val="21"/>
      </w:rPr>
    </w:lvl>
    <w:lvl w:ilvl="3">
      <w:start w:val="1"/>
      <w:numFmt w:val="decimal"/>
      <w:lvlText w:val="%1.%2.%3.%4"/>
      <w:lvlJc w:val="left"/>
      <w:pPr>
        <w:tabs>
          <w:tab w:val="num" w:pos="284"/>
        </w:tabs>
        <w:ind w:left="425" w:hanging="425"/>
      </w:pPr>
      <w:rPr>
        <w:rFonts w:ascii="ＭＳ ゴシック" w:eastAsia="ＭＳ ゴシック" w:cs="Times New Roman" w:hint="eastAsia"/>
        <w:b/>
        <w:i w:val="0"/>
        <w:sz w:val="21"/>
      </w:rPr>
    </w:lvl>
    <w:lvl w:ilvl="4">
      <w:start w:val="1"/>
      <w:numFmt w:val="lowerLetter"/>
      <w:lvlText w:val="%5)"/>
      <w:lvlJc w:val="left"/>
      <w:pPr>
        <w:tabs>
          <w:tab w:val="num" w:pos="284"/>
        </w:tabs>
        <w:ind w:left="227" w:hanging="227"/>
      </w:pPr>
      <w:rPr>
        <w:rFonts w:ascii="ＭＳ ゴシック" w:eastAsia="ＭＳ ゴシック" w:cs="Times New Roman" w:hint="eastAsia"/>
        <w:b/>
        <w:i w:val="0"/>
        <w:color w:val="auto"/>
        <w:sz w:val="21"/>
      </w:rPr>
    </w:lvl>
    <w:lvl w:ilvl="5">
      <w:start w:val="1"/>
      <w:numFmt w:val="decimal"/>
      <w:lvlText w:val="%6)"/>
      <w:lvlJc w:val="left"/>
      <w:pPr>
        <w:tabs>
          <w:tab w:val="num" w:pos="284"/>
        </w:tabs>
        <w:ind w:left="737" w:hanging="453"/>
      </w:pPr>
      <w:rPr>
        <w:rFonts w:ascii="ＭＳ ゴシック" w:eastAsia="ＭＳ ゴシック" w:cs="Times New Roman" w:hint="eastAsia"/>
        <w:b/>
        <w:i w:val="0"/>
        <w:color w:val="auto"/>
        <w:sz w:val="21"/>
      </w:rPr>
    </w:lvl>
    <w:lvl w:ilvl="6">
      <w:start w:val="1"/>
      <w:numFmt w:val="decimal"/>
      <w:suff w:val="space"/>
      <w:lvlText w:val="%6.%7)"/>
      <w:lvlJc w:val="left"/>
      <w:pPr>
        <w:ind w:left="964" w:hanging="397"/>
      </w:pPr>
      <w:rPr>
        <w:rFonts w:ascii="ＭＳ ゴシック" w:eastAsia="ＭＳ ゴシック" w:cs="Times New Roman" w:hint="eastAsia"/>
        <w:b/>
        <w:i w:val="0"/>
        <w:color w:val="auto"/>
        <w:sz w:val="21"/>
      </w:rPr>
    </w:lvl>
    <w:lvl w:ilvl="7">
      <w:start w:val="1"/>
      <w:numFmt w:val="decimal"/>
      <w:suff w:val="space"/>
      <w:lvlText w:val="%6.%7.%8)"/>
      <w:lvlJc w:val="left"/>
      <w:pPr>
        <w:ind w:left="1247" w:hanging="567"/>
      </w:pPr>
      <w:rPr>
        <w:rFonts w:ascii="ＭＳ ゴシック" w:eastAsia="ＭＳ ゴシック" w:cs="Times New Roman" w:hint="eastAsia"/>
        <w:b/>
        <w:i w:val="0"/>
        <w:sz w:val="21"/>
      </w:rPr>
    </w:lvl>
    <w:lvl w:ilvl="8">
      <w:start w:val="1"/>
      <w:numFmt w:val="decimal"/>
      <w:lvlText w:val="%6.%7.%8.%9)"/>
      <w:lvlJc w:val="left"/>
      <w:pPr>
        <w:tabs>
          <w:tab w:val="num" w:pos="851"/>
        </w:tabs>
        <w:ind w:left="2552" w:hanging="1701"/>
      </w:pPr>
      <w:rPr>
        <w:rFonts w:ascii="ＭＳ ゴシック" w:eastAsia="ＭＳ ゴシック" w:cs="Times New Roman" w:hint="eastAsia"/>
        <w:b/>
        <w:i w:val="0"/>
        <w:sz w:val="21"/>
      </w:rPr>
    </w:lvl>
  </w:abstractNum>
  <w:abstractNum w:abstractNumId="434" w15:restartNumberingAfterBreak="0">
    <w:nsid w:val="581B3CE8"/>
    <w:multiLevelType w:val="hybridMultilevel"/>
    <w:tmpl w:val="87568712"/>
    <w:lvl w:ilvl="0" w:tplc="F694501C">
      <w:start w:val="1"/>
      <w:numFmt w:val="decimal"/>
      <w:lvlText w:val="1.%1)"/>
      <w:lvlJc w:val="left"/>
      <w:pPr>
        <w:ind w:left="1260" w:hanging="420"/>
      </w:pPr>
      <w:rPr>
        <w:rFonts w:asciiTheme="majorEastAsia" w:eastAsia="ＭＳ 明朝" w:hAnsiTheme="majorEastAsia"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5" w15:restartNumberingAfterBreak="0">
    <w:nsid w:val="582C663D"/>
    <w:multiLevelType w:val="hybridMultilevel"/>
    <w:tmpl w:val="23108AD6"/>
    <w:lvl w:ilvl="0" w:tplc="A9EA1608">
      <w:start w:val="1"/>
      <w:numFmt w:val="lowerLetter"/>
      <w:lvlText w:val="%1)"/>
      <w:lvlJc w:val="left"/>
      <w:pPr>
        <w:ind w:left="420" w:hanging="420"/>
      </w:pPr>
      <w:rPr>
        <w:rFonts w:ascii="ＭＳ ゴシック" w:eastAsia="ＭＳ ゴシック" w:hAnsiTheme="minorHAnsi" w:hint="eastAsia"/>
        <w:b/>
        <w:i w:val="0"/>
        <w:caps w:val="0"/>
        <w:strike w:val="0"/>
        <w:dstrike w:val="0"/>
        <w:vanish w:val="0"/>
        <w:color w:val="000000"/>
        <w:sz w:val="21"/>
        <w:vertAlign w:val="base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6" w15:restartNumberingAfterBreak="0">
    <w:nsid w:val="584C2FC0"/>
    <w:multiLevelType w:val="hybridMultilevel"/>
    <w:tmpl w:val="06765F84"/>
    <w:lvl w:ilvl="0" w:tplc="ADD68E34">
      <w:start w:val="1"/>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7" w15:restartNumberingAfterBreak="0">
    <w:nsid w:val="586313FB"/>
    <w:multiLevelType w:val="hybridMultilevel"/>
    <w:tmpl w:val="9300DF5C"/>
    <w:lvl w:ilvl="0" w:tplc="D850071A">
      <w:start w:val="1"/>
      <w:numFmt w:val="decimal"/>
      <w:lvlText w:val="2.%1)"/>
      <w:lvlJc w:val="left"/>
      <w:pPr>
        <w:ind w:left="1260" w:hanging="420"/>
      </w:pPr>
      <w:rPr>
        <w:rFonts w:asciiTheme="majorEastAsia" w:eastAsia="ＭＳ 明朝" w:hAnsiTheme="majorEastAsia"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8" w15:restartNumberingAfterBreak="0">
    <w:nsid w:val="5891086B"/>
    <w:multiLevelType w:val="hybridMultilevel"/>
    <w:tmpl w:val="24843844"/>
    <w:lvl w:ilvl="0" w:tplc="ED94D98E">
      <w:start w:val="1"/>
      <w:numFmt w:val="decimal"/>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9" w15:restartNumberingAfterBreak="0">
    <w:nsid w:val="58DB071D"/>
    <w:multiLevelType w:val="hybridMultilevel"/>
    <w:tmpl w:val="426C794A"/>
    <w:lvl w:ilvl="0" w:tplc="41B42876">
      <w:start w:val="1"/>
      <w:numFmt w:val="decimal"/>
      <w:lvlText w:val="%1)"/>
      <w:lvlJc w:val="left"/>
      <w:pPr>
        <w:ind w:left="703"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0" w15:restartNumberingAfterBreak="0">
    <w:nsid w:val="59961D48"/>
    <w:multiLevelType w:val="hybridMultilevel"/>
    <w:tmpl w:val="103656D4"/>
    <w:lvl w:ilvl="0" w:tplc="B7745830">
      <w:start w:val="1"/>
      <w:numFmt w:val="decimal"/>
      <w:lvlText w:val="%1)"/>
      <w:lvlJc w:val="left"/>
      <w:pPr>
        <w:ind w:left="1260" w:hanging="420"/>
      </w:pPr>
      <w:rPr>
        <w:rFonts w:ascii="ＭＳ ゴシック" w:eastAsia="ＭＳ ゴシック" w:hint="eastAsia"/>
        <w:b/>
        <w:i w:val="0"/>
        <w:color w:val="000000" w:themeColor="text1"/>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1" w15:restartNumberingAfterBreak="0">
    <w:nsid w:val="59F60D87"/>
    <w:multiLevelType w:val="hybridMultilevel"/>
    <w:tmpl w:val="4C305D22"/>
    <w:lvl w:ilvl="0" w:tplc="6B2ABD88">
      <w:start w:val="4"/>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2" w15:restartNumberingAfterBreak="0">
    <w:nsid w:val="5A652783"/>
    <w:multiLevelType w:val="hybridMultilevel"/>
    <w:tmpl w:val="F5E874E2"/>
    <w:lvl w:ilvl="0" w:tplc="80C6A9AC">
      <w:start w:val="3"/>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3" w15:restartNumberingAfterBreak="0">
    <w:nsid w:val="5A6C3168"/>
    <w:multiLevelType w:val="hybridMultilevel"/>
    <w:tmpl w:val="56DEFBF0"/>
    <w:lvl w:ilvl="0" w:tplc="E13C526E">
      <w:start w:val="4"/>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4" w15:restartNumberingAfterBreak="0">
    <w:nsid w:val="5A6E6EE2"/>
    <w:multiLevelType w:val="hybridMultilevel"/>
    <w:tmpl w:val="341EAEB2"/>
    <w:lvl w:ilvl="0" w:tplc="E0A48766">
      <w:start w:val="4"/>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5" w15:restartNumberingAfterBreak="0">
    <w:nsid w:val="5AD61325"/>
    <w:multiLevelType w:val="hybridMultilevel"/>
    <w:tmpl w:val="3A64855A"/>
    <w:lvl w:ilvl="0" w:tplc="B184A478">
      <w:start w:val="1"/>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6" w15:restartNumberingAfterBreak="0">
    <w:nsid w:val="5B0F1B47"/>
    <w:multiLevelType w:val="hybridMultilevel"/>
    <w:tmpl w:val="5ABA116E"/>
    <w:lvl w:ilvl="0" w:tplc="6F381896">
      <w:start w:val="2"/>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7" w15:restartNumberingAfterBreak="0">
    <w:nsid w:val="5BB57EEC"/>
    <w:multiLevelType w:val="hybridMultilevel"/>
    <w:tmpl w:val="E9A04636"/>
    <w:lvl w:ilvl="0" w:tplc="B6C06C9A">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8" w15:restartNumberingAfterBreak="0">
    <w:nsid w:val="5BBC76E0"/>
    <w:multiLevelType w:val="hybridMultilevel"/>
    <w:tmpl w:val="6A6C09DA"/>
    <w:lvl w:ilvl="0" w:tplc="11BA59BA">
      <w:start w:val="1"/>
      <w:numFmt w:val="decimal"/>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9" w15:restartNumberingAfterBreak="0">
    <w:nsid w:val="5C365003"/>
    <w:multiLevelType w:val="hybridMultilevel"/>
    <w:tmpl w:val="7EDC47D0"/>
    <w:lvl w:ilvl="0" w:tplc="4AFE6046">
      <w:start w:val="1"/>
      <w:numFmt w:val="lowerLetter"/>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0" w15:restartNumberingAfterBreak="0">
    <w:nsid w:val="5C4F7FD3"/>
    <w:multiLevelType w:val="hybridMultilevel"/>
    <w:tmpl w:val="147C3232"/>
    <w:lvl w:ilvl="0" w:tplc="E466B66C">
      <w:start w:val="1"/>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1" w15:restartNumberingAfterBreak="0">
    <w:nsid w:val="5C60086B"/>
    <w:multiLevelType w:val="hybridMultilevel"/>
    <w:tmpl w:val="4CD2917A"/>
    <w:lvl w:ilvl="0" w:tplc="6AFC9C10">
      <w:start w:val="3"/>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2" w15:restartNumberingAfterBreak="0">
    <w:nsid w:val="5C921D6A"/>
    <w:multiLevelType w:val="hybridMultilevel"/>
    <w:tmpl w:val="23B089E0"/>
    <w:lvl w:ilvl="0" w:tplc="428EA1CC">
      <w:start w:val="4"/>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3" w15:restartNumberingAfterBreak="0">
    <w:nsid w:val="5CA4382C"/>
    <w:multiLevelType w:val="hybridMultilevel"/>
    <w:tmpl w:val="555402F2"/>
    <w:lvl w:ilvl="0" w:tplc="E466B66C">
      <w:start w:val="1"/>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4" w15:restartNumberingAfterBreak="0">
    <w:nsid w:val="5CFC003D"/>
    <w:multiLevelType w:val="hybridMultilevel"/>
    <w:tmpl w:val="7F0EE3CA"/>
    <w:lvl w:ilvl="0" w:tplc="6694B844">
      <w:start w:val="1"/>
      <w:numFmt w:val="decimal"/>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5" w15:restartNumberingAfterBreak="0">
    <w:nsid w:val="5D5F4DAD"/>
    <w:multiLevelType w:val="hybridMultilevel"/>
    <w:tmpl w:val="78249758"/>
    <w:lvl w:ilvl="0" w:tplc="461C2C6C">
      <w:start w:val="5"/>
      <w:numFmt w:val="lowerLetter"/>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6" w15:restartNumberingAfterBreak="0">
    <w:nsid w:val="5D6A6737"/>
    <w:multiLevelType w:val="hybridMultilevel"/>
    <w:tmpl w:val="C9265C5C"/>
    <w:lvl w:ilvl="0" w:tplc="F082498A">
      <w:start w:val="2"/>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7" w15:restartNumberingAfterBreak="0">
    <w:nsid w:val="5D956132"/>
    <w:multiLevelType w:val="hybridMultilevel"/>
    <w:tmpl w:val="AD16C918"/>
    <w:lvl w:ilvl="0" w:tplc="2A9CED96">
      <w:start w:val="1"/>
      <w:numFmt w:val="lowerLetter"/>
      <w:lvlText w:val="%1)"/>
      <w:lvlJc w:val="left"/>
      <w:pPr>
        <w:ind w:left="420" w:hanging="420"/>
      </w:pPr>
      <w:rPr>
        <w:rFonts w:ascii="ＭＳ ゴシック" w:eastAsia="ＭＳ ゴシック" w:hint="eastAsia"/>
        <w:b/>
        <w:i w:val="0"/>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8" w15:restartNumberingAfterBreak="0">
    <w:nsid w:val="5DBC5002"/>
    <w:multiLevelType w:val="hybridMultilevel"/>
    <w:tmpl w:val="34A8653E"/>
    <w:lvl w:ilvl="0" w:tplc="B8D41B0E">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59" w15:restartNumberingAfterBreak="0">
    <w:nsid w:val="5DE42DA4"/>
    <w:multiLevelType w:val="hybridMultilevel"/>
    <w:tmpl w:val="B8AE9E3E"/>
    <w:lvl w:ilvl="0" w:tplc="5614B98A">
      <w:start w:val="1"/>
      <w:numFmt w:val="decimal"/>
      <w:lvlText w:val="2.%1)"/>
      <w:lvlJc w:val="left"/>
      <w:pPr>
        <w:ind w:left="930" w:hanging="420"/>
      </w:pPr>
      <w:rPr>
        <w:rFonts w:ascii="ＭＳ ゴシック" w:eastAsia="ＭＳ ゴシック" w:hint="eastAsia"/>
        <w:b/>
        <w:i w:val="0"/>
        <w:sz w:val="21"/>
      </w:rPr>
    </w:lvl>
    <w:lvl w:ilvl="1" w:tplc="04090017" w:tentative="1">
      <w:start w:val="1"/>
      <w:numFmt w:val="aiueoFullWidth"/>
      <w:lvlText w:val="(%2)"/>
      <w:lvlJc w:val="left"/>
      <w:pPr>
        <w:ind w:left="1350" w:hanging="420"/>
      </w:pPr>
    </w:lvl>
    <w:lvl w:ilvl="2" w:tplc="04090011" w:tentative="1">
      <w:start w:val="1"/>
      <w:numFmt w:val="decimalEnclosedCircle"/>
      <w:lvlText w:val="%3"/>
      <w:lvlJc w:val="left"/>
      <w:pPr>
        <w:ind w:left="1770" w:hanging="420"/>
      </w:pPr>
    </w:lvl>
    <w:lvl w:ilvl="3" w:tplc="0409000F" w:tentative="1">
      <w:start w:val="1"/>
      <w:numFmt w:val="decimal"/>
      <w:lvlText w:val="%4."/>
      <w:lvlJc w:val="left"/>
      <w:pPr>
        <w:ind w:left="2190" w:hanging="420"/>
      </w:pPr>
    </w:lvl>
    <w:lvl w:ilvl="4" w:tplc="04090017" w:tentative="1">
      <w:start w:val="1"/>
      <w:numFmt w:val="aiueoFullWidth"/>
      <w:lvlText w:val="(%5)"/>
      <w:lvlJc w:val="left"/>
      <w:pPr>
        <w:ind w:left="2610" w:hanging="420"/>
      </w:pPr>
    </w:lvl>
    <w:lvl w:ilvl="5" w:tplc="04090011" w:tentative="1">
      <w:start w:val="1"/>
      <w:numFmt w:val="decimalEnclosedCircle"/>
      <w:lvlText w:val="%6"/>
      <w:lvlJc w:val="left"/>
      <w:pPr>
        <w:ind w:left="3030" w:hanging="420"/>
      </w:pPr>
    </w:lvl>
    <w:lvl w:ilvl="6" w:tplc="0409000F" w:tentative="1">
      <w:start w:val="1"/>
      <w:numFmt w:val="decimal"/>
      <w:lvlText w:val="%7."/>
      <w:lvlJc w:val="left"/>
      <w:pPr>
        <w:ind w:left="3450" w:hanging="420"/>
      </w:pPr>
    </w:lvl>
    <w:lvl w:ilvl="7" w:tplc="04090017" w:tentative="1">
      <w:start w:val="1"/>
      <w:numFmt w:val="aiueoFullWidth"/>
      <w:lvlText w:val="(%8)"/>
      <w:lvlJc w:val="left"/>
      <w:pPr>
        <w:ind w:left="3870" w:hanging="420"/>
      </w:pPr>
    </w:lvl>
    <w:lvl w:ilvl="8" w:tplc="04090011" w:tentative="1">
      <w:start w:val="1"/>
      <w:numFmt w:val="decimalEnclosedCircle"/>
      <w:lvlText w:val="%9"/>
      <w:lvlJc w:val="left"/>
      <w:pPr>
        <w:ind w:left="4290" w:hanging="420"/>
      </w:pPr>
    </w:lvl>
  </w:abstractNum>
  <w:abstractNum w:abstractNumId="460" w15:restartNumberingAfterBreak="0">
    <w:nsid w:val="5E2747B6"/>
    <w:multiLevelType w:val="hybridMultilevel"/>
    <w:tmpl w:val="A69E9F3E"/>
    <w:lvl w:ilvl="0" w:tplc="F4029A94">
      <w:start w:val="1"/>
      <w:numFmt w:val="lowerLetter"/>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1" w15:restartNumberingAfterBreak="0">
    <w:nsid w:val="5E5E7B43"/>
    <w:multiLevelType w:val="hybridMultilevel"/>
    <w:tmpl w:val="F5267936"/>
    <w:lvl w:ilvl="0" w:tplc="83CA6226">
      <w:start w:val="1"/>
      <w:numFmt w:val="decimal"/>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2" w15:restartNumberingAfterBreak="0">
    <w:nsid w:val="5E970638"/>
    <w:multiLevelType w:val="hybridMultilevel"/>
    <w:tmpl w:val="76E4A8A8"/>
    <w:lvl w:ilvl="0" w:tplc="0DC0E0F6">
      <w:start w:val="1"/>
      <w:numFmt w:val="decimal"/>
      <w:lvlText w:val="2.2.%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3" w15:restartNumberingAfterBreak="0">
    <w:nsid w:val="5EA23D97"/>
    <w:multiLevelType w:val="hybridMultilevel"/>
    <w:tmpl w:val="F4AE78D8"/>
    <w:lvl w:ilvl="0" w:tplc="4B9E5E4A">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4" w15:restartNumberingAfterBreak="0">
    <w:nsid w:val="5F407608"/>
    <w:multiLevelType w:val="hybridMultilevel"/>
    <w:tmpl w:val="D4A414EA"/>
    <w:lvl w:ilvl="0" w:tplc="BFB4047E">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5" w15:restartNumberingAfterBreak="0">
    <w:nsid w:val="5F4C2C23"/>
    <w:multiLevelType w:val="hybridMultilevel"/>
    <w:tmpl w:val="E864DBE8"/>
    <w:lvl w:ilvl="0" w:tplc="5B9C0A18">
      <w:start w:val="1"/>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6" w15:restartNumberingAfterBreak="0">
    <w:nsid w:val="5F7566BD"/>
    <w:multiLevelType w:val="hybridMultilevel"/>
    <w:tmpl w:val="672C60F8"/>
    <w:lvl w:ilvl="0" w:tplc="41A6EA14">
      <w:start w:val="1"/>
      <w:numFmt w:val="lowerLetter"/>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7" w15:restartNumberingAfterBreak="0">
    <w:nsid w:val="5F7B4402"/>
    <w:multiLevelType w:val="hybridMultilevel"/>
    <w:tmpl w:val="2B56D4DE"/>
    <w:lvl w:ilvl="0" w:tplc="B602EC84">
      <w:start w:val="1"/>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8" w15:restartNumberingAfterBreak="0">
    <w:nsid w:val="5F7B4A42"/>
    <w:multiLevelType w:val="hybridMultilevel"/>
    <w:tmpl w:val="229E81BA"/>
    <w:lvl w:ilvl="0" w:tplc="DD8E1ED4">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69" w15:restartNumberingAfterBreak="0">
    <w:nsid w:val="5FCB298F"/>
    <w:multiLevelType w:val="hybridMultilevel"/>
    <w:tmpl w:val="1B760018"/>
    <w:lvl w:ilvl="0" w:tplc="78220FB4">
      <w:start w:val="2"/>
      <w:numFmt w:val="lowerLetter"/>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0" w15:restartNumberingAfterBreak="0">
    <w:nsid w:val="5FD06DB5"/>
    <w:multiLevelType w:val="hybridMultilevel"/>
    <w:tmpl w:val="0462994E"/>
    <w:lvl w:ilvl="0" w:tplc="E466B66C">
      <w:start w:val="1"/>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1" w15:restartNumberingAfterBreak="0">
    <w:nsid w:val="604506DB"/>
    <w:multiLevelType w:val="hybridMultilevel"/>
    <w:tmpl w:val="80EC6052"/>
    <w:lvl w:ilvl="0" w:tplc="BA7CCE88">
      <w:start w:val="6"/>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2" w15:restartNumberingAfterBreak="0">
    <w:nsid w:val="606304B3"/>
    <w:multiLevelType w:val="hybridMultilevel"/>
    <w:tmpl w:val="CBFE7BB4"/>
    <w:lvl w:ilvl="0" w:tplc="2AE2A1D2">
      <w:start w:val="1"/>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3" w15:restartNumberingAfterBreak="0">
    <w:nsid w:val="60B00A25"/>
    <w:multiLevelType w:val="hybridMultilevel"/>
    <w:tmpl w:val="A5CC26DA"/>
    <w:lvl w:ilvl="0" w:tplc="E466B66C">
      <w:start w:val="1"/>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4" w15:restartNumberingAfterBreak="0">
    <w:nsid w:val="61AE1AB5"/>
    <w:multiLevelType w:val="hybridMultilevel"/>
    <w:tmpl w:val="B442C55E"/>
    <w:lvl w:ilvl="0" w:tplc="8B9A01A0">
      <w:start w:val="6"/>
      <w:numFmt w:val="lowerLetter"/>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5" w15:restartNumberingAfterBreak="0">
    <w:nsid w:val="61B76FCF"/>
    <w:multiLevelType w:val="hybridMultilevel"/>
    <w:tmpl w:val="90045220"/>
    <w:lvl w:ilvl="0" w:tplc="44B680E0">
      <w:start w:val="1"/>
      <w:numFmt w:val="lowerLetter"/>
      <w:lvlText w:val="%1)"/>
      <w:lvlJc w:val="left"/>
      <w:pPr>
        <w:ind w:left="420" w:hanging="420"/>
      </w:pPr>
      <w:rPr>
        <w:rFonts w:ascii="ＭＳ ゴシック" w:eastAsia="ＭＳ ゴシック" w:hAnsiTheme="minorHAnsi" w:hint="eastAsia"/>
        <w:b/>
        <w:i w:val="0"/>
        <w:caps w:val="0"/>
        <w:strike w:val="0"/>
        <w:dstrike w:val="0"/>
        <w:vanish w:val="0"/>
        <w:color w:val="000000"/>
        <w:sz w:val="21"/>
        <w:vertAlign w:val="base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6" w15:restartNumberingAfterBreak="0">
    <w:nsid w:val="61CA5112"/>
    <w:multiLevelType w:val="hybridMultilevel"/>
    <w:tmpl w:val="E208FE4A"/>
    <w:lvl w:ilvl="0" w:tplc="C66CCB88">
      <w:start w:val="1"/>
      <w:numFmt w:val="decimal"/>
      <w:lvlText w:val="%1)"/>
      <w:lvlJc w:val="left"/>
      <w:pPr>
        <w:ind w:left="1260" w:hanging="420"/>
      </w:pPr>
      <w:rPr>
        <w:rFonts w:ascii="ＭＳ ゴシック" w:eastAsia="ＭＳ ゴシック" w:hint="eastAsia"/>
        <w:b/>
        <w:i w:val="0"/>
        <w:color w:val="000000" w:themeColor="text1"/>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7" w15:restartNumberingAfterBreak="0">
    <w:nsid w:val="626E5235"/>
    <w:multiLevelType w:val="hybridMultilevel"/>
    <w:tmpl w:val="E444B5BE"/>
    <w:lvl w:ilvl="0" w:tplc="949236C6">
      <w:start w:val="1"/>
      <w:numFmt w:val="decimal"/>
      <w:lvlText w:val="%1)"/>
      <w:lvlJc w:val="left"/>
      <w:pPr>
        <w:ind w:left="1260" w:hanging="420"/>
      </w:pPr>
      <w:rPr>
        <w:rFonts w:ascii="ＭＳ ゴシック" w:eastAsia="ＭＳ ゴシック" w:hint="eastAsia"/>
        <w:b/>
        <w:i w:val="0"/>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8" w15:restartNumberingAfterBreak="0">
    <w:nsid w:val="62B46E4F"/>
    <w:multiLevelType w:val="hybridMultilevel"/>
    <w:tmpl w:val="55729240"/>
    <w:lvl w:ilvl="0" w:tplc="A57C315A">
      <w:start w:val="4"/>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9" w15:restartNumberingAfterBreak="0">
    <w:nsid w:val="62C314A2"/>
    <w:multiLevelType w:val="hybridMultilevel"/>
    <w:tmpl w:val="1F7078EE"/>
    <w:lvl w:ilvl="0" w:tplc="B5DEA8EE">
      <w:start w:val="1"/>
      <w:numFmt w:val="lowerLetter"/>
      <w:lvlText w:val="%1)"/>
      <w:lvlJc w:val="left"/>
      <w:pPr>
        <w:ind w:left="420" w:hanging="420"/>
      </w:pPr>
      <w:rPr>
        <w:rFonts w:ascii="ＭＳ ゴシック" w:eastAsia="ＭＳ ゴシック" w:hAnsiTheme="minorHAnsi" w:hint="eastAsia"/>
        <w:b/>
        <w:i w:val="0"/>
        <w:caps w:val="0"/>
        <w:strike w:val="0"/>
        <w:dstrike w:val="0"/>
        <w:vanish w:val="0"/>
        <w:color w:val="000000"/>
        <w:sz w:val="21"/>
        <w:vertAlign w:val="base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0" w15:restartNumberingAfterBreak="0">
    <w:nsid w:val="62EC3592"/>
    <w:multiLevelType w:val="hybridMultilevel"/>
    <w:tmpl w:val="0130D610"/>
    <w:lvl w:ilvl="0" w:tplc="E466B66C">
      <w:start w:val="1"/>
      <w:numFmt w:val="decimal"/>
      <w:lvlText w:val="%1)"/>
      <w:lvlJc w:val="left"/>
      <w:pPr>
        <w:ind w:left="647" w:hanging="420"/>
      </w:pPr>
      <w:rPr>
        <w:rFonts w:ascii="ＭＳ ゴシック" w:eastAsia="ＭＳ ゴシック" w:hint="eastAsia"/>
        <w:b/>
        <w:i w:val="0"/>
        <w:sz w:val="21"/>
      </w:rPr>
    </w:lvl>
    <w:lvl w:ilvl="1" w:tplc="2870A706">
      <w:start w:val="1"/>
      <w:numFmt w:val="decimal"/>
      <w:lvlText w:val="%2)"/>
      <w:lvlJc w:val="left"/>
      <w:pPr>
        <w:ind w:left="1067" w:hanging="420"/>
      </w:pPr>
      <w:rPr>
        <w:rFonts w:ascii="ＭＳ ゴシック" w:eastAsia="ＭＳ ゴシック" w:hint="eastAsia"/>
        <w:b/>
        <w:i w:val="0"/>
        <w:sz w:val="21"/>
      </w:r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abstractNum w:abstractNumId="481" w15:restartNumberingAfterBreak="0">
    <w:nsid w:val="630162FB"/>
    <w:multiLevelType w:val="hybridMultilevel"/>
    <w:tmpl w:val="6366A63E"/>
    <w:lvl w:ilvl="0" w:tplc="D9F63302">
      <w:start w:val="1"/>
      <w:numFmt w:val="decimal"/>
      <w:lvlText w:val="3.%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82" w15:restartNumberingAfterBreak="0">
    <w:nsid w:val="63712A14"/>
    <w:multiLevelType w:val="hybridMultilevel"/>
    <w:tmpl w:val="D228E606"/>
    <w:lvl w:ilvl="0" w:tplc="8CA04EF0">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3" w15:restartNumberingAfterBreak="0">
    <w:nsid w:val="63B0100F"/>
    <w:multiLevelType w:val="hybridMultilevel"/>
    <w:tmpl w:val="CDFE1FF4"/>
    <w:lvl w:ilvl="0" w:tplc="44B680E0">
      <w:start w:val="1"/>
      <w:numFmt w:val="lowerLetter"/>
      <w:lvlText w:val="%1)"/>
      <w:lvlJc w:val="left"/>
      <w:pPr>
        <w:ind w:left="420" w:hanging="420"/>
      </w:pPr>
      <w:rPr>
        <w:rFonts w:ascii="ＭＳ ゴシック" w:eastAsia="ＭＳ ゴシック" w:hAnsiTheme="minorHAnsi" w:hint="eastAsia"/>
        <w:b/>
        <w:i w:val="0"/>
        <w:caps w:val="0"/>
        <w:strike w:val="0"/>
        <w:dstrike w:val="0"/>
        <w:vanish w:val="0"/>
        <w:color w:val="auto"/>
        <w:sz w:val="21"/>
        <w:vertAlign w:val="base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4" w15:restartNumberingAfterBreak="0">
    <w:nsid w:val="63E46F0A"/>
    <w:multiLevelType w:val="hybridMultilevel"/>
    <w:tmpl w:val="264EC03A"/>
    <w:lvl w:ilvl="0" w:tplc="47B69F78">
      <w:start w:val="1"/>
      <w:numFmt w:val="decimal"/>
      <w:lvlText w:val="%1)"/>
      <w:lvlJc w:val="left"/>
      <w:pPr>
        <w:ind w:left="1260" w:hanging="420"/>
      </w:pPr>
      <w:rPr>
        <w:rFonts w:ascii="ＭＳ ゴシック" w:eastAsia="ＭＳ ゴシック" w:hint="eastAsia"/>
        <w:b/>
        <w:i w:val="0"/>
        <w:color w:val="auto"/>
        <w:sz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85" w15:restartNumberingAfterBreak="0">
    <w:nsid w:val="64362B08"/>
    <w:multiLevelType w:val="hybridMultilevel"/>
    <w:tmpl w:val="D76E40FA"/>
    <w:lvl w:ilvl="0" w:tplc="9830E5A8">
      <w:start w:val="1"/>
      <w:numFmt w:val="decimal"/>
      <w:lvlText w:val="5.%1)"/>
      <w:lvlJc w:val="left"/>
      <w:pPr>
        <w:ind w:left="1260" w:hanging="420"/>
      </w:pPr>
      <w:rPr>
        <w:rFonts w:asciiTheme="majorEastAsia" w:eastAsia="ＭＳ 明朝" w:hAnsiTheme="majorEastAsia" w:hint="eastAsia"/>
        <w:b/>
        <w:i w:val="0"/>
        <w:sz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86" w15:restartNumberingAfterBreak="0">
    <w:nsid w:val="64364A4F"/>
    <w:multiLevelType w:val="hybridMultilevel"/>
    <w:tmpl w:val="D4E03F1A"/>
    <w:lvl w:ilvl="0" w:tplc="181C61EA">
      <w:start w:val="4"/>
      <w:numFmt w:val="decimal"/>
      <w:lvlText w:val="%1)"/>
      <w:lvlJc w:val="left"/>
      <w:pPr>
        <w:ind w:left="420" w:hanging="420"/>
      </w:pPr>
      <w:rPr>
        <w:rFonts w:ascii="ＭＳ ゴシック" w:hAnsi="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7" w15:restartNumberingAfterBreak="0">
    <w:nsid w:val="643E68DD"/>
    <w:multiLevelType w:val="hybridMultilevel"/>
    <w:tmpl w:val="7FB824CE"/>
    <w:lvl w:ilvl="0" w:tplc="0BE24B36">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8" w15:restartNumberingAfterBreak="0">
    <w:nsid w:val="643F15D3"/>
    <w:multiLevelType w:val="hybridMultilevel"/>
    <w:tmpl w:val="F7201EDA"/>
    <w:lvl w:ilvl="0" w:tplc="59A2FC62">
      <w:start w:val="3"/>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9" w15:restartNumberingAfterBreak="0">
    <w:nsid w:val="647D5B1D"/>
    <w:multiLevelType w:val="hybridMultilevel"/>
    <w:tmpl w:val="1D8C067C"/>
    <w:lvl w:ilvl="0" w:tplc="877AB5CE">
      <w:start w:val="1"/>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0" w15:restartNumberingAfterBreak="0">
    <w:nsid w:val="65314541"/>
    <w:multiLevelType w:val="hybridMultilevel"/>
    <w:tmpl w:val="417A4D36"/>
    <w:lvl w:ilvl="0" w:tplc="39FCEDE4">
      <w:start w:val="1"/>
      <w:numFmt w:val="decimal"/>
      <w:lvlText w:val="3.%1)"/>
      <w:lvlJc w:val="left"/>
      <w:pPr>
        <w:ind w:left="1260" w:hanging="420"/>
      </w:pPr>
      <w:rPr>
        <w:rFonts w:asciiTheme="majorEastAsia" w:eastAsia="ＭＳ 明朝" w:hAnsiTheme="majorEastAsia"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1" w15:restartNumberingAfterBreak="0">
    <w:nsid w:val="6547277D"/>
    <w:multiLevelType w:val="hybridMultilevel"/>
    <w:tmpl w:val="4E58EB16"/>
    <w:lvl w:ilvl="0" w:tplc="324A8D00">
      <w:start w:val="3"/>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2" w15:restartNumberingAfterBreak="0">
    <w:nsid w:val="658A1E36"/>
    <w:multiLevelType w:val="hybridMultilevel"/>
    <w:tmpl w:val="78106714"/>
    <w:lvl w:ilvl="0" w:tplc="32C4DE50">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93" w15:restartNumberingAfterBreak="0">
    <w:nsid w:val="65C45FEB"/>
    <w:multiLevelType w:val="hybridMultilevel"/>
    <w:tmpl w:val="AECAF7FE"/>
    <w:lvl w:ilvl="0" w:tplc="94E24176">
      <w:start w:val="1"/>
      <w:numFmt w:val="lowerLetter"/>
      <w:lvlText w:val="%1)"/>
      <w:lvlJc w:val="left"/>
      <w:pPr>
        <w:ind w:left="420" w:hanging="420"/>
      </w:pPr>
      <w:rPr>
        <w:rFonts w:ascii="ＭＳ ゴシック" w:eastAsia="ＭＳ ゴシック" w:hint="eastAsia"/>
        <w:b/>
        <w:i w:val="0"/>
        <w:sz w:val="21"/>
      </w:rPr>
    </w:lvl>
    <w:lvl w:ilvl="1" w:tplc="91E45160">
      <w:start w:val="1"/>
      <w:numFmt w:val="decimal"/>
      <w:lvlText w:val="%2)"/>
      <w:lvlJc w:val="left"/>
      <w:pPr>
        <w:ind w:left="780" w:hanging="360"/>
      </w:pPr>
      <w:rPr>
        <w:rFonts w:asciiTheme="majorEastAsia" w:eastAsiaTheme="majorEastAsia" w:hAnsiTheme="majorEastAsia" w:hint="default"/>
        <w:b/>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4" w15:restartNumberingAfterBreak="0">
    <w:nsid w:val="65ED79CA"/>
    <w:multiLevelType w:val="hybridMultilevel"/>
    <w:tmpl w:val="758C2138"/>
    <w:lvl w:ilvl="0" w:tplc="4A2613EC">
      <w:start w:val="1"/>
      <w:numFmt w:val="decimal"/>
      <w:lvlText w:val="3.%1)"/>
      <w:lvlJc w:val="left"/>
      <w:pPr>
        <w:ind w:left="840" w:hanging="420"/>
      </w:pPr>
      <w:rPr>
        <w:rFonts w:ascii="ＭＳ ゴシック" w:eastAsia="ＭＳ ゴシック" w:hint="eastAsia"/>
        <w:b/>
        <w:i w:val="0"/>
        <w:sz w:val="21"/>
      </w:rPr>
    </w:lvl>
    <w:lvl w:ilvl="1" w:tplc="ACD848BC">
      <w:start w:val="1"/>
      <w:numFmt w:val="lowerLetter"/>
      <w:lvlText w:val="%2)"/>
      <w:lvlJc w:val="left"/>
      <w:pPr>
        <w:ind w:left="780" w:hanging="360"/>
      </w:pPr>
      <w:rPr>
        <w:rFonts w:asciiTheme="majorEastAsia" w:eastAsiaTheme="majorEastAsia" w:hAnsiTheme="majorEastAsia" w:hint="default"/>
        <w:b/>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5" w15:restartNumberingAfterBreak="0">
    <w:nsid w:val="66230EA8"/>
    <w:multiLevelType w:val="hybridMultilevel"/>
    <w:tmpl w:val="061A74E8"/>
    <w:lvl w:ilvl="0" w:tplc="37980B8C">
      <w:start w:val="1"/>
      <w:numFmt w:val="lowerLetter"/>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96" w15:restartNumberingAfterBreak="0">
    <w:nsid w:val="66AE741F"/>
    <w:multiLevelType w:val="hybridMultilevel"/>
    <w:tmpl w:val="21A886A4"/>
    <w:lvl w:ilvl="0" w:tplc="EE828744">
      <w:start w:val="4"/>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7" w15:restartNumberingAfterBreak="0">
    <w:nsid w:val="66AF085C"/>
    <w:multiLevelType w:val="hybridMultilevel"/>
    <w:tmpl w:val="BB7CFB0C"/>
    <w:lvl w:ilvl="0" w:tplc="706A05C0">
      <w:start w:val="1"/>
      <w:numFmt w:val="decimal"/>
      <w:lvlText w:val="1.%1)"/>
      <w:lvlJc w:val="left"/>
      <w:pPr>
        <w:ind w:left="1372" w:hanging="420"/>
      </w:pPr>
      <w:rPr>
        <w:rFonts w:ascii="ＭＳ ゴシック" w:eastAsia="ＭＳ ゴシック" w:hint="eastAsia"/>
        <w:b/>
        <w:i w:val="0"/>
        <w:sz w:val="21"/>
      </w:rPr>
    </w:lvl>
    <w:lvl w:ilvl="1" w:tplc="04090017" w:tentative="1">
      <w:start w:val="1"/>
      <w:numFmt w:val="aiueoFullWidth"/>
      <w:lvlText w:val="(%2)"/>
      <w:lvlJc w:val="left"/>
      <w:pPr>
        <w:ind w:left="1792" w:hanging="420"/>
      </w:pPr>
    </w:lvl>
    <w:lvl w:ilvl="2" w:tplc="04090011" w:tentative="1">
      <w:start w:val="1"/>
      <w:numFmt w:val="decimalEnclosedCircle"/>
      <w:lvlText w:val="%3"/>
      <w:lvlJc w:val="left"/>
      <w:pPr>
        <w:ind w:left="2212" w:hanging="420"/>
      </w:pPr>
    </w:lvl>
    <w:lvl w:ilvl="3" w:tplc="0409000F" w:tentative="1">
      <w:start w:val="1"/>
      <w:numFmt w:val="decimal"/>
      <w:lvlText w:val="%4."/>
      <w:lvlJc w:val="left"/>
      <w:pPr>
        <w:ind w:left="2632" w:hanging="420"/>
      </w:pPr>
    </w:lvl>
    <w:lvl w:ilvl="4" w:tplc="04090017" w:tentative="1">
      <w:start w:val="1"/>
      <w:numFmt w:val="aiueoFullWidth"/>
      <w:lvlText w:val="(%5)"/>
      <w:lvlJc w:val="left"/>
      <w:pPr>
        <w:ind w:left="3052" w:hanging="420"/>
      </w:pPr>
    </w:lvl>
    <w:lvl w:ilvl="5" w:tplc="04090011" w:tentative="1">
      <w:start w:val="1"/>
      <w:numFmt w:val="decimalEnclosedCircle"/>
      <w:lvlText w:val="%6"/>
      <w:lvlJc w:val="left"/>
      <w:pPr>
        <w:ind w:left="3472" w:hanging="420"/>
      </w:pPr>
    </w:lvl>
    <w:lvl w:ilvl="6" w:tplc="0409000F" w:tentative="1">
      <w:start w:val="1"/>
      <w:numFmt w:val="decimal"/>
      <w:lvlText w:val="%7."/>
      <w:lvlJc w:val="left"/>
      <w:pPr>
        <w:ind w:left="3892" w:hanging="420"/>
      </w:pPr>
    </w:lvl>
    <w:lvl w:ilvl="7" w:tplc="04090017" w:tentative="1">
      <w:start w:val="1"/>
      <w:numFmt w:val="aiueoFullWidth"/>
      <w:lvlText w:val="(%8)"/>
      <w:lvlJc w:val="left"/>
      <w:pPr>
        <w:ind w:left="4312" w:hanging="420"/>
      </w:pPr>
    </w:lvl>
    <w:lvl w:ilvl="8" w:tplc="04090011" w:tentative="1">
      <w:start w:val="1"/>
      <w:numFmt w:val="decimalEnclosedCircle"/>
      <w:lvlText w:val="%9"/>
      <w:lvlJc w:val="left"/>
      <w:pPr>
        <w:ind w:left="4732" w:hanging="420"/>
      </w:pPr>
    </w:lvl>
  </w:abstractNum>
  <w:abstractNum w:abstractNumId="498" w15:restartNumberingAfterBreak="0">
    <w:nsid w:val="66B043EA"/>
    <w:multiLevelType w:val="hybridMultilevel"/>
    <w:tmpl w:val="50ECFD42"/>
    <w:lvl w:ilvl="0" w:tplc="AA9CCBEC">
      <w:start w:val="1"/>
      <w:numFmt w:val="lowerLetter"/>
      <w:lvlText w:val="%1)"/>
      <w:lvlJc w:val="left"/>
      <w:pPr>
        <w:ind w:left="420" w:hanging="420"/>
      </w:pPr>
      <w:rPr>
        <w:rFonts w:ascii="ＭＳ ゴシック" w:eastAsia="ＭＳ ゴシック" w:hAnsiTheme="minorHAnsi" w:hint="eastAsia"/>
        <w:b/>
        <w:i w:val="0"/>
        <w:caps w:val="0"/>
        <w:strike w:val="0"/>
        <w:dstrike w:val="0"/>
        <w:vanish w:val="0"/>
        <w:color w:val="000000"/>
        <w:sz w:val="21"/>
        <w:vertAlign w:val="base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9" w15:restartNumberingAfterBreak="0">
    <w:nsid w:val="66B56E0A"/>
    <w:multiLevelType w:val="hybridMultilevel"/>
    <w:tmpl w:val="D2F47BE4"/>
    <w:lvl w:ilvl="0" w:tplc="DD8E1ED4">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500" w15:restartNumberingAfterBreak="0">
    <w:nsid w:val="66BB51B7"/>
    <w:multiLevelType w:val="hybridMultilevel"/>
    <w:tmpl w:val="313C2DC2"/>
    <w:lvl w:ilvl="0" w:tplc="BEBE02EE">
      <w:start w:val="6"/>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1" w15:restartNumberingAfterBreak="0">
    <w:nsid w:val="66C6753D"/>
    <w:multiLevelType w:val="hybridMultilevel"/>
    <w:tmpl w:val="F76819F0"/>
    <w:lvl w:ilvl="0" w:tplc="B3DC7E70">
      <w:start w:val="1"/>
      <w:numFmt w:val="decimal"/>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502" w15:restartNumberingAfterBreak="0">
    <w:nsid w:val="67160195"/>
    <w:multiLevelType w:val="hybridMultilevel"/>
    <w:tmpl w:val="C426901C"/>
    <w:lvl w:ilvl="0" w:tplc="7F0EDCBC">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3" w15:restartNumberingAfterBreak="0">
    <w:nsid w:val="677B237E"/>
    <w:multiLevelType w:val="hybridMultilevel"/>
    <w:tmpl w:val="B2D65250"/>
    <w:lvl w:ilvl="0" w:tplc="275C6846">
      <w:start w:val="1"/>
      <w:numFmt w:val="lowerLetter"/>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4" w15:restartNumberingAfterBreak="0">
    <w:nsid w:val="67B14074"/>
    <w:multiLevelType w:val="hybridMultilevel"/>
    <w:tmpl w:val="AC7A79CC"/>
    <w:lvl w:ilvl="0" w:tplc="7632F656">
      <w:start w:val="1"/>
      <w:numFmt w:val="decimal"/>
      <w:lvlText w:val="6.%1)"/>
      <w:lvlJc w:val="left"/>
      <w:pPr>
        <w:ind w:left="1260" w:hanging="420"/>
      </w:pPr>
      <w:rPr>
        <w:rFonts w:asciiTheme="majorEastAsia" w:eastAsia="ＭＳ 明朝" w:hAnsiTheme="majorEastAsia"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5" w15:restartNumberingAfterBreak="0">
    <w:nsid w:val="681549C9"/>
    <w:multiLevelType w:val="hybridMultilevel"/>
    <w:tmpl w:val="DA0A51B8"/>
    <w:lvl w:ilvl="0" w:tplc="77A6B75C">
      <w:start w:val="1"/>
      <w:numFmt w:val="decimal"/>
      <w:lvlText w:val="3.%1)"/>
      <w:lvlJc w:val="left"/>
      <w:pPr>
        <w:ind w:left="1260" w:hanging="420"/>
      </w:pPr>
      <w:rPr>
        <w:rFonts w:asciiTheme="majorEastAsia" w:eastAsia="ＭＳ 明朝" w:hAnsiTheme="majorEastAsia"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6" w15:restartNumberingAfterBreak="0">
    <w:nsid w:val="681964D6"/>
    <w:multiLevelType w:val="hybridMultilevel"/>
    <w:tmpl w:val="50DC5BC4"/>
    <w:lvl w:ilvl="0" w:tplc="F500A18E">
      <w:start w:val="1"/>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7" w15:restartNumberingAfterBreak="0">
    <w:nsid w:val="681F2C7D"/>
    <w:multiLevelType w:val="hybridMultilevel"/>
    <w:tmpl w:val="0832D0F6"/>
    <w:lvl w:ilvl="0" w:tplc="A23EC52C">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8" w15:restartNumberingAfterBreak="0">
    <w:nsid w:val="68456E09"/>
    <w:multiLevelType w:val="hybridMultilevel"/>
    <w:tmpl w:val="2DB6FDE6"/>
    <w:lvl w:ilvl="0" w:tplc="3D3CA84A">
      <w:start w:val="3"/>
      <w:numFmt w:val="lowerLetter"/>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9" w15:restartNumberingAfterBreak="0">
    <w:nsid w:val="689A2A56"/>
    <w:multiLevelType w:val="hybridMultilevel"/>
    <w:tmpl w:val="1F0C514E"/>
    <w:lvl w:ilvl="0" w:tplc="B3DC7E70">
      <w:start w:val="1"/>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0" w15:restartNumberingAfterBreak="0">
    <w:nsid w:val="68A9740B"/>
    <w:multiLevelType w:val="hybridMultilevel"/>
    <w:tmpl w:val="1B560084"/>
    <w:lvl w:ilvl="0" w:tplc="17E05B16">
      <w:start w:val="1"/>
      <w:numFmt w:val="decimal"/>
      <w:lvlText w:val="%1)"/>
      <w:lvlJc w:val="left"/>
      <w:pPr>
        <w:ind w:left="1260" w:hanging="420"/>
      </w:pPr>
      <w:rPr>
        <w:rFonts w:ascii="ＭＳ ゴシック" w:eastAsia="ＭＳ ゴシック" w:hint="eastAsia"/>
        <w:b/>
        <w:i w:val="0"/>
        <w:color w:val="000000" w:themeColor="text1"/>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1" w15:restartNumberingAfterBreak="0">
    <w:nsid w:val="69B6476F"/>
    <w:multiLevelType w:val="hybridMultilevel"/>
    <w:tmpl w:val="55EA583A"/>
    <w:lvl w:ilvl="0" w:tplc="69D8F0F0">
      <w:start w:val="2"/>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2" w15:restartNumberingAfterBreak="0">
    <w:nsid w:val="69F70153"/>
    <w:multiLevelType w:val="hybridMultilevel"/>
    <w:tmpl w:val="121E5832"/>
    <w:lvl w:ilvl="0" w:tplc="4712DC6C">
      <w:start w:val="1"/>
      <w:numFmt w:val="decimal"/>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3" w15:restartNumberingAfterBreak="0">
    <w:nsid w:val="6A0F204B"/>
    <w:multiLevelType w:val="hybridMultilevel"/>
    <w:tmpl w:val="104A569A"/>
    <w:lvl w:ilvl="0" w:tplc="DD8E1ED4">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514" w15:restartNumberingAfterBreak="0">
    <w:nsid w:val="6A1B574E"/>
    <w:multiLevelType w:val="hybridMultilevel"/>
    <w:tmpl w:val="FF2E2CD0"/>
    <w:lvl w:ilvl="0" w:tplc="E466B66C">
      <w:start w:val="1"/>
      <w:numFmt w:val="decimal"/>
      <w:lvlText w:val="%1)"/>
      <w:lvlJc w:val="left"/>
      <w:pPr>
        <w:ind w:left="647" w:hanging="420"/>
      </w:pPr>
      <w:rPr>
        <w:rFonts w:ascii="ＭＳ ゴシック" w:eastAsia="ＭＳ ゴシック" w:hint="eastAsia"/>
        <w:b/>
        <w:i w:val="0"/>
        <w:sz w:val="21"/>
      </w:rPr>
    </w:lvl>
    <w:lvl w:ilvl="1" w:tplc="E466B66C">
      <w:start w:val="1"/>
      <w:numFmt w:val="decimal"/>
      <w:lvlText w:val="%2)"/>
      <w:lvlJc w:val="left"/>
      <w:pPr>
        <w:ind w:left="1067" w:hanging="420"/>
      </w:pPr>
      <w:rPr>
        <w:rFonts w:ascii="ＭＳ ゴシック" w:eastAsia="ＭＳ ゴシック" w:hint="eastAsia"/>
        <w:b/>
        <w:i w:val="0"/>
        <w:sz w:val="21"/>
      </w:r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abstractNum w:abstractNumId="515" w15:restartNumberingAfterBreak="0">
    <w:nsid w:val="6A910DE8"/>
    <w:multiLevelType w:val="hybridMultilevel"/>
    <w:tmpl w:val="39027E02"/>
    <w:lvl w:ilvl="0" w:tplc="507C010E">
      <w:start w:val="3"/>
      <w:numFmt w:val="lowerLetter"/>
      <w:lvlText w:val="%1)"/>
      <w:lvlJc w:val="left"/>
      <w:pPr>
        <w:ind w:left="420" w:hanging="420"/>
      </w:pPr>
      <w:rPr>
        <w:rFonts w:ascii="ＭＳ ゴシック" w:eastAsia="ＭＳ ゴシック" w:hAnsiTheme="minorHAnsi" w:hint="eastAsia"/>
        <w:b/>
        <w:i w:val="0"/>
        <w:caps w:val="0"/>
        <w:strike w:val="0"/>
        <w:dstrike w:val="0"/>
        <w:vanish w:val="0"/>
        <w:color w:val="000000"/>
        <w:sz w:val="21"/>
        <w:vertAlign w:val="base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6" w15:restartNumberingAfterBreak="0">
    <w:nsid w:val="6AEC321C"/>
    <w:multiLevelType w:val="hybridMultilevel"/>
    <w:tmpl w:val="F812673C"/>
    <w:lvl w:ilvl="0" w:tplc="DD8E1ED4">
      <w:start w:val="1"/>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7" w15:restartNumberingAfterBreak="0">
    <w:nsid w:val="6B6A136E"/>
    <w:multiLevelType w:val="hybridMultilevel"/>
    <w:tmpl w:val="3344285C"/>
    <w:lvl w:ilvl="0" w:tplc="C61CB2F0">
      <w:start w:val="1"/>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8" w15:restartNumberingAfterBreak="0">
    <w:nsid w:val="6B9869E6"/>
    <w:multiLevelType w:val="hybridMultilevel"/>
    <w:tmpl w:val="DD0CB9E8"/>
    <w:lvl w:ilvl="0" w:tplc="E9924830">
      <w:start w:val="3"/>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9" w15:restartNumberingAfterBreak="0">
    <w:nsid w:val="6B9B7451"/>
    <w:multiLevelType w:val="hybridMultilevel"/>
    <w:tmpl w:val="539E6536"/>
    <w:lvl w:ilvl="0" w:tplc="6C8A8138">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20" w15:restartNumberingAfterBreak="0">
    <w:nsid w:val="6BAE3689"/>
    <w:multiLevelType w:val="hybridMultilevel"/>
    <w:tmpl w:val="A5FAEED0"/>
    <w:lvl w:ilvl="0" w:tplc="F5B23782">
      <w:start w:val="1"/>
      <w:numFmt w:val="decimal"/>
      <w:lvlText w:val="%1)"/>
      <w:lvlJc w:val="left"/>
      <w:pPr>
        <w:ind w:left="1260" w:hanging="420"/>
      </w:pPr>
      <w:rPr>
        <w:rFonts w:ascii="ＭＳ ゴシック" w:eastAsia="ＭＳ ゴシック" w:hint="eastAsia"/>
        <w:b/>
        <w:i w:val="0"/>
        <w:color w:val="000000" w:themeColor="text1"/>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21" w15:restartNumberingAfterBreak="0">
    <w:nsid w:val="6BC81E17"/>
    <w:multiLevelType w:val="hybridMultilevel"/>
    <w:tmpl w:val="11CC1166"/>
    <w:lvl w:ilvl="0" w:tplc="55AE68C6">
      <w:start w:val="4"/>
      <w:numFmt w:val="lowerLetter"/>
      <w:lvlText w:val="%1)"/>
      <w:lvlJc w:val="left"/>
      <w:pPr>
        <w:ind w:left="84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22" w15:restartNumberingAfterBreak="0">
    <w:nsid w:val="6BFC7061"/>
    <w:multiLevelType w:val="hybridMultilevel"/>
    <w:tmpl w:val="05BA263C"/>
    <w:lvl w:ilvl="0" w:tplc="C14ADAF8">
      <w:start w:val="1"/>
      <w:numFmt w:val="decimal"/>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23" w15:restartNumberingAfterBreak="0">
    <w:nsid w:val="6C507656"/>
    <w:multiLevelType w:val="hybridMultilevel"/>
    <w:tmpl w:val="14E84564"/>
    <w:lvl w:ilvl="0" w:tplc="DD8E1ED4">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524" w15:restartNumberingAfterBreak="0">
    <w:nsid w:val="6C7C15C4"/>
    <w:multiLevelType w:val="hybridMultilevel"/>
    <w:tmpl w:val="7A00D6F8"/>
    <w:lvl w:ilvl="0" w:tplc="DA102200">
      <w:start w:val="5"/>
      <w:numFmt w:val="lowerLetter"/>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25" w15:restartNumberingAfterBreak="0">
    <w:nsid w:val="6CC05452"/>
    <w:multiLevelType w:val="hybridMultilevel"/>
    <w:tmpl w:val="08E6A304"/>
    <w:lvl w:ilvl="0" w:tplc="260263BE">
      <w:start w:val="2"/>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26" w15:restartNumberingAfterBreak="0">
    <w:nsid w:val="6D0244C6"/>
    <w:multiLevelType w:val="hybridMultilevel"/>
    <w:tmpl w:val="9F305C80"/>
    <w:lvl w:ilvl="0" w:tplc="09382EE6">
      <w:start w:val="2"/>
      <w:numFmt w:val="decimal"/>
      <w:lvlText w:val="2.%1)"/>
      <w:lvlJc w:val="left"/>
      <w:pPr>
        <w:ind w:left="1260" w:hanging="420"/>
      </w:pPr>
      <w:rPr>
        <w:rFonts w:asciiTheme="majorEastAsia" w:eastAsia="ＭＳ 明朝" w:hAnsiTheme="majorEastAsia" w:hint="eastAsia"/>
        <w:b/>
        <w:i w:val="0"/>
        <w:sz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527" w15:restartNumberingAfterBreak="0">
    <w:nsid w:val="6D0356B4"/>
    <w:multiLevelType w:val="hybridMultilevel"/>
    <w:tmpl w:val="F1560EB8"/>
    <w:lvl w:ilvl="0" w:tplc="32C4DE50">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528" w15:restartNumberingAfterBreak="0">
    <w:nsid w:val="6D174EC2"/>
    <w:multiLevelType w:val="hybridMultilevel"/>
    <w:tmpl w:val="FB126C6A"/>
    <w:lvl w:ilvl="0" w:tplc="206E996A">
      <w:start w:val="1"/>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29" w15:restartNumberingAfterBreak="0">
    <w:nsid w:val="6D58285F"/>
    <w:multiLevelType w:val="hybridMultilevel"/>
    <w:tmpl w:val="12D6F944"/>
    <w:lvl w:ilvl="0" w:tplc="4202956C">
      <w:start w:val="5"/>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0" w15:restartNumberingAfterBreak="0">
    <w:nsid w:val="6DBA3D5A"/>
    <w:multiLevelType w:val="hybridMultilevel"/>
    <w:tmpl w:val="B5342CC4"/>
    <w:lvl w:ilvl="0" w:tplc="7BCE2278">
      <w:start w:val="2"/>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1" w15:restartNumberingAfterBreak="0">
    <w:nsid w:val="6DCE37AF"/>
    <w:multiLevelType w:val="hybridMultilevel"/>
    <w:tmpl w:val="01580884"/>
    <w:lvl w:ilvl="0" w:tplc="7BDABD9E">
      <w:start w:val="1"/>
      <w:numFmt w:val="decimal"/>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2" w15:restartNumberingAfterBreak="0">
    <w:nsid w:val="6DFE0ACF"/>
    <w:multiLevelType w:val="hybridMultilevel"/>
    <w:tmpl w:val="942AB0DA"/>
    <w:lvl w:ilvl="0" w:tplc="48FEB440">
      <w:start w:val="1"/>
      <w:numFmt w:val="decimal"/>
      <w:lvlText w:val="%1)"/>
      <w:lvlJc w:val="left"/>
      <w:pPr>
        <w:ind w:left="420" w:hanging="420"/>
      </w:pPr>
      <w:rPr>
        <w:rFonts w:asciiTheme="majorEastAsia" w:eastAsia="ＭＳ 明朝"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3" w15:restartNumberingAfterBreak="0">
    <w:nsid w:val="6E0A35C7"/>
    <w:multiLevelType w:val="hybridMultilevel"/>
    <w:tmpl w:val="A1AE4056"/>
    <w:lvl w:ilvl="0" w:tplc="CB96B184">
      <w:start w:val="1"/>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4" w15:restartNumberingAfterBreak="0">
    <w:nsid w:val="6E5322F9"/>
    <w:multiLevelType w:val="hybridMultilevel"/>
    <w:tmpl w:val="4F4A4E16"/>
    <w:lvl w:ilvl="0" w:tplc="36BAF046">
      <w:start w:val="1"/>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5" w15:restartNumberingAfterBreak="0">
    <w:nsid w:val="6E56398F"/>
    <w:multiLevelType w:val="hybridMultilevel"/>
    <w:tmpl w:val="AC0481BE"/>
    <w:lvl w:ilvl="0" w:tplc="D6C620EA">
      <w:start w:val="1"/>
      <w:numFmt w:val="decimal"/>
      <w:lvlText w:val="%1)"/>
      <w:lvlJc w:val="left"/>
      <w:pPr>
        <w:ind w:left="846" w:hanging="420"/>
      </w:pPr>
      <w:rPr>
        <w:rFonts w:ascii="ＭＳ ゴシック" w:eastAsia="ＭＳ ゴシック" w:hint="eastAsia"/>
        <w:b/>
        <w:i w:val="0"/>
        <w:color w:val="auto"/>
        <w:sz w:val="21"/>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536" w15:restartNumberingAfterBreak="0">
    <w:nsid w:val="6E7C5C05"/>
    <w:multiLevelType w:val="hybridMultilevel"/>
    <w:tmpl w:val="4C64F9A6"/>
    <w:lvl w:ilvl="0" w:tplc="65A49FCE">
      <w:start w:val="1"/>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7" w15:restartNumberingAfterBreak="0">
    <w:nsid w:val="6EA62721"/>
    <w:multiLevelType w:val="hybridMultilevel"/>
    <w:tmpl w:val="95A459D4"/>
    <w:lvl w:ilvl="0" w:tplc="E466B66C">
      <w:start w:val="1"/>
      <w:numFmt w:val="decimal"/>
      <w:lvlText w:val="%1)"/>
      <w:lvlJc w:val="left"/>
      <w:pPr>
        <w:ind w:left="647" w:hanging="420"/>
      </w:pPr>
      <w:rPr>
        <w:rFonts w:ascii="ＭＳ ゴシック" w:eastAsia="ＭＳ ゴシック" w:hint="eastAsia"/>
        <w:b/>
        <w:i w:val="0"/>
        <w:sz w:val="21"/>
      </w:rPr>
    </w:lvl>
    <w:lvl w:ilvl="1" w:tplc="E466B66C">
      <w:start w:val="1"/>
      <w:numFmt w:val="decimal"/>
      <w:lvlText w:val="%2)"/>
      <w:lvlJc w:val="left"/>
      <w:pPr>
        <w:ind w:left="1067" w:hanging="420"/>
      </w:pPr>
      <w:rPr>
        <w:rFonts w:ascii="ＭＳ ゴシック" w:eastAsia="ＭＳ ゴシック" w:hint="eastAsia"/>
        <w:b/>
        <w:i w:val="0"/>
        <w:sz w:val="21"/>
      </w:r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abstractNum w:abstractNumId="538" w15:restartNumberingAfterBreak="0">
    <w:nsid w:val="6F387DDD"/>
    <w:multiLevelType w:val="hybridMultilevel"/>
    <w:tmpl w:val="DC6CDD38"/>
    <w:lvl w:ilvl="0" w:tplc="A824F4FA">
      <w:start w:val="1"/>
      <w:numFmt w:val="decimal"/>
      <w:lvlText w:val="%1)"/>
      <w:lvlJc w:val="left"/>
      <w:pPr>
        <w:ind w:left="647" w:hanging="420"/>
      </w:pPr>
      <w:rPr>
        <w:rFonts w:ascii="ＭＳ ゴシック" w:eastAsia="ＭＳ ゴシック" w:hint="eastAsia"/>
        <w:b/>
        <w:i w:val="0"/>
        <w:sz w:val="21"/>
      </w:rPr>
    </w:lvl>
    <w:lvl w:ilvl="1" w:tplc="04090017" w:tentative="1">
      <w:start w:val="1"/>
      <w:numFmt w:val="aiueoFullWidth"/>
      <w:lvlText w:val="(%2)"/>
      <w:lvlJc w:val="left"/>
      <w:pPr>
        <w:ind w:left="1067" w:hanging="420"/>
      </w:p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abstractNum w:abstractNumId="539" w15:restartNumberingAfterBreak="0">
    <w:nsid w:val="6F3A4A0C"/>
    <w:multiLevelType w:val="hybridMultilevel"/>
    <w:tmpl w:val="598CC240"/>
    <w:lvl w:ilvl="0" w:tplc="2AE2A1D2">
      <w:start w:val="1"/>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0" w15:restartNumberingAfterBreak="0">
    <w:nsid w:val="6F7A7551"/>
    <w:multiLevelType w:val="hybridMultilevel"/>
    <w:tmpl w:val="C65AE930"/>
    <w:lvl w:ilvl="0" w:tplc="D51ACB6E">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1" w15:restartNumberingAfterBreak="0">
    <w:nsid w:val="7001286E"/>
    <w:multiLevelType w:val="hybridMultilevel"/>
    <w:tmpl w:val="7E74AAA0"/>
    <w:lvl w:ilvl="0" w:tplc="3C003D02">
      <w:start w:val="2"/>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2" w15:restartNumberingAfterBreak="0">
    <w:nsid w:val="701C441C"/>
    <w:multiLevelType w:val="hybridMultilevel"/>
    <w:tmpl w:val="D57453D6"/>
    <w:lvl w:ilvl="0" w:tplc="0D7805C0">
      <w:start w:val="1"/>
      <w:numFmt w:val="decimal"/>
      <w:lvlText w:val="4.%1)"/>
      <w:lvlJc w:val="left"/>
      <w:pPr>
        <w:ind w:left="930" w:hanging="420"/>
      </w:pPr>
      <w:rPr>
        <w:rFonts w:ascii="ＭＳ ゴシック" w:eastAsia="ＭＳ ゴシック" w:hint="eastAsia"/>
        <w:b/>
        <w:i w:val="0"/>
        <w:sz w:val="21"/>
      </w:rPr>
    </w:lvl>
    <w:lvl w:ilvl="1" w:tplc="04090017" w:tentative="1">
      <w:start w:val="1"/>
      <w:numFmt w:val="aiueoFullWidth"/>
      <w:lvlText w:val="(%2)"/>
      <w:lvlJc w:val="left"/>
      <w:pPr>
        <w:ind w:left="1350" w:hanging="420"/>
      </w:pPr>
    </w:lvl>
    <w:lvl w:ilvl="2" w:tplc="04090011" w:tentative="1">
      <w:start w:val="1"/>
      <w:numFmt w:val="decimalEnclosedCircle"/>
      <w:lvlText w:val="%3"/>
      <w:lvlJc w:val="left"/>
      <w:pPr>
        <w:ind w:left="1770" w:hanging="420"/>
      </w:pPr>
    </w:lvl>
    <w:lvl w:ilvl="3" w:tplc="0409000F" w:tentative="1">
      <w:start w:val="1"/>
      <w:numFmt w:val="decimal"/>
      <w:lvlText w:val="%4."/>
      <w:lvlJc w:val="left"/>
      <w:pPr>
        <w:ind w:left="2190" w:hanging="420"/>
      </w:pPr>
    </w:lvl>
    <w:lvl w:ilvl="4" w:tplc="04090017" w:tentative="1">
      <w:start w:val="1"/>
      <w:numFmt w:val="aiueoFullWidth"/>
      <w:lvlText w:val="(%5)"/>
      <w:lvlJc w:val="left"/>
      <w:pPr>
        <w:ind w:left="2610" w:hanging="420"/>
      </w:pPr>
    </w:lvl>
    <w:lvl w:ilvl="5" w:tplc="04090011" w:tentative="1">
      <w:start w:val="1"/>
      <w:numFmt w:val="decimalEnclosedCircle"/>
      <w:lvlText w:val="%6"/>
      <w:lvlJc w:val="left"/>
      <w:pPr>
        <w:ind w:left="3030" w:hanging="420"/>
      </w:pPr>
    </w:lvl>
    <w:lvl w:ilvl="6" w:tplc="0409000F" w:tentative="1">
      <w:start w:val="1"/>
      <w:numFmt w:val="decimal"/>
      <w:lvlText w:val="%7."/>
      <w:lvlJc w:val="left"/>
      <w:pPr>
        <w:ind w:left="3450" w:hanging="420"/>
      </w:pPr>
    </w:lvl>
    <w:lvl w:ilvl="7" w:tplc="04090017" w:tentative="1">
      <w:start w:val="1"/>
      <w:numFmt w:val="aiueoFullWidth"/>
      <w:lvlText w:val="(%8)"/>
      <w:lvlJc w:val="left"/>
      <w:pPr>
        <w:ind w:left="3870" w:hanging="420"/>
      </w:pPr>
    </w:lvl>
    <w:lvl w:ilvl="8" w:tplc="04090011" w:tentative="1">
      <w:start w:val="1"/>
      <w:numFmt w:val="decimalEnclosedCircle"/>
      <w:lvlText w:val="%9"/>
      <w:lvlJc w:val="left"/>
      <w:pPr>
        <w:ind w:left="4290" w:hanging="420"/>
      </w:pPr>
    </w:lvl>
  </w:abstractNum>
  <w:abstractNum w:abstractNumId="543" w15:restartNumberingAfterBreak="0">
    <w:nsid w:val="70391465"/>
    <w:multiLevelType w:val="hybridMultilevel"/>
    <w:tmpl w:val="1F6CB3D2"/>
    <w:lvl w:ilvl="0" w:tplc="7B68E236">
      <w:start w:val="2"/>
      <w:numFmt w:val="decimal"/>
      <w:lvlText w:val="2.%1)"/>
      <w:lvlJc w:val="left"/>
      <w:pPr>
        <w:ind w:left="647"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4" w15:restartNumberingAfterBreak="0">
    <w:nsid w:val="70456537"/>
    <w:multiLevelType w:val="hybridMultilevel"/>
    <w:tmpl w:val="7BB6716E"/>
    <w:lvl w:ilvl="0" w:tplc="2AE2A1D2">
      <w:start w:val="1"/>
      <w:numFmt w:val="lowerLetter"/>
      <w:lvlText w:val="%1)"/>
      <w:lvlJc w:val="left"/>
      <w:pPr>
        <w:ind w:left="420" w:hanging="420"/>
      </w:pPr>
      <w:rPr>
        <w:rFonts w:ascii="ＭＳ ゴシック" w:eastAsia="ＭＳ ゴシック" w:hint="eastAsia"/>
        <w:b/>
        <w:i w:val="0"/>
        <w:sz w:val="21"/>
      </w:rPr>
    </w:lvl>
    <w:lvl w:ilvl="1" w:tplc="107472C0">
      <w:start w:val="1"/>
      <w:numFmt w:val="lowerLetter"/>
      <w:lvlText w:val="%2)"/>
      <w:lvlJc w:val="left"/>
      <w:pPr>
        <w:ind w:left="840" w:hanging="420"/>
      </w:pPr>
      <w:rPr>
        <w:rFonts w:ascii="ＭＳ ゴシック" w:eastAsia="ＭＳ ゴシック" w:hint="eastAsia"/>
        <w:b/>
        <w:i w:val="0"/>
        <w:color w:val="auto"/>
        <w:sz w:val="21"/>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5" w15:restartNumberingAfterBreak="0">
    <w:nsid w:val="70484C03"/>
    <w:multiLevelType w:val="hybridMultilevel"/>
    <w:tmpl w:val="9DD0D7C4"/>
    <w:lvl w:ilvl="0" w:tplc="F6E2DA76">
      <w:start w:val="1"/>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6" w15:restartNumberingAfterBreak="0">
    <w:nsid w:val="70780B02"/>
    <w:multiLevelType w:val="hybridMultilevel"/>
    <w:tmpl w:val="E7AEC4A2"/>
    <w:lvl w:ilvl="0" w:tplc="B0124B1C">
      <w:start w:val="1"/>
      <w:numFmt w:val="decimal"/>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7" w15:restartNumberingAfterBreak="0">
    <w:nsid w:val="70B63873"/>
    <w:multiLevelType w:val="hybridMultilevel"/>
    <w:tmpl w:val="A1361FDC"/>
    <w:lvl w:ilvl="0" w:tplc="DF1CB6CA">
      <w:start w:val="9"/>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8" w15:restartNumberingAfterBreak="0">
    <w:nsid w:val="70DE5032"/>
    <w:multiLevelType w:val="hybridMultilevel"/>
    <w:tmpl w:val="9E04A8F0"/>
    <w:lvl w:ilvl="0" w:tplc="219A79EC">
      <w:start w:val="3"/>
      <w:numFmt w:val="lowerLetter"/>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9" w15:restartNumberingAfterBreak="0">
    <w:nsid w:val="70E602B2"/>
    <w:multiLevelType w:val="hybridMultilevel"/>
    <w:tmpl w:val="3B06B7FA"/>
    <w:lvl w:ilvl="0" w:tplc="FFC25352">
      <w:start w:val="3"/>
      <w:numFmt w:val="decimal"/>
      <w:lvlText w:val="%1)"/>
      <w:lvlJc w:val="left"/>
      <w:pPr>
        <w:ind w:left="647"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0" w15:restartNumberingAfterBreak="0">
    <w:nsid w:val="70F24B2F"/>
    <w:multiLevelType w:val="hybridMultilevel"/>
    <w:tmpl w:val="14D8EB14"/>
    <w:lvl w:ilvl="0" w:tplc="8B34F198">
      <w:start w:val="1"/>
      <w:numFmt w:val="lowerLetter"/>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1" w15:restartNumberingAfterBreak="0">
    <w:nsid w:val="71213DE5"/>
    <w:multiLevelType w:val="hybridMultilevel"/>
    <w:tmpl w:val="6F3E1C8A"/>
    <w:lvl w:ilvl="0" w:tplc="8CAA02B2">
      <w:start w:val="1"/>
      <w:numFmt w:val="decimal"/>
      <w:lvlText w:val="%1)"/>
      <w:lvlJc w:val="left"/>
      <w:pPr>
        <w:ind w:left="647"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2" w15:restartNumberingAfterBreak="0">
    <w:nsid w:val="7136037B"/>
    <w:multiLevelType w:val="hybridMultilevel"/>
    <w:tmpl w:val="1E9ED66A"/>
    <w:lvl w:ilvl="0" w:tplc="41548F7C">
      <w:start w:val="1"/>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3" w15:restartNumberingAfterBreak="0">
    <w:nsid w:val="71395ADC"/>
    <w:multiLevelType w:val="hybridMultilevel"/>
    <w:tmpl w:val="C6A08260"/>
    <w:lvl w:ilvl="0" w:tplc="47AABA76">
      <w:start w:val="2"/>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4" w15:restartNumberingAfterBreak="0">
    <w:nsid w:val="717A13A7"/>
    <w:multiLevelType w:val="hybridMultilevel"/>
    <w:tmpl w:val="2C4CD48C"/>
    <w:lvl w:ilvl="0" w:tplc="920EA10C">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5" w15:restartNumberingAfterBreak="0">
    <w:nsid w:val="719248E2"/>
    <w:multiLevelType w:val="hybridMultilevel"/>
    <w:tmpl w:val="7F30CEB6"/>
    <w:lvl w:ilvl="0" w:tplc="389ABBAA">
      <w:start w:val="1"/>
      <w:numFmt w:val="decimal"/>
      <w:lvlText w:val="%1)"/>
      <w:lvlJc w:val="left"/>
      <w:pPr>
        <w:ind w:left="1260" w:hanging="420"/>
      </w:pPr>
      <w:rPr>
        <w:rFonts w:ascii="ＭＳ ゴシック" w:eastAsia="ＭＳ ゴシック" w:hint="eastAsia"/>
        <w:b/>
        <w:i w:val="0"/>
        <w:color w:val="000000" w:themeColor="text1"/>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6" w15:restartNumberingAfterBreak="0">
    <w:nsid w:val="720C0315"/>
    <w:multiLevelType w:val="hybridMultilevel"/>
    <w:tmpl w:val="EB8C033E"/>
    <w:lvl w:ilvl="0" w:tplc="E466B66C">
      <w:start w:val="1"/>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7" w15:restartNumberingAfterBreak="0">
    <w:nsid w:val="72310B46"/>
    <w:multiLevelType w:val="hybridMultilevel"/>
    <w:tmpl w:val="65142CBE"/>
    <w:lvl w:ilvl="0" w:tplc="AFCCC812">
      <w:start w:val="1"/>
      <w:numFmt w:val="decimal"/>
      <w:lvlText w:val="%1)"/>
      <w:lvlJc w:val="left"/>
      <w:pPr>
        <w:ind w:left="420" w:hanging="420"/>
      </w:pPr>
      <w:rPr>
        <w:rFonts w:ascii="ＭＳ ゴシック" w:hAnsi="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8" w15:restartNumberingAfterBreak="0">
    <w:nsid w:val="725E4BF7"/>
    <w:multiLevelType w:val="hybridMultilevel"/>
    <w:tmpl w:val="2D929DFC"/>
    <w:lvl w:ilvl="0" w:tplc="7A6040A8">
      <w:start w:val="3"/>
      <w:numFmt w:val="lowerLetter"/>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9" w15:restartNumberingAfterBreak="0">
    <w:nsid w:val="72627CDF"/>
    <w:multiLevelType w:val="hybridMultilevel"/>
    <w:tmpl w:val="C2527382"/>
    <w:lvl w:ilvl="0" w:tplc="932445F2">
      <w:start w:val="1"/>
      <w:numFmt w:val="decimal"/>
      <w:lvlText w:val="3.2.%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560" w15:restartNumberingAfterBreak="0">
    <w:nsid w:val="72667998"/>
    <w:multiLevelType w:val="hybridMultilevel"/>
    <w:tmpl w:val="0A4C48A2"/>
    <w:lvl w:ilvl="0" w:tplc="E466B66C">
      <w:start w:val="1"/>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61" w15:restartNumberingAfterBreak="0">
    <w:nsid w:val="728C3C10"/>
    <w:multiLevelType w:val="hybridMultilevel"/>
    <w:tmpl w:val="FCDC390E"/>
    <w:lvl w:ilvl="0" w:tplc="2AE2A1D2">
      <w:start w:val="1"/>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62" w15:restartNumberingAfterBreak="0">
    <w:nsid w:val="729344EB"/>
    <w:multiLevelType w:val="hybridMultilevel"/>
    <w:tmpl w:val="472CDF26"/>
    <w:lvl w:ilvl="0" w:tplc="50461452">
      <w:start w:val="1"/>
      <w:numFmt w:val="decimal"/>
      <w:lvlText w:val="%1)"/>
      <w:lvlJc w:val="left"/>
      <w:pPr>
        <w:ind w:left="1260" w:hanging="420"/>
      </w:pPr>
      <w:rPr>
        <w:rFonts w:ascii="ＭＳ ゴシック" w:eastAsia="ＭＳ ゴシック" w:hint="eastAsia"/>
        <w:b/>
        <w:i w:val="0"/>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63" w15:restartNumberingAfterBreak="0">
    <w:nsid w:val="72C12F94"/>
    <w:multiLevelType w:val="hybridMultilevel"/>
    <w:tmpl w:val="FD508CB6"/>
    <w:lvl w:ilvl="0" w:tplc="4D3A1E2C">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64" w15:restartNumberingAfterBreak="0">
    <w:nsid w:val="72D77AE7"/>
    <w:multiLevelType w:val="hybridMultilevel"/>
    <w:tmpl w:val="86C6F136"/>
    <w:lvl w:ilvl="0" w:tplc="5E50A142">
      <w:start w:val="2"/>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65" w15:restartNumberingAfterBreak="0">
    <w:nsid w:val="72FE4A11"/>
    <w:multiLevelType w:val="hybridMultilevel"/>
    <w:tmpl w:val="50600580"/>
    <w:lvl w:ilvl="0" w:tplc="996A1716">
      <w:start w:val="2"/>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66" w15:restartNumberingAfterBreak="0">
    <w:nsid w:val="73497904"/>
    <w:multiLevelType w:val="hybridMultilevel"/>
    <w:tmpl w:val="A878A886"/>
    <w:lvl w:ilvl="0" w:tplc="F6ACE9E8">
      <w:start w:val="3"/>
      <w:numFmt w:val="decimal"/>
      <w:lvlText w:val="%1)"/>
      <w:lvlJc w:val="left"/>
      <w:pPr>
        <w:ind w:left="1067" w:hanging="420"/>
      </w:pPr>
      <w:rPr>
        <w:rFonts w:ascii="ＭＳ ゴシック" w:hAnsi="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67" w15:restartNumberingAfterBreak="0">
    <w:nsid w:val="736D635D"/>
    <w:multiLevelType w:val="hybridMultilevel"/>
    <w:tmpl w:val="8528C5D0"/>
    <w:lvl w:ilvl="0" w:tplc="180E1A58">
      <w:start w:val="6"/>
      <w:numFmt w:val="lowerLetter"/>
      <w:lvlText w:val="%1)"/>
      <w:lvlJc w:val="left"/>
      <w:pPr>
        <w:ind w:left="647"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68" w15:restartNumberingAfterBreak="0">
    <w:nsid w:val="737C356C"/>
    <w:multiLevelType w:val="hybridMultilevel"/>
    <w:tmpl w:val="75906F8A"/>
    <w:lvl w:ilvl="0" w:tplc="743EDE76">
      <w:start w:val="1"/>
      <w:numFmt w:val="decimal"/>
      <w:lvlText w:val="%1)"/>
      <w:lvlJc w:val="left"/>
      <w:pPr>
        <w:ind w:left="704"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69" w15:restartNumberingAfterBreak="0">
    <w:nsid w:val="737E032A"/>
    <w:multiLevelType w:val="hybridMultilevel"/>
    <w:tmpl w:val="9D58C138"/>
    <w:lvl w:ilvl="0" w:tplc="5614B98A">
      <w:start w:val="1"/>
      <w:numFmt w:val="decimal"/>
      <w:lvlText w:val="2.%1)"/>
      <w:lvlJc w:val="left"/>
      <w:pPr>
        <w:ind w:left="930" w:hanging="420"/>
      </w:pPr>
      <w:rPr>
        <w:rFonts w:ascii="ＭＳ ゴシック" w:eastAsia="ＭＳ ゴシック" w:hint="eastAsia"/>
        <w:b/>
        <w:i w:val="0"/>
        <w:sz w:val="21"/>
      </w:rPr>
    </w:lvl>
    <w:lvl w:ilvl="1" w:tplc="04090017" w:tentative="1">
      <w:start w:val="1"/>
      <w:numFmt w:val="aiueoFullWidth"/>
      <w:lvlText w:val="(%2)"/>
      <w:lvlJc w:val="left"/>
      <w:pPr>
        <w:ind w:left="1350" w:hanging="420"/>
      </w:pPr>
    </w:lvl>
    <w:lvl w:ilvl="2" w:tplc="04090011" w:tentative="1">
      <w:start w:val="1"/>
      <w:numFmt w:val="decimalEnclosedCircle"/>
      <w:lvlText w:val="%3"/>
      <w:lvlJc w:val="left"/>
      <w:pPr>
        <w:ind w:left="1770" w:hanging="420"/>
      </w:pPr>
    </w:lvl>
    <w:lvl w:ilvl="3" w:tplc="0409000F" w:tentative="1">
      <w:start w:val="1"/>
      <w:numFmt w:val="decimal"/>
      <w:lvlText w:val="%4."/>
      <w:lvlJc w:val="left"/>
      <w:pPr>
        <w:ind w:left="2190" w:hanging="420"/>
      </w:pPr>
    </w:lvl>
    <w:lvl w:ilvl="4" w:tplc="04090017" w:tentative="1">
      <w:start w:val="1"/>
      <w:numFmt w:val="aiueoFullWidth"/>
      <w:lvlText w:val="(%5)"/>
      <w:lvlJc w:val="left"/>
      <w:pPr>
        <w:ind w:left="2610" w:hanging="420"/>
      </w:pPr>
    </w:lvl>
    <w:lvl w:ilvl="5" w:tplc="04090011" w:tentative="1">
      <w:start w:val="1"/>
      <w:numFmt w:val="decimalEnclosedCircle"/>
      <w:lvlText w:val="%6"/>
      <w:lvlJc w:val="left"/>
      <w:pPr>
        <w:ind w:left="3030" w:hanging="420"/>
      </w:pPr>
    </w:lvl>
    <w:lvl w:ilvl="6" w:tplc="0409000F" w:tentative="1">
      <w:start w:val="1"/>
      <w:numFmt w:val="decimal"/>
      <w:lvlText w:val="%7."/>
      <w:lvlJc w:val="left"/>
      <w:pPr>
        <w:ind w:left="3450" w:hanging="420"/>
      </w:pPr>
    </w:lvl>
    <w:lvl w:ilvl="7" w:tplc="04090017" w:tentative="1">
      <w:start w:val="1"/>
      <w:numFmt w:val="aiueoFullWidth"/>
      <w:lvlText w:val="(%8)"/>
      <w:lvlJc w:val="left"/>
      <w:pPr>
        <w:ind w:left="3870" w:hanging="420"/>
      </w:pPr>
    </w:lvl>
    <w:lvl w:ilvl="8" w:tplc="04090011" w:tentative="1">
      <w:start w:val="1"/>
      <w:numFmt w:val="decimalEnclosedCircle"/>
      <w:lvlText w:val="%9"/>
      <w:lvlJc w:val="left"/>
      <w:pPr>
        <w:ind w:left="4290" w:hanging="420"/>
      </w:pPr>
    </w:lvl>
  </w:abstractNum>
  <w:abstractNum w:abstractNumId="570" w15:restartNumberingAfterBreak="0">
    <w:nsid w:val="7389245C"/>
    <w:multiLevelType w:val="hybridMultilevel"/>
    <w:tmpl w:val="64F6D106"/>
    <w:lvl w:ilvl="0" w:tplc="DD8E1ED4">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571" w15:restartNumberingAfterBreak="0">
    <w:nsid w:val="73D806A6"/>
    <w:multiLevelType w:val="hybridMultilevel"/>
    <w:tmpl w:val="8A36A51C"/>
    <w:lvl w:ilvl="0" w:tplc="AAD8CDCE">
      <w:start w:val="5"/>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72" w15:restartNumberingAfterBreak="0">
    <w:nsid w:val="742862BF"/>
    <w:multiLevelType w:val="hybridMultilevel"/>
    <w:tmpl w:val="E65A9F9C"/>
    <w:lvl w:ilvl="0" w:tplc="780E2430">
      <w:start w:val="1"/>
      <w:numFmt w:val="decimal"/>
      <w:lvlText w:val="%1)"/>
      <w:lvlJc w:val="left"/>
      <w:pPr>
        <w:ind w:left="420" w:hanging="420"/>
      </w:pPr>
      <w:rPr>
        <w:rFonts w:asciiTheme="majorEastAsia" w:eastAsiaTheme="majorEastAsia"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73" w15:restartNumberingAfterBreak="0">
    <w:nsid w:val="742C04D7"/>
    <w:multiLevelType w:val="hybridMultilevel"/>
    <w:tmpl w:val="5D20FE6C"/>
    <w:lvl w:ilvl="0" w:tplc="7820E240">
      <w:start w:val="1"/>
      <w:numFmt w:val="decimal"/>
      <w:lvlText w:val="3.%1)"/>
      <w:lvlJc w:val="left"/>
      <w:pPr>
        <w:ind w:left="1260" w:hanging="420"/>
      </w:pPr>
      <w:rPr>
        <w:rFonts w:asciiTheme="majorEastAsia" w:eastAsiaTheme="majorEastAsia" w:hAnsiTheme="majorEastAsia" w:hint="eastAsia"/>
        <w:b/>
        <w:i w:val="0"/>
        <w:sz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574" w15:restartNumberingAfterBreak="0">
    <w:nsid w:val="743F5F0A"/>
    <w:multiLevelType w:val="hybridMultilevel"/>
    <w:tmpl w:val="AE94EDE0"/>
    <w:lvl w:ilvl="0" w:tplc="780E2430">
      <w:start w:val="1"/>
      <w:numFmt w:val="decimal"/>
      <w:lvlText w:val="%1)"/>
      <w:lvlJc w:val="left"/>
      <w:pPr>
        <w:ind w:left="420" w:hanging="420"/>
      </w:pPr>
      <w:rPr>
        <w:rFonts w:asciiTheme="majorEastAsia" w:eastAsiaTheme="majorEastAsia"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75" w15:restartNumberingAfterBreak="0">
    <w:nsid w:val="745D66D4"/>
    <w:multiLevelType w:val="hybridMultilevel"/>
    <w:tmpl w:val="23E8E79C"/>
    <w:lvl w:ilvl="0" w:tplc="5D0AA478">
      <w:start w:val="1"/>
      <w:numFmt w:val="decimal"/>
      <w:pStyle w:val="40"/>
      <w:lvlText w:val="1.1.1.%1"/>
      <w:lvlJc w:val="left"/>
      <w:pPr>
        <w:ind w:left="420" w:hanging="420"/>
      </w:pPr>
      <w:rPr>
        <w:rFonts w:cs="Times New Roman" w:hint="eastAsia"/>
      </w:rPr>
    </w:lvl>
    <w:lvl w:ilvl="1" w:tplc="3C9A333E" w:tentative="1">
      <w:start w:val="1"/>
      <w:numFmt w:val="aiueoFullWidth"/>
      <w:lvlText w:val="(%2)"/>
      <w:lvlJc w:val="left"/>
      <w:pPr>
        <w:ind w:left="840" w:hanging="420"/>
      </w:pPr>
      <w:rPr>
        <w:rFonts w:cs="Times New Roman"/>
      </w:rPr>
    </w:lvl>
    <w:lvl w:ilvl="2" w:tplc="4F26D152" w:tentative="1">
      <w:start w:val="1"/>
      <w:numFmt w:val="decimalEnclosedCircle"/>
      <w:lvlText w:val="%3"/>
      <w:lvlJc w:val="left"/>
      <w:pPr>
        <w:ind w:left="1260" w:hanging="420"/>
      </w:pPr>
      <w:rPr>
        <w:rFonts w:cs="Times New Roman"/>
      </w:rPr>
    </w:lvl>
    <w:lvl w:ilvl="3" w:tplc="CED2EC24" w:tentative="1">
      <w:start w:val="1"/>
      <w:numFmt w:val="decimal"/>
      <w:lvlText w:val="%4."/>
      <w:lvlJc w:val="left"/>
      <w:pPr>
        <w:ind w:left="1680" w:hanging="420"/>
      </w:pPr>
      <w:rPr>
        <w:rFonts w:cs="Times New Roman"/>
      </w:rPr>
    </w:lvl>
    <w:lvl w:ilvl="4" w:tplc="A7EECB1E" w:tentative="1">
      <w:start w:val="1"/>
      <w:numFmt w:val="aiueoFullWidth"/>
      <w:lvlText w:val="(%5)"/>
      <w:lvlJc w:val="left"/>
      <w:pPr>
        <w:ind w:left="2100" w:hanging="420"/>
      </w:pPr>
      <w:rPr>
        <w:rFonts w:cs="Times New Roman"/>
      </w:rPr>
    </w:lvl>
    <w:lvl w:ilvl="5" w:tplc="CDCA70D8" w:tentative="1">
      <w:start w:val="1"/>
      <w:numFmt w:val="decimalEnclosedCircle"/>
      <w:lvlText w:val="%6"/>
      <w:lvlJc w:val="left"/>
      <w:pPr>
        <w:ind w:left="2520" w:hanging="420"/>
      </w:pPr>
      <w:rPr>
        <w:rFonts w:cs="Times New Roman"/>
      </w:rPr>
    </w:lvl>
    <w:lvl w:ilvl="6" w:tplc="70C4901C" w:tentative="1">
      <w:start w:val="1"/>
      <w:numFmt w:val="decimal"/>
      <w:lvlText w:val="%7."/>
      <w:lvlJc w:val="left"/>
      <w:pPr>
        <w:ind w:left="2940" w:hanging="420"/>
      </w:pPr>
      <w:rPr>
        <w:rFonts w:cs="Times New Roman"/>
      </w:rPr>
    </w:lvl>
    <w:lvl w:ilvl="7" w:tplc="1FCE74FC" w:tentative="1">
      <w:start w:val="1"/>
      <w:numFmt w:val="aiueoFullWidth"/>
      <w:lvlText w:val="(%8)"/>
      <w:lvlJc w:val="left"/>
      <w:pPr>
        <w:ind w:left="3360" w:hanging="420"/>
      </w:pPr>
      <w:rPr>
        <w:rFonts w:cs="Times New Roman"/>
      </w:rPr>
    </w:lvl>
    <w:lvl w:ilvl="8" w:tplc="79481F86" w:tentative="1">
      <w:start w:val="1"/>
      <w:numFmt w:val="decimalEnclosedCircle"/>
      <w:lvlText w:val="%9"/>
      <w:lvlJc w:val="left"/>
      <w:pPr>
        <w:ind w:left="3780" w:hanging="420"/>
      </w:pPr>
      <w:rPr>
        <w:rFonts w:cs="Times New Roman"/>
      </w:rPr>
    </w:lvl>
  </w:abstractNum>
  <w:abstractNum w:abstractNumId="576" w15:restartNumberingAfterBreak="0">
    <w:nsid w:val="747506A4"/>
    <w:multiLevelType w:val="hybridMultilevel"/>
    <w:tmpl w:val="F148DC26"/>
    <w:lvl w:ilvl="0" w:tplc="6B18EF40">
      <w:start w:val="2"/>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77" w15:restartNumberingAfterBreak="0">
    <w:nsid w:val="74930AC9"/>
    <w:multiLevelType w:val="hybridMultilevel"/>
    <w:tmpl w:val="F09E6F16"/>
    <w:lvl w:ilvl="0" w:tplc="625E328E">
      <w:start w:val="2"/>
      <w:numFmt w:val="decimal"/>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78" w15:restartNumberingAfterBreak="0">
    <w:nsid w:val="74997571"/>
    <w:multiLevelType w:val="hybridMultilevel"/>
    <w:tmpl w:val="8A8A5FF0"/>
    <w:lvl w:ilvl="0" w:tplc="1F4ADA50">
      <w:start w:val="1"/>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79" w15:restartNumberingAfterBreak="0">
    <w:nsid w:val="74A23E28"/>
    <w:multiLevelType w:val="hybridMultilevel"/>
    <w:tmpl w:val="16DAEB20"/>
    <w:lvl w:ilvl="0" w:tplc="0D5AB7D6">
      <w:start w:val="1"/>
      <w:numFmt w:val="decimal"/>
      <w:pStyle w:val="112"/>
      <w:suff w:val="space"/>
      <w:lvlText w:val="1.%1）"/>
      <w:lvlJc w:val="left"/>
      <w:pPr>
        <w:ind w:left="817" w:hanging="420"/>
      </w:pPr>
      <w:rPr>
        <w:rFonts w:ascii="ＭＳ ゴシック" w:eastAsia="ＭＳ ゴシック" w:cs="Times New Roman" w:hint="eastAsia"/>
        <w:b/>
        <w:i w:val="0"/>
      </w:rPr>
    </w:lvl>
    <w:lvl w:ilvl="1" w:tplc="395001E6" w:tentative="1">
      <w:start w:val="1"/>
      <w:numFmt w:val="aiueoFullWidth"/>
      <w:lvlText w:val="(%2)"/>
      <w:lvlJc w:val="left"/>
      <w:pPr>
        <w:ind w:left="1408" w:hanging="420"/>
      </w:pPr>
      <w:rPr>
        <w:rFonts w:cs="Times New Roman"/>
      </w:rPr>
    </w:lvl>
    <w:lvl w:ilvl="2" w:tplc="176498C4" w:tentative="1">
      <w:start w:val="1"/>
      <w:numFmt w:val="decimalEnclosedCircle"/>
      <w:lvlText w:val="%3"/>
      <w:lvlJc w:val="left"/>
      <w:pPr>
        <w:ind w:left="1828" w:hanging="420"/>
      </w:pPr>
      <w:rPr>
        <w:rFonts w:cs="Times New Roman"/>
      </w:rPr>
    </w:lvl>
    <w:lvl w:ilvl="3" w:tplc="0F50DFFA" w:tentative="1">
      <w:start w:val="1"/>
      <w:numFmt w:val="decimal"/>
      <w:lvlText w:val="%4."/>
      <w:lvlJc w:val="left"/>
      <w:pPr>
        <w:ind w:left="2248" w:hanging="420"/>
      </w:pPr>
      <w:rPr>
        <w:rFonts w:cs="Times New Roman"/>
      </w:rPr>
    </w:lvl>
    <w:lvl w:ilvl="4" w:tplc="14D20D74" w:tentative="1">
      <w:start w:val="1"/>
      <w:numFmt w:val="aiueoFullWidth"/>
      <w:lvlText w:val="(%5)"/>
      <w:lvlJc w:val="left"/>
      <w:pPr>
        <w:ind w:left="2668" w:hanging="420"/>
      </w:pPr>
      <w:rPr>
        <w:rFonts w:cs="Times New Roman"/>
      </w:rPr>
    </w:lvl>
    <w:lvl w:ilvl="5" w:tplc="6652F0EA" w:tentative="1">
      <w:start w:val="1"/>
      <w:numFmt w:val="decimalEnclosedCircle"/>
      <w:lvlText w:val="%6"/>
      <w:lvlJc w:val="left"/>
      <w:pPr>
        <w:ind w:left="3088" w:hanging="420"/>
      </w:pPr>
      <w:rPr>
        <w:rFonts w:cs="Times New Roman"/>
      </w:rPr>
    </w:lvl>
    <w:lvl w:ilvl="6" w:tplc="D8E8CC4E" w:tentative="1">
      <w:start w:val="1"/>
      <w:numFmt w:val="decimal"/>
      <w:lvlText w:val="%7."/>
      <w:lvlJc w:val="left"/>
      <w:pPr>
        <w:ind w:left="3508" w:hanging="420"/>
      </w:pPr>
      <w:rPr>
        <w:rFonts w:cs="Times New Roman"/>
      </w:rPr>
    </w:lvl>
    <w:lvl w:ilvl="7" w:tplc="4BBE4EA2" w:tentative="1">
      <w:start w:val="1"/>
      <w:numFmt w:val="aiueoFullWidth"/>
      <w:lvlText w:val="(%8)"/>
      <w:lvlJc w:val="left"/>
      <w:pPr>
        <w:ind w:left="3928" w:hanging="420"/>
      </w:pPr>
      <w:rPr>
        <w:rFonts w:cs="Times New Roman"/>
      </w:rPr>
    </w:lvl>
    <w:lvl w:ilvl="8" w:tplc="F3C43E76" w:tentative="1">
      <w:start w:val="1"/>
      <w:numFmt w:val="decimalEnclosedCircle"/>
      <w:lvlText w:val="%9"/>
      <w:lvlJc w:val="left"/>
      <w:pPr>
        <w:ind w:left="4348" w:hanging="420"/>
      </w:pPr>
      <w:rPr>
        <w:rFonts w:cs="Times New Roman"/>
      </w:rPr>
    </w:lvl>
  </w:abstractNum>
  <w:abstractNum w:abstractNumId="580" w15:restartNumberingAfterBreak="0">
    <w:nsid w:val="74C27EC9"/>
    <w:multiLevelType w:val="hybridMultilevel"/>
    <w:tmpl w:val="BCBE693E"/>
    <w:lvl w:ilvl="0" w:tplc="37980B8C">
      <w:start w:val="1"/>
      <w:numFmt w:val="lowerLetter"/>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581" w15:restartNumberingAfterBreak="0">
    <w:nsid w:val="75480BB2"/>
    <w:multiLevelType w:val="hybridMultilevel"/>
    <w:tmpl w:val="D21E6D88"/>
    <w:lvl w:ilvl="0" w:tplc="8410E37E">
      <w:start w:val="1"/>
      <w:numFmt w:val="decimal"/>
      <w:lvlText w:val="5.%1)"/>
      <w:lvlJc w:val="left"/>
      <w:pPr>
        <w:ind w:left="1260" w:hanging="420"/>
      </w:pPr>
      <w:rPr>
        <w:rFonts w:asciiTheme="majorEastAsia" w:eastAsia="ＭＳ 明朝" w:hAnsiTheme="majorEastAsia"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82" w15:restartNumberingAfterBreak="0">
    <w:nsid w:val="755D52F4"/>
    <w:multiLevelType w:val="hybridMultilevel"/>
    <w:tmpl w:val="4DCC1B9E"/>
    <w:lvl w:ilvl="0" w:tplc="93EA165A">
      <w:start w:val="1"/>
      <w:numFmt w:val="lowerLetter"/>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83" w15:restartNumberingAfterBreak="0">
    <w:nsid w:val="7584175F"/>
    <w:multiLevelType w:val="hybridMultilevel"/>
    <w:tmpl w:val="C95A2130"/>
    <w:lvl w:ilvl="0" w:tplc="DD8E1ED4">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584" w15:restartNumberingAfterBreak="0">
    <w:nsid w:val="75E51924"/>
    <w:multiLevelType w:val="hybridMultilevel"/>
    <w:tmpl w:val="10A4E9A0"/>
    <w:lvl w:ilvl="0" w:tplc="1492A330">
      <w:start w:val="1"/>
      <w:numFmt w:val="decimal"/>
      <w:lvlText w:val="2.%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585" w15:restartNumberingAfterBreak="0">
    <w:nsid w:val="75FB5D6B"/>
    <w:multiLevelType w:val="hybridMultilevel"/>
    <w:tmpl w:val="281E601C"/>
    <w:lvl w:ilvl="0" w:tplc="C5DAE02E">
      <w:start w:val="4"/>
      <w:numFmt w:val="lowerLetter"/>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86" w15:restartNumberingAfterBreak="0">
    <w:nsid w:val="767953FC"/>
    <w:multiLevelType w:val="hybridMultilevel"/>
    <w:tmpl w:val="688A0DBC"/>
    <w:lvl w:ilvl="0" w:tplc="33B89822">
      <w:start w:val="3"/>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87" w15:restartNumberingAfterBreak="0">
    <w:nsid w:val="767F354E"/>
    <w:multiLevelType w:val="hybridMultilevel"/>
    <w:tmpl w:val="81644B48"/>
    <w:lvl w:ilvl="0" w:tplc="2BACD2BC">
      <w:start w:val="2"/>
      <w:numFmt w:val="lowerLetter"/>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88" w15:restartNumberingAfterBreak="0">
    <w:nsid w:val="76987CB4"/>
    <w:multiLevelType w:val="hybridMultilevel"/>
    <w:tmpl w:val="9F3C2FDA"/>
    <w:lvl w:ilvl="0" w:tplc="D8DE5E8E">
      <w:start w:val="1"/>
      <w:numFmt w:val="decimal"/>
      <w:lvlText w:val="2.%1)"/>
      <w:lvlJc w:val="left"/>
      <w:pPr>
        <w:ind w:left="1260" w:hanging="420"/>
      </w:pPr>
      <w:rPr>
        <w:rFonts w:asciiTheme="majorEastAsia" w:eastAsia="ＭＳ 明朝" w:hAnsiTheme="majorEastAsia"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89" w15:restartNumberingAfterBreak="0">
    <w:nsid w:val="76D356FC"/>
    <w:multiLevelType w:val="hybridMultilevel"/>
    <w:tmpl w:val="B776CB42"/>
    <w:lvl w:ilvl="0" w:tplc="C95C557C">
      <w:start w:val="1"/>
      <w:numFmt w:val="decimal"/>
      <w:lvlText w:val="%1)"/>
      <w:lvlJc w:val="left"/>
      <w:pPr>
        <w:ind w:left="647"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90" w15:restartNumberingAfterBreak="0">
    <w:nsid w:val="76D81DE3"/>
    <w:multiLevelType w:val="hybridMultilevel"/>
    <w:tmpl w:val="5BE4943E"/>
    <w:lvl w:ilvl="0" w:tplc="5614B98A">
      <w:start w:val="1"/>
      <w:numFmt w:val="decimal"/>
      <w:lvlText w:val="2.%1)"/>
      <w:lvlJc w:val="left"/>
      <w:pPr>
        <w:ind w:left="647"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91" w15:restartNumberingAfterBreak="0">
    <w:nsid w:val="77067EF2"/>
    <w:multiLevelType w:val="hybridMultilevel"/>
    <w:tmpl w:val="C5E44C22"/>
    <w:lvl w:ilvl="0" w:tplc="E3C6B2E0">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92" w15:restartNumberingAfterBreak="0">
    <w:nsid w:val="778C120F"/>
    <w:multiLevelType w:val="hybridMultilevel"/>
    <w:tmpl w:val="E250A30E"/>
    <w:lvl w:ilvl="0" w:tplc="2AE2A1D2">
      <w:start w:val="1"/>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93" w15:restartNumberingAfterBreak="0">
    <w:nsid w:val="778D3E37"/>
    <w:multiLevelType w:val="hybridMultilevel"/>
    <w:tmpl w:val="F6CC7F4A"/>
    <w:lvl w:ilvl="0" w:tplc="D8584A8A">
      <w:start w:val="1"/>
      <w:numFmt w:val="decimal"/>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94" w15:restartNumberingAfterBreak="0">
    <w:nsid w:val="781A4F7C"/>
    <w:multiLevelType w:val="hybridMultilevel"/>
    <w:tmpl w:val="9EE2C0E4"/>
    <w:lvl w:ilvl="0" w:tplc="5CCC8B0C">
      <w:start w:val="1"/>
      <w:numFmt w:val="decimal"/>
      <w:lvlText w:val="1.%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95" w15:restartNumberingAfterBreak="0">
    <w:nsid w:val="787C6CDB"/>
    <w:multiLevelType w:val="hybridMultilevel"/>
    <w:tmpl w:val="B2D08C46"/>
    <w:lvl w:ilvl="0" w:tplc="46769072">
      <w:start w:val="1"/>
      <w:numFmt w:val="decimal"/>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96" w15:restartNumberingAfterBreak="0">
    <w:nsid w:val="789F363A"/>
    <w:multiLevelType w:val="hybridMultilevel"/>
    <w:tmpl w:val="E6BAF7A0"/>
    <w:lvl w:ilvl="0" w:tplc="E466B66C">
      <w:start w:val="1"/>
      <w:numFmt w:val="decimal"/>
      <w:lvlText w:val="%1)"/>
      <w:lvlJc w:val="left"/>
      <w:pPr>
        <w:ind w:left="647" w:hanging="420"/>
      </w:pPr>
      <w:rPr>
        <w:rFonts w:ascii="ＭＳ ゴシック" w:eastAsia="ＭＳ ゴシック" w:hint="eastAsia"/>
        <w:b/>
        <w:i w:val="0"/>
        <w:sz w:val="21"/>
      </w:rPr>
    </w:lvl>
    <w:lvl w:ilvl="1" w:tplc="04090017" w:tentative="1">
      <w:start w:val="1"/>
      <w:numFmt w:val="aiueoFullWidth"/>
      <w:lvlText w:val="(%2)"/>
      <w:lvlJc w:val="left"/>
      <w:pPr>
        <w:ind w:left="1067" w:hanging="420"/>
      </w:p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abstractNum w:abstractNumId="597" w15:restartNumberingAfterBreak="0">
    <w:nsid w:val="78B5068A"/>
    <w:multiLevelType w:val="hybridMultilevel"/>
    <w:tmpl w:val="FD8EB852"/>
    <w:lvl w:ilvl="0" w:tplc="CC788C2C">
      <w:start w:val="3"/>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98" w15:restartNumberingAfterBreak="0">
    <w:nsid w:val="78DA2806"/>
    <w:multiLevelType w:val="hybridMultilevel"/>
    <w:tmpl w:val="64A48860"/>
    <w:lvl w:ilvl="0" w:tplc="E466B66C">
      <w:start w:val="1"/>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99" w15:restartNumberingAfterBreak="0">
    <w:nsid w:val="79185EFD"/>
    <w:multiLevelType w:val="hybridMultilevel"/>
    <w:tmpl w:val="A7B8DA2E"/>
    <w:lvl w:ilvl="0" w:tplc="20E67E40">
      <w:start w:val="5"/>
      <w:numFmt w:val="decimal"/>
      <w:lvlText w:val="%1)"/>
      <w:lvlJc w:val="left"/>
      <w:pPr>
        <w:ind w:left="1067"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00" w15:restartNumberingAfterBreak="0">
    <w:nsid w:val="795D2F50"/>
    <w:multiLevelType w:val="hybridMultilevel"/>
    <w:tmpl w:val="98160790"/>
    <w:lvl w:ilvl="0" w:tplc="F06C0CEA">
      <w:start w:val="1"/>
      <w:numFmt w:val="decimal"/>
      <w:lvlText w:val="%1)"/>
      <w:lvlJc w:val="left"/>
      <w:pPr>
        <w:ind w:left="704"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01" w15:restartNumberingAfterBreak="0">
    <w:nsid w:val="79824037"/>
    <w:multiLevelType w:val="hybridMultilevel"/>
    <w:tmpl w:val="1D048918"/>
    <w:lvl w:ilvl="0" w:tplc="EE6A1240">
      <w:start w:val="1"/>
      <w:numFmt w:val="decimal"/>
      <w:lvlText w:val="3.%1)"/>
      <w:lvlJc w:val="left"/>
      <w:pPr>
        <w:ind w:left="531" w:hanging="420"/>
      </w:pPr>
      <w:rPr>
        <w:rFonts w:asciiTheme="majorEastAsia" w:eastAsiaTheme="majorEastAsia" w:hAnsiTheme="majorEastAsia" w:hint="eastAsia"/>
        <w:b/>
        <w:i w:val="0"/>
        <w:sz w:val="21"/>
      </w:rPr>
    </w:lvl>
    <w:lvl w:ilvl="1" w:tplc="04090017" w:tentative="1">
      <w:start w:val="1"/>
      <w:numFmt w:val="aiueoFullWidth"/>
      <w:lvlText w:val="(%2)"/>
      <w:lvlJc w:val="left"/>
      <w:pPr>
        <w:ind w:left="951" w:hanging="420"/>
      </w:pPr>
    </w:lvl>
    <w:lvl w:ilvl="2" w:tplc="04090011" w:tentative="1">
      <w:start w:val="1"/>
      <w:numFmt w:val="decimalEnclosedCircle"/>
      <w:lvlText w:val="%3"/>
      <w:lvlJc w:val="left"/>
      <w:pPr>
        <w:ind w:left="1371" w:hanging="420"/>
      </w:pPr>
    </w:lvl>
    <w:lvl w:ilvl="3" w:tplc="0409000F" w:tentative="1">
      <w:start w:val="1"/>
      <w:numFmt w:val="decimal"/>
      <w:lvlText w:val="%4."/>
      <w:lvlJc w:val="left"/>
      <w:pPr>
        <w:ind w:left="1791" w:hanging="420"/>
      </w:pPr>
    </w:lvl>
    <w:lvl w:ilvl="4" w:tplc="04090017" w:tentative="1">
      <w:start w:val="1"/>
      <w:numFmt w:val="aiueoFullWidth"/>
      <w:lvlText w:val="(%5)"/>
      <w:lvlJc w:val="left"/>
      <w:pPr>
        <w:ind w:left="2211" w:hanging="420"/>
      </w:pPr>
    </w:lvl>
    <w:lvl w:ilvl="5" w:tplc="04090011" w:tentative="1">
      <w:start w:val="1"/>
      <w:numFmt w:val="decimalEnclosedCircle"/>
      <w:lvlText w:val="%6"/>
      <w:lvlJc w:val="left"/>
      <w:pPr>
        <w:ind w:left="2631" w:hanging="420"/>
      </w:pPr>
    </w:lvl>
    <w:lvl w:ilvl="6" w:tplc="0409000F" w:tentative="1">
      <w:start w:val="1"/>
      <w:numFmt w:val="decimal"/>
      <w:lvlText w:val="%7."/>
      <w:lvlJc w:val="left"/>
      <w:pPr>
        <w:ind w:left="3051" w:hanging="420"/>
      </w:pPr>
    </w:lvl>
    <w:lvl w:ilvl="7" w:tplc="04090017" w:tentative="1">
      <w:start w:val="1"/>
      <w:numFmt w:val="aiueoFullWidth"/>
      <w:lvlText w:val="(%8)"/>
      <w:lvlJc w:val="left"/>
      <w:pPr>
        <w:ind w:left="3471" w:hanging="420"/>
      </w:pPr>
    </w:lvl>
    <w:lvl w:ilvl="8" w:tplc="04090011" w:tentative="1">
      <w:start w:val="1"/>
      <w:numFmt w:val="decimalEnclosedCircle"/>
      <w:lvlText w:val="%9"/>
      <w:lvlJc w:val="left"/>
      <w:pPr>
        <w:ind w:left="3891" w:hanging="420"/>
      </w:pPr>
    </w:lvl>
  </w:abstractNum>
  <w:abstractNum w:abstractNumId="602" w15:restartNumberingAfterBreak="0">
    <w:nsid w:val="79C12636"/>
    <w:multiLevelType w:val="hybridMultilevel"/>
    <w:tmpl w:val="4B2E9A20"/>
    <w:lvl w:ilvl="0" w:tplc="A9CEF7AA">
      <w:start w:val="2"/>
      <w:numFmt w:val="decimal"/>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03" w15:restartNumberingAfterBreak="0">
    <w:nsid w:val="7A393585"/>
    <w:multiLevelType w:val="hybridMultilevel"/>
    <w:tmpl w:val="BC1608DA"/>
    <w:lvl w:ilvl="0" w:tplc="7CF06096">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04" w15:restartNumberingAfterBreak="0">
    <w:nsid w:val="7A5E40AC"/>
    <w:multiLevelType w:val="hybridMultilevel"/>
    <w:tmpl w:val="48148E0A"/>
    <w:lvl w:ilvl="0" w:tplc="DD8E1ED4">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605" w15:restartNumberingAfterBreak="0">
    <w:nsid w:val="7A7B0C75"/>
    <w:multiLevelType w:val="hybridMultilevel"/>
    <w:tmpl w:val="265A9528"/>
    <w:lvl w:ilvl="0" w:tplc="524C9CBA">
      <w:start w:val="1"/>
      <w:numFmt w:val="lowerLetter"/>
      <w:lvlText w:val="%1)"/>
      <w:lvlJc w:val="left"/>
      <w:pPr>
        <w:ind w:left="1260" w:hanging="420"/>
      </w:pPr>
      <w:rPr>
        <w:rFonts w:ascii="ＭＳ ゴシック" w:eastAsia="ＭＳ ゴシック" w:hAnsiTheme="minorHAnsi" w:hint="eastAsia"/>
        <w:b/>
        <w:i w:val="0"/>
        <w:caps w:val="0"/>
        <w:strike w:val="0"/>
        <w:dstrike w:val="0"/>
        <w:vanish w:val="0"/>
        <w:color w:val="000000"/>
        <w:sz w:val="21"/>
        <w:vertAlign w:val="base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06" w15:restartNumberingAfterBreak="0">
    <w:nsid w:val="7A9577C8"/>
    <w:multiLevelType w:val="hybridMultilevel"/>
    <w:tmpl w:val="FBB88264"/>
    <w:lvl w:ilvl="0" w:tplc="737AA47E">
      <w:start w:val="1"/>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07" w15:restartNumberingAfterBreak="0">
    <w:nsid w:val="7B357EEA"/>
    <w:multiLevelType w:val="hybridMultilevel"/>
    <w:tmpl w:val="334A24EE"/>
    <w:lvl w:ilvl="0" w:tplc="948AFEBC">
      <w:start w:val="5"/>
      <w:numFmt w:val="lowerLetter"/>
      <w:lvlText w:val="%1)"/>
      <w:lvlJc w:val="left"/>
      <w:pPr>
        <w:ind w:left="84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08" w15:restartNumberingAfterBreak="0">
    <w:nsid w:val="7B622EBF"/>
    <w:multiLevelType w:val="hybridMultilevel"/>
    <w:tmpl w:val="417458B2"/>
    <w:lvl w:ilvl="0" w:tplc="3AE4A928">
      <w:start w:val="1"/>
      <w:numFmt w:val="lowerLetter"/>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09" w15:restartNumberingAfterBreak="0">
    <w:nsid w:val="7B7620C9"/>
    <w:multiLevelType w:val="hybridMultilevel"/>
    <w:tmpl w:val="ED1843C2"/>
    <w:lvl w:ilvl="0" w:tplc="3F4810C6">
      <w:start w:val="1"/>
      <w:numFmt w:val="decimal"/>
      <w:lvlText w:val="3.%1)"/>
      <w:lvlJc w:val="left"/>
      <w:pPr>
        <w:ind w:left="420" w:hanging="420"/>
      </w:pPr>
      <w:rPr>
        <w:rFonts w:asciiTheme="majorEastAsia" w:eastAsia="ＭＳ 明朝" w:hAnsiTheme="majorEastAsia"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10" w15:restartNumberingAfterBreak="0">
    <w:nsid w:val="7B861954"/>
    <w:multiLevelType w:val="hybridMultilevel"/>
    <w:tmpl w:val="BC708972"/>
    <w:lvl w:ilvl="0" w:tplc="44B680E0">
      <w:start w:val="1"/>
      <w:numFmt w:val="lowerLetter"/>
      <w:lvlText w:val="%1)"/>
      <w:lvlJc w:val="left"/>
      <w:pPr>
        <w:ind w:left="1260" w:hanging="420"/>
      </w:pPr>
      <w:rPr>
        <w:rFonts w:ascii="ＭＳ ゴシック" w:eastAsia="ＭＳ ゴシック" w:hAnsiTheme="minorHAnsi" w:hint="eastAsia"/>
        <w:b/>
        <w:i w:val="0"/>
        <w:caps w:val="0"/>
        <w:strike w:val="0"/>
        <w:dstrike w:val="0"/>
        <w:vanish w:val="0"/>
        <w:color w:val="000000"/>
        <w:sz w:val="21"/>
        <w:vertAlign w:val="baseline"/>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611" w15:restartNumberingAfterBreak="0">
    <w:nsid w:val="7BF5437A"/>
    <w:multiLevelType w:val="hybridMultilevel"/>
    <w:tmpl w:val="492A26F6"/>
    <w:lvl w:ilvl="0" w:tplc="995E3582">
      <w:start w:val="7"/>
      <w:numFmt w:val="decimal"/>
      <w:lvlText w:val="%1)"/>
      <w:lvlJc w:val="left"/>
      <w:pPr>
        <w:ind w:left="1260" w:hanging="420"/>
      </w:pPr>
      <w:rPr>
        <w:rFonts w:ascii="ＭＳ ゴシック" w:eastAsia="ＭＳ ゴシック" w:hint="eastAsia"/>
        <w:b/>
        <w:i w:val="0"/>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12" w15:restartNumberingAfterBreak="0">
    <w:nsid w:val="7C397822"/>
    <w:multiLevelType w:val="hybridMultilevel"/>
    <w:tmpl w:val="802A4C5E"/>
    <w:lvl w:ilvl="0" w:tplc="32C4DE50">
      <w:start w:val="1"/>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13" w15:restartNumberingAfterBreak="0">
    <w:nsid w:val="7C5C221C"/>
    <w:multiLevelType w:val="hybridMultilevel"/>
    <w:tmpl w:val="66C2B40C"/>
    <w:lvl w:ilvl="0" w:tplc="96E678E8">
      <w:start w:val="1"/>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14" w15:restartNumberingAfterBreak="0">
    <w:nsid w:val="7C800FFB"/>
    <w:multiLevelType w:val="hybridMultilevel"/>
    <w:tmpl w:val="727678D0"/>
    <w:lvl w:ilvl="0" w:tplc="81B0CA50">
      <w:start w:val="1"/>
      <w:numFmt w:val="decimal"/>
      <w:lvlText w:val="2.%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15" w15:restartNumberingAfterBreak="0">
    <w:nsid w:val="7CC02F0C"/>
    <w:multiLevelType w:val="hybridMultilevel"/>
    <w:tmpl w:val="E5FEDD3E"/>
    <w:lvl w:ilvl="0" w:tplc="0F86C836">
      <w:start w:val="3"/>
      <w:numFmt w:val="lowerLetter"/>
      <w:lvlText w:val="%1)"/>
      <w:lvlJc w:val="left"/>
      <w:pPr>
        <w:ind w:left="1260" w:hanging="420"/>
      </w:pPr>
      <w:rPr>
        <w:rFonts w:ascii="ＭＳ ゴシック" w:eastAsia="ＭＳ ゴシック" w:hAnsiTheme="minorHAnsi" w:hint="eastAsia"/>
        <w:b/>
        <w:i w:val="0"/>
        <w:caps w:val="0"/>
        <w:strike w:val="0"/>
        <w:dstrike w:val="0"/>
        <w:vanish w:val="0"/>
        <w:color w:val="000000"/>
        <w:sz w:val="21"/>
        <w:vertAlign w:val="baseline"/>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616" w15:restartNumberingAfterBreak="0">
    <w:nsid w:val="7CCB5181"/>
    <w:multiLevelType w:val="hybridMultilevel"/>
    <w:tmpl w:val="162629B0"/>
    <w:lvl w:ilvl="0" w:tplc="BA607C2A">
      <w:start w:val="1"/>
      <w:numFmt w:val="decimal"/>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17" w15:restartNumberingAfterBreak="0">
    <w:nsid w:val="7CF77549"/>
    <w:multiLevelType w:val="hybridMultilevel"/>
    <w:tmpl w:val="ABC2C9D6"/>
    <w:lvl w:ilvl="0" w:tplc="F56027DE">
      <w:start w:val="2"/>
      <w:numFmt w:val="lowerLetter"/>
      <w:lvlText w:val="%1)"/>
      <w:lvlJc w:val="left"/>
      <w:pPr>
        <w:ind w:left="420" w:hanging="420"/>
      </w:pPr>
      <w:rPr>
        <w:rFonts w:ascii="ＭＳ ゴシック" w:eastAsia="ＭＳ ゴシック" w:hAnsiTheme="minorHAnsi" w:hint="eastAsia"/>
        <w:b/>
        <w:i w:val="0"/>
        <w:caps w:val="0"/>
        <w:strike w:val="0"/>
        <w:dstrike w:val="0"/>
        <w:vanish w:val="0"/>
        <w:color w:val="auto"/>
        <w:sz w:val="21"/>
        <w:vertAlign w:val="base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18" w15:restartNumberingAfterBreak="0">
    <w:nsid w:val="7D033370"/>
    <w:multiLevelType w:val="hybridMultilevel"/>
    <w:tmpl w:val="57002DD6"/>
    <w:lvl w:ilvl="0" w:tplc="E466B66C">
      <w:start w:val="1"/>
      <w:numFmt w:val="decimal"/>
      <w:lvlText w:val="%1)"/>
      <w:lvlJc w:val="left"/>
      <w:pPr>
        <w:ind w:left="420" w:hanging="420"/>
      </w:pPr>
      <w:rPr>
        <w:rFonts w:ascii="ＭＳ ゴシック" w:eastAsia="ＭＳ ゴシック" w:hint="eastAsia"/>
        <w:b/>
        <w:i w:val="0"/>
        <w:sz w:val="21"/>
      </w:rPr>
    </w:lvl>
    <w:lvl w:ilvl="1" w:tplc="E466B66C">
      <w:start w:val="1"/>
      <w:numFmt w:val="decimal"/>
      <w:lvlText w:val="%2)"/>
      <w:lvlJc w:val="left"/>
      <w:pPr>
        <w:ind w:left="840" w:hanging="420"/>
      </w:pPr>
      <w:rPr>
        <w:rFonts w:ascii="ＭＳ ゴシック" w:eastAsia="ＭＳ ゴシック" w:hint="eastAsia"/>
        <w:b/>
        <w:i w:val="0"/>
        <w:sz w:val="21"/>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19" w15:restartNumberingAfterBreak="0">
    <w:nsid w:val="7D0633AD"/>
    <w:multiLevelType w:val="hybridMultilevel"/>
    <w:tmpl w:val="6F16FB14"/>
    <w:lvl w:ilvl="0" w:tplc="A1386884">
      <w:start w:val="2"/>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20" w15:restartNumberingAfterBreak="0">
    <w:nsid w:val="7D1D1860"/>
    <w:multiLevelType w:val="hybridMultilevel"/>
    <w:tmpl w:val="C3DEB562"/>
    <w:lvl w:ilvl="0" w:tplc="49581312">
      <w:start w:val="5"/>
      <w:numFmt w:val="lowerLetter"/>
      <w:lvlText w:val="%1)"/>
      <w:lvlJc w:val="left"/>
      <w:pPr>
        <w:ind w:left="126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21" w15:restartNumberingAfterBreak="0">
    <w:nsid w:val="7D2D0484"/>
    <w:multiLevelType w:val="hybridMultilevel"/>
    <w:tmpl w:val="DED2D644"/>
    <w:lvl w:ilvl="0" w:tplc="E884CF72">
      <w:start w:val="2"/>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22" w15:restartNumberingAfterBreak="0">
    <w:nsid w:val="7D421D72"/>
    <w:multiLevelType w:val="hybridMultilevel"/>
    <w:tmpl w:val="B38A6B2C"/>
    <w:lvl w:ilvl="0" w:tplc="C2AE0F0C">
      <w:start w:val="1"/>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23" w15:restartNumberingAfterBreak="0">
    <w:nsid w:val="7D626ED9"/>
    <w:multiLevelType w:val="hybridMultilevel"/>
    <w:tmpl w:val="740696EA"/>
    <w:lvl w:ilvl="0" w:tplc="E86AC90A">
      <w:start w:val="3"/>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24" w15:restartNumberingAfterBreak="0">
    <w:nsid w:val="7D7D76FB"/>
    <w:multiLevelType w:val="hybridMultilevel"/>
    <w:tmpl w:val="9B101F04"/>
    <w:lvl w:ilvl="0" w:tplc="F8043386">
      <w:start w:val="1"/>
      <w:numFmt w:val="lowerLetter"/>
      <w:lvlText w:val="%1)"/>
      <w:lvlJc w:val="left"/>
      <w:pPr>
        <w:ind w:left="1260" w:hanging="420"/>
      </w:pPr>
      <w:rPr>
        <w:rFonts w:ascii="ＭＳ ゴシック" w:eastAsia="ＭＳ ゴシック" w:hAnsiTheme="minorHAnsi" w:hint="eastAsia"/>
        <w:b/>
        <w:i w:val="0"/>
        <w:caps w:val="0"/>
        <w:strike w:val="0"/>
        <w:dstrike w:val="0"/>
        <w:vanish w:val="0"/>
        <w:color w:val="000000"/>
        <w:sz w:val="21"/>
        <w:vertAlign w:val="base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25" w15:restartNumberingAfterBreak="0">
    <w:nsid w:val="7D836CCF"/>
    <w:multiLevelType w:val="hybridMultilevel"/>
    <w:tmpl w:val="3C6EAA44"/>
    <w:lvl w:ilvl="0" w:tplc="90FE058A">
      <w:start w:val="1"/>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26" w15:restartNumberingAfterBreak="0">
    <w:nsid w:val="7DD772F2"/>
    <w:multiLevelType w:val="hybridMultilevel"/>
    <w:tmpl w:val="EE66794E"/>
    <w:lvl w:ilvl="0" w:tplc="41887EC0">
      <w:start w:val="2"/>
      <w:numFmt w:val="lowerLetter"/>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27" w15:restartNumberingAfterBreak="0">
    <w:nsid w:val="7E3E6E0A"/>
    <w:multiLevelType w:val="hybridMultilevel"/>
    <w:tmpl w:val="7DB2A9CE"/>
    <w:lvl w:ilvl="0" w:tplc="0D7EDC74">
      <w:start w:val="3"/>
      <w:numFmt w:val="lowerLetter"/>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28" w15:restartNumberingAfterBreak="0">
    <w:nsid w:val="7E3F7DC7"/>
    <w:multiLevelType w:val="hybridMultilevel"/>
    <w:tmpl w:val="0D4673D0"/>
    <w:lvl w:ilvl="0" w:tplc="5428ED10">
      <w:start w:val="4"/>
      <w:numFmt w:val="lowerLetter"/>
      <w:lvlText w:val="%1)"/>
      <w:lvlJc w:val="left"/>
      <w:pPr>
        <w:ind w:left="1260" w:hanging="420"/>
      </w:pPr>
      <w:rPr>
        <w:rFonts w:asciiTheme="majorEastAsia" w:eastAsia="ＭＳ 明朝"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29" w15:restartNumberingAfterBreak="0">
    <w:nsid w:val="7E456D4E"/>
    <w:multiLevelType w:val="hybridMultilevel"/>
    <w:tmpl w:val="188CF5B8"/>
    <w:lvl w:ilvl="0" w:tplc="B608E872">
      <w:start w:val="2"/>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30" w15:restartNumberingAfterBreak="0">
    <w:nsid w:val="7E683B22"/>
    <w:multiLevelType w:val="hybridMultilevel"/>
    <w:tmpl w:val="7312095C"/>
    <w:lvl w:ilvl="0" w:tplc="51DE1042">
      <w:start w:val="1"/>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31" w15:restartNumberingAfterBreak="0">
    <w:nsid w:val="7EA0017F"/>
    <w:multiLevelType w:val="hybridMultilevel"/>
    <w:tmpl w:val="119A9A74"/>
    <w:lvl w:ilvl="0" w:tplc="836A1B06">
      <w:start w:val="5"/>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32" w15:restartNumberingAfterBreak="0">
    <w:nsid w:val="7EEA2142"/>
    <w:multiLevelType w:val="hybridMultilevel"/>
    <w:tmpl w:val="50BE2230"/>
    <w:lvl w:ilvl="0" w:tplc="AA18D354">
      <w:start w:val="1"/>
      <w:numFmt w:val="decimal"/>
      <w:lvlText w:val="%1)"/>
      <w:lvlJc w:val="left"/>
      <w:pPr>
        <w:ind w:left="1260" w:hanging="420"/>
      </w:pPr>
      <w:rPr>
        <w:rFonts w:ascii="ＭＳ ゴシック" w:eastAsia="ＭＳ ゴシック" w:hint="eastAsia"/>
        <w:b/>
        <w:i w:val="0"/>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33" w15:restartNumberingAfterBreak="0">
    <w:nsid w:val="7F216A21"/>
    <w:multiLevelType w:val="hybridMultilevel"/>
    <w:tmpl w:val="779AEA86"/>
    <w:lvl w:ilvl="0" w:tplc="9A0C69C4">
      <w:start w:val="1"/>
      <w:numFmt w:val="lowerLetter"/>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34" w15:restartNumberingAfterBreak="0">
    <w:nsid w:val="7F663449"/>
    <w:multiLevelType w:val="hybridMultilevel"/>
    <w:tmpl w:val="0D50F2DC"/>
    <w:lvl w:ilvl="0" w:tplc="CA909628">
      <w:start w:val="3"/>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35" w15:restartNumberingAfterBreak="0">
    <w:nsid w:val="7FE14057"/>
    <w:multiLevelType w:val="hybridMultilevel"/>
    <w:tmpl w:val="07ACB4D2"/>
    <w:lvl w:ilvl="0" w:tplc="352ADFFA">
      <w:start w:val="3"/>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36" w15:restartNumberingAfterBreak="0">
    <w:nsid w:val="7FF53D78"/>
    <w:multiLevelType w:val="hybridMultilevel"/>
    <w:tmpl w:val="48E85FE0"/>
    <w:lvl w:ilvl="0" w:tplc="8B8020EC">
      <w:start w:val="1"/>
      <w:numFmt w:val="decimal"/>
      <w:lvlText w:val="%1)"/>
      <w:lvlJc w:val="left"/>
      <w:pPr>
        <w:ind w:left="420" w:hanging="420"/>
      </w:pPr>
      <w:rPr>
        <w:rFonts w:ascii="ＭＳ ゴシック" w:eastAsia="ＭＳ 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17"/>
  </w:num>
  <w:num w:numId="3">
    <w:abstractNumId w:val="270"/>
  </w:num>
  <w:num w:numId="4">
    <w:abstractNumId w:val="509"/>
  </w:num>
  <w:num w:numId="5">
    <w:abstractNumId w:val="112"/>
  </w:num>
  <w:num w:numId="6">
    <w:abstractNumId w:val="261"/>
  </w:num>
  <w:num w:numId="7">
    <w:abstractNumId w:val="364"/>
  </w:num>
  <w:num w:numId="8">
    <w:abstractNumId w:val="500"/>
  </w:num>
  <w:num w:numId="9">
    <w:abstractNumId w:val="133"/>
  </w:num>
  <w:num w:numId="10">
    <w:abstractNumId w:val="547"/>
  </w:num>
  <w:num w:numId="11">
    <w:abstractNumId w:val="282"/>
  </w:num>
  <w:num w:numId="12">
    <w:abstractNumId w:val="129"/>
  </w:num>
  <w:num w:numId="13">
    <w:abstractNumId w:val="381"/>
  </w:num>
  <w:num w:numId="14">
    <w:abstractNumId w:val="71"/>
  </w:num>
  <w:num w:numId="15">
    <w:abstractNumId w:val="101"/>
  </w:num>
  <w:num w:numId="16">
    <w:abstractNumId w:val="445"/>
  </w:num>
  <w:num w:numId="17">
    <w:abstractNumId w:val="304"/>
  </w:num>
  <w:num w:numId="18">
    <w:abstractNumId w:val="516"/>
  </w:num>
  <w:num w:numId="19">
    <w:abstractNumId w:val="227"/>
  </w:num>
  <w:num w:numId="20">
    <w:abstractNumId w:val="55"/>
  </w:num>
  <w:num w:numId="21">
    <w:abstractNumId w:val="7"/>
  </w:num>
  <w:num w:numId="22">
    <w:abstractNumId w:val="575"/>
  </w:num>
  <w:num w:numId="23">
    <w:abstractNumId w:val="137"/>
  </w:num>
  <w:num w:numId="24">
    <w:abstractNumId w:val="293"/>
  </w:num>
  <w:num w:numId="25">
    <w:abstractNumId w:val="19"/>
  </w:num>
  <w:num w:numId="26">
    <w:abstractNumId w:val="179"/>
  </w:num>
  <w:num w:numId="27">
    <w:abstractNumId w:val="18"/>
  </w:num>
  <w:num w:numId="28">
    <w:abstractNumId w:val="310"/>
  </w:num>
  <w:num w:numId="29">
    <w:abstractNumId w:val="478"/>
  </w:num>
  <w:num w:numId="30">
    <w:abstractNumId w:val="631"/>
  </w:num>
  <w:num w:numId="31">
    <w:abstractNumId w:val="597"/>
  </w:num>
  <w:num w:numId="32">
    <w:abstractNumId w:val="545"/>
  </w:num>
  <w:num w:numId="33">
    <w:abstractNumId w:val="128"/>
  </w:num>
  <w:num w:numId="34">
    <w:abstractNumId w:val="425"/>
  </w:num>
  <w:num w:numId="35">
    <w:abstractNumId w:val="365"/>
  </w:num>
  <w:num w:numId="36">
    <w:abstractNumId w:val="442"/>
  </w:num>
  <w:num w:numId="37">
    <w:abstractNumId w:val="140"/>
  </w:num>
  <w:num w:numId="38">
    <w:abstractNumId w:val="130"/>
  </w:num>
  <w:num w:numId="39">
    <w:abstractNumId w:val="67"/>
  </w:num>
  <w:num w:numId="40">
    <w:abstractNumId w:val="517"/>
  </w:num>
  <w:num w:numId="41">
    <w:abstractNumId w:val="142"/>
  </w:num>
  <w:num w:numId="42">
    <w:abstractNumId w:val="69"/>
  </w:num>
  <w:num w:numId="43">
    <w:abstractNumId w:val="246"/>
  </w:num>
  <w:num w:numId="44">
    <w:abstractNumId w:val="268"/>
  </w:num>
  <w:num w:numId="45">
    <w:abstractNumId w:val="534"/>
  </w:num>
  <w:num w:numId="46">
    <w:abstractNumId w:val="518"/>
  </w:num>
  <w:num w:numId="47">
    <w:abstractNumId w:val="251"/>
  </w:num>
  <w:num w:numId="48">
    <w:abstractNumId w:val="35"/>
  </w:num>
  <w:num w:numId="49">
    <w:abstractNumId w:val="207"/>
  </w:num>
  <w:num w:numId="50">
    <w:abstractNumId w:val="533"/>
  </w:num>
  <w:num w:numId="51">
    <w:abstractNumId w:val="623"/>
  </w:num>
  <w:num w:numId="52">
    <w:abstractNumId w:val="366"/>
  </w:num>
  <w:num w:numId="53">
    <w:abstractNumId w:val="191"/>
  </w:num>
  <w:num w:numId="54">
    <w:abstractNumId w:val="634"/>
  </w:num>
  <w:num w:numId="55">
    <w:abstractNumId w:val="220"/>
  </w:num>
  <w:num w:numId="56">
    <w:abstractNumId w:val="443"/>
  </w:num>
  <w:num w:numId="57">
    <w:abstractNumId w:val="287"/>
  </w:num>
  <w:num w:numId="58">
    <w:abstractNumId w:val="536"/>
  </w:num>
  <w:num w:numId="59">
    <w:abstractNumId w:val="63"/>
  </w:num>
  <w:num w:numId="60">
    <w:abstractNumId w:val="488"/>
  </w:num>
  <w:num w:numId="61">
    <w:abstractNumId w:val="424"/>
  </w:num>
  <w:num w:numId="62">
    <w:abstractNumId w:val="467"/>
  </w:num>
  <w:num w:numId="63">
    <w:abstractNumId w:val="332"/>
  </w:num>
  <w:num w:numId="64">
    <w:abstractNumId w:val="491"/>
  </w:num>
  <w:num w:numId="65">
    <w:abstractNumId w:val="165"/>
  </w:num>
  <w:num w:numId="66">
    <w:abstractNumId w:val="146"/>
  </w:num>
  <w:num w:numId="67">
    <w:abstractNumId w:val="203"/>
  </w:num>
  <w:num w:numId="68">
    <w:abstractNumId w:val="369"/>
  </w:num>
  <w:num w:numId="69">
    <w:abstractNumId w:val="211"/>
  </w:num>
  <w:num w:numId="70">
    <w:abstractNumId w:val="196"/>
  </w:num>
  <w:num w:numId="71">
    <w:abstractNumId w:val="210"/>
  </w:num>
  <w:num w:numId="72">
    <w:abstractNumId w:val="105"/>
  </w:num>
  <w:num w:numId="73">
    <w:abstractNumId w:val="636"/>
  </w:num>
  <w:num w:numId="74">
    <w:abstractNumId w:val="34"/>
  </w:num>
  <w:num w:numId="75">
    <w:abstractNumId w:val="57"/>
  </w:num>
  <w:num w:numId="76">
    <w:abstractNumId w:val="633"/>
  </w:num>
  <w:num w:numId="77">
    <w:abstractNumId w:val="439"/>
  </w:num>
  <w:num w:numId="78">
    <w:abstractNumId w:val="166"/>
  </w:num>
  <w:num w:numId="79">
    <w:abstractNumId w:val="404"/>
  </w:num>
  <w:num w:numId="80">
    <w:abstractNumId w:val="234"/>
  </w:num>
  <w:num w:numId="81">
    <w:abstractNumId w:val="333"/>
  </w:num>
  <w:num w:numId="82">
    <w:abstractNumId w:val="149"/>
  </w:num>
  <w:num w:numId="83">
    <w:abstractNumId w:val="406"/>
  </w:num>
  <w:num w:numId="84">
    <w:abstractNumId w:val="471"/>
  </w:num>
  <w:num w:numId="85">
    <w:abstractNumId w:val="286"/>
  </w:num>
  <w:num w:numId="86">
    <w:abstractNumId w:val="85"/>
  </w:num>
  <w:num w:numId="87">
    <w:abstractNumId w:val="12"/>
  </w:num>
  <w:num w:numId="88">
    <w:abstractNumId w:val="275"/>
  </w:num>
  <w:num w:numId="89">
    <w:abstractNumId w:val="625"/>
  </w:num>
  <w:num w:numId="90">
    <w:abstractNumId w:val="283"/>
  </w:num>
  <w:num w:numId="91">
    <w:abstractNumId w:val="41"/>
  </w:num>
  <w:num w:numId="92">
    <w:abstractNumId w:val="472"/>
  </w:num>
  <w:num w:numId="93">
    <w:abstractNumId w:val="311"/>
  </w:num>
  <w:num w:numId="94">
    <w:abstractNumId w:val="89"/>
  </w:num>
  <w:num w:numId="95">
    <w:abstractNumId w:val="421"/>
  </w:num>
  <w:num w:numId="96">
    <w:abstractNumId w:val="236"/>
  </w:num>
  <w:num w:numId="97">
    <w:abstractNumId w:val="398"/>
  </w:num>
  <w:num w:numId="98">
    <w:abstractNumId w:val="132"/>
  </w:num>
  <w:num w:numId="99">
    <w:abstractNumId w:val="37"/>
  </w:num>
  <w:num w:numId="100">
    <w:abstractNumId w:val="217"/>
  </w:num>
  <w:num w:numId="101">
    <w:abstractNumId w:val="78"/>
  </w:num>
  <w:num w:numId="102">
    <w:abstractNumId w:val="391"/>
  </w:num>
  <w:num w:numId="103">
    <w:abstractNumId w:val="277"/>
  </w:num>
  <w:num w:numId="104">
    <w:abstractNumId w:val="606"/>
  </w:num>
  <w:num w:numId="105">
    <w:abstractNumId w:val="120"/>
  </w:num>
  <w:num w:numId="106">
    <w:abstractNumId w:val="230"/>
  </w:num>
  <w:num w:numId="107">
    <w:abstractNumId w:val="171"/>
  </w:num>
  <w:num w:numId="108">
    <w:abstractNumId w:val="235"/>
  </w:num>
  <w:num w:numId="109">
    <w:abstractNumId w:val="594"/>
  </w:num>
  <w:num w:numId="110">
    <w:abstractNumId w:val="6"/>
  </w:num>
  <w:num w:numId="111">
    <w:abstractNumId w:val="33"/>
  </w:num>
  <w:num w:numId="112">
    <w:abstractNumId w:val="414"/>
  </w:num>
  <w:num w:numId="113">
    <w:abstractNumId w:val="47"/>
  </w:num>
  <w:num w:numId="114">
    <w:abstractNumId w:val="601"/>
  </w:num>
  <w:num w:numId="115">
    <w:abstractNumId w:val="66"/>
  </w:num>
  <w:num w:numId="116">
    <w:abstractNumId w:val="42"/>
  </w:num>
  <w:num w:numId="117">
    <w:abstractNumId w:val="552"/>
  </w:num>
  <w:num w:numId="118">
    <w:abstractNumId w:val="62"/>
  </w:num>
  <w:num w:numId="119">
    <w:abstractNumId w:val="316"/>
  </w:num>
  <w:num w:numId="120">
    <w:abstractNumId w:val="322"/>
  </w:num>
  <w:num w:numId="121">
    <w:abstractNumId w:val="77"/>
  </w:num>
  <w:num w:numId="122">
    <w:abstractNumId w:val="111"/>
  </w:num>
  <w:num w:numId="123">
    <w:abstractNumId w:val="453"/>
  </w:num>
  <w:num w:numId="124">
    <w:abstractNumId w:val="92"/>
  </w:num>
  <w:num w:numId="125">
    <w:abstractNumId w:val="163"/>
  </w:num>
  <w:num w:numId="126">
    <w:abstractNumId w:val="418"/>
  </w:num>
  <w:num w:numId="127">
    <w:abstractNumId w:val="231"/>
  </w:num>
  <w:num w:numId="128">
    <w:abstractNumId w:val="331"/>
  </w:num>
  <w:num w:numId="129">
    <w:abstractNumId w:val="115"/>
  </w:num>
  <w:num w:numId="130">
    <w:abstractNumId w:val="345"/>
  </w:num>
  <w:num w:numId="131">
    <w:abstractNumId w:val="579"/>
  </w:num>
  <w:num w:numId="132">
    <w:abstractNumId w:val="186"/>
  </w:num>
  <w:num w:numId="133">
    <w:abstractNumId w:val="136"/>
  </w:num>
  <w:num w:numId="134">
    <w:abstractNumId w:val="483"/>
  </w:num>
  <w:num w:numId="135">
    <w:abstractNumId w:val="479"/>
  </w:num>
  <w:num w:numId="136">
    <w:abstractNumId w:val="617"/>
  </w:num>
  <w:num w:numId="137">
    <w:abstractNumId w:val="264"/>
  </w:num>
  <w:num w:numId="138">
    <w:abstractNumId w:val="475"/>
  </w:num>
  <w:num w:numId="139">
    <w:abstractNumId w:val="98"/>
  </w:num>
  <w:num w:numId="140">
    <w:abstractNumId w:val="190"/>
  </w:num>
  <w:num w:numId="141">
    <w:abstractNumId w:val="79"/>
  </w:num>
  <w:num w:numId="142">
    <w:abstractNumId w:val="561"/>
  </w:num>
  <w:num w:numId="143">
    <w:abstractNumId w:val="302"/>
  </w:num>
  <w:num w:numId="144">
    <w:abstractNumId w:val="612"/>
  </w:num>
  <w:num w:numId="145">
    <w:abstractNumId w:val="370"/>
  </w:num>
  <w:num w:numId="146">
    <w:abstractNumId w:val="450"/>
  </w:num>
  <w:num w:numId="147">
    <w:abstractNumId w:val="122"/>
  </w:num>
  <w:num w:numId="148">
    <w:abstractNumId w:val="622"/>
  </w:num>
  <w:num w:numId="149">
    <w:abstractNumId w:val="528"/>
  </w:num>
  <w:num w:numId="150">
    <w:abstractNumId w:val="586"/>
  </w:num>
  <w:num w:numId="151">
    <w:abstractNumId w:val="473"/>
  </w:num>
  <w:num w:numId="152">
    <w:abstractNumId w:val="292"/>
  </w:num>
  <w:num w:numId="153">
    <w:abstractNumId w:val="345"/>
    <w:lvlOverride w:ilvl="0">
      <w:lvl w:ilvl="0">
        <w:start w:val="1"/>
        <w:numFmt w:val="decimal"/>
        <w:pStyle w:val="10"/>
        <w:lvlText w:val="%1"/>
        <w:lvlJc w:val="left"/>
        <w:pPr>
          <w:ind w:left="425" w:hanging="425"/>
        </w:pPr>
        <w:rPr>
          <w:rFonts w:ascii="ＭＳ ゴシック" w:eastAsia="ＭＳ ゴシック" w:hint="eastAsia"/>
          <w:b/>
          <w:i w:val="0"/>
          <w:sz w:val="21"/>
        </w:rPr>
      </w:lvl>
    </w:lvlOverride>
    <w:lvlOverride w:ilvl="1">
      <w:lvl w:ilvl="1">
        <w:start w:val="1"/>
        <w:numFmt w:val="decimal"/>
        <w:pStyle w:val="20"/>
        <w:suff w:val="space"/>
        <w:lvlText w:val="%1.%2"/>
        <w:lvlJc w:val="left"/>
        <w:pPr>
          <w:ind w:left="425" w:hanging="425"/>
        </w:pPr>
        <w:rPr>
          <w:rFonts w:ascii="ＭＳ ゴシック" w:eastAsia="ＭＳ ゴシック" w:hint="eastAsia"/>
          <w:b/>
          <w:i w:val="0"/>
          <w:sz w:val="21"/>
        </w:rPr>
      </w:lvl>
    </w:lvlOverride>
    <w:lvlOverride w:ilvl="2">
      <w:lvl w:ilvl="2">
        <w:start w:val="1"/>
        <w:numFmt w:val="decimal"/>
        <w:pStyle w:val="3"/>
        <w:lvlText w:val="%1.%2.%3"/>
        <w:lvlJc w:val="left"/>
        <w:pPr>
          <w:tabs>
            <w:tab w:val="num" w:pos="284"/>
          </w:tabs>
          <w:ind w:left="425" w:hanging="425"/>
        </w:pPr>
        <w:rPr>
          <w:rFonts w:ascii="ＭＳ ゴシック" w:eastAsia="ＭＳ ゴシック" w:hint="eastAsia"/>
          <w:b/>
          <w:i w:val="0"/>
          <w:sz w:val="21"/>
        </w:rPr>
      </w:lvl>
    </w:lvlOverride>
    <w:lvlOverride w:ilvl="3">
      <w:lvl w:ilvl="3">
        <w:start w:val="1"/>
        <w:numFmt w:val="decimal"/>
        <w:pStyle w:val="4"/>
        <w:lvlText w:val="%1.%2.%3.%4"/>
        <w:lvlJc w:val="left"/>
        <w:pPr>
          <w:tabs>
            <w:tab w:val="num" w:pos="284"/>
          </w:tabs>
          <w:ind w:left="425" w:hanging="425"/>
        </w:pPr>
        <w:rPr>
          <w:rFonts w:ascii="ＭＳ ゴシック" w:eastAsia="ＭＳ ゴシック" w:hint="eastAsia"/>
          <w:b/>
          <w:i w:val="0"/>
          <w:sz w:val="21"/>
        </w:rPr>
      </w:lvl>
    </w:lvlOverride>
    <w:lvlOverride w:ilvl="4">
      <w:lvl w:ilvl="4">
        <w:start w:val="1"/>
        <w:numFmt w:val="lowerLetter"/>
        <w:pStyle w:val="5"/>
        <w:lvlText w:val="%5)"/>
        <w:lvlJc w:val="left"/>
        <w:pPr>
          <w:tabs>
            <w:tab w:val="num" w:pos="454"/>
          </w:tabs>
          <w:ind w:left="425" w:hanging="425"/>
        </w:pPr>
        <w:rPr>
          <w:rFonts w:ascii="ＭＳ ゴシック" w:hAnsi="ＭＳ ゴシック" w:hint="eastAsia"/>
          <w:b/>
          <w:i w:val="0"/>
          <w:sz w:val="21"/>
        </w:rPr>
      </w:lvl>
    </w:lvlOverride>
    <w:lvlOverride w:ilvl="5">
      <w:lvl w:ilvl="5">
        <w:start w:val="1"/>
        <w:numFmt w:val="decimal"/>
        <w:pStyle w:val="6"/>
        <w:lvlText w:val="%6)"/>
        <w:lvlJc w:val="left"/>
        <w:pPr>
          <w:tabs>
            <w:tab w:val="num" w:pos="567"/>
          </w:tabs>
          <w:ind w:left="425" w:hanging="425"/>
        </w:pPr>
        <w:rPr>
          <w:rFonts w:ascii="ＭＳ ゴシック" w:hAnsi="ＭＳ ゴシック" w:hint="eastAsia"/>
          <w:b/>
          <w:i w:val="0"/>
          <w:sz w:val="21"/>
        </w:rPr>
      </w:lvl>
    </w:lvlOverride>
    <w:lvlOverride w:ilvl="6">
      <w:lvl w:ilvl="6">
        <w:start w:val="1"/>
        <w:numFmt w:val="decimal"/>
        <w:pStyle w:val="7"/>
        <w:suff w:val="space"/>
        <w:lvlText w:val="%6.%7)"/>
        <w:lvlJc w:val="left"/>
        <w:pPr>
          <w:ind w:left="425" w:hanging="425"/>
        </w:pPr>
        <w:rPr>
          <w:rFonts w:ascii="ＭＳ ゴシック" w:hAnsi="ＭＳ ゴシック" w:hint="eastAsia"/>
          <w:b/>
          <w:i w:val="0"/>
          <w:sz w:val="21"/>
        </w:rPr>
      </w:lvl>
    </w:lvlOverride>
    <w:lvlOverride w:ilvl="7">
      <w:lvl w:ilvl="7">
        <w:start w:val="1"/>
        <w:numFmt w:val="decimal"/>
        <w:pStyle w:val="8"/>
        <w:suff w:val="space"/>
        <w:lvlText w:val="%6.%7.%8)"/>
        <w:lvlJc w:val="left"/>
        <w:pPr>
          <w:ind w:left="425" w:hanging="425"/>
        </w:pPr>
        <w:rPr>
          <w:rFonts w:ascii="ＭＳ ゴシック" w:hAnsi="ＭＳ ゴシック" w:hint="eastAsia"/>
          <w:b/>
          <w:i w:val="0"/>
          <w:sz w:val="21"/>
        </w:rPr>
      </w:lvl>
    </w:lvlOverride>
    <w:lvlOverride w:ilvl="8">
      <w:lvl w:ilvl="8">
        <w:start w:val="1"/>
        <w:numFmt w:val="decimal"/>
        <w:pStyle w:val="9"/>
        <w:lvlText w:val="%6.%7.%8.%9)"/>
        <w:lvlJc w:val="left"/>
        <w:pPr>
          <w:tabs>
            <w:tab w:val="num" w:pos="851"/>
          </w:tabs>
          <w:ind w:left="425" w:hanging="425"/>
        </w:pPr>
        <w:rPr>
          <w:rFonts w:ascii="ＭＳ ゴシック" w:hAnsi="ＭＳ ゴシック" w:hint="eastAsia"/>
          <w:b/>
          <w:i w:val="0"/>
          <w:sz w:val="21"/>
        </w:rPr>
      </w:lvl>
    </w:lvlOverride>
  </w:num>
  <w:num w:numId="154">
    <w:abstractNumId w:val="345"/>
    <w:lvlOverride w:ilvl="0">
      <w:lvl w:ilvl="0">
        <w:start w:val="1"/>
        <w:numFmt w:val="decimal"/>
        <w:pStyle w:val="10"/>
        <w:lvlText w:val="%1"/>
        <w:lvlJc w:val="left"/>
        <w:pPr>
          <w:ind w:left="425" w:hanging="425"/>
        </w:pPr>
        <w:rPr>
          <w:rFonts w:ascii="ＭＳ ゴシック" w:eastAsia="ＭＳ ゴシック" w:hint="eastAsia"/>
          <w:b/>
          <w:i w:val="0"/>
          <w:sz w:val="21"/>
        </w:rPr>
      </w:lvl>
    </w:lvlOverride>
    <w:lvlOverride w:ilvl="1">
      <w:lvl w:ilvl="1">
        <w:start w:val="1"/>
        <w:numFmt w:val="decimal"/>
        <w:pStyle w:val="20"/>
        <w:suff w:val="space"/>
        <w:lvlText w:val="%1.%2"/>
        <w:lvlJc w:val="left"/>
        <w:pPr>
          <w:ind w:left="425" w:hanging="425"/>
        </w:pPr>
        <w:rPr>
          <w:rFonts w:ascii="ＭＳ ゴシック" w:eastAsia="ＭＳ ゴシック" w:hint="eastAsia"/>
          <w:b/>
          <w:i w:val="0"/>
          <w:sz w:val="21"/>
        </w:rPr>
      </w:lvl>
    </w:lvlOverride>
    <w:lvlOverride w:ilvl="2">
      <w:lvl w:ilvl="2">
        <w:start w:val="1"/>
        <w:numFmt w:val="decimal"/>
        <w:pStyle w:val="3"/>
        <w:lvlText w:val="%1.%2.%3"/>
        <w:lvlJc w:val="left"/>
        <w:pPr>
          <w:tabs>
            <w:tab w:val="num" w:pos="284"/>
          </w:tabs>
          <w:ind w:left="425" w:hanging="425"/>
        </w:pPr>
        <w:rPr>
          <w:rFonts w:ascii="ＭＳ ゴシック" w:eastAsia="ＭＳ ゴシック" w:hint="eastAsia"/>
          <w:b/>
          <w:i w:val="0"/>
          <w:sz w:val="21"/>
        </w:rPr>
      </w:lvl>
    </w:lvlOverride>
    <w:lvlOverride w:ilvl="3">
      <w:lvl w:ilvl="3">
        <w:start w:val="1"/>
        <w:numFmt w:val="decimal"/>
        <w:pStyle w:val="4"/>
        <w:lvlText w:val="%1.%2.%3.%4"/>
        <w:lvlJc w:val="left"/>
        <w:pPr>
          <w:tabs>
            <w:tab w:val="num" w:pos="284"/>
          </w:tabs>
          <w:ind w:left="425" w:hanging="425"/>
        </w:pPr>
        <w:rPr>
          <w:rFonts w:ascii="ＭＳ ゴシック" w:eastAsia="ＭＳ ゴシック" w:hint="eastAsia"/>
          <w:b/>
          <w:i w:val="0"/>
          <w:sz w:val="21"/>
        </w:rPr>
      </w:lvl>
    </w:lvlOverride>
    <w:lvlOverride w:ilvl="4">
      <w:lvl w:ilvl="4">
        <w:start w:val="1"/>
        <w:numFmt w:val="lowerLetter"/>
        <w:pStyle w:val="5"/>
        <w:lvlText w:val="%5)"/>
        <w:lvlJc w:val="left"/>
        <w:pPr>
          <w:tabs>
            <w:tab w:val="num" w:pos="454"/>
          </w:tabs>
          <w:ind w:left="284" w:hanging="284"/>
        </w:pPr>
        <w:rPr>
          <w:rFonts w:ascii="ＭＳ ゴシック" w:hAnsi="ＭＳ ゴシック" w:hint="eastAsia"/>
          <w:b/>
          <w:i w:val="0"/>
          <w:sz w:val="21"/>
        </w:rPr>
      </w:lvl>
    </w:lvlOverride>
    <w:lvlOverride w:ilvl="5">
      <w:lvl w:ilvl="5">
        <w:start w:val="1"/>
        <w:numFmt w:val="decimal"/>
        <w:pStyle w:val="6"/>
        <w:lvlText w:val="%6)"/>
        <w:lvlJc w:val="left"/>
        <w:pPr>
          <w:tabs>
            <w:tab w:val="num" w:pos="567"/>
          </w:tabs>
          <w:ind w:left="425" w:hanging="255"/>
        </w:pPr>
        <w:rPr>
          <w:rFonts w:ascii="ＭＳ ゴシック" w:hAnsi="ＭＳ ゴシック" w:hint="eastAsia"/>
          <w:b/>
          <w:i w:val="0"/>
          <w:sz w:val="21"/>
        </w:rPr>
      </w:lvl>
    </w:lvlOverride>
    <w:lvlOverride w:ilvl="6">
      <w:lvl w:ilvl="6">
        <w:start w:val="1"/>
        <w:numFmt w:val="decimal"/>
        <w:pStyle w:val="7"/>
        <w:suff w:val="space"/>
        <w:lvlText w:val="%6.%7)"/>
        <w:lvlJc w:val="left"/>
        <w:pPr>
          <w:ind w:left="851" w:hanging="511"/>
        </w:pPr>
        <w:rPr>
          <w:rFonts w:ascii="ＭＳ ゴシック" w:hAnsi="ＭＳ ゴシック" w:hint="eastAsia"/>
          <w:b/>
          <w:i w:val="0"/>
          <w:sz w:val="21"/>
        </w:rPr>
      </w:lvl>
    </w:lvlOverride>
    <w:lvlOverride w:ilvl="7">
      <w:lvl w:ilvl="7">
        <w:start w:val="1"/>
        <w:numFmt w:val="decimal"/>
        <w:pStyle w:val="8"/>
        <w:suff w:val="space"/>
        <w:lvlText w:val="%6.%7.%8)"/>
        <w:lvlJc w:val="left"/>
        <w:pPr>
          <w:ind w:left="1077" w:hanging="623"/>
        </w:pPr>
        <w:rPr>
          <w:rFonts w:ascii="ＭＳ ゴシック" w:hAnsi="ＭＳ ゴシック" w:hint="eastAsia"/>
          <w:b/>
          <w:i w:val="0"/>
          <w:sz w:val="21"/>
        </w:rPr>
      </w:lvl>
    </w:lvlOverride>
    <w:lvlOverride w:ilvl="8">
      <w:lvl w:ilvl="8">
        <w:start w:val="1"/>
        <w:numFmt w:val="decimal"/>
        <w:pStyle w:val="9"/>
        <w:lvlText w:val="%6.%7.%8.%9)"/>
        <w:lvlJc w:val="left"/>
        <w:pPr>
          <w:tabs>
            <w:tab w:val="num" w:pos="851"/>
          </w:tabs>
          <w:ind w:left="425" w:hanging="425"/>
        </w:pPr>
        <w:rPr>
          <w:rFonts w:ascii="ＭＳ ゴシック" w:hAnsi="ＭＳ ゴシック" w:hint="eastAsia"/>
          <w:b/>
          <w:i w:val="0"/>
          <w:sz w:val="21"/>
        </w:rPr>
      </w:lvl>
    </w:lvlOverride>
  </w:num>
  <w:num w:numId="155">
    <w:abstractNumId w:val="345"/>
    <w:lvlOverride w:ilvl="0">
      <w:lvl w:ilvl="0">
        <w:start w:val="1"/>
        <w:numFmt w:val="decimal"/>
        <w:pStyle w:val="10"/>
        <w:lvlText w:val="%1"/>
        <w:lvlJc w:val="left"/>
        <w:pPr>
          <w:ind w:left="425" w:hanging="425"/>
        </w:pPr>
        <w:rPr>
          <w:rFonts w:ascii="ＭＳ ゴシック" w:eastAsia="ＭＳ ゴシック" w:hint="eastAsia"/>
          <w:b/>
          <w:i w:val="0"/>
          <w:sz w:val="21"/>
        </w:rPr>
      </w:lvl>
    </w:lvlOverride>
    <w:lvlOverride w:ilvl="1">
      <w:lvl w:ilvl="1">
        <w:start w:val="1"/>
        <w:numFmt w:val="decimal"/>
        <w:pStyle w:val="20"/>
        <w:suff w:val="space"/>
        <w:lvlText w:val="%1.%2"/>
        <w:lvlJc w:val="left"/>
        <w:pPr>
          <w:ind w:left="425" w:hanging="425"/>
        </w:pPr>
        <w:rPr>
          <w:rFonts w:ascii="ＭＳ ゴシック" w:eastAsia="ＭＳ ゴシック" w:hint="eastAsia"/>
          <w:b/>
          <w:i w:val="0"/>
          <w:sz w:val="21"/>
        </w:rPr>
      </w:lvl>
    </w:lvlOverride>
    <w:lvlOverride w:ilvl="2">
      <w:lvl w:ilvl="2">
        <w:start w:val="1"/>
        <w:numFmt w:val="decimal"/>
        <w:pStyle w:val="3"/>
        <w:lvlText w:val="%1.%2.%3"/>
        <w:lvlJc w:val="left"/>
        <w:pPr>
          <w:tabs>
            <w:tab w:val="num" w:pos="284"/>
          </w:tabs>
          <w:ind w:left="425" w:hanging="425"/>
        </w:pPr>
        <w:rPr>
          <w:rFonts w:ascii="ＭＳ ゴシック" w:eastAsia="ＭＳ ゴシック" w:hint="eastAsia"/>
          <w:b/>
          <w:i w:val="0"/>
          <w:sz w:val="21"/>
        </w:rPr>
      </w:lvl>
    </w:lvlOverride>
    <w:lvlOverride w:ilvl="3">
      <w:lvl w:ilvl="3">
        <w:start w:val="1"/>
        <w:numFmt w:val="decimal"/>
        <w:pStyle w:val="4"/>
        <w:lvlText w:val="%1.%2.%3.%4"/>
        <w:lvlJc w:val="left"/>
        <w:pPr>
          <w:tabs>
            <w:tab w:val="num" w:pos="284"/>
          </w:tabs>
          <w:ind w:left="425" w:hanging="425"/>
        </w:pPr>
        <w:rPr>
          <w:rFonts w:ascii="ＭＳ ゴシック" w:eastAsia="ＭＳ ゴシック" w:hint="eastAsia"/>
          <w:b/>
          <w:i w:val="0"/>
          <w:sz w:val="21"/>
        </w:rPr>
      </w:lvl>
    </w:lvlOverride>
    <w:lvlOverride w:ilvl="4">
      <w:lvl w:ilvl="4">
        <w:start w:val="1"/>
        <w:numFmt w:val="lowerLetter"/>
        <w:pStyle w:val="5"/>
        <w:lvlText w:val="%5)"/>
        <w:lvlJc w:val="left"/>
        <w:pPr>
          <w:tabs>
            <w:tab w:val="num" w:pos="454"/>
          </w:tabs>
          <w:ind w:left="284" w:hanging="284"/>
        </w:pPr>
        <w:rPr>
          <w:rFonts w:ascii="ＭＳ ゴシック" w:hAnsi="ＭＳ ゴシック" w:hint="eastAsia"/>
          <w:b/>
          <w:i w:val="0"/>
          <w:sz w:val="21"/>
        </w:rPr>
      </w:lvl>
    </w:lvlOverride>
    <w:lvlOverride w:ilvl="5">
      <w:lvl w:ilvl="5">
        <w:start w:val="1"/>
        <w:numFmt w:val="decimal"/>
        <w:pStyle w:val="6"/>
        <w:lvlText w:val="%6)"/>
        <w:lvlJc w:val="left"/>
        <w:pPr>
          <w:tabs>
            <w:tab w:val="num" w:pos="567"/>
          </w:tabs>
          <w:ind w:left="425" w:hanging="255"/>
        </w:pPr>
        <w:rPr>
          <w:rFonts w:ascii="ＭＳ ゴシック" w:hAnsi="ＭＳ ゴシック" w:hint="eastAsia"/>
          <w:b/>
          <w:i w:val="0"/>
          <w:sz w:val="21"/>
        </w:rPr>
      </w:lvl>
    </w:lvlOverride>
    <w:lvlOverride w:ilvl="6">
      <w:lvl w:ilvl="6">
        <w:start w:val="1"/>
        <w:numFmt w:val="decimal"/>
        <w:pStyle w:val="7"/>
        <w:suff w:val="space"/>
        <w:lvlText w:val="%6.%7)"/>
        <w:lvlJc w:val="left"/>
        <w:pPr>
          <w:ind w:left="851" w:hanging="511"/>
        </w:pPr>
        <w:rPr>
          <w:rFonts w:ascii="ＭＳ ゴシック" w:hAnsi="ＭＳ ゴシック" w:hint="eastAsia"/>
          <w:b/>
          <w:i w:val="0"/>
          <w:sz w:val="21"/>
        </w:rPr>
      </w:lvl>
    </w:lvlOverride>
    <w:lvlOverride w:ilvl="7">
      <w:lvl w:ilvl="7">
        <w:start w:val="1"/>
        <w:numFmt w:val="decimal"/>
        <w:pStyle w:val="8"/>
        <w:suff w:val="space"/>
        <w:lvlText w:val="%6.%7.%8)"/>
        <w:lvlJc w:val="left"/>
        <w:pPr>
          <w:ind w:left="1077" w:hanging="623"/>
        </w:pPr>
        <w:rPr>
          <w:rFonts w:ascii="ＭＳ ゴシック" w:hAnsi="ＭＳ ゴシック" w:hint="eastAsia"/>
          <w:b/>
          <w:i w:val="0"/>
          <w:sz w:val="21"/>
        </w:rPr>
      </w:lvl>
    </w:lvlOverride>
    <w:lvlOverride w:ilvl="8">
      <w:lvl w:ilvl="8">
        <w:start w:val="1"/>
        <w:numFmt w:val="decimal"/>
        <w:pStyle w:val="9"/>
        <w:lvlText w:val="%6.%7.%8.%9)"/>
        <w:lvlJc w:val="left"/>
        <w:pPr>
          <w:tabs>
            <w:tab w:val="num" w:pos="851"/>
          </w:tabs>
          <w:ind w:left="425" w:hanging="425"/>
        </w:pPr>
        <w:rPr>
          <w:rFonts w:ascii="ＭＳ ゴシック" w:hAnsi="ＭＳ ゴシック" w:hint="eastAsia"/>
          <w:b/>
          <w:i w:val="0"/>
          <w:sz w:val="21"/>
        </w:rPr>
      </w:lvl>
    </w:lvlOverride>
  </w:num>
  <w:num w:numId="156">
    <w:abstractNumId w:val="338"/>
  </w:num>
  <w:num w:numId="157">
    <w:abstractNumId w:val="436"/>
  </w:num>
  <w:num w:numId="158">
    <w:abstractNumId w:val="175"/>
  </w:num>
  <w:num w:numId="159">
    <w:abstractNumId w:val="157"/>
  </w:num>
  <w:num w:numId="160">
    <w:abstractNumId w:val="618"/>
  </w:num>
  <w:num w:numId="161">
    <w:abstractNumId w:val="428"/>
  </w:num>
  <w:num w:numId="162">
    <w:abstractNumId w:val="494"/>
  </w:num>
  <w:num w:numId="163">
    <w:abstractNumId w:val="493"/>
  </w:num>
  <w:num w:numId="164">
    <w:abstractNumId w:val="61"/>
  </w:num>
  <w:num w:numId="165">
    <w:abstractNumId w:val="300"/>
  </w:num>
  <w:num w:numId="166">
    <w:abstractNumId w:val="267"/>
  </w:num>
  <w:num w:numId="167">
    <w:abstractNumId w:val="38"/>
  </w:num>
  <w:num w:numId="168">
    <w:abstractNumId w:val="537"/>
  </w:num>
  <w:num w:numId="169">
    <w:abstractNumId w:val="514"/>
  </w:num>
  <w:num w:numId="170">
    <w:abstractNumId w:val="599"/>
  </w:num>
  <w:num w:numId="171">
    <w:abstractNumId w:val="0"/>
  </w:num>
  <w:num w:numId="172">
    <w:abstractNumId w:val="569"/>
  </w:num>
  <w:num w:numId="173">
    <w:abstractNumId w:val="542"/>
  </w:num>
  <w:num w:numId="174">
    <w:abstractNumId w:val="14"/>
  </w:num>
  <w:num w:numId="175">
    <w:abstractNumId w:val="480"/>
  </w:num>
  <w:num w:numId="176">
    <w:abstractNumId w:val="566"/>
  </w:num>
  <w:num w:numId="177">
    <w:abstractNumId w:val="353"/>
  </w:num>
  <w:num w:numId="178">
    <w:abstractNumId w:val="327"/>
  </w:num>
  <w:num w:numId="179">
    <w:abstractNumId w:val="459"/>
  </w:num>
  <w:num w:numId="180">
    <w:abstractNumId w:val="276"/>
  </w:num>
  <w:num w:numId="181">
    <w:abstractNumId w:val="432"/>
  </w:num>
  <w:num w:numId="182">
    <w:abstractNumId w:val="99"/>
  </w:num>
  <w:num w:numId="183">
    <w:abstractNumId w:val="592"/>
  </w:num>
  <w:num w:numId="184">
    <w:abstractNumId w:val="457"/>
  </w:num>
  <w:num w:numId="185">
    <w:abstractNumId w:val="382"/>
  </w:num>
  <w:num w:numId="186">
    <w:abstractNumId w:val="97"/>
  </w:num>
  <w:num w:numId="187">
    <w:abstractNumId w:val="420"/>
  </w:num>
  <w:num w:numId="188">
    <w:abstractNumId w:val="400"/>
  </w:num>
  <w:num w:numId="189">
    <w:abstractNumId w:val="40"/>
  </w:num>
  <w:num w:numId="190">
    <w:abstractNumId w:val="590"/>
  </w:num>
  <w:num w:numId="191">
    <w:abstractNumId w:val="291"/>
  </w:num>
  <w:num w:numId="192">
    <w:abstractNumId w:val="405"/>
  </w:num>
  <w:num w:numId="193">
    <w:abstractNumId w:val="596"/>
  </w:num>
  <w:num w:numId="194">
    <w:abstractNumId w:val="551"/>
  </w:num>
  <w:num w:numId="195">
    <w:abstractNumId w:val="167"/>
  </w:num>
  <w:num w:numId="196">
    <w:abstractNumId w:val="222"/>
  </w:num>
  <w:num w:numId="197">
    <w:abstractNumId w:val="144"/>
  </w:num>
  <w:num w:numId="198">
    <w:abstractNumId w:val="223"/>
  </w:num>
  <w:num w:numId="199">
    <w:abstractNumId w:val="147"/>
  </w:num>
  <w:num w:numId="200">
    <w:abstractNumId w:val="359"/>
  </w:num>
  <w:num w:numId="201">
    <w:abstractNumId w:val="539"/>
  </w:num>
  <w:num w:numId="202">
    <w:abstractNumId w:val="289"/>
  </w:num>
  <w:num w:numId="203">
    <w:abstractNumId w:val="544"/>
  </w:num>
  <w:num w:numId="204">
    <w:abstractNumId w:val="535"/>
  </w:num>
  <w:num w:numId="205">
    <w:abstractNumId w:val="280"/>
  </w:num>
  <w:num w:numId="206">
    <w:abstractNumId w:val="378"/>
  </w:num>
  <w:num w:numId="207">
    <w:abstractNumId w:val="521"/>
  </w:num>
  <w:num w:numId="208">
    <w:abstractNumId w:val="607"/>
  </w:num>
  <w:num w:numId="209">
    <w:abstractNumId w:val="538"/>
  </w:num>
  <w:num w:numId="210">
    <w:abstractNumId w:val="589"/>
  </w:num>
  <w:num w:numId="211">
    <w:abstractNumId w:val="567"/>
  </w:num>
  <w:num w:numId="212">
    <w:abstractNumId w:val="549"/>
  </w:num>
  <w:num w:numId="213">
    <w:abstractNumId w:val="373"/>
  </w:num>
  <w:num w:numId="214">
    <w:abstractNumId w:val="345"/>
    <w:lvlOverride w:ilvl="0">
      <w:lvl w:ilvl="0">
        <w:start w:val="1"/>
        <w:numFmt w:val="decimal"/>
        <w:pStyle w:val="10"/>
        <w:lvlText w:val="%1"/>
        <w:lvlJc w:val="left"/>
        <w:pPr>
          <w:ind w:left="425" w:hanging="425"/>
        </w:pPr>
        <w:rPr>
          <w:rFonts w:ascii="ＭＳ ゴシック" w:eastAsia="ＭＳ ゴシック" w:hint="eastAsia"/>
          <w:b/>
          <w:i w:val="0"/>
          <w:sz w:val="21"/>
        </w:rPr>
      </w:lvl>
    </w:lvlOverride>
    <w:lvlOverride w:ilvl="1">
      <w:lvl w:ilvl="1">
        <w:start w:val="1"/>
        <w:numFmt w:val="decimal"/>
        <w:pStyle w:val="20"/>
        <w:lvlText w:val="%1.%2"/>
        <w:lvlJc w:val="left"/>
        <w:pPr>
          <w:tabs>
            <w:tab w:val="num" w:pos="397"/>
          </w:tabs>
          <w:ind w:left="425" w:hanging="425"/>
        </w:pPr>
        <w:rPr>
          <w:rFonts w:ascii="ＭＳ ゴシック" w:eastAsia="ＭＳ ゴシック" w:hint="eastAsia"/>
          <w:b/>
          <w:i w:val="0"/>
          <w:sz w:val="21"/>
        </w:rPr>
      </w:lvl>
    </w:lvlOverride>
    <w:lvlOverride w:ilvl="2">
      <w:lvl w:ilvl="2">
        <w:start w:val="1"/>
        <w:numFmt w:val="decimal"/>
        <w:pStyle w:val="3"/>
        <w:lvlText w:val="%1.%2.%3"/>
        <w:lvlJc w:val="left"/>
        <w:pPr>
          <w:tabs>
            <w:tab w:val="num" w:pos="284"/>
          </w:tabs>
          <w:ind w:left="425" w:hanging="425"/>
        </w:pPr>
        <w:rPr>
          <w:rFonts w:ascii="ＭＳ ゴシック" w:eastAsia="ＭＳ ゴシック" w:hint="eastAsia"/>
          <w:b/>
          <w:i w:val="0"/>
          <w:sz w:val="21"/>
        </w:rPr>
      </w:lvl>
    </w:lvlOverride>
    <w:lvlOverride w:ilvl="3">
      <w:lvl w:ilvl="3">
        <w:start w:val="1"/>
        <w:numFmt w:val="decimal"/>
        <w:pStyle w:val="4"/>
        <w:lvlText w:val="%1.%2.%3.%4"/>
        <w:lvlJc w:val="left"/>
        <w:pPr>
          <w:tabs>
            <w:tab w:val="num" w:pos="284"/>
          </w:tabs>
          <w:ind w:left="425" w:hanging="425"/>
        </w:pPr>
        <w:rPr>
          <w:rFonts w:ascii="ＭＳ ゴシック" w:eastAsia="ＭＳ ゴシック" w:hint="eastAsia"/>
          <w:b/>
          <w:i w:val="0"/>
          <w:sz w:val="21"/>
        </w:rPr>
      </w:lvl>
    </w:lvlOverride>
    <w:lvlOverride w:ilvl="4">
      <w:lvl w:ilvl="4">
        <w:start w:val="1"/>
        <w:numFmt w:val="lowerLetter"/>
        <w:pStyle w:val="5"/>
        <w:lvlText w:val="%5)"/>
        <w:lvlJc w:val="left"/>
        <w:pPr>
          <w:tabs>
            <w:tab w:val="num" w:pos="454"/>
          </w:tabs>
          <w:ind w:left="284" w:hanging="284"/>
        </w:pPr>
        <w:rPr>
          <w:rFonts w:ascii="ＭＳ ゴシック" w:hAnsi="ＭＳ ゴシック" w:hint="eastAsia"/>
          <w:b/>
          <w:i w:val="0"/>
          <w:color w:val="auto"/>
          <w:sz w:val="21"/>
        </w:rPr>
      </w:lvl>
    </w:lvlOverride>
    <w:lvlOverride w:ilvl="5">
      <w:lvl w:ilvl="5">
        <w:start w:val="1"/>
        <w:numFmt w:val="decimal"/>
        <w:pStyle w:val="6"/>
        <w:lvlText w:val="%6)"/>
        <w:lvlJc w:val="left"/>
        <w:pPr>
          <w:tabs>
            <w:tab w:val="num" w:pos="823"/>
          </w:tabs>
          <w:ind w:left="681" w:hanging="255"/>
        </w:pPr>
        <w:rPr>
          <w:rFonts w:ascii="ＭＳ ゴシック" w:hAnsi="ＭＳ ゴシック" w:hint="eastAsia"/>
          <w:b/>
          <w:i w:val="0"/>
          <w:sz w:val="21"/>
        </w:rPr>
      </w:lvl>
    </w:lvlOverride>
    <w:lvlOverride w:ilvl="6">
      <w:lvl w:ilvl="6">
        <w:start w:val="1"/>
        <w:numFmt w:val="decimal"/>
        <w:pStyle w:val="7"/>
        <w:suff w:val="space"/>
        <w:lvlText w:val="%6.%7)"/>
        <w:lvlJc w:val="left"/>
        <w:pPr>
          <w:ind w:left="851" w:hanging="511"/>
        </w:pPr>
        <w:rPr>
          <w:rFonts w:ascii="ＭＳ ゴシック" w:hAnsi="ＭＳ ゴシック" w:hint="eastAsia"/>
          <w:b/>
          <w:i w:val="0"/>
          <w:sz w:val="21"/>
        </w:rPr>
      </w:lvl>
    </w:lvlOverride>
    <w:lvlOverride w:ilvl="7">
      <w:lvl w:ilvl="7">
        <w:start w:val="1"/>
        <w:numFmt w:val="decimal"/>
        <w:pStyle w:val="8"/>
        <w:suff w:val="space"/>
        <w:lvlText w:val="%6.%7.%8)"/>
        <w:lvlJc w:val="left"/>
        <w:pPr>
          <w:ind w:left="1077" w:hanging="623"/>
        </w:pPr>
        <w:rPr>
          <w:rFonts w:ascii="ＭＳ ゴシック" w:hAnsi="ＭＳ ゴシック" w:hint="eastAsia"/>
          <w:b/>
          <w:i w:val="0"/>
          <w:sz w:val="21"/>
        </w:rPr>
      </w:lvl>
    </w:lvlOverride>
    <w:lvlOverride w:ilvl="8">
      <w:lvl w:ilvl="8">
        <w:start w:val="1"/>
        <w:numFmt w:val="decimal"/>
        <w:pStyle w:val="9"/>
        <w:lvlText w:val="%6.%7.%8.%9)"/>
        <w:lvlJc w:val="left"/>
        <w:pPr>
          <w:tabs>
            <w:tab w:val="num" w:pos="851"/>
          </w:tabs>
          <w:ind w:left="425" w:hanging="425"/>
        </w:pPr>
        <w:rPr>
          <w:rFonts w:ascii="ＭＳ ゴシック" w:hAnsi="ＭＳ ゴシック" w:hint="eastAsia"/>
          <w:b/>
          <w:i w:val="0"/>
          <w:sz w:val="21"/>
        </w:rPr>
      </w:lvl>
    </w:lvlOverride>
  </w:num>
  <w:num w:numId="215">
    <w:abstractNumId w:val="341"/>
  </w:num>
  <w:num w:numId="216">
    <w:abstractNumId w:val="470"/>
  </w:num>
  <w:num w:numId="217">
    <w:abstractNumId w:val="560"/>
  </w:num>
  <w:num w:numId="218">
    <w:abstractNumId w:val="598"/>
  </w:num>
  <w:num w:numId="219">
    <w:abstractNumId w:val="556"/>
  </w:num>
  <w:num w:numId="220">
    <w:abstractNumId w:val="212"/>
  </w:num>
  <w:num w:numId="221">
    <w:abstractNumId w:val="462"/>
  </w:num>
  <w:num w:numId="222">
    <w:abstractNumId w:val="318"/>
  </w:num>
  <w:num w:numId="223">
    <w:abstractNumId w:val="417"/>
    <w:lvlOverride w:ilvl="0">
      <w:lvl w:ilvl="0">
        <w:start w:val="1"/>
        <w:numFmt w:val="decimal"/>
        <w:pStyle w:val="13"/>
        <w:lvlText w:val="%1"/>
        <w:lvlJc w:val="left"/>
        <w:pPr>
          <w:tabs>
            <w:tab w:val="num" w:pos="284"/>
          </w:tabs>
          <w:ind w:left="425" w:hanging="425"/>
        </w:pPr>
        <w:rPr>
          <w:rFonts w:ascii="ＭＳ ゴシック" w:eastAsia="ＭＳ ゴシック" w:cs="Times New Roman" w:hint="eastAsia"/>
          <w:b/>
          <w:bCs w:val="0"/>
          <w:i w:val="0"/>
          <w:iCs w:val="0"/>
          <w:caps w:val="0"/>
          <w:smallCaps w:val="0"/>
          <w:strike w:val="0"/>
          <w:dstrike w:val="0"/>
          <w:outline w:val="0"/>
          <w:shadow w:val="0"/>
          <w:emboss w:val="0"/>
          <w:imprint w:val="0"/>
          <w:vanish w:val="0"/>
          <w:spacing w:val="0"/>
          <w:position w:val="0"/>
          <w:u w:val="none"/>
          <w:vertAlign w:val="baseline"/>
        </w:rPr>
      </w:lvl>
    </w:lvlOverride>
    <w:lvlOverride w:ilvl="1">
      <w:lvl w:ilvl="1">
        <w:start w:val="1"/>
        <w:numFmt w:val="decimal"/>
        <w:pStyle w:val="110"/>
        <w:lvlText w:val="%1.%2"/>
        <w:lvlJc w:val="left"/>
        <w:pPr>
          <w:tabs>
            <w:tab w:val="num" w:pos="510"/>
          </w:tabs>
          <w:ind w:left="425" w:hanging="425"/>
        </w:pPr>
        <w:rPr>
          <w:rFonts w:ascii="ＭＳ ゴシック" w:eastAsia="ＭＳ ゴシック" w:cs="Times New Roman" w:hint="eastAsia"/>
          <w:b/>
          <w:bCs w:val="0"/>
          <w:i w:val="0"/>
          <w:iCs w:val="0"/>
          <w:caps w:val="0"/>
          <w:smallCaps w:val="0"/>
          <w:strike w:val="0"/>
          <w:dstrike w:val="0"/>
          <w:outline w:val="0"/>
          <w:shadow w:val="0"/>
          <w:emboss w:val="0"/>
          <w:imprint w:val="0"/>
          <w:vanish w:val="0"/>
          <w:spacing w:val="0"/>
          <w:position w:val="0"/>
          <w:u w:val="none"/>
          <w:vertAlign w:val="baseline"/>
        </w:rPr>
      </w:lvl>
    </w:lvlOverride>
    <w:lvlOverride w:ilvl="2">
      <w:lvl w:ilvl="2">
        <w:start w:val="1"/>
        <w:numFmt w:val="decimal"/>
        <w:pStyle w:val="111"/>
        <w:lvlText w:val="%1.%2.%3"/>
        <w:lvlJc w:val="left"/>
        <w:pPr>
          <w:ind w:left="425" w:hanging="425"/>
        </w:pPr>
        <w:rPr>
          <w:rFonts w:cs="Times New Roman" w:hint="eastAsia"/>
        </w:rPr>
      </w:lvl>
    </w:lvlOverride>
    <w:lvlOverride w:ilvl="3">
      <w:lvl w:ilvl="3">
        <w:start w:val="1"/>
        <w:numFmt w:val="decimal"/>
        <w:pStyle w:val="1111"/>
        <w:lvlText w:val="%1.%2.%3.%4"/>
        <w:lvlJc w:val="left"/>
        <w:pPr>
          <w:ind w:left="425" w:hanging="425"/>
        </w:pPr>
        <w:rPr>
          <w:rFonts w:cs="Times New Roman" w:hint="eastAsia"/>
        </w:rPr>
      </w:lvl>
    </w:lvlOverride>
    <w:lvlOverride w:ilvl="4">
      <w:lvl w:ilvl="4">
        <w:start w:val="1"/>
        <w:numFmt w:val="decimal"/>
        <w:lvlText w:val="%1.%2.%3.%4.%5"/>
        <w:lvlJc w:val="left"/>
        <w:pPr>
          <w:ind w:left="2551" w:hanging="850"/>
        </w:pPr>
        <w:rPr>
          <w:rFonts w:cs="Times New Roman" w:hint="eastAsia"/>
        </w:rPr>
      </w:lvl>
    </w:lvlOverride>
    <w:lvlOverride w:ilvl="5">
      <w:lvl w:ilvl="5">
        <w:start w:val="1"/>
        <w:numFmt w:val="decimal"/>
        <w:lvlText w:val="%1.%2.%3.%4.%5.%6"/>
        <w:lvlJc w:val="left"/>
        <w:pPr>
          <w:ind w:left="3260" w:hanging="1134"/>
        </w:pPr>
        <w:rPr>
          <w:rFonts w:cs="Times New Roman" w:hint="eastAsia"/>
        </w:rPr>
      </w:lvl>
    </w:lvlOverride>
    <w:lvlOverride w:ilvl="6">
      <w:lvl w:ilvl="6">
        <w:start w:val="1"/>
        <w:numFmt w:val="decimal"/>
        <w:lvlText w:val="%1.%2.%3.%4.%5.%6.%7"/>
        <w:lvlJc w:val="left"/>
        <w:pPr>
          <w:ind w:left="3827" w:hanging="1276"/>
        </w:pPr>
        <w:rPr>
          <w:rFonts w:cs="Times New Roman" w:hint="eastAsia"/>
        </w:rPr>
      </w:lvl>
    </w:lvlOverride>
    <w:lvlOverride w:ilvl="7">
      <w:lvl w:ilvl="7">
        <w:start w:val="1"/>
        <w:numFmt w:val="decimal"/>
        <w:lvlText w:val="%1.%2.%3.%4.%5.%6.%7.%8"/>
        <w:lvlJc w:val="left"/>
        <w:pPr>
          <w:ind w:left="4394" w:hanging="1418"/>
        </w:pPr>
        <w:rPr>
          <w:rFonts w:cs="Times New Roman" w:hint="eastAsia"/>
        </w:rPr>
      </w:lvl>
    </w:lvlOverride>
    <w:lvlOverride w:ilvl="8">
      <w:lvl w:ilvl="8">
        <w:start w:val="1"/>
        <w:numFmt w:val="decimal"/>
        <w:lvlText w:val="%1.%2.%3.%4.%5.%6.%7.%8.%9"/>
        <w:lvlJc w:val="left"/>
        <w:pPr>
          <w:ind w:left="5102" w:hanging="1700"/>
        </w:pPr>
        <w:rPr>
          <w:rFonts w:cs="Times New Roman" w:hint="eastAsia"/>
        </w:rPr>
      </w:lvl>
    </w:lvlOverride>
  </w:num>
  <w:num w:numId="224">
    <w:abstractNumId w:val="153"/>
  </w:num>
  <w:num w:numId="225">
    <w:abstractNumId w:val="417"/>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293"/>
    <w:lvlOverride w:ilvl="0">
      <w:startOverride w:val="1"/>
      <w:lvl w:ilvl="0">
        <w:start w:val="1"/>
        <w:numFmt w:val="decimal"/>
        <w:suff w:val="nothing"/>
        <w:lvlText w:val="%1　"/>
        <w:lvlJc w:val="left"/>
        <w:rPr>
          <w:rFonts w:cs="Times New Roman" w:hint="eastAsia"/>
          <w:b/>
          <w:i w:val="0"/>
          <w:sz w:val="21"/>
        </w:rPr>
      </w:lvl>
    </w:lvlOverride>
    <w:lvlOverride w:ilvl="1">
      <w:startOverride w:val="1"/>
      <w:lvl w:ilvl="1">
        <w:start w:val="1"/>
        <w:numFmt w:val="decimal"/>
        <w:pStyle w:val="11"/>
        <w:suff w:val="nothing"/>
        <w:lvlText w:val="%1.%2　"/>
        <w:lvlJc w:val="left"/>
        <w:rPr>
          <w:rFonts w:ascii="ＭＳ ゴシック" w:eastAsia="ＭＳ ゴシック" w:hAnsi="ＭＳ ゴシック" w:cs="Times New Roman" w:hint="eastAsia"/>
          <w:b/>
          <w:i w:val="0"/>
          <w:sz w:val="21"/>
        </w:rPr>
      </w:lvl>
    </w:lvlOverride>
    <w:lvlOverride w:ilvl="2">
      <w:startOverride w:val="1"/>
      <w:lvl w:ilvl="2">
        <w:start w:val="1"/>
        <w:numFmt w:val="decimal"/>
        <w:suff w:val="nothing"/>
        <w:lvlText w:val="%1.%2.%3　"/>
        <w:lvlJc w:val="left"/>
        <w:rPr>
          <w:rFonts w:ascii="ＭＳ ゴシック" w:eastAsia="ＭＳ ゴシック" w:hAnsi="ＭＳ ゴシック" w:cs="Times New Roman" w:hint="eastAsia"/>
          <w:b/>
          <w:i w:val="0"/>
          <w:sz w:val="21"/>
        </w:rPr>
      </w:lvl>
    </w:lvlOverride>
    <w:lvlOverride w:ilvl="3">
      <w:startOverride w:val="1"/>
      <w:lvl w:ilvl="3">
        <w:start w:val="1"/>
        <w:numFmt w:val="lowerLetter"/>
        <w:lvlText w:val="(%4) "/>
        <w:lvlJc w:val="left"/>
        <w:pPr>
          <w:tabs>
            <w:tab w:val="num" w:pos="-183"/>
          </w:tabs>
          <w:ind w:left="674" w:hanging="227"/>
        </w:pPr>
        <w:rPr>
          <w:rFonts w:cs="Times New Roman" w:hint="eastAsia"/>
        </w:rPr>
      </w:lvl>
    </w:lvlOverride>
    <w:lvlOverride w:ilvl="4">
      <w:startOverride w:val="1"/>
      <w:lvl w:ilvl="4">
        <w:start w:val="1"/>
        <w:numFmt w:val="aiueo"/>
        <w:lvlText w:val="%5 "/>
        <w:lvlJc w:val="left"/>
        <w:pPr>
          <w:tabs>
            <w:tab w:val="num" w:pos="-183"/>
          </w:tabs>
          <w:ind w:left="884" w:hanging="227"/>
        </w:pPr>
        <w:rPr>
          <w:rFonts w:cs="Times New Roman" w:hint="eastAsia"/>
        </w:rPr>
      </w:lvl>
    </w:lvlOverride>
    <w:lvlOverride w:ilvl="5">
      <w:startOverride w:val="1"/>
      <w:lvl w:ilvl="5">
        <w:start w:val="1"/>
        <w:numFmt w:val="aiueo"/>
        <w:lvlText w:val="(%6) "/>
        <w:lvlJc w:val="left"/>
        <w:pPr>
          <w:tabs>
            <w:tab w:val="num" w:pos="-183"/>
          </w:tabs>
          <w:ind w:left="1094" w:hanging="227"/>
        </w:pPr>
        <w:rPr>
          <w:rFonts w:cs="Times New Roman" w:hint="eastAsia"/>
          <w:b w:val="0"/>
          <w:bCs w:val="0"/>
          <w:i w:val="0"/>
          <w:iCs w:val="0"/>
          <w:caps w:val="0"/>
          <w:smallCaps w:val="0"/>
          <w:strike w:val="0"/>
          <w:dstrike w:val="0"/>
          <w:outline w:val="0"/>
          <w:shadow w:val="0"/>
          <w:emboss w:val="0"/>
          <w:imprint w:val="0"/>
          <w:vanish w:val="0"/>
          <w:spacing w:val="0"/>
          <w:position w:val="0"/>
          <w:u w:val="none"/>
          <w:vertAlign w:val="baseline"/>
        </w:rPr>
      </w:lvl>
    </w:lvlOverride>
    <w:lvlOverride w:ilvl="6">
      <w:startOverride w:val="1"/>
      <w:lvl w:ilvl="6">
        <w:start w:val="1"/>
        <w:numFmt w:val="decimal"/>
        <w:lvlText w:val="(%6) .%7"/>
        <w:lvlJc w:val="left"/>
        <w:pPr>
          <w:tabs>
            <w:tab w:val="num" w:pos="-183"/>
          </w:tabs>
          <w:ind w:left="1797" w:hanging="425"/>
        </w:pPr>
        <w:rPr>
          <w:rFonts w:cs="Times New Roman" w:hint="eastAsia"/>
        </w:rPr>
      </w:lvl>
    </w:lvlOverride>
    <w:lvlOverride w:ilvl="7">
      <w:startOverride w:val="1"/>
      <w:lvl w:ilvl="7">
        <w:start w:val="1"/>
        <w:numFmt w:val="decimal"/>
        <w:lvlText w:val="(%6) .%7.%8"/>
        <w:lvlJc w:val="left"/>
        <w:pPr>
          <w:tabs>
            <w:tab w:val="num" w:pos="-183"/>
          </w:tabs>
          <w:ind w:left="2222" w:hanging="425"/>
        </w:pPr>
        <w:rPr>
          <w:rFonts w:cs="Times New Roman" w:hint="eastAsia"/>
        </w:rPr>
      </w:lvl>
    </w:lvlOverride>
    <w:lvlOverride w:ilvl="8">
      <w:startOverride w:val="1"/>
      <w:lvl w:ilvl="8">
        <w:start w:val="1"/>
        <w:numFmt w:val="decimal"/>
        <w:lvlText w:val="(%6) .%7.%8.%9"/>
        <w:lvlJc w:val="left"/>
        <w:pPr>
          <w:tabs>
            <w:tab w:val="num" w:pos="-183"/>
          </w:tabs>
          <w:ind w:left="2647" w:hanging="425"/>
        </w:pPr>
        <w:rPr>
          <w:rFonts w:cs="Times New Roman" w:hint="eastAsia"/>
        </w:rPr>
      </w:lvl>
    </w:lvlOverride>
  </w:num>
  <w:num w:numId="227">
    <w:abstractNumId w:val="417"/>
    <w:lvlOverride w:ilvl="0">
      <w:startOverride w:val="1"/>
      <w:lvl w:ilvl="0">
        <w:start w:val="1"/>
        <w:numFmt w:val="decimal"/>
        <w:pStyle w:val="13"/>
        <w:lvlText w:val="%1"/>
        <w:lvlJc w:val="left"/>
        <w:pPr>
          <w:tabs>
            <w:tab w:val="num" w:pos="284"/>
          </w:tabs>
          <w:ind w:left="425" w:hanging="425"/>
        </w:pPr>
        <w:rPr>
          <w:rFonts w:ascii="ＭＳ ゴシック" w:eastAsia="ＭＳ ゴシック" w:cs="Times New Roman" w:hint="eastAsia"/>
          <w:b/>
          <w:bCs w:val="0"/>
          <w:i w:val="0"/>
          <w:iCs w:val="0"/>
          <w:caps w:val="0"/>
          <w:smallCaps w:val="0"/>
          <w:strike w:val="0"/>
          <w:dstrike w:val="0"/>
          <w:outline w:val="0"/>
          <w:shadow w:val="0"/>
          <w:emboss w:val="0"/>
          <w:imprint w:val="0"/>
          <w:vanish w:val="0"/>
          <w:spacing w:val="0"/>
          <w:position w:val="0"/>
          <w:u w:val="none"/>
          <w:vertAlign w:val="baseline"/>
        </w:rPr>
      </w:lvl>
    </w:lvlOverride>
    <w:lvlOverride w:ilvl="1">
      <w:startOverride w:val="1"/>
      <w:lvl w:ilvl="1">
        <w:start w:val="1"/>
        <w:numFmt w:val="decimal"/>
        <w:pStyle w:val="110"/>
        <w:lvlText w:val="%1.%2"/>
        <w:lvlJc w:val="left"/>
        <w:pPr>
          <w:tabs>
            <w:tab w:val="num" w:pos="510"/>
          </w:tabs>
          <w:ind w:left="425" w:hanging="425"/>
        </w:pPr>
        <w:rPr>
          <w:rFonts w:ascii="ＭＳ ゴシック" w:eastAsia="ＭＳ ゴシック" w:cs="Times New Roman" w:hint="eastAsia"/>
          <w:b/>
          <w:bCs w:val="0"/>
          <w:i w:val="0"/>
          <w:iCs w:val="0"/>
          <w:caps w:val="0"/>
          <w:smallCaps w:val="0"/>
          <w:strike w:val="0"/>
          <w:dstrike w:val="0"/>
          <w:outline w:val="0"/>
          <w:shadow w:val="0"/>
          <w:emboss w:val="0"/>
          <w:imprint w:val="0"/>
          <w:vanish w:val="0"/>
          <w:spacing w:val="0"/>
          <w:position w:val="0"/>
          <w:u w:val="none"/>
          <w:vertAlign w:val="baseline"/>
        </w:rPr>
      </w:lvl>
    </w:lvlOverride>
    <w:lvlOverride w:ilvl="2">
      <w:startOverride w:val="1"/>
      <w:lvl w:ilvl="2">
        <w:start w:val="1"/>
        <w:numFmt w:val="decimal"/>
        <w:pStyle w:val="111"/>
        <w:lvlText w:val="%1.%2.%3"/>
        <w:lvlJc w:val="left"/>
        <w:pPr>
          <w:ind w:left="425" w:hanging="425"/>
        </w:pPr>
        <w:rPr>
          <w:rFonts w:cs="Times New Roman" w:hint="eastAsia"/>
        </w:rPr>
      </w:lvl>
    </w:lvlOverride>
    <w:lvlOverride w:ilvl="3">
      <w:startOverride w:val="1"/>
      <w:lvl w:ilvl="3">
        <w:start w:val="1"/>
        <w:numFmt w:val="decimal"/>
        <w:pStyle w:val="1111"/>
        <w:lvlText w:val="%1.%2.%3.%4"/>
        <w:lvlJc w:val="left"/>
        <w:pPr>
          <w:ind w:left="425" w:hanging="425"/>
        </w:pPr>
        <w:rPr>
          <w:rFonts w:cs="Times New Roman" w:hint="eastAsia"/>
        </w:rPr>
      </w:lvl>
    </w:lvlOverride>
    <w:lvlOverride w:ilvl="4">
      <w:startOverride w:val="1"/>
      <w:lvl w:ilvl="4">
        <w:start w:val="1"/>
        <w:numFmt w:val="decimal"/>
        <w:lvlText w:val="%1.%2.%3.%4.%5"/>
        <w:lvlJc w:val="left"/>
        <w:pPr>
          <w:ind w:left="2551" w:hanging="850"/>
        </w:pPr>
        <w:rPr>
          <w:rFonts w:cs="Times New Roman" w:hint="eastAsia"/>
        </w:rPr>
      </w:lvl>
    </w:lvlOverride>
    <w:lvlOverride w:ilvl="5">
      <w:startOverride w:val="1"/>
      <w:lvl w:ilvl="5">
        <w:start w:val="1"/>
        <w:numFmt w:val="decimal"/>
        <w:lvlText w:val="%1.%2.%3.%4.%5.%6"/>
        <w:lvlJc w:val="left"/>
        <w:pPr>
          <w:ind w:left="3260" w:hanging="1134"/>
        </w:pPr>
        <w:rPr>
          <w:rFonts w:cs="Times New Roman" w:hint="eastAsia"/>
        </w:rPr>
      </w:lvl>
    </w:lvlOverride>
    <w:lvlOverride w:ilvl="6">
      <w:startOverride w:val="1"/>
      <w:lvl w:ilvl="6">
        <w:start w:val="1"/>
        <w:numFmt w:val="decimal"/>
        <w:lvlText w:val="%1.%2.%3.%4.%5.%6.%7"/>
        <w:lvlJc w:val="left"/>
        <w:pPr>
          <w:ind w:left="3827" w:hanging="1276"/>
        </w:pPr>
        <w:rPr>
          <w:rFonts w:cs="Times New Roman" w:hint="eastAsia"/>
        </w:rPr>
      </w:lvl>
    </w:lvlOverride>
    <w:lvlOverride w:ilvl="7">
      <w:startOverride w:val="1"/>
      <w:lvl w:ilvl="7">
        <w:start w:val="1"/>
        <w:numFmt w:val="decimal"/>
        <w:lvlText w:val="%1.%2.%3.%4.%5.%6.%7.%8"/>
        <w:lvlJc w:val="left"/>
        <w:pPr>
          <w:ind w:left="4394" w:hanging="1418"/>
        </w:pPr>
        <w:rPr>
          <w:rFonts w:cs="Times New Roman" w:hint="eastAsia"/>
        </w:rPr>
      </w:lvl>
    </w:lvlOverride>
    <w:lvlOverride w:ilvl="8">
      <w:startOverride w:val="1"/>
      <w:lvl w:ilvl="8">
        <w:start w:val="1"/>
        <w:numFmt w:val="decimal"/>
        <w:lvlText w:val="%1.%2.%3.%4.%5.%6.%7.%8.%9"/>
        <w:lvlJc w:val="left"/>
        <w:pPr>
          <w:ind w:left="5102" w:hanging="1700"/>
        </w:pPr>
        <w:rPr>
          <w:rFonts w:cs="Times New Roman" w:hint="eastAsia"/>
        </w:rPr>
      </w:lvl>
    </w:lvlOverride>
  </w:num>
  <w:num w:numId="228">
    <w:abstractNumId w:val="2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4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506"/>
  </w:num>
  <w:num w:numId="231">
    <w:abstractNumId w:val="138"/>
  </w:num>
  <w:num w:numId="232">
    <w:abstractNumId w:val="50"/>
  </w:num>
  <w:num w:numId="233">
    <w:abstractNumId w:val="188"/>
  </w:num>
  <w:num w:numId="234">
    <w:abstractNumId w:val="201"/>
  </w:num>
  <w:num w:numId="235">
    <w:abstractNumId w:val="444"/>
  </w:num>
  <w:num w:numId="236">
    <w:abstractNumId w:val="489"/>
  </w:num>
  <w:num w:numId="237">
    <w:abstractNumId w:val="306"/>
  </w:num>
  <w:num w:numId="238">
    <w:abstractNumId w:val="168"/>
  </w:num>
  <w:num w:numId="239">
    <w:abstractNumId w:val="452"/>
  </w:num>
  <w:num w:numId="240">
    <w:abstractNumId w:val="529"/>
  </w:num>
  <w:num w:numId="241">
    <w:abstractNumId w:val="252"/>
  </w:num>
  <w:num w:numId="242">
    <w:abstractNumId w:val="27"/>
  </w:num>
  <w:num w:numId="243">
    <w:abstractNumId w:val="4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417"/>
    <w:lvlOverride w:ilvl="0">
      <w:startOverride w:val="1"/>
      <w:lvl w:ilvl="0">
        <w:start w:val="1"/>
        <w:numFmt w:val="decimal"/>
        <w:pStyle w:val="13"/>
        <w:lvlText w:val="%1"/>
        <w:lvlJc w:val="left"/>
        <w:pPr>
          <w:tabs>
            <w:tab w:val="num" w:pos="284"/>
          </w:tabs>
          <w:ind w:left="425" w:hanging="425"/>
        </w:pPr>
        <w:rPr>
          <w:rFonts w:ascii="ＭＳ ゴシック" w:eastAsia="ＭＳ ゴシック" w:cs="Times New Roman" w:hint="eastAsia"/>
          <w:b/>
          <w:bCs w:val="0"/>
          <w:i w:val="0"/>
          <w:iCs w:val="0"/>
          <w:caps w:val="0"/>
          <w:smallCaps w:val="0"/>
          <w:strike w:val="0"/>
          <w:dstrike w:val="0"/>
          <w:outline w:val="0"/>
          <w:shadow w:val="0"/>
          <w:emboss w:val="0"/>
          <w:imprint w:val="0"/>
          <w:vanish w:val="0"/>
          <w:spacing w:val="0"/>
          <w:position w:val="0"/>
          <w:u w:val="none"/>
          <w:vertAlign w:val="baseline"/>
        </w:rPr>
      </w:lvl>
    </w:lvlOverride>
    <w:lvlOverride w:ilvl="1">
      <w:startOverride w:val="1"/>
      <w:lvl w:ilvl="1">
        <w:start w:val="1"/>
        <w:numFmt w:val="decimal"/>
        <w:pStyle w:val="110"/>
        <w:lvlText w:val="%1.%2"/>
        <w:lvlJc w:val="left"/>
        <w:pPr>
          <w:tabs>
            <w:tab w:val="num" w:pos="510"/>
          </w:tabs>
          <w:ind w:left="425" w:hanging="425"/>
        </w:pPr>
        <w:rPr>
          <w:rFonts w:ascii="ＭＳ ゴシック" w:eastAsia="ＭＳ ゴシック" w:cs="Times New Roman" w:hint="eastAsia"/>
          <w:b/>
          <w:bCs w:val="0"/>
          <w:i w:val="0"/>
          <w:iCs w:val="0"/>
          <w:caps w:val="0"/>
          <w:smallCaps w:val="0"/>
          <w:strike w:val="0"/>
          <w:dstrike w:val="0"/>
          <w:outline w:val="0"/>
          <w:shadow w:val="0"/>
          <w:emboss w:val="0"/>
          <w:imprint w:val="0"/>
          <w:vanish w:val="0"/>
          <w:spacing w:val="0"/>
          <w:position w:val="0"/>
          <w:u w:val="none"/>
          <w:vertAlign w:val="baseline"/>
        </w:rPr>
      </w:lvl>
    </w:lvlOverride>
    <w:lvlOverride w:ilvl="2">
      <w:startOverride w:val="1"/>
      <w:lvl w:ilvl="2">
        <w:start w:val="1"/>
        <w:numFmt w:val="decimal"/>
        <w:pStyle w:val="111"/>
        <w:lvlText w:val="%1.%2.%3"/>
        <w:lvlJc w:val="left"/>
        <w:pPr>
          <w:ind w:left="425" w:hanging="425"/>
        </w:pPr>
        <w:rPr>
          <w:rFonts w:cs="Times New Roman" w:hint="eastAsia"/>
        </w:rPr>
      </w:lvl>
    </w:lvlOverride>
    <w:lvlOverride w:ilvl="3">
      <w:startOverride w:val="1"/>
      <w:lvl w:ilvl="3">
        <w:start w:val="1"/>
        <w:numFmt w:val="decimal"/>
        <w:pStyle w:val="1111"/>
        <w:lvlText w:val="%1.%2.%3.%4"/>
        <w:lvlJc w:val="left"/>
        <w:pPr>
          <w:ind w:left="425" w:hanging="425"/>
        </w:pPr>
        <w:rPr>
          <w:rFonts w:cs="Times New Roman" w:hint="eastAsia"/>
        </w:rPr>
      </w:lvl>
    </w:lvlOverride>
    <w:lvlOverride w:ilvl="4">
      <w:startOverride w:val="1"/>
      <w:lvl w:ilvl="4">
        <w:start w:val="1"/>
        <w:numFmt w:val="decimal"/>
        <w:lvlText w:val="%1.%2.%3.%4.%5"/>
        <w:lvlJc w:val="left"/>
        <w:pPr>
          <w:ind w:left="2551" w:hanging="850"/>
        </w:pPr>
        <w:rPr>
          <w:rFonts w:cs="Times New Roman" w:hint="eastAsia"/>
        </w:rPr>
      </w:lvl>
    </w:lvlOverride>
    <w:lvlOverride w:ilvl="5">
      <w:startOverride w:val="1"/>
      <w:lvl w:ilvl="5">
        <w:start w:val="1"/>
        <w:numFmt w:val="decimal"/>
        <w:lvlText w:val="%1.%2.%3.%4.%5.%6"/>
        <w:lvlJc w:val="left"/>
        <w:pPr>
          <w:ind w:left="3260" w:hanging="1134"/>
        </w:pPr>
        <w:rPr>
          <w:rFonts w:cs="Times New Roman" w:hint="eastAsia"/>
        </w:rPr>
      </w:lvl>
    </w:lvlOverride>
    <w:lvlOverride w:ilvl="6">
      <w:startOverride w:val="1"/>
      <w:lvl w:ilvl="6">
        <w:start w:val="1"/>
        <w:numFmt w:val="decimal"/>
        <w:lvlText w:val="%1.%2.%3.%4.%5.%6.%7"/>
        <w:lvlJc w:val="left"/>
        <w:pPr>
          <w:ind w:left="3827" w:hanging="1276"/>
        </w:pPr>
        <w:rPr>
          <w:rFonts w:cs="Times New Roman" w:hint="eastAsia"/>
        </w:rPr>
      </w:lvl>
    </w:lvlOverride>
    <w:lvlOverride w:ilvl="7">
      <w:startOverride w:val="1"/>
      <w:lvl w:ilvl="7">
        <w:start w:val="1"/>
        <w:numFmt w:val="decimal"/>
        <w:lvlText w:val="%1.%2.%3.%4.%5.%6.%7.%8"/>
        <w:lvlJc w:val="left"/>
        <w:pPr>
          <w:ind w:left="4394" w:hanging="1418"/>
        </w:pPr>
        <w:rPr>
          <w:rFonts w:cs="Times New Roman" w:hint="eastAsia"/>
        </w:rPr>
      </w:lvl>
    </w:lvlOverride>
    <w:lvlOverride w:ilvl="8">
      <w:startOverride w:val="1"/>
      <w:lvl w:ilvl="8">
        <w:start w:val="1"/>
        <w:numFmt w:val="decimal"/>
        <w:lvlText w:val="%1.%2.%3.%4.%5.%6.%7.%8.%9"/>
        <w:lvlJc w:val="left"/>
        <w:pPr>
          <w:ind w:left="5102" w:hanging="1700"/>
        </w:pPr>
        <w:rPr>
          <w:rFonts w:cs="Times New Roman" w:hint="eastAsia"/>
        </w:rPr>
      </w:lvl>
    </w:lvlOverride>
  </w:num>
  <w:num w:numId="245">
    <w:abstractNumId w:val="4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380"/>
  </w:num>
  <w:num w:numId="247">
    <w:abstractNumId w:val="41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4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384"/>
  </w:num>
  <w:num w:numId="250">
    <w:abstractNumId w:val="4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433"/>
  </w:num>
  <w:num w:numId="252">
    <w:abstractNumId w:val="49"/>
  </w:num>
  <w:num w:numId="253">
    <w:abstractNumId w:val="4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5"/>
  </w:num>
  <w:num w:numId="255">
    <w:abstractNumId w:val="176"/>
  </w:num>
  <w:num w:numId="256">
    <w:abstractNumId w:val="303"/>
  </w:num>
  <w:num w:numId="257">
    <w:abstractNumId w:val="260"/>
  </w:num>
  <w:num w:numId="258">
    <w:abstractNumId w:val="553"/>
  </w:num>
  <w:num w:numId="259">
    <w:abstractNumId w:val="108"/>
  </w:num>
  <w:num w:numId="260">
    <w:abstractNumId w:val="269"/>
  </w:num>
  <w:num w:numId="261">
    <w:abstractNumId w:val="419"/>
  </w:num>
  <w:num w:numId="262">
    <w:abstractNumId w:val="256"/>
  </w:num>
  <w:num w:numId="263">
    <w:abstractNumId w:val="32"/>
  </w:num>
  <w:num w:numId="264">
    <w:abstractNumId w:val="154"/>
  </w:num>
  <w:num w:numId="265">
    <w:abstractNumId w:val="629"/>
  </w:num>
  <w:num w:numId="266">
    <w:abstractNumId w:val="308"/>
  </w:num>
  <w:num w:numId="267">
    <w:abstractNumId w:val="394"/>
  </w:num>
  <w:num w:numId="268">
    <w:abstractNumId w:val="218"/>
  </w:num>
  <w:num w:numId="269">
    <w:abstractNumId w:val="315"/>
  </w:num>
  <w:num w:numId="270">
    <w:abstractNumId w:val="245"/>
  </w:num>
  <w:num w:numId="271">
    <w:abstractNumId w:val="595"/>
  </w:num>
  <w:num w:numId="272">
    <w:abstractNumId w:val="602"/>
  </w:num>
  <w:num w:numId="273">
    <w:abstractNumId w:val="374"/>
  </w:num>
  <w:num w:numId="274">
    <w:abstractNumId w:val="225"/>
  </w:num>
  <w:num w:numId="275">
    <w:abstractNumId w:val="192"/>
  </w:num>
  <w:num w:numId="276">
    <w:abstractNumId w:val="557"/>
  </w:num>
  <w:num w:numId="277">
    <w:abstractNumId w:val="193"/>
  </w:num>
  <w:num w:numId="278">
    <w:abstractNumId w:val="486"/>
  </w:num>
  <w:num w:numId="279">
    <w:abstractNumId w:val="571"/>
  </w:num>
  <w:num w:numId="280">
    <w:abstractNumId w:val="388"/>
  </w:num>
  <w:num w:numId="281">
    <w:abstractNumId w:val="202"/>
  </w:num>
  <w:num w:numId="282">
    <w:abstractNumId w:val="346"/>
  </w:num>
  <w:num w:numId="283">
    <w:abstractNumId w:val="119"/>
  </w:num>
  <w:num w:numId="284">
    <w:abstractNumId w:val="172"/>
  </w:num>
  <w:num w:numId="285">
    <w:abstractNumId w:val="446"/>
  </w:num>
  <w:num w:numId="286">
    <w:abstractNumId w:val="104"/>
  </w:num>
  <w:num w:numId="287">
    <w:abstractNumId w:val="237"/>
  </w:num>
  <w:num w:numId="288">
    <w:abstractNumId w:val="395"/>
  </w:num>
  <w:num w:numId="289">
    <w:abstractNumId w:val="273"/>
  </w:num>
  <w:num w:numId="290">
    <w:abstractNumId w:val="263"/>
  </w:num>
  <w:num w:numId="291">
    <w:abstractNumId w:val="197"/>
  </w:num>
  <w:num w:numId="292">
    <w:abstractNumId w:val="54"/>
  </w:num>
  <w:num w:numId="293">
    <w:abstractNumId w:val="351"/>
  </w:num>
  <w:num w:numId="294">
    <w:abstractNumId w:val="5"/>
  </w:num>
  <w:num w:numId="295">
    <w:abstractNumId w:val="372"/>
  </w:num>
  <w:num w:numId="296">
    <w:abstractNumId w:val="431"/>
  </w:num>
  <w:num w:numId="297">
    <w:abstractNumId w:val="352"/>
  </w:num>
  <w:num w:numId="298">
    <w:abstractNumId w:val="9"/>
  </w:num>
  <w:num w:numId="299">
    <w:abstractNumId w:val="81"/>
  </w:num>
  <w:num w:numId="300">
    <w:abstractNumId w:val="616"/>
  </w:num>
  <w:num w:numId="301">
    <w:abstractNumId w:val="350"/>
  </w:num>
  <w:num w:numId="302">
    <w:abstractNumId w:val="461"/>
  </w:num>
  <w:num w:numId="303">
    <w:abstractNumId w:val="10"/>
  </w:num>
  <w:num w:numId="304">
    <w:abstractNumId w:val="392"/>
  </w:num>
  <w:num w:numId="305">
    <w:abstractNumId w:val="577"/>
  </w:num>
  <w:num w:numId="306">
    <w:abstractNumId w:val="23"/>
  </w:num>
  <w:num w:numId="307">
    <w:abstractNumId w:val="349"/>
  </w:num>
  <w:num w:numId="308">
    <w:abstractNumId w:val="80"/>
  </w:num>
  <w:num w:numId="309">
    <w:abstractNumId w:val="344"/>
  </w:num>
  <w:num w:numId="310">
    <w:abstractNumId w:val="387"/>
  </w:num>
  <w:num w:numId="311">
    <w:abstractNumId w:val="492"/>
  </w:num>
  <w:num w:numId="312">
    <w:abstractNumId w:val="46"/>
  </w:num>
  <w:num w:numId="313">
    <w:abstractNumId w:val="573"/>
  </w:num>
  <w:num w:numId="314">
    <w:abstractNumId w:val="396"/>
  </w:num>
  <w:num w:numId="315">
    <w:abstractNumId w:val="102"/>
  </w:num>
  <w:num w:numId="316">
    <w:abstractNumId w:val="485"/>
  </w:num>
  <w:num w:numId="317">
    <w:abstractNumId w:val="58"/>
  </w:num>
  <w:num w:numId="318">
    <w:abstractNumId w:val="150"/>
  </w:num>
  <w:num w:numId="319">
    <w:abstractNumId w:val="296"/>
  </w:num>
  <w:num w:numId="320">
    <w:abstractNumId w:val="76"/>
  </w:num>
  <w:num w:numId="321">
    <w:abstractNumId w:val="447"/>
  </w:num>
  <w:num w:numId="322">
    <w:abstractNumId w:val="527"/>
  </w:num>
  <w:num w:numId="323">
    <w:abstractNumId w:val="8"/>
  </w:num>
  <w:num w:numId="324">
    <w:abstractNumId w:val="454"/>
  </w:num>
  <w:num w:numId="325">
    <w:abstractNumId w:val="255"/>
  </w:num>
  <w:num w:numId="326">
    <w:abstractNumId w:val="464"/>
  </w:num>
  <w:num w:numId="327">
    <w:abstractNumId w:val="448"/>
  </w:num>
  <w:num w:numId="328">
    <w:abstractNumId w:val="379"/>
  </w:num>
  <w:num w:numId="329">
    <w:abstractNumId w:val="216"/>
  </w:num>
  <w:num w:numId="330">
    <w:abstractNumId w:val="254"/>
  </w:num>
  <w:num w:numId="331">
    <w:abstractNumId w:val="117"/>
  </w:num>
  <w:num w:numId="332">
    <w:abstractNumId w:val="530"/>
  </w:num>
  <w:num w:numId="333">
    <w:abstractNumId w:val="463"/>
  </w:num>
  <w:num w:numId="334">
    <w:abstractNumId w:val="511"/>
  </w:num>
  <w:num w:numId="335">
    <w:abstractNumId w:val="243"/>
  </w:num>
  <w:num w:numId="336">
    <w:abstractNumId w:val="559"/>
  </w:num>
  <w:num w:numId="337">
    <w:abstractNumId w:val="355"/>
  </w:num>
  <w:num w:numId="338">
    <w:abstractNumId w:val="326"/>
  </w:num>
  <w:num w:numId="339">
    <w:abstractNumId w:val="357"/>
  </w:num>
  <w:num w:numId="340">
    <w:abstractNumId w:val="389"/>
  </w:num>
  <w:num w:numId="341">
    <w:abstractNumId w:val="11"/>
  </w:num>
  <w:num w:numId="342">
    <w:abstractNumId w:val="314"/>
  </w:num>
  <w:num w:numId="343">
    <w:abstractNumId w:val="224"/>
  </w:num>
  <w:num w:numId="344">
    <w:abstractNumId w:val="584"/>
  </w:num>
  <w:num w:numId="345">
    <w:abstractNumId w:val="199"/>
  </w:num>
  <w:num w:numId="346">
    <w:abstractNumId w:val="543"/>
  </w:num>
  <w:num w:numId="347">
    <w:abstractNumId w:val="481"/>
  </w:num>
  <w:num w:numId="348">
    <w:abstractNumId w:val="208"/>
  </w:num>
  <w:num w:numId="349">
    <w:abstractNumId w:val="401"/>
  </w:num>
  <w:num w:numId="350">
    <w:abstractNumId w:val="164"/>
  </w:num>
  <w:num w:numId="351">
    <w:abstractNumId w:val="317"/>
  </w:num>
  <w:num w:numId="352">
    <w:abstractNumId w:val="438"/>
  </w:num>
  <w:num w:numId="353">
    <w:abstractNumId w:val="614"/>
  </w:num>
  <w:num w:numId="354">
    <w:abstractNumId w:val="497"/>
  </w:num>
  <w:num w:numId="355">
    <w:abstractNumId w:val="334"/>
  </w:num>
  <w:num w:numId="356">
    <w:abstractNumId w:val="266"/>
  </w:num>
  <w:num w:numId="357">
    <w:abstractNumId w:val="337"/>
  </w:num>
  <w:num w:numId="358">
    <w:abstractNumId w:val="155"/>
  </w:num>
  <w:num w:numId="359">
    <w:abstractNumId w:val="426"/>
  </w:num>
  <w:num w:numId="360">
    <w:abstractNumId w:val="487"/>
  </w:num>
  <w:num w:numId="361">
    <w:abstractNumId w:val="22"/>
  </w:num>
  <w:num w:numId="362">
    <w:abstractNumId w:val="619"/>
  </w:num>
  <w:num w:numId="363">
    <w:abstractNumId w:val="152"/>
  </w:num>
  <w:num w:numId="364">
    <w:abstractNumId w:val="367"/>
  </w:num>
  <w:num w:numId="365">
    <w:abstractNumId w:val="121"/>
  </w:num>
  <w:num w:numId="366">
    <w:abstractNumId w:val="52"/>
  </w:num>
  <w:num w:numId="367">
    <w:abstractNumId w:val="498"/>
  </w:num>
  <w:num w:numId="368">
    <w:abstractNumId w:val="274"/>
  </w:num>
  <w:num w:numId="369">
    <w:abstractNumId w:val="515"/>
  </w:num>
  <w:num w:numId="370">
    <w:abstractNumId w:val="435"/>
  </w:num>
  <w:num w:numId="371">
    <w:abstractNumId w:val="321"/>
  </w:num>
  <w:num w:numId="372">
    <w:abstractNumId w:val="184"/>
  </w:num>
  <w:num w:numId="373">
    <w:abstractNumId w:val="371"/>
  </w:num>
  <w:num w:numId="374">
    <w:abstractNumId w:val="213"/>
  </w:num>
  <w:num w:numId="375">
    <w:abstractNumId w:val="233"/>
  </w:num>
  <w:num w:numId="376">
    <w:abstractNumId w:val="17"/>
  </w:num>
  <w:num w:numId="377">
    <w:abstractNumId w:val="615"/>
  </w:num>
  <w:num w:numId="378">
    <w:abstractNumId w:val="430"/>
  </w:num>
  <w:num w:numId="379">
    <w:abstractNumId w:val="423"/>
  </w:num>
  <w:num w:numId="380">
    <w:abstractNumId w:val="96"/>
  </w:num>
  <w:num w:numId="381">
    <w:abstractNumId w:val="82"/>
  </w:num>
  <w:num w:numId="382">
    <w:abstractNumId w:val="127"/>
  </w:num>
  <w:num w:numId="383">
    <w:abstractNumId w:val="48"/>
  </w:num>
  <w:num w:numId="384">
    <w:abstractNumId w:val="271"/>
  </w:num>
  <w:num w:numId="385">
    <w:abstractNumId w:val="205"/>
  </w:num>
  <w:num w:numId="386">
    <w:abstractNumId w:val="160"/>
  </w:num>
  <w:num w:numId="387">
    <w:abstractNumId w:val="253"/>
  </w:num>
  <w:num w:numId="388">
    <w:abstractNumId w:val="93"/>
  </w:num>
  <w:num w:numId="389">
    <w:abstractNumId w:val="116"/>
  </w:num>
  <w:num w:numId="390">
    <w:abstractNumId w:val="605"/>
  </w:num>
  <w:num w:numId="391">
    <w:abstractNumId w:val="258"/>
  </w:num>
  <w:num w:numId="392">
    <w:abstractNumId w:val="624"/>
  </w:num>
  <w:num w:numId="393">
    <w:abstractNumId w:val="343"/>
  </w:num>
  <w:num w:numId="394">
    <w:abstractNumId w:val="368"/>
  </w:num>
  <w:num w:numId="395">
    <w:abstractNumId w:val="305"/>
  </w:num>
  <w:num w:numId="396">
    <w:abstractNumId w:val="84"/>
  </w:num>
  <w:num w:numId="397">
    <w:abstractNumId w:val="198"/>
  </w:num>
  <w:num w:numId="398">
    <w:abstractNumId w:val="323"/>
  </w:num>
  <w:num w:numId="399">
    <w:abstractNumId w:val="385"/>
  </w:num>
  <w:num w:numId="400">
    <w:abstractNumId w:val="456"/>
  </w:num>
  <w:num w:numId="401">
    <w:abstractNumId w:val="451"/>
  </w:num>
  <w:num w:numId="402">
    <w:abstractNumId w:val="465"/>
  </w:num>
  <w:num w:numId="403">
    <w:abstractNumId w:val="358"/>
  </w:num>
  <w:num w:numId="404">
    <w:abstractNumId w:val="189"/>
  </w:num>
  <w:num w:numId="405">
    <w:abstractNumId w:val="565"/>
  </w:num>
  <w:num w:numId="406">
    <w:abstractNumId w:val="635"/>
  </w:num>
  <w:num w:numId="407">
    <w:abstractNumId w:val="441"/>
  </w:num>
  <w:num w:numId="408">
    <w:abstractNumId w:val="630"/>
  </w:num>
  <w:num w:numId="409">
    <w:abstractNumId w:val="576"/>
  </w:num>
  <w:num w:numId="410">
    <w:abstractNumId w:val="2"/>
  </w:num>
  <w:num w:numId="411">
    <w:abstractNumId w:val="88"/>
  </w:num>
  <w:num w:numId="412">
    <w:abstractNumId w:val="578"/>
  </w:num>
  <w:num w:numId="413">
    <w:abstractNumId w:val="621"/>
  </w:num>
  <w:num w:numId="414">
    <w:abstractNumId w:val="301"/>
  </w:num>
  <w:num w:numId="415">
    <w:abstractNumId w:val="328"/>
  </w:num>
  <w:num w:numId="416">
    <w:abstractNumId w:val="60"/>
  </w:num>
  <w:num w:numId="417">
    <w:abstractNumId w:val="159"/>
  </w:num>
  <w:num w:numId="418">
    <w:abstractNumId w:val="185"/>
  </w:num>
  <w:num w:numId="419">
    <w:abstractNumId w:val="570"/>
  </w:num>
  <w:num w:numId="420">
    <w:abstractNumId w:val="501"/>
  </w:num>
  <w:num w:numId="421">
    <w:abstractNumId w:val="259"/>
  </w:num>
  <w:num w:numId="422">
    <w:abstractNumId w:val="87"/>
  </w:num>
  <w:num w:numId="423">
    <w:abstractNumId w:val="114"/>
  </w:num>
  <w:num w:numId="424">
    <w:abstractNumId w:val="174"/>
  </w:num>
  <w:num w:numId="425">
    <w:abstractNumId w:val="397"/>
  </w:num>
  <w:num w:numId="426">
    <w:abstractNumId w:val="56"/>
  </w:num>
  <w:num w:numId="427">
    <w:abstractNumId w:val="100"/>
  </w:num>
  <w:num w:numId="428">
    <w:abstractNumId w:val="568"/>
  </w:num>
  <w:num w:numId="429">
    <w:abstractNumId w:val="297"/>
  </w:num>
  <w:num w:numId="430">
    <w:abstractNumId w:val="229"/>
  </w:num>
  <w:num w:numId="431">
    <w:abstractNumId w:val="496"/>
  </w:num>
  <w:num w:numId="432">
    <w:abstractNumId w:val="90"/>
  </w:num>
  <w:num w:numId="433">
    <w:abstractNumId w:val="134"/>
  </w:num>
  <w:num w:numId="434">
    <w:abstractNumId w:val="604"/>
  </w:num>
  <w:num w:numId="435">
    <w:abstractNumId w:val="600"/>
  </w:num>
  <w:num w:numId="436">
    <w:abstractNumId w:val="415"/>
  </w:num>
  <w:num w:numId="437">
    <w:abstractNumId w:val="239"/>
  </w:num>
  <w:num w:numId="438">
    <w:abstractNumId w:val="180"/>
  </w:num>
  <w:num w:numId="439">
    <w:abstractNumId w:val="499"/>
  </w:num>
  <w:num w:numId="440">
    <w:abstractNumId w:val="173"/>
  </w:num>
  <w:num w:numId="441">
    <w:abstractNumId w:val="513"/>
  </w:num>
  <w:num w:numId="442">
    <w:abstractNumId w:val="113"/>
  </w:num>
  <w:num w:numId="443">
    <w:abstractNumId w:val="75"/>
  </w:num>
  <w:num w:numId="444">
    <w:abstractNumId w:val="156"/>
  </w:num>
  <w:num w:numId="445">
    <w:abstractNumId w:val="16"/>
  </w:num>
  <w:num w:numId="446">
    <w:abstractNumId w:val="377"/>
  </w:num>
  <w:num w:numId="447">
    <w:abstractNumId w:val="265"/>
  </w:num>
  <w:num w:numId="448">
    <w:abstractNumId w:val="313"/>
  </w:num>
  <w:num w:numId="449">
    <w:abstractNumId w:val="294"/>
  </w:num>
  <w:num w:numId="450">
    <w:abstractNumId w:val="399"/>
  </w:num>
  <w:num w:numId="451">
    <w:abstractNumId w:val="169"/>
  </w:num>
  <w:num w:numId="452">
    <w:abstractNumId w:val="563"/>
  </w:num>
  <w:num w:numId="453">
    <w:abstractNumId w:val="554"/>
  </w:num>
  <w:num w:numId="454">
    <w:abstractNumId w:val="412"/>
  </w:num>
  <w:num w:numId="455">
    <w:abstractNumId w:val="525"/>
  </w:num>
  <w:num w:numId="456">
    <w:abstractNumId w:val="204"/>
  </w:num>
  <w:num w:numId="457">
    <w:abstractNumId w:val="161"/>
  </w:num>
  <w:num w:numId="458">
    <w:abstractNumId w:val="336"/>
  </w:num>
  <w:num w:numId="459">
    <w:abstractNumId w:val="541"/>
  </w:num>
  <w:num w:numId="460">
    <w:abstractNumId w:val="409"/>
  </w:num>
  <w:num w:numId="461">
    <w:abstractNumId w:val="25"/>
  </w:num>
  <w:num w:numId="462">
    <w:abstractNumId w:val="482"/>
  </w:num>
  <w:num w:numId="463">
    <w:abstractNumId w:val="410"/>
  </w:num>
  <w:num w:numId="464">
    <w:abstractNumId w:val="427"/>
  </w:num>
  <w:num w:numId="465">
    <w:abstractNumId w:val="83"/>
  </w:num>
  <w:num w:numId="466">
    <w:abstractNumId w:val="519"/>
  </w:num>
  <w:num w:numId="467">
    <w:abstractNumId w:val="228"/>
  </w:num>
  <w:num w:numId="468">
    <w:abstractNumId w:val="319"/>
  </w:num>
  <w:num w:numId="469">
    <w:abstractNumId w:val="603"/>
  </w:num>
  <w:num w:numId="470">
    <w:abstractNumId w:val="200"/>
  </w:num>
  <w:num w:numId="471">
    <w:abstractNumId w:val="131"/>
  </w:num>
  <w:num w:numId="472">
    <w:abstractNumId w:val="151"/>
  </w:num>
  <w:num w:numId="473">
    <w:abstractNumId w:val="502"/>
  </w:num>
  <w:num w:numId="474">
    <w:abstractNumId w:val="613"/>
  </w:num>
  <w:num w:numId="475">
    <w:abstractNumId w:val="43"/>
  </w:num>
  <w:num w:numId="476">
    <w:abstractNumId w:val="250"/>
  </w:num>
  <w:num w:numId="477">
    <w:abstractNumId w:val="95"/>
  </w:num>
  <w:num w:numId="478">
    <w:abstractNumId w:val="531"/>
  </w:num>
  <w:num w:numId="479">
    <w:abstractNumId w:val="362"/>
  </w:num>
  <w:num w:numId="480">
    <w:abstractNumId w:val="290"/>
  </w:num>
  <w:num w:numId="481">
    <w:abstractNumId w:val="546"/>
  </w:num>
  <w:num w:numId="482">
    <w:abstractNumId w:val="458"/>
  </w:num>
  <w:num w:numId="483">
    <w:abstractNumId w:val="13"/>
  </w:num>
  <w:num w:numId="484">
    <w:abstractNumId w:val="247"/>
  </w:num>
  <w:num w:numId="485">
    <w:abstractNumId w:val="495"/>
  </w:num>
  <w:num w:numId="486">
    <w:abstractNumId w:val="139"/>
  </w:num>
  <w:num w:numId="487">
    <w:abstractNumId w:val="279"/>
  </w:num>
  <w:num w:numId="488">
    <w:abstractNumId w:val="413"/>
  </w:num>
  <w:num w:numId="489">
    <w:abstractNumId w:val="580"/>
  </w:num>
  <w:num w:numId="490">
    <w:abstractNumId w:val="484"/>
  </w:num>
  <w:num w:numId="491">
    <w:abstractNumId w:val="65"/>
  </w:num>
  <w:num w:numId="492">
    <w:abstractNumId w:val="434"/>
  </w:num>
  <w:num w:numId="493">
    <w:abstractNumId w:val="195"/>
  </w:num>
  <w:num w:numId="494">
    <w:abstractNumId w:val="126"/>
  </w:num>
  <w:num w:numId="495">
    <w:abstractNumId w:val="354"/>
  </w:num>
  <w:num w:numId="496">
    <w:abstractNumId w:val="505"/>
  </w:num>
  <w:num w:numId="497">
    <w:abstractNumId w:val="288"/>
  </w:num>
  <w:num w:numId="498">
    <w:abstractNumId w:val="611"/>
  </w:num>
  <w:num w:numId="499">
    <w:abstractNumId w:val="312"/>
  </w:num>
  <w:num w:numId="500">
    <w:abstractNumId w:val="72"/>
  </w:num>
  <w:num w:numId="501">
    <w:abstractNumId w:val="238"/>
  </w:num>
  <w:num w:numId="502">
    <w:abstractNumId w:val="376"/>
  </w:num>
  <w:num w:numId="503">
    <w:abstractNumId w:val="504"/>
  </w:num>
  <w:num w:numId="504">
    <w:abstractNumId w:val="170"/>
  </w:num>
  <w:num w:numId="505">
    <w:abstractNumId w:val="232"/>
  </w:num>
  <w:num w:numId="506">
    <w:abstractNumId w:val="386"/>
  </w:num>
  <w:num w:numId="507">
    <w:abstractNumId w:val="449"/>
  </w:num>
  <w:num w:numId="508">
    <w:abstractNumId w:val="15"/>
  </w:num>
  <w:num w:numId="509">
    <w:abstractNumId w:val="466"/>
  </w:num>
  <w:num w:numId="510">
    <w:abstractNumId w:val="460"/>
  </w:num>
  <w:num w:numId="511">
    <w:abstractNumId w:val="608"/>
  </w:num>
  <w:num w:numId="512">
    <w:abstractNumId w:val="360"/>
  </w:num>
  <w:num w:numId="513">
    <w:abstractNumId w:val="214"/>
  </w:num>
  <w:num w:numId="514">
    <w:abstractNumId w:val="91"/>
  </w:num>
  <w:num w:numId="515">
    <w:abstractNumId w:val="241"/>
  </w:num>
  <w:num w:numId="516">
    <w:abstractNumId w:val="295"/>
  </w:num>
  <w:num w:numId="517">
    <w:abstractNumId w:val="281"/>
  </w:num>
  <w:num w:numId="518">
    <w:abstractNumId w:val="325"/>
  </w:num>
  <w:num w:numId="519">
    <w:abstractNumId w:val="375"/>
  </w:num>
  <w:num w:numId="520">
    <w:abstractNumId w:val="348"/>
  </w:num>
  <w:num w:numId="521">
    <w:abstractNumId w:val="558"/>
  </w:num>
  <w:num w:numId="522">
    <w:abstractNumId w:val="562"/>
  </w:num>
  <w:num w:numId="523">
    <w:abstractNumId w:val="585"/>
  </w:num>
  <w:num w:numId="524">
    <w:abstractNumId w:val="221"/>
  </w:num>
  <w:num w:numId="525">
    <w:abstractNumId w:val="632"/>
  </w:num>
  <w:num w:numId="526">
    <w:abstractNumId w:val="148"/>
  </w:num>
  <w:num w:numId="527">
    <w:abstractNumId w:val="31"/>
  </w:num>
  <w:num w:numId="528">
    <w:abstractNumId w:val="124"/>
  </w:num>
  <w:num w:numId="529">
    <w:abstractNumId w:val="118"/>
  </w:num>
  <w:num w:numId="530">
    <w:abstractNumId w:val="416"/>
  </w:num>
  <w:num w:numId="531">
    <w:abstractNumId w:val="503"/>
  </w:num>
  <w:num w:numId="532">
    <w:abstractNumId w:val="342"/>
  </w:num>
  <w:num w:numId="533">
    <w:abstractNumId w:val="30"/>
  </w:num>
  <w:num w:numId="534">
    <w:abstractNumId w:val="125"/>
  </w:num>
  <w:num w:numId="535">
    <w:abstractNumId w:val="110"/>
  </w:num>
  <w:num w:numId="536">
    <w:abstractNumId w:val="550"/>
  </w:num>
  <w:num w:numId="537">
    <w:abstractNumId w:val="226"/>
  </w:num>
  <w:num w:numId="538">
    <w:abstractNumId w:val="209"/>
  </w:num>
  <w:num w:numId="539">
    <w:abstractNumId w:val="194"/>
  </w:num>
  <w:num w:numId="540">
    <w:abstractNumId w:val="162"/>
  </w:num>
  <w:num w:numId="541">
    <w:abstractNumId w:val="588"/>
  </w:num>
  <w:num w:numId="542">
    <w:abstractNumId w:val="526"/>
  </w:num>
  <w:num w:numId="543">
    <w:abstractNumId w:val="469"/>
  </w:num>
  <w:num w:numId="544">
    <w:abstractNumId w:val="477"/>
  </w:num>
  <w:num w:numId="545">
    <w:abstractNumId w:val="548"/>
  </w:num>
  <w:num w:numId="546">
    <w:abstractNumId w:val="402"/>
  </w:num>
  <w:num w:numId="547">
    <w:abstractNumId w:val="68"/>
  </w:num>
  <w:num w:numId="548">
    <w:abstractNumId w:val="249"/>
  </w:num>
  <w:num w:numId="549">
    <w:abstractNumId w:val="626"/>
  </w:num>
  <w:num w:numId="550">
    <w:abstractNumId w:val="51"/>
  </w:num>
  <w:num w:numId="551">
    <w:abstractNumId w:val="361"/>
  </w:num>
  <w:num w:numId="552">
    <w:abstractNumId w:val="39"/>
  </w:num>
  <w:num w:numId="553">
    <w:abstractNumId w:val="181"/>
  </w:num>
  <w:num w:numId="554">
    <w:abstractNumId w:val="330"/>
  </w:num>
  <w:num w:numId="555">
    <w:abstractNumId w:val="73"/>
  </w:num>
  <w:num w:numId="556">
    <w:abstractNumId w:val="628"/>
  </w:num>
  <w:num w:numId="557">
    <w:abstractNumId w:val="455"/>
  </w:num>
  <w:num w:numId="558">
    <w:abstractNumId w:val="340"/>
  </w:num>
  <w:num w:numId="559">
    <w:abstractNumId w:val="356"/>
  </w:num>
  <w:num w:numId="560">
    <w:abstractNumId w:val="512"/>
  </w:num>
  <w:num w:numId="561">
    <w:abstractNumId w:val="59"/>
  </w:num>
  <w:num w:numId="562">
    <w:abstractNumId w:val="219"/>
  </w:num>
  <w:num w:numId="563">
    <w:abstractNumId w:val="390"/>
  </w:num>
  <w:num w:numId="564">
    <w:abstractNumId w:val="593"/>
  </w:num>
  <w:num w:numId="565">
    <w:abstractNumId w:val="307"/>
  </w:num>
  <w:num w:numId="566">
    <w:abstractNumId w:val="187"/>
  </w:num>
  <w:num w:numId="567">
    <w:abstractNumId w:val="299"/>
  </w:num>
  <w:num w:numId="568">
    <w:abstractNumId w:val="244"/>
  </w:num>
  <w:num w:numId="569">
    <w:abstractNumId w:val="103"/>
  </w:num>
  <w:num w:numId="570">
    <w:abstractNumId w:val="74"/>
  </w:num>
  <w:num w:numId="571">
    <w:abstractNumId w:val="437"/>
  </w:num>
  <w:num w:numId="572">
    <w:abstractNumId w:val="490"/>
  </w:num>
  <w:num w:numId="573">
    <w:abstractNumId w:val="627"/>
  </w:num>
  <w:num w:numId="574">
    <w:abstractNumId w:val="109"/>
  </w:num>
  <w:num w:numId="575">
    <w:abstractNumId w:val="524"/>
  </w:num>
  <w:num w:numId="576">
    <w:abstractNumId w:val="393"/>
  </w:num>
  <w:num w:numId="577">
    <w:abstractNumId w:val="215"/>
  </w:num>
  <w:num w:numId="578">
    <w:abstractNumId w:val="383"/>
  </w:num>
  <w:num w:numId="579">
    <w:abstractNumId w:val="522"/>
  </w:num>
  <w:num w:numId="580">
    <w:abstractNumId w:val="508"/>
  </w:num>
  <w:num w:numId="581">
    <w:abstractNumId w:val="582"/>
  </w:num>
  <w:num w:numId="582">
    <w:abstractNumId w:val="587"/>
  </w:num>
  <w:num w:numId="583">
    <w:abstractNumId w:val="36"/>
  </w:num>
  <w:num w:numId="584">
    <w:abstractNumId w:val="474"/>
  </w:num>
  <w:num w:numId="585">
    <w:abstractNumId w:val="240"/>
  </w:num>
  <w:num w:numId="586">
    <w:abstractNumId w:val="278"/>
  </w:num>
  <w:num w:numId="587">
    <w:abstractNumId w:val="242"/>
  </w:num>
  <w:num w:numId="588">
    <w:abstractNumId w:val="28"/>
  </w:num>
  <w:num w:numId="589">
    <w:abstractNumId w:val="106"/>
  </w:num>
  <w:num w:numId="590">
    <w:abstractNumId w:val="64"/>
  </w:num>
  <w:num w:numId="591">
    <w:abstractNumId w:val="257"/>
  </w:num>
  <w:num w:numId="592">
    <w:abstractNumId w:val="523"/>
  </w:num>
  <w:num w:numId="593">
    <w:abstractNumId w:val="468"/>
  </w:num>
  <w:num w:numId="594">
    <w:abstractNumId w:val="520"/>
  </w:num>
  <w:num w:numId="595">
    <w:abstractNumId w:val="583"/>
  </w:num>
  <w:num w:numId="596">
    <w:abstractNumId w:val="476"/>
  </w:num>
  <w:num w:numId="597">
    <w:abstractNumId w:val="183"/>
  </w:num>
  <w:num w:numId="598">
    <w:abstractNumId w:val="403"/>
  </w:num>
  <w:num w:numId="599">
    <w:abstractNumId w:val="272"/>
  </w:num>
  <w:num w:numId="600">
    <w:abstractNumId w:val="363"/>
  </w:num>
  <w:num w:numId="601">
    <w:abstractNumId w:val="44"/>
  </w:num>
  <w:num w:numId="602">
    <w:abstractNumId w:val="298"/>
  </w:num>
  <w:num w:numId="603">
    <w:abstractNumId w:val="107"/>
  </w:num>
  <w:num w:numId="604">
    <w:abstractNumId w:val="440"/>
  </w:num>
  <w:num w:numId="605">
    <w:abstractNumId w:val="177"/>
  </w:num>
  <w:num w:numId="606">
    <w:abstractNumId w:val="284"/>
  </w:num>
  <w:num w:numId="607">
    <w:abstractNumId w:val="248"/>
  </w:num>
  <w:num w:numId="608">
    <w:abstractNumId w:val="70"/>
  </w:num>
  <w:num w:numId="609">
    <w:abstractNumId w:val="45"/>
  </w:num>
  <w:num w:numId="610">
    <w:abstractNumId w:val="555"/>
  </w:num>
  <w:num w:numId="611">
    <w:abstractNumId w:val="182"/>
  </w:num>
  <w:num w:numId="612">
    <w:abstractNumId w:val="20"/>
  </w:num>
  <w:num w:numId="613">
    <w:abstractNumId w:val="21"/>
  </w:num>
  <w:num w:numId="614">
    <w:abstractNumId w:val="347"/>
  </w:num>
  <w:num w:numId="615">
    <w:abstractNumId w:val="86"/>
  </w:num>
  <w:num w:numId="616">
    <w:abstractNumId w:val="1"/>
  </w:num>
  <w:num w:numId="617">
    <w:abstractNumId w:val="422"/>
  </w:num>
  <w:num w:numId="618">
    <w:abstractNumId w:val="4"/>
  </w:num>
  <w:num w:numId="619">
    <w:abstractNumId w:val="507"/>
  </w:num>
  <w:num w:numId="620">
    <w:abstractNumId w:val="3"/>
  </w:num>
  <w:num w:numId="621">
    <w:abstractNumId w:val="329"/>
  </w:num>
  <w:num w:numId="622">
    <w:abstractNumId w:val="158"/>
  </w:num>
  <w:num w:numId="623">
    <w:abstractNumId w:val="123"/>
  </w:num>
  <w:num w:numId="624">
    <w:abstractNumId w:val="141"/>
  </w:num>
  <w:num w:numId="625">
    <w:abstractNumId w:val="262"/>
  </w:num>
  <w:num w:numId="626">
    <w:abstractNumId w:val="411"/>
  </w:num>
  <w:num w:numId="627">
    <w:abstractNumId w:val="564"/>
  </w:num>
  <w:num w:numId="628">
    <w:abstractNumId w:val="53"/>
  </w:num>
  <w:num w:numId="629">
    <w:abstractNumId w:val="620"/>
  </w:num>
  <w:num w:numId="630">
    <w:abstractNumId w:val="540"/>
  </w:num>
  <w:num w:numId="631">
    <w:abstractNumId w:val="26"/>
  </w:num>
  <w:num w:numId="632">
    <w:abstractNumId w:val="335"/>
  </w:num>
  <w:num w:numId="633">
    <w:abstractNumId w:val="408"/>
  </w:num>
  <w:num w:numId="634">
    <w:abstractNumId w:val="178"/>
  </w:num>
  <w:num w:numId="635">
    <w:abstractNumId w:val="143"/>
  </w:num>
  <w:num w:numId="636">
    <w:abstractNumId w:val="591"/>
  </w:num>
  <w:num w:numId="637">
    <w:abstractNumId w:val="320"/>
  </w:num>
  <w:num w:numId="638">
    <w:abstractNumId w:val="407"/>
  </w:num>
  <w:num w:numId="639">
    <w:abstractNumId w:val="510"/>
  </w:num>
  <w:num w:numId="640">
    <w:abstractNumId w:val="324"/>
  </w:num>
  <w:num w:numId="641">
    <w:abstractNumId w:val="29"/>
  </w:num>
  <w:num w:numId="642">
    <w:abstractNumId w:val="609"/>
  </w:num>
  <w:num w:numId="643">
    <w:abstractNumId w:val="429"/>
  </w:num>
  <w:num w:numId="644">
    <w:abstractNumId w:val="581"/>
  </w:num>
  <w:num w:numId="645">
    <w:abstractNumId w:val="206"/>
  </w:num>
  <w:num w:numId="646">
    <w:abstractNumId w:val="94"/>
  </w:num>
  <w:num w:numId="647">
    <w:abstractNumId w:val="610"/>
  </w:num>
  <w:num w:numId="648">
    <w:abstractNumId w:val="285"/>
  </w:num>
  <w:num w:numId="649">
    <w:abstractNumId w:val="574"/>
  </w:num>
  <w:num w:numId="650">
    <w:abstractNumId w:val="572"/>
  </w:num>
  <w:num w:numId="651">
    <w:abstractNumId w:val="145"/>
  </w:num>
  <w:num w:numId="652">
    <w:abstractNumId w:val="532"/>
  </w:num>
  <w:num w:numId="653">
    <w:abstractNumId w:val="339"/>
  </w:num>
  <w:num w:numId="654">
    <w:abstractNumId w:val="309"/>
  </w:num>
  <w:numIdMacAtCleanup w:val="6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stylePaneFormatFilter w:val="D001" w:allStyles="1" w:customStyles="0" w:latentStyles="0" w:stylesInUse="0" w:headingStyles="0" w:numberingStyles="0" w:tableStyles="0" w:directFormattingOnRuns="0" w:directFormattingOnParagraphs="0" w:directFormattingOnNumbering="0" w:directFormattingOnTables="0" w:clearFormatting="1" w:top3HeadingStyles="0" w:visibleStyles="1" w:alternateStyleNames="1"/>
  <w:defaultTabStop w:val="840"/>
  <w:drawingGridHorizontalSpacing w:val="105"/>
  <w:displayHorizontalDrawingGridEvery w:val="0"/>
  <w:displayVerticalDrawingGridEvery w:val="2"/>
  <w:characterSpacingControl w:val="compressPunctuation"/>
  <w:hdrShapeDefaults>
    <o:shapedefaults v:ext="edit" spidmax="3542">
      <v:textbox inset="5.85pt,.7pt,5.85pt,.7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A6985"/>
    <w:rsid w:val="0000129D"/>
    <w:rsid w:val="00001AF2"/>
    <w:rsid w:val="00001D62"/>
    <w:rsid w:val="00003980"/>
    <w:rsid w:val="000065A0"/>
    <w:rsid w:val="00006968"/>
    <w:rsid w:val="00006BB9"/>
    <w:rsid w:val="00006CB1"/>
    <w:rsid w:val="00007314"/>
    <w:rsid w:val="00007B4A"/>
    <w:rsid w:val="000101BC"/>
    <w:rsid w:val="000109F9"/>
    <w:rsid w:val="000113EE"/>
    <w:rsid w:val="00014828"/>
    <w:rsid w:val="0001574D"/>
    <w:rsid w:val="00015BC6"/>
    <w:rsid w:val="00016191"/>
    <w:rsid w:val="0001722E"/>
    <w:rsid w:val="00017CD3"/>
    <w:rsid w:val="0002010C"/>
    <w:rsid w:val="00020FA8"/>
    <w:rsid w:val="00023B75"/>
    <w:rsid w:val="00024704"/>
    <w:rsid w:val="00025990"/>
    <w:rsid w:val="00026B4C"/>
    <w:rsid w:val="00027138"/>
    <w:rsid w:val="00031817"/>
    <w:rsid w:val="000318D7"/>
    <w:rsid w:val="00031C80"/>
    <w:rsid w:val="000324EE"/>
    <w:rsid w:val="000337C0"/>
    <w:rsid w:val="00033B76"/>
    <w:rsid w:val="00033CAC"/>
    <w:rsid w:val="00036166"/>
    <w:rsid w:val="00037821"/>
    <w:rsid w:val="00040E80"/>
    <w:rsid w:val="00042251"/>
    <w:rsid w:val="0004406A"/>
    <w:rsid w:val="00044B2C"/>
    <w:rsid w:val="00044F1B"/>
    <w:rsid w:val="0004607B"/>
    <w:rsid w:val="00046CC3"/>
    <w:rsid w:val="00047C2D"/>
    <w:rsid w:val="00050186"/>
    <w:rsid w:val="0005053C"/>
    <w:rsid w:val="00050A0E"/>
    <w:rsid w:val="00050B33"/>
    <w:rsid w:val="00050C6E"/>
    <w:rsid w:val="000512EC"/>
    <w:rsid w:val="00051BCB"/>
    <w:rsid w:val="00053E4D"/>
    <w:rsid w:val="00057AAF"/>
    <w:rsid w:val="000609CB"/>
    <w:rsid w:val="0006184F"/>
    <w:rsid w:val="00064BA6"/>
    <w:rsid w:val="00065F7E"/>
    <w:rsid w:val="000662B3"/>
    <w:rsid w:val="00066A53"/>
    <w:rsid w:val="00070AAC"/>
    <w:rsid w:val="00071D90"/>
    <w:rsid w:val="00072968"/>
    <w:rsid w:val="0007348D"/>
    <w:rsid w:val="000738C1"/>
    <w:rsid w:val="000745D5"/>
    <w:rsid w:val="00075FBD"/>
    <w:rsid w:val="00076A69"/>
    <w:rsid w:val="00077554"/>
    <w:rsid w:val="00077D9B"/>
    <w:rsid w:val="00080158"/>
    <w:rsid w:val="000823CE"/>
    <w:rsid w:val="000830BA"/>
    <w:rsid w:val="000855C0"/>
    <w:rsid w:val="000856A1"/>
    <w:rsid w:val="000866AE"/>
    <w:rsid w:val="00087520"/>
    <w:rsid w:val="00090BA4"/>
    <w:rsid w:val="000916CE"/>
    <w:rsid w:val="000935C2"/>
    <w:rsid w:val="00095BB6"/>
    <w:rsid w:val="00095E74"/>
    <w:rsid w:val="00096626"/>
    <w:rsid w:val="00096FF9"/>
    <w:rsid w:val="00097349"/>
    <w:rsid w:val="000977D2"/>
    <w:rsid w:val="000A0DCB"/>
    <w:rsid w:val="000A13B7"/>
    <w:rsid w:val="000A16EF"/>
    <w:rsid w:val="000A34D9"/>
    <w:rsid w:val="000A37AD"/>
    <w:rsid w:val="000A3B32"/>
    <w:rsid w:val="000A500D"/>
    <w:rsid w:val="000A508B"/>
    <w:rsid w:val="000A7F7F"/>
    <w:rsid w:val="000B0105"/>
    <w:rsid w:val="000B2027"/>
    <w:rsid w:val="000B329C"/>
    <w:rsid w:val="000B3328"/>
    <w:rsid w:val="000B36C4"/>
    <w:rsid w:val="000B387E"/>
    <w:rsid w:val="000B3D14"/>
    <w:rsid w:val="000B3E3A"/>
    <w:rsid w:val="000B54A8"/>
    <w:rsid w:val="000B560A"/>
    <w:rsid w:val="000B5B52"/>
    <w:rsid w:val="000B5CB1"/>
    <w:rsid w:val="000B615E"/>
    <w:rsid w:val="000B7EE0"/>
    <w:rsid w:val="000C01AF"/>
    <w:rsid w:val="000C10A4"/>
    <w:rsid w:val="000C21F7"/>
    <w:rsid w:val="000C26D3"/>
    <w:rsid w:val="000C2876"/>
    <w:rsid w:val="000C3923"/>
    <w:rsid w:val="000C426F"/>
    <w:rsid w:val="000C42CE"/>
    <w:rsid w:val="000C5875"/>
    <w:rsid w:val="000C73BC"/>
    <w:rsid w:val="000D0E23"/>
    <w:rsid w:val="000D0EF0"/>
    <w:rsid w:val="000D2065"/>
    <w:rsid w:val="000D29B8"/>
    <w:rsid w:val="000D3B22"/>
    <w:rsid w:val="000D3EBC"/>
    <w:rsid w:val="000D406F"/>
    <w:rsid w:val="000D50DE"/>
    <w:rsid w:val="000D5F3C"/>
    <w:rsid w:val="000D787C"/>
    <w:rsid w:val="000E1492"/>
    <w:rsid w:val="000E1A2F"/>
    <w:rsid w:val="000E2012"/>
    <w:rsid w:val="000E28A1"/>
    <w:rsid w:val="000E35AB"/>
    <w:rsid w:val="000E50A4"/>
    <w:rsid w:val="000E5B99"/>
    <w:rsid w:val="000E5EEA"/>
    <w:rsid w:val="000E7C42"/>
    <w:rsid w:val="000F14C4"/>
    <w:rsid w:val="000F169F"/>
    <w:rsid w:val="000F1CC7"/>
    <w:rsid w:val="000F1CF0"/>
    <w:rsid w:val="000F2FB3"/>
    <w:rsid w:val="000F417D"/>
    <w:rsid w:val="000F4FE8"/>
    <w:rsid w:val="000F61C0"/>
    <w:rsid w:val="00100495"/>
    <w:rsid w:val="00100508"/>
    <w:rsid w:val="00100E39"/>
    <w:rsid w:val="001015C0"/>
    <w:rsid w:val="001031E1"/>
    <w:rsid w:val="001031F7"/>
    <w:rsid w:val="00103472"/>
    <w:rsid w:val="001053E9"/>
    <w:rsid w:val="00110B4D"/>
    <w:rsid w:val="001116B1"/>
    <w:rsid w:val="001128DE"/>
    <w:rsid w:val="00113CF0"/>
    <w:rsid w:val="00114FC2"/>
    <w:rsid w:val="001150C3"/>
    <w:rsid w:val="00116E58"/>
    <w:rsid w:val="001171DA"/>
    <w:rsid w:val="0012016E"/>
    <w:rsid w:val="001204E4"/>
    <w:rsid w:val="00120D23"/>
    <w:rsid w:val="00122B7E"/>
    <w:rsid w:val="00122F96"/>
    <w:rsid w:val="00125425"/>
    <w:rsid w:val="00127964"/>
    <w:rsid w:val="00127D67"/>
    <w:rsid w:val="00130A6E"/>
    <w:rsid w:val="00130AAD"/>
    <w:rsid w:val="00133758"/>
    <w:rsid w:val="00134F9D"/>
    <w:rsid w:val="001376A3"/>
    <w:rsid w:val="00141690"/>
    <w:rsid w:val="00141ADB"/>
    <w:rsid w:val="0014412E"/>
    <w:rsid w:val="0014513A"/>
    <w:rsid w:val="0014570B"/>
    <w:rsid w:val="00145C5B"/>
    <w:rsid w:val="00146BA8"/>
    <w:rsid w:val="00146D8D"/>
    <w:rsid w:val="00151310"/>
    <w:rsid w:val="00151C36"/>
    <w:rsid w:val="00153C8E"/>
    <w:rsid w:val="00154923"/>
    <w:rsid w:val="00155FB1"/>
    <w:rsid w:val="00156CB5"/>
    <w:rsid w:val="0015721A"/>
    <w:rsid w:val="00157A0D"/>
    <w:rsid w:val="001610D4"/>
    <w:rsid w:val="00161413"/>
    <w:rsid w:val="00161924"/>
    <w:rsid w:val="00161E48"/>
    <w:rsid w:val="001624B7"/>
    <w:rsid w:val="00166842"/>
    <w:rsid w:val="00167067"/>
    <w:rsid w:val="0016771A"/>
    <w:rsid w:val="001708A7"/>
    <w:rsid w:val="0017495E"/>
    <w:rsid w:val="00175C78"/>
    <w:rsid w:val="00177EA1"/>
    <w:rsid w:val="001808E9"/>
    <w:rsid w:val="00182B2D"/>
    <w:rsid w:val="00185968"/>
    <w:rsid w:val="00185C78"/>
    <w:rsid w:val="001860DE"/>
    <w:rsid w:val="00186DEF"/>
    <w:rsid w:val="00187A1C"/>
    <w:rsid w:val="00190F55"/>
    <w:rsid w:val="00192C80"/>
    <w:rsid w:val="00194CEC"/>
    <w:rsid w:val="00195045"/>
    <w:rsid w:val="00195972"/>
    <w:rsid w:val="001A0BA9"/>
    <w:rsid w:val="001A3F11"/>
    <w:rsid w:val="001A405A"/>
    <w:rsid w:val="001A4B80"/>
    <w:rsid w:val="001A585A"/>
    <w:rsid w:val="001A6985"/>
    <w:rsid w:val="001A7136"/>
    <w:rsid w:val="001A75E6"/>
    <w:rsid w:val="001B2404"/>
    <w:rsid w:val="001B3A74"/>
    <w:rsid w:val="001B48B4"/>
    <w:rsid w:val="001B65F8"/>
    <w:rsid w:val="001B7872"/>
    <w:rsid w:val="001C0689"/>
    <w:rsid w:val="001C09B6"/>
    <w:rsid w:val="001C13CA"/>
    <w:rsid w:val="001C1904"/>
    <w:rsid w:val="001C27B0"/>
    <w:rsid w:val="001C3B4B"/>
    <w:rsid w:val="001C6919"/>
    <w:rsid w:val="001C6C96"/>
    <w:rsid w:val="001C7D7C"/>
    <w:rsid w:val="001D139B"/>
    <w:rsid w:val="001D1DC4"/>
    <w:rsid w:val="001D2880"/>
    <w:rsid w:val="001D3284"/>
    <w:rsid w:val="001D553B"/>
    <w:rsid w:val="001D5948"/>
    <w:rsid w:val="001D59C2"/>
    <w:rsid w:val="001D638B"/>
    <w:rsid w:val="001D706C"/>
    <w:rsid w:val="001E1801"/>
    <w:rsid w:val="001E1C3E"/>
    <w:rsid w:val="001E22E6"/>
    <w:rsid w:val="001E2CEC"/>
    <w:rsid w:val="001E30F0"/>
    <w:rsid w:val="001E3577"/>
    <w:rsid w:val="001E471D"/>
    <w:rsid w:val="001E4B35"/>
    <w:rsid w:val="001E5271"/>
    <w:rsid w:val="001E61C6"/>
    <w:rsid w:val="001E61E2"/>
    <w:rsid w:val="001E6DB5"/>
    <w:rsid w:val="001E7E12"/>
    <w:rsid w:val="001F0D3E"/>
    <w:rsid w:val="001F0D96"/>
    <w:rsid w:val="001F1F00"/>
    <w:rsid w:val="001F634E"/>
    <w:rsid w:val="001F6DD7"/>
    <w:rsid w:val="00200646"/>
    <w:rsid w:val="00200B15"/>
    <w:rsid w:val="00203538"/>
    <w:rsid w:val="00203A92"/>
    <w:rsid w:val="00203A9D"/>
    <w:rsid w:val="00203D5F"/>
    <w:rsid w:val="00204814"/>
    <w:rsid w:val="002054AE"/>
    <w:rsid w:val="00205763"/>
    <w:rsid w:val="00206CA2"/>
    <w:rsid w:val="00207134"/>
    <w:rsid w:val="0020772C"/>
    <w:rsid w:val="00210AE0"/>
    <w:rsid w:val="00210E18"/>
    <w:rsid w:val="002112E0"/>
    <w:rsid w:val="00211355"/>
    <w:rsid w:val="00212A22"/>
    <w:rsid w:val="00215424"/>
    <w:rsid w:val="00215E5C"/>
    <w:rsid w:val="002168BE"/>
    <w:rsid w:val="0022077D"/>
    <w:rsid w:val="00220EEB"/>
    <w:rsid w:val="002215A8"/>
    <w:rsid w:val="0022239A"/>
    <w:rsid w:val="002223D3"/>
    <w:rsid w:val="00222DC3"/>
    <w:rsid w:val="00224874"/>
    <w:rsid w:val="00225E53"/>
    <w:rsid w:val="00226D7E"/>
    <w:rsid w:val="00227BF6"/>
    <w:rsid w:val="0023065F"/>
    <w:rsid w:val="0023248F"/>
    <w:rsid w:val="002325E8"/>
    <w:rsid w:val="002343A6"/>
    <w:rsid w:val="002357F4"/>
    <w:rsid w:val="00236217"/>
    <w:rsid w:val="002368DD"/>
    <w:rsid w:val="00236919"/>
    <w:rsid w:val="00236948"/>
    <w:rsid w:val="00237BB4"/>
    <w:rsid w:val="002408BC"/>
    <w:rsid w:val="00240E40"/>
    <w:rsid w:val="00241471"/>
    <w:rsid w:val="00242393"/>
    <w:rsid w:val="00242C92"/>
    <w:rsid w:val="002435BA"/>
    <w:rsid w:val="00243900"/>
    <w:rsid w:val="002439C4"/>
    <w:rsid w:val="00244687"/>
    <w:rsid w:val="00244820"/>
    <w:rsid w:val="00244B97"/>
    <w:rsid w:val="00246C62"/>
    <w:rsid w:val="002479B6"/>
    <w:rsid w:val="00247D6A"/>
    <w:rsid w:val="00250139"/>
    <w:rsid w:val="0025070C"/>
    <w:rsid w:val="0025074B"/>
    <w:rsid w:val="00250E3F"/>
    <w:rsid w:val="0025237D"/>
    <w:rsid w:val="0025452F"/>
    <w:rsid w:val="00254808"/>
    <w:rsid w:val="00257349"/>
    <w:rsid w:val="0026012A"/>
    <w:rsid w:val="00260620"/>
    <w:rsid w:val="00260D92"/>
    <w:rsid w:val="002612D7"/>
    <w:rsid w:val="002620C0"/>
    <w:rsid w:val="00263EC1"/>
    <w:rsid w:val="00263EC4"/>
    <w:rsid w:val="00265EB2"/>
    <w:rsid w:val="00266214"/>
    <w:rsid w:val="002671D8"/>
    <w:rsid w:val="00267959"/>
    <w:rsid w:val="00270461"/>
    <w:rsid w:val="00270A85"/>
    <w:rsid w:val="00271667"/>
    <w:rsid w:val="00273334"/>
    <w:rsid w:val="00273685"/>
    <w:rsid w:val="002745E2"/>
    <w:rsid w:val="002751BE"/>
    <w:rsid w:val="002763F6"/>
    <w:rsid w:val="00280844"/>
    <w:rsid w:val="00280C8C"/>
    <w:rsid w:val="00281E75"/>
    <w:rsid w:val="00281FB3"/>
    <w:rsid w:val="00282BDB"/>
    <w:rsid w:val="00282D7B"/>
    <w:rsid w:val="00282F97"/>
    <w:rsid w:val="00284020"/>
    <w:rsid w:val="00284776"/>
    <w:rsid w:val="002851A3"/>
    <w:rsid w:val="0028565E"/>
    <w:rsid w:val="002858C8"/>
    <w:rsid w:val="00287DF4"/>
    <w:rsid w:val="0029009E"/>
    <w:rsid w:val="00290661"/>
    <w:rsid w:val="00290AB8"/>
    <w:rsid w:val="00291438"/>
    <w:rsid w:val="00292421"/>
    <w:rsid w:val="00293054"/>
    <w:rsid w:val="00293343"/>
    <w:rsid w:val="002950BB"/>
    <w:rsid w:val="00295179"/>
    <w:rsid w:val="0029528E"/>
    <w:rsid w:val="00295574"/>
    <w:rsid w:val="002971BE"/>
    <w:rsid w:val="0029756B"/>
    <w:rsid w:val="002A0395"/>
    <w:rsid w:val="002A03DA"/>
    <w:rsid w:val="002A094E"/>
    <w:rsid w:val="002A1913"/>
    <w:rsid w:val="002A1E1B"/>
    <w:rsid w:val="002A40AE"/>
    <w:rsid w:val="002A4909"/>
    <w:rsid w:val="002A5135"/>
    <w:rsid w:val="002A553C"/>
    <w:rsid w:val="002A58A0"/>
    <w:rsid w:val="002A6074"/>
    <w:rsid w:val="002A6A21"/>
    <w:rsid w:val="002A71D7"/>
    <w:rsid w:val="002A7D13"/>
    <w:rsid w:val="002A7F7D"/>
    <w:rsid w:val="002B049D"/>
    <w:rsid w:val="002B0C0C"/>
    <w:rsid w:val="002B0E0F"/>
    <w:rsid w:val="002B107C"/>
    <w:rsid w:val="002B2101"/>
    <w:rsid w:val="002B248C"/>
    <w:rsid w:val="002B305C"/>
    <w:rsid w:val="002B3D88"/>
    <w:rsid w:val="002B404C"/>
    <w:rsid w:val="002B6789"/>
    <w:rsid w:val="002B683C"/>
    <w:rsid w:val="002B6AB5"/>
    <w:rsid w:val="002C1081"/>
    <w:rsid w:val="002C1F56"/>
    <w:rsid w:val="002C266F"/>
    <w:rsid w:val="002C2C8D"/>
    <w:rsid w:val="002C3ADF"/>
    <w:rsid w:val="002C425D"/>
    <w:rsid w:val="002C49AF"/>
    <w:rsid w:val="002C5B31"/>
    <w:rsid w:val="002C6B4B"/>
    <w:rsid w:val="002C6BA4"/>
    <w:rsid w:val="002C76B0"/>
    <w:rsid w:val="002C7764"/>
    <w:rsid w:val="002C7BC9"/>
    <w:rsid w:val="002D033B"/>
    <w:rsid w:val="002D26EF"/>
    <w:rsid w:val="002D2FCA"/>
    <w:rsid w:val="002D32E1"/>
    <w:rsid w:val="002D3C71"/>
    <w:rsid w:val="002D402E"/>
    <w:rsid w:val="002D43BF"/>
    <w:rsid w:val="002D483A"/>
    <w:rsid w:val="002D497A"/>
    <w:rsid w:val="002D5994"/>
    <w:rsid w:val="002D6CF9"/>
    <w:rsid w:val="002D75AE"/>
    <w:rsid w:val="002D7C56"/>
    <w:rsid w:val="002E13DF"/>
    <w:rsid w:val="002E1A91"/>
    <w:rsid w:val="002E2604"/>
    <w:rsid w:val="002E5C9E"/>
    <w:rsid w:val="002E6361"/>
    <w:rsid w:val="002E7544"/>
    <w:rsid w:val="002F07C9"/>
    <w:rsid w:val="002F103D"/>
    <w:rsid w:val="002F1129"/>
    <w:rsid w:val="002F22E6"/>
    <w:rsid w:val="002F2303"/>
    <w:rsid w:val="002F26F4"/>
    <w:rsid w:val="002F3E44"/>
    <w:rsid w:val="002F40EF"/>
    <w:rsid w:val="002F5673"/>
    <w:rsid w:val="002F5771"/>
    <w:rsid w:val="002F6098"/>
    <w:rsid w:val="002F6E81"/>
    <w:rsid w:val="002F7FA3"/>
    <w:rsid w:val="00300635"/>
    <w:rsid w:val="00300882"/>
    <w:rsid w:val="00300D09"/>
    <w:rsid w:val="00300F54"/>
    <w:rsid w:val="00301A4E"/>
    <w:rsid w:val="0030277A"/>
    <w:rsid w:val="00302ED3"/>
    <w:rsid w:val="00304457"/>
    <w:rsid w:val="00305550"/>
    <w:rsid w:val="00305F1B"/>
    <w:rsid w:val="00306FD6"/>
    <w:rsid w:val="003075F2"/>
    <w:rsid w:val="00307BC2"/>
    <w:rsid w:val="00313726"/>
    <w:rsid w:val="00313DEE"/>
    <w:rsid w:val="003144B2"/>
    <w:rsid w:val="00317A29"/>
    <w:rsid w:val="0032018E"/>
    <w:rsid w:val="00320384"/>
    <w:rsid w:val="00320536"/>
    <w:rsid w:val="00320C9E"/>
    <w:rsid w:val="00321B18"/>
    <w:rsid w:val="0032279A"/>
    <w:rsid w:val="00323236"/>
    <w:rsid w:val="00323CDA"/>
    <w:rsid w:val="00325939"/>
    <w:rsid w:val="003274EF"/>
    <w:rsid w:val="00330798"/>
    <w:rsid w:val="00331BDC"/>
    <w:rsid w:val="00332EBF"/>
    <w:rsid w:val="0033398C"/>
    <w:rsid w:val="00337039"/>
    <w:rsid w:val="0033707B"/>
    <w:rsid w:val="003377AF"/>
    <w:rsid w:val="003403DD"/>
    <w:rsid w:val="0034129B"/>
    <w:rsid w:val="00342321"/>
    <w:rsid w:val="003453AA"/>
    <w:rsid w:val="00350D4B"/>
    <w:rsid w:val="00360CA2"/>
    <w:rsid w:val="0036156E"/>
    <w:rsid w:val="0036258B"/>
    <w:rsid w:val="00362901"/>
    <w:rsid w:val="0036329A"/>
    <w:rsid w:val="00364DAD"/>
    <w:rsid w:val="0037004A"/>
    <w:rsid w:val="00370303"/>
    <w:rsid w:val="003722B0"/>
    <w:rsid w:val="00372ED6"/>
    <w:rsid w:val="00373822"/>
    <w:rsid w:val="00373949"/>
    <w:rsid w:val="00374786"/>
    <w:rsid w:val="0037590B"/>
    <w:rsid w:val="003772F8"/>
    <w:rsid w:val="00377355"/>
    <w:rsid w:val="003779D1"/>
    <w:rsid w:val="003802C9"/>
    <w:rsid w:val="00381846"/>
    <w:rsid w:val="00383691"/>
    <w:rsid w:val="00383B3C"/>
    <w:rsid w:val="00384846"/>
    <w:rsid w:val="003849B7"/>
    <w:rsid w:val="00384DB8"/>
    <w:rsid w:val="003851F3"/>
    <w:rsid w:val="003855BD"/>
    <w:rsid w:val="00385A84"/>
    <w:rsid w:val="00387CB1"/>
    <w:rsid w:val="00391A4E"/>
    <w:rsid w:val="00391BD5"/>
    <w:rsid w:val="00392D0B"/>
    <w:rsid w:val="003946AB"/>
    <w:rsid w:val="00394C6F"/>
    <w:rsid w:val="00395C52"/>
    <w:rsid w:val="003960D2"/>
    <w:rsid w:val="00396243"/>
    <w:rsid w:val="003974AA"/>
    <w:rsid w:val="003A010D"/>
    <w:rsid w:val="003A17E4"/>
    <w:rsid w:val="003A18BC"/>
    <w:rsid w:val="003A34FE"/>
    <w:rsid w:val="003A4AAD"/>
    <w:rsid w:val="003A4B81"/>
    <w:rsid w:val="003A52B7"/>
    <w:rsid w:val="003A5D00"/>
    <w:rsid w:val="003A6C93"/>
    <w:rsid w:val="003B0864"/>
    <w:rsid w:val="003B14F9"/>
    <w:rsid w:val="003B1500"/>
    <w:rsid w:val="003B1EC8"/>
    <w:rsid w:val="003B490D"/>
    <w:rsid w:val="003B52EB"/>
    <w:rsid w:val="003B5C5E"/>
    <w:rsid w:val="003B5C96"/>
    <w:rsid w:val="003B6BBC"/>
    <w:rsid w:val="003C1FC1"/>
    <w:rsid w:val="003C236D"/>
    <w:rsid w:val="003C3098"/>
    <w:rsid w:val="003C4BB8"/>
    <w:rsid w:val="003C644B"/>
    <w:rsid w:val="003C6933"/>
    <w:rsid w:val="003C6FCB"/>
    <w:rsid w:val="003D01FE"/>
    <w:rsid w:val="003D1E12"/>
    <w:rsid w:val="003D3150"/>
    <w:rsid w:val="003D3790"/>
    <w:rsid w:val="003D38A8"/>
    <w:rsid w:val="003D41C5"/>
    <w:rsid w:val="003D41D9"/>
    <w:rsid w:val="003D5159"/>
    <w:rsid w:val="003D5B31"/>
    <w:rsid w:val="003D65BF"/>
    <w:rsid w:val="003D6CC8"/>
    <w:rsid w:val="003D6FE8"/>
    <w:rsid w:val="003D7B3A"/>
    <w:rsid w:val="003D7D91"/>
    <w:rsid w:val="003D7F5F"/>
    <w:rsid w:val="003E0114"/>
    <w:rsid w:val="003E1DFD"/>
    <w:rsid w:val="003E20F3"/>
    <w:rsid w:val="003E461F"/>
    <w:rsid w:val="003E536C"/>
    <w:rsid w:val="003E5FC3"/>
    <w:rsid w:val="003E6551"/>
    <w:rsid w:val="003E758D"/>
    <w:rsid w:val="003E7882"/>
    <w:rsid w:val="003E79E6"/>
    <w:rsid w:val="003F04DB"/>
    <w:rsid w:val="003F0B07"/>
    <w:rsid w:val="003F28D2"/>
    <w:rsid w:val="003F3853"/>
    <w:rsid w:val="003F3F76"/>
    <w:rsid w:val="003F4E81"/>
    <w:rsid w:val="003F64B1"/>
    <w:rsid w:val="003F65E0"/>
    <w:rsid w:val="003F6E3F"/>
    <w:rsid w:val="003F718B"/>
    <w:rsid w:val="004007EE"/>
    <w:rsid w:val="00401AED"/>
    <w:rsid w:val="00404946"/>
    <w:rsid w:val="00406A17"/>
    <w:rsid w:val="00406F81"/>
    <w:rsid w:val="0040716A"/>
    <w:rsid w:val="004072B0"/>
    <w:rsid w:val="004078BD"/>
    <w:rsid w:val="00411CA3"/>
    <w:rsid w:val="00413669"/>
    <w:rsid w:val="00414390"/>
    <w:rsid w:val="00414602"/>
    <w:rsid w:val="00417D90"/>
    <w:rsid w:val="004223D2"/>
    <w:rsid w:val="00422E0A"/>
    <w:rsid w:val="00422E69"/>
    <w:rsid w:val="00423362"/>
    <w:rsid w:val="0042363C"/>
    <w:rsid w:val="00423A68"/>
    <w:rsid w:val="00425527"/>
    <w:rsid w:val="00427CB5"/>
    <w:rsid w:val="004306DE"/>
    <w:rsid w:val="004317F1"/>
    <w:rsid w:val="0043256E"/>
    <w:rsid w:val="00432E87"/>
    <w:rsid w:val="004335E3"/>
    <w:rsid w:val="00433628"/>
    <w:rsid w:val="00434427"/>
    <w:rsid w:val="004364D7"/>
    <w:rsid w:val="00436EF2"/>
    <w:rsid w:val="00437497"/>
    <w:rsid w:val="004378E6"/>
    <w:rsid w:val="004400AF"/>
    <w:rsid w:val="00441B55"/>
    <w:rsid w:val="00443617"/>
    <w:rsid w:val="004437A5"/>
    <w:rsid w:val="004440F2"/>
    <w:rsid w:val="00444EA0"/>
    <w:rsid w:val="00445B19"/>
    <w:rsid w:val="0044666F"/>
    <w:rsid w:val="00447825"/>
    <w:rsid w:val="00450B5B"/>
    <w:rsid w:val="004517FD"/>
    <w:rsid w:val="00452376"/>
    <w:rsid w:val="0045269A"/>
    <w:rsid w:val="00452AE5"/>
    <w:rsid w:val="004538C9"/>
    <w:rsid w:val="00457C90"/>
    <w:rsid w:val="00460A9D"/>
    <w:rsid w:val="00461281"/>
    <w:rsid w:val="00461768"/>
    <w:rsid w:val="004632F8"/>
    <w:rsid w:val="00463F8B"/>
    <w:rsid w:val="0046645B"/>
    <w:rsid w:val="00466DAB"/>
    <w:rsid w:val="00467796"/>
    <w:rsid w:val="004679E5"/>
    <w:rsid w:val="00467D4B"/>
    <w:rsid w:val="00472217"/>
    <w:rsid w:val="004736F2"/>
    <w:rsid w:val="00473797"/>
    <w:rsid w:val="00473EF9"/>
    <w:rsid w:val="004749EC"/>
    <w:rsid w:val="004755E7"/>
    <w:rsid w:val="004761C1"/>
    <w:rsid w:val="00480621"/>
    <w:rsid w:val="00480A63"/>
    <w:rsid w:val="0048140B"/>
    <w:rsid w:val="004823AC"/>
    <w:rsid w:val="00483299"/>
    <w:rsid w:val="00483583"/>
    <w:rsid w:val="00483D57"/>
    <w:rsid w:val="00485A11"/>
    <w:rsid w:val="00486FAE"/>
    <w:rsid w:val="00487A9F"/>
    <w:rsid w:val="00490475"/>
    <w:rsid w:val="00491348"/>
    <w:rsid w:val="004918A5"/>
    <w:rsid w:val="00492654"/>
    <w:rsid w:val="0049292D"/>
    <w:rsid w:val="00493447"/>
    <w:rsid w:val="00493F21"/>
    <w:rsid w:val="0049416D"/>
    <w:rsid w:val="00494598"/>
    <w:rsid w:val="00494888"/>
    <w:rsid w:val="00494CF4"/>
    <w:rsid w:val="00494DE4"/>
    <w:rsid w:val="00495DD7"/>
    <w:rsid w:val="004974F8"/>
    <w:rsid w:val="004A143E"/>
    <w:rsid w:val="004A2B1B"/>
    <w:rsid w:val="004A58EF"/>
    <w:rsid w:val="004A5EFA"/>
    <w:rsid w:val="004A63E8"/>
    <w:rsid w:val="004A693A"/>
    <w:rsid w:val="004B0DFF"/>
    <w:rsid w:val="004B1717"/>
    <w:rsid w:val="004B18F6"/>
    <w:rsid w:val="004B1FBF"/>
    <w:rsid w:val="004B26A1"/>
    <w:rsid w:val="004B30EF"/>
    <w:rsid w:val="004B32BA"/>
    <w:rsid w:val="004B3764"/>
    <w:rsid w:val="004B5488"/>
    <w:rsid w:val="004B5CE1"/>
    <w:rsid w:val="004B73D3"/>
    <w:rsid w:val="004C0B8F"/>
    <w:rsid w:val="004C1289"/>
    <w:rsid w:val="004C1FAD"/>
    <w:rsid w:val="004C2572"/>
    <w:rsid w:val="004C2B9F"/>
    <w:rsid w:val="004C3340"/>
    <w:rsid w:val="004C364A"/>
    <w:rsid w:val="004C38B5"/>
    <w:rsid w:val="004C4437"/>
    <w:rsid w:val="004C4727"/>
    <w:rsid w:val="004C55BD"/>
    <w:rsid w:val="004C76EF"/>
    <w:rsid w:val="004D0212"/>
    <w:rsid w:val="004D0499"/>
    <w:rsid w:val="004D10B2"/>
    <w:rsid w:val="004D1C0E"/>
    <w:rsid w:val="004D2AF7"/>
    <w:rsid w:val="004D2CDC"/>
    <w:rsid w:val="004D4DB8"/>
    <w:rsid w:val="004D6118"/>
    <w:rsid w:val="004D6F62"/>
    <w:rsid w:val="004D7103"/>
    <w:rsid w:val="004D7293"/>
    <w:rsid w:val="004E2A82"/>
    <w:rsid w:val="004E3419"/>
    <w:rsid w:val="004E3BFC"/>
    <w:rsid w:val="004E3C34"/>
    <w:rsid w:val="004E4DAC"/>
    <w:rsid w:val="004E6CCF"/>
    <w:rsid w:val="004F123E"/>
    <w:rsid w:val="004F2CFD"/>
    <w:rsid w:val="004F543D"/>
    <w:rsid w:val="004F69AF"/>
    <w:rsid w:val="004F6AB0"/>
    <w:rsid w:val="00500222"/>
    <w:rsid w:val="005005EF"/>
    <w:rsid w:val="0050067E"/>
    <w:rsid w:val="005014A3"/>
    <w:rsid w:val="0050151D"/>
    <w:rsid w:val="00502D05"/>
    <w:rsid w:val="00503F3C"/>
    <w:rsid w:val="005046C5"/>
    <w:rsid w:val="00505365"/>
    <w:rsid w:val="005056E0"/>
    <w:rsid w:val="0050738D"/>
    <w:rsid w:val="00507476"/>
    <w:rsid w:val="00507529"/>
    <w:rsid w:val="0051460C"/>
    <w:rsid w:val="005154A3"/>
    <w:rsid w:val="005156FE"/>
    <w:rsid w:val="005202D2"/>
    <w:rsid w:val="00524911"/>
    <w:rsid w:val="00525BCB"/>
    <w:rsid w:val="00525FD8"/>
    <w:rsid w:val="00526B2B"/>
    <w:rsid w:val="00530E37"/>
    <w:rsid w:val="00530F39"/>
    <w:rsid w:val="00531364"/>
    <w:rsid w:val="00531981"/>
    <w:rsid w:val="00531F1B"/>
    <w:rsid w:val="00532C22"/>
    <w:rsid w:val="0053419A"/>
    <w:rsid w:val="005344F9"/>
    <w:rsid w:val="00534573"/>
    <w:rsid w:val="0053532B"/>
    <w:rsid w:val="005363CC"/>
    <w:rsid w:val="0053705D"/>
    <w:rsid w:val="0053788E"/>
    <w:rsid w:val="005405C9"/>
    <w:rsid w:val="00541CF6"/>
    <w:rsid w:val="00543B4C"/>
    <w:rsid w:val="00543BC4"/>
    <w:rsid w:val="00544711"/>
    <w:rsid w:val="00544FCB"/>
    <w:rsid w:val="00545419"/>
    <w:rsid w:val="00546562"/>
    <w:rsid w:val="005465B5"/>
    <w:rsid w:val="00546E74"/>
    <w:rsid w:val="00547162"/>
    <w:rsid w:val="005479F7"/>
    <w:rsid w:val="005500BA"/>
    <w:rsid w:val="0055150A"/>
    <w:rsid w:val="005527DB"/>
    <w:rsid w:val="0055438D"/>
    <w:rsid w:val="00554BAA"/>
    <w:rsid w:val="00554EBE"/>
    <w:rsid w:val="0056125B"/>
    <w:rsid w:val="00561A23"/>
    <w:rsid w:val="00562E08"/>
    <w:rsid w:val="00563EA6"/>
    <w:rsid w:val="005644AF"/>
    <w:rsid w:val="00564756"/>
    <w:rsid w:val="0056632E"/>
    <w:rsid w:val="0056775C"/>
    <w:rsid w:val="00570CDB"/>
    <w:rsid w:val="0057206A"/>
    <w:rsid w:val="00575937"/>
    <w:rsid w:val="005805A4"/>
    <w:rsid w:val="00584E0D"/>
    <w:rsid w:val="0058590E"/>
    <w:rsid w:val="00585DF4"/>
    <w:rsid w:val="005860EE"/>
    <w:rsid w:val="0058652F"/>
    <w:rsid w:val="00586AE8"/>
    <w:rsid w:val="00591603"/>
    <w:rsid w:val="005919BA"/>
    <w:rsid w:val="00592638"/>
    <w:rsid w:val="00594233"/>
    <w:rsid w:val="00594A27"/>
    <w:rsid w:val="005959E9"/>
    <w:rsid w:val="005968E9"/>
    <w:rsid w:val="00596F1B"/>
    <w:rsid w:val="005971AC"/>
    <w:rsid w:val="005A0F51"/>
    <w:rsid w:val="005A2A5F"/>
    <w:rsid w:val="005A4BD1"/>
    <w:rsid w:val="005A5177"/>
    <w:rsid w:val="005A55CC"/>
    <w:rsid w:val="005A7F79"/>
    <w:rsid w:val="005B020B"/>
    <w:rsid w:val="005B0B30"/>
    <w:rsid w:val="005B1BE0"/>
    <w:rsid w:val="005B316D"/>
    <w:rsid w:val="005B3751"/>
    <w:rsid w:val="005B3DC7"/>
    <w:rsid w:val="005B444F"/>
    <w:rsid w:val="005B6E62"/>
    <w:rsid w:val="005B6F10"/>
    <w:rsid w:val="005B7DA7"/>
    <w:rsid w:val="005C09FF"/>
    <w:rsid w:val="005C0D58"/>
    <w:rsid w:val="005C2001"/>
    <w:rsid w:val="005C3078"/>
    <w:rsid w:val="005C46A6"/>
    <w:rsid w:val="005C4A3E"/>
    <w:rsid w:val="005C4F10"/>
    <w:rsid w:val="005C57AE"/>
    <w:rsid w:val="005C582E"/>
    <w:rsid w:val="005C6933"/>
    <w:rsid w:val="005C6943"/>
    <w:rsid w:val="005C6DFC"/>
    <w:rsid w:val="005D1167"/>
    <w:rsid w:val="005D1E28"/>
    <w:rsid w:val="005D2705"/>
    <w:rsid w:val="005D43D2"/>
    <w:rsid w:val="005D455D"/>
    <w:rsid w:val="005D5EBF"/>
    <w:rsid w:val="005D6170"/>
    <w:rsid w:val="005D7421"/>
    <w:rsid w:val="005D77CA"/>
    <w:rsid w:val="005D7A0D"/>
    <w:rsid w:val="005D7F82"/>
    <w:rsid w:val="005E244E"/>
    <w:rsid w:val="005E29B6"/>
    <w:rsid w:val="005E326C"/>
    <w:rsid w:val="005E362A"/>
    <w:rsid w:val="005E362B"/>
    <w:rsid w:val="005E3A0A"/>
    <w:rsid w:val="005E3E74"/>
    <w:rsid w:val="005E6280"/>
    <w:rsid w:val="005E6D5A"/>
    <w:rsid w:val="005E7620"/>
    <w:rsid w:val="005E7B31"/>
    <w:rsid w:val="005E7DE4"/>
    <w:rsid w:val="005F0ACB"/>
    <w:rsid w:val="005F34B5"/>
    <w:rsid w:val="005F582C"/>
    <w:rsid w:val="005F5B4C"/>
    <w:rsid w:val="005F5BA1"/>
    <w:rsid w:val="005F6E1C"/>
    <w:rsid w:val="005F76D4"/>
    <w:rsid w:val="005F7914"/>
    <w:rsid w:val="00600968"/>
    <w:rsid w:val="00601156"/>
    <w:rsid w:val="00601A6C"/>
    <w:rsid w:val="00601F43"/>
    <w:rsid w:val="006064BF"/>
    <w:rsid w:val="00606629"/>
    <w:rsid w:val="0060678C"/>
    <w:rsid w:val="006077F3"/>
    <w:rsid w:val="00610522"/>
    <w:rsid w:val="00611E68"/>
    <w:rsid w:val="00614810"/>
    <w:rsid w:val="00616163"/>
    <w:rsid w:val="0061680D"/>
    <w:rsid w:val="00616CBC"/>
    <w:rsid w:val="00616F6F"/>
    <w:rsid w:val="0061784B"/>
    <w:rsid w:val="006206BF"/>
    <w:rsid w:val="006207F6"/>
    <w:rsid w:val="00620B6E"/>
    <w:rsid w:val="00620DC5"/>
    <w:rsid w:val="00622C3A"/>
    <w:rsid w:val="00623CF9"/>
    <w:rsid w:val="00624FF9"/>
    <w:rsid w:val="006267F3"/>
    <w:rsid w:val="0063322C"/>
    <w:rsid w:val="0063572E"/>
    <w:rsid w:val="00637649"/>
    <w:rsid w:val="00640D9F"/>
    <w:rsid w:val="006414CB"/>
    <w:rsid w:val="00641952"/>
    <w:rsid w:val="00642DB3"/>
    <w:rsid w:val="00642F0B"/>
    <w:rsid w:val="006430AD"/>
    <w:rsid w:val="00644849"/>
    <w:rsid w:val="00644B5F"/>
    <w:rsid w:val="00647A32"/>
    <w:rsid w:val="006500F8"/>
    <w:rsid w:val="006511BD"/>
    <w:rsid w:val="00651404"/>
    <w:rsid w:val="006523FF"/>
    <w:rsid w:val="0065250E"/>
    <w:rsid w:val="00652B3B"/>
    <w:rsid w:val="00653956"/>
    <w:rsid w:val="006566AD"/>
    <w:rsid w:val="00656CDD"/>
    <w:rsid w:val="00660279"/>
    <w:rsid w:val="00661282"/>
    <w:rsid w:val="006612E3"/>
    <w:rsid w:val="00661DE3"/>
    <w:rsid w:val="00662E5F"/>
    <w:rsid w:val="00663FD2"/>
    <w:rsid w:val="00664259"/>
    <w:rsid w:val="006648EA"/>
    <w:rsid w:val="00666492"/>
    <w:rsid w:val="00666DD9"/>
    <w:rsid w:val="0066757B"/>
    <w:rsid w:val="006677FC"/>
    <w:rsid w:val="00667836"/>
    <w:rsid w:val="00667C5F"/>
    <w:rsid w:val="00670CE2"/>
    <w:rsid w:val="00670E69"/>
    <w:rsid w:val="00671DCA"/>
    <w:rsid w:val="00671DEE"/>
    <w:rsid w:val="006739E8"/>
    <w:rsid w:val="00675089"/>
    <w:rsid w:val="00677001"/>
    <w:rsid w:val="006775BE"/>
    <w:rsid w:val="00677A7B"/>
    <w:rsid w:val="00677BE8"/>
    <w:rsid w:val="00677C23"/>
    <w:rsid w:val="00681C2D"/>
    <w:rsid w:val="00682279"/>
    <w:rsid w:val="006832BB"/>
    <w:rsid w:val="006834D5"/>
    <w:rsid w:val="0068364E"/>
    <w:rsid w:val="00683BD8"/>
    <w:rsid w:val="00684084"/>
    <w:rsid w:val="00685507"/>
    <w:rsid w:val="0068699D"/>
    <w:rsid w:val="0069011E"/>
    <w:rsid w:val="006920EE"/>
    <w:rsid w:val="00692530"/>
    <w:rsid w:val="006940C2"/>
    <w:rsid w:val="006943A1"/>
    <w:rsid w:val="006945E6"/>
    <w:rsid w:val="006946DF"/>
    <w:rsid w:val="006948D2"/>
    <w:rsid w:val="00695932"/>
    <w:rsid w:val="00695BF8"/>
    <w:rsid w:val="00695CD3"/>
    <w:rsid w:val="00696D43"/>
    <w:rsid w:val="00696E3A"/>
    <w:rsid w:val="00696E48"/>
    <w:rsid w:val="00697CB7"/>
    <w:rsid w:val="006A2FFE"/>
    <w:rsid w:val="006A3081"/>
    <w:rsid w:val="006A3D45"/>
    <w:rsid w:val="006A51E8"/>
    <w:rsid w:val="006A5CF8"/>
    <w:rsid w:val="006A77B3"/>
    <w:rsid w:val="006A7E63"/>
    <w:rsid w:val="006B0A14"/>
    <w:rsid w:val="006B1A6C"/>
    <w:rsid w:val="006B1E10"/>
    <w:rsid w:val="006B204C"/>
    <w:rsid w:val="006B2719"/>
    <w:rsid w:val="006B4007"/>
    <w:rsid w:val="006B4294"/>
    <w:rsid w:val="006B5444"/>
    <w:rsid w:val="006B7663"/>
    <w:rsid w:val="006B782E"/>
    <w:rsid w:val="006C0446"/>
    <w:rsid w:val="006C24D4"/>
    <w:rsid w:val="006C270C"/>
    <w:rsid w:val="006C349A"/>
    <w:rsid w:val="006D0342"/>
    <w:rsid w:val="006D0F4F"/>
    <w:rsid w:val="006D48BE"/>
    <w:rsid w:val="006D523C"/>
    <w:rsid w:val="006E01CC"/>
    <w:rsid w:val="006E0400"/>
    <w:rsid w:val="006E1B51"/>
    <w:rsid w:val="006E2AFA"/>
    <w:rsid w:val="006E318C"/>
    <w:rsid w:val="006E418E"/>
    <w:rsid w:val="006E5087"/>
    <w:rsid w:val="006E5557"/>
    <w:rsid w:val="006E60EE"/>
    <w:rsid w:val="006E7888"/>
    <w:rsid w:val="006F0216"/>
    <w:rsid w:val="006F0761"/>
    <w:rsid w:val="006F213F"/>
    <w:rsid w:val="006F2750"/>
    <w:rsid w:val="006F29F3"/>
    <w:rsid w:val="006F390E"/>
    <w:rsid w:val="006F414B"/>
    <w:rsid w:val="006F4B51"/>
    <w:rsid w:val="006F4D99"/>
    <w:rsid w:val="006F5A86"/>
    <w:rsid w:val="006F5AE6"/>
    <w:rsid w:val="006F5EDD"/>
    <w:rsid w:val="006F6CC9"/>
    <w:rsid w:val="006F747C"/>
    <w:rsid w:val="006F77A2"/>
    <w:rsid w:val="00700DCF"/>
    <w:rsid w:val="0070173D"/>
    <w:rsid w:val="007028F6"/>
    <w:rsid w:val="00702CAB"/>
    <w:rsid w:val="007046FB"/>
    <w:rsid w:val="00704C66"/>
    <w:rsid w:val="00705DE7"/>
    <w:rsid w:val="0070614A"/>
    <w:rsid w:val="007061D9"/>
    <w:rsid w:val="007115B3"/>
    <w:rsid w:val="00712DBF"/>
    <w:rsid w:val="00712EDF"/>
    <w:rsid w:val="007132C0"/>
    <w:rsid w:val="0071408D"/>
    <w:rsid w:val="007157BB"/>
    <w:rsid w:val="00716B6A"/>
    <w:rsid w:val="00716FBD"/>
    <w:rsid w:val="00717C89"/>
    <w:rsid w:val="007209DD"/>
    <w:rsid w:val="00720DAD"/>
    <w:rsid w:val="00722930"/>
    <w:rsid w:val="00723480"/>
    <w:rsid w:val="0072351A"/>
    <w:rsid w:val="00723838"/>
    <w:rsid w:val="00724129"/>
    <w:rsid w:val="00724C30"/>
    <w:rsid w:val="00725D57"/>
    <w:rsid w:val="00726428"/>
    <w:rsid w:val="00726C8B"/>
    <w:rsid w:val="00726D1D"/>
    <w:rsid w:val="00726F6F"/>
    <w:rsid w:val="0072734B"/>
    <w:rsid w:val="00727551"/>
    <w:rsid w:val="0073193B"/>
    <w:rsid w:val="007355E3"/>
    <w:rsid w:val="00735BD9"/>
    <w:rsid w:val="00736065"/>
    <w:rsid w:val="00736130"/>
    <w:rsid w:val="007368C3"/>
    <w:rsid w:val="00736BC9"/>
    <w:rsid w:val="00736BD7"/>
    <w:rsid w:val="00736DAE"/>
    <w:rsid w:val="0073766A"/>
    <w:rsid w:val="00737DB2"/>
    <w:rsid w:val="007400B2"/>
    <w:rsid w:val="00740398"/>
    <w:rsid w:val="007426B8"/>
    <w:rsid w:val="00744989"/>
    <w:rsid w:val="00744B6D"/>
    <w:rsid w:val="007451D2"/>
    <w:rsid w:val="00745F26"/>
    <w:rsid w:val="00746991"/>
    <w:rsid w:val="00746D42"/>
    <w:rsid w:val="00747219"/>
    <w:rsid w:val="00747973"/>
    <w:rsid w:val="00750830"/>
    <w:rsid w:val="00750D12"/>
    <w:rsid w:val="007513F8"/>
    <w:rsid w:val="0075212E"/>
    <w:rsid w:val="0075253D"/>
    <w:rsid w:val="007526F4"/>
    <w:rsid w:val="007530C2"/>
    <w:rsid w:val="007538B1"/>
    <w:rsid w:val="007547E8"/>
    <w:rsid w:val="007549ED"/>
    <w:rsid w:val="00756084"/>
    <w:rsid w:val="007560F4"/>
    <w:rsid w:val="00757A55"/>
    <w:rsid w:val="007609C0"/>
    <w:rsid w:val="00761AD8"/>
    <w:rsid w:val="007639EA"/>
    <w:rsid w:val="00764014"/>
    <w:rsid w:val="007642F3"/>
    <w:rsid w:val="0076442A"/>
    <w:rsid w:val="007645C3"/>
    <w:rsid w:val="00764BD7"/>
    <w:rsid w:val="0076612C"/>
    <w:rsid w:val="0076666A"/>
    <w:rsid w:val="00767285"/>
    <w:rsid w:val="007672E1"/>
    <w:rsid w:val="007703C2"/>
    <w:rsid w:val="007710A9"/>
    <w:rsid w:val="00772397"/>
    <w:rsid w:val="00775A5C"/>
    <w:rsid w:val="0077675B"/>
    <w:rsid w:val="00777702"/>
    <w:rsid w:val="00777A08"/>
    <w:rsid w:val="00777BB3"/>
    <w:rsid w:val="007805B3"/>
    <w:rsid w:val="00780EBD"/>
    <w:rsid w:val="00781771"/>
    <w:rsid w:val="00781B28"/>
    <w:rsid w:val="0078310A"/>
    <w:rsid w:val="00783F07"/>
    <w:rsid w:val="00784A27"/>
    <w:rsid w:val="00786861"/>
    <w:rsid w:val="00786D77"/>
    <w:rsid w:val="0079009F"/>
    <w:rsid w:val="00790AB8"/>
    <w:rsid w:val="007910ED"/>
    <w:rsid w:val="0079112F"/>
    <w:rsid w:val="00792003"/>
    <w:rsid w:val="007936BE"/>
    <w:rsid w:val="00796506"/>
    <w:rsid w:val="00796A4E"/>
    <w:rsid w:val="007974DB"/>
    <w:rsid w:val="00797626"/>
    <w:rsid w:val="00797B1F"/>
    <w:rsid w:val="00797FEC"/>
    <w:rsid w:val="007A0109"/>
    <w:rsid w:val="007A0233"/>
    <w:rsid w:val="007A02C9"/>
    <w:rsid w:val="007A1204"/>
    <w:rsid w:val="007A1249"/>
    <w:rsid w:val="007A25A3"/>
    <w:rsid w:val="007A57C0"/>
    <w:rsid w:val="007A6434"/>
    <w:rsid w:val="007B121D"/>
    <w:rsid w:val="007B1500"/>
    <w:rsid w:val="007B1FF5"/>
    <w:rsid w:val="007B28C9"/>
    <w:rsid w:val="007B38E2"/>
    <w:rsid w:val="007B4582"/>
    <w:rsid w:val="007B462E"/>
    <w:rsid w:val="007B6622"/>
    <w:rsid w:val="007B7125"/>
    <w:rsid w:val="007B7B21"/>
    <w:rsid w:val="007C0BC9"/>
    <w:rsid w:val="007C1461"/>
    <w:rsid w:val="007C1BFE"/>
    <w:rsid w:val="007C1C0B"/>
    <w:rsid w:val="007C1E74"/>
    <w:rsid w:val="007C299C"/>
    <w:rsid w:val="007C35ED"/>
    <w:rsid w:val="007C4A41"/>
    <w:rsid w:val="007C511C"/>
    <w:rsid w:val="007C6499"/>
    <w:rsid w:val="007C6650"/>
    <w:rsid w:val="007C7ED8"/>
    <w:rsid w:val="007D07DC"/>
    <w:rsid w:val="007D0E5F"/>
    <w:rsid w:val="007D2B5E"/>
    <w:rsid w:val="007D362F"/>
    <w:rsid w:val="007D3FF8"/>
    <w:rsid w:val="007D423F"/>
    <w:rsid w:val="007D594D"/>
    <w:rsid w:val="007D6884"/>
    <w:rsid w:val="007D7014"/>
    <w:rsid w:val="007D7370"/>
    <w:rsid w:val="007D7662"/>
    <w:rsid w:val="007E0C11"/>
    <w:rsid w:val="007E165A"/>
    <w:rsid w:val="007E26D6"/>
    <w:rsid w:val="007E3816"/>
    <w:rsid w:val="007E39F4"/>
    <w:rsid w:val="007E3F73"/>
    <w:rsid w:val="007E487E"/>
    <w:rsid w:val="007E51D7"/>
    <w:rsid w:val="007E643D"/>
    <w:rsid w:val="007E70EF"/>
    <w:rsid w:val="007E73ED"/>
    <w:rsid w:val="007F123A"/>
    <w:rsid w:val="007F1F84"/>
    <w:rsid w:val="007F2440"/>
    <w:rsid w:val="007F36C6"/>
    <w:rsid w:val="007F465B"/>
    <w:rsid w:val="007F5693"/>
    <w:rsid w:val="007F72B0"/>
    <w:rsid w:val="007F730C"/>
    <w:rsid w:val="008009A1"/>
    <w:rsid w:val="00801545"/>
    <w:rsid w:val="008024BB"/>
    <w:rsid w:val="00803551"/>
    <w:rsid w:val="008049B1"/>
    <w:rsid w:val="00804C08"/>
    <w:rsid w:val="008068D3"/>
    <w:rsid w:val="00806C01"/>
    <w:rsid w:val="00807F4D"/>
    <w:rsid w:val="008103A2"/>
    <w:rsid w:val="008113E1"/>
    <w:rsid w:val="00811568"/>
    <w:rsid w:val="0081331C"/>
    <w:rsid w:val="00813868"/>
    <w:rsid w:val="00814845"/>
    <w:rsid w:val="00815BF9"/>
    <w:rsid w:val="00815D78"/>
    <w:rsid w:val="00816EDF"/>
    <w:rsid w:val="00817847"/>
    <w:rsid w:val="00821808"/>
    <w:rsid w:val="0082299B"/>
    <w:rsid w:val="008234D1"/>
    <w:rsid w:val="00826CA2"/>
    <w:rsid w:val="0083031A"/>
    <w:rsid w:val="008314CF"/>
    <w:rsid w:val="00832265"/>
    <w:rsid w:val="00832A62"/>
    <w:rsid w:val="00833EB0"/>
    <w:rsid w:val="008342E2"/>
    <w:rsid w:val="00834B04"/>
    <w:rsid w:val="008404B7"/>
    <w:rsid w:val="00840618"/>
    <w:rsid w:val="00841E8A"/>
    <w:rsid w:val="008420C6"/>
    <w:rsid w:val="00842384"/>
    <w:rsid w:val="00843841"/>
    <w:rsid w:val="00844F47"/>
    <w:rsid w:val="00845757"/>
    <w:rsid w:val="008473E9"/>
    <w:rsid w:val="008476A7"/>
    <w:rsid w:val="008478BA"/>
    <w:rsid w:val="008502C3"/>
    <w:rsid w:val="00850407"/>
    <w:rsid w:val="008509D7"/>
    <w:rsid w:val="008512A9"/>
    <w:rsid w:val="00852C3F"/>
    <w:rsid w:val="00853027"/>
    <w:rsid w:val="00853345"/>
    <w:rsid w:val="00854EDE"/>
    <w:rsid w:val="008575D6"/>
    <w:rsid w:val="00857FA2"/>
    <w:rsid w:val="008621DA"/>
    <w:rsid w:val="00863053"/>
    <w:rsid w:val="008637CE"/>
    <w:rsid w:val="00863F1A"/>
    <w:rsid w:val="00864E60"/>
    <w:rsid w:val="008650B4"/>
    <w:rsid w:val="0086650B"/>
    <w:rsid w:val="00867B8D"/>
    <w:rsid w:val="00870658"/>
    <w:rsid w:val="0087342C"/>
    <w:rsid w:val="0087522F"/>
    <w:rsid w:val="00876F0D"/>
    <w:rsid w:val="00880081"/>
    <w:rsid w:val="00881B27"/>
    <w:rsid w:val="00881B9C"/>
    <w:rsid w:val="008827B7"/>
    <w:rsid w:val="00883A48"/>
    <w:rsid w:val="00884045"/>
    <w:rsid w:val="00884101"/>
    <w:rsid w:val="0088484B"/>
    <w:rsid w:val="0088668E"/>
    <w:rsid w:val="00886906"/>
    <w:rsid w:val="00886DCA"/>
    <w:rsid w:val="00887998"/>
    <w:rsid w:val="00890152"/>
    <w:rsid w:val="008905C4"/>
    <w:rsid w:val="00890EEF"/>
    <w:rsid w:val="00891E02"/>
    <w:rsid w:val="00892EA0"/>
    <w:rsid w:val="008946DA"/>
    <w:rsid w:val="00894B58"/>
    <w:rsid w:val="008958D4"/>
    <w:rsid w:val="00895BC5"/>
    <w:rsid w:val="00896089"/>
    <w:rsid w:val="00896689"/>
    <w:rsid w:val="00896972"/>
    <w:rsid w:val="00896EDF"/>
    <w:rsid w:val="0089745A"/>
    <w:rsid w:val="008A18C9"/>
    <w:rsid w:val="008A3136"/>
    <w:rsid w:val="008A494B"/>
    <w:rsid w:val="008A5A83"/>
    <w:rsid w:val="008A69EA"/>
    <w:rsid w:val="008A7AD1"/>
    <w:rsid w:val="008A7B67"/>
    <w:rsid w:val="008B0A24"/>
    <w:rsid w:val="008B145D"/>
    <w:rsid w:val="008B36C8"/>
    <w:rsid w:val="008B48AA"/>
    <w:rsid w:val="008B5B77"/>
    <w:rsid w:val="008B5FFE"/>
    <w:rsid w:val="008B724B"/>
    <w:rsid w:val="008B7326"/>
    <w:rsid w:val="008B7D4F"/>
    <w:rsid w:val="008C125D"/>
    <w:rsid w:val="008C1F29"/>
    <w:rsid w:val="008C4BCB"/>
    <w:rsid w:val="008C4FBE"/>
    <w:rsid w:val="008C5754"/>
    <w:rsid w:val="008C5C75"/>
    <w:rsid w:val="008C6B97"/>
    <w:rsid w:val="008C7B9E"/>
    <w:rsid w:val="008C7D7F"/>
    <w:rsid w:val="008D0797"/>
    <w:rsid w:val="008D1B5F"/>
    <w:rsid w:val="008D45AE"/>
    <w:rsid w:val="008D563F"/>
    <w:rsid w:val="008D7D80"/>
    <w:rsid w:val="008D7FFE"/>
    <w:rsid w:val="008E1284"/>
    <w:rsid w:val="008E1C02"/>
    <w:rsid w:val="008E213E"/>
    <w:rsid w:val="008E244C"/>
    <w:rsid w:val="008E29CE"/>
    <w:rsid w:val="008E38BB"/>
    <w:rsid w:val="008E432B"/>
    <w:rsid w:val="008E4743"/>
    <w:rsid w:val="008E4D3E"/>
    <w:rsid w:val="008E5A56"/>
    <w:rsid w:val="008E6615"/>
    <w:rsid w:val="008E7CEF"/>
    <w:rsid w:val="008F0450"/>
    <w:rsid w:val="008F0704"/>
    <w:rsid w:val="008F0D17"/>
    <w:rsid w:val="008F10C9"/>
    <w:rsid w:val="008F199D"/>
    <w:rsid w:val="008F1E1E"/>
    <w:rsid w:val="008F382A"/>
    <w:rsid w:val="008F3FF7"/>
    <w:rsid w:val="008F4223"/>
    <w:rsid w:val="008F43B7"/>
    <w:rsid w:val="008F495F"/>
    <w:rsid w:val="008F57CD"/>
    <w:rsid w:val="008F57F0"/>
    <w:rsid w:val="008F5E92"/>
    <w:rsid w:val="008F6175"/>
    <w:rsid w:val="008F6DFE"/>
    <w:rsid w:val="009023AF"/>
    <w:rsid w:val="00903A77"/>
    <w:rsid w:val="00904606"/>
    <w:rsid w:val="00904E89"/>
    <w:rsid w:val="0090564D"/>
    <w:rsid w:val="00905A88"/>
    <w:rsid w:val="00907593"/>
    <w:rsid w:val="00910B34"/>
    <w:rsid w:val="00913EE8"/>
    <w:rsid w:val="00914954"/>
    <w:rsid w:val="00914E68"/>
    <w:rsid w:val="009156F5"/>
    <w:rsid w:val="009208C0"/>
    <w:rsid w:val="009226B0"/>
    <w:rsid w:val="00924106"/>
    <w:rsid w:val="00924115"/>
    <w:rsid w:val="0092477C"/>
    <w:rsid w:val="00924896"/>
    <w:rsid w:val="00925071"/>
    <w:rsid w:val="00925D20"/>
    <w:rsid w:val="00927B28"/>
    <w:rsid w:val="00927DD8"/>
    <w:rsid w:val="00930A8A"/>
    <w:rsid w:val="00930C3E"/>
    <w:rsid w:val="0093194F"/>
    <w:rsid w:val="00932D62"/>
    <w:rsid w:val="0094291D"/>
    <w:rsid w:val="00943E1D"/>
    <w:rsid w:val="00944C50"/>
    <w:rsid w:val="00945D67"/>
    <w:rsid w:val="009474EE"/>
    <w:rsid w:val="009475CA"/>
    <w:rsid w:val="00947F89"/>
    <w:rsid w:val="0095087E"/>
    <w:rsid w:val="00950F26"/>
    <w:rsid w:val="0095167F"/>
    <w:rsid w:val="009531A1"/>
    <w:rsid w:val="00953D1A"/>
    <w:rsid w:val="00954D21"/>
    <w:rsid w:val="009566B3"/>
    <w:rsid w:val="009577E6"/>
    <w:rsid w:val="00957924"/>
    <w:rsid w:val="009601B9"/>
    <w:rsid w:val="009618F8"/>
    <w:rsid w:val="00961F60"/>
    <w:rsid w:val="00962BBA"/>
    <w:rsid w:val="00964133"/>
    <w:rsid w:val="0096566C"/>
    <w:rsid w:val="0096714E"/>
    <w:rsid w:val="00967DD8"/>
    <w:rsid w:val="009707FD"/>
    <w:rsid w:val="00971D6B"/>
    <w:rsid w:val="0097266A"/>
    <w:rsid w:val="00972C06"/>
    <w:rsid w:val="0097306A"/>
    <w:rsid w:val="00973461"/>
    <w:rsid w:val="00973B79"/>
    <w:rsid w:val="00973D18"/>
    <w:rsid w:val="0097441B"/>
    <w:rsid w:val="009752F4"/>
    <w:rsid w:val="00976281"/>
    <w:rsid w:val="00982014"/>
    <w:rsid w:val="009859CE"/>
    <w:rsid w:val="00985E91"/>
    <w:rsid w:val="009904A0"/>
    <w:rsid w:val="0099243F"/>
    <w:rsid w:val="00992EA5"/>
    <w:rsid w:val="00992FDE"/>
    <w:rsid w:val="009933E2"/>
    <w:rsid w:val="00994311"/>
    <w:rsid w:val="00995942"/>
    <w:rsid w:val="009964CA"/>
    <w:rsid w:val="009969EC"/>
    <w:rsid w:val="00996BBA"/>
    <w:rsid w:val="009978EC"/>
    <w:rsid w:val="009A0207"/>
    <w:rsid w:val="009A0657"/>
    <w:rsid w:val="009A14EF"/>
    <w:rsid w:val="009A2457"/>
    <w:rsid w:val="009A2CED"/>
    <w:rsid w:val="009A421D"/>
    <w:rsid w:val="009A4796"/>
    <w:rsid w:val="009A4AEC"/>
    <w:rsid w:val="009A5191"/>
    <w:rsid w:val="009A6AAF"/>
    <w:rsid w:val="009A7C6A"/>
    <w:rsid w:val="009B06AB"/>
    <w:rsid w:val="009B2F7B"/>
    <w:rsid w:val="009B395F"/>
    <w:rsid w:val="009B4083"/>
    <w:rsid w:val="009B43E8"/>
    <w:rsid w:val="009B4620"/>
    <w:rsid w:val="009B46BC"/>
    <w:rsid w:val="009B4E91"/>
    <w:rsid w:val="009B5099"/>
    <w:rsid w:val="009B7875"/>
    <w:rsid w:val="009C009D"/>
    <w:rsid w:val="009C00F0"/>
    <w:rsid w:val="009C026D"/>
    <w:rsid w:val="009C0792"/>
    <w:rsid w:val="009C3D12"/>
    <w:rsid w:val="009C505B"/>
    <w:rsid w:val="009C77EA"/>
    <w:rsid w:val="009C7A2C"/>
    <w:rsid w:val="009C7B20"/>
    <w:rsid w:val="009D0A3A"/>
    <w:rsid w:val="009D15DB"/>
    <w:rsid w:val="009D2809"/>
    <w:rsid w:val="009D412E"/>
    <w:rsid w:val="009D56FA"/>
    <w:rsid w:val="009D5E11"/>
    <w:rsid w:val="009D6C05"/>
    <w:rsid w:val="009D7B13"/>
    <w:rsid w:val="009E104B"/>
    <w:rsid w:val="009E13BB"/>
    <w:rsid w:val="009E259D"/>
    <w:rsid w:val="009E34A5"/>
    <w:rsid w:val="009E3A2E"/>
    <w:rsid w:val="009E458F"/>
    <w:rsid w:val="009E45B3"/>
    <w:rsid w:val="009E4D11"/>
    <w:rsid w:val="009E6023"/>
    <w:rsid w:val="009E639F"/>
    <w:rsid w:val="009E64DA"/>
    <w:rsid w:val="009E66D1"/>
    <w:rsid w:val="009E7926"/>
    <w:rsid w:val="009E79C7"/>
    <w:rsid w:val="009F1058"/>
    <w:rsid w:val="009F23A7"/>
    <w:rsid w:val="009F2934"/>
    <w:rsid w:val="009F387E"/>
    <w:rsid w:val="009F5263"/>
    <w:rsid w:val="009F5A38"/>
    <w:rsid w:val="009F5E9D"/>
    <w:rsid w:val="009F644B"/>
    <w:rsid w:val="009F65CD"/>
    <w:rsid w:val="009F6C86"/>
    <w:rsid w:val="009F7EB3"/>
    <w:rsid w:val="00A00B0D"/>
    <w:rsid w:val="00A01664"/>
    <w:rsid w:val="00A02D0E"/>
    <w:rsid w:val="00A03889"/>
    <w:rsid w:val="00A047C4"/>
    <w:rsid w:val="00A052B6"/>
    <w:rsid w:val="00A07DA0"/>
    <w:rsid w:val="00A1041A"/>
    <w:rsid w:val="00A10E67"/>
    <w:rsid w:val="00A11574"/>
    <w:rsid w:val="00A1240E"/>
    <w:rsid w:val="00A129FD"/>
    <w:rsid w:val="00A133EF"/>
    <w:rsid w:val="00A153B2"/>
    <w:rsid w:val="00A15CA3"/>
    <w:rsid w:val="00A16018"/>
    <w:rsid w:val="00A16F74"/>
    <w:rsid w:val="00A170F2"/>
    <w:rsid w:val="00A1772D"/>
    <w:rsid w:val="00A200C6"/>
    <w:rsid w:val="00A21737"/>
    <w:rsid w:val="00A22005"/>
    <w:rsid w:val="00A22FBB"/>
    <w:rsid w:val="00A2398B"/>
    <w:rsid w:val="00A241EC"/>
    <w:rsid w:val="00A24483"/>
    <w:rsid w:val="00A245C7"/>
    <w:rsid w:val="00A259BC"/>
    <w:rsid w:val="00A303DC"/>
    <w:rsid w:val="00A30E42"/>
    <w:rsid w:val="00A312DD"/>
    <w:rsid w:val="00A31A46"/>
    <w:rsid w:val="00A31CF5"/>
    <w:rsid w:val="00A32731"/>
    <w:rsid w:val="00A32ADF"/>
    <w:rsid w:val="00A32DBC"/>
    <w:rsid w:val="00A32F4A"/>
    <w:rsid w:val="00A33253"/>
    <w:rsid w:val="00A341CB"/>
    <w:rsid w:val="00A352F0"/>
    <w:rsid w:val="00A353B9"/>
    <w:rsid w:val="00A37420"/>
    <w:rsid w:val="00A37638"/>
    <w:rsid w:val="00A3773E"/>
    <w:rsid w:val="00A37DC3"/>
    <w:rsid w:val="00A40784"/>
    <w:rsid w:val="00A4198A"/>
    <w:rsid w:val="00A42C5D"/>
    <w:rsid w:val="00A43000"/>
    <w:rsid w:val="00A431EC"/>
    <w:rsid w:val="00A437BA"/>
    <w:rsid w:val="00A43D31"/>
    <w:rsid w:val="00A450BD"/>
    <w:rsid w:val="00A47A9F"/>
    <w:rsid w:val="00A47B90"/>
    <w:rsid w:val="00A47E68"/>
    <w:rsid w:val="00A51873"/>
    <w:rsid w:val="00A528BC"/>
    <w:rsid w:val="00A542C9"/>
    <w:rsid w:val="00A5482D"/>
    <w:rsid w:val="00A5504F"/>
    <w:rsid w:val="00A5584A"/>
    <w:rsid w:val="00A562AB"/>
    <w:rsid w:val="00A567BB"/>
    <w:rsid w:val="00A56E98"/>
    <w:rsid w:val="00A57D49"/>
    <w:rsid w:val="00A6073D"/>
    <w:rsid w:val="00A60971"/>
    <w:rsid w:val="00A624F0"/>
    <w:rsid w:val="00A63B11"/>
    <w:rsid w:val="00A661C7"/>
    <w:rsid w:val="00A6633D"/>
    <w:rsid w:val="00A67F10"/>
    <w:rsid w:val="00A70308"/>
    <w:rsid w:val="00A71202"/>
    <w:rsid w:val="00A72BB9"/>
    <w:rsid w:val="00A72D27"/>
    <w:rsid w:val="00A7329D"/>
    <w:rsid w:val="00A743BB"/>
    <w:rsid w:val="00A74DD6"/>
    <w:rsid w:val="00A74E70"/>
    <w:rsid w:val="00A75C2E"/>
    <w:rsid w:val="00A75D21"/>
    <w:rsid w:val="00A82C2A"/>
    <w:rsid w:val="00A83D0D"/>
    <w:rsid w:val="00A84424"/>
    <w:rsid w:val="00A84E85"/>
    <w:rsid w:val="00A85512"/>
    <w:rsid w:val="00A85B83"/>
    <w:rsid w:val="00A85D5A"/>
    <w:rsid w:val="00A85DE4"/>
    <w:rsid w:val="00A85E25"/>
    <w:rsid w:val="00A8681C"/>
    <w:rsid w:val="00A86A1C"/>
    <w:rsid w:val="00A90141"/>
    <w:rsid w:val="00A908FF"/>
    <w:rsid w:val="00A9174B"/>
    <w:rsid w:val="00A917DD"/>
    <w:rsid w:val="00A91DC2"/>
    <w:rsid w:val="00A91EE9"/>
    <w:rsid w:val="00A927FC"/>
    <w:rsid w:val="00A92D87"/>
    <w:rsid w:val="00A93C0D"/>
    <w:rsid w:val="00A94BD6"/>
    <w:rsid w:val="00A94C7D"/>
    <w:rsid w:val="00A9562B"/>
    <w:rsid w:val="00A95658"/>
    <w:rsid w:val="00A965B0"/>
    <w:rsid w:val="00AA01C9"/>
    <w:rsid w:val="00AA0944"/>
    <w:rsid w:val="00AA1927"/>
    <w:rsid w:val="00AA239B"/>
    <w:rsid w:val="00AA267B"/>
    <w:rsid w:val="00AA3681"/>
    <w:rsid w:val="00AA3AA1"/>
    <w:rsid w:val="00AA511A"/>
    <w:rsid w:val="00AA535A"/>
    <w:rsid w:val="00AA598B"/>
    <w:rsid w:val="00AA6305"/>
    <w:rsid w:val="00AA6F75"/>
    <w:rsid w:val="00AA705D"/>
    <w:rsid w:val="00AA7B63"/>
    <w:rsid w:val="00AB0001"/>
    <w:rsid w:val="00AB0E82"/>
    <w:rsid w:val="00AB0F72"/>
    <w:rsid w:val="00AB1055"/>
    <w:rsid w:val="00AB1F3F"/>
    <w:rsid w:val="00AB2A0C"/>
    <w:rsid w:val="00AB69CD"/>
    <w:rsid w:val="00AC344B"/>
    <w:rsid w:val="00AC46AF"/>
    <w:rsid w:val="00AC573E"/>
    <w:rsid w:val="00AC7DB5"/>
    <w:rsid w:val="00AD2D0E"/>
    <w:rsid w:val="00AD3C66"/>
    <w:rsid w:val="00AD4744"/>
    <w:rsid w:val="00AD5438"/>
    <w:rsid w:val="00AD6CF6"/>
    <w:rsid w:val="00AD6D84"/>
    <w:rsid w:val="00AE0A51"/>
    <w:rsid w:val="00AE0DB2"/>
    <w:rsid w:val="00AE0F25"/>
    <w:rsid w:val="00AE1C3E"/>
    <w:rsid w:val="00AE219E"/>
    <w:rsid w:val="00AE21BB"/>
    <w:rsid w:val="00AE3167"/>
    <w:rsid w:val="00AE3B7F"/>
    <w:rsid w:val="00AE518E"/>
    <w:rsid w:val="00AE688F"/>
    <w:rsid w:val="00AE6E59"/>
    <w:rsid w:val="00AE7C5D"/>
    <w:rsid w:val="00AF12DF"/>
    <w:rsid w:val="00AF1665"/>
    <w:rsid w:val="00AF517A"/>
    <w:rsid w:val="00AF59CB"/>
    <w:rsid w:val="00AF6621"/>
    <w:rsid w:val="00AF6911"/>
    <w:rsid w:val="00AF6B2F"/>
    <w:rsid w:val="00AF7087"/>
    <w:rsid w:val="00AF70F6"/>
    <w:rsid w:val="00AF732A"/>
    <w:rsid w:val="00B026D4"/>
    <w:rsid w:val="00B02847"/>
    <w:rsid w:val="00B06719"/>
    <w:rsid w:val="00B07740"/>
    <w:rsid w:val="00B10A8B"/>
    <w:rsid w:val="00B10E8C"/>
    <w:rsid w:val="00B11328"/>
    <w:rsid w:val="00B11C4E"/>
    <w:rsid w:val="00B128CC"/>
    <w:rsid w:val="00B13B69"/>
    <w:rsid w:val="00B14A8B"/>
    <w:rsid w:val="00B16F39"/>
    <w:rsid w:val="00B17B2F"/>
    <w:rsid w:val="00B20643"/>
    <w:rsid w:val="00B20A02"/>
    <w:rsid w:val="00B219BB"/>
    <w:rsid w:val="00B21E8B"/>
    <w:rsid w:val="00B239D7"/>
    <w:rsid w:val="00B266E6"/>
    <w:rsid w:val="00B2693C"/>
    <w:rsid w:val="00B32211"/>
    <w:rsid w:val="00B32552"/>
    <w:rsid w:val="00B3255C"/>
    <w:rsid w:val="00B336AF"/>
    <w:rsid w:val="00B347C4"/>
    <w:rsid w:val="00B359EA"/>
    <w:rsid w:val="00B360D9"/>
    <w:rsid w:val="00B362CC"/>
    <w:rsid w:val="00B36B40"/>
    <w:rsid w:val="00B375EF"/>
    <w:rsid w:val="00B3789A"/>
    <w:rsid w:val="00B40D52"/>
    <w:rsid w:val="00B41FE9"/>
    <w:rsid w:val="00B42029"/>
    <w:rsid w:val="00B43D51"/>
    <w:rsid w:val="00B44535"/>
    <w:rsid w:val="00B44AD8"/>
    <w:rsid w:val="00B44F49"/>
    <w:rsid w:val="00B45510"/>
    <w:rsid w:val="00B46DB2"/>
    <w:rsid w:val="00B46FA9"/>
    <w:rsid w:val="00B5179B"/>
    <w:rsid w:val="00B5261E"/>
    <w:rsid w:val="00B52C4C"/>
    <w:rsid w:val="00B5336A"/>
    <w:rsid w:val="00B533E0"/>
    <w:rsid w:val="00B53812"/>
    <w:rsid w:val="00B54EB0"/>
    <w:rsid w:val="00B553EC"/>
    <w:rsid w:val="00B57781"/>
    <w:rsid w:val="00B61FD9"/>
    <w:rsid w:val="00B6247B"/>
    <w:rsid w:val="00B62EB5"/>
    <w:rsid w:val="00B63DE7"/>
    <w:rsid w:val="00B66C86"/>
    <w:rsid w:val="00B702E2"/>
    <w:rsid w:val="00B70761"/>
    <w:rsid w:val="00B719BE"/>
    <w:rsid w:val="00B71A1F"/>
    <w:rsid w:val="00B71C2A"/>
    <w:rsid w:val="00B7234B"/>
    <w:rsid w:val="00B72606"/>
    <w:rsid w:val="00B72A57"/>
    <w:rsid w:val="00B731CF"/>
    <w:rsid w:val="00B73FDD"/>
    <w:rsid w:val="00B7474B"/>
    <w:rsid w:val="00B74A3C"/>
    <w:rsid w:val="00B76736"/>
    <w:rsid w:val="00B771CB"/>
    <w:rsid w:val="00B7729A"/>
    <w:rsid w:val="00B774D1"/>
    <w:rsid w:val="00B77EEB"/>
    <w:rsid w:val="00B809CA"/>
    <w:rsid w:val="00B80AA2"/>
    <w:rsid w:val="00B82FF1"/>
    <w:rsid w:val="00B83BE8"/>
    <w:rsid w:val="00B83E16"/>
    <w:rsid w:val="00B83F04"/>
    <w:rsid w:val="00B83FC6"/>
    <w:rsid w:val="00B8428A"/>
    <w:rsid w:val="00B84981"/>
    <w:rsid w:val="00B84DB3"/>
    <w:rsid w:val="00B85E50"/>
    <w:rsid w:val="00B874E1"/>
    <w:rsid w:val="00B90CAE"/>
    <w:rsid w:val="00B90F38"/>
    <w:rsid w:val="00B941EA"/>
    <w:rsid w:val="00B94982"/>
    <w:rsid w:val="00B94F5E"/>
    <w:rsid w:val="00B9660C"/>
    <w:rsid w:val="00B967BA"/>
    <w:rsid w:val="00B96CB4"/>
    <w:rsid w:val="00BA161B"/>
    <w:rsid w:val="00BA1994"/>
    <w:rsid w:val="00BA2113"/>
    <w:rsid w:val="00BA25DA"/>
    <w:rsid w:val="00BA2DFF"/>
    <w:rsid w:val="00BA31E2"/>
    <w:rsid w:val="00BA339F"/>
    <w:rsid w:val="00BA4205"/>
    <w:rsid w:val="00BA68BD"/>
    <w:rsid w:val="00BA7FD1"/>
    <w:rsid w:val="00BB0D2F"/>
    <w:rsid w:val="00BB14CC"/>
    <w:rsid w:val="00BB18D8"/>
    <w:rsid w:val="00BB1B06"/>
    <w:rsid w:val="00BB35A9"/>
    <w:rsid w:val="00BB66CF"/>
    <w:rsid w:val="00BB69C8"/>
    <w:rsid w:val="00BB7179"/>
    <w:rsid w:val="00BB7822"/>
    <w:rsid w:val="00BC03D2"/>
    <w:rsid w:val="00BC064E"/>
    <w:rsid w:val="00BC0E67"/>
    <w:rsid w:val="00BC16A7"/>
    <w:rsid w:val="00BC2DAB"/>
    <w:rsid w:val="00BC31E0"/>
    <w:rsid w:val="00BC4567"/>
    <w:rsid w:val="00BC52C3"/>
    <w:rsid w:val="00BC6300"/>
    <w:rsid w:val="00BC65DF"/>
    <w:rsid w:val="00BC6728"/>
    <w:rsid w:val="00BC72F5"/>
    <w:rsid w:val="00BD2710"/>
    <w:rsid w:val="00BD363E"/>
    <w:rsid w:val="00BD420B"/>
    <w:rsid w:val="00BD4A16"/>
    <w:rsid w:val="00BD4B05"/>
    <w:rsid w:val="00BD4D5A"/>
    <w:rsid w:val="00BD582B"/>
    <w:rsid w:val="00BE11BF"/>
    <w:rsid w:val="00BE2641"/>
    <w:rsid w:val="00BE27B6"/>
    <w:rsid w:val="00BE2F85"/>
    <w:rsid w:val="00BE3F34"/>
    <w:rsid w:val="00BE4333"/>
    <w:rsid w:val="00BE4F03"/>
    <w:rsid w:val="00BE5930"/>
    <w:rsid w:val="00BE6FE6"/>
    <w:rsid w:val="00BE7393"/>
    <w:rsid w:val="00BE7523"/>
    <w:rsid w:val="00BE7ECE"/>
    <w:rsid w:val="00BF053E"/>
    <w:rsid w:val="00BF082A"/>
    <w:rsid w:val="00BF1E4B"/>
    <w:rsid w:val="00BF33E4"/>
    <w:rsid w:val="00BF5E29"/>
    <w:rsid w:val="00BF64F9"/>
    <w:rsid w:val="00BF6AE6"/>
    <w:rsid w:val="00BF6EB8"/>
    <w:rsid w:val="00BF77C0"/>
    <w:rsid w:val="00C001B2"/>
    <w:rsid w:val="00C01241"/>
    <w:rsid w:val="00C02755"/>
    <w:rsid w:val="00C029CF"/>
    <w:rsid w:val="00C02C7C"/>
    <w:rsid w:val="00C02D36"/>
    <w:rsid w:val="00C031E5"/>
    <w:rsid w:val="00C037C6"/>
    <w:rsid w:val="00C03BB3"/>
    <w:rsid w:val="00C04FE4"/>
    <w:rsid w:val="00C05B71"/>
    <w:rsid w:val="00C06063"/>
    <w:rsid w:val="00C06574"/>
    <w:rsid w:val="00C10266"/>
    <w:rsid w:val="00C1286F"/>
    <w:rsid w:val="00C1377D"/>
    <w:rsid w:val="00C15560"/>
    <w:rsid w:val="00C157D7"/>
    <w:rsid w:val="00C16330"/>
    <w:rsid w:val="00C204E3"/>
    <w:rsid w:val="00C21102"/>
    <w:rsid w:val="00C215D6"/>
    <w:rsid w:val="00C22229"/>
    <w:rsid w:val="00C22230"/>
    <w:rsid w:val="00C22688"/>
    <w:rsid w:val="00C2324A"/>
    <w:rsid w:val="00C2405B"/>
    <w:rsid w:val="00C24275"/>
    <w:rsid w:val="00C250F3"/>
    <w:rsid w:val="00C25C85"/>
    <w:rsid w:val="00C267D0"/>
    <w:rsid w:val="00C26C4B"/>
    <w:rsid w:val="00C272F4"/>
    <w:rsid w:val="00C312D9"/>
    <w:rsid w:val="00C318B3"/>
    <w:rsid w:val="00C3216A"/>
    <w:rsid w:val="00C326CE"/>
    <w:rsid w:val="00C333B8"/>
    <w:rsid w:val="00C336B8"/>
    <w:rsid w:val="00C340CB"/>
    <w:rsid w:val="00C408DA"/>
    <w:rsid w:val="00C40F45"/>
    <w:rsid w:val="00C412B8"/>
    <w:rsid w:val="00C41FA9"/>
    <w:rsid w:val="00C4207B"/>
    <w:rsid w:val="00C42353"/>
    <w:rsid w:val="00C425B3"/>
    <w:rsid w:val="00C47153"/>
    <w:rsid w:val="00C51259"/>
    <w:rsid w:val="00C5207D"/>
    <w:rsid w:val="00C52DF7"/>
    <w:rsid w:val="00C531D5"/>
    <w:rsid w:val="00C55403"/>
    <w:rsid w:val="00C569A6"/>
    <w:rsid w:val="00C56F11"/>
    <w:rsid w:val="00C571B5"/>
    <w:rsid w:val="00C6135F"/>
    <w:rsid w:val="00C63D87"/>
    <w:rsid w:val="00C641D1"/>
    <w:rsid w:val="00C648A4"/>
    <w:rsid w:val="00C649DF"/>
    <w:rsid w:val="00C64BBC"/>
    <w:rsid w:val="00C65232"/>
    <w:rsid w:val="00C66412"/>
    <w:rsid w:val="00C66468"/>
    <w:rsid w:val="00C665C8"/>
    <w:rsid w:val="00C67109"/>
    <w:rsid w:val="00C67374"/>
    <w:rsid w:val="00C676B8"/>
    <w:rsid w:val="00C678C7"/>
    <w:rsid w:val="00C67FDA"/>
    <w:rsid w:val="00C705D8"/>
    <w:rsid w:val="00C71308"/>
    <w:rsid w:val="00C713C0"/>
    <w:rsid w:val="00C72525"/>
    <w:rsid w:val="00C74B95"/>
    <w:rsid w:val="00C7532B"/>
    <w:rsid w:val="00C76F30"/>
    <w:rsid w:val="00C776F5"/>
    <w:rsid w:val="00C77B28"/>
    <w:rsid w:val="00C801F8"/>
    <w:rsid w:val="00C81607"/>
    <w:rsid w:val="00C818B5"/>
    <w:rsid w:val="00C84BE3"/>
    <w:rsid w:val="00C85257"/>
    <w:rsid w:val="00C853AB"/>
    <w:rsid w:val="00C85672"/>
    <w:rsid w:val="00C85B1F"/>
    <w:rsid w:val="00C86B5F"/>
    <w:rsid w:val="00C876E1"/>
    <w:rsid w:val="00C87AD7"/>
    <w:rsid w:val="00C905DA"/>
    <w:rsid w:val="00C9065C"/>
    <w:rsid w:val="00C91253"/>
    <w:rsid w:val="00C91468"/>
    <w:rsid w:val="00C91859"/>
    <w:rsid w:val="00C94B4C"/>
    <w:rsid w:val="00C95A93"/>
    <w:rsid w:val="00C967DA"/>
    <w:rsid w:val="00C969BC"/>
    <w:rsid w:val="00C971E2"/>
    <w:rsid w:val="00CA0BFF"/>
    <w:rsid w:val="00CA12FC"/>
    <w:rsid w:val="00CA187B"/>
    <w:rsid w:val="00CA2461"/>
    <w:rsid w:val="00CA284F"/>
    <w:rsid w:val="00CA2F6B"/>
    <w:rsid w:val="00CA3991"/>
    <w:rsid w:val="00CA3A1C"/>
    <w:rsid w:val="00CA5E29"/>
    <w:rsid w:val="00CA7117"/>
    <w:rsid w:val="00CB0396"/>
    <w:rsid w:val="00CB0A3D"/>
    <w:rsid w:val="00CB0CC1"/>
    <w:rsid w:val="00CB0F79"/>
    <w:rsid w:val="00CB223C"/>
    <w:rsid w:val="00CB2709"/>
    <w:rsid w:val="00CB2D8B"/>
    <w:rsid w:val="00CB43CD"/>
    <w:rsid w:val="00CB7BE2"/>
    <w:rsid w:val="00CB7C51"/>
    <w:rsid w:val="00CC1677"/>
    <w:rsid w:val="00CC1A58"/>
    <w:rsid w:val="00CC2256"/>
    <w:rsid w:val="00CC2299"/>
    <w:rsid w:val="00CC2376"/>
    <w:rsid w:val="00CC444A"/>
    <w:rsid w:val="00CC4EA8"/>
    <w:rsid w:val="00CC55FC"/>
    <w:rsid w:val="00CC5C6F"/>
    <w:rsid w:val="00CC77B8"/>
    <w:rsid w:val="00CC7971"/>
    <w:rsid w:val="00CD0B40"/>
    <w:rsid w:val="00CD1F81"/>
    <w:rsid w:val="00CD2056"/>
    <w:rsid w:val="00CD4402"/>
    <w:rsid w:val="00CD453D"/>
    <w:rsid w:val="00CD4F29"/>
    <w:rsid w:val="00CD52C2"/>
    <w:rsid w:val="00CD54F8"/>
    <w:rsid w:val="00CD56DF"/>
    <w:rsid w:val="00CD581A"/>
    <w:rsid w:val="00CD6B59"/>
    <w:rsid w:val="00CD7693"/>
    <w:rsid w:val="00CE08A6"/>
    <w:rsid w:val="00CE0B78"/>
    <w:rsid w:val="00CE31AE"/>
    <w:rsid w:val="00CE4F55"/>
    <w:rsid w:val="00CE5B29"/>
    <w:rsid w:val="00CE643E"/>
    <w:rsid w:val="00CE6B1A"/>
    <w:rsid w:val="00CE7E26"/>
    <w:rsid w:val="00CF046E"/>
    <w:rsid w:val="00CF08E1"/>
    <w:rsid w:val="00CF0AA7"/>
    <w:rsid w:val="00CF1047"/>
    <w:rsid w:val="00CF1748"/>
    <w:rsid w:val="00CF37D3"/>
    <w:rsid w:val="00CF3DE4"/>
    <w:rsid w:val="00CF3F9E"/>
    <w:rsid w:val="00CF5059"/>
    <w:rsid w:val="00CF52FB"/>
    <w:rsid w:val="00CF55D7"/>
    <w:rsid w:val="00CF5AC8"/>
    <w:rsid w:val="00CF5E73"/>
    <w:rsid w:val="00D0012C"/>
    <w:rsid w:val="00D00FDA"/>
    <w:rsid w:val="00D028E7"/>
    <w:rsid w:val="00D0365B"/>
    <w:rsid w:val="00D0432D"/>
    <w:rsid w:val="00D04760"/>
    <w:rsid w:val="00D04C38"/>
    <w:rsid w:val="00D055F0"/>
    <w:rsid w:val="00D06B2E"/>
    <w:rsid w:val="00D06E2D"/>
    <w:rsid w:val="00D10485"/>
    <w:rsid w:val="00D113F1"/>
    <w:rsid w:val="00D11556"/>
    <w:rsid w:val="00D1167D"/>
    <w:rsid w:val="00D149A4"/>
    <w:rsid w:val="00D14C3D"/>
    <w:rsid w:val="00D16A1E"/>
    <w:rsid w:val="00D1734A"/>
    <w:rsid w:val="00D173D4"/>
    <w:rsid w:val="00D201D5"/>
    <w:rsid w:val="00D214E4"/>
    <w:rsid w:val="00D22A11"/>
    <w:rsid w:val="00D22F9D"/>
    <w:rsid w:val="00D23E98"/>
    <w:rsid w:val="00D24656"/>
    <w:rsid w:val="00D25B9F"/>
    <w:rsid w:val="00D30551"/>
    <w:rsid w:val="00D325FB"/>
    <w:rsid w:val="00D33165"/>
    <w:rsid w:val="00D33AB8"/>
    <w:rsid w:val="00D33C72"/>
    <w:rsid w:val="00D343D0"/>
    <w:rsid w:val="00D353B0"/>
    <w:rsid w:val="00D365E5"/>
    <w:rsid w:val="00D36E01"/>
    <w:rsid w:val="00D3778A"/>
    <w:rsid w:val="00D405A1"/>
    <w:rsid w:val="00D41306"/>
    <w:rsid w:val="00D414C9"/>
    <w:rsid w:val="00D41F68"/>
    <w:rsid w:val="00D42515"/>
    <w:rsid w:val="00D42594"/>
    <w:rsid w:val="00D43DA4"/>
    <w:rsid w:val="00D44F72"/>
    <w:rsid w:val="00D471BB"/>
    <w:rsid w:val="00D47240"/>
    <w:rsid w:val="00D47B29"/>
    <w:rsid w:val="00D51063"/>
    <w:rsid w:val="00D55290"/>
    <w:rsid w:val="00D55524"/>
    <w:rsid w:val="00D55549"/>
    <w:rsid w:val="00D5571A"/>
    <w:rsid w:val="00D55F36"/>
    <w:rsid w:val="00D56663"/>
    <w:rsid w:val="00D57DAC"/>
    <w:rsid w:val="00D600D2"/>
    <w:rsid w:val="00D609FB"/>
    <w:rsid w:val="00D627C0"/>
    <w:rsid w:val="00D63ECC"/>
    <w:rsid w:val="00D6627E"/>
    <w:rsid w:val="00D663C2"/>
    <w:rsid w:val="00D66B11"/>
    <w:rsid w:val="00D71C3E"/>
    <w:rsid w:val="00D71D52"/>
    <w:rsid w:val="00D72AE5"/>
    <w:rsid w:val="00D74865"/>
    <w:rsid w:val="00D74A9C"/>
    <w:rsid w:val="00D774B0"/>
    <w:rsid w:val="00D807D7"/>
    <w:rsid w:val="00D81360"/>
    <w:rsid w:val="00D81FDD"/>
    <w:rsid w:val="00D82455"/>
    <w:rsid w:val="00D82D97"/>
    <w:rsid w:val="00D83165"/>
    <w:rsid w:val="00D905C6"/>
    <w:rsid w:val="00D90F48"/>
    <w:rsid w:val="00D91D12"/>
    <w:rsid w:val="00D94ABA"/>
    <w:rsid w:val="00D96881"/>
    <w:rsid w:val="00D9793F"/>
    <w:rsid w:val="00D97DA5"/>
    <w:rsid w:val="00DA0509"/>
    <w:rsid w:val="00DA1613"/>
    <w:rsid w:val="00DA2532"/>
    <w:rsid w:val="00DA2F99"/>
    <w:rsid w:val="00DA373C"/>
    <w:rsid w:val="00DA439D"/>
    <w:rsid w:val="00DA7076"/>
    <w:rsid w:val="00DB0172"/>
    <w:rsid w:val="00DB0D77"/>
    <w:rsid w:val="00DB2826"/>
    <w:rsid w:val="00DB394D"/>
    <w:rsid w:val="00DB4A1C"/>
    <w:rsid w:val="00DB50CE"/>
    <w:rsid w:val="00DB538D"/>
    <w:rsid w:val="00DB5825"/>
    <w:rsid w:val="00DC05A7"/>
    <w:rsid w:val="00DC05D6"/>
    <w:rsid w:val="00DC143C"/>
    <w:rsid w:val="00DC160D"/>
    <w:rsid w:val="00DC1978"/>
    <w:rsid w:val="00DC3564"/>
    <w:rsid w:val="00DC3B04"/>
    <w:rsid w:val="00DC3E24"/>
    <w:rsid w:val="00DC4CC9"/>
    <w:rsid w:val="00DC58EE"/>
    <w:rsid w:val="00DC70A4"/>
    <w:rsid w:val="00DC7684"/>
    <w:rsid w:val="00DC7846"/>
    <w:rsid w:val="00DC7C94"/>
    <w:rsid w:val="00DD0CA9"/>
    <w:rsid w:val="00DD19F2"/>
    <w:rsid w:val="00DD28C2"/>
    <w:rsid w:val="00DD2D95"/>
    <w:rsid w:val="00DD5ABB"/>
    <w:rsid w:val="00DD6B62"/>
    <w:rsid w:val="00DD7FA4"/>
    <w:rsid w:val="00DE05DF"/>
    <w:rsid w:val="00DE09C4"/>
    <w:rsid w:val="00DE2184"/>
    <w:rsid w:val="00DE2915"/>
    <w:rsid w:val="00DE4B52"/>
    <w:rsid w:val="00DE4C7D"/>
    <w:rsid w:val="00DE5093"/>
    <w:rsid w:val="00DE595F"/>
    <w:rsid w:val="00DE658D"/>
    <w:rsid w:val="00DE6BD9"/>
    <w:rsid w:val="00DF0F5F"/>
    <w:rsid w:val="00DF2E5B"/>
    <w:rsid w:val="00DF33D1"/>
    <w:rsid w:val="00DF3A2C"/>
    <w:rsid w:val="00DF3B3B"/>
    <w:rsid w:val="00DF523E"/>
    <w:rsid w:val="00DF65A8"/>
    <w:rsid w:val="00DF65D6"/>
    <w:rsid w:val="00DF6C9E"/>
    <w:rsid w:val="00DF6DBA"/>
    <w:rsid w:val="00DF7883"/>
    <w:rsid w:val="00E002D4"/>
    <w:rsid w:val="00E00F26"/>
    <w:rsid w:val="00E0121C"/>
    <w:rsid w:val="00E032D3"/>
    <w:rsid w:val="00E03ED9"/>
    <w:rsid w:val="00E05E19"/>
    <w:rsid w:val="00E071EE"/>
    <w:rsid w:val="00E072BF"/>
    <w:rsid w:val="00E100CA"/>
    <w:rsid w:val="00E10A2E"/>
    <w:rsid w:val="00E10EED"/>
    <w:rsid w:val="00E1103C"/>
    <w:rsid w:val="00E118CD"/>
    <w:rsid w:val="00E12656"/>
    <w:rsid w:val="00E13A82"/>
    <w:rsid w:val="00E15B44"/>
    <w:rsid w:val="00E15C38"/>
    <w:rsid w:val="00E16622"/>
    <w:rsid w:val="00E16737"/>
    <w:rsid w:val="00E20930"/>
    <w:rsid w:val="00E21959"/>
    <w:rsid w:val="00E24FD2"/>
    <w:rsid w:val="00E302B1"/>
    <w:rsid w:val="00E3155D"/>
    <w:rsid w:val="00E3326A"/>
    <w:rsid w:val="00E33FC2"/>
    <w:rsid w:val="00E345D1"/>
    <w:rsid w:val="00E34B25"/>
    <w:rsid w:val="00E352E5"/>
    <w:rsid w:val="00E354BC"/>
    <w:rsid w:val="00E35813"/>
    <w:rsid w:val="00E35AA7"/>
    <w:rsid w:val="00E371DA"/>
    <w:rsid w:val="00E3729B"/>
    <w:rsid w:val="00E40471"/>
    <w:rsid w:val="00E4152F"/>
    <w:rsid w:val="00E41E88"/>
    <w:rsid w:val="00E42B3F"/>
    <w:rsid w:val="00E43AED"/>
    <w:rsid w:val="00E444B3"/>
    <w:rsid w:val="00E451D3"/>
    <w:rsid w:val="00E45FF7"/>
    <w:rsid w:val="00E46877"/>
    <w:rsid w:val="00E473D9"/>
    <w:rsid w:val="00E51B1C"/>
    <w:rsid w:val="00E537FC"/>
    <w:rsid w:val="00E53B34"/>
    <w:rsid w:val="00E5539A"/>
    <w:rsid w:val="00E5547A"/>
    <w:rsid w:val="00E56581"/>
    <w:rsid w:val="00E60EFE"/>
    <w:rsid w:val="00E60FA3"/>
    <w:rsid w:val="00E626FF"/>
    <w:rsid w:val="00E63BE3"/>
    <w:rsid w:val="00E63F2D"/>
    <w:rsid w:val="00E66F3D"/>
    <w:rsid w:val="00E67E22"/>
    <w:rsid w:val="00E70776"/>
    <w:rsid w:val="00E719D7"/>
    <w:rsid w:val="00E71A5C"/>
    <w:rsid w:val="00E72AD5"/>
    <w:rsid w:val="00E739D8"/>
    <w:rsid w:val="00E741C2"/>
    <w:rsid w:val="00E74915"/>
    <w:rsid w:val="00E75082"/>
    <w:rsid w:val="00E7588C"/>
    <w:rsid w:val="00E764CD"/>
    <w:rsid w:val="00E7789A"/>
    <w:rsid w:val="00E81253"/>
    <w:rsid w:val="00E843B3"/>
    <w:rsid w:val="00E85B70"/>
    <w:rsid w:val="00E8662A"/>
    <w:rsid w:val="00E866C8"/>
    <w:rsid w:val="00E9080F"/>
    <w:rsid w:val="00E914A8"/>
    <w:rsid w:val="00E92230"/>
    <w:rsid w:val="00E9389E"/>
    <w:rsid w:val="00E959D3"/>
    <w:rsid w:val="00E95D93"/>
    <w:rsid w:val="00E9633F"/>
    <w:rsid w:val="00E96FE2"/>
    <w:rsid w:val="00E972AF"/>
    <w:rsid w:val="00EA11E6"/>
    <w:rsid w:val="00EA11F6"/>
    <w:rsid w:val="00EA2E55"/>
    <w:rsid w:val="00EA4BB4"/>
    <w:rsid w:val="00EA563E"/>
    <w:rsid w:val="00EA6B85"/>
    <w:rsid w:val="00EA78A5"/>
    <w:rsid w:val="00EA7E10"/>
    <w:rsid w:val="00EB01E6"/>
    <w:rsid w:val="00EB0B8C"/>
    <w:rsid w:val="00EB1348"/>
    <w:rsid w:val="00EB2575"/>
    <w:rsid w:val="00EB4C0A"/>
    <w:rsid w:val="00EB529C"/>
    <w:rsid w:val="00EB5D7E"/>
    <w:rsid w:val="00EB6005"/>
    <w:rsid w:val="00EB63E3"/>
    <w:rsid w:val="00EC32FF"/>
    <w:rsid w:val="00EC4289"/>
    <w:rsid w:val="00EC75AD"/>
    <w:rsid w:val="00EC7F46"/>
    <w:rsid w:val="00ED0BF2"/>
    <w:rsid w:val="00ED1CDF"/>
    <w:rsid w:val="00ED2215"/>
    <w:rsid w:val="00ED30A5"/>
    <w:rsid w:val="00ED445A"/>
    <w:rsid w:val="00ED4FD2"/>
    <w:rsid w:val="00ED524A"/>
    <w:rsid w:val="00ED57E1"/>
    <w:rsid w:val="00ED7441"/>
    <w:rsid w:val="00ED7985"/>
    <w:rsid w:val="00ED7D63"/>
    <w:rsid w:val="00EE0CB7"/>
    <w:rsid w:val="00EE1228"/>
    <w:rsid w:val="00EE219A"/>
    <w:rsid w:val="00EE2D1E"/>
    <w:rsid w:val="00EE3746"/>
    <w:rsid w:val="00EE41CB"/>
    <w:rsid w:val="00EE4AE4"/>
    <w:rsid w:val="00EE541B"/>
    <w:rsid w:val="00EE5726"/>
    <w:rsid w:val="00EE75DA"/>
    <w:rsid w:val="00EF003E"/>
    <w:rsid w:val="00EF0410"/>
    <w:rsid w:val="00EF2676"/>
    <w:rsid w:val="00EF3766"/>
    <w:rsid w:val="00EF4AC9"/>
    <w:rsid w:val="00EF4BED"/>
    <w:rsid w:val="00EF58F1"/>
    <w:rsid w:val="00EF620D"/>
    <w:rsid w:val="00EF7268"/>
    <w:rsid w:val="00F009AC"/>
    <w:rsid w:val="00F03E0A"/>
    <w:rsid w:val="00F049BA"/>
    <w:rsid w:val="00F05237"/>
    <w:rsid w:val="00F0593B"/>
    <w:rsid w:val="00F063AF"/>
    <w:rsid w:val="00F06ED2"/>
    <w:rsid w:val="00F06F93"/>
    <w:rsid w:val="00F07312"/>
    <w:rsid w:val="00F12EC5"/>
    <w:rsid w:val="00F137F4"/>
    <w:rsid w:val="00F14C2E"/>
    <w:rsid w:val="00F14FC9"/>
    <w:rsid w:val="00F16554"/>
    <w:rsid w:val="00F1660C"/>
    <w:rsid w:val="00F1663C"/>
    <w:rsid w:val="00F17F01"/>
    <w:rsid w:val="00F22540"/>
    <w:rsid w:val="00F22CA0"/>
    <w:rsid w:val="00F23BE7"/>
    <w:rsid w:val="00F23E0C"/>
    <w:rsid w:val="00F23FA7"/>
    <w:rsid w:val="00F24A4E"/>
    <w:rsid w:val="00F2613E"/>
    <w:rsid w:val="00F3004F"/>
    <w:rsid w:val="00F31099"/>
    <w:rsid w:val="00F333D6"/>
    <w:rsid w:val="00F34A3B"/>
    <w:rsid w:val="00F34B38"/>
    <w:rsid w:val="00F359C2"/>
    <w:rsid w:val="00F37557"/>
    <w:rsid w:val="00F37BCC"/>
    <w:rsid w:val="00F420F8"/>
    <w:rsid w:val="00F45D3D"/>
    <w:rsid w:val="00F46221"/>
    <w:rsid w:val="00F46642"/>
    <w:rsid w:val="00F468B9"/>
    <w:rsid w:val="00F474AA"/>
    <w:rsid w:val="00F5099E"/>
    <w:rsid w:val="00F50D00"/>
    <w:rsid w:val="00F52111"/>
    <w:rsid w:val="00F559FB"/>
    <w:rsid w:val="00F55EFB"/>
    <w:rsid w:val="00F61A88"/>
    <w:rsid w:val="00F61E07"/>
    <w:rsid w:val="00F62475"/>
    <w:rsid w:val="00F631D5"/>
    <w:rsid w:val="00F63E13"/>
    <w:rsid w:val="00F63E64"/>
    <w:rsid w:val="00F653AB"/>
    <w:rsid w:val="00F656E8"/>
    <w:rsid w:val="00F65C58"/>
    <w:rsid w:val="00F665E3"/>
    <w:rsid w:val="00F669E7"/>
    <w:rsid w:val="00F673F1"/>
    <w:rsid w:val="00F716AC"/>
    <w:rsid w:val="00F72360"/>
    <w:rsid w:val="00F72E4C"/>
    <w:rsid w:val="00F73C28"/>
    <w:rsid w:val="00F747C6"/>
    <w:rsid w:val="00F7514A"/>
    <w:rsid w:val="00F75688"/>
    <w:rsid w:val="00F77146"/>
    <w:rsid w:val="00F778FE"/>
    <w:rsid w:val="00F801BF"/>
    <w:rsid w:val="00F819DD"/>
    <w:rsid w:val="00F83DE0"/>
    <w:rsid w:val="00F868FD"/>
    <w:rsid w:val="00F86CB4"/>
    <w:rsid w:val="00F879F5"/>
    <w:rsid w:val="00F87ADB"/>
    <w:rsid w:val="00F9021B"/>
    <w:rsid w:val="00F9148E"/>
    <w:rsid w:val="00F917AC"/>
    <w:rsid w:val="00F9236D"/>
    <w:rsid w:val="00F92E28"/>
    <w:rsid w:val="00F92F12"/>
    <w:rsid w:val="00F933D0"/>
    <w:rsid w:val="00F94523"/>
    <w:rsid w:val="00F94797"/>
    <w:rsid w:val="00F95501"/>
    <w:rsid w:val="00F955A1"/>
    <w:rsid w:val="00F95B51"/>
    <w:rsid w:val="00F97F11"/>
    <w:rsid w:val="00FA0155"/>
    <w:rsid w:val="00FA2DBF"/>
    <w:rsid w:val="00FA40E3"/>
    <w:rsid w:val="00FA5093"/>
    <w:rsid w:val="00FA509A"/>
    <w:rsid w:val="00FA55A3"/>
    <w:rsid w:val="00FA6886"/>
    <w:rsid w:val="00FB0C17"/>
    <w:rsid w:val="00FB0E35"/>
    <w:rsid w:val="00FB0FC5"/>
    <w:rsid w:val="00FB18C3"/>
    <w:rsid w:val="00FB18F8"/>
    <w:rsid w:val="00FB2D8B"/>
    <w:rsid w:val="00FB493A"/>
    <w:rsid w:val="00FB5F32"/>
    <w:rsid w:val="00FB63FF"/>
    <w:rsid w:val="00FB65C8"/>
    <w:rsid w:val="00FB735A"/>
    <w:rsid w:val="00FB76D5"/>
    <w:rsid w:val="00FC0F4A"/>
    <w:rsid w:val="00FC17B9"/>
    <w:rsid w:val="00FC3482"/>
    <w:rsid w:val="00FC3506"/>
    <w:rsid w:val="00FC423C"/>
    <w:rsid w:val="00FC4359"/>
    <w:rsid w:val="00FC657D"/>
    <w:rsid w:val="00FC6FA9"/>
    <w:rsid w:val="00FC73A4"/>
    <w:rsid w:val="00FD1648"/>
    <w:rsid w:val="00FD1FC2"/>
    <w:rsid w:val="00FD34DD"/>
    <w:rsid w:val="00FD40B3"/>
    <w:rsid w:val="00FD5FF2"/>
    <w:rsid w:val="00FD6C39"/>
    <w:rsid w:val="00FD7902"/>
    <w:rsid w:val="00FE114C"/>
    <w:rsid w:val="00FE175B"/>
    <w:rsid w:val="00FE3DAE"/>
    <w:rsid w:val="00FE4699"/>
    <w:rsid w:val="00FE4FE8"/>
    <w:rsid w:val="00FE52CA"/>
    <w:rsid w:val="00FE5FD5"/>
    <w:rsid w:val="00FE68BA"/>
    <w:rsid w:val="00FE7B80"/>
    <w:rsid w:val="00FE7C4E"/>
    <w:rsid w:val="00FF0882"/>
    <w:rsid w:val="00FF1EC4"/>
    <w:rsid w:val="00FF25C0"/>
    <w:rsid w:val="00FF2A81"/>
    <w:rsid w:val="00FF3277"/>
    <w:rsid w:val="00FF403C"/>
    <w:rsid w:val="00FF466D"/>
    <w:rsid w:val="00FF57A8"/>
    <w:rsid w:val="00FF6E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542">
      <v:textbox inset="5.85pt,.7pt,5.85pt,.7pt"/>
    </o:shapedefaults>
    <o:shapelayout v:ext="edit">
      <o:idmap v:ext="edit" data="1,3"/>
      <o:rules v:ext="edit">
        <o:r id="V:Rule1" type="connector" idref="#AutoShape 10549"/>
        <o:r id="V:Rule2" type="connector" idref="#AutoShape 10551"/>
        <o:r id="V:Rule3" type="connector" idref="#AutoShape 10552"/>
        <o:r id="V:Rule4" type="connector" idref="#AutoShape 10553"/>
        <o:r id="V:Rule5" type="callout" idref="#AutoShape 11365"/>
        <o:r id="V:Rule6" type="callout" idref="#AutoShape 11366"/>
        <o:r id="V:Rule7" type="callout" idref="#AutoShape 11367"/>
        <o:r id="V:Rule8" type="connector" idref="#AutoShape 10694"/>
        <o:r id="V:Rule9" type="connector" idref="#AutoShape 10692"/>
        <o:r id="V:Rule10" type="connector" idref="#直線矢印コネクタ 715"/>
        <o:r id="V:Rule11" type="connector" idref="#AutoShape 192"/>
        <o:r id="V:Rule12" type="connector" idref="#AutoShape 10590"/>
        <o:r id="V:Rule13" type="connector" idref="#直線矢印コネクタ 12592"/>
        <o:r id="V:Rule14" type="connector" idref="#AutoShape 10719"/>
        <o:r id="V:Rule15" type="connector" idref="#AutoShape 10924"/>
        <o:r id="V:Rule16" type="connector" idref="#AutoShape 10681"/>
        <o:r id="V:Rule17" type="connector" idref="#AutoShape 10541"/>
        <o:r id="V:Rule18" type="connector" idref="#AutoShape 10588"/>
        <o:r id="V:Rule19" type="connector" idref="#AutoShape 185"/>
        <o:r id="V:Rule20" type="connector" idref="#AutoShape 10720"/>
        <o:r id="V:Rule21" type="connector" idref="#AutoShape 10925"/>
        <o:r id="V:Rule22" type="connector" idref="#AutoShape 10533"/>
        <o:r id="V:Rule23" type="connector" idref="#AutoShape 176"/>
        <o:r id="V:Rule24" type="connector" idref="#AutoShape 195"/>
        <o:r id="V:Rule25" type="connector" idref="#AutoShape 9798"/>
        <o:r id="V:Rule26" type="connector" idref="#AutoShape 10549"/>
        <o:r id="V:Rule27" type="connector" idref="#AutoShape 10536"/>
        <o:r id="V:Rule28" type="connector" idref="#AutoShape 189"/>
        <o:r id="V:Rule29" type="connector" idref="#AutoShape 196"/>
        <o:r id="V:Rule30" type="connector" idref="#AutoShape 12006"/>
        <o:r id="V:Rule31" type="connector" idref="#AutoShape 10551"/>
        <o:r id="V:Rule32" type="connector" idref="#AutoShape 10702"/>
        <o:r id="V:Rule33" type="connector" idref="#AutoShape 10703"/>
        <o:r id="V:Rule34" type="connector" idref="#AutoShape 10529"/>
        <o:r id="V:Rule35" type="connector" idref="#AutoShape 10610"/>
        <o:r id="V:Rule36" type="connector" idref="#AutoShape 10591"/>
        <o:r id="V:Rule37" type="connector" idref="#直線矢印コネクタ 11713"/>
        <o:r id="V:Rule38" type="connector" idref="#AutoShape 10714"/>
        <o:r id="V:Rule39" type="connector" idref="#AutoShape 190"/>
        <o:r id="V:Rule40" type="connector" idref="#_x0000_s3406"/>
        <o:r id="V:Rule41" type="connector" idref="#AutoShape 10622"/>
        <o:r id="V:Rule42" type="connector" idref="#AutoShape 10599"/>
        <o:r id="V:Rule43" type="connector" idref="#AutoShape 10617"/>
        <o:r id="V:Rule44" type="connector" idref="#AutoShape 10684"/>
        <o:r id="V:Rule45" type="connector" idref="#AutoShape 10552"/>
        <o:r id="V:Rule46" type="connector" idref="#AutoShape 10538"/>
        <o:r id="V:Rule47" type="connector" idref="#AutoShape 197"/>
        <o:r id="V:Rule48" type="connector" idref="#AutoShape 10607"/>
        <o:r id="V:Rule49" type="connector" idref="#AutoShape 10717"/>
        <o:r id="V:Rule50" type="connector" idref="#_x0000_s3405"/>
        <o:r id="V:Rule51" type="connector" idref="#AutoShape 10611"/>
        <o:r id="V:Rule52" type="connector" idref="#AutoShape 10693"/>
        <o:r id="V:Rule53" type="connector" idref="#直線矢印コネクタ 62"/>
        <o:r id="V:Rule54" type="connector" idref="#AutoShape 10621"/>
        <o:r id="V:Rule55" type="connector" idref="#AutoShape 10609"/>
        <o:r id="V:Rule56" type="connector" idref="#AutoShape 10597"/>
        <o:r id="V:Rule57" type="connector" idref="#AutoShape 12024"/>
        <o:r id="V:Rule58" type="connector" idref="#AutoShape 10620"/>
        <o:r id="V:Rule59" type="connector" idref="#AutoShape 12008"/>
        <o:r id="V:Rule60" type="connector" idref="#AutoShape 10602"/>
        <o:r id="V:Rule61" type="connector" idref="#AutoShape 187"/>
        <o:r id="V:Rule62" type="connector" idref="#AutoShape 10716"/>
        <o:r id="V:Rule63" type="connector" idref="#AutoShape 193"/>
        <o:r id="V:Rule64" type="connector" idref="#AutoShape 10682"/>
        <o:r id="V:Rule65" type="connector" idref="#AutoShape 10600"/>
        <o:r id="V:Rule66" type="connector" idref="#AutoShape 10604"/>
        <o:r id="V:Rule67" type="connector" idref="#AutoShape 10594"/>
        <o:r id="V:Rule68" type="connector" idref="#AutoShape 198"/>
        <o:r id="V:Rule69" type="connector" idref="#AutoShape 12000"/>
        <o:r id="V:Rule70" type="connector" idref="#AutoShape 10705"/>
        <o:r id="V:Rule71" type="connector" idref="#AutoShape 12023"/>
        <o:r id="V:Rule72" type="connector" idref="#AutoShape 10614"/>
        <o:r id="V:Rule73" type="connector" idref="#AutoShape 10677"/>
        <o:r id="V:Rule74" type="connector" idref="#AutoShape 10619"/>
        <o:r id="V:Rule75" type="connector" idref="#直線矢印コネクタ 12591"/>
        <o:r id="V:Rule76" type="connector" idref="#AutoShape 10537"/>
        <o:r id="V:Rule77" type="connector" idref="#直線矢印コネクタ 578"/>
        <o:r id="V:Rule78" type="connector" idref="#AutoShape 10593"/>
        <o:r id="V:Rule79" type="connector" idref="#AutoShape 10545"/>
        <o:r id="V:Rule80" type="connector" idref="#AutoShape 10603"/>
        <o:r id="V:Rule81" type="connector" idref="#_x0000_s3511"/>
        <o:r id="V:Rule82" type="connector" idref="#AutoShape 10530"/>
        <o:r id="V:Rule83" type="connector" idref="#AutoShape 10623"/>
        <o:r id="V:Rule84" type="connector" idref="#AutoShape 183"/>
        <o:r id="V:Rule85" type="connector" idref="#AutoShape 10553"/>
        <o:r id="V:Rule86" type="connector" idref="#AutoShape 194"/>
        <o:r id="V:Rule87" type="connector" idref="#AutoShape 10616"/>
        <o:r id="V:Rule88" type="connector" idref="#直線矢印コネクタ 63"/>
        <o:r id="V:Rule89" type="connector" idref="#AutoShape 10722"/>
        <o:r id="V:Rule90" type="connector" idref="#AutoShape 10615"/>
        <o:r id="V:Rule91" type="connector" idref="#直線矢印コネクタ 11712"/>
        <o:r id="V:Rule92" type="connector" idref="#AutoShape 191"/>
        <o:r id="V:Rule93" type="connector" idref="#直線矢印コネクタ 61"/>
        <o:r id="V:Rule94" type="connector" idref="#AutoShape 10676"/>
        <o:r id="V:Rule95" type="connector" idref="#AutoShape 10718"/>
        <o:r id="V:Rule96" type="connector" idref="#AutoShape 10532"/>
        <o:r id="V:Rule97" type="connector" idref="#AutoShape 10685"/>
        <o:r id="V:Rule98" type="connector" idref="#AutoShape 10606"/>
        <o:r id="V:Rule99" type="connector" idref="#AutoShape 10613"/>
        <o:r id="V:Rule100" type="connector" idref="#AutoShape 10704"/>
        <o:r id="V:Rule101" type="connector" idref="#AutoShape 10543"/>
        <o:r id="V:Rule102" type="connector" idref="#AutoShape 10544"/>
        <o:r id="V:Rule103" type="connector" idref="#直線矢印コネクタ 577"/>
        <o:r id="V:Rule104" type="connector" idref="#AutoShape 10596"/>
        <o:r id="V:Rule105" type="connector" idref="#AutoShape 10721"/>
        <o:r id="V:Rule106" type="connector" idref="#AutoShape 10618"/>
      </o:rules>
    </o:shapelayout>
  </w:shapeDefaults>
  <w:decimalSymbol w:val="."/>
  <w:listSeparator w:val=","/>
  <w14:docId w14:val="234A395A"/>
  <w15:docId w15:val="{8EEB15ED-C8F4-4359-911B-A540A5FA0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8" w:qFormat="1"/>
    <w:lsdException w:name="heading 5" w:uiPriority="8" w:qFormat="1"/>
    <w:lsdException w:name="heading 6" w:uiPriority="8" w:qFormat="1"/>
    <w:lsdException w:name="heading 7" w:uiPriority="8"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BE3F34"/>
    <w:pPr>
      <w:widowControl w:val="0"/>
      <w:jc w:val="both"/>
    </w:pPr>
    <w:rPr>
      <w:kern w:val="2"/>
      <w:sz w:val="21"/>
      <w:szCs w:val="21"/>
    </w:rPr>
  </w:style>
  <w:style w:type="paragraph" w:styleId="10">
    <w:name w:val="heading 1"/>
    <w:aliases w:val="箇条番号　1,箇条番号1"/>
    <w:basedOn w:val="a0"/>
    <w:next w:val="a0"/>
    <w:link w:val="14"/>
    <w:qFormat/>
    <w:rsid w:val="009A0657"/>
    <w:pPr>
      <w:numPr>
        <w:numId w:val="130"/>
      </w:numPr>
      <w:outlineLvl w:val="0"/>
    </w:pPr>
    <w:rPr>
      <w:rFonts w:ascii="ＭＳ ゴシック" w:eastAsia="ＭＳ ゴシック" w:hAnsi="Arial"/>
      <w:b/>
      <w:szCs w:val="24"/>
    </w:rPr>
  </w:style>
  <w:style w:type="paragraph" w:styleId="20">
    <w:name w:val="heading 2"/>
    <w:aliases w:val="細分箇条番号　1.1,細分箇条番号1.1"/>
    <w:basedOn w:val="a0"/>
    <w:next w:val="a0"/>
    <w:link w:val="21"/>
    <w:qFormat/>
    <w:rsid w:val="00546E74"/>
    <w:pPr>
      <w:numPr>
        <w:ilvl w:val="1"/>
        <w:numId w:val="130"/>
      </w:numPr>
      <w:outlineLvl w:val="1"/>
    </w:pPr>
    <w:rPr>
      <w:rFonts w:ascii="ＭＳ ゴシック" w:eastAsia="ＭＳ ゴシック" w:hAnsi="Arial"/>
      <w:b/>
    </w:rPr>
  </w:style>
  <w:style w:type="paragraph" w:styleId="3">
    <w:name w:val="heading 3"/>
    <w:aliases w:val="細分箇条番号　1.1.1,細分箇条番号1.1.1"/>
    <w:basedOn w:val="a0"/>
    <w:next w:val="a0"/>
    <w:link w:val="31"/>
    <w:qFormat/>
    <w:rsid w:val="002F5673"/>
    <w:pPr>
      <w:numPr>
        <w:ilvl w:val="2"/>
        <w:numId w:val="130"/>
      </w:numPr>
      <w:outlineLvl w:val="2"/>
    </w:pPr>
    <w:rPr>
      <w:rFonts w:ascii="ＭＳ ゴシック" w:eastAsia="ＭＳ ゴシック" w:hAnsi="Arial"/>
      <w:b/>
    </w:rPr>
  </w:style>
  <w:style w:type="paragraph" w:styleId="4">
    <w:name w:val="heading 4"/>
    <w:aliases w:val="細分箇条番号　1.1.1.1"/>
    <w:basedOn w:val="a0"/>
    <w:next w:val="a0"/>
    <w:link w:val="41"/>
    <w:uiPriority w:val="8"/>
    <w:qFormat/>
    <w:rsid w:val="00DA439D"/>
    <w:pPr>
      <w:keepNext/>
      <w:numPr>
        <w:ilvl w:val="3"/>
        <w:numId w:val="130"/>
      </w:numPr>
      <w:outlineLvl w:val="3"/>
    </w:pPr>
    <w:rPr>
      <w:rFonts w:ascii="ＭＳ ゴシック" w:eastAsia="ＭＳ ゴシック"/>
      <w:b/>
      <w:bCs/>
    </w:rPr>
  </w:style>
  <w:style w:type="paragraph" w:styleId="5">
    <w:name w:val="heading 5"/>
    <w:aliases w:val="細別　a)"/>
    <w:basedOn w:val="a0"/>
    <w:next w:val="a0"/>
    <w:link w:val="50"/>
    <w:uiPriority w:val="8"/>
    <w:qFormat/>
    <w:rsid w:val="00E21959"/>
    <w:pPr>
      <w:numPr>
        <w:ilvl w:val="4"/>
        <w:numId w:val="130"/>
      </w:numPr>
      <w:tabs>
        <w:tab w:val="left" w:pos="284"/>
      </w:tabs>
      <w:outlineLvl w:val="4"/>
    </w:pPr>
    <w:rPr>
      <w:rFonts w:ascii="ＭＳ ゴシック" w:eastAsia="ＭＳ ゴシック" w:hAnsi="Arial"/>
      <w:b/>
    </w:rPr>
  </w:style>
  <w:style w:type="paragraph" w:styleId="6">
    <w:name w:val="heading 6"/>
    <w:aliases w:val="細別　1)"/>
    <w:basedOn w:val="a0"/>
    <w:next w:val="a0"/>
    <w:link w:val="60"/>
    <w:uiPriority w:val="8"/>
    <w:qFormat/>
    <w:rsid w:val="00E21959"/>
    <w:pPr>
      <w:numPr>
        <w:ilvl w:val="5"/>
        <w:numId w:val="130"/>
      </w:numPr>
      <w:tabs>
        <w:tab w:val="clear" w:pos="1248"/>
        <w:tab w:val="num" w:pos="823"/>
      </w:tabs>
      <w:ind w:left="681"/>
      <w:outlineLvl w:val="5"/>
    </w:pPr>
    <w:rPr>
      <w:rFonts w:ascii="ＭＳ ゴシック" w:eastAsia="ＭＳ ゴシック"/>
      <w:b/>
      <w:bCs/>
    </w:rPr>
  </w:style>
  <w:style w:type="paragraph" w:styleId="7">
    <w:name w:val="heading 7"/>
    <w:aliases w:val="細別　1.1)"/>
    <w:basedOn w:val="a0"/>
    <w:next w:val="a0"/>
    <w:link w:val="70"/>
    <w:uiPriority w:val="8"/>
    <w:qFormat/>
    <w:rsid w:val="00DA439D"/>
    <w:pPr>
      <w:keepNext/>
      <w:numPr>
        <w:ilvl w:val="6"/>
        <w:numId w:val="130"/>
      </w:numPr>
      <w:outlineLvl w:val="6"/>
    </w:pPr>
    <w:rPr>
      <w:rFonts w:ascii="ＭＳ ゴシック" w:eastAsia="ＭＳ ゴシック"/>
      <w:b/>
    </w:rPr>
  </w:style>
  <w:style w:type="paragraph" w:styleId="8">
    <w:name w:val="heading 8"/>
    <w:aliases w:val="細別　1.1.1),見出し 4細分箇条番号1.1.1.1"/>
    <w:basedOn w:val="a0"/>
    <w:next w:val="a0"/>
    <w:link w:val="80"/>
    <w:qFormat/>
    <w:rsid w:val="00DE4C7D"/>
    <w:pPr>
      <w:keepNext/>
      <w:numPr>
        <w:ilvl w:val="7"/>
        <w:numId w:val="130"/>
      </w:numPr>
      <w:outlineLvl w:val="7"/>
    </w:pPr>
    <w:rPr>
      <w:rFonts w:ascii="ＭＳ ゴシック" w:eastAsia="ＭＳ ゴシック"/>
      <w:b/>
    </w:rPr>
  </w:style>
  <w:style w:type="paragraph" w:styleId="9">
    <w:name w:val="heading 9"/>
    <w:aliases w:val="細別　1.1.1.1)"/>
    <w:basedOn w:val="a0"/>
    <w:next w:val="a0"/>
    <w:link w:val="90"/>
    <w:qFormat/>
    <w:rsid w:val="00DA439D"/>
    <w:pPr>
      <w:keepNext/>
      <w:numPr>
        <w:ilvl w:val="8"/>
        <w:numId w:val="130"/>
      </w:numPr>
      <w:outlineLvl w:val="8"/>
    </w:pPr>
    <w:rPr>
      <w:rFonts w:ascii="ＭＳ 明朝"/>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4">
    <w:name w:val="見出し 1 (文字)"/>
    <w:aliases w:val="箇条番号　1 (文字),箇条番号1 (文字)"/>
    <w:basedOn w:val="a1"/>
    <w:link w:val="10"/>
    <w:rsid w:val="009A0657"/>
    <w:rPr>
      <w:rFonts w:ascii="ＭＳ ゴシック" w:eastAsia="ＭＳ ゴシック" w:hAnsi="Arial"/>
      <w:b/>
      <w:kern w:val="2"/>
      <w:sz w:val="21"/>
      <w:szCs w:val="24"/>
    </w:rPr>
  </w:style>
  <w:style w:type="character" w:customStyle="1" w:styleId="21">
    <w:name w:val="見出し 2 (文字)"/>
    <w:aliases w:val="細分箇条番号　1.1 (文字),細分箇条番号1.1 (文字)"/>
    <w:basedOn w:val="a1"/>
    <w:link w:val="20"/>
    <w:rsid w:val="00546E74"/>
    <w:rPr>
      <w:rFonts w:ascii="ＭＳ ゴシック" w:eastAsia="ＭＳ ゴシック" w:hAnsi="Arial"/>
      <w:b/>
      <w:kern w:val="2"/>
      <w:sz w:val="21"/>
      <w:szCs w:val="21"/>
    </w:rPr>
  </w:style>
  <w:style w:type="character" w:customStyle="1" w:styleId="31">
    <w:name w:val="見出し 3 (文字)"/>
    <w:aliases w:val="細分箇条番号　1.1.1 (文字),細分箇条番号1.1.1 (文字)"/>
    <w:basedOn w:val="a1"/>
    <w:link w:val="3"/>
    <w:rsid w:val="002F5673"/>
    <w:rPr>
      <w:rFonts w:ascii="ＭＳ ゴシック" w:eastAsia="ＭＳ ゴシック" w:hAnsi="Arial"/>
      <w:b/>
      <w:kern w:val="2"/>
      <w:sz w:val="21"/>
      <w:szCs w:val="21"/>
    </w:rPr>
  </w:style>
  <w:style w:type="character" w:customStyle="1" w:styleId="41">
    <w:name w:val="見出し 4 (文字)"/>
    <w:aliases w:val="細分箇条番号　1.1.1.1 (文字)"/>
    <w:basedOn w:val="a1"/>
    <w:link w:val="4"/>
    <w:uiPriority w:val="8"/>
    <w:rsid w:val="00DA439D"/>
    <w:rPr>
      <w:rFonts w:ascii="ＭＳ ゴシック" w:eastAsia="ＭＳ ゴシック"/>
      <w:b/>
      <w:bCs/>
      <w:kern w:val="2"/>
      <w:sz w:val="21"/>
      <w:szCs w:val="21"/>
    </w:rPr>
  </w:style>
  <w:style w:type="character" w:customStyle="1" w:styleId="50">
    <w:name w:val="見出し 5 (文字)"/>
    <w:aliases w:val="細別　a) (文字)"/>
    <w:basedOn w:val="a1"/>
    <w:link w:val="5"/>
    <w:uiPriority w:val="8"/>
    <w:rsid w:val="00E21959"/>
    <w:rPr>
      <w:rFonts w:ascii="ＭＳ ゴシック" w:eastAsia="ＭＳ ゴシック" w:hAnsi="Arial"/>
      <w:b/>
      <w:kern w:val="2"/>
      <w:sz w:val="21"/>
      <w:szCs w:val="21"/>
    </w:rPr>
  </w:style>
  <w:style w:type="character" w:customStyle="1" w:styleId="60">
    <w:name w:val="見出し 6 (文字)"/>
    <w:aliases w:val="細別　1) (文字)"/>
    <w:basedOn w:val="a1"/>
    <w:link w:val="6"/>
    <w:uiPriority w:val="8"/>
    <w:rsid w:val="00E21959"/>
    <w:rPr>
      <w:rFonts w:ascii="ＭＳ ゴシック" w:eastAsia="ＭＳ ゴシック"/>
      <w:b/>
      <w:bCs/>
      <w:kern w:val="2"/>
      <w:sz w:val="21"/>
      <w:szCs w:val="21"/>
    </w:rPr>
  </w:style>
  <w:style w:type="character" w:customStyle="1" w:styleId="70">
    <w:name w:val="見出し 7 (文字)"/>
    <w:aliases w:val="細別　1.1) (文字)"/>
    <w:basedOn w:val="a1"/>
    <w:link w:val="7"/>
    <w:uiPriority w:val="8"/>
    <w:rsid w:val="00DA439D"/>
    <w:rPr>
      <w:rFonts w:ascii="ＭＳ ゴシック" w:eastAsia="ＭＳ ゴシック"/>
      <w:b/>
      <w:kern w:val="2"/>
      <w:sz w:val="21"/>
      <w:szCs w:val="21"/>
    </w:rPr>
  </w:style>
  <w:style w:type="character" w:customStyle="1" w:styleId="80">
    <w:name w:val="見出し 8 (文字)"/>
    <w:aliases w:val="細別　1.1.1) (文字),見出し 4細分箇条番号1.1.1.1 (文字)"/>
    <w:basedOn w:val="a1"/>
    <w:link w:val="8"/>
    <w:rsid w:val="00DE4C7D"/>
    <w:rPr>
      <w:rFonts w:ascii="ＭＳ ゴシック" w:eastAsia="ＭＳ ゴシック"/>
      <w:b/>
      <w:kern w:val="2"/>
      <w:sz w:val="21"/>
      <w:szCs w:val="21"/>
    </w:rPr>
  </w:style>
  <w:style w:type="character" w:customStyle="1" w:styleId="90">
    <w:name w:val="見出し 9 (文字)"/>
    <w:aliases w:val="細別　1.1.1.1) (文字)"/>
    <w:basedOn w:val="a1"/>
    <w:link w:val="9"/>
    <w:rsid w:val="00DA439D"/>
    <w:rPr>
      <w:rFonts w:ascii="ＭＳ 明朝"/>
      <w:b/>
      <w:kern w:val="2"/>
      <w:sz w:val="21"/>
      <w:szCs w:val="21"/>
    </w:rPr>
  </w:style>
  <w:style w:type="paragraph" w:styleId="a4">
    <w:name w:val="List Paragraph"/>
    <w:basedOn w:val="a0"/>
    <w:uiPriority w:val="34"/>
    <w:qFormat/>
    <w:rsid w:val="003E758D"/>
    <w:pPr>
      <w:ind w:leftChars="400" w:left="840"/>
    </w:pPr>
  </w:style>
  <w:style w:type="paragraph" w:customStyle="1" w:styleId="13">
    <w:name w:val="附属書，解説 の箇条番号　1"/>
    <w:basedOn w:val="a0"/>
    <w:qFormat/>
    <w:rsid w:val="001A4B80"/>
    <w:pPr>
      <w:numPr>
        <w:numId w:val="2"/>
      </w:numPr>
      <w:adjustRightInd w:val="0"/>
      <w:snapToGrid w:val="0"/>
      <w:spacing w:line="360" w:lineRule="exact"/>
      <w:jc w:val="left"/>
    </w:pPr>
    <w:rPr>
      <w:rFonts w:ascii="ＭＳ ゴシック" w:eastAsia="ＭＳ ゴシック" w:hAnsi="ＭＳ ゴシック"/>
      <w:b/>
    </w:rPr>
  </w:style>
  <w:style w:type="paragraph" w:styleId="a5">
    <w:name w:val="footer"/>
    <w:basedOn w:val="a0"/>
    <w:link w:val="a6"/>
    <w:unhideWhenUsed/>
    <w:rsid w:val="00534573"/>
    <w:pPr>
      <w:tabs>
        <w:tab w:val="center" w:pos="4252"/>
        <w:tab w:val="right" w:pos="8504"/>
      </w:tabs>
      <w:snapToGrid w:val="0"/>
    </w:pPr>
  </w:style>
  <w:style w:type="character" w:customStyle="1" w:styleId="a6">
    <w:name w:val="フッター (文字)"/>
    <w:basedOn w:val="a1"/>
    <w:link w:val="a5"/>
    <w:rsid w:val="00534573"/>
    <w:rPr>
      <w:kern w:val="2"/>
      <w:sz w:val="21"/>
      <w:szCs w:val="21"/>
    </w:rPr>
  </w:style>
  <w:style w:type="paragraph" w:customStyle="1" w:styleId="110">
    <w:name w:val="附属書，解説の細分箇条番号　1.1"/>
    <w:basedOn w:val="a7"/>
    <w:qFormat/>
    <w:rsid w:val="001A4B80"/>
    <w:pPr>
      <w:numPr>
        <w:ilvl w:val="1"/>
        <w:numId w:val="2"/>
      </w:numPr>
    </w:pPr>
    <w:rPr>
      <w:rFonts w:ascii="ＭＳ ゴシック" w:eastAsia="ＭＳ ゴシック" w:hAnsi="ＭＳ ゴシック"/>
      <w:szCs w:val="21"/>
    </w:rPr>
  </w:style>
  <w:style w:type="paragraph" w:customStyle="1" w:styleId="a7">
    <w:name w:val="太字"/>
    <w:basedOn w:val="a0"/>
    <w:semiHidden/>
    <w:rsid w:val="00534573"/>
    <w:pPr>
      <w:spacing w:line="360" w:lineRule="exact"/>
      <w:jc w:val="left"/>
    </w:pPr>
    <w:rPr>
      <w:b/>
      <w:bCs/>
      <w:szCs w:val="20"/>
    </w:rPr>
  </w:style>
  <w:style w:type="paragraph" w:styleId="a8">
    <w:name w:val="Subtitle"/>
    <w:basedOn w:val="a0"/>
    <w:next w:val="a9"/>
    <w:link w:val="aa"/>
    <w:qFormat/>
    <w:rsid w:val="00534573"/>
    <w:pPr>
      <w:keepNext/>
      <w:spacing w:before="240" w:after="120" w:line="360" w:lineRule="exact"/>
      <w:jc w:val="center"/>
    </w:pPr>
    <w:rPr>
      <w:rFonts w:ascii="Arial" w:eastAsia="ＭＳ Ｐゴシック" w:hAnsi="Arial" w:cs="Tahoma"/>
      <w:i/>
      <w:iCs/>
      <w:sz w:val="28"/>
      <w:szCs w:val="28"/>
    </w:rPr>
  </w:style>
  <w:style w:type="paragraph" w:styleId="a9">
    <w:name w:val="Body Text"/>
    <w:basedOn w:val="a0"/>
    <w:link w:val="ab"/>
    <w:semiHidden/>
    <w:unhideWhenUsed/>
    <w:rsid w:val="00534573"/>
    <w:pPr>
      <w:spacing w:after="120" w:line="360" w:lineRule="exact"/>
      <w:jc w:val="left"/>
    </w:pPr>
    <w:rPr>
      <w:szCs w:val="24"/>
    </w:rPr>
  </w:style>
  <w:style w:type="character" w:customStyle="1" w:styleId="ab">
    <w:name w:val="本文 (文字)"/>
    <w:basedOn w:val="a1"/>
    <w:link w:val="a9"/>
    <w:semiHidden/>
    <w:rsid w:val="00534573"/>
    <w:rPr>
      <w:kern w:val="2"/>
      <w:sz w:val="21"/>
      <w:szCs w:val="24"/>
    </w:rPr>
  </w:style>
  <w:style w:type="character" w:customStyle="1" w:styleId="aa">
    <w:name w:val="副題 (文字)"/>
    <w:basedOn w:val="a1"/>
    <w:link w:val="a8"/>
    <w:rsid w:val="00FB0FC5"/>
    <w:rPr>
      <w:rFonts w:ascii="Arial" w:eastAsia="ＭＳ Ｐゴシック" w:hAnsi="Arial" w:cs="Tahoma"/>
      <w:i/>
      <w:iCs/>
      <w:kern w:val="2"/>
      <w:sz w:val="28"/>
      <w:szCs w:val="28"/>
    </w:rPr>
  </w:style>
  <w:style w:type="paragraph" w:customStyle="1" w:styleId="ac">
    <w:name w:val="スタイル a)"/>
    <w:basedOn w:val="a0"/>
    <w:semiHidden/>
    <w:rsid w:val="00534573"/>
    <w:pPr>
      <w:spacing w:line="360" w:lineRule="exact"/>
      <w:ind w:left="422" w:hanging="422"/>
      <w:jc w:val="left"/>
    </w:pPr>
    <w:rPr>
      <w:szCs w:val="20"/>
    </w:rPr>
  </w:style>
  <w:style w:type="paragraph" w:styleId="ad">
    <w:name w:val="Body Text Indent"/>
    <w:basedOn w:val="a0"/>
    <w:link w:val="ae"/>
    <w:semiHidden/>
    <w:rsid w:val="00534573"/>
    <w:pPr>
      <w:suppressAutoHyphens/>
      <w:spacing w:line="360" w:lineRule="exact"/>
      <w:ind w:left="851"/>
      <w:jc w:val="left"/>
    </w:pPr>
    <w:rPr>
      <w:kern w:val="1"/>
      <w:szCs w:val="24"/>
      <w:lang w:eastAsia="ar-SA"/>
    </w:rPr>
  </w:style>
  <w:style w:type="character" w:customStyle="1" w:styleId="ae">
    <w:name w:val="本文インデント (文字)"/>
    <w:basedOn w:val="a1"/>
    <w:link w:val="ad"/>
    <w:semiHidden/>
    <w:rsid w:val="00534573"/>
    <w:rPr>
      <w:kern w:val="1"/>
      <w:sz w:val="21"/>
      <w:szCs w:val="24"/>
      <w:lang w:eastAsia="ar-SA"/>
    </w:rPr>
  </w:style>
  <w:style w:type="character" w:styleId="af">
    <w:name w:val="page number"/>
    <w:basedOn w:val="a1"/>
    <w:semiHidden/>
    <w:rsid w:val="00534573"/>
  </w:style>
  <w:style w:type="character" w:customStyle="1" w:styleId="1Char">
    <w:name w:val="1文章 Char"/>
    <w:basedOn w:val="a1"/>
    <w:link w:val="15"/>
    <w:rsid w:val="00203A92"/>
    <w:rPr>
      <w:kern w:val="2"/>
      <w:sz w:val="21"/>
    </w:rPr>
  </w:style>
  <w:style w:type="paragraph" w:customStyle="1" w:styleId="15">
    <w:name w:val="1文章"/>
    <w:basedOn w:val="a0"/>
    <w:link w:val="1Char"/>
    <w:rsid w:val="00203A92"/>
    <w:pPr>
      <w:ind w:firstLineChars="100" w:firstLine="100"/>
    </w:pPr>
    <w:rPr>
      <w:szCs w:val="20"/>
    </w:rPr>
  </w:style>
  <w:style w:type="character" w:styleId="af0">
    <w:name w:val="FollowedHyperlink"/>
    <w:basedOn w:val="a1"/>
    <w:semiHidden/>
    <w:unhideWhenUsed/>
    <w:rsid w:val="00534573"/>
    <w:rPr>
      <w:color w:val="800080"/>
      <w:u w:val="single"/>
    </w:rPr>
  </w:style>
  <w:style w:type="paragraph" w:customStyle="1" w:styleId="16">
    <w:name w:val="表紙1　規格名(日本語)"/>
    <w:basedOn w:val="a0"/>
    <w:link w:val="18"/>
    <w:rsid w:val="00534573"/>
    <w:pPr>
      <w:jc w:val="center"/>
    </w:pPr>
    <w:rPr>
      <w:rFonts w:ascii="ＭＳ ゴシック" w:eastAsia="ＭＳ ゴシック" w:hAnsi="ＭＳ ゴシック" w:cs="ＭＳ 明朝"/>
      <w:b/>
      <w:bCs/>
      <w:sz w:val="56"/>
      <w:szCs w:val="20"/>
    </w:rPr>
  </w:style>
  <w:style w:type="paragraph" w:customStyle="1" w:styleId="19">
    <w:name w:val="表紙1　規格名(英語)，制定者(英語)"/>
    <w:basedOn w:val="a0"/>
    <w:rsid w:val="00534573"/>
    <w:pPr>
      <w:jc w:val="center"/>
    </w:pPr>
    <w:rPr>
      <w:rFonts w:eastAsia="ＭＳ ゴシック" w:cs="ＭＳ 明朝"/>
      <w:b/>
      <w:bCs/>
      <w:sz w:val="28"/>
      <w:szCs w:val="28"/>
    </w:rPr>
  </w:style>
  <w:style w:type="paragraph" w:customStyle="1" w:styleId="1HPIS">
    <w:name w:val="表紙1　HPIS"/>
    <w:basedOn w:val="a0"/>
    <w:rsid w:val="00224874"/>
    <w:pPr>
      <w:jc w:val="left"/>
    </w:pPr>
    <w:rPr>
      <w:rFonts w:ascii="Arial Black" w:hAnsi="Arial Black"/>
      <w:sz w:val="200"/>
      <w:szCs w:val="200"/>
    </w:rPr>
  </w:style>
  <w:style w:type="paragraph" w:customStyle="1" w:styleId="1a">
    <w:name w:val="表紙1　規格番号，年月日，制定者(日本語)"/>
    <w:basedOn w:val="a0"/>
    <w:link w:val="1Char0"/>
    <w:rsid w:val="00534573"/>
    <w:pPr>
      <w:jc w:val="center"/>
    </w:pPr>
    <w:rPr>
      <w:rFonts w:ascii="ＭＳ ゴシック" w:eastAsia="ＭＳ ゴシック" w:hAnsi="ＭＳ ゴシック"/>
      <w:b/>
      <w:sz w:val="36"/>
      <w:szCs w:val="36"/>
    </w:rPr>
  </w:style>
  <w:style w:type="character" w:customStyle="1" w:styleId="1Char0">
    <w:name w:val="表紙1　規格番号，年月日，制定者(日本語) Char"/>
    <w:basedOn w:val="a1"/>
    <w:link w:val="1a"/>
    <w:rsid w:val="00534573"/>
    <w:rPr>
      <w:rFonts w:ascii="ＭＳ ゴシック" w:eastAsia="ＭＳ ゴシック" w:hAnsi="ＭＳ ゴシック"/>
      <w:b/>
      <w:kern w:val="2"/>
      <w:sz w:val="36"/>
      <w:szCs w:val="36"/>
    </w:rPr>
  </w:style>
  <w:style w:type="paragraph" w:customStyle="1" w:styleId="1b">
    <w:name w:val="表紙1　規格番号の年号"/>
    <w:basedOn w:val="a0"/>
    <w:link w:val="1Char1"/>
    <w:semiHidden/>
    <w:rsid w:val="00534573"/>
    <w:pPr>
      <w:spacing w:line="360" w:lineRule="exact"/>
      <w:jc w:val="center"/>
    </w:pPr>
    <w:rPr>
      <w:rFonts w:eastAsia="ＭＳ ゴシック"/>
      <w:sz w:val="22"/>
      <w:szCs w:val="22"/>
    </w:rPr>
  </w:style>
  <w:style w:type="character" w:customStyle="1" w:styleId="1Char1">
    <w:name w:val="表紙1　規格番号の年号 Char"/>
    <w:basedOn w:val="a1"/>
    <w:link w:val="1b"/>
    <w:semiHidden/>
    <w:rsid w:val="00534573"/>
    <w:rPr>
      <w:rFonts w:eastAsia="ＭＳ ゴシック"/>
      <w:kern w:val="2"/>
      <w:sz w:val="22"/>
      <w:szCs w:val="22"/>
    </w:rPr>
  </w:style>
  <w:style w:type="paragraph" w:customStyle="1" w:styleId="22">
    <w:name w:val="表紙2　構成表　表題"/>
    <w:basedOn w:val="a0"/>
    <w:semiHidden/>
    <w:unhideWhenUsed/>
    <w:rsid w:val="00534573"/>
    <w:pPr>
      <w:snapToGrid w:val="0"/>
      <w:spacing w:line="360" w:lineRule="exact"/>
      <w:jc w:val="center"/>
    </w:pPr>
    <w:rPr>
      <w:rFonts w:ascii="ＭＳ 明朝" w:hAnsi="ＭＳ 明朝"/>
    </w:rPr>
  </w:style>
  <w:style w:type="paragraph" w:customStyle="1" w:styleId="af1">
    <w:name w:val="参考的前付け要素　表題"/>
    <w:basedOn w:val="a0"/>
    <w:link w:val="af2"/>
    <w:rsid w:val="00372ED6"/>
    <w:pPr>
      <w:spacing w:line="280" w:lineRule="exact"/>
      <w:jc w:val="center"/>
    </w:pPr>
    <w:rPr>
      <w:rFonts w:ascii="ＭＳ ゴシック" w:eastAsia="ＭＳ ゴシック" w:hAnsi="ＭＳ ゴシック"/>
      <w:b/>
      <w:bCs/>
      <w:sz w:val="28"/>
    </w:rPr>
  </w:style>
  <w:style w:type="character" w:customStyle="1" w:styleId="af2">
    <w:name w:val="参考的前付け要素　表題 (文字)"/>
    <w:basedOn w:val="a1"/>
    <w:link w:val="af1"/>
    <w:rsid w:val="00372ED6"/>
    <w:rPr>
      <w:rFonts w:ascii="ＭＳ ゴシック" w:eastAsia="ＭＳ ゴシック" w:hAnsi="ＭＳ ゴシック"/>
      <w:b/>
      <w:bCs/>
      <w:kern w:val="2"/>
      <w:sz w:val="28"/>
      <w:szCs w:val="21"/>
    </w:rPr>
  </w:style>
  <w:style w:type="paragraph" w:customStyle="1" w:styleId="af3">
    <w:name w:val="表紙"/>
    <w:basedOn w:val="a0"/>
    <w:semiHidden/>
    <w:rsid w:val="00534573"/>
    <w:pPr>
      <w:snapToGrid w:val="0"/>
      <w:spacing w:line="360" w:lineRule="exact"/>
      <w:jc w:val="center"/>
    </w:pPr>
    <w:rPr>
      <w:szCs w:val="20"/>
    </w:rPr>
  </w:style>
  <w:style w:type="paragraph" w:customStyle="1" w:styleId="1110">
    <w:name w:val="1.1.1文章"/>
    <w:basedOn w:val="a0"/>
    <w:link w:val="1112"/>
    <w:rsid w:val="009964CA"/>
    <w:pPr>
      <w:ind w:firstLineChars="100" w:firstLine="100"/>
    </w:pPr>
    <w:rPr>
      <w:szCs w:val="20"/>
    </w:rPr>
  </w:style>
  <w:style w:type="paragraph" w:customStyle="1" w:styleId="113">
    <w:name w:val="1.1文章"/>
    <w:basedOn w:val="a0"/>
    <w:link w:val="114"/>
    <w:rsid w:val="00203A92"/>
    <w:pPr>
      <w:ind w:firstLineChars="100" w:firstLine="100"/>
    </w:pPr>
    <w:rPr>
      <w:szCs w:val="20"/>
    </w:rPr>
  </w:style>
  <w:style w:type="paragraph" w:customStyle="1" w:styleId="af4">
    <w:name w:val="表題，図名，写真名"/>
    <w:basedOn w:val="a0"/>
    <w:link w:val="af5"/>
    <w:rsid w:val="004C4437"/>
    <w:pPr>
      <w:jc w:val="center"/>
    </w:pPr>
    <w:rPr>
      <w:rFonts w:ascii="ＭＳ ゴシック" w:eastAsia="ＭＳ ゴシック"/>
      <w:b/>
    </w:rPr>
  </w:style>
  <w:style w:type="paragraph" w:customStyle="1" w:styleId="af6">
    <w:name w:val="本文　表名，図名"/>
    <w:basedOn w:val="a0"/>
    <w:link w:val="af7"/>
    <w:semiHidden/>
    <w:unhideWhenUsed/>
    <w:rsid w:val="00534573"/>
    <w:pPr>
      <w:spacing w:line="360" w:lineRule="exact"/>
      <w:jc w:val="center"/>
    </w:pPr>
    <w:rPr>
      <w:rFonts w:ascii="ＭＳ ゴシック" w:eastAsia="ＭＳ ゴシック" w:hAnsi="ＭＳ ゴシック" w:cs="ＭＳ 明朝"/>
      <w:b/>
      <w:bCs/>
      <w:szCs w:val="20"/>
    </w:rPr>
  </w:style>
  <w:style w:type="paragraph" w:customStyle="1" w:styleId="23">
    <w:name w:val="表紙2　委員構成表タイトル"/>
    <w:basedOn w:val="a0"/>
    <w:semiHidden/>
    <w:unhideWhenUsed/>
    <w:rsid w:val="00534573"/>
    <w:pPr>
      <w:spacing w:line="360" w:lineRule="exact"/>
      <w:jc w:val="center"/>
    </w:pPr>
    <w:rPr>
      <w:rFonts w:cs="ＭＳ 明朝"/>
      <w:szCs w:val="20"/>
    </w:rPr>
  </w:style>
  <w:style w:type="paragraph" w:customStyle="1" w:styleId="af8">
    <w:name w:val="表題（英語）"/>
    <w:basedOn w:val="a0"/>
    <w:semiHidden/>
    <w:unhideWhenUsed/>
    <w:qFormat/>
    <w:rsid w:val="00372ED6"/>
    <w:pPr>
      <w:spacing w:line="280" w:lineRule="exact"/>
      <w:jc w:val="center"/>
      <w:outlineLvl w:val="0"/>
    </w:pPr>
    <w:rPr>
      <w:rFonts w:eastAsia="ＭＳ ゴシック"/>
      <w:b/>
      <w:sz w:val="24"/>
    </w:rPr>
  </w:style>
  <w:style w:type="paragraph" w:customStyle="1" w:styleId="115">
    <w:name w:val="左：1字，最初の行：1字"/>
    <w:basedOn w:val="a0"/>
    <w:semiHidden/>
    <w:rsid w:val="00534573"/>
    <w:pPr>
      <w:spacing w:line="360" w:lineRule="exact"/>
      <w:ind w:leftChars="100" w:left="100" w:firstLineChars="100" w:firstLine="100"/>
      <w:jc w:val="left"/>
    </w:pPr>
    <w:rPr>
      <w:szCs w:val="20"/>
    </w:rPr>
  </w:style>
  <w:style w:type="paragraph" w:customStyle="1" w:styleId="af9">
    <w:name w:val="見出し"/>
    <w:basedOn w:val="a0"/>
    <w:next w:val="a9"/>
    <w:semiHidden/>
    <w:rsid w:val="00534573"/>
    <w:pPr>
      <w:keepNext/>
      <w:spacing w:before="240" w:after="120" w:line="360" w:lineRule="exact"/>
      <w:jc w:val="left"/>
    </w:pPr>
    <w:rPr>
      <w:rFonts w:ascii="Arial" w:eastAsia="ＭＳ Ｐゴシック" w:hAnsi="Arial" w:cs="Tahoma"/>
      <w:sz w:val="28"/>
      <w:szCs w:val="28"/>
    </w:rPr>
  </w:style>
  <w:style w:type="paragraph" w:customStyle="1" w:styleId="116">
    <w:name w:val="青左1字：字下げ1字"/>
    <w:basedOn w:val="120"/>
    <w:semiHidden/>
    <w:rsid w:val="00534573"/>
    <w:pPr>
      <w:ind w:left="200" w:hangingChars="100" w:hanging="100"/>
    </w:pPr>
    <w:rPr>
      <w:szCs w:val="20"/>
    </w:rPr>
  </w:style>
  <w:style w:type="paragraph" w:customStyle="1" w:styleId="120">
    <w:name w:val="青左1字：字下げ2字"/>
    <w:basedOn w:val="a0"/>
    <w:semiHidden/>
    <w:rsid w:val="00534573"/>
    <w:pPr>
      <w:spacing w:line="360" w:lineRule="exact"/>
      <w:ind w:leftChars="100" w:left="300" w:hangingChars="200" w:hanging="200"/>
      <w:jc w:val="left"/>
    </w:pPr>
    <w:rPr>
      <w:color w:val="0000FF"/>
    </w:rPr>
  </w:style>
  <w:style w:type="paragraph" w:customStyle="1" w:styleId="121">
    <w:name w:val="左1字：ぶら下げインデント：2 字"/>
    <w:basedOn w:val="120"/>
    <w:semiHidden/>
    <w:rsid w:val="00534573"/>
    <w:pPr>
      <w:ind w:left="630" w:hanging="420"/>
    </w:pPr>
    <w:rPr>
      <w:color w:val="auto"/>
      <w:szCs w:val="20"/>
    </w:rPr>
  </w:style>
  <w:style w:type="paragraph" w:customStyle="1" w:styleId="1c">
    <w:name w:val="字下げ：1字"/>
    <w:basedOn w:val="a0"/>
    <w:semiHidden/>
    <w:rsid w:val="00534573"/>
    <w:pPr>
      <w:spacing w:line="360" w:lineRule="exact"/>
      <w:jc w:val="left"/>
    </w:pPr>
    <w:rPr>
      <w:szCs w:val="20"/>
    </w:rPr>
  </w:style>
  <w:style w:type="paragraph" w:customStyle="1" w:styleId="1d">
    <w:name w:val="スタイル 字下げ：1字"/>
    <w:basedOn w:val="a0"/>
    <w:semiHidden/>
    <w:rsid w:val="00534573"/>
    <w:pPr>
      <w:spacing w:line="360" w:lineRule="exact"/>
      <w:ind w:firstLine="210"/>
      <w:jc w:val="left"/>
    </w:pPr>
    <w:rPr>
      <w:szCs w:val="24"/>
    </w:rPr>
  </w:style>
  <w:style w:type="paragraph" w:customStyle="1" w:styleId="1e">
    <w:name w:val="スタイル 最初の行 :  1 字"/>
    <w:basedOn w:val="a0"/>
    <w:semiHidden/>
    <w:rsid w:val="00534573"/>
    <w:pPr>
      <w:spacing w:line="360" w:lineRule="exact"/>
      <w:jc w:val="left"/>
    </w:pPr>
    <w:rPr>
      <w:szCs w:val="20"/>
    </w:rPr>
  </w:style>
  <w:style w:type="paragraph" w:customStyle="1" w:styleId="a0mm2">
    <w:name w:val="スタイル 注a) + 左 :  0 mm ぶら下げインデント :  2 字"/>
    <w:basedOn w:val="a0"/>
    <w:semiHidden/>
    <w:rsid w:val="00534573"/>
    <w:pPr>
      <w:spacing w:line="360" w:lineRule="exact"/>
      <w:ind w:left="420" w:hangingChars="200" w:hanging="420"/>
      <w:jc w:val="left"/>
    </w:pPr>
    <w:rPr>
      <w:szCs w:val="20"/>
    </w:rPr>
  </w:style>
  <w:style w:type="character" w:customStyle="1" w:styleId="ArialBlack100pt">
    <w:name w:val="スタイル (英数字) Arial Black (日) ｺﾞｼｯｸ 100 pt"/>
    <w:basedOn w:val="a1"/>
    <w:semiHidden/>
    <w:rsid w:val="00534573"/>
    <w:rPr>
      <w:rFonts w:ascii="Arial Black" w:eastAsia="ｺﾞｼｯｸ" w:hAnsi="Arial Black"/>
      <w:sz w:val="200"/>
    </w:rPr>
  </w:style>
  <w:style w:type="paragraph" w:customStyle="1" w:styleId="afa">
    <w:name w:val="スタイル 青"/>
    <w:basedOn w:val="a0"/>
    <w:semiHidden/>
    <w:rsid w:val="00534573"/>
    <w:pPr>
      <w:spacing w:line="360" w:lineRule="exact"/>
      <w:jc w:val="left"/>
    </w:pPr>
    <w:rPr>
      <w:rFonts w:cs="ＭＳ 明朝"/>
      <w:color w:val="0000FF"/>
      <w:szCs w:val="20"/>
    </w:rPr>
  </w:style>
  <w:style w:type="paragraph" w:customStyle="1" w:styleId="afb">
    <w:name w:val="序文"/>
    <w:basedOn w:val="a0"/>
    <w:next w:val="a0"/>
    <w:qFormat/>
    <w:rsid w:val="00534573"/>
    <w:pPr>
      <w:spacing w:line="360" w:lineRule="exact"/>
    </w:pPr>
    <w:rPr>
      <w:rFonts w:eastAsia="ＭＳ ゴシック" w:hAnsi="ＭＳ ゴシック"/>
      <w:b/>
      <w:szCs w:val="20"/>
    </w:rPr>
  </w:style>
  <w:style w:type="paragraph" w:customStyle="1" w:styleId="1f">
    <w:name w:val="附属書見出し1"/>
    <w:basedOn w:val="15"/>
    <w:semiHidden/>
    <w:qFormat/>
    <w:rsid w:val="00534573"/>
  </w:style>
  <w:style w:type="paragraph" w:customStyle="1" w:styleId="afc">
    <w:name w:val="ヘッダー　規格番号"/>
    <w:basedOn w:val="a0"/>
    <w:link w:val="afd"/>
    <w:qFormat/>
    <w:rsid w:val="00534573"/>
    <w:pPr>
      <w:tabs>
        <w:tab w:val="center" w:pos="4252"/>
        <w:tab w:val="right" w:pos="8504"/>
      </w:tabs>
      <w:snapToGrid w:val="0"/>
      <w:spacing w:line="360" w:lineRule="exact"/>
      <w:jc w:val="right"/>
    </w:pPr>
    <w:rPr>
      <w:rFonts w:ascii="ＭＳ ゴシック" w:eastAsia="ＭＳ ゴシック"/>
      <w:b/>
      <w:szCs w:val="20"/>
    </w:rPr>
  </w:style>
  <w:style w:type="paragraph" w:customStyle="1" w:styleId="1f0">
    <w:name w:val="規格票　第1ページ　日本高圧力技術協会規格"/>
    <w:basedOn w:val="a0"/>
    <w:qFormat/>
    <w:rsid w:val="00534573"/>
    <w:pPr>
      <w:jc w:val="center"/>
    </w:pPr>
    <w:rPr>
      <w:rFonts w:ascii="ＭＳ ゴシック" w:eastAsia="ＭＳ ゴシック"/>
      <w:b/>
      <w:sz w:val="24"/>
      <w:szCs w:val="20"/>
    </w:rPr>
  </w:style>
  <w:style w:type="paragraph" w:customStyle="1" w:styleId="1f1">
    <w:name w:val="規格票　第1ページ　規格の名称"/>
    <w:basedOn w:val="a0"/>
    <w:qFormat/>
    <w:rsid w:val="00534573"/>
    <w:pPr>
      <w:jc w:val="center"/>
    </w:pPr>
    <w:rPr>
      <w:rFonts w:ascii="ＭＳ ゴシック" w:eastAsia="ＭＳ ゴシック" w:hAnsi="ＭＳ ゴシック"/>
      <w:b/>
      <w:sz w:val="28"/>
      <w:szCs w:val="20"/>
    </w:rPr>
  </w:style>
  <w:style w:type="paragraph" w:customStyle="1" w:styleId="1f2">
    <w:name w:val="規格票　第1ページ　（規格の英語の名称）"/>
    <w:basedOn w:val="a0"/>
    <w:qFormat/>
    <w:rsid w:val="00534573"/>
    <w:pPr>
      <w:jc w:val="center"/>
    </w:pPr>
    <w:rPr>
      <w:rFonts w:eastAsia="ＭＳ ゴシック"/>
      <w:b/>
      <w:sz w:val="24"/>
      <w:szCs w:val="24"/>
    </w:rPr>
  </w:style>
  <w:style w:type="paragraph" w:customStyle="1" w:styleId="afe">
    <w:name w:val="参考的前付け要素　序文"/>
    <w:basedOn w:val="a0"/>
    <w:semiHidden/>
    <w:qFormat/>
    <w:rsid w:val="00534573"/>
    <w:pPr>
      <w:spacing w:line="360" w:lineRule="exact"/>
      <w:jc w:val="left"/>
    </w:pPr>
    <w:rPr>
      <w:rFonts w:eastAsia="ＭＳ ゴシック"/>
      <w:b/>
      <w:szCs w:val="20"/>
    </w:rPr>
  </w:style>
  <w:style w:type="paragraph" w:customStyle="1" w:styleId="aff">
    <w:name w:val="解説　規格番号"/>
    <w:basedOn w:val="a0"/>
    <w:semiHidden/>
    <w:qFormat/>
    <w:rsid w:val="00534573"/>
    <w:pPr>
      <w:spacing w:line="360" w:lineRule="exact"/>
      <w:jc w:val="center"/>
    </w:pPr>
    <w:rPr>
      <w:rFonts w:ascii="ＭＳ ゴシック" w:eastAsia="ＭＳ ゴシック"/>
      <w:b/>
      <w:sz w:val="24"/>
      <w:szCs w:val="20"/>
    </w:rPr>
  </w:style>
  <w:style w:type="paragraph" w:customStyle="1" w:styleId="1f3">
    <w:name w:val="規格票　第1ページ　序文"/>
    <w:basedOn w:val="a0"/>
    <w:qFormat/>
    <w:rsid w:val="00534573"/>
    <w:pPr>
      <w:spacing w:line="360" w:lineRule="exact"/>
      <w:jc w:val="left"/>
      <w:outlineLvl w:val="0"/>
    </w:pPr>
    <w:rPr>
      <w:rFonts w:ascii="ＭＳ ゴシック" w:eastAsia="ＭＳ ゴシック"/>
      <w:b/>
      <w:szCs w:val="20"/>
    </w:rPr>
  </w:style>
  <w:style w:type="paragraph" w:styleId="aff0">
    <w:name w:val="TOC Heading"/>
    <w:basedOn w:val="10"/>
    <w:next w:val="a0"/>
    <w:qFormat/>
    <w:rsid w:val="00534573"/>
    <w:pPr>
      <w:keepLines/>
      <w:widowControl/>
      <w:numPr>
        <w:numId w:val="0"/>
      </w:numPr>
      <w:spacing w:before="480" w:line="276" w:lineRule="auto"/>
      <w:jc w:val="left"/>
      <w:outlineLvl w:val="9"/>
    </w:pPr>
    <w:rPr>
      <w:b w:val="0"/>
      <w:bCs/>
      <w:color w:val="365F91"/>
      <w:kern w:val="0"/>
      <w:sz w:val="28"/>
      <w:szCs w:val="28"/>
    </w:rPr>
  </w:style>
  <w:style w:type="paragraph" w:styleId="24">
    <w:name w:val="toc 2"/>
    <w:basedOn w:val="a0"/>
    <w:next w:val="a0"/>
    <w:autoRedefine/>
    <w:uiPriority w:val="39"/>
    <w:qFormat/>
    <w:rsid w:val="00300882"/>
    <w:pPr>
      <w:tabs>
        <w:tab w:val="left" w:pos="630"/>
        <w:tab w:val="right" w:leader="dot" w:pos="9060"/>
      </w:tabs>
      <w:spacing w:line="360" w:lineRule="exact"/>
      <w:jc w:val="left"/>
    </w:pPr>
    <w:rPr>
      <w:rFonts w:ascii="ＭＳ ゴシック" w:eastAsia="ＭＳ ゴシック"/>
      <w:b/>
      <w:smallCaps/>
      <w:szCs w:val="20"/>
    </w:rPr>
  </w:style>
  <w:style w:type="paragraph" w:styleId="1f4">
    <w:name w:val="toc 1"/>
    <w:basedOn w:val="a0"/>
    <w:next w:val="a0"/>
    <w:autoRedefine/>
    <w:uiPriority w:val="39"/>
    <w:qFormat/>
    <w:rsid w:val="00ED30A5"/>
    <w:pPr>
      <w:tabs>
        <w:tab w:val="left" w:pos="420"/>
        <w:tab w:val="right" w:leader="dot" w:pos="9060"/>
      </w:tabs>
      <w:spacing w:line="360" w:lineRule="exact"/>
      <w:jc w:val="left"/>
    </w:pPr>
    <w:rPr>
      <w:rFonts w:ascii="ＭＳ ゴシック" w:eastAsia="ＭＳ ゴシック"/>
      <w:b/>
      <w:bCs/>
      <w:caps/>
      <w:szCs w:val="20"/>
    </w:rPr>
  </w:style>
  <w:style w:type="paragraph" w:styleId="32">
    <w:name w:val="toc 3"/>
    <w:basedOn w:val="a0"/>
    <w:next w:val="a0"/>
    <w:autoRedefine/>
    <w:semiHidden/>
    <w:qFormat/>
    <w:rsid w:val="00534573"/>
    <w:pPr>
      <w:spacing w:line="360" w:lineRule="exact"/>
      <w:ind w:left="420"/>
      <w:jc w:val="left"/>
    </w:pPr>
    <w:rPr>
      <w:i/>
      <w:iCs/>
      <w:sz w:val="20"/>
      <w:szCs w:val="20"/>
    </w:rPr>
  </w:style>
  <w:style w:type="paragraph" w:styleId="42">
    <w:name w:val="toc 4"/>
    <w:basedOn w:val="a0"/>
    <w:next w:val="a0"/>
    <w:autoRedefine/>
    <w:semiHidden/>
    <w:rsid w:val="00534573"/>
    <w:pPr>
      <w:spacing w:line="360" w:lineRule="exact"/>
      <w:ind w:left="630"/>
      <w:jc w:val="left"/>
    </w:pPr>
    <w:rPr>
      <w:sz w:val="18"/>
      <w:szCs w:val="18"/>
    </w:rPr>
  </w:style>
  <w:style w:type="paragraph" w:styleId="51">
    <w:name w:val="toc 5"/>
    <w:basedOn w:val="a0"/>
    <w:next w:val="a0"/>
    <w:autoRedefine/>
    <w:semiHidden/>
    <w:rsid w:val="00534573"/>
    <w:pPr>
      <w:spacing w:line="360" w:lineRule="exact"/>
      <w:ind w:left="840"/>
      <w:jc w:val="left"/>
    </w:pPr>
    <w:rPr>
      <w:sz w:val="18"/>
      <w:szCs w:val="18"/>
    </w:rPr>
  </w:style>
  <w:style w:type="paragraph" w:styleId="61">
    <w:name w:val="toc 6"/>
    <w:basedOn w:val="a0"/>
    <w:next w:val="a0"/>
    <w:autoRedefine/>
    <w:semiHidden/>
    <w:rsid w:val="00534573"/>
    <w:pPr>
      <w:spacing w:line="360" w:lineRule="exact"/>
      <w:ind w:left="1050"/>
      <w:jc w:val="left"/>
    </w:pPr>
    <w:rPr>
      <w:sz w:val="18"/>
      <w:szCs w:val="18"/>
    </w:rPr>
  </w:style>
  <w:style w:type="paragraph" w:styleId="71">
    <w:name w:val="toc 7"/>
    <w:basedOn w:val="a0"/>
    <w:next w:val="a0"/>
    <w:autoRedefine/>
    <w:semiHidden/>
    <w:rsid w:val="00534573"/>
    <w:pPr>
      <w:spacing w:line="360" w:lineRule="exact"/>
      <w:ind w:left="1260"/>
      <w:jc w:val="left"/>
    </w:pPr>
    <w:rPr>
      <w:sz w:val="18"/>
      <w:szCs w:val="18"/>
    </w:rPr>
  </w:style>
  <w:style w:type="paragraph" w:styleId="81">
    <w:name w:val="toc 8"/>
    <w:basedOn w:val="a0"/>
    <w:next w:val="a0"/>
    <w:autoRedefine/>
    <w:semiHidden/>
    <w:rsid w:val="00534573"/>
    <w:pPr>
      <w:spacing w:line="360" w:lineRule="exact"/>
      <w:ind w:left="1470"/>
      <w:jc w:val="left"/>
    </w:pPr>
    <w:rPr>
      <w:sz w:val="18"/>
      <w:szCs w:val="18"/>
    </w:rPr>
  </w:style>
  <w:style w:type="paragraph" w:styleId="91">
    <w:name w:val="toc 9"/>
    <w:basedOn w:val="a0"/>
    <w:next w:val="a0"/>
    <w:autoRedefine/>
    <w:semiHidden/>
    <w:rsid w:val="00534573"/>
    <w:pPr>
      <w:spacing w:line="360" w:lineRule="exact"/>
      <w:ind w:left="1680"/>
      <w:jc w:val="left"/>
    </w:pPr>
    <w:rPr>
      <w:sz w:val="18"/>
      <w:szCs w:val="18"/>
    </w:rPr>
  </w:style>
  <w:style w:type="paragraph" w:styleId="aff1">
    <w:name w:val="No Spacing"/>
    <w:link w:val="aff2"/>
    <w:qFormat/>
    <w:rsid w:val="00534573"/>
    <w:rPr>
      <w:sz w:val="22"/>
      <w:szCs w:val="22"/>
    </w:rPr>
  </w:style>
  <w:style w:type="character" w:customStyle="1" w:styleId="aff2">
    <w:name w:val="行間詰め (文字)"/>
    <w:basedOn w:val="a1"/>
    <w:link w:val="aff1"/>
    <w:rsid w:val="00FB0FC5"/>
    <w:rPr>
      <w:sz w:val="22"/>
      <w:szCs w:val="22"/>
      <w:lang w:val="en-US" w:eastAsia="ja-JP" w:bidi="ar-SA"/>
    </w:rPr>
  </w:style>
  <w:style w:type="character" w:styleId="aff3">
    <w:name w:val="Hyperlink"/>
    <w:basedOn w:val="a1"/>
    <w:uiPriority w:val="99"/>
    <w:rsid w:val="00534573"/>
    <w:rPr>
      <w:color w:val="0000FF"/>
      <w:u w:val="single"/>
    </w:rPr>
  </w:style>
  <w:style w:type="paragraph" w:styleId="aff4">
    <w:name w:val="header"/>
    <w:basedOn w:val="a0"/>
    <w:link w:val="aff5"/>
    <w:unhideWhenUsed/>
    <w:rsid w:val="00224874"/>
    <w:pPr>
      <w:tabs>
        <w:tab w:val="center" w:pos="4252"/>
        <w:tab w:val="right" w:pos="8504"/>
      </w:tabs>
      <w:snapToGrid w:val="0"/>
    </w:pPr>
  </w:style>
  <w:style w:type="character" w:customStyle="1" w:styleId="aff5">
    <w:name w:val="ヘッダー (文字)"/>
    <w:basedOn w:val="a1"/>
    <w:link w:val="aff4"/>
    <w:uiPriority w:val="99"/>
    <w:rsid w:val="00224874"/>
    <w:rPr>
      <w:kern w:val="2"/>
      <w:sz w:val="21"/>
      <w:szCs w:val="21"/>
    </w:rPr>
  </w:style>
  <w:style w:type="paragraph" w:styleId="aff6">
    <w:name w:val="Title"/>
    <w:aliases w:val="附属書，解説の表題,（附属書，解説）"/>
    <w:basedOn w:val="a0"/>
    <w:next w:val="a0"/>
    <w:link w:val="aff7"/>
    <w:qFormat/>
    <w:rsid w:val="0043256E"/>
    <w:pPr>
      <w:jc w:val="center"/>
      <w:outlineLvl w:val="0"/>
    </w:pPr>
    <w:rPr>
      <w:rFonts w:ascii="Arial" w:eastAsia="ＭＳ ゴシック" w:hAnsi="Arial"/>
      <w:b/>
      <w:sz w:val="28"/>
      <w:szCs w:val="32"/>
    </w:rPr>
  </w:style>
  <w:style w:type="character" w:customStyle="1" w:styleId="aff7">
    <w:name w:val="表題 (文字)"/>
    <w:aliases w:val="附属書，解説の表題 (文字),（附属書，解説） (文字)"/>
    <w:basedOn w:val="a1"/>
    <w:link w:val="aff6"/>
    <w:rsid w:val="0043256E"/>
    <w:rPr>
      <w:rFonts w:ascii="Arial" w:eastAsia="ＭＳ ゴシック" w:hAnsi="Arial"/>
      <w:b/>
      <w:kern w:val="2"/>
      <w:sz w:val="28"/>
      <w:szCs w:val="32"/>
    </w:rPr>
  </w:style>
  <w:style w:type="paragraph" w:customStyle="1" w:styleId="111">
    <w:name w:val="附属書，解説の細分箇条番号　1.1.1"/>
    <w:basedOn w:val="a0"/>
    <w:rsid w:val="00001AF2"/>
    <w:pPr>
      <w:numPr>
        <w:ilvl w:val="2"/>
        <w:numId w:val="2"/>
      </w:numPr>
    </w:pPr>
    <w:rPr>
      <w:rFonts w:ascii="ＭＳ ゴシック" w:eastAsia="ＭＳ ゴシック" w:hAnsi="ＭＳ ゴシック"/>
      <w:b/>
    </w:rPr>
  </w:style>
  <w:style w:type="paragraph" w:customStyle="1" w:styleId="1111">
    <w:name w:val="附属書，解説の細分箇条番号 1.1.1.1"/>
    <w:basedOn w:val="a0"/>
    <w:rsid w:val="003A010D"/>
    <w:pPr>
      <w:numPr>
        <w:ilvl w:val="3"/>
        <w:numId w:val="2"/>
      </w:numPr>
    </w:pPr>
    <w:rPr>
      <w:rFonts w:ascii="ＭＳ ゴシック" w:eastAsia="ＭＳ ゴシック"/>
      <w:b/>
    </w:rPr>
  </w:style>
  <w:style w:type="paragraph" w:customStyle="1" w:styleId="1f5">
    <w:name w:val="規格票　第1ページ　規格の名称（英語）"/>
    <w:basedOn w:val="a0"/>
    <w:rsid w:val="001A6985"/>
    <w:pPr>
      <w:jc w:val="center"/>
    </w:pPr>
    <w:rPr>
      <w:rFonts w:eastAsia="ＭＳ ゴシック"/>
      <w:b/>
      <w:sz w:val="24"/>
      <w:szCs w:val="24"/>
    </w:rPr>
  </w:style>
  <w:style w:type="character" w:customStyle="1" w:styleId="1112">
    <w:name w:val="1.1.1文章 (文字)"/>
    <w:link w:val="1110"/>
    <w:locked/>
    <w:rsid w:val="009964CA"/>
    <w:rPr>
      <w:kern w:val="2"/>
      <w:sz w:val="21"/>
    </w:rPr>
  </w:style>
  <w:style w:type="character" w:customStyle="1" w:styleId="114">
    <w:name w:val="1.1文章 (文字)"/>
    <w:link w:val="113"/>
    <w:locked/>
    <w:rsid w:val="00203A92"/>
    <w:rPr>
      <w:kern w:val="2"/>
      <w:sz w:val="21"/>
    </w:rPr>
  </w:style>
  <w:style w:type="numbering" w:customStyle="1" w:styleId="1">
    <w:name w:val="スタイル1"/>
    <w:rsid w:val="00006CB1"/>
    <w:pPr>
      <w:numPr>
        <w:numId w:val="17"/>
      </w:numPr>
    </w:pPr>
  </w:style>
  <w:style w:type="paragraph" w:customStyle="1" w:styleId="a">
    <w:name w:val="見出し１　附属書，解説"/>
    <w:basedOn w:val="a0"/>
    <w:rsid w:val="00006CB1"/>
    <w:pPr>
      <w:numPr>
        <w:numId w:val="17"/>
      </w:numPr>
      <w:adjustRightInd w:val="0"/>
      <w:snapToGrid w:val="0"/>
      <w:spacing w:line="360" w:lineRule="exact"/>
      <w:jc w:val="left"/>
    </w:pPr>
    <w:rPr>
      <w:rFonts w:ascii="ＭＳ ゴシック" w:eastAsia="ＭＳ ゴシック" w:hAnsi="ＭＳ ゴシック"/>
      <w:b/>
    </w:rPr>
  </w:style>
  <w:style w:type="paragraph" w:customStyle="1" w:styleId="1f6">
    <w:name w:val="規格票　第1ページ　規格の名称（日本語）"/>
    <w:basedOn w:val="a0"/>
    <w:rsid w:val="00CC55FC"/>
    <w:pPr>
      <w:jc w:val="center"/>
    </w:pPr>
    <w:rPr>
      <w:rFonts w:ascii="ＭＳ ゴシック" w:eastAsia="ＭＳ ゴシック" w:hAnsi="ＭＳ ゴシック"/>
      <w:b/>
      <w:sz w:val="28"/>
      <w:szCs w:val="20"/>
    </w:rPr>
  </w:style>
  <w:style w:type="paragraph" w:customStyle="1" w:styleId="aff8">
    <w:name w:val="a)"/>
    <w:basedOn w:val="a0"/>
    <w:semiHidden/>
    <w:rsid w:val="00CC55FC"/>
    <w:pPr>
      <w:spacing w:line="360" w:lineRule="exact"/>
      <w:jc w:val="left"/>
    </w:pPr>
    <w:rPr>
      <w:szCs w:val="20"/>
    </w:rPr>
  </w:style>
  <w:style w:type="paragraph" w:customStyle="1" w:styleId="25">
    <w:name w:val="表紙2　委員構成表　委員名"/>
    <w:basedOn w:val="a0"/>
    <w:semiHidden/>
    <w:rsid w:val="00CC55FC"/>
    <w:pPr>
      <w:spacing w:line="360" w:lineRule="exact"/>
      <w:jc w:val="left"/>
    </w:pPr>
    <w:rPr>
      <w:szCs w:val="20"/>
    </w:rPr>
  </w:style>
  <w:style w:type="paragraph" w:customStyle="1" w:styleId="41111">
    <w:name w:val="見出し　4細分箇条番号　1.1.1.1"/>
    <w:basedOn w:val="10"/>
    <w:rsid w:val="00CC55FC"/>
    <w:pPr>
      <w:numPr>
        <w:numId w:val="21"/>
      </w:numPr>
      <w:adjustRightInd w:val="0"/>
      <w:snapToGrid w:val="0"/>
      <w:spacing w:line="360" w:lineRule="atLeast"/>
      <w:outlineLvl w:val="9"/>
    </w:pPr>
    <w:rPr>
      <w:rFonts w:hAnsi="ＭＳ ゴシック"/>
      <w:kern w:val="24"/>
      <w:szCs w:val="21"/>
    </w:rPr>
  </w:style>
  <w:style w:type="paragraph" w:customStyle="1" w:styleId="1f7">
    <w:name w:val="目次の見出し1"/>
    <w:basedOn w:val="10"/>
    <w:next w:val="a0"/>
    <w:semiHidden/>
    <w:rsid w:val="00CC55FC"/>
    <w:pPr>
      <w:keepLines/>
      <w:widowControl/>
      <w:numPr>
        <w:numId w:val="0"/>
      </w:numPr>
      <w:spacing w:before="480" w:line="276" w:lineRule="auto"/>
      <w:jc w:val="left"/>
      <w:outlineLvl w:val="9"/>
    </w:pPr>
    <w:rPr>
      <w:rFonts w:ascii="Arial"/>
      <w:bCs/>
      <w:color w:val="365F91"/>
      <w:kern w:val="0"/>
      <w:sz w:val="28"/>
      <w:szCs w:val="28"/>
    </w:rPr>
  </w:style>
  <w:style w:type="paragraph" w:customStyle="1" w:styleId="1f8">
    <w:name w:val="行間詰め1"/>
    <w:link w:val="NoSpacingChar"/>
    <w:semiHidden/>
    <w:rsid w:val="00CC55FC"/>
    <w:rPr>
      <w:sz w:val="22"/>
      <w:szCs w:val="22"/>
    </w:rPr>
  </w:style>
  <w:style w:type="character" w:customStyle="1" w:styleId="NoSpacingChar">
    <w:name w:val="No Spacing Char"/>
    <w:link w:val="1f8"/>
    <w:semiHidden/>
    <w:locked/>
    <w:rsid w:val="00CC55FC"/>
    <w:rPr>
      <w:sz w:val="22"/>
      <w:szCs w:val="22"/>
    </w:rPr>
  </w:style>
  <w:style w:type="character" w:customStyle="1" w:styleId="aff9">
    <w:name w:val="スタイル"/>
    <w:semiHidden/>
    <w:rsid w:val="00CC55FC"/>
    <w:rPr>
      <w:rFonts w:cs="Times New Roman"/>
      <w:sz w:val="18"/>
    </w:rPr>
  </w:style>
  <w:style w:type="paragraph" w:customStyle="1" w:styleId="affa">
    <w:name w:val="構成表"/>
    <w:basedOn w:val="a0"/>
    <w:qFormat/>
    <w:rsid w:val="00CC55FC"/>
    <w:pPr>
      <w:spacing w:line="360" w:lineRule="exact"/>
      <w:jc w:val="center"/>
      <w:outlineLvl w:val="0"/>
    </w:pPr>
    <w:rPr>
      <w:szCs w:val="20"/>
    </w:rPr>
  </w:style>
  <w:style w:type="character" w:customStyle="1" w:styleId="affb">
    <w:name w:val="（附属書，解説） (文字) (文字)"/>
    <w:semiHidden/>
    <w:rsid w:val="00CC55FC"/>
    <w:rPr>
      <w:rFonts w:ascii="ＭＳ ゴシック" w:eastAsia="ＭＳ ゴシック" w:hAnsi="ＭＳ ゴシック" w:cs="Times New Roman"/>
      <w:b/>
      <w:kern w:val="2"/>
      <w:sz w:val="21"/>
      <w:szCs w:val="21"/>
    </w:rPr>
  </w:style>
  <w:style w:type="paragraph" w:styleId="affc">
    <w:name w:val="Date"/>
    <w:basedOn w:val="a0"/>
    <w:next w:val="a0"/>
    <w:link w:val="affd"/>
    <w:rsid w:val="00CC55FC"/>
    <w:rPr>
      <w:szCs w:val="20"/>
    </w:rPr>
  </w:style>
  <w:style w:type="character" w:customStyle="1" w:styleId="affd">
    <w:name w:val="日付 (文字)"/>
    <w:basedOn w:val="a1"/>
    <w:link w:val="affc"/>
    <w:rsid w:val="00CC55FC"/>
    <w:rPr>
      <w:kern w:val="2"/>
      <w:sz w:val="21"/>
    </w:rPr>
  </w:style>
  <w:style w:type="paragraph" w:styleId="affe">
    <w:name w:val="Block Text"/>
    <w:basedOn w:val="a0"/>
    <w:link w:val="afff"/>
    <w:rsid w:val="00CC55FC"/>
    <w:pPr>
      <w:ind w:left="851" w:right="-1"/>
    </w:pPr>
    <w:rPr>
      <w:rFonts w:ascii="ＭＳ 明朝" w:hAnsi="ＭＳ 明朝"/>
      <w:szCs w:val="20"/>
    </w:rPr>
  </w:style>
  <w:style w:type="paragraph" w:styleId="afff0">
    <w:name w:val="Balloon Text"/>
    <w:basedOn w:val="a0"/>
    <w:link w:val="afff1"/>
    <w:rsid w:val="00CC55FC"/>
    <w:pPr>
      <w:spacing w:line="360" w:lineRule="exact"/>
      <w:jc w:val="left"/>
    </w:pPr>
    <w:rPr>
      <w:rFonts w:ascii="Arial" w:eastAsia="ＭＳ ゴシック" w:hAnsi="Arial"/>
      <w:sz w:val="18"/>
      <w:szCs w:val="18"/>
    </w:rPr>
  </w:style>
  <w:style w:type="character" w:customStyle="1" w:styleId="afff1">
    <w:name w:val="吹き出し (文字)"/>
    <w:basedOn w:val="a1"/>
    <w:link w:val="afff0"/>
    <w:rsid w:val="00CC55FC"/>
    <w:rPr>
      <w:rFonts w:ascii="Arial" w:eastAsia="ＭＳ ゴシック" w:hAnsi="Arial"/>
      <w:kern w:val="2"/>
      <w:sz w:val="18"/>
      <w:szCs w:val="18"/>
    </w:rPr>
  </w:style>
  <w:style w:type="character" w:customStyle="1" w:styleId="afff">
    <w:name w:val="ブロック (文字)"/>
    <w:link w:val="affe"/>
    <w:locked/>
    <w:rsid w:val="00CC55FC"/>
    <w:rPr>
      <w:rFonts w:ascii="ＭＳ 明朝" w:hAnsi="ＭＳ 明朝"/>
      <w:kern w:val="2"/>
      <w:sz w:val="21"/>
    </w:rPr>
  </w:style>
  <w:style w:type="table" w:styleId="afff2">
    <w:name w:val="Table Grid"/>
    <w:basedOn w:val="a2"/>
    <w:uiPriority w:val="99"/>
    <w:rsid w:val="00CC55F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40">
    <w:name w:val="見出し　4"/>
    <w:aliases w:val="細分箇条番号1.1.1.1"/>
    <w:basedOn w:val="a0"/>
    <w:qFormat/>
    <w:rsid w:val="00CC55FC"/>
    <w:pPr>
      <w:numPr>
        <w:numId w:val="22"/>
      </w:numPr>
      <w:spacing w:line="240" w:lineRule="atLeast"/>
    </w:pPr>
    <w:rPr>
      <w:rFonts w:ascii="ＭＳ ゴシック" w:eastAsia="ＭＳ ゴシック"/>
      <w:b/>
      <w:szCs w:val="20"/>
    </w:rPr>
  </w:style>
  <w:style w:type="paragraph" w:customStyle="1" w:styleId="1f9">
    <w:name w:val="附属書，解説の箇条番号1"/>
    <w:basedOn w:val="a0"/>
    <w:link w:val="1fa"/>
    <w:qFormat/>
    <w:rsid w:val="00F52111"/>
    <w:pPr>
      <w:tabs>
        <w:tab w:val="num" w:pos="284"/>
      </w:tabs>
      <w:adjustRightInd w:val="0"/>
      <w:snapToGrid w:val="0"/>
      <w:spacing w:line="360" w:lineRule="exact"/>
      <w:ind w:left="425" w:hanging="425"/>
      <w:jc w:val="left"/>
    </w:pPr>
    <w:rPr>
      <w:rFonts w:ascii="ＭＳ ゴシック" w:eastAsia="ＭＳ ゴシック" w:hAnsi="ＭＳ ゴシック"/>
      <w:b/>
    </w:rPr>
  </w:style>
  <w:style w:type="paragraph" w:customStyle="1" w:styleId="11">
    <w:name w:val="附属書，解説の細分箇条番号1.1"/>
    <w:basedOn w:val="a7"/>
    <w:autoRedefine/>
    <w:qFormat/>
    <w:rsid w:val="00CC55FC"/>
    <w:pPr>
      <w:numPr>
        <w:ilvl w:val="1"/>
        <w:numId w:val="24"/>
      </w:numPr>
      <w:spacing w:line="240" w:lineRule="auto"/>
      <w:ind w:left="567" w:hanging="567"/>
    </w:pPr>
    <w:rPr>
      <w:rFonts w:ascii="ＭＳ ゴシック" w:eastAsia="ＭＳ ゴシック" w:hAnsi="ＭＳ ゴシック"/>
      <w:szCs w:val="21"/>
    </w:rPr>
  </w:style>
  <w:style w:type="paragraph" w:customStyle="1" w:styleId="afff3">
    <w:name w:val="附属書と解説の表題"/>
    <w:basedOn w:val="a0"/>
    <w:qFormat/>
    <w:rsid w:val="00CC55FC"/>
    <w:pPr>
      <w:spacing w:line="360" w:lineRule="exact"/>
      <w:jc w:val="center"/>
      <w:outlineLvl w:val="0"/>
    </w:pPr>
    <w:rPr>
      <w:rFonts w:ascii="ＭＳ ゴシック" w:eastAsia="ＭＳ ゴシック"/>
      <w:b/>
      <w:sz w:val="28"/>
      <w:szCs w:val="20"/>
    </w:rPr>
  </w:style>
  <w:style w:type="paragraph" w:styleId="26">
    <w:name w:val="Body Text Indent 2"/>
    <w:basedOn w:val="a0"/>
    <w:link w:val="27"/>
    <w:rsid w:val="00CC55FC"/>
    <w:pPr>
      <w:ind w:left="426"/>
    </w:pPr>
    <w:rPr>
      <w:color w:val="FF0000"/>
      <w:sz w:val="22"/>
      <w:szCs w:val="20"/>
      <w:u w:val="single"/>
    </w:rPr>
  </w:style>
  <w:style w:type="character" w:customStyle="1" w:styleId="27">
    <w:name w:val="本文インデント 2 (文字)"/>
    <w:basedOn w:val="a1"/>
    <w:link w:val="26"/>
    <w:rsid w:val="00CC55FC"/>
    <w:rPr>
      <w:color w:val="FF0000"/>
      <w:kern w:val="2"/>
      <w:sz w:val="22"/>
      <w:u w:val="single"/>
    </w:rPr>
  </w:style>
  <w:style w:type="paragraph" w:styleId="33">
    <w:name w:val="Body Text Indent 3"/>
    <w:basedOn w:val="a0"/>
    <w:link w:val="34"/>
    <w:rsid w:val="00CC55FC"/>
    <w:pPr>
      <w:adjustRightInd w:val="0"/>
      <w:spacing w:line="360" w:lineRule="atLeast"/>
      <w:ind w:leftChars="200" w:left="422"/>
      <w:textAlignment w:val="baseline"/>
    </w:pPr>
    <w:rPr>
      <w:szCs w:val="20"/>
    </w:rPr>
  </w:style>
  <w:style w:type="character" w:customStyle="1" w:styleId="34">
    <w:name w:val="本文インデント 3 (文字)"/>
    <w:basedOn w:val="a1"/>
    <w:link w:val="33"/>
    <w:rsid w:val="00CC55FC"/>
    <w:rPr>
      <w:kern w:val="2"/>
      <w:sz w:val="21"/>
    </w:rPr>
  </w:style>
  <w:style w:type="paragraph" w:styleId="afff4">
    <w:name w:val="Closing"/>
    <w:basedOn w:val="a0"/>
    <w:link w:val="afff5"/>
    <w:rsid w:val="00CC55FC"/>
    <w:pPr>
      <w:jc w:val="right"/>
    </w:pPr>
    <w:rPr>
      <w:szCs w:val="20"/>
    </w:rPr>
  </w:style>
  <w:style w:type="character" w:customStyle="1" w:styleId="afff5">
    <w:name w:val="結語 (文字)"/>
    <w:basedOn w:val="a1"/>
    <w:link w:val="afff4"/>
    <w:rsid w:val="00CC55FC"/>
    <w:rPr>
      <w:kern w:val="2"/>
      <w:sz w:val="21"/>
    </w:rPr>
  </w:style>
  <w:style w:type="paragraph" w:styleId="HTML">
    <w:name w:val="HTML Preformatted"/>
    <w:basedOn w:val="a0"/>
    <w:link w:val="HTML0"/>
    <w:rsid w:val="00CC55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Courier New"/>
      <w:kern w:val="0"/>
      <w:sz w:val="20"/>
      <w:szCs w:val="20"/>
    </w:rPr>
  </w:style>
  <w:style w:type="character" w:customStyle="1" w:styleId="HTML0">
    <w:name w:val="HTML 書式付き (文字)"/>
    <w:basedOn w:val="a1"/>
    <w:link w:val="HTML"/>
    <w:rsid w:val="003B52EB"/>
    <w:rPr>
      <w:rFonts w:ascii="ＭＳ ゴシック" w:eastAsia="ＭＳ ゴシック" w:hAnsi="ＭＳ ゴシック" w:cs="Courier New"/>
    </w:rPr>
  </w:style>
  <w:style w:type="paragraph" w:customStyle="1" w:styleId="28">
    <w:name w:val="スタイル2"/>
    <w:basedOn w:val="a0"/>
    <w:semiHidden/>
    <w:qFormat/>
    <w:rsid w:val="00CC55FC"/>
    <w:pPr>
      <w:spacing w:line="360" w:lineRule="exact"/>
      <w:jc w:val="left"/>
    </w:pPr>
    <w:rPr>
      <w:szCs w:val="20"/>
    </w:rPr>
  </w:style>
  <w:style w:type="paragraph" w:customStyle="1" w:styleId="29">
    <w:name w:val="目次の見出し2"/>
    <w:basedOn w:val="10"/>
    <w:next w:val="a0"/>
    <w:semiHidden/>
    <w:rsid w:val="00CC55FC"/>
    <w:pPr>
      <w:keepLines/>
      <w:widowControl/>
      <w:numPr>
        <w:numId w:val="0"/>
      </w:numPr>
      <w:spacing w:before="480" w:line="276" w:lineRule="auto"/>
      <w:jc w:val="left"/>
      <w:outlineLvl w:val="9"/>
    </w:pPr>
    <w:rPr>
      <w:rFonts w:ascii="Arial"/>
      <w:bCs/>
      <w:color w:val="365F91"/>
      <w:kern w:val="0"/>
      <w:sz w:val="28"/>
      <w:szCs w:val="28"/>
    </w:rPr>
  </w:style>
  <w:style w:type="paragraph" w:customStyle="1" w:styleId="2a">
    <w:name w:val="行間詰め2"/>
    <w:semiHidden/>
    <w:rsid w:val="00CC55FC"/>
    <w:rPr>
      <w:sz w:val="22"/>
      <w:szCs w:val="22"/>
    </w:rPr>
  </w:style>
  <w:style w:type="character" w:styleId="afff6">
    <w:name w:val="Strong"/>
    <w:qFormat/>
    <w:rsid w:val="00CC55FC"/>
    <w:rPr>
      <w:rFonts w:cs="Times New Roman"/>
      <w:b/>
      <w:bCs/>
    </w:rPr>
  </w:style>
  <w:style w:type="character" w:customStyle="1" w:styleId="18">
    <w:name w:val="表紙1　規格名(日本語) (文字)"/>
    <w:link w:val="16"/>
    <w:locked/>
    <w:rsid w:val="00CC55FC"/>
    <w:rPr>
      <w:rFonts w:ascii="ＭＳ ゴシック" w:eastAsia="ＭＳ ゴシック" w:hAnsi="ＭＳ ゴシック" w:cs="ＭＳ 明朝"/>
      <w:b/>
      <w:bCs/>
      <w:kern w:val="2"/>
      <w:sz w:val="56"/>
    </w:rPr>
  </w:style>
  <w:style w:type="character" w:customStyle="1" w:styleId="af5">
    <w:name w:val="表題，図名，写真名 (文字)"/>
    <w:link w:val="af4"/>
    <w:locked/>
    <w:rsid w:val="00CC55FC"/>
    <w:rPr>
      <w:rFonts w:ascii="ＭＳ ゴシック" w:eastAsia="ＭＳ ゴシック"/>
      <w:b/>
      <w:kern w:val="2"/>
      <w:sz w:val="21"/>
      <w:szCs w:val="21"/>
    </w:rPr>
  </w:style>
  <w:style w:type="paragraph" w:customStyle="1" w:styleId="afff7">
    <w:name w:val="附属書"/>
    <w:aliases w:val="解説の表題"/>
    <w:basedOn w:val="a0"/>
    <w:semiHidden/>
    <w:qFormat/>
    <w:rsid w:val="00CC55FC"/>
    <w:pPr>
      <w:spacing w:line="360" w:lineRule="exact"/>
      <w:jc w:val="center"/>
    </w:pPr>
    <w:rPr>
      <w:rFonts w:ascii="ＭＳ ゴシック" w:eastAsia="ＭＳ ゴシック"/>
      <w:b/>
      <w:sz w:val="28"/>
      <w:szCs w:val="20"/>
    </w:rPr>
  </w:style>
  <w:style w:type="paragraph" w:customStyle="1" w:styleId="35">
    <w:name w:val="目次の見出し3"/>
    <w:basedOn w:val="10"/>
    <w:next w:val="a0"/>
    <w:semiHidden/>
    <w:rsid w:val="00CC55FC"/>
    <w:pPr>
      <w:keepLines/>
      <w:widowControl/>
      <w:numPr>
        <w:numId w:val="0"/>
      </w:numPr>
      <w:spacing w:before="480" w:line="276" w:lineRule="auto"/>
      <w:jc w:val="left"/>
      <w:outlineLvl w:val="9"/>
    </w:pPr>
    <w:rPr>
      <w:rFonts w:ascii="Arial"/>
      <w:bCs/>
      <w:color w:val="365F91"/>
      <w:kern w:val="0"/>
      <w:sz w:val="28"/>
      <w:szCs w:val="28"/>
    </w:rPr>
  </w:style>
  <w:style w:type="paragraph" w:customStyle="1" w:styleId="36">
    <w:name w:val="行間詰め3"/>
    <w:semiHidden/>
    <w:rsid w:val="00CC55FC"/>
    <w:rPr>
      <w:sz w:val="22"/>
      <w:szCs w:val="22"/>
    </w:rPr>
  </w:style>
  <w:style w:type="character" w:customStyle="1" w:styleId="afd">
    <w:name w:val="ヘッダー　規格番号 (文字)"/>
    <w:link w:val="afc"/>
    <w:locked/>
    <w:rsid w:val="00CC55FC"/>
    <w:rPr>
      <w:rFonts w:ascii="ＭＳ ゴシック" w:eastAsia="ＭＳ ゴシック"/>
      <w:b/>
      <w:kern w:val="2"/>
      <w:sz w:val="21"/>
    </w:rPr>
  </w:style>
  <w:style w:type="character" w:customStyle="1" w:styleId="1fa">
    <w:name w:val="附属書，解説の箇条番号1 (文字)"/>
    <w:link w:val="1f9"/>
    <w:locked/>
    <w:rsid w:val="00F52111"/>
    <w:rPr>
      <w:rFonts w:ascii="ＭＳ ゴシック" w:eastAsia="ＭＳ ゴシック" w:hAnsi="ＭＳ ゴシック"/>
      <w:b/>
      <w:kern w:val="2"/>
      <w:sz w:val="21"/>
      <w:szCs w:val="21"/>
    </w:rPr>
  </w:style>
  <w:style w:type="character" w:customStyle="1" w:styleId="af7">
    <w:name w:val="本文　表名，図名 (文字)"/>
    <w:link w:val="af6"/>
    <w:semiHidden/>
    <w:locked/>
    <w:rsid w:val="00CC55FC"/>
    <w:rPr>
      <w:rFonts w:ascii="ＭＳ ゴシック" w:eastAsia="ＭＳ ゴシック" w:hAnsi="ＭＳ ゴシック" w:cs="ＭＳ 明朝"/>
      <w:b/>
      <w:bCs/>
      <w:kern w:val="2"/>
      <w:sz w:val="21"/>
    </w:rPr>
  </w:style>
  <w:style w:type="character" w:customStyle="1" w:styleId="1fb">
    <w:name w:val="プレースホルダ テキスト1"/>
    <w:uiPriority w:val="99"/>
    <w:semiHidden/>
    <w:rsid w:val="00CC55FC"/>
    <w:rPr>
      <w:rFonts w:cs="Times New Roman"/>
      <w:color w:val="808080"/>
    </w:rPr>
  </w:style>
  <w:style w:type="character" w:styleId="afff8">
    <w:name w:val="annotation reference"/>
    <w:uiPriority w:val="99"/>
    <w:semiHidden/>
    <w:rsid w:val="00CC55FC"/>
    <w:rPr>
      <w:sz w:val="18"/>
      <w:szCs w:val="18"/>
    </w:rPr>
  </w:style>
  <w:style w:type="paragraph" w:styleId="afff9">
    <w:name w:val="annotation text"/>
    <w:basedOn w:val="a0"/>
    <w:link w:val="afffa"/>
    <w:uiPriority w:val="99"/>
    <w:semiHidden/>
    <w:rsid w:val="00CC55FC"/>
    <w:pPr>
      <w:jc w:val="left"/>
    </w:pPr>
  </w:style>
  <w:style w:type="character" w:customStyle="1" w:styleId="afffa">
    <w:name w:val="コメント文字列 (文字)"/>
    <w:basedOn w:val="a1"/>
    <w:link w:val="afff9"/>
    <w:uiPriority w:val="99"/>
    <w:semiHidden/>
    <w:rsid w:val="00CC55FC"/>
    <w:rPr>
      <w:kern w:val="2"/>
      <w:sz w:val="21"/>
      <w:szCs w:val="21"/>
    </w:rPr>
  </w:style>
  <w:style w:type="paragraph" w:styleId="afffb">
    <w:name w:val="annotation subject"/>
    <w:basedOn w:val="afff9"/>
    <w:next w:val="afff9"/>
    <w:link w:val="afffc"/>
    <w:uiPriority w:val="99"/>
    <w:semiHidden/>
    <w:rsid w:val="00CC55FC"/>
    <w:rPr>
      <w:b/>
      <w:bCs/>
    </w:rPr>
  </w:style>
  <w:style w:type="character" w:customStyle="1" w:styleId="afffc">
    <w:name w:val="コメント内容 (文字)"/>
    <w:basedOn w:val="afffa"/>
    <w:link w:val="afffb"/>
    <w:uiPriority w:val="99"/>
    <w:semiHidden/>
    <w:rsid w:val="00CC55FC"/>
    <w:rPr>
      <w:b/>
      <w:bCs/>
      <w:kern w:val="2"/>
      <w:sz w:val="21"/>
      <w:szCs w:val="21"/>
    </w:rPr>
  </w:style>
  <w:style w:type="paragraph" w:styleId="afffd">
    <w:name w:val="Revision"/>
    <w:hidden/>
    <w:uiPriority w:val="99"/>
    <w:semiHidden/>
    <w:rsid w:val="00CC55FC"/>
    <w:rPr>
      <w:kern w:val="2"/>
      <w:sz w:val="21"/>
      <w:szCs w:val="21"/>
    </w:rPr>
  </w:style>
  <w:style w:type="numbering" w:customStyle="1" w:styleId="1fc">
    <w:name w:val="リストなし1"/>
    <w:next w:val="a3"/>
    <w:uiPriority w:val="99"/>
    <w:semiHidden/>
    <w:unhideWhenUsed/>
    <w:rsid w:val="00CC55FC"/>
  </w:style>
  <w:style w:type="table" w:customStyle="1" w:styleId="1fd">
    <w:name w:val="表 (格子)1"/>
    <w:basedOn w:val="a2"/>
    <w:next w:val="afff2"/>
    <w:uiPriority w:val="59"/>
    <w:rsid w:val="00CC55FC"/>
    <w:rPr>
      <w:rFonts w:eastAsia="ＭＳ Ｐ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e">
    <w:name w:val="Plain Text"/>
    <w:basedOn w:val="a0"/>
    <w:link w:val="affff"/>
    <w:uiPriority w:val="99"/>
    <w:semiHidden/>
    <w:rsid w:val="00CC55FC"/>
    <w:pPr>
      <w:spacing w:line="360" w:lineRule="exact"/>
      <w:jc w:val="left"/>
    </w:pPr>
    <w:rPr>
      <w:rFonts w:ascii="ＭＳ ゴシック" w:eastAsia="ＭＳ ゴシック" w:hAnsi="Courier New" w:cs="Courier New"/>
      <w:sz w:val="20"/>
    </w:rPr>
  </w:style>
  <w:style w:type="character" w:customStyle="1" w:styleId="affff">
    <w:name w:val="書式なし (文字)"/>
    <w:basedOn w:val="a1"/>
    <w:link w:val="afffe"/>
    <w:uiPriority w:val="99"/>
    <w:semiHidden/>
    <w:rsid w:val="00CC55FC"/>
    <w:rPr>
      <w:rFonts w:ascii="ＭＳ ゴシック" w:eastAsia="ＭＳ ゴシック" w:hAnsi="Courier New" w:cs="Courier New"/>
      <w:kern w:val="2"/>
      <w:szCs w:val="21"/>
    </w:rPr>
  </w:style>
  <w:style w:type="paragraph" w:styleId="affff0">
    <w:name w:val="endnote text"/>
    <w:basedOn w:val="a0"/>
    <w:link w:val="affff1"/>
    <w:uiPriority w:val="99"/>
    <w:semiHidden/>
    <w:rsid w:val="00CC55FC"/>
    <w:pPr>
      <w:snapToGrid w:val="0"/>
      <w:spacing w:line="360" w:lineRule="exact"/>
      <w:jc w:val="left"/>
    </w:pPr>
    <w:rPr>
      <w:szCs w:val="20"/>
    </w:rPr>
  </w:style>
  <w:style w:type="character" w:customStyle="1" w:styleId="affff1">
    <w:name w:val="文末脚注文字列 (文字)"/>
    <w:basedOn w:val="a1"/>
    <w:link w:val="affff0"/>
    <w:uiPriority w:val="99"/>
    <w:semiHidden/>
    <w:rsid w:val="00CC55FC"/>
    <w:rPr>
      <w:kern w:val="2"/>
      <w:sz w:val="21"/>
    </w:rPr>
  </w:style>
  <w:style w:type="character" w:styleId="affff2">
    <w:name w:val="endnote reference"/>
    <w:uiPriority w:val="99"/>
    <w:semiHidden/>
    <w:rsid w:val="00CC55FC"/>
    <w:rPr>
      <w:vertAlign w:val="superscript"/>
    </w:rPr>
  </w:style>
  <w:style w:type="paragraph" w:styleId="affff3">
    <w:name w:val="footnote text"/>
    <w:basedOn w:val="a0"/>
    <w:link w:val="affff4"/>
    <w:uiPriority w:val="99"/>
    <w:semiHidden/>
    <w:rsid w:val="00CC55FC"/>
    <w:pPr>
      <w:snapToGrid w:val="0"/>
      <w:spacing w:line="360" w:lineRule="exact"/>
      <w:jc w:val="left"/>
    </w:pPr>
    <w:rPr>
      <w:szCs w:val="20"/>
    </w:rPr>
  </w:style>
  <w:style w:type="character" w:customStyle="1" w:styleId="affff4">
    <w:name w:val="脚注文字列 (文字)"/>
    <w:basedOn w:val="a1"/>
    <w:link w:val="affff3"/>
    <w:uiPriority w:val="99"/>
    <w:semiHidden/>
    <w:rsid w:val="00CC55FC"/>
    <w:rPr>
      <w:kern w:val="2"/>
      <w:sz w:val="21"/>
    </w:rPr>
  </w:style>
  <w:style w:type="character" w:styleId="affff5">
    <w:name w:val="footnote reference"/>
    <w:uiPriority w:val="99"/>
    <w:semiHidden/>
    <w:rsid w:val="00CC55FC"/>
    <w:rPr>
      <w:vertAlign w:val="superscript"/>
    </w:rPr>
  </w:style>
  <w:style w:type="numbering" w:customStyle="1" w:styleId="117">
    <w:name w:val="スタイル11"/>
    <w:uiPriority w:val="99"/>
    <w:semiHidden/>
    <w:rsid w:val="00CC55FC"/>
  </w:style>
  <w:style w:type="numbering" w:customStyle="1" w:styleId="2b">
    <w:name w:val="リストなし2"/>
    <w:next w:val="a3"/>
    <w:semiHidden/>
    <w:unhideWhenUsed/>
    <w:rsid w:val="00CC55FC"/>
  </w:style>
  <w:style w:type="paragraph" w:styleId="affff6">
    <w:name w:val="caption"/>
    <w:basedOn w:val="a0"/>
    <w:next w:val="a0"/>
    <w:qFormat/>
    <w:rsid w:val="00CC55FC"/>
    <w:pPr>
      <w:tabs>
        <w:tab w:val="left" w:pos="993"/>
      </w:tabs>
      <w:spacing w:line="360" w:lineRule="atLeast"/>
      <w:ind w:leftChars="100" w:left="210"/>
      <w:jc w:val="left"/>
    </w:pPr>
    <w:rPr>
      <w:i/>
      <w:iCs/>
      <w:szCs w:val="20"/>
    </w:rPr>
  </w:style>
  <w:style w:type="paragraph" w:customStyle="1" w:styleId="2">
    <w:name w:val="見出し2　附属書，解説"/>
    <w:basedOn w:val="a7"/>
    <w:rsid w:val="00CC55FC"/>
    <w:pPr>
      <w:numPr>
        <w:ilvl w:val="1"/>
        <w:numId w:val="21"/>
      </w:numPr>
    </w:pPr>
    <w:rPr>
      <w:rFonts w:ascii="ＭＳ ゴシック" w:eastAsia="ＭＳ ゴシック" w:hAnsi="ＭＳ ゴシック"/>
      <w:szCs w:val="21"/>
    </w:rPr>
  </w:style>
  <w:style w:type="paragraph" w:customStyle="1" w:styleId="43">
    <w:name w:val="目次の見出し4"/>
    <w:basedOn w:val="10"/>
    <w:next w:val="a0"/>
    <w:semiHidden/>
    <w:rsid w:val="00CC55FC"/>
    <w:pPr>
      <w:keepLines/>
      <w:widowControl/>
      <w:numPr>
        <w:numId w:val="0"/>
      </w:numPr>
      <w:spacing w:before="480" w:line="276" w:lineRule="auto"/>
      <w:jc w:val="left"/>
      <w:outlineLvl w:val="9"/>
    </w:pPr>
    <w:rPr>
      <w:rFonts w:ascii="Arial"/>
      <w:bCs/>
      <w:color w:val="365F91"/>
      <w:kern w:val="0"/>
      <w:sz w:val="28"/>
      <w:szCs w:val="28"/>
    </w:rPr>
  </w:style>
  <w:style w:type="paragraph" w:customStyle="1" w:styleId="44">
    <w:name w:val="行間詰め4"/>
    <w:semiHidden/>
    <w:rsid w:val="00CC55FC"/>
    <w:rPr>
      <w:sz w:val="22"/>
      <w:szCs w:val="22"/>
    </w:rPr>
  </w:style>
  <w:style w:type="table" w:customStyle="1" w:styleId="2c">
    <w:name w:val="表 (格子)2"/>
    <w:basedOn w:val="a2"/>
    <w:next w:val="afff2"/>
    <w:rsid w:val="00CC55FC"/>
    <w:pPr>
      <w:widowControl w:val="0"/>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スタイル12"/>
    <w:semiHidden/>
    <w:rsid w:val="00CC55FC"/>
    <w:pPr>
      <w:numPr>
        <w:numId w:val="23"/>
      </w:numPr>
    </w:pPr>
  </w:style>
  <w:style w:type="table" w:customStyle="1" w:styleId="37">
    <w:name w:val="表 (格子)3"/>
    <w:basedOn w:val="a2"/>
    <w:next w:val="afff2"/>
    <w:uiPriority w:val="59"/>
    <w:rsid w:val="00CC55FC"/>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表 (格子)4"/>
    <w:basedOn w:val="a2"/>
    <w:next w:val="afff2"/>
    <w:rsid w:val="00CC55FC"/>
    <w:pPr>
      <w:widowControl w:val="0"/>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a1"/>
    <w:rsid w:val="00CC55FC"/>
  </w:style>
  <w:style w:type="character" w:styleId="affff7">
    <w:name w:val="Placeholder Text"/>
    <w:basedOn w:val="a1"/>
    <w:uiPriority w:val="99"/>
    <w:semiHidden/>
    <w:rsid w:val="00CC55FC"/>
    <w:rPr>
      <w:color w:val="808080"/>
    </w:rPr>
  </w:style>
  <w:style w:type="numbering" w:customStyle="1" w:styleId="46">
    <w:name w:val="リストなし4"/>
    <w:next w:val="a3"/>
    <w:uiPriority w:val="99"/>
    <w:semiHidden/>
    <w:unhideWhenUsed/>
    <w:rsid w:val="00CD54F8"/>
  </w:style>
  <w:style w:type="table" w:customStyle="1" w:styleId="52">
    <w:name w:val="表 (格子)5"/>
    <w:basedOn w:val="a2"/>
    <w:next w:val="afff2"/>
    <w:uiPriority w:val="99"/>
    <w:rsid w:val="00C1556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表 (格子)6"/>
    <w:basedOn w:val="a2"/>
    <w:next w:val="afff2"/>
    <w:uiPriority w:val="99"/>
    <w:rsid w:val="00C1556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表 (格子)7"/>
    <w:basedOn w:val="a2"/>
    <w:next w:val="afff2"/>
    <w:uiPriority w:val="99"/>
    <w:rsid w:val="00647A3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8">
    <w:name w:val="リストなし3"/>
    <w:next w:val="a3"/>
    <w:uiPriority w:val="99"/>
    <w:semiHidden/>
    <w:unhideWhenUsed/>
    <w:rsid w:val="00485A11"/>
  </w:style>
  <w:style w:type="table" w:customStyle="1" w:styleId="82">
    <w:name w:val="表 (格子)8"/>
    <w:basedOn w:val="a2"/>
    <w:next w:val="afff2"/>
    <w:uiPriority w:val="99"/>
    <w:rsid w:val="00485A1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8">
    <w:name w:val="細別 1.1）"/>
    <w:basedOn w:val="a0"/>
    <w:qFormat/>
    <w:rsid w:val="00485A11"/>
    <w:pPr>
      <w:tabs>
        <w:tab w:val="num" w:pos="1247"/>
      </w:tabs>
      <w:spacing w:line="360" w:lineRule="exact"/>
      <w:ind w:left="1247" w:hanging="680"/>
      <w:jc w:val="left"/>
    </w:pPr>
    <w:rPr>
      <w:rFonts w:ascii="ＭＳ 明朝"/>
      <w:szCs w:val="20"/>
    </w:rPr>
  </w:style>
  <w:style w:type="numbering" w:customStyle="1" w:styleId="130">
    <w:name w:val="スタイル13"/>
    <w:uiPriority w:val="99"/>
    <w:rsid w:val="00485A11"/>
  </w:style>
  <w:style w:type="numbering" w:customStyle="1" w:styleId="119">
    <w:name w:val="リストなし11"/>
    <w:next w:val="a3"/>
    <w:uiPriority w:val="99"/>
    <w:semiHidden/>
    <w:unhideWhenUsed/>
    <w:rsid w:val="00485A11"/>
  </w:style>
  <w:style w:type="table" w:customStyle="1" w:styleId="11a">
    <w:name w:val="表 (格子)11"/>
    <w:basedOn w:val="a2"/>
    <w:next w:val="afff2"/>
    <w:uiPriority w:val="59"/>
    <w:rsid w:val="00485A11"/>
    <w:rPr>
      <w:rFonts w:eastAsia="ＭＳ Ｐ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スタイル111"/>
    <w:uiPriority w:val="99"/>
    <w:semiHidden/>
    <w:rsid w:val="00485A11"/>
  </w:style>
  <w:style w:type="character" w:customStyle="1" w:styleId="aChar">
    <w:name w:val="細別a) Char"/>
    <w:semiHidden/>
    <w:rsid w:val="00485A11"/>
    <w:rPr>
      <w:kern w:val="2"/>
      <w:sz w:val="21"/>
    </w:rPr>
  </w:style>
  <w:style w:type="numbering" w:customStyle="1" w:styleId="210">
    <w:name w:val="リストなし21"/>
    <w:next w:val="a3"/>
    <w:semiHidden/>
    <w:unhideWhenUsed/>
    <w:rsid w:val="00485A11"/>
  </w:style>
  <w:style w:type="paragraph" w:customStyle="1" w:styleId="112">
    <w:name w:val="細別　1.1）"/>
    <w:basedOn w:val="a0"/>
    <w:rsid w:val="00485A11"/>
    <w:pPr>
      <w:numPr>
        <w:numId w:val="131"/>
      </w:numPr>
      <w:spacing w:line="360" w:lineRule="exact"/>
    </w:pPr>
    <w:rPr>
      <w:rFonts w:ascii="ＭＳ ゴシック"/>
      <w:szCs w:val="20"/>
    </w:rPr>
  </w:style>
  <w:style w:type="table" w:customStyle="1" w:styleId="211">
    <w:name w:val="表 (格子)21"/>
    <w:basedOn w:val="a2"/>
    <w:next w:val="afff2"/>
    <w:rsid w:val="00485A11"/>
    <w:pPr>
      <w:widowControl w:val="0"/>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スタイル121"/>
    <w:semiHidden/>
    <w:rsid w:val="00485A11"/>
  </w:style>
  <w:style w:type="table" w:customStyle="1" w:styleId="310">
    <w:name w:val="表 (格子)31"/>
    <w:basedOn w:val="a2"/>
    <w:next w:val="afff2"/>
    <w:uiPriority w:val="59"/>
    <w:rsid w:val="00485A1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表 (格子)41"/>
    <w:basedOn w:val="a2"/>
    <w:next w:val="afff2"/>
    <w:rsid w:val="00485A11"/>
    <w:pPr>
      <w:widowControl w:val="0"/>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e">
    <w:name w:val="細別1)"/>
    <w:basedOn w:val="a0"/>
    <w:qFormat/>
    <w:rsid w:val="00C531D5"/>
    <w:pPr>
      <w:tabs>
        <w:tab w:val="num" w:pos="680"/>
      </w:tabs>
      <w:spacing w:line="360" w:lineRule="exact"/>
      <w:ind w:left="680" w:hanging="396"/>
      <w:jc w:val="left"/>
    </w:pPr>
    <w:rPr>
      <w:rFonts w:eastAsia="ＭＳ ゴシック"/>
      <w:b/>
      <w:szCs w:val="20"/>
    </w:rPr>
  </w:style>
  <w:style w:type="paragraph" w:customStyle="1" w:styleId="affff8">
    <w:name w:val="細別a)"/>
    <w:basedOn w:val="a0"/>
    <w:link w:val="affff9"/>
    <w:rsid w:val="00C531D5"/>
    <w:pPr>
      <w:tabs>
        <w:tab w:val="num" w:pos="0"/>
      </w:tabs>
      <w:adjustRightInd w:val="0"/>
      <w:snapToGrid w:val="0"/>
      <w:spacing w:line="360" w:lineRule="exact"/>
      <w:ind w:left="340" w:hanging="340"/>
      <w:jc w:val="left"/>
    </w:pPr>
    <w:rPr>
      <w:szCs w:val="20"/>
    </w:rPr>
  </w:style>
  <w:style w:type="character" w:customStyle="1" w:styleId="affff9">
    <w:name w:val="細別a) (文字) (文字)"/>
    <w:link w:val="affff8"/>
    <w:rsid w:val="00C531D5"/>
    <w:rPr>
      <w:kern w:val="2"/>
      <w:sz w:val="21"/>
    </w:rPr>
  </w:style>
  <w:style w:type="table" w:customStyle="1" w:styleId="92">
    <w:name w:val="表 (格子)9"/>
    <w:basedOn w:val="a2"/>
    <w:next w:val="afff2"/>
    <w:uiPriority w:val="59"/>
    <w:rsid w:val="00CD54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0">
    <w:name w:val="スタイル14"/>
    <w:uiPriority w:val="99"/>
    <w:rsid w:val="00CD54F8"/>
  </w:style>
  <w:style w:type="numbering" w:customStyle="1" w:styleId="122">
    <w:name w:val="リストなし12"/>
    <w:next w:val="a3"/>
    <w:uiPriority w:val="99"/>
    <w:semiHidden/>
    <w:unhideWhenUsed/>
    <w:rsid w:val="00CD54F8"/>
  </w:style>
  <w:style w:type="table" w:customStyle="1" w:styleId="123">
    <w:name w:val="表 (格子)12"/>
    <w:basedOn w:val="a2"/>
    <w:next w:val="afff2"/>
    <w:uiPriority w:val="59"/>
    <w:rsid w:val="00CD54F8"/>
    <w:rPr>
      <w:rFonts w:eastAsia="ＭＳ Ｐ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スタイル112"/>
    <w:uiPriority w:val="99"/>
    <w:semiHidden/>
    <w:rsid w:val="00CD54F8"/>
  </w:style>
  <w:style w:type="numbering" w:customStyle="1" w:styleId="220">
    <w:name w:val="リストなし22"/>
    <w:next w:val="a3"/>
    <w:semiHidden/>
    <w:unhideWhenUsed/>
    <w:rsid w:val="00CD54F8"/>
  </w:style>
  <w:style w:type="character" w:customStyle="1" w:styleId="11b">
    <w:name w:val="細分箇条番号　1.1 (文字) (文字)"/>
    <w:locked/>
    <w:rsid w:val="00CD54F8"/>
    <w:rPr>
      <w:rFonts w:ascii="ＭＳ ゴシック" w:eastAsia="ＭＳ ゴシック" w:hAnsi="Century"/>
      <w:b/>
      <w:kern w:val="2"/>
      <w:sz w:val="21"/>
      <w:szCs w:val="21"/>
      <w:lang w:val="en-US" w:eastAsia="ja-JP" w:bidi="ar-SA"/>
    </w:rPr>
  </w:style>
  <w:style w:type="table" w:customStyle="1" w:styleId="221">
    <w:name w:val="表 (格子)22"/>
    <w:basedOn w:val="a2"/>
    <w:next w:val="afff2"/>
    <w:rsid w:val="00CD54F8"/>
    <w:pPr>
      <w:widowControl w:val="0"/>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スタイル122"/>
    <w:semiHidden/>
    <w:rsid w:val="00CD54F8"/>
  </w:style>
  <w:style w:type="table" w:customStyle="1" w:styleId="320">
    <w:name w:val="表 (格子)32"/>
    <w:basedOn w:val="a2"/>
    <w:next w:val="afff2"/>
    <w:uiPriority w:val="59"/>
    <w:rsid w:val="00CD54F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表 (格子)42"/>
    <w:basedOn w:val="a2"/>
    <w:next w:val="afff2"/>
    <w:rsid w:val="00CD54F8"/>
    <w:pPr>
      <w:widowControl w:val="0"/>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リストなし5"/>
    <w:next w:val="a3"/>
    <w:uiPriority w:val="99"/>
    <w:semiHidden/>
    <w:unhideWhenUsed/>
    <w:rsid w:val="00644B5F"/>
  </w:style>
  <w:style w:type="table" w:customStyle="1" w:styleId="100">
    <w:name w:val="表 (格子)10"/>
    <w:basedOn w:val="a2"/>
    <w:next w:val="afff2"/>
    <w:uiPriority w:val="59"/>
    <w:rsid w:val="00644B5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0">
    <w:name w:val="スタイル15"/>
    <w:uiPriority w:val="99"/>
    <w:rsid w:val="00644B5F"/>
  </w:style>
  <w:style w:type="numbering" w:customStyle="1" w:styleId="131">
    <w:name w:val="リストなし13"/>
    <w:next w:val="a3"/>
    <w:uiPriority w:val="99"/>
    <w:semiHidden/>
    <w:unhideWhenUsed/>
    <w:rsid w:val="00644B5F"/>
  </w:style>
  <w:style w:type="table" w:customStyle="1" w:styleId="132">
    <w:name w:val="表 (格子)13"/>
    <w:basedOn w:val="a2"/>
    <w:next w:val="afff2"/>
    <w:uiPriority w:val="59"/>
    <w:rsid w:val="00644B5F"/>
    <w:rPr>
      <w:rFonts w:eastAsia="ＭＳ Ｐ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スタイル113"/>
    <w:uiPriority w:val="99"/>
    <w:semiHidden/>
    <w:rsid w:val="00644B5F"/>
  </w:style>
  <w:style w:type="numbering" w:customStyle="1" w:styleId="230">
    <w:name w:val="リストなし23"/>
    <w:next w:val="a3"/>
    <w:semiHidden/>
    <w:unhideWhenUsed/>
    <w:rsid w:val="00644B5F"/>
  </w:style>
  <w:style w:type="table" w:customStyle="1" w:styleId="231">
    <w:name w:val="表 (格子)23"/>
    <w:basedOn w:val="a2"/>
    <w:next w:val="afff2"/>
    <w:rsid w:val="00644B5F"/>
    <w:pPr>
      <w:widowControl w:val="0"/>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0">
    <w:name w:val="スタイル123"/>
    <w:semiHidden/>
    <w:rsid w:val="00644B5F"/>
  </w:style>
  <w:style w:type="table" w:customStyle="1" w:styleId="330">
    <w:name w:val="表 (格子)33"/>
    <w:basedOn w:val="a2"/>
    <w:next w:val="afff2"/>
    <w:uiPriority w:val="59"/>
    <w:rsid w:val="00644B5F"/>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表 (格子)43"/>
    <w:basedOn w:val="a2"/>
    <w:next w:val="afff2"/>
    <w:rsid w:val="00644B5F"/>
    <w:pPr>
      <w:widowControl w:val="0"/>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表 (格子)14"/>
    <w:basedOn w:val="a2"/>
    <w:next w:val="afff2"/>
    <w:uiPriority w:val="99"/>
    <w:rsid w:val="004617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
    <w:name w:val="表 (格子)15"/>
    <w:basedOn w:val="a2"/>
    <w:next w:val="afff2"/>
    <w:uiPriority w:val="99"/>
    <w:rsid w:val="00586AE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
    <w:name w:val="リストなし6"/>
    <w:next w:val="a3"/>
    <w:uiPriority w:val="99"/>
    <w:semiHidden/>
    <w:unhideWhenUsed/>
    <w:rsid w:val="008103A2"/>
  </w:style>
  <w:style w:type="table" w:customStyle="1" w:styleId="160">
    <w:name w:val="表 (格子)16"/>
    <w:basedOn w:val="a2"/>
    <w:next w:val="afff2"/>
    <w:uiPriority w:val="99"/>
    <w:rsid w:val="008103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1">
    <w:name w:val="スタイル16"/>
    <w:uiPriority w:val="99"/>
    <w:rsid w:val="008103A2"/>
  </w:style>
  <w:style w:type="numbering" w:customStyle="1" w:styleId="142">
    <w:name w:val="リストなし14"/>
    <w:next w:val="a3"/>
    <w:uiPriority w:val="99"/>
    <w:semiHidden/>
    <w:unhideWhenUsed/>
    <w:rsid w:val="008103A2"/>
  </w:style>
  <w:style w:type="table" w:customStyle="1" w:styleId="170">
    <w:name w:val="表 (格子)17"/>
    <w:basedOn w:val="a2"/>
    <w:next w:val="afff2"/>
    <w:uiPriority w:val="59"/>
    <w:rsid w:val="008103A2"/>
    <w:rPr>
      <w:rFonts w:eastAsia="ＭＳ Ｐ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スタイル114"/>
    <w:uiPriority w:val="99"/>
    <w:semiHidden/>
    <w:rsid w:val="008103A2"/>
  </w:style>
  <w:style w:type="numbering" w:customStyle="1" w:styleId="240">
    <w:name w:val="リストなし24"/>
    <w:next w:val="a3"/>
    <w:semiHidden/>
    <w:unhideWhenUsed/>
    <w:rsid w:val="008103A2"/>
  </w:style>
  <w:style w:type="table" w:customStyle="1" w:styleId="241">
    <w:name w:val="表 (格子)24"/>
    <w:basedOn w:val="a2"/>
    <w:next w:val="afff2"/>
    <w:rsid w:val="008103A2"/>
    <w:pPr>
      <w:widowControl w:val="0"/>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スタイル124"/>
    <w:semiHidden/>
    <w:rsid w:val="008103A2"/>
  </w:style>
  <w:style w:type="table" w:customStyle="1" w:styleId="340">
    <w:name w:val="表 (格子)34"/>
    <w:basedOn w:val="a2"/>
    <w:next w:val="afff2"/>
    <w:uiPriority w:val="59"/>
    <w:rsid w:val="008103A2"/>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表 (格子)44"/>
    <w:basedOn w:val="a2"/>
    <w:next w:val="afff2"/>
    <w:rsid w:val="008103A2"/>
    <w:pPr>
      <w:widowControl w:val="0"/>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表 (格子)18"/>
    <w:basedOn w:val="a2"/>
    <w:next w:val="afff2"/>
    <w:uiPriority w:val="99"/>
    <w:rsid w:val="00185C7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3">
    <w:name w:val="リストなし7"/>
    <w:next w:val="a3"/>
    <w:uiPriority w:val="99"/>
    <w:semiHidden/>
    <w:unhideWhenUsed/>
    <w:rsid w:val="00C25C85"/>
  </w:style>
  <w:style w:type="table" w:customStyle="1" w:styleId="190">
    <w:name w:val="表 (格子)19"/>
    <w:basedOn w:val="a2"/>
    <w:next w:val="afff2"/>
    <w:uiPriority w:val="59"/>
    <w:rsid w:val="00C25C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
    <w:name w:val="スタイル17"/>
    <w:uiPriority w:val="99"/>
    <w:rsid w:val="00C25C85"/>
    <w:pPr>
      <w:numPr>
        <w:numId w:val="2"/>
      </w:numPr>
    </w:pPr>
  </w:style>
  <w:style w:type="numbering" w:customStyle="1" w:styleId="152">
    <w:name w:val="リストなし15"/>
    <w:next w:val="a3"/>
    <w:uiPriority w:val="99"/>
    <w:semiHidden/>
    <w:unhideWhenUsed/>
    <w:rsid w:val="00C25C85"/>
  </w:style>
  <w:style w:type="table" w:customStyle="1" w:styleId="1100">
    <w:name w:val="表 (格子)110"/>
    <w:basedOn w:val="a2"/>
    <w:next w:val="afff2"/>
    <w:uiPriority w:val="59"/>
    <w:rsid w:val="00C25C85"/>
    <w:rPr>
      <w:rFonts w:eastAsia="ＭＳ Ｐ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スタイル115"/>
    <w:uiPriority w:val="99"/>
    <w:semiHidden/>
    <w:rsid w:val="00C25C85"/>
  </w:style>
  <w:style w:type="numbering" w:customStyle="1" w:styleId="250">
    <w:name w:val="リストなし25"/>
    <w:next w:val="a3"/>
    <w:semiHidden/>
    <w:unhideWhenUsed/>
    <w:rsid w:val="00C25C85"/>
  </w:style>
  <w:style w:type="table" w:customStyle="1" w:styleId="251">
    <w:name w:val="表 (格子)25"/>
    <w:basedOn w:val="a2"/>
    <w:next w:val="afff2"/>
    <w:rsid w:val="00C25C85"/>
    <w:pPr>
      <w:widowControl w:val="0"/>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スタイル125"/>
    <w:semiHidden/>
    <w:rsid w:val="00C25C85"/>
    <w:pPr>
      <w:numPr>
        <w:numId w:val="3"/>
      </w:numPr>
    </w:pPr>
  </w:style>
  <w:style w:type="table" w:customStyle="1" w:styleId="350">
    <w:name w:val="表 (格子)35"/>
    <w:basedOn w:val="a2"/>
    <w:next w:val="afff2"/>
    <w:uiPriority w:val="59"/>
    <w:rsid w:val="00C25C85"/>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表 (格子)45"/>
    <w:basedOn w:val="a2"/>
    <w:next w:val="afff2"/>
    <w:rsid w:val="00C25C85"/>
    <w:pPr>
      <w:widowControl w:val="0"/>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表 (格子)51"/>
    <w:basedOn w:val="a2"/>
    <w:next w:val="afff2"/>
    <w:uiPriority w:val="99"/>
    <w:rsid w:val="00C25C85"/>
    <w:pPr>
      <w:widowControl w:val="0"/>
      <w:suppressAutoHyphens/>
      <w:wordWrap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表 (格子)20"/>
    <w:basedOn w:val="a2"/>
    <w:next w:val="afff2"/>
    <w:uiPriority w:val="99"/>
    <w:rsid w:val="00F87AD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
    <w:name w:val="スタイル3"/>
    <w:uiPriority w:val="99"/>
    <w:rsid w:val="002D033B"/>
    <w:pPr>
      <w:numPr>
        <w:numId w:val="25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9455990">
      <w:bodyDiv w:val="1"/>
      <w:marLeft w:val="0"/>
      <w:marRight w:val="0"/>
      <w:marTop w:val="0"/>
      <w:marBottom w:val="0"/>
      <w:divBdr>
        <w:top w:val="none" w:sz="0" w:space="0" w:color="auto"/>
        <w:left w:val="none" w:sz="0" w:space="0" w:color="auto"/>
        <w:bottom w:val="none" w:sz="0" w:space="0" w:color="auto"/>
        <w:right w:val="none" w:sz="0" w:space="0" w:color="auto"/>
      </w:divBdr>
    </w:div>
    <w:div w:id="1550409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7.png"/><Relationship Id="rId21" Type="http://schemas.openxmlformats.org/officeDocument/2006/relationships/image" Target="media/image3.png"/><Relationship Id="rId42" Type="http://schemas.openxmlformats.org/officeDocument/2006/relationships/image" Target="media/image20.emf"/><Relationship Id="rId63" Type="http://schemas.openxmlformats.org/officeDocument/2006/relationships/header" Target="header11.xml"/><Relationship Id="rId84" Type="http://schemas.openxmlformats.org/officeDocument/2006/relationships/image" Target="media/image52.png"/><Relationship Id="rId138" Type="http://schemas.openxmlformats.org/officeDocument/2006/relationships/image" Target="media/image89.emf"/><Relationship Id="rId159" Type="http://schemas.openxmlformats.org/officeDocument/2006/relationships/image" Target="media/image104.emf"/><Relationship Id="rId170" Type="http://schemas.openxmlformats.org/officeDocument/2006/relationships/image" Target="media/image111.png"/><Relationship Id="rId191" Type="http://schemas.openxmlformats.org/officeDocument/2006/relationships/image" Target="media/image129.png"/><Relationship Id="rId107" Type="http://schemas.openxmlformats.org/officeDocument/2006/relationships/image" Target="media/image68.emf"/><Relationship Id="rId11" Type="http://schemas.openxmlformats.org/officeDocument/2006/relationships/footer" Target="footer2.xml"/><Relationship Id="rId32" Type="http://schemas.openxmlformats.org/officeDocument/2006/relationships/image" Target="media/image10.emf"/><Relationship Id="rId53" Type="http://schemas.openxmlformats.org/officeDocument/2006/relationships/image" Target="media/image26.png"/><Relationship Id="rId74" Type="http://schemas.openxmlformats.org/officeDocument/2006/relationships/image" Target="media/image42.png"/><Relationship Id="rId128" Type="http://schemas.openxmlformats.org/officeDocument/2006/relationships/image" Target="media/image83.wmf"/><Relationship Id="rId149" Type="http://schemas.openxmlformats.org/officeDocument/2006/relationships/image" Target="media/image99.png"/><Relationship Id="rId5" Type="http://schemas.openxmlformats.org/officeDocument/2006/relationships/webSettings" Target="webSettings.xml"/><Relationship Id="rId95" Type="http://schemas.openxmlformats.org/officeDocument/2006/relationships/oleObject" Target="embeddings/oleObject6.bin"/><Relationship Id="rId160" Type="http://schemas.openxmlformats.org/officeDocument/2006/relationships/header" Target="header22.xml"/><Relationship Id="rId181" Type="http://schemas.openxmlformats.org/officeDocument/2006/relationships/image" Target="media/image122.png"/><Relationship Id="rId22" Type="http://schemas.openxmlformats.org/officeDocument/2006/relationships/image" Target="media/image4.png"/><Relationship Id="rId43" Type="http://schemas.openxmlformats.org/officeDocument/2006/relationships/image" Target="media/image21.emf"/><Relationship Id="rId64" Type="http://schemas.openxmlformats.org/officeDocument/2006/relationships/footer" Target="footer8.xml"/><Relationship Id="rId118" Type="http://schemas.openxmlformats.org/officeDocument/2006/relationships/image" Target="media/image78.png"/><Relationship Id="rId139" Type="http://schemas.openxmlformats.org/officeDocument/2006/relationships/image" Target="media/image90.emf"/><Relationship Id="rId85" Type="http://schemas.openxmlformats.org/officeDocument/2006/relationships/image" Target="media/image53.png"/><Relationship Id="rId150" Type="http://schemas.openxmlformats.org/officeDocument/2006/relationships/image" Target="media/image100.jpeg"/><Relationship Id="rId171" Type="http://schemas.openxmlformats.org/officeDocument/2006/relationships/image" Target="media/image112.emf"/><Relationship Id="rId192" Type="http://schemas.openxmlformats.org/officeDocument/2006/relationships/image" Target="media/image130.png"/><Relationship Id="rId12" Type="http://schemas.openxmlformats.org/officeDocument/2006/relationships/header" Target="header3.xml"/><Relationship Id="rId33" Type="http://schemas.openxmlformats.org/officeDocument/2006/relationships/image" Target="media/image11.emf"/><Relationship Id="rId108" Type="http://schemas.openxmlformats.org/officeDocument/2006/relationships/oleObject" Target="embeddings/Microsoft_Visio_2003-2010_Drawing122222222222222222222.vsd"/><Relationship Id="rId129" Type="http://schemas.openxmlformats.org/officeDocument/2006/relationships/oleObject" Target="embeddings/oleObject10.bin"/><Relationship Id="rId54" Type="http://schemas.openxmlformats.org/officeDocument/2006/relationships/image" Target="media/image27.png"/><Relationship Id="rId75" Type="http://schemas.openxmlformats.org/officeDocument/2006/relationships/image" Target="media/image43.png"/><Relationship Id="rId96" Type="http://schemas.openxmlformats.org/officeDocument/2006/relationships/image" Target="media/image62.png"/><Relationship Id="rId140" Type="http://schemas.openxmlformats.org/officeDocument/2006/relationships/image" Target="media/image91.wmf"/><Relationship Id="rId161" Type="http://schemas.openxmlformats.org/officeDocument/2006/relationships/header" Target="header23.xml"/><Relationship Id="rId182" Type="http://schemas.openxmlformats.org/officeDocument/2006/relationships/image" Target="media/image123.png"/><Relationship Id="rId6" Type="http://schemas.openxmlformats.org/officeDocument/2006/relationships/footnotes" Target="footnotes.xml"/><Relationship Id="rId23" Type="http://schemas.openxmlformats.org/officeDocument/2006/relationships/oleObject" Target="embeddings/oleObject1.bin"/><Relationship Id="rId119" Type="http://schemas.openxmlformats.org/officeDocument/2006/relationships/image" Target="media/image79.png"/><Relationship Id="rId44" Type="http://schemas.openxmlformats.org/officeDocument/2006/relationships/image" Target="media/image22.emf"/><Relationship Id="rId65" Type="http://schemas.openxmlformats.org/officeDocument/2006/relationships/header" Target="header12.xml"/><Relationship Id="rId86" Type="http://schemas.openxmlformats.org/officeDocument/2006/relationships/image" Target="media/image54.png"/><Relationship Id="rId130" Type="http://schemas.openxmlformats.org/officeDocument/2006/relationships/image" Target="media/image84.wmf"/><Relationship Id="rId151" Type="http://schemas.openxmlformats.org/officeDocument/2006/relationships/image" Target="media/image101.png"/><Relationship Id="rId172" Type="http://schemas.openxmlformats.org/officeDocument/2006/relationships/image" Target="media/image113.png"/><Relationship Id="rId193" Type="http://schemas.openxmlformats.org/officeDocument/2006/relationships/image" Target="media/image131.png"/><Relationship Id="rId13" Type="http://schemas.openxmlformats.org/officeDocument/2006/relationships/footer" Target="footer3.xml"/><Relationship Id="rId109" Type="http://schemas.openxmlformats.org/officeDocument/2006/relationships/image" Target="media/image69.png"/><Relationship Id="rId34" Type="http://schemas.openxmlformats.org/officeDocument/2006/relationships/image" Target="media/image12.emf"/><Relationship Id="rId55" Type="http://schemas.openxmlformats.org/officeDocument/2006/relationships/image" Target="media/image28.png"/><Relationship Id="rId76" Type="http://schemas.openxmlformats.org/officeDocument/2006/relationships/image" Target="media/image44.png"/><Relationship Id="rId97" Type="http://schemas.openxmlformats.org/officeDocument/2006/relationships/oleObject" Target="embeddings/oleObject7.bin"/><Relationship Id="rId120" Type="http://schemas.openxmlformats.org/officeDocument/2006/relationships/image" Target="media/image80.emf"/><Relationship Id="rId141" Type="http://schemas.openxmlformats.org/officeDocument/2006/relationships/image" Target="media/image92.emf"/><Relationship Id="rId7" Type="http://schemas.openxmlformats.org/officeDocument/2006/relationships/endnotes" Target="endnotes.xml"/><Relationship Id="rId162" Type="http://schemas.openxmlformats.org/officeDocument/2006/relationships/footer" Target="footer12.xml"/><Relationship Id="rId183" Type="http://schemas.openxmlformats.org/officeDocument/2006/relationships/image" Target="media/image124.emf"/><Relationship Id="rId2" Type="http://schemas.openxmlformats.org/officeDocument/2006/relationships/numbering" Target="numbering.xml"/><Relationship Id="rId29" Type="http://schemas.openxmlformats.org/officeDocument/2006/relationships/image" Target="media/image7.emf"/><Relationship Id="rId24" Type="http://schemas.openxmlformats.org/officeDocument/2006/relationships/oleObject" Target="embeddings/oleObject2.bin"/><Relationship Id="rId40" Type="http://schemas.openxmlformats.org/officeDocument/2006/relationships/image" Target="media/image18.emf"/><Relationship Id="rId45" Type="http://schemas.openxmlformats.org/officeDocument/2006/relationships/image" Target="media/image23.emf"/><Relationship Id="rId66" Type="http://schemas.openxmlformats.org/officeDocument/2006/relationships/image" Target="media/image35.emf"/><Relationship Id="rId87" Type="http://schemas.openxmlformats.org/officeDocument/2006/relationships/image" Target="media/image55.png"/><Relationship Id="rId110" Type="http://schemas.openxmlformats.org/officeDocument/2006/relationships/image" Target="media/image70.png"/><Relationship Id="rId115" Type="http://schemas.openxmlformats.org/officeDocument/2006/relationships/image" Target="media/image75.emf"/><Relationship Id="rId131" Type="http://schemas.openxmlformats.org/officeDocument/2006/relationships/oleObject" Target="embeddings/oleObject11.bin"/><Relationship Id="rId136" Type="http://schemas.openxmlformats.org/officeDocument/2006/relationships/oleObject" Target="embeddings/oleObject13.bin"/><Relationship Id="rId157" Type="http://schemas.openxmlformats.org/officeDocument/2006/relationships/image" Target="media/image102.emf"/><Relationship Id="rId178" Type="http://schemas.openxmlformats.org/officeDocument/2006/relationships/image" Target="media/image119.png"/><Relationship Id="rId61" Type="http://schemas.openxmlformats.org/officeDocument/2006/relationships/image" Target="media/image34.emf"/><Relationship Id="rId82" Type="http://schemas.openxmlformats.org/officeDocument/2006/relationships/image" Target="media/image50.png"/><Relationship Id="rId152" Type="http://schemas.openxmlformats.org/officeDocument/2006/relationships/header" Target="header19.xml"/><Relationship Id="rId173" Type="http://schemas.openxmlformats.org/officeDocument/2006/relationships/image" Target="media/image114.png"/><Relationship Id="rId194" Type="http://schemas.openxmlformats.org/officeDocument/2006/relationships/oleObject" Target="embeddings/oleObject18.bin"/><Relationship Id="rId199" Type="http://schemas.openxmlformats.org/officeDocument/2006/relationships/image" Target="media/image134.png"/><Relationship Id="rId19" Type="http://schemas.openxmlformats.org/officeDocument/2006/relationships/image" Target="media/image1.png"/><Relationship Id="rId14" Type="http://schemas.openxmlformats.org/officeDocument/2006/relationships/header" Target="header4.xml"/><Relationship Id="rId30" Type="http://schemas.openxmlformats.org/officeDocument/2006/relationships/image" Target="media/image8.emf"/><Relationship Id="rId35" Type="http://schemas.openxmlformats.org/officeDocument/2006/relationships/image" Target="media/image13.emf"/><Relationship Id="rId56" Type="http://schemas.openxmlformats.org/officeDocument/2006/relationships/image" Target="media/image29.emf"/><Relationship Id="rId77" Type="http://schemas.openxmlformats.org/officeDocument/2006/relationships/image" Target="media/image45.png"/><Relationship Id="rId100" Type="http://schemas.openxmlformats.org/officeDocument/2006/relationships/image" Target="media/image65.png"/><Relationship Id="rId105" Type="http://schemas.openxmlformats.org/officeDocument/2006/relationships/image" Target="media/image66.emf"/><Relationship Id="rId126" Type="http://schemas.openxmlformats.org/officeDocument/2006/relationships/image" Target="media/image82.wmf"/><Relationship Id="rId147" Type="http://schemas.openxmlformats.org/officeDocument/2006/relationships/image" Target="media/image97.png"/><Relationship Id="rId168" Type="http://schemas.openxmlformats.org/officeDocument/2006/relationships/image" Target="media/image109.png"/><Relationship Id="rId8" Type="http://schemas.openxmlformats.org/officeDocument/2006/relationships/header" Target="header1.xml"/><Relationship Id="rId51" Type="http://schemas.openxmlformats.org/officeDocument/2006/relationships/footer" Target="footer7.xml"/><Relationship Id="rId72" Type="http://schemas.openxmlformats.org/officeDocument/2006/relationships/image" Target="media/image40.png"/><Relationship Id="rId93" Type="http://schemas.openxmlformats.org/officeDocument/2006/relationships/image" Target="media/image60.emf"/><Relationship Id="rId98" Type="http://schemas.openxmlformats.org/officeDocument/2006/relationships/image" Target="media/image63.wmf"/><Relationship Id="rId121" Type="http://schemas.openxmlformats.org/officeDocument/2006/relationships/image" Target="media/image81.emf"/><Relationship Id="rId142" Type="http://schemas.openxmlformats.org/officeDocument/2006/relationships/image" Target="media/image93.wmf"/><Relationship Id="rId163" Type="http://schemas.openxmlformats.org/officeDocument/2006/relationships/header" Target="header24.xml"/><Relationship Id="rId184" Type="http://schemas.openxmlformats.org/officeDocument/2006/relationships/image" Target="media/image125.png"/><Relationship Id="rId189" Type="http://schemas.openxmlformats.org/officeDocument/2006/relationships/image" Target="media/image128.wmf"/><Relationship Id="rId3" Type="http://schemas.openxmlformats.org/officeDocument/2006/relationships/styles" Target="styles.xml"/><Relationship Id="rId25" Type="http://schemas.openxmlformats.org/officeDocument/2006/relationships/oleObject" Target="embeddings/oleObject3.bin"/><Relationship Id="rId46" Type="http://schemas.openxmlformats.org/officeDocument/2006/relationships/image" Target="media/image24.emf"/><Relationship Id="rId67" Type="http://schemas.openxmlformats.org/officeDocument/2006/relationships/image" Target="media/image36.png"/><Relationship Id="rId116" Type="http://schemas.openxmlformats.org/officeDocument/2006/relationships/image" Target="media/image76.png"/><Relationship Id="rId137" Type="http://schemas.openxmlformats.org/officeDocument/2006/relationships/image" Target="media/image88.emf"/><Relationship Id="rId158" Type="http://schemas.openxmlformats.org/officeDocument/2006/relationships/image" Target="media/image103.emf"/><Relationship Id="rId20" Type="http://schemas.openxmlformats.org/officeDocument/2006/relationships/image" Target="media/image2.png"/><Relationship Id="rId41" Type="http://schemas.openxmlformats.org/officeDocument/2006/relationships/image" Target="media/image19.emf"/><Relationship Id="rId62" Type="http://schemas.openxmlformats.org/officeDocument/2006/relationships/header" Target="header10.xml"/><Relationship Id="rId83" Type="http://schemas.openxmlformats.org/officeDocument/2006/relationships/image" Target="media/image51.png"/><Relationship Id="rId88" Type="http://schemas.openxmlformats.org/officeDocument/2006/relationships/image" Target="media/image56.png"/><Relationship Id="rId111" Type="http://schemas.openxmlformats.org/officeDocument/2006/relationships/image" Target="media/image71.gif"/><Relationship Id="rId132" Type="http://schemas.openxmlformats.org/officeDocument/2006/relationships/image" Target="media/image85.wmf"/><Relationship Id="rId153" Type="http://schemas.openxmlformats.org/officeDocument/2006/relationships/header" Target="header20.xml"/><Relationship Id="rId174" Type="http://schemas.openxmlformats.org/officeDocument/2006/relationships/image" Target="media/image115.png"/><Relationship Id="rId179" Type="http://schemas.openxmlformats.org/officeDocument/2006/relationships/image" Target="media/image120.png"/><Relationship Id="rId195" Type="http://schemas.openxmlformats.org/officeDocument/2006/relationships/oleObject" Target="embeddings/oleObject19.bin"/><Relationship Id="rId190" Type="http://schemas.openxmlformats.org/officeDocument/2006/relationships/oleObject" Target="embeddings/oleObject17.bin"/><Relationship Id="rId15" Type="http://schemas.openxmlformats.org/officeDocument/2006/relationships/header" Target="header5.xml"/><Relationship Id="rId36" Type="http://schemas.openxmlformats.org/officeDocument/2006/relationships/image" Target="media/image14.emf"/><Relationship Id="rId57" Type="http://schemas.openxmlformats.org/officeDocument/2006/relationships/image" Target="media/image30.emf"/><Relationship Id="rId106" Type="http://schemas.openxmlformats.org/officeDocument/2006/relationships/image" Target="media/image67.emf"/><Relationship Id="rId127" Type="http://schemas.openxmlformats.org/officeDocument/2006/relationships/oleObject" Target="embeddings/oleObject9.bin"/><Relationship Id="rId10" Type="http://schemas.openxmlformats.org/officeDocument/2006/relationships/footer" Target="footer1.xml"/><Relationship Id="rId31" Type="http://schemas.openxmlformats.org/officeDocument/2006/relationships/image" Target="media/image9.emf"/><Relationship Id="rId52" Type="http://schemas.openxmlformats.org/officeDocument/2006/relationships/header" Target="header9.xml"/><Relationship Id="rId73" Type="http://schemas.openxmlformats.org/officeDocument/2006/relationships/image" Target="media/image41.png"/><Relationship Id="rId78" Type="http://schemas.openxmlformats.org/officeDocument/2006/relationships/image" Target="media/image46.png"/><Relationship Id="rId94" Type="http://schemas.openxmlformats.org/officeDocument/2006/relationships/image" Target="media/image61.png"/><Relationship Id="rId99" Type="http://schemas.openxmlformats.org/officeDocument/2006/relationships/image" Target="media/image64.wmf"/><Relationship Id="rId101" Type="http://schemas.openxmlformats.org/officeDocument/2006/relationships/oleObject" Target="embeddings/oleObject8.bin"/><Relationship Id="rId122" Type="http://schemas.openxmlformats.org/officeDocument/2006/relationships/header" Target="header16.xml"/><Relationship Id="rId143" Type="http://schemas.openxmlformats.org/officeDocument/2006/relationships/oleObject" Target="embeddings/oleObject14.bin"/><Relationship Id="rId148" Type="http://schemas.openxmlformats.org/officeDocument/2006/relationships/image" Target="media/image98.png"/><Relationship Id="rId164" Type="http://schemas.openxmlformats.org/officeDocument/2006/relationships/image" Target="media/image105.emf"/><Relationship Id="rId169" Type="http://schemas.openxmlformats.org/officeDocument/2006/relationships/image" Target="media/image110.emf"/><Relationship Id="rId185" Type="http://schemas.openxmlformats.org/officeDocument/2006/relationships/image" Target="media/image126.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121.png"/><Relationship Id="rId26" Type="http://schemas.openxmlformats.org/officeDocument/2006/relationships/oleObject" Target="embeddings/oleObject4.bin"/><Relationship Id="rId47" Type="http://schemas.openxmlformats.org/officeDocument/2006/relationships/image" Target="media/image25.emf"/><Relationship Id="rId68" Type="http://schemas.openxmlformats.org/officeDocument/2006/relationships/image" Target="media/image37.emf"/><Relationship Id="rId89" Type="http://schemas.openxmlformats.org/officeDocument/2006/relationships/image" Target="media/image57.wmf"/><Relationship Id="rId112" Type="http://schemas.openxmlformats.org/officeDocument/2006/relationships/image" Target="media/image72.gif"/><Relationship Id="rId133" Type="http://schemas.openxmlformats.org/officeDocument/2006/relationships/oleObject" Target="embeddings/oleObject12.bin"/><Relationship Id="rId154" Type="http://schemas.openxmlformats.org/officeDocument/2006/relationships/footer" Target="footer10.xml"/><Relationship Id="rId175" Type="http://schemas.openxmlformats.org/officeDocument/2006/relationships/image" Target="media/image116.png"/><Relationship Id="rId196" Type="http://schemas.openxmlformats.org/officeDocument/2006/relationships/oleObject" Target="embeddings/oleObject20.bin"/><Relationship Id="rId200" Type="http://schemas.openxmlformats.org/officeDocument/2006/relationships/fontTable" Target="fontTable.xml"/><Relationship Id="rId16" Type="http://schemas.openxmlformats.org/officeDocument/2006/relationships/footer" Target="footer4.xml"/><Relationship Id="rId37" Type="http://schemas.openxmlformats.org/officeDocument/2006/relationships/image" Target="media/image15.emf"/><Relationship Id="rId58" Type="http://schemas.openxmlformats.org/officeDocument/2006/relationships/image" Target="media/image31.png"/><Relationship Id="rId79" Type="http://schemas.openxmlformats.org/officeDocument/2006/relationships/image" Target="media/image47.png"/><Relationship Id="rId102" Type="http://schemas.openxmlformats.org/officeDocument/2006/relationships/header" Target="header13.xml"/><Relationship Id="rId123" Type="http://schemas.openxmlformats.org/officeDocument/2006/relationships/header" Target="header17.xml"/><Relationship Id="rId144" Type="http://schemas.openxmlformats.org/officeDocument/2006/relationships/image" Target="media/image94.png"/><Relationship Id="rId90" Type="http://schemas.openxmlformats.org/officeDocument/2006/relationships/image" Target="media/image58.png"/><Relationship Id="rId165" Type="http://schemas.openxmlformats.org/officeDocument/2006/relationships/image" Target="media/image106.png"/><Relationship Id="rId186" Type="http://schemas.openxmlformats.org/officeDocument/2006/relationships/oleObject" Target="embeddings/oleObject15.bin"/><Relationship Id="rId27" Type="http://schemas.openxmlformats.org/officeDocument/2006/relationships/image" Target="media/image5.emf"/><Relationship Id="rId48" Type="http://schemas.openxmlformats.org/officeDocument/2006/relationships/header" Target="header7.xml"/><Relationship Id="rId69" Type="http://schemas.openxmlformats.org/officeDocument/2006/relationships/oleObject" Target="embeddings/Microsoft_Visio_2003-2010_Drawing11111111111111111111.vsd"/><Relationship Id="rId113" Type="http://schemas.openxmlformats.org/officeDocument/2006/relationships/image" Target="media/image73.png"/><Relationship Id="rId134" Type="http://schemas.openxmlformats.org/officeDocument/2006/relationships/image" Target="media/image86.png"/><Relationship Id="rId80" Type="http://schemas.openxmlformats.org/officeDocument/2006/relationships/image" Target="media/image48.png"/><Relationship Id="rId155" Type="http://schemas.openxmlformats.org/officeDocument/2006/relationships/footer" Target="footer11.xml"/><Relationship Id="rId176" Type="http://schemas.openxmlformats.org/officeDocument/2006/relationships/image" Target="media/image117.emf"/><Relationship Id="rId197" Type="http://schemas.openxmlformats.org/officeDocument/2006/relationships/image" Target="media/image132.png"/><Relationship Id="rId201" Type="http://schemas.openxmlformats.org/officeDocument/2006/relationships/theme" Target="theme/theme1.xml"/><Relationship Id="rId17" Type="http://schemas.openxmlformats.org/officeDocument/2006/relationships/header" Target="header6.xml"/><Relationship Id="rId38" Type="http://schemas.openxmlformats.org/officeDocument/2006/relationships/image" Target="media/image16.emf"/><Relationship Id="rId59" Type="http://schemas.openxmlformats.org/officeDocument/2006/relationships/image" Target="media/image32.png"/><Relationship Id="rId103" Type="http://schemas.openxmlformats.org/officeDocument/2006/relationships/header" Target="header14.xml"/><Relationship Id="rId124" Type="http://schemas.openxmlformats.org/officeDocument/2006/relationships/footer" Target="footer9.xml"/><Relationship Id="rId70" Type="http://schemas.openxmlformats.org/officeDocument/2006/relationships/image" Target="media/image38.emf"/><Relationship Id="rId91" Type="http://schemas.openxmlformats.org/officeDocument/2006/relationships/image" Target="media/image59.png"/><Relationship Id="rId145" Type="http://schemas.openxmlformats.org/officeDocument/2006/relationships/image" Target="media/image95.wmf"/><Relationship Id="rId166" Type="http://schemas.openxmlformats.org/officeDocument/2006/relationships/image" Target="media/image107.png"/><Relationship Id="rId187" Type="http://schemas.openxmlformats.org/officeDocument/2006/relationships/image" Target="media/image127.wmf"/><Relationship Id="rId1" Type="http://schemas.openxmlformats.org/officeDocument/2006/relationships/customXml" Target="../customXml/item1.xml"/><Relationship Id="rId28" Type="http://schemas.openxmlformats.org/officeDocument/2006/relationships/image" Target="media/image6.emf"/><Relationship Id="rId49" Type="http://schemas.openxmlformats.org/officeDocument/2006/relationships/header" Target="header8.xml"/><Relationship Id="rId114" Type="http://schemas.openxmlformats.org/officeDocument/2006/relationships/image" Target="media/image74.emf"/><Relationship Id="rId60" Type="http://schemas.openxmlformats.org/officeDocument/2006/relationships/image" Target="media/image33.wmf"/><Relationship Id="rId81" Type="http://schemas.openxmlformats.org/officeDocument/2006/relationships/image" Target="media/image49.png"/><Relationship Id="rId135" Type="http://schemas.openxmlformats.org/officeDocument/2006/relationships/image" Target="media/image87.png"/><Relationship Id="rId156" Type="http://schemas.openxmlformats.org/officeDocument/2006/relationships/header" Target="header21.xml"/><Relationship Id="rId177" Type="http://schemas.openxmlformats.org/officeDocument/2006/relationships/image" Target="media/image118.png"/><Relationship Id="rId198" Type="http://schemas.openxmlformats.org/officeDocument/2006/relationships/image" Target="media/image133.png"/><Relationship Id="rId18" Type="http://schemas.openxmlformats.org/officeDocument/2006/relationships/footer" Target="footer5.xml"/><Relationship Id="rId39" Type="http://schemas.openxmlformats.org/officeDocument/2006/relationships/image" Target="media/image17.emf"/><Relationship Id="rId50" Type="http://schemas.openxmlformats.org/officeDocument/2006/relationships/footer" Target="footer6.xml"/><Relationship Id="rId104" Type="http://schemas.openxmlformats.org/officeDocument/2006/relationships/header" Target="header15.xml"/><Relationship Id="rId125" Type="http://schemas.openxmlformats.org/officeDocument/2006/relationships/header" Target="header18.xml"/><Relationship Id="rId146" Type="http://schemas.openxmlformats.org/officeDocument/2006/relationships/image" Target="media/image96.png"/><Relationship Id="rId167" Type="http://schemas.openxmlformats.org/officeDocument/2006/relationships/image" Target="media/image108.png"/><Relationship Id="rId188" Type="http://schemas.openxmlformats.org/officeDocument/2006/relationships/oleObject" Target="embeddings/oleObject16.bin"/><Relationship Id="rId71" Type="http://schemas.openxmlformats.org/officeDocument/2006/relationships/image" Target="media/image39.emf"/><Relationship Id="rId92" Type="http://schemas.openxmlformats.org/officeDocument/2006/relationships/oleObject" Target="embeddings/oleObject5.bin"/></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D84B99-0390-476A-A4F0-D93FF5310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332</Pages>
  <Words>43552</Words>
  <Characters>248247</Characters>
  <Application>Microsoft Office Word</Application>
  <DocSecurity>0</DocSecurity>
  <Lines>2068</Lines>
  <Paragraphs>582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ＨＰＩ</Company>
  <LinksUpToDate>false</LinksUpToDate>
  <CharactersWithSpaces>291217</CharactersWithSpaces>
  <SharedDoc>false</SharedDoc>
  <HLinks>
    <vt:vector size="66" baseType="variant">
      <vt:variant>
        <vt:i4>5505111</vt:i4>
      </vt:variant>
      <vt:variant>
        <vt:i4>57</vt:i4>
      </vt:variant>
      <vt:variant>
        <vt:i4>0</vt:i4>
      </vt:variant>
      <vt:variant>
        <vt:i4>5</vt:i4>
      </vt:variant>
      <vt:variant>
        <vt:lpwstr>http://wwwsoc.nii.ac.jp/hpi/</vt:lpwstr>
      </vt:variant>
      <vt:variant>
        <vt:lpwstr/>
      </vt:variant>
      <vt:variant>
        <vt:i4>1507390</vt:i4>
      </vt:variant>
      <vt:variant>
        <vt:i4>50</vt:i4>
      </vt:variant>
      <vt:variant>
        <vt:i4>0</vt:i4>
      </vt:variant>
      <vt:variant>
        <vt:i4>5</vt:i4>
      </vt:variant>
      <vt:variant>
        <vt:lpwstr/>
      </vt:variant>
      <vt:variant>
        <vt:lpwstr>_Toc239756027</vt:lpwstr>
      </vt:variant>
      <vt:variant>
        <vt:i4>1507390</vt:i4>
      </vt:variant>
      <vt:variant>
        <vt:i4>44</vt:i4>
      </vt:variant>
      <vt:variant>
        <vt:i4>0</vt:i4>
      </vt:variant>
      <vt:variant>
        <vt:i4>5</vt:i4>
      </vt:variant>
      <vt:variant>
        <vt:lpwstr/>
      </vt:variant>
      <vt:variant>
        <vt:lpwstr>_Toc239756026</vt:lpwstr>
      </vt:variant>
      <vt:variant>
        <vt:i4>1507390</vt:i4>
      </vt:variant>
      <vt:variant>
        <vt:i4>38</vt:i4>
      </vt:variant>
      <vt:variant>
        <vt:i4>0</vt:i4>
      </vt:variant>
      <vt:variant>
        <vt:i4>5</vt:i4>
      </vt:variant>
      <vt:variant>
        <vt:lpwstr/>
      </vt:variant>
      <vt:variant>
        <vt:lpwstr>_Toc239756025</vt:lpwstr>
      </vt:variant>
      <vt:variant>
        <vt:i4>1507390</vt:i4>
      </vt:variant>
      <vt:variant>
        <vt:i4>32</vt:i4>
      </vt:variant>
      <vt:variant>
        <vt:i4>0</vt:i4>
      </vt:variant>
      <vt:variant>
        <vt:i4>5</vt:i4>
      </vt:variant>
      <vt:variant>
        <vt:lpwstr/>
      </vt:variant>
      <vt:variant>
        <vt:lpwstr>_Toc239756024</vt:lpwstr>
      </vt:variant>
      <vt:variant>
        <vt:i4>1507390</vt:i4>
      </vt:variant>
      <vt:variant>
        <vt:i4>26</vt:i4>
      </vt:variant>
      <vt:variant>
        <vt:i4>0</vt:i4>
      </vt:variant>
      <vt:variant>
        <vt:i4>5</vt:i4>
      </vt:variant>
      <vt:variant>
        <vt:lpwstr/>
      </vt:variant>
      <vt:variant>
        <vt:lpwstr>_Toc239756023</vt:lpwstr>
      </vt:variant>
      <vt:variant>
        <vt:i4>1507390</vt:i4>
      </vt:variant>
      <vt:variant>
        <vt:i4>20</vt:i4>
      </vt:variant>
      <vt:variant>
        <vt:i4>0</vt:i4>
      </vt:variant>
      <vt:variant>
        <vt:i4>5</vt:i4>
      </vt:variant>
      <vt:variant>
        <vt:lpwstr/>
      </vt:variant>
      <vt:variant>
        <vt:lpwstr>_Toc239756022</vt:lpwstr>
      </vt:variant>
      <vt:variant>
        <vt:i4>1507390</vt:i4>
      </vt:variant>
      <vt:variant>
        <vt:i4>14</vt:i4>
      </vt:variant>
      <vt:variant>
        <vt:i4>0</vt:i4>
      </vt:variant>
      <vt:variant>
        <vt:i4>5</vt:i4>
      </vt:variant>
      <vt:variant>
        <vt:lpwstr/>
      </vt:variant>
      <vt:variant>
        <vt:lpwstr>_Toc239756021</vt:lpwstr>
      </vt:variant>
      <vt:variant>
        <vt:i4>1507390</vt:i4>
      </vt:variant>
      <vt:variant>
        <vt:i4>8</vt:i4>
      </vt:variant>
      <vt:variant>
        <vt:i4>0</vt:i4>
      </vt:variant>
      <vt:variant>
        <vt:i4>5</vt:i4>
      </vt:variant>
      <vt:variant>
        <vt:lpwstr/>
      </vt:variant>
      <vt:variant>
        <vt:lpwstr>_Toc239756020</vt:lpwstr>
      </vt:variant>
      <vt:variant>
        <vt:i4>1310782</vt:i4>
      </vt:variant>
      <vt:variant>
        <vt:i4>2</vt:i4>
      </vt:variant>
      <vt:variant>
        <vt:i4>0</vt:i4>
      </vt:variant>
      <vt:variant>
        <vt:i4>5</vt:i4>
      </vt:variant>
      <vt:variant>
        <vt:lpwstr/>
      </vt:variant>
      <vt:variant>
        <vt:lpwstr>_Toc239756019</vt:lpwstr>
      </vt:variant>
      <vt:variant>
        <vt:i4>5505111</vt:i4>
      </vt:variant>
      <vt:variant>
        <vt:i4>0</vt:i4>
      </vt:variant>
      <vt:variant>
        <vt:i4>0</vt:i4>
      </vt:variant>
      <vt:variant>
        <vt:i4>5</vt:i4>
      </vt:variant>
      <vt:variant>
        <vt:lpwstr>http://wwwsoc.nii.ac.jp/hpi/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tanaka</dc:creator>
  <cp:lastModifiedBy>hpi</cp:lastModifiedBy>
  <cp:revision>4</cp:revision>
  <cp:lastPrinted>2022-11-12T07:48:00Z</cp:lastPrinted>
  <dcterms:created xsi:type="dcterms:W3CDTF">2022-11-28T06:53:00Z</dcterms:created>
  <dcterms:modified xsi:type="dcterms:W3CDTF">2022-11-29T04:27:00Z</dcterms:modified>
</cp:coreProperties>
</file>